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A644A2">
      <w:pPr>
        <w:pStyle w:val="9"/>
        <w:spacing w:before="4"/>
        <w:ind w:left="0"/>
        <w:jc w:val="left"/>
        <w:rPr>
          <w:sz w:val="17"/>
        </w:rPr>
      </w:pPr>
      <w:r>
        <w:rPr>
          <w:sz w:val="17"/>
        </w:rPr>
        <w:drawing>
          <wp:inline distT="0" distB="0" distL="114300" distR="114300">
            <wp:extent cx="5852160" cy="7802880"/>
            <wp:effectExtent l="0" t="0" r="0" b="0"/>
            <wp:docPr id="64" name="图片 64" descr="58835d171099ba37ee988679a2a3b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58835d171099ba37ee988679a2a3b03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87" w:name="_GoBack"/>
      <w:bookmarkEnd w:id="87"/>
    </w:p>
    <w:p w14:paraId="14D82917">
      <w:pPr>
        <w:pStyle w:val="9"/>
        <w:spacing w:after="0"/>
        <w:jc w:val="left"/>
        <w:rPr>
          <w:sz w:val="17"/>
        </w:rPr>
        <w:sectPr>
          <w:type w:val="continuous"/>
          <w:pgSz w:w="12240" w:h="15840"/>
          <w:pgMar w:top="1820" w:right="1440" w:bottom="280" w:left="1440" w:header="720" w:footer="720" w:gutter="0"/>
          <w:cols w:space="720" w:num="1"/>
        </w:sectPr>
      </w:pPr>
    </w:p>
    <w:p w14:paraId="41DA97D2">
      <w:pPr>
        <w:pStyle w:val="9"/>
        <w:spacing w:before="0"/>
        <w:ind w:left="375"/>
        <w:jc w:val="left"/>
        <w:rPr>
          <w:sz w:val="20"/>
        </w:rPr>
      </w:pPr>
      <w:r>
        <w:rPr>
          <w:sz w:val="20"/>
        </w:rPr>
        <w:drawing>
          <wp:inline distT="0" distB="0" distL="0" distR="0">
            <wp:extent cx="5413375" cy="814895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413878" cy="8149113"/>
                    </a:xfrm>
                    <a:prstGeom prst="rect">
                      <a:avLst/>
                    </a:prstGeom>
                  </pic:spPr>
                </pic:pic>
              </a:graphicData>
            </a:graphic>
          </wp:inline>
        </w:drawing>
      </w:r>
    </w:p>
    <w:p w14:paraId="1F8C6917">
      <w:pPr>
        <w:pStyle w:val="9"/>
        <w:spacing w:after="0"/>
        <w:jc w:val="left"/>
        <w:rPr>
          <w:sz w:val="20"/>
        </w:rPr>
        <w:sectPr>
          <w:pgSz w:w="12240" w:h="15840"/>
          <w:pgMar w:top="1440" w:right="1440" w:bottom="280" w:left="1440" w:header="720" w:footer="720" w:gutter="0"/>
          <w:cols w:space="720" w:num="1"/>
        </w:sectPr>
      </w:pPr>
    </w:p>
    <w:p w14:paraId="117D91D4">
      <w:pPr>
        <w:pStyle w:val="9"/>
        <w:spacing w:before="4"/>
        <w:ind w:left="0"/>
        <w:jc w:val="left"/>
        <w:rPr>
          <w:sz w:val="32"/>
          <w:szCs w:val="32"/>
        </w:rPr>
      </w:pPr>
    </w:p>
    <w:p w14:paraId="7D65A0A1">
      <w:pPr>
        <w:pStyle w:val="9"/>
        <w:spacing w:after="0"/>
        <w:jc w:val="left"/>
        <w:rPr>
          <w:rFonts w:hint="eastAsia"/>
          <w:sz w:val="32"/>
          <w:szCs w:val="32"/>
        </w:rPr>
      </w:pPr>
      <w:r>
        <w:rPr>
          <w:rFonts w:hint="eastAsia"/>
          <w:sz w:val="32"/>
          <w:szCs w:val="32"/>
        </w:rPr>
        <w:t>翻译来源：claude</w:t>
      </w:r>
    </w:p>
    <w:p w14:paraId="0AD52E34">
      <w:pPr>
        <w:pStyle w:val="9"/>
        <w:spacing w:after="0"/>
        <w:jc w:val="left"/>
        <w:rPr>
          <w:rFonts w:hint="eastAsia"/>
          <w:sz w:val="32"/>
          <w:szCs w:val="32"/>
        </w:rPr>
      </w:pPr>
    </w:p>
    <w:p w14:paraId="2DFA9700">
      <w:pPr>
        <w:pStyle w:val="9"/>
        <w:spacing w:after="0"/>
        <w:jc w:val="left"/>
        <w:rPr>
          <w:rFonts w:hint="eastAsia"/>
          <w:sz w:val="32"/>
          <w:szCs w:val="32"/>
        </w:rPr>
      </w:pPr>
      <w:r>
        <w:rPr>
          <w:rFonts w:hint="eastAsia"/>
          <w:sz w:val="32"/>
          <w:szCs w:val="32"/>
        </w:rPr>
        <w:t>注说明：</w:t>
      </w:r>
    </w:p>
    <w:p w14:paraId="12732FD1">
      <w:pPr>
        <w:pStyle w:val="9"/>
        <w:spacing w:after="0"/>
        <w:jc w:val="left"/>
        <w:rPr>
          <w:rFonts w:hint="eastAsia"/>
          <w:sz w:val="32"/>
          <w:szCs w:val="32"/>
        </w:rPr>
      </w:pPr>
      <w:r>
        <w:rPr>
          <w:rFonts w:hint="eastAsia"/>
          <w:sz w:val="32"/>
          <w:szCs w:val="32"/>
        </w:rPr>
        <w:t>1、以下文字使用人工智能（claude)翻译，请以原文为准。</w:t>
      </w:r>
    </w:p>
    <w:p w14:paraId="7BAD58B8">
      <w:pPr>
        <w:pStyle w:val="9"/>
        <w:spacing w:after="0"/>
        <w:jc w:val="left"/>
        <w:rPr>
          <w:rFonts w:hint="eastAsia"/>
          <w:sz w:val="32"/>
          <w:szCs w:val="32"/>
        </w:rPr>
      </w:pPr>
      <w:r>
        <w:rPr>
          <w:rFonts w:hint="eastAsia"/>
          <w:sz w:val="32"/>
          <w:szCs w:val="32"/>
        </w:rPr>
        <w:t>2、原文和翻译都可以免费使用，转发，传阅，复制，但不能商用，若商用，只能收回成本费。</w:t>
      </w:r>
    </w:p>
    <w:p w14:paraId="54CF9486">
      <w:pPr>
        <w:pStyle w:val="9"/>
        <w:spacing w:after="0"/>
        <w:jc w:val="left"/>
        <w:rPr>
          <w:rFonts w:hint="eastAsia"/>
          <w:sz w:val="32"/>
          <w:szCs w:val="32"/>
        </w:rPr>
      </w:pPr>
      <w:r>
        <w:rPr>
          <w:rFonts w:hint="eastAsia"/>
          <w:sz w:val="32"/>
          <w:szCs w:val="32"/>
        </w:rPr>
        <w:t>3、若有更好的翻译，请来信指正，一同分享清教徒书籍，和其他宝藏书籍，谢谢！</w:t>
      </w:r>
    </w:p>
    <w:p w14:paraId="5E9897B8">
      <w:pPr>
        <w:pStyle w:val="9"/>
        <w:spacing w:after="0"/>
        <w:jc w:val="left"/>
        <w:rPr>
          <w:rFonts w:hint="eastAsia"/>
          <w:sz w:val="32"/>
          <w:szCs w:val="32"/>
        </w:rPr>
      </w:pPr>
    </w:p>
    <w:p w14:paraId="4027C66F">
      <w:pPr>
        <w:pStyle w:val="9"/>
        <w:spacing w:after="0"/>
        <w:jc w:val="left"/>
        <w:rPr>
          <w:sz w:val="32"/>
          <w:szCs w:val="32"/>
        </w:rPr>
        <w:sectPr>
          <w:pgSz w:w="12240" w:h="15840"/>
          <w:pgMar w:top="1820" w:right="1440" w:bottom="280" w:left="1440" w:header="720" w:footer="720" w:gutter="0"/>
          <w:cols w:space="720" w:num="1"/>
        </w:sectPr>
      </w:pPr>
      <w:r>
        <w:rPr>
          <w:rFonts w:hint="eastAsia"/>
          <w:sz w:val="32"/>
          <w:szCs w:val="32"/>
        </w:rPr>
        <w:t>邮箱：xuanjiao789@outlook.com</w:t>
      </w:r>
    </w:p>
    <w:p w14:paraId="7CE9360A">
      <w:pPr>
        <w:pStyle w:val="2"/>
        <w:bidi w:val="0"/>
        <w:rPr>
          <w:rFonts w:hint="eastAsia"/>
        </w:rPr>
      </w:pPr>
      <w:r>
        <w:rPr>
          <w:rFonts w:hint="eastAsia"/>
        </w:rPr>
        <w:t>Praise for The High King of Heaven</w:t>
      </w:r>
    </w:p>
    <w:p w14:paraId="05AC0BA2">
      <w:pPr>
        <w:pStyle w:val="2"/>
        <w:bidi w:val="0"/>
        <w:rPr>
          <w:rFonts w:hint="eastAsia"/>
        </w:rPr>
      </w:pPr>
      <w:r>
        <w:rPr>
          <w:rFonts w:hint="eastAsia"/>
        </w:rPr>
        <w:t>《天上的至高君王》赞誉</w:t>
      </w:r>
    </w:p>
    <w:p w14:paraId="487373B4">
      <w:pPr>
        <w:pStyle w:val="9"/>
        <w:spacing w:before="4"/>
        <w:ind w:left="0"/>
        <w:jc w:val="left"/>
        <w:rPr>
          <w:rFonts w:hint="eastAsia"/>
          <w:sz w:val="30"/>
          <w:szCs w:val="30"/>
        </w:rPr>
      </w:pPr>
    </w:p>
    <w:p w14:paraId="2A89E819">
      <w:pPr>
        <w:pStyle w:val="9"/>
        <w:spacing w:before="4"/>
        <w:ind w:left="0"/>
        <w:jc w:val="left"/>
        <w:rPr>
          <w:rFonts w:hint="eastAsia"/>
          <w:sz w:val="30"/>
          <w:szCs w:val="30"/>
        </w:rPr>
      </w:pPr>
      <w:r>
        <w:rPr>
          <w:rFonts w:hint="eastAsia"/>
          <w:sz w:val="30"/>
          <w:szCs w:val="30"/>
        </w:rPr>
        <w:t>In The High King of Heaven, Dean Davis gives us a long overdue systematic treatise on biblical eschatology.</w:t>
      </w:r>
    </w:p>
    <w:p w14:paraId="44209052">
      <w:pPr>
        <w:pStyle w:val="9"/>
        <w:spacing w:before="4"/>
        <w:ind w:left="0"/>
        <w:jc w:val="left"/>
        <w:rPr>
          <w:rFonts w:hint="eastAsia"/>
          <w:sz w:val="30"/>
          <w:szCs w:val="30"/>
        </w:rPr>
      </w:pPr>
    </w:p>
    <w:p w14:paraId="763D58C5">
      <w:pPr>
        <w:pStyle w:val="9"/>
        <w:spacing w:before="4"/>
        <w:ind w:left="0"/>
        <w:jc w:val="left"/>
        <w:rPr>
          <w:rFonts w:hint="eastAsia"/>
          <w:sz w:val="30"/>
          <w:szCs w:val="30"/>
        </w:rPr>
      </w:pPr>
      <w:r>
        <w:rPr>
          <w:rFonts w:hint="eastAsia"/>
          <w:sz w:val="30"/>
          <w:szCs w:val="30"/>
        </w:rPr>
        <w:t>在《天上的至高君王》一书中，迪恩·戴维斯为我们带来了一部期待已久的、关于圣经末世论的系统性专著。</w:t>
      </w:r>
    </w:p>
    <w:p w14:paraId="40E8D683">
      <w:pPr>
        <w:pStyle w:val="9"/>
        <w:spacing w:before="4"/>
        <w:ind w:left="0"/>
        <w:jc w:val="left"/>
        <w:rPr>
          <w:rFonts w:hint="eastAsia"/>
          <w:sz w:val="30"/>
          <w:szCs w:val="30"/>
        </w:rPr>
      </w:pPr>
    </w:p>
    <w:p w14:paraId="2FF154B5">
      <w:pPr>
        <w:pStyle w:val="9"/>
        <w:spacing w:before="4"/>
        <w:ind w:left="0"/>
        <w:jc w:val="left"/>
        <w:rPr>
          <w:rFonts w:hint="eastAsia"/>
          <w:sz w:val="30"/>
          <w:szCs w:val="30"/>
        </w:rPr>
      </w:pPr>
      <w:r>
        <w:rPr>
          <w:rFonts w:hint="eastAsia"/>
          <w:sz w:val="30"/>
          <w:szCs w:val="30"/>
        </w:rPr>
        <w:t>Leaving no stone unturned, he interacts with differing views as objectively as possible, challenging each one with the Word of God.</w:t>
      </w:r>
    </w:p>
    <w:p w14:paraId="69D1948B">
      <w:pPr>
        <w:pStyle w:val="9"/>
        <w:spacing w:before="4"/>
        <w:ind w:left="0"/>
        <w:jc w:val="left"/>
        <w:rPr>
          <w:rFonts w:hint="eastAsia"/>
          <w:sz w:val="30"/>
          <w:szCs w:val="30"/>
        </w:rPr>
      </w:pPr>
    </w:p>
    <w:p w14:paraId="3C1F0CF0">
      <w:pPr>
        <w:pStyle w:val="9"/>
        <w:spacing w:before="4"/>
        <w:ind w:left="0"/>
        <w:jc w:val="left"/>
        <w:rPr>
          <w:rFonts w:hint="eastAsia"/>
          <w:sz w:val="30"/>
          <w:szCs w:val="30"/>
        </w:rPr>
      </w:pPr>
      <w:r>
        <w:rPr>
          <w:rFonts w:hint="eastAsia"/>
          <w:sz w:val="30"/>
          <w:szCs w:val="30"/>
        </w:rPr>
        <w:t>他鉅细靡遗，尽可能客观地与其他不同观点互动，并用神的话语对每一种观点提出挑战。</w:t>
      </w:r>
    </w:p>
    <w:p w14:paraId="75A4C277">
      <w:pPr>
        <w:pStyle w:val="9"/>
        <w:spacing w:before="4"/>
        <w:ind w:left="0"/>
        <w:jc w:val="left"/>
        <w:rPr>
          <w:rFonts w:hint="eastAsia"/>
          <w:sz w:val="30"/>
          <w:szCs w:val="30"/>
        </w:rPr>
      </w:pPr>
    </w:p>
    <w:p w14:paraId="389AD09F">
      <w:pPr>
        <w:pStyle w:val="9"/>
        <w:spacing w:before="4"/>
        <w:ind w:left="0"/>
        <w:jc w:val="left"/>
        <w:rPr>
          <w:rFonts w:hint="eastAsia"/>
          <w:sz w:val="30"/>
          <w:szCs w:val="30"/>
        </w:rPr>
      </w:pPr>
      <w:r>
        <w:rPr>
          <w:rFonts w:hint="eastAsia"/>
          <w:sz w:val="30"/>
          <w:szCs w:val="30"/>
        </w:rPr>
        <w:t>While you may disagree with some of his conclusions, it will not be for a lack of Scriptural support.</w:t>
      </w:r>
    </w:p>
    <w:p w14:paraId="41F7EC47">
      <w:pPr>
        <w:pStyle w:val="9"/>
        <w:spacing w:before="4"/>
        <w:ind w:left="0"/>
        <w:jc w:val="left"/>
        <w:rPr>
          <w:rFonts w:hint="eastAsia"/>
          <w:sz w:val="30"/>
          <w:szCs w:val="30"/>
        </w:rPr>
      </w:pPr>
    </w:p>
    <w:p w14:paraId="68AC1E33">
      <w:pPr>
        <w:pStyle w:val="9"/>
        <w:spacing w:before="4"/>
        <w:ind w:left="0"/>
        <w:jc w:val="left"/>
        <w:rPr>
          <w:rFonts w:hint="eastAsia"/>
          <w:sz w:val="30"/>
          <w:szCs w:val="30"/>
        </w:rPr>
      </w:pPr>
      <w:r>
        <w:rPr>
          <w:rFonts w:hint="eastAsia"/>
          <w:sz w:val="30"/>
          <w:szCs w:val="30"/>
        </w:rPr>
        <w:t>尽管你可能不同意他的某些结论，但这绝非因为缺乏圣经的支持。</w:t>
      </w:r>
    </w:p>
    <w:p w14:paraId="45CF0453">
      <w:pPr>
        <w:pStyle w:val="9"/>
        <w:spacing w:before="4"/>
        <w:ind w:left="0"/>
        <w:jc w:val="left"/>
        <w:rPr>
          <w:rFonts w:hint="eastAsia"/>
          <w:sz w:val="30"/>
          <w:szCs w:val="30"/>
        </w:rPr>
      </w:pPr>
    </w:p>
    <w:p w14:paraId="3761551F">
      <w:pPr>
        <w:pStyle w:val="9"/>
        <w:spacing w:before="4"/>
        <w:ind w:left="0"/>
        <w:jc w:val="left"/>
        <w:rPr>
          <w:rFonts w:hint="eastAsia"/>
          <w:sz w:val="30"/>
          <w:szCs w:val="30"/>
        </w:rPr>
      </w:pPr>
      <w:r>
        <w:rPr>
          <w:rFonts w:hint="eastAsia"/>
          <w:sz w:val="30"/>
          <w:szCs w:val="30"/>
        </w:rPr>
        <w:t>Though I remain undecided in my own view of the last things, I am now better equipped to further my study of the Bible and to wrestle with the mechanics of our one sure hope regarding the end times: Christ's glorious return.</w:t>
      </w:r>
    </w:p>
    <w:p w14:paraId="708738E1">
      <w:pPr>
        <w:pStyle w:val="9"/>
        <w:spacing w:before="4"/>
        <w:ind w:left="0"/>
        <w:jc w:val="left"/>
        <w:rPr>
          <w:rFonts w:hint="eastAsia"/>
          <w:sz w:val="30"/>
          <w:szCs w:val="30"/>
        </w:rPr>
      </w:pPr>
    </w:p>
    <w:p w14:paraId="024A54BB">
      <w:pPr>
        <w:pStyle w:val="9"/>
        <w:spacing w:before="4"/>
        <w:ind w:left="0"/>
        <w:jc w:val="left"/>
        <w:rPr>
          <w:rFonts w:hint="eastAsia"/>
          <w:sz w:val="30"/>
          <w:szCs w:val="30"/>
        </w:rPr>
      </w:pPr>
      <w:r>
        <w:rPr>
          <w:rFonts w:hint="eastAsia"/>
          <w:sz w:val="30"/>
          <w:szCs w:val="30"/>
        </w:rPr>
        <w:t>虽然我自己对末后之事的看法尚未确定，但现在我已更有能力去进一步研究圣经，并深入探讨我们关于末世唯一确切盼望的内在机制：基督荣耀的再来。</w:t>
      </w:r>
    </w:p>
    <w:p w14:paraId="028551D0">
      <w:pPr>
        <w:pStyle w:val="9"/>
        <w:spacing w:before="4"/>
        <w:ind w:left="0"/>
        <w:jc w:val="left"/>
        <w:rPr>
          <w:rFonts w:hint="eastAsia"/>
          <w:sz w:val="30"/>
          <w:szCs w:val="30"/>
        </w:rPr>
      </w:pPr>
    </w:p>
    <w:p w14:paraId="684428D9">
      <w:pPr>
        <w:pStyle w:val="9"/>
        <w:spacing w:before="4"/>
        <w:ind w:left="0"/>
        <w:jc w:val="left"/>
        <w:rPr>
          <w:rFonts w:hint="eastAsia"/>
          <w:sz w:val="30"/>
          <w:szCs w:val="30"/>
        </w:rPr>
      </w:pPr>
      <w:r>
        <w:rPr>
          <w:rFonts w:hint="eastAsia"/>
          <w:sz w:val="30"/>
          <w:szCs w:val="30"/>
        </w:rPr>
        <w:t>Christendom is indebted to Dean Davis for The High King of Heaven.</w:t>
      </w:r>
    </w:p>
    <w:p w14:paraId="42DD4906">
      <w:pPr>
        <w:pStyle w:val="9"/>
        <w:spacing w:before="4"/>
        <w:ind w:left="0"/>
        <w:jc w:val="left"/>
        <w:rPr>
          <w:rFonts w:hint="eastAsia"/>
          <w:sz w:val="30"/>
          <w:szCs w:val="30"/>
        </w:rPr>
      </w:pPr>
    </w:p>
    <w:p w14:paraId="17EF88E5">
      <w:pPr>
        <w:pStyle w:val="9"/>
        <w:spacing w:before="4"/>
        <w:ind w:left="0"/>
        <w:jc w:val="left"/>
        <w:rPr>
          <w:rFonts w:hint="eastAsia"/>
          <w:sz w:val="30"/>
          <w:szCs w:val="30"/>
        </w:rPr>
      </w:pPr>
      <w:r>
        <w:rPr>
          <w:rFonts w:hint="eastAsia"/>
          <w:sz w:val="30"/>
          <w:szCs w:val="30"/>
        </w:rPr>
        <w:t>基督教世界因《天上的至高君王》而受惠于迪恩·戴维斯。</w:t>
      </w:r>
    </w:p>
    <w:p w14:paraId="6C3BED47">
      <w:pPr>
        <w:pStyle w:val="9"/>
        <w:spacing w:before="4"/>
        <w:ind w:left="0"/>
        <w:jc w:val="left"/>
        <w:rPr>
          <w:rFonts w:hint="eastAsia"/>
          <w:sz w:val="30"/>
          <w:szCs w:val="30"/>
        </w:rPr>
      </w:pPr>
    </w:p>
    <w:p w14:paraId="6CFB8065">
      <w:pPr>
        <w:pStyle w:val="9"/>
        <w:spacing w:before="4"/>
        <w:ind w:left="0"/>
        <w:jc w:val="left"/>
        <w:rPr>
          <w:rFonts w:hint="eastAsia"/>
          <w:sz w:val="30"/>
          <w:szCs w:val="30"/>
        </w:rPr>
      </w:pPr>
      <w:r>
        <w:rPr>
          <w:rFonts w:hint="eastAsia"/>
          <w:sz w:val="30"/>
          <w:szCs w:val="30"/>
        </w:rPr>
        <w:t>—Terry Delaney: Pastor, Union Baptist Church, Mexico, MO; Book Reviewer, ChristianBookNotes.com</w:t>
      </w:r>
    </w:p>
    <w:p w14:paraId="3929002F">
      <w:pPr>
        <w:pStyle w:val="9"/>
        <w:spacing w:before="4"/>
        <w:ind w:left="0"/>
        <w:jc w:val="left"/>
        <w:rPr>
          <w:rFonts w:hint="eastAsia"/>
          <w:sz w:val="30"/>
          <w:szCs w:val="30"/>
        </w:rPr>
      </w:pPr>
    </w:p>
    <w:p w14:paraId="4F593669">
      <w:pPr>
        <w:pStyle w:val="9"/>
        <w:spacing w:before="4"/>
        <w:ind w:left="0"/>
        <w:jc w:val="left"/>
        <w:rPr>
          <w:rFonts w:hint="eastAsia"/>
          <w:sz w:val="30"/>
          <w:szCs w:val="30"/>
        </w:rPr>
      </w:pPr>
      <w:r>
        <w:rPr>
          <w:rFonts w:hint="eastAsia"/>
          <w:sz w:val="30"/>
          <w:szCs w:val="30"/>
        </w:rPr>
        <w:t>——特里·迪兰尼：密苏里州墨西哥城联合浸信会牧师；ChristianBookNotes.com书评人</w:t>
      </w:r>
    </w:p>
    <w:p w14:paraId="023FD401">
      <w:pPr>
        <w:pStyle w:val="9"/>
        <w:spacing w:before="4"/>
        <w:ind w:left="0"/>
        <w:jc w:val="left"/>
        <w:rPr>
          <w:rFonts w:hint="eastAsia"/>
          <w:sz w:val="30"/>
          <w:szCs w:val="30"/>
        </w:rPr>
      </w:pPr>
    </w:p>
    <w:p w14:paraId="4D7A3E98">
      <w:pPr>
        <w:pStyle w:val="9"/>
        <w:spacing w:before="4"/>
        <w:ind w:left="0"/>
        <w:jc w:val="left"/>
        <w:rPr>
          <w:rFonts w:hint="eastAsia"/>
          <w:sz w:val="30"/>
          <w:szCs w:val="30"/>
        </w:rPr>
      </w:pPr>
      <w:r>
        <w:rPr>
          <w:rFonts w:hint="eastAsia"/>
          <w:sz w:val="30"/>
          <w:szCs w:val="30"/>
        </w:rPr>
        <w:t>The High King of Heaven provides the depth of a seminary level course with readability accessible to the layman.</w:t>
      </w:r>
    </w:p>
    <w:p w14:paraId="39FB368C">
      <w:pPr>
        <w:pStyle w:val="9"/>
        <w:spacing w:before="4"/>
        <w:ind w:left="0"/>
        <w:jc w:val="left"/>
        <w:rPr>
          <w:rFonts w:hint="eastAsia"/>
          <w:sz w:val="30"/>
          <w:szCs w:val="30"/>
        </w:rPr>
      </w:pPr>
    </w:p>
    <w:p w14:paraId="4755DF86">
      <w:pPr>
        <w:pStyle w:val="9"/>
        <w:spacing w:before="4"/>
        <w:ind w:left="0"/>
        <w:jc w:val="left"/>
        <w:rPr>
          <w:rFonts w:hint="eastAsia"/>
          <w:sz w:val="30"/>
          <w:szCs w:val="30"/>
        </w:rPr>
      </w:pPr>
      <w:r>
        <w:rPr>
          <w:rFonts w:hint="eastAsia"/>
          <w:sz w:val="30"/>
          <w:szCs w:val="30"/>
        </w:rPr>
        <w:t>《天上的至高君王》既有神学院课程的深度，又具备平信徒易于理解的可读性。</w:t>
      </w:r>
    </w:p>
    <w:p w14:paraId="79B18C6B">
      <w:pPr>
        <w:pStyle w:val="9"/>
        <w:spacing w:before="4"/>
        <w:ind w:left="0"/>
        <w:jc w:val="left"/>
        <w:rPr>
          <w:rFonts w:hint="eastAsia"/>
          <w:sz w:val="30"/>
          <w:szCs w:val="30"/>
        </w:rPr>
      </w:pPr>
    </w:p>
    <w:p w14:paraId="10D62493">
      <w:pPr>
        <w:pStyle w:val="9"/>
        <w:spacing w:before="4"/>
        <w:ind w:left="0"/>
        <w:jc w:val="left"/>
        <w:rPr>
          <w:rFonts w:hint="eastAsia"/>
          <w:sz w:val="30"/>
          <w:szCs w:val="30"/>
        </w:rPr>
      </w:pPr>
      <w:r>
        <w:rPr>
          <w:rFonts w:hint="eastAsia"/>
          <w:sz w:val="30"/>
          <w:szCs w:val="30"/>
        </w:rPr>
        <w:t>Dean helps bring you into the evangelical debate about the end times while advocating for the amillennial position in a way that makes sense of the divine drama of redemption portrayed in Scripture.</w:t>
      </w:r>
    </w:p>
    <w:p w14:paraId="21CC6768">
      <w:pPr>
        <w:pStyle w:val="9"/>
        <w:spacing w:before="4"/>
        <w:ind w:left="0"/>
        <w:jc w:val="left"/>
        <w:rPr>
          <w:rFonts w:hint="eastAsia"/>
          <w:sz w:val="30"/>
          <w:szCs w:val="30"/>
        </w:rPr>
      </w:pPr>
    </w:p>
    <w:p w14:paraId="39EBE472">
      <w:pPr>
        <w:pStyle w:val="9"/>
        <w:spacing w:before="4"/>
        <w:ind w:left="0"/>
        <w:jc w:val="left"/>
        <w:rPr>
          <w:rFonts w:hint="eastAsia"/>
          <w:sz w:val="30"/>
          <w:szCs w:val="30"/>
        </w:rPr>
      </w:pPr>
      <w:r>
        <w:rPr>
          <w:rFonts w:hint="eastAsia"/>
          <w:sz w:val="30"/>
          <w:szCs w:val="30"/>
        </w:rPr>
        <w:t>迪恩引导你进入关于末世的福音派辩论中，同时他所倡导的无千禧年立场，能够合理地阐释圣经中所描绘的救赎神圣戏剧。</w:t>
      </w:r>
    </w:p>
    <w:p w14:paraId="14E10FD9">
      <w:pPr>
        <w:pStyle w:val="9"/>
        <w:spacing w:before="4"/>
        <w:ind w:left="0"/>
        <w:jc w:val="left"/>
        <w:rPr>
          <w:rFonts w:hint="eastAsia"/>
          <w:sz w:val="30"/>
          <w:szCs w:val="30"/>
        </w:rPr>
      </w:pPr>
    </w:p>
    <w:p w14:paraId="338CEBC5">
      <w:pPr>
        <w:pStyle w:val="9"/>
        <w:spacing w:before="4"/>
        <w:ind w:left="0"/>
        <w:jc w:val="left"/>
        <w:rPr>
          <w:rFonts w:hint="eastAsia"/>
          <w:sz w:val="30"/>
          <w:szCs w:val="30"/>
        </w:rPr>
      </w:pPr>
      <w:r>
        <w:rPr>
          <w:rFonts w:hint="eastAsia"/>
          <w:sz w:val="30"/>
          <w:szCs w:val="30"/>
        </w:rPr>
        <w:t>Furthermore, he helps the reader better learn how to read the Bible and recognize these truths in the Word.</w:t>
      </w:r>
    </w:p>
    <w:p w14:paraId="62FEFA39">
      <w:pPr>
        <w:pStyle w:val="9"/>
        <w:spacing w:before="4"/>
        <w:ind w:left="0"/>
        <w:jc w:val="left"/>
        <w:rPr>
          <w:rFonts w:hint="eastAsia"/>
          <w:sz w:val="30"/>
          <w:szCs w:val="30"/>
        </w:rPr>
      </w:pPr>
    </w:p>
    <w:p w14:paraId="0C0023B7">
      <w:pPr>
        <w:pStyle w:val="9"/>
        <w:spacing w:before="4"/>
        <w:ind w:left="0"/>
        <w:jc w:val="left"/>
        <w:rPr>
          <w:rFonts w:hint="eastAsia"/>
          <w:sz w:val="30"/>
          <w:szCs w:val="30"/>
        </w:rPr>
      </w:pPr>
      <w:r>
        <w:rPr>
          <w:rFonts w:hint="eastAsia"/>
          <w:sz w:val="30"/>
          <w:szCs w:val="30"/>
        </w:rPr>
        <w:t>此外，他帮助读者更好地学习如何阅读圣经，并在神的话语中认识到这些真理。</w:t>
      </w:r>
    </w:p>
    <w:p w14:paraId="78B1D8C4">
      <w:pPr>
        <w:pStyle w:val="9"/>
        <w:spacing w:before="4"/>
        <w:ind w:left="0"/>
        <w:jc w:val="left"/>
        <w:rPr>
          <w:rFonts w:hint="eastAsia"/>
          <w:sz w:val="30"/>
          <w:szCs w:val="30"/>
        </w:rPr>
      </w:pPr>
    </w:p>
    <w:p w14:paraId="2D2ECDC7">
      <w:pPr>
        <w:pStyle w:val="9"/>
        <w:spacing w:before="4"/>
        <w:ind w:left="0"/>
        <w:jc w:val="left"/>
        <w:rPr>
          <w:rFonts w:hint="eastAsia"/>
          <w:sz w:val="30"/>
          <w:szCs w:val="30"/>
        </w:rPr>
      </w:pPr>
      <w:r>
        <w:rPr>
          <w:rFonts w:hint="eastAsia"/>
          <w:sz w:val="30"/>
          <w:szCs w:val="30"/>
        </w:rPr>
        <w:t>Through it all, he confronts alternative interpretations boldly but charitably.</w:t>
      </w:r>
    </w:p>
    <w:p w14:paraId="33E38088">
      <w:pPr>
        <w:pStyle w:val="9"/>
        <w:spacing w:before="4"/>
        <w:ind w:left="0"/>
        <w:jc w:val="left"/>
        <w:rPr>
          <w:rFonts w:hint="eastAsia"/>
          <w:sz w:val="30"/>
          <w:szCs w:val="30"/>
        </w:rPr>
      </w:pPr>
    </w:p>
    <w:p w14:paraId="610482CB">
      <w:pPr>
        <w:pStyle w:val="9"/>
        <w:spacing w:before="4"/>
        <w:ind w:left="0"/>
        <w:jc w:val="left"/>
        <w:rPr>
          <w:rFonts w:hint="eastAsia"/>
          <w:sz w:val="30"/>
          <w:szCs w:val="30"/>
        </w:rPr>
      </w:pPr>
      <w:r>
        <w:rPr>
          <w:rFonts w:hint="eastAsia"/>
          <w:sz w:val="30"/>
          <w:szCs w:val="30"/>
        </w:rPr>
        <w:t>自始至终，他都勇敢而又宽厚地面对不同的解释。</w:t>
      </w:r>
    </w:p>
    <w:p w14:paraId="609A7821">
      <w:pPr>
        <w:pStyle w:val="9"/>
        <w:spacing w:before="4"/>
        <w:ind w:left="0"/>
        <w:jc w:val="left"/>
        <w:rPr>
          <w:rFonts w:hint="eastAsia"/>
          <w:sz w:val="30"/>
          <w:szCs w:val="30"/>
        </w:rPr>
      </w:pPr>
    </w:p>
    <w:p w14:paraId="6118FCA3">
      <w:pPr>
        <w:pStyle w:val="9"/>
        <w:spacing w:before="4"/>
        <w:ind w:left="0"/>
        <w:jc w:val="left"/>
        <w:rPr>
          <w:rFonts w:hint="eastAsia"/>
          <w:sz w:val="30"/>
          <w:szCs w:val="30"/>
        </w:rPr>
      </w:pPr>
      <w:r>
        <w:rPr>
          <w:rFonts w:hint="eastAsia"/>
          <w:sz w:val="30"/>
          <w:szCs w:val="30"/>
        </w:rPr>
        <w:t>—Reid Hankins: Pastor, Trinity Orthodox Presbyterian Church, Novato, CA.</w:t>
      </w:r>
    </w:p>
    <w:p w14:paraId="7C5DAA74">
      <w:pPr>
        <w:pStyle w:val="9"/>
        <w:spacing w:before="4"/>
        <w:ind w:left="0"/>
        <w:jc w:val="left"/>
        <w:rPr>
          <w:rFonts w:hint="eastAsia"/>
          <w:sz w:val="30"/>
          <w:szCs w:val="30"/>
        </w:rPr>
      </w:pPr>
    </w:p>
    <w:p w14:paraId="2727F68C">
      <w:pPr>
        <w:pStyle w:val="9"/>
        <w:spacing w:before="4"/>
        <w:ind w:left="0"/>
        <w:jc w:val="left"/>
        <w:rPr>
          <w:rFonts w:hint="eastAsia"/>
          <w:sz w:val="30"/>
          <w:szCs w:val="30"/>
        </w:rPr>
      </w:pPr>
      <w:r>
        <w:rPr>
          <w:rFonts w:hint="eastAsia"/>
          <w:sz w:val="30"/>
          <w:szCs w:val="30"/>
        </w:rPr>
        <w:t>——里德·汉金斯：加利福尼亚州诺瓦托三一正统长老会牧师。</w:t>
      </w:r>
    </w:p>
    <w:p w14:paraId="41804DFA">
      <w:pPr>
        <w:pStyle w:val="9"/>
        <w:spacing w:before="4"/>
        <w:ind w:left="0"/>
        <w:jc w:val="left"/>
        <w:rPr>
          <w:rFonts w:hint="eastAsia"/>
          <w:sz w:val="30"/>
          <w:szCs w:val="30"/>
        </w:rPr>
      </w:pPr>
    </w:p>
    <w:p w14:paraId="48997A5E">
      <w:pPr>
        <w:pStyle w:val="9"/>
        <w:spacing w:before="4"/>
        <w:ind w:left="0"/>
        <w:jc w:val="left"/>
        <w:rPr>
          <w:rFonts w:hint="eastAsia"/>
          <w:sz w:val="30"/>
          <w:szCs w:val="30"/>
        </w:rPr>
      </w:pPr>
      <w:r>
        <w:rPr>
          <w:rFonts w:hint="eastAsia"/>
          <w:sz w:val="30"/>
          <w:szCs w:val="30"/>
        </w:rPr>
        <w:t>In The High King of Heaven, Dean Davis has provided us with a tremendous resource for wrestling through the biblical texts most directly speaking to eschatology.</w:t>
      </w:r>
    </w:p>
    <w:p w14:paraId="556995BF">
      <w:pPr>
        <w:pStyle w:val="9"/>
        <w:spacing w:before="4"/>
        <w:ind w:left="0"/>
        <w:jc w:val="left"/>
        <w:rPr>
          <w:rFonts w:hint="eastAsia"/>
          <w:sz w:val="30"/>
          <w:szCs w:val="30"/>
        </w:rPr>
      </w:pPr>
    </w:p>
    <w:p w14:paraId="75E6FEA9">
      <w:pPr>
        <w:pStyle w:val="9"/>
        <w:spacing w:before="4"/>
        <w:ind w:left="0"/>
        <w:jc w:val="left"/>
        <w:rPr>
          <w:rFonts w:hint="eastAsia"/>
          <w:sz w:val="30"/>
          <w:szCs w:val="30"/>
        </w:rPr>
      </w:pPr>
      <w:r>
        <w:rPr>
          <w:rFonts w:hint="eastAsia"/>
          <w:sz w:val="30"/>
          <w:szCs w:val="30"/>
        </w:rPr>
        <w:t>在《天上的至高君王》一书中，迪恩·戴维斯为我们提供了一个极佳的资源，用以深入研究那些最直接论及末世论的圣经文本。</w:t>
      </w:r>
    </w:p>
    <w:p w14:paraId="3D6CD6E7">
      <w:pPr>
        <w:pStyle w:val="9"/>
        <w:spacing w:before="4"/>
        <w:ind w:left="0"/>
        <w:jc w:val="left"/>
        <w:rPr>
          <w:rFonts w:hint="eastAsia"/>
          <w:sz w:val="30"/>
          <w:szCs w:val="30"/>
        </w:rPr>
      </w:pPr>
    </w:p>
    <w:p w14:paraId="7CD81136">
      <w:pPr>
        <w:pStyle w:val="9"/>
        <w:spacing w:before="4"/>
        <w:ind w:left="0"/>
        <w:jc w:val="left"/>
        <w:rPr>
          <w:rFonts w:hint="eastAsia"/>
          <w:sz w:val="30"/>
          <w:szCs w:val="30"/>
        </w:rPr>
      </w:pPr>
      <w:r>
        <w:rPr>
          <w:rFonts w:hint="eastAsia"/>
          <w:sz w:val="30"/>
          <w:szCs w:val="30"/>
        </w:rPr>
        <w:t>Any thoughtful reader will find this work deeply edifying, regardless of whether you agree with all of the conclusions put forward.</w:t>
      </w:r>
    </w:p>
    <w:p w14:paraId="3746F42C">
      <w:pPr>
        <w:pStyle w:val="9"/>
        <w:spacing w:before="4"/>
        <w:ind w:left="0"/>
        <w:jc w:val="left"/>
        <w:rPr>
          <w:rFonts w:hint="eastAsia"/>
          <w:sz w:val="30"/>
          <w:szCs w:val="30"/>
        </w:rPr>
      </w:pPr>
    </w:p>
    <w:p w14:paraId="5808AF45">
      <w:pPr>
        <w:pStyle w:val="9"/>
        <w:spacing w:before="4"/>
        <w:ind w:left="0"/>
        <w:jc w:val="left"/>
        <w:rPr>
          <w:rFonts w:hint="eastAsia"/>
          <w:sz w:val="30"/>
          <w:szCs w:val="30"/>
        </w:rPr>
      </w:pPr>
      <w:r>
        <w:rPr>
          <w:rFonts w:hint="eastAsia"/>
          <w:sz w:val="30"/>
          <w:szCs w:val="30"/>
        </w:rPr>
        <w:t>任何有思想的读者都会发现这部著作能深深地造就人，无论你是否同意其中提出的所有结论。</w:t>
      </w:r>
    </w:p>
    <w:p w14:paraId="150E65B8">
      <w:pPr>
        <w:pStyle w:val="9"/>
        <w:spacing w:before="4"/>
        <w:ind w:left="0"/>
        <w:jc w:val="left"/>
        <w:rPr>
          <w:rFonts w:hint="eastAsia"/>
          <w:sz w:val="30"/>
          <w:szCs w:val="30"/>
        </w:rPr>
      </w:pPr>
    </w:p>
    <w:p w14:paraId="1D665FDA">
      <w:pPr>
        <w:pStyle w:val="9"/>
        <w:spacing w:before="4"/>
        <w:ind w:left="0"/>
        <w:jc w:val="left"/>
        <w:rPr>
          <w:rFonts w:hint="eastAsia"/>
          <w:sz w:val="30"/>
          <w:szCs w:val="30"/>
        </w:rPr>
      </w:pPr>
      <w:r>
        <w:rPr>
          <w:rFonts w:hint="eastAsia"/>
          <w:sz w:val="30"/>
          <w:szCs w:val="30"/>
        </w:rPr>
        <w:t>Much could be said about the scholarship and thoughtfulness of the text.</w:t>
      </w:r>
    </w:p>
    <w:p w14:paraId="67587D94">
      <w:pPr>
        <w:pStyle w:val="9"/>
        <w:spacing w:before="4"/>
        <w:ind w:left="0"/>
        <w:jc w:val="left"/>
        <w:rPr>
          <w:rFonts w:hint="eastAsia"/>
          <w:sz w:val="30"/>
          <w:szCs w:val="30"/>
        </w:rPr>
      </w:pPr>
    </w:p>
    <w:p w14:paraId="2FC85AA4">
      <w:pPr>
        <w:pStyle w:val="9"/>
        <w:spacing w:before="4"/>
        <w:ind w:left="0"/>
        <w:jc w:val="left"/>
        <w:rPr>
          <w:rFonts w:hint="eastAsia"/>
          <w:sz w:val="30"/>
          <w:szCs w:val="30"/>
        </w:rPr>
      </w:pPr>
      <w:r>
        <w:rPr>
          <w:rFonts w:hint="eastAsia"/>
          <w:sz w:val="30"/>
          <w:szCs w:val="30"/>
        </w:rPr>
        <w:t>关于本书的学术性和思想性，有很多值得称道之处。</w:t>
      </w:r>
    </w:p>
    <w:p w14:paraId="226094DF">
      <w:pPr>
        <w:pStyle w:val="9"/>
        <w:spacing w:before="4"/>
        <w:ind w:left="0"/>
        <w:jc w:val="left"/>
        <w:rPr>
          <w:rFonts w:hint="eastAsia"/>
          <w:sz w:val="30"/>
          <w:szCs w:val="30"/>
        </w:rPr>
      </w:pPr>
    </w:p>
    <w:p w14:paraId="638719B5">
      <w:pPr>
        <w:pStyle w:val="9"/>
        <w:spacing w:before="4"/>
        <w:ind w:left="0"/>
        <w:jc w:val="left"/>
        <w:rPr>
          <w:rFonts w:hint="eastAsia"/>
          <w:sz w:val="30"/>
          <w:szCs w:val="30"/>
        </w:rPr>
      </w:pPr>
      <w:r>
        <w:rPr>
          <w:rFonts w:hint="eastAsia"/>
          <w:sz w:val="30"/>
          <w:szCs w:val="30"/>
        </w:rPr>
        <w:t>Also, as the title shows, Dean's heart passion for Jesus Christ to be glorified, and his deep love of God’s Word, cannot be missed when reading this book.</w:t>
      </w:r>
    </w:p>
    <w:p w14:paraId="0DD095BA">
      <w:pPr>
        <w:pStyle w:val="9"/>
        <w:spacing w:before="4"/>
        <w:ind w:left="0"/>
        <w:jc w:val="left"/>
        <w:rPr>
          <w:rFonts w:hint="eastAsia"/>
          <w:sz w:val="30"/>
          <w:szCs w:val="30"/>
        </w:rPr>
      </w:pPr>
    </w:p>
    <w:p w14:paraId="1D9A8D0D">
      <w:pPr>
        <w:pStyle w:val="9"/>
        <w:spacing w:before="4"/>
        <w:ind w:left="0"/>
        <w:jc w:val="left"/>
        <w:rPr>
          <w:rFonts w:hint="eastAsia"/>
          <w:sz w:val="30"/>
          <w:szCs w:val="30"/>
        </w:rPr>
      </w:pPr>
      <w:r>
        <w:rPr>
          <w:rFonts w:hint="eastAsia"/>
          <w:sz w:val="30"/>
          <w:szCs w:val="30"/>
        </w:rPr>
        <w:t>此外，正如书名所示，在阅读此书时，你绝不会错过迪恩内心对耶稣基督得荣耀的热切渴慕，以及他对神话语的深爱。</w:t>
      </w:r>
    </w:p>
    <w:p w14:paraId="677C04D2">
      <w:pPr>
        <w:pStyle w:val="9"/>
        <w:spacing w:before="4"/>
        <w:ind w:left="0"/>
        <w:jc w:val="left"/>
        <w:rPr>
          <w:rFonts w:hint="eastAsia"/>
          <w:sz w:val="30"/>
          <w:szCs w:val="30"/>
        </w:rPr>
      </w:pPr>
    </w:p>
    <w:p w14:paraId="23861BE9">
      <w:pPr>
        <w:pStyle w:val="9"/>
        <w:spacing w:before="4"/>
        <w:ind w:left="0"/>
        <w:jc w:val="left"/>
        <w:rPr>
          <w:rFonts w:hint="eastAsia"/>
          <w:sz w:val="30"/>
          <w:szCs w:val="30"/>
        </w:rPr>
      </w:pPr>
      <w:r>
        <w:rPr>
          <w:rFonts w:hint="eastAsia"/>
          <w:sz w:val="30"/>
          <w:szCs w:val="30"/>
        </w:rPr>
        <w:t>For this reason, I will regularly reference The High King of Heaven in my own study and will encourage others to do the same.</w:t>
      </w:r>
    </w:p>
    <w:p w14:paraId="261CC2C5">
      <w:pPr>
        <w:pStyle w:val="9"/>
        <w:spacing w:before="4"/>
        <w:ind w:left="0"/>
        <w:jc w:val="left"/>
        <w:rPr>
          <w:rFonts w:hint="eastAsia"/>
          <w:sz w:val="30"/>
          <w:szCs w:val="30"/>
        </w:rPr>
      </w:pPr>
    </w:p>
    <w:p w14:paraId="554F414C">
      <w:pPr>
        <w:pStyle w:val="9"/>
        <w:spacing w:before="4"/>
        <w:ind w:left="0"/>
        <w:jc w:val="left"/>
        <w:rPr>
          <w:rFonts w:hint="eastAsia"/>
          <w:sz w:val="30"/>
          <w:szCs w:val="30"/>
        </w:rPr>
      </w:pPr>
      <w:r>
        <w:rPr>
          <w:rFonts w:hint="eastAsia"/>
          <w:sz w:val="30"/>
          <w:szCs w:val="30"/>
        </w:rPr>
        <w:t>因此，在我自己的研究中，我会经常参考《天上的至高君王》，并会鼓励他人也这样做。</w:t>
      </w:r>
    </w:p>
    <w:p w14:paraId="3F5777A8">
      <w:pPr>
        <w:pStyle w:val="9"/>
        <w:spacing w:before="4"/>
        <w:ind w:left="0"/>
        <w:jc w:val="left"/>
        <w:rPr>
          <w:rFonts w:hint="eastAsia"/>
          <w:sz w:val="30"/>
          <w:szCs w:val="30"/>
        </w:rPr>
      </w:pPr>
    </w:p>
    <w:p w14:paraId="180B79CC">
      <w:pPr>
        <w:pStyle w:val="9"/>
        <w:spacing w:before="4"/>
        <w:ind w:left="0"/>
        <w:jc w:val="left"/>
        <w:rPr>
          <w:rFonts w:hint="eastAsia"/>
          <w:sz w:val="30"/>
          <w:szCs w:val="30"/>
        </w:rPr>
      </w:pPr>
      <w:r>
        <w:rPr>
          <w:rFonts w:hint="eastAsia"/>
          <w:sz w:val="30"/>
          <w:szCs w:val="30"/>
        </w:rPr>
        <w:t>—Adam Peacocke: Pastor, City Life Fellowship, Santa Rosa, CA.</w:t>
      </w:r>
    </w:p>
    <w:p w14:paraId="3FCB7F06">
      <w:pPr>
        <w:pStyle w:val="9"/>
        <w:spacing w:before="4"/>
        <w:ind w:left="0"/>
        <w:jc w:val="left"/>
        <w:rPr>
          <w:rFonts w:hint="eastAsia"/>
          <w:sz w:val="30"/>
          <w:szCs w:val="30"/>
        </w:rPr>
      </w:pPr>
    </w:p>
    <w:p w14:paraId="0A1925F6">
      <w:pPr>
        <w:pStyle w:val="9"/>
        <w:spacing w:before="4"/>
        <w:ind w:left="0"/>
        <w:jc w:val="left"/>
        <w:rPr>
          <w:rFonts w:hint="eastAsia"/>
          <w:sz w:val="30"/>
          <w:szCs w:val="30"/>
        </w:rPr>
      </w:pPr>
      <w:r>
        <w:rPr>
          <w:rFonts w:hint="eastAsia"/>
          <w:sz w:val="30"/>
          <w:szCs w:val="30"/>
        </w:rPr>
        <w:t>——亚当·皮科克：加利福尼亚州圣罗莎城市生活团契牧师。</w:t>
      </w:r>
    </w:p>
    <w:p w14:paraId="5621EF79">
      <w:pPr>
        <w:pStyle w:val="9"/>
        <w:spacing w:before="4"/>
        <w:ind w:left="0"/>
        <w:jc w:val="left"/>
        <w:rPr>
          <w:rFonts w:hint="eastAsia"/>
          <w:sz w:val="30"/>
          <w:szCs w:val="30"/>
        </w:rPr>
      </w:pPr>
    </w:p>
    <w:p w14:paraId="4F475BB3">
      <w:pPr>
        <w:pStyle w:val="9"/>
        <w:spacing w:before="4"/>
        <w:ind w:left="0"/>
        <w:jc w:val="left"/>
        <w:rPr>
          <w:rFonts w:hint="eastAsia"/>
          <w:sz w:val="30"/>
          <w:szCs w:val="30"/>
        </w:rPr>
      </w:pPr>
      <w:r>
        <w:rPr>
          <w:rFonts w:hint="eastAsia"/>
          <w:sz w:val="30"/>
          <w:szCs w:val="30"/>
        </w:rPr>
        <w:t>Dean Davis' book, The High King of Heaven, is as clear a presentation of the amillennial eschatological view as I've ever come across.</w:t>
      </w:r>
    </w:p>
    <w:p w14:paraId="1E05C810">
      <w:pPr>
        <w:pStyle w:val="9"/>
        <w:spacing w:before="4"/>
        <w:ind w:left="0"/>
        <w:jc w:val="left"/>
        <w:rPr>
          <w:rFonts w:hint="eastAsia"/>
          <w:sz w:val="30"/>
          <w:szCs w:val="30"/>
        </w:rPr>
      </w:pPr>
    </w:p>
    <w:p w14:paraId="78C59893">
      <w:pPr>
        <w:pStyle w:val="9"/>
        <w:spacing w:before="4"/>
        <w:ind w:left="0"/>
        <w:jc w:val="left"/>
        <w:rPr>
          <w:rFonts w:hint="eastAsia"/>
          <w:sz w:val="30"/>
          <w:szCs w:val="30"/>
        </w:rPr>
      </w:pPr>
      <w:r>
        <w:rPr>
          <w:rFonts w:hint="eastAsia"/>
          <w:sz w:val="30"/>
          <w:szCs w:val="30"/>
        </w:rPr>
        <w:t>迪恩·戴维斯的著作《天上的至高君王》，是我所见过的对无千禧年末世论观点最清晰的阐述。</w:t>
      </w:r>
    </w:p>
    <w:p w14:paraId="20A0560B">
      <w:pPr>
        <w:pStyle w:val="9"/>
        <w:spacing w:before="4"/>
        <w:ind w:left="0"/>
        <w:jc w:val="left"/>
        <w:rPr>
          <w:rFonts w:hint="eastAsia"/>
          <w:sz w:val="30"/>
          <w:szCs w:val="30"/>
        </w:rPr>
      </w:pPr>
    </w:p>
    <w:p w14:paraId="34464E53">
      <w:pPr>
        <w:pStyle w:val="9"/>
        <w:spacing w:before="4"/>
        <w:ind w:left="0"/>
        <w:jc w:val="left"/>
        <w:rPr>
          <w:rFonts w:hint="eastAsia"/>
          <w:sz w:val="30"/>
          <w:szCs w:val="30"/>
        </w:rPr>
      </w:pPr>
      <w:r>
        <w:rPr>
          <w:rFonts w:hint="eastAsia"/>
          <w:sz w:val="30"/>
          <w:szCs w:val="30"/>
        </w:rPr>
        <w:t>While he ably defends his own view from Scripture, he always deals fairly and charitably with opposing positions.</w:t>
      </w:r>
    </w:p>
    <w:p w14:paraId="7198C4E9">
      <w:pPr>
        <w:pStyle w:val="9"/>
        <w:spacing w:before="4"/>
        <w:ind w:left="0"/>
        <w:jc w:val="left"/>
        <w:rPr>
          <w:rFonts w:hint="eastAsia"/>
          <w:sz w:val="30"/>
          <w:szCs w:val="30"/>
        </w:rPr>
      </w:pPr>
    </w:p>
    <w:p w14:paraId="13192BA8">
      <w:pPr>
        <w:pStyle w:val="9"/>
        <w:spacing w:before="4"/>
        <w:ind w:left="0"/>
        <w:jc w:val="left"/>
        <w:rPr>
          <w:rFonts w:hint="eastAsia"/>
          <w:sz w:val="30"/>
          <w:szCs w:val="30"/>
        </w:rPr>
      </w:pPr>
      <w:r>
        <w:rPr>
          <w:rFonts w:hint="eastAsia"/>
          <w:sz w:val="30"/>
          <w:szCs w:val="30"/>
        </w:rPr>
        <w:t>他一方面用圣经有力地捍卫自己的观点，另一方面总是公平而宽厚地对待对立的立场。</w:t>
      </w:r>
    </w:p>
    <w:p w14:paraId="2E0164E0">
      <w:pPr>
        <w:pStyle w:val="9"/>
        <w:spacing w:before="4"/>
        <w:ind w:left="0"/>
        <w:jc w:val="left"/>
        <w:rPr>
          <w:rFonts w:hint="eastAsia"/>
          <w:sz w:val="30"/>
          <w:szCs w:val="30"/>
        </w:rPr>
      </w:pPr>
    </w:p>
    <w:p w14:paraId="6C29F3D2">
      <w:pPr>
        <w:pStyle w:val="9"/>
        <w:spacing w:before="4"/>
        <w:ind w:left="0"/>
        <w:jc w:val="left"/>
        <w:rPr>
          <w:rFonts w:hint="eastAsia"/>
          <w:sz w:val="30"/>
          <w:szCs w:val="30"/>
        </w:rPr>
      </w:pPr>
      <w:r>
        <w:rPr>
          <w:rFonts w:hint="eastAsia"/>
          <w:sz w:val="30"/>
          <w:szCs w:val="30"/>
        </w:rPr>
        <w:t>In a day and age when many young church leaders find it acceptable to remain noncommittal on issues surrounding the "last things," Davis makes a powerful case for the consistent exegesis of the biblical text, and pleads with us regarding the critical implications of viewing Jesus in the fullness of who He has revealed Himself to be… the High King of Heaven.</w:t>
      </w:r>
    </w:p>
    <w:p w14:paraId="022C4756">
      <w:pPr>
        <w:pStyle w:val="9"/>
        <w:spacing w:before="4"/>
        <w:ind w:left="0"/>
        <w:jc w:val="left"/>
        <w:rPr>
          <w:rFonts w:hint="eastAsia"/>
          <w:sz w:val="30"/>
          <w:szCs w:val="30"/>
        </w:rPr>
      </w:pPr>
    </w:p>
    <w:p w14:paraId="14D2EBF4">
      <w:pPr>
        <w:pStyle w:val="9"/>
        <w:spacing w:before="4"/>
        <w:ind w:left="0"/>
        <w:jc w:val="left"/>
        <w:rPr>
          <w:rFonts w:hint="eastAsia"/>
          <w:sz w:val="30"/>
          <w:szCs w:val="30"/>
        </w:rPr>
      </w:pPr>
      <w:r>
        <w:rPr>
          <w:rFonts w:hint="eastAsia"/>
          <w:sz w:val="30"/>
          <w:szCs w:val="30"/>
        </w:rPr>
        <w:t>在这个时代，许多年轻的教会领袖认为在围绕“末后之事”的问题上保持不置可否的态度是可以接受的，而戴维斯则为圣经文本的融贯释经提出了强有力的论证，并就我们将耶稣视为祂所启示的祂自己的完满身份——天上的至高君王——这一认识的重大意义向我们发出恳请。</w:t>
      </w:r>
    </w:p>
    <w:p w14:paraId="3918D436">
      <w:pPr>
        <w:pStyle w:val="9"/>
        <w:spacing w:before="4"/>
        <w:ind w:left="0"/>
        <w:jc w:val="left"/>
        <w:rPr>
          <w:rFonts w:hint="eastAsia"/>
          <w:sz w:val="30"/>
          <w:szCs w:val="30"/>
        </w:rPr>
      </w:pPr>
    </w:p>
    <w:p w14:paraId="71586F04">
      <w:pPr>
        <w:pStyle w:val="9"/>
        <w:spacing w:before="4"/>
        <w:ind w:left="0"/>
        <w:jc w:val="left"/>
        <w:rPr>
          <w:rFonts w:hint="eastAsia"/>
          <w:sz w:val="30"/>
          <w:szCs w:val="30"/>
        </w:rPr>
      </w:pPr>
      <w:r>
        <w:rPr>
          <w:rFonts w:hint="eastAsia"/>
          <w:sz w:val="30"/>
          <w:szCs w:val="30"/>
        </w:rPr>
        <w:t>—Stephen Saucier: MA. Biblical Exegesis and Linguistics, Dallas Theological Seminary</w:t>
      </w:r>
    </w:p>
    <w:p w14:paraId="0A2405A1">
      <w:pPr>
        <w:pStyle w:val="9"/>
        <w:spacing w:before="4"/>
        <w:ind w:left="0"/>
        <w:jc w:val="left"/>
        <w:rPr>
          <w:rFonts w:hint="eastAsia"/>
          <w:sz w:val="30"/>
          <w:szCs w:val="30"/>
        </w:rPr>
      </w:pPr>
    </w:p>
    <w:p w14:paraId="34BE965A">
      <w:pPr>
        <w:pStyle w:val="9"/>
        <w:spacing w:before="4"/>
        <w:ind w:left="0"/>
        <w:jc w:val="left"/>
        <w:rPr>
          <w:rFonts w:hint="eastAsia"/>
          <w:sz w:val="30"/>
          <w:szCs w:val="30"/>
        </w:rPr>
      </w:pPr>
      <w:r>
        <w:rPr>
          <w:rFonts w:hint="eastAsia"/>
          <w:sz w:val="30"/>
          <w:szCs w:val="30"/>
        </w:rPr>
        <w:t>——斯蒂芬·索西尔：达拉斯神学院圣经释经与语言学硕士</w:t>
      </w:r>
    </w:p>
    <w:p w14:paraId="2AC8A196">
      <w:pPr>
        <w:pStyle w:val="9"/>
        <w:spacing w:before="4"/>
        <w:ind w:left="0"/>
        <w:jc w:val="left"/>
        <w:rPr>
          <w:rFonts w:hint="eastAsia"/>
          <w:sz w:val="30"/>
          <w:szCs w:val="30"/>
        </w:rPr>
      </w:pPr>
    </w:p>
    <w:p w14:paraId="43FCD98E">
      <w:pPr>
        <w:pStyle w:val="9"/>
        <w:spacing w:before="4"/>
        <w:ind w:left="0"/>
        <w:jc w:val="left"/>
        <w:rPr>
          <w:rFonts w:hint="eastAsia"/>
          <w:sz w:val="30"/>
          <w:szCs w:val="30"/>
        </w:rPr>
      </w:pPr>
      <w:r>
        <w:rPr>
          <w:rFonts w:hint="eastAsia"/>
          <w:sz w:val="30"/>
          <w:szCs w:val="30"/>
        </w:rPr>
        <w:t>The High King of Heaven, by Dean Davis, is the most sweeping and comprehensive book on eschatology that I’ve ever encountered.</w:t>
      </w:r>
    </w:p>
    <w:p w14:paraId="6E067392">
      <w:pPr>
        <w:pStyle w:val="9"/>
        <w:spacing w:before="4"/>
        <w:ind w:left="0"/>
        <w:jc w:val="left"/>
        <w:rPr>
          <w:rFonts w:hint="eastAsia"/>
          <w:sz w:val="30"/>
          <w:szCs w:val="30"/>
        </w:rPr>
      </w:pPr>
    </w:p>
    <w:p w14:paraId="3A71B056">
      <w:pPr>
        <w:pStyle w:val="9"/>
        <w:spacing w:before="4"/>
        <w:ind w:left="0"/>
        <w:jc w:val="left"/>
        <w:rPr>
          <w:rFonts w:hint="eastAsia"/>
          <w:sz w:val="30"/>
          <w:szCs w:val="30"/>
        </w:rPr>
      </w:pPr>
      <w:r>
        <w:rPr>
          <w:rFonts w:hint="eastAsia"/>
          <w:sz w:val="30"/>
          <w:szCs w:val="30"/>
        </w:rPr>
        <w:t>迪恩·戴维斯所著的《天上的至高君王》，是我所遇到的关于末世论最广博、最全面的书籍。</w:t>
      </w:r>
    </w:p>
    <w:p w14:paraId="4D2A52AC">
      <w:pPr>
        <w:pStyle w:val="9"/>
        <w:spacing w:before="4"/>
        <w:ind w:left="0"/>
        <w:jc w:val="left"/>
        <w:rPr>
          <w:rFonts w:hint="eastAsia"/>
          <w:sz w:val="30"/>
          <w:szCs w:val="30"/>
        </w:rPr>
      </w:pPr>
    </w:p>
    <w:p w14:paraId="3ACC2FAA">
      <w:pPr>
        <w:pStyle w:val="9"/>
        <w:spacing w:before="4"/>
        <w:ind w:left="0"/>
        <w:jc w:val="left"/>
        <w:rPr>
          <w:rFonts w:hint="eastAsia"/>
          <w:sz w:val="30"/>
          <w:szCs w:val="30"/>
        </w:rPr>
      </w:pPr>
      <w:r>
        <w:rPr>
          <w:rFonts w:hint="eastAsia"/>
          <w:sz w:val="30"/>
          <w:szCs w:val="30"/>
        </w:rPr>
        <w:t>The scope of this book is simply breathtaking.</w:t>
      </w:r>
    </w:p>
    <w:p w14:paraId="6E74C2F1">
      <w:pPr>
        <w:pStyle w:val="9"/>
        <w:spacing w:before="4"/>
        <w:ind w:left="0"/>
        <w:jc w:val="left"/>
        <w:rPr>
          <w:rFonts w:hint="eastAsia"/>
          <w:sz w:val="30"/>
          <w:szCs w:val="30"/>
        </w:rPr>
      </w:pPr>
    </w:p>
    <w:p w14:paraId="2D26ED29">
      <w:pPr>
        <w:pStyle w:val="9"/>
        <w:spacing w:before="4"/>
        <w:ind w:left="0"/>
        <w:jc w:val="left"/>
        <w:rPr>
          <w:rFonts w:hint="eastAsia"/>
          <w:sz w:val="30"/>
          <w:szCs w:val="30"/>
        </w:rPr>
      </w:pPr>
      <w:r>
        <w:rPr>
          <w:rFonts w:hint="eastAsia"/>
          <w:sz w:val="30"/>
          <w:szCs w:val="30"/>
        </w:rPr>
        <w:t>本书的范围之广简直令人惊叹。</w:t>
      </w:r>
    </w:p>
    <w:p w14:paraId="766BAE81">
      <w:pPr>
        <w:pStyle w:val="9"/>
        <w:spacing w:before="4"/>
        <w:ind w:left="0"/>
        <w:jc w:val="left"/>
        <w:rPr>
          <w:rFonts w:hint="eastAsia"/>
          <w:sz w:val="30"/>
          <w:szCs w:val="30"/>
        </w:rPr>
      </w:pPr>
    </w:p>
    <w:p w14:paraId="13C630A8">
      <w:pPr>
        <w:pStyle w:val="9"/>
        <w:spacing w:before="4"/>
        <w:ind w:left="0"/>
        <w:jc w:val="left"/>
        <w:rPr>
          <w:rFonts w:hint="eastAsia"/>
          <w:sz w:val="30"/>
          <w:szCs w:val="30"/>
        </w:rPr>
      </w:pPr>
      <w:r>
        <w:rPr>
          <w:rFonts w:hint="eastAsia"/>
          <w:sz w:val="30"/>
          <w:szCs w:val="30"/>
        </w:rPr>
        <w:t>As is typical with all books on eschatology, no one will agree with everything he says.</w:t>
      </w:r>
    </w:p>
    <w:p w14:paraId="2761CF33">
      <w:pPr>
        <w:pStyle w:val="9"/>
        <w:spacing w:before="4"/>
        <w:ind w:left="0"/>
        <w:jc w:val="left"/>
        <w:rPr>
          <w:rFonts w:hint="eastAsia"/>
          <w:sz w:val="30"/>
          <w:szCs w:val="30"/>
        </w:rPr>
      </w:pPr>
    </w:p>
    <w:p w14:paraId="43BA78AE">
      <w:pPr>
        <w:pStyle w:val="9"/>
        <w:spacing w:before="4"/>
        <w:ind w:left="0"/>
        <w:jc w:val="left"/>
        <w:rPr>
          <w:rFonts w:hint="eastAsia"/>
          <w:sz w:val="30"/>
          <w:szCs w:val="30"/>
        </w:rPr>
      </w:pPr>
      <w:r>
        <w:rPr>
          <w:rFonts w:hint="eastAsia"/>
          <w:sz w:val="30"/>
          <w:szCs w:val="30"/>
        </w:rPr>
        <w:t>与所有关于末世论的书籍一样，没有人会同意他所说的每一件事。</w:t>
      </w:r>
    </w:p>
    <w:p w14:paraId="65160AE4">
      <w:pPr>
        <w:pStyle w:val="9"/>
        <w:spacing w:before="4"/>
        <w:ind w:left="0"/>
        <w:jc w:val="left"/>
        <w:rPr>
          <w:rFonts w:hint="eastAsia"/>
          <w:sz w:val="30"/>
          <w:szCs w:val="30"/>
        </w:rPr>
      </w:pPr>
    </w:p>
    <w:p w14:paraId="28A622A8">
      <w:pPr>
        <w:pStyle w:val="9"/>
        <w:spacing w:before="4"/>
        <w:ind w:left="0"/>
        <w:jc w:val="left"/>
        <w:rPr>
          <w:rFonts w:hint="eastAsia"/>
          <w:sz w:val="30"/>
          <w:szCs w:val="30"/>
        </w:rPr>
      </w:pPr>
      <w:r>
        <w:rPr>
          <w:rFonts w:hint="eastAsia"/>
          <w:sz w:val="30"/>
          <w:szCs w:val="30"/>
        </w:rPr>
        <w:t>But everyone should wrestle vigorously and thoughtfully with his approach to reading prophetic texts.</w:t>
      </w:r>
    </w:p>
    <w:p w14:paraId="04368C43">
      <w:pPr>
        <w:pStyle w:val="9"/>
        <w:spacing w:before="4"/>
        <w:ind w:left="0"/>
        <w:jc w:val="left"/>
        <w:rPr>
          <w:rFonts w:hint="eastAsia"/>
          <w:sz w:val="30"/>
          <w:szCs w:val="30"/>
        </w:rPr>
      </w:pPr>
    </w:p>
    <w:p w14:paraId="159A0DBF">
      <w:pPr>
        <w:pStyle w:val="9"/>
        <w:spacing w:before="4"/>
        <w:ind w:left="0"/>
        <w:jc w:val="left"/>
        <w:rPr>
          <w:rFonts w:hint="eastAsia"/>
          <w:sz w:val="30"/>
          <w:szCs w:val="30"/>
        </w:rPr>
      </w:pPr>
      <w:r>
        <w:rPr>
          <w:rFonts w:hint="eastAsia"/>
          <w:sz w:val="30"/>
          <w:szCs w:val="30"/>
        </w:rPr>
        <w:t>但每个人都应该积极而审慎地深入思考他解读预言性经文的方法。</w:t>
      </w:r>
    </w:p>
    <w:p w14:paraId="71947C48">
      <w:pPr>
        <w:pStyle w:val="9"/>
        <w:spacing w:before="4"/>
        <w:ind w:left="0"/>
        <w:jc w:val="left"/>
        <w:rPr>
          <w:rFonts w:hint="eastAsia"/>
          <w:sz w:val="30"/>
          <w:szCs w:val="30"/>
        </w:rPr>
      </w:pPr>
    </w:p>
    <w:p w14:paraId="7C371D99">
      <w:pPr>
        <w:pStyle w:val="9"/>
        <w:spacing w:before="4"/>
        <w:ind w:left="0"/>
        <w:jc w:val="left"/>
        <w:rPr>
          <w:rFonts w:hint="eastAsia"/>
          <w:sz w:val="30"/>
          <w:szCs w:val="30"/>
        </w:rPr>
      </w:pPr>
      <w:r>
        <w:rPr>
          <w:rFonts w:hint="eastAsia"/>
          <w:sz w:val="30"/>
          <w:szCs w:val="30"/>
        </w:rPr>
        <w:t>This isn’t for bedside, late-night reading.</w:t>
      </w:r>
    </w:p>
    <w:p w14:paraId="03E7E90B">
      <w:pPr>
        <w:pStyle w:val="9"/>
        <w:spacing w:before="4"/>
        <w:ind w:left="0"/>
        <w:jc w:val="left"/>
        <w:rPr>
          <w:rFonts w:hint="eastAsia"/>
          <w:sz w:val="30"/>
          <w:szCs w:val="30"/>
        </w:rPr>
      </w:pPr>
    </w:p>
    <w:p w14:paraId="1E115D7C">
      <w:pPr>
        <w:pStyle w:val="9"/>
        <w:spacing w:before="4"/>
        <w:ind w:left="0"/>
        <w:jc w:val="left"/>
        <w:rPr>
          <w:rFonts w:hint="eastAsia"/>
          <w:sz w:val="30"/>
          <w:szCs w:val="30"/>
        </w:rPr>
      </w:pPr>
      <w:r>
        <w:rPr>
          <w:rFonts w:hint="eastAsia"/>
          <w:sz w:val="30"/>
          <w:szCs w:val="30"/>
        </w:rPr>
        <w:t>这本书不适合作为睡前深夜读物。</w:t>
      </w:r>
    </w:p>
    <w:p w14:paraId="22C2688B">
      <w:pPr>
        <w:pStyle w:val="9"/>
        <w:spacing w:before="4"/>
        <w:ind w:left="0"/>
        <w:jc w:val="left"/>
        <w:rPr>
          <w:rFonts w:hint="eastAsia"/>
          <w:sz w:val="30"/>
          <w:szCs w:val="30"/>
        </w:rPr>
      </w:pPr>
    </w:p>
    <w:p w14:paraId="603EA138">
      <w:pPr>
        <w:pStyle w:val="9"/>
        <w:spacing w:before="4"/>
        <w:ind w:left="0"/>
        <w:jc w:val="left"/>
        <w:rPr>
          <w:rFonts w:hint="eastAsia"/>
          <w:sz w:val="30"/>
          <w:szCs w:val="30"/>
        </w:rPr>
      </w:pPr>
      <w:r>
        <w:rPr>
          <w:rFonts w:hint="eastAsia"/>
          <w:sz w:val="30"/>
          <w:szCs w:val="30"/>
        </w:rPr>
        <w:t>In fact, it will probably keep you up at night!</w:t>
      </w:r>
    </w:p>
    <w:p w14:paraId="5CC11448">
      <w:pPr>
        <w:pStyle w:val="9"/>
        <w:spacing w:before="4"/>
        <w:ind w:left="0"/>
        <w:jc w:val="left"/>
        <w:rPr>
          <w:rFonts w:hint="eastAsia"/>
          <w:sz w:val="30"/>
          <w:szCs w:val="30"/>
        </w:rPr>
      </w:pPr>
    </w:p>
    <w:p w14:paraId="1C99BF14">
      <w:pPr>
        <w:pStyle w:val="9"/>
        <w:spacing w:before="4"/>
        <w:ind w:left="0"/>
        <w:jc w:val="left"/>
        <w:rPr>
          <w:rFonts w:hint="eastAsia"/>
          <w:sz w:val="30"/>
          <w:szCs w:val="30"/>
        </w:rPr>
      </w:pPr>
      <w:r>
        <w:rPr>
          <w:rFonts w:hint="eastAsia"/>
          <w:sz w:val="30"/>
          <w:szCs w:val="30"/>
        </w:rPr>
        <w:t>事实上，它很可能会让你彻夜难眠！</w:t>
      </w:r>
    </w:p>
    <w:p w14:paraId="026B6222">
      <w:pPr>
        <w:pStyle w:val="9"/>
        <w:spacing w:before="4"/>
        <w:ind w:left="0"/>
        <w:jc w:val="left"/>
        <w:rPr>
          <w:rFonts w:hint="eastAsia"/>
          <w:sz w:val="30"/>
          <w:szCs w:val="30"/>
        </w:rPr>
      </w:pPr>
    </w:p>
    <w:p w14:paraId="0C7C8310">
      <w:pPr>
        <w:pStyle w:val="9"/>
        <w:spacing w:before="4"/>
        <w:ind w:left="0"/>
        <w:jc w:val="left"/>
        <w:rPr>
          <w:rFonts w:hint="eastAsia"/>
          <w:sz w:val="30"/>
          <w:szCs w:val="30"/>
        </w:rPr>
      </w:pPr>
      <w:r>
        <w:rPr>
          <w:rFonts w:hint="eastAsia"/>
          <w:sz w:val="30"/>
          <w:szCs w:val="30"/>
        </w:rPr>
        <w:t>—Sam Storms, Ph. D.: Pastor, Bridgeway Church; author of Kingdom Come: The Amillennial Alternative (Mentor)</w:t>
      </w:r>
    </w:p>
    <w:p w14:paraId="1945C920">
      <w:pPr>
        <w:pStyle w:val="9"/>
        <w:spacing w:before="4"/>
        <w:ind w:left="0"/>
        <w:jc w:val="left"/>
        <w:rPr>
          <w:rFonts w:hint="eastAsia"/>
          <w:sz w:val="30"/>
          <w:szCs w:val="30"/>
        </w:rPr>
      </w:pPr>
    </w:p>
    <w:p w14:paraId="3779AB9F">
      <w:pPr>
        <w:pStyle w:val="9"/>
        <w:spacing w:before="4"/>
        <w:ind w:left="0"/>
        <w:jc w:val="left"/>
        <w:rPr>
          <w:rFonts w:hint="eastAsia"/>
          <w:sz w:val="30"/>
          <w:szCs w:val="30"/>
        </w:rPr>
      </w:pPr>
      <w:r>
        <w:rPr>
          <w:rFonts w:hint="eastAsia"/>
          <w:sz w:val="30"/>
          <w:szCs w:val="30"/>
        </w:rPr>
        <w:t>——萨姆·斯托姆斯博士：布里奇韦教会牧师；《天国降临：无千禧年派的另一种选择》（曼特出版社）作者</w:t>
      </w:r>
    </w:p>
    <w:p w14:paraId="6A10649F">
      <w:pPr>
        <w:pStyle w:val="9"/>
        <w:spacing w:before="4"/>
        <w:ind w:left="0"/>
        <w:jc w:val="left"/>
        <w:rPr>
          <w:rFonts w:hint="eastAsia"/>
          <w:sz w:val="30"/>
          <w:szCs w:val="30"/>
        </w:rPr>
      </w:pPr>
    </w:p>
    <w:p w14:paraId="37BA2F2B">
      <w:pPr>
        <w:pStyle w:val="9"/>
        <w:spacing w:before="4"/>
        <w:ind w:left="0"/>
        <w:jc w:val="left"/>
        <w:rPr>
          <w:rFonts w:hint="eastAsia"/>
          <w:sz w:val="30"/>
          <w:szCs w:val="30"/>
        </w:rPr>
      </w:pPr>
      <w:r>
        <w:rPr>
          <w:rFonts w:hint="eastAsia"/>
          <w:sz w:val="30"/>
          <w:szCs w:val="30"/>
        </w:rPr>
        <w:t>Dean Davis leaves no stone unturned as he carefully lays out his argument for amillennialism, and just as carefully (and gently) dismantles the other major eschatological views.</w:t>
      </w:r>
    </w:p>
    <w:p w14:paraId="23830415">
      <w:pPr>
        <w:pStyle w:val="9"/>
        <w:spacing w:before="4"/>
        <w:ind w:left="0"/>
        <w:jc w:val="left"/>
        <w:rPr>
          <w:rFonts w:hint="eastAsia"/>
          <w:sz w:val="30"/>
          <w:szCs w:val="30"/>
        </w:rPr>
      </w:pPr>
    </w:p>
    <w:p w14:paraId="3A73E328">
      <w:pPr>
        <w:pStyle w:val="9"/>
        <w:spacing w:before="4"/>
        <w:ind w:left="0"/>
        <w:jc w:val="left"/>
        <w:rPr>
          <w:rFonts w:hint="eastAsia"/>
          <w:sz w:val="30"/>
          <w:szCs w:val="30"/>
        </w:rPr>
      </w:pPr>
      <w:r>
        <w:rPr>
          <w:rFonts w:hint="eastAsia"/>
          <w:sz w:val="30"/>
          <w:szCs w:val="30"/>
        </w:rPr>
        <w:t>迪恩·戴维斯鉅细靡遗，他仔细地阐述了自己关于无千禧年论的观点，并同样仔细（且温和）地剖析了其他主要的末世论观点。</w:t>
      </w:r>
    </w:p>
    <w:p w14:paraId="6C476842">
      <w:pPr>
        <w:pStyle w:val="9"/>
        <w:spacing w:before="4"/>
        <w:ind w:left="0"/>
        <w:jc w:val="left"/>
        <w:rPr>
          <w:rFonts w:hint="eastAsia"/>
          <w:sz w:val="30"/>
          <w:szCs w:val="30"/>
        </w:rPr>
      </w:pPr>
    </w:p>
    <w:p w14:paraId="0EFFF467">
      <w:pPr>
        <w:pStyle w:val="9"/>
        <w:spacing w:before="4"/>
        <w:ind w:left="0"/>
        <w:jc w:val="left"/>
        <w:rPr>
          <w:rFonts w:hint="eastAsia"/>
          <w:sz w:val="30"/>
          <w:szCs w:val="30"/>
        </w:rPr>
      </w:pPr>
      <w:r>
        <w:rPr>
          <w:rFonts w:hint="eastAsia"/>
          <w:sz w:val="30"/>
          <w:szCs w:val="30"/>
        </w:rPr>
        <w:t>He writes in a scholarly but relaxed and inviting manner that will satisfy theologian and new believer alike.</w:t>
      </w:r>
    </w:p>
    <w:p w14:paraId="7F60C4E9">
      <w:pPr>
        <w:pStyle w:val="9"/>
        <w:spacing w:before="4"/>
        <w:ind w:left="0"/>
        <w:jc w:val="left"/>
        <w:rPr>
          <w:rFonts w:hint="eastAsia"/>
          <w:sz w:val="30"/>
          <w:szCs w:val="30"/>
        </w:rPr>
      </w:pPr>
    </w:p>
    <w:p w14:paraId="3DA0F2F5">
      <w:pPr>
        <w:pStyle w:val="9"/>
        <w:spacing w:before="4"/>
        <w:ind w:left="0"/>
        <w:jc w:val="left"/>
        <w:rPr>
          <w:rFonts w:hint="eastAsia"/>
          <w:sz w:val="30"/>
          <w:szCs w:val="30"/>
        </w:rPr>
      </w:pPr>
      <w:r>
        <w:rPr>
          <w:rFonts w:hint="eastAsia"/>
          <w:sz w:val="30"/>
          <w:szCs w:val="30"/>
        </w:rPr>
        <w:t>他的写作风格既具学术性又轻松引人，能同时满足神学家和初信者的需要。</w:t>
      </w:r>
    </w:p>
    <w:p w14:paraId="234CF4E0">
      <w:pPr>
        <w:pStyle w:val="9"/>
        <w:spacing w:before="4"/>
        <w:ind w:left="0"/>
        <w:jc w:val="left"/>
        <w:rPr>
          <w:rFonts w:hint="eastAsia"/>
          <w:sz w:val="30"/>
          <w:szCs w:val="30"/>
        </w:rPr>
      </w:pPr>
    </w:p>
    <w:p w14:paraId="7BCC7AFA">
      <w:pPr>
        <w:pStyle w:val="9"/>
        <w:spacing w:before="4"/>
        <w:ind w:left="0"/>
        <w:jc w:val="left"/>
        <w:rPr>
          <w:rFonts w:hint="eastAsia"/>
          <w:sz w:val="30"/>
          <w:szCs w:val="30"/>
        </w:rPr>
      </w:pPr>
      <w:r>
        <w:rPr>
          <w:rFonts w:hint="eastAsia"/>
          <w:sz w:val="30"/>
          <w:szCs w:val="30"/>
        </w:rPr>
        <w:t>The fragrance of Christ is in these pages.</w:t>
      </w:r>
    </w:p>
    <w:p w14:paraId="5736E685">
      <w:pPr>
        <w:pStyle w:val="9"/>
        <w:spacing w:before="4"/>
        <w:ind w:left="0"/>
        <w:jc w:val="left"/>
        <w:rPr>
          <w:rFonts w:hint="eastAsia"/>
          <w:sz w:val="30"/>
          <w:szCs w:val="30"/>
        </w:rPr>
      </w:pPr>
    </w:p>
    <w:p w14:paraId="10A5273F">
      <w:pPr>
        <w:pStyle w:val="9"/>
        <w:spacing w:before="4"/>
        <w:ind w:left="0"/>
        <w:jc w:val="left"/>
        <w:rPr>
          <w:rFonts w:hint="eastAsia"/>
          <w:sz w:val="30"/>
          <w:szCs w:val="30"/>
        </w:rPr>
      </w:pPr>
      <w:r>
        <w:rPr>
          <w:rFonts w:hint="eastAsia"/>
          <w:sz w:val="30"/>
          <w:szCs w:val="30"/>
        </w:rPr>
        <w:t>书页中散发着基督的馨香之气。</w:t>
      </w:r>
    </w:p>
    <w:p w14:paraId="2A39B199">
      <w:pPr>
        <w:pStyle w:val="9"/>
        <w:spacing w:before="4"/>
        <w:ind w:left="0"/>
        <w:jc w:val="left"/>
        <w:rPr>
          <w:rFonts w:hint="eastAsia"/>
          <w:sz w:val="30"/>
          <w:szCs w:val="30"/>
        </w:rPr>
      </w:pPr>
    </w:p>
    <w:p w14:paraId="3232BE18">
      <w:pPr>
        <w:pStyle w:val="9"/>
        <w:spacing w:before="4"/>
        <w:ind w:left="0"/>
        <w:jc w:val="left"/>
        <w:rPr>
          <w:rFonts w:hint="eastAsia"/>
          <w:sz w:val="30"/>
          <w:szCs w:val="30"/>
        </w:rPr>
      </w:pPr>
      <w:r>
        <w:rPr>
          <w:rFonts w:hint="eastAsia"/>
          <w:sz w:val="30"/>
          <w:szCs w:val="30"/>
        </w:rPr>
        <w:t>The High King of Heaven is not a book written simply to win an argument, but to edify the saints.</w:t>
      </w:r>
    </w:p>
    <w:p w14:paraId="3E8DF62C">
      <w:pPr>
        <w:pStyle w:val="9"/>
        <w:spacing w:before="4"/>
        <w:ind w:left="0"/>
        <w:jc w:val="left"/>
        <w:rPr>
          <w:rFonts w:hint="eastAsia"/>
          <w:sz w:val="30"/>
          <w:szCs w:val="30"/>
        </w:rPr>
      </w:pPr>
    </w:p>
    <w:p w14:paraId="4825FBAD">
      <w:pPr>
        <w:pStyle w:val="9"/>
        <w:spacing w:before="4"/>
        <w:ind w:left="0"/>
        <w:jc w:val="left"/>
        <w:rPr>
          <w:rFonts w:hint="eastAsia"/>
          <w:sz w:val="30"/>
          <w:szCs w:val="30"/>
        </w:rPr>
      </w:pPr>
      <w:r>
        <w:rPr>
          <w:rFonts w:hint="eastAsia"/>
          <w:sz w:val="30"/>
          <w:szCs w:val="30"/>
        </w:rPr>
        <w:t>《天上的至高君王》这本书的写作目的并非仅仅为了赢得一场辩论，而是为了造就圣徒。</w:t>
      </w:r>
    </w:p>
    <w:p w14:paraId="40082D9F">
      <w:pPr>
        <w:pStyle w:val="9"/>
        <w:spacing w:before="4"/>
        <w:ind w:left="0"/>
        <w:jc w:val="left"/>
        <w:rPr>
          <w:rFonts w:hint="eastAsia"/>
          <w:sz w:val="30"/>
          <w:szCs w:val="30"/>
        </w:rPr>
      </w:pPr>
    </w:p>
    <w:p w14:paraId="6A348ED7">
      <w:pPr>
        <w:pStyle w:val="9"/>
        <w:spacing w:before="4"/>
        <w:ind w:left="0"/>
        <w:jc w:val="left"/>
        <w:rPr>
          <w:rFonts w:hint="eastAsia"/>
          <w:sz w:val="30"/>
          <w:szCs w:val="30"/>
        </w:rPr>
      </w:pPr>
      <w:r>
        <w:rPr>
          <w:rFonts w:hint="eastAsia"/>
          <w:sz w:val="30"/>
          <w:szCs w:val="30"/>
        </w:rPr>
        <w:t>Thank you, Dean, for this labor of scholarship and love for Christ and His church.</w:t>
      </w:r>
    </w:p>
    <w:p w14:paraId="2255E7BD">
      <w:pPr>
        <w:pStyle w:val="9"/>
        <w:spacing w:before="4"/>
        <w:ind w:left="0"/>
        <w:jc w:val="left"/>
        <w:rPr>
          <w:rFonts w:hint="eastAsia"/>
          <w:sz w:val="30"/>
          <w:szCs w:val="30"/>
        </w:rPr>
      </w:pPr>
    </w:p>
    <w:p w14:paraId="28FE3B82">
      <w:pPr>
        <w:pStyle w:val="9"/>
        <w:spacing w:before="4"/>
        <w:ind w:left="0"/>
        <w:jc w:val="left"/>
        <w:rPr>
          <w:rFonts w:hint="eastAsia"/>
          <w:sz w:val="30"/>
          <w:szCs w:val="30"/>
        </w:rPr>
      </w:pPr>
      <w:r>
        <w:rPr>
          <w:rFonts w:hint="eastAsia"/>
          <w:sz w:val="30"/>
          <w:szCs w:val="30"/>
        </w:rPr>
        <w:t>感谢你，迪恩，为着这份学术的劳作，以及对基督和祂教会的爱。</w:t>
      </w:r>
    </w:p>
    <w:p w14:paraId="6C07B88E">
      <w:pPr>
        <w:pStyle w:val="9"/>
        <w:spacing w:before="4"/>
        <w:ind w:left="0"/>
        <w:jc w:val="left"/>
        <w:rPr>
          <w:rFonts w:hint="eastAsia"/>
          <w:sz w:val="30"/>
          <w:szCs w:val="30"/>
        </w:rPr>
      </w:pPr>
    </w:p>
    <w:p w14:paraId="16E886AD">
      <w:pPr>
        <w:pStyle w:val="9"/>
        <w:spacing w:before="4"/>
        <w:ind w:left="0"/>
        <w:jc w:val="left"/>
        <w:rPr>
          <w:rFonts w:hint="eastAsia"/>
          <w:sz w:val="30"/>
          <w:szCs w:val="30"/>
        </w:rPr>
      </w:pPr>
      <w:r>
        <w:rPr>
          <w:rFonts w:hint="eastAsia"/>
          <w:sz w:val="30"/>
          <w:szCs w:val="30"/>
        </w:rPr>
        <w:t>—Doug Thompson: Pastor, Middletown Bible Church; professor, Cornerstone Theological Seminary (CA)</w:t>
      </w:r>
    </w:p>
    <w:p w14:paraId="06F64CEE">
      <w:pPr>
        <w:pStyle w:val="9"/>
        <w:spacing w:before="4"/>
        <w:ind w:left="0"/>
        <w:jc w:val="left"/>
        <w:rPr>
          <w:rFonts w:hint="eastAsia"/>
          <w:sz w:val="30"/>
          <w:szCs w:val="30"/>
        </w:rPr>
      </w:pPr>
    </w:p>
    <w:p w14:paraId="542ACD99">
      <w:pPr>
        <w:pStyle w:val="9"/>
        <w:spacing w:before="4"/>
        <w:ind w:left="0"/>
        <w:jc w:val="left"/>
        <w:rPr>
          <w:sz w:val="17"/>
        </w:rPr>
      </w:pPr>
      <w:r>
        <w:rPr>
          <w:rFonts w:hint="eastAsia"/>
          <w:sz w:val="30"/>
          <w:szCs w:val="30"/>
        </w:rPr>
        <w:t>——道格·汤普森：米德尔敦圣经教会牧师；（加州）基石神学院教授</w:t>
      </w:r>
    </w:p>
    <w:p w14:paraId="767098BB">
      <w:pPr>
        <w:pStyle w:val="9"/>
        <w:spacing w:after="0"/>
        <w:jc w:val="left"/>
        <w:rPr>
          <w:sz w:val="17"/>
        </w:rPr>
        <w:sectPr>
          <w:pgSz w:w="12240" w:h="15840"/>
          <w:pgMar w:top="1820" w:right="1440" w:bottom="280" w:left="1440" w:header="720" w:footer="720" w:gutter="0"/>
          <w:cols w:space="720" w:num="1"/>
        </w:sectPr>
      </w:pPr>
    </w:p>
    <w:p w14:paraId="3A8F33CF">
      <w:pPr>
        <w:pStyle w:val="9"/>
        <w:spacing w:before="0"/>
        <w:ind w:left="0"/>
        <w:jc w:val="left"/>
        <w:rPr>
          <w:sz w:val="20"/>
        </w:rPr>
      </w:pPr>
    </w:p>
    <w:p w14:paraId="48CD8EFA">
      <w:pPr>
        <w:pStyle w:val="9"/>
        <w:spacing w:before="0"/>
        <w:ind w:left="0"/>
        <w:jc w:val="left"/>
        <w:rPr>
          <w:sz w:val="20"/>
        </w:rPr>
      </w:pPr>
    </w:p>
    <w:p w14:paraId="100DADFE">
      <w:pPr>
        <w:pStyle w:val="9"/>
        <w:spacing w:before="0"/>
        <w:ind w:left="0"/>
        <w:jc w:val="left"/>
        <w:rPr>
          <w:sz w:val="20"/>
        </w:rPr>
      </w:pPr>
    </w:p>
    <w:p w14:paraId="636F5CD3">
      <w:pPr>
        <w:pStyle w:val="9"/>
        <w:spacing w:before="0"/>
        <w:ind w:left="0"/>
        <w:jc w:val="left"/>
        <w:rPr>
          <w:sz w:val="20"/>
        </w:rPr>
      </w:pPr>
    </w:p>
    <w:p w14:paraId="691D2CB5">
      <w:pPr>
        <w:pStyle w:val="9"/>
        <w:spacing w:before="0"/>
        <w:ind w:left="0"/>
        <w:jc w:val="left"/>
        <w:rPr>
          <w:sz w:val="20"/>
        </w:rPr>
      </w:pPr>
    </w:p>
    <w:p w14:paraId="12FEEDF3">
      <w:pPr>
        <w:pStyle w:val="9"/>
        <w:spacing w:before="0"/>
        <w:ind w:left="0"/>
        <w:jc w:val="left"/>
        <w:rPr>
          <w:sz w:val="20"/>
        </w:rPr>
      </w:pPr>
    </w:p>
    <w:p w14:paraId="59070616">
      <w:pPr>
        <w:pStyle w:val="9"/>
        <w:spacing w:before="0"/>
        <w:ind w:left="0"/>
        <w:jc w:val="left"/>
        <w:rPr>
          <w:sz w:val="20"/>
        </w:rPr>
      </w:pPr>
    </w:p>
    <w:p w14:paraId="66DFD9E6">
      <w:pPr>
        <w:pStyle w:val="9"/>
        <w:spacing w:before="0"/>
        <w:ind w:left="0"/>
        <w:jc w:val="left"/>
        <w:rPr>
          <w:sz w:val="20"/>
        </w:rPr>
      </w:pPr>
    </w:p>
    <w:p w14:paraId="28880898">
      <w:pPr>
        <w:pStyle w:val="9"/>
        <w:spacing w:before="0"/>
        <w:ind w:left="0"/>
        <w:jc w:val="left"/>
        <w:rPr>
          <w:sz w:val="20"/>
        </w:rPr>
      </w:pPr>
    </w:p>
    <w:p w14:paraId="7AF94F5B">
      <w:pPr>
        <w:pStyle w:val="9"/>
        <w:spacing w:before="0"/>
        <w:ind w:left="0"/>
        <w:jc w:val="left"/>
        <w:rPr>
          <w:sz w:val="20"/>
        </w:rPr>
      </w:pPr>
    </w:p>
    <w:p w14:paraId="4F16F9B5">
      <w:pPr>
        <w:pStyle w:val="9"/>
        <w:spacing w:before="27" w:after="1"/>
        <w:ind w:left="0"/>
        <w:jc w:val="left"/>
        <w:rPr>
          <w:sz w:val="20"/>
        </w:rPr>
      </w:pPr>
    </w:p>
    <w:p w14:paraId="098B0EB6">
      <w:pPr>
        <w:pStyle w:val="9"/>
        <w:spacing w:before="0"/>
        <w:ind w:left="1660"/>
        <w:jc w:val="left"/>
        <w:rPr>
          <w:sz w:val="20"/>
        </w:rPr>
      </w:pPr>
      <w:r>
        <w:rPr>
          <w:sz w:val="20"/>
        </w:rPr>
        <w:drawing>
          <wp:inline distT="0" distB="0" distL="0" distR="0">
            <wp:extent cx="3462020" cy="4977130"/>
            <wp:effectExtent l="0" t="0" r="0" b="0"/>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3462528" cy="4977384"/>
                    </a:xfrm>
                    <a:prstGeom prst="rect">
                      <a:avLst/>
                    </a:prstGeom>
                  </pic:spPr>
                </pic:pic>
              </a:graphicData>
            </a:graphic>
          </wp:inline>
        </w:drawing>
      </w:r>
    </w:p>
    <w:p w14:paraId="7C2E8617">
      <w:pPr>
        <w:pStyle w:val="9"/>
        <w:spacing w:after="0"/>
        <w:jc w:val="left"/>
        <w:rPr>
          <w:sz w:val="20"/>
        </w:rPr>
        <w:sectPr>
          <w:pgSz w:w="12240" w:h="15840"/>
          <w:pgMar w:top="1820" w:right="1440" w:bottom="280" w:left="1440" w:header="720" w:footer="720" w:gutter="0"/>
          <w:cols w:space="720" w:num="1"/>
        </w:sectPr>
      </w:pPr>
    </w:p>
    <w:p w14:paraId="37DA278B">
      <w:pPr>
        <w:pStyle w:val="9"/>
        <w:spacing w:before="4"/>
        <w:ind w:left="0"/>
        <w:jc w:val="left"/>
        <w:rPr>
          <w:sz w:val="17"/>
        </w:rPr>
      </w:pPr>
    </w:p>
    <w:p w14:paraId="0417DADF">
      <w:pPr>
        <w:pStyle w:val="9"/>
        <w:spacing w:after="0"/>
        <w:jc w:val="left"/>
        <w:rPr>
          <w:rFonts w:hint="eastAsia"/>
          <w:sz w:val="30"/>
          <w:szCs w:val="30"/>
        </w:rPr>
      </w:pPr>
      <w:r>
        <w:rPr>
          <w:rFonts w:hint="eastAsia"/>
          <w:sz w:val="30"/>
          <w:szCs w:val="30"/>
        </w:rPr>
        <w:t>© 2014 by Dean Davis. All rights reserved.</w:t>
      </w:r>
    </w:p>
    <w:p w14:paraId="0F9D0ECD">
      <w:pPr>
        <w:pStyle w:val="9"/>
        <w:spacing w:after="0"/>
        <w:jc w:val="left"/>
        <w:rPr>
          <w:rFonts w:hint="eastAsia"/>
          <w:sz w:val="30"/>
          <w:szCs w:val="30"/>
        </w:rPr>
      </w:pPr>
    </w:p>
    <w:p w14:paraId="721A4547">
      <w:pPr>
        <w:pStyle w:val="9"/>
        <w:spacing w:after="0"/>
        <w:jc w:val="left"/>
        <w:rPr>
          <w:rFonts w:hint="eastAsia"/>
          <w:sz w:val="30"/>
          <w:szCs w:val="30"/>
        </w:rPr>
      </w:pPr>
      <w:r>
        <w:rPr>
          <w:rFonts w:hint="eastAsia"/>
          <w:sz w:val="30"/>
          <w:szCs w:val="30"/>
        </w:rPr>
        <w:t>© 2014 迪恩·戴维斯版权所有。保留所有权利。</w:t>
      </w:r>
    </w:p>
    <w:p w14:paraId="68C9879E">
      <w:pPr>
        <w:pStyle w:val="9"/>
        <w:spacing w:after="0"/>
        <w:jc w:val="left"/>
        <w:rPr>
          <w:rFonts w:hint="eastAsia"/>
          <w:sz w:val="30"/>
          <w:szCs w:val="30"/>
        </w:rPr>
      </w:pPr>
    </w:p>
    <w:p w14:paraId="42EAABF1">
      <w:pPr>
        <w:pStyle w:val="9"/>
        <w:spacing w:after="0"/>
        <w:jc w:val="left"/>
        <w:rPr>
          <w:rFonts w:hint="eastAsia"/>
          <w:sz w:val="30"/>
          <w:szCs w:val="30"/>
        </w:rPr>
      </w:pPr>
      <w:r>
        <w:rPr>
          <w:rFonts w:hint="eastAsia"/>
          <w:sz w:val="30"/>
          <w:szCs w:val="30"/>
        </w:rPr>
        <w:t>Published by Redemption Press, PO Box 427, Enumclaw, WA 98022</w:t>
      </w:r>
    </w:p>
    <w:p w14:paraId="0D96A1D9">
      <w:pPr>
        <w:pStyle w:val="9"/>
        <w:spacing w:after="0"/>
        <w:jc w:val="left"/>
        <w:rPr>
          <w:rFonts w:hint="eastAsia"/>
          <w:sz w:val="30"/>
          <w:szCs w:val="30"/>
        </w:rPr>
      </w:pPr>
    </w:p>
    <w:p w14:paraId="41D314A0">
      <w:pPr>
        <w:pStyle w:val="9"/>
        <w:spacing w:after="0"/>
        <w:jc w:val="left"/>
        <w:rPr>
          <w:rFonts w:hint="eastAsia"/>
          <w:sz w:val="30"/>
          <w:szCs w:val="30"/>
        </w:rPr>
      </w:pPr>
      <w:r>
        <w:rPr>
          <w:rFonts w:hint="eastAsia"/>
          <w:sz w:val="30"/>
          <w:szCs w:val="30"/>
        </w:rPr>
        <w:t>由救赎出版社出版，邮政信箱 427，伊纳姆克洛，华盛顿州 98022</w:t>
      </w:r>
    </w:p>
    <w:p w14:paraId="1117D4EF">
      <w:pPr>
        <w:pStyle w:val="9"/>
        <w:spacing w:after="0"/>
        <w:jc w:val="left"/>
        <w:rPr>
          <w:rFonts w:hint="eastAsia"/>
          <w:sz w:val="30"/>
          <w:szCs w:val="30"/>
        </w:rPr>
      </w:pPr>
    </w:p>
    <w:p w14:paraId="02D94A72">
      <w:pPr>
        <w:pStyle w:val="9"/>
        <w:spacing w:after="0"/>
        <w:jc w:val="left"/>
        <w:rPr>
          <w:rFonts w:hint="eastAsia"/>
          <w:sz w:val="30"/>
          <w:szCs w:val="30"/>
        </w:rPr>
      </w:pPr>
      <w:r>
        <w:rPr>
          <w:rFonts w:hint="eastAsia"/>
          <w:sz w:val="30"/>
          <w:szCs w:val="30"/>
        </w:rPr>
        <w:t>No part of this publication may be reproduced, stored in a retrieval system, or transmitted in any way by any means—electronic, mechanical, photocopy, recording, or otherwise—without the prior permission of the copyright holder, except as provided by USA copyright law.</w:t>
      </w:r>
    </w:p>
    <w:p w14:paraId="0D0D997E">
      <w:pPr>
        <w:pStyle w:val="9"/>
        <w:spacing w:after="0"/>
        <w:jc w:val="left"/>
        <w:rPr>
          <w:rFonts w:hint="eastAsia"/>
          <w:sz w:val="30"/>
          <w:szCs w:val="30"/>
        </w:rPr>
      </w:pPr>
    </w:p>
    <w:p w14:paraId="049838F1">
      <w:pPr>
        <w:pStyle w:val="9"/>
        <w:spacing w:after="0"/>
        <w:jc w:val="left"/>
        <w:rPr>
          <w:rFonts w:hint="eastAsia"/>
          <w:sz w:val="30"/>
          <w:szCs w:val="30"/>
        </w:rPr>
      </w:pPr>
      <w:r>
        <w:rPr>
          <w:rFonts w:hint="eastAsia"/>
          <w:sz w:val="30"/>
          <w:szCs w:val="30"/>
        </w:rPr>
        <w:t>未经版权所有者事先许可，不得以任何方式——电子、机械、影印、录制或其他方式——复制、存储在检索系统中或传播本出版物的任何部分，美国版权法规定的情况除外。</w:t>
      </w:r>
    </w:p>
    <w:p w14:paraId="6F2BD6DC">
      <w:pPr>
        <w:pStyle w:val="9"/>
        <w:spacing w:after="0"/>
        <w:jc w:val="left"/>
        <w:rPr>
          <w:rFonts w:hint="eastAsia"/>
          <w:sz w:val="30"/>
          <w:szCs w:val="30"/>
        </w:rPr>
      </w:pPr>
    </w:p>
    <w:p w14:paraId="67A924B8">
      <w:pPr>
        <w:pStyle w:val="9"/>
        <w:spacing w:after="0"/>
        <w:jc w:val="left"/>
        <w:rPr>
          <w:rFonts w:hint="eastAsia"/>
          <w:sz w:val="30"/>
          <w:szCs w:val="30"/>
        </w:rPr>
      </w:pPr>
      <w:r>
        <w:rPr>
          <w:rFonts w:hint="eastAsia"/>
          <w:sz w:val="30"/>
          <w:szCs w:val="30"/>
        </w:rPr>
        <w:t>The author of this book has waived a portion of the publisher’s recommended professional editing and proofreading services.</w:t>
      </w:r>
    </w:p>
    <w:p w14:paraId="4C91CE15">
      <w:pPr>
        <w:pStyle w:val="9"/>
        <w:spacing w:after="0"/>
        <w:jc w:val="left"/>
        <w:rPr>
          <w:rFonts w:hint="eastAsia"/>
          <w:sz w:val="30"/>
          <w:szCs w:val="30"/>
        </w:rPr>
      </w:pPr>
    </w:p>
    <w:p w14:paraId="10DB0B1B">
      <w:pPr>
        <w:pStyle w:val="9"/>
        <w:spacing w:after="0"/>
        <w:jc w:val="left"/>
        <w:rPr>
          <w:rFonts w:hint="eastAsia"/>
          <w:sz w:val="30"/>
          <w:szCs w:val="30"/>
        </w:rPr>
      </w:pPr>
      <w:r>
        <w:rPr>
          <w:rFonts w:hint="eastAsia"/>
          <w:sz w:val="30"/>
          <w:szCs w:val="30"/>
        </w:rPr>
        <w:t>本书作者已放弃出版商推荐的部分专业编辑和校对服务。</w:t>
      </w:r>
    </w:p>
    <w:p w14:paraId="70AA0BEE">
      <w:pPr>
        <w:pStyle w:val="9"/>
        <w:spacing w:after="0"/>
        <w:jc w:val="left"/>
        <w:rPr>
          <w:rFonts w:hint="eastAsia"/>
          <w:sz w:val="30"/>
          <w:szCs w:val="30"/>
        </w:rPr>
      </w:pPr>
    </w:p>
    <w:p w14:paraId="0D8968D0">
      <w:pPr>
        <w:pStyle w:val="9"/>
        <w:spacing w:after="0"/>
        <w:jc w:val="left"/>
        <w:rPr>
          <w:rFonts w:hint="eastAsia"/>
          <w:sz w:val="30"/>
          <w:szCs w:val="30"/>
        </w:rPr>
      </w:pPr>
      <w:r>
        <w:rPr>
          <w:rFonts w:hint="eastAsia"/>
          <w:sz w:val="30"/>
          <w:szCs w:val="30"/>
        </w:rPr>
        <w:t>As such, any related errors found in this finished product are not the responsibility of the publisher.</w:t>
      </w:r>
    </w:p>
    <w:p w14:paraId="01CF29A1">
      <w:pPr>
        <w:pStyle w:val="9"/>
        <w:spacing w:after="0"/>
        <w:jc w:val="left"/>
        <w:rPr>
          <w:rFonts w:hint="eastAsia"/>
          <w:sz w:val="30"/>
          <w:szCs w:val="30"/>
        </w:rPr>
      </w:pPr>
    </w:p>
    <w:p w14:paraId="526647E7">
      <w:pPr>
        <w:pStyle w:val="9"/>
        <w:spacing w:after="0"/>
        <w:jc w:val="left"/>
        <w:rPr>
          <w:rFonts w:hint="eastAsia"/>
          <w:sz w:val="30"/>
          <w:szCs w:val="30"/>
        </w:rPr>
      </w:pPr>
      <w:r>
        <w:rPr>
          <w:rFonts w:hint="eastAsia"/>
          <w:sz w:val="30"/>
          <w:szCs w:val="30"/>
        </w:rPr>
        <w:t>因此，成品中发现的任何相关错误，出版商概不负责。</w:t>
      </w:r>
    </w:p>
    <w:p w14:paraId="3CBF798F">
      <w:pPr>
        <w:pStyle w:val="9"/>
        <w:spacing w:after="0"/>
        <w:jc w:val="left"/>
        <w:rPr>
          <w:rFonts w:hint="eastAsia"/>
          <w:sz w:val="30"/>
          <w:szCs w:val="30"/>
        </w:rPr>
      </w:pPr>
    </w:p>
    <w:p w14:paraId="5EC14A85">
      <w:pPr>
        <w:pStyle w:val="9"/>
        <w:spacing w:after="0"/>
        <w:jc w:val="left"/>
        <w:rPr>
          <w:rFonts w:hint="eastAsia"/>
          <w:sz w:val="30"/>
          <w:szCs w:val="30"/>
        </w:rPr>
      </w:pPr>
      <w:r>
        <w:rPr>
          <w:rFonts w:hint="eastAsia"/>
          <w:sz w:val="30"/>
          <w:szCs w:val="30"/>
        </w:rPr>
        <w:t>Most undesignated Scriptures are taken from the New American Standard Bible, © 1960, 1963, 1968, 1971, 1972, 1973, 1975, 1977 by permission.</w:t>
      </w:r>
    </w:p>
    <w:p w14:paraId="1653F0C7">
      <w:pPr>
        <w:pStyle w:val="9"/>
        <w:spacing w:after="0"/>
        <w:jc w:val="left"/>
        <w:rPr>
          <w:rFonts w:hint="eastAsia"/>
          <w:sz w:val="30"/>
          <w:szCs w:val="30"/>
        </w:rPr>
      </w:pPr>
    </w:p>
    <w:p w14:paraId="14823B07">
      <w:pPr>
        <w:pStyle w:val="9"/>
        <w:spacing w:after="0"/>
        <w:jc w:val="left"/>
        <w:rPr>
          <w:rFonts w:hint="eastAsia"/>
          <w:sz w:val="30"/>
          <w:szCs w:val="30"/>
        </w:rPr>
      </w:pPr>
      <w:r>
        <w:rPr>
          <w:rFonts w:hint="eastAsia"/>
          <w:sz w:val="30"/>
          <w:szCs w:val="30"/>
        </w:rPr>
        <w:t>大多数未标明的经文引自《新美国标准圣经》，© 1960, 1963, 1968, 1971, 1972, 1973, 1975, 1977，经许可使用。</w:t>
      </w:r>
    </w:p>
    <w:p w14:paraId="35E55731">
      <w:pPr>
        <w:pStyle w:val="9"/>
        <w:spacing w:after="0"/>
        <w:jc w:val="left"/>
        <w:rPr>
          <w:rFonts w:hint="eastAsia"/>
          <w:sz w:val="30"/>
          <w:szCs w:val="30"/>
        </w:rPr>
      </w:pPr>
    </w:p>
    <w:p w14:paraId="305DB833">
      <w:pPr>
        <w:pStyle w:val="9"/>
        <w:spacing w:after="0"/>
        <w:jc w:val="left"/>
        <w:rPr>
          <w:rFonts w:hint="eastAsia"/>
          <w:sz w:val="30"/>
          <w:szCs w:val="30"/>
        </w:rPr>
      </w:pPr>
      <w:r>
        <w:rPr>
          <w:rFonts w:hint="eastAsia"/>
          <w:sz w:val="30"/>
          <w:szCs w:val="30"/>
        </w:rPr>
        <w:t>Some are the author’s own translation.</w:t>
      </w:r>
    </w:p>
    <w:p w14:paraId="6C8AC22E">
      <w:pPr>
        <w:pStyle w:val="9"/>
        <w:spacing w:after="0"/>
        <w:jc w:val="left"/>
        <w:rPr>
          <w:rFonts w:hint="eastAsia"/>
          <w:sz w:val="30"/>
          <w:szCs w:val="30"/>
        </w:rPr>
      </w:pPr>
    </w:p>
    <w:p w14:paraId="1E87E0F5">
      <w:pPr>
        <w:pStyle w:val="9"/>
        <w:spacing w:after="0"/>
        <w:jc w:val="left"/>
        <w:rPr>
          <w:rFonts w:hint="eastAsia"/>
          <w:sz w:val="30"/>
          <w:szCs w:val="30"/>
        </w:rPr>
      </w:pPr>
      <w:r>
        <w:rPr>
          <w:rFonts w:hint="eastAsia"/>
          <w:sz w:val="30"/>
          <w:szCs w:val="30"/>
        </w:rPr>
        <w:t>部分为作者自译。</w:t>
      </w:r>
    </w:p>
    <w:p w14:paraId="2CEEAE37">
      <w:pPr>
        <w:pStyle w:val="9"/>
        <w:spacing w:after="0"/>
        <w:jc w:val="left"/>
        <w:rPr>
          <w:rFonts w:hint="eastAsia"/>
          <w:sz w:val="30"/>
          <w:szCs w:val="30"/>
        </w:rPr>
      </w:pPr>
    </w:p>
    <w:p w14:paraId="2C97F54B">
      <w:pPr>
        <w:pStyle w:val="9"/>
        <w:spacing w:after="0"/>
        <w:jc w:val="left"/>
        <w:rPr>
          <w:rFonts w:hint="eastAsia"/>
          <w:sz w:val="30"/>
          <w:szCs w:val="30"/>
        </w:rPr>
      </w:pPr>
      <w:r>
        <w:rPr>
          <w:rFonts w:hint="eastAsia"/>
          <w:sz w:val="30"/>
          <w:szCs w:val="30"/>
        </w:rPr>
        <w:t>Scripture references marked ESV are taken from The Holy Bible: English Standard Version, copyright © 2001, Wheaton: Good News Publishers. Used by permission. All rights reserved.</w:t>
      </w:r>
    </w:p>
    <w:p w14:paraId="4083C34B">
      <w:pPr>
        <w:pStyle w:val="9"/>
        <w:spacing w:after="0"/>
        <w:jc w:val="left"/>
        <w:rPr>
          <w:rFonts w:hint="eastAsia"/>
          <w:sz w:val="30"/>
          <w:szCs w:val="30"/>
        </w:rPr>
      </w:pPr>
    </w:p>
    <w:p w14:paraId="11F21978">
      <w:pPr>
        <w:pStyle w:val="9"/>
        <w:spacing w:after="0"/>
        <w:jc w:val="left"/>
        <w:rPr>
          <w:rFonts w:hint="eastAsia"/>
          <w:sz w:val="30"/>
          <w:szCs w:val="30"/>
        </w:rPr>
      </w:pPr>
      <w:r>
        <w:rPr>
          <w:rFonts w:hint="eastAsia"/>
          <w:sz w:val="30"/>
          <w:szCs w:val="30"/>
        </w:rPr>
        <w:t>标有ESV的经文引自《圣经：英文标准版》，版权 © 2001，惠顿：好消息出版社。经许可使用。保留所有权利。</w:t>
      </w:r>
    </w:p>
    <w:p w14:paraId="74B4A66A">
      <w:pPr>
        <w:pStyle w:val="9"/>
        <w:spacing w:after="0"/>
        <w:jc w:val="left"/>
        <w:rPr>
          <w:rFonts w:hint="eastAsia"/>
          <w:sz w:val="30"/>
          <w:szCs w:val="30"/>
        </w:rPr>
      </w:pPr>
    </w:p>
    <w:p w14:paraId="22FAAD33">
      <w:pPr>
        <w:pStyle w:val="9"/>
        <w:spacing w:after="0"/>
        <w:jc w:val="left"/>
        <w:rPr>
          <w:rFonts w:hint="eastAsia"/>
          <w:sz w:val="30"/>
          <w:szCs w:val="30"/>
        </w:rPr>
      </w:pPr>
      <w:r>
        <w:rPr>
          <w:rFonts w:hint="eastAsia"/>
          <w:sz w:val="30"/>
          <w:szCs w:val="30"/>
        </w:rPr>
        <w:t>Scripture references marked NIV are taken from the Holy Bible, New International Version®, NIV®. Copyright © 1973, 1978, 1984 by Biblica, Inc.™ Used by permission of Zondervan. All rights reserved worldwide. www.zondervan.com</w:t>
      </w:r>
    </w:p>
    <w:p w14:paraId="0458FC23">
      <w:pPr>
        <w:pStyle w:val="9"/>
        <w:spacing w:after="0"/>
        <w:jc w:val="left"/>
        <w:rPr>
          <w:rFonts w:hint="eastAsia"/>
          <w:sz w:val="30"/>
          <w:szCs w:val="30"/>
        </w:rPr>
      </w:pPr>
    </w:p>
    <w:p w14:paraId="5B857A71">
      <w:pPr>
        <w:pStyle w:val="9"/>
        <w:spacing w:after="0"/>
        <w:jc w:val="left"/>
        <w:rPr>
          <w:rFonts w:hint="eastAsia"/>
          <w:sz w:val="30"/>
          <w:szCs w:val="30"/>
        </w:rPr>
      </w:pPr>
      <w:r>
        <w:rPr>
          <w:rFonts w:hint="eastAsia"/>
          <w:sz w:val="30"/>
          <w:szCs w:val="30"/>
        </w:rPr>
        <w:t>标有NIV的经文引自《圣经，新国际版®》，NIV®。版权 © 1973, 1978, 1984 Biblica, Inc.™，经桑德凡出版社许可使用。全球保留所有权利。www.zondervan.com</w:t>
      </w:r>
    </w:p>
    <w:p w14:paraId="63FE725E">
      <w:pPr>
        <w:pStyle w:val="9"/>
        <w:spacing w:after="0"/>
        <w:jc w:val="left"/>
        <w:rPr>
          <w:rFonts w:hint="eastAsia"/>
          <w:sz w:val="30"/>
          <w:szCs w:val="30"/>
        </w:rPr>
      </w:pPr>
    </w:p>
    <w:p w14:paraId="005BEEAD">
      <w:pPr>
        <w:pStyle w:val="9"/>
        <w:spacing w:after="0"/>
        <w:jc w:val="left"/>
        <w:rPr>
          <w:rFonts w:hint="eastAsia"/>
          <w:sz w:val="30"/>
          <w:szCs w:val="30"/>
        </w:rPr>
      </w:pPr>
      <w:r>
        <w:rPr>
          <w:rFonts w:hint="eastAsia"/>
          <w:sz w:val="30"/>
          <w:szCs w:val="30"/>
        </w:rPr>
        <w:t>Scripture references marked NKJV are taken from the New King James Version. Copyright © 1982 by Thomas Nelson, Inc. Used by permission. All rights reserved.</w:t>
      </w:r>
    </w:p>
    <w:p w14:paraId="3139EDC4">
      <w:pPr>
        <w:pStyle w:val="9"/>
        <w:spacing w:after="0"/>
        <w:jc w:val="left"/>
        <w:rPr>
          <w:rFonts w:hint="eastAsia"/>
          <w:sz w:val="30"/>
          <w:szCs w:val="30"/>
        </w:rPr>
      </w:pPr>
    </w:p>
    <w:p w14:paraId="2D46BDCD">
      <w:pPr>
        <w:pStyle w:val="9"/>
        <w:spacing w:after="0"/>
        <w:jc w:val="left"/>
        <w:rPr>
          <w:rFonts w:hint="eastAsia"/>
          <w:sz w:val="30"/>
          <w:szCs w:val="30"/>
        </w:rPr>
      </w:pPr>
      <w:r>
        <w:rPr>
          <w:rFonts w:hint="eastAsia"/>
          <w:sz w:val="30"/>
          <w:szCs w:val="30"/>
        </w:rPr>
        <w:t>标有NKJV的经文引自《新英王钦定本》。版权 © 1982 托马斯·尼尔森公司。经许可使用。保留所有权利。</w:t>
      </w:r>
    </w:p>
    <w:p w14:paraId="17C7D0CB">
      <w:pPr>
        <w:pStyle w:val="9"/>
        <w:spacing w:after="0"/>
        <w:jc w:val="left"/>
        <w:rPr>
          <w:rFonts w:hint="eastAsia"/>
          <w:sz w:val="30"/>
          <w:szCs w:val="30"/>
        </w:rPr>
      </w:pPr>
    </w:p>
    <w:p w14:paraId="2996F9A6">
      <w:pPr>
        <w:pStyle w:val="9"/>
        <w:spacing w:after="0"/>
        <w:jc w:val="left"/>
        <w:rPr>
          <w:rFonts w:hint="eastAsia"/>
          <w:sz w:val="30"/>
          <w:szCs w:val="30"/>
        </w:rPr>
      </w:pPr>
      <w:r>
        <w:rPr>
          <w:rFonts w:hint="eastAsia"/>
          <w:sz w:val="30"/>
          <w:szCs w:val="30"/>
        </w:rPr>
        <w:t>ISBN 13 (Print): 978-1-63232-024-7</w:t>
      </w:r>
    </w:p>
    <w:p w14:paraId="64B9A229">
      <w:pPr>
        <w:pStyle w:val="9"/>
        <w:spacing w:after="0"/>
        <w:jc w:val="left"/>
        <w:rPr>
          <w:rFonts w:hint="eastAsia"/>
          <w:sz w:val="30"/>
          <w:szCs w:val="30"/>
        </w:rPr>
      </w:pPr>
    </w:p>
    <w:p w14:paraId="33F1B623">
      <w:pPr>
        <w:pStyle w:val="9"/>
        <w:spacing w:after="0"/>
        <w:jc w:val="left"/>
        <w:rPr>
          <w:rFonts w:hint="eastAsia"/>
          <w:sz w:val="30"/>
          <w:szCs w:val="30"/>
        </w:rPr>
      </w:pPr>
      <w:r>
        <w:rPr>
          <w:rFonts w:hint="eastAsia"/>
          <w:sz w:val="30"/>
          <w:szCs w:val="30"/>
        </w:rPr>
        <w:t>国际标准书号 13 (印刷版): 978-1-63232-024-7</w:t>
      </w:r>
    </w:p>
    <w:p w14:paraId="6D996C90">
      <w:pPr>
        <w:pStyle w:val="9"/>
        <w:spacing w:after="0"/>
        <w:jc w:val="left"/>
        <w:rPr>
          <w:rFonts w:hint="eastAsia"/>
          <w:sz w:val="30"/>
          <w:szCs w:val="30"/>
        </w:rPr>
      </w:pPr>
    </w:p>
    <w:p w14:paraId="69EBBA64">
      <w:pPr>
        <w:pStyle w:val="9"/>
        <w:spacing w:after="0"/>
        <w:jc w:val="left"/>
        <w:rPr>
          <w:rFonts w:hint="eastAsia"/>
          <w:sz w:val="30"/>
          <w:szCs w:val="30"/>
        </w:rPr>
      </w:pPr>
      <w:r>
        <w:rPr>
          <w:rFonts w:hint="eastAsia"/>
          <w:sz w:val="30"/>
          <w:szCs w:val="30"/>
        </w:rPr>
        <w:t>ISBN 13 (eBook): 978-1-63232-025-4</w:t>
      </w:r>
    </w:p>
    <w:p w14:paraId="4B68BBF3">
      <w:pPr>
        <w:pStyle w:val="9"/>
        <w:spacing w:after="0"/>
        <w:jc w:val="left"/>
        <w:rPr>
          <w:rFonts w:hint="eastAsia"/>
          <w:sz w:val="30"/>
          <w:szCs w:val="30"/>
        </w:rPr>
      </w:pPr>
    </w:p>
    <w:p w14:paraId="60167BEF">
      <w:pPr>
        <w:pStyle w:val="9"/>
        <w:spacing w:after="0"/>
        <w:jc w:val="left"/>
        <w:rPr>
          <w:rFonts w:hint="eastAsia"/>
          <w:sz w:val="30"/>
          <w:szCs w:val="30"/>
        </w:rPr>
      </w:pPr>
      <w:r>
        <w:rPr>
          <w:rFonts w:hint="eastAsia"/>
          <w:sz w:val="30"/>
          <w:szCs w:val="30"/>
        </w:rPr>
        <w:t>国际标准书号 13 (电子书版): 978-1-63232-025-4</w:t>
      </w:r>
    </w:p>
    <w:p w14:paraId="11EAA185">
      <w:pPr>
        <w:pStyle w:val="9"/>
        <w:spacing w:after="0"/>
        <w:jc w:val="left"/>
        <w:rPr>
          <w:rFonts w:hint="eastAsia"/>
          <w:sz w:val="30"/>
          <w:szCs w:val="30"/>
        </w:rPr>
      </w:pPr>
    </w:p>
    <w:p w14:paraId="05251F5E">
      <w:pPr>
        <w:pStyle w:val="9"/>
        <w:spacing w:after="0"/>
        <w:jc w:val="left"/>
        <w:rPr>
          <w:rFonts w:hint="eastAsia"/>
          <w:sz w:val="30"/>
          <w:szCs w:val="30"/>
        </w:rPr>
      </w:pPr>
      <w:r>
        <w:rPr>
          <w:rFonts w:hint="eastAsia"/>
          <w:sz w:val="30"/>
          <w:szCs w:val="30"/>
        </w:rPr>
        <w:t>Library of Congress Catalog Card Number: 2013906137</w:t>
      </w:r>
    </w:p>
    <w:p w14:paraId="45DAA283">
      <w:pPr>
        <w:pStyle w:val="9"/>
        <w:spacing w:after="0"/>
        <w:jc w:val="left"/>
        <w:rPr>
          <w:rFonts w:hint="eastAsia"/>
          <w:sz w:val="30"/>
          <w:szCs w:val="30"/>
        </w:rPr>
      </w:pPr>
    </w:p>
    <w:p w14:paraId="4C66820F">
      <w:pPr>
        <w:pStyle w:val="9"/>
        <w:spacing w:after="0"/>
        <w:jc w:val="left"/>
        <w:rPr>
          <w:rFonts w:hint="eastAsia"/>
          <w:sz w:val="30"/>
          <w:szCs w:val="30"/>
        </w:rPr>
      </w:pPr>
      <w:r>
        <w:rPr>
          <w:rFonts w:hint="eastAsia"/>
          <w:sz w:val="30"/>
          <w:szCs w:val="30"/>
        </w:rPr>
        <w:t>美国国会图书馆目录卡号: 2013906137</w:t>
      </w:r>
    </w:p>
    <w:p w14:paraId="339F399B">
      <w:pPr>
        <w:pStyle w:val="9"/>
        <w:spacing w:after="0"/>
        <w:jc w:val="left"/>
        <w:rPr>
          <w:rFonts w:hint="eastAsia"/>
          <w:sz w:val="30"/>
          <w:szCs w:val="30"/>
        </w:rPr>
      </w:pPr>
    </w:p>
    <w:p w14:paraId="0B3FB22C">
      <w:pPr>
        <w:pStyle w:val="9"/>
        <w:spacing w:after="0"/>
        <w:jc w:val="left"/>
        <w:rPr>
          <w:rFonts w:hint="eastAsia"/>
          <w:sz w:val="30"/>
          <w:szCs w:val="30"/>
        </w:rPr>
      </w:pPr>
    </w:p>
    <w:p w14:paraId="661B8206">
      <w:pPr>
        <w:pStyle w:val="9"/>
        <w:spacing w:after="0"/>
        <w:jc w:val="left"/>
        <w:rPr>
          <w:rFonts w:hint="eastAsia"/>
          <w:sz w:val="30"/>
          <w:szCs w:val="30"/>
        </w:rPr>
      </w:pPr>
    </w:p>
    <w:p w14:paraId="5704C7AB">
      <w:pPr>
        <w:pStyle w:val="9"/>
        <w:spacing w:after="0"/>
        <w:jc w:val="center"/>
        <w:rPr>
          <w:rFonts w:hint="eastAsia"/>
          <w:sz w:val="30"/>
          <w:szCs w:val="30"/>
        </w:rPr>
      </w:pPr>
      <w:r>
        <w:rPr>
          <w:rFonts w:hint="eastAsia"/>
          <w:sz w:val="30"/>
          <w:szCs w:val="30"/>
        </w:rPr>
        <w:t>Come to me,</w:t>
      </w:r>
    </w:p>
    <w:p w14:paraId="2C469A39">
      <w:pPr>
        <w:pStyle w:val="9"/>
        <w:spacing w:after="0"/>
        <w:jc w:val="center"/>
        <w:rPr>
          <w:rFonts w:hint="eastAsia"/>
          <w:sz w:val="30"/>
          <w:szCs w:val="30"/>
        </w:rPr>
      </w:pPr>
    </w:p>
    <w:p w14:paraId="700C2A52">
      <w:pPr>
        <w:pStyle w:val="9"/>
        <w:spacing w:after="0"/>
        <w:jc w:val="center"/>
        <w:rPr>
          <w:rFonts w:hint="eastAsia"/>
          <w:sz w:val="30"/>
          <w:szCs w:val="30"/>
        </w:rPr>
      </w:pPr>
      <w:r>
        <w:rPr>
          <w:rFonts w:hint="eastAsia"/>
          <w:sz w:val="30"/>
          <w:szCs w:val="30"/>
        </w:rPr>
        <w:t>到我这里来，</w:t>
      </w:r>
    </w:p>
    <w:p w14:paraId="5B251142">
      <w:pPr>
        <w:pStyle w:val="9"/>
        <w:spacing w:after="0"/>
        <w:jc w:val="center"/>
        <w:rPr>
          <w:rFonts w:hint="eastAsia"/>
          <w:sz w:val="30"/>
          <w:szCs w:val="30"/>
        </w:rPr>
      </w:pPr>
    </w:p>
    <w:p w14:paraId="6DE2DBA7">
      <w:pPr>
        <w:pStyle w:val="9"/>
        <w:spacing w:after="0"/>
        <w:jc w:val="center"/>
        <w:rPr>
          <w:rFonts w:hint="eastAsia"/>
          <w:sz w:val="30"/>
          <w:szCs w:val="30"/>
        </w:rPr>
      </w:pPr>
      <w:r>
        <w:rPr>
          <w:rFonts w:hint="eastAsia"/>
          <w:sz w:val="30"/>
          <w:szCs w:val="30"/>
        </w:rPr>
        <w:t>All who are weary and are heavy laden, And I will give you rest.</w:t>
      </w:r>
    </w:p>
    <w:p w14:paraId="0E4087A4">
      <w:pPr>
        <w:pStyle w:val="9"/>
        <w:spacing w:after="0"/>
        <w:jc w:val="center"/>
        <w:rPr>
          <w:rFonts w:hint="eastAsia"/>
          <w:sz w:val="30"/>
          <w:szCs w:val="30"/>
        </w:rPr>
      </w:pPr>
    </w:p>
    <w:p w14:paraId="1DA62EE6">
      <w:pPr>
        <w:pStyle w:val="9"/>
        <w:spacing w:after="0"/>
        <w:jc w:val="center"/>
        <w:rPr>
          <w:rFonts w:hint="eastAsia"/>
          <w:sz w:val="30"/>
          <w:szCs w:val="30"/>
        </w:rPr>
      </w:pPr>
      <w:r>
        <w:rPr>
          <w:rFonts w:hint="eastAsia"/>
          <w:sz w:val="30"/>
          <w:szCs w:val="30"/>
        </w:rPr>
        <w:t>所有劳苦和负重担的人，我将赐给你们安息。</w:t>
      </w:r>
    </w:p>
    <w:p w14:paraId="0C36FA7D">
      <w:pPr>
        <w:pStyle w:val="9"/>
        <w:spacing w:after="0"/>
        <w:jc w:val="center"/>
        <w:rPr>
          <w:rFonts w:hint="eastAsia"/>
          <w:sz w:val="30"/>
          <w:szCs w:val="30"/>
        </w:rPr>
      </w:pPr>
    </w:p>
    <w:p w14:paraId="7910E2D8">
      <w:pPr>
        <w:pStyle w:val="9"/>
        <w:spacing w:after="0"/>
        <w:jc w:val="center"/>
        <w:rPr>
          <w:rFonts w:hint="eastAsia"/>
          <w:sz w:val="30"/>
          <w:szCs w:val="30"/>
        </w:rPr>
      </w:pPr>
      <w:r>
        <w:rPr>
          <w:rFonts w:hint="eastAsia"/>
          <w:sz w:val="30"/>
          <w:szCs w:val="30"/>
        </w:rPr>
        <w:t>Take my yoke upon you and learn from me,</w:t>
      </w:r>
    </w:p>
    <w:p w14:paraId="3D0F038A">
      <w:pPr>
        <w:pStyle w:val="9"/>
        <w:spacing w:after="0"/>
        <w:jc w:val="center"/>
        <w:rPr>
          <w:rFonts w:hint="eastAsia"/>
          <w:sz w:val="30"/>
          <w:szCs w:val="30"/>
        </w:rPr>
      </w:pPr>
    </w:p>
    <w:p w14:paraId="3A03DCAB">
      <w:pPr>
        <w:pStyle w:val="9"/>
        <w:spacing w:after="0"/>
        <w:jc w:val="center"/>
        <w:rPr>
          <w:rFonts w:hint="eastAsia"/>
          <w:sz w:val="30"/>
          <w:szCs w:val="30"/>
        </w:rPr>
      </w:pPr>
      <w:r>
        <w:rPr>
          <w:rFonts w:hint="eastAsia"/>
          <w:sz w:val="30"/>
          <w:szCs w:val="30"/>
        </w:rPr>
        <w:t>你们当负我的轭，向我学习，</w:t>
      </w:r>
    </w:p>
    <w:p w14:paraId="094BCFDB">
      <w:pPr>
        <w:pStyle w:val="9"/>
        <w:spacing w:after="0"/>
        <w:jc w:val="center"/>
        <w:rPr>
          <w:rFonts w:hint="eastAsia"/>
          <w:sz w:val="30"/>
          <w:szCs w:val="30"/>
        </w:rPr>
      </w:pPr>
    </w:p>
    <w:p w14:paraId="1E52556F">
      <w:pPr>
        <w:pStyle w:val="9"/>
        <w:spacing w:after="0"/>
        <w:jc w:val="center"/>
        <w:rPr>
          <w:rFonts w:hint="eastAsia"/>
          <w:sz w:val="30"/>
          <w:szCs w:val="30"/>
        </w:rPr>
      </w:pPr>
      <w:r>
        <w:rPr>
          <w:rFonts w:hint="eastAsia"/>
          <w:sz w:val="30"/>
          <w:szCs w:val="30"/>
        </w:rPr>
        <w:t>For I am gentle and humble in heart,</w:t>
      </w:r>
    </w:p>
    <w:p w14:paraId="1224D22E">
      <w:pPr>
        <w:pStyle w:val="9"/>
        <w:spacing w:after="0"/>
        <w:jc w:val="center"/>
        <w:rPr>
          <w:rFonts w:hint="eastAsia"/>
          <w:sz w:val="30"/>
          <w:szCs w:val="30"/>
        </w:rPr>
      </w:pPr>
    </w:p>
    <w:p w14:paraId="11D52AB1">
      <w:pPr>
        <w:pStyle w:val="9"/>
        <w:spacing w:after="0"/>
        <w:jc w:val="center"/>
        <w:rPr>
          <w:rFonts w:hint="eastAsia"/>
          <w:sz w:val="30"/>
          <w:szCs w:val="30"/>
        </w:rPr>
      </w:pPr>
      <w:r>
        <w:rPr>
          <w:rFonts w:hint="eastAsia"/>
          <w:sz w:val="30"/>
          <w:szCs w:val="30"/>
        </w:rPr>
        <w:t>因为我心里柔和谦卑，</w:t>
      </w:r>
    </w:p>
    <w:p w14:paraId="57A089B5">
      <w:pPr>
        <w:pStyle w:val="9"/>
        <w:spacing w:after="0"/>
        <w:jc w:val="center"/>
        <w:rPr>
          <w:rFonts w:hint="eastAsia"/>
          <w:sz w:val="30"/>
          <w:szCs w:val="30"/>
        </w:rPr>
      </w:pPr>
    </w:p>
    <w:p w14:paraId="45700F56">
      <w:pPr>
        <w:pStyle w:val="9"/>
        <w:spacing w:after="0"/>
        <w:jc w:val="center"/>
        <w:rPr>
          <w:rFonts w:hint="eastAsia"/>
          <w:sz w:val="30"/>
          <w:szCs w:val="30"/>
        </w:rPr>
      </w:pPr>
      <w:r>
        <w:rPr>
          <w:rFonts w:hint="eastAsia"/>
          <w:sz w:val="30"/>
          <w:szCs w:val="30"/>
        </w:rPr>
        <w:t>And you shall find rest for your souls.</w:t>
      </w:r>
    </w:p>
    <w:p w14:paraId="3C8B33C1">
      <w:pPr>
        <w:pStyle w:val="9"/>
        <w:spacing w:after="0"/>
        <w:jc w:val="center"/>
        <w:rPr>
          <w:rFonts w:hint="eastAsia"/>
          <w:sz w:val="30"/>
          <w:szCs w:val="30"/>
        </w:rPr>
      </w:pPr>
    </w:p>
    <w:p w14:paraId="010236C7">
      <w:pPr>
        <w:pStyle w:val="9"/>
        <w:spacing w:after="0"/>
        <w:jc w:val="center"/>
        <w:rPr>
          <w:rFonts w:hint="eastAsia"/>
          <w:sz w:val="30"/>
          <w:szCs w:val="30"/>
        </w:rPr>
      </w:pPr>
      <w:r>
        <w:rPr>
          <w:rFonts w:hint="eastAsia"/>
          <w:sz w:val="30"/>
          <w:szCs w:val="30"/>
        </w:rPr>
        <w:t>这样，你们的魂里就必得享安息。</w:t>
      </w:r>
    </w:p>
    <w:p w14:paraId="7B7399AD">
      <w:pPr>
        <w:pStyle w:val="9"/>
        <w:spacing w:after="0"/>
        <w:jc w:val="center"/>
        <w:rPr>
          <w:rFonts w:hint="eastAsia"/>
          <w:sz w:val="30"/>
          <w:szCs w:val="30"/>
        </w:rPr>
      </w:pPr>
    </w:p>
    <w:p w14:paraId="370F9EA9">
      <w:pPr>
        <w:pStyle w:val="9"/>
        <w:spacing w:after="0"/>
        <w:jc w:val="center"/>
        <w:rPr>
          <w:rFonts w:hint="eastAsia"/>
          <w:sz w:val="30"/>
          <w:szCs w:val="30"/>
        </w:rPr>
      </w:pPr>
      <w:r>
        <w:rPr>
          <w:rFonts w:hint="eastAsia"/>
          <w:sz w:val="30"/>
          <w:szCs w:val="30"/>
        </w:rPr>
        <w:t>For my yoke is easy, and my burden is light.</w:t>
      </w:r>
    </w:p>
    <w:p w14:paraId="4FB3BE18">
      <w:pPr>
        <w:pStyle w:val="9"/>
        <w:spacing w:after="0"/>
        <w:jc w:val="center"/>
        <w:rPr>
          <w:rFonts w:hint="eastAsia"/>
          <w:sz w:val="30"/>
          <w:szCs w:val="30"/>
        </w:rPr>
      </w:pPr>
    </w:p>
    <w:p w14:paraId="18C92477">
      <w:pPr>
        <w:pStyle w:val="9"/>
        <w:spacing w:after="0"/>
        <w:jc w:val="center"/>
        <w:rPr>
          <w:rFonts w:hint="eastAsia"/>
          <w:sz w:val="30"/>
          <w:szCs w:val="30"/>
        </w:rPr>
      </w:pPr>
      <w:r>
        <w:rPr>
          <w:rFonts w:hint="eastAsia"/>
          <w:sz w:val="30"/>
          <w:szCs w:val="30"/>
        </w:rPr>
        <w:t>因为我的轭是容易的，我的担子是轻省的。</w:t>
      </w:r>
    </w:p>
    <w:p w14:paraId="0B3DD52E">
      <w:pPr>
        <w:pStyle w:val="9"/>
        <w:spacing w:after="0"/>
        <w:jc w:val="center"/>
        <w:rPr>
          <w:rFonts w:hint="eastAsia"/>
          <w:sz w:val="30"/>
          <w:szCs w:val="30"/>
        </w:rPr>
      </w:pPr>
    </w:p>
    <w:p w14:paraId="1839742F">
      <w:pPr>
        <w:pStyle w:val="9"/>
        <w:spacing w:after="0"/>
        <w:jc w:val="center"/>
        <w:rPr>
          <w:rFonts w:hint="eastAsia"/>
          <w:sz w:val="30"/>
          <w:szCs w:val="30"/>
        </w:rPr>
      </w:pPr>
      <w:r>
        <w:rPr>
          <w:rFonts w:hint="eastAsia"/>
          <w:sz w:val="30"/>
          <w:szCs w:val="30"/>
        </w:rPr>
        <w:t>And behold … I have the keys.</w:t>
      </w:r>
    </w:p>
    <w:p w14:paraId="590FB886">
      <w:pPr>
        <w:pStyle w:val="9"/>
        <w:spacing w:after="0"/>
        <w:jc w:val="center"/>
        <w:rPr>
          <w:rFonts w:hint="eastAsia"/>
          <w:sz w:val="30"/>
          <w:szCs w:val="30"/>
        </w:rPr>
      </w:pPr>
    </w:p>
    <w:p w14:paraId="5121A3CB">
      <w:pPr>
        <w:pStyle w:val="9"/>
        <w:spacing w:after="0"/>
        <w:jc w:val="center"/>
        <w:rPr>
          <w:rFonts w:hint="eastAsia"/>
          <w:sz w:val="30"/>
          <w:szCs w:val="30"/>
        </w:rPr>
      </w:pPr>
      <w:r>
        <w:rPr>
          <w:rFonts w:hint="eastAsia"/>
          <w:sz w:val="30"/>
          <w:szCs w:val="30"/>
        </w:rPr>
        <w:t>并且，看哪……我拿着众钥匙。</w:t>
      </w:r>
    </w:p>
    <w:p w14:paraId="6CA258F9">
      <w:pPr>
        <w:pStyle w:val="9"/>
        <w:spacing w:after="0"/>
        <w:jc w:val="center"/>
        <w:rPr>
          <w:rFonts w:hint="eastAsia"/>
          <w:sz w:val="30"/>
          <w:szCs w:val="30"/>
        </w:rPr>
      </w:pPr>
    </w:p>
    <w:p w14:paraId="2FF82D2B">
      <w:pPr>
        <w:pStyle w:val="9"/>
        <w:spacing w:after="0"/>
        <w:jc w:val="center"/>
        <w:rPr>
          <w:rFonts w:hint="eastAsia"/>
          <w:sz w:val="30"/>
          <w:szCs w:val="30"/>
        </w:rPr>
      </w:pPr>
      <w:r>
        <w:rPr>
          <w:rFonts w:hint="eastAsia"/>
          <w:sz w:val="30"/>
          <w:szCs w:val="30"/>
        </w:rPr>
        <w:t>(Mt. 11:28ff, Rev. 1:18)</w:t>
      </w:r>
    </w:p>
    <w:p w14:paraId="77995BBB">
      <w:pPr>
        <w:pStyle w:val="9"/>
        <w:spacing w:after="0"/>
        <w:jc w:val="center"/>
        <w:rPr>
          <w:rFonts w:hint="eastAsia"/>
          <w:sz w:val="30"/>
          <w:szCs w:val="30"/>
        </w:rPr>
      </w:pPr>
    </w:p>
    <w:p w14:paraId="28BA4340">
      <w:pPr>
        <w:pStyle w:val="9"/>
        <w:spacing w:after="0"/>
        <w:jc w:val="center"/>
        <w:rPr>
          <w:rFonts w:hint="eastAsia"/>
          <w:sz w:val="30"/>
          <w:szCs w:val="30"/>
        </w:rPr>
      </w:pPr>
      <w:r>
        <w:rPr>
          <w:rFonts w:hint="eastAsia"/>
          <w:sz w:val="30"/>
          <w:szCs w:val="30"/>
        </w:rPr>
        <w:t>（太 11:28及以下, 启 1:18）</w:t>
      </w:r>
    </w:p>
    <w:p w14:paraId="2340B097">
      <w:pPr>
        <w:pStyle w:val="9"/>
        <w:spacing w:after="0"/>
        <w:jc w:val="center"/>
        <w:rPr>
          <w:rFonts w:hint="eastAsia"/>
          <w:sz w:val="30"/>
          <w:szCs w:val="30"/>
        </w:rPr>
      </w:pPr>
    </w:p>
    <w:p w14:paraId="6CA43322">
      <w:pPr>
        <w:pStyle w:val="9"/>
        <w:spacing w:after="0"/>
        <w:jc w:val="center"/>
        <w:rPr>
          <w:rFonts w:hint="eastAsia"/>
          <w:sz w:val="30"/>
          <w:szCs w:val="30"/>
        </w:rPr>
      </w:pPr>
      <w:r>
        <w:rPr>
          <w:rFonts w:hint="eastAsia"/>
          <w:sz w:val="30"/>
          <w:szCs w:val="30"/>
        </w:rPr>
        <w:t>High King of Heaven My victory won</w:t>
      </w:r>
    </w:p>
    <w:p w14:paraId="67431EB1">
      <w:pPr>
        <w:pStyle w:val="9"/>
        <w:spacing w:after="0"/>
        <w:jc w:val="center"/>
        <w:rPr>
          <w:rFonts w:hint="eastAsia"/>
          <w:sz w:val="30"/>
          <w:szCs w:val="30"/>
        </w:rPr>
      </w:pPr>
    </w:p>
    <w:p w14:paraId="339DAE89">
      <w:pPr>
        <w:pStyle w:val="9"/>
        <w:spacing w:after="0"/>
        <w:jc w:val="center"/>
        <w:rPr>
          <w:rFonts w:hint="eastAsia"/>
          <w:sz w:val="30"/>
          <w:szCs w:val="30"/>
        </w:rPr>
      </w:pPr>
      <w:r>
        <w:rPr>
          <w:rFonts w:hint="eastAsia"/>
          <w:sz w:val="30"/>
          <w:szCs w:val="30"/>
        </w:rPr>
        <w:t>天上的至高君王 我的胜利已赢得</w:t>
      </w:r>
    </w:p>
    <w:p w14:paraId="5ADA3B6E">
      <w:pPr>
        <w:pStyle w:val="9"/>
        <w:spacing w:after="0"/>
        <w:jc w:val="center"/>
        <w:rPr>
          <w:rFonts w:hint="eastAsia"/>
          <w:sz w:val="30"/>
          <w:szCs w:val="30"/>
        </w:rPr>
      </w:pPr>
    </w:p>
    <w:p w14:paraId="38EDA5CE">
      <w:pPr>
        <w:pStyle w:val="9"/>
        <w:spacing w:after="0"/>
        <w:jc w:val="center"/>
        <w:rPr>
          <w:rFonts w:hint="eastAsia"/>
          <w:sz w:val="30"/>
          <w:szCs w:val="30"/>
        </w:rPr>
      </w:pPr>
      <w:r>
        <w:rPr>
          <w:rFonts w:hint="eastAsia"/>
          <w:sz w:val="30"/>
          <w:szCs w:val="30"/>
        </w:rPr>
        <w:t>May I reach heaven’s joys O bright Heaven’s Sun …</w:t>
      </w:r>
    </w:p>
    <w:p w14:paraId="33E1D96B">
      <w:pPr>
        <w:pStyle w:val="9"/>
        <w:spacing w:after="0"/>
        <w:jc w:val="center"/>
        <w:rPr>
          <w:rFonts w:hint="eastAsia"/>
          <w:sz w:val="30"/>
          <w:szCs w:val="30"/>
        </w:rPr>
      </w:pPr>
    </w:p>
    <w:p w14:paraId="3A2C939E">
      <w:pPr>
        <w:pStyle w:val="9"/>
        <w:spacing w:after="0"/>
        <w:jc w:val="center"/>
        <w:rPr>
          <w:rFonts w:hint="eastAsia"/>
          <w:sz w:val="30"/>
          <w:szCs w:val="30"/>
        </w:rPr>
      </w:pPr>
      <w:r>
        <w:rPr>
          <w:rFonts w:hint="eastAsia"/>
          <w:sz w:val="30"/>
          <w:szCs w:val="30"/>
        </w:rPr>
        <w:t>愿我得着天堂之乐 哦 明亮的天堂之日…</w:t>
      </w:r>
    </w:p>
    <w:p w14:paraId="43F35DAB">
      <w:pPr>
        <w:pStyle w:val="9"/>
        <w:spacing w:after="0"/>
        <w:jc w:val="center"/>
        <w:rPr>
          <w:rFonts w:hint="eastAsia"/>
          <w:sz w:val="30"/>
          <w:szCs w:val="30"/>
        </w:rPr>
      </w:pPr>
    </w:p>
    <w:p w14:paraId="219D627C">
      <w:pPr>
        <w:pStyle w:val="9"/>
        <w:spacing w:after="0"/>
        <w:jc w:val="center"/>
        <w:rPr>
          <w:rFonts w:hint="eastAsia"/>
          <w:sz w:val="30"/>
          <w:szCs w:val="30"/>
        </w:rPr>
      </w:pPr>
      <w:r>
        <w:rPr>
          <w:rFonts w:hint="eastAsia"/>
          <w:sz w:val="30"/>
          <w:szCs w:val="30"/>
        </w:rPr>
        <w:t>Heart of my own heart</w:t>
      </w:r>
    </w:p>
    <w:p w14:paraId="4F01D1E6">
      <w:pPr>
        <w:pStyle w:val="9"/>
        <w:spacing w:after="0"/>
        <w:jc w:val="center"/>
        <w:rPr>
          <w:rFonts w:hint="eastAsia"/>
          <w:sz w:val="30"/>
          <w:szCs w:val="30"/>
        </w:rPr>
      </w:pPr>
    </w:p>
    <w:p w14:paraId="5D60CD14">
      <w:pPr>
        <w:pStyle w:val="9"/>
        <w:spacing w:after="0"/>
        <w:jc w:val="center"/>
        <w:rPr>
          <w:rFonts w:hint="eastAsia"/>
          <w:sz w:val="30"/>
          <w:szCs w:val="30"/>
        </w:rPr>
      </w:pPr>
      <w:r>
        <w:rPr>
          <w:rFonts w:hint="eastAsia"/>
          <w:sz w:val="30"/>
          <w:szCs w:val="30"/>
        </w:rPr>
        <w:t>我心之中心</w:t>
      </w:r>
    </w:p>
    <w:p w14:paraId="3B6C26B9">
      <w:pPr>
        <w:pStyle w:val="9"/>
        <w:spacing w:after="0"/>
        <w:jc w:val="center"/>
        <w:rPr>
          <w:rFonts w:hint="eastAsia"/>
          <w:sz w:val="30"/>
          <w:szCs w:val="30"/>
        </w:rPr>
      </w:pPr>
    </w:p>
    <w:p w14:paraId="1A203D37">
      <w:pPr>
        <w:pStyle w:val="9"/>
        <w:spacing w:after="0"/>
        <w:jc w:val="center"/>
        <w:rPr>
          <w:rFonts w:hint="eastAsia"/>
          <w:sz w:val="30"/>
          <w:szCs w:val="30"/>
        </w:rPr>
      </w:pPr>
      <w:r>
        <w:rPr>
          <w:rFonts w:hint="eastAsia"/>
          <w:sz w:val="30"/>
          <w:szCs w:val="30"/>
        </w:rPr>
        <w:t>Whatever befall</w:t>
      </w:r>
    </w:p>
    <w:p w14:paraId="71479A11">
      <w:pPr>
        <w:pStyle w:val="9"/>
        <w:spacing w:after="0"/>
        <w:jc w:val="center"/>
        <w:rPr>
          <w:rFonts w:hint="eastAsia"/>
          <w:sz w:val="30"/>
          <w:szCs w:val="30"/>
        </w:rPr>
      </w:pPr>
    </w:p>
    <w:p w14:paraId="07C4864E">
      <w:pPr>
        <w:pStyle w:val="9"/>
        <w:spacing w:after="0"/>
        <w:jc w:val="center"/>
        <w:rPr>
          <w:rFonts w:hint="eastAsia"/>
          <w:sz w:val="30"/>
          <w:szCs w:val="30"/>
        </w:rPr>
      </w:pPr>
      <w:r>
        <w:rPr>
          <w:rFonts w:hint="eastAsia"/>
          <w:sz w:val="30"/>
          <w:szCs w:val="30"/>
        </w:rPr>
        <w:t>无论遭遇何事</w:t>
      </w:r>
    </w:p>
    <w:p w14:paraId="77C5D1CB">
      <w:pPr>
        <w:pStyle w:val="9"/>
        <w:spacing w:after="0"/>
        <w:jc w:val="center"/>
        <w:rPr>
          <w:rFonts w:hint="eastAsia"/>
          <w:sz w:val="30"/>
          <w:szCs w:val="30"/>
        </w:rPr>
      </w:pPr>
    </w:p>
    <w:p w14:paraId="31F29D70">
      <w:pPr>
        <w:pStyle w:val="9"/>
        <w:spacing w:after="0"/>
        <w:jc w:val="center"/>
        <w:rPr>
          <w:rFonts w:hint="eastAsia"/>
          <w:sz w:val="30"/>
          <w:szCs w:val="30"/>
        </w:rPr>
      </w:pPr>
      <w:r>
        <w:rPr>
          <w:rFonts w:hint="eastAsia"/>
          <w:sz w:val="30"/>
          <w:szCs w:val="30"/>
        </w:rPr>
        <w:t>Still be my vision O Ruler of all!</w:t>
      </w:r>
    </w:p>
    <w:p w14:paraId="4960E046">
      <w:pPr>
        <w:pStyle w:val="9"/>
        <w:spacing w:after="0"/>
        <w:jc w:val="center"/>
        <w:rPr>
          <w:rFonts w:hint="eastAsia"/>
          <w:sz w:val="30"/>
          <w:szCs w:val="30"/>
        </w:rPr>
      </w:pPr>
    </w:p>
    <w:p w14:paraId="7B2C40CB">
      <w:pPr>
        <w:pStyle w:val="9"/>
        <w:spacing w:after="0"/>
        <w:jc w:val="center"/>
        <w:rPr>
          <w:sz w:val="17"/>
        </w:rPr>
        <w:sectPr>
          <w:pgSz w:w="12240" w:h="15840"/>
          <w:pgMar w:top="1820" w:right="1440" w:bottom="280" w:left="1440" w:header="720" w:footer="720" w:gutter="0"/>
          <w:cols w:space="720" w:num="1"/>
        </w:sectPr>
      </w:pPr>
      <w:r>
        <w:rPr>
          <w:rFonts w:hint="eastAsia"/>
          <w:sz w:val="30"/>
          <w:szCs w:val="30"/>
        </w:rPr>
        <w:t>仍作我的异象 哦 万有的主宰！</w:t>
      </w:r>
    </w:p>
    <w:p w14:paraId="777930EC">
      <w:pPr>
        <w:pStyle w:val="2"/>
        <w:bidi w:val="0"/>
        <w:rPr>
          <w:rFonts w:hint="eastAsia"/>
        </w:rPr>
      </w:pPr>
      <w:bookmarkStart w:id="0" w:name="Contents"/>
      <w:bookmarkEnd w:id="0"/>
      <w:bookmarkStart w:id="1" w:name="_bookmark0"/>
      <w:bookmarkEnd w:id="1"/>
      <w:bookmarkStart w:id="2" w:name="Prologue and Acknowledgments"/>
      <w:bookmarkEnd w:id="2"/>
      <w:r>
        <w:rPr>
          <w:rFonts w:hint="eastAsia"/>
        </w:rPr>
        <w:t>Contents</w:t>
      </w:r>
    </w:p>
    <w:p w14:paraId="59427D7F">
      <w:pPr>
        <w:pStyle w:val="2"/>
        <w:bidi w:val="0"/>
        <w:rPr>
          <w:rFonts w:hint="eastAsia"/>
        </w:rPr>
      </w:pPr>
      <w:r>
        <w:rPr>
          <w:rFonts w:hint="eastAsia"/>
        </w:rPr>
        <w:t>目录</w:t>
      </w:r>
    </w:p>
    <w:p w14:paraId="33920E7C">
      <w:pPr>
        <w:bidi w:val="0"/>
        <w:rPr>
          <w:rFonts w:hint="eastAsia"/>
        </w:rPr>
      </w:pPr>
    </w:p>
    <w:p w14:paraId="5A6168CC">
      <w:pPr>
        <w:bidi w:val="0"/>
        <w:rPr>
          <w:rFonts w:hint="eastAsia"/>
          <w:color w:val="0000FF"/>
        </w:rPr>
      </w:pPr>
      <w:r>
        <w:rPr>
          <w:rFonts w:hint="eastAsia"/>
          <w:color w:val="0000FF"/>
        </w:rPr>
        <w:t>Prologue and Acknowledgments</w:t>
      </w:r>
    </w:p>
    <w:p w14:paraId="68A06C3D">
      <w:pPr>
        <w:bidi w:val="0"/>
        <w:rPr>
          <w:rFonts w:hint="eastAsia"/>
          <w:color w:val="0000FF"/>
        </w:rPr>
      </w:pPr>
    </w:p>
    <w:p w14:paraId="44BC4DF3">
      <w:pPr>
        <w:bidi w:val="0"/>
        <w:rPr>
          <w:rFonts w:hint="eastAsia"/>
          <w:color w:val="0000FF"/>
        </w:rPr>
      </w:pPr>
      <w:r>
        <w:rPr>
          <w:rFonts w:hint="eastAsia"/>
          <w:color w:val="0000FF"/>
        </w:rPr>
        <w:t>序言与致谢</w:t>
      </w:r>
    </w:p>
    <w:p w14:paraId="403D6840">
      <w:pPr>
        <w:bidi w:val="0"/>
        <w:rPr>
          <w:rFonts w:hint="eastAsia"/>
          <w:color w:val="0000FF"/>
        </w:rPr>
      </w:pPr>
    </w:p>
    <w:p w14:paraId="5D29013B">
      <w:pPr>
        <w:bidi w:val="0"/>
        <w:rPr>
          <w:rFonts w:hint="eastAsia"/>
          <w:color w:val="0000FF"/>
        </w:rPr>
      </w:pPr>
      <w:r>
        <w:rPr>
          <w:rFonts w:hint="eastAsia"/>
          <w:color w:val="0000FF"/>
        </w:rPr>
        <w:t>Introduction: The Blessed Hope in These Last Days</w:t>
      </w:r>
    </w:p>
    <w:p w14:paraId="784894C1">
      <w:pPr>
        <w:bidi w:val="0"/>
        <w:rPr>
          <w:rFonts w:hint="eastAsia"/>
          <w:color w:val="0000FF"/>
        </w:rPr>
      </w:pPr>
    </w:p>
    <w:p w14:paraId="7BCC1BCD">
      <w:pPr>
        <w:bidi w:val="0"/>
        <w:rPr>
          <w:rFonts w:hint="eastAsia"/>
          <w:color w:val="0000FF"/>
        </w:rPr>
      </w:pPr>
      <w:r>
        <w:rPr>
          <w:rFonts w:hint="eastAsia"/>
          <w:color w:val="0000FF"/>
        </w:rPr>
        <w:t>引言：在这末后日子里有福的盼望</w:t>
      </w:r>
    </w:p>
    <w:p w14:paraId="21715D39">
      <w:pPr>
        <w:bidi w:val="0"/>
        <w:rPr>
          <w:rFonts w:hint="eastAsia"/>
          <w:color w:val="0000FF"/>
        </w:rPr>
      </w:pPr>
    </w:p>
    <w:p w14:paraId="3EDDAB5D">
      <w:pPr>
        <w:bidi w:val="0"/>
        <w:rPr>
          <w:rFonts w:hint="eastAsia"/>
          <w:color w:val="0000FF"/>
        </w:rPr>
      </w:pPr>
      <w:r>
        <w:rPr>
          <w:rFonts w:hint="eastAsia"/>
          <w:color w:val="0000FF"/>
        </w:rPr>
        <w:t>Part 1: Issues and Options in Biblical Eschatology</w:t>
      </w:r>
    </w:p>
    <w:p w14:paraId="2AA6F77B">
      <w:pPr>
        <w:bidi w:val="0"/>
        <w:rPr>
          <w:rFonts w:hint="eastAsia"/>
          <w:color w:val="0000FF"/>
        </w:rPr>
      </w:pPr>
    </w:p>
    <w:p w14:paraId="111BE9E1">
      <w:pPr>
        <w:bidi w:val="0"/>
        <w:rPr>
          <w:rFonts w:hint="eastAsia"/>
          <w:color w:val="0000FF"/>
        </w:rPr>
      </w:pPr>
      <w:r>
        <w:rPr>
          <w:rFonts w:hint="eastAsia"/>
          <w:color w:val="0000FF"/>
        </w:rPr>
        <w:t>第一部分：圣经末世论中的议题与选项</w:t>
      </w:r>
    </w:p>
    <w:p w14:paraId="541DF299">
      <w:pPr>
        <w:bidi w:val="0"/>
        <w:rPr>
          <w:rFonts w:hint="eastAsia"/>
          <w:color w:val="0000FF"/>
        </w:rPr>
      </w:pPr>
    </w:p>
    <w:p w14:paraId="4BC7BBD4">
      <w:pPr>
        <w:bidi w:val="0"/>
        <w:rPr>
          <w:rFonts w:hint="eastAsia"/>
          <w:color w:val="0000FF"/>
        </w:rPr>
      </w:pPr>
      <w:r>
        <w:rPr>
          <w:rFonts w:hint="eastAsia"/>
          <w:color w:val="0000FF"/>
        </w:rPr>
        <w:t>1. ​What is Biblical Eschatology?</w:t>
      </w:r>
    </w:p>
    <w:p w14:paraId="41084B51">
      <w:pPr>
        <w:bidi w:val="0"/>
        <w:rPr>
          <w:rFonts w:hint="eastAsia"/>
          <w:color w:val="0000FF"/>
        </w:rPr>
      </w:pPr>
    </w:p>
    <w:p w14:paraId="57CB5642">
      <w:pPr>
        <w:bidi w:val="0"/>
        <w:rPr>
          <w:rFonts w:hint="eastAsia"/>
          <w:color w:val="0000FF"/>
        </w:rPr>
      </w:pPr>
      <w:r>
        <w:rPr>
          <w:rFonts w:hint="eastAsia"/>
          <w:color w:val="0000FF"/>
        </w:rPr>
        <w:t>1. 什么是圣经末世论？</w:t>
      </w:r>
    </w:p>
    <w:p w14:paraId="555E42C1">
      <w:pPr>
        <w:bidi w:val="0"/>
        <w:rPr>
          <w:rFonts w:hint="eastAsia"/>
          <w:color w:val="0000FF"/>
        </w:rPr>
      </w:pPr>
    </w:p>
    <w:p w14:paraId="7B750EB8">
      <w:pPr>
        <w:bidi w:val="0"/>
        <w:rPr>
          <w:rFonts w:hint="eastAsia"/>
          <w:color w:val="0000FF"/>
        </w:rPr>
      </w:pPr>
      <w:r>
        <w:rPr>
          <w:rFonts w:hint="eastAsia"/>
          <w:color w:val="0000FF"/>
        </w:rPr>
        <w:t>2. ​Issues in Biblical Eschatology</w:t>
      </w:r>
    </w:p>
    <w:p w14:paraId="4383874B">
      <w:pPr>
        <w:bidi w:val="0"/>
        <w:rPr>
          <w:rFonts w:hint="eastAsia"/>
          <w:color w:val="0000FF"/>
        </w:rPr>
      </w:pPr>
    </w:p>
    <w:p w14:paraId="6B9A6A6C">
      <w:pPr>
        <w:bidi w:val="0"/>
        <w:rPr>
          <w:rFonts w:hint="eastAsia"/>
          <w:color w:val="0000FF"/>
        </w:rPr>
      </w:pPr>
      <w:r>
        <w:rPr>
          <w:rFonts w:hint="eastAsia"/>
          <w:color w:val="0000FF"/>
        </w:rPr>
        <w:t>2. 圣经末世论中的议题</w:t>
      </w:r>
    </w:p>
    <w:p w14:paraId="7272ABE2">
      <w:pPr>
        <w:bidi w:val="0"/>
        <w:rPr>
          <w:rFonts w:hint="eastAsia"/>
          <w:color w:val="0000FF"/>
        </w:rPr>
      </w:pPr>
    </w:p>
    <w:p w14:paraId="608F9B40">
      <w:pPr>
        <w:bidi w:val="0"/>
        <w:rPr>
          <w:rFonts w:hint="eastAsia"/>
          <w:color w:val="0000FF"/>
        </w:rPr>
      </w:pPr>
      <w:r>
        <w:rPr>
          <w:rFonts w:hint="eastAsia"/>
          <w:color w:val="0000FF"/>
        </w:rPr>
        <w:t>3. ​Options in Biblical Eschatology</w:t>
      </w:r>
    </w:p>
    <w:p w14:paraId="1DCE9A8B">
      <w:pPr>
        <w:bidi w:val="0"/>
        <w:rPr>
          <w:rFonts w:hint="eastAsia"/>
          <w:color w:val="0000FF"/>
        </w:rPr>
      </w:pPr>
    </w:p>
    <w:p w14:paraId="27AE9D6C">
      <w:pPr>
        <w:bidi w:val="0"/>
        <w:rPr>
          <w:rFonts w:hint="eastAsia"/>
          <w:color w:val="0000FF"/>
        </w:rPr>
      </w:pPr>
      <w:r>
        <w:rPr>
          <w:rFonts w:hint="eastAsia"/>
          <w:color w:val="0000FF"/>
        </w:rPr>
        <w:t>3. 圣经末世论中的选项</w:t>
      </w:r>
    </w:p>
    <w:p w14:paraId="16D3415E">
      <w:pPr>
        <w:bidi w:val="0"/>
        <w:rPr>
          <w:rFonts w:hint="eastAsia"/>
          <w:color w:val="0000FF"/>
        </w:rPr>
      </w:pPr>
    </w:p>
    <w:p w14:paraId="66CF40F8">
      <w:pPr>
        <w:bidi w:val="0"/>
        <w:rPr>
          <w:rFonts w:hint="eastAsia"/>
          <w:color w:val="0000FF"/>
        </w:rPr>
      </w:pPr>
      <w:r>
        <w:rPr>
          <w:rFonts w:hint="eastAsia"/>
          <w:color w:val="0000FF"/>
        </w:rPr>
        <w:t>4. ​He has the Keys!</w:t>
      </w:r>
    </w:p>
    <w:p w14:paraId="385B937B">
      <w:pPr>
        <w:bidi w:val="0"/>
        <w:rPr>
          <w:rFonts w:hint="eastAsia"/>
          <w:color w:val="0000FF"/>
        </w:rPr>
      </w:pPr>
    </w:p>
    <w:p w14:paraId="05C34704">
      <w:pPr>
        <w:bidi w:val="0"/>
        <w:rPr>
          <w:rFonts w:hint="eastAsia"/>
          <w:color w:val="0000FF"/>
        </w:rPr>
      </w:pPr>
      <w:r>
        <w:rPr>
          <w:rFonts w:hint="eastAsia"/>
          <w:color w:val="0000FF"/>
        </w:rPr>
        <w:t>4. 祂拿着众钥匙！</w:t>
      </w:r>
    </w:p>
    <w:p w14:paraId="7260F144">
      <w:pPr>
        <w:bidi w:val="0"/>
        <w:rPr>
          <w:rFonts w:hint="eastAsia"/>
          <w:color w:val="0000FF"/>
        </w:rPr>
      </w:pPr>
    </w:p>
    <w:p w14:paraId="4594AC46">
      <w:pPr>
        <w:bidi w:val="0"/>
        <w:rPr>
          <w:rFonts w:hint="eastAsia"/>
          <w:color w:val="0000FF"/>
        </w:rPr>
      </w:pPr>
      <w:r>
        <w:rPr>
          <w:rFonts w:hint="eastAsia"/>
          <w:color w:val="0000FF"/>
        </w:rPr>
        <w:t>Part 2: Understanding the Kingdom of God</w:t>
      </w:r>
    </w:p>
    <w:p w14:paraId="71AD54C3">
      <w:pPr>
        <w:bidi w:val="0"/>
        <w:rPr>
          <w:rFonts w:hint="eastAsia"/>
          <w:color w:val="0000FF"/>
        </w:rPr>
      </w:pPr>
    </w:p>
    <w:p w14:paraId="6E502409">
      <w:pPr>
        <w:bidi w:val="0"/>
        <w:rPr>
          <w:rFonts w:hint="eastAsia"/>
          <w:color w:val="0000FF"/>
        </w:rPr>
      </w:pPr>
      <w:r>
        <w:rPr>
          <w:rFonts w:hint="eastAsia"/>
          <w:color w:val="0000FF"/>
        </w:rPr>
        <w:t>第二部分：理解神的国</w:t>
      </w:r>
    </w:p>
    <w:p w14:paraId="32D33184">
      <w:pPr>
        <w:bidi w:val="0"/>
        <w:rPr>
          <w:rFonts w:hint="eastAsia"/>
          <w:color w:val="0000FF"/>
        </w:rPr>
      </w:pPr>
    </w:p>
    <w:p w14:paraId="2356874F">
      <w:pPr>
        <w:bidi w:val="0"/>
        <w:rPr>
          <w:rFonts w:hint="eastAsia"/>
          <w:color w:val="0000FF"/>
        </w:rPr>
      </w:pPr>
      <w:r>
        <w:rPr>
          <w:rFonts w:hint="eastAsia"/>
          <w:color w:val="0000FF"/>
        </w:rPr>
        <w:t>5. ​The Good News of the Kingdom</w:t>
      </w:r>
    </w:p>
    <w:p w14:paraId="7C8393FC">
      <w:pPr>
        <w:bidi w:val="0"/>
        <w:rPr>
          <w:rFonts w:hint="eastAsia"/>
          <w:color w:val="0000FF"/>
        </w:rPr>
      </w:pPr>
    </w:p>
    <w:p w14:paraId="126CC23F">
      <w:pPr>
        <w:bidi w:val="0"/>
        <w:rPr>
          <w:rFonts w:hint="eastAsia"/>
          <w:color w:val="0000FF"/>
        </w:rPr>
      </w:pPr>
      <w:r>
        <w:rPr>
          <w:rFonts w:hint="eastAsia"/>
          <w:color w:val="0000FF"/>
        </w:rPr>
        <w:t>5. 国度的福音</w:t>
      </w:r>
    </w:p>
    <w:p w14:paraId="6253A096">
      <w:pPr>
        <w:bidi w:val="0"/>
        <w:rPr>
          <w:rFonts w:hint="eastAsia"/>
          <w:color w:val="0000FF"/>
        </w:rPr>
      </w:pPr>
    </w:p>
    <w:p w14:paraId="36000507">
      <w:pPr>
        <w:bidi w:val="0"/>
        <w:rPr>
          <w:rFonts w:hint="eastAsia"/>
          <w:color w:val="0000FF"/>
        </w:rPr>
      </w:pPr>
      <w:r>
        <w:rPr>
          <w:rFonts w:hint="eastAsia"/>
          <w:color w:val="0000FF"/>
        </w:rPr>
        <w:t>6. ​The Beginning and the Kingdom</w:t>
      </w:r>
    </w:p>
    <w:p w14:paraId="4FEC35DB">
      <w:pPr>
        <w:bidi w:val="0"/>
        <w:rPr>
          <w:rFonts w:hint="eastAsia"/>
          <w:color w:val="0000FF"/>
        </w:rPr>
      </w:pPr>
    </w:p>
    <w:p w14:paraId="463F4EA4">
      <w:pPr>
        <w:bidi w:val="0"/>
        <w:rPr>
          <w:rFonts w:hint="eastAsia"/>
          <w:color w:val="0000FF"/>
        </w:rPr>
      </w:pPr>
      <w:r>
        <w:rPr>
          <w:rFonts w:hint="eastAsia"/>
          <w:color w:val="0000FF"/>
        </w:rPr>
        <w:t>6. 起初与国度</w:t>
      </w:r>
    </w:p>
    <w:p w14:paraId="024AA4A8">
      <w:pPr>
        <w:bidi w:val="0"/>
        <w:rPr>
          <w:rFonts w:hint="eastAsia"/>
          <w:color w:val="0000FF"/>
        </w:rPr>
      </w:pPr>
    </w:p>
    <w:p w14:paraId="31764B4E">
      <w:pPr>
        <w:bidi w:val="0"/>
        <w:rPr>
          <w:rFonts w:hint="eastAsia"/>
          <w:color w:val="0000FF"/>
        </w:rPr>
      </w:pPr>
      <w:r>
        <w:rPr>
          <w:rFonts w:hint="eastAsia"/>
          <w:color w:val="0000FF"/>
        </w:rPr>
        <w:t>7. ​The Covenant and the Kingdom</w:t>
      </w:r>
    </w:p>
    <w:p w14:paraId="2FF6FEA1">
      <w:pPr>
        <w:bidi w:val="0"/>
        <w:rPr>
          <w:rFonts w:hint="eastAsia"/>
          <w:color w:val="0000FF"/>
        </w:rPr>
      </w:pPr>
    </w:p>
    <w:p w14:paraId="591A3349">
      <w:pPr>
        <w:bidi w:val="0"/>
        <w:rPr>
          <w:rFonts w:hint="eastAsia"/>
          <w:color w:val="0000FF"/>
        </w:rPr>
      </w:pPr>
      <w:r>
        <w:rPr>
          <w:rFonts w:hint="eastAsia"/>
          <w:color w:val="0000FF"/>
        </w:rPr>
        <w:t>7. 圣约与国度</w:t>
      </w:r>
    </w:p>
    <w:p w14:paraId="5B667E5D">
      <w:pPr>
        <w:bidi w:val="0"/>
        <w:rPr>
          <w:rFonts w:hint="eastAsia"/>
          <w:color w:val="0000FF"/>
        </w:rPr>
      </w:pPr>
    </w:p>
    <w:p w14:paraId="2CF946DE">
      <w:pPr>
        <w:bidi w:val="0"/>
        <w:rPr>
          <w:rFonts w:hint="eastAsia"/>
          <w:color w:val="0000FF"/>
        </w:rPr>
      </w:pPr>
      <w:r>
        <w:rPr>
          <w:rFonts w:hint="eastAsia"/>
          <w:color w:val="0000FF"/>
        </w:rPr>
        <w:t>8. ​The OT Promise of the Kingdom</w:t>
      </w:r>
    </w:p>
    <w:p w14:paraId="6AF50287">
      <w:pPr>
        <w:bidi w:val="0"/>
        <w:rPr>
          <w:rFonts w:hint="eastAsia"/>
          <w:color w:val="0000FF"/>
        </w:rPr>
      </w:pPr>
    </w:p>
    <w:p w14:paraId="0D711E89">
      <w:pPr>
        <w:bidi w:val="0"/>
        <w:rPr>
          <w:rFonts w:hint="eastAsia"/>
          <w:color w:val="0000FF"/>
        </w:rPr>
      </w:pPr>
      <w:r>
        <w:rPr>
          <w:rFonts w:hint="eastAsia"/>
          <w:color w:val="0000FF"/>
        </w:rPr>
        <w:t>8. 旧约中国度的应许</w:t>
      </w:r>
    </w:p>
    <w:p w14:paraId="1471C767">
      <w:pPr>
        <w:bidi w:val="0"/>
        <w:rPr>
          <w:rFonts w:hint="eastAsia"/>
          <w:color w:val="0000FF"/>
        </w:rPr>
      </w:pPr>
    </w:p>
    <w:p w14:paraId="588E329C">
      <w:pPr>
        <w:bidi w:val="0"/>
        <w:rPr>
          <w:rFonts w:hint="eastAsia"/>
          <w:color w:val="0000FF"/>
        </w:rPr>
      </w:pPr>
      <w:r>
        <w:rPr>
          <w:rFonts w:hint="eastAsia"/>
          <w:color w:val="0000FF"/>
        </w:rPr>
        <w:t>9. ​The Coming of the Kingdom</w:t>
      </w:r>
    </w:p>
    <w:p w14:paraId="4782F354">
      <w:pPr>
        <w:bidi w:val="0"/>
        <w:rPr>
          <w:rFonts w:hint="eastAsia"/>
          <w:color w:val="0000FF"/>
        </w:rPr>
      </w:pPr>
    </w:p>
    <w:p w14:paraId="7D84F4BE">
      <w:pPr>
        <w:bidi w:val="0"/>
        <w:rPr>
          <w:rFonts w:hint="eastAsia"/>
          <w:color w:val="0000FF"/>
        </w:rPr>
      </w:pPr>
      <w:r>
        <w:rPr>
          <w:rFonts w:hint="eastAsia"/>
          <w:color w:val="0000FF"/>
        </w:rPr>
        <w:t>9. 国度的降临</w:t>
      </w:r>
    </w:p>
    <w:p w14:paraId="45CA9AF1">
      <w:pPr>
        <w:bidi w:val="0"/>
        <w:rPr>
          <w:rFonts w:hint="eastAsia"/>
          <w:color w:val="0000FF"/>
        </w:rPr>
      </w:pPr>
    </w:p>
    <w:p w14:paraId="2AC4C191">
      <w:pPr>
        <w:bidi w:val="0"/>
        <w:rPr>
          <w:rFonts w:hint="eastAsia"/>
          <w:color w:val="0000FF"/>
        </w:rPr>
      </w:pPr>
      <w:r>
        <w:rPr>
          <w:rFonts w:hint="eastAsia"/>
          <w:color w:val="0000FF"/>
        </w:rPr>
        <w:t>10. ​Salvation History: A Journey to the Kingdom</w:t>
      </w:r>
    </w:p>
    <w:p w14:paraId="64056D81">
      <w:pPr>
        <w:bidi w:val="0"/>
        <w:rPr>
          <w:rFonts w:hint="eastAsia"/>
          <w:color w:val="0000FF"/>
        </w:rPr>
      </w:pPr>
    </w:p>
    <w:p w14:paraId="108A36CF">
      <w:pPr>
        <w:bidi w:val="0"/>
        <w:rPr>
          <w:rFonts w:hint="eastAsia"/>
          <w:color w:val="0000FF"/>
        </w:rPr>
      </w:pPr>
      <w:r>
        <w:rPr>
          <w:rFonts w:hint="eastAsia"/>
          <w:color w:val="0000FF"/>
        </w:rPr>
        <w:t>10. 救赎历史：通往国度之旅</w:t>
      </w:r>
    </w:p>
    <w:p w14:paraId="01E86F89">
      <w:pPr>
        <w:bidi w:val="0"/>
        <w:rPr>
          <w:rFonts w:hint="eastAsia"/>
          <w:color w:val="0000FF"/>
        </w:rPr>
      </w:pPr>
    </w:p>
    <w:p w14:paraId="165D87C2">
      <w:pPr>
        <w:bidi w:val="0"/>
        <w:rPr>
          <w:rFonts w:hint="eastAsia"/>
          <w:color w:val="0000FF"/>
        </w:rPr>
      </w:pPr>
      <w:r>
        <w:rPr>
          <w:rFonts w:hint="eastAsia"/>
          <w:color w:val="0000FF"/>
        </w:rPr>
        <w:t>11. ​These are the Keys!</w:t>
      </w:r>
    </w:p>
    <w:p w14:paraId="6228AD11">
      <w:pPr>
        <w:bidi w:val="0"/>
        <w:rPr>
          <w:rFonts w:hint="eastAsia"/>
          <w:color w:val="0000FF"/>
        </w:rPr>
      </w:pPr>
    </w:p>
    <w:p w14:paraId="6ED3AE07">
      <w:pPr>
        <w:bidi w:val="0"/>
        <w:rPr>
          <w:rFonts w:hint="eastAsia"/>
          <w:color w:val="0000FF"/>
        </w:rPr>
      </w:pPr>
      <w:r>
        <w:rPr>
          <w:rFonts w:hint="eastAsia"/>
          <w:color w:val="0000FF"/>
        </w:rPr>
        <w:t>11. 这些就是众钥匙！</w:t>
      </w:r>
    </w:p>
    <w:p w14:paraId="732D5AAD">
      <w:pPr>
        <w:bidi w:val="0"/>
        <w:rPr>
          <w:rFonts w:hint="eastAsia"/>
          <w:color w:val="0000FF"/>
        </w:rPr>
      </w:pPr>
    </w:p>
    <w:p w14:paraId="5AB45E46">
      <w:pPr>
        <w:bidi w:val="0"/>
        <w:rPr>
          <w:rFonts w:hint="eastAsia"/>
          <w:color w:val="0000FF"/>
        </w:rPr>
      </w:pPr>
      <w:r>
        <w:rPr>
          <w:rFonts w:hint="eastAsia"/>
          <w:color w:val="0000FF"/>
        </w:rPr>
        <w:t>Part 3: Understanding Old Testament Kingdom Prophecy</w:t>
      </w:r>
    </w:p>
    <w:p w14:paraId="2875903D">
      <w:pPr>
        <w:bidi w:val="0"/>
        <w:rPr>
          <w:rFonts w:hint="eastAsia"/>
          <w:color w:val="0000FF"/>
        </w:rPr>
      </w:pPr>
    </w:p>
    <w:p w14:paraId="23A12437">
      <w:pPr>
        <w:bidi w:val="0"/>
        <w:rPr>
          <w:rFonts w:hint="eastAsia"/>
          <w:color w:val="0000FF"/>
        </w:rPr>
      </w:pPr>
      <w:r>
        <w:rPr>
          <w:rFonts w:hint="eastAsia"/>
          <w:color w:val="0000FF"/>
        </w:rPr>
        <w:t>第三部分：理解旧约的国度预言</w:t>
      </w:r>
    </w:p>
    <w:p w14:paraId="06C89914">
      <w:pPr>
        <w:bidi w:val="0"/>
        <w:rPr>
          <w:rFonts w:hint="eastAsia"/>
          <w:color w:val="0000FF"/>
        </w:rPr>
      </w:pPr>
    </w:p>
    <w:p w14:paraId="55589A74">
      <w:pPr>
        <w:bidi w:val="0"/>
        <w:rPr>
          <w:rFonts w:hint="eastAsia"/>
          <w:color w:val="0000FF"/>
        </w:rPr>
      </w:pPr>
      <w:r>
        <w:rPr>
          <w:rFonts w:hint="eastAsia"/>
          <w:color w:val="0000FF"/>
        </w:rPr>
        <w:t>12. ​The Nature and Stages of the Kingdom in Old Testament Prophecy</w:t>
      </w:r>
    </w:p>
    <w:p w14:paraId="2F4B73E7">
      <w:pPr>
        <w:bidi w:val="0"/>
        <w:rPr>
          <w:rFonts w:hint="eastAsia"/>
          <w:color w:val="0000FF"/>
        </w:rPr>
      </w:pPr>
    </w:p>
    <w:p w14:paraId="08633052">
      <w:pPr>
        <w:bidi w:val="0"/>
        <w:rPr>
          <w:rFonts w:hint="eastAsia"/>
          <w:color w:val="0000FF"/>
        </w:rPr>
      </w:pPr>
      <w:r>
        <w:rPr>
          <w:rFonts w:hint="eastAsia"/>
          <w:color w:val="0000FF"/>
        </w:rPr>
        <w:t>12. 旧约预言中国度的性质与阶段</w:t>
      </w:r>
    </w:p>
    <w:p w14:paraId="5E52ADB8">
      <w:pPr>
        <w:bidi w:val="0"/>
        <w:rPr>
          <w:rFonts w:hint="eastAsia"/>
          <w:color w:val="0000FF"/>
        </w:rPr>
      </w:pPr>
    </w:p>
    <w:p w14:paraId="395F558A">
      <w:pPr>
        <w:bidi w:val="0"/>
        <w:rPr>
          <w:rFonts w:hint="eastAsia"/>
          <w:color w:val="0000FF"/>
        </w:rPr>
      </w:pPr>
      <w:r>
        <w:rPr>
          <w:rFonts w:hint="eastAsia"/>
          <w:color w:val="0000FF"/>
        </w:rPr>
        <w:t>13. ​New Testament Principles for Interpreting OT Kingdom Prophecy</w:t>
      </w:r>
    </w:p>
    <w:p w14:paraId="3C2E3EB9">
      <w:pPr>
        <w:bidi w:val="0"/>
        <w:rPr>
          <w:rFonts w:hint="eastAsia"/>
          <w:color w:val="0000FF"/>
        </w:rPr>
      </w:pPr>
    </w:p>
    <w:p w14:paraId="01153995">
      <w:pPr>
        <w:bidi w:val="0"/>
        <w:rPr>
          <w:rFonts w:hint="eastAsia"/>
          <w:color w:val="0000FF"/>
        </w:rPr>
      </w:pPr>
      <w:r>
        <w:rPr>
          <w:rFonts w:hint="eastAsia"/>
          <w:color w:val="0000FF"/>
        </w:rPr>
        <w:t>13. 解释旧约国度预言的新约原则</w:t>
      </w:r>
    </w:p>
    <w:p w14:paraId="7332EBBD">
      <w:pPr>
        <w:bidi w:val="0"/>
        <w:rPr>
          <w:rFonts w:hint="eastAsia"/>
          <w:color w:val="0000FF"/>
        </w:rPr>
      </w:pPr>
    </w:p>
    <w:p w14:paraId="121B78C3">
      <w:pPr>
        <w:bidi w:val="0"/>
        <w:rPr>
          <w:rFonts w:hint="eastAsia"/>
          <w:color w:val="0000FF"/>
        </w:rPr>
      </w:pPr>
      <w:r>
        <w:rPr>
          <w:rFonts w:hint="eastAsia"/>
          <w:color w:val="0000FF"/>
        </w:rPr>
        <w:t>14. ​NT Examples of Interpreting OT Kingdom Prophecy</w:t>
      </w:r>
    </w:p>
    <w:p w14:paraId="150462AD">
      <w:pPr>
        <w:bidi w:val="0"/>
        <w:rPr>
          <w:rFonts w:hint="eastAsia"/>
          <w:color w:val="0000FF"/>
        </w:rPr>
      </w:pPr>
    </w:p>
    <w:p w14:paraId="04EB7D77">
      <w:pPr>
        <w:bidi w:val="0"/>
        <w:rPr>
          <w:rFonts w:hint="eastAsia"/>
          <w:color w:val="0000FF"/>
        </w:rPr>
      </w:pPr>
      <w:r>
        <w:rPr>
          <w:rFonts w:hint="eastAsia"/>
          <w:color w:val="0000FF"/>
        </w:rPr>
        <w:t>14. 解释旧约国度预言的新约范例</w:t>
      </w:r>
    </w:p>
    <w:p w14:paraId="3E1EF523">
      <w:pPr>
        <w:bidi w:val="0"/>
        <w:rPr>
          <w:rFonts w:hint="eastAsia"/>
          <w:color w:val="0000FF"/>
        </w:rPr>
      </w:pPr>
    </w:p>
    <w:p w14:paraId="748C8D86">
      <w:pPr>
        <w:bidi w:val="0"/>
        <w:rPr>
          <w:rFonts w:hint="eastAsia"/>
          <w:color w:val="0000FF"/>
        </w:rPr>
      </w:pPr>
      <w:r>
        <w:rPr>
          <w:rFonts w:hint="eastAsia"/>
          <w:color w:val="0000FF"/>
        </w:rPr>
        <w:t>15. ​OT Kingdom Prophecies Considered: Psalms, Isaiah, Jeremiah</w:t>
      </w:r>
    </w:p>
    <w:p w14:paraId="658887A8">
      <w:pPr>
        <w:bidi w:val="0"/>
        <w:rPr>
          <w:rFonts w:hint="eastAsia"/>
          <w:color w:val="0000FF"/>
        </w:rPr>
      </w:pPr>
    </w:p>
    <w:p w14:paraId="0BBC6AF5">
      <w:pPr>
        <w:bidi w:val="0"/>
        <w:rPr>
          <w:rFonts w:hint="eastAsia"/>
          <w:color w:val="0000FF"/>
        </w:rPr>
      </w:pPr>
      <w:r>
        <w:rPr>
          <w:rFonts w:hint="eastAsia"/>
          <w:color w:val="0000FF"/>
        </w:rPr>
        <w:t>15. 旧约国度预言探讨：诗篇、以赛亚书、耶利米书</w:t>
      </w:r>
    </w:p>
    <w:p w14:paraId="079D3466">
      <w:pPr>
        <w:bidi w:val="0"/>
        <w:rPr>
          <w:rFonts w:hint="eastAsia"/>
          <w:color w:val="0000FF"/>
        </w:rPr>
      </w:pPr>
    </w:p>
    <w:p w14:paraId="5525B766">
      <w:pPr>
        <w:bidi w:val="0"/>
        <w:rPr>
          <w:rFonts w:hint="eastAsia"/>
          <w:color w:val="0000FF"/>
        </w:rPr>
      </w:pPr>
      <w:r>
        <w:rPr>
          <w:rFonts w:hint="eastAsia"/>
          <w:color w:val="0000FF"/>
        </w:rPr>
        <w:t>16. ​OT Kingdom Prophecies Considered: Ezekiel</w:t>
      </w:r>
    </w:p>
    <w:p w14:paraId="10730D52">
      <w:pPr>
        <w:bidi w:val="0"/>
        <w:rPr>
          <w:rFonts w:hint="eastAsia"/>
          <w:color w:val="0000FF"/>
        </w:rPr>
      </w:pPr>
    </w:p>
    <w:p w14:paraId="16E2B3DD">
      <w:pPr>
        <w:bidi w:val="0"/>
        <w:rPr>
          <w:rFonts w:hint="eastAsia"/>
          <w:color w:val="0000FF"/>
        </w:rPr>
      </w:pPr>
      <w:r>
        <w:rPr>
          <w:rFonts w:hint="eastAsia"/>
          <w:color w:val="0000FF"/>
        </w:rPr>
        <w:t>16. 旧约国度预言探讨：以西结书</w:t>
      </w:r>
    </w:p>
    <w:p w14:paraId="293A8A39">
      <w:pPr>
        <w:bidi w:val="0"/>
        <w:rPr>
          <w:rFonts w:hint="eastAsia"/>
          <w:color w:val="0000FF"/>
        </w:rPr>
      </w:pPr>
    </w:p>
    <w:p w14:paraId="439887E8">
      <w:pPr>
        <w:bidi w:val="0"/>
        <w:rPr>
          <w:rFonts w:hint="eastAsia"/>
          <w:color w:val="0000FF"/>
        </w:rPr>
      </w:pPr>
      <w:r>
        <w:rPr>
          <w:rFonts w:hint="eastAsia"/>
          <w:color w:val="0000FF"/>
        </w:rPr>
        <w:t>17. ​OT Kingdom Prophecies Considered: Daniel</w:t>
      </w:r>
    </w:p>
    <w:p w14:paraId="0313C154">
      <w:pPr>
        <w:bidi w:val="0"/>
        <w:rPr>
          <w:rFonts w:hint="eastAsia"/>
          <w:color w:val="0000FF"/>
        </w:rPr>
      </w:pPr>
    </w:p>
    <w:p w14:paraId="785DC0F1">
      <w:pPr>
        <w:bidi w:val="0"/>
        <w:rPr>
          <w:rFonts w:hint="eastAsia"/>
          <w:color w:val="0000FF"/>
        </w:rPr>
      </w:pPr>
      <w:r>
        <w:rPr>
          <w:rFonts w:hint="eastAsia"/>
          <w:color w:val="0000FF"/>
        </w:rPr>
        <w:t>17. 旧约国度预言探讨：但以理书</w:t>
      </w:r>
    </w:p>
    <w:p w14:paraId="55D83D2A">
      <w:pPr>
        <w:bidi w:val="0"/>
        <w:rPr>
          <w:rFonts w:hint="eastAsia"/>
          <w:color w:val="0000FF"/>
        </w:rPr>
      </w:pPr>
    </w:p>
    <w:p w14:paraId="6B85B7CB">
      <w:pPr>
        <w:bidi w:val="0"/>
        <w:rPr>
          <w:rFonts w:hint="eastAsia"/>
          <w:color w:val="0000FF"/>
        </w:rPr>
      </w:pPr>
      <w:r>
        <w:rPr>
          <w:rFonts w:hint="eastAsia"/>
          <w:color w:val="0000FF"/>
        </w:rPr>
        <w:t>18. ​OT Kingdom Prophecies Considered: Zechariah</w:t>
      </w:r>
    </w:p>
    <w:p w14:paraId="05894EAB">
      <w:pPr>
        <w:bidi w:val="0"/>
        <w:rPr>
          <w:rFonts w:hint="eastAsia"/>
          <w:color w:val="0000FF"/>
        </w:rPr>
      </w:pPr>
    </w:p>
    <w:p w14:paraId="22C065A6">
      <w:pPr>
        <w:bidi w:val="0"/>
        <w:rPr>
          <w:rFonts w:hint="eastAsia"/>
          <w:color w:val="0000FF"/>
        </w:rPr>
      </w:pPr>
      <w:r>
        <w:rPr>
          <w:rFonts w:hint="eastAsia"/>
          <w:color w:val="0000FF"/>
        </w:rPr>
        <w:t>18. 旧约国度预言探讨：撒迦利亚书</w:t>
      </w:r>
    </w:p>
    <w:p w14:paraId="0846C483">
      <w:pPr>
        <w:bidi w:val="0"/>
        <w:rPr>
          <w:rFonts w:hint="eastAsia"/>
          <w:color w:val="0000FF"/>
        </w:rPr>
      </w:pPr>
    </w:p>
    <w:p w14:paraId="149199EA">
      <w:pPr>
        <w:bidi w:val="0"/>
        <w:rPr>
          <w:rFonts w:hint="eastAsia"/>
          <w:color w:val="0000FF"/>
        </w:rPr>
      </w:pPr>
      <w:r>
        <w:rPr>
          <w:rFonts w:hint="eastAsia"/>
          <w:color w:val="0000FF"/>
        </w:rPr>
        <w:t>Part 4: Understanding the Millennium</w:t>
      </w:r>
    </w:p>
    <w:p w14:paraId="2D72C85D">
      <w:pPr>
        <w:bidi w:val="0"/>
        <w:rPr>
          <w:rFonts w:hint="eastAsia"/>
          <w:color w:val="0000FF"/>
        </w:rPr>
      </w:pPr>
    </w:p>
    <w:p w14:paraId="1E817ABE">
      <w:pPr>
        <w:bidi w:val="0"/>
        <w:rPr>
          <w:rFonts w:hint="eastAsia"/>
          <w:color w:val="0000FF"/>
        </w:rPr>
      </w:pPr>
      <w:r>
        <w:rPr>
          <w:rFonts w:hint="eastAsia"/>
          <w:color w:val="0000FF"/>
        </w:rPr>
        <w:t>第四部分：理解千禧年</w:t>
      </w:r>
    </w:p>
    <w:p w14:paraId="2E76A500">
      <w:pPr>
        <w:bidi w:val="0"/>
        <w:rPr>
          <w:rFonts w:hint="eastAsia"/>
          <w:color w:val="0000FF"/>
        </w:rPr>
      </w:pPr>
    </w:p>
    <w:p w14:paraId="1170A5B5">
      <w:pPr>
        <w:bidi w:val="0"/>
        <w:rPr>
          <w:rFonts w:hint="eastAsia"/>
          <w:color w:val="0000FF"/>
        </w:rPr>
      </w:pPr>
      <w:r>
        <w:rPr>
          <w:rFonts w:hint="eastAsia"/>
          <w:color w:val="0000FF"/>
        </w:rPr>
        <w:t>19. ​The Revelation: Purpose and Literary Genre</w:t>
      </w:r>
    </w:p>
    <w:p w14:paraId="4F6EEF01">
      <w:pPr>
        <w:bidi w:val="0"/>
        <w:rPr>
          <w:rFonts w:hint="eastAsia"/>
          <w:color w:val="0000FF"/>
        </w:rPr>
      </w:pPr>
    </w:p>
    <w:p w14:paraId="678E417B">
      <w:pPr>
        <w:bidi w:val="0"/>
        <w:rPr>
          <w:rFonts w:hint="eastAsia"/>
          <w:color w:val="0000FF"/>
        </w:rPr>
      </w:pPr>
      <w:r>
        <w:rPr>
          <w:rFonts w:hint="eastAsia"/>
          <w:color w:val="0000FF"/>
        </w:rPr>
        <w:t>19. 启示录：目的与文学体裁</w:t>
      </w:r>
    </w:p>
    <w:p w14:paraId="0A4720A3">
      <w:pPr>
        <w:bidi w:val="0"/>
        <w:rPr>
          <w:rFonts w:hint="eastAsia"/>
          <w:color w:val="0000FF"/>
        </w:rPr>
      </w:pPr>
    </w:p>
    <w:p w14:paraId="21EB6E4A">
      <w:pPr>
        <w:bidi w:val="0"/>
        <w:rPr>
          <w:rFonts w:hint="eastAsia"/>
          <w:color w:val="0000FF"/>
        </w:rPr>
      </w:pPr>
      <w:r>
        <w:rPr>
          <w:rFonts w:hint="eastAsia"/>
          <w:color w:val="0000FF"/>
        </w:rPr>
        <w:t>20. ​The Revelation: Structure and Key Symbols</w:t>
      </w:r>
    </w:p>
    <w:p w14:paraId="5603456F">
      <w:pPr>
        <w:bidi w:val="0"/>
        <w:rPr>
          <w:rFonts w:hint="eastAsia"/>
          <w:color w:val="0000FF"/>
        </w:rPr>
      </w:pPr>
    </w:p>
    <w:p w14:paraId="2476DB6D">
      <w:pPr>
        <w:bidi w:val="0"/>
        <w:rPr>
          <w:rFonts w:hint="eastAsia"/>
          <w:color w:val="0000FF"/>
        </w:rPr>
      </w:pPr>
      <w:r>
        <w:rPr>
          <w:rFonts w:hint="eastAsia"/>
          <w:color w:val="0000FF"/>
        </w:rPr>
        <w:t>20. 启示录：结构与关键象征</w:t>
      </w:r>
    </w:p>
    <w:p w14:paraId="05F12D62">
      <w:pPr>
        <w:bidi w:val="0"/>
        <w:rPr>
          <w:rFonts w:hint="eastAsia"/>
          <w:color w:val="0000FF"/>
        </w:rPr>
      </w:pPr>
    </w:p>
    <w:p w14:paraId="598B25DB">
      <w:pPr>
        <w:bidi w:val="0"/>
        <w:rPr>
          <w:rFonts w:hint="eastAsia"/>
          <w:color w:val="0000FF"/>
        </w:rPr>
      </w:pPr>
      <w:r>
        <w:rPr>
          <w:rFonts w:hint="eastAsia"/>
          <w:color w:val="0000FF"/>
        </w:rPr>
        <w:t>21. ​Revelation 20: The Meaning of the Millennium</w:t>
      </w:r>
    </w:p>
    <w:p w14:paraId="074B662B">
      <w:pPr>
        <w:bidi w:val="0"/>
        <w:rPr>
          <w:rFonts w:hint="eastAsia"/>
          <w:color w:val="0000FF"/>
        </w:rPr>
      </w:pPr>
    </w:p>
    <w:p w14:paraId="2FD2BE24">
      <w:pPr>
        <w:bidi w:val="0"/>
        <w:rPr>
          <w:rFonts w:hint="eastAsia"/>
          <w:color w:val="0000FF"/>
        </w:rPr>
      </w:pPr>
      <w:r>
        <w:rPr>
          <w:rFonts w:hint="eastAsia"/>
          <w:color w:val="0000FF"/>
        </w:rPr>
        <w:t>21. 启示录 20章：千禧年的意义</w:t>
      </w:r>
    </w:p>
    <w:p w14:paraId="7E164EA6">
      <w:pPr>
        <w:bidi w:val="0"/>
        <w:rPr>
          <w:rFonts w:hint="eastAsia"/>
          <w:color w:val="0000FF"/>
        </w:rPr>
      </w:pPr>
    </w:p>
    <w:p w14:paraId="21E1225C">
      <w:pPr>
        <w:bidi w:val="0"/>
        <w:rPr>
          <w:rFonts w:hint="eastAsia"/>
          <w:color w:val="0000FF"/>
        </w:rPr>
      </w:pPr>
      <w:r>
        <w:rPr>
          <w:rFonts w:hint="eastAsia"/>
          <w:color w:val="0000FF"/>
        </w:rPr>
        <w:t>Part 5: Understanding the Consummation</w:t>
      </w:r>
    </w:p>
    <w:p w14:paraId="4F51AE4D">
      <w:pPr>
        <w:bidi w:val="0"/>
        <w:rPr>
          <w:rFonts w:hint="eastAsia"/>
          <w:color w:val="0000FF"/>
        </w:rPr>
      </w:pPr>
    </w:p>
    <w:p w14:paraId="20BD2B72">
      <w:pPr>
        <w:bidi w:val="0"/>
        <w:rPr>
          <w:rFonts w:hint="eastAsia"/>
          <w:color w:val="0000FF"/>
        </w:rPr>
      </w:pPr>
      <w:r>
        <w:rPr>
          <w:rFonts w:hint="eastAsia"/>
          <w:color w:val="0000FF"/>
        </w:rPr>
        <w:t>第五部分：理解最终的成全</w:t>
      </w:r>
    </w:p>
    <w:p w14:paraId="4230C485">
      <w:pPr>
        <w:bidi w:val="0"/>
        <w:rPr>
          <w:rFonts w:hint="eastAsia"/>
          <w:color w:val="0000FF"/>
        </w:rPr>
      </w:pPr>
    </w:p>
    <w:p w14:paraId="668E077E">
      <w:pPr>
        <w:bidi w:val="0"/>
        <w:rPr>
          <w:rFonts w:hint="eastAsia"/>
          <w:color w:val="0000FF"/>
        </w:rPr>
      </w:pPr>
      <w:r>
        <w:rPr>
          <w:rFonts w:hint="eastAsia"/>
          <w:color w:val="0000FF"/>
        </w:rPr>
        <w:t>22. ​The Design, Structure, and Unity of the Consummation</w:t>
      </w:r>
    </w:p>
    <w:p w14:paraId="38D0C936">
      <w:pPr>
        <w:bidi w:val="0"/>
        <w:rPr>
          <w:rFonts w:hint="eastAsia"/>
          <w:color w:val="0000FF"/>
        </w:rPr>
      </w:pPr>
    </w:p>
    <w:p w14:paraId="71251A46">
      <w:pPr>
        <w:bidi w:val="0"/>
        <w:rPr>
          <w:rFonts w:hint="eastAsia"/>
          <w:color w:val="0000FF"/>
        </w:rPr>
      </w:pPr>
      <w:r>
        <w:rPr>
          <w:rFonts w:hint="eastAsia"/>
          <w:color w:val="0000FF"/>
        </w:rPr>
        <w:t>22. 最终成全的设计、结构与合一性</w:t>
      </w:r>
    </w:p>
    <w:p w14:paraId="54FE37A7">
      <w:pPr>
        <w:bidi w:val="0"/>
        <w:rPr>
          <w:rFonts w:hint="eastAsia"/>
          <w:color w:val="0000FF"/>
        </w:rPr>
      </w:pPr>
    </w:p>
    <w:p w14:paraId="23346889">
      <w:pPr>
        <w:bidi w:val="0"/>
        <w:rPr>
          <w:rFonts w:hint="eastAsia"/>
          <w:color w:val="0000FF"/>
        </w:rPr>
      </w:pPr>
      <w:r>
        <w:rPr>
          <w:rFonts w:hint="eastAsia"/>
          <w:color w:val="0000FF"/>
        </w:rPr>
        <w:t>23. ​Crucial NT Texts Pertaining to the Consummation (1)</w:t>
      </w:r>
    </w:p>
    <w:p w14:paraId="09BB30D2">
      <w:pPr>
        <w:bidi w:val="0"/>
        <w:rPr>
          <w:rFonts w:hint="eastAsia"/>
          <w:color w:val="0000FF"/>
        </w:rPr>
      </w:pPr>
    </w:p>
    <w:p w14:paraId="1FE3C97C">
      <w:pPr>
        <w:bidi w:val="0"/>
        <w:rPr>
          <w:rFonts w:hint="eastAsia"/>
          <w:color w:val="0000FF"/>
        </w:rPr>
      </w:pPr>
      <w:r>
        <w:rPr>
          <w:rFonts w:hint="eastAsia"/>
          <w:color w:val="0000FF"/>
        </w:rPr>
        <w:t>23. 关于最终成全的关键新约经文（1）</w:t>
      </w:r>
    </w:p>
    <w:p w14:paraId="6A786C72">
      <w:pPr>
        <w:bidi w:val="0"/>
        <w:rPr>
          <w:rFonts w:hint="eastAsia"/>
          <w:color w:val="0000FF"/>
        </w:rPr>
      </w:pPr>
    </w:p>
    <w:p w14:paraId="5F6AFCE5">
      <w:pPr>
        <w:bidi w:val="0"/>
        <w:rPr>
          <w:rFonts w:hint="eastAsia"/>
          <w:color w:val="0000FF"/>
        </w:rPr>
      </w:pPr>
      <w:r>
        <w:rPr>
          <w:rFonts w:hint="eastAsia"/>
          <w:color w:val="0000FF"/>
        </w:rPr>
        <w:t>24. ​Crucial NT Texts Pertaining to the Consummation (2)</w:t>
      </w:r>
    </w:p>
    <w:p w14:paraId="15828D94">
      <w:pPr>
        <w:bidi w:val="0"/>
        <w:rPr>
          <w:rFonts w:hint="eastAsia"/>
          <w:color w:val="0000FF"/>
        </w:rPr>
      </w:pPr>
    </w:p>
    <w:p w14:paraId="55C1E47B">
      <w:pPr>
        <w:bidi w:val="0"/>
        <w:rPr>
          <w:rFonts w:hint="eastAsia"/>
          <w:color w:val="0000FF"/>
        </w:rPr>
      </w:pPr>
      <w:r>
        <w:rPr>
          <w:rFonts w:hint="eastAsia"/>
          <w:color w:val="0000FF"/>
        </w:rPr>
        <w:t>24. 关于最终成全的关键新约经文（2）</w:t>
      </w:r>
    </w:p>
    <w:p w14:paraId="135EC8D6">
      <w:pPr>
        <w:bidi w:val="0"/>
        <w:rPr>
          <w:rFonts w:hint="eastAsia"/>
          <w:color w:val="0000FF"/>
        </w:rPr>
      </w:pPr>
    </w:p>
    <w:p w14:paraId="3093F4DA">
      <w:pPr>
        <w:bidi w:val="0"/>
        <w:rPr>
          <w:rFonts w:hint="eastAsia"/>
          <w:color w:val="0000FF"/>
        </w:rPr>
      </w:pPr>
      <w:r>
        <w:rPr>
          <w:rFonts w:hint="eastAsia"/>
          <w:color w:val="0000FF"/>
        </w:rPr>
        <w:t>25. ​The Consummation: A Biblical Scenario</w:t>
      </w:r>
    </w:p>
    <w:p w14:paraId="448425B2">
      <w:pPr>
        <w:bidi w:val="0"/>
        <w:rPr>
          <w:rFonts w:hint="eastAsia"/>
          <w:color w:val="0000FF"/>
        </w:rPr>
      </w:pPr>
    </w:p>
    <w:p w14:paraId="20FF1482">
      <w:pPr>
        <w:bidi w:val="0"/>
        <w:rPr>
          <w:rFonts w:hint="eastAsia"/>
          <w:color w:val="0000FF"/>
        </w:rPr>
      </w:pPr>
      <w:r>
        <w:rPr>
          <w:rFonts w:hint="eastAsia"/>
          <w:color w:val="0000FF"/>
        </w:rPr>
        <w:t>25. 最终的成全：一个合乎圣经的设想</w:t>
      </w:r>
    </w:p>
    <w:p w14:paraId="478505FF">
      <w:pPr>
        <w:bidi w:val="0"/>
        <w:rPr>
          <w:rFonts w:hint="eastAsia"/>
          <w:color w:val="0000FF"/>
        </w:rPr>
      </w:pPr>
    </w:p>
    <w:p w14:paraId="77A622E5">
      <w:pPr>
        <w:bidi w:val="0"/>
        <w:rPr>
          <w:rFonts w:hint="eastAsia"/>
          <w:color w:val="0000FF"/>
        </w:rPr>
      </w:pPr>
      <w:r>
        <w:rPr>
          <w:rFonts w:hint="eastAsia"/>
          <w:color w:val="0000FF"/>
        </w:rPr>
        <w:t>Epilogue: Amillennialism: An Eschatology for These Last Days</w:t>
      </w:r>
    </w:p>
    <w:p w14:paraId="0C16C2F9">
      <w:pPr>
        <w:bidi w:val="0"/>
        <w:rPr>
          <w:rFonts w:hint="eastAsia"/>
          <w:color w:val="0000FF"/>
        </w:rPr>
      </w:pPr>
    </w:p>
    <w:p w14:paraId="05BF5C00">
      <w:pPr>
        <w:bidi w:val="0"/>
        <w:rPr>
          <w:rFonts w:hint="eastAsia"/>
          <w:color w:val="0000FF"/>
        </w:rPr>
      </w:pPr>
      <w:r>
        <w:rPr>
          <w:rFonts w:hint="eastAsia"/>
          <w:color w:val="0000FF"/>
        </w:rPr>
        <w:t>结语：无千禧年论：为这末后日子而有的末世论</w:t>
      </w:r>
    </w:p>
    <w:p w14:paraId="3DEBF649">
      <w:pPr>
        <w:bidi w:val="0"/>
        <w:rPr>
          <w:rFonts w:hint="eastAsia"/>
          <w:color w:val="0000FF"/>
        </w:rPr>
      </w:pPr>
    </w:p>
    <w:p w14:paraId="529CAE12">
      <w:pPr>
        <w:bidi w:val="0"/>
        <w:rPr>
          <w:rFonts w:hint="eastAsia"/>
          <w:color w:val="0000FF"/>
        </w:rPr>
      </w:pPr>
      <w:r>
        <w:rPr>
          <w:rFonts w:hint="eastAsia"/>
          <w:color w:val="0000FF"/>
        </w:rPr>
        <w:t>Appendix 1: A Critique of Historic Premillennialism</w:t>
      </w:r>
    </w:p>
    <w:p w14:paraId="4E4C9D59">
      <w:pPr>
        <w:bidi w:val="0"/>
        <w:rPr>
          <w:rFonts w:hint="eastAsia"/>
          <w:color w:val="0000FF"/>
        </w:rPr>
      </w:pPr>
    </w:p>
    <w:p w14:paraId="702B1F4C">
      <w:pPr>
        <w:bidi w:val="0"/>
        <w:rPr>
          <w:rFonts w:hint="eastAsia"/>
          <w:color w:val="0000FF"/>
        </w:rPr>
      </w:pPr>
      <w:r>
        <w:rPr>
          <w:rFonts w:hint="eastAsia"/>
          <w:color w:val="0000FF"/>
        </w:rPr>
        <w:t>附录1：对历史前千禧年论的评析</w:t>
      </w:r>
    </w:p>
    <w:p w14:paraId="757EFDBE">
      <w:pPr>
        <w:bidi w:val="0"/>
        <w:rPr>
          <w:rFonts w:hint="eastAsia"/>
          <w:color w:val="0000FF"/>
        </w:rPr>
      </w:pPr>
    </w:p>
    <w:p w14:paraId="78310FBA">
      <w:pPr>
        <w:bidi w:val="0"/>
        <w:rPr>
          <w:rFonts w:hint="eastAsia"/>
          <w:color w:val="0000FF"/>
        </w:rPr>
      </w:pPr>
      <w:r>
        <w:rPr>
          <w:rFonts w:hint="eastAsia"/>
          <w:color w:val="0000FF"/>
        </w:rPr>
        <w:t>Appendix 2: A Critique of Postmillennialism</w:t>
      </w:r>
    </w:p>
    <w:p w14:paraId="01281861">
      <w:pPr>
        <w:bidi w:val="0"/>
        <w:rPr>
          <w:rFonts w:hint="eastAsia"/>
          <w:color w:val="0000FF"/>
        </w:rPr>
      </w:pPr>
    </w:p>
    <w:p w14:paraId="4D524759">
      <w:pPr>
        <w:bidi w:val="0"/>
        <w:rPr>
          <w:rFonts w:hint="eastAsia"/>
          <w:color w:val="0000FF"/>
        </w:rPr>
      </w:pPr>
      <w:r>
        <w:rPr>
          <w:rFonts w:hint="eastAsia"/>
          <w:color w:val="0000FF"/>
        </w:rPr>
        <w:t>附录2：对后千禧年论的评析</w:t>
      </w:r>
    </w:p>
    <w:p w14:paraId="67BDF1BC">
      <w:pPr>
        <w:bidi w:val="0"/>
        <w:rPr>
          <w:rFonts w:hint="eastAsia"/>
          <w:color w:val="0000FF"/>
        </w:rPr>
      </w:pPr>
    </w:p>
    <w:p w14:paraId="142AB8E2">
      <w:pPr>
        <w:bidi w:val="0"/>
        <w:rPr>
          <w:rFonts w:hint="eastAsia"/>
          <w:color w:val="0000FF"/>
        </w:rPr>
      </w:pPr>
      <w:r>
        <w:rPr>
          <w:rFonts w:hint="eastAsia"/>
          <w:color w:val="0000FF"/>
        </w:rPr>
        <w:t>Appendix 3: A Critique of Dispensational Premillennialism</w:t>
      </w:r>
    </w:p>
    <w:p w14:paraId="7D769B0B">
      <w:pPr>
        <w:bidi w:val="0"/>
        <w:rPr>
          <w:rFonts w:hint="eastAsia"/>
          <w:color w:val="0000FF"/>
        </w:rPr>
      </w:pPr>
    </w:p>
    <w:p w14:paraId="560504C0">
      <w:pPr>
        <w:bidi w:val="0"/>
        <w:rPr>
          <w:rFonts w:hint="eastAsia"/>
          <w:color w:val="0000FF"/>
        </w:rPr>
      </w:pPr>
      <w:r>
        <w:rPr>
          <w:rFonts w:hint="eastAsia"/>
          <w:color w:val="0000FF"/>
        </w:rPr>
        <w:t>附录3：对时代论前千禧年论的评析</w:t>
      </w:r>
    </w:p>
    <w:p w14:paraId="307DE22D">
      <w:pPr>
        <w:bidi w:val="0"/>
        <w:rPr>
          <w:rFonts w:hint="eastAsia"/>
          <w:color w:val="0000FF"/>
        </w:rPr>
      </w:pPr>
    </w:p>
    <w:p w14:paraId="2AC44B0E">
      <w:pPr>
        <w:bidi w:val="0"/>
        <w:rPr>
          <w:rFonts w:hint="eastAsia"/>
          <w:color w:val="0000FF"/>
        </w:rPr>
      </w:pPr>
      <w:r>
        <w:rPr>
          <w:rFonts w:hint="eastAsia"/>
          <w:color w:val="0000FF"/>
        </w:rPr>
        <w:t>Appendix 4: A Critique of Preterism</w:t>
      </w:r>
    </w:p>
    <w:p w14:paraId="3DE8A249">
      <w:pPr>
        <w:bidi w:val="0"/>
        <w:rPr>
          <w:rFonts w:hint="eastAsia"/>
          <w:color w:val="0000FF"/>
        </w:rPr>
      </w:pPr>
    </w:p>
    <w:p w14:paraId="26DCCABA">
      <w:pPr>
        <w:bidi w:val="0"/>
        <w:rPr>
          <w:rFonts w:hint="eastAsia"/>
          <w:color w:val="0000FF"/>
        </w:rPr>
      </w:pPr>
      <w:r>
        <w:rPr>
          <w:rFonts w:hint="eastAsia"/>
          <w:color w:val="0000FF"/>
        </w:rPr>
        <w:t>附录4：对过去派的评析</w:t>
      </w:r>
    </w:p>
    <w:p w14:paraId="0E3B90F5">
      <w:pPr>
        <w:bidi w:val="0"/>
        <w:rPr>
          <w:rFonts w:hint="eastAsia"/>
          <w:color w:val="0000FF"/>
        </w:rPr>
      </w:pPr>
    </w:p>
    <w:p w14:paraId="5143F1AF">
      <w:pPr>
        <w:bidi w:val="0"/>
        <w:rPr>
          <w:rFonts w:hint="eastAsia"/>
          <w:color w:val="0000FF"/>
        </w:rPr>
      </w:pPr>
      <w:r>
        <w:rPr>
          <w:rFonts w:hint="eastAsia"/>
          <w:color w:val="0000FF"/>
        </w:rPr>
        <w:t>Appendix 5: Is the Modern State of Israel a Fulfillment of Biblical Prophecy?</w:t>
      </w:r>
    </w:p>
    <w:p w14:paraId="4913AC32">
      <w:pPr>
        <w:bidi w:val="0"/>
        <w:rPr>
          <w:rFonts w:hint="eastAsia"/>
          <w:color w:val="0000FF"/>
        </w:rPr>
      </w:pPr>
    </w:p>
    <w:p w14:paraId="60EA40AD">
      <w:pPr>
        <w:bidi w:val="0"/>
        <w:rPr>
          <w:rFonts w:hint="eastAsia"/>
          <w:color w:val="0000FF"/>
        </w:rPr>
      </w:pPr>
      <w:r>
        <w:rPr>
          <w:rFonts w:hint="eastAsia"/>
          <w:color w:val="0000FF"/>
        </w:rPr>
        <w:t>附录5：现代以色列国是圣经预言的应验吗？</w:t>
      </w:r>
    </w:p>
    <w:p w14:paraId="35F2C872">
      <w:pPr>
        <w:bidi w:val="0"/>
        <w:rPr>
          <w:rFonts w:hint="eastAsia"/>
          <w:color w:val="0000FF"/>
        </w:rPr>
      </w:pPr>
    </w:p>
    <w:p w14:paraId="393179BD">
      <w:pPr>
        <w:bidi w:val="0"/>
        <w:rPr>
          <w:rFonts w:hint="eastAsia"/>
          <w:color w:val="0000FF"/>
        </w:rPr>
      </w:pPr>
      <w:r>
        <w:rPr>
          <w:rFonts w:hint="eastAsia"/>
          <w:color w:val="0000FF"/>
        </w:rPr>
        <w:t>Appendix 6: Old Testament Kingdom Prophecies Listed</w:t>
      </w:r>
    </w:p>
    <w:p w14:paraId="772B6DFF">
      <w:pPr>
        <w:bidi w:val="0"/>
        <w:rPr>
          <w:rFonts w:hint="eastAsia"/>
          <w:color w:val="0000FF"/>
        </w:rPr>
      </w:pPr>
    </w:p>
    <w:p w14:paraId="4C87B745">
      <w:pPr>
        <w:bidi w:val="0"/>
        <w:rPr>
          <w:rFonts w:hint="eastAsia"/>
          <w:color w:val="0000FF"/>
        </w:rPr>
      </w:pPr>
      <w:r>
        <w:rPr>
          <w:rFonts w:hint="eastAsia"/>
          <w:color w:val="0000FF"/>
        </w:rPr>
        <w:t>附录6：旧约国度预言列表</w:t>
      </w:r>
    </w:p>
    <w:p w14:paraId="6D130076">
      <w:pPr>
        <w:bidi w:val="0"/>
        <w:rPr>
          <w:rFonts w:hint="eastAsia"/>
          <w:color w:val="0000FF"/>
        </w:rPr>
      </w:pPr>
    </w:p>
    <w:p w14:paraId="3D0D5AD2">
      <w:pPr>
        <w:bidi w:val="0"/>
        <w:rPr>
          <w:rFonts w:hint="eastAsia"/>
          <w:color w:val="0000FF"/>
        </w:rPr>
      </w:pPr>
      <w:r>
        <w:rPr>
          <w:rFonts w:hint="eastAsia"/>
          <w:color w:val="0000FF"/>
        </w:rPr>
        <w:t>Appendix 7: Old Testament Kingdom Prophecies Cited in the New Testament</w:t>
      </w:r>
    </w:p>
    <w:p w14:paraId="5DF119A2">
      <w:pPr>
        <w:bidi w:val="0"/>
        <w:rPr>
          <w:rFonts w:hint="eastAsia"/>
          <w:color w:val="0000FF"/>
        </w:rPr>
      </w:pPr>
    </w:p>
    <w:p w14:paraId="2DE5A0DF">
      <w:pPr>
        <w:bidi w:val="0"/>
        <w:rPr>
          <w:rFonts w:hint="eastAsia"/>
          <w:color w:val="0000FF"/>
        </w:rPr>
      </w:pPr>
      <w:r>
        <w:rPr>
          <w:rFonts w:hint="eastAsia"/>
          <w:color w:val="0000FF"/>
        </w:rPr>
        <w:t>附录7：新约中引用的旧约国度预言</w:t>
      </w:r>
    </w:p>
    <w:p w14:paraId="5AE7808D">
      <w:pPr>
        <w:bidi w:val="0"/>
        <w:rPr>
          <w:rFonts w:hint="eastAsia"/>
          <w:color w:val="0000FF"/>
        </w:rPr>
      </w:pPr>
    </w:p>
    <w:p w14:paraId="4C37EB86">
      <w:pPr>
        <w:bidi w:val="0"/>
        <w:rPr>
          <w:rFonts w:hint="eastAsia"/>
          <w:color w:val="0000FF"/>
        </w:rPr>
      </w:pPr>
      <w:r>
        <w:rPr>
          <w:rFonts w:hint="eastAsia"/>
          <w:color w:val="0000FF"/>
        </w:rPr>
        <w:t>Appendix 8: New Testament Texts Touching on the Parousia/Consummation</w:t>
      </w:r>
    </w:p>
    <w:p w14:paraId="78B08EF0">
      <w:pPr>
        <w:bidi w:val="0"/>
        <w:rPr>
          <w:rFonts w:hint="eastAsia"/>
          <w:color w:val="0000FF"/>
        </w:rPr>
      </w:pPr>
    </w:p>
    <w:p w14:paraId="09DAF93B">
      <w:pPr>
        <w:bidi w:val="0"/>
        <w:rPr>
          <w:rFonts w:hint="eastAsia"/>
          <w:color w:val="0000FF"/>
        </w:rPr>
      </w:pPr>
      <w:r>
        <w:rPr>
          <w:rFonts w:hint="eastAsia"/>
          <w:color w:val="0000FF"/>
        </w:rPr>
        <w:t>附录8：论及主再来/最终成全的新约经文</w:t>
      </w:r>
    </w:p>
    <w:p w14:paraId="4EF0DFCC">
      <w:pPr>
        <w:bidi w:val="0"/>
        <w:rPr>
          <w:rFonts w:hint="eastAsia"/>
          <w:color w:val="0000FF"/>
        </w:rPr>
      </w:pPr>
    </w:p>
    <w:p w14:paraId="58112321">
      <w:pPr>
        <w:bidi w:val="0"/>
        <w:rPr>
          <w:rFonts w:hint="eastAsia"/>
          <w:color w:val="0000FF"/>
        </w:rPr>
      </w:pPr>
      <w:r>
        <w:rPr>
          <w:rFonts w:hint="eastAsia"/>
          <w:color w:val="0000FF"/>
        </w:rPr>
        <w:t>Appendix 9: Biblical Prophecies of the Last Battle</w:t>
      </w:r>
    </w:p>
    <w:p w14:paraId="2D829E1A">
      <w:pPr>
        <w:bidi w:val="0"/>
        <w:rPr>
          <w:rFonts w:hint="eastAsia"/>
          <w:color w:val="0000FF"/>
        </w:rPr>
      </w:pPr>
    </w:p>
    <w:p w14:paraId="508B62EB">
      <w:pPr>
        <w:bidi w:val="0"/>
        <w:rPr>
          <w:rFonts w:hint="eastAsia"/>
          <w:color w:val="0000FF"/>
        </w:rPr>
      </w:pPr>
      <w:r>
        <w:rPr>
          <w:rFonts w:hint="eastAsia"/>
          <w:color w:val="0000FF"/>
        </w:rPr>
        <w:t>附录9：关于末后争战的圣经预言</w:t>
      </w:r>
    </w:p>
    <w:p w14:paraId="504671D6">
      <w:pPr>
        <w:bidi w:val="0"/>
        <w:rPr>
          <w:rFonts w:hint="eastAsia"/>
          <w:color w:val="0000FF"/>
        </w:rPr>
      </w:pPr>
    </w:p>
    <w:p w14:paraId="46371F8D">
      <w:pPr>
        <w:bidi w:val="0"/>
        <w:rPr>
          <w:rFonts w:hint="eastAsia"/>
          <w:color w:val="0000FF"/>
        </w:rPr>
      </w:pPr>
      <w:r>
        <w:rPr>
          <w:rFonts w:hint="eastAsia"/>
          <w:color w:val="0000FF"/>
        </w:rPr>
        <w:t>Appendix 10: The Creeds of Christendom on the Consummation</w:t>
      </w:r>
    </w:p>
    <w:p w14:paraId="22CD67C4">
      <w:pPr>
        <w:bidi w:val="0"/>
        <w:rPr>
          <w:rFonts w:hint="eastAsia"/>
          <w:color w:val="0000FF"/>
        </w:rPr>
      </w:pPr>
    </w:p>
    <w:p w14:paraId="6D8BA38F">
      <w:pPr>
        <w:bidi w:val="0"/>
        <w:rPr>
          <w:rFonts w:hint="eastAsia"/>
          <w:color w:val="0000FF"/>
        </w:rPr>
      </w:pPr>
      <w:r>
        <w:rPr>
          <w:rFonts w:hint="eastAsia"/>
          <w:color w:val="0000FF"/>
        </w:rPr>
        <w:t>附录10：基督教界关于最终成全的信经</w:t>
      </w:r>
    </w:p>
    <w:p w14:paraId="357E78B5">
      <w:pPr>
        <w:bidi w:val="0"/>
        <w:rPr>
          <w:rFonts w:hint="eastAsia"/>
          <w:color w:val="0000FF"/>
        </w:rPr>
      </w:pPr>
    </w:p>
    <w:p w14:paraId="43445A8F">
      <w:pPr>
        <w:bidi w:val="0"/>
        <w:rPr>
          <w:rFonts w:hint="eastAsia"/>
          <w:color w:val="0000FF"/>
        </w:rPr>
      </w:pPr>
      <w:r>
        <w:rPr>
          <w:rFonts w:hint="eastAsia"/>
          <w:color w:val="0000FF"/>
        </w:rPr>
        <w:t>Endnotes</w:t>
      </w:r>
    </w:p>
    <w:p w14:paraId="25A3A93F">
      <w:pPr>
        <w:bidi w:val="0"/>
        <w:rPr>
          <w:rFonts w:hint="eastAsia"/>
          <w:color w:val="0000FF"/>
        </w:rPr>
      </w:pPr>
    </w:p>
    <w:p w14:paraId="3BD12AA6">
      <w:pPr>
        <w:bidi w:val="0"/>
        <w:rPr>
          <w:rFonts w:hint="eastAsia"/>
          <w:color w:val="0000FF"/>
        </w:rPr>
      </w:pPr>
      <w:r>
        <w:rPr>
          <w:rFonts w:hint="eastAsia"/>
          <w:color w:val="0000FF"/>
        </w:rPr>
        <w:t>尾注</w:t>
      </w:r>
    </w:p>
    <w:p w14:paraId="00E5D660">
      <w:pPr>
        <w:bidi w:val="0"/>
        <w:rPr>
          <w:rFonts w:hint="eastAsia"/>
          <w:color w:val="0000FF"/>
        </w:rPr>
      </w:pPr>
    </w:p>
    <w:p w14:paraId="75DAF9D6">
      <w:pPr>
        <w:bidi w:val="0"/>
        <w:rPr>
          <w:rFonts w:hint="eastAsia"/>
          <w:color w:val="0000FF"/>
        </w:rPr>
      </w:pPr>
      <w:r>
        <w:rPr>
          <w:rFonts w:hint="eastAsia"/>
          <w:color w:val="0000FF"/>
        </w:rPr>
        <w:t>Subject Index</w:t>
      </w:r>
    </w:p>
    <w:p w14:paraId="3F93FCB1">
      <w:pPr>
        <w:bidi w:val="0"/>
        <w:rPr>
          <w:rFonts w:hint="eastAsia"/>
          <w:color w:val="0000FF"/>
        </w:rPr>
      </w:pPr>
    </w:p>
    <w:p w14:paraId="4CE5EC77">
      <w:pPr>
        <w:bidi w:val="0"/>
        <w:rPr>
          <w:rFonts w:hint="eastAsia"/>
          <w:color w:val="0000FF"/>
        </w:rPr>
      </w:pPr>
      <w:r>
        <w:rPr>
          <w:rFonts w:hint="eastAsia"/>
          <w:color w:val="0000FF"/>
        </w:rPr>
        <w:t>主题索引</w:t>
      </w:r>
    </w:p>
    <w:p w14:paraId="7255D3E8">
      <w:pPr>
        <w:bidi w:val="0"/>
        <w:rPr>
          <w:rFonts w:hint="eastAsia"/>
          <w:color w:val="0000FF"/>
        </w:rPr>
      </w:pPr>
    </w:p>
    <w:p w14:paraId="75D60683">
      <w:pPr>
        <w:bidi w:val="0"/>
        <w:rPr>
          <w:rFonts w:hint="eastAsia"/>
          <w:color w:val="0000FF"/>
        </w:rPr>
      </w:pPr>
      <w:r>
        <w:rPr>
          <w:rFonts w:hint="eastAsia"/>
          <w:color w:val="0000FF"/>
        </w:rPr>
        <w:t>Scripture Index</w:t>
      </w:r>
    </w:p>
    <w:p w14:paraId="25623003">
      <w:pPr>
        <w:bidi w:val="0"/>
        <w:rPr>
          <w:rFonts w:hint="eastAsia"/>
          <w:color w:val="0000FF"/>
        </w:rPr>
      </w:pPr>
    </w:p>
    <w:p w14:paraId="22070EED">
      <w:pPr>
        <w:bidi w:val="0"/>
        <w:rPr>
          <w:rFonts w:hint="eastAsia"/>
          <w:color w:val="0000FF"/>
        </w:rPr>
      </w:pPr>
      <w:r>
        <w:rPr>
          <w:rFonts w:hint="eastAsia"/>
          <w:color w:val="0000FF"/>
        </w:rPr>
        <w:t>经文索引</w:t>
      </w:r>
    </w:p>
    <w:p w14:paraId="48795358">
      <w:pPr>
        <w:bidi w:val="0"/>
        <w:rPr>
          <w:rFonts w:hint="eastAsia"/>
          <w:color w:val="0000FF"/>
        </w:rPr>
      </w:pPr>
    </w:p>
    <w:p w14:paraId="370A6A6E">
      <w:pPr>
        <w:bidi w:val="0"/>
        <w:rPr>
          <w:rFonts w:hint="eastAsia"/>
          <w:color w:val="0000FF"/>
        </w:rPr>
      </w:pPr>
    </w:p>
    <w:p w14:paraId="1DB832B7">
      <w:pPr>
        <w:bidi w:val="0"/>
        <w:rPr>
          <w:rFonts w:hint="eastAsia"/>
        </w:rPr>
      </w:pPr>
    </w:p>
    <w:p w14:paraId="2695F226">
      <w:pPr>
        <w:bidi w:val="0"/>
        <w:rPr>
          <w:rFonts w:hint="eastAsia"/>
        </w:rPr>
      </w:pPr>
    </w:p>
    <w:p w14:paraId="7F9C49D2">
      <w:pPr>
        <w:bidi w:val="0"/>
        <w:rPr>
          <w:rFonts w:hint="eastAsia"/>
        </w:rPr>
      </w:pPr>
    </w:p>
    <w:p w14:paraId="1D2F36D4">
      <w:pPr>
        <w:bidi w:val="0"/>
        <w:rPr>
          <w:rFonts w:hint="eastAsia"/>
        </w:rPr>
      </w:pPr>
    </w:p>
    <w:p w14:paraId="1ACBF33D">
      <w:pPr>
        <w:bidi w:val="0"/>
        <w:rPr>
          <w:rFonts w:hint="eastAsia"/>
        </w:rPr>
      </w:pPr>
    </w:p>
    <w:p w14:paraId="57D7C85B">
      <w:pPr>
        <w:bidi w:val="0"/>
        <w:rPr>
          <w:rFonts w:hint="eastAsia"/>
        </w:rPr>
      </w:pPr>
    </w:p>
    <w:p w14:paraId="49D0FDAC">
      <w:pPr>
        <w:bidi w:val="0"/>
        <w:rPr>
          <w:rFonts w:hint="eastAsia"/>
        </w:rPr>
      </w:pPr>
    </w:p>
    <w:p w14:paraId="0C31C84E">
      <w:pPr>
        <w:bidi w:val="0"/>
        <w:rPr>
          <w:rFonts w:hint="eastAsia"/>
        </w:rPr>
      </w:pPr>
    </w:p>
    <w:p w14:paraId="131862CE">
      <w:pPr>
        <w:bidi w:val="0"/>
        <w:rPr>
          <w:rFonts w:hint="eastAsia"/>
        </w:rPr>
      </w:pPr>
    </w:p>
    <w:p w14:paraId="30F1F6D7">
      <w:pPr>
        <w:bidi w:val="0"/>
        <w:rPr>
          <w:rFonts w:hint="eastAsia"/>
        </w:rPr>
      </w:pPr>
    </w:p>
    <w:p w14:paraId="79941708">
      <w:pPr>
        <w:bidi w:val="0"/>
        <w:rPr>
          <w:rFonts w:hint="eastAsia"/>
        </w:rPr>
      </w:pPr>
    </w:p>
    <w:p w14:paraId="1A78784D">
      <w:pPr>
        <w:bidi w:val="0"/>
        <w:rPr>
          <w:rFonts w:hint="eastAsia"/>
        </w:rPr>
      </w:pPr>
    </w:p>
    <w:p w14:paraId="769EFFE7">
      <w:pPr>
        <w:bidi w:val="0"/>
        <w:rPr>
          <w:rFonts w:hint="eastAsia"/>
        </w:rPr>
      </w:pPr>
    </w:p>
    <w:p w14:paraId="4005897B">
      <w:pPr>
        <w:bidi w:val="0"/>
        <w:rPr>
          <w:rFonts w:hint="eastAsia"/>
        </w:rPr>
      </w:pPr>
    </w:p>
    <w:p w14:paraId="14875769">
      <w:pPr>
        <w:pStyle w:val="2"/>
        <w:bidi w:val="0"/>
        <w:rPr>
          <w:rFonts w:hint="eastAsia"/>
        </w:rPr>
      </w:pPr>
      <w:r>
        <w:rPr>
          <w:rFonts w:hint="eastAsia"/>
        </w:rPr>
        <w:t>Select Bibliography</w:t>
      </w:r>
    </w:p>
    <w:p w14:paraId="66128EAC">
      <w:pPr>
        <w:pStyle w:val="2"/>
        <w:bidi w:val="0"/>
        <w:rPr>
          <w:rFonts w:hint="eastAsia"/>
        </w:rPr>
      </w:pPr>
      <w:r>
        <w:rPr>
          <w:rFonts w:hint="eastAsia"/>
        </w:rPr>
        <w:t>精选书目</w:t>
      </w:r>
    </w:p>
    <w:p w14:paraId="1385E871">
      <w:pPr>
        <w:bidi w:val="0"/>
        <w:rPr>
          <w:rFonts w:hint="eastAsia"/>
        </w:rPr>
      </w:pPr>
    </w:p>
    <w:p w14:paraId="5A4F44A1">
      <w:pPr>
        <w:bidi w:val="0"/>
        <w:rPr>
          <w:rFonts w:hint="eastAsia"/>
          <w:color w:val="0000FF"/>
        </w:rPr>
      </w:pPr>
      <w:r>
        <w:rPr>
          <w:rFonts w:hint="eastAsia"/>
          <w:color w:val="0000FF"/>
        </w:rPr>
        <w:t>Table of timelines, Charts, and Diagrams</w:t>
      </w:r>
    </w:p>
    <w:p w14:paraId="41385F8D">
      <w:pPr>
        <w:bidi w:val="0"/>
        <w:rPr>
          <w:rFonts w:hint="eastAsia"/>
          <w:color w:val="0000FF"/>
        </w:rPr>
      </w:pPr>
    </w:p>
    <w:p w14:paraId="4DEF7D6F">
      <w:pPr>
        <w:bidi w:val="0"/>
        <w:rPr>
          <w:rFonts w:hint="eastAsia"/>
          <w:color w:val="0000FF"/>
        </w:rPr>
      </w:pPr>
      <w:r>
        <w:rPr>
          <w:rFonts w:hint="eastAsia"/>
          <w:color w:val="0000FF"/>
        </w:rPr>
        <w:t>时间线、图表和示意图目录</w:t>
      </w:r>
    </w:p>
    <w:p w14:paraId="39587753">
      <w:pPr>
        <w:bidi w:val="0"/>
        <w:rPr>
          <w:rFonts w:hint="eastAsia"/>
          <w:color w:val="0000FF"/>
        </w:rPr>
      </w:pPr>
    </w:p>
    <w:p w14:paraId="3ADAD0A7">
      <w:pPr>
        <w:bidi w:val="0"/>
        <w:rPr>
          <w:rFonts w:hint="eastAsia"/>
          <w:color w:val="0000FF"/>
        </w:rPr>
      </w:pPr>
      <w:r>
        <w:rPr>
          <w:rFonts w:hint="eastAsia"/>
          <w:color w:val="0000FF"/>
        </w:rPr>
        <w:t>1. ​The Beginner’s Version of Salvation History</w:t>
      </w:r>
    </w:p>
    <w:p w14:paraId="05A1C79A">
      <w:pPr>
        <w:bidi w:val="0"/>
        <w:rPr>
          <w:rFonts w:hint="eastAsia"/>
          <w:color w:val="0000FF"/>
        </w:rPr>
      </w:pPr>
    </w:p>
    <w:p w14:paraId="41953EB6">
      <w:pPr>
        <w:bidi w:val="0"/>
        <w:rPr>
          <w:rFonts w:hint="eastAsia"/>
          <w:color w:val="0000FF"/>
        </w:rPr>
      </w:pPr>
      <w:r>
        <w:rPr>
          <w:rFonts w:hint="eastAsia"/>
          <w:color w:val="0000FF"/>
        </w:rPr>
        <w:t>1. 救赎历史入门版</w:t>
      </w:r>
    </w:p>
    <w:p w14:paraId="0960E1B8">
      <w:pPr>
        <w:bidi w:val="0"/>
        <w:rPr>
          <w:rFonts w:hint="eastAsia"/>
          <w:color w:val="0000FF"/>
        </w:rPr>
      </w:pPr>
    </w:p>
    <w:p w14:paraId="3075A7D1">
      <w:pPr>
        <w:bidi w:val="0"/>
        <w:rPr>
          <w:rFonts w:hint="eastAsia"/>
          <w:color w:val="0000FF"/>
        </w:rPr>
      </w:pPr>
      <w:r>
        <w:rPr>
          <w:rFonts w:hint="eastAsia"/>
          <w:color w:val="0000FF"/>
        </w:rPr>
        <w:t>2. ​Historic Premillennialism</w:t>
      </w:r>
    </w:p>
    <w:p w14:paraId="55F23F3B">
      <w:pPr>
        <w:bidi w:val="0"/>
        <w:rPr>
          <w:rFonts w:hint="eastAsia"/>
          <w:color w:val="0000FF"/>
        </w:rPr>
      </w:pPr>
    </w:p>
    <w:p w14:paraId="1E3BD5A8">
      <w:pPr>
        <w:bidi w:val="0"/>
        <w:rPr>
          <w:rFonts w:hint="eastAsia"/>
          <w:color w:val="0000FF"/>
        </w:rPr>
      </w:pPr>
      <w:r>
        <w:rPr>
          <w:rFonts w:hint="eastAsia"/>
          <w:color w:val="0000FF"/>
        </w:rPr>
        <w:t>2. 历史前千禧年论</w:t>
      </w:r>
    </w:p>
    <w:p w14:paraId="4D4C7E0D">
      <w:pPr>
        <w:bidi w:val="0"/>
        <w:rPr>
          <w:rFonts w:hint="eastAsia"/>
          <w:color w:val="0000FF"/>
        </w:rPr>
      </w:pPr>
    </w:p>
    <w:p w14:paraId="17D9382D">
      <w:pPr>
        <w:bidi w:val="0"/>
        <w:rPr>
          <w:rFonts w:hint="eastAsia"/>
          <w:color w:val="0000FF"/>
        </w:rPr>
      </w:pPr>
      <w:r>
        <w:rPr>
          <w:rFonts w:hint="eastAsia"/>
          <w:color w:val="0000FF"/>
        </w:rPr>
        <w:t>3. ​Amillennialism</w:t>
      </w:r>
    </w:p>
    <w:p w14:paraId="545613C5">
      <w:pPr>
        <w:bidi w:val="0"/>
        <w:rPr>
          <w:rFonts w:hint="eastAsia"/>
          <w:color w:val="0000FF"/>
        </w:rPr>
      </w:pPr>
    </w:p>
    <w:p w14:paraId="7EC5F306">
      <w:pPr>
        <w:bidi w:val="0"/>
        <w:rPr>
          <w:rFonts w:hint="eastAsia"/>
          <w:color w:val="0000FF"/>
        </w:rPr>
      </w:pPr>
      <w:r>
        <w:rPr>
          <w:rFonts w:hint="eastAsia"/>
          <w:color w:val="0000FF"/>
        </w:rPr>
        <w:t>3. 无千禧年论</w:t>
      </w:r>
    </w:p>
    <w:p w14:paraId="5B246455">
      <w:pPr>
        <w:bidi w:val="0"/>
        <w:rPr>
          <w:rFonts w:hint="eastAsia"/>
          <w:color w:val="0000FF"/>
        </w:rPr>
      </w:pPr>
    </w:p>
    <w:p w14:paraId="7719293E">
      <w:pPr>
        <w:bidi w:val="0"/>
        <w:rPr>
          <w:rFonts w:hint="eastAsia"/>
          <w:color w:val="0000FF"/>
        </w:rPr>
      </w:pPr>
      <w:r>
        <w:rPr>
          <w:rFonts w:hint="eastAsia"/>
          <w:color w:val="0000FF"/>
        </w:rPr>
        <w:t>4. ​Postmillennialism</w:t>
      </w:r>
    </w:p>
    <w:p w14:paraId="72E63B2A">
      <w:pPr>
        <w:bidi w:val="0"/>
        <w:rPr>
          <w:rFonts w:hint="eastAsia"/>
          <w:color w:val="0000FF"/>
        </w:rPr>
      </w:pPr>
    </w:p>
    <w:p w14:paraId="10C37F26">
      <w:pPr>
        <w:bidi w:val="0"/>
        <w:rPr>
          <w:rFonts w:hint="eastAsia"/>
          <w:color w:val="0000FF"/>
        </w:rPr>
      </w:pPr>
      <w:r>
        <w:rPr>
          <w:rFonts w:hint="eastAsia"/>
          <w:color w:val="0000FF"/>
        </w:rPr>
        <w:t>4. 后千禧年论</w:t>
      </w:r>
    </w:p>
    <w:p w14:paraId="7A6F7D51">
      <w:pPr>
        <w:bidi w:val="0"/>
        <w:rPr>
          <w:rFonts w:hint="eastAsia"/>
          <w:color w:val="0000FF"/>
        </w:rPr>
      </w:pPr>
    </w:p>
    <w:p w14:paraId="3F9ADB62">
      <w:pPr>
        <w:bidi w:val="0"/>
        <w:rPr>
          <w:rFonts w:hint="eastAsia"/>
          <w:color w:val="0000FF"/>
        </w:rPr>
      </w:pPr>
      <w:r>
        <w:rPr>
          <w:rFonts w:hint="eastAsia"/>
          <w:color w:val="0000FF"/>
        </w:rPr>
        <w:t>5. ​Dispensational Premillennialism (Dispensationalism)</w:t>
      </w:r>
    </w:p>
    <w:p w14:paraId="2DB9E519">
      <w:pPr>
        <w:bidi w:val="0"/>
        <w:rPr>
          <w:rFonts w:hint="eastAsia"/>
          <w:color w:val="0000FF"/>
        </w:rPr>
      </w:pPr>
    </w:p>
    <w:p w14:paraId="7E0AC8B4">
      <w:pPr>
        <w:bidi w:val="0"/>
        <w:rPr>
          <w:rFonts w:hint="eastAsia"/>
          <w:color w:val="0000FF"/>
        </w:rPr>
      </w:pPr>
      <w:r>
        <w:rPr>
          <w:rFonts w:hint="eastAsia"/>
          <w:color w:val="0000FF"/>
        </w:rPr>
        <w:t>5. 时代论前千禧年论（时代论）</w:t>
      </w:r>
    </w:p>
    <w:p w14:paraId="61069057">
      <w:pPr>
        <w:bidi w:val="0"/>
        <w:rPr>
          <w:rFonts w:hint="eastAsia"/>
          <w:color w:val="0000FF"/>
        </w:rPr>
      </w:pPr>
    </w:p>
    <w:p w14:paraId="5FC12D55">
      <w:pPr>
        <w:bidi w:val="0"/>
        <w:rPr>
          <w:rFonts w:hint="eastAsia"/>
          <w:color w:val="0000FF"/>
        </w:rPr>
      </w:pPr>
      <w:r>
        <w:rPr>
          <w:rFonts w:hint="eastAsia"/>
          <w:color w:val="0000FF"/>
        </w:rPr>
        <w:t>6. ​Partial Preterism</w:t>
      </w:r>
    </w:p>
    <w:p w14:paraId="2D1C116F">
      <w:pPr>
        <w:bidi w:val="0"/>
        <w:rPr>
          <w:rFonts w:hint="eastAsia"/>
          <w:color w:val="0000FF"/>
        </w:rPr>
      </w:pPr>
    </w:p>
    <w:p w14:paraId="7A30B3F9">
      <w:pPr>
        <w:bidi w:val="0"/>
        <w:rPr>
          <w:rFonts w:hint="eastAsia"/>
          <w:color w:val="0000FF"/>
        </w:rPr>
      </w:pPr>
      <w:r>
        <w:rPr>
          <w:rFonts w:hint="eastAsia"/>
          <w:color w:val="0000FF"/>
        </w:rPr>
        <w:t>6. 部分过去派</w:t>
      </w:r>
    </w:p>
    <w:p w14:paraId="1E5269A1">
      <w:pPr>
        <w:bidi w:val="0"/>
        <w:rPr>
          <w:rFonts w:hint="eastAsia"/>
          <w:color w:val="0000FF"/>
        </w:rPr>
      </w:pPr>
    </w:p>
    <w:p w14:paraId="7C502A57">
      <w:pPr>
        <w:bidi w:val="0"/>
        <w:rPr>
          <w:rFonts w:hint="eastAsia"/>
          <w:color w:val="0000FF"/>
        </w:rPr>
      </w:pPr>
      <w:r>
        <w:rPr>
          <w:rFonts w:hint="eastAsia"/>
          <w:color w:val="0000FF"/>
        </w:rPr>
        <w:t>7. ​Full Preterism</w:t>
      </w:r>
    </w:p>
    <w:p w14:paraId="3E35842F">
      <w:pPr>
        <w:bidi w:val="0"/>
        <w:rPr>
          <w:rFonts w:hint="eastAsia"/>
          <w:color w:val="0000FF"/>
        </w:rPr>
      </w:pPr>
    </w:p>
    <w:p w14:paraId="5D108223">
      <w:pPr>
        <w:bidi w:val="0"/>
        <w:rPr>
          <w:rFonts w:hint="eastAsia"/>
          <w:color w:val="0000FF"/>
        </w:rPr>
      </w:pPr>
      <w:r>
        <w:rPr>
          <w:rFonts w:hint="eastAsia"/>
          <w:color w:val="0000FF"/>
        </w:rPr>
        <w:t>7. 完全过去派</w:t>
      </w:r>
    </w:p>
    <w:p w14:paraId="310D8011">
      <w:pPr>
        <w:bidi w:val="0"/>
        <w:rPr>
          <w:rFonts w:hint="eastAsia"/>
          <w:color w:val="0000FF"/>
        </w:rPr>
      </w:pPr>
    </w:p>
    <w:p w14:paraId="06D90079">
      <w:pPr>
        <w:bidi w:val="0"/>
        <w:rPr>
          <w:rFonts w:hint="eastAsia"/>
          <w:color w:val="0000FF"/>
        </w:rPr>
      </w:pPr>
      <w:r>
        <w:rPr>
          <w:rFonts w:hint="eastAsia"/>
          <w:color w:val="0000FF"/>
        </w:rPr>
        <w:t>8. ​The Three Ages of Cosmic History</w:t>
      </w:r>
    </w:p>
    <w:p w14:paraId="0C33F42D">
      <w:pPr>
        <w:bidi w:val="0"/>
        <w:rPr>
          <w:rFonts w:hint="eastAsia"/>
          <w:color w:val="0000FF"/>
        </w:rPr>
      </w:pPr>
    </w:p>
    <w:p w14:paraId="0021D133">
      <w:pPr>
        <w:bidi w:val="0"/>
        <w:rPr>
          <w:rFonts w:hint="eastAsia"/>
          <w:color w:val="0000FF"/>
        </w:rPr>
      </w:pPr>
      <w:r>
        <w:rPr>
          <w:rFonts w:hint="eastAsia"/>
          <w:color w:val="0000FF"/>
        </w:rPr>
        <w:t>8. 宇宙历史的三个时代</w:t>
      </w:r>
    </w:p>
    <w:p w14:paraId="463F14CC">
      <w:pPr>
        <w:bidi w:val="0"/>
        <w:rPr>
          <w:rFonts w:hint="eastAsia"/>
          <w:color w:val="0000FF"/>
        </w:rPr>
      </w:pPr>
    </w:p>
    <w:p w14:paraId="62100B09">
      <w:pPr>
        <w:bidi w:val="0"/>
        <w:rPr>
          <w:rFonts w:hint="eastAsia"/>
          <w:color w:val="0000FF"/>
        </w:rPr>
      </w:pPr>
      <w:r>
        <w:rPr>
          <w:rFonts w:hint="eastAsia"/>
          <w:color w:val="0000FF"/>
        </w:rPr>
        <w:t>9. ​Salvation History: Successive Administrations of the Eternal Covenant</w:t>
      </w:r>
    </w:p>
    <w:p w14:paraId="3DF5ED8B">
      <w:pPr>
        <w:bidi w:val="0"/>
        <w:rPr>
          <w:rFonts w:hint="eastAsia"/>
          <w:color w:val="0000FF"/>
        </w:rPr>
      </w:pPr>
    </w:p>
    <w:p w14:paraId="2E786599">
      <w:pPr>
        <w:bidi w:val="0"/>
        <w:rPr>
          <w:rFonts w:hint="eastAsia"/>
          <w:color w:val="0000FF"/>
        </w:rPr>
      </w:pPr>
      <w:r>
        <w:rPr>
          <w:rFonts w:hint="eastAsia"/>
          <w:color w:val="0000FF"/>
        </w:rPr>
        <w:t>9. 救赎历史：永恒之约的历代施行</w:t>
      </w:r>
    </w:p>
    <w:p w14:paraId="15061BBC">
      <w:pPr>
        <w:bidi w:val="0"/>
        <w:rPr>
          <w:rFonts w:hint="eastAsia"/>
          <w:color w:val="0000FF"/>
        </w:rPr>
      </w:pPr>
    </w:p>
    <w:p w14:paraId="068EC59E">
      <w:pPr>
        <w:bidi w:val="0"/>
        <w:rPr>
          <w:rFonts w:hint="eastAsia"/>
          <w:color w:val="0000FF"/>
        </w:rPr>
      </w:pPr>
      <w:r>
        <w:rPr>
          <w:rFonts w:hint="eastAsia"/>
          <w:color w:val="0000FF"/>
        </w:rPr>
        <w:t>10. ​The Coming of the Kingdom</w:t>
      </w:r>
    </w:p>
    <w:p w14:paraId="3797B3E1">
      <w:pPr>
        <w:bidi w:val="0"/>
        <w:rPr>
          <w:rFonts w:hint="eastAsia"/>
          <w:color w:val="0000FF"/>
        </w:rPr>
      </w:pPr>
    </w:p>
    <w:p w14:paraId="689194BE">
      <w:pPr>
        <w:bidi w:val="0"/>
        <w:rPr>
          <w:rFonts w:hint="eastAsia"/>
          <w:color w:val="0000FF"/>
        </w:rPr>
      </w:pPr>
      <w:r>
        <w:rPr>
          <w:rFonts w:hint="eastAsia"/>
          <w:color w:val="0000FF"/>
        </w:rPr>
        <w:t>10. 国度的降临</w:t>
      </w:r>
    </w:p>
    <w:p w14:paraId="0940FE40">
      <w:pPr>
        <w:bidi w:val="0"/>
        <w:rPr>
          <w:rFonts w:hint="eastAsia"/>
          <w:color w:val="0000FF"/>
        </w:rPr>
      </w:pPr>
    </w:p>
    <w:p w14:paraId="785FDF28">
      <w:pPr>
        <w:bidi w:val="0"/>
        <w:rPr>
          <w:rFonts w:hint="eastAsia"/>
          <w:color w:val="0000FF"/>
        </w:rPr>
      </w:pPr>
      <w:r>
        <w:rPr>
          <w:rFonts w:hint="eastAsia"/>
          <w:color w:val="0000FF"/>
        </w:rPr>
        <w:t>11. ​The Clash of the Kingdoms</w:t>
      </w:r>
    </w:p>
    <w:p w14:paraId="52DA7D6B">
      <w:pPr>
        <w:bidi w:val="0"/>
        <w:rPr>
          <w:rFonts w:hint="eastAsia"/>
          <w:color w:val="0000FF"/>
        </w:rPr>
      </w:pPr>
    </w:p>
    <w:p w14:paraId="594094DD">
      <w:pPr>
        <w:bidi w:val="0"/>
        <w:rPr>
          <w:rFonts w:hint="eastAsia"/>
          <w:color w:val="0000FF"/>
        </w:rPr>
      </w:pPr>
      <w:r>
        <w:rPr>
          <w:rFonts w:hint="eastAsia"/>
          <w:color w:val="0000FF"/>
        </w:rPr>
        <w:t>11. 诸国度的冲突</w:t>
      </w:r>
    </w:p>
    <w:p w14:paraId="6FD3F59E">
      <w:pPr>
        <w:bidi w:val="0"/>
        <w:rPr>
          <w:rFonts w:hint="eastAsia"/>
          <w:color w:val="0000FF"/>
        </w:rPr>
      </w:pPr>
    </w:p>
    <w:p w14:paraId="259AC657">
      <w:pPr>
        <w:bidi w:val="0"/>
        <w:rPr>
          <w:rFonts w:hint="eastAsia"/>
          <w:color w:val="0000FF"/>
        </w:rPr>
      </w:pPr>
      <w:r>
        <w:rPr>
          <w:rFonts w:hint="eastAsia"/>
          <w:color w:val="0000FF"/>
        </w:rPr>
        <w:t>12. ​Salvation History: A Journey to the Kingdom</w:t>
      </w:r>
    </w:p>
    <w:p w14:paraId="74124A88">
      <w:pPr>
        <w:bidi w:val="0"/>
        <w:rPr>
          <w:rFonts w:hint="eastAsia"/>
          <w:color w:val="0000FF"/>
        </w:rPr>
      </w:pPr>
    </w:p>
    <w:p w14:paraId="07112C1D">
      <w:pPr>
        <w:bidi w:val="0"/>
        <w:rPr>
          <w:rFonts w:hint="eastAsia"/>
          <w:color w:val="0000FF"/>
        </w:rPr>
      </w:pPr>
      <w:r>
        <w:rPr>
          <w:rFonts w:hint="eastAsia"/>
          <w:color w:val="0000FF"/>
        </w:rPr>
        <w:t>12. 救赎历史：通往国度之旅</w:t>
      </w:r>
    </w:p>
    <w:p w14:paraId="675AA339">
      <w:pPr>
        <w:bidi w:val="0"/>
        <w:rPr>
          <w:rFonts w:hint="eastAsia"/>
          <w:color w:val="0000FF"/>
        </w:rPr>
      </w:pPr>
    </w:p>
    <w:p w14:paraId="35AED228">
      <w:pPr>
        <w:bidi w:val="0"/>
        <w:rPr>
          <w:rFonts w:hint="eastAsia"/>
          <w:color w:val="0000FF"/>
        </w:rPr>
      </w:pPr>
      <w:r>
        <w:rPr>
          <w:rFonts w:hint="eastAsia"/>
          <w:color w:val="0000FF"/>
        </w:rPr>
        <w:t>13. ​The Structure of the Revelation</w:t>
      </w:r>
    </w:p>
    <w:p w14:paraId="475B670C">
      <w:pPr>
        <w:bidi w:val="0"/>
        <w:rPr>
          <w:rFonts w:hint="eastAsia"/>
          <w:color w:val="0000FF"/>
        </w:rPr>
      </w:pPr>
    </w:p>
    <w:p w14:paraId="169818CC">
      <w:pPr>
        <w:bidi w:val="0"/>
        <w:rPr>
          <w:rFonts w:hint="eastAsia"/>
          <w:color w:val="0000FF"/>
        </w:rPr>
      </w:pPr>
      <w:r>
        <w:rPr>
          <w:rFonts w:hint="eastAsia"/>
          <w:color w:val="0000FF"/>
        </w:rPr>
        <w:t>13. 启示录的结构</w:t>
      </w:r>
    </w:p>
    <w:p w14:paraId="7BA1809D">
      <w:pPr>
        <w:bidi w:val="0"/>
        <w:rPr>
          <w:rFonts w:hint="eastAsia"/>
          <w:color w:val="0000FF"/>
        </w:rPr>
      </w:pPr>
    </w:p>
    <w:p w14:paraId="7F9DE701">
      <w:pPr>
        <w:bidi w:val="0"/>
        <w:rPr>
          <w:rFonts w:hint="eastAsia"/>
          <w:color w:val="0000FF"/>
        </w:rPr>
      </w:pPr>
      <w:r>
        <w:rPr>
          <w:rFonts w:hint="eastAsia"/>
          <w:color w:val="0000FF"/>
        </w:rPr>
        <w:t>14. ​NT Texts on the Christ-centered Unity of the Consummation</w:t>
      </w:r>
    </w:p>
    <w:p w14:paraId="7C027F33">
      <w:pPr>
        <w:bidi w:val="0"/>
        <w:rPr>
          <w:rFonts w:hint="eastAsia"/>
          <w:color w:val="0000FF"/>
        </w:rPr>
      </w:pPr>
    </w:p>
    <w:p w14:paraId="49E15122">
      <w:pPr>
        <w:numPr>
          <w:ilvl w:val="0"/>
          <w:numId w:val="1"/>
        </w:numPr>
        <w:bidi w:val="0"/>
        <w:rPr>
          <w:rFonts w:hint="eastAsia"/>
          <w:color w:val="0000FF"/>
        </w:rPr>
      </w:pPr>
      <w:r>
        <w:rPr>
          <w:rFonts w:hint="eastAsia"/>
          <w:color w:val="0000FF"/>
        </w:rPr>
        <w:t>关于最终成全之以基督为中心的合一性的新约经文</w:t>
      </w:r>
    </w:p>
    <w:p w14:paraId="76C73BFD">
      <w:pPr>
        <w:widowControl w:val="0"/>
        <w:numPr>
          <w:ilvl w:val="0"/>
          <w:numId w:val="0"/>
        </w:numPr>
        <w:autoSpaceDE w:val="0"/>
        <w:autoSpaceDN w:val="0"/>
        <w:bidi w:val="0"/>
        <w:spacing w:before="0" w:after="0" w:line="240" w:lineRule="auto"/>
        <w:ind w:right="0" w:rightChars="0"/>
        <w:jc w:val="left"/>
        <w:rPr>
          <w:rFonts w:hint="eastAsia"/>
        </w:rPr>
      </w:pPr>
    </w:p>
    <w:p w14:paraId="23BA9DA5">
      <w:pPr>
        <w:widowControl w:val="0"/>
        <w:numPr>
          <w:ilvl w:val="0"/>
          <w:numId w:val="0"/>
        </w:numPr>
        <w:autoSpaceDE w:val="0"/>
        <w:autoSpaceDN w:val="0"/>
        <w:bidi w:val="0"/>
        <w:spacing w:before="0" w:after="0" w:line="240" w:lineRule="auto"/>
        <w:ind w:right="0" w:rightChars="0"/>
        <w:jc w:val="left"/>
        <w:rPr>
          <w:rFonts w:hint="eastAsia"/>
        </w:rPr>
      </w:pPr>
    </w:p>
    <w:p w14:paraId="17060101">
      <w:pPr>
        <w:widowControl w:val="0"/>
        <w:numPr>
          <w:ilvl w:val="0"/>
          <w:numId w:val="0"/>
        </w:numPr>
        <w:autoSpaceDE w:val="0"/>
        <w:autoSpaceDN w:val="0"/>
        <w:bidi w:val="0"/>
        <w:spacing w:before="0" w:after="0" w:line="240" w:lineRule="auto"/>
        <w:ind w:right="0" w:rightChars="0"/>
        <w:jc w:val="left"/>
        <w:rPr>
          <w:rFonts w:hint="eastAsia"/>
        </w:rPr>
      </w:pPr>
    </w:p>
    <w:p w14:paraId="03AE2D6A">
      <w:pPr>
        <w:widowControl w:val="0"/>
        <w:numPr>
          <w:ilvl w:val="0"/>
          <w:numId w:val="0"/>
        </w:numPr>
        <w:autoSpaceDE w:val="0"/>
        <w:autoSpaceDN w:val="0"/>
        <w:bidi w:val="0"/>
        <w:spacing w:before="0" w:after="0" w:line="240" w:lineRule="auto"/>
        <w:ind w:right="0" w:rightChars="0"/>
        <w:jc w:val="left"/>
        <w:rPr>
          <w:rFonts w:hint="eastAsia"/>
        </w:rPr>
      </w:pPr>
    </w:p>
    <w:p w14:paraId="3F70D5AE">
      <w:pPr>
        <w:widowControl w:val="0"/>
        <w:numPr>
          <w:ilvl w:val="0"/>
          <w:numId w:val="0"/>
        </w:numPr>
        <w:autoSpaceDE w:val="0"/>
        <w:autoSpaceDN w:val="0"/>
        <w:bidi w:val="0"/>
        <w:spacing w:before="0" w:after="0" w:line="240" w:lineRule="auto"/>
        <w:ind w:right="0" w:rightChars="0"/>
        <w:jc w:val="left"/>
        <w:rPr>
          <w:rFonts w:hint="eastAsia"/>
        </w:rPr>
      </w:pPr>
    </w:p>
    <w:p w14:paraId="48622873">
      <w:pPr>
        <w:widowControl w:val="0"/>
        <w:numPr>
          <w:ilvl w:val="0"/>
          <w:numId w:val="0"/>
        </w:numPr>
        <w:autoSpaceDE w:val="0"/>
        <w:autoSpaceDN w:val="0"/>
        <w:bidi w:val="0"/>
        <w:spacing w:before="0" w:after="0" w:line="240" w:lineRule="auto"/>
        <w:ind w:right="0" w:rightChars="0"/>
        <w:jc w:val="left"/>
        <w:rPr>
          <w:rFonts w:hint="eastAsia"/>
        </w:rPr>
      </w:pPr>
    </w:p>
    <w:p w14:paraId="4F1E9445">
      <w:pPr>
        <w:widowControl w:val="0"/>
        <w:numPr>
          <w:ilvl w:val="0"/>
          <w:numId w:val="0"/>
        </w:numPr>
        <w:autoSpaceDE w:val="0"/>
        <w:autoSpaceDN w:val="0"/>
        <w:bidi w:val="0"/>
        <w:spacing w:before="0" w:after="0" w:line="240" w:lineRule="auto"/>
        <w:ind w:right="0" w:rightChars="0"/>
        <w:jc w:val="left"/>
        <w:rPr>
          <w:rFonts w:hint="eastAsia"/>
        </w:rPr>
      </w:pPr>
    </w:p>
    <w:p w14:paraId="60AFBEDF">
      <w:pPr>
        <w:widowControl w:val="0"/>
        <w:numPr>
          <w:ilvl w:val="0"/>
          <w:numId w:val="0"/>
        </w:numPr>
        <w:autoSpaceDE w:val="0"/>
        <w:autoSpaceDN w:val="0"/>
        <w:bidi w:val="0"/>
        <w:spacing w:before="0" w:after="0" w:line="240" w:lineRule="auto"/>
        <w:ind w:right="0" w:rightChars="0"/>
        <w:jc w:val="left"/>
        <w:rPr>
          <w:rFonts w:hint="eastAsia"/>
        </w:rPr>
      </w:pPr>
    </w:p>
    <w:p w14:paraId="1332A41E">
      <w:pPr>
        <w:pStyle w:val="2"/>
        <w:bidi w:val="0"/>
        <w:rPr>
          <w:rFonts w:hint="eastAsia"/>
        </w:rPr>
      </w:pPr>
      <w:r>
        <w:rPr>
          <w:rFonts w:hint="eastAsia"/>
        </w:rPr>
        <w:t>Prologue and Acknowledgments</w:t>
      </w:r>
    </w:p>
    <w:p w14:paraId="0A593FF0">
      <w:pPr>
        <w:pStyle w:val="2"/>
        <w:bidi w:val="0"/>
        <w:rPr>
          <w:rFonts w:hint="eastAsia"/>
        </w:rPr>
      </w:pPr>
      <w:r>
        <w:rPr>
          <w:rFonts w:hint="eastAsia"/>
        </w:rPr>
        <w:t>序言与致谢</w:t>
      </w:r>
    </w:p>
    <w:p w14:paraId="7FE8F08B">
      <w:pPr>
        <w:pStyle w:val="9"/>
        <w:spacing w:after="0" w:line="249" w:lineRule="auto"/>
        <w:rPr>
          <w:rFonts w:hint="eastAsia"/>
          <w:color w:val="231F20"/>
        </w:rPr>
      </w:pPr>
    </w:p>
    <w:p w14:paraId="0A9ECC19">
      <w:pPr>
        <w:pStyle w:val="9"/>
        <w:spacing w:after="0" w:line="249" w:lineRule="auto"/>
        <w:rPr>
          <w:rFonts w:hint="eastAsia"/>
          <w:color w:val="231F20"/>
        </w:rPr>
      </w:pPr>
      <w:r>
        <w:rPr>
          <w:rFonts w:hint="eastAsia"/>
          <w:color w:val="231F20"/>
        </w:rPr>
        <w:t>AS FOOLS LONG to play Hamlet, so I longed to write a short, definitive book on biblical eschatology.</w:t>
      </w:r>
    </w:p>
    <w:p w14:paraId="4085DCB0">
      <w:pPr>
        <w:pStyle w:val="9"/>
        <w:spacing w:after="0" w:line="249" w:lineRule="auto"/>
        <w:rPr>
          <w:rFonts w:hint="eastAsia"/>
          <w:color w:val="231F20"/>
        </w:rPr>
      </w:pPr>
    </w:p>
    <w:p w14:paraId="5CB5AD71">
      <w:pPr>
        <w:pStyle w:val="9"/>
        <w:spacing w:after="0" w:line="249" w:lineRule="auto"/>
        <w:rPr>
          <w:rFonts w:hint="eastAsia"/>
          <w:color w:val="231F20"/>
        </w:rPr>
      </w:pPr>
      <w:r>
        <w:rPr>
          <w:rFonts w:hint="eastAsia"/>
          <w:color w:val="231F20"/>
        </w:rPr>
        <w:t>正如愚人渴望扮演哈姆雷特，我也曾渴望写一本关于圣经末世论的简短、权威的著作。</w:t>
      </w:r>
    </w:p>
    <w:p w14:paraId="29DADB51">
      <w:pPr>
        <w:pStyle w:val="9"/>
        <w:spacing w:after="0" w:line="249" w:lineRule="auto"/>
        <w:rPr>
          <w:rFonts w:hint="eastAsia"/>
          <w:color w:val="231F20"/>
        </w:rPr>
      </w:pPr>
    </w:p>
    <w:p w14:paraId="53ECE8EB">
      <w:pPr>
        <w:pStyle w:val="9"/>
        <w:spacing w:after="0" w:line="249" w:lineRule="auto"/>
        <w:rPr>
          <w:rFonts w:hint="eastAsia"/>
          <w:color w:val="231F20"/>
        </w:rPr>
      </w:pPr>
      <w:r>
        <w:rPr>
          <w:rFonts w:hint="eastAsia"/>
          <w:color w:val="231F20"/>
        </w:rPr>
        <w:t>I blush to present you with the results.</w:t>
      </w:r>
    </w:p>
    <w:p w14:paraId="72917803">
      <w:pPr>
        <w:pStyle w:val="9"/>
        <w:spacing w:after="0" w:line="249" w:lineRule="auto"/>
        <w:rPr>
          <w:rFonts w:hint="eastAsia"/>
          <w:color w:val="231F20"/>
        </w:rPr>
      </w:pPr>
    </w:p>
    <w:p w14:paraId="5E4568B5">
      <w:pPr>
        <w:pStyle w:val="9"/>
        <w:spacing w:after="0" w:line="249" w:lineRule="auto"/>
        <w:rPr>
          <w:rFonts w:hint="eastAsia"/>
          <w:color w:val="231F20"/>
        </w:rPr>
      </w:pPr>
      <w:r>
        <w:rPr>
          <w:rFonts w:hint="eastAsia"/>
          <w:color w:val="231F20"/>
        </w:rPr>
        <w:t>对于其结果，我羞于呈现给您。</w:t>
      </w:r>
    </w:p>
    <w:p w14:paraId="578289C4">
      <w:pPr>
        <w:pStyle w:val="9"/>
        <w:spacing w:after="0" w:line="249" w:lineRule="auto"/>
        <w:rPr>
          <w:rFonts w:hint="eastAsia"/>
          <w:color w:val="231F20"/>
        </w:rPr>
      </w:pPr>
    </w:p>
    <w:p w14:paraId="7A874182">
      <w:pPr>
        <w:pStyle w:val="9"/>
        <w:spacing w:after="0" w:line="249" w:lineRule="auto"/>
        <w:rPr>
          <w:rFonts w:hint="eastAsia"/>
          <w:color w:val="231F20"/>
        </w:rPr>
      </w:pPr>
      <w:r>
        <w:rPr>
          <w:rFonts w:hint="eastAsia"/>
          <w:color w:val="231F20"/>
        </w:rPr>
        <w:t>But truth to tell, I am actually quite pleased with them.</w:t>
      </w:r>
    </w:p>
    <w:p w14:paraId="506912E1">
      <w:pPr>
        <w:pStyle w:val="9"/>
        <w:spacing w:after="0" w:line="249" w:lineRule="auto"/>
        <w:rPr>
          <w:rFonts w:hint="eastAsia"/>
          <w:color w:val="231F20"/>
        </w:rPr>
      </w:pPr>
    </w:p>
    <w:p w14:paraId="39397423">
      <w:pPr>
        <w:pStyle w:val="9"/>
        <w:spacing w:after="0" w:line="249" w:lineRule="auto"/>
        <w:rPr>
          <w:rFonts w:hint="eastAsia"/>
          <w:color w:val="231F20"/>
        </w:rPr>
      </w:pPr>
      <w:r>
        <w:rPr>
          <w:rFonts w:hint="eastAsia"/>
          <w:color w:val="231F20"/>
        </w:rPr>
        <w:t>但坦白说，我其实对它们相当满意。</w:t>
      </w:r>
    </w:p>
    <w:p w14:paraId="173A7B46">
      <w:pPr>
        <w:pStyle w:val="9"/>
        <w:spacing w:after="0" w:line="249" w:lineRule="auto"/>
        <w:rPr>
          <w:rFonts w:hint="eastAsia"/>
          <w:color w:val="231F20"/>
        </w:rPr>
      </w:pPr>
    </w:p>
    <w:p w14:paraId="42054A61">
      <w:pPr>
        <w:pStyle w:val="9"/>
        <w:spacing w:after="0" w:line="249" w:lineRule="auto"/>
        <w:rPr>
          <w:rFonts w:hint="eastAsia"/>
          <w:color w:val="231F20"/>
        </w:rPr>
      </w:pPr>
      <w:r>
        <w:rPr>
          <w:rFonts w:hint="eastAsia"/>
          <w:color w:val="231F20"/>
        </w:rPr>
        <w:t>Yes, the book is long.</w:t>
      </w:r>
    </w:p>
    <w:p w14:paraId="08C09D2C">
      <w:pPr>
        <w:pStyle w:val="9"/>
        <w:spacing w:after="0" w:line="249" w:lineRule="auto"/>
        <w:rPr>
          <w:rFonts w:hint="eastAsia"/>
          <w:color w:val="231F20"/>
        </w:rPr>
      </w:pPr>
    </w:p>
    <w:p w14:paraId="2CC2B430">
      <w:pPr>
        <w:pStyle w:val="9"/>
        <w:spacing w:after="0" w:line="249" w:lineRule="auto"/>
        <w:rPr>
          <w:rFonts w:hint="eastAsia"/>
          <w:color w:val="231F20"/>
        </w:rPr>
      </w:pPr>
      <w:r>
        <w:rPr>
          <w:rFonts w:hint="eastAsia"/>
          <w:color w:val="231F20"/>
        </w:rPr>
        <w:t>是的，这本书很长。</w:t>
      </w:r>
    </w:p>
    <w:p w14:paraId="21B0AE89">
      <w:pPr>
        <w:pStyle w:val="9"/>
        <w:spacing w:after="0" w:line="249" w:lineRule="auto"/>
        <w:rPr>
          <w:rFonts w:hint="eastAsia"/>
          <w:color w:val="231F20"/>
        </w:rPr>
      </w:pPr>
    </w:p>
    <w:p w14:paraId="3037ACC8">
      <w:pPr>
        <w:pStyle w:val="9"/>
        <w:spacing w:after="0" w:line="249" w:lineRule="auto"/>
        <w:rPr>
          <w:rFonts w:hint="eastAsia"/>
          <w:color w:val="231F20"/>
        </w:rPr>
      </w:pPr>
      <w:r>
        <w:rPr>
          <w:rFonts w:hint="eastAsia"/>
          <w:color w:val="231F20"/>
        </w:rPr>
        <w:t>Indeed, for some it will be too long, perhaps even to open.</w:t>
      </w:r>
    </w:p>
    <w:p w14:paraId="44CBACFD">
      <w:pPr>
        <w:pStyle w:val="9"/>
        <w:spacing w:after="0" w:line="249" w:lineRule="auto"/>
        <w:rPr>
          <w:rFonts w:hint="eastAsia"/>
          <w:color w:val="231F20"/>
        </w:rPr>
      </w:pPr>
    </w:p>
    <w:p w14:paraId="57162093">
      <w:pPr>
        <w:pStyle w:val="9"/>
        <w:spacing w:after="0" w:line="249" w:lineRule="auto"/>
        <w:rPr>
          <w:rFonts w:hint="eastAsia"/>
          <w:color w:val="231F20"/>
        </w:rPr>
      </w:pPr>
      <w:r>
        <w:rPr>
          <w:rFonts w:hint="eastAsia"/>
          <w:color w:val="231F20"/>
        </w:rPr>
        <w:t>诚然，对一些人来说，它会太长了，或许长到甚至不愿意翻开。</w:t>
      </w:r>
    </w:p>
    <w:p w14:paraId="063AD02E">
      <w:pPr>
        <w:pStyle w:val="9"/>
        <w:spacing w:after="0" w:line="249" w:lineRule="auto"/>
        <w:rPr>
          <w:rFonts w:hint="eastAsia"/>
          <w:color w:val="231F20"/>
        </w:rPr>
      </w:pPr>
    </w:p>
    <w:p w14:paraId="46ECAF1D">
      <w:pPr>
        <w:pStyle w:val="9"/>
        <w:spacing w:after="0" w:line="249" w:lineRule="auto"/>
        <w:rPr>
          <w:rFonts w:hint="eastAsia"/>
          <w:color w:val="231F20"/>
        </w:rPr>
      </w:pPr>
      <w:r>
        <w:rPr>
          <w:rFonts w:hint="eastAsia"/>
          <w:color w:val="231F20"/>
        </w:rPr>
        <w:t>Here is my defense: I really did want to write a definitive book; a book that would resolve, once and for all, the Great End Time Debate that has roiled the evangelical world for some 150 years.</w:t>
      </w:r>
    </w:p>
    <w:p w14:paraId="3BC3D70D">
      <w:pPr>
        <w:pStyle w:val="9"/>
        <w:spacing w:after="0" w:line="249" w:lineRule="auto"/>
        <w:rPr>
          <w:rFonts w:hint="eastAsia"/>
          <w:color w:val="231F20"/>
        </w:rPr>
      </w:pPr>
    </w:p>
    <w:p w14:paraId="66A5E835">
      <w:pPr>
        <w:pStyle w:val="9"/>
        <w:spacing w:after="0" w:line="249" w:lineRule="auto"/>
        <w:rPr>
          <w:rFonts w:hint="eastAsia"/>
          <w:color w:val="231F20"/>
        </w:rPr>
      </w:pPr>
      <w:r>
        <w:rPr>
          <w:rFonts w:hint="eastAsia"/>
          <w:color w:val="231F20"/>
        </w:rPr>
        <w:t>以下是我的辩解：我确实是想写一部权威性的著作；一部能一劳永逸地解决那场搅扰了福音派世界约150年的末世大辩论的书。</w:t>
      </w:r>
    </w:p>
    <w:p w14:paraId="2090ABC5">
      <w:pPr>
        <w:pStyle w:val="9"/>
        <w:spacing w:after="0" w:line="249" w:lineRule="auto"/>
        <w:rPr>
          <w:rFonts w:hint="eastAsia"/>
          <w:color w:val="231F20"/>
        </w:rPr>
      </w:pPr>
    </w:p>
    <w:p w14:paraId="7C5713AD">
      <w:pPr>
        <w:pStyle w:val="9"/>
        <w:spacing w:after="0" w:line="249" w:lineRule="auto"/>
        <w:rPr>
          <w:rFonts w:hint="eastAsia"/>
          <w:color w:val="231F20"/>
        </w:rPr>
      </w:pPr>
      <w:r>
        <w:rPr>
          <w:rFonts w:hint="eastAsia"/>
          <w:color w:val="231F20"/>
        </w:rPr>
        <w:t>Whether or not I have achieved that ambitious goal is for you to judge.</w:t>
      </w:r>
    </w:p>
    <w:p w14:paraId="426AAA70">
      <w:pPr>
        <w:pStyle w:val="9"/>
        <w:spacing w:after="0" w:line="249" w:lineRule="auto"/>
        <w:rPr>
          <w:rFonts w:hint="eastAsia"/>
          <w:color w:val="231F20"/>
        </w:rPr>
      </w:pPr>
    </w:p>
    <w:p w14:paraId="392B222F">
      <w:pPr>
        <w:pStyle w:val="9"/>
        <w:spacing w:after="0" w:line="249" w:lineRule="auto"/>
        <w:rPr>
          <w:rFonts w:hint="eastAsia"/>
          <w:color w:val="231F20"/>
        </w:rPr>
      </w:pPr>
      <w:r>
        <w:rPr>
          <w:rFonts w:hint="eastAsia"/>
          <w:color w:val="231F20"/>
        </w:rPr>
        <w:t>我是否达成了那个宏伟的目标，有待您来评判。</w:t>
      </w:r>
    </w:p>
    <w:p w14:paraId="1E2A44B0">
      <w:pPr>
        <w:pStyle w:val="9"/>
        <w:spacing w:after="0" w:line="249" w:lineRule="auto"/>
        <w:rPr>
          <w:rFonts w:hint="eastAsia"/>
          <w:color w:val="231F20"/>
        </w:rPr>
      </w:pPr>
    </w:p>
    <w:p w14:paraId="2B447CE2">
      <w:pPr>
        <w:pStyle w:val="9"/>
        <w:spacing w:after="0" w:line="249" w:lineRule="auto"/>
        <w:rPr>
          <w:rFonts w:hint="eastAsia"/>
          <w:color w:val="231F20"/>
        </w:rPr>
      </w:pPr>
      <w:r>
        <w:rPr>
          <w:rFonts w:hint="eastAsia"/>
          <w:color w:val="231F20"/>
        </w:rPr>
        <w:t>But of one thing I am now quite sure: There was no way I was going to produce a definitive book on eschatology without addressing all the issues, all the options, all the arguments, and all the relevant biblical texts.</w:t>
      </w:r>
    </w:p>
    <w:p w14:paraId="32C8683F">
      <w:pPr>
        <w:pStyle w:val="9"/>
        <w:spacing w:after="0" w:line="249" w:lineRule="auto"/>
        <w:rPr>
          <w:rFonts w:hint="eastAsia"/>
          <w:color w:val="231F20"/>
        </w:rPr>
      </w:pPr>
    </w:p>
    <w:p w14:paraId="1243D71C">
      <w:pPr>
        <w:pStyle w:val="9"/>
        <w:spacing w:after="0" w:line="249" w:lineRule="auto"/>
        <w:rPr>
          <w:rFonts w:hint="eastAsia"/>
          <w:color w:val="231F20"/>
        </w:rPr>
      </w:pPr>
      <w:r>
        <w:rPr>
          <w:rFonts w:hint="eastAsia"/>
          <w:color w:val="231F20"/>
        </w:rPr>
        <w:t>但有一件事我现在非常确定：若不探讨所有的议题、所有的选项、所有的论点，以及所有相关的圣经经文，我根本不可能写出一部关于末世论的权威著作。</w:t>
      </w:r>
    </w:p>
    <w:p w14:paraId="6E4403D9">
      <w:pPr>
        <w:pStyle w:val="9"/>
        <w:spacing w:after="0" w:line="249" w:lineRule="auto"/>
        <w:rPr>
          <w:rFonts w:hint="eastAsia"/>
          <w:color w:val="231F20"/>
        </w:rPr>
      </w:pPr>
    </w:p>
    <w:p w14:paraId="3A01DA88">
      <w:pPr>
        <w:pStyle w:val="9"/>
        <w:spacing w:after="0" w:line="249" w:lineRule="auto"/>
        <w:rPr>
          <w:rFonts w:hint="eastAsia"/>
          <w:color w:val="231F20"/>
        </w:rPr>
      </w:pPr>
      <w:r>
        <w:rPr>
          <w:rFonts w:hint="eastAsia"/>
          <w:color w:val="231F20"/>
        </w:rPr>
        <w:t>Apparently that requires lots of pages, more than I had planned.</w:t>
      </w:r>
    </w:p>
    <w:p w14:paraId="4BA4B6F0">
      <w:pPr>
        <w:pStyle w:val="9"/>
        <w:spacing w:after="0" w:line="249" w:lineRule="auto"/>
        <w:rPr>
          <w:rFonts w:hint="eastAsia"/>
          <w:color w:val="231F20"/>
        </w:rPr>
      </w:pPr>
    </w:p>
    <w:p w14:paraId="55B0E6B6">
      <w:pPr>
        <w:pStyle w:val="9"/>
        <w:spacing w:after="0" w:line="249" w:lineRule="auto"/>
        <w:rPr>
          <w:rFonts w:hint="eastAsia"/>
          <w:color w:val="231F20"/>
        </w:rPr>
      </w:pPr>
      <w:r>
        <w:rPr>
          <w:rFonts w:hint="eastAsia"/>
          <w:color w:val="231F20"/>
        </w:rPr>
        <w:t>显然，这需要大量篇幅，远超我的计划。</w:t>
      </w:r>
    </w:p>
    <w:p w14:paraId="04355C0D">
      <w:pPr>
        <w:pStyle w:val="9"/>
        <w:spacing w:after="0" w:line="249" w:lineRule="auto"/>
        <w:rPr>
          <w:rFonts w:hint="eastAsia"/>
          <w:color w:val="231F20"/>
        </w:rPr>
      </w:pPr>
    </w:p>
    <w:p w14:paraId="1456F2E4">
      <w:pPr>
        <w:pStyle w:val="9"/>
        <w:spacing w:after="0" w:line="249" w:lineRule="auto"/>
        <w:rPr>
          <w:rFonts w:hint="eastAsia"/>
          <w:color w:val="231F20"/>
        </w:rPr>
      </w:pPr>
      <w:r>
        <w:rPr>
          <w:rFonts w:hint="eastAsia"/>
          <w:color w:val="231F20"/>
        </w:rPr>
        <w:t>But I do believe I have done what I needed to do.</w:t>
      </w:r>
    </w:p>
    <w:p w14:paraId="1BBAA9B3">
      <w:pPr>
        <w:pStyle w:val="9"/>
        <w:spacing w:after="0" w:line="249" w:lineRule="auto"/>
        <w:rPr>
          <w:rFonts w:hint="eastAsia"/>
          <w:color w:val="231F20"/>
        </w:rPr>
      </w:pPr>
    </w:p>
    <w:p w14:paraId="2FF4EB04">
      <w:pPr>
        <w:pStyle w:val="9"/>
        <w:spacing w:after="0" w:line="249" w:lineRule="auto"/>
        <w:rPr>
          <w:rFonts w:hint="eastAsia"/>
          <w:color w:val="231F20"/>
        </w:rPr>
      </w:pPr>
      <w:r>
        <w:rPr>
          <w:rFonts w:hint="eastAsia"/>
          <w:color w:val="231F20"/>
        </w:rPr>
        <w:t>但我确实相信，我已经做了我需要做的事。</w:t>
      </w:r>
    </w:p>
    <w:p w14:paraId="6CCF6D5E">
      <w:pPr>
        <w:pStyle w:val="9"/>
        <w:spacing w:after="0" w:line="249" w:lineRule="auto"/>
        <w:rPr>
          <w:rFonts w:hint="eastAsia"/>
          <w:color w:val="231F20"/>
        </w:rPr>
      </w:pPr>
    </w:p>
    <w:p w14:paraId="6F61D508">
      <w:pPr>
        <w:pStyle w:val="9"/>
        <w:spacing w:after="0" w:line="249" w:lineRule="auto"/>
        <w:rPr>
          <w:rFonts w:hint="eastAsia"/>
          <w:color w:val="231F20"/>
        </w:rPr>
      </w:pPr>
      <w:r>
        <w:rPr>
          <w:rFonts w:hint="eastAsia"/>
          <w:color w:val="231F20"/>
        </w:rPr>
        <w:t>Now, having made my defense, let me suggest a few options for grappling with this intimidating tome.</w:t>
      </w:r>
    </w:p>
    <w:p w14:paraId="404B53C5">
      <w:pPr>
        <w:pStyle w:val="9"/>
        <w:spacing w:after="0" w:line="249" w:lineRule="auto"/>
        <w:rPr>
          <w:rFonts w:hint="eastAsia"/>
          <w:color w:val="231F20"/>
        </w:rPr>
      </w:pPr>
    </w:p>
    <w:p w14:paraId="2A880F36">
      <w:pPr>
        <w:pStyle w:val="9"/>
        <w:spacing w:after="0" w:line="249" w:lineRule="auto"/>
        <w:rPr>
          <w:rFonts w:hint="eastAsia"/>
          <w:color w:val="231F20"/>
        </w:rPr>
      </w:pPr>
      <w:r>
        <w:rPr>
          <w:rFonts w:hint="eastAsia"/>
          <w:color w:val="231F20"/>
        </w:rPr>
        <w:t>现在，在我作了辩解之后，请允许我为处理这部令人生畏的巨著提供几个选项。</w:t>
      </w:r>
    </w:p>
    <w:p w14:paraId="082542DE">
      <w:pPr>
        <w:pStyle w:val="9"/>
        <w:spacing w:after="0" w:line="249" w:lineRule="auto"/>
        <w:rPr>
          <w:rFonts w:hint="eastAsia"/>
          <w:color w:val="231F20"/>
        </w:rPr>
      </w:pPr>
    </w:p>
    <w:p w14:paraId="341D24E2">
      <w:pPr>
        <w:pStyle w:val="9"/>
        <w:spacing w:after="0" w:line="249" w:lineRule="auto"/>
        <w:rPr>
          <w:rFonts w:hint="eastAsia"/>
          <w:color w:val="231F20"/>
        </w:rPr>
      </w:pPr>
      <w:r>
        <w:rPr>
          <w:rFonts w:hint="eastAsia"/>
          <w:color w:val="231F20"/>
        </w:rPr>
        <w:t>First, if the prospect of wading into it is simply too daunting, please know that I am planning to write an abridged version, one that will target readers with a more modest appetite for eschatology.</w:t>
      </w:r>
    </w:p>
    <w:p w14:paraId="519F0FDA">
      <w:pPr>
        <w:pStyle w:val="9"/>
        <w:spacing w:after="0" w:line="249" w:lineRule="auto"/>
        <w:rPr>
          <w:rFonts w:hint="eastAsia"/>
          <w:color w:val="231F20"/>
        </w:rPr>
      </w:pPr>
    </w:p>
    <w:p w14:paraId="55E052C1">
      <w:pPr>
        <w:pStyle w:val="9"/>
        <w:spacing w:after="0" w:line="249" w:lineRule="auto"/>
        <w:rPr>
          <w:rFonts w:hint="eastAsia"/>
          <w:color w:val="231F20"/>
        </w:rPr>
      </w:pPr>
      <w:r>
        <w:rPr>
          <w:rFonts w:hint="eastAsia"/>
          <w:color w:val="231F20"/>
        </w:rPr>
        <w:t>首先，如果深入研读本书的前景实在令人望而却步，那么请知悉，我正计划撰写一个节略版，其目标读者是对末世论兴趣较为适中的人群。</w:t>
      </w:r>
    </w:p>
    <w:p w14:paraId="6F43A55B">
      <w:pPr>
        <w:pStyle w:val="9"/>
        <w:spacing w:after="0" w:line="249" w:lineRule="auto"/>
        <w:rPr>
          <w:rFonts w:hint="eastAsia"/>
          <w:color w:val="231F20"/>
        </w:rPr>
      </w:pPr>
    </w:p>
    <w:p w14:paraId="13746334">
      <w:pPr>
        <w:pStyle w:val="9"/>
        <w:spacing w:after="0" w:line="249" w:lineRule="auto"/>
        <w:rPr>
          <w:rFonts w:hint="eastAsia"/>
          <w:color w:val="231F20"/>
        </w:rPr>
      </w:pPr>
      <w:r>
        <w:rPr>
          <w:rFonts w:hint="eastAsia"/>
          <w:color w:val="231F20"/>
        </w:rPr>
        <w:t>Doubtless the title will mention the High King of Heaven or the Great End Time Debate.</w:t>
      </w:r>
    </w:p>
    <w:p w14:paraId="22762FA8">
      <w:pPr>
        <w:pStyle w:val="9"/>
        <w:spacing w:after="0" w:line="249" w:lineRule="auto"/>
        <w:rPr>
          <w:rFonts w:hint="eastAsia"/>
          <w:color w:val="231F20"/>
        </w:rPr>
      </w:pPr>
    </w:p>
    <w:p w14:paraId="30E3FE7C">
      <w:pPr>
        <w:pStyle w:val="9"/>
        <w:spacing w:after="0" w:line="249" w:lineRule="auto"/>
        <w:rPr>
          <w:rFonts w:hint="eastAsia"/>
          <w:color w:val="231F20"/>
        </w:rPr>
      </w:pPr>
      <w:r>
        <w:rPr>
          <w:rFonts w:hint="eastAsia"/>
          <w:color w:val="231F20"/>
        </w:rPr>
        <w:t>毫无疑问，书名中会提到《天上的至高君王》或“末世大辩论”。</w:t>
      </w:r>
    </w:p>
    <w:p w14:paraId="2A631178">
      <w:pPr>
        <w:pStyle w:val="9"/>
        <w:spacing w:after="0" w:line="249" w:lineRule="auto"/>
        <w:rPr>
          <w:rFonts w:hint="eastAsia"/>
          <w:color w:val="231F20"/>
        </w:rPr>
      </w:pPr>
    </w:p>
    <w:p w14:paraId="5C093197">
      <w:pPr>
        <w:pStyle w:val="9"/>
        <w:spacing w:after="0" w:line="249" w:lineRule="auto"/>
        <w:rPr>
          <w:rFonts w:hint="eastAsia"/>
          <w:color w:val="231F20"/>
        </w:rPr>
      </w:pPr>
      <w:r>
        <w:rPr>
          <w:rFonts w:hint="eastAsia"/>
          <w:color w:val="231F20"/>
        </w:rPr>
        <w:t>I hope you’ll keep an eye out for it in days ahead.</w:t>
      </w:r>
    </w:p>
    <w:p w14:paraId="230D420B">
      <w:pPr>
        <w:pStyle w:val="9"/>
        <w:spacing w:after="0" w:line="249" w:lineRule="auto"/>
        <w:rPr>
          <w:rFonts w:hint="eastAsia"/>
          <w:color w:val="231F20"/>
        </w:rPr>
      </w:pPr>
    </w:p>
    <w:p w14:paraId="55FF62D3">
      <w:pPr>
        <w:pStyle w:val="9"/>
        <w:spacing w:after="0" w:line="249" w:lineRule="auto"/>
        <w:rPr>
          <w:rFonts w:hint="eastAsia"/>
          <w:color w:val="231F20"/>
        </w:rPr>
      </w:pPr>
      <w:r>
        <w:rPr>
          <w:rFonts w:hint="eastAsia"/>
          <w:color w:val="231F20"/>
        </w:rPr>
        <w:t>我希望您能在未来的日子里留意此书。</w:t>
      </w:r>
    </w:p>
    <w:p w14:paraId="27D50C17">
      <w:pPr>
        <w:pStyle w:val="9"/>
        <w:spacing w:after="0" w:line="249" w:lineRule="auto"/>
        <w:rPr>
          <w:rFonts w:hint="eastAsia"/>
          <w:color w:val="231F20"/>
        </w:rPr>
      </w:pPr>
    </w:p>
    <w:p w14:paraId="66E191C2">
      <w:pPr>
        <w:pStyle w:val="9"/>
        <w:spacing w:after="0" w:line="249" w:lineRule="auto"/>
        <w:rPr>
          <w:rFonts w:hint="eastAsia"/>
          <w:color w:val="231F20"/>
        </w:rPr>
      </w:pPr>
      <w:r>
        <w:rPr>
          <w:rFonts w:hint="eastAsia"/>
          <w:color w:val="231F20"/>
        </w:rPr>
        <w:t>But secondly, if you want to get the gist of the book, I recommend that you read chapters 5, 9, 10, 13, 20, 21, and 25.</w:t>
      </w:r>
    </w:p>
    <w:p w14:paraId="43E846A5">
      <w:pPr>
        <w:pStyle w:val="9"/>
        <w:spacing w:after="0" w:line="249" w:lineRule="auto"/>
        <w:rPr>
          <w:rFonts w:hint="eastAsia"/>
          <w:color w:val="231F20"/>
        </w:rPr>
      </w:pPr>
    </w:p>
    <w:p w14:paraId="59EEB198">
      <w:pPr>
        <w:pStyle w:val="9"/>
        <w:spacing w:after="0" w:line="249" w:lineRule="auto"/>
        <w:rPr>
          <w:rFonts w:hint="eastAsia"/>
          <w:color w:val="231F20"/>
        </w:rPr>
      </w:pPr>
      <w:r>
        <w:rPr>
          <w:rFonts w:hint="eastAsia"/>
          <w:color w:val="231F20"/>
        </w:rPr>
        <w:t>但其次，如果您想掌握本书的要旨，我建议您阅读第 5、9、10、13、20、21 和 25 章。</w:t>
      </w:r>
    </w:p>
    <w:p w14:paraId="1E3D0A67">
      <w:pPr>
        <w:pStyle w:val="9"/>
        <w:spacing w:after="0" w:line="249" w:lineRule="auto"/>
        <w:rPr>
          <w:rFonts w:hint="eastAsia"/>
          <w:color w:val="231F20"/>
        </w:rPr>
      </w:pPr>
    </w:p>
    <w:p w14:paraId="67EC6D48">
      <w:pPr>
        <w:pStyle w:val="9"/>
        <w:spacing w:after="0" w:line="249" w:lineRule="auto"/>
        <w:rPr>
          <w:rFonts w:hint="eastAsia"/>
          <w:color w:val="231F20"/>
        </w:rPr>
      </w:pPr>
      <w:r>
        <w:rPr>
          <w:rFonts w:hint="eastAsia"/>
          <w:color w:val="231F20"/>
        </w:rPr>
        <w:t>In a relatively short space, they will give you my thinking on the four underlying issues of the Great End Time Debate: the nature and structure of the Kingdom of God, the proper interpretation of OT prophecies of the Kingdom, the meaning of the Millennium, and the purpose and structure of the Consummation.</w:t>
      </w:r>
    </w:p>
    <w:p w14:paraId="777D7884">
      <w:pPr>
        <w:pStyle w:val="9"/>
        <w:spacing w:after="0" w:line="249" w:lineRule="auto"/>
        <w:rPr>
          <w:rFonts w:hint="eastAsia"/>
          <w:color w:val="231F20"/>
        </w:rPr>
      </w:pPr>
    </w:p>
    <w:p w14:paraId="71F92D94">
      <w:pPr>
        <w:pStyle w:val="9"/>
        <w:spacing w:after="0" w:line="249" w:lineRule="auto"/>
        <w:rPr>
          <w:rFonts w:hint="eastAsia"/>
          <w:color w:val="231F20"/>
        </w:rPr>
      </w:pPr>
      <w:r>
        <w:rPr>
          <w:rFonts w:hint="eastAsia"/>
          <w:color w:val="231F20"/>
        </w:rPr>
        <w:t>在相对较短的篇幅里，它们将让您了解我对“末世大辩论”四个根本议题的思考：神的国的性质与结构、对旧约国度预言的正确解释、千禧年的意义，以及最终成全的目的与结构。</w:t>
      </w:r>
    </w:p>
    <w:p w14:paraId="45259FF9">
      <w:pPr>
        <w:pStyle w:val="9"/>
        <w:spacing w:after="0" w:line="249" w:lineRule="auto"/>
        <w:rPr>
          <w:rFonts w:hint="eastAsia"/>
          <w:color w:val="231F20"/>
        </w:rPr>
      </w:pPr>
    </w:p>
    <w:p w14:paraId="3DF48B66">
      <w:pPr>
        <w:pStyle w:val="9"/>
        <w:spacing w:after="0" w:line="249" w:lineRule="auto"/>
        <w:rPr>
          <w:rFonts w:hint="eastAsia"/>
          <w:color w:val="231F20"/>
        </w:rPr>
      </w:pPr>
      <w:r>
        <w:rPr>
          <w:rFonts w:hint="eastAsia"/>
          <w:color w:val="231F20"/>
        </w:rPr>
        <w:t>And who knows, perhaps by taking this little day hike through The High King of Heaven you will be moved to make the whole journey!</w:t>
      </w:r>
    </w:p>
    <w:p w14:paraId="51373F83">
      <w:pPr>
        <w:pStyle w:val="9"/>
        <w:spacing w:after="0" w:line="249" w:lineRule="auto"/>
        <w:rPr>
          <w:rFonts w:hint="eastAsia"/>
          <w:color w:val="231F20"/>
        </w:rPr>
      </w:pPr>
    </w:p>
    <w:p w14:paraId="2A7858FA">
      <w:pPr>
        <w:pStyle w:val="9"/>
        <w:spacing w:after="0" w:line="249" w:lineRule="auto"/>
        <w:rPr>
          <w:rFonts w:hint="eastAsia"/>
          <w:color w:val="231F20"/>
        </w:rPr>
      </w:pPr>
      <w:r>
        <w:rPr>
          <w:rFonts w:hint="eastAsia"/>
          <w:color w:val="231F20"/>
        </w:rPr>
        <w:t>谁知道呢，或许通过这次在《天上的至高君王》中的短暂一日远足，您会被感动去走完整个旅程！</w:t>
      </w:r>
    </w:p>
    <w:p w14:paraId="78CC034D">
      <w:pPr>
        <w:pStyle w:val="9"/>
        <w:spacing w:after="0" w:line="249" w:lineRule="auto"/>
        <w:rPr>
          <w:rFonts w:hint="eastAsia"/>
          <w:color w:val="231F20"/>
        </w:rPr>
      </w:pPr>
    </w:p>
    <w:p w14:paraId="6EED03B3">
      <w:pPr>
        <w:pStyle w:val="9"/>
        <w:spacing w:after="0" w:line="249" w:lineRule="auto"/>
        <w:rPr>
          <w:rFonts w:hint="eastAsia"/>
          <w:color w:val="231F20"/>
        </w:rPr>
      </w:pPr>
      <w:r>
        <w:rPr>
          <w:rFonts w:hint="eastAsia"/>
          <w:color w:val="231F20"/>
        </w:rPr>
        <w:t>A third option is to use the book as a reference work, somewhat like a Bible dictionary.</w:t>
      </w:r>
    </w:p>
    <w:p w14:paraId="7E1D61D3">
      <w:pPr>
        <w:pStyle w:val="9"/>
        <w:spacing w:after="0" w:line="249" w:lineRule="auto"/>
        <w:rPr>
          <w:rFonts w:hint="eastAsia"/>
          <w:color w:val="231F20"/>
        </w:rPr>
      </w:pPr>
    </w:p>
    <w:p w14:paraId="0F4C5504">
      <w:pPr>
        <w:pStyle w:val="9"/>
        <w:spacing w:after="0" w:line="249" w:lineRule="auto"/>
        <w:rPr>
          <w:rFonts w:hint="eastAsia"/>
          <w:color w:val="231F20"/>
        </w:rPr>
      </w:pPr>
      <w:r>
        <w:rPr>
          <w:rFonts w:hint="eastAsia"/>
          <w:color w:val="231F20"/>
        </w:rPr>
        <w:t>第三个选项是把这本书当作参考书来用，有点像一本圣经词典。</w:t>
      </w:r>
    </w:p>
    <w:p w14:paraId="5E3A1591">
      <w:pPr>
        <w:pStyle w:val="9"/>
        <w:spacing w:after="0" w:line="249" w:lineRule="auto"/>
        <w:rPr>
          <w:rFonts w:hint="eastAsia"/>
          <w:color w:val="231F20"/>
        </w:rPr>
      </w:pPr>
    </w:p>
    <w:p w14:paraId="632F4E00">
      <w:pPr>
        <w:pStyle w:val="9"/>
        <w:spacing w:after="0" w:line="249" w:lineRule="auto"/>
        <w:rPr>
          <w:rFonts w:hint="eastAsia"/>
          <w:color w:val="231F20"/>
        </w:rPr>
      </w:pPr>
      <w:r>
        <w:rPr>
          <w:rFonts w:hint="eastAsia"/>
          <w:color w:val="231F20"/>
        </w:rPr>
        <w:t>To do so, simply consult the Index of Subjects or the Index of Scriptures.</w:t>
      </w:r>
    </w:p>
    <w:p w14:paraId="452619B2">
      <w:pPr>
        <w:pStyle w:val="9"/>
        <w:spacing w:after="0" w:line="249" w:lineRule="auto"/>
        <w:rPr>
          <w:rFonts w:hint="eastAsia"/>
          <w:color w:val="231F20"/>
        </w:rPr>
      </w:pPr>
    </w:p>
    <w:p w14:paraId="5093199B">
      <w:pPr>
        <w:pStyle w:val="9"/>
        <w:spacing w:after="0" w:line="249" w:lineRule="auto"/>
        <w:rPr>
          <w:rFonts w:hint="eastAsia"/>
          <w:color w:val="231F20"/>
        </w:rPr>
      </w:pPr>
      <w:r>
        <w:rPr>
          <w:rFonts w:hint="eastAsia"/>
          <w:color w:val="231F20"/>
        </w:rPr>
        <w:t>要这样做，只需查阅主题索引或经文索引。</w:t>
      </w:r>
    </w:p>
    <w:p w14:paraId="41143F84">
      <w:pPr>
        <w:pStyle w:val="9"/>
        <w:spacing w:after="0" w:line="249" w:lineRule="auto"/>
        <w:rPr>
          <w:rFonts w:hint="eastAsia"/>
          <w:color w:val="231F20"/>
        </w:rPr>
      </w:pPr>
    </w:p>
    <w:p w14:paraId="77447976">
      <w:pPr>
        <w:pStyle w:val="9"/>
        <w:spacing w:after="0" w:line="249" w:lineRule="auto"/>
        <w:rPr>
          <w:rFonts w:hint="eastAsia"/>
          <w:color w:val="231F20"/>
        </w:rPr>
      </w:pPr>
      <w:r>
        <w:rPr>
          <w:rFonts w:hint="eastAsia"/>
          <w:color w:val="231F20"/>
        </w:rPr>
        <w:t>There you can quickly locate my thoughts on all the main issues of biblical eschatology, and also on the proper interpretation of every major eschatological text.</w:t>
      </w:r>
    </w:p>
    <w:p w14:paraId="20C4439B">
      <w:pPr>
        <w:pStyle w:val="9"/>
        <w:spacing w:after="0" w:line="249" w:lineRule="auto"/>
        <w:rPr>
          <w:rFonts w:hint="eastAsia"/>
          <w:color w:val="231F20"/>
        </w:rPr>
      </w:pPr>
    </w:p>
    <w:p w14:paraId="2FD01FD3">
      <w:pPr>
        <w:pStyle w:val="9"/>
        <w:spacing w:after="0" w:line="249" w:lineRule="auto"/>
        <w:rPr>
          <w:rFonts w:hint="eastAsia"/>
          <w:color w:val="231F20"/>
        </w:rPr>
      </w:pPr>
      <w:r>
        <w:rPr>
          <w:rFonts w:hint="eastAsia"/>
          <w:color w:val="231F20"/>
        </w:rPr>
        <w:t>在那里，您可以迅速找到我对圣经末世论所有主要议题的看法，以及对每一处主要末世论经文的正确解释。</w:t>
      </w:r>
    </w:p>
    <w:p w14:paraId="2EC5C2DD">
      <w:pPr>
        <w:pStyle w:val="9"/>
        <w:spacing w:after="0" w:line="249" w:lineRule="auto"/>
        <w:rPr>
          <w:rFonts w:hint="eastAsia"/>
          <w:color w:val="231F20"/>
        </w:rPr>
      </w:pPr>
    </w:p>
    <w:p w14:paraId="7DD5B01B">
      <w:pPr>
        <w:pStyle w:val="9"/>
        <w:spacing w:after="0" w:line="249" w:lineRule="auto"/>
        <w:rPr>
          <w:rFonts w:hint="eastAsia"/>
          <w:color w:val="231F20"/>
        </w:rPr>
      </w:pPr>
      <w:r>
        <w:rPr>
          <w:rFonts w:hint="eastAsia"/>
          <w:color w:val="231F20"/>
        </w:rPr>
        <w:t>If it seems to you that I have overlooked one or more of your favorites, by all means feel free to contact me through my website.</w:t>
      </w:r>
    </w:p>
    <w:p w14:paraId="1C712453">
      <w:pPr>
        <w:pStyle w:val="9"/>
        <w:spacing w:after="0" w:line="249" w:lineRule="auto"/>
        <w:rPr>
          <w:rFonts w:hint="eastAsia"/>
          <w:color w:val="231F20"/>
        </w:rPr>
      </w:pPr>
    </w:p>
    <w:p w14:paraId="1044B2D6">
      <w:pPr>
        <w:pStyle w:val="9"/>
        <w:spacing w:after="0" w:line="249" w:lineRule="auto"/>
        <w:rPr>
          <w:rFonts w:hint="eastAsia"/>
          <w:color w:val="231F20"/>
        </w:rPr>
      </w:pPr>
      <w:r>
        <w:rPr>
          <w:rFonts w:hint="eastAsia"/>
          <w:color w:val="231F20"/>
        </w:rPr>
        <w:t>如果您觉得我忽略了您喜爱的一处或多处经文，请务必通过我的网站与我联系。</w:t>
      </w:r>
    </w:p>
    <w:p w14:paraId="7D32F0E9">
      <w:pPr>
        <w:pStyle w:val="9"/>
        <w:spacing w:after="0" w:line="249" w:lineRule="auto"/>
        <w:rPr>
          <w:rFonts w:hint="eastAsia"/>
          <w:color w:val="231F20"/>
        </w:rPr>
      </w:pPr>
    </w:p>
    <w:p w14:paraId="63BE0F7A">
      <w:pPr>
        <w:pStyle w:val="9"/>
        <w:spacing w:after="0" w:line="249" w:lineRule="auto"/>
        <w:rPr>
          <w:rFonts w:hint="eastAsia"/>
          <w:color w:val="231F20"/>
        </w:rPr>
      </w:pPr>
      <w:r>
        <w:rPr>
          <w:rFonts w:hint="eastAsia"/>
          <w:color w:val="231F20"/>
        </w:rPr>
        <w:t>But finally, I do indeed hope you will consider reading the whole book straight through.</w:t>
      </w:r>
    </w:p>
    <w:p w14:paraId="15CA2D07">
      <w:pPr>
        <w:pStyle w:val="9"/>
        <w:spacing w:after="0" w:line="249" w:lineRule="auto"/>
        <w:rPr>
          <w:rFonts w:hint="eastAsia"/>
          <w:color w:val="231F20"/>
        </w:rPr>
      </w:pPr>
    </w:p>
    <w:p w14:paraId="584D98F1">
      <w:pPr>
        <w:pStyle w:val="9"/>
        <w:spacing w:after="0" w:line="249" w:lineRule="auto"/>
        <w:rPr>
          <w:rFonts w:hint="eastAsia"/>
          <w:color w:val="231F20"/>
        </w:rPr>
      </w:pPr>
      <w:r>
        <w:rPr>
          <w:rFonts w:hint="eastAsia"/>
          <w:color w:val="231F20"/>
        </w:rPr>
        <w:t>但最后，我确实希望您会考虑将整本书通读一遍。</w:t>
      </w:r>
    </w:p>
    <w:p w14:paraId="7F51ADF1">
      <w:pPr>
        <w:pStyle w:val="9"/>
        <w:spacing w:after="0" w:line="249" w:lineRule="auto"/>
        <w:rPr>
          <w:rFonts w:hint="eastAsia"/>
          <w:color w:val="231F20"/>
        </w:rPr>
      </w:pPr>
    </w:p>
    <w:p w14:paraId="195F99D6">
      <w:pPr>
        <w:pStyle w:val="9"/>
        <w:spacing w:after="0" w:line="249" w:lineRule="auto"/>
        <w:rPr>
          <w:rFonts w:hint="eastAsia"/>
          <w:color w:val="231F20"/>
        </w:rPr>
      </w:pPr>
      <w:r>
        <w:rPr>
          <w:rFonts w:hint="eastAsia"/>
          <w:color w:val="231F20"/>
        </w:rPr>
        <w:t>If you read a chapter a day, you’ll be done in less than a month.</w:t>
      </w:r>
    </w:p>
    <w:p w14:paraId="4B1E9DBA">
      <w:pPr>
        <w:pStyle w:val="9"/>
        <w:spacing w:after="0" w:line="249" w:lineRule="auto"/>
        <w:rPr>
          <w:rFonts w:hint="eastAsia"/>
          <w:color w:val="231F20"/>
        </w:rPr>
      </w:pPr>
    </w:p>
    <w:p w14:paraId="3BC78238">
      <w:pPr>
        <w:pStyle w:val="9"/>
        <w:spacing w:after="0" w:line="249" w:lineRule="auto"/>
        <w:rPr>
          <w:rFonts w:hint="eastAsia"/>
          <w:color w:val="231F20"/>
        </w:rPr>
      </w:pPr>
      <w:r>
        <w:rPr>
          <w:rFonts w:hint="eastAsia"/>
          <w:color w:val="231F20"/>
        </w:rPr>
        <w:t>如果您每天读一章，不到一个月就能读完。</w:t>
      </w:r>
    </w:p>
    <w:p w14:paraId="20C41212">
      <w:pPr>
        <w:pStyle w:val="9"/>
        <w:spacing w:after="0" w:line="249" w:lineRule="auto"/>
        <w:rPr>
          <w:rFonts w:hint="eastAsia"/>
          <w:color w:val="231F20"/>
        </w:rPr>
      </w:pPr>
    </w:p>
    <w:p w14:paraId="7E01C1DF">
      <w:pPr>
        <w:pStyle w:val="9"/>
        <w:spacing w:after="0" w:line="249" w:lineRule="auto"/>
        <w:rPr>
          <w:rFonts w:hint="eastAsia"/>
          <w:color w:val="231F20"/>
        </w:rPr>
      </w:pPr>
      <w:r>
        <w:rPr>
          <w:rFonts w:hint="eastAsia"/>
          <w:color w:val="231F20"/>
        </w:rPr>
        <w:t>If you read half a chapter, you’ll be done in two months.</w:t>
      </w:r>
    </w:p>
    <w:p w14:paraId="5625BDA9">
      <w:pPr>
        <w:pStyle w:val="9"/>
        <w:spacing w:after="0" w:line="249" w:lineRule="auto"/>
        <w:rPr>
          <w:rFonts w:hint="eastAsia"/>
          <w:color w:val="231F20"/>
        </w:rPr>
      </w:pPr>
    </w:p>
    <w:p w14:paraId="4602B761">
      <w:pPr>
        <w:pStyle w:val="9"/>
        <w:spacing w:after="0" w:line="249" w:lineRule="auto"/>
        <w:rPr>
          <w:rFonts w:hint="eastAsia"/>
          <w:color w:val="231F20"/>
        </w:rPr>
      </w:pPr>
      <w:r>
        <w:rPr>
          <w:rFonts w:hint="eastAsia"/>
          <w:color w:val="231F20"/>
        </w:rPr>
        <w:t>如果您读半章，两个月就能读完。</w:t>
      </w:r>
    </w:p>
    <w:p w14:paraId="06A02C68">
      <w:pPr>
        <w:pStyle w:val="9"/>
        <w:spacing w:after="0" w:line="249" w:lineRule="auto"/>
        <w:rPr>
          <w:rFonts w:hint="eastAsia"/>
          <w:color w:val="231F20"/>
        </w:rPr>
      </w:pPr>
    </w:p>
    <w:p w14:paraId="1F406007">
      <w:pPr>
        <w:pStyle w:val="9"/>
        <w:spacing w:after="0" w:line="249" w:lineRule="auto"/>
        <w:rPr>
          <w:rFonts w:hint="eastAsia"/>
          <w:color w:val="231F20"/>
        </w:rPr>
      </w:pPr>
      <w:r>
        <w:rPr>
          <w:rFonts w:hint="eastAsia"/>
          <w:color w:val="231F20"/>
        </w:rPr>
        <w:t>Honestly, I think you would find this a rewarding use of your time.</w:t>
      </w:r>
    </w:p>
    <w:p w14:paraId="17DC0786">
      <w:pPr>
        <w:pStyle w:val="9"/>
        <w:spacing w:after="0" w:line="249" w:lineRule="auto"/>
        <w:rPr>
          <w:rFonts w:hint="eastAsia"/>
          <w:color w:val="231F20"/>
        </w:rPr>
      </w:pPr>
    </w:p>
    <w:p w14:paraId="05C93DB1">
      <w:pPr>
        <w:pStyle w:val="9"/>
        <w:spacing w:after="0" w:line="249" w:lineRule="auto"/>
        <w:rPr>
          <w:rFonts w:hint="eastAsia"/>
          <w:color w:val="231F20"/>
        </w:rPr>
      </w:pPr>
      <w:r>
        <w:rPr>
          <w:rFonts w:hint="eastAsia"/>
          <w:color w:val="231F20"/>
        </w:rPr>
        <w:t>老实说，我认为您会发现这样利用时间是很有价值的。</w:t>
      </w:r>
    </w:p>
    <w:p w14:paraId="7729EDA4">
      <w:pPr>
        <w:pStyle w:val="9"/>
        <w:spacing w:after="0" w:line="249" w:lineRule="auto"/>
        <w:rPr>
          <w:rFonts w:hint="eastAsia"/>
          <w:color w:val="231F20"/>
        </w:rPr>
      </w:pPr>
    </w:p>
    <w:p w14:paraId="2A3F5941">
      <w:pPr>
        <w:pStyle w:val="9"/>
        <w:spacing w:after="0" w:line="249" w:lineRule="auto"/>
        <w:rPr>
          <w:rFonts w:hint="eastAsia"/>
          <w:color w:val="231F20"/>
        </w:rPr>
      </w:pPr>
      <w:r>
        <w:rPr>
          <w:rFonts w:hint="eastAsia"/>
          <w:color w:val="231F20"/>
        </w:rPr>
        <w:t>It’s not that I am a great theologian or writer.</w:t>
      </w:r>
    </w:p>
    <w:p w14:paraId="61593255">
      <w:pPr>
        <w:pStyle w:val="9"/>
        <w:spacing w:after="0" w:line="249" w:lineRule="auto"/>
        <w:rPr>
          <w:rFonts w:hint="eastAsia"/>
          <w:color w:val="231F20"/>
        </w:rPr>
      </w:pPr>
    </w:p>
    <w:p w14:paraId="69C2A0B8">
      <w:pPr>
        <w:pStyle w:val="9"/>
        <w:spacing w:after="0" w:line="249" w:lineRule="auto"/>
        <w:rPr>
          <w:rFonts w:hint="eastAsia"/>
          <w:color w:val="231F20"/>
        </w:rPr>
      </w:pPr>
      <w:r>
        <w:rPr>
          <w:rFonts w:hint="eastAsia"/>
          <w:color w:val="231F20"/>
        </w:rPr>
        <w:t>这并非因为我是一位伟大的神学家或作家。</w:t>
      </w:r>
    </w:p>
    <w:p w14:paraId="7BC9F148">
      <w:pPr>
        <w:pStyle w:val="9"/>
        <w:spacing w:after="0" w:line="249" w:lineRule="auto"/>
        <w:rPr>
          <w:rFonts w:hint="eastAsia"/>
          <w:color w:val="231F20"/>
        </w:rPr>
      </w:pPr>
    </w:p>
    <w:p w14:paraId="7509A223">
      <w:pPr>
        <w:pStyle w:val="9"/>
        <w:spacing w:after="0" w:line="249" w:lineRule="auto"/>
        <w:rPr>
          <w:rFonts w:hint="eastAsia"/>
          <w:color w:val="231F20"/>
        </w:rPr>
      </w:pPr>
      <w:r>
        <w:rPr>
          <w:rFonts w:hint="eastAsia"/>
          <w:color w:val="231F20"/>
        </w:rPr>
        <w:t>It’s simply that this is a great subject, and that I have cared enough about it to probe it to the depths.</w:t>
      </w:r>
    </w:p>
    <w:p w14:paraId="13213A1C">
      <w:pPr>
        <w:pStyle w:val="9"/>
        <w:spacing w:after="0" w:line="249" w:lineRule="auto"/>
        <w:rPr>
          <w:rFonts w:hint="eastAsia"/>
          <w:color w:val="231F20"/>
        </w:rPr>
      </w:pPr>
    </w:p>
    <w:p w14:paraId="098AE52E">
      <w:pPr>
        <w:pStyle w:val="9"/>
        <w:spacing w:after="0" w:line="249" w:lineRule="auto"/>
        <w:rPr>
          <w:rFonts w:hint="eastAsia"/>
          <w:color w:val="231F20"/>
        </w:rPr>
      </w:pPr>
      <w:r>
        <w:rPr>
          <w:rFonts w:hint="eastAsia"/>
          <w:color w:val="231F20"/>
        </w:rPr>
        <w:t>而仅仅因为这是一个伟大的主题，并且我对其足够关注，以至深入探究其底蕴。</w:t>
      </w:r>
    </w:p>
    <w:p w14:paraId="383D27E8">
      <w:pPr>
        <w:pStyle w:val="9"/>
        <w:spacing w:after="0" w:line="249" w:lineRule="auto"/>
        <w:rPr>
          <w:rFonts w:hint="eastAsia"/>
          <w:color w:val="231F20"/>
        </w:rPr>
      </w:pPr>
    </w:p>
    <w:p w14:paraId="154D279A">
      <w:pPr>
        <w:pStyle w:val="9"/>
        <w:spacing w:after="0" w:line="249" w:lineRule="auto"/>
        <w:rPr>
          <w:rFonts w:hint="eastAsia"/>
          <w:color w:val="231F20"/>
        </w:rPr>
      </w:pPr>
      <w:r>
        <w:rPr>
          <w:rFonts w:hint="eastAsia"/>
          <w:color w:val="231F20"/>
        </w:rPr>
        <w:t>Possibly, you will disagree with my conclusions.</w:t>
      </w:r>
    </w:p>
    <w:p w14:paraId="67849FA5">
      <w:pPr>
        <w:pStyle w:val="9"/>
        <w:spacing w:after="0" w:line="249" w:lineRule="auto"/>
        <w:rPr>
          <w:rFonts w:hint="eastAsia"/>
          <w:color w:val="231F20"/>
        </w:rPr>
      </w:pPr>
    </w:p>
    <w:p w14:paraId="41357BF0">
      <w:pPr>
        <w:pStyle w:val="9"/>
        <w:spacing w:after="0" w:line="249" w:lineRule="auto"/>
        <w:rPr>
          <w:rFonts w:hint="eastAsia"/>
          <w:color w:val="231F20"/>
        </w:rPr>
      </w:pPr>
      <w:r>
        <w:rPr>
          <w:rFonts w:hint="eastAsia"/>
          <w:color w:val="231F20"/>
        </w:rPr>
        <w:t>或许，您会不同意我的结论。</w:t>
      </w:r>
    </w:p>
    <w:p w14:paraId="760D3D18">
      <w:pPr>
        <w:pStyle w:val="9"/>
        <w:spacing w:after="0" w:line="249" w:lineRule="auto"/>
        <w:rPr>
          <w:rFonts w:hint="eastAsia"/>
          <w:color w:val="231F20"/>
        </w:rPr>
      </w:pPr>
    </w:p>
    <w:p w14:paraId="65DC8B5D">
      <w:pPr>
        <w:pStyle w:val="9"/>
        <w:spacing w:after="0" w:line="249" w:lineRule="auto"/>
        <w:rPr>
          <w:rFonts w:hint="eastAsia"/>
          <w:color w:val="231F20"/>
        </w:rPr>
      </w:pPr>
      <w:r>
        <w:rPr>
          <w:rFonts w:hint="eastAsia"/>
          <w:color w:val="231F20"/>
        </w:rPr>
        <w:t>Certainly, you will find that in wrestling with the High King over his amazing eschatological truth, he will expand your mind, fill your heart, and mightily strengthen your grip on the glories of the Christian worldview.</w:t>
      </w:r>
    </w:p>
    <w:p w14:paraId="427F7980">
      <w:pPr>
        <w:pStyle w:val="9"/>
        <w:spacing w:after="0" w:line="249" w:lineRule="auto"/>
        <w:rPr>
          <w:rFonts w:hint="eastAsia"/>
          <w:color w:val="231F20"/>
        </w:rPr>
      </w:pPr>
    </w:p>
    <w:p w14:paraId="7FE9FD2B">
      <w:pPr>
        <w:pStyle w:val="9"/>
        <w:spacing w:after="0" w:line="249" w:lineRule="auto"/>
        <w:rPr>
          <w:rFonts w:hint="eastAsia"/>
          <w:color w:val="231F20"/>
        </w:rPr>
      </w:pPr>
      <w:r>
        <w:rPr>
          <w:rFonts w:hint="eastAsia"/>
          <w:color w:val="231F20"/>
        </w:rPr>
        <w:t>但可以肯定的是，您会发现在与这位至高君王就祂奇妙的末世论真理进行角力时，祂会拓展您的心智，充满您的心灵，并极大地坚固您对基督教世界观之荣耀的把握。</w:t>
      </w:r>
    </w:p>
    <w:p w14:paraId="650069C3">
      <w:pPr>
        <w:pStyle w:val="9"/>
        <w:spacing w:after="0" w:line="249" w:lineRule="auto"/>
        <w:rPr>
          <w:rFonts w:hint="eastAsia"/>
          <w:color w:val="231F20"/>
        </w:rPr>
      </w:pPr>
    </w:p>
    <w:p w14:paraId="30325FF7">
      <w:pPr>
        <w:pStyle w:val="9"/>
        <w:spacing w:after="0" w:line="249" w:lineRule="auto"/>
        <w:rPr>
          <w:rFonts w:hint="eastAsia"/>
          <w:color w:val="231F20"/>
        </w:rPr>
      </w:pPr>
      <w:r>
        <w:rPr>
          <w:rFonts w:hint="eastAsia"/>
          <w:color w:val="231F20"/>
        </w:rPr>
        <w:t>Before embarking on our journey, I want to thank the friends and colleagues who helped me complete this challenging project.</w:t>
      </w:r>
    </w:p>
    <w:p w14:paraId="6EAEB9DD">
      <w:pPr>
        <w:pStyle w:val="9"/>
        <w:spacing w:after="0" w:line="249" w:lineRule="auto"/>
        <w:rPr>
          <w:rFonts w:hint="eastAsia"/>
          <w:color w:val="231F20"/>
        </w:rPr>
      </w:pPr>
    </w:p>
    <w:p w14:paraId="4F74FC5E">
      <w:pPr>
        <w:pStyle w:val="9"/>
        <w:spacing w:after="0" w:line="249" w:lineRule="auto"/>
        <w:rPr>
          <w:rFonts w:hint="eastAsia"/>
          <w:color w:val="231F20"/>
        </w:rPr>
      </w:pPr>
      <w:r>
        <w:rPr>
          <w:rFonts w:hint="eastAsia"/>
          <w:color w:val="231F20"/>
        </w:rPr>
        <w:t>在开始我们的旅程之前，我要感谢帮助我完成这个充满挑战的项目的各位朋友和同工。</w:t>
      </w:r>
    </w:p>
    <w:p w14:paraId="404CCFA0">
      <w:pPr>
        <w:pStyle w:val="9"/>
        <w:spacing w:after="0" w:line="249" w:lineRule="auto"/>
        <w:rPr>
          <w:rFonts w:hint="eastAsia"/>
          <w:color w:val="231F20"/>
        </w:rPr>
      </w:pPr>
    </w:p>
    <w:p w14:paraId="47FA373F">
      <w:pPr>
        <w:pStyle w:val="9"/>
        <w:spacing w:after="0" w:line="249" w:lineRule="auto"/>
        <w:rPr>
          <w:rFonts w:hint="eastAsia"/>
          <w:color w:val="231F20"/>
        </w:rPr>
      </w:pPr>
      <w:r>
        <w:rPr>
          <w:rFonts w:hint="eastAsia"/>
          <w:color w:val="231F20"/>
        </w:rPr>
        <w:t>I am especially grateful for Ms. Leah Lehr, a budding young graphic artist who produced the tables, charts, and diagrams you will find in the pages ahead.</w:t>
      </w:r>
    </w:p>
    <w:p w14:paraId="0DA4C599">
      <w:pPr>
        <w:pStyle w:val="9"/>
        <w:spacing w:after="0" w:line="249" w:lineRule="auto"/>
        <w:rPr>
          <w:rFonts w:hint="eastAsia"/>
          <w:color w:val="231F20"/>
        </w:rPr>
      </w:pPr>
    </w:p>
    <w:p w14:paraId="6D441693">
      <w:pPr>
        <w:pStyle w:val="9"/>
        <w:spacing w:after="0" w:line="249" w:lineRule="auto"/>
        <w:rPr>
          <w:rFonts w:hint="eastAsia"/>
          <w:color w:val="231F20"/>
        </w:rPr>
      </w:pPr>
      <w:r>
        <w:rPr>
          <w:rFonts w:hint="eastAsia"/>
          <w:color w:val="231F20"/>
        </w:rPr>
        <w:t>我特别感谢利亚·莱尔女士，她是一位崭露头角的年轻平面设计师，制作了您将在后面书页中看到的表格、图表和示意图。</w:t>
      </w:r>
    </w:p>
    <w:p w14:paraId="069460D7">
      <w:pPr>
        <w:pStyle w:val="9"/>
        <w:spacing w:after="0" w:line="249" w:lineRule="auto"/>
        <w:rPr>
          <w:rFonts w:hint="eastAsia"/>
          <w:color w:val="231F20"/>
        </w:rPr>
      </w:pPr>
    </w:p>
    <w:p w14:paraId="156170FD">
      <w:pPr>
        <w:pStyle w:val="9"/>
        <w:spacing w:after="0" w:line="249" w:lineRule="auto"/>
        <w:rPr>
          <w:rFonts w:hint="eastAsia"/>
          <w:color w:val="231F20"/>
        </w:rPr>
      </w:pPr>
      <w:r>
        <w:rPr>
          <w:rFonts w:hint="eastAsia"/>
          <w:color w:val="231F20"/>
        </w:rPr>
        <w:t>Great job, Leah!</w:t>
      </w:r>
    </w:p>
    <w:p w14:paraId="15B4CE06">
      <w:pPr>
        <w:pStyle w:val="9"/>
        <w:spacing w:after="0" w:line="249" w:lineRule="auto"/>
        <w:rPr>
          <w:rFonts w:hint="eastAsia"/>
          <w:color w:val="231F20"/>
        </w:rPr>
      </w:pPr>
    </w:p>
    <w:p w14:paraId="0258F765">
      <w:pPr>
        <w:pStyle w:val="9"/>
        <w:spacing w:after="0" w:line="249" w:lineRule="auto"/>
        <w:rPr>
          <w:rFonts w:hint="eastAsia"/>
          <w:color w:val="231F20"/>
        </w:rPr>
      </w:pPr>
      <w:r>
        <w:rPr>
          <w:rFonts w:hint="eastAsia"/>
          <w:color w:val="231F20"/>
        </w:rPr>
        <w:t>干得好，利亚！</w:t>
      </w:r>
    </w:p>
    <w:p w14:paraId="67FAD430">
      <w:pPr>
        <w:pStyle w:val="9"/>
        <w:spacing w:after="0" w:line="249" w:lineRule="auto"/>
        <w:rPr>
          <w:rFonts w:hint="eastAsia"/>
          <w:color w:val="231F20"/>
        </w:rPr>
      </w:pPr>
    </w:p>
    <w:p w14:paraId="746F9563">
      <w:pPr>
        <w:pStyle w:val="9"/>
        <w:spacing w:after="0" w:line="249" w:lineRule="auto"/>
        <w:rPr>
          <w:rFonts w:hint="eastAsia"/>
          <w:color w:val="231F20"/>
        </w:rPr>
      </w:pPr>
      <w:r>
        <w:rPr>
          <w:rFonts w:hint="eastAsia"/>
          <w:color w:val="231F20"/>
        </w:rPr>
        <w:t>You’re on your way now!</w:t>
      </w:r>
    </w:p>
    <w:p w14:paraId="2A6D24A6">
      <w:pPr>
        <w:pStyle w:val="9"/>
        <w:spacing w:after="0" w:line="249" w:lineRule="auto"/>
        <w:rPr>
          <w:rFonts w:hint="eastAsia"/>
          <w:color w:val="231F20"/>
        </w:rPr>
      </w:pPr>
    </w:p>
    <w:p w14:paraId="3F5BA6FD">
      <w:pPr>
        <w:pStyle w:val="9"/>
        <w:spacing w:after="0" w:line="249" w:lineRule="auto"/>
        <w:rPr>
          <w:rFonts w:hint="eastAsia"/>
          <w:color w:val="231F20"/>
        </w:rPr>
      </w:pPr>
      <w:r>
        <w:rPr>
          <w:rFonts w:hint="eastAsia"/>
          <w:color w:val="231F20"/>
        </w:rPr>
        <w:t>你现在前途无量！</w:t>
      </w:r>
    </w:p>
    <w:p w14:paraId="3F93E504">
      <w:pPr>
        <w:pStyle w:val="9"/>
        <w:spacing w:after="0" w:line="249" w:lineRule="auto"/>
        <w:rPr>
          <w:rFonts w:hint="eastAsia"/>
          <w:color w:val="231F20"/>
        </w:rPr>
      </w:pPr>
    </w:p>
    <w:p w14:paraId="7E548434">
      <w:pPr>
        <w:pStyle w:val="9"/>
        <w:spacing w:after="0" w:line="249" w:lineRule="auto"/>
        <w:rPr>
          <w:rFonts w:hint="eastAsia"/>
          <w:color w:val="231F20"/>
        </w:rPr>
      </w:pPr>
      <w:r>
        <w:rPr>
          <w:rFonts w:hint="eastAsia"/>
          <w:color w:val="231F20"/>
        </w:rPr>
        <w:t>Thanks also to pastors Chris Bauer and Darrell Brooker, who kindly loaned me a number of very useful books from their excellent libraries.</w:t>
      </w:r>
    </w:p>
    <w:p w14:paraId="610BB275">
      <w:pPr>
        <w:pStyle w:val="9"/>
        <w:spacing w:after="0" w:line="249" w:lineRule="auto"/>
        <w:rPr>
          <w:rFonts w:hint="eastAsia"/>
          <w:color w:val="231F20"/>
        </w:rPr>
      </w:pPr>
    </w:p>
    <w:p w14:paraId="7B304FB0">
      <w:pPr>
        <w:pStyle w:val="9"/>
        <w:spacing w:after="0" w:line="249" w:lineRule="auto"/>
        <w:rPr>
          <w:rFonts w:hint="eastAsia"/>
          <w:color w:val="231F20"/>
        </w:rPr>
      </w:pPr>
      <w:r>
        <w:rPr>
          <w:rFonts w:hint="eastAsia"/>
          <w:color w:val="231F20"/>
        </w:rPr>
        <w:t>也感谢克里斯·鲍尔和达雷尔·布鲁克牧师，他们慷慨地从他们出色的藏书中借给我一些非常有用的书籍。</w:t>
      </w:r>
    </w:p>
    <w:p w14:paraId="3A9391AB">
      <w:pPr>
        <w:pStyle w:val="9"/>
        <w:spacing w:after="0" w:line="249" w:lineRule="auto"/>
        <w:rPr>
          <w:rFonts w:hint="eastAsia"/>
          <w:color w:val="231F20"/>
        </w:rPr>
      </w:pPr>
    </w:p>
    <w:p w14:paraId="28B8D21D">
      <w:pPr>
        <w:pStyle w:val="9"/>
        <w:spacing w:after="0" w:line="249" w:lineRule="auto"/>
        <w:rPr>
          <w:rFonts w:hint="eastAsia"/>
          <w:color w:val="231F20"/>
        </w:rPr>
      </w:pPr>
      <w:r>
        <w:rPr>
          <w:rFonts w:hint="eastAsia"/>
          <w:color w:val="231F20"/>
        </w:rPr>
        <w:t>Thanks to Reid Hankins, Adam Peacocke, Stephen Saucier, and Don Stenberg, zealous young pastors and theologians who kept me sharp with their honest and wise input.</w:t>
      </w:r>
    </w:p>
    <w:p w14:paraId="47AACFCD">
      <w:pPr>
        <w:pStyle w:val="9"/>
        <w:spacing w:after="0" w:line="249" w:lineRule="auto"/>
        <w:rPr>
          <w:rFonts w:hint="eastAsia"/>
          <w:color w:val="231F20"/>
        </w:rPr>
      </w:pPr>
    </w:p>
    <w:p w14:paraId="549D64C1">
      <w:pPr>
        <w:pStyle w:val="9"/>
        <w:spacing w:after="0" w:line="249" w:lineRule="auto"/>
        <w:rPr>
          <w:rFonts w:hint="eastAsia"/>
          <w:color w:val="231F20"/>
        </w:rPr>
      </w:pPr>
      <w:r>
        <w:rPr>
          <w:rFonts w:hint="eastAsia"/>
          <w:color w:val="231F20"/>
        </w:rPr>
        <w:t>感谢里德·汉金斯、亚当·皮科克、斯蒂芬·索西尔和唐·斯滕伯格，这些热心的年轻牧师和神学家们，他们以诚实而智慧的意见使我保持敏锐。</w:t>
      </w:r>
    </w:p>
    <w:p w14:paraId="2E53494E">
      <w:pPr>
        <w:pStyle w:val="9"/>
        <w:spacing w:after="0" w:line="249" w:lineRule="auto"/>
        <w:rPr>
          <w:rFonts w:hint="eastAsia"/>
          <w:color w:val="231F20"/>
        </w:rPr>
      </w:pPr>
    </w:p>
    <w:p w14:paraId="47EA58B1">
      <w:pPr>
        <w:pStyle w:val="9"/>
        <w:spacing w:after="0" w:line="249" w:lineRule="auto"/>
        <w:rPr>
          <w:rFonts w:hint="eastAsia"/>
          <w:color w:val="231F20"/>
        </w:rPr>
      </w:pPr>
      <w:r>
        <w:rPr>
          <w:rFonts w:hint="eastAsia"/>
          <w:color w:val="231F20"/>
        </w:rPr>
        <w:t>Thanks also to Athena Dean and my new friends at Redemption Press.</w:t>
      </w:r>
    </w:p>
    <w:p w14:paraId="12C41C98">
      <w:pPr>
        <w:pStyle w:val="9"/>
        <w:spacing w:after="0" w:line="249" w:lineRule="auto"/>
        <w:rPr>
          <w:rFonts w:hint="eastAsia"/>
          <w:color w:val="231F20"/>
        </w:rPr>
      </w:pPr>
    </w:p>
    <w:p w14:paraId="0A8974A9">
      <w:pPr>
        <w:pStyle w:val="9"/>
        <w:spacing w:after="0" w:line="249" w:lineRule="auto"/>
        <w:rPr>
          <w:rFonts w:hint="eastAsia"/>
          <w:color w:val="231F20"/>
        </w:rPr>
      </w:pPr>
      <w:r>
        <w:rPr>
          <w:rFonts w:hint="eastAsia"/>
          <w:color w:val="231F20"/>
        </w:rPr>
        <w:t>也感谢雅典娜·迪恩和我在救赎出版社的新朋友们。</w:t>
      </w:r>
    </w:p>
    <w:p w14:paraId="316D7C72">
      <w:pPr>
        <w:pStyle w:val="9"/>
        <w:spacing w:after="0" w:line="249" w:lineRule="auto"/>
        <w:rPr>
          <w:rFonts w:hint="eastAsia"/>
          <w:color w:val="231F20"/>
        </w:rPr>
      </w:pPr>
    </w:p>
    <w:p w14:paraId="6CCA8F9C">
      <w:pPr>
        <w:pStyle w:val="9"/>
        <w:spacing w:after="0" w:line="249" w:lineRule="auto"/>
        <w:rPr>
          <w:rFonts w:hint="eastAsia"/>
          <w:color w:val="231F20"/>
        </w:rPr>
      </w:pPr>
      <w:r>
        <w:rPr>
          <w:rFonts w:hint="eastAsia"/>
          <w:color w:val="231F20"/>
        </w:rPr>
        <w:t>I am truly grateful for your sincere, timely, and generous efforts to get this book back into print.</w:t>
      </w:r>
    </w:p>
    <w:p w14:paraId="34BDF6D3">
      <w:pPr>
        <w:pStyle w:val="9"/>
        <w:spacing w:after="0" w:line="249" w:lineRule="auto"/>
        <w:rPr>
          <w:rFonts w:hint="eastAsia"/>
          <w:color w:val="231F20"/>
        </w:rPr>
      </w:pPr>
    </w:p>
    <w:p w14:paraId="50D8194F">
      <w:pPr>
        <w:pStyle w:val="9"/>
        <w:spacing w:after="0" w:line="249" w:lineRule="auto"/>
        <w:rPr>
          <w:rFonts w:hint="eastAsia"/>
          <w:color w:val="231F20"/>
        </w:rPr>
      </w:pPr>
      <w:r>
        <w:rPr>
          <w:rFonts w:hint="eastAsia"/>
          <w:color w:val="231F20"/>
        </w:rPr>
        <w:t>我真心感谢你们为使这本书再版所付出的真诚、及时和慷慨的努力。</w:t>
      </w:r>
    </w:p>
    <w:p w14:paraId="3E8CDBD5">
      <w:pPr>
        <w:pStyle w:val="9"/>
        <w:spacing w:after="0" w:line="249" w:lineRule="auto"/>
        <w:rPr>
          <w:rFonts w:hint="eastAsia"/>
          <w:color w:val="231F20"/>
        </w:rPr>
      </w:pPr>
    </w:p>
    <w:p w14:paraId="28BAFAD4">
      <w:pPr>
        <w:pStyle w:val="9"/>
        <w:spacing w:after="0" w:line="249" w:lineRule="auto"/>
        <w:rPr>
          <w:rFonts w:hint="eastAsia"/>
          <w:color w:val="231F20"/>
        </w:rPr>
      </w:pPr>
      <w:r>
        <w:rPr>
          <w:rFonts w:hint="eastAsia"/>
          <w:color w:val="231F20"/>
        </w:rPr>
        <w:t>My hope and prayer is that the Lord will richly bless you all as you step out with Him into your fresh adventure in Christian publishing.</w:t>
      </w:r>
    </w:p>
    <w:p w14:paraId="7AEE1CDB">
      <w:pPr>
        <w:pStyle w:val="9"/>
        <w:spacing w:after="0" w:line="249" w:lineRule="auto"/>
        <w:rPr>
          <w:rFonts w:hint="eastAsia"/>
          <w:color w:val="231F20"/>
        </w:rPr>
      </w:pPr>
    </w:p>
    <w:p w14:paraId="4DF1FA37">
      <w:pPr>
        <w:pStyle w:val="9"/>
        <w:spacing w:after="0" w:line="249" w:lineRule="auto"/>
        <w:rPr>
          <w:rFonts w:hint="eastAsia"/>
          <w:color w:val="231F20"/>
        </w:rPr>
      </w:pPr>
      <w:r>
        <w:rPr>
          <w:rFonts w:hint="eastAsia"/>
          <w:color w:val="231F20"/>
        </w:rPr>
        <w:t>我的盼望和祷告是，当你们与主一同踏上在基督徒出版事业中的崭新征程时，主会丰丰富富地赐福你们。</w:t>
      </w:r>
    </w:p>
    <w:p w14:paraId="0C5FC575">
      <w:pPr>
        <w:pStyle w:val="9"/>
        <w:spacing w:after="0" w:line="249" w:lineRule="auto"/>
        <w:rPr>
          <w:rFonts w:hint="eastAsia"/>
          <w:color w:val="231F20"/>
        </w:rPr>
      </w:pPr>
    </w:p>
    <w:p w14:paraId="2BE5DACF">
      <w:pPr>
        <w:pStyle w:val="9"/>
        <w:spacing w:after="0" w:line="249" w:lineRule="auto"/>
        <w:rPr>
          <w:rFonts w:hint="eastAsia"/>
          <w:color w:val="231F20"/>
        </w:rPr>
      </w:pPr>
      <w:r>
        <w:rPr>
          <w:rFonts w:hint="eastAsia"/>
          <w:color w:val="231F20"/>
        </w:rPr>
        <w:t>Special thanks to my dear wife, Linda, who always brightened my (early) mornings by opening the office door and placing a hot cup of Kenya Tea beside my keyboard.</w:t>
      </w:r>
    </w:p>
    <w:p w14:paraId="7815CF63">
      <w:pPr>
        <w:pStyle w:val="9"/>
        <w:spacing w:after="0" w:line="249" w:lineRule="auto"/>
        <w:rPr>
          <w:rFonts w:hint="eastAsia"/>
          <w:color w:val="231F20"/>
        </w:rPr>
      </w:pPr>
    </w:p>
    <w:p w14:paraId="7C62E4A3">
      <w:pPr>
        <w:pStyle w:val="9"/>
        <w:spacing w:after="0" w:line="249" w:lineRule="auto"/>
        <w:rPr>
          <w:rFonts w:hint="eastAsia"/>
          <w:color w:val="231F20"/>
        </w:rPr>
      </w:pPr>
      <w:r>
        <w:rPr>
          <w:rFonts w:hint="eastAsia"/>
          <w:color w:val="231F20"/>
        </w:rPr>
        <w:t>特别感谢我亲爱的妻子琳达，她总是在（清晨）打开办公室的门，在我的键盘旁放上一杯热腾腾的肯尼亚茶，照亮我的早晨。</w:t>
      </w:r>
    </w:p>
    <w:p w14:paraId="66D88964">
      <w:pPr>
        <w:pStyle w:val="9"/>
        <w:spacing w:after="0" w:line="249" w:lineRule="auto"/>
        <w:rPr>
          <w:rFonts w:hint="eastAsia"/>
          <w:color w:val="231F20"/>
        </w:rPr>
      </w:pPr>
    </w:p>
    <w:p w14:paraId="4C8D8A20">
      <w:pPr>
        <w:pStyle w:val="9"/>
        <w:spacing w:after="0" w:line="249" w:lineRule="auto"/>
        <w:rPr>
          <w:rFonts w:hint="eastAsia"/>
          <w:color w:val="231F20"/>
        </w:rPr>
      </w:pPr>
      <w:r>
        <w:rPr>
          <w:rFonts w:hint="eastAsia"/>
          <w:color w:val="231F20"/>
        </w:rPr>
        <w:t>It was only one of her many kindnesses to the fevered author she so faithfully loves and supports.</w:t>
      </w:r>
    </w:p>
    <w:p w14:paraId="36DAD94A">
      <w:pPr>
        <w:pStyle w:val="9"/>
        <w:spacing w:after="0" w:line="249" w:lineRule="auto"/>
        <w:rPr>
          <w:rFonts w:hint="eastAsia"/>
          <w:color w:val="231F20"/>
        </w:rPr>
      </w:pPr>
    </w:p>
    <w:p w14:paraId="3BAA4806">
      <w:pPr>
        <w:pStyle w:val="9"/>
        <w:spacing w:after="0" w:line="249" w:lineRule="auto"/>
        <w:rPr>
          <w:rFonts w:hint="eastAsia"/>
          <w:color w:val="231F20"/>
        </w:rPr>
      </w:pPr>
      <w:r>
        <w:rPr>
          <w:rFonts w:hint="eastAsia"/>
          <w:color w:val="231F20"/>
        </w:rPr>
        <w:t>这只是她对那个被她如此忠诚地爱着和支持着、狂热写作的作者所显出的许多恩慈之一。</w:t>
      </w:r>
    </w:p>
    <w:p w14:paraId="2E4C7899">
      <w:pPr>
        <w:pStyle w:val="9"/>
        <w:spacing w:after="0" w:line="249" w:lineRule="auto"/>
        <w:rPr>
          <w:rFonts w:hint="eastAsia"/>
          <w:color w:val="231F20"/>
        </w:rPr>
      </w:pPr>
    </w:p>
    <w:p w14:paraId="2BE717B6">
      <w:pPr>
        <w:pStyle w:val="9"/>
        <w:spacing w:after="0" w:line="249" w:lineRule="auto"/>
        <w:rPr>
          <w:rFonts w:hint="eastAsia"/>
          <w:color w:val="231F20"/>
        </w:rPr>
      </w:pPr>
      <w:r>
        <w:rPr>
          <w:rFonts w:hint="eastAsia"/>
          <w:color w:val="231F20"/>
        </w:rPr>
        <w:t>And finally, highest thanks to the High King himself, without whom, as the Scripture well says, I could have done nothing.</w:t>
      </w:r>
    </w:p>
    <w:p w14:paraId="09EC9B01">
      <w:pPr>
        <w:pStyle w:val="9"/>
        <w:spacing w:after="0" w:line="249" w:lineRule="auto"/>
        <w:rPr>
          <w:rFonts w:hint="eastAsia"/>
          <w:color w:val="231F20"/>
        </w:rPr>
      </w:pPr>
    </w:p>
    <w:p w14:paraId="666F2EBA">
      <w:pPr>
        <w:pStyle w:val="9"/>
        <w:spacing w:after="0" w:line="249" w:lineRule="auto"/>
        <w:rPr>
          <w:rFonts w:hint="eastAsia"/>
          <w:color w:val="231F20"/>
        </w:rPr>
      </w:pPr>
      <w:r>
        <w:rPr>
          <w:rFonts w:hint="eastAsia"/>
          <w:color w:val="231F20"/>
        </w:rPr>
        <w:t>最后，要将至高的感谢归于那位至高的君王自己，正如圣经所言，离了祂，我就不能做什么。</w:t>
      </w:r>
    </w:p>
    <w:p w14:paraId="7E811C8D">
      <w:pPr>
        <w:pStyle w:val="9"/>
        <w:spacing w:after="0" w:line="249" w:lineRule="auto"/>
        <w:rPr>
          <w:rFonts w:hint="eastAsia"/>
          <w:color w:val="231F20"/>
        </w:rPr>
      </w:pPr>
    </w:p>
    <w:p w14:paraId="3F9764B4">
      <w:pPr>
        <w:pStyle w:val="9"/>
        <w:spacing w:after="0" w:line="249" w:lineRule="auto"/>
        <w:rPr>
          <w:rFonts w:hint="eastAsia"/>
          <w:color w:val="231F20"/>
        </w:rPr>
      </w:pPr>
      <w:r>
        <w:rPr>
          <w:rFonts w:hint="eastAsia"/>
          <w:color w:val="231F20"/>
        </w:rPr>
        <w:t>Looking back, I realize that from my earliest days as a believer in Jesus I dreamed of writing a major work on biblical eschatology.</w:t>
      </w:r>
    </w:p>
    <w:p w14:paraId="404E01DB">
      <w:pPr>
        <w:pStyle w:val="9"/>
        <w:spacing w:after="0" w:line="249" w:lineRule="auto"/>
        <w:rPr>
          <w:rFonts w:hint="eastAsia"/>
          <w:color w:val="231F20"/>
        </w:rPr>
      </w:pPr>
    </w:p>
    <w:p w14:paraId="7D6E691B">
      <w:pPr>
        <w:pStyle w:val="9"/>
        <w:spacing w:after="0" w:line="249" w:lineRule="auto"/>
        <w:rPr>
          <w:rFonts w:hint="eastAsia"/>
          <w:color w:val="231F20"/>
        </w:rPr>
      </w:pPr>
      <w:r>
        <w:rPr>
          <w:rFonts w:hint="eastAsia"/>
          <w:color w:val="231F20"/>
        </w:rPr>
        <w:t>回首往事，我意识到从我信主耶稣的最初日子起，我就梦想着写一部关于圣经末世论的重要著作。</w:t>
      </w:r>
    </w:p>
    <w:p w14:paraId="087A997B">
      <w:pPr>
        <w:pStyle w:val="9"/>
        <w:spacing w:after="0" w:line="249" w:lineRule="auto"/>
        <w:rPr>
          <w:rFonts w:hint="eastAsia"/>
          <w:color w:val="231F20"/>
        </w:rPr>
      </w:pPr>
    </w:p>
    <w:p w14:paraId="31317465">
      <w:pPr>
        <w:pStyle w:val="9"/>
        <w:spacing w:after="0" w:line="249" w:lineRule="auto"/>
        <w:rPr>
          <w:rFonts w:hint="eastAsia"/>
          <w:color w:val="231F20"/>
        </w:rPr>
      </w:pPr>
      <w:r>
        <w:rPr>
          <w:rFonts w:hint="eastAsia"/>
          <w:color w:val="231F20"/>
        </w:rPr>
        <w:t>It was, I trust, the Lord himself who planted the vision; just as it was the Lord himself who, over several decades of pastoral labors, nurtured and enlarged it until the happy day when he (and I) felt I was finally ready to bring it forth.</w:t>
      </w:r>
    </w:p>
    <w:p w14:paraId="33932728">
      <w:pPr>
        <w:pStyle w:val="9"/>
        <w:spacing w:after="0" w:line="249" w:lineRule="auto"/>
        <w:rPr>
          <w:rFonts w:hint="eastAsia"/>
          <w:color w:val="231F20"/>
        </w:rPr>
      </w:pPr>
    </w:p>
    <w:p w14:paraId="33ED2DC6">
      <w:pPr>
        <w:pStyle w:val="9"/>
        <w:spacing w:after="0" w:line="249" w:lineRule="auto"/>
        <w:rPr>
          <w:rFonts w:hint="eastAsia"/>
          <w:color w:val="231F20"/>
        </w:rPr>
      </w:pPr>
      <w:r>
        <w:rPr>
          <w:rFonts w:hint="eastAsia"/>
          <w:color w:val="231F20"/>
        </w:rPr>
        <w:t>我深信，是主亲自栽植了这个异象；也正是主亲自，在几十年的牧会劳苦中，培育并扩展了这个异象，直到那快乐的一天，当祂（和我）觉得我终于准备好将其付诸实现时。</w:t>
      </w:r>
    </w:p>
    <w:p w14:paraId="1044B4E9">
      <w:pPr>
        <w:pStyle w:val="9"/>
        <w:spacing w:after="0" w:line="249" w:lineRule="auto"/>
        <w:rPr>
          <w:rFonts w:hint="eastAsia"/>
          <w:color w:val="231F20"/>
        </w:rPr>
      </w:pPr>
    </w:p>
    <w:p w14:paraId="4737074F">
      <w:pPr>
        <w:pStyle w:val="9"/>
        <w:spacing w:after="0" w:line="249" w:lineRule="auto"/>
        <w:rPr>
          <w:rFonts w:hint="eastAsia"/>
          <w:color w:val="231F20"/>
        </w:rPr>
      </w:pPr>
      <w:r>
        <w:rPr>
          <w:rFonts w:hint="eastAsia"/>
          <w:color w:val="231F20"/>
        </w:rPr>
        <w:t>The result is in your hands.</w:t>
      </w:r>
    </w:p>
    <w:p w14:paraId="371C47C0">
      <w:pPr>
        <w:pStyle w:val="9"/>
        <w:spacing w:after="0" w:line="249" w:lineRule="auto"/>
        <w:rPr>
          <w:rFonts w:hint="eastAsia"/>
          <w:color w:val="231F20"/>
        </w:rPr>
      </w:pPr>
    </w:p>
    <w:p w14:paraId="1F8940E1">
      <w:pPr>
        <w:pStyle w:val="9"/>
        <w:spacing w:after="0" w:line="249" w:lineRule="auto"/>
        <w:rPr>
          <w:rFonts w:hint="eastAsia"/>
          <w:color w:val="231F20"/>
        </w:rPr>
      </w:pPr>
      <w:r>
        <w:rPr>
          <w:rFonts w:hint="eastAsia"/>
          <w:color w:val="231F20"/>
        </w:rPr>
        <w:t>成果就在您的手中。</w:t>
      </w:r>
    </w:p>
    <w:p w14:paraId="02F6C6DC">
      <w:pPr>
        <w:pStyle w:val="9"/>
        <w:spacing w:after="0" w:line="249" w:lineRule="auto"/>
        <w:rPr>
          <w:rFonts w:hint="eastAsia"/>
          <w:color w:val="231F20"/>
        </w:rPr>
      </w:pPr>
    </w:p>
    <w:p w14:paraId="225A2FBD">
      <w:pPr>
        <w:pStyle w:val="9"/>
        <w:spacing w:after="0" w:line="249" w:lineRule="auto"/>
        <w:rPr>
          <w:rFonts w:hint="eastAsia"/>
          <w:color w:val="231F20"/>
        </w:rPr>
      </w:pPr>
      <w:r>
        <w:rPr>
          <w:rFonts w:hint="eastAsia"/>
          <w:color w:val="231F20"/>
        </w:rPr>
        <w:t>As for the flaws you will doubtless find, I gladly take responsibility for them all.</w:t>
      </w:r>
    </w:p>
    <w:p w14:paraId="1D44C9BA">
      <w:pPr>
        <w:pStyle w:val="9"/>
        <w:spacing w:after="0" w:line="249" w:lineRule="auto"/>
        <w:rPr>
          <w:rFonts w:hint="eastAsia"/>
          <w:color w:val="231F20"/>
        </w:rPr>
      </w:pPr>
    </w:p>
    <w:p w14:paraId="33C30151">
      <w:pPr>
        <w:pStyle w:val="9"/>
        <w:spacing w:after="0" w:line="249" w:lineRule="auto"/>
        <w:rPr>
          <w:rFonts w:hint="eastAsia"/>
          <w:color w:val="231F20"/>
        </w:rPr>
      </w:pPr>
      <w:r>
        <w:rPr>
          <w:rFonts w:hint="eastAsia"/>
          <w:color w:val="231F20"/>
        </w:rPr>
        <w:t>至于您无疑会发现的瑕疵，我欣然为它们负全部责任。</w:t>
      </w:r>
    </w:p>
    <w:p w14:paraId="6D6F7CD2">
      <w:pPr>
        <w:pStyle w:val="9"/>
        <w:spacing w:after="0" w:line="249" w:lineRule="auto"/>
        <w:rPr>
          <w:rFonts w:hint="eastAsia"/>
          <w:color w:val="231F20"/>
        </w:rPr>
      </w:pPr>
    </w:p>
    <w:p w14:paraId="01ED0160">
      <w:pPr>
        <w:pStyle w:val="9"/>
        <w:spacing w:after="0" w:line="249" w:lineRule="auto"/>
        <w:rPr>
          <w:rFonts w:hint="eastAsia"/>
          <w:color w:val="231F20"/>
        </w:rPr>
      </w:pPr>
      <w:r>
        <w:rPr>
          <w:rFonts w:hint="eastAsia"/>
          <w:color w:val="231F20"/>
        </w:rPr>
        <w:t>As for any truth you may find, I even more gladly give all the glory to the High King of Heaven.</w:t>
      </w:r>
    </w:p>
    <w:p w14:paraId="759CC2A4">
      <w:pPr>
        <w:pStyle w:val="9"/>
        <w:spacing w:after="0" w:line="249" w:lineRule="auto"/>
        <w:rPr>
          <w:rFonts w:hint="eastAsia"/>
          <w:color w:val="231F20"/>
        </w:rPr>
      </w:pPr>
    </w:p>
    <w:p w14:paraId="4588A959">
      <w:pPr>
        <w:pStyle w:val="9"/>
        <w:spacing w:after="0" w:line="249" w:lineRule="auto"/>
        <w:rPr>
          <w:rFonts w:hint="eastAsia"/>
          <w:color w:val="231F20"/>
        </w:rPr>
      </w:pPr>
      <w:r>
        <w:rPr>
          <w:rFonts w:hint="eastAsia"/>
          <w:color w:val="231F20"/>
        </w:rPr>
        <w:t>至于您可能发现的任何真理，我更欣然地将一切荣耀归给天上的至高君王。</w:t>
      </w:r>
    </w:p>
    <w:p w14:paraId="5A16FA13">
      <w:pPr>
        <w:pStyle w:val="9"/>
        <w:spacing w:after="0" w:line="249" w:lineRule="auto"/>
        <w:rPr>
          <w:rFonts w:hint="eastAsia"/>
          <w:color w:val="231F20"/>
        </w:rPr>
      </w:pPr>
    </w:p>
    <w:p w14:paraId="4BE47299">
      <w:pPr>
        <w:pStyle w:val="9"/>
        <w:spacing w:after="0" w:line="249" w:lineRule="auto"/>
        <w:rPr>
          <w:rFonts w:hint="eastAsia"/>
          <w:color w:val="231F20"/>
        </w:rPr>
      </w:pPr>
      <w:r>
        <w:rPr>
          <w:rFonts w:hint="eastAsia"/>
          <w:color w:val="231F20"/>
        </w:rPr>
        <w:t>Faithful was he to begin the work; faithful was he to accomplish it.</w:t>
      </w:r>
    </w:p>
    <w:p w14:paraId="5273FDFF">
      <w:pPr>
        <w:pStyle w:val="9"/>
        <w:spacing w:after="0" w:line="249" w:lineRule="auto"/>
        <w:rPr>
          <w:rFonts w:hint="eastAsia"/>
          <w:color w:val="231F20"/>
        </w:rPr>
      </w:pPr>
    </w:p>
    <w:p w14:paraId="358BB317">
      <w:pPr>
        <w:pStyle w:val="9"/>
        <w:spacing w:after="0" w:line="249" w:lineRule="auto"/>
        <w:sectPr>
          <w:pgSz w:w="12240" w:h="15840"/>
          <w:pgMar w:top="1380" w:right="1440" w:bottom="280" w:left="1440" w:header="720" w:footer="720" w:gutter="0"/>
          <w:cols w:space="720" w:num="1"/>
        </w:sectPr>
      </w:pPr>
      <w:r>
        <w:rPr>
          <w:rFonts w:hint="eastAsia"/>
          <w:color w:val="231F20"/>
        </w:rPr>
        <w:t>祂开始这工是信实的；祂完成这工也是信实的。</w:t>
      </w:r>
    </w:p>
    <w:p w14:paraId="787E9689">
      <w:pPr>
        <w:pStyle w:val="3"/>
        <w:bidi w:val="0"/>
        <w:rPr>
          <w:rFonts w:hint="eastAsia"/>
        </w:rPr>
      </w:pPr>
      <w:bookmarkStart w:id="3" w:name="Introduction: The Blessed Hope In These "/>
      <w:bookmarkEnd w:id="3"/>
      <w:bookmarkStart w:id="4" w:name="_bookmark1"/>
      <w:bookmarkEnd w:id="4"/>
      <w:r>
        <w:rPr>
          <w:rFonts w:hint="eastAsia"/>
        </w:rPr>
        <w:t>Introduction</w:t>
      </w:r>
    </w:p>
    <w:p w14:paraId="68A93E01">
      <w:pPr>
        <w:pStyle w:val="3"/>
        <w:bidi w:val="0"/>
        <w:rPr>
          <w:rFonts w:hint="eastAsia"/>
        </w:rPr>
      </w:pPr>
      <w:r>
        <w:rPr>
          <w:rFonts w:hint="eastAsia"/>
        </w:rPr>
        <w:t>The Blessed Hope In These Last Days</w:t>
      </w:r>
    </w:p>
    <w:p w14:paraId="55892011">
      <w:pPr>
        <w:pStyle w:val="3"/>
        <w:bidi w:val="0"/>
        <w:rPr>
          <w:rFonts w:hint="eastAsia"/>
        </w:rPr>
      </w:pPr>
      <w:r>
        <w:rPr>
          <w:rFonts w:hint="eastAsia"/>
        </w:rPr>
        <w:t>引言</w:t>
      </w:r>
    </w:p>
    <w:p w14:paraId="57CAE16A">
      <w:pPr>
        <w:pStyle w:val="3"/>
        <w:bidi w:val="0"/>
        <w:rPr>
          <w:rFonts w:hint="eastAsia"/>
        </w:rPr>
      </w:pPr>
      <w:r>
        <w:rPr>
          <w:rFonts w:hint="eastAsia"/>
        </w:rPr>
        <w:t>在这末后日子里有福的盼望</w:t>
      </w:r>
    </w:p>
    <w:p w14:paraId="4C351E07">
      <w:pPr>
        <w:pStyle w:val="9"/>
        <w:spacing w:before="10"/>
        <w:ind w:left="0"/>
        <w:jc w:val="left"/>
        <w:rPr>
          <w:rFonts w:hint="eastAsia"/>
          <w:sz w:val="16"/>
        </w:rPr>
      </w:pPr>
    </w:p>
    <w:p w14:paraId="154F5B0E">
      <w:pPr>
        <w:pStyle w:val="9"/>
        <w:spacing w:before="10"/>
        <w:ind w:left="0"/>
        <w:jc w:val="left"/>
        <w:rPr>
          <w:rFonts w:hint="eastAsia"/>
          <w:sz w:val="30"/>
          <w:szCs w:val="30"/>
        </w:rPr>
      </w:pPr>
      <w:r>
        <w:rPr>
          <w:rFonts w:hint="eastAsia"/>
          <w:sz w:val="30"/>
          <w:szCs w:val="30"/>
        </w:rPr>
        <w:t>KNOWING THAT THE Passover was at hand; knowing that his hour had come to depart this world to the Father; knowing that he must leave his disciples behind to continue his work; knowing that they, like him, would face terrible opposition in doing so; and knowing that they would need an unfailing source of courage and strength to fulfill so difficult a task, the Lord Jesus Christ—faithfully loving his own to the end—left them with an unforgettable promise:</w:t>
      </w:r>
    </w:p>
    <w:p w14:paraId="782C0637">
      <w:pPr>
        <w:pStyle w:val="9"/>
        <w:spacing w:before="10"/>
        <w:ind w:left="0"/>
        <w:jc w:val="left"/>
        <w:rPr>
          <w:rFonts w:hint="eastAsia"/>
          <w:sz w:val="30"/>
          <w:szCs w:val="30"/>
        </w:rPr>
      </w:pPr>
    </w:p>
    <w:p w14:paraId="744EF257">
      <w:pPr>
        <w:pStyle w:val="9"/>
        <w:spacing w:before="10"/>
        <w:ind w:left="0"/>
        <w:jc w:val="left"/>
        <w:rPr>
          <w:rFonts w:hint="eastAsia"/>
          <w:sz w:val="30"/>
          <w:szCs w:val="30"/>
        </w:rPr>
      </w:pPr>
      <w:r>
        <w:rPr>
          <w:rFonts w:hint="eastAsia"/>
          <w:sz w:val="30"/>
          <w:szCs w:val="30"/>
        </w:rPr>
        <w:t>深知逾越节近了；深知祂的时刻已到，要离开这世界归于父；深知祂必须留下祂的门徒在身后，继续祂的工作；深知他们会像祂一样，在行这事时面临可怕的敌对；又深知他们需要一个永不枯竭的勇气和力量之源，来完成如此艰难的任务，主耶稣基督——信实地爱祂自己的人到底——就留给他们一个永志不忘的应许：</w:t>
      </w:r>
    </w:p>
    <w:p w14:paraId="7A095BC3">
      <w:pPr>
        <w:pStyle w:val="9"/>
        <w:spacing w:before="10"/>
        <w:ind w:left="0"/>
        <w:jc w:val="left"/>
        <w:rPr>
          <w:rFonts w:hint="eastAsia"/>
          <w:sz w:val="30"/>
          <w:szCs w:val="30"/>
        </w:rPr>
      </w:pPr>
    </w:p>
    <w:p w14:paraId="766A956C">
      <w:pPr>
        <w:pStyle w:val="9"/>
        <w:spacing w:before="10"/>
        <w:ind w:left="0"/>
        <w:jc w:val="left"/>
        <w:rPr>
          <w:rFonts w:hint="eastAsia"/>
          <w:sz w:val="30"/>
          <w:szCs w:val="30"/>
        </w:rPr>
      </w:pPr>
      <w:r>
        <w:rPr>
          <w:rFonts w:hint="eastAsia"/>
          <w:sz w:val="30"/>
          <w:szCs w:val="30"/>
        </w:rPr>
        <w:t>Let not your heart be troubled: Believe in God, believe also in Me.</w:t>
      </w:r>
    </w:p>
    <w:p w14:paraId="3D5F7AC6">
      <w:pPr>
        <w:pStyle w:val="9"/>
        <w:spacing w:before="10"/>
        <w:ind w:left="0"/>
        <w:jc w:val="left"/>
        <w:rPr>
          <w:rFonts w:hint="eastAsia"/>
          <w:sz w:val="30"/>
          <w:szCs w:val="30"/>
        </w:rPr>
      </w:pPr>
    </w:p>
    <w:p w14:paraId="082B5DA8">
      <w:pPr>
        <w:pStyle w:val="9"/>
        <w:spacing w:before="10"/>
        <w:ind w:left="0"/>
        <w:jc w:val="left"/>
        <w:rPr>
          <w:rFonts w:hint="eastAsia"/>
          <w:sz w:val="30"/>
          <w:szCs w:val="30"/>
        </w:rPr>
      </w:pPr>
      <w:r>
        <w:rPr>
          <w:rFonts w:hint="eastAsia"/>
          <w:sz w:val="30"/>
          <w:szCs w:val="30"/>
        </w:rPr>
        <w:t>你们心里不要忧愁：你们信神，也当信我。</w:t>
      </w:r>
    </w:p>
    <w:p w14:paraId="7ABE44A0">
      <w:pPr>
        <w:pStyle w:val="9"/>
        <w:spacing w:before="10"/>
        <w:ind w:left="0"/>
        <w:jc w:val="left"/>
        <w:rPr>
          <w:rFonts w:hint="eastAsia"/>
          <w:sz w:val="30"/>
          <w:szCs w:val="30"/>
        </w:rPr>
      </w:pPr>
    </w:p>
    <w:p w14:paraId="1B95FB38">
      <w:pPr>
        <w:pStyle w:val="9"/>
        <w:spacing w:before="10"/>
        <w:ind w:left="0"/>
        <w:jc w:val="left"/>
        <w:rPr>
          <w:rFonts w:hint="eastAsia"/>
          <w:sz w:val="30"/>
          <w:szCs w:val="30"/>
        </w:rPr>
      </w:pPr>
      <w:r>
        <w:rPr>
          <w:rFonts w:hint="eastAsia"/>
          <w:sz w:val="30"/>
          <w:szCs w:val="30"/>
        </w:rPr>
        <w:t>In My Father’s house there are many dwelling places.</w:t>
      </w:r>
    </w:p>
    <w:p w14:paraId="3E7D36FA">
      <w:pPr>
        <w:pStyle w:val="9"/>
        <w:spacing w:before="10"/>
        <w:ind w:left="0"/>
        <w:jc w:val="left"/>
        <w:rPr>
          <w:rFonts w:hint="eastAsia"/>
          <w:sz w:val="30"/>
          <w:szCs w:val="30"/>
        </w:rPr>
      </w:pPr>
    </w:p>
    <w:p w14:paraId="2D5B90C9">
      <w:pPr>
        <w:pStyle w:val="9"/>
        <w:spacing w:before="10"/>
        <w:ind w:left="0"/>
        <w:jc w:val="left"/>
        <w:rPr>
          <w:rFonts w:hint="eastAsia"/>
          <w:sz w:val="30"/>
          <w:szCs w:val="30"/>
        </w:rPr>
      </w:pPr>
      <w:r>
        <w:rPr>
          <w:rFonts w:hint="eastAsia"/>
          <w:sz w:val="30"/>
          <w:szCs w:val="30"/>
        </w:rPr>
        <w:t>在我父的家里有许多住处。</w:t>
      </w:r>
    </w:p>
    <w:p w14:paraId="58599323">
      <w:pPr>
        <w:pStyle w:val="9"/>
        <w:spacing w:before="10"/>
        <w:ind w:left="0"/>
        <w:jc w:val="left"/>
        <w:rPr>
          <w:rFonts w:hint="eastAsia"/>
          <w:sz w:val="30"/>
          <w:szCs w:val="30"/>
        </w:rPr>
      </w:pPr>
    </w:p>
    <w:p w14:paraId="7DD84601">
      <w:pPr>
        <w:pStyle w:val="9"/>
        <w:spacing w:before="10"/>
        <w:ind w:left="0"/>
        <w:jc w:val="left"/>
        <w:rPr>
          <w:rFonts w:hint="eastAsia"/>
          <w:sz w:val="30"/>
          <w:szCs w:val="30"/>
        </w:rPr>
      </w:pPr>
      <w:r>
        <w:rPr>
          <w:rFonts w:hint="eastAsia"/>
          <w:sz w:val="30"/>
          <w:szCs w:val="30"/>
        </w:rPr>
        <w:t>If it were not so, would I have told you that I go to prepare a place for you?</w:t>
      </w:r>
    </w:p>
    <w:p w14:paraId="0A04BB48">
      <w:pPr>
        <w:pStyle w:val="9"/>
        <w:spacing w:before="10"/>
        <w:ind w:left="0"/>
        <w:jc w:val="left"/>
        <w:rPr>
          <w:rFonts w:hint="eastAsia"/>
          <w:sz w:val="30"/>
          <w:szCs w:val="30"/>
        </w:rPr>
      </w:pPr>
    </w:p>
    <w:p w14:paraId="0F5A8B8C">
      <w:pPr>
        <w:pStyle w:val="9"/>
        <w:spacing w:before="10"/>
        <w:ind w:left="0"/>
        <w:jc w:val="left"/>
        <w:rPr>
          <w:rFonts w:hint="eastAsia"/>
          <w:sz w:val="30"/>
          <w:szCs w:val="30"/>
        </w:rPr>
      </w:pPr>
      <w:r>
        <w:rPr>
          <w:rFonts w:hint="eastAsia"/>
          <w:sz w:val="30"/>
          <w:szCs w:val="30"/>
        </w:rPr>
        <w:t>若是没有，我岂会告诉你们，我去是为你们预备地方去吗？</w:t>
      </w:r>
    </w:p>
    <w:p w14:paraId="3116A1C1">
      <w:pPr>
        <w:pStyle w:val="9"/>
        <w:spacing w:before="10"/>
        <w:ind w:left="0"/>
        <w:jc w:val="left"/>
        <w:rPr>
          <w:rFonts w:hint="eastAsia"/>
          <w:sz w:val="30"/>
          <w:szCs w:val="30"/>
        </w:rPr>
      </w:pPr>
    </w:p>
    <w:p w14:paraId="5B0B7490">
      <w:pPr>
        <w:pStyle w:val="9"/>
        <w:spacing w:before="10"/>
        <w:ind w:left="0"/>
        <w:jc w:val="left"/>
        <w:rPr>
          <w:rFonts w:hint="eastAsia"/>
          <w:sz w:val="30"/>
          <w:szCs w:val="30"/>
        </w:rPr>
      </w:pPr>
      <w:r>
        <w:rPr>
          <w:rFonts w:hint="eastAsia"/>
          <w:sz w:val="30"/>
          <w:szCs w:val="30"/>
        </w:rPr>
        <w:t>And if I go and prepare a place for you, I will come again and receive you to Myself, that where I am there you may be also.</w:t>
      </w:r>
    </w:p>
    <w:p w14:paraId="6B99A034">
      <w:pPr>
        <w:pStyle w:val="9"/>
        <w:spacing w:before="10"/>
        <w:ind w:left="0"/>
        <w:jc w:val="left"/>
        <w:rPr>
          <w:rFonts w:hint="eastAsia"/>
          <w:sz w:val="30"/>
          <w:szCs w:val="30"/>
        </w:rPr>
      </w:pPr>
    </w:p>
    <w:p w14:paraId="21CBDBB9">
      <w:pPr>
        <w:pStyle w:val="9"/>
        <w:spacing w:before="10"/>
        <w:ind w:left="0"/>
        <w:jc w:val="left"/>
        <w:rPr>
          <w:rFonts w:hint="eastAsia"/>
          <w:sz w:val="30"/>
          <w:szCs w:val="30"/>
        </w:rPr>
      </w:pPr>
      <w:r>
        <w:rPr>
          <w:rFonts w:hint="eastAsia"/>
          <w:sz w:val="30"/>
          <w:szCs w:val="30"/>
        </w:rPr>
        <w:t>我若去为你们预备了地方，就必再来，接你们到我那里去，叫我在哪里，你们也在哪里。</w:t>
      </w:r>
    </w:p>
    <w:p w14:paraId="06319903">
      <w:pPr>
        <w:pStyle w:val="9"/>
        <w:spacing w:before="10"/>
        <w:ind w:left="0"/>
        <w:jc w:val="left"/>
        <w:rPr>
          <w:rFonts w:hint="eastAsia"/>
          <w:sz w:val="30"/>
          <w:szCs w:val="30"/>
        </w:rPr>
      </w:pPr>
    </w:p>
    <w:p w14:paraId="33876615">
      <w:pPr>
        <w:pStyle w:val="9"/>
        <w:spacing w:before="10"/>
        <w:ind w:left="0"/>
        <w:jc w:val="left"/>
        <w:rPr>
          <w:rFonts w:hint="eastAsia"/>
          <w:sz w:val="30"/>
          <w:szCs w:val="30"/>
        </w:rPr>
      </w:pPr>
      <w:r>
        <w:rPr>
          <w:rFonts w:hint="eastAsia"/>
          <w:sz w:val="30"/>
          <w:szCs w:val="30"/>
        </w:rPr>
        <w:t>—John 14:1-3</w:t>
      </w:r>
    </w:p>
    <w:p w14:paraId="21CC2357">
      <w:pPr>
        <w:pStyle w:val="9"/>
        <w:spacing w:before="10"/>
        <w:ind w:left="0"/>
        <w:jc w:val="left"/>
        <w:rPr>
          <w:rFonts w:hint="eastAsia"/>
          <w:sz w:val="30"/>
          <w:szCs w:val="30"/>
        </w:rPr>
      </w:pPr>
    </w:p>
    <w:p w14:paraId="37474E8A">
      <w:pPr>
        <w:pStyle w:val="9"/>
        <w:spacing w:before="10"/>
        <w:ind w:left="0"/>
        <w:jc w:val="left"/>
        <w:rPr>
          <w:rFonts w:hint="eastAsia"/>
          <w:sz w:val="30"/>
          <w:szCs w:val="30"/>
        </w:rPr>
      </w:pPr>
      <w:r>
        <w:rPr>
          <w:rFonts w:hint="eastAsia"/>
          <w:sz w:val="30"/>
          <w:szCs w:val="30"/>
        </w:rPr>
        <w:t>——约翰福音 14:1-3</w:t>
      </w:r>
    </w:p>
    <w:p w14:paraId="7D7A1C97">
      <w:pPr>
        <w:pStyle w:val="9"/>
        <w:spacing w:before="10"/>
        <w:ind w:left="0"/>
        <w:jc w:val="left"/>
        <w:rPr>
          <w:rFonts w:hint="eastAsia"/>
          <w:sz w:val="30"/>
          <w:szCs w:val="30"/>
        </w:rPr>
      </w:pPr>
    </w:p>
    <w:p w14:paraId="53B8228E">
      <w:pPr>
        <w:pStyle w:val="9"/>
        <w:spacing w:before="10"/>
        <w:ind w:left="0"/>
        <w:jc w:val="left"/>
        <w:rPr>
          <w:rFonts w:hint="eastAsia"/>
          <w:sz w:val="30"/>
          <w:szCs w:val="30"/>
        </w:rPr>
      </w:pPr>
      <w:r>
        <w:rPr>
          <w:rFonts w:hint="eastAsia"/>
          <w:sz w:val="30"/>
          <w:szCs w:val="30"/>
        </w:rPr>
        <w:t>These are the words of the heavenly Bridegroom to his earthly Betrothed.</w:t>
      </w:r>
    </w:p>
    <w:p w14:paraId="4B5604B6">
      <w:pPr>
        <w:pStyle w:val="9"/>
        <w:spacing w:before="10"/>
        <w:ind w:left="0"/>
        <w:jc w:val="left"/>
        <w:rPr>
          <w:rFonts w:hint="eastAsia"/>
          <w:sz w:val="30"/>
          <w:szCs w:val="30"/>
        </w:rPr>
      </w:pPr>
    </w:p>
    <w:p w14:paraId="032CC6B3">
      <w:pPr>
        <w:pStyle w:val="9"/>
        <w:spacing w:before="10"/>
        <w:ind w:left="0"/>
        <w:jc w:val="left"/>
        <w:rPr>
          <w:rFonts w:hint="eastAsia"/>
          <w:sz w:val="30"/>
          <w:szCs w:val="30"/>
        </w:rPr>
      </w:pPr>
      <w:r>
        <w:rPr>
          <w:rFonts w:hint="eastAsia"/>
          <w:sz w:val="30"/>
          <w:szCs w:val="30"/>
        </w:rPr>
        <w:t>这些话是属天的的新郎对祂在地上已订婚的新妇所说的。</w:t>
      </w:r>
    </w:p>
    <w:p w14:paraId="7451C5CD">
      <w:pPr>
        <w:pStyle w:val="9"/>
        <w:spacing w:before="10"/>
        <w:ind w:left="0"/>
        <w:jc w:val="left"/>
        <w:rPr>
          <w:rFonts w:hint="eastAsia"/>
          <w:sz w:val="30"/>
          <w:szCs w:val="30"/>
        </w:rPr>
      </w:pPr>
    </w:p>
    <w:p w14:paraId="152B4A5C">
      <w:pPr>
        <w:pStyle w:val="9"/>
        <w:spacing w:before="10"/>
        <w:ind w:left="0"/>
        <w:jc w:val="left"/>
        <w:rPr>
          <w:rFonts w:hint="eastAsia"/>
          <w:sz w:val="30"/>
          <w:szCs w:val="30"/>
        </w:rPr>
      </w:pPr>
      <w:r>
        <w:rPr>
          <w:rFonts w:hint="eastAsia"/>
          <w:sz w:val="30"/>
          <w:szCs w:val="30"/>
        </w:rPr>
        <w:t>In the manner of all young Jewish men, he must briefly leave her behind in order to prepare a place for her on his Father’s estate.</w:t>
      </w:r>
    </w:p>
    <w:p w14:paraId="5A9F621E">
      <w:pPr>
        <w:pStyle w:val="9"/>
        <w:spacing w:before="10"/>
        <w:ind w:left="0"/>
        <w:jc w:val="left"/>
        <w:rPr>
          <w:rFonts w:hint="eastAsia"/>
          <w:sz w:val="30"/>
          <w:szCs w:val="30"/>
        </w:rPr>
      </w:pPr>
    </w:p>
    <w:p w14:paraId="333AC156">
      <w:pPr>
        <w:pStyle w:val="9"/>
        <w:spacing w:before="10"/>
        <w:ind w:left="0"/>
        <w:jc w:val="left"/>
        <w:rPr>
          <w:rFonts w:hint="eastAsia"/>
          <w:sz w:val="30"/>
          <w:szCs w:val="30"/>
        </w:rPr>
      </w:pPr>
      <w:r>
        <w:rPr>
          <w:rFonts w:hint="eastAsia"/>
          <w:sz w:val="30"/>
          <w:szCs w:val="30"/>
        </w:rPr>
        <w:t>如同所有年轻的犹太男子一样，祂必须暂时离开她，好在祂父的产业上为她预备一个地方。</w:t>
      </w:r>
    </w:p>
    <w:p w14:paraId="7F49E07D">
      <w:pPr>
        <w:pStyle w:val="9"/>
        <w:spacing w:before="10"/>
        <w:ind w:left="0"/>
        <w:jc w:val="left"/>
        <w:rPr>
          <w:rFonts w:hint="eastAsia"/>
          <w:sz w:val="30"/>
          <w:szCs w:val="30"/>
        </w:rPr>
      </w:pPr>
    </w:p>
    <w:p w14:paraId="055C00E7">
      <w:pPr>
        <w:pStyle w:val="9"/>
        <w:spacing w:before="10"/>
        <w:ind w:left="0"/>
        <w:jc w:val="left"/>
        <w:rPr>
          <w:rFonts w:hint="eastAsia"/>
          <w:sz w:val="30"/>
          <w:szCs w:val="30"/>
        </w:rPr>
      </w:pPr>
      <w:r>
        <w:rPr>
          <w:rFonts w:hint="eastAsia"/>
          <w:sz w:val="30"/>
          <w:szCs w:val="30"/>
        </w:rPr>
        <w:t>Nevertheless, in just a little while he will return, receive her to himself, proudly escort her to her new home, consummate the marriage covenant with unspeakable delight, and ever after live together with her there in the infinite fruitfulness of their mutual love.</w:t>
      </w:r>
    </w:p>
    <w:p w14:paraId="0169B26A">
      <w:pPr>
        <w:pStyle w:val="9"/>
        <w:spacing w:before="10"/>
        <w:ind w:left="0"/>
        <w:jc w:val="left"/>
        <w:rPr>
          <w:rFonts w:hint="eastAsia"/>
          <w:sz w:val="30"/>
          <w:szCs w:val="30"/>
        </w:rPr>
      </w:pPr>
    </w:p>
    <w:p w14:paraId="34582991">
      <w:pPr>
        <w:pStyle w:val="9"/>
        <w:spacing w:before="10"/>
        <w:ind w:left="0"/>
        <w:jc w:val="left"/>
        <w:rPr>
          <w:rFonts w:hint="eastAsia"/>
          <w:sz w:val="30"/>
          <w:szCs w:val="30"/>
        </w:rPr>
      </w:pPr>
      <w:r>
        <w:rPr>
          <w:rFonts w:hint="eastAsia"/>
          <w:sz w:val="30"/>
          <w:szCs w:val="30"/>
        </w:rPr>
        <w:t>然而，再过片时，祂将要回来，把她接到祂自己那里，自豪地护送她到她的新家，以难以言喻的喜乐成全婚约，此后便与她一同住在那里，活在他们彼此相爱的无限丰盛之中。</w:t>
      </w:r>
    </w:p>
    <w:p w14:paraId="16A725A0">
      <w:pPr>
        <w:pStyle w:val="9"/>
        <w:spacing w:before="10"/>
        <w:ind w:left="0"/>
        <w:jc w:val="left"/>
        <w:rPr>
          <w:rFonts w:hint="eastAsia"/>
          <w:sz w:val="30"/>
          <w:szCs w:val="30"/>
        </w:rPr>
      </w:pPr>
    </w:p>
    <w:p w14:paraId="4897435A">
      <w:pPr>
        <w:pStyle w:val="9"/>
        <w:spacing w:before="10"/>
        <w:ind w:left="0"/>
        <w:jc w:val="left"/>
        <w:rPr>
          <w:rFonts w:hint="eastAsia"/>
          <w:sz w:val="30"/>
          <w:szCs w:val="30"/>
        </w:rPr>
      </w:pPr>
      <w:r>
        <w:rPr>
          <w:rFonts w:hint="eastAsia"/>
          <w:sz w:val="30"/>
          <w:szCs w:val="30"/>
        </w:rPr>
        <w:t>Thus did the Lord Jesus Christ give his disciples—all of his disciples—the gift of hope.</w:t>
      </w:r>
    </w:p>
    <w:p w14:paraId="257861C7">
      <w:pPr>
        <w:pStyle w:val="9"/>
        <w:spacing w:before="10"/>
        <w:ind w:left="0"/>
        <w:jc w:val="left"/>
        <w:rPr>
          <w:rFonts w:hint="eastAsia"/>
          <w:sz w:val="30"/>
          <w:szCs w:val="30"/>
        </w:rPr>
      </w:pPr>
    </w:p>
    <w:p w14:paraId="616EDB99">
      <w:pPr>
        <w:pStyle w:val="9"/>
        <w:spacing w:before="10"/>
        <w:ind w:left="0"/>
        <w:jc w:val="left"/>
        <w:rPr>
          <w:rFonts w:hint="eastAsia"/>
          <w:sz w:val="30"/>
          <w:szCs w:val="30"/>
        </w:rPr>
      </w:pPr>
      <w:r>
        <w:rPr>
          <w:rFonts w:hint="eastAsia"/>
          <w:sz w:val="30"/>
          <w:szCs w:val="30"/>
        </w:rPr>
        <w:t>主耶稣基督就这样将盼望的恩赐给了祂的门徒——祂所有的门徒。</w:t>
      </w:r>
    </w:p>
    <w:p w14:paraId="0A68A3EB">
      <w:pPr>
        <w:pStyle w:val="9"/>
        <w:spacing w:before="10"/>
        <w:ind w:left="0"/>
        <w:jc w:val="left"/>
        <w:rPr>
          <w:rFonts w:hint="eastAsia"/>
          <w:sz w:val="30"/>
          <w:szCs w:val="30"/>
        </w:rPr>
      </w:pPr>
    </w:p>
    <w:p w14:paraId="198BCF4A">
      <w:pPr>
        <w:pStyle w:val="9"/>
        <w:spacing w:before="10"/>
        <w:ind w:left="0"/>
        <w:jc w:val="left"/>
        <w:rPr>
          <w:rFonts w:hint="eastAsia"/>
          <w:sz w:val="30"/>
          <w:szCs w:val="30"/>
        </w:rPr>
      </w:pPr>
      <w:r>
        <w:rPr>
          <w:rFonts w:hint="eastAsia"/>
          <w:sz w:val="30"/>
          <w:szCs w:val="30"/>
        </w:rPr>
        <w:t>A Blessed Hope</w:t>
      </w:r>
    </w:p>
    <w:p w14:paraId="15741AB9">
      <w:pPr>
        <w:pStyle w:val="9"/>
        <w:spacing w:before="10"/>
        <w:ind w:left="0"/>
        <w:jc w:val="left"/>
        <w:rPr>
          <w:rFonts w:hint="eastAsia"/>
          <w:sz w:val="30"/>
          <w:szCs w:val="30"/>
        </w:rPr>
      </w:pPr>
    </w:p>
    <w:p w14:paraId="38B97822">
      <w:pPr>
        <w:pStyle w:val="9"/>
        <w:spacing w:before="10"/>
        <w:ind w:left="0"/>
        <w:jc w:val="left"/>
        <w:rPr>
          <w:rFonts w:hint="eastAsia"/>
          <w:sz w:val="30"/>
          <w:szCs w:val="30"/>
        </w:rPr>
      </w:pPr>
      <w:r>
        <w:rPr>
          <w:rFonts w:hint="eastAsia"/>
          <w:sz w:val="30"/>
          <w:szCs w:val="30"/>
        </w:rPr>
        <w:t>一个有福的盼望</w:t>
      </w:r>
    </w:p>
    <w:p w14:paraId="0B717D48">
      <w:pPr>
        <w:pStyle w:val="9"/>
        <w:spacing w:before="10"/>
        <w:ind w:left="0"/>
        <w:jc w:val="left"/>
        <w:rPr>
          <w:rFonts w:hint="eastAsia"/>
          <w:sz w:val="30"/>
          <w:szCs w:val="30"/>
        </w:rPr>
      </w:pPr>
    </w:p>
    <w:p w14:paraId="164D2B97">
      <w:pPr>
        <w:pStyle w:val="9"/>
        <w:spacing w:before="10"/>
        <w:ind w:left="0"/>
        <w:jc w:val="left"/>
        <w:rPr>
          <w:rFonts w:hint="eastAsia"/>
          <w:sz w:val="30"/>
          <w:szCs w:val="30"/>
        </w:rPr>
      </w:pPr>
      <w:r>
        <w:rPr>
          <w:rFonts w:hint="eastAsia"/>
          <w:sz w:val="30"/>
          <w:szCs w:val="30"/>
        </w:rPr>
        <w:t>The promise of Christ’s coming again is no ordinary hope.</w:t>
      </w:r>
    </w:p>
    <w:p w14:paraId="611B1A8E">
      <w:pPr>
        <w:pStyle w:val="9"/>
        <w:spacing w:before="10"/>
        <w:ind w:left="0"/>
        <w:jc w:val="left"/>
        <w:rPr>
          <w:rFonts w:hint="eastAsia"/>
          <w:sz w:val="30"/>
          <w:szCs w:val="30"/>
        </w:rPr>
      </w:pPr>
    </w:p>
    <w:p w14:paraId="4B691D21">
      <w:pPr>
        <w:pStyle w:val="9"/>
        <w:spacing w:before="10"/>
        <w:ind w:left="0"/>
        <w:jc w:val="left"/>
        <w:rPr>
          <w:rFonts w:hint="eastAsia"/>
          <w:sz w:val="30"/>
          <w:szCs w:val="30"/>
        </w:rPr>
      </w:pPr>
      <w:r>
        <w:rPr>
          <w:rFonts w:hint="eastAsia"/>
          <w:sz w:val="30"/>
          <w:szCs w:val="30"/>
        </w:rPr>
        <w:t>基督再来的应许并非寻常的盼望。</w:t>
      </w:r>
    </w:p>
    <w:p w14:paraId="413A9496">
      <w:pPr>
        <w:pStyle w:val="9"/>
        <w:spacing w:before="10"/>
        <w:ind w:left="0"/>
        <w:jc w:val="left"/>
        <w:rPr>
          <w:rFonts w:hint="eastAsia"/>
          <w:sz w:val="30"/>
          <w:szCs w:val="30"/>
        </w:rPr>
      </w:pPr>
    </w:p>
    <w:p w14:paraId="06BCE64E">
      <w:pPr>
        <w:pStyle w:val="9"/>
        <w:spacing w:before="10"/>
        <w:ind w:left="0"/>
        <w:jc w:val="left"/>
        <w:rPr>
          <w:rFonts w:hint="eastAsia"/>
          <w:sz w:val="30"/>
          <w:szCs w:val="30"/>
        </w:rPr>
      </w:pPr>
      <w:r>
        <w:rPr>
          <w:rFonts w:hint="eastAsia"/>
          <w:sz w:val="30"/>
          <w:szCs w:val="30"/>
        </w:rPr>
        <w:t>His people do not hope for it as they hope for sunshine on the day of the picnic, or for the home team to win the World Series.</w:t>
      </w:r>
    </w:p>
    <w:p w14:paraId="1ADD12B7">
      <w:pPr>
        <w:pStyle w:val="9"/>
        <w:spacing w:before="10"/>
        <w:ind w:left="0"/>
        <w:jc w:val="left"/>
        <w:rPr>
          <w:rFonts w:hint="eastAsia"/>
          <w:sz w:val="30"/>
          <w:szCs w:val="30"/>
        </w:rPr>
      </w:pPr>
    </w:p>
    <w:p w14:paraId="35DDD2C6">
      <w:pPr>
        <w:pStyle w:val="9"/>
        <w:spacing w:before="10"/>
        <w:ind w:left="0"/>
        <w:jc w:val="left"/>
        <w:rPr>
          <w:rFonts w:hint="eastAsia"/>
          <w:sz w:val="30"/>
          <w:szCs w:val="30"/>
        </w:rPr>
      </w:pPr>
      <w:r>
        <w:rPr>
          <w:rFonts w:hint="eastAsia"/>
          <w:sz w:val="30"/>
          <w:szCs w:val="30"/>
        </w:rPr>
        <w:t>祂的子民盼望此事，不像盼望野餐那日阳光普照，或盼望主队赢得世界大赛。</w:t>
      </w:r>
    </w:p>
    <w:p w14:paraId="352F08B0">
      <w:pPr>
        <w:pStyle w:val="9"/>
        <w:spacing w:before="10"/>
        <w:ind w:left="0"/>
        <w:jc w:val="left"/>
        <w:rPr>
          <w:rFonts w:hint="eastAsia"/>
          <w:sz w:val="30"/>
          <w:szCs w:val="30"/>
        </w:rPr>
      </w:pPr>
    </w:p>
    <w:p w14:paraId="50151FC7">
      <w:pPr>
        <w:pStyle w:val="9"/>
        <w:spacing w:before="10"/>
        <w:ind w:left="0"/>
        <w:jc w:val="left"/>
        <w:rPr>
          <w:rFonts w:hint="eastAsia"/>
          <w:sz w:val="30"/>
          <w:szCs w:val="30"/>
        </w:rPr>
      </w:pPr>
      <w:r>
        <w:rPr>
          <w:rFonts w:hint="eastAsia"/>
          <w:sz w:val="30"/>
          <w:szCs w:val="30"/>
        </w:rPr>
        <w:t>No, they are actually quite certain of their Lord’s return.</w:t>
      </w:r>
    </w:p>
    <w:p w14:paraId="6DE18207">
      <w:pPr>
        <w:pStyle w:val="9"/>
        <w:spacing w:before="10"/>
        <w:ind w:left="0"/>
        <w:jc w:val="left"/>
        <w:rPr>
          <w:rFonts w:hint="eastAsia"/>
          <w:sz w:val="30"/>
          <w:szCs w:val="30"/>
        </w:rPr>
      </w:pPr>
    </w:p>
    <w:p w14:paraId="3859EB01">
      <w:pPr>
        <w:pStyle w:val="9"/>
        <w:spacing w:before="10"/>
        <w:ind w:left="0"/>
        <w:jc w:val="left"/>
        <w:rPr>
          <w:rFonts w:hint="eastAsia"/>
          <w:sz w:val="30"/>
          <w:szCs w:val="30"/>
        </w:rPr>
      </w:pPr>
      <w:r>
        <w:rPr>
          <w:rFonts w:hint="eastAsia"/>
          <w:sz w:val="30"/>
          <w:szCs w:val="30"/>
        </w:rPr>
        <w:t>不，他们实际上对他们主的再来是确信不疑的。</w:t>
      </w:r>
    </w:p>
    <w:p w14:paraId="00EE5239">
      <w:pPr>
        <w:pStyle w:val="9"/>
        <w:spacing w:before="10"/>
        <w:ind w:left="0"/>
        <w:jc w:val="left"/>
        <w:rPr>
          <w:rFonts w:hint="eastAsia"/>
          <w:sz w:val="30"/>
          <w:szCs w:val="30"/>
        </w:rPr>
      </w:pPr>
    </w:p>
    <w:p w14:paraId="15D9E14A">
      <w:pPr>
        <w:pStyle w:val="9"/>
        <w:spacing w:before="10"/>
        <w:ind w:left="0"/>
        <w:jc w:val="left"/>
        <w:rPr>
          <w:rFonts w:hint="eastAsia"/>
          <w:sz w:val="30"/>
          <w:szCs w:val="30"/>
        </w:rPr>
      </w:pPr>
      <w:r>
        <w:rPr>
          <w:rFonts w:hint="eastAsia"/>
          <w:sz w:val="30"/>
          <w:szCs w:val="30"/>
        </w:rPr>
        <w:t>When the Spirit entered their heart, they were united —through repentance and faith—with the ascended Christ.</w:t>
      </w:r>
    </w:p>
    <w:p w14:paraId="14365ABF">
      <w:pPr>
        <w:pStyle w:val="9"/>
        <w:spacing w:before="10"/>
        <w:ind w:left="0"/>
        <w:jc w:val="left"/>
        <w:rPr>
          <w:rFonts w:hint="eastAsia"/>
          <w:sz w:val="30"/>
          <w:szCs w:val="30"/>
        </w:rPr>
      </w:pPr>
    </w:p>
    <w:p w14:paraId="5705F00D">
      <w:pPr>
        <w:pStyle w:val="9"/>
        <w:spacing w:before="10"/>
        <w:ind w:left="0"/>
        <w:jc w:val="left"/>
        <w:rPr>
          <w:rFonts w:hint="eastAsia"/>
          <w:sz w:val="30"/>
          <w:szCs w:val="30"/>
        </w:rPr>
      </w:pPr>
      <w:r>
        <w:rPr>
          <w:rFonts w:hint="eastAsia"/>
          <w:sz w:val="30"/>
          <w:szCs w:val="30"/>
        </w:rPr>
        <w:t>当圣灵进入他们的心，他们便——借着悔改和信心——与升天的基督联合了。</w:t>
      </w:r>
    </w:p>
    <w:p w14:paraId="7C5F2BA3">
      <w:pPr>
        <w:pStyle w:val="9"/>
        <w:spacing w:before="10"/>
        <w:ind w:left="0"/>
        <w:jc w:val="left"/>
        <w:rPr>
          <w:rFonts w:hint="eastAsia"/>
          <w:sz w:val="30"/>
          <w:szCs w:val="30"/>
        </w:rPr>
      </w:pPr>
    </w:p>
    <w:p w14:paraId="4CE11BCC">
      <w:pPr>
        <w:pStyle w:val="9"/>
        <w:spacing w:before="10"/>
        <w:ind w:left="0"/>
        <w:jc w:val="left"/>
        <w:rPr>
          <w:rFonts w:hint="eastAsia"/>
          <w:sz w:val="30"/>
          <w:szCs w:val="30"/>
        </w:rPr>
      </w:pPr>
      <w:r>
        <w:rPr>
          <w:rFonts w:hint="eastAsia"/>
          <w:sz w:val="30"/>
          <w:szCs w:val="30"/>
        </w:rPr>
        <w:t>Being thus united, they were seated with him in heavenly places (Eph. 2:6).</w:t>
      </w:r>
    </w:p>
    <w:p w14:paraId="5C1CE810">
      <w:pPr>
        <w:pStyle w:val="9"/>
        <w:spacing w:before="10"/>
        <w:ind w:left="0"/>
        <w:jc w:val="left"/>
        <w:rPr>
          <w:rFonts w:hint="eastAsia"/>
          <w:sz w:val="30"/>
          <w:szCs w:val="30"/>
        </w:rPr>
      </w:pPr>
    </w:p>
    <w:p w14:paraId="78794544">
      <w:pPr>
        <w:pStyle w:val="9"/>
        <w:spacing w:before="10"/>
        <w:ind w:left="0"/>
        <w:jc w:val="left"/>
        <w:rPr>
          <w:rFonts w:hint="eastAsia"/>
          <w:sz w:val="30"/>
          <w:szCs w:val="30"/>
        </w:rPr>
      </w:pPr>
      <w:r>
        <w:rPr>
          <w:rFonts w:hint="eastAsia"/>
          <w:sz w:val="30"/>
          <w:szCs w:val="30"/>
        </w:rPr>
        <w:t>如此联合，他们便与祂一同坐在天上（弗 2:6）。</w:t>
      </w:r>
    </w:p>
    <w:p w14:paraId="44ACF827">
      <w:pPr>
        <w:pStyle w:val="9"/>
        <w:spacing w:before="10"/>
        <w:ind w:left="0"/>
        <w:jc w:val="left"/>
        <w:rPr>
          <w:rFonts w:hint="eastAsia"/>
          <w:sz w:val="30"/>
          <w:szCs w:val="30"/>
        </w:rPr>
      </w:pPr>
    </w:p>
    <w:p w14:paraId="41DC1B6E">
      <w:pPr>
        <w:pStyle w:val="9"/>
        <w:spacing w:before="10"/>
        <w:ind w:left="0"/>
        <w:jc w:val="left"/>
        <w:rPr>
          <w:rFonts w:hint="eastAsia"/>
          <w:sz w:val="30"/>
          <w:szCs w:val="30"/>
        </w:rPr>
      </w:pPr>
      <w:r>
        <w:rPr>
          <w:rFonts w:hint="eastAsia"/>
          <w:sz w:val="30"/>
          <w:szCs w:val="30"/>
        </w:rPr>
        <w:t>Being thus seated, they began to survey, through the lens of Scripture, God’s great plan for the ages; the character and course of Salvation History.</w:t>
      </w:r>
    </w:p>
    <w:p w14:paraId="73A501B9">
      <w:pPr>
        <w:pStyle w:val="9"/>
        <w:spacing w:before="10"/>
        <w:ind w:left="0"/>
        <w:jc w:val="left"/>
        <w:rPr>
          <w:rFonts w:hint="eastAsia"/>
          <w:sz w:val="30"/>
          <w:szCs w:val="30"/>
        </w:rPr>
      </w:pPr>
    </w:p>
    <w:p w14:paraId="455A3CF2">
      <w:pPr>
        <w:pStyle w:val="9"/>
        <w:spacing w:before="10"/>
        <w:ind w:left="0"/>
        <w:jc w:val="left"/>
        <w:rPr>
          <w:rFonts w:hint="eastAsia"/>
          <w:sz w:val="30"/>
          <w:szCs w:val="30"/>
        </w:rPr>
      </w:pPr>
      <w:r>
        <w:rPr>
          <w:rFonts w:hint="eastAsia"/>
          <w:sz w:val="30"/>
          <w:szCs w:val="30"/>
        </w:rPr>
        <w:t>如此坐定，他们便开始透过圣经的镜片，来审视神为万世所定的宏大计划，即救赎历史的特质与进程。</w:t>
      </w:r>
    </w:p>
    <w:p w14:paraId="39AED7EE">
      <w:pPr>
        <w:pStyle w:val="9"/>
        <w:spacing w:before="10"/>
        <w:ind w:left="0"/>
        <w:jc w:val="left"/>
        <w:rPr>
          <w:rFonts w:hint="eastAsia"/>
          <w:sz w:val="30"/>
          <w:szCs w:val="30"/>
        </w:rPr>
      </w:pPr>
    </w:p>
    <w:p w14:paraId="29E005F6">
      <w:pPr>
        <w:pStyle w:val="9"/>
        <w:spacing w:before="10"/>
        <w:ind w:left="0"/>
        <w:jc w:val="left"/>
        <w:rPr>
          <w:rFonts w:hint="eastAsia"/>
          <w:sz w:val="30"/>
          <w:szCs w:val="30"/>
        </w:rPr>
      </w:pPr>
      <w:r>
        <w:rPr>
          <w:rFonts w:hint="eastAsia"/>
          <w:sz w:val="30"/>
          <w:szCs w:val="30"/>
        </w:rPr>
        <w:t>And beholding this, they came to know—with absolute certainty—that as surely as their Lord had come to earth a first time to accomplish their redemption, so surely would he come again a second time to consummate it; to receive them, in glory, once and for all, to himself (John 16:13; Heb. 11:1, 7, 13; 1 Peter. 1:3-9).</w:t>
      </w:r>
    </w:p>
    <w:p w14:paraId="655C759A">
      <w:pPr>
        <w:pStyle w:val="9"/>
        <w:spacing w:before="10"/>
        <w:ind w:left="0"/>
        <w:jc w:val="left"/>
        <w:rPr>
          <w:rFonts w:hint="eastAsia"/>
          <w:sz w:val="30"/>
          <w:szCs w:val="30"/>
        </w:rPr>
      </w:pPr>
    </w:p>
    <w:p w14:paraId="12E3DF10">
      <w:pPr>
        <w:pStyle w:val="9"/>
        <w:spacing w:before="10"/>
        <w:ind w:left="0"/>
        <w:jc w:val="left"/>
        <w:rPr>
          <w:rFonts w:hint="eastAsia"/>
          <w:sz w:val="30"/>
          <w:szCs w:val="30"/>
        </w:rPr>
      </w:pPr>
      <w:r>
        <w:rPr>
          <w:rFonts w:hint="eastAsia"/>
          <w:sz w:val="30"/>
          <w:szCs w:val="30"/>
        </w:rPr>
        <w:t>并且，在看见这事之后，他们就——以绝对的确定性——知道了：他们的主既确确实实地第一次来到地上成就他们的救赎，祂也必确确实实地第二次再来，将其成全；即在荣耀中，一次而永远地，将他们接到祂自己那里（约 16:13; 来 11:1, 7, 13; 彼前 1:3-9）。</w:t>
      </w:r>
    </w:p>
    <w:p w14:paraId="043DFEB8">
      <w:pPr>
        <w:pStyle w:val="9"/>
        <w:spacing w:before="10"/>
        <w:ind w:left="0"/>
        <w:jc w:val="left"/>
        <w:rPr>
          <w:rFonts w:hint="eastAsia"/>
          <w:sz w:val="30"/>
          <w:szCs w:val="30"/>
        </w:rPr>
      </w:pPr>
    </w:p>
    <w:p w14:paraId="1F10CA91">
      <w:pPr>
        <w:pStyle w:val="9"/>
        <w:spacing w:before="10"/>
        <w:ind w:left="0"/>
        <w:jc w:val="left"/>
        <w:rPr>
          <w:rFonts w:hint="eastAsia"/>
          <w:sz w:val="30"/>
          <w:szCs w:val="30"/>
        </w:rPr>
      </w:pPr>
      <w:r>
        <w:rPr>
          <w:rFonts w:hint="eastAsia"/>
          <w:sz w:val="30"/>
          <w:szCs w:val="30"/>
        </w:rPr>
        <w:t>Having pondered it often—and written of it much—the Apostle Paul referred to the second coming of Christ as the Church’s Blessed Hope.</w:t>
      </w:r>
    </w:p>
    <w:p w14:paraId="625059CF">
      <w:pPr>
        <w:pStyle w:val="9"/>
        <w:spacing w:before="10"/>
        <w:ind w:left="0"/>
        <w:jc w:val="left"/>
        <w:rPr>
          <w:rFonts w:hint="eastAsia"/>
          <w:sz w:val="30"/>
          <w:szCs w:val="30"/>
        </w:rPr>
      </w:pPr>
    </w:p>
    <w:p w14:paraId="341E92FE">
      <w:pPr>
        <w:pStyle w:val="9"/>
        <w:spacing w:before="10"/>
        <w:ind w:left="0"/>
        <w:jc w:val="left"/>
        <w:rPr>
          <w:rFonts w:hint="eastAsia"/>
          <w:sz w:val="30"/>
          <w:szCs w:val="30"/>
        </w:rPr>
      </w:pPr>
      <w:r>
        <w:rPr>
          <w:rFonts w:hint="eastAsia"/>
          <w:sz w:val="30"/>
          <w:szCs w:val="30"/>
        </w:rPr>
        <w:t>使徒保罗常常思索此事——也多有论及——他将基督的第二次降临称为教会“有福的盼望”。</w:t>
      </w:r>
    </w:p>
    <w:p w14:paraId="1B9CA37C">
      <w:pPr>
        <w:pStyle w:val="9"/>
        <w:spacing w:before="10"/>
        <w:ind w:left="0"/>
        <w:jc w:val="left"/>
        <w:rPr>
          <w:rFonts w:hint="eastAsia"/>
          <w:sz w:val="30"/>
          <w:szCs w:val="30"/>
        </w:rPr>
      </w:pPr>
    </w:p>
    <w:p w14:paraId="04E7FFCD">
      <w:pPr>
        <w:pStyle w:val="9"/>
        <w:spacing w:before="10"/>
        <w:ind w:left="0"/>
        <w:jc w:val="left"/>
        <w:rPr>
          <w:rFonts w:hint="eastAsia"/>
          <w:sz w:val="30"/>
          <w:szCs w:val="30"/>
        </w:rPr>
      </w:pPr>
      <w:r>
        <w:rPr>
          <w:rFonts w:hint="eastAsia"/>
          <w:sz w:val="30"/>
          <w:szCs w:val="30"/>
        </w:rPr>
        <w:t>For the grace of God has appeared, bringing salvation to all men, instructing us to deny ungodliness and worldly desires, and to live sensibly, righteously, and godly in the present age, looking for the blessed hope, even the appearing of the glory of our great God and Savior, Christ Jesus; who gave himself for us that He might redeem us from every lawless deed and purify for Himself a people for His own possession, zealous for good works.</w:t>
      </w:r>
    </w:p>
    <w:p w14:paraId="02234AF4">
      <w:pPr>
        <w:pStyle w:val="9"/>
        <w:spacing w:before="10"/>
        <w:ind w:left="0"/>
        <w:jc w:val="left"/>
        <w:rPr>
          <w:rFonts w:hint="eastAsia"/>
          <w:sz w:val="30"/>
          <w:szCs w:val="30"/>
        </w:rPr>
      </w:pPr>
    </w:p>
    <w:p w14:paraId="5537A10B">
      <w:pPr>
        <w:pStyle w:val="9"/>
        <w:spacing w:before="10"/>
        <w:ind w:left="0"/>
        <w:jc w:val="left"/>
        <w:rPr>
          <w:rFonts w:hint="eastAsia"/>
          <w:sz w:val="30"/>
          <w:szCs w:val="30"/>
        </w:rPr>
      </w:pPr>
      <w:r>
        <w:rPr>
          <w:rFonts w:hint="eastAsia"/>
          <w:sz w:val="30"/>
          <w:szCs w:val="30"/>
        </w:rPr>
        <w:t>因为神救众人的恩典已经显明出来，教训我们除去不敬虔的心和世俗的情欲，在今世自守、公义、敬虔度日，等候所盼望的福，并等候至大的神和我们救主耶稣基督的荣耀显现；祂为我们舍了自己，要赎我们脱离一切罪恶，又洁净我们，特作自己的子民，热心为善。</w:t>
      </w:r>
    </w:p>
    <w:p w14:paraId="7E5AC614">
      <w:pPr>
        <w:pStyle w:val="9"/>
        <w:spacing w:before="10"/>
        <w:ind w:left="0"/>
        <w:jc w:val="left"/>
        <w:rPr>
          <w:rFonts w:hint="eastAsia"/>
          <w:sz w:val="30"/>
          <w:szCs w:val="30"/>
        </w:rPr>
      </w:pPr>
    </w:p>
    <w:p w14:paraId="0D17A293">
      <w:pPr>
        <w:pStyle w:val="9"/>
        <w:spacing w:before="10"/>
        <w:ind w:left="0"/>
        <w:jc w:val="left"/>
        <w:rPr>
          <w:rFonts w:hint="eastAsia"/>
          <w:sz w:val="30"/>
          <w:szCs w:val="30"/>
        </w:rPr>
      </w:pPr>
      <w:r>
        <w:rPr>
          <w:rFonts w:hint="eastAsia"/>
          <w:sz w:val="30"/>
          <w:szCs w:val="30"/>
        </w:rPr>
        <w:t>—Titus 2:11-14</w:t>
      </w:r>
    </w:p>
    <w:p w14:paraId="02CA8705">
      <w:pPr>
        <w:pStyle w:val="9"/>
        <w:spacing w:before="10"/>
        <w:ind w:left="0"/>
        <w:jc w:val="left"/>
        <w:rPr>
          <w:rFonts w:hint="eastAsia"/>
          <w:sz w:val="30"/>
          <w:szCs w:val="30"/>
        </w:rPr>
      </w:pPr>
    </w:p>
    <w:p w14:paraId="1C99459C">
      <w:pPr>
        <w:pStyle w:val="9"/>
        <w:spacing w:before="10"/>
        <w:ind w:left="0"/>
        <w:jc w:val="left"/>
        <w:rPr>
          <w:rFonts w:hint="eastAsia"/>
          <w:sz w:val="30"/>
          <w:szCs w:val="30"/>
        </w:rPr>
      </w:pPr>
      <w:r>
        <w:rPr>
          <w:rFonts w:hint="eastAsia"/>
          <w:sz w:val="30"/>
          <w:szCs w:val="30"/>
        </w:rPr>
        <w:t>——提多书 2:11-14</w:t>
      </w:r>
    </w:p>
    <w:p w14:paraId="3ADD13B1">
      <w:pPr>
        <w:pStyle w:val="9"/>
        <w:spacing w:before="10"/>
        <w:ind w:left="0"/>
        <w:jc w:val="left"/>
        <w:rPr>
          <w:rFonts w:hint="eastAsia"/>
          <w:sz w:val="30"/>
          <w:szCs w:val="30"/>
        </w:rPr>
      </w:pPr>
    </w:p>
    <w:p w14:paraId="3464A589">
      <w:pPr>
        <w:pStyle w:val="9"/>
        <w:spacing w:before="10"/>
        <w:ind w:left="0"/>
        <w:jc w:val="left"/>
        <w:rPr>
          <w:rFonts w:hint="eastAsia"/>
          <w:sz w:val="30"/>
          <w:szCs w:val="30"/>
        </w:rPr>
      </w:pPr>
      <w:r>
        <w:rPr>
          <w:rFonts w:hint="eastAsia"/>
          <w:sz w:val="30"/>
          <w:szCs w:val="30"/>
        </w:rPr>
        <w:t>In the journey before us, my goal is to plumb the Blessed Hope to its very depths.</w:t>
      </w:r>
    </w:p>
    <w:p w14:paraId="3F01552B">
      <w:pPr>
        <w:pStyle w:val="9"/>
        <w:spacing w:before="10"/>
        <w:ind w:left="0"/>
        <w:jc w:val="left"/>
        <w:rPr>
          <w:rFonts w:hint="eastAsia"/>
          <w:sz w:val="30"/>
          <w:szCs w:val="30"/>
        </w:rPr>
      </w:pPr>
    </w:p>
    <w:p w14:paraId="2463E950">
      <w:pPr>
        <w:pStyle w:val="9"/>
        <w:spacing w:before="10"/>
        <w:ind w:left="0"/>
        <w:jc w:val="left"/>
        <w:rPr>
          <w:rFonts w:hint="eastAsia"/>
          <w:sz w:val="30"/>
          <w:szCs w:val="30"/>
        </w:rPr>
      </w:pPr>
      <w:r>
        <w:rPr>
          <w:rFonts w:hint="eastAsia"/>
          <w:sz w:val="30"/>
          <w:szCs w:val="30"/>
        </w:rPr>
        <w:t>在我们前面的旅程中，我的目标是要将这“有福的盼望”探究到其最深之处。</w:t>
      </w:r>
    </w:p>
    <w:p w14:paraId="3036503F">
      <w:pPr>
        <w:pStyle w:val="9"/>
        <w:spacing w:before="10"/>
        <w:ind w:left="0"/>
        <w:jc w:val="left"/>
        <w:rPr>
          <w:rFonts w:hint="eastAsia"/>
          <w:sz w:val="30"/>
          <w:szCs w:val="30"/>
        </w:rPr>
      </w:pPr>
    </w:p>
    <w:p w14:paraId="2442EC66">
      <w:pPr>
        <w:pStyle w:val="9"/>
        <w:spacing w:before="10"/>
        <w:ind w:left="0"/>
        <w:jc w:val="left"/>
        <w:rPr>
          <w:rFonts w:hint="eastAsia"/>
          <w:sz w:val="30"/>
          <w:szCs w:val="30"/>
        </w:rPr>
      </w:pPr>
      <w:r>
        <w:rPr>
          <w:rFonts w:hint="eastAsia"/>
          <w:sz w:val="30"/>
          <w:szCs w:val="30"/>
        </w:rPr>
        <w:t>But before we embark, let us linger for a moment over the phrase itself.</w:t>
      </w:r>
    </w:p>
    <w:p w14:paraId="486E24AC">
      <w:pPr>
        <w:pStyle w:val="9"/>
        <w:spacing w:before="10"/>
        <w:ind w:left="0"/>
        <w:jc w:val="left"/>
        <w:rPr>
          <w:rFonts w:hint="eastAsia"/>
          <w:sz w:val="30"/>
          <w:szCs w:val="30"/>
        </w:rPr>
      </w:pPr>
    </w:p>
    <w:p w14:paraId="2C668D8D">
      <w:pPr>
        <w:pStyle w:val="9"/>
        <w:spacing w:before="10"/>
        <w:ind w:left="0"/>
        <w:jc w:val="left"/>
        <w:rPr>
          <w:rFonts w:hint="eastAsia"/>
          <w:sz w:val="30"/>
          <w:szCs w:val="30"/>
        </w:rPr>
      </w:pPr>
      <w:r>
        <w:rPr>
          <w:rFonts w:hint="eastAsia"/>
          <w:sz w:val="30"/>
          <w:szCs w:val="30"/>
        </w:rPr>
        <w:t>但在我们启程之前，让我们先在这句话本身上稍作停留。</w:t>
      </w:r>
    </w:p>
    <w:p w14:paraId="72E132A5">
      <w:pPr>
        <w:pStyle w:val="9"/>
        <w:spacing w:before="10"/>
        <w:ind w:left="0"/>
        <w:jc w:val="left"/>
        <w:rPr>
          <w:rFonts w:hint="eastAsia"/>
          <w:sz w:val="30"/>
          <w:szCs w:val="30"/>
        </w:rPr>
      </w:pPr>
    </w:p>
    <w:p w14:paraId="3ED2716C">
      <w:pPr>
        <w:pStyle w:val="9"/>
        <w:spacing w:before="10"/>
        <w:ind w:left="0"/>
        <w:jc w:val="left"/>
        <w:rPr>
          <w:rFonts w:hint="eastAsia"/>
          <w:sz w:val="30"/>
          <w:szCs w:val="30"/>
        </w:rPr>
      </w:pPr>
      <w:r>
        <w:rPr>
          <w:rFonts w:hint="eastAsia"/>
          <w:sz w:val="30"/>
          <w:szCs w:val="30"/>
        </w:rPr>
        <w:t>As for the word “hope,” we find throughout the NT that it means a confident expectation of future good, presently seen only by faith (Rom. 8:18-25, Heb. 11:1).</w:t>
      </w:r>
    </w:p>
    <w:p w14:paraId="311A4F9B">
      <w:pPr>
        <w:pStyle w:val="9"/>
        <w:spacing w:before="10"/>
        <w:ind w:left="0"/>
        <w:jc w:val="left"/>
        <w:rPr>
          <w:rFonts w:hint="eastAsia"/>
          <w:sz w:val="30"/>
          <w:szCs w:val="30"/>
        </w:rPr>
      </w:pPr>
    </w:p>
    <w:p w14:paraId="00106CEF">
      <w:pPr>
        <w:pStyle w:val="9"/>
        <w:spacing w:before="10"/>
        <w:ind w:left="0"/>
        <w:jc w:val="left"/>
        <w:rPr>
          <w:rFonts w:hint="eastAsia"/>
          <w:sz w:val="30"/>
          <w:szCs w:val="30"/>
        </w:rPr>
      </w:pPr>
      <w:r>
        <w:rPr>
          <w:rFonts w:hint="eastAsia"/>
          <w:sz w:val="30"/>
          <w:szCs w:val="30"/>
        </w:rPr>
        <w:t>至于“盼望”一词，我们在整本新约中发现，它的意思是对未来美善之事的确信的期待，而这美善之事目前只能凭信心看见（罗 8:18-25, 来 11:1）。</w:t>
      </w:r>
    </w:p>
    <w:p w14:paraId="59A271AA">
      <w:pPr>
        <w:pStyle w:val="9"/>
        <w:spacing w:before="10"/>
        <w:ind w:left="0"/>
        <w:jc w:val="left"/>
        <w:rPr>
          <w:rFonts w:hint="eastAsia"/>
          <w:sz w:val="30"/>
          <w:szCs w:val="30"/>
        </w:rPr>
      </w:pPr>
    </w:p>
    <w:p w14:paraId="3F92FACA">
      <w:pPr>
        <w:pStyle w:val="9"/>
        <w:spacing w:before="10"/>
        <w:ind w:left="0"/>
        <w:jc w:val="left"/>
        <w:rPr>
          <w:rFonts w:hint="eastAsia"/>
          <w:sz w:val="30"/>
          <w:szCs w:val="30"/>
        </w:rPr>
      </w:pPr>
      <w:r>
        <w:rPr>
          <w:rFonts w:hint="eastAsia"/>
          <w:sz w:val="30"/>
          <w:szCs w:val="30"/>
        </w:rPr>
        <w:t>Here, the believer’s confidence is rooted in an objective fact, namely, that the future good in store has been promised to them by an omnipotent, covenant-keeping God who is always true to his word.</w:t>
      </w:r>
    </w:p>
    <w:p w14:paraId="520D5337">
      <w:pPr>
        <w:pStyle w:val="9"/>
        <w:spacing w:before="10"/>
        <w:ind w:left="0"/>
        <w:jc w:val="left"/>
        <w:rPr>
          <w:rFonts w:hint="eastAsia"/>
          <w:sz w:val="30"/>
          <w:szCs w:val="30"/>
        </w:rPr>
      </w:pPr>
    </w:p>
    <w:p w14:paraId="4F195682">
      <w:pPr>
        <w:pStyle w:val="9"/>
        <w:spacing w:before="10"/>
        <w:ind w:left="0"/>
        <w:jc w:val="left"/>
        <w:rPr>
          <w:rFonts w:hint="eastAsia"/>
          <w:sz w:val="30"/>
          <w:szCs w:val="30"/>
        </w:rPr>
      </w:pPr>
      <w:r>
        <w:rPr>
          <w:rFonts w:hint="eastAsia"/>
          <w:sz w:val="30"/>
          <w:szCs w:val="30"/>
        </w:rPr>
        <w:t>在此，信徒的确信是根植于一个客观事实，即那为他们存留的未来美善之事，乃是一位全能、守约、且对自己话语永远信实的神所应许的。</w:t>
      </w:r>
    </w:p>
    <w:p w14:paraId="2AF4B49D">
      <w:pPr>
        <w:pStyle w:val="9"/>
        <w:spacing w:before="10"/>
        <w:ind w:left="0"/>
        <w:jc w:val="left"/>
        <w:rPr>
          <w:rFonts w:hint="eastAsia"/>
          <w:sz w:val="30"/>
          <w:szCs w:val="30"/>
        </w:rPr>
      </w:pPr>
    </w:p>
    <w:p w14:paraId="6DA9E143">
      <w:pPr>
        <w:pStyle w:val="9"/>
        <w:spacing w:before="10"/>
        <w:ind w:left="0"/>
        <w:jc w:val="left"/>
        <w:rPr>
          <w:rFonts w:hint="eastAsia"/>
          <w:sz w:val="30"/>
          <w:szCs w:val="30"/>
        </w:rPr>
      </w:pPr>
      <w:r>
        <w:rPr>
          <w:rFonts w:hint="eastAsia"/>
          <w:sz w:val="30"/>
          <w:szCs w:val="30"/>
        </w:rPr>
        <w:t>As the apostle Paul put it, the saints enjoy a hope of eternal life which God, who cannot lie, promised long ages ago; and which even now he has made manifest by sending Christ into the world with the good news of the Gospel (Titus 1:2-3, Heb. 6:17-20).</w:t>
      </w:r>
    </w:p>
    <w:p w14:paraId="285B72B3">
      <w:pPr>
        <w:pStyle w:val="9"/>
        <w:spacing w:before="10"/>
        <w:ind w:left="0"/>
        <w:jc w:val="left"/>
        <w:rPr>
          <w:rFonts w:hint="eastAsia"/>
          <w:sz w:val="30"/>
          <w:szCs w:val="30"/>
        </w:rPr>
      </w:pPr>
    </w:p>
    <w:p w14:paraId="1B4BC287">
      <w:pPr>
        <w:pStyle w:val="9"/>
        <w:spacing w:before="10"/>
        <w:ind w:left="0"/>
        <w:jc w:val="left"/>
        <w:rPr>
          <w:rFonts w:hint="eastAsia"/>
          <w:sz w:val="30"/>
          <w:szCs w:val="30"/>
        </w:rPr>
      </w:pPr>
      <w:r>
        <w:rPr>
          <w:rFonts w:hint="eastAsia"/>
          <w:sz w:val="30"/>
          <w:szCs w:val="30"/>
        </w:rPr>
        <w:t>正如使徒保罗所说，圣徒们所享有的永生的盼望，是不能说谎的神在万古之先所应许的；并且，祂如今已借着差遣基督带着福音的好消息进入世界，将这盼望显明出来（多 1:2-3, 来 6:17-20）。</w:t>
      </w:r>
    </w:p>
    <w:p w14:paraId="0DA960D1">
      <w:pPr>
        <w:pStyle w:val="9"/>
        <w:spacing w:before="10"/>
        <w:ind w:left="0"/>
        <w:jc w:val="left"/>
        <w:rPr>
          <w:rFonts w:hint="eastAsia"/>
          <w:sz w:val="30"/>
          <w:szCs w:val="30"/>
        </w:rPr>
      </w:pPr>
    </w:p>
    <w:p w14:paraId="056CEB64">
      <w:pPr>
        <w:pStyle w:val="9"/>
        <w:spacing w:before="10"/>
        <w:ind w:left="0"/>
        <w:jc w:val="left"/>
        <w:rPr>
          <w:rFonts w:hint="eastAsia"/>
          <w:sz w:val="30"/>
          <w:szCs w:val="30"/>
        </w:rPr>
      </w:pPr>
      <w:r>
        <w:rPr>
          <w:rFonts w:hint="eastAsia"/>
          <w:sz w:val="30"/>
          <w:szCs w:val="30"/>
        </w:rPr>
        <w:t>But why is this hope blessed?</w:t>
      </w:r>
    </w:p>
    <w:p w14:paraId="06D7950B">
      <w:pPr>
        <w:pStyle w:val="9"/>
        <w:spacing w:before="10"/>
        <w:ind w:left="0"/>
        <w:jc w:val="left"/>
        <w:rPr>
          <w:rFonts w:hint="eastAsia"/>
          <w:sz w:val="30"/>
          <w:szCs w:val="30"/>
        </w:rPr>
      </w:pPr>
    </w:p>
    <w:p w14:paraId="68C5AADF">
      <w:pPr>
        <w:pStyle w:val="9"/>
        <w:spacing w:before="10"/>
        <w:ind w:left="0"/>
        <w:jc w:val="left"/>
        <w:rPr>
          <w:rFonts w:hint="eastAsia"/>
          <w:sz w:val="30"/>
          <w:szCs w:val="30"/>
        </w:rPr>
      </w:pPr>
      <w:r>
        <w:rPr>
          <w:rFonts w:hint="eastAsia"/>
          <w:sz w:val="30"/>
          <w:szCs w:val="30"/>
        </w:rPr>
        <w:t>但这盼望为何是有福的呢？</w:t>
      </w:r>
    </w:p>
    <w:p w14:paraId="152971EC">
      <w:pPr>
        <w:pStyle w:val="9"/>
        <w:spacing w:before="10"/>
        <w:ind w:left="0"/>
        <w:jc w:val="left"/>
        <w:rPr>
          <w:rFonts w:hint="eastAsia"/>
          <w:sz w:val="30"/>
          <w:szCs w:val="30"/>
        </w:rPr>
      </w:pPr>
    </w:p>
    <w:p w14:paraId="2595A3C6">
      <w:pPr>
        <w:pStyle w:val="9"/>
        <w:spacing w:before="10"/>
        <w:ind w:left="0"/>
        <w:jc w:val="left"/>
        <w:rPr>
          <w:rFonts w:hint="eastAsia"/>
          <w:sz w:val="30"/>
          <w:szCs w:val="30"/>
        </w:rPr>
      </w:pPr>
      <w:r>
        <w:rPr>
          <w:rFonts w:hint="eastAsia"/>
          <w:sz w:val="30"/>
          <w:szCs w:val="30"/>
        </w:rPr>
        <w:t>One answer might be: It is blessed because on the day of Christ’s return he will do so many wonderful things to consummate the happiness of his people.</w:t>
      </w:r>
    </w:p>
    <w:p w14:paraId="1F064F96">
      <w:pPr>
        <w:pStyle w:val="9"/>
        <w:spacing w:before="10"/>
        <w:ind w:left="0"/>
        <w:jc w:val="left"/>
        <w:rPr>
          <w:rFonts w:hint="eastAsia"/>
          <w:sz w:val="30"/>
          <w:szCs w:val="30"/>
        </w:rPr>
      </w:pPr>
    </w:p>
    <w:p w14:paraId="33400A51">
      <w:pPr>
        <w:pStyle w:val="9"/>
        <w:spacing w:before="10"/>
        <w:ind w:left="0"/>
        <w:jc w:val="left"/>
        <w:rPr>
          <w:rFonts w:hint="eastAsia"/>
          <w:sz w:val="30"/>
          <w:szCs w:val="30"/>
        </w:rPr>
      </w:pPr>
      <w:r>
        <w:rPr>
          <w:rFonts w:hint="eastAsia"/>
          <w:sz w:val="30"/>
          <w:szCs w:val="30"/>
        </w:rPr>
        <w:t>一个答案可能是：它是有福的，因为在基督再来的那日，祂将行许多奇妙的事，来成全祂子民的幸福。</w:t>
      </w:r>
    </w:p>
    <w:p w14:paraId="6058CC6A">
      <w:pPr>
        <w:pStyle w:val="9"/>
        <w:spacing w:before="10"/>
        <w:ind w:left="0"/>
        <w:jc w:val="left"/>
        <w:rPr>
          <w:rFonts w:hint="eastAsia"/>
          <w:sz w:val="30"/>
          <w:szCs w:val="30"/>
        </w:rPr>
      </w:pPr>
    </w:p>
    <w:p w14:paraId="542A1AC3">
      <w:pPr>
        <w:pStyle w:val="9"/>
        <w:spacing w:before="10"/>
        <w:ind w:left="0"/>
        <w:jc w:val="left"/>
        <w:rPr>
          <w:rFonts w:hint="eastAsia"/>
          <w:sz w:val="30"/>
          <w:szCs w:val="30"/>
        </w:rPr>
      </w:pPr>
      <w:r>
        <w:rPr>
          <w:rFonts w:hint="eastAsia"/>
          <w:sz w:val="30"/>
          <w:szCs w:val="30"/>
        </w:rPr>
        <w:t>And that is true enough.</w:t>
      </w:r>
    </w:p>
    <w:p w14:paraId="148C2D0B">
      <w:pPr>
        <w:pStyle w:val="9"/>
        <w:spacing w:before="10"/>
        <w:ind w:left="0"/>
        <w:jc w:val="left"/>
        <w:rPr>
          <w:rFonts w:hint="eastAsia"/>
          <w:sz w:val="30"/>
          <w:szCs w:val="30"/>
        </w:rPr>
      </w:pPr>
    </w:p>
    <w:p w14:paraId="071240B5">
      <w:pPr>
        <w:pStyle w:val="9"/>
        <w:spacing w:before="10"/>
        <w:ind w:left="0"/>
        <w:jc w:val="left"/>
        <w:rPr>
          <w:rFonts w:hint="eastAsia"/>
          <w:sz w:val="30"/>
          <w:szCs w:val="30"/>
        </w:rPr>
      </w:pPr>
      <w:r>
        <w:rPr>
          <w:rFonts w:hint="eastAsia"/>
          <w:sz w:val="30"/>
          <w:szCs w:val="30"/>
        </w:rPr>
        <w:t>这固然是真实的。</w:t>
      </w:r>
    </w:p>
    <w:p w14:paraId="369F80FB">
      <w:pPr>
        <w:pStyle w:val="9"/>
        <w:spacing w:before="10"/>
        <w:ind w:left="0"/>
        <w:jc w:val="left"/>
        <w:rPr>
          <w:rFonts w:hint="eastAsia"/>
          <w:sz w:val="30"/>
          <w:szCs w:val="30"/>
        </w:rPr>
      </w:pPr>
    </w:p>
    <w:p w14:paraId="5DE037CB">
      <w:pPr>
        <w:pStyle w:val="9"/>
        <w:spacing w:before="10"/>
        <w:ind w:left="0"/>
        <w:jc w:val="left"/>
        <w:rPr>
          <w:rFonts w:hint="eastAsia"/>
          <w:sz w:val="30"/>
          <w:szCs w:val="30"/>
        </w:rPr>
      </w:pPr>
      <w:r>
        <w:rPr>
          <w:rFonts w:hint="eastAsia"/>
          <w:sz w:val="30"/>
          <w:szCs w:val="30"/>
        </w:rPr>
        <w:t>But a deeper, more penetrating answer would be: It is blessed because, as God’s people contemplate this hope, the Holy Spirit actually gives them a foretaste of the manifold joys they will experience on that Day.</w:t>
      </w:r>
    </w:p>
    <w:p w14:paraId="1F81FDD5">
      <w:pPr>
        <w:pStyle w:val="9"/>
        <w:spacing w:before="10"/>
        <w:ind w:left="0"/>
        <w:jc w:val="left"/>
        <w:rPr>
          <w:rFonts w:hint="eastAsia"/>
          <w:sz w:val="30"/>
          <w:szCs w:val="30"/>
        </w:rPr>
      </w:pPr>
    </w:p>
    <w:p w14:paraId="0E67B487">
      <w:pPr>
        <w:pStyle w:val="9"/>
        <w:spacing w:before="10"/>
        <w:ind w:left="0"/>
        <w:jc w:val="left"/>
        <w:rPr>
          <w:rFonts w:hint="eastAsia"/>
          <w:sz w:val="30"/>
          <w:szCs w:val="30"/>
        </w:rPr>
      </w:pPr>
      <w:r>
        <w:rPr>
          <w:rFonts w:hint="eastAsia"/>
          <w:sz w:val="30"/>
          <w:szCs w:val="30"/>
        </w:rPr>
        <w:t>但一个更深、更具穿透力的答案是：它是有福的，因为当神的子民默想这盼望时，圣灵实际上会让他们预尝到他们在那日将要经历的万般喜乐。</w:t>
      </w:r>
    </w:p>
    <w:p w14:paraId="1C4ED347">
      <w:pPr>
        <w:pStyle w:val="9"/>
        <w:spacing w:before="10"/>
        <w:ind w:left="0"/>
        <w:jc w:val="left"/>
        <w:rPr>
          <w:rFonts w:hint="eastAsia"/>
          <w:sz w:val="30"/>
          <w:szCs w:val="30"/>
        </w:rPr>
      </w:pPr>
    </w:p>
    <w:p w14:paraId="5479DCCD">
      <w:pPr>
        <w:pStyle w:val="9"/>
        <w:spacing w:before="10"/>
        <w:ind w:left="0"/>
        <w:jc w:val="left"/>
        <w:rPr>
          <w:rFonts w:hint="eastAsia"/>
          <w:sz w:val="30"/>
          <w:szCs w:val="30"/>
        </w:rPr>
      </w:pPr>
      <w:r>
        <w:rPr>
          <w:rFonts w:hint="eastAsia"/>
          <w:sz w:val="30"/>
          <w:szCs w:val="30"/>
        </w:rPr>
        <w:t>Indeed, the Holy Spirit actually gives them a foretaste of the manifold joys that God and Christ themselves will experience on that Day, when the saints fully enter into the joy of their Lord (Mt. 25:21)!</w:t>
      </w:r>
    </w:p>
    <w:p w14:paraId="121F0FC2">
      <w:pPr>
        <w:pStyle w:val="9"/>
        <w:spacing w:before="10"/>
        <w:ind w:left="0"/>
        <w:jc w:val="left"/>
        <w:rPr>
          <w:rFonts w:hint="eastAsia"/>
          <w:sz w:val="30"/>
          <w:szCs w:val="30"/>
        </w:rPr>
      </w:pPr>
    </w:p>
    <w:p w14:paraId="6DFE8342">
      <w:pPr>
        <w:pStyle w:val="9"/>
        <w:spacing w:before="10"/>
        <w:ind w:left="0"/>
        <w:jc w:val="left"/>
        <w:rPr>
          <w:rFonts w:hint="eastAsia"/>
          <w:sz w:val="30"/>
          <w:szCs w:val="30"/>
        </w:rPr>
      </w:pPr>
      <w:r>
        <w:rPr>
          <w:rFonts w:hint="eastAsia"/>
          <w:sz w:val="30"/>
          <w:szCs w:val="30"/>
        </w:rPr>
        <w:t>的确，圣灵实际上会让他们预尝到神和基督自己在那日将要经历的万般喜乐，那时圣徒们将完全进入他们主的喜乐里（太 25:21）！</w:t>
      </w:r>
    </w:p>
    <w:p w14:paraId="46962D98">
      <w:pPr>
        <w:pStyle w:val="9"/>
        <w:spacing w:before="10"/>
        <w:ind w:left="0"/>
        <w:jc w:val="left"/>
        <w:rPr>
          <w:rFonts w:hint="eastAsia"/>
          <w:sz w:val="30"/>
          <w:szCs w:val="30"/>
        </w:rPr>
      </w:pPr>
    </w:p>
    <w:p w14:paraId="72807413">
      <w:pPr>
        <w:pStyle w:val="9"/>
        <w:spacing w:before="10"/>
        <w:ind w:left="0"/>
        <w:jc w:val="left"/>
        <w:rPr>
          <w:rFonts w:hint="eastAsia"/>
          <w:sz w:val="30"/>
          <w:szCs w:val="30"/>
        </w:rPr>
      </w:pPr>
      <w:r>
        <w:rPr>
          <w:rFonts w:hint="eastAsia"/>
          <w:sz w:val="30"/>
          <w:szCs w:val="30"/>
        </w:rPr>
        <w:t>Now, if all this be the case—if, under the Spirit of God, biblical teaching about the Blessed Hope actually puts God’s people in contact with the power and joy of Christ at his return—then two closely related facts immediately become clear.</w:t>
      </w:r>
    </w:p>
    <w:p w14:paraId="390E7A10">
      <w:pPr>
        <w:pStyle w:val="9"/>
        <w:spacing w:before="10"/>
        <w:ind w:left="0"/>
        <w:jc w:val="left"/>
        <w:rPr>
          <w:rFonts w:hint="eastAsia"/>
          <w:sz w:val="30"/>
          <w:szCs w:val="30"/>
        </w:rPr>
      </w:pPr>
    </w:p>
    <w:p w14:paraId="665AE083">
      <w:pPr>
        <w:pStyle w:val="9"/>
        <w:spacing w:before="10"/>
        <w:ind w:left="0"/>
        <w:jc w:val="left"/>
        <w:rPr>
          <w:rFonts w:hint="eastAsia"/>
          <w:sz w:val="30"/>
          <w:szCs w:val="30"/>
        </w:rPr>
      </w:pPr>
      <w:r>
        <w:rPr>
          <w:rFonts w:hint="eastAsia"/>
          <w:sz w:val="30"/>
          <w:szCs w:val="30"/>
        </w:rPr>
        <w:t>如今，倘若这一切都是实情——倘若在神的灵的引导下，关于“有福的盼望”的圣经教导，实际上能使神的子民接触到基督再来时的能力与喜乐——那么，两个紧密相关的事实便立刻显明出来。</w:t>
      </w:r>
    </w:p>
    <w:p w14:paraId="136FA4FA">
      <w:pPr>
        <w:pStyle w:val="9"/>
        <w:spacing w:before="10"/>
        <w:ind w:left="0"/>
        <w:jc w:val="left"/>
        <w:rPr>
          <w:rFonts w:hint="eastAsia"/>
          <w:sz w:val="30"/>
          <w:szCs w:val="30"/>
        </w:rPr>
      </w:pPr>
    </w:p>
    <w:p w14:paraId="105B8040">
      <w:pPr>
        <w:pStyle w:val="9"/>
        <w:spacing w:before="10"/>
        <w:ind w:left="0"/>
        <w:jc w:val="left"/>
        <w:rPr>
          <w:rFonts w:hint="eastAsia"/>
          <w:sz w:val="30"/>
          <w:szCs w:val="30"/>
        </w:rPr>
      </w:pPr>
      <w:r>
        <w:rPr>
          <w:rFonts w:hint="eastAsia"/>
          <w:sz w:val="30"/>
          <w:szCs w:val="30"/>
        </w:rPr>
        <w:t>First, the Blessed Hope must actually be a fountain of manifold blessings; blessings that are meant to equip and empower God’s people for a successful pilgrimage through the howling wilderness of this world; blessings such as eager anticipation, ardent desire, unquenchable curiosity and delight, courage, determination, endurance, self-sacrifice, and evangelistic confidence and effectiveness; blessings that the heavenly Bridegroom surely had in mind when, at his parting, he gave birth to this supernatural hope with his unforgettable word of promise.</w:t>
      </w:r>
    </w:p>
    <w:p w14:paraId="48A9DC5F">
      <w:pPr>
        <w:pStyle w:val="9"/>
        <w:spacing w:before="10"/>
        <w:ind w:left="0"/>
        <w:jc w:val="left"/>
        <w:rPr>
          <w:rFonts w:hint="eastAsia"/>
          <w:sz w:val="30"/>
          <w:szCs w:val="30"/>
        </w:rPr>
      </w:pPr>
    </w:p>
    <w:p w14:paraId="1791140F">
      <w:pPr>
        <w:pStyle w:val="9"/>
        <w:spacing w:before="10"/>
        <w:ind w:left="0"/>
        <w:jc w:val="left"/>
        <w:rPr>
          <w:rFonts w:hint="eastAsia"/>
          <w:sz w:val="30"/>
          <w:szCs w:val="30"/>
        </w:rPr>
      </w:pPr>
      <w:r>
        <w:rPr>
          <w:rFonts w:hint="eastAsia"/>
          <w:sz w:val="30"/>
          <w:szCs w:val="30"/>
        </w:rPr>
        <w:t>首先，“有福的盼望”必定是一个涌流万般祝福的泉源；这些祝福旨在装备并加力给神的子民，使他们能成功地走过这世界呼啸的旷野；这些祝福包括热切的期盼、强烈的渴望、不止息的好奇与喜乐、勇气、决心、忍耐、自我牺牲，以及传福音的确信和果效；这些祝福，正是属天的新郎在离别时，用祂那永志不忘的应许之言催生这超自然盼望时，心中所想念的。</w:t>
      </w:r>
    </w:p>
    <w:p w14:paraId="47DC4EFF">
      <w:pPr>
        <w:pStyle w:val="9"/>
        <w:spacing w:before="10"/>
        <w:ind w:left="0"/>
        <w:jc w:val="left"/>
        <w:rPr>
          <w:rFonts w:hint="eastAsia"/>
          <w:sz w:val="30"/>
          <w:szCs w:val="30"/>
        </w:rPr>
      </w:pPr>
    </w:p>
    <w:p w14:paraId="559676D8">
      <w:pPr>
        <w:pStyle w:val="9"/>
        <w:spacing w:before="10"/>
        <w:ind w:left="0"/>
        <w:jc w:val="left"/>
        <w:rPr>
          <w:rFonts w:hint="eastAsia"/>
          <w:sz w:val="30"/>
          <w:szCs w:val="30"/>
        </w:rPr>
      </w:pPr>
      <w:r>
        <w:rPr>
          <w:rFonts w:hint="eastAsia"/>
          <w:sz w:val="30"/>
          <w:szCs w:val="30"/>
        </w:rPr>
        <w:t>But secondly—and quite soberingly—it is equally clear that any confusion about the true character of the Blessed Hope must hinder the work of the Spirit in imparting its attendant virtues; it must stanch the flow of the many-streamed fountain, and so grieve the heavenly Groom, whose word, somehow, has missed the mark, and whose Bride therefore now walks weak and wounded through the world.</w:t>
      </w:r>
    </w:p>
    <w:p w14:paraId="0DBE4075">
      <w:pPr>
        <w:pStyle w:val="9"/>
        <w:spacing w:before="10"/>
        <w:ind w:left="0"/>
        <w:jc w:val="left"/>
        <w:rPr>
          <w:rFonts w:hint="eastAsia"/>
          <w:sz w:val="30"/>
          <w:szCs w:val="30"/>
        </w:rPr>
      </w:pPr>
    </w:p>
    <w:p w14:paraId="2B82892F">
      <w:pPr>
        <w:pStyle w:val="9"/>
        <w:spacing w:before="10"/>
        <w:ind w:left="0"/>
        <w:jc w:val="left"/>
        <w:rPr>
          <w:rFonts w:hint="eastAsia"/>
          <w:sz w:val="30"/>
          <w:szCs w:val="30"/>
        </w:rPr>
      </w:pPr>
      <w:r>
        <w:rPr>
          <w:rFonts w:hint="eastAsia"/>
          <w:sz w:val="30"/>
          <w:szCs w:val="30"/>
        </w:rPr>
        <w:t>但其次——且相当发人深省的是——同样清楚，任何对“有福的盼望”之真实特性的混淆，都必定会拦阻圣灵赐下其相伴美德的工作；它必定会堵塞那多流泉源的涌流，从而使属天的新郎忧伤，因祂的话语不知何故没有达到目的，以致祂的新妇如今软弱受伤地行走在世上。</w:t>
      </w:r>
    </w:p>
    <w:p w14:paraId="3B0D378F">
      <w:pPr>
        <w:pStyle w:val="9"/>
        <w:spacing w:before="10"/>
        <w:ind w:left="0"/>
        <w:jc w:val="left"/>
        <w:rPr>
          <w:rFonts w:hint="eastAsia"/>
          <w:sz w:val="30"/>
          <w:szCs w:val="30"/>
        </w:rPr>
      </w:pPr>
    </w:p>
    <w:p w14:paraId="4657A181">
      <w:pPr>
        <w:pStyle w:val="9"/>
        <w:spacing w:before="10"/>
        <w:ind w:left="0"/>
        <w:jc w:val="left"/>
        <w:rPr>
          <w:rFonts w:hint="eastAsia"/>
          <w:sz w:val="30"/>
          <w:szCs w:val="30"/>
        </w:rPr>
      </w:pPr>
      <w:r>
        <w:rPr>
          <w:rFonts w:hint="eastAsia"/>
          <w:sz w:val="30"/>
          <w:szCs w:val="30"/>
        </w:rPr>
        <w:t>A Darkened Sun</w:t>
      </w:r>
    </w:p>
    <w:p w14:paraId="113FF544">
      <w:pPr>
        <w:pStyle w:val="9"/>
        <w:spacing w:before="10"/>
        <w:ind w:left="0"/>
        <w:jc w:val="left"/>
        <w:rPr>
          <w:rFonts w:hint="eastAsia"/>
          <w:sz w:val="30"/>
          <w:szCs w:val="30"/>
        </w:rPr>
      </w:pPr>
    </w:p>
    <w:p w14:paraId="5B6DCA14">
      <w:pPr>
        <w:pStyle w:val="9"/>
        <w:spacing w:before="10"/>
        <w:ind w:left="0"/>
        <w:jc w:val="left"/>
        <w:rPr>
          <w:rFonts w:hint="eastAsia"/>
          <w:sz w:val="30"/>
          <w:szCs w:val="30"/>
        </w:rPr>
      </w:pPr>
      <w:r>
        <w:rPr>
          <w:rFonts w:hint="eastAsia"/>
          <w:sz w:val="30"/>
          <w:szCs w:val="30"/>
        </w:rPr>
        <w:t>一颗黑暗了的太阳</w:t>
      </w:r>
    </w:p>
    <w:p w14:paraId="288F64C8">
      <w:pPr>
        <w:pStyle w:val="9"/>
        <w:spacing w:before="10"/>
        <w:ind w:left="0"/>
        <w:jc w:val="left"/>
        <w:rPr>
          <w:rFonts w:hint="eastAsia"/>
          <w:sz w:val="30"/>
          <w:szCs w:val="30"/>
        </w:rPr>
      </w:pPr>
    </w:p>
    <w:p w14:paraId="07F11F99">
      <w:pPr>
        <w:pStyle w:val="9"/>
        <w:spacing w:before="10"/>
        <w:ind w:left="0"/>
        <w:jc w:val="left"/>
        <w:rPr>
          <w:rFonts w:hint="eastAsia"/>
          <w:sz w:val="30"/>
          <w:szCs w:val="30"/>
        </w:rPr>
      </w:pPr>
      <w:r>
        <w:rPr>
          <w:rFonts w:hint="eastAsia"/>
          <w:sz w:val="30"/>
          <w:szCs w:val="30"/>
        </w:rPr>
        <w:t>For at least 1500 years, the historic Christian Church, with the rarest of exceptions, stood united in her understanding of the Blessed Hope.</w:t>
      </w:r>
    </w:p>
    <w:p w14:paraId="3E60AB53">
      <w:pPr>
        <w:pStyle w:val="9"/>
        <w:spacing w:before="10"/>
        <w:ind w:left="0"/>
        <w:jc w:val="left"/>
        <w:rPr>
          <w:rFonts w:hint="eastAsia"/>
          <w:sz w:val="30"/>
          <w:szCs w:val="30"/>
        </w:rPr>
      </w:pPr>
    </w:p>
    <w:p w14:paraId="67F35614">
      <w:pPr>
        <w:pStyle w:val="9"/>
        <w:spacing w:before="10"/>
        <w:ind w:left="0"/>
        <w:jc w:val="left"/>
        <w:rPr>
          <w:rFonts w:hint="eastAsia"/>
          <w:sz w:val="30"/>
          <w:szCs w:val="30"/>
        </w:rPr>
      </w:pPr>
      <w:r>
        <w:rPr>
          <w:rFonts w:hint="eastAsia"/>
          <w:sz w:val="30"/>
          <w:szCs w:val="30"/>
        </w:rPr>
        <w:t>至少1500年来，历史性的基督教会，除了极少数例外，对其“有福的盼望”的理解都是一致的。</w:t>
      </w:r>
    </w:p>
    <w:p w14:paraId="353E1992">
      <w:pPr>
        <w:pStyle w:val="9"/>
        <w:spacing w:before="10"/>
        <w:ind w:left="0"/>
        <w:jc w:val="left"/>
        <w:rPr>
          <w:rFonts w:hint="eastAsia"/>
          <w:sz w:val="30"/>
          <w:szCs w:val="30"/>
        </w:rPr>
      </w:pPr>
    </w:p>
    <w:p w14:paraId="59021CFF">
      <w:pPr>
        <w:pStyle w:val="9"/>
        <w:spacing w:before="10"/>
        <w:ind w:left="0"/>
        <w:jc w:val="left"/>
        <w:rPr>
          <w:rFonts w:hint="eastAsia"/>
          <w:sz w:val="30"/>
          <w:szCs w:val="30"/>
        </w:rPr>
      </w:pPr>
      <w:r>
        <w:rPr>
          <w:rFonts w:hint="eastAsia"/>
          <w:sz w:val="30"/>
          <w:szCs w:val="30"/>
        </w:rPr>
        <w:t>Whether we think of Roman Catholic, Orthodox, Lutheran, Reformed, Presbyterian, Anglican, Baptist, or Methodist communions, all shared a united vision of the Consummation: Christ will come again once at the end of the present evil age.</w:t>
      </w:r>
    </w:p>
    <w:p w14:paraId="3340B84B">
      <w:pPr>
        <w:pStyle w:val="9"/>
        <w:spacing w:before="10"/>
        <w:ind w:left="0"/>
        <w:jc w:val="left"/>
        <w:rPr>
          <w:rFonts w:hint="eastAsia"/>
          <w:sz w:val="30"/>
          <w:szCs w:val="30"/>
        </w:rPr>
      </w:pPr>
    </w:p>
    <w:p w14:paraId="1DFC4C91">
      <w:pPr>
        <w:pStyle w:val="9"/>
        <w:spacing w:before="10"/>
        <w:ind w:left="0"/>
        <w:jc w:val="left"/>
        <w:rPr>
          <w:rFonts w:hint="eastAsia"/>
          <w:sz w:val="30"/>
          <w:szCs w:val="30"/>
        </w:rPr>
      </w:pPr>
      <w:r>
        <w:rPr>
          <w:rFonts w:hint="eastAsia"/>
          <w:sz w:val="30"/>
          <w:szCs w:val="30"/>
        </w:rPr>
        <w:t>无论我们想到的是罗马天主教、东正教、路德宗、改革宗、长老会、圣公会、浸信会，还是卫理公会的团体，都对最终的成全抱有一个共同的异象：基督将在现今邪恶世代的末了再来一次。</w:t>
      </w:r>
    </w:p>
    <w:p w14:paraId="37478A29">
      <w:pPr>
        <w:pStyle w:val="9"/>
        <w:spacing w:before="10"/>
        <w:ind w:left="0"/>
        <w:jc w:val="left"/>
        <w:rPr>
          <w:rFonts w:hint="eastAsia"/>
          <w:sz w:val="30"/>
          <w:szCs w:val="30"/>
        </w:rPr>
      </w:pPr>
    </w:p>
    <w:p w14:paraId="2970AFA5">
      <w:pPr>
        <w:pStyle w:val="9"/>
        <w:spacing w:before="10"/>
        <w:ind w:left="0"/>
        <w:jc w:val="left"/>
        <w:rPr>
          <w:rFonts w:hint="eastAsia"/>
          <w:sz w:val="30"/>
          <w:szCs w:val="30"/>
        </w:rPr>
      </w:pPr>
      <w:r>
        <w:rPr>
          <w:rFonts w:hint="eastAsia"/>
          <w:sz w:val="30"/>
          <w:szCs w:val="30"/>
        </w:rPr>
        <w:t>He will come bodily, visibly, and in power and great glory.</w:t>
      </w:r>
    </w:p>
    <w:p w14:paraId="050B7A11">
      <w:pPr>
        <w:pStyle w:val="9"/>
        <w:spacing w:before="10"/>
        <w:ind w:left="0"/>
        <w:jc w:val="left"/>
        <w:rPr>
          <w:rFonts w:hint="eastAsia"/>
          <w:sz w:val="30"/>
          <w:szCs w:val="30"/>
        </w:rPr>
      </w:pPr>
    </w:p>
    <w:p w14:paraId="7D2B0363">
      <w:pPr>
        <w:pStyle w:val="9"/>
        <w:spacing w:before="10"/>
        <w:ind w:left="0"/>
        <w:jc w:val="left"/>
        <w:rPr>
          <w:rFonts w:hint="eastAsia"/>
          <w:sz w:val="30"/>
          <w:szCs w:val="30"/>
        </w:rPr>
      </w:pPr>
      <w:r>
        <w:rPr>
          <w:rFonts w:hint="eastAsia"/>
          <w:sz w:val="30"/>
          <w:szCs w:val="30"/>
        </w:rPr>
        <w:t>祂将有形有体、带着能力和极大的荣耀降临。</w:t>
      </w:r>
    </w:p>
    <w:p w14:paraId="148A535F">
      <w:pPr>
        <w:pStyle w:val="9"/>
        <w:spacing w:before="10"/>
        <w:ind w:left="0"/>
        <w:jc w:val="left"/>
        <w:rPr>
          <w:rFonts w:hint="eastAsia"/>
          <w:sz w:val="30"/>
          <w:szCs w:val="30"/>
        </w:rPr>
      </w:pPr>
    </w:p>
    <w:p w14:paraId="35AC6896">
      <w:pPr>
        <w:pStyle w:val="9"/>
        <w:spacing w:before="10"/>
        <w:ind w:left="0"/>
        <w:jc w:val="left"/>
        <w:rPr>
          <w:rFonts w:hint="eastAsia"/>
          <w:sz w:val="30"/>
          <w:szCs w:val="30"/>
        </w:rPr>
      </w:pPr>
      <w:r>
        <w:rPr>
          <w:rFonts w:hint="eastAsia"/>
          <w:sz w:val="30"/>
          <w:szCs w:val="30"/>
        </w:rPr>
        <w:t>He will bring all the holy angels and all the souls of the departed saints in his train.</w:t>
      </w:r>
    </w:p>
    <w:p w14:paraId="63D957F9">
      <w:pPr>
        <w:pStyle w:val="9"/>
        <w:spacing w:before="10"/>
        <w:ind w:left="0"/>
        <w:jc w:val="left"/>
        <w:rPr>
          <w:rFonts w:hint="eastAsia"/>
          <w:sz w:val="30"/>
          <w:szCs w:val="30"/>
        </w:rPr>
      </w:pPr>
    </w:p>
    <w:p w14:paraId="34D521A8">
      <w:pPr>
        <w:pStyle w:val="9"/>
        <w:spacing w:before="10"/>
        <w:ind w:left="0"/>
        <w:jc w:val="left"/>
        <w:rPr>
          <w:rFonts w:hint="eastAsia"/>
          <w:sz w:val="30"/>
          <w:szCs w:val="30"/>
        </w:rPr>
      </w:pPr>
      <w:r>
        <w:rPr>
          <w:rFonts w:hint="eastAsia"/>
          <w:sz w:val="30"/>
          <w:szCs w:val="30"/>
        </w:rPr>
        <w:t>祂将带着所有圣天使和所有已故圣徒的灵魂一同降临。</w:t>
      </w:r>
    </w:p>
    <w:p w14:paraId="308ECC29">
      <w:pPr>
        <w:pStyle w:val="9"/>
        <w:spacing w:before="10"/>
        <w:ind w:left="0"/>
        <w:jc w:val="left"/>
        <w:rPr>
          <w:rFonts w:hint="eastAsia"/>
          <w:sz w:val="30"/>
          <w:szCs w:val="30"/>
        </w:rPr>
      </w:pPr>
    </w:p>
    <w:p w14:paraId="4EE360B3">
      <w:pPr>
        <w:pStyle w:val="9"/>
        <w:spacing w:before="10"/>
        <w:ind w:left="0"/>
        <w:jc w:val="left"/>
        <w:rPr>
          <w:rFonts w:hint="eastAsia"/>
          <w:sz w:val="30"/>
          <w:szCs w:val="30"/>
        </w:rPr>
      </w:pPr>
      <w:r>
        <w:rPr>
          <w:rFonts w:hint="eastAsia"/>
          <w:sz w:val="30"/>
          <w:szCs w:val="30"/>
        </w:rPr>
        <w:t>At his arrival in the skies above the earth, he will raise the dead, judge the world in righteousness, destroy the present universe by fire, and turn the wicked (along with Satan and his demons) into hell.</w:t>
      </w:r>
    </w:p>
    <w:p w14:paraId="08F7FA0B">
      <w:pPr>
        <w:pStyle w:val="9"/>
        <w:spacing w:before="10"/>
        <w:ind w:left="0"/>
        <w:jc w:val="left"/>
        <w:rPr>
          <w:rFonts w:hint="eastAsia"/>
          <w:sz w:val="30"/>
          <w:szCs w:val="30"/>
        </w:rPr>
      </w:pPr>
    </w:p>
    <w:p w14:paraId="0691B0C6">
      <w:pPr>
        <w:pStyle w:val="9"/>
        <w:spacing w:before="10"/>
        <w:ind w:left="0"/>
        <w:jc w:val="left"/>
        <w:rPr>
          <w:rFonts w:hint="eastAsia"/>
          <w:sz w:val="30"/>
          <w:szCs w:val="30"/>
        </w:rPr>
      </w:pPr>
      <w:r>
        <w:rPr>
          <w:rFonts w:hint="eastAsia"/>
          <w:sz w:val="30"/>
          <w:szCs w:val="30"/>
        </w:rPr>
        <w:t>当祂降临到地上方的天空时，祂将叫死人复活，按公义审判世界，用火毁灭现有的宇宙，并将恶人（连同撒但和他的鬼魔）投入地狱。</w:t>
      </w:r>
    </w:p>
    <w:p w14:paraId="502A0079">
      <w:pPr>
        <w:pStyle w:val="9"/>
        <w:spacing w:before="10"/>
        <w:ind w:left="0"/>
        <w:jc w:val="left"/>
        <w:rPr>
          <w:rFonts w:hint="eastAsia"/>
          <w:sz w:val="30"/>
          <w:szCs w:val="30"/>
        </w:rPr>
      </w:pPr>
    </w:p>
    <w:p w14:paraId="1FFB0EC0">
      <w:pPr>
        <w:pStyle w:val="9"/>
        <w:spacing w:before="10"/>
        <w:ind w:left="0"/>
        <w:jc w:val="left"/>
        <w:rPr>
          <w:rFonts w:hint="eastAsia"/>
          <w:sz w:val="30"/>
          <w:szCs w:val="30"/>
        </w:rPr>
      </w:pPr>
      <w:r>
        <w:rPr>
          <w:rFonts w:hint="eastAsia"/>
          <w:sz w:val="30"/>
          <w:szCs w:val="30"/>
        </w:rPr>
        <w:t>And then he will create glorious new heavens and a new earth, the eternal home of the redeemed.</w:t>
      </w:r>
    </w:p>
    <w:p w14:paraId="0AFC1800">
      <w:pPr>
        <w:pStyle w:val="9"/>
        <w:spacing w:before="10"/>
        <w:ind w:left="0"/>
        <w:jc w:val="left"/>
        <w:rPr>
          <w:rFonts w:hint="eastAsia"/>
          <w:sz w:val="30"/>
          <w:szCs w:val="30"/>
        </w:rPr>
      </w:pPr>
    </w:p>
    <w:p w14:paraId="2A7B0364">
      <w:pPr>
        <w:pStyle w:val="9"/>
        <w:spacing w:before="10"/>
        <w:ind w:left="0"/>
        <w:jc w:val="left"/>
        <w:rPr>
          <w:rFonts w:hint="eastAsia"/>
          <w:sz w:val="30"/>
          <w:szCs w:val="30"/>
        </w:rPr>
      </w:pPr>
      <w:r>
        <w:rPr>
          <w:rFonts w:hint="eastAsia"/>
          <w:sz w:val="30"/>
          <w:szCs w:val="30"/>
        </w:rPr>
        <w:t>然后，祂将创造荣耀的新天新地，作为蒙赎之民永远的家。</w:t>
      </w:r>
    </w:p>
    <w:p w14:paraId="78A4B4E9">
      <w:pPr>
        <w:pStyle w:val="9"/>
        <w:spacing w:before="10"/>
        <w:ind w:left="0"/>
        <w:jc w:val="left"/>
        <w:rPr>
          <w:rFonts w:hint="eastAsia"/>
          <w:sz w:val="30"/>
          <w:szCs w:val="30"/>
        </w:rPr>
      </w:pPr>
    </w:p>
    <w:p w14:paraId="2EBC5FF7">
      <w:pPr>
        <w:pStyle w:val="9"/>
        <w:spacing w:before="10"/>
        <w:ind w:left="0"/>
        <w:jc w:val="left"/>
        <w:rPr>
          <w:rFonts w:hint="eastAsia"/>
          <w:sz w:val="30"/>
          <w:szCs w:val="30"/>
        </w:rPr>
      </w:pPr>
      <w:r>
        <w:rPr>
          <w:rFonts w:hint="eastAsia"/>
          <w:sz w:val="30"/>
          <w:szCs w:val="30"/>
        </w:rPr>
        <w:t>Here was an incomparably simple, clear, majestic, dreadful, and unspeakably soul-strengthening scenario that century after century warned and chastened sinners, even as it anchored and stirred the deepest hopes of the faithful saints.</w:t>
      </w:r>
    </w:p>
    <w:p w14:paraId="12E394EC">
      <w:pPr>
        <w:pStyle w:val="9"/>
        <w:spacing w:before="10"/>
        <w:ind w:left="0"/>
        <w:jc w:val="left"/>
        <w:rPr>
          <w:rFonts w:hint="eastAsia"/>
          <w:sz w:val="30"/>
          <w:szCs w:val="30"/>
        </w:rPr>
      </w:pPr>
    </w:p>
    <w:p w14:paraId="3678DAC6">
      <w:pPr>
        <w:pStyle w:val="9"/>
        <w:spacing w:before="10"/>
        <w:ind w:left="0"/>
        <w:jc w:val="left"/>
        <w:rPr>
          <w:rFonts w:hint="eastAsia"/>
          <w:sz w:val="30"/>
          <w:szCs w:val="30"/>
        </w:rPr>
      </w:pPr>
      <w:r>
        <w:rPr>
          <w:rFonts w:hint="eastAsia"/>
          <w:sz w:val="30"/>
          <w:szCs w:val="30"/>
        </w:rPr>
        <w:t>这是一个无比简单、清晰、威严、可畏、且难以言喻地坚固灵魂的设想，它世世代代警戒并管教罪人，同时也锚定并激动着忠信圣徒最深的盼望。</w:t>
      </w:r>
    </w:p>
    <w:p w14:paraId="0195D8CA">
      <w:pPr>
        <w:pStyle w:val="9"/>
        <w:spacing w:before="10"/>
        <w:ind w:left="0"/>
        <w:jc w:val="left"/>
        <w:rPr>
          <w:rFonts w:hint="eastAsia"/>
          <w:sz w:val="30"/>
          <w:szCs w:val="30"/>
        </w:rPr>
      </w:pPr>
    </w:p>
    <w:p w14:paraId="3E6CA02E">
      <w:pPr>
        <w:pStyle w:val="9"/>
        <w:spacing w:before="10"/>
        <w:ind w:left="0"/>
        <w:jc w:val="left"/>
        <w:rPr>
          <w:rFonts w:hint="eastAsia"/>
          <w:sz w:val="30"/>
          <w:szCs w:val="30"/>
        </w:rPr>
      </w:pPr>
      <w:r>
        <w:rPr>
          <w:rFonts w:hint="eastAsia"/>
          <w:sz w:val="30"/>
          <w:szCs w:val="30"/>
        </w:rPr>
        <w:t>Today, however, much has changed, especially in evangelical circles.</w:t>
      </w:r>
    </w:p>
    <w:p w14:paraId="13214606">
      <w:pPr>
        <w:pStyle w:val="9"/>
        <w:spacing w:before="10"/>
        <w:ind w:left="0"/>
        <w:jc w:val="left"/>
        <w:rPr>
          <w:rFonts w:hint="eastAsia"/>
          <w:sz w:val="30"/>
          <w:szCs w:val="30"/>
        </w:rPr>
      </w:pPr>
    </w:p>
    <w:p w14:paraId="3635F0C4">
      <w:pPr>
        <w:pStyle w:val="9"/>
        <w:spacing w:before="10"/>
        <w:ind w:left="0"/>
        <w:jc w:val="left"/>
        <w:rPr>
          <w:rFonts w:hint="eastAsia"/>
          <w:sz w:val="30"/>
          <w:szCs w:val="30"/>
        </w:rPr>
      </w:pPr>
      <w:r>
        <w:rPr>
          <w:rFonts w:hint="eastAsia"/>
          <w:sz w:val="30"/>
          <w:szCs w:val="30"/>
        </w:rPr>
        <w:t>然而，今天情况大不相同，尤其是在福音派圈子里。</w:t>
      </w:r>
    </w:p>
    <w:p w14:paraId="49D2C3D0">
      <w:pPr>
        <w:pStyle w:val="9"/>
        <w:spacing w:before="10"/>
        <w:ind w:left="0"/>
        <w:jc w:val="left"/>
        <w:rPr>
          <w:rFonts w:hint="eastAsia"/>
          <w:sz w:val="30"/>
          <w:szCs w:val="30"/>
        </w:rPr>
      </w:pPr>
    </w:p>
    <w:p w14:paraId="0FAE0528">
      <w:pPr>
        <w:pStyle w:val="9"/>
        <w:spacing w:before="10"/>
        <w:ind w:left="0"/>
        <w:jc w:val="left"/>
        <w:rPr>
          <w:rFonts w:hint="eastAsia"/>
          <w:sz w:val="30"/>
          <w:szCs w:val="30"/>
        </w:rPr>
      </w:pPr>
      <w:r>
        <w:rPr>
          <w:rFonts w:hint="eastAsia"/>
          <w:sz w:val="30"/>
          <w:szCs w:val="30"/>
        </w:rPr>
        <w:t>Indeed, over the last 150 years the conservative Protestant consensus on eschatology has largely dissolved, with the result that leaders are unable to agree, and laymen are unable to decide between a bewildering number of competing eschatological options.</w:t>
      </w:r>
    </w:p>
    <w:p w14:paraId="4F241FDA">
      <w:pPr>
        <w:pStyle w:val="9"/>
        <w:spacing w:before="10"/>
        <w:ind w:left="0"/>
        <w:jc w:val="left"/>
        <w:rPr>
          <w:rFonts w:hint="eastAsia"/>
          <w:sz w:val="30"/>
          <w:szCs w:val="30"/>
        </w:rPr>
      </w:pPr>
    </w:p>
    <w:p w14:paraId="4A8716E9">
      <w:pPr>
        <w:pStyle w:val="9"/>
        <w:spacing w:before="10"/>
        <w:ind w:left="0"/>
        <w:jc w:val="left"/>
        <w:rPr>
          <w:rFonts w:hint="eastAsia"/>
          <w:sz w:val="30"/>
          <w:szCs w:val="30"/>
        </w:rPr>
      </w:pPr>
      <w:r>
        <w:rPr>
          <w:rFonts w:hint="eastAsia"/>
          <w:sz w:val="30"/>
          <w:szCs w:val="30"/>
        </w:rPr>
        <w:t>的确，在过去150年里，保守派新教在末世论上的共识已大体瓦解，其结果是领袖们无法达成一致，而平信徒则无法在数量繁多、令人困惑的、相互竞争的末世论选项中做出决定。</w:t>
      </w:r>
    </w:p>
    <w:p w14:paraId="08A2943B">
      <w:pPr>
        <w:pStyle w:val="9"/>
        <w:spacing w:before="10"/>
        <w:ind w:left="0"/>
        <w:jc w:val="left"/>
        <w:rPr>
          <w:rFonts w:hint="eastAsia"/>
          <w:sz w:val="30"/>
          <w:szCs w:val="30"/>
        </w:rPr>
      </w:pPr>
    </w:p>
    <w:p w14:paraId="0AB8E1A6">
      <w:pPr>
        <w:pStyle w:val="9"/>
        <w:spacing w:before="10"/>
        <w:ind w:left="0"/>
        <w:jc w:val="left"/>
        <w:rPr>
          <w:rFonts w:hint="eastAsia"/>
          <w:sz w:val="30"/>
          <w:szCs w:val="30"/>
        </w:rPr>
      </w:pPr>
      <w:r>
        <w:rPr>
          <w:rFonts w:hint="eastAsia"/>
          <w:sz w:val="30"/>
          <w:szCs w:val="30"/>
        </w:rPr>
        <w:t>Small wonder, then, that we find evangelical publishers continually giving us books with titles like The Millennial Maze, Contemporary Options in Eschatology, Three Views on the Rapture, and The Revelation: Four Views!</w:t>
      </w:r>
    </w:p>
    <w:p w14:paraId="4077ACBD">
      <w:pPr>
        <w:pStyle w:val="9"/>
        <w:spacing w:before="10"/>
        <w:ind w:left="0"/>
        <w:jc w:val="left"/>
        <w:rPr>
          <w:rFonts w:hint="eastAsia"/>
          <w:sz w:val="30"/>
          <w:szCs w:val="30"/>
        </w:rPr>
      </w:pPr>
    </w:p>
    <w:p w14:paraId="789F93FD">
      <w:pPr>
        <w:pStyle w:val="9"/>
        <w:spacing w:before="10"/>
        <w:ind w:left="0"/>
        <w:jc w:val="left"/>
        <w:rPr>
          <w:rFonts w:hint="eastAsia"/>
          <w:sz w:val="30"/>
          <w:szCs w:val="30"/>
        </w:rPr>
      </w:pPr>
      <w:r>
        <w:rPr>
          <w:rFonts w:hint="eastAsia"/>
          <w:sz w:val="30"/>
          <w:szCs w:val="30"/>
        </w:rPr>
        <w:t>因此，我们发现福音派出版社不断地给我们出版像《千禧年迷宫》、《当代末世论选项》、《三种被提观点》以及《启示录：四种观点》这样书名的书籍，也就不足为奇了！</w:t>
      </w:r>
    </w:p>
    <w:p w14:paraId="30B6EF09">
      <w:pPr>
        <w:pStyle w:val="9"/>
        <w:spacing w:before="10"/>
        <w:ind w:left="0"/>
        <w:jc w:val="left"/>
        <w:rPr>
          <w:rFonts w:hint="eastAsia"/>
          <w:sz w:val="30"/>
          <w:szCs w:val="30"/>
        </w:rPr>
      </w:pPr>
    </w:p>
    <w:p w14:paraId="50D1840F">
      <w:pPr>
        <w:pStyle w:val="9"/>
        <w:spacing w:before="10"/>
        <w:ind w:left="0"/>
        <w:jc w:val="left"/>
        <w:rPr>
          <w:rFonts w:hint="eastAsia"/>
          <w:sz w:val="30"/>
          <w:szCs w:val="30"/>
        </w:rPr>
      </w:pPr>
      <w:r>
        <w:rPr>
          <w:rFonts w:hint="eastAsia"/>
          <w:sz w:val="30"/>
          <w:szCs w:val="30"/>
        </w:rPr>
        <w:t>This troubling development raises a number of obvious and important questions.</w:t>
      </w:r>
    </w:p>
    <w:p w14:paraId="7FF51307">
      <w:pPr>
        <w:pStyle w:val="9"/>
        <w:spacing w:before="10"/>
        <w:ind w:left="0"/>
        <w:jc w:val="left"/>
        <w:rPr>
          <w:rFonts w:hint="eastAsia"/>
          <w:sz w:val="30"/>
          <w:szCs w:val="30"/>
        </w:rPr>
      </w:pPr>
    </w:p>
    <w:p w14:paraId="199CEB4F">
      <w:pPr>
        <w:pStyle w:val="9"/>
        <w:spacing w:before="10"/>
        <w:ind w:left="0"/>
        <w:jc w:val="left"/>
        <w:rPr>
          <w:rFonts w:hint="eastAsia"/>
          <w:sz w:val="30"/>
          <w:szCs w:val="30"/>
        </w:rPr>
      </w:pPr>
      <w:r>
        <w:rPr>
          <w:rFonts w:hint="eastAsia"/>
          <w:sz w:val="30"/>
          <w:szCs w:val="30"/>
        </w:rPr>
        <w:t>这个令人不安的发展引出了一些显而易见且重要的问题。</w:t>
      </w:r>
    </w:p>
    <w:p w14:paraId="6C23DC0B">
      <w:pPr>
        <w:pStyle w:val="9"/>
        <w:spacing w:before="10"/>
        <w:ind w:left="0"/>
        <w:jc w:val="left"/>
        <w:rPr>
          <w:rFonts w:hint="eastAsia"/>
          <w:sz w:val="30"/>
          <w:szCs w:val="30"/>
        </w:rPr>
      </w:pPr>
    </w:p>
    <w:p w14:paraId="02BCAFEC">
      <w:pPr>
        <w:pStyle w:val="9"/>
        <w:spacing w:before="10"/>
        <w:ind w:left="0"/>
        <w:jc w:val="left"/>
        <w:rPr>
          <w:rFonts w:hint="eastAsia"/>
          <w:sz w:val="30"/>
          <w:szCs w:val="30"/>
        </w:rPr>
      </w:pPr>
      <w:r>
        <w:rPr>
          <w:rFonts w:hint="eastAsia"/>
          <w:sz w:val="30"/>
          <w:szCs w:val="30"/>
        </w:rPr>
        <w:t>What has gone awry?</w:t>
      </w:r>
    </w:p>
    <w:p w14:paraId="50F0171F">
      <w:pPr>
        <w:pStyle w:val="9"/>
        <w:spacing w:before="10"/>
        <w:ind w:left="0"/>
        <w:jc w:val="left"/>
        <w:rPr>
          <w:rFonts w:hint="eastAsia"/>
          <w:sz w:val="30"/>
          <w:szCs w:val="30"/>
        </w:rPr>
      </w:pPr>
    </w:p>
    <w:p w14:paraId="62D0791F">
      <w:pPr>
        <w:pStyle w:val="9"/>
        <w:spacing w:before="10"/>
        <w:ind w:left="0"/>
        <w:jc w:val="left"/>
        <w:rPr>
          <w:rFonts w:hint="eastAsia"/>
          <w:sz w:val="30"/>
          <w:szCs w:val="30"/>
        </w:rPr>
      </w:pPr>
      <w:r>
        <w:rPr>
          <w:rFonts w:hint="eastAsia"/>
          <w:sz w:val="30"/>
          <w:szCs w:val="30"/>
        </w:rPr>
        <w:t>哪里出了差错？</w:t>
      </w:r>
    </w:p>
    <w:p w14:paraId="30A5F7F0">
      <w:pPr>
        <w:pStyle w:val="9"/>
        <w:spacing w:before="10"/>
        <w:ind w:left="0"/>
        <w:jc w:val="left"/>
        <w:rPr>
          <w:rFonts w:hint="eastAsia"/>
          <w:sz w:val="30"/>
          <w:szCs w:val="30"/>
        </w:rPr>
      </w:pPr>
    </w:p>
    <w:p w14:paraId="14E817CE">
      <w:pPr>
        <w:pStyle w:val="9"/>
        <w:spacing w:before="10"/>
        <w:ind w:left="0"/>
        <w:jc w:val="left"/>
        <w:rPr>
          <w:rFonts w:hint="eastAsia"/>
          <w:sz w:val="30"/>
          <w:szCs w:val="30"/>
        </w:rPr>
      </w:pPr>
      <w:r>
        <w:rPr>
          <w:rFonts w:hint="eastAsia"/>
          <w:sz w:val="30"/>
          <w:szCs w:val="30"/>
        </w:rPr>
        <w:t>Why has the historic consensus on eschatology collapsed?</w:t>
      </w:r>
    </w:p>
    <w:p w14:paraId="2B7F0AC7">
      <w:pPr>
        <w:pStyle w:val="9"/>
        <w:spacing w:before="10"/>
        <w:ind w:left="0"/>
        <w:jc w:val="left"/>
        <w:rPr>
          <w:rFonts w:hint="eastAsia"/>
          <w:sz w:val="30"/>
          <w:szCs w:val="30"/>
        </w:rPr>
      </w:pPr>
    </w:p>
    <w:p w14:paraId="23C9024D">
      <w:pPr>
        <w:pStyle w:val="9"/>
        <w:spacing w:before="10"/>
        <w:ind w:left="0"/>
        <w:jc w:val="left"/>
        <w:rPr>
          <w:rFonts w:hint="eastAsia"/>
          <w:sz w:val="30"/>
          <w:szCs w:val="30"/>
        </w:rPr>
      </w:pPr>
      <w:r>
        <w:rPr>
          <w:rFonts w:hint="eastAsia"/>
          <w:sz w:val="30"/>
          <w:szCs w:val="30"/>
        </w:rPr>
        <w:t>为何关于末世论的历史性共识会崩溃？</w:t>
      </w:r>
    </w:p>
    <w:p w14:paraId="5AFA35EA">
      <w:pPr>
        <w:pStyle w:val="9"/>
        <w:spacing w:before="10"/>
        <w:ind w:left="0"/>
        <w:jc w:val="left"/>
        <w:rPr>
          <w:rFonts w:hint="eastAsia"/>
          <w:sz w:val="30"/>
          <w:szCs w:val="30"/>
        </w:rPr>
      </w:pPr>
    </w:p>
    <w:p w14:paraId="25C52554">
      <w:pPr>
        <w:pStyle w:val="9"/>
        <w:spacing w:before="10"/>
        <w:ind w:left="0"/>
        <w:jc w:val="left"/>
        <w:rPr>
          <w:rFonts w:hint="eastAsia"/>
          <w:sz w:val="30"/>
          <w:szCs w:val="30"/>
        </w:rPr>
      </w:pPr>
      <w:r>
        <w:rPr>
          <w:rFonts w:hint="eastAsia"/>
          <w:sz w:val="30"/>
          <w:szCs w:val="30"/>
        </w:rPr>
        <w:t>How could so many theologians and churchmen of the past have been wrong, if indeed they were wrong?</w:t>
      </w:r>
    </w:p>
    <w:p w14:paraId="3BDED298">
      <w:pPr>
        <w:pStyle w:val="9"/>
        <w:spacing w:before="10"/>
        <w:ind w:left="0"/>
        <w:jc w:val="left"/>
        <w:rPr>
          <w:rFonts w:hint="eastAsia"/>
          <w:sz w:val="30"/>
          <w:szCs w:val="30"/>
        </w:rPr>
      </w:pPr>
    </w:p>
    <w:p w14:paraId="4C480388">
      <w:pPr>
        <w:pStyle w:val="9"/>
        <w:spacing w:before="10"/>
        <w:ind w:left="0"/>
        <w:jc w:val="left"/>
        <w:rPr>
          <w:rFonts w:hint="eastAsia"/>
          <w:sz w:val="30"/>
          <w:szCs w:val="30"/>
        </w:rPr>
      </w:pPr>
      <w:r>
        <w:rPr>
          <w:rFonts w:hint="eastAsia"/>
          <w:sz w:val="30"/>
          <w:szCs w:val="30"/>
        </w:rPr>
        <w:t>如果过去的那么多神学家和教牧人员真的错了，他们怎么可能错呢？</w:t>
      </w:r>
    </w:p>
    <w:p w14:paraId="3FE1ADEC">
      <w:pPr>
        <w:pStyle w:val="9"/>
        <w:spacing w:before="10"/>
        <w:ind w:left="0"/>
        <w:jc w:val="left"/>
        <w:rPr>
          <w:rFonts w:hint="eastAsia"/>
          <w:sz w:val="30"/>
          <w:szCs w:val="30"/>
        </w:rPr>
      </w:pPr>
    </w:p>
    <w:p w14:paraId="30441250">
      <w:pPr>
        <w:pStyle w:val="9"/>
        <w:spacing w:before="10"/>
        <w:ind w:left="0"/>
        <w:jc w:val="left"/>
        <w:rPr>
          <w:rFonts w:hint="eastAsia"/>
          <w:sz w:val="30"/>
          <w:szCs w:val="30"/>
        </w:rPr>
      </w:pPr>
      <w:r>
        <w:rPr>
          <w:rFonts w:hint="eastAsia"/>
          <w:sz w:val="30"/>
          <w:szCs w:val="30"/>
        </w:rPr>
        <w:t>Is biblical eschatology really as difficult as the present divisions seem to indicate?</w:t>
      </w:r>
    </w:p>
    <w:p w14:paraId="7DF0BFA1">
      <w:pPr>
        <w:pStyle w:val="9"/>
        <w:spacing w:before="10"/>
        <w:ind w:left="0"/>
        <w:jc w:val="left"/>
        <w:rPr>
          <w:rFonts w:hint="eastAsia"/>
          <w:sz w:val="30"/>
          <w:szCs w:val="30"/>
        </w:rPr>
      </w:pPr>
    </w:p>
    <w:p w14:paraId="4F5C06F2">
      <w:pPr>
        <w:pStyle w:val="9"/>
        <w:spacing w:before="10"/>
        <w:ind w:left="0"/>
        <w:jc w:val="left"/>
        <w:rPr>
          <w:rFonts w:hint="eastAsia"/>
          <w:sz w:val="30"/>
          <w:szCs w:val="30"/>
        </w:rPr>
      </w:pPr>
      <w:r>
        <w:rPr>
          <w:rFonts w:hint="eastAsia"/>
          <w:sz w:val="30"/>
          <w:szCs w:val="30"/>
        </w:rPr>
        <w:t>圣经末世论真的像目前的分歧所显示的那样困难吗？</w:t>
      </w:r>
    </w:p>
    <w:p w14:paraId="67B50102">
      <w:pPr>
        <w:pStyle w:val="9"/>
        <w:spacing w:before="10"/>
        <w:ind w:left="0"/>
        <w:jc w:val="left"/>
        <w:rPr>
          <w:rFonts w:hint="eastAsia"/>
          <w:sz w:val="30"/>
          <w:szCs w:val="30"/>
        </w:rPr>
      </w:pPr>
    </w:p>
    <w:p w14:paraId="4C46ECB2">
      <w:pPr>
        <w:pStyle w:val="9"/>
        <w:spacing w:before="10"/>
        <w:ind w:left="0"/>
        <w:jc w:val="left"/>
        <w:rPr>
          <w:rFonts w:hint="eastAsia"/>
          <w:sz w:val="30"/>
          <w:szCs w:val="30"/>
        </w:rPr>
      </w:pPr>
      <w:r>
        <w:rPr>
          <w:rFonts w:hint="eastAsia"/>
          <w:sz w:val="30"/>
          <w:szCs w:val="30"/>
        </w:rPr>
        <w:t>Is it that God is now giving us fresh light on eschatology?</w:t>
      </w:r>
    </w:p>
    <w:p w14:paraId="154780D8">
      <w:pPr>
        <w:pStyle w:val="9"/>
        <w:spacing w:before="10"/>
        <w:ind w:left="0"/>
        <w:jc w:val="left"/>
        <w:rPr>
          <w:rFonts w:hint="eastAsia"/>
          <w:sz w:val="30"/>
          <w:szCs w:val="30"/>
        </w:rPr>
      </w:pPr>
    </w:p>
    <w:p w14:paraId="6C122295">
      <w:pPr>
        <w:pStyle w:val="9"/>
        <w:spacing w:before="10"/>
        <w:ind w:left="0"/>
        <w:jc w:val="left"/>
        <w:rPr>
          <w:rFonts w:hint="eastAsia"/>
          <w:sz w:val="30"/>
          <w:szCs w:val="30"/>
        </w:rPr>
      </w:pPr>
      <w:r>
        <w:rPr>
          <w:rFonts w:hint="eastAsia"/>
          <w:sz w:val="30"/>
          <w:szCs w:val="30"/>
        </w:rPr>
        <w:t>是神现在正赐给我们关于末世论的新亮光吗？</w:t>
      </w:r>
    </w:p>
    <w:p w14:paraId="55B74F25">
      <w:pPr>
        <w:pStyle w:val="9"/>
        <w:spacing w:before="10"/>
        <w:ind w:left="0"/>
        <w:jc w:val="left"/>
        <w:rPr>
          <w:rFonts w:hint="eastAsia"/>
          <w:sz w:val="30"/>
          <w:szCs w:val="30"/>
        </w:rPr>
      </w:pPr>
    </w:p>
    <w:p w14:paraId="66C13A03">
      <w:pPr>
        <w:pStyle w:val="9"/>
        <w:spacing w:before="10"/>
        <w:ind w:left="0"/>
        <w:jc w:val="left"/>
        <w:rPr>
          <w:rFonts w:hint="eastAsia"/>
          <w:sz w:val="30"/>
          <w:szCs w:val="30"/>
        </w:rPr>
      </w:pPr>
      <w:r>
        <w:rPr>
          <w:rFonts w:hint="eastAsia"/>
          <w:sz w:val="30"/>
          <w:szCs w:val="30"/>
        </w:rPr>
        <w:t>Or is it that the Church is now under spiritual attack, and therefore in danger of losing whatever eschatological light she formerly enjoyed?</w:t>
      </w:r>
    </w:p>
    <w:p w14:paraId="2E5B8412">
      <w:pPr>
        <w:pStyle w:val="9"/>
        <w:spacing w:before="10"/>
        <w:ind w:left="0"/>
        <w:jc w:val="left"/>
        <w:rPr>
          <w:rFonts w:hint="eastAsia"/>
          <w:sz w:val="30"/>
          <w:szCs w:val="30"/>
        </w:rPr>
      </w:pPr>
    </w:p>
    <w:p w14:paraId="6B66DAB2">
      <w:pPr>
        <w:pStyle w:val="9"/>
        <w:spacing w:before="10"/>
        <w:ind w:left="0"/>
        <w:jc w:val="left"/>
        <w:rPr>
          <w:rFonts w:hint="eastAsia"/>
          <w:sz w:val="30"/>
          <w:szCs w:val="30"/>
        </w:rPr>
      </w:pPr>
      <w:r>
        <w:rPr>
          <w:rFonts w:hint="eastAsia"/>
          <w:sz w:val="30"/>
          <w:szCs w:val="30"/>
        </w:rPr>
        <w:t>还是说，教会现在正遭受属灵的攻击，因此面临着失去她先前所享有的任何末世论亮光的危险？</w:t>
      </w:r>
    </w:p>
    <w:p w14:paraId="0B3D598C">
      <w:pPr>
        <w:pStyle w:val="9"/>
        <w:spacing w:before="10"/>
        <w:ind w:left="0"/>
        <w:jc w:val="left"/>
        <w:rPr>
          <w:rFonts w:hint="eastAsia"/>
          <w:sz w:val="30"/>
          <w:szCs w:val="30"/>
        </w:rPr>
      </w:pPr>
    </w:p>
    <w:p w14:paraId="2993D6C8">
      <w:pPr>
        <w:pStyle w:val="9"/>
        <w:spacing w:before="10"/>
        <w:ind w:left="0"/>
        <w:jc w:val="left"/>
        <w:rPr>
          <w:rFonts w:hint="eastAsia"/>
          <w:sz w:val="30"/>
          <w:szCs w:val="30"/>
        </w:rPr>
      </w:pPr>
      <w:r>
        <w:rPr>
          <w:rFonts w:hint="eastAsia"/>
          <w:sz w:val="30"/>
          <w:szCs w:val="30"/>
        </w:rPr>
        <w:t>For my part, I believe that the answer to these questions is found upon the lips of Christ himself, who once said to his disciples, “An enemy has done this” (Mt. 13:28).</w:t>
      </w:r>
    </w:p>
    <w:p w14:paraId="22375261">
      <w:pPr>
        <w:pStyle w:val="9"/>
        <w:spacing w:before="10"/>
        <w:ind w:left="0"/>
        <w:jc w:val="left"/>
        <w:rPr>
          <w:rFonts w:hint="eastAsia"/>
          <w:sz w:val="30"/>
          <w:szCs w:val="30"/>
        </w:rPr>
      </w:pPr>
    </w:p>
    <w:p w14:paraId="3EE02F0E">
      <w:pPr>
        <w:pStyle w:val="9"/>
        <w:spacing w:before="10"/>
        <w:ind w:left="0"/>
        <w:jc w:val="left"/>
        <w:rPr>
          <w:rFonts w:hint="eastAsia"/>
          <w:sz w:val="30"/>
          <w:szCs w:val="30"/>
        </w:rPr>
      </w:pPr>
      <w:r>
        <w:rPr>
          <w:rFonts w:hint="eastAsia"/>
          <w:sz w:val="30"/>
          <w:szCs w:val="30"/>
        </w:rPr>
        <w:t>就我而言，我相信这些问题的答案可以在基督自己的口中找到，祂曾对祂的门徒说：“这是仇敌作的”（太 13:28）。</w:t>
      </w:r>
    </w:p>
    <w:p w14:paraId="4609A054">
      <w:pPr>
        <w:pStyle w:val="9"/>
        <w:spacing w:before="10"/>
        <w:ind w:left="0"/>
        <w:jc w:val="left"/>
        <w:rPr>
          <w:rFonts w:hint="eastAsia"/>
          <w:sz w:val="30"/>
          <w:szCs w:val="30"/>
        </w:rPr>
      </w:pPr>
    </w:p>
    <w:p w14:paraId="1EAF9AC8">
      <w:pPr>
        <w:pStyle w:val="9"/>
        <w:spacing w:before="10"/>
        <w:ind w:left="0"/>
        <w:jc w:val="left"/>
        <w:rPr>
          <w:rFonts w:hint="eastAsia"/>
          <w:sz w:val="30"/>
          <w:szCs w:val="30"/>
        </w:rPr>
      </w:pPr>
      <w:r>
        <w:rPr>
          <w:rFonts w:hint="eastAsia"/>
          <w:sz w:val="30"/>
          <w:szCs w:val="30"/>
        </w:rPr>
        <w:t>That enemy would be the devil and Satan, who, in Revelation 9:1-2, is pictured as a star fallen from heaven to the earth; a malevolent angelic being who opens the shaft of the abyss so that a great a cloud of smoke rises up to darken the sun and the air.</w:t>
      </w:r>
    </w:p>
    <w:p w14:paraId="7BCC97C7">
      <w:pPr>
        <w:pStyle w:val="9"/>
        <w:spacing w:before="10"/>
        <w:ind w:left="0"/>
        <w:jc w:val="left"/>
        <w:rPr>
          <w:rFonts w:hint="eastAsia"/>
          <w:sz w:val="30"/>
          <w:szCs w:val="30"/>
        </w:rPr>
      </w:pPr>
    </w:p>
    <w:p w14:paraId="101400F2">
      <w:pPr>
        <w:pStyle w:val="9"/>
        <w:spacing w:before="10"/>
        <w:ind w:left="0"/>
        <w:jc w:val="left"/>
        <w:rPr>
          <w:rFonts w:hint="eastAsia"/>
          <w:sz w:val="30"/>
          <w:szCs w:val="30"/>
        </w:rPr>
      </w:pPr>
      <w:r>
        <w:rPr>
          <w:rFonts w:hint="eastAsia"/>
          <w:sz w:val="30"/>
          <w:szCs w:val="30"/>
        </w:rPr>
        <w:t>那仇敌就是魔鬼撒但，他在启示录9:1-2中被描绘成一颗从天落到地上的星；一个邪恶的天使，他打开了无底坑的口，以致有一大股烟雾升起，熏黑了日头和天空。</w:t>
      </w:r>
    </w:p>
    <w:p w14:paraId="1EA2BB93">
      <w:pPr>
        <w:pStyle w:val="9"/>
        <w:spacing w:before="10"/>
        <w:ind w:left="0"/>
        <w:jc w:val="left"/>
        <w:rPr>
          <w:rFonts w:hint="eastAsia"/>
          <w:sz w:val="30"/>
          <w:szCs w:val="30"/>
        </w:rPr>
      </w:pPr>
    </w:p>
    <w:p w14:paraId="71C96FC9">
      <w:pPr>
        <w:pStyle w:val="9"/>
        <w:spacing w:before="10"/>
        <w:ind w:left="0"/>
        <w:jc w:val="left"/>
        <w:rPr>
          <w:rFonts w:hint="eastAsia"/>
          <w:sz w:val="30"/>
          <w:szCs w:val="30"/>
        </w:rPr>
      </w:pPr>
      <w:r>
        <w:rPr>
          <w:rFonts w:hint="eastAsia"/>
          <w:sz w:val="30"/>
          <w:szCs w:val="30"/>
        </w:rPr>
        <w:t>Here, then, in the mystical symbolism of the Revelation, we find a warning that in the last days Satan and his army of evil spirits will strive mightily to obscure the truth of God; to cloud the minds of men with errors and lies; to deceive, if it were possible, the very elect; to toss them to and fro, and carry them about with every wind of false doctrine (Mt. 24:24, Eph. 4:14).</w:t>
      </w:r>
    </w:p>
    <w:p w14:paraId="460F685B">
      <w:pPr>
        <w:pStyle w:val="9"/>
        <w:spacing w:before="10"/>
        <w:ind w:left="0"/>
        <w:jc w:val="left"/>
        <w:rPr>
          <w:rFonts w:hint="eastAsia"/>
          <w:sz w:val="30"/>
          <w:szCs w:val="30"/>
        </w:rPr>
      </w:pPr>
    </w:p>
    <w:p w14:paraId="4E017F4C">
      <w:pPr>
        <w:pStyle w:val="9"/>
        <w:spacing w:before="10"/>
        <w:ind w:left="0"/>
        <w:jc w:val="left"/>
        <w:rPr>
          <w:rFonts w:hint="eastAsia"/>
          <w:sz w:val="30"/>
          <w:szCs w:val="30"/>
        </w:rPr>
      </w:pPr>
      <w:r>
        <w:rPr>
          <w:rFonts w:hint="eastAsia"/>
          <w:sz w:val="30"/>
          <w:szCs w:val="30"/>
        </w:rPr>
        <w:t>因此，在启示录的奥秘象征中，我们发现一个警告，即在末后的日子里，撒但和他邪灵的军队将竭力地蒙蔽神的真理；用错谬和谎言来蒙蔽人的心智；若是能行，连选民也要迷惑了；使他们飘来飘去，被一切虚假教义之风摇动（太 24:24, 弗 4:14）。</w:t>
      </w:r>
    </w:p>
    <w:p w14:paraId="5DFF12C7">
      <w:pPr>
        <w:pStyle w:val="9"/>
        <w:spacing w:before="10"/>
        <w:ind w:left="0"/>
        <w:jc w:val="left"/>
        <w:rPr>
          <w:rFonts w:hint="eastAsia"/>
          <w:sz w:val="30"/>
          <w:szCs w:val="30"/>
        </w:rPr>
      </w:pPr>
    </w:p>
    <w:p w14:paraId="73A4F0D0">
      <w:pPr>
        <w:pStyle w:val="9"/>
        <w:spacing w:before="10"/>
        <w:ind w:left="0"/>
        <w:jc w:val="left"/>
        <w:rPr>
          <w:rFonts w:hint="eastAsia"/>
          <w:sz w:val="30"/>
          <w:szCs w:val="30"/>
        </w:rPr>
      </w:pPr>
      <w:r>
        <w:rPr>
          <w:rFonts w:hint="eastAsia"/>
          <w:sz w:val="30"/>
          <w:szCs w:val="30"/>
        </w:rPr>
        <w:t>In short, I believe the modern beclouding of the Blessed Hope of Christ’s Church is a sure sign of intense spiritual warfare on the eschatological front.</w:t>
      </w:r>
    </w:p>
    <w:p w14:paraId="7C959D01">
      <w:pPr>
        <w:pStyle w:val="9"/>
        <w:spacing w:before="10"/>
        <w:ind w:left="0"/>
        <w:jc w:val="left"/>
        <w:rPr>
          <w:rFonts w:hint="eastAsia"/>
          <w:sz w:val="30"/>
          <w:szCs w:val="30"/>
        </w:rPr>
      </w:pPr>
    </w:p>
    <w:p w14:paraId="73DF864B">
      <w:pPr>
        <w:pStyle w:val="9"/>
        <w:spacing w:before="10"/>
        <w:ind w:left="0"/>
        <w:jc w:val="left"/>
        <w:rPr>
          <w:rFonts w:hint="eastAsia"/>
          <w:sz w:val="30"/>
          <w:szCs w:val="30"/>
        </w:rPr>
      </w:pPr>
      <w:r>
        <w:rPr>
          <w:rFonts w:hint="eastAsia"/>
          <w:sz w:val="30"/>
          <w:szCs w:val="30"/>
        </w:rPr>
        <w:t>简而言之，我相信对基督教会有福的盼望的现代蒙蔽，是末世论战线上激烈属灵争战的一个确切迹象。</w:t>
      </w:r>
    </w:p>
    <w:p w14:paraId="3BD31271">
      <w:pPr>
        <w:pStyle w:val="9"/>
        <w:spacing w:before="10"/>
        <w:ind w:left="0"/>
        <w:jc w:val="left"/>
        <w:rPr>
          <w:rFonts w:hint="eastAsia"/>
          <w:sz w:val="30"/>
          <w:szCs w:val="30"/>
        </w:rPr>
      </w:pPr>
    </w:p>
    <w:p w14:paraId="7DDC5CCB">
      <w:pPr>
        <w:pStyle w:val="9"/>
        <w:spacing w:before="10"/>
        <w:ind w:left="0"/>
        <w:jc w:val="left"/>
        <w:rPr>
          <w:rFonts w:hint="eastAsia"/>
          <w:sz w:val="30"/>
          <w:szCs w:val="30"/>
        </w:rPr>
      </w:pPr>
      <w:r>
        <w:rPr>
          <w:rFonts w:hint="eastAsia"/>
          <w:sz w:val="30"/>
          <w:szCs w:val="30"/>
        </w:rPr>
        <w:t>Counting the Cost</w:t>
      </w:r>
    </w:p>
    <w:p w14:paraId="00E9EFE3">
      <w:pPr>
        <w:pStyle w:val="9"/>
        <w:spacing w:before="10"/>
        <w:ind w:left="0"/>
        <w:jc w:val="left"/>
        <w:rPr>
          <w:rFonts w:hint="eastAsia"/>
          <w:sz w:val="30"/>
          <w:szCs w:val="30"/>
        </w:rPr>
      </w:pPr>
    </w:p>
    <w:p w14:paraId="68AA3494">
      <w:pPr>
        <w:pStyle w:val="9"/>
        <w:spacing w:before="10"/>
        <w:ind w:left="0"/>
        <w:jc w:val="left"/>
        <w:rPr>
          <w:rFonts w:hint="eastAsia"/>
          <w:sz w:val="30"/>
          <w:szCs w:val="30"/>
        </w:rPr>
      </w:pPr>
      <w:r>
        <w:rPr>
          <w:rFonts w:hint="eastAsia"/>
          <w:sz w:val="30"/>
          <w:szCs w:val="30"/>
        </w:rPr>
        <w:t>计算代价</w:t>
      </w:r>
    </w:p>
    <w:p w14:paraId="5A576174">
      <w:pPr>
        <w:pStyle w:val="9"/>
        <w:spacing w:before="10"/>
        <w:ind w:left="0"/>
        <w:jc w:val="left"/>
        <w:rPr>
          <w:rFonts w:hint="eastAsia"/>
          <w:sz w:val="30"/>
          <w:szCs w:val="30"/>
        </w:rPr>
      </w:pPr>
    </w:p>
    <w:p w14:paraId="189FCA1C">
      <w:pPr>
        <w:pStyle w:val="9"/>
        <w:spacing w:before="10"/>
        <w:ind w:left="0"/>
        <w:jc w:val="left"/>
        <w:rPr>
          <w:rFonts w:hint="eastAsia"/>
          <w:sz w:val="30"/>
          <w:szCs w:val="30"/>
        </w:rPr>
      </w:pPr>
      <w:r>
        <w:rPr>
          <w:rFonts w:hint="eastAsia"/>
          <w:sz w:val="30"/>
          <w:szCs w:val="30"/>
        </w:rPr>
        <w:t>For five weighty reasons, this warfare is costing the saints dearly.</w:t>
      </w:r>
    </w:p>
    <w:p w14:paraId="518FF78B">
      <w:pPr>
        <w:pStyle w:val="9"/>
        <w:spacing w:before="10"/>
        <w:ind w:left="0"/>
        <w:jc w:val="left"/>
        <w:rPr>
          <w:rFonts w:hint="eastAsia"/>
          <w:sz w:val="30"/>
          <w:szCs w:val="30"/>
        </w:rPr>
      </w:pPr>
    </w:p>
    <w:p w14:paraId="47A78184">
      <w:pPr>
        <w:pStyle w:val="9"/>
        <w:spacing w:before="10"/>
        <w:ind w:left="0"/>
        <w:jc w:val="left"/>
        <w:rPr>
          <w:rFonts w:hint="eastAsia"/>
          <w:sz w:val="30"/>
          <w:szCs w:val="30"/>
        </w:rPr>
      </w:pPr>
      <w:r>
        <w:rPr>
          <w:rFonts w:hint="eastAsia"/>
          <w:sz w:val="30"/>
          <w:szCs w:val="30"/>
        </w:rPr>
        <w:t>由于五个重大的原因，这场争战正让圣徒付出沉重的代价。</w:t>
      </w:r>
    </w:p>
    <w:p w14:paraId="49532AA8">
      <w:pPr>
        <w:pStyle w:val="9"/>
        <w:spacing w:before="10"/>
        <w:ind w:left="0"/>
        <w:jc w:val="left"/>
        <w:rPr>
          <w:rFonts w:hint="eastAsia"/>
          <w:sz w:val="30"/>
          <w:szCs w:val="30"/>
        </w:rPr>
      </w:pPr>
    </w:p>
    <w:p w14:paraId="01EB8955">
      <w:pPr>
        <w:pStyle w:val="9"/>
        <w:spacing w:before="10"/>
        <w:ind w:left="0"/>
        <w:jc w:val="left"/>
        <w:rPr>
          <w:rFonts w:hint="eastAsia"/>
          <w:sz w:val="30"/>
          <w:szCs w:val="30"/>
        </w:rPr>
      </w:pPr>
      <w:r>
        <w:rPr>
          <w:rFonts w:hint="eastAsia"/>
          <w:sz w:val="30"/>
          <w:szCs w:val="30"/>
        </w:rPr>
        <w:t>First, it diminishes eschatological clarity.</w:t>
      </w:r>
    </w:p>
    <w:p w14:paraId="4FE44F2C">
      <w:pPr>
        <w:pStyle w:val="9"/>
        <w:spacing w:before="10"/>
        <w:ind w:left="0"/>
        <w:jc w:val="left"/>
        <w:rPr>
          <w:rFonts w:hint="eastAsia"/>
          <w:sz w:val="30"/>
          <w:szCs w:val="30"/>
        </w:rPr>
      </w:pPr>
    </w:p>
    <w:p w14:paraId="71C5712A">
      <w:pPr>
        <w:pStyle w:val="9"/>
        <w:spacing w:before="10"/>
        <w:ind w:left="0"/>
        <w:jc w:val="left"/>
        <w:rPr>
          <w:rFonts w:hint="eastAsia"/>
          <w:sz w:val="30"/>
          <w:szCs w:val="30"/>
        </w:rPr>
      </w:pPr>
      <w:r>
        <w:rPr>
          <w:rFonts w:hint="eastAsia"/>
          <w:sz w:val="30"/>
          <w:szCs w:val="30"/>
        </w:rPr>
        <w:t>首先，它削弱了末世论的清晰度。</w:t>
      </w:r>
    </w:p>
    <w:p w14:paraId="2C7920ED">
      <w:pPr>
        <w:pStyle w:val="9"/>
        <w:spacing w:before="10"/>
        <w:ind w:left="0"/>
        <w:jc w:val="left"/>
        <w:rPr>
          <w:rFonts w:hint="eastAsia"/>
          <w:sz w:val="30"/>
          <w:szCs w:val="30"/>
        </w:rPr>
      </w:pPr>
    </w:p>
    <w:p w14:paraId="04660E94">
      <w:pPr>
        <w:pStyle w:val="9"/>
        <w:spacing w:before="10"/>
        <w:ind w:left="0"/>
        <w:jc w:val="left"/>
        <w:rPr>
          <w:rFonts w:hint="eastAsia"/>
          <w:sz w:val="30"/>
          <w:szCs w:val="30"/>
        </w:rPr>
      </w:pPr>
      <w:r>
        <w:rPr>
          <w:rFonts w:hint="eastAsia"/>
          <w:sz w:val="30"/>
          <w:szCs w:val="30"/>
        </w:rPr>
        <w:t>The Bible assures us that our Lord very much desires such clarity for his Church.</w:t>
      </w:r>
    </w:p>
    <w:p w14:paraId="704510BB">
      <w:pPr>
        <w:pStyle w:val="9"/>
        <w:spacing w:before="10"/>
        <w:ind w:left="0"/>
        <w:jc w:val="left"/>
        <w:rPr>
          <w:rFonts w:hint="eastAsia"/>
          <w:sz w:val="30"/>
          <w:szCs w:val="30"/>
        </w:rPr>
      </w:pPr>
    </w:p>
    <w:p w14:paraId="6CD9127B">
      <w:pPr>
        <w:pStyle w:val="9"/>
        <w:spacing w:before="10"/>
        <w:ind w:left="0"/>
        <w:jc w:val="left"/>
        <w:rPr>
          <w:rFonts w:hint="eastAsia"/>
          <w:sz w:val="30"/>
          <w:szCs w:val="30"/>
        </w:rPr>
      </w:pPr>
      <w:r>
        <w:rPr>
          <w:rFonts w:hint="eastAsia"/>
          <w:sz w:val="30"/>
          <w:szCs w:val="30"/>
        </w:rPr>
        <w:t>圣经向我们保证，我们的主非常渴望祂的教会能有这样的清晰度。</w:t>
      </w:r>
    </w:p>
    <w:p w14:paraId="232D007A">
      <w:pPr>
        <w:pStyle w:val="9"/>
        <w:spacing w:before="10"/>
        <w:ind w:left="0"/>
        <w:jc w:val="left"/>
        <w:rPr>
          <w:rFonts w:hint="eastAsia"/>
          <w:sz w:val="30"/>
          <w:szCs w:val="30"/>
        </w:rPr>
      </w:pPr>
    </w:p>
    <w:p w14:paraId="40B34178">
      <w:pPr>
        <w:pStyle w:val="9"/>
        <w:spacing w:before="10"/>
        <w:ind w:left="0"/>
        <w:jc w:val="left"/>
        <w:rPr>
          <w:rFonts w:hint="eastAsia"/>
          <w:sz w:val="30"/>
          <w:szCs w:val="30"/>
        </w:rPr>
      </w:pPr>
      <w:r>
        <w:rPr>
          <w:rFonts w:hint="eastAsia"/>
          <w:sz w:val="30"/>
          <w:szCs w:val="30"/>
        </w:rPr>
        <w:t>Having spoken at length to his disciples about the mysteries of the Kingdom of God, he pointedly asked them, “Have you understood these things?”</w:t>
      </w:r>
    </w:p>
    <w:p w14:paraId="3CBD71AB">
      <w:pPr>
        <w:pStyle w:val="9"/>
        <w:spacing w:before="10"/>
        <w:ind w:left="0"/>
        <w:jc w:val="left"/>
        <w:rPr>
          <w:rFonts w:hint="eastAsia"/>
          <w:sz w:val="30"/>
          <w:szCs w:val="30"/>
        </w:rPr>
      </w:pPr>
    </w:p>
    <w:p w14:paraId="0CFFAB09">
      <w:pPr>
        <w:pStyle w:val="9"/>
        <w:spacing w:before="10"/>
        <w:ind w:left="0"/>
        <w:jc w:val="left"/>
        <w:rPr>
          <w:rFonts w:hint="eastAsia"/>
          <w:sz w:val="30"/>
          <w:szCs w:val="30"/>
        </w:rPr>
      </w:pPr>
      <w:r>
        <w:rPr>
          <w:rFonts w:hint="eastAsia"/>
          <w:sz w:val="30"/>
          <w:szCs w:val="30"/>
        </w:rPr>
        <w:t>在长篇论述了神国的奥秘之后，祂尖锐地问祂的门徒：“这一切的事，你们都明白了吗？”</w:t>
      </w:r>
    </w:p>
    <w:p w14:paraId="6AFFAAC3">
      <w:pPr>
        <w:pStyle w:val="9"/>
        <w:spacing w:before="10"/>
        <w:ind w:left="0"/>
        <w:jc w:val="left"/>
        <w:rPr>
          <w:rFonts w:hint="eastAsia"/>
          <w:sz w:val="30"/>
          <w:szCs w:val="30"/>
        </w:rPr>
      </w:pPr>
    </w:p>
    <w:p w14:paraId="7894A398">
      <w:pPr>
        <w:pStyle w:val="9"/>
        <w:spacing w:before="10"/>
        <w:ind w:left="0"/>
        <w:jc w:val="left"/>
        <w:rPr>
          <w:rFonts w:hint="eastAsia"/>
          <w:sz w:val="30"/>
          <w:szCs w:val="30"/>
        </w:rPr>
      </w:pPr>
      <w:r>
        <w:rPr>
          <w:rFonts w:hint="eastAsia"/>
          <w:sz w:val="30"/>
          <w:szCs w:val="30"/>
        </w:rPr>
        <w:t>He knew, of course, that they hadn’t, and that they couldn’t until the Day of Pentecost, when the Spirit would come to teach them all things.</w:t>
      </w:r>
    </w:p>
    <w:p w14:paraId="0BA9529C">
      <w:pPr>
        <w:pStyle w:val="9"/>
        <w:spacing w:before="10"/>
        <w:ind w:left="0"/>
        <w:jc w:val="left"/>
        <w:rPr>
          <w:rFonts w:hint="eastAsia"/>
          <w:sz w:val="30"/>
          <w:szCs w:val="30"/>
        </w:rPr>
      </w:pPr>
    </w:p>
    <w:p w14:paraId="4CD02735">
      <w:pPr>
        <w:pStyle w:val="9"/>
        <w:spacing w:before="10"/>
        <w:ind w:left="0"/>
        <w:jc w:val="left"/>
        <w:rPr>
          <w:rFonts w:hint="eastAsia"/>
          <w:sz w:val="30"/>
          <w:szCs w:val="30"/>
        </w:rPr>
      </w:pPr>
      <w:r>
        <w:rPr>
          <w:rFonts w:hint="eastAsia"/>
          <w:sz w:val="30"/>
          <w:szCs w:val="30"/>
        </w:rPr>
        <w:t>祂当然知道他们没有明白，也知道他们要到五旬节那日，当圣灵来教导他们一切事时，才能明白。</w:t>
      </w:r>
    </w:p>
    <w:p w14:paraId="7214334A">
      <w:pPr>
        <w:pStyle w:val="9"/>
        <w:spacing w:before="10"/>
        <w:ind w:left="0"/>
        <w:jc w:val="left"/>
        <w:rPr>
          <w:rFonts w:hint="eastAsia"/>
          <w:sz w:val="30"/>
          <w:szCs w:val="30"/>
        </w:rPr>
      </w:pPr>
    </w:p>
    <w:p w14:paraId="6E2BE85E">
      <w:pPr>
        <w:pStyle w:val="9"/>
        <w:spacing w:before="10"/>
        <w:ind w:left="0"/>
        <w:jc w:val="left"/>
        <w:rPr>
          <w:rFonts w:hint="eastAsia"/>
          <w:sz w:val="30"/>
          <w:szCs w:val="30"/>
        </w:rPr>
      </w:pPr>
      <w:r>
        <w:rPr>
          <w:rFonts w:hint="eastAsia"/>
          <w:sz w:val="30"/>
          <w:szCs w:val="30"/>
        </w:rPr>
        <w:t>Nevertheless, Christ’s remarks reveal his heart: He wants his people to be clear about biblical eschatology.</w:t>
      </w:r>
    </w:p>
    <w:p w14:paraId="2B5DBB18">
      <w:pPr>
        <w:pStyle w:val="9"/>
        <w:spacing w:before="10"/>
        <w:ind w:left="0"/>
        <w:jc w:val="left"/>
        <w:rPr>
          <w:rFonts w:hint="eastAsia"/>
          <w:sz w:val="30"/>
          <w:szCs w:val="30"/>
        </w:rPr>
      </w:pPr>
    </w:p>
    <w:p w14:paraId="3751FD31">
      <w:pPr>
        <w:pStyle w:val="9"/>
        <w:spacing w:before="10"/>
        <w:ind w:left="0"/>
        <w:jc w:val="left"/>
        <w:rPr>
          <w:rFonts w:hint="eastAsia"/>
          <w:sz w:val="30"/>
          <w:szCs w:val="30"/>
        </w:rPr>
      </w:pPr>
      <w:r>
        <w:rPr>
          <w:rFonts w:hint="eastAsia"/>
          <w:sz w:val="30"/>
          <w:szCs w:val="30"/>
        </w:rPr>
        <w:t>然而，基督的话揭示了祂的心：祂要祂的子民对圣经末世论有清晰的认识。</w:t>
      </w:r>
    </w:p>
    <w:p w14:paraId="5C810EE6">
      <w:pPr>
        <w:pStyle w:val="9"/>
        <w:spacing w:before="10"/>
        <w:ind w:left="0"/>
        <w:jc w:val="left"/>
        <w:rPr>
          <w:rFonts w:hint="eastAsia"/>
          <w:sz w:val="30"/>
          <w:szCs w:val="30"/>
        </w:rPr>
      </w:pPr>
    </w:p>
    <w:p w14:paraId="2B77CDA7">
      <w:pPr>
        <w:pStyle w:val="9"/>
        <w:spacing w:before="10"/>
        <w:ind w:left="0"/>
        <w:jc w:val="left"/>
        <w:rPr>
          <w:rFonts w:hint="eastAsia"/>
          <w:sz w:val="30"/>
          <w:szCs w:val="30"/>
        </w:rPr>
      </w:pPr>
      <w:r>
        <w:rPr>
          <w:rFonts w:hint="eastAsia"/>
          <w:sz w:val="30"/>
          <w:szCs w:val="30"/>
        </w:rPr>
        <w:t>In particular, he wants them to be clear about the Kingdom of God: its nature, its stages, the meaning of the OT prophecies that foretold it, and the design and structure of the great Consummation that will bring it to completion.</w:t>
      </w:r>
    </w:p>
    <w:p w14:paraId="42713A3F">
      <w:pPr>
        <w:pStyle w:val="9"/>
        <w:spacing w:before="10"/>
        <w:ind w:left="0"/>
        <w:jc w:val="left"/>
        <w:rPr>
          <w:rFonts w:hint="eastAsia"/>
          <w:sz w:val="30"/>
          <w:szCs w:val="30"/>
        </w:rPr>
      </w:pPr>
    </w:p>
    <w:p w14:paraId="2A0C4DE4">
      <w:pPr>
        <w:pStyle w:val="9"/>
        <w:spacing w:before="10"/>
        <w:ind w:left="0"/>
        <w:jc w:val="left"/>
        <w:rPr>
          <w:rFonts w:hint="eastAsia"/>
          <w:sz w:val="30"/>
          <w:szCs w:val="30"/>
        </w:rPr>
      </w:pPr>
      <w:r>
        <w:rPr>
          <w:rFonts w:hint="eastAsia"/>
          <w:sz w:val="30"/>
          <w:szCs w:val="30"/>
        </w:rPr>
        <w:t>具体来说，祂要他们清楚神的国：其性质、其阶段、预言它的旧约预言的意义，以及那将使其得以完成的伟大成全之设计与结构。</w:t>
      </w:r>
    </w:p>
    <w:p w14:paraId="7BDFED86">
      <w:pPr>
        <w:pStyle w:val="9"/>
        <w:spacing w:before="10"/>
        <w:ind w:left="0"/>
        <w:jc w:val="left"/>
        <w:rPr>
          <w:rFonts w:hint="eastAsia"/>
          <w:sz w:val="30"/>
          <w:szCs w:val="30"/>
        </w:rPr>
      </w:pPr>
    </w:p>
    <w:p w14:paraId="1E81D86A">
      <w:pPr>
        <w:pStyle w:val="9"/>
        <w:spacing w:before="10"/>
        <w:ind w:left="0"/>
        <w:jc w:val="left"/>
        <w:rPr>
          <w:rFonts w:hint="eastAsia"/>
          <w:sz w:val="30"/>
          <w:szCs w:val="30"/>
        </w:rPr>
      </w:pPr>
      <w:r>
        <w:rPr>
          <w:rFonts w:hint="eastAsia"/>
          <w:sz w:val="30"/>
          <w:szCs w:val="30"/>
        </w:rPr>
        <w:t>In other words, he wants his people to be competent NT scribes, drawing out of the great treasure chest of biblical wisdom things new and old.</w:t>
      </w:r>
    </w:p>
    <w:p w14:paraId="68570870">
      <w:pPr>
        <w:pStyle w:val="9"/>
        <w:spacing w:before="10"/>
        <w:ind w:left="0"/>
        <w:jc w:val="left"/>
        <w:rPr>
          <w:rFonts w:hint="eastAsia"/>
          <w:sz w:val="30"/>
          <w:szCs w:val="30"/>
        </w:rPr>
      </w:pPr>
    </w:p>
    <w:p w14:paraId="5F040ECC">
      <w:pPr>
        <w:pStyle w:val="9"/>
        <w:spacing w:before="10"/>
        <w:ind w:left="0"/>
        <w:jc w:val="left"/>
        <w:rPr>
          <w:rFonts w:hint="eastAsia"/>
          <w:sz w:val="30"/>
          <w:szCs w:val="30"/>
        </w:rPr>
      </w:pPr>
      <w:r>
        <w:rPr>
          <w:rFonts w:hint="eastAsia"/>
          <w:sz w:val="30"/>
          <w:szCs w:val="30"/>
        </w:rPr>
        <w:t>换句话说，祂要祂的子民成为有能力的新约文士，从圣经智慧的巨大宝库中取出新旧的东西来。</w:t>
      </w:r>
    </w:p>
    <w:p w14:paraId="4D2BF7B8">
      <w:pPr>
        <w:pStyle w:val="9"/>
        <w:spacing w:before="10"/>
        <w:ind w:left="0"/>
        <w:jc w:val="left"/>
        <w:rPr>
          <w:rFonts w:hint="eastAsia"/>
          <w:sz w:val="30"/>
          <w:szCs w:val="30"/>
        </w:rPr>
      </w:pPr>
    </w:p>
    <w:p w14:paraId="79EFA2DF">
      <w:pPr>
        <w:pStyle w:val="9"/>
        <w:spacing w:before="10"/>
        <w:ind w:left="0"/>
        <w:jc w:val="left"/>
        <w:rPr>
          <w:rFonts w:hint="eastAsia"/>
          <w:sz w:val="30"/>
          <w:szCs w:val="30"/>
        </w:rPr>
      </w:pPr>
      <w:r>
        <w:rPr>
          <w:rFonts w:hint="eastAsia"/>
          <w:sz w:val="30"/>
          <w:szCs w:val="30"/>
        </w:rPr>
        <w:t>He wants them to be skillful in using fully digested NT truth to understand, enjoy, and proclaim all that was revealed in OT times (Mt. 13:51-52).</w:t>
      </w:r>
    </w:p>
    <w:p w14:paraId="47F2D240">
      <w:pPr>
        <w:pStyle w:val="9"/>
        <w:spacing w:before="10"/>
        <w:ind w:left="0"/>
        <w:jc w:val="left"/>
        <w:rPr>
          <w:rFonts w:hint="eastAsia"/>
          <w:sz w:val="30"/>
          <w:szCs w:val="30"/>
        </w:rPr>
      </w:pPr>
    </w:p>
    <w:p w14:paraId="130CDCC8">
      <w:pPr>
        <w:pStyle w:val="9"/>
        <w:spacing w:before="10"/>
        <w:ind w:left="0"/>
        <w:jc w:val="left"/>
        <w:rPr>
          <w:rFonts w:hint="eastAsia"/>
          <w:sz w:val="30"/>
          <w:szCs w:val="30"/>
        </w:rPr>
      </w:pPr>
      <w:r>
        <w:rPr>
          <w:rFonts w:hint="eastAsia"/>
          <w:sz w:val="30"/>
          <w:szCs w:val="30"/>
        </w:rPr>
        <w:t>祂要他们善于使用完全消化的新约真理，来理解、享受和宣讲旧约时代所启示的一切（太 13:51-52）。</w:t>
      </w:r>
    </w:p>
    <w:p w14:paraId="21442E2D">
      <w:pPr>
        <w:pStyle w:val="9"/>
        <w:spacing w:before="10"/>
        <w:ind w:left="0"/>
        <w:jc w:val="left"/>
        <w:rPr>
          <w:rFonts w:hint="eastAsia"/>
          <w:sz w:val="30"/>
          <w:szCs w:val="30"/>
        </w:rPr>
      </w:pPr>
    </w:p>
    <w:p w14:paraId="5270358F">
      <w:pPr>
        <w:pStyle w:val="9"/>
        <w:spacing w:before="10"/>
        <w:ind w:left="0"/>
        <w:jc w:val="left"/>
        <w:rPr>
          <w:rFonts w:hint="eastAsia"/>
          <w:sz w:val="30"/>
          <w:szCs w:val="30"/>
        </w:rPr>
      </w:pPr>
      <w:r>
        <w:rPr>
          <w:rFonts w:hint="eastAsia"/>
          <w:sz w:val="30"/>
          <w:szCs w:val="30"/>
        </w:rPr>
        <w:t>Secondly, to the extent that it diminishes clarity, the present eschatological confusion also diminishes expectancy, confidence, and joy.</w:t>
      </w:r>
    </w:p>
    <w:p w14:paraId="3E2FE853">
      <w:pPr>
        <w:pStyle w:val="9"/>
        <w:spacing w:before="10"/>
        <w:ind w:left="0"/>
        <w:jc w:val="left"/>
        <w:rPr>
          <w:rFonts w:hint="eastAsia"/>
          <w:sz w:val="30"/>
          <w:szCs w:val="30"/>
        </w:rPr>
      </w:pPr>
    </w:p>
    <w:p w14:paraId="4ACB04D1">
      <w:pPr>
        <w:pStyle w:val="9"/>
        <w:spacing w:before="10"/>
        <w:ind w:left="0"/>
        <w:jc w:val="left"/>
        <w:rPr>
          <w:rFonts w:hint="eastAsia"/>
          <w:sz w:val="30"/>
          <w:szCs w:val="30"/>
        </w:rPr>
      </w:pPr>
      <w:r>
        <w:rPr>
          <w:rFonts w:hint="eastAsia"/>
          <w:sz w:val="30"/>
          <w:szCs w:val="30"/>
        </w:rPr>
        <w:t>其次，在削弱清晰度的同时，当前的末世论混乱也削弱了期盼、确信和喜乐。</w:t>
      </w:r>
    </w:p>
    <w:p w14:paraId="376704F7">
      <w:pPr>
        <w:pStyle w:val="9"/>
        <w:spacing w:before="10"/>
        <w:ind w:left="0"/>
        <w:jc w:val="left"/>
        <w:rPr>
          <w:rFonts w:hint="eastAsia"/>
          <w:sz w:val="30"/>
          <w:szCs w:val="30"/>
        </w:rPr>
      </w:pPr>
    </w:p>
    <w:p w14:paraId="7E81F1A6">
      <w:pPr>
        <w:pStyle w:val="9"/>
        <w:spacing w:before="10"/>
        <w:ind w:left="0"/>
        <w:jc w:val="left"/>
        <w:rPr>
          <w:rFonts w:hint="eastAsia"/>
          <w:sz w:val="30"/>
          <w:szCs w:val="30"/>
        </w:rPr>
      </w:pPr>
      <w:r>
        <w:rPr>
          <w:rFonts w:hint="eastAsia"/>
          <w:sz w:val="30"/>
          <w:szCs w:val="30"/>
        </w:rPr>
        <w:t>Again, eschatological truth is meant to unite us spiritually with our Blessed Hope.</w:t>
      </w:r>
    </w:p>
    <w:p w14:paraId="63D79766">
      <w:pPr>
        <w:pStyle w:val="9"/>
        <w:spacing w:before="10"/>
        <w:ind w:left="0"/>
        <w:jc w:val="left"/>
        <w:rPr>
          <w:rFonts w:hint="eastAsia"/>
          <w:sz w:val="30"/>
          <w:szCs w:val="30"/>
        </w:rPr>
      </w:pPr>
    </w:p>
    <w:p w14:paraId="080C83F0">
      <w:pPr>
        <w:pStyle w:val="9"/>
        <w:spacing w:before="10"/>
        <w:ind w:left="0"/>
        <w:jc w:val="left"/>
        <w:rPr>
          <w:rFonts w:hint="eastAsia"/>
          <w:sz w:val="30"/>
          <w:szCs w:val="30"/>
        </w:rPr>
      </w:pPr>
      <w:r>
        <w:rPr>
          <w:rFonts w:hint="eastAsia"/>
          <w:sz w:val="30"/>
          <w:szCs w:val="30"/>
        </w:rPr>
        <w:t>再次强调，末世论的真理旨在使我们与我们有福的盼望在灵里联合。</w:t>
      </w:r>
    </w:p>
    <w:p w14:paraId="6B8FE7ED">
      <w:pPr>
        <w:pStyle w:val="9"/>
        <w:spacing w:before="10"/>
        <w:ind w:left="0"/>
        <w:jc w:val="left"/>
        <w:rPr>
          <w:rFonts w:hint="eastAsia"/>
          <w:sz w:val="30"/>
          <w:szCs w:val="30"/>
        </w:rPr>
      </w:pPr>
    </w:p>
    <w:p w14:paraId="552D38D3">
      <w:pPr>
        <w:pStyle w:val="9"/>
        <w:spacing w:before="10"/>
        <w:ind w:left="0"/>
        <w:jc w:val="left"/>
        <w:rPr>
          <w:rFonts w:hint="eastAsia"/>
          <w:sz w:val="30"/>
          <w:szCs w:val="30"/>
        </w:rPr>
      </w:pPr>
      <w:r>
        <w:rPr>
          <w:rFonts w:hint="eastAsia"/>
          <w:sz w:val="30"/>
          <w:szCs w:val="30"/>
        </w:rPr>
        <w:t>It is meant to be a conduit through which the beauty, power, majesty, and joy of the Consummation pours into our souls even before the event itself occurs.</w:t>
      </w:r>
    </w:p>
    <w:p w14:paraId="4CF76E64">
      <w:pPr>
        <w:pStyle w:val="9"/>
        <w:spacing w:before="10"/>
        <w:ind w:left="0"/>
        <w:jc w:val="left"/>
        <w:rPr>
          <w:rFonts w:hint="eastAsia"/>
          <w:sz w:val="30"/>
          <w:szCs w:val="30"/>
        </w:rPr>
      </w:pPr>
    </w:p>
    <w:p w14:paraId="77F7640C">
      <w:pPr>
        <w:pStyle w:val="9"/>
        <w:spacing w:before="10"/>
        <w:ind w:left="0"/>
        <w:jc w:val="left"/>
        <w:rPr>
          <w:rFonts w:hint="eastAsia"/>
          <w:sz w:val="30"/>
          <w:szCs w:val="30"/>
        </w:rPr>
      </w:pPr>
      <w:r>
        <w:rPr>
          <w:rFonts w:hint="eastAsia"/>
          <w:sz w:val="30"/>
          <w:szCs w:val="30"/>
        </w:rPr>
        <w:t>它旨在成为一条管道，借此，那最终成全的美丽、能力、威严和喜乐，甚至在事件本身发生之前，就倾注进我们的灵魂。</w:t>
      </w:r>
    </w:p>
    <w:p w14:paraId="73B9CAF4">
      <w:pPr>
        <w:pStyle w:val="9"/>
        <w:spacing w:before="10"/>
        <w:ind w:left="0"/>
        <w:jc w:val="left"/>
        <w:rPr>
          <w:rFonts w:hint="eastAsia"/>
          <w:sz w:val="30"/>
          <w:szCs w:val="30"/>
        </w:rPr>
      </w:pPr>
    </w:p>
    <w:p w14:paraId="3F9CC762">
      <w:pPr>
        <w:pStyle w:val="9"/>
        <w:spacing w:before="10"/>
        <w:ind w:left="0"/>
        <w:jc w:val="left"/>
        <w:rPr>
          <w:rFonts w:hint="eastAsia"/>
          <w:sz w:val="30"/>
          <w:szCs w:val="30"/>
        </w:rPr>
      </w:pPr>
      <w:r>
        <w:rPr>
          <w:rFonts w:hint="eastAsia"/>
          <w:sz w:val="30"/>
          <w:szCs w:val="30"/>
        </w:rPr>
        <w:t>It should enable us to “exult in the hope of the glory of God” (Romans 5:2)!</w:t>
      </w:r>
    </w:p>
    <w:p w14:paraId="417ABCA2">
      <w:pPr>
        <w:pStyle w:val="9"/>
        <w:spacing w:before="10"/>
        <w:ind w:left="0"/>
        <w:jc w:val="left"/>
        <w:rPr>
          <w:rFonts w:hint="eastAsia"/>
          <w:sz w:val="30"/>
          <w:szCs w:val="30"/>
        </w:rPr>
      </w:pPr>
    </w:p>
    <w:p w14:paraId="24EC02B1">
      <w:pPr>
        <w:pStyle w:val="9"/>
        <w:spacing w:before="10"/>
        <w:ind w:left="0"/>
        <w:jc w:val="left"/>
        <w:rPr>
          <w:rFonts w:hint="eastAsia"/>
          <w:sz w:val="30"/>
          <w:szCs w:val="30"/>
        </w:rPr>
      </w:pPr>
      <w:r>
        <w:rPr>
          <w:rFonts w:hint="eastAsia"/>
          <w:sz w:val="30"/>
          <w:szCs w:val="30"/>
        </w:rPr>
        <w:t>它应当使我们能“因盼望神的荣耀而夸耀”（罗马书 5:2）！</w:t>
      </w:r>
    </w:p>
    <w:p w14:paraId="626F0292">
      <w:pPr>
        <w:pStyle w:val="9"/>
        <w:spacing w:before="10"/>
        <w:ind w:left="0"/>
        <w:jc w:val="left"/>
        <w:rPr>
          <w:rFonts w:hint="eastAsia"/>
          <w:sz w:val="30"/>
          <w:szCs w:val="30"/>
        </w:rPr>
      </w:pPr>
    </w:p>
    <w:p w14:paraId="48ED657E">
      <w:pPr>
        <w:pStyle w:val="9"/>
        <w:spacing w:before="10"/>
        <w:ind w:left="0"/>
        <w:jc w:val="left"/>
        <w:rPr>
          <w:rFonts w:hint="eastAsia"/>
          <w:sz w:val="30"/>
          <w:szCs w:val="30"/>
        </w:rPr>
      </w:pPr>
      <w:r>
        <w:rPr>
          <w:rFonts w:hint="eastAsia"/>
          <w:sz w:val="30"/>
          <w:szCs w:val="30"/>
        </w:rPr>
        <w:t>If, however, our Blessed Hope is overshadowed by doubt or error, then to that degree expectancy, confidence, and joy must wither away.</w:t>
      </w:r>
    </w:p>
    <w:p w14:paraId="4827376F">
      <w:pPr>
        <w:pStyle w:val="9"/>
        <w:spacing w:before="10"/>
        <w:ind w:left="0"/>
        <w:jc w:val="left"/>
        <w:rPr>
          <w:rFonts w:hint="eastAsia"/>
          <w:sz w:val="30"/>
          <w:szCs w:val="30"/>
        </w:rPr>
      </w:pPr>
    </w:p>
    <w:p w14:paraId="21E813D6">
      <w:pPr>
        <w:pStyle w:val="9"/>
        <w:spacing w:before="10"/>
        <w:ind w:left="0"/>
        <w:jc w:val="left"/>
        <w:rPr>
          <w:rFonts w:hint="eastAsia"/>
          <w:sz w:val="30"/>
          <w:szCs w:val="30"/>
        </w:rPr>
      </w:pPr>
      <w:r>
        <w:rPr>
          <w:rFonts w:hint="eastAsia"/>
          <w:sz w:val="30"/>
          <w:szCs w:val="30"/>
        </w:rPr>
        <w:t>然而，如果我们有福的盼望被怀疑或错谬所笼罩，那么期盼、确信和喜乐也必在同等程度上枯萎。</w:t>
      </w:r>
    </w:p>
    <w:p w14:paraId="307791DF">
      <w:pPr>
        <w:pStyle w:val="9"/>
        <w:spacing w:before="10"/>
        <w:ind w:left="0"/>
        <w:jc w:val="left"/>
        <w:rPr>
          <w:rFonts w:hint="eastAsia"/>
          <w:sz w:val="30"/>
          <w:szCs w:val="30"/>
        </w:rPr>
      </w:pPr>
    </w:p>
    <w:p w14:paraId="1314E628">
      <w:pPr>
        <w:pStyle w:val="9"/>
        <w:spacing w:before="10"/>
        <w:ind w:left="0"/>
        <w:jc w:val="left"/>
        <w:rPr>
          <w:rFonts w:hint="eastAsia"/>
          <w:sz w:val="30"/>
          <w:szCs w:val="30"/>
        </w:rPr>
      </w:pPr>
      <w:r>
        <w:rPr>
          <w:rFonts w:hint="eastAsia"/>
          <w:sz w:val="30"/>
          <w:szCs w:val="30"/>
        </w:rPr>
        <w:t>Thirdly, the present confusion diminishes comfort in tribulation.</w:t>
      </w:r>
    </w:p>
    <w:p w14:paraId="739A274C">
      <w:pPr>
        <w:pStyle w:val="9"/>
        <w:spacing w:before="10"/>
        <w:ind w:left="0"/>
        <w:jc w:val="left"/>
        <w:rPr>
          <w:rFonts w:hint="eastAsia"/>
          <w:sz w:val="30"/>
          <w:szCs w:val="30"/>
        </w:rPr>
      </w:pPr>
    </w:p>
    <w:p w14:paraId="140A77E3">
      <w:pPr>
        <w:pStyle w:val="9"/>
        <w:spacing w:before="10"/>
        <w:ind w:left="0"/>
        <w:jc w:val="left"/>
        <w:rPr>
          <w:rFonts w:hint="eastAsia"/>
          <w:sz w:val="30"/>
          <w:szCs w:val="30"/>
        </w:rPr>
      </w:pPr>
      <w:r>
        <w:rPr>
          <w:rFonts w:hint="eastAsia"/>
          <w:sz w:val="30"/>
          <w:szCs w:val="30"/>
        </w:rPr>
        <w:t>第三，当前的混乱削弱了在患难中的安慰。</w:t>
      </w:r>
    </w:p>
    <w:p w14:paraId="2D92B98F">
      <w:pPr>
        <w:pStyle w:val="9"/>
        <w:spacing w:before="10"/>
        <w:ind w:left="0"/>
        <w:jc w:val="left"/>
        <w:rPr>
          <w:rFonts w:hint="eastAsia"/>
          <w:sz w:val="30"/>
          <w:szCs w:val="30"/>
        </w:rPr>
      </w:pPr>
    </w:p>
    <w:p w14:paraId="02B57618">
      <w:pPr>
        <w:pStyle w:val="9"/>
        <w:spacing w:before="10"/>
        <w:ind w:left="0"/>
        <w:jc w:val="left"/>
        <w:rPr>
          <w:rFonts w:hint="eastAsia"/>
          <w:sz w:val="30"/>
          <w:szCs w:val="30"/>
        </w:rPr>
      </w:pPr>
      <w:r>
        <w:rPr>
          <w:rFonts w:hint="eastAsia"/>
          <w:sz w:val="30"/>
          <w:szCs w:val="30"/>
        </w:rPr>
        <w:t>All Christians understand that they are appointed to tribulation, sometimes to great tribulation (John 16:33, Mt. 24:21, 1 Thess. 3:1-5, Rev. 7:14).</w:t>
      </w:r>
    </w:p>
    <w:p w14:paraId="496CB10C">
      <w:pPr>
        <w:pStyle w:val="9"/>
        <w:spacing w:before="10"/>
        <w:ind w:left="0"/>
        <w:jc w:val="left"/>
        <w:rPr>
          <w:rFonts w:hint="eastAsia"/>
          <w:sz w:val="30"/>
          <w:szCs w:val="30"/>
        </w:rPr>
      </w:pPr>
    </w:p>
    <w:p w14:paraId="3A869EDF">
      <w:pPr>
        <w:pStyle w:val="9"/>
        <w:spacing w:before="10"/>
        <w:ind w:left="0"/>
        <w:jc w:val="left"/>
        <w:rPr>
          <w:rFonts w:hint="eastAsia"/>
          <w:sz w:val="30"/>
          <w:szCs w:val="30"/>
        </w:rPr>
      </w:pPr>
      <w:r>
        <w:rPr>
          <w:rFonts w:hint="eastAsia"/>
          <w:sz w:val="30"/>
          <w:szCs w:val="30"/>
        </w:rPr>
        <w:t>所有基督徒都明白，他们是命定要受患难的，有时甚至是大的患难（约 16:33, 太 24:21, 帖前 3:1-5, 启 7:14）。</w:t>
      </w:r>
    </w:p>
    <w:p w14:paraId="17EE7CCE">
      <w:pPr>
        <w:pStyle w:val="9"/>
        <w:spacing w:before="10"/>
        <w:ind w:left="0"/>
        <w:jc w:val="left"/>
        <w:rPr>
          <w:rFonts w:hint="eastAsia"/>
          <w:sz w:val="30"/>
          <w:szCs w:val="30"/>
        </w:rPr>
      </w:pPr>
    </w:p>
    <w:p w14:paraId="07154037">
      <w:pPr>
        <w:pStyle w:val="9"/>
        <w:spacing w:before="10"/>
        <w:ind w:left="0"/>
        <w:jc w:val="left"/>
        <w:rPr>
          <w:rFonts w:hint="eastAsia"/>
          <w:sz w:val="30"/>
          <w:szCs w:val="30"/>
        </w:rPr>
      </w:pPr>
      <w:r>
        <w:rPr>
          <w:rFonts w:hint="eastAsia"/>
          <w:sz w:val="30"/>
          <w:szCs w:val="30"/>
        </w:rPr>
        <w:t>Certainly the apostle Paul understood this (Acts 14:22, 20:3, 2 Cor. 11).</w:t>
      </w:r>
    </w:p>
    <w:p w14:paraId="035E7FF6">
      <w:pPr>
        <w:pStyle w:val="9"/>
        <w:spacing w:before="10"/>
        <w:ind w:left="0"/>
        <w:jc w:val="left"/>
        <w:rPr>
          <w:rFonts w:hint="eastAsia"/>
          <w:sz w:val="30"/>
          <w:szCs w:val="30"/>
        </w:rPr>
      </w:pPr>
    </w:p>
    <w:p w14:paraId="196254DA">
      <w:pPr>
        <w:pStyle w:val="9"/>
        <w:spacing w:before="10"/>
        <w:ind w:left="0"/>
        <w:jc w:val="left"/>
        <w:rPr>
          <w:rFonts w:hint="eastAsia"/>
          <w:sz w:val="30"/>
          <w:szCs w:val="30"/>
        </w:rPr>
      </w:pPr>
      <w:r>
        <w:rPr>
          <w:rFonts w:hint="eastAsia"/>
          <w:sz w:val="30"/>
          <w:szCs w:val="30"/>
        </w:rPr>
        <w:t>使徒保罗当然明白这一点（徒 14:22, 20:3, 林后 11）。</w:t>
      </w:r>
    </w:p>
    <w:p w14:paraId="57B09E8F">
      <w:pPr>
        <w:pStyle w:val="9"/>
        <w:spacing w:before="10"/>
        <w:ind w:left="0"/>
        <w:jc w:val="left"/>
        <w:rPr>
          <w:rFonts w:hint="eastAsia"/>
          <w:sz w:val="30"/>
          <w:szCs w:val="30"/>
        </w:rPr>
      </w:pPr>
    </w:p>
    <w:p w14:paraId="18D4A59D">
      <w:pPr>
        <w:pStyle w:val="9"/>
        <w:spacing w:before="10"/>
        <w:ind w:left="0"/>
        <w:jc w:val="left"/>
        <w:rPr>
          <w:rFonts w:hint="eastAsia"/>
          <w:sz w:val="30"/>
          <w:szCs w:val="30"/>
        </w:rPr>
      </w:pPr>
      <w:r>
        <w:rPr>
          <w:rFonts w:hint="eastAsia"/>
          <w:sz w:val="30"/>
          <w:szCs w:val="30"/>
        </w:rPr>
        <w:t>How, then, did he steel himself against the prospect of such terrible trials?</w:t>
      </w:r>
    </w:p>
    <w:p w14:paraId="08B9150C">
      <w:pPr>
        <w:pStyle w:val="9"/>
        <w:spacing w:before="10"/>
        <w:ind w:left="0"/>
        <w:jc w:val="left"/>
        <w:rPr>
          <w:rFonts w:hint="eastAsia"/>
          <w:sz w:val="30"/>
          <w:szCs w:val="30"/>
        </w:rPr>
      </w:pPr>
    </w:p>
    <w:p w14:paraId="0D19F4AD">
      <w:pPr>
        <w:pStyle w:val="9"/>
        <w:spacing w:before="10"/>
        <w:ind w:left="0"/>
        <w:jc w:val="left"/>
        <w:rPr>
          <w:rFonts w:hint="eastAsia"/>
          <w:sz w:val="30"/>
          <w:szCs w:val="30"/>
        </w:rPr>
      </w:pPr>
      <w:r>
        <w:rPr>
          <w:rFonts w:hint="eastAsia"/>
          <w:sz w:val="30"/>
          <w:szCs w:val="30"/>
        </w:rPr>
        <w:t>那么，他是如何磨炼自己以面对如此可怕的试炼的前景呢？</w:t>
      </w:r>
    </w:p>
    <w:p w14:paraId="59DFC346">
      <w:pPr>
        <w:pStyle w:val="9"/>
        <w:spacing w:before="10"/>
        <w:ind w:left="0"/>
        <w:jc w:val="left"/>
        <w:rPr>
          <w:rFonts w:hint="eastAsia"/>
          <w:sz w:val="30"/>
          <w:szCs w:val="30"/>
        </w:rPr>
      </w:pPr>
    </w:p>
    <w:p w14:paraId="5ADD5182">
      <w:pPr>
        <w:pStyle w:val="9"/>
        <w:spacing w:before="10"/>
        <w:ind w:left="0"/>
        <w:jc w:val="left"/>
        <w:rPr>
          <w:rFonts w:hint="eastAsia"/>
          <w:sz w:val="30"/>
          <w:szCs w:val="30"/>
        </w:rPr>
      </w:pPr>
      <w:r>
        <w:rPr>
          <w:rFonts w:hint="eastAsia"/>
          <w:sz w:val="30"/>
          <w:szCs w:val="30"/>
        </w:rPr>
        <w:t>How did he get them into perspective?</w:t>
      </w:r>
    </w:p>
    <w:p w14:paraId="14FCB90A">
      <w:pPr>
        <w:pStyle w:val="9"/>
        <w:spacing w:before="10"/>
        <w:ind w:left="0"/>
        <w:jc w:val="left"/>
        <w:rPr>
          <w:rFonts w:hint="eastAsia"/>
          <w:sz w:val="30"/>
          <w:szCs w:val="30"/>
        </w:rPr>
      </w:pPr>
    </w:p>
    <w:p w14:paraId="6BCEFCEA">
      <w:pPr>
        <w:pStyle w:val="9"/>
        <w:spacing w:before="10"/>
        <w:ind w:left="0"/>
        <w:jc w:val="left"/>
        <w:rPr>
          <w:rFonts w:hint="eastAsia"/>
          <w:sz w:val="30"/>
          <w:szCs w:val="30"/>
        </w:rPr>
      </w:pPr>
      <w:r>
        <w:rPr>
          <w:rFonts w:hint="eastAsia"/>
          <w:sz w:val="30"/>
          <w:szCs w:val="30"/>
        </w:rPr>
        <w:t>他是如何正确看待这些试炼的呢？</w:t>
      </w:r>
    </w:p>
    <w:p w14:paraId="0EE69B31">
      <w:pPr>
        <w:pStyle w:val="9"/>
        <w:spacing w:before="10"/>
        <w:ind w:left="0"/>
        <w:jc w:val="left"/>
        <w:rPr>
          <w:rFonts w:hint="eastAsia"/>
          <w:sz w:val="30"/>
          <w:szCs w:val="30"/>
        </w:rPr>
      </w:pPr>
    </w:p>
    <w:p w14:paraId="47784AC9">
      <w:pPr>
        <w:pStyle w:val="9"/>
        <w:spacing w:before="10"/>
        <w:ind w:left="0"/>
        <w:jc w:val="left"/>
        <w:rPr>
          <w:rFonts w:hint="eastAsia"/>
          <w:sz w:val="30"/>
          <w:szCs w:val="30"/>
        </w:rPr>
      </w:pPr>
      <w:r>
        <w:rPr>
          <w:rFonts w:hint="eastAsia"/>
          <w:sz w:val="30"/>
          <w:szCs w:val="30"/>
        </w:rPr>
        <w:t>How did he come to regard them as “light,” almost trivial?</w:t>
      </w:r>
    </w:p>
    <w:p w14:paraId="49F1C033">
      <w:pPr>
        <w:pStyle w:val="9"/>
        <w:spacing w:before="10"/>
        <w:ind w:left="0"/>
        <w:jc w:val="left"/>
        <w:rPr>
          <w:rFonts w:hint="eastAsia"/>
          <w:sz w:val="30"/>
          <w:szCs w:val="30"/>
        </w:rPr>
      </w:pPr>
    </w:p>
    <w:p w14:paraId="50B922D4">
      <w:pPr>
        <w:pStyle w:val="9"/>
        <w:spacing w:before="10"/>
        <w:ind w:left="0"/>
        <w:jc w:val="left"/>
        <w:rPr>
          <w:rFonts w:hint="eastAsia"/>
          <w:sz w:val="30"/>
          <w:szCs w:val="30"/>
        </w:rPr>
      </w:pPr>
      <w:r>
        <w:rPr>
          <w:rFonts w:hint="eastAsia"/>
          <w:sz w:val="30"/>
          <w:szCs w:val="30"/>
        </w:rPr>
        <w:t>他是如何开始将它们视为“至暂至轻”，几乎微不足道的呢？</w:t>
      </w:r>
    </w:p>
    <w:p w14:paraId="0B208B9C">
      <w:pPr>
        <w:pStyle w:val="9"/>
        <w:spacing w:before="10"/>
        <w:ind w:left="0"/>
        <w:jc w:val="left"/>
        <w:rPr>
          <w:rFonts w:hint="eastAsia"/>
          <w:sz w:val="30"/>
          <w:szCs w:val="30"/>
        </w:rPr>
      </w:pPr>
    </w:p>
    <w:p w14:paraId="2FF523D8">
      <w:pPr>
        <w:pStyle w:val="9"/>
        <w:spacing w:before="10"/>
        <w:ind w:left="0"/>
        <w:jc w:val="left"/>
        <w:rPr>
          <w:rFonts w:hint="eastAsia"/>
          <w:sz w:val="30"/>
          <w:szCs w:val="30"/>
        </w:rPr>
      </w:pPr>
      <w:r>
        <w:rPr>
          <w:rFonts w:hint="eastAsia"/>
          <w:sz w:val="30"/>
          <w:szCs w:val="30"/>
        </w:rPr>
        <w:t>The answer appears throughout his writings.</w:t>
      </w:r>
    </w:p>
    <w:p w14:paraId="2723B8A1">
      <w:pPr>
        <w:pStyle w:val="9"/>
        <w:spacing w:before="10"/>
        <w:ind w:left="0"/>
        <w:jc w:val="left"/>
        <w:rPr>
          <w:rFonts w:hint="eastAsia"/>
          <w:sz w:val="30"/>
          <w:szCs w:val="30"/>
        </w:rPr>
      </w:pPr>
    </w:p>
    <w:p w14:paraId="1C646D04">
      <w:pPr>
        <w:pStyle w:val="9"/>
        <w:spacing w:before="10"/>
        <w:ind w:left="0"/>
        <w:jc w:val="left"/>
        <w:rPr>
          <w:rFonts w:hint="eastAsia"/>
          <w:sz w:val="30"/>
          <w:szCs w:val="30"/>
        </w:rPr>
      </w:pPr>
      <w:r>
        <w:rPr>
          <w:rFonts w:hint="eastAsia"/>
          <w:sz w:val="30"/>
          <w:szCs w:val="30"/>
        </w:rPr>
        <w:t>答案贯穿于他的著作中。</w:t>
      </w:r>
    </w:p>
    <w:p w14:paraId="4EC44EFA">
      <w:pPr>
        <w:pStyle w:val="9"/>
        <w:spacing w:before="10"/>
        <w:ind w:left="0"/>
        <w:jc w:val="left"/>
        <w:rPr>
          <w:rFonts w:hint="eastAsia"/>
          <w:sz w:val="30"/>
          <w:szCs w:val="30"/>
        </w:rPr>
      </w:pPr>
    </w:p>
    <w:p w14:paraId="54500B78">
      <w:pPr>
        <w:pStyle w:val="9"/>
        <w:spacing w:before="10"/>
        <w:ind w:left="0"/>
        <w:jc w:val="left"/>
        <w:rPr>
          <w:rFonts w:hint="eastAsia"/>
          <w:sz w:val="30"/>
          <w:szCs w:val="30"/>
        </w:rPr>
      </w:pPr>
      <w:r>
        <w:rPr>
          <w:rFonts w:hint="eastAsia"/>
          <w:sz w:val="30"/>
          <w:szCs w:val="30"/>
        </w:rPr>
        <w:t>In the midst of all his tribulations, Paul took great comfort in his clear vision of the Blessed Hope; in clearly seeing the unseen things waiting up ahead; in clearly seeing that his present afflictions were not worthy to be compared with the glories soon to come; in clearly seeing and savoring the eschatological blessings lovingly prepared for him in eternity past by a benevolent, sovereign, and omnipotent God (1 Cor. 2:1f, 2 Cor. 4:18, Rom. 8:18).</w:t>
      </w:r>
    </w:p>
    <w:p w14:paraId="3DB2AB42">
      <w:pPr>
        <w:pStyle w:val="9"/>
        <w:spacing w:before="10"/>
        <w:ind w:left="0"/>
        <w:jc w:val="left"/>
        <w:rPr>
          <w:rFonts w:hint="eastAsia"/>
          <w:sz w:val="30"/>
          <w:szCs w:val="30"/>
        </w:rPr>
      </w:pPr>
    </w:p>
    <w:p w14:paraId="2BB035B3">
      <w:pPr>
        <w:pStyle w:val="9"/>
        <w:spacing w:before="10"/>
        <w:ind w:left="0"/>
        <w:jc w:val="left"/>
        <w:rPr>
          <w:rFonts w:hint="eastAsia"/>
          <w:sz w:val="30"/>
          <w:szCs w:val="30"/>
        </w:rPr>
      </w:pPr>
      <w:r>
        <w:rPr>
          <w:rFonts w:hint="eastAsia"/>
          <w:sz w:val="30"/>
          <w:szCs w:val="30"/>
        </w:rPr>
        <w:t>在他所有的患难中，保罗从他那对有福盼望的清晰异象中得到了极大的安慰；从清楚看见那在前方等候的未见之事中；从清楚看见他现今的苦楚与那将要显现的荣耀是不足介意的；从清楚看见并品味那一位仁慈、主权、全能的神在永恒的过去为他慈爱地预备的末世论祝福中（林前 2:1及以下, 林后 4:18, 罗 8:18）。</w:t>
      </w:r>
    </w:p>
    <w:p w14:paraId="4950C756">
      <w:pPr>
        <w:pStyle w:val="9"/>
        <w:spacing w:before="10"/>
        <w:ind w:left="0"/>
        <w:jc w:val="left"/>
        <w:rPr>
          <w:rFonts w:hint="eastAsia"/>
          <w:sz w:val="30"/>
          <w:szCs w:val="30"/>
        </w:rPr>
      </w:pPr>
    </w:p>
    <w:p w14:paraId="75335B34">
      <w:pPr>
        <w:pStyle w:val="9"/>
        <w:spacing w:before="10"/>
        <w:ind w:left="0"/>
        <w:jc w:val="left"/>
        <w:rPr>
          <w:rFonts w:hint="eastAsia"/>
          <w:sz w:val="30"/>
          <w:szCs w:val="30"/>
        </w:rPr>
      </w:pPr>
      <w:r>
        <w:rPr>
          <w:rFonts w:hint="eastAsia"/>
          <w:sz w:val="30"/>
          <w:szCs w:val="30"/>
        </w:rPr>
        <w:t>Through Paul we therefore learn that eschatological clarity is crucial; that it is meant to prepare and gird Christ’s Church for her manifold tribulations, putting temporary earthly trials into eternal, heavenly perspective.</w:t>
      </w:r>
    </w:p>
    <w:p w14:paraId="05BDD6D7">
      <w:pPr>
        <w:pStyle w:val="9"/>
        <w:spacing w:before="10"/>
        <w:ind w:left="0"/>
        <w:jc w:val="left"/>
        <w:rPr>
          <w:rFonts w:hint="eastAsia"/>
          <w:sz w:val="30"/>
          <w:szCs w:val="30"/>
        </w:rPr>
      </w:pPr>
    </w:p>
    <w:p w14:paraId="1B035ED6">
      <w:pPr>
        <w:pStyle w:val="9"/>
        <w:spacing w:before="10"/>
        <w:ind w:left="0"/>
        <w:jc w:val="left"/>
        <w:rPr>
          <w:rFonts w:hint="eastAsia"/>
          <w:sz w:val="30"/>
          <w:szCs w:val="30"/>
        </w:rPr>
      </w:pPr>
      <w:r>
        <w:rPr>
          <w:rFonts w:hint="eastAsia"/>
          <w:sz w:val="30"/>
          <w:szCs w:val="30"/>
        </w:rPr>
        <w:t>因此，我们通过保罗学到，末世论的清晰度至关重要；它旨在预备和束上基督教会的腰，以面对她诸般的患难，将暂时的属地试炼置于永恒的、属天的视角中。</w:t>
      </w:r>
    </w:p>
    <w:p w14:paraId="4A8A22F2">
      <w:pPr>
        <w:pStyle w:val="9"/>
        <w:spacing w:before="10"/>
        <w:ind w:left="0"/>
        <w:jc w:val="left"/>
        <w:rPr>
          <w:rFonts w:hint="eastAsia"/>
          <w:sz w:val="30"/>
          <w:szCs w:val="30"/>
        </w:rPr>
      </w:pPr>
    </w:p>
    <w:p w14:paraId="06275288">
      <w:pPr>
        <w:pStyle w:val="9"/>
        <w:spacing w:before="10"/>
        <w:ind w:left="0"/>
        <w:jc w:val="left"/>
        <w:rPr>
          <w:rFonts w:hint="eastAsia"/>
          <w:sz w:val="30"/>
          <w:szCs w:val="30"/>
        </w:rPr>
      </w:pPr>
      <w:r>
        <w:rPr>
          <w:rFonts w:hint="eastAsia"/>
          <w:sz w:val="30"/>
          <w:szCs w:val="30"/>
        </w:rPr>
        <w:t>Small wonder, then, that the enemy of our souls—whom our Lord aptly describes as a thief and a robber—would dearly love to steal that clarity from us (John 10:1).</w:t>
      </w:r>
    </w:p>
    <w:p w14:paraId="549549A9">
      <w:pPr>
        <w:pStyle w:val="9"/>
        <w:spacing w:before="10"/>
        <w:ind w:left="0"/>
        <w:jc w:val="left"/>
        <w:rPr>
          <w:rFonts w:hint="eastAsia"/>
          <w:sz w:val="30"/>
          <w:szCs w:val="30"/>
        </w:rPr>
      </w:pPr>
    </w:p>
    <w:p w14:paraId="6F19870D">
      <w:pPr>
        <w:pStyle w:val="9"/>
        <w:spacing w:before="10"/>
        <w:ind w:left="0"/>
        <w:jc w:val="left"/>
        <w:rPr>
          <w:rFonts w:hint="eastAsia"/>
          <w:sz w:val="30"/>
          <w:szCs w:val="30"/>
        </w:rPr>
      </w:pPr>
      <w:r>
        <w:rPr>
          <w:rFonts w:hint="eastAsia"/>
          <w:sz w:val="30"/>
          <w:szCs w:val="30"/>
        </w:rPr>
        <w:t>因此，我们灵魂的仇敌——我们的主恰当地将其描述为贼和强盗——会极想从我们这里偷走那份清晰，也就不足为奇了（约 10:1）。</w:t>
      </w:r>
    </w:p>
    <w:p w14:paraId="00E9EC70">
      <w:pPr>
        <w:pStyle w:val="9"/>
        <w:spacing w:before="10"/>
        <w:ind w:left="0"/>
        <w:jc w:val="left"/>
        <w:rPr>
          <w:rFonts w:hint="eastAsia"/>
          <w:sz w:val="30"/>
          <w:szCs w:val="30"/>
        </w:rPr>
      </w:pPr>
    </w:p>
    <w:p w14:paraId="14C94D73">
      <w:pPr>
        <w:pStyle w:val="9"/>
        <w:spacing w:before="10"/>
        <w:ind w:left="0"/>
        <w:jc w:val="left"/>
        <w:rPr>
          <w:rFonts w:hint="eastAsia"/>
          <w:sz w:val="30"/>
          <w:szCs w:val="30"/>
        </w:rPr>
      </w:pPr>
      <w:r>
        <w:rPr>
          <w:rFonts w:hint="eastAsia"/>
          <w:sz w:val="30"/>
          <w:szCs w:val="30"/>
        </w:rPr>
        <w:t>Fourthly, the current eschatological warfare diminishes power in preaching.</w:t>
      </w:r>
    </w:p>
    <w:p w14:paraId="35A12150">
      <w:pPr>
        <w:pStyle w:val="9"/>
        <w:spacing w:before="10"/>
        <w:ind w:left="0"/>
        <w:jc w:val="left"/>
        <w:rPr>
          <w:rFonts w:hint="eastAsia"/>
          <w:sz w:val="30"/>
          <w:szCs w:val="30"/>
        </w:rPr>
      </w:pPr>
    </w:p>
    <w:p w14:paraId="272EB8EE">
      <w:pPr>
        <w:pStyle w:val="9"/>
        <w:spacing w:before="10"/>
        <w:ind w:left="0"/>
        <w:jc w:val="left"/>
        <w:rPr>
          <w:rFonts w:hint="eastAsia"/>
          <w:sz w:val="30"/>
          <w:szCs w:val="30"/>
        </w:rPr>
      </w:pPr>
      <w:r>
        <w:rPr>
          <w:rFonts w:hint="eastAsia"/>
          <w:sz w:val="30"/>
          <w:szCs w:val="30"/>
        </w:rPr>
        <w:t>第四，当前的末世论争战削弱了讲道的能力。</w:t>
      </w:r>
    </w:p>
    <w:p w14:paraId="498913F4">
      <w:pPr>
        <w:pStyle w:val="9"/>
        <w:spacing w:before="10"/>
        <w:ind w:left="0"/>
        <w:jc w:val="left"/>
        <w:rPr>
          <w:rFonts w:hint="eastAsia"/>
          <w:sz w:val="30"/>
          <w:szCs w:val="30"/>
        </w:rPr>
      </w:pPr>
    </w:p>
    <w:p w14:paraId="52F5F38E">
      <w:pPr>
        <w:pStyle w:val="9"/>
        <w:spacing w:before="10"/>
        <w:ind w:left="0"/>
        <w:jc w:val="left"/>
        <w:rPr>
          <w:rFonts w:hint="eastAsia"/>
          <w:sz w:val="30"/>
          <w:szCs w:val="30"/>
        </w:rPr>
      </w:pPr>
      <w:r>
        <w:rPr>
          <w:rFonts w:hint="eastAsia"/>
          <w:sz w:val="30"/>
          <w:szCs w:val="30"/>
        </w:rPr>
        <w:t>As we know from the Great Commission, the raison d’etre of the Church Militant is to preach the gospel to all nations, so that Christ may gather to himself a believing people, a holy Bride who will live with him forever in the World to Come (Mt. 28:18f, John 10:16, Titus 2:14, Rev. 21:1f).</w:t>
      </w:r>
    </w:p>
    <w:p w14:paraId="5043BA87">
      <w:pPr>
        <w:pStyle w:val="9"/>
        <w:spacing w:before="10"/>
        <w:ind w:left="0"/>
        <w:jc w:val="left"/>
        <w:rPr>
          <w:rFonts w:hint="eastAsia"/>
          <w:sz w:val="30"/>
          <w:szCs w:val="30"/>
        </w:rPr>
      </w:pPr>
    </w:p>
    <w:p w14:paraId="57215768">
      <w:pPr>
        <w:pStyle w:val="9"/>
        <w:spacing w:before="10"/>
        <w:ind w:left="0"/>
        <w:jc w:val="left"/>
        <w:rPr>
          <w:rFonts w:hint="eastAsia"/>
          <w:sz w:val="30"/>
          <w:szCs w:val="30"/>
        </w:rPr>
      </w:pPr>
      <w:r>
        <w:rPr>
          <w:rFonts w:hint="eastAsia"/>
          <w:sz w:val="30"/>
          <w:szCs w:val="30"/>
        </w:rPr>
        <w:t>正如我们从大使命中所知，战斗的教会存在的理由，是向万国传福音，好叫基督能为祂自己招聚一群信靠的子民，一位圣洁的新妇，在将来的世界里与祂永远同住（太 28:18及以下, 约 10:16, 多 2:14, 启 21:1及以下）。</w:t>
      </w:r>
    </w:p>
    <w:p w14:paraId="776ECD32">
      <w:pPr>
        <w:pStyle w:val="9"/>
        <w:spacing w:before="10"/>
        <w:ind w:left="0"/>
        <w:jc w:val="left"/>
        <w:rPr>
          <w:rFonts w:hint="eastAsia"/>
          <w:sz w:val="30"/>
          <w:szCs w:val="30"/>
        </w:rPr>
      </w:pPr>
    </w:p>
    <w:p w14:paraId="221CD698">
      <w:pPr>
        <w:pStyle w:val="9"/>
        <w:spacing w:before="10"/>
        <w:ind w:left="0"/>
        <w:jc w:val="left"/>
        <w:rPr>
          <w:rFonts w:hint="eastAsia"/>
          <w:sz w:val="30"/>
          <w:szCs w:val="30"/>
        </w:rPr>
      </w:pPr>
      <w:r>
        <w:rPr>
          <w:rFonts w:hint="eastAsia"/>
          <w:sz w:val="30"/>
          <w:szCs w:val="30"/>
        </w:rPr>
        <w:t>But just as a precious gem needs a worthy metallic setting for the proper display of its glory, so too the glorious message of redemption needs a worthy theological setting.</w:t>
      </w:r>
    </w:p>
    <w:p w14:paraId="6C06453F">
      <w:pPr>
        <w:pStyle w:val="9"/>
        <w:spacing w:before="10"/>
        <w:ind w:left="0"/>
        <w:jc w:val="left"/>
        <w:rPr>
          <w:rFonts w:hint="eastAsia"/>
          <w:sz w:val="30"/>
          <w:szCs w:val="30"/>
        </w:rPr>
      </w:pPr>
    </w:p>
    <w:p w14:paraId="4F8B8972">
      <w:pPr>
        <w:pStyle w:val="9"/>
        <w:spacing w:before="10"/>
        <w:ind w:left="0"/>
        <w:jc w:val="left"/>
        <w:rPr>
          <w:rFonts w:hint="eastAsia"/>
          <w:sz w:val="30"/>
          <w:szCs w:val="30"/>
        </w:rPr>
      </w:pPr>
      <w:r>
        <w:rPr>
          <w:rFonts w:hint="eastAsia"/>
          <w:sz w:val="30"/>
          <w:szCs w:val="30"/>
        </w:rPr>
        <w:t>但正如一颗珍贵的宝石需要一个相称的金属镶嵌来恰当地展示其荣耀，荣耀的救赎信息也需要一个相称的神学背景。</w:t>
      </w:r>
    </w:p>
    <w:p w14:paraId="1BA2DF53">
      <w:pPr>
        <w:pStyle w:val="9"/>
        <w:spacing w:before="10"/>
        <w:ind w:left="0"/>
        <w:jc w:val="left"/>
        <w:rPr>
          <w:rFonts w:hint="eastAsia"/>
          <w:sz w:val="30"/>
          <w:szCs w:val="30"/>
        </w:rPr>
      </w:pPr>
    </w:p>
    <w:p w14:paraId="274DF445">
      <w:pPr>
        <w:pStyle w:val="9"/>
        <w:spacing w:before="10"/>
        <w:ind w:left="0"/>
        <w:jc w:val="left"/>
        <w:rPr>
          <w:rFonts w:hint="eastAsia"/>
          <w:sz w:val="30"/>
          <w:szCs w:val="30"/>
        </w:rPr>
      </w:pPr>
      <w:r>
        <w:rPr>
          <w:rFonts w:hint="eastAsia"/>
          <w:sz w:val="30"/>
          <w:szCs w:val="30"/>
        </w:rPr>
        <w:t>It needs a carefully structured underpinning of closely related biblical doctrines.</w:t>
      </w:r>
    </w:p>
    <w:p w14:paraId="403457BD">
      <w:pPr>
        <w:pStyle w:val="9"/>
        <w:spacing w:before="10"/>
        <w:ind w:left="0"/>
        <w:jc w:val="left"/>
        <w:rPr>
          <w:rFonts w:hint="eastAsia"/>
          <w:sz w:val="30"/>
          <w:szCs w:val="30"/>
        </w:rPr>
      </w:pPr>
    </w:p>
    <w:p w14:paraId="71895B48">
      <w:pPr>
        <w:pStyle w:val="9"/>
        <w:spacing w:before="10"/>
        <w:ind w:left="0"/>
        <w:jc w:val="left"/>
        <w:rPr>
          <w:rFonts w:hint="eastAsia"/>
          <w:sz w:val="30"/>
          <w:szCs w:val="30"/>
        </w:rPr>
      </w:pPr>
      <w:r>
        <w:rPr>
          <w:rFonts w:hint="eastAsia"/>
          <w:sz w:val="30"/>
          <w:szCs w:val="30"/>
        </w:rPr>
        <w:t>它需要一个由紧密相关的圣经教义构成的、精心构建的根基。</w:t>
      </w:r>
    </w:p>
    <w:p w14:paraId="677585EA">
      <w:pPr>
        <w:pStyle w:val="9"/>
        <w:spacing w:before="10"/>
        <w:ind w:left="0"/>
        <w:jc w:val="left"/>
        <w:rPr>
          <w:rFonts w:hint="eastAsia"/>
          <w:sz w:val="30"/>
          <w:szCs w:val="30"/>
        </w:rPr>
      </w:pPr>
    </w:p>
    <w:p w14:paraId="48300F07">
      <w:pPr>
        <w:pStyle w:val="9"/>
        <w:spacing w:before="10"/>
        <w:ind w:left="0"/>
        <w:jc w:val="left"/>
        <w:rPr>
          <w:rFonts w:hint="eastAsia"/>
          <w:sz w:val="30"/>
          <w:szCs w:val="30"/>
        </w:rPr>
      </w:pPr>
      <w:r>
        <w:rPr>
          <w:rFonts w:hint="eastAsia"/>
          <w:sz w:val="30"/>
          <w:szCs w:val="30"/>
        </w:rPr>
        <w:t>These include, of course, the doctrines of creation and fall.</w:t>
      </w:r>
    </w:p>
    <w:p w14:paraId="7A656C08">
      <w:pPr>
        <w:pStyle w:val="9"/>
        <w:spacing w:before="10"/>
        <w:ind w:left="0"/>
        <w:jc w:val="left"/>
        <w:rPr>
          <w:rFonts w:hint="eastAsia"/>
          <w:sz w:val="30"/>
          <w:szCs w:val="30"/>
        </w:rPr>
      </w:pPr>
    </w:p>
    <w:p w14:paraId="2E64EECA">
      <w:pPr>
        <w:pStyle w:val="9"/>
        <w:spacing w:before="10"/>
        <w:ind w:left="0"/>
        <w:jc w:val="left"/>
        <w:rPr>
          <w:rFonts w:hint="eastAsia"/>
          <w:sz w:val="30"/>
          <w:szCs w:val="30"/>
        </w:rPr>
      </w:pPr>
      <w:r>
        <w:rPr>
          <w:rFonts w:hint="eastAsia"/>
          <w:sz w:val="30"/>
          <w:szCs w:val="30"/>
        </w:rPr>
        <w:t>这些当然包括创造和堕落的教义。</w:t>
      </w:r>
    </w:p>
    <w:p w14:paraId="1B53CC96">
      <w:pPr>
        <w:pStyle w:val="9"/>
        <w:spacing w:before="10"/>
        <w:ind w:left="0"/>
        <w:jc w:val="left"/>
        <w:rPr>
          <w:rFonts w:hint="eastAsia"/>
          <w:sz w:val="30"/>
          <w:szCs w:val="30"/>
        </w:rPr>
      </w:pPr>
    </w:p>
    <w:p w14:paraId="5AD08FEE">
      <w:pPr>
        <w:pStyle w:val="9"/>
        <w:spacing w:before="10"/>
        <w:ind w:left="0"/>
        <w:jc w:val="left"/>
        <w:rPr>
          <w:rFonts w:hint="eastAsia"/>
          <w:sz w:val="30"/>
          <w:szCs w:val="30"/>
        </w:rPr>
      </w:pPr>
      <w:r>
        <w:rPr>
          <w:rFonts w:hint="eastAsia"/>
          <w:sz w:val="30"/>
          <w:szCs w:val="30"/>
        </w:rPr>
        <w:t>But they also include the doctrines surrounding the Consummation: Christ’s second coming, the resurrection of the dead, the final judgment, and a glorious new world to come.</w:t>
      </w:r>
    </w:p>
    <w:p w14:paraId="67091A9C">
      <w:pPr>
        <w:pStyle w:val="9"/>
        <w:spacing w:before="10"/>
        <w:ind w:left="0"/>
        <w:jc w:val="left"/>
        <w:rPr>
          <w:rFonts w:hint="eastAsia"/>
          <w:sz w:val="30"/>
          <w:szCs w:val="30"/>
        </w:rPr>
      </w:pPr>
    </w:p>
    <w:p w14:paraId="4FEB8BB5">
      <w:pPr>
        <w:pStyle w:val="9"/>
        <w:spacing w:before="10"/>
        <w:ind w:left="0"/>
        <w:jc w:val="left"/>
        <w:rPr>
          <w:rFonts w:hint="eastAsia"/>
          <w:sz w:val="30"/>
          <w:szCs w:val="30"/>
        </w:rPr>
      </w:pPr>
      <w:r>
        <w:rPr>
          <w:rFonts w:hint="eastAsia"/>
          <w:sz w:val="30"/>
          <w:szCs w:val="30"/>
        </w:rPr>
        <w:t>但它们也包括围绕着最终成全的教义：基督的第二次降临、死人复活、末日审判，以及一个将要来临的荣耀新世界。</w:t>
      </w:r>
    </w:p>
    <w:p w14:paraId="6F81D712">
      <w:pPr>
        <w:pStyle w:val="9"/>
        <w:spacing w:before="10"/>
        <w:ind w:left="0"/>
        <w:jc w:val="left"/>
        <w:rPr>
          <w:rFonts w:hint="eastAsia"/>
          <w:sz w:val="30"/>
          <w:szCs w:val="30"/>
        </w:rPr>
      </w:pPr>
    </w:p>
    <w:p w14:paraId="0EA66B88">
      <w:pPr>
        <w:pStyle w:val="9"/>
        <w:spacing w:before="10"/>
        <w:ind w:left="0"/>
        <w:jc w:val="left"/>
        <w:rPr>
          <w:rFonts w:hint="eastAsia"/>
          <w:sz w:val="30"/>
          <w:szCs w:val="30"/>
        </w:rPr>
      </w:pPr>
      <w:r>
        <w:rPr>
          <w:rFonts w:hint="eastAsia"/>
          <w:sz w:val="30"/>
          <w:szCs w:val="30"/>
        </w:rPr>
        <w:t>In other words, one cannot “placard” Christ to full effect unless he does so against the backdrop of solid biblical teaching on the Consummation.</w:t>
      </w:r>
    </w:p>
    <w:p w14:paraId="289E325B">
      <w:pPr>
        <w:pStyle w:val="9"/>
        <w:spacing w:before="10"/>
        <w:ind w:left="0"/>
        <w:jc w:val="left"/>
        <w:rPr>
          <w:rFonts w:hint="eastAsia"/>
          <w:sz w:val="30"/>
          <w:szCs w:val="30"/>
        </w:rPr>
      </w:pPr>
    </w:p>
    <w:p w14:paraId="0D51A62D">
      <w:pPr>
        <w:pStyle w:val="9"/>
        <w:spacing w:before="10"/>
        <w:ind w:left="0"/>
        <w:jc w:val="left"/>
        <w:rPr>
          <w:rFonts w:hint="eastAsia"/>
          <w:sz w:val="30"/>
          <w:szCs w:val="30"/>
        </w:rPr>
      </w:pPr>
      <w:r>
        <w:rPr>
          <w:rFonts w:hint="eastAsia"/>
          <w:sz w:val="30"/>
          <w:szCs w:val="30"/>
        </w:rPr>
        <w:t>换句话说，一个人若不以坚实的、关于最终成全的圣经教导为背景，就无法充分地“揭示”基督。</w:t>
      </w:r>
    </w:p>
    <w:p w14:paraId="192BAA90">
      <w:pPr>
        <w:pStyle w:val="9"/>
        <w:spacing w:before="10"/>
        <w:ind w:left="0"/>
        <w:jc w:val="left"/>
        <w:rPr>
          <w:rFonts w:hint="eastAsia"/>
          <w:sz w:val="30"/>
          <w:szCs w:val="30"/>
        </w:rPr>
      </w:pPr>
    </w:p>
    <w:p w14:paraId="39E516F2">
      <w:pPr>
        <w:pStyle w:val="9"/>
        <w:spacing w:before="10"/>
        <w:ind w:left="0"/>
        <w:jc w:val="left"/>
        <w:rPr>
          <w:rFonts w:hint="eastAsia"/>
          <w:sz w:val="30"/>
          <w:szCs w:val="30"/>
        </w:rPr>
      </w:pPr>
      <w:r>
        <w:rPr>
          <w:rFonts w:hint="eastAsia"/>
          <w:sz w:val="30"/>
          <w:szCs w:val="30"/>
        </w:rPr>
        <w:t>The Church requires a sound eschatology in order to preach a sound Gospel.</w:t>
      </w:r>
    </w:p>
    <w:p w14:paraId="319AC5AC">
      <w:pPr>
        <w:pStyle w:val="9"/>
        <w:spacing w:before="10"/>
        <w:ind w:left="0"/>
        <w:jc w:val="left"/>
        <w:rPr>
          <w:rFonts w:hint="eastAsia"/>
          <w:sz w:val="30"/>
          <w:szCs w:val="30"/>
        </w:rPr>
      </w:pPr>
    </w:p>
    <w:p w14:paraId="38B7FDD2">
      <w:pPr>
        <w:pStyle w:val="9"/>
        <w:spacing w:before="10"/>
        <w:ind w:left="0"/>
        <w:jc w:val="left"/>
        <w:rPr>
          <w:rFonts w:hint="eastAsia"/>
          <w:sz w:val="30"/>
          <w:szCs w:val="30"/>
        </w:rPr>
      </w:pPr>
      <w:r>
        <w:rPr>
          <w:rFonts w:hint="eastAsia"/>
          <w:sz w:val="30"/>
          <w:szCs w:val="30"/>
        </w:rPr>
        <w:t>教会需要健全的末世论，才能传讲健全的福音。</w:t>
      </w:r>
    </w:p>
    <w:p w14:paraId="079B2365">
      <w:pPr>
        <w:pStyle w:val="9"/>
        <w:spacing w:before="10"/>
        <w:ind w:left="0"/>
        <w:jc w:val="left"/>
        <w:rPr>
          <w:rFonts w:hint="eastAsia"/>
          <w:sz w:val="30"/>
          <w:szCs w:val="30"/>
        </w:rPr>
      </w:pPr>
    </w:p>
    <w:p w14:paraId="56E9CC30">
      <w:pPr>
        <w:pStyle w:val="9"/>
        <w:spacing w:before="10"/>
        <w:ind w:left="0"/>
        <w:jc w:val="left"/>
        <w:rPr>
          <w:rFonts w:hint="eastAsia"/>
          <w:sz w:val="30"/>
          <w:szCs w:val="30"/>
        </w:rPr>
      </w:pPr>
      <w:r>
        <w:rPr>
          <w:rFonts w:hint="eastAsia"/>
          <w:sz w:val="30"/>
          <w:szCs w:val="30"/>
        </w:rPr>
        <w:t>The apostles understood this well.</w:t>
      </w:r>
    </w:p>
    <w:p w14:paraId="721194D6">
      <w:pPr>
        <w:pStyle w:val="9"/>
        <w:spacing w:before="10"/>
        <w:ind w:left="0"/>
        <w:jc w:val="left"/>
        <w:rPr>
          <w:rFonts w:hint="eastAsia"/>
          <w:sz w:val="30"/>
          <w:szCs w:val="30"/>
        </w:rPr>
      </w:pPr>
    </w:p>
    <w:p w14:paraId="5611AF52">
      <w:pPr>
        <w:pStyle w:val="9"/>
        <w:spacing w:before="10"/>
        <w:ind w:left="0"/>
        <w:jc w:val="left"/>
        <w:rPr>
          <w:rFonts w:hint="eastAsia"/>
          <w:sz w:val="30"/>
          <w:szCs w:val="30"/>
        </w:rPr>
      </w:pPr>
      <w:r>
        <w:rPr>
          <w:rFonts w:hint="eastAsia"/>
          <w:sz w:val="30"/>
          <w:szCs w:val="30"/>
        </w:rPr>
        <w:t>使徒们对此深有体会。</w:t>
      </w:r>
    </w:p>
    <w:p w14:paraId="7834213B">
      <w:pPr>
        <w:pStyle w:val="9"/>
        <w:spacing w:before="10"/>
        <w:ind w:left="0"/>
        <w:jc w:val="left"/>
        <w:rPr>
          <w:rFonts w:hint="eastAsia"/>
          <w:sz w:val="30"/>
          <w:szCs w:val="30"/>
        </w:rPr>
      </w:pPr>
    </w:p>
    <w:p w14:paraId="1D5431BA">
      <w:pPr>
        <w:pStyle w:val="9"/>
        <w:spacing w:before="10"/>
        <w:ind w:left="0"/>
        <w:jc w:val="left"/>
        <w:rPr>
          <w:rFonts w:hint="eastAsia"/>
          <w:sz w:val="30"/>
          <w:szCs w:val="30"/>
        </w:rPr>
      </w:pPr>
      <w:r>
        <w:rPr>
          <w:rFonts w:hint="eastAsia"/>
          <w:sz w:val="30"/>
          <w:szCs w:val="30"/>
        </w:rPr>
        <w:t>Peter, for example, on the Day of Pentecost, sought to move his Jewish neighbors to repentance and faith by speaking of Christ’s heavenly reign (Acts 2:33-36).</w:t>
      </w:r>
    </w:p>
    <w:p w14:paraId="6DEC8CE1">
      <w:pPr>
        <w:pStyle w:val="9"/>
        <w:spacing w:before="10"/>
        <w:ind w:left="0"/>
        <w:jc w:val="left"/>
        <w:rPr>
          <w:rFonts w:hint="eastAsia"/>
          <w:sz w:val="30"/>
          <w:szCs w:val="30"/>
        </w:rPr>
      </w:pPr>
    </w:p>
    <w:p w14:paraId="6234998F">
      <w:pPr>
        <w:pStyle w:val="9"/>
        <w:spacing w:before="10"/>
        <w:ind w:left="0"/>
        <w:jc w:val="left"/>
        <w:rPr>
          <w:rFonts w:hint="eastAsia"/>
          <w:sz w:val="30"/>
          <w:szCs w:val="30"/>
        </w:rPr>
      </w:pPr>
      <w:r>
        <w:rPr>
          <w:rFonts w:hint="eastAsia"/>
          <w:sz w:val="30"/>
          <w:szCs w:val="30"/>
        </w:rPr>
        <w:t>例如，彼得在五旬节那天，试图通过宣讲基督在天上的掌权，来感动他的犹太同胞悔改信主（徒 2:33-36）。</w:t>
      </w:r>
    </w:p>
    <w:p w14:paraId="30E369B6">
      <w:pPr>
        <w:pStyle w:val="9"/>
        <w:spacing w:before="10"/>
        <w:ind w:left="0"/>
        <w:jc w:val="left"/>
        <w:rPr>
          <w:rFonts w:hint="eastAsia"/>
          <w:sz w:val="30"/>
          <w:szCs w:val="30"/>
        </w:rPr>
      </w:pPr>
    </w:p>
    <w:p w14:paraId="0C89B59E">
      <w:pPr>
        <w:pStyle w:val="9"/>
        <w:spacing w:before="10"/>
        <w:ind w:left="0"/>
        <w:jc w:val="left"/>
        <w:rPr>
          <w:rFonts w:hint="eastAsia"/>
          <w:sz w:val="30"/>
          <w:szCs w:val="30"/>
        </w:rPr>
      </w:pPr>
      <w:r>
        <w:rPr>
          <w:rFonts w:hint="eastAsia"/>
          <w:sz w:val="30"/>
          <w:szCs w:val="30"/>
        </w:rPr>
        <w:t>Only days later he again sought to do the same, this time by assuring his kinsmen of their Messiah’s soon return, and of the restoration of all things spoken of by all the OT prophets (Acts 3:19-21).</w:t>
      </w:r>
    </w:p>
    <w:p w14:paraId="2627EC14">
      <w:pPr>
        <w:pStyle w:val="9"/>
        <w:spacing w:before="10"/>
        <w:ind w:left="0"/>
        <w:jc w:val="left"/>
        <w:rPr>
          <w:rFonts w:hint="eastAsia"/>
          <w:sz w:val="30"/>
          <w:szCs w:val="30"/>
        </w:rPr>
      </w:pPr>
    </w:p>
    <w:p w14:paraId="5DEDD159">
      <w:pPr>
        <w:pStyle w:val="9"/>
        <w:spacing w:before="10"/>
        <w:ind w:left="0"/>
        <w:jc w:val="left"/>
        <w:rPr>
          <w:rFonts w:hint="eastAsia"/>
          <w:sz w:val="30"/>
          <w:szCs w:val="30"/>
        </w:rPr>
      </w:pPr>
      <w:r>
        <w:rPr>
          <w:rFonts w:hint="eastAsia"/>
          <w:sz w:val="30"/>
          <w:szCs w:val="30"/>
        </w:rPr>
        <w:t>仅在几天后，他又试图做同样的事，这一次是通过向他的同胞保证，他们的弥赛亚很快就要再来，以及所有旧约先知所说的万物复兴之事（徒 3:19-21）。</w:t>
      </w:r>
    </w:p>
    <w:p w14:paraId="18F17995">
      <w:pPr>
        <w:pStyle w:val="9"/>
        <w:spacing w:before="10"/>
        <w:ind w:left="0"/>
        <w:jc w:val="left"/>
        <w:rPr>
          <w:rFonts w:hint="eastAsia"/>
          <w:sz w:val="30"/>
          <w:szCs w:val="30"/>
        </w:rPr>
      </w:pPr>
    </w:p>
    <w:p w14:paraId="5273759C">
      <w:pPr>
        <w:pStyle w:val="9"/>
        <w:spacing w:before="10"/>
        <w:ind w:left="0"/>
        <w:jc w:val="left"/>
        <w:rPr>
          <w:rFonts w:hint="eastAsia"/>
          <w:sz w:val="30"/>
          <w:szCs w:val="30"/>
        </w:rPr>
      </w:pPr>
      <w:r>
        <w:rPr>
          <w:rFonts w:hint="eastAsia"/>
          <w:sz w:val="30"/>
          <w:szCs w:val="30"/>
        </w:rPr>
        <w:t>Similarly, Paul tried to rouse the slumbering conscience of the idolatrous Athenians by warning them of a coming Day of Judgment before the one true living God, a judgment that will occur at the hand of the risen Christ (Acts 17:31).</w:t>
      </w:r>
    </w:p>
    <w:p w14:paraId="5489C970">
      <w:pPr>
        <w:pStyle w:val="9"/>
        <w:spacing w:before="10"/>
        <w:ind w:left="0"/>
        <w:jc w:val="left"/>
        <w:rPr>
          <w:rFonts w:hint="eastAsia"/>
          <w:sz w:val="30"/>
          <w:szCs w:val="30"/>
        </w:rPr>
      </w:pPr>
    </w:p>
    <w:p w14:paraId="2BB7F9FE">
      <w:pPr>
        <w:pStyle w:val="9"/>
        <w:spacing w:before="10"/>
        <w:ind w:left="0"/>
        <w:jc w:val="left"/>
        <w:rPr>
          <w:rFonts w:hint="eastAsia"/>
          <w:sz w:val="30"/>
          <w:szCs w:val="30"/>
        </w:rPr>
      </w:pPr>
      <w:r>
        <w:rPr>
          <w:rFonts w:hint="eastAsia"/>
          <w:sz w:val="30"/>
          <w:szCs w:val="30"/>
        </w:rPr>
        <w:t>同样，保罗试图通过警告拜偶像的雅典人，那独一又真又活的神面前将有审判的日子，且这审判将借着复活的基督之手施行，来唤醒他们沉睡的良心（徒 17:31）。</w:t>
      </w:r>
    </w:p>
    <w:p w14:paraId="11A95380">
      <w:pPr>
        <w:pStyle w:val="9"/>
        <w:spacing w:before="10"/>
        <w:ind w:left="0"/>
        <w:jc w:val="left"/>
        <w:rPr>
          <w:rFonts w:hint="eastAsia"/>
          <w:sz w:val="30"/>
          <w:szCs w:val="30"/>
        </w:rPr>
      </w:pPr>
    </w:p>
    <w:p w14:paraId="57883E4A">
      <w:pPr>
        <w:pStyle w:val="9"/>
        <w:spacing w:before="10"/>
        <w:ind w:left="0"/>
        <w:jc w:val="left"/>
        <w:rPr>
          <w:rFonts w:hint="eastAsia"/>
          <w:sz w:val="30"/>
          <w:szCs w:val="30"/>
        </w:rPr>
      </w:pPr>
      <w:r>
        <w:rPr>
          <w:rFonts w:hint="eastAsia"/>
          <w:sz w:val="30"/>
          <w:szCs w:val="30"/>
        </w:rPr>
        <w:t>As for the apostle John, we read that it was given to him to behold an angel flying in midheaven, having an eternal gospel to preach to all the inhabitants of the earth.</w:t>
      </w:r>
    </w:p>
    <w:p w14:paraId="3DF390BA">
      <w:pPr>
        <w:pStyle w:val="9"/>
        <w:spacing w:before="10"/>
        <w:ind w:left="0"/>
        <w:jc w:val="left"/>
        <w:rPr>
          <w:rFonts w:hint="eastAsia"/>
          <w:sz w:val="30"/>
          <w:szCs w:val="30"/>
        </w:rPr>
      </w:pPr>
    </w:p>
    <w:p w14:paraId="114B49BE">
      <w:pPr>
        <w:pStyle w:val="9"/>
        <w:spacing w:before="10"/>
        <w:ind w:left="0"/>
        <w:jc w:val="left"/>
        <w:rPr>
          <w:rFonts w:hint="eastAsia"/>
          <w:sz w:val="30"/>
          <w:szCs w:val="30"/>
        </w:rPr>
      </w:pPr>
      <w:r>
        <w:rPr>
          <w:rFonts w:hint="eastAsia"/>
          <w:sz w:val="30"/>
          <w:szCs w:val="30"/>
        </w:rPr>
        <w:t>至于使徒约翰，我们读到他蒙指示看见一位天使飞在空中，有永远的福音要传给地上所有的居民。</w:t>
      </w:r>
    </w:p>
    <w:p w14:paraId="352339CA">
      <w:pPr>
        <w:pStyle w:val="9"/>
        <w:spacing w:before="10"/>
        <w:ind w:left="0"/>
        <w:jc w:val="left"/>
        <w:rPr>
          <w:rFonts w:hint="eastAsia"/>
          <w:sz w:val="30"/>
          <w:szCs w:val="30"/>
        </w:rPr>
      </w:pPr>
    </w:p>
    <w:p w14:paraId="190F990E">
      <w:pPr>
        <w:pStyle w:val="9"/>
        <w:spacing w:before="10"/>
        <w:ind w:left="0"/>
        <w:jc w:val="left"/>
        <w:rPr>
          <w:rFonts w:hint="eastAsia"/>
          <w:sz w:val="30"/>
          <w:szCs w:val="30"/>
        </w:rPr>
      </w:pPr>
      <w:r>
        <w:rPr>
          <w:rFonts w:hint="eastAsia"/>
          <w:sz w:val="30"/>
          <w:szCs w:val="30"/>
        </w:rPr>
        <w:t>And what exactly was that Gospel?</w:t>
      </w:r>
    </w:p>
    <w:p w14:paraId="60236202">
      <w:pPr>
        <w:pStyle w:val="9"/>
        <w:spacing w:before="10"/>
        <w:ind w:left="0"/>
        <w:jc w:val="left"/>
        <w:rPr>
          <w:rFonts w:hint="eastAsia"/>
          <w:sz w:val="30"/>
          <w:szCs w:val="30"/>
        </w:rPr>
      </w:pPr>
    </w:p>
    <w:p w14:paraId="453231DD">
      <w:pPr>
        <w:pStyle w:val="9"/>
        <w:spacing w:before="10"/>
        <w:ind w:left="0"/>
        <w:jc w:val="left"/>
        <w:rPr>
          <w:rFonts w:hint="eastAsia"/>
          <w:sz w:val="30"/>
          <w:szCs w:val="30"/>
        </w:rPr>
      </w:pPr>
      <w:r>
        <w:rPr>
          <w:rFonts w:hint="eastAsia"/>
          <w:sz w:val="30"/>
          <w:szCs w:val="30"/>
        </w:rPr>
        <w:t>那福音究竟是什么呢？</w:t>
      </w:r>
    </w:p>
    <w:p w14:paraId="0274001D">
      <w:pPr>
        <w:pStyle w:val="9"/>
        <w:spacing w:before="10"/>
        <w:ind w:left="0"/>
        <w:jc w:val="left"/>
        <w:rPr>
          <w:rFonts w:hint="eastAsia"/>
          <w:sz w:val="30"/>
          <w:szCs w:val="30"/>
        </w:rPr>
      </w:pPr>
    </w:p>
    <w:p w14:paraId="247111FA">
      <w:pPr>
        <w:pStyle w:val="9"/>
        <w:spacing w:before="10"/>
        <w:ind w:left="0"/>
        <w:jc w:val="left"/>
        <w:rPr>
          <w:rFonts w:hint="eastAsia"/>
          <w:sz w:val="30"/>
          <w:szCs w:val="30"/>
        </w:rPr>
      </w:pPr>
      <w:r>
        <w:rPr>
          <w:rFonts w:hint="eastAsia"/>
          <w:sz w:val="30"/>
          <w:szCs w:val="30"/>
        </w:rPr>
        <w:t>The answer is surprising: “Fear God, and give him glory, because the hour of his judgment has come” (Rev. 14:6-8)!</w:t>
      </w:r>
    </w:p>
    <w:p w14:paraId="6DC43CCB">
      <w:pPr>
        <w:pStyle w:val="9"/>
        <w:spacing w:before="10"/>
        <w:ind w:left="0"/>
        <w:jc w:val="left"/>
        <w:rPr>
          <w:rFonts w:hint="eastAsia"/>
          <w:sz w:val="30"/>
          <w:szCs w:val="30"/>
        </w:rPr>
      </w:pPr>
    </w:p>
    <w:p w14:paraId="2A1E92FB">
      <w:pPr>
        <w:pStyle w:val="9"/>
        <w:spacing w:before="10"/>
        <w:ind w:left="0"/>
        <w:jc w:val="left"/>
        <w:rPr>
          <w:rFonts w:hint="eastAsia"/>
          <w:sz w:val="30"/>
          <w:szCs w:val="30"/>
        </w:rPr>
      </w:pPr>
      <w:r>
        <w:rPr>
          <w:rFonts w:hint="eastAsia"/>
          <w:sz w:val="30"/>
          <w:szCs w:val="30"/>
        </w:rPr>
        <w:t>答案令人惊讶：“应当敬畏神，将荣耀归给祂，因祂施行审判的时候已经到了”（启 14:6-8）！</w:t>
      </w:r>
    </w:p>
    <w:p w14:paraId="485D0CED">
      <w:pPr>
        <w:pStyle w:val="9"/>
        <w:spacing w:before="10"/>
        <w:ind w:left="0"/>
        <w:jc w:val="left"/>
        <w:rPr>
          <w:rFonts w:hint="eastAsia"/>
          <w:sz w:val="30"/>
          <w:szCs w:val="30"/>
        </w:rPr>
      </w:pPr>
    </w:p>
    <w:p w14:paraId="6297AB63">
      <w:pPr>
        <w:pStyle w:val="9"/>
        <w:spacing w:before="10"/>
        <w:ind w:left="0"/>
        <w:jc w:val="left"/>
        <w:rPr>
          <w:rFonts w:hint="eastAsia"/>
          <w:sz w:val="30"/>
          <w:szCs w:val="30"/>
        </w:rPr>
      </w:pPr>
      <w:r>
        <w:rPr>
          <w:rFonts w:hint="eastAsia"/>
          <w:sz w:val="30"/>
          <w:szCs w:val="30"/>
        </w:rPr>
        <w:t>But perhaps it is not so surprising after all.</w:t>
      </w:r>
    </w:p>
    <w:p w14:paraId="4280D2EC">
      <w:pPr>
        <w:pStyle w:val="9"/>
        <w:spacing w:before="10"/>
        <w:ind w:left="0"/>
        <w:jc w:val="left"/>
        <w:rPr>
          <w:rFonts w:hint="eastAsia"/>
          <w:sz w:val="30"/>
          <w:szCs w:val="30"/>
        </w:rPr>
      </w:pPr>
    </w:p>
    <w:p w14:paraId="41D19CFC">
      <w:pPr>
        <w:pStyle w:val="9"/>
        <w:spacing w:before="10"/>
        <w:ind w:left="0"/>
        <w:jc w:val="left"/>
        <w:rPr>
          <w:rFonts w:hint="eastAsia"/>
          <w:sz w:val="30"/>
          <w:szCs w:val="30"/>
        </w:rPr>
      </w:pPr>
      <w:r>
        <w:rPr>
          <w:rFonts w:hint="eastAsia"/>
          <w:sz w:val="30"/>
          <w:szCs w:val="30"/>
        </w:rPr>
        <w:t>但也许终究不那么令人惊讶。</w:t>
      </w:r>
    </w:p>
    <w:p w14:paraId="568E510C">
      <w:pPr>
        <w:pStyle w:val="9"/>
        <w:spacing w:before="10"/>
        <w:ind w:left="0"/>
        <w:jc w:val="left"/>
        <w:rPr>
          <w:rFonts w:hint="eastAsia"/>
          <w:sz w:val="30"/>
          <w:szCs w:val="30"/>
        </w:rPr>
      </w:pPr>
    </w:p>
    <w:p w14:paraId="58BED0FB">
      <w:pPr>
        <w:pStyle w:val="9"/>
        <w:spacing w:before="10"/>
        <w:ind w:left="0"/>
        <w:jc w:val="left"/>
        <w:rPr>
          <w:rFonts w:hint="eastAsia"/>
          <w:sz w:val="30"/>
          <w:szCs w:val="30"/>
        </w:rPr>
      </w:pPr>
      <w:r>
        <w:rPr>
          <w:rFonts w:hint="eastAsia"/>
          <w:sz w:val="30"/>
          <w:szCs w:val="30"/>
        </w:rPr>
        <w:t>True, this text does not mention redemption by Christ, or justification by faith in him.</w:t>
      </w:r>
    </w:p>
    <w:p w14:paraId="3FF273AE">
      <w:pPr>
        <w:pStyle w:val="9"/>
        <w:spacing w:before="10"/>
        <w:ind w:left="0"/>
        <w:jc w:val="left"/>
        <w:rPr>
          <w:rFonts w:hint="eastAsia"/>
          <w:sz w:val="30"/>
          <w:szCs w:val="30"/>
        </w:rPr>
      </w:pPr>
    </w:p>
    <w:p w14:paraId="5AC09E51">
      <w:pPr>
        <w:pStyle w:val="9"/>
        <w:spacing w:before="10"/>
        <w:ind w:left="0"/>
        <w:jc w:val="left"/>
        <w:rPr>
          <w:rFonts w:hint="eastAsia"/>
          <w:sz w:val="30"/>
          <w:szCs w:val="30"/>
        </w:rPr>
      </w:pPr>
      <w:r>
        <w:rPr>
          <w:rFonts w:hint="eastAsia"/>
          <w:sz w:val="30"/>
          <w:szCs w:val="30"/>
        </w:rPr>
        <w:t>诚然，这段经文没有提到基督的救赎，或因信祂而称义。</w:t>
      </w:r>
    </w:p>
    <w:p w14:paraId="1557D88E">
      <w:pPr>
        <w:pStyle w:val="9"/>
        <w:spacing w:before="10"/>
        <w:ind w:left="0"/>
        <w:jc w:val="left"/>
        <w:rPr>
          <w:rFonts w:hint="eastAsia"/>
          <w:sz w:val="30"/>
          <w:szCs w:val="30"/>
        </w:rPr>
      </w:pPr>
    </w:p>
    <w:p w14:paraId="6610FA44">
      <w:pPr>
        <w:pStyle w:val="9"/>
        <w:spacing w:before="10"/>
        <w:ind w:left="0"/>
        <w:jc w:val="left"/>
        <w:rPr>
          <w:rFonts w:hint="eastAsia"/>
          <w:sz w:val="30"/>
          <w:szCs w:val="30"/>
        </w:rPr>
      </w:pPr>
      <w:r>
        <w:rPr>
          <w:rFonts w:hint="eastAsia"/>
          <w:sz w:val="30"/>
          <w:szCs w:val="30"/>
        </w:rPr>
        <w:t>However, it definitely supplies a powerful motive for trusting in the Redeemer, as well as clear instructions to believers about how they should preach him: They should preach him as the only One who can deliver us from the wrath to come (Mt. 3:7, Luke 3:7, Acts 4:12, 1 Thess. 1:10).</w:t>
      </w:r>
    </w:p>
    <w:p w14:paraId="75CA2116">
      <w:pPr>
        <w:pStyle w:val="9"/>
        <w:spacing w:before="10"/>
        <w:ind w:left="0"/>
        <w:jc w:val="left"/>
        <w:rPr>
          <w:rFonts w:hint="eastAsia"/>
          <w:sz w:val="30"/>
          <w:szCs w:val="30"/>
        </w:rPr>
      </w:pPr>
    </w:p>
    <w:p w14:paraId="790C4ABC">
      <w:pPr>
        <w:pStyle w:val="9"/>
        <w:spacing w:before="10"/>
        <w:ind w:left="0"/>
        <w:jc w:val="left"/>
        <w:rPr>
          <w:rFonts w:hint="eastAsia"/>
          <w:sz w:val="30"/>
          <w:szCs w:val="30"/>
        </w:rPr>
      </w:pPr>
      <w:r>
        <w:rPr>
          <w:rFonts w:hint="eastAsia"/>
          <w:sz w:val="30"/>
          <w:szCs w:val="30"/>
        </w:rPr>
        <w:t>然而，它确实为信靠救赎主提供了强有力的动机，并为信徒如何传扬祂提供了清晰的指示：他们应当传扬祂，是那唯一能救我们脱离将来忿怒的一位（太 3:7, 路 3:7, 徒 4:12, 帖前 1:10）。</w:t>
      </w:r>
    </w:p>
    <w:p w14:paraId="4676D0CC">
      <w:pPr>
        <w:pStyle w:val="9"/>
        <w:spacing w:before="10"/>
        <w:ind w:left="0"/>
        <w:jc w:val="left"/>
        <w:rPr>
          <w:rFonts w:hint="eastAsia"/>
          <w:sz w:val="30"/>
          <w:szCs w:val="30"/>
        </w:rPr>
      </w:pPr>
    </w:p>
    <w:p w14:paraId="00DDF9D5">
      <w:pPr>
        <w:pStyle w:val="9"/>
        <w:spacing w:before="10"/>
        <w:ind w:left="0"/>
        <w:jc w:val="left"/>
        <w:rPr>
          <w:rFonts w:hint="eastAsia"/>
          <w:sz w:val="30"/>
          <w:szCs w:val="30"/>
        </w:rPr>
      </w:pPr>
      <w:r>
        <w:rPr>
          <w:rFonts w:hint="eastAsia"/>
          <w:sz w:val="30"/>
          <w:szCs w:val="30"/>
        </w:rPr>
        <w:t>But what if the preacher is confused about the last things?</w:t>
      </w:r>
    </w:p>
    <w:p w14:paraId="4DAC7854">
      <w:pPr>
        <w:pStyle w:val="9"/>
        <w:spacing w:before="10"/>
        <w:ind w:left="0"/>
        <w:jc w:val="left"/>
        <w:rPr>
          <w:rFonts w:hint="eastAsia"/>
          <w:sz w:val="30"/>
          <w:szCs w:val="30"/>
        </w:rPr>
      </w:pPr>
    </w:p>
    <w:p w14:paraId="61A81743">
      <w:pPr>
        <w:pStyle w:val="9"/>
        <w:spacing w:before="10"/>
        <w:ind w:left="0"/>
        <w:jc w:val="left"/>
        <w:rPr>
          <w:rFonts w:hint="eastAsia"/>
          <w:sz w:val="30"/>
          <w:szCs w:val="30"/>
        </w:rPr>
      </w:pPr>
      <w:r>
        <w:rPr>
          <w:rFonts w:hint="eastAsia"/>
          <w:sz w:val="30"/>
          <w:szCs w:val="30"/>
        </w:rPr>
        <w:t>但如果传道人对末后的事感到困惑呢？</w:t>
      </w:r>
    </w:p>
    <w:p w14:paraId="004EF3DC">
      <w:pPr>
        <w:pStyle w:val="9"/>
        <w:spacing w:before="10"/>
        <w:ind w:left="0"/>
        <w:jc w:val="left"/>
        <w:rPr>
          <w:rFonts w:hint="eastAsia"/>
          <w:sz w:val="30"/>
          <w:szCs w:val="30"/>
        </w:rPr>
      </w:pPr>
    </w:p>
    <w:p w14:paraId="6649CC9D">
      <w:pPr>
        <w:pStyle w:val="9"/>
        <w:spacing w:before="10"/>
        <w:ind w:left="0"/>
        <w:jc w:val="left"/>
        <w:rPr>
          <w:rFonts w:hint="eastAsia"/>
          <w:sz w:val="30"/>
          <w:szCs w:val="30"/>
        </w:rPr>
      </w:pPr>
      <w:r>
        <w:rPr>
          <w:rFonts w:hint="eastAsia"/>
          <w:sz w:val="30"/>
          <w:szCs w:val="30"/>
        </w:rPr>
        <w:t>What if he is unsure about “the hour of God’s judgment”: when it is coming, what will happen when it comes, who will do the judging, and what exactly he will do when he so judges?</w:t>
      </w:r>
    </w:p>
    <w:p w14:paraId="1EA91E4C">
      <w:pPr>
        <w:pStyle w:val="9"/>
        <w:spacing w:before="10"/>
        <w:ind w:left="0"/>
        <w:jc w:val="left"/>
        <w:rPr>
          <w:rFonts w:hint="eastAsia"/>
          <w:sz w:val="30"/>
          <w:szCs w:val="30"/>
        </w:rPr>
      </w:pPr>
    </w:p>
    <w:p w14:paraId="6A4C73F9">
      <w:pPr>
        <w:pStyle w:val="9"/>
        <w:spacing w:before="10"/>
        <w:ind w:left="0"/>
        <w:jc w:val="left"/>
        <w:rPr>
          <w:rFonts w:hint="eastAsia"/>
          <w:sz w:val="30"/>
          <w:szCs w:val="30"/>
        </w:rPr>
      </w:pPr>
      <w:r>
        <w:rPr>
          <w:rFonts w:hint="eastAsia"/>
          <w:sz w:val="30"/>
          <w:szCs w:val="30"/>
        </w:rPr>
        <w:t>如果他对“神审判的时候”不确定：它何时来临，来临时会发生什么，谁将施行审判，以及当祂如此审判时，祂究竟会做什么？</w:t>
      </w:r>
    </w:p>
    <w:p w14:paraId="3ED60003">
      <w:pPr>
        <w:pStyle w:val="9"/>
        <w:spacing w:before="10"/>
        <w:ind w:left="0"/>
        <w:jc w:val="left"/>
        <w:rPr>
          <w:rFonts w:hint="eastAsia"/>
          <w:sz w:val="30"/>
          <w:szCs w:val="30"/>
        </w:rPr>
      </w:pPr>
    </w:p>
    <w:p w14:paraId="67FA73E7">
      <w:pPr>
        <w:pStyle w:val="9"/>
        <w:spacing w:before="10"/>
        <w:ind w:left="0"/>
        <w:jc w:val="left"/>
        <w:rPr>
          <w:rFonts w:hint="eastAsia"/>
          <w:sz w:val="30"/>
          <w:szCs w:val="30"/>
        </w:rPr>
      </w:pPr>
      <w:r>
        <w:rPr>
          <w:rFonts w:hint="eastAsia"/>
          <w:sz w:val="30"/>
          <w:szCs w:val="30"/>
        </w:rPr>
        <w:t>Yes, to the extent that an evangelist is unclear about his eschatology, to that extent his gospel will be truncated, and the power of his message—whether to saints or sinners—will be diminished.</w:t>
      </w:r>
    </w:p>
    <w:p w14:paraId="146463AB">
      <w:pPr>
        <w:pStyle w:val="9"/>
        <w:spacing w:before="10"/>
        <w:ind w:left="0"/>
        <w:jc w:val="left"/>
        <w:rPr>
          <w:rFonts w:hint="eastAsia"/>
          <w:sz w:val="30"/>
          <w:szCs w:val="30"/>
        </w:rPr>
      </w:pPr>
    </w:p>
    <w:p w14:paraId="2928CC86">
      <w:pPr>
        <w:pStyle w:val="9"/>
        <w:spacing w:before="10"/>
        <w:ind w:left="0"/>
        <w:jc w:val="left"/>
        <w:rPr>
          <w:rFonts w:hint="eastAsia"/>
          <w:sz w:val="30"/>
          <w:szCs w:val="30"/>
        </w:rPr>
      </w:pPr>
      <w:r>
        <w:rPr>
          <w:rFonts w:hint="eastAsia"/>
          <w:sz w:val="30"/>
          <w:szCs w:val="30"/>
        </w:rPr>
        <w:t>是的，传福音的人对他的末世论有多不清楚，他的福音就会被删减到何种程度，他信息的能力——无论是对圣徒还是对罪人——也都会被削弱。</w:t>
      </w:r>
    </w:p>
    <w:p w14:paraId="1B75F444">
      <w:pPr>
        <w:pStyle w:val="9"/>
        <w:spacing w:before="10"/>
        <w:ind w:left="0"/>
        <w:jc w:val="left"/>
        <w:rPr>
          <w:rFonts w:hint="eastAsia"/>
          <w:sz w:val="30"/>
          <w:szCs w:val="30"/>
        </w:rPr>
      </w:pPr>
    </w:p>
    <w:p w14:paraId="217C81CC">
      <w:pPr>
        <w:pStyle w:val="9"/>
        <w:spacing w:before="10"/>
        <w:ind w:left="0"/>
        <w:jc w:val="left"/>
        <w:rPr>
          <w:rFonts w:hint="eastAsia"/>
          <w:sz w:val="30"/>
          <w:szCs w:val="30"/>
        </w:rPr>
      </w:pPr>
      <w:r>
        <w:rPr>
          <w:rFonts w:hint="eastAsia"/>
          <w:sz w:val="30"/>
          <w:szCs w:val="30"/>
        </w:rPr>
        <w:t>Finally, the present spiritual warfare diminishes the saints’ perception and enjoyment of the glory of Christ and God.</w:t>
      </w:r>
    </w:p>
    <w:p w14:paraId="34E69974">
      <w:pPr>
        <w:pStyle w:val="9"/>
        <w:spacing w:before="10"/>
        <w:ind w:left="0"/>
        <w:jc w:val="left"/>
        <w:rPr>
          <w:rFonts w:hint="eastAsia"/>
          <w:sz w:val="30"/>
          <w:szCs w:val="30"/>
        </w:rPr>
      </w:pPr>
    </w:p>
    <w:p w14:paraId="7546E258">
      <w:pPr>
        <w:pStyle w:val="9"/>
        <w:spacing w:before="10"/>
        <w:ind w:left="0"/>
        <w:jc w:val="left"/>
        <w:rPr>
          <w:rFonts w:hint="eastAsia"/>
          <w:sz w:val="30"/>
          <w:szCs w:val="30"/>
        </w:rPr>
      </w:pPr>
      <w:r>
        <w:rPr>
          <w:rFonts w:hint="eastAsia"/>
          <w:sz w:val="30"/>
          <w:szCs w:val="30"/>
        </w:rPr>
        <w:t>最后，当前的属灵争战削弱了圣徒对基督和神之荣耀的感知与享受。</w:t>
      </w:r>
    </w:p>
    <w:p w14:paraId="1BBAF232">
      <w:pPr>
        <w:pStyle w:val="9"/>
        <w:spacing w:before="10"/>
        <w:ind w:left="0"/>
        <w:jc w:val="left"/>
        <w:rPr>
          <w:rFonts w:hint="eastAsia"/>
          <w:sz w:val="30"/>
          <w:szCs w:val="30"/>
        </w:rPr>
      </w:pPr>
    </w:p>
    <w:p w14:paraId="1C4767CA">
      <w:pPr>
        <w:pStyle w:val="9"/>
        <w:spacing w:before="10"/>
        <w:ind w:left="0"/>
        <w:jc w:val="left"/>
        <w:rPr>
          <w:rFonts w:hint="eastAsia"/>
          <w:sz w:val="30"/>
          <w:szCs w:val="30"/>
        </w:rPr>
      </w:pPr>
      <w:r>
        <w:rPr>
          <w:rFonts w:hint="eastAsia"/>
          <w:sz w:val="30"/>
          <w:szCs w:val="30"/>
        </w:rPr>
        <w:t>This dire consequence is upon us even now because the web of counterfeit eschatologies obscures two of the most radiant, mind-expanding, and heart-stirring components of the “mystery” of the Gospel: the heavenly mediatorial reign of Christ, and the Consummation that will seal it up when he comes again at the end of the present evil age.</w:t>
      </w:r>
    </w:p>
    <w:p w14:paraId="3728840C">
      <w:pPr>
        <w:pStyle w:val="9"/>
        <w:spacing w:before="10"/>
        <w:ind w:left="0"/>
        <w:jc w:val="left"/>
        <w:rPr>
          <w:rFonts w:hint="eastAsia"/>
          <w:sz w:val="30"/>
          <w:szCs w:val="30"/>
        </w:rPr>
      </w:pPr>
    </w:p>
    <w:p w14:paraId="732F4D42">
      <w:pPr>
        <w:pStyle w:val="9"/>
        <w:spacing w:before="10"/>
        <w:ind w:left="0"/>
        <w:jc w:val="left"/>
        <w:rPr>
          <w:rFonts w:hint="eastAsia"/>
          <w:sz w:val="30"/>
          <w:szCs w:val="30"/>
        </w:rPr>
      </w:pPr>
      <w:r>
        <w:rPr>
          <w:rFonts w:hint="eastAsia"/>
          <w:sz w:val="30"/>
          <w:szCs w:val="30"/>
        </w:rPr>
        <w:t>这个可怕的后果现在就临到我们身上，因为各种伪冒的末世论之网，遮蔽了福音“奥秘”中两个最光辉、最开阔心智、最激动人心的部分：基督在天上的中保性掌权，以及当祂在这邪恶世代的末了再来时，那将要印证此掌权的最终成全。</w:t>
      </w:r>
    </w:p>
    <w:p w14:paraId="5543D271">
      <w:pPr>
        <w:pStyle w:val="9"/>
        <w:spacing w:before="10"/>
        <w:ind w:left="0"/>
        <w:jc w:val="left"/>
        <w:rPr>
          <w:rFonts w:hint="eastAsia"/>
          <w:sz w:val="30"/>
          <w:szCs w:val="30"/>
        </w:rPr>
      </w:pPr>
    </w:p>
    <w:p w14:paraId="45F5158C">
      <w:pPr>
        <w:pStyle w:val="9"/>
        <w:spacing w:before="10"/>
        <w:ind w:left="0"/>
        <w:jc w:val="left"/>
        <w:rPr>
          <w:rFonts w:hint="eastAsia"/>
          <w:sz w:val="30"/>
          <w:szCs w:val="30"/>
        </w:rPr>
      </w:pPr>
      <w:r>
        <w:rPr>
          <w:rFonts w:hint="eastAsia"/>
          <w:sz w:val="30"/>
          <w:szCs w:val="30"/>
        </w:rPr>
        <w:t>All Christians understand that God was pleased to glorify his Son (and himself) by his righteous life and atoning death.</w:t>
      </w:r>
    </w:p>
    <w:p w14:paraId="434C999E">
      <w:pPr>
        <w:pStyle w:val="9"/>
        <w:spacing w:before="10"/>
        <w:ind w:left="0"/>
        <w:jc w:val="left"/>
        <w:rPr>
          <w:rFonts w:hint="eastAsia"/>
          <w:sz w:val="30"/>
          <w:szCs w:val="30"/>
        </w:rPr>
      </w:pPr>
    </w:p>
    <w:p w14:paraId="30B5C91E">
      <w:pPr>
        <w:pStyle w:val="9"/>
        <w:spacing w:before="10"/>
        <w:ind w:left="0"/>
        <w:jc w:val="left"/>
        <w:rPr>
          <w:rFonts w:hint="eastAsia"/>
          <w:sz w:val="30"/>
          <w:szCs w:val="30"/>
        </w:rPr>
      </w:pPr>
      <w:r>
        <w:rPr>
          <w:rFonts w:hint="eastAsia"/>
          <w:sz w:val="30"/>
          <w:szCs w:val="30"/>
        </w:rPr>
        <w:t>所有基督徒都明白，神乐意借着祂儿子公义的生命和赎罪的死亡来荣耀祂的儿子（和祂自己）。</w:t>
      </w:r>
    </w:p>
    <w:p w14:paraId="6B8F3DE0">
      <w:pPr>
        <w:pStyle w:val="9"/>
        <w:spacing w:before="10"/>
        <w:ind w:left="0"/>
        <w:jc w:val="left"/>
        <w:rPr>
          <w:rFonts w:hint="eastAsia"/>
          <w:sz w:val="30"/>
          <w:szCs w:val="30"/>
        </w:rPr>
      </w:pPr>
    </w:p>
    <w:p w14:paraId="7DC1C002">
      <w:pPr>
        <w:pStyle w:val="9"/>
        <w:spacing w:before="10"/>
        <w:ind w:left="0"/>
        <w:jc w:val="left"/>
        <w:rPr>
          <w:rFonts w:hint="eastAsia"/>
          <w:sz w:val="30"/>
          <w:szCs w:val="30"/>
        </w:rPr>
      </w:pPr>
      <w:r>
        <w:rPr>
          <w:rFonts w:hint="eastAsia"/>
          <w:sz w:val="30"/>
          <w:szCs w:val="30"/>
        </w:rPr>
        <w:t>In the pages ahead, I will argue that he is equally eager to glorify his Son (and himself) by Christ’s heavenly reign, and by the Momentous Event that will bring it to a close.</w:t>
      </w:r>
    </w:p>
    <w:p w14:paraId="1E8B383F">
      <w:pPr>
        <w:pStyle w:val="9"/>
        <w:spacing w:before="10"/>
        <w:ind w:left="0"/>
        <w:jc w:val="left"/>
        <w:rPr>
          <w:rFonts w:hint="eastAsia"/>
          <w:sz w:val="30"/>
          <w:szCs w:val="30"/>
        </w:rPr>
      </w:pPr>
    </w:p>
    <w:p w14:paraId="27E21A1B">
      <w:pPr>
        <w:pStyle w:val="9"/>
        <w:spacing w:before="10"/>
        <w:ind w:left="0"/>
        <w:jc w:val="left"/>
        <w:rPr>
          <w:rFonts w:hint="eastAsia"/>
          <w:sz w:val="30"/>
          <w:szCs w:val="30"/>
        </w:rPr>
      </w:pPr>
      <w:r>
        <w:rPr>
          <w:rFonts w:hint="eastAsia"/>
          <w:sz w:val="30"/>
          <w:szCs w:val="30"/>
        </w:rPr>
        <w:t>在接下来的篇幅中，我将论证，祂同样渴望借着基督在天上的掌权，以及那将结束此掌权的重大事件，来荣耀祂的儿子（和祂自己）。</w:t>
      </w:r>
    </w:p>
    <w:p w14:paraId="4EE6A896">
      <w:pPr>
        <w:pStyle w:val="9"/>
        <w:spacing w:before="10"/>
        <w:ind w:left="0"/>
        <w:jc w:val="left"/>
        <w:rPr>
          <w:rFonts w:hint="eastAsia"/>
          <w:sz w:val="30"/>
          <w:szCs w:val="30"/>
        </w:rPr>
      </w:pPr>
    </w:p>
    <w:p w14:paraId="71B9D532">
      <w:pPr>
        <w:pStyle w:val="9"/>
        <w:spacing w:before="10"/>
        <w:ind w:left="0"/>
        <w:jc w:val="left"/>
        <w:rPr>
          <w:rFonts w:hint="eastAsia"/>
          <w:sz w:val="30"/>
          <w:szCs w:val="30"/>
        </w:rPr>
      </w:pPr>
      <w:r>
        <w:rPr>
          <w:rFonts w:hint="eastAsia"/>
          <w:sz w:val="30"/>
          <w:szCs w:val="30"/>
        </w:rPr>
        <w:t>That any of these stupendous eschatological realities should be eclipsed in any way is injurious to our spiritual health, and must therefore be reckoned as a grievous loss for the Church Militant.</w:t>
      </w:r>
    </w:p>
    <w:p w14:paraId="7BE0A70C">
      <w:pPr>
        <w:pStyle w:val="9"/>
        <w:spacing w:before="10"/>
        <w:ind w:left="0"/>
        <w:jc w:val="left"/>
        <w:rPr>
          <w:rFonts w:hint="eastAsia"/>
          <w:sz w:val="30"/>
          <w:szCs w:val="30"/>
        </w:rPr>
      </w:pPr>
    </w:p>
    <w:p w14:paraId="4D5692ED">
      <w:pPr>
        <w:pStyle w:val="9"/>
        <w:spacing w:before="10"/>
        <w:ind w:left="0"/>
        <w:jc w:val="left"/>
        <w:rPr>
          <w:rFonts w:hint="eastAsia"/>
          <w:sz w:val="30"/>
          <w:szCs w:val="30"/>
        </w:rPr>
      </w:pPr>
      <w:r>
        <w:rPr>
          <w:rFonts w:hint="eastAsia"/>
          <w:sz w:val="30"/>
          <w:szCs w:val="30"/>
        </w:rPr>
        <w:t>这些惊人的末世论实在之事的任何一项以任何方式被遮蔽，都对我们的属灵健康有害，因此必须被视为战斗的教会一个惨重的损失。</w:t>
      </w:r>
    </w:p>
    <w:p w14:paraId="5FD641D6">
      <w:pPr>
        <w:pStyle w:val="9"/>
        <w:spacing w:before="10"/>
        <w:ind w:left="0"/>
        <w:jc w:val="left"/>
        <w:rPr>
          <w:rFonts w:hint="eastAsia"/>
          <w:sz w:val="30"/>
          <w:szCs w:val="30"/>
        </w:rPr>
      </w:pPr>
    </w:p>
    <w:p w14:paraId="7A515B7D">
      <w:pPr>
        <w:pStyle w:val="9"/>
        <w:spacing w:before="10"/>
        <w:ind w:left="0"/>
        <w:jc w:val="left"/>
        <w:rPr>
          <w:rFonts w:hint="eastAsia"/>
          <w:sz w:val="30"/>
          <w:szCs w:val="30"/>
        </w:rPr>
      </w:pPr>
      <w:r>
        <w:rPr>
          <w:rFonts w:hint="eastAsia"/>
          <w:sz w:val="30"/>
          <w:szCs w:val="30"/>
        </w:rPr>
        <w:t>Here, then, is something of the weighty spiritual cost of our present eschatological confusion.</w:t>
      </w:r>
    </w:p>
    <w:p w14:paraId="132B167E">
      <w:pPr>
        <w:pStyle w:val="9"/>
        <w:spacing w:before="10"/>
        <w:ind w:left="0"/>
        <w:jc w:val="left"/>
        <w:rPr>
          <w:rFonts w:hint="eastAsia"/>
          <w:sz w:val="30"/>
          <w:szCs w:val="30"/>
        </w:rPr>
      </w:pPr>
    </w:p>
    <w:p w14:paraId="2B6DE444">
      <w:pPr>
        <w:pStyle w:val="9"/>
        <w:spacing w:before="10"/>
        <w:ind w:left="0"/>
        <w:jc w:val="left"/>
        <w:rPr>
          <w:rFonts w:hint="eastAsia"/>
          <w:sz w:val="30"/>
          <w:szCs w:val="30"/>
        </w:rPr>
      </w:pPr>
      <w:r>
        <w:rPr>
          <w:rFonts w:hint="eastAsia"/>
          <w:sz w:val="30"/>
          <w:szCs w:val="30"/>
        </w:rPr>
        <w:t>那么，这就是我们当前末世论混乱所付出的沉重属灵代价的一部分。</w:t>
      </w:r>
    </w:p>
    <w:p w14:paraId="1624138B">
      <w:pPr>
        <w:pStyle w:val="9"/>
        <w:spacing w:before="10"/>
        <w:ind w:left="0"/>
        <w:jc w:val="left"/>
        <w:rPr>
          <w:rFonts w:hint="eastAsia"/>
          <w:sz w:val="30"/>
          <w:szCs w:val="30"/>
        </w:rPr>
      </w:pPr>
    </w:p>
    <w:p w14:paraId="24EA3E65">
      <w:pPr>
        <w:pStyle w:val="9"/>
        <w:spacing w:before="10"/>
        <w:ind w:left="0"/>
        <w:jc w:val="left"/>
        <w:rPr>
          <w:rFonts w:hint="eastAsia"/>
          <w:sz w:val="30"/>
          <w:szCs w:val="30"/>
        </w:rPr>
      </w:pPr>
      <w:r>
        <w:rPr>
          <w:rFonts w:hint="eastAsia"/>
          <w:sz w:val="30"/>
          <w:szCs w:val="30"/>
        </w:rPr>
        <w:t>By compromising the clarity of the Church’s Blessed Hope, it diminishes her expectation, confidence, joy, comfort in tribulation, power in preaching, and the soul-strengthening vision of the glory of Christ and God.</w:t>
      </w:r>
    </w:p>
    <w:p w14:paraId="316AA416">
      <w:pPr>
        <w:pStyle w:val="9"/>
        <w:spacing w:before="10"/>
        <w:ind w:left="0"/>
        <w:jc w:val="left"/>
        <w:rPr>
          <w:rFonts w:hint="eastAsia"/>
          <w:sz w:val="30"/>
          <w:szCs w:val="30"/>
        </w:rPr>
      </w:pPr>
    </w:p>
    <w:p w14:paraId="2C2506F7">
      <w:pPr>
        <w:pStyle w:val="9"/>
        <w:spacing w:before="10"/>
        <w:ind w:left="0"/>
        <w:jc w:val="left"/>
        <w:rPr>
          <w:rFonts w:hint="eastAsia"/>
          <w:sz w:val="30"/>
          <w:szCs w:val="30"/>
        </w:rPr>
      </w:pPr>
      <w:r>
        <w:rPr>
          <w:rFonts w:hint="eastAsia"/>
          <w:sz w:val="30"/>
          <w:szCs w:val="30"/>
        </w:rPr>
        <w:t>通过损害教会有福盼望的清晰度，它削弱了她的期盼、确信、喜乐、在患难中的安慰、讲道的能力，以及那坚固灵魂的、对基督和神之荣耀的异象。</w:t>
      </w:r>
    </w:p>
    <w:p w14:paraId="5230DB39">
      <w:pPr>
        <w:pStyle w:val="9"/>
        <w:spacing w:before="10"/>
        <w:ind w:left="0"/>
        <w:jc w:val="left"/>
        <w:rPr>
          <w:rFonts w:hint="eastAsia"/>
          <w:sz w:val="30"/>
          <w:szCs w:val="30"/>
        </w:rPr>
      </w:pPr>
    </w:p>
    <w:p w14:paraId="1549423D">
      <w:pPr>
        <w:pStyle w:val="9"/>
        <w:spacing w:before="10"/>
        <w:ind w:left="0"/>
        <w:jc w:val="left"/>
        <w:rPr>
          <w:rFonts w:hint="eastAsia"/>
          <w:sz w:val="30"/>
          <w:szCs w:val="30"/>
        </w:rPr>
      </w:pPr>
      <w:r>
        <w:rPr>
          <w:rFonts w:hint="eastAsia"/>
          <w:sz w:val="30"/>
          <w:szCs w:val="30"/>
        </w:rPr>
        <w:t>For a lengthy season we have been paying this price, and have somehow managed to get by.</w:t>
      </w:r>
    </w:p>
    <w:p w14:paraId="02F63A1C">
      <w:pPr>
        <w:pStyle w:val="9"/>
        <w:spacing w:before="10"/>
        <w:ind w:left="0"/>
        <w:jc w:val="left"/>
        <w:rPr>
          <w:rFonts w:hint="eastAsia"/>
          <w:sz w:val="30"/>
          <w:szCs w:val="30"/>
        </w:rPr>
      </w:pPr>
    </w:p>
    <w:p w14:paraId="2A681E99">
      <w:pPr>
        <w:pStyle w:val="9"/>
        <w:spacing w:before="10"/>
        <w:ind w:left="0"/>
        <w:jc w:val="left"/>
        <w:rPr>
          <w:rFonts w:hint="eastAsia"/>
          <w:sz w:val="30"/>
          <w:szCs w:val="30"/>
        </w:rPr>
      </w:pPr>
      <w:r>
        <w:rPr>
          <w:rFonts w:hint="eastAsia"/>
          <w:sz w:val="30"/>
          <w:szCs w:val="30"/>
        </w:rPr>
        <w:t>我们已经为此付出了很长一段时间的代价，并且不知何故勉强过来了。</w:t>
      </w:r>
    </w:p>
    <w:p w14:paraId="6F8520A3">
      <w:pPr>
        <w:pStyle w:val="9"/>
        <w:spacing w:before="10"/>
        <w:ind w:left="0"/>
        <w:jc w:val="left"/>
        <w:rPr>
          <w:rFonts w:hint="eastAsia"/>
          <w:sz w:val="30"/>
          <w:szCs w:val="30"/>
        </w:rPr>
      </w:pPr>
    </w:p>
    <w:p w14:paraId="75F2C1B3">
      <w:pPr>
        <w:pStyle w:val="9"/>
        <w:spacing w:before="10"/>
        <w:ind w:left="0"/>
        <w:jc w:val="left"/>
        <w:rPr>
          <w:rFonts w:hint="eastAsia"/>
          <w:sz w:val="30"/>
          <w:szCs w:val="30"/>
        </w:rPr>
      </w:pPr>
      <w:r>
        <w:rPr>
          <w:rFonts w:hint="eastAsia"/>
          <w:sz w:val="30"/>
          <w:szCs w:val="30"/>
        </w:rPr>
        <w:t>Soon, however, we may not.</w:t>
      </w:r>
    </w:p>
    <w:p w14:paraId="4EF18C52">
      <w:pPr>
        <w:pStyle w:val="9"/>
        <w:spacing w:before="10"/>
        <w:ind w:left="0"/>
        <w:jc w:val="left"/>
        <w:rPr>
          <w:rFonts w:hint="eastAsia"/>
          <w:sz w:val="30"/>
          <w:szCs w:val="30"/>
        </w:rPr>
      </w:pPr>
    </w:p>
    <w:p w14:paraId="4F3F864C">
      <w:pPr>
        <w:pStyle w:val="9"/>
        <w:spacing w:before="10"/>
        <w:ind w:left="0"/>
        <w:jc w:val="left"/>
        <w:rPr>
          <w:rFonts w:hint="eastAsia"/>
          <w:sz w:val="30"/>
          <w:szCs w:val="30"/>
        </w:rPr>
      </w:pPr>
      <w:r>
        <w:rPr>
          <w:rFonts w:hint="eastAsia"/>
          <w:sz w:val="30"/>
          <w:szCs w:val="30"/>
        </w:rPr>
        <w:t>然而，很快我们可能就无法再这样了。</w:t>
      </w:r>
    </w:p>
    <w:p w14:paraId="551C5037">
      <w:pPr>
        <w:pStyle w:val="9"/>
        <w:spacing w:before="10"/>
        <w:ind w:left="0"/>
        <w:jc w:val="left"/>
        <w:rPr>
          <w:rFonts w:hint="eastAsia"/>
          <w:sz w:val="30"/>
          <w:szCs w:val="30"/>
        </w:rPr>
      </w:pPr>
    </w:p>
    <w:p w14:paraId="7A9B0C4E">
      <w:pPr>
        <w:pStyle w:val="9"/>
        <w:spacing w:before="10"/>
        <w:ind w:left="0"/>
        <w:jc w:val="left"/>
        <w:rPr>
          <w:rFonts w:hint="eastAsia"/>
          <w:sz w:val="30"/>
          <w:szCs w:val="30"/>
        </w:rPr>
      </w:pPr>
      <w:r>
        <w:rPr>
          <w:rFonts w:hint="eastAsia"/>
          <w:sz w:val="30"/>
          <w:szCs w:val="30"/>
        </w:rPr>
        <w:t>Soon we will need the truth, the whole truth, and nothing but the truth.</w:t>
      </w:r>
    </w:p>
    <w:p w14:paraId="0FFEEE93">
      <w:pPr>
        <w:pStyle w:val="9"/>
        <w:spacing w:before="10"/>
        <w:ind w:left="0"/>
        <w:jc w:val="left"/>
        <w:rPr>
          <w:rFonts w:hint="eastAsia"/>
          <w:sz w:val="30"/>
          <w:szCs w:val="30"/>
        </w:rPr>
      </w:pPr>
    </w:p>
    <w:p w14:paraId="54626EA0">
      <w:pPr>
        <w:pStyle w:val="9"/>
        <w:spacing w:before="10"/>
        <w:ind w:left="0"/>
        <w:jc w:val="left"/>
        <w:rPr>
          <w:rFonts w:hint="eastAsia"/>
          <w:sz w:val="30"/>
          <w:szCs w:val="30"/>
        </w:rPr>
      </w:pPr>
      <w:r>
        <w:rPr>
          <w:rFonts w:hint="eastAsia"/>
          <w:sz w:val="30"/>
          <w:szCs w:val="30"/>
        </w:rPr>
        <w:t>很快我们将需要真理，全部的真理，且唯独真理。</w:t>
      </w:r>
    </w:p>
    <w:p w14:paraId="2431BDE6">
      <w:pPr>
        <w:pStyle w:val="9"/>
        <w:spacing w:before="10"/>
        <w:ind w:left="0"/>
        <w:jc w:val="left"/>
        <w:rPr>
          <w:rFonts w:hint="eastAsia"/>
          <w:sz w:val="30"/>
          <w:szCs w:val="30"/>
        </w:rPr>
      </w:pPr>
    </w:p>
    <w:p w14:paraId="7119A1FA">
      <w:pPr>
        <w:pStyle w:val="9"/>
        <w:spacing w:before="10"/>
        <w:ind w:left="0"/>
        <w:jc w:val="left"/>
        <w:rPr>
          <w:rFonts w:hint="eastAsia"/>
          <w:sz w:val="30"/>
          <w:szCs w:val="30"/>
        </w:rPr>
      </w:pPr>
      <w:r>
        <w:rPr>
          <w:rFonts w:hint="eastAsia"/>
          <w:sz w:val="30"/>
          <w:szCs w:val="30"/>
        </w:rPr>
        <w:t>Bad News: We Closed the Door</w:t>
      </w:r>
    </w:p>
    <w:p w14:paraId="48AE385E">
      <w:pPr>
        <w:pStyle w:val="9"/>
        <w:spacing w:before="10"/>
        <w:ind w:left="0"/>
        <w:jc w:val="left"/>
        <w:rPr>
          <w:rFonts w:hint="eastAsia"/>
          <w:sz w:val="30"/>
          <w:szCs w:val="30"/>
        </w:rPr>
      </w:pPr>
    </w:p>
    <w:p w14:paraId="511B233C">
      <w:pPr>
        <w:pStyle w:val="9"/>
        <w:spacing w:before="10"/>
        <w:ind w:left="0"/>
        <w:jc w:val="left"/>
        <w:rPr>
          <w:rFonts w:hint="eastAsia"/>
          <w:sz w:val="30"/>
          <w:szCs w:val="30"/>
        </w:rPr>
      </w:pPr>
      <w:r>
        <w:rPr>
          <w:rFonts w:hint="eastAsia"/>
          <w:sz w:val="30"/>
          <w:szCs w:val="30"/>
        </w:rPr>
        <w:t>坏消息：我们关上了门</w:t>
      </w:r>
    </w:p>
    <w:p w14:paraId="2D065BDD">
      <w:pPr>
        <w:pStyle w:val="9"/>
        <w:spacing w:before="10"/>
        <w:ind w:left="0"/>
        <w:jc w:val="left"/>
        <w:rPr>
          <w:rFonts w:hint="eastAsia"/>
          <w:sz w:val="30"/>
          <w:szCs w:val="30"/>
        </w:rPr>
      </w:pPr>
    </w:p>
    <w:p w14:paraId="1AD07E7D">
      <w:pPr>
        <w:pStyle w:val="9"/>
        <w:spacing w:before="10"/>
        <w:ind w:left="0"/>
        <w:jc w:val="left"/>
        <w:rPr>
          <w:rFonts w:hint="eastAsia"/>
          <w:sz w:val="30"/>
          <w:szCs w:val="30"/>
        </w:rPr>
      </w:pPr>
      <w:r>
        <w:rPr>
          <w:rFonts w:hint="eastAsia"/>
          <w:sz w:val="30"/>
          <w:szCs w:val="30"/>
        </w:rPr>
        <w:t>The bewildering array of eschatological options painfully confirms one of the core teachings of Scripture: We live in a fallen world.</w:t>
      </w:r>
    </w:p>
    <w:p w14:paraId="15ADD9C5">
      <w:pPr>
        <w:pStyle w:val="9"/>
        <w:spacing w:before="10"/>
        <w:ind w:left="0"/>
        <w:jc w:val="left"/>
        <w:rPr>
          <w:rFonts w:hint="eastAsia"/>
          <w:sz w:val="30"/>
          <w:szCs w:val="30"/>
        </w:rPr>
      </w:pPr>
    </w:p>
    <w:p w14:paraId="4795B262">
      <w:pPr>
        <w:pStyle w:val="9"/>
        <w:spacing w:before="10"/>
        <w:ind w:left="0"/>
        <w:jc w:val="left"/>
        <w:rPr>
          <w:rFonts w:hint="eastAsia"/>
          <w:sz w:val="30"/>
          <w:szCs w:val="30"/>
        </w:rPr>
      </w:pPr>
      <w:r>
        <w:rPr>
          <w:rFonts w:hint="eastAsia"/>
          <w:sz w:val="30"/>
          <w:szCs w:val="30"/>
        </w:rPr>
        <w:t>令人困惑的末世论选项阵列，痛苦地证实了圣经的核心教导之一：我们生活在一个堕落的世界里。</w:t>
      </w:r>
    </w:p>
    <w:p w14:paraId="488C58FA">
      <w:pPr>
        <w:pStyle w:val="9"/>
        <w:spacing w:before="10"/>
        <w:ind w:left="0"/>
        <w:jc w:val="left"/>
        <w:rPr>
          <w:rFonts w:hint="eastAsia"/>
          <w:sz w:val="30"/>
          <w:szCs w:val="30"/>
        </w:rPr>
      </w:pPr>
    </w:p>
    <w:p w14:paraId="1D74924D">
      <w:pPr>
        <w:pStyle w:val="9"/>
        <w:spacing w:before="10"/>
        <w:ind w:left="0"/>
        <w:jc w:val="left"/>
        <w:rPr>
          <w:rFonts w:hint="eastAsia"/>
          <w:sz w:val="30"/>
          <w:szCs w:val="30"/>
        </w:rPr>
      </w:pPr>
      <w:r>
        <w:rPr>
          <w:rFonts w:hint="eastAsia"/>
          <w:sz w:val="30"/>
          <w:szCs w:val="30"/>
        </w:rPr>
        <w:t>Because of indwelling sin in our members, and because of demonic deception, doctrinal error creeps into our theology.</w:t>
      </w:r>
    </w:p>
    <w:p w14:paraId="5939BF9D">
      <w:pPr>
        <w:pStyle w:val="9"/>
        <w:spacing w:before="10"/>
        <w:ind w:left="0"/>
        <w:jc w:val="left"/>
        <w:rPr>
          <w:rFonts w:hint="eastAsia"/>
          <w:sz w:val="30"/>
          <w:szCs w:val="30"/>
        </w:rPr>
      </w:pPr>
    </w:p>
    <w:p w14:paraId="61E5AAEE">
      <w:pPr>
        <w:pStyle w:val="9"/>
        <w:spacing w:before="10"/>
        <w:ind w:left="0"/>
        <w:jc w:val="left"/>
        <w:rPr>
          <w:rFonts w:hint="eastAsia"/>
          <w:sz w:val="30"/>
          <w:szCs w:val="30"/>
        </w:rPr>
      </w:pPr>
      <w:r>
        <w:rPr>
          <w:rFonts w:hint="eastAsia"/>
          <w:sz w:val="30"/>
          <w:szCs w:val="30"/>
        </w:rPr>
        <w:t>由于内住在我们肢体中的罪，以及由于鬼魔的欺骗，教义上的错谬会悄悄潜入我们的神学。</w:t>
      </w:r>
    </w:p>
    <w:p w14:paraId="63F3525C">
      <w:pPr>
        <w:pStyle w:val="9"/>
        <w:spacing w:before="10"/>
        <w:ind w:left="0"/>
        <w:jc w:val="left"/>
        <w:rPr>
          <w:rFonts w:hint="eastAsia"/>
          <w:sz w:val="30"/>
          <w:szCs w:val="30"/>
        </w:rPr>
      </w:pPr>
    </w:p>
    <w:p w14:paraId="12F210FE">
      <w:pPr>
        <w:pStyle w:val="9"/>
        <w:spacing w:before="10"/>
        <w:ind w:left="0"/>
        <w:jc w:val="left"/>
        <w:rPr>
          <w:rFonts w:hint="eastAsia"/>
          <w:sz w:val="30"/>
          <w:szCs w:val="30"/>
        </w:rPr>
      </w:pPr>
      <w:r>
        <w:rPr>
          <w:rFonts w:hint="eastAsia"/>
          <w:sz w:val="30"/>
          <w:szCs w:val="30"/>
        </w:rPr>
        <w:t>Even the most gifted, conscientious, and well-meaning Bible teachers can make mistakes.</w:t>
      </w:r>
    </w:p>
    <w:p w14:paraId="7216B83E">
      <w:pPr>
        <w:pStyle w:val="9"/>
        <w:spacing w:before="10"/>
        <w:ind w:left="0"/>
        <w:jc w:val="left"/>
        <w:rPr>
          <w:rFonts w:hint="eastAsia"/>
          <w:sz w:val="30"/>
          <w:szCs w:val="30"/>
        </w:rPr>
      </w:pPr>
    </w:p>
    <w:p w14:paraId="07AA11A3">
      <w:pPr>
        <w:pStyle w:val="9"/>
        <w:spacing w:before="10"/>
        <w:ind w:left="0"/>
        <w:jc w:val="left"/>
        <w:rPr>
          <w:rFonts w:hint="eastAsia"/>
          <w:sz w:val="30"/>
          <w:szCs w:val="30"/>
        </w:rPr>
      </w:pPr>
      <w:r>
        <w:rPr>
          <w:rFonts w:hint="eastAsia"/>
          <w:sz w:val="30"/>
          <w:szCs w:val="30"/>
        </w:rPr>
        <w:t>即使是最有恩赐、最尽责、最善意的圣经教师也会犯错。</w:t>
      </w:r>
    </w:p>
    <w:p w14:paraId="5B84BBA0">
      <w:pPr>
        <w:pStyle w:val="9"/>
        <w:spacing w:before="10"/>
        <w:ind w:left="0"/>
        <w:jc w:val="left"/>
        <w:rPr>
          <w:rFonts w:hint="eastAsia"/>
          <w:sz w:val="30"/>
          <w:szCs w:val="30"/>
        </w:rPr>
      </w:pPr>
    </w:p>
    <w:p w14:paraId="3AAD2727">
      <w:pPr>
        <w:pStyle w:val="9"/>
        <w:spacing w:before="10"/>
        <w:ind w:left="0"/>
        <w:jc w:val="left"/>
        <w:rPr>
          <w:rFonts w:hint="eastAsia"/>
          <w:sz w:val="30"/>
          <w:szCs w:val="30"/>
        </w:rPr>
      </w:pPr>
      <w:r>
        <w:rPr>
          <w:rFonts w:hint="eastAsia"/>
          <w:sz w:val="30"/>
          <w:szCs w:val="30"/>
        </w:rPr>
        <w:t>Worse still, they can stubbornly cling to views in which they are deeply invested, even when those views cannot stand up to thoughtful criticism.</w:t>
      </w:r>
    </w:p>
    <w:p w14:paraId="025550CF">
      <w:pPr>
        <w:pStyle w:val="9"/>
        <w:spacing w:before="10"/>
        <w:ind w:left="0"/>
        <w:jc w:val="left"/>
        <w:rPr>
          <w:rFonts w:hint="eastAsia"/>
          <w:sz w:val="30"/>
          <w:szCs w:val="30"/>
        </w:rPr>
      </w:pPr>
    </w:p>
    <w:p w14:paraId="5906C7B2">
      <w:pPr>
        <w:pStyle w:val="9"/>
        <w:spacing w:before="10"/>
        <w:ind w:left="0"/>
        <w:jc w:val="left"/>
        <w:rPr>
          <w:rFonts w:hint="eastAsia"/>
          <w:sz w:val="30"/>
          <w:szCs w:val="30"/>
        </w:rPr>
      </w:pPr>
      <w:r>
        <w:rPr>
          <w:rFonts w:hint="eastAsia"/>
          <w:sz w:val="30"/>
          <w:szCs w:val="30"/>
        </w:rPr>
        <w:t>更糟糕的是，他们会固执地持守自己已深度投入的观点，即使那些观点经不起深思熟虑的批判。</w:t>
      </w:r>
    </w:p>
    <w:p w14:paraId="2E0F2F65">
      <w:pPr>
        <w:pStyle w:val="9"/>
        <w:spacing w:before="10"/>
        <w:ind w:left="0"/>
        <w:jc w:val="left"/>
        <w:rPr>
          <w:rFonts w:hint="eastAsia"/>
          <w:sz w:val="30"/>
          <w:szCs w:val="30"/>
        </w:rPr>
      </w:pPr>
    </w:p>
    <w:p w14:paraId="1FD3D98D">
      <w:pPr>
        <w:pStyle w:val="9"/>
        <w:spacing w:before="10"/>
        <w:ind w:left="0"/>
        <w:jc w:val="left"/>
        <w:rPr>
          <w:rFonts w:hint="eastAsia"/>
          <w:sz w:val="30"/>
          <w:szCs w:val="30"/>
        </w:rPr>
      </w:pPr>
      <w:r>
        <w:rPr>
          <w:rFonts w:hint="eastAsia"/>
          <w:sz w:val="30"/>
          <w:szCs w:val="30"/>
        </w:rPr>
        <w:t>And amidst the resulting confusion and controversy, the people themselves grow discouraged: “If the experts can’t agree on eschatological truth, how can we?”</w:t>
      </w:r>
    </w:p>
    <w:p w14:paraId="2A478DD5">
      <w:pPr>
        <w:pStyle w:val="9"/>
        <w:spacing w:before="10"/>
        <w:ind w:left="0"/>
        <w:jc w:val="left"/>
        <w:rPr>
          <w:rFonts w:hint="eastAsia"/>
          <w:sz w:val="30"/>
          <w:szCs w:val="30"/>
        </w:rPr>
      </w:pPr>
    </w:p>
    <w:p w14:paraId="651E9B9B">
      <w:pPr>
        <w:pStyle w:val="9"/>
        <w:spacing w:before="10"/>
        <w:ind w:left="0"/>
        <w:jc w:val="left"/>
        <w:rPr>
          <w:rFonts w:hint="eastAsia"/>
          <w:sz w:val="30"/>
          <w:szCs w:val="30"/>
        </w:rPr>
      </w:pPr>
      <w:r>
        <w:rPr>
          <w:rFonts w:hint="eastAsia"/>
          <w:sz w:val="30"/>
          <w:szCs w:val="30"/>
        </w:rPr>
        <w:t>在由此产生的混乱和争议中，人们自己也变得灰心：“如果专家们都不能在末世论的真理上达成一致，我们又怎么能呢？”</w:t>
      </w:r>
    </w:p>
    <w:p w14:paraId="5102BBA4">
      <w:pPr>
        <w:pStyle w:val="9"/>
        <w:spacing w:before="10"/>
        <w:ind w:left="0"/>
        <w:jc w:val="left"/>
        <w:rPr>
          <w:rFonts w:hint="eastAsia"/>
          <w:sz w:val="30"/>
          <w:szCs w:val="30"/>
        </w:rPr>
      </w:pPr>
    </w:p>
    <w:p w14:paraId="784496A7">
      <w:pPr>
        <w:pStyle w:val="9"/>
        <w:spacing w:before="10"/>
        <w:ind w:left="0"/>
        <w:jc w:val="left"/>
        <w:rPr>
          <w:rFonts w:hint="eastAsia"/>
          <w:sz w:val="30"/>
          <w:szCs w:val="30"/>
        </w:rPr>
      </w:pPr>
      <w:r>
        <w:rPr>
          <w:rFonts w:hint="eastAsia"/>
          <w:sz w:val="30"/>
          <w:szCs w:val="30"/>
        </w:rPr>
        <w:t>In so speaking, they forget, of course, that God is pleased to test our love of his truth by making parts of it a little more difficult to understand; that in the face of such testing, he would not have us fall into laziness, skepticism, or despair; that instead he wants us to emulate the noble-minded Bereans, who searched the Scriptures daily to see if this or that particular teaching was true; and that he promises richly to reward those who will do this very thing (Mt. 7:7f, Acts 17:1-12, 2 Peter 3:16).</w:t>
      </w:r>
    </w:p>
    <w:p w14:paraId="20136033">
      <w:pPr>
        <w:pStyle w:val="9"/>
        <w:spacing w:before="10"/>
        <w:ind w:left="0"/>
        <w:jc w:val="left"/>
        <w:rPr>
          <w:rFonts w:hint="eastAsia"/>
          <w:sz w:val="30"/>
          <w:szCs w:val="30"/>
        </w:rPr>
      </w:pPr>
    </w:p>
    <w:p w14:paraId="59DE4A51">
      <w:pPr>
        <w:pStyle w:val="9"/>
        <w:spacing w:before="10"/>
        <w:ind w:left="0"/>
        <w:jc w:val="left"/>
        <w:rPr>
          <w:rFonts w:hint="eastAsia"/>
          <w:sz w:val="30"/>
          <w:szCs w:val="30"/>
        </w:rPr>
      </w:pPr>
      <w:r>
        <w:rPr>
          <w:rFonts w:hint="eastAsia"/>
          <w:sz w:val="30"/>
          <w:szCs w:val="30"/>
        </w:rPr>
        <w:t>如此说时，他们当然忘了，神乐意通过使祂真理的一部分变得稍微难懂一些，来试验我们对祂真理的爱；面对这样的试验，祂不愿我们陷入懒惰、怀疑或绝望；相反，祂要我们效法贤明的庇哩亚人，他们天天查考圣经，要晓得这样或那样的教导是否真实；并且祂应许要丰丰富富地赏赐那些如此行的人（太 7:7及以下, 徒 17:1-12, 彼后 3:16）。</w:t>
      </w:r>
    </w:p>
    <w:p w14:paraId="69343E8E">
      <w:pPr>
        <w:pStyle w:val="9"/>
        <w:spacing w:before="10"/>
        <w:ind w:left="0"/>
        <w:jc w:val="left"/>
        <w:rPr>
          <w:rFonts w:hint="eastAsia"/>
          <w:sz w:val="30"/>
          <w:szCs w:val="30"/>
        </w:rPr>
      </w:pPr>
    </w:p>
    <w:p w14:paraId="3DB0AF66">
      <w:pPr>
        <w:pStyle w:val="9"/>
        <w:spacing w:before="10"/>
        <w:ind w:left="0"/>
        <w:jc w:val="left"/>
        <w:rPr>
          <w:rFonts w:hint="eastAsia"/>
          <w:sz w:val="30"/>
          <w:szCs w:val="30"/>
        </w:rPr>
      </w:pPr>
      <w:r>
        <w:rPr>
          <w:rFonts w:hint="eastAsia"/>
          <w:sz w:val="30"/>
          <w:szCs w:val="30"/>
        </w:rPr>
        <w:t>And yet, we fall.</w:t>
      </w:r>
    </w:p>
    <w:p w14:paraId="246588FA">
      <w:pPr>
        <w:pStyle w:val="9"/>
        <w:spacing w:before="10"/>
        <w:ind w:left="0"/>
        <w:jc w:val="left"/>
        <w:rPr>
          <w:rFonts w:hint="eastAsia"/>
          <w:sz w:val="30"/>
          <w:szCs w:val="30"/>
        </w:rPr>
      </w:pPr>
    </w:p>
    <w:p w14:paraId="3180A0D8">
      <w:pPr>
        <w:pStyle w:val="9"/>
        <w:spacing w:before="10"/>
        <w:ind w:left="0"/>
        <w:jc w:val="left"/>
        <w:rPr>
          <w:rFonts w:hint="eastAsia"/>
          <w:sz w:val="30"/>
          <w:szCs w:val="30"/>
        </w:rPr>
      </w:pPr>
      <w:r>
        <w:rPr>
          <w:rFonts w:hint="eastAsia"/>
          <w:sz w:val="30"/>
          <w:szCs w:val="30"/>
        </w:rPr>
        <w:t>然而，我们还是跌倒了。</w:t>
      </w:r>
    </w:p>
    <w:p w14:paraId="4F0B364F">
      <w:pPr>
        <w:pStyle w:val="9"/>
        <w:spacing w:before="10"/>
        <w:ind w:left="0"/>
        <w:jc w:val="left"/>
        <w:rPr>
          <w:rFonts w:hint="eastAsia"/>
          <w:sz w:val="30"/>
          <w:szCs w:val="30"/>
        </w:rPr>
      </w:pPr>
    </w:p>
    <w:p w14:paraId="157DED3B">
      <w:pPr>
        <w:pStyle w:val="9"/>
        <w:spacing w:before="10"/>
        <w:ind w:left="0"/>
        <w:jc w:val="left"/>
        <w:rPr>
          <w:rFonts w:hint="eastAsia"/>
          <w:sz w:val="30"/>
          <w:szCs w:val="30"/>
        </w:rPr>
      </w:pPr>
      <w:r>
        <w:rPr>
          <w:rFonts w:hint="eastAsia"/>
          <w:sz w:val="30"/>
          <w:szCs w:val="30"/>
        </w:rPr>
        <w:t>Therefore, with a little help from our enemies, we ourselves are the ones who close the door on our Blessed Hope.</w:t>
      </w:r>
    </w:p>
    <w:p w14:paraId="5F39D1B0">
      <w:pPr>
        <w:pStyle w:val="9"/>
        <w:spacing w:before="10"/>
        <w:ind w:left="0"/>
        <w:jc w:val="left"/>
        <w:rPr>
          <w:rFonts w:hint="eastAsia"/>
          <w:sz w:val="30"/>
          <w:szCs w:val="30"/>
        </w:rPr>
      </w:pPr>
    </w:p>
    <w:p w14:paraId="7C6B7407">
      <w:pPr>
        <w:pStyle w:val="9"/>
        <w:spacing w:before="10"/>
        <w:ind w:left="0"/>
        <w:jc w:val="left"/>
        <w:rPr>
          <w:rFonts w:hint="eastAsia"/>
          <w:sz w:val="30"/>
          <w:szCs w:val="30"/>
        </w:rPr>
      </w:pPr>
      <w:r>
        <w:rPr>
          <w:rFonts w:hint="eastAsia"/>
          <w:sz w:val="30"/>
          <w:szCs w:val="30"/>
        </w:rPr>
        <w:t>因此，在我们的仇敌的一点帮助下，是我们自己关上了通往我们有福盼望的门。</w:t>
      </w:r>
    </w:p>
    <w:p w14:paraId="09B9B392">
      <w:pPr>
        <w:pStyle w:val="9"/>
        <w:spacing w:before="10"/>
        <w:ind w:left="0"/>
        <w:jc w:val="left"/>
        <w:rPr>
          <w:rFonts w:hint="eastAsia"/>
          <w:sz w:val="30"/>
          <w:szCs w:val="30"/>
        </w:rPr>
      </w:pPr>
    </w:p>
    <w:p w14:paraId="7BD3232D">
      <w:pPr>
        <w:pStyle w:val="9"/>
        <w:spacing w:before="10"/>
        <w:ind w:left="0"/>
        <w:jc w:val="left"/>
        <w:rPr>
          <w:rFonts w:hint="eastAsia"/>
          <w:sz w:val="30"/>
          <w:szCs w:val="30"/>
        </w:rPr>
      </w:pPr>
      <w:r>
        <w:rPr>
          <w:rFonts w:hint="eastAsia"/>
          <w:sz w:val="30"/>
          <w:szCs w:val="30"/>
        </w:rPr>
        <w:t>So let us pray: for our leaders, ourselves, and God’s people everywhere.</w:t>
      </w:r>
    </w:p>
    <w:p w14:paraId="701B1C4F">
      <w:pPr>
        <w:pStyle w:val="9"/>
        <w:spacing w:before="10"/>
        <w:ind w:left="0"/>
        <w:jc w:val="left"/>
        <w:rPr>
          <w:rFonts w:hint="eastAsia"/>
          <w:sz w:val="30"/>
          <w:szCs w:val="30"/>
        </w:rPr>
      </w:pPr>
    </w:p>
    <w:p w14:paraId="032DA9A4">
      <w:pPr>
        <w:pStyle w:val="9"/>
        <w:spacing w:before="10"/>
        <w:ind w:left="0"/>
        <w:jc w:val="left"/>
        <w:rPr>
          <w:rFonts w:hint="eastAsia"/>
          <w:sz w:val="30"/>
          <w:szCs w:val="30"/>
        </w:rPr>
      </w:pPr>
      <w:r>
        <w:rPr>
          <w:rFonts w:hint="eastAsia"/>
          <w:sz w:val="30"/>
          <w:szCs w:val="30"/>
        </w:rPr>
        <w:t>所以让我们祷告：为我们的领袖，为我们自己，也为各处神的子民祷告。</w:t>
      </w:r>
    </w:p>
    <w:p w14:paraId="22541ED3">
      <w:pPr>
        <w:pStyle w:val="9"/>
        <w:spacing w:before="10"/>
        <w:ind w:left="0"/>
        <w:jc w:val="left"/>
        <w:rPr>
          <w:rFonts w:hint="eastAsia"/>
          <w:sz w:val="30"/>
          <w:szCs w:val="30"/>
        </w:rPr>
      </w:pPr>
    </w:p>
    <w:p w14:paraId="114A51E0">
      <w:pPr>
        <w:pStyle w:val="9"/>
        <w:spacing w:before="10"/>
        <w:ind w:left="0"/>
        <w:jc w:val="left"/>
        <w:rPr>
          <w:rFonts w:hint="eastAsia"/>
          <w:sz w:val="30"/>
          <w:szCs w:val="30"/>
        </w:rPr>
      </w:pPr>
      <w:r>
        <w:rPr>
          <w:rFonts w:hint="eastAsia"/>
          <w:sz w:val="30"/>
          <w:szCs w:val="30"/>
        </w:rPr>
        <w:t>Let us pray that God would humble us beneath his mighty hand; that he would make us teachable, dependent, cooperative, and diligent; that he would sovereignly apply the heavenly salve to our sin-darkened eyes; that he would deliver us from our strong adversary, clear the air of his foul smoke, and fill our vision once again with the radiance of his truth.</w:t>
      </w:r>
    </w:p>
    <w:p w14:paraId="4EA7C93E">
      <w:pPr>
        <w:pStyle w:val="9"/>
        <w:spacing w:before="10"/>
        <w:ind w:left="0"/>
        <w:jc w:val="left"/>
        <w:rPr>
          <w:rFonts w:hint="eastAsia"/>
          <w:sz w:val="30"/>
          <w:szCs w:val="30"/>
        </w:rPr>
      </w:pPr>
    </w:p>
    <w:p w14:paraId="74648F24">
      <w:pPr>
        <w:pStyle w:val="9"/>
        <w:spacing w:before="10"/>
        <w:ind w:left="0"/>
        <w:jc w:val="left"/>
        <w:rPr>
          <w:rFonts w:hint="eastAsia"/>
          <w:sz w:val="30"/>
          <w:szCs w:val="30"/>
        </w:rPr>
      </w:pPr>
      <w:r>
        <w:rPr>
          <w:rFonts w:hint="eastAsia"/>
          <w:sz w:val="30"/>
          <w:szCs w:val="30"/>
        </w:rPr>
        <w:t>让我们祷告，求神在祂大能的手下使我们谦卑；求祂使我们受教、倚靠、合作并殷勤；求祂主权性地将属天的眼药涂抹在我们被罪熏黑的眼睛上；求祂救我们脱离我们强劲的敌人，清除他污秽烟雾弥漫的空气，并再次用祂真理的光辉充满我们的异象。</w:t>
      </w:r>
    </w:p>
    <w:p w14:paraId="77A81A7C">
      <w:pPr>
        <w:pStyle w:val="9"/>
        <w:spacing w:before="10"/>
        <w:ind w:left="0"/>
        <w:jc w:val="left"/>
        <w:rPr>
          <w:rFonts w:hint="eastAsia"/>
          <w:sz w:val="30"/>
          <w:szCs w:val="30"/>
        </w:rPr>
      </w:pPr>
    </w:p>
    <w:p w14:paraId="019B128F">
      <w:pPr>
        <w:pStyle w:val="9"/>
        <w:spacing w:before="10"/>
        <w:ind w:left="0"/>
        <w:jc w:val="left"/>
        <w:rPr>
          <w:rFonts w:hint="eastAsia"/>
          <w:sz w:val="30"/>
          <w:szCs w:val="30"/>
        </w:rPr>
      </w:pPr>
      <w:r>
        <w:rPr>
          <w:rFonts w:hint="eastAsia"/>
          <w:sz w:val="30"/>
          <w:szCs w:val="30"/>
        </w:rPr>
        <w:t>In short, let us pray that in these last days the Lord of the Church will open the door once again, unveiling afresh the Blessed Hope of his beloved Bride.</w:t>
      </w:r>
    </w:p>
    <w:p w14:paraId="79B4972E">
      <w:pPr>
        <w:pStyle w:val="9"/>
        <w:spacing w:before="10"/>
        <w:ind w:left="0"/>
        <w:jc w:val="left"/>
        <w:rPr>
          <w:rFonts w:hint="eastAsia"/>
          <w:sz w:val="30"/>
          <w:szCs w:val="30"/>
        </w:rPr>
      </w:pPr>
    </w:p>
    <w:p w14:paraId="2F285279">
      <w:pPr>
        <w:pStyle w:val="9"/>
        <w:spacing w:before="10"/>
        <w:ind w:left="0"/>
        <w:jc w:val="left"/>
        <w:rPr>
          <w:rFonts w:hint="eastAsia"/>
          <w:sz w:val="30"/>
          <w:szCs w:val="30"/>
        </w:rPr>
      </w:pPr>
      <w:r>
        <w:rPr>
          <w:rFonts w:hint="eastAsia"/>
          <w:sz w:val="30"/>
          <w:szCs w:val="30"/>
        </w:rPr>
        <w:t>简而言之，让我们祷告，求教会的主在这末后的日子里再次打开那扇门，重新揭示祂所爱新妇那有福的盼望。</w:t>
      </w:r>
    </w:p>
    <w:p w14:paraId="31D40E25">
      <w:pPr>
        <w:pStyle w:val="9"/>
        <w:spacing w:before="10"/>
        <w:ind w:left="0"/>
        <w:jc w:val="left"/>
        <w:rPr>
          <w:rFonts w:hint="eastAsia"/>
          <w:sz w:val="30"/>
          <w:szCs w:val="30"/>
        </w:rPr>
      </w:pPr>
    </w:p>
    <w:p w14:paraId="40E9BD64">
      <w:pPr>
        <w:pStyle w:val="9"/>
        <w:spacing w:before="10"/>
        <w:ind w:left="0"/>
        <w:jc w:val="left"/>
        <w:rPr>
          <w:rFonts w:hint="eastAsia"/>
          <w:sz w:val="30"/>
          <w:szCs w:val="30"/>
        </w:rPr>
      </w:pPr>
      <w:r>
        <w:rPr>
          <w:rFonts w:hint="eastAsia"/>
          <w:sz w:val="30"/>
          <w:szCs w:val="30"/>
        </w:rPr>
        <w:t>Good News: He Has the Keys!</w:t>
      </w:r>
    </w:p>
    <w:p w14:paraId="5C5E8586">
      <w:pPr>
        <w:pStyle w:val="9"/>
        <w:spacing w:before="10"/>
        <w:ind w:left="0"/>
        <w:jc w:val="left"/>
        <w:rPr>
          <w:rFonts w:hint="eastAsia"/>
          <w:sz w:val="30"/>
          <w:szCs w:val="30"/>
        </w:rPr>
      </w:pPr>
    </w:p>
    <w:p w14:paraId="5F6FF373">
      <w:pPr>
        <w:pStyle w:val="9"/>
        <w:spacing w:before="10"/>
        <w:ind w:left="0"/>
        <w:jc w:val="left"/>
        <w:rPr>
          <w:rFonts w:hint="eastAsia"/>
          <w:sz w:val="30"/>
          <w:szCs w:val="30"/>
        </w:rPr>
      </w:pPr>
      <w:r>
        <w:rPr>
          <w:rFonts w:hint="eastAsia"/>
          <w:sz w:val="30"/>
          <w:szCs w:val="30"/>
        </w:rPr>
        <w:t>好消息：祂拿着众钥匙！</w:t>
      </w:r>
    </w:p>
    <w:p w14:paraId="68DA2674">
      <w:pPr>
        <w:pStyle w:val="9"/>
        <w:spacing w:before="10"/>
        <w:ind w:left="0"/>
        <w:jc w:val="left"/>
        <w:rPr>
          <w:rFonts w:hint="eastAsia"/>
          <w:sz w:val="30"/>
          <w:szCs w:val="30"/>
        </w:rPr>
      </w:pPr>
    </w:p>
    <w:p w14:paraId="7188A6A1">
      <w:pPr>
        <w:pStyle w:val="9"/>
        <w:spacing w:before="10"/>
        <w:ind w:left="0"/>
        <w:jc w:val="left"/>
        <w:rPr>
          <w:rFonts w:hint="eastAsia"/>
          <w:sz w:val="30"/>
          <w:szCs w:val="30"/>
        </w:rPr>
      </w:pPr>
      <w:r>
        <w:rPr>
          <w:rFonts w:hint="eastAsia"/>
          <w:sz w:val="30"/>
          <w:szCs w:val="30"/>
        </w:rPr>
        <w:t>My goal in this book is to contribute what I can to this worthy end.</w:t>
      </w:r>
    </w:p>
    <w:p w14:paraId="139C1570">
      <w:pPr>
        <w:pStyle w:val="9"/>
        <w:spacing w:before="10"/>
        <w:ind w:left="0"/>
        <w:jc w:val="left"/>
        <w:rPr>
          <w:rFonts w:hint="eastAsia"/>
          <w:sz w:val="30"/>
          <w:szCs w:val="30"/>
        </w:rPr>
      </w:pPr>
    </w:p>
    <w:p w14:paraId="5EBC83B8">
      <w:pPr>
        <w:pStyle w:val="9"/>
        <w:spacing w:before="10"/>
        <w:ind w:left="0"/>
        <w:jc w:val="left"/>
        <w:rPr>
          <w:rFonts w:hint="eastAsia"/>
          <w:sz w:val="30"/>
          <w:szCs w:val="30"/>
        </w:rPr>
      </w:pPr>
      <w:r>
        <w:rPr>
          <w:rFonts w:hint="eastAsia"/>
          <w:sz w:val="30"/>
          <w:szCs w:val="30"/>
        </w:rPr>
        <w:t>我写这本书的目标，是为这个有价值的目标尽我所能地做出贡献。</w:t>
      </w:r>
    </w:p>
    <w:p w14:paraId="635A8CCC">
      <w:pPr>
        <w:pStyle w:val="9"/>
        <w:spacing w:before="10"/>
        <w:ind w:left="0"/>
        <w:jc w:val="left"/>
        <w:rPr>
          <w:rFonts w:hint="eastAsia"/>
          <w:sz w:val="30"/>
          <w:szCs w:val="30"/>
        </w:rPr>
      </w:pPr>
    </w:p>
    <w:p w14:paraId="3800DF5C">
      <w:pPr>
        <w:pStyle w:val="9"/>
        <w:spacing w:before="10"/>
        <w:ind w:left="0"/>
        <w:jc w:val="left"/>
        <w:rPr>
          <w:rFonts w:hint="eastAsia"/>
          <w:sz w:val="30"/>
          <w:szCs w:val="30"/>
        </w:rPr>
      </w:pPr>
      <w:r>
        <w:rPr>
          <w:rFonts w:hint="eastAsia"/>
          <w:sz w:val="30"/>
          <w:szCs w:val="30"/>
        </w:rPr>
        <w:t>I have written it in faith: faith that our present eschatological confusion is not the norm; faith that God wants us to understand his revelation about the last things; faith that we really can; and faith that the truth is not nearly as complicated or difficult as some would have us believe.</w:t>
      </w:r>
    </w:p>
    <w:p w14:paraId="1D72BB28">
      <w:pPr>
        <w:pStyle w:val="9"/>
        <w:spacing w:before="10"/>
        <w:ind w:left="0"/>
        <w:jc w:val="left"/>
        <w:rPr>
          <w:rFonts w:hint="eastAsia"/>
          <w:sz w:val="30"/>
          <w:szCs w:val="30"/>
        </w:rPr>
      </w:pPr>
    </w:p>
    <w:p w14:paraId="1D9A1909">
      <w:pPr>
        <w:pStyle w:val="9"/>
        <w:spacing w:before="10"/>
        <w:ind w:left="0"/>
        <w:jc w:val="left"/>
        <w:rPr>
          <w:rFonts w:hint="eastAsia"/>
          <w:sz w:val="30"/>
          <w:szCs w:val="30"/>
        </w:rPr>
      </w:pPr>
      <w:r>
        <w:rPr>
          <w:rFonts w:hint="eastAsia"/>
          <w:sz w:val="30"/>
          <w:szCs w:val="30"/>
        </w:rPr>
        <w:t>我是凭着信心写的：相信我们目前末世论的混乱并非常态；相信神要我们明白祂关于末后之事的启示；相信我们真的能够明白；并且相信真理远不像某些人让我们以为的那样复杂或困难。</w:t>
      </w:r>
    </w:p>
    <w:p w14:paraId="480DB211">
      <w:pPr>
        <w:pStyle w:val="9"/>
        <w:spacing w:before="10"/>
        <w:ind w:left="0"/>
        <w:jc w:val="left"/>
        <w:rPr>
          <w:rFonts w:hint="eastAsia"/>
          <w:sz w:val="30"/>
          <w:szCs w:val="30"/>
        </w:rPr>
      </w:pPr>
    </w:p>
    <w:p w14:paraId="614C49A2">
      <w:pPr>
        <w:pStyle w:val="9"/>
        <w:spacing w:before="10"/>
        <w:ind w:left="0"/>
        <w:jc w:val="left"/>
        <w:rPr>
          <w:rFonts w:hint="eastAsia"/>
          <w:sz w:val="30"/>
          <w:szCs w:val="30"/>
        </w:rPr>
      </w:pPr>
      <w:r>
        <w:rPr>
          <w:rFonts w:hint="eastAsia"/>
          <w:sz w:val="30"/>
          <w:szCs w:val="30"/>
        </w:rPr>
        <w:t>In particular, I have written in the conviction that God—through Christ —has supplied us with a number of master keys for apprehending his eschatological truth in its entirety; that with these keys in hand, we will be able to arrive at deep conviction on such perennial flashpoints of eschatological controversy as the nature of the Kingdom of God, the stages of its appearing in history, the proper interpretation of OT Kingdom prophecy, the meaning of the Millennium of Revelation 20, and—the great prize of all our theological labors—the design and structure of the Consummation.</w:t>
      </w:r>
    </w:p>
    <w:p w14:paraId="5F558E72">
      <w:pPr>
        <w:pStyle w:val="9"/>
        <w:spacing w:before="10"/>
        <w:ind w:left="0"/>
        <w:jc w:val="left"/>
        <w:rPr>
          <w:rFonts w:hint="eastAsia"/>
          <w:sz w:val="30"/>
          <w:szCs w:val="30"/>
        </w:rPr>
      </w:pPr>
    </w:p>
    <w:p w14:paraId="5AE86A61">
      <w:pPr>
        <w:pStyle w:val="9"/>
        <w:spacing w:before="10"/>
        <w:ind w:left="0"/>
        <w:jc w:val="left"/>
        <w:rPr>
          <w:rFonts w:hint="eastAsia"/>
          <w:sz w:val="30"/>
          <w:szCs w:val="30"/>
        </w:rPr>
      </w:pPr>
      <w:r>
        <w:rPr>
          <w:rFonts w:hint="eastAsia"/>
          <w:sz w:val="30"/>
          <w:szCs w:val="30"/>
        </w:rPr>
        <w:t>特别是，我怀着这样的确信而写作：神——透过基督——已经供给我们一些万能钥匙，用以领会祂末世论真理的全部；手握这些钥匙，我们将能够就一些末世论争议的常年引爆点达成深刻的确信，例如神的国的性质、其在历史中显现的阶段、对旧约国度预言的正确解释、启示录20章中千禧年的意义，以及——我们所有神学劳苦的伟大奖赏——最终成全的设计与结构。</w:t>
      </w:r>
    </w:p>
    <w:p w14:paraId="07FD141C">
      <w:pPr>
        <w:pStyle w:val="9"/>
        <w:spacing w:before="10"/>
        <w:ind w:left="0"/>
        <w:jc w:val="left"/>
        <w:rPr>
          <w:rFonts w:hint="eastAsia"/>
          <w:sz w:val="30"/>
          <w:szCs w:val="30"/>
        </w:rPr>
      </w:pPr>
    </w:p>
    <w:p w14:paraId="6D9CA10C">
      <w:pPr>
        <w:pStyle w:val="9"/>
        <w:spacing w:before="10"/>
        <w:ind w:left="0"/>
        <w:jc w:val="left"/>
        <w:rPr>
          <w:rFonts w:hint="eastAsia"/>
          <w:sz w:val="30"/>
          <w:szCs w:val="30"/>
        </w:rPr>
      </w:pPr>
      <w:r>
        <w:rPr>
          <w:rFonts w:hint="eastAsia"/>
          <w:sz w:val="30"/>
          <w:szCs w:val="30"/>
        </w:rPr>
        <w:t>Yes, the Lord Jesus himself, in whom are found all the treasures of wisdom and knowledge, has the keys to God’s eschatological truth.</w:t>
      </w:r>
    </w:p>
    <w:p w14:paraId="277A250A">
      <w:pPr>
        <w:pStyle w:val="9"/>
        <w:spacing w:before="10"/>
        <w:ind w:left="0"/>
        <w:jc w:val="left"/>
        <w:rPr>
          <w:rFonts w:hint="eastAsia"/>
          <w:sz w:val="30"/>
          <w:szCs w:val="30"/>
        </w:rPr>
      </w:pPr>
    </w:p>
    <w:p w14:paraId="24CF008B">
      <w:pPr>
        <w:pStyle w:val="9"/>
        <w:spacing w:before="10"/>
        <w:ind w:left="0"/>
        <w:jc w:val="left"/>
        <w:rPr>
          <w:rFonts w:hint="eastAsia"/>
          <w:sz w:val="30"/>
          <w:szCs w:val="30"/>
        </w:rPr>
      </w:pPr>
      <w:r>
        <w:rPr>
          <w:rFonts w:hint="eastAsia"/>
          <w:sz w:val="30"/>
          <w:szCs w:val="30"/>
        </w:rPr>
        <w:t>是的，主耶稣自己，那一切智慧和知识的宝藏都在祂里面藏着，祂拿着通往神末世论真理的众钥匙。</w:t>
      </w:r>
    </w:p>
    <w:p w14:paraId="38E2A2A2">
      <w:pPr>
        <w:pStyle w:val="9"/>
        <w:spacing w:before="10"/>
        <w:ind w:left="0"/>
        <w:jc w:val="left"/>
        <w:rPr>
          <w:rFonts w:hint="eastAsia"/>
          <w:sz w:val="30"/>
          <w:szCs w:val="30"/>
        </w:rPr>
      </w:pPr>
    </w:p>
    <w:p w14:paraId="1E50950D">
      <w:pPr>
        <w:pStyle w:val="9"/>
        <w:spacing w:before="10"/>
        <w:ind w:left="0"/>
        <w:jc w:val="left"/>
        <w:rPr>
          <w:rFonts w:hint="eastAsia"/>
          <w:sz w:val="30"/>
          <w:szCs w:val="30"/>
        </w:rPr>
      </w:pPr>
      <w:r>
        <w:rPr>
          <w:rFonts w:hint="eastAsia"/>
          <w:sz w:val="30"/>
          <w:szCs w:val="30"/>
        </w:rPr>
        <w:t>And if he is pleased to place them in our hands, we shall once again be able to open the door, pass through, and find that we have rejoined our evangelical forefathers in an astonishingly beautiful and majestic world whose very air intoxicates with delight, joy, hope, and the power to serve.</w:t>
      </w:r>
    </w:p>
    <w:p w14:paraId="74F68F55">
      <w:pPr>
        <w:pStyle w:val="9"/>
        <w:spacing w:before="10"/>
        <w:ind w:left="0"/>
        <w:jc w:val="left"/>
        <w:rPr>
          <w:rFonts w:hint="eastAsia"/>
          <w:sz w:val="30"/>
          <w:szCs w:val="30"/>
        </w:rPr>
      </w:pPr>
    </w:p>
    <w:p w14:paraId="1C17EE01">
      <w:pPr>
        <w:pStyle w:val="9"/>
        <w:spacing w:before="10"/>
        <w:ind w:left="0"/>
        <w:jc w:val="left"/>
        <w:rPr>
          <w:rFonts w:hint="eastAsia"/>
          <w:sz w:val="30"/>
          <w:szCs w:val="30"/>
        </w:rPr>
      </w:pPr>
      <w:r>
        <w:rPr>
          <w:rFonts w:hint="eastAsia"/>
          <w:sz w:val="30"/>
          <w:szCs w:val="30"/>
        </w:rPr>
        <w:t>并且如果祂乐意将这些钥匙放在我们手中，我们将能再次打开那门，穿过去，并发现我们已与我们的福音派先辈们重聚于一个惊人美丽和威严的世界，那里的空气本身就充满了令人陶醉的喜悦、快乐、盼望和服事的能力。</w:t>
      </w:r>
    </w:p>
    <w:p w14:paraId="5529EF55">
      <w:pPr>
        <w:pStyle w:val="9"/>
        <w:spacing w:before="10"/>
        <w:ind w:left="0"/>
        <w:jc w:val="left"/>
        <w:rPr>
          <w:rFonts w:hint="eastAsia"/>
          <w:sz w:val="30"/>
          <w:szCs w:val="30"/>
        </w:rPr>
      </w:pPr>
    </w:p>
    <w:p w14:paraId="014F876D">
      <w:pPr>
        <w:pStyle w:val="9"/>
        <w:spacing w:before="10"/>
        <w:ind w:left="0"/>
        <w:jc w:val="left"/>
        <w:rPr>
          <w:rFonts w:hint="eastAsia"/>
          <w:sz w:val="30"/>
          <w:szCs w:val="30"/>
        </w:rPr>
      </w:pPr>
      <w:r>
        <w:rPr>
          <w:rFonts w:hint="eastAsia"/>
          <w:sz w:val="30"/>
          <w:szCs w:val="30"/>
        </w:rPr>
        <w:t>Conclusion</w:t>
      </w:r>
    </w:p>
    <w:p w14:paraId="12F4003E">
      <w:pPr>
        <w:pStyle w:val="9"/>
        <w:spacing w:before="10"/>
        <w:ind w:left="0"/>
        <w:jc w:val="left"/>
        <w:rPr>
          <w:rFonts w:hint="eastAsia"/>
          <w:sz w:val="30"/>
          <w:szCs w:val="30"/>
        </w:rPr>
      </w:pPr>
    </w:p>
    <w:p w14:paraId="74F758A5">
      <w:pPr>
        <w:pStyle w:val="9"/>
        <w:spacing w:before="10"/>
        <w:ind w:left="0"/>
        <w:jc w:val="left"/>
        <w:rPr>
          <w:rFonts w:hint="eastAsia"/>
          <w:sz w:val="30"/>
          <w:szCs w:val="30"/>
        </w:rPr>
      </w:pPr>
      <w:r>
        <w:rPr>
          <w:rFonts w:hint="eastAsia"/>
          <w:sz w:val="30"/>
          <w:szCs w:val="30"/>
        </w:rPr>
        <w:t>结论</w:t>
      </w:r>
    </w:p>
    <w:p w14:paraId="09A750AD">
      <w:pPr>
        <w:pStyle w:val="9"/>
        <w:spacing w:before="10"/>
        <w:ind w:left="0"/>
        <w:jc w:val="left"/>
        <w:rPr>
          <w:rFonts w:hint="eastAsia"/>
          <w:sz w:val="30"/>
          <w:szCs w:val="30"/>
        </w:rPr>
      </w:pPr>
    </w:p>
    <w:p w14:paraId="1B46F51F">
      <w:pPr>
        <w:pStyle w:val="9"/>
        <w:spacing w:before="10"/>
        <w:ind w:left="0"/>
        <w:jc w:val="left"/>
        <w:rPr>
          <w:rFonts w:hint="eastAsia"/>
          <w:sz w:val="30"/>
          <w:szCs w:val="30"/>
        </w:rPr>
      </w:pPr>
      <w:r>
        <w:rPr>
          <w:rFonts w:hint="eastAsia"/>
          <w:sz w:val="30"/>
          <w:szCs w:val="30"/>
        </w:rPr>
        <w:t>In this Introduction I have suggested that evangelical confusion about eschatology is a sure sign of spiritual warfare on the theological front.</w:t>
      </w:r>
    </w:p>
    <w:p w14:paraId="49FDB995">
      <w:pPr>
        <w:pStyle w:val="9"/>
        <w:spacing w:before="10"/>
        <w:ind w:left="0"/>
        <w:jc w:val="left"/>
        <w:rPr>
          <w:rFonts w:hint="eastAsia"/>
          <w:sz w:val="30"/>
          <w:szCs w:val="30"/>
        </w:rPr>
      </w:pPr>
    </w:p>
    <w:p w14:paraId="008A1FD9">
      <w:pPr>
        <w:pStyle w:val="9"/>
        <w:spacing w:before="10"/>
        <w:ind w:left="0"/>
        <w:jc w:val="left"/>
        <w:rPr>
          <w:rFonts w:hint="eastAsia"/>
          <w:sz w:val="30"/>
          <w:szCs w:val="30"/>
        </w:rPr>
      </w:pPr>
      <w:r>
        <w:rPr>
          <w:rFonts w:hint="eastAsia"/>
          <w:sz w:val="30"/>
          <w:szCs w:val="30"/>
        </w:rPr>
        <w:t>在这篇引言中，我已提出，福音派在末世论上的混乱是神学战线上属灵争战的一个确切迹象。</w:t>
      </w:r>
    </w:p>
    <w:p w14:paraId="23000BB5">
      <w:pPr>
        <w:pStyle w:val="9"/>
        <w:spacing w:before="10"/>
        <w:ind w:left="0"/>
        <w:jc w:val="left"/>
        <w:rPr>
          <w:rFonts w:hint="eastAsia"/>
          <w:sz w:val="30"/>
          <w:szCs w:val="30"/>
        </w:rPr>
      </w:pPr>
    </w:p>
    <w:p w14:paraId="144651DB">
      <w:pPr>
        <w:pStyle w:val="9"/>
        <w:spacing w:before="10"/>
        <w:ind w:left="0"/>
        <w:jc w:val="left"/>
        <w:rPr>
          <w:rFonts w:hint="eastAsia"/>
          <w:sz w:val="30"/>
          <w:szCs w:val="30"/>
        </w:rPr>
      </w:pPr>
      <w:r>
        <w:rPr>
          <w:rFonts w:hint="eastAsia"/>
          <w:sz w:val="30"/>
          <w:szCs w:val="30"/>
        </w:rPr>
        <w:t>But in a further effort to encourage you to enter the struggle for eschatological truth, I want to close by suggesting that it is also a sign of something else, and something far better: The High King of Heaven is returning soon!</w:t>
      </w:r>
    </w:p>
    <w:p w14:paraId="078FB0D5">
      <w:pPr>
        <w:pStyle w:val="9"/>
        <w:spacing w:before="10"/>
        <w:ind w:left="0"/>
        <w:jc w:val="left"/>
        <w:rPr>
          <w:rFonts w:hint="eastAsia"/>
          <w:sz w:val="30"/>
          <w:szCs w:val="30"/>
        </w:rPr>
      </w:pPr>
    </w:p>
    <w:p w14:paraId="776D2D9B">
      <w:pPr>
        <w:pStyle w:val="9"/>
        <w:spacing w:before="10"/>
        <w:ind w:left="0"/>
        <w:jc w:val="left"/>
        <w:rPr>
          <w:rFonts w:hint="eastAsia"/>
          <w:sz w:val="30"/>
          <w:szCs w:val="30"/>
        </w:rPr>
      </w:pPr>
      <w:r>
        <w:rPr>
          <w:rFonts w:hint="eastAsia"/>
          <w:sz w:val="30"/>
          <w:szCs w:val="30"/>
        </w:rPr>
        <w:t>但是，为了进一步鼓励你们投身于为末世论真理的争战，我想在结束时提出，它也是另一件事的迹象，一件好得多的事：天上的至高君王快要再来了！</w:t>
      </w:r>
    </w:p>
    <w:p w14:paraId="06888AE3">
      <w:pPr>
        <w:pStyle w:val="9"/>
        <w:spacing w:before="10"/>
        <w:ind w:left="0"/>
        <w:jc w:val="left"/>
        <w:rPr>
          <w:rFonts w:hint="eastAsia"/>
          <w:sz w:val="30"/>
          <w:szCs w:val="30"/>
        </w:rPr>
      </w:pPr>
    </w:p>
    <w:p w14:paraId="03E7217A">
      <w:pPr>
        <w:pStyle w:val="9"/>
        <w:spacing w:before="10"/>
        <w:ind w:left="0"/>
        <w:jc w:val="left"/>
        <w:rPr>
          <w:rFonts w:hint="eastAsia"/>
          <w:sz w:val="30"/>
          <w:szCs w:val="30"/>
        </w:rPr>
      </w:pPr>
      <w:r>
        <w:rPr>
          <w:rFonts w:hint="eastAsia"/>
          <w:sz w:val="30"/>
          <w:szCs w:val="30"/>
        </w:rPr>
        <w:t>In the pages ahead I will give my reasons for this persuasion.</w:t>
      </w:r>
    </w:p>
    <w:p w14:paraId="1E0D7729">
      <w:pPr>
        <w:pStyle w:val="9"/>
        <w:spacing w:before="10"/>
        <w:ind w:left="0"/>
        <w:jc w:val="left"/>
        <w:rPr>
          <w:rFonts w:hint="eastAsia"/>
          <w:sz w:val="30"/>
          <w:szCs w:val="30"/>
        </w:rPr>
      </w:pPr>
    </w:p>
    <w:p w14:paraId="7132BCA6">
      <w:pPr>
        <w:pStyle w:val="9"/>
        <w:spacing w:before="10"/>
        <w:ind w:left="0"/>
        <w:jc w:val="left"/>
        <w:rPr>
          <w:rFonts w:hint="eastAsia"/>
          <w:sz w:val="30"/>
          <w:szCs w:val="30"/>
        </w:rPr>
      </w:pPr>
      <w:r>
        <w:rPr>
          <w:rFonts w:hint="eastAsia"/>
          <w:sz w:val="30"/>
          <w:szCs w:val="30"/>
        </w:rPr>
        <w:t>在接下来的篇幅中，我将给出我持此信念的理由。</w:t>
      </w:r>
    </w:p>
    <w:p w14:paraId="6CBF92C4">
      <w:pPr>
        <w:pStyle w:val="9"/>
        <w:spacing w:before="10"/>
        <w:ind w:left="0"/>
        <w:jc w:val="left"/>
        <w:rPr>
          <w:rFonts w:hint="eastAsia"/>
          <w:sz w:val="30"/>
          <w:szCs w:val="30"/>
        </w:rPr>
      </w:pPr>
    </w:p>
    <w:p w14:paraId="6DBB9511">
      <w:pPr>
        <w:pStyle w:val="9"/>
        <w:spacing w:before="10"/>
        <w:ind w:left="0"/>
        <w:jc w:val="left"/>
        <w:rPr>
          <w:rFonts w:hint="eastAsia"/>
          <w:sz w:val="30"/>
          <w:szCs w:val="30"/>
        </w:rPr>
      </w:pPr>
      <w:r>
        <w:rPr>
          <w:rFonts w:hint="eastAsia"/>
          <w:sz w:val="30"/>
          <w:szCs w:val="30"/>
        </w:rPr>
        <w:t>And if I am right, one thing is sure: The final theological struggle will be both fierce and painful.</w:t>
      </w:r>
    </w:p>
    <w:p w14:paraId="59887595">
      <w:pPr>
        <w:pStyle w:val="9"/>
        <w:spacing w:before="10"/>
        <w:ind w:left="0"/>
        <w:jc w:val="left"/>
        <w:rPr>
          <w:rFonts w:hint="eastAsia"/>
          <w:sz w:val="30"/>
          <w:szCs w:val="30"/>
        </w:rPr>
      </w:pPr>
    </w:p>
    <w:p w14:paraId="2AD4E940">
      <w:pPr>
        <w:pStyle w:val="9"/>
        <w:spacing w:before="10"/>
        <w:ind w:left="0"/>
        <w:jc w:val="left"/>
        <w:rPr>
          <w:rFonts w:hint="eastAsia"/>
          <w:sz w:val="30"/>
          <w:szCs w:val="30"/>
        </w:rPr>
      </w:pPr>
      <w:r>
        <w:rPr>
          <w:rFonts w:hint="eastAsia"/>
          <w:sz w:val="30"/>
          <w:szCs w:val="30"/>
        </w:rPr>
        <w:t>如果我是对的，有一件事是确定的：最后的神学争战将是既激烈又痛苦的。</w:t>
      </w:r>
    </w:p>
    <w:p w14:paraId="15F3947C">
      <w:pPr>
        <w:pStyle w:val="9"/>
        <w:spacing w:before="10"/>
        <w:ind w:left="0"/>
        <w:jc w:val="left"/>
        <w:rPr>
          <w:rFonts w:hint="eastAsia"/>
          <w:sz w:val="30"/>
          <w:szCs w:val="30"/>
        </w:rPr>
      </w:pPr>
    </w:p>
    <w:p w14:paraId="57D51236">
      <w:pPr>
        <w:pStyle w:val="9"/>
        <w:spacing w:before="10"/>
        <w:ind w:left="0"/>
        <w:jc w:val="left"/>
        <w:rPr>
          <w:rFonts w:hint="eastAsia"/>
          <w:sz w:val="30"/>
          <w:szCs w:val="30"/>
        </w:rPr>
      </w:pPr>
      <w:r>
        <w:rPr>
          <w:rFonts w:hint="eastAsia"/>
          <w:sz w:val="30"/>
          <w:szCs w:val="30"/>
        </w:rPr>
        <w:t>That does not necessarily mean, however, that it will be bad.</w:t>
      </w:r>
    </w:p>
    <w:p w14:paraId="1E5269E4">
      <w:pPr>
        <w:pStyle w:val="9"/>
        <w:spacing w:before="10"/>
        <w:ind w:left="0"/>
        <w:jc w:val="left"/>
        <w:rPr>
          <w:rFonts w:hint="eastAsia"/>
          <w:sz w:val="30"/>
          <w:szCs w:val="30"/>
        </w:rPr>
      </w:pPr>
    </w:p>
    <w:p w14:paraId="465B82F2">
      <w:pPr>
        <w:pStyle w:val="9"/>
        <w:spacing w:before="10"/>
        <w:ind w:left="0"/>
        <w:jc w:val="left"/>
        <w:rPr>
          <w:rFonts w:hint="eastAsia"/>
          <w:sz w:val="30"/>
          <w:szCs w:val="30"/>
        </w:rPr>
      </w:pPr>
      <w:r>
        <w:rPr>
          <w:rFonts w:hint="eastAsia"/>
          <w:sz w:val="30"/>
          <w:szCs w:val="30"/>
        </w:rPr>
        <w:t>然而，这并不必然意味着它会是坏事。</w:t>
      </w:r>
    </w:p>
    <w:p w14:paraId="77089DB6">
      <w:pPr>
        <w:pStyle w:val="9"/>
        <w:spacing w:before="10"/>
        <w:ind w:left="0"/>
        <w:jc w:val="left"/>
        <w:rPr>
          <w:rFonts w:hint="eastAsia"/>
          <w:sz w:val="30"/>
          <w:szCs w:val="30"/>
        </w:rPr>
      </w:pPr>
    </w:p>
    <w:p w14:paraId="6692639E">
      <w:pPr>
        <w:pStyle w:val="9"/>
        <w:spacing w:before="10"/>
        <w:ind w:left="0"/>
        <w:jc w:val="left"/>
        <w:rPr>
          <w:rFonts w:hint="eastAsia"/>
          <w:sz w:val="30"/>
          <w:szCs w:val="30"/>
        </w:rPr>
      </w:pPr>
      <w:r>
        <w:rPr>
          <w:rFonts w:hint="eastAsia"/>
          <w:sz w:val="30"/>
          <w:szCs w:val="30"/>
        </w:rPr>
        <w:t>As Martin Luther famously said, “The devil is God’s devil.”</w:t>
      </w:r>
    </w:p>
    <w:p w14:paraId="27036E88">
      <w:pPr>
        <w:pStyle w:val="9"/>
        <w:spacing w:before="10"/>
        <w:ind w:left="0"/>
        <w:jc w:val="left"/>
        <w:rPr>
          <w:rFonts w:hint="eastAsia"/>
          <w:sz w:val="30"/>
          <w:szCs w:val="30"/>
        </w:rPr>
      </w:pPr>
    </w:p>
    <w:p w14:paraId="0F10A907">
      <w:pPr>
        <w:pStyle w:val="9"/>
        <w:spacing w:before="10"/>
        <w:ind w:left="0"/>
        <w:jc w:val="left"/>
        <w:rPr>
          <w:rFonts w:hint="eastAsia"/>
          <w:sz w:val="30"/>
          <w:szCs w:val="30"/>
        </w:rPr>
      </w:pPr>
      <w:r>
        <w:rPr>
          <w:rFonts w:hint="eastAsia"/>
          <w:sz w:val="30"/>
          <w:szCs w:val="30"/>
        </w:rPr>
        <w:t>正如马丁·路德的名言：“魔鬼是神的魔鬼。”</w:t>
      </w:r>
    </w:p>
    <w:p w14:paraId="123A337D">
      <w:pPr>
        <w:pStyle w:val="9"/>
        <w:spacing w:before="10"/>
        <w:ind w:left="0"/>
        <w:jc w:val="left"/>
        <w:rPr>
          <w:rFonts w:hint="eastAsia"/>
          <w:sz w:val="30"/>
          <w:szCs w:val="30"/>
        </w:rPr>
      </w:pPr>
    </w:p>
    <w:p w14:paraId="4875CF8F">
      <w:pPr>
        <w:pStyle w:val="9"/>
        <w:spacing w:before="10"/>
        <w:ind w:left="0"/>
        <w:jc w:val="left"/>
        <w:rPr>
          <w:rFonts w:hint="eastAsia"/>
          <w:sz w:val="30"/>
          <w:szCs w:val="30"/>
        </w:rPr>
      </w:pPr>
      <w:r>
        <w:rPr>
          <w:rFonts w:hint="eastAsia"/>
          <w:sz w:val="30"/>
          <w:szCs w:val="30"/>
        </w:rPr>
        <w:t>In other words, if Satan is indeed attacking the Church on the eschatological front, it is only because a good, wise, and sovereign God is pleased to let him, knowing that those attacks will redound not only to the greater glory of Christ, but also to the greater good of his people (Rom. 8:28-29).</w:t>
      </w:r>
    </w:p>
    <w:p w14:paraId="628D5D50">
      <w:pPr>
        <w:pStyle w:val="9"/>
        <w:spacing w:before="10"/>
        <w:ind w:left="0"/>
        <w:jc w:val="left"/>
        <w:rPr>
          <w:rFonts w:hint="eastAsia"/>
          <w:sz w:val="30"/>
          <w:szCs w:val="30"/>
        </w:rPr>
      </w:pPr>
    </w:p>
    <w:p w14:paraId="04305D5B">
      <w:pPr>
        <w:pStyle w:val="9"/>
        <w:spacing w:before="10"/>
        <w:ind w:left="0"/>
        <w:jc w:val="left"/>
        <w:rPr>
          <w:rFonts w:hint="eastAsia"/>
          <w:sz w:val="30"/>
          <w:szCs w:val="30"/>
        </w:rPr>
      </w:pPr>
      <w:r>
        <w:rPr>
          <w:rFonts w:hint="eastAsia"/>
          <w:sz w:val="30"/>
          <w:szCs w:val="30"/>
        </w:rPr>
        <w:t>换句话说，如果撒但确实在末世论的战线上攻击教会，那只是因为一位良善、智慧、主权的神乐意让他如此，因为神知道那些攻击不仅会归于基督更大的荣耀，也会成就祂子民更大的益处（罗 8:28-29）。</w:t>
      </w:r>
    </w:p>
    <w:p w14:paraId="47964B26">
      <w:pPr>
        <w:pStyle w:val="9"/>
        <w:spacing w:before="10"/>
        <w:ind w:left="0"/>
        <w:jc w:val="left"/>
        <w:rPr>
          <w:rFonts w:hint="eastAsia"/>
          <w:sz w:val="30"/>
          <w:szCs w:val="30"/>
        </w:rPr>
      </w:pPr>
    </w:p>
    <w:p w14:paraId="4F87121C">
      <w:pPr>
        <w:pStyle w:val="9"/>
        <w:spacing w:before="10"/>
        <w:ind w:left="0"/>
        <w:jc w:val="left"/>
        <w:rPr>
          <w:rFonts w:hint="eastAsia"/>
          <w:sz w:val="30"/>
          <w:szCs w:val="30"/>
        </w:rPr>
      </w:pPr>
      <w:r>
        <w:rPr>
          <w:rFonts w:hint="eastAsia"/>
          <w:sz w:val="30"/>
          <w:szCs w:val="30"/>
        </w:rPr>
        <w:t>Now, in the case before us, what exactly might that “greater good” be?</w:t>
      </w:r>
    </w:p>
    <w:p w14:paraId="28E699F6">
      <w:pPr>
        <w:pStyle w:val="9"/>
        <w:spacing w:before="10"/>
        <w:ind w:left="0"/>
        <w:jc w:val="left"/>
        <w:rPr>
          <w:rFonts w:hint="eastAsia"/>
          <w:sz w:val="30"/>
          <w:szCs w:val="30"/>
        </w:rPr>
      </w:pPr>
    </w:p>
    <w:p w14:paraId="448CDC70">
      <w:pPr>
        <w:pStyle w:val="9"/>
        <w:spacing w:before="10"/>
        <w:ind w:left="0"/>
        <w:jc w:val="left"/>
        <w:rPr>
          <w:rFonts w:hint="eastAsia"/>
          <w:sz w:val="30"/>
          <w:szCs w:val="30"/>
        </w:rPr>
      </w:pPr>
      <w:r>
        <w:rPr>
          <w:rFonts w:hint="eastAsia"/>
          <w:sz w:val="30"/>
          <w:szCs w:val="30"/>
        </w:rPr>
        <w:t>那么，在我们面前的这个案例中，那“更大的益处”究竟可能是什么呢？</w:t>
      </w:r>
    </w:p>
    <w:p w14:paraId="7972FF84">
      <w:pPr>
        <w:pStyle w:val="9"/>
        <w:spacing w:before="10"/>
        <w:ind w:left="0"/>
        <w:jc w:val="left"/>
        <w:rPr>
          <w:rFonts w:hint="eastAsia"/>
          <w:sz w:val="30"/>
          <w:szCs w:val="30"/>
        </w:rPr>
      </w:pPr>
    </w:p>
    <w:p w14:paraId="40E3A919">
      <w:pPr>
        <w:pStyle w:val="9"/>
        <w:spacing w:before="10"/>
        <w:ind w:left="0"/>
        <w:jc w:val="left"/>
        <w:rPr>
          <w:rFonts w:hint="eastAsia"/>
          <w:sz w:val="30"/>
          <w:szCs w:val="30"/>
        </w:rPr>
      </w:pPr>
      <w:r>
        <w:rPr>
          <w:rFonts w:hint="eastAsia"/>
          <w:sz w:val="30"/>
          <w:szCs w:val="30"/>
        </w:rPr>
        <w:t>Drawing generously from the words of the New Testament, my answer would go something like this:</w:t>
      </w:r>
    </w:p>
    <w:p w14:paraId="75942B53">
      <w:pPr>
        <w:pStyle w:val="9"/>
        <w:spacing w:before="10"/>
        <w:ind w:left="0"/>
        <w:jc w:val="left"/>
        <w:rPr>
          <w:rFonts w:hint="eastAsia"/>
          <w:sz w:val="30"/>
          <w:szCs w:val="30"/>
        </w:rPr>
      </w:pPr>
    </w:p>
    <w:p w14:paraId="695BC60E">
      <w:pPr>
        <w:pStyle w:val="9"/>
        <w:spacing w:before="10"/>
        <w:ind w:left="0"/>
        <w:jc w:val="left"/>
        <w:rPr>
          <w:rFonts w:hint="eastAsia"/>
          <w:sz w:val="30"/>
          <w:szCs w:val="30"/>
        </w:rPr>
      </w:pPr>
      <w:r>
        <w:rPr>
          <w:rFonts w:hint="eastAsia"/>
          <w:sz w:val="30"/>
          <w:szCs w:val="30"/>
        </w:rPr>
        <w:t>慷慨地引述新约的话语，我的答案大概是这样：</w:t>
      </w:r>
    </w:p>
    <w:p w14:paraId="5D97065D">
      <w:pPr>
        <w:pStyle w:val="9"/>
        <w:spacing w:before="10"/>
        <w:ind w:left="0"/>
        <w:jc w:val="left"/>
        <w:rPr>
          <w:rFonts w:hint="eastAsia"/>
          <w:sz w:val="30"/>
          <w:szCs w:val="30"/>
        </w:rPr>
      </w:pPr>
    </w:p>
    <w:p w14:paraId="19A3312F">
      <w:pPr>
        <w:pStyle w:val="9"/>
        <w:spacing w:before="10"/>
        <w:ind w:left="0"/>
        <w:jc w:val="left"/>
        <w:rPr>
          <w:rFonts w:hint="eastAsia"/>
          <w:sz w:val="30"/>
          <w:szCs w:val="30"/>
        </w:rPr>
      </w:pPr>
      <w:r>
        <w:rPr>
          <w:rFonts w:hint="eastAsia"/>
          <w:sz w:val="30"/>
          <w:szCs w:val="30"/>
        </w:rPr>
        <w:t>In these last days, there must be eschatological factions among us, so that good Bereans everywhere, hungry for eschatological truth, might search the Scriptures daily to find out which view is right (Acts 17:11); so that the school of eschatological thought approved by the Lord may finally be recognized for what it is by the true spiritual Church (1 Cor. 11:9); so that God’s people may at last attain to the unity of the faith in the area of eschatology (Eph. 4:13); so that in the dark and difficult days just prior to Christ’s return, the saints will neither be deceived (Mt. 24:23-24), nor quickly shaken from their composure (2 Thess. 2:1-2), nor tossed to and fro by every wind of eschatological doctrine (Eph. 4:14); so that, on the contrary, they will stand strong, joyous, and hopeful, even amidst the most severe tribulations, which is a sure sign of salvation for them, but also of destruction for their enemies (Mt. 10:22, Phil. 1:28, 1 Thess. 1:4); so that in boldly holding forth the whole counsel of God—all the words of this life— they might effectively gather in what remains of God’s elect (Acts 20:27, Phil. 2:16, 2 Tim. 2:10); so that in the end, when the High King finally does appear in glory, they may be confident and unashamed, with eyes fixed steadfastly upon the heavens (1 Pet. 1:13, 1 John 2:28); so that having thoroughly sanctified them by the washing of water with his word, he might present them to himself a glorious Bride, without spot or wrinkle or any such thing, but that she should be holy and without blemish before him, world without end (John 17:17, Eph. 5:25-7). Amen.</w:t>
      </w:r>
    </w:p>
    <w:p w14:paraId="42025FB7">
      <w:pPr>
        <w:pStyle w:val="9"/>
        <w:spacing w:before="10"/>
        <w:ind w:left="0"/>
        <w:jc w:val="left"/>
        <w:rPr>
          <w:rFonts w:hint="eastAsia"/>
          <w:sz w:val="30"/>
          <w:szCs w:val="30"/>
        </w:rPr>
      </w:pPr>
    </w:p>
    <w:p w14:paraId="5A55A0A1">
      <w:pPr>
        <w:pStyle w:val="9"/>
        <w:spacing w:before="10"/>
        <w:ind w:left="0"/>
        <w:jc w:val="left"/>
        <w:rPr>
          <w:sz w:val="30"/>
          <w:szCs w:val="30"/>
        </w:rPr>
      </w:pPr>
      <w:r>
        <w:rPr>
          <w:rFonts w:hint="eastAsia"/>
          <w:sz w:val="30"/>
          <w:szCs w:val="30"/>
        </w:rPr>
        <w:t>在这末后的日子里，我们中间必须有末世论的派别，好叫各处贤良的庇哩亚人，因渴慕末世论的真理，可以天天查考圣经，以找出哪种观点是正确的（徒 17:11）；好叫那蒙主认可的末世论思想流派，最终能被真正属灵的教会认出其本相（林前 11:9）；好叫神的子民最终能在末世论的领域达到信仰的合一（弗 4:13）；好叫在基督再来前那黑暗艰难的日子里，圣徒们既不被迷惑（太 24:23-24），也不轻易动心（帖后 2:1-2），更不被一切末世论教义之风摇动，飘来飘去（弗 4:14）；好叫，与此相反，他们能站立得稳，满有喜乐和盼望，即使在最严酷的患难中也是如此，这对他们是得救的确据，对他们的仇敌却是沉沦的确据（太 10:22, 腓 1:28, 帖前 1:4）；好叫他们因勇敢地持守神全备的旨意——这生命之道的一切话语——可以有效地收聚神所拣选的余民（徒 20:27, 腓 2:16, 提后 2:10）；好叫到末了，当至高的君王最终在荣耀中显现时，他们可以坦然无惧，不至羞愧，定睛仰望诸天（彼前 1:13, 约一 2:28）；好叫祂既用道，借着水的洗，将他们全然成圣，就可以献给自己一个荣耀的新妇，毫无玷污、皱纹等类的病，乃是圣洁没有瑕疵的，直到永永远远（约 17:17, 弗 5:25-7）。阿们。</w:t>
      </w:r>
    </w:p>
    <w:p w14:paraId="23BBD00B">
      <w:pPr>
        <w:pStyle w:val="9"/>
        <w:spacing w:after="0" w:line="249" w:lineRule="auto"/>
        <w:rPr>
          <w:sz w:val="30"/>
          <w:szCs w:val="30"/>
        </w:rPr>
        <w:sectPr>
          <w:pgSz w:w="12240" w:h="15840"/>
          <w:pgMar w:top="1380" w:right="1440" w:bottom="280" w:left="1440" w:header="720" w:footer="720" w:gutter="0"/>
          <w:cols w:space="720" w:num="1"/>
        </w:sectPr>
      </w:pPr>
    </w:p>
    <w:p w14:paraId="26798BCE">
      <w:pPr>
        <w:pStyle w:val="9"/>
        <w:spacing w:before="288"/>
        <w:ind w:left="0"/>
        <w:jc w:val="left"/>
        <w:rPr>
          <w:sz w:val="50"/>
        </w:rPr>
      </w:pPr>
    </w:p>
    <w:p w14:paraId="1B36BB11">
      <w:pPr>
        <w:pStyle w:val="9"/>
        <w:spacing w:before="0"/>
        <w:ind w:left="0"/>
        <w:jc w:val="left"/>
        <w:rPr>
          <w:sz w:val="17"/>
        </w:rPr>
      </w:pPr>
      <w:bookmarkStart w:id="5" w:name="_bookmark2"/>
      <w:bookmarkEnd w:id="5"/>
      <w:bookmarkStart w:id="6" w:name="Part 1: Issues and Options in Biblical E"/>
      <w:bookmarkEnd w:id="6"/>
    </w:p>
    <w:p w14:paraId="721C4279">
      <w:pPr>
        <w:pStyle w:val="2"/>
        <w:bidi w:val="0"/>
        <w:rPr>
          <w:rFonts w:hint="eastAsia"/>
        </w:rPr>
      </w:pPr>
      <w:r>
        <w:rPr>
          <w:rFonts w:hint="eastAsia"/>
        </w:rPr>
        <w:t>Part 1</w:t>
      </w:r>
    </w:p>
    <w:p w14:paraId="73FF4D56">
      <w:pPr>
        <w:pStyle w:val="2"/>
        <w:bidi w:val="0"/>
        <w:rPr>
          <w:rFonts w:hint="eastAsia"/>
        </w:rPr>
      </w:pPr>
      <w:r>
        <w:rPr>
          <w:rFonts w:hint="eastAsia"/>
        </w:rPr>
        <w:t>Issues and Options in Biblical Eschatology</w:t>
      </w:r>
    </w:p>
    <w:p w14:paraId="21568F55">
      <w:pPr>
        <w:pStyle w:val="2"/>
        <w:bidi w:val="0"/>
        <w:rPr>
          <w:rFonts w:hint="eastAsia"/>
        </w:rPr>
      </w:pPr>
      <w:r>
        <w:rPr>
          <w:rFonts w:hint="eastAsia"/>
        </w:rPr>
        <w:t>第一部分</w:t>
      </w:r>
    </w:p>
    <w:p w14:paraId="370022F6">
      <w:pPr>
        <w:pStyle w:val="2"/>
        <w:bidi w:val="0"/>
        <w:rPr>
          <w:rFonts w:hint="eastAsia"/>
        </w:rPr>
      </w:pPr>
      <w:r>
        <w:rPr>
          <w:rFonts w:hint="eastAsia"/>
        </w:rPr>
        <w:t>圣经末世论中的议题与选项</w:t>
      </w:r>
    </w:p>
    <w:p w14:paraId="4FCA98D0">
      <w:pPr>
        <w:pStyle w:val="9"/>
        <w:spacing w:before="103"/>
        <w:ind w:left="0"/>
        <w:jc w:val="left"/>
        <w:rPr>
          <w:rFonts w:hint="eastAsia"/>
          <w:sz w:val="30"/>
          <w:szCs w:val="30"/>
        </w:rPr>
      </w:pPr>
    </w:p>
    <w:p w14:paraId="185ADA5E">
      <w:pPr>
        <w:pStyle w:val="3"/>
        <w:bidi w:val="0"/>
        <w:rPr>
          <w:rFonts w:hint="eastAsia"/>
        </w:rPr>
      </w:pPr>
      <w:r>
        <w:rPr>
          <w:rFonts w:hint="eastAsia"/>
        </w:rPr>
        <w:t>Chapter 1</w:t>
      </w:r>
    </w:p>
    <w:p w14:paraId="2CAC1EF0">
      <w:pPr>
        <w:pStyle w:val="3"/>
        <w:bidi w:val="0"/>
        <w:rPr>
          <w:rFonts w:hint="eastAsia"/>
        </w:rPr>
      </w:pPr>
      <w:r>
        <w:rPr>
          <w:rFonts w:hint="eastAsia"/>
        </w:rPr>
        <w:t>第一章</w:t>
      </w:r>
    </w:p>
    <w:p w14:paraId="011CA9BD">
      <w:pPr>
        <w:pStyle w:val="9"/>
        <w:spacing w:before="103"/>
        <w:ind w:left="0"/>
        <w:jc w:val="left"/>
        <w:rPr>
          <w:rFonts w:hint="eastAsia"/>
          <w:sz w:val="30"/>
          <w:szCs w:val="30"/>
        </w:rPr>
      </w:pPr>
    </w:p>
    <w:p w14:paraId="4E83B13E">
      <w:pPr>
        <w:pStyle w:val="3"/>
        <w:bidi w:val="0"/>
        <w:rPr>
          <w:rFonts w:hint="eastAsia"/>
        </w:rPr>
      </w:pPr>
      <w:r>
        <w:rPr>
          <w:rFonts w:hint="eastAsia"/>
        </w:rPr>
        <w:t>What is Biblical Eschatology?</w:t>
      </w:r>
    </w:p>
    <w:p w14:paraId="4E979E81">
      <w:pPr>
        <w:pStyle w:val="3"/>
        <w:bidi w:val="0"/>
        <w:rPr>
          <w:rFonts w:hint="eastAsia"/>
        </w:rPr>
      </w:pPr>
      <w:r>
        <w:rPr>
          <w:rFonts w:hint="eastAsia"/>
        </w:rPr>
        <w:t>什么是圣经末世论？</w:t>
      </w:r>
    </w:p>
    <w:p w14:paraId="2FA5E769">
      <w:pPr>
        <w:pStyle w:val="9"/>
        <w:spacing w:before="103"/>
        <w:ind w:left="0"/>
        <w:jc w:val="left"/>
        <w:rPr>
          <w:rFonts w:hint="eastAsia"/>
          <w:sz w:val="30"/>
          <w:szCs w:val="30"/>
        </w:rPr>
      </w:pPr>
    </w:p>
    <w:p w14:paraId="69B5AFB0">
      <w:pPr>
        <w:pStyle w:val="9"/>
        <w:spacing w:before="103"/>
        <w:ind w:left="0"/>
        <w:jc w:val="left"/>
        <w:rPr>
          <w:rFonts w:hint="eastAsia"/>
          <w:sz w:val="30"/>
          <w:szCs w:val="30"/>
        </w:rPr>
      </w:pPr>
      <w:r>
        <w:rPr>
          <w:rFonts w:hint="eastAsia"/>
          <w:sz w:val="30"/>
          <w:szCs w:val="30"/>
        </w:rPr>
        <w:t>ACCORDING TO A wise proverb, a journey of a thousand miles begins with the first step.</w:t>
      </w:r>
    </w:p>
    <w:p w14:paraId="0E05DC87">
      <w:pPr>
        <w:pStyle w:val="9"/>
        <w:spacing w:before="103"/>
        <w:ind w:left="0"/>
        <w:jc w:val="left"/>
        <w:rPr>
          <w:rFonts w:hint="eastAsia"/>
          <w:sz w:val="30"/>
          <w:szCs w:val="30"/>
        </w:rPr>
      </w:pPr>
    </w:p>
    <w:p w14:paraId="270C6BAE">
      <w:pPr>
        <w:pStyle w:val="9"/>
        <w:spacing w:before="103"/>
        <w:ind w:left="0"/>
        <w:jc w:val="left"/>
        <w:rPr>
          <w:rFonts w:hint="eastAsia"/>
          <w:sz w:val="30"/>
          <w:szCs w:val="30"/>
        </w:rPr>
      </w:pPr>
      <w:r>
        <w:rPr>
          <w:rFonts w:hint="eastAsia"/>
          <w:sz w:val="30"/>
          <w:szCs w:val="30"/>
        </w:rPr>
        <w:t>根据一句智慧的谚语，千里之行，始于足下。</w:t>
      </w:r>
    </w:p>
    <w:p w14:paraId="2A28E338">
      <w:pPr>
        <w:pStyle w:val="9"/>
        <w:spacing w:before="103"/>
        <w:ind w:left="0"/>
        <w:jc w:val="left"/>
        <w:rPr>
          <w:rFonts w:hint="eastAsia"/>
          <w:sz w:val="30"/>
          <w:szCs w:val="30"/>
        </w:rPr>
      </w:pPr>
    </w:p>
    <w:p w14:paraId="50526849">
      <w:pPr>
        <w:pStyle w:val="9"/>
        <w:spacing w:before="103"/>
        <w:ind w:left="0"/>
        <w:jc w:val="left"/>
        <w:rPr>
          <w:rFonts w:hint="eastAsia"/>
          <w:sz w:val="30"/>
          <w:szCs w:val="30"/>
        </w:rPr>
      </w:pPr>
      <w:r>
        <w:rPr>
          <w:rFonts w:hint="eastAsia"/>
          <w:sz w:val="30"/>
          <w:szCs w:val="30"/>
        </w:rPr>
        <w:t>But what if, in taking our first step, we step out in the wrong direction?</w:t>
      </w:r>
    </w:p>
    <w:p w14:paraId="32C93707">
      <w:pPr>
        <w:pStyle w:val="9"/>
        <w:spacing w:before="103"/>
        <w:ind w:left="0"/>
        <w:jc w:val="left"/>
        <w:rPr>
          <w:rFonts w:hint="eastAsia"/>
          <w:sz w:val="30"/>
          <w:szCs w:val="30"/>
        </w:rPr>
      </w:pPr>
    </w:p>
    <w:p w14:paraId="4AF323BC">
      <w:pPr>
        <w:pStyle w:val="9"/>
        <w:spacing w:before="103"/>
        <w:ind w:left="0"/>
        <w:jc w:val="left"/>
        <w:rPr>
          <w:rFonts w:hint="eastAsia"/>
          <w:sz w:val="30"/>
          <w:szCs w:val="30"/>
        </w:rPr>
      </w:pPr>
      <w:r>
        <w:rPr>
          <w:rFonts w:hint="eastAsia"/>
          <w:sz w:val="30"/>
          <w:szCs w:val="30"/>
        </w:rPr>
        <w:t>但是，倘若我们在迈出第一步时，就走错了方向呢？</w:t>
      </w:r>
    </w:p>
    <w:p w14:paraId="30B0CB92">
      <w:pPr>
        <w:pStyle w:val="9"/>
        <w:spacing w:before="103"/>
        <w:ind w:left="0"/>
        <w:jc w:val="left"/>
        <w:rPr>
          <w:rFonts w:hint="eastAsia"/>
          <w:sz w:val="30"/>
          <w:szCs w:val="30"/>
        </w:rPr>
      </w:pPr>
    </w:p>
    <w:p w14:paraId="404A3E62">
      <w:pPr>
        <w:pStyle w:val="9"/>
        <w:spacing w:before="103"/>
        <w:ind w:left="0"/>
        <w:jc w:val="left"/>
        <w:rPr>
          <w:rFonts w:hint="eastAsia"/>
          <w:sz w:val="30"/>
          <w:szCs w:val="30"/>
        </w:rPr>
      </w:pPr>
      <w:r>
        <w:rPr>
          <w:rFonts w:hint="eastAsia"/>
          <w:sz w:val="30"/>
          <w:szCs w:val="30"/>
        </w:rPr>
        <w:t>In that case, we will not likely reach our destination; or, if we do, we will reach it circuitously, in a state of complete exhaustion, and with many a dear companion left straggling behind.</w:t>
      </w:r>
    </w:p>
    <w:p w14:paraId="4A607310">
      <w:pPr>
        <w:pStyle w:val="9"/>
        <w:spacing w:before="103"/>
        <w:ind w:left="0"/>
        <w:jc w:val="left"/>
        <w:rPr>
          <w:rFonts w:hint="eastAsia"/>
          <w:sz w:val="30"/>
          <w:szCs w:val="30"/>
        </w:rPr>
      </w:pPr>
    </w:p>
    <w:p w14:paraId="5A5F8EA6">
      <w:pPr>
        <w:pStyle w:val="9"/>
        <w:spacing w:before="103"/>
        <w:ind w:left="0"/>
        <w:jc w:val="left"/>
        <w:rPr>
          <w:rFonts w:hint="eastAsia"/>
          <w:sz w:val="30"/>
          <w:szCs w:val="30"/>
        </w:rPr>
      </w:pPr>
      <w:r>
        <w:rPr>
          <w:rFonts w:hint="eastAsia"/>
          <w:sz w:val="30"/>
          <w:szCs w:val="30"/>
        </w:rPr>
        <w:t>那样的话，我们很可能无法到达目的地；或者，即便到达了，也是迂回曲折、精疲力竭，并且许多亲爱的同伴早已掉队。</w:t>
      </w:r>
    </w:p>
    <w:p w14:paraId="41B964E0">
      <w:pPr>
        <w:pStyle w:val="9"/>
        <w:spacing w:before="103"/>
        <w:ind w:left="0"/>
        <w:jc w:val="left"/>
        <w:rPr>
          <w:rFonts w:hint="eastAsia"/>
          <w:sz w:val="30"/>
          <w:szCs w:val="30"/>
        </w:rPr>
      </w:pPr>
    </w:p>
    <w:p w14:paraId="3DD904F1">
      <w:pPr>
        <w:pStyle w:val="9"/>
        <w:spacing w:before="103"/>
        <w:ind w:left="0"/>
        <w:jc w:val="left"/>
        <w:rPr>
          <w:rFonts w:hint="eastAsia"/>
          <w:sz w:val="30"/>
          <w:szCs w:val="30"/>
        </w:rPr>
      </w:pPr>
      <w:r>
        <w:rPr>
          <w:rFonts w:hint="eastAsia"/>
          <w:sz w:val="30"/>
          <w:szCs w:val="30"/>
        </w:rPr>
        <w:t>So then, in view of the sharp spiritual warfare surrounding eschatology, we do well to start well: to define our terms carefully, to get the crucial issues in focus, and our final destination in clear view.</w:t>
      </w:r>
    </w:p>
    <w:p w14:paraId="52AC3F37">
      <w:pPr>
        <w:pStyle w:val="9"/>
        <w:spacing w:before="103"/>
        <w:ind w:left="0"/>
        <w:jc w:val="left"/>
        <w:rPr>
          <w:rFonts w:hint="eastAsia"/>
          <w:sz w:val="30"/>
          <w:szCs w:val="30"/>
        </w:rPr>
      </w:pPr>
    </w:p>
    <w:p w14:paraId="1D00DF18">
      <w:pPr>
        <w:pStyle w:val="9"/>
        <w:spacing w:before="103"/>
        <w:ind w:left="0"/>
        <w:jc w:val="left"/>
        <w:rPr>
          <w:rFonts w:hint="eastAsia"/>
          <w:sz w:val="30"/>
          <w:szCs w:val="30"/>
        </w:rPr>
      </w:pPr>
      <w:r>
        <w:rPr>
          <w:rFonts w:hint="eastAsia"/>
          <w:sz w:val="30"/>
          <w:szCs w:val="30"/>
        </w:rPr>
        <w:t>那么，鉴于围绕着末世论的激烈属灵争战，我们最好有一个好的开始：仔细定义我们的术语，聚焦于关键议题，并清晰地看见我们最终的目的地。</w:t>
      </w:r>
    </w:p>
    <w:p w14:paraId="6C304338">
      <w:pPr>
        <w:pStyle w:val="9"/>
        <w:spacing w:before="103"/>
        <w:ind w:left="0"/>
        <w:jc w:val="left"/>
        <w:rPr>
          <w:rFonts w:hint="eastAsia"/>
          <w:sz w:val="30"/>
          <w:szCs w:val="30"/>
        </w:rPr>
      </w:pPr>
    </w:p>
    <w:p w14:paraId="4960D1E9">
      <w:pPr>
        <w:pStyle w:val="9"/>
        <w:spacing w:before="103"/>
        <w:ind w:left="0"/>
        <w:jc w:val="left"/>
        <w:rPr>
          <w:rFonts w:hint="eastAsia"/>
          <w:sz w:val="30"/>
          <w:szCs w:val="30"/>
        </w:rPr>
      </w:pPr>
      <w:r>
        <w:rPr>
          <w:rFonts w:hint="eastAsia"/>
          <w:sz w:val="30"/>
          <w:szCs w:val="30"/>
        </w:rPr>
        <w:t>Varieties of Eschatology</w:t>
      </w:r>
    </w:p>
    <w:p w14:paraId="3F9C03EE">
      <w:pPr>
        <w:pStyle w:val="9"/>
        <w:spacing w:before="103"/>
        <w:ind w:left="0"/>
        <w:jc w:val="left"/>
        <w:rPr>
          <w:rFonts w:hint="eastAsia"/>
          <w:sz w:val="30"/>
          <w:szCs w:val="30"/>
        </w:rPr>
      </w:pPr>
    </w:p>
    <w:p w14:paraId="5EE33C36">
      <w:pPr>
        <w:pStyle w:val="9"/>
        <w:spacing w:before="103"/>
        <w:ind w:left="0"/>
        <w:jc w:val="left"/>
        <w:rPr>
          <w:rFonts w:hint="eastAsia"/>
          <w:sz w:val="30"/>
          <w:szCs w:val="30"/>
        </w:rPr>
      </w:pPr>
      <w:r>
        <w:rPr>
          <w:rFonts w:hint="eastAsia"/>
          <w:sz w:val="30"/>
          <w:szCs w:val="30"/>
        </w:rPr>
        <w:t>末世论的种类</w:t>
      </w:r>
    </w:p>
    <w:p w14:paraId="61860A1B">
      <w:pPr>
        <w:pStyle w:val="9"/>
        <w:spacing w:before="103"/>
        <w:ind w:left="0"/>
        <w:jc w:val="left"/>
        <w:rPr>
          <w:rFonts w:hint="eastAsia"/>
          <w:sz w:val="30"/>
          <w:szCs w:val="30"/>
        </w:rPr>
      </w:pPr>
    </w:p>
    <w:p w14:paraId="2273D94F">
      <w:pPr>
        <w:pStyle w:val="9"/>
        <w:spacing w:before="103"/>
        <w:ind w:left="0"/>
        <w:jc w:val="left"/>
        <w:rPr>
          <w:rFonts w:hint="eastAsia"/>
          <w:sz w:val="30"/>
          <w:szCs w:val="30"/>
        </w:rPr>
      </w:pPr>
      <w:r>
        <w:rPr>
          <w:rFonts w:hint="eastAsia"/>
          <w:sz w:val="30"/>
          <w:szCs w:val="30"/>
        </w:rPr>
        <w:t>Let us begin with the word “eschatology” itself.</w:t>
      </w:r>
    </w:p>
    <w:p w14:paraId="0C93B422">
      <w:pPr>
        <w:pStyle w:val="9"/>
        <w:spacing w:before="103"/>
        <w:ind w:left="0"/>
        <w:jc w:val="left"/>
        <w:rPr>
          <w:rFonts w:hint="eastAsia"/>
          <w:sz w:val="30"/>
          <w:szCs w:val="30"/>
        </w:rPr>
      </w:pPr>
    </w:p>
    <w:p w14:paraId="27D58CA8">
      <w:pPr>
        <w:pStyle w:val="9"/>
        <w:spacing w:before="103"/>
        <w:ind w:left="0"/>
        <w:jc w:val="left"/>
        <w:rPr>
          <w:rFonts w:hint="eastAsia"/>
          <w:sz w:val="30"/>
          <w:szCs w:val="30"/>
        </w:rPr>
      </w:pPr>
      <w:r>
        <w:rPr>
          <w:rFonts w:hint="eastAsia"/>
          <w:sz w:val="30"/>
          <w:szCs w:val="30"/>
        </w:rPr>
        <w:t>让我们从“末世论”这个词本身开始吧。</w:t>
      </w:r>
    </w:p>
    <w:p w14:paraId="3AD00155">
      <w:pPr>
        <w:pStyle w:val="9"/>
        <w:spacing w:before="103"/>
        <w:ind w:left="0"/>
        <w:jc w:val="left"/>
        <w:rPr>
          <w:rFonts w:hint="eastAsia"/>
          <w:sz w:val="30"/>
          <w:szCs w:val="30"/>
        </w:rPr>
      </w:pPr>
    </w:p>
    <w:p w14:paraId="153CF7E7">
      <w:pPr>
        <w:pStyle w:val="9"/>
        <w:spacing w:before="103"/>
        <w:ind w:left="0"/>
        <w:jc w:val="left"/>
        <w:rPr>
          <w:rFonts w:hint="eastAsia"/>
          <w:sz w:val="30"/>
          <w:szCs w:val="30"/>
        </w:rPr>
      </w:pPr>
      <w:r>
        <w:rPr>
          <w:rFonts w:hint="eastAsia"/>
          <w:sz w:val="30"/>
          <w:szCs w:val="30"/>
        </w:rPr>
        <w:t>Though a little intimidating, its meaning is quite simple.</w:t>
      </w:r>
    </w:p>
    <w:p w14:paraId="242C2BE0">
      <w:pPr>
        <w:pStyle w:val="9"/>
        <w:spacing w:before="103"/>
        <w:ind w:left="0"/>
        <w:jc w:val="left"/>
        <w:rPr>
          <w:rFonts w:hint="eastAsia"/>
          <w:sz w:val="30"/>
          <w:szCs w:val="30"/>
        </w:rPr>
      </w:pPr>
    </w:p>
    <w:p w14:paraId="730BA0CA">
      <w:pPr>
        <w:pStyle w:val="9"/>
        <w:spacing w:before="103"/>
        <w:ind w:left="0"/>
        <w:jc w:val="left"/>
        <w:rPr>
          <w:rFonts w:hint="eastAsia"/>
          <w:sz w:val="30"/>
          <w:szCs w:val="30"/>
        </w:rPr>
      </w:pPr>
      <w:r>
        <w:rPr>
          <w:rFonts w:hint="eastAsia"/>
          <w:sz w:val="30"/>
          <w:szCs w:val="30"/>
        </w:rPr>
        <w:t>这个词虽然有点吓人，但其含义却相当简单。</w:t>
      </w:r>
    </w:p>
    <w:p w14:paraId="4C434CC8">
      <w:pPr>
        <w:pStyle w:val="9"/>
        <w:spacing w:before="103"/>
        <w:ind w:left="0"/>
        <w:jc w:val="left"/>
        <w:rPr>
          <w:rFonts w:hint="eastAsia"/>
          <w:sz w:val="30"/>
          <w:szCs w:val="30"/>
        </w:rPr>
      </w:pPr>
    </w:p>
    <w:p w14:paraId="549DC35F">
      <w:pPr>
        <w:pStyle w:val="9"/>
        <w:spacing w:before="103"/>
        <w:ind w:left="0"/>
        <w:jc w:val="left"/>
        <w:rPr>
          <w:rFonts w:hint="eastAsia"/>
          <w:sz w:val="30"/>
          <w:szCs w:val="30"/>
        </w:rPr>
      </w:pPr>
      <w:r>
        <w:rPr>
          <w:rFonts w:hint="eastAsia"/>
          <w:sz w:val="30"/>
          <w:szCs w:val="30"/>
        </w:rPr>
        <w:t>It brings together two Greek words, eschatos and logos.</w:t>
      </w:r>
    </w:p>
    <w:p w14:paraId="4598B8EA">
      <w:pPr>
        <w:pStyle w:val="9"/>
        <w:spacing w:before="103"/>
        <w:ind w:left="0"/>
        <w:jc w:val="left"/>
        <w:rPr>
          <w:rFonts w:hint="eastAsia"/>
          <w:sz w:val="30"/>
          <w:szCs w:val="30"/>
        </w:rPr>
      </w:pPr>
    </w:p>
    <w:p w14:paraId="54A59419">
      <w:pPr>
        <w:pStyle w:val="9"/>
        <w:spacing w:before="103"/>
        <w:ind w:left="0"/>
        <w:jc w:val="left"/>
        <w:rPr>
          <w:rFonts w:hint="eastAsia"/>
          <w:sz w:val="30"/>
          <w:szCs w:val="30"/>
        </w:rPr>
      </w:pPr>
      <w:r>
        <w:rPr>
          <w:rFonts w:hint="eastAsia"/>
          <w:sz w:val="30"/>
          <w:szCs w:val="30"/>
        </w:rPr>
        <w:t>它由两个希腊词组成，即 eschatos 和 logos。</w:t>
      </w:r>
    </w:p>
    <w:p w14:paraId="6E725748">
      <w:pPr>
        <w:pStyle w:val="9"/>
        <w:spacing w:before="103"/>
        <w:ind w:left="0"/>
        <w:jc w:val="left"/>
        <w:rPr>
          <w:rFonts w:hint="eastAsia"/>
          <w:sz w:val="30"/>
          <w:szCs w:val="30"/>
        </w:rPr>
      </w:pPr>
    </w:p>
    <w:p w14:paraId="0B36B0B8">
      <w:pPr>
        <w:pStyle w:val="9"/>
        <w:spacing w:before="103"/>
        <w:ind w:left="0"/>
        <w:jc w:val="left"/>
        <w:rPr>
          <w:rFonts w:hint="eastAsia"/>
          <w:sz w:val="30"/>
          <w:szCs w:val="30"/>
        </w:rPr>
      </w:pPr>
      <w:r>
        <w:rPr>
          <w:rFonts w:hint="eastAsia"/>
          <w:sz w:val="30"/>
          <w:szCs w:val="30"/>
        </w:rPr>
        <w:t>The former means “last” and the latter means “word” or “teaching about.”</w:t>
      </w:r>
    </w:p>
    <w:p w14:paraId="153B57BF">
      <w:pPr>
        <w:pStyle w:val="9"/>
        <w:spacing w:before="103"/>
        <w:ind w:left="0"/>
        <w:jc w:val="left"/>
        <w:rPr>
          <w:rFonts w:hint="eastAsia"/>
          <w:sz w:val="30"/>
          <w:szCs w:val="30"/>
        </w:rPr>
      </w:pPr>
    </w:p>
    <w:p w14:paraId="3BDFF6D0">
      <w:pPr>
        <w:pStyle w:val="9"/>
        <w:spacing w:before="103"/>
        <w:ind w:left="0"/>
        <w:jc w:val="left"/>
        <w:rPr>
          <w:rFonts w:hint="eastAsia"/>
          <w:sz w:val="30"/>
          <w:szCs w:val="30"/>
        </w:rPr>
      </w:pPr>
      <w:r>
        <w:rPr>
          <w:rFonts w:hint="eastAsia"/>
          <w:sz w:val="30"/>
          <w:szCs w:val="30"/>
        </w:rPr>
        <w:t>前者意为“最后的”，后者意为“话语”或“关于...的教导”。</w:t>
      </w:r>
    </w:p>
    <w:p w14:paraId="66F2867D">
      <w:pPr>
        <w:pStyle w:val="9"/>
        <w:spacing w:before="103"/>
        <w:ind w:left="0"/>
        <w:jc w:val="left"/>
        <w:rPr>
          <w:rFonts w:hint="eastAsia"/>
          <w:sz w:val="30"/>
          <w:szCs w:val="30"/>
        </w:rPr>
      </w:pPr>
    </w:p>
    <w:p w14:paraId="2337C19C">
      <w:pPr>
        <w:pStyle w:val="9"/>
        <w:spacing w:before="103"/>
        <w:ind w:left="0"/>
        <w:jc w:val="left"/>
        <w:rPr>
          <w:rFonts w:hint="eastAsia"/>
          <w:sz w:val="30"/>
          <w:szCs w:val="30"/>
        </w:rPr>
      </w:pPr>
      <w:r>
        <w:rPr>
          <w:rFonts w:hint="eastAsia"/>
          <w:sz w:val="30"/>
          <w:szCs w:val="30"/>
        </w:rPr>
        <w:t>So eschatology is teaching about “the last things,” about the things that will happen at the end of the story, whether of an individual life or of the universe itself.</w:t>
      </w:r>
    </w:p>
    <w:p w14:paraId="45D93996">
      <w:pPr>
        <w:pStyle w:val="9"/>
        <w:spacing w:before="103"/>
        <w:ind w:left="0"/>
        <w:jc w:val="left"/>
        <w:rPr>
          <w:rFonts w:hint="eastAsia"/>
          <w:sz w:val="30"/>
          <w:szCs w:val="30"/>
        </w:rPr>
      </w:pPr>
    </w:p>
    <w:p w14:paraId="1A40858F">
      <w:pPr>
        <w:pStyle w:val="9"/>
        <w:spacing w:before="103"/>
        <w:ind w:left="0"/>
        <w:jc w:val="left"/>
        <w:rPr>
          <w:rFonts w:hint="eastAsia"/>
          <w:sz w:val="30"/>
          <w:szCs w:val="30"/>
        </w:rPr>
      </w:pPr>
      <w:r>
        <w:rPr>
          <w:rFonts w:hint="eastAsia"/>
          <w:sz w:val="30"/>
          <w:szCs w:val="30"/>
        </w:rPr>
        <w:t>所以，末世论是关于“末后之事”的教导，是关于在一个故事的结尾将要发生的事情，无论是个人生命的，还是宇宙本身的。</w:t>
      </w:r>
    </w:p>
    <w:p w14:paraId="1AD2F79F">
      <w:pPr>
        <w:pStyle w:val="9"/>
        <w:spacing w:before="103"/>
        <w:ind w:left="0"/>
        <w:jc w:val="left"/>
        <w:rPr>
          <w:rFonts w:hint="eastAsia"/>
          <w:sz w:val="30"/>
          <w:szCs w:val="30"/>
        </w:rPr>
      </w:pPr>
    </w:p>
    <w:p w14:paraId="7326E1FE">
      <w:pPr>
        <w:pStyle w:val="9"/>
        <w:spacing w:before="103"/>
        <w:ind w:left="0"/>
        <w:jc w:val="left"/>
        <w:rPr>
          <w:rFonts w:hint="eastAsia"/>
          <w:sz w:val="30"/>
          <w:szCs w:val="30"/>
        </w:rPr>
      </w:pPr>
      <w:r>
        <w:rPr>
          <w:rFonts w:hint="eastAsia"/>
          <w:sz w:val="30"/>
          <w:szCs w:val="30"/>
        </w:rPr>
        <w:t>There are two basic kinds of eschatology.</w:t>
      </w:r>
    </w:p>
    <w:p w14:paraId="48D031C7">
      <w:pPr>
        <w:pStyle w:val="9"/>
        <w:spacing w:before="103"/>
        <w:ind w:left="0"/>
        <w:jc w:val="left"/>
        <w:rPr>
          <w:rFonts w:hint="eastAsia"/>
          <w:sz w:val="30"/>
          <w:szCs w:val="30"/>
        </w:rPr>
      </w:pPr>
    </w:p>
    <w:p w14:paraId="5A0399AC">
      <w:pPr>
        <w:pStyle w:val="9"/>
        <w:spacing w:before="103"/>
        <w:ind w:left="0"/>
        <w:jc w:val="left"/>
        <w:rPr>
          <w:rFonts w:hint="eastAsia"/>
          <w:sz w:val="30"/>
          <w:szCs w:val="30"/>
        </w:rPr>
      </w:pPr>
      <w:r>
        <w:rPr>
          <w:rFonts w:hint="eastAsia"/>
          <w:sz w:val="30"/>
          <w:szCs w:val="30"/>
        </w:rPr>
        <w:t>末世论有两种基本类型。</w:t>
      </w:r>
    </w:p>
    <w:p w14:paraId="09930E30">
      <w:pPr>
        <w:pStyle w:val="9"/>
        <w:spacing w:before="103"/>
        <w:ind w:left="0"/>
        <w:jc w:val="left"/>
        <w:rPr>
          <w:rFonts w:hint="eastAsia"/>
          <w:sz w:val="30"/>
          <w:szCs w:val="30"/>
        </w:rPr>
      </w:pPr>
    </w:p>
    <w:p w14:paraId="45A6501A">
      <w:pPr>
        <w:pStyle w:val="9"/>
        <w:spacing w:before="103"/>
        <w:ind w:left="0"/>
        <w:jc w:val="left"/>
        <w:rPr>
          <w:rFonts w:hint="eastAsia"/>
          <w:sz w:val="30"/>
          <w:szCs w:val="30"/>
        </w:rPr>
      </w:pPr>
      <w:r>
        <w:rPr>
          <w:rFonts w:hint="eastAsia"/>
          <w:sz w:val="30"/>
          <w:szCs w:val="30"/>
        </w:rPr>
        <w:t>The first—called personal eschatology—addresses one of the most urgent questions slumbering in the human heart: What happens when we die?</w:t>
      </w:r>
    </w:p>
    <w:p w14:paraId="59E48FFC">
      <w:pPr>
        <w:pStyle w:val="9"/>
        <w:spacing w:before="103"/>
        <w:ind w:left="0"/>
        <w:jc w:val="left"/>
        <w:rPr>
          <w:rFonts w:hint="eastAsia"/>
          <w:sz w:val="30"/>
          <w:szCs w:val="30"/>
        </w:rPr>
      </w:pPr>
    </w:p>
    <w:p w14:paraId="5A25D4D1">
      <w:pPr>
        <w:pStyle w:val="9"/>
        <w:spacing w:before="103"/>
        <w:ind w:left="0"/>
        <w:jc w:val="left"/>
        <w:rPr>
          <w:rFonts w:hint="eastAsia"/>
          <w:sz w:val="30"/>
          <w:szCs w:val="30"/>
        </w:rPr>
      </w:pPr>
      <w:r>
        <w:rPr>
          <w:rFonts w:hint="eastAsia"/>
          <w:sz w:val="30"/>
          <w:szCs w:val="30"/>
        </w:rPr>
        <w:t>第一种——称为个人末世论——探讨了沉睡在人心中的一个最紧迫的问题：我们死后会发生什么？</w:t>
      </w:r>
    </w:p>
    <w:p w14:paraId="0E1F0535">
      <w:pPr>
        <w:pStyle w:val="9"/>
        <w:spacing w:before="103"/>
        <w:ind w:left="0"/>
        <w:jc w:val="left"/>
        <w:rPr>
          <w:rFonts w:hint="eastAsia"/>
          <w:sz w:val="30"/>
          <w:szCs w:val="30"/>
        </w:rPr>
      </w:pPr>
    </w:p>
    <w:p w14:paraId="2342A8C7">
      <w:pPr>
        <w:pStyle w:val="9"/>
        <w:spacing w:before="103"/>
        <w:ind w:left="0"/>
        <w:jc w:val="left"/>
        <w:rPr>
          <w:rFonts w:hint="eastAsia"/>
          <w:sz w:val="30"/>
          <w:szCs w:val="30"/>
        </w:rPr>
      </w:pPr>
      <w:r>
        <w:rPr>
          <w:rFonts w:hint="eastAsia"/>
          <w:sz w:val="30"/>
          <w:szCs w:val="30"/>
        </w:rPr>
        <w:t>Its concern is to think deeply about the destiny of the human mind, soul, or spirit.</w:t>
      </w:r>
    </w:p>
    <w:p w14:paraId="50E22FC5">
      <w:pPr>
        <w:pStyle w:val="9"/>
        <w:spacing w:before="103"/>
        <w:ind w:left="0"/>
        <w:jc w:val="left"/>
        <w:rPr>
          <w:rFonts w:hint="eastAsia"/>
          <w:sz w:val="30"/>
          <w:szCs w:val="30"/>
        </w:rPr>
      </w:pPr>
    </w:p>
    <w:p w14:paraId="6543A599">
      <w:pPr>
        <w:pStyle w:val="9"/>
        <w:spacing w:before="103"/>
        <w:ind w:left="0"/>
        <w:jc w:val="left"/>
        <w:rPr>
          <w:rFonts w:hint="eastAsia"/>
          <w:sz w:val="30"/>
          <w:szCs w:val="30"/>
        </w:rPr>
      </w:pPr>
      <w:r>
        <w:rPr>
          <w:rFonts w:hint="eastAsia"/>
          <w:sz w:val="30"/>
          <w:szCs w:val="30"/>
        </w:rPr>
        <w:t>它所关注的是深入思考人类的心智、魂或灵的归宿。</w:t>
      </w:r>
    </w:p>
    <w:p w14:paraId="4FC6ECD5">
      <w:pPr>
        <w:pStyle w:val="9"/>
        <w:spacing w:before="103"/>
        <w:ind w:left="0"/>
        <w:jc w:val="left"/>
        <w:rPr>
          <w:rFonts w:hint="eastAsia"/>
          <w:sz w:val="30"/>
          <w:szCs w:val="30"/>
        </w:rPr>
      </w:pPr>
    </w:p>
    <w:p w14:paraId="35A1DE37">
      <w:pPr>
        <w:pStyle w:val="9"/>
        <w:spacing w:before="103"/>
        <w:ind w:left="0"/>
        <w:jc w:val="left"/>
        <w:rPr>
          <w:rFonts w:hint="eastAsia"/>
          <w:sz w:val="30"/>
          <w:szCs w:val="30"/>
        </w:rPr>
      </w:pPr>
      <w:r>
        <w:rPr>
          <w:rFonts w:hint="eastAsia"/>
          <w:sz w:val="30"/>
          <w:szCs w:val="30"/>
        </w:rPr>
        <w:t>Does the soul survive the death of the body?</w:t>
      </w:r>
    </w:p>
    <w:p w14:paraId="34C46136">
      <w:pPr>
        <w:pStyle w:val="9"/>
        <w:spacing w:before="103"/>
        <w:ind w:left="0"/>
        <w:jc w:val="left"/>
        <w:rPr>
          <w:rFonts w:hint="eastAsia"/>
          <w:sz w:val="30"/>
          <w:szCs w:val="30"/>
        </w:rPr>
      </w:pPr>
    </w:p>
    <w:p w14:paraId="056D5736">
      <w:pPr>
        <w:pStyle w:val="9"/>
        <w:spacing w:before="103"/>
        <w:ind w:left="0"/>
        <w:jc w:val="left"/>
        <w:rPr>
          <w:rFonts w:hint="eastAsia"/>
          <w:sz w:val="30"/>
          <w:szCs w:val="30"/>
        </w:rPr>
      </w:pPr>
      <w:r>
        <w:rPr>
          <w:rFonts w:hint="eastAsia"/>
          <w:sz w:val="30"/>
          <w:szCs w:val="30"/>
        </w:rPr>
        <w:t>魂在身体死后还存留吗？</w:t>
      </w:r>
    </w:p>
    <w:p w14:paraId="583EDE94">
      <w:pPr>
        <w:pStyle w:val="9"/>
        <w:spacing w:before="103"/>
        <w:ind w:left="0"/>
        <w:jc w:val="left"/>
        <w:rPr>
          <w:rFonts w:hint="eastAsia"/>
          <w:sz w:val="30"/>
          <w:szCs w:val="30"/>
        </w:rPr>
      </w:pPr>
    </w:p>
    <w:p w14:paraId="42FA3BD1">
      <w:pPr>
        <w:pStyle w:val="9"/>
        <w:spacing w:before="103"/>
        <w:ind w:left="0"/>
        <w:jc w:val="left"/>
        <w:rPr>
          <w:rFonts w:hint="eastAsia"/>
          <w:sz w:val="30"/>
          <w:szCs w:val="30"/>
        </w:rPr>
      </w:pPr>
      <w:r>
        <w:rPr>
          <w:rFonts w:hint="eastAsia"/>
          <w:sz w:val="30"/>
          <w:szCs w:val="30"/>
        </w:rPr>
        <w:t>If so, where does it go?</w:t>
      </w:r>
    </w:p>
    <w:p w14:paraId="0CC4E9E6">
      <w:pPr>
        <w:pStyle w:val="9"/>
        <w:spacing w:before="103"/>
        <w:ind w:left="0"/>
        <w:jc w:val="left"/>
        <w:rPr>
          <w:rFonts w:hint="eastAsia"/>
          <w:sz w:val="30"/>
          <w:szCs w:val="30"/>
        </w:rPr>
      </w:pPr>
    </w:p>
    <w:p w14:paraId="2B759DC3">
      <w:pPr>
        <w:pStyle w:val="9"/>
        <w:spacing w:before="103"/>
        <w:ind w:left="0"/>
        <w:jc w:val="left"/>
        <w:rPr>
          <w:rFonts w:hint="eastAsia"/>
          <w:sz w:val="30"/>
          <w:szCs w:val="30"/>
        </w:rPr>
      </w:pPr>
      <w:r>
        <w:rPr>
          <w:rFonts w:hint="eastAsia"/>
          <w:sz w:val="30"/>
          <w:szCs w:val="30"/>
        </w:rPr>
        <w:t>如果存留，它去哪里？</w:t>
      </w:r>
    </w:p>
    <w:p w14:paraId="7E4A94FA">
      <w:pPr>
        <w:pStyle w:val="9"/>
        <w:spacing w:before="103"/>
        <w:ind w:left="0"/>
        <w:jc w:val="left"/>
        <w:rPr>
          <w:rFonts w:hint="eastAsia"/>
          <w:sz w:val="30"/>
          <w:szCs w:val="30"/>
        </w:rPr>
      </w:pPr>
    </w:p>
    <w:p w14:paraId="247874CB">
      <w:pPr>
        <w:pStyle w:val="9"/>
        <w:spacing w:before="103"/>
        <w:ind w:left="0"/>
        <w:jc w:val="left"/>
        <w:rPr>
          <w:rFonts w:hint="eastAsia"/>
          <w:sz w:val="30"/>
          <w:szCs w:val="30"/>
        </w:rPr>
      </w:pPr>
      <w:r>
        <w:rPr>
          <w:rFonts w:hint="eastAsia"/>
          <w:sz w:val="30"/>
          <w:szCs w:val="30"/>
        </w:rPr>
        <w:t>How long does it stay there?</w:t>
      </w:r>
    </w:p>
    <w:p w14:paraId="42760517">
      <w:pPr>
        <w:pStyle w:val="9"/>
        <w:spacing w:before="103"/>
        <w:ind w:left="0"/>
        <w:jc w:val="left"/>
        <w:rPr>
          <w:rFonts w:hint="eastAsia"/>
          <w:sz w:val="30"/>
          <w:szCs w:val="30"/>
        </w:rPr>
      </w:pPr>
    </w:p>
    <w:p w14:paraId="2C6EE1C5">
      <w:pPr>
        <w:pStyle w:val="9"/>
        <w:spacing w:before="103"/>
        <w:ind w:left="0"/>
        <w:jc w:val="left"/>
        <w:rPr>
          <w:rFonts w:hint="eastAsia"/>
          <w:sz w:val="30"/>
          <w:szCs w:val="30"/>
        </w:rPr>
      </w:pPr>
      <w:r>
        <w:rPr>
          <w:rFonts w:hint="eastAsia"/>
          <w:sz w:val="30"/>
          <w:szCs w:val="30"/>
        </w:rPr>
        <w:t>它在那里待多久？</w:t>
      </w:r>
    </w:p>
    <w:p w14:paraId="0654C434">
      <w:pPr>
        <w:pStyle w:val="9"/>
        <w:spacing w:before="103"/>
        <w:ind w:left="0"/>
        <w:jc w:val="left"/>
        <w:rPr>
          <w:rFonts w:hint="eastAsia"/>
          <w:sz w:val="30"/>
          <w:szCs w:val="30"/>
        </w:rPr>
      </w:pPr>
    </w:p>
    <w:p w14:paraId="2B7D07DD">
      <w:pPr>
        <w:pStyle w:val="9"/>
        <w:spacing w:before="103"/>
        <w:ind w:left="0"/>
        <w:jc w:val="left"/>
        <w:rPr>
          <w:rFonts w:hint="eastAsia"/>
          <w:sz w:val="30"/>
          <w:szCs w:val="30"/>
        </w:rPr>
      </w:pPr>
      <w:r>
        <w:rPr>
          <w:rFonts w:hint="eastAsia"/>
          <w:sz w:val="30"/>
          <w:szCs w:val="30"/>
        </w:rPr>
        <w:t>Will it remain a disembodied spirit forever?</w:t>
      </w:r>
    </w:p>
    <w:p w14:paraId="239082AA">
      <w:pPr>
        <w:pStyle w:val="9"/>
        <w:spacing w:before="103"/>
        <w:ind w:left="0"/>
        <w:jc w:val="left"/>
        <w:rPr>
          <w:rFonts w:hint="eastAsia"/>
          <w:sz w:val="30"/>
          <w:szCs w:val="30"/>
        </w:rPr>
      </w:pPr>
    </w:p>
    <w:p w14:paraId="30387C5C">
      <w:pPr>
        <w:pStyle w:val="9"/>
        <w:spacing w:before="103"/>
        <w:ind w:left="0"/>
        <w:jc w:val="left"/>
        <w:rPr>
          <w:rFonts w:hint="eastAsia"/>
          <w:sz w:val="30"/>
          <w:szCs w:val="30"/>
        </w:rPr>
      </w:pPr>
      <w:r>
        <w:rPr>
          <w:rFonts w:hint="eastAsia"/>
          <w:sz w:val="30"/>
          <w:szCs w:val="30"/>
        </w:rPr>
        <w:t>它会永远是一个脱离身体的灵吗？</w:t>
      </w:r>
    </w:p>
    <w:p w14:paraId="596C5080">
      <w:pPr>
        <w:pStyle w:val="9"/>
        <w:spacing w:before="103"/>
        <w:ind w:left="0"/>
        <w:jc w:val="left"/>
        <w:rPr>
          <w:rFonts w:hint="eastAsia"/>
          <w:sz w:val="30"/>
          <w:szCs w:val="30"/>
        </w:rPr>
      </w:pPr>
    </w:p>
    <w:p w14:paraId="34BE599F">
      <w:pPr>
        <w:pStyle w:val="9"/>
        <w:spacing w:before="103"/>
        <w:ind w:left="0"/>
        <w:jc w:val="left"/>
        <w:rPr>
          <w:rFonts w:hint="eastAsia"/>
          <w:sz w:val="30"/>
          <w:szCs w:val="30"/>
        </w:rPr>
      </w:pPr>
      <w:r>
        <w:rPr>
          <w:rFonts w:hint="eastAsia"/>
          <w:sz w:val="30"/>
          <w:szCs w:val="30"/>
        </w:rPr>
        <w:t>Will it ever be reunited with a body?</w:t>
      </w:r>
    </w:p>
    <w:p w14:paraId="2B4C4F97">
      <w:pPr>
        <w:pStyle w:val="9"/>
        <w:spacing w:before="103"/>
        <w:ind w:left="0"/>
        <w:jc w:val="left"/>
        <w:rPr>
          <w:rFonts w:hint="eastAsia"/>
          <w:sz w:val="30"/>
          <w:szCs w:val="30"/>
        </w:rPr>
      </w:pPr>
    </w:p>
    <w:p w14:paraId="20EC8942">
      <w:pPr>
        <w:pStyle w:val="9"/>
        <w:spacing w:before="103"/>
        <w:ind w:left="0"/>
        <w:jc w:val="left"/>
        <w:rPr>
          <w:rFonts w:hint="eastAsia"/>
          <w:sz w:val="30"/>
          <w:szCs w:val="30"/>
        </w:rPr>
      </w:pPr>
      <w:r>
        <w:rPr>
          <w:rFonts w:hint="eastAsia"/>
          <w:sz w:val="30"/>
          <w:szCs w:val="30"/>
        </w:rPr>
        <w:t>它会与身体重新联合吗？</w:t>
      </w:r>
    </w:p>
    <w:p w14:paraId="76874D3A">
      <w:pPr>
        <w:pStyle w:val="9"/>
        <w:spacing w:before="103"/>
        <w:ind w:left="0"/>
        <w:jc w:val="left"/>
        <w:rPr>
          <w:rFonts w:hint="eastAsia"/>
          <w:sz w:val="30"/>
          <w:szCs w:val="30"/>
        </w:rPr>
      </w:pPr>
    </w:p>
    <w:p w14:paraId="1B5E54A4">
      <w:pPr>
        <w:pStyle w:val="9"/>
        <w:spacing w:before="103"/>
        <w:ind w:left="0"/>
        <w:jc w:val="left"/>
        <w:rPr>
          <w:rFonts w:hint="eastAsia"/>
          <w:sz w:val="30"/>
          <w:szCs w:val="30"/>
        </w:rPr>
      </w:pPr>
      <w:r>
        <w:rPr>
          <w:rFonts w:hint="eastAsia"/>
          <w:sz w:val="30"/>
          <w:szCs w:val="30"/>
        </w:rPr>
        <w:t>These are that kinds of questions that personal eschatology seeks to answer.</w:t>
      </w:r>
    </w:p>
    <w:p w14:paraId="3A623DE9">
      <w:pPr>
        <w:pStyle w:val="9"/>
        <w:spacing w:before="103"/>
        <w:ind w:left="0"/>
        <w:jc w:val="left"/>
        <w:rPr>
          <w:rFonts w:hint="eastAsia"/>
          <w:sz w:val="30"/>
          <w:szCs w:val="30"/>
        </w:rPr>
      </w:pPr>
    </w:p>
    <w:p w14:paraId="2F664D27">
      <w:pPr>
        <w:pStyle w:val="9"/>
        <w:spacing w:before="103"/>
        <w:ind w:left="0"/>
        <w:jc w:val="left"/>
        <w:rPr>
          <w:rFonts w:hint="eastAsia"/>
          <w:sz w:val="30"/>
          <w:szCs w:val="30"/>
        </w:rPr>
      </w:pPr>
      <w:r>
        <w:rPr>
          <w:rFonts w:hint="eastAsia"/>
          <w:sz w:val="30"/>
          <w:szCs w:val="30"/>
        </w:rPr>
        <w:t>这些就是个人末世论试图回答的那些问题。</w:t>
      </w:r>
    </w:p>
    <w:p w14:paraId="381BD4BE">
      <w:pPr>
        <w:pStyle w:val="9"/>
        <w:spacing w:before="103"/>
        <w:ind w:left="0"/>
        <w:jc w:val="left"/>
        <w:rPr>
          <w:rFonts w:hint="eastAsia"/>
          <w:sz w:val="30"/>
          <w:szCs w:val="30"/>
        </w:rPr>
      </w:pPr>
    </w:p>
    <w:p w14:paraId="6CEAE81F">
      <w:pPr>
        <w:pStyle w:val="9"/>
        <w:spacing w:before="103"/>
        <w:ind w:left="0"/>
        <w:jc w:val="left"/>
        <w:rPr>
          <w:rFonts w:hint="eastAsia"/>
          <w:sz w:val="30"/>
          <w:szCs w:val="30"/>
        </w:rPr>
      </w:pPr>
      <w:r>
        <w:rPr>
          <w:rFonts w:hint="eastAsia"/>
          <w:sz w:val="30"/>
          <w:szCs w:val="30"/>
        </w:rPr>
        <w:t>The second variety is called cosmic eschatology.</w:t>
      </w:r>
    </w:p>
    <w:p w14:paraId="1690E437">
      <w:pPr>
        <w:pStyle w:val="9"/>
        <w:spacing w:before="103"/>
        <w:ind w:left="0"/>
        <w:jc w:val="left"/>
        <w:rPr>
          <w:rFonts w:hint="eastAsia"/>
          <w:sz w:val="30"/>
          <w:szCs w:val="30"/>
        </w:rPr>
      </w:pPr>
    </w:p>
    <w:p w14:paraId="125202EB">
      <w:pPr>
        <w:pStyle w:val="9"/>
        <w:spacing w:before="103"/>
        <w:ind w:left="0"/>
        <w:jc w:val="left"/>
        <w:rPr>
          <w:rFonts w:hint="eastAsia"/>
          <w:sz w:val="30"/>
          <w:szCs w:val="30"/>
        </w:rPr>
      </w:pPr>
      <w:r>
        <w:rPr>
          <w:rFonts w:hint="eastAsia"/>
          <w:sz w:val="30"/>
          <w:szCs w:val="30"/>
        </w:rPr>
        <w:t>第二种称为宇宙末世论。</w:t>
      </w:r>
    </w:p>
    <w:p w14:paraId="17C875AC">
      <w:pPr>
        <w:pStyle w:val="9"/>
        <w:spacing w:before="103"/>
        <w:ind w:left="0"/>
        <w:jc w:val="left"/>
        <w:rPr>
          <w:rFonts w:hint="eastAsia"/>
          <w:sz w:val="30"/>
          <w:szCs w:val="30"/>
        </w:rPr>
      </w:pPr>
    </w:p>
    <w:p w14:paraId="1396C2E3">
      <w:pPr>
        <w:pStyle w:val="9"/>
        <w:spacing w:before="103"/>
        <w:ind w:left="0"/>
        <w:jc w:val="left"/>
        <w:rPr>
          <w:rFonts w:hint="eastAsia"/>
          <w:sz w:val="30"/>
          <w:szCs w:val="30"/>
        </w:rPr>
      </w:pPr>
      <w:r>
        <w:rPr>
          <w:rFonts w:hint="eastAsia"/>
          <w:sz w:val="30"/>
          <w:szCs w:val="30"/>
        </w:rPr>
        <w:t>Its concern is to think deeply about the future of the universe, life, and man.</w:t>
      </w:r>
    </w:p>
    <w:p w14:paraId="5B656ADA">
      <w:pPr>
        <w:pStyle w:val="9"/>
        <w:spacing w:before="103"/>
        <w:ind w:left="0"/>
        <w:jc w:val="left"/>
        <w:rPr>
          <w:rFonts w:hint="eastAsia"/>
          <w:sz w:val="30"/>
          <w:szCs w:val="30"/>
        </w:rPr>
      </w:pPr>
    </w:p>
    <w:p w14:paraId="4CE112EA">
      <w:pPr>
        <w:pStyle w:val="9"/>
        <w:spacing w:before="103"/>
        <w:ind w:left="0"/>
        <w:jc w:val="left"/>
        <w:rPr>
          <w:rFonts w:hint="eastAsia"/>
          <w:sz w:val="30"/>
          <w:szCs w:val="30"/>
        </w:rPr>
      </w:pPr>
      <w:r>
        <w:rPr>
          <w:rFonts w:hint="eastAsia"/>
          <w:sz w:val="30"/>
          <w:szCs w:val="30"/>
        </w:rPr>
        <w:t>它所关注的是深入思考宇宙、生命和人类的未来。</w:t>
      </w:r>
    </w:p>
    <w:p w14:paraId="2C2E3634">
      <w:pPr>
        <w:pStyle w:val="9"/>
        <w:spacing w:before="103"/>
        <w:ind w:left="0"/>
        <w:jc w:val="left"/>
        <w:rPr>
          <w:rFonts w:hint="eastAsia"/>
          <w:sz w:val="30"/>
          <w:szCs w:val="30"/>
        </w:rPr>
      </w:pPr>
    </w:p>
    <w:p w14:paraId="4FFEEA2F">
      <w:pPr>
        <w:pStyle w:val="9"/>
        <w:spacing w:before="103"/>
        <w:ind w:left="0"/>
        <w:jc w:val="left"/>
        <w:rPr>
          <w:rFonts w:hint="eastAsia"/>
          <w:sz w:val="30"/>
          <w:szCs w:val="30"/>
        </w:rPr>
      </w:pPr>
      <w:r>
        <w:rPr>
          <w:rFonts w:hint="eastAsia"/>
          <w:sz w:val="30"/>
          <w:szCs w:val="30"/>
        </w:rPr>
        <w:t>Is universal history moving in a straight line towards a specific end?</w:t>
      </w:r>
    </w:p>
    <w:p w14:paraId="036536B2">
      <w:pPr>
        <w:pStyle w:val="9"/>
        <w:spacing w:before="103"/>
        <w:ind w:left="0"/>
        <w:jc w:val="left"/>
        <w:rPr>
          <w:rFonts w:hint="eastAsia"/>
          <w:sz w:val="30"/>
          <w:szCs w:val="30"/>
        </w:rPr>
      </w:pPr>
    </w:p>
    <w:p w14:paraId="625EB073">
      <w:pPr>
        <w:pStyle w:val="9"/>
        <w:spacing w:before="103"/>
        <w:ind w:left="0"/>
        <w:jc w:val="left"/>
        <w:rPr>
          <w:rFonts w:hint="eastAsia"/>
          <w:sz w:val="30"/>
          <w:szCs w:val="30"/>
        </w:rPr>
      </w:pPr>
      <w:r>
        <w:rPr>
          <w:rFonts w:hint="eastAsia"/>
          <w:sz w:val="30"/>
          <w:szCs w:val="30"/>
        </w:rPr>
        <w:t>宇宙历史是朝着一个特定的终点直线前进吗？</w:t>
      </w:r>
    </w:p>
    <w:p w14:paraId="75C849CF">
      <w:pPr>
        <w:pStyle w:val="9"/>
        <w:spacing w:before="103"/>
        <w:ind w:left="0"/>
        <w:jc w:val="left"/>
        <w:rPr>
          <w:rFonts w:hint="eastAsia"/>
          <w:sz w:val="30"/>
          <w:szCs w:val="30"/>
        </w:rPr>
      </w:pPr>
    </w:p>
    <w:p w14:paraId="39FA7F20">
      <w:pPr>
        <w:pStyle w:val="9"/>
        <w:spacing w:before="103"/>
        <w:ind w:left="0"/>
        <w:jc w:val="left"/>
        <w:rPr>
          <w:rFonts w:hint="eastAsia"/>
          <w:sz w:val="30"/>
          <w:szCs w:val="30"/>
        </w:rPr>
      </w:pPr>
      <w:r>
        <w:rPr>
          <w:rFonts w:hint="eastAsia"/>
          <w:sz w:val="30"/>
          <w:szCs w:val="30"/>
        </w:rPr>
        <w:t>If so, what is that end?</w:t>
      </w:r>
    </w:p>
    <w:p w14:paraId="53D19541">
      <w:pPr>
        <w:pStyle w:val="9"/>
        <w:spacing w:before="103"/>
        <w:ind w:left="0"/>
        <w:jc w:val="left"/>
        <w:rPr>
          <w:rFonts w:hint="eastAsia"/>
          <w:sz w:val="30"/>
          <w:szCs w:val="30"/>
        </w:rPr>
      </w:pPr>
    </w:p>
    <w:p w14:paraId="695B1BAE">
      <w:pPr>
        <w:pStyle w:val="9"/>
        <w:spacing w:before="103"/>
        <w:ind w:left="0"/>
        <w:jc w:val="left"/>
        <w:rPr>
          <w:rFonts w:hint="eastAsia"/>
          <w:sz w:val="30"/>
          <w:szCs w:val="30"/>
        </w:rPr>
      </w:pPr>
      <w:r>
        <w:rPr>
          <w:rFonts w:hint="eastAsia"/>
          <w:sz w:val="30"/>
          <w:szCs w:val="30"/>
        </w:rPr>
        <w:t>如果是，那个终点是什么？</w:t>
      </w:r>
    </w:p>
    <w:p w14:paraId="77F6D107">
      <w:pPr>
        <w:pStyle w:val="9"/>
        <w:spacing w:before="103"/>
        <w:ind w:left="0"/>
        <w:jc w:val="left"/>
        <w:rPr>
          <w:rFonts w:hint="eastAsia"/>
          <w:sz w:val="30"/>
          <w:szCs w:val="30"/>
        </w:rPr>
      </w:pPr>
    </w:p>
    <w:p w14:paraId="5BDE27B8">
      <w:pPr>
        <w:pStyle w:val="9"/>
        <w:spacing w:before="103"/>
        <w:ind w:left="0"/>
        <w:jc w:val="left"/>
        <w:rPr>
          <w:rFonts w:hint="eastAsia"/>
          <w:sz w:val="30"/>
          <w:szCs w:val="30"/>
        </w:rPr>
      </w:pPr>
      <w:r>
        <w:rPr>
          <w:rFonts w:hint="eastAsia"/>
          <w:sz w:val="30"/>
          <w:szCs w:val="30"/>
        </w:rPr>
        <w:t>Will it be a permanent end, or is the universe always changing, perhaps even obeying a law of eternal recurrence?</w:t>
      </w:r>
    </w:p>
    <w:p w14:paraId="14A26CE1">
      <w:pPr>
        <w:pStyle w:val="9"/>
        <w:spacing w:before="103"/>
        <w:ind w:left="0"/>
        <w:jc w:val="left"/>
        <w:rPr>
          <w:rFonts w:hint="eastAsia"/>
          <w:sz w:val="30"/>
          <w:szCs w:val="30"/>
        </w:rPr>
      </w:pPr>
    </w:p>
    <w:p w14:paraId="549B8968">
      <w:pPr>
        <w:pStyle w:val="9"/>
        <w:spacing w:before="103"/>
        <w:ind w:left="0"/>
        <w:jc w:val="left"/>
        <w:rPr>
          <w:rFonts w:hint="eastAsia"/>
          <w:sz w:val="30"/>
          <w:szCs w:val="30"/>
        </w:rPr>
      </w:pPr>
      <w:r>
        <w:rPr>
          <w:rFonts w:hint="eastAsia"/>
          <w:sz w:val="30"/>
          <w:szCs w:val="30"/>
        </w:rPr>
        <w:t>它会是一个永久的终点，还是宇宙永远在变化，甚至可能遵循着永恒轮回的定律？</w:t>
      </w:r>
    </w:p>
    <w:p w14:paraId="0AB79FA1">
      <w:pPr>
        <w:pStyle w:val="9"/>
        <w:spacing w:before="103"/>
        <w:ind w:left="0"/>
        <w:jc w:val="left"/>
        <w:rPr>
          <w:rFonts w:hint="eastAsia"/>
          <w:sz w:val="30"/>
          <w:szCs w:val="30"/>
        </w:rPr>
      </w:pPr>
    </w:p>
    <w:p w14:paraId="52B8D005">
      <w:pPr>
        <w:pStyle w:val="9"/>
        <w:spacing w:before="103"/>
        <w:ind w:left="0"/>
        <w:jc w:val="left"/>
        <w:rPr>
          <w:rFonts w:hint="eastAsia"/>
          <w:sz w:val="30"/>
          <w:szCs w:val="30"/>
        </w:rPr>
      </w:pPr>
      <w:r>
        <w:rPr>
          <w:rFonts w:hint="eastAsia"/>
          <w:sz w:val="30"/>
          <w:szCs w:val="30"/>
        </w:rPr>
        <w:t>These are the kinds of BIG questions addressed by cosmic eschatology.</w:t>
      </w:r>
    </w:p>
    <w:p w14:paraId="2DDAE2D5">
      <w:pPr>
        <w:pStyle w:val="9"/>
        <w:spacing w:before="103"/>
        <w:ind w:left="0"/>
        <w:jc w:val="left"/>
        <w:rPr>
          <w:rFonts w:hint="eastAsia"/>
          <w:sz w:val="30"/>
          <w:szCs w:val="30"/>
        </w:rPr>
      </w:pPr>
    </w:p>
    <w:p w14:paraId="11085B74">
      <w:pPr>
        <w:pStyle w:val="9"/>
        <w:spacing w:before="103"/>
        <w:ind w:left="0"/>
        <w:jc w:val="left"/>
        <w:rPr>
          <w:rFonts w:hint="eastAsia"/>
          <w:sz w:val="30"/>
          <w:szCs w:val="30"/>
        </w:rPr>
      </w:pPr>
      <w:r>
        <w:rPr>
          <w:rFonts w:hint="eastAsia"/>
          <w:sz w:val="30"/>
          <w:szCs w:val="30"/>
        </w:rPr>
        <w:t>这些就是宇宙末世论所探讨的重大问题。</w:t>
      </w:r>
    </w:p>
    <w:p w14:paraId="5B6D961F">
      <w:pPr>
        <w:pStyle w:val="9"/>
        <w:spacing w:before="103"/>
        <w:ind w:left="0"/>
        <w:jc w:val="left"/>
        <w:rPr>
          <w:rFonts w:hint="eastAsia"/>
          <w:sz w:val="30"/>
          <w:szCs w:val="30"/>
        </w:rPr>
      </w:pPr>
    </w:p>
    <w:p w14:paraId="704A3DFD">
      <w:pPr>
        <w:pStyle w:val="9"/>
        <w:spacing w:before="103"/>
        <w:ind w:left="0"/>
        <w:jc w:val="left"/>
        <w:rPr>
          <w:rFonts w:hint="eastAsia"/>
          <w:sz w:val="30"/>
          <w:szCs w:val="30"/>
        </w:rPr>
      </w:pPr>
      <w:r>
        <w:rPr>
          <w:rFonts w:hint="eastAsia"/>
          <w:sz w:val="30"/>
          <w:szCs w:val="30"/>
        </w:rPr>
        <w:t>Very importantly, all viable worldviews—all viable philosophies and world religions—advance some kind of personal and cosmic eschatology.</w:t>
      </w:r>
    </w:p>
    <w:p w14:paraId="571A948A">
      <w:pPr>
        <w:pStyle w:val="9"/>
        <w:spacing w:before="103"/>
        <w:ind w:left="0"/>
        <w:jc w:val="left"/>
        <w:rPr>
          <w:rFonts w:hint="eastAsia"/>
          <w:sz w:val="30"/>
          <w:szCs w:val="30"/>
        </w:rPr>
      </w:pPr>
    </w:p>
    <w:p w14:paraId="720C64DC">
      <w:pPr>
        <w:pStyle w:val="9"/>
        <w:spacing w:before="103"/>
        <w:ind w:left="0"/>
        <w:jc w:val="left"/>
        <w:rPr>
          <w:rFonts w:hint="eastAsia"/>
          <w:sz w:val="30"/>
          <w:szCs w:val="30"/>
        </w:rPr>
      </w:pPr>
      <w:r>
        <w:rPr>
          <w:rFonts w:hint="eastAsia"/>
          <w:sz w:val="30"/>
          <w:szCs w:val="30"/>
        </w:rPr>
        <w:t>非常重要的一点是，所有可行的世界观——所有可行的哲学和世界宗教——都提出某种个人和宇宙的末世论。</w:t>
      </w:r>
    </w:p>
    <w:p w14:paraId="00CEEE77">
      <w:pPr>
        <w:pStyle w:val="9"/>
        <w:spacing w:before="103"/>
        <w:ind w:left="0"/>
        <w:jc w:val="left"/>
        <w:rPr>
          <w:rFonts w:hint="eastAsia"/>
          <w:sz w:val="30"/>
          <w:szCs w:val="30"/>
        </w:rPr>
      </w:pPr>
    </w:p>
    <w:p w14:paraId="79F6463F">
      <w:pPr>
        <w:pStyle w:val="9"/>
        <w:spacing w:before="103"/>
        <w:ind w:left="0"/>
        <w:jc w:val="left"/>
        <w:rPr>
          <w:rFonts w:hint="eastAsia"/>
          <w:sz w:val="30"/>
          <w:szCs w:val="30"/>
        </w:rPr>
      </w:pPr>
      <w:r>
        <w:rPr>
          <w:rFonts w:hint="eastAsia"/>
          <w:sz w:val="30"/>
          <w:szCs w:val="30"/>
        </w:rPr>
        <w:t>Atheists, pantheists, and theists all have the great questions of life—and especially the great questions of eschatology—burning in their hearts.</w:t>
      </w:r>
    </w:p>
    <w:p w14:paraId="4901BFE8">
      <w:pPr>
        <w:pStyle w:val="9"/>
        <w:spacing w:before="103"/>
        <w:ind w:left="0"/>
        <w:jc w:val="left"/>
        <w:rPr>
          <w:rFonts w:hint="eastAsia"/>
          <w:sz w:val="30"/>
          <w:szCs w:val="30"/>
        </w:rPr>
      </w:pPr>
    </w:p>
    <w:p w14:paraId="0F90FC7A">
      <w:pPr>
        <w:pStyle w:val="9"/>
        <w:spacing w:before="103"/>
        <w:ind w:left="0"/>
        <w:jc w:val="left"/>
        <w:rPr>
          <w:rFonts w:hint="eastAsia"/>
          <w:sz w:val="30"/>
          <w:szCs w:val="30"/>
        </w:rPr>
      </w:pPr>
      <w:r>
        <w:rPr>
          <w:rFonts w:hint="eastAsia"/>
          <w:sz w:val="30"/>
          <w:szCs w:val="30"/>
        </w:rPr>
        <w:t>无神论者、泛神论者和有神论者，心中都燃烧着关于生命的重大问题——尤其是关于末世论的重大问题。</w:t>
      </w:r>
    </w:p>
    <w:p w14:paraId="6CD3341C">
      <w:pPr>
        <w:pStyle w:val="9"/>
        <w:spacing w:before="103"/>
        <w:ind w:left="0"/>
        <w:jc w:val="left"/>
        <w:rPr>
          <w:rFonts w:hint="eastAsia"/>
          <w:sz w:val="30"/>
          <w:szCs w:val="30"/>
        </w:rPr>
      </w:pPr>
    </w:p>
    <w:p w14:paraId="22472921">
      <w:pPr>
        <w:pStyle w:val="9"/>
        <w:spacing w:before="103"/>
        <w:ind w:left="0"/>
        <w:jc w:val="left"/>
        <w:rPr>
          <w:rFonts w:hint="eastAsia"/>
          <w:sz w:val="30"/>
          <w:szCs w:val="30"/>
        </w:rPr>
      </w:pPr>
      <w:r>
        <w:rPr>
          <w:rFonts w:hint="eastAsia"/>
          <w:sz w:val="30"/>
          <w:szCs w:val="30"/>
        </w:rPr>
        <w:t>Often with great existential urgency they wonder and ask, “What will happen when I die?” and “Where is history heading?”</w:t>
      </w:r>
    </w:p>
    <w:p w14:paraId="75728E5B">
      <w:pPr>
        <w:pStyle w:val="9"/>
        <w:spacing w:before="103"/>
        <w:ind w:left="0"/>
        <w:jc w:val="left"/>
        <w:rPr>
          <w:rFonts w:hint="eastAsia"/>
          <w:sz w:val="30"/>
          <w:szCs w:val="30"/>
        </w:rPr>
      </w:pPr>
    </w:p>
    <w:p w14:paraId="4EE3475D">
      <w:pPr>
        <w:pStyle w:val="9"/>
        <w:spacing w:before="103"/>
        <w:ind w:left="0"/>
        <w:jc w:val="left"/>
        <w:rPr>
          <w:rFonts w:hint="eastAsia"/>
          <w:sz w:val="30"/>
          <w:szCs w:val="30"/>
        </w:rPr>
      </w:pPr>
      <w:r>
        <w:rPr>
          <w:rFonts w:hint="eastAsia"/>
          <w:sz w:val="30"/>
          <w:szCs w:val="30"/>
        </w:rPr>
        <w:t>他们常常带着巨大的存在性紧迫感去思索和发问：“我死后会发生什么？”以及“历史正走向何方？”</w:t>
      </w:r>
    </w:p>
    <w:p w14:paraId="5F5421C6">
      <w:pPr>
        <w:pStyle w:val="9"/>
        <w:spacing w:before="103"/>
        <w:ind w:left="0"/>
        <w:jc w:val="left"/>
        <w:rPr>
          <w:rFonts w:hint="eastAsia"/>
          <w:sz w:val="30"/>
          <w:szCs w:val="30"/>
        </w:rPr>
      </w:pPr>
    </w:p>
    <w:p w14:paraId="3F46B835">
      <w:pPr>
        <w:pStyle w:val="9"/>
        <w:spacing w:before="103"/>
        <w:ind w:left="0"/>
        <w:jc w:val="left"/>
        <w:rPr>
          <w:rFonts w:hint="eastAsia"/>
          <w:sz w:val="30"/>
          <w:szCs w:val="30"/>
        </w:rPr>
      </w:pPr>
      <w:r>
        <w:rPr>
          <w:rFonts w:hint="eastAsia"/>
          <w:sz w:val="30"/>
          <w:szCs w:val="30"/>
        </w:rPr>
        <w:t>As Christians, we believe that God himself has graciously given us trustworthy answers to these questions in the teachings of Christ and the Bible.</w:t>
      </w:r>
    </w:p>
    <w:p w14:paraId="1E45CEA0">
      <w:pPr>
        <w:pStyle w:val="9"/>
        <w:spacing w:before="103"/>
        <w:ind w:left="0"/>
        <w:jc w:val="left"/>
        <w:rPr>
          <w:rFonts w:hint="eastAsia"/>
          <w:sz w:val="30"/>
          <w:szCs w:val="30"/>
        </w:rPr>
      </w:pPr>
    </w:p>
    <w:p w14:paraId="13C96D8C">
      <w:pPr>
        <w:pStyle w:val="9"/>
        <w:spacing w:before="103"/>
        <w:ind w:left="0"/>
        <w:jc w:val="left"/>
        <w:rPr>
          <w:rFonts w:hint="eastAsia"/>
          <w:sz w:val="30"/>
          <w:szCs w:val="30"/>
        </w:rPr>
      </w:pPr>
      <w:r>
        <w:rPr>
          <w:rFonts w:hint="eastAsia"/>
          <w:sz w:val="30"/>
          <w:szCs w:val="30"/>
        </w:rPr>
        <w:t>作为基督徒，我们相信神自己已在基督和圣经的教导中，恩慈地赐给我们关于这些问题的可靠答案。</w:t>
      </w:r>
    </w:p>
    <w:p w14:paraId="40282DE1">
      <w:pPr>
        <w:pStyle w:val="9"/>
        <w:spacing w:before="103"/>
        <w:ind w:left="0"/>
        <w:jc w:val="left"/>
        <w:rPr>
          <w:rFonts w:hint="eastAsia"/>
          <w:sz w:val="30"/>
          <w:szCs w:val="30"/>
        </w:rPr>
      </w:pPr>
    </w:p>
    <w:p w14:paraId="55B56244">
      <w:pPr>
        <w:pStyle w:val="9"/>
        <w:spacing w:before="103"/>
        <w:ind w:left="0"/>
        <w:jc w:val="left"/>
        <w:rPr>
          <w:rFonts w:hint="eastAsia"/>
          <w:sz w:val="30"/>
          <w:szCs w:val="30"/>
        </w:rPr>
      </w:pPr>
      <w:r>
        <w:rPr>
          <w:rFonts w:hint="eastAsia"/>
          <w:sz w:val="30"/>
          <w:szCs w:val="30"/>
        </w:rPr>
        <w:t>Accordingly, we also believe that the answers supplied by other worldviews are, to a greater or lesser degree, in error; that they can never really satisfy the spiritual hunger of seekers, nor lay to rest their fears about death, the afterlife, and the future of the universe, life, and man.</w:t>
      </w:r>
    </w:p>
    <w:p w14:paraId="77B10D17">
      <w:pPr>
        <w:pStyle w:val="9"/>
        <w:spacing w:before="103"/>
        <w:ind w:left="0"/>
        <w:jc w:val="left"/>
        <w:rPr>
          <w:rFonts w:hint="eastAsia"/>
          <w:sz w:val="30"/>
          <w:szCs w:val="30"/>
        </w:rPr>
      </w:pPr>
    </w:p>
    <w:p w14:paraId="2D3BE3AA">
      <w:pPr>
        <w:pStyle w:val="9"/>
        <w:spacing w:before="103"/>
        <w:ind w:left="0"/>
        <w:jc w:val="left"/>
        <w:rPr>
          <w:rFonts w:hint="eastAsia"/>
          <w:sz w:val="30"/>
          <w:szCs w:val="30"/>
        </w:rPr>
      </w:pPr>
      <w:r>
        <w:rPr>
          <w:rFonts w:hint="eastAsia"/>
          <w:sz w:val="30"/>
          <w:szCs w:val="30"/>
        </w:rPr>
        <w:t>因此，我们也相信，其他世界观所提供的答案，或多或少都是错误的；它们永远无法真正满足寻求者的属灵饥渴，也无法平息他们对死亡、来生，以及宇宙、生命和人类未来的恐惧。</w:t>
      </w:r>
    </w:p>
    <w:p w14:paraId="1EE2DBFC">
      <w:pPr>
        <w:pStyle w:val="9"/>
        <w:spacing w:before="103"/>
        <w:ind w:left="0"/>
        <w:jc w:val="left"/>
        <w:rPr>
          <w:rFonts w:hint="eastAsia"/>
          <w:sz w:val="30"/>
          <w:szCs w:val="30"/>
        </w:rPr>
      </w:pPr>
    </w:p>
    <w:p w14:paraId="39DC8A21">
      <w:pPr>
        <w:pStyle w:val="9"/>
        <w:spacing w:before="103"/>
        <w:ind w:left="0"/>
        <w:jc w:val="left"/>
        <w:rPr>
          <w:rFonts w:hint="eastAsia"/>
          <w:sz w:val="30"/>
          <w:szCs w:val="30"/>
        </w:rPr>
      </w:pPr>
      <w:r>
        <w:rPr>
          <w:rFonts w:hint="eastAsia"/>
          <w:sz w:val="30"/>
          <w:szCs w:val="30"/>
        </w:rPr>
        <w:t>If, then, we desire to love and serve our non- christian neighbors in these things, we do well to acquaint ourselves not only with biblical eschatology, but also with the eschatology of other worldviews.</w:t>
      </w:r>
    </w:p>
    <w:p w14:paraId="1F6A8D0D">
      <w:pPr>
        <w:pStyle w:val="9"/>
        <w:spacing w:before="103"/>
        <w:ind w:left="0"/>
        <w:jc w:val="left"/>
        <w:rPr>
          <w:rFonts w:hint="eastAsia"/>
          <w:sz w:val="30"/>
          <w:szCs w:val="30"/>
        </w:rPr>
      </w:pPr>
    </w:p>
    <w:p w14:paraId="4806BFD1">
      <w:pPr>
        <w:pStyle w:val="9"/>
        <w:spacing w:before="103"/>
        <w:ind w:left="0"/>
        <w:jc w:val="left"/>
        <w:rPr>
          <w:rFonts w:hint="eastAsia"/>
          <w:sz w:val="30"/>
          <w:szCs w:val="30"/>
        </w:rPr>
      </w:pPr>
      <w:r>
        <w:rPr>
          <w:rFonts w:hint="eastAsia"/>
          <w:sz w:val="30"/>
          <w:szCs w:val="30"/>
        </w:rPr>
        <w:t>那么，如果我们渴望在这些事上爱并服事我们非基督徒的邻舍，我们就当不仅熟悉圣经的末世论，也要熟悉其他世界观的末世论。</w:t>
      </w:r>
    </w:p>
    <w:p w14:paraId="2144D3AF">
      <w:pPr>
        <w:pStyle w:val="9"/>
        <w:spacing w:before="103"/>
        <w:ind w:left="0"/>
        <w:jc w:val="left"/>
        <w:rPr>
          <w:rFonts w:hint="eastAsia"/>
          <w:sz w:val="30"/>
          <w:szCs w:val="30"/>
        </w:rPr>
      </w:pPr>
    </w:p>
    <w:p w14:paraId="071F6E5F">
      <w:pPr>
        <w:pStyle w:val="9"/>
        <w:spacing w:before="103"/>
        <w:ind w:left="0"/>
        <w:jc w:val="left"/>
        <w:rPr>
          <w:rFonts w:hint="eastAsia"/>
          <w:sz w:val="30"/>
          <w:szCs w:val="30"/>
        </w:rPr>
      </w:pPr>
      <w:r>
        <w:rPr>
          <w:rFonts w:hint="eastAsia"/>
          <w:sz w:val="30"/>
          <w:szCs w:val="30"/>
        </w:rPr>
        <w:t>Then, when opportunity arises to speak with our friends and loved ones about “the last things,” we will be ready to do so competently, confidently, and compassionately.1</w:t>
      </w:r>
    </w:p>
    <w:p w14:paraId="53D86DFF">
      <w:pPr>
        <w:pStyle w:val="9"/>
        <w:spacing w:before="103"/>
        <w:ind w:left="0"/>
        <w:jc w:val="left"/>
        <w:rPr>
          <w:rFonts w:hint="eastAsia"/>
          <w:sz w:val="30"/>
          <w:szCs w:val="30"/>
        </w:rPr>
      </w:pPr>
    </w:p>
    <w:p w14:paraId="5A5E6C96">
      <w:pPr>
        <w:pStyle w:val="9"/>
        <w:spacing w:before="103"/>
        <w:ind w:left="0"/>
        <w:jc w:val="left"/>
        <w:rPr>
          <w:rFonts w:hint="eastAsia"/>
          <w:sz w:val="30"/>
          <w:szCs w:val="30"/>
        </w:rPr>
      </w:pPr>
      <w:r>
        <w:rPr>
          <w:rFonts w:hint="eastAsia"/>
          <w:sz w:val="30"/>
          <w:szCs w:val="30"/>
        </w:rPr>
        <w:t>这样，当有机会与我们的朋友和亲人谈论“末后之事”时，我们就能准备好有能力、有信心、且有怜悯心地去谈论。1</w:t>
      </w:r>
    </w:p>
    <w:p w14:paraId="58ECD7BA">
      <w:pPr>
        <w:pStyle w:val="9"/>
        <w:spacing w:before="103"/>
        <w:ind w:left="0"/>
        <w:jc w:val="left"/>
        <w:rPr>
          <w:rFonts w:hint="eastAsia"/>
          <w:sz w:val="30"/>
          <w:szCs w:val="30"/>
        </w:rPr>
      </w:pPr>
    </w:p>
    <w:p w14:paraId="59C9A5C6">
      <w:pPr>
        <w:pStyle w:val="9"/>
        <w:spacing w:before="103"/>
        <w:ind w:left="0"/>
        <w:jc w:val="left"/>
        <w:rPr>
          <w:rFonts w:hint="eastAsia"/>
          <w:sz w:val="30"/>
          <w:szCs w:val="30"/>
        </w:rPr>
      </w:pPr>
      <w:r>
        <w:rPr>
          <w:rFonts w:hint="eastAsia"/>
          <w:sz w:val="30"/>
          <w:szCs w:val="30"/>
        </w:rPr>
        <w:t>The Bible and Personal Eschatology</w:t>
      </w:r>
    </w:p>
    <w:p w14:paraId="431272C7">
      <w:pPr>
        <w:pStyle w:val="9"/>
        <w:spacing w:before="103"/>
        <w:ind w:left="0"/>
        <w:jc w:val="left"/>
        <w:rPr>
          <w:rFonts w:hint="eastAsia"/>
          <w:sz w:val="30"/>
          <w:szCs w:val="30"/>
        </w:rPr>
      </w:pPr>
    </w:p>
    <w:p w14:paraId="4F8B149E">
      <w:pPr>
        <w:pStyle w:val="9"/>
        <w:spacing w:before="103"/>
        <w:ind w:left="0"/>
        <w:jc w:val="left"/>
        <w:rPr>
          <w:rFonts w:hint="eastAsia"/>
          <w:sz w:val="30"/>
          <w:szCs w:val="30"/>
        </w:rPr>
      </w:pPr>
      <w:r>
        <w:rPr>
          <w:rFonts w:hint="eastAsia"/>
          <w:sz w:val="30"/>
          <w:szCs w:val="30"/>
        </w:rPr>
        <w:t>圣经与个人末世论</w:t>
      </w:r>
    </w:p>
    <w:p w14:paraId="347EB907">
      <w:pPr>
        <w:pStyle w:val="9"/>
        <w:spacing w:before="103"/>
        <w:ind w:left="0"/>
        <w:jc w:val="left"/>
        <w:rPr>
          <w:rFonts w:hint="eastAsia"/>
          <w:sz w:val="30"/>
          <w:szCs w:val="30"/>
        </w:rPr>
      </w:pPr>
    </w:p>
    <w:p w14:paraId="5175BAD7">
      <w:pPr>
        <w:pStyle w:val="9"/>
        <w:spacing w:before="103"/>
        <w:ind w:left="0"/>
        <w:jc w:val="left"/>
        <w:rPr>
          <w:rFonts w:hint="eastAsia"/>
          <w:sz w:val="30"/>
          <w:szCs w:val="30"/>
        </w:rPr>
      </w:pPr>
      <w:r>
        <w:rPr>
          <w:rFonts w:hint="eastAsia"/>
          <w:sz w:val="30"/>
          <w:szCs w:val="30"/>
        </w:rPr>
        <w:t>Though our focus in the present book is cosmic eschatology, it is important briefly to survey the personal eschatology of the Bible, since the two are closely related and intersect at a number of crucial points.</w:t>
      </w:r>
    </w:p>
    <w:p w14:paraId="21700203">
      <w:pPr>
        <w:pStyle w:val="9"/>
        <w:spacing w:before="103"/>
        <w:ind w:left="0"/>
        <w:jc w:val="left"/>
        <w:rPr>
          <w:rFonts w:hint="eastAsia"/>
          <w:sz w:val="30"/>
          <w:szCs w:val="30"/>
        </w:rPr>
      </w:pPr>
    </w:p>
    <w:p w14:paraId="20DD0369">
      <w:pPr>
        <w:pStyle w:val="9"/>
        <w:spacing w:before="103"/>
        <w:ind w:left="0"/>
        <w:jc w:val="left"/>
        <w:rPr>
          <w:rFonts w:hint="eastAsia"/>
          <w:sz w:val="30"/>
          <w:szCs w:val="30"/>
        </w:rPr>
      </w:pPr>
      <w:r>
        <w:rPr>
          <w:rFonts w:hint="eastAsia"/>
          <w:sz w:val="30"/>
          <w:szCs w:val="30"/>
        </w:rPr>
        <w:t>虽然本书的焦点是宇宙末世论，但简要地审视一下圣经的个人末世论也很重要，因为两者紧密相关，并在一些关键点上相交。</w:t>
      </w:r>
    </w:p>
    <w:p w14:paraId="33E0BADE">
      <w:pPr>
        <w:pStyle w:val="9"/>
        <w:spacing w:before="103"/>
        <w:ind w:left="0"/>
        <w:jc w:val="left"/>
        <w:rPr>
          <w:rFonts w:hint="eastAsia"/>
          <w:sz w:val="30"/>
          <w:szCs w:val="30"/>
        </w:rPr>
      </w:pPr>
    </w:p>
    <w:p w14:paraId="6F346180">
      <w:pPr>
        <w:pStyle w:val="9"/>
        <w:spacing w:before="103"/>
        <w:ind w:left="0"/>
        <w:jc w:val="left"/>
        <w:rPr>
          <w:rFonts w:hint="eastAsia"/>
          <w:sz w:val="30"/>
          <w:szCs w:val="30"/>
        </w:rPr>
      </w:pPr>
      <w:r>
        <w:rPr>
          <w:rFonts w:hint="eastAsia"/>
          <w:sz w:val="30"/>
          <w:szCs w:val="30"/>
        </w:rPr>
        <w:t>Concerning all who die prior to Christ’s return, the Bible teaches that at the moment of death the human spirit (or soul) departs its body to one of two possible destinations—Heaven or Hades (Luke 16:19-31, Phil. 1:19-26, James 2:26, Rev. 6:9, 20:4).</w:t>
      </w:r>
    </w:p>
    <w:p w14:paraId="32042253">
      <w:pPr>
        <w:pStyle w:val="9"/>
        <w:spacing w:before="103"/>
        <w:ind w:left="0"/>
        <w:jc w:val="left"/>
        <w:rPr>
          <w:rFonts w:hint="eastAsia"/>
          <w:sz w:val="30"/>
          <w:szCs w:val="30"/>
        </w:rPr>
      </w:pPr>
    </w:p>
    <w:p w14:paraId="451F1D10">
      <w:pPr>
        <w:pStyle w:val="9"/>
        <w:spacing w:before="103"/>
        <w:ind w:left="0"/>
        <w:jc w:val="left"/>
        <w:rPr>
          <w:rFonts w:hint="eastAsia"/>
          <w:sz w:val="30"/>
          <w:szCs w:val="30"/>
        </w:rPr>
      </w:pPr>
      <w:r>
        <w:rPr>
          <w:rFonts w:hint="eastAsia"/>
          <w:sz w:val="30"/>
          <w:szCs w:val="30"/>
        </w:rPr>
        <w:t>关于所有在基督再来之前死去的人，圣经教导说，在死亡的瞬间，人的灵（或魂）离开身体，去往两个可能的归宿之一——天堂或阴间（路 16:19-31, 腓 1:19-26, 雅 2:26, 启 6:9, 20:4）。</w:t>
      </w:r>
    </w:p>
    <w:p w14:paraId="32AB5369">
      <w:pPr>
        <w:pStyle w:val="9"/>
        <w:spacing w:before="103"/>
        <w:ind w:left="0"/>
        <w:jc w:val="left"/>
        <w:rPr>
          <w:rFonts w:hint="eastAsia"/>
          <w:sz w:val="30"/>
          <w:szCs w:val="30"/>
        </w:rPr>
      </w:pPr>
    </w:p>
    <w:p w14:paraId="6AB6F59E">
      <w:pPr>
        <w:pStyle w:val="9"/>
        <w:spacing w:before="103"/>
        <w:ind w:left="0"/>
        <w:jc w:val="left"/>
        <w:rPr>
          <w:rFonts w:hint="eastAsia"/>
          <w:sz w:val="30"/>
          <w:szCs w:val="30"/>
        </w:rPr>
      </w:pPr>
      <w:r>
        <w:rPr>
          <w:rFonts w:hint="eastAsia"/>
          <w:sz w:val="30"/>
          <w:szCs w:val="30"/>
        </w:rPr>
        <w:t>Those who reach Heaven do so based not upon their own good works, but upon the work of Christ in their behalf—his righteous life and atoning death—and upon their God-given faith in him (Mark 10:45, John 1:12, 3:16, Rom. 3:21f, Eph. 2:8-10).</w:t>
      </w:r>
    </w:p>
    <w:p w14:paraId="02C25659">
      <w:pPr>
        <w:pStyle w:val="9"/>
        <w:spacing w:before="103"/>
        <w:ind w:left="0"/>
        <w:jc w:val="left"/>
        <w:rPr>
          <w:rFonts w:hint="eastAsia"/>
          <w:sz w:val="30"/>
          <w:szCs w:val="30"/>
        </w:rPr>
      </w:pPr>
    </w:p>
    <w:p w14:paraId="5698222F">
      <w:pPr>
        <w:pStyle w:val="9"/>
        <w:spacing w:before="103"/>
        <w:ind w:left="0"/>
        <w:jc w:val="left"/>
        <w:rPr>
          <w:rFonts w:hint="eastAsia"/>
          <w:sz w:val="30"/>
          <w:szCs w:val="30"/>
        </w:rPr>
      </w:pPr>
      <w:r>
        <w:rPr>
          <w:rFonts w:hint="eastAsia"/>
          <w:sz w:val="30"/>
          <w:szCs w:val="30"/>
        </w:rPr>
        <w:t>那些到达天堂的人，并非基于他们自己的好行为，而是基于基督为他们所作的工——祂公义的生命和赎罪的死亡——以及他们那蒙神所赐、对祂的信心（可 10:45, 约 1:12, 3:16, 罗 3:21及以下, 弗 2:8-10）。</w:t>
      </w:r>
    </w:p>
    <w:p w14:paraId="0E113858">
      <w:pPr>
        <w:pStyle w:val="9"/>
        <w:spacing w:before="103"/>
        <w:ind w:left="0"/>
        <w:jc w:val="left"/>
        <w:rPr>
          <w:rFonts w:hint="eastAsia"/>
          <w:sz w:val="30"/>
          <w:szCs w:val="30"/>
        </w:rPr>
      </w:pPr>
    </w:p>
    <w:p w14:paraId="579C8B2D">
      <w:pPr>
        <w:pStyle w:val="9"/>
        <w:spacing w:before="103"/>
        <w:ind w:left="0"/>
        <w:jc w:val="left"/>
        <w:rPr>
          <w:rFonts w:hint="eastAsia"/>
          <w:sz w:val="30"/>
          <w:szCs w:val="30"/>
        </w:rPr>
      </w:pPr>
      <w:r>
        <w:rPr>
          <w:rFonts w:hint="eastAsia"/>
          <w:sz w:val="30"/>
          <w:szCs w:val="30"/>
        </w:rPr>
        <w:t>The saints in Heaven—fully aware of their surroundings and delighted by its manifold blessings (Heb. 12:22-24)— eagerly await their Lord’s return to Earth at the end of the age, when he will consummate their redemption by raising them from the dead in new, glorified, resurrection bodies, and by creating for them a glorious new world in which they will live together with him forever (Luke 20:27-40, John 5:28f, 1 Cor. 15, Phil. 3:20-21, 2 Pet. 3:13).</w:t>
      </w:r>
    </w:p>
    <w:p w14:paraId="2D3B2436">
      <w:pPr>
        <w:pStyle w:val="9"/>
        <w:spacing w:before="103"/>
        <w:ind w:left="0"/>
        <w:jc w:val="left"/>
        <w:rPr>
          <w:rFonts w:hint="eastAsia"/>
          <w:sz w:val="30"/>
          <w:szCs w:val="30"/>
        </w:rPr>
      </w:pPr>
    </w:p>
    <w:p w14:paraId="54269419">
      <w:pPr>
        <w:pStyle w:val="9"/>
        <w:spacing w:before="103"/>
        <w:ind w:left="0"/>
        <w:jc w:val="left"/>
        <w:rPr>
          <w:rFonts w:hint="eastAsia"/>
          <w:sz w:val="30"/>
          <w:szCs w:val="30"/>
        </w:rPr>
      </w:pPr>
      <w:r>
        <w:rPr>
          <w:rFonts w:hint="eastAsia"/>
          <w:sz w:val="30"/>
          <w:szCs w:val="30"/>
        </w:rPr>
        <w:t>在天堂的圣徒们——完全意识到他们的周围环境，并因其万般的祝福而喜乐（来 12:22-24）——热切地等候他们的主在世代的末了回到地上，那时祂将成全他们的救赎，使他们从死里复活，得着新的、荣耀的、复活的身体，并为他们创造一个荣耀的新世界，他们将在其中与祂永远同住（路 20:27-40, 约 5:28及以下, 林前 15, 腓 3:20-21, 彼后 3:13）。</w:t>
      </w:r>
    </w:p>
    <w:p w14:paraId="15498AB6">
      <w:pPr>
        <w:pStyle w:val="9"/>
        <w:spacing w:before="103"/>
        <w:ind w:left="0"/>
        <w:jc w:val="left"/>
        <w:rPr>
          <w:rFonts w:hint="eastAsia"/>
          <w:sz w:val="30"/>
          <w:szCs w:val="30"/>
        </w:rPr>
      </w:pPr>
    </w:p>
    <w:p w14:paraId="68AF67B7">
      <w:pPr>
        <w:pStyle w:val="9"/>
        <w:spacing w:before="103"/>
        <w:ind w:left="0"/>
        <w:jc w:val="left"/>
        <w:rPr>
          <w:rFonts w:hint="eastAsia"/>
          <w:sz w:val="30"/>
          <w:szCs w:val="30"/>
        </w:rPr>
      </w:pPr>
      <w:r>
        <w:rPr>
          <w:rFonts w:hint="eastAsia"/>
          <w:sz w:val="30"/>
          <w:szCs w:val="30"/>
        </w:rPr>
        <w:t>Those who enter Hades do so based upon their own evil works, especially upon the evil work of suppressing the truth that God made known to them through nature, the Law, and the Gospel, the last of which is God’s only provision for the forgiveness of sin and the acquisition of the righteousness necessary for obtaining eternal life (John 3:19, 36, 5:29, Acts 13:46, Rom. 2:8f, 2 Thess. 1:8, Rev. 20:12).</w:t>
      </w:r>
    </w:p>
    <w:p w14:paraId="6AFBD9C8">
      <w:pPr>
        <w:pStyle w:val="9"/>
        <w:spacing w:before="103"/>
        <w:ind w:left="0"/>
        <w:jc w:val="left"/>
        <w:rPr>
          <w:rFonts w:hint="eastAsia"/>
          <w:sz w:val="30"/>
          <w:szCs w:val="30"/>
        </w:rPr>
      </w:pPr>
    </w:p>
    <w:p w14:paraId="2A147574">
      <w:pPr>
        <w:pStyle w:val="9"/>
        <w:spacing w:before="103"/>
        <w:ind w:left="0"/>
        <w:jc w:val="left"/>
        <w:rPr>
          <w:rFonts w:hint="eastAsia"/>
          <w:sz w:val="30"/>
          <w:szCs w:val="30"/>
        </w:rPr>
      </w:pPr>
      <w:r>
        <w:rPr>
          <w:rFonts w:hint="eastAsia"/>
          <w:sz w:val="30"/>
          <w:szCs w:val="30"/>
        </w:rPr>
        <w:t>那些进入阴间的人，是基于他们自己的恶行，特别是基于他们压制真理的恶行，这真理是神通过自然、律法和福音向他们显明的，而福音是神为赦免罪和获得永生所必需之义的唯一预备（约 3:19, 36, 5:29, 徒 13:46, 罗 2:8及以下, 帖后 1:8, 启 20:12）。</w:t>
      </w:r>
    </w:p>
    <w:p w14:paraId="012BE627">
      <w:pPr>
        <w:pStyle w:val="9"/>
        <w:spacing w:before="103"/>
        <w:ind w:left="0"/>
        <w:jc w:val="left"/>
        <w:rPr>
          <w:rFonts w:hint="eastAsia"/>
          <w:sz w:val="30"/>
          <w:szCs w:val="30"/>
        </w:rPr>
      </w:pPr>
    </w:p>
    <w:p w14:paraId="13830000">
      <w:pPr>
        <w:pStyle w:val="9"/>
        <w:spacing w:before="103"/>
        <w:ind w:left="0"/>
        <w:jc w:val="left"/>
        <w:rPr>
          <w:rFonts w:hint="eastAsia"/>
          <w:sz w:val="30"/>
          <w:szCs w:val="30"/>
        </w:rPr>
      </w:pPr>
      <w:r>
        <w:rPr>
          <w:rFonts w:hint="eastAsia"/>
          <w:sz w:val="30"/>
          <w:szCs w:val="30"/>
        </w:rPr>
        <w:t>In Hades the lost are in torments, being excluded from the presence of God, deprived of his every life-giving blessing, conscious of his abiding wrath, and subject to the positive pains of divine retribution.</w:t>
      </w:r>
    </w:p>
    <w:p w14:paraId="7E8DC19A">
      <w:pPr>
        <w:pStyle w:val="9"/>
        <w:spacing w:before="103"/>
        <w:ind w:left="0"/>
        <w:jc w:val="left"/>
        <w:rPr>
          <w:rFonts w:hint="eastAsia"/>
          <w:sz w:val="30"/>
          <w:szCs w:val="30"/>
        </w:rPr>
      </w:pPr>
    </w:p>
    <w:p w14:paraId="604F0D4A">
      <w:pPr>
        <w:pStyle w:val="9"/>
        <w:spacing w:before="103"/>
        <w:ind w:left="0"/>
        <w:jc w:val="left"/>
        <w:rPr>
          <w:rFonts w:hint="eastAsia"/>
          <w:sz w:val="30"/>
          <w:szCs w:val="30"/>
        </w:rPr>
      </w:pPr>
      <w:r>
        <w:rPr>
          <w:rFonts w:hint="eastAsia"/>
          <w:sz w:val="30"/>
          <w:szCs w:val="30"/>
        </w:rPr>
        <w:t>在阴间，失丧的人在痛苦中，被排除在神的面光之外，被剥夺了祂一切赐生命的祝福，意识到祂长存的忿怒，并承受着神圣报应的主动痛苦。</w:t>
      </w:r>
    </w:p>
    <w:p w14:paraId="13A84A87">
      <w:pPr>
        <w:pStyle w:val="9"/>
        <w:spacing w:before="103"/>
        <w:ind w:left="0"/>
        <w:jc w:val="left"/>
        <w:rPr>
          <w:rFonts w:hint="eastAsia"/>
          <w:sz w:val="30"/>
          <w:szCs w:val="30"/>
        </w:rPr>
      </w:pPr>
    </w:p>
    <w:p w14:paraId="13DD3CC2">
      <w:pPr>
        <w:pStyle w:val="9"/>
        <w:spacing w:before="103"/>
        <w:ind w:left="0"/>
        <w:jc w:val="left"/>
        <w:rPr>
          <w:rFonts w:hint="eastAsia"/>
          <w:sz w:val="30"/>
          <w:szCs w:val="30"/>
        </w:rPr>
      </w:pPr>
      <w:r>
        <w:rPr>
          <w:rFonts w:hint="eastAsia"/>
          <w:sz w:val="30"/>
          <w:szCs w:val="30"/>
        </w:rPr>
        <w:t>Also, to the extent that they may be aware of it, the lost are tormented by anticipation of the Resurrection and the Day of Judgment, when Christ will send them—body and soul—into Gehenna, the eternal lake of fire prepared for the devil and his angels (Mt. 8:29, Mt. 10:28, 25:41, Mark 9:48, Luke 16:19-31, 2 Thess. 1:9, Rev. 20:14).</w:t>
      </w:r>
    </w:p>
    <w:p w14:paraId="68850113">
      <w:pPr>
        <w:pStyle w:val="9"/>
        <w:spacing w:before="103"/>
        <w:ind w:left="0"/>
        <w:jc w:val="left"/>
        <w:rPr>
          <w:rFonts w:hint="eastAsia"/>
          <w:sz w:val="30"/>
          <w:szCs w:val="30"/>
        </w:rPr>
      </w:pPr>
    </w:p>
    <w:p w14:paraId="1AC93949">
      <w:pPr>
        <w:pStyle w:val="9"/>
        <w:spacing w:before="103"/>
        <w:ind w:left="0"/>
        <w:jc w:val="left"/>
        <w:rPr>
          <w:rFonts w:hint="eastAsia"/>
          <w:sz w:val="30"/>
          <w:szCs w:val="30"/>
        </w:rPr>
      </w:pPr>
      <w:r>
        <w:rPr>
          <w:rFonts w:hint="eastAsia"/>
          <w:sz w:val="30"/>
          <w:szCs w:val="30"/>
        </w:rPr>
        <w:t>此外，在他们可能意识到的范围内，失丧的人因着对复活和审判日的预期而受折磨，那时基督将把他们——身体和灵魂——都送入地狱，即为魔鬼和他的使者所预备的永火湖里（太 8:29, 太 10:28, 25:41, 可 9:48, 路 16:19-31, 帖后 1:9, 启 20:14）。</w:t>
      </w:r>
    </w:p>
    <w:p w14:paraId="1042BA88">
      <w:pPr>
        <w:pStyle w:val="9"/>
        <w:spacing w:before="103"/>
        <w:ind w:left="0"/>
        <w:jc w:val="left"/>
        <w:rPr>
          <w:rFonts w:hint="eastAsia"/>
          <w:sz w:val="30"/>
          <w:szCs w:val="30"/>
        </w:rPr>
      </w:pPr>
    </w:p>
    <w:p w14:paraId="45BEDB9F">
      <w:pPr>
        <w:pStyle w:val="9"/>
        <w:spacing w:before="103"/>
        <w:ind w:left="0"/>
        <w:jc w:val="left"/>
        <w:rPr>
          <w:rFonts w:hint="eastAsia"/>
          <w:sz w:val="30"/>
          <w:szCs w:val="30"/>
        </w:rPr>
      </w:pPr>
      <w:r>
        <w:rPr>
          <w:rFonts w:hint="eastAsia"/>
          <w:sz w:val="30"/>
          <w:szCs w:val="30"/>
        </w:rPr>
        <w:t>As we shall see in the pages ahead, throughout “these last days” it is the great burden of Christ’s Church not only to proclaim the Gospel of salvation to every creature, but also to make these—the awesome, eternal consequences of a decision for or against Christ—crystal clear.2</w:t>
      </w:r>
    </w:p>
    <w:p w14:paraId="468DA91F">
      <w:pPr>
        <w:pStyle w:val="9"/>
        <w:spacing w:before="103"/>
        <w:ind w:left="0"/>
        <w:jc w:val="left"/>
        <w:rPr>
          <w:rFonts w:hint="eastAsia"/>
          <w:sz w:val="30"/>
          <w:szCs w:val="30"/>
        </w:rPr>
      </w:pPr>
    </w:p>
    <w:p w14:paraId="0B45E3DB">
      <w:pPr>
        <w:pStyle w:val="9"/>
        <w:spacing w:before="103"/>
        <w:ind w:left="0"/>
        <w:jc w:val="left"/>
        <w:rPr>
          <w:rFonts w:hint="eastAsia"/>
          <w:sz w:val="30"/>
          <w:szCs w:val="30"/>
        </w:rPr>
      </w:pPr>
      <w:r>
        <w:rPr>
          <w:rFonts w:hint="eastAsia"/>
          <w:sz w:val="30"/>
          <w:szCs w:val="30"/>
        </w:rPr>
        <w:t>正如我们将在接下来的篇幅中看到的，在整个“这末后的日子里”，基督的教会的重大负担不仅是向每个受造之物宣讲救恩的福音，而且要将这些——即支持或反对基督的决定所带来的可畏、永恒的后果——讲得清清楚楚。2</w:t>
      </w:r>
    </w:p>
    <w:p w14:paraId="767E42E3">
      <w:pPr>
        <w:pStyle w:val="9"/>
        <w:spacing w:before="103"/>
        <w:ind w:left="0"/>
        <w:jc w:val="left"/>
        <w:rPr>
          <w:rFonts w:hint="eastAsia"/>
          <w:sz w:val="30"/>
          <w:szCs w:val="30"/>
        </w:rPr>
      </w:pPr>
    </w:p>
    <w:p w14:paraId="7FA6602E">
      <w:pPr>
        <w:pStyle w:val="9"/>
        <w:spacing w:before="103"/>
        <w:ind w:left="0"/>
        <w:jc w:val="left"/>
        <w:rPr>
          <w:rFonts w:hint="eastAsia"/>
          <w:sz w:val="30"/>
          <w:szCs w:val="30"/>
        </w:rPr>
      </w:pPr>
      <w:r>
        <w:rPr>
          <w:rFonts w:hint="eastAsia"/>
          <w:sz w:val="30"/>
          <w:szCs w:val="30"/>
        </w:rPr>
        <w:t>Evangelism and eschatology go hand in hand.</w:t>
      </w:r>
    </w:p>
    <w:p w14:paraId="5B2F699D">
      <w:pPr>
        <w:pStyle w:val="9"/>
        <w:spacing w:before="103"/>
        <w:ind w:left="0"/>
        <w:jc w:val="left"/>
        <w:rPr>
          <w:rFonts w:hint="eastAsia"/>
          <w:sz w:val="30"/>
          <w:szCs w:val="30"/>
        </w:rPr>
      </w:pPr>
    </w:p>
    <w:p w14:paraId="12CEF384">
      <w:pPr>
        <w:pStyle w:val="9"/>
        <w:spacing w:before="103"/>
        <w:ind w:left="0"/>
        <w:jc w:val="left"/>
        <w:rPr>
          <w:rFonts w:hint="eastAsia"/>
          <w:sz w:val="30"/>
          <w:szCs w:val="30"/>
        </w:rPr>
      </w:pPr>
      <w:r>
        <w:rPr>
          <w:rFonts w:hint="eastAsia"/>
          <w:sz w:val="30"/>
          <w:szCs w:val="30"/>
        </w:rPr>
        <w:t>传福音与末世论是并行的。</w:t>
      </w:r>
    </w:p>
    <w:p w14:paraId="413E6A8F">
      <w:pPr>
        <w:pStyle w:val="9"/>
        <w:spacing w:before="103"/>
        <w:ind w:left="0"/>
        <w:jc w:val="left"/>
        <w:rPr>
          <w:rFonts w:hint="eastAsia"/>
          <w:sz w:val="30"/>
          <w:szCs w:val="30"/>
        </w:rPr>
      </w:pPr>
    </w:p>
    <w:p w14:paraId="32D5CFD2">
      <w:pPr>
        <w:pStyle w:val="9"/>
        <w:spacing w:before="103"/>
        <w:ind w:left="0"/>
        <w:jc w:val="left"/>
        <w:rPr>
          <w:rFonts w:hint="eastAsia"/>
          <w:sz w:val="30"/>
          <w:szCs w:val="30"/>
        </w:rPr>
      </w:pPr>
      <w:r>
        <w:rPr>
          <w:rFonts w:hint="eastAsia"/>
          <w:sz w:val="30"/>
          <w:szCs w:val="30"/>
        </w:rPr>
        <w:t>The Bible and Cosmic Eschatology</w:t>
      </w:r>
    </w:p>
    <w:p w14:paraId="577C05E5">
      <w:pPr>
        <w:pStyle w:val="9"/>
        <w:spacing w:before="103"/>
        <w:ind w:left="0"/>
        <w:jc w:val="left"/>
        <w:rPr>
          <w:rFonts w:hint="eastAsia"/>
          <w:sz w:val="30"/>
          <w:szCs w:val="30"/>
        </w:rPr>
      </w:pPr>
    </w:p>
    <w:p w14:paraId="4EDC6789">
      <w:pPr>
        <w:pStyle w:val="9"/>
        <w:spacing w:before="103"/>
        <w:ind w:left="0"/>
        <w:jc w:val="left"/>
        <w:rPr>
          <w:rFonts w:hint="eastAsia"/>
          <w:sz w:val="30"/>
          <w:szCs w:val="30"/>
        </w:rPr>
      </w:pPr>
      <w:r>
        <w:rPr>
          <w:rFonts w:hint="eastAsia"/>
          <w:sz w:val="30"/>
          <w:szCs w:val="30"/>
        </w:rPr>
        <w:t>圣经与宇宙末世论</w:t>
      </w:r>
    </w:p>
    <w:p w14:paraId="7D161D82">
      <w:pPr>
        <w:pStyle w:val="9"/>
        <w:spacing w:before="103"/>
        <w:ind w:left="0"/>
        <w:jc w:val="left"/>
        <w:rPr>
          <w:rFonts w:hint="eastAsia"/>
          <w:sz w:val="30"/>
          <w:szCs w:val="30"/>
        </w:rPr>
      </w:pPr>
    </w:p>
    <w:p w14:paraId="04D3B5BD">
      <w:pPr>
        <w:pStyle w:val="9"/>
        <w:spacing w:before="103"/>
        <w:ind w:left="0"/>
        <w:jc w:val="left"/>
        <w:rPr>
          <w:rFonts w:hint="eastAsia"/>
          <w:sz w:val="30"/>
          <w:szCs w:val="30"/>
        </w:rPr>
      </w:pPr>
      <w:r>
        <w:rPr>
          <w:rFonts w:hint="eastAsia"/>
          <w:sz w:val="30"/>
          <w:szCs w:val="30"/>
        </w:rPr>
        <w:t>In the popular Christian imagination, cosmic eschatology deals with the spectrum of events surrounding our Lord’s return at the end of the present evil age.</w:t>
      </w:r>
    </w:p>
    <w:p w14:paraId="08ECBF2B">
      <w:pPr>
        <w:pStyle w:val="9"/>
        <w:spacing w:before="103"/>
        <w:ind w:left="0"/>
        <w:jc w:val="left"/>
        <w:rPr>
          <w:rFonts w:hint="eastAsia"/>
          <w:sz w:val="30"/>
          <w:szCs w:val="30"/>
        </w:rPr>
      </w:pPr>
    </w:p>
    <w:p w14:paraId="091A4BB7">
      <w:pPr>
        <w:pStyle w:val="9"/>
        <w:spacing w:before="103"/>
        <w:ind w:left="0"/>
        <w:jc w:val="left"/>
        <w:rPr>
          <w:rFonts w:hint="eastAsia"/>
          <w:sz w:val="30"/>
          <w:szCs w:val="30"/>
        </w:rPr>
      </w:pPr>
      <w:r>
        <w:rPr>
          <w:rFonts w:hint="eastAsia"/>
          <w:sz w:val="30"/>
          <w:szCs w:val="30"/>
        </w:rPr>
        <w:t>在普遍的基督徒想象中，宇宙末世论处理的是围绕我们主在现今邪恶世代末了再来的一系列事件。</w:t>
      </w:r>
    </w:p>
    <w:p w14:paraId="3B9D2EC9">
      <w:pPr>
        <w:pStyle w:val="9"/>
        <w:spacing w:before="103"/>
        <w:ind w:left="0"/>
        <w:jc w:val="left"/>
        <w:rPr>
          <w:rFonts w:hint="eastAsia"/>
          <w:sz w:val="30"/>
          <w:szCs w:val="30"/>
        </w:rPr>
      </w:pPr>
    </w:p>
    <w:p w14:paraId="2D4AF6AC">
      <w:pPr>
        <w:pStyle w:val="9"/>
        <w:spacing w:before="103"/>
        <w:ind w:left="0"/>
        <w:jc w:val="left"/>
        <w:rPr>
          <w:rFonts w:hint="eastAsia"/>
          <w:sz w:val="30"/>
          <w:szCs w:val="30"/>
        </w:rPr>
      </w:pPr>
      <w:r>
        <w:rPr>
          <w:rFonts w:hint="eastAsia"/>
          <w:sz w:val="30"/>
          <w:szCs w:val="30"/>
        </w:rPr>
        <w:t>This is both understandable and—to a certain extent—fitting.</w:t>
      </w:r>
    </w:p>
    <w:p w14:paraId="3A3C412A">
      <w:pPr>
        <w:pStyle w:val="9"/>
        <w:spacing w:before="103"/>
        <w:ind w:left="0"/>
        <w:jc w:val="left"/>
        <w:rPr>
          <w:rFonts w:hint="eastAsia"/>
          <w:sz w:val="30"/>
          <w:szCs w:val="30"/>
        </w:rPr>
      </w:pPr>
    </w:p>
    <w:p w14:paraId="5B162832">
      <w:pPr>
        <w:pStyle w:val="9"/>
        <w:spacing w:before="103"/>
        <w:ind w:left="0"/>
        <w:jc w:val="left"/>
        <w:rPr>
          <w:rFonts w:hint="eastAsia"/>
          <w:sz w:val="30"/>
          <w:szCs w:val="30"/>
        </w:rPr>
      </w:pPr>
      <w:r>
        <w:rPr>
          <w:rFonts w:hint="eastAsia"/>
          <w:sz w:val="30"/>
          <w:szCs w:val="30"/>
        </w:rPr>
        <w:t>这是可以理解的，并且——在某种程度上——也是恰当的。</w:t>
      </w:r>
    </w:p>
    <w:p w14:paraId="0FD84312">
      <w:pPr>
        <w:pStyle w:val="9"/>
        <w:spacing w:before="103"/>
        <w:ind w:left="0"/>
        <w:jc w:val="left"/>
        <w:rPr>
          <w:rFonts w:hint="eastAsia"/>
          <w:sz w:val="30"/>
          <w:szCs w:val="30"/>
        </w:rPr>
      </w:pPr>
    </w:p>
    <w:p w14:paraId="234AC350">
      <w:pPr>
        <w:pStyle w:val="9"/>
        <w:spacing w:before="103"/>
        <w:ind w:left="0"/>
        <w:jc w:val="left"/>
        <w:rPr>
          <w:rFonts w:hint="eastAsia"/>
          <w:sz w:val="30"/>
          <w:szCs w:val="30"/>
        </w:rPr>
      </w:pPr>
      <w:r>
        <w:rPr>
          <w:rFonts w:hint="eastAsia"/>
          <w:sz w:val="30"/>
          <w:szCs w:val="30"/>
        </w:rPr>
        <w:t>It is understandable because we modern Christians live after Christ’s first advent, but prior to his second.</w:t>
      </w:r>
    </w:p>
    <w:p w14:paraId="2000DC1E">
      <w:pPr>
        <w:pStyle w:val="9"/>
        <w:spacing w:before="103"/>
        <w:ind w:left="0"/>
        <w:jc w:val="left"/>
        <w:rPr>
          <w:rFonts w:hint="eastAsia"/>
          <w:sz w:val="30"/>
          <w:szCs w:val="30"/>
        </w:rPr>
      </w:pPr>
    </w:p>
    <w:p w14:paraId="0CC52D2D">
      <w:pPr>
        <w:pStyle w:val="9"/>
        <w:spacing w:before="103"/>
        <w:ind w:left="0"/>
        <w:jc w:val="left"/>
        <w:rPr>
          <w:rFonts w:hint="eastAsia"/>
          <w:sz w:val="30"/>
          <w:szCs w:val="30"/>
        </w:rPr>
      </w:pPr>
      <w:r>
        <w:rPr>
          <w:rFonts w:hint="eastAsia"/>
          <w:sz w:val="30"/>
          <w:szCs w:val="30"/>
        </w:rPr>
        <w:t>这是可以理解的，因为我们现代基督徒生活在基督第一次降临之后，但在祂第二次降临之前。</w:t>
      </w:r>
    </w:p>
    <w:p w14:paraId="0FA37A20">
      <w:pPr>
        <w:pStyle w:val="9"/>
        <w:spacing w:before="103"/>
        <w:ind w:left="0"/>
        <w:jc w:val="left"/>
        <w:rPr>
          <w:rFonts w:hint="eastAsia"/>
          <w:sz w:val="30"/>
          <w:szCs w:val="30"/>
        </w:rPr>
      </w:pPr>
    </w:p>
    <w:p w14:paraId="290AF07F">
      <w:pPr>
        <w:pStyle w:val="9"/>
        <w:spacing w:before="103"/>
        <w:ind w:left="0"/>
        <w:jc w:val="left"/>
        <w:rPr>
          <w:rFonts w:hint="eastAsia"/>
          <w:sz w:val="30"/>
          <w:szCs w:val="30"/>
        </w:rPr>
      </w:pPr>
      <w:r>
        <w:rPr>
          <w:rFonts w:hint="eastAsia"/>
          <w:sz w:val="30"/>
          <w:szCs w:val="30"/>
        </w:rPr>
        <w:t>Accordingly, we tend to think of eschatology as the study of the end of our story; of the coming of Christ that will bring our walk through the wilderness of this world to its happy end.</w:t>
      </w:r>
    </w:p>
    <w:p w14:paraId="4EB6B71D">
      <w:pPr>
        <w:pStyle w:val="9"/>
        <w:spacing w:before="103"/>
        <w:ind w:left="0"/>
        <w:jc w:val="left"/>
        <w:rPr>
          <w:rFonts w:hint="eastAsia"/>
          <w:sz w:val="30"/>
          <w:szCs w:val="30"/>
        </w:rPr>
      </w:pPr>
    </w:p>
    <w:p w14:paraId="29AF84D2">
      <w:pPr>
        <w:pStyle w:val="9"/>
        <w:spacing w:before="103"/>
        <w:ind w:left="0"/>
        <w:jc w:val="left"/>
        <w:rPr>
          <w:rFonts w:hint="eastAsia"/>
          <w:sz w:val="30"/>
          <w:szCs w:val="30"/>
        </w:rPr>
      </w:pPr>
      <w:r>
        <w:rPr>
          <w:rFonts w:hint="eastAsia"/>
          <w:sz w:val="30"/>
          <w:szCs w:val="30"/>
        </w:rPr>
        <w:t>因此，我们倾向于将末世论看作是对我们故事结局的研究；即研究基督的降临，祂的降临将使我们走过这世界旷野的旅程有一个快乐的结局。</w:t>
      </w:r>
    </w:p>
    <w:p w14:paraId="67252540">
      <w:pPr>
        <w:pStyle w:val="9"/>
        <w:spacing w:before="103"/>
        <w:ind w:left="0"/>
        <w:jc w:val="left"/>
        <w:rPr>
          <w:rFonts w:hint="eastAsia"/>
          <w:sz w:val="30"/>
          <w:szCs w:val="30"/>
        </w:rPr>
      </w:pPr>
    </w:p>
    <w:p w14:paraId="5447C1DF">
      <w:pPr>
        <w:pStyle w:val="9"/>
        <w:spacing w:before="103"/>
        <w:ind w:left="0"/>
        <w:jc w:val="left"/>
        <w:rPr>
          <w:rFonts w:hint="eastAsia"/>
          <w:sz w:val="30"/>
          <w:szCs w:val="30"/>
        </w:rPr>
      </w:pPr>
      <w:r>
        <w:rPr>
          <w:rFonts w:hint="eastAsia"/>
          <w:sz w:val="30"/>
          <w:szCs w:val="30"/>
        </w:rPr>
        <w:t>Moreover, it is fitting to think this way, since the Bible clearly teaches that Christ’s second coming will indeed bring to a close the last chapter of Salvation History.</w:t>
      </w:r>
    </w:p>
    <w:p w14:paraId="28D367A2">
      <w:pPr>
        <w:pStyle w:val="9"/>
        <w:spacing w:before="103"/>
        <w:ind w:left="0"/>
        <w:jc w:val="left"/>
        <w:rPr>
          <w:rFonts w:hint="eastAsia"/>
          <w:sz w:val="30"/>
          <w:szCs w:val="30"/>
        </w:rPr>
      </w:pPr>
    </w:p>
    <w:p w14:paraId="77564067">
      <w:pPr>
        <w:pStyle w:val="9"/>
        <w:spacing w:before="103"/>
        <w:ind w:left="0"/>
        <w:jc w:val="left"/>
        <w:rPr>
          <w:rFonts w:hint="eastAsia"/>
          <w:sz w:val="30"/>
          <w:szCs w:val="30"/>
        </w:rPr>
      </w:pPr>
      <w:r>
        <w:rPr>
          <w:rFonts w:hint="eastAsia"/>
          <w:sz w:val="30"/>
          <w:szCs w:val="30"/>
        </w:rPr>
        <w:t>此外，这样想是恰当的，因为圣经清楚地教导，基督的第二次降临确实会为救赎历史的最后一章画上句号。</w:t>
      </w:r>
    </w:p>
    <w:p w14:paraId="6668A67F">
      <w:pPr>
        <w:pStyle w:val="9"/>
        <w:spacing w:before="103"/>
        <w:ind w:left="0"/>
        <w:jc w:val="left"/>
        <w:rPr>
          <w:rFonts w:hint="eastAsia"/>
          <w:sz w:val="30"/>
          <w:szCs w:val="30"/>
        </w:rPr>
      </w:pPr>
    </w:p>
    <w:p w14:paraId="72F287F4">
      <w:pPr>
        <w:pStyle w:val="9"/>
        <w:spacing w:before="103"/>
        <w:ind w:left="0"/>
        <w:jc w:val="left"/>
        <w:rPr>
          <w:rFonts w:hint="eastAsia"/>
          <w:sz w:val="30"/>
          <w:szCs w:val="30"/>
        </w:rPr>
      </w:pPr>
      <w:r>
        <w:rPr>
          <w:rFonts w:hint="eastAsia"/>
          <w:sz w:val="30"/>
          <w:szCs w:val="30"/>
        </w:rPr>
        <w:t>Nevertheless, the more we examine Scripture as a whole, the more we realize that this is, in fact, a seriously truncated view of biblical eschatology; that “the last days” and “the last things” take in a far broader spectrum of events than the grand finale of history, important and fascinating as the latter may be.</w:t>
      </w:r>
    </w:p>
    <w:p w14:paraId="17BEE1B0">
      <w:pPr>
        <w:pStyle w:val="9"/>
        <w:spacing w:before="103"/>
        <w:ind w:left="0"/>
        <w:jc w:val="left"/>
        <w:rPr>
          <w:rFonts w:hint="eastAsia"/>
          <w:sz w:val="30"/>
          <w:szCs w:val="30"/>
        </w:rPr>
      </w:pPr>
    </w:p>
    <w:p w14:paraId="3A79C2D1">
      <w:pPr>
        <w:pStyle w:val="9"/>
        <w:spacing w:before="103"/>
        <w:ind w:left="0"/>
        <w:jc w:val="left"/>
        <w:rPr>
          <w:rFonts w:hint="eastAsia"/>
          <w:sz w:val="30"/>
          <w:szCs w:val="30"/>
        </w:rPr>
      </w:pPr>
      <w:r>
        <w:rPr>
          <w:rFonts w:hint="eastAsia"/>
          <w:sz w:val="30"/>
          <w:szCs w:val="30"/>
        </w:rPr>
        <w:t>然而，我们越是整体地查考圣经，就越是意识到，这实际上是一种被严重删减的圣经末世论观点；即“末后的日子”和“末后之事”所包含的事件范围，远比历史的宏大终局要宽广得多，尽管后者可能很重要也很有趣。</w:t>
      </w:r>
    </w:p>
    <w:p w14:paraId="614B95FB">
      <w:pPr>
        <w:pStyle w:val="9"/>
        <w:spacing w:before="103"/>
        <w:ind w:left="0"/>
        <w:jc w:val="left"/>
        <w:rPr>
          <w:rFonts w:hint="eastAsia"/>
          <w:sz w:val="30"/>
          <w:szCs w:val="30"/>
        </w:rPr>
      </w:pPr>
    </w:p>
    <w:p w14:paraId="580DD177">
      <w:pPr>
        <w:pStyle w:val="9"/>
        <w:spacing w:before="103"/>
        <w:ind w:left="0"/>
        <w:jc w:val="left"/>
        <w:rPr>
          <w:rFonts w:hint="eastAsia"/>
          <w:sz w:val="30"/>
          <w:szCs w:val="30"/>
        </w:rPr>
      </w:pPr>
      <w:r>
        <w:rPr>
          <w:rFonts w:hint="eastAsia"/>
          <w:sz w:val="30"/>
          <w:szCs w:val="30"/>
        </w:rPr>
        <w:t>Moreover, it is not until we have seen this truth—it is not until we have discerned from Scripture itself the true sphere of the Bible’s eschatological interest—that we can rightly and most richly understand what interests us most: the Consummation set to occur at the end of this present evil age.</w:t>
      </w:r>
    </w:p>
    <w:p w14:paraId="417BF956">
      <w:pPr>
        <w:pStyle w:val="9"/>
        <w:spacing w:before="103"/>
        <w:ind w:left="0"/>
        <w:jc w:val="left"/>
        <w:rPr>
          <w:rFonts w:hint="eastAsia"/>
          <w:sz w:val="30"/>
          <w:szCs w:val="30"/>
        </w:rPr>
      </w:pPr>
    </w:p>
    <w:p w14:paraId="48D75350">
      <w:pPr>
        <w:pStyle w:val="9"/>
        <w:spacing w:before="103"/>
        <w:ind w:left="0"/>
        <w:jc w:val="left"/>
        <w:rPr>
          <w:rFonts w:hint="eastAsia"/>
          <w:sz w:val="30"/>
          <w:szCs w:val="30"/>
        </w:rPr>
      </w:pPr>
      <w:r>
        <w:rPr>
          <w:rFonts w:hint="eastAsia"/>
          <w:sz w:val="30"/>
          <w:szCs w:val="30"/>
        </w:rPr>
        <w:t>此外，只有当我们看见了这个真理——只有当我们从圣经本身辨识出圣经末世论兴趣的真正范围——我们才能正确地、且最丰盛地理解我们最感兴趣的事：那定于现今邪恶世代末了要发生的最终成全。</w:t>
      </w:r>
    </w:p>
    <w:p w14:paraId="1DE5D982">
      <w:pPr>
        <w:pStyle w:val="9"/>
        <w:spacing w:before="103"/>
        <w:ind w:left="0"/>
        <w:jc w:val="left"/>
        <w:rPr>
          <w:rFonts w:hint="eastAsia"/>
          <w:sz w:val="30"/>
          <w:szCs w:val="30"/>
        </w:rPr>
      </w:pPr>
    </w:p>
    <w:p w14:paraId="0FD54734">
      <w:pPr>
        <w:pStyle w:val="9"/>
        <w:spacing w:before="103"/>
        <w:ind w:left="0"/>
        <w:jc w:val="left"/>
        <w:rPr>
          <w:rFonts w:hint="eastAsia"/>
          <w:sz w:val="30"/>
          <w:szCs w:val="30"/>
        </w:rPr>
      </w:pPr>
      <w:r>
        <w:rPr>
          <w:rFonts w:hint="eastAsia"/>
          <w:sz w:val="30"/>
          <w:szCs w:val="30"/>
        </w:rPr>
        <w:t>Salvation History</w:t>
      </w:r>
    </w:p>
    <w:p w14:paraId="07FBEC3E">
      <w:pPr>
        <w:pStyle w:val="9"/>
        <w:spacing w:before="103"/>
        <w:ind w:left="0"/>
        <w:jc w:val="left"/>
        <w:rPr>
          <w:rFonts w:hint="eastAsia"/>
          <w:sz w:val="30"/>
          <w:szCs w:val="30"/>
        </w:rPr>
      </w:pPr>
    </w:p>
    <w:p w14:paraId="18A019F8">
      <w:pPr>
        <w:pStyle w:val="9"/>
        <w:spacing w:before="103"/>
        <w:ind w:left="0"/>
        <w:jc w:val="left"/>
        <w:rPr>
          <w:rFonts w:hint="eastAsia"/>
          <w:sz w:val="30"/>
          <w:szCs w:val="30"/>
        </w:rPr>
      </w:pPr>
      <w:r>
        <w:rPr>
          <w:rFonts w:hint="eastAsia"/>
          <w:sz w:val="30"/>
          <w:szCs w:val="30"/>
        </w:rPr>
        <w:t>救赎历史</w:t>
      </w:r>
    </w:p>
    <w:p w14:paraId="0138A370">
      <w:pPr>
        <w:pStyle w:val="9"/>
        <w:spacing w:before="103"/>
        <w:ind w:left="0"/>
        <w:jc w:val="left"/>
        <w:rPr>
          <w:rFonts w:hint="eastAsia"/>
          <w:sz w:val="30"/>
          <w:szCs w:val="30"/>
        </w:rPr>
      </w:pPr>
    </w:p>
    <w:p w14:paraId="4D1F0240">
      <w:pPr>
        <w:pStyle w:val="9"/>
        <w:spacing w:before="103"/>
        <w:ind w:left="0"/>
        <w:jc w:val="left"/>
        <w:rPr>
          <w:rFonts w:hint="eastAsia"/>
          <w:sz w:val="30"/>
          <w:szCs w:val="30"/>
        </w:rPr>
      </w:pPr>
      <w:r>
        <w:rPr>
          <w:rFonts w:hint="eastAsia"/>
          <w:sz w:val="30"/>
          <w:szCs w:val="30"/>
        </w:rPr>
        <w:t>In order to understand all this better—and in order to arrive at our goal in this chapter—let us begin our journey by getting better acquainted with an extremely useful theological expression: Salvation History.</w:t>
      </w:r>
    </w:p>
    <w:p w14:paraId="5CC15C70">
      <w:pPr>
        <w:pStyle w:val="9"/>
        <w:spacing w:before="103"/>
        <w:ind w:left="0"/>
        <w:jc w:val="left"/>
        <w:rPr>
          <w:rFonts w:hint="eastAsia"/>
          <w:sz w:val="30"/>
          <w:szCs w:val="30"/>
        </w:rPr>
      </w:pPr>
    </w:p>
    <w:p w14:paraId="0B8D475C">
      <w:pPr>
        <w:pStyle w:val="9"/>
        <w:spacing w:before="103"/>
        <w:ind w:left="0"/>
        <w:jc w:val="left"/>
        <w:rPr>
          <w:rFonts w:hint="eastAsia"/>
          <w:sz w:val="30"/>
          <w:szCs w:val="30"/>
        </w:rPr>
      </w:pPr>
      <w:r>
        <w:rPr>
          <w:rFonts w:hint="eastAsia"/>
          <w:sz w:val="30"/>
          <w:szCs w:val="30"/>
        </w:rPr>
        <w:t>为了更好地理解这一切——也为了达到本章的目标——让我们通过更熟悉一个非常有用的神学术语来开始我们的旅程：救赎历史。</w:t>
      </w:r>
    </w:p>
    <w:p w14:paraId="43B4052F">
      <w:pPr>
        <w:pStyle w:val="9"/>
        <w:spacing w:before="103"/>
        <w:ind w:left="0"/>
        <w:jc w:val="left"/>
        <w:rPr>
          <w:rFonts w:hint="eastAsia"/>
          <w:sz w:val="30"/>
          <w:szCs w:val="30"/>
        </w:rPr>
      </w:pPr>
    </w:p>
    <w:p w14:paraId="2139148D">
      <w:pPr>
        <w:pStyle w:val="9"/>
        <w:spacing w:before="103"/>
        <w:ind w:left="0"/>
        <w:jc w:val="left"/>
        <w:rPr>
          <w:rFonts w:hint="eastAsia"/>
          <w:sz w:val="30"/>
          <w:szCs w:val="30"/>
        </w:rPr>
      </w:pPr>
      <w:r>
        <w:rPr>
          <w:rFonts w:hint="eastAsia"/>
          <w:sz w:val="30"/>
          <w:szCs w:val="30"/>
        </w:rPr>
        <w:t>I will define this as the record of God’s redemptive activity found in his Word, the Bible.</w:t>
      </w:r>
    </w:p>
    <w:p w14:paraId="62FBDBC3">
      <w:pPr>
        <w:pStyle w:val="9"/>
        <w:spacing w:before="103"/>
        <w:ind w:left="0"/>
        <w:jc w:val="left"/>
        <w:rPr>
          <w:rFonts w:hint="eastAsia"/>
          <w:sz w:val="30"/>
          <w:szCs w:val="30"/>
        </w:rPr>
      </w:pPr>
    </w:p>
    <w:p w14:paraId="12447925">
      <w:pPr>
        <w:pStyle w:val="9"/>
        <w:spacing w:before="103"/>
        <w:ind w:left="0"/>
        <w:jc w:val="left"/>
        <w:rPr>
          <w:rFonts w:hint="eastAsia"/>
          <w:sz w:val="30"/>
          <w:szCs w:val="30"/>
        </w:rPr>
      </w:pPr>
      <w:r>
        <w:rPr>
          <w:rFonts w:hint="eastAsia"/>
          <w:sz w:val="30"/>
          <w:szCs w:val="30"/>
        </w:rPr>
        <w:t>我将其定义为在祂的话语，即圣经中，所记载的神救赎作为的记录。</w:t>
      </w:r>
    </w:p>
    <w:p w14:paraId="6589240F">
      <w:pPr>
        <w:pStyle w:val="9"/>
        <w:spacing w:before="103"/>
        <w:ind w:left="0"/>
        <w:jc w:val="left"/>
        <w:rPr>
          <w:rFonts w:hint="eastAsia"/>
          <w:sz w:val="30"/>
          <w:szCs w:val="30"/>
        </w:rPr>
      </w:pPr>
    </w:p>
    <w:p w14:paraId="6CC204F9">
      <w:pPr>
        <w:pStyle w:val="9"/>
        <w:spacing w:before="103"/>
        <w:ind w:left="0"/>
        <w:jc w:val="left"/>
        <w:rPr>
          <w:rFonts w:hint="eastAsia"/>
          <w:sz w:val="30"/>
          <w:szCs w:val="30"/>
        </w:rPr>
      </w:pPr>
      <w:r>
        <w:rPr>
          <w:rFonts w:hint="eastAsia"/>
          <w:sz w:val="30"/>
          <w:szCs w:val="30"/>
        </w:rPr>
        <w:t>Now even if you have never heard this particular expression before, I would be willing to bet that you already have a good feel for the basic shape of Salvation History.</w:t>
      </w:r>
    </w:p>
    <w:p w14:paraId="0D8B1DFF">
      <w:pPr>
        <w:pStyle w:val="9"/>
        <w:spacing w:before="103"/>
        <w:ind w:left="0"/>
        <w:jc w:val="left"/>
        <w:rPr>
          <w:rFonts w:hint="eastAsia"/>
          <w:sz w:val="30"/>
          <w:szCs w:val="30"/>
        </w:rPr>
      </w:pPr>
    </w:p>
    <w:p w14:paraId="23649D81">
      <w:pPr>
        <w:pStyle w:val="9"/>
        <w:spacing w:before="103"/>
        <w:ind w:left="0"/>
        <w:jc w:val="left"/>
        <w:rPr>
          <w:rFonts w:hint="eastAsia"/>
          <w:sz w:val="30"/>
          <w:szCs w:val="30"/>
        </w:rPr>
      </w:pPr>
      <w:r>
        <w:rPr>
          <w:rFonts w:hint="eastAsia"/>
          <w:sz w:val="30"/>
          <w:szCs w:val="30"/>
        </w:rPr>
        <w:t>现在，即使你以前从未听说过这个特定的表述，我敢打赌，你已经对救赎历史的基本轮廓有了很好的感觉。</w:t>
      </w:r>
    </w:p>
    <w:p w14:paraId="493E5523">
      <w:pPr>
        <w:pStyle w:val="9"/>
        <w:spacing w:before="103"/>
        <w:ind w:left="0"/>
        <w:jc w:val="left"/>
        <w:rPr>
          <w:rFonts w:hint="eastAsia"/>
          <w:sz w:val="30"/>
          <w:szCs w:val="30"/>
        </w:rPr>
      </w:pPr>
    </w:p>
    <w:p w14:paraId="282AE545">
      <w:pPr>
        <w:pStyle w:val="9"/>
        <w:spacing w:before="103"/>
        <w:ind w:left="0"/>
        <w:jc w:val="left"/>
        <w:rPr>
          <w:rFonts w:hint="eastAsia"/>
          <w:sz w:val="30"/>
          <w:szCs w:val="30"/>
        </w:rPr>
      </w:pPr>
      <w:r>
        <w:rPr>
          <w:rFonts w:hint="eastAsia"/>
          <w:sz w:val="30"/>
          <w:szCs w:val="30"/>
        </w:rPr>
        <w:t>All Christians who have read through the Bible at least once do.</w:t>
      </w:r>
    </w:p>
    <w:p w14:paraId="75ED202F">
      <w:pPr>
        <w:pStyle w:val="9"/>
        <w:spacing w:before="103"/>
        <w:ind w:left="0"/>
        <w:jc w:val="left"/>
        <w:rPr>
          <w:rFonts w:hint="eastAsia"/>
          <w:sz w:val="30"/>
          <w:szCs w:val="30"/>
        </w:rPr>
      </w:pPr>
    </w:p>
    <w:p w14:paraId="0DCC12BC">
      <w:pPr>
        <w:pStyle w:val="9"/>
        <w:spacing w:before="103"/>
        <w:ind w:left="0"/>
        <w:jc w:val="left"/>
        <w:rPr>
          <w:rFonts w:hint="eastAsia"/>
          <w:sz w:val="30"/>
          <w:szCs w:val="30"/>
        </w:rPr>
      </w:pPr>
      <w:r>
        <w:rPr>
          <w:rFonts w:hint="eastAsia"/>
          <w:sz w:val="30"/>
          <w:szCs w:val="30"/>
        </w:rPr>
        <w:t>所有至少通读过一遍圣经的基督徒都有。</w:t>
      </w:r>
    </w:p>
    <w:p w14:paraId="0D39E8E4">
      <w:pPr>
        <w:pStyle w:val="9"/>
        <w:spacing w:before="103"/>
        <w:ind w:left="0"/>
        <w:jc w:val="left"/>
        <w:rPr>
          <w:rFonts w:hint="eastAsia"/>
          <w:sz w:val="30"/>
          <w:szCs w:val="30"/>
        </w:rPr>
      </w:pPr>
    </w:p>
    <w:p w14:paraId="06217428">
      <w:pPr>
        <w:pStyle w:val="9"/>
        <w:spacing w:before="103"/>
        <w:ind w:left="0"/>
        <w:jc w:val="left"/>
        <w:rPr>
          <w:rFonts w:hint="eastAsia"/>
          <w:sz w:val="30"/>
          <w:szCs w:val="30"/>
        </w:rPr>
      </w:pPr>
      <w:r>
        <w:rPr>
          <w:rFonts w:hint="eastAsia"/>
          <w:sz w:val="30"/>
          <w:szCs w:val="30"/>
        </w:rPr>
        <w:t>They know, for example, that at its heart the Bible is not a poem or a philosophical treatise, but rather a story; indeed, that it is His Story, a true history of God’s dealings with the universe, life, and man; a history that spans from creation to consummation.</w:t>
      </w:r>
    </w:p>
    <w:p w14:paraId="1955CA8B">
      <w:pPr>
        <w:pStyle w:val="9"/>
        <w:spacing w:before="103"/>
        <w:ind w:left="0"/>
        <w:jc w:val="left"/>
        <w:rPr>
          <w:rFonts w:hint="eastAsia"/>
          <w:sz w:val="30"/>
          <w:szCs w:val="30"/>
        </w:rPr>
      </w:pPr>
    </w:p>
    <w:p w14:paraId="256B765A">
      <w:pPr>
        <w:pStyle w:val="9"/>
        <w:spacing w:before="103"/>
        <w:ind w:left="0"/>
        <w:jc w:val="left"/>
        <w:rPr>
          <w:rFonts w:hint="eastAsia"/>
          <w:sz w:val="30"/>
          <w:szCs w:val="30"/>
        </w:rPr>
      </w:pPr>
      <w:r>
        <w:rPr>
          <w:rFonts w:hint="eastAsia"/>
          <w:sz w:val="30"/>
          <w:szCs w:val="30"/>
        </w:rPr>
        <w:t>例如，他们知道，圣经的核心不是一首诗或一篇哲学论文，而是一个故事；的确，这是祂的故事，是神与宇宙、生命和人交往的真实历史；一个从创造到成全的历史。</w:t>
      </w:r>
    </w:p>
    <w:p w14:paraId="19A6208C">
      <w:pPr>
        <w:pStyle w:val="9"/>
        <w:spacing w:before="103"/>
        <w:ind w:left="0"/>
        <w:jc w:val="left"/>
        <w:rPr>
          <w:rFonts w:hint="eastAsia"/>
          <w:sz w:val="30"/>
          <w:szCs w:val="30"/>
        </w:rPr>
      </w:pPr>
    </w:p>
    <w:p w14:paraId="64A84DB8">
      <w:pPr>
        <w:pStyle w:val="9"/>
        <w:spacing w:before="103"/>
        <w:ind w:left="0"/>
        <w:jc w:val="left"/>
        <w:rPr>
          <w:rFonts w:hint="eastAsia"/>
          <w:sz w:val="30"/>
          <w:szCs w:val="30"/>
        </w:rPr>
      </w:pPr>
      <w:r>
        <w:rPr>
          <w:rFonts w:hint="eastAsia"/>
          <w:sz w:val="30"/>
          <w:szCs w:val="30"/>
        </w:rPr>
        <w:t>Furthermore, all Christians realize that the vast majority of this story (i.e., from Genesis 4 to Revelation 22) deals with God’s specifically redemptive acts in history.</w:t>
      </w:r>
    </w:p>
    <w:p w14:paraId="22E9085B">
      <w:pPr>
        <w:pStyle w:val="9"/>
        <w:spacing w:before="103"/>
        <w:ind w:left="0"/>
        <w:jc w:val="left"/>
        <w:rPr>
          <w:rFonts w:hint="eastAsia"/>
          <w:sz w:val="30"/>
          <w:szCs w:val="30"/>
        </w:rPr>
      </w:pPr>
    </w:p>
    <w:p w14:paraId="6BF61DDD">
      <w:pPr>
        <w:pStyle w:val="9"/>
        <w:spacing w:before="103"/>
        <w:ind w:left="0"/>
        <w:jc w:val="left"/>
        <w:rPr>
          <w:rFonts w:hint="eastAsia"/>
          <w:sz w:val="30"/>
          <w:szCs w:val="30"/>
        </w:rPr>
      </w:pPr>
      <w:r>
        <w:rPr>
          <w:rFonts w:hint="eastAsia"/>
          <w:sz w:val="30"/>
          <w:szCs w:val="30"/>
        </w:rPr>
        <w:t>此外，所有基督徒都意识到，这个故事的绝大部分（即从创世记第4章到启示录第22章）都涉及神在历史中特定的救赎作为。</w:t>
      </w:r>
    </w:p>
    <w:p w14:paraId="2371CE06">
      <w:pPr>
        <w:pStyle w:val="9"/>
        <w:spacing w:before="103"/>
        <w:ind w:left="0"/>
        <w:jc w:val="left"/>
        <w:rPr>
          <w:rFonts w:hint="eastAsia"/>
          <w:sz w:val="30"/>
          <w:szCs w:val="30"/>
        </w:rPr>
      </w:pPr>
    </w:p>
    <w:p w14:paraId="7A379E03">
      <w:pPr>
        <w:pStyle w:val="9"/>
        <w:spacing w:before="103"/>
        <w:ind w:left="0"/>
        <w:jc w:val="left"/>
        <w:rPr>
          <w:rFonts w:hint="eastAsia"/>
          <w:sz w:val="30"/>
          <w:szCs w:val="30"/>
        </w:rPr>
      </w:pPr>
      <w:r>
        <w:rPr>
          <w:rFonts w:hint="eastAsia"/>
          <w:sz w:val="30"/>
          <w:szCs w:val="30"/>
        </w:rPr>
        <w:t>In other words, it deals with the special actions by which he was (and is) pleased to rescue and restore a sinful but beloved people and their world, all through the saving work of his only-begotten Son, the Lord Jesus Christ.</w:t>
      </w:r>
    </w:p>
    <w:p w14:paraId="499AEDBC">
      <w:pPr>
        <w:pStyle w:val="9"/>
        <w:spacing w:before="103"/>
        <w:ind w:left="0"/>
        <w:jc w:val="left"/>
        <w:rPr>
          <w:rFonts w:hint="eastAsia"/>
          <w:sz w:val="30"/>
          <w:szCs w:val="30"/>
        </w:rPr>
      </w:pPr>
    </w:p>
    <w:p w14:paraId="27D05505">
      <w:pPr>
        <w:pStyle w:val="9"/>
        <w:spacing w:before="103"/>
        <w:ind w:left="0"/>
        <w:jc w:val="left"/>
        <w:rPr>
          <w:rFonts w:hint="eastAsia"/>
          <w:sz w:val="30"/>
          <w:szCs w:val="30"/>
        </w:rPr>
      </w:pPr>
      <w:r>
        <w:rPr>
          <w:rFonts w:hint="eastAsia"/>
          <w:sz w:val="30"/>
          <w:szCs w:val="30"/>
        </w:rPr>
        <w:t>换句话说，它涉及那些特别的行动，借此，祂过去（及现在）乐意拯救并恢复一个有罪但蒙爱的子民和他们的世界，这一切都是通过祂独生子主耶稣基督的拯救之工。</w:t>
      </w:r>
    </w:p>
    <w:p w14:paraId="6BBA1758">
      <w:pPr>
        <w:pStyle w:val="9"/>
        <w:spacing w:before="103"/>
        <w:ind w:left="0"/>
        <w:jc w:val="left"/>
        <w:rPr>
          <w:rFonts w:hint="eastAsia"/>
          <w:sz w:val="30"/>
          <w:szCs w:val="30"/>
        </w:rPr>
      </w:pPr>
    </w:p>
    <w:p w14:paraId="47BDF09C">
      <w:pPr>
        <w:pStyle w:val="9"/>
        <w:spacing w:before="103"/>
        <w:ind w:left="0"/>
        <w:jc w:val="left"/>
        <w:rPr>
          <w:rFonts w:hint="eastAsia"/>
          <w:sz w:val="30"/>
          <w:szCs w:val="30"/>
        </w:rPr>
      </w:pPr>
      <w:r>
        <w:rPr>
          <w:rFonts w:hint="eastAsia"/>
          <w:sz w:val="30"/>
          <w:szCs w:val="30"/>
        </w:rPr>
        <w:t>Very importantly, biblically alert Christians also can readily discern the basic structure of Salvation History.</w:t>
      </w:r>
    </w:p>
    <w:p w14:paraId="1E19757B">
      <w:pPr>
        <w:pStyle w:val="9"/>
        <w:spacing w:before="103"/>
        <w:ind w:left="0"/>
        <w:jc w:val="left"/>
        <w:rPr>
          <w:rFonts w:hint="eastAsia"/>
          <w:sz w:val="30"/>
          <w:szCs w:val="30"/>
        </w:rPr>
      </w:pPr>
    </w:p>
    <w:p w14:paraId="6AECB745">
      <w:pPr>
        <w:pStyle w:val="9"/>
        <w:spacing w:before="103"/>
        <w:ind w:left="0"/>
        <w:jc w:val="left"/>
        <w:rPr>
          <w:rFonts w:hint="eastAsia"/>
          <w:sz w:val="30"/>
          <w:szCs w:val="30"/>
        </w:rPr>
      </w:pPr>
      <w:r>
        <w:rPr>
          <w:rFonts w:hint="eastAsia"/>
          <w:sz w:val="30"/>
          <w:szCs w:val="30"/>
        </w:rPr>
        <w:t>非常重要的一点是，对圣经警醒的基督徒也能轻易地辨识出救赎历史的基本结构。</w:t>
      </w:r>
    </w:p>
    <w:p w14:paraId="5087C4BB">
      <w:pPr>
        <w:pStyle w:val="9"/>
        <w:spacing w:before="103"/>
        <w:ind w:left="0"/>
        <w:jc w:val="left"/>
        <w:rPr>
          <w:rFonts w:hint="eastAsia"/>
          <w:sz w:val="30"/>
          <w:szCs w:val="30"/>
        </w:rPr>
      </w:pPr>
    </w:p>
    <w:p w14:paraId="38E099B4">
      <w:pPr>
        <w:pStyle w:val="9"/>
        <w:spacing w:before="103"/>
        <w:ind w:left="0"/>
        <w:jc w:val="left"/>
        <w:rPr>
          <w:rFonts w:hint="eastAsia"/>
          <w:sz w:val="30"/>
          <w:szCs w:val="30"/>
        </w:rPr>
      </w:pPr>
      <w:r>
        <w:rPr>
          <w:rFonts w:hint="eastAsia"/>
          <w:sz w:val="30"/>
          <w:szCs w:val="30"/>
        </w:rPr>
        <w:t>Indeed, simply by reading chronologically from Genesis to Revelation, they find that the narrative positively begs them to situate the main elements of its grand story on some kind of timeline .</w:t>
      </w:r>
    </w:p>
    <w:p w14:paraId="264BB6D5">
      <w:pPr>
        <w:pStyle w:val="9"/>
        <w:spacing w:before="103"/>
        <w:ind w:left="0"/>
        <w:jc w:val="left"/>
        <w:rPr>
          <w:rFonts w:hint="eastAsia"/>
          <w:sz w:val="30"/>
          <w:szCs w:val="30"/>
        </w:rPr>
      </w:pPr>
    </w:p>
    <w:p w14:paraId="137D35F0">
      <w:pPr>
        <w:pStyle w:val="9"/>
        <w:spacing w:before="103"/>
        <w:ind w:left="0"/>
        <w:jc w:val="left"/>
        <w:rPr>
          <w:rFonts w:hint="eastAsia"/>
          <w:sz w:val="30"/>
          <w:szCs w:val="30"/>
        </w:rPr>
      </w:pPr>
      <w:r>
        <w:rPr>
          <w:rFonts w:hint="eastAsia"/>
          <w:sz w:val="30"/>
          <w:szCs w:val="30"/>
        </w:rPr>
        <w:t>的确，单单按时间顺序从创世记读到启示录，他们就会发现，这叙事本身就强烈地要求他们将其宏大故事的主要元素放置在某种时间线上。</w:t>
      </w:r>
    </w:p>
    <w:p w14:paraId="294D0947">
      <w:pPr>
        <w:pStyle w:val="9"/>
        <w:spacing w:before="103"/>
        <w:ind w:left="0"/>
        <w:jc w:val="left"/>
        <w:rPr>
          <w:rFonts w:hint="eastAsia"/>
          <w:sz w:val="30"/>
          <w:szCs w:val="30"/>
        </w:rPr>
      </w:pPr>
    </w:p>
    <w:p w14:paraId="5E5A5EC8">
      <w:pPr>
        <w:pStyle w:val="9"/>
        <w:spacing w:before="103"/>
        <w:ind w:left="0"/>
        <w:jc w:val="left"/>
        <w:rPr>
          <w:rFonts w:hint="eastAsia"/>
          <w:sz w:val="30"/>
          <w:szCs w:val="30"/>
        </w:rPr>
      </w:pPr>
      <w:r>
        <w:rPr>
          <w:rFonts w:hint="eastAsia"/>
          <w:sz w:val="30"/>
          <w:szCs w:val="30"/>
        </w:rPr>
        <w:t>In its most basic form—I will call it the Beginner’s Version of Salvation History—such a Timeline will almost always look something like this:</w:t>
      </w:r>
    </w:p>
    <w:p w14:paraId="21486121">
      <w:pPr>
        <w:pStyle w:val="9"/>
        <w:spacing w:before="103"/>
        <w:ind w:left="0"/>
        <w:jc w:val="left"/>
        <w:rPr>
          <w:rFonts w:hint="eastAsia"/>
          <w:sz w:val="30"/>
          <w:szCs w:val="30"/>
        </w:rPr>
      </w:pPr>
    </w:p>
    <w:p w14:paraId="28BF6A6A">
      <w:pPr>
        <w:pStyle w:val="9"/>
        <w:spacing w:before="103"/>
        <w:ind w:left="0"/>
        <w:jc w:val="left"/>
        <w:rPr>
          <w:rFonts w:hint="eastAsia"/>
          <w:sz w:val="30"/>
          <w:szCs w:val="30"/>
        </w:rPr>
      </w:pPr>
      <w:r>
        <w:rPr>
          <w:rFonts w:hint="eastAsia"/>
          <w:sz w:val="30"/>
          <w:szCs w:val="30"/>
        </w:rPr>
        <w:t>在其最基本的形式下——我称之为救赎历史入门版——这样的时间线几乎总是看起来像这样：</w:t>
      </w:r>
    </w:p>
    <w:p w14:paraId="56DBC537">
      <w:pPr>
        <w:pStyle w:val="9"/>
        <w:spacing w:before="103"/>
        <w:ind w:left="0"/>
        <w:jc w:val="left"/>
        <w:rPr>
          <w:rFonts w:hint="eastAsia"/>
          <w:sz w:val="30"/>
          <w:szCs w:val="30"/>
        </w:rPr>
      </w:pPr>
    </w:p>
    <w:p w14:paraId="31B4AC7A">
      <w:pPr>
        <w:pStyle w:val="9"/>
        <w:spacing w:before="103"/>
        <w:ind w:left="0"/>
        <w:jc w:val="left"/>
        <w:rPr>
          <w:sz w:val="20"/>
        </w:rPr>
      </w:pPr>
      <w:r>
        <w:rPr>
          <w:sz w:val="20"/>
        </w:rPr>
        <w:drawing>
          <wp:anchor distT="0" distB="0" distL="0" distR="0" simplePos="0" relativeHeight="251660288" behindDoc="1" locked="0" layoutInCell="1" allowOverlap="1">
            <wp:simplePos x="0" y="0"/>
            <wp:positionH relativeFrom="page">
              <wp:posOffset>2352040</wp:posOffset>
            </wp:positionH>
            <wp:positionV relativeFrom="paragraph">
              <wp:posOffset>226695</wp:posOffset>
            </wp:positionV>
            <wp:extent cx="3100070" cy="1257300"/>
            <wp:effectExtent l="0" t="0" r="0" b="0"/>
            <wp:wrapTopAndBottom/>
            <wp:docPr id="33" name="Image 33"/>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9" cstate="print"/>
                    <a:stretch>
                      <a:fillRect/>
                    </a:stretch>
                  </pic:blipFill>
                  <pic:spPr>
                    <a:xfrm>
                      <a:off x="0" y="0"/>
                      <a:ext cx="3100060" cy="1257300"/>
                    </a:xfrm>
                    <a:prstGeom prst="rect">
                      <a:avLst/>
                    </a:prstGeom>
                  </pic:spPr>
                </pic:pic>
              </a:graphicData>
            </a:graphic>
          </wp:anchor>
        </w:drawing>
      </w:r>
    </w:p>
    <w:p w14:paraId="55746D55">
      <w:pPr>
        <w:pStyle w:val="9"/>
        <w:spacing w:before="79"/>
        <w:ind w:left="0"/>
        <w:jc w:val="left"/>
        <w:rPr>
          <w:rFonts w:hint="eastAsia" w:eastAsia="宋体"/>
          <w:lang w:eastAsia="zh-CN"/>
        </w:rPr>
      </w:pPr>
      <w:r>
        <w:rPr>
          <w:rFonts w:hint="eastAsia" w:eastAsia="宋体"/>
          <w:lang w:eastAsia="zh-CN"/>
        </w:rPr>
        <w:drawing>
          <wp:inline distT="0" distB="0" distL="114300" distR="114300">
            <wp:extent cx="5143500" cy="2095500"/>
            <wp:effectExtent l="0" t="0" r="7620" b="7620"/>
            <wp:docPr id="144" name="图片 144" descr="5666a36fad8cc711c5d1c36cdab07a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descr="5666a36fad8cc711c5d1c36cdab07ac4"/>
                    <pic:cNvPicPr>
                      <a:picLocks noChangeAspect="1"/>
                    </pic:cNvPicPr>
                  </pic:nvPicPr>
                  <pic:blipFill>
                    <a:blip r:embed="rId10"/>
                    <a:stretch>
                      <a:fillRect/>
                    </a:stretch>
                  </pic:blipFill>
                  <pic:spPr>
                    <a:xfrm>
                      <a:off x="0" y="0"/>
                      <a:ext cx="5143500" cy="2095500"/>
                    </a:xfrm>
                    <a:prstGeom prst="rect">
                      <a:avLst/>
                    </a:prstGeom>
                  </pic:spPr>
                </pic:pic>
              </a:graphicData>
            </a:graphic>
          </wp:inline>
        </w:drawing>
      </w:r>
    </w:p>
    <w:p w14:paraId="55A70ACE">
      <w:pPr>
        <w:pStyle w:val="9"/>
        <w:spacing w:after="0"/>
        <w:rPr>
          <w:rFonts w:hint="eastAsia"/>
          <w:color w:val="231F20"/>
        </w:rPr>
      </w:pPr>
      <w:bookmarkStart w:id="7" w:name="_bookmark6"/>
      <w:bookmarkEnd w:id="7"/>
      <w:r>
        <w:rPr>
          <w:rFonts w:hint="eastAsia"/>
          <w:color w:val="231F20"/>
        </w:rPr>
        <w:t>The elements of this Timeline are familiar and easy to understand.</w:t>
      </w:r>
    </w:p>
    <w:p w14:paraId="38393D84">
      <w:pPr>
        <w:pStyle w:val="9"/>
        <w:spacing w:after="0"/>
        <w:rPr>
          <w:rFonts w:hint="eastAsia"/>
          <w:color w:val="231F20"/>
        </w:rPr>
      </w:pPr>
    </w:p>
    <w:p w14:paraId="3B0AFA58">
      <w:pPr>
        <w:pStyle w:val="9"/>
        <w:spacing w:after="0"/>
        <w:rPr>
          <w:rFonts w:hint="eastAsia"/>
          <w:color w:val="231F20"/>
        </w:rPr>
      </w:pPr>
      <w:r>
        <w:rPr>
          <w:rFonts w:hint="eastAsia"/>
          <w:color w:val="231F20"/>
        </w:rPr>
        <w:t>这个时间线的各个元素是人所熟悉且易于理解的。</w:t>
      </w:r>
    </w:p>
    <w:p w14:paraId="7C6A8A7C">
      <w:pPr>
        <w:pStyle w:val="9"/>
        <w:spacing w:after="0"/>
        <w:rPr>
          <w:rFonts w:hint="eastAsia"/>
          <w:color w:val="231F20"/>
        </w:rPr>
      </w:pPr>
    </w:p>
    <w:p w14:paraId="12D7BA26">
      <w:pPr>
        <w:pStyle w:val="9"/>
        <w:spacing w:after="0"/>
        <w:rPr>
          <w:rFonts w:hint="eastAsia"/>
          <w:color w:val="231F20"/>
        </w:rPr>
      </w:pPr>
      <w:r>
        <w:rPr>
          <w:rFonts w:hint="eastAsia"/>
          <w:color w:val="231F20"/>
        </w:rPr>
        <w:t>First comes Creation in six days, wherein God created a very good world, primarily as a habitation for the apple of his eye, the family of man.</w:t>
      </w:r>
    </w:p>
    <w:p w14:paraId="36C8CE45">
      <w:pPr>
        <w:pStyle w:val="9"/>
        <w:spacing w:after="0"/>
        <w:rPr>
          <w:rFonts w:hint="eastAsia"/>
          <w:color w:val="231F20"/>
        </w:rPr>
      </w:pPr>
    </w:p>
    <w:p w14:paraId="09F19C5C">
      <w:pPr>
        <w:pStyle w:val="9"/>
        <w:spacing w:after="0"/>
        <w:rPr>
          <w:rFonts w:hint="eastAsia"/>
          <w:color w:val="231F20"/>
        </w:rPr>
      </w:pPr>
      <w:r>
        <w:rPr>
          <w:rFonts w:hint="eastAsia"/>
          <w:color w:val="231F20"/>
        </w:rPr>
        <w:t>首先是六日的创造，其中神创造了一个甚好的世界，主要是作为祂眼中瞳人，即人类家庭的居所。</w:t>
      </w:r>
    </w:p>
    <w:p w14:paraId="4BF36384">
      <w:pPr>
        <w:pStyle w:val="9"/>
        <w:spacing w:after="0"/>
        <w:rPr>
          <w:rFonts w:hint="eastAsia"/>
          <w:color w:val="231F20"/>
        </w:rPr>
      </w:pPr>
    </w:p>
    <w:p w14:paraId="695BD30D">
      <w:pPr>
        <w:pStyle w:val="9"/>
        <w:spacing w:after="0"/>
        <w:rPr>
          <w:rFonts w:hint="eastAsia"/>
          <w:color w:val="231F20"/>
        </w:rPr>
      </w:pPr>
      <w:r>
        <w:rPr>
          <w:rFonts w:hint="eastAsia"/>
          <w:color w:val="231F20"/>
        </w:rPr>
        <w:t>Next comes Adam’s Probation in the Garden of Eden, a probation that he failed, resulting in the disastrous Fall of man and nature.</w:t>
      </w:r>
    </w:p>
    <w:p w14:paraId="03E5B39B">
      <w:pPr>
        <w:pStyle w:val="9"/>
        <w:spacing w:after="0"/>
        <w:rPr>
          <w:rFonts w:hint="eastAsia"/>
          <w:color w:val="231F20"/>
        </w:rPr>
      </w:pPr>
    </w:p>
    <w:p w14:paraId="59A9D9D2">
      <w:pPr>
        <w:pStyle w:val="9"/>
        <w:spacing w:after="0"/>
        <w:rPr>
          <w:rFonts w:hint="eastAsia"/>
          <w:color w:val="231F20"/>
        </w:rPr>
      </w:pPr>
      <w:r>
        <w:rPr>
          <w:rFonts w:hint="eastAsia"/>
          <w:color w:val="231F20"/>
        </w:rPr>
        <w:t>接着是亚当在伊甸园中的察验，他未能通过这个察验，导致了人类和自然的灾难性堕落。</w:t>
      </w:r>
    </w:p>
    <w:p w14:paraId="0D89AA29">
      <w:pPr>
        <w:pStyle w:val="9"/>
        <w:spacing w:after="0"/>
        <w:rPr>
          <w:rFonts w:hint="eastAsia"/>
          <w:color w:val="231F20"/>
        </w:rPr>
      </w:pPr>
    </w:p>
    <w:p w14:paraId="4FB4D8DA">
      <w:pPr>
        <w:pStyle w:val="9"/>
        <w:spacing w:after="0"/>
        <w:rPr>
          <w:rFonts w:hint="eastAsia"/>
          <w:color w:val="231F20"/>
        </w:rPr>
      </w:pPr>
      <w:r>
        <w:rPr>
          <w:rFonts w:hint="eastAsia"/>
          <w:color w:val="231F20"/>
        </w:rPr>
        <w:t>The Fall was twofold in its nature: away from all the goodness that God had in store for them, and into all manner of physical and spiritual evils, the worst of which was divine condemnation and the peril of hell.</w:t>
      </w:r>
    </w:p>
    <w:p w14:paraId="7E41159A">
      <w:pPr>
        <w:pStyle w:val="9"/>
        <w:spacing w:after="0"/>
        <w:rPr>
          <w:rFonts w:hint="eastAsia"/>
          <w:color w:val="231F20"/>
        </w:rPr>
      </w:pPr>
    </w:p>
    <w:p w14:paraId="2F0B934D">
      <w:pPr>
        <w:pStyle w:val="9"/>
        <w:spacing w:after="0"/>
        <w:rPr>
          <w:rFonts w:hint="eastAsia"/>
          <w:color w:val="231F20"/>
        </w:rPr>
      </w:pPr>
      <w:r>
        <w:rPr>
          <w:rFonts w:hint="eastAsia"/>
          <w:color w:val="231F20"/>
        </w:rPr>
        <w:t>这堕落的性质是双重的：一方面是远离了神为他们所存留的一切美善，另一方面是陷入了各样属肉体和属灵的邪恶中，其中最坏的就是神的定罪和地狱的危险。</w:t>
      </w:r>
    </w:p>
    <w:p w14:paraId="4DB42825">
      <w:pPr>
        <w:pStyle w:val="9"/>
        <w:spacing w:after="0"/>
        <w:rPr>
          <w:rFonts w:hint="eastAsia"/>
          <w:color w:val="231F20"/>
        </w:rPr>
      </w:pPr>
    </w:p>
    <w:p w14:paraId="6EF4676D">
      <w:pPr>
        <w:pStyle w:val="9"/>
        <w:spacing w:after="0"/>
        <w:rPr>
          <w:rFonts w:hint="eastAsia"/>
          <w:color w:val="231F20"/>
        </w:rPr>
      </w:pPr>
      <w:r>
        <w:rPr>
          <w:rFonts w:hint="eastAsia"/>
          <w:color w:val="231F20"/>
        </w:rPr>
        <w:t>Next comes a very lengthy Era of Promise and Preparation, an era described on the pages of the OT from Genesis 4 to Malachi 4.</w:t>
      </w:r>
    </w:p>
    <w:p w14:paraId="57217912">
      <w:pPr>
        <w:pStyle w:val="9"/>
        <w:spacing w:after="0"/>
        <w:rPr>
          <w:rFonts w:hint="eastAsia"/>
          <w:color w:val="231F20"/>
        </w:rPr>
      </w:pPr>
    </w:p>
    <w:p w14:paraId="093B2D93">
      <w:pPr>
        <w:pStyle w:val="9"/>
        <w:spacing w:after="0"/>
        <w:rPr>
          <w:rFonts w:hint="eastAsia"/>
          <w:color w:val="231F20"/>
        </w:rPr>
      </w:pPr>
      <w:r>
        <w:rPr>
          <w:rFonts w:hint="eastAsia"/>
          <w:color w:val="231F20"/>
        </w:rPr>
        <w:t>接下来是一个非常漫长的应许与预备的时代，这个时代记载于旧约从创世记第4章到玛拉基书第4章的书页中。</w:t>
      </w:r>
    </w:p>
    <w:p w14:paraId="7D4A2328">
      <w:pPr>
        <w:pStyle w:val="9"/>
        <w:spacing w:after="0"/>
        <w:rPr>
          <w:rFonts w:hint="eastAsia"/>
          <w:color w:val="231F20"/>
        </w:rPr>
      </w:pPr>
    </w:p>
    <w:p w14:paraId="2C203A41">
      <w:pPr>
        <w:pStyle w:val="9"/>
        <w:spacing w:after="0"/>
        <w:rPr>
          <w:rFonts w:hint="eastAsia"/>
          <w:color w:val="231F20"/>
        </w:rPr>
      </w:pPr>
      <w:r>
        <w:rPr>
          <w:rFonts w:hint="eastAsia"/>
          <w:color w:val="231F20"/>
        </w:rPr>
        <w:t>Here we find God continually promising, prefiguring, and preparing for his gracious gift of a Redeemer: a supreme Spirit-Anointed (Messianic) Prophet, Priest, and King; his only-begotten Son, the Lord Jesus Christ.</w:t>
      </w:r>
    </w:p>
    <w:p w14:paraId="5FA2DAC5">
      <w:pPr>
        <w:pStyle w:val="9"/>
        <w:spacing w:after="0"/>
        <w:rPr>
          <w:rFonts w:hint="eastAsia"/>
          <w:color w:val="231F20"/>
        </w:rPr>
      </w:pPr>
    </w:p>
    <w:p w14:paraId="77A8F14C">
      <w:pPr>
        <w:pStyle w:val="9"/>
        <w:spacing w:after="0"/>
        <w:rPr>
          <w:rFonts w:hint="eastAsia"/>
          <w:color w:val="231F20"/>
        </w:rPr>
      </w:pPr>
      <w:r>
        <w:rPr>
          <w:rFonts w:hint="eastAsia"/>
          <w:color w:val="231F20"/>
        </w:rPr>
        <w:t>在这里，我们发现神不断地应许、预表并预备着祂恩慈的恩赐，一位救赎主：一位至高的、受圣灵膏抹（弥赛亚的）的申言者、祭司和君王；祂的独生子，主耶稣基督。</w:t>
      </w:r>
    </w:p>
    <w:p w14:paraId="04172092">
      <w:pPr>
        <w:pStyle w:val="9"/>
        <w:spacing w:after="0"/>
        <w:rPr>
          <w:rFonts w:hint="eastAsia"/>
          <w:color w:val="231F20"/>
        </w:rPr>
      </w:pPr>
    </w:p>
    <w:p w14:paraId="11FCB321">
      <w:pPr>
        <w:pStyle w:val="9"/>
        <w:spacing w:after="0"/>
        <w:rPr>
          <w:rFonts w:hint="eastAsia"/>
          <w:color w:val="231F20"/>
        </w:rPr>
      </w:pPr>
      <w:r>
        <w:rPr>
          <w:rFonts w:hint="eastAsia"/>
          <w:color w:val="231F20"/>
        </w:rPr>
        <w:t>Finally, there comes the lengthy Era of Fulfillment.</w:t>
      </w:r>
    </w:p>
    <w:p w14:paraId="709FE6A6">
      <w:pPr>
        <w:pStyle w:val="9"/>
        <w:spacing w:after="0"/>
        <w:rPr>
          <w:rFonts w:hint="eastAsia"/>
          <w:color w:val="231F20"/>
        </w:rPr>
      </w:pPr>
    </w:p>
    <w:p w14:paraId="22F2F4C0">
      <w:pPr>
        <w:pStyle w:val="9"/>
        <w:spacing w:after="0"/>
        <w:rPr>
          <w:rFonts w:hint="eastAsia"/>
          <w:color w:val="231F20"/>
        </w:rPr>
      </w:pPr>
      <w:r>
        <w:rPr>
          <w:rFonts w:hint="eastAsia"/>
          <w:color w:val="231F20"/>
        </w:rPr>
        <w:t>最后，是漫长的成全时代。</w:t>
      </w:r>
    </w:p>
    <w:p w14:paraId="5980B1A1">
      <w:pPr>
        <w:pStyle w:val="9"/>
        <w:spacing w:after="0"/>
        <w:rPr>
          <w:rFonts w:hint="eastAsia"/>
          <w:color w:val="231F20"/>
        </w:rPr>
      </w:pPr>
    </w:p>
    <w:p w14:paraId="68E7BB39">
      <w:pPr>
        <w:pStyle w:val="9"/>
        <w:spacing w:after="0"/>
        <w:rPr>
          <w:rFonts w:hint="eastAsia"/>
          <w:color w:val="231F20"/>
        </w:rPr>
      </w:pPr>
      <w:r>
        <w:rPr>
          <w:rFonts w:hint="eastAsia"/>
          <w:color w:val="231F20"/>
        </w:rPr>
        <w:t>As the diagram indicates, this begins with the appearing of the incarnate Son of God in history and extends all the way into eternity future.</w:t>
      </w:r>
    </w:p>
    <w:p w14:paraId="38FC2A8D">
      <w:pPr>
        <w:pStyle w:val="9"/>
        <w:spacing w:after="0"/>
        <w:rPr>
          <w:rFonts w:hint="eastAsia"/>
          <w:color w:val="231F20"/>
        </w:rPr>
      </w:pPr>
    </w:p>
    <w:p w14:paraId="1865F328">
      <w:pPr>
        <w:pStyle w:val="9"/>
        <w:spacing w:after="0"/>
        <w:rPr>
          <w:rFonts w:hint="eastAsia"/>
          <w:color w:val="231F20"/>
        </w:rPr>
      </w:pPr>
      <w:r>
        <w:rPr>
          <w:rFonts w:hint="eastAsia"/>
          <w:color w:val="231F20"/>
        </w:rPr>
        <w:t>如图所示，这时代始于道成肉身的神子在历史中的显现，并一直延伸到未来的永恒。</w:t>
      </w:r>
    </w:p>
    <w:p w14:paraId="131E21DC">
      <w:pPr>
        <w:pStyle w:val="9"/>
        <w:spacing w:after="0"/>
        <w:rPr>
          <w:rFonts w:hint="eastAsia"/>
          <w:color w:val="231F20"/>
        </w:rPr>
      </w:pPr>
    </w:p>
    <w:p w14:paraId="2AD1FF8C">
      <w:pPr>
        <w:pStyle w:val="9"/>
        <w:spacing w:after="0"/>
        <w:rPr>
          <w:rFonts w:hint="eastAsia"/>
          <w:color w:val="231F20"/>
        </w:rPr>
      </w:pPr>
      <w:r>
        <w:rPr>
          <w:rFonts w:hint="eastAsia"/>
          <w:color w:val="231F20"/>
        </w:rPr>
        <w:t>Here, however, we come upon something most interesting: This era is not monolithic, but is comprised of at least two stages (many Christians posit more).</w:t>
      </w:r>
    </w:p>
    <w:p w14:paraId="7451DD27">
      <w:pPr>
        <w:pStyle w:val="9"/>
        <w:spacing w:after="0"/>
        <w:rPr>
          <w:rFonts w:hint="eastAsia"/>
          <w:color w:val="231F20"/>
        </w:rPr>
      </w:pPr>
    </w:p>
    <w:p w14:paraId="399681BB">
      <w:pPr>
        <w:pStyle w:val="9"/>
        <w:spacing w:after="0"/>
        <w:rPr>
          <w:rFonts w:hint="eastAsia"/>
          <w:color w:val="231F20"/>
        </w:rPr>
      </w:pPr>
      <w:r>
        <w:rPr>
          <w:rFonts w:hint="eastAsia"/>
          <w:color w:val="231F20"/>
        </w:rPr>
        <w:t>然而，在这里，我们发现了一件最有趣的事：这个时代并非浑然一体，而是由至少两个阶段组成（许多基督徒假定有更多阶段）。</w:t>
      </w:r>
    </w:p>
    <w:p w14:paraId="616260F9">
      <w:pPr>
        <w:pStyle w:val="9"/>
        <w:spacing w:after="0"/>
        <w:rPr>
          <w:rFonts w:hint="eastAsia"/>
          <w:color w:val="231F20"/>
        </w:rPr>
      </w:pPr>
    </w:p>
    <w:p w14:paraId="7D9C0688">
      <w:pPr>
        <w:pStyle w:val="9"/>
        <w:spacing w:after="0"/>
        <w:rPr>
          <w:rFonts w:hint="eastAsia"/>
          <w:color w:val="231F20"/>
        </w:rPr>
      </w:pPr>
      <w:r>
        <w:rPr>
          <w:rFonts w:hint="eastAsia"/>
          <w:color w:val="231F20"/>
        </w:rPr>
        <w:t>For though Christ has already appeared at the beginning of this era, he has yet to come again.</w:t>
      </w:r>
    </w:p>
    <w:p w14:paraId="559A8C53">
      <w:pPr>
        <w:pStyle w:val="9"/>
        <w:spacing w:after="0"/>
        <w:rPr>
          <w:rFonts w:hint="eastAsia"/>
          <w:color w:val="231F20"/>
        </w:rPr>
      </w:pPr>
    </w:p>
    <w:p w14:paraId="793C5CF2">
      <w:pPr>
        <w:pStyle w:val="9"/>
        <w:spacing w:after="0"/>
        <w:rPr>
          <w:rFonts w:hint="eastAsia"/>
          <w:color w:val="231F20"/>
        </w:rPr>
      </w:pPr>
      <w:r>
        <w:rPr>
          <w:rFonts w:hint="eastAsia"/>
          <w:color w:val="231F20"/>
        </w:rPr>
        <w:t>因为，尽管基督已在这时代的开端显现，祂却还要再来。</w:t>
      </w:r>
    </w:p>
    <w:p w14:paraId="0A96D57E">
      <w:pPr>
        <w:pStyle w:val="9"/>
        <w:spacing w:after="0"/>
        <w:rPr>
          <w:rFonts w:hint="eastAsia"/>
          <w:color w:val="231F20"/>
        </w:rPr>
      </w:pPr>
    </w:p>
    <w:p w14:paraId="01D8CD81">
      <w:pPr>
        <w:pStyle w:val="9"/>
        <w:spacing w:after="0"/>
        <w:rPr>
          <w:rFonts w:hint="eastAsia"/>
          <w:color w:val="231F20"/>
        </w:rPr>
      </w:pPr>
      <w:r>
        <w:rPr>
          <w:rFonts w:hint="eastAsia"/>
          <w:color w:val="231F20"/>
        </w:rPr>
        <w:t>He has, as it were, inaugurated the redemption of his people by living, dying, rising, and entering heaven for them, and then by sending the Spirit to live in them; but he still has not come again to perfect or complete their redemption by extending it to their physical bodies and their world.</w:t>
      </w:r>
    </w:p>
    <w:p w14:paraId="7A641F1E">
      <w:pPr>
        <w:pStyle w:val="9"/>
        <w:spacing w:after="0"/>
        <w:rPr>
          <w:rFonts w:hint="eastAsia"/>
          <w:color w:val="231F20"/>
        </w:rPr>
      </w:pPr>
    </w:p>
    <w:p w14:paraId="318765E7">
      <w:pPr>
        <w:pStyle w:val="9"/>
        <w:spacing w:after="0"/>
        <w:rPr>
          <w:rFonts w:hint="eastAsia"/>
          <w:color w:val="231F20"/>
        </w:rPr>
      </w:pPr>
      <w:r>
        <w:rPr>
          <w:rFonts w:hint="eastAsia"/>
          <w:color w:val="231F20"/>
        </w:rPr>
        <w:t>祂，可以说是，借着为祂的子民活、死、复活并进入高天，然后差遣圣灵住在他们里面，而开启了对他们的救赎；但祂仍未再来，将这救赎延及他们的肉身和他们的世界，以使其完美或完成。</w:t>
      </w:r>
    </w:p>
    <w:p w14:paraId="726B4814">
      <w:pPr>
        <w:pStyle w:val="9"/>
        <w:spacing w:after="0"/>
        <w:rPr>
          <w:rFonts w:hint="eastAsia"/>
          <w:color w:val="231F20"/>
        </w:rPr>
      </w:pPr>
    </w:p>
    <w:p w14:paraId="35847B63">
      <w:pPr>
        <w:pStyle w:val="9"/>
        <w:spacing w:after="0"/>
        <w:rPr>
          <w:rFonts w:hint="eastAsia"/>
          <w:color w:val="231F20"/>
        </w:rPr>
      </w:pPr>
      <w:r>
        <w:rPr>
          <w:rFonts w:hint="eastAsia"/>
          <w:color w:val="231F20"/>
        </w:rPr>
        <w:t>And so, with eager expectation, the saints wait.</w:t>
      </w:r>
    </w:p>
    <w:p w14:paraId="14D68EB3">
      <w:pPr>
        <w:pStyle w:val="9"/>
        <w:spacing w:after="0"/>
        <w:rPr>
          <w:rFonts w:hint="eastAsia"/>
          <w:color w:val="231F20"/>
        </w:rPr>
      </w:pPr>
    </w:p>
    <w:p w14:paraId="7ED2136D">
      <w:pPr>
        <w:pStyle w:val="9"/>
        <w:spacing w:after="0"/>
        <w:rPr>
          <w:rFonts w:hint="eastAsia"/>
          <w:color w:val="231F20"/>
        </w:rPr>
      </w:pPr>
      <w:r>
        <w:rPr>
          <w:rFonts w:hint="eastAsia"/>
          <w:color w:val="231F20"/>
        </w:rPr>
        <w:t>因此，圣徒们怀着热切的期盼等候着。</w:t>
      </w:r>
    </w:p>
    <w:p w14:paraId="779E6314">
      <w:pPr>
        <w:pStyle w:val="9"/>
        <w:spacing w:after="0"/>
        <w:rPr>
          <w:rFonts w:hint="eastAsia"/>
          <w:color w:val="231F20"/>
        </w:rPr>
      </w:pPr>
    </w:p>
    <w:p w14:paraId="463BAEB9">
      <w:pPr>
        <w:pStyle w:val="9"/>
        <w:spacing w:after="0"/>
        <w:rPr>
          <w:rFonts w:hint="eastAsia"/>
          <w:color w:val="231F20"/>
        </w:rPr>
      </w:pPr>
      <w:r>
        <w:rPr>
          <w:rFonts w:hint="eastAsia"/>
          <w:color w:val="231F20"/>
        </w:rPr>
        <w:t>Earlier I stated that for many modern Christians eschatology has primarily to do with the Consummation, with the spectrum of events yet to occur near and at Christ’s second coming.</w:t>
      </w:r>
    </w:p>
    <w:p w14:paraId="27600B90">
      <w:pPr>
        <w:pStyle w:val="9"/>
        <w:spacing w:after="0"/>
        <w:rPr>
          <w:rFonts w:hint="eastAsia"/>
          <w:color w:val="231F20"/>
        </w:rPr>
      </w:pPr>
    </w:p>
    <w:p w14:paraId="3F3146A4">
      <w:pPr>
        <w:pStyle w:val="9"/>
        <w:spacing w:after="0"/>
        <w:rPr>
          <w:rFonts w:hint="eastAsia"/>
          <w:color w:val="231F20"/>
        </w:rPr>
      </w:pPr>
      <w:r>
        <w:rPr>
          <w:rFonts w:hint="eastAsia"/>
          <w:color w:val="231F20"/>
        </w:rPr>
        <w:t>早些时候我曾说过，对许多现代基督徒而言，末世论主要关乎最终的成全，即关乎在基督第二次降临之时及前后将要发生的一系列事件。</w:t>
      </w:r>
    </w:p>
    <w:p w14:paraId="225D69D5">
      <w:pPr>
        <w:pStyle w:val="9"/>
        <w:spacing w:after="0"/>
        <w:rPr>
          <w:rFonts w:hint="eastAsia"/>
          <w:color w:val="231F20"/>
        </w:rPr>
      </w:pPr>
    </w:p>
    <w:p w14:paraId="173CA001">
      <w:pPr>
        <w:pStyle w:val="9"/>
        <w:spacing w:after="0"/>
        <w:rPr>
          <w:rFonts w:hint="eastAsia"/>
          <w:color w:val="231F20"/>
        </w:rPr>
      </w:pPr>
      <w:r>
        <w:rPr>
          <w:rFonts w:hint="eastAsia"/>
          <w:color w:val="231F20"/>
        </w:rPr>
        <w:t>However, in our Beginner’s Timeline of Salvation History we now see that eschatology actually deals with something far bigger: It deals with the entire Era of Fulfillment inaugurated by the first coming Christ.</w:t>
      </w:r>
    </w:p>
    <w:p w14:paraId="1BF1FC74">
      <w:pPr>
        <w:pStyle w:val="9"/>
        <w:spacing w:after="0"/>
        <w:rPr>
          <w:rFonts w:hint="eastAsia"/>
          <w:color w:val="231F20"/>
        </w:rPr>
      </w:pPr>
    </w:p>
    <w:p w14:paraId="13533A48">
      <w:pPr>
        <w:pStyle w:val="9"/>
        <w:spacing w:after="0"/>
        <w:rPr>
          <w:rFonts w:hint="eastAsia"/>
          <w:color w:val="231F20"/>
        </w:rPr>
      </w:pPr>
      <w:r>
        <w:rPr>
          <w:rFonts w:hint="eastAsia"/>
          <w:color w:val="231F20"/>
        </w:rPr>
        <w:t>然而，在我们这个救赎历史入门版的时间线中，我们现在看到，末世论实际上处理的是一个远为宏大的事物：它处理的是由基督第一次降临所开启的整个成全时代。</w:t>
      </w:r>
    </w:p>
    <w:p w14:paraId="2B7E8FA5">
      <w:pPr>
        <w:pStyle w:val="9"/>
        <w:spacing w:after="0"/>
        <w:rPr>
          <w:rFonts w:hint="eastAsia"/>
          <w:color w:val="231F20"/>
        </w:rPr>
      </w:pPr>
    </w:p>
    <w:p w14:paraId="63065753">
      <w:pPr>
        <w:pStyle w:val="9"/>
        <w:spacing w:after="0"/>
        <w:rPr>
          <w:rFonts w:hint="eastAsia"/>
          <w:color w:val="231F20"/>
        </w:rPr>
      </w:pPr>
      <w:r>
        <w:rPr>
          <w:rFonts w:hint="eastAsia"/>
          <w:color w:val="231F20"/>
        </w:rPr>
        <w:t>Why do I say this?</w:t>
      </w:r>
    </w:p>
    <w:p w14:paraId="0119DC70">
      <w:pPr>
        <w:pStyle w:val="9"/>
        <w:spacing w:after="0"/>
        <w:rPr>
          <w:rFonts w:hint="eastAsia"/>
          <w:color w:val="231F20"/>
        </w:rPr>
      </w:pPr>
    </w:p>
    <w:p w14:paraId="3DB6A284">
      <w:pPr>
        <w:pStyle w:val="9"/>
        <w:spacing w:after="0"/>
        <w:rPr>
          <w:rFonts w:hint="eastAsia"/>
          <w:color w:val="231F20"/>
        </w:rPr>
      </w:pPr>
      <w:r>
        <w:rPr>
          <w:rFonts w:hint="eastAsia"/>
          <w:color w:val="231F20"/>
        </w:rPr>
        <w:t>我为什么这么说？</w:t>
      </w:r>
    </w:p>
    <w:p w14:paraId="675B622E">
      <w:pPr>
        <w:pStyle w:val="9"/>
        <w:spacing w:after="0"/>
        <w:rPr>
          <w:rFonts w:hint="eastAsia"/>
          <w:color w:val="231F20"/>
        </w:rPr>
      </w:pPr>
    </w:p>
    <w:p w14:paraId="52494643">
      <w:pPr>
        <w:pStyle w:val="9"/>
        <w:spacing w:after="0"/>
        <w:rPr>
          <w:rFonts w:hint="eastAsia"/>
          <w:color w:val="231F20"/>
        </w:rPr>
      </w:pPr>
      <w:r>
        <w:rPr>
          <w:rFonts w:hint="eastAsia"/>
          <w:color w:val="231F20"/>
        </w:rPr>
        <w:t>In large part, I say it because of an important biblical phrase that appears over and again, both in the pages of the Old Testament and the New.</w:t>
      </w:r>
    </w:p>
    <w:p w14:paraId="676283AF">
      <w:pPr>
        <w:pStyle w:val="9"/>
        <w:spacing w:after="0"/>
        <w:rPr>
          <w:rFonts w:hint="eastAsia"/>
          <w:color w:val="231F20"/>
        </w:rPr>
      </w:pPr>
    </w:p>
    <w:p w14:paraId="5CC07CB0">
      <w:pPr>
        <w:pStyle w:val="9"/>
        <w:spacing w:after="0"/>
        <w:rPr>
          <w:rFonts w:hint="eastAsia"/>
          <w:color w:val="231F20"/>
        </w:rPr>
      </w:pPr>
      <w:r>
        <w:rPr>
          <w:rFonts w:hint="eastAsia"/>
          <w:color w:val="231F20"/>
        </w:rPr>
        <w:t>很大程度上，我这么说是因为一个重要的圣经词组，它在旧约和新约的书页中反复出现。</w:t>
      </w:r>
    </w:p>
    <w:p w14:paraId="7F4481CB">
      <w:pPr>
        <w:pStyle w:val="9"/>
        <w:spacing w:after="0"/>
        <w:rPr>
          <w:rFonts w:hint="eastAsia"/>
          <w:color w:val="231F20"/>
        </w:rPr>
      </w:pPr>
    </w:p>
    <w:p w14:paraId="6B2DCCC0">
      <w:pPr>
        <w:pStyle w:val="9"/>
        <w:spacing w:after="0"/>
        <w:rPr>
          <w:rFonts w:hint="eastAsia"/>
          <w:color w:val="231F20"/>
        </w:rPr>
      </w:pPr>
      <w:r>
        <w:rPr>
          <w:rFonts w:hint="eastAsia"/>
          <w:color w:val="231F20"/>
        </w:rPr>
        <w:t>That expression is the last days or the latter-days.</w:t>
      </w:r>
    </w:p>
    <w:p w14:paraId="27C8C80F">
      <w:pPr>
        <w:pStyle w:val="9"/>
        <w:spacing w:after="0"/>
        <w:rPr>
          <w:rFonts w:hint="eastAsia"/>
          <w:color w:val="231F20"/>
        </w:rPr>
      </w:pPr>
    </w:p>
    <w:p w14:paraId="51DDBFB2">
      <w:pPr>
        <w:pStyle w:val="9"/>
        <w:spacing w:after="0"/>
        <w:rPr>
          <w:rFonts w:hint="eastAsia"/>
          <w:color w:val="231F20"/>
        </w:rPr>
      </w:pPr>
      <w:r>
        <w:rPr>
          <w:rFonts w:hint="eastAsia"/>
          <w:color w:val="231F20"/>
        </w:rPr>
        <w:t>那个表述就是“末后的日子”或“末后的日子”。</w:t>
      </w:r>
    </w:p>
    <w:p w14:paraId="79151D4D">
      <w:pPr>
        <w:pStyle w:val="9"/>
        <w:spacing w:after="0"/>
        <w:rPr>
          <w:rFonts w:hint="eastAsia"/>
          <w:color w:val="231F20"/>
        </w:rPr>
      </w:pPr>
    </w:p>
    <w:p w14:paraId="3419E350">
      <w:pPr>
        <w:pStyle w:val="9"/>
        <w:spacing w:after="0"/>
        <w:rPr>
          <w:rFonts w:hint="eastAsia"/>
          <w:color w:val="231F20"/>
        </w:rPr>
      </w:pPr>
      <w:r>
        <w:rPr>
          <w:rFonts w:hint="eastAsia"/>
          <w:color w:val="231F20"/>
        </w:rPr>
        <w:t>As we shall see later, for the OT prophets the last days were the days in which God would send his Messiah; the days in which he would redeem his people; the days in which he would pour out his Spirit; the days in which he would roll back the effects of the curse; the days in which he would rule and reign over the nations, and bring in a whole new world characterized by justice, health, peace, prosperity, and the universal knowledge of the glory of God (Isaiah 2:2, Micah 4:1f, Jer. 48:47, 49:39, Dan. 2:28, Hosea 3:5).</w:t>
      </w:r>
    </w:p>
    <w:p w14:paraId="5C2903DE">
      <w:pPr>
        <w:pStyle w:val="9"/>
        <w:spacing w:after="0"/>
        <w:rPr>
          <w:rFonts w:hint="eastAsia"/>
          <w:color w:val="231F20"/>
        </w:rPr>
      </w:pPr>
    </w:p>
    <w:p w14:paraId="78FB7389">
      <w:pPr>
        <w:pStyle w:val="9"/>
        <w:spacing w:after="0"/>
        <w:rPr>
          <w:rFonts w:hint="eastAsia"/>
          <w:color w:val="231F20"/>
        </w:rPr>
      </w:pPr>
      <w:r>
        <w:rPr>
          <w:rFonts w:hint="eastAsia"/>
          <w:color w:val="231F20"/>
        </w:rPr>
        <w:t>我们稍后会看到，对旧约的申言者来说，“末后的日子”是神要差遣祂的弥赛亚的日子；是祂要救赎祂子民的日子；是祂要浇灌祂的灵的日子；是祂要扭转咒诅之果效的日子；是祂要统治并掌管万国，并带来一个以公义、健康、和平、繁荣及普世都认识神荣耀为特征之全新世界的日子（以赛亚书 2:2, 弥迦书 4:1及以下, 耶利米书 48:47, 49:39, 但以理书 2:28, 何西阿书 3:5）。</w:t>
      </w:r>
    </w:p>
    <w:p w14:paraId="5623C771">
      <w:pPr>
        <w:pStyle w:val="9"/>
        <w:spacing w:after="0"/>
        <w:rPr>
          <w:rFonts w:hint="eastAsia"/>
          <w:color w:val="231F20"/>
        </w:rPr>
      </w:pPr>
    </w:p>
    <w:p w14:paraId="72016AB7">
      <w:pPr>
        <w:pStyle w:val="9"/>
        <w:spacing w:after="0"/>
        <w:rPr>
          <w:rFonts w:hint="eastAsia"/>
          <w:color w:val="231F20"/>
        </w:rPr>
      </w:pPr>
      <w:r>
        <w:rPr>
          <w:rFonts w:hint="eastAsia"/>
          <w:color w:val="231F20"/>
        </w:rPr>
        <w:t>When, however, we step onto NT ground, we find to our amazement that the disciples are no longer looking forward to these things, or at least not in the same way that their OT forefathers did.</w:t>
      </w:r>
    </w:p>
    <w:p w14:paraId="199B1922">
      <w:pPr>
        <w:pStyle w:val="9"/>
        <w:spacing w:after="0"/>
        <w:rPr>
          <w:rFonts w:hint="eastAsia"/>
          <w:color w:val="231F20"/>
        </w:rPr>
      </w:pPr>
    </w:p>
    <w:p w14:paraId="14F2CAEB">
      <w:pPr>
        <w:pStyle w:val="9"/>
        <w:spacing w:after="0"/>
        <w:rPr>
          <w:rFonts w:hint="eastAsia"/>
          <w:color w:val="231F20"/>
        </w:rPr>
      </w:pPr>
      <w:r>
        <w:rPr>
          <w:rFonts w:hint="eastAsia"/>
          <w:color w:val="231F20"/>
        </w:rPr>
        <w:t>然而，当我们踏入新约的领域时，我们惊奇地发现，门徒们不再期盼这些事了，或者至少不像他们的旧约先祖那样期盼了。</w:t>
      </w:r>
    </w:p>
    <w:p w14:paraId="4328BFE4">
      <w:pPr>
        <w:pStyle w:val="9"/>
        <w:spacing w:after="0"/>
        <w:rPr>
          <w:rFonts w:hint="eastAsia"/>
          <w:color w:val="231F20"/>
        </w:rPr>
      </w:pPr>
    </w:p>
    <w:p w14:paraId="230B6C53">
      <w:pPr>
        <w:pStyle w:val="9"/>
        <w:spacing w:after="0"/>
        <w:rPr>
          <w:rFonts w:hint="eastAsia"/>
          <w:color w:val="231F20"/>
        </w:rPr>
      </w:pPr>
      <w:r>
        <w:rPr>
          <w:rFonts w:hint="eastAsia"/>
          <w:color w:val="231F20"/>
        </w:rPr>
        <w:t>For even now—prior to Christ’s return and the consummation of their redemption—they affirm that they are living in the last days.</w:t>
      </w:r>
    </w:p>
    <w:p w14:paraId="289D6ABC">
      <w:pPr>
        <w:pStyle w:val="9"/>
        <w:spacing w:after="0"/>
        <w:rPr>
          <w:rFonts w:hint="eastAsia"/>
          <w:color w:val="231F20"/>
        </w:rPr>
      </w:pPr>
    </w:p>
    <w:p w14:paraId="1A1DC896">
      <w:pPr>
        <w:pStyle w:val="9"/>
        <w:spacing w:after="0"/>
        <w:rPr>
          <w:rFonts w:hint="eastAsia"/>
          <w:color w:val="231F20"/>
        </w:rPr>
      </w:pPr>
      <w:r>
        <w:rPr>
          <w:rFonts w:hint="eastAsia"/>
          <w:color w:val="231F20"/>
        </w:rPr>
        <w:t>因为即使是现在——在基督再来和他们救赎得以成全之前——他们也确认自己正活在“末后的日子”里。</w:t>
      </w:r>
    </w:p>
    <w:p w14:paraId="64106728">
      <w:pPr>
        <w:pStyle w:val="9"/>
        <w:spacing w:after="0"/>
        <w:rPr>
          <w:rFonts w:hint="eastAsia"/>
          <w:color w:val="231F20"/>
        </w:rPr>
      </w:pPr>
    </w:p>
    <w:p w14:paraId="4DEAB719">
      <w:pPr>
        <w:pStyle w:val="9"/>
        <w:spacing w:after="0"/>
        <w:rPr>
          <w:rFonts w:hint="eastAsia"/>
          <w:color w:val="231F20"/>
        </w:rPr>
      </w:pPr>
      <w:r>
        <w:rPr>
          <w:rFonts w:hint="eastAsia"/>
          <w:color w:val="231F20"/>
        </w:rPr>
        <w:t>Peter, for example, seeking to explain to his Jewish brethren the spiritual fireworks of the Day of Pentecost, declares, “This is that which was spoken through the prophet Joel, ‘And it shall be in the last days,’ says God, ‘that I will pour forth of My Spirit upon all flesh …’ ” (Acts 2:16-17).</w:t>
      </w:r>
    </w:p>
    <w:p w14:paraId="61CDBD78">
      <w:pPr>
        <w:pStyle w:val="9"/>
        <w:spacing w:after="0"/>
        <w:rPr>
          <w:rFonts w:hint="eastAsia"/>
          <w:color w:val="231F20"/>
        </w:rPr>
      </w:pPr>
    </w:p>
    <w:p w14:paraId="24EFE031">
      <w:pPr>
        <w:pStyle w:val="9"/>
        <w:spacing w:after="0"/>
        <w:rPr>
          <w:rFonts w:hint="eastAsia"/>
          <w:color w:val="231F20"/>
        </w:rPr>
      </w:pPr>
      <w:r>
        <w:rPr>
          <w:rFonts w:hint="eastAsia"/>
          <w:color w:val="231F20"/>
        </w:rPr>
        <w:t>例如，彼得在试图向他的犹太弟兄解释五旬节那天的属灵盛况时，宣告说：“这正是借着申言者约珥所说的：‘神说，在末后的日子，我要将我的灵浇灌凡有血气的……’”（使徒行传 2:16-17）。</w:t>
      </w:r>
    </w:p>
    <w:p w14:paraId="19218563">
      <w:pPr>
        <w:pStyle w:val="9"/>
        <w:spacing w:after="0"/>
        <w:rPr>
          <w:rFonts w:hint="eastAsia"/>
          <w:color w:val="231F20"/>
        </w:rPr>
      </w:pPr>
    </w:p>
    <w:p w14:paraId="75757542">
      <w:pPr>
        <w:pStyle w:val="9"/>
        <w:spacing w:after="0"/>
        <w:rPr>
          <w:rFonts w:hint="eastAsia"/>
          <w:color w:val="231F20"/>
        </w:rPr>
      </w:pPr>
      <w:r>
        <w:rPr>
          <w:rFonts w:hint="eastAsia"/>
          <w:color w:val="231F20"/>
        </w:rPr>
        <w:t>Similarly, the writer to the Hebrews opens his letter by saying, “God, having spoken in times past to the fathers in the prophets in many portions and in many ways, has, in these last days, spoken to us by his Son …” (Heb. 1:1-2; cf., 2 Tim. 3:1, 2 Peter 3:3).</w:t>
      </w:r>
    </w:p>
    <w:p w14:paraId="795AA784">
      <w:pPr>
        <w:pStyle w:val="9"/>
        <w:spacing w:after="0"/>
        <w:rPr>
          <w:rFonts w:hint="eastAsia"/>
          <w:color w:val="231F20"/>
        </w:rPr>
      </w:pPr>
    </w:p>
    <w:p w14:paraId="005E3F0F">
      <w:pPr>
        <w:pStyle w:val="9"/>
        <w:spacing w:after="0"/>
        <w:rPr>
          <w:rFonts w:hint="eastAsia"/>
          <w:color w:val="231F20"/>
        </w:rPr>
      </w:pPr>
      <w:r>
        <w:rPr>
          <w:rFonts w:hint="eastAsia"/>
          <w:color w:val="231F20"/>
        </w:rPr>
        <w:t>同样地，希伯来书的作者在信的开头说：“神既在古时借着众申言者，多分多方向列祖说话，就在这末后的日子，借着祂儿子向我们说话……”（希伯来书 1:1-2；参提摩太后书 3:1，彼得后书 3:3）。</w:t>
      </w:r>
    </w:p>
    <w:p w14:paraId="102C9149">
      <w:pPr>
        <w:pStyle w:val="9"/>
        <w:spacing w:after="0"/>
        <w:rPr>
          <w:rFonts w:hint="eastAsia"/>
          <w:color w:val="231F20"/>
        </w:rPr>
      </w:pPr>
    </w:p>
    <w:p w14:paraId="03C26794">
      <w:pPr>
        <w:pStyle w:val="9"/>
        <w:spacing w:after="0"/>
        <w:rPr>
          <w:rFonts w:hint="eastAsia"/>
          <w:color w:val="231F20"/>
        </w:rPr>
      </w:pPr>
      <w:r>
        <w:rPr>
          <w:rFonts w:hint="eastAsia"/>
          <w:color w:val="231F20"/>
        </w:rPr>
        <w:t>So then, now that Christ has entered the world—and now that the saints are beginning to experience his redemptive blessings—believers are living in the last days; they are experiencing—if only in a measure—the last things, the specifically redemptive things promised by the prophets of old.</w:t>
      </w:r>
    </w:p>
    <w:p w14:paraId="368C7E83">
      <w:pPr>
        <w:pStyle w:val="9"/>
        <w:spacing w:after="0"/>
        <w:rPr>
          <w:rFonts w:hint="eastAsia"/>
          <w:color w:val="231F20"/>
        </w:rPr>
      </w:pPr>
    </w:p>
    <w:p w14:paraId="2E6D4C29">
      <w:pPr>
        <w:pStyle w:val="9"/>
        <w:spacing w:after="0"/>
        <w:rPr>
          <w:rFonts w:hint="eastAsia"/>
          <w:color w:val="231F20"/>
        </w:rPr>
      </w:pPr>
      <w:r>
        <w:rPr>
          <w:rFonts w:hint="eastAsia"/>
          <w:color w:val="231F20"/>
        </w:rPr>
        <w:t>那么，既然基督已经进入世界——既然圣徒们正开始经历祂救赎的祝福——信徒们就正活在“末后的日子”里；他们正在经历——即使只是在某种程度上——“末后之事”，即古时申言者所应许的那些特定的救赎之事。</w:t>
      </w:r>
    </w:p>
    <w:p w14:paraId="30FC39BC">
      <w:pPr>
        <w:pStyle w:val="9"/>
        <w:spacing w:after="0"/>
        <w:rPr>
          <w:rFonts w:hint="eastAsia"/>
          <w:color w:val="231F20"/>
        </w:rPr>
      </w:pPr>
    </w:p>
    <w:p w14:paraId="7F89D790">
      <w:pPr>
        <w:pStyle w:val="9"/>
        <w:spacing w:after="0"/>
        <w:rPr>
          <w:rFonts w:hint="eastAsia"/>
          <w:color w:val="231F20"/>
        </w:rPr>
      </w:pPr>
      <w:r>
        <w:rPr>
          <w:rFonts w:hint="eastAsia"/>
          <w:color w:val="231F20"/>
        </w:rPr>
        <w:t>Again, this means that the true subject matter of biblical eschatology is the entire Era of Fulfillment inaugurated by Christ’s first coming into the world.</w:t>
      </w:r>
    </w:p>
    <w:p w14:paraId="2210E309">
      <w:pPr>
        <w:pStyle w:val="9"/>
        <w:spacing w:after="0"/>
        <w:rPr>
          <w:rFonts w:hint="eastAsia"/>
          <w:color w:val="231F20"/>
        </w:rPr>
      </w:pPr>
    </w:p>
    <w:p w14:paraId="396E1692">
      <w:pPr>
        <w:pStyle w:val="9"/>
        <w:spacing w:after="0"/>
        <w:rPr>
          <w:rFonts w:hint="eastAsia"/>
          <w:color w:val="231F20"/>
        </w:rPr>
      </w:pPr>
      <w:r>
        <w:rPr>
          <w:rFonts w:hint="eastAsia"/>
          <w:color w:val="231F20"/>
        </w:rPr>
        <w:t>再次强调，这意味着圣经末世论的真正主题，是由基督第一次进入世界所开启的整个成全时代。</w:t>
      </w:r>
    </w:p>
    <w:p w14:paraId="2A67DE3D">
      <w:pPr>
        <w:pStyle w:val="9"/>
        <w:spacing w:after="0"/>
        <w:rPr>
          <w:rFonts w:hint="eastAsia"/>
          <w:color w:val="231F20"/>
        </w:rPr>
      </w:pPr>
    </w:p>
    <w:p w14:paraId="7757B630">
      <w:pPr>
        <w:pStyle w:val="9"/>
        <w:spacing w:after="0"/>
        <w:rPr>
          <w:rFonts w:hint="eastAsia"/>
          <w:color w:val="231F20"/>
        </w:rPr>
      </w:pPr>
      <w:r>
        <w:rPr>
          <w:rFonts w:hint="eastAsia"/>
          <w:color w:val="231F20"/>
        </w:rPr>
        <w:t>Here then is my best shot at a rigorous definition of biblical (or cosmic) eschatology.</w:t>
      </w:r>
    </w:p>
    <w:p w14:paraId="517F8C9D">
      <w:pPr>
        <w:pStyle w:val="9"/>
        <w:spacing w:after="0"/>
        <w:rPr>
          <w:rFonts w:hint="eastAsia"/>
          <w:color w:val="231F20"/>
        </w:rPr>
      </w:pPr>
    </w:p>
    <w:p w14:paraId="41DF086F">
      <w:pPr>
        <w:pStyle w:val="9"/>
        <w:spacing w:after="0"/>
        <w:rPr>
          <w:rFonts w:hint="eastAsia"/>
          <w:color w:val="231F20"/>
        </w:rPr>
      </w:pPr>
      <w:r>
        <w:rPr>
          <w:rFonts w:hint="eastAsia"/>
          <w:color w:val="231F20"/>
        </w:rPr>
        <w:t>那么，这里是我对圣经（或宇宙）末世论所能给出的最严谨的定义。</w:t>
      </w:r>
    </w:p>
    <w:p w14:paraId="46FD082C">
      <w:pPr>
        <w:pStyle w:val="9"/>
        <w:spacing w:after="0"/>
        <w:rPr>
          <w:rFonts w:hint="eastAsia"/>
          <w:color w:val="231F20"/>
        </w:rPr>
      </w:pPr>
    </w:p>
    <w:p w14:paraId="4DB5F329">
      <w:pPr>
        <w:pStyle w:val="9"/>
        <w:spacing w:after="0"/>
        <w:rPr>
          <w:rFonts w:hint="eastAsia"/>
          <w:color w:val="231F20"/>
        </w:rPr>
      </w:pPr>
      <w:r>
        <w:rPr>
          <w:rFonts w:hint="eastAsia"/>
          <w:color w:val="231F20"/>
        </w:rPr>
        <w:t>Biblical Eschatology is the study of the last days, the days of the Era of Fulfillment, the days in which the Son of God fulfills God’s eternal plan and manifold OT promises by entering history and accomplishing the redemption of a whole new world in Christ over the course of this Era and at its consummation.</w:t>
      </w:r>
    </w:p>
    <w:p w14:paraId="72590C9C">
      <w:pPr>
        <w:pStyle w:val="9"/>
        <w:spacing w:after="0"/>
        <w:rPr>
          <w:rFonts w:hint="eastAsia"/>
          <w:color w:val="231F20"/>
        </w:rPr>
      </w:pPr>
    </w:p>
    <w:p w14:paraId="3EE333AD">
      <w:pPr>
        <w:pStyle w:val="9"/>
        <w:spacing w:after="0"/>
        <w:rPr>
          <w:rFonts w:hint="eastAsia"/>
          <w:color w:val="231F20"/>
        </w:rPr>
      </w:pPr>
      <w:r>
        <w:rPr>
          <w:rFonts w:hint="eastAsia"/>
          <w:color w:val="231F20"/>
        </w:rPr>
        <w:t>圣经末世论是对末后日子的研究，即成全时代的那些日子，在这些日子里，神的儿子借着进入历史，并在这一时代的过程中及其最终成全时，在基督里完成对一个全新世界的救赎，从而成全了神永恒的计划和旧约中诸多的应许。</w:t>
      </w:r>
    </w:p>
    <w:p w14:paraId="6D7F410E">
      <w:pPr>
        <w:pStyle w:val="9"/>
        <w:spacing w:after="0"/>
        <w:rPr>
          <w:rFonts w:hint="eastAsia"/>
          <w:color w:val="231F20"/>
        </w:rPr>
      </w:pPr>
    </w:p>
    <w:p w14:paraId="7361D4D8">
      <w:pPr>
        <w:pStyle w:val="9"/>
        <w:spacing w:after="0"/>
        <w:rPr>
          <w:rFonts w:hint="eastAsia"/>
          <w:color w:val="231F20"/>
        </w:rPr>
      </w:pPr>
      <w:r>
        <w:rPr>
          <w:rFonts w:hint="eastAsia"/>
          <w:color w:val="231F20"/>
        </w:rPr>
        <w:t>Now we are ready to proceed.</w:t>
      </w:r>
    </w:p>
    <w:p w14:paraId="2A84724E">
      <w:pPr>
        <w:pStyle w:val="9"/>
        <w:spacing w:after="0"/>
        <w:rPr>
          <w:rFonts w:hint="eastAsia"/>
          <w:color w:val="231F20"/>
        </w:rPr>
      </w:pPr>
    </w:p>
    <w:p w14:paraId="443EF2D6">
      <w:pPr>
        <w:pStyle w:val="9"/>
        <w:spacing w:after="0"/>
        <w:rPr>
          <w:rFonts w:hint="eastAsia"/>
          <w:color w:val="231F20"/>
        </w:rPr>
      </w:pPr>
      <w:r>
        <w:rPr>
          <w:rFonts w:hint="eastAsia"/>
          <w:color w:val="231F20"/>
        </w:rPr>
        <w:t>现在我们准备好继续前行了。</w:t>
      </w:r>
    </w:p>
    <w:p w14:paraId="7858D4EB">
      <w:pPr>
        <w:pStyle w:val="9"/>
        <w:spacing w:after="0"/>
        <w:rPr>
          <w:rFonts w:hint="eastAsia"/>
          <w:color w:val="231F20"/>
        </w:rPr>
      </w:pPr>
    </w:p>
    <w:p w14:paraId="0E2610BF">
      <w:pPr>
        <w:pStyle w:val="9"/>
        <w:spacing w:after="0"/>
        <w:rPr>
          <w:rFonts w:hint="eastAsia"/>
          <w:color w:val="231F20"/>
        </w:rPr>
      </w:pPr>
      <w:r>
        <w:rPr>
          <w:rFonts w:hint="eastAsia"/>
          <w:color w:val="231F20"/>
        </w:rPr>
        <w:t>Now the great goal of our journey is before us: to discern from the pages of Scripture the true shape of the Era of Fulfillment; and, having discerned it, to arrive at an accurate and reasonably detailed picture of the entire course of Salvation History.</w:t>
      </w:r>
    </w:p>
    <w:p w14:paraId="33BFB967">
      <w:pPr>
        <w:pStyle w:val="9"/>
        <w:spacing w:after="0"/>
        <w:rPr>
          <w:rFonts w:hint="eastAsia"/>
          <w:color w:val="231F20"/>
        </w:rPr>
      </w:pPr>
    </w:p>
    <w:p w14:paraId="03B5D293">
      <w:pPr>
        <w:pStyle w:val="9"/>
        <w:spacing w:after="0"/>
        <w:rPr>
          <w:rFonts w:hint="eastAsia"/>
          <w:color w:val="231F20"/>
        </w:rPr>
      </w:pPr>
      <w:r>
        <w:rPr>
          <w:rFonts w:hint="eastAsia"/>
          <w:color w:val="231F20"/>
        </w:rPr>
        <w:t>现在我们旅程的宏大目标就在眼前：从圣经的书页中辨识出成全时代的真实形态；并且，在辨识出它之后，得出一个关于救赎历史全过程的准确且相当详尽的图景。</w:t>
      </w:r>
    </w:p>
    <w:p w14:paraId="752A9ECE">
      <w:pPr>
        <w:pStyle w:val="9"/>
        <w:spacing w:after="0"/>
        <w:rPr>
          <w:rFonts w:hint="eastAsia"/>
          <w:color w:val="231F20"/>
        </w:rPr>
      </w:pPr>
    </w:p>
    <w:p w14:paraId="2440073F">
      <w:pPr>
        <w:pStyle w:val="9"/>
        <w:spacing w:after="0"/>
        <w:rPr>
          <w:rFonts w:hint="eastAsia"/>
          <w:color w:val="231F20"/>
        </w:rPr>
      </w:pPr>
      <w:r>
        <w:rPr>
          <w:rFonts w:hint="eastAsia"/>
          <w:color w:val="231F20"/>
        </w:rPr>
        <w:t>The journey will not be easy.</w:t>
      </w:r>
    </w:p>
    <w:p w14:paraId="337D0EAA">
      <w:pPr>
        <w:pStyle w:val="9"/>
        <w:spacing w:after="0"/>
        <w:rPr>
          <w:rFonts w:hint="eastAsia"/>
          <w:color w:val="231F20"/>
        </w:rPr>
      </w:pPr>
    </w:p>
    <w:p w14:paraId="0ED78962">
      <w:pPr>
        <w:pStyle w:val="9"/>
        <w:spacing w:after="0"/>
        <w:rPr>
          <w:rFonts w:hint="eastAsia"/>
          <w:color w:val="231F20"/>
        </w:rPr>
      </w:pPr>
      <w:r>
        <w:rPr>
          <w:rFonts w:hint="eastAsia"/>
          <w:color w:val="231F20"/>
        </w:rPr>
        <w:t>这趟旅程不会轻松。</w:t>
      </w:r>
    </w:p>
    <w:p w14:paraId="5CD82C02">
      <w:pPr>
        <w:pStyle w:val="9"/>
        <w:spacing w:after="0"/>
        <w:rPr>
          <w:rFonts w:hint="eastAsia"/>
          <w:color w:val="231F20"/>
        </w:rPr>
      </w:pPr>
    </w:p>
    <w:p w14:paraId="47519D17">
      <w:pPr>
        <w:pStyle w:val="9"/>
        <w:spacing w:after="0"/>
        <w:rPr>
          <w:rFonts w:hint="eastAsia"/>
          <w:color w:val="231F20"/>
        </w:rPr>
      </w:pPr>
      <w:r>
        <w:rPr>
          <w:rFonts w:hint="eastAsia"/>
          <w:color w:val="231F20"/>
        </w:rPr>
        <w:t>In the chapters ahead, we will see why.</w:t>
      </w:r>
    </w:p>
    <w:p w14:paraId="7C7A78D1">
      <w:pPr>
        <w:pStyle w:val="9"/>
        <w:spacing w:after="0"/>
        <w:rPr>
          <w:rFonts w:hint="eastAsia"/>
          <w:color w:val="231F20"/>
        </w:rPr>
      </w:pPr>
    </w:p>
    <w:p w14:paraId="51C5C4E8">
      <w:pPr>
        <w:pStyle w:val="9"/>
        <w:spacing w:after="0"/>
        <w:rPr>
          <w:rFonts w:hint="eastAsia"/>
          <w:color w:val="231F20"/>
        </w:rPr>
      </w:pPr>
      <w:r>
        <w:rPr>
          <w:rFonts w:hint="eastAsia"/>
          <w:color w:val="231F20"/>
        </w:rPr>
        <w:t>在接下来的章节中，我们将会明白原因。</w:t>
      </w:r>
    </w:p>
    <w:p w14:paraId="7F43F36A">
      <w:pPr>
        <w:pStyle w:val="9"/>
        <w:spacing w:after="0"/>
        <w:rPr>
          <w:rFonts w:hint="eastAsia"/>
          <w:color w:val="231F20"/>
        </w:rPr>
      </w:pPr>
    </w:p>
    <w:p w14:paraId="7DDAE2D1">
      <w:pPr>
        <w:pStyle w:val="9"/>
        <w:spacing w:after="0"/>
        <w:rPr>
          <w:rFonts w:hint="eastAsia"/>
          <w:color w:val="231F20"/>
        </w:rPr>
      </w:pPr>
      <w:r>
        <w:rPr>
          <w:rFonts w:hint="eastAsia"/>
          <w:color w:val="231F20"/>
        </w:rPr>
        <w:t>Here, however, I want to conclude with a delightful question.</w:t>
      </w:r>
    </w:p>
    <w:p w14:paraId="2FB9FE1C">
      <w:pPr>
        <w:pStyle w:val="9"/>
        <w:spacing w:after="0"/>
        <w:rPr>
          <w:rFonts w:hint="eastAsia"/>
          <w:color w:val="231F20"/>
        </w:rPr>
      </w:pPr>
    </w:p>
    <w:p w14:paraId="3D726DDA">
      <w:pPr>
        <w:pStyle w:val="9"/>
        <w:spacing w:after="0"/>
        <w:rPr>
          <w:rFonts w:hint="eastAsia"/>
          <w:color w:val="231F20"/>
        </w:rPr>
      </w:pPr>
      <w:r>
        <w:rPr>
          <w:rFonts w:hint="eastAsia"/>
          <w:color w:val="231F20"/>
        </w:rPr>
        <w:t>然而，在此，我想用一个令人愉快的问题来作结。</w:t>
      </w:r>
    </w:p>
    <w:p w14:paraId="119BD92C">
      <w:pPr>
        <w:pStyle w:val="9"/>
        <w:spacing w:after="0"/>
        <w:rPr>
          <w:rFonts w:hint="eastAsia"/>
          <w:color w:val="231F20"/>
        </w:rPr>
      </w:pPr>
    </w:p>
    <w:p w14:paraId="76033614">
      <w:pPr>
        <w:pStyle w:val="9"/>
        <w:spacing w:after="0"/>
        <w:rPr>
          <w:rFonts w:hint="eastAsia"/>
          <w:color w:val="231F20"/>
        </w:rPr>
      </w:pPr>
      <w:r>
        <w:rPr>
          <w:rFonts w:hint="eastAsia"/>
          <w:color w:val="231F20"/>
        </w:rPr>
        <w:t>Would it not be ironic—and too wonderful for words—if the Beginner’s Version of Salvation History turned out to be the true picture after all; if the Era of Fulfillment really was composed of two simple stages, with a single Parousia in between?</w:t>
      </w:r>
    </w:p>
    <w:p w14:paraId="45631DBF">
      <w:pPr>
        <w:pStyle w:val="9"/>
        <w:spacing w:after="0"/>
        <w:rPr>
          <w:rFonts w:hint="eastAsia"/>
          <w:color w:val="231F20"/>
        </w:rPr>
      </w:pPr>
    </w:p>
    <w:p w14:paraId="5FB89905">
      <w:pPr>
        <w:pStyle w:val="9"/>
        <w:spacing w:after="0"/>
        <w:rPr>
          <w:rFonts w:hint="eastAsia"/>
          <w:color w:val="231F20"/>
        </w:rPr>
      </w:pPr>
      <w:r>
        <w:rPr>
          <w:rFonts w:hint="eastAsia"/>
          <w:color w:val="231F20"/>
        </w:rPr>
        <w:t>如果这个救赎历史的入门版最终被证明是真实的图景；如果成全时代真的只由两个简单的阶段构成，中间只有一个“主的再来”，这岂不是既讽刺又美妙得难以言喻吗？</w:t>
      </w:r>
    </w:p>
    <w:p w14:paraId="5C4C4DC2">
      <w:pPr>
        <w:pStyle w:val="9"/>
        <w:spacing w:after="0"/>
        <w:rPr>
          <w:rFonts w:hint="eastAsia"/>
          <w:color w:val="231F20"/>
        </w:rPr>
      </w:pPr>
    </w:p>
    <w:p w14:paraId="79372295">
      <w:pPr>
        <w:pStyle w:val="9"/>
        <w:spacing w:after="0"/>
        <w:rPr>
          <w:rFonts w:hint="eastAsia"/>
          <w:color w:val="231F20"/>
        </w:rPr>
      </w:pPr>
      <w:r>
        <w:rPr>
          <w:rFonts w:hint="eastAsia"/>
          <w:color w:val="231F20"/>
        </w:rPr>
        <w:t>What a blessing that would be for multitudes of confused and discouraged sheep, scattered upon the manifold hillsides of contemporary eschatology!</w:t>
      </w:r>
    </w:p>
    <w:p w14:paraId="069F783C">
      <w:pPr>
        <w:pStyle w:val="9"/>
        <w:spacing w:after="0"/>
        <w:rPr>
          <w:rFonts w:hint="eastAsia"/>
          <w:color w:val="231F20"/>
        </w:rPr>
      </w:pPr>
    </w:p>
    <w:p w14:paraId="20AF7434">
      <w:pPr>
        <w:pStyle w:val="9"/>
        <w:spacing w:after="0"/>
        <w:rPr>
          <w:rFonts w:hint="eastAsia"/>
          <w:color w:val="231F20"/>
        </w:rPr>
      </w:pPr>
      <w:r>
        <w:rPr>
          <w:rFonts w:hint="eastAsia"/>
          <w:color w:val="231F20"/>
        </w:rPr>
        <w:t>对于那些散落在当代末世论诸多山坡上、困惑且灰心的羊群而言，那将是何等的祝福啊！</w:t>
      </w:r>
    </w:p>
    <w:p w14:paraId="5C11C336">
      <w:pPr>
        <w:pStyle w:val="9"/>
        <w:spacing w:after="0"/>
        <w:rPr>
          <w:rFonts w:hint="eastAsia"/>
          <w:color w:val="231F20"/>
        </w:rPr>
      </w:pPr>
    </w:p>
    <w:p w14:paraId="0CD5D08B">
      <w:pPr>
        <w:pStyle w:val="9"/>
        <w:spacing w:after="0"/>
        <w:rPr>
          <w:rFonts w:hint="eastAsia"/>
          <w:color w:val="231F20"/>
        </w:rPr>
      </w:pPr>
      <w:r>
        <w:rPr>
          <w:rFonts w:hint="eastAsia"/>
          <w:color w:val="231F20"/>
        </w:rPr>
        <w:t>Why, even little lambs could understand and rejoice in a picture as clear and simple as that!</w:t>
      </w:r>
    </w:p>
    <w:p w14:paraId="7CA9AAA0">
      <w:pPr>
        <w:pStyle w:val="9"/>
        <w:spacing w:after="0"/>
        <w:rPr>
          <w:rFonts w:hint="eastAsia"/>
          <w:color w:val="231F20"/>
        </w:rPr>
      </w:pPr>
    </w:p>
    <w:p w14:paraId="7C28D5F0">
      <w:pPr>
        <w:pStyle w:val="9"/>
        <w:spacing w:after="0"/>
        <w:rPr>
          <w:rFonts w:hint="eastAsia"/>
          <w:color w:val="231F20"/>
        </w:rPr>
      </w:pPr>
      <w:r>
        <w:rPr>
          <w:rFonts w:hint="eastAsia"/>
          <w:color w:val="231F20"/>
        </w:rPr>
        <w:t>哎呀，就连小羊羔也能明白并因着这样一幅清晰又简单的图景而欢喜！</w:t>
      </w:r>
    </w:p>
    <w:p w14:paraId="74DCA81D">
      <w:pPr>
        <w:pStyle w:val="9"/>
        <w:spacing w:after="0"/>
        <w:rPr>
          <w:rFonts w:hint="eastAsia"/>
          <w:color w:val="231F20"/>
        </w:rPr>
      </w:pPr>
    </w:p>
    <w:p w14:paraId="2D24A3BF">
      <w:pPr>
        <w:pStyle w:val="9"/>
        <w:spacing w:after="0"/>
        <w:rPr>
          <w:rFonts w:hint="eastAsia"/>
          <w:color w:val="231F20"/>
        </w:rPr>
      </w:pPr>
      <w:r>
        <w:rPr>
          <w:rFonts w:hint="eastAsia"/>
          <w:color w:val="231F20"/>
        </w:rPr>
        <w:t>“But surely,” you say, “eschatology really is complicated.</w:t>
      </w:r>
    </w:p>
    <w:p w14:paraId="4ECC657B">
      <w:pPr>
        <w:pStyle w:val="9"/>
        <w:spacing w:after="0"/>
        <w:rPr>
          <w:rFonts w:hint="eastAsia"/>
          <w:color w:val="231F20"/>
        </w:rPr>
      </w:pPr>
    </w:p>
    <w:p w14:paraId="757468A7">
      <w:pPr>
        <w:pStyle w:val="9"/>
        <w:spacing w:after="0"/>
        <w:rPr>
          <w:rFonts w:hint="eastAsia"/>
          <w:color w:val="231F20"/>
        </w:rPr>
      </w:pPr>
      <w:r>
        <w:rPr>
          <w:rFonts w:hint="eastAsia"/>
          <w:color w:val="231F20"/>
        </w:rPr>
        <w:t>“但毫无疑问，”你说，“末世论确实很复杂。</w:t>
      </w:r>
    </w:p>
    <w:p w14:paraId="3514FE51">
      <w:pPr>
        <w:pStyle w:val="9"/>
        <w:spacing w:after="0"/>
        <w:rPr>
          <w:rFonts w:hint="eastAsia"/>
          <w:color w:val="231F20"/>
        </w:rPr>
      </w:pPr>
    </w:p>
    <w:p w14:paraId="66193401">
      <w:pPr>
        <w:pStyle w:val="9"/>
        <w:spacing w:after="0"/>
        <w:rPr>
          <w:rFonts w:hint="eastAsia"/>
          <w:color w:val="231F20"/>
        </w:rPr>
      </w:pPr>
      <w:r>
        <w:rPr>
          <w:rFonts w:hint="eastAsia"/>
          <w:color w:val="231F20"/>
        </w:rPr>
        <w:t>Surely such a picture is too simple, too clear, and too good to be true.”</w:t>
      </w:r>
    </w:p>
    <w:p w14:paraId="67DAC65C">
      <w:pPr>
        <w:pStyle w:val="9"/>
        <w:spacing w:after="0"/>
        <w:rPr>
          <w:rFonts w:hint="eastAsia"/>
          <w:color w:val="231F20"/>
        </w:rPr>
      </w:pPr>
    </w:p>
    <w:p w14:paraId="159EDFA7">
      <w:pPr>
        <w:pStyle w:val="9"/>
        <w:spacing w:after="0"/>
        <w:rPr>
          <w:rFonts w:hint="eastAsia"/>
          <w:color w:val="231F20"/>
        </w:rPr>
      </w:pPr>
      <w:r>
        <w:rPr>
          <w:rFonts w:hint="eastAsia"/>
          <w:color w:val="231F20"/>
        </w:rPr>
        <w:t>这样一幅图景肯定太简单、太清晰、太美好了，以至于不可能是真的。”</w:t>
      </w:r>
    </w:p>
    <w:p w14:paraId="4D87D742">
      <w:pPr>
        <w:pStyle w:val="9"/>
        <w:spacing w:after="0"/>
        <w:rPr>
          <w:rFonts w:hint="eastAsia"/>
          <w:color w:val="231F20"/>
        </w:rPr>
      </w:pPr>
    </w:p>
    <w:p w14:paraId="258AD76B">
      <w:pPr>
        <w:pStyle w:val="9"/>
        <w:spacing w:after="0"/>
        <w:rPr>
          <w:rFonts w:hint="eastAsia"/>
          <w:color w:val="231F20"/>
        </w:rPr>
      </w:pPr>
      <w:r>
        <w:rPr>
          <w:rFonts w:hint="eastAsia"/>
          <w:color w:val="231F20"/>
        </w:rPr>
        <w:t>Read on.</w:t>
      </w:r>
    </w:p>
    <w:p w14:paraId="28BA3E27">
      <w:pPr>
        <w:pStyle w:val="9"/>
        <w:spacing w:after="0"/>
        <w:rPr>
          <w:rFonts w:hint="eastAsia"/>
          <w:color w:val="231F20"/>
        </w:rPr>
      </w:pPr>
    </w:p>
    <w:p w14:paraId="7A4D9C3A">
      <w:pPr>
        <w:pStyle w:val="9"/>
        <w:spacing w:after="0"/>
        <w:sectPr>
          <w:pgSz w:w="12240" w:h="15840"/>
          <w:pgMar w:top="1380" w:right="1440" w:bottom="280" w:left="1440" w:header="720" w:footer="720" w:gutter="0"/>
          <w:cols w:space="720" w:num="1"/>
        </w:sectPr>
      </w:pPr>
      <w:r>
        <w:rPr>
          <w:rFonts w:hint="eastAsia"/>
          <w:color w:val="231F20"/>
        </w:rPr>
        <w:t>请继续读下去。</w:t>
      </w:r>
    </w:p>
    <w:p w14:paraId="6AC4E57C">
      <w:pPr>
        <w:pStyle w:val="2"/>
        <w:bidi w:val="0"/>
        <w:rPr>
          <w:rFonts w:hint="eastAsia"/>
        </w:rPr>
      </w:pPr>
      <w:bookmarkStart w:id="8" w:name="_bookmark7"/>
      <w:bookmarkEnd w:id="8"/>
      <w:bookmarkStart w:id="9" w:name="Chapter 2: Issues in Biblical Eschatolog"/>
      <w:bookmarkEnd w:id="9"/>
      <w:r>
        <w:rPr>
          <w:rFonts w:hint="eastAsia"/>
        </w:rPr>
        <w:t>Chapter 2</w:t>
      </w:r>
    </w:p>
    <w:p w14:paraId="46FE35B2">
      <w:pPr>
        <w:pStyle w:val="2"/>
        <w:bidi w:val="0"/>
        <w:rPr>
          <w:rFonts w:hint="eastAsia"/>
        </w:rPr>
      </w:pPr>
      <w:r>
        <w:rPr>
          <w:rFonts w:hint="eastAsia"/>
        </w:rPr>
        <w:t>第二章</w:t>
      </w:r>
    </w:p>
    <w:p w14:paraId="30EE1EF7">
      <w:pPr>
        <w:pStyle w:val="9"/>
        <w:spacing w:before="0"/>
        <w:ind w:left="0"/>
        <w:jc w:val="left"/>
        <w:rPr>
          <w:rFonts w:hint="eastAsia"/>
          <w:sz w:val="17"/>
        </w:rPr>
      </w:pPr>
    </w:p>
    <w:p w14:paraId="54120F9E">
      <w:pPr>
        <w:pStyle w:val="9"/>
        <w:spacing w:before="0"/>
        <w:ind w:left="0"/>
        <w:jc w:val="left"/>
        <w:rPr>
          <w:rFonts w:hint="eastAsia"/>
          <w:sz w:val="30"/>
          <w:szCs w:val="30"/>
        </w:rPr>
      </w:pPr>
      <w:r>
        <w:rPr>
          <w:rFonts w:hint="eastAsia"/>
          <w:sz w:val="30"/>
          <w:szCs w:val="30"/>
        </w:rPr>
        <w:t>Issues in Biblical Eschatology</w:t>
      </w:r>
    </w:p>
    <w:p w14:paraId="00A68BB9">
      <w:pPr>
        <w:pStyle w:val="9"/>
        <w:spacing w:before="0"/>
        <w:ind w:left="0"/>
        <w:jc w:val="left"/>
        <w:rPr>
          <w:rFonts w:hint="eastAsia"/>
          <w:sz w:val="30"/>
          <w:szCs w:val="30"/>
        </w:rPr>
      </w:pPr>
    </w:p>
    <w:p w14:paraId="7FE361BE">
      <w:pPr>
        <w:pStyle w:val="9"/>
        <w:spacing w:before="0"/>
        <w:ind w:left="0"/>
        <w:jc w:val="left"/>
        <w:rPr>
          <w:rFonts w:hint="eastAsia"/>
          <w:sz w:val="30"/>
          <w:szCs w:val="30"/>
        </w:rPr>
      </w:pPr>
      <w:r>
        <w:rPr>
          <w:rFonts w:hint="eastAsia"/>
          <w:sz w:val="30"/>
          <w:szCs w:val="30"/>
        </w:rPr>
        <w:t>圣经末世论中的议题</w:t>
      </w:r>
    </w:p>
    <w:p w14:paraId="7E8A2ADB">
      <w:pPr>
        <w:pStyle w:val="9"/>
        <w:spacing w:before="0"/>
        <w:ind w:left="0"/>
        <w:jc w:val="left"/>
        <w:rPr>
          <w:rFonts w:hint="eastAsia"/>
          <w:sz w:val="30"/>
          <w:szCs w:val="30"/>
        </w:rPr>
      </w:pPr>
    </w:p>
    <w:p w14:paraId="0920A93A">
      <w:pPr>
        <w:pStyle w:val="9"/>
        <w:spacing w:before="0"/>
        <w:ind w:left="0"/>
        <w:jc w:val="left"/>
        <w:rPr>
          <w:rFonts w:hint="eastAsia"/>
          <w:sz w:val="30"/>
          <w:szCs w:val="30"/>
        </w:rPr>
      </w:pPr>
      <w:r>
        <w:rPr>
          <w:rFonts w:hint="eastAsia"/>
          <w:sz w:val="30"/>
          <w:szCs w:val="30"/>
        </w:rPr>
        <w:t>IN OUR JOURNEY thus far we have seen that the proper goal of biblical eschatology is to discern from Scripture, in as much detail as possible, the true structure of Salvation History as a whole, and of the Era of Fulfillment in particular.</w:t>
      </w:r>
    </w:p>
    <w:p w14:paraId="43674868">
      <w:pPr>
        <w:pStyle w:val="9"/>
        <w:spacing w:before="0"/>
        <w:ind w:left="0"/>
        <w:jc w:val="left"/>
        <w:rPr>
          <w:rFonts w:hint="eastAsia"/>
          <w:sz w:val="30"/>
          <w:szCs w:val="30"/>
        </w:rPr>
      </w:pPr>
    </w:p>
    <w:p w14:paraId="4C010249">
      <w:pPr>
        <w:pStyle w:val="9"/>
        <w:spacing w:before="0"/>
        <w:ind w:left="0"/>
        <w:jc w:val="left"/>
        <w:rPr>
          <w:rFonts w:hint="eastAsia"/>
          <w:sz w:val="30"/>
          <w:szCs w:val="30"/>
        </w:rPr>
      </w:pPr>
      <w:r>
        <w:rPr>
          <w:rFonts w:hint="eastAsia"/>
          <w:sz w:val="30"/>
          <w:szCs w:val="30"/>
        </w:rPr>
        <w:t>在我们迄今的旅程中，我们已经看到，圣经末世论的正确目标是从圣经中，尽可能详细地，辨识出整个救赎历史，以及特别是成全时代的真实结构。</w:t>
      </w:r>
    </w:p>
    <w:p w14:paraId="51EAD316">
      <w:pPr>
        <w:pStyle w:val="9"/>
        <w:spacing w:before="0"/>
        <w:ind w:left="0"/>
        <w:jc w:val="left"/>
        <w:rPr>
          <w:rFonts w:hint="eastAsia"/>
          <w:sz w:val="30"/>
          <w:szCs w:val="30"/>
        </w:rPr>
      </w:pPr>
    </w:p>
    <w:p w14:paraId="18162634">
      <w:pPr>
        <w:pStyle w:val="9"/>
        <w:spacing w:before="0"/>
        <w:ind w:left="0"/>
        <w:jc w:val="left"/>
        <w:rPr>
          <w:rFonts w:hint="eastAsia"/>
          <w:sz w:val="30"/>
          <w:szCs w:val="30"/>
        </w:rPr>
      </w:pPr>
      <w:r>
        <w:rPr>
          <w:rFonts w:hint="eastAsia"/>
          <w:sz w:val="30"/>
          <w:szCs w:val="30"/>
        </w:rPr>
        <w:t>But alas, it turns out that this is not an easy task.</w:t>
      </w:r>
    </w:p>
    <w:p w14:paraId="0E7DB88A">
      <w:pPr>
        <w:pStyle w:val="9"/>
        <w:spacing w:before="0"/>
        <w:ind w:left="0"/>
        <w:jc w:val="left"/>
        <w:rPr>
          <w:rFonts w:hint="eastAsia"/>
          <w:sz w:val="30"/>
          <w:szCs w:val="30"/>
        </w:rPr>
      </w:pPr>
    </w:p>
    <w:p w14:paraId="3F23A239">
      <w:pPr>
        <w:pStyle w:val="9"/>
        <w:spacing w:before="0"/>
        <w:ind w:left="0"/>
        <w:jc w:val="left"/>
        <w:rPr>
          <w:rFonts w:hint="eastAsia"/>
          <w:sz w:val="30"/>
          <w:szCs w:val="30"/>
        </w:rPr>
      </w:pPr>
      <w:r>
        <w:rPr>
          <w:rFonts w:hint="eastAsia"/>
          <w:sz w:val="30"/>
          <w:szCs w:val="30"/>
        </w:rPr>
        <w:t>但唉，事实证明，这不是一项容易的任务。</w:t>
      </w:r>
    </w:p>
    <w:p w14:paraId="4A059AEE">
      <w:pPr>
        <w:pStyle w:val="9"/>
        <w:spacing w:before="0"/>
        <w:ind w:left="0"/>
        <w:jc w:val="left"/>
        <w:rPr>
          <w:rFonts w:hint="eastAsia"/>
          <w:sz w:val="30"/>
          <w:szCs w:val="30"/>
        </w:rPr>
      </w:pPr>
    </w:p>
    <w:p w14:paraId="5B51287C">
      <w:pPr>
        <w:pStyle w:val="9"/>
        <w:spacing w:before="0"/>
        <w:ind w:left="0"/>
        <w:jc w:val="left"/>
        <w:rPr>
          <w:rFonts w:hint="eastAsia"/>
          <w:sz w:val="30"/>
          <w:szCs w:val="30"/>
        </w:rPr>
      </w:pPr>
      <w:r>
        <w:rPr>
          <w:rFonts w:hint="eastAsia"/>
          <w:sz w:val="30"/>
          <w:szCs w:val="30"/>
        </w:rPr>
        <w:t>As many of us know all too well, when Christians go to create such a timeline , they don’t all come back with the same one!</w:t>
      </w:r>
    </w:p>
    <w:p w14:paraId="3BFC4DF7">
      <w:pPr>
        <w:pStyle w:val="9"/>
        <w:spacing w:before="0"/>
        <w:ind w:left="0"/>
        <w:jc w:val="left"/>
        <w:rPr>
          <w:rFonts w:hint="eastAsia"/>
          <w:sz w:val="30"/>
          <w:szCs w:val="30"/>
        </w:rPr>
      </w:pPr>
    </w:p>
    <w:p w14:paraId="5F18C1D2">
      <w:pPr>
        <w:pStyle w:val="9"/>
        <w:spacing w:before="0"/>
        <w:ind w:left="0"/>
        <w:jc w:val="left"/>
        <w:rPr>
          <w:rFonts w:hint="eastAsia"/>
          <w:sz w:val="30"/>
          <w:szCs w:val="30"/>
        </w:rPr>
      </w:pPr>
      <w:r>
        <w:rPr>
          <w:rFonts w:hint="eastAsia"/>
          <w:sz w:val="30"/>
          <w:szCs w:val="30"/>
        </w:rPr>
        <w:t>正如我们中许多人所深知的，当基督徒着手创建这样一条时间线时，他们最终得出的并不都是同一条！</w:t>
      </w:r>
    </w:p>
    <w:p w14:paraId="64E00DB6">
      <w:pPr>
        <w:pStyle w:val="9"/>
        <w:spacing w:before="0"/>
        <w:ind w:left="0"/>
        <w:jc w:val="left"/>
        <w:rPr>
          <w:rFonts w:hint="eastAsia"/>
          <w:sz w:val="30"/>
          <w:szCs w:val="30"/>
        </w:rPr>
      </w:pPr>
    </w:p>
    <w:p w14:paraId="6B1F96C6">
      <w:pPr>
        <w:pStyle w:val="9"/>
        <w:spacing w:before="0"/>
        <w:ind w:left="0"/>
        <w:jc w:val="left"/>
        <w:rPr>
          <w:rFonts w:hint="eastAsia"/>
          <w:sz w:val="30"/>
          <w:szCs w:val="30"/>
        </w:rPr>
      </w:pPr>
      <w:r>
        <w:rPr>
          <w:rFonts w:hint="eastAsia"/>
          <w:sz w:val="30"/>
          <w:szCs w:val="30"/>
        </w:rPr>
        <w:t>Why is this?</w:t>
      </w:r>
    </w:p>
    <w:p w14:paraId="06CD3ACC">
      <w:pPr>
        <w:pStyle w:val="9"/>
        <w:spacing w:before="0"/>
        <w:ind w:left="0"/>
        <w:jc w:val="left"/>
        <w:rPr>
          <w:rFonts w:hint="eastAsia"/>
          <w:sz w:val="30"/>
          <w:szCs w:val="30"/>
        </w:rPr>
      </w:pPr>
    </w:p>
    <w:p w14:paraId="55F2F3D5">
      <w:pPr>
        <w:pStyle w:val="9"/>
        <w:spacing w:before="0"/>
        <w:ind w:left="0"/>
        <w:jc w:val="left"/>
        <w:rPr>
          <w:rFonts w:hint="eastAsia"/>
          <w:sz w:val="30"/>
          <w:szCs w:val="30"/>
        </w:rPr>
      </w:pPr>
      <w:r>
        <w:rPr>
          <w:rFonts w:hint="eastAsia"/>
          <w:sz w:val="30"/>
          <w:szCs w:val="30"/>
        </w:rPr>
        <w:t>这是为什么呢？</w:t>
      </w:r>
    </w:p>
    <w:p w14:paraId="47407020">
      <w:pPr>
        <w:pStyle w:val="9"/>
        <w:spacing w:before="0"/>
        <w:ind w:left="0"/>
        <w:jc w:val="left"/>
        <w:rPr>
          <w:rFonts w:hint="eastAsia"/>
          <w:sz w:val="30"/>
          <w:szCs w:val="30"/>
        </w:rPr>
      </w:pPr>
    </w:p>
    <w:p w14:paraId="544FD8F3">
      <w:pPr>
        <w:pStyle w:val="9"/>
        <w:spacing w:before="0"/>
        <w:ind w:left="0"/>
        <w:jc w:val="left"/>
        <w:rPr>
          <w:rFonts w:hint="eastAsia"/>
          <w:sz w:val="30"/>
          <w:szCs w:val="30"/>
        </w:rPr>
      </w:pPr>
      <w:r>
        <w:rPr>
          <w:rFonts w:hint="eastAsia"/>
          <w:sz w:val="30"/>
          <w:szCs w:val="30"/>
        </w:rPr>
        <w:t>Answer: They have issues!</w:t>
      </w:r>
    </w:p>
    <w:p w14:paraId="60B39147">
      <w:pPr>
        <w:pStyle w:val="9"/>
        <w:spacing w:before="0"/>
        <w:ind w:left="0"/>
        <w:jc w:val="left"/>
        <w:rPr>
          <w:rFonts w:hint="eastAsia"/>
          <w:sz w:val="30"/>
          <w:szCs w:val="30"/>
        </w:rPr>
      </w:pPr>
    </w:p>
    <w:p w14:paraId="7A8D4446">
      <w:pPr>
        <w:pStyle w:val="9"/>
        <w:spacing w:before="0"/>
        <w:ind w:left="0"/>
        <w:jc w:val="left"/>
        <w:rPr>
          <w:rFonts w:hint="eastAsia"/>
          <w:sz w:val="30"/>
          <w:szCs w:val="30"/>
        </w:rPr>
      </w:pPr>
      <w:r>
        <w:rPr>
          <w:rFonts w:hint="eastAsia"/>
          <w:sz w:val="30"/>
          <w:szCs w:val="30"/>
        </w:rPr>
        <w:t>答案是：他们有议题（分歧）！</w:t>
      </w:r>
    </w:p>
    <w:p w14:paraId="32891594">
      <w:pPr>
        <w:pStyle w:val="9"/>
        <w:spacing w:before="0"/>
        <w:ind w:left="0"/>
        <w:jc w:val="left"/>
        <w:rPr>
          <w:rFonts w:hint="eastAsia"/>
          <w:sz w:val="30"/>
          <w:szCs w:val="30"/>
        </w:rPr>
      </w:pPr>
    </w:p>
    <w:p w14:paraId="67A48F93">
      <w:pPr>
        <w:pStyle w:val="9"/>
        <w:spacing w:before="0"/>
        <w:ind w:left="0"/>
        <w:jc w:val="left"/>
        <w:rPr>
          <w:rFonts w:hint="eastAsia"/>
          <w:sz w:val="30"/>
          <w:szCs w:val="30"/>
        </w:rPr>
      </w:pPr>
      <w:r>
        <w:rPr>
          <w:rFonts w:hint="eastAsia"/>
          <w:sz w:val="30"/>
          <w:szCs w:val="30"/>
        </w:rPr>
        <w:t>Happily, one of the issues they don’t have is identifying what might be called the elements of biblical eschatology.</w:t>
      </w:r>
    </w:p>
    <w:p w14:paraId="04BFC6FA">
      <w:pPr>
        <w:pStyle w:val="9"/>
        <w:spacing w:before="0"/>
        <w:ind w:left="0"/>
        <w:jc w:val="left"/>
        <w:rPr>
          <w:rFonts w:hint="eastAsia"/>
          <w:sz w:val="30"/>
          <w:szCs w:val="30"/>
        </w:rPr>
      </w:pPr>
    </w:p>
    <w:p w14:paraId="7435B1A7">
      <w:pPr>
        <w:pStyle w:val="9"/>
        <w:spacing w:before="0"/>
        <w:ind w:left="0"/>
        <w:jc w:val="left"/>
        <w:rPr>
          <w:rFonts w:hint="eastAsia"/>
          <w:sz w:val="30"/>
          <w:szCs w:val="30"/>
        </w:rPr>
      </w:pPr>
      <w:r>
        <w:rPr>
          <w:rFonts w:hint="eastAsia"/>
          <w:sz w:val="30"/>
          <w:szCs w:val="30"/>
        </w:rPr>
        <w:t>所幸的是，他们没有分歧的议题之一，是辨识那些可被称为圣经末世论之元素的东西。</w:t>
      </w:r>
    </w:p>
    <w:p w14:paraId="2BC2C314">
      <w:pPr>
        <w:pStyle w:val="9"/>
        <w:spacing w:before="0"/>
        <w:ind w:left="0"/>
        <w:jc w:val="left"/>
        <w:rPr>
          <w:rFonts w:hint="eastAsia"/>
          <w:sz w:val="30"/>
          <w:szCs w:val="30"/>
        </w:rPr>
      </w:pPr>
    </w:p>
    <w:p w14:paraId="6AAED3E4">
      <w:pPr>
        <w:pStyle w:val="9"/>
        <w:spacing w:before="0"/>
        <w:ind w:left="0"/>
        <w:jc w:val="left"/>
        <w:rPr>
          <w:rFonts w:hint="eastAsia"/>
          <w:sz w:val="30"/>
          <w:szCs w:val="30"/>
        </w:rPr>
      </w:pPr>
      <w:r>
        <w:rPr>
          <w:rFonts w:hint="eastAsia"/>
          <w:sz w:val="30"/>
          <w:szCs w:val="30"/>
        </w:rPr>
        <w:t>By “elements” I mean the biblically revealed eras and events that, like the pieces of a puzzle, must be properly situated on the Timeline of Salvation History.</w:t>
      </w:r>
    </w:p>
    <w:p w14:paraId="5342ADD3">
      <w:pPr>
        <w:pStyle w:val="9"/>
        <w:spacing w:before="0"/>
        <w:ind w:left="0"/>
        <w:jc w:val="left"/>
        <w:rPr>
          <w:rFonts w:hint="eastAsia"/>
          <w:sz w:val="30"/>
          <w:szCs w:val="30"/>
        </w:rPr>
      </w:pPr>
    </w:p>
    <w:p w14:paraId="2FA7C07A">
      <w:pPr>
        <w:pStyle w:val="9"/>
        <w:spacing w:before="0"/>
        <w:ind w:left="0"/>
        <w:jc w:val="left"/>
        <w:rPr>
          <w:rFonts w:hint="eastAsia"/>
          <w:sz w:val="30"/>
          <w:szCs w:val="30"/>
        </w:rPr>
      </w:pPr>
      <w:r>
        <w:rPr>
          <w:rFonts w:hint="eastAsia"/>
          <w:sz w:val="30"/>
          <w:szCs w:val="30"/>
        </w:rPr>
        <w:t>我所说的“元素”，是指圣经所启示的那些时代和事件，它们就像拼图的碎片一样，必须被恰当地放置在救赎历史的时间线上。</w:t>
      </w:r>
    </w:p>
    <w:p w14:paraId="25ECCCAE">
      <w:pPr>
        <w:pStyle w:val="9"/>
        <w:spacing w:before="0"/>
        <w:ind w:left="0"/>
        <w:jc w:val="left"/>
        <w:rPr>
          <w:rFonts w:hint="eastAsia"/>
          <w:sz w:val="30"/>
          <w:szCs w:val="30"/>
        </w:rPr>
      </w:pPr>
    </w:p>
    <w:p w14:paraId="129C53BF">
      <w:pPr>
        <w:pStyle w:val="9"/>
        <w:spacing w:before="0"/>
        <w:ind w:left="0"/>
        <w:jc w:val="left"/>
        <w:rPr>
          <w:rFonts w:hint="eastAsia"/>
          <w:sz w:val="30"/>
          <w:szCs w:val="30"/>
        </w:rPr>
      </w:pPr>
      <w:r>
        <w:rPr>
          <w:rFonts w:hint="eastAsia"/>
          <w:sz w:val="30"/>
          <w:szCs w:val="30"/>
        </w:rPr>
        <w:t>They include:</w:t>
      </w:r>
    </w:p>
    <w:p w14:paraId="38DB119B">
      <w:pPr>
        <w:pStyle w:val="9"/>
        <w:spacing w:before="0"/>
        <w:ind w:left="0"/>
        <w:jc w:val="left"/>
        <w:rPr>
          <w:rFonts w:hint="eastAsia"/>
          <w:sz w:val="30"/>
          <w:szCs w:val="30"/>
        </w:rPr>
      </w:pPr>
    </w:p>
    <w:p w14:paraId="372A8729">
      <w:pPr>
        <w:pStyle w:val="9"/>
        <w:spacing w:before="0"/>
        <w:ind w:left="0"/>
        <w:jc w:val="left"/>
        <w:rPr>
          <w:rFonts w:hint="eastAsia"/>
          <w:sz w:val="30"/>
          <w:szCs w:val="30"/>
        </w:rPr>
      </w:pPr>
      <w:r>
        <w:rPr>
          <w:rFonts w:hint="eastAsia"/>
          <w:sz w:val="30"/>
          <w:szCs w:val="30"/>
        </w:rPr>
        <w:t>它们包括：</w:t>
      </w:r>
    </w:p>
    <w:p w14:paraId="4D7AC8D7">
      <w:pPr>
        <w:pStyle w:val="9"/>
        <w:spacing w:before="0"/>
        <w:ind w:left="0"/>
        <w:jc w:val="left"/>
        <w:rPr>
          <w:rFonts w:hint="eastAsia"/>
          <w:sz w:val="30"/>
          <w:szCs w:val="30"/>
        </w:rPr>
      </w:pPr>
    </w:p>
    <w:p w14:paraId="29A09656">
      <w:pPr>
        <w:pStyle w:val="9"/>
        <w:spacing w:before="0"/>
        <w:ind w:left="0"/>
        <w:jc w:val="left"/>
        <w:rPr>
          <w:rFonts w:hint="eastAsia"/>
          <w:sz w:val="30"/>
          <w:szCs w:val="30"/>
        </w:rPr>
      </w:pPr>
      <w:r>
        <w:rPr>
          <w:rFonts w:hint="eastAsia"/>
          <w:sz w:val="30"/>
          <w:szCs w:val="30"/>
        </w:rPr>
        <w:t>The Kingdom of God (its nature and stages)</w:t>
      </w:r>
    </w:p>
    <w:p w14:paraId="6ECBE358">
      <w:pPr>
        <w:pStyle w:val="9"/>
        <w:spacing w:before="0"/>
        <w:ind w:left="0"/>
        <w:jc w:val="left"/>
        <w:rPr>
          <w:rFonts w:hint="eastAsia"/>
          <w:sz w:val="30"/>
          <w:szCs w:val="30"/>
        </w:rPr>
      </w:pPr>
    </w:p>
    <w:p w14:paraId="0C0AD5D6">
      <w:pPr>
        <w:pStyle w:val="9"/>
        <w:spacing w:before="0"/>
        <w:ind w:left="0"/>
        <w:jc w:val="left"/>
        <w:rPr>
          <w:rFonts w:hint="eastAsia"/>
          <w:sz w:val="30"/>
          <w:szCs w:val="30"/>
        </w:rPr>
      </w:pPr>
      <w:r>
        <w:rPr>
          <w:rFonts w:hint="eastAsia"/>
          <w:sz w:val="30"/>
          <w:szCs w:val="30"/>
        </w:rPr>
        <w:t>神的国（其性质与阶段）</w:t>
      </w:r>
    </w:p>
    <w:p w14:paraId="590C9966">
      <w:pPr>
        <w:pStyle w:val="9"/>
        <w:spacing w:before="0"/>
        <w:ind w:left="0"/>
        <w:jc w:val="left"/>
        <w:rPr>
          <w:rFonts w:hint="eastAsia"/>
          <w:sz w:val="30"/>
          <w:szCs w:val="30"/>
        </w:rPr>
      </w:pPr>
    </w:p>
    <w:p w14:paraId="1E526853">
      <w:pPr>
        <w:pStyle w:val="9"/>
        <w:spacing w:before="0"/>
        <w:ind w:left="0"/>
        <w:jc w:val="left"/>
        <w:rPr>
          <w:rFonts w:hint="eastAsia"/>
          <w:sz w:val="30"/>
          <w:szCs w:val="30"/>
        </w:rPr>
      </w:pPr>
      <w:r>
        <w:rPr>
          <w:rFonts w:hint="eastAsia"/>
          <w:sz w:val="30"/>
          <w:szCs w:val="30"/>
        </w:rPr>
        <w:t>The Millennium (or the thousand year reign of Christ described in Revelation 20)</w:t>
      </w:r>
    </w:p>
    <w:p w14:paraId="713D48CA">
      <w:pPr>
        <w:pStyle w:val="9"/>
        <w:spacing w:before="0"/>
        <w:ind w:left="0"/>
        <w:jc w:val="left"/>
        <w:rPr>
          <w:rFonts w:hint="eastAsia"/>
          <w:sz w:val="30"/>
          <w:szCs w:val="30"/>
        </w:rPr>
      </w:pPr>
    </w:p>
    <w:p w14:paraId="281B7822">
      <w:pPr>
        <w:pStyle w:val="9"/>
        <w:spacing w:before="0"/>
        <w:ind w:left="0"/>
        <w:jc w:val="left"/>
        <w:rPr>
          <w:rFonts w:hint="eastAsia"/>
          <w:sz w:val="30"/>
          <w:szCs w:val="30"/>
        </w:rPr>
      </w:pPr>
      <w:r>
        <w:rPr>
          <w:rFonts w:hint="eastAsia"/>
          <w:sz w:val="30"/>
          <w:szCs w:val="30"/>
        </w:rPr>
        <w:t>千禧年（或启示录20章所描述的基督一千年的统治）</w:t>
      </w:r>
    </w:p>
    <w:p w14:paraId="589E558F">
      <w:pPr>
        <w:pStyle w:val="9"/>
        <w:spacing w:before="0"/>
        <w:ind w:left="0"/>
        <w:jc w:val="left"/>
        <w:rPr>
          <w:rFonts w:hint="eastAsia"/>
          <w:sz w:val="30"/>
          <w:szCs w:val="30"/>
        </w:rPr>
      </w:pPr>
    </w:p>
    <w:p w14:paraId="604EB081">
      <w:pPr>
        <w:pStyle w:val="9"/>
        <w:spacing w:before="0"/>
        <w:ind w:left="0"/>
        <w:jc w:val="left"/>
        <w:rPr>
          <w:rFonts w:hint="eastAsia"/>
          <w:sz w:val="30"/>
          <w:szCs w:val="30"/>
        </w:rPr>
      </w:pPr>
      <w:r>
        <w:rPr>
          <w:rFonts w:hint="eastAsia"/>
          <w:sz w:val="30"/>
          <w:szCs w:val="30"/>
        </w:rPr>
        <w:t>The Antichrist</w:t>
      </w:r>
    </w:p>
    <w:p w14:paraId="62BBCAAA">
      <w:pPr>
        <w:pStyle w:val="9"/>
        <w:spacing w:before="0"/>
        <w:ind w:left="0"/>
        <w:jc w:val="left"/>
        <w:rPr>
          <w:rFonts w:hint="eastAsia"/>
          <w:sz w:val="30"/>
          <w:szCs w:val="30"/>
        </w:rPr>
      </w:pPr>
    </w:p>
    <w:p w14:paraId="4909C492">
      <w:pPr>
        <w:pStyle w:val="9"/>
        <w:spacing w:before="0"/>
        <w:ind w:left="0"/>
        <w:jc w:val="left"/>
        <w:rPr>
          <w:rFonts w:hint="eastAsia"/>
          <w:sz w:val="30"/>
          <w:szCs w:val="30"/>
        </w:rPr>
      </w:pPr>
      <w:r>
        <w:rPr>
          <w:rFonts w:hint="eastAsia"/>
          <w:sz w:val="30"/>
          <w:szCs w:val="30"/>
        </w:rPr>
        <w:t>敌基督</w:t>
      </w:r>
    </w:p>
    <w:p w14:paraId="2D25D711">
      <w:pPr>
        <w:pStyle w:val="9"/>
        <w:spacing w:before="0"/>
        <w:ind w:left="0"/>
        <w:jc w:val="left"/>
        <w:rPr>
          <w:rFonts w:hint="eastAsia"/>
          <w:sz w:val="30"/>
          <w:szCs w:val="30"/>
        </w:rPr>
      </w:pPr>
    </w:p>
    <w:p w14:paraId="777516BC">
      <w:pPr>
        <w:pStyle w:val="9"/>
        <w:spacing w:before="0"/>
        <w:ind w:left="0"/>
        <w:jc w:val="left"/>
        <w:rPr>
          <w:rFonts w:hint="eastAsia"/>
          <w:sz w:val="30"/>
          <w:szCs w:val="30"/>
        </w:rPr>
      </w:pPr>
      <w:r>
        <w:rPr>
          <w:rFonts w:hint="eastAsia"/>
          <w:sz w:val="30"/>
          <w:szCs w:val="30"/>
        </w:rPr>
        <w:t>The Last Battle</w:t>
      </w:r>
    </w:p>
    <w:p w14:paraId="431AAE2B">
      <w:pPr>
        <w:pStyle w:val="9"/>
        <w:spacing w:before="0"/>
        <w:ind w:left="0"/>
        <w:jc w:val="left"/>
        <w:rPr>
          <w:rFonts w:hint="eastAsia"/>
          <w:sz w:val="30"/>
          <w:szCs w:val="30"/>
        </w:rPr>
      </w:pPr>
    </w:p>
    <w:p w14:paraId="7D4FD59D">
      <w:pPr>
        <w:pStyle w:val="9"/>
        <w:spacing w:before="0"/>
        <w:ind w:left="0"/>
        <w:jc w:val="left"/>
        <w:rPr>
          <w:rFonts w:hint="eastAsia"/>
          <w:sz w:val="30"/>
          <w:szCs w:val="30"/>
        </w:rPr>
      </w:pPr>
      <w:r>
        <w:rPr>
          <w:rFonts w:hint="eastAsia"/>
          <w:sz w:val="30"/>
          <w:szCs w:val="30"/>
        </w:rPr>
        <w:t>末后的争战</w:t>
      </w:r>
    </w:p>
    <w:p w14:paraId="1421E851">
      <w:pPr>
        <w:pStyle w:val="9"/>
        <w:spacing w:before="0"/>
        <w:ind w:left="0"/>
        <w:jc w:val="left"/>
        <w:rPr>
          <w:rFonts w:hint="eastAsia"/>
          <w:sz w:val="30"/>
          <w:szCs w:val="30"/>
        </w:rPr>
      </w:pPr>
    </w:p>
    <w:p w14:paraId="44388678">
      <w:pPr>
        <w:pStyle w:val="9"/>
        <w:spacing w:before="0"/>
        <w:ind w:left="0"/>
        <w:jc w:val="left"/>
        <w:rPr>
          <w:rFonts w:hint="eastAsia"/>
          <w:sz w:val="30"/>
          <w:szCs w:val="30"/>
        </w:rPr>
      </w:pPr>
      <w:r>
        <w:rPr>
          <w:rFonts w:hint="eastAsia"/>
          <w:sz w:val="30"/>
          <w:szCs w:val="30"/>
        </w:rPr>
        <w:t>The</w:t>
      </w:r>
      <w:r>
        <w:rPr>
          <w:rFonts w:hint="eastAsia"/>
          <w:sz w:val="30"/>
          <w:szCs w:val="30"/>
        </w:rPr>
        <w:tab/>
      </w:r>
      <w:r>
        <w:rPr>
          <w:rFonts w:hint="eastAsia"/>
          <w:sz w:val="30"/>
          <w:szCs w:val="30"/>
        </w:rPr>
        <w:t>Parousia</w:t>
      </w:r>
      <w:r>
        <w:rPr>
          <w:rFonts w:hint="eastAsia"/>
          <w:sz w:val="30"/>
          <w:szCs w:val="30"/>
        </w:rPr>
        <w:tab/>
      </w:r>
      <w:r>
        <w:rPr>
          <w:rFonts w:hint="eastAsia"/>
          <w:sz w:val="30"/>
          <w:szCs w:val="30"/>
        </w:rPr>
        <w:t>(i.e.,</w:t>
      </w:r>
      <w:r>
        <w:rPr>
          <w:rFonts w:hint="eastAsia"/>
          <w:sz w:val="30"/>
          <w:szCs w:val="30"/>
        </w:rPr>
        <w:tab/>
      </w:r>
      <w:r>
        <w:rPr>
          <w:rFonts w:hint="eastAsia"/>
          <w:sz w:val="30"/>
          <w:szCs w:val="30"/>
        </w:rPr>
        <w:t>the</w:t>
      </w:r>
      <w:r>
        <w:rPr>
          <w:rFonts w:hint="eastAsia"/>
          <w:sz w:val="30"/>
          <w:szCs w:val="30"/>
        </w:rPr>
        <w:tab/>
      </w:r>
      <w:r>
        <w:rPr>
          <w:rFonts w:hint="eastAsia"/>
          <w:sz w:val="30"/>
          <w:szCs w:val="30"/>
        </w:rPr>
        <w:t>Second</w:t>
      </w:r>
      <w:r>
        <w:rPr>
          <w:rFonts w:hint="eastAsia"/>
          <w:sz w:val="30"/>
          <w:szCs w:val="30"/>
        </w:rPr>
        <w:tab/>
      </w:r>
      <w:r>
        <w:rPr>
          <w:rFonts w:hint="eastAsia"/>
          <w:sz w:val="30"/>
          <w:szCs w:val="30"/>
        </w:rPr>
        <w:t>Coming—also</w:t>
      </w:r>
      <w:r>
        <w:rPr>
          <w:rFonts w:hint="eastAsia"/>
          <w:sz w:val="30"/>
          <w:szCs w:val="30"/>
        </w:rPr>
        <w:tab/>
      </w:r>
      <w:r>
        <w:rPr>
          <w:rFonts w:hint="eastAsia"/>
          <w:sz w:val="30"/>
          <w:szCs w:val="30"/>
        </w:rPr>
        <w:t>called</w:t>
      </w:r>
      <w:r>
        <w:rPr>
          <w:rFonts w:hint="eastAsia"/>
          <w:sz w:val="30"/>
          <w:szCs w:val="30"/>
        </w:rPr>
        <w:tab/>
      </w:r>
      <w:r>
        <w:rPr>
          <w:rFonts w:hint="eastAsia"/>
          <w:sz w:val="30"/>
          <w:szCs w:val="30"/>
        </w:rPr>
        <w:t>the Revelation and the Appearing—of Christ)</w:t>
      </w:r>
    </w:p>
    <w:p w14:paraId="7502C493">
      <w:pPr>
        <w:pStyle w:val="9"/>
        <w:spacing w:before="0"/>
        <w:ind w:left="0"/>
        <w:jc w:val="left"/>
        <w:rPr>
          <w:rFonts w:hint="eastAsia"/>
          <w:sz w:val="30"/>
          <w:szCs w:val="30"/>
        </w:rPr>
      </w:pPr>
    </w:p>
    <w:p w14:paraId="4987736B">
      <w:pPr>
        <w:pStyle w:val="9"/>
        <w:spacing w:before="0"/>
        <w:ind w:left="0"/>
        <w:jc w:val="left"/>
        <w:rPr>
          <w:rFonts w:hint="eastAsia"/>
          <w:sz w:val="30"/>
          <w:szCs w:val="30"/>
        </w:rPr>
      </w:pPr>
      <w:r>
        <w:rPr>
          <w:rFonts w:hint="eastAsia"/>
          <w:sz w:val="30"/>
          <w:szCs w:val="30"/>
        </w:rPr>
        <w:t>主的再来（即基督的第二次降临——也称为启示和显现）</w:t>
      </w:r>
    </w:p>
    <w:p w14:paraId="6ADF6BDB">
      <w:pPr>
        <w:pStyle w:val="9"/>
        <w:spacing w:before="0"/>
        <w:ind w:left="0"/>
        <w:jc w:val="left"/>
        <w:rPr>
          <w:rFonts w:hint="eastAsia"/>
          <w:sz w:val="30"/>
          <w:szCs w:val="30"/>
        </w:rPr>
      </w:pPr>
    </w:p>
    <w:p w14:paraId="0FDFE8AD">
      <w:pPr>
        <w:pStyle w:val="9"/>
        <w:spacing w:before="0"/>
        <w:ind w:left="0"/>
        <w:jc w:val="left"/>
        <w:rPr>
          <w:rFonts w:hint="eastAsia"/>
          <w:sz w:val="30"/>
          <w:szCs w:val="30"/>
        </w:rPr>
      </w:pPr>
      <w:r>
        <w:rPr>
          <w:rFonts w:hint="eastAsia"/>
          <w:sz w:val="30"/>
          <w:szCs w:val="30"/>
        </w:rPr>
        <w:t>The Resurrection of the Dead (and the Glorification of the Living Saints)</w:t>
      </w:r>
    </w:p>
    <w:p w14:paraId="6C5051EA">
      <w:pPr>
        <w:pStyle w:val="9"/>
        <w:spacing w:before="0"/>
        <w:ind w:left="0"/>
        <w:jc w:val="left"/>
        <w:rPr>
          <w:rFonts w:hint="eastAsia"/>
          <w:sz w:val="30"/>
          <w:szCs w:val="30"/>
        </w:rPr>
      </w:pPr>
    </w:p>
    <w:p w14:paraId="73C57103">
      <w:pPr>
        <w:pStyle w:val="9"/>
        <w:spacing w:before="0"/>
        <w:ind w:left="0"/>
        <w:jc w:val="left"/>
        <w:rPr>
          <w:rFonts w:hint="eastAsia"/>
          <w:sz w:val="30"/>
          <w:szCs w:val="30"/>
        </w:rPr>
      </w:pPr>
      <w:r>
        <w:rPr>
          <w:rFonts w:hint="eastAsia"/>
          <w:sz w:val="30"/>
          <w:szCs w:val="30"/>
        </w:rPr>
        <w:t>死人复活（以及活着圣徒的得荣）</w:t>
      </w:r>
    </w:p>
    <w:p w14:paraId="3D260A58">
      <w:pPr>
        <w:pStyle w:val="9"/>
        <w:spacing w:before="0"/>
        <w:ind w:left="0"/>
        <w:jc w:val="left"/>
        <w:rPr>
          <w:rFonts w:hint="eastAsia"/>
          <w:sz w:val="30"/>
          <w:szCs w:val="30"/>
        </w:rPr>
      </w:pPr>
    </w:p>
    <w:p w14:paraId="68051526">
      <w:pPr>
        <w:pStyle w:val="9"/>
        <w:spacing w:before="0"/>
        <w:ind w:left="0"/>
        <w:jc w:val="left"/>
        <w:rPr>
          <w:rFonts w:hint="eastAsia"/>
          <w:sz w:val="30"/>
          <w:szCs w:val="30"/>
        </w:rPr>
      </w:pPr>
      <w:r>
        <w:rPr>
          <w:rFonts w:hint="eastAsia"/>
          <w:sz w:val="30"/>
          <w:szCs w:val="30"/>
        </w:rPr>
        <w:t>The Catching Up (or Rapture) of the Saints to meet the Lord in the air</w:t>
      </w:r>
    </w:p>
    <w:p w14:paraId="2EBD67C5">
      <w:pPr>
        <w:pStyle w:val="9"/>
        <w:spacing w:before="0"/>
        <w:ind w:left="0"/>
        <w:jc w:val="left"/>
        <w:rPr>
          <w:rFonts w:hint="eastAsia"/>
          <w:sz w:val="30"/>
          <w:szCs w:val="30"/>
        </w:rPr>
      </w:pPr>
    </w:p>
    <w:p w14:paraId="6A7D2C3A">
      <w:pPr>
        <w:pStyle w:val="9"/>
        <w:spacing w:before="0"/>
        <w:ind w:left="0"/>
        <w:jc w:val="left"/>
        <w:rPr>
          <w:rFonts w:hint="eastAsia"/>
          <w:sz w:val="30"/>
          <w:szCs w:val="30"/>
        </w:rPr>
      </w:pPr>
      <w:r>
        <w:rPr>
          <w:rFonts w:hint="eastAsia"/>
          <w:sz w:val="30"/>
          <w:szCs w:val="30"/>
        </w:rPr>
        <w:t>圣徒被提（或被接去）在空中与主相遇</w:t>
      </w:r>
    </w:p>
    <w:p w14:paraId="1C8C2200">
      <w:pPr>
        <w:pStyle w:val="9"/>
        <w:spacing w:before="0"/>
        <w:ind w:left="0"/>
        <w:jc w:val="left"/>
        <w:rPr>
          <w:rFonts w:hint="eastAsia"/>
          <w:sz w:val="30"/>
          <w:szCs w:val="30"/>
        </w:rPr>
      </w:pPr>
    </w:p>
    <w:p w14:paraId="267DF4E6">
      <w:pPr>
        <w:pStyle w:val="9"/>
        <w:spacing w:before="0"/>
        <w:ind w:left="0"/>
        <w:jc w:val="left"/>
        <w:rPr>
          <w:rFonts w:hint="eastAsia"/>
          <w:sz w:val="30"/>
          <w:szCs w:val="30"/>
        </w:rPr>
      </w:pPr>
      <w:r>
        <w:rPr>
          <w:rFonts w:hint="eastAsia"/>
          <w:sz w:val="30"/>
          <w:szCs w:val="30"/>
        </w:rPr>
        <w:t>The Last Judgment</w:t>
      </w:r>
    </w:p>
    <w:p w14:paraId="7BF1134F">
      <w:pPr>
        <w:pStyle w:val="9"/>
        <w:spacing w:before="0"/>
        <w:ind w:left="0"/>
        <w:jc w:val="left"/>
        <w:rPr>
          <w:rFonts w:hint="eastAsia"/>
          <w:sz w:val="30"/>
          <w:szCs w:val="30"/>
        </w:rPr>
      </w:pPr>
    </w:p>
    <w:p w14:paraId="7FCC0096">
      <w:pPr>
        <w:pStyle w:val="9"/>
        <w:spacing w:before="0"/>
        <w:ind w:left="0"/>
        <w:jc w:val="left"/>
        <w:rPr>
          <w:rFonts w:hint="eastAsia"/>
          <w:sz w:val="30"/>
          <w:szCs w:val="30"/>
        </w:rPr>
      </w:pPr>
      <w:r>
        <w:rPr>
          <w:rFonts w:hint="eastAsia"/>
          <w:sz w:val="30"/>
          <w:szCs w:val="30"/>
        </w:rPr>
        <w:t>最后的审判</w:t>
      </w:r>
    </w:p>
    <w:p w14:paraId="458C84D3">
      <w:pPr>
        <w:pStyle w:val="9"/>
        <w:spacing w:before="0"/>
        <w:ind w:left="0"/>
        <w:jc w:val="left"/>
        <w:rPr>
          <w:rFonts w:hint="eastAsia"/>
          <w:sz w:val="30"/>
          <w:szCs w:val="30"/>
        </w:rPr>
      </w:pPr>
    </w:p>
    <w:p w14:paraId="51137277">
      <w:pPr>
        <w:pStyle w:val="9"/>
        <w:spacing w:before="0"/>
        <w:ind w:left="0"/>
        <w:jc w:val="left"/>
        <w:rPr>
          <w:rFonts w:hint="eastAsia"/>
          <w:sz w:val="30"/>
          <w:szCs w:val="30"/>
        </w:rPr>
      </w:pPr>
      <w:r>
        <w:rPr>
          <w:rFonts w:hint="eastAsia"/>
          <w:sz w:val="30"/>
          <w:szCs w:val="30"/>
        </w:rPr>
        <w:t>The Destruction of the Present Heavens and Earth by Fire</w:t>
      </w:r>
    </w:p>
    <w:p w14:paraId="66F823DF">
      <w:pPr>
        <w:pStyle w:val="9"/>
        <w:spacing w:before="0"/>
        <w:ind w:left="0"/>
        <w:jc w:val="left"/>
        <w:rPr>
          <w:rFonts w:hint="eastAsia"/>
          <w:sz w:val="30"/>
          <w:szCs w:val="30"/>
        </w:rPr>
      </w:pPr>
    </w:p>
    <w:p w14:paraId="568EDE3B">
      <w:pPr>
        <w:pStyle w:val="9"/>
        <w:spacing w:before="0"/>
        <w:ind w:left="0"/>
        <w:jc w:val="left"/>
        <w:rPr>
          <w:rFonts w:hint="eastAsia"/>
          <w:sz w:val="30"/>
          <w:szCs w:val="30"/>
        </w:rPr>
      </w:pPr>
      <w:r>
        <w:rPr>
          <w:rFonts w:hint="eastAsia"/>
          <w:sz w:val="30"/>
          <w:szCs w:val="30"/>
        </w:rPr>
        <w:t>现有的天和地被火毁灭</w:t>
      </w:r>
    </w:p>
    <w:p w14:paraId="70EDA485">
      <w:pPr>
        <w:pStyle w:val="9"/>
        <w:spacing w:before="0"/>
        <w:ind w:left="0"/>
        <w:jc w:val="left"/>
        <w:rPr>
          <w:rFonts w:hint="eastAsia"/>
          <w:sz w:val="30"/>
          <w:szCs w:val="30"/>
        </w:rPr>
      </w:pPr>
    </w:p>
    <w:p w14:paraId="0C8804AC">
      <w:pPr>
        <w:pStyle w:val="9"/>
        <w:spacing w:before="0"/>
        <w:ind w:left="0"/>
        <w:jc w:val="left"/>
        <w:rPr>
          <w:rFonts w:hint="eastAsia"/>
          <w:sz w:val="30"/>
          <w:szCs w:val="30"/>
        </w:rPr>
      </w:pPr>
      <w:r>
        <w:rPr>
          <w:rFonts w:hint="eastAsia"/>
          <w:sz w:val="30"/>
          <w:szCs w:val="30"/>
        </w:rPr>
        <w:t>The Creation of the New Heavens and a New Earth</w:t>
      </w:r>
    </w:p>
    <w:p w14:paraId="48974178">
      <w:pPr>
        <w:pStyle w:val="9"/>
        <w:spacing w:before="0"/>
        <w:ind w:left="0"/>
        <w:jc w:val="left"/>
        <w:rPr>
          <w:rFonts w:hint="eastAsia"/>
          <w:sz w:val="30"/>
          <w:szCs w:val="30"/>
        </w:rPr>
      </w:pPr>
    </w:p>
    <w:p w14:paraId="06AAD769">
      <w:pPr>
        <w:pStyle w:val="9"/>
        <w:spacing w:before="0"/>
        <w:ind w:left="0"/>
        <w:jc w:val="left"/>
        <w:rPr>
          <w:rFonts w:hint="eastAsia"/>
          <w:sz w:val="30"/>
          <w:szCs w:val="30"/>
        </w:rPr>
      </w:pPr>
      <w:r>
        <w:rPr>
          <w:rFonts w:hint="eastAsia"/>
          <w:sz w:val="30"/>
          <w:szCs w:val="30"/>
        </w:rPr>
        <w:t>新天新地的创造</w:t>
      </w:r>
    </w:p>
    <w:p w14:paraId="6C67A4DC">
      <w:pPr>
        <w:pStyle w:val="9"/>
        <w:spacing w:before="0"/>
        <w:ind w:left="0"/>
        <w:jc w:val="left"/>
        <w:rPr>
          <w:rFonts w:hint="eastAsia"/>
          <w:sz w:val="30"/>
          <w:szCs w:val="30"/>
        </w:rPr>
      </w:pPr>
    </w:p>
    <w:p w14:paraId="34DCA06E">
      <w:pPr>
        <w:pStyle w:val="9"/>
        <w:spacing w:before="0"/>
        <w:ind w:left="0"/>
        <w:jc w:val="left"/>
        <w:rPr>
          <w:rFonts w:hint="eastAsia"/>
          <w:sz w:val="30"/>
          <w:szCs w:val="30"/>
        </w:rPr>
      </w:pPr>
      <w:r>
        <w:rPr>
          <w:rFonts w:hint="eastAsia"/>
          <w:sz w:val="30"/>
          <w:szCs w:val="30"/>
        </w:rPr>
        <w:t>The Delivering Up of the Kingdom to the Father</w:t>
      </w:r>
    </w:p>
    <w:p w14:paraId="16E5B97B">
      <w:pPr>
        <w:pStyle w:val="9"/>
        <w:spacing w:before="0"/>
        <w:ind w:left="0"/>
        <w:jc w:val="left"/>
        <w:rPr>
          <w:rFonts w:hint="eastAsia"/>
          <w:sz w:val="30"/>
          <w:szCs w:val="30"/>
        </w:rPr>
      </w:pPr>
    </w:p>
    <w:p w14:paraId="7423A88D">
      <w:pPr>
        <w:pStyle w:val="9"/>
        <w:spacing w:before="0"/>
        <w:ind w:left="0"/>
        <w:jc w:val="left"/>
        <w:rPr>
          <w:rFonts w:hint="eastAsia"/>
          <w:sz w:val="30"/>
          <w:szCs w:val="30"/>
        </w:rPr>
      </w:pPr>
      <w:r>
        <w:rPr>
          <w:rFonts w:hint="eastAsia"/>
          <w:sz w:val="30"/>
          <w:szCs w:val="30"/>
        </w:rPr>
        <w:t>将国度交与父</w:t>
      </w:r>
    </w:p>
    <w:p w14:paraId="0E0C59EA">
      <w:pPr>
        <w:pStyle w:val="9"/>
        <w:spacing w:before="0"/>
        <w:ind w:left="0"/>
        <w:jc w:val="left"/>
        <w:rPr>
          <w:rFonts w:hint="eastAsia"/>
          <w:sz w:val="30"/>
          <w:szCs w:val="30"/>
        </w:rPr>
      </w:pPr>
    </w:p>
    <w:p w14:paraId="5AA6711C">
      <w:pPr>
        <w:pStyle w:val="9"/>
        <w:spacing w:before="0"/>
        <w:ind w:left="0"/>
        <w:jc w:val="left"/>
        <w:rPr>
          <w:rFonts w:hint="eastAsia"/>
          <w:sz w:val="30"/>
          <w:szCs w:val="30"/>
        </w:rPr>
      </w:pPr>
      <w:r>
        <w:rPr>
          <w:rFonts w:hint="eastAsia"/>
          <w:sz w:val="30"/>
          <w:szCs w:val="30"/>
        </w:rPr>
        <w:t>The Completed Kingdom of God (also called the Final State, the Eschaton, and the World to Come)</w:t>
      </w:r>
    </w:p>
    <w:p w14:paraId="4C5C7FBA">
      <w:pPr>
        <w:pStyle w:val="9"/>
        <w:spacing w:before="0"/>
        <w:ind w:left="0"/>
        <w:jc w:val="left"/>
        <w:rPr>
          <w:rFonts w:hint="eastAsia"/>
          <w:sz w:val="30"/>
          <w:szCs w:val="30"/>
        </w:rPr>
      </w:pPr>
    </w:p>
    <w:p w14:paraId="63D9B893">
      <w:pPr>
        <w:pStyle w:val="9"/>
        <w:spacing w:before="0"/>
        <w:ind w:left="0"/>
        <w:jc w:val="left"/>
        <w:rPr>
          <w:rFonts w:hint="eastAsia"/>
          <w:sz w:val="30"/>
          <w:szCs w:val="30"/>
        </w:rPr>
      </w:pPr>
      <w:r>
        <w:rPr>
          <w:rFonts w:hint="eastAsia"/>
          <w:sz w:val="30"/>
          <w:szCs w:val="30"/>
        </w:rPr>
        <w:t>成全了的神的国（也称为最终状态、末世，和要来的世界）</w:t>
      </w:r>
    </w:p>
    <w:p w14:paraId="5AEC46ED">
      <w:pPr>
        <w:pStyle w:val="9"/>
        <w:spacing w:before="0"/>
        <w:ind w:left="0"/>
        <w:jc w:val="left"/>
        <w:rPr>
          <w:rFonts w:hint="eastAsia"/>
          <w:sz w:val="30"/>
          <w:szCs w:val="30"/>
        </w:rPr>
      </w:pPr>
    </w:p>
    <w:p w14:paraId="6834C859">
      <w:pPr>
        <w:pStyle w:val="9"/>
        <w:spacing w:before="0"/>
        <w:ind w:left="0"/>
        <w:jc w:val="left"/>
        <w:rPr>
          <w:rFonts w:hint="eastAsia"/>
          <w:sz w:val="30"/>
          <w:szCs w:val="30"/>
        </w:rPr>
      </w:pPr>
      <w:r>
        <w:rPr>
          <w:rFonts w:hint="eastAsia"/>
          <w:sz w:val="30"/>
          <w:szCs w:val="30"/>
        </w:rPr>
        <w:t>Again, all Christians agree that these are the elements, or building blocks, of biblical eschatology.</w:t>
      </w:r>
    </w:p>
    <w:p w14:paraId="7FC9FE23">
      <w:pPr>
        <w:pStyle w:val="9"/>
        <w:spacing w:before="0"/>
        <w:ind w:left="0"/>
        <w:jc w:val="left"/>
        <w:rPr>
          <w:rFonts w:hint="eastAsia"/>
          <w:sz w:val="30"/>
          <w:szCs w:val="30"/>
        </w:rPr>
      </w:pPr>
    </w:p>
    <w:p w14:paraId="2168CFFD">
      <w:pPr>
        <w:pStyle w:val="9"/>
        <w:spacing w:before="0"/>
        <w:ind w:left="0"/>
        <w:jc w:val="left"/>
        <w:rPr>
          <w:rFonts w:hint="eastAsia"/>
          <w:sz w:val="30"/>
          <w:szCs w:val="30"/>
        </w:rPr>
      </w:pPr>
      <w:r>
        <w:rPr>
          <w:rFonts w:hint="eastAsia"/>
          <w:sz w:val="30"/>
          <w:szCs w:val="30"/>
        </w:rPr>
        <w:t>再次强调，所有基督徒都同意，这些是圣经末世论的元素，或称基石。</w:t>
      </w:r>
    </w:p>
    <w:p w14:paraId="5F67DC99">
      <w:pPr>
        <w:pStyle w:val="9"/>
        <w:spacing w:before="0"/>
        <w:ind w:left="0"/>
        <w:jc w:val="left"/>
        <w:rPr>
          <w:rFonts w:hint="eastAsia"/>
          <w:sz w:val="30"/>
          <w:szCs w:val="30"/>
        </w:rPr>
      </w:pPr>
    </w:p>
    <w:p w14:paraId="43A38E24">
      <w:pPr>
        <w:pStyle w:val="9"/>
        <w:spacing w:before="0"/>
        <w:ind w:left="0"/>
        <w:jc w:val="left"/>
        <w:rPr>
          <w:rFonts w:hint="eastAsia"/>
          <w:sz w:val="30"/>
          <w:szCs w:val="30"/>
        </w:rPr>
      </w:pPr>
      <w:r>
        <w:rPr>
          <w:rFonts w:hint="eastAsia"/>
          <w:sz w:val="30"/>
          <w:szCs w:val="30"/>
        </w:rPr>
        <w:t>However, after that the disagreements begin.</w:t>
      </w:r>
    </w:p>
    <w:p w14:paraId="24E69647">
      <w:pPr>
        <w:pStyle w:val="9"/>
        <w:spacing w:before="0"/>
        <w:ind w:left="0"/>
        <w:jc w:val="left"/>
        <w:rPr>
          <w:rFonts w:hint="eastAsia"/>
          <w:sz w:val="30"/>
          <w:szCs w:val="30"/>
        </w:rPr>
      </w:pPr>
    </w:p>
    <w:p w14:paraId="7F82FE77">
      <w:pPr>
        <w:pStyle w:val="9"/>
        <w:spacing w:before="0"/>
        <w:ind w:left="0"/>
        <w:jc w:val="left"/>
        <w:rPr>
          <w:rFonts w:hint="eastAsia"/>
          <w:sz w:val="30"/>
          <w:szCs w:val="30"/>
        </w:rPr>
      </w:pPr>
      <w:r>
        <w:rPr>
          <w:rFonts w:hint="eastAsia"/>
          <w:sz w:val="30"/>
          <w:szCs w:val="30"/>
        </w:rPr>
        <w:t>然而，自此之后，分歧便开始了。</w:t>
      </w:r>
    </w:p>
    <w:p w14:paraId="769260F9">
      <w:pPr>
        <w:pStyle w:val="9"/>
        <w:spacing w:before="0"/>
        <w:ind w:left="0"/>
        <w:jc w:val="left"/>
        <w:rPr>
          <w:rFonts w:hint="eastAsia"/>
          <w:sz w:val="30"/>
          <w:szCs w:val="30"/>
        </w:rPr>
      </w:pPr>
    </w:p>
    <w:p w14:paraId="77CDAB79">
      <w:pPr>
        <w:pStyle w:val="9"/>
        <w:spacing w:before="0"/>
        <w:ind w:left="0"/>
        <w:jc w:val="left"/>
        <w:rPr>
          <w:rFonts w:hint="eastAsia"/>
          <w:sz w:val="30"/>
          <w:szCs w:val="30"/>
        </w:rPr>
      </w:pPr>
      <w:r>
        <w:rPr>
          <w:rFonts w:hint="eastAsia"/>
          <w:sz w:val="30"/>
          <w:szCs w:val="30"/>
        </w:rPr>
        <w:t>They disagree, for example, as to how some of these elements are properly defined.</w:t>
      </w:r>
    </w:p>
    <w:p w14:paraId="004043A1">
      <w:pPr>
        <w:pStyle w:val="9"/>
        <w:spacing w:before="0"/>
        <w:ind w:left="0"/>
        <w:jc w:val="left"/>
        <w:rPr>
          <w:rFonts w:hint="eastAsia"/>
          <w:sz w:val="30"/>
          <w:szCs w:val="30"/>
        </w:rPr>
      </w:pPr>
    </w:p>
    <w:p w14:paraId="608982FB">
      <w:pPr>
        <w:pStyle w:val="9"/>
        <w:spacing w:before="0"/>
        <w:ind w:left="0"/>
        <w:jc w:val="left"/>
        <w:rPr>
          <w:rFonts w:hint="eastAsia"/>
          <w:sz w:val="30"/>
          <w:szCs w:val="30"/>
        </w:rPr>
      </w:pPr>
      <w:r>
        <w:rPr>
          <w:rFonts w:hint="eastAsia"/>
          <w:sz w:val="30"/>
          <w:szCs w:val="30"/>
        </w:rPr>
        <w:t>例如，他们对于其中一些元素应如何被恰当定义，存在分歧。</w:t>
      </w:r>
    </w:p>
    <w:p w14:paraId="7D310F95">
      <w:pPr>
        <w:pStyle w:val="9"/>
        <w:spacing w:before="0"/>
        <w:ind w:left="0"/>
        <w:jc w:val="left"/>
        <w:rPr>
          <w:rFonts w:hint="eastAsia"/>
          <w:sz w:val="30"/>
          <w:szCs w:val="30"/>
        </w:rPr>
      </w:pPr>
    </w:p>
    <w:p w14:paraId="7F771683">
      <w:pPr>
        <w:pStyle w:val="9"/>
        <w:spacing w:before="0"/>
        <w:ind w:left="0"/>
        <w:jc w:val="left"/>
        <w:rPr>
          <w:rFonts w:hint="eastAsia"/>
          <w:sz w:val="30"/>
          <w:szCs w:val="30"/>
        </w:rPr>
      </w:pPr>
      <w:r>
        <w:rPr>
          <w:rFonts w:hint="eastAsia"/>
          <w:sz w:val="30"/>
          <w:szCs w:val="30"/>
        </w:rPr>
        <w:t>They disagree as to whether certain elements (e.g., the Parousia, the Resurrection, the Judgment) will happen once, twice, or even three times!</w:t>
      </w:r>
    </w:p>
    <w:p w14:paraId="2F176AAE">
      <w:pPr>
        <w:pStyle w:val="9"/>
        <w:spacing w:before="0"/>
        <w:ind w:left="0"/>
        <w:jc w:val="left"/>
        <w:rPr>
          <w:rFonts w:hint="eastAsia"/>
          <w:sz w:val="30"/>
          <w:szCs w:val="30"/>
        </w:rPr>
      </w:pPr>
    </w:p>
    <w:p w14:paraId="7DB920DA">
      <w:pPr>
        <w:pStyle w:val="9"/>
        <w:spacing w:before="0"/>
        <w:ind w:left="0"/>
        <w:jc w:val="left"/>
        <w:rPr>
          <w:rFonts w:hint="eastAsia"/>
          <w:sz w:val="30"/>
          <w:szCs w:val="30"/>
        </w:rPr>
      </w:pPr>
      <w:r>
        <w:rPr>
          <w:rFonts w:hint="eastAsia"/>
          <w:sz w:val="30"/>
          <w:szCs w:val="30"/>
        </w:rPr>
        <w:t>他们对于某些元素（例如，主的再来、复活、审判）将会发生一次、两次、甚至三次，也存在分歧！</w:t>
      </w:r>
    </w:p>
    <w:p w14:paraId="5D127B49">
      <w:pPr>
        <w:pStyle w:val="9"/>
        <w:spacing w:before="0"/>
        <w:ind w:left="0"/>
        <w:jc w:val="left"/>
        <w:rPr>
          <w:rFonts w:hint="eastAsia"/>
          <w:sz w:val="30"/>
          <w:szCs w:val="30"/>
        </w:rPr>
      </w:pPr>
    </w:p>
    <w:p w14:paraId="0A7EFBF1">
      <w:pPr>
        <w:pStyle w:val="9"/>
        <w:spacing w:before="0"/>
        <w:ind w:left="0"/>
        <w:jc w:val="left"/>
        <w:rPr>
          <w:rFonts w:hint="eastAsia"/>
          <w:sz w:val="30"/>
          <w:szCs w:val="30"/>
        </w:rPr>
      </w:pPr>
      <w:r>
        <w:rPr>
          <w:rFonts w:hint="eastAsia"/>
          <w:sz w:val="30"/>
          <w:szCs w:val="30"/>
        </w:rPr>
        <w:t>And, of course, they disagree about the exact order or chronological sequence of the elements.</w:t>
      </w:r>
    </w:p>
    <w:p w14:paraId="2734047D">
      <w:pPr>
        <w:pStyle w:val="9"/>
        <w:spacing w:before="0"/>
        <w:ind w:left="0"/>
        <w:jc w:val="left"/>
        <w:rPr>
          <w:rFonts w:hint="eastAsia"/>
          <w:sz w:val="30"/>
          <w:szCs w:val="30"/>
        </w:rPr>
      </w:pPr>
    </w:p>
    <w:p w14:paraId="2521D477">
      <w:pPr>
        <w:pStyle w:val="9"/>
        <w:spacing w:before="0"/>
        <w:ind w:left="0"/>
        <w:jc w:val="left"/>
        <w:rPr>
          <w:rFonts w:hint="eastAsia"/>
          <w:sz w:val="30"/>
          <w:szCs w:val="30"/>
        </w:rPr>
      </w:pPr>
      <w:r>
        <w:rPr>
          <w:rFonts w:hint="eastAsia"/>
          <w:sz w:val="30"/>
          <w:szCs w:val="30"/>
        </w:rPr>
        <w:t>当然，他们也对这些元素的确切次序或时间顺序存在分歧。</w:t>
      </w:r>
    </w:p>
    <w:p w14:paraId="0514BD4C">
      <w:pPr>
        <w:pStyle w:val="9"/>
        <w:spacing w:before="0"/>
        <w:ind w:left="0"/>
        <w:jc w:val="left"/>
        <w:rPr>
          <w:rFonts w:hint="eastAsia"/>
          <w:sz w:val="30"/>
          <w:szCs w:val="30"/>
        </w:rPr>
      </w:pPr>
    </w:p>
    <w:p w14:paraId="5E2A8BFE">
      <w:pPr>
        <w:pStyle w:val="9"/>
        <w:spacing w:before="0"/>
        <w:ind w:left="0"/>
        <w:jc w:val="left"/>
        <w:rPr>
          <w:rFonts w:hint="eastAsia"/>
          <w:sz w:val="30"/>
          <w:szCs w:val="30"/>
        </w:rPr>
      </w:pPr>
      <w:r>
        <w:rPr>
          <w:rFonts w:hint="eastAsia"/>
          <w:sz w:val="30"/>
          <w:szCs w:val="30"/>
        </w:rPr>
        <w:t>This brings us to our focus in the present chapter: the deep, underlying issues in biblical eschatology.</w:t>
      </w:r>
    </w:p>
    <w:p w14:paraId="110D3B20">
      <w:pPr>
        <w:pStyle w:val="9"/>
        <w:spacing w:before="0"/>
        <w:ind w:left="0"/>
        <w:jc w:val="left"/>
        <w:rPr>
          <w:rFonts w:hint="eastAsia"/>
          <w:sz w:val="30"/>
          <w:szCs w:val="30"/>
        </w:rPr>
      </w:pPr>
    </w:p>
    <w:p w14:paraId="032EF67D">
      <w:pPr>
        <w:pStyle w:val="9"/>
        <w:spacing w:before="0"/>
        <w:ind w:left="0"/>
        <w:jc w:val="left"/>
        <w:rPr>
          <w:rFonts w:hint="eastAsia"/>
          <w:sz w:val="30"/>
          <w:szCs w:val="30"/>
        </w:rPr>
      </w:pPr>
      <w:r>
        <w:rPr>
          <w:rFonts w:hint="eastAsia"/>
          <w:sz w:val="30"/>
          <w:szCs w:val="30"/>
        </w:rPr>
        <w:t>这就把我们带到了本章的焦点：圣经末世论中深层的、根本性的议题。</w:t>
      </w:r>
    </w:p>
    <w:p w14:paraId="5F367E65">
      <w:pPr>
        <w:pStyle w:val="9"/>
        <w:spacing w:before="0"/>
        <w:ind w:left="0"/>
        <w:jc w:val="left"/>
        <w:rPr>
          <w:rFonts w:hint="eastAsia"/>
          <w:sz w:val="30"/>
          <w:szCs w:val="30"/>
        </w:rPr>
      </w:pPr>
    </w:p>
    <w:p w14:paraId="00FFF959">
      <w:pPr>
        <w:pStyle w:val="9"/>
        <w:spacing w:before="0"/>
        <w:ind w:left="0"/>
        <w:jc w:val="left"/>
        <w:rPr>
          <w:rFonts w:hint="eastAsia"/>
          <w:sz w:val="30"/>
          <w:szCs w:val="30"/>
        </w:rPr>
      </w:pPr>
      <w:r>
        <w:rPr>
          <w:rFonts w:hint="eastAsia"/>
          <w:sz w:val="30"/>
          <w:szCs w:val="30"/>
        </w:rPr>
        <w:t>Very importantly, these are different from the elements, though they do indeed powerfully affect how we think about the elements.</w:t>
      </w:r>
    </w:p>
    <w:p w14:paraId="795AE395">
      <w:pPr>
        <w:pStyle w:val="9"/>
        <w:spacing w:before="0"/>
        <w:ind w:left="0"/>
        <w:jc w:val="left"/>
        <w:rPr>
          <w:rFonts w:hint="eastAsia"/>
          <w:sz w:val="30"/>
          <w:szCs w:val="30"/>
        </w:rPr>
      </w:pPr>
    </w:p>
    <w:p w14:paraId="5DDABE6A">
      <w:pPr>
        <w:pStyle w:val="9"/>
        <w:spacing w:before="0"/>
        <w:ind w:left="0"/>
        <w:jc w:val="left"/>
        <w:rPr>
          <w:rFonts w:hint="eastAsia"/>
          <w:sz w:val="30"/>
          <w:szCs w:val="30"/>
        </w:rPr>
      </w:pPr>
      <w:r>
        <w:rPr>
          <w:rFonts w:hint="eastAsia"/>
          <w:sz w:val="30"/>
          <w:szCs w:val="30"/>
        </w:rPr>
        <w:t>非常重要的一点是，这些议题与元素不同，尽管它们确实强烈地影响着我们如何思考这些元素。</w:t>
      </w:r>
    </w:p>
    <w:p w14:paraId="75B64E80">
      <w:pPr>
        <w:pStyle w:val="9"/>
        <w:spacing w:before="0"/>
        <w:ind w:left="0"/>
        <w:jc w:val="left"/>
        <w:rPr>
          <w:rFonts w:hint="eastAsia"/>
          <w:sz w:val="30"/>
          <w:szCs w:val="30"/>
        </w:rPr>
      </w:pPr>
    </w:p>
    <w:p w14:paraId="3E27BF60">
      <w:pPr>
        <w:pStyle w:val="9"/>
        <w:spacing w:before="0"/>
        <w:ind w:left="0"/>
        <w:jc w:val="left"/>
        <w:rPr>
          <w:rFonts w:hint="eastAsia"/>
          <w:sz w:val="30"/>
          <w:szCs w:val="30"/>
        </w:rPr>
      </w:pPr>
      <w:r>
        <w:rPr>
          <w:rFonts w:hint="eastAsia"/>
          <w:sz w:val="30"/>
          <w:szCs w:val="30"/>
        </w:rPr>
        <w:t>Also, they are far fewer than the elements.</w:t>
      </w:r>
    </w:p>
    <w:p w14:paraId="58CB8663">
      <w:pPr>
        <w:pStyle w:val="9"/>
        <w:spacing w:before="0"/>
        <w:ind w:left="0"/>
        <w:jc w:val="left"/>
        <w:rPr>
          <w:rFonts w:hint="eastAsia"/>
          <w:sz w:val="30"/>
          <w:szCs w:val="30"/>
        </w:rPr>
      </w:pPr>
    </w:p>
    <w:p w14:paraId="1620D5D7">
      <w:pPr>
        <w:pStyle w:val="9"/>
        <w:spacing w:before="0"/>
        <w:ind w:left="0"/>
        <w:jc w:val="left"/>
        <w:rPr>
          <w:rFonts w:hint="eastAsia"/>
          <w:sz w:val="30"/>
          <w:szCs w:val="30"/>
        </w:rPr>
      </w:pPr>
      <w:r>
        <w:rPr>
          <w:rFonts w:hint="eastAsia"/>
          <w:sz w:val="30"/>
          <w:szCs w:val="30"/>
        </w:rPr>
        <w:t>而且，它们的数量远少于元素。</w:t>
      </w:r>
    </w:p>
    <w:p w14:paraId="43090CB9">
      <w:pPr>
        <w:pStyle w:val="9"/>
        <w:spacing w:before="0"/>
        <w:ind w:left="0"/>
        <w:jc w:val="left"/>
        <w:rPr>
          <w:rFonts w:hint="eastAsia"/>
          <w:sz w:val="30"/>
          <w:szCs w:val="30"/>
        </w:rPr>
      </w:pPr>
    </w:p>
    <w:p w14:paraId="7AC8297D">
      <w:pPr>
        <w:pStyle w:val="9"/>
        <w:spacing w:before="0"/>
        <w:ind w:left="0"/>
        <w:jc w:val="left"/>
        <w:rPr>
          <w:rFonts w:hint="eastAsia"/>
          <w:sz w:val="30"/>
          <w:szCs w:val="30"/>
        </w:rPr>
      </w:pPr>
      <w:r>
        <w:rPr>
          <w:rFonts w:hint="eastAsia"/>
          <w:sz w:val="30"/>
          <w:szCs w:val="30"/>
        </w:rPr>
        <w:t>In fact, I discern only three such issues.</w:t>
      </w:r>
    </w:p>
    <w:p w14:paraId="24C599F6">
      <w:pPr>
        <w:pStyle w:val="9"/>
        <w:spacing w:before="0"/>
        <w:ind w:left="0"/>
        <w:jc w:val="left"/>
        <w:rPr>
          <w:rFonts w:hint="eastAsia"/>
          <w:sz w:val="30"/>
          <w:szCs w:val="30"/>
        </w:rPr>
      </w:pPr>
    </w:p>
    <w:p w14:paraId="5D2EA374">
      <w:pPr>
        <w:pStyle w:val="9"/>
        <w:spacing w:before="0"/>
        <w:ind w:left="0"/>
        <w:jc w:val="left"/>
        <w:rPr>
          <w:rFonts w:hint="eastAsia"/>
          <w:sz w:val="30"/>
          <w:szCs w:val="30"/>
        </w:rPr>
      </w:pPr>
      <w:r>
        <w:rPr>
          <w:rFonts w:hint="eastAsia"/>
          <w:sz w:val="30"/>
          <w:szCs w:val="30"/>
        </w:rPr>
        <w:t>事实上，我只辨识出三个这样的议题。</w:t>
      </w:r>
    </w:p>
    <w:p w14:paraId="1DEC3AA0">
      <w:pPr>
        <w:pStyle w:val="9"/>
        <w:spacing w:before="0"/>
        <w:ind w:left="0"/>
        <w:jc w:val="left"/>
        <w:rPr>
          <w:rFonts w:hint="eastAsia"/>
          <w:sz w:val="30"/>
          <w:szCs w:val="30"/>
        </w:rPr>
      </w:pPr>
    </w:p>
    <w:p w14:paraId="76437F78">
      <w:pPr>
        <w:pStyle w:val="9"/>
        <w:spacing w:before="0"/>
        <w:ind w:left="0"/>
        <w:jc w:val="left"/>
        <w:rPr>
          <w:rFonts w:hint="eastAsia"/>
          <w:sz w:val="30"/>
          <w:szCs w:val="30"/>
        </w:rPr>
      </w:pPr>
      <w:r>
        <w:rPr>
          <w:rFonts w:hint="eastAsia"/>
          <w:sz w:val="30"/>
          <w:szCs w:val="30"/>
        </w:rPr>
        <w:t>And if I’m right, that is very good news, for it means that in order to resolve the Great End Time Debate, all we really need is to discern the truth about these three great pillars of biblical eschatology, and then stand back and watch the true structure of Salvation History emerge out of the fogs of complexity, confusion, and contention.</w:t>
      </w:r>
    </w:p>
    <w:p w14:paraId="4BAF93C3">
      <w:pPr>
        <w:pStyle w:val="9"/>
        <w:spacing w:before="0"/>
        <w:ind w:left="0"/>
        <w:jc w:val="left"/>
        <w:rPr>
          <w:rFonts w:hint="eastAsia"/>
          <w:sz w:val="30"/>
          <w:szCs w:val="30"/>
        </w:rPr>
      </w:pPr>
    </w:p>
    <w:p w14:paraId="58990277">
      <w:pPr>
        <w:pStyle w:val="9"/>
        <w:spacing w:before="0"/>
        <w:ind w:left="0"/>
        <w:jc w:val="left"/>
        <w:rPr>
          <w:rFonts w:hint="eastAsia"/>
          <w:sz w:val="30"/>
          <w:szCs w:val="30"/>
        </w:rPr>
      </w:pPr>
      <w:r>
        <w:rPr>
          <w:rFonts w:hint="eastAsia"/>
          <w:sz w:val="30"/>
          <w:szCs w:val="30"/>
        </w:rPr>
        <w:t>如果我是对的，那这便是极好的消息，因为这意味着，为了解决末世大辩论，我们真正需要做的，只是辨识出关于圣经末世论这三大支柱的真理，然后退后一步，观看救赎历史的真实结构从复杂、混乱和争论的迷雾中浮现出来。</w:t>
      </w:r>
    </w:p>
    <w:p w14:paraId="412DB969">
      <w:pPr>
        <w:pStyle w:val="9"/>
        <w:spacing w:before="0"/>
        <w:ind w:left="0"/>
        <w:jc w:val="left"/>
        <w:rPr>
          <w:rFonts w:hint="eastAsia"/>
          <w:sz w:val="30"/>
          <w:szCs w:val="30"/>
        </w:rPr>
      </w:pPr>
    </w:p>
    <w:p w14:paraId="36BA521D">
      <w:pPr>
        <w:pStyle w:val="9"/>
        <w:spacing w:before="0"/>
        <w:ind w:left="0"/>
        <w:jc w:val="left"/>
        <w:rPr>
          <w:rFonts w:hint="eastAsia"/>
          <w:sz w:val="30"/>
          <w:szCs w:val="30"/>
        </w:rPr>
      </w:pPr>
      <w:r>
        <w:rPr>
          <w:rFonts w:hint="eastAsia"/>
          <w:sz w:val="30"/>
          <w:szCs w:val="30"/>
        </w:rPr>
        <w:t>Let us therefore devote the rest of this chapter simply to introducing and carefully describing these three closely related and all-important issues.</w:t>
      </w:r>
    </w:p>
    <w:p w14:paraId="5940B639">
      <w:pPr>
        <w:pStyle w:val="9"/>
        <w:spacing w:before="0"/>
        <w:ind w:left="0"/>
        <w:jc w:val="left"/>
        <w:rPr>
          <w:rFonts w:hint="eastAsia"/>
          <w:sz w:val="30"/>
          <w:szCs w:val="30"/>
        </w:rPr>
      </w:pPr>
    </w:p>
    <w:p w14:paraId="4DE50561">
      <w:pPr>
        <w:pStyle w:val="9"/>
        <w:spacing w:before="0"/>
        <w:ind w:left="0"/>
        <w:jc w:val="left"/>
        <w:rPr>
          <w:rFonts w:hint="eastAsia"/>
          <w:sz w:val="30"/>
          <w:szCs w:val="30"/>
        </w:rPr>
      </w:pPr>
      <w:r>
        <w:rPr>
          <w:rFonts w:hint="eastAsia"/>
          <w:sz w:val="30"/>
          <w:szCs w:val="30"/>
        </w:rPr>
        <w:t>因此，让我们把本章余下的部分，仅仅用来介绍和仔细描述这三个紧密相关且至关重要的议题。</w:t>
      </w:r>
    </w:p>
    <w:p w14:paraId="17FA3DA1">
      <w:pPr>
        <w:pStyle w:val="9"/>
        <w:spacing w:before="0"/>
        <w:ind w:left="0"/>
        <w:jc w:val="left"/>
        <w:rPr>
          <w:rFonts w:hint="eastAsia"/>
          <w:sz w:val="30"/>
          <w:szCs w:val="30"/>
        </w:rPr>
      </w:pPr>
    </w:p>
    <w:p w14:paraId="27E79845">
      <w:pPr>
        <w:pStyle w:val="9"/>
        <w:spacing w:before="0"/>
        <w:ind w:left="0"/>
        <w:jc w:val="left"/>
        <w:rPr>
          <w:rFonts w:hint="eastAsia"/>
          <w:sz w:val="30"/>
          <w:szCs w:val="30"/>
        </w:rPr>
      </w:pPr>
      <w:r>
        <w:rPr>
          <w:rFonts w:hint="eastAsia"/>
          <w:sz w:val="30"/>
          <w:szCs w:val="30"/>
        </w:rPr>
        <w:t>1.The Kingdom of God</w:t>
      </w:r>
    </w:p>
    <w:p w14:paraId="63E02A8D">
      <w:pPr>
        <w:pStyle w:val="9"/>
        <w:spacing w:before="0"/>
        <w:ind w:left="0"/>
        <w:jc w:val="left"/>
        <w:rPr>
          <w:rFonts w:hint="eastAsia"/>
          <w:sz w:val="30"/>
          <w:szCs w:val="30"/>
        </w:rPr>
      </w:pPr>
    </w:p>
    <w:p w14:paraId="6D8818A1">
      <w:pPr>
        <w:pStyle w:val="9"/>
        <w:spacing w:before="0"/>
        <w:ind w:left="0"/>
        <w:jc w:val="left"/>
        <w:rPr>
          <w:rFonts w:hint="eastAsia"/>
          <w:sz w:val="30"/>
          <w:szCs w:val="30"/>
        </w:rPr>
      </w:pPr>
      <w:r>
        <w:rPr>
          <w:rFonts w:hint="eastAsia"/>
          <w:sz w:val="30"/>
          <w:szCs w:val="30"/>
        </w:rPr>
        <w:t>1.神的国</w:t>
      </w:r>
    </w:p>
    <w:p w14:paraId="03A6A636">
      <w:pPr>
        <w:pStyle w:val="9"/>
        <w:spacing w:before="0"/>
        <w:ind w:left="0"/>
        <w:jc w:val="left"/>
        <w:rPr>
          <w:rFonts w:hint="eastAsia"/>
          <w:sz w:val="30"/>
          <w:szCs w:val="30"/>
        </w:rPr>
      </w:pPr>
    </w:p>
    <w:p w14:paraId="1570EB41">
      <w:pPr>
        <w:pStyle w:val="9"/>
        <w:spacing w:before="0"/>
        <w:ind w:left="0"/>
        <w:jc w:val="left"/>
        <w:rPr>
          <w:rFonts w:hint="eastAsia"/>
          <w:sz w:val="30"/>
          <w:szCs w:val="30"/>
        </w:rPr>
      </w:pPr>
      <w:r>
        <w:rPr>
          <w:rFonts w:hint="eastAsia"/>
          <w:sz w:val="30"/>
          <w:szCs w:val="30"/>
        </w:rPr>
        <w:t>Trust me when I say that this issue belongs at the top of our list.</w:t>
      </w:r>
    </w:p>
    <w:p w14:paraId="347AF95C">
      <w:pPr>
        <w:pStyle w:val="9"/>
        <w:spacing w:before="0"/>
        <w:ind w:left="0"/>
        <w:jc w:val="left"/>
        <w:rPr>
          <w:rFonts w:hint="eastAsia"/>
          <w:sz w:val="30"/>
          <w:szCs w:val="30"/>
        </w:rPr>
      </w:pPr>
    </w:p>
    <w:p w14:paraId="43885C5D">
      <w:pPr>
        <w:pStyle w:val="9"/>
        <w:spacing w:before="0"/>
        <w:ind w:left="0"/>
        <w:jc w:val="left"/>
        <w:rPr>
          <w:rFonts w:hint="eastAsia"/>
          <w:sz w:val="30"/>
          <w:szCs w:val="30"/>
        </w:rPr>
      </w:pPr>
      <w:r>
        <w:rPr>
          <w:rFonts w:hint="eastAsia"/>
          <w:sz w:val="30"/>
          <w:szCs w:val="30"/>
        </w:rPr>
        <w:t>请相信我，这个议题理当在我们列表的首位。</w:t>
      </w:r>
    </w:p>
    <w:p w14:paraId="5749B3A0">
      <w:pPr>
        <w:pStyle w:val="9"/>
        <w:spacing w:before="0"/>
        <w:ind w:left="0"/>
        <w:jc w:val="left"/>
        <w:rPr>
          <w:rFonts w:hint="eastAsia"/>
          <w:sz w:val="30"/>
          <w:szCs w:val="30"/>
        </w:rPr>
      </w:pPr>
    </w:p>
    <w:p w14:paraId="077588DE">
      <w:pPr>
        <w:pStyle w:val="9"/>
        <w:spacing w:before="0"/>
        <w:ind w:left="0"/>
        <w:jc w:val="left"/>
        <w:rPr>
          <w:rFonts w:hint="eastAsia"/>
          <w:sz w:val="30"/>
          <w:szCs w:val="30"/>
        </w:rPr>
      </w:pPr>
      <w:r>
        <w:rPr>
          <w:rFonts w:hint="eastAsia"/>
          <w:sz w:val="30"/>
          <w:szCs w:val="30"/>
        </w:rPr>
        <w:t>Virtually every flashpoint of controversy in the Great End Time Debate is related, in one way or another, to differing interpretations of the nature and coming of the Kingdom predicted by the OT prophets during the Era of Promise.</w:t>
      </w:r>
    </w:p>
    <w:p w14:paraId="4625485B">
      <w:pPr>
        <w:pStyle w:val="9"/>
        <w:spacing w:before="0"/>
        <w:ind w:left="0"/>
        <w:jc w:val="left"/>
        <w:rPr>
          <w:rFonts w:hint="eastAsia"/>
          <w:sz w:val="30"/>
          <w:szCs w:val="30"/>
        </w:rPr>
      </w:pPr>
    </w:p>
    <w:p w14:paraId="4E23E9FC">
      <w:pPr>
        <w:pStyle w:val="9"/>
        <w:spacing w:before="0"/>
        <w:ind w:left="0"/>
        <w:jc w:val="left"/>
        <w:rPr>
          <w:rFonts w:hint="eastAsia"/>
          <w:sz w:val="30"/>
          <w:szCs w:val="30"/>
        </w:rPr>
      </w:pPr>
      <w:r>
        <w:rPr>
          <w:rFonts w:hint="eastAsia"/>
          <w:sz w:val="30"/>
          <w:szCs w:val="30"/>
        </w:rPr>
        <w:t>在末世大辩论中，几乎每一个争议的爆发点，都或多或少地与对旧约申言者在应许时代所预言之国度的性质与降临的不同解释有关。</w:t>
      </w:r>
    </w:p>
    <w:p w14:paraId="65C45727">
      <w:pPr>
        <w:pStyle w:val="9"/>
        <w:spacing w:before="0"/>
        <w:ind w:left="0"/>
        <w:jc w:val="left"/>
        <w:rPr>
          <w:rFonts w:hint="eastAsia"/>
          <w:sz w:val="30"/>
          <w:szCs w:val="30"/>
        </w:rPr>
      </w:pPr>
    </w:p>
    <w:p w14:paraId="09E2A295">
      <w:pPr>
        <w:pStyle w:val="9"/>
        <w:spacing w:before="0"/>
        <w:ind w:left="0"/>
        <w:jc w:val="left"/>
        <w:rPr>
          <w:rFonts w:hint="eastAsia"/>
          <w:sz w:val="30"/>
          <w:szCs w:val="30"/>
        </w:rPr>
      </w:pPr>
      <w:r>
        <w:rPr>
          <w:rFonts w:hint="eastAsia"/>
          <w:sz w:val="30"/>
          <w:szCs w:val="30"/>
        </w:rPr>
        <w:t>Let us therefore take a few moments to discuss three aspects of this foundational issue: 1) the OT picture of the Kingdom; 2) the difficulty in accepting it at face value; and 3) the two main solutions offered by Christian interpreters down through the years.</w:t>
      </w:r>
    </w:p>
    <w:p w14:paraId="4A874D91">
      <w:pPr>
        <w:pStyle w:val="9"/>
        <w:spacing w:before="0"/>
        <w:ind w:left="0"/>
        <w:jc w:val="left"/>
        <w:rPr>
          <w:rFonts w:hint="eastAsia"/>
          <w:sz w:val="30"/>
          <w:szCs w:val="30"/>
        </w:rPr>
      </w:pPr>
    </w:p>
    <w:p w14:paraId="146A6C95">
      <w:pPr>
        <w:pStyle w:val="9"/>
        <w:spacing w:before="0"/>
        <w:ind w:left="0"/>
        <w:jc w:val="left"/>
        <w:rPr>
          <w:rFonts w:hint="eastAsia"/>
          <w:sz w:val="30"/>
          <w:szCs w:val="30"/>
        </w:rPr>
      </w:pPr>
      <w:r>
        <w:rPr>
          <w:rFonts w:hint="eastAsia"/>
          <w:sz w:val="30"/>
          <w:szCs w:val="30"/>
        </w:rPr>
        <w:t>因此，让我们花些时间来讨论这个基础性议题的三个方面：1）旧约对国度的描绘；2）按字面意义接受它的困难；以及 3）历代以来基督教释经家们提出的两种主要解决方案。</w:t>
      </w:r>
    </w:p>
    <w:p w14:paraId="63261A10">
      <w:pPr>
        <w:pStyle w:val="9"/>
        <w:spacing w:before="0"/>
        <w:ind w:left="0"/>
        <w:jc w:val="left"/>
        <w:rPr>
          <w:rFonts w:hint="eastAsia"/>
          <w:sz w:val="30"/>
          <w:szCs w:val="30"/>
        </w:rPr>
      </w:pPr>
    </w:p>
    <w:p w14:paraId="1F9B9392">
      <w:pPr>
        <w:pStyle w:val="9"/>
        <w:spacing w:before="0"/>
        <w:ind w:left="0"/>
        <w:jc w:val="left"/>
        <w:rPr>
          <w:rFonts w:hint="eastAsia"/>
          <w:sz w:val="30"/>
          <w:szCs w:val="30"/>
        </w:rPr>
      </w:pPr>
      <w:r>
        <w:rPr>
          <w:rFonts w:hint="eastAsia"/>
          <w:sz w:val="30"/>
          <w:szCs w:val="30"/>
        </w:rPr>
        <w:t>The OT Picture of the Kingdom of God</w:t>
      </w:r>
    </w:p>
    <w:p w14:paraId="2273CCA2">
      <w:pPr>
        <w:pStyle w:val="9"/>
        <w:spacing w:before="0"/>
        <w:ind w:left="0"/>
        <w:jc w:val="left"/>
        <w:rPr>
          <w:rFonts w:hint="eastAsia"/>
          <w:sz w:val="30"/>
          <w:szCs w:val="30"/>
        </w:rPr>
      </w:pPr>
    </w:p>
    <w:p w14:paraId="2183C154">
      <w:pPr>
        <w:pStyle w:val="9"/>
        <w:spacing w:before="0"/>
        <w:ind w:left="0"/>
        <w:jc w:val="left"/>
        <w:rPr>
          <w:rFonts w:hint="eastAsia"/>
          <w:sz w:val="30"/>
          <w:szCs w:val="30"/>
        </w:rPr>
      </w:pPr>
      <w:r>
        <w:rPr>
          <w:rFonts w:hint="eastAsia"/>
          <w:sz w:val="30"/>
          <w:szCs w:val="30"/>
        </w:rPr>
        <w:t>旧约对神的国的描绘</w:t>
      </w:r>
    </w:p>
    <w:p w14:paraId="2F46D716">
      <w:pPr>
        <w:pStyle w:val="9"/>
        <w:spacing w:before="0"/>
        <w:ind w:left="0"/>
        <w:jc w:val="left"/>
        <w:rPr>
          <w:rFonts w:hint="eastAsia"/>
          <w:sz w:val="30"/>
          <w:szCs w:val="30"/>
        </w:rPr>
      </w:pPr>
    </w:p>
    <w:p w14:paraId="0D456DCE">
      <w:pPr>
        <w:pStyle w:val="9"/>
        <w:spacing w:before="0"/>
        <w:ind w:left="0"/>
        <w:jc w:val="left"/>
        <w:rPr>
          <w:rFonts w:hint="eastAsia"/>
          <w:sz w:val="30"/>
          <w:szCs w:val="30"/>
        </w:rPr>
      </w:pPr>
      <w:r>
        <w:rPr>
          <w:rFonts w:hint="eastAsia"/>
          <w:sz w:val="30"/>
          <w:szCs w:val="30"/>
        </w:rPr>
        <w:t>As we shall see later, the sphere of redemption that Christ referred to as the Kingdom of God was “mystically” on display from the very foundation of the world.</w:t>
      </w:r>
    </w:p>
    <w:p w14:paraId="40DA7E79">
      <w:pPr>
        <w:pStyle w:val="9"/>
        <w:spacing w:before="0"/>
        <w:ind w:left="0"/>
        <w:jc w:val="left"/>
        <w:rPr>
          <w:rFonts w:hint="eastAsia"/>
          <w:sz w:val="30"/>
          <w:szCs w:val="30"/>
        </w:rPr>
      </w:pPr>
    </w:p>
    <w:p w14:paraId="5725B8DE">
      <w:pPr>
        <w:pStyle w:val="9"/>
        <w:spacing w:before="0"/>
        <w:ind w:left="0"/>
        <w:jc w:val="left"/>
        <w:rPr>
          <w:rFonts w:hint="eastAsia"/>
          <w:sz w:val="30"/>
          <w:szCs w:val="30"/>
        </w:rPr>
      </w:pPr>
      <w:r>
        <w:rPr>
          <w:rFonts w:hint="eastAsia"/>
          <w:sz w:val="30"/>
          <w:szCs w:val="30"/>
        </w:rPr>
        <w:t>正如我们稍后将看到的，基督所称之为神的国的那个救赎范畴，从创世之初就已“奥秘地”展示出来。</w:t>
      </w:r>
    </w:p>
    <w:p w14:paraId="231486ED">
      <w:pPr>
        <w:pStyle w:val="9"/>
        <w:spacing w:before="0"/>
        <w:ind w:left="0"/>
        <w:jc w:val="left"/>
        <w:rPr>
          <w:rFonts w:hint="eastAsia"/>
          <w:sz w:val="30"/>
          <w:szCs w:val="30"/>
        </w:rPr>
      </w:pPr>
    </w:p>
    <w:p w14:paraId="347DB0DD">
      <w:pPr>
        <w:pStyle w:val="9"/>
        <w:spacing w:before="0"/>
        <w:ind w:left="0"/>
        <w:jc w:val="left"/>
        <w:rPr>
          <w:rFonts w:hint="eastAsia"/>
          <w:sz w:val="30"/>
          <w:szCs w:val="30"/>
        </w:rPr>
      </w:pPr>
      <w:r>
        <w:rPr>
          <w:rFonts w:hint="eastAsia"/>
          <w:sz w:val="30"/>
          <w:szCs w:val="30"/>
        </w:rPr>
        <w:t>However, it was not until the giving of the Mosaic Law (ca. 1500 BC) and the resulting constitution of Abraham’s family as a nation (i.e., a kingdom), that God, through the OT prophets, began positively to predict a coming King and a coming Kingdom.</w:t>
      </w:r>
    </w:p>
    <w:p w14:paraId="5AC27B45">
      <w:pPr>
        <w:pStyle w:val="9"/>
        <w:spacing w:before="0"/>
        <w:ind w:left="0"/>
        <w:jc w:val="left"/>
        <w:rPr>
          <w:rFonts w:hint="eastAsia"/>
          <w:sz w:val="30"/>
          <w:szCs w:val="30"/>
        </w:rPr>
      </w:pPr>
    </w:p>
    <w:p w14:paraId="5E20DA66">
      <w:pPr>
        <w:pStyle w:val="9"/>
        <w:spacing w:before="0"/>
        <w:ind w:left="0"/>
        <w:jc w:val="left"/>
        <w:rPr>
          <w:rFonts w:hint="eastAsia"/>
          <w:sz w:val="30"/>
          <w:szCs w:val="30"/>
        </w:rPr>
      </w:pPr>
      <w:r>
        <w:rPr>
          <w:rFonts w:hint="eastAsia"/>
          <w:sz w:val="30"/>
          <w:szCs w:val="30"/>
        </w:rPr>
        <w:t>然而，直到摩西律法的颁布（约公元前1500年）以及亚伯拉罕的后裔因此构成一个国家（即一个王国）之后，神才透过旧约的申言者，开始明确地预言一位要来的君王和一个要来的国度。</w:t>
      </w:r>
    </w:p>
    <w:p w14:paraId="31C91790">
      <w:pPr>
        <w:pStyle w:val="9"/>
        <w:spacing w:before="0"/>
        <w:ind w:left="0"/>
        <w:jc w:val="left"/>
        <w:rPr>
          <w:rFonts w:hint="eastAsia"/>
          <w:sz w:val="30"/>
          <w:szCs w:val="30"/>
        </w:rPr>
      </w:pPr>
    </w:p>
    <w:p w14:paraId="3BE86AC6">
      <w:pPr>
        <w:pStyle w:val="9"/>
        <w:spacing w:before="0"/>
        <w:ind w:left="0"/>
        <w:jc w:val="left"/>
        <w:rPr>
          <w:rFonts w:hint="eastAsia"/>
          <w:sz w:val="30"/>
          <w:szCs w:val="30"/>
        </w:rPr>
      </w:pPr>
      <w:r>
        <w:rPr>
          <w:rFonts w:hint="eastAsia"/>
          <w:sz w:val="30"/>
          <w:szCs w:val="30"/>
        </w:rPr>
        <w:t>A few of these prophecies appeared in the Law itself (Deut. 30, 32), many more in the Psalms (2, 18, 22, 72, 89, 96, 132), but most in the so-called writing prophets (i.e., Isaiah to Malachi).</w:t>
      </w:r>
    </w:p>
    <w:p w14:paraId="446EE805">
      <w:pPr>
        <w:pStyle w:val="9"/>
        <w:spacing w:before="0"/>
        <w:ind w:left="0"/>
        <w:jc w:val="left"/>
        <w:rPr>
          <w:rFonts w:hint="eastAsia"/>
          <w:sz w:val="30"/>
          <w:szCs w:val="30"/>
        </w:rPr>
      </w:pPr>
    </w:p>
    <w:p w14:paraId="0024C4A3">
      <w:pPr>
        <w:pStyle w:val="9"/>
        <w:spacing w:before="0"/>
        <w:ind w:left="0"/>
        <w:jc w:val="left"/>
        <w:rPr>
          <w:rFonts w:hint="eastAsia"/>
          <w:sz w:val="30"/>
          <w:szCs w:val="30"/>
        </w:rPr>
      </w:pPr>
      <w:r>
        <w:rPr>
          <w:rFonts w:hint="eastAsia"/>
          <w:sz w:val="30"/>
          <w:szCs w:val="30"/>
        </w:rPr>
        <w:t>这些预言中有少数出现在律法书本身（申 30, 32），更多则出现在诗篇中（2, 18, 22, 72, 89, 96, 132），但大部分出现在所谓的著作申言者书中（即以赛亚书到玛拉基书）。</w:t>
      </w:r>
    </w:p>
    <w:p w14:paraId="4A4FC566">
      <w:pPr>
        <w:pStyle w:val="9"/>
        <w:spacing w:before="0"/>
        <w:ind w:left="0"/>
        <w:jc w:val="left"/>
        <w:rPr>
          <w:rFonts w:hint="eastAsia"/>
          <w:sz w:val="30"/>
          <w:szCs w:val="30"/>
        </w:rPr>
      </w:pPr>
    </w:p>
    <w:p w14:paraId="2CDAE707">
      <w:pPr>
        <w:pStyle w:val="9"/>
        <w:spacing w:before="0"/>
        <w:ind w:left="0"/>
        <w:jc w:val="left"/>
        <w:rPr>
          <w:rFonts w:hint="eastAsia"/>
          <w:sz w:val="30"/>
          <w:szCs w:val="30"/>
        </w:rPr>
      </w:pPr>
      <w:r>
        <w:rPr>
          <w:rFonts w:hint="eastAsia"/>
          <w:sz w:val="30"/>
          <w:szCs w:val="30"/>
        </w:rPr>
        <w:t>Old Testament Kingdom prophecy (OTKP) began as a trickle and ended in a torrent; that is, there is a progressive OT revelation of the Kingdom, beginning with Moses and culminating with Malachi.</w:t>
      </w:r>
    </w:p>
    <w:p w14:paraId="6A9D4AE1">
      <w:pPr>
        <w:pStyle w:val="9"/>
        <w:spacing w:before="0"/>
        <w:ind w:left="0"/>
        <w:jc w:val="left"/>
        <w:rPr>
          <w:rFonts w:hint="eastAsia"/>
          <w:sz w:val="30"/>
          <w:szCs w:val="30"/>
        </w:rPr>
      </w:pPr>
    </w:p>
    <w:p w14:paraId="5BC6102C">
      <w:pPr>
        <w:pStyle w:val="9"/>
        <w:spacing w:before="0"/>
        <w:ind w:left="0"/>
        <w:jc w:val="left"/>
        <w:rPr>
          <w:rFonts w:hint="eastAsia"/>
          <w:sz w:val="30"/>
          <w:szCs w:val="30"/>
        </w:rPr>
      </w:pPr>
      <w:r>
        <w:rPr>
          <w:rFonts w:hint="eastAsia"/>
          <w:sz w:val="30"/>
          <w:szCs w:val="30"/>
        </w:rPr>
        <w:t>旧约的国度预言（OTKP）始于涓涓细流，终于滔滔洪流；也就是说，旧约对国度的启示是渐进的，始于摩西，终于玛拉基。</w:t>
      </w:r>
    </w:p>
    <w:p w14:paraId="3FBE16D2">
      <w:pPr>
        <w:pStyle w:val="9"/>
        <w:spacing w:before="0"/>
        <w:ind w:left="0"/>
        <w:jc w:val="left"/>
        <w:rPr>
          <w:rFonts w:hint="eastAsia"/>
          <w:sz w:val="30"/>
          <w:szCs w:val="30"/>
        </w:rPr>
      </w:pPr>
    </w:p>
    <w:p w14:paraId="337EBCAE">
      <w:pPr>
        <w:pStyle w:val="9"/>
        <w:spacing w:before="0"/>
        <w:ind w:left="0"/>
        <w:jc w:val="left"/>
        <w:rPr>
          <w:rFonts w:hint="eastAsia"/>
          <w:sz w:val="30"/>
          <w:szCs w:val="30"/>
        </w:rPr>
      </w:pPr>
      <w:r>
        <w:rPr>
          <w:rFonts w:hint="eastAsia"/>
          <w:sz w:val="30"/>
          <w:szCs w:val="30"/>
        </w:rPr>
        <w:t>Sadly, this ever- swelling stream ran closely parallel to Israel’s ever-deepening apostasy from her God.</w:t>
      </w:r>
    </w:p>
    <w:p w14:paraId="1FC0E985">
      <w:pPr>
        <w:pStyle w:val="9"/>
        <w:spacing w:before="0"/>
        <w:ind w:left="0"/>
        <w:jc w:val="left"/>
        <w:rPr>
          <w:rFonts w:hint="eastAsia"/>
          <w:sz w:val="30"/>
          <w:szCs w:val="30"/>
        </w:rPr>
      </w:pPr>
    </w:p>
    <w:p w14:paraId="34A4228D">
      <w:pPr>
        <w:pStyle w:val="9"/>
        <w:spacing w:before="0"/>
        <w:ind w:left="0"/>
        <w:jc w:val="left"/>
        <w:rPr>
          <w:rFonts w:hint="eastAsia"/>
          <w:sz w:val="30"/>
          <w:szCs w:val="30"/>
        </w:rPr>
      </w:pPr>
      <w:r>
        <w:rPr>
          <w:rFonts w:hint="eastAsia"/>
          <w:sz w:val="30"/>
          <w:szCs w:val="30"/>
        </w:rPr>
        <w:t>可悲的是，这条不断高涨的溪流，与以色列对其神日益加深的背道，几乎是并行的。</w:t>
      </w:r>
    </w:p>
    <w:p w14:paraId="4EE44EF4">
      <w:pPr>
        <w:pStyle w:val="9"/>
        <w:spacing w:before="0"/>
        <w:ind w:left="0"/>
        <w:jc w:val="left"/>
        <w:rPr>
          <w:rFonts w:hint="eastAsia"/>
          <w:sz w:val="30"/>
          <w:szCs w:val="30"/>
        </w:rPr>
      </w:pPr>
    </w:p>
    <w:p w14:paraId="241C8887">
      <w:pPr>
        <w:pStyle w:val="9"/>
        <w:spacing w:before="0"/>
        <w:ind w:left="0"/>
        <w:jc w:val="left"/>
        <w:rPr>
          <w:rFonts w:hint="eastAsia"/>
          <w:sz w:val="30"/>
          <w:szCs w:val="30"/>
        </w:rPr>
      </w:pPr>
      <w:r>
        <w:rPr>
          <w:rFonts w:hint="eastAsia"/>
          <w:sz w:val="30"/>
          <w:szCs w:val="30"/>
        </w:rPr>
        <w:t>In other words, the farther the nation wandered from her King, the more fervently the prophets warned them that God’s covenant curses were about to fall upon them, up to and including the twin curses of expulsion from their homeland and captivity to foreign nations in foreign lands (Lev. 26, Deut. 28).</w:t>
      </w:r>
    </w:p>
    <w:p w14:paraId="46139726">
      <w:pPr>
        <w:pStyle w:val="9"/>
        <w:spacing w:before="0"/>
        <w:ind w:left="0"/>
        <w:jc w:val="left"/>
        <w:rPr>
          <w:rFonts w:hint="eastAsia"/>
          <w:sz w:val="30"/>
          <w:szCs w:val="30"/>
        </w:rPr>
      </w:pPr>
    </w:p>
    <w:p w14:paraId="4E6E7D73">
      <w:pPr>
        <w:pStyle w:val="9"/>
        <w:spacing w:before="0"/>
        <w:ind w:left="0"/>
        <w:jc w:val="left"/>
        <w:rPr>
          <w:rFonts w:hint="eastAsia"/>
          <w:sz w:val="30"/>
          <w:szCs w:val="30"/>
        </w:rPr>
      </w:pPr>
      <w:r>
        <w:rPr>
          <w:rFonts w:hint="eastAsia"/>
          <w:sz w:val="30"/>
          <w:szCs w:val="30"/>
        </w:rPr>
        <w:t>换句话说，这国离弃她的君王越远，申言者们就越发热切地警告他们，神的约中咒诅即将临到他们，包括且达到被逐出家园和被掳到异国异地这两个咒诅（利 26, 申 28）。</w:t>
      </w:r>
    </w:p>
    <w:p w14:paraId="77F6CC1F">
      <w:pPr>
        <w:pStyle w:val="9"/>
        <w:spacing w:before="0"/>
        <w:ind w:left="0"/>
        <w:jc w:val="left"/>
        <w:rPr>
          <w:rFonts w:hint="eastAsia"/>
          <w:sz w:val="30"/>
          <w:szCs w:val="30"/>
        </w:rPr>
      </w:pPr>
    </w:p>
    <w:p w14:paraId="2A7CA29C">
      <w:pPr>
        <w:pStyle w:val="9"/>
        <w:spacing w:before="0"/>
        <w:ind w:left="0"/>
        <w:jc w:val="left"/>
        <w:rPr>
          <w:rFonts w:hint="eastAsia"/>
          <w:sz w:val="30"/>
          <w:szCs w:val="30"/>
        </w:rPr>
      </w:pPr>
      <w:r>
        <w:rPr>
          <w:rFonts w:hint="eastAsia"/>
          <w:sz w:val="30"/>
          <w:szCs w:val="30"/>
        </w:rPr>
        <w:t>And yet, there was hope.</w:t>
      </w:r>
    </w:p>
    <w:p w14:paraId="5223454F">
      <w:pPr>
        <w:pStyle w:val="9"/>
        <w:spacing w:before="0"/>
        <w:ind w:left="0"/>
        <w:jc w:val="left"/>
        <w:rPr>
          <w:rFonts w:hint="eastAsia"/>
          <w:sz w:val="30"/>
          <w:szCs w:val="30"/>
        </w:rPr>
      </w:pPr>
    </w:p>
    <w:p w14:paraId="23C8C2CC">
      <w:pPr>
        <w:pStyle w:val="9"/>
        <w:spacing w:before="0"/>
        <w:ind w:left="0"/>
        <w:jc w:val="left"/>
        <w:rPr>
          <w:rFonts w:hint="eastAsia"/>
          <w:sz w:val="30"/>
          <w:szCs w:val="30"/>
        </w:rPr>
      </w:pPr>
      <w:r>
        <w:rPr>
          <w:rFonts w:hint="eastAsia"/>
          <w:sz w:val="30"/>
          <w:szCs w:val="30"/>
        </w:rPr>
        <w:t>然而，仍有盼望。</w:t>
      </w:r>
    </w:p>
    <w:p w14:paraId="53D43801">
      <w:pPr>
        <w:pStyle w:val="9"/>
        <w:spacing w:before="0"/>
        <w:ind w:left="0"/>
        <w:jc w:val="left"/>
        <w:rPr>
          <w:rFonts w:hint="eastAsia"/>
          <w:sz w:val="30"/>
          <w:szCs w:val="30"/>
        </w:rPr>
      </w:pPr>
    </w:p>
    <w:p w14:paraId="4B616DDA">
      <w:pPr>
        <w:pStyle w:val="9"/>
        <w:spacing w:before="0"/>
        <w:ind w:left="0"/>
        <w:jc w:val="left"/>
        <w:rPr>
          <w:rFonts w:hint="eastAsia"/>
          <w:sz w:val="30"/>
          <w:szCs w:val="30"/>
        </w:rPr>
      </w:pPr>
      <w:r>
        <w:rPr>
          <w:rFonts w:hint="eastAsia"/>
          <w:sz w:val="30"/>
          <w:szCs w:val="30"/>
        </w:rPr>
        <w:t>For even as the prophets threatened the apostates with coming judgment, they also comforted the faithful with promises of an ultimate restoration; of a once-for-all return of the believing remnant to their homeland, where, in company with a very special heaven- sent King (i.e., the Messiah), a new, Spirit-filled Israel would forever enjoy God’s covenant blessings in peace and prosperity.</w:t>
      </w:r>
    </w:p>
    <w:p w14:paraId="00D36F26">
      <w:pPr>
        <w:pStyle w:val="9"/>
        <w:spacing w:before="0"/>
        <w:ind w:left="0"/>
        <w:jc w:val="left"/>
        <w:rPr>
          <w:rFonts w:hint="eastAsia"/>
          <w:sz w:val="30"/>
          <w:szCs w:val="30"/>
        </w:rPr>
      </w:pPr>
    </w:p>
    <w:p w14:paraId="6629AC3A">
      <w:pPr>
        <w:pStyle w:val="9"/>
        <w:spacing w:before="0"/>
        <w:ind w:left="0"/>
        <w:jc w:val="left"/>
        <w:rPr>
          <w:rFonts w:hint="eastAsia"/>
          <w:sz w:val="30"/>
          <w:szCs w:val="30"/>
        </w:rPr>
      </w:pPr>
      <w:r>
        <w:rPr>
          <w:rFonts w:hint="eastAsia"/>
          <w:sz w:val="30"/>
          <w:szCs w:val="30"/>
        </w:rPr>
        <w:t>因为，申言者们虽然用将来的审判威吓背道者，但也用最终复兴的应许安慰忠信的人；即信实的余民将一次而永远地回归故土，在那里，与一位非常特别的、从天而来的君王（即弥赛亚）同在，一个全新的、被圣灵充满的以色列，将永远在和平与繁荣中享受神圣约的祝福。</w:t>
      </w:r>
    </w:p>
    <w:p w14:paraId="54FCC78C">
      <w:pPr>
        <w:pStyle w:val="9"/>
        <w:spacing w:before="0"/>
        <w:ind w:left="0"/>
        <w:jc w:val="left"/>
        <w:rPr>
          <w:rFonts w:hint="eastAsia"/>
          <w:sz w:val="30"/>
          <w:szCs w:val="30"/>
        </w:rPr>
      </w:pPr>
    </w:p>
    <w:p w14:paraId="64A6D825">
      <w:pPr>
        <w:pStyle w:val="9"/>
        <w:spacing w:before="0"/>
        <w:ind w:left="0"/>
        <w:jc w:val="left"/>
        <w:rPr>
          <w:rFonts w:hint="eastAsia"/>
          <w:sz w:val="30"/>
          <w:szCs w:val="30"/>
        </w:rPr>
      </w:pPr>
      <w:r>
        <w:rPr>
          <w:rFonts w:hint="eastAsia"/>
          <w:sz w:val="30"/>
          <w:szCs w:val="30"/>
        </w:rPr>
        <w:t>Indeed, the more closely we examine these prophecies, the more we realize that in them God was promising nothing less than complete cosmic redemption.</w:t>
      </w:r>
    </w:p>
    <w:p w14:paraId="3CFA466F">
      <w:pPr>
        <w:pStyle w:val="9"/>
        <w:spacing w:before="0"/>
        <w:ind w:left="0"/>
        <w:jc w:val="left"/>
        <w:rPr>
          <w:rFonts w:hint="eastAsia"/>
          <w:sz w:val="30"/>
          <w:szCs w:val="30"/>
        </w:rPr>
      </w:pPr>
    </w:p>
    <w:p w14:paraId="01AB6C38">
      <w:pPr>
        <w:pStyle w:val="9"/>
        <w:spacing w:before="0"/>
        <w:ind w:left="0"/>
        <w:jc w:val="left"/>
        <w:rPr>
          <w:rFonts w:hint="eastAsia"/>
          <w:sz w:val="30"/>
          <w:szCs w:val="30"/>
        </w:rPr>
      </w:pPr>
      <w:r>
        <w:rPr>
          <w:rFonts w:hint="eastAsia"/>
          <w:sz w:val="30"/>
          <w:szCs w:val="30"/>
        </w:rPr>
        <w:t>的确，我们越仔细地查考这些预言，就越意识到，在其中神所应许的，无非是完全的宇宙性救赎。</w:t>
      </w:r>
    </w:p>
    <w:p w14:paraId="2297566B">
      <w:pPr>
        <w:pStyle w:val="9"/>
        <w:spacing w:before="0"/>
        <w:ind w:left="0"/>
        <w:jc w:val="left"/>
        <w:rPr>
          <w:rFonts w:hint="eastAsia"/>
          <w:sz w:val="30"/>
          <w:szCs w:val="30"/>
        </w:rPr>
      </w:pPr>
    </w:p>
    <w:p w14:paraId="032EEA81">
      <w:pPr>
        <w:pStyle w:val="9"/>
        <w:spacing w:before="0"/>
        <w:ind w:left="0"/>
        <w:jc w:val="left"/>
        <w:rPr>
          <w:rFonts w:hint="eastAsia"/>
          <w:sz w:val="30"/>
          <w:szCs w:val="30"/>
        </w:rPr>
      </w:pPr>
      <w:r>
        <w:rPr>
          <w:rFonts w:hint="eastAsia"/>
          <w:sz w:val="30"/>
          <w:szCs w:val="30"/>
        </w:rPr>
        <w:t>That is, when he steps into history to accomplish the promised restoration, he will rescue his people from every effect of sin—both theirs and Adam’s—and he will restore them to every blessing enjoyed and offered to man in Paradise.</w:t>
      </w:r>
    </w:p>
    <w:p w14:paraId="65A3AC48">
      <w:pPr>
        <w:pStyle w:val="9"/>
        <w:spacing w:before="0"/>
        <w:ind w:left="0"/>
        <w:jc w:val="left"/>
        <w:rPr>
          <w:rFonts w:hint="eastAsia"/>
          <w:sz w:val="30"/>
          <w:szCs w:val="30"/>
        </w:rPr>
      </w:pPr>
    </w:p>
    <w:p w14:paraId="39EB8FF8">
      <w:pPr>
        <w:pStyle w:val="9"/>
        <w:spacing w:before="0"/>
        <w:ind w:left="0"/>
        <w:jc w:val="left"/>
        <w:rPr>
          <w:rFonts w:hint="eastAsia"/>
          <w:sz w:val="30"/>
          <w:szCs w:val="30"/>
        </w:rPr>
      </w:pPr>
      <w:r>
        <w:rPr>
          <w:rFonts w:hint="eastAsia"/>
          <w:sz w:val="30"/>
          <w:szCs w:val="30"/>
        </w:rPr>
        <w:t>就是说，当祂进入历史以成就所应许的复兴时，祂将拯救祂的子民脱离罪的一切影响——无论是他们自己的还是亚当的——并且祂将恢复他们到人在乐园中所享受和蒙提供的一切祝福中。</w:t>
      </w:r>
    </w:p>
    <w:p w14:paraId="233B88D3">
      <w:pPr>
        <w:pStyle w:val="9"/>
        <w:spacing w:before="0"/>
        <w:ind w:left="0"/>
        <w:jc w:val="left"/>
        <w:rPr>
          <w:rFonts w:hint="eastAsia"/>
          <w:sz w:val="30"/>
          <w:szCs w:val="30"/>
        </w:rPr>
      </w:pPr>
    </w:p>
    <w:p w14:paraId="24A7F70B">
      <w:pPr>
        <w:pStyle w:val="9"/>
        <w:spacing w:before="0"/>
        <w:ind w:left="0"/>
        <w:jc w:val="left"/>
        <w:rPr>
          <w:rFonts w:hint="eastAsia"/>
          <w:sz w:val="30"/>
          <w:szCs w:val="30"/>
        </w:rPr>
      </w:pPr>
      <w:r>
        <w:rPr>
          <w:rFonts w:hint="eastAsia"/>
          <w:sz w:val="30"/>
          <w:szCs w:val="30"/>
        </w:rPr>
        <w:t>Here then is the heart of the OT revelation of the Kingdom.</w:t>
      </w:r>
    </w:p>
    <w:p w14:paraId="011CA33B">
      <w:pPr>
        <w:pStyle w:val="9"/>
        <w:spacing w:before="0"/>
        <w:ind w:left="0"/>
        <w:jc w:val="left"/>
        <w:rPr>
          <w:rFonts w:hint="eastAsia"/>
          <w:sz w:val="30"/>
          <w:szCs w:val="30"/>
        </w:rPr>
      </w:pPr>
    </w:p>
    <w:p w14:paraId="5EEF5B2B">
      <w:pPr>
        <w:pStyle w:val="9"/>
        <w:spacing w:before="0"/>
        <w:ind w:left="0"/>
        <w:jc w:val="left"/>
        <w:rPr>
          <w:rFonts w:hint="eastAsia"/>
          <w:sz w:val="30"/>
          <w:szCs w:val="30"/>
        </w:rPr>
      </w:pPr>
      <w:r>
        <w:rPr>
          <w:rFonts w:hint="eastAsia"/>
          <w:sz w:val="30"/>
          <w:szCs w:val="30"/>
        </w:rPr>
        <w:t>那么，这就是旧约关于国度之启示的核心。</w:t>
      </w:r>
    </w:p>
    <w:p w14:paraId="67F156CC">
      <w:pPr>
        <w:pStyle w:val="9"/>
        <w:spacing w:before="0"/>
        <w:ind w:left="0"/>
        <w:jc w:val="left"/>
        <w:rPr>
          <w:rFonts w:hint="eastAsia"/>
          <w:sz w:val="30"/>
          <w:szCs w:val="30"/>
        </w:rPr>
      </w:pPr>
    </w:p>
    <w:p w14:paraId="798809F7">
      <w:pPr>
        <w:pStyle w:val="9"/>
        <w:spacing w:before="0"/>
        <w:ind w:left="0"/>
        <w:jc w:val="left"/>
        <w:rPr>
          <w:rFonts w:hint="eastAsia"/>
          <w:sz w:val="30"/>
          <w:szCs w:val="30"/>
        </w:rPr>
      </w:pPr>
      <w:r>
        <w:rPr>
          <w:rFonts w:hint="eastAsia"/>
          <w:sz w:val="30"/>
          <w:szCs w:val="30"/>
        </w:rPr>
        <w:t>In the days of Israel’s ultimate restoration, the LORD will reign over people as never before: through the Messiah, by the Spirit, and in perfect holiness, peace, and joy, world without end.</w:t>
      </w:r>
    </w:p>
    <w:p w14:paraId="4F4641E0">
      <w:pPr>
        <w:pStyle w:val="9"/>
        <w:spacing w:before="0"/>
        <w:ind w:left="0"/>
        <w:jc w:val="left"/>
        <w:rPr>
          <w:rFonts w:hint="eastAsia"/>
          <w:sz w:val="30"/>
          <w:szCs w:val="30"/>
        </w:rPr>
      </w:pPr>
    </w:p>
    <w:p w14:paraId="79C47856">
      <w:pPr>
        <w:pStyle w:val="9"/>
        <w:spacing w:before="0"/>
        <w:ind w:left="0"/>
        <w:jc w:val="left"/>
        <w:rPr>
          <w:rFonts w:hint="eastAsia"/>
          <w:sz w:val="30"/>
          <w:szCs w:val="30"/>
        </w:rPr>
      </w:pPr>
      <w:r>
        <w:rPr>
          <w:rFonts w:hint="eastAsia"/>
          <w:sz w:val="30"/>
          <w:szCs w:val="30"/>
        </w:rPr>
        <w:t>在以色列最终复兴的日子里，耶和华将以前所未有的方式在祂子民之上作王：借着弥赛亚，借着圣灵，并在完全的圣洁、和平与喜乐中，直到永永远远。</w:t>
      </w:r>
    </w:p>
    <w:p w14:paraId="77098943">
      <w:pPr>
        <w:pStyle w:val="9"/>
        <w:spacing w:before="0"/>
        <w:ind w:left="0"/>
        <w:jc w:val="left"/>
        <w:rPr>
          <w:rFonts w:hint="eastAsia"/>
          <w:sz w:val="30"/>
          <w:szCs w:val="30"/>
        </w:rPr>
      </w:pPr>
    </w:p>
    <w:p w14:paraId="1902AB9D">
      <w:pPr>
        <w:pStyle w:val="9"/>
        <w:spacing w:before="0"/>
        <w:ind w:left="0"/>
        <w:jc w:val="left"/>
        <w:rPr>
          <w:rFonts w:hint="eastAsia"/>
          <w:sz w:val="30"/>
          <w:szCs w:val="30"/>
        </w:rPr>
      </w:pPr>
      <w:r>
        <w:rPr>
          <w:rFonts w:hint="eastAsia"/>
          <w:sz w:val="30"/>
          <w:szCs w:val="30"/>
        </w:rPr>
        <w:t>Moreover, when the promised Kingdom comes, multitudes of Gentiles will also be included in the blessedness of eternal life under God’s redemptive rule.</w:t>
      </w:r>
    </w:p>
    <w:p w14:paraId="02872A18">
      <w:pPr>
        <w:pStyle w:val="9"/>
        <w:spacing w:before="0"/>
        <w:ind w:left="0"/>
        <w:jc w:val="left"/>
        <w:rPr>
          <w:rFonts w:hint="eastAsia"/>
          <w:sz w:val="30"/>
          <w:szCs w:val="30"/>
        </w:rPr>
      </w:pPr>
    </w:p>
    <w:p w14:paraId="21EB971C">
      <w:pPr>
        <w:pStyle w:val="9"/>
        <w:spacing w:before="0"/>
        <w:ind w:left="0"/>
        <w:jc w:val="left"/>
        <w:rPr>
          <w:rFonts w:hint="eastAsia"/>
          <w:sz w:val="30"/>
          <w:szCs w:val="30"/>
        </w:rPr>
      </w:pPr>
      <w:r>
        <w:rPr>
          <w:rFonts w:hint="eastAsia"/>
          <w:sz w:val="30"/>
          <w:szCs w:val="30"/>
        </w:rPr>
        <w:t>此外，当所应许的国度降临时，许多外邦人也将被包括在神救赎统治下永生的福分之中。</w:t>
      </w:r>
    </w:p>
    <w:p w14:paraId="2C599BF7">
      <w:pPr>
        <w:pStyle w:val="9"/>
        <w:spacing w:before="0"/>
        <w:ind w:left="0"/>
        <w:jc w:val="left"/>
        <w:rPr>
          <w:rFonts w:hint="eastAsia"/>
          <w:sz w:val="30"/>
          <w:szCs w:val="30"/>
        </w:rPr>
      </w:pPr>
    </w:p>
    <w:p w14:paraId="3464FEA9">
      <w:pPr>
        <w:pStyle w:val="9"/>
        <w:spacing w:before="0"/>
        <w:ind w:left="0"/>
        <w:jc w:val="left"/>
        <w:rPr>
          <w:rFonts w:hint="eastAsia"/>
          <w:sz w:val="30"/>
          <w:szCs w:val="30"/>
        </w:rPr>
      </w:pPr>
      <w:r>
        <w:rPr>
          <w:rFonts w:hint="eastAsia"/>
          <w:sz w:val="30"/>
          <w:szCs w:val="30"/>
        </w:rPr>
        <w:t>Later in our journey we will examine the OT promise of the Kingdom more closely.</w:t>
      </w:r>
    </w:p>
    <w:p w14:paraId="7853C7CC">
      <w:pPr>
        <w:pStyle w:val="9"/>
        <w:spacing w:before="0"/>
        <w:ind w:left="0"/>
        <w:jc w:val="left"/>
        <w:rPr>
          <w:rFonts w:hint="eastAsia"/>
          <w:sz w:val="30"/>
          <w:szCs w:val="30"/>
        </w:rPr>
      </w:pPr>
    </w:p>
    <w:p w14:paraId="14B89FDF">
      <w:pPr>
        <w:pStyle w:val="9"/>
        <w:spacing w:before="0"/>
        <w:ind w:left="0"/>
        <w:jc w:val="left"/>
        <w:rPr>
          <w:rFonts w:hint="eastAsia"/>
          <w:sz w:val="30"/>
          <w:szCs w:val="30"/>
        </w:rPr>
      </w:pPr>
      <w:r>
        <w:rPr>
          <w:rFonts w:hint="eastAsia"/>
          <w:sz w:val="30"/>
          <w:szCs w:val="30"/>
        </w:rPr>
        <w:t>在我们旅程的稍后部分，我们将更仔细地查考旧约对国度的应许。</w:t>
      </w:r>
    </w:p>
    <w:p w14:paraId="5C523439">
      <w:pPr>
        <w:pStyle w:val="9"/>
        <w:spacing w:before="0"/>
        <w:ind w:left="0"/>
        <w:jc w:val="left"/>
        <w:rPr>
          <w:rFonts w:hint="eastAsia"/>
          <w:sz w:val="30"/>
          <w:szCs w:val="30"/>
        </w:rPr>
      </w:pPr>
    </w:p>
    <w:p w14:paraId="7C29A21B">
      <w:pPr>
        <w:pStyle w:val="9"/>
        <w:spacing w:before="0"/>
        <w:ind w:left="0"/>
        <w:jc w:val="left"/>
        <w:rPr>
          <w:rFonts w:hint="eastAsia"/>
          <w:sz w:val="30"/>
          <w:szCs w:val="30"/>
        </w:rPr>
      </w:pPr>
      <w:r>
        <w:rPr>
          <w:rFonts w:hint="eastAsia"/>
          <w:sz w:val="30"/>
          <w:szCs w:val="30"/>
        </w:rPr>
        <w:t>Here, however, we must pause to consider an outstanding characteristic of OTKP, a characteristic that has proven to be one of thorniest and most intractable flashpoints of controversy in the Great End Time Debate.</w:t>
      </w:r>
    </w:p>
    <w:p w14:paraId="457B490C">
      <w:pPr>
        <w:pStyle w:val="9"/>
        <w:spacing w:before="0"/>
        <w:ind w:left="0"/>
        <w:jc w:val="left"/>
        <w:rPr>
          <w:rFonts w:hint="eastAsia"/>
          <w:sz w:val="30"/>
          <w:szCs w:val="30"/>
        </w:rPr>
      </w:pPr>
    </w:p>
    <w:p w14:paraId="31B8E3BE">
      <w:pPr>
        <w:pStyle w:val="9"/>
        <w:spacing w:before="0"/>
        <w:ind w:left="0"/>
        <w:jc w:val="left"/>
        <w:rPr>
          <w:rFonts w:hint="eastAsia"/>
          <w:sz w:val="30"/>
          <w:szCs w:val="30"/>
        </w:rPr>
      </w:pPr>
      <w:r>
        <w:rPr>
          <w:rFonts w:hint="eastAsia"/>
          <w:sz w:val="30"/>
          <w:szCs w:val="30"/>
        </w:rPr>
        <w:t>然而，在此我们必须停下来，思考旧约国度预言的一个突出特点，这个特点已被证明是末世大辩论中最棘手和最难解的争议爆发点之一。</w:t>
      </w:r>
    </w:p>
    <w:p w14:paraId="6DB2A63A">
      <w:pPr>
        <w:pStyle w:val="9"/>
        <w:spacing w:before="0"/>
        <w:ind w:left="0"/>
        <w:jc w:val="left"/>
        <w:rPr>
          <w:rFonts w:hint="eastAsia"/>
          <w:sz w:val="30"/>
          <w:szCs w:val="30"/>
        </w:rPr>
      </w:pPr>
    </w:p>
    <w:p w14:paraId="154B38FF">
      <w:pPr>
        <w:pStyle w:val="9"/>
        <w:spacing w:before="0"/>
        <w:ind w:left="0"/>
        <w:jc w:val="left"/>
        <w:rPr>
          <w:rFonts w:hint="eastAsia"/>
          <w:sz w:val="30"/>
          <w:szCs w:val="30"/>
        </w:rPr>
      </w:pPr>
      <w:r>
        <w:rPr>
          <w:rFonts w:hint="eastAsia"/>
          <w:sz w:val="30"/>
          <w:szCs w:val="30"/>
        </w:rPr>
        <w:t>In a nutshell, it is this: As a general rule—though not always —the Holy Spirit moved the OT prophets to depict the coming Kingdom as a theocracy.</w:t>
      </w:r>
    </w:p>
    <w:p w14:paraId="5AD22A20">
      <w:pPr>
        <w:pStyle w:val="9"/>
        <w:spacing w:before="0"/>
        <w:ind w:left="0"/>
        <w:jc w:val="left"/>
        <w:rPr>
          <w:rFonts w:hint="eastAsia"/>
          <w:sz w:val="30"/>
          <w:szCs w:val="30"/>
        </w:rPr>
      </w:pPr>
    </w:p>
    <w:p w14:paraId="04D941E0">
      <w:pPr>
        <w:pStyle w:val="9"/>
        <w:spacing w:before="0"/>
        <w:ind w:left="0"/>
        <w:jc w:val="left"/>
        <w:rPr>
          <w:rFonts w:hint="eastAsia"/>
          <w:sz w:val="30"/>
          <w:szCs w:val="30"/>
        </w:rPr>
      </w:pPr>
      <w:r>
        <w:rPr>
          <w:rFonts w:hint="eastAsia"/>
          <w:sz w:val="30"/>
          <w:szCs w:val="30"/>
        </w:rPr>
        <w:t>简而言之，就是：作为一条普遍规则——虽然并非总是如此——圣灵感动旧约的申言者将要来的国度描绘成一个神权政体。</w:t>
      </w:r>
    </w:p>
    <w:p w14:paraId="782C922E">
      <w:pPr>
        <w:pStyle w:val="9"/>
        <w:spacing w:before="0"/>
        <w:ind w:left="0"/>
        <w:jc w:val="left"/>
        <w:rPr>
          <w:rFonts w:hint="eastAsia"/>
          <w:sz w:val="30"/>
          <w:szCs w:val="30"/>
        </w:rPr>
      </w:pPr>
    </w:p>
    <w:p w14:paraId="5A697F4B">
      <w:pPr>
        <w:pStyle w:val="9"/>
        <w:spacing w:before="0"/>
        <w:ind w:left="0"/>
        <w:jc w:val="left"/>
        <w:rPr>
          <w:rFonts w:hint="eastAsia"/>
          <w:sz w:val="30"/>
          <w:szCs w:val="30"/>
        </w:rPr>
      </w:pPr>
      <w:r>
        <w:rPr>
          <w:rFonts w:hint="eastAsia"/>
          <w:sz w:val="30"/>
          <w:szCs w:val="30"/>
        </w:rPr>
        <w:t>In particular, we may say that he usually pictured the future Kingdom as an eternal, universal theocracy, mediated by ethnic Israel and her Messiah, administered in accordance with the Law of Moses, and set in a spiritually renewed cosmos.</w:t>
      </w:r>
    </w:p>
    <w:p w14:paraId="2317EEC4">
      <w:pPr>
        <w:pStyle w:val="9"/>
        <w:spacing w:before="0"/>
        <w:ind w:left="0"/>
        <w:jc w:val="left"/>
        <w:rPr>
          <w:rFonts w:hint="eastAsia"/>
          <w:sz w:val="30"/>
          <w:szCs w:val="30"/>
        </w:rPr>
      </w:pPr>
    </w:p>
    <w:p w14:paraId="51495209">
      <w:pPr>
        <w:pStyle w:val="9"/>
        <w:spacing w:before="0"/>
        <w:ind w:left="0"/>
        <w:jc w:val="left"/>
        <w:rPr>
          <w:rFonts w:hint="eastAsia"/>
          <w:sz w:val="30"/>
          <w:szCs w:val="30"/>
        </w:rPr>
      </w:pPr>
      <w:r>
        <w:rPr>
          <w:rFonts w:hint="eastAsia"/>
          <w:sz w:val="30"/>
          <w:szCs w:val="30"/>
        </w:rPr>
        <w:t>具体来说，我们可以说，祂通常将未来的国度描绘成一个永恒的、普世的神权政体，由以色列民族及其弥赛亚作中介，按照摩西律法来管理，并设立在一个灵里更新的宇宙中。</w:t>
      </w:r>
    </w:p>
    <w:p w14:paraId="5C21B306">
      <w:pPr>
        <w:pStyle w:val="9"/>
        <w:spacing w:before="0"/>
        <w:ind w:left="0"/>
        <w:jc w:val="left"/>
        <w:rPr>
          <w:rFonts w:hint="eastAsia"/>
          <w:sz w:val="30"/>
          <w:szCs w:val="30"/>
        </w:rPr>
      </w:pPr>
    </w:p>
    <w:p w14:paraId="3FA5705D">
      <w:pPr>
        <w:pStyle w:val="9"/>
        <w:spacing w:before="0"/>
        <w:ind w:left="0"/>
        <w:jc w:val="left"/>
        <w:rPr>
          <w:rFonts w:hint="eastAsia"/>
          <w:sz w:val="30"/>
          <w:szCs w:val="30"/>
        </w:rPr>
      </w:pPr>
      <w:r>
        <w:rPr>
          <w:rFonts w:hint="eastAsia"/>
          <w:sz w:val="30"/>
          <w:szCs w:val="30"/>
        </w:rPr>
        <w:t>In the pages ahead, I will refer to this as The Representative OT Idea of the Kingdom of God, or simply The Representative Idea of the Kingdom.</w:t>
      </w:r>
    </w:p>
    <w:p w14:paraId="1AB4B45D">
      <w:pPr>
        <w:pStyle w:val="9"/>
        <w:spacing w:before="0"/>
        <w:ind w:left="0"/>
        <w:jc w:val="left"/>
        <w:rPr>
          <w:rFonts w:hint="eastAsia"/>
          <w:sz w:val="30"/>
          <w:szCs w:val="30"/>
        </w:rPr>
      </w:pPr>
    </w:p>
    <w:p w14:paraId="658AA010">
      <w:pPr>
        <w:pStyle w:val="9"/>
        <w:spacing w:before="0"/>
        <w:ind w:left="0"/>
        <w:jc w:val="left"/>
        <w:rPr>
          <w:rFonts w:hint="eastAsia"/>
          <w:sz w:val="30"/>
          <w:szCs w:val="30"/>
        </w:rPr>
      </w:pPr>
      <w:r>
        <w:rPr>
          <w:rFonts w:hint="eastAsia"/>
          <w:sz w:val="30"/>
          <w:szCs w:val="30"/>
        </w:rPr>
        <w:t>在接下来的篇幅中，我将称之为“旧约对神的国的代表性观念”，或简称为“对国度的代表性观念”。</w:t>
      </w:r>
    </w:p>
    <w:p w14:paraId="536D1441">
      <w:pPr>
        <w:pStyle w:val="9"/>
        <w:spacing w:before="0"/>
        <w:ind w:left="0"/>
        <w:jc w:val="left"/>
        <w:rPr>
          <w:rFonts w:hint="eastAsia"/>
          <w:sz w:val="30"/>
          <w:szCs w:val="30"/>
        </w:rPr>
      </w:pPr>
    </w:p>
    <w:p w14:paraId="102EFBBD">
      <w:pPr>
        <w:pStyle w:val="9"/>
        <w:spacing w:before="0"/>
        <w:ind w:left="0"/>
        <w:jc w:val="left"/>
        <w:rPr>
          <w:rFonts w:hint="eastAsia"/>
          <w:sz w:val="30"/>
          <w:szCs w:val="30"/>
        </w:rPr>
      </w:pPr>
      <w:r>
        <w:rPr>
          <w:rFonts w:hint="eastAsia"/>
          <w:sz w:val="30"/>
          <w:szCs w:val="30"/>
        </w:rPr>
        <w:t>To get a feel for this idea, let us briefly consider a classic OTKP found in the book of Micah:</w:t>
      </w:r>
    </w:p>
    <w:p w14:paraId="5DE51D80">
      <w:pPr>
        <w:pStyle w:val="9"/>
        <w:spacing w:before="0"/>
        <w:ind w:left="0"/>
        <w:jc w:val="left"/>
        <w:rPr>
          <w:rFonts w:hint="eastAsia"/>
          <w:sz w:val="30"/>
          <w:szCs w:val="30"/>
        </w:rPr>
      </w:pPr>
    </w:p>
    <w:p w14:paraId="19B4A5E4">
      <w:pPr>
        <w:pStyle w:val="9"/>
        <w:spacing w:before="0"/>
        <w:ind w:left="0"/>
        <w:jc w:val="left"/>
        <w:rPr>
          <w:rFonts w:hint="eastAsia"/>
          <w:sz w:val="30"/>
          <w:szCs w:val="30"/>
        </w:rPr>
      </w:pPr>
      <w:r>
        <w:rPr>
          <w:rFonts w:hint="eastAsia"/>
          <w:sz w:val="30"/>
          <w:szCs w:val="30"/>
        </w:rPr>
        <w:t>为了对这个观念有所体会，让我们简要地看一段在弥迦书里找到的经典旧约国度预言：</w:t>
      </w:r>
    </w:p>
    <w:p w14:paraId="41B5428A">
      <w:pPr>
        <w:pStyle w:val="9"/>
        <w:spacing w:before="0"/>
        <w:ind w:left="0"/>
        <w:jc w:val="left"/>
        <w:rPr>
          <w:rFonts w:hint="eastAsia"/>
          <w:sz w:val="30"/>
          <w:szCs w:val="30"/>
        </w:rPr>
      </w:pPr>
    </w:p>
    <w:p w14:paraId="7D9AD23C">
      <w:pPr>
        <w:pStyle w:val="9"/>
        <w:spacing w:before="0"/>
        <w:ind w:left="0"/>
        <w:jc w:val="left"/>
        <w:rPr>
          <w:rFonts w:hint="eastAsia"/>
          <w:sz w:val="30"/>
          <w:szCs w:val="30"/>
        </w:rPr>
      </w:pPr>
      <w:r>
        <w:rPr>
          <w:rFonts w:hint="eastAsia"/>
          <w:sz w:val="30"/>
          <w:szCs w:val="30"/>
        </w:rPr>
        <w:t>Now it shall come to pass in the latter-day s that the mountain of the LORD’S house will be established as the chief of (or, on top of) the mountains, and it shall be exalted above the hills; and peoples shall flow to it.</w:t>
      </w:r>
    </w:p>
    <w:p w14:paraId="49329377">
      <w:pPr>
        <w:pStyle w:val="9"/>
        <w:spacing w:before="0"/>
        <w:ind w:left="0"/>
        <w:jc w:val="left"/>
        <w:rPr>
          <w:rFonts w:hint="eastAsia"/>
          <w:sz w:val="30"/>
          <w:szCs w:val="30"/>
        </w:rPr>
      </w:pPr>
    </w:p>
    <w:p w14:paraId="5EFD8A74">
      <w:pPr>
        <w:pStyle w:val="9"/>
        <w:spacing w:before="0"/>
        <w:ind w:left="0"/>
        <w:jc w:val="left"/>
        <w:rPr>
          <w:rFonts w:hint="eastAsia"/>
          <w:sz w:val="30"/>
          <w:szCs w:val="30"/>
        </w:rPr>
      </w:pPr>
      <w:r>
        <w:rPr>
          <w:rFonts w:hint="eastAsia"/>
          <w:sz w:val="30"/>
          <w:szCs w:val="30"/>
        </w:rPr>
        <w:t>末后的日子，耶和华殿的山必坚立，超乎诸山（或，在诸山之顶），高举过于万岭；万民都要流归这山。</w:t>
      </w:r>
    </w:p>
    <w:p w14:paraId="2E184B38">
      <w:pPr>
        <w:pStyle w:val="9"/>
        <w:spacing w:before="0"/>
        <w:ind w:left="0"/>
        <w:jc w:val="left"/>
        <w:rPr>
          <w:rFonts w:hint="eastAsia"/>
          <w:sz w:val="30"/>
          <w:szCs w:val="30"/>
        </w:rPr>
      </w:pPr>
    </w:p>
    <w:p w14:paraId="437B7FFA">
      <w:pPr>
        <w:pStyle w:val="9"/>
        <w:spacing w:before="0"/>
        <w:ind w:left="0"/>
        <w:jc w:val="left"/>
        <w:rPr>
          <w:rFonts w:hint="eastAsia"/>
          <w:sz w:val="30"/>
          <w:szCs w:val="30"/>
        </w:rPr>
      </w:pPr>
      <w:r>
        <w:rPr>
          <w:rFonts w:hint="eastAsia"/>
          <w:sz w:val="30"/>
          <w:szCs w:val="30"/>
        </w:rPr>
        <w:t>Many nations shall come and say, “Come, let us go up to the mountain of the LORD, to the house of the God of Jacob.</w:t>
      </w:r>
    </w:p>
    <w:p w14:paraId="7FA26744">
      <w:pPr>
        <w:pStyle w:val="9"/>
        <w:spacing w:before="0"/>
        <w:ind w:left="0"/>
        <w:jc w:val="left"/>
        <w:rPr>
          <w:rFonts w:hint="eastAsia"/>
          <w:sz w:val="30"/>
          <w:szCs w:val="30"/>
        </w:rPr>
      </w:pPr>
    </w:p>
    <w:p w14:paraId="4B58A01B">
      <w:pPr>
        <w:pStyle w:val="9"/>
        <w:spacing w:before="0"/>
        <w:ind w:left="0"/>
        <w:jc w:val="left"/>
        <w:rPr>
          <w:rFonts w:hint="eastAsia"/>
          <w:sz w:val="30"/>
          <w:szCs w:val="30"/>
        </w:rPr>
      </w:pPr>
      <w:r>
        <w:rPr>
          <w:rFonts w:hint="eastAsia"/>
          <w:sz w:val="30"/>
          <w:szCs w:val="30"/>
        </w:rPr>
        <w:t>许多国的民要前来，说：“来吧，我们登耶和华的山，到雅各神的殿去。</w:t>
      </w:r>
    </w:p>
    <w:p w14:paraId="1AB4C09F">
      <w:pPr>
        <w:pStyle w:val="9"/>
        <w:spacing w:before="0"/>
        <w:ind w:left="0"/>
        <w:jc w:val="left"/>
        <w:rPr>
          <w:rFonts w:hint="eastAsia"/>
          <w:sz w:val="30"/>
          <w:szCs w:val="30"/>
        </w:rPr>
      </w:pPr>
    </w:p>
    <w:p w14:paraId="74E41662">
      <w:pPr>
        <w:pStyle w:val="9"/>
        <w:spacing w:before="0"/>
        <w:ind w:left="0"/>
        <w:jc w:val="left"/>
        <w:rPr>
          <w:rFonts w:hint="eastAsia"/>
          <w:sz w:val="30"/>
          <w:szCs w:val="30"/>
        </w:rPr>
      </w:pPr>
      <w:r>
        <w:rPr>
          <w:rFonts w:hint="eastAsia"/>
          <w:sz w:val="30"/>
          <w:szCs w:val="30"/>
        </w:rPr>
        <w:t>He will teach us His ways, and we shall walk in His paths.”</w:t>
      </w:r>
    </w:p>
    <w:p w14:paraId="2BBC1CFD">
      <w:pPr>
        <w:pStyle w:val="9"/>
        <w:spacing w:before="0"/>
        <w:ind w:left="0"/>
        <w:jc w:val="left"/>
        <w:rPr>
          <w:rFonts w:hint="eastAsia"/>
          <w:sz w:val="30"/>
          <w:szCs w:val="30"/>
        </w:rPr>
      </w:pPr>
    </w:p>
    <w:p w14:paraId="46FD9AC9">
      <w:pPr>
        <w:pStyle w:val="9"/>
        <w:spacing w:before="0"/>
        <w:ind w:left="0"/>
        <w:jc w:val="left"/>
        <w:rPr>
          <w:rFonts w:hint="eastAsia"/>
          <w:sz w:val="30"/>
          <w:szCs w:val="30"/>
        </w:rPr>
      </w:pPr>
      <w:r>
        <w:rPr>
          <w:rFonts w:hint="eastAsia"/>
          <w:sz w:val="30"/>
          <w:szCs w:val="30"/>
        </w:rPr>
        <w:t>祂必将祂的道教训我们，我们也要行祂的路。”</w:t>
      </w:r>
    </w:p>
    <w:p w14:paraId="4FD2B9A4">
      <w:pPr>
        <w:pStyle w:val="9"/>
        <w:spacing w:before="0"/>
        <w:ind w:left="0"/>
        <w:jc w:val="left"/>
        <w:rPr>
          <w:rFonts w:hint="eastAsia"/>
          <w:sz w:val="30"/>
          <w:szCs w:val="30"/>
        </w:rPr>
      </w:pPr>
    </w:p>
    <w:p w14:paraId="7F1CE3AE">
      <w:pPr>
        <w:pStyle w:val="9"/>
        <w:spacing w:before="0"/>
        <w:ind w:left="0"/>
        <w:jc w:val="left"/>
        <w:rPr>
          <w:rFonts w:hint="eastAsia"/>
          <w:sz w:val="30"/>
          <w:szCs w:val="30"/>
        </w:rPr>
      </w:pPr>
      <w:r>
        <w:rPr>
          <w:rFonts w:hint="eastAsia"/>
          <w:sz w:val="30"/>
          <w:szCs w:val="30"/>
        </w:rPr>
        <w:t>For out of Zion the law (or, instruction) shall go forth, even the word of the LORD from Jerusalem.</w:t>
      </w:r>
    </w:p>
    <w:p w14:paraId="2D0A92A7">
      <w:pPr>
        <w:pStyle w:val="9"/>
        <w:spacing w:before="0"/>
        <w:ind w:left="0"/>
        <w:jc w:val="left"/>
        <w:rPr>
          <w:rFonts w:hint="eastAsia"/>
          <w:sz w:val="30"/>
          <w:szCs w:val="30"/>
        </w:rPr>
      </w:pPr>
    </w:p>
    <w:p w14:paraId="3F78EAFB">
      <w:pPr>
        <w:pStyle w:val="9"/>
        <w:spacing w:before="0"/>
        <w:ind w:left="0"/>
        <w:jc w:val="left"/>
        <w:rPr>
          <w:rFonts w:hint="eastAsia"/>
          <w:sz w:val="30"/>
          <w:szCs w:val="30"/>
        </w:rPr>
      </w:pPr>
      <w:r>
        <w:rPr>
          <w:rFonts w:hint="eastAsia"/>
          <w:sz w:val="30"/>
          <w:szCs w:val="30"/>
        </w:rPr>
        <w:t>因为训诲（或，教训）必出于锡安，耶和华的言语必出于耶路撒冷。</w:t>
      </w:r>
    </w:p>
    <w:p w14:paraId="5E5BDF7A">
      <w:pPr>
        <w:pStyle w:val="9"/>
        <w:spacing w:before="0"/>
        <w:ind w:left="0"/>
        <w:jc w:val="left"/>
        <w:rPr>
          <w:rFonts w:hint="eastAsia"/>
          <w:sz w:val="30"/>
          <w:szCs w:val="30"/>
        </w:rPr>
      </w:pPr>
    </w:p>
    <w:p w14:paraId="551A8431">
      <w:pPr>
        <w:pStyle w:val="9"/>
        <w:spacing w:before="0"/>
        <w:ind w:left="0"/>
        <w:jc w:val="left"/>
        <w:rPr>
          <w:rFonts w:hint="eastAsia"/>
          <w:sz w:val="30"/>
          <w:szCs w:val="30"/>
        </w:rPr>
      </w:pPr>
      <w:r>
        <w:rPr>
          <w:rFonts w:hint="eastAsia"/>
          <w:sz w:val="30"/>
          <w:szCs w:val="30"/>
        </w:rPr>
        <w:t>—Micah 4:1-2</w:t>
      </w:r>
    </w:p>
    <w:p w14:paraId="6A96AD3B">
      <w:pPr>
        <w:pStyle w:val="9"/>
        <w:spacing w:before="0"/>
        <w:ind w:left="0"/>
        <w:jc w:val="left"/>
        <w:rPr>
          <w:rFonts w:hint="eastAsia"/>
          <w:sz w:val="30"/>
          <w:szCs w:val="30"/>
        </w:rPr>
      </w:pPr>
    </w:p>
    <w:p w14:paraId="402CDD82">
      <w:pPr>
        <w:pStyle w:val="9"/>
        <w:spacing w:before="0"/>
        <w:ind w:left="0"/>
        <w:jc w:val="left"/>
        <w:rPr>
          <w:rFonts w:hint="eastAsia"/>
          <w:sz w:val="30"/>
          <w:szCs w:val="30"/>
        </w:rPr>
      </w:pPr>
      <w:r>
        <w:rPr>
          <w:rFonts w:hint="eastAsia"/>
          <w:sz w:val="30"/>
          <w:szCs w:val="30"/>
        </w:rPr>
        <w:t>——弥迦书 4:1-2</w:t>
      </w:r>
    </w:p>
    <w:p w14:paraId="47AA8B69">
      <w:pPr>
        <w:pStyle w:val="9"/>
        <w:spacing w:before="0"/>
        <w:ind w:left="0"/>
        <w:jc w:val="left"/>
        <w:rPr>
          <w:rFonts w:hint="eastAsia"/>
          <w:sz w:val="30"/>
          <w:szCs w:val="30"/>
        </w:rPr>
      </w:pPr>
    </w:p>
    <w:p w14:paraId="3C47E4D9">
      <w:pPr>
        <w:pStyle w:val="9"/>
        <w:spacing w:before="0"/>
        <w:ind w:left="0"/>
        <w:jc w:val="left"/>
        <w:rPr>
          <w:rFonts w:hint="eastAsia"/>
          <w:sz w:val="30"/>
          <w:szCs w:val="30"/>
        </w:rPr>
      </w:pPr>
      <w:r>
        <w:rPr>
          <w:rFonts w:hint="eastAsia"/>
          <w:sz w:val="30"/>
          <w:szCs w:val="30"/>
        </w:rPr>
        <w:t>As we learn at the very outset of the prophecy, the events here described will occur in “the latter-day s.”</w:t>
      </w:r>
    </w:p>
    <w:p w14:paraId="4AB6BD87">
      <w:pPr>
        <w:pStyle w:val="9"/>
        <w:spacing w:before="0"/>
        <w:ind w:left="0"/>
        <w:jc w:val="left"/>
        <w:rPr>
          <w:rFonts w:hint="eastAsia"/>
          <w:sz w:val="30"/>
          <w:szCs w:val="30"/>
        </w:rPr>
      </w:pPr>
    </w:p>
    <w:p w14:paraId="5CF1131C">
      <w:pPr>
        <w:pStyle w:val="9"/>
        <w:spacing w:before="0"/>
        <w:ind w:left="0"/>
        <w:jc w:val="left"/>
        <w:rPr>
          <w:rFonts w:hint="eastAsia"/>
          <w:sz w:val="30"/>
          <w:szCs w:val="30"/>
        </w:rPr>
      </w:pPr>
      <w:r>
        <w:rPr>
          <w:rFonts w:hint="eastAsia"/>
          <w:sz w:val="30"/>
          <w:szCs w:val="30"/>
        </w:rPr>
        <w:t>正如我们在这段预言的开篇就得知的，这里描述的事件将发生在“末后的日子”。</w:t>
      </w:r>
    </w:p>
    <w:p w14:paraId="52DF150A">
      <w:pPr>
        <w:pStyle w:val="9"/>
        <w:spacing w:before="0"/>
        <w:ind w:left="0"/>
        <w:jc w:val="left"/>
        <w:rPr>
          <w:rFonts w:hint="eastAsia"/>
          <w:sz w:val="30"/>
          <w:szCs w:val="30"/>
        </w:rPr>
      </w:pPr>
    </w:p>
    <w:p w14:paraId="129AC471">
      <w:pPr>
        <w:pStyle w:val="9"/>
        <w:spacing w:before="0"/>
        <w:ind w:left="0"/>
        <w:jc w:val="left"/>
        <w:rPr>
          <w:rFonts w:hint="eastAsia"/>
          <w:sz w:val="30"/>
          <w:szCs w:val="30"/>
        </w:rPr>
      </w:pPr>
      <w:r>
        <w:rPr>
          <w:rFonts w:hint="eastAsia"/>
          <w:sz w:val="30"/>
          <w:szCs w:val="30"/>
        </w:rPr>
        <w:t>That is, they will occur in the days of the coming Kingdom, when God, through his Messianic King, will again rule over the world.</w:t>
      </w:r>
    </w:p>
    <w:p w14:paraId="08178C39">
      <w:pPr>
        <w:pStyle w:val="9"/>
        <w:spacing w:before="0"/>
        <w:ind w:left="0"/>
        <w:jc w:val="left"/>
        <w:rPr>
          <w:rFonts w:hint="eastAsia"/>
          <w:sz w:val="30"/>
          <w:szCs w:val="30"/>
        </w:rPr>
      </w:pPr>
    </w:p>
    <w:p w14:paraId="57C0DA5A">
      <w:pPr>
        <w:pStyle w:val="9"/>
        <w:spacing w:before="0"/>
        <w:ind w:left="0"/>
        <w:jc w:val="left"/>
        <w:rPr>
          <w:rFonts w:hint="eastAsia"/>
          <w:sz w:val="30"/>
          <w:szCs w:val="30"/>
        </w:rPr>
      </w:pPr>
      <w:r>
        <w:rPr>
          <w:rFonts w:hint="eastAsia"/>
          <w:sz w:val="30"/>
          <w:szCs w:val="30"/>
        </w:rPr>
        <w:t>就是说，它们将发生在要来的国度的日子里，那时神将借着祂的弥赛亚君王，再次统治世界。</w:t>
      </w:r>
    </w:p>
    <w:p w14:paraId="52AED9C1">
      <w:pPr>
        <w:pStyle w:val="9"/>
        <w:spacing w:before="0"/>
        <w:ind w:left="0"/>
        <w:jc w:val="left"/>
        <w:rPr>
          <w:rFonts w:hint="eastAsia"/>
          <w:sz w:val="30"/>
          <w:szCs w:val="30"/>
        </w:rPr>
      </w:pPr>
    </w:p>
    <w:p w14:paraId="1F29F87F">
      <w:pPr>
        <w:pStyle w:val="9"/>
        <w:spacing w:before="0"/>
        <w:ind w:left="0"/>
        <w:jc w:val="left"/>
        <w:rPr>
          <w:rFonts w:hint="eastAsia"/>
          <w:sz w:val="30"/>
          <w:szCs w:val="30"/>
        </w:rPr>
      </w:pPr>
      <w:r>
        <w:rPr>
          <w:rFonts w:hint="eastAsia"/>
          <w:sz w:val="30"/>
          <w:szCs w:val="30"/>
        </w:rPr>
        <w:t>But here is something interesting and—for us Christians— troubling: In those days, it appears that the Mosaic Law will still be in effect!</w:t>
      </w:r>
    </w:p>
    <w:p w14:paraId="54629426">
      <w:pPr>
        <w:pStyle w:val="9"/>
        <w:spacing w:before="0"/>
        <w:ind w:left="0"/>
        <w:jc w:val="left"/>
        <w:rPr>
          <w:rFonts w:hint="eastAsia"/>
          <w:sz w:val="30"/>
          <w:szCs w:val="30"/>
        </w:rPr>
      </w:pPr>
    </w:p>
    <w:p w14:paraId="0C0BA226">
      <w:pPr>
        <w:pStyle w:val="9"/>
        <w:spacing w:before="0"/>
        <w:ind w:left="0"/>
        <w:jc w:val="left"/>
        <w:rPr>
          <w:rFonts w:hint="eastAsia"/>
          <w:sz w:val="30"/>
          <w:szCs w:val="30"/>
        </w:rPr>
      </w:pPr>
      <w:r>
        <w:rPr>
          <w:rFonts w:hint="eastAsia"/>
          <w:sz w:val="30"/>
          <w:szCs w:val="30"/>
        </w:rPr>
        <w:t>但这里有一件有趣且——对我们基督徒而言——令人困扰的事：在那些日子里，摩西律法似乎仍将有效！</w:t>
      </w:r>
    </w:p>
    <w:p w14:paraId="63F6BEFB">
      <w:pPr>
        <w:pStyle w:val="9"/>
        <w:spacing w:before="0"/>
        <w:ind w:left="0"/>
        <w:jc w:val="left"/>
        <w:rPr>
          <w:rFonts w:hint="eastAsia"/>
          <w:sz w:val="30"/>
          <w:szCs w:val="30"/>
        </w:rPr>
      </w:pPr>
    </w:p>
    <w:p w14:paraId="751B01DE">
      <w:pPr>
        <w:pStyle w:val="9"/>
        <w:spacing w:before="0"/>
        <w:ind w:left="0"/>
        <w:jc w:val="left"/>
        <w:rPr>
          <w:rFonts w:hint="eastAsia"/>
          <w:sz w:val="30"/>
          <w:szCs w:val="30"/>
        </w:rPr>
      </w:pPr>
      <w:r>
        <w:rPr>
          <w:rFonts w:hint="eastAsia"/>
          <w:sz w:val="30"/>
          <w:szCs w:val="30"/>
        </w:rPr>
        <w:t>As in Solomon’s time, so here: A great temple will sit atop Mt. Zion.</w:t>
      </w:r>
    </w:p>
    <w:p w14:paraId="2D86E96A">
      <w:pPr>
        <w:pStyle w:val="9"/>
        <w:spacing w:before="0"/>
        <w:ind w:left="0"/>
        <w:jc w:val="left"/>
        <w:rPr>
          <w:rFonts w:hint="eastAsia"/>
          <w:sz w:val="30"/>
          <w:szCs w:val="30"/>
        </w:rPr>
      </w:pPr>
    </w:p>
    <w:p w14:paraId="2473A4CA">
      <w:pPr>
        <w:pStyle w:val="9"/>
        <w:spacing w:before="0"/>
        <w:ind w:left="0"/>
        <w:jc w:val="left"/>
        <w:rPr>
          <w:rFonts w:hint="eastAsia"/>
          <w:sz w:val="30"/>
          <w:szCs w:val="30"/>
        </w:rPr>
      </w:pPr>
      <w:r>
        <w:rPr>
          <w:rFonts w:hint="eastAsia"/>
          <w:sz w:val="30"/>
          <w:szCs w:val="30"/>
        </w:rPr>
        <w:t>如同所罗门的时代，这里也是：一座宏伟的殿将坐落在锡安山顶。</w:t>
      </w:r>
    </w:p>
    <w:p w14:paraId="5F3B4207">
      <w:pPr>
        <w:pStyle w:val="9"/>
        <w:spacing w:before="0"/>
        <w:ind w:left="0"/>
        <w:jc w:val="left"/>
        <w:rPr>
          <w:rFonts w:hint="eastAsia"/>
          <w:sz w:val="30"/>
          <w:szCs w:val="30"/>
        </w:rPr>
      </w:pPr>
    </w:p>
    <w:p w14:paraId="486BCC6E">
      <w:pPr>
        <w:pStyle w:val="9"/>
        <w:spacing w:before="0"/>
        <w:ind w:left="0"/>
        <w:jc w:val="left"/>
        <w:rPr>
          <w:rFonts w:hint="eastAsia"/>
          <w:sz w:val="30"/>
          <w:szCs w:val="30"/>
        </w:rPr>
      </w:pPr>
      <w:r>
        <w:rPr>
          <w:rFonts w:hint="eastAsia"/>
          <w:sz w:val="30"/>
          <w:szCs w:val="30"/>
        </w:rPr>
        <w:t>Many peoples of the world—Gentile nations—will make pilgrimages to it.</w:t>
      </w:r>
    </w:p>
    <w:p w14:paraId="48AF1510">
      <w:pPr>
        <w:pStyle w:val="9"/>
        <w:spacing w:before="0"/>
        <w:ind w:left="0"/>
        <w:jc w:val="left"/>
        <w:rPr>
          <w:rFonts w:hint="eastAsia"/>
          <w:sz w:val="30"/>
          <w:szCs w:val="30"/>
        </w:rPr>
      </w:pPr>
    </w:p>
    <w:p w14:paraId="07E16527">
      <w:pPr>
        <w:pStyle w:val="9"/>
        <w:spacing w:before="0"/>
        <w:ind w:left="0"/>
        <w:jc w:val="left"/>
        <w:rPr>
          <w:rFonts w:hint="eastAsia"/>
          <w:sz w:val="30"/>
          <w:szCs w:val="30"/>
        </w:rPr>
      </w:pPr>
      <w:r>
        <w:rPr>
          <w:rFonts w:hint="eastAsia"/>
          <w:sz w:val="30"/>
          <w:szCs w:val="30"/>
        </w:rPr>
        <w:t>世界上许多民族——外邦列国——将前往朝圣。</w:t>
      </w:r>
    </w:p>
    <w:p w14:paraId="05B1C17E">
      <w:pPr>
        <w:pStyle w:val="9"/>
        <w:spacing w:before="0"/>
        <w:ind w:left="0"/>
        <w:jc w:val="left"/>
        <w:rPr>
          <w:rFonts w:hint="eastAsia"/>
          <w:sz w:val="30"/>
          <w:szCs w:val="30"/>
        </w:rPr>
      </w:pPr>
    </w:p>
    <w:p w14:paraId="6284403A">
      <w:pPr>
        <w:pStyle w:val="9"/>
        <w:spacing w:before="0"/>
        <w:ind w:left="0"/>
        <w:jc w:val="left"/>
        <w:rPr>
          <w:rFonts w:hint="eastAsia"/>
          <w:sz w:val="30"/>
          <w:szCs w:val="30"/>
        </w:rPr>
      </w:pPr>
      <w:r>
        <w:rPr>
          <w:rFonts w:hint="eastAsia"/>
          <w:sz w:val="30"/>
          <w:szCs w:val="30"/>
        </w:rPr>
        <w:t>The LORD himself will dwell in this temple, presumably between the cherubim of the Ark of the Covenant.</w:t>
      </w:r>
    </w:p>
    <w:p w14:paraId="6CEC368F">
      <w:pPr>
        <w:pStyle w:val="9"/>
        <w:spacing w:before="0"/>
        <w:ind w:left="0"/>
        <w:jc w:val="left"/>
        <w:rPr>
          <w:rFonts w:hint="eastAsia"/>
          <w:sz w:val="30"/>
          <w:szCs w:val="30"/>
        </w:rPr>
      </w:pPr>
    </w:p>
    <w:p w14:paraId="7322A769">
      <w:pPr>
        <w:pStyle w:val="9"/>
        <w:spacing w:before="0"/>
        <w:ind w:left="0"/>
        <w:jc w:val="left"/>
        <w:rPr>
          <w:rFonts w:hint="eastAsia"/>
          <w:sz w:val="30"/>
          <w:szCs w:val="30"/>
        </w:rPr>
      </w:pPr>
      <w:r>
        <w:rPr>
          <w:rFonts w:hint="eastAsia"/>
          <w:sz w:val="30"/>
          <w:szCs w:val="30"/>
        </w:rPr>
        <w:t>耶和华自己将住在这殿中，大概是在约柜的基路伯之间。</w:t>
      </w:r>
    </w:p>
    <w:p w14:paraId="1B397E2C">
      <w:pPr>
        <w:pStyle w:val="9"/>
        <w:spacing w:before="0"/>
        <w:ind w:left="0"/>
        <w:jc w:val="left"/>
        <w:rPr>
          <w:rFonts w:hint="eastAsia"/>
          <w:sz w:val="30"/>
          <w:szCs w:val="30"/>
        </w:rPr>
      </w:pPr>
    </w:p>
    <w:p w14:paraId="1C11B581">
      <w:pPr>
        <w:pStyle w:val="9"/>
        <w:spacing w:before="0"/>
        <w:ind w:left="0"/>
        <w:jc w:val="left"/>
        <w:rPr>
          <w:rFonts w:hint="eastAsia"/>
          <w:sz w:val="30"/>
          <w:szCs w:val="30"/>
        </w:rPr>
      </w:pPr>
      <w:r>
        <w:rPr>
          <w:rFonts w:hint="eastAsia"/>
          <w:sz w:val="30"/>
          <w:szCs w:val="30"/>
        </w:rPr>
        <w:t>And however it is that he will teach the peoples, it will be out of “the Law,” that incomparable body of statutes, judgments, and ordinances, of which Moses said that they are Israel’s “wisdom and understanding,” meant by God to provoke the nations to jealousy and admiration (Deut. 4:5-8).</w:t>
      </w:r>
    </w:p>
    <w:p w14:paraId="5496179B">
      <w:pPr>
        <w:pStyle w:val="9"/>
        <w:spacing w:before="0"/>
        <w:ind w:left="0"/>
        <w:jc w:val="left"/>
        <w:rPr>
          <w:rFonts w:hint="eastAsia"/>
          <w:sz w:val="30"/>
          <w:szCs w:val="30"/>
        </w:rPr>
      </w:pPr>
    </w:p>
    <w:p w14:paraId="0A3A4CF0">
      <w:pPr>
        <w:pStyle w:val="9"/>
        <w:spacing w:before="0"/>
        <w:ind w:left="0"/>
        <w:jc w:val="left"/>
        <w:rPr>
          <w:rFonts w:hint="eastAsia"/>
          <w:sz w:val="30"/>
          <w:szCs w:val="30"/>
        </w:rPr>
      </w:pPr>
      <w:r>
        <w:rPr>
          <w:rFonts w:hint="eastAsia"/>
          <w:sz w:val="30"/>
          <w:szCs w:val="30"/>
        </w:rPr>
        <w:t>并且无论祂将如何教导万民，都将是出自“律法”，那无与伦比的律例、典章和诫命的集合体，摩西曾说它们是以色列的“智慧和聪明”，是神用来激动列国嫉妒和羡慕的（申 4:5-8）。</w:t>
      </w:r>
    </w:p>
    <w:p w14:paraId="245C1FD8">
      <w:pPr>
        <w:pStyle w:val="9"/>
        <w:spacing w:before="0"/>
        <w:ind w:left="0"/>
        <w:jc w:val="left"/>
        <w:rPr>
          <w:rFonts w:hint="eastAsia"/>
          <w:sz w:val="30"/>
          <w:szCs w:val="30"/>
        </w:rPr>
      </w:pPr>
    </w:p>
    <w:p w14:paraId="4867DA77">
      <w:pPr>
        <w:pStyle w:val="9"/>
        <w:spacing w:before="0"/>
        <w:ind w:left="0"/>
        <w:jc w:val="left"/>
        <w:rPr>
          <w:rFonts w:hint="eastAsia"/>
          <w:sz w:val="30"/>
          <w:szCs w:val="30"/>
        </w:rPr>
      </w:pPr>
      <w:r>
        <w:rPr>
          <w:rFonts w:hint="eastAsia"/>
          <w:sz w:val="30"/>
          <w:szCs w:val="30"/>
        </w:rPr>
        <w:t>Very importantly, all of this is quite typical of OTKP.</w:t>
      </w:r>
    </w:p>
    <w:p w14:paraId="76A72B55">
      <w:pPr>
        <w:pStyle w:val="9"/>
        <w:spacing w:before="0"/>
        <w:ind w:left="0"/>
        <w:jc w:val="left"/>
        <w:rPr>
          <w:rFonts w:hint="eastAsia"/>
          <w:sz w:val="30"/>
          <w:szCs w:val="30"/>
        </w:rPr>
      </w:pPr>
    </w:p>
    <w:p w14:paraId="327FC486">
      <w:pPr>
        <w:pStyle w:val="9"/>
        <w:spacing w:before="0"/>
        <w:ind w:left="0"/>
        <w:jc w:val="left"/>
        <w:rPr>
          <w:rFonts w:hint="eastAsia"/>
          <w:sz w:val="30"/>
          <w:szCs w:val="30"/>
        </w:rPr>
      </w:pPr>
      <w:r>
        <w:rPr>
          <w:rFonts w:hint="eastAsia"/>
          <w:sz w:val="30"/>
          <w:szCs w:val="30"/>
        </w:rPr>
        <w:t>非常重要的一点是，所有这一切在旧约国度预言中都是相当典型的。</w:t>
      </w:r>
    </w:p>
    <w:p w14:paraId="3449F808">
      <w:pPr>
        <w:pStyle w:val="9"/>
        <w:spacing w:before="0"/>
        <w:ind w:left="0"/>
        <w:jc w:val="left"/>
        <w:rPr>
          <w:rFonts w:hint="eastAsia"/>
          <w:sz w:val="30"/>
          <w:szCs w:val="30"/>
        </w:rPr>
      </w:pPr>
    </w:p>
    <w:p w14:paraId="4D379510">
      <w:pPr>
        <w:pStyle w:val="9"/>
        <w:spacing w:before="0"/>
        <w:ind w:left="0"/>
        <w:jc w:val="left"/>
        <w:rPr>
          <w:rFonts w:hint="eastAsia"/>
          <w:sz w:val="30"/>
          <w:szCs w:val="30"/>
        </w:rPr>
      </w:pPr>
      <w:r>
        <w:rPr>
          <w:rFonts w:hint="eastAsia"/>
          <w:sz w:val="30"/>
          <w:szCs w:val="30"/>
        </w:rPr>
        <w:t>For example, according to David, God will install his Messianic King on Mt. Zion (Psalm 2:6), and from there he will stretch forth his strong scepter to rule over Israel and the nations (Psalm 110:2).</w:t>
      </w:r>
    </w:p>
    <w:p w14:paraId="3D176719">
      <w:pPr>
        <w:pStyle w:val="9"/>
        <w:spacing w:before="0"/>
        <w:ind w:left="0"/>
        <w:jc w:val="left"/>
        <w:rPr>
          <w:rFonts w:hint="eastAsia"/>
          <w:sz w:val="30"/>
          <w:szCs w:val="30"/>
        </w:rPr>
      </w:pPr>
    </w:p>
    <w:p w14:paraId="4A9FB2F9">
      <w:pPr>
        <w:pStyle w:val="9"/>
        <w:spacing w:before="0"/>
        <w:ind w:left="0"/>
        <w:jc w:val="left"/>
        <w:rPr>
          <w:rFonts w:hint="eastAsia"/>
          <w:sz w:val="30"/>
          <w:szCs w:val="30"/>
        </w:rPr>
      </w:pPr>
      <w:r>
        <w:rPr>
          <w:rFonts w:hint="eastAsia"/>
          <w:sz w:val="30"/>
          <w:szCs w:val="30"/>
        </w:rPr>
        <w:t>例如，根据大卫的说法，神将在锡安山膏立祂的弥赛亚君王（诗篇 2:6），并从那里伸出祂大能的杖，来统治以色列和列国（诗篇 110:2）。</w:t>
      </w:r>
    </w:p>
    <w:p w14:paraId="023416AB">
      <w:pPr>
        <w:pStyle w:val="9"/>
        <w:spacing w:before="0"/>
        <w:ind w:left="0"/>
        <w:jc w:val="left"/>
        <w:rPr>
          <w:rFonts w:hint="eastAsia"/>
          <w:sz w:val="30"/>
          <w:szCs w:val="30"/>
        </w:rPr>
      </w:pPr>
    </w:p>
    <w:p w14:paraId="0BF21F1C">
      <w:pPr>
        <w:pStyle w:val="9"/>
        <w:spacing w:before="0"/>
        <w:ind w:left="0"/>
        <w:jc w:val="left"/>
        <w:rPr>
          <w:rFonts w:hint="eastAsia"/>
          <w:sz w:val="30"/>
          <w:szCs w:val="30"/>
        </w:rPr>
      </w:pPr>
      <w:r>
        <w:rPr>
          <w:rFonts w:hint="eastAsia"/>
          <w:sz w:val="30"/>
          <w:szCs w:val="30"/>
        </w:rPr>
        <w:t>According to Isaiah, eunuchs and foreigners who hold fast to the Covenant and honor God’s Sabbaths will serve as priests in his house, on his holy mountain, placing burnt offerings for sin upon his altar (Isaiah 56:6-8).</w:t>
      </w:r>
    </w:p>
    <w:p w14:paraId="60AE89A9">
      <w:pPr>
        <w:pStyle w:val="9"/>
        <w:spacing w:before="0"/>
        <w:ind w:left="0"/>
        <w:jc w:val="left"/>
        <w:rPr>
          <w:rFonts w:hint="eastAsia"/>
          <w:sz w:val="30"/>
          <w:szCs w:val="30"/>
        </w:rPr>
      </w:pPr>
    </w:p>
    <w:p w14:paraId="73A22EB6">
      <w:pPr>
        <w:pStyle w:val="9"/>
        <w:spacing w:before="0"/>
        <w:ind w:left="0"/>
        <w:jc w:val="left"/>
        <w:rPr>
          <w:rFonts w:hint="eastAsia"/>
          <w:sz w:val="30"/>
          <w:szCs w:val="30"/>
        </w:rPr>
      </w:pPr>
      <w:r>
        <w:rPr>
          <w:rFonts w:hint="eastAsia"/>
          <w:sz w:val="30"/>
          <w:szCs w:val="30"/>
        </w:rPr>
        <w:t>根据以赛亚的说法，持守圣约并尊重神安息日的太监和外邦人，将在祂的殿中，在祂的圣山上作祭司，将为罪献的燔祭放在祂的坛上（以赛亚书 56:6-8）。</w:t>
      </w:r>
    </w:p>
    <w:p w14:paraId="4B1A7A56">
      <w:pPr>
        <w:pStyle w:val="9"/>
        <w:spacing w:before="0"/>
        <w:ind w:left="0"/>
        <w:jc w:val="left"/>
        <w:rPr>
          <w:rFonts w:hint="eastAsia"/>
          <w:sz w:val="30"/>
          <w:szCs w:val="30"/>
        </w:rPr>
      </w:pPr>
    </w:p>
    <w:p w14:paraId="29D0EDDA">
      <w:pPr>
        <w:pStyle w:val="9"/>
        <w:spacing w:before="0"/>
        <w:ind w:left="0"/>
        <w:jc w:val="left"/>
        <w:rPr>
          <w:rFonts w:hint="eastAsia"/>
          <w:sz w:val="30"/>
          <w:szCs w:val="30"/>
        </w:rPr>
      </w:pPr>
      <w:r>
        <w:rPr>
          <w:rFonts w:hint="eastAsia"/>
          <w:sz w:val="30"/>
          <w:szCs w:val="30"/>
        </w:rPr>
        <w:t>According to Jeremiah, when the Messianic son of David finally appears, the Levitical priests will never lack a man to offer burnt offerings and prepare sacrifices before God, and they will do so “continually” (literally, “all the days,” Jer. 33:17-18).</w:t>
      </w:r>
    </w:p>
    <w:p w14:paraId="120D2160">
      <w:pPr>
        <w:pStyle w:val="9"/>
        <w:spacing w:before="0"/>
        <w:ind w:left="0"/>
        <w:jc w:val="left"/>
        <w:rPr>
          <w:rFonts w:hint="eastAsia"/>
          <w:sz w:val="30"/>
          <w:szCs w:val="30"/>
        </w:rPr>
      </w:pPr>
    </w:p>
    <w:p w14:paraId="5355B10E">
      <w:pPr>
        <w:pStyle w:val="9"/>
        <w:spacing w:before="0"/>
        <w:ind w:left="0"/>
        <w:jc w:val="left"/>
        <w:rPr>
          <w:rFonts w:hint="eastAsia"/>
          <w:sz w:val="30"/>
          <w:szCs w:val="30"/>
        </w:rPr>
      </w:pPr>
      <w:r>
        <w:rPr>
          <w:rFonts w:hint="eastAsia"/>
          <w:sz w:val="30"/>
          <w:szCs w:val="30"/>
        </w:rPr>
        <w:t>根据耶利米的说法，当大卫的弥赛亚后裔最终显现时，利未人的祭司将永不缺人向神献燔祭和预备祭物，并且他们将“不断地”（字面意思是“所有的日子”）如此行（耶 33:17-18）。</w:t>
      </w:r>
    </w:p>
    <w:p w14:paraId="41F09AE2">
      <w:pPr>
        <w:pStyle w:val="9"/>
        <w:spacing w:before="0"/>
        <w:ind w:left="0"/>
        <w:jc w:val="left"/>
        <w:rPr>
          <w:rFonts w:hint="eastAsia"/>
          <w:sz w:val="30"/>
          <w:szCs w:val="30"/>
        </w:rPr>
      </w:pPr>
    </w:p>
    <w:p w14:paraId="5577E9AF">
      <w:pPr>
        <w:pStyle w:val="9"/>
        <w:spacing w:before="0"/>
        <w:ind w:left="0"/>
        <w:jc w:val="left"/>
        <w:rPr>
          <w:rFonts w:hint="eastAsia"/>
          <w:sz w:val="30"/>
          <w:szCs w:val="30"/>
        </w:rPr>
      </w:pPr>
      <w:r>
        <w:rPr>
          <w:rFonts w:hint="eastAsia"/>
          <w:sz w:val="30"/>
          <w:szCs w:val="30"/>
        </w:rPr>
        <w:t>According to Ezekiel, Gentile nations will look with amazement upon Israel, as God once again takes up residence among his people in their ancient homeland, residing in a new, glorious, and everlasting temple (Ezek. 37:24-28).</w:t>
      </w:r>
    </w:p>
    <w:p w14:paraId="71615FBA">
      <w:pPr>
        <w:pStyle w:val="9"/>
        <w:spacing w:before="0"/>
        <w:ind w:left="0"/>
        <w:jc w:val="left"/>
        <w:rPr>
          <w:rFonts w:hint="eastAsia"/>
          <w:sz w:val="30"/>
          <w:szCs w:val="30"/>
        </w:rPr>
      </w:pPr>
    </w:p>
    <w:p w14:paraId="7CD39F30">
      <w:pPr>
        <w:pStyle w:val="9"/>
        <w:spacing w:before="0"/>
        <w:ind w:left="0"/>
        <w:jc w:val="left"/>
        <w:rPr>
          <w:rFonts w:hint="eastAsia"/>
          <w:sz w:val="30"/>
          <w:szCs w:val="30"/>
        </w:rPr>
      </w:pPr>
      <w:r>
        <w:rPr>
          <w:rFonts w:hint="eastAsia"/>
          <w:sz w:val="30"/>
          <w:szCs w:val="30"/>
        </w:rPr>
        <w:t>根据以西结的说法，外邦列国将惊奇地看着以色列，因为神再次在祂子民古老的家园中，在他们中间居住，住在一个新的、荣耀的、永存的殿中（结 37:24-28）。</w:t>
      </w:r>
    </w:p>
    <w:p w14:paraId="6F6F40E6">
      <w:pPr>
        <w:pStyle w:val="9"/>
        <w:spacing w:before="0"/>
        <w:ind w:left="0"/>
        <w:jc w:val="left"/>
        <w:rPr>
          <w:rFonts w:hint="eastAsia"/>
          <w:sz w:val="30"/>
          <w:szCs w:val="30"/>
        </w:rPr>
      </w:pPr>
    </w:p>
    <w:p w14:paraId="4FE6861E">
      <w:pPr>
        <w:pStyle w:val="9"/>
        <w:spacing w:before="0"/>
        <w:ind w:left="0"/>
        <w:jc w:val="left"/>
        <w:rPr>
          <w:rFonts w:hint="eastAsia"/>
          <w:sz w:val="30"/>
          <w:szCs w:val="30"/>
        </w:rPr>
      </w:pPr>
      <w:r>
        <w:rPr>
          <w:rFonts w:hint="eastAsia"/>
          <w:sz w:val="30"/>
          <w:szCs w:val="30"/>
        </w:rPr>
        <w:t>Moreover, in those days the princes will offer the full spectrum of burnt offerings, grain offerings, and drink offerings, on all the appointed feast days, new moons, and Sabbaths (45:17).</w:t>
      </w:r>
    </w:p>
    <w:p w14:paraId="68042029">
      <w:pPr>
        <w:pStyle w:val="9"/>
        <w:spacing w:before="0"/>
        <w:ind w:left="0"/>
        <w:jc w:val="left"/>
        <w:rPr>
          <w:rFonts w:hint="eastAsia"/>
          <w:sz w:val="30"/>
          <w:szCs w:val="30"/>
        </w:rPr>
      </w:pPr>
    </w:p>
    <w:p w14:paraId="0BC17119">
      <w:pPr>
        <w:pStyle w:val="9"/>
        <w:spacing w:before="0"/>
        <w:ind w:left="0"/>
        <w:jc w:val="left"/>
        <w:rPr>
          <w:rFonts w:hint="eastAsia"/>
          <w:sz w:val="30"/>
          <w:szCs w:val="30"/>
        </w:rPr>
      </w:pPr>
      <w:r>
        <w:rPr>
          <w:rFonts w:hint="eastAsia"/>
          <w:sz w:val="30"/>
          <w:szCs w:val="30"/>
        </w:rPr>
        <w:t>此外，在那些日子里，君王们将在所有指定的节期、月朔和安息日，献上全系列的燔祭、素祭和奠祭（45:17）。</w:t>
      </w:r>
    </w:p>
    <w:p w14:paraId="3483B936">
      <w:pPr>
        <w:pStyle w:val="9"/>
        <w:spacing w:before="0"/>
        <w:ind w:left="0"/>
        <w:jc w:val="left"/>
        <w:rPr>
          <w:rFonts w:hint="eastAsia"/>
          <w:sz w:val="30"/>
          <w:szCs w:val="30"/>
        </w:rPr>
      </w:pPr>
    </w:p>
    <w:p w14:paraId="5C8C99CF">
      <w:pPr>
        <w:pStyle w:val="9"/>
        <w:spacing w:before="0"/>
        <w:ind w:left="0"/>
        <w:jc w:val="left"/>
        <w:rPr>
          <w:rFonts w:hint="eastAsia"/>
          <w:sz w:val="30"/>
          <w:szCs w:val="30"/>
        </w:rPr>
      </w:pPr>
      <w:r>
        <w:rPr>
          <w:rFonts w:hint="eastAsia"/>
          <w:sz w:val="30"/>
          <w:szCs w:val="30"/>
        </w:rPr>
        <w:t>And so shall it be done, forever (37:25, 43:7, 9).</w:t>
      </w:r>
    </w:p>
    <w:p w14:paraId="3C2ABABE">
      <w:pPr>
        <w:pStyle w:val="9"/>
        <w:spacing w:before="0"/>
        <w:ind w:left="0"/>
        <w:jc w:val="left"/>
        <w:rPr>
          <w:rFonts w:hint="eastAsia"/>
          <w:sz w:val="30"/>
          <w:szCs w:val="30"/>
        </w:rPr>
      </w:pPr>
    </w:p>
    <w:p w14:paraId="1D383A96">
      <w:pPr>
        <w:pStyle w:val="9"/>
        <w:spacing w:before="0"/>
        <w:ind w:left="0"/>
        <w:jc w:val="left"/>
        <w:rPr>
          <w:rFonts w:hint="eastAsia"/>
          <w:sz w:val="30"/>
          <w:szCs w:val="30"/>
        </w:rPr>
      </w:pPr>
      <w:r>
        <w:rPr>
          <w:rFonts w:hint="eastAsia"/>
          <w:sz w:val="30"/>
          <w:szCs w:val="30"/>
        </w:rPr>
        <w:t>并且这事将要永远如此行（37:25, 43:7, 9）。</w:t>
      </w:r>
    </w:p>
    <w:p w14:paraId="1126FEEF">
      <w:pPr>
        <w:pStyle w:val="9"/>
        <w:spacing w:before="0"/>
        <w:ind w:left="0"/>
        <w:jc w:val="left"/>
        <w:rPr>
          <w:rFonts w:hint="eastAsia"/>
          <w:sz w:val="30"/>
          <w:szCs w:val="30"/>
        </w:rPr>
      </w:pPr>
    </w:p>
    <w:p w14:paraId="11DF296B">
      <w:pPr>
        <w:pStyle w:val="9"/>
        <w:spacing w:before="0"/>
        <w:ind w:left="0"/>
        <w:jc w:val="left"/>
        <w:rPr>
          <w:rFonts w:hint="eastAsia"/>
          <w:sz w:val="30"/>
          <w:szCs w:val="30"/>
        </w:rPr>
      </w:pPr>
      <w:r>
        <w:rPr>
          <w:rFonts w:hint="eastAsia"/>
          <w:sz w:val="30"/>
          <w:szCs w:val="30"/>
        </w:rPr>
        <w:t>According to Haggai, one day soon God will fill his temple with the wealth of all nations (Haggai 2:6-9).</w:t>
      </w:r>
    </w:p>
    <w:p w14:paraId="7961584D">
      <w:pPr>
        <w:pStyle w:val="9"/>
        <w:spacing w:before="0"/>
        <w:ind w:left="0"/>
        <w:jc w:val="left"/>
        <w:rPr>
          <w:rFonts w:hint="eastAsia"/>
          <w:sz w:val="30"/>
          <w:szCs w:val="30"/>
        </w:rPr>
      </w:pPr>
    </w:p>
    <w:p w14:paraId="77CD3125">
      <w:pPr>
        <w:pStyle w:val="9"/>
        <w:spacing w:before="0"/>
        <w:ind w:left="0"/>
        <w:jc w:val="left"/>
        <w:rPr>
          <w:rFonts w:hint="eastAsia"/>
          <w:sz w:val="30"/>
          <w:szCs w:val="30"/>
        </w:rPr>
      </w:pPr>
      <w:r>
        <w:rPr>
          <w:rFonts w:hint="eastAsia"/>
          <w:sz w:val="30"/>
          <w:szCs w:val="30"/>
        </w:rPr>
        <w:t>根据哈该的说法，不久的将来，神将用万国的财宝充满祂的殿（哈该书 2:6-9）。</w:t>
      </w:r>
    </w:p>
    <w:p w14:paraId="6B2FF602">
      <w:pPr>
        <w:pStyle w:val="9"/>
        <w:spacing w:before="0"/>
        <w:ind w:left="0"/>
        <w:jc w:val="left"/>
        <w:rPr>
          <w:rFonts w:hint="eastAsia"/>
          <w:sz w:val="30"/>
          <w:szCs w:val="30"/>
        </w:rPr>
      </w:pPr>
    </w:p>
    <w:p w14:paraId="1BE30E13">
      <w:pPr>
        <w:pStyle w:val="9"/>
        <w:spacing w:before="0"/>
        <w:ind w:left="0"/>
        <w:jc w:val="left"/>
        <w:rPr>
          <w:rFonts w:hint="eastAsia"/>
          <w:sz w:val="30"/>
          <w:szCs w:val="30"/>
        </w:rPr>
      </w:pPr>
      <w:r>
        <w:rPr>
          <w:rFonts w:hint="eastAsia"/>
          <w:sz w:val="30"/>
          <w:szCs w:val="30"/>
        </w:rPr>
        <w:t>And according to Zechariah, in Kingdom times all the families of the earth will be required to make annual pilgrimage to Jerusalem, there to worship the LORD by observing the Feast of Booths (Zech. 14:16-19).</w:t>
      </w:r>
    </w:p>
    <w:p w14:paraId="4D79F8EC">
      <w:pPr>
        <w:pStyle w:val="9"/>
        <w:spacing w:before="0"/>
        <w:ind w:left="0"/>
        <w:jc w:val="left"/>
        <w:rPr>
          <w:rFonts w:hint="eastAsia"/>
          <w:sz w:val="30"/>
          <w:szCs w:val="30"/>
        </w:rPr>
      </w:pPr>
    </w:p>
    <w:p w14:paraId="1B31275C">
      <w:pPr>
        <w:pStyle w:val="9"/>
        <w:spacing w:before="0"/>
        <w:ind w:left="0"/>
        <w:jc w:val="left"/>
        <w:rPr>
          <w:rFonts w:hint="eastAsia"/>
          <w:sz w:val="30"/>
          <w:szCs w:val="30"/>
        </w:rPr>
      </w:pPr>
      <w:r>
        <w:rPr>
          <w:rFonts w:hint="eastAsia"/>
          <w:sz w:val="30"/>
          <w:szCs w:val="30"/>
        </w:rPr>
        <w:t>根据撒迦利亚的说法，在国度时期，地上所有的家族都必须每年到耶路撒冷朝圣，在那里借着守住棚节来敬拜耶和华（亚 14:16-19）。</w:t>
      </w:r>
    </w:p>
    <w:p w14:paraId="7F11E383">
      <w:pPr>
        <w:pStyle w:val="9"/>
        <w:spacing w:before="0"/>
        <w:ind w:left="0"/>
        <w:jc w:val="left"/>
        <w:rPr>
          <w:rFonts w:hint="eastAsia"/>
          <w:sz w:val="30"/>
          <w:szCs w:val="30"/>
        </w:rPr>
      </w:pPr>
    </w:p>
    <w:p w14:paraId="3DC9721E">
      <w:pPr>
        <w:pStyle w:val="9"/>
        <w:spacing w:before="0"/>
        <w:ind w:left="0"/>
        <w:jc w:val="left"/>
        <w:rPr>
          <w:rFonts w:hint="eastAsia"/>
          <w:sz w:val="30"/>
          <w:szCs w:val="30"/>
        </w:rPr>
      </w:pPr>
      <w:r>
        <w:rPr>
          <w:rFonts w:hint="eastAsia"/>
          <w:sz w:val="30"/>
          <w:szCs w:val="30"/>
        </w:rPr>
        <w:t>So again, the Representative Idea of the Kingdom—the picture of the Kingdom purveyed by a great many OT prophecies such as these—is of an eternal, universal theocracy, mediated by ethnic Israel and her Messiah, administered in accordance with the Law of Moses, and set in a spiritually renewed cosmos.</w:t>
      </w:r>
    </w:p>
    <w:p w14:paraId="4FF01B87">
      <w:pPr>
        <w:pStyle w:val="9"/>
        <w:spacing w:before="0"/>
        <w:ind w:left="0"/>
        <w:jc w:val="left"/>
        <w:rPr>
          <w:rFonts w:hint="eastAsia"/>
          <w:sz w:val="30"/>
          <w:szCs w:val="30"/>
        </w:rPr>
      </w:pPr>
    </w:p>
    <w:p w14:paraId="74F9C755">
      <w:pPr>
        <w:pStyle w:val="9"/>
        <w:spacing w:before="0"/>
        <w:ind w:left="0"/>
        <w:jc w:val="left"/>
        <w:rPr>
          <w:rFonts w:hint="eastAsia"/>
          <w:sz w:val="30"/>
          <w:szCs w:val="30"/>
        </w:rPr>
      </w:pPr>
      <w:r>
        <w:rPr>
          <w:rFonts w:hint="eastAsia"/>
          <w:sz w:val="30"/>
          <w:szCs w:val="30"/>
        </w:rPr>
        <w:t>所以再次强调，对国度的代表性观念——即由许多类似这样的旧约预言所传达的国度图景——是一个永恒的、普世的神权政体，由以色列民族及其弥赛亚作中介，按照摩西律法来管理，并设立在一个灵里更新的宇宙中。</w:t>
      </w:r>
    </w:p>
    <w:p w14:paraId="6BFF1629">
      <w:pPr>
        <w:pStyle w:val="9"/>
        <w:spacing w:before="0"/>
        <w:ind w:left="0"/>
        <w:jc w:val="left"/>
        <w:rPr>
          <w:rFonts w:hint="eastAsia"/>
          <w:sz w:val="30"/>
          <w:szCs w:val="30"/>
        </w:rPr>
      </w:pPr>
    </w:p>
    <w:p w14:paraId="3FC51C57">
      <w:pPr>
        <w:pStyle w:val="9"/>
        <w:spacing w:before="0"/>
        <w:ind w:left="0"/>
        <w:jc w:val="left"/>
        <w:rPr>
          <w:rFonts w:hint="eastAsia"/>
          <w:sz w:val="30"/>
          <w:szCs w:val="30"/>
        </w:rPr>
      </w:pPr>
      <w:r>
        <w:rPr>
          <w:rFonts w:hint="eastAsia"/>
          <w:sz w:val="30"/>
          <w:szCs w:val="30"/>
        </w:rPr>
        <w:t>Difficulties In Accepting This View at Face Value</w:t>
      </w:r>
    </w:p>
    <w:p w14:paraId="02F2049A">
      <w:pPr>
        <w:pStyle w:val="9"/>
        <w:spacing w:before="0"/>
        <w:ind w:left="0"/>
        <w:jc w:val="left"/>
        <w:rPr>
          <w:rFonts w:hint="eastAsia"/>
          <w:sz w:val="30"/>
          <w:szCs w:val="30"/>
        </w:rPr>
      </w:pPr>
    </w:p>
    <w:p w14:paraId="7B60F22E">
      <w:pPr>
        <w:pStyle w:val="9"/>
        <w:spacing w:before="0"/>
        <w:ind w:left="0"/>
        <w:jc w:val="left"/>
        <w:rPr>
          <w:rFonts w:hint="eastAsia"/>
          <w:sz w:val="30"/>
          <w:szCs w:val="30"/>
        </w:rPr>
      </w:pPr>
      <w:r>
        <w:rPr>
          <w:rFonts w:hint="eastAsia"/>
          <w:sz w:val="30"/>
          <w:szCs w:val="30"/>
        </w:rPr>
        <w:t>按字面意义接受此观点的困难</w:t>
      </w:r>
    </w:p>
    <w:p w14:paraId="3ADB4111">
      <w:pPr>
        <w:pStyle w:val="9"/>
        <w:spacing w:before="0"/>
        <w:ind w:left="0"/>
        <w:jc w:val="left"/>
        <w:rPr>
          <w:rFonts w:hint="eastAsia"/>
          <w:sz w:val="30"/>
          <w:szCs w:val="30"/>
        </w:rPr>
      </w:pPr>
    </w:p>
    <w:p w14:paraId="1DC2952F">
      <w:pPr>
        <w:pStyle w:val="9"/>
        <w:spacing w:before="0"/>
        <w:ind w:left="0"/>
        <w:jc w:val="left"/>
        <w:rPr>
          <w:rFonts w:hint="eastAsia"/>
          <w:sz w:val="30"/>
          <w:szCs w:val="30"/>
        </w:rPr>
      </w:pPr>
      <w:r>
        <w:rPr>
          <w:rFonts w:hint="eastAsia"/>
          <w:sz w:val="30"/>
          <w:szCs w:val="30"/>
        </w:rPr>
        <w:t>Careful students of Scripture—especially those steeped in the NT— have great difficulty accepting this representation of the Kingdom at face value.</w:t>
      </w:r>
    </w:p>
    <w:p w14:paraId="06E8D0F3">
      <w:pPr>
        <w:pStyle w:val="9"/>
        <w:spacing w:before="0"/>
        <w:ind w:left="0"/>
        <w:jc w:val="left"/>
        <w:rPr>
          <w:rFonts w:hint="eastAsia"/>
          <w:sz w:val="30"/>
          <w:szCs w:val="30"/>
        </w:rPr>
      </w:pPr>
    </w:p>
    <w:p w14:paraId="7CA73F83">
      <w:pPr>
        <w:pStyle w:val="9"/>
        <w:spacing w:before="0"/>
        <w:ind w:left="0"/>
        <w:jc w:val="left"/>
        <w:rPr>
          <w:rFonts w:hint="eastAsia"/>
          <w:sz w:val="30"/>
          <w:szCs w:val="30"/>
        </w:rPr>
      </w:pPr>
      <w:r>
        <w:rPr>
          <w:rFonts w:hint="eastAsia"/>
          <w:sz w:val="30"/>
          <w:szCs w:val="30"/>
        </w:rPr>
        <w:t>仔细研究圣经的学生——特别是那些沉浸在新约中的人——很难按字面意义接受这种对国度的表述。</w:t>
      </w:r>
    </w:p>
    <w:p w14:paraId="0C2790AC">
      <w:pPr>
        <w:pStyle w:val="9"/>
        <w:spacing w:before="0"/>
        <w:ind w:left="0"/>
        <w:jc w:val="left"/>
        <w:rPr>
          <w:rFonts w:hint="eastAsia"/>
          <w:sz w:val="30"/>
          <w:szCs w:val="30"/>
        </w:rPr>
      </w:pPr>
    </w:p>
    <w:p w14:paraId="1EF86998">
      <w:pPr>
        <w:pStyle w:val="9"/>
        <w:spacing w:before="0"/>
        <w:ind w:left="0"/>
        <w:jc w:val="left"/>
        <w:rPr>
          <w:rFonts w:hint="eastAsia"/>
          <w:sz w:val="30"/>
          <w:szCs w:val="30"/>
        </w:rPr>
      </w:pPr>
      <w:r>
        <w:rPr>
          <w:rFonts w:hint="eastAsia"/>
          <w:sz w:val="30"/>
          <w:szCs w:val="30"/>
        </w:rPr>
        <w:t>The reasons are not hard to understand.</w:t>
      </w:r>
    </w:p>
    <w:p w14:paraId="6734EDCB">
      <w:pPr>
        <w:pStyle w:val="9"/>
        <w:spacing w:before="0"/>
        <w:ind w:left="0"/>
        <w:jc w:val="left"/>
        <w:rPr>
          <w:rFonts w:hint="eastAsia"/>
          <w:sz w:val="30"/>
          <w:szCs w:val="30"/>
        </w:rPr>
      </w:pPr>
    </w:p>
    <w:p w14:paraId="18D4D89D">
      <w:pPr>
        <w:pStyle w:val="9"/>
        <w:spacing w:before="0"/>
        <w:ind w:left="0"/>
        <w:jc w:val="left"/>
        <w:rPr>
          <w:rFonts w:hint="eastAsia"/>
          <w:sz w:val="30"/>
          <w:szCs w:val="30"/>
        </w:rPr>
      </w:pPr>
      <w:r>
        <w:rPr>
          <w:rFonts w:hint="eastAsia"/>
          <w:sz w:val="30"/>
          <w:szCs w:val="30"/>
        </w:rPr>
        <w:t>其原因不难理解。</w:t>
      </w:r>
    </w:p>
    <w:p w14:paraId="5558C780">
      <w:pPr>
        <w:pStyle w:val="9"/>
        <w:spacing w:before="0"/>
        <w:ind w:left="0"/>
        <w:jc w:val="left"/>
        <w:rPr>
          <w:rFonts w:hint="eastAsia"/>
          <w:sz w:val="30"/>
          <w:szCs w:val="30"/>
        </w:rPr>
      </w:pPr>
    </w:p>
    <w:p w14:paraId="1A1AF61D">
      <w:pPr>
        <w:pStyle w:val="9"/>
        <w:spacing w:before="0"/>
        <w:ind w:left="0"/>
        <w:jc w:val="left"/>
        <w:rPr>
          <w:rFonts w:hint="eastAsia"/>
          <w:sz w:val="30"/>
          <w:szCs w:val="30"/>
        </w:rPr>
      </w:pPr>
      <w:r>
        <w:rPr>
          <w:rFonts w:hint="eastAsia"/>
          <w:sz w:val="30"/>
          <w:szCs w:val="30"/>
        </w:rPr>
        <w:t>First, the OT itself occasionally advances a diametrically opposed view.</w:t>
      </w:r>
    </w:p>
    <w:p w14:paraId="281B809C">
      <w:pPr>
        <w:pStyle w:val="9"/>
        <w:spacing w:before="0"/>
        <w:ind w:left="0"/>
        <w:jc w:val="left"/>
        <w:rPr>
          <w:rFonts w:hint="eastAsia"/>
          <w:sz w:val="30"/>
          <w:szCs w:val="30"/>
        </w:rPr>
      </w:pPr>
    </w:p>
    <w:p w14:paraId="0CD9AFA7">
      <w:pPr>
        <w:pStyle w:val="9"/>
        <w:spacing w:before="0"/>
        <w:ind w:left="0"/>
        <w:jc w:val="left"/>
        <w:rPr>
          <w:rFonts w:hint="eastAsia"/>
          <w:sz w:val="30"/>
          <w:szCs w:val="30"/>
        </w:rPr>
      </w:pPr>
      <w:r>
        <w:rPr>
          <w:rFonts w:hint="eastAsia"/>
          <w:sz w:val="30"/>
          <w:szCs w:val="30"/>
        </w:rPr>
        <w:t>首先，旧约本身偶尔会提出一个截然相反的观点。</w:t>
      </w:r>
    </w:p>
    <w:p w14:paraId="0533BA97">
      <w:pPr>
        <w:pStyle w:val="9"/>
        <w:spacing w:before="0"/>
        <w:ind w:left="0"/>
        <w:jc w:val="left"/>
        <w:rPr>
          <w:rFonts w:hint="eastAsia"/>
          <w:sz w:val="30"/>
          <w:szCs w:val="30"/>
        </w:rPr>
      </w:pPr>
    </w:p>
    <w:p w14:paraId="0BAEF3AB">
      <w:pPr>
        <w:pStyle w:val="9"/>
        <w:spacing w:before="0"/>
        <w:ind w:left="0"/>
        <w:jc w:val="left"/>
        <w:rPr>
          <w:rFonts w:hint="eastAsia"/>
          <w:sz w:val="30"/>
          <w:szCs w:val="30"/>
        </w:rPr>
      </w:pPr>
      <w:r>
        <w:rPr>
          <w:rFonts w:hint="eastAsia"/>
          <w:sz w:val="30"/>
          <w:szCs w:val="30"/>
        </w:rPr>
        <w:t>For example, in a passage much cited in the NT, we find Jeremiah saying:</w:t>
      </w:r>
    </w:p>
    <w:p w14:paraId="4654360A">
      <w:pPr>
        <w:pStyle w:val="9"/>
        <w:spacing w:before="0"/>
        <w:ind w:left="0"/>
        <w:jc w:val="left"/>
        <w:rPr>
          <w:rFonts w:hint="eastAsia"/>
          <w:sz w:val="30"/>
          <w:szCs w:val="30"/>
        </w:rPr>
      </w:pPr>
    </w:p>
    <w:p w14:paraId="44FBD49B">
      <w:pPr>
        <w:pStyle w:val="9"/>
        <w:spacing w:before="0"/>
        <w:ind w:left="0"/>
        <w:jc w:val="left"/>
        <w:rPr>
          <w:rFonts w:hint="eastAsia"/>
          <w:sz w:val="30"/>
          <w:szCs w:val="30"/>
        </w:rPr>
      </w:pPr>
      <w:r>
        <w:rPr>
          <w:rFonts w:hint="eastAsia"/>
          <w:sz w:val="30"/>
          <w:szCs w:val="30"/>
        </w:rPr>
        <w:t>例如，在新约中多有引用的一段经文中，我们发现耶利米说：</w:t>
      </w:r>
    </w:p>
    <w:p w14:paraId="2FF2829F">
      <w:pPr>
        <w:pStyle w:val="9"/>
        <w:spacing w:before="0"/>
        <w:ind w:left="0"/>
        <w:jc w:val="left"/>
        <w:rPr>
          <w:rFonts w:hint="eastAsia"/>
          <w:sz w:val="30"/>
          <w:szCs w:val="30"/>
        </w:rPr>
      </w:pPr>
    </w:p>
    <w:p w14:paraId="7BA9EDC6">
      <w:pPr>
        <w:pStyle w:val="9"/>
        <w:spacing w:before="0"/>
        <w:ind w:left="0"/>
        <w:jc w:val="left"/>
        <w:rPr>
          <w:rFonts w:hint="eastAsia"/>
          <w:sz w:val="30"/>
          <w:szCs w:val="30"/>
        </w:rPr>
      </w:pPr>
      <w:r>
        <w:rPr>
          <w:rFonts w:hint="eastAsia"/>
          <w:sz w:val="30"/>
          <w:szCs w:val="30"/>
        </w:rPr>
        <w:t>“Behold, days are coming,” declares the LORD, “when I will make a new covenant with the house of Israel and with the house of Judah, not like the covenant which I made with their fathers in the day I took them by the hand to bring them out of the land of Egypt, My covenant which they broke, though I was a husband to them,” declares the LORD.</w:t>
      </w:r>
    </w:p>
    <w:p w14:paraId="0ACEA27D">
      <w:pPr>
        <w:pStyle w:val="9"/>
        <w:spacing w:before="0"/>
        <w:ind w:left="0"/>
        <w:jc w:val="left"/>
        <w:rPr>
          <w:rFonts w:hint="eastAsia"/>
          <w:sz w:val="30"/>
          <w:szCs w:val="30"/>
        </w:rPr>
      </w:pPr>
    </w:p>
    <w:p w14:paraId="797155CD">
      <w:pPr>
        <w:pStyle w:val="9"/>
        <w:spacing w:before="0"/>
        <w:ind w:left="0"/>
        <w:jc w:val="left"/>
        <w:rPr>
          <w:rFonts w:hint="eastAsia"/>
          <w:sz w:val="30"/>
          <w:szCs w:val="30"/>
        </w:rPr>
      </w:pPr>
      <w:r>
        <w:rPr>
          <w:rFonts w:hint="eastAsia"/>
          <w:sz w:val="30"/>
          <w:szCs w:val="30"/>
        </w:rPr>
        <w:t>耶和华说：“看哪，日子将到，我要与以色列家和犹大家另立新约，不像我拉着他们祖宗的手，领他们出埃及地的时候，与他们所立的约。我虽作他们的丈夫，他们却背了我的约，”这是耶和华说的。</w:t>
      </w:r>
    </w:p>
    <w:p w14:paraId="2D33E1EE">
      <w:pPr>
        <w:pStyle w:val="9"/>
        <w:spacing w:before="0"/>
        <w:ind w:left="0"/>
        <w:jc w:val="left"/>
        <w:rPr>
          <w:rFonts w:hint="eastAsia"/>
          <w:sz w:val="30"/>
          <w:szCs w:val="30"/>
        </w:rPr>
      </w:pPr>
    </w:p>
    <w:p w14:paraId="0BD43143">
      <w:pPr>
        <w:pStyle w:val="9"/>
        <w:spacing w:before="0"/>
        <w:ind w:left="0"/>
        <w:jc w:val="left"/>
        <w:rPr>
          <w:rFonts w:hint="eastAsia"/>
          <w:sz w:val="30"/>
          <w:szCs w:val="30"/>
        </w:rPr>
      </w:pPr>
      <w:r>
        <w:rPr>
          <w:rFonts w:hint="eastAsia"/>
          <w:sz w:val="30"/>
          <w:szCs w:val="30"/>
        </w:rPr>
        <w:t>“But this is the covenant that I will make with the house of Israel after those days,” declares the LORD: “I will put My law within them, and on their heart I will write it; and I will be their God, and they will be My people.</w:t>
      </w:r>
    </w:p>
    <w:p w14:paraId="00FDE7AE">
      <w:pPr>
        <w:pStyle w:val="9"/>
        <w:spacing w:before="0"/>
        <w:ind w:left="0"/>
        <w:jc w:val="left"/>
        <w:rPr>
          <w:rFonts w:hint="eastAsia"/>
          <w:sz w:val="30"/>
          <w:szCs w:val="30"/>
        </w:rPr>
      </w:pPr>
    </w:p>
    <w:p w14:paraId="3858FC07">
      <w:pPr>
        <w:pStyle w:val="9"/>
        <w:spacing w:before="0"/>
        <w:ind w:left="0"/>
        <w:jc w:val="left"/>
        <w:rPr>
          <w:rFonts w:hint="eastAsia"/>
          <w:sz w:val="30"/>
          <w:szCs w:val="30"/>
        </w:rPr>
      </w:pPr>
      <w:r>
        <w:rPr>
          <w:rFonts w:hint="eastAsia"/>
          <w:sz w:val="30"/>
          <w:szCs w:val="30"/>
        </w:rPr>
        <w:t>耶和华说：“但那些日子以后，我与以色列家所立的约乃是这样：我要将我的律法放在他们里面，写在他们心上；我要作他们的神，他们要作我的子民。</w:t>
      </w:r>
    </w:p>
    <w:p w14:paraId="3DAF58E4">
      <w:pPr>
        <w:pStyle w:val="9"/>
        <w:spacing w:before="0"/>
        <w:ind w:left="0"/>
        <w:jc w:val="left"/>
        <w:rPr>
          <w:rFonts w:hint="eastAsia"/>
          <w:sz w:val="30"/>
          <w:szCs w:val="30"/>
        </w:rPr>
      </w:pPr>
    </w:p>
    <w:p w14:paraId="7BD8E1BC">
      <w:pPr>
        <w:pStyle w:val="9"/>
        <w:spacing w:before="0"/>
        <w:ind w:left="0"/>
        <w:jc w:val="left"/>
        <w:rPr>
          <w:rFonts w:hint="eastAsia"/>
          <w:sz w:val="30"/>
          <w:szCs w:val="30"/>
        </w:rPr>
      </w:pPr>
      <w:r>
        <w:rPr>
          <w:rFonts w:hint="eastAsia"/>
          <w:sz w:val="30"/>
          <w:szCs w:val="30"/>
        </w:rPr>
        <w:t>And they shall not teach again, each man his neighbor and each man his brother, saying, ‘Know the LORD,’ for they shall all know Me, from the least of them to the greatest of them,” declares the LORD, “for I will forgive their iniquity, and their sin I will remember no more.”</w:t>
      </w:r>
    </w:p>
    <w:p w14:paraId="2F3CF1A0">
      <w:pPr>
        <w:pStyle w:val="9"/>
        <w:spacing w:before="0"/>
        <w:ind w:left="0"/>
        <w:jc w:val="left"/>
        <w:rPr>
          <w:rFonts w:hint="eastAsia"/>
          <w:sz w:val="30"/>
          <w:szCs w:val="30"/>
        </w:rPr>
      </w:pPr>
    </w:p>
    <w:p w14:paraId="744BE6B7">
      <w:pPr>
        <w:pStyle w:val="9"/>
        <w:spacing w:before="0"/>
        <w:ind w:left="0"/>
        <w:jc w:val="left"/>
        <w:rPr>
          <w:rFonts w:hint="eastAsia"/>
          <w:sz w:val="30"/>
          <w:szCs w:val="30"/>
        </w:rPr>
      </w:pPr>
      <w:r>
        <w:rPr>
          <w:rFonts w:hint="eastAsia"/>
          <w:sz w:val="30"/>
          <w:szCs w:val="30"/>
        </w:rPr>
        <w:t>他们各人不再教导自己的邻舍和自己的弟兄，说：‘你该认识耶和华’，因为他们从最小的到至大的，都必认识我，”这是耶和华说的，“因为我要赦免他们的罪孽，不再记念他们的罪恶。”</w:t>
      </w:r>
    </w:p>
    <w:p w14:paraId="0DFD0E4B">
      <w:pPr>
        <w:pStyle w:val="9"/>
        <w:spacing w:before="0"/>
        <w:ind w:left="0"/>
        <w:jc w:val="left"/>
        <w:rPr>
          <w:rFonts w:hint="eastAsia"/>
          <w:sz w:val="30"/>
          <w:szCs w:val="30"/>
        </w:rPr>
      </w:pPr>
    </w:p>
    <w:p w14:paraId="2FCE4D07">
      <w:pPr>
        <w:pStyle w:val="9"/>
        <w:spacing w:before="0"/>
        <w:ind w:left="0"/>
        <w:jc w:val="left"/>
        <w:rPr>
          <w:rFonts w:hint="eastAsia"/>
          <w:sz w:val="30"/>
          <w:szCs w:val="30"/>
        </w:rPr>
      </w:pPr>
      <w:r>
        <w:rPr>
          <w:rFonts w:hint="eastAsia"/>
          <w:sz w:val="30"/>
          <w:szCs w:val="30"/>
        </w:rPr>
        <w:t>—Jeremiah 31:31-34</w:t>
      </w:r>
    </w:p>
    <w:p w14:paraId="1A8C0845">
      <w:pPr>
        <w:pStyle w:val="9"/>
        <w:spacing w:before="0"/>
        <w:ind w:left="0"/>
        <w:jc w:val="left"/>
        <w:rPr>
          <w:rFonts w:hint="eastAsia"/>
          <w:sz w:val="30"/>
          <w:szCs w:val="30"/>
        </w:rPr>
      </w:pPr>
    </w:p>
    <w:p w14:paraId="479AA208">
      <w:pPr>
        <w:pStyle w:val="9"/>
        <w:spacing w:before="0"/>
        <w:ind w:left="0"/>
        <w:jc w:val="left"/>
        <w:rPr>
          <w:rFonts w:hint="eastAsia"/>
          <w:sz w:val="30"/>
          <w:szCs w:val="30"/>
        </w:rPr>
      </w:pPr>
      <w:r>
        <w:rPr>
          <w:rFonts w:hint="eastAsia"/>
          <w:sz w:val="30"/>
          <w:szCs w:val="30"/>
        </w:rPr>
        <w:t>——耶利米书 31:31-34</w:t>
      </w:r>
    </w:p>
    <w:p w14:paraId="39389B80">
      <w:pPr>
        <w:pStyle w:val="9"/>
        <w:spacing w:before="0"/>
        <w:ind w:left="0"/>
        <w:jc w:val="left"/>
        <w:rPr>
          <w:rFonts w:hint="eastAsia"/>
          <w:sz w:val="30"/>
          <w:szCs w:val="30"/>
        </w:rPr>
      </w:pPr>
    </w:p>
    <w:p w14:paraId="41CD0A81">
      <w:pPr>
        <w:pStyle w:val="9"/>
        <w:spacing w:before="0"/>
        <w:ind w:left="0"/>
        <w:jc w:val="left"/>
        <w:rPr>
          <w:rFonts w:hint="eastAsia"/>
          <w:sz w:val="30"/>
          <w:szCs w:val="30"/>
        </w:rPr>
      </w:pPr>
      <w:r>
        <w:rPr>
          <w:rFonts w:hint="eastAsia"/>
          <w:sz w:val="30"/>
          <w:szCs w:val="30"/>
        </w:rPr>
        <w:t>Here God is speaking of the days of the coming Kingdom (Jer. 30-33).</w:t>
      </w:r>
    </w:p>
    <w:p w14:paraId="0ABBF916">
      <w:pPr>
        <w:pStyle w:val="9"/>
        <w:spacing w:before="0"/>
        <w:ind w:left="0"/>
        <w:jc w:val="left"/>
        <w:rPr>
          <w:rFonts w:hint="eastAsia"/>
          <w:sz w:val="30"/>
          <w:szCs w:val="30"/>
        </w:rPr>
      </w:pPr>
    </w:p>
    <w:p w14:paraId="130BB243">
      <w:pPr>
        <w:pStyle w:val="9"/>
        <w:spacing w:before="0"/>
        <w:ind w:left="0"/>
        <w:jc w:val="left"/>
        <w:rPr>
          <w:rFonts w:hint="eastAsia"/>
          <w:sz w:val="30"/>
          <w:szCs w:val="30"/>
        </w:rPr>
      </w:pPr>
      <w:r>
        <w:rPr>
          <w:rFonts w:hint="eastAsia"/>
          <w:sz w:val="30"/>
          <w:szCs w:val="30"/>
        </w:rPr>
        <w:t>在这里，神说的是将要来临之国度的日子（耶 30-33）。</w:t>
      </w:r>
    </w:p>
    <w:p w14:paraId="7DCA63EC">
      <w:pPr>
        <w:pStyle w:val="9"/>
        <w:spacing w:before="0"/>
        <w:ind w:left="0"/>
        <w:jc w:val="left"/>
        <w:rPr>
          <w:rFonts w:hint="eastAsia"/>
          <w:sz w:val="30"/>
          <w:szCs w:val="30"/>
        </w:rPr>
      </w:pPr>
    </w:p>
    <w:p w14:paraId="3D58260A">
      <w:pPr>
        <w:pStyle w:val="9"/>
        <w:spacing w:before="0"/>
        <w:ind w:left="0"/>
        <w:jc w:val="left"/>
        <w:rPr>
          <w:rFonts w:hint="eastAsia"/>
          <w:sz w:val="30"/>
          <w:szCs w:val="30"/>
        </w:rPr>
      </w:pPr>
      <w:r>
        <w:rPr>
          <w:rFonts w:hint="eastAsia"/>
          <w:sz w:val="30"/>
          <w:szCs w:val="30"/>
        </w:rPr>
        <w:t>But is this Kingdom—this rule of God over his people—associated with the Mosaic Law?</w:t>
      </w:r>
    </w:p>
    <w:p w14:paraId="0FE7FFAC">
      <w:pPr>
        <w:pStyle w:val="9"/>
        <w:spacing w:before="0"/>
        <w:ind w:left="0"/>
        <w:jc w:val="left"/>
        <w:rPr>
          <w:rFonts w:hint="eastAsia"/>
          <w:sz w:val="30"/>
          <w:szCs w:val="30"/>
        </w:rPr>
      </w:pPr>
    </w:p>
    <w:p w14:paraId="6157D49B">
      <w:pPr>
        <w:pStyle w:val="9"/>
        <w:spacing w:before="0"/>
        <w:ind w:left="0"/>
        <w:jc w:val="left"/>
        <w:rPr>
          <w:rFonts w:hint="eastAsia"/>
          <w:sz w:val="30"/>
          <w:szCs w:val="30"/>
        </w:rPr>
      </w:pPr>
      <w:r>
        <w:rPr>
          <w:rFonts w:hint="eastAsia"/>
          <w:sz w:val="30"/>
          <w:szCs w:val="30"/>
        </w:rPr>
        <w:t>但这个国度——神对祂子民的这个统治——是与摩西律法相关的吗？</w:t>
      </w:r>
    </w:p>
    <w:p w14:paraId="735353F3">
      <w:pPr>
        <w:pStyle w:val="9"/>
        <w:spacing w:before="0"/>
        <w:ind w:left="0"/>
        <w:jc w:val="left"/>
        <w:rPr>
          <w:rFonts w:hint="eastAsia"/>
          <w:sz w:val="30"/>
          <w:szCs w:val="30"/>
        </w:rPr>
      </w:pPr>
    </w:p>
    <w:p w14:paraId="7D32A0A8">
      <w:pPr>
        <w:pStyle w:val="9"/>
        <w:spacing w:before="0"/>
        <w:ind w:left="0"/>
        <w:jc w:val="left"/>
        <w:rPr>
          <w:rFonts w:hint="eastAsia"/>
          <w:sz w:val="30"/>
          <w:szCs w:val="30"/>
        </w:rPr>
      </w:pPr>
      <w:r>
        <w:rPr>
          <w:rFonts w:hint="eastAsia"/>
          <w:sz w:val="30"/>
          <w:szCs w:val="30"/>
        </w:rPr>
        <w:t>Clearly not.</w:t>
      </w:r>
    </w:p>
    <w:p w14:paraId="0FFDD33F">
      <w:pPr>
        <w:pStyle w:val="9"/>
        <w:spacing w:before="0"/>
        <w:ind w:left="0"/>
        <w:jc w:val="left"/>
        <w:rPr>
          <w:rFonts w:hint="eastAsia"/>
          <w:sz w:val="30"/>
          <w:szCs w:val="30"/>
        </w:rPr>
      </w:pPr>
    </w:p>
    <w:p w14:paraId="70C8DD0C">
      <w:pPr>
        <w:pStyle w:val="9"/>
        <w:spacing w:before="0"/>
        <w:ind w:left="0"/>
        <w:jc w:val="left"/>
        <w:rPr>
          <w:rFonts w:hint="eastAsia"/>
          <w:sz w:val="30"/>
          <w:szCs w:val="30"/>
        </w:rPr>
      </w:pPr>
      <w:r>
        <w:rPr>
          <w:rFonts w:hint="eastAsia"/>
          <w:sz w:val="30"/>
          <w:szCs w:val="30"/>
        </w:rPr>
        <w:t>显然不是。</w:t>
      </w:r>
    </w:p>
    <w:p w14:paraId="323062F2">
      <w:pPr>
        <w:pStyle w:val="9"/>
        <w:spacing w:before="0"/>
        <w:ind w:left="0"/>
        <w:jc w:val="left"/>
        <w:rPr>
          <w:rFonts w:hint="eastAsia"/>
          <w:sz w:val="30"/>
          <w:szCs w:val="30"/>
        </w:rPr>
      </w:pPr>
    </w:p>
    <w:p w14:paraId="12401F43">
      <w:pPr>
        <w:pStyle w:val="9"/>
        <w:spacing w:before="0"/>
        <w:ind w:left="0"/>
        <w:jc w:val="left"/>
        <w:rPr>
          <w:rFonts w:hint="eastAsia"/>
          <w:sz w:val="30"/>
          <w:szCs w:val="30"/>
        </w:rPr>
      </w:pPr>
      <w:r>
        <w:rPr>
          <w:rFonts w:hint="eastAsia"/>
          <w:sz w:val="30"/>
          <w:szCs w:val="30"/>
        </w:rPr>
        <w:t>Rather, Jeremiah foresees a new covenant; a covenant different from that of Moses; a covenant that will introduce a direct spiritual reign of God over the hearts of his inwardly transformed people.</w:t>
      </w:r>
    </w:p>
    <w:p w14:paraId="58764114">
      <w:pPr>
        <w:pStyle w:val="9"/>
        <w:spacing w:before="0"/>
        <w:ind w:left="0"/>
        <w:jc w:val="left"/>
        <w:rPr>
          <w:rFonts w:hint="eastAsia"/>
          <w:sz w:val="30"/>
          <w:szCs w:val="30"/>
        </w:rPr>
      </w:pPr>
    </w:p>
    <w:p w14:paraId="063FBE54">
      <w:pPr>
        <w:pStyle w:val="9"/>
        <w:spacing w:before="0"/>
        <w:ind w:left="0"/>
        <w:jc w:val="left"/>
        <w:rPr>
          <w:rFonts w:hint="eastAsia"/>
          <w:sz w:val="30"/>
          <w:szCs w:val="30"/>
        </w:rPr>
      </w:pPr>
      <w:r>
        <w:rPr>
          <w:rFonts w:hint="eastAsia"/>
          <w:sz w:val="30"/>
          <w:szCs w:val="30"/>
        </w:rPr>
        <w:t>相反，耶利米预见了一个新约；一个不同于摩西之约的约；一个将引入神对祂内心转变之子民的心直接属灵统治的约。</w:t>
      </w:r>
    </w:p>
    <w:p w14:paraId="13AFCDF5">
      <w:pPr>
        <w:pStyle w:val="9"/>
        <w:spacing w:before="0"/>
        <w:ind w:left="0"/>
        <w:jc w:val="left"/>
        <w:rPr>
          <w:rFonts w:hint="eastAsia"/>
          <w:sz w:val="30"/>
          <w:szCs w:val="30"/>
        </w:rPr>
      </w:pPr>
    </w:p>
    <w:p w14:paraId="0628A14E">
      <w:pPr>
        <w:pStyle w:val="9"/>
        <w:spacing w:before="0"/>
        <w:ind w:left="0"/>
        <w:jc w:val="left"/>
        <w:rPr>
          <w:rFonts w:hint="eastAsia"/>
          <w:sz w:val="30"/>
          <w:szCs w:val="30"/>
        </w:rPr>
      </w:pPr>
      <w:r>
        <w:rPr>
          <w:rFonts w:hint="eastAsia"/>
          <w:sz w:val="30"/>
          <w:szCs w:val="30"/>
        </w:rPr>
        <w:t>In other words, the Kingdom (or rule) of God here envisioned by Jeremiah is not mediated by the theocratic institutions traditionally associated with the Mosaic Law, but simply by the Messiah and his Spirit.</w:t>
      </w:r>
    </w:p>
    <w:p w14:paraId="2148C6D8">
      <w:pPr>
        <w:pStyle w:val="9"/>
        <w:spacing w:before="0"/>
        <w:ind w:left="0"/>
        <w:jc w:val="left"/>
        <w:rPr>
          <w:rFonts w:hint="eastAsia"/>
          <w:sz w:val="30"/>
          <w:szCs w:val="30"/>
        </w:rPr>
      </w:pPr>
    </w:p>
    <w:p w14:paraId="107525B0">
      <w:pPr>
        <w:pStyle w:val="9"/>
        <w:spacing w:before="0"/>
        <w:ind w:left="0"/>
        <w:jc w:val="left"/>
        <w:rPr>
          <w:rFonts w:hint="eastAsia"/>
          <w:sz w:val="30"/>
          <w:szCs w:val="30"/>
        </w:rPr>
      </w:pPr>
      <w:r>
        <w:rPr>
          <w:rFonts w:hint="eastAsia"/>
          <w:sz w:val="30"/>
          <w:szCs w:val="30"/>
        </w:rPr>
        <w:t>换句话说，耶利米在此所设想的神的国（或统治），不是由传统上与摩西律法相关的神权政体制度作中介，而仅仅是由弥赛亚和祂的灵作中介。</w:t>
      </w:r>
    </w:p>
    <w:p w14:paraId="61AE3469">
      <w:pPr>
        <w:pStyle w:val="9"/>
        <w:spacing w:before="0"/>
        <w:ind w:left="0"/>
        <w:jc w:val="left"/>
        <w:rPr>
          <w:rFonts w:hint="eastAsia"/>
          <w:sz w:val="30"/>
          <w:szCs w:val="30"/>
        </w:rPr>
      </w:pPr>
    </w:p>
    <w:p w14:paraId="485D07F2">
      <w:pPr>
        <w:pStyle w:val="9"/>
        <w:spacing w:before="0"/>
        <w:ind w:left="0"/>
        <w:jc w:val="left"/>
        <w:rPr>
          <w:rFonts w:hint="eastAsia"/>
          <w:sz w:val="30"/>
          <w:szCs w:val="30"/>
        </w:rPr>
      </w:pPr>
      <w:r>
        <w:rPr>
          <w:rFonts w:hint="eastAsia"/>
          <w:sz w:val="30"/>
          <w:szCs w:val="30"/>
        </w:rPr>
        <w:t>Thus, even in OT times God seems to have hinted that his coming reign would not conform to the Representative Idea of the Kingdom found in most OT prophecy.</w:t>
      </w:r>
    </w:p>
    <w:p w14:paraId="34CD3188">
      <w:pPr>
        <w:pStyle w:val="9"/>
        <w:spacing w:before="0"/>
        <w:ind w:left="0"/>
        <w:jc w:val="left"/>
        <w:rPr>
          <w:rFonts w:hint="eastAsia"/>
          <w:sz w:val="30"/>
          <w:szCs w:val="30"/>
        </w:rPr>
      </w:pPr>
    </w:p>
    <w:p w14:paraId="64F14C70">
      <w:pPr>
        <w:pStyle w:val="9"/>
        <w:spacing w:before="0"/>
        <w:ind w:left="0"/>
        <w:jc w:val="left"/>
        <w:rPr>
          <w:rFonts w:hint="eastAsia"/>
          <w:sz w:val="30"/>
          <w:szCs w:val="30"/>
        </w:rPr>
      </w:pPr>
      <w:r>
        <w:rPr>
          <w:rFonts w:hint="eastAsia"/>
          <w:sz w:val="30"/>
          <w:szCs w:val="30"/>
        </w:rPr>
        <w:t>因此，即使在旧约时代，神似乎也曾暗示，祂将来的统治不会符合在大多数旧约预言中找到的对国度的代表性观念。</w:t>
      </w:r>
    </w:p>
    <w:p w14:paraId="19681618">
      <w:pPr>
        <w:pStyle w:val="9"/>
        <w:spacing w:before="0"/>
        <w:ind w:left="0"/>
        <w:jc w:val="left"/>
        <w:rPr>
          <w:rFonts w:hint="eastAsia"/>
          <w:sz w:val="30"/>
          <w:szCs w:val="30"/>
        </w:rPr>
      </w:pPr>
    </w:p>
    <w:p w14:paraId="39C2325E">
      <w:pPr>
        <w:pStyle w:val="9"/>
        <w:spacing w:before="0"/>
        <w:ind w:left="0"/>
        <w:jc w:val="left"/>
        <w:rPr>
          <w:rFonts w:hint="eastAsia"/>
          <w:sz w:val="30"/>
          <w:szCs w:val="30"/>
        </w:rPr>
      </w:pPr>
      <w:r>
        <w:rPr>
          <w:rFonts w:hint="eastAsia"/>
          <w:sz w:val="30"/>
          <w:szCs w:val="30"/>
        </w:rPr>
        <w:t>Secondly, Christ himself seems clearly to have affirmed this very thing.</w:t>
      </w:r>
    </w:p>
    <w:p w14:paraId="4101E015">
      <w:pPr>
        <w:pStyle w:val="9"/>
        <w:spacing w:before="0"/>
        <w:ind w:left="0"/>
        <w:jc w:val="left"/>
        <w:rPr>
          <w:rFonts w:hint="eastAsia"/>
          <w:sz w:val="30"/>
          <w:szCs w:val="30"/>
        </w:rPr>
      </w:pPr>
    </w:p>
    <w:p w14:paraId="4136AA72">
      <w:pPr>
        <w:pStyle w:val="9"/>
        <w:spacing w:before="0"/>
        <w:ind w:left="0"/>
        <w:jc w:val="left"/>
        <w:rPr>
          <w:rFonts w:hint="eastAsia"/>
          <w:sz w:val="30"/>
          <w:szCs w:val="30"/>
        </w:rPr>
      </w:pPr>
      <w:r>
        <w:rPr>
          <w:rFonts w:hint="eastAsia"/>
          <w:sz w:val="30"/>
          <w:szCs w:val="30"/>
        </w:rPr>
        <w:t>其次，基督自己似乎也清楚地肯定了这件事。</w:t>
      </w:r>
    </w:p>
    <w:p w14:paraId="15333B04">
      <w:pPr>
        <w:pStyle w:val="9"/>
        <w:spacing w:before="0"/>
        <w:ind w:left="0"/>
        <w:jc w:val="left"/>
        <w:rPr>
          <w:rFonts w:hint="eastAsia"/>
          <w:sz w:val="30"/>
          <w:szCs w:val="30"/>
        </w:rPr>
      </w:pPr>
    </w:p>
    <w:p w14:paraId="2CBEBE6E">
      <w:pPr>
        <w:pStyle w:val="9"/>
        <w:spacing w:before="0"/>
        <w:ind w:left="0"/>
        <w:jc w:val="left"/>
        <w:rPr>
          <w:rFonts w:hint="eastAsia"/>
          <w:sz w:val="30"/>
          <w:szCs w:val="30"/>
        </w:rPr>
      </w:pPr>
      <w:r>
        <w:rPr>
          <w:rFonts w:hint="eastAsia"/>
          <w:sz w:val="30"/>
          <w:szCs w:val="30"/>
        </w:rPr>
        <w:t>In the pages ahead, we shall see that he does so in many different ways.</w:t>
      </w:r>
    </w:p>
    <w:p w14:paraId="6508F77D">
      <w:pPr>
        <w:pStyle w:val="9"/>
        <w:spacing w:before="0"/>
        <w:ind w:left="0"/>
        <w:jc w:val="left"/>
        <w:rPr>
          <w:rFonts w:hint="eastAsia"/>
          <w:sz w:val="30"/>
          <w:szCs w:val="30"/>
        </w:rPr>
      </w:pPr>
    </w:p>
    <w:p w14:paraId="743469C9">
      <w:pPr>
        <w:pStyle w:val="9"/>
        <w:spacing w:before="0"/>
        <w:ind w:left="0"/>
        <w:jc w:val="left"/>
        <w:rPr>
          <w:rFonts w:hint="eastAsia"/>
          <w:sz w:val="30"/>
          <w:szCs w:val="30"/>
        </w:rPr>
      </w:pPr>
      <w:r>
        <w:rPr>
          <w:rFonts w:hint="eastAsia"/>
          <w:sz w:val="30"/>
          <w:szCs w:val="30"/>
        </w:rPr>
        <w:t>在接下来的篇幅中，我们将看到祂以许多不同的方式这样做。</w:t>
      </w:r>
    </w:p>
    <w:p w14:paraId="1D38C337">
      <w:pPr>
        <w:pStyle w:val="9"/>
        <w:spacing w:before="0"/>
        <w:ind w:left="0"/>
        <w:jc w:val="left"/>
        <w:rPr>
          <w:rFonts w:hint="eastAsia"/>
          <w:sz w:val="30"/>
          <w:szCs w:val="30"/>
        </w:rPr>
      </w:pPr>
    </w:p>
    <w:p w14:paraId="4A9BCB35">
      <w:pPr>
        <w:pStyle w:val="9"/>
        <w:spacing w:before="0"/>
        <w:ind w:left="0"/>
        <w:jc w:val="left"/>
        <w:rPr>
          <w:rFonts w:hint="eastAsia"/>
          <w:sz w:val="30"/>
          <w:szCs w:val="30"/>
        </w:rPr>
      </w:pPr>
      <w:r>
        <w:rPr>
          <w:rFonts w:hint="eastAsia"/>
          <w:sz w:val="30"/>
          <w:szCs w:val="30"/>
        </w:rPr>
        <w:t>For example, much like Jeremiah he represents the Kingdom as a direct spiritual reign of God over his people and their world, a reign that may be entered by simple faith in the One whom he has sent (Mt. 11:28-30, 18:3, John 3:3, 5).</w:t>
      </w:r>
    </w:p>
    <w:p w14:paraId="43736C90">
      <w:pPr>
        <w:pStyle w:val="9"/>
        <w:spacing w:before="0"/>
        <w:ind w:left="0"/>
        <w:jc w:val="left"/>
        <w:rPr>
          <w:rFonts w:hint="eastAsia"/>
          <w:sz w:val="30"/>
          <w:szCs w:val="30"/>
        </w:rPr>
      </w:pPr>
    </w:p>
    <w:p w14:paraId="3D35E5C5">
      <w:pPr>
        <w:pStyle w:val="9"/>
        <w:spacing w:before="0"/>
        <w:ind w:left="0"/>
        <w:jc w:val="left"/>
        <w:rPr>
          <w:rFonts w:hint="eastAsia"/>
          <w:sz w:val="30"/>
          <w:szCs w:val="30"/>
        </w:rPr>
      </w:pPr>
      <w:r>
        <w:rPr>
          <w:rFonts w:hint="eastAsia"/>
          <w:sz w:val="30"/>
          <w:szCs w:val="30"/>
        </w:rPr>
        <w:t>例如，祂很像耶利米，将国度描绘成神对祂子民和他们世界直接的属灵统治，只要单单信靠祂所差来的那一位，就可以进入这统治（太 11:28-30, 18:3, 约 3:3, 5）。</w:t>
      </w:r>
    </w:p>
    <w:p w14:paraId="7DD75A45">
      <w:pPr>
        <w:pStyle w:val="9"/>
        <w:spacing w:before="0"/>
        <w:ind w:left="0"/>
        <w:jc w:val="left"/>
        <w:rPr>
          <w:rFonts w:hint="eastAsia"/>
          <w:sz w:val="30"/>
          <w:szCs w:val="30"/>
        </w:rPr>
      </w:pPr>
    </w:p>
    <w:p w14:paraId="6FF751A9">
      <w:pPr>
        <w:pStyle w:val="9"/>
        <w:spacing w:before="0"/>
        <w:ind w:left="0"/>
        <w:jc w:val="left"/>
        <w:rPr>
          <w:rFonts w:hint="eastAsia"/>
          <w:sz w:val="30"/>
          <w:szCs w:val="30"/>
        </w:rPr>
      </w:pPr>
      <w:r>
        <w:rPr>
          <w:rFonts w:hint="eastAsia"/>
          <w:sz w:val="30"/>
          <w:szCs w:val="30"/>
        </w:rPr>
        <w:t>Also, again like Jeremiah, Jesus associates this Kingdom, not with the Old Covenant, but with a New Covenant that he himself is bringing into the world (Luke 22:20).</w:t>
      </w:r>
    </w:p>
    <w:p w14:paraId="70A47562">
      <w:pPr>
        <w:pStyle w:val="9"/>
        <w:spacing w:before="0"/>
        <w:ind w:left="0"/>
        <w:jc w:val="left"/>
        <w:rPr>
          <w:rFonts w:hint="eastAsia"/>
          <w:sz w:val="30"/>
          <w:szCs w:val="30"/>
        </w:rPr>
      </w:pPr>
    </w:p>
    <w:p w14:paraId="54A5F3F5">
      <w:pPr>
        <w:pStyle w:val="9"/>
        <w:spacing w:before="0"/>
        <w:ind w:left="0"/>
        <w:jc w:val="left"/>
        <w:rPr>
          <w:rFonts w:hint="eastAsia"/>
          <w:sz w:val="30"/>
          <w:szCs w:val="30"/>
        </w:rPr>
      </w:pPr>
      <w:r>
        <w:rPr>
          <w:rFonts w:hint="eastAsia"/>
          <w:sz w:val="30"/>
          <w:szCs w:val="30"/>
        </w:rPr>
        <w:t>还有，也像耶利米一样，耶稣将这个国度与新约联系起来，而不是旧约，这个新约是祂自己带到世界来的（路 22:20）。</w:t>
      </w:r>
    </w:p>
    <w:p w14:paraId="39B59321">
      <w:pPr>
        <w:pStyle w:val="9"/>
        <w:spacing w:before="0"/>
        <w:ind w:left="0"/>
        <w:jc w:val="left"/>
        <w:rPr>
          <w:rFonts w:hint="eastAsia"/>
          <w:sz w:val="30"/>
          <w:szCs w:val="30"/>
        </w:rPr>
      </w:pPr>
    </w:p>
    <w:p w14:paraId="78D863E4">
      <w:pPr>
        <w:pStyle w:val="9"/>
        <w:spacing w:before="0"/>
        <w:ind w:left="0"/>
        <w:jc w:val="left"/>
        <w:rPr>
          <w:rFonts w:hint="eastAsia"/>
          <w:sz w:val="30"/>
          <w:szCs w:val="30"/>
        </w:rPr>
      </w:pPr>
      <w:r>
        <w:rPr>
          <w:rFonts w:hint="eastAsia"/>
          <w:sz w:val="30"/>
          <w:szCs w:val="30"/>
        </w:rPr>
        <w:t>Moreover, Jesus explicitly teaches that this New Covenant not only fulfills (the symbolism of) the Old, but positively renders it obsolete (Mt. 5:17).</w:t>
      </w:r>
    </w:p>
    <w:p w14:paraId="3A370A7D">
      <w:pPr>
        <w:pStyle w:val="9"/>
        <w:spacing w:before="0"/>
        <w:ind w:left="0"/>
        <w:jc w:val="left"/>
        <w:rPr>
          <w:rFonts w:hint="eastAsia"/>
          <w:sz w:val="30"/>
          <w:szCs w:val="30"/>
        </w:rPr>
      </w:pPr>
    </w:p>
    <w:p w14:paraId="44B96434">
      <w:pPr>
        <w:pStyle w:val="9"/>
        <w:spacing w:before="0"/>
        <w:ind w:left="0"/>
        <w:jc w:val="left"/>
        <w:rPr>
          <w:rFonts w:hint="eastAsia"/>
          <w:sz w:val="30"/>
          <w:szCs w:val="30"/>
        </w:rPr>
      </w:pPr>
      <w:r>
        <w:rPr>
          <w:rFonts w:hint="eastAsia"/>
          <w:sz w:val="30"/>
          <w:szCs w:val="30"/>
        </w:rPr>
        <w:t>此外，耶稣明确地教导，这新约不仅成全了（象征意义上的）旧约，而且确实使其过时了（太 5:17）。</w:t>
      </w:r>
    </w:p>
    <w:p w14:paraId="37D05E7F">
      <w:pPr>
        <w:pStyle w:val="9"/>
        <w:spacing w:before="0"/>
        <w:ind w:left="0"/>
        <w:jc w:val="left"/>
        <w:rPr>
          <w:rFonts w:hint="eastAsia"/>
          <w:sz w:val="30"/>
          <w:szCs w:val="30"/>
        </w:rPr>
      </w:pPr>
    </w:p>
    <w:p w14:paraId="3D8290D0">
      <w:pPr>
        <w:pStyle w:val="9"/>
        <w:spacing w:before="0"/>
        <w:ind w:left="0"/>
        <w:jc w:val="left"/>
        <w:rPr>
          <w:rFonts w:hint="eastAsia"/>
          <w:sz w:val="30"/>
          <w:szCs w:val="30"/>
        </w:rPr>
      </w:pPr>
      <w:r>
        <w:rPr>
          <w:rFonts w:hint="eastAsia"/>
          <w:sz w:val="30"/>
          <w:szCs w:val="30"/>
        </w:rPr>
        <w:t>The powerful wine of the New Covenant requires new wineskins to contain it, so much so that the old must be altogether cast aside (Mt. 9:17).</w:t>
      </w:r>
    </w:p>
    <w:p w14:paraId="69557FB4">
      <w:pPr>
        <w:pStyle w:val="9"/>
        <w:spacing w:before="0"/>
        <w:ind w:left="0"/>
        <w:jc w:val="left"/>
        <w:rPr>
          <w:rFonts w:hint="eastAsia"/>
          <w:sz w:val="30"/>
          <w:szCs w:val="30"/>
        </w:rPr>
      </w:pPr>
    </w:p>
    <w:p w14:paraId="4D6192D4">
      <w:pPr>
        <w:pStyle w:val="9"/>
        <w:spacing w:before="0"/>
        <w:ind w:left="0"/>
        <w:jc w:val="left"/>
        <w:rPr>
          <w:rFonts w:hint="eastAsia"/>
          <w:sz w:val="30"/>
          <w:szCs w:val="30"/>
        </w:rPr>
      </w:pPr>
      <w:r>
        <w:rPr>
          <w:rFonts w:hint="eastAsia"/>
          <w:sz w:val="30"/>
          <w:szCs w:val="30"/>
        </w:rPr>
        <w:t>新约的烈酒需要新皮袋来盛装，以至于旧皮袋必须被完全丢弃（太 9:17）。</w:t>
      </w:r>
    </w:p>
    <w:p w14:paraId="1488438D">
      <w:pPr>
        <w:pStyle w:val="9"/>
        <w:spacing w:before="0"/>
        <w:ind w:left="0"/>
        <w:jc w:val="left"/>
        <w:rPr>
          <w:rFonts w:hint="eastAsia"/>
          <w:sz w:val="30"/>
          <w:szCs w:val="30"/>
        </w:rPr>
      </w:pPr>
    </w:p>
    <w:p w14:paraId="0A972990">
      <w:pPr>
        <w:pStyle w:val="9"/>
        <w:spacing w:before="0"/>
        <w:ind w:left="0"/>
        <w:jc w:val="left"/>
        <w:rPr>
          <w:rFonts w:hint="eastAsia"/>
          <w:sz w:val="30"/>
          <w:szCs w:val="30"/>
        </w:rPr>
      </w:pPr>
      <w:r>
        <w:rPr>
          <w:rFonts w:hint="eastAsia"/>
          <w:sz w:val="30"/>
          <w:szCs w:val="30"/>
        </w:rPr>
        <w:t>Now that the tree of the New Covenant has been planted in the earth, the tree of the Old is forever cursed, never again to bear fruit (Mt. 21:19).</w:t>
      </w:r>
    </w:p>
    <w:p w14:paraId="780778DC">
      <w:pPr>
        <w:pStyle w:val="9"/>
        <w:spacing w:before="0"/>
        <w:ind w:left="0"/>
        <w:jc w:val="left"/>
        <w:rPr>
          <w:rFonts w:hint="eastAsia"/>
          <w:sz w:val="30"/>
          <w:szCs w:val="30"/>
        </w:rPr>
      </w:pPr>
    </w:p>
    <w:p w14:paraId="473FC6A5">
      <w:pPr>
        <w:pStyle w:val="9"/>
        <w:spacing w:before="0"/>
        <w:ind w:left="0"/>
        <w:jc w:val="left"/>
        <w:rPr>
          <w:rFonts w:hint="eastAsia"/>
          <w:sz w:val="30"/>
          <w:szCs w:val="30"/>
        </w:rPr>
      </w:pPr>
      <w:r>
        <w:rPr>
          <w:rFonts w:hint="eastAsia"/>
          <w:sz w:val="30"/>
          <w:szCs w:val="30"/>
        </w:rPr>
        <w:t>既然新约的树已经栽种在地上，旧约的树就永远被咒诅，再也不能结果子了（太 21:19）。</w:t>
      </w:r>
    </w:p>
    <w:p w14:paraId="1AF4838E">
      <w:pPr>
        <w:pStyle w:val="9"/>
        <w:spacing w:before="0"/>
        <w:ind w:left="0"/>
        <w:jc w:val="left"/>
        <w:rPr>
          <w:rFonts w:hint="eastAsia"/>
          <w:sz w:val="30"/>
          <w:szCs w:val="30"/>
        </w:rPr>
      </w:pPr>
    </w:p>
    <w:p w14:paraId="4B55D1FC">
      <w:pPr>
        <w:pStyle w:val="9"/>
        <w:spacing w:before="0"/>
        <w:ind w:left="0"/>
        <w:jc w:val="left"/>
        <w:rPr>
          <w:rFonts w:hint="eastAsia"/>
          <w:sz w:val="30"/>
          <w:szCs w:val="30"/>
        </w:rPr>
      </w:pPr>
      <w:r>
        <w:rPr>
          <w:rFonts w:hint="eastAsia"/>
          <w:sz w:val="30"/>
          <w:szCs w:val="30"/>
        </w:rPr>
        <w:t>Now that the eschatological Moses has come down from the Holy Mount with a new Law (or Instruction) for God’s people, men are henceforth to build their lives upon it and it alone, even unto the end of the age (Mt. 7:24-29, 28:18ff).</w:t>
      </w:r>
    </w:p>
    <w:p w14:paraId="46CD6265">
      <w:pPr>
        <w:pStyle w:val="9"/>
        <w:spacing w:before="0"/>
        <w:ind w:left="0"/>
        <w:jc w:val="left"/>
        <w:rPr>
          <w:rFonts w:hint="eastAsia"/>
          <w:sz w:val="30"/>
          <w:szCs w:val="30"/>
        </w:rPr>
      </w:pPr>
    </w:p>
    <w:p w14:paraId="5D7F4328">
      <w:pPr>
        <w:pStyle w:val="9"/>
        <w:spacing w:before="0"/>
        <w:ind w:left="0"/>
        <w:jc w:val="left"/>
        <w:rPr>
          <w:rFonts w:hint="eastAsia"/>
          <w:sz w:val="30"/>
          <w:szCs w:val="30"/>
        </w:rPr>
      </w:pPr>
      <w:r>
        <w:rPr>
          <w:rFonts w:hint="eastAsia"/>
          <w:sz w:val="30"/>
          <w:szCs w:val="30"/>
        </w:rPr>
        <w:t>既然末世的摩西已经带着给神子民的新律法（或训诲）从圣山下来，人从今以后就要单单将他们的生命建立在其上，直到这世代的末了（太 7:24-29, 28:18及以下）。</w:t>
      </w:r>
    </w:p>
    <w:p w14:paraId="488FEB73">
      <w:pPr>
        <w:pStyle w:val="9"/>
        <w:spacing w:before="0"/>
        <w:ind w:left="0"/>
        <w:jc w:val="left"/>
        <w:rPr>
          <w:rFonts w:hint="eastAsia"/>
          <w:sz w:val="30"/>
          <w:szCs w:val="30"/>
        </w:rPr>
      </w:pPr>
    </w:p>
    <w:p w14:paraId="2A6BEB7C">
      <w:pPr>
        <w:pStyle w:val="9"/>
        <w:spacing w:before="0"/>
        <w:ind w:left="0"/>
        <w:jc w:val="left"/>
        <w:rPr>
          <w:rFonts w:hint="eastAsia"/>
          <w:sz w:val="30"/>
          <w:szCs w:val="30"/>
        </w:rPr>
      </w:pPr>
      <w:r>
        <w:rPr>
          <w:rFonts w:hint="eastAsia"/>
          <w:sz w:val="30"/>
          <w:szCs w:val="30"/>
        </w:rPr>
        <w:t>Now that Christ has appeared, God himself is building a new temple, a temple not made with human hands (Mark 14:58, John 2:19, Eph. 2:11-22).</w:t>
      </w:r>
    </w:p>
    <w:p w14:paraId="0871F0D7">
      <w:pPr>
        <w:pStyle w:val="9"/>
        <w:spacing w:before="0"/>
        <w:ind w:left="0"/>
        <w:jc w:val="left"/>
        <w:rPr>
          <w:rFonts w:hint="eastAsia"/>
          <w:sz w:val="30"/>
          <w:szCs w:val="30"/>
        </w:rPr>
      </w:pPr>
    </w:p>
    <w:p w14:paraId="7584FA81">
      <w:pPr>
        <w:pStyle w:val="9"/>
        <w:spacing w:before="0"/>
        <w:ind w:left="0"/>
        <w:jc w:val="left"/>
        <w:rPr>
          <w:rFonts w:hint="eastAsia"/>
          <w:sz w:val="30"/>
          <w:szCs w:val="30"/>
        </w:rPr>
      </w:pPr>
      <w:r>
        <w:rPr>
          <w:rFonts w:hint="eastAsia"/>
          <w:sz w:val="30"/>
          <w:szCs w:val="30"/>
        </w:rPr>
        <w:t>既然基督已经显现，神自己正在建造一座新殿，一座非人手所造的殿（可 14:58, 约 2:19, 弗 2:11-22）。</w:t>
      </w:r>
    </w:p>
    <w:p w14:paraId="1A13AC1C">
      <w:pPr>
        <w:pStyle w:val="9"/>
        <w:spacing w:before="0"/>
        <w:ind w:left="0"/>
        <w:jc w:val="left"/>
        <w:rPr>
          <w:rFonts w:hint="eastAsia"/>
          <w:sz w:val="30"/>
          <w:szCs w:val="30"/>
        </w:rPr>
      </w:pPr>
    </w:p>
    <w:p w14:paraId="34E8C2EC">
      <w:pPr>
        <w:pStyle w:val="9"/>
        <w:spacing w:before="0"/>
        <w:ind w:left="0"/>
        <w:jc w:val="left"/>
        <w:rPr>
          <w:rFonts w:hint="eastAsia"/>
          <w:sz w:val="30"/>
          <w:szCs w:val="30"/>
        </w:rPr>
      </w:pPr>
      <w:r>
        <w:rPr>
          <w:rFonts w:hint="eastAsia"/>
          <w:sz w:val="30"/>
          <w:szCs w:val="30"/>
        </w:rPr>
        <w:t>And now that the New Covenant era has begun, men no longer need to worship on Zion, or any other mountain, since henceforth they are free to worship the Father in spirit and truth (John 4:21-24, Heb. 12:18f).</w:t>
      </w:r>
    </w:p>
    <w:p w14:paraId="61A3EEB7">
      <w:pPr>
        <w:pStyle w:val="9"/>
        <w:spacing w:before="0"/>
        <w:ind w:left="0"/>
        <w:jc w:val="left"/>
        <w:rPr>
          <w:rFonts w:hint="eastAsia"/>
          <w:sz w:val="30"/>
          <w:szCs w:val="30"/>
        </w:rPr>
      </w:pPr>
    </w:p>
    <w:p w14:paraId="55F20170">
      <w:pPr>
        <w:pStyle w:val="9"/>
        <w:spacing w:before="0"/>
        <w:ind w:left="0"/>
        <w:jc w:val="left"/>
        <w:rPr>
          <w:rFonts w:hint="eastAsia"/>
          <w:sz w:val="30"/>
          <w:szCs w:val="30"/>
        </w:rPr>
      </w:pPr>
      <w:r>
        <w:rPr>
          <w:rFonts w:hint="eastAsia"/>
          <w:sz w:val="30"/>
          <w:szCs w:val="30"/>
        </w:rPr>
        <w:t>既然新约的时代已经开始，人就不再需要在锡安山或任何其他山上敬拜，因为从今以后他们可以在灵和真实里敬拜父（约 4:21-24, 来 12:18及以下）。</w:t>
      </w:r>
    </w:p>
    <w:p w14:paraId="74823C57">
      <w:pPr>
        <w:pStyle w:val="9"/>
        <w:spacing w:before="0"/>
        <w:ind w:left="0"/>
        <w:jc w:val="left"/>
        <w:rPr>
          <w:rFonts w:hint="eastAsia"/>
          <w:sz w:val="30"/>
          <w:szCs w:val="30"/>
        </w:rPr>
      </w:pPr>
    </w:p>
    <w:p w14:paraId="569CBAB0">
      <w:pPr>
        <w:pStyle w:val="9"/>
        <w:spacing w:before="0"/>
        <w:ind w:left="0"/>
        <w:jc w:val="left"/>
        <w:rPr>
          <w:rFonts w:hint="eastAsia"/>
          <w:sz w:val="30"/>
          <w:szCs w:val="30"/>
        </w:rPr>
      </w:pPr>
      <w:r>
        <w:rPr>
          <w:rFonts w:hint="eastAsia"/>
          <w:sz w:val="30"/>
          <w:szCs w:val="30"/>
        </w:rPr>
        <w:t>And as if all this were not enough, we also have the testimony of Christ’s apostles, the appointed heralds and interpreters of the New Covenant that Christ instituted by his death, resurrection, and the outpouring of the Spirit.</w:t>
      </w:r>
    </w:p>
    <w:p w14:paraId="0C3F6D63">
      <w:pPr>
        <w:pStyle w:val="9"/>
        <w:spacing w:before="0"/>
        <w:ind w:left="0"/>
        <w:jc w:val="left"/>
        <w:rPr>
          <w:rFonts w:hint="eastAsia"/>
          <w:sz w:val="30"/>
          <w:szCs w:val="30"/>
        </w:rPr>
      </w:pPr>
    </w:p>
    <w:p w14:paraId="06A39893">
      <w:pPr>
        <w:pStyle w:val="9"/>
        <w:spacing w:before="0"/>
        <w:ind w:left="0"/>
        <w:jc w:val="left"/>
        <w:rPr>
          <w:rFonts w:hint="eastAsia"/>
          <w:sz w:val="30"/>
          <w:szCs w:val="30"/>
        </w:rPr>
      </w:pPr>
      <w:r>
        <w:rPr>
          <w:rFonts w:hint="eastAsia"/>
          <w:sz w:val="30"/>
          <w:szCs w:val="30"/>
        </w:rPr>
        <w:t>仿佛这一切还不够，我们还有基督众使徒的见证，他们是被指派的传令者和解释者，来解释基督借着祂的死、复活和圣灵的浇灌所设立的新约。</w:t>
      </w:r>
    </w:p>
    <w:p w14:paraId="417C9A6A">
      <w:pPr>
        <w:pStyle w:val="9"/>
        <w:spacing w:before="0"/>
        <w:ind w:left="0"/>
        <w:jc w:val="left"/>
        <w:rPr>
          <w:rFonts w:hint="eastAsia"/>
          <w:sz w:val="30"/>
          <w:szCs w:val="30"/>
        </w:rPr>
      </w:pPr>
    </w:p>
    <w:p w14:paraId="7725F7E4">
      <w:pPr>
        <w:pStyle w:val="9"/>
        <w:spacing w:before="0"/>
        <w:ind w:left="0"/>
        <w:jc w:val="left"/>
        <w:rPr>
          <w:rFonts w:hint="eastAsia"/>
          <w:sz w:val="30"/>
          <w:szCs w:val="30"/>
        </w:rPr>
      </w:pPr>
      <w:r>
        <w:rPr>
          <w:rFonts w:hint="eastAsia"/>
          <w:sz w:val="30"/>
          <w:szCs w:val="30"/>
        </w:rPr>
        <w:t>It is, if possible, even more decisive.</w:t>
      </w:r>
    </w:p>
    <w:p w14:paraId="74849A37">
      <w:pPr>
        <w:pStyle w:val="9"/>
        <w:spacing w:before="0"/>
        <w:ind w:left="0"/>
        <w:jc w:val="left"/>
        <w:rPr>
          <w:rFonts w:hint="eastAsia"/>
          <w:sz w:val="30"/>
          <w:szCs w:val="30"/>
        </w:rPr>
      </w:pPr>
    </w:p>
    <w:p w14:paraId="7C7E0FC9">
      <w:pPr>
        <w:pStyle w:val="9"/>
        <w:spacing w:before="0"/>
        <w:ind w:left="0"/>
        <w:jc w:val="left"/>
        <w:rPr>
          <w:rFonts w:hint="eastAsia"/>
          <w:sz w:val="30"/>
          <w:szCs w:val="30"/>
        </w:rPr>
      </w:pPr>
      <w:r>
        <w:rPr>
          <w:rFonts w:hint="eastAsia"/>
          <w:sz w:val="30"/>
          <w:szCs w:val="30"/>
        </w:rPr>
        <w:t>这个见证，若是可能，甚至更具决定性。</w:t>
      </w:r>
    </w:p>
    <w:p w14:paraId="5D9BDA3B">
      <w:pPr>
        <w:pStyle w:val="9"/>
        <w:spacing w:before="0"/>
        <w:ind w:left="0"/>
        <w:jc w:val="left"/>
        <w:rPr>
          <w:rFonts w:hint="eastAsia"/>
          <w:sz w:val="30"/>
          <w:szCs w:val="30"/>
        </w:rPr>
      </w:pPr>
    </w:p>
    <w:p w14:paraId="47918FAB">
      <w:pPr>
        <w:pStyle w:val="9"/>
        <w:spacing w:before="0"/>
        <w:ind w:left="0"/>
        <w:jc w:val="left"/>
        <w:rPr>
          <w:rFonts w:hint="eastAsia"/>
          <w:sz w:val="30"/>
          <w:szCs w:val="30"/>
        </w:rPr>
      </w:pPr>
      <w:r>
        <w:rPr>
          <w:rFonts w:hint="eastAsia"/>
          <w:sz w:val="30"/>
          <w:szCs w:val="30"/>
        </w:rPr>
        <w:t>In the book of Acts, for example, we find the apostles preaching the good news of the Kingdom (8:12, 19:8, 28:31), yet at the very same time ferociously protecting Gentile believers from the slightest suggestion that they must convert to Judaism or observe the Mosaic Law (Acts 15).</w:t>
      </w:r>
    </w:p>
    <w:p w14:paraId="5F0C5B82">
      <w:pPr>
        <w:pStyle w:val="9"/>
        <w:spacing w:before="0"/>
        <w:ind w:left="0"/>
        <w:jc w:val="left"/>
        <w:rPr>
          <w:rFonts w:hint="eastAsia"/>
          <w:sz w:val="30"/>
          <w:szCs w:val="30"/>
        </w:rPr>
      </w:pPr>
    </w:p>
    <w:p w14:paraId="26B9C4DE">
      <w:pPr>
        <w:pStyle w:val="9"/>
        <w:spacing w:before="0"/>
        <w:ind w:left="0"/>
        <w:jc w:val="left"/>
        <w:rPr>
          <w:rFonts w:hint="eastAsia"/>
          <w:sz w:val="30"/>
          <w:szCs w:val="30"/>
        </w:rPr>
      </w:pPr>
      <w:r>
        <w:rPr>
          <w:rFonts w:hint="eastAsia"/>
          <w:sz w:val="30"/>
          <w:szCs w:val="30"/>
        </w:rPr>
        <w:t>例如，在使徒行传中，我们发现使徒们传讲国度的福音（8:12, 19:8, 28:31），却在同一时间激烈地保护外邦信徒，不让他们受到丝毫必须归信犹太教或遵守摩西律法的暗示（使徒行传 15）。</w:t>
      </w:r>
    </w:p>
    <w:p w14:paraId="3174119B">
      <w:pPr>
        <w:pStyle w:val="9"/>
        <w:spacing w:before="0"/>
        <w:ind w:left="0"/>
        <w:jc w:val="left"/>
        <w:rPr>
          <w:rFonts w:hint="eastAsia"/>
          <w:sz w:val="30"/>
          <w:szCs w:val="30"/>
        </w:rPr>
      </w:pPr>
    </w:p>
    <w:p w14:paraId="0865A070">
      <w:pPr>
        <w:pStyle w:val="9"/>
        <w:spacing w:before="0"/>
        <w:ind w:left="0"/>
        <w:jc w:val="left"/>
        <w:rPr>
          <w:rFonts w:hint="eastAsia"/>
          <w:sz w:val="30"/>
          <w:szCs w:val="30"/>
        </w:rPr>
      </w:pPr>
      <w:r>
        <w:rPr>
          <w:rFonts w:hint="eastAsia"/>
          <w:sz w:val="30"/>
          <w:szCs w:val="30"/>
        </w:rPr>
        <w:t>And in his epistles, we find Paul doing much the same, carefully explaining the nuanced relationship between the Law (the Old Covenant) and the Gospel (the New Covenant).</w:t>
      </w:r>
    </w:p>
    <w:p w14:paraId="3B834ED0">
      <w:pPr>
        <w:pStyle w:val="9"/>
        <w:spacing w:before="0"/>
        <w:ind w:left="0"/>
        <w:jc w:val="left"/>
        <w:rPr>
          <w:rFonts w:hint="eastAsia"/>
          <w:sz w:val="30"/>
          <w:szCs w:val="30"/>
        </w:rPr>
      </w:pPr>
    </w:p>
    <w:p w14:paraId="41173DBB">
      <w:pPr>
        <w:pStyle w:val="9"/>
        <w:spacing w:before="0"/>
        <w:ind w:left="0"/>
        <w:jc w:val="left"/>
        <w:rPr>
          <w:rFonts w:hint="eastAsia"/>
          <w:sz w:val="30"/>
          <w:szCs w:val="30"/>
        </w:rPr>
      </w:pPr>
      <w:r>
        <w:rPr>
          <w:rFonts w:hint="eastAsia"/>
          <w:sz w:val="30"/>
          <w:szCs w:val="30"/>
        </w:rPr>
        <w:t>在他的书信中，我们发现保罗也做了许多同样的事，他仔细地解释了律法（旧约）与福音（新约）之间微妙的关系。</w:t>
      </w:r>
    </w:p>
    <w:p w14:paraId="1ECA72CF">
      <w:pPr>
        <w:pStyle w:val="9"/>
        <w:spacing w:before="0"/>
        <w:ind w:left="0"/>
        <w:jc w:val="left"/>
        <w:rPr>
          <w:rFonts w:hint="eastAsia"/>
          <w:sz w:val="30"/>
          <w:szCs w:val="30"/>
        </w:rPr>
      </w:pPr>
    </w:p>
    <w:p w14:paraId="7A81A28A">
      <w:pPr>
        <w:pStyle w:val="9"/>
        <w:spacing w:before="0"/>
        <w:ind w:left="0"/>
        <w:jc w:val="left"/>
        <w:rPr>
          <w:rFonts w:hint="eastAsia"/>
          <w:sz w:val="30"/>
          <w:szCs w:val="30"/>
        </w:rPr>
      </w:pPr>
      <w:r>
        <w:rPr>
          <w:rFonts w:hint="eastAsia"/>
          <w:sz w:val="30"/>
          <w:szCs w:val="30"/>
        </w:rPr>
        <w:t>As we shall see later, he concludes, with Christ, that the New Covenant fulfills the Old, supercedes it, and renders it obsolete; that it is, in fact, the Eternal Covenant, the “mystery” of God, hidden from human sight in ages past, but now, through Christ, brought into the world and out into the open; that it is the eternal “substance” or “body” of which the events and institutions of the Old Covenant were merely passing “shadows” (Heb. 8:13, 13:20, Col. 2:17).</w:t>
      </w:r>
    </w:p>
    <w:p w14:paraId="0F2441CD">
      <w:pPr>
        <w:pStyle w:val="9"/>
        <w:spacing w:before="0"/>
        <w:ind w:left="0"/>
        <w:jc w:val="left"/>
        <w:rPr>
          <w:rFonts w:hint="eastAsia"/>
          <w:sz w:val="30"/>
          <w:szCs w:val="30"/>
        </w:rPr>
      </w:pPr>
    </w:p>
    <w:p w14:paraId="0028FEAC">
      <w:pPr>
        <w:pStyle w:val="9"/>
        <w:spacing w:before="0"/>
        <w:ind w:left="0"/>
        <w:jc w:val="left"/>
        <w:rPr>
          <w:rFonts w:hint="eastAsia"/>
          <w:sz w:val="30"/>
          <w:szCs w:val="30"/>
        </w:rPr>
      </w:pPr>
      <w:r>
        <w:rPr>
          <w:rFonts w:hint="eastAsia"/>
          <w:sz w:val="30"/>
          <w:szCs w:val="30"/>
        </w:rPr>
        <w:t>正如我们稍后将看到的，他和基督一同得出结论，即新约成全了旧约，取代了它，并使其过时；它实际上是永恒的约，是神的“奥秘”，在过去的世代中向人的眼目隐藏，但现在，借着基督，被带入世界并公之于众；它是永恒的“实体”或“身体”，而旧约的事件和制度仅仅是逝去的“影儿”（来 8:13, 13:20, 西 2:17）。</w:t>
      </w:r>
    </w:p>
    <w:p w14:paraId="5E98C43C">
      <w:pPr>
        <w:pStyle w:val="9"/>
        <w:spacing w:before="0"/>
        <w:ind w:left="0"/>
        <w:jc w:val="left"/>
        <w:rPr>
          <w:rFonts w:hint="eastAsia"/>
          <w:sz w:val="30"/>
          <w:szCs w:val="30"/>
        </w:rPr>
      </w:pPr>
    </w:p>
    <w:p w14:paraId="1598A422">
      <w:pPr>
        <w:pStyle w:val="9"/>
        <w:spacing w:before="0"/>
        <w:ind w:left="0"/>
        <w:jc w:val="left"/>
        <w:rPr>
          <w:rFonts w:hint="eastAsia"/>
          <w:sz w:val="30"/>
          <w:szCs w:val="30"/>
        </w:rPr>
      </w:pPr>
      <w:r>
        <w:rPr>
          <w:rFonts w:hint="eastAsia"/>
          <w:sz w:val="30"/>
          <w:szCs w:val="30"/>
        </w:rPr>
        <w:t>In sum, it appears that Jeremiah, Jesus, and all the apostles agree that the Kingdom of God is a direct spiritual reign of the Father, through Christ, by the Spirit; that it is closely associated with the New Covenant; and that the New Covenant both fulfills the Old Covenant and renders it forever obsolete.</w:t>
      </w:r>
    </w:p>
    <w:p w14:paraId="2180394B">
      <w:pPr>
        <w:pStyle w:val="9"/>
        <w:spacing w:before="0"/>
        <w:ind w:left="0"/>
        <w:jc w:val="left"/>
        <w:rPr>
          <w:rFonts w:hint="eastAsia"/>
          <w:sz w:val="30"/>
          <w:szCs w:val="30"/>
        </w:rPr>
      </w:pPr>
    </w:p>
    <w:p w14:paraId="28DB0B8B">
      <w:pPr>
        <w:pStyle w:val="9"/>
        <w:spacing w:before="0"/>
        <w:ind w:left="0"/>
        <w:jc w:val="left"/>
        <w:rPr>
          <w:rFonts w:hint="eastAsia"/>
          <w:sz w:val="30"/>
          <w:szCs w:val="30"/>
        </w:rPr>
      </w:pPr>
      <w:r>
        <w:rPr>
          <w:rFonts w:hint="eastAsia"/>
          <w:sz w:val="30"/>
          <w:szCs w:val="30"/>
        </w:rPr>
        <w:t>总之，耶利米、耶稣和所有使徒似乎都同意，神的国是父借着基督，凭着圣灵直接的属灵统治；它与新约紧密相关；并且新约既成全了旧约，也使其永远过时了。</w:t>
      </w:r>
    </w:p>
    <w:p w14:paraId="19997188">
      <w:pPr>
        <w:pStyle w:val="9"/>
        <w:spacing w:before="0"/>
        <w:ind w:left="0"/>
        <w:jc w:val="left"/>
        <w:rPr>
          <w:rFonts w:hint="eastAsia"/>
          <w:sz w:val="30"/>
          <w:szCs w:val="30"/>
        </w:rPr>
      </w:pPr>
    </w:p>
    <w:p w14:paraId="3C004B9B">
      <w:pPr>
        <w:pStyle w:val="9"/>
        <w:spacing w:before="0"/>
        <w:ind w:left="0"/>
        <w:jc w:val="left"/>
        <w:rPr>
          <w:rFonts w:hint="eastAsia"/>
          <w:sz w:val="30"/>
          <w:szCs w:val="30"/>
        </w:rPr>
      </w:pPr>
      <w:r>
        <w:rPr>
          <w:rFonts w:hint="eastAsia"/>
          <w:sz w:val="30"/>
          <w:szCs w:val="30"/>
        </w:rPr>
        <w:t>If so, it hardly seems possible to take the Representative Idea of the Kingdom at face value, or to interpret OTKP’s literally.</w:t>
      </w:r>
    </w:p>
    <w:p w14:paraId="20D00DCD">
      <w:pPr>
        <w:pStyle w:val="9"/>
        <w:spacing w:before="0"/>
        <w:ind w:left="0"/>
        <w:jc w:val="left"/>
        <w:rPr>
          <w:rFonts w:hint="eastAsia"/>
          <w:sz w:val="30"/>
          <w:szCs w:val="30"/>
        </w:rPr>
      </w:pPr>
    </w:p>
    <w:p w14:paraId="06AFFDFF">
      <w:pPr>
        <w:pStyle w:val="9"/>
        <w:spacing w:before="0"/>
        <w:ind w:left="0"/>
        <w:jc w:val="left"/>
        <w:rPr>
          <w:rFonts w:hint="eastAsia"/>
          <w:sz w:val="30"/>
          <w:szCs w:val="30"/>
        </w:rPr>
      </w:pPr>
      <w:r>
        <w:rPr>
          <w:rFonts w:hint="eastAsia"/>
          <w:sz w:val="30"/>
          <w:szCs w:val="30"/>
        </w:rPr>
        <w:t>若是如此，按字面意义接受对国度的代表性观念，或按字面解释旧约国度预言，就几乎是不可能的了。</w:t>
      </w:r>
    </w:p>
    <w:p w14:paraId="7F06C0CA">
      <w:pPr>
        <w:pStyle w:val="9"/>
        <w:spacing w:before="0"/>
        <w:ind w:left="0"/>
        <w:jc w:val="left"/>
        <w:rPr>
          <w:rFonts w:hint="eastAsia"/>
          <w:sz w:val="30"/>
          <w:szCs w:val="30"/>
        </w:rPr>
      </w:pPr>
    </w:p>
    <w:p w14:paraId="00487AB5">
      <w:pPr>
        <w:pStyle w:val="9"/>
        <w:spacing w:before="0"/>
        <w:ind w:left="0"/>
        <w:jc w:val="left"/>
        <w:rPr>
          <w:rFonts w:hint="eastAsia"/>
          <w:sz w:val="30"/>
          <w:szCs w:val="30"/>
        </w:rPr>
      </w:pPr>
      <w:r>
        <w:rPr>
          <w:rFonts w:hint="eastAsia"/>
          <w:sz w:val="30"/>
          <w:szCs w:val="30"/>
        </w:rPr>
        <w:t>The Two Main Solutions</w:t>
      </w:r>
    </w:p>
    <w:p w14:paraId="63ECEF24">
      <w:pPr>
        <w:pStyle w:val="9"/>
        <w:spacing w:before="0"/>
        <w:ind w:left="0"/>
        <w:jc w:val="left"/>
        <w:rPr>
          <w:rFonts w:hint="eastAsia"/>
          <w:sz w:val="30"/>
          <w:szCs w:val="30"/>
        </w:rPr>
      </w:pPr>
    </w:p>
    <w:p w14:paraId="3A640B95">
      <w:pPr>
        <w:pStyle w:val="9"/>
        <w:spacing w:before="0"/>
        <w:ind w:left="0"/>
        <w:jc w:val="left"/>
        <w:rPr>
          <w:rFonts w:hint="eastAsia"/>
          <w:sz w:val="30"/>
          <w:szCs w:val="30"/>
        </w:rPr>
      </w:pPr>
      <w:r>
        <w:rPr>
          <w:rFonts w:hint="eastAsia"/>
          <w:sz w:val="30"/>
          <w:szCs w:val="30"/>
        </w:rPr>
        <w:t>两种主要解决方案</w:t>
      </w:r>
    </w:p>
    <w:p w14:paraId="1CC2EE2E">
      <w:pPr>
        <w:pStyle w:val="9"/>
        <w:spacing w:before="0"/>
        <w:ind w:left="0"/>
        <w:jc w:val="left"/>
        <w:rPr>
          <w:rFonts w:hint="eastAsia"/>
          <w:sz w:val="30"/>
          <w:szCs w:val="30"/>
        </w:rPr>
      </w:pPr>
    </w:p>
    <w:p w14:paraId="2B33A541">
      <w:pPr>
        <w:pStyle w:val="9"/>
        <w:spacing w:before="0"/>
        <w:ind w:left="0"/>
        <w:jc w:val="left"/>
        <w:rPr>
          <w:rFonts w:hint="eastAsia"/>
          <w:sz w:val="30"/>
          <w:szCs w:val="30"/>
        </w:rPr>
      </w:pPr>
      <w:r>
        <w:rPr>
          <w:rFonts w:hint="eastAsia"/>
          <w:sz w:val="30"/>
          <w:szCs w:val="30"/>
        </w:rPr>
        <w:t>So now we have a problem—the biggest, thorniest, and most fundamental of the Great End Time Debate.</w:t>
      </w:r>
    </w:p>
    <w:p w14:paraId="21CF6825">
      <w:pPr>
        <w:pStyle w:val="9"/>
        <w:spacing w:before="0"/>
        <w:ind w:left="0"/>
        <w:jc w:val="left"/>
        <w:rPr>
          <w:rFonts w:hint="eastAsia"/>
          <w:sz w:val="30"/>
          <w:szCs w:val="30"/>
        </w:rPr>
      </w:pPr>
    </w:p>
    <w:p w14:paraId="70262955">
      <w:pPr>
        <w:pStyle w:val="9"/>
        <w:spacing w:before="0"/>
        <w:ind w:left="0"/>
        <w:jc w:val="left"/>
        <w:rPr>
          <w:rFonts w:hint="eastAsia"/>
          <w:sz w:val="30"/>
          <w:szCs w:val="30"/>
        </w:rPr>
      </w:pPr>
      <w:r>
        <w:rPr>
          <w:rFonts w:hint="eastAsia"/>
          <w:sz w:val="30"/>
          <w:szCs w:val="30"/>
        </w:rPr>
        <w:t>所以现在我们有一个问题——末世大辩论中最大、最棘手、也最根本的问题。</w:t>
      </w:r>
    </w:p>
    <w:p w14:paraId="114D2373">
      <w:pPr>
        <w:pStyle w:val="9"/>
        <w:spacing w:before="0"/>
        <w:ind w:left="0"/>
        <w:jc w:val="left"/>
        <w:rPr>
          <w:rFonts w:hint="eastAsia"/>
          <w:sz w:val="30"/>
          <w:szCs w:val="30"/>
        </w:rPr>
      </w:pPr>
    </w:p>
    <w:p w14:paraId="0EAEC407">
      <w:pPr>
        <w:pStyle w:val="9"/>
        <w:spacing w:before="0"/>
        <w:ind w:left="0"/>
        <w:jc w:val="left"/>
        <w:rPr>
          <w:rFonts w:hint="eastAsia"/>
          <w:sz w:val="30"/>
          <w:szCs w:val="30"/>
        </w:rPr>
      </w:pPr>
      <w:r>
        <w:rPr>
          <w:rFonts w:hint="eastAsia"/>
          <w:sz w:val="30"/>
          <w:szCs w:val="30"/>
        </w:rPr>
        <w:t>How shall we reconcile this apparent contradiction in Scripture?</w:t>
      </w:r>
    </w:p>
    <w:p w14:paraId="2572B544">
      <w:pPr>
        <w:pStyle w:val="9"/>
        <w:spacing w:before="0"/>
        <w:ind w:left="0"/>
        <w:jc w:val="left"/>
        <w:rPr>
          <w:rFonts w:hint="eastAsia"/>
          <w:sz w:val="30"/>
          <w:szCs w:val="30"/>
        </w:rPr>
      </w:pPr>
    </w:p>
    <w:p w14:paraId="3132F88E">
      <w:pPr>
        <w:pStyle w:val="9"/>
        <w:spacing w:before="0"/>
        <w:ind w:left="0"/>
        <w:jc w:val="left"/>
        <w:rPr>
          <w:rFonts w:hint="eastAsia"/>
          <w:sz w:val="30"/>
          <w:szCs w:val="30"/>
        </w:rPr>
      </w:pPr>
      <w:r>
        <w:rPr>
          <w:rFonts w:hint="eastAsia"/>
          <w:sz w:val="30"/>
          <w:szCs w:val="30"/>
        </w:rPr>
        <w:t>我们该如何调和圣经中这个明显的矛盾呢？</w:t>
      </w:r>
    </w:p>
    <w:p w14:paraId="2E05CB48">
      <w:pPr>
        <w:pStyle w:val="9"/>
        <w:spacing w:before="0"/>
        <w:ind w:left="0"/>
        <w:jc w:val="left"/>
        <w:rPr>
          <w:rFonts w:hint="eastAsia"/>
          <w:sz w:val="30"/>
          <w:szCs w:val="30"/>
        </w:rPr>
      </w:pPr>
    </w:p>
    <w:p w14:paraId="5070670E">
      <w:pPr>
        <w:pStyle w:val="9"/>
        <w:spacing w:before="0"/>
        <w:ind w:left="0"/>
        <w:jc w:val="left"/>
        <w:rPr>
          <w:rFonts w:hint="eastAsia"/>
          <w:sz w:val="30"/>
          <w:szCs w:val="30"/>
        </w:rPr>
      </w:pPr>
      <w:r>
        <w:rPr>
          <w:rFonts w:hint="eastAsia"/>
          <w:sz w:val="30"/>
          <w:szCs w:val="30"/>
        </w:rPr>
        <w:t>How shall we reconcile the OT foreview of the Kingdom—which seems to represent it as a reign of God (primarily) over ethnic Israel, a reign mediated by the Old Covenant—with the NT view of the Kingdom, which seems to represent it as a (spiritual) reign of God over a new spiritual Israel, mediated by a new and Eternal Covenant that Christ gave to his Church (Gal. 6:16)?</w:t>
      </w:r>
    </w:p>
    <w:p w14:paraId="73203E46">
      <w:pPr>
        <w:pStyle w:val="9"/>
        <w:spacing w:before="0"/>
        <w:ind w:left="0"/>
        <w:jc w:val="left"/>
        <w:rPr>
          <w:rFonts w:hint="eastAsia"/>
          <w:sz w:val="30"/>
          <w:szCs w:val="30"/>
        </w:rPr>
      </w:pPr>
    </w:p>
    <w:p w14:paraId="6B77FE46">
      <w:pPr>
        <w:pStyle w:val="9"/>
        <w:spacing w:before="0"/>
        <w:ind w:left="0"/>
        <w:jc w:val="left"/>
        <w:rPr>
          <w:rFonts w:hint="eastAsia"/>
          <w:sz w:val="30"/>
          <w:szCs w:val="30"/>
        </w:rPr>
      </w:pPr>
      <w:r>
        <w:rPr>
          <w:rFonts w:hint="eastAsia"/>
          <w:sz w:val="30"/>
          <w:szCs w:val="30"/>
        </w:rPr>
        <w:t>我们该如何调和旧约对国度的预见——这预见似乎将其描绘为神（主要）对以色列民族的统治，一个由旧约作中介的统治——与新约对国度的观点，这观点似乎将其描绘为神对一个新的属灵以色列的（属灵）统治，一个由基督赐给祂教会的新的、永恒的约作中介的统治（加 6:16）？</w:t>
      </w:r>
    </w:p>
    <w:p w14:paraId="05C36765">
      <w:pPr>
        <w:pStyle w:val="9"/>
        <w:spacing w:before="0"/>
        <w:ind w:left="0"/>
        <w:jc w:val="left"/>
        <w:rPr>
          <w:rFonts w:hint="eastAsia"/>
          <w:sz w:val="30"/>
          <w:szCs w:val="30"/>
        </w:rPr>
      </w:pPr>
    </w:p>
    <w:p w14:paraId="784C0F36">
      <w:pPr>
        <w:pStyle w:val="9"/>
        <w:spacing w:before="0"/>
        <w:ind w:left="0"/>
        <w:jc w:val="left"/>
        <w:rPr>
          <w:rFonts w:hint="eastAsia"/>
          <w:sz w:val="30"/>
          <w:szCs w:val="30"/>
        </w:rPr>
      </w:pPr>
      <w:r>
        <w:rPr>
          <w:rFonts w:hint="eastAsia"/>
          <w:sz w:val="30"/>
          <w:szCs w:val="30"/>
        </w:rPr>
        <w:t>Needless to say, biblical interpreters subsequent to the apostles have wrestled long and hard with this challenging question.</w:t>
      </w:r>
    </w:p>
    <w:p w14:paraId="4B8D2E7D">
      <w:pPr>
        <w:pStyle w:val="9"/>
        <w:spacing w:before="0"/>
        <w:ind w:left="0"/>
        <w:jc w:val="left"/>
        <w:rPr>
          <w:rFonts w:hint="eastAsia"/>
          <w:sz w:val="30"/>
          <w:szCs w:val="30"/>
        </w:rPr>
      </w:pPr>
    </w:p>
    <w:p w14:paraId="4FE2A24F">
      <w:pPr>
        <w:pStyle w:val="9"/>
        <w:spacing w:before="0"/>
        <w:ind w:left="0"/>
        <w:jc w:val="left"/>
        <w:rPr>
          <w:rFonts w:hint="eastAsia"/>
          <w:sz w:val="30"/>
          <w:szCs w:val="30"/>
        </w:rPr>
      </w:pPr>
      <w:r>
        <w:rPr>
          <w:rFonts w:hint="eastAsia"/>
          <w:sz w:val="30"/>
          <w:szCs w:val="30"/>
        </w:rPr>
        <w:t>不言而喻，使徒之后的圣经解释者们为这个富有挑战性的问题长期而艰苦地角力。</w:t>
      </w:r>
    </w:p>
    <w:p w14:paraId="3ABCADC0">
      <w:pPr>
        <w:pStyle w:val="9"/>
        <w:spacing w:before="0"/>
        <w:ind w:left="0"/>
        <w:jc w:val="left"/>
        <w:rPr>
          <w:rFonts w:hint="eastAsia"/>
          <w:sz w:val="30"/>
          <w:szCs w:val="30"/>
        </w:rPr>
      </w:pPr>
    </w:p>
    <w:p w14:paraId="422DCF1D">
      <w:pPr>
        <w:pStyle w:val="9"/>
        <w:spacing w:before="0"/>
        <w:ind w:left="0"/>
        <w:jc w:val="left"/>
        <w:rPr>
          <w:rFonts w:hint="eastAsia"/>
          <w:sz w:val="30"/>
          <w:szCs w:val="30"/>
        </w:rPr>
      </w:pPr>
      <w:r>
        <w:rPr>
          <w:rFonts w:hint="eastAsia"/>
          <w:sz w:val="30"/>
          <w:szCs w:val="30"/>
        </w:rPr>
        <w:t>The result, as we shall see on the next leg of our journey, is a largish number of different solutions to the eschatological puzzle.</w:t>
      </w:r>
    </w:p>
    <w:p w14:paraId="63D10185">
      <w:pPr>
        <w:pStyle w:val="9"/>
        <w:spacing w:before="0"/>
        <w:ind w:left="0"/>
        <w:jc w:val="left"/>
        <w:rPr>
          <w:rFonts w:hint="eastAsia"/>
          <w:sz w:val="30"/>
          <w:szCs w:val="30"/>
        </w:rPr>
      </w:pPr>
    </w:p>
    <w:p w14:paraId="76F7B1DC">
      <w:pPr>
        <w:pStyle w:val="9"/>
        <w:spacing w:before="0"/>
        <w:ind w:left="0"/>
        <w:jc w:val="left"/>
        <w:rPr>
          <w:rFonts w:hint="eastAsia"/>
          <w:sz w:val="30"/>
          <w:szCs w:val="30"/>
        </w:rPr>
      </w:pPr>
      <w:r>
        <w:rPr>
          <w:rFonts w:hint="eastAsia"/>
          <w:sz w:val="30"/>
          <w:szCs w:val="30"/>
        </w:rPr>
        <w:t>其结果，正如我们将在下一段旅程中看到的，是为这个末世论谜题提供了相当多不同的解决方案。</w:t>
      </w:r>
    </w:p>
    <w:p w14:paraId="695533C2">
      <w:pPr>
        <w:pStyle w:val="9"/>
        <w:spacing w:before="0"/>
        <w:ind w:left="0"/>
        <w:jc w:val="left"/>
        <w:rPr>
          <w:rFonts w:hint="eastAsia"/>
          <w:sz w:val="30"/>
          <w:szCs w:val="30"/>
        </w:rPr>
      </w:pPr>
    </w:p>
    <w:p w14:paraId="3A965E1F">
      <w:pPr>
        <w:pStyle w:val="9"/>
        <w:spacing w:before="0"/>
        <w:ind w:left="0"/>
        <w:jc w:val="left"/>
        <w:rPr>
          <w:rFonts w:hint="eastAsia"/>
          <w:sz w:val="30"/>
          <w:szCs w:val="30"/>
        </w:rPr>
      </w:pPr>
      <w:r>
        <w:rPr>
          <w:rFonts w:hint="eastAsia"/>
          <w:sz w:val="30"/>
          <w:szCs w:val="30"/>
        </w:rPr>
        <w:t>Nevertheless, I will argue that the situation is not nearly as confusing as it might appear to be at first glance, for in the end the solutions fall more or less neatly into one of two categories.</w:t>
      </w:r>
    </w:p>
    <w:p w14:paraId="2514F971">
      <w:pPr>
        <w:pStyle w:val="9"/>
        <w:spacing w:before="0"/>
        <w:ind w:left="0"/>
        <w:jc w:val="left"/>
        <w:rPr>
          <w:rFonts w:hint="eastAsia"/>
          <w:sz w:val="30"/>
          <w:szCs w:val="30"/>
        </w:rPr>
      </w:pPr>
    </w:p>
    <w:p w14:paraId="622D6498">
      <w:pPr>
        <w:pStyle w:val="9"/>
        <w:spacing w:before="0"/>
        <w:ind w:left="0"/>
        <w:jc w:val="left"/>
        <w:rPr>
          <w:rFonts w:hint="eastAsia"/>
          <w:sz w:val="30"/>
          <w:szCs w:val="30"/>
        </w:rPr>
      </w:pPr>
      <w:r>
        <w:rPr>
          <w:rFonts w:hint="eastAsia"/>
          <w:sz w:val="30"/>
          <w:szCs w:val="30"/>
        </w:rPr>
        <w:t>然而，我将论证，情况远不像乍看之下那么混乱，因为最终，这些解决方案或多或少都整齐地归入两类之一。</w:t>
      </w:r>
    </w:p>
    <w:p w14:paraId="26124398">
      <w:pPr>
        <w:pStyle w:val="9"/>
        <w:spacing w:before="0"/>
        <w:ind w:left="0"/>
        <w:jc w:val="left"/>
        <w:rPr>
          <w:rFonts w:hint="eastAsia"/>
          <w:sz w:val="30"/>
          <w:szCs w:val="30"/>
        </w:rPr>
      </w:pPr>
    </w:p>
    <w:p w14:paraId="711FA8BB">
      <w:pPr>
        <w:pStyle w:val="9"/>
        <w:spacing w:before="0"/>
        <w:ind w:left="0"/>
        <w:jc w:val="left"/>
        <w:rPr>
          <w:rFonts w:hint="eastAsia"/>
          <w:sz w:val="30"/>
          <w:szCs w:val="30"/>
        </w:rPr>
      </w:pPr>
      <w:r>
        <w:rPr>
          <w:rFonts w:hint="eastAsia"/>
          <w:sz w:val="30"/>
          <w:szCs w:val="30"/>
        </w:rPr>
        <w:t>In other words, fundamentally, there are only two possible solutions to this theological problem.</w:t>
      </w:r>
    </w:p>
    <w:p w14:paraId="43842FE8">
      <w:pPr>
        <w:pStyle w:val="9"/>
        <w:spacing w:before="0"/>
        <w:ind w:left="0"/>
        <w:jc w:val="left"/>
        <w:rPr>
          <w:rFonts w:hint="eastAsia"/>
          <w:sz w:val="30"/>
          <w:szCs w:val="30"/>
        </w:rPr>
      </w:pPr>
    </w:p>
    <w:p w14:paraId="73C930C5">
      <w:pPr>
        <w:pStyle w:val="9"/>
        <w:spacing w:before="0"/>
        <w:ind w:left="0"/>
        <w:jc w:val="left"/>
        <w:rPr>
          <w:rFonts w:hint="eastAsia"/>
          <w:sz w:val="30"/>
          <w:szCs w:val="30"/>
        </w:rPr>
      </w:pPr>
      <w:r>
        <w:rPr>
          <w:rFonts w:hint="eastAsia"/>
          <w:sz w:val="30"/>
          <w:szCs w:val="30"/>
        </w:rPr>
        <w:t>换句话说，从根本上讲，对这个神学问题只有两种可能的解决方案。</w:t>
      </w:r>
    </w:p>
    <w:p w14:paraId="50AC6FDC">
      <w:pPr>
        <w:pStyle w:val="9"/>
        <w:spacing w:before="0"/>
        <w:ind w:left="0"/>
        <w:jc w:val="left"/>
        <w:rPr>
          <w:rFonts w:hint="eastAsia"/>
          <w:sz w:val="30"/>
          <w:szCs w:val="30"/>
        </w:rPr>
      </w:pPr>
    </w:p>
    <w:p w14:paraId="16BC1D96">
      <w:pPr>
        <w:pStyle w:val="9"/>
        <w:spacing w:before="0"/>
        <w:ind w:left="0"/>
        <w:jc w:val="left"/>
        <w:rPr>
          <w:rFonts w:hint="eastAsia"/>
          <w:sz w:val="30"/>
          <w:szCs w:val="30"/>
        </w:rPr>
      </w:pPr>
      <w:r>
        <w:rPr>
          <w:rFonts w:hint="eastAsia"/>
          <w:sz w:val="30"/>
          <w:szCs w:val="30"/>
        </w:rPr>
        <w:t>On the one hand, there is the solution embraced by the traditional Church; the solution implied and required by the vast majority of Christian creeds and confessions.1</w:t>
      </w:r>
    </w:p>
    <w:p w14:paraId="5EA86491">
      <w:pPr>
        <w:pStyle w:val="9"/>
        <w:spacing w:before="0"/>
        <w:ind w:left="0"/>
        <w:jc w:val="left"/>
        <w:rPr>
          <w:rFonts w:hint="eastAsia"/>
          <w:sz w:val="30"/>
          <w:szCs w:val="30"/>
        </w:rPr>
      </w:pPr>
    </w:p>
    <w:p w14:paraId="35B1B56E">
      <w:pPr>
        <w:pStyle w:val="9"/>
        <w:spacing w:before="0"/>
        <w:ind w:left="0"/>
        <w:jc w:val="left"/>
        <w:rPr>
          <w:rFonts w:hint="eastAsia"/>
          <w:sz w:val="30"/>
          <w:szCs w:val="30"/>
        </w:rPr>
      </w:pPr>
      <w:r>
        <w:rPr>
          <w:rFonts w:hint="eastAsia"/>
          <w:sz w:val="30"/>
          <w:szCs w:val="30"/>
        </w:rPr>
        <w:t>一方面，是传统教会所接纳的解决方案；是绝大多数基督教信经和信条所暗示并要求的解决方案。1</w:t>
      </w:r>
    </w:p>
    <w:p w14:paraId="66DED359">
      <w:pPr>
        <w:pStyle w:val="9"/>
        <w:spacing w:before="0"/>
        <w:ind w:left="0"/>
        <w:jc w:val="left"/>
        <w:rPr>
          <w:rFonts w:hint="eastAsia"/>
          <w:sz w:val="30"/>
          <w:szCs w:val="30"/>
        </w:rPr>
      </w:pPr>
    </w:p>
    <w:p w14:paraId="79544EA7">
      <w:pPr>
        <w:pStyle w:val="9"/>
        <w:spacing w:before="0"/>
        <w:ind w:left="0"/>
        <w:jc w:val="left"/>
        <w:rPr>
          <w:rFonts w:hint="eastAsia"/>
          <w:sz w:val="30"/>
          <w:szCs w:val="30"/>
        </w:rPr>
      </w:pPr>
      <w:r>
        <w:rPr>
          <w:rFonts w:hint="eastAsia"/>
          <w:sz w:val="30"/>
          <w:szCs w:val="30"/>
        </w:rPr>
        <w:t>According to this view, in OT times God was pleased to clothe or veil his revelations of the coming Kingdom in imagery drawn from the Old Covenant under which his OT people lived.</w:t>
      </w:r>
    </w:p>
    <w:p w14:paraId="5EEA7CAE">
      <w:pPr>
        <w:pStyle w:val="9"/>
        <w:spacing w:before="0"/>
        <w:ind w:left="0"/>
        <w:jc w:val="left"/>
        <w:rPr>
          <w:rFonts w:hint="eastAsia"/>
          <w:sz w:val="30"/>
          <w:szCs w:val="30"/>
        </w:rPr>
      </w:pPr>
    </w:p>
    <w:p w14:paraId="052242D1">
      <w:pPr>
        <w:pStyle w:val="9"/>
        <w:spacing w:before="0"/>
        <w:ind w:left="0"/>
        <w:jc w:val="left"/>
        <w:rPr>
          <w:rFonts w:hint="eastAsia"/>
          <w:sz w:val="30"/>
          <w:szCs w:val="30"/>
        </w:rPr>
      </w:pPr>
      <w:r>
        <w:rPr>
          <w:rFonts w:hint="eastAsia"/>
          <w:sz w:val="30"/>
          <w:szCs w:val="30"/>
        </w:rPr>
        <w:t>根据这个观点，在旧约时代，神乐意用取自旧约（祂的旧约子民生活于其下）的意象来包装或遮蔽祂对将要来临之国度的启示。</w:t>
      </w:r>
    </w:p>
    <w:p w14:paraId="19D4E9BA">
      <w:pPr>
        <w:pStyle w:val="9"/>
        <w:spacing w:before="0"/>
        <w:ind w:left="0"/>
        <w:jc w:val="left"/>
        <w:rPr>
          <w:rFonts w:hint="eastAsia"/>
          <w:sz w:val="30"/>
          <w:szCs w:val="30"/>
        </w:rPr>
      </w:pPr>
    </w:p>
    <w:p w14:paraId="28FF00DA">
      <w:pPr>
        <w:pStyle w:val="9"/>
        <w:spacing w:before="0"/>
        <w:ind w:left="0"/>
        <w:jc w:val="left"/>
        <w:rPr>
          <w:rFonts w:hint="eastAsia"/>
          <w:sz w:val="30"/>
          <w:szCs w:val="30"/>
        </w:rPr>
      </w:pPr>
      <w:r>
        <w:rPr>
          <w:rFonts w:hint="eastAsia"/>
          <w:sz w:val="30"/>
          <w:szCs w:val="30"/>
        </w:rPr>
        <w:t>Effectively, this rendered the true nature of the promised Kingdom a “mystery,” a secret that would not be fully revealed until the coming of Christ the King.</w:t>
      </w:r>
    </w:p>
    <w:p w14:paraId="625940E8">
      <w:pPr>
        <w:pStyle w:val="9"/>
        <w:spacing w:before="0"/>
        <w:ind w:left="0"/>
        <w:jc w:val="left"/>
        <w:rPr>
          <w:rFonts w:hint="eastAsia"/>
          <w:sz w:val="30"/>
          <w:szCs w:val="30"/>
        </w:rPr>
      </w:pPr>
    </w:p>
    <w:p w14:paraId="0795DB0E">
      <w:pPr>
        <w:pStyle w:val="9"/>
        <w:spacing w:before="0"/>
        <w:ind w:left="0"/>
        <w:jc w:val="left"/>
        <w:rPr>
          <w:rFonts w:hint="eastAsia"/>
          <w:sz w:val="30"/>
          <w:szCs w:val="30"/>
        </w:rPr>
      </w:pPr>
      <w:r>
        <w:rPr>
          <w:rFonts w:hint="eastAsia"/>
          <w:sz w:val="30"/>
          <w:szCs w:val="30"/>
        </w:rPr>
        <w:t>这实际上使所应许之国度的真实性质成了一个“奥秘”，一个直到君王基督降临时才会被完全揭示的秘密。</w:t>
      </w:r>
    </w:p>
    <w:p w14:paraId="05266988">
      <w:pPr>
        <w:pStyle w:val="9"/>
        <w:spacing w:before="0"/>
        <w:ind w:left="0"/>
        <w:jc w:val="left"/>
        <w:rPr>
          <w:rFonts w:hint="eastAsia"/>
          <w:sz w:val="30"/>
          <w:szCs w:val="30"/>
        </w:rPr>
      </w:pPr>
    </w:p>
    <w:p w14:paraId="54467DAA">
      <w:pPr>
        <w:pStyle w:val="9"/>
        <w:spacing w:before="0"/>
        <w:ind w:left="0"/>
        <w:jc w:val="left"/>
        <w:rPr>
          <w:rFonts w:hint="eastAsia"/>
          <w:sz w:val="30"/>
          <w:szCs w:val="30"/>
        </w:rPr>
      </w:pPr>
      <w:r>
        <w:rPr>
          <w:rFonts w:hint="eastAsia"/>
          <w:sz w:val="30"/>
          <w:szCs w:val="30"/>
        </w:rPr>
        <w:t>This means that when we walk onto OT turf, seeking to understand OTKP, we must bring with us the riches of NT teaching about the nature and structure of the Kingdom.</w:t>
      </w:r>
    </w:p>
    <w:p w14:paraId="6F820C76">
      <w:pPr>
        <w:pStyle w:val="9"/>
        <w:spacing w:before="0"/>
        <w:ind w:left="0"/>
        <w:jc w:val="left"/>
        <w:rPr>
          <w:rFonts w:hint="eastAsia"/>
          <w:sz w:val="30"/>
          <w:szCs w:val="30"/>
        </w:rPr>
      </w:pPr>
    </w:p>
    <w:p w14:paraId="385EED80">
      <w:pPr>
        <w:pStyle w:val="9"/>
        <w:spacing w:before="0"/>
        <w:ind w:left="0"/>
        <w:jc w:val="left"/>
        <w:rPr>
          <w:rFonts w:hint="eastAsia"/>
          <w:sz w:val="30"/>
          <w:szCs w:val="30"/>
        </w:rPr>
      </w:pPr>
      <w:r>
        <w:rPr>
          <w:rFonts w:hint="eastAsia"/>
          <w:sz w:val="30"/>
          <w:szCs w:val="30"/>
        </w:rPr>
        <w:t>这意味着，当我们踏上旧约的领域，试图理解旧约国度预言时，我们必须带上新约关于国度性质与结构的丰富教导。</w:t>
      </w:r>
    </w:p>
    <w:p w14:paraId="2B6CEBFC">
      <w:pPr>
        <w:pStyle w:val="9"/>
        <w:spacing w:before="0"/>
        <w:ind w:left="0"/>
        <w:jc w:val="left"/>
        <w:rPr>
          <w:rFonts w:hint="eastAsia"/>
          <w:sz w:val="30"/>
          <w:szCs w:val="30"/>
        </w:rPr>
      </w:pPr>
    </w:p>
    <w:p w14:paraId="359C1C3E">
      <w:pPr>
        <w:pStyle w:val="9"/>
        <w:spacing w:before="0"/>
        <w:ind w:left="0"/>
        <w:jc w:val="left"/>
        <w:rPr>
          <w:rFonts w:hint="eastAsia"/>
          <w:sz w:val="30"/>
          <w:szCs w:val="30"/>
        </w:rPr>
      </w:pPr>
      <w:r>
        <w:rPr>
          <w:rFonts w:hint="eastAsia"/>
          <w:sz w:val="30"/>
          <w:szCs w:val="30"/>
        </w:rPr>
        <w:t>In particular, we must follow the lead of Christ and his apostles by interpreting OTKP, not literally, in terms of the Old Covenant, but figuratively, in terms of the New Covenant.</w:t>
      </w:r>
    </w:p>
    <w:p w14:paraId="10A64282">
      <w:pPr>
        <w:pStyle w:val="9"/>
        <w:spacing w:before="0"/>
        <w:ind w:left="0"/>
        <w:jc w:val="left"/>
        <w:rPr>
          <w:rFonts w:hint="eastAsia"/>
          <w:sz w:val="30"/>
          <w:szCs w:val="30"/>
        </w:rPr>
      </w:pPr>
    </w:p>
    <w:p w14:paraId="0D319162">
      <w:pPr>
        <w:pStyle w:val="9"/>
        <w:spacing w:before="0"/>
        <w:ind w:left="0"/>
        <w:jc w:val="left"/>
        <w:rPr>
          <w:rFonts w:hint="eastAsia"/>
          <w:sz w:val="30"/>
          <w:szCs w:val="30"/>
        </w:rPr>
      </w:pPr>
      <w:r>
        <w:rPr>
          <w:rFonts w:hint="eastAsia"/>
          <w:sz w:val="30"/>
          <w:szCs w:val="30"/>
        </w:rPr>
        <w:t>特别是，我们必须跟随基督和祂使徒的带领，不是按字面意义，就着旧约来解释旧约国度预言，而是按预表意义，就着新约来解释。</w:t>
      </w:r>
    </w:p>
    <w:p w14:paraId="2469BAC5">
      <w:pPr>
        <w:pStyle w:val="9"/>
        <w:spacing w:before="0"/>
        <w:ind w:left="0"/>
        <w:jc w:val="left"/>
        <w:rPr>
          <w:rFonts w:hint="eastAsia"/>
          <w:sz w:val="30"/>
          <w:szCs w:val="30"/>
        </w:rPr>
      </w:pPr>
    </w:p>
    <w:p w14:paraId="3110730F">
      <w:pPr>
        <w:pStyle w:val="9"/>
        <w:spacing w:before="0"/>
        <w:ind w:left="0"/>
        <w:jc w:val="left"/>
        <w:rPr>
          <w:rFonts w:hint="eastAsia"/>
          <w:sz w:val="30"/>
          <w:szCs w:val="30"/>
        </w:rPr>
      </w:pPr>
      <w:r>
        <w:rPr>
          <w:rFonts w:hint="eastAsia"/>
          <w:sz w:val="30"/>
          <w:szCs w:val="30"/>
        </w:rPr>
        <w:t>We must, as it were, use the Rosetta Stone of the New Covenant to translate the mystical language of the Old.</w:t>
      </w:r>
    </w:p>
    <w:p w14:paraId="4DC7A1AA">
      <w:pPr>
        <w:pStyle w:val="9"/>
        <w:spacing w:before="0"/>
        <w:ind w:left="0"/>
        <w:jc w:val="left"/>
        <w:rPr>
          <w:rFonts w:hint="eastAsia"/>
          <w:sz w:val="30"/>
          <w:szCs w:val="30"/>
        </w:rPr>
      </w:pPr>
    </w:p>
    <w:p w14:paraId="35F47858">
      <w:pPr>
        <w:pStyle w:val="9"/>
        <w:spacing w:before="0"/>
        <w:ind w:left="0"/>
        <w:jc w:val="left"/>
        <w:rPr>
          <w:rFonts w:hint="eastAsia"/>
          <w:sz w:val="30"/>
          <w:szCs w:val="30"/>
        </w:rPr>
      </w:pPr>
      <w:r>
        <w:rPr>
          <w:rFonts w:hint="eastAsia"/>
          <w:sz w:val="30"/>
          <w:szCs w:val="30"/>
        </w:rPr>
        <w:t>我们必须，可以说是，用新约这块罗塞塔石碑来翻译旧约的奥秘语言。</w:t>
      </w:r>
    </w:p>
    <w:p w14:paraId="6B6DA421">
      <w:pPr>
        <w:pStyle w:val="9"/>
        <w:spacing w:before="0"/>
        <w:ind w:left="0"/>
        <w:jc w:val="left"/>
        <w:rPr>
          <w:rFonts w:hint="eastAsia"/>
          <w:sz w:val="30"/>
          <w:szCs w:val="30"/>
        </w:rPr>
      </w:pPr>
    </w:p>
    <w:p w14:paraId="628D7F1F">
      <w:pPr>
        <w:pStyle w:val="9"/>
        <w:spacing w:before="0"/>
        <w:ind w:left="0"/>
        <w:jc w:val="left"/>
        <w:rPr>
          <w:rFonts w:hint="eastAsia"/>
          <w:sz w:val="30"/>
          <w:szCs w:val="30"/>
        </w:rPr>
      </w:pPr>
      <w:r>
        <w:rPr>
          <w:rFonts w:hint="eastAsia"/>
          <w:sz w:val="30"/>
          <w:szCs w:val="30"/>
        </w:rPr>
        <w:t>In so doing, our goal is always the same: to see the blessings that Christ brought us in New Testament times mystically promised and prefigured in the Old—and to savor them when we do.</w:t>
      </w:r>
    </w:p>
    <w:p w14:paraId="096BE9DB">
      <w:pPr>
        <w:pStyle w:val="9"/>
        <w:spacing w:before="0"/>
        <w:ind w:left="0"/>
        <w:jc w:val="left"/>
        <w:rPr>
          <w:rFonts w:hint="eastAsia"/>
          <w:sz w:val="30"/>
          <w:szCs w:val="30"/>
        </w:rPr>
      </w:pPr>
    </w:p>
    <w:p w14:paraId="1655A6B3">
      <w:pPr>
        <w:pStyle w:val="9"/>
        <w:spacing w:before="0"/>
        <w:ind w:left="0"/>
        <w:jc w:val="left"/>
        <w:rPr>
          <w:rFonts w:hint="eastAsia"/>
          <w:sz w:val="30"/>
          <w:szCs w:val="30"/>
        </w:rPr>
      </w:pPr>
      <w:r>
        <w:rPr>
          <w:rFonts w:hint="eastAsia"/>
          <w:sz w:val="30"/>
          <w:szCs w:val="30"/>
        </w:rPr>
        <w:t>如此行时，我们的目标总是一样的：在新约时代基督带给我们的祝福中，看见旧约里奥秘地应许和预表的事物——并在如此行时品味它们。</w:t>
      </w:r>
    </w:p>
    <w:p w14:paraId="2FBAA302">
      <w:pPr>
        <w:pStyle w:val="9"/>
        <w:spacing w:before="0"/>
        <w:ind w:left="0"/>
        <w:jc w:val="left"/>
        <w:rPr>
          <w:rFonts w:hint="eastAsia"/>
          <w:sz w:val="30"/>
          <w:szCs w:val="30"/>
        </w:rPr>
      </w:pPr>
    </w:p>
    <w:p w14:paraId="0FFC90CD">
      <w:pPr>
        <w:pStyle w:val="9"/>
        <w:spacing w:before="0"/>
        <w:ind w:left="0"/>
        <w:jc w:val="left"/>
        <w:rPr>
          <w:rFonts w:hint="eastAsia"/>
          <w:sz w:val="30"/>
          <w:szCs w:val="30"/>
        </w:rPr>
      </w:pPr>
      <w:r>
        <w:rPr>
          <w:rFonts w:hint="eastAsia"/>
          <w:sz w:val="30"/>
          <w:szCs w:val="30"/>
        </w:rPr>
        <w:t>All this is, of course, a theological mouthful, one that we will carefully chew and digest in the pages ahead.</w:t>
      </w:r>
    </w:p>
    <w:p w14:paraId="2A048B61">
      <w:pPr>
        <w:pStyle w:val="9"/>
        <w:spacing w:before="0"/>
        <w:ind w:left="0"/>
        <w:jc w:val="left"/>
        <w:rPr>
          <w:rFonts w:hint="eastAsia"/>
          <w:sz w:val="30"/>
          <w:szCs w:val="30"/>
        </w:rPr>
      </w:pPr>
    </w:p>
    <w:p w14:paraId="37E86763">
      <w:pPr>
        <w:pStyle w:val="9"/>
        <w:spacing w:before="0"/>
        <w:ind w:left="0"/>
        <w:jc w:val="left"/>
        <w:rPr>
          <w:rFonts w:hint="eastAsia"/>
          <w:sz w:val="30"/>
          <w:szCs w:val="30"/>
        </w:rPr>
      </w:pPr>
      <w:r>
        <w:rPr>
          <w:rFonts w:hint="eastAsia"/>
          <w:sz w:val="30"/>
          <w:szCs w:val="30"/>
        </w:rPr>
        <w:t>当然，这一切在神学上是相当深奥的，我们将在接下来的篇幅中仔细咀嚼和消化。</w:t>
      </w:r>
    </w:p>
    <w:p w14:paraId="574996A0">
      <w:pPr>
        <w:pStyle w:val="9"/>
        <w:spacing w:before="0"/>
        <w:ind w:left="0"/>
        <w:jc w:val="left"/>
        <w:rPr>
          <w:rFonts w:hint="eastAsia"/>
          <w:sz w:val="30"/>
          <w:szCs w:val="30"/>
        </w:rPr>
      </w:pPr>
    </w:p>
    <w:p w14:paraId="0A0474C1">
      <w:pPr>
        <w:pStyle w:val="9"/>
        <w:spacing w:before="0"/>
        <w:ind w:left="0"/>
        <w:jc w:val="left"/>
        <w:rPr>
          <w:rFonts w:hint="eastAsia"/>
          <w:sz w:val="30"/>
          <w:szCs w:val="30"/>
        </w:rPr>
      </w:pPr>
      <w:r>
        <w:rPr>
          <w:rFonts w:hint="eastAsia"/>
          <w:sz w:val="30"/>
          <w:szCs w:val="30"/>
        </w:rPr>
        <w:t>On the other hand, there is the solution advanced by what I will call the prophetic literalists.</w:t>
      </w:r>
    </w:p>
    <w:p w14:paraId="55BD438E">
      <w:pPr>
        <w:pStyle w:val="9"/>
        <w:spacing w:before="0"/>
        <w:ind w:left="0"/>
        <w:jc w:val="left"/>
        <w:rPr>
          <w:rFonts w:hint="eastAsia"/>
          <w:sz w:val="30"/>
          <w:szCs w:val="30"/>
        </w:rPr>
      </w:pPr>
    </w:p>
    <w:p w14:paraId="74401FBC">
      <w:pPr>
        <w:pStyle w:val="9"/>
        <w:spacing w:before="0"/>
        <w:ind w:left="0"/>
        <w:jc w:val="left"/>
        <w:rPr>
          <w:rFonts w:hint="eastAsia"/>
          <w:sz w:val="30"/>
          <w:szCs w:val="30"/>
        </w:rPr>
      </w:pPr>
      <w:r>
        <w:rPr>
          <w:rFonts w:hint="eastAsia"/>
          <w:sz w:val="30"/>
          <w:szCs w:val="30"/>
        </w:rPr>
        <w:t>另一方面，是由我称之为预言字面主义者所提出的解决方案。</w:t>
      </w:r>
    </w:p>
    <w:p w14:paraId="394FF6DE">
      <w:pPr>
        <w:pStyle w:val="9"/>
        <w:spacing w:before="0"/>
        <w:ind w:left="0"/>
        <w:jc w:val="left"/>
        <w:rPr>
          <w:rFonts w:hint="eastAsia"/>
          <w:sz w:val="30"/>
          <w:szCs w:val="30"/>
        </w:rPr>
      </w:pPr>
    </w:p>
    <w:p w14:paraId="762E4991">
      <w:pPr>
        <w:pStyle w:val="9"/>
        <w:spacing w:before="0"/>
        <w:ind w:left="0"/>
        <w:jc w:val="left"/>
        <w:rPr>
          <w:rFonts w:hint="eastAsia"/>
          <w:sz w:val="30"/>
          <w:szCs w:val="30"/>
        </w:rPr>
      </w:pPr>
      <w:r>
        <w:rPr>
          <w:rFonts w:hint="eastAsia"/>
          <w:sz w:val="30"/>
          <w:szCs w:val="30"/>
        </w:rPr>
        <w:t>These are the brethren who say, “No, we cannot allow ourselves to spiritualize OTKP, for down that road lies endless speculation, controversy, and uncertainty.</w:t>
      </w:r>
    </w:p>
    <w:p w14:paraId="5C2F62E6">
      <w:pPr>
        <w:pStyle w:val="9"/>
        <w:spacing w:before="0"/>
        <w:ind w:left="0"/>
        <w:jc w:val="left"/>
        <w:rPr>
          <w:rFonts w:hint="eastAsia"/>
          <w:sz w:val="30"/>
          <w:szCs w:val="30"/>
        </w:rPr>
      </w:pPr>
    </w:p>
    <w:p w14:paraId="7F00ABE9">
      <w:pPr>
        <w:pStyle w:val="9"/>
        <w:spacing w:before="0"/>
        <w:ind w:left="0"/>
        <w:jc w:val="left"/>
        <w:rPr>
          <w:rFonts w:hint="eastAsia"/>
          <w:sz w:val="30"/>
          <w:szCs w:val="30"/>
        </w:rPr>
      </w:pPr>
      <w:r>
        <w:rPr>
          <w:rFonts w:hint="eastAsia"/>
          <w:sz w:val="30"/>
          <w:szCs w:val="30"/>
        </w:rPr>
        <w:t>这些弟兄们说：“不，我们不能容许自己将旧约国度预言灵意化，因为那条路通向无尽的臆测、争议和不确定性。</w:t>
      </w:r>
    </w:p>
    <w:p w14:paraId="312F10B0">
      <w:pPr>
        <w:pStyle w:val="9"/>
        <w:spacing w:before="0"/>
        <w:ind w:left="0"/>
        <w:jc w:val="left"/>
        <w:rPr>
          <w:rFonts w:hint="eastAsia"/>
          <w:sz w:val="30"/>
          <w:szCs w:val="30"/>
        </w:rPr>
      </w:pPr>
    </w:p>
    <w:p w14:paraId="17FCDA63">
      <w:pPr>
        <w:pStyle w:val="9"/>
        <w:spacing w:before="0"/>
        <w:ind w:left="0"/>
        <w:jc w:val="left"/>
        <w:rPr>
          <w:rFonts w:hint="eastAsia"/>
          <w:sz w:val="30"/>
          <w:szCs w:val="30"/>
        </w:rPr>
      </w:pPr>
      <w:r>
        <w:rPr>
          <w:rFonts w:hint="eastAsia"/>
          <w:sz w:val="30"/>
          <w:szCs w:val="30"/>
        </w:rPr>
        <w:t>Rather, we must approach OTKP just as we would any other part of the Bible, whether Old Testament or New.</w:t>
      </w:r>
    </w:p>
    <w:p w14:paraId="0A4D857B">
      <w:pPr>
        <w:pStyle w:val="9"/>
        <w:spacing w:before="0"/>
        <w:ind w:left="0"/>
        <w:jc w:val="left"/>
        <w:rPr>
          <w:rFonts w:hint="eastAsia"/>
          <w:sz w:val="30"/>
          <w:szCs w:val="30"/>
        </w:rPr>
      </w:pPr>
    </w:p>
    <w:p w14:paraId="0B609215">
      <w:pPr>
        <w:pStyle w:val="9"/>
        <w:spacing w:before="0"/>
        <w:ind w:left="0"/>
        <w:jc w:val="left"/>
        <w:rPr>
          <w:rFonts w:hint="eastAsia"/>
          <w:sz w:val="30"/>
          <w:szCs w:val="30"/>
        </w:rPr>
      </w:pPr>
      <w:r>
        <w:rPr>
          <w:rFonts w:hint="eastAsia"/>
          <w:sz w:val="30"/>
          <w:szCs w:val="30"/>
        </w:rPr>
        <w:t>相反，我们必须像对待圣经任何其他部分一样，无论是旧约还是新约，来处理旧约国度预言。</w:t>
      </w:r>
    </w:p>
    <w:p w14:paraId="1654221A">
      <w:pPr>
        <w:pStyle w:val="9"/>
        <w:spacing w:before="0"/>
        <w:ind w:left="0"/>
        <w:jc w:val="left"/>
        <w:rPr>
          <w:rFonts w:hint="eastAsia"/>
          <w:sz w:val="30"/>
          <w:szCs w:val="30"/>
        </w:rPr>
      </w:pPr>
    </w:p>
    <w:p w14:paraId="27A35C59">
      <w:pPr>
        <w:pStyle w:val="9"/>
        <w:spacing w:before="0"/>
        <w:ind w:left="0"/>
        <w:jc w:val="left"/>
        <w:rPr>
          <w:rFonts w:hint="eastAsia"/>
          <w:sz w:val="30"/>
          <w:szCs w:val="30"/>
        </w:rPr>
      </w:pPr>
      <w:r>
        <w:rPr>
          <w:rFonts w:hint="eastAsia"/>
          <w:sz w:val="30"/>
          <w:szCs w:val="30"/>
        </w:rPr>
        <w:t>In other words, unless there is a clear textual mandate to do otherwise, we must interpret OTKP literally.</w:t>
      </w:r>
    </w:p>
    <w:p w14:paraId="68480C5E">
      <w:pPr>
        <w:pStyle w:val="9"/>
        <w:spacing w:before="0"/>
        <w:ind w:left="0"/>
        <w:jc w:val="left"/>
        <w:rPr>
          <w:rFonts w:hint="eastAsia"/>
          <w:sz w:val="30"/>
          <w:szCs w:val="30"/>
        </w:rPr>
      </w:pPr>
    </w:p>
    <w:p w14:paraId="10A1CD15">
      <w:pPr>
        <w:pStyle w:val="9"/>
        <w:spacing w:before="0"/>
        <w:ind w:left="0"/>
        <w:jc w:val="left"/>
        <w:rPr>
          <w:rFonts w:hint="eastAsia"/>
          <w:sz w:val="30"/>
          <w:szCs w:val="30"/>
        </w:rPr>
      </w:pPr>
      <w:r>
        <w:rPr>
          <w:rFonts w:hint="eastAsia"/>
          <w:sz w:val="30"/>
          <w:szCs w:val="30"/>
        </w:rPr>
        <w:t>换句话说，除非有明确的文本授权我们另作解释，否则我们必须按字面意义解释旧约国度预言。</w:t>
      </w:r>
    </w:p>
    <w:p w14:paraId="409AE4C8">
      <w:pPr>
        <w:pStyle w:val="9"/>
        <w:spacing w:before="0"/>
        <w:ind w:left="0"/>
        <w:jc w:val="left"/>
        <w:rPr>
          <w:rFonts w:hint="eastAsia"/>
          <w:sz w:val="30"/>
          <w:szCs w:val="30"/>
        </w:rPr>
      </w:pPr>
    </w:p>
    <w:p w14:paraId="05FACCB7">
      <w:pPr>
        <w:pStyle w:val="9"/>
        <w:spacing w:before="0"/>
        <w:ind w:left="0"/>
        <w:jc w:val="left"/>
        <w:rPr>
          <w:rFonts w:hint="eastAsia"/>
          <w:sz w:val="30"/>
          <w:szCs w:val="30"/>
        </w:rPr>
      </w:pPr>
      <w:r>
        <w:rPr>
          <w:rFonts w:hint="eastAsia"/>
          <w:sz w:val="30"/>
          <w:szCs w:val="30"/>
        </w:rPr>
        <w:t>And indeed, the OT itself encourages us to do this very thing, since dozens of OT prophecies have already been literally fulfilled.</w:t>
      </w:r>
    </w:p>
    <w:p w14:paraId="69E8BF53">
      <w:pPr>
        <w:pStyle w:val="9"/>
        <w:spacing w:before="0"/>
        <w:ind w:left="0"/>
        <w:jc w:val="left"/>
        <w:rPr>
          <w:rFonts w:hint="eastAsia"/>
          <w:sz w:val="30"/>
          <w:szCs w:val="30"/>
        </w:rPr>
      </w:pPr>
    </w:p>
    <w:p w14:paraId="6CC50106">
      <w:pPr>
        <w:pStyle w:val="9"/>
        <w:spacing w:before="0"/>
        <w:ind w:left="0"/>
        <w:jc w:val="left"/>
        <w:rPr>
          <w:rFonts w:hint="eastAsia"/>
          <w:sz w:val="30"/>
          <w:szCs w:val="30"/>
        </w:rPr>
      </w:pPr>
      <w:r>
        <w:rPr>
          <w:rFonts w:hint="eastAsia"/>
          <w:sz w:val="30"/>
          <w:szCs w:val="30"/>
        </w:rPr>
        <w:t>并且，旧约本身确实鼓励我们这样做，因为几十个旧约预言已经按字面意义应验了。</w:t>
      </w:r>
    </w:p>
    <w:p w14:paraId="205E7FF3">
      <w:pPr>
        <w:pStyle w:val="9"/>
        <w:spacing w:before="0"/>
        <w:ind w:left="0"/>
        <w:jc w:val="left"/>
        <w:rPr>
          <w:rFonts w:hint="eastAsia"/>
          <w:sz w:val="30"/>
          <w:szCs w:val="30"/>
        </w:rPr>
      </w:pPr>
    </w:p>
    <w:p w14:paraId="45DCB2D8">
      <w:pPr>
        <w:pStyle w:val="9"/>
        <w:spacing w:before="0"/>
        <w:ind w:left="0"/>
        <w:jc w:val="left"/>
        <w:rPr>
          <w:rFonts w:hint="eastAsia"/>
          <w:sz w:val="30"/>
          <w:szCs w:val="30"/>
        </w:rPr>
      </w:pPr>
      <w:r>
        <w:rPr>
          <w:rFonts w:hint="eastAsia"/>
          <w:sz w:val="30"/>
          <w:szCs w:val="30"/>
        </w:rPr>
        <w:t>Moreover, this includes a great many Messianic prophecies, such as those predicting the details of Christ’s incarnation, birth, miraculous ministry to Israel, triumphal entry, rejection, death, and resurrection.”</w:t>
      </w:r>
    </w:p>
    <w:p w14:paraId="5F044081">
      <w:pPr>
        <w:pStyle w:val="9"/>
        <w:spacing w:before="0"/>
        <w:ind w:left="0"/>
        <w:jc w:val="left"/>
        <w:rPr>
          <w:rFonts w:hint="eastAsia"/>
          <w:sz w:val="30"/>
          <w:szCs w:val="30"/>
        </w:rPr>
      </w:pPr>
    </w:p>
    <w:p w14:paraId="22028869">
      <w:pPr>
        <w:pStyle w:val="9"/>
        <w:spacing w:before="0"/>
        <w:ind w:left="0"/>
        <w:jc w:val="left"/>
        <w:rPr>
          <w:rFonts w:hint="eastAsia"/>
          <w:sz w:val="30"/>
          <w:szCs w:val="30"/>
        </w:rPr>
      </w:pPr>
      <w:r>
        <w:rPr>
          <w:rFonts w:hint="eastAsia"/>
          <w:sz w:val="30"/>
          <w:szCs w:val="30"/>
        </w:rPr>
        <w:t>此外，这包括了许多弥赛亚的预言，例如那些预言基督道成肉身、诞生、对以色列施行神迹的职事、荣入圣城、被弃、受死和复活之细节的预言。”</w:t>
      </w:r>
    </w:p>
    <w:p w14:paraId="1260AC9B">
      <w:pPr>
        <w:pStyle w:val="9"/>
        <w:spacing w:before="0"/>
        <w:ind w:left="0"/>
        <w:jc w:val="left"/>
        <w:rPr>
          <w:rFonts w:hint="eastAsia"/>
          <w:sz w:val="30"/>
          <w:szCs w:val="30"/>
        </w:rPr>
      </w:pPr>
    </w:p>
    <w:p w14:paraId="2D26226B">
      <w:pPr>
        <w:pStyle w:val="9"/>
        <w:spacing w:before="0"/>
        <w:ind w:left="0"/>
        <w:jc w:val="left"/>
        <w:rPr>
          <w:rFonts w:hint="eastAsia"/>
          <w:sz w:val="30"/>
          <w:szCs w:val="30"/>
        </w:rPr>
      </w:pPr>
      <w:r>
        <w:rPr>
          <w:rFonts w:hint="eastAsia"/>
          <w:sz w:val="30"/>
          <w:szCs w:val="30"/>
        </w:rPr>
        <w:t>I do not believe I have ever met a Christian who has not felt the force of this argument, an argument that is both reasonable and commendable.</w:t>
      </w:r>
    </w:p>
    <w:p w14:paraId="3824062E">
      <w:pPr>
        <w:pStyle w:val="9"/>
        <w:spacing w:before="0"/>
        <w:ind w:left="0"/>
        <w:jc w:val="left"/>
        <w:rPr>
          <w:rFonts w:hint="eastAsia"/>
          <w:sz w:val="30"/>
          <w:szCs w:val="30"/>
        </w:rPr>
      </w:pPr>
    </w:p>
    <w:p w14:paraId="7620CAC5">
      <w:pPr>
        <w:pStyle w:val="9"/>
        <w:spacing w:before="0"/>
        <w:ind w:left="0"/>
        <w:jc w:val="left"/>
        <w:rPr>
          <w:rFonts w:hint="eastAsia"/>
          <w:sz w:val="30"/>
          <w:szCs w:val="30"/>
        </w:rPr>
      </w:pPr>
      <w:r>
        <w:rPr>
          <w:rFonts w:hint="eastAsia"/>
          <w:sz w:val="30"/>
          <w:szCs w:val="30"/>
        </w:rPr>
        <w:t>我相信我从未遇见过一个没有感受到这个论点之力量的基督徒，这个论点既合理又值得称赞。</w:t>
      </w:r>
    </w:p>
    <w:p w14:paraId="1EEDE4F4">
      <w:pPr>
        <w:pStyle w:val="9"/>
        <w:spacing w:before="0"/>
        <w:ind w:left="0"/>
        <w:jc w:val="left"/>
        <w:rPr>
          <w:rFonts w:hint="eastAsia"/>
          <w:sz w:val="30"/>
          <w:szCs w:val="30"/>
        </w:rPr>
      </w:pPr>
    </w:p>
    <w:p w14:paraId="6AA98513">
      <w:pPr>
        <w:pStyle w:val="9"/>
        <w:spacing w:before="0"/>
        <w:ind w:left="0"/>
        <w:jc w:val="left"/>
        <w:rPr>
          <w:rFonts w:hint="eastAsia"/>
          <w:sz w:val="30"/>
          <w:szCs w:val="30"/>
        </w:rPr>
      </w:pPr>
      <w:r>
        <w:rPr>
          <w:rFonts w:hint="eastAsia"/>
          <w:sz w:val="30"/>
          <w:szCs w:val="30"/>
        </w:rPr>
        <w:t>It is reasonable because no one can deny that many OT prophecies have indeed been literally fulfilled.</w:t>
      </w:r>
    </w:p>
    <w:p w14:paraId="7AE54213">
      <w:pPr>
        <w:pStyle w:val="9"/>
        <w:spacing w:before="0"/>
        <w:ind w:left="0"/>
        <w:jc w:val="left"/>
        <w:rPr>
          <w:rFonts w:hint="eastAsia"/>
          <w:sz w:val="30"/>
          <w:szCs w:val="30"/>
        </w:rPr>
      </w:pPr>
    </w:p>
    <w:p w14:paraId="02F0C123">
      <w:pPr>
        <w:pStyle w:val="9"/>
        <w:spacing w:before="0"/>
        <w:ind w:left="0"/>
        <w:jc w:val="left"/>
        <w:rPr>
          <w:rFonts w:hint="eastAsia"/>
          <w:sz w:val="30"/>
          <w:szCs w:val="30"/>
        </w:rPr>
      </w:pPr>
      <w:r>
        <w:rPr>
          <w:rFonts w:hint="eastAsia"/>
          <w:sz w:val="30"/>
          <w:szCs w:val="30"/>
        </w:rPr>
        <w:t>它之所以合理，是因为没有人能否认许多旧约预言确实已按字面意义应验。</w:t>
      </w:r>
    </w:p>
    <w:p w14:paraId="57E75BFC">
      <w:pPr>
        <w:pStyle w:val="9"/>
        <w:spacing w:before="0"/>
        <w:ind w:left="0"/>
        <w:jc w:val="left"/>
        <w:rPr>
          <w:rFonts w:hint="eastAsia"/>
          <w:sz w:val="30"/>
          <w:szCs w:val="30"/>
        </w:rPr>
      </w:pPr>
    </w:p>
    <w:p w14:paraId="1578FD09">
      <w:pPr>
        <w:pStyle w:val="9"/>
        <w:spacing w:before="0"/>
        <w:ind w:left="0"/>
        <w:jc w:val="left"/>
        <w:rPr>
          <w:rFonts w:hint="eastAsia"/>
          <w:sz w:val="30"/>
          <w:szCs w:val="30"/>
        </w:rPr>
      </w:pPr>
      <w:r>
        <w:rPr>
          <w:rFonts w:hint="eastAsia"/>
          <w:sz w:val="30"/>
          <w:szCs w:val="30"/>
        </w:rPr>
        <w:t>And it is commendable because it displays a fierce loyalty, not only to the divine inspiration of the Bible, but also to what theologians call the “perspicuity”—or clarity—of Holy Scripture.</w:t>
      </w:r>
    </w:p>
    <w:p w14:paraId="4848422F">
      <w:pPr>
        <w:pStyle w:val="9"/>
        <w:spacing w:before="0"/>
        <w:ind w:left="0"/>
        <w:jc w:val="left"/>
        <w:rPr>
          <w:rFonts w:hint="eastAsia"/>
          <w:sz w:val="30"/>
          <w:szCs w:val="30"/>
        </w:rPr>
      </w:pPr>
    </w:p>
    <w:p w14:paraId="1798590C">
      <w:pPr>
        <w:pStyle w:val="9"/>
        <w:spacing w:before="0"/>
        <w:ind w:left="0"/>
        <w:jc w:val="left"/>
        <w:rPr>
          <w:rFonts w:hint="eastAsia"/>
          <w:sz w:val="30"/>
          <w:szCs w:val="30"/>
        </w:rPr>
      </w:pPr>
      <w:r>
        <w:rPr>
          <w:rFonts w:hint="eastAsia"/>
          <w:sz w:val="30"/>
          <w:szCs w:val="30"/>
        </w:rPr>
        <w:t>它之所以值得称赞，是因为它不仅表现出对圣经神圣默示的强烈忠诚，也表现出对神学家所谓的圣经“清晰性”的忠诚。</w:t>
      </w:r>
    </w:p>
    <w:p w14:paraId="715B50BD">
      <w:pPr>
        <w:pStyle w:val="9"/>
        <w:spacing w:before="0"/>
        <w:ind w:left="0"/>
        <w:jc w:val="left"/>
        <w:rPr>
          <w:rFonts w:hint="eastAsia"/>
          <w:sz w:val="30"/>
          <w:szCs w:val="30"/>
        </w:rPr>
      </w:pPr>
    </w:p>
    <w:p w14:paraId="650586E0">
      <w:pPr>
        <w:pStyle w:val="9"/>
        <w:spacing w:before="0"/>
        <w:ind w:left="0"/>
        <w:jc w:val="left"/>
        <w:rPr>
          <w:rFonts w:hint="eastAsia"/>
          <w:sz w:val="30"/>
          <w:szCs w:val="30"/>
        </w:rPr>
      </w:pPr>
      <w:r>
        <w:rPr>
          <w:rFonts w:hint="eastAsia"/>
          <w:sz w:val="30"/>
          <w:szCs w:val="30"/>
        </w:rPr>
        <w:t>The premise here is that God, in giving us a revelation of his truth, actually desires us to understand it, and so, as a general rule, couches it in straightforward language that his people should straightforwardly receive.</w:t>
      </w:r>
    </w:p>
    <w:p w14:paraId="5E41AEF5">
      <w:pPr>
        <w:pStyle w:val="9"/>
        <w:spacing w:before="0"/>
        <w:ind w:left="0"/>
        <w:jc w:val="left"/>
        <w:rPr>
          <w:rFonts w:hint="eastAsia"/>
          <w:sz w:val="30"/>
          <w:szCs w:val="30"/>
        </w:rPr>
      </w:pPr>
    </w:p>
    <w:p w14:paraId="114E59B4">
      <w:pPr>
        <w:pStyle w:val="9"/>
        <w:spacing w:before="0"/>
        <w:ind w:left="0"/>
        <w:jc w:val="left"/>
        <w:rPr>
          <w:rFonts w:hint="eastAsia"/>
          <w:sz w:val="30"/>
          <w:szCs w:val="30"/>
        </w:rPr>
      </w:pPr>
      <w:r>
        <w:rPr>
          <w:rFonts w:hint="eastAsia"/>
          <w:sz w:val="30"/>
          <w:szCs w:val="30"/>
        </w:rPr>
        <w:t>这里的预设是，神在赐给我们祂真理的启示时，实际上是渴望我们能理解它，因此，作为一条普遍规则，祂会用直白的语言来表达，祂的子民也应当直白地领受。</w:t>
      </w:r>
    </w:p>
    <w:p w14:paraId="62081622">
      <w:pPr>
        <w:pStyle w:val="9"/>
        <w:spacing w:before="0"/>
        <w:ind w:left="0"/>
        <w:jc w:val="left"/>
        <w:rPr>
          <w:rFonts w:hint="eastAsia"/>
          <w:sz w:val="30"/>
          <w:szCs w:val="30"/>
        </w:rPr>
      </w:pPr>
    </w:p>
    <w:p w14:paraId="338B5C01">
      <w:pPr>
        <w:pStyle w:val="9"/>
        <w:spacing w:before="0"/>
        <w:ind w:left="0"/>
        <w:jc w:val="left"/>
        <w:rPr>
          <w:rFonts w:hint="eastAsia"/>
          <w:sz w:val="30"/>
          <w:szCs w:val="30"/>
        </w:rPr>
      </w:pPr>
      <w:r>
        <w:rPr>
          <w:rFonts w:hint="eastAsia"/>
          <w:sz w:val="30"/>
          <w:szCs w:val="30"/>
        </w:rPr>
        <w:t>Again, it is hard to deny this premise.</w:t>
      </w:r>
    </w:p>
    <w:p w14:paraId="59AD40A2">
      <w:pPr>
        <w:pStyle w:val="9"/>
        <w:spacing w:before="0"/>
        <w:ind w:left="0"/>
        <w:jc w:val="left"/>
        <w:rPr>
          <w:rFonts w:hint="eastAsia"/>
          <w:sz w:val="30"/>
          <w:szCs w:val="30"/>
        </w:rPr>
      </w:pPr>
    </w:p>
    <w:p w14:paraId="053621FA">
      <w:pPr>
        <w:pStyle w:val="9"/>
        <w:spacing w:before="0"/>
        <w:ind w:left="0"/>
        <w:jc w:val="left"/>
        <w:rPr>
          <w:rFonts w:hint="eastAsia"/>
          <w:sz w:val="30"/>
          <w:szCs w:val="30"/>
        </w:rPr>
      </w:pPr>
      <w:r>
        <w:rPr>
          <w:rFonts w:hint="eastAsia"/>
          <w:sz w:val="30"/>
          <w:szCs w:val="30"/>
        </w:rPr>
        <w:t>再次强调，这个预设是难以否认的。</w:t>
      </w:r>
    </w:p>
    <w:p w14:paraId="06036FE8">
      <w:pPr>
        <w:pStyle w:val="9"/>
        <w:spacing w:before="0"/>
        <w:ind w:left="0"/>
        <w:jc w:val="left"/>
        <w:rPr>
          <w:rFonts w:hint="eastAsia"/>
          <w:sz w:val="30"/>
          <w:szCs w:val="30"/>
        </w:rPr>
      </w:pPr>
    </w:p>
    <w:p w14:paraId="1C0A778C">
      <w:pPr>
        <w:pStyle w:val="9"/>
        <w:spacing w:before="0"/>
        <w:ind w:left="0"/>
        <w:jc w:val="left"/>
        <w:rPr>
          <w:rFonts w:hint="eastAsia"/>
          <w:sz w:val="30"/>
          <w:szCs w:val="30"/>
        </w:rPr>
      </w:pPr>
      <w:r>
        <w:rPr>
          <w:rFonts w:hint="eastAsia"/>
          <w:sz w:val="30"/>
          <w:szCs w:val="30"/>
        </w:rPr>
        <w:t>Nevertheless, a big problem remains for the prophetic literalist.</w:t>
      </w:r>
    </w:p>
    <w:p w14:paraId="18A98DA4">
      <w:pPr>
        <w:pStyle w:val="9"/>
        <w:spacing w:before="0"/>
        <w:ind w:left="0"/>
        <w:jc w:val="left"/>
        <w:rPr>
          <w:rFonts w:hint="eastAsia"/>
          <w:sz w:val="30"/>
          <w:szCs w:val="30"/>
        </w:rPr>
      </w:pPr>
    </w:p>
    <w:p w14:paraId="14827BDD">
      <w:pPr>
        <w:pStyle w:val="9"/>
        <w:spacing w:before="0"/>
        <w:ind w:left="0"/>
        <w:jc w:val="left"/>
        <w:rPr>
          <w:rFonts w:hint="eastAsia"/>
          <w:sz w:val="30"/>
          <w:szCs w:val="30"/>
        </w:rPr>
      </w:pPr>
      <w:r>
        <w:rPr>
          <w:rFonts w:hint="eastAsia"/>
          <w:sz w:val="30"/>
          <w:szCs w:val="30"/>
        </w:rPr>
        <w:t>然而，对预言字面主义者来说，一个大问题依然存在。</w:t>
      </w:r>
    </w:p>
    <w:p w14:paraId="6B1FC1A0">
      <w:pPr>
        <w:pStyle w:val="9"/>
        <w:spacing w:before="0"/>
        <w:ind w:left="0"/>
        <w:jc w:val="left"/>
        <w:rPr>
          <w:rFonts w:hint="eastAsia"/>
          <w:sz w:val="30"/>
          <w:szCs w:val="30"/>
        </w:rPr>
      </w:pPr>
    </w:p>
    <w:p w14:paraId="51B01B07">
      <w:pPr>
        <w:pStyle w:val="9"/>
        <w:spacing w:before="0"/>
        <w:ind w:left="0"/>
        <w:jc w:val="left"/>
        <w:rPr>
          <w:rFonts w:hint="eastAsia"/>
          <w:sz w:val="30"/>
          <w:szCs w:val="30"/>
        </w:rPr>
      </w:pPr>
      <w:r>
        <w:rPr>
          <w:rFonts w:hint="eastAsia"/>
          <w:sz w:val="30"/>
          <w:szCs w:val="30"/>
        </w:rPr>
        <w:t>It is this: If OTKP really is to be interpreted literally, how is it that the Lord Jesus, who definitely welcomes all who believe in him into the Kingdom of God, does not insist that they live under the Mosaic Law?</w:t>
      </w:r>
    </w:p>
    <w:p w14:paraId="1A564660">
      <w:pPr>
        <w:pStyle w:val="9"/>
        <w:spacing w:before="0"/>
        <w:ind w:left="0"/>
        <w:jc w:val="left"/>
        <w:rPr>
          <w:rFonts w:hint="eastAsia"/>
          <w:sz w:val="30"/>
          <w:szCs w:val="30"/>
        </w:rPr>
      </w:pPr>
    </w:p>
    <w:p w14:paraId="10DD80A1">
      <w:pPr>
        <w:pStyle w:val="9"/>
        <w:spacing w:before="0"/>
        <w:ind w:left="0"/>
        <w:jc w:val="left"/>
        <w:rPr>
          <w:rFonts w:hint="eastAsia"/>
          <w:sz w:val="30"/>
          <w:szCs w:val="30"/>
        </w:rPr>
      </w:pPr>
      <w:r>
        <w:rPr>
          <w:rFonts w:hint="eastAsia"/>
          <w:sz w:val="30"/>
          <w:szCs w:val="30"/>
        </w:rPr>
        <w:t>就是：如果旧约国度预言真的要按字面意义解释，为何主耶稣，祂确确实实欢迎所有信祂的人进入神的国，却没有坚持他们要生活在摩西律法之下？</w:t>
      </w:r>
    </w:p>
    <w:p w14:paraId="03D365DB">
      <w:pPr>
        <w:pStyle w:val="9"/>
        <w:spacing w:before="0"/>
        <w:ind w:left="0"/>
        <w:jc w:val="left"/>
        <w:rPr>
          <w:rFonts w:hint="eastAsia"/>
          <w:sz w:val="30"/>
          <w:szCs w:val="30"/>
        </w:rPr>
      </w:pPr>
    </w:p>
    <w:p w14:paraId="141BF371">
      <w:pPr>
        <w:pStyle w:val="9"/>
        <w:spacing w:before="0"/>
        <w:ind w:left="0"/>
        <w:jc w:val="left"/>
        <w:rPr>
          <w:rFonts w:hint="eastAsia"/>
          <w:sz w:val="30"/>
          <w:szCs w:val="30"/>
        </w:rPr>
      </w:pPr>
      <w:r>
        <w:rPr>
          <w:rFonts w:hint="eastAsia"/>
          <w:sz w:val="30"/>
          <w:szCs w:val="30"/>
        </w:rPr>
        <w:t>Indeed, how is it that both he and his holy apostles and prophets effectively divorced God’s NT people from Judaism, placing them under a completely different—and decidedly non-theocratic—set of institutions (e.g., preaching, teaching, baptism, the Lord’s Supper, Church discipline, etc.)?</w:t>
      </w:r>
    </w:p>
    <w:p w14:paraId="24B1A26E">
      <w:pPr>
        <w:pStyle w:val="9"/>
        <w:spacing w:before="0"/>
        <w:ind w:left="0"/>
        <w:jc w:val="left"/>
        <w:rPr>
          <w:rFonts w:hint="eastAsia"/>
          <w:sz w:val="30"/>
          <w:szCs w:val="30"/>
        </w:rPr>
      </w:pPr>
    </w:p>
    <w:p w14:paraId="3AEE4242">
      <w:pPr>
        <w:pStyle w:val="9"/>
        <w:spacing w:before="0"/>
        <w:ind w:left="0"/>
        <w:jc w:val="left"/>
        <w:rPr>
          <w:rFonts w:hint="eastAsia"/>
          <w:sz w:val="30"/>
          <w:szCs w:val="30"/>
        </w:rPr>
      </w:pPr>
      <w:r>
        <w:rPr>
          <w:rFonts w:hint="eastAsia"/>
          <w:sz w:val="30"/>
          <w:szCs w:val="30"/>
        </w:rPr>
        <w:t>的确，为何祂和祂的圣使徒和申言者们，都有效地使神的新约子民脱离了犹太教，将他们置于一套完全不同的——并且是决然非神权政体的——制度之下（例如，讲道、教导、浸礼、主的晚餐、教会纪律等）？</w:t>
      </w:r>
    </w:p>
    <w:p w14:paraId="57F7FED4">
      <w:pPr>
        <w:pStyle w:val="9"/>
        <w:spacing w:before="0"/>
        <w:ind w:left="0"/>
        <w:jc w:val="left"/>
        <w:rPr>
          <w:rFonts w:hint="eastAsia"/>
          <w:sz w:val="30"/>
          <w:szCs w:val="30"/>
        </w:rPr>
      </w:pPr>
    </w:p>
    <w:p w14:paraId="31BAC564">
      <w:pPr>
        <w:pStyle w:val="9"/>
        <w:spacing w:before="0"/>
        <w:ind w:left="0"/>
        <w:jc w:val="left"/>
        <w:rPr>
          <w:rFonts w:hint="eastAsia"/>
          <w:sz w:val="30"/>
          <w:szCs w:val="30"/>
        </w:rPr>
      </w:pPr>
      <w:r>
        <w:rPr>
          <w:rFonts w:hint="eastAsia"/>
          <w:sz w:val="30"/>
          <w:szCs w:val="30"/>
        </w:rPr>
        <w:t>For over 2000 years the spiritual citizens of Christ’s Kingdom, following the rule of the NT to the best of their ability, have never yet felt compelled or warranted to institute anything like the Representative OT Idea of the Kingdom.</w:t>
      </w:r>
    </w:p>
    <w:p w14:paraId="362BA4C0">
      <w:pPr>
        <w:pStyle w:val="9"/>
        <w:spacing w:before="0"/>
        <w:ind w:left="0"/>
        <w:jc w:val="left"/>
        <w:rPr>
          <w:rFonts w:hint="eastAsia"/>
          <w:sz w:val="30"/>
          <w:szCs w:val="30"/>
        </w:rPr>
      </w:pPr>
    </w:p>
    <w:p w14:paraId="2B3C852E">
      <w:pPr>
        <w:pStyle w:val="9"/>
        <w:spacing w:before="0"/>
        <w:ind w:left="0"/>
        <w:jc w:val="left"/>
        <w:rPr>
          <w:rFonts w:hint="eastAsia"/>
          <w:sz w:val="30"/>
          <w:szCs w:val="30"/>
        </w:rPr>
      </w:pPr>
      <w:r>
        <w:rPr>
          <w:rFonts w:hint="eastAsia"/>
          <w:sz w:val="30"/>
          <w:szCs w:val="30"/>
        </w:rPr>
        <w:t>两千多年来，基督国度的属灵公民，尽其所能地遵循新约的规则，从未感到有必要或有根据去建立任何类似旧约对国度的代表性观念那样的东西。</w:t>
      </w:r>
    </w:p>
    <w:p w14:paraId="1EF9638F">
      <w:pPr>
        <w:pStyle w:val="9"/>
        <w:spacing w:before="0"/>
        <w:ind w:left="0"/>
        <w:jc w:val="left"/>
        <w:rPr>
          <w:rFonts w:hint="eastAsia"/>
          <w:sz w:val="30"/>
          <w:szCs w:val="30"/>
        </w:rPr>
      </w:pPr>
    </w:p>
    <w:p w14:paraId="3AFDC6A6">
      <w:pPr>
        <w:pStyle w:val="9"/>
        <w:spacing w:before="0"/>
        <w:ind w:left="0"/>
        <w:jc w:val="left"/>
        <w:rPr>
          <w:rFonts w:hint="eastAsia"/>
          <w:sz w:val="30"/>
          <w:szCs w:val="30"/>
        </w:rPr>
      </w:pPr>
      <w:r>
        <w:rPr>
          <w:rFonts w:hint="eastAsia"/>
          <w:sz w:val="30"/>
          <w:szCs w:val="30"/>
        </w:rPr>
        <w:t>How then, for the prophetic literalist, are the OT prophecies embodying that idea to be fulfilled?</w:t>
      </w:r>
    </w:p>
    <w:p w14:paraId="7268CA26">
      <w:pPr>
        <w:pStyle w:val="9"/>
        <w:spacing w:before="0"/>
        <w:ind w:left="0"/>
        <w:jc w:val="left"/>
        <w:rPr>
          <w:rFonts w:hint="eastAsia"/>
          <w:sz w:val="30"/>
          <w:szCs w:val="30"/>
        </w:rPr>
      </w:pPr>
    </w:p>
    <w:p w14:paraId="530AB2F9">
      <w:pPr>
        <w:pStyle w:val="9"/>
        <w:spacing w:before="0"/>
        <w:ind w:left="0"/>
        <w:jc w:val="left"/>
        <w:rPr>
          <w:rFonts w:hint="eastAsia"/>
          <w:sz w:val="30"/>
          <w:szCs w:val="30"/>
        </w:rPr>
      </w:pPr>
      <w:r>
        <w:rPr>
          <w:rFonts w:hint="eastAsia"/>
          <w:sz w:val="30"/>
          <w:szCs w:val="30"/>
        </w:rPr>
        <w:t>那么，对于预言字面主义者来说，那些体现了那种观念的旧约预言将如何应验呢？</w:t>
      </w:r>
    </w:p>
    <w:p w14:paraId="7F44618A">
      <w:pPr>
        <w:pStyle w:val="9"/>
        <w:spacing w:before="0"/>
        <w:ind w:left="0"/>
        <w:jc w:val="left"/>
        <w:rPr>
          <w:rFonts w:hint="eastAsia"/>
          <w:sz w:val="30"/>
          <w:szCs w:val="30"/>
        </w:rPr>
      </w:pPr>
    </w:p>
    <w:p w14:paraId="1CB9399F">
      <w:pPr>
        <w:pStyle w:val="9"/>
        <w:spacing w:before="0"/>
        <w:ind w:left="0"/>
        <w:jc w:val="left"/>
        <w:rPr>
          <w:rFonts w:hint="eastAsia"/>
          <w:sz w:val="30"/>
          <w:szCs w:val="30"/>
        </w:rPr>
      </w:pPr>
      <w:r>
        <w:rPr>
          <w:rFonts w:hint="eastAsia"/>
          <w:sz w:val="30"/>
          <w:szCs w:val="30"/>
        </w:rPr>
        <w:t>The answer, of course, is precisely what it would have to be in order to retain even a semblance of the divine inspiration and truthfulness of Scripture: The OT prophecies of a future theocratic Kingdom are literally fulfilled, not in the present Church era, but in another era altogether; an era that will follow the Church era; an era in which God, for wise reasons, will revert, at least in a measure, to the institutions of the OT Law.</w:t>
      </w:r>
    </w:p>
    <w:p w14:paraId="198CE407">
      <w:pPr>
        <w:pStyle w:val="9"/>
        <w:spacing w:before="0"/>
        <w:ind w:left="0"/>
        <w:jc w:val="left"/>
        <w:rPr>
          <w:rFonts w:hint="eastAsia"/>
          <w:sz w:val="30"/>
          <w:szCs w:val="30"/>
        </w:rPr>
      </w:pPr>
    </w:p>
    <w:p w14:paraId="4639DF4D">
      <w:pPr>
        <w:pStyle w:val="9"/>
        <w:spacing w:before="0"/>
        <w:ind w:left="0"/>
        <w:jc w:val="left"/>
        <w:rPr>
          <w:rFonts w:hint="eastAsia"/>
          <w:sz w:val="30"/>
          <w:szCs w:val="30"/>
        </w:rPr>
      </w:pPr>
      <w:r>
        <w:rPr>
          <w:rFonts w:hint="eastAsia"/>
          <w:sz w:val="30"/>
          <w:szCs w:val="30"/>
        </w:rPr>
        <w:t>答案，当然，正是为了保持圣经的神圣默示和真实性哪怕一丝一毫的外表所必须的答案：关于未来神权政体国度的旧约预言，是按字面意义应验的，但不是在现今的教会时代，而是在一个完全不同的时代；一个将跟随教会时代的时代；一个神出于智慧的缘故，将至少在某种程度上，回归到旧约律法之制度的时代。</w:t>
      </w:r>
    </w:p>
    <w:p w14:paraId="75CFA2C4">
      <w:pPr>
        <w:pStyle w:val="9"/>
        <w:spacing w:before="0"/>
        <w:ind w:left="0"/>
        <w:jc w:val="left"/>
        <w:rPr>
          <w:rFonts w:hint="eastAsia"/>
          <w:sz w:val="30"/>
          <w:szCs w:val="30"/>
        </w:rPr>
      </w:pPr>
    </w:p>
    <w:p w14:paraId="09D30695">
      <w:pPr>
        <w:pStyle w:val="9"/>
        <w:spacing w:before="0"/>
        <w:ind w:left="0"/>
        <w:jc w:val="left"/>
        <w:rPr>
          <w:rFonts w:hint="eastAsia"/>
          <w:sz w:val="30"/>
          <w:szCs w:val="30"/>
        </w:rPr>
      </w:pPr>
      <w:r>
        <w:rPr>
          <w:rFonts w:hint="eastAsia"/>
          <w:sz w:val="30"/>
          <w:szCs w:val="30"/>
        </w:rPr>
        <w:t>And this, at long last, brings us to the second underlying issue in the Great End Time Debate, which is …</w:t>
      </w:r>
    </w:p>
    <w:p w14:paraId="71D4F93E">
      <w:pPr>
        <w:pStyle w:val="9"/>
        <w:spacing w:before="0"/>
        <w:ind w:left="0"/>
        <w:jc w:val="left"/>
        <w:rPr>
          <w:rFonts w:hint="eastAsia"/>
          <w:sz w:val="30"/>
          <w:szCs w:val="30"/>
        </w:rPr>
      </w:pPr>
    </w:p>
    <w:p w14:paraId="10B6FA25">
      <w:pPr>
        <w:pStyle w:val="9"/>
        <w:spacing w:before="0"/>
        <w:ind w:left="0"/>
        <w:jc w:val="left"/>
        <w:rPr>
          <w:rFonts w:hint="eastAsia"/>
          <w:sz w:val="30"/>
          <w:szCs w:val="30"/>
        </w:rPr>
      </w:pPr>
      <w:r>
        <w:rPr>
          <w:rFonts w:hint="eastAsia"/>
          <w:sz w:val="30"/>
          <w:szCs w:val="30"/>
        </w:rPr>
        <w:t>而这，终于将我们带到了末世大辩论中的第二个根本性议题，那就是……</w:t>
      </w:r>
    </w:p>
    <w:p w14:paraId="2DBEE9DF">
      <w:pPr>
        <w:pStyle w:val="9"/>
        <w:spacing w:before="0"/>
        <w:ind w:left="0"/>
        <w:jc w:val="left"/>
        <w:rPr>
          <w:rFonts w:hint="eastAsia"/>
          <w:sz w:val="30"/>
          <w:szCs w:val="30"/>
        </w:rPr>
      </w:pPr>
    </w:p>
    <w:p w14:paraId="4D26DF41">
      <w:pPr>
        <w:pStyle w:val="9"/>
        <w:spacing w:before="0"/>
        <w:ind w:left="0"/>
        <w:jc w:val="left"/>
        <w:rPr>
          <w:rFonts w:hint="eastAsia"/>
          <w:sz w:val="30"/>
          <w:szCs w:val="30"/>
        </w:rPr>
      </w:pPr>
      <w:r>
        <w:rPr>
          <w:rFonts w:hint="eastAsia"/>
          <w:sz w:val="30"/>
          <w:szCs w:val="30"/>
        </w:rPr>
        <w:t>2.The Millennium</w:t>
      </w:r>
    </w:p>
    <w:p w14:paraId="4AD926E8">
      <w:pPr>
        <w:pStyle w:val="9"/>
        <w:spacing w:before="0"/>
        <w:ind w:left="0"/>
        <w:jc w:val="left"/>
        <w:rPr>
          <w:rFonts w:hint="eastAsia"/>
          <w:sz w:val="30"/>
          <w:szCs w:val="30"/>
        </w:rPr>
      </w:pPr>
    </w:p>
    <w:p w14:paraId="7EC6FED4">
      <w:pPr>
        <w:pStyle w:val="9"/>
        <w:spacing w:before="0"/>
        <w:ind w:left="0"/>
        <w:jc w:val="left"/>
        <w:rPr>
          <w:rFonts w:hint="eastAsia"/>
          <w:sz w:val="30"/>
          <w:szCs w:val="30"/>
        </w:rPr>
      </w:pPr>
      <w:r>
        <w:rPr>
          <w:rFonts w:hint="eastAsia"/>
          <w:sz w:val="30"/>
          <w:szCs w:val="30"/>
        </w:rPr>
        <w:t>2.千禧年</w:t>
      </w:r>
    </w:p>
    <w:p w14:paraId="262444B3">
      <w:pPr>
        <w:pStyle w:val="9"/>
        <w:spacing w:before="0"/>
        <w:ind w:left="0"/>
        <w:jc w:val="left"/>
        <w:rPr>
          <w:rFonts w:hint="eastAsia"/>
          <w:sz w:val="30"/>
          <w:szCs w:val="30"/>
        </w:rPr>
      </w:pPr>
    </w:p>
    <w:p w14:paraId="124E1B56">
      <w:pPr>
        <w:pStyle w:val="9"/>
        <w:spacing w:before="0"/>
        <w:ind w:left="0"/>
        <w:jc w:val="left"/>
        <w:rPr>
          <w:rFonts w:hint="eastAsia"/>
          <w:sz w:val="30"/>
          <w:szCs w:val="30"/>
        </w:rPr>
      </w:pPr>
      <w:r>
        <w:rPr>
          <w:rFonts w:hint="eastAsia"/>
          <w:sz w:val="30"/>
          <w:szCs w:val="30"/>
        </w:rPr>
        <w:t>Only once in all of Scripture do we find mention of a thousand year reign of the Messiah: in chapter 20 of the Revelation.</w:t>
      </w:r>
    </w:p>
    <w:p w14:paraId="68D67CA6">
      <w:pPr>
        <w:pStyle w:val="9"/>
        <w:spacing w:before="0"/>
        <w:ind w:left="0"/>
        <w:jc w:val="left"/>
        <w:rPr>
          <w:rFonts w:hint="eastAsia"/>
          <w:sz w:val="30"/>
          <w:szCs w:val="30"/>
        </w:rPr>
      </w:pPr>
    </w:p>
    <w:p w14:paraId="1BF3EEEC">
      <w:pPr>
        <w:pStyle w:val="9"/>
        <w:spacing w:before="0"/>
        <w:ind w:left="0"/>
        <w:jc w:val="left"/>
        <w:rPr>
          <w:rFonts w:hint="eastAsia"/>
          <w:sz w:val="30"/>
          <w:szCs w:val="30"/>
        </w:rPr>
      </w:pPr>
      <w:r>
        <w:rPr>
          <w:rFonts w:hint="eastAsia"/>
          <w:sz w:val="30"/>
          <w:szCs w:val="30"/>
        </w:rPr>
        <w:t>在整本圣经中，我们只在启示录第20章找到一次对弥赛亚一千年统治的提及。</w:t>
      </w:r>
    </w:p>
    <w:p w14:paraId="32FD25BF">
      <w:pPr>
        <w:pStyle w:val="9"/>
        <w:spacing w:before="0"/>
        <w:ind w:left="0"/>
        <w:jc w:val="left"/>
        <w:rPr>
          <w:rFonts w:hint="eastAsia"/>
          <w:sz w:val="30"/>
          <w:szCs w:val="30"/>
        </w:rPr>
      </w:pPr>
    </w:p>
    <w:p w14:paraId="7BB6348C">
      <w:pPr>
        <w:pStyle w:val="9"/>
        <w:spacing w:before="0"/>
        <w:ind w:left="0"/>
        <w:jc w:val="left"/>
        <w:rPr>
          <w:rFonts w:hint="eastAsia"/>
          <w:sz w:val="30"/>
          <w:szCs w:val="30"/>
        </w:rPr>
      </w:pPr>
      <w:r>
        <w:rPr>
          <w:rFonts w:hint="eastAsia"/>
          <w:sz w:val="30"/>
          <w:szCs w:val="30"/>
        </w:rPr>
        <w:t>But what a huge theological ruckus that little chapter has raised!</w:t>
      </w:r>
    </w:p>
    <w:p w14:paraId="3C917D75">
      <w:pPr>
        <w:pStyle w:val="9"/>
        <w:spacing w:before="0"/>
        <w:ind w:left="0"/>
        <w:jc w:val="left"/>
        <w:rPr>
          <w:rFonts w:hint="eastAsia"/>
          <w:sz w:val="30"/>
          <w:szCs w:val="30"/>
        </w:rPr>
      </w:pPr>
    </w:p>
    <w:p w14:paraId="37A1A4AC">
      <w:pPr>
        <w:pStyle w:val="9"/>
        <w:spacing w:before="0"/>
        <w:ind w:left="0"/>
        <w:jc w:val="left"/>
        <w:rPr>
          <w:rFonts w:hint="eastAsia"/>
          <w:sz w:val="30"/>
          <w:szCs w:val="30"/>
        </w:rPr>
      </w:pPr>
      <w:r>
        <w:rPr>
          <w:rFonts w:hint="eastAsia"/>
          <w:sz w:val="30"/>
          <w:szCs w:val="30"/>
        </w:rPr>
        <w:t>但那一小章经文却引起了何等巨大的神学骚动！</w:t>
      </w:r>
    </w:p>
    <w:p w14:paraId="65E41AD8">
      <w:pPr>
        <w:pStyle w:val="9"/>
        <w:spacing w:before="0"/>
        <w:ind w:left="0"/>
        <w:jc w:val="left"/>
        <w:rPr>
          <w:rFonts w:hint="eastAsia"/>
          <w:sz w:val="30"/>
          <w:szCs w:val="30"/>
        </w:rPr>
      </w:pPr>
    </w:p>
    <w:p w14:paraId="1E67ED8C">
      <w:pPr>
        <w:pStyle w:val="9"/>
        <w:spacing w:before="0"/>
        <w:ind w:left="0"/>
        <w:jc w:val="left"/>
        <w:rPr>
          <w:rFonts w:hint="eastAsia"/>
          <w:sz w:val="30"/>
          <w:szCs w:val="30"/>
        </w:rPr>
      </w:pPr>
      <w:r>
        <w:rPr>
          <w:rFonts w:hint="eastAsia"/>
          <w:sz w:val="30"/>
          <w:szCs w:val="30"/>
        </w:rPr>
        <w:t>In part, this is because interpreting it has proven difficult.</w:t>
      </w:r>
    </w:p>
    <w:p w14:paraId="2DA0C022">
      <w:pPr>
        <w:pStyle w:val="9"/>
        <w:spacing w:before="0"/>
        <w:ind w:left="0"/>
        <w:jc w:val="left"/>
        <w:rPr>
          <w:rFonts w:hint="eastAsia"/>
          <w:sz w:val="30"/>
          <w:szCs w:val="30"/>
        </w:rPr>
      </w:pPr>
    </w:p>
    <w:p w14:paraId="05BAE73C">
      <w:pPr>
        <w:pStyle w:val="9"/>
        <w:spacing w:before="0"/>
        <w:ind w:left="0"/>
        <w:jc w:val="left"/>
        <w:rPr>
          <w:rFonts w:hint="eastAsia"/>
          <w:sz w:val="30"/>
          <w:szCs w:val="30"/>
        </w:rPr>
      </w:pPr>
      <w:r>
        <w:rPr>
          <w:rFonts w:hint="eastAsia"/>
          <w:sz w:val="30"/>
          <w:szCs w:val="30"/>
        </w:rPr>
        <w:t>部分原因在于，解释它已被证明是困难的。</w:t>
      </w:r>
    </w:p>
    <w:p w14:paraId="5408CC9E">
      <w:pPr>
        <w:pStyle w:val="9"/>
        <w:spacing w:before="0"/>
        <w:ind w:left="0"/>
        <w:jc w:val="left"/>
        <w:rPr>
          <w:rFonts w:hint="eastAsia"/>
          <w:sz w:val="30"/>
          <w:szCs w:val="30"/>
        </w:rPr>
      </w:pPr>
    </w:p>
    <w:p w14:paraId="77F02D6E">
      <w:pPr>
        <w:pStyle w:val="9"/>
        <w:spacing w:before="0"/>
        <w:ind w:left="0"/>
        <w:jc w:val="left"/>
        <w:rPr>
          <w:rFonts w:hint="eastAsia"/>
          <w:sz w:val="30"/>
          <w:szCs w:val="30"/>
        </w:rPr>
      </w:pPr>
      <w:r>
        <w:rPr>
          <w:rFonts w:hint="eastAsia"/>
          <w:sz w:val="30"/>
          <w:szCs w:val="30"/>
        </w:rPr>
        <w:t>Is John speaking of a literal thousand years, or is this number, like so many other images in the Revelation, a symbol?</w:t>
      </w:r>
    </w:p>
    <w:p w14:paraId="2A4604D4">
      <w:pPr>
        <w:pStyle w:val="9"/>
        <w:spacing w:before="0"/>
        <w:ind w:left="0"/>
        <w:jc w:val="left"/>
        <w:rPr>
          <w:rFonts w:hint="eastAsia"/>
          <w:sz w:val="30"/>
          <w:szCs w:val="30"/>
        </w:rPr>
      </w:pPr>
    </w:p>
    <w:p w14:paraId="6C34882F">
      <w:pPr>
        <w:pStyle w:val="9"/>
        <w:spacing w:before="0"/>
        <w:ind w:left="0"/>
        <w:jc w:val="left"/>
        <w:rPr>
          <w:rFonts w:hint="eastAsia"/>
          <w:sz w:val="30"/>
          <w:szCs w:val="30"/>
        </w:rPr>
      </w:pPr>
      <w:r>
        <w:rPr>
          <w:rFonts w:hint="eastAsia"/>
          <w:sz w:val="30"/>
          <w:szCs w:val="30"/>
        </w:rPr>
        <w:t>约翰说的是字面意义上的一千年，还是这个数字，像启示录中许多其他意象一样，是一个象征？</w:t>
      </w:r>
    </w:p>
    <w:p w14:paraId="284AFA68">
      <w:pPr>
        <w:pStyle w:val="9"/>
        <w:spacing w:before="0"/>
        <w:ind w:left="0"/>
        <w:jc w:val="left"/>
        <w:rPr>
          <w:rFonts w:hint="eastAsia"/>
          <w:sz w:val="30"/>
          <w:szCs w:val="30"/>
        </w:rPr>
      </w:pPr>
    </w:p>
    <w:p w14:paraId="3087836D">
      <w:pPr>
        <w:pStyle w:val="9"/>
        <w:spacing w:before="0"/>
        <w:ind w:left="0"/>
        <w:jc w:val="left"/>
        <w:rPr>
          <w:rFonts w:hint="eastAsia"/>
          <w:sz w:val="30"/>
          <w:szCs w:val="30"/>
        </w:rPr>
      </w:pPr>
      <w:r>
        <w:rPr>
          <w:rFonts w:hint="eastAsia"/>
          <w:sz w:val="30"/>
          <w:szCs w:val="30"/>
        </w:rPr>
        <w:t>Does this reign of Christ occur after his second coming or before it?</w:t>
      </w:r>
    </w:p>
    <w:p w14:paraId="26C42032">
      <w:pPr>
        <w:pStyle w:val="9"/>
        <w:spacing w:before="0"/>
        <w:ind w:left="0"/>
        <w:jc w:val="left"/>
        <w:rPr>
          <w:rFonts w:hint="eastAsia"/>
          <w:sz w:val="30"/>
          <w:szCs w:val="30"/>
        </w:rPr>
      </w:pPr>
    </w:p>
    <w:p w14:paraId="1978C1C9">
      <w:pPr>
        <w:pStyle w:val="9"/>
        <w:spacing w:before="0"/>
        <w:ind w:left="0"/>
        <w:jc w:val="left"/>
        <w:rPr>
          <w:rFonts w:hint="eastAsia"/>
          <w:sz w:val="30"/>
          <w:szCs w:val="30"/>
        </w:rPr>
      </w:pPr>
      <w:r>
        <w:rPr>
          <w:rFonts w:hint="eastAsia"/>
          <w:sz w:val="30"/>
          <w:szCs w:val="30"/>
        </w:rPr>
        <w:t>基督的这次统治是发生在祂第二次降临之后还是之前？</w:t>
      </w:r>
    </w:p>
    <w:p w14:paraId="03D962D8">
      <w:pPr>
        <w:pStyle w:val="9"/>
        <w:spacing w:before="0"/>
        <w:ind w:left="0"/>
        <w:jc w:val="left"/>
        <w:rPr>
          <w:rFonts w:hint="eastAsia"/>
          <w:sz w:val="30"/>
          <w:szCs w:val="30"/>
        </w:rPr>
      </w:pPr>
    </w:p>
    <w:p w14:paraId="2F2C1DE2">
      <w:pPr>
        <w:pStyle w:val="9"/>
        <w:spacing w:before="0"/>
        <w:ind w:left="0"/>
        <w:jc w:val="left"/>
        <w:rPr>
          <w:rFonts w:hint="eastAsia"/>
          <w:sz w:val="30"/>
          <w:szCs w:val="30"/>
        </w:rPr>
      </w:pPr>
      <w:r>
        <w:rPr>
          <w:rFonts w:hint="eastAsia"/>
          <w:sz w:val="30"/>
          <w:szCs w:val="30"/>
        </w:rPr>
        <w:t>What of “the first resurrection” mentioned here: Is it physical or spiritual?</w:t>
      </w:r>
    </w:p>
    <w:p w14:paraId="75E56B9D">
      <w:pPr>
        <w:pStyle w:val="9"/>
        <w:spacing w:before="0"/>
        <w:ind w:left="0"/>
        <w:jc w:val="left"/>
        <w:rPr>
          <w:rFonts w:hint="eastAsia"/>
          <w:sz w:val="30"/>
          <w:szCs w:val="30"/>
        </w:rPr>
      </w:pPr>
    </w:p>
    <w:p w14:paraId="28683E33">
      <w:pPr>
        <w:pStyle w:val="9"/>
        <w:spacing w:before="0"/>
        <w:ind w:left="0"/>
        <w:jc w:val="left"/>
        <w:rPr>
          <w:rFonts w:hint="eastAsia"/>
          <w:sz w:val="30"/>
          <w:szCs w:val="30"/>
        </w:rPr>
      </w:pPr>
      <w:r>
        <w:rPr>
          <w:rFonts w:hint="eastAsia"/>
          <w:sz w:val="30"/>
          <w:szCs w:val="30"/>
        </w:rPr>
        <w:t>这里提到的“第一次复活”又如何：是肉身的还是属灵的？</w:t>
      </w:r>
    </w:p>
    <w:p w14:paraId="039FD6AF">
      <w:pPr>
        <w:pStyle w:val="9"/>
        <w:spacing w:before="0"/>
        <w:ind w:left="0"/>
        <w:jc w:val="left"/>
        <w:rPr>
          <w:rFonts w:hint="eastAsia"/>
          <w:sz w:val="30"/>
          <w:szCs w:val="30"/>
        </w:rPr>
      </w:pPr>
    </w:p>
    <w:p w14:paraId="3277298D">
      <w:pPr>
        <w:pStyle w:val="9"/>
        <w:spacing w:before="0"/>
        <w:ind w:left="0"/>
        <w:jc w:val="left"/>
        <w:rPr>
          <w:rFonts w:hint="eastAsia"/>
          <w:sz w:val="30"/>
          <w:szCs w:val="30"/>
        </w:rPr>
      </w:pPr>
      <w:r>
        <w:rPr>
          <w:rFonts w:hint="eastAsia"/>
          <w:sz w:val="30"/>
          <w:szCs w:val="30"/>
        </w:rPr>
        <w:t>Do Christ and his saints reign in heaven or upon the earth?</w:t>
      </w:r>
    </w:p>
    <w:p w14:paraId="5F1B685D">
      <w:pPr>
        <w:pStyle w:val="9"/>
        <w:spacing w:before="0"/>
        <w:ind w:left="0"/>
        <w:jc w:val="left"/>
        <w:rPr>
          <w:rFonts w:hint="eastAsia"/>
          <w:sz w:val="30"/>
          <w:szCs w:val="30"/>
        </w:rPr>
      </w:pPr>
    </w:p>
    <w:p w14:paraId="4D68E301">
      <w:pPr>
        <w:pStyle w:val="9"/>
        <w:spacing w:before="0"/>
        <w:ind w:left="0"/>
        <w:jc w:val="left"/>
        <w:rPr>
          <w:rFonts w:hint="eastAsia"/>
          <w:sz w:val="30"/>
          <w:szCs w:val="30"/>
        </w:rPr>
      </w:pPr>
      <w:r>
        <w:rPr>
          <w:rFonts w:hint="eastAsia"/>
          <w:sz w:val="30"/>
          <w:szCs w:val="30"/>
        </w:rPr>
        <w:t>基督和祂的圣徒是在天上还是在地上作王？</w:t>
      </w:r>
    </w:p>
    <w:p w14:paraId="5A1EF56D">
      <w:pPr>
        <w:pStyle w:val="9"/>
        <w:spacing w:before="0"/>
        <w:ind w:left="0"/>
        <w:jc w:val="left"/>
        <w:rPr>
          <w:rFonts w:hint="eastAsia"/>
          <w:sz w:val="30"/>
          <w:szCs w:val="30"/>
        </w:rPr>
      </w:pPr>
    </w:p>
    <w:p w14:paraId="1BCA58B3">
      <w:pPr>
        <w:pStyle w:val="9"/>
        <w:spacing w:before="0"/>
        <w:ind w:left="0"/>
        <w:jc w:val="left"/>
        <w:rPr>
          <w:rFonts w:hint="eastAsia"/>
          <w:sz w:val="30"/>
          <w:szCs w:val="30"/>
        </w:rPr>
      </w:pPr>
      <w:r>
        <w:rPr>
          <w:rFonts w:hint="eastAsia"/>
          <w:sz w:val="30"/>
          <w:szCs w:val="30"/>
        </w:rPr>
        <w:t>And what exactly is it that they reign over?</w:t>
      </w:r>
    </w:p>
    <w:p w14:paraId="5047BE6B">
      <w:pPr>
        <w:pStyle w:val="9"/>
        <w:spacing w:before="0"/>
        <w:ind w:left="0"/>
        <w:jc w:val="left"/>
        <w:rPr>
          <w:rFonts w:hint="eastAsia"/>
          <w:sz w:val="30"/>
          <w:szCs w:val="30"/>
        </w:rPr>
      </w:pPr>
    </w:p>
    <w:p w14:paraId="678A4EDD">
      <w:pPr>
        <w:pStyle w:val="9"/>
        <w:spacing w:before="0"/>
        <w:ind w:left="0"/>
        <w:jc w:val="left"/>
        <w:rPr>
          <w:rFonts w:hint="eastAsia"/>
          <w:sz w:val="30"/>
          <w:szCs w:val="30"/>
        </w:rPr>
      </w:pPr>
      <w:r>
        <w:rPr>
          <w:rFonts w:hint="eastAsia"/>
          <w:sz w:val="30"/>
          <w:szCs w:val="30"/>
        </w:rPr>
        <w:t>他们究竟统治什么？</w:t>
      </w:r>
    </w:p>
    <w:p w14:paraId="227B1BBB">
      <w:pPr>
        <w:pStyle w:val="9"/>
        <w:spacing w:before="0"/>
        <w:ind w:left="0"/>
        <w:jc w:val="left"/>
        <w:rPr>
          <w:rFonts w:hint="eastAsia"/>
          <w:sz w:val="30"/>
          <w:szCs w:val="30"/>
        </w:rPr>
      </w:pPr>
    </w:p>
    <w:p w14:paraId="083D4768">
      <w:pPr>
        <w:pStyle w:val="9"/>
        <w:spacing w:before="0"/>
        <w:ind w:left="0"/>
        <w:jc w:val="left"/>
        <w:rPr>
          <w:rFonts w:hint="eastAsia"/>
          <w:sz w:val="30"/>
          <w:szCs w:val="30"/>
        </w:rPr>
      </w:pPr>
      <w:r>
        <w:rPr>
          <w:rFonts w:hint="eastAsia"/>
          <w:sz w:val="30"/>
          <w:szCs w:val="30"/>
        </w:rPr>
        <w:t>These are only a few of the questions over which earnest interpreters divide, making it quite difficult for the Church at large to fit this particular scriptural piece into the overall eschatological puzzle.</w:t>
      </w:r>
    </w:p>
    <w:p w14:paraId="33E0BD3F">
      <w:pPr>
        <w:pStyle w:val="9"/>
        <w:spacing w:before="0"/>
        <w:ind w:left="0"/>
        <w:jc w:val="left"/>
        <w:rPr>
          <w:rFonts w:hint="eastAsia"/>
          <w:sz w:val="30"/>
          <w:szCs w:val="30"/>
        </w:rPr>
      </w:pPr>
    </w:p>
    <w:p w14:paraId="6DDC6DF1">
      <w:pPr>
        <w:pStyle w:val="9"/>
        <w:spacing w:before="0"/>
        <w:ind w:left="0"/>
        <w:jc w:val="left"/>
        <w:rPr>
          <w:rFonts w:hint="eastAsia"/>
          <w:sz w:val="30"/>
          <w:szCs w:val="30"/>
        </w:rPr>
      </w:pPr>
      <w:r>
        <w:rPr>
          <w:rFonts w:hint="eastAsia"/>
          <w:sz w:val="30"/>
          <w:szCs w:val="30"/>
        </w:rPr>
        <w:t>这些只是热心的解释者们产生分歧的少数几个问题，这使得整个教会很难将这块特定的圣经碎片拼入整个末世论的拼图中。</w:t>
      </w:r>
    </w:p>
    <w:p w14:paraId="128FC308">
      <w:pPr>
        <w:pStyle w:val="9"/>
        <w:spacing w:before="0"/>
        <w:ind w:left="0"/>
        <w:jc w:val="left"/>
        <w:rPr>
          <w:rFonts w:hint="eastAsia"/>
          <w:sz w:val="30"/>
          <w:szCs w:val="30"/>
        </w:rPr>
      </w:pPr>
    </w:p>
    <w:p w14:paraId="19DEC830">
      <w:pPr>
        <w:pStyle w:val="9"/>
        <w:spacing w:before="0"/>
        <w:ind w:left="0"/>
        <w:jc w:val="left"/>
        <w:rPr>
          <w:rFonts w:hint="eastAsia"/>
          <w:sz w:val="30"/>
          <w:szCs w:val="30"/>
        </w:rPr>
      </w:pPr>
      <w:r>
        <w:rPr>
          <w:rFonts w:hint="eastAsia"/>
          <w:sz w:val="30"/>
          <w:szCs w:val="30"/>
        </w:rPr>
        <w:t>It is crucial to understand, however, that the primary reason for the controversy over Revelation 20 is not found in the chapter itself.</w:t>
      </w:r>
    </w:p>
    <w:p w14:paraId="1E65D93E">
      <w:pPr>
        <w:pStyle w:val="9"/>
        <w:spacing w:before="0"/>
        <w:ind w:left="0"/>
        <w:jc w:val="left"/>
        <w:rPr>
          <w:rFonts w:hint="eastAsia"/>
          <w:sz w:val="30"/>
          <w:szCs w:val="30"/>
        </w:rPr>
      </w:pPr>
    </w:p>
    <w:p w14:paraId="04380F76">
      <w:pPr>
        <w:pStyle w:val="9"/>
        <w:spacing w:before="0"/>
        <w:ind w:left="0"/>
        <w:jc w:val="left"/>
        <w:rPr>
          <w:rFonts w:hint="eastAsia"/>
          <w:sz w:val="30"/>
          <w:szCs w:val="30"/>
        </w:rPr>
      </w:pPr>
      <w:r>
        <w:rPr>
          <w:rFonts w:hint="eastAsia"/>
          <w:sz w:val="30"/>
          <w:szCs w:val="30"/>
        </w:rPr>
        <w:t>然而，至关重要的是要理解，关于启示录20章的争议，其主要原因并不在该章本身。</w:t>
      </w:r>
    </w:p>
    <w:p w14:paraId="7889E441">
      <w:pPr>
        <w:pStyle w:val="9"/>
        <w:spacing w:before="0"/>
        <w:ind w:left="0"/>
        <w:jc w:val="left"/>
        <w:rPr>
          <w:rFonts w:hint="eastAsia"/>
          <w:sz w:val="30"/>
          <w:szCs w:val="30"/>
        </w:rPr>
      </w:pPr>
    </w:p>
    <w:p w14:paraId="20AFC27C">
      <w:pPr>
        <w:pStyle w:val="9"/>
        <w:spacing w:before="0"/>
        <w:ind w:left="0"/>
        <w:jc w:val="left"/>
        <w:rPr>
          <w:rFonts w:hint="eastAsia"/>
          <w:sz w:val="30"/>
          <w:szCs w:val="30"/>
        </w:rPr>
      </w:pPr>
      <w:r>
        <w:rPr>
          <w:rFonts w:hint="eastAsia"/>
          <w:sz w:val="30"/>
          <w:szCs w:val="30"/>
        </w:rPr>
        <w:t>Rather, it is found in the vast treasury of OT prophecies that promote the Representative Idea of the Kingdom; that seem to anticipate a Mosaic theocracy centered in Palestine.</w:t>
      </w:r>
    </w:p>
    <w:p w14:paraId="7A87DCB2">
      <w:pPr>
        <w:pStyle w:val="9"/>
        <w:spacing w:before="0"/>
        <w:ind w:left="0"/>
        <w:jc w:val="left"/>
        <w:rPr>
          <w:rFonts w:hint="eastAsia"/>
          <w:sz w:val="30"/>
          <w:szCs w:val="30"/>
        </w:rPr>
      </w:pPr>
    </w:p>
    <w:p w14:paraId="2D7A8B35">
      <w:pPr>
        <w:pStyle w:val="9"/>
        <w:spacing w:before="0"/>
        <w:ind w:left="0"/>
        <w:jc w:val="left"/>
        <w:rPr>
          <w:rFonts w:hint="eastAsia"/>
          <w:sz w:val="30"/>
          <w:szCs w:val="30"/>
        </w:rPr>
      </w:pPr>
      <w:r>
        <w:rPr>
          <w:rFonts w:hint="eastAsia"/>
          <w:sz w:val="30"/>
          <w:szCs w:val="30"/>
        </w:rPr>
        <w:t>相反，它存在于推广对国度之代表性观念的、浩如烟海的旧约预言宝库中；这些预言似乎预示着一个以巴勒斯坦为中心的摩西式神权政体。</w:t>
      </w:r>
    </w:p>
    <w:p w14:paraId="240E5D73">
      <w:pPr>
        <w:pStyle w:val="9"/>
        <w:spacing w:before="0"/>
        <w:ind w:left="0"/>
        <w:jc w:val="left"/>
        <w:rPr>
          <w:rFonts w:hint="eastAsia"/>
          <w:sz w:val="30"/>
          <w:szCs w:val="30"/>
        </w:rPr>
      </w:pPr>
    </w:p>
    <w:p w14:paraId="770775F1">
      <w:pPr>
        <w:pStyle w:val="9"/>
        <w:spacing w:before="0"/>
        <w:ind w:left="0"/>
        <w:jc w:val="left"/>
        <w:rPr>
          <w:rFonts w:hint="eastAsia"/>
          <w:sz w:val="30"/>
          <w:szCs w:val="30"/>
        </w:rPr>
      </w:pPr>
      <w:r>
        <w:rPr>
          <w:rFonts w:hint="eastAsia"/>
          <w:sz w:val="30"/>
          <w:szCs w:val="30"/>
        </w:rPr>
        <w:t>Now it is obvious that those who favor a literal interpretation of such prophecies must find a slot in the Timeline of Salvation History wherein they can be literally fulfilled.</w:t>
      </w:r>
    </w:p>
    <w:p w14:paraId="2B1AE9EE">
      <w:pPr>
        <w:pStyle w:val="9"/>
        <w:spacing w:before="0"/>
        <w:ind w:left="0"/>
        <w:jc w:val="left"/>
        <w:rPr>
          <w:rFonts w:hint="eastAsia"/>
          <w:sz w:val="30"/>
          <w:szCs w:val="30"/>
        </w:rPr>
      </w:pPr>
    </w:p>
    <w:p w14:paraId="41821D20">
      <w:pPr>
        <w:pStyle w:val="9"/>
        <w:spacing w:before="0"/>
        <w:ind w:left="0"/>
        <w:jc w:val="left"/>
        <w:rPr>
          <w:rFonts w:hint="eastAsia"/>
          <w:sz w:val="30"/>
          <w:szCs w:val="30"/>
        </w:rPr>
      </w:pPr>
      <w:r>
        <w:rPr>
          <w:rFonts w:hint="eastAsia"/>
          <w:sz w:val="30"/>
          <w:szCs w:val="30"/>
        </w:rPr>
        <w:t>现在很明显，那些赞成按字面意义解释此类预言的人，必须在救赎历史的时间线上找到一个位置，让这些预言可以按字面意义应验。</w:t>
      </w:r>
    </w:p>
    <w:p w14:paraId="00230787">
      <w:pPr>
        <w:pStyle w:val="9"/>
        <w:spacing w:before="0"/>
        <w:ind w:left="0"/>
        <w:jc w:val="left"/>
        <w:rPr>
          <w:rFonts w:hint="eastAsia"/>
          <w:sz w:val="30"/>
          <w:szCs w:val="30"/>
        </w:rPr>
      </w:pPr>
    </w:p>
    <w:p w14:paraId="53A6B25F">
      <w:pPr>
        <w:pStyle w:val="9"/>
        <w:spacing w:before="0"/>
        <w:ind w:left="0"/>
        <w:jc w:val="left"/>
        <w:rPr>
          <w:rFonts w:hint="eastAsia"/>
          <w:sz w:val="30"/>
          <w:szCs w:val="30"/>
        </w:rPr>
      </w:pPr>
      <w:r>
        <w:rPr>
          <w:rFonts w:hint="eastAsia"/>
          <w:sz w:val="30"/>
          <w:szCs w:val="30"/>
        </w:rPr>
        <w:t>Or, to state the case a bit more precisely, it is obvious that they must find room in Salvation History for a specifically “theocratic” stage of the Kingdom of God.</w:t>
      </w:r>
    </w:p>
    <w:p w14:paraId="406D60B1">
      <w:pPr>
        <w:pStyle w:val="9"/>
        <w:spacing w:before="0"/>
        <w:ind w:left="0"/>
        <w:jc w:val="left"/>
        <w:rPr>
          <w:rFonts w:hint="eastAsia"/>
          <w:sz w:val="30"/>
          <w:szCs w:val="30"/>
        </w:rPr>
      </w:pPr>
    </w:p>
    <w:p w14:paraId="280F8669">
      <w:pPr>
        <w:pStyle w:val="9"/>
        <w:spacing w:before="0"/>
        <w:ind w:left="0"/>
        <w:jc w:val="left"/>
        <w:rPr>
          <w:rFonts w:hint="eastAsia"/>
          <w:sz w:val="30"/>
          <w:szCs w:val="30"/>
        </w:rPr>
      </w:pPr>
      <w:r>
        <w:rPr>
          <w:rFonts w:hint="eastAsia"/>
          <w:sz w:val="30"/>
          <w:szCs w:val="30"/>
        </w:rPr>
        <w:t>或者，更精确地说，很明显他们必须在救赎历史中为神的国一个特定的“神权政体”阶段找到空间。</w:t>
      </w:r>
    </w:p>
    <w:p w14:paraId="168725B2">
      <w:pPr>
        <w:pStyle w:val="9"/>
        <w:spacing w:before="0"/>
        <w:ind w:left="0"/>
        <w:jc w:val="left"/>
        <w:rPr>
          <w:rFonts w:hint="eastAsia"/>
          <w:sz w:val="30"/>
          <w:szCs w:val="30"/>
        </w:rPr>
      </w:pPr>
    </w:p>
    <w:p w14:paraId="5632F377">
      <w:pPr>
        <w:pStyle w:val="9"/>
        <w:spacing w:before="0"/>
        <w:ind w:left="0"/>
        <w:jc w:val="left"/>
        <w:rPr>
          <w:rFonts w:hint="eastAsia"/>
          <w:sz w:val="30"/>
          <w:szCs w:val="30"/>
        </w:rPr>
      </w:pPr>
      <w:r>
        <w:rPr>
          <w:rFonts w:hint="eastAsia"/>
          <w:sz w:val="30"/>
          <w:szCs w:val="30"/>
        </w:rPr>
        <w:t>Furthermore, it is a matter of considerable urgency that these interpreters find an explicit NT warrant for believing that God has indeed planned such a stage.</w:t>
      </w:r>
    </w:p>
    <w:p w14:paraId="44743253">
      <w:pPr>
        <w:pStyle w:val="9"/>
        <w:spacing w:before="0"/>
        <w:ind w:left="0"/>
        <w:jc w:val="left"/>
        <w:rPr>
          <w:rFonts w:hint="eastAsia"/>
          <w:sz w:val="30"/>
          <w:szCs w:val="30"/>
        </w:rPr>
      </w:pPr>
    </w:p>
    <w:p w14:paraId="564D596D">
      <w:pPr>
        <w:pStyle w:val="9"/>
        <w:spacing w:before="0"/>
        <w:ind w:left="0"/>
        <w:jc w:val="left"/>
        <w:rPr>
          <w:rFonts w:hint="eastAsia"/>
          <w:sz w:val="30"/>
          <w:szCs w:val="30"/>
        </w:rPr>
      </w:pPr>
      <w:r>
        <w:rPr>
          <w:rFonts w:hint="eastAsia"/>
          <w:sz w:val="30"/>
          <w:szCs w:val="30"/>
        </w:rPr>
        <w:t>此外，对于这些解释者来说，找到一个明确的新约根据来相信神确实计划了这样一个阶段，是一件相当紧迫的事情。</w:t>
      </w:r>
    </w:p>
    <w:p w14:paraId="6892AC68">
      <w:pPr>
        <w:pStyle w:val="9"/>
        <w:spacing w:before="0"/>
        <w:ind w:left="0"/>
        <w:jc w:val="left"/>
        <w:rPr>
          <w:rFonts w:hint="eastAsia"/>
          <w:sz w:val="30"/>
          <w:szCs w:val="30"/>
        </w:rPr>
      </w:pPr>
    </w:p>
    <w:p w14:paraId="6580EBF4">
      <w:pPr>
        <w:pStyle w:val="9"/>
        <w:spacing w:before="0"/>
        <w:ind w:left="0"/>
        <w:jc w:val="left"/>
        <w:rPr>
          <w:rFonts w:hint="eastAsia"/>
          <w:sz w:val="30"/>
          <w:szCs w:val="30"/>
        </w:rPr>
      </w:pPr>
      <w:r>
        <w:rPr>
          <w:rFonts w:hint="eastAsia"/>
          <w:sz w:val="30"/>
          <w:szCs w:val="30"/>
        </w:rPr>
        <w:t>For as we have just seen, in the present Church Era he certainly is not calling his New Covenant people to live under a Jewish theocracy!</w:t>
      </w:r>
    </w:p>
    <w:p w14:paraId="79B64556">
      <w:pPr>
        <w:pStyle w:val="9"/>
        <w:spacing w:before="0"/>
        <w:ind w:left="0"/>
        <w:jc w:val="left"/>
        <w:rPr>
          <w:rFonts w:hint="eastAsia"/>
          <w:sz w:val="30"/>
          <w:szCs w:val="30"/>
        </w:rPr>
      </w:pPr>
    </w:p>
    <w:p w14:paraId="289DCC16">
      <w:pPr>
        <w:pStyle w:val="9"/>
        <w:spacing w:before="0"/>
        <w:ind w:left="0"/>
        <w:jc w:val="left"/>
        <w:rPr>
          <w:rFonts w:hint="eastAsia"/>
          <w:sz w:val="30"/>
          <w:szCs w:val="30"/>
        </w:rPr>
      </w:pPr>
      <w:r>
        <w:rPr>
          <w:rFonts w:hint="eastAsia"/>
          <w:sz w:val="30"/>
          <w:szCs w:val="30"/>
        </w:rPr>
        <w:t>因为正如我们刚才所见，在现今的教会时代，祂当然没有呼召祂的新约子民生活在一个犹太神权政体之下！</w:t>
      </w:r>
    </w:p>
    <w:p w14:paraId="4BB616CF">
      <w:pPr>
        <w:pStyle w:val="9"/>
        <w:spacing w:before="0"/>
        <w:ind w:left="0"/>
        <w:jc w:val="left"/>
        <w:rPr>
          <w:rFonts w:hint="eastAsia"/>
          <w:sz w:val="30"/>
          <w:szCs w:val="30"/>
        </w:rPr>
      </w:pPr>
    </w:p>
    <w:p w14:paraId="0671211E">
      <w:pPr>
        <w:pStyle w:val="9"/>
        <w:spacing w:before="0"/>
        <w:ind w:left="0"/>
        <w:jc w:val="left"/>
        <w:rPr>
          <w:rFonts w:hint="eastAsia"/>
          <w:sz w:val="30"/>
          <w:szCs w:val="30"/>
        </w:rPr>
      </w:pPr>
      <w:r>
        <w:rPr>
          <w:rFonts w:hint="eastAsia"/>
          <w:sz w:val="30"/>
          <w:szCs w:val="30"/>
        </w:rPr>
        <w:t>Indeed, the overall teaching of the gospels and epistles is decidedly hostile to any suggestion of a reversion to the now-fulfilled and now-obsolete institutions of the Mosaic Law.</w:t>
      </w:r>
    </w:p>
    <w:p w14:paraId="4046515C">
      <w:pPr>
        <w:pStyle w:val="9"/>
        <w:spacing w:before="0"/>
        <w:ind w:left="0"/>
        <w:jc w:val="left"/>
        <w:rPr>
          <w:rFonts w:hint="eastAsia"/>
          <w:sz w:val="30"/>
          <w:szCs w:val="30"/>
        </w:rPr>
      </w:pPr>
    </w:p>
    <w:p w14:paraId="3CC18D0B">
      <w:pPr>
        <w:pStyle w:val="9"/>
        <w:spacing w:before="0"/>
        <w:ind w:left="0"/>
        <w:jc w:val="left"/>
        <w:rPr>
          <w:rFonts w:hint="eastAsia"/>
          <w:sz w:val="30"/>
          <w:szCs w:val="30"/>
        </w:rPr>
      </w:pPr>
      <w:r>
        <w:rPr>
          <w:rFonts w:hint="eastAsia"/>
          <w:sz w:val="30"/>
          <w:szCs w:val="30"/>
        </w:rPr>
        <w:t>的确，福音书和书信的整体教导，对任何回归到现已成全且现已过时的摩西律法制度的建议，都持决然敌对的态度。</w:t>
      </w:r>
    </w:p>
    <w:p w14:paraId="253D111D">
      <w:pPr>
        <w:pStyle w:val="9"/>
        <w:spacing w:before="0"/>
        <w:ind w:left="0"/>
        <w:jc w:val="left"/>
        <w:rPr>
          <w:rFonts w:hint="eastAsia"/>
          <w:sz w:val="30"/>
          <w:szCs w:val="30"/>
        </w:rPr>
      </w:pPr>
    </w:p>
    <w:p w14:paraId="700F5260">
      <w:pPr>
        <w:pStyle w:val="9"/>
        <w:spacing w:before="0"/>
        <w:ind w:left="0"/>
        <w:jc w:val="left"/>
        <w:rPr>
          <w:rFonts w:hint="eastAsia"/>
          <w:sz w:val="30"/>
          <w:szCs w:val="30"/>
        </w:rPr>
      </w:pPr>
      <w:r>
        <w:rPr>
          <w:rFonts w:hint="eastAsia"/>
          <w:sz w:val="30"/>
          <w:szCs w:val="30"/>
        </w:rPr>
        <w:t>So then, OT prophetic literalists are in a big NT pinch!</w:t>
      </w:r>
    </w:p>
    <w:p w14:paraId="5F5B873D">
      <w:pPr>
        <w:pStyle w:val="9"/>
        <w:spacing w:before="0"/>
        <w:ind w:left="0"/>
        <w:jc w:val="left"/>
        <w:rPr>
          <w:rFonts w:hint="eastAsia"/>
          <w:sz w:val="30"/>
          <w:szCs w:val="30"/>
        </w:rPr>
      </w:pPr>
    </w:p>
    <w:p w14:paraId="076560AB">
      <w:pPr>
        <w:pStyle w:val="9"/>
        <w:spacing w:before="0"/>
        <w:ind w:left="0"/>
        <w:jc w:val="left"/>
        <w:rPr>
          <w:rFonts w:hint="eastAsia"/>
          <w:sz w:val="30"/>
          <w:szCs w:val="30"/>
        </w:rPr>
      </w:pPr>
      <w:r>
        <w:rPr>
          <w:rFonts w:hint="eastAsia"/>
          <w:sz w:val="30"/>
          <w:szCs w:val="30"/>
        </w:rPr>
        <w:t>所以，旧约预言字面主义者在新约上遇到了大麻烦！</w:t>
      </w:r>
    </w:p>
    <w:p w14:paraId="40F07396">
      <w:pPr>
        <w:pStyle w:val="9"/>
        <w:spacing w:before="0"/>
        <w:ind w:left="0"/>
        <w:jc w:val="left"/>
        <w:rPr>
          <w:rFonts w:hint="eastAsia"/>
          <w:sz w:val="30"/>
          <w:szCs w:val="30"/>
        </w:rPr>
      </w:pPr>
    </w:p>
    <w:p w14:paraId="46CB7FFA">
      <w:pPr>
        <w:pStyle w:val="9"/>
        <w:spacing w:before="0"/>
        <w:ind w:left="0"/>
        <w:jc w:val="left"/>
        <w:rPr>
          <w:rFonts w:hint="eastAsia"/>
          <w:sz w:val="30"/>
          <w:szCs w:val="30"/>
        </w:rPr>
      </w:pPr>
      <w:r>
        <w:rPr>
          <w:rFonts w:hint="eastAsia"/>
          <w:sz w:val="30"/>
          <w:szCs w:val="30"/>
        </w:rPr>
        <w:t>And this is why Revelation 20 is so important to them.</w:t>
      </w:r>
    </w:p>
    <w:p w14:paraId="1C0A3AC2">
      <w:pPr>
        <w:pStyle w:val="9"/>
        <w:spacing w:before="0"/>
        <w:ind w:left="0"/>
        <w:jc w:val="left"/>
        <w:rPr>
          <w:rFonts w:hint="eastAsia"/>
          <w:sz w:val="30"/>
          <w:szCs w:val="30"/>
        </w:rPr>
      </w:pPr>
    </w:p>
    <w:p w14:paraId="70A62F2C">
      <w:pPr>
        <w:pStyle w:val="9"/>
        <w:spacing w:before="0"/>
        <w:ind w:left="0"/>
        <w:jc w:val="left"/>
        <w:rPr>
          <w:rFonts w:hint="eastAsia"/>
          <w:sz w:val="30"/>
          <w:szCs w:val="30"/>
        </w:rPr>
      </w:pPr>
      <w:r>
        <w:rPr>
          <w:rFonts w:hint="eastAsia"/>
          <w:sz w:val="30"/>
          <w:szCs w:val="30"/>
        </w:rPr>
        <w:t>这就是为什么启示录20章对他们如此重要。</w:t>
      </w:r>
    </w:p>
    <w:p w14:paraId="2F3B75EF">
      <w:pPr>
        <w:pStyle w:val="9"/>
        <w:spacing w:before="0"/>
        <w:ind w:left="0"/>
        <w:jc w:val="left"/>
        <w:rPr>
          <w:rFonts w:hint="eastAsia"/>
          <w:sz w:val="30"/>
          <w:szCs w:val="30"/>
        </w:rPr>
      </w:pPr>
    </w:p>
    <w:p w14:paraId="566F4C4F">
      <w:pPr>
        <w:pStyle w:val="9"/>
        <w:spacing w:before="0"/>
        <w:ind w:left="0"/>
        <w:jc w:val="left"/>
        <w:rPr>
          <w:rFonts w:hint="eastAsia"/>
          <w:sz w:val="30"/>
          <w:szCs w:val="30"/>
        </w:rPr>
      </w:pPr>
      <w:r>
        <w:rPr>
          <w:rFonts w:hint="eastAsia"/>
          <w:sz w:val="30"/>
          <w:szCs w:val="30"/>
        </w:rPr>
        <w:t>Here, they argue, we find an explicit NT promise of a future phase of the Kingdom of God and Christ; a phase that will begin after the second coming of Christ at the end of the present Church Era; a literal thousand year reign of the Messiah, centered in an earthly Jerusalem; a millennial rule of Christ in which the OT prophecies of a theocratic Kingdom will at last be literally fulfilled.</w:t>
      </w:r>
    </w:p>
    <w:p w14:paraId="7E15A073">
      <w:pPr>
        <w:pStyle w:val="9"/>
        <w:spacing w:before="0"/>
        <w:ind w:left="0"/>
        <w:jc w:val="left"/>
        <w:rPr>
          <w:rFonts w:hint="eastAsia"/>
          <w:sz w:val="30"/>
          <w:szCs w:val="30"/>
        </w:rPr>
      </w:pPr>
    </w:p>
    <w:p w14:paraId="640EAAFC">
      <w:pPr>
        <w:pStyle w:val="9"/>
        <w:spacing w:before="0"/>
        <w:ind w:left="0"/>
        <w:jc w:val="left"/>
        <w:rPr>
          <w:rFonts w:hint="eastAsia"/>
          <w:sz w:val="30"/>
          <w:szCs w:val="30"/>
        </w:rPr>
      </w:pPr>
      <w:r>
        <w:rPr>
          <w:rFonts w:hint="eastAsia"/>
          <w:sz w:val="30"/>
          <w:szCs w:val="30"/>
        </w:rPr>
        <w:t>他们论证说，在这里，我们找到了一个明确的新约应许，关乎神和基督国度的一个未来阶段；这个阶段将在现今教会时代末了基督第二次降临之后开始；一个以属地耶路撒冷为中心的、弥赛亚字面上的一千年统治；一个基督的千年统治，在其中，关于神权政体国度的旧约预言将最终按字面意义应验。</w:t>
      </w:r>
    </w:p>
    <w:p w14:paraId="0FA4530F">
      <w:pPr>
        <w:pStyle w:val="9"/>
        <w:spacing w:before="0"/>
        <w:ind w:left="0"/>
        <w:jc w:val="left"/>
        <w:rPr>
          <w:rFonts w:hint="eastAsia"/>
          <w:sz w:val="30"/>
          <w:szCs w:val="30"/>
        </w:rPr>
      </w:pPr>
    </w:p>
    <w:p w14:paraId="27036AA0">
      <w:pPr>
        <w:pStyle w:val="9"/>
        <w:spacing w:before="0"/>
        <w:ind w:left="0"/>
        <w:jc w:val="left"/>
        <w:rPr>
          <w:rFonts w:hint="eastAsia"/>
          <w:sz w:val="30"/>
          <w:szCs w:val="30"/>
        </w:rPr>
      </w:pPr>
      <w:r>
        <w:rPr>
          <w:rFonts w:hint="eastAsia"/>
          <w:sz w:val="30"/>
          <w:szCs w:val="30"/>
        </w:rPr>
        <w:t>Since these interpreters argue that Christ will come again before this phase of the Kingdom, they are usually called premillennarians, and their eschatological school, premillennialism.</w:t>
      </w:r>
    </w:p>
    <w:p w14:paraId="1E3CF8BD">
      <w:pPr>
        <w:pStyle w:val="9"/>
        <w:spacing w:before="0"/>
        <w:ind w:left="0"/>
        <w:jc w:val="left"/>
        <w:rPr>
          <w:rFonts w:hint="eastAsia"/>
          <w:sz w:val="30"/>
          <w:szCs w:val="30"/>
        </w:rPr>
      </w:pPr>
    </w:p>
    <w:p w14:paraId="55A1AC46">
      <w:pPr>
        <w:pStyle w:val="9"/>
        <w:spacing w:before="0"/>
        <w:ind w:left="0"/>
        <w:jc w:val="left"/>
        <w:rPr>
          <w:rFonts w:hint="eastAsia"/>
          <w:sz w:val="30"/>
          <w:szCs w:val="30"/>
        </w:rPr>
      </w:pPr>
      <w:r>
        <w:rPr>
          <w:rFonts w:hint="eastAsia"/>
          <w:sz w:val="30"/>
          <w:szCs w:val="30"/>
        </w:rPr>
        <w:t>由于这些解释者主张基督将在国度的这个阶段之前再来，他们通常被称为前千禧年派，他们的末世论学派被称为前千禧年论。</w:t>
      </w:r>
    </w:p>
    <w:p w14:paraId="587222AE">
      <w:pPr>
        <w:pStyle w:val="9"/>
        <w:spacing w:before="0"/>
        <w:ind w:left="0"/>
        <w:jc w:val="left"/>
        <w:rPr>
          <w:rFonts w:hint="eastAsia"/>
          <w:sz w:val="30"/>
          <w:szCs w:val="30"/>
        </w:rPr>
      </w:pPr>
    </w:p>
    <w:p w14:paraId="2660C6E5">
      <w:pPr>
        <w:pStyle w:val="9"/>
        <w:spacing w:before="0"/>
        <w:ind w:left="0"/>
        <w:jc w:val="left"/>
        <w:rPr>
          <w:rFonts w:hint="eastAsia"/>
          <w:sz w:val="30"/>
          <w:szCs w:val="30"/>
        </w:rPr>
      </w:pPr>
      <w:r>
        <w:rPr>
          <w:rFonts w:hint="eastAsia"/>
          <w:sz w:val="30"/>
          <w:szCs w:val="30"/>
        </w:rPr>
        <w:t>Yes, premillennarians make a very big deal of the Millennium.</w:t>
      </w:r>
    </w:p>
    <w:p w14:paraId="7E5D455A">
      <w:pPr>
        <w:pStyle w:val="9"/>
        <w:spacing w:before="0"/>
        <w:ind w:left="0"/>
        <w:jc w:val="left"/>
        <w:rPr>
          <w:rFonts w:hint="eastAsia"/>
          <w:sz w:val="30"/>
          <w:szCs w:val="30"/>
        </w:rPr>
      </w:pPr>
    </w:p>
    <w:p w14:paraId="1C5D55AA">
      <w:pPr>
        <w:pStyle w:val="9"/>
        <w:spacing w:before="0"/>
        <w:ind w:left="0"/>
        <w:jc w:val="left"/>
        <w:rPr>
          <w:rFonts w:hint="eastAsia"/>
          <w:sz w:val="30"/>
          <w:szCs w:val="30"/>
        </w:rPr>
      </w:pPr>
      <w:r>
        <w:rPr>
          <w:rFonts w:hint="eastAsia"/>
          <w:sz w:val="30"/>
          <w:szCs w:val="30"/>
        </w:rPr>
        <w:t>是的，前千禧年派非常看重千禧年。</w:t>
      </w:r>
    </w:p>
    <w:p w14:paraId="4960FB81">
      <w:pPr>
        <w:pStyle w:val="9"/>
        <w:spacing w:before="0"/>
        <w:ind w:left="0"/>
        <w:jc w:val="left"/>
        <w:rPr>
          <w:rFonts w:hint="eastAsia"/>
          <w:sz w:val="30"/>
          <w:szCs w:val="30"/>
        </w:rPr>
      </w:pPr>
    </w:p>
    <w:p w14:paraId="1829C07C">
      <w:pPr>
        <w:pStyle w:val="9"/>
        <w:spacing w:before="0"/>
        <w:ind w:left="0"/>
        <w:jc w:val="left"/>
        <w:rPr>
          <w:rFonts w:hint="eastAsia"/>
          <w:sz w:val="30"/>
          <w:szCs w:val="30"/>
        </w:rPr>
      </w:pPr>
      <w:r>
        <w:rPr>
          <w:rFonts w:hint="eastAsia"/>
          <w:sz w:val="30"/>
          <w:szCs w:val="30"/>
        </w:rPr>
        <w:t>Now we see why, and also why this is one of the three hottest flashpoints of controversy in the Great End Time Debate.</w:t>
      </w:r>
    </w:p>
    <w:p w14:paraId="102FE472">
      <w:pPr>
        <w:pStyle w:val="9"/>
        <w:spacing w:before="0"/>
        <w:ind w:left="0"/>
        <w:jc w:val="left"/>
        <w:rPr>
          <w:rFonts w:hint="eastAsia"/>
          <w:sz w:val="30"/>
          <w:szCs w:val="30"/>
        </w:rPr>
      </w:pPr>
    </w:p>
    <w:p w14:paraId="72EEC829">
      <w:pPr>
        <w:pStyle w:val="9"/>
        <w:spacing w:before="0"/>
        <w:ind w:left="0"/>
        <w:jc w:val="left"/>
        <w:rPr>
          <w:rFonts w:hint="eastAsia"/>
          <w:sz w:val="30"/>
          <w:szCs w:val="30"/>
        </w:rPr>
      </w:pPr>
      <w:r>
        <w:rPr>
          <w:rFonts w:hint="eastAsia"/>
          <w:sz w:val="30"/>
          <w:szCs w:val="30"/>
        </w:rPr>
        <w:t>现在我们明白为什么了，也明白为什么这是末世大辩论中三个最激烈的争议爆发点之一。</w:t>
      </w:r>
    </w:p>
    <w:p w14:paraId="13AFC747">
      <w:pPr>
        <w:pStyle w:val="9"/>
        <w:spacing w:before="0"/>
        <w:ind w:left="0"/>
        <w:jc w:val="left"/>
        <w:rPr>
          <w:rFonts w:hint="eastAsia"/>
          <w:sz w:val="30"/>
          <w:szCs w:val="30"/>
        </w:rPr>
      </w:pPr>
    </w:p>
    <w:p w14:paraId="1F17C57D">
      <w:pPr>
        <w:pStyle w:val="9"/>
        <w:spacing w:before="0"/>
        <w:ind w:left="0"/>
        <w:jc w:val="left"/>
        <w:rPr>
          <w:rFonts w:hint="eastAsia"/>
          <w:sz w:val="30"/>
          <w:szCs w:val="30"/>
        </w:rPr>
      </w:pPr>
      <w:r>
        <w:rPr>
          <w:rFonts w:hint="eastAsia"/>
          <w:sz w:val="30"/>
          <w:szCs w:val="30"/>
        </w:rPr>
        <w:t>3.The Consummation</w:t>
      </w:r>
    </w:p>
    <w:p w14:paraId="297100AA">
      <w:pPr>
        <w:pStyle w:val="9"/>
        <w:spacing w:before="0"/>
        <w:ind w:left="0"/>
        <w:jc w:val="left"/>
        <w:rPr>
          <w:rFonts w:hint="eastAsia"/>
          <w:sz w:val="30"/>
          <w:szCs w:val="30"/>
        </w:rPr>
      </w:pPr>
    </w:p>
    <w:p w14:paraId="2FB42039">
      <w:pPr>
        <w:pStyle w:val="9"/>
        <w:spacing w:before="0"/>
        <w:ind w:left="0"/>
        <w:jc w:val="left"/>
        <w:rPr>
          <w:rFonts w:hint="eastAsia"/>
          <w:sz w:val="30"/>
          <w:szCs w:val="30"/>
        </w:rPr>
      </w:pPr>
      <w:r>
        <w:rPr>
          <w:rFonts w:hint="eastAsia"/>
          <w:sz w:val="30"/>
          <w:szCs w:val="30"/>
        </w:rPr>
        <w:t>3.最终的成全</w:t>
      </w:r>
    </w:p>
    <w:p w14:paraId="3B27D4D0">
      <w:pPr>
        <w:pStyle w:val="9"/>
        <w:spacing w:before="0"/>
        <w:ind w:left="0"/>
        <w:jc w:val="left"/>
        <w:rPr>
          <w:rFonts w:hint="eastAsia"/>
          <w:sz w:val="30"/>
          <w:szCs w:val="30"/>
        </w:rPr>
      </w:pPr>
    </w:p>
    <w:p w14:paraId="149309E6">
      <w:pPr>
        <w:pStyle w:val="9"/>
        <w:spacing w:before="0"/>
        <w:ind w:left="0"/>
        <w:jc w:val="left"/>
        <w:rPr>
          <w:rFonts w:hint="eastAsia"/>
          <w:sz w:val="30"/>
          <w:szCs w:val="30"/>
        </w:rPr>
      </w:pPr>
      <w:r>
        <w:rPr>
          <w:rFonts w:hint="eastAsia"/>
          <w:sz w:val="30"/>
          <w:szCs w:val="30"/>
        </w:rPr>
        <w:t>The third and final flashpoint of eschatological controversy is the Consummation.</w:t>
      </w:r>
    </w:p>
    <w:p w14:paraId="52A0E93C">
      <w:pPr>
        <w:pStyle w:val="9"/>
        <w:spacing w:before="0"/>
        <w:ind w:left="0"/>
        <w:jc w:val="left"/>
        <w:rPr>
          <w:rFonts w:hint="eastAsia"/>
          <w:sz w:val="30"/>
          <w:szCs w:val="30"/>
        </w:rPr>
      </w:pPr>
    </w:p>
    <w:p w14:paraId="2F02BC4C">
      <w:pPr>
        <w:pStyle w:val="9"/>
        <w:spacing w:before="0"/>
        <w:ind w:left="0"/>
        <w:jc w:val="left"/>
        <w:rPr>
          <w:rFonts w:hint="eastAsia"/>
          <w:sz w:val="30"/>
          <w:szCs w:val="30"/>
        </w:rPr>
      </w:pPr>
      <w:r>
        <w:rPr>
          <w:rFonts w:hint="eastAsia"/>
          <w:sz w:val="30"/>
          <w:szCs w:val="30"/>
        </w:rPr>
        <w:t>末世论争议的第三个也是最后一个爆发点是“最终的成全”。</w:t>
      </w:r>
    </w:p>
    <w:p w14:paraId="01BDCF64">
      <w:pPr>
        <w:pStyle w:val="9"/>
        <w:spacing w:before="0"/>
        <w:ind w:left="0"/>
        <w:jc w:val="left"/>
        <w:rPr>
          <w:rFonts w:hint="eastAsia"/>
          <w:sz w:val="30"/>
          <w:szCs w:val="30"/>
        </w:rPr>
      </w:pPr>
    </w:p>
    <w:p w14:paraId="56BCA367">
      <w:pPr>
        <w:pStyle w:val="9"/>
        <w:spacing w:before="0"/>
        <w:ind w:left="0"/>
        <w:jc w:val="left"/>
        <w:rPr>
          <w:rFonts w:hint="eastAsia"/>
          <w:sz w:val="30"/>
          <w:szCs w:val="30"/>
        </w:rPr>
      </w:pPr>
      <w:r>
        <w:rPr>
          <w:rFonts w:hint="eastAsia"/>
          <w:sz w:val="30"/>
          <w:szCs w:val="30"/>
        </w:rPr>
        <w:t>Theologians use this word to describe the complex of events that will consummate (i.e., complete or perfect or bring to a conclusion) both God’s judgments and his redemptive acts in Christ.</w:t>
      </w:r>
    </w:p>
    <w:p w14:paraId="76D4CDF8">
      <w:pPr>
        <w:pStyle w:val="9"/>
        <w:spacing w:before="0"/>
        <w:ind w:left="0"/>
        <w:jc w:val="left"/>
        <w:rPr>
          <w:rFonts w:hint="eastAsia"/>
          <w:sz w:val="30"/>
          <w:szCs w:val="30"/>
        </w:rPr>
      </w:pPr>
    </w:p>
    <w:p w14:paraId="4D594C33">
      <w:pPr>
        <w:pStyle w:val="9"/>
        <w:spacing w:before="0"/>
        <w:ind w:left="0"/>
        <w:jc w:val="left"/>
        <w:rPr>
          <w:rFonts w:hint="eastAsia"/>
          <w:sz w:val="30"/>
          <w:szCs w:val="30"/>
        </w:rPr>
      </w:pPr>
      <w:r>
        <w:rPr>
          <w:rFonts w:hint="eastAsia"/>
          <w:sz w:val="30"/>
          <w:szCs w:val="30"/>
        </w:rPr>
        <w:t>神学家用这个词来描述那将成全（即完成、使完美或带向终结）神在基督里的审判和救赎作为的一系列复杂事件。</w:t>
      </w:r>
    </w:p>
    <w:p w14:paraId="0DFD3E98">
      <w:pPr>
        <w:pStyle w:val="9"/>
        <w:spacing w:before="0"/>
        <w:ind w:left="0"/>
        <w:jc w:val="left"/>
        <w:rPr>
          <w:rFonts w:hint="eastAsia"/>
          <w:sz w:val="30"/>
          <w:szCs w:val="30"/>
        </w:rPr>
      </w:pPr>
    </w:p>
    <w:p w14:paraId="3B1BFD83">
      <w:pPr>
        <w:pStyle w:val="9"/>
        <w:spacing w:before="0"/>
        <w:ind w:left="0"/>
        <w:jc w:val="left"/>
        <w:rPr>
          <w:rFonts w:hint="eastAsia"/>
          <w:sz w:val="30"/>
          <w:szCs w:val="30"/>
        </w:rPr>
      </w:pPr>
      <w:r>
        <w:rPr>
          <w:rFonts w:hint="eastAsia"/>
          <w:sz w:val="30"/>
          <w:szCs w:val="30"/>
        </w:rPr>
        <w:t>You will remember that the traditional view of the Consummation is quite simple: Christ will come again once, at the end of the present evil age, to raise the dead, judge the world in righteousness, transform the physical cosmos, and inaugurate the Kingdom in its full and final form.</w:t>
      </w:r>
    </w:p>
    <w:p w14:paraId="17A7B093">
      <w:pPr>
        <w:pStyle w:val="9"/>
        <w:spacing w:before="0"/>
        <w:ind w:left="0"/>
        <w:jc w:val="left"/>
        <w:rPr>
          <w:rFonts w:hint="eastAsia"/>
          <w:sz w:val="30"/>
          <w:szCs w:val="30"/>
        </w:rPr>
      </w:pPr>
    </w:p>
    <w:p w14:paraId="3770B007">
      <w:pPr>
        <w:pStyle w:val="9"/>
        <w:spacing w:before="0"/>
        <w:ind w:left="0"/>
        <w:jc w:val="left"/>
        <w:rPr>
          <w:rFonts w:hint="eastAsia"/>
          <w:sz w:val="30"/>
          <w:szCs w:val="30"/>
        </w:rPr>
      </w:pPr>
      <w:r>
        <w:rPr>
          <w:rFonts w:hint="eastAsia"/>
          <w:sz w:val="30"/>
          <w:szCs w:val="30"/>
        </w:rPr>
        <w:t>你会记得，对最终成全的传统观点相当简单：基督将在现今邪恶世代的末了再来一次，叫死人复活，按公义审判世界，改变物质宇宙，并开启那完全且最终形态的国度。</w:t>
      </w:r>
    </w:p>
    <w:p w14:paraId="17E6352B">
      <w:pPr>
        <w:pStyle w:val="9"/>
        <w:spacing w:before="0"/>
        <w:ind w:left="0"/>
        <w:jc w:val="left"/>
        <w:rPr>
          <w:rFonts w:hint="eastAsia"/>
          <w:sz w:val="30"/>
          <w:szCs w:val="30"/>
        </w:rPr>
      </w:pPr>
    </w:p>
    <w:p w14:paraId="5DDEE508">
      <w:pPr>
        <w:pStyle w:val="9"/>
        <w:spacing w:before="0"/>
        <w:ind w:left="0"/>
        <w:jc w:val="left"/>
        <w:rPr>
          <w:rFonts w:hint="eastAsia"/>
          <w:sz w:val="30"/>
          <w:szCs w:val="30"/>
        </w:rPr>
      </w:pPr>
      <w:r>
        <w:rPr>
          <w:rFonts w:hint="eastAsia"/>
          <w:sz w:val="30"/>
          <w:szCs w:val="30"/>
        </w:rPr>
        <w:t>Now observe carefully that this simple view of the Consummation is compatible only with a simple view of the Kingdom of God.</w:t>
      </w:r>
    </w:p>
    <w:p w14:paraId="11A0A702">
      <w:pPr>
        <w:pStyle w:val="9"/>
        <w:spacing w:before="0"/>
        <w:ind w:left="0"/>
        <w:jc w:val="left"/>
        <w:rPr>
          <w:rFonts w:hint="eastAsia"/>
          <w:sz w:val="30"/>
          <w:szCs w:val="30"/>
        </w:rPr>
      </w:pPr>
    </w:p>
    <w:p w14:paraId="0CB97B43">
      <w:pPr>
        <w:pStyle w:val="9"/>
        <w:spacing w:before="0"/>
        <w:ind w:left="0"/>
        <w:jc w:val="left"/>
        <w:rPr>
          <w:rFonts w:hint="eastAsia"/>
          <w:sz w:val="30"/>
          <w:szCs w:val="30"/>
        </w:rPr>
      </w:pPr>
      <w:r>
        <w:rPr>
          <w:rFonts w:hint="eastAsia"/>
          <w:sz w:val="30"/>
          <w:szCs w:val="30"/>
        </w:rPr>
        <w:t>现在请仔细观察，这种对最终成全的简单观点，只与一种对神的国的简单观点相容。</w:t>
      </w:r>
    </w:p>
    <w:p w14:paraId="3E29797A">
      <w:pPr>
        <w:pStyle w:val="9"/>
        <w:spacing w:before="0"/>
        <w:ind w:left="0"/>
        <w:jc w:val="left"/>
        <w:rPr>
          <w:rFonts w:hint="eastAsia"/>
          <w:sz w:val="30"/>
          <w:szCs w:val="30"/>
        </w:rPr>
      </w:pPr>
    </w:p>
    <w:p w14:paraId="3D1F7A14">
      <w:pPr>
        <w:pStyle w:val="9"/>
        <w:spacing w:before="0"/>
        <w:ind w:left="0"/>
        <w:jc w:val="left"/>
        <w:rPr>
          <w:rFonts w:hint="eastAsia"/>
          <w:sz w:val="30"/>
          <w:szCs w:val="30"/>
        </w:rPr>
      </w:pPr>
      <w:r>
        <w:rPr>
          <w:rFonts w:hint="eastAsia"/>
          <w:sz w:val="30"/>
          <w:szCs w:val="30"/>
        </w:rPr>
        <w:t>That is, it is compatible only with a Kingdom that appears in two simple stages: the present Church Era (inaugurated on the Day of Pentecost), followed by the eternal World to Come (inaugurated at Christ’s Second Coming).</w:t>
      </w:r>
    </w:p>
    <w:p w14:paraId="6EFE6747">
      <w:pPr>
        <w:pStyle w:val="9"/>
        <w:spacing w:before="0"/>
        <w:ind w:left="0"/>
        <w:jc w:val="left"/>
        <w:rPr>
          <w:rFonts w:hint="eastAsia"/>
          <w:sz w:val="30"/>
          <w:szCs w:val="30"/>
        </w:rPr>
      </w:pPr>
    </w:p>
    <w:p w14:paraId="6F8C04AE">
      <w:pPr>
        <w:pStyle w:val="9"/>
        <w:spacing w:before="0"/>
        <w:ind w:left="0"/>
        <w:jc w:val="left"/>
        <w:rPr>
          <w:rFonts w:hint="eastAsia"/>
          <w:sz w:val="30"/>
          <w:szCs w:val="30"/>
        </w:rPr>
      </w:pPr>
      <w:r>
        <w:rPr>
          <w:rFonts w:hint="eastAsia"/>
          <w:sz w:val="30"/>
          <w:szCs w:val="30"/>
        </w:rPr>
        <w:t>就是说，它只与一个以两个简单阶段显现的国度相容：现今的教会时代（在五旬节开启），其后是永恒的要来的世界（在基督第二次降临时开启）。</w:t>
      </w:r>
    </w:p>
    <w:p w14:paraId="5251784C">
      <w:pPr>
        <w:pStyle w:val="9"/>
        <w:spacing w:before="0"/>
        <w:ind w:left="0"/>
        <w:jc w:val="left"/>
        <w:rPr>
          <w:rFonts w:hint="eastAsia"/>
          <w:sz w:val="30"/>
          <w:szCs w:val="30"/>
        </w:rPr>
      </w:pPr>
    </w:p>
    <w:p w14:paraId="2FCEFFE4">
      <w:pPr>
        <w:pStyle w:val="9"/>
        <w:spacing w:before="0"/>
        <w:ind w:left="0"/>
        <w:jc w:val="left"/>
        <w:rPr>
          <w:rFonts w:hint="eastAsia"/>
          <w:sz w:val="30"/>
          <w:szCs w:val="30"/>
        </w:rPr>
      </w:pPr>
      <w:r>
        <w:rPr>
          <w:rFonts w:hint="eastAsia"/>
          <w:sz w:val="30"/>
          <w:szCs w:val="30"/>
        </w:rPr>
        <w:t>You cannot have a simple all-at-once Consummation without having this simple two-staged view of the Kingdom of God.</w:t>
      </w:r>
    </w:p>
    <w:p w14:paraId="062A846B">
      <w:pPr>
        <w:pStyle w:val="9"/>
        <w:spacing w:before="0"/>
        <w:ind w:left="0"/>
        <w:jc w:val="left"/>
        <w:rPr>
          <w:rFonts w:hint="eastAsia"/>
          <w:sz w:val="30"/>
          <w:szCs w:val="30"/>
        </w:rPr>
      </w:pPr>
    </w:p>
    <w:p w14:paraId="6F87EFBC">
      <w:pPr>
        <w:pStyle w:val="9"/>
        <w:spacing w:before="0"/>
        <w:ind w:left="0"/>
        <w:jc w:val="left"/>
        <w:rPr>
          <w:rFonts w:hint="eastAsia"/>
          <w:sz w:val="30"/>
          <w:szCs w:val="30"/>
        </w:rPr>
      </w:pPr>
      <w:r>
        <w:rPr>
          <w:rFonts w:hint="eastAsia"/>
          <w:sz w:val="30"/>
          <w:szCs w:val="30"/>
        </w:rPr>
        <w:t>若没有这种对神的国的简单两阶段观点，你就不可能有一个简单的、一次完成的最终成全。</w:t>
      </w:r>
    </w:p>
    <w:p w14:paraId="4FA489CE">
      <w:pPr>
        <w:pStyle w:val="9"/>
        <w:spacing w:before="0"/>
        <w:ind w:left="0"/>
        <w:jc w:val="left"/>
        <w:rPr>
          <w:rFonts w:hint="eastAsia"/>
          <w:sz w:val="30"/>
          <w:szCs w:val="30"/>
        </w:rPr>
      </w:pPr>
    </w:p>
    <w:p w14:paraId="617AA4C6">
      <w:pPr>
        <w:pStyle w:val="9"/>
        <w:spacing w:before="0"/>
        <w:ind w:left="0"/>
        <w:jc w:val="left"/>
        <w:rPr>
          <w:rFonts w:hint="eastAsia"/>
          <w:sz w:val="30"/>
          <w:szCs w:val="30"/>
        </w:rPr>
      </w:pPr>
      <w:r>
        <w:rPr>
          <w:rFonts w:hint="eastAsia"/>
          <w:sz w:val="30"/>
          <w:szCs w:val="30"/>
        </w:rPr>
        <w:t>Once this is understood, it is easy to see why the Consummation itself has been painfully embroiled in theological controversy.</w:t>
      </w:r>
    </w:p>
    <w:p w14:paraId="499EC969">
      <w:pPr>
        <w:pStyle w:val="9"/>
        <w:spacing w:before="0"/>
        <w:ind w:left="0"/>
        <w:jc w:val="left"/>
        <w:rPr>
          <w:rFonts w:hint="eastAsia"/>
          <w:sz w:val="30"/>
          <w:szCs w:val="30"/>
        </w:rPr>
      </w:pPr>
    </w:p>
    <w:p w14:paraId="0CF0393D">
      <w:pPr>
        <w:pStyle w:val="9"/>
        <w:spacing w:before="0"/>
        <w:ind w:left="0"/>
        <w:jc w:val="left"/>
        <w:rPr>
          <w:rFonts w:hint="eastAsia"/>
          <w:sz w:val="30"/>
          <w:szCs w:val="30"/>
        </w:rPr>
      </w:pPr>
      <w:r>
        <w:rPr>
          <w:rFonts w:hint="eastAsia"/>
          <w:sz w:val="30"/>
          <w:szCs w:val="30"/>
        </w:rPr>
        <w:t>一旦理解了这一点，就很容易明白为什么最终成全本身会痛苦地卷入神学争议之中。</w:t>
      </w:r>
    </w:p>
    <w:p w14:paraId="23C1BADD">
      <w:pPr>
        <w:pStyle w:val="9"/>
        <w:spacing w:before="0"/>
        <w:ind w:left="0"/>
        <w:jc w:val="left"/>
        <w:rPr>
          <w:rFonts w:hint="eastAsia"/>
          <w:sz w:val="30"/>
          <w:szCs w:val="30"/>
        </w:rPr>
      </w:pPr>
    </w:p>
    <w:p w14:paraId="75196B0B">
      <w:pPr>
        <w:pStyle w:val="9"/>
        <w:spacing w:before="0"/>
        <w:ind w:left="0"/>
        <w:jc w:val="left"/>
        <w:rPr>
          <w:rFonts w:hint="eastAsia"/>
          <w:sz w:val="30"/>
          <w:szCs w:val="30"/>
        </w:rPr>
      </w:pPr>
      <w:r>
        <w:rPr>
          <w:rFonts w:hint="eastAsia"/>
          <w:sz w:val="30"/>
          <w:szCs w:val="30"/>
        </w:rPr>
        <w:t>To state the matter concisely: The moment we multiply the stages of the Kingdom, from that moment on we also must multiply the elements (or events) of the Consummation.</w:t>
      </w:r>
    </w:p>
    <w:p w14:paraId="57BBE1DB">
      <w:pPr>
        <w:pStyle w:val="9"/>
        <w:spacing w:before="0"/>
        <w:ind w:left="0"/>
        <w:jc w:val="left"/>
        <w:rPr>
          <w:rFonts w:hint="eastAsia"/>
          <w:sz w:val="30"/>
          <w:szCs w:val="30"/>
        </w:rPr>
      </w:pPr>
    </w:p>
    <w:p w14:paraId="76171E20">
      <w:pPr>
        <w:pStyle w:val="9"/>
        <w:spacing w:before="0"/>
        <w:ind w:left="0"/>
        <w:jc w:val="left"/>
        <w:rPr>
          <w:rFonts w:hint="eastAsia"/>
          <w:sz w:val="30"/>
          <w:szCs w:val="30"/>
        </w:rPr>
      </w:pPr>
      <w:r>
        <w:rPr>
          <w:rFonts w:hint="eastAsia"/>
          <w:sz w:val="30"/>
          <w:szCs w:val="30"/>
        </w:rPr>
        <w:t>简而言之：我们一旦增加了国度的阶段，从那一刻起，我们也必须增加最终成全的元素（或事件）。</w:t>
      </w:r>
    </w:p>
    <w:p w14:paraId="37A5FD8D">
      <w:pPr>
        <w:pStyle w:val="9"/>
        <w:spacing w:before="0"/>
        <w:ind w:left="0"/>
        <w:jc w:val="left"/>
        <w:rPr>
          <w:rFonts w:hint="eastAsia"/>
          <w:sz w:val="30"/>
          <w:szCs w:val="30"/>
        </w:rPr>
      </w:pPr>
    </w:p>
    <w:p w14:paraId="3C3A87B9">
      <w:pPr>
        <w:pStyle w:val="9"/>
        <w:spacing w:before="0"/>
        <w:ind w:left="0"/>
        <w:jc w:val="left"/>
        <w:rPr>
          <w:rFonts w:hint="eastAsia"/>
          <w:sz w:val="30"/>
          <w:szCs w:val="30"/>
        </w:rPr>
      </w:pPr>
      <w:r>
        <w:rPr>
          <w:rFonts w:hint="eastAsia"/>
          <w:sz w:val="30"/>
          <w:szCs w:val="30"/>
        </w:rPr>
        <w:t>For example, the moment we insert a millennial stage of the Kingdom between the Church Era and the World to Come, from that moment on we must have Christ coming again (at least) twice: once at the beginning of the Millennium, and once at its end.</w:t>
      </w:r>
    </w:p>
    <w:p w14:paraId="155A6BBC">
      <w:pPr>
        <w:pStyle w:val="9"/>
        <w:spacing w:before="0"/>
        <w:ind w:left="0"/>
        <w:jc w:val="left"/>
        <w:rPr>
          <w:rFonts w:hint="eastAsia"/>
          <w:sz w:val="30"/>
          <w:szCs w:val="30"/>
        </w:rPr>
      </w:pPr>
    </w:p>
    <w:p w14:paraId="5BC66347">
      <w:pPr>
        <w:pStyle w:val="9"/>
        <w:spacing w:before="0"/>
        <w:ind w:left="0"/>
        <w:jc w:val="left"/>
        <w:rPr>
          <w:rFonts w:hint="eastAsia"/>
          <w:sz w:val="30"/>
          <w:szCs w:val="30"/>
        </w:rPr>
      </w:pPr>
      <w:r>
        <w:rPr>
          <w:rFonts w:hint="eastAsia"/>
          <w:sz w:val="30"/>
          <w:szCs w:val="30"/>
        </w:rPr>
        <w:t>例如，我们一旦在教会时代和要来的世界之间插入一个千禧年的国度阶段，从那一刻起，我们就必须有基督（至少）再来两次：一次在千禧年开始时，一次在其结束时。</w:t>
      </w:r>
    </w:p>
    <w:p w14:paraId="12EDDE47">
      <w:pPr>
        <w:pStyle w:val="9"/>
        <w:spacing w:before="0"/>
        <w:ind w:left="0"/>
        <w:jc w:val="left"/>
        <w:rPr>
          <w:rFonts w:hint="eastAsia"/>
          <w:sz w:val="30"/>
          <w:szCs w:val="30"/>
        </w:rPr>
      </w:pPr>
    </w:p>
    <w:p w14:paraId="006D5478">
      <w:pPr>
        <w:pStyle w:val="9"/>
        <w:spacing w:before="0"/>
        <w:ind w:left="0"/>
        <w:jc w:val="left"/>
        <w:rPr>
          <w:rFonts w:hint="eastAsia"/>
          <w:sz w:val="30"/>
          <w:szCs w:val="30"/>
        </w:rPr>
      </w:pPr>
      <w:r>
        <w:rPr>
          <w:rFonts w:hint="eastAsia"/>
          <w:sz w:val="30"/>
          <w:szCs w:val="30"/>
        </w:rPr>
        <w:t>And because of this, we must also envision him presiding over (at least) two resurrections, two judgments, and two transformations of nature—for the Scriptures are quite emphatic that it is indeed Christ himself, at his Coming(s), who will do all these things (John 5:19-29; Mt. 24-25, Acts 17:31, 1 Cor. 15:20-28, 50-58, Phil. 3:20-21, 1 Thess. 4:13-18, 2 Thess. 1:3-10, 2 Peter 3:1-13).</w:t>
      </w:r>
    </w:p>
    <w:p w14:paraId="24195FC0">
      <w:pPr>
        <w:pStyle w:val="9"/>
        <w:spacing w:before="0"/>
        <w:ind w:left="0"/>
        <w:jc w:val="left"/>
        <w:rPr>
          <w:rFonts w:hint="eastAsia"/>
          <w:sz w:val="30"/>
          <w:szCs w:val="30"/>
        </w:rPr>
      </w:pPr>
    </w:p>
    <w:p w14:paraId="28FDC188">
      <w:pPr>
        <w:pStyle w:val="9"/>
        <w:spacing w:before="0"/>
        <w:ind w:left="0"/>
        <w:jc w:val="left"/>
        <w:rPr>
          <w:rFonts w:hint="eastAsia"/>
          <w:sz w:val="30"/>
          <w:szCs w:val="30"/>
        </w:rPr>
      </w:pPr>
      <w:r>
        <w:rPr>
          <w:rFonts w:hint="eastAsia"/>
          <w:sz w:val="30"/>
          <w:szCs w:val="30"/>
        </w:rPr>
        <w:t>并且因此，我们也必须设想祂要主持（至少）两次复活、两次审判和两次自然的改变——因为圣经非常强调，确实是基督祂自己，在祂的降临中，将要行这一切的事（约 5:19-29; 太 24-25, 徒 17:31, 林前 15:20-28, 50-58, 腓 3:20-21, 帖前 4:13-18, 帖后 1:3-10, 彼后 3:1-13）。</w:t>
      </w:r>
    </w:p>
    <w:p w14:paraId="5A56615D">
      <w:pPr>
        <w:pStyle w:val="9"/>
        <w:spacing w:before="0"/>
        <w:ind w:left="0"/>
        <w:jc w:val="left"/>
        <w:rPr>
          <w:rFonts w:hint="eastAsia"/>
          <w:sz w:val="30"/>
          <w:szCs w:val="30"/>
        </w:rPr>
      </w:pPr>
    </w:p>
    <w:p w14:paraId="33AFE14F">
      <w:pPr>
        <w:pStyle w:val="9"/>
        <w:spacing w:before="0"/>
        <w:ind w:left="0"/>
        <w:jc w:val="left"/>
        <w:rPr>
          <w:rFonts w:hint="eastAsia"/>
          <w:sz w:val="30"/>
          <w:szCs w:val="30"/>
        </w:rPr>
      </w:pPr>
      <w:r>
        <w:rPr>
          <w:rFonts w:hint="eastAsia"/>
          <w:sz w:val="30"/>
          <w:szCs w:val="30"/>
        </w:rPr>
        <w:t>So then, does the Great End Time Debate involve the Consummation?</w:t>
      </w:r>
    </w:p>
    <w:p w14:paraId="40578F75">
      <w:pPr>
        <w:pStyle w:val="9"/>
        <w:spacing w:before="0"/>
        <w:ind w:left="0"/>
        <w:jc w:val="left"/>
        <w:rPr>
          <w:rFonts w:hint="eastAsia"/>
          <w:sz w:val="30"/>
          <w:szCs w:val="30"/>
        </w:rPr>
      </w:pPr>
    </w:p>
    <w:p w14:paraId="500E7D71">
      <w:pPr>
        <w:pStyle w:val="9"/>
        <w:spacing w:before="0"/>
        <w:ind w:left="0"/>
        <w:jc w:val="left"/>
        <w:rPr>
          <w:rFonts w:hint="eastAsia"/>
          <w:sz w:val="30"/>
          <w:szCs w:val="30"/>
        </w:rPr>
      </w:pPr>
      <w:r>
        <w:rPr>
          <w:rFonts w:hint="eastAsia"/>
          <w:sz w:val="30"/>
          <w:szCs w:val="30"/>
        </w:rPr>
        <w:t>那么，末世大辩论是否涉及最终的成全呢？</w:t>
      </w:r>
    </w:p>
    <w:p w14:paraId="37A95349">
      <w:pPr>
        <w:pStyle w:val="9"/>
        <w:spacing w:before="0"/>
        <w:ind w:left="0"/>
        <w:jc w:val="left"/>
        <w:rPr>
          <w:rFonts w:hint="eastAsia"/>
          <w:sz w:val="30"/>
          <w:szCs w:val="30"/>
        </w:rPr>
      </w:pPr>
    </w:p>
    <w:p w14:paraId="7BE35C21">
      <w:pPr>
        <w:pStyle w:val="9"/>
        <w:spacing w:before="0"/>
        <w:ind w:left="0"/>
        <w:jc w:val="left"/>
        <w:rPr>
          <w:rFonts w:hint="eastAsia"/>
          <w:sz w:val="30"/>
          <w:szCs w:val="30"/>
        </w:rPr>
      </w:pPr>
      <w:r>
        <w:rPr>
          <w:rFonts w:hint="eastAsia"/>
          <w:sz w:val="30"/>
          <w:szCs w:val="30"/>
        </w:rPr>
        <w:t>Definitely.</w:t>
      </w:r>
    </w:p>
    <w:p w14:paraId="27769E5F">
      <w:pPr>
        <w:pStyle w:val="9"/>
        <w:spacing w:before="0"/>
        <w:ind w:left="0"/>
        <w:jc w:val="left"/>
        <w:rPr>
          <w:rFonts w:hint="eastAsia"/>
          <w:sz w:val="30"/>
          <w:szCs w:val="30"/>
        </w:rPr>
      </w:pPr>
    </w:p>
    <w:p w14:paraId="64E0CDE4">
      <w:pPr>
        <w:pStyle w:val="9"/>
        <w:spacing w:before="0"/>
        <w:ind w:left="0"/>
        <w:jc w:val="left"/>
        <w:rPr>
          <w:rFonts w:hint="eastAsia"/>
          <w:sz w:val="30"/>
          <w:szCs w:val="30"/>
        </w:rPr>
      </w:pPr>
      <w:r>
        <w:rPr>
          <w:rFonts w:hint="eastAsia"/>
          <w:sz w:val="30"/>
          <w:szCs w:val="30"/>
        </w:rPr>
        <w:t>当然。</w:t>
      </w:r>
    </w:p>
    <w:p w14:paraId="57F6ADBA">
      <w:pPr>
        <w:pStyle w:val="9"/>
        <w:spacing w:before="0"/>
        <w:ind w:left="0"/>
        <w:jc w:val="left"/>
        <w:rPr>
          <w:rFonts w:hint="eastAsia"/>
          <w:sz w:val="30"/>
          <w:szCs w:val="30"/>
        </w:rPr>
      </w:pPr>
    </w:p>
    <w:p w14:paraId="562AE1E4">
      <w:pPr>
        <w:pStyle w:val="9"/>
        <w:spacing w:before="0"/>
        <w:ind w:left="0"/>
        <w:jc w:val="left"/>
        <w:rPr>
          <w:rFonts w:hint="eastAsia"/>
          <w:sz w:val="30"/>
          <w:szCs w:val="30"/>
        </w:rPr>
      </w:pPr>
      <w:r>
        <w:rPr>
          <w:rFonts w:hint="eastAsia"/>
          <w:sz w:val="30"/>
          <w:szCs w:val="30"/>
        </w:rPr>
        <w:t>But is the Consummation itself the real crux of the controversy —the deep, underlying source of all the confusion?</w:t>
      </w:r>
    </w:p>
    <w:p w14:paraId="4165BE13">
      <w:pPr>
        <w:pStyle w:val="9"/>
        <w:spacing w:before="0"/>
        <w:ind w:left="0"/>
        <w:jc w:val="left"/>
        <w:rPr>
          <w:rFonts w:hint="eastAsia"/>
          <w:sz w:val="30"/>
          <w:szCs w:val="30"/>
        </w:rPr>
      </w:pPr>
    </w:p>
    <w:p w14:paraId="0E5DA655">
      <w:pPr>
        <w:pStyle w:val="9"/>
        <w:spacing w:before="0"/>
        <w:ind w:left="0"/>
        <w:jc w:val="left"/>
        <w:rPr>
          <w:rFonts w:hint="eastAsia"/>
          <w:sz w:val="30"/>
          <w:szCs w:val="30"/>
        </w:rPr>
      </w:pPr>
      <w:r>
        <w:rPr>
          <w:rFonts w:hint="eastAsia"/>
          <w:sz w:val="30"/>
          <w:szCs w:val="30"/>
        </w:rPr>
        <w:t>但是，最终的成全本身是争议的真正症结——所有混乱的深层、根本性源头吗？</w:t>
      </w:r>
    </w:p>
    <w:p w14:paraId="2D806F6F">
      <w:pPr>
        <w:pStyle w:val="9"/>
        <w:spacing w:before="0"/>
        <w:ind w:left="0"/>
        <w:jc w:val="left"/>
        <w:rPr>
          <w:rFonts w:hint="eastAsia"/>
          <w:sz w:val="30"/>
          <w:szCs w:val="30"/>
        </w:rPr>
      </w:pPr>
    </w:p>
    <w:p w14:paraId="003B3FD3">
      <w:pPr>
        <w:pStyle w:val="9"/>
        <w:spacing w:before="0"/>
        <w:ind w:left="0"/>
        <w:jc w:val="left"/>
        <w:rPr>
          <w:rFonts w:hint="eastAsia"/>
          <w:sz w:val="30"/>
          <w:szCs w:val="30"/>
        </w:rPr>
      </w:pPr>
      <w:r>
        <w:rPr>
          <w:rFonts w:hint="eastAsia"/>
          <w:sz w:val="30"/>
          <w:szCs w:val="30"/>
        </w:rPr>
        <w:t>Definitely not.</w:t>
      </w:r>
    </w:p>
    <w:p w14:paraId="5693D76C">
      <w:pPr>
        <w:pStyle w:val="9"/>
        <w:spacing w:before="0"/>
        <w:ind w:left="0"/>
        <w:jc w:val="left"/>
        <w:rPr>
          <w:rFonts w:hint="eastAsia"/>
          <w:sz w:val="30"/>
          <w:szCs w:val="30"/>
        </w:rPr>
      </w:pPr>
    </w:p>
    <w:p w14:paraId="091B02D4">
      <w:pPr>
        <w:pStyle w:val="9"/>
        <w:spacing w:before="0"/>
        <w:ind w:left="0"/>
        <w:jc w:val="left"/>
        <w:rPr>
          <w:rFonts w:hint="eastAsia"/>
          <w:sz w:val="30"/>
          <w:szCs w:val="30"/>
        </w:rPr>
      </w:pPr>
      <w:r>
        <w:rPr>
          <w:rFonts w:hint="eastAsia"/>
          <w:sz w:val="30"/>
          <w:szCs w:val="30"/>
        </w:rPr>
        <w:t>绝对不是。</w:t>
      </w:r>
    </w:p>
    <w:p w14:paraId="6DB96163">
      <w:pPr>
        <w:pStyle w:val="9"/>
        <w:spacing w:before="0"/>
        <w:ind w:left="0"/>
        <w:jc w:val="left"/>
        <w:rPr>
          <w:rFonts w:hint="eastAsia"/>
          <w:sz w:val="30"/>
          <w:szCs w:val="30"/>
        </w:rPr>
      </w:pPr>
    </w:p>
    <w:p w14:paraId="2E279CD4">
      <w:pPr>
        <w:pStyle w:val="9"/>
        <w:spacing w:before="0"/>
        <w:ind w:left="0"/>
        <w:jc w:val="left"/>
        <w:rPr>
          <w:rFonts w:hint="eastAsia"/>
          <w:sz w:val="30"/>
          <w:szCs w:val="30"/>
        </w:rPr>
      </w:pPr>
      <w:r>
        <w:rPr>
          <w:rFonts w:hint="eastAsia"/>
          <w:sz w:val="30"/>
          <w:szCs w:val="30"/>
        </w:rPr>
        <w:t>Rather, the real root of the controversy is conflicting views about the proper interpretation of OTKP, the nature and stages of the Kingdom, and where in the world the Millennium of Revelation 20 fits into the equation.</w:t>
      </w:r>
    </w:p>
    <w:p w14:paraId="7D9D967B">
      <w:pPr>
        <w:pStyle w:val="9"/>
        <w:spacing w:before="0"/>
        <w:ind w:left="0"/>
        <w:jc w:val="left"/>
        <w:rPr>
          <w:rFonts w:hint="eastAsia"/>
          <w:sz w:val="30"/>
          <w:szCs w:val="30"/>
        </w:rPr>
      </w:pPr>
    </w:p>
    <w:p w14:paraId="54339201">
      <w:pPr>
        <w:pStyle w:val="9"/>
        <w:spacing w:before="0"/>
        <w:ind w:left="0"/>
        <w:jc w:val="left"/>
        <w:rPr>
          <w:rFonts w:hint="eastAsia"/>
          <w:sz w:val="30"/>
          <w:szCs w:val="30"/>
        </w:rPr>
      </w:pPr>
      <w:r>
        <w:rPr>
          <w:rFonts w:hint="eastAsia"/>
          <w:sz w:val="30"/>
          <w:szCs w:val="30"/>
        </w:rPr>
        <w:t>相反，争议的真正根源在于对旧约国度预言的正确解释、国度的性质与阶段，以及启示录20章的千禧年到底在整个方程式中处于何种位置的冲突观点。</w:t>
      </w:r>
    </w:p>
    <w:p w14:paraId="1FE6FB38">
      <w:pPr>
        <w:pStyle w:val="9"/>
        <w:spacing w:before="0"/>
        <w:ind w:left="0"/>
        <w:jc w:val="left"/>
        <w:rPr>
          <w:rFonts w:hint="eastAsia"/>
          <w:sz w:val="30"/>
          <w:szCs w:val="30"/>
        </w:rPr>
      </w:pPr>
    </w:p>
    <w:p w14:paraId="3E3BB59A">
      <w:pPr>
        <w:pStyle w:val="9"/>
        <w:spacing w:before="0"/>
        <w:ind w:left="0"/>
        <w:jc w:val="left"/>
        <w:rPr>
          <w:rFonts w:hint="eastAsia"/>
          <w:sz w:val="30"/>
          <w:szCs w:val="30"/>
        </w:rPr>
      </w:pPr>
      <w:r>
        <w:rPr>
          <w:rFonts w:hint="eastAsia"/>
          <w:sz w:val="30"/>
          <w:szCs w:val="30"/>
        </w:rPr>
        <w:t>Experience makes it abundantly clear that the positions we embrace on these matters will profoundly shape our understanding of the third and final issue in the Great End Time Debate: the Consummation.</w:t>
      </w:r>
    </w:p>
    <w:p w14:paraId="4BCA066A">
      <w:pPr>
        <w:pStyle w:val="9"/>
        <w:spacing w:before="0"/>
        <w:ind w:left="0"/>
        <w:jc w:val="left"/>
        <w:rPr>
          <w:rFonts w:hint="eastAsia"/>
          <w:sz w:val="30"/>
          <w:szCs w:val="30"/>
        </w:rPr>
      </w:pPr>
    </w:p>
    <w:p w14:paraId="49BC115F">
      <w:pPr>
        <w:pStyle w:val="9"/>
        <w:spacing w:before="0"/>
        <w:ind w:left="0"/>
        <w:jc w:val="left"/>
        <w:rPr>
          <w:rFonts w:hint="eastAsia"/>
          <w:sz w:val="30"/>
          <w:szCs w:val="30"/>
        </w:rPr>
      </w:pPr>
      <w:r>
        <w:rPr>
          <w:rFonts w:hint="eastAsia"/>
          <w:sz w:val="30"/>
          <w:szCs w:val="30"/>
        </w:rPr>
        <w:t>经验清楚地表明，我们对这些问题所持的立场，将深刻地塑造我们对末世大辩论中第三个也是最后一个议题的理解：最终的成全。</w:t>
      </w:r>
    </w:p>
    <w:p w14:paraId="4EA086F8">
      <w:pPr>
        <w:pStyle w:val="9"/>
        <w:spacing w:before="0"/>
        <w:ind w:left="0"/>
        <w:jc w:val="left"/>
        <w:rPr>
          <w:rFonts w:hint="eastAsia"/>
          <w:sz w:val="30"/>
          <w:szCs w:val="30"/>
        </w:rPr>
      </w:pPr>
    </w:p>
    <w:p w14:paraId="13479886">
      <w:pPr>
        <w:pStyle w:val="9"/>
        <w:spacing w:before="0"/>
        <w:ind w:left="0"/>
        <w:jc w:val="left"/>
        <w:rPr>
          <w:rFonts w:hint="eastAsia"/>
          <w:sz w:val="30"/>
          <w:szCs w:val="30"/>
        </w:rPr>
      </w:pPr>
      <w:r>
        <w:rPr>
          <w:rFonts w:hint="eastAsia"/>
          <w:sz w:val="30"/>
          <w:szCs w:val="30"/>
        </w:rPr>
        <w:t>Conclusion</w:t>
      </w:r>
    </w:p>
    <w:p w14:paraId="5EF9F731">
      <w:pPr>
        <w:pStyle w:val="9"/>
        <w:spacing w:before="0"/>
        <w:ind w:left="0"/>
        <w:jc w:val="left"/>
        <w:rPr>
          <w:rFonts w:hint="eastAsia"/>
          <w:sz w:val="30"/>
          <w:szCs w:val="30"/>
        </w:rPr>
      </w:pPr>
    </w:p>
    <w:p w14:paraId="1CB40F2B">
      <w:pPr>
        <w:pStyle w:val="9"/>
        <w:spacing w:before="0"/>
        <w:ind w:left="0"/>
        <w:jc w:val="left"/>
        <w:rPr>
          <w:rFonts w:hint="eastAsia"/>
          <w:sz w:val="30"/>
          <w:szCs w:val="30"/>
        </w:rPr>
      </w:pPr>
      <w:r>
        <w:rPr>
          <w:rFonts w:hint="eastAsia"/>
          <w:sz w:val="30"/>
          <w:szCs w:val="30"/>
        </w:rPr>
        <w:t>结论</w:t>
      </w:r>
    </w:p>
    <w:p w14:paraId="3D28210C">
      <w:pPr>
        <w:pStyle w:val="9"/>
        <w:spacing w:before="0"/>
        <w:ind w:left="0"/>
        <w:jc w:val="left"/>
        <w:rPr>
          <w:rFonts w:hint="eastAsia"/>
          <w:sz w:val="30"/>
          <w:szCs w:val="30"/>
        </w:rPr>
      </w:pPr>
    </w:p>
    <w:p w14:paraId="3F141D43">
      <w:pPr>
        <w:pStyle w:val="9"/>
        <w:spacing w:before="0"/>
        <w:ind w:left="0"/>
        <w:jc w:val="left"/>
        <w:rPr>
          <w:rFonts w:hint="eastAsia"/>
          <w:sz w:val="30"/>
          <w:szCs w:val="30"/>
        </w:rPr>
      </w:pPr>
      <w:r>
        <w:rPr>
          <w:rFonts w:hint="eastAsia"/>
          <w:sz w:val="30"/>
          <w:szCs w:val="30"/>
        </w:rPr>
        <w:t>In our journey thus far we have been equipping ourselves to think clearly and deeply about the End Time Debate.</w:t>
      </w:r>
    </w:p>
    <w:p w14:paraId="6313E3D8">
      <w:pPr>
        <w:pStyle w:val="9"/>
        <w:spacing w:before="0"/>
        <w:ind w:left="0"/>
        <w:jc w:val="left"/>
        <w:rPr>
          <w:rFonts w:hint="eastAsia"/>
          <w:sz w:val="30"/>
          <w:szCs w:val="30"/>
        </w:rPr>
      </w:pPr>
    </w:p>
    <w:p w14:paraId="76142AB3">
      <w:pPr>
        <w:pStyle w:val="9"/>
        <w:spacing w:before="0"/>
        <w:ind w:left="0"/>
        <w:jc w:val="left"/>
        <w:rPr>
          <w:rFonts w:hint="eastAsia"/>
          <w:sz w:val="30"/>
          <w:szCs w:val="30"/>
        </w:rPr>
      </w:pPr>
      <w:r>
        <w:rPr>
          <w:rFonts w:hint="eastAsia"/>
          <w:sz w:val="30"/>
          <w:szCs w:val="30"/>
        </w:rPr>
        <w:t>在我们迄今的旅程中，我们一直在装备自己，以便能清晰而深入地思考末世辩论。</w:t>
      </w:r>
    </w:p>
    <w:p w14:paraId="7A567478">
      <w:pPr>
        <w:pStyle w:val="9"/>
        <w:spacing w:before="0"/>
        <w:ind w:left="0"/>
        <w:jc w:val="left"/>
        <w:rPr>
          <w:rFonts w:hint="eastAsia"/>
          <w:sz w:val="30"/>
          <w:szCs w:val="30"/>
        </w:rPr>
      </w:pPr>
    </w:p>
    <w:p w14:paraId="2A922120">
      <w:pPr>
        <w:pStyle w:val="9"/>
        <w:spacing w:before="0"/>
        <w:ind w:left="0"/>
        <w:jc w:val="left"/>
        <w:rPr>
          <w:rFonts w:hint="eastAsia"/>
          <w:sz w:val="30"/>
          <w:szCs w:val="30"/>
        </w:rPr>
      </w:pPr>
      <w:r>
        <w:rPr>
          <w:rFonts w:hint="eastAsia"/>
          <w:sz w:val="30"/>
          <w:szCs w:val="30"/>
        </w:rPr>
        <w:t>We have seen that the great prize in this controversy—the Holy Grail of biblical eschatology—is the one true Timeline of Salvation History.</w:t>
      </w:r>
    </w:p>
    <w:p w14:paraId="67B18D16">
      <w:pPr>
        <w:pStyle w:val="9"/>
        <w:spacing w:before="0"/>
        <w:ind w:left="0"/>
        <w:jc w:val="left"/>
        <w:rPr>
          <w:rFonts w:hint="eastAsia"/>
          <w:sz w:val="30"/>
          <w:szCs w:val="30"/>
        </w:rPr>
      </w:pPr>
    </w:p>
    <w:p w14:paraId="34E6EAE1">
      <w:pPr>
        <w:pStyle w:val="9"/>
        <w:spacing w:before="0"/>
        <w:ind w:left="0"/>
        <w:jc w:val="left"/>
        <w:rPr>
          <w:rFonts w:hint="eastAsia"/>
          <w:sz w:val="30"/>
          <w:szCs w:val="30"/>
        </w:rPr>
      </w:pPr>
      <w:r>
        <w:rPr>
          <w:rFonts w:hint="eastAsia"/>
          <w:sz w:val="30"/>
          <w:szCs w:val="30"/>
        </w:rPr>
        <w:t>我们已经看到，这场争议中的大奖——圣经末世论的圣杯——就是那唯一真实的救赎历史时间线。</w:t>
      </w:r>
    </w:p>
    <w:p w14:paraId="41456AD7">
      <w:pPr>
        <w:pStyle w:val="9"/>
        <w:spacing w:before="0"/>
        <w:ind w:left="0"/>
        <w:jc w:val="left"/>
        <w:rPr>
          <w:rFonts w:hint="eastAsia"/>
          <w:sz w:val="30"/>
          <w:szCs w:val="30"/>
        </w:rPr>
      </w:pPr>
    </w:p>
    <w:p w14:paraId="40CDF094">
      <w:pPr>
        <w:pStyle w:val="9"/>
        <w:spacing w:before="0"/>
        <w:ind w:left="0"/>
        <w:jc w:val="left"/>
        <w:rPr>
          <w:rFonts w:hint="eastAsia"/>
          <w:sz w:val="30"/>
          <w:szCs w:val="30"/>
        </w:rPr>
      </w:pPr>
      <w:r>
        <w:rPr>
          <w:rFonts w:hint="eastAsia"/>
          <w:sz w:val="30"/>
          <w:szCs w:val="30"/>
        </w:rPr>
        <w:t>We have introduced the main elements of biblical eschatology, the eras and events we hope properly to situate on that timeline .</w:t>
      </w:r>
    </w:p>
    <w:p w14:paraId="56C4990A">
      <w:pPr>
        <w:pStyle w:val="9"/>
        <w:spacing w:before="0"/>
        <w:ind w:left="0"/>
        <w:jc w:val="left"/>
        <w:rPr>
          <w:rFonts w:hint="eastAsia"/>
          <w:sz w:val="30"/>
          <w:szCs w:val="30"/>
        </w:rPr>
      </w:pPr>
    </w:p>
    <w:p w14:paraId="1BBBFA55">
      <w:pPr>
        <w:pStyle w:val="9"/>
        <w:spacing w:before="0"/>
        <w:ind w:left="0"/>
        <w:jc w:val="left"/>
        <w:rPr>
          <w:rFonts w:hint="eastAsia"/>
          <w:sz w:val="30"/>
          <w:szCs w:val="30"/>
        </w:rPr>
      </w:pPr>
      <w:r>
        <w:rPr>
          <w:rFonts w:hint="eastAsia"/>
          <w:sz w:val="30"/>
          <w:szCs w:val="30"/>
        </w:rPr>
        <w:t>我们已经介绍了圣经末世论的主要元素，即我们希望能在该时间线上恰当定位的那些时代和事件。</w:t>
      </w:r>
    </w:p>
    <w:p w14:paraId="716B9C89">
      <w:pPr>
        <w:pStyle w:val="9"/>
        <w:spacing w:before="0"/>
        <w:ind w:left="0"/>
        <w:jc w:val="left"/>
        <w:rPr>
          <w:rFonts w:hint="eastAsia"/>
          <w:sz w:val="30"/>
          <w:szCs w:val="30"/>
        </w:rPr>
      </w:pPr>
    </w:p>
    <w:p w14:paraId="565A78D2">
      <w:pPr>
        <w:pStyle w:val="9"/>
        <w:spacing w:before="0"/>
        <w:ind w:left="0"/>
        <w:jc w:val="left"/>
        <w:rPr>
          <w:rFonts w:hint="eastAsia"/>
          <w:sz w:val="30"/>
          <w:szCs w:val="30"/>
        </w:rPr>
      </w:pPr>
      <w:r>
        <w:rPr>
          <w:rFonts w:hint="eastAsia"/>
          <w:sz w:val="30"/>
          <w:szCs w:val="30"/>
        </w:rPr>
        <w:t>They include: (1) The Kingdom of God, (2) the Millennium, (3) the (rise of the) Antichrist, (4) the Last Battle, (5) the Parousia, (6) the Resurrection of the dead (and the Transformation of the Living Saints), (7) the Catching Up of the saints at Christ’s return, (8) the Last Judgment, (9) the Destruction of the present heavens and earth by fire, (10) the Delivering Up of the Kingdom to God the Father, and (11) the coming of the Kingdom in its full, final, and eternal form.</w:t>
      </w:r>
    </w:p>
    <w:p w14:paraId="2E5E882C">
      <w:pPr>
        <w:pStyle w:val="9"/>
        <w:spacing w:before="0"/>
        <w:ind w:left="0"/>
        <w:jc w:val="left"/>
        <w:rPr>
          <w:rFonts w:hint="eastAsia"/>
          <w:sz w:val="30"/>
          <w:szCs w:val="30"/>
        </w:rPr>
      </w:pPr>
    </w:p>
    <w:p w14:paraId="0CBBD506">
      <w:pPr>
        <w:pStyle w:val="9"/>
        <w:spacing w:before="0"/>
        <w:ind w:left="0"/>
        <w:jc w:val="left"/>
        <w:rPr>
          <w:rFonts w:hint="eastAsia"/>
          <w:sz w:val="30"/>
          <w:szCs w:val="30"/>
        </w:rPr>
      </w:pPr>
      <w:r>
        <w:rPr>
          <w:rFonts w:hint="eastAsia"/>
          <w:sz w:val="30"/>
          <w:szCs w:val="30"/>
        </w:rPr>
        <w:t>它们包括：（1）神的国，（2）千禧年，（3）敌基督（的兴起），（4）末后的争战，（5）主的再来，（6）死人复活（以及活着圣徒的改变），（7）基督再来时圣徒被提，（8）最后的审判，（9）现有的天和地被火毁灭，（10）将国度交与父神，以及（11）国度以其完全、最终和永恒的形态降临。</w:t>
      </w:r>
    </w:p>
    <w:p w14:paraId="0C18193A">
      <w:pPr>
        <w:pStyle w:val="9"/>
        <w:spacing w:before="0"/>
        <w:ind w:left="0"/>
        <w:jc w:val="left"/>
        <w:rPr>
          <w:rFonts w:hint="eastAsia"/>
          <w:sz w:val="30"/>
          <w:szCs w:val="30"/>
        </w:rPr>
      </w:pPr>
    </w:p>
    <w:p w14:paraId="4DC82F84">
      <w:pPr>
        <w:pStyle w:val="9"/>
        <w:spacing w:before="0"/>
        <w:ind w:left="0"/>
        <w:jc w:val="left"/>
        <w:rPr>
          <w:rFonts w:hint="eastAsia"/>
          <w:sz w:val="30"/>
          <w:szCs w:val="30"/>
        </w:rPr>
      </w:pPr>
      <w:r>
        <w:rPr>
          <w:rFonts w:hint="eastAsia"/>
          <w:sz w:val="30"/>
          <w:szCs w:val="30"/>
        </w:rPr>
        <w:t>They include: (1) The Kingdom of God, (2) the Millennium, (3) the (rise of the) Antichrist, (4) the Last Battle, (5) the Parousia, (6) the Resurrection of the dead (and the Transformation of the Living Saints), (7) the Catching Up of the saints at Christ’s return, (8) the Last Judgment, (9) the Destruction of the present heavens and earth by fire, (10) the Delivering Up of the Kingdom to God the Father, and (11) the coming of the Kingdom in its full, final, and eternal form.</w:t>
      </w:r>
    </w:p>
    <w:p w14:paraId="653289D2">
      <w:pPr>
        <w:pStyle w:val="9"/>
        <w:spacing w:before="0"/>
        <w:ind w:left="0"/>
        <w:jc w:val="left"/>
        <w:rPr>
          <w:rFonts w:hint="eastAsia"/>
          <w:sz w:val="30"/>
          <w:szCs w:val="30"/>
        </w:rPr>
      </w:pPr>
    </w:p>
    <w:p w14:paraId="601C7DB6">
      <w:pPr>
        <w:pStyle w:val="9"/>
        <w:spacing w:before="0"/>
        <w:ind w:left="0"/>
        <w:jc w:val="left"/>
        <w:rPr>
          <w:rFonts w:hint="eastAsia"/>
          <w:sz w:val="30"/>
          <w:szCs w:val="30"/>
        </w:rPr>
      </w:pPr>
      <w:r>
        <w:rPr>
          <w:rFonts w:hint="eastAsia"/>
          <w:sz w:val="30"/>
          <w:szCs w:val="30"/>
        </w:rPr>
        <w:t>它们包括：（1）神的国，（2）千禧年，（3）敌基督（的兴起），（4）末后的争战，（5）主的再来，（6）死人复活（以及活着圣徒的改变），（7）基督再来时圣徒被提，（8）最后的审判，（9）现有的天和地被火毁灭，（10）将国度交与父神，以及（11）国度以其完全、最终和永恒的形态降临。</w:t>
      </w:r>
    </w:p>
    <w:p w14:paraId="5C58D3AE">
      <w:pPr>
        <w:pStyle w:val="9"/>
        <w:spacing w:before="0"/>
        <w:ind w:left="0"/>
        <w:jc w:val="left"/>
        <w:rPr>
          <w:rFonts w:hint="eastAsia"/>
          <w:sz w:val="30"/>
          <w:szCs w:val="30"/>
        </w:rPr>
      </w:pPr>
    </w:p>
    <w:p w14:paraId="0B3F5D40">
      <w:pPr>
        <w:pStyle w:val="9"/>
        <w:spacing w:before="0"/>
        <w:ind w:left="0"/>
        <w:jc w:val="left"/>
        <w:rPr>
          <w:rFonts w:hint="eastAsia"/>
          <w:sz w:val="30"/>
          <w:szCs w:val="30"/>
        </w:rPr>
      </w:pPr>
      <w:r>
        <w:rPr>
          <w:rFonts w:hint="eastAsia"/>
          <w:sz w:val="30"/>
          <w:szCs w:val="30"/>
        </w:rPr>
        <w:t>Very importantly, we also have isolated the three great underlying issues in this controversy, issues that divide the Church and lead to protracted disagreements about the exact shape of Salvation History and the Consummation.</w:t>
      </w:r>
    </w:p>
    <w:p w14:paraId="2E1FE218">
      <w:pPr>
        <w:pStyle w:val="9"/>
        <w:spacing w:before="0"/>
        <w:ind w:left="0"/>
        <w:jc w:val="left"/>
        <w:rPr>
          <w:rFonts w:hint="eastAsia"/>
          <w:sz w:val="30"/>
          <w:szCs w:val="30"/>
        </w:rPr>
      </w:pPr>
    </w:p>
    <w:p w14:paraId="5B17CED0">
      <w:pPr>
        <w:pStyle w:val="9"/>
        <w:spacing w:before="0"/>
        <w:ind w:left="0"/>
        <w:jc w:val="left"/>
        <w:rPr>
          <w:rFonts w:hint="eastAsia"/>
          <w:sz w:val="30"/>
          <w:szCs w:val="30"/>
        </w:rPr>
      </w:pPr>
      <w:r>
        <w:rPr>
          <w:rFonts w:hint="eastAsia"/>
          <w:sz w:val="30"/>
          <w:szCs w:val="30"/>
        </w:rPr>
        <w:t>非常重要的一点是，我们也已分离出这场争议中的三个重大根本性议题，这些议题分裂了教会，并导致了关于救赎历史和最终成全之确切形态的持久分歧。</w:t>
      </w:r>
    </w:p>
    <w:p w14:paraId="383B086B">
      <w:pPr>
        <w:pStyle w:val="9"/>
        <w:spacing w:before="0"/>
        <w:ind w:left="0"/>
        <w:jc w:val="left"/>
        <w:rPr>
          <w:rFonts w:hint="eastAsia"/>
          <w:sz w:val="30"/>
          <w:szCs w:val="30"/>
        </w:rPr>
      </w:pPr>
    </w:p>
    <w:p w14:paraId="07FFBD4D">
      <w:pPr>
        <w:pStyle w:val="9"/>
        <w:spacing w:before="0"/>
        <w:ind w:left="0"/>
        <w:jc w:val="left"/>
        <w:rPr>
          <w:rFonts w:hint="eastAsia"/>
          <w:sz w:val="30"/>
          <w:szCs w:val="30"/>
        </w:rPr>
      </w:pPr>
      <w:r>
        <w:rPr>
          <w:rFonts w:hint="eastAsia"/>
          <w:sz w:val="30"/>
          <w:szCs w:val="30"/>
        </w:rPr>
        <w:t>They are: (1) The Kingdom of God, both its nature and stages, (2) the meaning of the Millennium, and (3) the structure of the Consummation.</w:t>
      </w:r>
    </w:p>
    <w:p w14:paraId="688E7FE7">
      <w:pPr>
        <w:pStyle w:val="9"/>
        <w:spacing w:before="0"/>
        <w:ind w:left="0"/>
        <w:jc w:val="left"/>
        <w:rPr>
          <w:rFonts w:hint="eastAsia"/>
          <w:sz w:val="30"/>
          <w:szCs w:val="30"/>
        </w:rPr>
      </w:pPr>
    </w:p>
    <w:p w14:paraId="5F8D5DF3">
      <w:pPr>
        <w:pStyle w:val="9"/>
        <w:spacing w:before="0"/>
        <w:ind w:left="0"/>
        <w:jc w:val="left"/>
        <w:rPr>
          <w:rFonts w:hint="eastAsia"/>
          <w:sz w:val="30"/>
          <w:szCs w:val="30"/>
        </w:rPr>
      </w:pPr>
      <w:r>
        <w:rPr>
          <w:rFonts w:hint="eastAsia"/>
          <w:sz w:val="30"/>
          <w:szCs w:val="30"/>
        </w:rPr>
        <w:t>它们是：（1）神的国，其性质与阶段，（2）千禧年的意义，以及（3）最终成全的结构。</w:t>
      </w:r>
    </w:p>
    <w:p w14:paraId="551C6960">
      <w:pPr>
        <w:pStyle w:val="9"/>
        <w:spacing w:before="0"/>
        <w:ind w:left="0"/>
        <w:jc w:val="left"/>
        <w:rPr>
          <w:rFonts w:hint="eastAsia"/>
          <w:sz w:val="30"/>
          <w:szCs w:val="30"/>
        </w:rPr>
      </w:pPr>
    </w:p>
    <w:p w14:paraId="137033A4">
      <w:pPr>
        <w:pStyle w:val="9"/>
        <w:spacing w:before="0"/>
        <w:ind w:left="0"/>
        <w:jc w:val="left"/>
        <w:rPr>
          <w:rFonts w:hint="eastAsia"/>
          <w:sz w:val="30"/>
          <w:szCs w:val="30"/>
        </w:rPr>
      </w:pPr>
      <w:r>
        <w:rPr>
          <w:rFonts w:hint="eastAsia"/>
          <w:sz w:val="30"/>
          <w:szCs w:val="30"/>
        </w:rPr>
        <w:t>However, in discussing these issues we have seen that all three actually revolve around around a fourth: the proper interpretation of OT prophecies of the coming Kingdom.</w:t>
      </w:r>
    </w:p>
    <w:p w14:paraId="0F2C3B8F">
      <w:pPr>
        <w:pStyle w:val="9"/>
        <w:spacing w:before="0"/>
        <w:ind w:left="0"/>
        <w:jc w:val="left"/>
        <w:rPr>
          <w:rFonts w:hint="eastAsia"/>
          <w:sz w:val="30"/>
          <w:szCs w:val="30"/>
        </w:rPr>
      </w:pPr>
    </w:p>
    <w:p w14:paraId="1F8C45F2">
      <w:pPr>
        <w:pStyle w:val="9"/>
        <w:spacing w:before="0"/>
        <w:ind w:left="0"/>
        <w:jc w:val="left"/>
        <w:rPr>
          <w:rFonts w:hint="eastAsia"/>
          <w:sz w:val="30"/>
          <w:szCs w:val="30"/>
        </w:rPr>
      </w:pPr>
      <w:r>
        <w:rPr>
          <w:rFonts w:hint="eastAsia"/>
          <w:sz w:val="30"/>
          <w:szCs w:val="30"/>
        </w:rPr>
        <w:t>然而，在讨论这些议题时，我们已经看到，所有这三者实际上都围绕着第四个议题旋转：对将要来临之国度的旧约预言的正确解释。</w:t>
      </w:r>
    </w:p>
    <w:p w14:paraId="710B648E">
      <w:pPr>
        <w:pStyle w:val="9"/>
        <w:spacing w:before="0"/>
        <w:ind w:left="0"/>
        <w:jc w:val="left"/>
        <w:rPr>
          <w:rFonts w:hint="eastAsia"/>
          <w:sz w:val="30"/>
          <w:szCs w:val="30"/>
        </w:rPr>
      </w:pPr>
    </w:p>
    <w:p w14:paraId="14BB3D7A">
      <w:pPr>
        <w:pStyle w:val="9"/>
        <w:spacing w:before="0"/>
        <w:ind w:left="0"/>
        <w:jc w:val="left"/>
        <w:rPr>
          <w:rFonts w:hint="eastAsia"/>
          <w:sz w:val="30"/>
          <w:szCs w:val="30"/>
        </w:rPr>
      </w:pPr>
      <w:r>
        <w:rPr>
          <w:rFonts w:hint="eastAsia"/>
          <w:sz w:val="30"/>
          <w:szCs w:val="30"/>
        </w:rPr>
        <w:t>So then, it appears we must expand our list of underlying issues to four: (1) the nature and stages of the Kingdom of God, (2) the proper interpretation of OT Kingdom Prophecy, (3) the meaning of the Millennium, and (4) the structure of the Consummation.</w:t>
      </w:r>
    </w:p>
    <w:p w14:paraId="1ACCFBE4">
      <w:pPr>
        <w:pStyle w:val="9"/>
        <w:spacing w:before="0"/>
        <w:ind w:left="0"/>
        <w:jc w:val="left"/>
        <w:rPr>
          <w:rFonts w:hint="eastAsia"/>
          <w:sz w:val="30"/>
          <w:szCs w:val="30"/>
        </w:rPr>
      </w:pPr>
    </w:p>
    <w:p w14:paraId="1C20434A">
      <w:pPr>
        <w:pStyle w:val="9"/>
        <w:spacing w:before="0"/>
        <w:ind w:left="0"/>
        <w:jc w:val="left"/>
        <w:rPr>
          <w:rFonts w:hint="eastAsia"/>
          <w:sz w:val="30"/>
          <w:szCs w:val="30"/>
        </w:rPr>
      </w:pPr>
      <w:r>
        <w:rPr>
          <w:rFonts w:hint="eastAsia"/>
          <w:sz w:val="30"/>
          <w:szCs w:val="30"/>
        </w:rPr>
        <w:t>那么，看来我们必须将我们的根本性议题列表扩展到四个：（1）神的国的性质与阶段，（2）对旧约国度预言的正确解释，（3）千禧年的意义，以及（4）最终成全的结构。</w:t>
      </w:r>
    </w:p>
    <w:p w14:paraId="5A1498CD">
      <w:pPr>
        <w:pStyle w:val="9"/>
        <w:spacing w:before="0"/>
        <w:ind w:left="0"/>
        <w:jc w:val="left"/>
        <w:rPr>
          <w:rFonts w:hint="eastAsia"/>
          <w:sz w:val="30"/>
          <w:szCs w:val="30"/>
        </w:rPr>
      </w:pPr>
    </w:p>
    <w:p w14:paraId="6B369838">
      <w:pPr>
        <w:pStyle w:val="9"/>
        <w:spacing w:before="0"/>
        <w:ind w:left="0"/>
        <w:jc w:val="left"/>
        <w:rPr>
          <w:rFonts w:hint="eastAsia"/>
          <w:sz w:val="30"/>
          <w:szCs w:val="30"/>
        </w:rPr>
      </w:pPr>
      <w:r>
        <w:rPr>
          <w:rFonts w:hint="eastAsia"/>
          <w:sz w:val="30"/>
          <w:szCs w:val="30"/>
        </w:rPr>
        <w:t>These four issues will serve as our road map for the journey ahead.</w:t>
      </w:r>
    </w:p>
    <w:p w14:paraId="75D0EC75">
      <w:pPr>
        <w:pStyle w:val="9"/>
        <w:spacing w:before="0"/>
        <w:ind w:left="0"/>
        <w:jc w:val="left"/>
        <w:rPr>
          <w:rFonts w:hint="eastAsia"/>
          <w:sz w:val="30"/>
          <w:szCs w:val="30"/>
        </w:rPr>
      </w:pPr>
    </w:p>
    <w:p w14:paraId="029A6CDE">
      <w:pPr>
        <w:pStyle w:val="9"/>
        <w:spacing w:before="0"/>
        <w:ind w:left="0"/>
        <w:jc w:val="left"/>
        <w:rPr>
          <w:rFonts w:hint="eastAsia"/>
          <w:sz w:val="30"/>
          <w:szCs w:val="30"/>
        </w:rPr>
      </w:pPr>
      <w:r>
        <w:rPr>
          <w:rFonts w:hint="eastAsia"/>
          <w:sz w:val="30"/>
          <w:szCs w:val="30"/>
        </w:rPr>
        <w:t>这四个议题将作为我们前方旅程的路线图。</w:t>
      </w:r>
    </w:p>
    <w:p w14:paraId="29CB4621">
      <w:pPr>
        <w:pStyle w:val="9"/>
        <w:spacing w:before="0"/>
        <w:ind w:left="0"/>
        <w:jc w:val="left"/>
        <w:rPr>
          <w:rFonts w:hint="eastAsia"/>
          <w:sz w:val="30"/>
          <w:szCs w:val="30"/>
        </w:rPr>
      </w:pPr>
    </w:p>
    <w:p w14:paraId="70F8E937">
      <w:pPr>
        <w:pStyle w:val="9"/>
        <w:spacing w:before="0"/>
        <w:ind w:left="0"/>
        <w:jc w:val="left"/>
        <w:rPr>
          <w:rFonts w:hint="eastAsia"/>
          <w:sz w:val="30"/>
          <w:szCs w:val="30"/>
        </w:rPr>
      </w:pPr>
      <w:r>
        <w:rPr>
          <w:rFonts w:hint="eastAsia"/>
          <w:sz w:val="30"/>
          <w:szCs w:val="30"/>
        </w:rPr>
        <w:t>Now at this point it may seem that the next step in our journey is obvious: We must turn to the Bible—and in particular to the NT—and see what is says about the first underlying issue, the Kingdom of God.</w:t>
      </w:r>
    </w:p>
    <w:p w14:paraId="43466969">
      <w:pPr>
        <w:pStyle w:val="9"/>
        <w:spacing w:before="0"/>
        <w:ind w:left="0"/>
        <w:jc w:val="left"/>
        <w:rPr>
          <w:rFonts w:hint="eastAsia"/>
          <w:sz w:val="30"/>
          <w:szCs w:val="30"/>
        </w:rPr>
      </w:pPr>
    </w:p>
    <w:p w14:paraId="611DB812">
      <w:pPr>
        <w:pStyle w:val="9"/>
        <w:spacing w:before="0"/>
        <w:ind w:left="0"/>
        <w:jc w:val="left"/>
        <w:rPr>
          <w:rFonts w:hint="eastAsia"/>
          <w:sz w:val="30"/>
          <w:szCs w:val="30"/>
        </w:rPr>
      </w:pPr>
      <w:r>
        <w:rPr>
          <w:rFonts w:hint="eastAsia"/>
          <w:sz w:val="30"/>
          <w:szCs w:val="30"/>
        </w:rPr>
        <w:t>现在，到了这一点，我们旅程的下一步似乎是显而易见的：我们必须转向圣经——特别是新约——看看它对第一个根本性议题，即神的国，说了些什么。</w:t>
      </w:r>
    </w:p>
    <w:p w14:paraId="1CD69C1F">
      <w:pPr>
        <w:pStyle w:val="9"/>
        <w:spacing w:before="0"/>
        <w:ind w:left="0"/>
        <w:jc w:val="left"/>
        <w:rPr>
          <w:rFonts w:hint="eastAsia"/>
          <w:sz w:val="30"/>
          <w:szCs w:val="30"/>
        </w:rPr>
      </w:pPr>
    </w:p>
    <w:p w14:paraId="321BDF6D">
      <w:pPr>
        <w:pStyle w:val="9"/>
        <w:spacing w:before="0"/>
        <w:ind w:left="0"/>
        <w:jc w:val="left"/>
        <w:rPr>
          <w:rFonts w:hint="eastAsia"/>
          <w:sz w:val="30"/>
          <w:szCs w:val="30"/>
        </w:rPr>
      </w:pPr>
      <w:r>
        <w:rPr>
          <w:rFonts w:hint="eastAsia"/>
          <w:sz w:val="30"/>
          <w:szCs w:val="30"/>
        </w:rPr>
        <w:t>If, however, I were to take that step immediately, I fear I would be betraying the present generation of God’s children (Psalm 73:13).</w:t>
      </w:r>
    </w:p>
    <w:p w14:paraId="58B0BDA3">
      <w:pPr>
        <w:pStyle w:val="9"/>
        <w:spacing w:before="0"/>
        <w:ind w:left="0"/>
        <w:jc w:val="left"/>
        <w:rPr>
          <w:rFonts w:hint="eastAsia"/>
          <w:sz w:val="30"/>
          <w:szCs w:val="30"/>
        </w:rPr>
      </w:pPr>
    </w:p>
    <w:p w14:paraId="1B96EED7">
      <w:pPr>
        <w:pStyle w:val="9"/>
        <w:spacing w:before="0"/>
        <w:ind w:left="0"/>
        <w:jc w:val="left"/>
        <w:rPr>
          <w:rFonts w:hint="eastAsia"/>
          <w:sz w:val="30"/>
          <w:szCs w:val="30"/>
        </w:rPr>
      </w:pPr>
      <w:r>
        <w:rPr>
          <w:rFonts w:hint="eastAsia"/>
          <w:sz w:val="30"/>
          <w:szCs w:val="30"/>
        </w:rPr>
        <w:t>然而，如果我立即迈出那一步，我恐怕会背叛神现今这一代的儿女（诗篇 73:13）。</w:t>
      </w:r>
    </w:p>
    <w:p w14:paraId="7E7EBB9A">
      <w:pPr>
        <w:pStyle w:val="9"/>
        <w:spacing w:before="0"/>
        <w:ind w:left="0"/>
        <w:jc w:val="left"/>
        <w:rPr>
          <w:rFonts w:hint="eastAsia"/>
          <w:sz w:val="30"/>
          <w:szCs w:val="30"/>
        </w:rPr>
      </w:pPr>
    </w:p>
    <w:p w14:paraId="020BCAB0">
      <w:pPr>
        <w:pStyle w:val="9"/>
        <w:spacing w:before="0"/>
        <w:ind w:left="0"/>
        <w:jc w:val="left"/>
        <w:rPr>
          <w:rFonts w:hint="eastAsia"/>
          <w:sz w:val="30"/>
          <w:szCs w:val="30"/>
        </w:rPr>
      </w:pPr>
      <w:r>
        <w:rPr>
          <w:rFonts w:hint="eastAsia"/>
          <w:sz w:val="30"/>
          <w:szCs w:val="30"/>
        </w:rPr>
        <w:t>Therefore, in order to be kind, I must be a little cruel; I must inflict a little (healing) pain on you.</w:t>
      </w:r>
    </w:p>
    <w:p w14:paraId="3ADF5189">
      <w:pPr>
        <w:pStyle w:val="9"/>
        <w:spacing w:before="0"/>
        <w:ind w:left="0"/>
        <w:jc w:val="left"/>
        <w:rPr>
          <w:rFonts w:hint="eastAsia"/>
          <w:sz w:val="30"/>
          <w:szCs w:val="30"/>
        </w:rPr>
      </w:pPr>
    </w:p>
    <w:p w14:paraId="4E86F962">
      <w:pPr>
        <w:pStyle w:val="9"/>
        <w:spacing w:before="0"/>
        <w:ind w:left="0"/>
        <w:jc w:val="left"/>
        <w:rPr>
          <w:rFonts w:hint="eastAsia"/>
          <w:sz w:val="30"/>
          <w:szCs w:val="30"/>
        </w:rPr>
      </w:pPr>
      <w:r>
        <w:rPr>
          <w:rFonts w:hint="eastAsia"/>
          <w:sz w:val="30"/>
          <w:szCs w:val="30"/>
        </w:rPr>
        <w:t>因此，为了仁慈，我必须有点残忍；我必须给你施加一点（有医治作用的）痛苦。</w:t>
      </w:r>
    </w:p>
    <w:p w14:paraId="6FA8B24A">
      <w:pPr>
        <w:pStyle w:val="9"/>
        <w:spacing w:before="0"/>
        <w:ind w:left="0"/>
        <w:jc w:val="left"/>
        <w:rPr>
          <w:rFonts w:hint="eastAsia"/>
          <w:sz w:val="30"/>
          <w:szCs w:val="30"/>
        </w:rPr>
      </w:pPr>
    </w:p>
    <w:p w14:paraId="6A03A7F4">
      <w:pPr>
        <w:pStyle w:val="9"/>
        <w:spacing w:before="0"/>
        <w:ind w:left="0"/>
        <w:jc w:val="left"/>
        <w:rPr>
          <w:rFonts w:hint="eastAsia"/>
          <w:sz w:val="30"/>
          <w:szCs w:val="30"/>
        </w:rPr>
      </w:pPr>
      <w:r>
        <w:rPr>
          <w:rFonts w:hint="eastAsia"/>
          <w:sz w:val="30"/>
          <w:szCs w:val="30"/>
        </w:rPr>
        <w:t>How?</w:t>
      </w:r>
    </w:p>
    <w:p w14:paraId="1B666DF2">
      <w:pPr>
        <w:pStyle w:val="9"/>
        <w:spacing w:before="0"/>
        <w:ind w:left="0"/>
        <w:jc w:val="left"/>
        <w:rPr>
          <w:rFonts w:hint="eastAsia"/>
          <w:sz w:val="30"/>
          <w:szCs w:val="30"/>
        </w:rPr>
      </w:pPr>
    </w:p>
    <w:p w14:paraId="05C2C1E6">
      <w:pPr>
        <w:pStyle w:val="9"/>
        <w:spacing w:before="0"/>
        <w:ind w:left="0"/>
        <w:jc w:val="left"/>
        <w:rPr>
          <w:rFonts w:hint="eastAsia"/>
          <w:sz w:val="30"/>
          <w:szCs w:val="30"/>
        </w:rPr>
      </w:pPr>
      <w:r>
        <w:rPr>
          <w:rFonts w:hint="eastAsia"/>
          <w:sz w:val="30"/>
          <w:szCs w:val="30"/>
        </w:rPr>
        <w:t>如何做？</w:t>
      </w:r>
    </w:p>
    <w:p w14:paraId="3FEF9904">
      <w:pPr>
        <w:pStyle w:val="9"/>
        <w:spacing w:before="0"/>
        <w:ind w:left="0"/>
        <w:jc w:val="left"/>
        <w:rPr>
          <w:rFonts w:hint="eastAsia"/>
          <w:sz w:val="30"/>
          <w:szCs w:val="30"/>
        </w:rPr>
      </w:pPr>
    </w:p>
    <w:p w14:paraId="569AE08B">
      <w:pPr>
        <w:pStyle w:val="9"/>
        <w:spacing w:before="0"/>
        <w:ind w:left="0"/>
        <w:jc w:val="left"/>
        <w:rPr>
          <w:rFonts w:hint="eastAsia"/>
          <w:sz w:val="30"/>
          <w:szCs w:val="30"/>
        </w:rPr>
      </w:pPr>
      <w:r>
        <w:rPr>
          <w:rFonts w:hint="eastAsia"/>
          <w:sz w:val="30"/>
          <w:szCs w:val="30"/>
        </w:rPr>
        <w:t>By introducing you to the various schools of contemporary eschatology, explaining how each one of them deals with the four underlying issues in this debate, and showing how each one situates the various elements of biblical eschatology on the time-line of Salvation History.</w:t>
      </w:r>
    </w:p>
    <w:p w14:paraId="6412F27A">
      <w:pPr>
        <w:pStyle w:val="9"/>
        <w:spacing w:before="0"/>
        <w:ind w:left="0"/>
        <w:jc w:val="left"/>
        <w:rPr>
          <w:rFonts w:hint="eastAsia"/>
          <w:sz w:val="30"/>
          <w:szCs w:val="30"/>
        </w:rPr>
      </w:pPr>
    </w:p>
    <w:p w14:paraId="150472FD">
      <w:pPr>
        <w:pStyle w:val="9"/>
        <w:spacing w:before="0"/>
        <w:ind w:left="0"/>
        <w:jc w:val="left"/>
        <w:rPr>
          <w:rFonts w:hint="eastAsia"/>
          <w:sz w:val="30"/>
          <w:szCs w:val="30"/>
        </w:rPr>
      </w:pPr>
      <w:r>
        <w:rPr>
          <w:rFonts w:hint="eastAsia"/>
          <w:sz w:val="30"/>
          <w:szCs w:val="30"/>
        </w:rPr>
        <w:t>通过向你介绍当代末世论的各个学派，解释它们各自如何处理这场辩论中的四个根本性议题，并展示它们各自如何将圣经末世论的各种元素置于救赎历史的时间线上。</w:t>
      </w:r>
    </w:p>
    <w:p w14:paraId="5C586890">
      <w:pPr>
        <w:pStyle w:val="9"/>
        <w:spacing w:before="0"/>
        <w:ind w:left="0"/>
        <w:jc w:val="left"/>
        <w:rPr>
          <w:rFonts w:hint="eastAsia"/>
          <w:sz w:val="30"/>
          <w:szCs w:val="30"/>
        </w:rPr>
      </w:pPr>
    </w:p>
    <w:p w14:paraId="5B868396">
      <w:pPr>
        <w:pStyle w:val="9"/>
        <w:spacing w:before="0"/>
        <w:ind w:left="0"/>
        <w:jc w:val="left"/>
        <w:rPr>
          <w:rFonts w:hint="eastAsia"/>
          <w:sz w:val="30"/>
          <w:szCs w:val="30"/>
        </w:rPr>
      </w:pPr>
      <w:r>
        <w:rPr>
          <w:rFonts w:hint="eastAsia"/>
          <w:sz w:val="30"/>
          <w:szCs w:val="30"/>
        </w:rPr>
        <w:t>Yes, this will involve some work.</w:t>
      </w:r>
    </w:p>
    <w:p w14:paraId="4C3B531A">
      <w:pPr>
        <w:pStyle w:val="9"/>
        <w:spacing w:before="0"/>
        <w:ind w:left="0"/>
        <w:jc w:val="left"/>
        <w:rPr>
          <w:rFonts w:hint="eastAsia"/>
          <w:sz w:val="30"/>
          <w:szCs w:val="30"/>
        </w:rPr>
      </w:pPr>
    </w:p>
    <w:p w14:paraId="4F36BDB0">
      <w:pPr>
        <w:pStyle w:val="9"/>
        <w:spacing w:before="0"/>
        <w:ind w:left="0"/>
        <w:jc w:val="left"/>
        <w:rPr>
          <w:rFonts w:hint="eastAsia"/>
          <w:sz w:val="30"/>
          <w:szCs w:val="30"/>
        </w:rPr>
      </w:pPr>
      <w:r>
        <w:rPr>
          <w:rFonts w:hint="eastAsia"/>
          <w:sz w:val="30"/>
          <w:szCs w:val="30"/>
        </w:rPr>
        <w:t>是的，这会需要一些功夫。</w:t>
      </w:r>
    </w:p>
    <w:p w14:paraId="6B8F098B">
      <w:pPr>
        <w:pStyle w:val="9"/>
        <w:spacing w:before="0"/>
        <w:ind w:left="0"/>
        <w:jc w:val="left"/>
        <w:rPr>
          <w:rFonts w:hint="eastAsia"/>
          <w:sz w:val="30"/>
          <w:szCs w:val="30"/>
        </w:rPr>
      </w:pPr>
    </w:p>
    <w:p w14:paraId="009055DC">
      <w:pPr>
        <w:pStyle w:val="9"/>
        <w:spacing w:before="0"/>
        <w:ind w:left="0"/>
        <w:jc w:val="left"/>
        <w:rPr>
          <w:rFonts w:hint="eastAsia"/>
          <w:sz w:val="30"/>
          <w:szCs w:val="30"/>
        </w:rPr>
      </w:pPr>
      <w:r>
        <w:rPr>
          <w:rFonts w:hint="eastAsia"/>
          <w:sz w:val="30"/>
          <w:szCs w:val="30"/>
        </w:rPr>
        <w:t>And again, it may be a little painful.</w:t>
      </w:r>
    </w:p>
    <w:p w14:paraId="1B8700D2">
      <w:pPr>
        <w:pStyle w:val="9"/>
        <w:spacing w:before="0"/>
        <w:ind w:left="0"/>
        <w:jc w:val="left"/>
        <w:rPr>
          <w:rFonts w:hint="eastAsia"/>
          <w:sz w:val="30"/>
          <w:szCs w:val="30"/>
        </w:rPr>
      </w:pPr>
    </w:p>
    <w:p w14:paraId="1E3150B9">
      <w:pPr>
        <w:pStyle w:val="9"/>
        <w:spacing w:before="0"/>
        <w:ind w:left="0"/>
        <w:jc w:val="left"/>
        <w:rPr>
          <w:rFonts w:hint="eastAsia"/>
          <w:sz w:val="30"/>
          <w:szCs w:val="30"/>
        </w:rPr>
      </w:pPr>
      <w:r>
        <w:rPr>
          <w:rFonts w:hint="eastAsia"/>
          <w:sz w:val="30"/>
          <w:szCs w:val="30"/>
        </w:rPr>
        <w:t>并且，再次强调，这可能会有点痛苦。</w:t>
      </w:r>
    </w:p>
    <w:p w14:paraId="740DE50B">
      <w:pPr>
        <w:pStyle w:val="9"/>
        <w:spacing w:before="0"/>
        <w:ind w:left="0"/>
        <w:jc w:val="left"/>
        <w:rPr>
          <w:rFonts w:hint="eastAsia"/>
          <w:sz w:val="30"/>
          <w:szCs w:val="30"/>
        </w:rPr>
      </w:pPr>
    </w:p>
    <w:p w14:paraId="460AD5FB">
      <w:pPr>
        <w:pStyle w:val="9"/>
        <w:spacing w:before="0"/>
        <w:ind w:left="0"/>
        <w:jc w:val="left"/>
        <w:rPr>
          <w:rFonts w:hint="eastAsia"/>
          <w:sz w:val="30"/>
          <w:szCs w:val="30"/>
        </w:rPr>
      </w:pPr>
      <w:r>
        <w:rPr>
          <w:rFonts w:hint="eastAsia"/>
          <w:sz w:val="30"/>
          <w:szCs w:val="30"/>
        </w:rPr>
        <w:t>But good Bereans, take heart!</w:t>
      </w:r>
    </w:p>
    <w:p w14:paraId="3BF8E51C">
      <w:pPr>
        <w:pStyle w:val="9"/>
        <w:spacing w:before="0"/>
        <w:ind w:left="0"/>
        <w:jc w:val="left"/>
        <w:rPr>
          <w:rFonts w:hint="eastAsia"/>
          <w:sz w:val="30"/>
          <w:szCs w:val="30"/>
        </w:rPr>
      </w:pPr>
    </w:p>
    <w:p w14:paraId="3775C281">
      <w:pPr>
        <w:pStyle w:val="9"/>
        <w:spacing w:before="0"/>
        <w:ind w:left="0"/>
        <w:jc w:val="left"/>
        <w:rPr>
          <w:rFonts w:hint="eastAsia"/>
          <w:sz w:val="30"/>
          <w:szCs w:val="30"/>
        </w:rPr>
      </w:pPr>
      <w:r>
        <w:rPr>
          <w:rFonts w:hint="eastAsia"/>
          <w:sz w:val="30"/>
          <w:szCs w:val="30"/>
        </w:rPr>
        <w:t>但贤良的庇哩亚人啊，鼓起勇气！</w:t>
      </w:r>
    </w:p>
    <w:p w14:paraId="3C9A8B1D">
      <w:pPr>
        <w:pStyle w:val="9"/>
        <w:spacing w:before="0"/>
        <w:ind w:left="0"/>
        <w:jc w:val="left"/>
        <w:rPr>
          <w:rFonts w:hint="eastAsia"/>
          <w:sz w:val="30"/>
          <w:szCs w:val="30"/>
        </w:rPr>
      </w:pPr>
    </w:p>
    <w:p w14:paraId="248BD538">
      <w:pPr>
        <w:pStyle w:val="9"/>
        <w:spacing w:before="0"/>
        <w:ind w:left="0"/>
        <w:jc w:val="left"/>
        <w:rPr>
          <w:rFonts w:hint="eastAsia"/>
          <w:sz w:val="30"/>
          <w:szCs w:val="30"/>
        </w:rPr>
      </w:pPr>
      <w:r>
        <w:rPr>
          <w:rFonts w:hint="eastAsia"/>
          <w:sz w:val="30"/>
          <w:szCs w:val="30"/>
        </w:rPr>
        <w:t>Once having mastered these views, you will be far less intimidated by the Great End Time Debate, and far more confident about engaging it.</w:t>
      </w:r>
    </w:p>
    <w:p w14:paraId="2C917833">
      <w:pPr>
        <w:pStyle w:val="9"/>
        <w:spacing w:before="0"/>
        <w:ind w:left="0"/>
        <w:jc w:val="left"/>
        <w:rPr>
          <w:rFonts w:hint="eastAsia"/>
          <w:sz w:val="30"/>
          <w:szCs w:val="30"/>
        </w:rPr>
      </w:pPr>
    </w:p>
    <w:p w14:paraId="28C408E9">
      <w:pPr>
        <w:pStyle w:val="9"/>
        <w:spacing w:before="0"/>
        <w:ind w:left="0"/>
        <w:jc w:val="left"/>
        <w:rPr>
          <w:rFonts w:hint="eastAsia"/>
          <w:sz w:val="30"/>
          <w:szCs w:val="30"/>
        </w:rPr>
      </w:pPr>
      <w:r>
        <w:rPr>
          <w:rFonts w:hint="eastAsia"/>
          <w:sz w:val="30"/>
          <w:szCs w:val="30"/>
        </w:rPr>
        <w:t>一旦掌握了这些观点，你对末世大辩论的畏惧就会大大减少，并且对参与其中也会更有信心。</w:t>
      </w:r>
    </w:p>
    <w:p w14:paraId="57407382">
      <w:pPr>
        <w:pStyle w:val="9"/>
        <w:spacing w:before="0"/>
        <w:ind w:left="0"/>
        <w:jc w:val="left"/>
        <w:rPr>
          <w:rFonts w:hint="eastAsia"/>
          <w:sz w:val="30"/>
          <w:szCs w:val="30"/>
        </w:rPr>
      </w:pPr>
    </w:p>
    <w:p w14:paraId="777869F6">
      <w:pPr>
        <w:pStyle w:val="9"/>
        <w:spacing w:before="0"/>
        <w:ind w:left="0"/>
        <w:jc w:val="left"/>
        <w:rPr>
          <w:rFonts w:hint="eastAsia"/>
          <w:sz w:val="30"/>
          <w:szCs w:val="30"/>
        </w:rPr>
      </w:pPr>
      <w:r>
        <w:rPr>
          <w:rFonts w:hint="eastAsia"/>
          <w:sz w:val="30"/>
          <w:szCs w:val="30"/>
        </w:rPr>
        <w:t>More importantly still, you will then be ready for the truly exciting part, the part where we receive the Master Keys from the High King of heaven, insert them in the locks, open up the door, and see which one of these views is His truth!</w:t>
      </w:r>
    </w:p>
    <w:p w14:paraId="6B87D2E9">
      <w:pPr>
        <w:pStyle w:val="9"/>
        <w:spacing w:before="0"/>
        <w:ind w:left="0"/>
        <w:jc w:val="left"/>
        <w:rPr>
          <w:rFonts w:hint="eastAsia"/>
          <w:sz w:val="30"/>
          <w:szCs w:val="30"/>
        </w:rPr>
      </w:pPr>
    </w:p>
    <w:p w14:paraId="368F6A34">
      <w:pPr>
        <w:pStyle w:val="9"/>
        <w:spacing w:before="0"/>
        <w:ind w:left="0"/>
        <w:jc w:val="left"/>
        <w:rPr>
          <w:sz w:val="30"/>
          <w:szCs w:val="30"/>
        </w:rPr>
      </w:pPr>
      <w:r>
        <w:rPr>
          <w:rFonts w:hint="eastAsia"/>
          <w:sz w:val="30"/>
          <w:szCs w:val="30"/>
        </w:rPr>
        <w:t>更重要的是，届时你将准备好进入那真正激动人心的部分，就是我们从天上的至高君王那里领受万能钥匙，将它们插入锁中，打开门，看看这些观点中哪一个才是祂的真理！</w:t>
      </w:r>
    </w:p>
    <w:p w14:paraId="62F790DB">
      <w:pPr>
        <w:pStyle w:val="9"/>
        <w:spacing w:after="0" w:line="249" w:lineRule="auto"/>
        <w:rPr>
          <w:sz w:val="30"/>
          <w:szCs w:val="30"/>
        </w:rPr>
        <w:sectPr>
          <w:pgSz w:w="12240" w:h="15840"/>
          <w:pgMar w:top="1380" w:right="1440" w:bottom="280" w:left="1440" w:header="720" w:footer="720" w:gutter="0"/>
          <w:cols w:space="720" w:num="1"/>
        </w:sectPr>
      </w:pPr>
    </w:p>
    <w:p w14:paraId="29CF0BDE">
      <w:pPr>
        <w:pStyle w:val="2"/>
        <w:bidi w:val="0"/>
        <w:rPr>
          <w:rFonts w:hint="eastAsia"/>
        </w:rPr>
      </w:pPr>
      <w:bookmarkStart w:id="10" w:name="Chapter 3: Options in Biblical Eschatolo"/>
      <w:bookmarkEnd w:id="10"/>
      <w:bookmarkStart w:id="11" w:name="_bookmark9"/>
      <w:bookmarkEnd w:id="11"/>
      <w:r>
        <w:rPr>
          <w:rFonts w:hint="eastAsia"/>
        </w:rPr>
        <w:t>Chapter 3</w:t>
      </w:r>
    </w:p>
    <w:p w14:paraId="58D53DC9">
      <w:pPr>
        <w:pStyle w:val="2"/>
        <w:bidi w:val="0"/>
        <w:rPr>
          <w:rFonts w:hint="eastAsia"/>
        </w:rPr>
      </w:pPr>
      <w:r>
        <w:rPr>
          <w:rFonts w:hint="eastAsia"/>
        </w:rPr>
        <w:t>第三章</w:t>
      </w:r>
    </w:p>
    <w:p w14:paraId="4FE921AE">
      <w:pPr>
        <w:pStyle w:val="9"/>
        <w:spacing w:before="8"/>
        <w:ind w:left="0"/>
        <w:jc w:val="left"/>
        <w:rPr>
          <w:rFonts w:hint="eastAsia"/>
          <w:b w:val="0"/>
          <w:bCs/>
          <w:sz w:val="30"/>
          <w:szCs w:val="30"/>
        </w:rPr>
      </w:pPr>
    </w:p>
    <w:p w14:paraId="48A2AAFA">
      <w:pPr>
        <w:pStyle w:val="3"/>
        <w:bidi w:val="0"/>
        <w:rPr>
          <w:rFonts w:hint="eastAsia"/>
        </w:rPr>
      </w:pPr>
      <w:r>
        <w:rPr>
          <w:rFonts w:hint="eastAsia"/>
        </w:rPr>
        <w:t>Options in Biblical Eschatology</w:t>
      </w:r>
    </w:p>
    <w:p w14:paraId="32A82DE0">
      <w:pPr>
        <w:pStyle w:val="3"/>
        <w:bidi w:val="0"/>
        <w:rPr>
          <w:rFonts w:hint="eastAsia"/>
        </w:rPr>
      </w:pPr>
      <w:r>
        <w:rPr>
          <w:rFonts w:hint="eastAsia"/>
        </w:rPr>
        <w:t>圣经末世论中的选项</w:t>
      </w:r>
    </w:p>
    <w:p w14:paraId="67E7FEC1">
      <w:pPr>
        <w:pStyle w:val="9"/>
        <w:spacing w:before="8"/>
        <w:ind w:left="0"/>
        <w:jc w:val="left"/>
        <w:rPr>
          <w:rFonts w:hint="eastAsia"/>
          <w:b w:val="0"/>
          <w:bCs/>
          <w:sz w:val="30"/>
          <w:szCs w:val="30"/>
        </w:rPr>
      </w:pPr>
    </w:p>
    <w:p w14:paraId="18917437">
      <w:pPr>
        <w:pStyle w:val="9"/>
        <w:spacing w:before="8"/>
        <w:ind w:left="0"/>
        <w:jc w:val="left"/>
        <w:rPr>
          <w:rFonts w:hint="eastAsia"/>
          <w:b w:val="0"/>
          <w:bCs/>
          <w:sz w:val="30"/>
          <w:szCs w:val="30"/>
        </w:rPr>
      </w:pPr>
      <w:r>
        <w:rPr>
          <w:rFonts w:hint="eastAsia"/>
          <w:b w:val="0"/>
          <w:bCs/>
          <w:sz w:val="30"/>
          <w:szCs w:val="30"/>
        </w:rPr>
        <w:t>I HAVE SAID that mastering the contemporary options in biblical eschatology is hard work, but I have no desire that it should be torture.</w:t>
      </w:r>
    </w:p>
    <w:p w14:paraId="5F92E55D">
      <w:pPr>
        <w:pStyle w:val="9"/>
        <w:spacing w:before="8"/>
        <w:ind w:left="0"/>
        <w:jc w:val="left"/>
        <w:rPr>
          <w:rFonts w:hint="eastAsia"/>
          <w:b w:val="0"/>
          <w:bCs/>
          <w:sz w:val="30"/>
          <w:szCs w:val="30"/>
        </w:rPr>
      </w:pPr>
    </w:p>
    <w:p w14:paraId="7262A616">
      <w:pPr>
        <w:pStyle w:val="9"/>
        <w:spacing w:before="8"/>
        <w:ind w:left="0"/>
        <w:jc w:val="left"/>
        <w:rPr>
          <w:rFonts w:hint="eastAsia"/>
          <w:b w:val="0"/>
          <w:bCs/>
          <w:sz w:val="30"/>
          <w:szCs w:val="30"/>
        </w:rPr>
      </w:pPr>
      <w:r>
        <w:rPr>
          <w:rFonts w:hint="eastAsia"/>
          <w:b w:val="0"/>
          <w:bCs/>
          <w:sz w:val="30"/>
          <w:szCs w:val="30"/>
        </w:rPr>
        <w:t>我说过，掌握当代圣经末世论的各种选项是件辛苦事，但我无意使其成为一种折磨。</w:t>
      </w:r>
    </w:p>
    <w:p w14:paraId="013CE72C">
      <w:pPr>
        <w:pStyle w:val="9"/>
        <w:spacing w:before="8"/>
        <w:ind w:left="0"/>
        <w:jc w:val="left"/>
        <w:rPr>
          <w:rFonts w:hint="eastAsia"/>
          <w:b w:val="0"/>
          <w:bCs/>
          <w:sz w:val="30"/>
          <w:szCs w:val="30"/>
        </w:rPr>
      </w:pPr>
    </w:p>
    <w:p w14:paraId="1DF106FD">
      <w:pPr>
        <w:pStyle w:val="9"/>
        <w:spacing w:before="8"/>
        <w:ind w:left="0"/>
        <w:jc w:val="left"/>
        <w:rPr>
          <w:rFonts w:hint="eastAsia"/>
          <w:b w:val="0"/>
          <w:bCs/>
          <w:sz w:val="30"/>
          <w:szCs w:val="30"/>
        </w:rPr>
      </w:pPr>
      <w:r>
        <w:rPr>
          <w:rFonts w:hint="eastAsia"/>
          <w:b w:val="0"/>
          <w:bCs/>
          <w:sz w:val="30"/>
          <w:szCs w:val="30"/>
        </w:rPr>
        <w:t>Accordingly, I have tried to keep the present discussion as simple as possible.</w:t>
      </w:r>
    </w:p>
    <w:p w14:paraId="0CDDCF3F">
      <w:pPr>
        <w:pStyle w:val="9"/>
        <w:spacing w:before="8"/>
        <w:ind w:left="0"/>
        <w:jc w:val="left"/>
        <w:rPr>
          <w:rFonts w:hint="eastAsia"/>
          <w:b w:val="0"/>
          <w:bCs/>
          <w:sz w:val="30"/>
          <w:szCs w:val="30"/>
        </w:rPr>
      </w:pPr>
    </w:p>
    <w:p w14:paraId="5F131B64">
      <w:pPr>
        <w:pStyle w:val="9"/>
        <w:spacing w:before="8"/>
        <w:ind w:left="0"/>
        <w:jc w:val="left"/>
        <w:rPr>
          <w:rFonts w:hint="eastAsia"/>
          <w:b w:val="0"/>
          <w:bCs/>
          <w:sz w:val="30"/>
          <w:szCs w:val="30"/>
        </w:rPr>
      </w:pPr>
      <w:r>
        <w:rPr>
          <w:rFonts w:hint="eastAsia"/>
          <w:b w:val="0"/>
          <w:bCs/>
          <w:sz w:val="30"/>
          <w:szCs w:val="30"/>
        </w:rPr>
        <w:t>因此，我已尽力使当前的讨论尽可能简单。</w:t>
      </w:r>
    </w:p>
    <w:p w14:paraId="767E6C5E">
      <w:pPr>
        <w:pStyle w:val="9"/>
        <w:spacing w:before="8"/>
        <w:ind w:left="0"/>
        <w:jc w:val="left"/>
        <w:rPr>
          <w:rFonts w:hint="eastAsia"/>
          <w:b w:val="0"/>
          <w:bCs/>
          <w:sz w:val="30"/>
          <w:szCs w:val="30"/>
        </w:rPr>
      </w:pPr>
    </w:p>
    <w:p w14:paraId="345B02B7">
      <w:pPr>
        <w:pStyle w:val="9"/>
        <w:spacing w:before="8"/>
        <w:ind w:left="0"/>
        <w:jc w:val="left"/>
        <w:rPr>
          <w:rFonts w:hint="eastAsia"/>
          <w:b w:val="0"/>
          <w:bCs/>
          <w:sz w:val="30"/>
          <w:szCs w:val="30"/>
        </w:rPr>
      </w:pPr>
      <w:r>
        <w:rPr>
          <w:rFonts w:hint="eastAsia"/>
          <w:b w:val="0"/>
          <w:bCs/>
          <w:sz w:val="30"/>
          <w:szCs w:val="30"/>
        </w:rPr>
        <w:t>My goal is to introduce the competing views of Salvation History in their most basic form.</w:t>
      </w:r>
    </w:p>
    <w:p w14:paraId="6B63EF85">
      <w:pPr>
        <w:pStyle w:val="9"/>
        <w:spacing w:before="8"/>
        <w:ind w:left="0"/>
        <w:jc w:val="left"/>
        <w:rPr>
          <w:rFonts w:hint="eastAsia"/>
          <w:b w:val="0"/>
          <w:bCs/>
          <w:sz w:val="30"/>
          <w:szCs w:val="30"/>
        </w:rPr>
      </w:pPr>
    </w:p>
    <w:p w14:paraId="45C96297">
      <w:pPr>
        <w:pStyle w:val="9"/>
        <w:spacing w:before="8"/>
        <w:ind w:left="0"/>
        <w:jc w:val="left"/>
        <w:rPr>
          <w:rFonts w:hint="eastAsia"/>
          <w:b w:val="0"/>
          <w:bCs/>
          <w:sz w:val="30"/>
          <w:szCs w:val="30"/>
        </w:rPr>
      </w:pPr>
      <w:r>
        <w:rPr>
          <w:rFonts w:hint="eastAsia"/>
          <w:b w:val="0"/>
          <w:bCs/>
          <w:sz w:val="30"/>
          <w:szCs w:val="30"/>
        </w:rPr>
        <w:t>我的目标是以最基本的形式，介绍关于救赎历史的各种相互竞争的观点。</w:t>
      </w:r>
    </w:p>
    <w:p w14:paraId="345B1400">
      <w:pPr>
        <w:pStyle w:val="9"/>
        <w:spacing w:before="8"/>
        <w:ind w:left="0"/>
        <w:jc w:val="left"/>
        <w:rPr>
          <w:rFonts w:hint="eastAsia"/>
          <w:b w:val="0"/>
          <w:bCs/>
          <w:sz w:val="30"/>
          <w:szCs w:val="30"/>
        </w:rPr>
      </w:pPr>
    </w:p>
    <w:p w14:paraId="1ED65291">
      <w:pPr>
        <w:pStyle w:val="9"/>
        <w:spacing w:before="8"/>
        <w:ind w:left="0"/>
        <w:jc w:val="left"/>
        <w:rPr>
          <w:rFonts w:hint="eastAsia"/>
          <w:b w:val="0"/>
          <w:bCs/>
          <w:sz w:val="30"/>
          <w:szCs w:val="30"/>
        </w:rPr>
      </w:pPr>
      <w:r>
        <w:rPr>
          <w:rFonts w:hint="eastAsia"/>
          <w:b w:val="0"/>
          <w:bCs/>
          <w:sz w:val="30"/>
          <w:szCs w:val="30"/>
        </w:rPr>
        <w:t>I will not much delve into their history, or their (alleged) scriptural foundations, or their details, or the (endless) modifications of this or that particular view.</w:t>
      </w:r>
    </w:p>
    <w:p w14:paraId="5FE5710C">
      <w:pPr>
        <w:pStyle w:val="9"/>
        <w:spacing w:before="8"/>
        <w:ind w:left="0"/>
        <w:jc w:val="left"/>
        <w:rPr>
          <w:rFonts w:hint="eastAsia"/>
          <w:b w:val="0"/>
          <w:bCs/>
          <w:sz w:val="30"/>
          <w:szCs w:val="30"/>
        </w:rPr>
      </w:pPr>
    </w:p>
    <w:p w14:paraId="5BE2D180">
      <w:pPr>
        <w:pStyle w:val="9"/>
        <w:spacing w:before="8"/>
        <w:ind w:left="0"/>
        <w:jc w:val="left"/>
        <w:rPr>
          <w:rFonts w:hint="eastAsia"/>
          <w:b w:val="0"/>
          <w:bCs/>
          <w:sz w:val="30"/>
          <w:szCs w:val="30"/>
        </w:rPr>
      </w:pPr>
      <w:r>
        <w:rPr>
          <w:rFonts w:hint="eastAsia"/>
          <w:b w:val="0"/>
          <w:bCs/>
          <w:sz w:val="30"/>
          <w:szCs w:val="30"/>
        </w:rPr>
        <w:t>我不会过多地深入探讨它们的历史、它们（所谓的）圣经基础、它们的细节，或对这样或那样特定观点的（无尽）修改。</w:t>
      </w:r>
    </w:p>
    <w:p w14:paraId="1DEC231B">
      <w:pPr>
        <w:pStyle w:val="9"/>
        <w:spacing w:before="8"/>
        <w:ind w:left="0"/>
        <w:jc w:val="left"/>
        <w:rPr>
          <w:rFonts w:hint="eastAsia"/>
          <w:b w:val="0"/>
          <w:bCs/>
          <w:sz w:val="30"/>
          <w:szCs w:val="30"/>
        </w:rPr>
      </w:pPr>
    </w:p>
    <w:p w14:paraId="38C6870D">
      <w:pPr>
        <w:pStyle w:val="9"/>
        <w:spacing w:before="8"/>
        <w:ind w:left="0"/>
        <w:jc w:val="left"/>
        <w:rPr>
          <w:rFonts w:hint="eastAsia"/>
          <w:b w:val="0"/>
          <w:bCs/>
          <w:sz w:val="30"/>
          <w:szCs w:val="30"/>
        </w:rPr>
      </w:pPr>
      <w:r>
        <w:rPr>
          <w:rFonts w:hint="eastAsia"/>
          <w:b w:val="0"/>
          <w:bCs/>
          <w:sz w:val="30"/>
          <w:szCs w:val="30"/>
        </w:rPr>
        <w:t>Nor will I (here) critique any of these schools of thought.</w:t>
      </w:r>
    </w:p>
    <w:p w14:paraId="4A4F829D">
      <w:pPr>
        <w:pStyle w:val="9"/>
        <w:spacing w:before="8"/>
        <w:ind w:left="0"/>
        <w:jc w:val="left"/>
        <w:rPr>
          <w:rFonts w:hint="eastAsia"/>
          <w:b w:val="0"/>
          <w:bCs/>
          <w:sz w:val="30"/>
          <w:szCs w:val="30"/>
        </w:rPr>
      </w:pPr>
    </w:p>
    <w:p w14:paraId="110F1B46">
      <w:pPr>
        <w:pStyle w:val="9"/>
        <w:spacing w:before="8"/>
        <w:ind w:left="0"/>
        <w:jc w:val="left"/>
        <w:rPr>
          <w:rFonts w:hint="eastAsia"/>
          <w:b w:val="0"/>
          <w:bCs/>
          <w:sz w:val="30"/>
          <w:szCs w:val="30"/>
        </w:rPr>
      </w:pPr>
      <w:r>
        <w:rPr>
          <w:rFonts w:hint="eastAsia"/>
          <w:b w:val="0"/>
          <w:bCs/>
          <w:sz w:val="30"/>
          <w:szCs w:val="30"/>
        </w:rPr>
        <w:t>我也不会（在此）评析这些思想学派中的任何一个。</w:t>
      </w:r>
    </w:p>
    <w:p w14:paraId="4ACDFB9E">
      <w:pPr>
        <w:pStyle w:val="9"/>
        <w:spacing w:before="8"/>
        <w:ind w:left="0"/>
        <w:jc w:val="left"/>
        <w:rPr>
          <w:rFonts w:hint="eastAsia"/>
          <w:b w:val="0"/>
          <w:bCs/>
          <w:sz w:val="30"/>
          <w:szCs w:val="30"/>
        </w:rPr>
      </w:pPr>
    </w:p>
    <w:p w14:paraId="292D4F7D">
      <w:pPr>
        <w:pStyle w:val="9"/>
        <w:spacing w:before="8"/>
        <w:ind w:left="0"/>
        <w:jc w:val="left"/>
        <w:rPr>
          <w:rFonts w:hint="eastAsia"/>
          <w:b w:val="0"/>
          <w:bCs/>
          <w:sz w:val="30"/>
          <w:szCs w:val="30"/>
        </w:rPr>
      </w:pPr>
      <w:r>
        <w:rPr>
          <w:rFonts w:hint="eastAsia"/>
          <w:b w:val="0"/>
          <w:bCs/>
          <w:sz w:val="30"/>
          <w:szCs w:val="30"/>
        </w:rPr>
        <w:t>A simple introduction should be more than sufficient to attain the one thing needful: clarity about the basic nature of each eschatological option, so that we can bring it—and ourselves—to the feet of the High King of heaven for his judgment.</w:t>
      </w:r>
    </w:p>
    <w:p w14:paraId="1599AF43">
      <w:pPr>
        <w:pStyle w:val="9"/>
        <w:spacing w:before="8"/>
        <w:ind w:left="0"/>
        <w:jc w:val="left"/>
        <w:rPr>
          <w:rFonts w:hint="eastAsia"/>
          <w:b w:val="0"/>
          <w:bCs/>
          <w:sz w:val="30"/>
          <w:szCs w:val="30"/>
        </w:rPr>
      </w:pPr>
    </w:p>
    <w:p w14:paraId="206E345A">
      <w:pPr>
        <w:pStyle w:val="9"/>
        <w:spacing w:before="8"/>
        <w:ind w:left="0"/>
        <w:jc w:val="left"/>
        <w:rPr>
          <w:rFonts w:hint="eastAsia"/>
          <w:b w:val="0"/>
          <w:bCs/>
          <w:sz w:val="30"/>
          <w:szCs w:val="30"/>
        </w:rPr>
      </w:pPr>
      <w:r>
        <w:rPr>
          <w:rFonts w:hint="eastAsia"/>
          <w:b w:val="0"/>
          <w:bCs/>
          <w:sz w:val="30"/>
          <w:szCs w:val="30"/>
        </w:rPr>
        <w:t>一个简单的介绍应该足以达成那唯一需要的事：清晰地了解每种末世论选项的基本性质，以便我们能将它——以及我们自己——带到天上的至高君王脚前，接受祂的审判。</w:t>
      </w:r>
    </w:p>
    <w:p w14:paraId="208AA4B9">
      <w:pPr>
        <w:pStyle w:val="9"/>
        <w:spacing w:before="8"/>
        <w:ind w:left="0"/>
        <w:jc w:val="left"/>
        <w:rPr>
          <w:rFonts w:hint="eastAsia"/>
          <w:b w:val="0"/>
          <w:bCs/>
          <w:sz w:val="30"/>
          <w:szCs w:val="30"/>
        </w:rPr>
      </w:pPr>
    </w:p>
    <w:p w14:paraId="069F3B30">
      <w:pPr>
        <w:pStyle w:val="9"/>
        <w:spacing w:before="8"/>
        <w:ind w:left="0"/>
        <w:jc w:val="left"/>
        <w:rPr>
          <w:rFonts w:hint="eastAsia"/>
          <w:b w:val="0"/>
          <w:bCs/>
          <w:sz w:val="30"/>
          <w:szCs w:val="30"/>
        </w:rPr>
      </w:pPr>
      <w:r>
        <w:rPr>
          <w:rFonts w:hint="eastAsia"/>
          <w:b w:val="0"/>
          <w:bCs/>
          <w:sz w:val="30"/>
          <w:szCs w:val="30"/>
        </w:rPr>
        <w:t>In the discussion ahead, we will look at five conceptions of Salvation History currently embraced by Bible-believing Christians.</w:t>
      </w:r>
    </w:p>
    <w:p w14:paraId="4BBD5ECE">
      <w:pPr>
        <w:pStyle w:val="9"/>
        <w:spacing w:before="8"/>
        <w:ind w:left="0"/>
        <w:jc w:val="left"/>
        <w:rPr>
          <w:rFonts w:hint="eastAsia"/>
          <w:b w:val="0"/>
          <w:bCs/>
          <w:sz w:val="30"/>
          <w:szCs w:val="30"/>
        </w:rPr>
      </w:pPr>
    </w:p>
    <w:p w14:paraId="09B027DF">
      <w:pPr>
        <w:pStyle w:val="9"/>
        <w:spacing w:before="8"/>
        <w:ind w:left="0"/>
        <w:jc w:val="left"/>
        <w:rPr>
          <w:rFonts w:hint="eastAsia"/>
          <w:b w:val="0"/>
          <w:bCs/>
          <w:sz w:val="30"/>
          <w:szCs w:val="30"/>
        </w:rPr>
      </w:pPr>
      <w:r>
        <w:rPr>
          <w:rFonts w:hint="eastAsia"/>
          <w:b w:val="0"/>
          <w:bCs/>
          <w:sz w:val="30"/>
          <w:szCs w:val="30"/>
        </w:rPr>
        <w:t>在接下来的讨论中，我们将审视五种目前被相信圣经的基督徒所接纳的救赎历史观。</w:t>
      </w:r>
    </w:p>
    <w:p w14:paraId="59D4084B">
      <w:pPr>
        <w:pStyle w:val="9"/>
        <w:spacing w:before="8"/>
        <w:ind w:left="0"/>
        <w:jc w:val="left"/>
        <w:rPr>
          <w:rFonts w:hint="eastAsia"/>
          <w:b w:val="0"/>
          <w:bCs/>
          <w:sz w:val="30"/>
          <w:szCs w:val="30"/>
        </w:rPr>
      </w:pPr>
    </w:p>
    <w:p w14:paraId="1E690BF6">
      <w:pPr>
        <w:pStyle w:val="9"/>
        <w:spacing w:before="8"/>
        <w:ind w:left="0"/>
        <w:jc w:val="left"/>
        <w:rPr>
          <w:rFonts w:hint="eastAsia"/>
          <w:b w:val="0"/>
          <w:bCs/>
          <w:sz w:val="30"/>
          <w:szCs w:val="30"/>
        </w:rPr>
      </w:pPr>
      <w:r>
        <w:rPr>
          <w:rFonts w:hint="eastAsia"/>
          <w:b w:val="0"/>
          <w:bCs/>
          <w:sz w:val="30"/>
          <w:szCs w:val="30"/>
        </w:rPr>
        <w:t>In each case, I will offer a brief historical summary, cite major modern proponents, and then explain how this particular school understands the four underlying issues of biblical eschatology: the Kingdom of God, the proper interpretation of OT Kingdom Prophecy, the Millennium, and the Consummation.</w:t>
      </w:r>
    </w:p>
    <w:p w14:paraId="798F2475">
      <w:pPr>
        <w:pStyle w:val="9"/>
        <w:spacing w:before="8"/>
        <w:ind w:left="0"/>
        <w:jc w:val="left"/>
        <w:rPr>
          <w:rFonts w:hint="eastAsia"/>
          <w:b w:val="0"/>
          <w:bCs/>
          <w:sz w:val="30"/>
          <w:szCs w:val="30"/>
        </w:rPr>
      </w:pPr>
    </w:p>
    <w:p w14:paraId="488E4B15">
      <w:pPr>
        <w:pStyle w:val="9"/>
        <w:spacing w:before="8"/>
        <w:ind w:left="0"/>
        <w:jc w:val="left"/>
        <w:rPr>
          <w:rFonts w:hint="eastAsia"/>
          <w:b w:val="0"/>
          <w:bCs/>
          <w:sz w:val="30"/>
          <w:szCs w:val="30"/>
        </w:rPr>
      </w:pPr>
      <w:r>
        <w:rPr>
          <w:rFonts w:hint="eastAsia"/>
          <w:b w:val="0"/>
          <w:bCs/>
          <w:sz w:val="30"/>
          <w:szCs w:val="30"/>
        </w:rPr>
        <w:t>在每一种情况中，我都会提供一个简要的历史总结，引用主要的现代倡导者，然后解释这个特定的学派如何理解圣经末世论的四个根本性议题：神的国、对旧约国度预言的正确解释、千禧年，以及最终的成全。</w:t>
      </w:r>
    </w:p>
    <w:p w14:paraId="055CE0A7">
      <w:pPr>
        <w:pStyle w:val="9"/>
        <w:spacing w:before="8"/>
        <w:ind w:left="0"/>
        <w:jc w:val="left"/>
        <w:rPr>
          <w:rFonts w:hint="eastAsia"/>
          <w:b w:val="0"/>
          <w:bCs/>
          <w:sz w:val="30"/>
          <w:szCs w:val="30"/>
        </w:rPr>
      </w:pPr>
    </w:p>
    <w:p w14:paraId="2639D1A7">
      <w:pPr>
        <w:pStyle w:val="9"/>
        <w:spacing w:before="8"/>
        <w:ind w:left="0"/>
        <w:jc w:val="left"/>
        <w:rPr>
          <w:rFonts w:hint="eastAsia"/>
          <w:b w:val="0"/>
          <w:bCs/>
          <w:sz w:val="30"/>
          <w:szCs w:val="30"/>
        </w:rPr>
      </w:pPr>
      <w:r>
        <w:rPr>
          <w:rFonts w:hint="eastAsia"/>
          <w:b w:val="0"/>
          <w:bCs/>
          <w:sz w:val="30"/>
          <w:szCs w:val="30"/>
        </w:rPr>
        <w:t>My approach will be roughly chronological, looking at the older views first and the more recent views last.</w:t>
      </w:r>
    </w:p>
    <w:p w14:paraId="38660991">
      <w:pPr>
        <w:pStyle w:val="9"/>
        <w:spacing w:before="8"/>
        <w:ind w:left="0"/>
        <w:jc w:val="left"/>
        <w:rPr>
          <w:rFonts w:hint="eastAsia"/>
          <w:b w:val="0"/>
          <w:bCs/>
          <w:sz w:val="30"/>
          <w:szCs w:val="30"/>
        </w:rPr>
      </w:pPr>
    </w:p>
    <w:p w14:paraId="04408390">
      <w:pPr>
        <w:pStyle w:val="9"/>
        <w:spacing w:before="8"/>
        <w:ind w:left="0"/>
        <w:jc w:val="left"/>
        <w:rPr>
          <w:rFonts w:hint="eastAsia"/>
          <w:b w:val="0"/>
          <w:bCs/>
          <w:sz w:val="30"/>
          <w:szCs w:val="30"/>
        </w:rPr>
      </w:pPr>
      <w:r>
        <w:rPr>
          <w:rFonts w:hint="eastAsia"/>
          <w:b w:val="0"/>
          <w:bCs/>
          <w:sz w:val="30"/>
          <w:szCs w:val="30"/>
        </w:rPr>
        <w:t>我的方法将大致按时间顺序，先看较早的观点，后看较近的观点。</w:t>
      </w:r>
    </w:p>
    <w:p w14:paraId="12EB5553">
      <w:pPr>
        <w:pStyle w:val="9"/>
        <w:spacing w:before="8"/>
        <w:ind w:left="0"/>
        <w:jc w:val="left"/>
        <w:rPr>
          <w:rFonts w:hint="eastAsia"/>
          <w:b w:val="0"/>
          <w:bCs/>
          <w:sz w:val="30"/>
          <w:szCs w:val="30"/>
        </w:rPr>
      </w:pPr>
    </w:p>
    <w:p w14:paraId="4BD0CF80">
      <w:pPr>
        <w:pStyle w:val="9"/>
        <w:spacing w:before="8"/>
        <w:ind w:left="0"/>
        <w:jc w:val="left"/>
        <w:rPr>
          <w:rFonts w:hint="eastAsia"/>
          <w:b w:val="0"/>
          <w:bCs/>
          <w:sz w:val="30"/>
          <w:szCs w:val="30"/>
        </w:rPr>
      </w:pPr>
      <w:r>
        <w:rPr>
          <w:rFonts w:hint="eastAsia"/>
          <w:b w:val="0"/>
          <w:bCs/>
          <w:sz w:val="30"/>
          <w:szCs w:val="30"/>
        </w:rPr>
        <w:t>By way of conclusion, I will show how the five views can be divided into two simple categories, what I will call Future-millennial and Present-millennial.</w:t>
      </w:r>
    </w:p>
    <w:p w14:paraId="11873973">
      <w:pPr>
        <w:pStyle w:val="9"/>
        <w:spacing w:before="8"/>
        <w:ind w:left="0"/>
        <w:jc w:val="left"/>
        <w:rPr>
          <w:rFonts w:hint="eastAsia"/>
          <w:b w:val="0"/>
          <w:bCs/>
          <w:sz w:val="30"/>
          <w:szCs w:val="30"/>
        </w:rPr>
      </w:pPr>
    </w:p>
    <w:p w14:paraId="24EA5BCE">
      <w:pPr>
        <w:pStyle w:val="9"/>
        <w:spacing w:before="8"/>
        <w:ind w:left="0"/>
        <w:jc w:val="left"/>
        <w:rPr>
          <w:rFonts w:hint="eastAsia"/>
          <w:b w:val="0"/>
          <w:bCs/>
          <w:sz w:val="30"/>
          <w:szCs w:val="30"/>
        </w:rPr>
      </w:pPr>
      <w:r>
        <w:rPr>
          <w:rFonts w:hint="eastAsia"/>
          <w:b w:val="0"/>
          <w:bCs/>
          <w:sz w:val="30"/>
          <w:szCs w:val="30"/>
        </w:rPr>
        <w:t>作为结论，我将展示这五种观点如何可以被分为两个简单的类别，我称之为未来千禧年派和现今千禧年派。</w:t>
      </w:r>
    </w:p>
    <w:p w14:paraId="75CAEC7C">
      <w:pPr>
        <w:pStyle w:val="9"/>
        <w:spacing w:before="8"/>
        <w:ind w:left="0"/>
        <w:jc w:val="left"/>
        <w:rPr>
          <w:rFonts w:hint="eastAsia"/>
          <w:b w:val="0"/>
          <w:bCs/>
          <w:sz w:val="30"/>
          <w:szCs w:val="30"/>
        </w:rPr>
      </w:pPr>
    </w:p>
    <w:p w14:paraId="0AAB8B49">
      <w:pPr>
        <w:pStyle w:val="9"/>
        <w:spacing w:before="8"/>
        <w:ind w:left="0"/>
        <w:jc w:val="left"/>
        <w:rPr>
          <w:rFonts w:hint="eastAsia"/>
          <w:b w:val="0"/>
          <w:bCs/>
          <w:sz w:val="30"/>
          <w:szCs w:val="30"/>
        </w:rPr>
      </w:pPr>
      <w:r>
        <w:rPr>
          <w:rFonts w:hint="eastAsia"/>
          <w:b w:val="0"/>
          <w:bCs/>
          <w:sz w:val="30"/>
          <w:szCs w:val="30"/>
        </w:rPr>
        <w:t>In other words, at the end of the day there are really only two basic views in the eschatological ring.</w:t>
      </w:r>
    </w:p>
    <w:p w14:paraId="2C737837">
      <w:pPr>
        <w:pStyle w:val="9"/>
        <w:spacing w:before="8"/>
        <w:ind w:left="0"/>
        <w:jc w:val="left"/>
        <w:rPr>
          <w:rFonts w:hint="eastAsia"/>
          <w:b w:val="0"/>
          <w:bCs/>
          <w:sz w:val="30"/>
          <w:szCs w:val="30"/>
        </w:rPr>
      </w:pPr>
    </w:p>
    <w:p w14:paraId="3B3E1975">
      <w:pPr>
        <w:pStyle w:val="9"/>
        <w:spacing w:before="8"/>
        <w:ind w:left="0"/>
        <w:jc w:val="left"/>
        <w:rPr>
          <w:rFonts w:hint="eastAsia"/>
          <w:b w:val="0"/>
          <w:bCs/>
          <w:sz w:val="30"/>
          <w:szCs w:val="30"/>
        </w:rPr>
      </w:pPr>
      <w:r>
        <w:rPr>
          <w:rFonts w:hint="eastAsia"/>
          <w:b w:val="0"/>
          <w:bCs/>
          <w:sz w:val="30"/>
          <w:szCs w:val="30"/>
        </w:rPr>
        <w:t>换句话说，归根结底，在末世论的竞技场上，实际上只有两种基本的观点。</w:t>
      </w:r>
    </w:p>
    <w:p w14:paraId="50D2B70C">
      <w:pPr>
        <w:pStyle w:val="9"/>
        <w:spacing w:before="8"/>
        <w:ind w:left="0"/>
        <w:jc w:val="left"/>
        <w:rPr>
          <w:rFonts w:hint="eastAsia"/>
          <w:b w:val="0"/>
          <w:bCs/>
          <w:sz w:val="30"/>
          <w:szCs w:val="30"/>
        </w:rPr>
      </w:pPr>
    </w:p>
    <w:p w14:paraId="392DC5C8">
      <w:pPr>
        <w:pStyle w:val="9"/>
        <w:spacing w:before="8"/>
        <w:ind w:left="0"/>
        <w:jc w:val="left"/>
        <w:rPr>
          <w:rFonts w:hint="eastAsia"/>
          <w:b w:val="0"/>
          <w:bCs/>
          <w:sz w:val="30"/>
          <w:szCs w:val="30"/>
        </w:rPr>
      </w:pPr>
      <w:r>
        <w:rPr>
          <w:rFonts w:hint="eastAsia"/>
          <w:b w:val="0"/>
          <w:bCs/>
          <w:sz w:val="30"/>
          <w:szCs w:val="30"/>
        </w:rPr>
        <w:t>That is good news.</w:t>
      </w:r>
    </w:p>
    <w:p w14:paraId="0F61C323">
      <w:pPr>
        <w:pStyle w:val="9"/>
        <w:spacing w:before="8"/>
        <w:ind w:left="0"/>
        <w:jc w:val="left"/>
        <w:rPr>
          <w:rFonts w:hint="eastAsia"/>
          <w:b w:val="0"/>
          <w:bCs/>
          <w:sz w:val="30"/>
          <w:szCs w:val="30"/>
        </w:rPr>
      </w:pPr>
    </w:p>
    <w:p w14:paraId="625F3757">
      <w:pPr>
        <w:pStyle w:val="9"/>
        <w:spacing w:before="8"/>
        <w:ind w:left="0"/>
        <w:jc w:val="left"/>
        <w:rPr>
          <w:rFonts w:hint="eastAsia"/>
          <w:b w:val="0"/>
          <w:bCs/>
          <w:sz w:val="30"/>
          <w:szCs w:val="30"/>
        </w:rPr>
      </w:pPr>
      <w:r>
        <w:rPr>
          <w:rFonts w:hint="eastAsia"/>
          <w:b w:val="0"/>
          <w:bCs/>
          <w:sz w:val="30"/>
          <w:szCs w:val="30"/>
        </w:rPr>
        <w:t>这是个好消息。</w:t>
      </w:r>
    </w:p>
    <w:p w14:paraId="7E65B5F7">
      <w:pPr>
        <w:pStyle w:val="9"/>
        <w:spacing w:before="8"/>
        <w:ind w:left="0"/>
        <w:jc w:val="left"/>
        <w:rPr>
          <w:rFonts w:hint="eastAsia"/>
          <w:b w:val="0"/>
          <w:bCs/>
          <w:sz w:val="30"/>
          <w:szCs w:val="30"/>
        </w:rPr>
      </w:pPr>
    </w:p>
    <w:p w14:paraId="0AA46069">
      <w:pPr>
        <w:pStyle w:val="9"/>
        <w:spacing w:before="8"/>
        <w:ind w:left="0"/>
        <w:jc w:val="left"/>
        <w:rPr>
          <w:rFonts w:hint="eastAsia"/>
          <w:b w:val="0"/>
          <w:bCs/>
          <w:sz w:val="30"/>
          <w:szCs w:val="30"/>
        </w:rPr>
      </w:pPr>
      <w:r>
        <w:rPr>
          <w:rFonts w:hint="eastAsia"/>
          <w:b w:val="0"/>
          <w:bCs/>
          <w:sz w:val="30"/>
          <w:szCs w:val="30"/>
        </w:rPr>
        <w:t>It means that the Bible is not a fertile field for rampant eschatological speculation; that its basic teachings about the Kingdom and the Consummation are reasonably clear; and that no discerning Christian ever needs to be overwhelmed or defeated by the Great End Time Debate.</w:t>
      </w:r>
    </w:p>
    <w:p w14:paraId="4D616202">
      <w:pPr>
        <w:pStyle w:val="9"/>
        <w:spacing w:before="8"/>
        <w:ind w:left="0"/>
        <w:jc w:val="left"/>
        <w:rPr>
          <w:rFonts w:hint="eastAsia"/>
          <w:b w:val="0"/>
          <w:bCs/>
          <w:sz w:val="30"/>
          <w:szCs w:val="30"/>
        </w:rPr>
      </w:pPr>
    </w:p>
    <w:p w14:paraId="569D47A4">
      <w:pPr>
        <w:pStyle w:val="9"/>
        <w:spacing w:before="8"/>
        <w:ind w:left="0"/>
        <w:jc w:val="left"/>
        <w:rPr>
          <w:rFonts w:hint="eastAsia"/>
          <w:b w:val="0"/>
          <w:bCs/>
          <w:sz w:val="30"/>
          <w:szCs w:val="30"/>
        </w:rPr>
      </w:pPr>
      <w:r>
        <w:rPr>
          <w:rFonts w:hint="eastAsia"/>
          <w:b w:val="0"/>
          <w:bCs/>
          <w:sz w:val="30"/>
          <w:szCs w:val="30"/>
        </w:rPr>
        <w:t>这意味着圣经并非一块滋生猖獗末世论臆测的沃土；其关于国度和最终成全的基本教导是相当清晰的；并且任何有分辨力的基督徒都绝不需要被末世大辩论所压倒或击败。</w:t>
      </w:r>
    </w:p>
    <w:p w14:paraId="0803E9B8">
      <w:pPr>
        <w:pStyle w:val="9"/>
        <w:spacing w:before="8"/>
        <w:ind w:left="0"/>
        <w:jc w:val="left"/>
        <w:rPr>
          <w:rFonts w:hint="eastAsia"/>
          <w:b w:val="0"/>
          <w:bCs/>
          <w:sz w:val="30"/>
          <w:szCs w:val="30"/>
        </w:rPr>
      </w:pPr>
    </w:p>
    <w:p w14:paraId="1F49E63F">
      <w:pPr>
        <w:pStyle w:val="9"/>
        <w:spacing w:before="8"/>
        <w:ind w:left="0"/>
        <w:jc w:val="left"/>
        <w:rPr>
          <w:rFonts w:hint="eastAsia"/>
          <w:b w:val="0"/>
          <w:bCs/>
          <w:sz w:val="30"/>
          <w:szCs w:val="30"/>
        </w:rPr>
      </w:pPr>
      <w:r>
        <w:rPr>
          <w:rFonts w:hint="eastAsia"/>
          <w:b w:val="0"/>
          <w:bCs/>
          <w:sz w:val="30"/>
          <w:szCs w:val="30"/>
        </w:rPr>
        <w:t>In short, with God’s help—and with the Master Keys—we should be well able to pick the winner!</w:t>
      </w:r>
    </w:p>
    <w:p w14:paraId="2894C1BA">
      <w:pPr>
        <w:pStyle w:val="9"/>
        <w:spacing w:before="8"/>
        <w:ind w:left="0"/>
        <w:jc w:val="left"/>
        <w:rPr>
          <w:rFonts w:hint="eastAsia"/>
          <w:b w:val="0"/>
          <w:bCs/>
          <w:sz w:val="30"/>
          <w:szCs w:val="30"/>
        </w:rPr>
      </w:pPr>
    </w:p>
    <w:p w14:paraId="115D2D62">
      <w:pPr>
        <w:pStyle w:val="9"/>
        <w:spacing w:before="8"/>
        <w:ind w:left="0"/>
        <w:jc w:val="left"/>
        <w:rPr>
          <w:rFonts w:hint="eastAsia"/>
          <w:b w:val="0"/>
          <w:bCs/>
          <w:sz w:val="30"/>
          <w:szCs w:val="30"/>
        </w:rPr>
      </w:pPr>
      <w:r>
        <w:rPr>
          <w:rFonts w:hint="eastAsia"/>
          <w:b w:val="0"/>
          <w:bCs/>
          <w:sz w:val="30"/>
          <w:szCs w:val="30"/>
        </w:rPr>
        <w:t>简而言之，靠着神的帮助——并借着万能钥匙——我们应该很有能力选出胜利者！</w:t>
      </w:r>
    </w:p>
    <w:p w14:paraId="57F9B8AB">
      <w:pPr>
        <w:pStyle w:val="9"/>
        <w:spacing w:before="8"/>
        <w:ind w:left="0"/>
        <w:jc w:val="left"/>
        <w:rPr>
          <w:rFonts w:hint="eastAsia"/>
          <w:b w:val="0"/>
          <w:bCs/>
          <w:sz w:val="30"/>
          <w:szCs w:val="30"/>
        </w:rPr>
      </w:pPr>
    </w:p>
    <w:p w14:paraId="3C63230D">
      <w:pPr>
        <w:pStyle w:val="9"/>
        <w:spacing w:before="8"/>
        <w:ind w:left="0"/>
        <w:jc w:val="left"/>
        <w:rPr>
          <w:rFonts w:hint="eastAsia"/>
          <w:b w:val="0"/>
          <w:bCs/>
          <w:sz w:val="30"/>
          <w:szCs w:val="30"/>
        </w:rPr>
      </w:pPr>
      <w:r>
        <w:rPr>
          <w:rFonts w:hint="eastAsia"/>
          <w:b w:val="0"/>
          <w:bCs/>
          <w:sz w:val="30"/>
          <w:szCs w:val="30"/>
        </w:rPr>
        <w:t>1.Amillennialism</w:t>
      </w:r>
    </w:p>
    <w:p w14:paraId="3B7760C8">
      <w:pPr>
        <w:pStyle w:val="9"/>
        <w:spacing w:before="8"/>
        <w:ind w:left="0"/>
        <w:jc w:val="left"/>
        <w:rPr>
          <w:rFonts w:hint="eastAsia"/>
          <w:b w:val="0"/>
          <w:bCs/>
          <w:sz w:val="30"/>
          <w:szCs w:val="30"/>
        </w:rPr>
      </w:pPr>
    </w:p>
    <w:p w14:paraId="581D1AB1">
      <w:pPr>
        <w:pStyle w:val="9"/>
        <w:spacing w:before="8"/>
        <w:ind w:left="0"/>
        <w:jc w:val="left"/>
        <w:rPr>
          <w:b w:val="0"/>
          <w:bCs/>
          <w:sz w:val="30"/>
          <w:szCs w:val="30"/>
        </w:rPr>
      </w:pPr>
      <w:r>
        <w:rPr>
          <w:rFonts w:hint="eastAsia"/>
          <w:b w:val="0"/>
          <w:bCs/>
          <w:sz w:val="30"/>
          <w:szCs w:val="30"/>
        </w:rPr>
        <w:t>1.无千禧年论</w:t>
      </w:r>
    </w:p>
    <w:p w14:paraId="2ED9F1C1">
      <w:pPr>
        <w:pStyle w:val="9"/>
        <w:spacing w:before="8"/>
        <w:ind w:left="0"/>
        <w:jc w:val="left"/>
        <w:rPr>
          <w:b/>
          <w:sz w:val="8"/>
        </w:rPr>
      </w:pPr>
    </w:p>
    <w:p w14:paraId="0AD40B1C">
      <w:pPr>
        <w:pStyle w:val="9"/>
        <w:spacing w:before="8"/>
        <w:ind w:left="0"/>
        <w:jc w:val="left"/>
        <w:rPr>
          <w:b/>
          <w:sz w:val="8"/>
        </w:rPr>
      </w:pPr>
      <w:r>
        <w:rPr>
          <w:b/>
          <w:sz w:val="8"/>
        </w:rPr>
        <w:drawing>
          <wp:anchor distT="0" distB="0" distL="0" distR="0" simplePos="0" relativeHeight="251661312" behindDoc="1" locked="0" layoutInCell="1" allowOverlap="1">
            <wp:simplePos x="0" y="0"/>
            <wp:positionH relativeFrom="page">
              <wp:posOffset>2342515</wp:posOffset>
            </wp:positionH>
            <wp:positionV relativeFrom="paragraph">
              <wp:posOffset>78105</wp:posOffset>
            </wp:positionV>
            <wp:extent cx="3110865" cy="1426210"/>
            <wp:effectExtent l="0" t="0" r="0" b="0"/>
            <wp:wrapTopAndBottom/>
            <wp:docPr id="50" name="Image 50"/>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11" cstate="print"/>
                    <a:stretch>
                      <a:fillRect/>
                    </a:stretch>
                  </pic:blipFill>
                  <pic:spPr>
                    <a:xfrm>
                      <a:off x="0" y="0"/>
                      <a:ext cx="3110788" cy="1426463"/>
                    </a:xfrm>
                    <a:prstGeom prst="rect">
                      <a:avLst/>
                    </a:prstGeom>
                  </pic:spPr>
                </pic:pic>
              </a:graphicData>
            </a:graphic>
          </wp:anchor>
        </w:drawing>
      </w:r>
    </w:p>
    <w:p w14:paraId="1660BCE1">
      <w:pPr>
        <w:pStyle w:val="9"/>
        <w:spacing w:before="64"/>
        <w:ind w:left="0"/>
        <w:jc w:val="left"/>
        <w:rPr>
          <w:rFonts w:hint="eastAsia" w:eastAsia="宋体"/>
          <w:b/>
          <w:sz w:val="33"/>
          <w:lang w:eastAsia="zh-CN"/>
        </w:rPr>
      </w:pPr>
      <w:r>
        <w:rPr>
          <w:rFonts w:hint="eastAsia" w:eastAsia="宋体"/>
          <w:b/>
          <w:sz w:val="33"/>
          <w:lang w:eastAsia="zh-CN"/>
        </w:rPr>
        <w:drawing>
          <wp:inline distT="0" distB="0" distL="114300" distR="114300">
            <wp:extent cx="5501640" cy="2529840"/>
            <wp:effectExtent l="0" t="0" r="0" b="0"/>
            <wp:docPr id="145" name="图片 145" descr="657f25b8122e84b3a7909d5a7a184c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5" descr="657f25b8122e84b3a7909d5a7a184c79"/>
                    <pic:cNvPicPr>
                      <a:picLocks noChangeAspect="1"/>
                    </pic:cNvPicPr>
                  </pic:nvPicPr>
                  <pic:blipFill>
                    <a:blip r:embed="rId12"/>
                    <a:stretch>
                      <a:fillRect/>
                    </a:stretch>
                  </pic:blipFill>
                  <pic:spPr>
                    <a:xfrm>
                      <a:off x="0" y="0"/>
                      <a:ext cx="5501640" cy="2529840"/>
                    </a:xfrm>
                    <a:prstGeom prst="rect">
                      <a:avLst/>
                    </a:prstGeom>
                  </pic:spPr>
                </pic:pic>
              </a:graphicData>
            </a:graphic>
          </wp:inline>
        </w:drawing>
      </w:r>
    </w:p>
    <w:p w14:paraId="459B6A83">
      <w:pPr>
        <w:pStyle w:val="9"/>
        <w:spacing w:after="0" w:line="249" w:lineRule="auto"/>
        <w:rPr>
          <w:rFonts w:hint="eastAsia"/>
          <w:color w:val="231F20"/>
        </w:rPr>
      </w:pPr>
      <w:r>
        <w:rPr>
          <w:rFonts w:hint="eastAsia"/>
          <w:color w:val="231F20"/>
        </w:rPr>
        <w:t>The word amillennialism means no millennium.</w:t>
      </w:r>
    </w:p>
    <w:p w14:paraId="541A98A2">
      <w:pPr>
        <w:pStyle w:val="9"/>
        <w:spacing w:after="0" w:line="249" w:lineRule="auto"/>
        <w:rPr>
          <w:rFonts w:hint="eastAsia"/>
          <w:color w:val="231F20"/>
        </w:rPr>
      </w:pPr>
    </w:p>
    <w:p w14:paraId="53543B00">
      <w:pPr>
        <w:pStyle w:val="9"/>
        <w:spacing w:after="0" w:line="249" w:lineRule="auto"/>
        <w:rPr>
          <w:rFonts w:hint="eastAsia"/>
          <w:color w:val="231F20"/>
        </w:rPr>
      </w:pPr>
      <w:r>
        <w:rPr>
          <w:rFonts w:hint="eastAsia"/>
          <w:color w:val="231F20"/>
        </w:rPr>
        <w:t>“无千禧年论”这个词的意思是没有千禧年。</w:t>
      </w:r>
    </w:p>
    <w:p w14:paraId="7D2B80B7">
      <w:pPr>
        <w:pStyle w:val="9"/>
        <w:spacing w:after="0" w:line="249" w:lineRule="auto"/>
        <w:rPr>
          <w:rFonts w:hint="eastAsia"/>
          <w:color w:val="231F20"/>
        </w:rPr>
      </w:pPr>
    </w:p>
    <w:p w14:paraId="15E7636B">
      <w:pPr>
        <w:pStyle w:val="9"/>
        <w:spacing w:after="0" w:line="249" w:lineRule="auto"/>
        <w:rPr>
          <w:rFonts w:hint="eastAsia"/>
          <w:color w:val="231F20"/>
        </w:rPr>
      </w:pPr>
      <w:r>
        <w:rPr>
          <w:rFonts w:hint="eastAsia"/>
          <w:color w:val="231F20"/>
        </w:rPr>
        <w:t>However, amillennarians do not deny the existence of a millennium, only that it begins after the Parousia and that it will last for a literal thousand years.</w:t>
      </w:r>
    </w:p>
    <w:p w14:paraId="068E28C3">
      <w:pPr>
        <w:pStyle w:val="9"/>
        <w:spacing w:after="0" w:line="249" w:lineRule="auto"/>
        <w:rPr>
          <w:rFonts w:hint="eastAsia"/>
          <w:color w:val="231F20"/>
        </w:rPr>
      </w:pPr>
    </w:p>
    <w:p w14:paraId="340EF3D5">
      <w:pPr>
        <w:pStyle w:val="9"/>
        <w:spacing w:after="0" w:line="249" w:lineRule="auto"/>
        <w:rPr>
          <w:rFonts w:hint="eastAsia"/>
          <w:color w:val="231F20"/>
        </w:rPr>
      </w:pPr>
      <w:r>
        <w:rPr>
          <w:rFonts w:hint="eastAsia"/>
          <w:color w:val="231F20"/>
        </w:rPr>
        <w:t>然而，无千禧年论者并不否认千禧年的存在，只是否认它在主的再来之后才开始，并且会持续字面意义上的一千年。</w:t>
      </w:r>
    </w:p>
    <w:p w14:paraId="2287DE3C">
      <w:pPr>
        <w:pStyle w:val="9"/>
        <w:spacing w:after="0" w:line="249" w:lineRule="auto"/>
        <w:rPr>
          <w:rFonts w:hint="eastAsia"/>
          <w:color w:val="231F20"/>
        </w:rPr>
      </w:pPr>
    </w:p>
    <w:p w14:paraId="297DEA0D">
      <w:pPr>
        <w:pStyle w:val="9"/>
        <w:spacing w:after="0" w:line="249" w:lineRule="auto"/>
        <w:rPr>
          <w:rFonts w:hint="eastAsia"/>
          <w:color w:val="231F20"/>
        </w:rPr>
      </w:pPr>
      <w:r>
        <w:rPr>
          <w:rFonts w:hint="eastAsia"/>
          <w:color w:val="231F20"/>
        </w:rPr>
        <w:t>Instead, they teach that the thousand years of Revelation 20 symbolize the present Era of Proclamation, during which time Christ reigns with (the departed spirits of) his saints in heaven.</w:t>
      </w:r>
    </w:p>
    <w:p w14:paraId="05D1E7B0">
      <w:pPr>
        <w:pStyle w:val="9"/>
        <w:spacing w:after="0" w:line="249" w:lineRule="auto"/>
        <w:rPr>
          <w:rFonts w:hint="eastAsia"/>
          <w:color w:val="231F20"/>
        </w:rPr>
      </w:pPr>
    </w:p>
    <w:p w14:paraId="2D39CD3B">
      <w:pPr>
        <w:pStyle w:val="9"/>
        <w:spacing w:after="0" w:line="249" w:lineRule="auto"/>
        <w:rPr>
          <w:rFonts w:hint="eastAsia"/>
          <w:color w:val="231F20"/>
        </w:rPr>
      </w:pPr>
      <w:r>
        <w:rPr>
          <w:rFonts w:hint="eastAsia"/>
          <w:color w:val="231F20"/>
        </w:rPr>
        <w:t>相反，他们教导说，启示录20章的一千年象征着现今的宣讲时代，在此期间，基督与祂在天上的众圣徒（已故圣徒的灵）一同作王。</w:t>
      </w:r>
    </w:p>
    <w:p w14:paraId="51B4B83B">
      <w:pPr>
        <w:pStyle w:val="9"/>
        <w:spacing w:after="0" w:line="249" w:lineRule="auto"/>
        <w:rPr>
          <w:rFonts w:hint="eastAsia"/>
          <w:color w:val="231F20"/>
        </w:rPr>
      </w:pPr>
    </w:p>
    <w:p w14:paraId="2CC92921">
      <w:pPr>
        <w:pStyle w:val="9"/>
        <w:spacing w:after="0" w:line="249" w:lineRule="auto"/>
        <w:rPr>
          <w:rFonts w:hint="eastAsia"/>
          <w:color w:val="231F20"/>
        </w:rPr>
      </w:pPr>
      <w:r>
        <w:rPr>
          <w:rFonts w:hint="eastAsia"/>
          <w:color w:val="231F20"/>
        </w:rPr>
        <w:t>Amillennarians are, then, “present- millennarians.”</w:t>
      </w:r>
    </w:p>
    <w:p w14:paraId="360AB96E">
      <w:pPr>
        <w:pStyle w:val="9"/>
        <w:spacing w:after="0" w:line="249" w:lineRule="auto"/>
        <w:rPr>
          <w:rFonts w:hint="eastAsia"/>
          <w:color w:val="231F20"/>
        </w:rPr>
      </w:pPr>
    </w:p>
    <w:p w14:paraId="77E0923E">
      <w:pPr>
        <w:pStyle w:val="9"/>
        <w:spacing w:after="0" w:line="249" w:lineRule="auto"/>
        <w:rPr>
          <w:rFonts w:hint="eastAsia"/>
          <w:color w:val="231F20"/>
        </w:rPr>
      </w:pPr>
      <w:r>
        <w:rPr>
          <w:rFonts w:hint="eastAsia"/>
          <w:color w:val="231F20"/>
        </w:rPr>
        <w:t>因此，无千禧年论者是“现今千禧年论者”。</w:t>
      </w:r>
    </w:p>
    <w:p w14:paraId="71708708">
      <w:pPr>
        <w:pStyle w:val="9"/>
        <w:spacing w:after="0" w:line="249" w:lineRule="auto"/>
        <w:rPr>
          <w:rFonts w:hint="eastAsia"/>
          <w:color w:val="231F20"/>
        </w:rPr>
      </w:pPr>
    </w:p>
    <w:p w14:paraId="62D2FBA4">
      <w:pPr>
        <w:pStyle w:val="9"/>
        <w:spacing w:after="0" w:line="249" w:lineRule="auto"/>
        <w:rPr>
          <w:rFonts w:hint="eastAsia"/>
          <w:color w:val="231F20"/>
        </w:rPr>
      </w:pPr>
      <w:r>
        <w:rPr>
          <w:rFonts w:hint="eastAsia"/>
          <w:color w:val="231F20"/>
        </w:rPr>
        <w:t>In his book, The Momentous Event, W. J. Grier has shown that, contrary to popular belief, the majority of the early Church fathers were amillennarian.</w:t>
      </w:r>
    </w:p>
    <w:p w14:paraId="599EB731">
      <w:pPr>
        <w:pStyle w:val="9"/>
        <w:spacing w:after="0" w:line="249" w:lineRule="auto"/>
        <w:rPr>
          <w:rFonts w:hint="eastAsia"/>
          <w:color w:val="231F20"/>
        </w:rPr>
      </w:pPr>
    </w:p>
    <w:p w14:paraId="43A6202F">
      <w:pPr>
        <w:pStyle w:val="9"/>
        <w:spacing w:after="0" w:line="249" w:lineRule="auto"/>
        <w:rPr>
          <w:rFonts w:hint="eastAsia"/>
          <w:color w:val="231F20"/>
        </w:rPr>
      </w:pPr>
      <w:r>
        <w:rPr>
          <w:rFonts w:hint="eastAsia"/>
          <w:color w:val="231F20"/>
        </w:rPr>
        <w:t>在他的著作《那重大的事件》中，W. J. 格里尔已经指出，与普遍的看法相反，大多数早期教父都是无千禧年论者。</w:t>
      </w:r>
    </w:p>
    <w:p w14:paraId="54421BBE">
      <w:pPr>
        <w:pStyle w:val="9"/>
        <w:spacing w:after="0" w:line="249" w:lineRule="auto"/>
        <w:rPr>
          <w:rFonts w:hint="eastAsia"/>
          <w:color w:val="231F20"/>
        </w:rPr>
      </w:pPr>
    </w:p>
    <w:p w14:paraId="552D8B8C">
      <w:pPr>
        <w:pStyle w:val="9"/>
        <w:spacing w:after="0" w:line="249" w:lineRule="auto"/>
        <w:rPr>
          <w:rFonts w:hint="eastAsia"/>
          <w:color w:val="231F20"/>
        </w:rPr>
      </w:pPr>
      <w:r>
        <w:rPr>
          <w:rFonts w:hint="eastAsia"/>
          <w:color w:val="231F20"/>
        </w:rPr>
        <w:t>They include Clement of Rome, Polycarp, the author(s) of The Didache, Barnabas, Caius of Rome, Hippolytus, and Origen.</w:t>
      </w:r>
    </w:p>
    <w:p w14:paraId="1CC65883">
      <w:pPr>
        <w:pStyle w:val="9"/>
        <w:spacing w:after="0" w:line="249" w:lineRule="auto"/>
        <w:rPr>
          <w:rFonts w:hint="eastAsia"/>
          <w:color w:val="231F20"/>
        </w:rPr>
      </w:pPr>
    </w:p>
    <w:p w14:paraId="53470987">
      <w:pPr>
        <w:pStyle w:val="9"/>
        <w:spacing w:after="0" w:line="249" w:lineRule="auto"/>
        <w:rPr>
          <w:rFonts w:hint="eastAsia"/>
          <w:color w:val="231F20"/>
        </w:rPr>
      </w:pPr>
      <w:r>
        <w:rPr>
          <w:rFonts w:hint="eastAsia"/>
          <w:color w:val="231F20"/>
        </w:rPr>
        <w:t>他们包括罗马的革利免、坡旅甲、《十二使徒遗训》的作者、巴拿巴、罗马的盖乌斯、希坡律陀和俄利根。</w:t>
      </w:r>
    </w:p>
    <w:p w14:paraId="2811873E">
      <w:pPr>
        <w:pStyle w:val="9"/>
        <w:spacing w:after="0" w:line="249" w:lineRule="auto"/>
        <w:rPr>
          <w:rFonts w:hint="eastAsia"/>
          <w:color w:val="231F20"/>
        </w:rPr>
      </w:pPr>
    </w:p>
    <w:p w14:paraId="5F91E124">
      <w:pPr>
        <w:pStyle w:val="9"/>
        <w:spacing w:after="0" w:line="249" w:lineRule="auto"/>
        <w:rPr>
          <w:rFonts w:hint="eastAsia"/>
          <w:color w:val="231F20"/>
        </w:rPr>
      </w:pPr>
      <w:r>
        <w:rPr>
          <w:rFonts w:hint="eastAsia"/>
          <w:color w:val="231F20"/>
        </w:rPr>
        <w:t>By the early fourth century, Lactantius was the only theologian of note defending premillennialism.</w:t>
      </w:r>
    </w:p>
    <w:p w14:paraId="0B26FB04">
      <w:pPr>
        <w:pStyle w:val="9"/>
        <w:spacing w:after="0" w:line="249" w:lineRule="auto"/>
        <w:rPr>
          <w:rFonts w:hint="eastAsia"/>
          <w:color w:val="231F20"/>
        </w:rPr>
      </w:pPr>
    </w:p>
    <w:p w14:paraId="471552C8">
      <w:pPr>
        <w:pStyle w:val="9"/>
        <w:spacing w:after="0" w:line="249" w:lineRule="auto"/>
        <w:rPr>
          <w:rFonts w:hint="eastAsia"/>
          <w:color w:val="231F20"/>
        </w:rPr>
      </w:pPr>
      <w:r>
        <w:rPr>
          <w:rFonts w:hint="eastAsia"/>
          <w:color w:val="231F20"/>
        </w:rPr>
        <w:t>到了四世纪初，拉克坦提乌是唯一一位捍卫前千禧年论的知名神学家。</w:t>
      </w:r>
    </w:p>
    <w:p w14:paraId="60AC2DC7">
      <w:pPr>
        <w:pStyle w:val="9"/>
        <w:spacing w:after="0" w:line="249" w:lineRule="auto"/>
        <w:rPr>
          <w:rFonts w:hint="eastAsia"/>
          <w:color w:val="231F20"/>
        </w:rPr>
      </w:pPr>
    </w:p>
    <w:p w14:paraId="0321ECD0">
      <w:pPr>
        <w:pStyle w:val="9"/>
        <w:spacing w:after="0" w:line="249" w:lineRule="auto"/>
        <w:rPr>
          <w:rFonts w:hint="eastAsia"/>
          <w:color w:val="231F20"/>
        </w:rPr>
      </w:pPr>
      <w:r>
        <w:rPr>
          <w:rFonts w:hint="eastAsia"/>
          <w:color w:val="231F20"/>
        </w:rPr>
        <w:t>Shortly thereafter, Eusebius, Athanasius, and Augustine completely laid it to rest until post-Reformation times.</w:t>
      </w:r>
    </w:p>
    <w:p w14:paraId="4E292175">
      <w:pPr>
        <w:pStyle w:val="9"/>
        <w:spacing w:after="0" w:line="249" w:lineRule="auto"/>
        <w:rPr>
          <w:rFonts w:hint="eastAsia"/>
          <w:color w:val="231F20"/>
        </w:rPr>
      </w:pPr>
    </w:p>
    <w:p w14:paraId="172C8D40">
      <w:pPr>
        <w:pStyle w:val="9"/>
        <w:spacing w:after="0" w:line="249" w:lineRule="auto"/>
        <w:rPr>
          <w:rFonts w:hint="eastAsia"/>
          <w:color w:val="231F20"/>
        </w:rPr>
      </w:pPr>
      <w:r>
        <w:rPr>
          <w:rFonts w:hint="eastAsia"/>
          <w:color w:val="231F20"/>
        </w:rPr>
        <w:t>此后不久，优西比乌、亚他那修和奥古斯丁完全使其销声匿迹，直到后宗教改革时期。</w:t>
      </w:r>
    </w:p>
    <w:p w14:paraId="73FB6E74">
      <w:pPr>
        <w:pStyle w:val="9"/>
        <w:spacing w:after="0" w:line="249" w:lineRule="auto"/>
        <w:rPr>
          <w:rFonts w:hint="eastAsia"/>
          <w:color w:val="231F20"/>
        </w:rPr>
      </w:pPr>
    </w:p>
    <w:p w14:paraId="62705F7A">
      <w:pPr>
        <w:pStyle w:val="9"/>
        <w:spacing w:after="0" w:line="249" w:lineRule="auto"/>
        <w:rPr>
          <w:rFonts w:hint="eastAsia"/>
          <w:color w:val="231F20"/>
        </w:rPr>
      </w:pPr>
      <w:r>
        <w:rPr>
          <w:rFonts w:hint="eastAsia"/>
          <w:color w:val="231F20"/>
        </w:rPr>
        <w:t>Notably, the early creeds were all amillennial: The (early form of the) Apostles Creed (3rd century), the Nicene Creed (4th century) and the Athanasian Creed (6th century).</w:t>
      </w:r>
    </w:p>
    <w:p w14:paraId="1A425754">
      <w:pPr>
        <w:pStyle w:val="9"/>
        <w:spacing w:after="0" w:line="249" w:lineRule="auto"/>
        <w:rPr>
          <w:rFonts w:hint="eastAsia"/>
          <w:color w:val="231F20"/>
        </w:rPr>
      </w:pPr>
    </w:p>
    <w:p w14:paraId="67358C4B">
      <w:pPr>
        <w:pStyle w:val="9"/>
        <w:spacing w:after="0" w:line="249" w:lineRule="auto"/>
        <w:rPr>
          <w:rFonts w:hint="eastAsia"/>
          <w:color w:val="231F20"/>
        </w:rPr>
      </w:pPr>
      <w:r>
        <w:rPr>
          <w:rFonts w:hint="eastAsia"/>
          <w:color w:val="231F20"/>
        </w:rPr>
        <w:t>值得注意的是，早期的信经都是无千禧年论的：（早期形式的）使徒信经（3世纪）、尼西亚信经（4世纪）和亚他那修信经（6世纪）。</w:t>
      </w:r>
    </w:p>
    <w:p w14:paraId="509C83C2">
      <w:pPr>
        <w:pStyle w:val="9"/>
        <w:spacing w:after="0" w:line="249" w:lineRule="auto"/>
        <w:rPr>
          <w:rFonts w:hint="eastAsia"/>
          <w:color w:val="231F20"/>
        </w:rPr>
      </w:pPr>
    </w:p>
    <w:p w14:paraId="36BE816E">
      <w:pPr>
        <w:pStyle w:val="9"/>
        <w:spacing w:after="0" w:line="249" w:lineRule="auto"/>
        <w:rPr>
          <w:rFonts w:hint="eastAsia"/>
          <w:color w:val="231F20"/>
        </w:rPr>
      </w:pPr>
      <w:r>
        <w:rPr>
          <w:rFonts w:hint="eastAsia"/>
          <w:color w:val="231F20"/>
        </w:rPr>
        <w:t>Though Augustine initially embraced premillennialism, he later came to regard it as a “carnal” understanding of biblical prophecy.</w:t>
      </w:r>
    </w:p>
    <w:p w14:paraId="251E72A3">
      <w:pPr>
        <w:pStyle w:val="9"/>
        <w:spacing w:after="0" w:line="249" w:lineRule="auto"/>
        <w:rPr>
          <w:rFonts w:hint="eastAsia"/>
          <w:color w:val="231F20"/>
        </w:rPr>
      </w:pPr>
    </w:p>
    <w:p w14:paraId="32E49D1A">
      <w:pPr>
        <w:pStyle w:val="9"/>
        <w:spacing w:after="0" w:line="249" w:lineRule="auto"/>
        <w:rPr>
          <w:rFonts w:hint="eastAsia"/>
          <w:color w:val="231F20"/>
        </w:rPr>
      </w:pPr>
      <w:r>
        <w:rPr>
          <w:rFonts w:hint="eastAsia"/>
          <w:color w:val="231F20"/>
        </w:rPr>
        <w:t>尽管奥古斯丁最初接纳了前千禧年论，他后来开始视其为对圣经预言的一种“属肉体”的理解。</w:t>
      </w:r>
    </w:p>
    <w:p w14:paraId="1D083B7B">
      <w:pPr>
        <w:pStyle w:val="9"/>
        <w:spacing w:after="0" w:line="249" w:lineRule="auto"/>
        <w:rPr>
          <w:rFonts w:hint="eastAsia"/>
          <w:color w:val="231F20"/>
        </w:rPr>
      </w:pPr>
    </w:p>
    <w:p w14:paraId="38803925">
      <w:pPr>
        <w:pStyle w:val="9"/>
        <w:spacing w:after="0" w:line="249" w:lineRule="auto"/>
        <w:rPr>
          <w:rFonts w:hint="eastAsia"/>
          <w:color w:val="231F20"/>
        </w:rPr>
      </w:pPr>
      <w:r>
        <w:rPr>
          <w:rFonts w:hint="eastAsia"/>
          <w:color w:val="231F20"/>
        </w:rPr>
        <w:t>In time he powerfully articulated a symbolic interpretation of Revelation 20 that identified Christ’s millennial reign with his spiritual rule over the saints (both in heaven and upon earth); a rule that would hold sway throughout the entire Era of Proclamation.</w:t>
      </w:r>
    </w:p>
    <w:p w14:paraId="0790C180">
      <w:pPr>
        <w:pStyle w:val="9"/>
        <w:spacing w:after="0" w:line="249" w:lineRule="auto"/>
        <w:rPr>
          <w:rFonts w:hint="eastAsia"/>
          <w:color w:val="231F20"/>
        </w:rPr>
      </w:pPr>
    </w:p>
    <w:p w14:paraId="684FAB03">
      <w:pPr>
        <w:pStyle w:val="9"/>
        <w:spacing w:after="0" w:line="249" w:lineRule="auto"/>
        <w:rPr>
          <w:rFonts w:hint="eastAsia"/>
          <w:color w:val="231F20"/>
        </w:rPr>
      </w:pPr>
      <w:r>
        <w:rPr>
          <w:rFonts w:hint="eastAsia"/>
          <w:color w:val="231F20"/>
        </w:rPr>
        <w:t>后来，他有力地阐述了对启示录20章的象征性解释，将基督的千年统治等同于祂对众圣徒（无论在天上还是在地上）的属灵管治；这一管治将在整个宣讲时代中掌权。</w:t>
      </w:r>
    </w:p>
    <w:p w14:paraId="3E53955B">
      <w:pPr>
        <w:pStyle w:val="9"/>
        <w:spacing w:after="0" w:line="249" w:lineRule="auto"/>
        <w:rPr>
          <w:rFonts w:hint="eastAsia"/>
          <w:color w:val="231F20"/>
        </w:rPr>
      </w:pPr>
    </w:p>
    <w:p w14:paraId="793515FF">
      <w:pPr>
        <w:pStyle w:val="9"/>
        <w:spacing w:after="0" w:line="249" w:lineRule="auto"/>
        <w:rPr>
          <w:rFonts w:hint="eastAsia"/>
          <w:color w:val="231F20"/>
        </w:rPr>
      </w:pPr>
      <w:r>
        <w:rPr>
          <w:rFonts w:hint="eastAsia"/>
          <w:color w:val="231F20"/>
        </w:rPr>
        <w:t>As we have seen, this view quickly became orthodoxy among the Roman Catholic and Orthodox communions, and later, with slight modifications, among the majority of the Protestant churches as well.</w:t>
      </w:r>
    </w:p>
    <w:p w14:paraId="31C3886F">
      <w:pPr>
        <w:pStyle w:val="9"/>
        <w:spacing w:after="0" w:line="249" w:lineRule="auto"/>
        <w:rPr>
          <w:rFonts w:hint="eastAsia"/>
          <w:color w:val="231F20"/>
        </w:rPr>
      </w:pPr>
    </w:p>
    <w:p w14:paraId="4C2AA3FC">
      <w:pPr>
        <w:pStyle w:val="9"/>
        <w:spacing w:after="0" w:line="249" w:lineRule="auto"/>
        <w:rPr>
          <w:rFonts w:hint="eastAsia"/>
          <w:color w:val="231F20"/>
        </w:rPr>
      </w:pPr>
      <w:r>
        <w:rPr>
          <w:rFonts w:hint="eastAsia"/>
          <w:color w:val="231F20"/>
        </w:rPr>
        <w:t>正如我们所见，这一观点迅速成为罗马天主教和东正教团体的正统，后来，经过轻微修改，也成为大多数新教教会的正统。</w:t>
      </w:r>
    </w:p>
    <w:p w14:paraId="07F83AEB">
      <w:pPr>
        <w:pStyle w:val="9"/>
        <w:spacing w:after="0" w:line="249" w:lineRule="auto"/>
        <w:rPr>
          <w:rFonts w:hint="eastAsia"/>
          <w:color w:val="231F20"/>
        </w:rPr>
      </w:pPr>
    </w:p>
    <w:p w14:paraId="574D5CD1">
      <w:pPr>
        <w:pStyle w:val="9"/>
        <w:spacing w:after="0" w:line="249" w:lineRule="auto"/>
        <w:rPr>
          <w:rFonts w:hint="eastAsia"/>
          <w:color w:val="231F20"/>
        </w:rPr>
      </w:pPr>
      <w:r>
        <w:rPr>
          <w:rFonts w:hint="eastAsia"/>
          <w:color w:val="231F20"/>
        </w:rPr>
        <w:t>Thus, amillennialism is the “traditional view” of which I have already spoken in our study.</w:t>
      </w:r>
    </w:p>
    <w:p w14:paraId="5C0B3BE4">
      <w:pPr>
        <w:pStyle w:val="9"/>
        <w:spacing w:after="0" w:line="249" w:lineRule="auto"/>
        <w:rPr>
          <w:rFonts w:hint="eastAsia"/>
          <w:color w:val="231F20"/>
        </w:rPr>
      </w:pPr>
    </w:p>
    <w:p w14:paraId="42B16FD6">
      <w:pPr>
        <w:pStyle w:val="9"/>
        <w:spacing w:after="0" w:line="249" w:lineRule="auto"/>
        <w:rPr>
          <w:rFonts w:hint="eastAsia"/>
          <w:color w:val="231F20"/>
        </w:rPr>
      </w:pPr>
      <w:r>
        <w:rPr>
          <w:rFonts w:hint="eastAsia"/>
          <w:color w:val="231F20"/>
        </w:rPr>
        <w:t>因此，无千禧年论就是我在我们研究中已经说过的“传统观点”。</w:t>
      </w:r>
    </w:p>
    <w:p w14:paraId="3CDAF778">
      <w:pPr>
        <w:pStyle w:val="9"/>
        <w:spacing w:after="0" w:line="249" w:lineRule="auto"/>
        <w:rPr>
          <w:rFonts w:hint="eastAsia"/>
          <w:color w:val="231F20"/>
        </w:rPr>
      </w:pPr>
    </w:p>
    <w:p w14:paraId="147A2F7C">
      <w:pPr>
        <w:pStyle w:val="9"/>
        <w:spacing w:after="0" w:line="249" w:lineRule="auto"/>
        <w:rPr>
          <w:rFonts w:hint="eastAsia"/>
          <w:color w:val="231F20"/>
        </w:rPr>
      </w:pPr>
      <w:r>
        <w:rPr>
          <w:rFonts w:hint="eastAsia"/>
          <w:color w:val="231F20"/>
        </w:rPr>
        <w:t>Contemporary defenders of amillennialism include Greg Beale, Floyd Hamilton, Anthony Hoekema, Dennis Johnson, Kim Riddlebarger, Sam Storms, and Rodman Williams.</w:t>
      </w:r>
    </w:p>
    <w:p w14:paraId="241C4785">
      <w:pPr>
        <w:pStyle w:val="9"/>
        <w:spacing w:after="0" w:line="249" w:lineRule="auto"/>
        <w:rPr>
          <w:rFonts w:hint="eastAsia"/>
          <w:color w:val="231F20"/>
        </w:rPr>
      </w:pPr>
    </w:p>
    <w:p w14:paraId="7A83E9E1">
      <w:pPr>
        <w:pStyle w:val="9"/>
        <w:spacing w:after="0" w:line="249" w:lineRule="auto"/>
        <w:rPr>
          <w:rFonts w:hint="eastAsia"/>
          <w:color w:val="231F20"/>
        </w:rPr>
      </w:pPr>
      <w:r>
        <w:rPr>
          <w:rFonts w:hint="eastAsia"/>
          <w:color w:val="231F20"/>
        </w:rPr>
        <w:t>无千禧年论的当代捍卫者包括格雷格·比尔、弗洛伊德·汉密尔顿、安东尼·霍克玛、丹尼斯·约翰逊、金·里德巴格、萨姆·斯托姆斯和罗德曼·威廉姆斯。</w:t>
      </w:r>
    </w:p>
    <w:p w14:paraId="39A95F1C">
      <w:pPr>
        <w:pStyle w:val="9"/>
        <w:spacing w:after="0" w:line="249" w:lineRule="auto"/>
        <w:rPr>
          <w:rFonts w:hint="eastAsia"/>
          <w:color w:val="231F20"/>
        </w:rPr>
      </w:pPr>
    </w:p>
    <w:p w14:paraId="608C0AF8">
      <w:pPr>
        <w:pStyle w:val="9"/>
        <w:spacing w:after="0" w:line="249" w:lineRule="auto"/>
        <w:rPr>
          <w:rFonts w:hint="eastAsia"/>
          <w:color w:val="231F20"/>
        </w:rPr>
      </w:pPr>
      <w:r>
        <w:rPr>
          <w:rFonts w:hint="eastAsia"/>
          <w:color w:val="231F20"/>
        </w:rPr>
        <w:t>By far the simplest of the eschatological options, amillennialism gives a very concise picture of Salvation History.</w:t>
      </w:r>
    </w:p>
    <w:p w14:paraId="75107567">
      <w:pPr>
        <w:pStyle w:val="9"/>
        <w:spacing w:after="0" w:line="249" w:lineRule="auto"/>
        <w:rPr>
          <w:rFonts w:hint="eastAsia"/>
          <w:color w:val="231F20"/>
        </w:rPr>
      </w:pPr>
    </w:p>
    <w:p w14:paraId="5FDEC499">
      <w:pPr>
        <w:pStyle w:val="9"/>
        <w:spacing w:after="0" w:line="249" w:lineRule="auto"/>
        <w:rPr>
          <w:rFonts w:hint="eastAsia"/>
          <w:color w:val="231F20"/>
        </w:rPr>
      </w:pPr>
      <w:r>
        <w:rPr>
          <w:rFonts w:hint="eastAsia"/>
          <w:color w:val="231F20"/>
        </w:rPr>
        <w:t>作为末世论选项中最简单的一种，无千禧年论提供了一个非常简洁的救赎历史图景。</w:t>
      </w:r>
    </w:p>
    <w:p w14:paraId="59DF1B4C">
      <w:pPr>
        <w:pStyle w:val="9"/>
        <w:spacing w:after="0" w:line="249" w:lineRule="auto"/>
        <w:rPr>
          <w:rFonts w:hint="eastAsia"/>
          <w:color w:val="231F20"/>
        </w:rPr>
      </w:pPr>
    </w:p>
    <w:p w14:paraId="12249CAB">
      <w:pPr>
        <w:pStyle w:val="9"/>
        <w:spacing w:after="0" w:line="249" w:lineRule="auto"/>
        <w:rPr>
          <w:rFonts w:hint="eastAsia"/>
          <w:color w:val="231F20"/>
        </w:rPr>
      </w:pPr>
      <w:r>
        <w:rPr>
          <w:rFonts w:hint="eastAsia"/>
          <w:color w:val="231F20"/>
        </w:rPr>
        <w:t>In OT times the prophets used the language and imagery of the Mosaic Law to give a veiled revelation of the coming Kingdom of God.</w:t>
      </w:r>
    </w:p>
    <w:p w14:paraId="16379870">
      <w:pPr>
        <w:pStyle w:val="9"/>
        <w:spacing w:after="0" w:line="249" w:lineRule="auto"/>
        <w:rPr>
          <w:rFonts w:hint="eastAsia"/>
          <w:color w:val="231F20"/>
        </w:rPr>
      </w:pPr>
    </w:p>
    <w:p w14:paraId="13FC5F71">
      <w:pPr>
        <w:pStyle w:val="9"/>
        <w:spacing w:after="0" w:line="249" w:lineRule="auto"/>
        <w:rPr>
          <w:rFonts w:hint="eastAsia"/>
          <w:color w:val="231F20"/>
        </w:rPr>
      </w:pPr>
      <w:r>
        <w:rPr>
          <w:rFonts w:hint="eastAsia"/>
          <w:color w:val="231F20"/>
        </w:rPr>
        <w:t>在旧约时代，申言者们使用摩西律法的语言和意象，来给出关于将要来临之神的国的一个蒙着帕子的启示。</w:t>
      </w:r>
    </w:p>
    <w:p w14:paraId="0BCE5FA6">
      <w:pPr>
        <w:pStyle w:val="9"/>
        <w:spacing w:after="0" w:line="249" w:lineRule="auto"/>
        <w:rPr>
          <w:rFonts w:hint="eastAsia"/>
          <w:color w:val="231F20"/>
        </w:rPr>
      </w:pPr>
    </w:p>
    <w:p w14:paraId="4F92C487">
      <w:pPr>
        <w:pStyle w:val="9"/>
        <w:spacing w:after="0" w:line="249" w:lineRule="auto"/>
        <w:rPr>
          <w:rFonts w:hint="eastAsia"/>
          <w:color w:val="231F20"/>
        </w:rPr>
      </w:pPr>
      <w:r>
        <w:rPr>
          <w:rFonts w:hint="eastAsia"/>
          <w:color w:val="231F20"/>
        </w:rPr>
        <w:t>Accordingly, OTKP can only be understood under the brighter light of the NT, where the exact truth about the nature and stages of God’s Kingdom is finally revealed.</w:t>
      </w:r>
    </w:p>
    <w:p w14:paraId="42A55B7E">
      <w:pPr>
        <w:pStyle w:val="9"/>
        <w:spacing w:after="0" w:line="249" w:lineRule="auto"/>
        <w:rPr>
          <w:rFonts w:hint="eastAsia"/>
          <w:color w:val="231F20"/>
        </w:rPr>
      </w:pPr>
    </w:p>
    <w:p w14:paraId="66709B19">
      <w:pPr>
        <w:pStyle w:val="9"/>
        <w:spacing w:after="0" w:line="249" w:lineRule="auto"/>
        <w:rPr>
          <w:rFonts w:hint="eastAsia"/>
          <w:color w:val="231F20"/>
        </w:rPr>
      </w:pPr>
      <w:r>
        <w:rPr>
          <w:rFonts w:hint="eastAsia"/>
          <w:color w:val="231F20"/>
        </w:rPr>
        <w:t>因此，旧约国度预言只能在新约更明亮的光照下才能被理解，在那里，关于神的国之性质与阶段的确切真理才最终被揭示出来。</w:t>
      </w:r>
    </w:p>
    <w:p w14:paraId="5292D885">
      <w:pPr>
        <w:pStyle w:val="9"/>
        <w:spacing w:after="0" w:line="249" w:lineRule="auto"/>
        <w:rPr>
          <w:rFonts w:hint="eastAsia"/>
          <w:color w:val="231F20"/>
        </w:rPr>
      </w:pPr>
    </w:p>
    <w:p w14:paraId="5B54517A">
      <w:pPr>
        <w:pStyle w:val="9"/>
        <w:spacing w:after="0" w:line="249" w:lineRule="auto"/>
        <w:rPr>
          <w:rFonts w:hint="eastAsia"/>
          <w:color w:val="231F20"/>
        </w:rPr>
      </w:pPr>
      <w:r>
        <w:rPr>
          <w:rFonts w:hint="eastAsia"/>
          <w:color w:val="231F20"/>
        </w:rPr>
        <w:t>Augustine first articulated the guiding interpretive principle of amillennialism, stating pithily, “The Old Covenant is the New concealed; the New Covenant is the Old revealed.”</w:t>
      </w:r>
    </w:p>
    <w:p w14:paraId="2F71101F">
      <w:pPr>
        <w:pStyle w:val="9"/>
        <w:spacing w:after="0" w:line="249" w:lineRule="auto"/>
        <w:rPr>
          <w:rFonts w:hint="eastAsia"/>
          <w:color w:val="231F20"/>
        </w:rPr>
      </w:pPr>
    </w:p>
    <w:p w14:paraId="688CA096">
      <w:pPr>
        <w:pStyle w:val="9"/>
        <w:spacing w:after="0" w:line="249" w:lineRule="auto"/>
        <w:rPr>
          <w:rFonts w:hint="eastAsia"/>
          <w:color w:val="231F20"/>
        </w:rPr>
      </w:pPr>
      <w:r>
        <w:rPr>
          <w:rFonts w:hint="eastAsia"/>
          <w:color w:val="231F20"/>
        </w:rPr>
        <w:t>奥古斯丁首先阐明了无千禧年论的指导性解释原则，他精辟地指出：“旧约是隐藏的新约；新约是显明的旧约。”</w:t>
      </w:r>
    </w:p>
    <w:p w14:paraId="63355E90">
      <w:pPr>
        <w:pStyle w:val="9"/>
        <w:spacing w:after="0" w:line="249" w:lineRule="auto"/>
        <w:rPr>
          <w:rFonts w:hint="eastAsia"/>
          <w:color w:val="231F20"/>
        </w:rPr>
      </w:pPr>
    </w:p>
    <w:p w14:paraId="333ED6CD">
      <w:pPr>
        <w:pStyle w:val="9"/>
        <w:spacing w:after="0" w:line="249" w:lineRule="auto"/>
        <w:rPr>
          <w:rFonts w:hint="eastAsia"/>
          <w:color w:val="231F20"/>
        </w:rPr>
      </w:pPr>
      <w:r>
        <w:rPr>
          <w:rFonts w:hint="eastAsia"/>
          <w:color w:val="231F20"/>
        </w:rPr>
        <w:t>Armed with this principle, amillennarians offer a figurative, New Covenant interpretation of the many OT prophecies of the Kingdom of God.</w:t>
      </w:r>
    </w:p>
    <w:p w14:paraId="7A6E7C14">
      <w:pPr>
        <w:pStyle w:val="9"/>
        <w:spacing w:after="0" w:line="249" w:lineRule="auto"/>
        <w:rPr>
          <w:rFonts w:hint="eastAsia"/>
          <w:color w:val="231F20"/>
        </w:rPr>
      </w:pPr>
    </w:p>
    <w:p w14:paraId="5BCE1119">
      <w:pPr>
        <w:pStyle w:val="9"/>
        <w:spacing w:after="0" w:line="249" w:lineRule="auto"/>
        <w:rPr>
          <w:rFonts w:hint="eastAsia"/>
          <w:color w:val="231F20"/>
        </w:rPr>
      </w:pPr>
      <w:r>
        <w:rPr>
          <w:rFonts w:hint="eastAsia"/>
          <w:color w:val="231F20"/>
        </w:rPr>
        <w:t>以这个原则为武器，无千禧年论者对许多关于神的国的旧约预言，提供了一个预表性的、新约的解释。</w:t>
      </w:r>
    </w:p>
    <w:p w14:paraId="32D17D2A">
      <w:pPr>
        <w:pStyle w:val="9"/>
        <w:spacing w:after="0" w:line="249" w:lineRule="auto"/>
        <w:rPr>
          <w:rFonts w:hint="eastAsia"/>
          <w:color w:val="231F20"/>
        </w:rPr>
      </w:pPr>
    </w:p>
    <w:p w14:paraId="2AFDA7BF">
      <w:pPr>
        <w:pStyle w:val="9"/>
        <w:spacing w:after="0" w:line="249" w:lineRule="auto"/>
        <w:rPr>
          <w:rFonts w:hint="eastAsia"/>
          <w:color w:val="231F20"/>
        </w:rPr>
      </w:pPr>
      <w:r>
        <w:rPr>
          <w:rFonts w:hint="eastAsia"/>
          <w:color w:val="231F20"/>
        </w:rPr>
        <w:t>Concerning the Kingdom itself, amillennarians turn first and foremost to the gospels and epistles, arguing from them that the Kingdom enters the world in just two stages.</w:t>
      </w:r>
    </w:p>
    <w:p w14:paraId="2254277F">
      <w:pPr>
        <w:pStyle w:val="9"/>
        <w:spacing w:after="0" w:line="249" w:lineRule="auto"/>
        <w:rPr>
          <w:rFonts w:hint="eastAsia"/>
          <w:color w:val="231F20"/>
        </w:rPr>
      </w:pPr>
    </w:p>
    <w:p w14:paraId="0DF1C497">
      <w:pPr>
        <w:pStyle w:val="9"/>
        <w:spacing w:after="0" w:line="249" w:lineRule="auto"/>
        <w:rPr>
          <w:rFonts w:hint="eastAsia"/>
          <w:color w:val="231F20"/>
        </w:rPr>
      </w:pPr>
      <w:r>
        <w:rPr>
          <w:rFonts w:hint="eastAsia"/>
          <w:color w:val="231F20"/>
        </w:rPr>
        <w:t>关于国度本身，无千禧年论者首先且最主要地转向福音书和书信，从其中论证说，国度是以仅仅两个阶段进入世界的。</w:t>
      </w:r>
    </w:p>
    <w:p w14:paraId="6B8F9D24">
      <w:pPr>
        <w:pStyle w:val="9"/>
        <w:spacing w:after="0" w:line="249" w:lineRule="auto"/>
        <w:rPr>
          <w:rFonts w:hint="eastAsia"/>
          <w:color w:val="231F20"/>
        </w:rPr>
      </w:pPr>
    </w:p>
    <w:p w14:paraId="170EB4AE">
      <w:pPr>
        <w:pStyle w:val="9"/>
        <w:spacing w:after="0" w:line="249" w:lineRule="auto"/>
        <w:rPr>
          <w:rFonts w:hint="eastAsia"/>
          <w:color w:val="231F20"/>
        </w:rPr>
      </w:pPr>
      <w:r>
        <w:rPr>
          <w:rFonts w:hint="eastAsia"/>
          <w:color w:val="231F20"/>
        </w:rPr>
        <w:t>The first is the Era of Proclamation, also called the Kingdom of the Son.</w:t>
      </w:r>
    </w:p>
    <w:p w14:paraId="5F1237A3">
      <w:pPr>
        <w:pStyle w:val="9"/>
        <w:spacing w:after="0" w:line="249" w:lineRule="auto"/>
        <w:rPr>
          <w:rFonts w:hint="eastAsia"/>
          <w:color w:val="231F20"/>
        </w:rPr>
      </w:pPr>
    </w:p>
    <w:p w14:paraId="5D87E0BE">
      <w:pPr>
        <w:pStyle w:val="9"/>
        <w:spacing w:after="0" w:line="249" w:lineRule="auto"/>
        <w:rPr>
          <w:rFonts w:hint="eastAsia"/>
          <w:color w:val="231F20"/>
        </w:rPr>
      </w:pPr>
      <w:r>
        <w:rPr>
          <w:rFonts w:hint="eastAsia"/>
          <w:color w:val="231F20"/>
        </w:rPr>
        <w:t>第一个是宣讲时代，也称为子的国度。</w:t>
      </w:r>
    </w:p>
    <w:p w14:paraId="59EE9CEF">
      <w:pPr>
        <w:pStyle w:val="9"/>
        <w:spacing w:after="0" w:line="249" w:lineRule="auto"/>
        <w:rPr>
          <w:rFonts w:hint="eastAsia"/>
          <w:color w:val="231F20"/>
        </w:rPr>
      </w:pPr>
    </w:p>
    <w:p w14:paraId="644F000C">
      <w:pPr>
        <w:pStyle w:val="9"/>
        <w:spacing w:after="0" w:line="249" w:lineRule="auto"/>
        <w:rPr>
          <w:rFonts w:hint="eastAsia"/>
          <w:color w:val="231F20"/>
        </w:rPr>
      </w:pPr>
      <w:r>
        <w:rPr>
          <w:rFonts w:hint="eastAsia"/>
          <w:color w:val="231F20"/>
        </w:rPr>
        <w:t>It begins at Pentecost, when the Church is born, and concludes at the Parousia, when Christ himself consummates the Father’s plan of salvation.</w:t>
      </w:r>
    </w:p>
    <w:p w14:paraId="17C5771E">
      <w:pPr>
        <w:pStyle w:val="9"/>
        <w:spacing w:after="0" w:line="249" w:lineRule="auto"/>
        <w:rPr>
          <w:rFonts w:hint="eastAsia"/>
          <w:color w:val="231F20"/>
        </w:rPr>
      </w:pPr>
    </w:p>
    <w:p w14:paraId="7B22A937">
      <w:pPr>
        <w:pStyle w:val="9"/>
        <w:spacing w:after="0" w:line="249" w:lineRule="auto"/>
        <w:rPr>
          <w:rFonts w:hint="eastAsia"/>
          <w:color w:val="231F20"/>
        </w:rPr>
      </w:pPr>
      <w:r>
        <w:rPr>
          <w:rFonts w:hint="eastAsia"/>
          <w:color w:val="231F20"/>
        </w:rPr>
        <w:t>它始于五旬节，当教会诞生之时，并结束于主的再来，那时基督自己将成全父的救恩计划。</w:t>
      </w:r>
    </w:p>
    <w:p w14:paraId="3110D3E1">
      <w:pPr>
        <w:pStyle w:val="9"/>
        <w:spacing w:after="0" w:line="249" w:lineRule="auto"/>
        <w:rPr>
          <w:rFonts w:hint="eastAsia"/>
          <w:color w:val="231F20"/>
        </w:rPr>
      </w:pPr>
    </w:p>
    <w:p w14:paraId="7000B485">
      <w:pPr>
        <w:pStyle w:val="9"/>
        <w:spacing w:after="0" w:line="249" w:lineRule="auto"/>
        <w:rPr>
          <w:rFonts w:hint="eastAsia"/>
          <w:color w:val="231F20"/>
        </w:rPr>
      </w:pPr>
      <w:r>
        <w:rPr>
          <w:rFonts w:hint="eastAsia"/>
          <w:color w:val="231F20"/>
        </w:rPr>
        <w:t>During this phase of the Kingdom, Christ rules over his Church from heaven by the Holy Spirit, being seated at the Father’s right hand as the High King of heaven; as the mediatorial King of the universe.</w:t>
      </w:r>
    </w:p>
    <w:p w14:paraId="5EE2F975">
      <w:pPr>
        <w:pStyle w:val="9"/>
        <w:spacing w:after="0" w:line="249" w:lineRule="auto"/>
        <w:rPr>
          <w:rFonts w:hint="eastAsia"/>
          <w:color w:val="231F20"/>
        </w:rPr>
      </w:pPr>
    </w:p>
    <w:p w14:paraId="52AC22EA">
      <w:pPr>
        <w:pStyle w:val="9"/>
        <w:spacing w:after="0" w:line="249" w:lineRule="auto"/>
        <w:rPr>
          <w:rFonts w:hint="eastAsia"/>
          <w:color w:val="231F20"/>
        </w:rPr>
      </w:pPr>
      <w:r>
        <w:rPr>
          <w:rFonts w:hint="eastAsia"/>
          <w:color w:val="231F20"/>
        </w:rPr>
        <w:t>在国度的这个阶段，基督从天上借着圣灵统治祂的教会，作为天上的至高君王，作为宇宙的中保君王，坐在父的右边。</w:t>
      </w:r>
    </w:p>
    <w:p w14:paraId="5144841E">
      <w:pPr>
        <w:pStyle w:val="9"/>
        <w:spacing w:after="0" w:line="249" w:lineRule="auto"/>
        <w:rPr>
          <w:rFonts w:hint="eastAsia"/>
          <w:color w:val="231F20"/>
        </w:rPr>
      </w:pPr>
    </w:p>
    <w:p w14:paraId="68FC0EFA">
      <w:pPr>
        <w:pStyle w:val="9"/>
        <w:spacing w:after="0" w:line="249" w:lineRule="auto"/>
        <w:rPr>
          <w:rFonts w:hint="eastAsia"/>
          <w:color w:val="231F20"/>
        </w:rPr>
      </w:pPr>
      <w:r>
        <w:rPr>
          <w:rFonts w:hint="eastAsia"/>
          <w:color w:val="231F20"/>
        </w:rPr>
        <w:t>Very importantly, this is none other than the millennial reign of Christ spoken of in Revelation 20, a reign in which the souls of the departed saints now share as a reward for faithfulness during their lives on earth.</w:t>
      </w:r>
    </w:p>
    <w:p w14:paraId="68950181">
      <w:pPr>
        <w:pStyle w:val="9"/>
        <w:spacing w:after="0" w:line="249" w:lineRule="auto"/>
        <w:rPr>
          <w:rFonts w:hint="eastAsia"/>
          <w:color w:val="231F20"/>
        </w:rPr>
      </w:pPr>
    </w:p>
    <w:p w14:paraId="3C8A816B">
      <w:pPr>
        <w:pStyle w:val="9"/>
        <w:spacing w:after="0" w:line="249" w:lineRule="auto"/>
        <w:rPr>
          <w:rFonts w:hint="eastAsia"/>
          <w:color w:val="231F20"/>
        </w:rPr>
      </w:pPr>
      <w:r>
        <w:rPr>
          <w:rFonts w:hint="eastAsia"/>
          <w:color w:val="231F20"/>
        </w:rPr>
        <w:t>非常重要的一点是，这正是启示录20章中所说的基督的千年统治，一个已故圣徒的灵魂因其在地上生活时的忠信而得享的奖赏，如今正有分于此统治。</w:t>
      </w:r>
    </w:p>
    <w:p w14:paraId="182E62B0">
      <w:pPr>
        <w:pStyle w:val="9"/>
        <w:spacing w:after="0" w:line="249" w:lineRule="auto"/>
        <w:rPr>
          <w:rFonts w:hint="eastAsia"/>
          <w:color w:val="231F20"/>
        </w:rPr>
      </w:pPr>
    </w:p>
    <w:p w14:paraId="1DEB5197">
      <w:pPr>
        <w:pStyle w:val="9"/>
        <w:spacing w:after="0" w:line="249" w:lineRule="auto"/>
        <w:rPr>
          <w:rFonts w:hint="eastAsia"/>
          <w:color w:val="231F20"/>
        </w:rPr>
      </w:pPr>
      <w:r>
        <w:rPr>
          <w:rFonts w:hint="eastAsia"/>
          <w:color w:val="231F20"/>
        </w:rPr>
        <w:t>The second stage of the Kingdom is the World to Come, or the new heavens and the new earth.</w:t>
      </w:r>
    </w:p>
    <w:p w14:paraId="221D6C89">
      <w:pPr>
        <w:pStyle w:val="9"/>
        <w:spacing w:after="0" w:line="249" w:lineRule="auto"/>
        <w:rPr>
          <w:rFonts w:hint="eastAsia"/>
          <w:color w:val="231F20"/>
        </w:rPr>
      </w:pPr>
    </w:p>
    <w:p w14:paraId="75F5227B">
      <w:pPr>
        <w:pStyle w:val="9"/>
        <w:spacing w:after="0" w:line="249" w:lineRule="auto"/>
        <w:rPr>
          <w:rFonts w:hint="eastAsia"/>
          <w:color w:val="231F20"/>
        </w:rPr>
      </w:pPr>
      <w:r>
        <w:rPr>
          <w:rFonts w:hint="eastAsia"/>
          <w:color w:val="231F20"/>
        </w:rPr>
        <w:t>国度的第二阶段是要来的世界，或称新天新地。</w:t>
      </w:r>
    </w:p>
    <w:p w14:paraId="696A7642">
      <w:pPr>
        <w:pStyle w:val="9"/>
        <w:spacing w:after="0" w:line="249" w:lineRule="auto"/>
        <w:rPr>
          <w:rFonts w:hint="eastAsia"/>
          <w:color w:val="231F20"/>
        </w:rPr>
      </w:pPr>
    </w:p>
    <w:p w14:paraId="3993E688">
      <w:pPr>
        <w:pStyle w:val="9"/>
        <w:spacing w:after="0" w:line="249" w:lineRule="auto"/>
        <w:rPr>
          <w:rFonts w:hint="eastAsia"/>
          <w:color w:val="231F20"/>
        </w:rPr>
      </w:pPr>
      <w:r>
        <w:rPr>
          <w:rFonts w:hint="eastAsia"/>
          <w:color w:val="231F20"/>
        </w:rPr>
        <w:t>It may also be called the Kingdom of the Father, since it begins when Christ—in his final act of the Consummation—delivers up his glorified Kingdom (i.e., a whole new humanity and whole new physical world) to God the Father</w:t>
      </w:r>
    </w:p>
    <w:p w14:paraId="4B41724B">
      <w:pPr>
        <w:pStyle w:val="9"/>
        <w:spacing w:after="0" w:line="249" w:lineRule="auto"/>
        <w:rPr>
          <w:rFonts w:hint="eastAsia"/>
          <w:color w:val="231F20"/>
        </w:rPr>
      </w:pPr>
    </w:p>
    <w:p w14:paraId="45C4FED6">
      <w:pPr>
        <w:pStyle w:val="9"/>
        <w:spacing w:after="0" w:line="249" w:lineRule="auto"/>
        <w:rPr>
          <w:rFonts w:hint="eastAsia"/>
          <w:color w:val="231F20"/>
        </w:rPr>
      </w:pPr>
      <w:r>
        <w:rPr>
          <w:rFonts w:hint="eastAsia"/>
          <w:color w:val="231F20"/>
        </w:rPr>
        <w:t>它也可以被称为父的国度，因为它始于基督——在祂最终成全的最后一个行动中——将祂得荣的国度（即一个全新的族类和一个全新的物质世界）交与父神。</w:t>
      </w:r>
    </w:p>
    <w:p w14:paraId="1670E90E">
      <w:pPr>
        <w:pStyle w:val="9"/>
        <w:spacing w:after="0" w:line="249" w:lineRule="auto"/>
        <w:rPr>
          <w:rFonts w:hint="eastAsia"/>
          <w:color w:val="231F20"/>
        </w:rPr>
      </w:pPr>
    </w:p>
    <w:p w14:paraId="20A173EA">
      <w:pPr>
        <w:pStyle w:val="9"/>
        <w:spacing w:after="0" w:line="249" w:lineRule="auto"/>
        <w:rPr>
          <w:rFonts w:hint="eastAsia"/>
          <w:color w:val="231F20"/>
        </w:rPr>
      </w:pPr>
      <w:r>
        <w:rPr>
          <w:rFonts w:hint="eastAsia"/>
          <w:color w:val="231F20"/>
        </w:rPr>
        <w:t>Because it is based on a simple two-staged view of the Kingdom, the amillennial view of the Consummation is also quite simple—and therefore quite powerful and majestic.</w:t>
      </w:r>
    </w:p>
    <w:p w14:paraId="4FFF848E">
      <w:pPr>
        <w:pStyle w:val="9"/>
        <w:spacing w:after="0" w:line="249" w:lineRule="auto"/>
        <w:rPr>
          <w:rFonts w:hint="eastAsia"/>
          <w:color w:val="231F20"/>
        </w:rPr>
      </w:pPr>
    </w:p>
    <w:p w14:paraId="085787DA">
      <w:pPr>
        <w:pStyle w:val="9"/>
        <w:spacing w:after="0" w:line="249" w:lineRule="auto"/>
        <w:rPr>
          <w:rFonts w:hint="eastAsia"/>
          <w:color w:val="231F20"/>
        </w:rPr>
      </w:pPr>
      <w:r>
        <w:rPr>
          <w:rFonts w:hint="eastAsia"/>
          <w:color w:val="231F20"/>
        </w:rPr>
        <w:t>因为它基于对国度的简单两阶段观点，无千禧年论对最终成全的观点也相当简单——因此也相当有力和威严。</w:t>
      </w:r>
    </w:p>
    <w:p w14:paraId="28264247">
      <w:pPr>
        <w:pStyle w:val="9"/>
        <w:spacing w:after="0" w:line="249" w:lineRule="auto"/>
        <w:rPr>
          <w:rFonts w:hint="eastAsia"/>
          <w:color w:val="231F20"/>
        </w:rPr>
      </w:pPr>
    </w:p>
    <w:p w14:paraId="7E649FF9">
      <w:pPr>
        <w:pStyle w:val="9"/>
        <w:spacing w:after="0" w:line="249" w:lineRule="auto"/>
        <w:rPr>
          <w:rFonts w:hint="eastAsia"/>
          <w:color w:val="231F20"/>
        </w:rPr>
      </w:pPr>
      <w:r>
        <w:rPr>
          <w:rFonts w:hint="eastAsia"/>
          <w:color w:val="231F20"/>
        </w:rPr>
        <w:t>As the present evil age draws to a close, the pilgrim Church completes her mission of global evangelization, rejoicing at last to see the great mass of Jews turn to their Messiah under the faithful preaching of the Gospel.</w:t>
      </w:r>
    </w:p>
    <w:p w14:paraId="70D59C82">
      <w:pPr>
        <w:pStyle w:val="9"/>
        <w:spacing w:after="0" w:line="249" w:lineRule="auto"/>
        <w:rPr>
          <w:rFonts w:hint="eastAsia"/>
          <w:color w:val="231F20"/>
        </w:rPr>
      </w:pPr>
    </w:p>
    <w:p w14:paraId="1C7CCFDF">
      <w:pPr>
        <w:pStyle w:val="9"/>
        <w:spacing w:after="0" w:line="249" w:lineRule="auto"/>
        <w:rPr>
          <w:rFonts w:hint="eastAsia"/>
          <w:color w:val="231F20"/>
        </w:rPr>
      </w:pPr>
      <w:r>
        <w:rPr>
          <w:rFonts w:hint="eastAsia"/>
          <w:color w:val="231F20"/>
        </w:rPr>
        <w:t>当现今邪恶的世代接近尾声时，作客旅的教会完成了她全球传福音的使命，最终欢喜地看到大批犹太人在福音的忠信传讲下归向他们的弥赛亚。</w:t>
      </w:r>
    </w:p>
    <w:p w14:paraId="0F5C45E2">
      <w:pPr>
        <w:pStyle w:val="9"/>
        <w:spacing w:after="0" w:line="249" w:lineRule="auto"/>
        <w:rPr>
          <w:rFonts w:hint="eastAsia"/>
          <w:color w:val="231F20"/>
        </w:rPr>
      </w:pPr>
    </w:p>
    <w:p w14:paraId="4198FDDF">
      <w:pPr>
        <w:pStyle w:val="9"/>
        <w:spacing w:after="0" w:line="249" w:lineRule="auto"/>
        <w:rPr>
          <w:rFonts w:hint="eastAsia"/>
          <w:color w:val="231F20"/>
        </w:rPr>
      </w:pPr>
      <w:r>
        <w:rPr>
          <w:rFonts w:hint="eastAsia"/>
          <w:color w:val="231F20"/>
        </w:rPr>
        <w:t>But now the fallen world-system plunges into deepest spiritual darkness, more or less completely rebelling against God, Christ, and righteousness.</w:t>
      </w:r>
    </w:p>
    <w:p w14:paraId="7175570B">
      <w:pPr>
        <w:pStyle w:val="9"/>
        <w:spacing w:after="0" w:line="249" w:lineRule="auto"/>
        <w:rPr>
          <w:rFonts w:hint="eastAsia"/>
          <w:color w:val="231F20"/>
        </w:rPr>
      </w:pPr>
    </w:p>
    <w:p w14:paraId="59FA16DF">
      <w:pPr>
        <w:pStyle w:val="9"/>
        <w:spacing w:after="0" w:line="249" w:lineRule="auto"/>
        <w:rPr>
          <w:rFonts w:hint="eastAsia"/>
          <w:color w:val="231F20"/>
        </w:rPr>
      </w:pPr>
      <w:r>
        <w:rPr>
          <w:rFonts w:hint="eastAsia"/>
          <w:color w:val="231F20"/>
        </w:rPr>
        <w:t>但现在，堕落的世界体系陷入了最深的属灵黑暗中，或多或少地完全背叛了神、基督和公义。</w:t>
      </w:r>
    </w:p>
    <w:p w14:paraId="58B42F21">
      <w:pPr>
        <w:pStyle w:val="9"/>
        <w:spacing w:after="0" w:line="249" w:lineRule="auto"/>
        <w:rPr>
          <w:rFonts w:hint="eastAsia"/>
          <w:color w:val="231F20"/>
        </w:rPr>
      </w:pPr>
    </w:p>
    <w:p w14:paraId="3F0B2ADD">
      <w:pPr>
        <w:pStyle w:val="9"/>
        <w:spacing w:after="0" w:line="249" w:lineRule="auto"/>
        <w:rPr>
          <w:rFonts w:hint="eastAsia"/>
          <w:color w:val="231F20"/>
        </w:rPr>
      </w:pPr>
      <w:r>
        <w:rPr>
          <w:rFonts w:hint="eastAsia"/>
          <w:color w:val="231F20"/>
        </w:rPr>
        <w:t>Divine judgments—prevalent throughout the entire Church Era—intensify.</w:t>
      </w:r>
    </w:p>
    <w:p w14:paraId="18D02770">
      <w:pPr>
        <w:pStyle w:val="9"/>
        <w:spacing w:after="0" w:line="249" w:lineRule="auto"/>
        <w:rPr>
          <w:rFonts w:hint="eastAsia"/>
          <w:color w:val="231F20"/>
        </w:rPr>
      </w:pPr>
    </w:p>
    <w:p w14:paraId="7578420C">
      <w:pPr>
        <w:pStyle w:val="9"/>
        <w:spacing w:after="0" w:line="249" w:lineRule="auto"/>
        <w:rPr>
          <w:rFonts w:hint="eastAsia"/>
          <w:color w:val="231F20"/>
        </w:rPr>
      </w:pPr>
      <w:r>
        <w:rPr>
          <w:rFonts w:hint="eastAsia"/>
          <w:color w:val="231F20"/>
        </w:rPr>
        <w:t>神的审判——在整个教会时代都普遍存在——加剧了。</w:t>
      </w:r>
    </w:p>
    <w:p w14:paraId="5CB4FB81">
      <w:pPr>
        <w:pStyle w:val="9"/>
        <w:spacing w:after="0" w:line="249" w:lineRule="auto"/>
        <w:rPr>
          <w:rFonts w:hint="eastAsia"/>
          <w:color w:val="231F20"/>
        </w:rPr>
      </w:pPr>
    </w:p>
    <w:p w14:paraId="45C71FDD">
      <w:pPr>
        <w:pStyle w:val="9"/>
        <w:spacing w:after="0" w:line="249" w:lineRule="auto"/>
        <w:rPr>
          <w:rFonts w:hint="eastAsia"/>
          <w:color w:val="231F20"/>
        </w:rPr>
      </w:pPr>
      <w:r>
        <w:rPr>
          <w:rFonts w:hint="eastAsia"/>
          <w:color w:val="231F20"/>
        </w:rPr>
        <w:t>Lawlessness abounds, with many professing believers falling away from the faith.</w:t>
      </w:r>
    </w:p>
    <w:p w14:paraId="50B5D836">
      <w:pPr>
        <w:pStyle w:val="9"/>
        <w:spacing w:after="0" w:line="249" w:lineRule="auto"/>
        <w:rPr>
          <w:rFonts w:hint="eastAsia"/>
          <w:color w:val="231F20"/>
        </w:rPr>
      </w:pPr>
    </w:p>
    <w:p w14:paraId="06ACE752">
      <w:pPr>
        <w:pStyle w:val="9"/>
        <w:spacing w:after="0" w:line="249" w:lineRule="auto"/>
        <w:rPr>
          <w:rFonts w:hint="eastAsia"/>
          <w:color w:val="231F20"/>
        </w:rPr>
      </w:pPr>
      <w:r>
        <w:rPr>
          <w:rFonts w:hint="eastAsia"/>
          <w:color w:val="231F20"/>
        </w:rPr>
        <w:t>不法的事增多，许多自称的信徒离弃了信仰。</w:t>
      </w:r>
    </w:p>
    <w:p w14:paraId="12366455">
      <w:pPr>
        <w:pStyle w:val="9"/>
        <w:spacing w:after="0" w:line="249" w:lineRule="auto"/>
        <w:rPr>
          <w:rFonts w:hint="eastAsia"/>
          <w:color w:val="231F20"/>
        </w:rPr>
      </w:pPr>
    </w:p>
    <w:p w14:paraId="61AD58CD">
      <w:pPr>
        <w:pStyle w:val="9"/>
        <w:spacing w:after="0" w:line="249" w:lineRule="auto"/>
        <w:rPr>
          <w:rFonts w:hint="eastAsia"/>
          <w:color w:val="231F20"/>
        </w:rPr>
      </w:pPr>
      <w:r>
        <w:rPr>
          <w:rFonts w:hint="eastAsia"/>
          <w:color w:val="231F20"/>
        </w:rPr>
        <w:t>As Satan is now released from divine restraint, the Antichrist appears, deceiving the nations with a false gospel that is buttressed by false signs and wonders.</w:t>
      </w:r>
    </w:p>
    <w:p w14:paraId="432AD039">
      <w:pPr>
        <w:pStyle w:val="9"/>
        <w:spacing w:after="0" w:line="249" w:lineRule="auto"/>
        <w:rPr>
          <w:rFonts w:hint="eastAsia"/>
          <w:color w:val="231F20"/>
        </w:rPr>
      </w:pPr>
    </w:p>
    <w:p w14:paraId="754B4D00">
      <w:pPr>
        <w:pStyle w:val="9"/>
        <w:spacing w:after="0" w:line="249" w:lineRule="auto"/>
        <w:rPr>
          <w:rFonts w:hint="eastAsia"/>
          <w:color w:val="231F20"/>
        </w:rPr>
      </w:pPr>
      <w:r>
        <w:rPr>
          <w:rFonts w:hint="eastAsia"/>
          <w:color w:val="231F20"/>
        </w:rPr>
        <w:t>当撒但现在从神的约束中被释放时，敌基督出现，用一个由假神迹奇事支持的假福音来欺骗列国。</w:t>
      </w:r>
    </w:p>
    <w:p w14:paraId="622D198F">
      <w:pPr>
        <w:pStyle w:val="9"/>
        <w:spacing w:after="0" w:line="249" w:lineRule="auto"/>
        <w:rPr>
          <w:rFonts w:hint="eastAsia"/>
          <w:color w:val="231F20"/>
        </w:rPr>
      </w:pPr>
    </w:p>
    <w:p w14:paraId="28A61E55">
      <w:pPr>
        <w:pStyle w:val="9"/>
        <w:spacing w:after="0" w:line="249" w:lineRule="auto"/>
        <w:rPr>
          <w:rFonts w:hint="eastAsia"/>
          <w:color w:val="231F20"/>
        </w:rPr>
      </w:pPr>
      <w:r>
        <w:rPr>
          <w:rFonts w:hint="eastAsia"/>
          <w:color w:val="231F20"/>
        </w:rPr>
        <w:t>His ascendancy triggers a brief but convulsive season of unparalleled global tribulation.</w:t>
      </w:r>
    </w:p>
    <w:p w14:paraId="50375557">
      <w:pPr>
        <w:pStyle w:val="9"/>
        <w:spacing w:after="0" w:line="249" w:lineRule="auto"/>
        <w:rPr>
          <w:rFonts w:hint="eastAsia"/>
          <w:color w:val="231F20"/>
        </w:rPr>
      </w:pPr>
    </w:p>
    <w:p w14:paraId="34DD29C9">
      <w:pPr>
        <w:pStyle w:val="9"/>
        <w:spacing w:after="0" w:line="249" w:lineRule="auto"/>
        <w:rPr>
          <w:rFonts w:hint="eastAsia"/>
          <w:color w:val="231F20"/>
        </w:rPr>
      </w:pPr>
      <w:r>
        <w:rPr>
          <w:rFonts w:hint="eastAsia"/>
          <w:color w:val="231F20"/>
        </w:rPr>
        <w:t>他的得势引发了一段短暂但剧烈的、前所未有的全球性大患难时期。</w:t>
      </w:r>
    </w:p>
    <w:p w14:paraId="2CD3F7EC">
      <w:pPr>
        <w:pStyle w:val="9"/>
        <w:spacing w:after="0" w:line="249" w:lineRule="auto"/>
        <w:rPr>
          <w:rFonts w:hint="eastAsia"/>
          <w:color w:val="231F20"/>
        </w:rPr>
      </w:pPr>
    </w:p>
    <w:p w14:paraId="6BA78EDD">
      <w:pPr>
        <w:pStyle w:val="9"/>
        <w:spacing w:after="0" w:line="249" w:lineRule="auto"/>
        <w:rPr>
          <w:rFonts w:hint="eastAsia"/>
          <w:color w:val="231F20"/>
        </w:rPr>
      </w:pPr>
      <w:r>
        <w:rPr>
          <w:rFonts w:hint="eastAsia"/>
          <w:color w:val="231F20"/>
        </w:rPr>
        <w:t>It is characterized by fierce persecution of the true spiritual Church, but also by severe judgments of God—warnings to all humanity that the Last Judgment is now at the door.</w:t>
      </w:r>
    </w:p>
    <w:p w14:paraId="6A3008D0">
      <w:pPr>
        <w:pStyle w:val="9"/>
        <w:spacing w:after="0" w:line="249" w:lineRule="auto"/>
        <w:rPr>
          <w:rFonts w:hint="eastAsia"/>
          <w:color w:val="231F20"/>
        </w:rPr>
      </w:pPr>
    </w:p>
    <w:p w14:paraId="3AA7C045">
      <w:pPr>
        <w:pStyle w:val="9"/>
        <w:spacing w:after="0" w:line="249" w:lineRule="auto"/>
        <w:rPr>
          <w:rFonts w:hint="eastAsia"/>
          <w:color w:val="231F20"/>
        </w:rPr>
      </w:pPr>
      <w:r>
        <w:rPr>
          <w:rFonts w:hint="eastAsia"/>
          <w:color w:val="231F20"/>
        </w:rPr>
        <w:t>它的特征是对真正属灵教会的猛烈逼迫，但也有神严厉的审判——这是对全人类的警告，即最后的审判现在已经临近了。</w:t>
      </w:r>
    </w:p>
    <w:p w14:paraId="6F909169">
      <w:pPr>
        <w:pStyle w:val="9"/>
        <w:spacing w:after="0" w:line="249" w:lineRule="auto"/>
        <w:rPr>
          <w:rFonts w:hint="eastAsia"/>
          <w:color w:val="231F20"/>
        </w:rPr>
      </w:pPr>
    </w:p>
    <w:p w14:paraId="5BC874F8">
      <w:pPr>
        <w:pStyle w:val="9"/>
        <w:spacing w:after="0" w:line="249" w:lineRule="auto"/>
        <w:rPr>
          <w:rFonts w:hint="eastAsia"/>
          <w:color w:val="231F20"/>
        </w:rPr>
      </w:pPr>
      <w:r>
        <w:rPr>
          <w:rFonts w:hint="eastAsia"/>
          <w:color w:val="231F20"/>
        </w:rPr>
        <w:t>Finally, against an altogether darkened sky, the glorified Christ appears in the heavens, racing earthward with all the holy angels and all the souls of the departed saints.</w:t>
      </w:r>
    </w:p>
    <w:p w14:paraId="5121FD33">
      <w:pPr>
        <w:pStyle w:val="9"/>
        <w:spacing w:after="0" w:line="249" w:lineRule="auto"/>
        <w:rPr>
          <w:rFonts w:hint="eastAsia"/>
          <w:color w:val="231F20"/>
        </w:rPr>
      </w:pPr>
    </w:p>
    <w:p w14:paraId="7388CF94">
      <w:pPr>
        <w:pStyle w:val="9"/>
        <w:spacing w:after="0" w:line="249" w:lineRule="auto"/>
        <w:rPr>
          <w:rFonts w:hint="eastAsia"/>
          <w:color w:val="231F20"/>
        </w:rPr>
      </w:pPr>
      <w:r>
        <w:rPr>
          <w:rFonts w:hint="eastAsia"/>
          <w:color w:val="231F20"/>
        </w:rPr>
        <w:t>最后，在一片完全黑暗的天空背景下，得荣的基督出现在诸天之上，带着所有圣天使和所有已故圣徒的灵魂向地飞驰而来。</w:t>
      </w:r>
    </w:p>
    <w:p w14:paraId="5E7D3674">
      <w:pPr>
        <w:pStyle w:val="9"/>
        <w:spacing w:after="0" w:line="249" w:lineRule="auto"/>
        <w:rPr>
          <w:rFonts w:hint="eastAsia"/>
          <w:color w:val="231F20"/>
        </w:rPr>
      </w:pPr>
    </w:p>
    <w:p w14:paraId="6C057FCD">
      <w:pPr>
        <w:pStyle w:val="9"/>
        <w:spacing w:after="0" w:line="249" w:lineRule="auto"/>
        <w:rPr>
          <w:rFonts w:hint="eastAsia"/>
          <w:color w:val="231F20"/>
        </w:rPr>
      </w:pPr>
      <w:r>
        <w:rPr>
          <w:rFonts w:hint="eastAsia"/>
          <w:color w:val="231F20"/>
        </w:rPr>
        <w:t>In quick succession, the several elements of the Consummation now unfold: Christ raises the dead (both saved and unsaved), transforms the living, and, through angelic agency, catches all of them up in the air, where together they appear before the judgment seat of Christ.</w:t>
      </w:r>
    </w:p>
    <w:p w14:paraId="5401C3E6">
      <w:pPr>
        <w:pStyle w:val="9"/>
        <w:spacing w:after="0" w:line="249" w:lineRule="auto"/>
        <w:rPr>
          <w:rFonts w:hint="eastAsia"/>
          <w:color w:val="231F20"/>
        </w:rPr>
      </w:pPr>
    </w:p>
    <w:p w14:paraId="5954193C">
      <w:pPr>
        <w:pStyle w:val="9"/>
        <w:spacing w:after="0" w:line="249" w:lineRule="auto"/>
        <w:rPr>
          <w:rFonts w:hint="eastAsia"/>
          <w:color w:val="231F20"/>
        </w:rPr>
      </w:pPr>
      <w:r>
        <w:rPr>
          <w:rFonts w:hint="eastAsia"/>
          <w:color w:val="231F20"/>
        </w:rPr>
        <w:t>紧接着，最终成全的几个元素现在相继展开：基督叫死人复活（包括得救的和未得救的），改变活着的圣徒，并通过天使的作用，将他们所有人都提到空中，在那里他们一同显现在基督的审判台前。</w:t>
      </w:r>
    </w:p>
    <w:p w14:paraId="06A4652D">
      <w:pPr>
        <w:pStyle w:val="9"/>
        <w:spacing w:after="0" w:line="249" w:lineRule="auto"/>
        <w:rPr>
          <w:rFonts w:hint="eastAsia"/>
          <w:color w:val="231F20"/>
        </w:rPr>
      </w:pPr>
    </w:p>
    <w:p w14:paraId="2975BF9E">
      <w:pPr>
        <w:pStyle w:val="9"/>
        <w:spacing w:after="0" w:line="249" w:lineRule="auto"/>
        <w:rPr>
          <w:rFonts w:hint="eastAsia"/>
          <w:color w:val="231F20"/>
        </w:rPr>
      </w:pPr>
      <w:r>
        <w:rPr>
          <w:rFonts w:hint="eastAsia"/>
          <w:color w:val="231F20"/>
        </w:rPr>
        <w:t>Meanwhile, the earth and its works are destroyed by fire, Gehenna (or the Lake of Fire) appears in the vacancy of space (or possibly in another dimension altogether), and a new earth emerges out of the ashes of the old.</w:t>
      </w:r>
    </w:p>
    <w:p w14:paraId="13F2172B">
      <w:pPr>
        <w:pStyle w:val="9"/>
        <w:spacing w:after="0" w:line="249" w:lineRule="auto"/>
        <w:rPr>
          <w:rFonts w:hint="eastAsia"/>
          <w:color w:val="231F20"/>
        </w:rPr>
      </w:pPr>
    </w:p>
    <w:p w14:paraId="5DD21A55">
      <w:pPr>
        <w:pStyle w:val="9"/>
        <w:spacing w:after="0" w:line="249" w:lineRule="auto"/>
        <w:rPr>
          <w:rFonts w:hint="eastAsia"/>
          <w:color w:val="231F20"/>
        </w:rPr>
      </w:pPr>
      <w:r>
        <w:rPr>
          <w:rFonts w:hint="eastAsia"/>
          <w:color w:val="231F20"/>
        </w:rPr>
        <w:t>与此同时，地和其上的工程都被火焚烧，地狱（或火湖）出现在太空的虚空中（或者可能完全在另一个维度），一个新地从旧的灰烬中出现。</w:t>
      </w:r>
    </w:p>
    <w:p w14:paraId="624DA243">
      <w:pPr>
        <w:pStyle w:val="9"/>
        <w:spacing w:after="0" w:line="249" w:lineRule="auto"/>
        <w:rPr>
          <w:rFonts w:hint="eastAsia"/>
          <w:color w:val="231F20"/>
        </w:rPr>
      </w:pPr>
    </w:p>
    <w:p w14:paraId="0ABEBD73">
      <w:pPr>
        <w:pStyle w:val="9"/>
        <w:spacing w:after="0" w:line="249" w:lineRule="auto"/>
        <w:rPr>
          <w:rFonts w:hint="eastAsia"/>
          <w:color w:val="231F20"/>
        </w:rPr>
      </w:pPr>
      <w:r>
        <w:rPr>
          <w:rFonts w:hint="eastAsia"/>
          <w:color w:val="231F20"/>
        </w:rPr>
        <w:t>The wicked (both human and demonic) are turned into hell.</w:t>
      </w:r>
    </w:p>
    <w:p w14:paraId="0D353B7A">
      <w:pPr>
        <w:pStyle w:val="9"/>
        <w:spacing w:after="0" w:line="249" w:lineRule="auto"/>
        <w:rPr>
          <w:rFonts w:hint="eastAsia"/>
          <w:color w:val="231F20"/>
        </w:rPr>
      </w:pPr>
    </w:p>
    <w:p w14:paraId="685D5975">
      <w:pPr>
        <w:pStyle w:val="9"/>
        <w:spacing w:after="0" w:line="249" w:lineRule="auto"/>
        <w:rPr>
          <w:rFonts w:hint="eastAsia"/>
          <w:color w:val="231F20"/>
        </w:rPr>
      </w:pPr>
      <w:r>
        <w:rPr>
          <w:rFonts w:hint="eastAsia"/>
          <w:color w:val="231F20"/>
        </w:rPr>
        <w:t>恶人（包括人类和鬼魔）都被投入地狱。</w:t>
      </w:r>
    </w:p>
    <w:p w14:paraId="795FB658">
      <w:pPr>
        <w:pStyle w:val="9"/>
        <w:spacing w:after="0" w:line="249" w:lineRule="auto"/>
        <w:rPr>
          <w:rFonts w:hint="eastAsia"/>
          <w:color w:val="231F20"/>
        </w:rPr>
      </w:pPr>
    </w:p>
    <w:p w14:paraId="1CE6B9C3">
      <w:pPr>
        <w:pStyle w:val="9"/>
        <w:spacing w:after="0" w:line="249" w:lineRule="auto"/>
        <w:rPr>
          <w:rFonts w:hint="eastAsia"/>
          <w:color w:val="231F20"/>
        </w:rPr>
      </w:pPr>
      <w:r>
        <w:rPr>
          <w:rFonts w:hint="eastAsia"/>
          <w:color w:val="231F20"/>
        </w:rPr>
        <w:t>And then, with the cosmos purified of all evil, Christ and his glorified Bride descend to the beautiful new world below.</w:t>
      </w:r>
    </w:p>
    <w:p w14:paraId="4B6C64E2">
      <w:pPr>
        <w:pStyle w:val="9"/>
        <w:spacing w:after="0" w:line="249" w:lineRule="auto"/>
        <w:rPr>
          <w:rFonts w:hint="eastAsia"/>
          <w:color w:val="231F20"/>
        </w:rPr>
      </w:pPr>
    </w:p>
    <w:p w14:paraId="7827DF14">
      <w:pPr>
        <w:pStyle w:val="9"/>
        <w:spacing w:after="0" w:line="249" w:lineRule="auto"/>
        <w:rPr>
          <w:rFonts w:hint="eastAsia"/>
          <w:color w:val="231F20"/>
        </w:rPr>
      </w:pPr>
      <w:r>
        <w:rPr>
          <w:rFonts w:hint="eastAsia"/>
          <w:color w:val="231F20"/>
        </w:rPr>
        <w:t>然后，随着宇宙被洁净，除尽一切邪恶，基督和祂得荣的新妇降临到下面美丽的新世界。</w:t>
      </w:r>
    </w:p>
    <w:p w14:paraId="3B236334">
      <w:pPr>
        <w:pStyle w:val="9"/>
        <w:spacing w:after="0" w:line="249" w:lineRule="auto"/>
        <w:rPr>
          <w:rFonts w:hint="eastAsia"/>
          <w:color w:val="231F20"/>
        </w:rPr>
      </w:pPr>
    </w:p>
    <w:p w14:paraId="45D48869">
      <w:pPr>
        <w:pStyle w:val="9"/>
        <w:spacing w:after="0" w:line="249" w:lineRule="auto"/>
        <w:rPr>
          <w:rFonts w:hint="eastAsia"/>
          <w:color w:val="231F20"/>
        </w:rPr>
      </w:pPr>
      <w:r>
        <w:rPr>
          <w:rFonts w:hint="eastAsia"/>
          <w:color w:val="231F20"/>
        </w:rPr>
        <w:t>As the final act of his heavenly reign, Christ delivers up this glorious, completed Kingdom to the Father, so that God (and Christ)—throughout endless ages to come—may be all in all.</w:t>
      </w:r>
    </w:p>
    <w:p w14:paraId="751FED9E">
      <w:pPr>
        <w:pStyle w:val="9"/>
        <w:spacing w:after="0" w:line="249" w:lineRule="auto"/>
        <w:rPr>
          <w:rFonts w:hint="eastAsia"/>
          <w:color w:val="231F20"/>
        </w:rPr>
      </w:pPr>
    </w:p>
    <w:p w14:paraId="75F0E6E6">
      <w:pPr>
        <w:pStyle w:val="9"/>
        <w:spacing w:after="0" w:line="249" w:lineRule="auto"/>
        <w:rPr>
          <w:rFonts w:hint="eastAsia"/>
          <w:color w:val="231F20"/>
        </w:rPr>
      </w:pPr>
      <w:r>
        <w:rPr>
          <w:rFonts w:hint="eastAsia"/>
          <w:color w:val="231F20"/>
        </w:rPr>
        <w:t>作为祂天上统治的最后一个行动，基督将这荣耀、成全了的国度交与父，好叫神（和基督）——在将来无尽的世代中——作万有中的万有。</w:t>
      </w:r>
    </w:p>
    <w:p w14:paraId="1D01E285">
      <w:pPr>
        <w:pStyle w:val="9"/>
        <w:spacing w:after="0" w:line="249" w:lineRule="auto"/>
        <w:rPr>
          <w:rFonts w:hint="eastAsia"/>
          <w:color w:val="231F20"/>
        </w:rPr>
      </w:pPr>
    </w:p>
    <w:p w14:paraId="49C09E9E">
      <w:pPr>
        <w:pStyle w:val="9"/>
        <w:spacing w:after="0" w:line="249" w:lineRule="auto"/>
        <w:rPr>
          <w:rFonts w:hint="eastAsia"/>
          <w:color w:val="231F20"/>
        </w:rPr>
      </w:pPr>
      <w:r>
        <w:rPr>
          <w:rFonts w:hint="eastAsia"/>
          <w:color w:val="231F20"/>
        </w:rPr>
        <w:t>Once again, the amillennial scheme of Salvation History has been the majority report—the traditional view of the Church—throughout nearly all generations.</w:t>
      </w:r>
    </w:p>
    <w:p w14:paraId="5EC500BE">
      <w:pPr>
        <w:pStyle w:val="9"/>
        <w:spacing w:after="0" w:line="249" w:lineRule="auto"/>
        <w:rPr>
          <w:rFonts w:hint="eastAsia"/>
          <w:color w:val="231F20"/>
        </w:rPr>
      </w:pPr>
    </w:p>
    <w:p w14:paraId="6B4AF1DE">
      <w:pPr>
        <w:pStyle w:val="9"/>
        <w:spacing w:after="0" w:line="249" w:lineRule="auto"/>
        <w:rPr>
          <w:rFonts w:hint="eastAsia"/>
          <w:color w:val="231F20"/>
        </w:rPr>
      </w:pPr>
      <w:r>
        <w:rPr>
          <w:rFonts w:hint="eastAsia"/>
          <w:color w:val="231F20"/>
        </w:rPr>
        <w:t>再次强调，无千禧年论的救赎历史方案，在几乎所有世代中，都是多数派的报告——教会的传统观点。</w:t>
      </w:r>
    </w:p>
    <w:p w14:paraId="6CBEC6AF">
      <w:pPr>
        <w:pStyle w:val="9"/>
        <w:spacing w:after="0" w:line="249" w:lineRule="auto"/>
        <w:rPr>
          <w:rFonts w:hint="eastAsia"/>
          <w:color w:val="231F20"/>
        </w:rPr>
      </w:pPr>
    </w:p>
    <w:p w14:paraId="4B5A8EB2">
      <w:pPr>
        <w:pStyle w:val="9"/>
        <w:spacing w:after="0" w:line="249" w:lineRule="auto"/>
        <w:rPr>
          <w:rFonts w:hint="eastAsia"/>
          <w:color w:val="231F20"/>
        </w:rPr>
      </w:pPr>
      <w:r>
        <w:rPr>
          <w:rFonts w:hint="eastAsia"/>
          <w:color w:val="231F20"/>
        </w:rPr>
        <w:t>Obviously, its great simplicity weighs heavily in its favor.</w:t>
      </w:r>
    </w:p>
    <w:p w14:paraId="24CE37D8">
      <w:pPr>
        <w:pStyle w:val="9"/>
        <w:spacing w:after="0" w:line="249" w:lineRule="auto"/>
        <w:rPr>
          <w:rFonts w:hint="eastAsia"/>
          <w:color w:val="231F20"/>
        </w:rPr>
      </w:pPr>
    </w:p>
    <w:p w14:paraId="120D3FB3">
      <w:pPr>
        <w:pStyle w:val="9"/>
        <w:spacing w:after="0" w:line="249" w:lineRule="auto"/>
        <w:rPr>
          <w:rFonts w:hint="eastAsia"/>
          <w:color w:val="231F20"/>
        </w:rPr>
      </w:pPr>
      <w:r>
        <w:rPr>
          <w:rFonts w:hint="eastAsia"/>
          <w:color w:val="231F20"/>
        </w:rPr>
        <w:t>显然，它极大的简洁性是其一个重大的优势。</w:t>
      </w:r>
    </w:p>
    <w:p w14:paraId="2E4C17F3">
      <w:pPr>
        <w:pStyle w:val="9"/>
        <w:spacing w:after="0" w:line="249" w:lineRule="auto"/>
        <w:rPr>
          <w:rFonts w:hint="eastAsia"/>
          <w:color w:val="231F20"/>
        </w:rPr>
      </w:pPr>
    </w:p>
    <w:p w14:paraId="4C630A7C">
      <w:pPr>
        <w:pStyle w:val="9"/>
        <w:spacing w:after="0" w:line="249" w:lineRule="auto"/>
        <w:rPr>
          <w:rFonts w:hint="eastAsia"/>
          <w:color w:val="231F20"/>
        </w:rPr>
      </w:pPr>
      <w:r>
        <w:rPr>
          <w:rFonts w:hint="eastAsia"/>
          <w:color w:val="231F20"/>
        </w:rPr>
        <w:t>The question remains, however, as to whether or not it is the true teaching of Scripture.</w:t>
      </w:r>
    </w:p>
    <w:p w14:paraId="67A2B1C8">
      <w:pPr>
        <w:pStyle w:val="9"/>
        <w:spacing w:after="0" w:line="249" w:lineRule="auto"/>
        <w:rPr>
          <w:rFonts w:hint="eastAsia"/>
          <w:color w:val="231F20"/>
        </w:rPr>
      </w:pPr>
    </w:p>
    <w:p w14:paraId="43185F0B">
      <w:pPr>
        <w:pStyle w:val="9"/>
        <w:spacing w:after="0" w:line="249" w:lineRule="auto"/>
        <w:rPr>
          <w:rFonts w:hint="eastAsia"/>
          <w:color w:val="231F20"/>
        </w:rPr>
      </w:pPr>
      <w:r>
        <w:rPr>
          <w:rFonts w:hint="eastAsia"/>
          <w:color w:val="231F20"/>
        </w:rPr>
        <w:t>然而，问题仍然在于，它是否是圣经的真实教导。</w:t>
      </w:r>
    </w:p>
    <w:p w14:paraId="36C2B154">
      <w:pPr>
        <w:pStyle w:val="9"/>
        <w:spacing w:after="0" w:line="249" w:lineRule="auto"/>
        <w:rPr>
          <w:rFonts w:hint="eastAsia"/>
          <w:color w:val="231F20"/>
        </w:rPr>
      </w:pPr>
    </w:p>
    <w:p w14:paraId="1857D661">
      <w:pPr>
        <w:pStyle w:val="9"/>
        <w:spacing w:after="0" w:line="249" w:lineRule="auto"/>
        <w:rPr>
          <w:rFonts w:hint="eastAsia"/>
          <w:color w:val="231F20"/>
        </w:rPr>
      </w:pPr>
      <w:r>
        <w:rPr>
          <w:rFonts w:hint="eastAsia"/>
          <w:color w:val="231F20"/>
        </w:rPr>
        <w:t>Some say that God, in these last days, is bringing in a new and deeper understanding of biblical eschatology.</w:t>
      </w:r>
    </w:p>
    <w:p w14:paraId="45DECCC7">
      <w:pPr>
        <w:pStyle w:val="9"/>
        <w:spacing w:after="0" w:line="249" w:lineRule="auto"/>
        <w:rPr>
          <w:rFonts w:hint="eastAsia"/>
          <w:color w:val="231F20"/>
        </w:rPr>
      </w:pPr>
    </w:p>
    <w:p w14:paraId="26908C7F">
      <w:pPr>
        <w:pStyle w:val="9"/>
        <w:spacing w:after="0" w:line="249" w:lineRule="auto"/>
        <w:rPr>
          <w:rFonts w:hint="eastAsia"/>
          <w:color w:val="231F20"/>
        </w:rPr>
      </w:pPr>
      <w:r>
        <w:rPr>
          <w:rFonts w:hint="eastAsia"/>
          <w:color w:val="231F20"/>
        </w:rPr>
        <w:t>有人说，神在这末后的日子里，正在带来对圣经末世论一个新的、更深的理解。</w:t>
      </w:r>
    </w:p>
    <w:p w14:paraId="21DE55E8">
      <w:pPr>
        <w:pStyle w:val="9"/>
        <w:spacing w:after="0" w:line="249" w:lineRule="auto"/>
        <w:rPr>
          <w:rFonts w:hint="eastAsia"/>
          <w:color w:val="231F20"/>
        </w:rPr>
      </w:pPr>
    </w:p>
    <w:p w14:paraId="7238833C">
      <w:pPr>
        <w:pStyle w:val="9"/>
        <w:spacing w:after="0" w:line="249" w:lineRule="auto"/>
        <w:rPr>
          <w:rFonts w:hint="eastAsia"/>
          <w:color w:val="231F20"/>
        </w:rPr>
      </w:pPr>
      <w:r>
        <w:rPr>
          <w:rFonts w:hint="eastAsia"/>
          <w:color w:val="231F20"/>
        </w:rPr>
        <w:t>Others reply that Satan, in these last days, has been working overtime to becloud and undermine the life-giving truth of the old.</w:t>
      </w:r>
    </w:p>
    <w:p w14:paraId="76D81F9A">
      <w:pPr>
        <w:pStyle w:val="9"/>
        <w:spacing w:after="0" w:line="249" w:lineRule="auto"/>
        <w:rPr>
          <w:rFonts w:hint="eastAsia"/>
          <w:color w:val="231F20"/>
        </w:rPr>
      </w:pPr>
    </w:p>
    <w:p w14:paraId="786F7C63">
      <w:pPr>
        <w:pStyle w:val="9"/>
        <w:spacing w:after="0" w:line="249" w:lineRule="auto"/>
        <w:rPr>
          <w:rFonts w:hint="eastAsia"/>
          <w:color w:val="231F20"/>
        </w:rPr>
      </w:pPr>
      <w:r>
        <w:rPr>
          <w:rFonts w:hint="eastAsia"/>
          <w:color w:val="231F20"/>
        </w:rPr>
        <w:t>另一些人则回答说，撒但在这些末后的日子里，一直在加班加点地蒙蔽和破坏那赐生命之古老真理。</w:t>
      </w:r>
    </w:p>
    <w:p w14:paraId="6DA387F2">
      <w:pPr>
        <w:pStyle w:val="9"/>
        <w:spacing w:after="0" w:line="249" w:lineRule="auto"/>
        <w:rPr>
          <w:rFonts w:hint="eastAsia"/>
          <w:color w:val="231F20"/>
        </w:rPr>
      </w:pPr>
    </w:p>
    <w:p w14:paraId="690846E2">
      <w:pPr>
        <w:pStyle w:val="9"/>
        <w:spacing w:after="0" w:line="249" w:lineRule="auto"/>
        <w:rPr>
          <w:rFonts w:hint="eastAsia"/>
          <w:color w:val="231F20"/>
        </w:rPr>
      </w:pPr>
      <w:r>
        <w:rPr>
          <w:rFonts w:hint="eastAsia"/>
          <w:color w:val="231F20"/>
        </w:rPr>
        <w:t>Who is right?</w:t>
      </w:r>
    </w:p>
    <w:p w14:paraId="2CECCDA5">
      <w:pPr>
        <w:pStyle w:val="9"/>
        <w:spacing w:after="0" w:line="249" w:lineRule="auto"/>
        <w:rPr>
          <w:rFonts w:hint="eastAsia"/>
          <w:color w:val="231F20"/>
        </w:rPr>
      </w:pPr>
    </w:p>
    <w:p w14:paraId="52283FDA">
      <w:pPr>
        <w:pStyle w:val="9"/>
        <w:spacing w:after="0" w:line="249" w:lineRule="auto"/>
        <w:rPr>
          <w:rFonts w:hint="eastAsia"/>
          <w:color w:val="231F20"/>
        </w:rPr>
      </w:pPr>
      <w:r>
        <w:rPr>
          <w:rFonts w:hint="eastAsia"/>
          <w:color w:val="231F20"/>
        </w:rPr>
        <w:t>谁是对的？</w:t>
      </w:r>
    </w:p>
    <w:p w14:paraId="193AB4F9">
      <w:pPr>
        <w:pStyle w:val="9"/>
        <w:spacing w:after="0" w:line="249" w:lineRule="auto"/>
        <w:rPr>
          <w:rFonts w:hint="eastAsia"/>
          <w:color w:val="231F20"/>
        </w:rPr>
      </w:pPr>
    </w:p>
    <w:p w14:paraId="394B95EF">
      <w:pPr>
        <w:pStyle w:val="9"/>
        <w:spacing w:after="0" w:line="249" w:lineRule="auto"/>
        <w:rPr>
          <w:rFonts w:hint="eastAsia"/>
          <w:color w:val="231F20"/>
        </w:rPr>
      </w:pPr>
      <w:r>
        <w:rPr>
          <w:rFonts w:hint="eastAsia"/>
          <w:color w:val="231F20"/>
        </w:rPr>
        <w:t>In the pages ahead, we will be at great pains to answer this vitally important question.</w:t>
      </w:r>
    </w:p>
    <w:p w14:paraId="7DBE546A">
      <w:pPr>
        <w:pStyle w:val="9"/>
        <w:spacing w:after="0" w:line="249" w:lineRule="auto"/>
        <w:rPr>
          <w:rFonts w:hint="eastAsia"/>
          <w:color w:val="231F20"/>
        </w:rPr>
      </w:pPr>
    </w:p>
    <w:p w14:paraId="44062775">
      <w:pPr>
        <w:pStyle w:val="9"/>
        <w:spacing w:after="0" w:line="249" w:lineRule="auto"/>
        <w:sectPr>
          <w:pgSz w:w="12240" w:h="15840"/>
          <w:pgMar w:top="1380" w:right="1440" w:bottom="280" w:left="1440" w:header="720" w:footer="720" w:gutter="0"/>
          <w:cols w:space="720" w:num="1"/>
        </w:sectPr>
      </w:pPr>
      <w:r>
        <w:rPr>
          <w:rFonts w:hint="eastAsia"/>
          <w:color w:val="231F20"/>
        </w:rPr>
        <w:t>在接下来的篇幅中，我们将煞费苦心地回答这个至关重要的问题。</w:t>
      </w:r>
    </w:p>
    <w:p w14:paraId="028541BE">
      <w:pPr>
        <w:pStyle w:val="6"/>
        <w:numPr>
          <w:ilvl w:val="0"/>
          <w:numId w:val="0"/>
        </w:numPr>
        <w:tabs>
          <w:tab w:val="left" w:pos="2998"/>
        </w:tabs>
        <w:spacing w:before="67" w:after="0" w:line="240" w:lineRule="auto"/>
        <w:ind w:left="2998" w:leftChars="0" w:right="0" w:rightChars="0" w:hanging="336" w:firstLineChars="0"/>
        <w:jc w:val="left"/>
      </w:pPr>
      <w:bookmarkStart w:id="12" w:name="_bookmark11"/>
      <w:bookmarkEnd w:id="12"/>
      <w:r>
        <w:rPr>
          <w:rFonts w:hint="default" w:ascii="Times New Roman" w:hAnsi="Times New Roman" w:eastAsia="Times New Roman" w:cs="Times New Roman"/>
          <w:b/>
          <w:bCs/>
          <w:i w:val="0"/>
          <w:iCs w:val="0"/>
          <w:color w:val="231F20"/>
          <w:spacing w:val="0"/>
          <w:w w:val="102"/>
          <w:sz w:val="33"/>
          <w:szCs w:val="33"/>
          <w:lang w:val="en-US" w:eastAsia="en-US" w:bidi="ar-SA"/>
        </w:rPr>
        <w:t>2.</w:t>
      </w:r>
      <w:r>
        <w:rPr>
          <w:color w:val="231F20"/>
        </w:rPr>
        <w:t>Historic</w:t>
      </w:r>
      <w:r>
        <w:rPr>
          <w:color w:val="231F20"/>
          <w:spacing w:val="23"/>
        </w:rPr>
        <w:t xml:space="preserve"> </w:t>
      </w:r>
      <w:r>
        <w:rPr>
          <w:color w:val="231F20"/>
          <w:spacing w:val="-2"/>
        </w:rPr>
        <w:t>Premillennialism</w:t>
      </w:r>
    </w:p>
    <w:p w14:paraId="0E7AA3CF">
      <w:pPr>
        <w:pStyle w:val="9"/>
        <w:spacing w:before="7"/>
        <w:ind w:left="0"/>
        <w:jc w:val="left"/>
        <w:rPr>
          <w:b/>
          <w:sz w:val="8"/>
        </w:rPr>
      </w:pPr>
      <w:r>
        <w:rPr>
          <w:b/>
          <w:sz w:val="8"/>
        </w:rPr>
        <w:drawing>
          <wp:anchor distT="0" distB="0" distL="0" distR="0" simplePos="0" relativeHeight="251661312" behindDoc="1" locked="0" layoutInCell="1" allowOverlap="1">
            <wp:simplePos x="0" y="0"/>
            <wp:positionH relativeFrom="page">
              <wp:posOffset>2388870</wp:posOffset>
            </wp:positionH>
            <wp:positionV relativeFrom="paragraph">
              <wp:posOffset>78105</wp:posOffset>
            </wp:positionV>
            <wp:extent cx="3001645" cy="1504315"/>
            <wp:effectExtent l="0" t="0" r="0" b="0"/>
            <wp:wrapTopAndBottom/>
            <wp:docPr id="51" name="Image 51"/>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13" cstate="print"/>
                    <a:stretch>
                      <a:fillRect/>
                    </a:stretch>
                  </pic:blipFill>
                  <pic:spPr>
                    <a:xfrm>
                      <a:off x="0" y="0"/>
                      <a:ext cx="3001929" cy="1504188"/>
                    </a:xfrm>
                    <a:prstGeom prst="rect">
                      <a:avLst/>
                    </a:prstGeom>
                  </pic:spPr>
                </pic:pic>
              </a:graphicData>
            </a:graphic>
          </wp:anchor>
        </w:drawing>
      </w:r>
    </w:p>
    <w:p w14:paraId="147F5CD8">
      <w:pPr>
        <w:pStyle w:val="9"/>
        <w:spacing w:before="136"/>
        <w:ind w:left="0"/>
        <w:jc w:val="left"/>
        <w:rPr>
          <w:rFonts w:hint="eastAsia" w:eastAsia="宋体"/>
          <w:b/>
          <w:sz w:val="33"/>
          <w:lang w:eastAsia="zh-CN"/>
        </w:rPr>
      </w:pPr>
      <w:r>
        <w:rPr>
          <w:rFonts w:hint="eastAsia" w:eastAsia="宋体"/>
          <w:b/>
          <w:sz w:val="33"/>
          <w:lang w:eastAsia="zh-CN"/>
        </w:rPr>
        <w:drawing>
          <wp:inline distT="0" distB="0" distL="114300" distR="114300">
            <wp:extent cx="5059680" cy="2560320"/>
            <wp:effectExtent l="0" t="0" r="0" b="0"/>
            <wp:docPr id="146" name="图片 146" descr="9444883e56bad94cf73a832d1f0926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6" descr="9444883e56bad94cf73a832d1f0926b7"/>
                    <pic:cNvPicPr>
                      <a:picLocks noChangeAspect="1"/>
                    </pic:cNvPicPr>
                  </pic:nvPicPr>
                  <pic:blipFill>
                    <a:blip r:embed="rId14"/>
                    <a:stretch>
                      <a:fillRect/>
                    </a:stretch>
                  </pic:blipFill>
                  <pic:spPr>
                    <a:xfrm>
                      <a:off x="0" y="0"/>
                      <a:ext cx="5059680" cy="2560320"/>
                    </a:xfrm>
                    <a:prstGeom prst="rect">
                      <a:avLst/>
                    </a:prstGeom>
                  </pic:spPr>
                </pic:pic>
              </a:graphicData>
            </a:graphic>
          </wp:inline>
        </w:drawing>
      </w:r>
    </w:p>
    <w:p w14:paraId="7B7DFFEB">
      <w:pPr>
        <w:pStyle w:val="9"/>
        <w:spacing w:before="7"/>
        <w:ind w:left="0"/>
        <w:jc w:val="left"/>
        <w:rPr>
          <w:rFonts w:hint="eastAsia"/>
          <w:color w:val="231F20"/>
        </w:rPr>
      </w:pPr>
      <w:r>
        <w:rPr>
          <w:rFonts w:hint="eastAsia"/>
          <w:color w:val="231F20"/>
        </w:rPr>
        <w:t>2.Historic Premillennialism</w:t>
      </w:r>
    </w:p>
    <w:p w14:paraId="2DA021C6">
      <w:pPr>
        <w:pStyle w:val="9"/>
        <w:spacing w:before="7"/>
        <w:ind w:left="0"/>
        <w:jc w:val="left"/>
        <w:rPr>
          <w:rFonts w:hint="eastAsia"/>
          <w:color w:val="231F20"/>
        </w:rPr>
      </w:pPr>
    </w:p>
    <w:p w14:paraId="38A2F39C">
      <w:pPr>
        <w:pStyle w:val="9"/>
        <w:spacing w:before="7"/>
        <w:ind w:left="0"/>
        <w:jc w:val="left"/>
        <w:rPr>
          <w:rFonts w:hint="eastAsia"/>
          <w:color w:val="231F20"/>
        </w:rPr>
      </w:pPr>
      <w:r>
        <w:rPr>
          <w:rFonts w:hint="eastAsia"/>
          <w:color w:val="231F20"/>
        </w:rPr>
        <w:t>2.历史前千禧年论</w:t>
      </w:r>
    </w:p>
    <w:p w14:paraId="1CD97C21">
      <w:pPr>
        <w:pStyle w:val="9"/>
        <w:spacing w:before="7"/>
        <w:ind w:left="0"/>
        <w:jc w:val="left"/>
        <w:rPr>
          <w:rFonts w:hint="eastAsia"/>
          <w:color w:val="231F20"/>
        </w:rPr>
      </w:pPr>
    </w:p>
    <w:p w14:paraId="0B059910">
      <w:pPr>
        <w:pStyle w:val="9"/>
        <w:spacing w:before="7"/>
        <w:ind w:left="0"/>
        <w:jc w:val="left"/>
        <w:rPr>
          <w:rFonts w:hint="eastAsia"/>
          <w:color w:val="231F20"/>
        </w:rPr>
      </w:pPr>
      <w:r>
        <w:rPr>
          <w:rFonts w:hint="eastAsia"/>
          <w:color w:val="231F20"/>
        </w:rPr>
        <w:t>This view is called premillennial because it teaches that Christ will come again before a thousand year reign upon the earth.</w:t>
      </w:r>
    </w:p>
    <w:p w14:paraId="40DD4010">
      <w:pPr>
        <w:pStyle w:val="9"/>
        <w:spacing w:before="7"/>
        <w:ind w:left="0"/>
        <w:jc w:val="left"/>
        <w:rPr>
          <w:rFonts w:hint="eastAsia"/>
          <w:color w:val="231F20"/>
        </w:rPr>
      </w:pPr>
    </w:p>
    <w:p w14:paraId="5DF24B3E">
      <w:pPr>
        <w:pStyle w:val="9"/>
        <w:spacing w:before="7"/>
        <w:ind w:left="0"/>
        <w:jc w:val="left"/>
        <w:rPr>
          <w:rFonts w:hint="eastAsia"/>
          <w:color w:val="231F20"/>
        </w:rPr>
      </w:pPr>
      <w:r>
        <w:rPr>
          <w:rFonts w:hint="eastAsia"/>
          <w:color w:val="231F20"/>
        </w:rPr>
        <w:t>这种观点被称为前千禧年论，因为它教导基督将在地上的一千年统治之前再来。</w:t>
      </w:r>
    </w:p>
    <w:p w14:paraId="57DE0918">
      <w:pPr>
        <w:pStyle w:val="9"/>
        <w:spacing w:before="7"/>
        <w:ind w:left="0"/>
        <w:jc w:val="left"/>
        <w:rPr>
          <w:rFonts w:hint="eastAsia"/>
          <w:color w:val="231F20"/>
        </w:rPr>
      </w:pPr>
    </w:p>
    <w:p w14:paraId="522C1B8B">
      <w:pPr>
        <w:pStyle w:val="9"/>
        <w:spacing w:before="7"/>
        <w:ind w:left="0"/>
        <w:jc w:val="left"/>
        <w:rPr>
          <w:rFonts w:hint="eastAsia"/>
          <w:color w:val="231F20"/>
        </w:rPr>
      </w:pPr>
      <w:r>
        <w:rPr>
          <w:rFonts w:hint="eastAsia"/>
          <w:color w:val="231F20"/>
        </w:rPr>
        <w:t>It is called historic because, according to some, it was the dominant view of the early Church, and because, in various forms, it has appeared throughout much of Church History.</w:t>
      </w:r>
    </w:p>
    <w:p w14:paraId="7BD44CFF">
      <w:pPr>
        <w:pStyle w:val="9"/>
        <w:spacing w:before="7"/>
        <w:ind w:left="0"/>
        <w:jc w:val="left"/>
        <w:rPr>
          <w:rFonts w:hint="eastAsia"/>
          <w:color w:val="231F20"/>
        </w:rPr>
      </w:pPr>
    </w:p>
    <w:p w14:paraId="4A251E56">
      <w:pPr>
        <w:pStyle w:val="9"/>
        <w:spacing w:before="7"/>
        <w:ind w:left="0"/>
        <w:jc w:val="left"/>
        <w:rPr>
          <w:rFonts w:hint="eastAsia"/>
          <w:color w:val="231F20"/>
        </w:rPr>
      </w:pPr>
      <w:r>
        <w:rPr>
          <w:rFonts w:hint="eastAsia"/>
          <w:color w:val="231F20"/>
        </w:rPr>
        <w:t>它被称为历史派，是因为根据一些人的说法，它是早期教会的主流观点，并且因为它以各种形式，在教会历史的大部分时间里都出现过。</w:t>
      </w:r>
    </w:p>
    <w:p w14:paraId="0114C441">
      <w:pPr>
        <w:pStyle w:val="9"/>
        <w:spacing w:before="7"/>
        <w:ind w:left="0"/>
        <w:jc w:val="left"/>
        <w:rPr>
          <w:rFonts w:hint="eastAsia"/>
          <w:color w:val="231F20"/>
        </w:rPr>
      </w:pPr>
    </w:p>
    <w:p w14:paraId="2232D7EB">
      <w:pPr>
        <w:pStyle w:val="9"/>
        <w:spacing w:before="7"/>
        <w:ind w:left="0"/>
        <w:jc w:val="left"/>
        <w:rPr>
          <w:rFonts w:hint="eastAsia"/>
          <w:color w:val="231F20"/>
        </w:rPr>
      </w:pPr>
      <w:r>
        <w:rPr>
          <w:rFonts w:hint="eastAsia"/>
          <w:color w:val="231F20"/>
        </w:rPr>
        <w:t>There are two kinds of historic premillennialism (HP).</w:t>
      </w:r>
    </w:p>
    <w:p w14:paraId="51371F72">
      <w:pPr>
        <w:pStyle w:val="9"/>
        <w:spacing w:before="7"/>
        <w:ind w:left="0"/>
        <w:jc w:val="left"/>
        <w:rPr>
          <w:rFonts w:hint="eastAsia"/>
          <w:color w:val="231F20"/>
        </w:rPr>
      </w:pPr>
    </w:p>
    <w:p w14:paraId="6674403E">
      <w:pPr>
        <w:pStyle w:val="9"/>
        <w:spacing w:before="7"/>
        <w:ind w:left="0"/>
        <w:jc w:val="left"/>
        <w:rPr>
          <w:rFonts w:hint="eastAsia"/>
          <w:color w:val="231F20"/>
        </w:rPr>
      </w:pPr>
      <w:r>
        <w:rPr>
          <w:rFonts w:hint="eastAsia"/>
          <w:color w:val="231F20"/>
        </w:rPr>
        <w:t>历史前千禧年论（HP）有两种。</w:t>
      </w:r>
    </w:p>
    <w:p w14:paraId="12FEF0A3">
      <w:pPr>
        <w:pStyle w:val="9"/>
        <w:spacing w:before="7"/>
        <w:ind w:left="0"/>
        <w:jc w:val="left"/>
        <w:rPr>
          <w:rFonts w:hint="eastAsia"/>
          <w:color w:val="231F20"/>
        </w:rPr>
      </w:pPr>
    </w:p>
    <w:p w14:paraId="4ED0E107">
      <w:pPr>
        <w:pStyle w:val="9"/>
        <w:spacing w:before="7"/>
        <w:ind w:left="0"/>
        <w:jc w:val="left"/>
        <w:rPr>
          <w:rFonts w:hint="eastAsia"/>
          <w:color w:val="231F20"/>
        </w:rPr>
      </w:pPr>
      <w:r>
        <w:rPr>
          <w:rFonts w:hint="eastAsia"/>
          <w:color w:val="231F20"/>
        </w:rPr>
        <w:t>The first may be called New Covenant (or Christian) historic premillennialism (NCHP).</w:t>
      </w:r>
    </w:p>
    <w:p w14:paraId="40508DBD">
      <w:pPr>
        <w:pStyle w:val="9"/>
        <w:spacing w:before="7"/>
        <w:ind w:left="0"/>
        <w:jc w:val="left"/>
        <w:rPr>
          <w:rFonts w:hint="eastAsia"/>
          <w:color w:val="231F20"/>
        </w:rPr>
      </w:pPr>
    </w:p>
    <w:p w14:paraId="433CF658">
      <w:pPr>
        <w:pStyle w:val="9"/>
        <w:spacing w:before="7"/>
        <w:ind w:left="0"/>
        <w:jc w:val="left"/>
        <w:rPr>
          <w:rFonts w:hint="eastAsia"/>
          <w:color w:val="231F20"/>
        </w:rPr>
      </w:pPr>
      <w:r>
        <w:rPr>
          <w:rFonts w:hint="eastAsia"/>
          <w:color w:val="231F20"/>
        </w:rPr>
        <w:t>第一种可被称为新约（或基督教）历史前千禧年论（NCHP）。</w:t>
      </w:r>
    </w:p>
    <w:p w14:paraId="7511646F">
      <w:pPr>
        <w:pStyle w:val="9"/>
        <w:spacing w:before="7"/>
        <w:ind w:left="0"/>
        <w:jc w:val="left"/>
        <w:rPr>
          <w:rFonts w:hint="eastAsia"/>
          <w:color w:val="231F20"/>
        </w:rPr>
      </w:pPr>
    </w:p>
    <w:p w14:paraId="6E542356">
      <w:pPr>
        <w:pStyle w:val="9"/>
        <w:spacing w:before="7"/>
        <w:ind w:left="0"/>
        <w:jc w:val="left"/>
        <w:rPr>
          <w:rFonts w:hint="eastAsia"/>
          <w:color w:val="231F20"/>
        </w:rPr>
      </w:pPr>
      <w:r>
        <w:rPr>
          <w:rFonts w:hint="eastAsia"/>
          <w:color w:val="231F20"/>
        </w:rPr>
        <w:t>Its chief characteristic is that it places the Church at the center of the millennial scenario.</w:t>
      </w:r>
    </w:p>
    <w:p w14:paraId="4543932A">
      <w:pPr>
        <w:pStyle w:val="9"/>
        <w:spacing w:before="7"/>
        <w:ind w:left="0"/>
        <w:jc w:val="left"/>
        <w:rPr>
          <w:rFonts w:hint="eastAsia"/>
          <w:color w:val="231F20"/>
        </w:rPr>
      </w:pPr>
    </w:p>
    <w:p w14:paraId="2C31C781">
      <w:pPr>
        <w:pStyle w:val="9"/>
        <w:spacing w:before="7"/>
        <w:ind w:left="0"/>
        <w:jc w:val="left"/>
        <w:rPr>
          <w:rFonts w:hint="eastAsia"/>
          <w:color w:val="231F20"/>
        </w:rPr>
      </w:pPr>
      <w:r>
        <w:rPr>
          <w:rFonts w:hint="eastAsia"/>
          <w:color w:val="231F20"/>
        </w:rPr>
        <w:t>其主要特征是它将教会置于千禧年设想的中心。</w:t>
      </w:r>
    </w:p>
    <w:p w14:paraId="5180A8D2">
      <w:pPr>
        <w:pStyle w:val="9"/>
        <w:spacing w:before="7"/>
        <w:ind w:left="0"/>
        <w:jc w:val="left"/>
        <w:rPr>
          <w:rFonts w:hint="eastAsia"/>
          <w:color w:val="231F20"/>
        </w:rPr>
      </w:pPr>
    </w:p>
    <w:p w14:paraId="6F556CDC">
      <w:pPr>
        <w:pStyle w:val="9"/>
        <w:spacing w:before="7"/>
        <w:ind w:left="0"/>
        <w:jc w:val="left"/>
        <w:rPr>
          <w:rFonts w:hint="eastAsia"/>
          <w:color w:val="231F20"/>
        </w:rPr>
      </w:pPr>
      <w:r>
        <w:rPr>
          <w:rFonts w:hint="eastAsia"/>
          <w:color w:val="231F20"/>
        </w:rPr>
        <w:t>Here, OTKP is fulfilled under the New Covenant, whether in the Era of Proclamation, the Millennium, or the World to Come.</w:t>
      </w:r>
    </w:p>
    <w:p w14:paraId="1797C3AA">
      <w:pPr>
        <w:pStyle w:val="9"/>
        <w:spacing w:before="7"/>
        <w:ind w:left="0"/>
        <w:jc w:val="left"/>
        <w:rPr>
          <w:rFonts w:hint="eastAsia"/>
          <w:color w:val="231F20"/>
        </w:rPr>
      </w:pPr>
    </w:p>
    <w:p w14:paraId="7EACBDA4">
      <w:pPr>
        <w:pStyle w:val="9"/>
        <w:spacing w:before="7"/>
        <w:ind w:left="0"/>
        <w:jc w:val="left"/>
        <w:rPr>
          <w:rFonts w:hint="eastAsia"/>
          <w:color w:val="231F20"/>
        </w:rPr>
      </w:pPr>
      <w:r>
        <w:rPr>
          <w:rFonts w:hint="eastAsia"/>
          <w:color w:val="231F20"/>
        </w:rPr>
        <w:t>在这里，旧约国度预言（OTKP）是在新约之下应验的，无论是在宣讲时代、千禧年，还是在要来的世界。</w:t>
      </w:r>
    </w:p>
    <w:p w14:paraId="48CE079F">
      <w:pPr>
        <w:pStyle w:val="9"/>
        <w:spacing w:before="7"/>
        <w:ind w:left="0"/>
        <w:jc w:val="left"/>
        <w:rPr>
          <w:rFonts w:hint="eastAsia"/>
          <w:color w:val="231F20"/>
        </w:rPr>
      </w:pPr>
    </w:p>
    <w:p w14:paraId="70B515E5">
      <w:pPr>
        <w:pStyle w:val="9"/>
        <w:spacing w:before="7"/>
        <w:ind w:left="0"/>
        <w:jc w:val="left"/>
        <w:rPr>
          <w:rFonts w:hint="eastAsia"/>
          <w:color w:val="231F20"/>
        </w:rPr>
      </w:pPr>
      <w:r>
        <w:rPr>
          <w:rFonts w:hint="eastAsia"/>
          <w:color w:val="231F20"/>
        </w:rPr>
        <w:t>Accordingly, NCHP does not anticipate the exaltation of national Israel in the Millennium, or a return to OT ordinances such as temple worship, animal sacrifices, and Jewish feasts.</w:t>
      </w:r>
    </w:p>
    <w:p w14:paraId="243208CA">
      <w:pPr>
        <w:pStyle w:val="9"/>
        <w:spacing w:before="7"/>
        <w:ind w:left="0"/>
        <w:jc w:val="left"/>
        <w:rPr>
          <w:rFonts w:hint="eastAsia"/>
          <w:color w:val="231F20"/>
        </w:rPr>
      </w:pPr>
    </w:p>
    <w:p w14:paraId="3C9B9686">
      <w:pPr>
        <w:pStyle w:val="9"/>
        <w:spacing w:before="7"/>
        <w:ind w:left="0"/>
        <w:jc w:val="left"/>
        <w:rPr>
          <w:rFonts w:hint="eastAsia"/>
          <w:color w:val="231F20"/>
        </w:rPr>
      </w:pPr>
      <w:r>
        <w:rPr>
          <w:rFonts w:hint="eastAsia"/>
          <w:color w:val="231F20"/>
        </w:rPr>
        <w:t>因此，新约历史前千禧年论（NCHP）并不预期在千禧年里民族以色列的被高举，或回归到旧约的条例，例如圣殿敬拜、动物献祭和犹太节期。</w:t>
      </w:r>
    </w:p>
    <w:p w14:paraId="1342737C">
      <w:pPr>
        <w:pStyle w:val="9"/>
        <w:spacing w:before="7"/>
        <w:ind w:left="0"/>
        <w:jc w:val="left"/>
        <w:rPr>
          <w:rFonts w:hint="eastAsia"/>
          <w:color w:val="231F20"/>
        </w:rPr>
      </w:pPr>
    </w:p>
    <w:p w14:paraId="725F692D">
      <w:pPr>
        <w:pStyle w:val="9"/>
        <w:spacing w:before="7"/>
        <w:ind w:left="0"/>
        <w:jc w:val="left"/>
        <w:rPr>
          <w:rFonts w:hint="eastAsia"/>
          <w:color w:val="231F20"/>
        </w:rPr>
      </w:pPr>
      <w:r>
        <w:rPr>
          <w:rFonts w:hint="eastAsia"/>
          <w:color w:val="231F20"/>
        </w:rPr>
        <w:t>Rather, the Millennium is that stage in Salvation History where Christ’s Kingship is publically vindicated and celebrated in a renewed (but not yet perfected) cosmos, and where his faithful New Covenant people are rewarded by sharing in his triumphant earthly reign.</w:t>
      </w:r>
    </w:p>
    <w:p w14:paraId="7346F814">
      <w:pPr>
        <w:pStyle w:val="9"/>
        <w:spacing w:before="7"/>
        <w:ind w:left="0"/>
        <w:jc w:val="left"/>
        <w:rPr>
          <w:rFonts w:hint="eastAsia"/>
          <w:color w:val="231F20"/>
        </w:rPr>
      </w:pPr>
    </w:p>
    <w:p w14:paraId="6AC31213">
      <w:pPr>
        <w:pStyle w:val="9"/>
        <w:spacing w:before="7"/>
        <w:ind w:left="0"/>
        <w:jc w:val="left"/>
        <w:rPr>
          <w:rFonts w:hint="eastAsia"/>
          <w:color w:val="231F20"/>
        </w:rPr>
      </w:pPr>
      <w:r>
        <w:rPr>
          <w:rFonts w:hint="eastAsia"/>
          <w:color w:val="231F20"/>
        </w:rPr>
        <w:t>相反，千禧年是救赎历史中的那个阶段，在其中基督的君王职分在一个更新了（但尚未完全）的宇宙中被公开地辩明和庆祝，并且祂忠信的新约子民因分享祂得胜的地上统治而得到奖赏。</w:t>
      </w:r>
    </w:p>
    <w:p w14:paraId="22B94ADA">
      <w:pPr>
        <w:pStyle w:val="9"/>
        <w:spacing w:before="7"/>
        <w:ind w:left="0"/>
        <w:jc w:val="left"/>
        <w:rPr>
          <w:rFonts w:hint="eastAsia"/>
          <w:color w:val="231F20"/>
        </w:rPr>
      </w:pPr>
    </w:p>
    <w:p w14:paraId="7CAD57B6">
      <w:pPr>
        <w:pStyle w:val="9"/>
        <w:spacing w:before="7"/>
        <w:ind w:left="0"/>
        <w:jc w:val="left"/>
        <w:rPr>
          <w:rFonts w:hint="eastAsia"/>
          <w:color w:val="231F20"/>
        </w:rPr>
      </w:pPr>
      <w:r>
        <w:rPr>
          <w:rFonts w:hint="eastAsia"/>
          <w:color w:val="231F20"/>
        </w:rPr>
        <w:t>All of the ante-Nicene premillennarians were of this persuasion.</w:t>
      </w:r>
    </w:p>
    <w:p w14:paraId="49AB1F3F">
      <w:pPr>
        <w:pStyle w:val="9"/>
        <w:spacing w:before="7"/>
        <w:ind w:left="0"/>
        <w:jc w:val="left"/>
        <w:rPr>
          <w:rFonts w:hint="eastAsia"/>
          <w:color w:val="231F20"/>
        </w:rPr>
      </w:pPr>
    </w:p>
    <w:p w14:paraId="723E1DF4">
      <w:pPr>
        <w:pStyle w:val="9"/>
        <w:spacing w:before="7"/>
        <w:ind w:left="0"/>
        <w:jc w:val="left"/>
        <w:rPr>
          <w:rFonts w:hint="eastAsia"/>
          <w:color w:val="231F20"/>
        </w:rPr>
      </w:pPr>
      <w:r>
        <w:rPr>
          <w:rFonts w:hint="eastAsia"/>
          <w:color w:val="231F20"/>
        </w:rPr>
        <w:t>所有尼西亚会议前的千禧年论者都持此观点。</w:t>
      </w:r>
    </w:p>
    <w:p w14:paraId="662E4858">
      <w:pPr>
        <w:pStyle w:val="9"/>
        <w:spacing w:before="7"/>
        <w:ind w:left="0"/>
        <w:jc w:val="left"/>
        <w:rPr>
          <w:rFonts w:hint="eastAsia"/>
          <w:color w:val="231F20"/>
        </w:rPr>
      </w:pPr>
    </w:p>
    <w:p w14:paraId="3467B5CA">
      <w:pPr>
        <w:pStyle w:val="9"/>
        <w:spacing w:before="7"/>
        <w:ind w:left="0"/>
        <w:jc w:val="left"/>
        <w:rPr>
          <w:rFonts w:hint="eastAsia"/>
          <w:color w:val="231F20"/>
        </w:rPr>
      </w:pPr>
      <w:r>
        <w:rPr>
          <w:rFonts w:hint="eastAsia"/>
          <w:color w:val="231F20"/>
        </w:rPr>
        <w:t>They include Papias, Justin Martyr, Irenaeus, Tertullian, the Montanists, and Lactantius.</w:t>
      </w:r>
    </w:p>
    <w:p w14:paraId="26EA362B">
      <w:pPr>
        <w:pStyle w:val="9"/>
        <w:spacing w:before="7"/>
        <w:ind w:left="0"/>
        <w:jc w:val="left"/>
        <w:rPr>
          <w:rFonts w:hint="eastAsia"/>
          <w:color w:val="231F20"/>
        </w:rPr>
      </w:pPr>
    </w:p>
    <w:p w14:paraId="3EDAB2C4">
      <w:pPr>
        <w:pStyle w:val="9"/>
        <w:spacing w:before="7"/>
        <w:ind w:left="0"/>
        <w:jc w:val="left"/>
        <w:rPr>
          <w:rFonts w:hint="eastAsia"/>
          <w:color w:val="231F20"/>
        </w:rPr>
      </w:pPr>
      <w:r>
        <w:rPr>
          <w:rFonts w:hint="eastAsia"/>
          <w:color w:val="231F20"/>
        </w:rPr>
        <w:t>他们包括帕皮亚、殉道者游斯丁、爱任纽、特土良、孟他努派和拉克坦提乌。</w:t>
      </w:r>
    </w:p>
    <w:p w14:paraId="3BE3F39C">
      <w:pPr>
        <w:pStyle w:val="9"/>
        <w:spacing w:before="7"/>
        <w:ind w:left="0"/>
        <w:jc w:val="left"/>
        <w:rPr>
          <w:rFonts w:hint="eastAsia"/>
          <w:color w:val="231F20"/>
        </w:rPr>
      </w:pPr>
    </w:p>
    <w:p w14:paraId="4D2821C4">
      <w:pPr>
        <w:pStyle w:val="9"/>
        <w:spacing w:before="7"/>
        <w:ind w:left="0"/>
        <w:jc w:val="left"/>
        <w:rPr>
          <w:rFonts w:hint="eastAsia"/>
          <w:color w:val="231F20"/>
        </w:rPr>
      </w:pPr>
      <w:r>
        <w:rPr>
          <w:rFonts w:hint="eastAsia"/>
          <w:color w:val="231F20"/>
        </w:rPr>
        <w:t>After Augustine, NCHP was eclipsed for over a thousand years by amillennialism.</w:t>
      </w:r>
    </w:p>
    <w:p w14:paraId="37A447A6">
      <w:pPr>
        <w:pStyle w:val="9"/>
        <w:spacing w:before="7"/>
        <w:ind w:left="0"/>
        <w:jc w:val="left"/>
        <w:rPr>
          <w:rFonts w:hint="eastAsia"/>
          <w:color w:val="231F20"/>
        </w:rPr>
      </w:pPr>
    </w:p>
    <w:p w14:paraId="34A7E467">
      <w:pPr>
        <w:pStyle w:val="9"/>
        <w:spacing w:before="7"/>
        <w:ind w:left="0"/>
        <w:jc w:val="left"/>
        <w:rPr>
          <w:rFonts w:hint="eastAsia"/>
          <w:color w:val="231F20"/>
        </w:rPr>
      </w:pPr>
      <w:r>
        <w:rPr>
          <w:rFonts w:hint="eastAsia"/>
          <w:color w:val="231F20"/>
        </w:rPr>
        <w:t>在奥古斯丁之后，新约历史前千禧年论被无千禧年论遮蔽了一千多年。</w:t>
      </w:r>
    </w:p>
    <w:p w14:paraId="783EDE5C">
      <w:pPr>
        <w:pStyle w:val="9"/>
        <w:spacing w:before="7"/>
        <w:ind w:left="0"/>
        <w:jc w:val="left"/>
        <w:rPr>
          <w:rFonts w:hint="eastAsia"/>
          <w:color w:val="231F20"/>
        </w:rPr>
      </w:pPr>
    </w:p>
    <w:p w14:paraId="376CBD3A">
      <w:pPr>
        <w:pStyle w:val="9"/>
        <w:spacing w:before="7"/>
        <w:ind w:left="0"/>
        <w:jc w:val="left"/>
        <w:rPr>
          <w:rFonts w:hint="eastAsia"/>
          <w:color w:val="231F20"/>
        </w:rPr>
      </w:pPr>
      <w:r>
        <w:rPr>
          <w:rFonts w:hint="eastAsia"/>
          <w:color w:val="231F20"/>
        </w:rPr>
        <w:t>However, in the 17th and 18th centuries a number of Protestant leaders embraced it again.</w:t>
      </w:r>
    </w:p>
    <w:p w14:paraId="728244D4">
      <w:pPr>
        <w:pStyle w:val="9"/>
        <w:spacing w:before="7"/>
        <w:ind w:left="0"/>
        <w:jc w:val="left"/>
        <w:rPr>
          <w:rFonts w:hint="eastAsia"/>
          <w:color w:val="231F20"/>
        </w:rPr>
      </w:pPr>
    </w:p>
    <w:p w14:paraId="10EB758B">
      <w:pPr>
        <w:pStyle w:val="9"/>
        <w:spacing w:before="7"/>
        <w:ind w:left="0"/>
        <w:jc w:val="left"/>
        <w:rPr>
          <w:rFonts w:hint="eastAsia"/>
          <w:color w:val="231F20"/>
        </w:rPr>
      </w:pPr>
      <w:r>
        <w:rPr>
          <w:rFonts w:hint="eastAsia"/>
          <w:color w:val="231F20"/>
        </w:rPr>
        <w:t>然而，在17和18世纪，一些新教领袖再次接纳了它。</w:t>
      </w:r>
    </w:p>
    <w:p w14:paraId="4A5A0006">
      <w:pPr>
        <w:pStyle w:val="9"/>
        <w:spacing w:before="7"/>
        <w:ind w:left="0"/>
        <w:jc w:val="left"/>
        <w:rPr>
          <w:rFonts w:hint="eastAsia"/>
          <w:color w:val="231F20"/>
        </w:rPr>
      </w:pPr>
    </w:p>
    <w:p w14:paraId="5D893F5B">
      <w:pPr>
        <w:pStyle w:val="9"/>
        <w:spacing w:before="7"/>
        <w:ind w:left="0"/>
        <w:jc w:val="left"/>
        <w:rPr>
          <w:rFonts w:hint="eastAsia"/>
          <w:color w:val="231F20"/>
        </w:rPr>
      </w:pPr>
      <w:r>
        <w:rPr>
          <w:rFonts w:hint="eastAsia"/>
          <w:color w:val="231F20"/>
        </w:rPr>
        <w:t>They include Johann Alsted, Cotton Mather, Philipp Spener, Joseph Bengel, John Gill, Joseph Mede, and Charles Wesley.</w:t>
      </w:r>
    </w:p>
    <w:p w14:paraId="625E8F05">
      <w:pPr>
        <w:pStyle w:val="9"/>
        <w:spacing w:before="7"/>
        <w:ind w:left="0"/>
        <w:jc w:val="left"/>
        <w:rPr>
          <w:rFonts w:hint="eastAsia"/>
          <w:color w:val="231F20"/>
        </w:rPr>
      </w:pPr>
    </w:p>
    <w:p w14:paraId="38BBA05A">
      <w:pPr>
        <w:pStyle w:val="9"/>
        <w:spacing w:before="7"/>
        <w:ind w:left="0"/>
        <w:jc w:val="left"/>
        <w:rPr>
          <w:rFonts w:hint="eastAsia"/>
          <w:color w:val="231F20"/>
        </w:rPr>
      </w:pPr>
      <w:r>
        <w:rPr>
          <w:rFonts w:hint="eastAsia"/>
          <w:color w:val="231F20"/>
        </w:rPr>
        <w:t>他们包括约翰·阿尔斯泰德、科顿·马瑟、菲利普·施本尔、约瑟夫·本戈、约翰·吉尔、约瑟夫·米德和查尔斯·卫斯理。</w:t>
      </w:r>
    </w:p>
    <w:p w14:paraId="51655ED5">
      <w:pPr>
        <w:pStyle w:val="9"/>
        <w:spacing w:before="7"/>
        <w:ind w:left="0"/>
        <w:jc w:val="left"/>
        <w:rPr>
          <w:rFonts w:hint="eastAsia"/>
          <w:color w:val="231F20"/>
        </w:rPr>
      </w:pPr>
    </w:p>
    <w:p w14:paraId="7EDDA5B9">
      <w:pPr>
        <w:pStyle w:val="9"/>
        <w:spacing w:before="7"/>
        <w:ind w:left="0"/>
        <w:jc w:val="left"/>
        <w:rPr>
          <w:rFonts w:hint="eastAsia"/>
          <w:color w:val="231F20"/>
        </w:rPr>
      </w:pPr>
      <w:r>
        <w:rPr>
          <w:rFonts w:hint="eastAsia"/>
          <w:color w:val="231F20"/>
        </w:rPr>
        <w:t>Some of these men looked for a latter-day conversion of the Jews, but few if any for a restoration of national Israel in the Millennium.</w:t>
      </w:r>
    </w:p>
    <w:p w14:paraId="31A88512">
      <w:pPr>
        <w:pStyle w:val="9"/>
        <w:spacing w:before="7"/>
        <w:ind w:left="0"/>
        <w:jc w:val="left"/>
        <w:rPr>
          <w:rFonts w:hint="eastAsia"/>
          <w:color w:val="231F20"/>
        </w:rPr>
      </w:pPr>
    </w:p>
    <w:p w14:paraId="331D184F">
      <w:pPr>
        <w:pStyle w:val="9"/>
        <w:spacing w:before="7"/>
        <w:ind w:left="0"/>
        <w:jc w:val="left"/>
        <w:rPr>
          <w:rFonts w:hint="eastAsia"/>
          <w:color w:val="231F20"/>
        </w:rPr>
      </w:pPr>
      <w:r>
        <w:rPr>
          <w:rFonts w:hint="eastAsia"/>
          <w:color w:val="231F20"/>
        </w:rPr>
        <w:t>这些人中有些期盼末后日子里犹太人的归信，但很少有人（如果有的话）期盼在千禧年里民族以色列的复兴。</w:t>
      </w:r>
    </w:p>
    <w:p w14:paraId="3779F820">
      <w:pPr>
        <w:pStyle w:val="9"/>
        <w:spacing w:before="7"/>
        <w:ind w:left="0"/>
        <w:jc w:val="left"/>
        <w:rPr>
          <w:rFonts w:hint="eastAsia"/>
          <w:color w:val="231F20"/>
        </w:rPr>
      </w:pPr>
    </w:p>
    <w:p w14:paraId="73153531">
      <w:pPr>
        <w:pStyle w:val="9"/>
        <w:spacing w:before="7"/>
        <w:ind w:left="0"/>
        <w:jc w:val="left"/>
        <w:rPr>
          <w:rFonts w:hint="eastAsia"/>
          <w:color w:val="231F20"/>
        </w:rPr>
      </w:pPr>
      <w:r>
        <w:rPr>
          <w:rFonts w:hint="eastAsia"/>
          <w:color w:val="231F20"/>
        </w:rPr>
        <w:t>In the 19th century, many premillennarians began to experiment with a more literal interpretation of OTKP, and therefore showed an intensified interest in Israel’s future in Palestine.</w:t>
      </w:r>
    </w:p>
    <w:p w14:paraId="316698EF">
      <w:pPr>
        <w:pStyle w:val="9"/>
        <w:spacing w:before="7"/>
        <w:ind w:left="0"/>
        <w:jc w:val="left"/>
        <w:rPr>
          <w:rFonts w:hint="eastAsia"/>
          <w:color w:val="231F20"/>
        </w:rPr>
      </w:pPr>
    </w:p>
    <w:p w14:paraId="410F0B9C">
      <w:pPr>
        <w:pStyle w:val="9"/>
        <w:spacing w:before="7"/>
        <w:ind w:left="0"/>
        <w:jc w:val="left"/>
        <w:rPr>
          <w:rFonts w:hint="eastAsia"/>
          <w:color w:val="231F20"/>
        </w:rPr>
      </w:pPr>
      <w:r>
        <w:rPr>
          <w:rFonts w:hint="eastAsia"/>
          <w:color w:val="231F20"/>
        </w:rPr>
        <w:t>在19世纪，许多前千禧年论者开始尝试对旧约国度预言作更字面的解释，因此对以色列在巴勒斯坦的未来表现出更浓厚的兴趣。</w:t>
      </w:r>
    </w:p>
    <w:p w14:paraId="7CFEDB50">
      <w:pPr>
        <w:pStyle w:val="9"/>
        <w:spacing w:before="7"/>
        <w:ind w:left="0"/>
        <w:jc w:val="left"/>
        <w:rPr>
          <w:rFonts w:hint="eastAsia"/>
          <w:color w:val="231F20"/>
        </w:rPr>
      </w:pPr>
    </w:p>
    <w:p w14:paraId="2C7339BD">
      <w:pPr>
        <w:pStyle w:val="9"/>
        <w:spacing w:before="7"/>
        <w:ind w:left="0"/>
        <w:jc w:val="left"/>
        <w:rPr>
          <w:rFonts w:hint="eastAsia"/>
          <w:color w:val="231F20"/>
        </w:rPr>
      </w:pPr>
      <w:r>
        <w:rPr>
          <w:rFonts w:hint="eastAsia"/>
          <w:color w:val="231F20"/>
        </w:rPr>
        <w:t>In time this led to the triumph of dispensational premillennialism, with its unprecedented focus upon Israel’s millennial glory.</w:t>
      </w:r>
    </w:p>
    <w:p w14:paraId="2E167AB2">
      <w:pPr>
        <w:pStyle w:val="9"/>
        <w:spacing w:before="7"/>
        <w:ind w:left="0"/>
        <w:jc w:val="left"/>
        <w:rPr>
          <w:rFonts w:hint="eastAsia"/>
          <w:color w:val="231F20"/>
        </w:rPr>
      </w:pPr>
    </w:p>
    <w:p w14:paraId="1DDA2684">
      <w:pPr>
        <w:pStyle w:val="9"/>
        <w:spacing w:before="7"/>
        <w:ind w:left="0"/>
        <w:jc w:val="left"/>
        <w:rPr>
          <w:rFonts w:hint="eastAsia"/>
          <w:color w:val="231F20"/>
        </w:rPr>
      </w:pPr>
      <w:r>
        <w:rPr>
          <w:rFonts w:hint="eastAsia"/>
          <w:color w:val="231F20"/>
        </w:rPr>
        <w:t>后来，这导致了时代论前千禧年论的胜利，其对以色列在千禧年荣耀的关注是前所未有的。</w:t>
      </w:r>
    </w:p>
    <w:p w14:paraId="07DAAA2F">
      <w:pPr>
        <w:pStyle w:val="9"/>
        <w:spacing w:before="7"/>
        <w:ind w:left="0"/>
        <w:jc w:val="left"/>
        <w:rPr>
          <w:rFonts w:hint="eastAsia"/>
          <w:color w:val="231F20"/>
        </w:rPr>
      </w:pPr>
    </w:p>
    <w:p w14:paraId="1BECB627">
      <w:pPr>
        <w:pStyle w:val="9"/>
        <w:spacing w:before="7"/>
        <w:ind w:left="0"/>
        <w:jc w:val="left"/>
        <w:rPr>
          <w:rFonts w:hint="eastAsia"/>
          <w:color w:val="231F20"/>
        </w:rPr>
      </w:pPr>
      <w:r>
        <w:rPr>
          <w:rFonts w:hint="eastAsia"/>
          <w:color w:val="231F20"/>
        </w:rPr>
        <w:t>However, since the mid-20th century a large number of evangelicals, following the lead of theologian George Ladd, have rejected Dispensationalism and returned once again to the classic NCHP.</w:t>
      </w:r>
    </w:p>
    <w:p w14:paraId="442AAB4B">
      <w:pPr>
        <w:pStyle w:val="9"/>
        <w:spacing w:before="7"/>
        <w:ind w:left="0"/>
        <w:jc w:val="left"/>
        <w:rPr>
          <w:rFonts w:hint="eastAsia"/>
          <w:color w:val="231F20"/>
        </w:rPr>
      </w:pPr>
    </w:p>
    <w:p w14:paraId="70DD5D3D">
      <w:pPr>
        <w:pStyle w:val="9"/>
        <w:spacing w:before="7"/>
        <w:ind w:left="0"/>
        <w:jc w:val="left"/>
        <w:rPr>
          <w:rFonts w:hint="eastAsia"/>
          <w:color w:val="231F20"/>
        </w:rPr>
      </w:pPr>
      <w:r>
        <w:rPr>
          <w:rFonts w:hint="eastAsia"/>
          <w:color w:val="231F20"/>
        </w:rPr>
        <w:t>然而，自20世纪中期以来，大批福音派人士，跟随神学家乔治·赖德的带领，摒弃了时代论，再次回归到经典的新约历史前千禧年论。</w:t>
      </w:r>
    </w:p>
    <w:p w14:paraId="5676E134">
      <w:pPr>
        <w:pStyle w:val="9"/>
        <w:spacing w:before="7"/>
        <w:ind w:left="0"/>
        <w:jc w:val="left"/>
        <w:rPr>
          <w:rFonts w:hint="eastAsia"/>
          <w:color w:val="231F20"/>
        </w:rPr>
      </w:pPr>
    </w:p>
    <w:p w14:paraId="52DD2EAE">
      <w:pPr>
        <w:pStyle w:val="9"/>
        <w:spacing w:before="7"/>
        <w:ind w:left="0"/>
        <w:jc w:val="left"/>
        <w:rPr>
          <w:rFonts w:hint="eastAsia"/>
          <w:color w:val="231F20"/>
        </w:rPr>
      </w:pPr>
      <w:r>
        <w:rPr>
          <w:rFonts w:hint="eastAsia"/>
          <w:color w:val="231F20"/>
        </w:rPr>
        <w:t>Prominent among them are Clarence Bass, Millard Erickson, Jim Hamilton, Grant Osborne, J. Barton Payne, and John Piper.</w:t>
      </w:r>
    </w:p>
    <w:p w14:paraId="545699D8">
      <w:pPr>
        <w:pStyle w:val="9"/>
        <w:spacing w:before="7"/>
        <w:ind w:left="0"/>
        <w:jc w:val="left"/>
        <w:rPr>
          <w:rFonts w:hint="eastAsia"/>
          <w:color w:val="231F20"/>
        </w:rPr>
      </w:pPr>
    </w:p>
    <w:p w14:paraId="0EA91A91">
      <w:pPr>
        <w:pStyle w:val="9"/>
        <w:spacing w:before="7"/>
        <w:ind w:left="0"/>
        <w:jc w:val="left"/>
        <w:rPr>
          <w:rFonts w:hint="eastAsia"/>
          <w:color w:val="231F20"/>
        </w:rPr>
      </w:pPr>
      <w:r>
        <w:rPr>
          <w:rFonts w:hint="eastAsia"/>
          <w:color w:val="231F20"/>
        </w:rPr>
        <w:t>他们中的杰出人物包括克拉伦斯·巴斯、米勒德·埃里克森、吉姆·汉密尔टन、格兰特·奥斯本、J·巴顿·佩恩和约翰·派博。</w:t>
      </w:r>
    </w:p>
    <w:p w14:paraId="1B2C2912">
      <w:pPr>
        <w:pStyle w:val="9"/>
        <w:spacing w:before="7"/>
        <w:ind w:left="0"/>
        <w:jc w:val="left"/>
        <w:rPr>
          <w:rFonts w:hint="eastAsia"/>
          <w:color w:val="231F20"/>
        </w:rPr>
      </w:pPr>
    </w:p>
    <w:p w14:paraId="21E583DA">
      <w:pPr>
        <w:pStyle w:val="9"/>
        <w:spacing w:before="7"/>
        <w:ind w:left="0"/>
        <w:jc w:val="left"/>
        <w:rPr>
          <w:rFonts w:hint="eastAsia"/>
          <w:color w:val="231F20"/>
        </w:rPr>
      </w:pPr>
      <w:r>
        <w:rPr>
          <w:rFonts w:hint="eastAsia"/>
          <w:color w:val="231F20"/>
        </w:rPr>
        <w:t>Arguably, this is the majority view of American theologians today, though not of pastors and the people in the pews.</w:t>
      </w:r>
    </w:p>
    <w:p w14:paraId="519DC379">
      <w:pPr>
        <w:pStyle w:val="9"/>
        <w:spacing w:before="7"/>
        <w:ind w:left="0"/>
        <w:jc w:val="left"/>
        <w:rPr>
          <w:rFonts w:hint="eastAsia"/>
          <w:color w:val="231F20"/>
        </w:rPr>
      </w:pPr>
    </w:p>
    <w:p w14:paraId="361EF014">
      <w:pPr>
        <w:pStyle w:val="9"/>
        <w:spacing w:before="7"/>
        <w:ind w:left="0"/>
        <w:jc w:val="left"/>
        <w:rPr>
          <w:rFonts w:hint="eastAsia"/>
          <w:color w:val="231F20"/>
        </w:rPr>
      </w:pPr>
      <w:r>
        <w:rPr>
          <w:rFonts w:hint="eastAsia"/>
          <w:color w:val="231F20"/>
        </w:rPr>
        <w:t>可以说，这是今天美国神学家的主流观点，尽管不是牧师和教会平信徒的主流观点。</w:t>
      </w:r>
    </w:p>
    <w:p w14:paraId="20C2496F">
      <w:pPr>
        <w:pStyle w:val="9"/>
        <w:spacing w:before="7"/>
        <w:ind w:left="0"/>
        <w:jc w:val="left"/>
        <w:rPr>
          <w:rFonts w:hint="eastAsia"/>
          <w:color w:val="231F20"/>
        </w:rPr>
      </w:pPr>
    </w:p>
    <w:p w14:paraId="712F4907">
      <w:pPr>
        <w:pStyle w:val="9"/>
        <w:spacing w:before="7"/>
        <w:ind w:left="0"/>
        <w:jc w:val="left"/>
        <w:rPr>
          <w:rFonts w:hint="eastAsia"/>
          <w:color w:val="231F20"/>
        </w:rPr>
      </w:pPr>
      <w:r>
        <w:rPr>
          <w:rFonts w:hint="eastAsia"/>
          <w:color w:val="231F20"/>
        </w:rPr>
        <w:t>There is, however, a second form of HP.</w:t>
      </w:r>
    </w:p>
    <w:p w14:paraId="3FEC8424">
      <w:pPr>
        <w:pStyle w:val="9"/>
        <w:spacing w:before="7"/>
        <w:ind w:left="0"/>
        <w:jc w:val="left"/>
        <w:rPr>
          <w:rFonts w:hint="eastAsia"/>
          <w:color w:val="231F20"/>
        </w:rPr>
      </w:pPr>
    </w:p>
    <w:p w14:paraId="5F116358">
      <w:pPr>
        <w:pStyle w:val="9"/>
        <w:spacing w:before="7"/>
        <w:ind w:left="0"/>
        <w:jc w:val="left"/>
        <w:rPr>
          <w:rFonts w:hint="eastAsia"/>
          <w:color w:val="231F20"/>
        </w:rPr>
      </w:pPr>
      <w:r>
        <w:rPr>
          <w:rFonts w:hint="eastAsia"/>
          <w:color w:val="231F20"/>
        </w:rPr>
        <w:t>然而，历史前千禧年论还有第二种形式。</w:t>
      </w:r>
    </w:p>
    <w:p w14:paraId="6E929A2F">
      <w:pPr>
        <w:pStyle w:val="9"/>
        <w:spacing w:before="7"/>
        <w:ind w:left="0"/>
        <w:jc w:val="left"/>
        <w:rPr>
          <w:rFonts w:hint="eastAsia"/>
          <w:color w:val="231F20"/>
        </w:rPr>
      </w:pPr>
    </w:p>
    <w:p w14:paraId="37816AB0">
      <w:pPr>
        <w:pStyle w:val="9"/>
        <w:spacing w:before="7"/>
        <w:ind w:left="0"/>
        <w:jc w:val="left"/>
        <w:rPr>
          <w:rFonts w:hint="eastAsia"/>
          <w:color w:val="231F20"/>
        </w:rPr>
      </w:pPr>
      <w:r>
        <w:rPr>
          <w:rFonts w:hint="eastAsia"/>
          <w:color w:val="231F20"/>
        </w:rPr>
        <w:t>Again, it arose primarily in the 19th century, when many evangelicals embraced a more literal interpretation of OTKP.</w:t>
      </w:r>
    </w:p>
    <w:p w14:paraId="4F9A4253">
      <w:pPr>
        <w:pStyle w:val="9"/>
        <w:spacing w:before="7"/>
        <w:ind w:left="0"/>
        <w:jc w:val="left"/>
        <w:rPr>
          <w:rFonts w:hint="eastAsia"/>
          <w:color w:val="231F20"/>
        </w:rPr>
      </w:pPr>
    </w:p>
    <w:p w14:paraId="0435AE27">
      <w:pPr>
        <w:pStyle w:val="9"/>
        <w:spacing w:before="7"/>
        <w:ind w:left="0"/>
        <w:jc w:val="left"/>
        <w:rPr>
          <w:rFonts w:hint="eastAsia"/>
          <w:color w:val="231F20"/>
        </w:rPr>
      </w:pPr>
      <w:r>
        <w:rPr>
          <w:rFonts w:hint="eastAsia"/>
          <w:color w:val="231F20"/>
        </w:rPr>
        <w:t>同样，它主要兴起于19世纪，当时许多福音派人士接纳了对旧约国度预言更字面的解释。</w:t>
      </w:r>
    </w:p>
    <w:p w14:paraId="613B6886">
      <w:pPr>
        <w:pStyle w:val="9"/>
        <w:spacing w:before="7"/>
        <w:ind w:left="0"/>
        <w:jc w:val="left"/>
        <w:rPr>
          <w:rFonts w:hint="eastAsia"/>
          <w:color w:val="231F20"/>
        </w:rPr>
      </w:pPr>
    </w:p>
    <w:p w14:paraId="0134E04B">
      <w:pPr>
        <w:pStyle w:val="9"/>
        <w:spacing w:before="7"/>
        <w:ind w:left="0"/>
        <w:jc w:val="left"/>
        <w:rPr>
          <w:rFonts w:hint="eastAsia"/>
          <w:color w:val="231F20"/>
        </w:rPr>
      </w:pPr>
      <w:r>
        <w:rPr>
          <w:rFonts w:hint="eastAsia"/>
          <w:color w:val="231F20"/>
        </w:rPr>
        <w:t>All of them agreed that prior to the Parousia God would restore and revive national Israel in Palestine; many asserted that he would also exalt that nation in the Millennium.</w:t>
      </w:r>
    </w:p>
    <w:p w14:paraId="0D6BD023">
      <w:pPr>
        <w:pStyle w:val="9"/>
        <w:spacing w:before="7"/>
        <w:ind w:left="0"/>
        <w:jc w:val="left"/>
        <w:rPr>
          <w:rFonts w:hint="eastAsia"/>
          <w:color w:val="231F20"/>
        </w:rPr>
      </w:pPr>
    </w:p>
    <w:p w14:paraId="5AF3CBBB">
      <w:pPr>
        <w:pStyle w:val="9"/>
        <w:spacing w:before="7"/>
        <w:ind w:left="0"/>
        <w:jc w:val="left"/>
        <w:rPr>
          <w:rFonts w:hint="eastAsia"/>
          <w:color w:val="231F20"/>
        </w:rPr>
      </w:pPr>
      <w:r>
        <w:rPr>
          <w:rFonts w:hint="eastAsia"/>
          <w:color w:val="231F20"/>
        </w:rPr>
        <w:t>他们都同意，在主的再来之前，神将要在巴勒斯坦恢复并复兴民族以色列；许多人主张，祂也将在千禧年高举那个民族。</w:t>
      </w:r>
    </w:p>
    <w:p w14:paraId="216D8FF1">
      <w:pPr>
        <w:pStyle w:val="9"/>
        <w:spacing w:before="7"/>
        <w:ind w:left="0"/>
        <w:jc w:val="left"/>
        <w:rPr>
          <w:rFonts w:hint="eastAsia"/>
          <w:color w:val="231F20"/>
        </w:rPr>
      </w:pPr>
    </w:p>
    <w:p w14:paraId="3E3DA566">
      <w:pPr>
        <w:pStyle w:val="9"/>
        <w:spacing w:before="7"/>
        <w:ind w:left="0"/>
        <w:jc w:val="left"/>
        <w:rPr>
          <w:rFonts w:hint="eastAsia"/>
          <w:color w:val="231F20"/>
        </w:rPr>
      </w:pPr>
      <w:r>
        <w:rPr>
          <w:rFonts w:hint="eastAsia"/>
          <w:color w:val="231F20"/>
        </w:rPr>
        <w:t>Their company is impressive.</w:t>
      </w:r>
    </w:p>
    <w:p w14:paraId="75ADA726">
      <w:pPr>
        <w:pStyle w:val="9"/>
        <w:spacing w:before="7"/>
        <w:ind w:left="0"/>
        <w:jc w:val="left"/>
        <w:rPr>
          <w:rFonts w:hint="eastAsia"/>
          <w:color w:val="231F20"/>
        </w:rPr>
      </w:pPr>
    </w:p>
    <w:p w14:paraId="30F6E28F">
      <w:pPr>
        <w:pStyle w:val="9"/>
        <w:spacing w:before="7"/>
        <w:ind w:left="0"/>
        <w:jc w:val="left"/>
        <w:rPr>
          <w:rFonts w:hint="eastAsia"/>
          <w:color w:val="231F20"/>
        </w:rPr>
      </w:pPr>
      <w:r>
        <w:rPr>
          <w:rFonts w:hint="eastAsia"/>
          <w:color w:val="231F20"/>
        </w:rPr>
        <w:t>他们的阵容令人印象深刻。</w:t>
      </w:r>
    </w:p>
    <w:p w14:paraId="7D5A7A77">
      <w:pPr>
        <w:pStyle w:val="9"/>
        <w:spacing w:before="7"/>
        <w:ind w:left="0"/>
        <w:jc w:val="left"/>
        <w:rPr>
          <w:rFonts w:hint="eastAsia"/>
          <w:color w:val="231F20"/>
        </w:rPr>
      </w:pPr>
    </w:p>
    <w:p w14:paraId="71C41D7F">
      <w:pPr>
        <w:pStyle w:val="9"/>
        <w:spacing w:before="7"/>
        <w:ind w:left="0"/>
        <w:jc w:val="left"/>
        <w:rPr>
          <w:rFonts w:hint="eastAsia"/>
          <w:color w:val="231F20"/>
        </w:rPr>
      </w:pPr>
      <w:r>
        <w:rPr>
          <w:rFonts w:hint="eastAsia"/>
          <w:color w:val="231F20"/>
        </w:rPr>
        <w:t>It includes David Baron, Andrew and Horatio Bonar, Franz Delitzsche, Robert M’ Cheyne, George Peters, J. C. Ryle, Charles Spurgeon, Samuel Tregelles, and Nathaniel West.</w:t>
      </w:r>
    </w:p>
    <w:p w14:paraId="0B327521">
      <w:pPr>
        <w:pStyle w:val="9"/>
        <w:spacing w:before="7"/>
        <w:ind w:left="0"/>
        <w:jc w:val="left"/>
        <w:rPr>
          <w:rFonts w:hint="eastAsia"/>
          <w:color w:val="231F20"/>
        </w:rPr>
      </w:pPr>
    </w:p>
    <w:p w14:paraId="1ED6A72F">
      <w:pPr>
        <w:pStyle w:val="9"/>
        <w:spacing w:before="7"/>
        <w:ind w:left="0"/>
        <w:jc w:val="left"/>
        <w:rPr>
          <w:rFonts w:hint="eastAsia"/>
          <w:color w:val="231F20"/>
        </w:rPr>
      </w:pPr>
      <w:r>
        <w:rPr>
          <w:rFonts w:hint="eastAsia"/>
          <w:color w:val="231F20"/>
        </w:rPr>
        <w:t>它包括大卫·巴伦、安德鲁和贺拉修·波纳、弗朗茨·德里慈、罗伯特·麦克谦、乔治·彼得斯、J·C·莱尔、查尔斯·司布真、撒母耳·特雷格勒斯和纳撒尼尔·韦斯特。</w:t>
      </w:r>
    </w:p>
    <w:p w14:paraId="1032E038">
      <w:pPr>
        <w:pStyle w:val="9"/>
        <w:spacing w:before="7"/>
        <w:ind w:left="0"/>
        <w:jc w:val="left"/>
        <w:rPr>
          <w:rFonts w:hint="eastAsia"/>
          <w:color w:val="231F20"/>
        </w:rPr>
      </w:pPr>
    </w:p>
    <w:p w14:paraId="073A9A13">
      <w:pPr>
        <w:pStyle w:val="9"/>
        <w:spacing w:before="7"/>
        <w:ind w:left="0"/>
        <w:jc w:val="left"/>
        <w:rPr>
          <w:rFonts w:hint="eastAsia"/>
          <w:color w:val="231F20"/>
        </w:rPr>
      </w:pPr>
      <w:r>
        <w:rPr>
          <w:rFonts w:hint="eastAsia"/>
          <w:color w:val="231F20"/>
        </w:rPr>
        <w:t>Because of its focus upon the future of ethnic Israel, we may call this view Old Covenant (or Jewish) historic premillennialism (OCHP).</w:t>
      </w:r>
    </w:p>
    <w:p w14:paraId="44997E5D">
      <w:pPr>
        <w:pStyle w:val="9"/>
        <w:spacing w:before="7"/>
        <w:ind w:left="0"/>
        <w:jc w:val="left"/>
        <w:rPr>
          <w:rFonts w:hint="eastAsia"/>
          <w:color w:val="231F20"/>
        </w:rPr>
      </w:pPr>
    </w:p>
    <w:p w14:paraId="5787ACC3">
      <w:pPr>
        <w:pStyle w:val="9"/>
        <w:spacing w:before="7"/>
        <w:ind w:left="0"/>
        <w:jc w:val="left"/>
        <w:rPr>
          <w:rFonts w:hint="eastAsia"/>
          <w:color w:val="231F20"/>
        </w:rPr>
      </w:pPr>
      <w:r>
        <w:rPr>
          <w:rFonts w:hint="eastAsia"/>
          <w:color w:val="231F20"/>
        </w:rPr>
        <w:t>由于其聚焦于民族以色列的未来，我们可以称此观点为旧约（或犹太）历史前千禧年论（OCHP）。</w:t>
      </w:r>
    </w:p>
    <w:p w14:paraId="775742D0">
      <w:pPr>
        <w:pStyle w:val="9"/>
        <w:spacing w:before="7"/>
        <w:ind w:left="0"/>
        <w:jc w:val="left"/>
        <w:rPr>
          <w:rFonts w:hint="eastAsia"/>
          <w:color w:val="231F20"/>
        </w:rPr>
      </w:pPr>
    </w:p>
    <w:p w14:paraId="108AF9D1">
      <w:pPr>
        <w:pStyle w:val="9"/>
        <w:spacing w:before="7"/>
        <w:ind w:left="0"/>
        <w:jc w:val="left"/>
        <w:rPr>
          <w:rFonts w:hint="eastAsia"/>
          <w:color w:val="231F20"/>
        </w:rPr>
      </w:pPr>
      <w:r>
        <w:rPr>
          <w:rFonts w:hint="eastAsia"/>
          <w:color w:val="231F20"/>
        </w:rPr>
        <w:t>While there are differences among them, most OCHP’s would endorse the following sketch of Salvation History.</w:t>
      </w:r>
    </w:p>
    <w:p w14:paraId="27CFEAA0">
      <w:pPr>
        <w:pStyle w:val="9"/>
        <w:spacing w:before="7"/>
        <w:ind w:left="0"/>
        <w:jc w:val="left"/>
        <w:rPr>
          <w:rFonts w:hint="eastAsia"/>
          <w:color w:val="231F20"/>
        </w:rPr>
      </w:pPr>
    </w:p>
    <w:p w14:paraId="50DB57F9">
      <w:pPr>
        <w:pStyle w:val="9"/>
        <w:spacing w:before="7"/>
        <w:ind w:left="0"/>
        <w:jc w:val="left"/>
        <w:rPr>
          <w:rFonts w:hint="eastAsia"/>
          <w:color w:val="231F20"/>
        </w:rPr>
      </w:pPr>
      <w:r>
        <w:rPr>
          <w:rFonts w:hint="eastAsia"/>
          <w:color w:val="231F20"/>
        </w:rPr>
        <w:t>尽管他们之间存在差异，但大多数旧约历史前千禧年论者会赞同以下对救赎历史的描绘。</w:t>
      </w:r>
    </w:p>
    <w:p w14:paraId="12175980">
      <w:pPr>
        <w:pStyle w:val="9"/>
        <w:spacing w:before="7"/>
        <w:ind w:left="0"/>
        <w:jc w:val="left"/>
        <w:rPr>
          <w:rFonts w:hint="eastAsia"/>
          <w:color w:val="231F20"/>
        </w:rPr>
      </w:pPr>
    </w:p>
    <w:p w14:paraId="7A97DDD3">
      <w:pPr>
        <w:pStyle w:val="9"/>
        <w:spacing w:before="7"/>
        <w:ind w:left="0"/>
        <w:jc w:val="left"/>
        <w:rPr>
          <w:rFonts w:hint="eastAsia"/>
          <w:color w:val="231F20"/>
        </w:rPr>
      </w:pPr>
      <w:r>
        <w:rPr>
          <w:rFonts w:hint="eastAsia"/>
          <w:color w:val="231F20"/>
        </w:rPr>
        <w:t>In OT times God promised, prefigured, and prepared for an eschatological Kingdom that would appear in three stages: The Church Era of Gospel Proclamation, the Millennium, and the World to Come.</w:t>
      </w:r>
    </w:p>
    <w:p w14:paraId="1BD4CE5F">
      <w:pPr>
        <w:pStyle w:val="9"/>
        <w:spacing w:before="7"/>
        <w:ind w:left="0"/>
        <w:jc w:val="left"/>
        <w:rPr>
          <w:rFonts w:hint="eastAsia"/>
          <w:color w:val="231F20"/>
        </w:rPr>
      </w:pPr>
    </w:p>
    <w:p w14:paraId="6CC5109D">
      <w:pPr>
        <w:pStyle w:val="9"/>
        <w:spacing w:before="7"/>
        <w:ind w:left="0"/>
        <w:jc w:val="left"/>
        <w:rPr>
          <w:rFonts w:hint="eastAsia"/>
          <w:color w:val="231F20"/>
        </w:rPr>
      </w:pPr>
      <w:r>
        <w:rPr>
          <w:rFonts w:hint="eastAsia"/>
          <w:color w:val="231F20"/>
        </w:rPr>
        <w:t>在旧约时代，神应许、预表并预备了一个末世论的国度，它将分三个阶段显现：教会的福音宣讲时代、千禧年，和要来的世界。</w:t>
      </w:r>
    </w:p>
    <w:p w14:paraId="44638966">
      <w:pPr>
        <w:pStyle w:val="9"/>
        <w:spacing w:before="7"/>
        <w:ind w:left="0"/>
        <w:jc w:val="left"/>
        <w:rPr>
          <w:rFonts w:hint="eastAsia"/>
          <w:color w:val="231F20"/>
        </w:rPr>
      </w:pPr>
    </w:p>
    <w:p w14:paraId="2FB4902C">
      <w:pPr>
        <w:pStyle w:val="9"/>
        <w:spacing w:before="7"/>
        <w:ind w:left="0"/>
        <w:jc w:val="left"/>
        <w:rPr>
          <w:rFonts w:hint="eastAsia"/>
          <w:color w:val="231F20"/>
        </w:rPr>
      </w:pPr>
      <w:r>
        <w:rPr>
          <w:rFonts w:hint="eastAsia"/>
          <w:color w:val="231F20"/>
        </w:rPr>
        <w:t>The mission of the Church will advance in history infallibly, though with great difficulty.</w:t>
      </w:r>
    </w:p>
    <w:p w14:paraId="74D12D66">
      <w:pPr>
        <w:pStyle w:val="9"/>
        <w:spacing w:before="7"/>
        <w:ind w:left="0"/>
        <w:jc w:val="left"/>
        <w:rPr>
          <w:rFonts w:hint="eastAsia"/>
          <w:color w:val="231F20"/>
        </w:rPr>
      </w:pPr>
    </w:p>
    <w:p w14:paraId="6E44739B">
      <w:pPr>
        <w:pStyle w:val="9"/>
        <w:spacing w:before="7"/>
        <w:ind w:left="0"/>
        <w:jc w:val="left"/>
        <w:rPr>
          <w:rFonts w:hint="eastAsia"/>
          <w:color w:val="231F20"/>
        </w:rPr>
      </w:pPr>
      <w:r>
        <w:rPr>
          <w:rFonts w:hint="eastAsia"/>
          <w:color w:val="231F20"/>
        </w:rPr>
        <w:t>教会的使命将在历史中无误地推进，尽管伴随着巨大的困难。</w:t>
      </w:r>
    </w:p>
    <w:p w14:paraId="719A8D9C">
      <w:pPr>
        <w:pStyle w:val="9"/>
        <w:spacing w:before="7"/>
        <w:ind w:left="0"/>
        <w:jc w:val="left"/>
        <w:rPr>
          <w:rFonts w:hint="eastAsia"/>
          <w:color w:val="231F20"/>
        </w:rPr>
      </w:pPr>
    </w:p>
    <w:p w14:paraId="7C3E12EA">
      <w:pPr>
        <w:pStyle w:val="9"/>
        <w:spacing w:before="7"/>
        <w:ind w:left="0"/>
        <w:jc w:val="left"/>
        <w:rPr>
          <w:rFonts w:hint="eastAsia"/>
          <w:color w:val="231F20"/>
        </w:rPr>
      </w:pPr>
      <w:r>
        <w:rPr>
          <w:rFonts w:hint="eastAsia"/>
          <w:color w:val="231F20"/>
        </w:rPr>
        <w:t>Towards the end of the age, the world will plunge into deep spiritual darkness, thereby triggering the rise of the Antichrist, a brief season of great tribulation (i.e., persecution), and the apostasy of many professing believers.</w:t>
      </w:r>
    </w:p>
    <w:p w14:paraId="62ED9905">
      <w:pPr>
        <w:pStyle w:val="9"/>
        <w:spacing w:before="7"/>
        <w:ind w:left="0"/>
        <w:jc w:val="left"/>
        <w:rPr>
          <w:rFonts w:hint="eastAsia"/>
          <w:color w:val="231F20"/>
        </w:rPr>
      </w:pPr>
    </w:p>
    <w:p w14:paraId="21FF072C">
      <w:pPr>
        <w:pStyle w:val="9"/>
        <w:spacing w:before="7"/>
        <w:ind w:left="0"/>
        <w:jc w:val="left"/>
        <w:rPr>
          <w:rFonts w:hint="eastAsia"/>
          <w:color w:val="231F20"/>
        </w:rPr>
      </w:pPr>
      <w:r>
        <w:rPr>
          <w:rFonts w:hint="eastAsia"/>
          <w:color w:val="231F20"/>
        </w:rPr>
        <w:t>临近世代的末了，世界将陷入深沉的属灵黑暗中，从而引发敌基督的兴起，一段短暂的大患难（即逼迫）时期，以及许多自称信徒的背道。</w:t>
      </w:r>
    </w:p>
    <w:p w14:paraId="16B65BF4">
      <w:pPr>
        <w:pStyle w:val="9"/>
        <w:spacing w:before="7"/>
        <w:ind w:left="0"/>
        <w:jc w:val="left"/>
        <w:rPr>
          <w:rFonts w:hint="eastAsia"/>
          <w:color w:val="231F20"/>
        </w:rPr>
      </w:pPr>
    </w:p>
    <w:p w14:paraId="3D938229">
      <w:pPr>
        <w:pStyle w:val="9"/>
        <w:spacing w:before="7"/>
        <w:ind w:left="0"/>
        <w:jc w:val="left"/>
        <w:rPr>
          <w:rFonts w:hint="eastAsia"/>
          <w:color w:val="231F20"/>
        </w:rPr>
      </w:pPr>
      <w:r>
        <w:rPr>
          <w:rFonts w:hint="eastAsia"/>
          <w:color w:val="231F20"/>
        </w:rPr>
        <w:t>Then Christ will come again.</w:t>
      </w:r>
    </w:p>
    <w:p w14:paraId="44E34017">
      <w:pPr>
        <w:pStyle w:val="9"/>
        <w:spacing w:before="7"/>
        <w:ind w:left="0"/>
        <w:jc w:val="left"/>
        <w:rPr>
          <w:rFonts w:hint="eastAsia"/>
          <w:color w:val="231F20"/>
        </w:rPr>
      </w:pPr>
    </w:p>
    <w:p w14:paraId="3B3CA155">
      <w:pPr>
        <w:pStyle w:val="9"/>
        <w:spacing w:before="7"/>
        <w:ind w:left="0"/>
        <w:jc w:val="left"/>
        <w:rPr>
          <w:rFonts w:hint="eastAsia"/>
          <w:color w:val="231F20"/>
        </w:rPr>
      </w:pPr>
      <w:r>
        <w:rPr>
          <w:rFonts w:hint="eastAsia"/>
          <w:color w:val="231F20"/>
        </w:rPr>
        <w:t>然后基督将要再来。</w:t>
      </w:r>
    </w:p>
    <w:p w14:paraId="6A6DCC5D">
      <w:pPr>
        <w:pStyle w:val="9"/>
        <w:spacing w:before="7"/>
        <w:ind w:left="0"/>
        <w:jc w:val="left"/>
        <w:rPr>
          <w:rFonts w:hint="eastAsia"/>
          <w:color w:val="231F20"/>
        </w:rPr>
      </w:pPr>
    </w:p>
    <w:p w14:paraId="41EC6CF5">
      <w:pPr>
        <w:pStyle w:val="9"/>
        <w:spacing w:before="7"/>
        <w:ind w:left="0"/>
        <w:jc w:val="left"/>
        <w:rPr>
          <w:rFonts w:hint="eastAsia"/>
          <w:color w:val="231F20"/>
        </w:rPr>
      </w:pPr>
      <w:r>
        <w:rPr>
          <w:rFonts w:hint="eastAsia"/>
          <w:color w:val="231F20"/>
        </w:rPr>
        <w:t>When he does (or shortly before it), the great mass of Jews, now returned to Palestine, will be converted.</w:t>
      </w:r>
    </w:p>
    <w:p w14:paraId="49259012">
      <w:pPr>
        <w:pStyle w:val="9"/>
        <w:spacing w:before="7"/>
        <w:ind w:left="0"/>
        <w:jc w:val="left"/>
        <w:rPr>
          <w:rFonts w:hint="eastAsia"/>
          <w:color w:val="231F20"/>
        </w:rPr>
      </w:pPr>
    </w:p>
    <w:p w14:paraId="70E811DE">
      <w:pPr>
        <w:pStyle w:val="9"/>
        <w:spacing w:before="7"/>
        <w:ind w:left="0"/>
        <w:jc w:val="left"/>
        <w:rPr>
          <w:rFonts w:hint="eastAsia"/>
          <w:color w:val="231F20"/>
        </w:rPr>
      </w:pPr>
      <w:r>
        <w:rPr>
          <w:rFonts w:hint="eastAsia"/>
          <w:color w:val="231F20"/>
        </w:rPr>
        <w:t>当祂再来时（或在此之前不久），大批已返回巴勒斯坦的犹太人将会归信。</w:t>
      </w:r>
    </w:p>
    <w:p w14:paraId="52FC9F6F">
      <w:pPr>
        <w:pStyle w:val="9"/>
        <w:spacing w:before="7"/>
        <w:ind w:left="0"/>
        <w:jc w:val="left"/>
        <w:rPr>
          <w:rFonts w:hint="eastAsia"/>
          <w:color w:val="231F20"/>
        </w:rPr>
      </w:pPr>
    </w:p>
    <w:p w14:paraId="34CEC885">
      <w:pPr>
        <w:pStyle w:val="9"/>
        <w:spacing w:before="7"/>
        <w:ind w:left="0"/>
        <w:jc w:val="left"/>
        <w:rPr>
          <w:rFonts w:hint="eastAsia"/>
          <w:color w:val="231F20"/>
        </w:rPr>
      </w:pPr>
      <w:r>
        <w:rPr>
          <w:rFonts w:hint="eastAsia"/>
          <w:color w:val="231F20"/>
        </w:rPr>
        <w:t>Acting in judgment, he will destroy the Antichrist and his followers, and then confine Satan to the abyss.</w:t>
      </w:r>
    </w:p>
    <w:p w14:paraId="5FF17D97">
      <w:pPr>
        <w:pStyle w:val="9"/>
        <w:spacing w:before="7"/>
        <w:ind w:left="0"/>
        <w:jc w:val="left"/>
        <w:rPr>
          <w:rFonts w:hint="eastAsia"/>
          <w:color w:val="231F20"/>
        </w:rPr>
      </w:pPr>
    </w:p>
    <w:p w14:paraId="4202328D">
      <w:pPr>
        <w:pStyle w:val="9"/>
        <w:spacing w:before="7"/>
        <w:ind w:left="0"/>
        <w:jc w:val="left"/>
        <w:rPr>
          <w:rFonts w:hint="eastAsia"/>
          <w:color w:val="231F20"/>
        </w:rPr>
      </w:pPr>
      <w:r>
        <w:rPr>
          <w:rFonts w:hint="eastAsia"/>
          <w:color w:val="231F20"/>
        </w:rPr>
        <w:t>祂在审判中行事，将毁灭敌基督和他的跟随者，然后将撒但关在无底坑里。</w:t>
      </w:r>
    </w:p>
    <w:p w14:paraId="1CE1ECCD">
      <w:pPr>
        <w:pStyle w:val="9"/>
        <w:spacing w:before="7"/>
        <w:ind w:left="0"/>
        <w:jc w:val="left"/>
        <w:rPr>
          <w:rFonts w:hint="eastAsia"/>
          <w:color w:val="231F20"/>
        </w:rPr>
      </w:pPr>
    </w:p>
    <w:p w14:paraId="0236EE36">
      <w:pPr>
        <w:pStyle w:val="9"/>
        <w:spacing w:before="7"/>
        <w:ind w:left="0"/>
        <w:jc w:val="left"/>
        <w:rPr>
          <w:rFonts w:hint="eastAsia"/>
          <w:color w:val="231F20"/>
        </w:rPr>
      </w:pPr>
      <w:r>
        <w:rPr>
          <w:rFonts w:hint="eastAsia"/>
          <w:color w:val="231F20"/>
        </w:rPr>
        <w:t>Acting in redemption, he will resurrect the saints of all time (or the martyrs alone), glorify living believers, partially lift the curse from the earth, and welcome believing Jews and the spared children of unbelievers into the Millennium.</w:t>
      </w:r>
    </w:p>
    <w:p w14:paraId="70BF7A53">
      <w:pPr>
        <w:pStyle w:val="9"/>
        <w:spacing w:before="7"/>
        <w:ind w:left="0"/>
        <w:jc w:val="left"/>
        <w:rPr>
          <w:rFonts w:hint="eastAsia"/>
          <w:color w:val="231F20"/>
        </w:rPr>
      </w:pPr>
    </w:p>
    <w:p w14:paraId="7A5853BA">
      <w:pPr>
        <w:pStyle w:val="9"/>
        <w:spacing w:before="7"/>
        <w:ind w:left="0"/>
        <w:jc w:val="left"/>
        <w:rPr>
          <w:rFonts w:hint="eastAsia"/>
          <w:color w:val="231F20"/>
        </w:rPr>
      </w:pPr>
      <w:r>
        <w:rPr>
          <w:rFonts w:hint="eastAsia"/>
          <w:color w:val="231F20"/>
        </w:rPr>
        <w:t>祂在救赎中行事，将复活历代以来的圣徒（或仅仅是殉道者），使活着的信徒得荣耀，部分地解除地上的咒诅，并欢迎相信的犹太人和非信徒中幸存的儿女进入千禧年。</w:t>
      </w:r>
    </w:p>
    <w:p w14:paraId="02D77AC5">
      <w:pPr>
        <w:pStyle w:val="9"/>
        <w:spacing w:before="7"/>
        <w:ind w:left="0"/>
        <w:jc w:val="left"/>
        <w:rPr>
          <w:rFonts w:hint="eastAsia"/>
          <w:color w:val="231F20"/>
        </w:rPr>
      </w:pPr>
    </w:p>
    <w:p w14:paraId="73E99CBC">
      <w:pPr>
        <w:pStyle w:val="9"/>
        <w:spacing w:before="7"/>
        <w:ind w:left="0"/>
        <w:jc w:val="left"/>
        <w:rPr>
          <w:rFonts w:hint="eastAsia"/>
          <w:color w:val="231F20"/>
        </w:rPr>
      </w:pPr>
      <w:r>
        <w:rPr>
          <w:rFonts w:hint="eastAsia"/>
          <w:color w:val="231F20"/>
        </w:rPr>
        <w:t>Then begins the theocratic stage of the Kingdom, when God’s eschatological David and his glorified Church reign over Israel and the nations.</w:t>
      </w:r>
    </w:p>
    <w:p w14:paraId="2C8AAEFA">
      <w:pPr>
        <w:pStyle w:val="9"/>
        <w:spacing w:before="7"/>
        <w:ind w:left="0"/>
        <w:jc w:val="left"/>
        <w:rPr>
          <w:rFonts w:hint="eastAsia"/>
          <w:color w:val="231F20"/>
        </w:rPr>
      </w:pPr>
    </w:p>
    <w:p w14:paraId="346307D2">
      <w:pPr>
        <w:pStyle w:val="9"/>
        <w:spacing w:before="7"/>
        <w:ind w:left="0"/>
        <w:jc w:val="left"/>
        <w:rPr>
          <w:rFonts w:hint="eastAsia"/>
          <w:color w:val="231F20"/>
        </w:rPr>
      </w:pPr>
      <w:r>
        <w:rPr>
          <w:rFonts w:hint="eastAsia"/>
          <w:color w:val="231F20"/>
        </w:rPr>
        <w:t>然后，国度的神权政体阶段开始，那时神末世论的大卫和祂得荣的教会将统治以色列和列国。</w:t>
      </w:r>
    </w:p>
    <w:p w14:paraId="64A95F20">
      <w:pPr>
        <w:pStyle w:val="9"/>
        <w:spacing w:before="7"/>
        <w:ind w:left="0"/>
        <w:jc w:val="left"/>
        <w:rPr>
          <w:rFonts w:hint="eastAsia"/>
          <w:color w:val="231F20"/>
        </w:rPr>
      </w:pPr>
    </w:p>
    <w:p w14:paraId="76D033E9">
      <w:pPr>
        <w:pStyle w:val="9"/>
        <w:spacing w:before="7"/>
        <w:ind w:left="0"/>
        <w:jc w:val="left"/>
        <w:rPr>
          <w:rFonts w:hint="eastAsia"/>
          <w:color w:val="231F20"/>
        </w:rPr>
      </w:pPr>
      <w:r>
        <w:rPr>
          <w:rFonts w:hint="eastAsia"/>
          <w:color w:val="231F20"/>
        </w:rPr>
        <w:t>His kingship emanates from earthly Jerusalem, where (according to some) a glorious new temple is situated, commemorative animal sacrifices are offered, and the ancient Mosaic feasts are observed.</w:t>
      </w:r>
    </w:p>
    <w:p w14:paraId="0CEADC1D">
      <w:pPr>
        <w:pStyle w:val="9"/>
        <w:spacing w:before="7"/>
        <w:ind w:left="0"/>
        <w:jc w:val="left"/>
        <w:rPr>
          <w:rFonts w:hint="eastAsia"/>
          <w:color w:val="231F20"/>
        </w:rPr>
      </w:pPr>
    </w:p>
    <w:p w14:paraId="21F50576">
      <w:pPr>
        <w:pStyle w:val="9"/>
        <w:spacing w:before="7"/>
        <w:ind w:left="0"/>
        <w:jc w:val="left"/>
        <w:rPr>
          <w:rFonts w:hint="eastAsia"/>
          <w:color w:val="231F20"/>
        </w:rPr>
      </w:pPr>
      <w:r>
        <w:rPr>
          <w:rFonts w:hint="eastAsia"/>
          <w:color w:val="231F20"/>
        </w:rPr>
        <w:t>祂的王权从属地的耶路撒冷发出，在那里（根据一些人的说法）坐落着一座荣耀的新殿，献上记念性的动物献祭，并遵守古老的摩西节期。</w:t>
      </w:r>
    </w:p>
    <w:p w14:paraId="13E13B2C">
      <w:pPr>
        <w:pStyle w:val="9"/>
        <w:spacing w:before="7"/>
        <w:ind w:left="0"/>
        <w:jc w:val="left"/>
        <w:rPr>
          <w:rFonts w:hint="eastAsia"/>
          <w:color w:val="231F20"/>
        </w:rPr>
      </w:pPr>
    </w:p>
    <w:p w14:paraId="0E7AF0CA">
      <w:pPr>
        <w:pStyle w:val="9"/>
        <w:spacing w:before="7"/>
        <w:ind w:left="0"/>
        <w:jc w:val="left"/>
        <w:rPr>
          <w:rFonts w:hint="eastAsia"/>
          <w:color w:val="231F20"/>
        </w:rPr>
      </w:pPr>
      <w:r>
        <w:rPr>
          <w:rFonts w:hint="eastAsia"/>
          <w:color w:val="231F20"/>
        </w:rPr>
        <w:t>Though it is indeed a season of universal peace, the Millennium ends, mysteriously enough, with war: Released from the abyss, Satan uses his deceptive powers to incite a global rebellion against Christ and the millennial saints.</w:t>
      </w:r>
    </w:p>
    <w:p w14:paraId="4DF57AE6">
      <w:pPr>
        <w:pStyle w:val="9"/>
        <w:spacing w:before="7"/>
        <w:ind w:left="0"/>
        <w:jc w:val="left"/>
        <w:rPr>
          <w:rFonts w:hint="eastAsia"/>
          <w:color w:val="231F20"/>
        </w:rPr>
      </w:pPr>
    </w:p>
    <w:p w14:paraId="7BB685A8">
      <w:pPr>
        <w:pStyle w:val="9"/>
        <w:spacing w:before="7"/>
        <w:ind w:left="0"/>
        <w:jc w:val="left"/>
        <w:rPr>
          <w:rFonts w:hint="eastAsia"/>
          <w:color w:val="231F20"/>
        </w:rPr>
      </w:pPr>
      <w:r>
        <w:rPr>
          <w:rFonts w:hint="eastAsia"/>
          <w:color w:val="231F20"/>
        </w:rPr>
        <w:t>尽管这确实是一个普世和平的时期，千禧年却神秘地以战争告终：撒但从无底坑中被释放，用他欺骗的能力煽动一场反对基督和千禧年圣徒的全球性叛乱。</w:t>
      </w:r>
    </w:p>
    <w:p w14:paraId="09634046">
      <w:pPr>
        <w:pStyle w:val="9"/>
        <w:spacing w:before="7"/>
        <w:ind w:left="0"/>
        <w:jc w:val="left"/>
        <w:rPr>
          <w:rFonts w:hint="eastAsia"/>
          <w:color w:val="231F20"/>
        </w:rPr>
      </w:pPr>
    </w:p>
    <w:p w14:paraId="1AAE2166">
      <w:pPr>
        <w:pStyle w:val="9"/>
        <w:spacing w:before="7"/>
        <w:ind w:left="0"/>
        <w:jc w:val="left"/>
        <w:rPr>
          <w:rFonts w:hint="eastAsia"/>
          <w:color w:val="231F20"/>
        </w:rPr>
      </w:pPr>
      <w:r>
        <w:rPr>
          <w:rFonts w:hint="eastAsia"/>
          <w:color w:val="231F20"/>
        </w:rPr>
        <w:t>But God immediately steps in so that fire falls from heaven, the rebels are consumed, and Satan is cast into the Lake of Fire.</w:t>
      </w:r>
    </w:p>
    <w:p w14:paraId="6D0E50EA">
      <w:pPr>
        <w:pStyle w:val="9"/>
        <w:spacing w:before="7"/>
        <w:ind w:left="0"/>
        <w:jc w:val="left"/>
        <w:rPr>
          <w:rFonts w:hint="eastAsia"/>
          <w:color w:val="231F20"/>
        </w:rPr>
      </w:pPr>
    </w:p>
    <w:p w14:paraId="3A8BBF1C">
      <w:pPr>
        <w:pStyle w:val="9"/>
        <w:spacing w:before="7"/>
        <w:ind w:left="0"/>
        <w:jc w:val="left"/>
        <w:rPr>
          <w:rFonts w:hint="eastAsia"/>
          <w:color w:val="231F20"/>
        </w:rPr>
      </w:pPr>
      <w:r>
        <w:rPr>
          <w:rFonts w:hint="eastAsia"/>
          <w:color w:val="231F20"/>
        </w:rPr>
        <w:t>但神立即介入，于是有火从天降下，叛乱者被吞噬，撒但被扔进火湖里。</w:t>
      </w:r>
    </w:p>
    <w:p w14:paraId="5F6982E2">
      <w:pPr>
        <w:pStyle w:val="9"/>
        <w:spacing w:before="7"/>
        <w:ind w:left="0"/>
        <w:jc w:val="left"/>
        <w:rPr>
          <w:rFonts w:hint="eastAsia"/>
          <w:color w:val="231F20"/>
        </w:rPr>
      </w:pPr>
    </w:p>
    <w:p w14:paraId="51B0FA64">
      <w:pPr>
        <w:pStyle w:val="9"/>
        <w:spacing w:before="7"/>
        <w:ind w:left="0"/>
        <w:jc w:val="left"/>
        <w:rPr>
          <w:rFonts w:hint="eastAsia"/>
          <w:color w:val="231F20"/>
        </w:rPr>
      </w:pPr>
      <w:r>
        <w:rPr>
          <w:rFonts w:hint="eastAsia"/>
          <w:color w:val="231F20"/>
        </w:rPr>
        <w:t>This brings on the (final) Consummation, wherein God raises the wicked dead (and, according to some, the millennial saints), judges the world in righteousness, destroys the present cosmos by fire, and creates new heavens and a new earth.</w:t>
      </w:r>
    </w:p>
    <w:p w14:paraId="3DA4F756">
      <w:pPr>
        <w:pStyle w:val="9"/>
        <w:spacing w:before="7"/>
        <w:ind w:left="0"/>
        <w:jc w:val="left"/>
        <w:rPr>
          <w:rFonts w:hint="eastAsia"/>
          <w:color w:val="231F20"/>
        </w:rPr>
      </w:pPr>
    </w:p>
    <w:p w14:paraId="36DA78D6">
      <w:pPr>
        <w:pStyle w:val="9"/>
        <w:spacing w:before="7"/>
        <w:ind w:left="0"/>
        <w:jc w:val="left"/>
        <w:rPr>
          <w:rFonts w:hint="eastAsia"/>
          <w:color w:val="231F20"/>
        </w:rPr>
      </w:pPr>
      <w:r>
        <w:rPr>
          <w:rFonts w:hint="eastAsia"/>
          <w:color w:val="231F20"/>
        </w:rPr>
        <w:t>这便带来了（最终的）成全，在其中神叫邪恶的死人复活（根据一些人的说法，也叫千禧年的圣徒复活），按公义审判世界，用火毁灭现有的宇宙，并创造新天新地。</w:t>
      </w:r>
    </w:p>
    <w:p w14:paraId="798577C4">
      <w:pPr>
        <w:pStyle w:val="9"/>
        <w:spacing w:before="7"/>
        <w:ind w:left="0"/>
        <w:jc w:val="left"/>
        <w:rPr>
          <w:rFonts w:hint="eastAsia"/>
          <w:color w:val="231F20"/>
        </w:rPr>
      </w:pPr>
    </w:p>
    <w:p w14:paraId="009123A7">
      <w:pPr>
        <w:pStyle w:val="9"/>
        <w:spacing w:before="7"/>
        <w:ind w:left="0"/>
        <w:jc w:val="left"/>
        <w:rPr>
          <w:rFonts w:hint="eastAsia"/>
          <w:color w:val="231F20"/>
        </w:rPr>
      </w:pPr>
      <w:r>
        <w:rPr>
          <w:rFonts w:hint="eastAsia"/>
          <w:color w:val="231F20"/>
        </w:rPr>
        <w:t>Thus begins the third stage of the Kingdom, in which Jew and Gentile forever dwell together with God as a single glorified Church in the World to Come.</w:t>
      </w:r>
    </w:p>
    <w:p w14:paraId="0B254EE1">
      <w:pPr>
        <w:pStyle w:val="9"/>
        <w:spacing w:before="7"/>
        <w:ind w:left="0"/>
        <w:jc w:val="left"/>
        <w:rPr>
          <w:rFonts w:hint="eastAsia"/>
          <w:color w:val="231F20"/>
        </w:rPr>
      </w:pPr>
    </w:p>
    <w:p w14:paraId="5C4DA8A8">
      <w:pPr>
        <w:pStyle w:val="9"/>
        <w:spacing w:before="7"/>
        <w:ind w:left="0"/>
        <w:jc w:val="left"/>
        <w:rPr>
          <w:rFonts w:hint="eastAsia"/>
          <w:color w:val="231F20"/>
        </w:rPr>
      </w:pPr>
      <w:r>
        <w:rPr>
          <w:rFonts w:hint="eastAsia"/>
          <w:color w:val="231F20"/>
        </w:rPr>
        <w:t>于是国度的第三阶段开始了，在其中犹太人和外邦人作为在要来世界里一个单一得荣的教会，永远与神同住。</w:t>
      </w:r>
    </w:p>
    <w:p w14:paraId="522C0036">
      <w:pPr>
        <w:pStyle w:val="9"/>
        <w:spacing w:before="7"/>
        <w:ind w:left="0"/>
        <w:jc w:val="left"/>
        <w:rPr>
          <w:rFonts w:hint="eastAsia"/>
          <w:color w:val="231F20"/>
        </w:rPr>
      </w:pPr>
    </w:p>
    <w:p w14:paraId="649E4B7A">
      <w:pPr>
        <w:pStyle w:val="9"/>
        <w:spacing w:before="7"/>
        <w:ind w:left="0"/>
        <w:jc w:val="left"/>
        <w:rPr>
          <w:rFonts w:hint="eastAsia"/>
          <w:color w:val="231F20"/>
        </w:rPr>
      </w:pPr>
      <w:r>
        <w:rPr>
          <w:rFonts w:hint="eastAsia"/>
          <w:color w:val="231F20"/>
        </w:rPr>
        <w:t>Shorn of its emphasis upon ethnic Israel and a future theocratic kingdom in Palestine, this is how most NC premillennarians view the course of Salvation History.</w:t>
      </w:r>
    </w:p>
    <w:p w14:paraId="59228BC8">
      <w:pPr>
        <w:pStyle w:val="9"/>
        <w:spacing w:before="7"/>
        <w:ind w:left="0"/>
        <w:jc w:val="left"/>
        <w:rPr>
          <w:rFonts w:hint="eastAsia"/>
          <w:color w:val="231F20"/>
        </w:rPr>
      </w:pPr>
    </w:p>
    <w:p w14:paraId="660BBFC0">
      <w:pPr>
        <w:pStyle w:val="9"/>
        <w:spacing w:before="7"/>
        <w:ind w:left="0"/>
        <w:jc w:val="left"/>
        <w:rPr>
          <w:rFonts w:hint="eastAsia"/>
          <w:color w:val="231F20"/>
        </w:rPr>
      </w:pPr>
      <w:r>
        <w:rPr>
          <w:rFonts w:hint="eastAsia"/>
          <w:color w:val="231F20"/>
        </w:rPr>
        <w:t>除去其对民族以色列和未来在巴勒斯坦的神权政体国度的强调，这便是大多数新约前千禧年论者看待救赎历史进程的方式。</w:t>
      </w:r>
    </w:p>
    <w:p w14:paraId="6C20E7FB">
      <w:pPr>
        <w:pStyle w:val="9"/>
        <w:spacing w:before="7"/>
        <w:ind w:left="0"/>
        <w:jc w:val="left"/>
        <w:rPr>
          <w:rFonts w:hint="eastAsia"/>
          <w:color w:val="231F20"/>
        </w:rPr>
      </w:pPr>
    </w:p>
    <w:p w14:paraId="7E5FDAA7">
      <w:pPr>
        <w:pStyle w:val="9"/>
        <w:spacing w:before="7"/>
        <w:ind w:left="0"/>
        <w:jc w:val="left"/>
        <w:rPr>
          <w:rFonts w:hint="eastAsia"/>
          <w:color w:val="231F20"/>
        </w:rPr>
      </w:pPr>
      <w:r>
        <w:rPr>
          <w:rFonts w:hint="eastAsia"/>
          <w:color w:val="231F20"/>
        </w:rPr>
        <w:t>Observe from our Timeline that by opting for a future Millennium both forms of HP require two each of the great eschatological events, whether last battles, comings of Christ, resurrections, judgments, or cosmic transformations.</w:t>
      </w:r>
    </w:p>
    <w:p w14:paraId="6BC739B3">
      <w:pPr>
        <w:pStyle w:val="9"/>
        <w:spacing w:before="7"/>
        <w:ind w:left="0"/>
        <w:jc w:val="left"/>
        <w:rPr>
          <w:rFonts w:hint="eastAsia"/>
          <w:color w:val="231F20"/>
        </w:rPr>
      </w:pPr>
    </w:p>
    <w:p w14:paraId="4AD0FAFA">
      <w:pPr>
        <w:pStyle w:val="9"/>
        <w:spacing w:before="7"/>
        <w:ind w:left="0"/>
        <w:jc w:val="left"/>
        <w:rPr>
          <w:rFonts w:hint="eastAsia"/>
          <w:color w:val="231F20"/>
        </w:rPr>
      </w:pPr>
      <w:r>
        <w:rPr>
          <w:rFonts w:hint="eastAsia"/>
          <w:color w:val="231F20"/>
        </w:rPr>
        <w:t>从我们的时间线上观察，通过选择一个未来的千禧年，两种形式的历史前千禧年论都要求伟大的末世论事件各发生两次，无论是末后的争战、基督的降临、复活、审判，还是宇宙的改变。</w:t>
      </w:r>
    </w:p>
    <w:p w14:paraId="1F34088D">
      <w:pPr>
        <w:pStyle w:val="9"/>
        <w:spacing w:before="7"/>
        <w:ind w:left="0"/>
        <w:jc w:val="left"/>
        <w:rPr>
          <w:rFonts w:hint="eastAsia"/>
          <w:color w:val="231F20"/>
        </w:rPr>
      </w:pPr>
    </w:p>
    <w:p w14:paraId="552C097A">
      <w:pPr>
        <w:pStyle w:val="9"/>
        <w:spacing w:before="7"/>
        <w:ind w:left="0"/>
        <w:jc w:val="left"/>
        <w:rPr>
          <w:rFonts w:hint="eastAsia"/>
          <w:color w:val="231F20"/>
        </w:rPr>
      </w:pPr>
      <w:r>
        <w:rPr>
          <w:rFonts w:hint="eastAsia"/>
          <w:color w:val="231F20"/>
        </w:rPr>
        <w:t>In the pages ahead we will inquire as to whether the NT actually confirms this complex version of the Consummation, and, indeed, the entire HP scenario.1</w:t>
      </w:r>
    </w:p>
    <w:p w14:paraId="5B95B7D3">
      <w:pPr>
        <w:pStyle w:val="9"/>
        <w:spacing w:before="7"/>
        <w:ind w:left="0"/>
        <w:jc w:val="left"/>
        <w:rPr>
          <w:rFonts w:hint="eastAsia"/>
          <w:color w:val="231F20"/>
        </w:rPr>
      </w:pPr>
    </w:p>
    <w:p w14:paraId="6A0114F8">
      <w:pPr>
        <w:pStyle w:val="9"/>
        <w:spacing w:before="7"/>
        <w:ind w:left="0"/>
        <w:jc w:val="left"/>
        <w:rPr>
          <w:rFonts w:hint="eastAsia"/>
          <w:color w:val="231F20"/>
        </w:rPr>
      </w:pPr>
      <w:r>
        <w:rPr>
          <w:rFonts w:hint="eastAsia"/>
          <w:color w:val="231F20"/>
        </w:rPr>
        <w:t>在接下来的篇幅中，我们将探究新约是否真的证实了这个复杂的最终成全版本，以及，确实地，整个历史前千禧年论的设想。1</w:t>
      </w:r>
    </w:p>
    <w:p w14:paraId="1C7CF54A">
      <w:pPr>
        <w:pStyle w:val="9"/>
        <w:spacing w:before="7"/>
        <w:ind w:left="0"/>
        <w:jc w:val="left"/>
        <w:rPr>
          <w:rFonts w:hint="eastAsia"/>
          <w:color w:val="231F20"/>
        </w:rPr>
      </w:pPr>
    </w:p>
    <w:p w14:paraId="0F6CD4AE">
      <w:pPr>
        <w:pStyle w:val="9"/>
        <w:spacing w:before="7"/>
        <w:ind w:left="0"/>
        <w:jc w:val="left"/>
        <w:rPr>
          <w:rFonts w:hint="eastAsia"/>
          <w:color w:val="231F20"/>
        </w:rPr>
      </w:pPr>
      <w:r>
        <w:rPr>
          <w:rFonts w:hint="eastAsia"/>
          <w:color w:val="231F20"/>
        </w:rPr>
        <w:t>3.Postmillennialism</w:t>
      </w:r>
    </w:p>
    <w:p w14:paraId="2946AAF9">
      <w:pPr>
        <w:pStyle w:val="9"/>
        <w:spacing w:before="7"/>
        <w:ind w:left="0"/>
        <w:jc w:val="left"/>
        <w:rPr>
          <w:rFonts w:hint="eastAsia"/>
          <w:color w:val="231F20"/>
        </w:rPr>
      </w:pPr>
    </w:p>
    <w:p w14:paraId="22473A08">
      <w:pPr>
        <w:pStyle w:val="9"/>
        <w:spacing w:before="7"/>
        <w:ind w:left="0"/>
        <w:jc w:val="left"/>
        <w:rPr>
          <w:b/>
          <w:sz w:val="8"/>
        </w:rPr>
      </w:pPr>
      <w:r>
        <w:rPr>
          <w:rFonts w:hint="eastAsia"/>
          <w:color w:val="231F20"/>
        </w:rPr>
        <w:t>3.后千禧年论</w:t>
      </w:r>
      <w:r>
        <w:rPr>
          <w:b/>
          <w:sz w:val="8"/>
        </w:rPr>
        <w:drawing>
          <wp:anchor distT="0" distB="0" distL="0" distR="0" simplePos="0" relativeHeight="251662336" behindDoc="1" locked="0" layoutInCell="1" allowOverlap="1">
            <wp:simplePos x="0" y="0"/>
            <wp:positionH relativeFrom="page">
              <wp:posOffset>2352040</wp:posOffset>
            </wp:positionH>
            <wp:positionV relativeFrom="paragraph">
              <wp:posOffset>78105</wp:posOffset>
            </wp:positionV>
            <wp:extent cx="3082925" cy="1631950"/>
            <wp:effectExtent l="0" t="0" r="0" b="0"/>
            <wp:wrapTopAndBottom/>
            <wp:docPr id="52" name="Image 52"/>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15" cstate="print"/>
                    <a:stretch>
                      <a:fillRect/>
                    </a:stretch>
                  </pic:blipFill>
                  <pic:spPr>
                    <a:xfrm>
                      <a:off x="0" y="0"/>
                      <a:ext cx="3083052" cy="1632204"/>
                    </a:xfrm>
                    <a:prstGeom prst="rect">
                      <a:avLst/>
                    </a:prstGeom>
                  </pic:spPr>
                </pic:pic>
              </a:graphicData>
            </a:graphic>
          </wp:anchor>
        </w:drawing>
      </w:r>
    </w:p>
    <w:p w14:paraId="3D655992">
      <w:pPr>
        <w:pStyle w:val="9"/>
        <w:spacing w:before="55"/>
        <w:ind w:left="0"/>
        <w:jc w:val="left"/>
        <w:rPr>
          <w:b/>
          <w:sz w:val="33"/>
        </w:rPr>
      </w:pPr>
    </w:p>
    <w:p w14:paraId="50F34478">
      <w:pPr>
        <w:pStyle w:val="9"/>
        <w:spacing w:before="7"/>
        <w:ind w:left="0"/>
        <w:jc w:val="left"/>
        <w:rPr>
          <w:rFonts w:hint="eastAsia"/>
          <w:color w:val="231F20"/>
        </w:rPr>
      </w:pPr>
      <w:r>
        <w:rPr>
          <w:rFonts w:hint="eastAsia"/>
          <w:color w:val="231F20"/>
        </w:rPr>
        <w:t>Postmillennialism is a species of amillennialism.</w:t>
      </w:r>
    </w:p>
    <w:p w14:paraId="3B85DC8F">
      <w:pPr>
        <w:pStyle w:val="9"/>
        <w:spacing w:before="7"/>
        <w:ind w:left="0"/>
        <w:jc w:val="left"/>
        <w:rPr>
          <w:rFonts w:hint="eastAsia"/>
          <w:color w:val="231F20"/>
        </w:rPr>
      </w:pPr>
    </w:p>
    <w:p w14:paraId="5B31F402">
      <w:pPr>
        <w:pStyle w:val="9"/>
        <w:spacing w:before="7"/>
        <w:ind w:left="0"/>
        <w:jc w:val="left"/>
        <w:rPr>
          <w:rFonts w:hint="eastAsia"/>
          <w:color w:val="231F20"/>
        </w:rPr>
      </w:pPr>
      <w:r>
        <w:rPr>
          <w:rFonts w:hint="eastAsia"/>
          <w:color w:val="231F20"/>
        </w:rPr>
        <w:t>后千禧年论是无千禧年论的一个分支。</w:t>
      </w:r>
    </w:p>
    <w:p w14:paraId="5FF7D09C">
      <w:pPr>
        <w:pStyle w:val="9"/>
        <w:spacing w:before="7"/>
        <w:ind w:left="0"/>
        <w:jc w:val="left"/>
        <w:rPr>
          <w:rFonts w:hint="eastAsia"/>
          <w:color w:val="231F20"/>
        </w:rPr>
      </w:pPr>
    </w:p>
    <w:p w14:paraId="3E022B21">
      <w:pPr>
        <w:pStyle w:val="9"/>
        <w:spacing w:before="7"/>
        <w:ind w:left="0"/>
        <w:jc w:val="left"/>
        <w:rPr>
          <w:rFonts w:hint="eastAsia"/>
          <w:color w:val="231F20"/>
        </w:rPr>
      </w:pPr>
      <w:r>
        <w:rPr>
          <w:rFonts w:hint="eastAsia"/>
          <w:color w:val="231F20"/>
        </w:rPr>
        <w:t>Like amillennialism, it teaches that Christ will come again once after the Millennium.</w:t>
      </w:r>
    </w:p>
    <w:p w14:paraId="1C33C301">
      <w:pPr>
        <w:pStyle w:val="9"/>
        <w:spacing w:before="7"/>
        <w:ind w:left="0"/>
        <w:jc w:val="left"/>
        <w:rPr>
          <w:rFonts w:hint="eastAsia"/>
          <w:color w:val="231F20"/>
        </w:rPr>
      </w:pPr>
    </w:p>
    <w:p w14:paraId="36B9F15D">
      <w:pPr>
        <w:pStyle w:val="9"/>
        <w:spacing w:before="7"/>
        <w:ind w:left="0"/>
        <w:jc w:val="left"/>
        <w:rPr>
          <w:rFonts w:hint="eastAsia"/>
          <w:color w:val="231F20"/>
        </w:rPr>
      </w:pPr>
      <w:r>
        <w:rPr>
          <w:rFonts w:hint="eastAsia"/>
          <w:color w:val="231F20"/>
        </w:rPr>
        <w:t>与无千禧年论一样，它教导说基督将在千禧年之后再来一次。</w:t>
      </w:r>
    </w:p>
    <w:p w14:paraId="3BEEFBD6">
      <w:pPr>
        <w:pStyle w:val="9"/>
        <w:spacing w:before="7"/>
        <w:ind w:left="0"/>
        <w:jc w:val="left"/>
        <w:rPr>
          <w:rFonts w:hint="eastAsia"/>
          <w:color w:val="231F20"/>
        </w:rPr>
      </w:pPr>
    </w:p>
    <w:p w14:paraId="53573E39">
      <w:pPr>
        <w:pStyle w:val="9"/>
        <w:spacing w:before="7"/>
        <w:ind w:left="0"/>
        <w:jc w:val="left"/>
        <w:rPr>
          <w:rFonts w:hint="eastAsia"/>
          <w:color w:val="231F20"/>
        </w:rPr>
      </w:pPr>
      <w:r>
        <w:rPr>
          <w:rFonts w:hint="eastAsia"/>
          <w:color w:val="231F20"/>
        </w:rPr>
        <w:t>However, unlike amillennialism, it is highly optimistic about the progress of the Gospel during the Era of Proclamation.</w:t>
      </w:r>
    </w:p>
    <w:p w14:paraId="02E3C3C6">
      <w:pPr>
        <w:pStyle w:val="9"/>
        <w:spacing w:before="7"/>
        <w:ind w:left="0"/>
        <w:jc w:val="left"/>
        <w:rPr>
          <w:rFonts w:hint="eastAsia"/>
          <w:color w:val="231F20"/>
        </w:rPr>
      </w:pPr>
    </w:p>
    <w:p w14:paraId="144F5E29">
      <w:pPr>
        <w:pStyle w:val="9"/>
        <w:spacing w:before="7"/>
        <w:ind w:left="0"/>
        <w:jc w:val="left"/>
        <w:rPr>
          <w:rFonts w:hint="eastAsia"/>
          <w:color w:val="231F20"/>
        </w:rPr>
      </w:pPr>
      <w:r>
        <w:rPr>
          <w:rFonts w:hint="eastAsia"/>
          <w:color w:val="231F20"/>
        </w:rPr>
        <w:t>然而，与无千禧年论不同的是，它对福音在宣讲时代期间的进展高度乐观。</w:t>
      </w:r>
    </w:p>
    <w:p w14:paraId="62FD2CA1">
      <w:pPr>
        <w:pStyle w:val="9"/>
        <w:spacing w:before="7"/>
        <w:ind w:left="0"/>
        <w:jc w:val="left"/>
        <w:rPr>
          <w:rFonts w:hint="eastAsia"/>
          <w:color w:val="231F20"/>
        </w:rPr>
      </w:pPr>
    </w:p>
    <w:p w14:paraId="03451E94">
      <w:pPr>
        <w:pStyle w:val="9"/>
        <w:spacing w:before="7"/>
        <w:ind w:left="0"/>
        <w:jc w:val="left"/>
        <w:rPr>
          <w:rFonts w:hint="eastAsia"/>
          <w:color w:val="231F20"/>
        </w:rPr>
      </w:pPr>
      <w:r>
        <w:rPr>
          <w:rFonts w:hint="eastAsia"/>
          <w:color w:val="231F20"/>
        </w:rPr>
        <w:t>The seeds of this persuasion were planted by Augustine himself, who felt quite confident about the redemptive power and future growth of the City of God (i.e., the Church).</w:t>
      </w:r>
    </w:p>
    <w:p w14:paraId="5C762172">
      <w:pPr>
        <w:pStyle w:val="9"/>
        <w:spacing w:before="7"/>
        <w:ind w:left="0"/>
        <w:jc w:val="left"/>
        <w:rPr>
          <w:rFonts w:hint="eastAsia"/>
          <w:color w:val="231F20"/>
        </w:rPr>
      </w:pPr>
    </w:p>
    <w:p w14:paraId="07597BCA">
      <w:pPr>
        <w:pStyle w:val="9"/>
        <w:spacing w:before="7"/>
        <w:ind w:left="0"/>
        <w:jc w:val="left"/>
        <w:rPr>
          <w:rFonts w:hint="eastAsia"/>
          <w:color w:val="231F20"/>
        </w:rPr>
      </w:pPr>
      <w:r>
        <w:rPr>
          <w:rFonts w:hint="eastAsia"/>
          <w:color w:val="231F20"/>
        </w:rPr>
        <w:t>这种信念的种子是由奥古斯丁亲自种下的，他对上帝之城（即教会）的救赎能力和未来增长相当有信心。</w:t>
      </w:r>
    </w:p>
    <w:p w14:paraId="65B25B6B">
      <w:pPr>
        <w:pStyle w:val="9"/>
        <w:spacing w:before="7"/>
        <w:ind w:left="0"/>
        <w:jc w:val="left"/>
        <w:rPr>
          <w:rFonts w:hint="eastAsia"/>
          <w:color w:val="231F20"/>
        </w:rPr>
      </w:pPr>
    </w:p>
    <w:p w14:paraId="7F4E5183">
      <w:pPr>
        <w:pStyle w:val="9"/>
        <w:spacing w:before="7"/>
        <w:ind w:left="0"/>
        <w:jc w:val="left"/>
        <w:rPr>
          <w:rFonts w:hint="eastAsia"/>
          <w:color w:val="231F20"/>
        </w:rPr>
      </w:pPr>
      <w:r>
        <w:rPr>
          <w:rFonts w:hint="eastAsia"/>
          <w:color w:val="231F20"/>
        </w:rPr>
        <w:t>In Reformation times certain Dutch theologians refined his view, asserting that the thousand years of Revelation 20 symbolize a later portion of the Church Era, during which time the world will be more or less completely Christianized, and the Jews converted and returned to their ancient homeland.</w:t>
      </w:r>
    </w:p>
    <w:p w14:paraId="1DC5DD0B">
      <w:pPr>
        <w:pStyle w:val="9"/>
        <w:spacing w:before="7"/>
        <w:ind w:left="0"/>
        <w:jc w:val="left"/>
        <w:rPr>
          <w:rFonts w:hint="eastAsia"/>
          <w:color w:val="231F20"/>
        </w:rPr>
      </w:pPr>
    </w:p>
    <w:p w14:paraId="62801429">
      <w:pPr>
        <w:pStyle w:val="9"/>
        <w:spacing w:before="7"/>
        <w:ind w:left="0"/>
        <w:jc w:val="left"/>
        <w:rPr>
          <w:rFonts w:hint="eastAsia"/>
          <w:color w:val="231F20"/>
        </w:rPr>
      </w:pPr>
      <w:r>
        <w:rPr>
          <w:rFonts w:hint="eastAsia"/>
          <w:color w:val="231F20"/>
        </w:rPr>
        <w:t>在宗教改革时期，某些荷兰神学家完善了他的观点，主张启示录20章的一千年象征着教会时代的后期部分，在此期间世界将或多或少地完全基督化，并且犹太人将归信并返回他们的古老家园。</w:t>
      </w:r>
    </w:p>
    <w:p w14:paraId="24584459">
      <w:pPr>
        <w:pStyle w:val="9"/>
        <w:spacing w:before="7"/>
        <w:ind w:left="0"/>
        <w:jc w:val="left"/>
        <w:rPr>
          <w:rFonts w:hint="eastAsia"/>
          <w:color w:val="231F20"/>
        </w:rPr>
      </w:pPr>
    </w:p>
    <w:p w14:paraId="1CD59C81">
      <w:pPr>
        <w:pStyle w:val="9"/>
        <w:spacing w:before="7"/>
        <w:ind w:left="0"/>
        <w:jc w:val="left"/>
        <w:rPr>
          <w:rFonts w:hint="eastAsia"/>
          <w:color w:val="231F20"/>
        </w:rPr>
      </w:pPr>
      <w:r>
        <w:rPr>
          <w:rFonts w:hint="eastAsia"/>
          <w:color w:val="231F20"/>
        </w:rPr>
        <w:t>Though hardly the majority report of the Church, postmillennialism has had some astute defenders.</w:t>
      </w:r>
    </w:p>
    <w:p w14:paraId="0170DDFB">
      <w:pPr>
        <w:pStyle w:val="9"/>
        <w:spacing w:before="7"/>
        <w:ind w:left="0"/>
        <w:jc w:val="left"/>
        <w:rPr>
          <w:rFonts w:hint="eastAsia"/>
          <w:color w:val="231F20"/>
        </w:rPr>
      </w:pPr>
    </w:p>
    <w:p w14:paraId="30C5CA12">
      <w:pPr>
        <w:pStyle w:val="9"/>
        <w:spacing w:before="7"/>
        <w:ind w:left="0"/>
        <w:jc w:val="left"/>
        <w:rPr>
          <w:rFonts w:hint="eastAsia"/>
          <w:color w:val="231F20"/>
        </w:rPr>
      </w:pPr>
      <w:r>
        <w:rPr>
          <w:rFonts w:hint="eastAsia"/>
          <w:color w:val="231F20"/>
        </w:rPr>
        <w:t>尽管这很难说是教会的主流报告，后千禧年论却有一些精明的捍卫者。</w:t>
      </w:r>
    </w:p>
    <w:p w14:paraId="4CA09FA7">
      <w:pPr>
        <w:pStyle w:val="9"/>
        <w:spacing w:before="7"/>
        <w:ind w:left="0"/>
        <w:jc w:val="left"/>
        <w:rPr>
          <w:rFonts w:hint="eastAsia"/>
          <w:color w:val="231F20"/>
        </w:rPr>
      </w:pPr>
    </w:p>
    <w:p w14:paraId="348F932D">
      <w:pPr>
        <w:pStyle w:val="9"/>
        <w:spacing w:before="7"/>
        <w:ind w:left="0"/>
        <w:jc w:val="left"/>
        <w:rPr>
          <w:rFonts w:hint="eastAsia"/>
          <w:color w:val="231F20"/>
        </w:rPr>
      </w:pPr>
      <w:r>
        <w:rPr>
          <w:rFonts w:hint="eastAsia"/>
          <w:color w:val="231F20"/>
        </w:rPr>
        <w:t>In 17th century England it appeared in the Savoy Declaration, and in the writings of Daniel Whitby and John Owen.</w:t>
      </w:r>
    </w:p>
    <w:p w14:paraId="4EF892EF">
      <w:pPr>
        <w:pStyle w:val="9"/>
        <w:spacing w:before="7"/>
        <w:ind w:left="0"/>
        <w:jc w:val="left"/>
        <w:rPr>
          <w:rFonts w:hint="eastAsia"/>
          <w:color w:val="231F20"/>
        </w:rPr>
      </w:pPr>
    </w:p>
    <w:p w14:paraId="193AD8CF">
      <w:pPr>
        <w:pStyle w:val="9"/>
        <w:spacing w:before="7"/>
        <w:ind w:left="0"/>
        <w:jc w:val="left"/>
        <w:rPr>
          <w:rFonts w:hint="eastAsia"/>
          <w:color w:val="231F20"/>
        </w:rPr>
      </w:pPr>
      <w:r>
        <w:rPr>
          <w:rFonts w:hint="eastAsia"/>
          <w:color w:val="231F20"/>
        </w:rPr>
        <w:t>在17世纪的英格兰，它出现在《萨伏衣宣言》中，以及但以理·惠特比和约翰·欧文的著作中。</w:t>
      </w:r>
    </w:p>
    <w:p w14:paraId="1DE245B2">
      <w:pPr>
        <w:pStyle w:val="9"/>
        <w:spacing w:before="7"/>
        <w:ind w:left="0"/>
        <w:jc w:val="left"/>
        <w:rPr>
          <w:rFonts w:hint="eastAsia"/>
          <w:color w:val="231F20"/>
        </w:rPr>
      </w:pPr>
    </w:p>
    <w:p w14:paraId="18CEA0DF">
      <w:pPr>
        <w:pStyle w:val="9"/>
        <w:spacing w:before="7"/>
        <w:ind w:left="0"/>
        <w:jc w:val="left"/>
        <w:rPr>
          <w:rFonts w:hint="eastAsia"/>
          <w:color w:val="231F20"/>
        </w:rPr>
      </w:pPr>
      <w:r>
        <w:rPr>
          <w:rFonts w:hint="eastAsia"/>
          <w:color w:val="231F20"/>
        </w:rPr>
        <w:t>Many American Puritans, such as John Cotton and Jonathan Edwards, were postmillennarians.</w:t>
      </w:r>
    </w:p>
    <w:p w14:paraId="49CCF584">
      <w:pPr>
        <w:pStyle w:val="9"/>
        <w:spacing w:before="7"/>
        <w:ind w:left="0"/>
        <w:jc w:val="left"/>
        <w:rPr>
          <w:rFonts w:hint="eastAsia"/>
          <w:color w:val="231F20"/>
        </w:rPr>
      </w:pPr>
    </w:p>
    <w:p w14:paraId="7615C3B3">
      <w:pPr>
        <w:pStyle w:val="9"/>
        <w:spacing w:before="7"/>
        <w:ind w:left="0"/>
        <w:jc w:val="left"/>
        <w:rPr>
          <w:rFonts w:hint="eastAsia"/>
          <w:color w:val="231F20"/>
        </w:rPr>
      </w:pPr>
      <w:r>
        <w:rPr>
          <w:rFonts w:hint="eastAsia"/>
          <w:color w:val="231F20"/>
        </w:rPr>
        <w:t>许多美洲清教徒，例如约翰·科顿和乔纳单·爱德华兹，都是后千禧年论者。</w:t>
      </w:r>
    </w:p>
    <w:p w14:paraId="7D4E406B">
      <w:pPr>
        <w:pStyle w:val="9"/>
        <w:spacing w:before="7"/>
        <w:ind w:left="0"/>
        <w:jc w:val="left"/>
        <w:rPr>
          <w:rFonts w:hint="eastAsia"/>
          <w:color w:val="231F20"/>
        </w:rPr>
      </w:pPr>
    </w:p>
    <w:p w14:paraId="5BA07B37">
      <w:pPr>
        <w:pStyle w:val="9"/>
        <w:spacing w:before="7"/>
        <w:ind w:left="0"/>
        <w:jc w:val="left"/>
        <w:rPr>
          <w:rFonts w:hint="eastAsia"/>
          <w:color w:val="231F20"/>
        </w:rPr>
      </w:pPr>
      <w:r>
        <w:rPr>
          <w:rFonts w:hint="eastAsia"/>
          <w:color w:val="231F20"/>
        </w:rPr>
        <w:t>They believed that God was using the American experiment in a special way to advance his Kingdom in the earth.</w:t>
      </w:r>
    </w:p>
    <w:p w14:paraId="050C2231">
      <w:pPr>
        <w:pStyle w:val="9"/>
        <w:spacing w:before="7"/>
        <w:ind w:left="0"/>
        <w:jc w:val="left"/>
        <w:rPr>
          <w:rFonts w:hint="eastAsia"/>
          <w:color w:val="231F20"/>
        </w:rPr>
      </w:pPr>
    </w:p>
    <w:p w14:paraId="23225DF0">
      <w:pPr>
        <w:pStyle w:val="9"/>
        <w:spacing w:before="7"/>
        <w:ind w:left="0"/>
        <w:jc w:val="left"/>
        <w:rPr>
          <w:rFonts w:hint="eastAsia"/>
          <w:color w:val="231F20"/>
        </w:rPr>
      </w:pPr>
      <w:r>
        <w:rPr>
          <w:rFonts w:hint="eastAsia"/>
          <w:color w:val="231F20"/>
        </w:rPr>
        <w:t>他们相信，神正以一种特殊的方式使用美洲的实验，来在地上推进祂的国度。</w:t>
      </w:r>
    </w:p>
    <w:p w14:paraId="72772A5E">
      <w:pPr>
        <w:pStyle w:val="9"/>
        <w:spacing w:before="7"/>
        <w:ind w:left="0"/>
        <w:jc w:val="left"/>
        <w:rPr>
          <w:rFonts w:hint="eastAsia"/>
          <w:color w:val="231F20"/>
        </w:rPr>
      </w:pPr>
    </w:p>
    <w:p w14:paraId="58FD8D76">
      <w:pPr>
        <w:pStyle w:val="9"/>
        <w:spacing w:before="7"/>
        <w:ind w:left="0"/>
        <w:jc w:val="left"/>
        <w:rPr>
          <w:rFonts w:hint="eastAsia"/>
          <w:color w:val="231F20"/>
        </w:rPr>
      </w:pPr>
      <w:r>
        <w:rPr>
          <w:rFonts w:hint="eastAsia"/>
          <w:color w:val="231F20"/>
        </w:rPr>
        <w:t>Princeton theologians Charles Hodge and Benjamin Warfield were also postmillennarian, as was the Reformed Baptist, Augustus Strong.</w:t>
      </w:r>
    </w:p>
    <w:p w14:paraId="7B35FC0F">
      <w:pPr>
        <w:pStyle w:val="9"/>
        <w:spacing w:before="7"/>
        <w:ind w:left="0"/>
        <w:jc w:val="left"/>
        <w:rPr>
          <w:rFonts w:hint="eastAsia"/>
          <w:color w:val="231F20"/>
        </w:rPr>
      </w:pPr>
    </w:p>
    <w:p w14:paraId="7E9889E7">
      <w:pPr>
        <w:pStyle w:val="9"/>
        <w:spacing w:before="7"/>
        <w:ind w:left="0"/>
        <w:jc w:val="left"/>
        <w:rPr>
          <w:rFonts w:hint="eastAsia"/>
          <w:color w:val="231F20"/>
        </w:rPr>
      </w:pPr>
      <w:r>
        <w:rPr>
          <w:rFonts w:hint="eastAsia"/>
          <w:color w:val="231F20"/>
        </w:rPr>
        <w:t>普林斯顿神学家查尔斯·贺智和本杰明·华菲德也是后千禧年论者，改革宗浸信会的奥古斯都·斯特朗也是。</w:t>
      </w:r>
    </w:p>
    <w:p w14:paraId="01C2B280">
      <w:pPr>
        <w:pStyle w:val="9"/>
        <w:spacing w:before="7"/>
        <w:ind w:left="0"/>
        <w:jc w:val="left"/>
        <w:rPr>
          <w:rFonts w:hint="eastAsia"/>
          <w:color w:val="231F20"/>
        </w:rPr>
      </w:pPr>
    </w:p>
    <w:p w14:paraId="0806659F">
      <w:pPr>
        <w:pStyle w:val="9"/>
        <w:spacing w:before="7"/>
        <w:ind w:left="0"/>
        <w:jc w:val="left"/>
        <w:rPr>
          <w:rFonts w:hint="eastAsia"/>
          <w:color w:val="231F20"/>
        </w:rPr>
      </w:pPr>
      <w:r>
        <w:rPr>
          <w:rFonts w:hint="eastAsia"/>
          <w:color w:val="231F20"/>
        </w:rPr>
        <w:t>Their writings inclined not a few of their Reformed brethren to embrace this eschatological option.</w:t>
      </w:r>
    </w:p>
    <w:p w14:paraId="2F3B701D">
      <w:pPr>
        <w:pStyle w:val="9"/>
        <w:spacing w:before="7"/>
        <w:ind w:left="0"/>
        <w:jc w:val="left"/>
        <w:rPr>
          <w:rFonts w:hint="eastAsia"/>
          <w:color w:val="231F20"/>
        </w:rPr>
      </w:pPr>
    </w:p>
    <w:p w14:paraId="54774364">
      <w:pPr>
        <w:pStyle w:val="9"/>
        <w:spacing w:before="7"/>
        <w:ind w:left="0"/>
        <w:jc w:val="left"/>
        <w:rPr>
          <w:rFonts w:hint="eastAsia"/>
          <w:color w:val="231F20"/>
        </w:rPr>
      </w:pPr>
      <w:r>
        <w:rPr>
          <w:rFonts w:hint="eastAsia"/>
          <w:color w:val="231F20"/>
        </w:rPr>
        <w:t>他们的著作使不少改革宗的弟兄们倾向于接纳这一末世论选项。</w:t>
      </w:r>
    </w:p>
    <w:p w14:paraId="055F0F17">
      <w:pPr>
        <w:pStyle w:val="9"/>
        <w:spacing w:before="7"/>
        <w:ind w:left="0"/>
        <w:jc w:val="left"/>
        <w:rPr>
          <w:rFonts w:hint="eastAsia"/>
          <w:color w:val="231F20"/>
        </w:rPr>
      </w:pPr>
    </w:p>
    <w:p w14:paraId="7272AF35">
      <w:pPr>
        <w:pStyle w:val="9"/>
        <w:spacing w:before="7"/>
        <w:ind w:left="0"/>
        <w:jc w:val="left"/>
        <w:rPr>
          <w:rFonts w:hint="eastAsia"/>
          <w:color w:val="231F20"/>
        </w:rPr>
      </w:pPr>
      <w:r>
        <w:rPr>
          <w:rFonts w:hint="eastAsia"/>
          <w:color w:val="231F20"/>
        </w:rPr>
        <w:t>In our own day, Lorraine Boettner, John Jefferson Davis, Marcellus Kik, Keith Mathison, and Doug Wilson have served as the leading proponents of postmillennialism.</w:t>
      </w:r>
    </w:p>
    <w:p w14:paraId="667D7BAC">
      <w:pPr>
        <w:pStyle w:val="9"/>
        <w:spacing w:before="7"/>
        <w:ind w:left="0"/>
        <w:jc w:val="left"/>
        <w:rPr>
          <w:rFonts w:hint="eastAsia"/>
          <w:color w:val="231F20"/>
        </w:rPr>
      </w:pPr>
    </w:p>
    <w:p w14:paraId="7D17F784">
      <w:pPr>
        <w:pStyle w:val="9"/>
        <w:spacing w:before="7"/>
        <w:ind w:left="0"/>
        <w:jc w:val="left"/>
        <w:rPr>
          <w:rFonts w:hint="eastAsia"/>
          <w:color w:val="231F20"/>
        </w:rPr>
      </w:pPr>
      <w:r>
        <w:rPr>
          <w:rFonts w:hint="eastAsia"/>
          <w:color w:val="231F20"/>
        </w:rPr>
        <w:t>在我们这个时代，劳瑞恩·伯特纳、约翰·杰斐逊·戴维斯、马塞勒斯·柯克、基思·马西森和道格·威尔逊是后千禧年论的主要倡导者。</w:t>
      </w:r>
    </w:p>
    <w:p w14:paraId="791DEE40">
      <w:pPr>
        <w:pStyle w:val="9"/>
        <w:spacing w:before="7"/>
        <w:ind w:left="0"/>
        <w:jc w:val="left"/>
        <w:rPr>
          <w:rFonts w:hint="eastAsia"/>
          <w:color w:val="231F20"/>
        </w:rPr>
      </w:pPr>
    </w:p>
    <w:p w14:paraId="58CD8A92">
      <w:pPr>
        <w:pStyle w:val="9"/>
        <w:spacing w:before="7"/>
        <w:ind w:left="0"/>
        <w:jc w:val="left"/>
        <w:rPr>
          <w:rFonts w:hint="eastAsia"/>
          <w:color w:val="231F20"/>
        </w:rPr>
      </w:pPr>
      <w:r>
        <w:rPr>
          <w:rFonts w:hint="eastAsia"/>
          <w:color w:val="231F20"/>
        </w:rPr>
        <w:t>The disciples of Rousas Rushdoony—the founder of a theological school called Christian Reconstructionism—are also postmillennial.</w:t>
      </w:r>
    </w:p>
    <w:p w14:paraId="2A58F691">
      <w:pPr>
        <w:pStyle w:val="9"/>
        <w:spacing w:before="7"/>
        <w:ind w:left="0"/>
        <w:jc w:val="left"/>
        <w:rPr>
          <w:rFonts w:hint="eastAsia"/>
          <w:color w:val="231F20"/>
        </w:rPr>
      </w:pPr>
    </w:p>
    <w:p w14:paraId="7111C00D">
      <w:pPr>
        <w:pStyle w:val="9"/>
        <w:spacing w:before="7"/>
        <w:ind w:left="0"/>
        <w:jc w:val="left"/>
        <w:rPr>
          <w:rFonts w:hint="eastAsia"/>
          <w:color w:val="231F20"/>
        </w:rPr>
      </w:pPr>
      <w:r>
        <w:rPr>
          <w:rFonts w:hint="eastAsia"/>
          <w:color w:val="231F20"/>
        </w:rPr>
        <w:t>鲁瑟斯·拉什杜尼——一个名为基督教重建主义的神学流派的创始人——的门徒们也是后千禧年论者。</w:t>
      </w:r>
    </w:p>
    <w:p w14:paraId="5DE29BFA">
      <w:pPr>
        <w:pStyle w:val="9"/>
        <w:spacing w:before="7"/>
        <w:ind w:left="0"/>
        <w:jc w:val="left"/>
        <w:rPr>
          <w:rFonts w:hint="eastAsia"/>
          <w:color w:val="231F20"/>
        </w:rPr>
      </w:pPr>
    </w:p>
    <w:p w14:paraId="5CFCA31A">
      <w:pPr>
        <w:pStyle w:val="9"/>
        <w:spacing w:before="7"/>
        <w:ind w:left="0"/>
        <w:jc w:val="left"/>
        <w:rPr>
          <w:rFonts w:hint="eastAsia"/>
          <w:color w:val="231F20"/>
        </w:rPr>
      </w:pPr>
      <w:r>
        <w:rPr>
          <w:rFonts w:hint="eastAsia"/>
          <w:color w:val="231F20"/>
        </w:rPr>
        <w:t>They include Greg Bahnsen, Ken Gentry, Gary North, and Martin Selbrede.</w:t>
      </w:r>
    </w:p>
    <w:p w14:paraId="65940B37">
      <w:pPr>
        <w:pStyle w:val="9"/>
        <w:spacing w:before="7"/>
        <w:ind w:left="0"/>
        <w:jc w:val="left"/>
        <w:rPr>
          <w:rFonts w:hint="eastAsia"/>
          <w:color w:val="231F20"/>
        </w:rPr>
      </w:pPr>
    </w:p>
    <w:p w14:paraId="4C419BA0">
      <w:pPr>
        <w:pStyle w:val="9"/>
        <w:spacing w:before="7"/>
        <w:ind w:left="0"/>
        <w:jc w:val="left"/>
        <w:rPr>
          <w:rFonts w:hint="eastAsia"/>
          <w:color w:val="231F20"/>
        </w:rPr>
      </w:pPr>
      <w:r>
        <w:rPr>
          <w:rFonts w:hint="eastAsia"/>
          <w:color w:val="231F20"/>
        </w:rPr>
        <w:t>他们包括格雷格·巴恩森、肯·根特里、加里·诺斯和马丁·塞尔布雷德。</w:t>
      </w:r>
    </w:p>
    <w:p w14:paraId="373737C8">
      <w:pPr>
        <w:pStyle w:val="9"/>
        <w:spacing w:before="7"/>
        <w:ind w:left="0"/>
        <w:jc w:val="left"/>
        <w:rPr>
          <w:rFonts w:hint="eastAsia"/>
          <w:color w:val="231F20"/>
        </w:rPr>
      </w:pPr>
    </w:p>
    <w:p w14:paraId="3E9D9970">
      <w:pPr>
        <w:pStyle w:val="9"/>
        <w:spacing w:before="7"/>
        <w:ind w:left="0"/>
        <w:jc w:val="left"/>
        <w:rPr>
          <w:rFonts w:hint="eastAsia"/>
          <w:color w:val="231F20"/>
        </w:rPr>
      </w:pPr>
      <w:r>
        <w:rPr>
          <w:rFonts w:hint="eastAsia"/>
          <w:color w:val="231F20"/>
        </w:rPr>
        <w:t>Like amillennarians, postmillennarians interpret OTKP more or less figuratively, and as being fulfilled in the Era of Proclamation and the Final State.</w:t>
      </w:r>
    </w:p>
    <w:p w14:paraId="30798E1D">
      <w:pPr>
        <w:pStyle w:val="9"/>
        <w:spacing w:before="7"/>
        <w:ind w:left="0"/>
        <w:jc w:val="left"/>
        <w:rPr>
          <w:rFonts w:hint="eastAsia"/>
          <w:color w:val="231F20"/>
        </w:rPr>
      </w:pPr>
    </w:p>
    <w:p w14:paraId="21F7C79D">
      <w:pPr>
        <w:pStyle w:val="9"/>
        <w:spacing w:before="7"/>
        <w:ind w:left="0"/>
        <w:jc w:val="left"/>
        <w:rPr>
          <w:rFonts w:hint="eastAsia"/>
          <w:color w:val="231F20"/>
        </w:rPr>
      </w:pPr>
      <w:r>
        <w:rPr>
          <w:rFonts w:hint="eastAsia"/>
          <w:color w:val="231F20"/>
        </w:rPr>
        <w:t>与无千禧年论者一样，后千禧年论者或多或少地按预表来解释旧约国度预言，并认为其在宣讲时代和最终状态中得以应验。</w:t>
      </w:r>
    </w:p>
    <w:p w14:paraId="05EE1486">
      <w:pPr>
        <w:pStyle w:val="9"/>
        <w:spacing w:before="7"/>
        <w:ind w:left="0"/>
        <w:jc w:val="left"/>
        <w:rPr>
          <w:rFonts w:hint="eastAsia"/>
          <w:color w:val="231F20"/>
        </w:rPr>
      </w:pPr>
    </w:p>
    <w:p w14:paraId="09A7A384">
      <w:pPr>
        <w:pStyle w:val="9"/>
        <w:spacing w:before="7"/>
        <w:ind w:left="0"/>
        <w:jc w:val="left"/>
        <w:rPr>
          <w:rFonts w:hint="eastAsia"/>
          <w:color w:val="231F20"/>
        </w:rPr>
      </w:pPr>
      <w:r>
        <w:rPr>
          <w:rFonts w:hint="eastAsia"/>
          <w:color w:val="231F20"/>
        </w:rPr>
        <w:t>However, unlike their amillennial cousins, they argue that many of these prophecies predict a global triumph of the Gospel in (some portion of) the Church Era, with the result that world society will become increasingly pure, peaceful, and prosperous.</w:t>
      </w:r>
    </w:p>
    <w:p w14:paraId="509307A6">
      <w:pPr>
        <w:pStyle w:val="9"/>
        <w:spacing w:before="7"/>
        <w:ind w:left="0"/>
        <w:jc w:val="left"/>
        <w:rPr>
          <w:rFonts w:hint="eastAsia"/>
          <w:color w:val="231F20"/>
        </w:rPr>
      </w:pPr>
    </w:p>
    <w:p w14:paraId="588EC001">
      <w:pPr>
        <w:pStyle w:val="9"/>
        <w:spacing w:before="7"/>
        <w:ind w:left="0"/>
        <w:jc w:val="left"/>
        <w:rPr>
          <w:rFonts w:hint="eastAsia"/>
          <w:color w:val="231F20"/>
        </w:rPr>
      </w:pPr>
      <w:r>
        <w:rPr>
          <w:rFonts w:hint="eastAsia"/>
          <w:color w:val="231F20"/>
        </w:rPr>
        <w:t>然而，与他们的无千禧年论表亲不同，他们论证说，这些预言中有许多都预言了福音在教会时代（的某个部分）将取得全球性的胜利，其结果是世界社会将变得日益纯洁、和平和繁荣。</w:t>
      </w:r>
    </w:p>
    <w:p w14:paraId="335C13E7">
      <w:pPr>
        <w:pStyle w:val="9"/>
        <w:spacing w:before="7"/>
        <w:ind w:left="0"/>
        <w:jc w:val="left"/>
        <w:rPr>
          <w:rFonts w:hint="eastAsia"/>
          <w:color w:val="231F20"/>
        </w:rPr>
      </w:pPr>
    </w:p>
    <w:p w14:paraId="7EECC83C">
      <w:pPr>
        <w:pStyle w:val="9"/>
        <w:spacing w:before="7"/>
        <w:ind w:left="0"/>
        <w:jc w:val="left"/>
        <w:rPr>
          <w:rFonts w:hint="eastAsia"/>
          <w:color w:val="231F20"/>
        </w:rPr>
      </w:pPr>
      <w:r>
        <w:rPr>
          <w:rFonts w:hint="eastAsia"/>
          <w:color w:val="231F20"/>
        </w:rPr>
        <w:t>Postmillennarians disagree about how exactly to interpret the thousand years of Revelation 20.</w:t>
      </w:r>
    </w:p>
    <w:p w14:paraId="6766EDE2">
      <w:pPr>
        <w:pStyle w:val="9"/>
        <w:spacing w:before="7"/>
        <w:ind w:left="0"/>
        <w:jc w:val="left"/>
        <w:rPr>
          <w:rFonts w:hint="eastAsia"/>
          <w:color w:val="231F20"/>
        </w:rPr>
      </w:pPr>
    </w:p>
    <w:p w14:paraId="1C9386E3">
      <w:pPr>
        <w:pStyle w:val="9"/>
        <w:spacing w:before="7"/>
        <w:ind w:left="0"/>
        <w:jc w:val="left"/>
        <w:rPr>
          <w:rFonts w:hint="eastAsia"/>
          <w:color w:val="231F20"/>
        </w:rPr>
      </w:pPr>
      <w:r>
        <w:rPr>
          <w:rFonts w:hint="eastAsia"/>
          <w:color w:val="231F20"/>
        </w:rPr>
        <w:t>后千禧年论者对于如何确切地解释启示录20章的一千年存在分歧。</w:t>
      </w:r>
    </w:p>
    <w:p w14:paraId="6745FED5">
      <w:pPr>
        <w:pStyle w:val="9"/>
        <w:spacing w:before="7"/>
        <w:ind w:left="0"/>
        <w:jc w:val="left"/>
        <w:rPr>
          <w:rFonts w:hint="eastAsia"/>
          <w:color w:val="231F20"/>
        </w:rPr>
      </w:pPr>
    </w:p>
    <w:p w14:paraId="1AD15908">
      <w:pPr>
        <w:pStyle w:val="9"/>
        <w:spacing w:before="7"/>
        <w:ind w:left="0"/>
        <w:jc w:val="left"/>
        <w:rPr>
          <w:rFonts w:hint="eastAsia"/>
          <w:color w:val="231F20"/>
        </w:rPr>
      </w:pPr>
      <w:r>
        <w:rPr>
          <w:rFonts w:hint="eastAsia"/>
          <w:color w:val="231F20"/>
        </w:rPr>
        <w:t>Some identify it with the entire Era of Proclamation, others with its final thousand years, still others with a season of indeterminate length situated near the end of the present evil age, a season that will commence with a special, latter-day binding of Satan, possibly at the time of the conversion of ethnic Israel at large (this is the view I have pictured in the diagram above).</w:t>
      </w:r>
    </w:p>
    <w:p w14:paraId="3D6A180F">
      <w:pPr>
        <w:pStyle w:val="9"/>
        <w:spacing w:before="7"/>
        <w:ind w:left="0"/>
        <w:jc w:val="left"/>
        <w:rPr>
          <w:rFonts w:hint="eastAsia"/>
          <w:color w:val="231F20"/>
        </w:rPr>
      </w:pPr>
    </w:p>
    <w:p w14:paraId="1E4D399C">
      <w:pPr>
        <w:pStyle w:val="9"/>
        <w:spacing w:before="7"/>
        <w:ind w:left="0"/>
        <w:jc w:val="left"/>
        <w:rPr>
          <w:rFonts w:hint="eastAsia"/>
          <w:color w:val="231F20"/>
        </w:rPr>
      </w:pPr>
      <w:r>
        <w:rPr>
          <w:rFonts w:hint="eastAsia"/>
          <w:color w:val="231F20"/>
        </w:rPr>
        <w:t>有些人将其等同于整个宣讲时代，另一些人则认为它指宣讲时代的最后一百年，还有些人认为它是在现今邪恶世代末期一个长度不定的时期，这个时期将以末后日子里对撒但的一次特别捆绑开始，可能是在民族以色列大规模归信之时（这就是我在上图中描绘的观点）。</w:t>
      </w:r>
    </w:p>
    <w:p w14:paraId="0E0C787F">
      <w:pPr>
        <w:pStyle w:val="9"/>
        <w:spacing w:before="7"/>
        <w:ind w:left="0"/>
        <w:jc w:val="left"/>
        <w:rPr>
          <w:rFonts w:hint="eastAsia"/>
          <w:color w:val="231F20"/>
        </w:rPr>
      </w:pPr>
    </w:p>
    <w:p w14:paraId="467D5AE7">
      <w:pPr>
        <w:pStyle w:val="9"/>
        <w:spacing w:before="7"/>
        <w:ind w:left="0"/>
        <w:jc w:val="left"/>
        <w:rPr>
          <w:rFonts w:hint="eastAsia"/>
          <w:color w:val="231F20"/>
        </w:rPr>
      </w:pPr>
      <w:r>
        <w:rPr>
          <w:rFonts w:hint="eastAsia"/>
          <w:color w:val="231F20"/>
        </w:rPr>
        <w:t>All agree, however, that the basic trajectory of Church history, despite occasional setbacks, is one of gospel triumph.</w:t>
      </w:r>
    </w:p>
    <w:p w14:paraId="1027ADEF">
      <w:pPr>
        <w:pStyle w:val="9"/>
        <w:spacing w:before="7"/>
        <w:ind w:left="0"/>
        <w:jc w:val="left"/>
        <w:rPr>
          <w:rFonts w:hint="eastAsia"/>
          <w:color w:val="231F20"/>
        </w:rPr>
      </w:pPr>
    </w:p>
    <w:p w14:paraId="238170BB">
      <w:pPr>
        <w:pStyle w:val="9"/>
        <w:spacing w:before="7"/>
        <w:ind w:left="0"/>
        <w:jc w:val="left"/>
        <w:rPr>
          <w:rFonts w:hint="eastAsia"/>
          <w:color w:val="231F20"/>
        </w:rPr>
      </w:pPr>
      <w:r>
        <w:rPr>
          <w:rFonts w:hint="eastAsia"/>
          <w:color w:val="231F20"/>
        </w:rPr>
        <w:t>然而，所有人都同意，教会历史的基本轨迹，尽管偶尔有挫折，是福音得胜的轨迹。</w:t>
      </w:r>
    </w:p>
    <w:p w14:paraId="61486D8C">
      <w:pPr>
        <w:pStyle w:val="9"/>
        <w:spacing w:before="7"/>
        <w:ind w:left="0"/>
        <w:jc w:val="left"/>
        <w:rPr>
          <w:rFonts w:hint="eastAsia"/>
          <w:color w:val="231F20"/>
        </w:rPr>
      </w:pPr>
    </w:p>
    <w:p w14:paraId="575A01F1">
      <w:pPr>
        <w:pStyle w:val="9"/>
        <w:spacing w:before="7"/>
        <w:ind w:left="0"/>
        <w:jc w:val="left"/>
        <w:rPr>
          <w:rFonts w:hint="eastAsia"/>
          <w:color w:val="231F20"/>
        </w:rPr>
      </w:pPr>
      <w:r>
        <w:rPr>
          <w:rFonts w:hint="eastAsia"/>
          <w:color w:val="231F20"/>
        </w:rPr>
        <w:t>Regarding the final days of the Era of Proclamation, most postmillennarians look for a conversion of the great bulk of Jews under the preaching of the Gospel.</w:t>
      </w:r>
    </w:p>
    <w:p w14:paraId="5461F148">
      <w:pPr>
        <w:pStyle w:val="9"/>
        <w:spacing w:before="7"/>
        <w:ind w:left="0"/>
        <w:jc w:val="left"/>
        <w:rPr>
          <w:rFonts w:hint="eastAsia"/>
          <w:color w:val="231F20"/>
        </w:rPr>
      </w:pPr>
    </w:p>
    <w:p w14:paraId="4A498475">
      <w:pPr>
        <w:pStyle w:val="9"/>
        <w:spacing w:before="7"/>
        <w:ind w:left="0"/>
        <w:jc w:val="left"/>
        <w:rPr>
          <w:rFonts w:hint="eastAsia"/>
          <w:color w:val="231F20"/>
        </w:rPr>
      </w:pPr>
      <w:r>
        <w:rPr>
          <w:rFonts w:hint="eastAsia"/>
          <w:color w:val="231F20"/>
        </w:rPr>
        <w:t>关于宣讲时代的末后日子，大多数后千禧年论者期盼在福音的传讲下，绝大多数犹太人将归信。</w:t>
      </w:r>
    </w:p>
    <w:p w14:paraId="5314A181">
      <w:pPr>
        <w:pStyle w:val="9"/>
        <w:spacing w:before="7"/>
        <w:ind w:left="0"/>
        <w:jc w:val="left"/>
        <w:rPr>
          <w:rFonts w:hint="eastAsia"/>
          <w:color w:val="231F20"/>
        </w:rPr>
      </w:pPr>
    </w:p>
    <w:p w14:paraId="4B4FDE22">
      <w:pPr>
        <w:pStyle w:val="9"/>
        <w:spacing w:before="7"/>
        <w:ind w:left="0"/>
        <w:jc w:val="left"/>
        <w:rPr>
          <w:rFonts w:hint="eastAsia"/>
          <w:color w:val="231F20"/>
        </w:rPr>
      </w:pPr>
      <w:r>
        <w:rPr>
          <w:rFonts w:hint="eastAsia"/>
          <w:color w:val="231F20"/>
        </w:rPr>
        <w:t>Also, they reluctantly concede that Revelation 20:7-10 does indeed anticipate a final, global rebellion against Christ and his faithful people.</w:t>
      </w:r>
    </w:p>
    <w:p w14:paraId="3D9E359C">
      <w:pPr>
        <w:pStyle w:val="9"/>
        <w:spacing w:before="7"/>
        <w:ind w:left="0"/>
        <w:jc w:val="left"/>
        <w:rPr>
          <w:rFonts w:hint="eastAsia"/>
          <w:color w:val="231F20"/>
        </w:rPr>
      </w:pPr>
    </w:p>
    <w:p w14:paraId="4FF651AB">
      <w:pPr>
        <w:pStyle w:val="9"/>
        <w:spacing w:before="7"/>
        <w:ind w:left="0"/>
        <w:jc w:val="left"/>
        <w:rPr>
          <w:rFonts w:hint="eastAsia"/>
          <w:color w:val="231F20"/>
        </w:rPr>
      </w:pPr>
      <w:r>
        <w:rPr>
          <w:rFonts w:hint="eastAsia"/>
          <w:color w:val="231F20"/>
        </w:rPr>
        <w:t>此外，他们不情愿地承认，启示录20:7-10确实预示了一场针对基督和祂忠信子民的最终、全球性的叛乱。</w:t>
      </w:r>
    </w:p>
    <w:p w14:paraId="24B863F9">
      <w:pPr>
        <w:pStyle w:val="9"/>
        <w:spacing w:before="7"/>
        <w:ind w:left="0"/>
        <w:jc w:val="left"/>
        <w:rPr>
          <w:rFonts w:hint="eastAsia"/>
          <w:color w:val="231F20"/>
        </w:rPr>
      </w:pPr>
    </w:p>
    <w:p w14:paraId="5DCC701E">
      <w:pPr>
        <w:pStyle w:val="9"/>
        <w:spacing w:before="7"/>
        <w:ind w:left="0"/>
        <w:jc w:val="left"/>
        <w:rPr>
          <w:rFonts w:hint="eastAsia"/>
          <w:color w:val="231F20"/>
        </w:rPr>
      </w:pPr>
      <w:r>
        <w:rPr>
          <w:rFonts w:hint="eastAsia"/>
          <w:color w:val="231F20"/>
        </w:rPr>
        <w:t>They insist, however, that it will be of very short duration and largely unsuccessful.</w:t>
      </w:r>
    </w:p>
    <w:p w14:paraId="092B3A59">
      <w:pPr>
        <w:pStyle w:val="9"/>
        <w:spacing w:before="7"/>
        <w:ind w:left="0"/>
        <w:jc w:val="left"/>
        <w:rPr>
          <w:rFonts w:hint="eastAsia"/>
          <w:color w:val="231F20"/>
        </w:rPr>
      </w:pPr>
    </w:p>
    <w:p w14:paraId="0A29F057">
      <w:pPr>
        <w:pStyle w:val="9"/>
        <w:spacing w:before="7"/>
        <w:ind w:left="0"/>
        <w:jc w:val="left"/>
        <w:rPr>
          <w:rFonts w:hint="eastAsia"/>
          <w:color w:val="231F20"/>
        </w:rPr>
      </w:pPr>
      <w:r>
        <w:rPr>
          <w:rFonts w:hint="eastAsia"/>
          <w:color w:val="231F20"/>
        </w:rPr>
        <w:t>然而，他们坚持认为，这场叛乱将持续时间很短，并且基本上不会成功。</w:t>
      </w:r>
    </w:p>
    <w:p w14:paraId="06F919A7">
      <w:pPr>
        <w:pStyle w:val="9"/>
        <w:spacing w:before="7"/>
        <w:ind w:left="0"/>
        <w:jc w:val="left"/>
        <w:rPr>
          <w:rFonts w:hint="eastAsia"/>
          <w:color w:val="231F20"/>
        </w:rPr>
      </w:pPr>
    </w:p>
    <w:p w14:paraId="177DD415">
      <w:pPr>
        <w:pStyle w:val="9"/>
        <w:spacing w:before="7"/>
        <w:ind w:left="0"/>
        <w:jc w:val="left"/>
        <w:rPr>
          <w:rFonts w:hint="eastAsia"/>
          <w:color w:val="231F20"/>
        </w:rPr>
      </w:pPr>
      <w:r>
        <w:rPr>
          <w:rFonts w:hint="eastAsia"/>
          <w:color w:val="231F20"/>
        </w:rPr>
        <w:t>This painful interlude—so out of character with the preceding years of blessing—will quickly lead to the Parousia, the various elements of the Consummation, and the World to Come.</w:t>
      </w:r>
    </w:p>
    <w:p w14:paraId="4EB1BC67">
      <w:pPr>
        <w:pStyle w:val="9"/>
        <w:spacing w:before="7"/>
        <w:ind w:left="0"/>
        <w:jc w:val="left"/>
        <w:rPr>
          <w:rFonts w:hint="eastAsia"/>
          <w:color w:val="231F20"/>
        </w:rPr>
      </w:pPr>
    </w:p>
    <w:p w14:paraId="7A1D328D">
      <w:pPr>
        <w:pStyle w:val="9"/>
        <w:spacing w:before="7"/>
        <w:ind w:left="0"/>
        <w:jc w:val="left"/>
        <w:rPr>
          <w:rFonts w:hint="eastAsia"/>
          <w:color w:val="231F20"/>
        </w:rPr>
      </w:pPr>
      <w:r>
        <w:rPr>
          <w:rFonts w:hint="eastAsia"/>
          <w:color w:val="231F20"/>
        </w:rPr>
        <w:t>这段痛苦的插曲——与之前多年的祝福如此格格不入——将迅速导致主的再来、最终成全的各个元素，以及要来的世界。</w:t>
      </w:r>
    </w:p>
    <w:p w14:paraId="2DD6A693">
      <w:pPr>
        <w:pStyle w:val="9"/>
        <w:spacing w:before="7"/>
        <w:ind w:left="0"/>
        <w:jc w:val="left"/>
        <w:rPr>
          <w:rFonts w:hint="eastAsia"/>
          <w:color w:val="231F20"/>
        </w:rPr>
      </w:pPr>
    </w:p>
    <w:p w14:paraId="39C6D641">
      <w:pPr>
        <w:pStyle w:val="9"/>
        <w:spacing w:before="7"/>
        <w:ind w:left="0"/>
        <w:jc w:val="left"/>
        <w:rPr>
          <w:rFonts w:hint="eastAsia"/>
          <w:color w:val="231F20"/>
        </w:rPr>
      </w:pPr>
      <w:r>
        <w:rPr>
          <w:rFonts w:hint="eastAsia"/>
          <w:color w:val="231F20"/>
        </w:rPr>
        <w:t>Thus, for most postmillennarians, the true locus of Christ’s victory over the powers of evil is the Era of Proclamation itself, with Christ’s second coming serving largely as a glorious capstone for all that he was able previously to accomplish through the faithful preaching of his people.</w:t>
      </w:r>
    </w:p>
    <w:p w14:paraId="5B648A8F">
      <w:pPr>
        <w:pStyle w:val="9"/>
        <w:spacing w:before="7"/>
        <w:ind w:left="0"/>
        <w:jc w:val="left"/>
        <w:rPr>
          <w:rFonts w:hint="eastAsia"/>
          <w:color w:val="231F20"/>
        </w:rPr>
      </w:pPr>
    </w:p>
    <w:p w14:paraId="3B4D0749">
      <w:pPr>
        <w:pStyle w:val="9"/>
        <w:spacing w:before="7"/>
        <w:ind w:left="0"/>
        <w:jc w:val="left"/>
        <w:rPr>
          <w:rFonts w:hint="eastAsia"/>
          <w:color w:val="231F20"/>
        </w:rPr>
      </w:pPr>
      <w:r>
        <w:rPr>
          <w:rFonts w:hint="eastAsia"/>
          <w:color w:val="231F20"/>
        </w:rPr>
        <w:t>因此，对大多数后千禧年论者而言，基督战胜邪恶权势的真正所在就是宣讲时代本身，而基督的第二次降临主要作为一块荣耀的顶石，为着祂先前能借着祂子民的忠信传讲所成就的一切。</w:t>
      </w:r>
    </w:p>
    <w:p w14:paraId="23A2DC59">
      <w:pPr>
        <w:pStyle w:val="9"/>
        <w:spacing w:before="7"/>
        <w:ind w:left="0"/>
        <w:jc w:val="left"/>
        <w:rPr>
          <w:rFonts w:hint="eastAsia"/>
          <w:color w:val="231F20"/>
        </w:rPr>
      </w:pPr>
    </w:p>
    <w:p w14:paraId="0A8CFB75">
      <w:pPr>
        <w:pStyle w:val="9"/>
        <w:spacing w:before="7"/>
        <w:ind w:left="0"/>
        <w:jc w:val="left"/>
        <w:rPr>
          <w:rFonts w:hint="eastAsia"/>
          <w:color w:val="231F20"/>
        </w:rPr>
      </w:pPr>
      <w:r>
        <w:rPr>
          <w:rFonts w:hint="eastAsia"/>
          <w:color w:val="231F20"/>
        </w:rPr>
        <w:t>Does Scripture justify this optimistic scenario?</w:t>
      </w:r>
    </w:p>
    <w:p w14:paraId="374B8695">
      <w:pPr>
        <w:pStyle w:val="9"/>
        <w:spacing w:before="7"/>
        <w:ind w:left="0"/>
        <w:jc w:val="left"/>
        <w:rPr>
          <w:rFonts w:hint="eastAsia"/>
          <w:color w:val="231F20"/>
        </w:rPr>
      </w:pPr>
    </w:p>
    <w:p w14:paraId="7B272ECF">
      <w:pPr>
        <w:pStyle w:val="9"/>
        <w:spacing w:before="7"/>
        <w:ind w:left="0"/>
        <w:jc w:val="left"/>
        <w:rPr>
          <w:rFonts w:hint="eastAsia"/>
          <w:color w:val="231F20"/>
        </w:rPr>
      </w:pPr>
      <w:r>
        <w:rPr>
          <w:rFonts w:hint="eastAsia"/>
          <w:color w:val="231F20"/>
        </w:rPr>
        <w:t>圣经是否支持这种乐观的设想？</w:t>
      </w:r>
    </w:p>
    <w:p w14:paraId="126EDDBB">
      <w:pPr>
        <w:pStyle w:val="9"/>
        <w:spacing w:before="7"/>
        <w:ind w:left="0"/>
        <w:jc w:val="left"/>
        <w:rPr>
          <w:rFonts w:hint="eastAsia"/>
          <w:color w:val="231F20"/>
        </w:rPr>
      </w:pPr>
    </w:p>
    <w:p w14:paraId="2FF982BF">
      <w:pPr>
        <w:pStyle w:val="9"/>
        <w:spacing w:before="7"/>
        <w:ind w:left="0"/>
        <w:jc w:val="left"/>
        <w:rPr>
          <w:rFonts w:hint="eastAsia"/>
          <w:color w:val="231F20"/>
        </w:rPr>
      </w:pPr>
      <w:r>
        <w:rPr>
          <w:rFonts w:hint="eastAsia"/>
          <w:color w:val="231F20"/>
        </w:rPr>
        <w:t>And does the course of Church History to date confirm it?</w:t>
      </w:r>
    </w:p>
    <w:p w14:paraId="0C66A950">
      <w:pPr>
        <w:pStyle w:val="9"/>
        <w:spacing w:before="7"/>
        <w:ind w:left="0"/>
        <w:jc w:val="left"/>
        <w:rPr>
          <w:rFonts w:hint="eastAsia"/>
          <w:color w:val="231F20"/>
        </w:rPr>
      </w:pPr>
    </w:p>
    <w:p w14:paraId="4F38A958">
      <w:pPr>
        <w:pStyle w:val="9"/>
        <w:spacing w:before="7"/>
        <w:ind w:left="0"/>
        <w:jc w:val="left"/>
        <w:rPr>
          <w:rFonts w:hint="eastAsia"/>
          <w:color w:val="231F20"/>
        </w:rPr>
      </w:pPr>
      <w:r>
        <w:rPr>
          <w:rFonts w:hint="eastAsia"/>
          <w:color w:val="231F20"/>
        </w:rPr>
        <w:t>迄今为止的教会历史进程是否证实了它？</w:t>
      </w:r>
    </w:p>
    <w:p w14:paraId="17AB6787">
      <w:pPr>
        <w:pStyle w:val="9"/>
        <w:spacing w:before="7"/>
        <w:ind w:left="0"/>
        <w:jc w:val="left"/>
        <w:rPr>
          <w:rFonts w:hint="eastAsia"/>
          <w:color w:val="231F20"/>
        </w:rPr>
      </w:pPr>
    </w:p>
    <w:p w14:paraId="0EF27E9B">
      <w:pPr>
        <w:pStyle w:val="9"/>
        <w:spacing w:before="7"/>
        <w:ind w:left="0"/>
        <w:jc w:val="left"/>
        <w:rPr>
          <w:rFonts w:hint="eastAsia"/>
          <w:color w:val="231F20"/>
        </w:rPr>
      </w:pPr>
      <w:r>
        <w:rPr>
          <w:rFonts w:hint="eastAsia"/>
          <w:color w:val="231F20"/>
        </w:rPr>
        <w:t>In the pages ahead we will keep these important questions very much in mind.</w:t>
      </w:r>
    </w:p>
    <w:p w14:paraId="67B6F700">
      <w:pPr>
        <w:pStyle w:val="9"/>
        <w:spacing w:before="7"/>
        <w:ind w:left="0"/>
        <w:jc w:val="left"/>
        <w:rPr>
          <w:rFonts w:hint="eastAsia"/>
          <w:color w:val="231F20"/>
        </w:rPr>
      </w:pPr>
    </w:p>
    <w:p w14:paraId="4DD95902">
      <w:pPr>
        <w:pStyle w:val="9"/>
        <w:spacing w:before="7"/>
        <w:ind w:left="0"/>
        <w:jc w:val="left"/>
        <w:rPr>
          <w:rFonts w:hint="eastAsia"/>
          <w:color w:val="231F20"/>
        </w:rPr>
      </w:pPr>
      <w:r>
        <w:rPr>
          <w:rFonts w:hint="eastAsia"/>
          <w:color w:val="231F20"/>
        </w:rPr>
        <w:t>在接下来的篇幅中，我们将把这些重要的问题牢记在心。</w:t>
      </w:r>
    </w:p>
    <w:p w14:paraId="3A087833">
      <w:pPr>
        <w:pStyle w:val="9"/>
        <w:spacing w:before="7"/>
        <w:ind w:left="0"/>
        <w:jc w:val="left"/>
        <w:rPr>
          <w:rFonts w:hint="eastAsia"/>
          <w:color w:val="231F20"/>
        </w:rPr>
      </w:pPr>
    </w:p>
    <w:p w14:paraId="31666255">
      <w:pPr>
        <w:pStyle w:val="9"/>
        <w:spacing w:before="7"/>
        <w:ind w:left="0"/>
        <w:jc w:val="left"/>
        <w:rPr>
          <w:rFonts w:hint="eastAsia"/>
          <w:color w:val="231F20"/>
        </w:rPr>
      </w:pPr>
      <w:r>
        <w:rPr>
          <w:rFonts w:hint="eastAsia"/>
          <w:color w:val="231F20"/>
        </w:rPr>
        <w:t>4.Dispensational Premillennialism (Dispensationalism)</w:t>
      </w:r>
    </w:p>
    <w:p w14:paraId="194FFE98">
      <w:pPr>
        <w:pStyle w:val="9"/>
        <w:spacing w:before="7"/>
        <w:ind w:left="0"/>
        <w:jc w:val="left"/>
        <w:rPr>
          <w:rFonts w:hint="eastAsia"/>
          <w:color w:val="231F20"/>
        </w:rPr>
      </w:pPr>
    </w:p>
    <w:p w14:paraId="6BC00E9B">
      <w:pPr>
        <w:pStyle w:val="9"/>
        <w:spacing w:before="7"/>
        <w:ind w:left="0"/>
        <w:jc w:val="left"/>
        <w:rPr>
          <w:b/>
          <w:sz w:val="8"/>
        </w:rPr>
      </w:pPr>
      <w:r>
        <w:rPr>
          <w:rFonts w:hint="eastAsia"/>
          <w:color w:val="231F20"/>
        </w:rPr>
        <w:t>4.时代论前千禧年论（时代论）</w:t>
      </w:r>
      <w:r>
        <w:rPr>
          <w:b/>
          <w:sz w:val="8"/>
        </w:rPr>
        <w:drawing>
          <wp:inline distT="0" distB="0" distL="114300" distR="114300">
            <wp:extent cx="5105400" cy="2926080"/>
            <wp:effectExtent l="0" t="0" r="0" b="0"/>
            <wp:docPr id="147" name="图片 147" descr="1a2600a184cc45649e72bb447e4e8d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7" descr="1a2600a184cc45649e72bb447e4e8d6d"/>
                    <pic:cNvPicPr>
                      <a:picLocks noChangeAspect="1"/>
                    </pic:cNvPicPr>
                  </pic:nvPicPr>
                  <pic:blipFill>
                    <a:blip r:embed="rId16"/>
                    <a:stretch>
                      <a:fillRect/>
                    </a:stretch>
                  </pic:blipFill>
                  <pic:spPr>
                    <a:xfrm>
                      <a:off x="0" y="0"/>
                      <a:ext cx="5105400" cy="2926080"/>
                    </a:xfrm>
                    <a:prstGeom prst="rect">
                      <a:avLst/>
                    </a:prstGeom>
                  </pic:spPr>
                </pic:pic>
              </a:graphicData>
            </a:graphic>
          </wp:inline>
        </w:drawing>
      </w:r>
      <w:r>
        <w:rPr>
          <w:b/>
          <w:sz w:val="8"/>
        </w:rPr>
        <w:drawing>
          <wp:anchor distT="0" distB="0" distL="0" distR="0" simplePos="0" relativeHeight="251662336" behindDoc="1" locked="0" layoutInCell="1" allowOverlap="1">
            <wp:simplePos x="0" y="0"/>
            <wp:positionH relativeFrom="page">
              <wp:posOffset>2361565</wp:posOffset>
            </wp:positionH>
            <wp:positionV relativeFrom="paragraph">
              <wp:posOffset>78105</wp:posOffset>
            </wp:positionV>
            <wp:extent cx="3070225" cy="1755775"/>
            <wp:effectExtent l="0" t="0" r="0" b="0"/>
            <wp:wrapTopAndBottom/>
            <wp:docPr id="53" name="Image 53"/>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17" cstate="print"/>
                    <a:stretch>
                      <a:fillRect/>
                    </a:stretch>
                  </pic:blipFill>
                  <pic:spPr>
                    <a:xfrm>
                      <a:off x="0" y="0"/>
                      <a:ext cx="3070085" cy="1755648"/>
                    </a:xfrm>
                    <a:prstGeom prst="rect">
                      <a:avLst/>
                    </a:prstGeom>
                  </pic:spPr>
                </pic:pic>
              </a:graphicData>
            </a:graphic>
          </wp:anchor>
        </w:drawing>
      </w:r>
    </w:p>
    <w:p w14:paraId="624715B0">
      <w:pPr>
        <w:pStyle w:val="9"/>
        <w:spacing w:before="70"/>
        <w:ind w:left="0"/>
        <w:jc w:val="left"/>
        <w:rPr>
          <w:rFonts w:hint="eastAsia"/>
          <w:b w:val="0"/>
          <w:bCs/>
          <w:sz w:val="33"/>
        </w:rPr>
      </w:pPr>
      <w:r>
        <w:rPr>
          <w:rFonts w:hint="eastAsia"/>
          <w:b w:val="0"/>
          <w:bCs/>
          <w:sz w:val="33"/>
        </w:rPr>
        <w:t>Dispensationalism is a relatively recent, highly complex, and increasingly controversial form of premillennialism.</w:t>
      </w:r>
    </w:p>
    <w:p w14:paraId="52C6B18C">
      <w:pPr>
        <w:pStyle w:val="9"/>
        <w:spacing w:before="70"/>
        <w:ind w:left="0"/>
        <w:jc w:val="left"/>
        <w:rPr>
          <w:rFonts w:hint="eastAsia"/>
          <w:b w:val="0"/>
          <w:bCs/>
          <w:sz w:val="33"/>
        </w:rPr>
      </w:pPr>
    </w:p>
    <w:p w14:paraId="3E6899F9">
      <w:pPr>
        <w:pStyle w:val="9"/>
        <w:spacing w:before="70"/>
        <w:ind w:left="0"/>
        <w:jc w:val="left"/>
        <w:rPr>
          <w:rFonts w:hint="eastAsia"/>
          <w:b w:val="0"/>
          <w:bCs/>
          <w:sz w:val="33"/>
        </w:rPr>
      </w:pPr>
      <w:r>
        <w:rPr>
          <w:rFonts w:hint="eastAsia"/>
          <w:b w:val="0"/>
          <w:bCs/>
          <w:sz w:val="33"/>
        </w:rPr>
        <w:t>时代论是一种相对较新、高度复杂且日益引起争议的前千禧年论形式。</w:t>
      </w:r>
    </w:p>
    <w:p w14:paraId="4FF7D33D">
      <w:pPr>
        <w:pStyle w:val="9"/>
        <w:spacing w:before="70"/>
        <w:ind w:left="0"/>
        <w:jc w:val="left"/>
        <w:rPr>
          <w:rFonts w:hint="eastAsia"/>
          <w:b w:val="0"/>
          <w:bCs/>
          <w:sz w:val="33"/>
        </w:rPr>
      </w:pPr>
    </w:p>
    <w:p w14:paraId="77DF49DE">
      <w:pPr>
        <w:pStyle w:val="9"/>
        <w:spacing w:before="70"/>
        <w:ind w:left="0"/>
        <w:jc w:val="left"/>
        <w:rPr>
          <w:rFonts w:hint="eastAsia"/>
          <w:b w:val="0"/>
          <w:bCs/>
          <w:sz w:val="33"/>
        </w:rPr>
      </w:pPr>
      <w:r>
        <w:rPr>
          <w:rFonts w:hint="eastAsia"/>
          <w:b w:val="0"/>
          <w:bCs/>
          <w:sz w:val="33"/>
        </w:rPr>
        <w:t>It was developed in mid-19th century England by John Darby, a prolific writer and the theological leader of the small but influential Plymouth Brethren Movement.</w:t>
      </w:r>
    </w:p>
    <w:p w14:paraId="5BF5E65D">
      <w:pPr>
        <w:pStyle w:val="9"/>
        <w:spacing w:before="70"/>
        <w:ind w:left="0"/>
        <w:jc w:val="left"/>
        <w:rPr>
          <w:rFonts w:hint="eastAsia"/>
          <w:b w:val="0"/>
          <w:bCs/>
          <w:sz w:val="33"/>
        </w:rPr>
      </w:pPr>
    </w:p>
    <w:p w14:paraId="77F74895">
      <w:pPr>
        <w:pStyle w:val="9"/>
        <w:spacing w:before="70"/>
        <w:ind w:left="0"/>
        <w:jc w:val="left"/>
        <w:rPr>
          <w:rFonts w:hint="eastAsia"/>
          <w:b w:val="0"/>
          <w:bCs/>
          <w:sz w:val="33"/>
        </w:rPr>
      </w:pPr>
      <w:r>
        <w:rPr>
          <w:rFonts w:hint="eastAsia"/>
          <w:b w:val="0"/>
          <w:bCs/>
          <w:sz w:val="33"/>
        </w:rPr>
        <w:t>它是由约翰·达秘在19世纪中叶的英国发展起来的，他是一位多产的作家，也是小而有影响力的普利茅斯弟兄会的属灵领袖。</w:t>
      </w:r>
    </w:p>
    <w:p w14:paraId="20303D75">
      <w:pPr>
        <w:pStyle w:val="9"/>
        <w:spacing w:before="70"/>
        <w:ind w:left="0"/>
        <w:jc w:val="left"/>
        <w:rPr>
          <w:rFonts w:hint="eastAsia"/>
          <w:b w:val="0"/>
          <w:bCs/>
          <w:sz w:val="33"/>
        </w:rPr>
      </w:pPr>
    </w:p>
    <w:p w14:paraId="3633F1B6">
      <w:pPr>
        <w:pStyle w:val="9"/>
        <w:spacing w:before="70"/>
        <w:ind w:left="0"/>
        <w:jc w:val="left"/>
        <w:rPr>
          <w:rFonts w:hint="eastAsia"/>
          <w:b w:val="0"/>
          <w:bCs/>
          <w:sz w:val="33"/>
        </w:rPr>
      </w:pPr>
      <w:r>
        <w:rPr>
          <w:rFonts w:hint="eastAsia"/>
          <w:b w:val="0"/>
          <w:bCs/>
          <w:sz w:val="33"/>
        </w:rPr>
        <w:t>In a day when theological liberalism was rotting out the foundations of mainline Protestantism, dispensationalists held loyally to a high view of Scripture, and so won favor among biblical conservatives.</w:t>
      </w:r>
    </w:p>
    <w:p w14:paraId="7B6E3003">
      <w:pPr>
        <w:pStyle w:val="9"/>
        <w:spacing w:before="70"/>
        <w:ind w:left="0"/>
        <w:jc w:val="left"/>
        <w:rPr>
          <w:rFonts w:hint="eastAsia"/>
          <w:b w:val="0"/>
          <w:bCs/>
          <w:sz w:val="33"/>
        </w:rPr>
      </w:pPr>
    </w:p>
    <w:p w14:paraId="45A075EC">
      <w:pPr>
        <w:pStyle w:val="9"/>
        <w:spacing w:before="70"/>
        <w:ind w:left="0"/>
        <w:jc w:val="left"/>
        <w:rPr>
          <w:rFonts w:hint="eastAsia"/>
          <w:b w:val="0"/>
          <w:bCs/>
          <w:sz w:val="33"/>
        </w:rPr>
      </w:pPr>
      <w:r>
        <w:rPr>
          <w:rFonts w:hint="eastAsia"/>
          <w:b w:val="0"/>
          <w:bCs/>
          <w:sz w:val="33"/>
        </w:rPr>
        <w:t>在一个神学自由主义正在腐蚀主流新教根基的时代，时代论者忠实地持守对圣经的高观点，因此赢得了圣经保守派的青睐。</w:t>
      </w:r>
    </w:p>
    <w:p w14:paraId="23D9F081">
      <w:pPr>
        <w:pStyle w:val="9"/>
        <w:spacing w:before="70"/>
        <w:ind w:left="0"/>
        <w:jc w:val="left"/>
        <w:rPr>
          <w:rFonts w:hint="eastAsia"/>
          <w:b w:val="0"/>
          <w:bCs/>
          <w:sz w:val="33"/>
        </w:rPr>
      </w:pPr>
    </w:p>
    <w:p w14:paraId="16109517">
      <w:pPr>
        <w:pStyle w:val="9"/>
        <w:spacing w:before="70"/>
        <w:ind w:left="0"/>
        <w:jc w:val="left"/>
        <w:rPr>
          <w:rFonts w:hint="eastAsia"/>
          <w:b w:val="0"/>
          <w:bCs/>
          <w:sz w:val="33"/>
        </w:rPr>
      </w:pPr>
      <w:r>
        <w:rPr>
          <w:rFonts w:hint="eastAsia"/>
          <w:b w:val="0"/>
          <w:bCs/>
          <w:sz w:val="33"/>
        </w:rPr>
        <w:t>Also, as the murderous 20th century progressed, their interpretation of biblical prophecy—which was decidedly pessimistic about the future of world society—seemed to make good sense of the tumultuous times in which people were living.</w:t>
      </w:r>
    </w:p>
    <w:p w14:paraId="189A6780">
      <w:pPr>
        <w:pStyle w:val="9"/>
        <w:spacing w:before="70"/>
        <w:ind w:left="0"/>
        <w:jc w:val="left"/>
        <w:rPr>
          <w:rFonts w:hint="eastAsia"/>
          <w:b w:val="0"/>
          <w:bCs/>
          <w:sz w:val="33"/>
        </w:rPr>
      </w:pPr>
    </w:p>
    <w:p w14:paraId="07B118B8">
      <w:pPr>
        <w:pStyle w:val="9"/>
        <w:spacing w:before="70"/>
        <w:ind w:left="0"/>
        <w:jc w:val="left"/>
        <w:rPr>
          <w:rFonts w:hint="eastAsia"/>
          <w:b w:val="0"/>
          <w:bCs/>
          <w:sz w:val="33"/>
        </w:rPr>
      </w:pPr>
      <w:r>
        <w:rPr>
          <w:rFonts w:hint="eastAsia"/>
          <w:b w:val="0"/>
          <w:bCs/>
          <w:sz w:val="33"/>
        </w:rPr>
        <w:t>此外，随着杀戮的20世纪的进展，他们对圣经预言的解释——对世界社会未来持决然悲观态度——似乎很好地解释了人们所处的动荡时代。</w:t>
      </w:r>
    </w:p>
    <w:p w14:paraId="6D39D167">
      <w:pPr>
        <w:pStyle w:val="9"/>
        <w:spacing w:before="70"/>
        <w:ind w:left="0"/>
        <w:jc w:val="left"/>
        <w:rPr>
          <w:rFonts w:hint="eastAsia"/>
          <w:b w:val="0"/>
          <w:bCs/>
          <w:sz w:val="33"/>
        </w:rPr>
      </w:pPr>
    </w:p>
    <w:p w14:paraId="7A8C1506">
      <w:pPr>
        <w:pStyle w:val="9"/>
        <w:spacing w:before="70"/>
        <w:ind w:left="0"/>
        <w:jc w:val="left"/>
        <w:rPr>
          <w:rFonts w:hint="eastAsia"/>
          <w:b w:val="0"/>
          <w:bCs/>
          <w:sz w:val="33"/>
        </w:rPr>
      </w:pPr>
      <w:r>
        <w:rPr>
          <w:rFonts w:hint="eastAsia"/>
          <w:b w:val="0"/>
          <w:bCs/>
          <w:sz w:val="33"/>
        </w:rPr>
        <w:t>For all these reasons, Dispensationalism enjoyed a following.</w:t>
      </w:r>
    </w:p>
    <w:p w14:paraId="5033BA96">
      <w:pPr>
        <w:pStyle w:val="9"/>
        <w:spacing w:before="70"/>
        <w:ind w:left="0"/>
        <w:jc w:val="left"/>
        <w:rPr>
          <w:rFonts w:hint="eastAsia"/>
          <w:b w:val="0"/>
          <w:bCs/>
          <w:sz w:val="33"/>
        </w:rPr>
      </w:pPr>
    </w:p>
    <w:p w14:paraId="7F616E64">
      <w:pPr>
        <w:pStyle w:val="9"/>
        <w:spacing w:before="70"/>
        <w:ind w:left="0"/>
        <w:jc w:val="left"/>
        <w:rPr>
          <w:rFonts w:hint="eastAsia"/>
          <w:b w:val="0"/>
          <w:bCs/>
          <w:sz w:val="33"/>
        </w:rPr>
      </w:pPr>
      <w:r>
        <w:rPr>
          <w:rFonts w:hint="eastAsia"/>
          <w:b w:val="0"/>
          <w:bCs/>
          <w:sz w:val="33"/>
        </w:rPr>
        <w:t>由于所有这些原因，时代论拥有一批追随者。</w:t>
      </w:r>
    </w:p>
    <w:p w14:paraId="5A9152DA">
      <w:pPr>
        <w:pStyle w:val="9"/>
        <w:spacing w:before="70"/>
        <w:ind w:left="0"/>
        <w:jc w:val="left"/>
        <w:rPr>
          <w:rFonts w:hint="eastAsia"/>
          <w:b w:val="0"/>
          <w:bCs/>
          <w:sz w:val="33"/>
        </w:rPr>
      </w:pPr>
    </w:p>
    <w:p w14:paraId="02298FC1">
      <w:pPr>
        <w:pStyle w:val="9"/>
        <w:spacing w:before="70"/>
        <w:ind w:left="0"/>
        <w:jc w:val="left"/>
        <w:rPr>
          <w:rFonts w:hint="eastAsia"/>
          <w:b w:val="0"/>
          <w:bCs/>
          <w:sz w:val="33"/>
        </w:rPr>
      </w:pPr>
      <w:r>
        <w:rPr>
          <w:rFonts w:hint="eastAsia"/>
          <w:b w:val="0"/>
          <w:bCs/>
          <w:sz w:val="33"/>
        </w:rPr>
        <w:t>It included a number of devoted apologists—men like C. I. Scofield, Harry Ironside, Wm. Blackstone, and A. C. Gabelein.</w:t>
      </w:r>
    </w:p>
    <w:p w14:paraId="7FCB9081">
      <w:pPr>
        <w:pStyle w:val="9"/>
        <w:spacing w:before="70"/>
        <w:ind w:left="0"/>
        <w:jc w:val="left"/>
        <w:rPr>
          <w:rFonts w:hint="eastAsia"/>
          <w:b w:val="0"/>
          <w:bCs/>
          <w:sz w:val="33"/>
        </w:rPr>
      </w:pPr>
    </w:p>
    <w:p w14:paraId="21201F64">
      <w:pPr>
        <w:pStyle w:val="9"/>
        <w:spacing w:before="70"/>
        <w:ind w:left="0"/>
        <w:jc w:val="left"/>
        <w:rPr>
          <w:rFonts w:hint="eastAsia"/>
          <w:b w:val="0"/>
          <w:bCs/>
          <w:sz w:val="33"/>
        </w:rPr>
      </w:pPr>
      <w:r>
        <w:rPr>
          <w:rFonts w:hint="eastAsia"/>
          <w:b w:val="0"/>
          <w:bCs/>
          <w:sz w:val="33"/>
        </w:rPr>
        <w:t>它包括一些忠实的护教者——例如 C. I. 司可福、哈里·艾朗赛、威廉·布莱克斯通和 A. C. 加伯莱因。</w:t>
      </w:r>
    </w:p>
    <w:p w14:paraId="7EC53C91">
      <w:pPr>
        <w:pStyle w:val="9"/>
        <w:spacing w:before="70"/>
        <w:ind w:left="0"/>
        <w:jc w:val="left"/>
        <w:rPr>
          <w:rFonts w:hint="eastAsia"/>
          <w:b w:val="0"/>
          <w:bCs/>
          <w:sz w:val="33"/>
        </w:rPr>
      </w:pPr>
    </w:p>
    <w:p w14:paraId="1F78032A">
      <w:pPr>
        <w:pStyle w:val="9"/>
        <w:spacing w:before="70"/>
        <w:ind w:left="0"/>
        <w:jc w:val="left"/>
        <w:rPr>
          <w:rFonts w:hint="eastAsia"/>
          <w:b w:val="0"/>
          <w:bCs/>
          <w:sz w:val="33"/>
        </w:rPr>
      </w:pPr>
      <w:r>
        <w:rPr>
          <w:rFonts w:hint="eastAsia"/>
          <w:b w:val="0"/>
          <w:bCs/>
          <w:sz w:val="33"/>
        </w:rPr>
        <w:t>Meanwhile, evangelist D. L. Moody did much to spread the new eschatology among Christian laymen, as did the popular Scofield Reference Bible and the Prophetic Conference Movement.</w:t>
      </w:r>
    </w:p>
    <w:p w14:paraId="59C858DF">
      <w:pPr>
        <w:pStyle w:val="9"/>
        <w:spacing w:before="70"/>
        <w:ind w:left="0"/>
        <w:jc w:val="left"/>
        <w:rPr>
          <w:rFonts w:hint="eastAsia"/>
          <w:b w:val="0"/>
          <w:bCs/>
          <w:sz w:val="33"/>
        </w:rPr>
      </w:pPr>
    </w:p>
    <w:p w14:paraId="46217C41">
      <w:pPr>
        <w:pStyle w:val="9"/>
        <w:spacing w:before="70"/>
        <w:ind w:left="0"/>
        <w:jc w:val="left"/>
        <w:rPr>
          <w:rFonts w:hint="eastAsia"/>
          <w:b w:val="0"/>
          <w:bCs/>
          <w:sz w:val="33"/>
        </w:rPr>
      </w:pPr>
      <w:r>
        <w:rPr>
          <w:rFonts w:hint="eastAsia"/>
          <w:b w:val="0"/>
          <w:bCs/>
          <w:sz w:val="33"/>
        </w:rPr>
        <w:t>与此同时，布道家 D. L. 慕迪为在基督徒平信徒中传播这种新的末世论作出了巨大贡献，广受欢迎的《司可福串注圣经》和预言大会运动也同样如此。</w:t>
      </w:r>
    </w:p>
    <w:p w14:paraId="592389EA">
      <w:pPr>
        <w:pStyle w:val="9"/>
        <w:spacing w:before="70"/>
        <w:ind w:left="0"/>
        <w:jc w:val="left"/>
        <w:rPr>
          <w:rFonts w:hint="eastAsia"/>
          <w:b w:val="0"/>
          <w:bCs/>
          <w:sz w:val="33"/>
        </w:rPr>
      </w:pPr>
    </w:p>
    <w:p w14:paraId="2113297B">
      <w:pPr>
        <w:pStyle w:val="9"/>
        <w:spacing w:before="70"/>
        <w:ind w:left="0"/>
        <w:jc w:val="left"/>
        <w:rPr>
          <w:rFonts w:hint="eastAsia"/>
          <w:b w:val="0"/>
          <w:bCs/>
          <w:sz w:val="33"/>
        </w:rPr>
      </w:pPr>
      <w:r>
        <w:rPr>
          <w:rFonts w:hint="eastAsia"/>
          <w:b w:val="0"/>
          <w:bCs/>
          <w:sz w:val="33"/>
        </w:rPr>
        <w:t>In time, dispensational Bible colleges and seminaries began to spring up, from which there flowed a continuous stream of teachers, pastors, writers, and conference speakers.</w:t>
      </w:r>
    </w:p>
    <w:p w14:paraId="1A870F7D">
      <w:pPr>
        <w:pStyle w:val="9"/>
        <w:spacing w:before="70"/>
        <w:ind w:left="0"/>
        <w:jc w:val="left"/>
        <w:rPr>
          <w:rFonts w:hint="eastAsia"/>
          <w:b w:val="0"/>
          <w:bCs/>
          <w:sz w:val="33"/>
        </w:rPr>
      </w:pPr>
    </w:p>
    <w:p w14:paraId="4B5E1252">
      <w:pPr>
        <w:pStyle w:val="9"/>
        <w:spacing w:before="70"/>
        <w:ind w:left="0"/>
        <w:jc w:val="left"/>
        <w:rPr>
          <w:rFonts w:hint="eastAsia"/>
          <w:b w:val="0"/>
          <w:bCs/>
          <w:sz w:val="33"/>
        </w:rPr>
      </w:pPr>
      <w:r>
        <w:rPr>
          <w:rFonts w:hint="eastAsia"/>
          <w:b w:val="0"/>
          <w:bCs/>
          <w:sz w:val="33"/>
        </w:rPr>
        <w:t>后来，时代论的圣经学院和神学院开始涌现，从中源源不断地产生了教师、牧师、作家和会议讲员。</w:t>
      </w:r>
    </w:p>
    <w:p w14:paraId="6DC38843">
      <w:pPr>
        <w:pStyle w:val="9"/>
        <w:spacing w:before="70"/>
        <w:ind w:left="0"/>
        <w:jc w:val="left"/>
        <w:rPr>
          <w:rFonts w:hint="eastAsia"/>
          <w:b w:val="0"/>
          <w:bCs/>
          <w:sz w:val="33"/>
        </w:rPr>
      </w:pPr>
    </w:p>
    <w:p w14:paraId="39A789C8">
      <w:pPr>
        <w:pStyle w:val="9"/>
        <w:spacing w:before="70"/>
        <w:ind w:left="0"/>
        <w:jc w:val="left"/>
        <w:rPr>
          <w:rFonts w:hint="eastAsia"/>
          <w:b w:val="0"/>
          <w:bCs/>
          <w:sz w:val="33"/>
        </w:rPr>
      </w:pPr>
      <w:r>
        <w:rPr>
          <w:rFonts w:hint="eastAsia"/>
          <w:b w:val="0"/>
          <w:bCs/>
          <w:sz w:val="33"/>
        </w:rPr>
        <w:t>Familiar contemporary proponents of Dispensationalism include William Criswell, Norman Geisler, Dave Hunt, Thomas Ice, John Hagee, David Jeremiah, Tim LaHaye, Hal Lindsey, John MacArthur, Joel Rosenberg, Charles Ryrie, Chuck Smith, Charles Swindoll, Jack Van Impe, and John Walvoord.</w:t>
      </w:r>
    </w:p>
    <w:p w14:paraId="33AE0278">
      <w:pPr>
        <w:pStyle w:val="9"/>
        <w:spacing w:before="70"/>
        <w:ind w:left="0"/>
        <w:jc w:val="left"/>
        <w:rPr>
          <w:rFonts w:hint="eastAsia"/>
          <w:b w:val="0"/>
          <w:bCs/>
          <w:sz w:val="33"/>
        </w:rPr>
      </w:pPr>
    </w:p>
    <w:p w14:paraId="59E798F7">
      <w:pPr>
        <w:pStyle w:val="9"/>
        <w:spacing w:before="70"/>
        <w:ind w:left="0"/>
        <w:jc w:val="left"/>
        <w:rPr>
          <w:rFonts w:hint="eastAsia"/>
          <w:b w:val="0"/>
          <w:bCs/>
          <w:sz w:val="33"/>
        </w:rPr>
      </w:pPr>
      <w:r>
        <w:rPr>
          <w:rFonts w:hint="eastAsia"/>
          <w:b w:val="0"/>
          <w:bCs/>
          <w:sz w:val="33"/>
        </w:rPr>
        <w:t>时代论的当代著名倡导者包括威廉·克里斯韦尔、诺曼·盖斯勒、戴夫·亨特、托马斯·艾斯、约翰·哈吉、大卫·耶利米、蒂姆·莱希、哈尔·林赛、约翰·麦克阿瑟、乔尔·罗森伯格、查尔斯·莱利、查克·史密斯、查尔斯·史温道、杰克·范·因佩和约翰·华富德。</w:t>
      </w:r>
    </w:p>
    <w:p w14:paraId="6174A63B">
      <w:pPr>
        <w:pStyle w:val="9"/>
        <w:spacing w:before="70"/>
        <w:ind w:left="0"/>
        <w:jc w:val="left"/>
        <w:rPr>
          <w:rFonts w:hint="eastAsia"/>
          <w:b w:val="0"/>
          <w:bCs/>
          <w:sz w:val="33"/>
        </w:rPr>
      </w:pPr>
    </w:p>
    <w:p w14:paraId="4D87F8EE">
      <w:pPr>
        <w:pStyle w:val="9"/>
        <w:spacing w:before="70"/>
        <w:ind w:left="0"/>
        <w:jc w:val="left"/>
        <w:rPr>
          <w:rFonts w:hint="eastAsia"/>
          <w:b w:val="0"/>
          <w:bCs/>
          <w:sz w:val="33"/>
        </w:rPr>
      </w:pPr>
      <w:r>
        <w:rPr>
          <w:rFonts w:hint="eastAsia"/>
          <w:b w:val="0"/>
          <w:bCs/>
          <w:sz w:val="33"/>
        </w:rPr>
        <w:t>At the very heart of Dispensationalism lies a novel and highly controversial thesis, namely, that God has always had two separate plans for two separate peoples: Israel and the Church.</w:t>
      </w:r>
    </w:p>
    <w:p w14:paraId="6CFAD56B">
      <w:pPr>
        <w:pStyle w:val="9"/>
        <w:spacing w:before="70"/>
        <w:ind w:left="0"/>
        <w:jc w:val="left"/>
        <w:rPr>
          <w:rFonts w:hint="eastAsia"/>
          <w:b w:val="0"/>
          <w:bCs/>
          <w:sz w:val="33"/>
        </w:rPr>
      </w:pPr>
    </w:p>
    <w:p w14:paraId="208DC9EA">
      <w:pPr>
        <w:pStyle w:val="9"/>
        <w:spacing w:before="70"/>
        <w:ind w:left="0"/>
        <w:jc w:val="left"/>
        <w:rPr>
          <w:rFonts w:hint="eastAsia"/>
          <w:b w:val="0"/>
          <w:bCs/>
          <w:sz w:val="33"/>
        </w:rPr>
      </w:pPr>
      <w:r>
        <w:rPr>
          <w:rFonts w:hint="eastAsia"/>
          <w:b w:val="0"/>
          <w:bCs/>
          <w:sz w:val="33"/>
        </w:rPr>
        <w:t>时代论的核心是一个新颖且极具争议的论点，即神一直以来都为两个不同的子民——以色列和教会——预备了两个不同的计划。</w:t>
      </w:r>
    </w:p>
    <w:p w14:paraId="6CEA824C">
      <w:pPr>
        <w:pStyle w:val="9"/>
        <w:spacing w:before="70"/>
        <w:ind w:left="0"/>
        <w:jc w:val="left"/>
        <w:rPr>
          <w:rFonts w:hint="eastAsia"/>
          <w:b w:val="0"/>
          <w:bCs/>
          <w:sz w:val="33"/>
        </w:rPr>
      </w:pPr>
    </w:p>
    <w:p w14:paraId="747455AA">
      <w:pPr>
        <w:pStyle w:val="9"/>
        <w:spacing w:before="70"/>
        <w:ind w:left="0"/>
        <w:jc w:val="left"/>
        <w:rPr>
          <w:rFonts w:hint="eastAsia"/>
          <w:b w:val="0"/>
          <w:bCs/>
          <w:sz w:val="33"/>
        </w:rPr>
      </w:pPr>
      <w:r>
        <w:rPr>
          <w:rFonts w:hint="eastAsia"/>
          <w:b w:val="0"/>
          <w:bCs/>
          <w:sz w:val="33"/>
        </w:rPr>
        <w:t>This conviction is reflected in its picture of Salvation History, which is divided into seven different dispensations.</w:t>
      </w:r>
    </w:p>
    <w:p w14:paraId="5577E64F">
      <w:pPr>
        <w:pStyle w:val="9"/>
        <w:spacing w:before="70"/>
        <w:ind w:left="0"/>
        <w:jc w:val="left"/>
        <w:rPr>
          <w:rFonts w:hint="eastAsia"/>
          <w:b w:val="0"/>
          <w:bCs/>
          <w:sz w:val="33"/>
        </w:rPr>
      </w:pPr>
    </w:p>
    <w:p w14:paraId="51CD274A">
      <w:pPr>
        <w:pStyle w:val="9"/>
        <w:spacing w:before="70"/>
        <w:ind w:left="0"/>
        <w:jc w:val="left"/>
        <w:rPr>
          <w:rFonts w:hint="eastAsia"/>
          <w:b w:val="0"/>
          <w:bCs/>
          <w:sz w:val="33"/>
        </w:rPr>
      </w:pPr>
      <w:r>
        <w:rPr>
          <w:rFonts w:hint="eastAsia"/>
          <w:b w:val="0"/>
          <w:bCs/>
          <w:sz w:val="33"/>
        </w:rPr>
        <w:t>这种信念反映在其对救赎历史的描绘中，该历史被划分为七个不同的时代。</w:t>
      </w:r>
    </w:p>
    <w:p w14:paraId="044E56D9">
      <w:pPr>
        <w:pStyle w:val="9"/>
        <w:spacing w:before="70"/>
        <w:ind w:left="0"/>
        <w:jc w:val="left"/>
        <w:rPr>
          <w:rFonts w:hint="eastAsia"/>
          <w:b w:val="0"/>
          <w:bCs/>
          <w:sz w:val="33"/>
        </w:rPr>
      </w:pPr>
    </w:p>
    <w:p w14:paraId="038A17EE">
      <w:pPr>
        <w:pStyle w:val="9"/>
        <w:spacing w:before="70"/>
        <w:ind w:left="0"/>
        <w:jc w:val="left"/>
        <w:rPr>
          <w:rFonts w:hint="eastAsia"/>
          <w:b w:val="0"/>
          <w:bCs/>
          <w:sz w:val="33"/>
        </w:rPr>
      </w:pPr>
      <w:r>
        <w:rPr>
          <w:rFonts w:hint="eastAsia"/>
          <w:b w:val="0"/>
          <w:bCs/>
          <w:sz w:val="33"/>
        </w:rPr>
        <w:t>Here, a dispensation is defined as a period of time during which God tests people in a particular way.</w:t>
      </w:r>
    </w:p>
    <w:p w14:paraId="42F62364">
      <w:pPr>
        <w:pStyle w:val="9"/>
        <w:spacing w:before="70"/>
        <w:ind w:left="0"/>
        <w:jc w:val="left"/>
        <w:rPr>
          <w:rFonts w:hint="eastAsia"/>
          <w:b w:val="0"/>
          <w:bCs/>
          <w:sz w:val="33"/>
        </w:rPr>
      </w:pPr>
    </w:p>
    <w:p w14:paraId="29A10A4E">
      <w:pPr>
        <w:pStyle w:val="9"/>
        <w:spacing w:before="70"/>
        <w:ind w:left="0"/>
        <w:jc w:val="left"/>
        <w:rPr>
          <w:rFonts w:hint="eastAsia"/>
          <w:b w:val="0"/>
          <w:bCs/>
          <w:sz w:val="33"/>
        </w:rPr>
      </w:pPr>
      <w:r>
        <w:rPr>
          <w:rFonts w:hint="eastAsia"/>
          <w:b w:val="0"/>
          <w:bCs/>
          <w:sz w:val="33"/>
        </w:rPr>
        <w:t>在这里，一个时代被定义为一段时期，在此期间神以一种特定的方式试验人。</w:t>
      </w:r>
    </w:p>
    <w:p w14:paraId="2311CC95">
      <w:pPr>
        <w:pStyle w:val="9"/>
        <w:spacing w:before="70"/>
        <w:ind w:left="0"/>
        <w:jc w:val="left"/>
        <w:rPr>
          <w:rFonts w:hint="eastAsia"/>
          <w:b w:val="0"/>
          <w:bCs/>
          <w:sz w:val="33"/>
        </w:rPr>
      </w:pPr>
    </w:p>
    <w:p w14:paraId="4CA7CE69">
      <w:pPr>
        <w:pStyle w:val="9"/>
        <w:spacing w:before="70"/>
        <w:ind w:left="0"/>
        <w:jc w:val="left"/>
        <w:rPr>
          <w:rFonts w:hint="eastAsia"/>
          <w:b w:val="0"/>
          <w:bCs/>
          <w:sz w:val="33"/>
        </w:rPr>
      </w:pPr>
      <w:r>
        <w:rPr>
          <w:rFonts w:hint="eastAsia"/>
          <w:b w:val="0"/>
          <w:bCs/>
          <w:sz w:val="33"/>
        </w:rPr>
        <w:t>Accordingly, the Era of Promise and Preparation is broken up into four separate dispensations, each of which is characterized by a different test: Conscience (Adam), Human Government (Noah), Promise (Abraham), and Law (Moses/Israel).</w:t>
      </w:r>
    </w:p>
    <w:p w14:paraId="7ECC2F19">
      <w:pPr>
        <w:pStyle w:val="9"/>
        <w:spacing w:before="70"/>
        <w:ind w:left="0"/>
        <w:jc w:val="left"/>
        <w:rPr>
          <w:rFonts w:hint="eastAsia"/>
          <w:b w:val="0"/>
          <w:bCs/>
          <w:sz w:val="33"/>
        </w:rPr>
      </w:pPr>
    </w:p>
    <w:p w14:paraId="4F974BB0">
      <w:pPr>
        <w:pStyle w:val="9"/>
        <w:spacing w:before="70"/>
        <w:ind w:left="0"/>
        <w:jc w:val="left"/>
        <w:rPr>
          <w:rFonts w:hint="eastAsia"/>
          <w:b w:val="0"/>
          <w:bCs/>
          <w:sz w:val="33"/>
        </w:rPr>
      </w:pPr>
      <w:r>
        <w:rPr>
          <w:rFonts w:hint="eastAsia"/>
          <w:b w:val="0"/>
          <w:bCs/>
          <w:sz w:val="33"/>
        </w:rPr>
        <w:t>因此，应许与预备的时代被划分为四个不同的时代，每个时代都以一种不同的试验为特征：良心（亚当）、人类治理（挪亚）、应许（亚伯拉罕）和律法（摩西/以色列）。</w:t>
      </w:r>
    </w:p>
    <w:p w14:paraId="328424B4">
      <w:pPr>
        <w:pStyle w:val="9"/>
        <w:spacing w:before="70"/>
        <w:ind w:left="0"/>
        <w:jc w:val="left"/>
        <w:rPr>
          <w:rFonts w:hint="eastAsia"/>
          <w:b w:val="0"/>
          <w:bCs/>
          <w:sz w:val="33"/>
        </w:rPr>
      </w:pPr>
    </w:p>
    <w:p w14:paraId="46F60FE1">
      <w:pPr>
        <w:pStyle w:val="9"/>
        <w:spacing w:before="70"/>
        <w:ind w:left="0"/>
        <w:jc w:val="left"/>
        <w:rPr>
          <w:rFonts w:hint="eastAsia"/>
          <w:b w:val="0"/>
          <w:bCs/>
          <w:sz w:val="33"/>
        </w:rPr>
      </w:pPr>
      <w:r>
        <w:rPr>
          <w:rFonts w:hint="eastAsia"/>
          <w:b w:val="0"/>
          <w:bCs/>
          <w:sz w:val="33"/>
        </w:rPr>
        <w:t>Among these, the fourth looms especially large, since it was during this troubled season of Israel’s moral failure that God, through his prophets, ever-increasingly promised that he would restore his (scattered) people to their homeland in Canaan, send them a Messianic King, and set up a global theocracy with Israel as the head and the Gentiles as the tail.</w:t>
      </w:r>
    </w:p>
    <w:p w14:paraId="08F6AC39">
      <w:pPr>
        <w:pStyle w:val="9"/>
        <w:spacing w:before="70"/>
        <w:ind w:left="0"/>
        <w:jc w:val="left"/>
        <w:rPr>
          <w:rFonts w:hint="eastAsia"/>
          <w:b w:val="0"/>
          <w:bCs/>
          <w:sz w:val="33"/>
        </w:rPr>
      </w:pPr>
    </w:p>
    <w:p w14:paraId="03608877">
      <w:pPr>
        <w:pStyle w:val="9"/>
        <w:spacing w:before="70"/>
        <w:ind w:left="0"/>
        <w:jc w:val="left"/>
        <w:rPr>
          <w:rFonts w:hint="eastAsia"/>
          <w:b w:val="0"/>
          <w:bCs/>
          <w:sz w:val="33"/>
        </w:rPr>
      </w:pPr>
      <w:r>
        <w:rPr>
          <w:rFonts w:hint="eastAsia"/>
          <w:b w:val="0"/>
          <w:bCs/>
          <w:sz w:val="33"/>
        </w:rPr>
        <w:t>其中，第四个时代尤为突出，因为正是在以色列道德失败的这个动荡时期，神透过祂的申言者，日益增加地应许祂将把祂（被分散）的子民恢复到他们在迦南的家园，差遣他们一位弥赛亚君王，并建立一个以以色列为首、外邦人为尾的全球性神权政体。</w:t>
      </w:r>
    </w:p>
    <w:p w14:paraId="70EC286D">
      <w:pPr>
        <w:pStyle w:val="9"/>
        <w:spacing w:before="70"/>
        <w:ind w:left="0"/>
        <w:jc w:val="left"/>
        <w:rPr>
          <w:rFonts w:hint="eastAsia"/>
          <w:b w:val="0"/>
          <w:bCs/>
          <w:sz w:val="33"/>
        </w:rPr>
      </w:pPr>
    </w:p>
    <w:p w14:paraId="59FEA728">
      <w:pPr>
        <w:pStyle w:val="9"/>
        <w:spacing w:before="70"/>
        <w:ind w:left="0"/>
        <w:jc w:val="left"/>
        <w:rPr>
          <w:rFonts w:hint="eastAsia"/>
          <w:b w:val="0"/>
          <w:bCs/>
          <w:sz w:val="33"/>
        </w:rPr>
      </w:pPr>
      <w:r>
        <w:rPr>
          <w:rFonts w:hint="eastAsia"/>
          <w:b w:val="0"/>
          <w:bCs/>
          <w:sz w:val="33"/>
        </w:rPr>
        <w:t>In other words, dispensationalists interpret OT Kingdom prophecy quite literally, and therefore anticipate a future “dispensation of the Kingdom” wherein God’s earthly people—ethnic Israel—will again be situated in Palestine, ruling and reigning triumphantly with their Messiah over the nations of the world.</w:t>
      </w:r>
    </w:p>
    <w:p w14:paraId="212405D8">
      <w:pPr>
        <w:pStyle w:val="9"/>
        <w:spacing w:before="70"/>
        <w:ind w:left="0"/>
        <w:jc w:val="left"/>
        <w:rPr>
          <w:rFonts w:hint="eastAsia"/>
          <w:b w:val="0"/>
          <w:bCs/>
          <w:sz w:val="33"/>
        </w:rPr>
      </w:pPr>
    </w:p>
    <w:p w14:paraId="429B856E">
      <w:pPr>
        <w:pStyle w:val="9"/>
        <w:spacing w:before="70"/>
        <w:ind w:left="0"/>
        <w:jc w:val="left"/>
        <w:rPr>
          <w:rFonts w:hint="eastAsia"/>
          <w:b w:val="0"/>
          <w:bCs/>
          <w:sz w:val="33"/>
        </w:rPr>
      </w:pPr>
      <w:r>
        <w:rPr>
          <w:rFonts w:hint="eastAsia"/>
          <w:b w:val="0"/>
          <w:bCs/>
          <w:sz w:val="33"/>
        </w:rPr>
        <w:t>换句话说，时代论者相当字面地解释旧约的国度预言，因此预期一个未来的“国度时代”，在其中神的属地子民——以色列民族——将再次定居于巴勒斯坦，与他们的弥赛亚一同得胜地统治并掌管世界列国。</w:t>
      </w:r>
    </w:p>
    <w:p w14:paraId="3EF8EFEA">
      <w:pPr>
        <w:pStyle w:val="9"/>
        <w:spacing w:before="70"/>
        <w:ind w:left="0"/>
        <w:jc w:val="left"/>
        <w:rPr>
          <w:rFonts w:hint="eastAsia"/>
          <w:b w:val="0"/>
          <w:bCs/>
          <w:sz w:val="33"/>
        </w:rPr>
      </w:pPr>
    </w:p>
    <w:p w14:paraId="780AE5AB">
      <w:pPr>
        <w:pStyle w:val="9"/>
        <w:spacing w:before="70"/>
        <w:ind w:left="0"/>
        <w:jc w:val="left"/>
        <w:rPr>
          <w:rFonts w:hint="eastAsia"/>
          <w:b w:val="0"/>
          <w:bCs/>
          <w:sz w:val="33"/>
        </w:rPr>
      </w:pPr>
      <w:r>
        <w:rPr>
          <w:rFonts w:hint="eastAsia"/>
          <w:b w:val="0"/>
          <w:bCs/>
          <w:sz w:val="33"/>
        </w:rPr>
        <w:t>This brings us to the NT era.</w:t>
      </w:r>
    </w:p>
    <w:p w14:paraId="21F6072C">
      <w:pPr>
        <w:pStyle w:val="9"/>
        <w:spacing w:before="70"/>
        <w:ind w:left="0"/>
        <w:jc w:val="left"/>
        <w:rPr>
          <w:rFonts w:hint="eastAsia"/>
          <w:b w:val="0"/>
          <w:bCs/>
          <w:sz w:val="33"/>
        </w:rPr>
      </w:pPr>
    </w:p>
    <w:p w14:paraId="5C7B373C">
      <w:pPr>
        <w:pStyle w:val="9"/>
        <w:spacing w:before="70"/>
        <w:ind w:left="0"/>
        <w:jc w:val="left"/>
        <w:rPr>
          <w:rFonts w:hint="eastAsia"/>
          <w:b w:val="0"/>
          <w:bCs/>
          <w:sz w:val="33"/>
        </w:rPr>
      </w:pPr>
      <w:r>
        <w:rPr>
          <w:rFonts w:hint="eastAsia"/>
          <w:b w:val="0"/>
          <w:bCs/>
          <w:sz w:val="33"/>
        </w:rPr>
        <w:t>这就把我们带到了新约时代。</w:t>
      </w:r>
    </w:p>
    <w:p w14:paraId="42E4D694">
      <w:pPr>
        <w:pStyle w:val="9"/>
        <w:spacing w:before="70"/>
        <w:ind w:left="0"/>
        <w:jc w:val="left"/>
        <w:rPr>
          <w:rFonts w:hint="eastAsia"/>
          <w:b w:val="0"/>
          <w:bCs/>
          <w:sz w:val="33"/>
        </w:rPr>
      </w:pPr>
    </w:p>
    <w:p w14:paraId="09D8B974">
      <w:pPr>
        <w:pStyle w:val="9"/>
        <w:spacing w:before="70"/>
        <w:ind w:left="0"/>
        <w:jc w:val="left"/>
        <w:rPr>
          <w:rFonts w:hint="eastAsia"/>
          <w:b w:val="0"/>
          <w:bCs/>
          <w:sz w:val="33"/>
        </w:rPr>
      </w:pPr>
      <w:r>
        <w:rPr>
          <w:rFonts w:hint="eastAsia"/>
          <w:b w:val="0"/>
          <w:bCs/>
          <w:sz w:val="33"/>
        </w:rPr>
        <w:t>Here, God finally sends his Son into the world for the express purpose of offering the promised theocratic Kingdom to Israel.</w:t>
      </w:r>
    </w:p>
    <w:p w14:paraId="4EB6246D">
      <w:pPr>
        <w:pStyle w:val="9"/>
        <w:spacing w:before="70"/>
        <w:ind w:left="0"/>
        <w:jc w:val="left"/>
        <w:rPr>
          <w:rFonts w:hint="eastAsia"/>
          <w:b w:val="0"/>
          <w:bCs/>
          <w:sz w:val="33"/>
        </w:rPr>
      </w:pPr>
    </w:p>
    <w:p w14:paraId="417F9756">
      <w:pPr>
        <w:pStyle w:val="9"/>
        <w:spacing w:before="70"/>
        <w:ind w:left="0"/>
        <w:jc w:val="left"/>
        <w:rPr>
          <w:rFonts w:hint="eastAsia"/>
          <w:b w:val="0"/>
          <w:bCs/>
          <w:sz w:val="33"/>
        </w:rPr>
      </w:pPr>
      <w:r>
        <w:rPr>
          <w:rFonts w:hint="eastAsia"/>
          <w:b w:val="0"/>
          <w:bCs/>
          <w:sz w:val="33"/>
        </w:rPr>
        <w:t>在这里，神最终差遣祂的儿子进入世界，其明确目的是要将所应许的神权政体国度提供给以色列。</w:t>
      </w:r>
    </w:p>
    <w:p w14:paraId="251E720E">
      <w:pPr>
        <w:pStyle w:val="9"/>
        <w:spacing w:before="70"/>
        <w:ind w:left="0"/>
        <w:jc w:val="left"/>
        <w:rPr>
          <w:rFonts w:hint="eastAsia"/>
          <w:b w:val="0"/>
          <w:bCs/>
          <w:sz w:val="33"/>
        </w:rPr>
      </w:pPr>
    </w:p>
    <w:p w14:paraId="371A1491">
      <w:pPr>
        <w:pStyle w:val="9"/>
        <w:spacing w:before="70"/>
        <w:ind w:left="0"/>
        <w:jc w:val="left"/>
        <w:rPr>
          <w:rFonts w:hint="eastAsia"/>
          <w:b w:val="0"/>
          <w:bCs/>
          <w:sz w:val="33"/>
        </w:rPr>
      </w:pPr>
      <w:r>
        <w:rPr>
          <w:rFonts w:hint="eastAsia"/>
          <w:b w:val="0"/>
          <w:bCs/>
          <w:sz w:val="33"/>
        </w:rPr>
        <w:t>However, as the NT makes painfully clear, Israel largely refuses to repent and trust in Christ, thereby failing their test and forfeiting the Kingdom.</w:t>
      </w:r>
    </w:p>
    <w:p w14:paraId="5C1C2635">
      <w:pPr>
        <w:pStyle w:val="9"/>
        <w:spacing w:before="70"/>
        <w:ind w:left="0"/>
        <w:jc w:val="left"/>
        <w:rPr>
          <w:rFonts w:hint="eastAsia"/>
          <w:b w:val="0"/>
          <w:bCs/>
          <w:sz w:val="33"/>
        </w:rPr>
      </w:pPr>
    </w:p>
    <w:p w14:paraId="4EC749CE">
      <w:pPr>
        <w:pStyle w:val="9"/>
        <w:spacing w:before="70"/>
        <w:ind w:left="0"/>
        <w:jc w:val="left"/>
        <w:rPr>
          <w:rFonts w:hint="eastAsia"/>
          <w:b w:val="0"/>
          <w:bCs/>
          <w:sz w:val="33"/>
        </w:rPr>
      </w:pPr>
      <w:r>
        <w:rPr>
          <w:rFonts w:hint="eastAsia"/>
          <w:b w:val="0"/>
          <w:bCs/>
          <w:sz w:val="33"/>
        </w:rPr>
        <w:t>然而，正如新约痛苦地指出的，以色列大体上拒绝悔改并信靠基督，因此未能通过他们的试验，并丧失了国度。</w:t>
      </w:r>
    </w:p>
    <w:p w14:paraId="26AF3771">
      <w:pPr>
        <w:pStyle w:val="9"/>
        <w:spacing w:before="70"/>
        <w:ind w:left="0"/>
        <w:jc w:val="left"/>
        <w:rPr>
          <w:rFonts w:hint="eastAsia"/>
          <w:b w:val="0"/>
          <w:bCs/>
          <w:sz w:val="33"/>
        </w:rPr>
      </w:pPr>
    </w:p>
    <w:p w14:paraId="4ED30BD8">
      <w:pPr>
        <w:pStyle w:val="9"/>
        <w:spacing w:before="70"/>
        <w:ind w:left="0"/>
        <w:jc w:val="left"/>
        <w:rPr>
          <w:rFonts w:hint="eastAsia"/>
          <w:b w:val="0"/>
          <w:bCs/>
          <w:sz w:val="33"/>
        </w:rPr>
      </w:pPr>
      <w:r>
        <w:rPr>
          <w:rFonts w:hint="eastAsia"/>
          <w:b w:val="0"/>
          <w:bCs/>
          <w:sz w:val="33"/>
        </w:rPr>
        <w:t>But this does not spell the death of God’s Kingdom promises.</w:t>
      </w:r>
    </w:p>
    <w:p w14:paraId="3C03D538">
      <w:pPr>
        <w:pStyle w:val="9"/>
        <w:spacing w:before="70"/>
        <w:ind w:left="0"/>
        <w:jc w:val="left"/>
        <w:rPr>
          <w:rFonts w:hint="eastAsia"/>
          <w:b w:val="0"/>
          <w:bCs/>
          <w:sz w:val="33"/>
        </w:rPr>
      </w:pPr>
    </w:p>
    <w:p w14:paraId="3A740AC2">
      <w:pPr>
        <w:pStyle w:val="9"/>
        <w:spacing w:before="70"/>
        <w:ind w:left="0"/>
        <w:jc w:val="left"/>
        <w:rPr>
          <w:rFonts w:hint="eastAsia"/>
          <w:b w:val="0"/>
          <w:bCs/>
          <w:sz w:val="33"/>
        </w:rPr>
      </w:pPr>
      <w:r>
        <w:rPr>
          <w:rFonts w:hint="eastAsia"/>
          <w:b w:val="0"/>
          <w:bCs/>
          <w:sz w:val="33"/>
        </w:rPr>
        <w:t>但这并不意味着神国度应许的死亡。</w:t>
      </w:r>
    </w:p>
    <w:p w14:paraId="43E29F51">
      <w:pPr>
        <w:pStyle w:val="9"/>
        <w:spacing w:before="70"/>
        <w:ind w:left="0"/>
        <w:jc w:val="left"/>
        <w:rPr>
          <w:rFonts w:hint="eastAsia"/>
          <w:b w:val="0"/>
          <w:bCs/>
          <w:sz w:val="33"/>
        </w:rPr>
      </w:pPr>
    </w:p>
    <w:p w14:paraId="45617D8C">
      <w:pPr>
        <w:pStyle w:val="9"/>
        <w:spacing w:before="70"/>
        <w:ind w:left="0"/>
        <w:jc w:val="left"/>
        <w:rPr>
          <w:rFonts w:hint="eastAsia"/>
          <w:b w:val="0"/>
          <w:bCs/>
          <w:sz w:val="33"/>
        </w:rPr>
      </w:pPr>
      <w:r>
        <w:rPr>
          <w:rFonts w:hint="eastAsia"/>
          <w:b w:val="0"/>
          <w:bCs/>
          <w:sz w:val="33"/>
        </w:rPr>
        <w:t>Instead, God simply postpones the dispensation of the Kingdom until the Millennium (Mt. 11:20f).</w:t>
      </w:r>
    </w:p>
    <w:p w14:paraId="64E63358">
      <w:pPr>
        <w:pStyle w:val="9"/>
        <w:spacing w:before="70"/>
        <w:ind w:left="0"/>
        <w:jc w:val="left"/>
        <w:rPr>
          <w:rFonts w:hint="eastAsia"/>
          <w:b w:val="0"/>
          <w:bCs/>
          <w:sz w:val="33"/>
        </w:rPr>
      </w:pPr>
    </w:p>
    <w:p w14:paraId="157F777C">
      <w:pPr>
        <w:pStyle w:val="9"/>
        <w:spacing w:before="70"/>
        <w:ind w:left="0"/>
        <w:jc w:val="left"/>
        <w:rPr>
          <w:rFonts w:hint="eastAsia"/>
          <w:b w:val="0"/>
          <w:bCs/>
          <w:sz w:val="33"/>
        </w:rPr>
      </w:pPr>
      <w:r>
        <w:rPr>
          <w:rFonts w:hint="eastAsia"/>
          <w:b w:val="0"/>
          <w:bCs/>
          <w:sz w:val="33"/>
        </w:rPr>
        <w:t>相反，神只是将国度的时代推迟到千禧年（太 11:20及以下）。</w:t>
      </w:r>
    </w:p>
    <w:p w14:paraId="568C40BE">
      <w:pPr>
        <w:pStyle w:val="9"/>
        <w:spacing w:before="70"/>
        <w:ind w:left="0"/>
        <w:jc w:val="left"/>
        <w:rPr>
          <w:rFonts w:hint="eastAsia"/>
          <w:b w:val="0"/>
          <w:bCs/>
          <w:sz w:val="33"/>
        </w:rPr>
      </w:pPr>
    </w:p>
    <w:p w14:paraId="5C963606">
      <w:pPr>
        <w:pStyle w:val="9"/>
        <w:spacing w:before="70"/>
        <w:ind w:left="0"/>
        <w:jc w:val="left"/>
        <w:rPr>
          <w:rFonts w:hint="eastAsia"/>
          <w:b w:val="0"/>
          <w:bCs/>
          <w:sz w:val="33"/>
        </w:rPr>
      </w:pPr>
      <w:r>
        <w:rPr>
          <w:rFonts w:hint="eastAsia"/>
          <w:b w:val="0"/>
          <w:bCs/>
          <w:sz w:val="33"/>
        </w:rPr>
        <w:t>Meanwhile, about mid way through his earthly ministry, Christ unveils a new plan, intended by God to create a new, heavenly people, and to introduce a new, heavenly dispensation: the Dispensation of the Church (Mt. 13:1f).</w:t>
      </w:r>
    </w:p>
    <w:p w14:paraId="42AD46CD">
      <w:pPr>
        <w:pStyle w:val="9"/>
        <w:spacing w:before="70"/>
        <w:ind w:left="0"/>
        <w:jc w:val="left"/>
        <w:rPr>
          <w:rFonts w:hint="eastAsia"/>
          <w:b w:val="0"/>
          <w:bCs/>
          <w:sz w:val="33"/>
        </w:rPr>
      </w:pPr>
    </w:p>
    <w:p w14:paraId="385A1967">
      <w:pPr>
        <w:pStyle w:val="9"/>
        <w:spacing w:before="70"/>
        <w:ind w:left="0"/>
        <w:jc w:val="left"/>
        <w:rPr>
          <w:rFonts w:hint="eastAsia"/>
          <w:b w:val="0"/>
          <w:bCs/>
          <w:sz w:val="33"/>
        </w:rPr>
      </w:pPr>
      <w:r>
        <w:rPr>
          <w:rFonts w:hint="eastAsia"/>
          <w:b w:val="0"/>
          <w:bCs/>
          <w:sz w:val="33"/>
        </w:rPr>
        <w:t>与此同时，在大约祂地上职事的中途，基督揭示了一个新的计划，意在由神创造一个新的、属天的子民，并引入一个新的、属天的时代：教会的时代（太 13:1及以下）。</w:t>
      </w:r>
    </w:p>
    <w:p w14:paraId="7CC8974A">
      <w:pPr>
        <w:pStyle w:val="9"/>
        <w:spacing w:before="70"/>
        <w:ind w:left="0"/>
        <w:jc w:val="left"/>
        <w:rPr>
          <w:rFonts w:hint="eastAsia"/>
          <w:b w:val="0"/>
          <w:bCs/>
          <w:sz w:val="33"/>
        </w:rPr>
      </w:pPr>
    </w:p>
    <w:p w14:paraId="28365E49">
      <w:pPr>
        <w:pStyle w:val="9"/>
        <w:spacing w:before="70"/>
        <w:ind w:left="0"/>
        <w:jc w:val="left"/>
        <w:rPr>
          <w:rFonts w:hint="eastAsia"/>
          <w:b w:val="0"/>
          <w:bCs/>
          <w:sz w:val="33"/>
        </w:rPr>
      </w:pPr>
      <w:r>
        <w:rPr>
          <w:rFonts w:hint="eastAsia"/>
          <w:b w:val="0"/>
          <w:bCs/>
          <w:sz w:val="33"/>
        </w:rPr>
        <w:t>This dispensation is sometimes called the “mystery form” of the Kingdom, since here Christ does indeed rule over his saints, but only inwardly, by his Spirit.</w:t>
      </w:r>
    </w:p>
    <w:p w14:paraId="5BD8FFDC">
      <w:pPr>
        <w:pStyle w:val="9"/>
        <w:spacing w:before="70"/>
        <w:ind w:left="0"/>
        <w:jc w:val="left"/>
        <w:rPr>
          <w:rFonts w:hint="eastAsia"/>
          <w:b w:val="0"/>
          <w:bCs/>
          <w:sz w:val="33"/>
        </w:rPr>
      </w:pPr>
    </w:p>
    <w:p w14:paraId="41135575">
      <w:pPr>
        <w:pStyle w:val="9"/>
        <w:spacing w:before="70"/>
        <w:ind w:left="0"/>
        <w:jc w:val="left"/>
        <w:rPr>
          <w:rFonts w:hint="eastAsia"/>
          <w:b w:val="0"/>
          <w:bCs/>
          <w:sz w:val="33"/>
        </w:rPr>
      </w:pPr>
      <w:r>
        <w:rPr>
          <w:rFonts w:hint="eastAsia"/>
          <w:b w:val="0"/>
          <w:bCs/>
          <w:sz w:val="33"/>
        </w:rPr>
        <w:t>这个时代有时被称为国度的“奥秘形式”，因为在这里基督确实统治祂的圣徒，但只是内在的，借着祂的灵。</w:t>
      </w:r>
    </w:p>
    <w:p w14:paraId="35B4D654">
      <w:pPr>
        <w:pStyle w:val="9"/>
        <w:spacing w:before="70"/>
        <w:ind w:left="0"/>
        <w:jc w:val="left"/>
        <w:rPr>
          <w:rFonts w:hint="eastAsia"/>
          <w:b w:val="0"/>
          <w:bCs/>
          <w:sz w:val="33"/>
        </w:rPr>
      </w:pPr>
    </w:p>
    <w:p w14:paraId="45EB20AA">
      <w:pPr>
        <w:pStyle w:val="9"/>
        <w:spacing w:before="70"/>
        <w:ind w:left="0"/>
        <w:jc w:val="left"/>
        <w:rPr>
          <w:rFonts w:hint="eastAsia"/>
          <w:b w:val="0"/>
          <w:bCs/>
          <w:sz w:val="33"/>
        </w:rPr>
      </w:pPr>
      <w:r>
        <w:rPr>
          <w:rFonts w:hint="eastAsia"/>
          <w:b w:val="0"/>
          <w:bCs/>
          <w:sz w:val="33"/>
        </w:rPr>
        <w:t>Very importantly, dispensationalists insist that this new plan was a pure mystery; that the OT prophets never foresaw or spoke of it at all; that Christ introduced it altogether de novo during the days of his flesh, when he saw that the Jewish nation would reject him, even unto the death.</w:t>
      </w:r>
    </w:p>
    <w:p w14:paraId="17ABA4A7">
      <w:pPr>
        <w:pStyle w:val="9"/>
        <w:spacing w:before="70"/>
        <w:ind w:left="0"/>
        <w:jc w:val="left"/>
        <w:rPr>
          <w:rFonts w:hint="eastAsia"/>
          <w:b w:val="0"/>
          <w:bCs/>
          <w:sz w:val="33"/>
        </w:rPr>
      </w:pPr>
    </w:p>
    <w:p w14:paraId="7D911AD6">
      <w:pPr>
        <w:pStyle w:val="9"/>
        <w:spacing w:before="70"/>
        <w:ind w:left="0"/>
        <w:jc w:val="left"/>
        <w:rPr>
          <w:rFonts w:hint="eastAsia"/>
          <w:b w:val="0"/>
          <w:bCs/>
          <w:sz w:val="33"/>
        </w:rPr>
      </w:pPr>
      <w:r>
        <w:rPr>
          <w:rFonts w:hint="eastAsia"/>
          <w:b w:val="0"/>
          <w:bCs/>
          <w:sz w:val="33"/>
        </w:rPr>
        <w:t>非常重要的一点是，时代论者坚持认为这个新计划纯粹是一个奥秘；旧约的申言者从未预见或谈论过它；基督是在祂肉身的日子里，当祂看到犹太民族将要拒绝祂，甚至置祂于死地时，才完全从新引进了它。</w:t>
      </w:r>
    </w:p>
    <w:p w14:paraId="1AB9A7A6">
      <w:pPr>
        <w:pStyle w:val="9"/>
        <w:spacing w:before="70"/>
        <w:ind w:left="0"/>
        <w:jc w:val="left"/>
        <w:rPr>
          <w:rFonts w:hint="eastAsia"/>
          <w:b w:val="0"/>
          <w:bCs/>
          <w:sz w:val="33"/>
        </w:rPr>
      </w:pPr>
    </w:p>
    <w:p w14:paraId="5A9A1B4D">
      <w:pPr>
        <w:pStyle w:val="9"/>
        <w:spacing w:before="70"/>
        <w:ind w:left="0"/>
        <w:jc w:val="left"/>
        <w:rPr>
          <w:rFonts w:hint="eastAsia"/>
          <w:b w:val="0"/>
          <w:bCs/>
          <w:sz w:val="33"/>
        </w:rPr>
      </w:pPr>
      <w:r>
        <w:rPr>
          <w:rFonts w:hint="eastAsia"/>
          <w:b w:val="0"/>
          <w:bCs/>
          <w:sz w:val="33"/>
        </w:rPr>
        <w:t>And that, of course, is precisely what happened, with the result that on the Day of Pentecost the crucified, risen, ascended, and glorified Christ did indeed give birth to a heavenly people, pouring out the Holy Spirit on his own, and seating them —and all who would afterwards believe their report—with him in heavenly places at the Father’s own right hand.</w:t>
      </w:r>
    </w:p>
    <w:p w14:paraId="5C5CF147">
      <w:pPr>
        <w:pStyle w:val="9"/>
        <w:spacing w:before="70"/>
        <w:ind w:left="0"/>
        <w:jc w:val="left"/>
        <w:rPr>
          <w:rFonts w:hint="eastAsia"/>
          <w:b w:val="0"/>
          <w:bCs/>
          <w:sz w:val="33"/>
        </w:rPr>
      </w:pPr>
    </w:p>
    <w:p w14:paraId="48C5D621">
      <w:pPr>
        <w:pStyle w:val="9"/>
        <w:spacing w:before="70"/>
        <w:ind w:left="0"/>
        <w:jc w:val="left"/>
        <w:rPr>
          <w:rFonts w:hint="eastAsia"/>
          <w:b w:val="0"/>
          <w:bCs/>
          <w:sz w:val="33"/>
        </w:rPr>
      </w:pPr>
      <w:r>
        <w:rPr>
          <w:rFonts w:hint="eastAsia"/>
          <w:b w:val="0"/>
          <w:bCs/>
          <w:sz w:val="33"/>
        </w:rPr>
        <w:t>当然，那正是所发生的事，其结果是在五旬节那天，被钉十字架、复活、升天并得荣的基督确实诞生了一个属天的子民，将圣灵浇灌在祂自己的人身上，并使他们——以及所有后来相信他们报告的人——与祂一同坐在父自己右边的天上。</w:t>
      </w:r>
    </w:p>
    <w:p w14:paraId="23DB479F">
      <w:pPr>
        <w:pStyle w:val="9"/>
        <w:spacing w:before="70"/>
        <w:ind w:left="0"/>
        <w:jc w:val="left"/>
        <w:rPr>
          <w:rFonts w:hint="eastAsia"/>
          <w:b w:val="0"/>
          <w:bCs/>
          <w:sz w:val="33"/>
        </w:rPr>
      </w:pPr>
    </w:p>
    <w:p w14:paraId="557474DE">
      <w:pPr>
        <w:pStyle w:val="9"/>
        <w:spacing w:before="70"/>
        <w:ind w:left="0"/>
        <w:jc w:val="left"/>
        <w:rPr>
          <w:rFonts w:hint="eastAsia"/>
          <w:b w:val="0"/>
          <w:bCs/>
          <w:sz w:val="33"/>
        </w:rPr>
      </w:pPr>
      <w:r>
        <w:rPr>
          <w:rFonts w:hint="eastAsia"/>
          <w:b w:val="0"/>
          <w:bCs/>
          <w:sz w:val="33"/>
        </w:rPr>
        <w:t>This brings us to the most complicated part of the dispensational system, the part dealing with events to occur at—and after—the close of the Church Era.</w:t>
      </w:r>
    </w:p>
    <w:p w14:paraId="6B8F4C83">
      <w:pPr>
        <w:pStyle w:val="9"/>
        <w:spacing w:before="70"/>
        <w:ind w:left="0"/>
        <w:jc w:val="left"/>
        <w:rPr>
          <w:rFonts w:hint="eastAsia"/>
          <w:b w:val="0"/>
          <w:bCs/>
          <w:sz w:val="33"/>
        </w:rPr>
      </w:pPr>
    </w:p>
    <w:p w14:paraId="6D0FA5A8">
      <w:pPr>
        <w:pStyle w:val="9"/>
        <w:spacing w:before="70"/>
        <w:ind w:left="0"/>
        <w:jc w:val="left"/>
        <w:rPr>
          <w:rFonts w:hint="eastAsia"/>
          <w:b w:val="0"/>
          <w:bCs/>
          <w:sz w:val="33"/>
        </w:rPr>
      </w:pPr>
      <w:r>
        <w:rPr>
          <w:rFonts w:hint="eastAsia"/>
          <w:b w:val="0"/>
          <w:bCs/>
          <w:sz w:val="33"/>
        </w:rPr>
        <w:t>这就把我们带到了时代论体系中最复杂的部分，即处理在教会时代结束时及之后将要发生的事件的部分。</w:t>
      </w:r>
    </w:p>
    <w:p w14:paraId="45DE8278">
      <w:pPr>
        <w:pStyle w:val="9"/>
        <w:spacing w:before="70"/>
        <w:ind w:left="0"/>
        <w:jc w:val="left"/>
        <w:rPr>
          <w:rFonts w:hint="eastAsia"/>
          <w:b w:val="0"/>
          <w:bCs/>
          <w:sz w:val="33"/>
        </w:rPr>
      </w:pPr>
    </w:p>
    <w:p w14:paraId="2B35B907">
      <w:pPr>
        <w:pStyle w:val="9"/>
        <w:spacing w:before="70"/>
        <w:ind w:left="0"/>
        <w:jc w:val="left"/>
        <w:rPr>
          <w:rFonts w:hint="eastAsia"/>
          <w:b w:val="0"/>
          <w:bCs/>
          <w:sz w:val="33"/>
        </w:rPr>
      </w:pPr>
      <w:r>
        <w:rPr>
          <w:rFonts w:hint="eastAsia"/>
          <w:b w:val="0"/>
          <w:bCs/>
          <w:sz w:val="33"/>
        </w:rPr>
        <w:t>I will sketch it as simply as I can.</w:t>
      </w:r>
    </w:p>
    <w:p w14:paraId="49295429">
      <w:pPr>
        <w:pStyle w:val="9"/>
        <w:spacing w:before="70"/>
        <w:ind w:left="0"/>
        <w:jc w:val="left"/>
        <w:rPr>
          <w:rFonts w:hint="eastAsia"/>
          <w:b w:val="0"/>
          <w:bCs/>
          <w:sz w:val="33"/>
        </w:rPr>
      </w:pPr>
    </w:p>
    <w:p w14:paraId="41ED8C00">
      <w:pPr>
        <w:pStyle w:val="9"/>
        <w:spacing w:before="70"/>
        <w:ind w:left="0"/>
        <w:jc w:val="left"/>
        <w:rPr>
          <w:rFonts w:hint="eastAsia"/>
          <w:b w:val="0"/>
          <w:bCs/>
          <w:sz w:val="33"/>
        </w:rPr>
      </w:pPr>
      <w:r>
        <w:rPr>
          <w:rFonts w:hint="eastAsia"/>
          <w:b w:val="0"/>
          <w:bCs/>
          <w:sz w:val="33"/>
        </w:rPr>
        <w:t>我将尽可能简单地勾勒它。</w:t>
      </w:r>
    </w:p>
    <w:p w14:paraId="6B17F46D">
      <w:pPr>
        <w:pStyle w:val="9"/>
        <w:spacing w:before="70"/>
        <w:ind w:left="0"/>
        <w:jc w:val="left"/>
        <w:rPr>
          <w:rFonts w:hint="eastAsia"/>
          <w:b w:val="0"/>
          <w:bCs/>
          <w:sz w:val="33"/>
        </w:rPr>
      </w:pPr>
    </w:p>
    <w:p w14:paraId="32388E53">
      <w:pPr>
        <w:pStyle w:val="9"/>
        <w:spacing w:before="70"/>
        <w:ind w:left="0"/>
        <w:jc w:val="left"/>
        <w:rPr>
          <w:rFonts w:hint="eastAsia"/>
          <w:b w:val="0"/>
          <w:bCs/>
          <w:sz w:val="33"/>
        </w:rPr>
      </w:pPr>
      <w:r>
        <w:rPr>
          <w:rFonts w:hint="eastAsia"/>
          <w:b w:val="0"/>
          <w:bCs/>
          <w:sz w:val="33"/>
        </w:rPr>
        <w:t>First comes the secret Rapture.</w:t>
      </w:r>
    </w:p>
    <w:p w14:paraId="334C090B">
      <w:pPr>
        <w:pStyle w:val="9"/>
        <w:spacing w:before="70"/>
        <w:ind w:left="0"/>
        <w:jc w:val="left"/>
        <w:rPr>
          <w:rFonts w:hint="eastAsia"/>
          <w:b w:val="0"/>
          <w:bCs/>
          <w:sz w:val="33"/>
        </w:rPr>
      </w:pPr>
    </w:p>
    <w:p w14:paraId="04D565D9">
      <w:pPr>
        <w:pStyle w:val="9"/>
        <w:spacing w:before="70"/>
        <w:ind w:left="0"/>
        <w:jc w:val="left"/>
        <w:rPr>
          <w:rFonts w:hint="eastAsia"/>
          <w:b w:val="0"/>
          <w:bCs/>
          <w:sz w:val="33"/>
        </w:rPr>
      </w:pPr>
      <w:r>
        <w:rPr>
          <w:rFonts w:hint="eastAsia"/>
          <w:b w:val="0"/>
          <w:bCs/>
          <w:sz w:val="33"/>
        </w:rPr>
        <w:t>首先是秘密的被提。</w:t>
      </w:r>
    </w:p>
    <w:p w14:paraId="6E73DF64">
      <w:pPr>
        <w:pStyle w:val="9"/>
        <w:spacing w:before="70"/>
        <w:ind w:left="0"/>
        <w:jc w:val="left"/>
        <w:rPr>
          <w:rFonts w:hint="eastAsia"/>
          <w:b w:val="0"/>
          <w:bCs/>
          <w:sz w:val="33"/>
        </w:rPr>
      </w:pPr>
    </w:p>
    <w:p w14:paraId="45716437">
      <w:pPr>
        <w:pStyle w:val="9"/>
        <w:spacing w:before="70"/>
        <w:ind w:left="0"/>
        <w:jc w:val="left"/>
        <w:rPr>
          <w:rFonts w:hint="eastAsia"/>
          <w:b w:val="0"/>
          <w:bCs/>
          <w:sz w:val="33"/>
        </w:rPr>
      </w:pPr>
      <w:r>
        <w:rPr>
          <w:rFonts w:hint="eastAsia"/>
          <w:b w:val="0"/>
          <w:bCs/>
          <w:sz w:val="33"/>
        </w:rPr>
        <w:t>This is “phase one” of the Parousia, the phase in which Christ comes down from heaven for his saints, arriving in the air just above the earth.</w:t>
      </w:r>
    </w:p>
    <w:p w14:paraId="52CDB2ED">
      <w:pPr>
        <w:pStyle w:val="9"/>
        <w:spacing w:before="70"/>
        <w:ind w:left="0"/>
        <w:jc w:val="left"/>
        <w:rPr>
          <w:rFonts w:hint="eastAsia"/>
          <w:b w:val="0"/>
          <w:bCs/>
          <w:sz w:val="33"/>
        </w:rPr>
      </w:pPr>
    </w:p>
    <w:p w14:paraId="2F577A6C">
      <w:pPr>
        <w:pStyle w:val="9"/>
        <w:spacing w:before="70"/>
        <w:ind w:left="0"/>
        <w:jc w:val="left"/>
        <w:rPr>
          <w:rFonts w:hint="eastAsia"/>
          <w:b w:val="0"/>
          <w:bCs/>
          <w:sz w:val="33"/>
        </w:rPr>
      </w:pPr>
      <w:r>
        <w:rPr>
          <w:rFonts w:hint="eastAsia"/>
          <w:b w:val="0"/>
          <w:bCs/>
          <w:sz w:val="33"/>
        </w:rPr>
        <w:t>这是主的再来的“第一阶段”，在这个阶段，基督从天降下，为着祂的圣徒，来到地上的空中。</w:t>
      </w:r>
    </w:p>
    <w:p w14:paraId="72CEB6DA">
      <w:pPr>
        <w:pStyle w:val="9"/>
        <w:spacing w:before="70"/>
        <w:ind w:left="0"/>
        <w:jc w:val="left"/>
        <w:rPr>
          <w:rFonts w:hint="eastAsia"/>
          <w:b w:val="0"/>
          <w:bCs/>
          <w:sz w:val="33"/>
        </w:rPr>
      </w:pPr>
    </w:p>
    <w:p w14:paraId="4F67809A">
      <w:pPr>
        <w:pStyle w:val="9"/>
        <w:spacing w:before="70"/>
        <w:ind w:left="0"/>
        <w:jc w:val="left"/>
        <w:rPr>
          <w:rFonts w:hint="eastAsia"/>
          <w:b w:val="0"/>
          <w:bCs/>
          <w:sz w:val="33"/>
        </w:rPr>
      </w:pPr>
      <w:r>
        <w:rPr>
          <w:rFonts w:hint="eastAsia"/>
          <w:b w:val="0"/>
          <w:bCs/>
          <w:sz w:val="33"/>
        </w:rPr>
        <w:t>At that time, he raises “sleeping” (i.e., dead) Christians, transforms the living, gathers them to himself in the sky, and takes them to heaven, where, for the next seven years, they enjoy the Marriage Supper of the Lamb.</w:t>
      </w:r>
    </w:p>
    <w:p w14:paraId="15ED3F94">
      <w:pPr>
        <w:pStyle w:val="9"/>
        <w:spacing w:before="70"/>
        <w:ind w:left="0"/>
        <w:jc w:val="left"/>
        <w:rPr>
          <w:rFonts w:hint="eastAsia"/>
          <w:b w:val="0"/>
          <w:bCs/>
          <w:sz w:val="33"/>
        </w:rPr>
      </w:pPr>
    </w:p>
    <w:p w14:paraId="233208CF">
      <w:pPr>
        <w:pStyle w:val="9"/>
        <w:spacing w:before="70"/>
        <w:ind w:left="0"/>
        <w:jc w:val="left"/>
        <w:rPr>
          <w:rFonts w:hint="eastAsia"/>
          <w:b w:val="0"/>
          <w:bCs/>
          <w:sz w:val="33"/>
        </w:rPr>
      </w:pPr>
      <w:r>
        <w:rPr>
          <w:rFonts w:hint="eastAsia"/>
          <w:b w:val="0"/>
          <w:bCs/>
          <w:sz w:val="33"/>
        </w:rPr>
        <w:t>那时，祂叫“睡了的”（即死了的）基督徒复活，改变活着的信徒，将他们聚集到祂自己这里，在空中，并带他们到天上，在那里，接下来的七年，他们将享受羔羊的婚筵。</w:t>
      </w:r>
    </w:p>
    <w:p w14:paraId="3896415A">
      <w:pPr>
        <w:pStyle w:val="9"/>
        <w:spacing w:before="70"/>
        <w:ind w:left="0"/>
        <w:jc w:val="left"/>
        <w:rPr>
          <w:rFonts w:hint="eastAsia"/>
          <w:b w:val="0"/>
          <w:bCs/>
          <w:sz w:val="33"/>
        </w:rPr>
      </w:pPr>
    </w:p>
    <w:p w14:paraId="6B9F2D3F">
      <w:pPr>
        <w:pStyle w:val="9"/>
        <w:spacing w:before="70"/>
        <w:ind w:left="0"/>
        <w:jc w:val="left"/>
        <w:rPr>
          <w:rFonts w:hint="eastAsia"/>
          <w:b w:val="0"/>
          <w:bCs/>
          <w:sz w:val="33"/>
        </w:rPr>
      </w:pPr>
      <w:r>
        <w:rPr>
          <w:rFonts w:hint="eastAsia"/>
          <w:b w:val="0"/>
          <w:bCs/>
          <w:sz w:val="33"/>
        </w:rPr>
        <w:t>Again, the Rapture is a “secret” event: No (unbelieving) person on earth sees Christ return or gather his saints to meet him in the air.</w:t>
      </w:r>
    </w:p>
    <w:p w14:paraId="44836966">
      <w:pPr>
        <w:pStyle w:val="9"/>
        <w:spacing w:before="70"/>
        <w:ind w:left="0"/>
        <w:jc w:val="left"/>
        <w:rPr>
          <w:rFonts w:hint="eastAsia"/>
          <w:b w:val="0"/>
          <w:bCs/>
          <w:sz w:val="33"/>
        </w:rPr>
      </w:pPr>
    </w:p>
    <w:p w14:paraId="6D42F568">
      <w:pPr>
        <w:pStyle w:val="9"/>
        <w:spacing w:before="70"/>
        <w:ind w:left="0"/>
        <w:jc w:val="left"/>
        <w:rPr>
          <w:rFonts w:hint="eastAsia"/>
          <w:b w:val="0"/>
          <w:bCs/>
          <w:sz w:val="33"/>
        </w:rPr>
      </w:pPr>
      <w:r>
        <w:rPr>
          <w:rFonts w:hint="eastAsia"/>
          <w:b w:val="0"/>
          <w:bCs/>
          <w:sz w:val="33"/>
        </w:rPr>
        <w:t>再次强调，被提是一个“秘密”事件：地上没有（不信的）人看见基督再来或聚集祂的圣徒在空中与祂相遇。</w:t>
      </w:r>
    </w:p>
    <w:p w14:paraId="46F17C80">
      <w:pPr>
        <w:pStyle w:val="9"/>
        <w:spacing w:before="70"/>
        <w:ind w:left="0"/>
        <w:jc w:val="left"/>
        <w:rPr>
          <w:rFonts w:hint="eastAsia"/>
          <w:b w:val="0"/>
          <w:bCs/>
          <w:sz w:val="33"/>
        </w:rPr>
      </w:pPr>
    </w:p>
    <w:p w14:paraId="5C168DDE">
      <w:pPr>
        <w:pStyle w:val="9"/>
        <w:spacing w:before="70"/>
        <w:ind w:left="0"/>
        <w:jc w:val="left"/>
        <w:rPr>
          <w:rFonts w:hint="eastAsia"/>
          <w:b w:val="0"/>
          <w:bCs/>
          <w:sz w:val="33"/>
        </w:rPr>
      </w:pPr>
      <w:r>
        <w:rPr>
          <w:rFonts w:hint="eastAsia"/>
          <w:b w:val="0"/>
          <w:bCs/>
          <w:sz w:val="33"/>
        </w:rPr>
        <w:t>Also, it is an “imminent” event: No one can know when it will occur, since the Bible supplies us with no specific signs by which we might know that the secret Rapture is at hand.</w:t>
      </w:r>
    </w:p>
    <w:p w14:paraId="05EFBCD8">
      <w:pPr>
        <w:pStyle w:val="9"/>
        <w:spacing w:before="70"/>
        <w:ind w:left="0"/>
        <w:jc w:val="left"/>
        <w:rPr>
          <w:rFonts w:hint="eastAsia"/>
          <w:b w:val="0"/>
          <w:bCs/>
          <w:sz w:val="33"/>
        </w:rPr>
      </w:pPr>
    </w:p>
    <w:p w14:paraId="10991144">
      <w:pPr>
        <w:pStyle w:val="9"/>
        <w:spacing w:before="70"/>
        <w:ind w:left="0"/>
        <w:jc w:val="left"/>
        <w:rPr>
          <w:rFonts w:hint="eastAsia"/>
          <w:b w:val="0"/>
          <w:bCs/>
          <w:sz w:val="33"/>
        </w:rPr>
      </w:pPr>
      <w:r>
        <w:rPr>
          <w:rFonts w:hint="eastAsia"/>
          <w:b w:val="0"/>
          <w:bCs/>
          <w:sz w:val="33"/>
        </w:rPr>
        <w:t>并且，这是一个“随时”可能发生的事件：没有人能知道它何时发生，因为圣经没有提供任何特定的兆头，让我们知道秘密的被提就在眼前。</w:t>
      </w:r>
    </w:p>
    <w:p w14:paraId="488E5128">
      <w:pPr>
        <w:pStyle w:val="9"/>
        <w:spacing w:before="70"/>
        <w:ind w:left="0"/>
        <w:jc w:val="left"/>
        <w:rPr>
          <w:rFonts w:hint="eastAsia"/>
          <w:b w:val="0"/>
          <w:bCs/>
          <w:sz w:val="33"/>
        </w:rPr>
      </w:pPr>
    </w:p>
    <w:p w14:paraId="5AD210CB">
      <w:pPr>
        <w:pStyle w:val="9"/>
        <w:spacing w:before="70"/>
        <w:ind w:left="0"/>
        <w:jc w:val="left"/>
        <w:rPr>
          <w:rFonts w:hint="eastAsia"/>
          <w:b w:val="0"/>
          <w:bCs/>
          <w:sz w:val="33"/>
        </w:rPr>
      </w:pPr>
      <w:r>
        <w:rPr>
          <w:rFonts w:hint="eastAsia"/>
          <w:b w:val="0"/>
          <w:bCs/>
          <w:sz w:val="33"/>
        </w:rPr>
        <w:t>Next comes the Tribulation.</w:t>
      </w:r>
    </w:p>
    <w:p w14:paraId="6213FA67">
      <w:pPr>
        <w:pStyle w:val="9"/>
        <w:spacing w:before="70"/>
        <w:ind w:left="0"/>
        <w:jc w:val="left"/>
        <w:rPr>
          <w:rFonts w:hint="eastAsia"/>
          <w:b w:val="0"/>
          <w:bCs/>
          <w:sz w:val="33"/>
        </w:rPr>
      </w:pPr>
    </w:p>
    <w:p w14:paraId="267D01C1">
      <w:pPr>
        <w:pStyle w:val="9"/>
        <w:spacing w:before="70"/>
        <w:ind w:left="0"/>
        <w:jc w:val="left"/>
        <w:rPr>
          <w:rFonts w:hint="eastAsia"/>
          <w:b w:val="0"/>
          <w:bCs/>
          <w:sz w:val="33"/>
        </w:rPr>
      </w:pPr>
      <w:r>
        <w:rPr>
          <w:rFonts w:hint="eastAsia"/>
          <w:b w:val="0"/>
          <w:bCs/>
          <w:sz w:val="33"/>
        </w:rPr>
        <w:t>接下来是大患难。</w:t>
      </w:r>
    </w:p>
    <w:p w14:paraId="2508F98E">
      <w:pPr>
        <w:pStyle w:val="9"/>
        <w:spacing w:before="70"/>
        <w:ind w:left="0"/>
        <w:jc w:val="left"/>
        <w:rPr>
          <w:rFonts w:hint="eastAsia"/>
          <w:b w:val="0"/>
          <w:bCs/>
          <w:sz w:val="33"/>
        </w:rPr>
      </w:pPr>
    </w:p>
    <w:p w14:paraId="300FD782">
      <w:pPr>
        <w:pStyle w:val="9"/>
        <w:spacing w:before="70"/>
        <w:ind w:left="0"/>
        <w:jc w:val="left"/>
        <w:rPr>
          <w:rFonts w:hint="eastAsia"/>
          <w:b w:val="0"/>
          <w:bCs/>
          <w:sz w:val="33"/>
        </w:rPr>
      </w:pPr>
      <w:r>
        <w:rPr>
          <w:rFonts w:hint="eastAsia"/>
          <w:b w:val="0"/>
          <w:bCs/>
          <w:sz w:val="33"/>
        </w:rPr>
        <w:t>Based on a unique and quite literal interpretation of Daniel 9, dispensationalists argue that the Tribulation will last for seven years.</w:t>
      </w:r>
    </w:p>
    <w:p w14:paraId="437F644A">
      <w:pPr>
        <w:pStyle w:val="9"/>
        <w:spacing w:before="70"/>
        <w:ind w:left="0"/>
        <w:jc w:val="left"/>
        <w:rPr>
          <w:rFonts w:hint="eastAsia"/>
          <w:b w:val="0"/>
          <w:bCs/>
          <w:sz w:val="33"/>
        </w:rPr>
      </w:pPr>
    </w:p>
    <w:p w14:paraId="044DB987">
      <w:pPr>
        <w:pStyle w:val="9"/>
        <w:spacing w:before="70"/>
        <w:ind w:left="0"/>
        <w:jc w:val="left"/>
        <w:rPr>
          <w:rFonts w:hint="eastAsia"/>
          <w:b w:val="0"/>
          <w:bCs/>
          <w:sz w:val="33"/>
        </w:rPr>
      </w:pPr>
      <w:r>
        <w:rPr>
          <w:rFonts w:hint="eastAsia"/>
          <w:b w:val="0"/>
          <w:bCs/>
          <w:sz w:val="33"/>
        </w:rPr>
        <w:t>基于对但以理书第9章独特且相当字面的解释，时代论者主张大患难将持续七年。</w:t>
      </w:r>
    </w:p>
    <w:p w14:paraId="445D9D53">
      <w:pPr>
        <w:pStyle w:val="9"/>
        <w:spacing w:before="70"/>
        <w:ind w:left="0"/>
        <w:jc w:val="left"/>
        <w:rPr>
          <w:rFonts w:hint="eastAsia"/>
          <w:b w:val="0"/>
          <w:bCs/>
          <w:sz w:val="33"/>
        </w:rPr>
      </w:pPr>
    </w:p>
    <w:p w14:paraId="34012649">
      <w:pPr>
        <w:pStyle w:val="9"/>
        <w:spacing w:before="70"/>
        <w:ind w:left="0"/>
        <w:jc w:val="left"/>
        <w:rPr>
          <w:rFonts w:hint="eastAsia"/>
          <w:b w:val="0"/>
          <w:bCs/>
          <w:sz w:val="33"/>
        </w:rPr>
      </w:pPr>
      <w:r>
        <w:rPr>
          <w:rFonts w:hint="eastAsia"/>
          <w:b w:val="0"/>
          <w:bCs/>
          <w:sz w:val="33"/>
        </w:rPr>
        <w:t>During this time 144,000 converted Jews will preach “the gospel of the Kingdom” to all nations—the good news of Christ’s coming millennial reign, and of access to it through faith in him.</w:t>
      </w:r>
    </w:p>
    <w:p w14:paraId="5AE953C5">
      <w:pPr>
        <w:pStyle w:val="9"/>
        <w:spacing w:before="70"/>
        <w:ind w:left="0"/>
        <w:jc w:val="left"/>
        <w:rPr>
          <w:rFonts w:hint="eastAsia"/>
          <w:b w:val="0"/>
          <w:bCs/>
          <w:sz w:val="33"/>
        </w:rPr>
      </w:pPr>
    </w:p>
    <w:p w14:paraId="132E4BC9">
      <w:pPr>
        <w:pStyle w:val="9"/>
        <w:spacing w:before="70"/>
        <w:ind w:left="0"/>
        <w:jc w:val="left"/>
        <w:rPr>
          <w:rFonts w:hint="eastAsia"/>
          <w:b w:val="0"/>
          <w:bCs/>
          <w:sz w:val="33"/>
        </w:rPr>
      </w:pPr>
      <w:r>
        <w:rPr>
          <w:rFonts w:hint="eastAsia"/>
          <w:b w:val="0"/>
          <w:bCs/>
          <w:sz w:val="33"/>
        </w:rPr>
        <w:t>在此期间，144,000名归信的犹太人将向万国传讲“国度的福音”——即基督将要来临之千年统治的好消息，以及借着信祂而得以进入这国度的好消息。</w:t>
      </w:r>
    </w:p>
    <w:p w14:paraId="4FCFAD6E">
      <w:pPr>
        <w:pStyle w:val="9"/>
        <w:spacing w:before="70"/>
        <w:ind w:left="0"/>
        <w:jc w:val="left"/>
        <w:rPr>
          <w:rFonts w:hint="eastAsia"/>
          <w:b w:val="0"/>
          <w:bCs/>
          <w:sz w:val="33"/>
        </w:rPr>
      </w:pPr>
    </w:p>
    <w:p w14:paraId="34001FAB">
      <w:pPr>
        <w:pStyle w:val="9"/>
        <w:spacing w:before="70"/>
        <w:ind w:left="0"/>
        <w:jc w:val="left"/>
        <w:rPr>
          <w:rFonts w:hint="eastAsia"/>
          <w:b w:val="0"/>
          <w:bCs/>
          <w:sz w:val="33"/>
        </w:rPr>
      </w:pPr>
      <w:r>
        <w:rPr>
          <w:rFonts w:hint="eastAsia"/>
          <w:b w:val="0"/>
          <w:bCs/>
          <w:sz w:val="33"/>
        </w:rPr>
        <w:t>As they preach, many Jews and Gentiles will believe.</w:t>
      </w:r>
    </w:p>
    <w:p w14:paraId="4F5EB07A">
      <w:pPr>
        <w:pStyle w:val="9"/>
        <w:spacing w:before="70"/>
        <w:ind w:left="0"/>
        <w:jc w:val="left"/>
        <w:rPr>
          <w:rFonts w:hint="eastAsia"/>
          <w:b w:val="0"/>
          <w:bCs/>
          <w:sz w:val="33"/>
        </w:rPr>
      </w:pPr>
    </w:p>
    <w:p w14:paraId="38B20561">
      <w:pPr>
        <w:pStyle w:val="9"/>
        <w:spacing w:before="70"/>
        <w:ind w:left="0"/>
        <w:jc w:val="left"/>
        <w:rPr>
          <w:rFonts w:hint="eastAsia"/>
          <w:b w:val="0"/>
          <w:bCs/>
          <w:sz w:val="33"/>
        </w:rPr>
      </w:pPr>
      <w:r>
        <w:rPr>
          <w:rFonts w:hint="eastAsia"/>
          <w:b w:val="0"/>
          <w:bCs/>
          <w:sz w:val="33"/>
        </w:rPr>
        <w:t>当他们传讲时，许多犹太人和外邦人将会相信。</w:t>
      </w:r>
    </w:p>
    <w:p w14:paraId="612CDD43">
      <w:pPr>
        <w:pStyle w:val="9"/>
        <w:spacing w:before="70"/>
        <w:ind w:left="0"/>
        <w:jc w:val="left"/>
        <w:rPr>
          <w:rFonts w:hint="eastAsia"/>
          <w:b w:val="0"/>
          <w:bCs/>
          <w:sz w:val="33"/>
        </w:rPr>
      </w:pPr>
    </w:p>
    <w:p w14:paraId="00DE921E">
      <w:pPr>
        <w:pStyle w:val="9"/>
        <w:spacing w:before="70"/>
        <w:ind w:left="0"/>
        <w:jc w:val="left"/>
        <w:rPr>
          <w:rFonts w:hint="eastAsia"/>
          <w:b w:val="0"/>
          <w:bCs/>
          <w:sz w:val="33"/>
        </w:rPr>
      </w:pPr>
      <w:r>
        <w:rPr>
          <w:rFonts w:hint="eastAsia"/>
          <w:b w:val="0"/>
          <w:bCs/>
          <w:sz w:val="33"/>
        </w:rPr>
        <w:t>However, mid way through the Tribulation, the Antichrist will step onto the stage of history.</w:t>
      </w:r>
    </w:p>
    <w:p w14:paraId="074EF77E">
      <w:pPr>
        <w:pStyle w:val="9"/>
        <w:spacing w:before="70"/>
        <w:ind w:left="0"/>
        <w:jc w:val="left"/>
        <w:rPr>
          <w:rFonts w:hint="eastAsia"/>
          <w:b w:val="0"/>
          <w:bCs/>
          <w:sz w:val="33"/>
        </w:rPr>
      </w:pPr>
    </w:p>
    <w:p w14:paraId="28CB0F22">
      <w:pPr>
        <w:pStyle w:val="9"/>
        <w:spacing w:before="70"/>
        <w:ind w:left="0"/>
        <w:jc w:val="left"/>
        <w:rPr>
          <w:rFonts w:hint="eastAsia"/>
          <w:b w:val="0"/>
          <w:bCs/>
          <w:sz w:val="33"/>
        </w:rPr>
      </w:pPr>
      <w:r>
        <w:rPr>
          <w:rFonts w:hint="eastAsia"/>
          <w:b w:val="0"/>
          <w:bCs/>
          <w:sz w:val="33"/>
        </w:rPr>
        <w:t>然而，在大患难的中途，敌基督将登上历史舞台。</w:t>
      </w:r>
    </w:p>
    <w:p w14:paraId="28D2A13A">
      <w:pPr>
        <w:pStyle w:val="9"/>
        <w:spacing w:before="70"/>
        <w:ind w:left="0"/>
        <w:jc w:val="left"/>
        <w:rPr>
          <w:rFonts w:hint="eastAsia"/>
          <w:b w:val="0"/>
          <w:bCs/>
          <w:sz w:val="33"/>
        </w:rPr>
      </w:pPr>
    </w:p>
    <w:p w14:paraId="7381F990">
      <w:pPr>
        <w:pStyle w:val="9"/>
        <w:spacing w:before="70"/>
        <w:ind w:left="0"/>
        <w:jc w:val="left"/>
        <w:rPr>
          <w:rFonts w:hint="eastAsia"/>
          <w:b w:val="0"/>
          <w:bCs/>
          <w:sz w:val="33"/>
        </w:rPr>
      </w:pPr>
      <w:r>
        <w:rPr>
          <w:rFonts w:hint="eastAsia"/>
          <w:b w:val="0"/>
          <w:bCs/>
          <w:sz w:val="33"/>
        </w:rPr>
        <w:t>When he does, the whole world will go after him, believers will undergo fierce persecution, and God will pour out dreadful warning judgments upon the earth.</w:t>
      </w:r>
    </w:p>
    <w:p w14:paraId="0F2D2597">
      <w:pPr>
        <w:pStyle w:val="9"/>
        <w:spacing w:before="70"/>
        <w:ind w:left="0"/>
        <w:jc w:val="left"/>
        <w:rPr>
          <w:rFonts w:hint="eastAsia"/>
          <w:b w:val="0"/>
          <w:bCs/>
          <w:sz w:val="33"/>
        </w:rPr>
      </w:pPr>
    </w:p>
    <w:p w14:paraId="4AE4E825">
      <w:pPr>
        <w:pStyle w:val="9"/>
        <w:spacing w:before="70"/>
        <w:ind w:left="0"/>
        <w:jc w:val="left"/>
        <w:rPr>
          <w:rFonts w:hint="eastAsia"/>
          <w:b w:val="0"/>
          <w:bCs/>
          <w:sz w:val="33"/>
        </w:rPr>
      </w:pPr>
      <w:r>
        <w:rPr>
          <w:rFonts w:hint="eastAsia"/>
          <w:b w:val="0"/>
          <w:bCs/>
          <w:sz w:val="33"/>
        </w:rPr>
        <w:t>当他出现时，全世界都将跟随他，信徒将遭受猛烈的逼迫，神将向地倾倒可怕的警告性审判。</w:t>
      </w:r>
    </w:p>
    <w:p w14:paraId="7444F3A3">
      <w:pPr>
        <w:pStyle w:val="9"/>
        <w:spacing w:before="70"/>
        <w:ind w:left="0"/>
        <w:jc w:val="left"/>
        <w:rPr>
          <w:rFonts w:hint="eastAsia"/>
          <w:b w:val="0"/>
          <w:bCs/>
          <w:sz w:val="33"/>
        </w:rPr>
      </w:pPr>
    </w:p>
    <w:p w14:paraId="5D9BD39A">
      <w:pPr>
        <w:pStyle w:val="9"/>
        <w:spacing w:before="70"/>
        <w:ind w:left="0"/>
        <w:jc w:val="left"/>
        <w:rPr>
          <w:rFonts w:hint="eastAsia"/>
          <w:b w:val="0"/>
          <w:bCs/>
          <w:sz w:val="33"/>
        </w:rPr>
      </w:pPr>
      <w:r>
        <w:rPr>
          <w:rFonts w:hint="eastAsia"/>
          <w:b w:val="0"/>
          <w:bCs/>
          <w:sz w:val="33"/>
        </w:rPr>
        <w:t>This season of three and a half years—the Great Tribulation—will conclude with the Battle of Armageddon, a military conflict centered in Palestine that will scarcely get under way before Christ returns visibly, in power and glory, to rescue his beleaguered (largely Jewish) people and destroy their enemies.</w:t>
      </w:r>
    </w:p>
    <w:p w14:paraId="381A53AE">
      <w:pPr>
        <w:pStyle w:val="9"/>
        <w:spacing w:before="70"/>
        <w:ind w:left="0"/>
        <w:jc w:val="left"/>
        <w:rPr>
          <w:rFonts w:hint="eastAsia"/>
          <w:b w:val="0"/>
          <w:bCs/>
          <w:sz w:val="33"/>
        </w:rPr>
      </w:pPr>
    </w:p>
    <w:p w14:paraId="2A0F4527">
      <w:pPr>
        <w:pStyle w:val="9"/>
        <w:spacing w:before="70"/>
        <w:ind w:left="0"/>
        <w:jc w:val="left"/>
        <w:rPr>
          <w:rFonts w:hint="eastAsia"/>
          <w:b w:val="0"/>
          <w:bCs/>
          <w:sz w:val="33"/>
        </w:rPr>
      </w:pPr>
      <w:r>
        <w:rPr>
          <w:rFonts w:hint="eastAsia"/>
          <w:b w:val="0"/>
          <w:bCs/>
          <w:sz w:val="33"/>
        </w:rPr>
        <w:t>这三年半的时期——即大患难——将以哈米吉多顿之战告终，这是一场以巴勒斯坦为中心的军事冲突，在基督带着能力和荣耀，可见地再来，拯救祂被围困的（主要是犹太）子民并摧毁他们的敌人之前，几乎还没来得及开始。</w:t>
      </w:r>
    </w:p>
    <w:p w14:paraId="149601BD">
      <w:pPr>
        <w:pStyle w:val="9"/>
        <w:spacing w:before="70"/>
        <w:ind w:left="0"/>
        <w:jc w:val="left"/>
        <w:rPr>
          <w:rFonts w:hint="eastAsia"/>
          <w:b w:val="0"/>
          <w:bCs/>
          <w:sz w:val="33"/>
        </w:rPr>
      </w:pPr>
    </w:p>
    <w:p w14:paraId="08BC8B19">
      <w:pPr>
        <w:pStyle w:val="9"/>
        <w:spacing w:before="70"/>
        <w:ind w:left="0"/>
        <w:jc w:val="left"/>
        <w:rPr>
          <w:rFonts w:hint="eastAsia"/>
          <w:b w:val="0"/>
          <w:bCs/>
          <w:sz w:val="33"/>
        </w:rPr>
      </w:pPr>
      <w:r>
        <w:rPr>
          <w:rFonts w:hint="eastAsia"/>
          <w:b w:val="0"/>
          <w:bCs/>
          <w:sz w:val="33"/>
        </w:rPr>
        <w:t>This is “phase two” of the Parousia (also called the Revelation), in which Christ will come with his saints (and all the holy angels).</w:t>
      </w:r>
    </w:p>
    <w:p w14:paraId="27FEE410">
      <w:pPr>
        <w:pStyle w:val="9"/>
        <w:spacing w:before="70"/>
        <w:ind w:left="0"/>
        <w:jc w:val="left"/>
        <w:rPr>
          <w:rFonts w:hint="eastAsia"/>
          <w:b w:val="0"/>
          <w:bCs/>
          <w:sz w:val="33"/>
        </w:rPr>
      </w:pPr>
    </w:p>
    <w:p w14:paraId="6BF45C21">
      <w:pPr>
        <w:pStyle w:val="9"/>
        <w:spacing w:before="70"/>
        <w:ind w:left="0"/>
        <w:jc w:val="left"/>
        <w:rPr>
          <w:rFonts w:hint="eastAsia"/>
          <w:b w:val="0"/>
          <w:bCs/>
          <w:sz w:val="33"/>
        </w:rPr>
      </w:pPr>
      <w:r>
        <w:rPr>
          <w:rFonts w:hint="eastAsia"/>
          <w:b w:val="0"/>
          <w:bCs/>
          <w:sz w:val="33"/>
        </w:rPr>
        <w:t>这是主的再来的“第二阶段”（也称为启示），在其中基督将与祂的圣徒（和所有圣天使）一同降临。</w:t>
      </w:r>
    </w:p>
    <w:p w14:paraId="72A7D6C0">
      <w:pPr>
        <w:pStyle w:val="9"/>
        <w:spacing w:before="70"/>
        <w:ind w:left="0"/>
        <w:jc w:val="left"/>
        <w:rPr>
          <w:rFonts w:hint="eastAsia"/>
          <w:b w:val="0"/>
          <w:bCs/>
          <w:sz w:val="33"/>
        </w:rPr>
      </w:pPr>
    </w:p>
    <w:p w14:paraId="41A5076B">
      <w:pPr>
        <w:pStyle w:val="9"/>
        <w:spacing w:before="70"/>
        <w:ind w:left="0"/>
        <w:jc w:val="left"/>
        <w:rPr>
          <w:rFonts w:hint="eastAsia"/>
          <w:b w:val="0"/>
          <w:bCs/>
          <w:sz w:val="33"/>
        </w:rPr>
      </w:pPr>
      <w:r>
        <w:rPr>
          <w:rFonts w:hint="eastAsia"/>
          <w:b w:val="0"/>
          <w:bCs/>
          <w:sz w:val="33"/>
        </w:rPr>
        <w:t>His feet will touch down on the Mt. of Olives.</w:t>
      </w:r>
    </w:p>
    <w:p w14:paraId="78ED5EAA">
      <w:pPr>
        <w:pStyle w:val="9"/>
        <w:spacing w:before="70"/>
        <w:ind w:left="0"/>
        <w:jc w:val="left"/>
        <w:rPr>
          <w:rFonts w:hint="eastAsia"/>
          <w:b w:val="0"/>
          <w:bCs/>
          <w:sz w:val="33"/>
        </w:rPr>
      </w:pPr>
    </w:p>
    <w:p w14:paraId="67A48DAA">
      <w:pPr>
        <w:pStyle w:val="9"/>
        <w:spacing w:before="70"/>
        <w:ind w:left="0"/>
        <w:jc w:val="left"/>
        <w:rPr>
          <w:rFonts w:hint="eastAsia"/>
          <w:b w:val="0"/>
          <w:bCs/>
          <w:sz w:val="33"/>
        </w:rPr>
      </w:pPr>
      <w:r>
        <w:rPr>
          <w:rFonts w:hint="eastAsia"/>
          <w:b w:val="0"/>
          <w:bCs/>
          <w:sz w:val="33"/>
        </w:rPr>
        <w:t>祂的脚将踏在橄榄山上。</w:t>
      </w:r>
    </w:p>
    <w:p w14:paraId="1E572E65">
      <w:pPr>
        <w:pStyle w:val="9"/>
        <w:spacing w:before="70"/>
        <w:ind w:left="0"/>
        <w:jc w:val="left"/>
        <w:rPr>
          <w:rFonts w:hint="eastAsia"/>
          <w:b w:val="0"/>
          <w:bCs/>
          <w:sz w:val="33"/>
        </w:rPr>
      </w:pPr>
    </w:p>
    <w:p w14:paraId="2DD5D5B3">
      <w:pPr>
        <w:pStyle w:val="9"/>
        <w:spacing w:before="70"/>
        <w:ind w:left="0"/>
        <w:jc w:val="left"/>
        <w:rPr>
          <w:rFonts w:hint="eastAsia"/>
          <w:b w:val="0"/>
          <w:bCs/>
          <w:sz w:val="33"/>
        </w:rPr>
      </w:pPr>
      <w:r>
        <w:rPr>
          <w:rFonts w:hint="eastAsia"/>
          <w:b w:val="0"/>
          <w:bCs/>
          <w:sz w:val="33"/>
        </w:rPr>
        <w:t>More Jews will be converted.</w:t>
      </w:r>
    </w:p>
    <w:p w14:paraId="48044801">
      <w:pPr>
        <w:pStyle w:val="9"/>
        <w:spacing w:before="70"/>
        <w:ind w:left="0"/>
        <w:jc w:val="left"/>
        <w:rPr>
          <w:rFonts w:hint="eastAsia"/>
          <w:b w:val="0"/>
          <w:bCs/>
          <w:sz w:val="33"/>
        </w:rPr>
      </w:pPr>
    </w:p>
    <w:p w14:paraId="63D06A92">
      <w:pPr>
        <w:pStyle w:val="9"/>
        <w:spacing w:before="70"/>
        <w:ind w:left="0"/>
        <w:jc w:val="left"/>
        <w:rPr>
          <w:rFonts w:hint="eastAsia"/>
          <w:b w:val="0"/>
          <w:bCs/>
          <w:sz w:val="33"/>
        </w:rPr>
      </w:pPr>
      <w:r>
        <w:rPr>
          <w:rFonts w:hint="eastAsia"/>
          <w:b w:val="0"/>
          <w:bCs/>
          <w:sz w:val="33"/>
        </w:rPr>
        <w:t>更多犹太人将归信。</w:t>
      </w:r>
    </w:p>
    <w:p w14:paraId="7E254FCB">
      <w:pPr>
        <w:pStyle w:val="9"/>
        <w:spacing w:before="70"/>
        <w:ind w:left="0"/>
        <w:jc w:val="left"/>
        <w:rPr>
          <w:rFonts w:hint="eastAsia"/>
          <w:b w:val="0"/>
          <w:bCs/>
          <w:sz w:val="33"/>
        </w:rPr>
      </w:pPr>
    </w:p>
    <w:p w14:paraId="7BB66260">
      <w:pPr>
        <w:pStyle w:val="9"/>
        <w:spacing w:before="70"/>
        <w:ind w:left="0"/>
        <w:jc w:val="left"/>
        <w:rPr>
          <w:rFonts w:hint="eastAsia"/>
          <w:b w:val="0"/>
          <w:bCs/>
          <w:sz w:val="33"/>
        </w:rPr>
      </w:pPr>
      <w:r>
        <w:rPr>
          <w:rFonts w:hint="eastAsia"/>
          <w:b w:val="0"/>
          <w:bCs/>
          <w:sz w:val="33"/>
        </w:rPr>
        <w:t>OT saints—and believers who died during the Tribulation—will be raised from the dead, thereafter to return to heaven with the glorified Church.</w:t>
      </w:r>
    </w:p>
    <w:p w14:paraId="1E6BEC1B">
      <w:pPr>
        <w:pStyle w:val="9"/>
        <w:spacing w:before="70"/>
        <w:ind w:left="0"/>
        <w:jc w:val="left"/>
        <w:rPr>
          <w:rFonts w:hint="eastAsia"/>
          <w:b w:val="0"/>
          <w:bCs/>
          <w:sz w:val="33"/>
        </w:rPr>
      </w:pPr>
    </w:p>
    <w:p w14:paraId="72C64F52">
      <w:pPr>
        <w:pStyle w:val="9"/>
        <w:spacing w:before="70"/>
        <w:ind w:left="0"/>
        <w:jc w:val="left"/>
        <w:rPr>
          <w:rFonts w:hint="eastAsia"/>
          <w:b w:val="0"/>
          <w:bCs/>
          <w:sz w:val="33"/>
        </w:rPr>
      </w:pPr>
      <w:r>
        <w:rPr>
          <w:rFonts w:hint="eastAsia"/>
          <w:b w:val="0"/>
          <w:bCs/>
          <w:sz w:val="33"/>
        </w:rPr>
        <w:t>旧约的圣徒——以及在大患难期间死去的信徒——将从死里复活，此后与得荣的教会一同回到天上。</w:t>
      </w:r>
    </w:p>
    <w:p w14:paraId="25731D97">
      <w:pPr>
        <w:pStyle w:val="9"/>
        <w:spacing w:before="70"/>
        <w:ind w:left="0"/>
        <w:jc w:val="left"/>
        <w:rPr>
          <w:rFonts w:hint="eastAsia"/>
          <w:b w:val="0"/>
          <w:bCs/>
          <w:sz w:val="33"/>
        </w:rPr>
      </w:pPr>
    </w:p>
    <w:p w14:paraId="537A7DAB">
      <w:pPr>
        <w:pStyle w:val="9"/>
        <w:spacing w:before="70"/>
        <w:ind w:left="0"/>
        <w:jc w:val="left"/>
        <w:rPr>
          <w:rFonts w:hint="eastAsia"/>
          <w:b w:val="0"/>
          <w:bCs/>
          <w:sz w:val="33"/>
        </w:rPr>
      </w:pPr>
      <w:r>
        <w:rPr>
          <w:rFonts w:hint="eastAsia"/>
          <w:b w:val="0"/>
          <w:bCs/>
          <w:sz w:val="33"/>
        </w:rPr>
        <w:t>Christ will then judge the living Gentile nations, permitting those individuals who treated his “brethren” (i.e., the Jewish evangelists) well, to enter the Millennium.</w:t>
      </w:r>
    </w:p>
    <w:p w14:paraId="71507A71">
      <w:pPr>
        <w:pStyle w:val="9"/>
        <w:spacing w:before="70"/>
        <w:ind w:left="0"/>
        <w:jc w:val="left"/>
        <w:rPr>
          <w:rFonts w:hint="eastAsia"/>
          <w:b w:val="0"/>
          <w:bCs/>
          <w:sz w:val="33"/>
        </w:rPr>
      </w:pPr>
    </w:p>
    <w:p w14:paraId="4101AA76">
      <w:pPr>
        <w:pStyle w:val="9"/>
        <w:spacing w:before="70"/>
        <w:ind w:left="0"/>
        <w:jc w:val="left"/>
        <w:rPr>
          <w:rFonts w:hint="eastAsia"/>
          <w:b w:val="0"/>
          <w:bCs/>
          <w:sz w:val="33"/>
        </w:rPr>
      </w:pPr>
      <w:r>
        <w:rPr>
          <w:rFonts w:hint="eastAsia"/>
          <w:b w:val="0"/>
          <w:bCs/>
          <w:sz w:val="33"/>
        </w:rPr>
        <w:t>然后，基督将审判活着的外邦列国，允许那些善待祂“弟兄”（即犹太传福音者）的人进入千禧年。</w:t>
      </w:r>
    </w:p>
    <w:p w14:paraId="0280B9B0">
      <w:pPr>
        <w:pStyle w:val="9"/>
        <w:spacing w:before="70"/>
        <w:ind w:left="0"/>
        <w:jc w:val="left"/>
        <w:rPr>
          <w:rFonts w:hint="eastAsia"/>
          <w:b w:val="0"/>
          <w:bCs/>
          <w:sz w:val="33"/>
        </w:rPr>
      </w:pPr>
    </w:p>
    <w:p w14:paraId="4BD6A217">
      <w:pPr>
        <w:pStyle w:val="9"/>
        <w:spacing w:before="70"/>
        <w:ind w:left="0"/>
        <w:jc w:val="left"/>
        <w:rPr>
          <w:rFonts w:hint="eastAsia"/>
          <w:b w:val="0"/>
          <w:bCs/>
          <w:sz w:val="33"/>
        </w:rPr>
      </w:pPr>
      <w:r>
        <w:rPr>
          <w:rFonts w:hint="eastAsia"/>
          <w:b w:val="0"/>
          <w:bCs/>
          <w:sz w:val="33"/>
        </w:rPr>
        <w:t>Likewise, he will also judge between believing and unbelieving Jews.</w:t>
      </w:r>
    </w:p>
    <w:p w14:paraId="3DCE95F3">
      <w:pPr>
        <w:pStyle w:val="9"/>
        <w:spacing w:before="70"/>
        <w:ind w:left="0"/>
        <w:jc w:val="left"/>
        <w:rPr>
          <w:rFonts w:hint="eastAsia"/>
          <w:b w:val="0"/>
          <w:bCs/>
          <w:sz w:val="33"/>
        </w:rPr>
      </w:pPr>
    </w:p>
    <w:p w14:paraId="291D646D">
      <w:pPr>
        <w:pStyle w:val="9"/>
        <w:spacing w:before="70"/>
        <w:ind w:left="0"/>
        <w:jc w:val="left"/>
        <w:rPr>
          <w:rFonts w:hint="eastAsia"/>
          <w:b w:val="0"/>
          <w:bCs/>
          <w:sz w:val="33"/>
        </w:rPr>
      </w:pPr>
      <w:r>
        <w:rPr>
          <w:rFonts w:hint="eastAsia"/>
          <w:b w:val="0"/>
          <w:bCs/>
          <w:sz w:val="33"/>
        </w:rPr>
        <w:t>同样，祂也将审判相信和不信的犹太人。</w:t>
      </w:r>
    </w:p>
    <w:p w14:paraId="76CCB333">
      <w:pPr>
        <w:pStyle w:val="9"/>
        <w:spacing w:before="70"/>
        <w:ind w:left="0"/>
        <w:jc w:val="left"/>
        <w:rPr>
          <w:rFonts w:hint="eastAsia"/>
          <w:b w:val="0"/>
          <w:bCs/>
          <w:sz w:val="33"/>
        </w:rPr>
      </w:pPr>
    </w:p>
    <w:p w14:paraId="4A423FAB">
      <w:pPr>
        <w:pStyle w:val="9"/>
        <w:spacing w:before="70"/>
        <w:ind w:left="0"/>
        <w:jc w:val="left"/>
        <w:rPr>
          <w:rFonts w:hint="eastAsia"/>
          <w:b w:val="0"/>
          <w:bCs/>
          <w:sz w:val="33"/>
        </w:rPr>
      </w:pPr>
      <w:r>
        <w:rPr>
          <w:rFonts w:hint="eastAsia"/>
          <w:b w:val="0"/>
          <w:bCs/>
          <w:sz w:val="33"/>
        </w:rPr>
        <w:t>Finally, he will cast Satan into the abyss for 1000 years.</w:t>
      </w:r>
    </w:p>
    <w:p w14:paraId="6AE377CD">
      <w:pPr>
        <w:pStyle w:val="9"/>
        <w:spacing w:before="70"/>
        <w:ind w:left="0"/>
        <w:jc w:val="left"/>
        <w:rPr>
          <w:rFonts w:hint="eastAsia"/>
          <w:b w:val="0"/>
          <w:bCs/>
          <w:sz w:val="33"/>
        </w:rPr>
      </w:pPr>
    </w:p>
    <w:p w14:paraId="0F17037A">
      <w:pPr>
        <w:pStyle w:val="9"/>
        <w:spacing w:before="70"/>
        <w:ind w:left="0"/>
        <w:jc w:val="left"/>
        <w:rPr>
          <w:rFonts w:hint="eastAsia"/>
          <w:b w:val="0"/>
          <w:bCs/>
          <w:sz w:val="33"/>
        </w:rPr>
      </w:pPr>
      <w:r>
        <w:rPr>
          <w:rFonts w:hint="eastAsia"/>
          <w:b w:val="0"/>
          <w:bCs/>
          <w:sz w:val="33"/>
        </w:rPr>
        <w:t>最后，祂将把撒但扔进无底坑里1000年。</w:t>
      </w:r>
    </w:p>
    <w:p w14:paraId="2E181967">
      <w:pPr>
        <w:pStyle w:val="9"/>
        <w:spacing w:before="70"/>
        <w:ind w:left="0"/>
        <w:jc w:val="left"/>
        <w:rPr>
          <w:rFonts w:hint="eastAsia"/>
          <w:b w:val="0"/>
          <w:bCs/>
          <w:sz w:val="33"/>
        </w:rPr>
      </w:pPr>
    </w:p>
    <w:p w14:paraId="34C17BC4">
      <w:pPr>
        <w:pStyle w:val="9"/>
        <w:spacing w:before="70"/>
        <w:ind w:left="0"/>
        <w:jc w:val="left"/>
        <w:rPr>
          <w:rFonts w:hint="eastAsia"/>
          <w:b w:val="0"/>
          <w:bCs/>
          <w:sz w:val="33"/>
        </w:rPr>
      </w:pPr>
      <w:r>
        <w:rPr>
          <w:rFonts w:hint="eastAsia"/>
          <w:b w:val="0"/>
          <w:bCs/>
          <w:sz w:val="33"/>
        </w:rPr>
        <w:t>At this, the glorified saints return to heaven, and the theocratic Kingdom begins.</w:t>
      </w:r>
    </w:p>
    <w:p w14:paraId="7880EEA9">
      <w:pPr>
        <w:pStyle w:val="9"/>
        <w:spacing w:before="70"/>
        <w:ind w:left="0"/>
        <w:jc w:val="left"/>
        <w:rPr>
          <w:rFonts w:hint="eastAsia"/>
          <w:b w:val="0"/>
          <w:bCs/>
          <w:sz w:val="33"/>
        </w:rPr>
      </w:pPr>
    </w:p>
    <w:p w14:paraId="738A2043">
      <w:pPr>
        <w:pStyle w:val="9"/>
        <w:spacing w:before="70"/>
        <w:ind w:left="0"/>
        <w:jc w:val="left"/>
        <w:rPr>
          <w:rFonts w:hint="eastAsia"/>
          <w:b w:val="0"/>
          <w:bCs/>
          <w:sz w:val="33"/>
        </w:rPr>
      </w:pPr>
      <w:r>
        <w:rPr>
          <w:rFonts w:hint="eastAsia"/>
          <w:b w:val="0"/>
          <w:bCs/>
          <w:sz w:val="33"/>
        </w:rPr>
        <w:t>至此，得荣的圣徒回到天上，神权政体的国度开始。</w:t>
      </w:r>
    </w:p>
    <w:p w14:paraId="438CD60D">
      <w:pPr>
        <w:pStyle w:val="9"/>
        <w:spacing w:before="70"/>
        <w:ind w:left="0"/>
        <w:jc w:val="left"/>
        <w:rPr>
          <w:rFonts w:hint="eastAsia"/>
          <w:b w:val="0"/>
          <w:bCs/>
          <w:sz w:val="33"/>
        </w:rPr>
      </w:pPr>
    </w:p>
    <w:p w14:paraId="4302D0CD">
      <w:pPr>
        <w:pStyle w:val="9"/>
        <w:spacing w:before="70"/>
        <w:ind w:left="0"/>
        <w:jc w:val="left"/>
        <w:rPr>
          <w:rFonts w:hint="eastAsia"/>
          <w:b w:val="0"/>
          <w:bCs/>
          <w:sz w:val="33"/>
        </w:rPr>
      </w:pPr>
      <w:r>
        <w:rPr>
          <w:rFonts w:hint="eastAsia"/>
          <w:b w:val="0"/>
          <w:bCs/>
          <w:sz w:val="33"/>
        </w:rPr>
        <w:t>Throughout the Millennium, Christ will reign on earth and over the earth from earthly Jerusalem.</w:t>
      </w:r>
    </w:p>
    <w:p w14:paraId="11F28F26">
      <w:pPr>
        <w:pStyle w:val="9"/>
        <w:spacing w:before="70"/>
        <w:ind w:left="0"/>
        <w:jc w:val="left"/>
        <w:rPr>
          <w:rFonts w:hint="eastAsia"/>
          <w:b w:val="0"/>
          <w:bCs/>
          <w:sz w:val="33"/>
        </w:rPr>
      </w:pPr>
    </w:p>
    <w:p w14:paraId="18F8A171">
      <w:pPr>
        <w:pStyle w:val="9"/>
        <w:spacing w:before="70"/>
        <w:ind w:left="0"/>
        <w:jc w:val="left"/>
        <w:rPr>
          <w:rFonts w:hint="eastAsia"/>
          <w:b w:val="0"/>
          <w:bCs/>
          <w:sz w:val="33"/>
        </w:rPr>
      </w:pPr>
      <w:r>
        <w:rPr>
          <w:rFonts w:hint="eastAsia"/>
          <w:b w:val="0"/>
          <w:bCs/>
          <w:sz w:val="33"/>
        </w:rPr>
        <w:t>在整个千禧年期间，基督将从属地的耶路撒冷在地上并管理全地作王。</w:t>
      </w:r>
    </w:p>
    <w:p w14:paraId="00BF0186">
      <w:pPr>
        <w:pStyle w:val="9"/>
        <w:spacing w:before="70"/>
        <w:ind w:left="0"/>
        <w:jc w:val="left"/>
        <w:rPr>
          <w:rFonts w:hint="eastAsia"/>
          <w:b w:val="0"/>
          <w:bCs/>
          <w:sz w:val="33"/>
        </w:rPr>
      </w:pPr>
    </w:p>
    <w:p w14:paraId="2680202D">
      <w:pPr>
        <w:pStyle w:val="9"/>
        <w:spacing w:before="70"/>
        <w:ind w:left="0"/>
        <w:jc w:val="left"/>
        <w:rPr>
          <w:rFonts w:hint="eastAsia"/>
          <w:b w:val="0"/>
          <w:bCs/>
          <w:sz w:val="33"/>
        </w:rPr>
      </w:pPr>
      <w:r>
        <w:rPr>
          <w:rFonts w:hint="eastAsia"/>
          <w:b w:val="0"/>
          <w:bCs/>
          <w:sz w:val="33"/>
        </w:rPr>
        <w:t>A glorious, rebuilt temple will become the center of the global worship of God.</w:t>
      </w:r>
    </w:p>
    <w:p w14:paraId="2A297204">
      <w:pPr>
        <w:pStyle w:val="9"/>
        <w:spacing w:before="70"/>
        <w:ind w:left="0"/>
        <w:jc w:val="left"/>
        <w:rPr>
          <w:rFonts w:hint="eastAsia"/>
          <w:b w:val="0"/>
          <w:bCs/>
          <w:sz w:val="33"/>
        </w:rPr>
      </w:pPr>
    </w:p>
    <w:p w14:paraId="43679DFC">
      <w:pPr>
        <w:pStyle w:val="9"/>
        <w:spacing w:before="70"/>
        <w:ind w:left="0"/>
        <w:jc w:val="left"/>
        <w:rPr>
          <w:rFonts w:hint="eastAsia"/>
          <w:b w:val="0"/>
          <w:bCs/>
          <w:sz w:val="33"/>
        </w:rPr>
      </w:pPr>
      <w:r>
        <w:rPr>
          <w:rFonts w:hint="eastAsia"/>
          <w:b w:val="0"/>
          <w:bCs/>
          <w:sz w:val="33"/>
        </w:rPr>
        <w:t>一座荣耀的、重建的圣殿将成为全球敬拜神的中心。</w:t>
      </w:r>
    </w:p>
    <w:p w14:paraId="06CEEBB0">
      <w:pPr>
        <w:pStyle w:val="9"/>
        <w:spacing w:before="70"/>
        <w:ind w:left="0"/>
        <w:jc w:val="left"/>
        <w:rPr>
          <w:rFonts w:hint="eastAsia"/>
          <w:b w:val="0"/>
          <w:bCs/>
          <w:sz w:val="33"/>
        </w:rPr>
      </w:pPr>
    </w:p>
    <w:p w14:paraId="2118028F">
      <w:pPr>
        <w:pStyle w:val="9"/>
        <w:spacing w:before="70"/>
        <w:ind w:left="0"/>
        <w:jc w:val="left"/>
        <w:rPr>
          <w:rFonts w:hint="eastAsia"/>
          <w:b w:val="0"/>
          <w:bCs/>
          <w:sz w:val="33"/>
        </w:rPr>
      </w:pPr>
      <w:r>
        <w:rPr>
          <w:rFonts w:hint="eastAsia"/>
          <w:b w:val="0"/>
          <w:bCs/>
          <w:sz w:val="33"/>
        </w:rPr>
        <w:t>In commemoration of Christ’s atoning death, priests will again offer animal sacrifices and observe Jewish feast days.</w:t>
      </w:r>
    </w:p>
    <w:p w14:paraId="3B1F408E">
      <w:pPr>
        <w:pStyle w:val="9"/>
        <w:spacing w:before="70"/>
        <w:ind w:left="0"/>
        <w:jc w:val="left"/>
        <w:rPr>
          <w:rFonts w:hint="eastAsia"/>
          <w:b w:val="0"/>
          <w:bCs/>
          <w:sz w:val="33"/>
        </w:rPr>
      </w:pPr>
    </w:p>
    <w:p w14:paraId="6135969C">
      <w:pPr>
        <w:pStyle w:val="9"/>
        <w:spacing w:before="70"/>
        <w:ind w:left="0"/>
        <w:jc w:val="left"/>
        <w:rPr>
          <w:rFonts w:hint="eastAsia"/>
          <w:b w:val="0"/>
          <w:bCs/>
          <w:sz w:val="33"/>
        </w:rPr>
      </w:pPr>
      <w:r>
        <w:rPr>
          <w:rFonts w:hint="eastAsia"/>
          <w:b w:val="0"/>
          <w:bCs/>
          <w:sz w:val="33"/>
        </w:rPr>
        <w:t>为记念基督的赎罪之死，祭司将再次献上动物献祭并遵守犹太节期。</w:t>
      </w:r>
    </w:p>
    <w:p w14:paraId="14EE02DA">
      <w:pPr>
        <w:pStyle w:val="9"/>
        <w:spacing w:before="70"/>
        <w:ind w:left="0"/>
        <w:jc w:val="left"/>
        <w:rPr>
          <w:rFonts w:hint="eastAsia"/>
          <w:b w:val="0"/>
          <w:bCs/>
          <w:sz w:val="33"/>
        </w:rPr>
      </w:pPr>
    </w:p>
    <w:p w14:paraId="6A32378B">
      <w:pPr>
        <w:pStyle w:val="9"/>
        <w:spacing w:before="70"/>
        <w:ind w:left="0"/>
        <w:jc w:val="left"/>
        <w:rPr>
          <w:rFonts w:hint="eastAsia"/>
          <w:b w:val="0"/>
          <w:bCs/>
          <w:sz w:val="33"/>
        </w:rPr>
      </w:pPr>
      <w:r>
        <w:rPr>
          <w:rFonts w:hint="eastAsia"/>
          <w:b w:val="0"/>
          <w:bCs/>
          <w:sz w:val="33"/>
        </w:rPr>
        <w:t>Though sin and death will be marginally present, the Millennium will be a time of widespread peace, prosperity, longevity, righteousness, and joy.</w:t>
      </w:r>
    </w:p>
    <w:p w14:paraId="40440324">
      <w:pPr>
        <w:pStyle w:val="9"/>
        <w:spacing w:before="70"/>
        <w:ind w:left="0"/>
        <w:jc w:val="left"/>
        <w:rPr>
          <w:rFonts w:hint="eastAsia"/>
          <w:b w:val="0"/>
          <w:bCs/>
          <w:sz w:val="33"/>
        </w:rPr>
      </w:pPr>
    </w:p>
    <w:p w14:paraId="20D03F0E">
      <w:pPr>
        <w:pStyle w:val="9"/>
        <w:spacing w:before="70"/>
        <w:ind w:left="0"/>
        <w:jc w:val="left"/>
        <w:rPr>
          <w:rFonts w:hint="eastAsia"/>
          <w:b w:val="0"/>
          <w:bCs/>
          <w:sz w:val="33"/>
        </w:rPr>
      </w:pPr>
      <w:r>
        <w:rPr>
          <w:rFonts w:hint="eastAsia"/>
          <w:b w:val="0"/>
          <w:bCs/>
          <w:sz w:val="33"/>
        </w:rPr>
        <w:t>尽管罪和死将少量存在，千禧年将是一个普遍和平、繁荣、长寿、公义和喜乐的时期。</w:t>
      </w:r>
    </w:p>
    <w:p w14:paraId="64CBBAE8">
      <w:pPr>
        <w:pStyle w:val="9"/>
        <w:spacing w:before="70"/>
        <w:ind w:left="0"/>
        <w:jc w:val="left"/>
        <w:rPr>
          <w:rFonts w:hint="eastAsia"/>
          <w:b w:val="0"/>
          <w:bCs/>
          <w:sz w:val="33"/>
        </w:rPr>
      </w:pPr>
    </w:p>
    <w:p w14:paraId="7B6C681B">
      <w:pPr>
        <w:pStyle w:val="9"/>
        <w:spacing w:before="70"/>
        <w:ind w:left="0"/>
        <w:jc w:val="left"/>
        <w:rPr>
          <w:rFonts w:hint="eastAsia"/>
          <w:b w:val="0"/>
          <w:bCs/>
          <w:sz w:val="33"/>
        </w:rPr>
      </w:pPr>
      <w:r>
        <w:rPr>
          <w:rFonts w:hint="eastAsia"/>
          <w:b w:val="0"/>
          <w:bCs/>
          <w:sz w:val="33"/>
        </w:rPr>
        <w:t>On those rare occasions when rebels rise up against their King, Christ will swiftly overrule them with a rod of iron, possibly with help from the glorified saints in heaven.</w:t>
      </w:r>
    </w:p>
    <w:p w14:paraId="5D1A9C58">
      <w:pPr>
        <w:pStyle w:val="9"/>
        <w:spacing w:before="70"/>
        <w:ind w:left="0"/>
        <w:jc w:val="left"/>
        <w:rPr>
          <w:rFonts w:hint="eastAsia"/>
          <w:b w:val="0"/>
          <w:bCs/>
          <w:sz w:val="33"/>
        </w:rPr>
      </w:pPr>
    </w:p>
    <w:p w14:paraId="6C6F0605">
      <w:pPr>
        <w:pStyle w:val="9"/>
        <w:spacing w:before="70"/>
        <w:ind w:left="0"/>
        <w:jc w:val="left"/>
        <w:rPr>
          <w:rFonts w:hint="eastAsia"/>
          <w:b w:val="0"/>
          <w:bCs/>
          <w:sz w:val="33"/>
        </w:rPr>
      </w:pPr>
      <w:r>
        <w:rPr>
          <w:rFonts w:hint="eastAsia"/>
          <w:b w:val="0"/>
          <w:bCs/>
          <w:sz w:val="33"/>
        </w:rPr>
        <w:t>在那些罕见的情况下，当叛乱者起来反抗他们的君王时，基督将用铁杖迅速制服他们，可能还有来自天上得荣圣徒的帮助。</w:t>
      </w:r>
    </w:p>
    <w:p w14:paraId="55F46648">
      <w:pPr>
        <w:pStyle w:val="9"/>
        <w:spacing w:before="70"/>
        <w:ind w:left="0"/>
        <w:jc w:val="left"/>
        <w:rPr>
          <w:rFonts w:hint="eastAsia"/>
          <w:b w:val="0"/>
          <w:bCs/>
          <w:sz w:val="33"/>
        </w:rPr>
      </w:pPr>
    </w:p>
    <w:p w14:paraId="0DF2AE26">
      <w:pPr>
        <w:pStyle w:val="9"/>
        <w:spacing w:before="70"/>
        <w:ind w:left="0"/>
        <w:jc w:val="left"/>
        <w:rPr>
          <w:rFonts w:hint="eastAsia"/>
          <w:b w:val="0"/>
          <w:bCs/>
          <w:sz w:val="33"/>
        </w:rPr>
      </w:pPr>
      <w:r>
        <w:rPr>
          <w:rFonts w:hint="eastAsia"/>
          <w:b w:val="0"/>
          <w:bCs/>
          <w:sz w:val="33"/>
        </w:rPr>
        <w:t>At the end of the Millennium, God will permit Satan and his demon hosts to arise from the abyss and deceive the nations once more.</w:t>
      </w:r>
    </w:p>
    <w:p w14:paraId="19D25604">
      <w:pPr>
        <w:pStyle w:val="9"/>
        <w:spacing w:before="70"/>
        <w:ind w:left="0"/>
        <w:jc w:val="left"/>
        <w:rPr>
          <w:rFonts w:hint="eastAsia"/>
          <w:b w:val="0"/>
          <w:bCs/>
          <w:sz w:val="33"/>
        </w:rPr>
      </w:pPr>
    </w:p>
    <w:p w14:paraId="4D036400">
      <w:pPr>
        <w:pStyle w:val="9"/>
        <w:spacing w:before="70"/>
        <w:ind w:left="0"/>
        <w:jc w:val="left"/>
        <w:rPr>
          <w:rFonts w:hint="eastAsia"/>
          <w:b w:val="0"/>
          <w:bCs/>
          <w:sz w:val="33"/>
        </w:rPr>
      </w:pPr>
      <w:r>
        <w:rPr>
          <w:rFonts w:hint="eastAsia"/>
          <w:b w:val="0"/>
          <w:bCs/>
          <w:sz w:val="33"/>
        </w:rPr>
        <w:t>在千禧年结束时，神将允许撒但和他的鬼魔军团从无底坑中上来，再次迷惑列国。</w:t>
      </w:r>
    </w:p>
    <w:p w14:paraId="54529A45">
      <w:pPr>
        <w:pStyle w:val="9"/>
        <w:spacing w:before="70"/>
        <w:ind w:left="0"/>
        <w:jc w:val="left"/>
        <w:rPr>
          <w:rFonts w:hint="eastAsia"/>
          <w:b w:val="0"/>
          <w:bCs/>
          <w:sz w:val="33"/>
        </w:rPr>
      </w:pPr>
    </w:p>
    <w:p w14:paraId="71C38A30">
      <w:pPr>
        <w:pStyle w:val="9"/>
        <w:spacing w:before="70"/>
        <w:ind w:left="0"/>
        <w:jc w:val="left"/>
        <w:rPr>
          <w:rFonts w:hint="eastAsia"/>
          <w:b w:val="0"/>
          <w:bCs/>
          <w:sz w:val="33"/>
        </w:rPr>
      </w:pPr>
      <w:r>
        <w:rPr>
          <w:rFonts w:hint="eastAsia"/>
          <w:b w:val="0"/>
          <w:bCs/>
          <w:sz w:val="33"/>
        </w:rPr>
        <w:t>A final battle will ensue, wherein a confederacy of rebellious nations attacks the camp of the (largely Jewish) saints.</w:t>
      </w:r>
    </w:p>
    <w:p w14:paraId="4B720F97">
      <w:pPr>
        <w:pStyle w:val="9"/>
        <w:spacing w:before="70"/>
        <w:ind w:left="0"/>
        <w:jc w:val="left"/>
        <w:rPr>
          <w:rFonts w:hint="eastAsia"/>
          <w:b w:val="0"/>
          <w:bCs/>
          <w:sz w:val="33"/>
        </w:rPr>
      </w:pPr>
    </w:p>
    <w:p w14:paraId="68DB6CF3">
      <w:pPr>
        <w:pStyle w:val="9"/>
        <w:spacing w:before="70"/>
        <w:ind w:left="0"/>
        <w:jc w:val="left"/>
        <w:rPr>
          <w:rFonts w:hint="eastAsia"/>
          <w:b w:val="0"/>
          <w:bCs/>
          <w:sz w:val="33"/>
        </w:rPr>
      </w:pPr>
      <w:r>
        <w:rPr>
          <w:rFonts w:hint="eastAsia"/>
          <w:b w:val="0"/>
          <w:bCs/>
          <w:sz w:val="33"/>
        </w:rPr>
        <w:t>一场最后的争战将随之而来，在其中一个由叛乱国家组成的联盟将攻击（主要是犹太）圣徒的营。</w:t>
      </w:r>
    </w:p>
    <w:p w14:paraId="38BE60D3">
      <w:pPr>
        <w:pStyle w:val="9"/>
        <w:spacing w:before="70"/>
        <w:ind w:left="0"/>
        <w:jc w:val="left"/>
        <w:rPr>
          <w:rFonts w:hint="eastAsia"/>
          <w:b w:val="0"/>
          <w:bCs/>
          <w:sz w:val="33"/>
        </w:rPr>
      </w:pPr>
    </w:p>
    <w:p w14:paraId="3829611E">
      <w:pPr>
        <w:pStyle w:val="9"/>
        <w:spacing w:before="70"/>
        <w:ind w:left="0"/>
        <w:jc w:val="left"/>
        <w:rPr>
          <w:rFonts w:hint="eastAsia"/>
          <w:b w:val="0"/>
          <w:bCs/>
          <w:sz w:val="33"/>
        </w:rPr>
      </w:pPr>
      <w:r>
        <w:rPr>
          <w:rFonts w:hint="eastAsia"/>
          <w:b w:val="0"/>
          <w:bCs/>
          <w:sz w:val="33"/>
        </w:rPr>
        <w:t>But God (or Christ) will quickly intervene, destroying his foes, casting Satan into hell, and raising the millennial saints from the dead.</w:t>
      </w:r>
    </w:p>
    <w:p w14:paraId="35C1F23E">
      <w:pPr>
        <w:pStyle w:val="9"/>
        <w:spacing w:before="70"/>
        <w:ind w:left="0"/>
        <w:jc w:val="left"/>
        <w:rPr>
          <w:rFonts w:hint="eastAsia"/>
          <w:b w:val="0"/>
          <w:bCs/>
          <w:sz w:val="33"/>
        </w:rPr>
      </w:pPr>
    </w:p>
    <w:p w14:paraId="310734BB">
      <w:pPr>
        <w:pStyle w:val="9"/>
        <w:spacing w:before="70"/>
        <w:ind w:left="0"/>
        <w:jc w:val="left"/>
        <w:rPr>
          <w:rFonts w:hint="eastAsia"/>
          <w:b w:val="0"/>
          <w:bCs/>
          <w:sz w:val="33"/>
        </w:rPr>
      </w:pPr>
      <w:r>
        <w:rPr>
          <w:rFonts w:hint="eastAsia"/>
          <w:b w:val="0"/>
          <w:bCs/>
          <w:sz w:val="33"/>
        </w:rPr>
        <w:t>但神（或基督）将迅速介入，摧毁祂的仇敌，将撒但扔进地狱，并使千禧年的圣徒从死里复活。</w:t>
      </w:r>
    </w:p>
    <w:p w14:paraId="5A895C97">
      <w:pPr>
        <w:pStyle w:val="9"/>
        <w:spacing w:before="70"/>
        <w:ind w:left="0"/>
        <w:jc w:val="left"/>
        <w:rPr>
          <w:rFonts w:hint="eastAsia"/>
          <w:b w:val="0"/>
          <w:bCs/>
          <w:sz w:val="33"/>
        </w:rPr>
      </w:pPr>
    </w:p>
    <w:p w14:paraId="46C51E7D">
      <w:pPr>
        <w:pStyle w:val="9"/>
        <w:spacing w:before="70"/>
        <w:ind w:left="0"/>
        <w:jc w:val="left"/>
        <w:rPr>
          <w:rFonts w:hint="eastAsia"/>
          <w:b w:val="0"/>
          <w:bCs/>
          <w:sz w:val="33"/>
        </w:rPr>
      </w:pPr>
      <w:r>
        <w:rPr>
          <w:rFonts w:hint="eastAsia"/>
          <w:b w:val="0"/>
          <w:bCs/>
          <w:sz w:val="33"/>
        </w:rPr>
        <w:t>Now comes the Last Judgment.</w:t>
      </w:r>
    </w:p>
    <w:p w14:paraId="396C6C89">
      <w:pPr>
        <w:pStyle w:val="9"/>
        <w:spacing w:before="70"/>
        <w:ind w:left="0"/>
        <w:jc w:val="left"/>
        <w:rPr>
          <w:rFonts w:hint="eastAsia"/>
          <w:b w:val="0"/>
          <w:bCs/>
          <w:sz w:val="33"/>
        </w:rPr>
      </w:pPr>
    </w:p>
    <w:p w14:paraId="7A6E6349">
      <w:pPr>
        <w:pStyle w:val="9"/>
        <w:spacing w:before="70"/>
        <w:ind w:left="0"/>
        <w:jc w:val="left"/>
        <w:rPr>
          <w:rFonts w:hint="eastAsia"/>
          <w:b w:val="0"/>
          <w:bCs/>
          <w:sz w:val="33"/>
        </w:rPr>
      </w:pPr>
      <w:r>
        <w:rPr>
          <w:rFonts w:hint="eastAsia"/>
          <w:b w:val="0"/>
          <w:bCs/>
          <w:sz w:val="33"/>
        </w:rPr>
        <w:t>现在是最后的审判。</w:t>
      </w:r>
    </w:p>
    <w:p w14:paraId="5E9B6839">
      <w:pPr>
        <w:pStyle w:val="9"/>
        <w:spacing w:before="70"/>
        <w:ind w:left="0"/>
        <w:jc w:val="left"/>
        <w:rPr>
          <w:rFonts w:hint="eastAsia"/>
          <w:b w:val="0"/>
          <w:bCs/>
          <w:sz w:val="33"/>
        </w:rPr>
      </w:pPr>
    </w:p>
    <w:p w14:paraId="1489A4DE">
      <w:pPr>
        <w:pStyle w:val="9"/>
        <w:spacing w:before="70"/>
        <w:ind w:left="0"/>
        <w:jc w:val="left"/>
        <w:rPr>
          <w:rFonts w:hint="eastAsia"/>
          <w:b w:val="0"/>
          <w:bCs/>
          <w:sz w:val="33"/>
        </w:rPr>
      </w:pPr>
      <w:r>
        <w:rPr>
          <w:rFonts w:hint="eastAsia"/>
          <w:b w:val="0"/>
          <w:bCs/>
          <w:sz w:val="33"/>
        </w:rPr>
        <w:t>Here the focus is upon the unbelieving dead, who will be raised, brought before the Great White Throne, judged according to their works, and cast into the Lake of Fire.</w:t>
      </w:r>
    </w:p>
    <w:p w14:paraId="22460FFF">
      <w:pPr>
        <w:pStyle w:val="9"/>
        <w:spacing w:before="70"/>
        <w:ind w:left="0"/>
        <w:jc w:val="left"/>
        <w:rPr>
          <w:rFonts w:hint="eastAsia"/>
          <w:b w:val="0"/>
          <w:bCs/>
          <w:sz w:val="33"/>
        </w:rPr>
      </w:pPr>
    </w:p>
    <w:p w14:paraId="1E6F84B9">
      <w:pPr>
        <w:pStyle w:val="9"/>
        <w:spacing w:before="70"/>
        <w:ind w:left="0"/>
        <w:jc w:val="left"/>
        <w:rPr>
          <w:rFonts w:hint="eastAsia"/>
          <w:b w:val="0"/>
          <w:bCs/>
          <w:sz w:val="33"/>
        </w:rPr>
      </w:pPr>
      <w:r>
        <w:rPr>
          <w:rFonts w:hint="eastAsia"/>
          <w:b w:val="0"/>
          <w:bCs/>
          <w:sz w:val="33"/>
        </w:rPr>
        <w:t>这里的焦点是不信的死人，他们将被复活，带到白色大宝座前，按他们的行为受审判，并被扔进火湖里。</w:t>
      </w:r>
    </w:p>
    <w:p w14:paraId="5CD6057D">
      <w:pPr>
        <w:pStyle w:val="9"/>
        <w:spacing w:before="70"/>
        <w:ind w:left="0"/>
        <w:jc w:val="left"/>
        <w:rPr>
          <w:rFonts w:hint="eastAsia"/>
          <w:b w:val="0"/>
          <w:bCs/>
          <w:sz w:val="33"/>
        </w:rPr>
      </w:pPr>
    </w:p>
    <w:p w14:paraId="0E86BAEE">
      <w:pPr>
        <w:pStyle w:val="9"/>
        <w:spacing w:before="70"/>
        <w:ind w:left="0"/>
        <w:jc w:val="left"/>
        <w:rPr>
          <w:rFonts w:hint="eastAsia"/>
          <w:b w:val="0"/>
          <w:bCs/>
          <w:sz w:val="33"/>
        </w:rPr>
      </w:pPr>
      <w:r>
        <w:rPr>
          <w:rFonts w:hint="eastAsia"/>
          <w:b w:val="0"/>
          <w:bCs/>
          <w:sz w:val="33"/>
        </w:rPr>
        <w:t>Finally, God creates new heavens and a new earth, the eternal home of the redeemed.</w:t>
      </w:r>
    </w:p>
    <w:p w14:paraId="5FA23DA1">
      <w:pPr>
        <w:pStyle w:val="9"/>
        <w:spacing w:before="70"/>
        <w:ind w:left="0"/>
        <w:jc w:val="left"/>
        <w:rPr>
          <w:rFonts w:hint="eastAsia"/>
          <w:b w:val="0"/>
          <w:bCs/>
          <w:sz w:val="33"/>
        </w:rPr>
      </w:pPr>
    </w:p>
    <w:p w14:paraId="122DC0A0">
      <w:pPr>
        <w:pStyle w:val="9"/>
        <w:spacing w:before="70"/>
        <w:ind w:left="0"/>
        <w:jc w:val="left"/>
        <w:rPr>
          <w:rFonts w:hint="eastAsia"/>
          <w:b w:val="0"/>
          <w:bCs/>
          <w:sz w:val="33"/>
        </w:rPr>
      </w:pPr>
      <w:r>
        <w:rPr>
          <w:rFonts w:hint="eastAsia"/>
          <w:b w:val="0"/>
          <w:bCs/>
          <w:sz w:val="33"/>
        </w:rPr>
        <w:t>最后，神创造新天新地，作为蒙赎之民永远的家。</w:t>
      </w:r>
    </w:p>
    <w:p w14:paraId="3065F6EF">
      <w:pPr>
        <w:pStyle w:val="9"/>
        <w:spacing w:before="70"/>
        <w:ind w:left="0"/>
        <w:jc w:val="left"/>
        <w:rPr>
          <w:rFonts w:hint="eastAsia"/>
          <w:b w:val="0"/>
          <w:bCs/>
          <w:sz w:val="33"/>
        </w:rPr>
      </w:pPr>
    </w:p>
    <w:p w14:paraId="3ED8EED6">
      <w:pPr>
        <w:pStyle w:val="9"/>
        <w:spacing w:before="70"/>
        <w:ind w:left="0"/>
        <w:jc w:val="left"/>
        <w:rPr>
          <w:rFonts w:hint="eastAsia"/>
          <w:b w:val="0"/>
          <w:bCs/>
          <w:sz w:val="33"/>
        </w:rPr>
      </w:pPr>
      <w:r>
        <w:rPr>
          <w:rFonts w:hint="eastAsia"/>
          <w:b w:val="0"/>
          <w:bCs/>
          <w:sz w:val="33"/>
        </w:rPr>
        <w:t>The Church—God’s heavenly people—descends to the new earth to join Israel, God’s earthly people.</w:t>
      </w:r>
    </w:p>
    <w:p w14:paraId="49F58E5D">
      <w:pPr>
        <w:pStyle w:val="9"/>
        <w:spacing w:before="70"/>
        <w:ind w:left="0"/>
        <w:jc w:val="left"/>
        <w:rPr>
          <w:rFonts w:hint="eastAsia"/>
          <w:b w:val="0"/>
          <w:bCs/>
          <w:sz w:val="33"/>
        </w:rPr>
      </w:pPr>
    </w:p>
    <w:p w14:paraId="1A4D7281">
      <w:pPr>
        <w:pStyle w:val="9"/>
        <w:spacing w:before="70"/>
        <w:ind w:left="0"/>
        <w:jc w:val="left"/>
        <w:rPr>
          <w:rFonts w:hint="eastAsia"/>
          <w:b w:val="0"/>
          <w:bCs/>
          <w:sz w:val="33"/>
        </w:rPr>
      </w:pPr>
      <w:r>
        <w:rPr>
          <w:rFonts w:hint="eastAsia"/>
          <w:b w:val="0"/>
          <w:bCs/>
          <w:sz w:val="33"/>
        </w:rPr>
        <w:t>教会——神的属天子民——降临到新地，与以色列——神的属地子民——联合。</w:t>
      </w:r>
    </w:p>
    <w:p w14:paraId="6C677CA1">
      <w:pPr>
        <w:pStyle w:val="9"/>
        <w:spacing w:before="70"/>
        <w:ind w:left="0"/>
        <w:jc w:val="left"/>
        <w:rPr>
          <w:rFonts w:hint="eastAsia"/>
          <w:b w:val="0"/>
          <w:bCs/>
          <w:sz w:val="33"/>
        </w:rPr>
      </w:pPr>
    </w:p>
    <w:p w14:paraId="102884D6">
      <w:pPr>
        <w:pStyle w:val="9"/>
        <w:spacing w:before="70"/>
        <w:ind w:left="0"/>
        <w:jc w:val="left"/>
        <w:rPr>
          <w:rFonts w:hint="eastAsia"/>
          <w:b w:val="0"/>
          <w:bCs/>
          <w:sz w:val="33"/>
        </w:rPr>
      </w:pPr>
      <w:r>
        <w:rPr>
          <w:rFonts w:hint="eastAsia"/>
          <w:b w:val="0"/>
          <w:bCs/>
          <w:sz w:val="33"/>
        </w:rPr>
        <w:t>Though remaining forever distinct (according to some dispensationalists), both now live and serve together in the eternal Kingdom of God and Christ.</w:t>
      </w:r>
    </w:p>
    <w:p w14:paraId="38D86BB9">
      <w:pPr>
        <w:pStyle w:val="9"/>
        <w:spacing w:before="70"/>
        <w:ind w:left="0"/>
        <w:jc w:val="left"/>
        <w:rPr>
          <w:rFonts w:hint="eastAsia"/>
          <w:b w:val="0"/>
          <w:bCs/>
          <w:sz w:val="33"/>
        </w:rPr>
      </w:pPr>
    </w:p>
    <w:p w14:paraId="53D265E3">
      <w:pPr>
        <w:pStyle w:val="9"/>
        <w:spacing w:before="70"/>
        <w:ind w:left="0"/>
        <w:jc w:val="left"/>
        <w:rPr>
          <w:rFonts w:hint="eastAsia"/>
          <w:b w:val="0"/>
          <w:bCs/>
          <w:sz w:val="33"/>
        </w:rPr>
      </w:pPr>
      <w:r>
        <w:rPr>
          <w:rFonts w:hint="eastAsia"/>
          <w:b w:val="0"/>
          <w:bCs/>
          <w:sz w:val="33"/>
        </w:rPr>
        <w:t>尽管（根据一些时代论者的说法）永远保持区别，两者现在都在神和基督永恒的国度里一同生活和服事。</w:t>
      </w:r>
    </w:p>
    <w:p w14:paraId="229BBA6C">
      <w:pPr>
        <w:pStyle w:val="9"/>
        <w:spacing w:before="70"/>
        <w:ind w:left="0"/>
        <w:jc w:val="left"/>
        <w:rPr>
          <w:rFonts w:hint="eastAsia"/>
          <w:b w:val="0"/>
          <w:bCs/>
          <w:sz w:val="33"/>
        </w:rPr>
      </w:pPr>
    </w:p>
    <w:p w14:paraId="3061A1BC">
      <w:pPr>
        <w:pStyle w:val="9"/>
        <w:spacing w:before="70"/>
        <w:ind w:left="0"/>
        <w:jc w:val="left"/>
        <w:rPr>
          <w:rFonts w:hint="eastAsia"/>
          <w:b w:val="0"/>
          <w:bCs/>
          <w:sz w:val="33"/>
        </w:rPr>
      </w:pPr>
      <w:r>
        <w:rPr>
          <w:rFonts w:hint="eastAsia"/>
          <w:b w:val="0"/>
          <w:bCs/>
          <w:sz w:val="33"/>
        </w:rPr>
        <w:t>Once again, Dispensationalism is the most complex of all eschatological options.</w:t>
      </w:r>
    </w:p>
    <w:p w14:paraId="6C5B4E8F">
      <w:pPr>
        <w:pStyle w:val="9"/>
        <w:spacing w:before="70"/>
        <w:ind w:left="0"/>
        <w:jc w:val="left"/>
        <w:rPr>
          <w:rFonts w:hint="eastAsia"/>
          <w:b w:val="0"/>
          <w:bCs/>
          <w:sz w:val="33"/>
        </w:rPr>
      </w:pPr>
    </w:p>
    <w:p w14:paraId="673E5735">
      <w:pPr>
        <w:pStyle w:val="9"/>
        <w:spacing w:before="70"/>
        <w:ind w:left="0"/>
        <w:jc w:val="left"/>
        <w:rPr>
          <w:rFonts w:hint="eastAsia"/>
          <w:b w:val="0"/>
          <w:bCs/>
          <w:sz w:val="33"/>
        </w:rPr>
      </w:pPr>
      <w:r>
        <w:rPr>
          <w:rFonts w:hint="eastAsia"/>
          <w:b w:val="0"/>
          <w:bCs/>
          <w:sz w:val="33"/>
        </w:rPr>
        <w:t>再次强调，时代论是所有末世论选项中最复杂的。</w:t>
      </w:r>
    </w:p>
    <w:p w14:paraId="20C888DC">
      <w:pPr>
        <w:pStyle w:val="9"/>
        <w:spacing w:before="70"/>
        <w:ind w:left="0"/>
        <w:jc w:val="left"/>
        <w:rPr>
          <w:rFonts w:hint="eastAsia"/>
          <w:b w:val="0"/>
          <w:bCs/>
          <w:sz w:val="33"/>
        </w:rPr>
      </w:pPr>
    </w:p>
    <w:p w14:paraId="73D2FED4">
      <w:pPr>
        <w:pStyle w:val="9"/>
        <w:spacing w:before="70"/>
        <w:ind w:left="0"/>
        <w:jc w:val="left"/>
        <w:rPr>
          <w:rFonts w:hint="eastAsia"/>
          <w:b w:val="0"/>
          <w:bCs/>
          <w:sz w:val="33"/>
        </w:rPr>
      </w:pPr>
      <w:r>
        <w:rPr>
          <w:rFonts w:hint="eastAsia"/>
          <w:b w:val="0"/>
          <w:bCs/>
          <w:sz w:val="33"/>
        </w:rPr>
        <w:t>It is easy to see why.</w:t>
      </w:r>
    </w:p>
    <w:p w14:paraId="0F3C30B9">
      <w:pPr>
        <w:pStyle w:val="9"/>
        <w:spacing w:before="70"/>
        <w:ind w:left="0"/>
        <w:jc w:val="left"/>
        <w:rPr>
          <w:rFonts w:hint="eastAsia"/>
          <w:b w:val="0"/>
          <w:bCs/>
          <w:sz w:val="33"/>
        </w:rPr>
      </w:pPr>
    </w:p>
    <w:p w14:paraId="664F86DD">
      <w:pPr>
        <w:pStyle w:val="9"/>
        <w:spacing w:before="70"/>
        <w:ind w:left="0"/>
        <w:jc w:val="left"/>
        <w:rPr>
          <w:rFonts w:hint="eastAsia"/>
          <w:b w:val="0"/>
          <w:bCs/>
          <w:sz w:val="33"/>
        </w:rPr>
      </w:pPr>
      <w:r>
        <w:rPr>
          <w:rFonts w:hint="eastAsia"/>
          <w:b w:val="0"/>
          <w:bCs/>
          <w:sz w:val="33"/>
        </w:rPr>
        <w:t>这很容易理解。</w:t>
      </w:r>
    </w:p>
    <w:p w14:paraId="2E194C4B">
      <w:pPr>
        <w:pStyle w:val="9"/>
        <w:spacing w:before="70"/>
        <w:ind w:left="0"/>
        <w:jc w:val="left"/>
        <w:rPr>
          <w:rFonts w:hint="eastAsia"/>
          <w:b w:val="0"/>
          <w:bCs/>
          <w:sz w:val="33"/>
        </w:rPr>
      </w:pPr>
    </w:p>
    <w:p w14:paraId="3FD3AF48">
      <w:pPr>
        <w:pStyle w:val="9"/>
        <w:spacing w:before="70"/>
        <w:ind w:left="0"/>
        <w:jc w:val="left"/>
        <w:rPr>
          <w:rFonts w:hint="eastAsia"/>
          <w:b w:val="0"/>
          <w:bCs/>
          <w:sz w:val="33"/>
        </w:rPr>
      </w:pPr>
      <w:r>
        <w:rPr>
          <w:rFonts w:hint="eastAsia"/>
          <w:b w:val="0"/>
          <w:bCs/>
          <w:sz w:val="33"/>
        </w:rPr>
        <w:t>It gives us three stages of the Kingdom of God (i.e., the Church Era, the Millennium, and the World to Come); two seasons of great tribulation (one before Christ’s Parousia with the saints, and another at the close of the Millennium); three separate Comings of Christ (the Rapture, the Revelation seven years later, and a final Coming at the end of the Millennium); and a bewildering number of different judgments, resurrections, and transformations of nature.</w:t>
      </w:r>
    </w:p>
    <w:p w14:paraId="59858F26">
      <w:pPr>
        <w:pStyle w:val="9"/>
        <w:spacing w:before="70"/>
        <w:ind w:left="0"/>
        <w:jc w:val="left"/>
        <w:rPr>
          <w:rFonts w:hint="eastAsia"/>
          <w:b w:val="0"/>
          <w:bCs/>
          <w:sz w:val="33"/>
        </w:rPr>
      </w:pPr>
    </w:p>
    <w:p w14:paraId="200350B0">
      <w:pPr>
        <w:pStyle w:val="9"/>
        <w:spacing w:before="70"/>
        <w:ind w:left="0"/>
        <w:jc w:val="left"/>
        <w:rPr>
          <w:rFonts w:hint="eastAsia"/>
          <w:b w:val="0"/>
          <w:bCs/>
          <w:sz w:val="33"/>
        </w:rPr>
      </w:pPr>
      <w:r>
        <w:rPr>
          <w:rFonts w:hint="eastAsia"/>
          <w:b w:val="0"/>
          <w:bCs/>
          <w:sz w:val="33"/>
        </w:rPr>
        <w:t>它给了我们神的国三个阶段（即教会时代、千禧年和要来的世界）；两个大患难时期（一个在基督与圣徒同在的主的再来之前，另一个在千禧年结束时）；基督三次不同的降临（被提，七年后的启示，以及千禧年结束时的最终降临）；以及数量繁多、令人困惑的不同审判、复活和自然界的改变。</w:t>
      </w:r>
    </w:p>
    <w:p w14:paraId="39D03079">
      <w:pPr>
        <w:pStyle w:val="9"/>
        <w:spacing w:before="70"/>
        <w:ind w:left="0"/>
        <w:jc w:val="left"/>
        <w:rPr>
          <w:rFonts w:hint="eastAsia"/>
          <w:b w:val="0"/>
          <w:bCs/>
          <w:sz w:val="33"/>
        </w:rPr>
      </w:pPr>
    </w:p>
    <w:p w14:paraId="58408A35">
      <w:pPr>
        <w:pStyle w:val="9"/>
        <w:spacing w:before="70"/>
        <w:ind w:left="0"/>
        <w:jc w:val="left"/>
        <w:rPr>
          <w:rFonts w:hint="eastAsia"/>
          <w:b w:val="0"/>
          <w:bCs/>
          <w:sz w:val="33"/>
        </w:rPr>
      </w:pPr>
      <w:r>
        <w:rPr>
          <w:rFonts w:hint="eastAsia"/>
          <w:b w:val="0"/>
          <w:bCs/>
          <w:sz w:val="33"/>
        </w:rPr>
        <w:t>If simplicity and sheep-friendliness are marks of truth, then the truth of Dispensationalism is in grave doubt.</w:t>
      </w:r>
    </w:p>
    <w:p w14:paraId="397DDB8C">
      <w:pPr>
        <w:pStyle w:val="9"/>
        <w:spacing w:before="70"/>
        <w:ind w:left="0"/>
        <w:jc w:val="left"/>
        <w:rPr>
          <w:rFonts w:hint="eastAsia"/>
          <w:b w:val="0"/>
          <w:bCs/>
          <w:sz w:val="33"/>
        </w:rPr>
      </w:pPr>
    </w:p>
    <w:p w14:paraId="752DA2BA">
      <w:pPr>
        <w:pStyle w:val="9"/>
        <w:spacing w:before="70"/>
        <w:ind w:left="0"/>
        <w:jc w:val="left"/>
        <w:rPr>
          <w:rFonts w:hint="eastAsia"/>
          <w:b w:val="0"/>
          <w:bCs/>
          <w:sz w:val="33"/>
        </w:rPr>
      </w:pPr>
      <w:r>
        <w:rPr>
          <w:rFonts w:hint="eastAsia"/>
          <w:b w:val="0"/>
          <w:bCs/>
          <w:sz w:val="33"/>
        </w:rPr>
        <w:t>如果简单和对羊群友好是真理的标志，那么时代论的真实性就值得严重怀疑。</w:t>
      </w:r>
    </w:p>
    <w:p w14:paraId="70139D40">
      <w:pPr>
        <w:pStyle w:val="9"/>
        <w:spacing w:before="70"/>
        <w:ind w:left="0"/>
        <w:jc w:val="left"/>
        <w:rPr>
          <w:rFonts w:hint="eastAsia"/>
          <w:b w:val="0"/>
          <w:bCs/>
          <w:sz w:val="33"/>
        </w:rPr>
      </w:pPr>
    </w:p>
    <w:p w14:paraId="43AE4388">
      <w:pPr>
        <w:pStyle w:val="9"/>
        <w:spacing w:before="70"/>
        <w:ind w:left="0"/>
        <w:jc w:val="left"/>
        <w:rPr>
          <w:rFonts w:hint="eastAsia"/>
          <w:b w:val="0"/>
          <w:bCs/>
          <w:sz w:val="33"/>
        </w:rPr>
      </w:pPr>
      <w:r>
        <w:rPr>
          <w:rFonts w:hint="eastAsia"/>
          <w:b w:val="0"/>
          <w:bCs/>
          <w:sz w:val="33"/>
        </w:rPr>
        <w:t>Besides being inordinately complex, Dispensationalism radically departs from historic Christian teaching.</w:t>
      </w:r>
    </w:p>
    <w:p w14:paraId="6D52912F">
      <w:pPr>
        <w:pStyle w:val="9"/>
        <w:spacing w:before="70"/>
        <w:ind w:left="0"/>
        <w:jc w:val="left"/>
        <w:rPr>
          <w:rFonts w:hint="eastAsia"/>
          <w:b w:val="0"/>
          <w:bCs/>
          <w:sz w:val="33"/>
        </w:rPr>
      </w:pPr>
    </w:p>
    <w:p w14:paraId="4B696C42">
      <w:pPr>
        <w:pStyle w:val="9"/>
        <w:spacing w:before="70"/>
        <w:ind w:left="0"/>
        <w:jc w:val="left"/>
        <w:rPr>
          <w:rFonts w:hint="eastAsia"/>
          <w:b w:val="0"/>
          <w:bCs/>
          <w:sz w:val="33"/>
        </w:rPr>
      </w:pPr>
      <w:r>
        <w:rPr>
          <w:rFonts w:hint="eastAsia"/>
          <w:b w:val="0"/>
          <w:bCs/>
          <w:sz w:val="33"/>
        </w:rPr>
        <w:t>除了极其复杂之外，时代论也从根本上偏离了历史性的基督教教导。</w:t>
      </w:r>
    </w:p>
    <w:p w14:paraId="5FD14327">
      <w:pPr>
        <w:pStyle w:val="9"/>
        <w:spacing w:before="70"/>
        <w:ind w:left="0"/>
        <w:jc w:val="left"/>
        <w:rPr>
          <w:rFonts w:hint="eastAsia"/>
          <w:b w:val="0"/>
          <w:bCs/>
          <w:sz w:val="33"/>
        </w:rPr>
      </w:pPr>
    </w:p>
    <w:p w14:paraId="426B4265">
      <w:pPr>
        <w:pStyle w:val="9"/>
        <w:spacing w:before="70"/>
        <w:ind w:left="0"/>
        <w:jc w:val="left"/>
        <w:rPr>
          <w:rFonts w:hint="eastAsia"/>
          <w:b w:val="0"/>
          <w:bCs/>
          <w:sz w:val="33"/>
        </w:rPr>
      </w:pPr>
      <w:r>
        <w:rPr>
          <w:rFonts w:hint="eastAsia"/>
          <w:b w:val="0"/>
          <w:bCs/>
          <w:sz w:val="33"/>
        </w:rPr>
        <w:t>This is true of its thesis that God has two different plans for two different peoples; of its strictly literal interpretation of OTKP (which many historic premillenarians, especially the earliest ones, do not embrace); of its exotic interpretation of Daniel 9; of its highly literal and futuristic approach to the book of Revelation; and again, of its extraordinarily complicated picture of the Consummation.</w:t>
      </w:r>
    </w:p>
    <w:p w14:paraId="5ABD4083">
      <w:pPr>
        <w:pStyle w:val="9"/>
        <w:spacing w:before="70"/>
        <w:ind w:left="0"/>
        <w:jc w:val="left"/>
        <w:rPr>
          <w:rFonts w:hint="eastAsia"/>
          <w:b w:val="0"/>
          <w:bCs/>
          <w:sz w:val="33"/>
        </w:rPr>
      </w:pPr>
    </w:p>
    <w:p w14:paraId="35CA6721">
      <w:pPr>
        <w:pStyle w:val="9"/>
        <w:spacing w:before="70"/>
        <w:ind w:left="0"/>
        <w:jc w:val="left"/>
        <w:rPr>
          <w:rFonts w:hint="eastAsia"/>
          <w:b w:val="0"/>
          <w:bCs/>
          <w:sz w:val="33"/>
        </w:rPr>
      </w:pPr>
      <w:r>
        <w:rPr>
          <w:rFonts w:hint="eastAsia"/>
          <w:b w:val="0"/>
          <w:bCs/>
          <w:sz w:val="33"/>
        </w:rPr>
        <w:t>这在其关于神对两个不同子民有两个不同计划的论点上是真实的；在其对旧约国度预言的严格字面解释上（许多历史前千禧年论者，特别是最早期的，并不接纳这一点）是真实的；在其对但以理书第9章的奇特解释上是真实的；在其对启示录高度字面和未来主义的处理方式上是真实的；并且，再次强调，在其对最终成全的极其复杂的描绘上也是真实的。</w:t>
      </w:r>
    </w:p>
    <w:p w14:paraId="5F70307E">
      <w:pPr>
        <w:pStyle w:val="9"/>
        <w:spacing w:before="70"/>
        <w:ind w:left="0"/>
        <w:jc w:val="left"/>
        <w:rPr>
          <w:rFonts w:hint="eastAsia"/>
          <w:b w:val="0"/>
          <w:bCs/>
          <w:sz w:val="33"/>
        </w:rPr>
      </w:pPr>
    </w:p>
    <w:p w14:paraId="070931E6">
      <w:pPr>
        <w:pStyle w:val="9"/>
        <w:spacing w:before="70"/>
        <w:ind w:left="0"/>
        <w:jc w:val="left"/>
        <w:rPr>
          <w:rFonts w:hint="eastAsia"/>
          <w:b w:val="0"/>
          <w:bCs/>
          <w:sz w:val="33"/>
        </w:rPr>
      </w:pPr>
      <w:r>
        <w:rPr>
          <w:rFonts w:hint="eastAsia"/>
          <w:b w:val="0"/>
          <w:bCs/>
          <w:sz w:val="33"/>
        </w:rPr>
        <w:t>Before concluding, we do well here to say a few words about Progressive Dispensationalism.</w:t>
      </w:r>
    </w:p>
    <w:p w14:paraId="518686DA">
      <w:pPr>
        <w:pStyle w:val="9"/>
        <w:spacing w:before="70"/>
        <w:ind w:left="0"/>
        <w:jc w:val="left"/>
        <w:rPr>
          <w:rFonts w:hint="eastAsia"/>
          <w:b w:val="0"/>
          <w:bCs/>
          <w:sz w:val="33"/>
        </w:rPr>
      </w:pPr>
    </w:p>
    <w:p w14:paraId="77A64AAA">
      <w:pPr>
        <w:pStyle w:val="9"/>
        <w:spacing w:before="70"/>
        <w:ind w:left="0"/>
        <w:jc w:val="left"/>
        <w:rPr>
          <w:rFonts w:hint="eastAsia"/>
          <w:b w:val="0"/>
          <w:bCs/>
          <w:sz w:val="33"/>
        </w:rPr>
      </w:pPr>
      <w:r>
        <w:rPr>
          <w:rFonts w:hint="eastAsia"/>
          <w:b w:val="0"/>
          <w:bCs/>
          <w:sz w:val="33"/>
        </w:rPr>
        <w:t>在结束之前，我们在这里最好谈谈渐进时代论。</w:t>
      </w:r>
    </w:p>
    <w:p w14:paraId="2C1ABDD8">
      <w:pPr>
        <w:pStyle w:val="9"/>
        <w:spacing w:before="70"/>
        <w:ind w:left="0"/>
        <w:jc w:val="left"/>
        <w:rPr>
          <w:rFonts w:hint="eastAsia"/>
          <w:b w:val="0"/>
          <w:bCs/>
          <w:sz w:val="33"/>
        </w:rPr>
      </w:pPr>
    </w:p>
    <w:p w14:paraId="6DEAC895">
      <w:pPr>
        <w:pStyle w:val="9"/>
        <w:spacing w:before="70"/>
        <w:ind w:left="0"/>
        <w:jc w:val="left"/>
        <w:rPr>
          <w:rFonts w:hint="eastAsia"/>
          <w:b w:val="0"/>
          <w:bCs/>
          <w:sz w:val="33"/>
        </w:rPr>
      </w:pPr>
      <w:r>
        <w:rPr>
          <w:rFonts w:hint="eastAsia"/>
          <w:b w:val="0"/>
          <w:bCs/>
          <w:sz w:val="33"/>
        </w:rPr>
        <w:t>Alive to criticisms emanating largely from the Reformed wing of evangelicalism, some dispensational scholars are now seeking to modify their traditional view.</w:t>
      </w:r>
    </w:p>
    <w:p w14:paraId="71FEE865">
      <w:pPr>
        <w:pStyle w:val="9"/>
        <w:spacing w:before="70"/>
        <w:ind w:left="0"/>
        <w:jc w:val="left"/>
        <w:rPr>
          <w:rFonts w:hint="eastAsia"/>
          <w:b w:val="0"/>
          <w:bCs/>
          <w:sz w:val="33"/>
        </w:rPr>
      </w:pPr>
    </w:p>
    <w:p w14:paraId="5FF26CBC">
      <w:pPr>
        <w:pStyle w:val="9"/>
        <w:spacing w:before="70"/>
        <w:ind w:left="0"/>
        <w:jc w:val="left"/>
        <w:rPr>
          <w:rFonts w:hint="eastAsia"/>
          <w:b w:val="0"/>
          <w:bCs/>
          <w:sz w:val="33"/>
        </w:rPr>
      </w:pPr>
      <w:r>
        <w:rPr>
          <w:rFonts w:hint="eastAsia"/>
          <w:b w:val="0"/>
          <w:bCs/>
          <w:sz w:val="33"/>
        </w:rPr>
        <w:t>由于主要来自福音派改革宗的批评，一些时代论学者现在正试图修改他们的传统观点。</w:t>
      </w:r>
    </w:p>
    <w:p w14:paraId="39C28D95">
      <w:pPr>
        <w:pStyle w:val="9"/>
        <w:spacing w:before="70"/>
        <w:ind w:left="0"/>
        <w:jc w:val="left"/>
        <w:rPr>
          <w:rFonts w:hint="eastAsia"/>
          <w:b w:val="0"/>
          <w:bCs/>
          <w:sz w:val="33"/>
        </w:rPr>
      </w:pPr>
    </w:p>
    <w:p w14:paraId="02EB2243">
      <w:pPr>
        <w:pStyle w:val="9"/>
        <w:spacing w:before="70"/>
        <w:ind w:left="0"/>
        <w:jc w:val="left"/>
        <w:rPr>
          <w:rFonts w:hint="eastAsia"/>
          <w:b w:val="0"/>
          <w:bCs/>
          <w:sz w:val="33"/>
        </w:rPr>
      </w:pPr>
      <w:r>
        <w:rPr>
          <w:rFonts w:hint="eastAsia"/>
          <w:b w:val="0"/>
          <w:bCs/>
          <w:sz w:val="33"/>
        </w:rPr>
        <w:t>Since the 1980’s, men like Craig Blaising, Darrell Bock, and Robert Saucy have labored to set out a more nuanced understanding of Salvation History, one that more faithfully honors the centrality of the New Covenant and the role of the Church in God’s overall redemptive plan.</w:t>
      </w:r>
    </w:p>
    <w:p w14:paraId="2B5E3E1E">
      <w:pPr>
        <w:pStyle w:val="9"/>
        <w:spacing w:before="70"/>
        <w:ind w:left="0"/>
        <w:jc w:val="left"/>
        <w:rPr>
          <w:rFonts w:hint="eastAsia"/>
          <w:b w:val="0"/>
          <w:bCs/>
          <w:sz w:val="33"/>
        </w:rPr>
      </w:pPr>
    </w:p>
    <w:p w14:paraId="40487131">
      <w:pPr>
        <w:pStyle w:val="9"/>
        <w:spacing w:before="70"/>
        <w:ind w:left="0"/>
        <w:jc w:val="left"/>
        <w:rPr>
          <w:rFonts w:hint="eastAsia"/>
          <w:b w:val="0"/>
          <w:bCs/>
          <w:sz w:val="33"/>
        </w:rPr>
      </w:pPr>
      <w:r>
        <w:rPr>
          <w:rFonts w:hint="eastAsia"/>
          <w:b w:val="0"/>
          <w:bCs/>
          <w:sz w:val="33"/>
        </w:rPr>
        <w:t>自1980年代以来，像克雷格·布莱辛、达雷尔·博克和罗伯特·索西这样的人，一直在努力阐述一个更细致入微的救赎历史观，一个更忠实地尊重新约的中心地位以及教会在神整个救赎计划中作用的观点。</w:t>
      </w:r>
    </w:p>
    <w:p w14:paraId="315F5352">
      <w:pPr>
        <w:pStyle w:val="9"/>
        <w:spacing w:before="70"/>
        <w:ind w:left="0"/>
        <w:jc w:val="left"/>
        <w:rPr>
          <w:rFonts w:hint="eastAsia"/>
          <w:b w:val="0"/>
          <w:bCs/>
          <w:sz w:val="33"/>
        </w:rPr>
      </w:pPr>
    </w:p>
    <w:p w14:paraId="0B9A6765">
      <w:pPr>
        <w:pStyle w:val="9"/>
        <w:spacing w:before="70"/>
        <w:ind w:left="0"/>
        <w:jc w:val="left"/>
        <w:rPr>
          <w:rFonts w:hint="eastAsia"/>
          <w:b w:val="0"/>
          <w:bCs/>
          <w:sz w:val="33"/>
        </w:rPr>
      </w:pPr>
      <w:r>
        <w:rPr>
          <w:rFonts w:hint="eastAsia"/>
          <w:b w:val="0"/>
          <w:bCs/>
          <w:sz w:val="33"/>
        </w:rPr>
        <w:t>In particular, these theologians allow that the New Covenant is indeed God’s one and only true instrument of salvation; that the New Covenant and the Davidic Covenant (Jer. 31:31-34) are one and the same; that even now, in the Church Age, Christ is seated in heaven upon the throne of David; that the promised Kingdom of God is indeed present in the Church and the Church Age; that the OT prophets did indeed foresee and speak (darkly) of the Church; but that their words also will be literally fulfilled in the coming millennial stage of the Kingdom, when ethnic Israel once again becomes the head and not the tail.</w:t>
      </w:r>
    </w:p>
    <w:p w14:paraId="6545BC59">
      <w:pPr>
        <w:pStyle w:val="9"/>
        <w:spacing w:before="70"/>
        <w:ind w:left="0"/>
        <w:jc w:val="left"/>
        <w:rPr>
          <w:rFonts w:hint="eastAsia"/>
          <w:b w:val="0"/>
          <w:bCs/>
          <w:sz w:val="33"/>
        </w:rPr>
      </w:pPr>
    </w:p>
    <w:p w14:paraId="1200A55F">
      <w:pPr>
        <w:pStyle w:val="9"/>
        <w:spacing w:before="70"/>
        <w:ind w:left="0"/>
        <w:jc w:val="left"/>
        <w:rPr>
          <w:rFonts w:hint="eastAsia"/>
          <w:b w:val="0"/>
          <w:bCs/>
          <w:sz w:val="33"/>
        </w:rPr>
      </w:pPr>
      <w:r>
        <w:rPr>
          <w:rFonts w:hint="eastAsia"/>
          <w:b w:val="0"/>
          <w:bCs/>
          <w:sz w:val="33"/>
        </w:rPr>
        <w:t>特别是，这些神学家承认，新约确实是神唯一且真实的救恩工具；新约和大卫之约（耶 31:31-34）是同一回事；即使是现在，在教会时代，基督也坐在天上大卫的宝座上；所应许的神的国确实存在于教会和教会时代中；旧约的申言者确实预见并（模糊地）谈到了教会；但他们的话语也将在国度将要来临的千禧年阶段按字面意义应验，那时以色列民族将再次成为首而不是尾。</w:t>
      </w:r>
    </w:p>
    <w:p w14:paraId="16709BCE">
      <w:pPr>
        <w:pStyle w:val="9"/>
        <w:spacing w:before="70"/>
        <w:ind w:left="0"/>
        <w:jc w:val="left"/>
        <w:rPr>
          <w:rFonts w:hint="eastAsia"/>
          <w:b w:val="0"/>
          <w:bCs/>
          <w:sz w:val="33"/>
        </w:rPr>
      </w:pPr>
    </w:p>
    <w:p w14:paraId="233EB061">
      <w:pPr>
        <w:pStyle w:val="9"/>
        <w:spacing w:before="70"/>
        <w:ind w:left="0"/>
        <w:jc w:val="left"/>
        <w:rPr>
          <w:rFonts w:hint="eastAsia"/>
          <w:b w:val="0"/>
          <w:bCs/>
          <w:sz w:val="33"/>
        </w:rPr>
      </w:pPr>
      <w:r>
        <w:rPr>
          <w:rFonts w:hint="eastAsia"/>
          <w:b w:val="0"/>
          <w:bCs/>
          <w:sz w:val="33"/>
        </w:rPr>
        <w:t>Clearly, progressive dispensationalists are seeking to be more faithful to the “realized eschatology” of the NT, even as they tenaciously cling to the fundamentals of their own system.2</w:t>
      </w:r>
    </w:p>
    <w:p w14:paraId="6A0ACACF">
      <w:pPr>
        <w:pStyle w:val="9"/>
        <w:spacing w:before="70"/>
        <w:ind w:left="0"/>
        <w:jc w:val="left"/>
        <w:rPr>
          <w:rFonts w:hint="eastAsia"/>
          <w:b w:val="0"/>
          <w:bCs/>
          <w:sz w:val="33"/>
        </w:rPr>
      </w:pPr>
    </w:p>
    <w:p w14:paraId="1ECCC02A">
      <w:pPr>
        <w:pStyle w:val="9"/>
        <w:spacing w:before="70"/>
        <w:ind w:left="0"/>
        <w:jc w:val="left"/>
        <w:rPr>
          <w:rFonts w:hint="eastAsia"/>
          <w:b w:val="0"/>
          <w:bCs/>
          <w:sz w:val="33"/>
        </w:rPr>
      </w:pPr>
      <w:r>
        <w:rPr>
          <w:rFonts w:hint="eastAsia"/>
          <w:b w:val="0"/>
          <w:bCs/>
          <w:sz w:val="33"/>
        </w:rPr>
        <w:t>显然，渐进时代论者正试图更忠实于新约的“已实现末世论”，尽管他们仍顽强地固守自己体系的基本原则。2</w:t>
      </w:r>
    </w:p>
    <w:p w14:paraId="11C260C0">
      <w:pPr>
        <w:pStyle w:val="9"/>
        <w:spacing w:before="70"/>
        <w:ind w:left="0"/>
        <w:jc w:val="left"/>
        <w:rPr>
          <w:rFonts w:hint="eastAsia"/>
          <w:b w:val="0"/>
          <w:bCs/>
          <w:sz w:val="33"/>
        </w:rPr>
      </w:pPr>
    </w:p>
    <w:p w14:paraId="277D4073">
      <w:pPr>
        <w:pStyle w:val="9"/>
        <w:spacing w:before="70"/>
        <w:ind w:left="0"/>
        <w:jc w:val="left"/>
        <w:rPr>
          <w:rFonts w:hint="eastAsia"/>
          <w:b w:val="0"/>
          <w:bCs/>
          <w:sz w:val="33"/>
        </w:rPr>
      </w:pPr>
      <w:r>
        <w:rPr>
          <w:rFonts w:hint="eastAsia"/>
          <w:b w:val="0"/>
          <w:bCs/>
          <w:sz w:val="33"/>
        </w:rPr>
        <w:t>Reformed theologians gladly acknowledge these new concessions to Protestant orthodoxy, even as they urge their dispensational brethren to dig deeper still, re-examining the very foundations of their thinking.</w:t>
      </w:r>
    </w:p>
    <w:p w14:paraId="11716314">
      <w:pPr>
        <w:pStyle w:val="9"/>
        <w:spacing w:before="70"/>
        <w:ind w:left="0"/>
        <w:jc w:val="left"/>
        <w:rPr>
          <w:rFonts w:hint="eastAsia"/>
          <w:b w:val="0"/>
          <w:bCs/>
          <w:sz w:val="33"/>
        </w:rPr>
      </w:pPr>
    </w:p>
    <w:p w14:paraId="6FE8F792">
      <w:pPr>
        <w:pStyle w:val="9"/>
        <w:spacing w:before="70"/>
        <w:ind w:left="0"/>
        <w:jc w:val="left"/>
        <w:rPr>
          <w:rFonts w:hint="eastAsia"/>
          <w:b w:val="0"/>
          <w:bCs/>
          <w:sz w:val="33"/>
        </w:rPr>
      </w:pPr>
      <w:r>
        <w:rPr>
          <w:rFonts w:hint="eastAsia"/>
          <w:b w:val="0"/>
          <w:bCs/>
          <w:sz w:val="33"/>
        </w:rPr>
        <w:t>改革宗神学家欣然承认这些对新教正统的新让步，同时也敦促他们的时代论弟兄们更深入地挖掘，重新审视他们思想的根基。</w:t>
      </w:r>
    </w:p>
    <w:p w14:paraId="117FF1D1">
      <w:pPr>
        <w:pStyle w:val="9"/>
        <w:spacing w:before="70"/>
        <w:ind w:left="0"/>
        <w:jc w:val="left"/>
        <w:rPr>
          <w:rFonts w:hint="eastAsia"/>
          <w:b w:val="0"/>
          <w:bCs/>
          <w:sz w:val="33"/>
        </w:rPr>
      </w:pPr>
    </w:p>
    <w:p w14:paraId="54207251">
      <w:pPr>
        <w:pStyle w:val="9"/>
        <w:spacing w:before="70"/>
        <w:ind w:left="0"/>
        <w:jc w:val="left"/>
        <w:rPr>
          <w:rFonts w:hint="eastAsia"/>
          <w:b w:val="0"/>
          <w:bCs/>
          <w:sz w:val="33"/>
        </w:rPr>
      </w:pPr>
      <w:r>
        <w:rPr>
          <w:rFonts w:hint="eastAsia"/>
          <w:b w:val="0"/>
          <w:bCs/>
          <w:sz w:val="33"/>
        </w:rPr>
        <w:t>Most assuredly, this particular tug of war is not over.</w:t>
      </w:r>
    </w:p>
    <w:p w14:paraId="379A810F">
      <w:pPr>
        <w:pStyle w:val="9"/>
        <w:spacing w:before="70"/>
        <w:ind w:left="0"/>
        <w:jc w:val="left"/>
        <w:rPr>
          <w:rFonts w:hint="eastAsia"/>
          <w:b w:val="0"/>
          <w:bCs/>
          <w:sz w:val="33"/>
        </w:rPr>
      </w:pPr>
    </w:p>
    <w:p w14:paraId="623A6D4C">
      <w:pPr>
        <w:pStyle w:val="9"/>
        <w:spacing w:before="70"/>
        <w:ind w:left="0"/>
        <w:jc w:val="left"/>
        <w:rPr>
          <w:rFonts w:hint="eastAsia"/>
          <w:b w:val="0"/>
          <w:bCs/>
          <w:sz w:val="33"/>
        </w:rPr>
      </w:pPr>
      <w:r>
        <w:rPr>
          <w:rFonts w:hint="eastAsia"/>
          <w:b w:val="0"/>
          <w:bCs/>
          <w:sz w:val="33"/>
        </w:rPr>
        <w:t>可以肯定的是，这场特殊的拉锯战还没有结束。</w:t>
      </w:r>
    </w:p>
    <w:p w14:paraId="4ABA684C">
      <w:pPr>
        <w:pStyle w:val="9"/>
        <w:spacing w:before="70"/>
        <w:ind w:left="0"/>
        <w:jc w:val="left"/>
        <w:rPr>
          <w:rFonts w:hint="eastAsia"/>
          <w:b w:val="0"/>
          <w:bCs/>
          <w:sz w:val="33"/>
        </w:rPr>
      </w:pPr>
    </w:p>
    <w:p w14:paraId="70F561F1">
      <w:pPr>
        <w:pStyle w:val="9"/>
        <w:spacing w:before="70"/>
        <w:ind w:left="0"/>
        <w:jc w:val="left"/>
        <w:rPr>
          <w:rFonts w:hint="eastAsia"/>
          <w:b w:val="0"/>
          <w:bCs/>
          <w:sz w:val="33"/>
        </w:rPr>
      </w:pPr>
      <w:r>
        <w:rPr>
          <w:rFonts w:hint="eastAsia"/>
          <w:b w:val="0"/>
          <w:bCs/>
          <w:sz w:val="33"/>
        </w:rPr>
        <w:t>I have said that a growing number of evangelical scholars are rethinking, abandoning, and openly challenging Dispensationalism.</w:t>
      </w:r>
    </w:p>
    <w:p w14:paraId="39D5D316">
      <w:pPr>
        <w:pStyle w:val="9"/>
        <w:spacing w:before="70"/>
        <w:ind w:left="0"/>
        <w:jc w:val="left"/>
        <w:rPr>
          <w:rFonts w:hint="eastAsia"/>
          <w:b w:val="0"/>
          <w:bCs/>
          <w:sz w:val="33"/>
        </w:rPr>
      </w:pPr>
    </w:p>
    <w:p w14:paraId="6A2A3452">
      <w:pPr>
        <w:pStyle w:val="9"/>
        <w:spacing w:before="70"/>
        <w:ind w:left="0"/>
        <w:jc w:val="left"/>
        <w:rPr>
          <w:rFonts w:hint="eastAsia"/>
          <w:b w:val="0"/>
          <w:bCs/>
          <w:sz w:val="33"/>
        </w:rPr>
      </w:pPr>
      <w:r>
        <w:rPr>
          <w:rFonts w:hint="eastAsia"/>
          <w:b w:val="0"/>
          <w:bCs/>
          <w:sz w:val="33"/>
        </w:rPr>
        <w:t>我说过，越来越多的福音派学者正在重新思考、放弃并公开挑战时代论。</w:t>
      </w:r>
    </w:p>
    <w:p w14:paraId="2501BA09">
      <w:pPr>
        <w:pStyle w:val="9"/>
        <w:spacing w:before="70"/>
        <w:ind w:left="0"/>
        <w:jc w:val="left"/>
        <w:rPr>
          <w:rFonts w:hint="eastAsia"/>
          <w:b w:val="0"/>
          <w:bCs/>
          <w:sz w:val="33"/>
        </w:rPr>
      </w:pPr>
    </w:p>
    <w:p w14:paraId="0FB33F96">
      <w:pPr>
        <w:pStyle w:val="9"/>
        <w:spacing w:before="70"/>
        <w:ind w:left="0"/>
        <w:jc w:val="left"/>
        <w:rPr>
          <w:rFonts w:hint="eastAsia"/>
          <w:b w:val="0"/>
          <w:bCs/>
          <w:sz w:val="33"/>
        </w:rPr>
      </w:pPr>
      <w:r>
        <w:rPr>
          <w:rFonts w:hint="eastAsia"/>
          <w:b w:val="0"/>
          <w:bCs/>
          <w:sz w:val="33"/>
        </w:rPr>
        <w:t>Uncertainty and controversy now surround a view that for over a century had powerfully captured the evangelical imagination.</w:t>
      </w:r>
    </w:p>
    <w:p w14:paraId="1D146A06">
      <w:pPr>
        <w:pStyle w:val="9"/>
        <w:spacing w:before="70"/>
        <w:ind w:left="0"/>
        <w:jc w:val="left"/>
        <w:rPr>
          <w:rFonts w:hint="eastAsia"/>
          <w:b w:val="0"/>
          <w:bCs/>
          <w:sz w:val="33"/>
        </w:rPr>
      </w:pPr>
    </w:p>
    <w:p w14:paraId="6F3130FA">
      <w:pPr>
        <w:pStyle w:val="9"/>
        <w:spacing w:before="70"/>
        <w:ind w:left="0"/>
        <w:jc w:val="left"/>
        <w:rPr>
          <w:rFonts w:hint="eastAsia"/>
          <w:b w:val="0"/>
          <w:bCs/>
          <w:sz w:val="33"/>
        </w:rPr>
      </w:pPr>
      <w:r>
        <w:rPr>
          <w:rFonts w:hint="eastAsia"/>
          <w:b w:val="0"/>
          <w:bCs/>
          <w:sz w:val="33"/>
        </w:rPr>
        <w:t>不确定性和争议现在笼罩着一个在一个多世纪以来曾强烈吸引福音派想象力的观点。</w:t>
      </w:r>
    </w:p>
    <w:p w14:paraId="342B6143">
      <w:pPr>
        <w:pStyle w:val="9"/>
        <w:spacing w:before="70"/>
        <w:ind w:left="0"/>
        <w:jc w:val="left"/>
        <w:rPr>
          <w:rFonts w:hint="eastAsia"/>
          <w:b w:val="0"/>
          <w:bCs/>
          <w:sz w:val="33"/>
        </w:rPr>
      </w:pPr>
    </w:p>
    <w:p w14:paraId="49746F0A">
      <w:pPr>
        <w:pStyle w:val="9"/>
        <w:spacing w:before="70"/>
        <w:ind w:left="0"/>
        <w:jc w:val="left"/>
        <w:rPr>
          <w:rFonts w:hint="eastAsia"/>
          <w:b w:val="0"/>
          <w:bCs/>
          <w:sz w:val="33"/>
        </w:rPr>
      </w:pPr>
      <w:r>
        <w:rPr>
          <w:rFonts w:hint="eastAsia"/>
          <w:b w:val="0"/>
          <w:bCs/>
          <w:sz w:val="33"/>
        </w:rPr>
        <w:t>As a result, some pastors are avoiding eschatological teaching and preaching altogether.</w:t>
      </w:r>
    </w:p>
    <w:p w14:paraId="2486DD2B">
      <w:pPr>
        <w:pStyle w:val="9"/>
        <w:spacing w:before="70"/>
        <w:ind w:left="0"/>
        <w:jc w:val="left"/>
        <w:rPr>
          <w:rFonts w:hint="eastAsia"/>
          <w:b w:val="0"/>
          <w:bCs/>
          <w:sz w:val="33"/>
        </w:rPr>
      </w:pPr>
    </w:p>
    <w:p w14:paraId="6D0A1655">
      <w:pPr>
        <w:pStyle w:val="9"/>
        <w:spacing w:before="70"/>
        <w:ind w:left="0"/>
        <w:jc w:val="left"/>
        <w:rPr>
          <w:rFonts w:hint="eastAsia"/>
          <w:b w:val="0"/>
          <w:bCs/>
          <w:sz w:val="33"/>
        </w:rPr>
      </w:pPr>
      <w:r>
        <w:rPr>
          <w:rFonts w:hint="eastAsia"/>
          <w:b w:val="0"/>
          <w:bCs/>
          <w:sz w:val="33"/>
        </w:rPr>
        <w:t>结果，一些牧师完全避免了末世论的教导和讲道。</w:t>
      </w:r>
    </w:p>
    <w:p w14:paraId="327AB0A2">
      <w:pPr>
        <w:pStyle w:val="9"/>
        <w:spacing w:before="70"/>
        <w:ind w:left="0"/>
        <w:jc w:val="left"/>
        <w:rPr>
          <w:rFonts w:hint="eastAsia"/>
          <w:b w:val="0"/>
          <w:bCs/>
          <w:sz w:val="33"/>
        </w:rPr>
      </w:pPr>
    </w:p>
    <w:p w14:paraId="2CDD022D">
      <w:pPr>
        <w:pStyle w:val="9"/>
        <w:spacing w:before="70"/>
        <w:ind w:left="0"/>
        <w:jc w:val="left"/>
        <w:rPr>
          <w:rFonts w:hint="eastAsia"/>
          <w:b w:val="0"/>
          <w:bCs/>
          <w:sz w:val="33"/>
        </w:rPr>
      </w:pPr>
      <w:r>
        <w:rPr>
          <w:rFonts w:hint="eastAsia"/>
          <w:b w:val="0"/>
          <w:bCs/>
          <w:sz w:val="33"/>
        </w:rPr>
        <w:t>Obviously, this is not a healthy situation.</w:t>
      </w:r>
    </w:p>
    <w:p w14:paraId="12D89F1B">
      <w:pPr>
        <w:pStyle w:val="9"/>
        <w:spacing w:before="70"/>
        <w:ind w:left="0"/>
        <w:jc w:val="left"/>
        <w:rPr>
          <w:rFonts w:hint="eastAsia"/>
          <w:b w:val="0"/>
          <w:bCs/>
          <w:sz w:val="33"/>
        </w:rPr>
      </w:pPr>
    </w:p>
    <w:p w14:paraId="731812DB">
      <w:pPr>
        <w:pStyle w:val="9"/>
        <w:spacing w:before="70"/>
        <w:ind w:left="0"/>
        <w:jc w:val="left"/>
        <w:rPr>
          <w:rFonts w:hint="eastAsia"/>
          <w:b w:val="0"/>
          <w:bCs/>
          <w:sz w:val="33"/>
        </w:rPr>
      </w:pPr>
      <w:r>
        <w:rPr>
          <w:rFonts w:hint="eastAsia"/>
          <w:b w:val="0"/>
          <w:bCs/>
          <w:sz w:val="33"/>
        </w:rPr>
        <w:t>显然，这不是一个健康的状况。</w:t>
      </w:r>
    </w:p>
    <w:p w14:paraId="4FA14A1E">
      <w:pPr>
        <w:pStyle w:val="9"/>
        <w:spacing w:before="70"/>
        <w:ind w:left="0"/>
        <w:jc w:val="left"/>
        <w:rPr>
          <w:rFonts w:hint="eastAsia"/>
          <w:b w:val="0"/>
          <w:bCs/>
          <w:sz w:val="33"/>
        </w:rPr>
      </w:pPr>
    </w:p>
    <w:p w14:paraId="7863DDC9">
      <w:pPr>
        <w:pStyle w:val="9"/>
        <w:spacing w:before="70"/>
        <w:ind w:left="0"/>
        <w:jc w:val="left"/>
        <w:rPr>
          <w:rFonts w:hint="eastAsia"/>
          <w:b w:val="0"/>
          <w:bCs/>
          <w:sz w:val="33"/>
        </w:rPr>
      </w:pPr>
      <w:r>
        <w:rPr>
          <w:rFonts w:hint="eastAsia"/>
          <w:b w:val="0"/>
          <w:bCs/>
          <w:sz w:val="33"/>
        </w:rPr>
        <w:t>And yet it may be a blessing in disguise.</w:t>
      </w:r>
    </w:p>
    <w:p w14:paraId="1D36C10D">
      <w:pPr>
        <w:pStyle w:val="9"/>
        <w:spacing w:before="70"/>
        <w:ind w:left="0"/>
        <w:jc w:val="left"/>
        <w:rPr>
          <w:rFonts w:hint="eastAsia"/>
          <w:b w:val="0"/>
          <w:bCs/>
          <w:sz w:val="33"/>
        </w:rPr>
      </w:pPr>
    </w:p>
    <w:p w14:paraId="04969B8E">
      <w:pPr>
        <w:pStyle w:val="9"/>
        <w:spacing w:before="70"/>
        <w:ind w:left="0"/>
        <w:jc w:val="left"/>
        <w:rPr>
          <w:rFonts w:hint="eastAsia"/>
          <w:b w:val="0"/>
          <w:bCs/>
          <w:sz w:val="33"/>
        </w:rPr>
      </w:pPr>
      <w:r>
        <w:rPr>
          <w:rFonts w:hint="eastAsia"/>
          <w:b w:val="0"/>
          <w:bCs/>
          <w:sz w:val="33"/>
        </w:rPr>
        <w:t>然而，这可能是一个伪装的祝福。</w:t>
      </w:r>
    </w:p>
    <w:p w14:paraId="5B927695">
      <w:pPr>
        <w:pStyle w:val="9"/>
        <w:spacing w:before="70"/>
        <w:ind w:left="0"/>
        <w:jc w:val="left"/>
        <w:rPr>
          <w:rFonts w:hint="eastAsia"/>
          <w:b w:val="0"/>
          <w:bCs/>
          <w:sz w:val="33"/>
        </w:rPr>
      </w:pPr>
    </w:p>
    <w:p w14:paraId="1CF0F888">
      <w:pPr>
        <w:pStyle w:val="9"/>
        <w:spacing w:before="70"/>
        <w:ind w:left="0"/>
        <w:jc w:val="left"/>
        <w:rPr>
          <w:rFonts w:hint="eastAsia"/>
          <w:b w:val="0"/>
          <w:bCs/>
          <w:sz w:val="33"/>
        </w:rPr>
      </w:pPr>
      <w:r>
        <w:rPr>
          <w:rFonts w:hint="eastAsia"/>
          <w:b w:val="0"/>
          <w:bCs/>
          <w:sz w:val="33"/>
        </w:rPr>
        <w:t>Perhaps the Lord is now at work to give his people fresh insight into eschatology; to help them discover the Master Keys to Great End Time Debate; to enable them to behold—with exceeding joy—a simple, glorious, powerful, and unifying vision of Salvation History and the Consummation.</w:t>
      </w:r>
    </w:p>
    <w:p w14:paraId="20D548EF">
      <w:pPr>
        <w:pStyle w:val="9"/>
        <w:spacing w:before="70"/>
        <w:ind w:left="0"/>
        <w:jc w:val="left"/>
        <w:rPr>
          <w:rFonts w:hint="eastAsia"/>
          <w:b w:val="0"/>
          <w:bCs/>
          <w:sz w:val="33"/>
        </w:rPr>
      </w:pPr>
    </w:p>
    <w:p w14:paraId="28038EDE">
      <w:pPr>
        <w:pStyle w:val="9"/>
        <w:spacing w:before="70"/>
        <w:ind w:left="0"/>
        <w:jc w:val="left"/>
        <w:rPr>
          <w:b w:val="0"/>
          <w:bCs/>
          <w:sz w:val="33"/>
        </w:rPr>
      </w:pPr>
      <w:r>
        <w:rPr>
          <w:rFonts w:hint="eastAsia"/>
          <w:b w:val="0"/>
          <w:bCs/>
          <w:sz w:val="33"/>
        </w:rPr>
        <w:t>也许主现在正在作工，要赐给祂的子民关于末世论的新亮光；帮助他们发现通往末世大辩论的万能钥匙；使他们能够——带着极大的喜乐——看见一个简单、荣耀、有力且统一的救赎历史和最终成全的异象。</w:t>
      </w:r>
    </w:p>
    <w:p w14:paraId="6C461C60">
      <w:pPr>
        <w:pStyle w:val="9"/>
        <w:spacing w:before="8"/>
        <w:ind w:left="0"/>
        <w:jc w:val="left"/>
        <w:rPr>
          <w:b/>
          <w:sz w:val="8"/>
        </w:rPr>
      </w:pPr>
    </w:p>
    <w:p w14:paraId="2F2B1945">
      <w:pPr>
        <w:pStyle w:val="9"/>
        <w:spacing w:before="8"/>
        <w:ind w:left="0"/>
        <w:jc w:val="left"/>
        <w:rPr>
          <w:rFonts w:hint="eastAsia"/>
          <w:b w:val="0"/>
          <w:bCs/>
          <w:sz w:val="30"/>
          <w:szCs w:val="30"/>
        </w:rPr>
      </w:pPr>
      <w:r>
        <w:rPr>
          <w:rFonts w:hint="eastAsia"/>
          <w:b w:val="0"/>
          <w:bCs/>
          <w:sz w:val="30"/>
          <w:szCs w:val="30"/>
        </w:rPr>
        <w:t>5.Preterism (Full and Partial)</w:t>
      </w:r>
    </w:p>
    <w:p w14:paraId="576ECB16">
      <w:pPr>
        <w:pStyle w:val="9"/>
        <w:spacing w:before="8"/>
        <w:ind w:left="0"/>
        <w:jc w:val="left"/>
        <w:rPr>
          <w:rFonts w:hint="eastAsia"/>
          <w:b w:val="0"/>
          <w:bCs/>
          <w:sz w:val="30"/>
          <w:szCs w:val="30"/>
        </w:rPr>
      </w:pPr>
    </w:p>
    <w:p w14:paraId="3B8117B6">
      <w:pPr>
        <w:pStyle w:val="9"/>
        <w:spacing w:before="8"/>
        <w:ind w:left="0"/>
        <w:jc w:val="left"/>
        <w:rPr>
          <w:rFonts w:hint="eastAsia"/>
          <w:b w:val="0"/>
          <w:bCs/>
          <w:sz w:val="30"/>
          <w:szCs w:val="30"/>
        </w:rPr>
      </w:pPr>
      <w:r>
        <w:rPr>
          <w:rFonts w:hint="eastAsia"/>
          <w:b w:val="0"/>
          <w:bCs/>
          <w:sz w:val="30"/>
          <w:szCs w:val="30"/>
        </w:rPr>
        <w:t>5.过去派（完全与部分）</w:t>
      </w:r>
    </w:p>
    <w:p w14:paraId="2C36D7A7">
      <w:pPr>
        <w:pStyle w:val="9"/>
        <w:spacing w:before="8"/>
        <w:ind w:left="0"/>
        <w:jc w:val="left"/>
        <w:rPr>
          <w:rFonts w:hint="eastAsia"/>
          <w:b w:val="0"/>
          <w:bCs/>
          <w:sz w:val="30"/>
          <w:szCs w:val="30"/>
        </w:rPr>
      </w:pPr>
    </w:p>
    <w:p w14:paraId="14D3F69B">
      <w:pPr>
        <w:pStyle w:val="9"/>
        <w:spacing w:before="8"/>
        <w:ind w:left="0"/>
        <w:jc w:val="left"/>
        <w:rPr>
          <w:rFonts w:hint="eastAsia"/>
          <w:b w:val="0"/>
          <w:bCs/>
          <w:sz w:val="30"/>
          <w:szCs w:val="30"/>
        </w:rPr>
      </w:pPr>
      <w:r>
        <w:rPr>
          <w:rFonts w:hint="eastAsia"/>
          <w:b w:val="0"/>
          <w:bCs/>
          <w:sz w:val="30"/>
          <w:szCs w:val="30"/>
        </w:rPr>
        <w:t>Over the last couple of decades, a small but influential number of theologians in the Reformed wing of evangelicalism have defended a preterist approach to biblical eschatology.</w:t>
      </w:r>
    </w:p>
    <w:p w14:paraId="68787E91">
      <w:pPr>
        <w:pStyle w:val="9"/>
        <w:spacing w:before="8"/>
        <w:ind w:left="0"/>
        <w:jc w:val="left"/>
        <w:rPr>
          <w:rFonts w:hint="eastAsia"/>
          <w:b w:val="0"/>
          <w:bCs/>
          <w:sz w:val="30"/>
          <w:szCs w:val="30"/>
        </w:rPr>
      </w:pPr>
    </w:p>
    <w:p w14:paraId="16D5FD6E">
      <w:pPr>
        <w:pStyle w:val="9"/>
        <w:spacing w:before="8"/>
        <w:ind w:left="0"/>
        <w:jc w:val="left"/>
        <w:rPr>
          <w:rFonts w:hint="eastAsia"/>
          <w:b w:val="0"/>
          <w:bCs/>
          <w:sz w:val="30"/>
          <w:szCs w:val="30"/>
        </w:rPr>
      </w:pPr>
      <w:r>
        <w:rPr>
          <w:rFonts w:hint="eastAsia"/>
          <w:b w:val="0"/>
          <w:bCs/>
          <w:sz w:val="30"/>
          <w:szCs w:val="30"/>
        </w:rPr>
        <w:t>在过去的几十年里，福音派改革宗里一小群但有影响力的神学家，一直在捍卫一种对圣经末世论的过去派进路。</w:t>
      </w:r>
    </w:p>
    <w:p w14:paraId="112880B6">
      <w:pPr>
        <w:pStyle w:val="9"/>
        <w:spacing w:before="8"/>
        <w:ind w:left="0"/>
        <w:jc w:val="left"/>
        <w:rPr>
          <w:rFonts w:hint="eastAsia"/>
          <w:b w:val="0"/>
          <w:bCs/>
          <w:sz w:val="30"/>
          <w:szCs w:val="30"/>
        </w:rPr>
      </w:pPr>
    </w:p>
    <w:p w14:paraId="093B3ADA">
      <w:pPr>
        <w:pStyle w:val="9"/>
        <w:spacing w:before="8"/>
        <w:ind w:left="0"/>
        <w:jc w:val="left"/>
        <w:rPr>
          <w:rFonts w:hint="eastAsia"/>
          <w:b w:val="0"/>
          <w:bCs/>
          <w:sz w:val="30"/>
          <w:szCs w:val="30"/>
        </w:rPr>
      </w:pPr>
      <w:r>
        <w:rPr>
          <w:rFonts w:hint="eastAsia"/>
          <w:b w:val="0"/>
          <w:bCs/>
          <w:sz w:val="30"/>
          <w:szCs w:val="30"/>
        </w:rPr>
        <w:t>The name of their school comes from the Latin praeter, meaning past.</w:t>
      </w:r>
    </w:p>
    <w:p w14:paraId="2DE9A008">
      <w:pPr>
        <w:pStyle w:val="9"/>
        <w:spacing w:before="8"/>
        <w:ind w:left="0"/>
        <w:jc w:val="left"/>
        <w:rPr>
          <w:rFonts w:hint="eastAsia"/>
          <w:b w:val="0"/>
          <w:bCs/>
          <w:sz w:val="30"/>
          <w:szCs w:val="30"/>
        </w:rPr>
      </w:pPr>
    </w:p>
    <w:p w14:paraId="2EADADA0">
      <w:pPr>
        <w:pStyle w:val="9"/>
        <w:spacing w:before="8"/>
        <w:ind w:left="0"/>
        <w:jc w:val="left"/>
        <w:rPr>
          <w:rFonts w:hint="eastAsia"/>
          <w:b w:val="0"/>
          <w:bCs/>
          <w:sz w:val="30"/>
          <w:szCs w:val="30"/>
        </w:rPr>
      </w:pPr>
      <w:r>
        <w:rPr>
          <w:rFonts w:hint="eastAsia"/>
          <w:b w:val="0"/>
          <w:bCs/>
          <w:sz w:val="30"/>
          <w:szCs w:val="30"/>
        </w:rPr>
        <w:t>他们学派的名称来自拉丁文 praeter，意为“过去”。</w:t>
      </w:r>
    </w:p>
    <w:p w14:paraId="7BAA6BA2">
      <w:pPr>
        <w:pStyle w:val="9"/>
        <w:spacing w:before="8"/>
        <w:ind w:left="0"/>
        <w:jc w:val="left"/>
        <w:rPr>
          <w:rFonts w:hint="eastAsia"/>
          <w:b w:val="0"/>
          <w:bCs/>
          <w:sz w:val="30"/>
          <w:szCs w:val="30"/>
        </w:rPr>
      </w:pPr>
    </w:p>
    <w:p w14:paraId="1F7940EE">
      <w:pPr>
        <w:pStyle w:val="9"/>
        <w:spacing w:before="8"/>
        <w:ind w:left="0"/>
        <w:jc w:val="left"/>
        <w:rPr>
          <w:rFonts w:hint="eastAsia"/>
          <w:b w:val="0"/>
          <w:bCs/>
          <w:sz w:val="30"/>
          <w:szCs w:val="30"/>
        </w:rPr>
      </w:pPr>
      <w:r>
        <w:rPr>
          <w:rFonts w:hint="eastAsia"/>
          <w:b w:val="0"/>
          <w:bCs/>
          <w:sz w:val="30"/>
          <w:szCs w:val="30"/>
        </w:rPr>
        <w:t>It fits well, since preterist interpreters, in varying degrees, argue that events traditionally associated with the Consummation have already occurred; that some or all of the eschatological predictions found in the gospels, the epistles, and the Revelation were actually fulfilled during the Jewish War (66-70 AD), and especially in the destruction of Jerusalem in 70 AD.</w:t>
      </w:r>
    </w:p>
    <w:p w14:paraId="5402FD00">
      <w:pPr>
        <w:pStyle w:val="9"/>
        <w:spacing w:before="8"/>
        <w:ind w:left="0"/>
        <w:jc w:val="left"/>
        <w:rPr>
          <w:rFonts w:hint="eastAsia"/>
          <w:b w:val="0"/>
          <w:bCs/>
          <w:sz w:val="30"/>
          <w:szCs w:val="30"/>
        </w:rPr>
      </w:pPr>
    </w:p>
    <w:p w14:paraId="24610770">
      <w:pPr>
        <w:pStyle w:val="9"/>
        <w:spacing w:before="8"/>
        <w:ind w:left="0"/>
        <w:jc w:val="left"/>
        <w:rPr>
          <w:rFonts w:hint="eastAsia"/>
          <w:b w:val="0"/>
          <w:bCs/>
          <w:sz w:val="30"/>
          <w:szCs w:val="30"/>
        </w:rPr>
      </w:pPr>
      <w:r>
        <w:rPr>
          <w:rFonts w:hint="eastAsia"/>
          <w:b w:val="0"/>
          <w:bCs/>
          <w:sz w:val="30"/>
          <w:szCs w:val="30"/>
        </w:rPr>
        <w:t>这很贴切，因为过去派的解释者们，在不同程度上，主张传统上与最终的成全相关的事件已经发生；在福音书、书信和启示录中找到的一些或所有末世论的预言，实际上在犹太战争期间（公元66-70年）已经应验，尤其是在公元70年耶路撒冷的毁灭中。</w:t>
      </w:r>
    </w:p>
    <w:p w14:paraId="0B2789C1">
      <w:pPr>
        <w:pStyle w:val="9"/>
        <w:spacing w:before="8"/>
        <w:ind w:left="0"/>
        <w:jc w:val="left"/>
        <w:rPr>
          <w:rFonts w:hint="eastAsia"/>
          <w:b w:val="0"/>
          <w:bCs/>
          <w:sz w:val="30"/>
          <w:szCs w:val="30"/>
        </w:rPr>
      </w:pPr>
    </w:p>
    <w:p w14:paraId="0B9F3FD8">
      <w:pPr>
        <w:pStyle w:val="9"/>
        <w:spacing w:before="8"/>
        <w:ind w:left="0"/>
        <w:jc w:val="left"/>
        <w:rPr>
          <w:rFonts w:hint="eastAsia"/>
          <w:b w:val="0"/>
          <w:bCs/>
          <w:sz w:val="30"/>
          <w:szCs w:val="30"/>
        </w:rPr>
      </w:pPr>
      <w:r>
        <w:rPr>
          <w:rFonts w:hint="eastAsia"/>
          <w:b w:val="0"/>
          <w:bCs/>
          <w:sz w:val="30"/>
          <w:szCs w:val="30"/>
        </w:rPr>
        <w:t>While some modern preterists try to find ancient precedent for their position, most historians agree that identifiably preterist eschatologies first appeared in the 17th century writings of Jesuit priest Luis de Alcazar, Dutch jurist Hugo Grotius, and English Bible scholars Henry Hammond and John Lightfoot.</w:t>
      </w:r>
    </w:p>
    <w:p w14:paraId="6A564A42">
      <w:pPr>
        <w:pStyle w:val="9"/>
        <w:spacing w:before="8"/>
        <w:ind w:left="0"/>
        <w:jc w:val="left"/>
        <w:rPr>
          <w:rFonts w:hint="eastAsia"/>
          <w:b w:val="0"/>
          <w:bCs/>
          <w:sz w:val="30"/>
          <w:szCs w:val="30"/>
        </w:rPr>
      </w:pPr>
    </w:p>
    <w:p w14:paraId="7F30D436">
      <w:pPr>
        <w:pStyle w:val="9"/>
        <w:spacing w:before="8"/>
        <w:ind w:left="0"/>
        <w:jc w:val="left"/>
        <w:rPr>
          <w:rFonts w:hint="eastAsia"/>
          <w:b w:val="0"/>
          <w:bCs/>
          <w:sz w:val="30"/>
          <w:szCs w:val="30"/>
        </w:rPr>
      </w:pPr>
      <w:r>
        <w:rPr>
          <w:rFonts w:hint="eastAsia"/>
          <w:b w:val="0"/>
          <w:bCs/>
          <w:sz w:val="30"/>
          <w:szCs w:val="30"/>
        </w:rPr>
        <w:t>尽管一些现代的过去派试图为他们的立场寻找古老的先例，但大多数历史学家都同意，可识别的过去派末世论最早出现在17世纪耶稣会神父路易斯·德·阿尔卡萨、荷兰法学家胡果·格老秀，以及英国圣经学者亨利·哈蒙德和约翰·赖特福的著作中。</w:t>
      </w:r>
    </w:p>
    <w:p w14:paraId="26F3D450">
      <w:pPr>
        <w:pStyle w:val="9"/>
        <w:spacing w:before="8"/>
        <w:ind w:left="0"/>
        <w:jc w:val="left"/>
        <w:rPr>
          <w:rFonts w:hint="eastAsia"/>
          <w:b w:val="0"/>
          <w:bCs/>
          <w:sz w:val="30"/>
          <w:szCs w:val="30"/>
        </w:rPr>
      </w:pPr>
    </w:p>
    <w:p w14:paraId="0FF9E4C6">
      <w:pPr>
        <w:pStyle w:val="9"/>
        <w:spacing w:before="8"/>
        <w:ind w:left="0"/>
        <w:jc w:val="left"/>
        <w:rPr>
          <w:rFonts w:hint="eastAsia"/>
          <w:b w:val="0"/>
          <w:bCs/>
          <w:sz w:val="30"/>
          <w:szCs w:val="30"/>
        </w:rPr>
      </w:pPr>
      <w:r>
        <w:rPr>
          <w:rFonts w:hint="eastAsia"/>
          <w:b w:val="0"/>
          <w:bCs/>
          <w:sz w:val="30"/>
          <w:szCs w:val="30"/>
        </w:rPr>
        <w:t>Later on, the English Congregational pastor J. S. Russell became the father of “full preterism,” while in America, Andover College professor Moses Stuart defended a milder version called “partial preterism.”</w:t>
      </w:r>
    </w:p>
    <w:p w14:paraId="2A40E0B9">
      <w:pPr>
        <w:pStyle w:val="9"/>
        <w:spacing w:before="8"/>
        <w:ind w:left="0"/>
        <w:jc w:val="left"/>
        <w:rPr>
          <w:rFonts w:hint="eastAsia"/>
          <w:b w:val="0"/>
          <w:bCs/>
          <w:sz w:val="30"/>
          <w:szCs w:val="30"/>
        </w:rPr>
      </w:pPr>
    </w:p>
    <w:p w14:paraId="024D9B8C">
      <w:pPr>
        <w:pStyle w:val="9"/>
        <w:spacing w:before="8"/>
        <w:ind w:left="0"/>
        <w:jc w:val="left"/>
        <w:rPr>
          <w:rFonts w:hint="eastAsia"/>
          <w:b w:val="0"/>
          <w:bCs/>
          <w:sz w:val="30"/>
          <w:szCs w:val="30"/>
        </w:rPr>
      </w:pPr>
      <w:r>
        <w:rPr>
          <w:rFonts w:hint="eastAsia"/>
          <w:b w:val="0"/>
          <w:bCs/>
          <w:sz w:val="30"/>
          <w:szCs w:val="30"/>
        </w:rPr>
        <w:t>后来，英国公理会牧师 J. S. 罗素成为“完全过去派”之父，而在美国，安多福学院教授摩西·斯图尔特则捍卫了一个被称为“部分过去派”的较温和版本。</w:t>
      </w:r>
    </w:p>
    <w:p w14:paraId="5724A7D4">
      <w:pPr>
        <w:pStyle w:val="9"/>
        <w:spacing w:before="8"/>
        <w:ind w:left="0"/>
        <w:jc w:val="left"/>
        <w:rPr>
          <w:rFonts w:hint="eastAsia"/>
          <w:b w:val="0"/>
          <w:bCs/>
          <w:sz w:val="30"/>
          <w:szCs w:val="30"/>
        </w:rPr>
      </w:pPr>
    </w:p>
    <w:p w14:paraId="7C3C3001">
      <w:pPr>
        <w:pStyle w:val="9"/>
        <w:spacing w:before="8"/>
        <w:ind w:left="0"/>
        <w:jc w:val="left"/>
        <w:rPr>
          <w:rFonts w:hint="eastAsia"/>
          <w:b w:val="0"/>
          <w:bCs/>
          <w:sz w:val="30"/>
          <w:szCs w:val="30"/>
        </w:rPr>
      </w:pPr>
      <w:r>
        <w:rPr>
          <w:rFonts w:hint="eastAsia"/>
          <w:b w:val="0"/>
          <w:bCs/>
          <w:sz w:val="30"/>
          <w:szCs w:val="30"/>
        </w:rPr>
        <w:t>At the risk of oversimplification, I would say that modern evangelical preterism is largely based upon a sincere desire to do justice to the Olivet Discourse, especially Matthew 24, and most especially verse 34 of that challenging chapter.</w:t>
      </w:r>
    </w:p>
    <w:p w14:paraId="567E184E">
      <w:pPr>
        <w:pStyle w:val="9"/>
        <w:spacing w:before="8"/>
        <w:ind w:left="0"/>
        <w:jc w:val="left"/>
        <w:rPr>
          <w:rFonts w:hint="eastAsia"/>
          <w:b w:val="0"/>
          <w:bCs/>
          <w:sz w:val="30"/>
          <w:szCs w:val="30"/>
        </w:rPr>
      </w:pPr>
    </w:p>
    <w:p w14:paraId="2D773EF4">
      <w:pPr>
        <w:pStyle w:val="9"/>
        <w:spacing w:before="8"/>
        <w:ind w:left="0"/>
        <w:jc w:val="left"/>
        <w:rPr>
          <w:rFonts w:hint="eastAsia"/>
          <w:b w:val="0"/>
          <w:bCs/>
          <w:sz w:val="30"/>
          <w:szCs w:val="30"/>
        </w:rPr>
      </w:pPr>
      <w:r>
        <w:rPr>
          <w:rFonts w:hint="eastAsia"/>
          <w:b w:val="0"/>
          <w:bCs/>
          <w:sz w:val="30"/>
          <w:szCs w:val="30"/>
        </w:rPr>
        <w:t>冒着过度简化的风险，我要说，现代福音派的过去派主要是基于一种真诚的渴望，要公正地对待橄榄山讲论，特别是马太福音24章，尤其是那富有挑战性的一章中的第34节。</w:t>
      </w:r>
    </w:p>
    <w:p w14:paraId="1D2E9FF7">
      <w:pPr>
        <w:pStyle w:val="9"/>
        <w:spacing w:before="8"/>
        <w:ind w:left="0"/>
        <w:jc w:val="left"/>
        <w:rPr>
          <w:rFonts w:hint="eastAsia"/>
          <w:b w:val="0"/>
          <w:bCs/>
          <w:sz w:val="30"/>
          <w:szCs w:val="30"/>
        </w:rPr>
      </w:pPr>
    </w:p>
    <w:p w14:paraId="5CEA2159">
      <w:pPr>
        <w:pStyle w:val="9"/>
        <w:spacing w:before="8"/>
        <w:ind w:left="0"/>
        <w:jc w:val="left"/>
        <w:rPr>
          <w:rFonts w:hint="eastAsia"/>
          <w:b w:val="0"/>
          <w:bCs/>
          <w:sz w:val="30"/>
          <w:szCs w:val="30"/>
        </w:rPr>
      </w:pPr>
      <w:r>
        <w:rPr>
          <w:rFonts w:hint="eastAsia"/>
          <w:b w:val="0"/>
          <w:bCs/>
          <w:sz w:val="30"/>
          <w:szCs w:val="30"/>
        </w:rPr>
        <w:t>In this discourse, Christ first speaks at length about the signs that will herald the destruction of Jerusalem and his Parousia at the end of the age (Mt. 24:1-28).</w:t>
      </w:r>
    </w:p>
    <w:p w14:paraId="050E1B6B">
      <w:pPr>
        <w:pStyle w:val="9"/>
        <w:spacing w:before="8"/>
        <w:ind w:left="0"/>
        <w:jc w:val="left"/>
        <w:rPr>
          <w:rFonts w:hint="eastAsia"/>
          <w:b w:val="0"/>
          <w:bCs/>
          <w:sz w:val="30"/>
          <w:szCs w:val="30"/>
        </w:rPr>
      </w:pPr>
    </w:p>
    <w:p w14:paraId="59C7441A">
      <w:pPr>
        <w:pStyle w:val="9"/>
        <w:spacing w:before="8"/>
        <w:ind w:left="0"/>
        <w:jc w:val="left"/>
        <w:rPr>
          <w:rFonts w:hint="eastAsia"/>
          <w:b w:val="0"/>
          <w:bCs/>
          <w:sz w:val="30"/>
          <w:szCs w:val="30"/>
        </w:rPr>
      </w:pPr>
      <w:r>
        <w:rPr>
          <w:rFonts w:hint="eastAsia"/>
          <w:b w:val="0"/>
          <w:bCs/>
          <w:sz w:val="30"/>
          <w:szCs w:val="30"/>
        </w:rPr>
        <w:t>在这段讲论中，基督首先详细地论到那些将要预示耶路撒冷被毁和祂在世代末了之再来的兆头（太 24:1-28）。</w:t>
      </w:r>
    </w:p>
    <w:p w14:paraId="5451C3EC">
      <w:pPr>
        <w:pStyle w:val="9"/>
        <w:spacing w:before="8"/>
        <w:ind w:left="0"/>
        <w:jc w:val="left"/>
        <w:rPr>
          <w:rFonts w:hint="eastAsia"/>
          <w:b w:val="0"/>
          <w:bCs/>
          <w:sz w:val="30"/>
          <w:szCs w:val="30"/>
        </w:rPr>
      </w:pPr>
    </w:p>
    <w:p w14:paraId="14A72C4C">
      <w:pPr>
        <w:pStyle w:val="9"/>
        <w:spacing w:before="8"/>
        <w:ind w:left="0"/>
        <w:jc w:val="left"/>
        <w:rPr>
          <w:rFonts w:hint="eastAsia"/>
          <w:b w:val="0"/>
          <w:bCs/>
          <w:sz w:val="30"/>
          <w:szCs w:val="30"/>
        </w:rPr>
      </w:pPr>
      <w:r>
        <w:rPr>
          <w:rFonts w:hint="eastAsia"/>
          <w:b w:val="0"/>
          <w:bCs/>
          <w:sz w:val="30"/>
          <w:szCs w:val="30"/>
        </w:rPr>
        <w:t>Next, he speaks of the Parousia itself (Mt. 24:29-31).</w:t>
      </w:r>
    </w:p>
    <w:p w14:paraId="566AC555">
      <w:pPr>
        <w:pStyle w:val="9"/>
        <w:spacing w:before="8"/>
        <w:ind w:left="0"/>
        <w:jc w:val="left"/>
        <w:rPr>
          <w:rFonts w:hint="eastAsia"/>
          <w:b w:val="0"/>
          <w:bCs/>
          <w:sz w:val="30"/>
          <w:szCs w:val="30"/>
        </w:rPr>
      </w:pPr>
    </w:p>
    <w:p w14:paraId="2B6585EC">
      <w:pPr>
        <w:pStyle w:val="9"/>
        <w:spacing w:before="8"/>
        <w:ind w:left="0"/>
        <w:jc w:val="left"/>
        <w:rPr>
          <w:rFonts w:hint="eastAsia"/>
          <w:b w:val="0"/>
          <w:bCs/>
          <w:sz w:val="30"/>
          <w:szCs w:val="30"/>
        </w:rPr>
      </w:pPr>
      <w:r>
        <w:rPr>
          <w:rFonts w:hint="eastAsia"/>
          <w:b w:val="0"/>
          <w:bCs/>
          <w:sz w:val="30"/>
          <w:szCs w:val="30"/>
        </w:rPr>
        <w:t>接着，祂论到再来本身（太 24:29-31）。</w:t>
      </w:r>
    </w:p>
    <w:p w14:paraId="0E6D39E5">
      <w:pPr>
        <w:pStyle w:val="9"/>
        <w:spacing w:before="8"/>
        <w:ind w:left="0"/>
        <w:jc w:val="left"/>
        <w:rPr>
          <w:rFonts w:hint="eastAsia"/>
          <w:b w:val="0"/>
          <w:bCs/>
          <w:sz w:val="30"/>
          <w:szCs w:val="30"/>
        </w:rPr>
      </w:pPr>
    </w:p>
    <w:p w14:paraId="045F9F8A">
      <w:pPr>
        <w:pStyle w:val="9"/>
        <w:spacing w:before="8"/>
        <w:ind w:left="0"/>
        <w:jc w:val="left"/>
        <w:rPr>
          <w:rFonts w:hint="eastAsia"/>
          <w:b w:val="0"/>
          <w:bCs/>
          <w:sz w:val="30"/>
          <w:szCs w:val="30"/>
        </w:rPr>
      </w:pPr>
      <w:r>
        <w:rPr>
          <w:rFonts w:hint="eastAsia"/>
          <w:b w:val="0"/>
          <w:bCs/>
          <w:sz w:val="30"/>
          <w:szCs w:val="30"/>
        </w:rPr>
        <w:t>Then he declares to his disciples, “Truly, I say to you, this generation shall not pass away until all these things take place” (Mt. 24:34).</w:t>
      </w:r>
    </w:p>
    <w:p w14:paraId="4CF39A40">
      <w:pPr>
        <w:pStyle w:val="9"/>
        <w:spacing w:before="8"/>
        <w:ind w:left="0"/>
        <w:jc w:val="left"/>
        <w:rPr>
          <w:rFonts w:hint="eastAsia"/>
          <w:b w:val="0"/>
          <w:bCs/>
          <w:sz w:val="30"/>
          <w:szCs w:val="30"/>
        </w:rPr>
      </w:pPr>
    </w:p>
    <w:p w14:paraId="1E858533">
      <w:pPr>
        <w:pStyle w:val="9"/>
        <w:spacing w:before="8"/>
        <w:ind w:left="0"/>
        <w:jc w:val="left"/>
        <w:rPr>
          <w:rFonts w:hint="eastAsia"/>
          <w:b w:val="0"/>
          <w:bCs/>
          <w:sz w:val="30"/>
          <w:szCs w:val="30"/>
        </w:rPr>
      </w:pPr>
      <w:r>
        <w:rPr>
          <w:rFonts w:hint="eastAsia"/>
          <w:b w:val="0"/>
          <w:bCs/>
          <w:sz w:val="30"/>
          <w:szCs w:val="30"/>
        </w:rPr>
        <w:t>然后祂对祂的门徒宣告说：“我实在告诉你们，这一代还没有过去，这些事都要成就”（太 24:34）。</w:t>
      </w:r>
    </w:p>
    <w:p w14:paraId="1DEDCC59">
      <w:pPr>
        <w:pStyle w:val="9"/>
        <w:spacing w:before="8"/>
        <w:ind w:left="0"/>
        <w:jc w:val="left"/>
        <w:rPr>
          <w:rFonts w:hint="eastAsia"/>
          <w:b w:val="0"/>
          <w:bCs/>
          <w:sz w:val="30"/>
          <w:szCs w:val="30"/>
        </w:rPr>
      </w:pPr>
    </w:p>
    <w:p w14:paraId="7073F778">
      <w:pPr>
        <w:pStyle w:val="9"/>
        <w:spacing w:before="8"/>
        <w:ind w:left="0"/>
        <w:jc w:val="left"/>
        <w:rPr>
          <w:rFonts w:hint="eastAsia"/>
          <w:b w:val="0"/>
          <w:bCs/>
          <w:sz w:val="30"/>
          <w:szCs w:val="30"/>
        </w:rPr>
      </w:pPr>
      <w:r>
        <w:rPr>
          <w:rFonts w:hint="eastAsia"/>
          <w:b w:val="0"/>
          <w:bCs/>
          <w:sz w:val="30"/>
          <w:szCs w:val="30"/>
        </w:rPr>
        <w:t>Taken at face value, this seems to mean that events leading up to the Parousia, the Parousia itself, and the Consummation associated with it (Mt. 25:31ff) will all occur in 70 AD, when Jerusalem is destroyed, and when that particular generation of Jews comes to an end.</w:t>
      </w:r>
    </w:p>
    <w:p w14:paraId="2E40BC88">
      <w:pPr>
        <w:pStyle w:val="9"/>
        <w:spacing w:before="8"/>
        <w:ind w:left="0"/>
        <w:jc w:val="left"/>
        <w:rPr>
          <w:rFonts w:hint="eastAsia"/>
          <w:b w:val="0"/>
          <w:bCs/>
          <w:sz w:val="30"/>
          <w:szCs w:val="30"/>
        </w:rPr>
      </w:pPr>
    </w:p>
    <w:p w14:paraId="337A5FA4">
      <w:pPr>
        <w:pStyle w:val="9"/>
        <w:spacing w:before="8"/>
        <w:ind w:left="0"/>
        <w:jc w:val="left"/>
        <w:rPr>
          <w:rFonts w:hint="eastAsia"/>
          <w:b w:val="0"/>
          <w:bCs/>
          <w:sz w:val="30"/>
          <w:szCs w:val="30"/>
        </w:rPr>
      </w:pPr>
      <w:r>
        <w:rPr>
          <w:rFonts w:hint="eastAsia"/>
          <w:b w:val="0"/>
          <w:bCs/>
          <w:sz w:val="30"/>
          <w:szCs w:val="30"/>
        </w:rPr>
        <w:t>按字面意义理解，这似乎意味着，引向主的再来的事件、主的再来本身，以及与之相关的最终成全（太 25:31及以下），都将在公元70年发生，那时耶路撒冷被毁，并且那一代特定的犹太人走到了尽头。</w:t>
      </w:r>
    </w:p>
    <w:p w14:paraId="3A83DC43">
      <w:pPr>
        <w:pStyle w:val="9"/>
        <w:spacing w:before="8"/>
        <w:ind w:left="0"/>
        <w:jc w:val="left"/>
        <w:rPr>
          <w:rFonts w:hint="eastAsia"/>
          <w:b w:val="0"/>
          <w:bCs/>
          <w:sz w:val="30"/>
          <w:szCs w:val="30"/>
        </w:rPr>
      </w:pPr>
    </w:p>
    <w:p w14:paraId="4E62FE5A">
      <w:pPr>
        <w:pStyle w:val="9"/>
        <w:spacing w:before="8"/>
        <w:ind w:left="0"/>
        <w:jc w:val="left"/>
        <w:rPr>
          <w:rFonts w:hint="eastAsia"/>
          <w:b w:val="0"/>
          <w:bCs/>
          <w:sz w:val="30"/>
          <w:szCs w:val="30"/>
        </w:rPr>
      </w:pPr>
      <w:r>
        <w:rPr>
          <w:rFonts w:hint="eastAsia"/>
          <w:b w:val="0"/>
          <w:bCs/>
          <w:sz w:val="30"/>
          <w:szCs w:val="30"/>
        </w:rPr>
        <w:t>As we shall see, full preterists teach this very thing.</w:t>
      </w:r>
    </w:p>
    <w:p w14:paraId="57E1CB3D">
      <w:pPr>
        <w:pStyle w:val="9"/>
        <w:spacing w:before="8"/>
        <w:ind w:left="0"/>
        <w:jc w:val="left"/>
        <w:rPr>
          <w:rFonts w:hint="eastAsia"/>
          <w:b w:val="0"/>
          <w:bCs/>
          <w:sz w:val="30"/>
          <w:szCs w:val="30"/>
        </w:rPr>
      </w:pPr>
    </w:p>
    <w:p w14:paraId="5666ADE9">
      <w:pPr>
        <w:pStyle w:val="9"/>
        <w:spacing w:before="8"/>
        <w:ind w:left="0"/>
        <w:jc w:val="left"/>
        <w:rPr>
          <w:rFonts w:hint="eastAsia"/>
          <w:b w:val="0"/>
          <w:bCs/>
          <w:sz w:val="30"/>
          <w:szCs w:val="30"/>
        </w:rPr>
      </w:pPr>
      <w:r>
        <w:rPr>
          <w:rFonts w:hint="eastAsia"/>
          <w:b w:val="0"/>
          <w:bCs/>
          <w:sz w:val="30"/>
          <w:szCs w:val="30"/>
        </w:rPr>
        <w:t>正如我们将要看到的，完全过去派教导的正是这件事。</w:t>
      </w:r>
    </w:p>
    <w:p w14:paraId="293F5ABC">
      <w:pPr>
        <w:pStyle w:val="9"/>
        <w:spacing w:before="8"/>
        <w:ind w:left="0"/>
        <w:jc w:val="left"/>
        <w:rPr>
          <w:rFonts w:hint="eastAsia"/>
          <w:b w:val="0"/>
          <w:bCs/>
          <w:sz w:val="30"/>
          <w:szCs w:val="30"/>
        </w:rPr>
      </w:pPr>
    </w:p>
    <w:p w14:paraId="60C062F6">
      <w:pPr>
        <w:pStyle w:val="9"/>
        <w:spacing w:before="8"/>
        <w:ind w:left="0"/>
        <w:jc w:val="left"/>
        <w:rPr>
          <w:rFonts w:hint="eastAsia"/>
          <w:b w:val="0"/>
          <w:bCs/>
          <w:sz w:val="30"/>
          <w:szCs w:val="30"/>
        </w:rPr>
      </w:pPr>
      <w:r>
        <w:rPr>
          <w:rFonts w:hint="eastAsia"/>
          <w:b w:val="0"/>
          <w:bCs/>
          <w:sz w:val="30"/>
          <w:szCs w:val="30"/>
        </w:rPr>
        <w:t>Partial preterists teach much the same thing, but with important qualifications.</w:t>
      </w:r>
    </w:p>
    <w:p w14:paraId="7C8B9130">
      <w:pPr>
        <w:pStyle w:val="9"/>
        <w:spacing w:before="8"/>
        <w:ind w:left="0"/>
        <w:jc w:val="left"/>
        <w:rPr>
          <w:rFonts w:hint="eastAsia"/>
          <w:b w:val="0"/>
          <w:bCs/>
          <w:sz w:val="30"/>
          <w:szCs w:val="30"/>
        </w:rPr>
      </w:pPr>
    </w:p>
    <w:p w14:paraId="54B3B732">
      <w:pPr>
        <w:pStyle w:val="9"/>
        <w:spacing w:before="8"/>
        <w:ind w:left="0"/>
        <w:jc w:val="left"/>
        <w:rPr>
          <w:rFonts w:hint="eastAsia"/>
          <w:b w:val="0"/>
          <w:bCs/>
          <w:sz w:val="30"/>
          <w:szCs w:val="30"/>
        </w:rPr>
      </w:pPr>
      <w:r>
        <w:rPr>
          <w:rFonts w:hint="eastAsia"/>
          <w:b w:val="0"/>
          <w:bCs/>
          <w:sz w:val="30"/>
          <w:szCs w:val="30"/>
        </w:rPr>
        <w:t>部分过去派教导的大致相同，但有重要的限定。</w:t>
      </w:r>
    </w:p>
    <w:p w14:paraId="736F05D4">
      <w:pPr>
        <w:pStyle w:val="9"/>
        <w:spacing w:before="8"/>
        <w:ind w:left="0"/>
        <w:jc w:val="left"/>
        <w:rPr>
          <w:rFonts w:hint="eastAsia"/>
          <w:b w:val="0"/>
          <w:bCs/>
          <w:sz w:val="30"/>
          <w:szCs w:val="30"/>
        </w:rPr>
      </w:pPr>
    </w:p>
    <w:p w14:paraId="3C3249F9">
      <w:pPr>
        <w:pStyle w:val="9"/>
        <w:spacing w:before="8"/>
        <w:ind w:left="0"/>
        <w:jc w:val="left"/>
        <w:rPr>
          <w:rFonts w:hint="eastAsia"/>
          <w:b w:val="0"/>
          <w:bCs/>
          <w:sz w:val="30"/>
          <w:szCs w:val="30"/>
        </w:rPr>
      </w:pPr>
      <w:r>
        <w:rPr>
          <w:rFonts w:hint="eastAsia"/>
          <w:b w:val="0"/>
          <w:bCs/>
          <w:sz w:val="30"/>
          <w:szCs w:val="30"/>
        </w:rPr>
        <w:t>In what follows, I will briefly describe both views, mentioning some of the major proponents of each.</w:t>
      </w:r>
    </w:p>
    <w:p w14:paraId="3D96F4D6">
      <w:pPr>
        <w:pStyle w:val="9"/>
        <w:spacing w:before="8"/>
        <w:ind w:left="0"/>
        <w:jc w:val="left"/>
        <w:rPr>
          <w:rFonts w:hint="eastAsia"/>
          <w:b w:val="0"/>
          <w:bCs/>
          <w:sz w:val="30"/>
          <w:szCs w:val="30"/>
        </w:rPr>
      </w:pPr>
    </w:p>
    <w:p w14:paraId="7D41A3D4">
      <w:pPr>
        <w:pStyle w:val="9"/>
        <w:spacing w:before="8"/>
        <w:ind w:left="0"/>
        <w:jc w:val="left"/>
        <w:rPr>
          <w:rFonts w:hint="eastAsia"/>
          <w:b w:val="0"/>
          <w:bCs/>
          <w:sz w:val="30"/>
          <w:szCs w:val="30"/>
        </w:rPr>
      </w:pPr>
      <w:r>
        <w:rPr>
          <w:rFonts w:hint="eastAsia"/>
          <w:b w:val="0"/>
          <w:bCs/>
          <w:sz w:val="30"/>
          <w:szCs w:val="30"/>
        </w:rPr>
        <w:t>在接下来的内容中，我将简要描述这两种观点，并提及每种观点的一些主要倡导者。</w:t>
      </w:r>
    </w:p>
    <w:p w14:paraId="77E6DF8A">
      <w:pPr>
        <w:pStyle w:val="9"/>
        <w:spacing w:before="8"/>
        <w:ind w:left="0"/>
        <w:jc w:val="left"/>
        <w:rPr>
          <w:rFonts w:hint="eastAsia"/>
          <w:b w:val="0"/>
          <w:bCs/>
          <w:sz w:val="30"/>
          <w:szCs w:val="30"/>
        </w:rPr>
      </w:pPr>
    </w:p>
    <w:p w14:paraId="2CF83A32">
      <w:pPr>
        <w:pStyle w:val="9"/>
        <w:spacing w:before="8"/>
        <w:ind w:left="0"/>
        <w:jc w:val="left"/>
        <w:rPr>
          <w:rFonts w:hint="eastAsia"/>
          <w:b w:val="0"/>
          <w:bCs/>
          <w:sz w:val="30"/>
          <w:szCs w:val="30"/>
        </w:rPr>
      </w:pPr>
      <w:r>
        <w:rPr>
          <w:rFonts w:hint="eastAsia"/>
          <w:b w:val="0"/>
          <w:bCs/>
          <w:sz w:val="30"/>
          <w:szCs w:val="30"/>
        </w:rPr>
        <w:t>Partial Preterism</w:t>
      </w:r>
    </w:p>
    <w:p w14:paraId="3FD65970">
      <w:pPr>
        <w:pStyle w:val="9"/>
        <w:spacing w:before="8"/>
        <w:ind w:left="0"/>
        <w:jc w:val="left"/>
        <w:rPr>
          <w:rFonts w:hint="eastAsia"/>
          <w:b w:val="0"/>
          <w:bCs/>
          <w:sz w:val="30"/>
          <w:szCs w:val="30"/>
        </w:rPr>
      </w:pPr>
    </w:p>
    <w:p w14:paraId="5B5F4755">
      <w:pPr>
        <w:pStyle w:val="9"/>
        <w:spacing w:before="8"/>
        <w:ind w:left="0"/>
        <w:jc w:val="left"/>
        <w:rPr>
          <w:b/>
          <w:sz w:val="8"/>
        </w:rPr>
      </w:pPr>
      <w:r>
        <w:rPr>
          <w:rFonts w:hint="eastAsia"/>
          <w:b w:val="0"/>
          <w:bCs/>
          <w:sz w:val="30"/>
          <w:szCs w:val="30"/>
        </w:rPr>
        <w:t>部分过去派</w:t>
      </w:r>
      <w:r>
        <w:rPr>
          <w:b/>
          <w:sz w:val="8"/>
        </w:rPr>
        <w:drawing>
          <wp:anchor distT="0" distB="0" distL="0" distR="0" simplePos="0" relativeHeight="251663360" behindDoc="1" locked="0" layoutInCell="1" allowOverlap="1">
            <wp:simplePos x="0" y="0"/>
            <wp:positionH relativeFrom="page">
              <wp:posOffset>2332990</wp:posOffset>
            </wp:positionH>
            <wp:positionV relativeFrom="paragraph">
              <wp:posOffset>78740</wp:posOffset>
            </wp:positionV>
            <wp:extent cx="3054350" cy="1611630"/>
            <wp:effectExtent l="0" t="0" r="0" b="0"/>
            <wp:wrapTopAndBottom/>
            <wp:docPr id="54" name="Image 54"/>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18" cstate="print"/>
                    <a:stretch>
                      <a:fillRect/>
                    </a:stretch>
                  </pic:blipFill>
                  <pic:spPr>
                    <a:xfrm>
                      <a:off x="0" y="0"/>
                      <a:ext cx="3054200" cy="1611630"/>
                    </a:xfrm>
                    <a:prstGeom prst="rect">
                      <a:avLst/>
                    </a:prstGeom>
                  </pic:spPr>
                </pic:pic>
              </a:graphicData>
            </a:graphic>
          </wp:anchor>
        </w:drawing>
      </w:r>
    </w:p>
    <w:p w14:paraId="5BDB2BDB">
      <w:pPr>
        <w:pStyle w:val="9"/>
        <w:spacing w:after="0"/>
        <w:jc w:val="left"/>
        <w:rPr>
          <w:rFonts w:hint="eastAsia" w:eastAsia="宋体"/>
          <w:b/>
          <w:sz w:val="8"/>
          <w:lang w:eastAsia="zh-CN"/>
        </w:rPr>
        <w:sectPr>
          <w:pgSz w:w="12240" w:h="15840"/>
          <w:pgMar w:top="1380" w:right="1440" w:bottom="280" w:left="1440" w:header="720" w:footer="720" w:gutter="0"/>
          <w:cols w:space="720" w:num="1"/>
        </w:sectPr>
      </w:pPr>
      <w:r>
        <w:rPr>
          <w:rFonts w:hint="eastAsia" w:eastAsia="宋体"/>
          <w:b/>
          <w:sz w:val="8"/>
          <w:lang w:eastAsia="zh-CN"/>
        </w:rPr>
        <w:drawing>
          <wp:inline distT="0" distB="0" distL="114300" distR="114300">
            <wp:extent cx="5181600" cy="2743200"/>
            <wp:effectExtent l="0" t="0" r="0" b="0"/>
            <wp:docPr id="148" name="图片 148" descr="e49809f05591c3fd2a244c70146981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descr="e49809f05591c3fd2a244c701469813e"/>
                    <pic:cNvPicPr>
                      <a:picLocks noChangeAspect="1"/>
                    </pic:cNvPicPr>
                  </pic:nvPicPr>
                  <pic:blipFill>
                    <a:blip r:embed="rId19"/>
                    <a:stretch>
                      <a:fillRect/>
                    </a:stretch>
                  </pic:blipFill>
                  <pic:spPr>
                    <a:xfrm>
                      <a:off x="0" y="0"/>
                      <a:ext cx="5181600" cy="2743200"/>
                    </a:xfrm>
                    <a:prstGeom prst="rect">
                      <a:avLst/>
                    </a:prstGeom>
                  </pic:spPr>
                </pic:pic>
              </a:graphicData>
            </a:graphic>
          </wp:inline>
        </w:drawing>
      </w:r>
    </w:p>
    <w:p w14:paraId="4DEDA627">
      <w:pPr>
        <w:pStyle w:val="9"/>
        <w:spacing w:before="7"/>
        <w:ind w:left="0"/>
        <w:jc w:val="left"/>
        <w:rPr>
          <w:rFonts w:hint="eastAsia"/>
          <w:b w:val="0"/>
          <w:bCs/>
          <w:sz w:val="30"/>
          <w:szCs w:val="30"/>
        </w:rPr>
      </w:pPr>
      <w:r>
        <w:rPr>
          <w:rFonts w:hint="eastAsia"/>
          <w:b w:val="0"/>
          <w:bCs/>
          <w:sz w:val="30"/>
          <w:szCs w:val="30"/>
        </w:rPr>
        <w:t>Of the two schools, this is the more complex.</w:t>
      </w:r>
    </w:p>
    <w:p w14:paraId="31A57C10">
      <w:pPr>
        <w:pStyle w:val="9"/>
        <w:spacing w:before="7"/>
        <w:ind w:left="0"/>
        <w:jc w:val="left"/>
        <w:rPr>
          <w:rFonts w:hint="eastAsia"/>
          <w:b w:val="0"/>
          <w:bCs/>
          <w:sz w:val="30"/>
          <w:szCs w:val="30"/>
        </w:rPr>
      </w:pPr>
    </w:p>
    <w:p w14:paraId="66B0BE16">
      <w:pPr>
        <w:pStyle w:val="9"/>
        <w:spacing w:before="7"/>
        <w:ind w:left="0"/>
        <w:jc w:val="left"/>
        <w:rPr>
          <w:rFonts w:hint="eastAsia"/>
          <w:b w:val="0"/>
          <w:bCs/>
          <w:sz w:val="30"/>
          <w:szCs w:val="30"/>
        </w:rPr>
      </w:pPr>
      <w:r>
        <w:rPr>
          <w:rFonts w:hint="eastAsia"/>
          <w:b w:val="0"/>
          <w:bCs/>
          <w:sz w:val="30"/>
          <w:szCs w:val="30"/>
        </w:rPr>
        <w:t>在这两个学派中，这个更为复杂。</w:t>
      </w:r>
    </w:p>
    <w:p w14:paraId="1210D4EB">
      <w:pPr>
        <w:pStyle w:val="9"/>
        <w:spacing w:before="7"/>
        <w:ind w:left="0"/>
        <w:jc w:val="left"/>
        <w:rPr>
          <w:rFonts w:hint="eastAsia"/>
          <w:b w:val="0"/>
          <w:bCs/>
          <w:sz w:val="30"/>
          <w:szCs w:val="30"/>
        </w:rPr>
      </w:pPr>
    </w:p>
    <w:p w14:paraId="06F18D99">
      <w:pPr>
        <w:pStyle w:val="9"/>
        <w:spacing w:before="7"/>
        <w:ind w:left="0"/>
        <w:jc w:val="left"/>
        <w:rPr>
          <w:rFonts w:hint="eastAsia"/>
          <w:b w:val="0"/>
          <w:bCs/>
          <w:sz w:val="30"/>
          <w:szCs w:val="30"/>
        </w:rPr>
      </w:pPr>
      <w:r>
        <w:rPr>
          <w:rFonts w:hint="eastAsia"/>
          <w:b w:val="0"/>
          <w:bCs/>
          <w:sz w:val="30"/>
          <w:szCs w:val="30"/>
        </w:rPr>
        <w:t>Broadly speaking, partial preterists agree with their Reformed predecessors that the OT prophecies of the Kingdom must be spiritually interpreted in light of the New Covenant.</w:t>
      </w:r>
    </w:p>
    <w:p w14:paraId="43370F3A">
      <w:pPr>
        <w:pStyle w:val="9"/>
        <w:spacing w:before="7"/>
        <w:ind w:left="0"/>
        <w:jc w:val="left"/>
        <w:rPr>
          <w:rFonts w:hint="eastAsia"/>
          <w:b w:val="0"/>
          <w:bCs/>
          <w:sz w:val="30"/>
          <w:szCs w:val="30"/>
        </w:rPr>
      </w:pPr>
    </w:p>
    <w:p w14:paraId="553F22CB">
      <w:pPr>
        <w:pStyle w:val="9"/>
        <w:spacing w:before="7"/>
        <w:ind w:left="0"/>
        <w:jc w:val="left"/>
        <w:rPr>
          <w:rFonts w:hint="eastAsia"/>
          <w:b w:val="0"/>
          <w:bCs/>
          <w:sz w:val="30"/>
          <w:szCs w:val="30"/>
        </w:rPr>
      </w:pPr>
      <w:r>
        <w:rPr>
          <w:rFonts w:hint="eastAsia"/>
          <w:b w:val="0"/>
          <w:bCs/>
          <w:sz w:val="30"/>
          <w:szCs w:val="30"/>
        </w:rPr>
        <w:t>广义上说，部分过去派同意他们改革宗前辈的观点，即旧约关于国度的预言必须在新约的光照下作属灵的解释。</w:t>
      </w:r>
    </w:p>
    <w:p w14:paraId="1CB3EF2D">
      <w:pPr>
        <w:pStyle w:val="9"/>
        <w:spacing w:before="7"/>
        <w:ind w:left="0"/>
        <w:jc w:val="left"/>
        <w:rPr>
          <w:rFonts w:hint="eastAsia"/>
          <w:b w:val="0"/>
          <w:bCs/>
          <w:sz w:val="30"/>
          <w:szCs w:val="30"/>
        </w:rPr>
      </w:pPr>
    </w:p>
    <w:p w14:paraId="33318C5C">
      <w:pPr>
        <w:pStyle w:val="9"/>
        <w:spacing w:before="7"/>
        <w:ind w:left="0"/>
        <w:jc w:val="left"/>
        <w:rPr>
          <w:rFonts w:hint="eastAsia"/>
          <w:b w:val="0"/>
          <w:bCs/>
          <w:sz w:val="30"/>
          <w:szCs w:val="30"/>
        </w:rPr>
      </w:pPr>
      <w:r>
        <w:rPr>
          <w:rFonts w:hint="eastAsia"/>
          <w:b w:val="0"/>
          <w:bCs/>
          <w:sz w:val="30"/>
          <w:szCs w:val="30"/>
        </w:rPr>
        <w:t>Like them, they see the Kingdom as coming in two stages, separated by a single supernatural Parousia of Christ at the end of the Church era.</w:t>
      </w:r>
    </w:p>
    <w:p w14:paraId="26D7741E">
      <w:pPr>
        <w:pStyle w:val="9"/>
        <w:spacing w:before="7"/>
        <w:ind w:left="0"/>
        <w:jc w:val="left"/>
        <w:rPr>
          <w:rFonts w:hint="eastAsia"/>
          <w:b w:val="0"/>
          <w:bCs/>
          <w:sz w:val="30"/>
          <w:szCs w:val="30"/>
        </w:rPr>
      </w:pPr>
    </w:p>
    <w:p w14:paraId="7332912B">
      <w:pPr>
        <w:pStyle w:val="9"/>
        <w:spacing w:before="7"/>
        <w:ind w:left="0"/>
        <w:jc w:val="left"/>
        <w:rPr>
          <w:rFonts w:hint="eastAsia"/>
          <w:b w:val="0"/>
          <w:bCs/>
          <w:sz w:val="30"/>
          <w:szCs w:val="30"/>
        </w:rPr>
      </w:pPr>
      <w:r>
        <w:rPr>
          <w:rFonts w:hint="eastAsia"/>
          <w:b w:val="0"/>
          <w:bCs/>
          <w:sz w:val="30"/>
          <w:szCs w:val="30"/>
        </w:rPr>
        <w:t>与他们一样，他们视国度为分两个阶段降临，由基督在教会时代末了的一次超自然的再来所分隔。</w:t>
      </w:r>
    </w:p>
    <w:p w14:paraId="3167E8DA">
      <w:pPr>
        <w:pStyle w:val="9"/>
        <w:spacing w:before="7"/>
        <w:ind w:left="0"/>
        <w:jc w:val="left"/>
        <w:rPr>
          <w:rFonts w:hint="eastAsia"/>
          <w:b w:val="0"/>
          <w:bCs/>
          <w:sz w:val="30"/>
          <w:szCs w:val="30"/>
        </w:rPr>
      </w:pPr>
    </w:p>
    <w:p w14:paraId="65965DA7">
      <w:pPr>
        <w:pStyle w:val="9"/>
        <w:spacing w:before="7"/>
        <w:ind w:left="0"/>
        <w:jc w:val="left"/>
        <w:rPr>
          <w:rFonts w:hint="eastAsia"/>
          <w:b w:val="0"/>
          <w:bCs/>
          <w:sz w:val="30"/>
          <w:szCs w:val="30"/>
        </w:rPr>
      </w:pPr>
      <w:r>
        <w:rPr>
          <w:rFonts w:hint="eastAsia"/>
          <w:b w:val="0"/>
          <w:bCs/>
          <w:sz w:val="30"/>
          <w:szCs w:val="30"/>
        </w:rPr>
        <w:t>And like them, they look for Christ to effect a single resurrection and a single judgment, after which he will bring in the new heavens and the new earth.</w:t>
      </w:r>
    </w:p>
    <w:p w14:paraId="3926FF62">
      <w:pPr>
        <w:pStyle w:val="9"/>
        <w:spacing w:before="7"/>
        <w:ind w:left="0"/>
        <w:jc w:val="left"/>
        <w:rPr>
          <w:rFonts w:hint="eastAsia"/>
          <w:b w:val="0"/>
          <w:bCs/>
          <w:sz w:val="30"/>
          <w:szCs w:val="30"/>
        </w:rPr>
      </w:pPr>
    </w:p>
    <w:p w14:paraId="6D4DF6FC">
      <w:pPr>
        <w:pStyle w:val="9"/>
        <w:spacing w:before="7"/>
        <w:ind w:left="0"/>
        <w:jc w:val="left"/>
        <w:rPr>
          <w:rFonts w:hint="eastAsia"/>
          <w:b w:val="0"/>
          <w:bCs/>
          <w:sz w:val="30"/>
          <w:szCs w:val="30"/>
        </w:rPr>
      </w:pPr>
      <w:r>
        <w:rPr>
          <w:rFonts w:hint="eastAsia"/>
          <w:b w:val="0"/>
          <w:bCs/>
          <w:sz w:val="30"/>
          <w:szCs w:val="30"/>
        </w:rPr>
        <w:t>与他们一样，他们期盼基督施行一次复活和一次审判，之后祂将带来新天新地。</w:t>
      </w:r>
    </w:p>
    <w:p w14:paraId="6D9B6503">
      <w:pPr>
        <w:pStyle w:val="9"/>
        <w:spacing w:before="7"/>
        <w:ind w:left="0"/>
        <w:jc w:val="left"/>
        <w:rPr>
          <w:rFonts w:hint="eastAsia"/>
          <w:b w:val="0"/>
          <w:bCs/>
          <w:sz w:val="30"/>
          <w:szCs w:val="30"/>
        </w:rPr>
      </w:pPr>
    </w:p>
    <w:p w14:paraId="4911033C">
      <w:pPr>
        <w:pStyle w:val="9"/>
        <w:spacing w:before="7"/>
        <w:ind w:left="0"/>
        <w:jc w:val="left"/>
        <w:rPr>
          <w:rFonts w:hint="eastAsia"/>
          <w:b w:val="0"/>
          <w:bCs/>
          <w:sz w:val="30"/>
          <w:szCs w:val="30"/>
        </w:rPr>
      </w:pPr>
      <w:r>
        <w:rPr>
          <w:rFonts w:hint="eastAsia"/>
          <w:b w:val="0"/>
          <w:bCs/>
          <w:sz w:val="30"/>
          <w:szCs w:val="30"/>
        </w:rPr>
        <w:t>However, on a number of other crucial eschatological doctrines, partial preterists abandon their Protestant forefathers.</w:t>
      </w:r>
    </w:p>
    <w:p w14:paraId="77E1C65D">
      <w:pPr>
        <w:pStyle w:val="9"/>
        <w:spacing w:before="7"/>
        <w:ind w:left="0"/>
        <w:jc w:val="left"/>
        <w:rPr>
          <w:rFonts w:hint="eastAsia"/>
          <w:b w:val="0"/>
          <w:bCs/>
          <w:sz w:val="30"/>
          <w:szCs w:val="30"/>
        </w:rPr>
      </w:pPr>
    </w:p>
    <w:p w14:paraId="6E54279B">
      <w:pPr>
        <w:pStyle w:val="9"/>
        <w:spacing w:before="7"/>
        <w:ind w:left="0"/>
        <w:jc w:val="left"/>
        <w:rPr>
          <w:rFonts w:hint="eastAsia"/>
          <w:b w:val="0"/>
          <w:bCs/>
          <w:sz w:val="30"/>
          <w:szCs w:val="30"/>
        </w:rPr>
      </w:pPr>
      <w:r>
        <w:rPr>
          <w:rFonts w:hint="eastAsia"/>
          <w:b w:val="0"/>
          <w:bCs/>
          <w:sz w:val="30"/>
          <w:szCs w:val="30"/>
        </w:rPr>
        <w:t>然而，在其他一些关键的末世论教义上，部分过去派放弃了他们新教先辈的观点。</w:t>
      </w:r>
    </w:p>
    <w:p w14:paraId="48872354">
      <w:pPr>
        <w:pStyle w:val="9"/>
        <w:spacing w:before="7"/>
        <w:ind w:left="0"/>
        <w:jc w:val="left"/>
        <w:rPr>
          <w:rFonts w:hint="eastAsia"/>
          <w:b w:val="0"/>
          <w:bCs/>
          <w:sz w:val="30"/>
          <w:szCs w:val="30"/>
        </w:rPr>
      </w:pPr>
    </w:p>
    <w:p w14:paraId="37168BA3">
      <w:pPr>
        <w:pStyle w:val="9"/>
        <w:spacing w:before="7"/>
        <w:ind w:left="0"/>
        <w:jc w:val="left"/>
        <w:rPr>
          <w:rFonts w:hint="eastAsia"/>
          <w:b w:val="0"/>
          <w:bCs/>
          <w:sz w:val="30"/>
          <w:szCs w:val="30"/>
        </w:rPr>
      </w:pPr>
      <w:r>
        <w:rPr>
          <w:rFonts w:hint="eastAsia"/>
          <w:b w:val="0"/>
          <w:bCs/>
          <w:sz w:val="30"/>
          <w:szCs w:val="30"/>
        </w:rPr>
        <w:t>For example, they identify “the last days” as the closing years of the Mosaic dispensation, the short season between Christ’s ascension and the events of 70 AD.</w:t>
      </w:r>
    </w:p>
    <w:p w14:paraId="62A1001C">
      <w:pPr>
        <w:pStyle w:val="9"/>
        <w:spacing w:before="7"/>
        <w:ind w:left="0"/>
        <w:jc w:val="left"/>
        <w:rPr>
          <w:rFonts w:hint="eastAsia"/>
          <w:b w:val="0"/>
          <w:bCs/>
          <w:sz w:val="30"/>
          <w:szCs w:val="30"/>
        </w:rPr>
      </w:pPr>
    </w:p>
    <w:p w14:paraId="6A1F4A1B">
      <w:pPr>
        <w:pStyle w:val="9"/>
        <w:spacing w:before="7"/>
        <w:ind w:left="0"/>
        <w:jc w:val="left"/>
        <w:rPr>
          <w:rFonts w:hint="eastAsia"/>
          <w:b w:val="0"/>
          <w:bCs/>
          <w:sz w:val="30"/>
          <w:szCs w:val="30"/>
        </w:rPr>
      </w:pPr>
      <w:r>
        <w:rPr>
          <w:rFonts w:hint="eastAsia"/>
          <w:b w:val="0"/>
          <w:bCs/>
          <w:sz w:val="30"/>
          <w:szCs w:val="30"/>
        </w:rPr>
        <w:t>例如，他们将“末后的日子”等同于摩西时代的末年，即基督升天与公元70年事件之间的短暂时期。</w:t>
      </w:r>
    </w:p>
    <w:p w14:paraId="3325F845">
      <w:pPr>
        <w:pStyle w:val="9"/>
        <w:spacing w:before="7"/>
        <w:ind w:left="0"/>
        <w:jc w:val="left"/>
        <w:rPr>
          <w:rFonts w:hint="eastAsia"/>
          <w:b w:val="0"/>
          <w:bCs/>
          <w:sz w:val="30"/>
          <w:szCs w:val="30"/>
        </w:rPr>
      </w:pPr>
    </w:p>
    <w:p w14:paraId="6C74380F">
      <w:pPr>
        <w:pStyle w:val="9"/>
        <w:spacing w:before="7"/>
        <w:ind w:left="0"/>
        <w:jc w:val="left"/>
        <w:rPr>
          <w:rFonts w:hint="eastAsia"/>
          <w:b w:val="0"/>
          <w:bCs/>
          <w:sz w:val="30"/>
          <w:szCs w:val="30"/>
        </w:rPr>
      </w:pPr>
      <w:r>
        <w:rPr>
          <w:rFonts w:hint="eastAsia"/>
          <w:b w:val="0"/>
          <w:bCs/>
          <w:sz w:val="30"/>
          <w:szCs w:val="30"/>
        </w:rPr>
        <w:t>Similarly, they identify “the end of the age” as 70 AD itself, when the destruction of Jerusalem brought an end to the age of Mosaic ceremonial worship.</w:t>
      </w:r>
    </w:p>
    <w:p w14:paraId="42EA8C0E">
      <w:pPr>
        <w:pStyle w:val="9"/>
        <w:spacing w:before="7"/>
        <w:ind w:left="0"/>
        <w:jc w:val="left"/>
        <w:rPr>
          <w:rFonts w:hint="eastAsia"/>
          <w:b w:val="0"/>
          <w:bCs/>
          <w:sz w:val="30"/>
          <w:szCs w:val="30"/>
        </w:rPr>
      </w:pPr>
    </w:p>
    <w:p w14:paraId="1AE835EF">
      <w:pPr>
        <w:pStyle w:val="9"/>
        <w:spacing w:before="7"/>
        <w:ind w:left="0"/>
        <w:jc w:val="left"/>
        <w:rPr>
          <w:rFonts w:hint="eastAsia"/>
          <w:b w:val="0"/>
          <w:bCs/>
          <w:sz w:val="30"/>
          <w:szCs w:val="30"/>
        </w:rPr>
      </w:pPr>
      <w:r>
        <w:rPr>
          <w:rFonts w:hint="eastAsia"/>
          <w:b w:val="0"/>
          <w:bCs/>
          <w:sz w:val="30"/>
          <w:szCs w:val="30"/>
        </w:rPr>
        <w:t>同样，他们将“世代的末了”等同于公元70年本身，那时耶路撒冷的毁灭结束了摩西礼仪敬拜的时代。</w:t>
      </w:r>
    </w:p>
    <w:p w14:paraId="15B936CB">
      <w:pPr>
        <w:pStyle w:val="9"/>
        <w:spacing w:before="7"/>
        <w:ind w:left="0"/>
        <w:jc w:val="left"/>
        <w:rPr>
          <w:rFonts w:hint="eastAsia"/>
          <w:b w:val="0"/>
          <w:bCs/>
          <w:sz w:val="30"/>
          <w:szCs w:val="30"/>
        </w:rPr>
      </w:pPr>
    </w:p>
    <w:p w14:paraId="08846D0E">
      <w:pPr>
        <w:pStyle w:val="9"/>
        <w:spacing w:before="7"/>
        <w:ind w:left="0"/>
        <w:jc w:val="left"/>
        <w:rPr>
          <w:rFonts w:hint="eastAsia"/>
          <w:b w:val="0"/>
          <w:bCs/>
          <w:sz w:val="30"/>
          <w:szCs w:val="30"/>
        </w:rPr>
      </w:pPr>
      <w:r>
        <w:rPr>
          <w:rFonts w:hint="eastAsia"/>
          <w:b w:val="0"/>
          <w:bCs/>
          <w:sz w:val="30"/>
          <w:szCs w:val="30"/>
        </w:rPr>
        <w:t>As for the various signs preceding and heralding the Consummation—wars, rumors of wars, famines, earthquakes, pestilence, persecutions, universal preaching of the Gospel, the coming of the Antichrist (i.e., Nero), and the greatest tribulation—these too, according to partial preterists, all occurred during “the last days” prior to 70 AD.</w:t>
      </w:r>
    </w:p>
    <w:p w14:paraId="5D27B845">
      <w:pPr>
        <w:pStyle w:val="9"/>
        <w:spacing w:before="7"/>
        <w:ind w:left="0"/>
        <w:jc w:val="left"/>
        <w:rPr>
          <w:rFonts w:hint="eastAsia"/>
          <w:b w:val="0"/>
          <w:bCs/>
          <w:sz w:val="30"/>
          <w:szCs w:val="30"/>
        </w:rPr>
      </w:pPr>
    </w:p>
    <w:p w14:paraId="10D211AB">
      <w:pPr>
        <w:pStyle w:val="9"/>
        <w:spacing w:before="7"/>
        <w:ind w:left="0"/>
        <w:jc w:val="left"/>
        <w:rPr>
          <w:rFonts w:hint="eastAsia"/>
          <w:b w:val="0"/>
          <w:bCs/>
          <w:sz w:val="30"/>
          <w:szCs w:val="30"/>
        </w:rPr>
      </w:pPr>
      <w:r>
        <w:rPr>
          <w:rFonts w:hint="eastAsia"/>
          <w:b w:val="0"/>
          <w:bCs/>
          <w:sz w:val="30"/>
          <w:szCs w:val="30"/>
        </w:rPr>
        <w:t>至于在最终成全之前预示并宣告的各种兆头——战争、战争的风声、饥荒、地震、瘟疫、逼迫、福音的普世传讲、敌基督（即尼禄）的来临，以及最大的患难——根据部分过去派的说法，这些也都在公元70年之前的“末后的日子”里发生了。</w:t>
      </w:r>
    </w:p>
    <w:p w14:paraId="45D8DDCC">
      <w:pPr>
        <w:pStyle w:val="9"/>
        <w:spacing w:before="7"/>
        <w:ind w:left="0"/>
        <w:jc w:val="left"/>
        <w:rPr>
          <w:rFonts w:hint="eastAsia"/>
          <w:b w:val="0"/>
          <w:bCs/>
          <w:sz w:val="30"/>
          <w:szCs w:val="30"/>
        </w:rPr>
      </w:pPr>
    </w:p>
    <w:p w14:paraId="58891275">
      <w:pPr>
        <w:pStyle w:val="9"/>
        <w:spacing w:before="7"/>
        <w:ind w:left="0"/>
        <w:jc w:val="left"/>
        <w:rPr>
          <w:rFonts w:hint="eastAsia"/>
          <w:b w:val="0"/>
          <w:bCs/>
          <w:sz w:val="30"/>
          <w:szCs w:val="30"/>
        </w:rPr>
      </w:pPr>
      <w:r>
        <w:rPr>
          <w:rFonts w:hint="eastAsia"/>
          <w:b w:val="0"/>
          <w:bCs/>
          <w:sz w:val="30"/>
          <w:szCs w:val="30"/>
        </w:rPr>
        <w:t>But what of the Parousia itself, and the cosmological events traditionally associated with it: the Resurrection, the Last Judgment, and the creation of new heavens and a new earth?</w:t>
      </w:r>
    </w:p>
    <w:p w14:paraId="4D455A99">
      <w:pPr>
        <w:pStyle w:val="9"/>
        <w:spacing w:before="7"/>
        <w:ind w:left="0"/>
        <w:jc w:val="left"/>
        <w:rPr>
          <w:rFonts w:hint="eastAsia"/>
          <w:b w:val="0"/>
          <w:bCs/>
          <w:sz w:val="30"/>
          <w:szCs w:val="30"/>
        </w:rPr>
      </w:pPr>
    </w:p>
    <w:p w14:paraId="4489A835">
      <w:pPr>
        <w:pStyle w:val="9"/>
        <w:spacing w:before="7"/>
        <w:ind w:left="0"/>
        <w:jc w:val="left"/>
        <w:rPr>
          <w:rFonts w:hint="eastAsia"/>
          <w:b w:val="0"/>
          <w:bCs/>
          <w:sz w:val="30"/>
          <w:szCs w:val="30"/>
        </w:rPr>
      </w:pPr>
      <w:r>
        <w:rPr>
          <w:rFonts w:hint="eastAsia"/>
          <w:b w:val="0"/>
          <w:bCs/>
          <w:sz w:val="30"/>
          <w:szCs w:val="30"/>
        </w:rPr>
        <w:t>但主的再来本身，以及传统上与之相关的宇宙性事件又如何呢：复活、最后的审判，以及新天新地的创造？</w:t>
      </w:r>
    </w:p>
    <w:p w14:paraId="177227B1">
      <w:pPr>
        <w:pStyle w:val="9"/>
        <w:spacing w:before="7"/>
        <w:ind w:left="0"/>
        <w:jc w:val="left"/>
        <w:rPr>
          <w:rFonts w:hint="eastAsia"/>
          <w:b w:val="0"/>
          <w:bCs/>
          <w:sz w:val="30"/>
          <w:szCs w:val="30"/>
        </w:rPr>
      </w:pPr>
    </w:p>
    <w:p w14:paraId="45765168">
      <w:pPr>
        <w:pStyle w:val="9"/>
        <w:spacing w:before="7"/>
        <w:ind w:left="0"/>
        <w:jc w:val="left"/>
        <w:rPr>
          <w:rFonts w:hint="eastAsia"/>
          <w:b w:val="0"/>
          <w:bCs/>
          <w:sz w:val="30"/>
          <w:szCs w:val="30"/>
        </w:rPr>
      </w:pPr>
      <w:r>
        <w:rPr>
          <w:rFonts w:hint="eastAsia"/>
          <w:b w:val="0"/>
          <w:bCs/>
          <w:sz w:val="30"/>
          <w:szCs w:val="30"/>
        </w:rPr>
        <w:t>Here, things grow murky indeed.</w:t>
      </w:r>
    </w:p>
    <w:p w14:paraId="2A4617DA">
      <w:pPr>
        <w:pStyle w:val="9"/>
        <w:spacing w:before="7"/>
        <w:ind w:left="0"/>
        <w:jc w:val="left"/>
        <w:rPr>
          <w:rFonts w:hint="eastAsia"/>
          <w:b w:val="0"/>
          <w:bCs/>
          <w:sz w:val="30"/>
          <w:szCs w:val="30"/>
        </w:rPr>
      </w:pPr>
    </w:p>
    <w:p w14:paraId="2F260737">
      <w:pPr>
        <w:pStyle w:val="9"/>
        <w:spacing w:before="7"/>
        <w:ind w:left="0"/>
        <w:jc w:val="left"/>
        <w:rPr>
          <w:rFonts w:hint="eastAsia"/>
          <w:b w:val="0"/>
          <w:bCs/>
          <w:sz w:val="30"/>
          <w:szCs w:val="30"/>
        </w:rPr>
      </w:pPr>
      <w:r>
        <w:rPr>
          <w:rFonts w:hint="eastAsia"/>
          <w:b w:val="0"/>
          <w:bCs/>
          <w:sz w:val="30"/>
          <w:szCs w:val="30"/>
        </w:rPr>
        <w:t>在这里，事情确实变得模糊不清。</w:t>
      </w:r>
    </w:p>
    <w:p w14:paraId="5CC3B2CE">
      <w:pPr>
        <w:pStyle w:val="9"/>
        <w:spacing w:before="7"/>
        <w:ind w:left="0"/>
        <w:jc w:val="left"/>
        <w:rPr>
          <w:rFonts w:hint="eastAsia"/>
          <w:b w:val="0"/>
          <w:bCs/>
          <w:sz w:val="30"/>
          <w:szCs w:val="30"/>
        </w:rPr>
      </w:pPr>
    </w:p>
    <w:p w14:paraId="26870B13">
      <w:pPr>
        <w:pStyle w:val="9"/>
        <w:spacing w:before="7"/>
        <w:ind w:left="0"/>
        <w:jc w:val="left"/>
        <w:rPr>
          <w:rFonts w:hint="eastAsia"/>
          <w:b w:val="0"/>
          <w:bCs/>
          <w:sz w:val="30"/>
          <w:szCs w:val="30"/>
        </w:rPr>
      </w:pPr>
      <w:r>
        <w:rPr>
          <w:rFonts w:hint="eastAsia"/>
          <w:b w:val="0"/>
          <w:bCs/>
          <w:sz w:val="30"/>
          <w:szCs w:val="30"/>
        </w:rPr>
        <w:t>As a rule, partial preterists allow that Christ is yet to come in visible glory to the skies above the earth in order to consummate all things.</w:t>
      </w:r>
    </w:p>
    <w:p w14:paraId="16F15F9D">
      <w:pPr>
        <w:pStyle w:val="9"/>
        <w:spacing w:before="7"/>
        <w:ind w:left="0"/>
        <w:jc w:val="left"/>
        <w:rPr>
          <w:rFonts w:hint="eastAsia"/>
          <w:b w:val="0"/>
          <w:bCs/>
          <w:sz w:val="30"/>
          <w:szCs w:val="30"/>
        </w:rPr>
      </w:pPr>
    </w:p>
    <w:p w14:paraId="5310CF47">
      <w:pPr>
        <w:pStyle w:val="9"/>
        <w:spacing w:before="7"/>
        <w:ind w:left="0"/>
        <w:jc w:val="left"/>
        <w:rPr>
          <w:rFonts w:hint="eastAsia"/>
          <w:b w:val="0"/>
          <w:bCs/>
          <w:sz w:val="30"/>
          <w:szCs w:val="30"/>
        </w:rPr>
      </w:pPr>
      <w:r>
        <w:rPr>
          <w:rFonts w:hint="eastAsia"/>
          <w:b w:val="0"/>
          <w:bCs/>
          <w:sz w:val="30"/>
          <w:szCs w:val="30"/>
        </w:rPr>
        <w:t>作为一条规则，部分过去派承认基督还要在可见的荣耀中降临到地上方的天空，以成全万事。</w:t>
      </w:r>
    </w:p>
    <w:p w14:paraId="04B7F0E3">
      <w:pPr>
        <w:pStyle w:val="9"/>
        <w:spacing w:before="7"/>
        <w:ind w:left="0"/>
        <w:jc w:val="left"/>
        <w:rPr>
          <w:rFonts w:hint="eastAsia"/>
          <w:b w:val="0"/>
          <w:bCs/>
          <w:sz w:val="30"/>
          <w:szCs w:val="30"/>
        </w:rPr>
      </w:pPr>
    </w:p>
    <w:p w14:paraId="740C843B">
      <w:pPr>
        <w:pStyle w:val="9"/>
        <w:spacing w:before="7"/>
        <w:ind w:left="0"/>
        <w:jc w:val="left"/>
        <w:rPr>
          <w:rFonts w:hint="eastAsia"/>
          <w:b w:val="0"/>
          <w:bCs/>
          <w:sz w:val="30"/>
          <w:szCs w:val="30"/>
        </w:rPr>
      </w:pPr>
      <w:r>
        <w:rPr>
          <w:rFonts w:hint="eastAsia"/>
          <w:b w:val="0"/>
          <w:bCs/>
          <w:sz w:val="30"/>
          <w:szCs w:val="30"/>
        </w:rPr>
        <w:t>However, they do not allow that in Matthew 24:27-31 he was referring to that particular coming.</w:t>
      </w:r>
    </w:p>
    <w:p w14:paraId="7325E96F">
      <w:pPr>
        <w:pStyle w:val="9"/>
        <w:spacing w:before="7"/>
        <w:ind w:left="0"/>
        <w:jc w:val="left"/>
        <w:rPr>
          <w:rFonts w:hint="eastAsia"/>
          <w:b w:val="0"/>
          <w:bCs/>
          <w:sz w:val="30"/>
          <w:szCs w:val="30"/>
        </w:rPr>
      </w:pPr>
    </w:p>
    <w:p w14:paraId="37A19D1E">
      <w:pPr>
        <w:pStyle w:val="9"/>
        <w:spacing w:before="7"/>
        <w:ind w:left="0"/>
        <w:jc w:val="left"/>
        <w:rPr>
          <w:rFonts w:hint="eastAsia"/>
          <w:b w:val="0"/>
          <w:bCs/>
          <w:sz w:val="30"/>
          <w:szCs w:val="30"/>
        </w:rPr>
      </w:pPr>
      <w:r>
        <w:rPr>
          <w:rFonts w:hint="eastAsia"/>
          <w:b w:val="0"/>
          <w:bCs/>
          <w:sz w:val="30"/>
          <w:szCs w:val="30"/>
        </w:rPr>
        <w:t>然而，他们不承认在马太福音24:27-31中，祂指的是那次特定的降临。</w:t>
      </w:r>
    </w:p>
    <w:p w14:paraId="1F23409C">
      <w:pPr>
        <w:pStyle w:val="9"/>
        <w:spacing w:before="7"/>
        <w:ind w:left="0"/>
        <w:jc w:val="left"/>
        <w:rPr>
          <w:rFonts w:hint="eastAsia"/>
          <w:b w:val="0"/>
          <w:bCs/>
          <w:sz w:val="30"/>
          <w:szCs w:val="30"/>
        </w:rPr>
      </w:pPr>
    </w:p>
    <w:p w14:paraId="02EC1735">
      <w:pPr>
        <w:pStyle w:val="9"/>
        <w:spacing w:before="7"/>
        <w:ind w:left="0"/>
        <w:jc w:val="left"/>
        <w:rPr>
          <w:rFonts w:hint="eastAsia"/>
          <w:b w:val="0"/>
          <w:bCs/>
          <w:sz w:val="30"/>
          <w:szCs w:val="30"/>
        </w:rPr>
      </w:pPr>
      <w:r>
        <w:rPr>
          <w:rFonts w:hint="eastAsia"/>
          <w:b w:val="0"/>
          <w:bCs/>
          <w:sz w:val="30"/>
          <w:szCs w:val="30"/>
        </w:rPr>
        <w:t>Rather, they hold that he was using apocalyptic language from the OT to speak symbolically of a providential “judgment-coming” that he himself would soon effect through the Roman general Titus.</w:t>
      </w:r>
    </w:p>
    <w:p w14:paraId="71B9C9F0">
      <w:pPr>
        <w:pStyle w:val="9"/>
        <w:spacing w:before="7"/>
        <w:ind w:left="0"/>
        <w:jc w:val="left"/>
        <w:rPr>
          <w:rFonts w:hint="eastAsia"/>
          <w:b w:val="0"/>
          <w:bCs/>
          <w:sz w:val="30"/>
          <w:szCs w:val="30"/>
        </w:rPr>
      </w:pPr>
    </w:p>
    <w:p w14:paraId="73BF47D4">
      <w:pPr>
        <w:pStyle w:val="9"/>
        <w:spacing w:before="7"/>
        <w:ind w:left="0"/>
        <w:jc w:val="left"/>
        <w:rPr>
          <w:rFonts w:hint="eastAsia"/>
          <w:b w:val="0"/>
          <w:bCs/>
          <w:sz w:val="30"/>
          <w:szCs w:val="30"/>
        </w:rPr>
      </w:pPr>
      <w:r>
        <w:rPr>
          <w:rFonts w:hint="eastAsia"/>
          <w:b w:val="0"/>
          <w:bCs/>
          <w:sz w:val="30"/>
          <w:szCs w:val="30"/>
        </w:rPr>
        <w:t>相反，他们认为祂是在使用旧约的天启文学语言，来象征性地谈论一次护理性的“审判-降临”，而这次降临祂自己将很快通过罗马将军提多来实现。</w:t>
      </w:r>
    </w:p>
    <w:p w14:paraId="2E390F3F">
      <w:pPr>
        <w:pStyle w:val="9"/>
        <w:spacing w:before="7"/>
        <w:ind w:left="0"/>
        <w:jc w:val="left"/>
        <w:rPr>
          <w:rFonts w:hint="eastAsia"/>
          <w:b w:val="0"/>
          <w:bCs/>
          <w:sz w:val="30"/>
          <w:szCs w:val="30"/>
        </w:rPr>
      </w:pPr>
    </w:p>
    <w:p w14:paraId="1737B868">
      <w:pPr>
        <w:pStyle w:val="9"/>
        <w:spacing w:before="7"/>
        <w:ind w:left="0"/>
        <w:jc w:val="left"/>
        <w:rPr>
          <w:rFonts w:hint="eastAsia"/>
          <w:b w:val="0"/>
          <w:bCs/>
          <w:sz w:val="30"/>
          <w:szCs w:val="30"/>
        </w:rPr>
      </w:pPr>
      <w:r>
        <w:rPr>
          <w:rFonts w:hint="eastAsia"/>
          <w:b w:val="0"/>
          <w:bCs/>
          <w:sz w:val="30"/>
          <w:szCs w:val="30"/>
        </w:rPr>
        <w:t>This is, of course, a dramatic departure from the traditional understanding of Jesus’ words.</w:t>
      </w:r>
    </w:p>
    <w:p w14:paraId="701A5B3F">
      <w:pPr>
        <w:pStyle w:val="9"/>
        <w:spacing w:before="7"/>
        <w:ind w:left="0"/>
        <w:jc w:val="left"/>
        <w:rPr>
          <w:rFonts w:hint="eastAsia"/>
          <w:b w:val="0"/>
          <w:bCs/>
          <w:sz w:val="30"/>
          <w:szCs w:val="30"/>
        </w:rPr>
      </w:pPr>
    </w:p>
    <w:p w14:paraId="5C7CBA27">
      <w:pPr>
        <w:pStyle w:val="9"/>
        <w:spacing w:before="7"/>
        <w:ind w:left="0"/>
        <w:jc w:val="left"/>
        <w:rPr>
          <w:rFonts w:hint="eastAsia"/>
          <w:b w:val="0"/>
          <w:bCs/>
          <w:sz w:val="30"/>
          <w:szCs w:val="30"/>
        </w:rPr>
      </w:pPr>
      <w:r>
        <w:rPr>
          <w:rFonts w:hint="eastAsia"/>
          <w:b w:val="0"/>
          <w:bCs/>
          <w:sz w:val="30"/>
          <w:szCs w:val="30"/>
        </w:rPr>
        <w:t>这当然与对耶稣话语的传统理解大相径庭。</w:t>
      </w:r>
    </w:p>
    <w:p w14:paraId="59B61FCA">
      <w:pPr>
        <w:pStyle w:val="9"/>
        <w:spacing w:before="7"/>
        <w:ind w:left="0"/>
        <w:jc w:val="left"/>
        <w:rPr>
          <w:rFonts w:hint="eastAsia"/>
          <w:b w:val="0"/>
          <w:bCs/>
          <w:sz w:val="30"/>
          <w:szCs w:val="30"/>
        </w:rPr>
      </w:pPr>
    </w:p>
    <w:p w14:paraId="03371026">
      <w:pPr>
        <w:pStyle w:val="9"/>
        <w:spacing w:before="7"/>
        <w:ind w:left="0"/>
        <w:jc w:val="left"/>
        <w:rPr>
          <w:rFonts w:hint="eastAsia"/>
          <w:b w:val="0"/>
          <w:bCs/>
          <w:sz w:val="30"/>
          <w:szCs w:val="30"/>
        </w:rPr>
      </w:pPr>
      <w:r>
        <w:rPr>
          <w:rFonts w:hint="eastAsia"/>
          <w:b w:val="0"/>
          <w:bCs/>
          <w:sz w:val="30"/>
          <w:szCs w:val="30"/>
        </w:rPr>
        <w:t>Traditionally, interpreters have held that here the Lord is giving his people a true picture of the true contours of his (supernatural) Parousia.</w:t>
      </w:r>
    </w:p>
    <w:p w14:paraId="3DEED89B">
      <w:pPr>
        <w:pStyle w:val="9"/>
        <w:spacing w:before="7"/>
        <w:ind w:left="0"/>
        <w:jc w:val="left"/>
        <w:rPr>
          <w:rFonts w:hint="eastAsia"/>
          <w:b w:val="0"/>
          <w:bCs/>
          <w:sz w:val="30"/>
          <w:szCs w:val="30"/>
        </w:rPr>
      </w:pPr>
    </w:p>
    <w:p w14:paraId="6EA0D940">
      <w:pPr>
        <w:pStyle w:val="9"/>
        <w:spacing w:before="7"/>
        <w:ind w:left="0"/>
        <w:jc w:val="left"/>
        <w:rPr>
          <w:rFonts w:hint="eastAsia"/>
          <w:b w:val="0"/>
          <w:bCs/>
          <w:sz w:val="30"/>
          <w:szCs w:val="30"/>
        </w:rPr>
      </w:pPr>
      <w:r>
        <w:rPr>
          <w:rFonts w:hint="eastAsia"/>
          <w:b w:val="0"/>
          <w:bCs/>
          <w:sz w:val="30"/>
          <w:szCs w:val="30"/>
        </w:rPr>
        <w:t>传统上，解释者们认为，主在这里正给祂的子民一幅关于祂（超自然）再来之真实轮廓的真实图画。</w:t>
      </w:r>
    </w:p>
    <w:p w14:paraId="1769379A">
      <w:pPr>
        <w:pStyle w:val="9"/>
        <w:spacing w:before="7"/>
        <w:ind w:left="0"/>
        <w:jc w:val="left"/>
        <w:rPr>
          <w:rFonts w:hint="eastAsia"/>
          <w:b w:val="0"/>
          <w:bCs/>
          <w:sz w:val="30"/>
          <w:szCs w:val="30"/>
        </w:rPr>
      </w:pPr>
    </w:p>
    <w:p w14:paraId="3D000E52">
      <w:pPr>
        <w:pStyle w:val="9"/>
        <w:spacing w:before="7"/>
        <w:ind w:left="0"/>
        <w:jc w:val="left"/>
        <w:rPr>
          <w:rFonts w:hint="eastAsia"/>
          <w:b w:val="0"/>
          <w:bCs/>
          <w:sz w:val="30"/>
          <w:szCs w:val="30"/>
        </w:rPr>
      </w:pPr>
      <w:r>
        <w:rPr>
          <w:rFonts w:hint="eastAsia"/>
          <w:b w:val="0"/>
          <w:bCs/>
          <w:sz w:val="30"/>
          <w:szCs w:val="30"/>
        </w:rPr>
        <w:t>Yes, it alludes to various OTKP’s, but it does so in order to reveal, at long last, exactly how they will be fulfilled.</w:t>
      </w:r>
    </w:p>
    <w:p w14:paraId="7C7E617D">
      <w:pPr>
        <w:pStyle w:val="9"/>
        <w:spacing w:before="7"/>
        <w:ind w:left="0"/>
        <w:jc w:val="left"/>
        <w:rPr>
          <w:rFonts w:hint="eastAsia"/>
          <w:b w:val="0"/>
          <w:bCs/>
          <w:sz w:val="30"/>
          <w:szCs w:val="30"/>
        </w:rPr>
      </w:pPr>
    </w:p>
    <w:p w14:paraId="561DFBF9">
      <w:pPr>
        <w:pStyle w:val="9"/>
        <w:spacing w:before="7"/>
        <w:ind w:left="0"/>
        <w:jc w:val="left"/>
        <w:rPr>
          <w:rFonts w:hint="eastAsia"/>
          <w:b w:val="0"/>
          <w:bCs/>
          <w:sz w:val="30"/>
          <w:szCs w:val="30"/>
        </w:rPr>
      </w:pPr>
      <w:r>
        <w:rPr>
          <w:rFonts w:hint="eastAsia"/>
          <w:b w:val="0"/>
          <w:bCs/>
          <w:sz w:val="30"/>
          <w:szCs w:val="30"/>
        </w:rPr>
        <w:t>是的，它暗示了各种旧约的国度预言，但它这样做是为了最终揭示它们将如何确切地应验。</w:t>
      </w:r>
    </w:p>
    <w:p w14:paraId="1CA2B26E">
      <w:pPr>
        <w:pStyle w:val="9"/>
        <w:spacing w:before="7"/>
        <w:ind w:left="0"/>
        <w:jc w:val="left"/>
        <w:rPr>
          <w:rFonts w:hint="eastAsia"/>
          <w:b w:val="0"/>
          <w:bCs/>
          <w:sz w:val="30"/>
          <w:szCs w:val="30"/>
        </w:rPr>
      </w:pPr>
    </w:p>
    <w:p w14:paraId="6A7CE2DD">
      <w:pPr>
        <w:pStyle w:val="9"/>
        <w:spacing w:before="7"/>
        <w:ind w:left="0"/>
        <w:jc w:val="left"/>
        <w:rPr>
          <w:rFonts w:hint="eastAsia"/>
          <w:b w:val="0"/>
          <w:bCs/>
          <w:sz w:val="30"/>
          <w:szCs w:val="30"/>
        </w:rPr>
      </w:pPr>
      <w:r>
        <w:rPr>
          <w:rFonts w:hint="eastAsia"/>
          <w:b w:val="0"/>
          <w:bCs/>
          <w:sz w:val="30"/>
          <w:szCs w:val="30"/>
        </w:rPr>
        <w:t>Preterists, however, departing from this approach, introduce an entirely new hermeneutic (i.e., method of biblical interpretation) by which they would understand this and other NT texts dealing with the Parousia.</w:t>
      </w:r>
    </w:p>
    <w:p w14:paraId="092E1BFF">
      <w:pPr>
        <w:pStyle w:val="9"/>
        <w:spacing w:before="7"/>
        <w:ind w:left="0"/>
        <w:jc w:val="left"/>
        <w:rPr>
          <w:rFonts w:hint="eastAsia"/>
          <w:b w:val="0"/>
          <w:bCs/>
          <w:sz w:val="30"/>
          <w:szCs w:val="30"/>
        </w:rPr>
      </w:pPr>
    </w:p>
    <w:p w14:paraId="686EBCD1">
      <w:pPr>
        <w:pStyle w:val="9"/>
        <w:spacing w:before="7"/>
        <w:ind w:left="0"/>
        <w:jc w:val="left"/>
        <w:rPr>
          <w:rFonts w:hint="eastAsia"/>
          <w:b w:val="0"/>
          <w:bCs/>
          <w:sz w:val="30"/>
          <w:szCs w:val="30"/>
        </w:rPr>
      </w:pPr>
      <w:r>
        <w:rPr>
          <w:rFonts w:hint="eastAsia"/>
          <w:b w:val="0"/>
          <w:bCs/>
          <w:sz w:val="30"/>
          <w:szCs w:val="30"/>
        </w:rPr>
        <w:t>然而，过去派偏离了这种方法，引入了一种全新的释经学（即圣经解释的方法），他们将用此来理解这段经文以及其他处理主再来的新约经文。</w:t>
      </w:r>
    </w:p>
    <w:p w14:paraId="57FD28A4">
      <w:pPr>
        <w:pStyle w:val="9"/>
        <w:spacing w:before="7"/>
        <w:ind w:left="0"/>
        <w:jc w:val="left"/>
        <w:rPr>
          <w:rFonts w:hint="eastAsia"/>
          <w:b w:val="0"/>
          <w:bCs/>
          <w:sz w:val="30"/>
          <w:szCs w:val="30"/>
        </w:rPr>
      </w:pPr>
    </w:p>
    <w:p w14:paraId="025C42D6">
      <w:pPr>
        <w:pStyle w:val="9"/>
        <w:spacing w:before="7"/>
        <w:ind w:left="0"/>
        <w:jc w:val="left"/>
        <w:rPr>
          <w:rFonts w:hint="eastAsia"/>
          <w:b w:val="0"/>
          <w:bCs/>
          <w:sz w:val="30"/>
          <w:szCs w:val="30"/>
        </w:rPr>
      </w:pPr>
      <w:r>
        <w:rPr>
          <w:rFonts w:hint="eastAsia"/>
          <w:b w:val="0"/>
          <w:bCs/>
          <w:sz w:val="30"/>
          <w:szCs w:val="30"/>
        </w:rPr>
        <w:t>As I will show later, the result, at best, is exegetical confusion; at worst, it is eschatological heresy.</w:t>
      </w:r>
    </w:p>
    <w:p w14:paraId="410D1C97">
      <w:pPr>
        <w:pStyle w:val="9"/>
        <w:spacing w:before="7"/>
        <w:ind w:left="0"/>
        <w:jc w:val="left"/>
        <w:rPr>
          <w:rFonts w:hint="eastAsia"/>
          <w:b w:val="0"/>
          <w:bCs/>
          <w:sz w:val="30"/>
          <w:szCs w:val="30"/>
        </w:rPr>
      </w:pPr>
    </w:p>
    <w:p w14:paraId="7693CFC0">
      <w:pPr>
        <w:pStyle w:val="9"/>
        <w:spacing w:before="7"/>
        <w:ind w:left="0"/>
        <w:jc w:val="left"/>
        <w:rPr>
          <w:rFonts w:hint="eastAsia"/>
          <w:b w:val="0"/>
          <w:bCs/>
          <w:sz w:val="30"/>
          <w:szCs w:val="30"/>
        </w:rPr>
      </w:pPr>
      <w:r>
        <w:rPr>
          <w:rFonts w:hint="eastAsia"/>
          <w:b w:val="0"/>
          <w:bCs/>
          <w:sz w:val="30"/>
          <w:szCs w:val="30"/>
        </w:rPr>
        <w:t>我稍后将指出，其结果，充其量是释经上的混乱；最坏的情况，则是末世论的异端。</w:t>
      </w:r>
    </w:p>
    <w:p w14:paraId="45250ABA">
      <w:pPr>
        <w:pStyle w:val="9"/>
        <w:spacing w:before="7"/>
        <w:ind w:left="0"/>
        <w:jc w:val="left"/>
        <w:rPr>
          <w:rFonts w:hint="eastAsia"/>
          <w:b w:val="0"/>
          <w:bCs/>
          <w:sz w:val="30"/>
          <w:szCs w:val="30"/>
        </w:rPr>
      </w:pPr>
    </w:p>
    <w:p w14:paraId="4E6F768B">
      <w:pPr>
        <w:pStyle w:val="9"/>
        <w:spacing w:before="7"/>
        <w:ind w:left="0"/>
        <w:jc w:val="left"/>
        <w:rPr>
          <w:rFonts w:hint="eastAsia"/>
          <w:b w:val="0"/>
          <w:bCs/>
          <w:sz w:val="30"/>
          <w:szCs w:val="30"/>
        </w:rPr>
      </w:pPr>
      <w:r>
        <w:rPr>
          <w:rFonts w:hint="eastAsia"/>
          <w:b w:val="0"/>
          <w:bCs/>
          <w:sz w:val="30"/>
          <w:szCs w:val="30"/>
        </w:rPr>
        <w:t>Partial preterists also bring their new hermeneutic to the Revelation, which, against much good evidence, they insist was written prior to 70 AD.</w:t>
      </w:r>
    </w:p>
    <w:p w14:paraId="0BB685C1">
      <w:pPr>
        <w:pStyle w:val="9"/>
        <w:spacing w:before="7"/>
        <w:ind w:left="0"/>
        <w:jc w:val="left"/>
        <w:rPr>
          <w:rFonts w:hint="eastAsia"/>
          <w:b w:val="0"/>
          <w:bCs/>
          <w:sz w:val="30"/>
          <w:szCs w:val="30"/>
        </w:rPr>
      </w:pPr>
    </w:p>
    <w:p w14:paraId="3AE292F5">
      <w:pPr>
        <w:pStyle w:val="9"/>
        <w:spacing w:before="7"/>
        <w:ind w:left="0"/>
        <w:jc w:val="left"/>
        <w:rPr>
          <w:rFonts w:hint="eastAsia"/>
          <w:b w:val="0"/>
          <w:bCs/>
          <w:sz w:val="30"/>
          <w:szCs w:val="30"/>
        </w:rPr>
      </w:pPr>
      <w:r>
        <w:rPr>
          <w:rFonts w:hint="eastAsia"/>
          <w:b w:val="0"/>
          <w:bCs/>
          <w:sz w:val="30"/>
          <w:szCs w:val="30"/>
        </w:rPr>
        <w:t>部分过去派也将他们的新释经学带入启示录，他们不顾许多有力的证据，坚持认为启示录是在公元70年之前写成的。</w:t>
      </w:r>
    </w:p>
    <w:p w14:paraId="22E34A94">
      <w:pPr>
        <w:pStyle w:val="9"/>
        <w:spacing w:before="7"/>
        <w:ind w:left="0"/>
        <w:jc w:val="left"/>
        <w:rPr>
          <w:rFonts w:hint="eastAsia"/>
          <w:b w:val="0"/>
          <w:bCs/>
          <w:sz w:val="30"/>
          <w:szCs w:val="30"/>
        </w:rPr>
      </w:pPr>
    </w:p>
    <w:p w14:paraId="1F1D2B6E">
      <w:pPr>
        <w:pStyle w:val="9"/>
        <w:spacing w:before="7"/>
        <w:ind w:left="0"/>
        <w:jc w:val="left"/>
        <w:rPr>
          <w:rFonts w:hint="eastAsia"/>
          <w:b w:val="0"/>
          <w:bCs/>
          <w:sz w:val="30"/>
          <w:szCs w:val="30"/>
        </w:rPr>
      </w:pPr>
      <w:r>
        <w:rPr>
          <w:rFonts w:hint="eastAsia"/>
          <w:b w:val="0"/>
          <w:bCs/>
          <w:sz w:val="30"/>
          <w:szCs w:val="30"/>
        </w:rPr>
        <w:t>All partial preterists agree that chapters 1-19 mystically picture the events of “the last days,” and especially those of “the Great Tribulation” (i.e., 66- 70 AD), when the Church endured much hardship at the hands of Israel and Rome.</w:t>
      </w:r>
    </w:p>
    <w:p w14:paraId="07DC062D">
      <w:pPr>
        <w:pStyle w:val="9"/>
        <w:spacing w:before="7"/>
        <w:ind w:left="0"/>
        <w:jc w:val="left"/>
        <w:rPr>
          <w:rFonts w:hint="eastAsia"/>
          <w:b w:val="0"/>
          <w:bCs/>
          <w:sz w:val="30"/>
          <w:szCs w:val="30"/>
        </w:rPr>
      </w:pPr>
    </w:p>
    <w:p w14:paraId="6D5E10BA">
      <w:pPr>
        <w:pStyle w:val="9"/>
        <w:spacing w:before="7"/>
        <w:ind w:left="0"/>
        <w:jc w:val="left"/>
        <w:rPr>
          <w:rFonts w:hint="eastAsia"/>
          <w:b w:val="0"/>
          <w:bCs/>
          <w:sz w:val="30"/>
          <w:szCs w:val="30"/>
        </w:rPr>
      </w:pPr>
      <w:r>
        <w:rPr>
          <w:rFonts w:hint="eastAsia"/>
          <w:b w:val="0"/>
          <w:bCs/>
          <w:sz w:val="30"/>
          <w:szCs w:val="30"/>
        </w:rPr>
        <w:t>所有部分过去派都同意，启示录1-19章奥秘地描绘了“末后的日子”的事件，特别是“大患难”（即公元66-70年）的事件，那时教会在以色列和罗马的手下遭受了许多苦难。</w:t>
      </w:r>
    </w:p>
    <w:p w14:paraId="7AA99532">
      <w:pPr>
        <w:pStyle w:val="9"/>
        <w:spacing w:before="7"/>
        <w:ind w:left="0"/>
        <w:jc w:val="left"/>
        <w:rPr>
          <w:rFonts w:hint="eastAsia"/>
          <w:b w:val="0"/>
          <w:bCs/>
          <w:sz w:val="30"/>
          <w:szCs w:val="30"/>
        </w:rPr>
      </w:pPr>
    </w:p>
    <w:p w14:paraId="6C58B67B">
      <w:pPr>
        <w:pStyle w:val="9"/>
        <w:spacing w:before="7"/>
        <w:ind w:left="0"/>
        <w:jc w:val="left"/>
        <w:rPr>
          <w:rFonts w:hint="eastAsia"/>
          <w:b w:val="0"/>
          <w:bCs/>
          <w:sz w:val="30"/>
          <w:szCs w:val="30"/>
        </w:rPr>
      </w:pPr>
      <w:r>
        <w:rPr>
          <w:rFonts w:hint="eastAsia"/>
          <w:b w:val="0"/>
          <w:bCs/>
          <w:sz w:val="30"/>
          <w:szCs w:val="30"/>
        </w:rPr>
        <w:t>Regarding Revelation 20, some of these interpreters identify the Millennium with “the last days” (i.e., the days between Pentecost and 70 AD), during which time Satan was bound so that the Church could preach the Gospel to Israel and the nations.</w:t>
      </w:r>
    </w:p>
    <w:p w14:paraId="703EDE1C">
      <w:pPr>
        <w:pStyle w:val="9"/>
        <w:spacing w:before="7"/>
        <w:ind w:left="0"/>
        <w:jc w:val="left"/>
        <w:rPr>
          <w:rFonts w:hint="eastAsia"/>
          <w:b w:val="0"/>
          <w:bCs/>
          <w:sz w:val="30"/>
          <w:szCs w:val="30"/>
        </w:rPr>
      </w:pPr>
    </w:p>
    <w:p w14:paraId="1AEB7A51">
      <w:pPr>
        <w:pStyle w:val="9"/>
        <w:spacing w:before="7"/>
        <w:ind w:left="0"/>
        <w:jc w:val="left"/>
        <w:rPr>
          <w:rFonts w:hint="eastAsia"/>
          <w:b w:val="0"/>
          <w:bCs/>
          <w:sz w:val="30"/>
          <w:szCs w:val="30"/>
        </w:rPr>
      </w:pPr>
      <w:r>
        <w:rPr>
          <w:rFonts w:hint="eastAsia"/>
          <w:b w:val="0"/>
          <w:bCs/>
          <w:sz w:val="30"/>
          <w:szCs w:val="30"/>
        </w:rPr>
        <w:t>关于启示录20章，这些解释者中有一些将千禧年等同于“末后的日子”（即五旬节至公元70年之间的日子），在此期间撒但被捆绑，以便教会能向以色列和列国传讲福音。</w:t>
      </w:r>
    </w:p>
    <w:p w14:paraId="28AE8E02">
      <w:pPr>
        <w:pStyle w:val="9"/>
        <w:spacing w:before="7"/>
        <w:ind w:left="0"/>
        <w:jc w:val="left"/>
        <w:rPr>
          <w:rFonts w:hint="eastAsia"/>
          <w:b w:val="0"/>
          <w:bCs/>
          <w:sz w:val="30"/>
          <w:szCs w:val="30"/>
        </w:rPr>
      </w:pPr>
    </w:p>
    <w:p w14:paraId="0F2A7AD0">
      <w:pPr>
        <w:pStyle w:val="9"/>
        <w:spacing w:before="7"/>
        <w:ind w:left="0"/>
        <w:jc w:val="left"/>
        <w:rPr>
          <w:rFonts w:hint="eastAsia"/>
          <w:b w:val="0"/>
          <w:bCs/>
          <w:sz w:val="30"/>
          <w:szCs w:val="30"/>
        </w:rPr>
      </w:pPr>
      <w:r>
        <w:rPr>
          <w:rFonts w:hint="eastAsia"/>
          <w:b w:val="0"/>
          <w:bCs/>
          <w:sz w:val="30"/>
          <w:szCs w:val="30"/>
        </w:rPr>
        <w:t>Others advance a highly futuristic and postmillennial interpretation, teaching that at some distant point in the Church Era (future even to us) God will grant extraordinary evangelistic success to his people, with the result that ethnic Israel will finally turn to Christ, and the world will become largely Christian.</w:t>
      </w:r>
    </w:p>
    <w:p w14:paraId="7AF262DD">
      <w:pPr>
        <w:pStyle w:val="9"/>
        <w:spacing w:before="7"/>
        <w:ind w:left="0"/>
        <w:jc w:val="left"/>
        <w:rPr>
          <w:rFonts w:hint="eastAsia"/>
          <w:b w:val="0"/>
          <w:bCs/>
          <w:sz w:val="30"/>
          <w:szCs w:val="30"/>
        </w:rPr>
      </w:pPr>
    </w:p>
    <w:p w14:paraId="41B0A398">
      <w:pPr>
        <w:pStyle w:val="9"/>
        <w:spacing w:before="7"/>
        <w:ind w:left="0"/>
        <w:jc w:val="left"/>
        <w:rPr>
          <w:rFonts w:hint="eastAsia"/>
          <w:b w:val="0"/>
          <w:bCs/>
          <w:sz w:val="30"/>
          <w:szCs w:val="30"/>
        </w:rPr>
      </w:pPr>
      <w:r>
        <w:rPr>
          <w:rFonts w:hint="eastAsia"/>
          <w:b w:val="0"/>
          <w:bCs/>
          <w:sz w:val="30"/>
          <w:szCs w:val="30"/>
        </w:rPr>
        <w:t>另一些人则提出一种高度未来主义和后千禧年论的解释，教导说在教会时代的某个遥远时刻（对我们来说也是未来的），神将赐给祂的子民非凡的传福音成功，其结果是民族以色列最终将归向基督，世界将大体上成为基督教世界。</w:t>
      </w:r>
    </w:p>
    <w:p w14:paraId="19F84EBA">
      <w:pPr>
        <w:pStyle w:val="9"/>
        <w:spacing w:before="7"/>
        <w:ind w:left="0"/>
        <w:jc w:val="left"/>
        <w:rPr>
          <w:rFonts w:hint="eastAsia"/>
          <w:b w:val="0"/>
          <w:bCs/>
          <w:sz w:val="30"/>
          <w:szCs w:val="30"/>
        </w:rPr>
      </w:pPr>
    </w:p>
    <w:p w14:paraId="45F606FC">
      <w:pPr>
        <w:pStyle w:val="9"/>
        <w:spacing w:before="7"/>
        <w:ind w:left="0"/>
        <w:jc w:val="left"/>
        <w:rPr>
          <w:rFonts w:hint="eastAsia"/>
          <w:b w:val="0"/>
          <w:bCs/>
          <w:sz w:val="30"/>
          <w:szCs w:val="30"/>
        </w:rPr>
      </w:pPr>
      <w:r>
        <w:rPr>
          <w:rFonts w:hint="eastAsia"/>
          <w:b w:val="0"/>
          <w:bCs/>
          <w:sz w:val="30"/>
          <w:szCs w:val="30"/>
        </w:rPr>
        <w:t>Some in this camp— usually called theonomists or Christian Reconstructionists—further argue that during this future Millennium global society will become largely theocratic; that the nations will now gladly govern themselves by the principles and statutes of the Mosaic Law.</w:t>
      </w:r>
    </w:p>
    <w:p w14:paraId="4AD01B1D">
      <w:pPr>
        <w:pStyle w:val="9"/>
        <w:spacing w:before="7"/>
        <w:ind w:left="0"/>
        <w:jc w:val="left"/>
        <w:rPr>
          <w:rFonts w:hint="eastAsia"/>
          <w:b w:val="0"/>
          <w:bCs/>
          <w:sz w:val="30"/>
          <w:szCs w:val="30"/>
        </w:rPr>
      </w:pPr>
    </w:p>
    <w:p w14:paraId="46B00CC1">
      <w:pPr>
        <w:pStyle w:val="9"/>
        <w:spacing w:before="7"/>
        <w:ind w:left="0"/>
        <w:jc w:val="left"/>
        <w:rPr>
          <w:rFonts w:hint="eastAsia"/>
          <w:b w:val="0"/>
          <w:bCs/>
          <w:sz w:val="30"/>
          <w:szCs w:val="30"/>
        </w:rPr>
      </w:pPr>
      <w:r>
        <w:rPr>
          <w:rFonts w:hint="eastAsia"/>
          <w:b w:val="0"/>
          <w:bCs/>
          <w:sz w:val="30"/>
          <w:szCs w:val="30"/>
        </w:rPr>
        <w:t>这个阵营中的一些人——通常被称为神治主义者或基督教重建主义者——进一步论证说，在这个未来的千禧年中，全球社会将大体上成为神权政体；列国现在将乐意地用摩西律法的原则和律例来治理自己。</w:t>
      </w:r>
    </w:p>
    <w:p w14:paraId="08B46DCF">
      <w:pPr>
        <w:pStyle w:val="9"/>
        <w:spacing w:before="7"/>
        <w:ind w:left="0"/>
        <w:jc w:val="left"/>
        <w:rPr>
          <w:rFonts w:hint="eastAsia"/>
          <w:b w:val="0"/>
          <w:bCs/>
          <w:sz w:val="30"/>
          <w:szCs w:val="30"/>
        </w:rPr>
      </w:pPr>
    </w:p>
    <w:p w14:paraId="423529EB">
      <w:pPr>
        <w:pStyle w:val="9"/>
        <w:spacing w:before="7"/>
        <w:ind w:left="0"/>
        <w:jc w:val="left"/>
        <w:rPr>
          <w:rFonts w:hint="eastAsia"/>
          <w:b w:val="0"/>
          <w:bCs/>
          <w:sz w:val="30"/>
          <w:szCs w:val="30"/>
        </w:rPr>
      </w:pPr>
      <w:r>
        <w:rPr>
          <w:rFonts w:hint="eastAsia"/>
          <w:b w:val="0"/>
          <w:bCs/>
          <w:sz w:val="30"/>
          <w:szCs w:val="30"/>
        </w:rPr>
        <w:t>Summing up, partial preterists interpret OTKP figuratively, in terms of the New Covenant; they see the Kingdom as appearing in two phases (the Church Era and the World to Come); they say that many end time events traditionally associated with the Consummation have already occurred (e.g., the rise of the Antichrist, the Great Tribulation); they adopt a new, highly symbolic hermeneutic to interpret Jesus’ own words about his Parousia in the Olivet Discourse; they therefore argue that that Parousia was a providential “judgment-coming” that occurred in 70 AD; they bring this hermeneutic to other NT eschatological texts, and especially to the Revelation, which, they say, deals more or less exclusively with the days of the Jewish War; yet they also look for a future, supernatural Parousia of Christ, when he will effect a general bodily resurrection, the last judgment, and a glorious restoration of all things.</w:t>
      </w:r>
    </w:p>
    <w:p w14:paraId="5583C81B">
      <w:pPr>
        <w:pStyle w:val="9"/>
        <w:spacing w:before="7"/>
        <w:ind w:left="0"/>
        <w:jc w:val="left"/>
        <w:rPr>
          <w:rFonts w:hint="eastAsia"/>
          <w:b w:val="0"/>
          <w:bCs/>
          <w:sz w:val="30"/>
          <w:szCs w:val="30"/>
        </w:rPr>
      </w:pPr>
    </w:p>
    <w:p w14:paraId="36650613">
      <w:pPr>
        <w:pStyle w:val="9"/>
        <w:spacing w:before="7"/>
        <w:ind w:left="0"/>
        <w:jc w:val="left"/>
        <w:rPr>
          <w:rFonts w:hint="eastAsia"/>
          <w:b w:val="0"/>
          <w:bCs/>
          <w:sz w:val="30"/>
          <w:szCs w:val="30"/>
        </w:rPr>
      </w:pPr>
      <w:r>
        <w:rPr>
          <w:rFonts w:hint="eastAsia"/>
          <w:b w:val="0"/>
          <w:bCs/>
          <w:sz w:val="30"/>
          <w:szCs w:val="30"/>
        </w:rPr>
        <w:t>总结起来，部分过去派以新约为参照，用预表的方式解释旧约国度预言；他们视国度为分两个阶段显现（教会时代和要来的世界）；他们说许多传统上与最终成全相关的末世事件已经发生（例如，敌基督的兴起、大患难）；他们采用一种新的、高度象征性的释经学来解释耶稣自己在橄榄山讲论中关于祂再来的话；因此他们论证说，那次再来是一次护理性的“审判-降临”，发生在公元70年；他们将这种释经学应用于其他新约末世论经文，特别是启示录，他们说，启示录或多或少地只处理犹太战争时期的事；然而他们也期盼基督未来一次超自然的再来，那时祂将施行一次普遍的身体复活、最后的审判，以及万物荣耀的复兴。</w:t>
      </w:r>
    </w:p>
    <w:p w14:paraId="02B2D5B7">
      <w:pPr>
        <w:pStyle w:val="9"/>
        <w:spacing w:before="7"/>
        <w:ind w:left="0"/>
        <w:jc w:val="left"/>
        <w:rPr>
          <w:rFonts w:hint="eastAsia"/>
          <w:b w:val="0"/>
          <w:bCs/>
          <w:sz w:val="30"/>
          <w:szCs w:val="30"/>
        </w:rPr>
      </w:pPr>
    </w:p>
    <w:p w14:paraId="078E7939">
      <w:pPr>
        <w:pStyle w:val="9"/>
        <w:spacing w:before="7"/>
        <w:ind w:left="0"/>
        <w:jc w:val="left"/>
        <w:rPr>
          <w:rFonts w:hint="eastAsia"/>
          <w:b w:val="0"/>
          <w:bCs/>
          <w:sz w:val="30"/>
          <w:szCs w:val="30"/>
        </w:rPr>
      </w:pPr>
      <w:r>
        <w:rPr>
          <w:rFonts w:hint="eastAsia"/>
          <w:b w:val="0"/>
          <w:bCs/>
          <w:sz w:val="30"/>
          <w:szCs w:val="30"/>
        </w:rPr>
        <w:t>With notable differences among them, Greg Bahnsen, (the early) Gary de Mar, David Chilton, Ken Gentry, R.C. Sproul, Hank Hanegraaff, Rousas Rushdoony, and Martin Selbrede all share this understanding of biblical eschatology.</w:t>
      </w:r>
    </w:p>
    <w:p w14:paraId="7325FA0E">
      <w:pPr>
        <w:pStyle w:val="9"/>
        <w:spacing w:before="7"/>
        <w:ind w:left="0"/>
        <w:jc w:val="left"/>
        <w:rPr>
          <w:rFonts w:hint="eastAsia"/>
          <w:b w:val="0"/>
          <w:bCs/>
          <w:sz w:val="30"/>
          <w:szCs w:val="30"/>
        </w:rPr>
      </w:pPr>
    </w:p>
    <w:p w14:paraId="0F2061F2">
      <w:pPr>
        <w:pStyle w:val="9"/>
        <w:spacing w:before="7"/>
        <w:ind w:left="0"/>
        <w:jc w:val="left"/>
        <w:rPr>
          <w:rFonts w:hint="eastAsia"/>
          <w:b w:val="0"/>
          <w:bCs/>
          <w:sz w:val="30"/>
          <w:szCs w:val="30"/>
        </w:rPr>
      </w:pPr>
      <w:r>
        <w:rPr>
          <w:rFonts w:hint="eastAsia"/>
          <w:b w:val="0"/>
          <w:bCs/>
          <w:sz w:val="30"/>
          <w:szCs w:val="30"/>
        </w:rPr>
        <w:t>尽管他们之间有显著的差异，格雷格·巴恩森、（早期的）加里·德马尔、大卫·奇尔顿、肯·根特里、R.C. 斯普劳尔、汉克·哈内格拉夫、鲁瑟斯·拉什杜尼和马丁·塞尔布雷德都共享这种对圣经末世论的理解。</w:t>
      </w:r>
    </w:p>
    <w:p w14:paraId="3DEAA4F9">
      <w:pPr>
        <w:pStyle w:val="9"/>
        <w:spacing w:before="7"/>
        <w:ind w:left="0"/>
        <w:jc w:val="left"/>
        <w:rPr>
          <w:rFonts w:hint="eastAsia"/>
          <w:b w:val="0"/>
          <w:bCs/>
          <w:sz w:val="30"/>
          <w:szCs w:val="30"/>
        </w:rPr>
      </w:pPr>
    </w:p>
    <w:p w14:paraId="1296F759">
      <w:pPr>
        <w:pStyle w:val="9"/>
        <w:spacing w:before="7"/>
        <w:ind w:left="0"/>
        <w:jc w:val="left"/>
        <w:rPr>
          <w:rFonts w:hint="eastAsia"/>
          <w:b w:val="0"/>
          <w:bCs/>
          <w:sz w:val="30"/>
          <w:szCs w:val="30"/>
        </w:rPr>
      </w:pPr>
      <w:r>
        <w:rPr>
          <w:rFonts w:hint="eastAsia"/>
          <w:b w:val="0"/>
          <w:bCs/>
          <w:sz w:val="30"/>
          <w:szCs w:val="30"/>
        </w:rPr>
        <w:t>Full Preterism</w:t>
      </w:r>
    </w:p>
    <w:p w14:paraId="0F7C4635">
      <w:pPr>
        <w:pStyle w:val="9"/>
        <w:spacing w:before="7"/>
        <w:ind w:left="0"/>
        <w:jc w:val="left"/>
        <w:rPr>
          <w:rFonts w:hint="eastAsia"/>
          <w:b w:val="0"/>
          <w:bCs/>
          <w:sz w:val="30"/>
          <w:szCs w:val="30"/>
        </w:rPr>
      </w:pPr>
    </w:p>
    <w:p w14:paraId="1D807FAD">
      <w:pPr>
        <w:pStyle w:val="9"/>
        <w:spacing w:before="7"/>
        <w:ind w:left="0"/>
        <w:jc w:val="left"/>
        <w:rPr>
          <w:rFonts w:hint="eastAsia"/>
          <w:b w:val="0"/>
          <w:bCs/>
          <w:sz w:val="30"/>
          <w:szCs w:val="30"/>
        </w:rPr>
      </w:pPr>
      <w:r>
        <w:rPr>
          <w:rFonts w:hint="eastAsia"/>
          <w:b w:val="0"/>
          <w:bCs/>
          <w:sz w:val="30"/>
          <w:szCs w:val="30"/>
        </w:rPr>
        <w:t>完全过去派</w:t>
      </w:r>
    </w:p>
    <w:p w14:paraId="539A881D">
      <w:pPr>
        <w:pStyle w:val="9"/>
        <w:spacing w:before="7"/>
        <w:ind w:left="0"/>
        <w:jc w:val="left"/>
        <w:rPr>
          <w:b w:val="0"/>
          <w:bCs/>
          <w:sz w:val="30"/>
          <w:szCs w:val="30"/>
        </w:rPr>
      </w:pPr>
      <w:r>
        <w:rPr>
          <w:b w:val="0"/>
          <w:bCs/>
          <w:sz w:val="30"/>
          <w:szCs w:val="30"/>
        </w:rPr>
        <w:drawing>
          <wp:anchor distT="0" distB="0" distL="0" distR="0" simplePos="0" relativeHeight="251663360" behindDoc="1" locked="0" layoutInCell="1" allowOverlap="1">
            <wp:simplePos x="0" y="0"/>
            <wp:positionH relativeFrom="page">
              <wp:posOffset>2342515</wp:posOffset>
            </wp:positionH>
            <wp:positionV relativeFrom="paragraph">
              <wp:posOffset>78105</wp:posOffset>
            </wp:positionV>
            <wp:extent cx="3103880" cy="1499870"/>
            <wp:effectExtent l="0" t="0" r="0" b="0"/>
            <wp:wrapTopAndBottom/>
            <wp:docPr id="55" name="Image 55"/>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20" cstate="print"/>
                    <a:stretch>
                      <a:fillRect/>
                    </a:stretch>
                  </pic:blipFill>
                  <pic:spPr>
                    <a:xfrm>
                      <a:off x="0" y="0"/>
                      <a:ext cx="3104184" cy="1499616"/>
                    </a:xfrm>
                    <a:prstGeom prst="rect">
                      <a:avLst/>
                    </a:prstGeom>
                  </pic:spPr>
                </pic:pic>
              </a:graphicData>
            </a:graphic>
          </wp:anchor>
        </w:drawing>
      </w:r>
    </w:p>
    <w:p w14:paraId="5014D4D3">
      <w:pPr>
        <w:pStyle w:val="9"/>
        <w:spacing w:before="53"/>
        <w:ind w:left="0"/>
        <w:jc w:val="left"/>
        <w:rPr>
          <w:rFonts w:hint="eastAsia"/>
          <w:b w:val="0"/>
          <w:bCs/>
          <w:sz w:val="33"/>
        </w:rPr>
      </w:pPr>
      <w:r>
        <w:rPr>
          <w:rFonts w:hint="eastAsia"/>
          <w:b w:val="0"/>
          <w:bCs/>
          <w:sz w:val="33"/>
        </w:rPr>
        <w:t>Full preterism is the natural result of a consistent application of the new preterist hermeneutic discussed above.</w:t>
      </w:r>
    </w:p>
    <w:p w14:paraId="10394B06">
      <w:pPr>
        <w:pStyle w:val="9"/>
        <w:spacing w:before="53"/>
        <w:ind w:left="0"/>
        <w:jc w:val="left"/>
        <w:rPr>
          <w:rFonts w:hint="eastAsia"/>
          <w:b w:val="0"/>
          <w:bCs/>
          <w:sz w:val="33"/>
        </w:rPr>
      </w:pPr>
    </w:p>
    <w:p w14:paraId="38DE1792">
      <w:pPr>
        <w:pStyle w:val="9"/>
        <w:spacing w:before="53"/>
        <w:ind w:left="0"/>
        <w:jc w:val="left"/>
        <w:rPr>
          <w:rFonts w:hint="eastAsia"/>
          <w:b w:val="0"/>
          <w:bCs/>
          <w:sz w:val="33"/>
        </w:rPr>
      </w:pPr>
      <w:r>
        <w:rPr>
          <w:rFonts w:hint="eastAsia"/>
          <w:b w:val="0"/>
          <w:bCs/>
          <w:sz w:val="33"/>
        </w:rPr>
        <w:t>完全过去派是前述新过去派释经学一贯应用下的自然结果。</w:t>
      </w:r>
    </w:p>
    <w:p w14:paraId="72DADD03">
      <w:pPr>
        <w:pStyle w:val="9"/>
        <w:spacing w:before="53"/>
        <w:ind w:left="0"/>
        <w:jc w:val="left"/>
        <w:rPr>
          <w:rFonts w:hint="eastAsia"/>
          <w:b w:val="0"/>
          <w:bCs/>
          <w:sz w:val="33"/>
        </w:rPr>
      </w:pPr>
    </w:p>
    <w:p w14:paraId="562299F5">
      <w:pPr>
        <w:pStyle w:val="9"/>
        <w:spacing w:before="53"/>
        <w:ind w:left="0"/>
        <w:jc w:val="left"/>
        <w:rPr>
          <w:rFonts w:hint="eastAsia"/>
          <w:b w:val="0"/>
          <w:bCs/>
          <w:sz w:val="33"/>
        </w:rPr>
      </w:pPr>
      <w:r>
        <w:rPr>
          <w:rFonts w:hint="eastAsia"/>
          <w:b w:val="0"/>
          <w:bCs/>
          <w:sz w:val="33"/>
        </w:rPr>
        <w:t>If Jesus, in the Olivet Discourse, used mystical, symbolic language to describe a Parousia that occurred in 70 AD, who is to say that he and the apostles did not use the same mystical language to describe other events biblically associated with the Parousia: the Resurrection, the Last Judgment, and the Restoration of All Things?</w:t>
      </w:r>
    </w:p>
    <w:p w14:paraId="33AAE5D2">
      <w:pPr>
        <w:pStyle w:val="9"/>
        <w:spacing w:before="53"/>
        <w:ind w:left="0"/>
        <w:jc w:val="left"/>
        <w:rPr>
          <w:rFonts w:hint="eastAsia"/>
          <w:b w:val="0"/>
          <w:bCs/>
          <w:sz w:val="33"/>
        </w:rPr>
      </w:pPr>
    </w:p>
    <w:p w14:paraId="3F8DE509">
      <w:pPr>
        <w:pStyle w:val="9"/>
        <w:spacing w:before="53"/>
        <w:ind w:left="0"/>
        <w:jc w:val="left"/>
        <w:rPr>
          <w:rFonts w:hint="eastAsia"/>
          <w:b w:val="0"/>
          <w:bCs/>
          <w:sz w:val="33"/>
        </w:rPr>
      </w:pPr>
      <w:r>
        <w:rPr>
          <w:rFonts w:hint="eastAsia"/>
          <w:b w:val="0"/>
          <w:bCs/>
          <w:sz w:val="33"/>
        </w:rPr>
        <w:t>如果在橄榄山讲论中，耶稣用奥秘的、象征性的语言来描述发生在公元70年的再来，谁能说祂和使徒们没有用同样的奥秘语言来描述圣经中与再来相关的其他事件：复活、最后的审判和万物的复兴呢？</w:t>
      </w:r>
    </w:p>
    <w:p w14:paraId="6781A902">
      <w:pPr>
        <w:pStyle w:val="9"/>
        <w:spacing w:before="53"/>
        <w:ind w:left="0"/>
        <w:jc w:val="left"/>
        <w:rPr>
          <w:rFonts w:hint="eastAsia"/>
          <w:b w:val="0"/>
          <w:bCs/>
          <w:sz w:val="33"/>
        </w:rPr>
      </w:pPr>
    </w:p>
    <w:p w14:paraId="539F54C7">
      <w:pPr>
        <w:pStyle w:val="9"/>
        <w:spacing w:before="53"/>
        <w:ind w:left="0"/>
        <w:jc w:val="left"/>
        <w:rPr>
          <w:rFonts w:hint="eastAsia"/>
          <w:b w:val="0"/>
          <w:bCs/>
          <w:sz w:val="33"/>
        </w:rPr>
      </w:pPr>
      <w:r>
        <w:rPr>
          <w:rFonts w:hint="eastAsia"/>
          <w:b w:val="0"/>
          <w:bCs/>
          <w:sz w:val="33"/>
        </w:rPr>
        <w:t>Who is to say that these too were not fulfilled in 70 AD?</w:t>
      </w:r>
    </w:p>
    <w:p w14:paraId="7E31127F">
      <w:pPr>
        <w:pStyle w:val="9"/>
        <w:spacing w:before="53"/>
        <w:ind w:left="0"/>
        <w:jc w:val="left"/>
        <w:rPr>
          <w:rFonts w:hint="eastAsia"/>
          <w:b w:val="0"/>
          <w:bCs/>
          <w:sz w:val="33"/>
        </w:rPr>
      </w:pPr>
    </w:p>
    <w:p w14:paraId="3DC44634">
      <w:pPr>
        <w:pStyle w:val="9"/>
        <w:spacing w:before="53"/>
        <w:ind w:left="0"/>
        <w:jc w:val="left"/>
        <w:rPr>
          <w:rFonts w:hint="eastAsia"/>
          <w:b w:val="0"/>
          <w:bCs/>
          <w:sz w:val="33"/>
        </w:rPr>
      </w:pPr>
      <w:r>
        <w:rPr>
          <w:rFonts w:hint="eastAsia"/>
          <w:b w:val="0"/>
          <w:bCs/>
          <w:sz w:val="33"/>
        </w:rPr>
        <w:t>谁能说这些事也没有在公元70年应验呢？</w:t>
      </w:r>
    </w:p>
    <w:p w14:paraId="7767DC76">
      <w:pPr>
        <w:pStyle w:val="9"/>
        <w:spacing w:before="53"/>
        <w:ind w:left="0"/>
        <w:jc w:val="left"/>
        <w:rPr>
          <w:rFonts w:hint="eastAsia"/>
          <w:b w:val="0"/>
          <w:bCs/>
          <w:sz w:val="33"/>
        </w:rPr>
      </w:pPr>
    </w:p>
    <w:p w14:paraId="769E7935">
      <w:pPr>
        <w:pStyle w:val="9"/>
        <w:spacing w:before="53"/>
        <w:ind w:left="0"/>
        <w:jc w:val="left"/>
        <w:rPr>
          <w:rFonts w:hint="eastAsia"/>
          <w:b w:val="0"/>
          <w:bCs/>
          <w:sz w:val="33"/>
        </w:rPr>
      </w:pPr>
      <w:r>
        <w:rPr>
          <w:rFonts w:hint="eastAsia"/>
          <w:b w:val="0"/>
          <w:bCs/>
          <w:sz w:val="33"/>
        </w:rPr>
        <w:t>This is the road that full preterists take.</w:t>
      </w:r>
    </w:p>
    <w:p w14:paraId="546ED5CF">
      <w:pPr>
        <w:pStyle w:val="9"/>
        <w:spacing w:before="53"/>
        <w:ind w:left="0"/>
        <w:jc w:val="left"/>
        <w:rPr>
          <w:rFonts w:hint="eastAsia"/>
          <w:b w:val="0"/>
          <w:bCs/>
          <w:sz w:val="33"/>
        </w:rPr>
      </w:pPr>
    </w:p>
    <w:p w14:paraId="05DCC438">
      <w:pPr>
        <w:pStyle w:val="9"/>
        <w:spacing w:before="53"/>
        <w:ind w:left="0"/>
        <w:jc w:val="left"/>
        <w:rPr>
          <w:rFonts w:hint="eastAsia"/>
          <w:b w:val="0"/>
          <w:bCs/>
          <w:sz w:val="33"/>
        </w:rPr>
      </w:pPr>
      <w:r>
        <w:rPr>
          <w:rFonts w:hint="eastAsia"/>
          <w:b w:val="0"/>
          <w:bCs/>
          <w:sz w:val="33"/>
        </w:rPr>
        <w:t>这就是完全过去派所走的路。</w:t>
      </w:r>
    </w:p>
    <w:p w14:paraId="0725CD70">
      <w:pPr>
        <w:pStyle w:val="9"/>
        <w:spacing w:before="53"/>
        <w:ind w:left="0"/>
        <w:jc w:val="left"/>
        <w:rPr>
          <w:rFonts w:hint="eastAsia"/>
          <w:b w:val="0"/>
          <w:bCs/>
          <w:sz w:val="33"/>
        </w:rPr>
      </w:pPr>
    </w:p>
    <w:p w14:paraId="745CF3F4">
      <w:pPr>
        <w:pStyle w:val="9"/>
        <w:spacing w:before="53"/>
        <w:ind w:left="0"/>
        <w:jc w:val="left"/>
        <w:rPr>
          <w:rFonts w:hint="eastAsia"/>
          <w:b w:val="0"/>
          <w:bCs/>
          <w:sz w:val="33"/>
        </w:rPr>
      </w:pPr>
      <w:r>
        <w:rPr>
          <w:rFonts w:hint="eastAsia"/>
          <w:b w:val="0"/>
          <w:bCs/>
          <w:sz w:val="33"/>
        </w:rPr>
        <w:t>Embracing a strictly preterist interpretation of the Olivet Discourse, they argue that here—and in all the rest of the NT, including the Revelation—Christ is speaking mystically of spiritual events that occurred in 70 AD.</w:t>
      </w:r>
    </w:p>
    <w:p w14:paraId="3AD3248A">
      <w:pPr>
        <w:pStyle w:val="9"/>
        <w:spacing w:before="53"/>
        <w:ind w:left="0"/>
        <w:jc w:val="left"/>
        <w:rPr>
          <w:rFonts w:hint="eastAsia"/>
          <w:b w:val="0"/>
          <w:bCs/>
          <w:sz w:val="33"/>
        </w:rPr>
      </w:pPr>
    </w:p>
    <w:p w14:paraId="7E90D876">
      <w:pPr>
        <w:pStyle w:val="9"/>
        <w:spacing w:before="53"/>
        <w:ind w:left="0"/>
        <w:jc w:val="left"/>
        <w:rPr>
          <w:rFonts w:hint="eastAsia"/>
          <w:b w:val="0"/>
          <w:bCs/>
          <w:sz w:val="33"/>
        </w:rPr>
      </w:pPr>
      <w:r>
        <w:rPr>
          <w:rFonts w:hint="eastAsia"/>
          <w:b w:val="0"/>
          <w:bCs/>
          <w:sz w:val="33"/>
        </w:rPr>
        <w:t>他们采纳对橄榄山讲论的严格过去派解释，论证说，在这里——以及在所有新约的其余部分，包括启示录——基督都在奥秘地谈论发生在公元70年的属灵事件。</w:t>
      </w:r>
    </w:p>
    <w:p w14:paraId="513E2092">
      <w:pPr>
        <w:pStyle w:val="9"/>
        <w:spacing w:before="53"/>
        <w:ind w:left="0"/>
        <w:jc w:val="left"/>
        <w:rPr>
          <w:rFonts w:hint="eastAsia"/>
          <w:b w:val="0"/>
          <w:bCs/>
          <w:sz w:val="33"/>
        </w:rPr>
      </w:pPr>
    </w:p>
    <w:p w14:paraId="65BF2A6B">
      <w:pPr>
        <w:pStyle w:val="9"/>
        <w:spacing w:before="53"/>
        <w:ind w:left="0"/>
        <w:jc w:val="left"/>
        <w:rPr>
          <w:rFonts w:hint="eastAsia"/>
          <w:b w:val="0"/>
          <w:bCs/>
          <w:sz w:val="33"/>
        </w:rPr>
      </w:pPr>
      <w:r>
        <w:rPr>
          <w:rFonts w:hint="eastAsia"/>
          <w:b w:val="0"/>
          <w:bCs/>
          <w:sz w:val="33"/>
        </w:rPr>
        <w:t>Thus, in 70 AD he came again to his people, spiritually rather than physically; he raised the dead, spiritually rather than physically; he judged the world, spiritually rather than physically; for the righteous, he created new heavens and a new earth, spiritually rather than physically; for the wicked he created the Lake of Fire, spiritually rather than physically.</w:t>
      </w:r>
    </w:p>
    <w:p w14:paraId="394F1AEA">
      <w:pPr>
        <w:pStyle w:val="9"/>
        <w:spacing w:before="53"/>
        <w:ind w:left="0"/>
        <w:jc w:val="left"/>
        <w:rPr>
          <w:rFonts w:hint="eastAsia"/>
          <w:b w:val="0"/>
          <w:bCs/>
          <w:sz w:val="33"/>
        </w:rPr>
      </w:pPr>
    </w:p>
    <w:p w14:paraId="3AFB1494">
      <w:pPr>
        <w:pStyle w:val="9"/>
        <w:spacing w:before="53"/>
        <w:ind w:left="0"/>
        <w:jc w:val="left"/>
        <w:rPr>
          <w:rFonts w:hint="eastAsia"/>
          <w:b w:val="0"/>
          <w:bCs/>
          <w:sz w:val="33"/>
        </w:rPr>
      </w:pPr>
      <w:r>
        <w:rPr>
          <w:rFonts w:hint="eastAsia"/>
          <w:b w:val="0"/>
          <w:bCs/>
          <w:sz w:val="33"/>
        </w:rPr>
        <w:t>因此，在公元70年，祂再次来到祂的子民中间，是属灵的而非肉身的；祂叫死人复活，是属灵的而非肉身的；祂审判世界，是属灵的而非肉身的；为义人，祂创造了新天新地，是属灵的而非肉身的；为恶人，祂创造了火湖，是属灵的而非肉身的。</w:t>
      </w:r>
    </w:p>
    <w:p w14:paraId="107086A1">
      <w:pPr>
        <w:pStyle w:val="9"/>
        <w:spacing w:before="53"/>
        <w:ind w:left="0"/>
        <w:jc w:val="left"/>
        <w:rPr>
          <w:rFonts w:hint="eastAsia"/>
          <w:b w:val="0"/>
          <w:bCs/>
          <w:sz w:val="33"/>
        </w:rPr>
      </w:pPr>
    </w:p>
    <w:p w14:paraId="06A7197A">
      <w:pPr>
        <w:pStyle w:val="9"/>
        <w:spacing w:before="53"/>
        <w:ind w:left="0"/>
        <w:jc w:val="left"/>
        <w:rPr>
          <w:rFonts w:hint="eastAsia"/>
          <w:b w:val="0"/>
          <w:bCs/>
          <w:sz w:val="33"/>
        </w:rPr>
      </w:pPr>
      <w:r>
        <w:rPr>
          <w:rFonts w:hint="eastAsia"/>
          <w:b w:val="0"/>
          <w:bCs/>
          <w:sz w:val="33"/>
        </w:rPr>
        <w:t>You may ask, “What, then, will become of the physical remains of all human beings; and what will become of the sin- cursed physical world that we now inhabit?”</w:t>
      </w:r>
    </w:p>
    <w:p w14:paraId="67D58B46">
      <w:pPr>
        <w:pStyle w:val="9"/>
        <w:spacing w:before="53"/>
        <w:ind w:left="0"/>
        <w:jc w:val="left"/>
        <w:rPr>
          <w:rFonts w:hint="eastAsia"/>
          <w:b w:val="0"/>
          <w:bCs/>
          <w:sz w:val="33"/>
        </w:rPr>
      </w:pPr>
    </w:p>
    <w:p w14:paraId="0FE26E1A">
      <w:pPr>
        <w:pStyle w:val="9"/>
        <w:spacing w:before="53"/>
        <w:ind w:left="0"/>
        <w:jc w:val="left"/>
        <w:rPr>
          <w:rFonts w:hint="eastAsia"/>
          <w:b w:val="0"/>
          <w:bCs/>
          <w:sz w:val="33"/>
        </w:rPr>
      </w:pPr>
      <w:r>
        <w:rPr>
          <w:rFonts w:hint="eastAsia"/>
          <w:b w:val="0"/>
          <w:bCs/>
          <w:sz w:val="33"/>
        </w:rPr>
        <w:t>你可能会问：“那么，全人类的肉身遗骸将会如何？我们现在所居住的、被罪咒诅的物质世界又将如何？”</w:t>
      </w:r>
    </w:p>
    <w:p w14:paraId="719DD041">
      <w:pPr>
        <w:pStyle w:val="9"/>
        <w:spacing w:before="53"/>
        <w:ind w:left="0"/>
        <w:jc w:val="left"/>
        <w:rPr>
          <w:rFonts w:hint="eastAsia"/>
          <w:b w:val="0"/>
          <w:bCs/>
          <w:sz w:val="33"/>
        </w:rPr>
      </w:pPr>
    </w:p>
    <w:p w14:paraId="0DBD2034">
      <w:pPr>
        <w:pStyle w:val="9"/>
        <w:spacing w:before="53"/>
        <w:ind w:left="0"/>
        <w:jc w:val="left"/>
        <w:rPr>
          <w:rFonts w:hint="eastAsia"/>
          <w:b w:val="0"/>
          <w:bCs/>
          <w:sz w:val="33"/>
        </w:rPr>
      </w:pPr>
      <w:r>
        <w:rPr>
          <w:rFonts w:hint="eastAsia"/>
          <w:b w:val="0"/>
          <w:bCs/>
          <w:sz w:val="33"/>
        </w:rPr>
        <w:t>No full preterist seems to know.</w:t>
      </w:r>
    </w:p>
    <w:p w14:paraId="667B0354">
      <w:pPr>
        <w:pStyle w:val="9"/>
        <w:spacing w:before="53"/>
        <w:ind w:left="0"/>
        <w:jc w:val="left"/>
        <w:rPr>
          <w:rFonts w:hint="eastAsia"/>
          <w:b w:val="0"/>
          <w:bCs/>
          <w:sz w:val="33"/>
        </w:rPr>
      </w:pPr>
    </w:p>
    <w:p w14:paraId="6EE203A6">
      <w:pPr>
        <w:pStyle w:val="9"/>
        <w:spacing w:before="53"/>
        <w:ind w:left="0"/>
        <w:jc w:val="left"/>
        <w:rPr>
          <w:rFonts w:hint="eastAsia"/>
          <w:b w:val="0"/>
          <w:bCs/>
          <w:sz w:val="33"/>
        </w:rPr>
      </w:pPr>
      <w:r>
        <w:rPr>
          <w:rFonts w:hint="eastAsia"/>
          <w:b w:val="0"/>
          <w:bCs/>
          <w:sz w:val="33"/>
        </w:rPr>
        <w:t>似乎没有一个完全过去派知道。</w:t>
      </w:r>
    </w:p>
    <w:p w14:paraId="37C7B5FE">
      <w:pPr>
        <w:pStyle w:val="9"/>
        <w:spacing w:before="53"/>
        <w:ind w:left="0"/>
        <w:jc w:val="left"/>
        <w:rPr>
          <w:rFonts w:hint="eastAsia"/>
          <w:b w:val="0"/>
          <w:bCs/>
          <w:sz w:val="33"/>
        </w:rPr>
      </w:pPr>
    </w:p>
    <w:p w14:paraId="30458A5E">
      <w:pPr>
        <w:pStyle w:val="9"/>
        <w:spacing w:before="53"/>
        <w:ind w:left="0"/>
        <w:jc w:val="left"/>
        <w:rPr>
          <w:rFonts w:hint="eastAsia"/>
          <w:b w:val="0"/>
          <w:bCs/>
          <w:sz w:val="33"/>
        </w:rPr>
      </w:pPr>
      <w:r>
        <w:rPr>
          <w:rFonts w:hint="eastAsia"/>
          <w:b w:val="0"/>
          <w:bCs/>
          <w:sz w:val="33"/>
        </w:rPr>
        <w:t>Needless to say, this eschatology is a dramatic break with historic Christian orthodoxy—a break that men like John Bray, (the late) David Chilton, Max and Tim King, John Noe, Don Preston, and Edward Stevens have openly made.</w:t>
      </w:r>
    </w:p>
    <w:p w14:paraId="0B9E8BD7">
      <w:pPr>
        <w:pStyle w:val="9"/>
        <w:spacing w:before="53"/>
        <w:ind w:left="0"/>
        <w:jc w:val="left"/>
        <w:rPr>
          <w:rFonts w:hint="eastAsia"/>
          <w:b w:val="0"/>
          <w:bCs/>
          <w:sz w:val="33"/>
        </w:rPr>
      </w:pPr>
    </w:p>
    <w:p w14:paraId="0C5B8C7A">
      <w:pPr>
        <w:pStyle w:val="9"/>
        <w:spacing w:before="53"/>
        <w:ind w:left="0"/>
        <w:jc w:val="left"/>
        <w:rPr>
          <w:rFonts w:hint="eastAsia"/>
          <w:b w:val="0"/>
          <w:bCs/>
          <w:sz w:val="33"/>
        </w:rPr>
      </w:pPr>
      <w:r>
        <w:rPr>
          <w:rFonts w:hint="eastAsia"/>
          <w:b w:val="0"/>
          <w:bCs/>
          <w:sz w:val="33"/>
        </w:rPr>
        <w:t>不言而喻，这种末世论是对历史性基督教正统的巨大突破——约翰·布雷、（已故的）大卫·奇尔顿、马克斯和蒂姆·金、约翰·诺、唐·普雷斯顿和爱德华·史蒂文斯等人已公开作出了这种突破。</w:t>
      </w:r>
    </w:p>
    <w:p w14:paraId="655D9BA9">
      <w:pPr>
        <w:pStyle w:val="9"/>
        <w:spacing w:before="53"/>
        <w:ind w:left="0"/>
        <w:jc w:val="left"/>
        <w:rPr>
          <w:rFonts w:hint="eastAsia"/>
          <w:b w:val="0"/>
          <w:bCs/>
          <w:sz w:val="33"/>
        </w:rPr>
      </w:pPr>
    </w:p>
    <w:p w14:paraId="774B54DC">
      <w:pPr>
        <w:pStyle w:val="9"/>
        <w:spacing w:before="53"/>
        <w:ind w:left="0"/>
        <w:jc w:val="left"/>
        <w:rPr>
          <w:rFonts w:hint="eastAsia"/>
          <w:b w:val="0"/>
          <w:bCs/>
          <w:sz w:val="33"/>
        </w:rPr>
      </w:pPr>
      <w:r>
        <w:rPr>
          <w:rFonts w:hint="eastAsia"/>
          <w:b w:val="0"/>
          <w:bCs/>
          <w:sz w:val="33"/>
        </w:rPr>
        <w:t>Accordingly, these writers do not hesitate to remind us that the historic creeds of the Church are not infallible; and that the vast majority of past and present theologians can be, have been, and now are, simply wrong.</w:t>
      </w:r>
    </w:p>
    <w:p w14:paraId="791C3099">
      <w:pPr>
        <w:pStyle w:val="9"/>
        <w:spacing w:before="53"/>
        <w:ind w:left="0"/>
        <w:jc w:val="left"/>
        <w:rPr>
          <w:rFonts w:hint="eastAsia"/>
          <w:b w:val="0"/>
          <w:bCs/>
          <w:sz w:val="33"/>
        </w:rPr>
      </w:pPr>
    </w:p>
    <w:p w14:paraId="0DC79535">
      <w:pPr>
        <w:pStyle w:val="9"/>
        <w:spacing w:before="53"/>
        <w:ind w:left="0"/>
        <w:jc w:val="left"/>
        <w:rPr>
          <w:rFonts w:hint="eastAsia"/>
          <w:b w:val="0"/>
          <w:bCs/>
          <w:sz w:val="33"/>
        </w:rPr>
      </w:pPr>
      <w:r>
        <w:rPr>
          <w:rFonts w:hint="eastAsia"/>
          <w:b w:val="0"/>
          <w:bCs/>
          <w:sz w:val="33"/>
        </w:rPr>
        <w:t>因此，这些作者毫不犹豫地提醒我们，教会的历史信经并非绝无谬误；并且过去和现在绝大多数的神学家可能、已经、并且现在就是错误的。</w:t>
      </w:r>
    </w:p>
    <w:p w14:paraId="361680B9">
      <w:pPr>
        <w:pStyle w:val="9"/>
        <w:spacing w:before="53"/>
        <w:ind w:left="0"/>
        <w:jc w:val="left"/>
        <w:rPr>
          <w:rFonts w:hint="eastAsia"/>
          <w:b w:val="0"/>
          <w:bCs/>
          <w:sz w:val="33"/>
        </w:rPr>
      </w:pPr>
    </w:p>
    <w:p w14:paraId="3CA5915C">
      <w:pPr>
        <w:pStyle w:val="9"/>
        <w:spacing w:before="53"/>
        <w:ind w:left="0"/>
        <w:jc w:val="left"/>
        <w:rPr>
          <w:rFonts w:hint="eastAsia"/>
          <w:b w:val="0"/>
          <w:bCs/>
          <w:sz w:val="33"/>
        </w:rPr>
      </w:pPr>
      <w:r>
        <w:rPr>
          <w:rFonts w:hint="eastAsia"/>
          <w:b w:val="0"/>
          <w:bCs/>
          <w:sz w:val="33"/>
        </w:rPr>
        <w:t>Will preterist eschatology enjoy a significant following in the modern Church?</w:t>
      </w:r>
    </w:p>
    <w:p w14:paraId="193E462F">
      <w:pPr>
        <w:pStyle w:val="9"/>
        <w:spacing w:before="53"/>
        <w:ind w:left="0"/>
        <w:jc w:val="left"/>
        <w:rPr>
          <w:rFonts w:hint="eastAsia"/>
          <w:b w:val="0"/>
          <w:bCs/>
          <w:sz w:val="33"/>
        </w:rPr>
      </w:pPr>
    </w:p>
    <w:p w14:paraId="5131D341">
      <w:pPr>
        <w:pStyle w:val="9"/>
        <w:spacing w:before="53"/>
        <w:ind w:left="0"/>
        <w:jc w:val="left"/>
        <w:rPr>
          <w:rFonts w:hint="eastAsia"/>
          <w:b w:val="0"/>
          <w:bCs/>
          <w:sz w:val="33"/>
        </w:rPr>
      </w:pPr>
      <w:r>
        <w:rPr>
          <w:rFonts w:hint="eastAsia"/>
          <w:b w:val="0"/>
          <w:bCs/>
          <w:sz w:val="33"/>
        </w:rPr>
        <w:t>过去派末世论会在现代教会中拥有重要的追随者吗？</w:t>
      </w:r>
    </w:p>
    <w:p w14:paraId="5CBD8AC9">
      <w:pPr>
        <w:pStyle w:val="9"/>
        <w:spacing w:before="53"/>
        <w:ind w:left="0"/>
        <w:jc w:val="left"/>
        <w:rPr>
          <w:rFonts w:hint="eastAsia"/>
          <w:b w:val="0"/>
          <w:bCs/>
          <w:sz w:val="33"/>
        </w:rPr>
      </w:pPr>
    </w:p>
    <w:p w14:paraId="60801DCC">
      <w:pPr>
        <w:pStyle w:val="9"/>
        <w:spacing w:before="53"/>
        <w:ind w:left="0"/>
        <w:jc w:val="left"/>
        <w:rPr>
          <w:rFonts w:hint="eastAsia"/>
          <w:b w:val="0"/>
          <w:bCs/>
          <w:sz w:val="33"/>
        </w:rPr>
      </w:pPr>
      <w:r>
        <w:rPr>
          <w:rFonts w:hint="eastAsia"/>
          <w:b w:val="0"/>
          <w:bCs/>
          <w:sz w:val="33"/>
        </w:rPr>
        <w:t>As for full preterism, I very much doubt it, seeing that it departs so radically from historic orthodoxy and the plain sense of Scripture.</w:t>
      </w:r>
    </w:p>
    <w:p w14:paraId="44161CF2">
      <w:pPr>
        <w:pStyle w:val="9"/>
        <w:spacing w:before="53"/>
        <w:ind w:left="0"/>
        <w:jc w:val="left"/>
        <w:rPr>
          <w:rFonts w:hint="eastAsia"/>
          <w:b w:val="0"/>
          <w:bCs/>
          <w:sz w:val="33"/>
        </w:rPr>
      </w:pPr>
    </w:p>
    <w:p w14:paraId="567667DF">
      <w:pPr>
        <w:pStyle w:val="9"/>
        <w:spacing w:before="53"/>
        <w:ind w:left="0"/>
        <w:jc w:val="left"/>
        <w:rPr>
          <w:rFonts w:hint="eastAsia"/>
          <w:b w:val="0"/>
          <w:bCs/>
          <w:sz w:val="33"/>
        </w:rPr>
      </w:pPr>
      <w:r>
        <w:rPr>
          <w:rFonts w:hint="eastAsia"/>
          <w:b w:val="0"/>
          <w:bCs/>
          <w:sz w:val="33"/>
        </w:rPr>
        <w:t>至于完全过去派，我非常怀疑，因为它与历史正统和圣经的字面意义相去甚远。</w:t>
      </w:r>
    </w:p>
    <w:p w14:paraId="036AFB53">
      <w:pPr>
        <w:pStyle w:val="9"/>
        <w:spacing w:before="53"/>
        <w:ind w:left="0"/>
        <w:jc w:val="left"/>
        <w:rPr>
          <w:rFonts w:hint="eastAsia"/>
          <w:b w:val="0"/>
          <w:bCs/>
          <w:sz w:val="33"/>
        </w:rPr>
      </w:pPr>
    </w:p>
    <w:p w14:paraId="5BC4E8F9">
      <w:pPr>
        <w:pStyle w:val="9"/>
        <w:spacing w:before="53"/>
        <w:ind w:left="0"/>
        <w:jc w:val="left"/>
        <w:rPr>
          <w:rFonts w:hint="eastAsia"/>
          <w:b w:val="0"/>
          <w:bCs/>
          <w:sz w:val="33"/>
        </w:rPr>
      </w:pPr>
      <w:r>
        <w:rPr>
          <w:rFonts w:hint="eastAsia"/>
          <w:b w:val="0"/>
          <w:bCs/>
          <w:sz w:val="33"/>
        </w:rPr>
        <w:t>However, it is possible that for a season partial preterism will cast its spell over a portion of the evangelical community.</w:t>
      </w:r>
    </w:p>
    <w:p w14:paraId="79F8B1FA">
      <w:pPr>
        <w:pStyle w:val="9"/>
        <w:spacing w:before="53"/>
        <w:ind w:left="0"/>
        <w:jc w:val="left"/>
        <w:rPr>
          <w:rFonts w:hint="eastAsia"/>
          <w:b w:val="0"/>
          <w:bCs/>
          <w:sz w:val="33"/>
        </w:rPr>
      </w:pPr>
    </w:p>
    <w:p w14:paraId="0EC8ADA1">
      <w:pPr>
        <w:pStyle w:val="9"/>
        <w:spacing w:before="53"/>
        <w:ind w:left="0"/>
        <w:jc w:val="left"/>
        <w:rPr>
          <w:rFonts w:hint="eastAsia"/>
          <w:b w:val="0"/>
          <w:bCs/>
          <w:sz w:val="33"/>
        </w:rPr>
      </w:pPr>
      <w:r>
        <w:rPr>
          <w:rFonts w:hint="eastAsia"/>
          <w:b w:val="0"/>
          <w:bCs/>
          <w:sz w:val="33"/>
        </w:rPr>
        <w:t>然而，部分过去派可能会在一段时间内对福音派社区的一部分产生迷惑。</w:t>
      </w:r>
    </w:p>
    <w:p w14:paraId="4E62E61C">
      <w:pPr>
        <w:pStyle w:val="9"/>
        <w:spacing w:before="53"/>
        <w:ind w:left="0"/>
        <w:jc w:val="left"/>
        <w:rPr>
          <w:rFonts w:hint="eastAsia"/>
          <w:b w:val="0"/>
          <w:bCs/>
          <w:sz w:val="33"/>
        </w:rPr>
      </w:pPr>
    </w:p>
    <w:p w14:paraId="0D73D331">
      <w:pPr>
        <w:pStyle w:val="9"/>
        <w:spacing w:before="53"/>
        <w:ind w:left="0"/>
        <w:jc w:val="left"/>
        <w:rPr>
          <w:rFonts w:hint="eastAsia"/>
          <w:b w:val="0"/>
          <w:bCs/>
          <w:sz w:val="33"/>
        </w:rPr>
      </w:pPr>
      <w:r>
        <w:rPr>
          <w:rFonts w:hint="eastAsia"/>
          <w:b w:val="0"/>
          <w:bCs/>
          <w:sz w:val="33"/>
        </w:rPr>
        <w:t>For this reason, we shall examine it carefully in the pages ahead.</w:t>
      </w:r>
    </w:p>
    <w:p w14:paraId="596CEE80">
      <w:pPr>
        <w:pStyle w:val="9"/>
        <w:spacing w:before="53"/>
        <w:ind w:left="0"/>
        <w:jc w:val="left"/>
        <w:rPr>
          <w:rFonts w:hint="eastAsia"/>
          <w:b w:val="0"/>
          <w:bCs/>
          <w:sz w:val="33"/>
        </w:rPr>
      </w:pPr>
    </w:p>
    <w:p w14:paraId="2BBE07DE">
      <w:pPr>
        <w:pStyle w:val="9"/>
        <w:spacing w:before="53"/>
        <w:ind w:left="0"/>
        <w:jc w:val="left"/>
        <w:rPr>
          <w:rFonts w:hint="eastAsia"/>
          <w:b w:val="0"/>
          <w:bCs/>
          <w:sz w:val="33"/>
        </w:rPr>
      </w:pPr>
      <w:r>
        <w:rPr>
          <w:rFonts w:hint="eastAsia"/>
          <w:b w:val="0"/>
          <w:bCs/>
          <w:sz w:val="33"/>
        </w:rPr>
        <w:t>因此，我们将在接下来的篇幅中仔细地查考它。</w:t>
      </w:r>
    </w:p>
    <w:p w14:paraId="2371AA9B">
      <w:pPr>
        <w:pStyle w:val="9"/>
        <w:spacing w:before="53"/>
        <w:ind w:left="0"/>
        <w:jc w:val="left"/>
        <w:rPr>
          <w:rFonts w:hint="eastAsia"/>
          <w:b w:val="0"/>
          <w:bCs/>
          <w:sz w:val="33"/>
        </w:rPr>
      </w:pPr>
    </w:p>
    <w:p w14:paraId="31D7C52F">
      <w:pPr>
        <w:pStyle w:val="9"/>
        <w:spacing w:before="53"/>
        <w:ind w:left="0"/>
        <w:jc w:val="left"/>
        <w:rPr>
          <w:rFonts w:hint="eastAsia"/>
          <w:b w:val="0"/>
          <w:bCs/>
          <w:sz w:val="33"/>
        </w:rPr>
      </w:pPr>
      <w:r>
        <w:rPr>
          <w:rFonts w:hint="eastAsia"/>
          <w:b w:val="0"/>
          <w:bCs/>
          <w:sz w:val="33"/>
        </w:rPr>
        <w:t>Future-millennial vs. Present-millennial</w:t>
      </w:r>
    </w:p>
    <w:p w14:paraId="5F8A14C0">
      <w:pPr>
        <w:pStyle w:val="9"/>
        <w:spacing w:before="53"/>
        <w:ind w:left="0"/>
        <w:jc w:val="left"/>
        <w:rPr>
          <w:rFonts w:hint="eastAsia"/>
          <w:b w:val="0"/>
          <w:bCs/>
          <w:sz w:val="33"/>
        </w:rPr>
      </w:pPr>
    </w:p>
    <w:p w14:paraId="0E3FC8B2">
      <w:pPr>
        <w:pStyle w:val="9"/>
        <w:spacing w:before="53"/>
        <w:ind w:left="0"/>
        <w:jc w:val="left"/>
        <w:rPr>
          <w:rFonts w:hint="eastAsia"/>
          <w:b w:val="0"/>
          <w:bCs/>
          <w:sz w:val="33"/>
        </w:rPr>
      </w:pPr>
      <w:r>
        <w:rPr>
          <w:rFonts w:hint="eastAsia"/>
          <w:b w:val="0"/>
          <w:bCs/>
          <w:sz w:val="33"/>
        </w:rPr>
        <w:t>未来千禧年论 vs. 现今千禧年论</w:t>
      </w:r>
    </w:p>
    <w:p w14:paraId="1FFB4D33">
      <w:pPr>
        <w:pStyle w:val="9"/>
        <w:spacing w:before="53"/>
        <w:ind w:left="0"/>
        <w:jc w:val="left"/>
        <w:rPr>
          <w:rFonts w:hint="eastAsia"/>
          <w:b w:val="0"/>
          <w:bCs/>
          <w:sz w:val="33"/>
        </w:rPr>
      </w:pPr>
    </w:p>
    <w:p w14:paraId="2DED9E2E">
      <w:pPr>
        <w:pStyle w:val="9"/>
        <w:spacing w:before="53"/>
        <w:ind w:left="0"/>
        <w:jc w:val="left"/>
        <w:rPr>
          <w:rFonts w:hint="eastAsia"/>
          <w:b w:val="0"/>
          <w:bCs/>
          <w:sz w:val="33"/>
        </w:rPr>
      </w:pPr>
      <w:r>
        <w:rPr>
          <w:rFonts w:hint="eastAsia"/>
          <w:b w:val="0"/>
          <w:bCs/>
          <w:sz w:val="33"/>
        </w:rPr>
        <w:t>Our survey of contemporary options in eschatology has disclosed two interesting and encouraging facts.</w:t>
      </w:r>
    </w:p>
    <w:p w14:paraId="46C603FC">
      <w:pPr>
        <w:pStyle w:val="9"/>
        <w:spacing w:before="53"/>
        <w:ind w:left="0"/>
        <w:jc w:val="left"/>
        <w:rPr>
          <w:rFonts w:hint="eastAsia"/>
          <w:b w:val="0"/>
          <w:bCs/>
          <w:sz w:val="33"/>
        </w:rPr>
      </w:pPr>
    </w:p>
    <w:p w14:paraId="63359B0D">
      <w:pPr>
        <w:pStyle w:val="9"/>
        <w:spacing w:before="53"/>
        <w:ind w:left="0"/>
        <w:jc w:val="left"/>
        <w:rPr>
          <w:rFonts w:hint="eastAsia"/>
          <w:b w:val="0"/>
          <w:bCs/>
          <w:sz w:val="33"/>
        </w:rPr>
      </w:pPr>
      <w:r>
        <w:rPr>
          <w:rFonts w:hint="eastAsia"/>
          <w:b w:val="0"/>
          <w:bCs/>
          <w:sz w:val="33"/>
        </w:rPr>
        <w:t>我们对当代末世论选项的考察揭示了两个有趣且鼓舞人心的事实。</w:t>
      </w:r>
    </w:p>
    <w:p w14:paraId="337CBF69">
      <w:pPr>
        <w:pStyle w:val="9"/>
        <w:spacing w:before="53"/>
        <w:ind w:left="0"/>
        <w:jc w:val="left"/>
        <w:rPr>
          <w:rFonts w:hint="eastAsia"/>
          <w:b w:val="0"/>
          <w:bCs/>
          <w:sz w:val="33"/>
        </w:rPr>
      </w:pPr>
    </w:p>
    <w:p w14:paraId="2FA14B19">
      <w:pPr>
        <w:pStyle w:val="9"/>
        <w:spacing w:before="53"/>
        <w:ind w:left="0"/>
        <w:jc w:val="left"/>
        <w:rPr>
          <w:rFonts w:hint="eastAsia"/>
          <w:b w:val="0"/>
          <w:bCs/>
          <w:sz w:val="33"/>
        </w:rPr>
      </w:pPr>
      <w:r>
        <w:rPr>
          <w:rFonts w:hint="eastAsia"/>
          <w:b w:val="0"/>
          <w:bCs/>
          <w:sz w:val="33"/>
        </w:rPr>
        <w:t>I want to conclude by highlighting them once again.</w:t>
      </w:r>
    </w:p>
    <w:p w14:paraId="27089E6C">
      <w:pPr>
        <w:pStyle w:val="9"/>
        <w:spacing w:before="53"/>
        <w:ind w:left="0"/>
        <w:jc w:val="left"/>
        <w:rPr>
          <w:rFonts w:hint="eastAsia"/>
          <w:b w:val="0"/>
          <w:bCs/>
          <w:sz w:val="33"/>
        </w:rPr>
      </w:pPr>
    </w:p>
    <w:p w14:paraId="7B6DAB45">
      <w:pPr>
        <w:pStyle w:val="9"/>
        <w:spacing w:before="53"/>
        <w:ind w:left="0"/>
        <w:jc w:val="left"/>
        <w:rPr>
          <w:rFonts w:hint="eastAsia"/>
          <w:b w:val="0"/>
          <w:bCs/>
          <w:sz w:val="33"/>
        </w:rPr>
      </w:pPr>
      <w:r>
        <w:rPr>
          <w:rFonts w:hint="eastAsia"/>
          <w:b w:val="0"/>
          <w:bCs/>
          <w:sz w:val="33"/>
        </w:rPr>
        <w:t>我想在结束时再次强调它们。</w:t>
      </w:r>
    </w:p>
    <w:p w14:paraId="1B1AF5DA">
      <w:pPr>
        <w:pStyle w:val="9"/>
        <w:spacing w:before="53"/>
        <w:ind w:left="0"/>
        <w:jc w:val="left"/>
        <w:rPr>
          <w:rFonts w:hint="eastAsia"/>
          <w:b w:val="0"/>
          <w:bCs/>
          <w:sz w:val="33"/>
        </w:rPr>
      </w:pPr>
    </w:p>
    <w:p w14:paraId="393E8EE9">
      <w:pPr>
        <w:pStyle w:val="9"/>
        <w:spacing w:before="53"/>
        <w:ind w:left="0"/>
        <w:jc w:val="left"/>
        <w:rPr>
          <w:rFonts w:hint="eastAsia"/>
          <w:b w:val="0"/>
          <w:bCs/>
          <w:sz w:val="33"/>
        </w:rPr>
      </w:pPr>
      <w:r>
        <w:rPr>
          <w:rFonts w:hint="eastAsia"/>
          <w:b w:val="0"/>
          <w:bCs/>
          <w:sz w:val="33"/>
        </w:rPr>
        <w:t>First, despite the seeming complexity of the Great End Time Debate, it turns out that the underlying issues are relatively few.</w:t>
      </w:r>
    </w:p>
    <w:p w14:paraId="4976D93F">
      <w:pPr>
        <w:pStyle w:val="9"/>
        <w:spacing w:before="53"/>
        <w:ind w:left="0"/>
        <w:jc w:val="left"/>
        <w:rPr>
          <w:rFonts w:hint="eastAsia"/>
          <w:b w:val="0"/>
          <w:bCs/>
          <w:sz w:val="33"/>
        </w:rPr>
      </w:pPr>
    </w:p>
    <w:p w14:paraId="42C604BA">
      <w:pPr>
        <w:pStyle w:val="9"/>
        <w:spacing w:before="53"/>
        <w:ind w:left="0"/>
        <w:jc w:val="left"/>
        <w:rPr>
          <w:rFonts w:hint="eastAsia"/>
          <w:b w:val="0"/>
          <w:bCs/>
          <w:sz w:val="33"/>
        </w:rPr>
      </w:pPr>
      <w:r>
        <w:rPr>
          <w:rFonts w:hint="eastAsia"/>
          <w:b w:val="0"/>
          <w:bCs/>
          <w:sz w:val="33"/>
        </w:rPr>
        <w:t>首先，尽管末世大辩论看似复杂，但事实证明，其根本性议题相对较少。</w:t>
      </w:r>
    </w:p>
    <w:p w14:paraId="4F4CC98D">
      <w:pPr>
        <w:pStyle w:val="9"/>
        <w:spacing w:before="53"/>
        <w:ind w:left="0"/>
        <w:jc w:val="left"/>
        <w:rPr>
          <w:rFonts w:hint="eastAsia"/>
          <w:b w:val="0"/>
          <w:bCs/>
          <w:sz w:val="33"/>
        </w:rPr>
      </w:pPr>
    </w:p>
    <w:p w14:paraId="5C74D4BF">
      <w:pPr>
        <w:pStyle w:val="9"/>
        <w:spacing w:before="53"/>
        <w:ind w:left="0"/>
        <w:jc w:val="left"/>
        <w:rPr>
          <w:rFonts w:hint="eastAsia"/>
          <w:b w:val="0"/>
          <w:bCs/>
          <w:sz w:val="33"/>
        </w:rPr>
      </w:pPr>
      <w:r>
        <w:rPr>
          <w:rFonts w:hint="eastAsia"/>
          <w:b w:val="0"/>
          <w:bCs/>
          <w:sz w:val="33"/>
        </w:rPr>
        <w:t>Again, they are: (1) The nature and structure of the Kingdom, (2) the proper interpretation of OTKP, (3) the meaning of the Millennium, and (4) the structure of the Consummation.</w:t>
      </w:r>
    </w:p>
    <w:p w14:paraId="5C7A2C0F">
      <w:pPr>
        <w:pStyle w:val="9"/>
        <w:spacing w:before="53"/>
        <w:ind w:left="0"/>
        <w:jc w:val="left"/>
        <w:rPr>
          <w:rFonts w:hint="eastAsia"/>
          <w:b w:val="0"/>
          <w:bCs/>
          <w:sz w:val="33"/>
        </w:rPr>
      </w:pPr>
    </w:p>
    <w:p w14:paraId="1B9B8D10">
      <w:pPr>
        <w:pStyle w:val="9"/>
        <w:spacing w:before="53"/>
        <w:ind w:left="0"/>
        <w:jc w:val="left"/>
        <w:rPr>
          <w:rFonts w:hint="eastAsia"/>
          <w:b w:val="0"/>
          <w:bCs/>
          <w:sz w:val="33"/>
        </w:rPr>
      </w:pPr>
      <w:r>
        <w:rPr>
          <w:rFonts w:hint="eastAsia"/>
          <w:b w:val="0"/>
          <w:bCs/>
          <w:sz w:val="33"/>
        </w:rPr>
        <w:t>再次强调，它们是：（1）国度的性质与结构，（2）对旧约国度预言的正确解释，（3）千禧年的意义，以及（4）最终成全的结构。</w:t>
      </w:r>
    </w:p>
    <w:p w14:paraId="0D3372EA">
      <w:pPr>
        <w:pStyle w:val="9"/>
        <w:spacing w:before="53"/>
        <w:ind w:left="0"/>
        <w:jc w:val="left"/>
        <w:rPr>
          <w:rFonts w:hint="eastAsia"/>
          <w:b w:val="0"/>
          <w:bCs/>
          <w:sz w:val="33"/>
        </w:rPr>
      </w:pPr>
    </w:p>
    <w:p w14:paraId="3049FD93">
      <w:pPr>
        <w:pStyle w:val="9"/>
        <w:spacing w:before="53"/>
        <w:ind w:left="0"/>
        <w:jc w:val="left"/>
        <w:rPr>
          <w:rFonts w:hint="eastAsia"/>
          <w:b w:val="0"/>
          <w:bCs/>
          <w:sz w:val="33"/>
        </w:rPr>
      </w:pPr>
      <w:r>
        <w:rPr>
          <w:rFonts w:hint="eastAsia"/>
          <w:b w:val="0"/>
          <w:bCs/>
          <w:sz w:val="33"/>
        </w:rPr>
        <w:t>Seeing this is most helpful, since it immediately gives us a good strategy for attaining clarity and conviction about our Blessed Hope.</w:t>
      </w:r>
    </w:p>
    <w:p w14:paraId="07376F8C">
      <w:pPr>
        <w:pStyle w:val="9"/>
        <w:spacing w:before="53"/>
        <w:ind w:left="0"/>
        <w:jc w:val="left"/>
        <w:rPr>
          <w:rFonts w:hint="eastAsia"/>
          <w:b w:val="0"/>
          <w:bCs/>
          <w:sz w:val="33"/>
        </w:rPr>
      </w:pPr>
    </w:p>
    <w:p w14:paraId="280E2524">
      <w:pPr>
        <w:pStyle w:val="9"/>
        <w:spacing w:before="53"/>
        <w:ind w:left="0"/>
        <w:jc w:val="left"/>
        <w:rPr>
          <w:rFonts w:hint="eastAsia"/>
          <w:b w:val="0"/>
          <w:bCs/>
          <w:sz w:val="33"/>
        </w:rPr>
      </w:pPr>
      <w:r>
        <w:rPr>
          <w:rFonts w:hint="eastAsia"/>
          <w:b w:val="0"/>
          <w:bCs/>
          <w:sz w:val="33"/>
        </w:rPr>
        <w:t>看到这一点非常有帮助，因为它立即给了我们一个好的策略，来获得关于我们有福盼望的清晰度和确信。</w:t>
      </w:r>
    </w:p>
    <w:p w14:paraId="154565CB">
      <w:pPr>
        <w:pStyle w:val="9"/>
        <w:spacing w:before="53"/>
        <w:ind w:left="0"/>
        <w:jc w:val="left"/>
        <w:rPr>
          <w:rFonts w:hint="eastAsia"/>
          <w:b w:val="0"/>
          <w:bCs/>
          <w:sz w:val="33"/>
        </w:rPr>
      </w:pPr>
    </w:p>
    <w:p w14:paraId="7E91E5DE">
      <w:pPr>
        <w:pStyle w:val="9"/>
        <w:spacing w:before="53"/>
        <w:ind w:left="0"/>
        <w:jc w:val="left"/>
        <w:rPr>
          <w:rFonts w:hint="eastAsia"/>
          <w:b w:val="0"/>
          <w:bCs/>
          <w:sz w:val="33"/>
        </w:rPr>
      </w:pPr>
      <w:r>
        <w:rPr>
          <w:rFonts w:hint="eastAsia"/>
          <w:b w:val="0"/>
          <w:bCs/>
          <w:sz w:val="33"/>
        </w:rPr>
        <w:t>If only we can discover the biblical truth about these four foundational issues, then surely we will make excellent progress in our quest for eschatological clarity and unity.</w:t>
      </w:r>
    </w:p>
    <w:p w14:paraId="4682386F">
      <w:pPr>
        <w:pStyle w:val="9"/>
        <w:spacing w:before="53"/>
        <w:ind w:left="0"/>
        <w:jc w:val="left"/>
        <w:rPr>
          <w:rFonts w:hint="eastAsia"/>
          <w:b w:val="0"/>
          <w:bCs/>
          <w:sz w:val="33"/>
        </w:rPr>
      </w:pPr>
    </w:p>
    <w:p w14:paraId="5DDA7C5B">
      <w:pPr>
        <w:pStyle w:val="9"/>
        <w:spacing w:before="53"/>
        <w:ind w:left="0"/>
        <w:jc w:val="left"/>
        <w:rPr>
          <w:rFonts w:hint="eastAsia"/>
          <w:b w:val="0"/>
          <w:bCs/>
          <w:sz w:val="33"/>
        </w:rPr>
      </w:pPr>
      <w:r>
        <w:rPr>
          <w:rFonts w:hint="eastAsia"/>
          <w:b w:val="0"/>
          <w:bCs/>
          <w:sz w:val="33"/>
        </w:rPr>
        <w:t>只要我们能发现关于这四个基础性议题的圣经真理，那么我们在寻求末世论的清晰度和合一性的道路上，必定会取得极佳的进展。</w:t>
      </w:r>
    </w:p>
    <w:p w14:paraId="2943DA0A">
      <w:pPr>
        <w:pStyle w:val="9"/>
        <w:spacing w:before="53"/>
        <w:ind w:left="0"/>
        <w:jc w:val="left"/>
        <w:rPr>
          <w:rFonts w:hint="eastAsia"/>
          <w:b w:val="0"/>
          <w:bCs/>
          <w:sz w:val="33"/>
        </w:rPr>
      </w:pPr>
    </w:p>
    <w:p w14:paraId="191751A3">
      <w:pPr>
        <w:pStyle w:val="9"/>
        <w:spacing w:before="53"/>
        <w:ind w:left="0"/>
        <w:jc w:val="left"/>
        <w:rPr>
          <w:rFonts w:hint="eastAsia"/>
          <w:b w:val="0"/>
          <w:bCs/>
          <w:sz w:val="33"/>
        </w:rPr>
      </w:pPr>
      <w:r>
        <w:rPr>
          <w:rFonts w:hint="eastAsia"/>
          <w:b w:val="0"/>
          <w:bCs/>
          <w:sz w:val="33"/>
        </w:rPr>
        <w:t>Secondly, it appears that in the end there are really only two basic eschatological options.</w:t>
      </w:r>
    </w:p>
    <w:p w14:paraId="055CA7AE">
      <w:pPr>
        <w:pStyle w:val="9"/>
        <w:spacing w:before="53"/>
        <w:ind w:left="0"/>
        <w:jc w:val="left"/>
        <w:rPr>
          <w:rFonts w:hint="eastAsia"/>
          <w:b w:val="0"/>
          <w:bCs/>
          <w:sz w:val="33"/>
        </w:rPr>
      </w:pPr>
    </w:p>
    <w:p w14:paraId="01F68A1A">
      <w:pPr>
        <w:pStyle w:val="9"/>
        <w:spacing w:before="53"/>
        <w:ind w:left="0"/>
        <w:jc w:val="left"/>
        <w:rPr>
          <w:rFonts w:hint="eastAsia"/>
          <w:b w:val="0"/>
          <w:bCs/>
          <w:sz w:val="33"/>
        </w:rPr>
      </w:pPr>
      <w:r>
        <w:rPr>
          <w:rFonts w:hint="eastAsia"/>
          <w:b w:val="0"/>
          <w:bCs/>
          <w:sz w:val="33"/>
        </w:rPr>
        <w:t>其次，看来最终实际上只有两种基本的末世论选项。</w:t>
      </w:r>
    </w:p>
    <w:p w14:paraId="7809A213">
      <w:pPr>
        <w:pStyle w:val="9"/>
        <w:spacing w:before="53"/>
        <w:ind w:left="0"/>
        <w:jc w:val="left"/>
        <w:rPr>
          <w:rFonts w:hint="eastAsia"/>
          <w:b w:val="0"/>
          <w:bCs/>
          <w:sz w:val="33"/>
        </w:rPr>
      </w:pPr>
    </w:p>
    <w:p w14:paraId="3267B3E3">
      <w:pPr>
        <w:pStyle w:val="9"/>
        <w:spacing w:before="53"/>
        <w:ind w:left="0"/>
        <w:jc w:val="left"/>
        <w:rPr>
          <w:rFonts w:hint="eastAsia"/>
          <w:b w:val="0"/>
          <w:bCs/>
          <w:sz w:val="33"/>
        </w:rPr>
      </w:pPr>
      <w:r>
        <w:rPr>
          <w:rFonts w:hint="eastAsia"/>
          <w:b w:val="0"/>
          <w:bCs/>
          <w:sz w:val="33"/>
        </w:rPr>
        <w:t>On the one hand, there is what I would call a future-millennial approach, an approach adopted by classic premillennarians and dispensationalists.</w:t>
      </w:r>
    </w:p>
    <w:p w14:paraId="39BE6D94">
      <w:pPr>
        <w:pStyle w:val="9"/>
        <w:spacing w:before="53"/>
        <w:ind w:left="0"/>
        <w:jc w:val="left"/>
        <w:rPr>
          <w:rFonts w:hint="eastAsia"/>
          <w:b w:val="0"/>
          <w:bCs/>
          <w:sz w:val="33"/>
        </w:rPr>
      </w:pPr>
    </w:p>
    <w:p w14:paraId="3008AD34">
      <w:pPr>
        <w:pStyle w:val="9"/>
        <w:spacing w:before="53"/>
        <w:ind w:left="0"/>
        <w:jc w:val="left"/>
        <w:rPr>
          <w:rFonts w:hint="eastAsia"/>
          <w:b w:val="0"/>
          <w:bCs/>
          <w:sz w:val="33"/>
        </w:rPr>
      </w:pPr>
      <w:r>
        <w:rPr>
          <w:rFonts w:hint="eastAsia"/>
          <w:b w:val="0"/>
          <w:bCs/>
          <w:sz w:val="33"/>
        </w:rPr>
        <w:t>一方面，是我称之为未来千禧年论的方法，这种方法被经典的前千禧年论者和时代论者所采纳。</w:t>
      </w:r>
    </w:p>
    <w:p w14:paraId="73CF4BAC">
      <w:pPr>
        <w:pStyle w:val="9"/>
        <w:spacing w:before="53"/>
        <w:ind w:left="0"/>
        <w:jc w:val="left"/>
        <w:rPr>
          <w:rFonts w:hint="eastAsia"/>
          <w:b w:val="0"/>
          <w:bCs/>
          <w:sz w:val="33"/>
        </w:rPr>
      </w:pPr>
    </w:p>
    <w:p w14:paraId="79F81155">
      <w:pPr>
        <w:pStyle w:val="9"/>
        <w:spacing w:before="53"/>
        <w:ind w:left="0"/>
        <w:jc w:val="left"/>
        <w:rPr>
          <w:rFonts w:hint="eastAsia"/>
          <w:b w:val="0"/>
          <w:bCs/>
          <w:sz w:val="33"/>
        </w:rPr>
      </w:pPr>
      <w:r>
        <w:rPr>
          <w:rFonts w:hint="eastAsia"/>
          <w:b w:val="0"/>
          <w:bCs/>
          <w:sz w:val="33"/>
        </w:rPr>
        <w:t>As we have seen, future-millennarians are committed to the literal interpretation of OTKP, and therefore to a futuristic interpretation of Revelation 20, without which there can be no literal fulfillment of OTKP.</w:t>
      </w:r>
    </w:p>
    <w:p w14:paraId="5EDB1331">
      <w:pPr>
        <w:pStyle w:val="9"/>
        <w:spacing w:before="53"/>
        <w:ind w:left="0"/>
        <w:jc w:val="left"/>
        <w:rPr>
          <w:rFonts w:hint="eastAsia"/>
          <w:b w:val="0"/>
          <w:bCs/>
          <w:sz w:val="33"/>
        </w:rPr>
      </w:pPr>
    </w:p>
    <w:p w14:paraId="43EBEDDE">
      <w:pPr>
        <w:pStyle w:val="9"/>
        <w:spacing w:before="53"/>
        <w:ind w:left="0"/>
        <w:jc w:val="left"/>
        <w:rPr>
          <w:rFonts w:hint="eastAsia"/>
          <w:b w:val="0"/>
          <w:bCs/>
          <w:sz w:val="33"/>
        </w:rPr>
      </w:pPr>
      <w:r>
        <w:rPr>
          <w:rFonts w:hint="eastAsia"/>
          <w:b w:val="0"/>
          <w:bCs/>
          <w:sz w:val="33"/>
        </w:rPr>
        <w:t>正如我们所见，未来千禧年论者致力于对旧约国度预言作字面解释，因此也致力于对启示录20章作未来主义解释，没有后者，旧约国度预言就无法按字面意义应验。</w:t>
      </w:r>
    </w:p>
    <w:p w14:paraId="39952F3D">
      <w:pPr>
        <w:pStyle w:val="9"/>
        <w:spacing w:before="53"/>
        <w:ind w:left="0"/>
        <w:jc w:val="left"/>
        <w:rPr>
          <w:rFonts w:hint="eastAsia"/>
          <w:b w:val="0"/>
          <w:bCs/>
          <w:sz w:val="33"/>
        </w:rPr>
      </w:pPr>
    </w:p>
    <w:p w14:paraId="189E919A">
      <w:pPr>
        <w:pStyle w:val="9"/>
        <w:spacing w:before="53"/>
        <w:ind w:left="0"/>
        <w:jc w:val="left"/>
        <w:rPr>
          <w:rFonts w:hint="eastAsia"/>
          <w:b w:val="0"/>
          <w:bCs/>
          <w:sz w:val="33"/>
        </w:rPr>
      </w:pPr>
      <w:r>
        <w:rPr>
          <w:rFonts w:hint="eastAsia"/>
          <w:b w:val="0"/>
          <w:bCs/>
          <w:sz w:val="33"/>
        </w:rPr>
        <w:t>Their view requires at least two Comings of Christ, and two separate Consummations.</w:t>
      </w:r>
    </w:p>
    <w:p w14:paraId="24A17453">
      <w:pPr>
        <w:pStyle w:val="9"/>
        <w:spacing w:before="53"/>
        <w:ind w:left="0"/>
        <w:jc w:val="left"/>
        <w:rPr>
          <w:rFonts w:hint="eastAsia"/>
          <w:b w:val="0"/>
          <w:bCs/>
          <w:sz w:val="33"/>
        </w:rPr>
      </w:pPr>
    </w:p>
    <w:p w14:paraId="5C91F1B3">
      <w:pPr>
        <w:pStyle w:val="9"/>
        <w:spacing w:before="53"/>
        <w:ind w:left="0"/>
        <w:jc w:val="left"/>
        <w:rPr>
          <w:rFonts w:hint="eastAsia"/>
          <w:b w:val="0"/>
          <w:bCs/>
          <w:sz w:val="33"/>
        </w:rPr>
      </w:pPr>
      <w:r>
        <w:rPr>
          <w:rFonts w:hint="eastAsia"/>
          <w:b w:val="0"/>
          <w:bCs/>
          <w:sz w:val="33"/>
        </w:rPr>
        <w:t>他们的观点要求基督至少有两次降临，以及两次分开的最终成全。</w:t>
      </w:r>
    </w:p>
    <w:p w14:paraId="678CC953">
      <w:pPr>
        <w:pStyle w:val="9"/>
        <w:spacing w:before="53"/>
        <w:ind w:left="0"/>
        <w:jc w:val="left"/>
        <w:rPr>
          <w:rFonts w:hint="eastAsia"/>
          <w:b w:val="0"/>
          <w:bCs/>
          <w:sz w:val="33"/>
        </w:rPr>
      </w:pPr>
    </w:p>
    <w:p w14:paraId="1D6A8B7E">
      <w:pPr>
        <w:pStyle w:val="9"/>
        <w:spacing w:before="53"/>
        <w:ind w:left="0"/>
        <w:jc w:val="left"/>
        <w:rPr>
          <w:rFonts w:hint="eastAsia"/>
          <w:b w:val="0"/>
          <w:bCs/>
          <w:sz w:val="33"/>
        </w:rPr>
      </w:pPr>
      <w:r>
        <w:rPr>
          <w:rFonts w:hint="eastAsia"/>
          <w:b w:val="0"/>
          <w:bCs/>
          <w:sz w:val="33"/>
        </w:rPr>
        <w:t>On the other hand, there is what I would call the present-millennial approach.</w:t>
      </w:r>
    </w:p>
    <w:p w14:paraId="1944E9BB">
      <w:pPr>
        <w:pStyle w:val="9"/>
        <w:spacing w:before="53"/>
        <w:ind w:left="0"/>
        <w:jc w:val="left"/>
        <w:rPr>
          <w:rFonts w:hint="eastAsia"/>
          <w:b w:val="0"/>
          <w:bCs/>
          <w:sz w:val="33"/>
        </w:rPr>
      </w:pPr>
    </w:p>
    <w:p w14:paraId="1623D723">
      <w:pPr>
        <w:pStyle w:val="9"/>
        <w:spacing w:before="53"/>
        <w:ind w:left="0"/>
        <w:jc w:val="left"/>
        <w:rPr>
          <w:rFonts w:hint="eastAsia"/>
          <w:b w:val="0"/>
          <w:bCs/>
          <w:sz w:val="33"/>
        </w:rPr>
      </w:pPr>
      <w:r>
        <w:rPr>
          <w:rFonts w:hint="eastAsia"/>
          <w:b w:val="0"/>
          <w:bCs/>
          <w:sz w:val="33"/>
        </w:rPr>
        <w:t>另一方面，是我称之为现今千禧年论的方法。</w:t>
      </w:r>
    </w:p>
    <w:p w14:paraId="2407EA00">
      <w:pPr>
        <w:pStyle w:val="9"/>
        <w:spacing w:before="53"/>
        <w:ind w:left="0"/>
        <w:jc w:val="left"/>
        <w:rPr>
          <w:rFonts w:hint="eastAsia"/>
          <w:b w:val="0"/>
          <w:bCs/>
          <w:sz w:val="33"/>
        </w:rPr>
      </w:pPr>
    </w:p>
    <w:p w14:paraId="7231AFDD">
      <w:pPr>
        <w:pStyle w:val="9"/>
        <w:spacing w:before="53"/>
        <w:ind w:left="0"/>
        <w:jc w:val="left"/>
        <w:rPr>
          <w:rFonts w:hint="eastAsia"/>
          <w:b w:val="0"/>
          <w:bCs/>
          <w:sz w:val="33"/>
        </w:rPr>
      </w:pPr>
      <w:r>
        <w:rPr>
          <w:rFonts w:hint="eastAsia"/>
          <w:b w:val="0"/>
          <w:bCs/>
          <w:sz w:val="33"/>
        </w:rPr>
        <w:t>Present-millennarians interpret OTKP figuratively, in terms of the New Covenant, and place the Millennium of Revelation 20 on this side of the one Coming/Consummation.</w:t>
      </w:r>
    </w:p>
    <w:p w14:paraId="0F1DA826">
      <w:pPr>
        <w:pStyle w:val="9"/>
        <w:spacing w:before="53"/>
        <w:ind w:left="0"/>
        <w:jc w:val="left"/>
        <w:rPr>
          <w:rFonts w:hint="eastAsia"/>
          <w:b w:val="0"/>
          <w:bCs/>
          <w:sz w:val="33"/>
        </w:rPr>
      </w:pPr>
    </w:p>
    <w:p w14:paraId="57859B9D">
      <w:pPr>
        <w:pStyle w:val="9"/>
        <w:spacing w:before="53"/>
        <w:ind w:left="0"/>
        <w:jc w:val="left"/>
        <w:rPr>
          <w:rFonts w:hint="eastAsia"/>
          <w:b w:val="0"/>
          <w:bCs/>
          <w:sz w:val="33"/>
        </w:rPr>
      </w:pPr>
      <w:r>
        <w:rPr>
          <w:rFonts w:hint="eastAsia"/>
          <w:b w:val="0"/>
          <w:bCs/>
          <w:sz w:val="33"/>
        </w:rPr>
        <w:t>现今千禧年论者以新约为参照，用预表的方式解释旧约国度预言，并将启示录20章的千禧年置于那一次降临/最终成全的这边。</w:t>
      </w:r>
    </w:p>
    <w:p w14:paraId="223AABFC">
      <w:pPr>
        <w:pStyle w:val="9"/>
        <w:spacing w:before="53"/>
        <w:ind w:left="0"/>
        <w:jc w:val="left"/>
        <w:rPr>
          <w:rFonts w:hint="eastAsia"/>
          <w:b w:val="0"/>
          <w:bCs/>
          <w:sz w:val="33"/>
        </w:rPr>
      </w:pPr>
    </w:p>
    <w:p w14:paraId="2AF54A30">
      <w:pPr>
        <w:pStyle w:val="9"/>
        <w:spacing w:before="53"/>
        <w:ind w:left="0"/>
        <w:jc w:val="left"/>
        <w:rPr>
          <w:rFonts w:hint="eastAsia"/>
          <w:b w:val="0"/>
          <w:bCs/>
          <w:sz w:val="33"/>
        </w:rPr>
      </w:pPr>
      <w:r>
        <w:rPr>
          <w:rFonts w:hint="eastAsia"/>
          <w:b w:val="0"/>
          <w:bCs/>
          <w:sz w:val="33"/>
        </w:rPr>
        <w:t>Amillennarians identify the Millennium with the entire Era of Proclamation, the era between Christ’s first and second advents.</w:t>
      </w:r>
    </w:p>
    <w:p w14:paraId="6AC8EEC2">
      <w:pPr>
        <w:pStyle w:val="9"/>
        <w:spacing w:before="53"/>
        <w:ind w:left="0"/>
        <w:jc w:val="left"/>
        <w:rPr>
          <w:rFonts w:hint="eastAsia"/>
          <w:b w:val="0"/>
          <w:bCs/>
          <w:sz w:val="33"/>
        </w:rPr>
      </w:pPr>
    </w:p>
    <w:p w14:paraId="2D1CCE2A">
      <w:pPr>
        <w:pStyle w:val="9"/>
        <w:spacing w:before="53"/>
        <w:ind w:left="0"/>
        <w:jc w:val="left"/>
        <w:rPr>
          <w:rFonts w:hint="eastAsia"/>
          <w:b w:val="0"/>
          <w:bCs/>
          <w:sz w:val="33"/>
        </w:rPr>
      </w:pPr>
      <w:r>
        <w:rPr>
          <w:rFonts w:hint="eastAsia"/>
          <w:b w:val="0"/>
          <w:bCs/>
          <w:sz w:val="33"/>
        </w:rPr>
        <w:t>无千禧年论者将千禧年等同于整个宣讲时代，即基督第一次和第二次降临之间的时代。</w:t>
      </w:r>
    </w:p>
    <w:p w14:paraId="48928A73">
      <w:pPr>
        <w:pStyle w:val="9"/>
        <w:spacing w:before="53"/>
        <w:ind w:left="0"/>
        <w:jc w:val="left"/>
        <w:rPr>
          <w:rFonts w:hint="eastAsia"/>
          <w:b w:val="0"/>
          <w:bCs/>
          <w:sz w:val="33"/>
        </w:rPr>
      </w:pPr>
    </w:p>
    <w:p w14:paraId="5CDF5A8A">
      <w:pPr>
        <w:pStyle w:val="9"/>
        <w:spacing w:before="53"/>
        <w:ind w:left="0"/>
        <w:jc w:val="left"/>
        <w:rPr>
          <w:rFonts w:hint="eastAsia"/>
          <w:b w:val="0"/>
          <w:bCs/>
          <w:sz w:val="33"/>
        </w:rPr>
      </w:pPr>
      <w:r>
        <w:rPr>
          <w:rFonts w:hint="eastAsia"/>
          <w:b w:val="0"/>
          <w:bCs/>
          <w:sz w:val="33"/>
        </w:rPr>
        <w:t>Postmillennarians and (some) partial preterists see it as yet future, but as occurring within the present Era of Proclamation.</w:t>
      </w:r>
    </w:p>
    <w:p w14:paraId="2E58FD34">
      <w:pPr>
        <w:pStyle w:val="9"/>
        <w:spacing w:before="53"/>
        <w:ind w:left="0"/>
        <w:jc w:val="left"/>
        <w:rPr>
          <w:rFonts w:hint="eastAsia"/>
          <w:b w:val="0"/>
          <w:bCs/>
          <w:sz w:val="33"/>
        </w:rPr>
      </w:pPr>
    </w:p>
    <w:p w14:paraId="3192C4C0">
      <w:pPr>
        <w:pStyle w:val="9"/>
        <w:spacing w:before="53"/>
        <w:ind w:left="0"/>
        <w:jc w:val="left"/>
        <w:rPr>
          <w:rFonts w:hint="eastAsia"/>
          <w:b w:val="0"/>
          <w:bCs/>
          <w:sz w:val="33"/>
        </w:rPr>
      </w:pPr>
      <w:r>
        <w:rPr>
          <w:rFonts w:hint="eastAsia"/>
          <w:b w:val="0"/>
          <w:bCs/>
          <w:sz w:val="33"/>
        </w:rPr>
        <w:t>后千禧年论者和（一些）部分过去派则视其为未来的，但发生在现今的宣讲时代之内。</w:t>
      </w:r>
    </w:p>
    <w:p w14:paraId="04FB70B4">
      <w:pPr>
        <w:pStyle w:val="9"/>
        <w:spacing w:before="53"/>
        <w:ind w:left="0"/>
        <w:jc w:val="left"/>
        <w:rPr>
          <w:rFonts w:hint="eastAsia"/>
          <w:b w:val="0"/>
          <w:bCs/>
          <w:sz w:val="33"/>
        </w:rPr>
      </w:pPr>
    </w:p>
    <w:p w14:paraId="1BD41257">
      <w:pPr>
        <w:pStyle w:val="9"/>
        <w:spacing w:before="53"/>
        <w:ind w:left="0"/>
        <w:jc w:val="left"/>
        <w:rPr>
          <w:rFonts w:hint="eastAsia"/>
          <w:b w:val="0"/>
          <w:bCs/>
          <w:sz w:val="33"/>
        </w:rPr>
      </w:pPr>
      <w:r>
        <w:rPr>
          <w:rFonts w:hint="eastAsia"/>
          <w:b w:val="0"/>
          <w:bCs/>
          <w:sz w:val="33"/>
        </w:rPr>
        <w:t>For all these interpreters, there is only one Coming of Christ in glory, and one Consummation.</w:t>
      </w:r>
    </w:p>
    <w:p w14:paraId="4590A107">
      <w:pPr>
        <w:pStyle w:val="9"/>
        <w:spacing w:before="53"/>
        <w:ind w:left="0"/>
        <w:jc w:val="left"/>
        <w:rPr>
          <w:rFonts w:hint="eastAsia"/>
          <w:b w:val="0"/>
          <w:bCs/>
          <w:sz w:val="33"/>
        </w:rPr>
      </w:pPr>
    </w:p>
    <w:p w14:paraId="501AF52B">
      <w:pPr>
        <w:pStyle w:val="9"/>
        <w:spacing w:before="53"/>
        <w:ind w:left="0"/>
        <w:jc w:val="left"/>
        <w:rPr>
          <w:rFonts w:hint="eastAsia"/>
          <w:b w:val="0"/>
          <w:bCs/>
          <w:sz w:val="33"/>
        </w:rPr>
      </w:pPr>
      <w:r>
        <w:rPr>
          <w:rFonts w:hint="eastAsia"/>
          <w:b w:val="0"/>
          <w:bCs/>
          <w:sz w:val="33"/>
        </w:rPr>
        <w:t>对所有这些解释者而言，基督在荣耀中只有一次降临，也只有一个最终的成全。</w:t>
      </w:r>
    </w:p>
    <w:p w14:paraId="3E786457">
      <w:pPr>
        <w:pStyle w:val="9"/>
        <w:spacing w:before="53"/>
        <w:ind w:left="0"/>
        <w:jc w:val="left"/>
        <w:rPr>
          <w:rFonts w:hint="eastAsia"/>
          <w:b w:val="0"/>
          <w:bCs/>
          <w:sz w:val="33"/>
        </w:rPr>
      </w:pPr>
    </w:p>
    <w:p w14:paraId="7B4209D4">
      <w:pPr>
        <w:pStyle w:val="9"/>
        <w:spacing w:before="53"/>
        <w:ind w:left="0"/>
        <w:jc w:val="left"/>
        <w:rPr>
          <w:rFonts w:hint="eastAsia"/>
          <w:b w:val="0"/>
          <w:bCs/>
          <w:sz w:val="33"/>
        </w:rPr>
      </w:pPr>
      <w:r>
        <w:rPr>
          <w:rFonts w:hint="eastAsia"/>
          <w:b w:val="0"/>
          <w:bCs/>
          <w:sz w:val="33"/>
        </w:rPr>
        <w:t>So again, the issues and options in biblical eschatology are few and relatively easy to understand.</w:t>
      </w:r>
    </w:p>
    <w:p w14:paraId="3BD5AB36">
      <w:pPr>
        <w:pStyle w:val="9"/>
        <w:spacing w:before="53"/>
        <w:ind w:left="0"/>
        <w:jc w:val="left"/>
        <w:rPr>
          <w:rFonts w:hint="eastAsia"/>
          <w:b w:val="0"/>
          <w:bCs/>
          <w:sz w:val="33"/>
        </w:rPr>
      </w:pPr>
    </w:p>
    <w:p w14:paraId="22B08D6B">
      <w:pPr>
        <w:pStyle w:val="9"/>
        <w:spacing w:before="53"/>
        <w:ind w:left="0"/>
        <w:jc w:val="left"/>
        <w:rPr>
          <w:rFonts w:hint="eastAsia"/>
          <w:b w:val="0"/>
          <w:bCs/>
          <w:sz w:val="33"/>
        </w:rPr>
      </w:pPr>
      <w:r>
        <w:rPr>
          <w:rFonts w:hint="eastAsia"/>
          <w:b w:val="0"/>
          <w:bCs/>
          <w:sz w:val="33"/>
        </w:rPr>
        <w:t>所以再次强调，圣经末世论中的议题和选项很少，也相对容易理解。</w:t>
      </w:r>
    </w:p>
    <w:p w14:paraId="2955580E">
      <w:pPr>
        <w:pStyle w:val="9"/>
        <w:spacing w:before="53"/>
        <w:ind w:left="0"/>
        <w:jc w:val="left"/>
        <w:rPr>
          <w:rFonts w:hint="eastAsia"/>
          <w:b w:val="0"/>
          <w:bCs/>
          <w:sz w:val="33"/>
        </w:rPr>
      </w:pPr>
    </w:p>
    <w:p w14:paraId="3C7FC4F5">
      <w:pPr>
        <w:pStyle w:val="9"/>
        <w:spacing w:before="53"/>
        <w:ind w:left="0"/>
        <w:jc w:val="left"/>
        <w:rPr>
          <w:rFonts w:hint="eastAsia"/>
          <w:b w:val="0"/>
          <w:bCs/>
          <w:sz w:val="33"/>
        </w:rPr>
      </w:pPr>
      <w:r>
        <w:rPr>
          <w:rFonts w:hint="eastAsia"/>
          <w:b w:val="0"/>
          <w:bCs/>
          <w:sz w:val="33"/>
        </w:rPr>
        <w:t>The Bible is not a fertile field for endless eschatological speculation.</w:t>
      </w:r>
    </w:p>
    <w:p w14:paraId="297F02FF">
      <w:pPr>
        <w:pStyle w:val="9"/>
        <w:spacing w:before="53"/>
        <w:ind w:left="0"/>
        <w:jc w:val="left"/>
        <w:rPr>
          <w:rFonts w:hint="eastAsia"/>
          <w:b w:val="0"/>
          <w:bCs/>
          <w:sz w:val="33"/>
        </w:rPr>
      </w:pPr>
    </w:p>
    <w:p w14:paraId="53B66CDC">
      <w:pPr>
        <w:pStyle w:val="9"/>
        <w:spacing w:before="53"/>
        <w:ind w:left="0"/>
        <w:jc w:val="left"/>
        <w:rPr>
          <w:rFonts w:hint="eastAsia"/>
          <w:b w:val="0"/>
          <w:bCs/>
          <w:sz w:val="33"/>
        </w:rPr>
      </w:pPr>
      <w:r>
        <w:rPr>
          <w:rFonts w:hint="eastAsia"/>
          <w:b w:val="0"/>
          <w:bCs/>
          <w:sz w:val="33"/>
        </w:rPr>
        <w:t>圣经并非一块滋生无尽末世论臆测的沃土。</w:t>
      </w:r>
    </w:p>
    <w:p w14:paraId="78E7167B">
      <w:pPr>
        <w:pStyle w:val="9"/>
        <w:spacing w:before="53"/>
        <w:ind w:left="0"/>
        <w:jc w:val="left"/>
        <w:rPr>
          <w:rFonts w:hint="eastAsia"/>
          <w:b w:val="0"/>
          <w:bCs/>
          <w:sz w:val="33"/>
        </w:rPr>
      </w:pPr>
    </w:p>
    <w:p w14:paraId="6F0F1315">
      <w:pPr>
        <w:pStyle w:val="9"/>
        <w:spacing w:before="53"/>
        <w:ind w:left="0"/>
        <w:jc w:val="left"/>
        <w:rPr>
          <w:rFonts w:hint="eastAsia"/>
          <w:b w:val="0"/>
          <w:bCs/>
          <w:sz w:val="33"/>
        </w:rPr>
      </w:pPr>
      <w:r>
        <w:rPr>
          <w:rFonts w:hint="eastAsia"/>
          <w:b w:val="0"/>
          <w:bCs/>
          <w:sz w:val="33"/>
        </w:rPr>
        <w:t>By keeping the real issues and the real options before our eyes, we can indeed make good progress towards the truth.3</w:t>
      </w:r>
    </w:p>
    <w:p w14:paraId="411CE848">
      <w:pPr>
        <w:pStyle w:val="9"/>
        <w:spacing w:before="53"/>
        <w:ind w:left="0"/>
        <w:jc w:val="left"/>
        <w:rPr>
          <w:rFonts w:hint="eastAsia"/>
          <w:b w:val="0"/>
          <w:bCs/>
          <w:sz w:val="33"/>
        </w:rPr>
      </w:pPr>
    </w:p>
    <w:p w14:paraId="05F853F9">
      <w:pPr>
        <w:pStyle w:val="9"/>
        <w:spacing w:before="53"/>
        <w:ind w:left="0"/>
        <w:jc w:val="left"/>
        <w:rPr>
          <w:rFonts w:hint="eastAsia"/>
          <w:b w:val="0"/>
          <w:bCs/>
          <w:sz w:val="33"/>
        </w:rPr>
      </w:pPr>
      <w:r>
        <w:rPr>
          <w:rFonts w:hint="eastAsia"/>
          <w:b w:val="0"/>
          <w:bCs/>
          <w:sz w:val="33"/>
        </w:rPr>
        <w:t>通过将真正的议题和真正的选项摆在我们眼前，我们确实可以向真理迈出良好的进展。3</w:t>
      </w:r>
    </w:p>
    <w:p w14:paraId="4617B5EF">
      <w:pPr>
        <w:pStyle w:val="9"/>
        <w:spacing w:before="53"/>
        <w:ind w:left="0"/>
        <w:jc w:val="left"/>
        <w:rPr>
          <w:rFonts w:hint="eastAsia"/>
          <w:b w:val="0"/>
          <w:bCs/>
          <w:sz w:val="33"/>
        </w:rPr>
      </w:pPr>
    </w:p>
    <w:p w14:paraId="53D7EB22">
      <w:pPr>
        <w:pStyle w:val="9"/>
        <w:spacing w:before="53"/>
        <w:ind w:left="0"/>
        <w:jc w:val="left"/>
        <w:rPr>
          <w:rFonts w:hint="eastAsia"/>
          <w:b w:val="0"/>
          <w:bCs/>
          <w:sz w:val="33"/>
        </w:rPr>
      </w:pPr>
      <w:r>
        <w:rPr>
          <w:rFonts w:hint="eastAsia"/>
          <w:b w:val="0"/>
          <w:bCs/>
          <w:sz w:val="33"/>
        </w:rPr>
        <w:t>Conclusion</w:t>
      </w:r>
    </w:p>
    <w:p w14:paraId="1BC4E1A1">
      <w:pPr>
        <w:pStyle w:val="9"/>
        <w:spacing w:before="53"/>
        <w:ind w:left="0"/>
        <w:jc w:val="left"/>
        <w:rPr>
          <w:rFonts w:hint="eastAsia"/>
          <w:b w:val="0"/>
          <w:bCs/>
          <w:sz w:val="33"/>
        </w:rPr>
      </w:pPr>
    </w:p>
    <w:p w14:paraId="29D275A0">
      <w:pPr>
        <w:pStyle w:val="9"/>
        <w:spacing w:before="53"/>
        <w:ind w:left="0"/>
        <w:jc w:val="left"/>
        <w:rPr>
          <w:rFonts w:hint="eastAsia"/>
          <w:b w:val="0"/>
          <w:bCs/>
          <w:sz w:val="33"/>
        </w:rPr>
      </w:pPr>
      <w:r>
        <w:rPr>
          <w:rFonts w:hint="eastAsia"/>
          <w:b w:val="0"/>
          <w:bCs/>
          <w:sz w:val="33"/>
        </w:rPr>
        <w:t>结论</w:t>
      </w:r>
    </w:p>
    <w:p w14:paraId="2097C5F1">
      <w:pPr>
        <w:pStyle w:val="9"/>
        <w:spacing w:before="53"/>
        <w:ind w:left="0"/>
        <w:jc w:val="left"/>
        <w:rPr>
          <w:rFonts w:hint="eastAsia"/>
          <w:b w:val="0"/>
          <w:bCs/>
          <w:sz w:val="33"/>
        </w:rPr>
      </w:pPr>
    </w:p>
    <w:p w14:paraId="45C92393">
      <w:pPr>
        <w:pStyle w:val="9"/>
        <w:spacing w:before="53"/>
        <w:ind w:left="0"/>
        <w:jc w:val="left"/>
        <w:rPr>
          <w:rFonts w:hint="eastAsia"/>
          <w:b w:val="0"/>
          <w:bCs/>
          <w:sz w:val="33"/>
        </w:rPr>
      </w:pPr>
      <w:r>
        <w:rPr>
          <w:rFonts w:hint="eastAsia"/>
          <w:b w:val="0"/>
          <w:bCs/>
          <w:sz w:val="33"/>
        </w:rPr>
        <w:t>Years ago, when television westerns were coming into vogue, it was a staple of all fight scenes that the bad guy would throw dirt into the eyes of the good guy.</w:t>
      </w:r>
    </w:p>
    <w:p w14:paraId="31C43702">
      <w:pPr>
        <w:pStyle w:val="9"/>
        <w:spacing w:before="53"/>
        <w:ind w:left="0"/>
        <w:jc w:val="left"/>
        <w:rPr>
          <w:rFonts w:hint="eastAsia"/>
          <w:b w:val="0"/>
          <w:bCs/>
          <w:sz w:val="33"/>
        </w:rPr>
      </w:pPr>
    </w:p>
    <w:p w14:paraId="364AB784">
      <w:pPr>
        <w:pStyle w:val="9"/>
        <w:spacing w:before="53"/>
        <w:ind w:left="0"/>
        <w:jc w:val="left"/>
        <w:rPr>
          <w:rFonts w:hint="eastAsia"/>
          <w:b w:val="0"/>
          <w:bCs/>
          <w:sz w:val="33"/>
        </w:rPr>
      </w:pPr>
      <w:r>
        <w:rPr>
          <w:rFonts w:hint="eastAsia"/>
          <w:b w:val="0"/>
          <w:bCs/>
          <w:sz w:val="33"/>
        </w:rPr>
        <w:t>多年前，当电视西部片开始流行时，所有打斗场景的一个固定情节就是坏人会向好人的眼睛里撒土。</w:t>
      </w:r>
    </w:p>
    <w:p w14:paraId="4179B611">
      <w:pPr>
        <w:pStyle w:val="9"/>
        <w:spacing w:before="53"/>
        <w:ind w:left="0"/>
        <w:jc w:val="left"/>
        <w:rPr>
          <w:rFonts w:hint="eastAsia"/>
          <w:b w:val="0"/>
          <w:bCs/>
          <w:sz w:val="33"/>
        </w:rPr>
      </w:pPr>
    </w:p>
    <w:p w14:paraId="0F74A025">
      <w:pPr>
        <w:pStyle w:val="9"/>
        <w:spacing w:before="53"/>
        <w:ind w:left="0"/>
        <w:jc w:val="left"/>
        <w:rPr>
          <w:rFonts w:hint="eastAsia"/>
          <w:b w:val="0"/>
          <w:bCs/>
          <w:sz w:val="33"/>
        </w:rPr>
      </w:pPr>
      <w:r>
        <w:rPr>
          <w:rFonts w:hint="eastAsia"/>
          <w:b w:val="0"/>
          <w:bCs/>
          <w:sz w:val="33"/>
        </w:rPr>
        <w:t>Alas, the good guy, now temporarily blind, would take a terrible beating.</w:t>
      </w:r>
    </w:p>
    <w:p w14:paraId="4CE55B33">
      <w:pPr>
        <w:pStyle w:val="9"/>
        <w:spacing w:before="53"/>
        <w:ind w:left="0"/>
        <w:jc w:val="left"/>
        <w:rPr>
          <w:rFonts w:hint="eastAsia"/>
          <w:b w:val="0"/>
          <w:bCs/>
          <w:sz w:val="33"/>
        </w:rPr>
      </w:pPr>
    </w:p>
    <w:p w14:paraId="6D1E646B">
      <w:pPr>
        <w:pStyle w:val="9"/>
        <w:spacing w:before="53"/>
        <w:ind w:left="0"/>
        <w:jc w:val="left"/>
        <w:rPr>
          <w:rFonts w:hint="eastAsia"/>
          <w:b w:val="0"/>
          <w:bCs/>
          <w:sz w:val="33"/>
        </w:rPr>
      </w:pPr>
      <w:r>
        <w:rPr>
          <w:rFonts w:hint="eastAsia"/>
          <w:b w:val="0"/>
          <w:bCs/>
          <w:sz w:val="33"/>
        </w:rPr>
        <w:t>唉，好人这时暂时失明，会遭受一顿毒打。</w:t>
      </w:r>
    </w:p>
    <w:p w14:paraId="0F170783">
      <w:pPr>
        <w:pStyle w:val="9"/>
        <w:spacing w:before="53"/>
        <w:ind w:left="0"/>
        <w:jc w:val="left"/>
        <w:rPr>
          <w:rFonts w:hint="eastAsia"/>
          <w:b w:val="0"/>
          <w:bCs/>
          <w:sz w:val="33"/>
        </w:rPr>
      </w:pPr>
    </w:p>
    <w:p w14:paraId="7BBF3818">
      <w:pPr>
        <w:pStyle w:val="9"/>
        <w:spacing w:before="53"/>
        <w:ind w:left="0"/>
        <w:jc w:val="left"/>
        <w:rPr>
          <w:rFonts w:hint="eastAsia"/>
          <w:b w:val="0"/>
          <w:bCs/>
          <w:sz w:val="33"/>
        </w:rPr>
      </w:pPr>
      <w:r>
        <w:rPr>
          <w:rFonts w:hint="eastAsia"/>
          <w:b w:val="0"/>
          <w:bCs/>
          <w:sz w:val="33"/>
        </w:rPr>
        <w:t>And yet, because evil cannot prevail, it did not prevail: The good guy’s eyes (miraculously enough) would suddenly clear, the tide of combat would suddenly turn, and the righteous hero would suddenly triumph.</w:t>
      </w:r>
    </w:p>
    <w:p w14:paraId="4460F12D">
      <w:pPr>
        <w:pStyle w:val="9"/>
        <w:spacing w:before="53"/>
        <w:ind w:left="0"/>
        <w:jc w:val="left"/>
        <w:rPr>
          <w:rFonts w:hint="eastAsia"/>
          <w:b w:val="0"/>
          <w:bCs/>
          <w:sz w:val="33"/>
        </w:rPr>
      </w:pPr>
    </w:p>
    <w:p w14:paraId="16245AE2">
      <w:pPr>
        <w:pStyle w:val="9"/>
        <w:spacing w:before="53"/>
        <w:ind w:left="0"/>
        <w:jc w:val="left"/>
        <w:rPr>
          <w:rFonts w:hint="eastAsia"/>
          <w:b w:val="0"/>
          <w:bCs/>
          <w:sz w:val="33"/>
        </w:rPr>
      </w:pPr>
      <w:r>
        <w:rPr>
          <w:rFonts w:hint="eastAsia"/>
          <w:b w:val="0"/>
          <w:bCs/>
          <w:sz w:val="33"/>
        </w:rPr>
        <w:t>然而，因为邪恶不能得胜，它也就没有得胜：好人的眼睛（奇迹般地）会突然清晰，战斗的局势会突然逆转，正义的英雄会突然获胜。</w:t>
      </w:r>
    </w:p>
    <w:p w14:paraId="331BC69D">
      <w:pPr>
        <w:pStyle w:val="9"/>
        <w:spacing w:before="53"/>
        <w:ind w:left="0"/>
        <w:jc w:val="left"/>
        <w:rPr>
          <w:rFonts w:hint="eastAsia"/>
          <w:b w:val="0"/>
          <w:bCs/>
          <w:sz w:val="33"/>
        </w:rPr>
      </w:pPr>
    </w:p>
    <w:p w14:paraId="69994C09">
      <w:pPr>
        <w:pStyle w:val="9"/>
        <w:spacing w:before="53"/>
        <w:ind w:left="0"/>
        <w:jc w:val="left"/>
        <w:rPr>
          <w:rFonts w:hint="eastAsia"/>
          <w:b w:val="0"/>
          <w:bCs/>
          <w:sz w:val="33"/>
        </w:rPr>
      </w:pPr>
      <w:r>
        <w:rPr>
          <w:rFonts w:hint="eastAsia"/>
          <w:b w:val="0"/>
          <w:bCs/>
          <w:sz w:val="33"/>
        </w:rPr>
        <w:t>Having diligently fought your way through all these eschatological options, it is quite possible that you yourself feel as though someone has thrown dirt in your eyes; that with all these brainy eschatologists ganging up on you, you haven’t the least hope of a victory; that for everyday sheep such as yourself, this is neither a fair nor a winnable fight.</w:t>
      </w:r>
    </w:p>
    <w:p w14:paraId="6E645FC1">
      <w:pPr>
        <w:pStyle w:val="9"/>
        <w:spacing w:before="53"/>
        <w:ind w:left="0"/>
        <w:jc w:val="left"/>
        <w:rPr>
          <w:rFonts w:hint="eastAsia"/>
          <w:b w:val="0"/>
          <w:bCs/>
          <w:sz w:val="33"/>
        </w:rPr>
      </w:pPr>
    </w:p>
    <w:p w14:paraId="677AFFF0">
      <w:pPr>
        <w:pStyle w:val="9"/>
        <w:spacing w:before="53"/>
        <w:ind w:left="0"/>
        <w:jc w:val="left"/>
        <w:rPr>
          <w:rFonts w:hint="eastAsia"/>
          <w:b w:val="0"/>
          <w:bCs/>
          <w:sz w:val="33"/>
        </w:rPr>
      </w:pPr>
      <w:r>
        <w:rPr>
          <w:rFonts w:hint="eastAsia"/>
          <w:b w:val="0"/>
          <w:bCs/>
          <w:sz w:val="33"/>
        </w:rPr>
        <w:t>在你勤奋地奋战过所有这些末世论的选项之后，你很可能感觉自己就像被人向眼睛里撒了土；面对所有这些聪明的末世论学者围攻你，你毫无胜利的希望；对像你这样的普通羊群来说，这既不是一场公平的，也不是一场能赢的战斗。</w:t>
      </w:r>
    </w:p>
    <w:p w14:paraId="7AA291B8">
      <w:pPr>
        <w:pStyle w:val="9"/>
        <w:spacing w:before="53"/>
        <w:ind w:left="0"/>
        <w:jc w:val="left"/>
        <w:rPr>
          <w:rFonts w:hint="eastAsia"/>
          <w:b w:val="0"/>
          <w:bCs/>
          <w:sz w:val="33"/>
        </w:rPr>
      </w:pPr>
    </w:p>
    <w:p w14:paraId="2EA9062F">
      <w:pPr>
        <w:pStyle w:val="9"/>
        <w:spacing w:before="53"/>
        <w:ind w:left="0"/>
        <w:jc w:val="left"/>
        <w:rPr>
          <w:rFonts w:hint="eastAsia"/>
          <w:b w:val="0"/>
          <w:bCs/>
          <w:sz w:val="33"/>
        </w:rPr>
      </w:pPr>
      <w:r>
        <w:rPr>
          <w:rFonts w:hint="eastAsia"/>
          <w:b w:val="0"/>
          <w:bCs/>
          <w:sz w:val="33"/>
        </w:rPr>
        <w:t>Indeed, it may not even be a worthwhile fight.</w:t>
      </w:r>
    </w:p>
    <w:p w14:paraId="20F7356B">
      <w:pPr>
        <w:pStyle w:val="9"/>
        <w:spacing w:before="53"/>
        <w:ind w:left="0"/>
        <w:jc w:val="left"/>
        <w:rPr>
          <w:rFonts w:hint="eastAsia"/>
          <w:b w:val="0"/>
          <w:bCs/>
          <w:sz w:val="33"/>
        </w:rPr>
      </w:pPr>
    </w:p>
    <w:p w14:paraId="3FFFCD82">
      <w:pPr>
        <w:pStyle w:val="9"/>
        <w:spacing w:before="53"/>
        <w:ind w:left="0"/>
        <w:jc w:val="left"/>
        <w:rPr>
          <w:rFonts w:hint="eastAsia"/>
          <w:b w:val="0"/>
          <w:bCs/>
          <w:sz w:val="33"/>
        </w:rPr>
      </w:pPr>
      <w:r>
        <w:rPr>
          <w:rFonts w:hint="eastAsia"/>
          <w:b w:val="0"/>
          <w:bCs/>
          <w:sz w:val="33"/>
        </w:rPr>
        <w:t>的确，这甚至可能不是一场值得的战斗。</w:t>
      </w:r>
    </w:p>
    <w:p w14:paraId="1BC360D2">
      <w:pPr>
        <w:pStyle w:val="9"/>
        <w:spacing w:before="53"/>
        <w:ind w:left="0"/>
        <w:jc w:val="left"/>
        <w:rPr>
          <w:rFonts w:hint="eastAsia"/>
          <w:b w:val="0"/>
          <w:bCs/>
          <w:sz w:val="33"/>
        </w:rPr>
      </w:pPr>
    </w:p>
    <w:p w14:paraId="1709BD4B">
      <w:pPr>
        <w:pStyle w:val="9"/>
        <w:spacing w:before="53"/>
        <w:ind w:left="0"/>
        <w:jc w:val="left"/>
        <w:rPr>
          <w:rFonts w:hint="eastAsia"/>
          <w:b w:val="0"/>
          <w:bCs/>
          <w:sz w:val="33"/>
        </w:rPr>
      </w:pPr>
      <w:r>
        <w:rPr>
          <w:rFonts w:hint="eastAsia"/>
          <w:b w:val="0"/>
          <w:bCs/>
          <w:sz w:val="33"/>
        </w:rPr>
        <w:t>But what if someone (miraculously) cleared your eyes?</w:t>
      </w:r>
    </w:p>
    <w:p w14:paraId="6736C121">
      <w:pPr>
        <w:pStyle w:val="9"/>
        <w:spacing w:before="53"/>
        <w:ind w:left="0"/>
        <w:jc w:val="left"/>
        <w:rPr>
          <w:rFonts w:hint="eastAsia"/>
          <w:b w:val="0"/>
          <w:bCs/>
          <w:sz w:val="33"/>
        </w:rPr>
      </w:pPr>
    </w:p>
    <w:p w14:paraId="067054D3">
      <w:pPr>
        <w:pStyle w:val="9"/>
        <w:spacing w:before="53"/>
        <w:ind w:left="0"/>
        <w:jc w:val="left"/>
        <w:rPr>
          <w:rFonts w:hint="eastAsia"/>
          <w:b w:val="0"/>
          <w:bCs/>
          <w:sz w:val="33"/>
        </w:rPr>
      </w:pPr>
      <w:r>
        <w:rPr>
          <w:rFonts w:hint="eastAsia"/>
          <w:b w:val="0"/>
          <w:bCs/>
          <w:sz w:val="33"/>
        </w:rPr>
        <w:t>但如果有人（奇迹般地）擦亮了你的眼睛呢？</w:t>
      </w:r>
    </w:p>
    <w:p w14:paraId="791DD9E0">
      <w:pPr>
        <w:pStyle w:val="9"/>
        <w:spacing w:before="53"/>
        <w:ind w:left="0"/>
        <w:jc w:val="left"/>
        <w:rPr>
          <w:rFonts w:hint="eastAsia"/>
          <w:b w:val="0"/>
          <w:bCs/>
          <w:sz w:val="33"/>
        </w:rPr>
      </w:pPr>
    </w:p>
    <w:p w14:paraId="0470443F">
      <w:pPr>
        <w:pStyle w:val="9"/>
        <w:spacing w:before="53"/>
        <w:ind w:left="0"/>
        <w:jc w:val="left"/>
        <w:rPr>
          <w:rFonts w:hint="eastAsia"/>
          <w:b w:val="0"/>
          <w:bCs/>
          <w:sz w:val="33"/>
        </w:rPr>
      </w:pPr>
      <w:r>
        <w:rPr>
          <w:rFonts w:hint="eastAsia"/>
          <w:b w:val="0"/>
          <w:bCs/>
          <w:sz w:val="33"/>
        </w:rPr>
        <w:t>What if suddenly you could see your adversaries—and their weak spots as well— with perfect clarity?</w:t>
      </w:r>
    </w:p>
    <w:p w14:paraId="0061CF40">
      <w:pPr>
        <w:pStyle w:val="9"/>
        <w:spacing w:before="53"/>
        <w:ind w:left="0"/>
        <w:jc w:val="left"/>
        <w:rPr>
          <w:rFonts w:hint="eastAsia"/>
          <w:b w:val="0"/>
          <w:bCs/>
          <w:sz w:val="33"/>
        </w:rPr>
      </w:pPr>
    </w:p>
    <w:p w14:paraId="4A5007A7">
      <w:pPr>
        <w:pStyle w:val="9"/>
        <w:spacing w:before="53"/>
        <w:ind w:left="0"/>
        <w:jc w:val="left"/>
        <w:rPr>
          <w:rFonts w:hint="eastAsia"/>
          <w:b w:val="0"/>
          <w:bCs/>
          <w:sz w:val="33"/>
        </w:rPr>
      </w:pPr>
      <w:r>
        <w:rPr>
          <w:rFonts w:hint="eastAsia"/>
          <w:b w:val="0"/>
          <w:bCs/>
          <w:sz w:val="33"/>
        </w:rPr>
        <w:t>如果突然之间你能以完美的清晰度看见你的对手——以及他们的弱点呢？</w:t>
      </w:r>
    </w:p>
    <w:p w14:paraId="0AACA788">
      <w:pPr>
        <w:pStyle w:val="9"/>
        <w:spacing w:before="53"/>
        <w:ind w:left="0"/>
        <w:jc w:val="left"/>
        <w:rPr>
          <w:rFonts w:hint="eastAsia"/>
          <w:b w:val="0"/>
          <w:bCs/>
          <w:sz w:val="33"/>
        </w:rPr>
      </w:pPr>
    </w:p>
    <w:p w14:paraId="2B6B6C7E">
      <w:pPr>
        <w:pStyle w:val="9"/>
        <w:spacing w:before="53"/>
        <w:ind w:left="0"/>
        <w:jc w:val="left"/>
        <w:rPr>
          <w:rFonts w:hint="eastAsia"/>
          <w:b w:val="0"/>
          <w:bCs/>
          <w:sz w:val="33"/>
        </w:rPr>
      </w:pPr>
      <w:r>
        <w:rPr>
          <w:rFonts w:hint="eastAsia"/>
          <w:b w:val="0"/>
          <w:bCs/>
          <w:sz w:val="33"/>
        </w:rPr>
        <w:t>What if someone put a sword in your hand—or a few very big and very sharp keys—so that now you felt confident enough not only to fight back, but also to win?</w:t>
      </w:r>
    </w:p>
    <w:p w14:paraId="4DA1C532">
      <w:pPr>
        <w:pStyle w:val="9"/>
        <w:spacing w:before="53"/>
        <w:ind w:left="0"/>
        <w:jc w:val="left"/>
        <w:rPr>
          <w:rFonts w:hint="eastAsia"/>
          <w:b w:val="0"/>
          <w:bCs/>
          <w:sz w:val="33"/>
        </w:rPr>
      </w:pPr>
    </w:p>
    <w:p w14:paraId="71F86F81">
      <w:pPr>
        <w:pStyle w:val="9"/>
        <w:spacing w:before="53"/>
        <w:ind w:left="0"/>
        <w:jc w:val="left"/>
        <w:rPr>
          <w:rFonts w:hint="eastAsia"/>
          <w:b w:val="0"/>
          <w:bCs/>
          <w:sz w:val="33"/>
        </w:rPr>
      </w:pPr>
      <w:r>
        <w:rPr>
          <w:rFonts w:hint="eastAsia"/>
          <w:b w:val="0"/>
          <w:bCs/>
          <w:sz w:val="33"/>
        </w:rPr>
        <w:t>如果有人把一把剑放在你手中——或者几把又大又锋利的钥匙——以至于你现在不仅有信心反击，而且有信心获胜呢？</w:t>
      </w:r>
    </w:p>
    <w:p w14:paraId="5DF4DFFA">
      <w:pPr>
        <w:pStyle w:val="9"/>
        <w:spacing w:before="53"/>
        <w:ind w:left="0"/>
        <w:jc w:val="left"/>
        <w:rPr>
          <w:rFonts w:hint="eastAsia"/>
          <w:b w:val="0"/>
          <w:bCs/>
          <w:sz w:val="33"/>
        </w:rPr>
      </w:pPr>
    </w:p>
    <w:p w14:paraId="60A9733F">
      <w:pPr>
        <w:pStyle w:val="9"/>
        <w:spacing w:before="53"/>
        <w:ind w:left="0"/>
        <w:jc w:val="left"/>
        <w:rPr>
          <w:rFonts w:hint="eastAsia"/>
          <w:b w:val="0"/>
          <w:bCs/>
          <w:sz w:val="33"/>
        </w:rPr>
      </w:pPr>
      <w:r>
        <w:rPr>
          <w:rFonts w:hint="eastAsia"/>
          <w:b w:val="0"/>
          <w:bCs/>
          <w:sz w:val="33"/>
        </w:rPr>
        <w:t>“Impossible,” you say.</w:t>
      </w:r>
    </w:p>
    <w:p w14:paraId="1744CD5A">
      <w:pPr>
        <w:pStyle w:val="9"/>
        <w:spacing w:before="53"/>
        <w:ind w:left="0"/>
        <w:jc w:val="left"/>
        <w:rPr>
          <w:rFonts w:hint="eastAsia"/>
          <w:b w:val="0"/>
          <w:bCs/>
          <w:sz w:val="33"/>
        </w:rPr>
      </w:pPr>
    </w:p>
    <w:p w14:paraId="71130D11">
      <w:pPr>
        <w:pStyle w:val="9"/>
        <w:spacing w:before="53"/>
        <w:ind w:left="0"/>
        <w:jc w:val="left"/>
        <w:rPr>
          <w:rFonts w:hint="eastAsia"/>
          <w:b w:val="0"/>
          <w:bCs/>
          <w:sz w:val="33"/>
        </w:rPr>
      </w:pPr>
      <w:r>
        <w:rPr>
          <w:rFonts w:hint="eastAsia"/>
          <w:b w:val="0"/>
          <w:bCs/>
          <w:sz w:val="33"/>
        </w:rPr>
        <w:t>“不可能，”你说。</w:t>
      </w:r>
    </w:p>
    <w:p w14:paraId="58D67476">
      <w:pPr>
        <w:pStyle w:val="9"/>
        <w:spacing w:before="53"/>
        <w:ind w:left="0"/>
        <w:jc w:val="left"/>
        <w:rPr>
          <w:rFonts w:hint="eastAsia"/>
          <w:b w:val="0"/>
          <w:bCs/>
          <w:sz w:val="33"/>
        </w:rPr>
      </w:pPr>
    </w:p>
    <w:p w14:paraId="7A552746">
      <w:pPr>
        <w:pStyle w:val="9"/>
        <w:spacing w:before="53"/>
        <w:ind w:left="0"/>
        <w:jc w:val="left"/>
        <w:rPr>
          <w:rFonts w:hint="eastAsia"/>
          <w:b w:val="0"/>
          <w:bCs/>
          <w:sz w:val="33"/>
        </w:rPr>
      </w:pPr>
      <w:r>
        <w:rPr>
          <w:rFonts w:hint="eastAsia"/>
          <w:b w:val="0"/>
          <w:bCs/>
          <w:sz w:val="33"/>
        </w:rPr>
        <w:t>Read on.</w:t>
      </w:r>
    </w:p>
    <w:p w14:paraId="75C3E496">
      <w:pPr>
        <w:pStyle w:val="9"/>
        <w:spacing w:before="53"/>
        <w:ind w:left="0"/>
        <w:jc w:val="left"/>
        <w:rPr>
          <w:rFonts w:hint="eastAsia"/>
          <w:b w:val="0"/>
          <w:bCs/>
          <w:sz w:val="33"/>
        </w:rPr>
      </w:pPr>
    </w:p>
    <w:p w14:paraId="456EED05">
      <w:pPr>
        <w:pStyle w:val="9"/>
        <w:spacing w:before="53"/>
        <w:ind w:left="0"/>
        <w:jc w:val="left"/>
        <w:rPr>
          <w:b w:val="0"/>
          <w:bCs/>
          <w:sz w:val="33"/>
        </w:rPr>
      </w:pPr>
      <w:r>
        <w:rPr>
          <w:rFonts w:hint="eastAsia"/>
          <w:b w:val="0"/>
          <w:bCs/>
          <w:sz w:val="33"/>
        </w:rPr>
        <w:t>请继续读下去。</w:t>
      </w:r>
    </w:p>
    <w:p w14:paraId="583EE14C">
      <w:pPr>
        <w:pStyle w:val="9"/>
        <w:spacing w:before="6" w:line="249" w:lineRule="auto"/>
        <w:ind w:left="549" w:right="6094"/>
      </w:pPr>
      <w:r>
        <w:rPr>
          <w:color w:val="231F20"/>
        </w:rPr>
        <w:t>.</w:t>
      </w:r>
    </w:p>
    <w:p w14:paraId="285406FF">
      <w:pPr>
        <w:pStyle w:val="9"/>
        <w:spacing w:after="0" w:line="249" w:lineRule="auto"/>
        <w:sectPr>
          <w:pgSz w:w="12240" w:h="15840"/>
          <w:pgMar w:top="1380" w:right="1440" w:bottom="280" w:left="1440" w:header="720" w:footer="720" w:gutter="0"/>
          <w:cols w:space="720" w:num="1"/>
        </w:sectPr>
      </w:pPr>
    </w:p>
    <w:p w14:paraId="1B24F9AD">
      <w:pPr>
        <w:pStyle w:val="9"/>
        <w:spacing w:after="0" w:line="249" w:lineRule="auto"/>
      </w:pPr>
      <w:bookmarkStart w:id="13" w:name="Chapter 4: He has the Keys!"/>
      <w:bookmarkEnd w:id="13"/>
      <w:bookmarkStart w:id="14" w:name="_bookmark19"/>
      <w:bookmarkEnd w:id="14"/>
    </w:p>
    <w:p w14:paraId="77F1A79A">
      <w:pPr>
        <w:bidi w:val="0"/>
      </w:pPr>
    </w:p>
    <w:p w14:paraId="0C4E378A">
      <w:pPr>
        <w:pStyle w:val="2"/>
        <w:bidi w:val="0"/>
        <w:rPr>
          <w:rFonts w:hint="eastAsia"/>
          <w:lang w:eastAsia="zh-CN"/>
        </w:rPr>
      </w:pPr>
      <w:r>
        <w:rPr>
          <w:rFonts w:hint="eastAsia"/>
          <w:lang w:eastAsia="zh-CN"/>
        </w:rPr>
        <w:tab/>
      </w:r>
      <w:r>
        <w:rPr>
          <w:rFonts w:hint="eastAsia"/>
          <w:lang w:eastAsia="zh-CN"/>
        </w:rPr>
        <w:t>Chapter 4</w:t>
      </w:r>
    </w:p>
    <w:p w14:paraId="71F580B2">
      <w:pPr>
        <w:pStyle w:val="2"/>
        <w:bidi w:val="0"/>
        <w:rPr>
          <w:rFonts w:hint="eastAsia"/>
          <w:lang w:eastAsia="zh-CN"/>
        </w:rPr>
      </w:pPr>
      <w:r>
        <w:rPr>
          <w:rFonts w:hint="eastAsia"/>
          <w:lang w:eastAsia="zh-CN"/>
        </w:rPr>
        <w:t>第四章</w:t>
      </w:r>
    </w:p>
    <w:p w14:paraId="5EDBA0F6">
      <w:pPr>
        <w:tabs>
          <w:tab w:val="left" w:pos="400"/>
        </w:tabs>
        <w:bidi w:val="0"/>
        <w:jc w:val="left"/>
        <w:rPr>
          <w:rFonts w:hint="eastAsia" w:eastAsia="宋体"/>
          <w:sz w:val="30"/>
          <w:szCs w:val="30"/>
          <w:lang w:eastAsia="zh-CN"/>
        </w:rPr>
      </w:pPr>
    </w:p>
    <w:p w14:paraId="19636CB8">
      <w:pPr>
        <w:pStyle w:val="3"/>
        <w:bidi w:val="0"/>
        <w:rPr>
          <w:rFonts w:hint="eastAsia"/>
          <w:lang w:eastAsia="zh-CN"/>
        </w:rPr>
      </w:pPr>
      <w:r>
        <w:rPr>
          <w:rFonts w:hint="eastAsia"/>
          <w:lang w:eastAsia="zh-CN"/>
        </w:rPr>
        <w:t>He has the Keys!</w:t>
      </w:r>
    </w:p>
    <w:p w14:paraId="28CB67D4">
      <w:pPr>
        <w:pStyle w:val="3"/>
        <w:bidi w:val="0"/>
        <w:rPr>
          <w:rFonts w:hint="eastAsia"/>
          <w:lang w:eastAsia="zh-CN"/>
        </w:rPr>
      </w:pPr>
      <w:r>
        <w:rPr>
          <w:rFonts w:hint="eastAsia"/>
          <w:lang w:eastAsia="zh-CN"/>
        </w:rPr>
        <w:t>祂拿着众钥匙！</w:t>
      </w:r>
    </w:p>
    <w:p w14:paraId="0D986488">
      <w:pPr>
        <w:tabs>
          <w:tab w:val="left" w:pos="400"/>
        </w:tabs>
        <w:bidi w:val="0"/>
        <w:jc w:val="left"/>
        <w:rPr>
          <w:rFonts w:hint="eastAsia" w:eastAsia="宋体"/>
          <w:sz w:val="30"/>
          <w:szCs w:val="30"/>
          <w:lang w:eastAsia="zh-CN"/>
        </w:rPr>
      </w:pPr>
    </w:p>
    <w:p w14:paraId="085746B3">
      <w:pPr>
        <w:tabs>
          <w:tab w:val="left" w:pos="400"/>
        </w:tabs>
        <w:bidi w:val="0"/>
        <w:jc w:val="left"/>
        <w:rPr>
          <w:rFonts w:hint="eastAsia" w:eastAsia="宋体"/>
          <w:sz w:val="30"/>
          <w:szCs w:val="30"/>
          <w:lang w:eastAsia="zh-CN"/>
        </w:rPr>
      </w:pPr>
      <w:r>
        <w:rPr>
          <w:rFonts w:hint="eastAsia" w:eastAsia="宋体"/>
          <w:sz w:val="30"/>
          <w:szCs w:val="30"/>
          <w:lang w:eastAsia="zh-CN"/>
        </w:rPr>
        <w:t>WE HAVE COME upon a closed a closed door.</w:t>
      </w:r>
    </w:p>
    <w:p w14:paraId="7D2DE696">
      <w:pPr>
        <w:tabs>
          <w:tab w:val="left" w:pos="400"/>
        </w:tabs>
        <w:bidi w:val="0"/>
        <w:jc w:val="left"/>
        <w:rPr>
          <w:rFonts w:hint="eastAsia" w:eastAsia="宋体"/>
          <w:sz w:val="30"/>
          <w:szCs w:val="30"/>
          <w:lang w:eastAsia="zh-CN"/>
        </w:rPr>
      </w:pPr>
    </w:p>
    <w:p w14:paraId="7E298A2B">
      <w:pPr>
        <w:tabs>
          <w:tab w:val="left" w:pos="400"/>
        </w:tabs>
        <w:bidi w:val="0"/>
        <w:jc w:val="left"/>
        <w:rPr>
          <w:rFonts w:hint="eastAsia" w:eastAsia="宋体"/>
          <w:sz w:val="30"/>
          <w:szCs w:val="30"/>
          <w:lang w:eastAsia="zh-CN"/>
        </w:rPr>
      </w:pPr>
      <w:r>
        <w:rPr>
          <w:rFonts w:hint="eastAsia" w:eastAsia="宋体"/>
          <w:sz w:val="30"/>
          <w:szCs w:val="30"/>
          <w:lang w:eastAsia="zh-CN"/>
        </w:rPr>
        <w:t>我们来到了一个关闭的门前。</w:t>
      </w:r>
    </w:p>
    <w:p w14:paraId="60FD69E6">
      <w:pPr>
        <w:tabs>
          <w:tab w:val="left" w:pos="400"/>
        </w:tabs>
        <w:bidi w:val="0"/>
        <w:jc w:val="left"/>
        <w:rPr>
          <w:rFonts w:hint="eastAsia" w:eastAsia="宋体"/>
          <w:sz w:val="30"/>
          <w:szCs w:val="30"/>
          <w:lang w:eastAsia="zh-CN"/>
        </w:rPr>
      </w:pPr>
    </w:p>
    <w:p w14:paraId="6FAC7186">
      <w:pPr>
        <w:tabs>
          <w:tab w:val="left" w:pos="400"/>
        </w:tabs>
        <w:bidi w:val="0"/>
        <w:jc w:val="left"/>
        <w:rPr>
          <w:rFonts w:hint="eastAsia" w:eastAsia="宋体"/>
          <w:sz w:val="30"/>
          <w:szCs w:val="30"/>
          <w:lang w:eastAsia="zh-CN"/>
        </w:rPr>
      </w:pPr>
      <w:r>
        <w:rPr>
          <w:rFonts w:hint="eastAsia" w:eastAsia="宋体"/>
          <w:sz w:val="30"/>
          <w:szCs w:val="30"/>
          <w:lang w:eastAsia="zh-CN"/>
        </w:rPr>
        <w:t>Four of them, actually: the Kingdom of God, the proper interpretation of OTKP, the Millennium, and the Consummation.</w:t>
      </w:r>
    </w:p>
    <w:p w14:paraId="506E1287">
      <w:pPr>
        <w:tabs>
          <w:tab w:val="left" w:pos="400"/>
        </w:tabs>
        <w:bidi w:val="0"/>
        <w:jc w:val="left"/>
        <w:rPr>
          <w:rFonts w:hint="eastAsia" w:eastAsia="宋体"/>
          <w:sz w:val="30"/>
          <w:szCs w:val="30"/>
          <w:lang w:eastAsia="zh-CN"/>
        </w:rPr>
      </w:pPr>
    </w:p>
    <w:p w14:paraId="41298B5F">
      <w:pPr>
        <w:tabs>
          <w:tab w:val="left" w:pos="400"/>
        </w:tabs>
        <w:bidi w:val="0"/>
        <w:jc w:val="left"/>
        <w:rPr>
          <w:rFonts w:hint="eastAsia" w:eastAsia="宋体"/>
          <w:sz w:val="30"/>
          <w:szCs w:val="30"/>
          <w:lang w:eastAsia="zh-CN"/>
        </w:rPr>
      </w:pPr>
      <w:r>
        <w:rPr>
          <w:rFonts w:hint="eastAsia" w:eastAsia="宋体"/>
          <w:sz w:val="30"/>
          <w:szCs w:val="30"/>
          <w:lang w:eastAsia="zh-CN"/>
        </w:rPr>
        <w:t>实际上是四扇门：神的国、对旧约国度预言的正确解释、千禧年，以及最终的成全。</w:t>
      </w:r>
    </w:p>
    <w:p w14:paraId="1D568AD5">
      <w:pPr>
        <w:tabs>
          <w:tab w:val="left" w:pos="400"/>
        </w:tabs>
        <w:bidi w:val="0"/>
        <w:jc w:val="left"/>
        <w:rPr>
          <w:rFonts w:hint="eastAsia" w:eastAsia="宋体"/>
          <w:sz w:val="30"/>
          <w:szCs w:val="30"/>
          <w:lang w:eastAsia="zh-CN"/>
        </w:rPr>
      </w:pPr>
    </w:p>
    <w:p w14:paraId="4A521DEB">
      <w:pPr>
        <w:tabs>
          <w:tab w:val="left" w:pos="400"/>
        </w:tabs>
        <w:bidi w:val="0"/>
        <w:jc w:val="left"/>
        <w:rPr>
          <w:rFonts w:hint="eastAsia" w:eastAsia="宋体"/>
          <w:sz w:val="30"/>
          <w:szCs w:val="30"/>
          <w:lang w:eastAsia="zh-CN"/>
        </w:rPr>
      </w:pPr>
      <w:r>
        <w:rPr>
          <w:rFonts w:hint="eastAsia" w:eastAsia="宋体"/>
          <w:sz w:val="30"/>
          <w:szCs w:val="30"/>
          <w:lang w:eastAsia="zh-CN"/>
        </w:rPr>
        <w:t>There are locks, bolts, and bars everywhere.</w:t>
      </w:r>
    </w:p>
    <w:p w14:paraId="1CFFF0DF">
      <w:pPr>
        <w:tabs>
          <w:tab w:val="left" w:pos="400"/>
        </w:tabs>
        <w:bidi w:val="0"/>
        <w:jc w:val="left"/>
        <w:rPr>
          <w:rFonts w:hint="eastAsia" w:eastAsia="宋体"/>
          <w:sz w:val="30"/>
          <w:szCs w:val="30"/>
          <w:lang w:eastAsia="zh-CN"/>
        </w:rPr>
      </w:pPr>
    </w:p>
    <w:p w14:paraId="27EA70DC">
      <w:pPr>
        <w:tabs>
          <w:tab w:val="left" w:pos="400"/>
        </w:tabs>
        <w:bidi w:val="0"/>
        <w:jc w:val="left"/>
        <w:rPr>
          <w:rFonts w:hint="eastAsia" w:eastAsia="宋体"/>
          <w:sz w:val="30"/>
          <w:szCs w:val="30"/>
          <w:lang w:eastAsia="zh-CN"/>
        </w:rPr>
      </w:pPr>
      <w:r>
        <w:rPr>
          <w:rFonts w:hint="eastAsia" w:eastAsia="宋体"/>
          <w:sz w:val="30"/>
          <w:szCs w:val="30"/>
          <w:lang w:eastAsia="zh-CN"/>
        </w:rPr>
        <w:t>到处都是锁、闩和杠。</w:t>
      </w:r>
    </w:p>
    <w:p w14:paraId="40785EA0">
      <w:pPr>
        <w:tabs>
          <w:tab w:val="left" w:pos="400"/>
        </w:tabs>
        <w:bidi w:val="0"/>
        <w:jc w:val="left"/>
        <w:rPr>
          <w:rFonts w:hint="eastAsia" w:eastAsia="宋体"/>
          <w:sz w:val="30"/>
          <w:szCs w:val="30"/>
          <w:lang w:eastAsia="zh-CN"/>
        </w:rPr>
      </w:pPr>
    </w:p>
    <w:p w14:paraId="50D3CD9C">
      <w:pPr>
        <w:tabs>
          <w:tab w:val="left" w:pos="400"/>
        </w:tabs>
        <w:bidi w:val="0"/>
        <w:jc w:val="left"/>
        <w:rPr>
          <w:rFonts w:hint="eastAsia" w:eastAsia="宋体"/>
          <w:sz w:val="30"/>
          <w:szCs w:val="30"/>
          <w:lang w:eastAsia="zh-CN"/>
        </w:rPr>
      </w:pPr>
      <w:r>
        <w:rPr>
          <w:rFonts w:hint="eastAsia" w:eastAsia="宋体"/>
          <w:sz w:val="30"/>
          <w:szCs w:val="30"/>
          <w:lang w:eastAsia="zh-CN"/>
        </w:rPr>
        <w:t>Confusion, contention, discouragement—even theological despair—all stand guard like giants arrayed against us.</w:t>
      </w:r>
    </w:p>
    <w:p w14:paraId="246CDDC2">
      <w:pPr>
        <w:tabs>
          <w:tab w:val="left" w:pos="400"/>
        </w:tabs>
        <w:bidi w:val="0"/>
        <w:jc w:val="left"/>
        <w:rPr>
          <w:rFonts w:hint="eastAsia" w:eastAsia="宋体"/>
          <w:sz w:val="30"/>
          <w:szCs w:val="30"/>
          <w:lang w:eastAsia="zh-CN"/>
        </w:rPr>
      </w:pPr>
    </w:p>
    <w:p w14:paraId="45EC8025">
      <w:pPr>
        <w:tabs>
          <w:tab w:val="left" w:pos="400"/>
        </w:tabs>
        <w:bidi w:val="0"/>
        <w:jc w:val="left"/>
        <w:rPr>
          <w:rFonts w:hint="eastAsia" w:eastAsia="宋体"/>
          <w:sz w:val="30"/>
          <w:szCs w:val="30"/>
          <w:lang w:eastAsia="zh-CN"/>
        </w:rPr>
      </w:pPr>
      <w:r>
        <w:rPr>
          <w:rFonts w:hint="eastAsia" w:eastAsia="宋体"/>
          <w:sz w:val="30"/>
          <w:szCs w:val="30"/>
          <w:lang w:eastAsia="zh-CN"/>
        </w:rPr>
        <w:t>困惑、争论、灰心——甚至神学上的绝望——都像巨人一样排列在我们面前守卫着。</w:t>
      </w:r>
    </w:p>
    <w:p w14:paraId="7CEE6818">
      <w:pPr>
        <w:tabs>
          <w:tab w:val="left" w:pos="400"/>
        </w:tabs>
        <w:bidi w:val="0"/>
        <w:jc w:val="left"/>
        <w:rPr>
          <w:rFonts w:hint="eastAsia" w:eastAsia="宋体"/>
          <w:sz w:val="30"/>
          <w:szCs w:val="30"/>
          <w:lang w:eastAsia="zh-CN"/>
        </w:rPr>
      </w:pPr>
    </w:p>
    <w:p w14:paraId="1F541436">
      <w:pPr>
        <w:tabs>
          <w:tab w:val="left" w:pos="400"/>
        </w:tabs>
        <w:bidi w:val="0"/>
        <w:jc w:val="left"/>
        <w:rPr>
          <w:rFonts w:hint="eastAsia" w:eastAsia="宋体"/>
          <w:sz w:val="30"/>
          <w:szCs w:val="30"/>
          <w:lang w:eastAsia="zh-CN"/>
        </w:rPr>
      </w:pPr>
      <w:r>
        <w:rPr>
          <w:rFonts w:hint="eastAsia" w:eastAsia="宋体"/>
          <w:sz w:val="30"/>
          <w:szCs w:val="30"/>
          <w:lang w:eastAsia="zh-CN"/>
        </w:rPr>
        <w:t>How shall we ever enter in?</w:t>
      </w:r>
    </w:p>
    <w:p w14:paraId="268BD154">
      <w:pPr>
        <w:tabs>
          <w:tab w:val="left" w:pos="400"/>
        </w:tabs>
        <w:bidi w:val="0"/>
        <w:jc w:val="left"/>
        <w:rPr>
          <w:rFonts w:hint="eastAsia" w:eastAsia="宋体"/>
          <w:sz w:val="30"/>
          <w:szCs w:val="30"/>
          <w:lang w:eastAsia="zh-CN"/>
        </w:rPr>
      </w:pPr>
    </w:p>
    <w:p w14:paraId="63016DD8">
      <w:pPr>
        <w:tabs>
          <w:tab w:val="left" w:pos="400"/>
        </w:tabs>
        <w:bidi w:val="0"/>
        <w:jc w:val="left"/>
        <w:rPr>
          <w:rFonts w:hint="eastAsia" w:eastAsia="宋体"/>
          <w:sz w:val="30"/>
          <w:szCs w:val="30"/>
          <w:lang w:eastAsia="zh-CN"/>
        </w:rPr>
      </w:pPr>
      <w:r>
        <w:rPr>
          <w:rFonts w:hint="eastAsia" w:eastAsia="宋体"/>
          <w:sz w:val="30"/>
          <w:szCs w:val="30"/>
          <w:lang w:eastAsia="zh-CN"/>
        </w:rPr>
        <w:t>我们该如何才能进去呢？</w:t>
      </w:r>
    </w:p>
    <w:p w14:paraId="6389C573">
      <w:pPr>
        <w:tabs>
          <w:tab w:val="left" w:pos="400"/>
        </w:tabs>
        <w:bidi w:val="0"/>
        <w:jc w:val="left"/>
        <w:rPr>
          <w:rFonts w:hint="eastAsia" w:eastAsia="宋体"/>
          <w:sz w:val="30"/>
          <w:szCs w:val="30"/>
          <w:lang w:eastAsia="zh-CN"/>
        </w:rPr>
      </w:pPr>
    </w:p>
    <w:p w14:paraId="0245FF9B">
      <w:pPr>
        <w:tabs>
          <w:tab w:val="left" w:pos="400"/>
        </w:tabs>
        <w:bidi w:val="0"/>
        <w:jc w:val="left"/>
        <w:rPr>
          <w:rFonts w:hint="eastAsia" w:eastAsia="宋体"/>
          <w:sz w:val="30"/>
          <w:szCs w:val="30"/>
          <w:lang w:eastAsia="zh-CN"/>
        </w:rPr>
      </w:pPr>
      <w:r>
        <w:rPr>
          <w:rFonts w:hint="eastAsia" w:eastAsia="宋体"/>
          <w:sz w:val="30"/>
          <w:szCs w:val="30"/>
          <w:lang w:eastAsia="zh-CN"/>
        </w:rPr>
        <w:t>In the present chapter, I offer the single most important response to that crucial question.</w:t>
      </w:r>
    </w:p>
    <w:p w14:paraId="18782940">
      <w:pPr>
        <w:tabs>
          <w:tab w:val="left" w:pos="400"/>
        </w:tabs>
        <w:bidi w:val="0"/>
        <w:jc w:val="left"/>
        <w:rPr>
          <w:rFonts w:hint="eastAsia" w:eastAsia="宋体"/>
          <w:sz w:val="30"/>
          <w:szCs w:val="30"/>
          <w:lang w:eastAsia="zh-CN"/>
        </w:rPr>
      </w:pPr>
    </w:p>
    <w:p w14:paraId="731E4A82">
      <w:pPr>
        <w:tabs>
          <w:tab w:val="left" w:pos="400"/>
        </w:tabs>
        <w:bidi w:val="0"/>
        <w:jc w:val="left"/>
        <w:rPr>
          <w:rFonts w:hint="eastAsia" w:eastAsia="宋体"/>
          <w:sz w:val="30"/>
          <w:szCs w:val="30"/>
          <w:lang w:eastAsia="zh-CN"/>
        </w:rPr>
      </w:pPr>
      <w:r>
        <w:rPr>
          <w:rFonts w:hint="eastAsia" w:eastAsia="宋体"/>
          <w:sz w:val="30"/>
          <w:szCs w:val="30"/>
          <w:lang w:eastAsia="zh-CN"/>
        </w:rPr>
        <w:t>在本章中，我为那个关键问题提供了唯一最重要的回应。</w:t>
      </w:r>
    </w:p>
    <w:p w14:paraId="03550879">
      <w:pPr>
        <w:tabs>
          <w:tab w:val="left" w:pos="400"/>
        </w:tabs>
        <w:bidi w:val="0"/>
        <w:jc w:val="left"/>
        <w:rPr>
          <w:rFonts w:hint="eastAsia" w:eastAsia="宋体"/>
          <w:sz w:val="30"/>
          <w:szCs w:val="30"/>
          <w:lang w:eastAsia="zh-CN"/>
        </w:rPr>
      </w:pPr>
    </w:p>
    <w:p w14:paraId="7DB8E4AA">
      <w:pPr>
        <w:tabs>
          <w:tab w:val="left" w:pos="400"/>
        </w:tabs>
        <w:bidi w:val="0"/>
        <w:jc w:val="left"/>
        <w:rPr>
          <w:rFonts w:hint="eastAsia" w:eastAsia="宋体"/>
          <w:sz w:val="30"/>
          <w:szCs w:val="30"/>
          <w:lang w:eastAsia="zh-CN"/>
        </w:rPr>
      </w:pPr>
      <w:r>
        <w:rPr>
          <w:rFonts w:hint="eastAsia" w:eastAsia="宋体"/>
          <w:sz w:val="30"/>
          <w:szCs w:val="30"/>
          <w:lang w:eastAsia="zh-CN"/>
        </w:rPr>
        <w:t>It is this: The only way we shall ever enter in is by recognizing that he—the Lord Jesus Christ—has the keys.</w:t>
      </w:r>
    </w:p>
    <w:p w14:paraId="727E8BA8">
      <w:pPr>
        <w:tabs>
          <w:tab w:val="left" w:pos="400"/>
        </w:tabs>
        <w:bidi w:val="0"/>
        <w:jc w:val="left"/>
        <w:rPr>
          <w:rFonts w:hint="eastAsia" w:eastAsia="宋体"/>
          <w:sz w:val="30"/>
          <w:szCs w:val="30"/>
          <w:lang w:eastAsia="zh-CN"/>
        </w:rPr>
      </w:pPr>
    </w:p>
    <w:p w14:paraId="294FD218">
      <w:pPr>
        <w:tabs>
          <w:tab w:val="left" w:pos="400"/>
        </w:tabs>
        <w:bidi w:val="0"/>
        <w:jc w:val="left"/>
        <w:rPr>
          <w:rFonts w:hint="eastAsia" w:eastAsia="宋体"/>
          <w:sz w:val="30"/>
          <w:szCs w:val="30"/>
          <w:lang w:eastAsia="zh-CN"/>
        </w:rPr>
      </w:pPr>
      <w:r>
        <w:rPr>
          <w:rFonts w:hint="eastAsia" w:eastAsia="宋体"/>
          <w:sz w:val="30"/>
          <w:szCs w:val="30"/>
          <w:lang w:eastAsia="zh-CN"/>
        </w:rPr>
        <w:t>那就是：我们能进去的唯一方法，是认识到祂——主耶稣基督——拿着众钥匙。</w:t>
      </w:r>
    </w:p>
    <w:p w14:paraId="7B7B0767">
      <w:pPr>
        <w:tabs>
          <w:tab w:val="left" w:pos="400"/>
        </w:tabs>
        <w:bidi w:val="0"/>
        <w:jc w:val="left"/>
        <w:rPr>
          <w:rFonts w:hint="eastAsia" w:eastAsia="宋体"/>
          <w:sz w:val="30"/>
          <w:szCs w:val="30"/>
          <w:lang w:eastAsia="zh-CN"/>
        </w:rPr>
      </w:pPr>
    </w:p>
    <w:p w14:paraId="06327A05">
      <w:pPr>
        <w:tabs>
          <w:tab w:val="left" w:pos="400"/>
        </w:tabs>
        <w:bidi w:val="0"/>
        <w:jc w:val="left"/>
        <w:rPr>
          <w:rFonts w:hint="eastAsia" w:eastAsia="宋体"/>
          <w:sz w:val="30"/>
          <w:szCs w:val="30"/>
          <w:lang w:eastAsia="zh-CN"/>
        </w:rPr>
      </w:pPr>
      <w:r>
        <w:rPr>
          <w:rFonts w:hint="eastAsia" w:eastAsia="宋体"/>
          <w:sz w:val="30"/>
          <w:szCs w:val="30"/>
          <w:lang w:eastAsia="zh-CN"/>
        </w:rPr>
        <w:t>No one in heaven, on earth, or under the earth can open these three doors.</w:t>
      </w:r>
    </w:p>
    <w:p w14:paraId="4AF85254">
      <w:pPr>
        <w:tabs>
          <w:tab w:val="left" w:pos="400"/>
        </w:tabs>
        <w:bidi w:val="0"/>
        <w:jc w:val="left"/>
        <w:rPr>
          <w:rFonts w:hint="eastAsia" w:eastAsia="宋体"/>
          <w:sz w:val="30"/>
          <w:szCs w:val="30"/>
          <w:lang w:eastAsia="zh-CN"/>
        </w:rPr>
      </w:pPr>
    </w:p>
    <w:p w14:paraId="3CE691FF">
      <w:pPr>
        <w:tabs>
          <w:tab w:val="left" w:pos="400"/>
        </w:tabs>
        <w:bidi w:val="0"/>
        <w:jc w:val="left"/>
        <w:rPr>
          <w:rFonts w:hint="eastAsia" w:eastAsia="宋体"/>
          <w:sz w:val="30"/>
          <w:szCs w:val="30"/>
          <w:lang w:eastAsia="zh-CN"/>
        </w:rPr>
      </w:pPr>
      <w:r>
        <w:rPr>
          <w:rFonts w:hint="eastAsia" w:eastAsia="宋体"/>
          <w:sz w:val="30"/>
          <w:szCs w:val="30"/>
          <w:lang w:eastAsia="zh-CN"/>
        </w:rPr>
        <w:t>在天上、地上、或地底下，没有人能打开这三扇门。</w:t>
      </w:r>
    </w:p>
    <w:p w14:paraId="4B8C744E">
      <w:pPr>
        <w:tabs>
          <w:tab w:val="left" w:pos="400"/>
        </w:tabs>
        <w:bidi w:val="0"/>
        <w:jc w:val="left"/>
        <w:rPr>
          <w:rFonts w:hint="eastAsia" w:eastAsia="宋体"/>
          <w:sz w:val="30"/>
          <w:szCs w:val="30"/>
          <w:lang w:eastAsia="zh-CN"/>
        </w:rPr>
      </w:pPr>
    </w:p>
    <w:p w14:paraId="5C7A3BFB">
      <w:pPr>
        <w:tabs>
          <w:tab w:val="left" w:pos="400"/>
        </w:tabs>
        <w:bidi w:val="0"/>
        <w:jc w:val="left"/>
        <w:rPr>
          <w:rFonts w:hint="eastAsia" w:eastAsia="宋体"/>
          <w:sz w:val="30"/>
          <w:szCs w:val="30"/>
          <w:lang w:eastAsia="zh-CN"/>
        </w:rPr>
      </w:pPr>
      <w:r>
        <w:rPr>
          <w:rFonts w:hint="eastAsia" w:eastAsia="宋体"/>
          <w:sz w:val="30"/>
          <w:szCs w:val="30"/>
          <w:lang w:eastAsia="zh-CN"/>
        </w:rPr>
        <w:t>God the Father has ordained it so, having placed the Key of Knowledge on the shoulder of his only-begotten Son.</w:t>
      </w:r>
    </w:p>
    <w:p w14:paraId="42F2CBFE">
      <w:pPr>
        <w:tabs>
          <w:tab w:val="left" w:pos="400"/>
        </w:tabs>
        <w:bidi w:val="0"/>
        <w:jc w:val="left"/>
        <w:rPr>
          <w:rFonts w:hint="eastAsia" w:eastAsia="宋体"/>
          <w:sz w:val="30"/>
          <w:szCs w:val="30"/>
          <w:lang w:eastAsia="zh-CN"/>
        </w:rPr>
      </w:pPr>
    </w:p>
    <w:p w14:paraId="7BF25056">
      <w:pPr>
        <w:tabs>
          <w:tab w:val="left" w:pos="400"/>
        </w:tabs>
        <w:bidi w:val="0"/>
        <w:jc w:val="left"/>
        <w:rPr>
          <w:rFonts w:hint="eastAsia" w:eastAsia="宋体"/>
          <w:sz w:val="30"/>
          <w:szCs w:val="30"/>
          <w:lang w:eastAsia="zh-CN"/>
        </w:rPr>
      </w:pPr>
      <w:r>
        <w:rPr>
          <w:rFonts w:hint="eastAsia" w:eastAsia="宋体"/>
          <w:sz w:val="30"/>
          <w:szCs w:val="30"/>
          <w:lang w:eastAsia="zh-CN"/>
        </w:rPr>
        <w:t>父神已如此命定，将知识的钥匙放在祂独生子的肩上。</w:t>
      </w:r>
    </w:p>
    <w:p w14:paraId="3EB5CDF7">
      <w:pPr>
        <w:tabs>
          <w:tab w:val="left" w:pos="400"/>
        </w:tabs>
        <w:bidi w:val="0"/>
        <w:jc w:val="left"/>
        <w:rPr>
          <w:rFonts w:hint="eastAsia" w:eastAsia="宋体"/>
          <w:sz w:val="30"/>
          <w:szCs w:val="30"/>
          <w:lang w:eastAsia="zh-CN"/>
        </w:rPr>
      </w:pPr>
    </w:p>
    <w:p w14:paraId="19FF8552">
      <w:pPr>
        <w:tabs>
          <w:tab w:val="left" w:pos="400"/>
        </w:tabs>
        <w:bidi w:val="0"/>
        <w:jc w:val="left"/>
        <w:rPr>
          <w:rFonts w:hint="eastAsia" w:eastAsia="宋体"/>
          <w:sz w:val="30"/>
          <w:szCs w:val="30"/>
          <w:lang w:eastAsia="zh-CN"/>
        </w:rPr>
      </w:pPr>
      <w:r>
        <w:rPr>
          <w:rFonts w:hint="eastAsia" w:eastAsia="宋体"/>
          <w:sz w:val="30"/>
          <w:szCs w:val="30"/>
          <w:lang w:eastAsia="zh-CN"/>
        </w:rPr>
        <w:t>Accordingly, if the Lord Jesus shuts, no one can open; and if he opens, no one can shut.</w:t>
      </w:r>
    </w:p>
    <w:p w14:paraId="279A27EE">
      <w:pPr>
        <w:tabs>
          <w:tab w:val="left" w:pos="400"/>
        </w:tabs>
        <w:bidi w:val="0"/>
        <w:jc w:val="left"/>
        <w:rPr>
          <w:rFonts w:hint="eastAsia" w:eastAsia="宋体"/>
          <w:sz w:val="30"/>
          <w:szCs w:val="30"/>
          <w:lang w:eastAsia="zh-CN"/>
        </w:rPr>
      </w:pPr>
    </w:p>
    <w:p w14:paraId="3F42C8F1">
      <w:pPr>
        <w:tabs>
          <w:tab w:val="left" w:pos="400"/>
        </w:tabs>
        <w:bidi w:val="0"/>
        <w:jc w:val="left"/>
        <w:rPr>
          <w:rFonts w:hint="eastAsia" w:eastAsia="宋体"/>
          <w:sz w:val="30"/>
          <w:szCs w:val="30"/>
          <w:lang w:eastAsia="zh-CN"/>
        </w:rPr>
      </w:pPr>
      <w:r>
        <w:rPr>
          <w:rFonts w:hint="eastAsia" w:eastAsia="宋体"/>
          <w:sz w:val="30"/>
          <w:szCs w:val="30"/>
          <w:lang w:eastAsia="zh-CN"/>
        </w:rPr>
        <w:t>因此，主耶稣若关闭，无人能开；祂若开启，无人能关。</w:t>
      </w:r>
    </w:p>
    <w:p w14:paraId="2DB7D29C">
      <w:pPr>
        <w:tabs>
          <w:tab w:val="left" w:pos="400"/>
        </w:tabs>
        <w:bidi w:val="0"/>
        <w:jc w:val="left"/>
        <w:rPr>
          <w:rFonts w:hint="eastAsia" w:eastAsia="宋体"/>
          <w:sz w:val="30"/>
          <w:szCs w:val="30"/>
          <w:lang w:eastAsia="zh-CN"/>
        </w:rPr>
      </w:pPr>
    </w:p>
    <w:p w14:paraId="07FE9A78">
      <w:pPr>
        <w:tabs>
          <w:tab w:val="left" w:pos="400"/>
        </w:tabs>
        <w:bidi w:val="0"/>
        <w:jc w:val="left"/>
        <w:rPr>
          <w:rFonts w:hint="eastAsia" w:eastAsia="宋体"/>
          <w:sz w:val="30"/>
          <w:szCs w:val="30"/>
          <w:lang w:eastAsia="zh-CN"/>
        </w:rPr>
      </w:pPr>
      <w:r>
        <w:rPr>
          <w:rFonts w:hint="eastAsia" w:eastAsia="宋体"/>
          <w:sz w:val="30"/>
          <w:szCs w:val="30"/>
          <w:lang w:eastAsia="zh-CN"/>
        </w:rPr>
        <w:t>He, and he alone, has the keys (Isaiah 22:22, Luke 11:53, John 5:23. Rev. 3:7).</w:t>
      </w:r>
    </w:p>
    <w:p w14:paraId="3C522AE9">
      <w:pPr>
        <w:tabs>
          <w:tab w:val="left" w:pos="400"/>
        </w:tabs>
        <w:bidi w:val="0"/>
        <w:jc w:val="left"/>
        <w:rPr>
          <w:rFonts w:hint="eastAsia" w:eastAsia="宋体"/>
          <w:sz w:val="30"/>
          <w:szCs w:val="30"/>
          <w:lang w:eastAsia="zh-CN"/>
        </w:rPr>
      </w:pPr>
    </w:p>
    <w:p w14:paraId="630FCEA9">
      <w:pPr>
        <w:tabs>
          <w:tab w:val="left" w:pos="400"/>
        </w:tabs>
        <w:bidi w:val="0"/>
        <w:jc w:val="left"/>
        <w:rPr>
          <w:rFonts w:hint="eastAsia" w:eastAsia="宋体"/>
          <w:sz w:val="30"/>
          <w:szCs w:val="30"/>
          <w:lang w:eastAsia="zh-CN"/>
        </w:rPr>
      </w:pPr>
      <w:r>
        <w:rPr>
          <w:rFonts w:hint="eastAsia" w:eastAsia="宋体"/>
          <w:sz w:val="30"/>
          <w:szCs w:val="30"/>
          <w:lang w:eastAsia="zh-CN"/>
        </w:rPr>
        <w:t>祂，且惟有祂，拿着众钥匙（以赛亚书 22:22, 路加福音 11:53, 约翰福音 5:23, 启示录 3:7）。</w:t>
      </w:r>
    </w:p>
    <w:p w14:paraId="484C7B36">
      <w:pPr>
        <w:tabs>
          <w:tab w:val="left" w:pos="400"/>
        </w:tabs>
        <w:bidi w:val="0"/>
        <w:jc w:val="left"/>
        <w:rPr>
          <w:rFonts w:hint="eastAsia" w:eastAsia="宋体"/>
          <w:sz w:val="30"/>
          <w:szCs w:val="30"/>
          <w:lang w:eastAsia="zh-CN"/>
        </w:rPr>
      </w:pPr>
    </w:p>
    <w:p w14:paraId="7A7A7582">
      <w:pPr>
        <w:tabs>
          <w:tab w:val="left" w:pos="400"/>
        </w:tabs>
        <w:bidi w:val="0"/>
        <w:jc w:val="left"/>
        <w:rPr>
          <w:rFonts w:hint="eastAsia" w:eastAsia="宋体"/>
          <w:sz w:val="30"/>
          <w:szCs w:val="30"/>
          <w:lang w:eastAsia="zh-CN"/>
        </w:rPr>
      </w:pPr>
      <w:r>
        <w:rPr>
          <w:rFonts w:hint="eastAsia" w:eastAsia="宋体"/>
          <w:sz w:val="30"/>
          <w:szCs w:val="30"/>
          <w:lang w:eastAsia="zh-CN"/>
        </w:rPr>
        <w:t>I am persuaded that in their deep heart all Christians know this.</w:t>
      </w:r>
    </w:p>
    <w:p w14:paraId="48E58C6F">
      <w:pPr>
        <w:tabs>
          <w:tab w:val="left" w:pos="400"/>
        </w:tabs>
        <w:bidi w:val="0"/>
        <w:jc w:val="left"/>
        <w:rPr>
          <w:rFonts w:hint="eastAsia" w:eastAsia="宋体"/>
          <w:sz w:val="30"/>
          <w:szCs w:val="30"/>
          <w:lang w:eastAsia="zh-CN"/>
        </w:rPr>
      </w:pPr>
    </w:p>
    <w:p w14:paraId="233D057C">
      <w:pPr>
        <w:tabs>
          <w:tab w:val="left" w:pos="400"/>
        </w:tabs>
        <w:bidi w:val="0"/>
        <w:jc w:val="left"/>
        <w:rPr>
          <w:rFonts w:hint="eastAsia" w:eastAsia="宋体"/>
          <w:sz w:val="30"/>
          <w:szCs w:val="30"/>
          <w:lang w:eastAsia="zh-CN"/>
        </w:rPr>
      </w:pPr>
      <w:r>
        <w:rPr>
          <w:rFonts w:hint="eastAsia" w:eastAsia="宋体"/>
          <w:sz w:val="30"/>
          <w:szCs w:val="30"/>
          <w:lang w:eastAsia="zh-CN"/>
        </w:rPr>
        <w:t>我深信，在内心深处，所有基督徒都知道这一点。</w:t>
      </w:r>
    </w:p>
    <w:p w14:paraId="0A73281F">
      <w:pPr>
        <w:tabs>
          <w:tab w:val="left" w:pos="400"/>
        </w:tabs>
        <w:bidi w:val="0"/>
        <w:jc w:val="left"/>
        <w:rPr>
          <w:rFonts w:hint="eastAsia" w:eastAsia="宋体"/>
          <w:sz w:val="30"/>
          <w:szCs w:val="30"/>
          <w:lang w:eastAsia="zh-CN"/>
        </w:rPr>
      </w:pPr>
    </w:p>
    <w:p w14:paraId="781F3C15">
      <w:pPr>
        <w:tabs>
          <w:tab w:val="left" w:pos="400"/>
        </w:tabs>
        <w:bidi w:val="0"/>
        <w:jc w:val="left"/>
        <w:rPr>
          <w:rFonts w:hint="eastAsia" w:eastAsia="宋体"/>
          <w:sz w:val="30"/>
          <w:szCs w:val="30"/>
          <w:lang w:eastAsia="zh-CN"/>
        </w:rPr>
      </w:pPr>
      <w:r>
        <w:rPr>
          <w:rFonts w:hint="eastAsia" w:eastAsia="宋体"/>
          <w:sz w:val="30"/>
          <w:szCs w:val="30"/>
          <w:lang w:eastAsia="zh-CN"/>
        </w:rPr>
        <w:t>They know that when doctrinal push comes to shove, they must quickly turn back to the Master, humbling themselves at his feet.</w:t>
      </w:r>
    </w:p>
    <w:p w14:paraId="63B7C089">
      <w:pPr>
        <w:tabs>
          <w:tab w:val="left" w:pos="400"/>
        </w:tabs>
        <w:bidi w:val="0"/>
        <w:jc w:val="left"/>
        <w:rPr>
          <w:rFonts w:hint="eastAsia" w:eastAsia="宋体"/>
          <w:sz w:val="30"/>
          <w:szCs w:val="30"/>
          <w:lang w:eastAsia="zh-CN"/>
        </w:rPr>
      </w:pPr>
    </w:p>
    <w:p w14:paraId="6F0C15A6">
      <w:pPr>
        <w:tabs>
          <w:tab w:val="left" w:pos="400"/>
        </w:tabs>
        <w:bidi w:val="0"/>
        <w:jc w:val="left"/>
        <w:rPr>
          <w:rFonts w:hint="eastAsia" w:eastAsia="宋体"/>
          <w:sz w:val="30"/>
          <w:szCs w:val="30"/>
          <w:lang w:eastAsia="zh-CN"/>
        </w:rPr>
      </w:pPr>
      <w:r>
        <w:rPr>
          <w:rFonts w:hint="eastAsia" w:eastAsia="宋体"/>
          <w:sz w:val="30"/>
          <w:szCs w:val="30"/>
          <w:lang w:eastAsia="zh-CN"/>
        </w:rPr>
        <w:t>他们知道，当教义上到了紧要关头，他们必须迅速回到主那里，在祂脚前谦卑自己。</w:t>
      </w:r>
    </w:p>
    <w:p w14:paraId="5672BC50">
      <w:pPr>
        <w:tabs>
          <w:tab w:val="left" w:pos="400"/>
        </w:tabs>
        <w:bidi w:val="0"/>
        <w:jc w:val="left"/>
        <w:rPr>
          <w:rFonts w:hint="eastAsia" w:eastAsia="宋体"/>
          <w:sz w:val="30"/>
          <w:szCs w:val="30"/>
          <w:lang w:eastAsia="zh-CN"/>
        </w:rPr>
      </w:pPr>
    </w:p>
    <w:p w14:paraId="7283DF17">
      <w:pPr>
        <w:tabs>
          <w:tab w:val="left" w:pos="400"/>
        </w:tabs>
        <w:bidi w:val="0"/>
        <w:jc w:val="left"/>
        <w:rPr>
          <w:rFonts w:hint="eastAsia" w:eastAsia="宋体"/>
          <w:sz w:val="30"/>
          <w:szCs w:val="30"/>
          <w:lang w:eastAsia="zh-CN"/>
        </w:rPr>
      </w:pPr>
      <w:r>
        <w:rPr>
          <w:rFonts w:hint="eastAsia" w:eastAsia="宋体"/>
          <w:sz w:val="30"/>
          <w:szCs w:val="30"/>
          <w:lang w:eastAsia="zh-CN"/>
        </w:rPr>
        <w:t>Why?</w:t>
      </w:r>
    </w:p>
    <w:p w14:paraId="37D266A0">
      <w:pPr>
        <w:tabs>
          <w:tab w:val="left" w:pos="400"/>
        </w:tabs>
        <w:bidi w:val="0"/>
        <w:jc w:val="left"/>
        <w:rPr>
          <w:rFonts w:hint="eastAsia" w:eastAsia="宋体"/>
          <w:sz w:val="30"/>
          <w:szCs w:val="30"/>
          <w:lang w:eastAsia="zh-CN"/>
        </w:rPr>
      </w:pPr>
    </w:p>
    <w:p w14:paraId="5BBBC734">
      <w:pPr>
        <w:tabs>
          <w:tab w:val="left" w:pos="400"/>
        </w:tabs>
        <w:bidi w:val="0"/>
        <w:jc w:val="left"/>
        <w:rPr>
          <w:rFonts w:hint="eastAsia" w:eastAsia="宋体"/>
          <w:sz w:val="30"/>
          <w:szCs w:val="30"/>
          <w:lang w:eastAsia="zh-CN"/>
        </w:rPr>
      </w:pPr>
      <w:r>
        <w:rPr>
          <w:rFonts w:hint="eastAsia" w:eastAsia="宋体"/>
          <w:sz w:val="30"/>
          <w:szCs w:val="30"/>
          <w:lang w:eastAsia="zh-CN"/>
        </w:rPr>
        <w:t>为什么？</w:t>
      </w:r>
    </w:p>
    <w:p w14:paraId="69D1A4EB">
      <w:pPr>
        <w:tabs>
          <w:tab w:val="left" w:pos="400"/>
        </w:tabs>
        <w:bidi w:val="0"/>
        <w:jc w:val="left"/>
        <w:rPr>
          <w:rFonts w:hint="eastAsia" w:eastAsia="宋体"/>
          <w:sz w:val="30"/>
          <w:szCs w:val="30"/>
          <w:lang w:eastAsia="zh-CN"/>
        </w:rPr>
      </w:pPr>
    </w:p>
    <w:p w14:paraId="11EB872A">
      <w:pPr>
        <w:tabs>
          <w:tab w:val="left" w:pos="400"/>
        </w:tabs>
        <w:bidi w:val="0"/>
        <w:jc w:val="left"/>
        <w:rPr>
          <w:rFonts w:hint="eastAsia" w:eastAsia="宋体"/>
          <w:sz w:val="30"/>
          <w:szCs w:val="30"/>
          <w:lang w:eastAsia="zh-CN"/>
        </w:rPr>
      </w:pPr>
      <w:r>
        <w:rPr>
          <w:rFonts w:hint="eastAsia" w:eastAsia="宋体"/>
          <w:sz w:val="30"/>
          <w:szCs w:val="30"/>
          <w:lang w:eastAsia="zh-CN"/>
        </w:rPr>
        <w:t>Because this Man speaks as one having authority, and not like the speculators of the various theological schools.</w:t>
      </w:r>
    </w:p>
    <w:p w14:paraId="75AF7BB5">
      <w:pPr>
        <w:tabs>
          <w:tab w:val="left" w:pos="400"/>
        </w:tabs>
        <w:bidi w:val="0"/>
        <w:jc w:val="left"/>
        <w:rPr>
          <w:rFonts w:hint="eastAsia" w:eastAsia="宋体"/>
          <w:sz w:val="30"/>
          <w:szCs w:val="30"/>
          <w:lang w:eastAsia="zh-CN"/>
        </w:rPr>
      </w:pPr>
    </w:p>
    <w:p w14:paraId="066D59BA">
      <w:pPr>
        <w:tabs>
          <w:tab w:val="left" w:pos="400"/>
        </w:tabs>
        <w:bidi w:val="0"/>
        <w:jc w:val="left"/>
        <w:rPr>
          <w:rFonts w:hint="eastAsia" w:eastAsia="宋体"/>
          <w:sz w:val="30"/>
          <w:szCs w:val="30"/>
          <w:lang w:eastAsia="zh-CN"/>
        </w:rPr>
      </w:pPr>
      <w:r>
        <w:rPr>
          <w:rFonts w:hint="eastAsia" w:eastAsia="宋体"/>
          <w:sz w:val="30"/>
          <w:szCs w:val="30"/>
          <w:lang w:eastAsia="zh-CN"/>
        </w:rPr>
        <w:t>因为这个人说话，像有权柄的，不像各神学派别的臆测者。</w:t>
      </w:r>
    </w:p>
    <w:p w14:paraId="23784875">
      <w:pPr>
        <w:tabs>
          <w:tab w:val="left" w:pos="400"/>
        </w:tabs>
        <w:bidi w:val="0"/>
        <w:jc w:val="left"/>
        <w:rPr>
          <w:rFonts w:hint="eastAsia" w:eastAsia="宋体"/>
          <w:sz w:val="30"/>
          <w:szCs w:val="30"/>
          <w:lang w:eastAsia="zh-CN"/>
        </w:rPr>
      </w:pPr>
    </w:p>
    <w:p w14:paraId="3D1DD8AE">
      <w:pPr>
        <w:tabs>
          <w:tab w:val="left" w:pos="400"/>
        </w:tabs>
        <w:bidi w:val="0"/>
        <w:jc w:val="left"/>
        <w:rPr>
          <w:rFonts w:hint="eastAsia" w:eastAsia="宋体"/>
          <w:sz w:val="30"/>
          <w:szCs w:val="30"/>
          <w:lang w:eastAsia="zh-CN"/>
        </w:rPr>
      </w:pPr>
      <w:r>
        <w:rPr>
          <w:rFonts w:hint="eastAsia" w:eastAsia="宋体"/>
          <w:sz w:val="30"/>
          <w:szCs w:val="30"/>
          <w:lang w:eastAsia="zh-CN"/>
        </w:rPr>
        <w:t>Moreover, in turning quickly to Christ they are obeying the word of the Father himself, who, having descended in glory to the Mount of Transfiguration, diverted the gaze of the trembling disciples from Moses and Elijah, and fastened it upon the luminous One, saying “This is My beloved Son, in whom I am well-pleased: Listen to Him (Mt. 17:5)!”</w:t>
      </w:r>
    </w:p>
    <w:p w14:paraId="28E87B51">
      <w:pPr>
        <w:tabs>
          <w:tab w:val="left" w:pos="400"/>
        </w:tabs>
        <w:bidi w:val="0"/>
        <w:jc w:val="left"/>
        <w:rPr>
          <w:rFonts w:hint="eastAsia" w:eastAsia="宋体"/>
          <w:sz w:val="30"/>
          <w:szCs w:val="30"/>
          <w:lang w:eastAsia="zh-CN"/>
        </w:rPr>
      </w:pPr>
    </w:p>
    <w:p w14:paraId="1F3F8CD3">
      <w:pPr>
        <w:tabs>
          <w:tab w:val="left" w:pos="400"/>
        </w:tabs>
        <w:bidi w:val="0"/>
        <w:jc w:val="left"/>
        <w:rPr>
          <w:rFonts w:hint="eastAsia" w:eastAsia="宋体"/>
          <w:sz w:val="30"/>
          <w:szCs w:val="30"/>
          <w:lang w:eastAsia="zh-CN"/>
        </w:rPr>
      </w:pPr>
      <w:r>
        <w:rPr>
          <w:rFonts w:hint="eastAsia" w:eastAsia="宋体"/>
          <w:sz w:val="30"/>
          <w:szCs w:val="30"/>
          <w:lang w:eastAsia="zh-CN"/>
        </w:rPr>
        <w:t>此外，他们迅速转向基督，乃是顺从父自己的话，祂曾在荣耀中降临到变像山，将颤抖的门徒的目光从摩西和以利亚身上移开，定睛在那位发光者身上，说：“这是我的爱子，我所喜悦的：你们要听祂（太 17:5）！”</w:t>
      </w:r>
    </w:p>
    <w:p w14:paraId="7701E80D">
      <w:pPr>
        <w:tabs>
          <w:tab w:val="left" w:pos="400"/>
        </w:tabs>
        <w:bidi w:val="0"/>
        <w:jc w:val="left"/>
        <w:rPr>
          <w:rFonts w:hint="eastAsia" w:eastAsia="宋体"/>
          <w:sz w:val="30"/>
          <w:szCs w:val="30"/>
          <w:lang w:eastAsia="zh-CN"/>
        </w:rPr>
      </w:pPr>
    </w:p>
    <w:p w14:paraId="17B2B1BE">
      <w:pPr>
        <w:tabs>
          <w:tab w:val="left" w:pos="400"/>
        </w:tabs>
        <w:bidi w:val="0"/>
        <w:jc w:val="left"/>
        <w:rPr>
          <w:rFonts w:hint="eastAsia" w:eastAsia="宋体"/>
          <w:sz w:val="30"/>
          <w:szCs w:val="30"/>
          <w:lang w:eastAsia="zh-CN"/>
        </w:rPr>
      </w:pPr>
      <w:r>
        <w:rPr>
          <w:rFonts w:hint="eastAsia" w:eastAsia="宋体"/>
          <w:sz w:val="30"/>
          <w:szCs w:val="30"/>
          <w:lang w:eastAsia="zh-CN"/>
        </w:rPr>
        <w:t>By the Spirit of Truth within, all God’s children know they should do this very thing.</w:t>
      </w:r>
    </w:p>
    <w:p w14:paraId="533EB858">
      <w:pPr>
        <w:tabs>
          <w:tab w:val="left" w:pos="400"/>
        </w:tabs>
        <w:bidi w:val="0"/>
        <w:jc w:val="left"/>
        <w:rPr>
          <w:rFonts w:hint="eastAsia" w:eastAsia="宋体"/>
          <w:sz w:val="30"/>
          <w:szCs w:val="30"/>
          <w:lang w:eastAsia="zh-CN"/>
        </w:rPr>
      </w:pPr>
    </w:p>
    <w:p w14:paraId="21F9A3A0">
      <w:pPr>
        <w:tabs>
          <w:tab w:val="left" w:pos="400"/>
        </w:tabs>
        <w:bidi w:val="0"/>
        <w:jc w:val="left"/>
        <w:rPr>
          <w:rFonts w:hint="eastAsia" w:eastAsia="宋体"/>
          <w:sz w:val="30"/>
          <w:szCs w:val="30"/>
          <w:lang w:eastAsia="zh-CN"/>
        </w:rPr>
      </w:pPr>
      <w:r>
        <w:rPr>
          <w:rFonts w:hint="eastAsia" w:eastAsia="宋体"/>
          <w:sz w:val="30"/>
          <w:szCs w:val="30"/>
          <w:lang w:eastAsia="zh-CN"/>
        </w:rPr>
        <w:t>借着里面的真理之灵，所有神的儿女都知道他们应当如此行。</w:t>
      </w:r>
    </w:p>
    <w:p w14:paraId="3188F78E">
      <w:pPr>
        <w:tabs>
          <w:tab w:val="left" w:pos="400"/>
        </w:tabs>
        <w:bidi w:val="0"/>
        <w:jc w:val="left"/>
        <w:rPr>
          <w:rFonts w:hint="eastAsia" w:eastAsia="宋体"/>
          <w:sz w:val="30"/>
          <w:szCs w:val="30"/>
          <w:lang w:eastAsia="zh-CN"/>
        </w:rPr>
      </w:pPr>
    </w:p>
    <w:p w14:paraId="6DBB39F3">
      <w:pPr>
        <w:tabs>
          <w:tab w:val="left" w:pos="400"/>
        </w:tabs>
        <w:bidi w:val="0"/>
        <w:jc w:val="left"/>
        <w:rPr>
          <w:rFonts w:hint="eastAsia" w:eastAsia="宋体"/>
          <w:sz w:val="30"/>
          <w:szCs w:val="30"/>
          <w:lang w:eastAsia="zh-CN"/>
        </w:rPr>
      </w:pPr>
      <w:r>
        <w:rPr>
          <w:rFonts w:hint="eastAsia" w:eastAsia="宋体"/>
          <w:sz w:val="30"/>
          <w:szCs w:val="30"/>
          <w:lang w:eastAsia="zh-CN"/>
        </w:rPr>
        <w:t>And yet we forget.</w:t>
      </w:r>
    </w:p>
    <w:p w14:paraId="5F81E424">
      <w:pPr>
        <w:tabs>
          <w:tab w:val="left" w:pos="400"/>
        </w:tabs>
        <w:bidi w:val="0"/>
        <w:jc w:val="left"/>
        <w:rPr>
          <w:rFonts w:hint="eastAsia" w:eastAsia="宋体"/>
          <w:sz w:val="30"/>
          <w:szCs w:val="30"/>
          <w:lang w:eastAsia="zh-CN"/>
        </w:rPr>
      </w:pPr>
    </w:p>
    <w:p w14:paraId="35221067">
      <w:pPr>
        <w:tabs>
          <w:tab w:val="left" w:pos="400"/>
        </w:tabs>
        <w:bidi w:val="0"/>
        <w:jc w:val="left"/>
        <w:rPr>
          <w:rFonts w:hint="eastAsia" w:eastAsia="宋体"/>
          <w:sz w:val="30"/>
          <w:szCs w:val="30"/>
          <w:lang w:eastAsia="zh-CN"/>
        </w:rPr>
      </w:pPr>
      <w:r>
        <w:rPr>
          <w:rFonts w:hint="eastAsia" w:eastAsia="宋体"/>
          <w:sz w:val="30"/>
          <w:szCs w:val="30"/>
          <w:lang w:eastAsia="zh-CN"/>
        </w:rPr>
        <w:t>然而我们却忘了。</w:t>
      </w:r>
    </w:p>
    <w:p w14:paraId="411819D6">
      <w:pPr>
        <w:tabs>
          <w:tab w:val="left" w:pos="400"/>
        </w:tabs>
        <w:bidi w:val="0"/>
        <w:jc w:val="left"/>
        <w:rPr>
          <w:rFonts w:hint="eastAsia" w:eastAsia="宋体"/>
          <w:sz w:val="30"/>
          <w:szCs w:val="30"/>
          <w:lang w:eastAsia="zh-CN"/>
        </w:rPr>
      </w:pPr>
    </w:p>
    <w:p w14:paraId="0C55001F">
      <w:pPr>
        <w:tabs>
          <w:tab w:val="left" w:pos="400"/>
        </w:tabs>
        <w:bidi w:val="0"/>
        <w:jc w:val="left"/>
        <w:rPr>
          <w:rFonts w:hint="eastAsia" w:eastAsia="宋体"/>
          <w:sz w:val="30"/>
          <w:szCs w:val="30"/>
          <w:lang w:eastAsia="zh-CN"/>
        </w:rPr>
      </w:pPr>
      <w:r>
        <w:rPr>
          <w:rFonts w:hint="eastAsia" w:eastAsia="宋体"/>
          <w:sz w:val="30"/>
          <w:szCs w:val="30"/>
          <w:lang w:eastAsia="zh-CN"/>
        </w:rPr>
        <w:t>Moreover, in the area of eschatology, we have been badly forgetting for quite some time.</w:t>
      </w:r>
    </w:p>
    <w:p w14:paraId="43D341EB">
      <w:pPr>
        <w:tabs>
          <w:tab w:val="left" w:pos="400"/>
        </w:tabs>
        <w:bidi w:val="0"/>
        <w:jc w:val="left"/>
        <w:rPr>
          <w:rFonts w:hint="eastAsia" w:eastAsia="宋体"/>
          <w:sz w:val="30"/>
          <w:szCs w:val="30"/>
          <w:lang w:eastAsia="zh-CN"/>
        </w:rPr>
      </w:pPr>
    </w:p>
    <w:p w14:paraId="37A63D05">
      <w:pPr>
        <w:tabs>
          <w:tab w:val="left" w:pos="400"/>
        </w:tabs>
        <w:bidi w:val="0"/>
        <w:jc w:val="left"/>
        <w:rPr>
          <w:rFonts w:hint="eastAsia" w:eastAsia="宋体"/>
          <w:sz w:val="30"/>
          <w:szCs w:val="30"/>
          <w:lang w:eastAsia="zh-CN"/>
        </w:rPr>
      </w:pPr>
      <w:r>
        <w:rPr>
          <w:rFonts w:hint="eastAsia" w:eastAsia="宋体"/>
          <w:sz w:val="30"/>
          <w:szCs w:val="30"/>
          <w:lang w:eastAsia="zh-CN"/>
        </w:rPr>
        <w:t>此外，在末世论的领域，我们已经严重地忘记了相当长一段时间。</w:t>
      </w:r>
    </w:p>
    <w:p w14:paraId="69C19E05">
      <w:pPr>
        <w:tabs>
          <w:tab w:val="left" w:pos="400"/>
        </w:tabs>
        <w:bidi w:val="0"/>
        <w:jc w:val="left"/>
        <w:rPr>
          <w:rFonts w:hint="eastAsia" w:eastAsia="宋体"/>
          <w:sz w:val="30"/>
          <w:szCs w:val="30"/>
          <w:lang w:eastAsia="zh-CN"/>
        </w:rPr>
      </w:pPr>
    </w:p>
    <w:p w14:paraId="650D0B0A">
      <w:pPr>
        <w:tabs>
          <w:tab w:val="left" w:pos="400"/>
        </w:tabs>
        <w:bidi w:val="0"/>
        <w:jc w:val="left"/>
        <w:rPr>
          <w:rFonts w:hint="eastAsia" w:eastAsia="宋体"/>
          <w:sz w:val="30"/>
          <w:szCs w:val="30"/>
          <w:lang w:eastAsia="zh-CN"/>
        </w:rPr>
      </w:pPr>
      <w:r>
        <w:rPr>
          <w:rFonts w:hint="eastAsia" w:eastAsia="宋体"/>
          <w:sz w:val="30"/>
          <w:szCs w:val="30"/>
          <w:lang w:eastAsia="zh-CN"/>
        </w:rPr>
        <w:t>“No,” say our dispensational leaders (and their many followers), “Christ does not have the keys.</w:t>
      </w:r>
    </w:p>
    <w:p w14:paraId="2E258691">
      <w:pPr>
        <w:tabs>
          <w:tab w:val="left" w:pos="400"/>
        </w:tabs>
        <w:bidi w:val="0"/>
        <w:jc w:val="left"/>
        <w:rPr>
          <w:rFonts w:hint="eastAsia" w:eastAsia="宋体"/>
          <w:sz w:val="30"/>
          <w:szCs w:val="30"/>
          <w:lang w:eastAsia="zh-CN"/>
        </w:rPr>
      </w:pPr>
    </w:p>
    <w:p w14:paraId="072A25C2">
      <w:pPr>
        <w:tabs>
          <w:tab w:val="left" w:pos="400"/>
        </w:tabs>
        <w:bidi w:val="0"/>
        <w:jc w:val="left"/>
        <w:rPr>
          <w:rFonts w:hint="eastAsia" w:eastAsia="宋体"/>
          <w:sz w:val="30"/>
          <w:szCs w:val="30"/>
          <w:lang w:eastAsia="zh-CN"/>
        </w:rPr>
      </w:pPr>
      <w:r>
        <w:rPr>
          <w:rFonts w:hint="eastAsia" w:eastAsia="宋体"/>
          <w:sz w:val="30"/>
          <w:szCs w:val="30"/>
          <w:lang w:eastAsia="zh-CN"/>
        </w:rPr>
        <w:t>“不，”我们的时代论领袖（和他们众多的追随者）说，“基督没有拿着众钥匙。</w:t>
      </w:r>
    </w:p>
    <w:p w14:paraId="1920A9EF">
      <w:pPr>
        <w:tabs>
          <w:tab w:val="left" w:pos="400"/>
        </w:tabs>
        <w:bidi w:val="0"/>
        <w:jc w:val="left"/>
        <w:rPr>
          <w:rFonts w:hint="eastAsia" w:eastAsia="宋体"/>
          <w:sz w:val="30"/>
          <w:szCs w:val="30"/>
          <w:lang w:eastAsia="zh-CN"/>
        </w:rPr>
      </w:pPr>
    </w:p>
    <w:p w14:paraId="5AD4E24F">
      <w:pPr>
        <w:tabs>
          <w:tab w:val="left" w:pos="400"/>
        </w:tabs>
        <w:bidi w:val="0"/>
        <w:jc w:val="left"/>
        <w:rPr>
          <w:rFonts w:hint="eastAsia" w:eastAsia="宋体"/>
          <w:sz w:val="30"/>
          <w:szCs w:val="30"/>
          <w:lang w:eastAsia="zh-CN"/>
        </w:rPr>
      </w:pPr>
      <w:r>
        <w:rPr>
          <w:rFonts w:hint="eastAsia" w:eastAsia="宋体"/>
          <w:sz w:val="30"/>
          <w:szCs w:val="30"/>
          <w:lang w:eastAsia="zh-CN"/>
        </w:rPr>
        <w:t>Daniel does, and Ezekiel, and Zechariah, and John the Revelator.</w:t>
      </w:r>
    </w:p>
    <w:p w14:paraId="22D05028">
      <w:pPr>
        <w:tabs>
          <w:tab w:val="left" w:pos="400"/>
        </w:tabs>
        <w:bidi w:val="0"/>
        <w:jc w:val="left"/>
        <w:rPr>
          <w:rFonts w:hint="eastAsia" w:eastAsia="宋体"/>
          <w:sz w:val="30"/>
          <w:szCs w:val="30"/>
          <w:lang w:eastAsia="zh-CN"/>
        </w:rPr>
      </w:pPr>
    </w:p>
    <w:p w14:paraId="3853EF70">
      <w:pPr>
        <w:tabs>
          <w:tab w:val="left" w:pos="400"/>
        </w:tabs>
        <w:bidi w:val="0"/>
        <w:jc w:val="left"/>
        <w:rPr>
          <w:rFonts w:hint="eastAsia" w:eastAsia="宋体"/>
          <w:sz w:val="30"/>
          <w:szCs w:val="30"/>
          <w:lang w:eastAsia="zh-CN"/>
        </w:rPr>
      </w:pPr>
      <w:r>
        <w:rPr>
          <w:rFonts w:hint="eastAsia" w:eastAsia="宋体"/>
          <w:sz w:val="30"/>
          <w:szCs w:val="30"/>
          <w:lang w:eastAsia="zh-CN"/>
        </w:rPr>
        <w:t>但以理有，以西结有，撒迦利亚有，还有写启示录的约翰有。</w:t>
      </w:r>
    </w:p>
    <w:p w14:paraId="46229A74">
      <w:pPr>
        <w:tabs>
          <w:tab w:val="left" w:pos="400"/>
        </w:tabs>
        <w:bidi w:val="0"/>
        <w:jc w:val="left"/>
        <w:rPr>
          <w:rFonts w:hint="eastAsia" w:eastAsia="宋体"/>
          <w:sz w:val="30"/>
          <w:szCs w:val="30"/>
          <w:lang w:eastAsia="zh-CN"/>
        </w:rPr>
      </w:pPr>
    </w:p>
    <w:p w14:paraId="4CAEC43E">
      <w:pPr>
        <w:tabs>
          <w:tab w:val="left" w:pos="400"/>
        </w:tabs>
        <w:bidi w:val="0"/>
        <w:jc w:val="left"/>
        <w:rPr>
          <w:rFonts w:hint="eastAsia" w:eastAsia="宋体"/>
          <w:sz w:val="30"/>
          <w:szCs w:val="30"/>
          <w:lang w:eastAsia="zh-CN"/>
        </w:rPr>
      </w:pPr>
      <w:r>
        <w:rPr>
          <w:rFonts w:hint="eastAsia" w:eastAsia="宋体"/>
          <w:sz w:val="30"/>
          <w:szCs w:val="30"/>
          <w:lang w:eastAsia="zh-CN"/>
        </w:rPr>
        <w:t>For centuries these keys have lain hidden in the deep caves of OT prophecy and apocalyptic, shrouded in mystery.</w:t>
      </w:r>
    </w:p>
    <w:p w14:paraId="64827F45">
      <w:pPr>
        <w:tabs>
          <w:tab w:val="left" w:pos="400"/>
        </w:tabs>
        <w:bidi w:val="0"/>
        <w:jc w:val="left"/>
        <w:rPr>
          <w:rFonts w:hint="eastAsia" w:eastAsia="宋体"/>
          <w:sz w:val="30"/>
          <w:szCs w:val="30"/>
          <w:lang w:eastAsia="zh-CN"/>
        </w:rPr>
      </w:pPr>
    </w:p>
    <w:p w14:paraId="24798F56">
      <w:pPr>
        <w:tabs>
          <w:tab w:val="left" w:pos="400"/>
        </w:tabs>
        <w:bidi w:val="0"/>
        <w:jc w:val="left"/>
        <w:rPr>
          <w:rFonts w:hint="eastAsia" w:eastAsia="宋体"/>
          <w:sz w:val="30"/>
          <w:szCs w:val="30"/>
          <w:lang w:eastAsia="zh-CN"/>
        </w:rPr>
      </w:pPr>
      <w:r>
        <w:rPr>
          <w:rFonts w:hint="eastAsia" w:eastAsia="宋体"/>
          <w:sz w:val="30"/>
          <w:szCs w:val="30"/>
          <w:lang w:eastAsia="zh-CN"/>
        </w:rPr>
        <w:t>几个世纪以来，这些钥匙一直隐藏在旧约预言和天启文学的深洞中，被奥秘所笼罩。</w:t>
      </w:r>
    </w:p>
    <w:p w14:paraId="6ADA5AC5">
      <w:pPr>
        <w:tabs>
          <w:tab w:val="left" w:pos="400"/>
        </w:tabs>
        <w:bidi w:val="0"/>
        <w:jc w:val="left"/>
        <w:rPr>
          <w:rFonts w:hint="eastAsia" w:eastAsia="宋体"/>
          <w:sz w:val="30"/>
          <w:szCs w:val="30"/>
          <w:lang w:eastAsia="zh-CN"/>
        </w:rPr>
      </w:pPr>
    </w:p>
    <w:p w14:paraId="7C2BF1E8">
      <w:pPr>
        <w:tabs>
          <w:tab w:val="left" w:pos="400"/>
        </w:tabs>
        <w:bidi w:val="0"/>
        <w:jc w:val="left"/>
        <w:rPr>
          <w:rFonts w:hint="eastAsia" w:eastAsia="宋体"/>
          <w:sz w:val="30"/>
          <w:szCs w:val="30"/>
          <w:lang w:eastAsia="zh-CN"/>
        </w:rPr>
      </w:pPr>
      <w:r>
        <w:rPr>
          <w:rFonts w:hint="eastAsia" w:eastAsia="宋体"/>
          <w:sz w:val="30"/>
          <w:szCs w:val="30"/>
          <w:lang w:eastAsia="zh-CN"/>
        </w:rPr>
        <w:t>Now, however, in the last of the last days, God has raised up anointed teachers, prophetic experts who can decipher the mysteries and open the books.</w:t>
      </w:r>
    </w:p>
    <w:p w14:paraId="19858989">
      <w:pPr>
        <w:tabs>
          <w:tab w:val="left" w:pos="400"/>
        </w:tabs>
        <w:bidi w:val="0"/>
        <w:jc w:val="left"/>
        <w:rPr>
          <w:rFonts w:hint="eastAsia" w:eastAsia="宋体"/>
          <w:sz w:val="30"/>
          <w:szCs w:val="30"/>
          <w:lang w:eastAsia="zh-CN"/>
        </w:rPr>
      </w:pPr>
    </w:p>
    <w:p w14:paraId="0E798F88">
      <w:pPr>
        <w:tabs>
          <w:tab w:val="left" w:pos="400"/>
        </w:tabs>
        <w:bidi w:val="0"/>
        <w:jc w:val="left"/>
        <w:rPr>
          <w:rFonts w:hint="eastAsia" w:eastAsia="宋体"/>
          <w:sz w:val="30"/>
          <w:szCs w:val="30"/>
          <w:lang w:eastAsia="zh-CN"/>
        </w:rPr>
      </w:pPr>
      <w:r>
        <w:rPr>
          <w:rFonts w:hint="eastAsia" w:eastAsia="宋体"/>
          <w:sz w:val="30"/>
          <w:szCs w:val="30"/>
          <w:lang w:eastAsia="zh-CN"/>
        </w:rPr>
        <w:t>然而现在，在这末后的末后日子里，神兴起了受膏的教师，预言的专家，他们能解开奥秘，打开书卷。</w:t>
      </w:r>
    </w:p>
    <w:p w14:paraId="638CB75A">
      <w:pPr>
        <w:tabs>
          <w:tab w:val="left" w:pos="400"/>
        </w:tabs>
        <w:bidi w:val="0"/>
        <w:jc w:val="left"/>
        <w:rPr>
          <w:rFonts w:hint="eastAsia" w:eastAsia="宋体"/>
          <w:sz w:val="30"/>
          <w:szCs w:val="30"/>
          <w:lang w:eastAsia="zh-CN"/>
        </w:rPr>
      </w:pPr>
    </w:p>
    <w:p w14:paraId="59034EA4">
      <w:pPr>
        <w:tabs>
          <w:tab w:val="left" w:pos="400"/>
        </w:tabs>
        <w:bidi w:val="0"/>
        <w:jc w:val="left"/>
        <w:rPr>
          <w:rFonts w:hint="eastAsia" w:eastAsia="宋体"/>
          <w:sz w:val="30"/>
          <w:szCs w:val="30"/>
          <w:lang w:eastAsia="zh-CN"/>
        </w:rPr>
      </w:pPr>
      <w:r>
        <w:rPr>
          <w:rFonts w:hint="eastAsia" w:eastAsia="宋体"/>
          <w:sz w:val="30"/>
          <w:szCs w:val="30"/>
          <w:lang w:eastAsia="zh-CN"/>
        </w:rPr>
        <w:t>A good thing, too!</w:t>
      </w:r>
    </w:p>
    <w:p w14:paraId="6D02E2CE">
      <w:pPr>
        <w:tabs>
          <w:tab w:val="left" w:pos="400"/>
        </w:tabs>
        <w:bidi w:val="0"/>
        <w:jc w:val="left"/>
        <w:rPr>
          <w:rFonts w:hint="eastAsia" w:eastAsia="宋体"/>
          <w:sz w:val="30"/>
          <w:szCs w:val="30"/>
          <w:lang w:eastAsia="zh-CN"/>
        </w:rPr>
      </w:pPr>
    </w:p>
    <w:p w14:paraId="45B0479C">
      <w:pPr>
        <w:tabs>
          <w:tab w:val="left" w:pos="400"/>
        </w:tabs>
        <w:bidi w:val="0"/>
        <w:jc w:val="left"/>
        <w:rPr>
          <w:rFonts w:hint="eastAsia" w:eastAsia="宋体"/>
          <w:sz w:val="30"/>
          <w:szCs w:val="30"/>
          <w:lang w:eastAsia="zh-CN"/>
        </w:rPr>
      </w:pPr>
      <w:r>
        <w:rPr>
          <w:rFonts w:hint="eastAsia" w:eastAsia="宋体"/>
          <w:sz w:val="30"/>
          <w:szCs w:val="30"/>
          <w:lang w:eastAsia="zh-CN"/>
        </w:rPr>
        <w:t>这也是件好事！</w:t>
      </w:r>
    </w:p>
    <w:p w14:paraId="7346B894">
      <w:pPr>
        <w:tabs>
          <w:tab w:val="left" w:pos="400"/>
        </w:tabs>
        <w:bidi w:val="0"/>
        <w:jc w:val="left"/>
        <w:rPr>
          <w:rFonts w:hint="eastAsia" w:eastAsia="宋体"/>
          <w:sz w:val="30"/>
          <w:szCs w:val="30"/>
          <w:lang w:eastAsia="zh-CN"/>
        </w:rPr>
      </w:pPr>
    </w:p>
    <w:p w14:paraId="0C2D7126">
      <w:pPr>
        <w:tabs>
          <w:tab w:val="left" w:pos="400"/>
        </w:tabs>
        <w:bidi w:val="0"/>
        <w:jc w:val="left"/>
        <w:rPr>
          <w:rFonts w:hint="eastAsia" w:eastAsia="宋体"/>
          <w:sz w:val="30"/>
          <w:szCs w:val="30"/>
          <w:lang w:eastAsia="zh-CN"/>
        </w:rPr>
      </w:pPr>
      <w:r>
        <w:rPr>
          <w:rFonts w:hint="eastAsia" w:eastAsia="宋体"/>
          <w:sz w:val="30"/>
          <w:szCs w:val="30"/>
          <w:lang w:eastAsia="zh-CN"/>
        </w:rPr>
        <w:t>How else could we have discovered the true structure of Salvation History in Daniel 9?</w:t>
      </w:r>
    </w:p>
    <w:p w14:paraId="5226E2FB">
      <w:pPr>
        <w:tabs>
          <w:tab w:val="left" w:pos="400"/>
        </w:tabs>
        <w:bidi w:val="0"/>
        <w:jc w:val="left"/>
        <w:rPr>
          <w:rFonts w:hint="eastAsia" w:eastAsia="宋体"/>
          <w:sz w:val="30"/>
          <w:szCs w:val="30"/>
          <w:lang w:eastAsia="zh-CN"/>
        </w:rPr>
      </w:pPr>
    </w:p>
    <w:p w14:paraId="412BE07C">
      <w:pPr>
        <w:tabs>
          <w:tab w:val="left" w:pos="400"/>
        </w:tabs>
        <w:bidi w:val="0"/>
        <w:jc w:val="left"/>
        <w:rPr>
          <w:rFonts w:hint="eastAsia" w:eastAsia="宋体"/>
          <w:sz w:val="30"/>
          <w:szCs w:val="30"/>
          <w:lang w:eastAsia="zh-CN"/>
        </w:rPr>
      </w:pPr>
      <w:r>
        <w:rPr>
          <w:rFonts w:hint="eastAsia" w:eastAsia="宋体"/>
          <w:sz w:val="30"/>
          <w:szCs w:val="30"/>
          <w:lang w:eastAsia="zh-CN"/>
        </w:rPr>
        <w:t>否则，我们怎能在但以理书第9章发现救赎历史的真实结构呢？</w:t>
      </w:r>
    </w:p>
    <w:p w14:paraId="1FDA0F26">
      <w:pPr>
        <w:tabs>
          <w:tab w:val="left" w:pos="400"/>
        </w:tabs>
        <w:bidi w:val="0"/>
        <w:jc w:val="left"/>
        <w:rPr>
          <w:rFonts w:hint="eastAsia" w:eastAsia="宋体"/>
          <w:sz w:val="30"/>
          <w:szCs w:val="30"/>
          <w:lang w:eastAsia="zh-CN"/>
        </w:rPr>
      </w:pPr>
    </w:p>
    <w:p w14:paraId="7493355D">
      <w:pPr>
        <w:tabs>
          <w:tab w:val="left" w:pos="400"/>
        </w:tabs>
        <w:bidi w:val="0"/>
        <w:jc w:val="left"/>
        <w:rPr>
          <w:rFonts w:hint="eastAsia" w:eastAsia="宋体"/>
          <w:sz w:val="30"/>
          <w:szCs w:val="30"/>
          <w:lang w:eastAsia="zh-CN"/>
        </w:rPr>
      </w:pPr>
      <w:r>
        <w:rPr>
          <w:rFonts w:hint="eastAsia" w:eastAsia="宋体"/>
          <w:sz w:val="30"/>
          <w:szCs w:val="30"/>
          <w:lang w:eastAsia="zh-CN"/>
        </w:rPr>
        <w:t>How else could we have learned to distinguish between God’s purposes for Israel and the Church?</w:t>
      </w:r>
    </w:p>
    <w:p w14:paraId="49D0760D">
      <w:pPr>
        <w:tabs>
          <w:tab w:val="left" w:pos="400"/>
        </w:tabs>
        <w:bidi w:val="0"/>
        <w:jc w:val="left"/>
        <w:rPr>
          <w:rFonts w:hint="eastAsia" w:eastAsia="宋体"/>
          <w:sz w:val="30"/>
          <w:szCs w:val="30"/>
          <w:lang w:eastAsia="zh-CN"/>
        </w:rPr>
      </w:pPr>
    </w:p>
    <w:p w14:paraId="7C764681">
      <w:pPr>
        <w:tabs>
          <w:tab w:val="left" w:pos="400"/>
        </w:tabs>
        <w:bidi w:val="0"/>
        <w:jc w:val="left"/>
        <w:rPr>
          <w:rFonts w:hint="eastAsia" w:eastAsia="宋体"/>
          <w:sz w:val="30"/>
          <w:szCs w:val="30"/>
          <w:lang w:eastAsia="zh-CN"/>
        </w:rPr>
      </w:pPr>
      <w:r>
        <w:rPr>
          <w:rFonts w:hint="eastAsia" w:eastAsia="宋体"/>
          <w:sz w:val="30"/>
          <w:szCs w:val="30"/>
          <w:lang w:eastAsia="zh-CN"/>
        </w:rPr>
        <w:t>否则，我们怎能学会区分神对以色列和教会的旨意呢？</w:t>
      </w:r>
    </w:p>
    <w:p w14:paraId="11BCADB7">
      <w:pPr>
        <w:tabs>
          <w:tab w:val="left" w:pos="400"/>
        </w:tabs>
        <w:bidi w:val="0"/>
        <w:jc w:val="left"/>
        <w:rPr>
          <w:rFonts w:hint="eastAsia" w:eastAsia="宋体"/>
          <w:sz w:val="30"/>
          <w:szCs w:val="30"/>
          <w:lang w:eastAsia="zh-CN"/>
        </w:rPr>
      </w:pPr>
    </w:p>
    <w:p w14:paraId="60C83E88">
      <w:pPr>
        <w:tabs>
          <w:tab w:val="left" w:pos="400"/>
        </w:tabs>
        <w:bidi w:val="0"/>
        <w:jc w:val="left"/>
        <w:rPr>
          <w:rFonts w:hint="eastAsia" w:eastAsia="宋体"/>
          <w:sz w:val="30"/>
          <w:szCs w:val="30"/>
          <w:lang w:eastAsia="zh-CN"/>
        </w:rPr>
      </w:pPr>
      <w:r>
        <w:rPr>
          <w:rFonts w:hint="eastAsia" w:eastAsia="宋体"/>
          <w:sz w:val="30"/>
          <w:szCs w:val="30"/>
          <w:lang w:eastAsia="zh-CN"/>
        </w:rPr>
        <w:t>How could we have realized that the gospels and the epistles speak to a heavenly people, whereas OTKP and the Revelation speak to an earthly?</w:t>
      </w:r>
    </w:p>
    <w:p w14:paraId="107500DC">
      <w:pPr>
        <w:tabs>
          <w:tab w:val="left" w:pos="400"/>
        </w:tabs>
        <w:bidi w:val="0"/>
        <w:jc w:val="left"/>
        <w:rPr>
          <w:rFonts w:hint="eastAsia" w:eastAsia="宋体"/>
          <w:sz w:val="30"/>
          <w:szCs w:val="30"/>
          <w:lang w:eastAsia="zh-CN"/>
        </w:rPr>
      </w:pPr>
    </w:p>
    <w:p w14:paraId="1B516C4A">
      <w:pPr>
        <w:tabs>
          <w:tab w:val="left" w:pos="400"/>
        </w:tabs>
        <w:bidi w:val="0"/>
        <w:jc w:val="left"/>
        <w:rPr>
          <w:rFonts w:hint="eastAsia" w:eastAsia="宋体"/>
          <w:sz w:val="30"/>
          <w:szCs w:val="30"/>
          <w:lang w:eastAsia="zh-CN"/>
        </w:rPr>
      </w:pPr>
      <w:r>
        <w:rPr>
          <w:rFonts w:hint="eastAsia" w:eastAsia="宋体"/>
          <w:sz w:val="30"/>
          <w:szCs w:val="30"/>
          <w:lang w:eastAsia="zh-CN"/>
        </w:rPr>
        <w:t>我们怎能意识到福音书和书信是对属天子民说的，而旧约国度预言和启示录是对属地子民说的呢？</w:t>
      </w:r>
    </w:p>
    <w:p w14:paraId="3E73126C">
      <w:pPr>
        <w:tabs>
          <w:tab w:val="left" w:pos="400"/>
        </w:tabs>
        <w:bidi w:val="0"/>
        <w:jc w:val="left"/>
        <w:rPr>
          <w:rFonts w:hint="eastAsia" w:eastAsia="宋体"/>
          <w:sz w:val="30"/>
          <w:szCs w:val="30"/>
          <w:lang w:eastAsia="zh-CN"/>
        </w:rPr>
      </w:pPr>
    </w:p>
    <w:p w14:paraId="234BFB94">
      <w:pPr>
        <w:tabs>
          <w:tab w:val="left" w:pos="400"/>
        </w:tabs>
        <w:bidi w:val="0"/>
        <w:jc w:val="left"/>
        <w:rPr>
          <w:rFonts w:hint="eastAsia" w:eastAsia="宋体"/>
          <w:sz w:val="30"/>
          <w:szCs w:val="30"/>
          <w:lang w:eastAsia="zh-CN"/>
        </w:rPr>
      </w:pPr>
      <w:r>
        <w:rPr>
          <w:rFonts w:hint="eastAsia" w:eastAsia="宋体"/>
          <w:sz w:val="30"/>
          <w:szCs w:val="30"/>
          <w:lang w:eastAsia="zh-CN"/>
        </w:rPr>
        <w:t>How could we have understood the Jewish focus of the Olivet Discourse, or found the Rapture in 1 Thessalonians 4, or discovered that the real burden of the Revelation is to disclose the ministry of 144,000 Jewish evangelists during a seven year tribulation, evangelists who will proclaim the Gospel of Christ’s coming millennial reign?</w:t>
      </w:r>
    </w:p>
    <w:p w14:paraId="126B8648">
      <w:pPr>
        <w:tabs>
          <w:tab w:val="left" w:pos="400"/>
        </w:tabs>
        <w:bidi w:val="0"/>
        <w:jc w:val="left"/>
        <w:rPr>
          <w:rFonts w:hint="eastAsia" w:eastAsia="宋体"/>
          <w:sz w:val="30"/>
          <w:szCs w:val="30"/>
          <w:lang w:eastAsia="zh-CN"/>
        </w:rPr>
      </w:pPr>
    </w:p>
    <w:p w14:paraId="4370102C">
      <w:pPr>
        <w:tabs>
          <w:tab w:val="left" w:pos="400"/>
        </w:tabs>
        <w:bidi w:val="0"/>
        <w:jc w:val="left"/>
        <w:rPr>
          <w:rFonts w:hint="eastAsia" w:eastAsia="宋体"/>
          <w:sz w:val="30"/>
          <w:szCs w:val="30"/>
          <w:lang w:eastAsia="zh-CN"/>
        </w:rPr>
      </w:pPr>
      <w:r>
        <w:rPr>
          <w:rFonts w:hint="eastAsia" w:eastAsia="宋体"/>
          <w:sz w:val="30"/>
          <w:szCs w:val="30"/>
          <w:lang w:eastAsia="zh-CN"/>
        </w:rPr>
        <w:t>我们怎能理解橄榄山讲论的犹太焦点，或在帖撒罗尼迦前书第4章找到被提，或发现启示录的真正负担是揭示144,000名犹太传福音者在七年大患难期间的职事，这些传福音者将宣讲基督将要来临之千年统治的福音呢？</w:t>
      </w:r>
    </w:p>
    <w:p w14:paraId="5D901055">
      <w:pPr>
        <w:tabs>
          <w:tab w:val="left" w:pos="400"/>
        </w:tabs>
        <w:bidi w:val="0"/>
        <w:jc w:val="left"/>
        <w:rPr>
          <w:rFonts w:hint="eastAsia" w:eastAsia="宋体"/>
          <w:sz w:val="30"/>
          <w:szCs w:val="30"/>
          <w:lang w:eastAsia="zh-CN"/>
        </w:rPr>
      </w:pPr>
    </w:p>
    <w:p w14:paraId="13E92510">
      <w:pPr>
        <w:tabs>
          <w:tab w:val="left" w:pos="400"/>
        </w:tabs>
        <w:bidi w:val="0"/>
        <w:jc w:val="left"/>
        <w:rPr>
          <w:rFonts w:hint="eastAsia" w:eastAsia="宋体"/>
          <w:sz w:val="30"/>
          <w:szCs w:val="30"/>
          <w:lang w:eastAsia="zh-CN"/>
        </w:rPr>
      </w:pPr>
      <w:r>
        <w:rPr>
          <w:rFonts w:hint="eastAsia" w:eastAsia="宋体"/>
          <w:sz w:val="30"/>
          <w:szCs w:val="30"/>
          <w:lang w:eastAsia="zh-CN"/>
        </w:rPr>
        <w:t>Brothers and sisters, I say it in love: Such thinking is spiritually disastrous.</w:t>
      </w:r>
    </w:p>
    <w:p w14:paraId="45C640C9">
      <w:pPr>
        <w:tabs>
          <w:tab w:val="left" w:pos="400"/>
        </w:tabs>
        <w:bidi w:val="0"/>
        <w:jc w:val="left"/>
        <w:rPr>
          <w:rFonts w:hint="eastAsia" w:eastAsia="宋体"/>
          <w:sz w:val="30"/>
          <w:szCs w:val="30"/>
          <w:lang w:eastAsia="zh-CN"/>
        </w:rPr>
      </w:pPr>
    </w:p>
    <w:p w14:paraId="2C934216">
      <w:pPr>
        <w:tabs>
          <w:tab w:val="left" w:pos="400"/>
        </w:tabs>
        <w:bidi w:val="0"/>
        <w:jc w:val="left"/>
        <w:rPr>
          <w:rFonts w:hint="eastAsia" w:eastAsia="宋体"/>
          <w:sz w:val="30"/>
          <w:szCs w:val="30"/>
          <w:lang w:eastAsia="zh-CN"/>
        </w:rPr>
      </w:pPr>
      <w:r>
        <w:rPr>
          <w:rFonts w:hint="eastAsia" w:eastAsia="宋体"/>
          <w:sz w:val="30"/>
          <w:szCs w:val="30"/>
          <w:lang w:eastAsia="zh-CN"/>
        </w:rPr>
        <w:t>弟兄姊妹们，我凭爱心说：这样的思想在属灵上是灾难性的。</w:t>
      </w:r>
    </w:p>
    <w:p w14:paraId="11C9CD4F">
      <w:pPr>
        <w:tabs>
          <w:tab w:val="left" w:pos="400"/>
        </w:tabs>
        <w:bidi w:val="0"/>
        <w:jc w:val="left"/>
        <w:rPr>
          <w:rFonts w:hint="eastAsia" w:eastAsia="宋体"/>
          <w:sz w:val="30"/>
          <w:szCs w:val="30"/>
          <w:lang w:eastAsia="zh-CN"/>
        </w:rPr>
      </w:pPr>
    </w:p>
    <w:p w14:paraId="202E514D">
      <w:pPr>
        <w:tabs>
          <w:tab w:val="left" w:pos="400"/>
        </w:tabs>
        <w:bidi w:val="0"/>
        <w:jc w:val="left"/>
        <w:rPr>
          <w:rFonts w:hint="eastAsia" w:eastAsia="宋体"/>
          <w:sz w:val="30"/>
          <w:szCs w:val="30"/>
          <w:lang w:eastAsia="zh-CN"/>
        </w:rPr>
      </w:pPr>
      <w:r>
        <w:rPr>
          <w:rFonts w:hint="eastAsia" w:eastAsia="宋体"/>
          <w:sz w:val="30"/>
          <w:szCs w:val="30"/>
          <w:lang w:eastAsia="zh-CN"/>
        </w:rPr>
        <w:t>It is not disastrous simply because it is in error, or because it is a prescription for confusion and controversy.</w:t>
      </w:r>
    </w:p>
    <w:p w14:paraId="1C15E405">
      <w:pPr>
        <w:tabs>
          <w:tab w:val="left" w:pos="400"/>
        </w:tabs>
        <w:bidi w:val="0"/>
        <w:jc w:val="left"/>
        <w:rPr>
          <w:rFonts w:hint="eastAsia" w:eastAsia="宋体"/>
          <w:sz w:val="30"/>
          <w:szCs w:val="30"/>
          <w:lang w:eastAsia="zh-CN"/>
        </w:rPr>
      </w:pPr>
    </w:p>
    <w:p w14:paraId="2A599D33">
      <w:pPr>
        <w:tabs>
          <w:tab w:val="left" w:pos="400"/>
        </w:tabs>
        <w:bidi w:val="0"/>
        <w:jc w:val="left"/>
        <w:rPr>
          <w:rFonts w:hint="eastAsia" w:eastAsia="宋体"/>
          <w:sz w:val="30"/>
          <w:szCs w:val="30"/>
          <w:lang w:eastAsia="zh-CN"/>
        </w:rPr>
      </w:pPr>
      <w:r>
        <w:rPr>
          <w:rFonts w:hint="eastAsia" w:eastAsia="宋体"/>
          <w:sz w:val="30"/>
          <w:szCs w:val="30"/>
          <w:lang w:eastAsia="zh-CN"/>
        </w:rPr>
        <w:t>它之所以是灾难性的，不仅因为它本身是错误的，或因为它会造成混乱和争议。</w:t>
      </w:r>
    </w:p>
    <w:p w14:paraId="129CCAF6">
      <w:pPr>
        <w:tabs>
          <w:tab w:val="left" w:pos="400"/>
        </w:tabs>
        <w:bidi w:val="0"/>
        <w:jc w:val="left"/>
        <w:rPr>
          <w:rFonts w:hint="eastAsia" w:eastAsia="宋体"/>
          <w:sz w:val="30"/>
          <w:szCs w:val="30"/>
          <w:lang w:eastAsia="zh-CN"/>
        </w:rPr>
      </w:pPr>
    </w:p>
    <w:p w14:paraId="7BFEF66F">
      <w:pPr>
        <w:tabs>
          <w:tab w:val="left" w:pos="400"/>
        </w:tabs>
        <w:bidi w:val="0"/>
        <w:jc w:val="left"/>
        <w:rPr>
          <w:rFonts w:hint="eastAsia" w:eastAsia="宋体"/>
          <w:sz w:val="30"/>
          <w:szCs w:val="30"/>
          <w:lang w:eastAsia="zh-CN"/>
        </w:rPr>
      </w:pPr>
      <w:r>
        <w:rPr>
          <w:rFonts w:hint="eastAsia" w:eastAsia="宋体"/>
          <w:sz w:val="30"/>
          <w:szCs w:val="30"/>
          <w:lang w:eastAsia="zh-CN"/>
        </w:rPr>
        <w:t>No, it is disastrous—and therefore a prescription for error and controversy—because it so egregiously dishonors Christ.</w:t>
      </w:r>
    </w:p>
    <w:p w14:paraId="1199FA51">
      <w:pPr>
        <w:tabs>
          <w:tab w:val="left" w:pos="400"/>
        </w:tabs>
        <w:bidi w:val="0"/>
        <w:jc w:val="left"/>
        <w:rPr>
          <w:rFonts w:hint="eastAsia" w:eastAsia="宋体"/>
          <w:sz w:val="30"/>
          <w:szCs w:val="30"/>
          <w:lang w:eastAsia="zh-CN"/>
        </w:rPr>
      </w:pPr>
    </w:p>
    <w:p w14:paraId="270BBB8E">
      <w:pPr>
        <w:tabs>
          <w:tab w:val="left" w:pos="400"/>
        </w:tabs>
        <w:bidi w:val="0"/>
        <w:jc w:val="left"/>
        <w:rPr>
          <w:rFonts w:hint="eastAsia" w:eastAsia="宋体"/>
          <w:sz w:val="30"/>
          <w:szCs w:val="30"/>
          <w:lang w:eastAsia="zh-CN"/>
        </w:rPr>
      </w:pPr>
      <w:r>
        <w:rPr>
          <w:rFonts w:hint="eastAsia" w:eastAsia="宋体"/>
          <w:sz w:val="30"/>
          <w:szCs w:val="30"/>
          <w:lang w:eastAsia="zh-CN"/>
        </w:rPr>
        <w:t>不，它是灾难性的——因此也造成了错误和争议——因为它如此公然地羞辱基督。</w:t>
      </w:r>
    </w:p>
    <w:p w14:paraId="17A2D12B">
      <w:pPr>
        <w:tabs>
          <w:tab w:val="left" w:pos="400"/>
        </w:tabs>
        <w:bidi w:val="0"/>
        <w:jc w:val="left"/>
        <w:rPr>
          <w:rFonts w:hint="eastAsia" w:eastAsia="宋体"/>
          <w:sz w:val="30"/>
          <w:szCs w:val="30"/>
          <w:lang w:eastAsia="zh-CN"/>
        </w:rPr>
      </w:pPr>
    </w:p>
    <w:p w14:paraId="0A5CCB13">
      <w:pPr>
        <w:tabs>
          <w:tab w:val="left" w:pos="400"/>
        </w:tabs>
        <w:bidi w:val="0"/>
        <w:jc w:val="left"/>
        <w:rPr>
          <w:rFonts w:hint="eastAsia" w:eastAsia="宋体"/>
          <w:sz w:val="30"/>
          <w:szCs w:val="30"/>
          <w:lang w:eastAsia="zh-CN"/>
        </w:rPr>
      </w:pPr>
      <w:r>
        <w:rPr>
          <w:rFonts w:hint="eastAsia" w:eastAsia="宋体"/>
          <w:sz w:val="30"/>
          <w:szCs w:val="30"/>
          <w:lang w:eastAsia="zh-CN"/>
        </w:rPr>
        <w:t>How?</w:t>
      </w:r>
    </w:p>
    <w:p w14:paraId="2A9C2EDC">
      <w:pPr>
        <w:tabs>
          <w:tab w:val="left" w:pos="400"/>
        </w:tabs>
        <w:bidi w:val="0"/>
        <w:jc w:val="left"/>
        <w:rPr>
          <w:rFonts w:hint="eastAsia" w:eastAsia="宋体"/>
          <w:sz w:val="30"/>
          <w:szCs w:val="30"/>
          <w:lang w:eastAsia="zh-CN"/>
        </w:rPr>
      </w:pPr>
    </w:p>
    <w:p w14:paraId="3691E77D">
      <w:pPr>
        <w:tabs>
          <w:tab w:val="left" w:pos="400"/>
        </w:tabs>
        <w:bidi w:val="0"/>
        <w:jc w:val="left"/>
        <w:rPr>
          <w:rFonts w:hint="eastAsia" w:eastAsia="宋体"/>
          <w:sz w:val="30"/>
          <w:szCs w:val="30"/>
          <w:lang w:eastAsia="zh-CN"/>
        </w:rPr>
      </w:pPr>
      <w:r>
        <w:rPr>
          <w:rFonts w:hint="eastAsia" w:eastAsia="宋体"/>
          <w:sz w:val="30"/>
          <w:szCs w:val="30"/>
          <w:lang w:eastAsia="zh-CN"/>
        </w:rPr>
        <w:t>如何羞辱？</w:t>
      </w:r>
    </w:p>
    <w:p w14:paraId="2F5A2684">
      <w:pPr>
        <w:tabs>
          <w:tab w:val="left" w:pos="400"/>
        </w:tabs>
        <w:bidi w:val="0"/>
        <w:jc w:val="left"/>
        <w:rPr>
          <w:rFonts w:hint="eastAsia" w:eastAsia="宋体"/>
          <w:sz w:val="30"/>
          <w:szCs w:val="30"/>
          <w:lang w:eastAsia="zh-CN"/>
        </w:rPr>
      </w:pPr>
    </w:p>
    <w:p w14:paraId="52594B57">
      <w:pPr>
        <w:tabs>
          <w:tab w:val="left" w:pos="400"/>
        </w:tabs>
        <w:bidi w:val="0"/>
        <w:jc w:val="left"/>
        <w:rPr>
          <w:rFonts w:hint="eastAsia" w:eastAsia="宋体"/>
          <w:sz w:val="30"/>
          <w:szCs w:val="30"/>
          <w:lang w:eastAsia="zh-CN"/>
        </w:rPr>
      </w:pPr>
      <w:r>
        <w:rPr>
          <w:rFonts w:hint="eastAsia" w:eastAsia="宋体"/>
          <w:sz w:val="30"/>
          <w:szCs w:val="30"/>
          <w:lang w:eastAsia="zh-CN"/>
        </w:rPr>
        <w:t>By failing to accord to him—and to the NT truth that he so graciously gave us—their rightful place at very head of divine revelation.</w:t>
      </w:r>
    </w:p>
    <w:p w14:paraId="2CF70ABC">
      <w:pPr>
        <w:tabs>
          <w:tab w:val="left" w:pos="400"/>
        </w:tabs>
        <w:bidi w:val="0"/>
        <w:jc w:val="left"/>
        <w:rPr>
          <w:rFonts w:hint="eastAsia" w:eastAsia="宋体"/>
          <w:sz w:val="30"/>
          <w:szCs w:val="30"/>
          <w:lang w:eastAsia="zh-CN"/>
        </w:rPr>
      </w:pPr>
    </w:p>
    <w:p w14:paraId="11BFE557">
      <w:pPr>
        <w:tabs>
          <w:tab w:val="left" w:pos="400"/>
        </w:tabs>
        <w:bidi w:val="0"/>
        <w:jc w:val="left"/>
        <w:rPr>
          <w:rFonts w:hint="eastAsia" w:eastAsia="宋体"/>
          <w:sz w:val="30"/>
          <w:szCs w:val="30"/>
          <w:lang w:eastAsia="zh-CN"/>
        </w:rPr>
      </w:pPr>
      <w:r>
        <w:rPr>
          <w:rFonts w:hint="eastAsia" w:eastAsia="宋体"/>
          <w:sz w:val="30"/>
          <w:szCs w:val="30"/>
          <w:lang w:eastAsia="zh-CN"/>
        </w:rPr>
        <w:t>通过未能将祂——以及祂如此恩慈地赐给我们的新约真理——置于其在神圣启示最顶端的应有位置。</w:t>
      </w:r>
    </w:p>
    <w:p w14:paraId="60D4791F">
      <w:pPr>
        <w:tabs>
          <w:tab w:val="left" w:pos="400"/>
        </w:tabs>
        <w:bidi w:val="0"/>
        <w:jc w:val="left"/>
        <w:rPr>
          <w:rFonts w:hint="eastAsia" w:eastAsia="宋体"/>
          <w:sz w:val="30"/>
          <w:szCs w:val="30"/>
          <w:lang w:eastAsia="zh-CN"/>
        </w:rPr>
      </w:pPr>
    </w:p>
    <w:p w14:paraId="19E86B35">
      <w:pPr>
        <w:tabs>
          <w:tab w:val="left" w:pos="400"/>
        </w:tabs>
        <w:bidi w:val="0"/>
        <w:jc w:val="left"/>
        <w:rPr>
          <w:rFonts w:hint="eastAsia" w:eastAsia="宋体"/>
          <w:sz w:val="30"/>
          <w:szCs w:val="30"/>
          <w:lang w:eastAsia="zh-CN"/>
        </w:rPr>
      </w:pPr>
      <w:r>
        <w:rPr>
          <w:rFonts w:hint="eastAsia" w:eastAsia="宋体"/>
          <w:sz w:val="30"/>
          <w:szCs w:val="30"/>
          <w:lang w:eastAsia="zh-CN"/>
        </w:rPr>
        <w:t>As a result of this, it scandalously abases the divine Teacher himself before the feet of worthy but infinitely lesser servants of God; mere precursors, who, in Old Testament times, spoke in portions, types, shadows, and dark sayings about things that Christ and his apostles actually brought out into the full light of day; things into which the prophets of old—and the angels as well—desired to look (1 Peter 1:11-12)!</w:t>
      </w:r>
    </w:p>
    <w:p w14:paraId="49B9486F">
      <w:pPr>
        <w:tabs>
          <w:tab w:val="left" w:pos="400"/>
        </w:tabs>
        <w:bidi w:val="0"/>
        <w:jc w:val="left"/>
        <w:rPr>
          <w:rFonts w:hint="eastAsia" w:eastAsia="宋体"/>
          <w:sz w:val="30"/>
          <w:szCs w:val="30"/>
          <w:lang w:eastAsia="zh-CN"/>
        </w:rPr>
      </w:pPr>
    </w:p>
    <w:p w14:paraId="0491C735">
      <w:pPr>
        <w:tabs>
          <w:tab w:val="left" w:pos="400"/>
        </w:tabs>
        <w:bidi w:val="0"/>
        <w:jc w:val="left"/>
        <w:rPr>
          <w:rFonts w:hint="eastAsia" w:eastAsia="宋体"/>
          <w:sz w:val="30"/>
          <w:szCs w:val="30"/>
          <w:lang w:eastAsia="zh-CN"/>
        </w:rPr>
      </w:pPr>
      <w:r>
        <w:rPr>
          <w:rFonts w:hint="eastAsia" w:eastAsia="宋体"/>
          <w:sz w:val="30"/>
          <w:szCs w:val="30"/>
          <w:lang w:eastAsia="zh-CN"/>
        </w:rPr>
        <w:t>其结果是，它可耻地将这位神圣的教师自己贬低在那些配得但无限渺小的神仆脚前；他们仅仅是先驱，在旧约时代，用分段、预表、影儿和谜语，谈论那些基督和祂的使徒们实际上已带到光天化日之下的事；那些古时的申言者——以及天使们——也渴望详细察看的事（彼得前书 1:11-12）！</w:t>
      </w:r>
    </w:p>
    <w:p w14:paraId="1B4F3733">
      <w:pPr>
        <w:tabs>
          <w:tab w:val="left" w:pos="400"/>
        </w:tabs>
        <w:bidi w:val="0"/>
        <w:jc w:val="left"/>
        <w:rPr>
          <w:rFonts w:hint="eastAsia" w:eastAsia="宋体"/>
          <w:sz w:val="30"/>
          <w:szCs w:val="30"/>
          <w:lang w:eastAsia="zh-CN"/>
        </w:rPr>
      </w:pPr>
    </w:p>
    <w:p w14:paraId="27665537">
      <w:pPr>
        <w:tabs>
          <w:tab w:val="left" w:pos="400"/>
        </w:tabs>
        <w:bidi w:val="0"/>
        <w:jc w:val="left"/>
        <w:rPr>
          <w:rFonts w:hint="eastAsia" w:eastAsia="宋体"/>
          <w:sz w:val="30"/>
          <w:szCs w:val="30"/>
          <w:lang w:eastAsia="zh-CN"/>
        </w:rPr>
      </w:pPr>
      <w:r>
        <w:rPr>
          <w:rFonts w:hint="eastAsia" w:eastAsia="宋体"/>
          <w:sz w:val="30"/>
          <w:szCs w:val="30"/>
          <w:lang w:eastAsia="zh-CN"/>
        </w:rPr>
        <w:t>Our Master said that the least in the Kingdom of heaven is greater than any of “these” who preceded him (Mt. 11:11).</w:t>
      </w:r>
    </w:p>
    <w:p w14:paraId="0739A060">
      <w:pPr>
        <w:tabs>
          <w:tab w:val="left" w:pos="400"/>
        </w:tabs>
        <w:bidi w:val="0"/>
        <w:jc w:val="left"/>
        <w:rPr>
          <w:rFonts w:hint="eastAsia" w:eastAsia="宋体"/>
          <w:sz w:val="30"/>
          <w:szCs w:val="30"/>
          <w:lang w:eastAsia="zh-CN"/>
        </w:rPr>
      </w:pPr>
    </w:p>
    <w:p w14:paraId="6332833A">
      <w:pPr>
        <w:tabs>
          <w:tab w:val="left" w:pos="400"/>
        </w:tabs>
        <w:bidi w:val="0"/>
        <w:jc w:val="left"/>
        <w:rPr>
          <w:rFonts w:hint="eastAsia" w:eastAsia="宋体"/>
          <w:sz w:val="30"/>
          <w:szCs w:val="30"/>
          <w:lang w:eastAsia="zh-CN"/>
        </w:rPr>
      </w:pPr>
      <w:r>
        <w:rPr>
          <w:rFonts w:hint="eastAsia" w:eastAsia="宋体"/>
          <w:sz w:val="30"/>
          <w:szCs w:val="30"/>
          <w:lang w:eastAsia="zh-CN"/>
        </w:rPr>
        <w:t>我们的主说，天国里最小的，比任何在祂之前的“这些人”都大（太 11:11）。</w:t>
      </w:r>
    </w:p>
    <w:p w14:paraId="28521D86">
      <w:pPr>
        <w:tabs>
          <w:tab w:val="left" w:pos="400"/>
        </w:tabs>
        <w:bidi w:val="0"/>
        <w:jc w:val="left"/>
        <w:rPr>
          <w:rFonts w:hint="eastAsia" w:eastAsia="宋体"/>
          <w:sz w:val="30"/>
          <w:szCs w:val="30"/>
          <w:lang w:eastAsia="zh-CN"/>
        </w:rPr>
      </w:pPr>
    </w:p>
    <w:p w14:paraId="2C2320ED">
      <w:pPr>
        <w:tabs>
          <w:tab w:val="left" w:pos="400"/>
        </w:tabs>
        <w:bidi w:val="0"/>
        <w:jc w:val="left"/>
        <w:rPr>
          <w:rFonts w:hint="eastAsia" w:eastAsia="宋体"/>
          <w:sz w:val="30"/>
          <w:szCs w:val="30"/>
          <w:lang w:eastAsia="zh-CN"/>
        </w:rPr>
      </w:pPr>
      <w:r>
        <w:rPr>
          <w:rFonts w:hint="eastAsia" w:eastAsia="宋体"/>
          <w:sz w:val="30"/>
          <w:szCs w:val="30"/>
          <w:lang w:eastAsia="zh-CN"/>
        </w:rPr>
        <w:t>Yet we have not only insisted on making “these” greater than the least, but greater than the Master himself!</w:t>
      </w:r>
    </w:p>
    <w:p w14:paraId="42AE5733">
      <w:pPr>
        <w:tabs>
          <w:tab w:val="left" w:pos="400"/>
        </w:tabs>
        <w:bidi w:val="0"/>
        <w:jc w:val="left"/>
        <w:rPr>
          <w:rFonts w:hint="eastAsia" w:eastAsia="宋体"/>
          <w:sz w:val="30"/>
          <w:szCs w:val="30"/>
          <w:lang w:eastAsia="zh-CN"/>
        </w:rPr>
      </w:pPr>
    </w:p>
    <w:p w14:paraId="56CBAC80">
      <w:pPr>
        <w:tabs>
          <w:tab w:val="left" w:pos="400"/>
        </w:tabs>
        <w:bidi w:val="0"/>
        <w:jc w:val="left"/>
        <w:rPr>
          <w:rFonts w:hint="eastAsia" w:eastAsia="宋体"/>
          <w:sz w:val="30"/>
          <w:szCs w:val="30"/>
          <w:lang w:eastAsia="zh-CN"/>
        </w:rPr>
      </w:pPr>
      <w:r>
        <w:rPr>
          <w:rFonts w:hint="eastAsia" w:eastAsia="宋体"/>
          <w:sz w:val="30"/>
          <w:szCs w:val="30"/>
          <w:lang w:eastAsia="zh-CN"/>
        </w:rPr>
        <w:t>然而我们不仅坚持让“这些人”比最小的还大，甚至比主自己还大！</w:t>
      </w:r>
    </w:p>
    <w:p w14:paraId="2D84180A">
      <w:pPr>
        <w:tabs>
          <w:tab w:val="left" w:pos="400"/>
        </w:tabs>
        <w:bidi w:val="0"/>
        <w:jc w:val="left"/>
        <w:rPr>
          <w:rFonts w:hint="eastAsia" w:eastAsia="宋体"/>
          <w:sz w:val="30"/>
          <w:szCs w:val="30"/>
          <w:lang w:eastAsia="zh-CN"/>
        </w:rPr>
      </w:pPr>
    </w:p>
    <w:p w14:paraId="1927ADD1">
      <w:pPr>
        <w:tabs>
          <w:tab w:val="left" w:pos="400"/>
        </w:tabs>
        <w:bidi w:val="0"/>
        <w:jc w:val="left"/>
        <w:rPr>
          <w:rFonts w:hint="eastAsia" w:eastAsia="宋体"/>
          <w:sz w:val="30"/>
          <w:szCs w:val="30"/>
          <w:lang w:eastAsia="zh-CN"/>
        </w:rPr>
      </w:pPr>
      <w:r>
        <w:rPr>
          <w:rFonts w:hint="eastAsia" w:eastAsia="宋体"/>
          <w:sz w:val="30"/>
          <w:szCs w:val="30"/>
          <w:lang w:eastAsia="zh-CN"/>
        </w:rPr>
        <w:t>So again, the all-important message of this chapter is: Christ has the keys!</w:t>
      </w:r>
    </w:p>
    <w:p w14:paraId="38ECB0CA">
      <w:pPr>
        <w:tabs>
          <w:tab w:val="left" w:pos="400"/>
        </w:tabs>
        <w:bidi w:val="0"/>
        <w:jc w:val="left"/>
        <w:rPr>
          <w:rFonts w:hint="eastAsia" w:eastAsia="宋体"/>
          <w:sz w:val="30"/>
          <w:szCs w:val="30"/>
          <w:lang w:eastAsia="zh-CN"/>
        </w:rPr>
      </w:pPr>
    </w:p>
    <w:p w14:paraId="2C33DF21">
      <w:pPr>
        <w:tabs>
          <w:tab w:val="left" w:pos="400"/>
        </w:tabs>
        <w:bidi w:val="0"/>
        <w:jc w:val="left"/>
        <w:rPr>
          <w:rFonts w:hint="eastAsia" w:eastAsia="宋体"/>
          <w:sz w:val="30"/>
          <w:szCs w:val="30"/>
          <w:lang w:eastAsia="zh-CN"/>
        </w:rPr>
      </w:pPr>
      <w:r>
        <w:rPr>
          <w:rFonts w:hint="eastAsia" w:eastAsia="宋体"/>
          <w:sz w:val="30"/>
          <w:szCs w:val="30"/>
          <w:lang w:eastAsia="zh-CN"/>
        </w:rPr>
        <w:t>所以再次强调，本章至关重要的信息是：基督拿着众钥匙！</w:t>
      </w:r>
    </w:p>
    <w:p w14:paraId="68D8E3D1">
      <w:pPr>
        <w:tabs>
          <w:tab w:val="left" w:pos="400"/>
        </w:tabs>
        <w:bidi w:val="0"/>
        <w:jc w:val="left"/>
        <w:rPr>
          <w:rFonts w:hint="eastAsia" w:eastAsia="宋体"/>
          <w:sz w:val="30"/>
          <w:szCs w:val="30"/>
          <w:lang w:eastAsia="zh-CN"/>
        </w:rPr>
      </w:pPr>
    </w:p>
    <w:p w14:paraId="10E0524D">
      <w:pPr>
        <w:tabs>
          <w:tab w:val="left" w:pos="400"/>
        </w:tabs>
        <w:bidi w:val="0"/>
        <w:jc w:val="left"/>
        <w:rPr>
          <w:rFonts w:hint="eastAsia" w:eastAsia="宋体"/>
          <w:sz w:val="30"/>
          <w:szCs w:val="30"/>
          <w:lang w:eastAsia="zh-CN"/>
        </w:rPr>
      </w:pPr>
      <w:r>
        <w:rPr>
          <w:rFonts w:hint="eastAsia" w:eastAsia="宋体"/>
          <w:sz w:val="30"/>
          <w:szCs w:val="30"/>
          <w:lang w:eastAsia="zh-CN"/>
        </w:rPr>
        <w:t>He gives them to us in what I will call the Didactic New Testament (DNT).</w:t>
      </w:r>
    </w:p>
    <w:p w14:paraId="4367629E">
      <w:pPr>
        <w:tabs>
          <w:tab w:val="left" w:pos="400"/>
        </w:tabs>
        <w:bidi w:val="0"/>
        <w:jc w:val="left"/>
        <w:rPr>
          <w:rFonts w:hint="eastAsia" w:eastAsia="宋体"/>
          <w:sz w:val="30"/>
          <w:szCs w:val="30"/>
          <w:lang w:eastAsia="zh-CN"/>
        </w:rPr>
      </w:pPr>
    </w:p>
    <w:p w14:paraId="44986426">
      <w:pPr>
        <w:tabs>
          <w:tab w:val="left" w:pos="400"/>
        </w:tabs>
        <w:bidi w:val="0"/>
        <w:jc w:val="left"/>
        <w:rPr>
          <w:rFonts w:hint="eastAsia" w:eastAsia="宋体"/>
          <w:sz w:val="30"/>
          <w:szCs w:val="30"/>
          <w:lang w:eastAsia="zh-CN"/>
        </w:rPr>
      </w:pPr>
      <w:r>
        <w:rPr>
          <w:rFonts w:hint="eastAsia" w:eastAsia="宋体"/>
          <w:sz w:val="30"/>
          <w:szCs w:val="30"/>
          <w:lang w:eastAsia="zh-CN"/>
        </w:rPr>
        <w:t>祂在我要称之为教导性的新约（DNT）中将它们赐给我们。</w:t>
      </w:r>
    </w:p>
    <w:p w14:paraId="1C8C4A26">
      <w:pPr>
        <w:tabs>
          <w:tab w:val="left" w:pos="400"/>
        </w:tabs>
        <w:bidi w:val="0"/>
        <w:jc w:val="left"/>
        <w:rPr>
          <w:rFonts w:hint="eastAsia" w:eastAsia="宋体"/>
          <w:sz w:val="30"/>
          <w:szCs w:val="30"/>
          <w:lang w:eastAsia="zh-CN"/>
        </w:rPr>
      </w:pPr>
    </w:p>
    <w:p w14:paraId="376C29EC">
      <w:pPr>
        <w:tabs>
          <w:tab w:val="left" w:pos="400"/>
        </w:tabs>
        <w:bidi w:val="0"/>
        <w:jc w:val="left"/>
        <w:rPr>
          <w:rFonts w:hint="eastAsia" w:eastAsia="宋体"/>
          <w:sz w:val="30"/>
          <w:szCs w:val="30"/>
          <w:lang w:eastAsia="zh-CN"/>
        </w:rPr>
      </w:pPr>
      <w:r>
        <w:rPr>
          <w:rFonts w:hint="eastAsia" w:eastAsia="宋体"/>
          <w:sz w:val="30"/>
          <w:szCs w:val="30"/>
          <w:lang w:eastAsia="zh-CN"/>
        </w:rPr>
        <w:t>That is, he gives them to us in the Gospels, the book of Acts, and the Epistles—in those portions of the NT that clearly and explicitly teach us God’s definitive truth on all things, including eschatology.</w:t>
      </w:r>
    </w:p>
    <w:p w14:paraId="7806910E">
      <w:pPr>
        <w:tabs>
          <w:tab w:val="left" w:pos="400"/>
        </w:tabs>
        <w:bidi w:val="0"/>
        <w:jc w:val="left"/>
        <w:rPr>
          <w:rFonts w:hint="eastAsia" w:eastAsia="宋体"/>
          <w:sz w:val="30"/>
          <w:szCs w:val="30"/>
          <w:lang w:eastAsia="zh-CN"/>
        </w:rPr>
      </w:pPr>
    </w:p>
    <w:p w14:paraId="30B22D25">
      <w:pPr>
        <w:tabs>
          <w:tab w:val="left" w:pos="400"/>
        </w:tabs>
        <w:bidi w:val="0"/>
        <w:jc w:val="left"/>
        <w:rPr>
          <w:rFonts w:hint="eastAsia" w:eastAsia="宋体"/>
          <w:sz w:val="30"/>
          <w:szCs w:val="30"/>
          <w:lang w:eastAsia="zh-CN"/>
        </w:rPr>
      </w:pPr>
      <w:r>
        <w:rPr>
          <w:rFonts w:hint="eastAsia" w:eastAsia="宋体"/>
          <w:sz w:val="30"/>
          <w:szCs w:val="30"/>
          <w:lang w:eastAsia="zh-CN"/>
        </w:rPr>
        <w:t>就是说，祂在福音书、使徒行传和书信中将它们赐给我们——在新约的那些部分中，它们清晰而明确地教导我们神关于万事（包括末世论）的确定真理。</w:t>
      </w:r>
    </w:p>
    <w:p w14:paraId="597C4528">
      <w:pPr>
        <w:tabs>
          <w:tab w:val="left" w:pos="400"/>
        </w:tabs>
        <w:bidi w:val="0"/>
        <w:jc w:val="left"/>
        <w:rPr>
          <w:rFonts w:hint="eastAsia" w:eastAsia="宋体"/>
          <w:sz w:val="30"/>
          <w:szCs w:val="30"/>
          <w:lang w:eastAsia="zh-CN"/>
        </w:rPr>
      </w:pPr>
    </w:p>
    <w:p w14:paraId="06C671B0">
      <w:pPr>
        <w:tabs>
          <w:tab w:val="left" w:pos="400"/>
        </w:tabs>
        <w:bidi w:val="0"/>
        <w:jc w:val="left"/>
        <w:rPr>
          <w:rFonts w:hint="eastAsia" w:eastAsia="宋体"/>
          <w:sz w:val="30"/>
          <w:szCs w:val="30"/>
          <w:lang w:eastAsia="zh-CN"/>
        </w:rPr>
      </w:pPr>
      <w:r>
        <w:rPr>
          <w:rFonts w:hint="eastAsia" w:eastAsia="宋体"/>
          <w:sz w:val="30"/>
          <w:szCs w:val="30"/>
          <w:lang w:eastAsia="zh-CN"/>
        </w:rPr>
        <w:t>Here and here alone is where we learn how to understand the Kingdom of God, the Millennium, and the Consummation.</w:t>
      </w:r>
    </w:p>
    <w:p w14:paraId="5EE45168">
      <w:pPr>
        <w:tabs>
          <w:tab w:val="left" w:pos="400"/>
        </w:tabs>
        <w:bidi w:val="0"/>
        <w:jc w:val="left"/>
        <w:rPr>
          <w:rFonts w:hint="eastAsia" w:eastAsia="宋体"/>
          <w:sz w:val="30"/>
          <w:szCs w:val="30"/>
          <w:lang w:eastAsia="zh-CN"/>
        </w:rPr>
      </w:pPr>
    </w:p>
    <w:p w14:paraId="5C02E89A">
      <w:pPr>
        <w:tabs>
          <w:tab w:val="left" w:pos="400"/>
        </w:tabs>
        <w:bidi w:val="0"/>
        <w:jc w:val="left"/>
        <w:rPr>
          <w:rFonts w:hint="eastAsia" w:eastAsia="宋体"/>
          <w:sz w:val="30"/>
          <w:szCs w:val="30"/>
          <w:lang w:eastAsia="zh-CN"/>
        </w:rPr>
      </w:pPr>
      <w:r>
        <w:rPr>
          <w:rFonts w:hint="eastAsia" w:eastAsia="宋体"/>
          <w:sz w:val="30"/>
          <w:szCs w:val="30"/>
          <w:lang w:eastAsia="zh-CN"/>
        </w:rPr>
        <w:t>在这里，且唯独在这里，我们才学会如何理解神的国、千禧年和最终的成全。</w:t>
      </w:r>
    </w:p>
    <w:p w14:paraId="49987EB8">
      <w:pPr>
        <w:tabs>
          <w:tab w:val="left" w:pos="400"/>
        </w:tabs>
        <w:bidi w:val="0"/>
        <w:jc w:val="left"/>
        <w:rPr>
          <w:rFonts w:hint="eastAsia" w:eastAsia="宋体"/>
          <w:sz w:val="30"/>
          <w:szCs w:val="30"/>
          <w:lang w:eastAsia="zh-CN"/>
        </w:rPr>
      </w:pPr>
    </w:p>
    <w:p w14:paraId="0F33527A">
      <w:pPr>
        <w:tabs>
          <w:tab w:val="left" w:pos="400"/>
        </w:tabs>
        <w:bidi w:val="0"/>
        <w:jc w:val="left"/>
        <w:rPr>
          <w:rFonts w:hint="eastAsia" w:eastAsia="宋体"/>
          <w:sz w:val="30"/>
          <w:szCs w:val="30"/>
          <w:lang w:eastAsia="zh-CN"/>
        </w:rPr>
      </w:pPr>
      <w:r>
        <w:rPr>
          <w:rFonts w:hint="eastAsia" w:eastAsia="宋体"/>
          <w:sz w:val="30"/>
          <w:szCs w:val="30"/>
          <w:lang w:eastAsia="zh-CN"/>
        </w:rPr>
        <w:t>Once we see this clearly, all things will fall into place.</w:t>
      </w:r>
    </w:p>
    <w:p w14:paraId="0BDA429C">
      <w:pPr>
        <w:tabs>
          <w:tab w:val="left" w:pos="400"/>
        </w:tabs>
        <w:bidi w:val="0"/>
        <w:jc w:val="left"/>
        <w:rPr>
          <w:rFonts w:hint="eastAsia" w:eastAsia="宋体"/>
          <w:sz w:val="30"/>
          <w:szCs w:val="30"/>
          <w:lang w:eastAsia="zh-CN"/>
        </w:rPr>
      </w:pPr>
    </w:p>
    <w:p w14:paraId="321EE374">
      <w:pPr>
        <w:tabs>
          <w:tab w:val="left" w:pos="400"/>
        </w:tabs>
        <w:bidi w:val="0"/>
        <w:jc w:val="left"/>
        <w:rPr>
          <w:rFonts w:hint="eastAsia" w:eastAsia="宋体"/>
          <w:sz w:val="30"/>
          <w:szCs w:val="30"/>
          <w:lang w:eastAsia="zh-CN"/>
        </w:rPr>
      </w:pPr>
      <w:r>
        <w:rPr>
          <w:rFonts w:hint="eastAsia" w:eastAsia="宋体"/>
          <w:sz w:val="30"/>
          <w:szCs w:val="30"/>
          <w:lang w:eastAsia="zh-CN"/>
        </w:rPr>
        <w:t>一旦我们清楚地看见这一点，万事都将各就其位。</w:t>
      </w:r>
    </w:p>
    <w:p w14:paraId="173C4320">
      <w:pPr>
        <w:tabs>
          <w:tab w:val="left" w:pos="400"/>
        </w:tabs>
        <w:bidi w:val="0"/>
        <w:jc w:val="left"/>
        <w:rPr>
          <w:rFonts w:hint="eastAsia" w:eastAsia="宋体"/>
          <w:sz w:val="30"/>
          <w:szCs w:val="30"/>
          <w:lang w:eastAsia="zh-CN"/>
        </w:rPr>
      </w:pPr>
    </w:p>
    <w:p w14:paraId="423CEDD9">
      <w:pPr>
        <w:tabs>
          <w:tab w:val="left" w:pos="400"/>
        </w:tabs>
        <w:bidi w:val="0"/>
        <w:jc w:val="left"/>
        <w:rPr>
          <w:rFonts w:hint="eastAsia" w:eastAsia="宋体"/>
          <w:sz w:val="30"/>
          <w:szCs w:val="30"/>
          <w:lang w:eastAsia="zh-CN"/>
        </w:rPr>
      </w:pPr>
      <w:r>
        <w:rPr>
          <w:rFonts w:hint="eastAsia" w:eastAsia="宋体"/>
          <w:sz w:val="30"/>
          <w:szCs w:val="30"/>
          <w:lang w:eastAsia="zh-CN"/>
        </w:rPr>
        <w:t>Until we see it clearly, the way will remain shut.</w:t>
      </w:r>
    </w:p>
    <w:p w14:paraId="7E20A073">
      <w:pPr>
        <w:tabs>
          <w:tab w:val="left" w:pos="400"/>
        </w:tabs>
        <w:bidi w:val="0"/>
        <w:jc w:val="left"/>
        <w:rPr>
          <w:rFonts w:hint="eastAsia" w:eastAsia="宋体"/>
          <w:sz w:val="30"/>
          <w:szCs w:val="30"/>
          <w:lang w:eastAsia="zh-CN"/>
        </w:rPr>
      </w:pPr>
    </w:p>
    <w:p w14:paraId="0D40CB71">
      <w:pPr>
        <w:tabs>
          <w:tab w:val="left" w:pos="400"/>
        </w:tabs>
        <w:bidi w:val="0"/>
        <w:jc w:val="left"/>
        <w:rPr>
          <w:rFonts w:hint="eastAsia" w:eastAsia="宋体"/>
          <w:sz w:val="30"/>
          <w:szCs w:val="30"/>
          <w:lang w:eastAsia="zh-CN"/>
        </w:rPr>
      </w:pPr>
      <w:r>
        <w:rPr>
          <w:rFonts w:hint="eastAsia" w:eastAsia="宋体"/>
          <w:sz w:val="30"/>
          <w:szCs w:val="30"/>
          <w:lang w:eastAsia="zh-CN"/>
        </w:rPr>
        <w:t>直到我们清楚地看见它，道路将仍然是关闭的。</w:t>
      </w:r>
    </w:p>
    <w:p w14:paraId="204274B3">
      <w:pPr>
        <w:tabs>
          <w:tab w:val="left" w:pos="400"/>
        </w:tabs>
        <w:bidi w:val="0"/>
        <w:jc w:val="left"/>
        <w:rPr>
          <w:rFonts w:hint="eastAsia" w:eastAsia="宋体"/>
          <w:sz w:val="30"/>
          <w:szCs w:val="30"/>
          <w:lang w:eastAsia="zh-CN"/>
        </w:rPr>
      </w:pPr>
    </w:p>
    <w:p w14:paraId="57CED466">
      <w:pPr>
        <w:tabs>
          <w:tab w:val="left" w:pos="400"/>
        </w:tabs>
        <w:bidi w:val="0"/>
        <w:jc w:val="left"/>
        <w:rPr>
          <w:rFonts w:hint="eastAsia" w:eastAsia="宋体"/>
          <w:sz w:val="30"/>
          <w:szCs w:val="30"/>
          <w:lang w:eastAsia="zh-CN"/>
        </w:rPr>
      </w:pPr>
      <w:r>
        <w:rPr>
          <w:rFonts w:hint="eastAsia" w:eastAsia="宋体"/>
          <w:sz w:val="30"/>
          <w:szCs w:val="30"/>
          <w:lang w:eastAsia="zh-CN"/>
        </w:rPr>
        <w:t>We do well, then, to spend a few moments pondering exactly why it is that Christ has the keys, and how it is that we should receive and use them so as to open the door to the truth of biblical eschatology.</w:t>
      </w:r>
    </w:p>
    <w:p w14:paraId="2ED472E4">
      <w:pPr>
        <w:tabs>
          <w:tab w:val="left" w:pos="400"/>
        </w:tabs>
        <w:bidi w:val="0"/>
        <w:jc w:val="left"/>
        <w:rPr>
          <w:rFonts w:hint="eastAsia" w:eastAsia="宋体"/>
          <w:sz w:val="30"/>
          <w:szCs w:val="30"/>
          <w:lang w:eastAsia="zh-CN"/>
        </w:rPr>
      </w:pPr>
    </w:p>
    <w:p w14:paraId="53EE4F49">
      <w:pPr>
        <w:tabs>
          <w:tab w:val="left" w:pos="400"/>
        </w:tabs>
        <w:bidi w:val="0"/>
        <w:jc w:val="left"/>
        <w:rPr>
          <w:rFonts w:hint="eastAsia" w:eastAsia="宋体"/>
          <w:sz w:val="30"/>
          <w:szCs w:val="30"/>
          <w:lang w:eastAsia="zh-CN"/>
        </w:rPr>
      </w:pPr>
      <w:r>
        <w:rPr>
          <w:rFonts w:hint="eastAsia" w:eastAsia="宋体"/>
          <w:sz w:val="30"/>
          <w:szCs w:val="30"/>
          <w:lang w:eastAsia="zh-CN"/>
        </w:rPr>
        <w:t>那么，我们最好花些时间默想基督究竟为何拿着众钥匙，以及我们该如何领受并使用它们，以打开通往圣经末世论真理之门。</w:t>
      </w:r>
    </w:p>
    <w:p w14:paraId="6D37C509">
      <w:pPr>
        <w:tabs>
          <w:tab w:val="left" w:pos="400"/>
        </w:tabs>
        <w:bidi w:val="0"/>
        <w:jc w:val="left"/>
        <w:rPr>
          <w:rFonts w:hint="eastAsia" w:eastAsia="宋体"/>
          <w:sz w:val="30"/>
          <w:szCs w:val="30"/>
          <w:lang w:eastAsia="zh-CN"/>
        </w:rPr>
      </w:pPr>
    </w:p>
    <w:p w14:paraId="6419F9F9">
      <w:pPr>
        <w:tabs>
          <w:tab w:val="left" w:pos="400"/>
        </w:tabs>
        <w:bidi w:val="0"/>
        <w:jc w:val="left"/>
        <w:rPr>
          <w:rFonts w:hint="eastAsia" w:eastAsia="宋体"/>
          <w:sz w:val="30"/>
          <w:szCs w:val="30"/>
          <w:lang w:eastAsia="zh-CN"/>
        </w:rPr>
      </w:pPr>
      <w:r>
        <w:rPr>
          <w:rFonts w:hint="eastAsia" w:eastAsia="宋体"/>
          <w:sz w:val="30"/>
          <w:szCs w:val="30"/>
          <w:lang w:eastAsia="zh-CN"/>
        </w:rPr>
        <w:t>Progressive Revelation</w:t>
      </w:r>
    </w:p>
    <w:p w14:paraId="52E3D31E">
      <w:pPr>
        <w:tabs>
          <w:tab w:val="left" w:pos="400"/>
        </w:tabs>
        <w:bidi w:val="0"/>
        <w:jc w:val="left"/>
        <w:rPr>
          <w:rFonts w:hint="eastAsia" w:eastAsia="宋体"/>
          <w:sz w:val="30"/>
          <w:szCs w:val="30"/>
          <w:lang w:eastAsia="zh-CN"/>
        </w:rPr>
      </w:pPr>
    </w:p>
    <w:p w14:paraId="0C66655D">
      <w:pPr>
        <w:tabs>
          <w:tab w:val="left" w:pos="400"/>
        </w:tabs>
        <w:bidi w:val="0"/>
        <w:jc w:val="left"/>
        <w:rPr>
          <w:rFonts w:hint="eastAsia" w:eastAsia="宋体"/>
          <w:sz w:val="30"/>
          <w:szCs w:val="30"/>
          <w:lang w:eastAsia="zh-CN"/>
        </w:rPr>
      </w:pPr>
      <w:r>
        <w:rPr>
          <w:rFonts w:hint="eastAsia" w:eastAsia="宋体"/>
          <w:sz w:val="30"/>
          <w:szCs w:val="30"/>
          <w:lang w:eastAsia="zh-CN"/>
        </w:rPr>
        <w:t>渐进的启示</w:t>
      </w:r>
    </w:p>
    <w:p w14:paraId="7836C990">
      <w:pPr>
        <w:tabs>
          <w:tab w:val="left" w:pos="400"/>
        </w:tabs>
        <w:bidi w:val="0"/>
        <w:jc w:val="left"/>
        <w:rPr>
          <w:rFonts w:hint="eastAsia" w:eastAsia="宋体"/>
          <w:sz w:val="30"/>
          <w:szCs w:val="30"/>
          <w:lang w:eastAsia="zh-CN"/>
        </w:rPr>
      </w:pPr>
    </w:p>
    <w:p w14:paraId="63485E18">
      <w:pPr>
        <w:tabs>
          <w:tab w:val="left" w:pos="400"/>
        </w:tabs>
        <w:bidi w:val="0"/>
        <w:jc w:val="left"/>
        <w:rPr>
          <w:rFonts w:hint="eastAsia" w:eastAsia="宋体"/>
          <w:sz w:val="30"/>
          <w:szCs w:val="30"/>
          <w:lang w:eastAsia="zh-CN"/>
        </w:rPr>
      </w:pPr>
      <w:r>
        <w:rPr>
          <w:rFonts w:hint="eastAsia" w:eastAsia="宋体"/>
          <w:sz w:val="30"/>
          <w:szCs w:val="30"/>
          <w:lang w:eastAsia="zh-CN"/>
        </w:rPr>
        <w:t>Whatever their views on the exact structure of Salvation History, all Christians agree that God, over the course of time, has been working out a plan of redemption that culminates in two fundamental comings of Christ: a first that purchased the redemption of his people, and a second that will consummate that redemption, even as Christ judges the whole world in righteousness.</w:t>
      </w:r>
    </w:p>
    <w:p w14:paraId="2C00CA29">
      <w:pPr>
        <w:tabs>
          <w:tab w:val="left" w:pos="400"/>
        </w:tabs>
        <w:bidi w:val="0"/>
        <w:jc w:val="left"/>
        <w:rPr>
          <w:rFonts w:hint="eastAsia" w:eastAsia="宋体"/>
          <w:sz w:val="30"/>
          <w:szCs w:val="30"/>
          <w:lang w:eastAsia="zh-CN"/>
        </w:rPr>
      </w:pPr>
    </w:p>
    <w:p w14:paraId="6873EEB6">
      <w:pPr>
        <w:tabs>
          <w:tab w:val="left" w:pos="400"/>
        </w:tabs>
        <w:bidi w:val="0"/>
        <w:jc w:val="left"/>
        <w:rPr>
          <w:rFonts w:hint="eastAsia" w:eastAsia="宋体"/>
          <w:sz w:val="30"/>
          <w:szCs w:val="30"/>
          <w:lang w:eastAsia="zh-CN"/>
        </w:rPr>
      </w:pPr>
      <w:r>
        <w:rPr>
          <w:rFonts w:hint="eastAsia" w:eastAsia="宋体"/>
          <w:sz w:val="30"/>
          <w:szCs w:val="30"/>
          <w:lang w:eastAsia="zh-CN"/>
        </w:rPr>
        <w:t>无论他们对救赎历史的确切结构持何种观点，所有基督徒都同意，神在时间的进程中，一直在施行一个救赎计划，其顶点是基督两次根本性的降临：第一次是为买赎祂的子民，第二次是将那救赎成全，同时基督也按公义审判全世界。</w:t>
      </w:r>
    </w:p>
    <w:p w14:paraId="065A1ECF">
      <w:pPr>
        <w:tabs>
          <w:tab w:val="left" w:pos="400"/>
        </w:tabs>
        <w:bidi w:val="0"/>
        <w:jc w:val="left"/>
        <w:rPr>
          <w:rFonts w:hint="eastAsia" w:eastAsia="宋体"/>
          <w:sz w:val="30"/>
          <w:szCs w:val="30"/>
          <w:lang w:eastAsia="zh-CN"/>
        </w:rPr>
      </w:pPr>
    </w:p>
    <w:p w14:paraId="454FD1A2">
      <w:pPr>
        <w:tabs>
          <w:tab w:val="left" w:pos="400"/>
        </w:tabs>
        <w:bidi w:val="0"/>
        <w:jc w:val="left"/>
        <w:rPr>
          <w:rFonts w:hint="eastAsia" w:eastAsia="宋体"/>
          <w:sz w:val="30"/>
          <w:szCs w:val="30"/>
          <w:lang w:eastAsia="zh-CN"/>
        </w:rPr>
      </w:pPr>
      <w:r>
        <w:rPr>
          <w:rFonts w:hint="eastAsia" w:eastAsia="宋体"/>
          <w:sz w:val="30"/>
          <w:szCs w:val="30"/>
          <w:lang w:eastAsia="zh-CN"/>
        </w:rPr>
        <w:t>In other words, Salvation History is progressive.</w:t>
      </w:r>
    </w:p>
    <w:p w14:paraId="6B4A6816">
      <w:pPr>
        <w:tabs>
          <w:tab w:val="left" w:pos="400"/>
        </w:tabs>
        <w:bidi w:val="0"/>
        <w:jc w:val="left"/>
        <w:rPr>
          <w:rFonts w:hint="eastAsia" w:eastAsia="宋体"/>
          <w:sz w:val="30"/>
          <w:szCs w:val="30"/>
          <w:lang w:eastAsia="zh-CN"/>
        </w:rPr>
      </w:pPr>
    </w:p>
    <w:p w14:paraId="239CFB9C">
      <w:pPr>
        <w:tabs>
          <w:tab w:val="left" w:pos="400"/>
        </w:tabs>
        <w:bidi w:val="0"/>
        <w:jc w:val="left"/>
        <w:rPr>
          <w:rFonts w:hint="eastAsia" w:eastAsia="宋体"/>
          <w:sz w:val="30"/>
          <w:szCs w:val="30"/>
          <w:lang w:eastAsia="zh-CN"/>
        </w:rPr>
      </w:pPr>
      <w:r>
        <w:rPr>
          <w:rFonts w:hint="eastAsia" w:eastAsia="宋体"/>
          <w:sz w:val="30"/>
          <w:szCs w:val="30"/>
          <w:lang w:eastAsia="zh-CN"/>
        </w:rPr>
        <w:t>换句话说，救赎历史是渐进的。</w:t>
      </w:r>
    </w:p>
    <w:p w14:paraId="129216DC">
      <w:pPr>
        <w:tabs>
          <w:tab w:val="left" w:pos="400"/>
        </w:tabs>
        <w:bidi w:val="0"/>
        <w:jc w:val="left"/>
        <w:rPr>
          <w:rFonts w:hint="eastAsia" w:eastAsia="宋体"/>
          <w:sz w:val="30"/>
          <w:szCs w:val="30"/>
          <w:lang w:eastAsia="zh-CN"/>
        </w:rPr>
      </w:pPr>
    </w:p>
    <w:p w14:paraId="4EE4A72F">
      <w:pPr>
        <w:tabs>
          <w:tab w:val="left" w:pos="400"/>
        </w:tabs>
        <w:bidi w:val="0"/>
        <w:jc w:val="left"/>
        <w:rPr>
          <w:rFonts w:hint="eastAsia" w:eastAsia="宋体"/>
          <w:sz w:val="30"/>
          <w:szCs w:val="30"/>
          <w:lang w:eastAsia="zh-CN"/>
        </w:rPr>
      </w:pPr>
      <w:r>
        <w:rPr>
          <w:rFonts w:hint="eastAsia" w:eastAsia="宋体"/>
          <w:sz w:val="30"/>
          <w:szCs w:val="30"/>
          <w:lang w:eastAsia="zh-CN"/>
        </w:rPr>
        <w:t>God the Father ever directs it towards a single great goal: the display of his glory in the judicial and redemptive work of his Son.</w:t>
      </w:r>
    </w:p>
    <w:p w14:paraId="7E8C6B9C">
      <w:pPr>
        <w:tabs>
          <w:tab w:val="left" w:pos="400"/>
        </w:tabs>
        <w:bidi w:val="0"/>
        <w:jc w:val="left"/>
        <w:rPr>
          <w:rFonts w:hint="eastAsia" w:eastAsia="宋体"/>
          <w:sz w:val="30"/>
          <w:szCs w:val="30"/>
          <w:lang w:eastAsia="zh-CN"/>
        </w:rPr>
      </w:pPr>
    </w:p>
    <w:p w14:paraId="4D929701">
      <w:pPr>
        <w:tabs>
          <w:tab w:val="left" w:pos="400"/>
        </w:tabs>
        <w:bidi w:val="0"/>
        <w:jc w:val="left"/>
        <w:rPr>
          <w:rFonts w:hint="eastAsia" w:eastAsia="宋体"/>
          <w:sz w:val="30"/>
          <w:szCs w:val="30"/>
          <w:lang w:eastAsia="zh-CN"/>
        </w:rPr>
      </w:pPr>
      <w:r>
        <w:rPr>
          <w:rFonts w:hint="eastAsia" w:eastAsia="宋体"/>
          <w:sz w:val="30"/>
          <w:szCs w:val="30"/>
          <w:lang w:eastAsia="zh-CN"/>
        </w:rPr>
        <w:t>父神一直引导它朝向一个伟大的目标：在祂儿子审判和救赎的工作中彰显祂的荣耀。</w:t>
      </w:r>
    </w:p>
    <w:p w14:paraId="5BE1C1F0">
      <w:pPr>
        <w:tabs>
          <w:tab w:val="left" w:pos="400"/>
        </w:tabs>
        <w:bidi w:val="0"/>
        <w:jc w:val="left"/>
        <w:rPr>
          <w:rFonts w:hint="eastAsia" w:eastAsia="宋体"/>
          <w:sz w:val="30"/>
          <w:szCs w:val="30"/>
          <w:lang w:eastAsia="zh-CN"/>
        </w:rPr>
      </w:pPr>
    </w:p>
    <w:p w14:paraId="4DACC94C">
      <w:pPr>
        <w:tabs>
          <w:tab w:val="left" w:pos="400"/>
        </w:tabs>
        <w:bidi w:val="0"/>
        <w:jc w:val="left"/>
        <w:rPr>
          <w:rFonts w:hint="eastAsia" w:eastAsia="宋体"/>
          <w:sz w:val="30"/>
          <w:szCs w:val="30"/>
          <w:lang w:eastAsia="zh-CN"/>
        </w:rPr>
      </w:pPr>
      <w:r>
        <w:rPr>
          <w:rFonts w:hint="eastAsia" w:eastAsia="宋体"/>
          <w:sz w:val="30"/>
          <w:szCs w:val="30"/>
          <w:lang w:eastAsia="zh-CN"/>
        </w:rPr>
        <w:t>The same is true of special revelation, the written disclosure of God’s nature, purposes, and plans, graciously given to us through the various authors of his book, the Bible.</w:t>
      </w:r>
    </w:p>
    <w:p w14:paraId="7FCB547D">
      <w:pPr>
        <w:tabs>
          <w:tab w:val="left" w:pos="400"/>
        </w:tabs>
        <w:bidi w:val="0"/>
        <w:jc w:val="left"/>
        <w:rPr>
          <w:rFonts w:hint="eastAsia" w:eastAsia="宋体"/>
          <w:sz w:val="30"/>
          <w:szCs w:val="30"/>
          <w:lang w:eastAsia="zh-CN"/>
        </w:rPr>
      </w:pPr>
    </w:p>
    <w:p w14:paraId="3643ACF9">
      <w:pPr>
        <w:tabs>
          <w:tab w:val="left" w:pos="400"/>
        </w:tabs>
        <w:bidi w:val="0"/>
        <w:jc w:val="left"/>
        <w:rPr>
          <w:rFonts w:hint="eastAsia" w:eastAsia="宋体"/>
          <w:sz w:val="30"/>
          <w:szCs w:val="30"/>
          <w:lang w:eastAsia="zh-CN"/>
        </w:rPr>
      </w:pPr>
      <w:r>
        <w:rPr>
          <w:rFonts w:hint="eastAsia" w:eastAsia="宋体"/>
          <w:sz w:val="30"/>
          <w:szCs w:val="30"/>
          <w:lang w:eastAsia="zh-CN"/>
        </w:rPr>
        <w:t>特殊启示也是如此，那是神透过祂的书——圣经——的各位作者，恩慈地赐给我们关于祂性情、旨意和计划的书面揭示。</w:t>
      </w:r>
    </w:p>
    <w:p w14:paraId="1A48381B">
      <w:pPr>
        <w:tabs>
          <w:tab w:val="left" w:pos="400"/>
        </w:tabs>
        <w:bidi w:val="0"/>
        <w:jc w:val="left"/>
        <w:rPr>
          <w:rFonts w:hint="eastAsia" w:eastAsia="宋体"/>
          <w:sz w:val="30"/>
          <w:szCs w:val="30"/>
          <w:lang w:eastAsia="zh-CN"/>
        </w:rPr>
      </w:pPr>
    </w:p>
    <w:p w14:paraId="0E5D8BCA">
      <w:pPr>
        <w:tabs>
          <w:tab w:val="left" w:pos="400"/>
        </w:tabs>
        <w:bidi w:val="0"/>
        <w:jc w:val="left"/>
        <w:rPr>
          <w:rFonts w:hint="eastAsia" w:eastAsia="宋体"/>
          <w:sz w:val="30"/>
          <w:szCs w:val="30"/>
          <w:lang w:eastAsia="zh-CN"/>
        </w:rPr>
      </w:pPr>
      <w:r>
        <w:rPr>
          <w:rFonts w:hint="eastAsia" w:eastAsia="宋体"/>
          <w:sz w:val="30"/>
          <w:szCs w:val="30"/>
          <w:lang w:eastAsia="zh-CN"/>
        </w:rPr>
        <w:t>It too is progressive.</w:t>
      </w:r>
    </w:p>
    <w:p w14:paraId="399F2FB9">
      <w:pPr>
        <w:tabs>
          <w:tab w:val="left" w:pos="400"/>
        </w:tabs>
        <w:bidi w:val="0"/>
        <w:jc w:val="left"/>
        <w:rPr>
          <w:rFonts w:hint="eastAsia" w:eastAsia="宋体"/>
          <w:sz w:val="30"/>
          <w:szCs w:val="30"/>
          <w:lang w:eastAsia="zh-CN"/>
        </w:rPr>
      </w:pPr>
    </w:p>
    <w:p w14:paraId="74ECFE64">
      <w:pPr>
        <w:tabs>
          <w:tab w:val="left" w:pos="400"/>
        </w:tabs>
        <w:bidi w:val="0"/>
        <w:jc w:val="left"/>
        <w:rPr>
          <w:rFonts w:hint="eastAsia" w:eastAsia="宋体"/>
          <w:sz w:val="30"/>
          <w:szCs w:val="30"/>
          <w:lang w:eastAsia="zh-CN"/>
        </w:rPr>
      </w:pPr>
      <w:r>
        <w:rPr>
          <w:rFonts w:hint="eastAsia" w:eastAsia="宋体"/>
          <w:sz w:val="30"/>
          <w:szCs w:val="30"/>
          <w:lang w:eastAsia="zh-CN"/>
        </w:rPr>
        <w:t>它也是渐进的。</w:t>
      </w:r>
    </w:p>
    <w:p w14:paraId="383B2F87">
      <w:pPr>
        <w:tabs>
          <w:tab w:val="left" w:pos="400"/>
        </w:tabs>
        <w:bidi w:val="0"/>
        <w:jc w:val="left"/>
        <w:rPr>
          <w:rFonts w:hint="eastAsia" w:eastAsia="宋体"/>
          <w:sz w:val="30"/>
          <w:szCs w:val="30"/>
          <w:lang w:eastAsia="zh-CN"/>
        </w:rPr>
      </w:pPr>
    </w:p>
    <w:p w14:paraId="17C023E9">
      <w:pPr>
        <w:tabs>
          <w:tab w:val="left" w:pos="400"/>
        </w:tabs>
        <w:bidi w:val="0"/>
        <w:jc w:val="left"/>
        <w:rPr>
          <w:rFonts w:hint="eastAsia" w:eastAsia="宋体"/>
          <w:sz w:val="30"/>
          <w:szCs w:val="30"/>
          <w:lang w:eastAsia="zh-CN"/>
        </w:rPr>
      </w:pPr>
      <w:r>
        <w:rPr>
          <w:rFonts w:hint="eastAsia" w:eastAsia="宋体"/>
          <w:sz w:val="30"/>
          <w:szCs w:val="30"/>
          <w:lang w:eastAsia="zh-CN"/>
        </w:rPr>
        <w:t>Indeed, Salvation History and progressive revelation clearly run on parallel tracks.</w:t>
      </w:r>
    </w:p>
    <w:p w14:paraId="5DD33856">
      <w:pPr>
        <w:tabs>
          <w:tab w:val="left" w:pos="400"/>
        </w:tabs>
        <w:bidi w:val="0"/>
        <w:jc w:val="left"/>
        <w:rPr>
          <w:rFonts w:hint="eastAsia" w:eastAsia="宋体"/>
          <w:sz w:val="30"/>
          <w:szCs w:val="30"/>
          <w:lang w:eastAsia="zh-CN"/>
        </w:rPr>
      </w:pPr>
    </w:p>
    <w:p w14:paraId="4A51EE0B">
      <w:pPr>
        <w:tabs>
          <w:tab w:val="left" w:pos="400"/>
        </w:tabs>
        <w:bidi w:val="0"/>
        <w:jc w:val="left"/>
        <w:rPr>
          <w:rFonts w:hint="eastAsia" w:eastAsia="宋体"/>
          <w:sz w:val="30"/>
          <w:szCs w:val="30"/>
          <w:lang w:eastAsia="zh-CN"/>
        </w:rPr>
      </w:pPr>
      <w:r>
        <w:rPr>
          <w:rFonts w:hint="eastAsia" w:eastAsia="宋体"/>
          <w:sz w:val="30"/>
          <w:szCs w:val="30"/>
          <w:lang w:eastAsia="zh-CN"/>
        </w:rPr>
        <w:t>的确，救赎历史和渐进的启示显然在平行的轨道上运行。</w:t>
      </w:r>
    </w:p>
    <w:p w14:paraId="1122273F">
      <w:pPr>
        <w:tabs>
          <w:tab w:val="left" w:pos="400"/>
        </w:tabs>
        <w:bidi w:val="0"/>
        <w:jc w:val="left"/>
        <w:rPr>
          <w:rFonts w:hint="eastAsia" w:eastAsia="宋体"/>
          <w:sz w:val="30"/>
          <w:szCs w:val="30"/>
          <w:lang w:eastAsia="zh-CN"/>
        </w:rPr>
      </w:pPr>
    </w:p>
    <w:p w14:paraId="7CABFC27">
      <w:pPr>
        <w:tabs>
          <w:tab w:val="left" w:pos="400"/>
        </w:tabs>
        <w:bidi w:val="0"/>
        <w:jc w:val="left"/>
        <w:rPr>
          <w:rFonts w:hint="eastAsia" w:eastAsia="宋体"/>
          <w:sz w:val="30"/>
          <w:szCs w:val="30"/>
          <w:lang w:eastAsia="zh-CN"/>
        </w:rPr>
      </w:pPr>
      <w:r>
        <w:rPr>
          <w:rFonts w:hint="eastAsia" w:eastAsia="宋体"/>
          <w:sz w:val="30"/>
          <w:szCs w:val="30"/>
          <w:lang w:eastAsia="zh-CN"/>
        </w:rPr>
        <w:t>As God pours forth the pre-determined events of Salvation History into time and space, so too, along the way, does he move upon men to pour forth a written narrative of those events, and to interpret them, thereby giving us an ever more complete picture of who God is and what he is doing in his universe.</w:t>
      </w:r>
    </w:p>
    <w:p w14:paraId="281C9472">
      <w:pPr>
        <w:tabs>
          <w:tab w:val="left" w:pos="400"/>
        </w:tabs>
        <w:bidi w:val="0"/>
        <w:jc w:val="left"/>
        <w:rPr>
          <w:rFonts w:hint="eastAsia" w:eastAsia="宋体"/>
          <w:sz w:val="30"/>
          <w:szCs w:val="30"/>
          <w:lang w:eastAsia="zh-CN"/>
        </w:rPr>
      </w:pPr>
    </w:p>
    <w:p w14:paraId="16F0228E">
      <w:pPr>
        <w:tabs>
          <w:tab w:val="left" w:pos="400"/>
        </w:tabs>
        <w:bidi w:val="0"/>
        <w:jc w:val="left"/>
        <w:rPr>
          <w:rFonts w:hint="eastAsia" w:eastAsia="宋体"/>
          <w:sz w:val="30"/>
          <w:szCs w:val="30"/>
          <w:lang w:eastAsia="zh-CN"/>
        </w:rPr>
      </w:pPr>
      <w:r>
        <w:rPr>
          <w:rFonts w:hint="eastAsia" w:eastAsia="宋体"/>
          <w:sz w:val="30"/>
          <w:szCs w:val="30"/>
          <w:lang w:eastAsia="zh-CN"/>
        </w:rPr>
        <w:t>当神将预定的救赎历史事件倾注到时间和空间中时，祂也一路上感动人，倾倒出那些事件的书面叙述，并解释它们，从而给我们一幅日益完整的图画，关于神是谁以及祂在祂的宇宙中正在做什么。</w:t>
      </w:r>
    </w:p>
    <w:p w14:paraId="6BC1DE17">
      <w:pPr>
        <w:tabs>
          <w:tab w:val="left" w:pos="400"/>
        </w:tabs>
        <w:bidi w:val="0"/>
        <w:jc w:val="left"/>
        <w:rPr>
          <w:rFonts w:hint="eastAsia" w:eastAsia="宋体"/>
          <w:sz w:val="30"/>
          <w:szCs w:val="30"/>
          <w:lang w:eastAsia="zh-CN"/>
        </w:rPr>
      </w:pPr>
    </w:p>
    <w:p w14:paraId="535D0348">
      <w:pPr>
        <w:tabs>
          <w:tab w:val="left" w:pos="400"/>
        </w:tabs>
        <w:bidi w:val="0"/>
        <w:jc w:val="left"/>
        <w:rPr>
          <w:rFonts w:hint="eastAsia" w:eastAsia="宋体"/>
          <w:sz w:val="30"/>
          <w:szCs w:val="30"/>
          <w:lang w:eastAsia="zh-CN"/>
        </w:rPr>
      </w:pPr>
      <w:r>
        <w:rPr>
          <w:rFonts w:hint="eastAsia" w:eastAsia="宋体"/>
          <w:sz w:val="30"/>
          <w:szCs w:val="30"/>
          <w:lang w:eastAsia="zh-CN"/>
        </w:rPr>
        <w:t>Every careful student of Scripture sees that God’s special revelation is progressive; that in the beginning he revealed some of his truth, in the middle he revealed more, and at the end—when he finally sent his Son into the world—he revealed all the rest, fully and finally, whether through Christ himself, or through his holy apostles and prophets.</w:t>
      </w:r>
    </w:p>
    <w:p w14:paraId="12D2A004">
      <w:pPr>
        <w:tabs>
          <w:tab w:val="left" w:pos="400"/>
        </w:tabs>
        <w:bidi w:val="0"/>
        <w:jc w:val="left"/>
        <w:rPr>
          <w:rFonts w:hint="eastAsia" w:eastAsia="宋体"/>
          <w:sz w:val="30"/>
          <w:szCs w:val="30"/>
          <w:lang w:eastAsia="zh-CN"/>
        </w:rPr>
      </w:pPr>
    </w:p>
    <w:p w14:paraId="149204F6">
      <w:pPr>
        <w:tabs>
          <w:tab w:val="left" w:pos="400"/>
        </w:tabs>
        <w:bidi w:val="0"/>
        <w:jc w:val="left"/>
        <w:rPr>
          <w:rFonts w:hint="eastAsia" w:eastAsia="宋体"/>
          <w:sz w:val="30"/>
          <w:szCs w:val="30"/>
          <w:lang w:eastAsia="zh-CN"/>
        </w:rPr>
      </w:pPr>
      <w:r>
        <w:rPr>
          <w:rFonts w:hint="eastAsia" w:eastAsia="宋体"/>
          <w:sz w:val="30"/>
          <w:szCs w:val="30"/>
          <w:lang w:eastAsia="zh-CN"/>
        </w:rPr>
        <w:t>每一位仔细研究圣经的学生都看到，神的特殊启示是渐进的；在起初祂启示了祂一部分的真理，在中间祂启示了更多，到末了——当祂最终差遣祂的儿子进入世界时——祂便完全且最终地启示了其余的一切，无论是借着基督自己，还是借着祂的圣使徒和申言者。</w:t>
      </w:r>
    </w:p>
    <w:p w14:paraId="7CA16B9E">
      <w:pPr>
        <w:tabs>
          <w:tab w:val="left" w:pos="400"/>
        </w:tabs>
        <w:bidi w:val="0"/>
        <w:jc w:val="left"/>
        <w:rPr>
          <w:rFonts w:hint="eastAsia" w:eastAsia="宋体"/>
          <w:sz w:val="30"/>
          <w:szCs w:val="30"/>
          <w:lang w:eastAsia="zh-CN"/>
        </w:rPr>
      </w:pPr>
    </w:p>
    <w:p w14:paraId="0C5648A7">
      <w:pPr>
        <w:tabs>
          <w:tab w:val="left" w:pos="400"/>
        </w:tabs>
        <w:bidi w:val="0"/>
        <w:jc w:val="left"/>
        <w:rPr>
          <w:rFonts w:hint="eastAsia" w:eastAsia="宋体"/>
          <w:sz w:val="30"/>
          <w:szCs w:val="30"/>
          <w:lang w:eastAsia="zh-CN"/>
        </w:rPr>
      </w:pPr>
      <w:r>
        <w:rPr>
          <w:rFonts w:hint="eastAsia" w:eastAsia="宋体"/>
          <w:sz w:val="30"/>
          <w:szCs w:val="30"/>
          <w:lang w:eastAsia="zh-CN"/>
        </w:rPr>
        <w:t>This last—that he has revealed all the rest—is exceedingly important.</w:t>
      </w:r>
    </w:p>
    <w:p w14:paraId="4D39EDEE">
      <w:pPr>
        <w:tabs>
          <w:tab w:val="left" w:pos="400"/>
        </w:tabs>
        <w:bidi w:val="0"/>
        <w:jc w:val="left"/>
        <w:rPr>
          <w:rFonts w:hint="eastAsia" w:eastAsia="宋体"/>
          <w:sz w:val="30"/>
          <w:szCs w:val="30"/>
          <w:lang w:eastAsia="zh-CN"/>
        </w:rPr>
      </w:pPr>
    </w:p>
    <w:p w14:paraId="3E190446">
      <w:pPr>
        <w:tabs>
          <w:tab w:val="left" w:pos="400"/>
        </w:tabs>
        <w:bidi w:val="0"/>
        <w:jc w:val="left"/>
        <w:rPr>
          <w:rFonts w:hint="eastAsia" w:eastAsia="宋体"/>
          <w:sz w:val="30"/>
          <w:szCs w:val="30"/>
          <w:lang w:eastAsia="zh-CN"/>
        </w:rPr>
      </w:pPr>
      <w:r>
        <w:rPr>
          <w:rFonts w:hint="eastAsia" w:eastAsia="宋体"/>
          <w:sz w:val="30"/>
          <w:szCs w:val="30"/>
          <w:lang w:eastAsia="zh-CN"/>
        </w:rPr>
        <w:t>这最后一点——祂已启示了其余的一切——是极其重要的。</w:t>
      </w:r>
    </w:p>
    <w:p w14:paraId="368EE048">
      <w:pPr>
        <w:tabs>
          <w:tab w:val="left" w:pos="400"/>
        </w:tabs>
        <w:bidi w:val="0"/>
        <w:jc w:val="left"/>
        <w:rPr>
          <w:rFonts w:hint="eastAsia" w:eastAsia="宋体"/>
          <w:sz w:val="30"/>
          <w:szCs w:val="30"/>
          <w:lang w:eastAsia="zh-CN"/>
        </w:rPr>
      </w:pPr>
    </w:p>
    <w:p w14:paraId="225F515D">
      <w:pPr>
        <w:tabs>
          <w:tab w:val="left" w:pos="400"/>
        </w:tabs>
        <w:bidi w:val="0"/>
        <w:jc w:val="left"/>
        <w:rPr>
          <w:rFonts w:hint="eastAsia" w:eastAsia="宋体"/>
          <w:sz w:val="30"/>
          <w:szCs w:val="30"/>
          <w:lang w:eastAsia="zh-CN"/>
        </w:rPr>
      </w:pPr>
      <w:r>
        <w:rPr>
          <w:rFonts w:hint="eastAsia" w:eastAsia="宋体"/>
          <w:sz w:val="30"/>
          <w:szCs w:val="30"/>
          <w:lang w:eastAsia="zh-CN"/>
        </w:rPr>
        <w:t>Notwithstanding the claims of our Muslim or B’hai or Mormon neighbors, after Christ divine revelation is no longer progressing.</w:t>
      </w:r>
    </w:p>
    <w:p w14:paraId="6AF05178">
      <w:pPr>
        <w:tabs>
          <w:tab w:val="left" w:pos="400"/>
        </w:tabs>
        <w:bidi w:val="0"/>
        <w:jc w:val="left"/>
        <w:rPr>
          <w:rFonts w:hint="eastAsia" w:eastAsia="宋体"/>
          <w:sz w:val="30"/>
          <w:szCs w:val="30"/>
          <w:lang w:eastAsia="zh-CN"/>
        </w:rPr>
      </w:pPr>
    </w:p>
    <w:p w14:paraId="7707BE2D">
      <w:pPr>
        <w:tabs>
          <w:tab w:val="left" w:pos="400"/>
        </w:tabs>
        <w:bidi w:val="0"/>
        <w:jc w:val="left"/>
        <w:rPr>
          <w:rFonts w:hint="eastAsia" w:eastAsia="宋体"/>
          <w:sz w:val="30"/>
          <w:szCs w:val="30"/>
          <w:lang w:eastAsia="zh-CN"/>
        </w:rPr>
      </w:pPr>
      <w:r>
        <w:rPr>
          <w:rFonts w:hint="eastAsia" w:eastAsia="宋体"/>
          <w:sz w:val="30"/>
          <w:szCs w:val="30"/>
          <w:lang w:eastAsia="zh-CN"/>
        </w:rPr>
        <w:t>尽管我们的穆斯林、巴哈伊或摩门教邻居有他们的主张，但在基督之后，神的启示不再是渐进的了。</w:t>
      </w:r>
    </w:p>
    <w:p w14:paraId="662DFCC1">
      <w:pPr>
        <w:tabs>
          <w:tab w:val="left" w:pos="400"/>
        </w:tabs>
        <w:bidi w:val="0"/>
        <w:jc w:val="left"/>
        <w:rPr>
          <w:rFonts w:hint="eastAsia" w:eastAsia="宋体"/>
          <w:sz w:val="30"/>
          <w:szCs w:val="30"/>
          <w:lang w:eastAsia="zh-CN"/>
        </w:rPr>
      </w:pPr>
    </w:p>
    <w:p w14:paraId="445454C2">
      <w:pPr>
        <w:tabs>
          <w:tab w:val="left" w:pos="400"/>
        </w:tabs>
        <w:bidi w:val="0"/>
        <w:jc w:val="left"/>
        <w:rPr>
          <w:rFonts w:hint="eastAsia" w:eastAsia="宋体"/>
          <w:sz w:val="30"/>
          <w:szCs w:val="30"/>
          <w:lang w:eastAsia="zh-CN"/>
        </w:rPr>
      </w:pPr>
      <w:r>
        <w:rPr>
          <w:rFonts w:hint="eastAsia" w:eastAsia="宋体"/>
          <w:sz w:val="30"/>
          <w:szCs w:val="30"/>
          <w:lang w:eastAsia="zh-CN"/>
        </w:rPr>
        <w:t>When the apostle John penned the last word of the Revelation, the “cannon” (i.e., the contents) of Scripture was closed.</w:t>
      </w:r>
    </w:p>
    <w:p w14:paraId="02C6EB39">
      <w:pPr>
        <w:tabs>
          <w:tab w:val="left" w:pos="400"/>
        </w:tabs>
        <w:bidi w:val="0"/>
        <w:jc w:val="left"/>
        <w:rPr>
          <w:rFonts w:hint="eastAsia" w:eastAsia="宋体"/>
          <w:sz w:val="30"/>
          <w:szCs w:val="30"/>
          <w:lang w:eastAsia="zh-CN"/>
        </w:rPr>
      </w:pPr>
    </w:p>
    <w:p w14:paraId="50FCBBE3">
      <w:pPr>
        <w:tabs>
          <w:tab w:val="left" w:pos="400"/>
        </w:tabs>
        <w:bidi w:val="0"/>
        <w:jc w:val="left"/>
        <w:rPr>
          <w:rFonts w:hint="eastAsia" w:eastAsia="宋体"/>
          <w:sz w:val="30"/>
          <w:szCs w:val="30"/>
          <w:lang w:eastAsia="zh-CN"/>
        </w:rPr>
      </w:pPr>
      <w:r>
        <w:rPr>
          <w:rFonts w:hint="eastAsia" w:eastAsia="宋体"/>
          <w:sz w:val="30"/>
          <w:szCs w:val="30"/>
          <w:lang w:eastAsia="zh-CN"/>
        </w:rPr>
        <w:t>当使徒约翰写下启示录的最后一个字时，圣经的“正典”（即其内容）就关闭了。</w:t>
      </w:r>
    </w:p>
    <w:p w14:paraId="20CFCBFA">
      <w:pPr>
        <w:tabs>
          <w:tab w:val="left" w:pos="400"/>
        </w:tabs>
        <w:bidi w:val="0"/>
        <w:jc w:val="left"/>
        <w:rPr>
          <w:rFonts w:hint="eastAsia" w:eastAsia="宋体"/>
          <w:sz w:val="30"/>
          <w:szCs w:val="30"/>
          <w:lang w:eastAsia="zh-CN"/>
        </w:rPr>
      </w:pPr>
    </w:p>
    <w:p w14:paraId="1577F70F">
      <w:pPr>
        <w:tabs>
          <w:tab w:val="left" w:pos="400"/>
        </w:tabs>
        <w:bidi w:val="0"/>
        <w:jc w:val="left"/>
        <w:rPr>
          <w:rFonts w:hint="eastAsia" w:eastAsia="宋体"/>
          <w:sz w:val="30"/>
          <w:szCs w:val="30"/>
          <w:lang w:eastAsia="zh-CN"/>
        </w:rPr>
      </w:pPr>
      <w:r>
        <w:rPr>
          <w:rFonts w:hint="eastAsia" w:eastAsia="宋体"/>
          <w:sz w:val="30"/>
          <w:szCs w:val="30"/>
          <w:lang w:eastAsia="zh-CN"/>
        </w:rPr>
        <w:t>Henceforth, the revelation of ultimate religious and philosophical truth that God (in eternity past) had planned to give to us, was now complete.</w:t>
      </w:r>
    </w:p>
    <w:p w14:paraId="34386268">
      <w:pPr>
        <w:tabs>
          <w:tab w:val="left" w:pos="400"/>
        </w:tabs>
        <w:bidi w:val="0"/>
        <w:jc w:val="left"/>
        <w:rPr>
          <w:rFonts w:hint="eastAsia" w:eastAsia="宋体"/>
          <w:sz w:val="30"/>
          <w:szCs w:val="30"/>
          <w:lang w:eastAsia="zh-CN"/>
        </w:rPr>
      </w:pPr>
    </w:p>
    <w:p w14:paraId="3778F6E8">
      <w:pPr>
        <w:tabs>
          <w:tab w:val="left" w:pos="400"/>
        </w:tabs>
        <w:bidi w:val="0"/>
        <w:jc w:val="left"/>
        <w:rPr>
          <w:rFonts w:hint="eastAsia" w:eastAsia="宋体"/>
          <w:sz w:val="30"/>
          <w:szCs w:val="30"/>
          <w:lang w:eastAsia="zh-CN"/>
        </w:rPr>
      </w:pPr>
      <w:r>
        <w:rPr>
          <w:rFonts w:hint="eastAsia" w:eastAsia="宋体"/>
          <w:sz w:val="30"/>
          <w:szCs w:val="30"/>
          <w:lang w:eastAsia="zh-CN"/>
        </w:rPr>
        <w:t>从此，神（在永恒的过去）计划要赐给我们的关于终极宗教和哲学真理的启示，如今已经完成了。</w:t>
      </w:r>
    </w:p>
    <w:p w14:paraId="7AA5B4BE">
      <w:pPr>
        <w:tabs>
          <w:tab w:val="left" w:pos="400"/>
        </w:tabs>
        <w:bidi w:val="0"/>
        <w:jc w:val="left"/>
        <w:rPr>
          <w:rFonts w:hint="eastAsia" w:eastAsia="宋体"/>
          <w:sz w:val="30"/>
          <w:szCs w:val="30"/>
          <w:lang w:eastAsia="zh-CN"/>
        </w:rPr>
      </w:pPr>
    </w:p>
    <w:p w14:paraId="654BD6AD">
      <w:pPr>
        <w:tabs>
          <w:tab w:val="left" w:pos="400"/>
        </w:tabs>
        <w:bidi w:val="0"/>
        <w:jc w:val="left"/>
        <w:rPr>
          <w:rFonts w:hint="eastAsia" w:eastAsia="宋体"/>
          <w:sz w:val="30"/>
          <w:szCs w:val="30"/>
          <w:lang w:eastAsia="zh-CN"/>
        </w:rPr>
      </w:pPr>
      <w:r>
        <w:rPr>
          <w:rFonts w:hint="eastAsia" w:eastAsia="宋体"/>
          <w:sz w:val="30"/>
          <w:szCs w:val="30"/>
          <w:lang w:eastAsia="zh-CN"/>
        </w:rPr>
        <w:t>Like a newborn baby, it was now delivered once and for all to the saints (Jude 1:3).</w:t>
      </w:r>
    </w:p>
    <w:p w14:paraId="0CA69489">
      <w:pPr>
        <w:tabs>
          <w:tab w:val="left" w:pos="400"/>
        </w:tabs>
        <w:bidi w:val="0"/>
        <w:jc w:val="left"/>
        <w:rPr>
          <w:rFonts w:hint="eastAsia" w:eastAsia="宋体"/>
          <w:sz w:val="30"/>
          <w:szCs w:val="30"/>
          <w:lang w:eastAsia="zh-CN"/>
        </w:rPr>
      </w:pPr>
    </w:p>
    <w:p w14:paraId="46825A55">
      <w:pPr>
        <w:tabs>
          <w:tab w:val="left" w:pos="400"/>
        </w:tabs>
        <w:bidi w:val="0"/>
        <w:jc w:val="left"/>
        <w:rPr>
          <w:rFonts w:hint="eastAsia" w:eastAsia="宋体"/>
          <w:sz w:val="30"/>
          <w:szCs w:val="30"/>
          <w:lang w:eastAsia="zh-CN"/>
        </w:rPr>
      </w:pPr>
      <w:r>
        <w:rPr>
          <w:rFonts w:hint="eastAsia" w:eastAsia="宋体"/>
          <w:sz w:val="30"/>
          <w:szCs w:val="30"/>
          <w:lang w:eastAsia="zh-CN"/>
        </w:rPr>
        <w:t>像一个新生的婴孩，它如今已一次而永远地交付给圣徒了（犹大书 1:3）。</w:t>
      </w:r>
    </w:p>
    <w:p w14:paraId="6D2C0F0C">
      <w:pPr>
        <w:tabs>
          <w:tab w:val="left" w:pos="400"/>
        </w:tabs>
        <w:bidi w:val="0"/>
        <w:jc w:val="left"/>
        <w:rPr>
          <w:rFonts w:hint="eastAsia" w:eastAsia="宋体"/>
          <w:sz w:val="30"/>
          <w:szCs w:val="30"/>
          <w:lang w:eastAsia="zh-CN"/>
        </w:rPr>
      </w:pPr>
    </w:p>
    <w:p w14:paraId="538F56B2">
      <w:pPr>
        <w:tabs>
          <w:tab w:val="left" w:pos="400"/>
        </w:tabs>
        <w:bidi w:val="0"/>
        <w:jc w:val="left"/>
        <w:rPr>
          <w:rFonts w:hint="eastAsia" w:eastAsia="宋体"/>
          <w:sz w:val="30"/>
          <w:szCs w:val="30"/>
          <w:lang w:eastAsia="zh-CN"/>
        </w:rPr>
      </w:pPr>
      <w:r>
        <w:rPr>
          <w:rFonts w:hint="eastAsia" w:eastAsia="宋体"/>
          <w:sz w:val="30"/>
          <w:szCs w:val="30"/>
          <w:lang w:eastAsia="zh-CN"/>
        </w:rPr>
        <w:t>And for this very reason, it is now to be carried by the saints to all nations until the end shall come (Mt. 24:14, 28:18ff, Rom. 16:25-27).</w:t>
      </w:r>
    </w:p>
    <w:p w14:paraId="1E9D507E">
      <w:pPr>
        <w:tabs>
          <w:tab w:val="left" w:pos="400"/>
        </w:tabs>
        <w:bidi w:val="0"/>
        <w:jc w:val="left"/>
        <w:rPr>
          <w:rFonts w:hint="eastAsia" w:eastAsia="宋体"/>
          <w:sz w:val="30"/>
          <w:szCs w:val="30"/>
          <w:lang w:eastAsia="zh-CN"/>
        </w:rPr>
      </w:pPr>
    </w:p>
    <w:p w14:paraId="4E33B08B">
      <w:pPr>
        <w:tabs>
          <w:tab w:val="left" w:pos="400"/>
        </w:tabs>
        <w:bidi w:val="0"/>
        <w:jc w:val="left"/>
        <w:rPr>
          <w:rFonts w:hint="eastAsia" w:eastAsia="宋体"/>
          <w:sz w:val="30"/>
          <w:szCs w:val="30"/>
          <w:lang w:eastAsia="zh-CN"/>
        </w:rPr>
      </w:pPr>
      <w:r>
        <w:rPr>
          <w:rFonts w:hint="eastAsia" w:eastAsia="宋体"/>
          <w:sz w:val="30"/>
          <w:szCs w:val="30"/>
          <w:lang w:eastAsia="zh-CN"/>
        </w:rPr>
        <w:t>正因如此，它如今要由圣徒们带到万国，直到末期来到（太 24:14, 28:18及以下, 罗 16:25-27）。</w:t>
      </w:r>
    </w:p>
    <w:p w14:paraId="110AC8EE">
      <w:pPr>
        <w:tabs>
          <w:tab w:val="left" w:pos="400"/>
        </w:tabs>
        <w:bidi w:val="0"/>
        <w:jc w:val="left"/>
        <w:rPr>
          <w:rFonts w:hint="eastAsia" w:eastAsia="宋体"/>
          <w:sz w:val="30"/>
          <w:szCs w:val="30"/>
          <w:lang w:eastAsia="zh-CN"/>
        </w:rPr>
      </w:pPr>
    </w:p>
    <w:p w14:paraId="18CE7F8B">
      <w:pPr>
        <w:tabs>
          <w:tab w:val="left" w:pos="400"/>
        </w:tabs>
        <w:bidi w:val="0"/>
        <w:jc w:val="left"/>
        <w:rPr>
          <w:rFonts w:hint="eastAsia" w:eastAsia="宋体"/>
          <w:sz w:val="30"/>
          <w:szCs w:val="30"/>
          <w:lang w:eastAsia="zh-CN"/>
        </w:rPr>
      </w:pPr>
      <w:r>
        <w:rPr>
          <w:rFonts w:hint="eastAsia" w:eastAsia="宋体"/>
          <w:sz w:val="30"/>
          <w:szCs w:val="30"/>
          <w:lang w:eastAsia="zh-CN"/>
        </w:rPr>
        <w:t>NT Texts on Progressive Revelation</w:t>
      </w:r>
    </w:p>
    <w:p w14:paraId="5C76D54F">
      <w:pPr>
        <w:tabs>
          <w:tab w:val="left" w:pos="400"/>
        </w:tabs>
        <w:bidi w:val="0"/>
        <w:jc w:val="left"/>
        <w:rPr>
          <w:rFonts w:hint="eastAsia" w:eastAsia="宋体"/>
          <w:sz w:val="30"/>
          <w:szCs w:val="30"/>
          <w:lang w:eastAsia="zh-CN"/>
        </w:rPr>
      </w:pPr>
    </w:p>
    <w:p w14:paraId="6E88B4AD">
      <w:pPr>
        <w:tabs>
          <w:tab w:val="left" w:pos="400"/>
        </w:tabs>
        <w:bidi w:val="0"/>
        <w:jc w:val="left"/>
        <w:rPr>
          <w:rFonts w:hint="eastAsia" w:eastAsia="宋体"/>
          <w:sz w:val="30"/>
          <w:szCs w:val="30"/>
          <w:lang w:eastAsia="zh-CN"/>
        </w:rPr>
      </w:pPr>
      <w:r>
        <w:rPr>
          <w:rFonts w:hint="eastAsia" w:eastAsia="宋体"/>
          <w:sz w:val="30"/>
          <w:szCs w:val="30"/>
          <w:lang w:eastAsia="zh-CN"/>
        </w:rPr>
        <w:t>关于渐进启示的新约经文</w:t>
      </w:r>
    </w:p>
    <w:p w14:paraId="6C9FAE9E">
      <w:pPr>
        <w:tabs>
          <w:tab w:val="left" w:pos="400"/>
        </w:tabs>
        <w:bidi w:val="0"/>
        <w:jc w:val="left"/>
        <w:rPr>
          <w:rFonts w:hint="eastAsia" w:eastAsia="宋体"/>
          <w:sz w:val="30"/>
          <w:szCs w:val="30"/>
          <w:lang w:eastAsia="zh-CN"/>
        </w:rPr>
      </w:pPr>
    </w:p>
    <w:p w14:paraId="17596B25">
      <w:pPr>
        <w:tabs>
          <w:tab w:val="left" w:pos="400"/>
        </w:tabs>
        <w:bidi w:val="0"/>
        <w:jc w:val="left"/>
        <w:rPr>
          <w:rFonts w:hint="eastAsia" w:eastAsia="宋体"/>
          <w:sz w:val="30"/>
          <w:szCs w:val="30"/>
          <w:lang w:eastAsia="zh-CN"/>
        </w:rPr>
      </w:pPr>
      <w:r>
        <w:rPr>
          <w:rFonts w:hint="eastAsia" w:eastAsia="宋体"/>
          <w:sz w:val="30"/>
          <w:szCs w:val="30"/>
          <w:lang w:eastAsia="zh-CN"/>
        </w:rPr>
        <w:t>Whether explicitly or implicitly, a great number of NT texts teach the idea of a progressive revelation of divine truth culminating in the manifestation of Christ.</w:t>
      </w:r>
    </w:p>
    <w:p w14:paraId="001E1810">
      <w:pPr>
        <w:tabs>
          <w:tab w:val="left" w:pos="400"/>
        </w:tabs>
        <w:bidi w:val="0"/>
        <w:jc w:val="left"/>
        <w:rPr>
          <w:rFonts w:hint="eastAsia" w:eastAsia="宋体"/>
          <w:sz w:val="30"/>
          <w:szCs w:val="30"/>
          <w:lang w:eastAsia="zh-CN"/>
        </w:rPr>
      </w:pPr>
    </w:p>
    <w:p w14:paraId="72E13D39">
      <w:pPr>
        <w:tabs>
          <w:tab w:val="left" w:pos="400"/>
        </w:tabs>
        <w:bidi w:val="0"/>
        <w:jc w:val="left"/>
        <w:rPr>
          <w:rFonts w:hint="eastAsia" w:eastAsia="宋体"/>
          <w:sz w:val="30"/>
          <w:szCs w:val="30"/>
          <w:lang w:eastAsia="zh-CN"/>
        </w:rPr>
      </w:pPr>
      <w:r>
        <w:rPr>
          <w:rFonts w:hint="eastAsia" w:eastAsia="宋体"/>
          <w:sz w:val="30"/>
          <w:szCs w:val="30"/>
          <w:lang w:eastAsia="zh-CN"/>
        </w:rPr>
        <w:t>无论明示或暗示，许多新约经文都教导了神圣真理渐进启示的观念，其顶点是基督的显现。</w:t>
      </w:r>
    </w:p>
    <w:p w14:paraId="082157D9">
      <w:pPr>
        <w:tabs>
          <w:tab w:val="left" w:pos="400"/>
        </w:tabs>
        <w:bidi w:val="0"/>
        <w:jc w:val="left"/>
        <w:rPr>
          <w:rFonts w:hint="eastAsia" w:eastAsia="宋体"/>
          <w:sz w:val="30"/>
          <w:szCs w:val="30"/>
          <w:lang w:eastAsia="zh-CN"/>
        </w:rPr>
      </w:pPr>
    </w:p>
    <w:p w14:paraId="7752FC37">
      <w:pPr>
        <w:tabs>
          <w:tab w:val="left" w:pos="400"/>
        </w:tabs>
        <w:bidi w:val="0"/>
        <w:jc w:val="left"/>
        <w:rPr>
          <w:rFonts w:hint="eastAsia" w:eastAsia="宋体"/>
          <w:sz w:val="30"/>
          <w:szCs w:val="30"/>
          <w:lang w:eastAsia="zh-CN"/>
        </w:rPr>
      </w:pPr>
      <w:r>
        <w:rPr>
          <w:rFonts w:hint="eastAsia" w:eastAsia="宋体"/>
          <w:sz w:val="30"/>
          <w:szCs w:val="30"/>
          <w:lang w:eastAsia="zh-CN"/>
        </w:rPr>
        <w:t>We have seen, for example, how God, on the Mount of Transfiguration, directed the apostles’ attention, not to Moses (who represented the Law) or to Elijah (who represented the Prophets), but to Christ.</w:t>
      </w:r>
    </w:p>
    <w:p w14:paraId="49FD7F26">
      <w:pPr>
        <w:tabs>
          <w:tab w:val="left" w:pos="400"/>
        </w:tabs>
        <w:bidi w:val="0"/>
        <w:jc w:val="left"/>
        <w:rPr>
          <w:rFonts w:hint="eastAsia" w:eastAsia="宋体"/>
          <w:sz w:val="30"/>
          <w:szCs w:val="30"/>
          <w:lang w:eastAsia="zh-CN"/>
        </w:rPr>
      </w:pPr>
    </w:p>
    <w:p w14:paraId="69834A09">
      <w:pPr>
        <w:tabs>
          <w:tab w:val="left" w:pos="400"/>
        </w:tabs>
        <w:bidi w:val="0"/>
        <w:jc w:val="left"/>
        <w:rPr>
          <w:rFonts w:hint="eastAsia" w:eastAsia="宋体"/>
          <w:sz w:val="30"/>
          <w:szCs w:val="30"/>
          <w:lang w:eastAsia="zh-CN"/>
        </w:rPr>
      </w:pPr>
      <w:r>
        <w:rPr>
          <w:rFonts w:hint="eastAsia" w:eastAsia="宋体"/>
          <w:sz w:val="30"/>
          <w:szCs w:val="30"/>
          <w:lang w:eastAsia="zh-CN"/>
        </w:rPr>
        <w:t>例如，我们已经看到，在变像山上，神如何引导使徒们的注意力，不是转向摩西（他代表律法）或以利亚（他代表申言者），而是转向基督。</w:t>
      </w:r>
    </w:p>
    <w:p w14:paraId="479514F6">
      <w:pPr>
        <w:tabs>
          <w:tab w:val="left" w:pos="400"/>
        </w:tabs>
        <w:bidi w:val="0"/>
        <w:jc w:val="left"/>
        <w:rPr>
          <w:rFonts w:hint="eastAsia" w:eastAsia="宋体"/>
          <w:sz w:val="30"/>
          <w:szCs w:val="30"/>
          <w:lang w:eastAsia="zh-CN"/>
        </w:rPr>
      </w:pPr>
    </w:p>
    <w:p w14:paraId="1022CB93">
      <w:pPr>
        <w:tabs>
          <w:tab w:val="left" w:pos="400"/>
        </w:tabs>
        <w:bidi w:val="0"/>
        <w:jc w:val="left"/>
        <w:rPr>
          <w:rFonts w:hint="eastAsia" w:eastAsia="宋体"/>
          <w:sz w:val="30"/>
          <w:szCs w:val="30"/>
          <w:lang w:eastAsia="zh-CN"/>
        </w:rPr>
      </w:pPr>
      <w:r>
        <w:rPr>
          <w:rFonts w:hint="eastAsia" w:eastAsia="宋体"/>
          <w:sz w:val="30"/>
          <w:szCs w:val="30"/>
          <w:lang w:eastAsia="zh-CN"/>
        </w:rPr>
        <w:t>Why?</w:t>
      </w:r>
    </w:p>
    <w:p w14:paraId="490BED31">
      <w:pPr>
        <w:tabs>
          <w:tab w:val="left" w:pos="400"/>
        </w:tabs>
        <w:bidi w:val="0"/>
        <w:jc w:val="left"/>
        <w:rPr>
          <w:rFonts w:hint="eastAsia" w:eastAsia="宋体"/>
          <w:sz w:val="30"/>
          <w:szCs w:val="30"/>
          <w:lang w:eastAsia="zh-CN"/>
        </w:rPr>
      </w:pPr>
    </w:p>
    <w:p w14:paraId="711039EB">
      <w:pPr>
        <w:tabs>
          <w:tab w:val="left" w:pos="400"/>
        </w:tabs>
        <w:bidi w:val="0"/>
        <w:jc w:val="left"/>
        <w:rPr>
          <w:rFonts w:hint="eastAsia" w:eastAsia="宋体"/>
          <w:sz w:val="30"/>
          <w:szCs w:val="30"/>
          <w:lang w:eastAsia="zh-CN"/>
        </w:rPr>
      </w:pPr>
      <w:r>
        <w:rPr>
          <w:rFonts w:hint="eastAsia" w:eastAsia="宋体"/>
          <w:sz w:val="30"/>
          <w:szCs w:val="30"/>
          <w:lang w:eastAsia="zh-CN"/>
        </w:rPr>
        <w:t>为什么？</w:t>
      </w:r>
    </w:p>
    <w:p w14:paraId="743E2822">
      <w:pPr>
        <w:tabs>
          <w:tab w:val="left" w:pos="400"/>
        </w:tabs>
        <w:bidi w:val="0"/>
        <w:jc w:val="left"/>
        <w:rPr>
          <w:rFonts w:hint="eastAsia" w:eastAsia="宋体"/>
          <w:sz w:val="30"/>
          <w:szCs w:val="30"/>
          <w:lang w:eastAsia="zh-CN"/>
        </w:rPr>
      </w:pPr>
    </w:p>
    <w:p w14:paraId="3D16EA47">
      <w:pPr>
        <w:tabs>
          <w:tab w:val="left" w:pos="400"/>
        </w:tabs>
        <w:bidi w:val="0"/>
        <w:jc w:val="left"/>
        <w:rPr>
          <w:rFonts w:hint="eastAsia" w:eastAsia="宋体"/>
          <w:sz w:val="30"/>
          <w:szCs w:val="30"/>
          <w:lang w:eastAsia="zh-CN"/>
        </w:rPr>
      </w:pPr>
      <w:r>
        <w:rPr>
          <w:rFonts w:hint="eastAsia" w:eastAsia="宋体"/>
          <w:sz w:val="30"/>
          <w:szCs w:val="30"/>
          <w:lang w:eastAsia="zh-CN"/>
        </w:rPr>
        <w:t>Because Christ was in fact the secret fountainhead of all OT revelation (John 1:9), its hidden theme (Luke 24:27, John 5:39), and the One who fulfilled it in every particular (Mt. 17:1-12, Luke 9:28-36).</w:t>
      </w:r>
    </w:p>
    <w:p w14:paraId="234622D5">
      <w:pPr>
        <w:tabs>
          <w:tab w:val="left" w:pos="400"/>
        </w:tabs>
        <w:bidi w:val="0"/>
        <w:jc w:val="left"/>
        <w:rPr>
          <w:rFonts w:hint="eastAsia" w:eastAsia="宋体"/>
          <w:sz w:val="30"/>
          <w:szCs w:val="30"/>
          <w:lang w:eastAsia="zh-CN"/>
        </w:rPr>
      </w:pPr>
    </w:p>
    <w:p w14:paraId="43E8A5EE">
      <w:pPr>
        <w:tabs>
          <w:tab w:val="left" w:pos="400"/>
        </w:tabs>
        <w:bidi w:val="0"/>
        <w:jc w:val="left"/>
        <w:rPr>
          <w:rFonts w:hint="eastAsia" w:eastAsia="宋体"/>
          <w:sz w:val="30"/>
          <w:szCs w:val="30"/>
          <w:lang w:eastAsia="zh-CN"/>
        </w:rPr>
      </w:pPr>
      <w:r>
        <w:rPr>
          <w:rFonts w:hint="eastAsia" w:eastAsia="宋体"/>
          <w:sz w:val="30"/>
          <w:szCs w:val="30"/>
          <w:lang w:eastAsia="zh-CN"/>
        </w:rPr>
        <w:t>因为基督实际上是所有旧约启示的秘密源头（约 1:9），其隐藏的主题（路 24:27, 约 5:39），以及那位在每一细节上都成全了它的（太 17:1-12, 路 9:28-36）。</w:t>
      </w:r>
    </w:p>
    <w:p w14:paraId="6A0D13EF">
      <w:pPr>
        <w:tabs>
          <w:tab w:val="left" w:pos="400"/>
        </w:tabs>
        <w:bidi w:val="0"/>
        <w:jc w:val="left"/>
        <w:rPr>
          <w:rFonts w:hint="eastAsia" w:eastAsia="宋体"/>
          <w:sz w:val="30"/>
          <w:szCs w:val="30"/>
          <w:lang w:eastAsia="zh-CN"/>
        </w:rPr>
      </w:pPr>
    </w:p>
    <w:p w14:paraId="78C4E0A1">
      <w:pPr>
        <w:tabs>
          <w:tab w:val="left" w:pos="400"/>
        </w:tabs>
        <w:bidi w:val="0"/>
        <w:jc w:val="left"/>
        <w:rPr>
          <w:rFonts w:hint="eastAsia" w:eastAsia="宋体"/>
          <w:sz w:val="30"/>
          <w:szCs w:val="30"/>
          <w:lang w:eastAsia="zh-CN"/>
        </w:rPr>
      </w:pPr>
      <w:r>
        <w:rPr>
          <w:rFonts w:hint="eastAsia" w:eastAsia="宋体"/>
          <w:sz w:val="30"/>
          <w:szCs w:val="30"/>
          <w:lang w:eastAsia="zh-CN"/>
        </w:rPr>
        <w:t>How then shall the saints not “listen to him?”</w:t>
      </w:r>
    </w:p>
    <w:p w14:paraId="09D1FB8C">
      <w:pPr>
        <w:tabs>
          <w:tab w:val="left" w:pos="400"/>
        </w:tabs>
        <w:bidi w:val="0"/>
        <w:jc w:val="left"/>
        <w:rPr>
          <w:rFonts w:hint="eastAsia" w:eastAsia="宋体"/>
          <w:sz w:val="30"/>
          <w:szCs w:val="30"/>
          <w:lang w:eastAsia="zh-CN"/>
        </w:rPr>
      </w:pPr>
    </w:p>
    <w:p w14:paraId="476812DC">
      <w:pPr>
        <w:tabs>
          <w:tab w:val="left" w:pos="400"/>
        </w:tabs>
        <w:bidi w:val="0"/>
        <w:jc w:val="left"/>
        <w:rPr>
          <w:rFonts w:hint="eastAsia" w:eastAsia="宋体"/>
          <w:sz w:val="30"/>
          <w:szCs w:val="30"/>
          <w:lang w:eastAsia="zh-CN"/>
        </w:rPr>
      </w:pPr>
      <w:r>
        <w:rPr>
          <w:rFonts w:hint="eastAsia" w:eastAsia="宋体"/>
          <w:sz w:val="30"/>
          <w:szCs w:val="30"/>
          <w:lang w:eastAsia="zh-CN"/>
        </w:rPr>
        <w:t>那么，圣徒们怎能不“听祂”呢？</w:t>
      </w:r>
    </w:p>
    <w:p w14:paraId="5C404CA6">
      <w:pPr>
        <w:tabs>
          <w:tab w:val="left" w:pos="400"/>
        </w:tabs>
        <w:bidi w:val="0"/>
        <w:jc w:val="left"/>
        <w:rPr>
          <w:rFonts w:hint="eastAsia" w:eastAsia="宋体"/>
          <w:sz w:val="30"/>
          <w:szCs w:val="30"/>
          <w:lang w:eastAsia="zh-CN"/>
        </w:rPr>
      </w:pPr>
    </w:p>
    <w:p w14:paraId="7D965962">
      <w:pPr>
        <w:tabs>
          <w:tab w:val="left" w:pos="400"/>
        </w:tabs>
        <w:bidi w:val="0"/>
        <w:jc w:val="left"/>
        <w:rPr>
          <w:rFonts w:hint="eastAsia" w:eastAsia="宋体"/>
          <w:sz w:val="30"/>
          <w:szCs w:val="30"/>
          <w:lang w:eastAsia="zh-CN"/>
        </w:rPr>
      </w:pPr>
      <w:r>
        <w:rPr>
          <w:rFonts w:hint="eastAsia" w:eastAsia="宋体"/>
          <w:sz w:val="30"/>
          <w:szCs w:val="30"/>
          <w:lang w:eastAsia="zh-CN"/>
        </w:rPr>
        <w:t>How shall they not turn, first and foremost, to the words of the divine Son, who, by fulfilling OT revelation, supplies the indispensable key for understanding it?</w:t>
      </w:r>
    </w:p>
    <w:p w14:paraId="79BAC9C4">
      <w:pPr>
        <w:tabs>
          <w:tab w:val="left" w:pos="400"/>
        </w:tabs>
        <w:bidi w:val="0"/>
        <w:jc w:val="left"/>
        <w:rPr>
          <w:rFonts w:hint="eastAsia" w:eastAsia="宋体"/>
          <w:sz w:val="30"/>
          <w:szCs w:val="30"/>
          <w:lang w:eastAsia="zh-CN"/>
        </w:rPr>
      </w:pPr>
    </w:p>
    <w:p w14:paraId="6CE40B96">
      <w:pPr>
        <w:tabs>
          <w:tab w:val="left" w:pos="400"/>
        </w:tabs>
        <w:bidi w:val="0"/>
        <w:jc w:val="left"/>
        <w:rPr>
          <w:rFonts w:hint="eastAsia" w:eastAsia="宋体"/>
          <w:sz w:val="30"/>
          <w:szCs w:val="30"/>
          <w:lang w:eastAsia="zh-CN"/>
        </w:rPr>
      </w:pPr>
      <w:r>
        <w:rPr>
          <w:rFonts w:hint="eastAsia" w:eastAsia="宋体"/>
          <w:sz w:val="30"/>
          <w:szCs w:val="30"/>
          <w:lang w:eastAsia="zh-CN"/>
        </w:rPr>
        <w:t>他们怎能不首先且最主要地转向这位神圣之子的话语呢？祂借着成全旧约的启示，提供了理解它的不可或缺的钥匙。</w:t>
      </w:r>
    </w:p>
    <w:p w14:paraId="709D0EE9">
      <w:pPr>
        <w:tabs>
          <w:tab w:val="left" w:pos="400"/>
        </w:tabs>
        <w:bidi w:val="0"/>
        <w:jc w:val="left"/>
        <w:rPr>
          <w:rFonts w:hint="eastAsia" w:eastAsia="宋体"/>
          <w:sz w:val="30"/>
          <w:szCs w:val="30"/>
          <w:lang w:eastAsia="zh-CN"/>
        </w:rPr>
      </w:pPr>
    </w:p>
    <w:p w14:paraId="1F9F2EDC">
      <w:pPr>
        <w:tabs>
          <w:tab w:val="left" w:pos="400"/>
        </w:tabs>
        <w:bidi w:val="0"/>
        <w:jc w:val="left"/>
        <w:rPr>
          <w:rFonts w:hint="eastAsia" w:eastAsia="宋体"/>
          <w:sz w:val="30"/>
          <w:szCs w:val="30"/>
          <w:lang w:eastAsia="zh-CN"/>
        </w:rPr>
      </w:pPr>
      <w:r>
        <w:rPr>
          <w:rFonts w:hint="eastAsia" w:eastAsia="宋体"/>
          <w:sz w:val="30"/>
          <w:szCs w:val="30"/>
          <w:lang w:eastAsia="zh-CN"/>
        </w:rPr>
        <w:t>More on this in a moment.</w:t>
      </w:r>
    </w:p>
    <w:p w14:paraId="3E3F3F15">
      <w:pPr>
        <w:tabs>
          <w:tab w:val="left" w:pos="400"/>
        </w:tabs>
        <w:bidi w:val="0"/>
        <w:jc w:val="left"/>
        <w:rPr>
          <w:rFonts w:hint="eastAsia" w:eastAsia="宋体"/>
          <w:sz w:val="30"/>
          <w:szCs w:val="30"/>
          <w:lang w:eastAsia="zh-CN"/>
        </w:rPr>
      </w:pPr>
    </w:p>
    <w:p w14:paraId="1FB0579A">
      <w:pPr>
        <w:tabs>
          <w:tab w:val="left" w:pos="400"/>
        </w:tabs>
        <w:bidi w:val="0"/>
        <w:jc w:val="left"/>
        <w:rPr>
          <w:rFonts w:hint="eastAsia" w:eastAsia="宋体"/>
          <w:sz w:val="30"/>
          <w:szCs w:val="30"/>
          <w:lang w:eastAsia="zh-CN"/>
        </w:rPr>
      </w:pPr>
      <w:r>
        <w:rPr>
          <w:rFonts w:hint="eastAsia" w:eastAsia="宋体"/>
          <w:sz w:val="30"/>
          <w:szCs w:val="30"/>
          <w:lang w:eastAsia="zh-CN"/>
        </w:rPr>
        <w:t>稍后会更多地谈论这一点。</w:t>
      </w:r>
    </w:p>
    <w:p w14:paraId="44ABFAE9">
      <w:pPr>
        <w:tabs>
          <w:tab w:val="left" w:pos="400"/>
        </w:tabs>
        <w:bidi w:val="0"/>
        <w:jc w:val="left"/>
        <w:rPr>
          <w:rFonts w:hint="eastAsia" w:eastAsia="宋体"/>
          <w:sz w:val="30"/>
          <w:szCs w:val="30"/>
          <w:lang w:eastAsia="zh-CN"/>
        </w:rPr>
      </w:pPr>
    </w:p>
    <w:p w14:paraId="48DFE81C">
      <w:pPr>
        <w:tabs>
          <w:tab w:val="left" w:pos="400"/>
        </w:tabs>
        <w:bidi w:val="0"/>
        <w:jc w:val="left"/>
        <w:rPr>
          <w:rFonts w:hint="eastAsia" w:eastAsia="宋体"/>
          <w:sz w:val="30"/>
          <w:szCs w:val="30"/>
          <w:lang w:eastAsia="zh-CN"/>
        </w:rPr>
      </w:pPr>
      <w:r>
        <w:rPr>
          <w:rFonts w:hint="eastAsia" w:eastAsia="宋体"/>
          <w:sz w:val="30"/>
          <w:szCs w:val="30"/>
          <w:lang w:eastAsia="zh-CN"/>
        </w:rPr>
        <w:t>Or again, we might consider Hebrews 1, where the writer declares: “God, having spoken in time past to the fathers in many portions and in various ways by the prophets, has in these last days spoken to us by His Son, whom He appointed heir of all things, through whom also He made the worlds” (Heb. 1:1-2).</w:t>
      </w:r>
    </w:p>
    <w:p w14:paraId="312EDA05">
      <w:pPr>
        <w:tabs>
          <w:tab w:val="left" w:pos="400"/>
        </w:tabs>
        <w:bidi w:val="0"/>
        <w:jc w:val="left"/>
        <w:rPr>
          <w:rFonts w:hint="eastAsia" w:eastAsia="宋体"/>
          <w:sz w:val="30"/>
          <w:szCs w:val="30"/>
          <w:lang w:eastAsia="zh-CN"/>
        </w:rPr>
      </w:pPr>
    </w:p>
    <w:p w14:paraId="447CEEC4">
      <w:pPr>
        <w:tabs>
          <w:tab w:val="left" w:pos="400"/>
        </w:tabs>
        <w:bidi w:val="0"/>
        <w:jc w:val="left"/>
        <w:rPr>
          <w:rFonts w:hint="eastAsia" w:eastAsia="宋体"/>
          <w:sz w:val="30"/>
          <w:szCs w:val="30"/>
          <w:lang w:eastAsia="zh-CN"/>
        </w:rPr>
      </w:pPr>
      <w:r>
        <w:rPr>
          <w:rFonts w:hint="eastAsia" w:eastAsia="宋体"/>
          <w:sz w:val="30"/>
          <w:szCs w:val="30"/>
          <w:lang w:eastAsia="zh-CN"/>
        </w:rPr>
        <w:t>或者，我们也可以思想希伯来书第1章，作者在那里宣告说：“神既在古时借着众申言者，多分多方向列祖说话，就在这末后的日子，借着祂儿子向我们说话，又早已立祂为承受万有的，也曾借着祂创造了诸世界”（来 1:1-2）。</w:t>
      </w:r>
    </w:p>
    <w:p w14:paraId="4CA21AB7">
      <w:pPr>
        <w:tabs>
          <w:tab w:val="left" w:pos="400"/>
        </w:tabs>
        <w:bidi w:val="0"/>
        <w:jc w:val="left"/>
        <w:rPr>
          <w:rFonts w:hint="eastAsia" w:eastAsia="宋体"/>
          <w:sz w:val="30"/>
          <w:szCs w:val="30"/>
          <w:lang w:eastAsia="zh-CN"/>
        </w:rPr>
      </w:pPr>
    </w:p>
    <w:p w14:paraId="602E2E0E">
      <w:pPr>
        <w:tabs>
          <w:tab w:val="left" w:pos="400"/>
        </w:tabs>
        <w:bidi w:val="0"/>
        <w:jc w:val="left"/>
        <w:rPr>
          <w:rFonts w:hint="eastAsia" w:eastAsia="宋体"/>
          <w:sz w:val="30"/>
          <w:szCs w:val="30"/>
          <w:lang w:eastAsia="zh-CN"/>
        </w:rPr>
      </w:pPr>
      <w:r>
        <w:rPr>
          <w:rFonts w:hint="eastAsia" w:eastAsia="宋体"/>
          <w:sz w:val="30"/>
          <w:szCs w:val="30"/>
          <w:lang w:eastAsia="zh-CN"/>
        </w:rPr>
        <w:t>Here we learn that in OT times God spoke to the saints through the prophets in many portions; that he gave them increments of his truth through inspired but mortal men.</w:t>
      </w:r>
    </w:p>
    <w:p w14:paraId="5F38003C">
      <w:pPr>
        <w:tabs>
          <w:tab w:val="left" w:pos="400"/>
        </w:tabs>
        <w:bidi w:val="0"/>
        <w:jc w:val="left"/>
        <w:rPr>
          <w:rFonts w:hint="eastAsia" w:eastAsia="宋体"/>
          <w:sz w:val="30"/>
          <w:szCs w:val="30"/>
          <w:lang w:eastAsia="zh-CN"/>
        </w:rPr>
      </w:pPr>
    </w:p>
    <w:p w14:paraId="5C41D56A">
      <w:pPr>
        <w:tabs>
          <w:tab w:val="left" w:pos="400"/>
        </w:tabs>
        <w:bidi w:val="0"/>
        <w:jc w:val="left"/>
        <w:rPr>
          <w:rFonts w:hint="eastAsia" w:eastAsia="宋体"/>
          <w:sz w:val="30"/>
          <w:szCs w:val="30"/>
          <w:lang w:eastAsia="zh-CN"/>
        </w:rPr>
      </w:pPr>
      <w:r>
        <w:rPr>
          <w:rFonts w:hint="eastAsia" w:eastAsia="宋体"/>
          <w:sz w:val="30"/>
          <w:szCs w:val="30"/>
          <w:lang w:eastAsia="zh-CN"/>
        </w:rPr>
        <w:t>在这里我们学到，在旧约时代，神借着众申言者，多分多方向圣徒们说话；祂借着受默示但会死的世人，将祂的真理分量地赐给他们。</w:t>
      </w:r>
    </w:p>
    <w:p w14:paraId="5B1D8347">
      <w:pPr>
        <w:tabs>
          <w:tab w:val="left" w:pos="400"/>
        </w:tabs>
        <w:bidi w:val="0"/>
        <w:jc w:val="left"/>
        <w:rPr>
          <w:rFonts w:hint="eastAsia" w:eastAsia="宋体"/>
          <w:sz w:val="30"/>
          <w:szCs w:val="30"/>
          <w:lang w:eastAsia="zh-CN"/>
        </w:rPr>
      </w:pPr>
    </w:p>
    <w:p w14:paraId="32FFB23A">
      <w:pPr>
        <w:tabs>
          <w:tab w:val="left" w:pos="400"/>
        </w:tabs>
        <w:bidi w:val="0"/>
        <w:jc w:val="left"/>
        <w:rPr>
          <w:rFonts w:hint="eastAsia" w:eastAsia="宋体"/>
          <w:sz w:val="30"/>
          <w:szCs w:val="30"/>
          <w:lang w:eastAsia="zh-CN"/>
        </w:rPr>
      </w:pPr>
      <w:r>
        <w:rPr>
          <w:rFonts w:hint="eastAsia" w:eastAsia="宋体"/>
          <w:sz w:val="30"/>
          <w:szCs w:val="30"/>
          <w:lang w:eastAsia="zh-CN"/>
        </w:rPr>
        <w:t>However, in these last days he has spoken to us through his Son, who is, among other things, the divine creator, sustainer, redeemer, and heir of the cosmos!</w:t>
      </w:r>
    </w:p>
    <w:p w14:paraId="1994D58E">
      <w:pPr>
        <w:tabs>
          <w:tab w:val="left" w:pos="400"/>
        </w:tabs>
        <w:bidi w:val="0"/>
        <w:jc w:val="left"/>
        <w:rPr>
          <w:rFonts w:hint="eastAsia" w:eastAsia="宋体"/>
          <w:sz w:val="30"/>
          <w:szCs w:val="30"/>
          <w:lang w:eastAsia="zh-CN"/>
        </w:rPr>
      </w:pPr>
    </w:p>
    <w:p w14:paraId="749E4E82">
      <w:pPr>
        <w:tabs>
          <w:tab w:val="left" w:pos="400"/>
        </w:tabs>
        <w:bidi w:val="0"/>
        <w:jc w:val="left"/>
        <w:rPr>
          <w:rFonts w:hint="eastAsia" w:eastAsia="宋体"/>
          <w:sz w:val="30"/>
          <w:szCs w:val="30"/>
          <w:lang w:eastAsia="zh-CN"/>
        </w:rPr>
      </w:pPr>
      <w:r>
        <w:rPr>
          <w:rFonts w:hint="eastAsia" w:eastAsia="宋体"/>
          <w:sz w:val="30"/>
          <w:szCs w:val="30"/>
          <w:lang w:eastAsia="zh-CN"/>
        </w:rPr>
        <w:t>然而，在这末后的日子，祂借着祂的儿子向我们说话，祂的儿子，除其他事之外，还是宇宙神圣的创造者、维持者、救赎者和承受者！</w:t>
      </w:r>
    </w:p>
    <w:p w14:paraId="27ACE689">
      <w:pPr>
        <w:tabs>
          <w:tab w:val="left" w:pos="400"/>
        </w:tabs>
        <w:bidi w:val="0"/>
        <w:jc w:val="left"/>
        <w:rPr>
          <w:rFonts w:hint="eastAsia" w:eastAsia="宋体"/>
          <w:sz w:val="30"/>
          <w:szCs w:val="30"/>
          <w:lang w:eastAsia="zh-CN"/>
        </w:rPr>
      </w:pPr>
    </w:p>
    <w:p w14:paraId="2B4DBE79">
      <w:pPr>
        <w:tabs>
          <w:tab w:val="left" w:pos="400"/>
        </w:tabs>
        <w:bidi w:val="0"/>
        <w:jc w:val="left"/>
        <w:rPr>
          <w:rFonts w:hint="eastAsia" w:eastAsia="宋体"/>
          <w:sz w:val="30"/>
          <w:szCs w:val="30"/>
          <w:lang w:eastAsia="zh-CN"/>
        </w:rPr>
      </w:pPr>
      <w:r>
        <w:rPr>
          <w:rFonts w:hint="eastAsia" w:eastAsia="宋体"/>
          <w:sz w:val="30"/>
          <w:szCs w:val="30"/>
          <w:lang w:eastAsia="zh-CN"/>
        </w:rPr>
        <w:t>And does this Son speak like the prophets of old?</w:t>
      </w:r>
    </w:p>
    <w:p w14:paraId="0B0E2D00">
      <w:pPr>
        <w:tabs>
          <w:tab w:val="left" w:pos="400"/>
        </w:tabs>
        <w:bidi w:val="0"/>
        <w:jc w:val="left"/>
        <w:rPr>
          <w:rFonts w:hint="eastAsia" w:eastAsia="宋体"/>
          <w:sz w:val="30"/>
          <w:szCs w:val="30"/>
          <w:lang w:eastAsia="zh-CN"/>
        </w:rPr>
      </w:pPr>
    </w:p>
    <w:p w14:paraId="7C001DB8">
      <w:pPr>
        <w:tabs>
          <w:tab w:val="left" w:pos="400"/>
        </w:tabs>
        <w:bidi w:val="0"/>
        <w:jc w:val="left"/>
        <w:rPr>
          <w:rFonts w:hint="eastAsia" w:eastAsia="宋体"/>
          <w:sz w:val="30"/>
          <w:szCs w:val="30"/>
          <w:lang w:eastAsia="zh-CN"/>
        </w:rPr>
      </w:pPr>
      <w:r>
        <w:rPr>
          <w:rFonts w:hint="eastAsia" w:eastAsia="宋体"/>
          <w:sz w:val="30"/>
          <w:szCs w:val="30"/>
          <w:lang w:eastAsia="zh-CN"/>
        </w:rPr>
        <w:t>这位儿子说话像古时的申言者吗？</w:t>
      </w:r>
    </w:p>
    <w:p w14:paraId="17AE40D9">
      <w:pPr>
        <w:tabs>
          <w:tab w:val="left" w:pos="400"/>
        </w:tabs>
        <w:bidi w:val="0"/>
        <w:jc w:val="left"/>
        <w:rPr>
          <w:rFonts w:hint="eastAsia" w:eastAsia="宋体"/>
          <w:sz w:val="30"/>
          <w:szCs w:val="30"/>
          <w:lang w:eastAsia="zh-CN"/>
        </w:rPr>
      </w:pPr>
    </w:p>
    <w:p w14:paraId="52B72DDC">
      <w:pPr>
        <w:tabs>
          <w:tab w:val="left" w:pos="400"/>
        </w:tabs>
        <w:bidi w:val="0"/>
        <w:jc w:val="left"/>
        <w:rPr>
          <w:rFonts w:hint="eastAsia" w:eastAsia="宋体"/>
          <w:sz w:val="30"/>
          <w:szCs w:val="30"/>
          <w:lang w:eastAsia="zh-CN"/>
        </w:rPr>
      </w:pPr>
      <w:r>
        <w:rPr>
          <w:rFonts w:hint="eastAsia" w:eastAsia="宋体"/>
          <w:sz w:val="30"/>
          <w:szCs w:val="30"/>
          <w:lang w:eastAsia="zh-CN"/>
        </w:rPr>
        <w:t>Does he also speak in “portions” and increments?</w:t>
      </w:r>
    </w:p>
    <w:p w14:paraId="47BB2549">
      <w:pPr>
        <w:tabs>
          <w:tab w:val="left" w:pos="400"/>
        </w:tabs>
        <w:bidi w:val="0"/>
        <w:jc w:val="left"/>
        <w:rPr>
          <w:rFonts w:hint="eastAsia" w:eastAsia="宋体"/>
          <w:sz w:val="30"/>
          <w:szCs w:val="30"/>
          <w:lang w:eastAsia="zh-CN"/>
        </w:rPr>
      </w:pPr>
    </w:p>
    <w:p w14:paraId="7B57330C">
      <w:pPr>
        <w:tabs>
          <w:tab w:val="left" w:pos="400"/>
        </w:tabs>
        <w:bidi w:val="0"/>
        <w:jc w:val="left"/>
        <w:rPr>
          <w:rFonts w:hint="eastAsia" w:eastAsia="宋体"/>
          <w:sz w:val="30"/>
          <w:szCs w:val="30"/>
          <w:lang w:eastAsia="zh-CN"/>
        </w:rPr>
      </w:pPr>
      <w:r>
        <w:rPr>
          <w:rFonts w:hint="eastAsia" w:eastAsia="宋体"/>
          <w:sz w:val="30"/>
          <w:szCs w:val="30"/>
          <w:lang w:eastAsia="zh-CN"/>
        </w:rPr>
        <w:t>祂也分“多次”和多方地说话吗？</w:t>
      </w:r>
    </w:p>
    <w:p w14:paraId="08158B68">
      <w:pPr>
        <w:tabs>
          <w:tab w:val="left" w:pos="400"/>
        </w:tabs>
        <w:bidi w:val="0"/>
        <w:jc w:val="left"/>
        <w:rPr>
          <w:rFonts w:hint="eastAsia" w:eastAsia="宋体"/>
          <w:sz w:val="30"/>
          <w:szCs w:val="30"/>
          <w:lang w:eastAsia="zh-CN"/>
        </w:rPr>
      </w:pPr>
    </w:p>
    <w:p w14:paraId="01D11DD2">
      <w:pPr>
        <w:tabs>
          <w:tab w:val="left" w:pos="400"/>
        </w:tabs>
        <w:bidi w:val="0"/>
        <w:jc w:val="left"/>
        <w:rPr>
          <w:rFonts w:hint="eastAsia" w:eastAsia="宋体"/>
          <w:sz w:val="30"/>
          <w:szCs w:val="30"/>
          <w:lang w:eastAsia="zh-CN"/>
        </w:rPr>
      </w:pPr>
      <w:r>
        <w:rPr>
          <w:rFonts w:hint="eastAsia" w:eastAsia="宋体"/>
          <w:sz w:val="30"/>
          <w:szCs w:val="30"/>
          <w:lang w:eastAsia="zh-CN"/>
        </w:rPr>
        <w:t>Surely not!</w:t>
      </w:r>
    </w:p>
    <w:p w14:paraId="334A3E31">
      <w:pPr>
        <w:tabs>
          <w:tab w:val="left" w:pos="400"/>
        </w:tabs>
        <w:bidi w:val="0"/>
        <w:jc w:val="left"/>
        <w:rPr>
          <w:rFonts w:hint="eastAsia" w:eastAsia="宋体"/>
          <w:sz w:val="30"/>
          <w:szCs w:val="30"/>
          <w:lang w:eastAsia="zh-CN"/>
        </w:rPr>
      </w:pPr>
    </w:p>
    <w:p w14:paraId="57B88986">
      <w:pPr>
        <w:tabs>
          <w:tab w:val="left" w:pos="400"/>
        </w:tabs>
        <w:bidi w:val="0"/>
        <w:jc w:val="left"/>
        <w:rPr>
          <w:rFonts w:hint="eastAsia" w:eastAsia="宋体"/>
          <w:sz w:val="30"/>
          <w:szCs w:val="30"/>
          <w:lang w:eastAsia="zh-CN"/>
        </w:rPr>
      </w:pPr>
      <w:r>
        <w:rPr>
          <w:rFonts w:hint="eastAsia" w:eastAsia="宋体"/>
          <w:sz w:val="30"/>
          <w:szCs w:val="30"/>
          <w:lang w:eastAsia="zh-CN"/>
        </w:rPr>
        <w:t>当然不！</w:t>
      </w:r>
    </w:p>
    <w:p w14:paraId="1692B942">
      <w:pPr>
        <w:tabs>
          <w:tab w:val="left" w:pos="400"/>
        </w:tabs>
        <w:bidi w:val="0"/>
        <w:jc w:val="left"/>
        <w:rPr>
          <w:rFonts w:hint="eastAsia" w:eastAsia="宋体"/>
          <w:sz w:val="30"/>
          <w:szCs w:val="30"/>
          <w:lang w:eastAsia="zh-CN"/>
        </w:rPr>
      </w:pPr>
    </w:p>
    <w:p w14:paraId="7ACE42F3">
      <w:pPr>
        <w:tabs>
          <w:tab w:val="left" w:pos="400"/>
        </w:tabs>
        <w:bidi w:val="0"/>
        <w:jc w:val="left"/>
        <w:rPr>
          <w:rFonts w:hint="eastAsia" w:eastAsia="宋体"/>
          <w:sz w:val="30"/>
          <w:szCs w:val="30"/>
          <w:lang w:eastAsia="zh-CN"/>
        </w:rPr>
      </w:pPr>
      <w:r>
        <w:rPr>
          <w:rFonts w:hint="eastAsia" w:eastAsia="宋体"/>
          <w:sz w:val="30"/>
          <w:szCs w:val="30"/>
          <w:lang w:eastAsia="zh-CN"/>
        </w:rPr>
        <w:t>For how shall he who is very the radiance of the Father’s glory bring us anything less than the radiance—the full outshining —of the Father’s truth?</w:t>
      </w:r>
    </w:p>
    <w:p w14:paraId="0A534A7C">
      <w:pPr>
        <w:tabs>
          <w:tab w:val="left" w:pos="400"/>
        </w:tabs>
        <w:bidi w:val="0"/>
        <w:jc w:val="left"/>
        <w:rPr>
          <w:rFonts w:hint="eastAsia" w:eastAsia="宋体"/>
          <w:sz w:val="30"/>
          <w:szCs w:val="30"/>
          <w:lang w:eastAsia="zh-CN"/>
        </w:rPr>
      </w:pPr>
    </w:p>
    <w:p w14:paraId="6B95DC75">
      <w:pPr>
        <w:tabs>
          <w:tab w:val="left" w:pos="400"/>
        </w:tabs>
        <w:bidi w:val="0"/>
        <w:jc w:val="left"/>
        <w:rPr>
          <w:rFonts w:hint="eastAsia" w:eastAsia="宋体"/>
          <w:sz w:val="30"/>
          <w:szCs w:val="30"/>
          <w:lang w:eastAsia="zh-CN"/>
        </w:rPr>
      </w:pPr>
      <w:r>
        <w:rPr>
          <w:rFonts w:hint="eastAsia" w:eastAsia="宋体"/>
          <w:sz w:val="30"/>
          <w:szCs w:val="30"/>
          <w:lang w:eastAsia="zh-CN"/>
        </w:rPr>
        <w:t>因为那本是父荣耀所发之光辉的一位，怎能带给我们任何次于父真理之光辉——完全之照耀——的东西呢？</w:t>
      </w:r>
    </w:p>
    <w:p w14:paraId="026A23B0">
      <w:pPr>
        <w:tabs>
          <w:tab w:val="left" w:pos="400"/>
        </w:tabs>
        <w:bidi w:val="0"/>
        <w:jc w:val="left"/>
        <w:rPr>
          <w:rFonts w:hint="eastAsia" w:eastAsia="宋体"/>
          <w:sz w:val="30"/>
          <w:szCs w:val="30"/>
          <w:lang w:eastAsia="zh-CN"/>
        </w:rPr>
      </w:pPr>
    </w:p>
    <w:p w14:paraId="1B4540CB">
      <w:pPr>
        <w:tabs>
          <w:tab w:val="left" w:pos="400"/>
        </w:tabs>
        <w:bidi w:val="0"/>
        <w:jc w:val="left"/>
        <w:rPr>
          <w:rFonts w:hint="eastAsia" w:eastAsia="宋体"/>
          <w:sz w:val="30"/>
          <w:szCs w:val="30"/>
          <w:lang w:eastAsia="zh-CN"/>
        </w:rPr>
      </w:pPr>
      <w:r>
        <w:rPr>
          <w:rFonts w:hint="eastAsia" w:eastAsia="宋体"/>
          <w:sz w:val="30"/>
          <w:szCs w:val="30"/>
          <w:lang w:eastAsia="zh-CN"/>
        </w:rPr>
        <w:t>All who are familiar with rest of this epistle know well that this is precisely what he did.</w:t>
      </w:r>
    </w:p>
    <w:p w14:paraId="3FAFD245">
      <w:pPr>
        <w:tabs>
          <w:tab w:val="left" w:pos="400"/>
        </w:tabs>
        <w:bidi w:val="0"/>
        <w:jc w:val="left"/>
        <w:rPr>
          <w:rFonts w:hint="eastAsia" w:eastAsia="宋体"/>
          <w:sz w:val="30"/>
          <w:szCs w:val="30"/>
          <w:lang w:eastAsia="zh-CN"/>
        </w:rPr>
      </w:pPr>
    </w:p>
    <w:p w14:paraId="57C76F7C">
      <w:pPr>
        <w:tabs>
          <w:tab w:val="left" w:pos="400"/>
        </w:tabs>
        <w:bidi w:val="0"/>
        <w:jc w:val="left"/>
        <w:rPr>
          <w:rFonts w:hint="eastAsia" w:eastAsia="宋体"/>
          <w:sz w:val="30"/>
          <w:szCs w:val="30"/>
          <w:lang w:eastAsia="zh-CN"/>
        </w:rPr>
      </w:pPr>
      <w:r>
        <w:rPr>
          <w:rFonts w:hint="eastAsia" w:eastAsia="宋体"/>
          <w:sz w:val="30"/>
          <w:szCs w:val="30"/>
          <w:lang w:eastAsia="zh-CN"/>
        </w:rPr>
        <w:t>所有熟悉这封书信其余部分的人都清楚知道，这正是祂所做的。</w:t>
      </w:r>
    </w:p>
    <w:p w14:paraId="67F8129A">
      <w:pPr>
        <w:tabs>
          <w:tab w:val="left" w:pos="400"/>
        </w:tabs>
        <w:bidi w:val="0"/>
        <w:jc w:val="left"/>
        <w:rPr>
          <w:rFonts w:hint="eastAsia" w:eastAsia="宋体"/>
          <w:sz w:val="30"/>
          <w:szCs w:val="30"/>
          <w:lang w:eastAsia="zh-CN"/>
        </w:rPr>
      </w:pPr>
    </w:p>
    <w:p w14:paraId="52EFB23A">
      <w:pPr>
        <w:tabs>
          <w:tab w:val="left" w:pos="400"/>
        </w:tabs>
        <w:bidi w:val="0"/>
        <w:jc w:val="left"/>
        <w:rPr>
          <w:rFonts w:hint="eastAsia" w:eastAsia="宋体"/>
          <w:sz w:val="30"/>
          <w:szCs w:val="30"/>
          <w:lang w:eastAsia="zh-CN"/>
        </w:rPr>
      </w:pPr>
      <w:r>
        <w:rPr>
          <w:rFonts w:hint="eastAsia" w:eastAsia="宋体"/>
          <w:sz w:val="30"/>
          <w:szCs w:val="30"/>
          <w:lang w:eastAsia="zh-CN"/>
        </w:rPr>
        <w:t>Finally, we have Paul’s letter to the Colossians, where we find him passionately praying that God’s people may come to enjoy spiritual strength and assurance through a true knowledge of God’s greatest “mystery.”</w:t>
      </w:r>
    </w:p>
    <w:p w14:paraId="7F1AEB76">
      <w:pPr>
        <w:tabs>
          <w:tab w:val="left" w:pos="400"/>
        </w:tabs>
        <w:bidi w:val="0"/>
        <w:jc w:val="left"/>
        <w:rPr>
          <w:rFonts w:hint="eastAsia" w:eastAsia="宋体"/>
          <w:sz w:val="30"/>
          <w:szCs w:val="30"/>
          <w:lang w:eastAsia="zh-CN"/>
        </w:rPr>
      </w:pPr>
    </w:p>
    <w:p w14:paraId="1588E5BD">
      <w:pPr>
        <w:tabs>
          <w:tab w:val="left" w:pos="400"/>
        </w:tabs>
        <w:bidi w:val="0"/>
        <w:jc w:val="left"/>
        <w:rPr>
          <w:rFonts w:hint="eastAsia" w:eastAsia="宋体"/>
          <w:sz w:val="30"/>
          <w:szCs w:val="30"/>
          <w:lang w:eastAsia="zh-CN"/>
        </w:rPr>
      </w:pPr>
      <w:r>
        <w:rPr>
          <w:rFonts w:hint="eastAsia" w:eastAsia="宋体"/>
          <w:sz w:val="30"/>
          <w:szCs w:val="30"/>
          <w:lang w:eastAsia="zh-CN"/>
        </w:rPr>
        <w:t>最后，我们有保罗写给歌罗西人的信，在那里我们发现他热切地祷告，愿神的子民能借着对神最大“奥秘”的真知识，而得享属灵的力量和确据。</w:t>
      </w:r>
    </w:p>
    <w:p w14:paraId="7D9CD24C">
      <w:pPr>
        <w:tabs>
          <w:tab w:val="left" w:pos="400"/>
        </w:tabs>
        <w:bidi w:val="0"/>
        <w:jc w:val="left"/>
        <w:rPr>
          <w:rFonts w:hint="eastAsia" w:eastAsia="宋体"/>
          <w:sz w:val="30"/>
          <w:szCs w:val="30"/>
          <w:lang w:eastAsia="zh-CN"/>
        </w:rPr>
      </w:pPr>
    </w:p>
    <w:p w14:paraId="5A6BA359">
      <w:pPr>
        <w:tabs>
          <w:tab w:val="left" w:pos="400"/>
        </w:tabs>
        <w:bidi w:val="0"/>
        <w:jc w:val="left"/>
        <w:rPr>
          <w:rFonts w:hint="eastAsia" w:eastAsia="宋体"/>
          <w:sz w:val="30"/>
          <w:szCs w:val="30"/>
          <w:lang w:eastAsia="zh-CN"/>
        </w:rPr>
      </w:pPr>
      <w:r>
        <w:rPr>
          <w:rFonts w:hint="eastAsia" w:eastAsia="宋体"/>
          <w:sz w:val="30"/>
          <w:szCs w:val="30"/>
          <w:lang w:eastAsia="zh-CN"/>
        </w:rPr>
        <w:t>That mystery is Christ himself, “… in whom are hidden all the treasures of wisdom and knowledge” (Col. 2:3).</w:t>
      </w:r>
    </w:p>
    <w:p w14:paraId="27CC232E">
      <w:pPr>
        <w:tabs>
          <w:tab w:val="left" w:pos="400"/>
        </w:tabs>
        <w:bidi w:val="0"/>
        <w:jc w:val="left"/>
        <w:rPr>
          <w:rFonts w:hint="eastAsia" w:eastAsia="宋体"/>
          <w:sz w:val="30"/>
          <w:szCs w:val="30"/>
          <w:lang w:eastAsia="zh-CN"/>
        </w:rPr>
      </w:pPr>
    </w:p>
    <w:p w14:paraId="18EA45AD">
      <w:pPr>
        <w:tabs>
          <w:tab w:val="left" w:pos="400"/>
        </w:tabs>
        <w:bidi w:val="0"/>
        <w:jc w:val="left"/>
        <w:rPr>
          <w:rFonts w:hint="eastAsia" w:eastAsia="宋体"/>
          <w:sz w:val="30"/>
          <w:szCs w:val="30"/>
          <w:lang w:eastAsia="zh-CN"/>
        </w:rPr>
      </w:pPr>
      <w:r>
        <w:rPr>
          <w:rFonts w:hint="eastAsia" w:eastAsia="宋体"/>
          <w:sz w:val="30"/>
          <w:szCs w:val="30"/>
          <w:lang w:eastAsia="zh-CN"/>
        </w:rPr>
        <w:t>那个奥秘就是基督自己，“……所积蓄的一切智慧知识，都在祂里面藏着”（西 2:3）。</w:t>
      </w:r>
    </w:p>
    <w:p w14:paraId="6E266178">
      <w:pPr>
        <w:tabs>
          <w:tab w:val="left" w:pos="400"/>
        </w:tabs>
        <w:bidi w:val="0"/>
        <w:jc w:val="left"/>
        <w:rPr>
          <w:rFonts w:hint="eastAsia" w:eastAsia="宋体"/>
          <w:sz w:val="30"/>
          <w:szCs w:val="30"/>
          <w:lang w:eastAsia="zh-CN"/>
        </w:rPr>
      </w:pPr>
    </w:p>
    <w:p w14:paraId="039A13E3">
      <w:pPr>
        <w:tabs>
          <w:tab w:val="left" w:pos="400"/>
        </w:tabs>
        <w:bidi w:val="0"/>
        <w:jc w:val="left"/>
        <w:rPr>
          <w:rFonts w:hint="eastAsia" w:eastAsia="宋体"/>
          <w:sz w:val="30"/>
          <w:szCs w:val="30"/>
          <w:lang w:eastAsia="zh-CN"/>
        </w:rPr>
      </w:pPr>
      <w:r>
        <w:rPr>
          <w:rFonts w:hint="eastAsia" w:eastAsia="宋体"/>
          <w:sz w:val="30"/>
          <w:szCs w:val="30"/>
          <w:lang w:eastAsia="zh-CN"/>
        </w:rPr>
        <w:t>It would be hard to say it more concisely or more powerfully: Christ—and the NT Scriptures that he was pleased to bestow upon his people—contain the fullness of God’s revealed truth.</w:t>
      </w:r>
    </w:p>
    <w:p w14:paraId="181CAB5E">
      <w:pPr>
        <w:tabs>
          <w:tab w:val="left" w:pos="400"/>
        </w:tabs>
        <w:bidi w:val="0"/>
        <w:jc w:val="left"/>
        <w:rPr>
          <w:rFonts w:hint="eastAsia" w:eastAsia="宋体"/>
          <w:sz w:val="30"/>
          <w:szCs w:val="30"/>
          <w:lang w:eastAsia="zh-CN"/>
        </w:rPr>
      </w:pPr>
    </w:p>
    <w:p w14:paraId="49874969">
      <w:pPr>
        <w:tabs>
          <w:tab w:val="left" w:pos="400"/>
        </w:tabs>
        <w:bidi w:val="0"/>
        <w:jc w:val="left"/>
        <w:rPr>
          <w:rFonts w:hint="eastAsia" w:eastAsia="宋体"/>
          <w:sz w:val="30"/>
          <w:szCs w:val="30"/>
          <w:lang w:eastAsia="zh-CN"/>
        </w:rPr>
      </w:pPr>
      <w:r>
        <w:rPr>
          <w:rFonts w:hint="eastAsia" w:eastAsia="宋体"/>
          <w:sz w:val="30"/>
          <w:szCs w:val="30"/>
          <w:lang w:eastAsia="zh-CN"/>
        </w:rPr>
        <w:t>很难有比这更简洁或更有力地说法了：基督——以及祂乐意赐给祂子民的新约圣经——包含了神所启示之真理的丰满。</w:t>
      </w:r>
    </w:p>
    <w:p w14:paraId="32B9FA03">
      <w:pPr>
        <w:tabs>
          <w:tab w:val="left" w:pos="400"/>
        </w:tabs>
        <w:bidi w:val="0"/>
        <w:jc w:val="left"/>
        <w:rPr>
          <w:rFonts w:hint="eastAsia" w:eastAsia="宋体"/>
          <w:sz w:val="30"/>
          <w:szCs w:val="30"/>
          <w:lang w:eastAsia="zh-CN"/>
        </w:rPr>
      </w:pPr>
    </w:p>
    <w:p w14:paraId="32101E73">
      <w:pPr>
        <w:tabs>
          <w:tab w:val="left" w:pos="400"/>
        </w:tabs>
        <w:bidi w:val="0"/>
        <w:jc w:val="left"/>
        <w:rPr>
          <w:rFonts w:hint="eastAsia" w:eastAsia="宋体"/>
          <w:sz w:val="30"/>
          <w:szCs w:val="30"/>
          <w:lang w:eastAsia="zh-CN"/>
        </w:rPr>
      </w:pPr>
      <w:r>
        <w:rPr>
          <w:rFonts w:hint="eastAsia" w:eastAsia="宋体"/>
          <w:sz w:val="30"/>
          <w:szCs w:val="30"/>
          <w:lang w:eastAsia="zh-CN"/>
        </w:rPr>
        <w:t>Why Did God Make His Revelation Progressive?</w:t>
      </w:r>
    </w:p>
    <w:p w14:paraId="440E421E">
      <w:pPr>
        <w:tabs>
          <w:tab w:val="left" w:pos="400"/>
        </w:tabs>
        <w:bidi w:val="0"/>
        <w:jc w:val="left"/>
        <w:rPr>
          <w:rFonts w:hint="eastAsia" w:eastAsia="宋体"/>
          <w:sz w:val="30"/>
          <w:szCs w:val="30"/>
          <w:lang w:eastAsia="zh-CN"/>
        </w:rPr>
      </w:pPr>
    </w:p>
    <w:p w14:paraId="6F1F2E31">
      <w:pPr>
        <w:tabs>
          <w:tab w:val="left" w:pos="400"/>
        </w:tabs>
        <w:bidi w:val="0"/>
        <w:jc w:val="left"/>
        <w:rPr>
          <w:rFonts w:hint="eastAsia" w:eastAsia="宋体"/>
          <w:sz w:val="30"/>
          <w:szCs w:val="30"/>
          <w:lang w:eastAsia="zh-CN"/>
        </w:rPr>
      </w:pPr>
      <w:r>
        <w:rPr>
          <w:rFonts w:hint="eastAsia" w:eastAsia="宋体"/>
          <w:sz w:val="30"/>
          <w:szCs w:val="30"/>
          <w:lang w:eastAsia="zh-CN"/>
        </w:rPr>
        <w:t>神为何使祂的启示成为渐进的？</w:t>
      </w:r>
    </w:p>
    <w:p w14:paraId="6FDA685E">
      <w:pPr>
        <w:tabs>
          <w:tab w:val="left" w:pos="400"/>
        </w:tabs>
        <w:bidi w:val="0"/>
        <w:jc w:val="left"/>
        <w:rPr>
          <w:rFonts w:hint="eastAsia" w:eastAsia="宋体"/>
          <w:sz w:val="30"/>
          <w:szCs w:val="30"/>
          <w:lang w:eastAsia="zh-CN"/>
        </w:rPr>
      </w:pPr>
    </w:p>
    <w:p w14:paraId="5090BC3D">
      <w:pPr>
        <w:tabs>
          <w:tab w:val="left" w:pos="400"/>
        </w:tabs>
        <w:bidi w:val="0"/>
        <w:jc w:val="left"/>
        <w:rPr>
          <w:rFonts w:hint="eastAsia" w:eastAsia="宋体"/>
          <w:sz w:val="30"/>
          <w:szCs w:val="30"/>
          <w:lang w:eastAsia="zh-CN"/>
        </w:rPr>
      </w:pPr>
      <w:r>
        <w:rPr>
          <w:rFonts w:hint="eastAsia" w:eastAsia="宋体"/>
          <w:sz w:val="30"/>
          <w:szCs w:val="30"/>
          <w:lang w:eastAsia="zh-CN"/>
        </w:rPr>
        <w:t>As helpful as such proof texts are, we can best understand the fact and character of progressive revelation by digging deeper still; by asking why it pleased God to unveil his truth in this manner.</w:t>
      </w:r>
    </w:p>
    <w:p w14:paraId="307FFBAD">
      <w:pPr>
        <w:tabs>
          <w:tab w:val="left" w:pos="400"/>
        </w:tabs>
        <w:bidi w:val="0"/>
        <w:jc w:val="left"/>
        <w:rPr>
          <w:rFonts w:hint="eastAsia" w:eastAsia="宋体"/>
          <w:sz w:val="30"/>
          <w:szCs w:val="30"/>
          <w:lang w:eastAsia="zh-CN"/>
        </w:rPr>
      </w:pPr>
    </w:p>
    <w:p w14:paraId="797B64C6">
      <w:pPr>
        <w:tabs>
          <w:tab w:val="left" w:pos="400"/>
        </w:tabs>
        <w:bidi w:val="0"/>
        <w:jc w:val="left"/>
        <w:rPr>
          <w:rFonts w:hint="eastAsia" w:eastAsia="宋体"/>
          <w:sz w:val="30"/>
          <w:szCs w:val="30"/>
          <w:lang w:eastAsia="zh-CN"/>
        </w:rPr>
      </w:pPr>
      <w:r>
        <w:rPr>
          <w:rFonts w:hint="eastAsia" w:eastAsia="宋体"/>
          <w:sz w:val="30"/>
          <w:szCs w:val="30"/>
          <w:lang w:eastAsia="zh-CN"/>
        </w:rPr>
        <w:t>尽管这些引证的经文很有帮助，但我们能最好地理解渐进启示的事实和特性，是通过更深入地挖掘；通过询问神为何乐意以这种方式揭示祂的真理。</w:t>
      </w:r>
    </w:p>
    <w:p w14:paraId="1818AC10">
      <w:pPr>
        <w:tabs>
          <w:tab w:val="left" w:pos="400"/>
        </w:tabs>
        <w:bidi w:val="0"/>
        <w:jc w:val="left"/>
        <w:rPr>
          <w:rFonts w:hint="eastAsia" w:eastAsia="宋体"/>
          <w:sz w:val="30"/>
          <w:szCs w:val="30"/>
          <w:lang w:eastAsia="zh-CN"/>
        </w:rPr>
      </w:pPr>
    </w:p>
    <w:p w14:paraId="658B87CB">
      <w:pPr>
        <w:tabs>
          <w:tab w:val="left" w:pos="400"/>
        </w:tabs>
        <w:bidi w:val="0"/>
        <w:jc w:val="left"/>
        <w:rPr>
          <w:rFonts w:hint="eastAsia" w:eastAsia="宋体"/>
          <w:sz w:val="30"/>
          <w:szCs w:val="30"/>
          <w:lang w:eastAsia="zh-CN"/>
        </w:rPr>
      </w:pPr>
      <w:r>
        <w:rPr>
          <w:rFonts w:hint="eastAsia" w:eastAsia="宋体"/>
          <w:sz w:val="30"/>
          <w:szCs w:val="30"/>
          <w:lang w:eastAsia="zh-CN"/>
        </w:rPr>
        <w:t>When we do, we find that the NT answers by inviting us to look carefully at God’s overall purpose for his Son.</w:t>
      </w:r>
    </w:p>
    <w:p w14:paraId="2DF00E4D">
      <w:pPr>
        <w:tabs>
          <w:tab w:val="left" w:pos="400"/>
        </w:tabs>
        <w:bidi w:val="0"/>
        <w:jc w:val="left"/>
        <w:rPr>
          <w:rFonts w:hint="eastAsia" w:eastAsia="宋体"/>
          <w:sz w:val="30"/>
          <w:szCs w:val="30"/>
          <w:lang w:eastAsia="zh-CN"/>
        </w:rPr>
      </w:pPr>
    </w:p>
    <w:p w14:paraId="34EB0D7A">
      <w:pPr>
        <w:tabs>
          <w:tab w:val="left" w:pos="400"/>
        </w:tabs>
        <w:bidi w:val="0"/>
        <w:jc w:val="left"/>
        <w:rPr>
          <w:rFonts w:hint="eastAsia" w:eastAsia="宋体"/>
          <w:sz w:val="30"/>
          <w:szCs w:val="30"/>
          <w:lang w:eastAsia="zh-CN"/>
        </w:rPr>
      </w:pPr>
      <w:r>
        <w:rPr>
          <w:rFonts w:hint="eastAsia" w:eastAsia="宋体"/>
          <w:sz w:val="30"/>
          <w:szCs w:val="30"/>
          <w:lang w:eastAsia="zh-CN"/>
        </w:rPr>
        <w:t>当我们这样做时，我们发现新约的答案是邀请我们仔细察看神对祂儿子的总体旨意。</w:t>
      </w:r>
    </w:p>
    <w:p w14:paraId="682B8E6F">
      <w:pPr>
        <w:tabs>
          <w:tab w:val="left" w:pos="400"/>
        </w:tabs>
        <w:bidi w:val="0"/>
        <w:jc w:val="left"/>
        <w:rPr>
          <w:rFonts w:hint="eastAsia" w:eastAsia="宋体"/>
          <w:sz w:val="30"/>
          <w:szCs w:val="30"/>
          <w:lang w:eastAsia="zh-CN"/>
        </w:rPr>
      </w:pPr>
    </w:p>
    <w:p w14:paraId="721892D5">
      <w:pPr>
        <w:tabs>
          <w:tab w:val="left" w:pos="400"/>
        </w:tabs>
        <w:bidi w:val="0"/>
        <w:jc w:val="left"/>
        <w:rPr>
          <w:rFonts w:hint="eastAsia" w:eastAsia="宋体"/>
          <w:sz w:val="30"/>
          <w:szCs w:val="30"/>
          <w:lang w:eastAsia="zh-CN"/>
        </w:rPr>
      </w:pPr>
      <w:r>
        <w:rPr>
          <w:rFonts w:hint="eastAsia" w:eastAsia="宋体"/>
          <w:sz w:val="30"/>
          <w:szCs w:val="30"/>
          <w:lang w:eastAsia="zh-CN"/>
        </w:rPr>
        <w:t>What exactly is this?</w:t>
      </w:r>
    </w:p>
    <w:p w14:paraId="09E4844C">
      <w:pPr>
        <w:tabs>
          <w:tab w:val="left" w:pos="400"/>
        </w:tabs>
        <w:bidi w:val="0"/>
        <w:jc w:val="left"/>
        <w:rPr>
          <w:rFonts w:hint="eastAsia" w:eastAsia="宋体"/>
          <w:sz w:val="30"/>
          <w:szCs w:val="30"/>
          <w:lang w:eastAsia="zh-CN"/>
        </w:rPr>
      </w:pPr>
    </w:p>
    <w:p w14:paraId="5AA258E0">
      <w:pPr>
        <w:tabs>
          <w:tab w:val="left" w:pos="400"/>
        </w:tabs>
        <w:bidi w:val="0"/>
        <w:jc w:val="left"/>
        <w:rPr>
          <w:rFonts w:hint="eastAsia" w:eastAsia="宋体"/>
          <w:sz w:val="30"/>
          <w:szCs w:val="30"/>
          <w:lang w:eastAsia="zh-CN"/>
        </w:rPr>
      </w:pPr>
      <w:r>
        <w:rPr>
          <w:rFonts w:hint="eastAsia" w:eastAsia="宋体"/>
          <w:sz w:val="30"/>
          <w:szCs w:val="30"/>
          <w:lang w:eastAsia="zh-CN"/>
        </w:rPr>
        <w:t>这究竟是什么？</w:t>
      </w:r>
    </w:p>
    <w:p w14:paraId="26128911">
      <w:pPr>
        <w:tabs>
          <w:tab w:val="left" w:pos="400"/>
        </w:tabs>
        <w:bidi w:val="0"/>
        <w:jc w:val="left"/>
        <w:rPr>
          <w:rFonts w:hint="eastAsia" w:eastAsia="宋体"/>
          <w:sz w:val="30"/>
          <w:szCs w:val="30"/>
          <w:lang w:eastAsia="zh-CN"/>
        </w:rPr>
      </w:pPr>
    </w:p>
    <w:p w14:paraId="1C18A464">
      <w:pPr>
        <w:tabs>
          <w:tab w:val="left" w:pos="400"/>
        </w:tabs>
        <w:bidi w:val="0"/>
        <w:jc w:val="left"/>
        <w:rPr>
          <w:rFonts w:hint="eastAsia" w:eastAsia="宋体"/>
          <w:sz w:val="30"/>
          <w:szCs w:val="30"/>
          <w:lang w:eastAsia="zh-CN"/>
        </w:rPr>
      </w:pPr>
      <w:r>
        <w:rPr>
          <w:rFonts w:hint="eastAsia" w:eastAsia="宋体"/>
          <w:sz w:val="30"/>
          <w:szCs w:val="30"/>
          <w:lang w:eastAsia="zh-CN"/>
        </w:rPr>
        <w:t>The answer is found on the lips of Christ himself: God has granted him all manner of divine prerogatives—to perform miracles, to bestow eternal life, to raise the dead, to judge the world, etc.— so that all may honor the Son, even as they honor the Father (John 5:23).</w:t>
      </w:r>
    </w:p>
    <w:p w14:paraId="7198F34A">
      <w:pPr>
        <w:tabs>
          <w:tab w:val="left" w:pos="400"/>
        </w:tabs>
        <w:bidi w:val="0"/>
        <w:jc w:val="left"/>
        <w:rPr>
          <w:rFonts w:hint="eastAsia" w:eastAsia="宋体"/>
          <w:sz w:val="30"/>
          <w:szCs w:val="30"/>
          <w:lang w:eastAsia="zh-CN"/>
        </w:rPr>
      </w:pPr>
    </w:p>
    <w:p w14:paraId="011CB512">
      <w:pPr>
        <w:tabs>
          <w:tab w:val="left" w:pos="400"/>
        </w:tabs>
        <w:bidi w:val="0"/>
        <w:jc w:val="left"/>
        <w:rPr>
          <w:rFonts w:hint="eastAsia" w:eastAsia="宋体"/>
          <w:sz w:val="30"/>
          <w:szCs w:val="30"/>
          <w:lang w:eastAsia="zh-CN"/>
        </w:rPr>
      </w:pPr>
      <w:r>
        <w:rPr>
          <w:rFonts w:hint="eastAsia" w:eastAsia="宋体"/>
          <w:sz w:val="30"/>
          <w:szCs w:val="30"/>
          <w:lang w:eastAsia="zh-CN"/>
        </w:rPr>
        <w:t>答案在基督自己的口中：神已将各样神圣的权柄——行神迹、赐永生、叫死人复活、审判世界等等——都赐给了祂，好叫人都尊敬子，如同尊敬父一样（约 5:23）。</w:t>
      </w:r>
    </w:p>
    <w:p w14:paraId="7FFAD59A">
      <w:pPr>
        <w:tabs>
          <w:tab w:val="left" w:pos="400"/>
        </w:tabs>
        <w:bidi w:val="0"/>
        <w:jc w:val="left"/>
        <w:rPr>
          <w:rFonts w:hint="eastAsia" w:eastAsia="宋体"/>
          <w:sz w:val="30"/>
          <w:szCs w:val="30"/>
          <w:lang w:eastAsia="zh-CN"/>
        </w:rPr>
      </w:pPr>
    </w:p>
    <w:p w14:paraId="48C0426E">
      <w:pPr>
        <w:tabs>
          <w:tab w:val="left" w:pos="400"/>
        </w:tabs>
        <w:bidi w:val="0"/>
        <w:jc w:val="left"/>
        <w:rPr>
          <w:rFonts w:hint="eastAsia" w:eastAsia="宋体"/>
          <w:sz w:val="30"/>
          <w:szCs w:val="30"/>
          <w:lang w:eastAsia="zh-CN"/>
        </w:rPr>
      </w:pPr>
      <w:r>
        <w:rPr>
          <w:rFonts w:hint="eastAsia" w:eastAsia="宋体"/>
          <w:sz w:val="30"/>
          <w:szCs w:val="30"/>
          <w:lang w:eastAsia="zh-CN"/>
        </w:rPr>
        <w:t>Truly, this is the end of all man-centered thinking about Salvation History!</w:t>
      </w:r>
    </w:p>
    <w:p w14:paraId="29E58C64">
      <w:pPr>
        <w:tabs>
          <w:tab w:val="left" w:pos="400"/>
        </w:tabs>
        <w:bidi w:val="0"/>
        <w:jc w:val="left"/>
        <w:rPr>
          <w:rFonts w:hint="eastAsia" w:eastAsia="宋体"/>
          <w:sz w:val="30"/>
          <w:szCs w:val="30"/>
          <w:lang w:eastAsia="zh-CN"/>
        </w:rPr>
      </w:pPr>
    </w:p>
    <w:p w14:paraId="08A05B68">
      <w:pPr>
        <w:tabs>
          <w:tab w:val="left" w:pos="400"/>
        </w:tabs>
        <w:bidi w:val="0"/>
        <w:jc w:val="left"/>
        <w:rPr>
          <w:rFonts w:hint="eastAsia" w:eastAsia="宋体"/>
          <w:sz w:val="30"/>
          <w:szCs w:val="30"/>
          <w:lang w:eastAsia="zh-CN"/>
        </w:rPr>
      </w:pPr>
      <w:r>
        <w:rPr>
          <w:rFonts w:hint="eastAsia" w:eastAsia="宋体"/>
          <w:sz w:val="30"/>
          <w:szCs w:val="30"/>
          <w:lang w:eastAsia="zh-CN"/>
        </w:rPr>
        <w:t>真的，这是所有以人为中心的救赎历史思想的终结！</w:t>
      </w:r>
    </w:p>
    <w:p w14:paraId="7FFE6B76">
      <w:pPr>
        <w:tabs>
          <w:tab w:val="left" w:pos="400"/>
        </w:tabs>
        <w:bidi w:val="0"/>
        <w:jc w:val="left"/>
        <w:rPr>
          <w:rFonts w:hint="eastAsia" w:eastAsia="宋体"/>
          <w:sz w:val="30"/>
          <w:szCs w:val="30"/>
          <w:lang w:eastAsia="zh-CN"/>
        </w:rPr>
      </w:pPr>
    </w:p>
    <w:p w14:paraId="02D648A3">
      <w:pPr>
        <w:tabs>
          <w:tab w:val="left" w:pos="400"/>
        </w:tabs>
        <w:bidi w:val="0"/>
        <w:jc w:val="left"/>
        <w:rPr>
          <w:rFonts w:hint="eastAsia" w:eastAsia="宋体"/>
          <w:sz w:val="30"/>
          <w:szCs w:val="30"/>
          <w:lang w:eastAsia="zh-CN"/>
        </w:rPr>
      </w:pPr>
      <w:r>
        <w:rPr>
          <w:rFonts w:hint="eastAsia" w:eastAsia="宋体"/>
          <w:sz w:val="30"/>
          <w:szCs w:val="30"/>
          <w:lang w:eastAsia="zh-CN"/>
        </w:rPr>
        <w:t>Yes, Salvation History is the arena in which God displays his love, purpose, and plan for poor sinners.</w:t>
      </w:r>
    </w:p>
    <w:p w14:paraId="5E1CB403">
      <w:pPr>
        <w:tabs>
          <w:tab w:val="left" w:pos="400"/>
        </w:tabs>
        <w:bidi w:val="0"/>
        <w:jc w:val="left"/>
        <w:rPr>
          <w:rFonts w:hint="eastAsia" w:eastAsia="宋体"/>
          <w:sz w:val="30"/>
          <w:szCs w:val="30"/>
          <w:lang w:eastAsia="zh-CN"/>
        </w:rPr>
      </w:pPr>
    </w:p>
    <w:p w14:paraId="60E5BE6F">
      <w:pPr>
        <w:tabs>
          <w:tab w:val="left" w:pos="400"/>
        </w:tabs>
        <w:bidi w:val="0"/>
        <w:jc w:val="left"/>
        <w:rPr>
          <w:rFonts w:hint="eastAsia" w:eastAsia="宋体"/>
          <w:sz w:val="30"/>
          <w:szCs w:val="30"/>
          <w:lang w:eastAsia="zh-CN"/>
        </w:rPr>
      </w:pPr>
      <w:r>
        <w:rPr>
          <w:rFonts w:hint="eastAsia" w:eastAsia="宋体"/>
          <w:sz w:val="30"/>
          <w:szCs w:val="30"/>
          <w:lang w:eastAsia="zh-CN"/>
        </w:rPr>
        <w:t>是的，救赎历史是神彰显祂对可怜罪人之爱、旨意和计划的舞台。</w:t>
      </w:r>
    </w:p>
    <w:p w14:paraId="4A719E38">
      <w:pPr>
        <w:tabs>
          <w:tab w:val="left" w:pos="400"/>
        </w:tabs>
        <w:bidi w:val="0"/>
        <w:jc w:val="left"/>
        <w:rPr>
          <w:rFonts w:hint="eastAsia" w:eastAsia="宋体"/>
          <w:sz w:val="30"/>
          <w:szCs w:val="30"/>
          <w:lang w:eastAsia="zh-CN"/>
        </w:rPr>
      </w:pPr>
    </w:p>
    <w:p w14:paraId="210C40F7">
      <w:pPr>
        <w:tabs>
          <w:tab w:val="left" w:pos="400"/>
        </w:tabs>
        <w:bidi w:val="0"/>
        <w:jc w:val="left"/>
        <w:rPr>
          <w:rFonts w:hint="eastAsia" w:eastAsia="宋体"/>
          <w:sz w:val="30"/>
          <w:szCs w:val="30"/>
          <w:lang w:eastAsia="zh-CN"/>
        </w:rPr>
      </w:pPr>
      <w:r>
        <w:rPr>
          <w:rFonts w:hint="eastAsia" w:eastAsia="宋体"/>
          <w:sz w:val="30"/>
          <w:szCs w:val="30"/>
          <w:lang w:eastAsia="zh-CN"/>
        </w:rPr>
        <w:t>But if that is all we see in it, we are seeing only half the picture.</w:t>
      </w:r>
    </w:p>
    <w:p w14:paraId="7DE12191">
      <w:pPr>
        <w:tabs>
          <w:tab w:val="left" w:pos="400"/>
        </w:tabs>
        <w:bidi w:val="0"/>
        <w:jc w:val="left"/>
        <w:rPr>
          <w:rFonts w:hint="eastAsia" w:eastAsia="宋体"/>
          <w:sz w:val="30"/>
          <w:szCs w:val="30"/>
          <w:lang w:eastAsia="zh-CN"/>
        </w:rPr>
      </w:pPr>
    </w:p>
    <w:p w14:paraId="6309CE5D">
      <w:pPr>
        <w:tabs>
          <w:tab w:val="left" w:pos="400"/>
        </w:tabs>
        <w:bidi w:val="0"/>
        <w:jc w:val="left"/>
        <w:rPr>
          <w:rFonts w:hint="eastAsia" w:eastAsia="宋体"/>
          <w:sz w:val="30"/>
          <w:szCs w:val="30"/>
          <w:lang w:eastAsia="zh-CN"/>
        </w:rPr>
      </w:pPr>
      <w:r>
        <w:rPr>
          <w:rFonts w:hint="eastAsia" w:eastAsia="宋体"/>
          <w:sz w:val="30"/>
          <w:szCs w:val="30"/>
          <w:lang w:eastAsia="zh-CN"/>
        </w:rPr>
        <w:t>但如果我们只看到这些，我们就只看到了一半的图画。</w:t>
      </w:r>
    </w:p>
    <w:p w14:paraId="6E32B499">
      <w:pPr>
        <w:tabs>
          <w:tab w:val="left" w:pos="400"/>
        </w:tabs>
        <w:bidi w:val="0"/>
        <w:jc w:val="left"/>
        <w:rPr>
          <w:rFonts w:hint="eastAsia" w:eastAsia="宋体"/>
          <w:sz w:val="30"/>
          <w:szCs w:val="30"/>
          <w:lang w:eastAsia="zh-CN"/>
        </w:rPr>
      </w:pPr>
    </w:p>
    <w:p w14:paraId="695BCEB7">
      <w:pPr>
        <w:tabs>
          <w:tab w:val="left" w:pos="400"/>
        </w:tabs>
        <w:bidi w:val="0"/>
        <w:jc w:val="left"/>
        <w:rPr>
          <w:rFonts w:hint="eastAsia" w:eastAsia="宋体"/>
          <w:sz w:val="30"/>
          <w:szCs w:val="30"/>
          <w:lang w:eastAsia="zh-CN"/>
        </w:rPr>
      </w:pPr>
      <w:r>
        <w:rPr>
          <w:rFonts w:hint="eastAsia" w:eastAsia="宋体"/>
          <w:sz w:val="30"/>
          <w:szCs w:val="30"/>
          <w:lang w:eastAsia="zh-CN"/>
        </w:rPr>
        <w:t>To get the complete picture, we must also learn to view history as an arena in which he displays his love, purpose, and plan for his beloved Son!</w:t>
      </w:r>
    </w:p>
    <w:p w14:paraId="77FC0BBE">
      <w:pPr>
        <w:tabs>
          <w:tab w:val="left" w:pos="400"/>
        </w:tabs>
        <w:bidi w:val="0"/>
        <w:jc w:val="left"/>
        <w:rPr>
          <w:rFonts w:hint="eastAsia" w:eastAsia="宋体"/>
          <w:sz w:val="30"/>
          <w:szCs w:val="30"/>
          <w:lang w:eastAsia="zh-CN"/>
        </w:rPr>
      </w:pPr>
    </w:p>
    <w:p w14:paraId="798D1D6E">
      <w:pPr>
        <w:tabs>
          <w:tab w:val="left" w:pos="400"/>
        </w:tabs>
        <w:bidi w:val="0"/>
        <w:jc w:val="left"/>
        <w:rPr>
          <w:rFonts w:hint="eastAsia" w:eastAsia="宋体"/>
          <w:sz w:val="30"/>
          <w:szCs w:val="30"/>
          <w:lang w:eastAsia="zh-CN"/>
        </w:rPr>
      </w:pPr>
      <w:r>
        <w:rPr>
          <w:rFonts w:hint="eastAsia" w:eastAsia="宋体"/>
          <w:sz w:val="30"/>
          <w:szCs w:val="30"/>
          <w:lang w:eastAsia="zh-CN"/>
        </w:rPr>
        <w:t>要得到完整的图画，我们也必须学会将历史视为一个舞台，在其中祂彰显祂对祂爱子的爱、旨意和计划！</w:t>
      </w:r>
    </w:p>
    <w:p w14:paraId="7DC02A21">
      <w:pPr>
        <w:tabs>
          <w:tab w:val="left" w:pos="400"/>
        </w:tabs>
        <w:bidi w:val="0"/>
        <w:jc w:val="left"/>
        <w:rPr>
          <w:rFonts w:hint="eastAsia" w:eastAsia="宋体"/>
          <w:sz w:val="30"/>
          <w:szCs w:val="30"/>
          <w:lang w:eastAsia="zh-CN"/>
        </w:rPr>
      </w:pPr>
    </w:p>
    <w:p w14:paraId="2F376E80">
      <w:pPr>
        <w:tabs>
          <w:tab w:val="left" w:pos="400"/>
        </w:tabs>
        <w:bidi w:val="0"/>
        <w:jc w:val="left"/>
        <w:rPr>
          <w:rFonts w:hint="eastAsia" w:eastAsia="宋体"/>
          <w:sz w:val="30"/>
          <w:szCs w:val="30"/>
          <w:lang w:eastAsia="zh-CN"/>
        </w:rPr>
      </w:pPr>
      <w:r>
        <w:rPr>
          <w:rFonts w:hint="eastAsia" w:eastAsia="宋体"/>
          <w:sz w:val="30"/>
          <w:szCs w:val="30"/>
          <w:lang w:eastAsia="zh-CN"/>
        </w:rPr>
        <w:t>On this all the NT writers agree: God’s great desire— and arguably his supreme desire—is that against the vast backdrop of creation, fall, judgment, and redemption, all sentient beings, whether men or angels, should behold the deity, attributes, glory, and beauty of the divine Son; that all should behold and confess that Jesus Christ is Lord, to the glory of God the Father (Phil. 2:11).</w:t>
      </w:r>
    </w:p>
    <w:p w14:paraId="0B9E880B">
      <w:pPr>
        <w:tabs>
          <w:tab w:val="left" w:pos="400"/>
        </w:tabs>
        <w:bidi w:val="0"/>
        <w:jc w:val="left"/>
        <w:rPr>
          <w:rFonts w:hint="eastAsia" w:eastAsia="宋体"/>
          <w:sz w:val="30"/>
          <w:szCs w:val="30"/>
          <w:lang w:eastAsia="zh-CN"/>
        </w:rPr>
      </w:pPr>
    </w:p>
    <w:p w14:paraId="308926BE">
      <w:pPr>
        <w:tabs>
          <w:tab w:val="left" w:pos="400"/>
        </w:tabs>
        <w:bidi w:val="0"/>
        <w:jc w:val="left"/>
        <w:rPr>
          <w:rFonts w:hint="eastAsia" w:eastAsia="宋体"/>
          <w:sz w:val="30"/>
          <w:szCs w:val="30"/>
          <w:lang w:eastAsia="zh-CN"/>
        </w:rPr>
      </w:pPr>
      <w:r>
        <w:rPr>
          <w:rFonts w:hint="eastAsia" w:eastAsia="宋体"/>
          <w:sz w:val="30"/>
          <w:szCs w:val="30"/>
          <w:lang w:eastAsia="zh-CN"/>
        </w:rPr>
        <w:t>在这一点上，所有新约的作者都同意：神极大的渴望——可以说也是祂至高的渴望——是在创造、堕落、审判和救赎的宏大背景下，所有有知觉的活物，无论是人还是天使，都当看见神圣之子的神性、属性、荣耀和美丽；都当看见并承认耶稣基督是主，使荣耀归与父神（腓 2:11）。</w:t>
      </w:r>
    </w:p>
    <w:p w14:paraId="73B08EEC">
      <w:pPr>
        <w:tabs>
          <w:tab w:val="left" w:pos="400"/>
        </w:tabs>
        <w:bidi w:val="0"/>
        <w:jc w:val="left"/>
        <w:rPr>
          <w:rFonts w:hint="eastAsia" w:eastAsia="宋体"/>
          <w:sz w:val="30"/>
          <w:szCs w:val="30"/>
          <w:lang w:eastAsia="zh-CN"/>
        </w:rPr>
      </w:pPr>
    </w:p>
    <w:p w14:paraId="404B3ADA">
      <w:pPr>
        <w:tabs>
          <w:tab w:val="left" w:pos="400"/>
        </w:tabs>
        <w:bidi w:val="0"/>
        <w:jc w:val="left"/>
        <w:rPr>
          <w:rFonts w:hint="eastAsia" w:eastAsia="宋体"/>
          <w:sz w:val="30"/>
          <w:szCs w:val="30"/>
          <w:lang w:eastAsia="zh-CN"/>
        </w:rPr>
      </w:pPr>
      <w:r>
        <w:rPr>
          <w:rFonts w:hint="eastAsia" w:eastAsia="宋体"/>
          <w:sz w:val="30"/>
          <w:szCs w:val="30"/>
          <w:lang w:eastAsia="zh-CN"/>
        </w:rPr>
        <w:t>So then, the Father is pleased supremely to honor his Son by bestowing upon him all the divine prerogatives (John 5, Col. 1).</w:t>
      </w:r>
    </w:p>
    <w:p w14:paraId="4B2068F2">
      <w:pPr>
        <w:tabs>
          <w:tab w:val="left" w:pos="400"/>
        </w:tabs>
        <w:bidi w:val="0"/>
        <w:jc w:val="left"/>
        <w:rPr>
          <w:rFonts w:hint="eastAsia" w:eastAsia="宋体"/>
          <w:sz w:val="30"/>
          <w:szCs w:val="30"/>
          <w:lang w:eastAsia="zh-CN"/>
        </w:rPr>
      </w:pPr>
    </w:p>
    <w:p w14:paraId="1CABC6FA">
      <w:pPr>
        <w:tabs>
          <w:tab w:val="left" w:pos="400"/>
        </w:tabs>
        <w:bidi w:val="0"/>
        <w:jc w:val="left"/>
        <w:rPr>
          <w:rFonts w:hint="eastAsia" w:eastAsia="宋体"/>
          <w:sz w:val="30"/>
          <w:szCs w:val="30"/>
          <w:lang w:eastAsia="zh-CN"/>
        </w:rPr>
      </w:pPr>
      <w:r>
        <w:rPr>
          <w:rFonts w:hint="eastAsia" w:eastAsia="宋体"/>
          <w:sz w:val="30"/>
          <w:szCs w:val="30"/>
          <w:lang w:eastAsia="zh-CN"/>
        </w:rPr>
        <w:t>那么，父乐意至高地荣耀祂的儿子，将一切神圣的权柄都赐给祂（约 5, 西 1）。</w:t>
      </w:r>
    </w:p>
    <w:p w14:paraId="14866559">
      <w:pPr>
        <w:tabs>
          <w:tab w:val="left" w:pos="400"/>
        </w:tabs>
        <w:bidi w:val="0"/>
        <w:jc w:val="left"/>
        <w:rPr>
          <w:rFonts w:hint="eastAsia" w:eastAsia="宋体"/>
          <w:sz w:val="30"/>
          <w:szCs w:val="30"/>
          <w:lang w:eastAsia="zh-CN"/>
        </w:rPr>
      </w:pPr>
    </w:p>
    <w:p w14:paraId="74852AFE">
      <w:pPr>
        <w:tabs>
          <w:tab w:val="left" w:pos="400"/>
        </w:tabs>
        <w:bidi w:val="0"/>
        <w:jc w:val="left"/>
        <w:rPr>
          <w:rFonts w:hint="eastAsia" w:eastAsia="宋体"/>
          <w:sz w:val="30"/>
          <w:szCs w:val="30"/>
          <w:lang w:eastAsia="zh-CN"/>
        </w:rPr>
      </w:pPr>
      <w:r>
        <w:rPr>
          <w:rFonts w:hint="eastAsia" w:eastAsia="宋体"/>
          <w:sz w:val="30"/>
          <w:szCs w:val="30"/>
          <w:lang w:eastAsia="zh-CN"/>
        </w:rPr>
        <w:t>But is not one of God’s greatest prerogatives that he should graciously bestow the full light of truth upon poor benighted sinners?</w:t>
      </w:r>
    </w:p>
    <w:p w14:paraId="0848AD97">
      <w:pPr>
        <w:tabs>
          <w:tab w:val="left" w:pos="400"/>
        </w:tabs>
        <w:bidi w:val="0"/>
        <w:jc w:val="left"/>
        <w:rPr>
          <w:rFonts w:hint="eastAsia" w:eastAsia="宋体"/>
          <w:sz w:val="30"/>
          <w:szCs w:val="30"/>
          <w:lang w:eastAsia="zh-CN"/>
        </w:rPr>
      </w:pPr>
    </w:p>
    <w:p w14:paraId="2929E3E0">
      <w:pPr>
        <w:tabs>
          <w:tab w:val="left" w:pos="400"/>
        </w:tabs>
        <w:bidi w:val="0"/>
        <w:jc w:val="left"/>
        <w:rPr>
          <w:rFonts w:hint="eastAsia" w:eastAsia="宋体"/>
          <w:sz w:val="30"/>
          <w:szCs w:val="30"/>
          <w:lang w:eastAsia="zh-CN"/>
        </w:rPr>
      </w:pPr>
      <w:r>
        <w:rPr>
          <w:rFonts w:hint="eastAsia" w:eastAsia="宋体"/>
          <w:sz w:val="30"/>
          <w:szCs w:val="30"/>
          <w:lang w:eastAsia="zh-CN"/>
        </w:rPr>
        <w:t>但神最大的权柄之一，不就是祂应当恩慈地将真理的全光赐给可怜愚昧的罪人吗？</w:t>
      </w:r>
    </w:p>
    <w:p w14:paraId="11AD6C1A">
      <w:pPr>
        <w:tabs>
          <w:tab w:val="left" w:pos="400"/>
        </w:tabs>
        <w:bidi w:val="0"/>
        <w:jc w:val="left"/>
        <w:rPr>
          <w:rFonts w:hint="eastAsia" w:eastAsia="宋体"/>
          <w:sz w:val="30"/>
          <w:szCs w:val="30"/>
          <w:lang w:eastAsia="zh-CN"/>
        </w:rPr>
      </w:pPr>
    </w:p>
    <w:p w14:paraId="35C49C17">
      <w:pPr>
        <w:tabs>
          <w:tab w:val="left" w:pos="400"/>
        </w:tabs>
        <w:bidi w:val="0"/>
        <w:jc w:val="left"/>
        <w:rPr>
          <w:rFonts w:hint="eastAsia" w:eastAsia="宋体"/>
          <w:sz w:val="30"/>
          <w:szCs w:val="30"/>
          <w:lang w:eastAsia="zh-CN"/>
        </w:rPr>
      </w:pPr>
      <w:r>
        <w:rPr>
          <w:rFonts w:hint="eastAsia" w:eastAsia="宋体"/>
          <w:sz w:val="30"/>
          <w:szCs w:val="30"/>
          <w:lang w:eastAsia="zh-CN"/>
        </w:rPr>
        <w:t>And is not the gift of such light an integral part of his redemptive work in the world?</w:t>
      </w:r>
    </w:p>
    <w:p w14:paraId="08BD421C">
      <w:pPr>
        <w:tabs>
          <w:tab w:val="left" w:pos="400"/>
        </w:tabs>
        <w:bidi w:val="0"/>
        <w:jc w:val="left"/>
        <w:rPr>
          <w:rFonts w:hint="eastAsia" w:eastAsia="宋体"/>
          <w:sz w:val="30"/>
          <w:szCs w:val="30"/>
          <w:lang w:eastAsia="zh-CN"/>
        </w:rPr>
      </w:pPr>
    </w:p>
    <w:p w14:paraId="6F9CAE4E">
      <w:pPr>
        <w:tabs>
          <w:tab w:val="left" w:pos="400"/>
        </w:tabs>
        <w:bidi w:val="0"/>
        <w:jc w:val="left"/>
        <w:rPr>
          <w:rFonts w:hint="eastAsia" w:eastAsia="宋体"/>
          <w:sz w:val="30"/>
          <w:szCs w:val="30"/>
          <w:lang w:eastAsia="zh-CN"/>
        </w:rPr>
      </w:pPr>
      <w:r>
        <w:rPr>
          <w:rFonts w:hint="eastAsia" w:eastAsia="宋体"/>
          <w:sz w:val="30"/>
          <w:szCs w:val="30"/>
          <w:lang w:eastAsia="zh-CN"/>
        </w:rPr>
        <w:t>并且赐下这样的光，不正是祂在世上救赎工作的一个组成部分吗？</w:t>
      </w:r>
    </w:p>
    <w:p w14:paraId="3876D1CE">
      <w:pPr>
        <w:tabs>
          <w:tab w:val="left" w:pos="400"/>
        </w:tabs>
        <w:bidi w:val="0"/>
        <w:jc w:val="left"/>
        <w:rPr>
          <w:rFonts w:hint="eastAsia" w:eastAsia="宋体"/>
          <w:sz w:val="30"/>
          <w:szCs w:val="30"/>
          <w:lang w:eastAsia="zh-CN"/>
        </w:rPr>
      </w:pPr>
    </w:p>
    <w:p w14:paraId="2F37C1D7">
      <w:pPr>
        <w:tabs>
          <w:tab w:val="left" w:pos="400"/>
        </w:tabs>
        <w:bidi w:val="0"/>
        <w:jc w:val="left"/>
        <w:rPr>
          <w:rFonts w:hint="eastAsia" w:eastAsia="宋体"/>
          <w:sz w:val="30"/>
          <w:szCs w:val="30"/>
          <w:lang w:eastAsia="zh-CN"/>
        </w:rPr>
      </w:pPr>
      <w:r>
        <w:rPr>
          <w:rFonts w:hint="eastAsia" w:eastAsia="宋体"/>
          <w:sz w:val="30"/>
          <w:szCs w:val="30"/>
          <w:lang w:eastAsia="zh-CN"/>
        </w:rPr>
        <w:t>Therefore, because God loved and desired to honor his Son, he also chose to make him the appointed vessel through whom he would complete his special revelation to the world.</w:t>
      </w:r>
    </w:p>
    <w:p w14:paraId="4F66B7CE">
      <w:pPr>
        <w:tabs>
          <w:tab w:val="left" w:pos="400"/>
        </w:tabs>
        <w:bidi w:val="0"/>
        <w:jc w:val="left"/>
        <w:rPr>
          <w:rFonts w:hint="eastAsia" w:eastAsia="宋体"/>
          <w:sz w:val="30"/>
          <w:szCs w:val="30"/>
          <w:lang w:eastAsia="zh-CN"/>
        </w:rPr>
      </w:pPr>
    </w:p>
    <w:p w14:paraId="5EF92B0B">
      <w:pPr>
        <w:tabs>
          <w:tab w:val="left" w:pos="400"/>
        </w:tabs>
        <w:bidi w:val="0"/>
        <w:jc w:val="left"/>
        <w:rPr>
          <w:rFonts w:hint="eastAsia" w:eastAsia="宋体"/>
          <w:sz w:val="30"/>
          <w:szCs w:val="30"/>
          <w:lang w:eastAsia="zh-CN"/>
        </w:rPr>
      </w:pPr>
      <w:r>
        <w:rPr>
          <w:rFonts w:hint="eastAsia" w:eastAsia="宋体"/>
          <w:sz w:val="30"/>
          <w:szCs w:val="30"/>
          <w:lang w:eastAsia="zh-CN"/>
        </w:rPr>
        <w:t>因此，因为神爱并渴望荣耀祂的儿子，祂也拣选使祂成为指定的器皿，借着祂，祂将完成祂对世界的特殊启示。</w:t>
      </w:r>
    </w:p>
    <w:p w14:paraId="091DF0EF">
      <w:pPr>
        <w:tabs>
          <w:tab w:val="left" w:pos="400"/>
        </w:tabs>
        <w:bidi w:val="0"/>
        <w:jc w:val="left"/>
        <w:rPr>
          <w:rFonts w:hint="eastAsia" w:eastAsia="宋体"/>
          <w:sz w:val="30"/>
          <w:szCs w:val="30"/>
          <w:lang w:eastAsia="zh-CN"/>
        </w:rPr>
      </w:pPr>
    </w:p>
    <w:p w14:paraId="00DB3B93">
      <w:pPr>
        <w:tabs>
          <w:tab w:val="left" w:pos="400"/>
        </w:tabs>
        <w:bidi w:val="0"/>
        <w:jc w:val="left"/>
        <w:rPr>
          <w:rFonts w:hint="eastAsia" w:eastAsia="宋体"/>
          <w:sz w:val="30"/>
          <w:szCs w:val="30"/>
          <w:lang w:eastAsia="zh-CN"/>
        </w:rPr>
      </w:pPr>
      <w:r>
        <w:rPr>
          <w:rFonts w:hint="eastAsia" w:eastAsia="宋体"/>
          <w:sz w:val="30"/>
          <w:szCs w:val="30"/>
          <w:lang w:eastAsia="zh-CN"/>
        </w:rPr>
        <w:t>The NT makes it abundantly clear how lavishly the Father did so.</w:t>
      </w:r>
    </w:p>
    <w:p w14:paraId="11AECDFB">
      <w:pPr>
        <w:tabs>
          <w:tab w:val="left" w:pos="400"/>
        </w:tabs>
        <w:bidi w:val="0"/>
        <w:jc w:val="left"/>
        <w:rPr>
          <w:rFonts w:hint="eastAsia" w:eastAsia="宋体"/>
          <w:sz w:val="30"/>
          <w:szCs w:val="30"/>
          <w:lang w:eastAsia="zh-CN"/>
        </w:rPr>
      </w:pPr>
    </w:p>
    <w:p w14:paraId="6086B993">
      <w:pPr>
        <w:tabs>
          <w:tab w:val="left" w:pos="400"/>
        </w:tabs>
        <w:bidi w:val="0"/>
        <w:jc w:val="left"/>
        <w:rPr>
          <w:rFonts w:hint="eastAsia" w:eastAsia="宋体"/>
          <w:sz w:val="30"/>
          <w:szCs w:val="30"/>
          <w:lang w:eastAsia="zh-CN"/>
        </w:rPr>
      </w:pPr>
      <w:r>
        <w:rPr>
          <w:rFonts w:hint="eastAsia" w:eastAsia="宋体"/>
          <w:sz w:val="30"/>
          <w:szCs w:val="30"/>
          <w:lang w:eastAsia="zh-CN"/>
        </w:rPr>
        <w:t>新约非常清楚地表明了父是何等丰厚地这样做了。</w:t>
      </w:r>
    </w:p>
    <w:p w14:paraId="148AD37B">
      <w:pPr>
        <w:tabs>
          <w:tab w:val="left" w:pos="400"/>
        </w:tabs>
        <w:bidi w:val="0"/>
        <w:jc w:val="left"/>
        <w:rPr>
          <w:rFonts w:hint="eastAsia" w:eastAsia="宋体"/>
          <w:sz w:val="30"/>
          <w:szCs w:val="30"/>
          <w:lang w:eastAsia="zh-CN"/>
        </w:rPr>
      </w:pPr>
    </w:p>
    <w:p w14:paraId="13256F56">
      <w:pPr>
        <w:tabs>
          <w:tab w:val="left" w:pos="400"/>
        </w:tabs>
        <w:bidi w:val="0"/>
        <w:jc w:val="left"/>
        <w:rPr>
          <w:rFonts w:hint="eastAsia" w:eastAsia="宋体"/>
          <w:sz w:val="30"/>
          <w:szCs w:val="30"/>
          <w:lang w:eastAsia="zh-CN"/>
        </w:rPr>
      </w:pPr>
      <w:r>
        <w:rPr>
          <w:rFonts w:hint="eastAsia" w:eastAsia="宋体"/>
          <w:sz w:val="30"/>
          <w:szCs w:val="30"/>
          <w:lang w:eastAsia="zh-CN"/>
        </w:rPr>
        <w:t>Jesus Christ is the Messianic Prophet whom God promised to send into the world (Deut. 18:15, Acts 3:22ff).</w:t>
      </w:r>
    </w:p>
    <w:p w14:paraId="3C8CF3FB">
      <w:pPr>
        <w:tabs>
          <w:tab w:val="left" w:pos="400"/>
        </w:tabs>
        <w:bidi w:val="0"/>
        <w:jc w:val="left"/>
        <w:rPr>
          <w:rFonts w:hint="eastAsia" w:eastAsia="宋体"/>
          <w:sz w:val="30"/>
          <w:szCs w:val="30"/>
          <w:lang w:eastAsia="zh-CN"/>
        </w:rPr>
      </w:pPr>
    </w:p>
    <w:p w14:paraId="33420E26">
      <w:pPr>
        <w:tabs>
          <w:tab w:val="left" w:pos="400"/>
        </w:tabs>
        <w:bidi w:val="0"/>
        <w:jc w:val="left"/>
        <w:rPr>
          <w:rFonts w:hint="eastAsia" w:eastAsia="宋体"/>
          <w:sz w:val="30"/>
          <w:szCs w:val="30"/>
          <w:lang w:eastAsia="zh-CN"/>
        </w:rPr>
      </w:pPr>
      <w:r>
        <w:rPr>
          <w:rFonts w:hint="eastAsia" w:eastAsia="宋体"/>
          <w:sz w:val="30"/>
          <w:szCs w:val="30"/>
          <w:lang w:eastAsia="zh-CN"/>
        </w:rPr>
        <w:t>耶稣基督是神应许要差到世间来的那弥赛亚申言者（申 18:15, 徒 3:22及以下）。</w:t>
      </w:r>
    </w:p>
    <w:p w14:paraId="7107347A">
      <w:pPr>
        <w:tabs>
          <w:tab w:val="left" w:pos="400"/>
        </w:tabs>
        <w:bidi w:val="0"/>
        <w:jc w:val="left"/>
        <w:rPr>
          <w:rFonts w:hint="eastAsia" w:eastAsia="宋体"/>
          <w:sz w:val="30"/>
          <w:szCs w:val="30"/>
          <w:lang w:eastAsia="zh-CN"/>
        </w:rPr>
      </w:pPr>
    </w:p>
    <w:p w14:paraId="51673B5C">
      <w:pPr>
        <w:tabs>
          <w:tab w:val="left" w:pos="400"/>
        </w:tabs>
        <w:bidi w:val="0"/>
        <w:jc w:val="left"/>
        <w:rPr>
          <w:rFonts w:hint="eastAsia" w:eastAsia="宋体"/>
          <w:sz w:val="30"/>
          <w:szCs w:val="30"/>
          <w:lang w:eastAsia="zh-CN"/>
        </w:rPr>
      </w:pPr>
      <w:r>
        <w:rPr>
          <w:rFonts w:hint="eastAsia" w:eastAsia="宋体"/>
          <w:sz w:val="30"/>
          <w:szCs w:val="30"/>
          <w:lang w:eastAsia="zh-CN"/>
        </w:rPr>
        <w:t>He bids his disciples call him Teacher (John 13:13), and forbids them ever to look to another (Mt. 23:10).</w:t>
      </w:r>
    </w:p>
    <w:p w14:paraId="4C646A33">
      <w:pPr>
        <w:tabs>
          <w:tab w:val="left" w:pos="400"/>
        </w:tabs>
        <w:bidi w:val="0"/>
        <w:jc w:val="left"/>
        <w:rPr>
          <w:rFonts w:hint="eastAsia" w:eastAsia="宋体"/>
          <w:sz w:val="30"/>
          <w:szCs w:val="30"/>
          <w:lang w:eastAsia="zh-CN"/>
        </w:rPr>
      </w:pPr>
    </w:p>
    <w:p w14:paraId="3666D518">
      <w:pPr>
        <w:tabs>
          <w:tab w:val="left" w:pos="400"/>
        </w:tabs>
        <w:bidi w:val="0"/>
        <w:jc w:val="left"/>
        <w:rPr>
          <w:rFonts w:hint="eastAsia" w:eastAsia="宋体"/>
          <w:sz w:val="30"/>
          <w:szCs w:val="30"/>
          <w:lang w:eastAsia="zh-CN"/>
        </w:rPr>
      </w:pPr>
      <w:r>
        <w:rPr>
          <w:rFonts w:hint="eastAsia" w:eastAsia="宋体"/>
          <w:sz w:val="30"/>
          <w:szCs w:val="30"/>
          <w:lang w:eastAsia="zh-CN"/>
        </w:rPr>
        <w:t>祂吩咐祂的门徒称祂为夫子（约 13:13），并禁止他们寻求别的人（太 23:10）。</w:t>
      </w:r>
    </w:p>
    <w:p w14:paraId="4C01FD25">
      <w:pPr>
        <w:tabs>
          <w:tab w:val="left" w:pos="400"/>
        </w:tabs>
        <w:bidi w:val="0"/>
        <w:jc w:val="left"/>
        <w:rPr>
          <w:rFonts w:hint="eastAsia" w:eastAsia="宋体"/>
          <w:sz w:val="30"/>
          <w:szCs w:val="30"/>
          <w:lang w:eastAsia="zh-CN"/>
        </w:rPr>
      </w:pPr>
    </w:p>
    <w:p w14:paraId="34787133">
      <w:pPr>
        <w:tabs>
          <w:tab w:val="left" w:pos="400"/>
        </w:tabs>
        <w:bidi w:val="0"/>
        <w:jc w:val="left"/>
        <w:rPr>
          <w:rFonts w:hint="eastAsia" w:eastAsia="宋体"/>
          <w:sz w:val="30"/>
          <w:szCs w:val="30"/>
          <w:lang w:eastAsia="zh-CN"/>
        </w:rPr>
      </w:pPr>
      <w:r>
        <w:rPr>
          <w:rFonts w:hint="eastAsia" w:eastAsia="宋体"/>
          <w:sz w:val="30"/>
          <w:szCs w:val="30"/>
          <w:lang w:eastAsia="zh-CN"/>
        </w:rPr>
        <w:t>He speaks as one having authority, and not as the scribes.</w:t>
      </w:r>
    </w:p>
    <w:p w14:paraId="4D8F025F">
      <w:pPr>
        <w:tabs>
          <w:tab w:val="left" w:pos="400"/>
        </w:tabs>
        <w:bidi w:val="0"/>
        <w:jc w:val="left"/>
        <w:rPr>
          <w:rFonts w:hint="eastAsia" w:eastAsia="宋体"/>
          <w:sz w:val="30"/>
          <w:szCs w:val="30"/>
          <w:lang w:eastAsia="zh-CN"/>
        </w:rPr>
      </w:pPr>
    </w:p>
    <w:p w14:paraId="50F273E5">
      <w:pPr>
        <w:tabs>
          <w:tab w:val="left" w:pos="400"/>
        </w:tabs>
        <w:bidi w:val="0"/>
        <w:jc w:val="left"/>
        <w:rPr>
          <w:rFonts w:hint="eastAsia" w:eastAsia="宋体"/>
          <w:sz w:val="30"/>
          <w:szCs w:val="30"/>
          <w:lang w:eastAsia="zh-CN"/>
        </w:rPr>
      </w:pPr>
      <w:r>
        <w:rPr>
          <w:rFonts w:hint="eastAsia" w:eastAsia="宋体"/>
          <w:sz w:val="30"/>
          <w:szCs w:val="30"/>
          <w:lang w:eastAsia="zh-CN"/>
        </w:rPr>
        <w:t>祂说话，像有权柄的，不像文士。（可 1:22）。</w:t>
      </w:r>
    </w:p>
    <w:p w14:paraId="5F080BEF">
      <w:pPr>
        <w:tabs>
          <w:tab w:val="left" w:pos="400"/>
        </w:tabs>
        <w:bidi w:val="0"/>
        <w:jc w:val="left"/>
        <w:rPr>
          <w:rFonts w:hint="eastAsia" w:eastAsia="宋体"/>
          <w:sz w:val="30"/>
          <w:szCs w:val="30"/>
          <w:lang w:eastAsia="zh-CN"/>
        </w:rPr>
      </w:pPr>
    </w:p>
    <w:p w14:paraId="02CA4271">
      <w:pPr>
        <w:tabs>
          <w:tab w:val="left" w:pos="400"/>
        </w:tabs>
        <w:bidi w:val="0"/>
        <w:jc w:val="left"/>
        <w:rPr>
          <w:rFonts w:hint="eastAsia" w:eastAsia="宋体"/>
          <w:sz w:val="30"/>
          <w:szCs w:val="30"/>
          <w:lang w:eastAsia="zh-CN"/>
        </w:rPr>
      </w:pPr>
      <w:r>
        <w:rPr>
          <w:rFonts w:hint="eastAsia" w:eastAsia="宋体"/>
          <w:sz w:val="30"/>
          <w:szCs w:val="30"/>
          <w:lang w:eastAsia="zh-CN"/>
        </w:rPr>
        <w:t>(Mark 1:22).</w:t>
      </w:r>
    </w:p>
    <w:p w14:paraId="7A3F7319">
      <w:pPr>
        <w:tabs>
          <w:tab w:val="left" w:pos="400"/>
        </w:tabs>
        <w:bidi w:val="0"/>
        <w:jc w:val="left"/>
        <w:rPr>
          <w:rFonts w:hint="eastAsia" w:eastAsia="宋体"/>
          <w:sz w:val="30"/>
          <w:szCs w:val="30"/>
          <w:lang w:eastAsia="zh-CN"/>
        </w:rPr>
      </w:pPr>
    </w:p>
    <w:p w14:paraId="4C44B833">
      <w:pPr>
        <w:tabs>
          <w:tab w:val="left" w:pos="400"/>
        </w:tabs>
        <w:bidi w:val="0"/>
        <w:jc w:val="left"/>
        <w:rPr>
          <w:rFonts w:hint="eastAsia" w:eastAsia="宋体"/>
          <w:sz w:val="30"/>
          <w:szCs w:val="30"/>
          <w:lang w:eastAsia="zh-CN"/>
        </w:rPr>
      </w:pPr>
      <w:r>
        <w:rPr>
          <w:rFonts w:hint="eastAsia" w:eastAsia="宋体"/>
          <w:sz w:val="30"/>
          <w:szCs w:val="30"/>
          <w:lang w:eastAsia="zh-CN"/>
        </w:rPr>
        <w:t>（马可福音 1:22）。</w:t>
      </w:r>
    </w:p>
    <w:p w14:paraId="432660F2">
      <w:pPr>
        <w:tabs>
          <w:tab w:val="left" w:pos="400"/>
        </w:tabs>
        <w:bidi w:val="0"/>
        <w:jc w:val="left"/>
        <w:rPr>
          <w:rFonts w:hint="eastAsia" w:eastAsia="宋体"/>
          <w:sz w:val="30"/>
          <w:szCs w:val="30"/>
          <w:lang w:eastAsia="zh-CN"/>
        </w:rPr>
      </w:pPr>
    </w:p>
    <w:p w14:paraId="1378E21B">
      <w:pPr>
        <w:tabs>
          <w:tab w:val="left" w:pos="400"/>
        </w:tabs>
        <w:bidi w:val="0"/>
        <w:jc w:val="left"/>
        <w:rPr>
          <w:rFonts w:hint="eastAsia" w:eastAsia="宋体"/>
          <w:sz w:val="30"/>
          <w:szCs w:val="30"/>
          <w:lang w:eastAsia="zh-CN"/>
        </w:rPr>
      </w:pPr>
      <w:r>
        <w:rPr>
          <w:rFonts w:hint="eastAsia" w:eastAsia="宋体"/>
          <w:sz w:val="30"/>
          <w:szCs w:val="30"/>
          <w:lang w:eastAsia="zh-CN"/>
        </w:rPr>
        <w:t>Indeed, no man ever spoke like this man (John 7:46), for his word is with power (Luke 4:36).</w:t>
      </w:r>
    </w:p>
    <w:p w14:paraId="5C4D862E">
      <w:pPr>
        <w:tabs>
          <w:tab w:val="left" w:pos="400"/>
        </w:tabs>
        <w:bidi w:val="0"/>
        <w:jc w:val="left"/>
        <w:rPr>
          <w:rFonts w:hint="eastAsia" w:eastAsia="宋体"/>
          <w:sz w:val="30"/>
          <w:szCs w:val="30"/>
          <w:lang w:eastAsia="zh-CN"/>
        </w:rPr>
      </w:pPr>
    </w:p>
    <w:p w14:paraId="4D2BD986">
      <w:pPr>
        <w:tabs>
          <w:tab w:val="left" w:pos="400"/>
        </w:tabs>
        <w:bidi w:val="0"/>
        <w:jc w:val="left"/>
        <w:rPr>
          <w:rFonts w:hint="eastAsia" w:eastAsia="宋体"/>
          <w:sz w:val="30"/>
          <w:szCs w:val="30"/>
          <w:lang w:eastAsia="zh-CN"/>
        </w:rPr>
      </w:pPr>
      <w:r>
        <w:rPr>
          <w:rFonts w:hint="eastAsia" w:eastAsia="宋体"/>
          <w:sz w:val="30"/>
          <w:szCs w:val="30"/>
          <w:lang w:eastAsia="zh-CN"/>
        </w:rPr>
        <w:t>的确，从来没有像这个人这样说话的（约 7:46），因为祂的话带着能力（路 4:36）。</w:t>
      </w:r>
    </w:p>
    <w:p w14:paraId="6A5E9D2A">
      <w:pPr>
        <w:tabs>
          <w:tab w:val="left" w:pos="400"/>
        </w:tabs>
        <w:bidi w:val="0"/>
        <w:jc w:val="left"/>
        <w:rPr>
          <w:rFonts w:hint="eastAsia" w:eastAsia="宋体"/>
          <w:sz w:val="30"/>
          <w:szCs w:val="30"/>
          <w:lang w:eastAsia="zh-CN"/>
        </w:rPr>
      </w:pPr>
    </w:p>
    <w:p w14:paraId="5EF3FE1D">
      <w:pPr>
        <w:tabs>
          <w:tab w:val="left" w:pos="400"/>
        </w:tabs>
        <w:bidi w:val="0"/>
        <w:jc w:val="left"/>
        <w:rPr>
          <w:rFonts w:hint="eastAsia" w:eastAsia="宋体"/>
          <w:sz w:val="30"/>
          <w:szCs w:val="30"/>
          <w:lang w:eastAsia="zh-CN"/>
        </w:rPr>
      </w:pPr>
      <w:r>
        <w:rPr>
          <w:rFonts w:hint="eastAsia" w:eastAsia="宋体"/>
          <w:sz w:val="30"/>
          <w:szCs w:val="30"/>
          <w:lang w:eastAsia="zh-CN"/>
        </w:rPr>
        <w:t>He is not only the Teacher (of the teachers) of Israel (John 3:10, 13:13, Acts 3:22), but also a light of revelation to the Gentiles (Luke 2:32; cf., Isaiah 49:6, Mt. 4:16, John 8:12).</w:t>
      </w:r>
    </w:p>
    <w:p w14:paraId="0E55FCBE">
      <w:pPr>
        <w:tabs>
          <w:tab w:val="left" w:pos="400"/>
        </w:tabs>
        <w:bidi w:val="0"/>
        <w:jc w:val="left"/>
        <w:rPr>
          <w:rFonts w:hint="eastAsia" w:eastAsia="宋体"/>
          <w:sz w:val="30"/>
          <w:szCs w:val="30"/>
          <w:lang w:eastAsia="zh-CN"/>
        </w:rPr>
      </w:pPr>
    </w:p>
    <w:p w14:paraId="035C6901">
      <w:pPr>
        <w:tabs>
          <w:tab w:val="left" w:pos="400"/>
        </w:tabs>
        <w:bidi w:val="0"/>
        <w:jc w:val="left"/>
        <w:rPr>
          <w:rFonts w:hint="eastAsia" w:eastAsia="宋体"/>
          <w:sz w:val="30"/>
          <w:szCs w:val="30"/>
          <w:lang w:eastAsia="zh-CN"/>
        </w:rPr>
      </w:pPr>
      <w:r>
        <w:rPr>
          <w:rFonts w:hint="eastAsia" w:eastAsia="宋体"/>
          <w:sz w:val="30"/>
          <w:szCs w:val="30"/>
          <w:lang w:eastAsia="zh-CN"/>
        </w:rPr>
        <w:t>祂不仅是以色列的教师（的教师）（约 3:10, 13:13, 徒 3:22），也是照亮外邦人的启示之光（路 2:32；参，赛 49:6, 太 4:16, 约 8:12）。</w:t>
      </w:r>
    </w:p>
    <w:p w14:paraId="5C6F338E">
      <w:pPr>
        <w:tabs>
          <w:tab w:val="left" w:pos="400"/>
        </w:tabs>
        <w:bidi w:val="0"/>
        <w:jc w:val="left"/>
        <w:rPr>
          <w:rFonts w:hint="eastAsia" w:eastAsia="宋体"/>
          <w:sz w:val="30"/>
          <w:szCs w:val="30"/>
          <w:lang w:eastAsia="zh-CN"/>
        </w:rPr>
      </w:pPr>
    </w:p>
    <w:p w14:paraId="1BDDA8B5">
      <w:pPr>
        <w:tabs>
          <w:tab w:val="left" w:pos="400"/>
        </w:tabs>
        <w:bidi w:val="0"/>
        <w:jc w:val="left"/>
        <w:rPr>
          <w:rFonts w:hint="eastAsia" w:eastAsia="宋体"/>
          <w:sz w:val="30"/>
          <w:szCs w:val="30"/>
          <w:lang w:eastAsia="zh-CN"/>
        </w:rPr>
      </w:pPr>
      <w:r>
        <w:rPr>
          <w:rFonts w:hint="eastAsia" w:eastAsia="宋体"/>
          <w:sz w:val="30"/>
          <w:szCs w:val="30"/>
          <w:lang w:eastAsia="zh-CN"/>
        </w:rPr>
        <w:t>He is the one who makes known all the things that he has heard from the Father (John 14.26, 15:15, 16:25ff).</w:t>
      </w:r>
    </w:p>
    <w:p w14:paraId="72FAB460">
      <w:pPr>
        <w:tabs>
          <w:tab w:val="left" w:pos="400"/>
        </w:tabs>
        <w:bidi w:val="0"/>
        <w:jc w:val="left"/>
        <w:rPr>
          <w:rFonts w:hint="eastAsia" w:eastAsia="宋体"/>
          <w:sz w:val="30"/>
          <w:szCs w:val="30"/>
          <w:lang w:eastAsia="zh-CN"/>
        </w:rPr>
      </w:pPr>
    </w:p>
    <w:p w14:paraId="35B5987E">
      <w:pPr>
        <w:tabs>
          <w:tab w:val="left" w:pos="400"/>
        </w:tabs>
        <w:bidi w:val="0"/>
        <w:jc w:val="left"/>
        <w:rPr>
          <w:rFonts w:hint="eastAsia" w:eastAsia="宋体"/>
          <w:sz w:val="30"/>
          <w:szCs w:val="30"/>
          <w:lang w:eastAsia="zh-CN"/>
        </w:rPr>
      </w:pPr>
      <w:r>
        <w:rPr>
          <w:rFonts w:hint="eastAsia" w:eastAsia="宋体"/>
          <w:sz w:val="30"/>
          <w:szCs w:val="30"/>
          <w:lang w:eastAsia="zh-CN"/>
        </w:rPr>
        <w:t>祂是将祂从父所听见的一切事都显明出来的那一位（约 14:26, 15:15, 16:25及以下）。</w:t>
      </w:r>
    </w:p>
    <w:p w14:paraId="07F94F62">
      <w:pPr>
        <w:tabs>
          <w:tab w:val="left" w:pos="400"/>
        </w:tabs>
        <w:bidi w:val="0"/>
        <w:jc w:val="left"/>
        <w:rPr>
          <w:rFonts w:hint="eastAsia" w:eastAsia="宋体"/>
          <w:sz w:val="30"/>
          <w:szCs w:val="30"/>
          <w:lang w:eastAsia="zh-CN"/>
        </w:rPr>
      </w:pPr>
    </w:p>
    <w:p w14:paraId="62619E7F">
      <w:pPr>
        <w:tabs>
          <w:tab w:val="left" w:pos="400"/>
        </w:tabs>
        <w:bidi w:val="0"/>
        <w:jc w:val="left"/>
        <w:rPr>
          <w:rFonts w:hint="eastAsia" w:eastAsia="宋体"/>
          <w:sz w:val="30"/>
          <w:szCs w:val="30"/>
          <w:lang w:eastAsia="zh-CN"/>
        </w:rPr>
      </w:pPr>
      <w:r>
        <w:rPr>
          <w:rFonts w:hint="eastAsia" w:eastAsia="宋体"/>
          <w:sz w:val="30"/>
          <w:szCs w:val="30"/>
          <w:lang w:eastAsia="zh-CN"/>
        </w:rPr>
        <w:t>Henceforth, his words are the abiding rock upon which alone people everywhere may safely build their lives (Mt. 7:24-29).</w:t>
      </w:r>
    </w:p>
    <w:p w14:paraId="69583277">
      <w:pPr>
        <w:tabs>
          <w:tab w:val="left" w:pos="400"/>
        </w:tabs>
        <w:bidi w:val="0"/>
        <w:jc w:val="left"/>
        <w:rPr>
          <w:rFonts w:hint="eastAsia" w:eastAsia="宋体"/>
          <w:sz w:val="30"/>
          <w:szCs w:val="30"/>
          <w:lang w:eastAsia="zh-CN"/>
        </w:rPr>
      </w:pPr>
    </w:p>
    <w:p w14:paraId="09C5486D">
      <w:pPr>
        <w:tabs>
          <w:tab w:val="left" w:pos="400"/>
        </w:tabs>
        <w:bidi w:val="0"/>
        <w:jc w:val="left"/>
        <w:rPr>
          <w:rFonts w:hint="eastAsia" w:eastAsia="宋体"/>
          <w:sz w:val="30"/>
          <w:szCs w:val="30"/>
          <w:lang w:eastAsia="zh-CN"/>
        </w:rPr>
      </w:pPr>
      <w:r>
        <w:rPr>
          <w:rFonts w:hint="eastAsia" w:eastAsia="宋体"/>
          <w:sz w:val="30"/>
          <w:szCs w:val="30"/>
          <w:lang w:eastAsia="zh-CN"/>
        </w:rPr>
        <w:t>从此以后，祂的话是长存的磐石，惟有在其上，各处的人才能安全地建立他们的生命（太 7:24-29）。</w:t>
      </w:r>
    </w:p>
    <w:p w14:paraId="46F2EF38">
      <w:pPr>
        <w:tabs>
          <w:tab w:val="left" w:pos="400"/>
        </w:tabs>
        <w:bidi w:val="0"/>
        <w:jc w:val="left"/>
        <w:rPr>
          <w:rFonts w:hint="eastAsia" w:eastAsia="宋体"/>
          <w:sz w:val="30"/>
          <w:szCs w:val="30"/>
          <w:lang w:eastAsia="zh-CN"/>
        </w:rPr>
      </w:pPr>
    </w:p>
    <w:p w14:paraId="630AF5A2">
      <w:pPr>
        <w:tabs>
          <w:tab w:val="left" w:pos="400"/>
        </w:tabs>
        <w:bidi w:val="0"/>
        <w:jc w:val="left"/>
        <w:rPr>
          <w:rFonts w:hint="eastAsia" w:eastAsia="宋体"/>
          <w:sz w:val="30"/>
          <w:szCs w:val="30"/>
          <w:lang w:eastAsia="zh-CN"/>
        </w:rPr>
      </w:pPr>
      <w:r>
        <w:rPr>
          <w:rFonts w:hint="eastAsia" w:eastAsia="宋体"/>
          <w:sz w:val="30"/>
          <w:szCs w:val="30"/>
          <w:lang w:eastAsia="zh-CN"/>
        </w:rPr>
        <w:t>Therefore those words shall remain, even until the end of the age, when at last they shall become the judge of all (Mt. 28:18ff, John 12:48).</w:t>
      </w:r>
    </w:p>
    <w:p w14:paraId="73695EBF">
      <w:pPr>
        <w:tabs>
          <w:tab w:val="left" w:pos="400"/>
        </w:tabs>
        <w:bidi w:val="0"/>
        <w:jc w:val="left"/>
        <w:rPr>
          <w:rFonts w:hint="eastAsia" w:eastAsia="宋体"/>
          <w:sz w:val="30"/>
          <w:szCs w:val="30"/>
          <w:lang w:eastAsia="zh-CN"/>
        </w:rPr>
      </w:pPr>
    </w:p>
    <w:p w14:paraId="052485B8">
      <w:pPr>
        <w:tabs>
          <w:tab w:val="left" w:pos="400"/>
        </w:tabs>
        <w:bidi w:val="0"/>
        <w:jc w:val="left"/>
        <w:rPr>
          <w:rFonts w:hint="eastAsia" w:eastAsia="宋体"/>
          <w:sz w:val="30"/>
          <w:szCs w:val="30"/>
          <w:lang w:eastAsia="zh-CN"/>
        </w:rPr>
      </w:pPr>
      <w:r>
        <w:rPr>
          <w:rFonts w:hint="eastAsia" w:eastAsia="宋体"/>
          <w:sz w:val="30"/>
          <w:szCs w:val="30"/>
          <w:lang w:eastAsia="zh-CN"/>
        </w:rPr>
        <w:t>因此那些话将要存留，直到这世代的末了，那时它们最终将成为审判万人的标准（太 28:18及以下, 约 12:48）。</w:t>
      </w:r>
    </w:p>
    <w:p w14:paraId="308F86E7">
      <w:pPr>
        <w:tabs>
          <w:tab w:val="left" w:pos="400"/>
        </w:tabs>
        <w:bidi w:val="0"/>
        <w:jc w:val="left"/>
        <w:rPr>
          <w:rFonts w:hint="eastAsia" w:eastAsia="宋体"/>
          <w:sz w:val="30"/>
          <w:szCs w:val="30"/>
          <w:lang w:eastAsia="zh-CN"/>
        </w:rPr>
      </w:pPr>
    </w:p>
    <w:p w14:paraId="3CBA5658">
      <w:pPr>
        <w:tabs>
          <w:tab w:val="left" w:pos="400"/>
        </w:tabs>
        <w:bidi w:val="0"/>
        <w:jc w:val="left"/>
        <w:rPr>
          <w:rFonts w:hint="eastAsia" w:eastAsia="宋体"/>
          <w:sz w:val="30"/>
          <w:szCs w:val="30"/>
          <w:lang w:eastAsia="zh-CN"/>
        </w:rPr>
      </w:pPr>
      <w:r>
        <w:rPr>
          <w:rFonts w:hint="eastAsia" w:eastAsia="宋体"/>
          <w:sz w:val="30"/>
          <w:szCs w:val="30"/>
          <w:lang w:eastAsia="zh-CN"/>
        </w:rPr>
        <w:t>Shall we not hear such words?</w:t>
      </w:r>
    </w:p>
    <w:p w14:paraId="1E8BF961">
      <w:pPr>
        <w:tabs>
          <w:tab w:val="left" w:pos="400"/>
        </w:tabs>
        <w:bidi w:val="0"/>
        <w:jc w:val="left"/>
        <w:rPr>
          <w:rFonts w:hint="eastAsia" w:eastAsia="宋体"/>
          <w:sz w:val="30"/>
          <w:szCs w:val="30"/>
          <w:lang w:eastAsia="zh-CN"/>
        </w:rPr>
      </w:pPr>
    </w:p>
    <w:p w14:paraId="6BCC26D7">
      <w:pPr>
        <w:tabs>
          <w:tab w:val="left" w:pos="400"/>
        </w:tabs>
        <w:bidi w:val="0"/>
        <w:jc w:val="left"/>
        <w:rPr>
          <w:rFonts w:hint="eastAsia" w:eastAsia="宋体"/>
          <w:sz w:val="30"/>
          <w:szCs w:val="30"/>
          <w:lang w:eastAsia="zh-CN"/>
        </w:rPr>
      </w:pPr>
      <w:r>
        <w:rPr>
          <w:rFonts w:hint="eastAsia" w:eastAsia="宋体"/>
          <w:sz w:val="30"/>
          <w:szCs w:val="30"/>
          <w:lang w:eastAsia="zh-CN"/>
        </w:rPr>
        <w:t>我们岂不当听这样的话吗？</w:t>
      </w:r>
    </w:p>
    <w:p w14:paraId="3AE5DF7E">
      <w:pPr>
        <w:tabs>
          <w:tab w:val="left" w:pos="400"/>
        </w:tabs>
        <w:bidi w:val="0"/>
        <w:jc w:val="left"/>
        <w:rPr>
          <w:rFonts w:hint="eastAsia" w:eastAsia="宋体"/>
          <w:sz w:val="30"/>
          <w:szCs w:val="30"/>
          <w:lang w:eastAsia="zh-CN"/>
        </w:rPr>
      </w:pPr>
    </w:p>
    <w:p w14:paraId="3E389889">
      <w:pPr>
        <w:tabs>
          <w:tab w:val="left" w:pos="400"/>
        </w:tabs>
        <w:bidi w:val="0"/>
        <w:jc w:val="left"/>
        <w:rPr>
          <w:rFonts w:hint="eastAsia" w:eastAsia="宋体"/>
          <w:sz w:val="30"/>
          <w:szCs w:val="30"/>
          <w:lang w:eastAsia="zh-CN"/>
        </w:rPr>
      </w:pPr>
      <w:r>
        <w:rPr>
          <w:rFonts w:hint="eastAsia" w:eastAsia="宋体"/>
          <w:sz w:val="30"/>
          <w:szCs w:val="30"/>
          <w:lang w:eastAsia="zh-CN"/>
        </w:rPr>
        <w:t>Shall we not build our theology upon them?</w:t>
      </w:r>
    </w:p>
    <w:p w14:paraId="4C9E0054">
      <w:pPr>
        <w:tabs>
          <w:tab w:val="left" w:pos="400"/>
        </w:tabs>
        <w:bidi w:val="0"/>
        <w:jc w:val="left"/>
        <w:rPr>
          <w:rFonts w:hint="eastAsia" w:eastAsia="宋体"/>
          <w:sz w:val="30"/>
          <w:szCs w:val="30"/>
          <w:lang w:eastAsia="zh-CN"/>
        </w:rPr>
      </w:pPr>
    </w:p>
    <w:p w14:paraId="6500A4D7">
      <w:pPr>
        <w:tabs>
          <w:tab w:val="left" w:pos="400"/>
        </w:tabs>
        <w:bidi w:val="0"/>
        <w:jc w:val="left"/>
        <w:rPr>
          <w:rFonts w:hint="eastAsia" w:eastAsia="宋体"/>
          <w:sz w:val="30"/>
          <w:szCs w:val="30"/>
          <w:lang w:eastAsia="zh-CN"/>
        </w:rPr>
      </w:pPr>
      <w:r>
        <w:rPr>
          <w:rFonts w:hint="eastAsia" w:eastAsia="宋体"/>
          <w:sz w:val="30"/>
          <w:szCs w:val="30"/>
          <w:lang w:eastAsia="zh-CN"/>
        </w:rPr>
        <w:t>我们岂不当将我们的神学建立在其上吗？</w:t>
      </w:r>
    </w:p>
    <w:p w14:paraId="3F566E83">
      <w:pPr>
        <w:tabs>
          <w:tab w:val="left" w:pos="400"/>
        </w:tabs>
        <w:bidi w:val="0"/>
        <w:jc w:val="left"/>
        <w:rPr>
          <w:rFonts w:hint="eastAsia" w:eastAsia="宋体"/>
          <w:sz w:val="30"/>
          <w:szCs w:val="30"/>
          <w:lang w:eastAsia="zh-CN"/>
        </w:rPr>
      </w:pPr>
    </w:p>
    <w:p w14:paraId="72E40FD4">
      <w:pPr>
        <w:tabs>
          <w:tab w:val="left" w:pos="400"/>
        </w:tabs>
        <w:bidi w:val="0"/>
        <w:jc w:val="left"/>
        <w:rPr>
          <w:rFonts w:hint="eastAsia" w:eastAsia="宋体"/>
          <w:sz w:val="30"/>
          <w:szCs w:val="30"/>
          <w:lang w:eastAsia="zh-CN"/>
        </w:rPr>
      </w:pPr>
      <w:r>
        <w:rPr>
          <w:rFonts w:hint="eastAsia" w:eastAsia="宋体"/>
          <w:sz w:val="30"/>
          <w:szCs w:val="30"/>
          <w:lang w:eastAsia="zh-CN"/>
        </w:rPr>
        <w:t>And shall we not turn to them first and foremost in our search for eschatological truth?</w:t>
      </w:r>
    </w:p>
    <w:p w14:paraId="123DC607">
      <w:pPr>
        <w:tabs>
          <w:tab w:val="left" w:pos="400"/>
        </w:tabs>
        <w:bidi w:val="0"/>
        <w:jc w:val="left"/>
        <w:rPr>
          <w:rFonts w:hint="eastAsia" w:eastAsia="宋体"/>
          <w:sz w:val="30"/>
          <w:szCs w:val="30"/>
          <w:lang w:eastAsia="zh-CN"/>
        </w:rPr>
      </w:pPr>
    </w:p>
    <w:p w14:paraId="7290483F">
      <w:pPr>
        <w:tabs>
          <w:tab w:val="left" w:pos="400"/>
        </w:tabs>
        <w:bidi w:val="0"/>
        <w:jc w:val="left"/>
        <w:rPr>
          <w:rFonts w:hint="eastAsia" w:eastAsia="宋体"/>
          <w:sz w:val="30"/>
          <w:szCs w:val="30"/>
          <w:lang w:eastAsia="zh-CN"/>
        </w:rPr>
      </w:pPr>
      <w:r>
        <w:rPr>
          <w:rFonts w:hint="eastAsia" w:eastAsia="宋体"/>
          <w:sz w:val="30"/>
          <w:szCs w:val="30"/>
          <w:lang w:eastAsia="zh-CN"/>
        </w:rPr>
        <w:t>在寻求末世论真理时，我们岂不当首先且最主要地转向它们吗？</w:t>
      </w:r>
    </w:p>
    <w:p w14:paraId="56E956E0">
      <w:pPr>
        <w:tabs>
          <w:tab w:val="left" w:pos="400"/>
        </w:tabs>
        <w:bidi w:val="0"/>
        <w:jc w:val="left"/>
        <w:rPr>
          <w:rFonts w:hint="eastAsia" w:eastAsia="宋体"/>
          <w:sz w:val="30"/>
          <w:szCs w:val="30"/>
          <w:lang w:eastAsia="zh-CN"/>
        </w:rPr>
      </w:pPr>
    </w:p>
    <w:p w14:paraId="52FA045A">
      <w:pPr>
        <w:tabs>
          <w:tab w:val="left" w:pos="400"/>
        </w:tabs>
        <w:bidi w:val="0"/>
        <w:jc w:val="left"/>
        <w:rPr>
          <w:rFonts w:hint="eastAsia" w:eastAsia="宋体"/>
          <w:sz w:val="30"/>
          <w:szCs w:val="30"/>
          <w:lang w:eastAsia="zh-CN"/>
        </w:rPr>
      </w:pPr>
      <w:r>
        <w:rPr>
          <w:rFonts w:hint="eastAsia" w:eastAsia="宋体"/>
          <w:sz w:val="30"/>
          <w:szCs w:val="30"/>
          <w:lang w:eastAsia="zh-CN"/>
        </w:rPr>
        <w:t>How Did God Make His Revelation Progressive? (1)</w:t>
      </w:r>
    </w:p>
    <w:p w14:paraId="0A612C61">
      <w:pPr>
        <w:tabs>
          <w:tab w:val="left" w:pos="400"/>
        </w:tabs>
        <w:bidi w:val="0"/>
        <w:jc w:val="left"/>
        <w:rPr>
          <w:rFonts w:hint="eastAsia" w:eastAsia="宋体"/>
          <w:sz w:val="30"/>
          <w:szCs w:val="30"/>
          <w:lang w:eastAsia="zh-CN"/>
        </w:rPr>
      </w:pPr>
    </w:p>
    <w:p w14:paraId="5D7FBEEA">
      <w:pPr>
        <w:tabs>
          <w:tab w:val="left" w:pos="400"/>
        </w:tabs>
        <w:bidi w:val="0"/>
        <w:jc w:val="left"/>
        <w:rPr>
          <w:rFonts w:hint="eastAsia" w:eastAsia="宋体"/>
          <w:sz w:val="30"/>
          <w:szCs w:val="30"/>
          <w:lang w:eastAsia="zh-CN"/>
        </w:rPr>
      </w:pPr>
      <w:r>
        <w:rPr>
          <w:rFonts w:hint="eastAsia" w:eastAsia="宋体"/>
          <w:sz w:val="30"/>
          <w:szCs w:val="30"/>
          <w:lang w:eastAsia="zh-CN"/>
        </w:rPr>
        <w:t>神如何使祂的启示成为渐进的？(1)</w:t>
      </w:r>
    </w:p>
    <w:p w14:paraId="7FE40129">
      <w:pPr>
        <w:tabs>
          <w:tab w:val="left" w:pos="400"/>
        </w:tabs>
        <w:bidi w:val="0"/>
        <w:jc w:val="left"/>
        <w:rPr>
          <w:rFonts w:hint="eastAsia" w:eastAsia="宋体"/>
          <w:sz w:val="30"/>
          <w:szCs w:val="30"/>
          <w:lang w:eastAsia="zh-CN"/>
        </w:rPr>
      </w:pPr>
    </w:p>
    <w:p w14:paraId="7ACFE2C6">
      <w:pPr>
        <w:tabs>
          <w:tab w:val="left" w:pos="400"/>
        </w:tabs>
        <w:bidi w:val="0"/>
        <w:jc w:val="left"/>
        <w:rPr>
          <w:rFonts w:hint="eastAsia" w:eastAsia="宋体"/>
          <w:sz w:val="30"/>
          <w:szCs w:val="30"/>
          <w:lang w:eastAsia="zh-CN"/>
        </w:rPr>
      </w:pPr>
      <w:r>
        <w:rPr>
          <w:rFonts w:hint="eastAsia" w:eastAsia="宋体"/>
          <w:sz w:val="30"/>
          <w:szCs w:val="30"/>
          <w:lang w:eastAsia="zh-CN"/>
        </w:rPr>
        <w:t>The idea of progressive revelation is profoundly relevant for our study of eschatology.</w:t>
      </w:r>
    </w:p>
    <w:p w14:paraId="0563B9F1">
      <w:pPr>
        <w:tabs>
          <w:tab w:val="left" w:pos="400"/>
        </w:tabs>
        <w:bidi w:val="0"/>
        <w:jc w:val="left"/>
        <w:rPr>
          <w:rFonts w:hint="eastAsia" w:eastAsia="宋体"/>
          <w:sz w:val="30"/>
          <w:szCs w:val="30"/>
          <w:lang w:eastAsia="zh-CN"/>
        </w:rPr>
      </w:pPr>
    </w:p>
    <w:p w14:paraId="37726011">
      <w:pPr>
        <w:tabs>
          <w:tab w:val="left" w:pos="400"/>
        </w:tabs>
        <w:bidi w:val="0"/>
        <w:jc w:val="left"/>
        <w:rPr>
          <w:rFonts w:hint="eastAsia" w:eastAsia="宋体"/>
          <w:sz w:val="30"/>
          <w:szCs w:val="30"/>
          <w:lang w:eastAsia="zh-CN"/>
        </w:rPr>
      </w:pPr>
      <w:r>
        <w:rPr>
          <w:rFonts w:hint="eastAsia" w:eastAsia="宋体"/>
          <w:sz w:val="30"/>
          <w:szCs w:val="30"/>
          <w:lang w:eastAsia="zh-CN"/>
        </w:rPr>
        <w:t>渐进启示的观念对我们研究末世论具有深远的意义。</w:t>
      </w:r>
    </w:p>
    <w:p w14:paraId="2029C7A6">
      <w:pPr>
        <w:tabs>
          <w:tab w:val="left" w:pos="400"/>
        </w:tabs>
        <w:bidi w:val="0"/>
        <w:jc w:val="left"/>
        <w:rPr>
          <w:rFonts w:hint="eastAsia" w:eastAsia="宋体"/>
          <w:sz w:val="30"/>
          <w:szCs w:val="30"/>
          <w:lang w:eastAsia="zh-CN"/>
        </w:rPr>
      </w:pPr>
    </w:p>
    <w:p w14:paraId="596DF9CB">
      <w:pPr>
        <w:tabs>
          <w:tab w:val="left" w:pos="400"/>
        </w:tabs>
        <w:bidi w:val="0"/>
        <w:jc w:val="left"/>
        <w:rPr>
          <w:rFonts w:hint="eastAsia" w:eastAsia="宋体"/>
          <w:sz w:val="30"/>
          <w:szCs w:val="30"/>
          <w:lang w:eastAsia="zh-CN"/>
        </w:rPr>
      </w:pPr>
      <w:r>
        <w:rPr>
          <w:rFonts w:hint="eastAsia" w:eastAsia="宋体"/>
          <w:sz w:val="30"/>
          <w:szCs w:val="30"/>
          <w:lang w:eastAsia="zh-CN"/>
        </w:rPr>
        <w:t>In order to see why, let us take a moment to look more closely at the two main ways in which God made his revelation progressive.</w:t>
      </w:r>
    </w:p>
    <w:p w14:paraId="52D33568">
      <w:pPr>
        <w:tabs>
          <w:tab w:val="left" w:pos="400"/>
        </w:tabs>
        <w:bidi w:val="0"/>
        <w:jc w:val="left"/>
        <w:rPr>
          <w:rFonts w:hint="eastAsia" w:eastAsia="宋体"/>
          <w:sz w:val="30"/>
          <w:szCs w:val="30"/>
          <w:lang w:eastAsia="zh-CN"/>
        </w:rPr>
      </w:pPr>
    </w:p>
    <w:p w14:paraId="1D0547D4">
      <w:pPr>
        <w:tabs>
          <w:tab w:val="left" w:pos="400"/>
        </w:tabs>
        <w:bidi w:val="0"/>
        <w:jc w:val="left"/>
        <w:rPr>
          <w:rFonts w:hint="eastAsia" w:eastAsia="宋体"/>
          <w:sz w:val="30"/>
          <w:szCs w:val="30"/>
          <w:lang w:eastAsia="zh-CN"/>
        </w:rPr>
      </w:pPr>
      <w:r>
        <w:rPr>
          <w:rFonts w:hint="eastAsia" w:eastAsia="宋体"/>
          <w:sz w:val="30"/>
          <w:szCs w:val="30"/>
          <w:lang w:eastAsia="zh-CN"/>
        </w:rPr>
        <w:t>为了明白原因，让我们花点时间更仔细地看看神使祂的启示成为渐进的两种主要方式。</w:t>
      </w:r>
    </w:p>
    <w:p w14:paraId="12CFD822">
      <w:pPr>
        <w:tabs>
          <w:tab w:val="left" w:pos="400"/>
        </w:tabs>
        <w:bidi w:val="0"/>
        <w:jc w:val="left"/>
        <w:rPr>
          <w:rFonts w:hint="eastAsia" w:eastAsia="宋体"/>
          <w:sz w:val="30"/>
          <w:szCs w:val="30"/>
          <w:lang w:eastAsia="zh-CN"/>
        </w:rPr>
      </w:pPr>
    </w:p>
    <w:p w14:paraId="6C633C8C">
      <w:pPr>
        <w:tabs>
          <w:tab w:val="left" w:pos="400"/>
        </w:tabs>
        <w:bidi w:val="0"/>
        <w:jc w:val="left"/>
        <w:rPr>
          <w:rFonts w:hint="eastAsia" w:eastAsia="宋体"/>
          <w:sz w:val="30"/>
          <w:szCs w:val="30"/>
          <w:lang w:eastAsia="zh-CN"/>
        </w:rPr>
      </w:pPr>
      <w:r>
        <w:rPr>
          <w:rFonts w:hint="eastAsia" w:eastAsia="宋体"/>
          <w:sz w:val="30"/>
          <w:szCs w:val="30"/>
          <w:lang w:eastAsia="zh-CN"/>
        </w:rPr>
        <w:t>First, God made his revelation progressive by waiting for Christ to come and complete it.</w:t>
      </w:r>
    </w:p>
    <w:p w14:paraId="719021DD">
      <w:pPr>
        <w:tabs>
          <w:tab w:val="left" w:pos="400"/>
        </w:tabs>
        <w:bidi w:val="0"/>
        <w:jc w:val="left"/>
        <w:rPr>
          <w:rFonts w:hint="eastAsia" w:eastAsia="宋体"/>
          <w:sz w:val="30"/>
          <w:szCs w:val="30"/>
          <w:lang w:eastAsia="zh-CN"/>
        </w:rPr>
      </w:pPr>
    </w:p>
    <w:p w14:paraId="3D2E8F61">
      <w:pPr>
        <w:tabs>
          <w:tab w:val="left" w:pos="400"/>
        </w:tabs>
        <w:bidi w:val="0"/>
        <w:jc w:val="left"/>
        <w:rPr>
          <w:rFonts w:hint="eastAsia" w:eastAsia="宋体"/>
          <w:sz w:val="30"/>
          <w:szCs w:val="30"/>
          <w:lang w:eastAsia="zh-CN"/>
        </w:rPr>
      </w:pPr>
      <w:r>
        <w:rPr>
          <w:rFonts w:hint="eastAsia" w:eastAsia="宋体"/>
          <w:sz w:val="30"/>
          <w:szCs w:val="30"/>
          <w:lang w:eastAsia="zh-CN"/>
        </w:rPr>
        <w:t>首先，神使祂的启示成为渐进的，是借着等候基督来完成它。</w:t>
      </w:r>
    </w:p>
    <w:p w14:paraId="7D28F45B">
      <w:pPr>
        <w:tabs>
          <w:tab w:val="left" w:pos="400"/>
        </w:tabs>
        <w:bidi w:val="0"/>
        <w:jc w:val="left"/>
        <w:rPr>
          <w:rFonts w:hint="eastAsia" w:eastAsia="宋体"/>
          <w:sz w:val="30"/>
          <w:szCs w:val="30"/>
          <w:lang w:eastAsia="zh-CN"/>
        </w:rPr>
      </w:pPr>
    </w:p>
    <w:p w14:paraId="34BBFEBA">
      <w:pPr>
        <w:tabs>
          <w:tab w:val="left" w:pos="400"/>
        </w:tabs>
        <w:bidi w:val="0"/>
        <w:jc w:val="left"/>
        <w:rPr>
          <w:rFonts w:hint="eastAsia" w:eastAsia="宋体"/>
          <w:sz w:val="30"/>
          <w:szCs w:val="30"/>
          <w:lang w:eastAsia="zh-CN"/>
        </w:rPr>
      </w:pPr>
      <w:r>
        <w:rPr>
          <w:rFonts w:hint="eastAsia" w:eastAsia="宋体"/>
          <w:sz w:val="30"/>
          <w:szCs w:val="30"/>
          <w:lang w:eastAsia="zh-CN"/>
        </w:rPr>
        <w:t>As we have just seen, Christ’s (first) coming represents the manifestation, in time and space, of God’s eternal plan for the salvation of his people.</w:t>
      </w:r>
    </w:p>
    <w:p w14:paraId="1A38063D">
      <w:pPr>
        <w:tabs>
          <w:tab w:val="left" w:pos="400"/>
        </w:tabs>
        <w:bidi w:val="0"/>
        <w:jc w:val="left"/>
        <w:rPr>
          <w:rFonts w:hint="eastAsia" w:eastAsia="宋体"/>
          <w:sz w:val="30"/>
          <w:szCs w:val="30"/>
          <w:lang w:eastAsia="zh-CN"/>
        </w:rPr>
      </w:pPr>
    </w:p>
    <w:p w14:paraId="712C62C6">
      <w:pPr>
        <w:tabs>
          <w:tab w:val="left" w:pos="400"/>
        </w:tabs>
        <w:bidi w:val="0"/>
        <w:jc w:val="left"/>
        <w:rPr>
          <w:rFonts w:hint="eastAsia" w:eastAsia="宋体"/>
          <w:sz w:val="30"/>
          <w:szCs w:val="30"/>
          <w:lang w:eastAsia="zh-CN"/>
        </w:rPr>
      </w:pPr>
      <w:r>
        <w:rPr>
          <w:rFonts w:hint="eastAsia" w:eastAsia="宋体"/>
          <w:sz w:val="30"/>
          <w:szCs w:val="30"/>
          <w:lang w:eastAsia="zh-CN"/>
        </w:rPr>
        <w:t>正如我们刚才所见，基督的（第一次）降临，代表了神为拯救祂子民而定的永恒计划在时间和空间中的彰显。</w:t>
      </w:r>
    </w:p>
    <w:p w14:paraId="7E84D30D">
      <w:pPr>
        <w:tabs>
          <w:tab w:val="left" w:pos="400"/>
        </w:tabs>
        <w:bidi w:val="0"/>
        <w:jc w:val="left"/>
        <w:rPr>
          <w:rFonts w:hint="eastAsia" w:eastAsia="宋体"/>
          <w:sz w:val="30"/>
          <w:szCs w:val="30"/>
          <w:lang w:eastAsia="zh-CN"/>
        </w:rPr>
      </w:pPr>
    </w:p>
    <w:p w14:paraId="6072521D">
      <w:pPr>
        <w:tabs>
          <w:tab w:val="left" w:pos="400"/>
        </w:tabs>
        <w:bidi w:val="0"/>
        <w:jc w:val="left"/>
        <w:rPr>
          <w:rFonts w:hint="eastAsia" w:eastAsia="宋体"/>
          <w:sz w:val="30"/>
          <w:szCs w:val="30"/>
          <w:lang w:eastAsia="zh-CN"/>
        </w:rPr>
      </w:pPr>
      <w:r>
        <w:rPr>
          <w:rFonts w:hint="eastAsia" w:eastAsia="宋体"/>
          <w:sz w:val="30"/>
          <w:szCs w:val="30"/>
          <w:lang w:eastAsia="zh-CN"/>
        </w:rPr>
        <w:t>But if that coming represents the full unveiling of God’s eternal plan, then surely it also represents the full unveiling of his truth: the capping off, summing up, and rounding out of all that God is pleased to reveal of himself and his purposes to mankind.</w:t>
      </w:r>
    </w:p>
    <w:p w14:paraId="564E4F43">
      <w:pPr>
        <w:tabs>
          <w:tab w:val="left" w:pos="400"/>
        </w:tabs>
        <w:bidi w:val="0"/>
        <w:jc w:val="left"/>
        <w:rPr>
          <w:rFonts w:hint="eastAsia" w:eastAsia="宋体"/>
          <w:sz w:val="30"/>
          <w:szCs w:val="30"/>
          <w:lang w:eastAsia="zh-CN"/>
        </w:rPr>
      </w:pPr>
    </w:p>
    <w:p w14:paraId="4E21E0C8">
      <w:pPr>
        <w:tabs>
          <w:tab w:val="left" w:pos="400"/>
        </w:tabs>
        <w:bidi w:val="0"/>
        <w:jc w:val="left"/>
        <w:rPr>
          <w:rFonts w:hint="eastAsia" w:eastAsia="宋体"/>
          <w:sz w:val="30"/>
          <w:szCs w:val="30"/>
          <w:lang w:eastAsia="zh-CN"/>
        </w:rPr>
      </w:pPr>
      <w:r>
        <w:rPr>
          <w:rFonts w:hint="eastAsia" w:eastAsia="宋体"/>
          <w:sz w:val="30"/>
          <w:szCs w:val="30"/>
          <w:lang w:eastAsia="zh-CN"/>
        </w:rPr>
        <w:t>但如果那次降临代表了神永恒计划的完全揭示，那么它肯定也代表了祂真理的完全揭示：即神乐意向人类启示祂自己和祂旨意的一切的顶峰、总结和圆满。</w:t>
      </w:r>
    </w:p>
    <w:p w14:paraId="758A2E3B">
      <w:pPr>
        <w:tabs>
          <w:tab w:val="left" w:pos="400"/>
        </w:tabs>
        <w:bidi w:val="0"/>
        <w:jc w:val="left"/>
        <w:rPr>
          <w:rFonts w:hint="eastAsia" w:eastAsia="宋体"/>
          <w:sz w:val="30"/>
          <w:szCs w:val="30"/>
          <w:lang w:eastAsia="zh-CN"/>
        </w:rPr>
      </w:pPr>
    </w:p>
    <w:p w14:paraId="2B78A74F">
      <w:pPr>
        <w:tabs>
          <w:tab w:val="left" w:pos="400"/>
        </w:tabs>
        <w:bidi w:val="0"/>
        <w:jc w:val="left"/>
        <w:rPr>
          <w:rFonts w:hint="eastAsia" w:eastAsia="宋体"/>
          <w:sz w:val="30"/>
          <w:szCs w:val="30"/>
          <w:lang w:eastAsia="zh-CN"/>
        </w:rPr>
      </w:pPr>
      <w:r>
        <w:rPr>
          <w:rFonts w:hint="eastAsia" w:eastAsia="宋体"/>
          <w:sz w:val="30"/>
          <w:szCs w:val="30"/>
          <w:lang w:eastAsia="zh-CN"/>
        </w:rPr>
        <w:t>I have already cited a number of NT texts that confirm this reasonable deduction.</w:t>
      </w:r>
    </w:p>
    <w:p w14:paraId="657C1F6D">
      <w:pPr>
        <w:tabs>
          <w:tab w:val="left" w:pos="400"/>
        </w:tabs>
        <w:bidi w:val="0"/>
        <w:jc w:val="left"/>
        <w:rPr>
          <w:rFonts w:hint="eastAsia" w:eastAsia="宋体"/>
          <w:sz w:val="30"/>
          <w:szCs w:val="30"/>
          <w:lang w:eastAsia="zh-CN"/>
        </w:rPr>
      </w:pPr>
    </w:p>
    <w:p w14:paraId="7EC96CB1">
      <w:pPr>
        <w:tabs>
          <w:tab w:val="left" w:pos="400"/>
        </w:tabs>
        <w:bidi w:val="0"/>
        <w:jc w:val="left"/>
        <w:rPr>
          <w:rFonts w:hint="eastAsia" w:eastAsia="宋体"/>
          <w:sz w:val="30"/>
          <w:szCs w:val="30"/>
          <w:lang w:eastAsia="zh-CN"/>
        </w:rPr>
      </w:pPr>
      <w:r>
        <w:rPr>
          <w:rFonts w:hint="eastAsia" w:eastAsia="宋体"/>
          <w:sz w:val="30"/>
          <w:szCs w:val="30"/>
          <w:lang w:eastAsia="zh-CN"/>
        </w:rPr>
        <w:t>我已引用了一些新约经文来证实这个合理的推论。</w:t>
      </w:r>
    </w:p>
    <w:p w14:paraId="2C2ED3D5">
      <w:pPr>
        <w:tabs>
          <w:tab w:val="left" w:pos="400"/>
        </w:tabs>
        <w:bidi w:val="0"/>
        <w:jc w:val="left"/>
        <w:rPr>
          <w:rFonts w:hint="eastAsia" w:eastAsia="宋体"/>
          <w:sz w:val="30"/>
          <w:szCs w:val="30"/>
          <w:lang w:eastAsia="zh-CN"/>
        </w:rPr>
      </w:pPr>
    </w:p>
    <w:p w14:paraId="213382E8">
      <w:pPr>
        <w:tabs>
          <w:tab w:val="left" w:pos="400"/>
        </w:tabs>
        <w:bidi w:val="0"/>
        <w:jc w:val="left"/>
        <w:rPr>
          <w:rFonts w:hint="eastAsia" w:eastAsia="宋体"/>
          <w:sz w:val="30"/>
          <w:szCs w:val="30"/>
          <w:lang w:eastAsia="zh-CN"/>
        </w:rPr>
      </w:pPr>
      <w:r>
        <w:rPr>
          <w:rFonts w:hint="eastAsia" w:eastAsia="宋体"/>
          <w:sz w:val="30"/>
          <w:szCs w:val="30"/>
          <w:lang w:eastAsia="zh-CN"/>
        </w:rPr>
        <w:t>And there are more.</w:t>
      </w:r>
    </w:p>
    <w:p w14:paraId="0F920662">
      <w:pPr>
        <w:tabs>
          <w:tab w:val="left" w:pos="400"/>
        </w:tabs>
        <w:bidi w:val="0"/>
        <w:jc w:val="left"/>
        <w:rPr>
          <w:rFonts w:hint="eastAsia" w:eastAsia="宋体"/>
          <w:sz w:val="30"/>
          <w:szCs w:val="30"/>
          <w:lang w:eastAsia="zh-CN"/>
        </w:rPr>
      </w:pPr>
    </w:p>
    <w:p w14:paraId="0385338D">
      <w:pPr>
        <w:tabs>
          <w:tab w:val="left" w:pos="400"/>
        </w:tabs>
        <w:bidi w:val="0"/>
        <w:jc w:val="left"/>
        <w:rPr>
          <w:rFonts w:hint="eastAsia" w:eastAsia="宋体"/>
          <w:sz w:val="30"/>
          <w:szCs w:val="30"/>
          <w:lang w:eastAsia="zh-CN"/>
        </w:rPr>
      </w:pPr>
      <w:r>
        <w:rPr>
          <w:rFonts w:hint="eastAsia" w:eastAsia="宋体"/>
          <w:sz w:val="30"/>
          <w:szCs w:val="30"/>
          <w:lang w:eastAsia="zh-CN"/>
        </w:rPr>
        <w:t>还有更多。</w:t>
      </w:r>
    </w:p>
    <w:p w14:paraId="3DF9797C">
      <w:pPr>
        <w:tabs>
          <w:tab w:val="left" w:pos="400"/>
        </w:tabs>
        <w:bidi w:val="0"/>
        <w:jc w:val="left"/>
        <w:rPr>
          <w:rFonts w:hint="eastAsia" w:eastAsia="宋体"/>
          <w:sz w:val="30"/>
          <w:szCs w:val="30"/>
          <w:lang w:eastAsia="zh-CN"/>
        </w:rPr>
      </w:pPr>
    </w:p>
    <w:p w14:paraId="058E9864">
      <w:pPr>
        <w:tabs>
          <w:tab w:val="left" w:pos="400"/>
        </w:tabs>
        <w:bidi w:val="0"/>
        <w:jc w:val="left"/>
        <w:rPr>
          <w:rFonts w:hint="eastAsia" w:eastAsia="宋体"/>
          <w:sz w:val="30"/>
          <w:szCs w:val="30"/>
          <w:lang w:eastAsia="zh-CN"/>
        </w:rPr>
      </w:pPr>
      <w:r>
        <w:rPr>
          <w:rFonts w:hint="eastAsia" w:eastAsia="宋体"/>
          <w:sz w:val="30"/>
          <w:szCs w:val="30"/>
          <w:lang w:eastAsia="zh-CN"/>
        </w:rPr>
        <w:t>The apostle John, for example, declared, “The Law was given through Moses, but grace and truth came by Jesus Christ” (John 1:17).</w:t>
      </w:r>
    </w:p>
    <w:p w14:paraId="26994EBE">
      <w:pPr>
        <w:tabs>
          <w:tab w:val="left" w:pos="400"/>
        </w:tabs>
        <w:bidi w:val="0"/>
        <w:jc w:val="left"/>
        <w:rPr>
          <w:rFonts w:hint="eastAsia" w:eastAsia="宋体"/>
          <w:sz w:val="30"/>
          <w:szCs w:val="30"/>
          <w:lang w:eastAsia="zh-CN"/>
        </w:rPr>
      </w:pPr>
    </w:p>
    <w:p w14:paraId="153BF931">
      <w:pPr>
        <w:tabs>
          <w:tab w:val="left" w:pos="400"/>
        </w:tabs>
        <w:bidi w:val="0"/>
        <w:jc w:val="left"/>
        <w:rPr>
          <w:rFonts w:hint="eastAsia" w:eastAsia="宋体"/>
          <w:sz w:val="30"/>
          <w:szCs w:val="30"/>
          <w:lang w:eastAsia="zh-CN"/>
        </w:rPr>
      </w:pPr>
      <w:r>
        <w:rPr>
          <w:rFonts w:hint="eastAsia" w:eastAsia="宋体"/>
          <w:sz w:val="30"/>
          <w:szCs w:val="30"/>
          <w:lang w:eastAsia="zh-CN"/>
        </w:rPr>
        <w:t>例如，使徒约翰宣告说：“律法本是借着摩西传的，恩典和实际都是由耶稣基督来的”（约 1:17）。</w:t>
      </w:r>
    </w:p>
    <w:p w14:paraId="2359DE3D">
      <w:pPr>
        <w:tabs>
          <w:tab w:val="left" w:pos="400"/>
        </w:tabs>
        <w:bidi w:val="0"/>
        <w:jc w:val="left"/>
        <w:rPr>
          <w:rFonts w:hint="eastAsia" w:eastAsia="宋体"/>
          <w:sz w:val="30"/>
          <w:szCs w:val="30"/>
          <w:lang w:eastAsia="zh-CN"/>
        </w:rPr>
      </w:pPr>
    </w:p>
    <w:p w14:paraId="1A1A31D2">
      <w:pPr>
        <w:tabs>
          <w:tab w:val="left" w:pos="400"/>
        </w:tabs>
        <w:bidi w:val="0"/>
        <w:jc w:val="left"/>
        <w:rPr>
          <w:rFonts w:hint="eastAsia" w:eastAsia="宋体"/>
          <w:sz w:val="30"/>
          <w:szCs w:val="30"/>
          <w:lang w:eastAsia="zh-CN"/>
        </w:rPr>
      </w:pPr>
      <w:r>
        <w:rPr>
          <w:rFonts w:hint="eastAsia" w:eastAsia="宋体"/>
          <w:sz w:val="30"/>
          <w:szCs w:val="30"/>
          <w:lang w:eastAsia="zh-CN"/>
        </w:rPr>
        <w:t>Were the affirmations of the Law “false”?</w:t>
      </w:r>
    </w:p>
    <w:p w14:paraId="47246F41">
      <w:pPr>
        <w:tabs>
          <w:tab w:val="left" w:pos="400"/>
        </w:tabs>
        <w:bidi w:val="0"/>
        <w:jc w:val="left"/>
        <w:rPr>
          <w:rFonts w:hint="eastAsia" w:eastAsia="宋体"/>
          <w:sz w:val="30"/>
          <w:szCs w:val="30"/>
          <w:lang w:eastAsia="zh-CN"/>
        </w:rPr>
      </w:pPr>
    </w:p>
    <w:p w14:paraId="55005912">
      <w:pPr>
        <w:tabs>
          <w:tab w:val="left" w:pos="400"/>
        </w:tabs>
        <w:bidi w:val="0"/>
        <w:jc w:val="left"/>
        <w:rPr>
          <w:rFonts w:hint="eastAsia" w:eastAsia="宋体"/>
          <w:sz w:val="30"/>
          <w:szCs w:val="30"/>
          <w:lang w:eastAsia="zh-CN"/>
        </w:rPr>
      </w:pPr>
      <w:r>
        <w:rPr>
          <w:rFonts w:hint="eastAsia" w:eastAsia="宋体"/>
          <w:sz w:val="30"/>
          <w:szCs w:val="30"/>
          <w:lang w:eastAsia="zh-CN"/>
        </w:rPr>
        <w:t>律法的宣告是“假的”吗？</w:t>
      </w:r>
    </w:p>
    <w:p w14:paraId="24337B16">
      <w:pPr>
        <w:tabs>
          <w:tab w:val="left" w:pos="400"/>
        </w:tabs>
        <w:bidi w:val="0"/>
        <w:jc w:val="left"/>
        <w:rPr>
          <w:rFonts w:hint="eastAsia" w:eastAsia="宋体"/>
          <w:sz w:val="30"/>
          <w:szCs w:val="30"/>
          <w:lang w:eastAsia="zh-CN"/>
        </w:rPr>
      </w:pPr>
    </w:p>
    <w:p w14:paraId="2B2D38D1">
      <w:pPr>
        <w:tabs>
          <w:tab w:val="left" w:pos="400"/>
        </w:tabs>
        <w:bidi w:val="0"/>
        <w:jc w:val="left"/>
        <w:rPr>
          <w:rFonts w:hint="eastAsia" w:eastAsia="宋体"/>
          <w:sz w:val="30"/>
          <w:szCs w:val="30"/>
          <w:lang w:eastAsia="zh-CN"/>
        </w:rPr>
      </w:pPr>
      <w:r>
        <w:rPr>
          <w:rFonts w:hint="eastAsia" w:eastAsia="宋体"/>
          <w:sz w:val="30"/>
          <w:szCs w:val="30"/>
          <w:lang w:eastAsia="zh-CN"/>
        </w:rPr>
        <w:t>Certainly not!</w:t>
      </w:r>
    </w:p>
    <w:p w14:paraId="1128BC3F">
      <w:pPr>
        <w:tabs>
          <w:tab w:val="left" w:pos="400"/>
        </w:tabs>
        <w:bidi w:val="0"/>
        <w:jc w:val="left"/>
        <w:rPr>
          <w:rFonts w:hint="eastAsia" w:eastAsia="宋体"/>
          <w:sz w:val="30"/>
          <w:szCs w:val="30"/>
          <w:lang w:eastAsia="zh-CN"/>
        </w:rPr>
      </w:pPr>
    </w:p>
    <w:p w14:paraId="2F377D66">
      <w:pPr>
        <w:tabs>
          <w:tab w:val="left" w:pos="400"/>
        </w:tabs>
        <w:bidi w:val="0"/>
        <w:jc w:val="left"/>
        <w:rPr>
          <w:rFonts w:hint="eastAsia" w:eastAsia="宋体"/>
          <w:sz w:val="30"/>
          <w:szCs w:val="30"/>
          <w:lang w:eastAsia="zh-CN"/>
        </w:rPr>
      </w:pPr>
      <w:r>
        <w:rPr>
          <w:rFonts w:hint="eastAsia" w:eastAsia="宋体"/>
          <w:sz w:val="30"/>
          <w:szCs w:val="30"/>
          <w:lang w:eastAsia="zh-CN"/>
        </w:rPr>
        <w:t>当然不！</w:t>
      </w:r>
    </w:p>
    <w:p w14:paraId="33C7DA5A">
      <w:pPr>
        <w:tabs>
          <w:tab w:val="left" w:pos="400"/>
        </w:tabs>
        <w:bidi w:val="0"/>
        <w:jc w:val="left"/>
        <w:rPr>
          <w:rFonts w:hint="eastAsia" w:eastAsia="宋体"/>
          <w:sz w:val="30"/>
          <w:szCs w:val="30"/>
          <w:lang w:eastAsia="zh-CN"/>
        </w:rPr>
      </w:pPr>
    </w:p>
    <w:p w14:paraId="14C40BAF">
      <w:pPr>
        <w:tabs>
          <w:tab w:val="left" w:pos="400"/>
        </w:tabs>
        <w:bidi w:val="0"/>
        <w:jc w:val="left"/>
        <w:rPr>
          <w:rFonts w:hint="eastAsia" w:eastAsia="宋体"/>
          <w:sz w:val="30"/>
          <w:szCs w:val="30"/>
          <w:lang w:eastAsia="zh-CN"/>
        </w:rPr>
      </w:pPr>
      <w:r>
        <w:rPr>
          <w:rFonts w:hint="eastAsia" w:eastAsia="宋体"/>
          <w:sz w:val="30"/>
          <w:szCs w:val="30"/>
          <w:lang w:eastAsia="zh-CN"/>
        </w:rPr>
        <w:t>Was the gift of the Law anything other than a demonstration and administration of God’s grace?</w:t>
      </w:r>
    </w:p>
    <w:p w14:paraId="5D4CD2CF">
      <w:pPr>
        <w:tabs>
          <w:tab w:val="left" w:pos="400"/>
        </w:tabs>
        <w:bidi w:val="0"/>
        <w:jc w:val="left"/>
        <w:rPr>
          <w:rFonts w:hint="eastAsia" w:eastAsia="宋体"/>
          <w:sz w:val="30"/>
          <w:szCs w:val="30"/>
          <w:lang w:eastAsia="zh-CN"/>
        </w:rPr>
      </w:pPr>
    </w:p>
    <w:p w14:paraId="54853A19">
      <w:pPr>
        <w:tabs>
          <w:tab w:val="left" w:pos="400"/>
        </w:tabs>
        <w:bidi w:val="0"/>
        <w:jc w:val="left"/>
        <w:rPr>
          <w:rFonts w:hint="eastAsia" w:eastAsia="宋体"/>
          <w:sz w:val="30"/>
          <w:szCs w:val="30"/>
          <w:lang w:eastAsia="zh-CN"/>
        </w:rPr>
      </w:pPr>
      <w:r>
        <w:rPr>
          <w:rFonts w:hint="eastAsia" w:eastAsia="宋体"/>
          <w:sz w:val="30"/>
          <w:szCs w:val="30"/>
          <w:lang w:eastAsia="zh-CN"/>
        </w:rPr>
        <w:t>赐下律法除了是神恩典的彰显和施行之外，还有别的吗？</w:t>
      </w:r>
    </w:p>
    <w:p w14:paraId="391EF483">
      <w:pPr>
        <w:tabs>
          <w:tab w:val="left" w:pos="400"/>
        </w:tabs>
        <w:bidi w:val="0"/>
        <w:jc w:val="left"/>
        <w:rPr>
          <w:rFonts w:hint="eastAsia" w:eastAsia="宋体"/>
          <w:sz w:val="30"/>
          <w:szCs w:val="30"/>
          <w:lang w:eastAsia="zh-CN"/>
        </w:rPr>
      </w:pPr>
    </w:p>
    <w:p w14:paraId="77D7462C">
      <w:pPr>
        <w:tabs>
          <w:tab w:val="left" w:pos="400"/>
        </w:tabs>
        <w:bidi w:val="0"/>
        <w:jc w:val="left"/>
        <w:rPr>
          <w:rFonts w:hint="eastAsia" w:eastAsia="宋体"/>
          <w:sz w:val="30"/>
          <w:szCs w:val="30"/>
          <w:lang w:eastAsia="zh-CN"/>
        </w:rPr>
      </w:pPr>
      <w:r>
        <w:rPr>
          <w:rFonts w:hint="eastAsia" w:eastAsia="宋体"/>
          <w:sz w:val="30"/>
          <w:szCs w:val="30"/>
          <w:lang w:eastAsia="zh-CN"/>
        </w:rPr>
        <w:t>A thousand times no!</w:t>
      </w:r>
    </w:p>
    <w:p w14:paraId="7D0CE098">
      <w:pPr>
        <w:tabs>
          <w:tab w:val="left" w:pos="400"/>
        </w:tabs>
        <w:bidi w:val="0"/>
        <w:jc w:val="left"/>
        <w:rPr>
          <w:rFonts w:hint="eastAsia" w:eastAsia="宋体"/>
          <w:sz w:val="30"/>
          <w:szCs w:val="30"/>
          <w:lang w:eastAsia="zh-CN"/>
        </w:rPr>
      </w:pPr>
    </w:p>
    <w:p w14:paraId="0112E464">
      <w:pPr>
        <w:tabs>
          <w:tab w:val="left" w:pos="400"/>
        </w:tabs>
        <w:bidi w:val="0"/>
        <w:jc w:val="left"/>
        <w:rPr>
          <w:rFonts w:hint="eastAsia" w:eastAsia="宋体"/>
          <w:sz w:val="30"/>
          <w:szCs w:val="30"/>
          <w:lang w:eastAsia="zh-CN"/>
        </w:rPr>
      </w:pPr>
      <w:r>
        <w:rPr>
          <w:rFonts w:hint="eastAsia" w:eastAsia="宋体"/>
          <w:sz w:val="30"/>
          <w:szCs w:val="30"/>
          <w:lang w:eastAsia="zh-CN"/>
        </w:rPr>
        <w:t>一千个不！</w:t>
      </w:r>
    </w:p>
    <w:p w14:paraId="63D1F028">
      <w:pPr>
        <w:tabs>
          <w:tab w:val="left" w:pos="400"/>
        </w:tabs>
        <w:bidi w:val="0"/>
        <w:jc w:val="left"/>
        <w:rPr>
          <w:rFonts w:hint="eastAsia" w:eastAsia="宋体"/>
          <w:sz w:val="30"/>
          <w:szCs w:val="30"/>
          <w:lang w:eastAsia="zh-CN"/>
        </w:rPr>
      </w:pPr>
    </w:p>
    <w:p w14:paraId="036D0175">
      <w:pPr>
        <w:tabs>
          <w:tab w:val="left" w:pos="400"/>
        </w:tabs>
        <w:bidi w:val="0"/>
        <w:jc w:val="left"/>
        <w:rPr>
          <w:rFonts w:hint="eastAsia" w:eastAsia="宋体"/>
          <w:sz w:val="30"/>
          <w:szCs w:val="30"/>
          <w:lang w:eastAsia="zh-CN"/>
        </w:rPr>
      </w:pPr>
      <w:r>
        <w:rPr>
          <w:rFonts w:hint="eastAsia" w:eastAsia="宋体"/>
          <w:sz w:val="30"/>
          <w:szCs w:val="30"/>
          <w:lang w:eastAsia="zh-CN"/>
        </w:rPr>
        <w:t>And yet, in the Law God did not give grace and truth as they were in and of themselves; as they were according to his eternal plan; as they were according to Christ.</w:t>
      </w:r>
    </w:p>
    <w:p w14:paraId="1CC53FEB">
      <w:pPr>
        <w:tabs>
          <w:tab w:val="left" w:pos="400"/>
        </w:tabs>
        <w:bidi w:val="0"/>
        <w:jc w:val="left"/>
        <w:rPr>
          <w:rFonts w:hint="eastAsia" w:eastAsia="宋体"/>
          <w:sz w:val="30"/>
          <w:szCs w:val="30"/>
          <w:lang w:eastAsia="zh-CN"/>
        </w:rPr>
      </w:pPr>
    </w:p>
    <w:p w14:paraId="5A03C0BA">
      <w:pPr>
        <w:tabs>
          <w:tab w:val="left" w:pos="400"/>
        </w:tabs>
        <w:bidi w:val="0"/>
        <w:jc w:val="left"/>
        <w:rPr>
          <w:rFonts w:hint="eastAsia" w:eastAsia="宋体"/>
          <w:sz w:val="30"/>
          <w:szCs w:val="30"/>
          <w:lang w:eastAsia="zh-CN"/>
        </w:rPr>
      </w:pPr>
      <w:r>
        <w:rPr>
          <w:rFonts w:hint="eastAsia" w:eastAsia="宋体"/>
          <w:sz w:val="30"/>
          <w:szCs w:val="30"/>
          <w:lang w:eastAsia="zh-CN"/>
        </w:rPr>
        <w:t>然而，在律法中，神没有按恩典和真理本身的样子赐下它们；没有按祂永恒计划的样子；也没有按基督的样子。</w:t>
      </w:r>
    </w:p>
    <w:p w14:paraId="00F2F5AC">
      <w:pPr>
        <w:tabs>
          <w:tab w:val="left" w:pos="400"/>
        </w:tabs>
        <w:bidi w:val="0"/>
        <w:jc w:val="left"/>
        <w:rPr>
          <w:rFonts w:hint="eastAsia" w:eastAsia="宋体"/>
          <w:sz w:val="30"/>
          <w:szCs w:val="30"/>
          <w:lang w:eastAsia="zh-CN"/>
        </w:rPr>
      </w:pPr>
    </w:p>
    <w:p w14:paraId="730D1BC3">
      <w:pPr>
        <w:tabs>
          <w:tab w:val="left" w:pos="400"/>
        </w:tabs>
        <w:bidi w:val="0"/>
        <w:jc w:val="left"/>
        <w:rPr>
          <w:rFonts w:hint="eastAsia" w:eastAsia="宋体"/>
          <w:sz w:val="30"/>
          <w:szCs w:val="30"/>
          <w:lang w:eastAsia="zh-CN"/>
        </w:rPr>
      </w:pPr>
      <w:r>
        <w:rPr>
          <w:rFonts w:hint="eastAsia" w:eastAsia="宋体"/>
          <w:sz w:val="30"/>
          <w:szCs w:val="30"/>
          <w:lang w:eastAsia="zh-CN"/>
        </w:rPr>
        <w:t>Instead, God’s OT redemptive acts were mere “shadows” of a “body” that would come later.</w:t>
      </w:r>
    </w:p>
    <w:p w14:paraId="2A7F1383">
      <w:pPr>
        <w:tabs>
          <w:tab w:val="left" w:pos="400"/>
        </w:tabs>
        <w:bidi w:val="0"/>
        <w:jc w:val="left"/>
        <w:rPr>
          <w:rFonts w:hint="eastAsia" w:eastAsia="宋体"/>
          <w:sz w:val="30"/>
          <w:szCs w:val="30"/>
          <w:lang w:eastAsia="zh-CN"/>
        </w:rPr>
      </w:pPr>
    </w:p>
    <w:p w14:paraId="0F13D1B9">
      <w:pPr>
        <w:tabs>
          <w:tab w:val="left" w:pos="400"/>
        </w:tabs>
        <w:bidi w:val="0"/>
        <w:jc w:val="left"/>
        <w:rPr>
          <w:rFonts w:hint="eastAsia" w:eastAsia="宋体"/>
          <w:sz w:val="30"/>
          <w:szCs w:val="30"/>
          <w:lang w:eastAsia="zh-CN"/>
        </w:rPr>
      </w:pPr>
      <w:r>
        <w:rPr>
          <w:rFonts w:hint="eastAsia" w:eastAsia="宋体"/>
          <w:sz w:val="30"/>
          <w:szCs w:val="30"/>
          <w:lang w:eastAsia="zh-CN"/>
        </w:rPr>
        <w:t>相反，神在旧约中的救赎作为仅仅是后来要来之“实体”的“影儿”。</w:t>
      </w:r>
    </w:p>
    <w:p w14:paraId="5D98C1E5">
      <w:pPr>
        <w:tabs>
          <w:tab w:val="left" w:pos="400"/>
        </w:tabs>
        <w:bidi w:val="0"/>
        <w:jc w:val="left"/>
        <w:rPr>
          <w:rFonts w:hint="eastAsia" w:eastAsia="宋体"/>
          <w:sz w:val="30"/>
          <w:szCs w:val="30"/>
          <w:lang w:eastAsia="zh-CN"/>
        </w:rPr>
      </w:pPr>
    </w:p>
    <w:p w14:paraId="6B6E4459">
      <w:pPr>
        <w:tabs>
          <w:tab w:val="left" w:pos="400"/>
        </w:tabs>
        <w:bidi w:val="0"/>
        <w:jc w:val="left"/>
        <w:rPr>
          <w:rFonts w:hint="eastAsia" w:eastAsia="宋体"/>
          <w:sz w:val="30"/>
          <w:szCs w:val="30"/>
          <w:lang w:eastAsia="zh-CN"/>
        </w:rPr>
      </w:pPr>
      <w:r>
        <w:rPr>
          <w:rFonts w:hint="eastAsia" w:eastAsia="宋体"/>
          <w:sz w:val="30"/>
          <w:szCs w:val="30"/>
          <w:lang w:eastAsia="zh-CN"/>
        </w:rPr>
        <w:t>And the body was Christ (Col. 2:17).</w:t>
      </w:r>
    </w:p>
    <w:p w14:paraId="59F3A789">
      <w:pPr>
        <w:tabs>
          <w:tab w:val="left" w:pos="400"/>
        </w:tabs>
        <w:bidi w:val="0"/>
        <w:jc w:val="left"/>
        <w:rPr>
          <w:rFonts w:hint="eastAsia" w:eastAsia="宋体"/>
          <w:sz w:val="30"/>
          <w:szCs w:val="30"/>
          <w:lang w:eastAsia="zh-CN"/>
        </w:rPr>
      </w:pPr>
    </w:p>
    <w:p w14:paraId="7768DEA2">
      <w:pPr>
        <w:tabs>
          <w:tab w:val="left" w:pos="400"/>
        </w:tabs>
        <w:bidi w:val="0"/>
        <w:jc w:val="left"/>
        <w:rPr>
          <w:rFonts w:hint="eastAsia" w:eastAsia="宋体"/>
          <w:sz w:val="30"/>
          <w:szCs w:val="30"/>
          <w:lang w:eastAsia="zh-CN"/>
        </w:rPr>
      </w:pPr>
      <w:r>
        <w:rPr>
          <w:rFonts w:hint="eastAsia" w:eastAsia="宋体"/>
          <w:sz w:val="30"/>
          <w:szCs w:val="30"/>
          <w:lang w:eastAsia="zh-CN"/>
        </w:rPr>
        <w:t>而那实体就是基督（西 2:17）。</w:t>
      </w:r>
    </w:p>
    <w:p w14:paraId="76A2485E">
      <w:pPr>
        <w:tabs>
          <w:tab w:val="left" w:pos="400"/>
        </w:tabs>
        <w:bidi w:val="0"/>
        <w:jc w:val="left"/>
        <w:rPr>
          <w:rFonts w:hint="eastAsia" w:eastAsia="宋体"/>
          <w:sz w:val="30"/>
          <w:szCs w:val="30"/>
          <w:lang w:eastAsia="zh-CN"/>
        </w:rPr>
      </w:pPr>
    </w:p>
    <w:p w14:paraId="7672BC6F">
      <w:pPr>
        <w:tabs>
          <w:tab w:val="left" w:pos="400"/>
        </w:tabs>
        <w:bidi w:val="0"/>
        <w:jc w:val="left"/>
        <w:rPr>
          <w:rFonts w:hint="eastAsia" w:eastAsia="宋体"/>
          <w:sz w:val="30"/>
          <w:szCs w:val="30"/>
          <w:lang w:eastAsia="zh-CN"/>
        </w:rPr>
      </w:pPr>
      <w:r>
        <w:rPr>
          <w:rFonts w:hint="eastAsia" w:eastAsia="宋体"/>
          <w:sz w:val="30"/>
          <w:szCs w:val="30"/>
          <w:lang w:eastAsia="zh-CN"/>
        </w:rPr>
        <w:t>So then, just as Christ, by his righteous life and atoning death, brings us true grace, so also by his teaching ministry he brings us “true truth,” full and entire.</w:t>
      </w:r>
    </w:p>
    <w:p w14:paraId="64E60FBC">
      <w:pPr>
        <w:tabs>
          <w:tab w:val="left" w:pos="400"/>
        </w:tabs>
        <w:bidi w:val="0"/>
        <w:jc w:val="left"/>
        <w:rPr>
          <w:rFonts w:hint="eastAsia" w:eastAsia="宋体"/>
          <w:sz w:val="30"/>
          <w:szCs w:val="30"/>
          <w:lang w:eastAsia="zh-CN"/>
        </w:rPr>
      </w:pPr>
    </w:p>
    <w:p w14:paraId="018E00BD">
      <w:pPr>
        <w:tabs>
          <w:tab w:val="left" w:pos="400"/>
        </w:tabs>
        <w:bidi w:val="0"/>
        <w:jc w:val="left"/>
        <w:rPr>
          <w:rFonts w:hint="eastAsia" w:eastAsia="宋体"/>
          <w:sz w:val="30"/>
          <w:szCs w:val="30"/>
          <w:lang w:eastAsia="zh-CN"/>
        </w:rPr>
      </w:pPr>
      <w:r>
        <w:rPr>
          <w:rFonts w:hint="eastAsia" w:eastAsia="宋体"/>
          <w:sz w:val="30"/>
          <w:szCs w:val="30"/>
          <w:lang w:eastAsia="zh-CN"/>
        </w:rPr>
        <w:t>那么，正如基督借着祂公义的生命和赎罪的死亡，带给我们真恩典，祂也借着祂的教导职事，带给我们“真实际”，是完全且完整的。</w:t>
      </w:r>
    </w:p>
    <w:p w14:paraId="5FB661D1">
      <w:pPr>
        <w:tabs>
          <w:tab w:val="left" w:pos="400"/>
        </w:tabs>
        <w:bidi w:val="0"/>
        <w:jc w:val="left"/>
        <w:rPr>
          <w:rFonts w:hint="eastAsia" w:eastAsia="宋体"/>
          <w:sz w:val="30"/>
          <w:szCs w:val="30"/>
          <w:lang w:eastAsia="zh-CN"/>
        </w:rPr>
      </w:pPr>
    </w:p>
    <w:p w14:paraId="4174B4F1">
      <w:pPr>
        <w:tabs>
          <w:tab w:val="left" w:pos="400"/>
        </w:tabs>
        <w:bidi w:val="0"/>
        <w:jc w:val="left"/>
        <w:rPr>
          <w:rFonts w:hint="eastAsia" w:eastAsia="宋体"/>
          <w:sz w:val="30"/>
          <w:szCs w:val="30"/>
          <w:lang w:eastAsia="zh-CN"/>
        </w:rPr>
      </w:pPr>
      <w:r>
        <w:rPr>
          <w:rFonts w:hint="eastAsia" w:eastAsia="宋体"/>
          <w:sz w:val="30"/>
          <w:szCs w:val="30"/>
          <w:lang w:eastAsia="zh-CN"/>
        </w:rPr>
        <w:t>He completes the special revelation of God by bringing true truth into the noonday light of the sun.</w:t>
      </w:r>
    </w:p>
    <w:p w14:paraId="596754F5">
      <w:pPr>
        <w:tabs>
          <w:tab w:val="left" w:pos="400"/>
        </w:tabs>
        <w:bidi w:val="0"/>
        <w:jc w:val="left"/>
        <w:rPr>
          <w:rFonts w:hint="eastAsia" w:eastAsia="宋体"/>
          <w:sz w:val="30"/>
          <w:szCs w:val="30"/>
          <w:lang w:eastAsia="zh-CN"/>
        </w:rPr>
      </w:pPr>
    </w:p>
    <w:p w14:paraId="54A8E9EF">
      <w:pPr>
        <w:tabs>
          <w:tab w:val="left" w:pos="400"/>
        </w:tabs>
        <w:bidi w:val="0"/>
        <w:jc w:val="left"/>
        <w:rPr>
          <w:rFonts w:hint="eastAsia" w:eastAsia="宋体"/>
          <w:sz w:val="30"/>
          <w:szCs w:val="30"/>
          <w:lang w:eastAsia="zh-CN"/>
        </w:rPr>
      </w:pPr>
      <w:r>
        <w:rPr>
          <w:rFonts w:hint="eastAsia" w:eastAsia="宋体"/>
          <w:sz w:val="30"/>
          <w:szCs w:val="30"/>
          <w:lang w:eastAsia="zh-CN"/>
        </w:rPr>
        <w:t>祂借着将真实际带到正午的阳光下，而完成了神特殊的启示。</w:t>
      </w:r>
    </w:p>
    <w:p w14:paraId="0F9899F7">
      <w:pPr>
        <w:tabs>
          <w:tab w:val="left" w:pos="400"/>
        </w:tabs>
        <w:bidi w:val="0"/>
        <w:jc w:val="left"/>
        <w:rPr>
          <w:rFonts w:hint="eastAsia" w:eastAsia="宋体"/>
          <w:sz w:val="30"/>
          <w:szCs w:val="30"/>
          <w:lang w:eastAsia="zh-CN"/>
        </w:rPr>
      </w:pPr>
    </w:p>
    <w:p w14:paraId="71022DCF">
      <w:pPr>
        <w:tabs>
          <w:tab w:val="left" w:pos="400"/>
        </w:tabs>
        <w:bidi w:val="0"/>
        <w:jc w:val="left"/>
        <w:rPr>
          <w:rFonts w:hint="eastAsia" w:eastAsia="宋体"/>
          <w:sz w:val="30"/>
          <w:szCs w:val="30"/>
          <w:lang w:eastAsia="zh-CN"/>
        </w:rPr>
      </w:pPr>
      <w:r>
        <w:rPr>
          <w:rFonts w:hint="eastAsia" w:eastAsia="宋体"/>
          <w:sz w:val="30"/>
          <w:szCs w:val="30"/>
          <w:lang w:eastAsia="zh-CN"/>
        </w:rPr>
        <w:t>In his profound meditation upon the place of the Church in God’s eternal plan, the apostle Paul affirms the same thing.</w:t>
      </w:r>
    </w:p>
    <w:p w14:paraId="32212D9E">
      <w:pPr>
        <w:tabs>
          <w:tab w:val="left" w:pos="400"/>
        </w:tabs>
        <w:bidi w:val="0"/>
        <w:jc w:val="left"/>
        <w:rPr>
          <w:rFonts w:hint="eastAsia" w:eastAsia="宋体"/>
          <w:sz w:val="30"/>
          <w:szCs w:val="30"/>
          <w:lang w:eastAsia="zh-CN"/>
        </w:rPr>
      </w:pPr>
    </w:p>
    <w:p w14:paraId="761478FD">
      <w:pPr>
        <w:tabs>
          <w:tab w:val="left" w:pos="400"/>
        </w:tabs>
        <w:bidi w:val="0"/>
        <w:jc w:val="left"/>
        <w:rPr>
          <w:rFonts w:hint="eastAsia" w:eastAsia="宋体"/>
          <w:sz w:val="30"/>
          <w:szCs w:val="30"/>
          <w:lang w:eastAsia="zh-CN"/>
        </w:rPr>
      </w:pPr>
      <w:r>
        <w:rPr>
          <w:rFonts w:hint="eastAsia" w:eastAsia="宋体"/>
          <w:sz w:val="30"/>
          <w:szCs w:val="30"/>
          <w:lang w:eastAsia="zh-CN"/>
        </w:rPr>
        <w:t>在他对教会在神永恒计划中地位的深刻默想中，使徒保罗肯定了同样的事。</w:t>
      </w:r>
    </w:p>
    <w:p w14:paraId="4C28AE18">
      <w:pPr>
        <w:tabs>
          <w:tab w:val="left" w:pos="400"/>
        </w:tabs>
        <w:bidi w:val="0"/>
        <w:jc w:val="left"/>
        <w:rPr>
          <w:rFonts w:hint="eastAsia" w:eastAsia="宋体"/>
          <w:sz w:val="30"/>
          <w:szCs w:val="30"/>
          <w:lang w:eastAsia="zh-CN"/>
        </w:rPr>
      </w:pPr>
    </w:p>
    <w:p w14:paraId="314C86F6">
      <w:pPr>
        <w:tabs>
          <w:tab w:val="left" w:pos="400"/>
        </w:tabs>
        <w:bidi w:val="0"/>
        <w:jc w:val="left"/>
        <w:rPr>
          <w:rFonts w:hint="eastAsia" w:eastAsia="宋体"/>
          <w:sz w:val="30"/>
          <w:szCs w:val="30"/>
          <w:lang w:eastAsia="zh-CN"/>
        </w:rPr>
      </w:pPr>
      <w:r>
        <w:rPr>
          <w:rFonts w:hint="eastAsia" w:eastAsia="宋体"/>
          <w:sz w:val="30"/>
          <w:szCs w:val="30"/>
          <w:lang w:eastAsia="zh-CN"/>
        </w:rPr>
        <w:t>He teaches that the Church is “the pillar and support of the truth” in the world (1 Tim. 3:15).</w:t>
      </w:r>
    </w:p>
    <w:p w14:paraId="2A301450">
      <w:pPr>
        <w:tabs>
          <w:tab w:val="left" w:pos="400"/>
        </w:tabs>
        <w:bidi w:val="0"/>
        <w:jc w:val="left"/>
        <w:rPr>
          <w:rFonts w:hint="eastAsia" w:eastAsia="宋体"/>
          <w:sz w:val="30"/>
          <w:szCs w:val="30"/>
          <w:lang w:eastAsia="zh-CN"/>
        </w:rPr>
      </w:pPr>
    </w:p>
    <w:p w14:paraId="1F84B408">
      <w:pPr>
        <w:tabs>
          <w:tab w:val="left" w:pos="400"/>
        </w:tabs>
        <w:bidi w:val="0"/>
        <w:jc w:val="left"/>
        <w:rPr>
          <w:rFonts w:hint="eastAsia" w:eastAsia="宋体"/>
          <w:sz w:val="30"/>
          <w:szCs w:val="30"/>
          <w:lang w:eastAsia="zh-CN"/>
        </w:rPr>
      </w:pPr>
      <w:r>
        <w:rPr>
          <w:rFonts w:hint="eastAsia" w:eastAsia="宋体"/>
          <w:sz w:val="30"/>
          <w:szCs w:val="30"/>
          <w:lang w:eastAsia="zh-CN"/>
        </w:rPr>
        <w:t>祂教导说，教会是世上“真理的柱石和根基”（提前 3:15）。</w:t>
      </w:r>
    </w:p>
    <w:p w14:paraId="6E13C112">
      <w:pPr>
        <w:tabs>
          <w:tab w:val="left" w:pos="400"/>
        </w:tabs>
        <w:bidi w:val="0"/>
        <w:jc w:val="left"/>
        <w:rPr>
          <w:rFonts w:hint="eastAsia" w:eastAsia="宋体"/>
          <w:sz w:val="30"/>
          <w:szCs w:val="30"/>
          <w:lang w:eastAsia="zh-CN"/>
        </w:rPr>
      </w:pPr>
    </w:p>
    <w:p w14:paraId="4DDC957D">
      <w:pPr>
        <w:tabs>
          <w:tab w:val="left" w:pos="400"/>
        </w:tabs>
        <w:bidi w:val="0"/>
        <w:jc w:val="left"/>
        <w:rPr>
          <w:rFonts w:hint="eastAsia" w:eastAsia="宋体"/>
          <w:sz w:val="30"/>
          <w:szCs w:val="30"/>
          <w:lang w:eastAsia="zh-CN"/>
        </w:rPr>
      </w:pPr>
      <w:r>
        <w:rPr>
          <w:rFonts w:hint="eastAsia" w:eastAsia="宋体"/>
          <w:sz w:val="30"/>
          <w:szCs w:val="30"/>
          <w:lang w:eastAsia="zh-CN"/>
        </w:rPr>
        <w:t>Now, in these last days, Christ has come.</w:t>
      </w:r>
    </w:p>
    <w:p w14:paraId="4F113204">
      <w:pPr>
        <w:tabs>
          <w:tab w:val="left" w:pos="400"/>
        </w:tabs>
        <w:bidi w:val="0"/>
        <w:jc w:val="left"/>
        <w:rPr>
          <w:rFonts w:hint="eastAsia" w:eastAsia="宋体"/>
          <w:sz w:val="30"/>
          <w:szCs w:val="30"/>
          <w:lang w:eastAsia="zh-CN"/>
        </w:rPr>
      </w:pPr>
    </w:p>
    <w:p w14:paraId="52B5B1EC">
      <w:pPr>
        <w:tabs>
          <w:tab w:val="left" w:pos="400"/>
        </w:tabs>
        <w:bidi w:val="0"/>
        <w:jc w:val="left"/>
        <w:rPr>
          <w:rFonts w:hint="eastAsia" w:eastAsia="宋体"/>
          <w:sz w:val="30"/>
          <w:szCs w:val="30"/>
          <w:lang w:eastAsia="zh-CN"/>
        </w:rPr>
      </w:pPr>
      <w:r>
        <w:rPr>
          <w:rFonts w:hint="eastAsia" w:eastAsia="宋体"/>
          <w:sz w:val="30"/>
          <w:szCs w:val="30"/>
          <w:lang w:eastAsia="zh-CN"/>
        </w:rPr>
        <w:t>如今，在这末后的日子，基督已经来了。</w:t>
      </w:r>
    </w:p>
    <w:p w14:paraId="06321808">
      <w:pPr>
        <w:tabs>
          <w:tab w:val="left" w:pos="400"/>
        </w:tabs>
        <w:bidi w:val="0"/>
        <w:jc w:val="left"/>
        <w:rPr>
          <w:rFonts w:hint="eastAsia" w:eastAsia="宋体"/>
          <w:sz w:val="30"/>
          <w:szCs w:val="30"/>
          <w:lang w:eastAsia="zh-CN"/>
        </w:rPr>
      </w:pPr>
    </w:p>
    <w:p w14:paraId="45FACDA5">
      <w:pPr>
        <w:tabs>
          <w:tab w:val="left" w:pos="400"/>
        </w:tabs>
        <w:bidi w:val="0"/>
        <w:jc w:val="left"/>
        <w:rPr>
          <w:rFonts w:hint="eastAsia" w:eastAsia="宋体"/>
          <w:sz w:val="30"/>
          <w:szCs w:val="30"/>
          <w:lang w:eastAsia="zh-CN"/>
        </w:rPr>
      </w:pPr>
      <w:r>
        <w:rPr>
          <w:rFonts w:hint="eastAsia" w:eastAsia="宋体"/>
          <w:sz w:val="30"/>
          <w:szCs w:val="30"/>
          <w:lang w:eastAsia="zh-CN"/>
        </w:rPr>
        <w:t>Now he has unveiled God’s (formerly) hidden truth to his holy apostles and prophets (Eph. 1:8-10, 2:20).</w:t>
      </w:r>
    </w:p>
    <w:p w14:paraId="3997A44C">
      <w:pPr>
        <w:tabs>
          <w:tab w:val="left" w:pos="400"/>
        </w:tabs>
        <w:bidi w:val="0"/>
        <w:jc w:val="left"/>
        <w:rPr>
          <w:rFonts w:hint="eastAsia" w:eastAsia="宋体"/>
          <w:sz w:val="30"/>
          <w:szCs w:val="30"/>
          <w:lang w:eastAsia="zh-CN"/>
        </w:rPr>
      </w:pPr>
    </w:p>
    <w:p w14:paraId="7CC08C86">
      <w:pPr>
        <w:tabs>
          <w:tab w:val="left" w:pos="400"/>
        </w:tabs>
        <w:bidi w:val="0"/>
        <w:jc w:val="left"/>
        <w:rPr>
          <w:rFonts w:hint="eastAsia" w:eastAsia="宋体"/>
          <w:sz w:val="30"/>
          <w:szCs w:val="30"/>
          <w:lang w:eastAsia="zh-CN"/>
        </w:rPr>
      </w:pPr>
      <w:r>
        <w:rPr>
          <w:rFonts w:hint="eastAsia" w:eastAsia="宋体"/>
          <w:sz w:val="30"/>
          <w:szCs w:val="30"/>
          <w:lang w:eastAsia="zh-CN"/>
        </w:rPr>
        <w:t>如今祂已向祂的圣使徒和申言者揭示了神（先前）隐藏的真理（弗 1:8-10, 2:20）。</w:t>
      </w:r>
    </w:p>
    <w:p w14:paraId="574585E8">
      <w:pPr>
        <w:tabs>
          <w:tab w:val="left" w:pos="400"/>
        </w:tabs>
        <w:bidi w:val="0"/>
        <w:jc w:val="left"/>
        <w:rPr>
          <w:rFonts w:hint="eastAsia" w:eastAsia="宋体"/>
          <w:sz w:val="30"/>
          <w:szCs w:val="30"/>
          <w:lang w:eastAsia="zh-CN"/>
        </w:rPr>
      </w:pPr>
    </w:p>
    <w:p w14:paraId="593A6DBA">
      <w:pPr>
        <w:tabs>
          <w:tab w:val="left" w:pos="400"/>
        </w:tabs>
        <w:bidi w:val="0"/>
        <w:jc w:val="left"/>
        <w:rPr>
          <w:rFonts w:hint="eastAsia" w:eastAsia="宋体"/>
          <w:sz w:val="30"/>
          <w:szCs w:val="30"/>
          <w:lang w:eastAsia="zh-CN"/>
        </w:rPr>
      </w:pPr>
      <w:r>
        <w:rPr>
          <w:rFonts w:hint="eastAsia" w:eastAsia="宋体"/>
          <w:sz w:val="30"/>
          <w:szCs w:val="30"/>
          <w:lang w:eastAsia="zh-CN"/>
        </w:rPr>
        <w:t>Now, upon the foundation of their teaching, the Church is being built up as a holy temple in the Lord, a habitation of God the Father by the Spirit (Eph. 2:21-22).</w:t>
      </w:r>
    </w:p>
    <w:p w14:paraId="3A55E960">
      <w:pPr>
        <w:tabs>
          <w:tab w:val="left" w:pos="400"/>
        </w:tabs>
        <w:bidi w:val="0"/>
        <w:jc w:val="left"/>
        <w:rPr>
          <w:rFonts w:hint="eastAsia" w:eastAsia="宋体"/>
          <w:sz w:val="30"/>
          <w:szCs w:val="30"/>
          <w:lang w:eastAsia="zh-CN"/>
        </w:rPr>
      </w:pPr>
    </w:p>
    <w:p w14:paraId="03611790">
      <w:pPr>
        <w:tabs>
          <w:tab w:val="left" w:pos="400"/>
        </w:tabs>
        <w:bidi w:val="0"/>
        <w:jc w:val="left"/>
        <w:rPr>
          <w:rFonts w:hint="eastAsia" w:eastAsia="宋体"/>
          <w:sz w:val="30"/>
          <w:szCs w:val="30"/>
          <w:lang w:eastAsia="zh-CN"/>
        </w:rPr>
      </w:pPr>
      <w:r>
        <w:rPr>
          <w:rFonts w:hint="eastAsia" w:eastAsia="宋体"/>
          <w:sz w:val="30"/>
          <w:szCs w:val="30"/>
          <w:lang w:eastAsia="zh-CN"/>
        </w:rPr>
        <w:t>如今，在他们教导的根基上，教会正被建造成为主里的圣殿，成为父神借着圣灵居住的所在（弗 2:21-22）。</w:t>
      </w:r>
    </w:p>
    <w:p w14:paraId="0E85FBCB">
      <w:pPr>
        <w:tabs>
          <w:tab w:val="left" w:pos="400"/>
        </w:tabs>
        <w:bidi w:val="0"/>
        <w:jc w:val="left"/>
        <w:rPr>
          <w:rFonts w:hint="eastAsia" w:eastAsia="宋体"/>
          <w:sz w:val="30"/>
          <w:szCs w:val="30"/>
          <w:lang w:eastAsia="zh-CN"/>
        </w:rPr>
      </w:pPr>
    </w:p>
    <w:p w14:paraId="086A148A">
      <w:pPr>
        <w:tabs>
          <w:tab w:val="left" w:pos="400"/>
        </w:tabs>
        <w:bidi w:val="0"/>
        <w:jc w:val="left"/>
        <w:rPr>
          <w:rFonts w:hint="eastAsia" w:eastAsia="宋体"/>
          <w:sz w:val="30"/>
          <w:szCs w:val="30"/>
          <w:lang w:eastAsia="zh-CN"/>
        </w:rPr>
      </w:pPr>
      <w:r>
        <w:rPr>
          <w:rFonts w:hint="eastAsia" w:eastAsia="宋体"/>
          <w:sz w:val="30"/>
          <w:szCs w:val="30"/>
          <w:lang w:eastAsia="zh-CN"/>
        </w:rPr>
        <w:t>Accordingly, the Church does indeed become “the pillar and support of the truth”: the sole repository of the special revelation of God.</w:t>
      </w:r>
    </w:p>
    <w:p w14:paraId="6B93B31F">
      <w:pPr>
        <w:tabs>
          <w:tab w:val="left" w:pos="400"/>
        </w:tabs>
        <w:bidi w:val="0"/>
        <w:jc w:val="left"/>
        <w:rPr>
          <w:rFonts w:hint="eastAsia" w:eastAsia="宋体"/>
          <w:sz w:val="30"/>
          <w:szCs w:val="30"/>
          <w:lang w:eastAsia="zh-CN"/>
        </w:rPr>
      </w:pPr>
    </w:p>
    <w:p w14:paraId="47BC62E5">
      <w:pPr>
        <w:tabs>
          <w:tab w:val="left" w:pos="400"/>
        </w:tabs>
        <w:bidi w:val="0"/>
        <w:jc w:val="left"/>
        <w:rPr>
          <w:rFonts w:hint="eastAsia" w:eastAsia="宋体"/>
          <w:sz w:val="30"/>
          <w:szCs w:val="30"/>
          <w:lang w:eastAsia="zh-CN"/>
        </w:rPr>
      </w:pPr>
      <w:r>
        <w:rPr>
          <w:rFonts w:hint="eastAsia" w:eastAsia="宋体"/>
          <w:sz w:val="30"/>
          <w:szCs w:val="30"/>
          <w:lang w:eastAsia="zh-CN"/>
        </w:rPr>
        <w:t>因此，教会确实成了“真理的柱石和根基”：神特殊启示的唯一宝库。</w:t>
      </w:r>
    </w:p>
    <w:p w14:paraId="5ABD86D3">
      <w:pPr>
        <w:tabs>
          <w:tab w:val="left" w:pos="400"/>
        </w:tabs>
        <w:bidi w:val="0"/>
        <w:jc w:val="left"/>
        <w:rPr>
          <w:rFonts w:hint="eastAsia" w:eastAsia="宋体"/>
          <w:sz w:val="30"/>
          <w:szCs w:val="30"/>
          <w:lang w:eastAsia="zh-CN"/>
        </w:rPr>
      </w:pPr>
    </w:p>
    <w:p w14:paraId="7FCC7AEA">
      <w:pPr>
        <w:tabs>
          <w:tab w:val="left" w:pos="400"/>
        </w:tabs>
        <w:bidi w:val="0"/>
        <w:jc w:val="left"/>
        <w:rPr>
          <w:rFonts w:hint="eastAsia" w:eastAsia="宋体"/>
          <w:sz w:val="30"/>
          <w:szCs w:val="30"/>
          <w:lang w:eastAsia="zh-CN"/>
        </w:rPr>
      </w:pPr>
      <w:r>
        <w:rPr>
          <w:rFonts w:hint="eastAsia" w:eastAsia="宋体"/>
          <w:sz w:val="30"/>
          <w:szCs w:val="30"/>
          <w:lang w:eastAsia="zh-CN"/>
        </w:rPr>
        <w:t>And now that this truth is out, it can go out to the whole world.</w:t>
      </w:r>
    </w:p>
    <w:p w14:paraId="25BFBD24">
      <w:pPr>
        <w:tabs>
          <w:tab w:val="left" w:pos="400"/>
        </w:tabs>
        <w:bidi w:val="0"/>
        <w:jc w:val="left"/>
        <w:rPr>
          <w:rFonts w:hint="eastAsia" w:eastAsia="宋体"/>
          <w:sz w:val="30"/>
          <w:szCs w:val="30"/>
          <w:lang w:eastAsia="zh-CN"/>
        </w:rPr>
      </w:pPr>
    </w:p>
    <w:p w14:paraId="361371BB">
      <w:pPr>
        <w:tabs>
          <w:tab w:val="left" w:pos="400"/>
        </w:tabs>
        <w:bidi w:val="0"/>
        <w:jc w:val="left"/>
        <w:rPr>
          <w:rFonts w:hint="eastAsia" w:eastAsia="宋体"/>
          <w:sz w:val="30"/>
          <w:szCs w:val="30"/>
          <w:lang w:eastAsia="zh-CN"/>
        </w:rPr>
      </w:pPr>
      <w:r>
        <w:rPr>
          <w:rFonts w:hint="eastAsia" w:eastAsia="宋体"/>
          <w:sz w:val="30"/>
          <w:szCs w:val="30"/>
          <w:lang w:eastAsia="zh-CN"/>
        </w:rPr>
        <w:t>如今这真理既已显明，就能传遍全世界。</w:t>
      </w:r>
    </w:p>
    <w:p w14:paraId="5A85696D">
      <w:pPr>
        <w:tabs>
          <w:tab w:val="left" w:pos="400"/>
        </w:tabs>
        <w:bidi w:val="0"/>
        <w:jc w:val="left"/>
        <w:rPr>
          <w:rFonts w:hint="eastAsia" w:eastAsia="宋体"/>
          <w:sz w:val="30"/>
          <w:szCs w:val="30"/>
          <w:lang w:eastAsia="zh-CN"/>
        </w:rPr>
      </w:pPr>
    </w:p>
    <w:p w14:paraId="523DBC23">
      <w:pPr>
        <w:tabs>
          <w:tab w:val="left" w:pos="400"/>
        </w:tabs>
        <w:bidi w:val="0"/>
        <w:jc w:val="left"/>
        <w:rPr>
          <w:rFonts w:hint="eastAsia" w:eastAsia="宋体"/>
          <w:sz w:val="30"/>
          <w:szCs w:val="30"/>
          <w:lang w:eastAsia="zh-CN"/>
        </w:rPr>
      </w:pPr>
      <w:r>
        <w:rPr>
          <w:rFonts w:hint="eastAsia" w:eastAsia="宋体"/>
          <w:sz w:val="30"/>
          <w:szCs w:val="30"/>
          <w:lang w:eastAsia="zh-CN"/>
        </w:rPr>
        <w:t>At long last it can begin its great work among the nations, the work of making a Gospel-believing family of Jews and Gentiles into an eternal habitation for the living God.</w:t>
      </w:r>
    </w:p>
    <w:p w14:paraId="0100B83D">
      <w:pPr>
        <w:tabs>
          <w:tab w:val="left" w:pos="400"/>
        </w:tabs>
        <w:bidi w:val="0"/>
        <w:jc w:val="left"/>
        <w:rPr>
          <w:rFonts w:hint="eastAsia" w:eastAsia="宋体"/>
          <w:sz w:val="30"/>
          <w:szCs w:val="30"/>
          <w:lang w:eastAsia="zh-CN"/>
        </w:rPr>
      </w:pPr>
    </w:p>
    <w:p w14:paraId="292F3534">
      <w:pPr>
        <w:tabs>
          <w:tab w:val="left" w:pos="400"/>
        </w:tabs>
        <w:bidi w:val="0"/>
        <w:jc w:val="left"/>
        <w:rPr>
          <w:rFonts w:hint="eastAsia" w:eastAsia="宋体"/>
          <w:sz w:val="30"/>
          <w:szCs w:val="30"/>
          <w:lang w:eastAsia="zh-CN"/>
        </w:rPr>
      </w:pPr>
      <w:r>
        <w:rPr>
          <w:rFonts w:hint="eastAsia" w:eastAsia="宋体"/>
          <w:sz w:val="30"/>
          <w:szCs w:val="30"/>
          <w:lang w:eastAsia="zh-CN"/>
        </w:rPr>
        <w:t>它终于可以在列国中开始其伟大的工作，就是将一个信奉福音的、由犹太人和外邦人组成的家庭，建造成活神永远的居所。</w:t>
      </w:r>
    </w:p>
    <w:p w14:paraId="3C5CD1A3">
      <w:pPr>
        <w:tabs>
          <w:tab w:val="left" w:pos="400"/>
        </w:tabs>
        <w:bidi w:val="0"/>
        <w:jc w:val="left"/>
        <w:rPr>
          <w:rFonts w:hint="eastAsia" w:eastAsia="宋体"/>
          <w:sz w:val="30"/>
          <w:szCs w:val="30"/>
          <w:lang w:eastAsia="zh-CN"/>
        </w:rPr>
      </w:pPr>
    </w:p>
    <w:p w14:paraId="5A1D0906">
      <w:pPr>
        <w:tabs>
          <w:tab w:val="left" w:pos="400"/>
        </w:tabs>
        <w:bidi w:val="0"/>
        <w:jc w:val="left"/>
        <w:rPr>
          <w:rFonts w:hint="eastAsia" w:eastAsia="宋体"/>
          <w:sz w:val="30"/>
          <w:szCs w:val="30"/>
          <w:lang w:eastAsia="zh-CN"/>
        </w:rPr>
      </w:pPr>
      <w:r>
        <w:rPr>
          <w:rFonts w:hint="eastAsia" w:eastAsia="宋体"/>
          <w:sz w:val="30"/>
          <w:szCs w:val="30"/>
          <w:lang w:eastAsia="zh-CN"/>
        </w:rPr>
        <w:t>So then, God’s special revelation was progressive because he was waiting for his Son to complete it.</w:t>
      </w:r>
    </w:p>
    <w:p w14:paraId="7965F047">
      <w:pPr>
        <w:tabs>
          <w:tab w:val="left" w:pos="400"/>
        </w:tabs>
        <w:bidi w:val="0"/>
        <w:jc w:val="left"/>
        <w:rPr>
          <w:rFonts w:hint="eastAsia" w:eastAsia="宋体"/>
          <w:sz w:val="30"/>
          <w:szCs w:val="30"/>
          <w:lang w:eastAsia="zh-CN"/>
        </w:rPr>
      </w:pPr>
    </w:p>
    <w:p w14:paraId="68926A21">
      <w:pPr>
        <w:tabs>
          <w:tab w:val="left" w:pos="400"/>
        </w:tabs>
        <w:bidi w:val="0"/>
        <w:jc w:val="left"/>
        <w:rPr>
          <w:rFonts w:hint="eastAsia" w:eastAsia="宋体"/>
          <w:sz w:val="30"/>
          <w:szCs w:val="30"/>
          <w:lang w:eastAsia="zh-CN"/>
        </w:rPr>
      </w:pPr>
      <w:r>
        <w:rPr>
          <w:rFonts w:hint="eastAsia" w:eastAsia="宋体"/>
          <w:sz w:val="30"/>
          <w:szCs w:val="30"/>
          <w:lang w:eastAsia="zh-CN"/>
        </w:rPr>
        <w:t>那么，神的特殊启示是渐进的，因为祂在等候祂的儿子来完成它。</w:t>
      </w:r>
    </w:p>
    <w:p w14:paraId="11E816CC">
      <w:pPr>
        <w:tabs>
          <w:tab w:val="left" w:pos="400"/>
        </w:tabs>
        <w:bidi w:val="0"/>
        <w:jc w:val="left"/>
        <w:rPr>
          <w:rFonts w:hint="eastAsia" w:eastAsia="宋体"/>
          <w:sz w:val="30"/>
          <w:szCs w:val="30"/>
          <w:lang w:eastAsia="zh-CN"/>
        </w:rPr>
      </w:pPr>
    </w:p>
    <w:p w14:paraId="2F7E4F0E">
      <w:pPr>
        <w:tabs>
          <w:tab w:val="left" w:pos="400"/>
        </w:tabs>
        <w:bidi w:val="0"/>
        <w:jc w:val="left"/>
        <w:rPr>
          <w:rFonts w:hint="eastAsia" w:eastAsia="宋体"/>
          <w:sz w:val="30"/>
          <w:szCs w:val="30"/>
          <w:lang w:eastAsia="zh-CN"/>
        </w:rPr>
      </w:pPr>
      <w:r>
        <w:rPr>
          <w:rFonts w:hint="eastAsia" w:eastAsia="宋体"/>
          <w:sz w:val="30"/>
          <w:szCs w:val="30"/>
          <w:lang w:eastAsia="zh-CN"/>
        </w:rPr>
        <w:t>Again, this simple truth is of supreme importance for a proper understanding of eschatology.</w:t>
      </w:r>
    </w:p>
    <w:p w14:paraId="71FCB07E">
      <w:pPr>
        <w:tabs>
          <w:tab w:val="left" w:pos="400"/>
        </w:tabs>
        <w:bidi w:val="0"/>
        <w:jc w:val="left"/>
        <w:rPr>
          <w:rFonts w:hint="eastAsia" w:eastAsia="宋体"/>
          <w:sz w:val="30"/>
          <w:szCs w:val="30"/>
          <w:lang w:eastAsia="zh-CN"/>
        </w:rPr>
      </w:pPr>
    </w:p>
    <w:p w14:paraId="281BB7BE">
      <w:pPr>
        <w:tabs>
          <w:tab w:val="left" w:pos="400"/>
        </w:tabs>
        <w:bidi w:val="0"/>
        <w:jc w:val="left"/>
        <w:rPr>
          <w:rFonts w:hint="eastAsia" w:eastAsia="宋体"/>
          <w:sz w:val="30"/>
          <w:szCs w:val="30"/>
          <w:lang w:eastAsia="zh-CN"/>
        </w:rPr>
      </w:pPr>
      <w:r>
        <w:rPr>
          <w:rFonts w:hint="eastAsia" w:eastAsia="宋体"/>
          <w:sz w:val="30"/>
          <w:szCs w:val="30"/>
          <w:lang w:eastAsia="zh-CN"/>
        </w:rPr>
        <w:t>再次强调，这个简单的真理对于正确理解末世论至关重要。</w:t>
      </w:r>
    </w:p>
    <w:p w14:paraId="122EA5E2">
      <w:pPr>
        <w:tabs>
          <w:tab w:val="left" w:pos="400"/>
        </w:tabs>
        <w:bidi w:val="0"/>
        <w:jc w:val="left"/>
        <w:rPr>
          <w:rFonts w:hint="eastAsia" w:eastAsia="宋体"/>
          <w:sz w:val="30"/>
          <w:szCs w:val="30"/>
          <w:lang w:eastAsia="zh-CN"/>
        </w:rPr>
      </w:pPr>
    </w:p>
    <w:p w14:paraId="5A98CF7A">
      <w:pPr>
        <w:tabs>
          <w:tab w:val="left" w:pos="400"/>
        </w:tabs>
        <w:bidi w:val="0"/>
        <w:jc w:val="left"/>
        <w:rPr>
          <w:rFonts w:hint="eastAsia" w:eastAsia="宋体"/>
          <w:sz w:val="30"/>
          <w:szCs w:val="30"/>
          <w:lang w:eastAsia="zh-CN"/>
        </w:rPr>
      </w:pPr>
      <w:r>
        <w:rPr>
          <w:rFonts w:hint="eastAsia" w:eastAsia="宋体"/>
          <w:sz w:val="30"/>
          <w:szCs w:val="30"/>
          <w:lang w:eastAsia="zh-CN"/>
        </w:rPr>
        <w:t>But to see why, we must delve a little deeper into the exact sequence of events by which God gave his completed revelation to his people.</w:t>
      </w:r>
    </w:p>
    <w:p w14:paraId="7139B87E">
      <w:pPr>
        <w:tabs>
          <w:tab w:val="left" w:pos="400"/>
        </w:tabs>
        <w:bidi w:val="0"/>
        <w:jc w:val="left"/>
        <w:rPr>
          <w:rFonts w:hint="eastAsia" w:eastAsia="宋体"/>
          <w:sz w:val="30"/>
          <w:szCs w:val="30"/>
          <w:lang w:eastAsia="zh-CN"/>
        </w:rPr>
      </w:pPr>
    </w:p>
    <w:p w14:paraId="7212781E">
      <w:pPr>
        <w:tabs>
          <w:tab w:val="left" w:pos="400"/>
        </w:tabs>
        <w:bidi w:val="0"/>
        <w:jc w:val="left"/>
        <w:rPr>
          <w:rFonts w:hint="eastAsia" w:eastAsia="宋体"/>
          <w:sz w:val="30"/>
          <w:szCs w:val="30"/>
          <w:lang w:eastAsia="zh-CN"/>
        </w:rPr>
      </w:pPr>
      <w:r>
        <w:rPr>
          <w:rFonts w:hint="eastAsia" w:eastAsia="宋体"/>
          <w:sz w:val="30"/>
          <w:szCs w:val="30"/>
          <w:lang w:eastAsia="zh-CN"/>
        </w:rPr>
        <w:t>但要明白原因，我们必须更深入地探究神将祂完成的启示赐给祂子民的确切事件顺序。</w:t>
      </w:r>
    </w:p>
    <w:p w14:paraId="6AFBE0F9">
      <w:pPr>
        <w:tabs>
          <w:tab w:val="left" w:pos="400"/>
        </w:tabs>
        <w:bidi w:val="0"/>
        <w:jc w:val="left"/>
        <w:rPr>
          <w:rFonts w:hint="eastAsia" w:eastAsia="宋体"/>
          <w:sz w:val="30"/>
          <w:szCs w:val="30"/>
          <w:lang w:eastAsia="zh-CN"/>
        </w:rPr>
      </w:pPr>
    </w:p>
    <w:p w14:paraId="446846D2">
      <w:pPr>
        <w:tabs>
          <w:tab w:val="left" w:pos="400"/>
        </w:tabs>
        <w:bidi w:val="0"/>
        <w:jc w:val="left"/>
        <w:rPr>
          <w:rFonts w:hint="eastAsia" w:eastAsia="宋体"/>
          <w:sz w:val="30"/>
          <w:szCs w:val="30"/>
          <w:lang w:eastAsia="zh-CN"/>
        </w:rPr>
      </w:pPr>
      <w:r>
        <w:rPr>
          <w:rFonts w:hint="eastAsia" w:eastAsia="宋体"/>
          <w:sz w:val="30"/>
          <w:szCs w:val="30"/>
          <w:lang w:eastAsia="zh-CN"/>
        </w:rPr>
        <w:t>Happily, the NT that we hold in our hands makes this sequence abundantly clear.</w:t>
      </w:r>
    </w:p>
    <w:p w14:paraId="4DE3D411">
      <w:pPr>
        <w:tabs>
          <w:tab w:val="left" w:pos="400"/>
        </w:tabs>
        <w:bidi w:val="0"/>
        <w:jc w:val="left"/>
        <w:rPr>
          <w:rFonts w:hint="eastAsia" w:eastAsia="宋体"/>
          <w:sz w:val="30"/>
          <w:szCs w:val="30"/>
          <w:lang w:eastAsia="zh-CN"/>
        </w:rPr>
      </w:pPr>
    </w:p>
    <w:p w14:paraId="4781027D">
      <w:pPr>
        <w:tabs>
          <w:tab w:val="left" w:pos="400"/>
        </w:tabs>
        <w:bidi w:val="0"/>
        <w:jc w:val="left"/>
        <w:rPr>
          <w:rFonts w:hint="eastAsia" w:eastAsia="宋体"/>
          <w:sz w:val="30"/>
          <w:szCs w:val="30"/>
          <w:lang w:eastAsia="zh-CN"/>
        </w:rPr>
      </w:pPr>
      <w:r>
        <w:rPr>
          <w:rFonts w:hint="eastAsia" w:eastAsia="宋体"/>
          <w:sz w:val="30"/>
          <w:szCs w:val="30"/>
          <w:lang w:eastAsia="zh-CN"/>
        </w:rPr>
        <w:t>所幸的是，我们手中的新约使这个顺序非常清晰。</w:t>
      </w:r>
    </w:p>
    <w:p w14:paraId="38AC0575">
      <w:pPr>
        <w:tabs>
          <w:tab w:val="left" w:pos="400"/>
        </w:tabs>
        <w:bidi w:val="0"/>
        <w:jc w:val="left"/>
        <w:rPr>
          <w:rFonts w:hint="eastAsia" w:eastAsia="宋体"/>
          <w:sz w:val="30"/>
          <w:szCs w:val="30"/>
          <w:lang w:eastAsia="zh-CN"/>
        </w:rPr>
      </w:pPr>
    </w:p>
    <w:p w14:paraId="62BFE196">
      <w:pPr>
        <w:tabs>
          <w:tab w:val="left" w:pos="400"/>
        </w:tabs>
        <w:bidi w:val="0"/>
        <w:jc w:val="left"/>
        <w:rPr>
          <w:rFonts w:hint="eastAsia" w:eastAsia="宋体"/>
          <w:sz w:val="30"/>
          <w:szCs w:val="30"/>
          <w:lang w:eastAsia="zh-CN"/>
        </w:rPr>
      </w:pPr>
      <w:r>
        <w:rPr>
          <w:rFonts w:hint="eastAsia" w:eastAsia="宋体"/>
          <w:sz w:val="30"/>
          <w:szCs w:val="30"/>
          <w:lang w:eastAsia="zh-CN"/>
        </w:rPr>
        <w:t>First, God spoke directly through Christ, whose teachings are recorded in the four gospels (John 14:26).</w:t>
      </w:r>
    </w:p>
    <w:p w14:paraId="01B3CC10">
      <w:pPr>
        <w:tabs>
          <w:tab w:val="left" w:pos="400"/>
        </w:tabs>
        <w:bidi w:val="0"/>
        <w:jc w:val="left"/>
        <w:rPr>
          <w:rFonts w:hint="eastAsia" w:eastAsia="宋体"/>
          <w:sz w:val="30"/>
          <w:szCs w:val="30"/>
          <w:lang w:eastAsia="zh-CN"/>
        </w:rPr>
      </w:pPr>
    </w:p>
    <w:p w14:paraId="5FB58311">
      <w:pPr>
        <w:tabs>
          <w:tab w:val="left" w:pos="400"/>
        </w:tabs>
        <w:bidi w:val="0"/>
        <w:jc w:val="left"/>
        <w:rPr>
          <w:rFonts w:hint="eastAsia" w:eastAsia="宋体"/>
          <w:sz w:val="30"/>
          <w:szCs w:val="30"/>
          <w:lang w:eastAsia="zh-CN"/>
        </w:rPr>
      </w:pPr>
      <w:r>
        <w:rPr>
          <w:rFonts w:hint="eastAsia" w:eastAsia="宋体"/>
          <w:sz w:val="30"/>
          <w:szCs w:val="30"/>
          <w:lang w:eastAsia="zh-CN"/>
        </w:rPr>
        <w:t>首先，神直接借着基督说话，祂的教导记录在四福音书中（约 14:26）。</w:t>
      </w:r>
    </w:p>
    <w:p w14:paraId="0F7CBC80">
      <w:pPr>
        <w:tabs>
          <w:tab w:val="left" w:pos="400"/>
        </w:tabs>
        <w:bidi w:val="0"/>
        <w:jc w:val="left"/>
        <w:rPr>
          <w:rFonts w:hint="eastAsia" w:eastAsia="宋体"/>
          <w:sz w:val="30"/>
          <w:szCs w:val="30"/>
          <w:lang w:eastAsia="zh-CN"/>
        </w:rPr>
      </w:pPr>
    </w:p>
    <w:p w14:paraId="255B8B6E">
      <w:pPr>
        <w:tabs>
          <w:tab w:val="left" w:pos="400"/>
        </w:tabs>
        <w:bidi w:val="0"/>
        <w:jc w:val="left"/>
        <w:rPr>
          <w:rFonts w:hint="eastAsia" w:eastAsia="宋体"/>
          <w:sz w:val="30"/>
          <w:szCs w:val="30"/>
          <w:lang w:eastAsia="zh-CN"/>
        </w:rPr>
      </w:pPr>
      <w:r>
        <w:rPr>
          <w:rFonts w:hint="eastAsia" w:eastAsia="宋体"/>
          <w:sz w:val="30"/>
          <w:szCs w:val="30"/>
          <w:lang w:eastAsia="zh-CN"/>
        </w:rPr>
        <w:t>Then, after Pentecost, he again spoke through (the exalted) Christ, this time through his chosen apostles and prophets.</w:t>
      </w:r>
    </w:p>
    <w:p w14:paraId="15E9F008">
      <w:pPr>
        <w:tabs>
          <w:tab w:val="left" w:pos="400"/>
        </w:tabs>
        <w:bidi w:val="0"/>
        <w:jc w:val="left"/>
        <w:rPr>
          <w:rFonts w:hint="eastAsia" w:eastAsia="宋体"/>
          <w:sz w:val="30"/>
          <w:szCs w:val="30"/>
          <w:lang w:eastAsia="zh-CN"/>
        </w:rPr>
      </w:pPr>
    </w:p>
    <w:p w14:paraId="07234E06">
      <w:pPr>
        <w:tabs>
          <w:tab w:val="left" w:pos="400"/>
        </w:tabs>
        <w:bidi w:val="0"/>
        <w:jc w:val="left"/>
        <w:rPr>
          <w:rFonts w:hint="eastAsia" w:eastAsia="宋体"/>
          <w:sz w:val="30"/>
          <w:szCs w:val="30"/>
          <w:lang w:eastAsia="zh-CN"/>
        </w:rPr>
      </w:pPr>
      <w:r>
        <w:rPr>
          <w:rFonts w:hint="eastAsia" w:eastAsia="宋体"/>
          <w:sz w:val="30"/>
          <w:szCs w:val="30"/>
          <w:lang w:eastAsia="zh-CN"/>
        </w:rPr>
        <w:t>然后，在五旬节之后，祂再次借着（被高举的）基督说话，这次是借着祂所拣选的使徒和申言者。</w:t>
      </w:r>
    </w:p>
    <w:p w14:paraId="601903AB">
      <w:pPr>
        <w:tabs>
          <w:tab w:val="left" w:pos="400"/>
        </w:tabs>
        <w:bidi w:val="0"/>
        <w:jc w:val="left"/>
        <w:rPr>
          <w:rFonts w:hint="eastAsia" w:eastAsia="宋体"/>
          <w:sz w:val="30"/>
          <w:szCs w:val="30"/>
          <w:lang w:eastAsia="zh-CN"/>
        </w:rPr>
      </w:pPr>
    </w:p>
    <w:p w14:paraId="4322D0B0">
      <w:pPr>
        <w:tabs>
          <w:tab w:val="left" w:pos="400"/>
        </w:tabs>
        <w:bidi w:val="0"/>
        <w:jc w:val="left"/>
        <w:rPr>
          <w:rFonts w:hint="eastAsia" w:eastAsia="宋体"/>
          <w:sz w:val="30"/>
          <w:szCs w:val="30"/>
          <w:lang w:eastAsia="zh-CN"/>
        </w:rPr>
      </w:pPr>
      <w:r>
        <w:rPr>
          <w:rFonts w:hint="eastAsia" w:eastAsia="宋体"/>
          <w:sz w:val="30"/>
          <w:szCs w:val="30"/>
          <w:lang w:eastAsia="zh-CN"/>
        </w:rPr>
        <w:t>Initially, they passed along his revelations in their oral ministry of preaching and teaching, a partial record of which we find in the book of Acts.</w:t>
      </w:r>
    </w:p>
    <w:p w14:paraId="02E40741">
      <w:pPr>
        <w:tabs>
          <w:tab w:val="left" w:pos="400"/>
        </w:tabs>
        <w:bidi w:val="0"/>
        <w:jc w:val="left"/>
        <w:rPr>
          <w:rFonts w:hint="eastAsia" w:eastAsia="宋体"/>
          <w:sz w:val="30"/>
          <w:szCs w:val="30"/>
          <w:lang w:eastAsia="zh-CN"/>
        </w:rPr>
      </w:pPr>
    </w:p>
    <w:p w14:paraId="5C790ED8">
      <w:pPr>
        <w:tabs>
          <w:tab w:val="left" w:pos="400"/>
        </w:tabs>
        <w:bidi w:val="0"/>
        <w:jc w:val="left"/>
        <w:rPr>
          <w:rFonts w:hint="eastAsia" w:eastAsia="宋体"/>
          <w:sz w:val="30"/>
          <w:szCs w:val="30"/>
          <w:lang w:eastAsia="zh-CN"/>
        </w:rPr>
      </w:pPr>
      <w:r>
        <w:rPr>
          <w:rFonts w:hint="eastAsia" w:eastAsia="宋体"/>
          <w:sz w:val="30"/>
          <w:szCs w:val="30"/>
          <w:lang w:eastAsia="zh-CN"/>
        </w:rPr>
        <w:t>起初，他们在讲道和教导的口头职事中传递祂的启示，我们在使徒行传中可以找到其部分记录。</w:t>
      </w:r>
    </w:p>
    <w:p w14:paraId="7F1FB591">
      <w:pPr>
        <w:tabs>
          <w:tab w:val="left" w:pos="400"/>
        </w:tabs>
        <w:bidi w:val="0"/>
        <w:jc w:val="left"/>
        <w:rPr>
          <w:rFonts w:hint="eastAsia" w:eastAsia="宋体"/>
          <w:sz w:val="30"/>
          <w:szCs w:val="30"/>
          <w:lang w:eastAsia="zh-CN"/>
        </w:rPr>
      </w:pPr>
    </w:p>
    <w:p w14:paraId="18ADC449">
      <w:pPr>
        <w:tabs>
          <w:tab w:val="left" w:pos="400"/>
        </w:tabs>
        <w:bidi w:val="0"/>
        <w:jc w:val="left"/>
        <w:rPr>
          <w:rFonts w:hint="eastAsia" w:eastAsia="宋体"/>
          <w:sz w:val="30"/>
          <w:szCs w:val="30"/>
          <w:lang w:eastAsia="zh-CN"/>
        </w:rPr>
      </w:pPr>
      <w:r>
        <w:rPr>
          <w:rFonts w:hint="eastAsia" w:eastAsia="宋体"/>
          <w:sz w:val="30"/>
          <w:szCs w:val="30"/>
          <w:lang w:eastAsia="zh-CN"/>
        </w:rPr>
        <w:t>Later, they did the same through their writings, which we find in the epistles and the Revelation.</w:t>
      </w:r>
    </w:p>
    <w:p w14:paraId="2DAA4968">
      <w:pPr>
        <w:tabs>
          <w:tab w:val="left" w:pos="400"/>
        </w:tabs>
        <w:bidi w:val="0"/>
        <w:jc w:val="left"/>
        <w:rPr>
          <w:rFonts w:hint="eastAsia" w:eastAsia="宋体"/>
          <w:sz w:val="30"/>
          <w:szCs w:val="30"/>
          <w:lang w:eastAsia="zh-CN"/>
        </w:rPr>
      </w:pPr>
    </w:p>
    <w:p w14:paraId="10F93390">
      <w:pPr>
        <w:tabs>
          <w:tab w:val="left" w:pos="400"/>
        </w:tabs>
        <w:bidi w:val="0"/>
        <w:jc w:val="left"/>
        <w:rPr>
          <w:rFonts w:hint="eastAsia" w:eastAsia="宋体"/>
          <w:sz w:val="30"/>
          <w:szCs w:val="30"/>
          <w:lang w:eastAsia="zh-CN"/>
        </w:rPr>
      </w:pPr>
      <w:r>
        <w:rPr>
          <w:rFonts w:hint="eastAsia" w:eastAsia="宋体"/>
          <w:sz w:val="30"/>
          <w:szCs w:val="30"/>
          <w:lang w:eastAsia="zh-CN"/>
        </w:rPr>
        <w:t>后来，他们通过他们的著作也做了同样的事，这些著作我们在书信和启示录中可以找到。</w:t>
      </w:r>
    </w:p>
    <w:p w14:paraId="68AD9D06">
      <w:pPr>
        <w:tabs>
          <w:tab w:val="left" w:pos="400"/>
        </w:tabs>
        <w:bidi w:val="0"/>
        <w:jc w:val="left"/>
        <w:rPr>
          <w:rFonts w:hint="eastAsia" w:eastAsia="宋体"/>
          <w:sz w:val="30"/>
          <w:szCs w:val="30"/>
          <w:lang w:eastAsia="zh-CN"/>
        </w:rPr>
      </w:pPr>
    </w:p>
    <w:p w14:paraId="7C797714">
      <w:pPr>
        <w:tabs>
          <w:tab w:val="left" w:pos="400"/>
        </w:tabs>
        <w:bidi w:val="0"/>
        <w:jc w:val="left"/>
        <w:rPr>
          <w:rFonts w:hint="eastAsia" w:eastAsia="宋体"/>
          <w:sz w:val="30"/>
          <w:szCs w:val="30"/>
          <w:lang w:eastAsia="zh-CN"/>
        </w:rPr>
      </w:pPr>
      <w:r>
        <w:rPr>
          <w:rFonts w:hint="eastAsia" w:eastAsia="宋体"/>
          <w:sz w:val="30"/>
          <w:szCs w:val="30"/>
          <w:lang w:eastAsia="zh-CN"/>
        </w:rPr>
        <w:t>Notably, all of this was in fulfillment of Christ’s words to the apostles while he was yet upon the earth:</w:t>
      </w:r>
    </w:p>
    <w:p w14:paraId="2573CD3C">
      <w:pPr>
        <w:tabs>
          <w:tab w:val="left" w:pos="400"/>
        </w:tabs>
        <w:bidi w:val="0"/>
        <w:jc w:val="left"/>
        <w:rPr>
          <w:rFonts w:hint="eastAsia" w:eastAsia="宋体"/>
          <w:sz w:val="30"/>
          <w:szCs w:val="30"/>
          <w:lang w:eastAsia="zh-CN"/>
        </w:rPr>
      </w:pPr>
    </w:p>
    <w:p w14:paraId="2492AC2B">
      <w:pPr>
        <w:tabs>
          <w:tab w:val="left" w:pos="400"/>
        </w:tabs>
        <w:bidi w:val="0"/>
        <w:jc w:val="left"/>
        <w:rPr>
          <w:rFonts w:hint="eastAsia" w:eastAsia="宋体"/>
          <w:sz w:val="30"/>
          <w:szCs w:val="30"/>
          <w:lang w:eastAsia="zh-CN"/>
        </w:rPr>
      </w:pPr>
      <w:r>
        <w:rPr>
          <w:rFonts w:hint="eastAsia" w:eastAsia="宋体"/>
          <w:sz w:val="30"/>
          <w:szCs w:val="30"/>
          <w:lang w:eastAsia="zh-CN"/>
        </w:rPr>
        <w:t>值得注意的是，所有这一切都是为要应验基督还在地上时对使徒们所说的话：</w:t>
      </w:r>
    </w:p>
    <w:p w14:paraId="5DF337CB">
      <w:pPr>
        <w:tabs>
          <w:tab w:val="left" w:pos="400"/>
        </w:tabs>
        <w:bidi w:val="0"/>
        <w:jc w:val="left"/>
        <w:rPr>
          <w:rFonts w:hint="eastAsia" w:eastAsia="宋体"/>
          <w:sz w:val="30"/>
          <w:szCs w:val="30"/>
          <w:lang w:eastAsia="zh-CN"/>
        </w:rPr>
      </w:pPr>
    </w:p>
    <w:p w14:paraId="4E7DA6AF">
      <w:pPr>
        <w:tabs>
          <w:tab w:val="left" w:pos="400"/>
        </w:tabs>
        <w:bidi w:val="0"/>
        <w:jc w:val="left"/>
        <w:rPr>
          <w:rFonts w:hint="eastAsia" w:eastAsia="宋体"/>
          <w:sz w:val="30"/>
          <w:szCs w:val="30"/>
          <w:lang w:eastAsia="zh-CN"/>
        </w:rPr>
      </w:pPr>
      <w:r>
        <w:rPr>
          <w:rFonts w:hint="eastAsia" w:eastAsia="宋体"/>
          <w:sz w:val="30"/>
          <w:szCs w:val="30"/>
          <w:lang w:eastAsia="zh-CN"/>
        </w:rPr>
        <w:t>I have many more things to say to you, but you cannot bear them now.</w:t>
      </w:r>
    </w:p>
    <w:p w14:paraId="5B5539E6">
      <w:pPr>
        <w:tabs>
          <w:tab w:val="left" w:pos="400"/>
        </w:tabs>
        <w:bidi w:val="0"/>
        <w:jc w:val="left"/>
        <w:rPr>
          <w:rFonts w:hint="eastAsia" w:eastAsia="宋体"/>
          <w:sz w:val="30"/>
          <w:szCs w:val="30"/>
          <w:lang w:eastAsia="zh-CN"/>
        </w:rPr>
      </w:pPr>
    </w:p>
    <w:p w14:paraId="510DD995">
      <w:pPr>
        <w:tabs>
          <w:tab w:val="left" w:pos="400"/>
        </w:tabs>
        <w:bidi w:val="0"/>
        <w:jc w:val="left"/>
        <w:rPr>
          <w:rFonts w:hint="eastAsia" w:eastAsia="宋体"/>
          <w:sz w:val="30"/>
          <w:szCs w:val="30"/>
          <w:lang w:eastAsia="zh-CN"/>
        </w:rPr>
      </w:pPr>
      <w:r>
        <w:rPr>
          <w:rFonts w:hint="eastAsia" w:eastAsia="宋体"/>
          <w:sz w:val="30"/>
          <w:szCs w:val="30"/>
          <w:lang w:eastAsia="zh-CN"/>
        </w:rPr>
        <w:t>我还有好些事要告诉你们，但你们现在担当不了。</w:t>
      </w:r>
    </w:p>
    <w:p w14:paraId="21469DD2">
      <w:pPr>
        <w:tabs>
          <w:tab w:val="left" w:pos="400"/>
        </w:tabs>
        <w:bidi w:val="0"/>
        <w:jc w:val="left"/>
        <w:rPr>
          <w:rFonts w:hint="eastAsia" w:eastAsia="宋体"/>
          <w:sz w:val="30"/>
          <w:szCs w:val="30"/>
          <w:lang w:eastAsia="zh-CN"/>
        </w:rPr>
      </w:pPr>
    </w:p>
    <w:p w14:paraId="6CE9098B">
      <w:pPr>
        <w:tabs>
          <w:tab w:val="left" w:pos="400"/>
        </w:tabs>
        <w:bidi w:val="0"/>
        <w:jc w:val="left"/>
        <w:rPr>
          <w:rFonts w:hint="eastAsia" w:eastAsia="宋体"/>
          <w:sz w:val="30"/>
          <w:szCs w:val="30"/>
          <w:lang w:eastAsia="zh-CN"/>
        </w:rPr>
      </w:pPr>
      <w:r>
        <w:rPr>
          <w:rFonts w:hint="eastAsia" w:eastAsia="宋体"/>
          <w:sz w:val="30"/>
          <w:szCs w:val="30"/>
          <w:lang w:eastAsia="zh-CN"/>
        </w:rPr>
        <w:t>But when He, the Spirit of Truth, comes, He will guide you into all the truth; for He will not speak on his own initiative, but whatever He hears, He will speak; and He will disclose to you what is to come.</w:t>
      </w:r>
    </w:p>
    <w:p w14:paraId="368048BF">
      <w:pPr>
        <w:tabs>
          <w:tab w:val="left" w:pos="400"/>
        </w:tabs>
        <w:bidi w:val="0"/>
        <w:jc w:val="left"/>
        <w:rPr>
          <w:rFonts w:hint="eastAsia" w:eastAsia="宋体"/>
          <w:sz w:val="30"/>
          <w:szCs w:val="30"/>
          <w:lang w:eastAsia="zh-CN"/>
        </w:rPr>
      </w:pPr>
    </w:p>
    <w:p w14:paraId="4670434A">
      <w:pPr>
        <w:tabs>
          <w:tab w:val="left" w:pos="400"/>
        </w:tabs>
        <w:bidi w:val="0"/>
        <w:jc w:val="left"/>
        <w:rPr>
          <w:rFonts w:hint="eastAsia" w:eastAsia="宋体"/>
          <w:sz w:val="30"/>
          <w:szCs w:val="30"/>
          <w:lang w:eastAsia="zh-CN"/>
        </w:rPr>
      </w:pPr>
      <w:r>
        <w:rPr>
          <w:rFonts w:hint="eastAsia" w:eastAsia="宋体"/>
          <w:sz w:val="30"/>
          <w:szCs w:val="30"/>
          <w:lang w:eastAsia="zh-CN"/>
        </w:rPr>
        <w:t>只等祂，就是真理的灵，来了，祂要引导你们进入一切的真理；因为祂不是凭自己说的，乃是把祂所听见的都说出来，并要把将来的事告诉你们。</w:t>
      </w:r>
    </w:p>
    <w:p w14:paraId="61D9B538">
      <w:pPr>
        <w:tabs>
          <w:tab w:val="left" w:pos="400"/>
        </w:tabs>
        <w:bidi w:val="0"/>
        <w:jc w:val="left"/>
        <w:rPr>
          <w:rFonts w:hint="eastAsia" w:eastAsia="宋体"/>
          <w:sz w:val="30"/>
          <w:szCs w:val="30"/>
          <w:lang w:eastAsia="zh-CN"/>
        </w:rPr>
      </w:pPr>
    </w:p>
    <w:p w14:paraId="564C7AB1">
      <w:pPr>
        <w:tabs>
          <w:tab w:val="left" w:pos="400"/>
        </w:tabs>
        <w:bidi w:val="0"/>
        <w:jc w:val="left"/>
        <w:rPr>
          <w:rFonts w:hint="eastAsia" w:eastAsia="宋体"/>
          <w:sz w:val="30"/>
          <w:szCs w:val="30"/>
          <w:lang w:eastAsia="zh-CN"/>
        </w:rPr>
      </w:pPr>
      <w:r>
        <w:rPr>
          <w:rFonts w:hint="eastAsia" w:eastAsia="宋体"/>
          <w:sz w:val="30"/>
          <w:szCs w:val="30"/>
          <w:lang w:eastAsia="zh-CN"/>
        </w:rPr>
        <w:t>He shall glorify Me; for He shall take of Mine, and shall disclose it to you.</w:t>
      </w:r>
    </w:p>
    <w:p w14:paraId="4F1D9D55">
      <w:pPr>
        <w:tabs>
          <w:tab w:val="left" w:pos="400"/>
        </w:tabs>
        <w:bidi w:val="0"/>
        <w:jc w:val="left"/>
        <w:rPr>
          <w:rFonts w:hint="eastAsia" w:eastAsia="宋体"/>
          <w:sz w:val="30"/>
          <w:szCs w:val="30"/>
          <w:lang w:eastAsia="zh-CN"/>
        </w:rPr>
      </w:pPr>
    </w:p>
    <w:p w14:paraId="560D7B1E">
      <w:pPr>
        <w:tabs>
          <w:tab w:val="left" w:pos="400"/>
        </w:tabs>
        <w:bidi w:val="0"/>
        <w:jc w:val="left"/>
        <w:rPr>
          <w:rFonts w:hint="eastAsia" w:eastAsia="宋体"/>
          <w:sz w:val="30"/>
          <w:szCs w:val="30"/>
          <w:lang w:eastAsia="zh-CN"/>
        </w:rPr>
      </w:pPr>
      <w:r>
        <w:rPr>
          <w:rFonts w:hint="eastAsia" w:eastAsia="宋体"/>
          <w:sz w:val="30"/>
          <w:szCs w:val="30"/>
          <w:lang w:eastAsia="zh-CN"/>
        </w:rPr>
        <w:t>祂要荣耀我；因为祂要将受于我的，告诉你们。</w:t>
      </w:r>
    </w:p>
    <w:p w14:paraId="121019A5">
      <w:pPr>
        <w:tabs>
          <w:tab w:val="left" w:pos="400"/>
        </w:tabs>
        <w:bidi w:val="0"/>
        <w:jc w:val="left"/>
        <w:rPr>
          <w:rFonts w:hint="eastAsia" w:eastAsia="宋体"/>
          <w:sz w:val="30"/>
          <w:szCs w:val="30"/>
          <w:lang w:eastAsia="zh-CN"/>
        </w:rPr>
      </w:pPr>
    </w:p>
    <w:p w14:paraId="36944F70">
      <w:pPr>
        <w:tabs>
          <w:tab w:val="left" w:pos="400"/>
        </w:tabs>
        <w:bidi w:val="0"/>
        <w:jc w:val="left"/>
        <w:rPr>
          <w:rFonts w:hint="eastAsia" w:eastAsia="宋体"/>
          <w:sz w:val="30"/>
          <w:szCs w:val="30"/>
          <w:lang w:eastAsia="zh-CN"/>
        </w:rPr>
      </w:pPr>
      <w:r>
        <w:rPr>
          <w:rFonts w:hint="eastAsia" w:eastAsia="宋体"/>
          <w:sz w:val="30"/>
          <w:szCs w:val="30"/>
          <w:lang w:eastAsia="zh-CN"/>
        </w:rPr>
        <w:t>All things that the Father has are Mine; therefore I said that He takes of Mine, and will disclose it to you.</w:t>
      </w:r>
    </w:p>
    <w:p w14:paraId="46EE91A3">
      <w:pPr>
        <w:tabs>
          <w:tab w:val="left" w:pos="400"/>
        </w:tabs>
        <w:bidi w:val="0"/>
        <w:jc w:val="left"/>
        <w:rPr>
          <w:rFonts w:hint="eastAsia" w:eastAsia="宋体"/>
          <w:sz w:val="30"/>
          <w:szCs w:val="30"/>
          <w:lang w:eastAsia="zh-CN"/>
        </w:rPr>
      </w:pPr>
    </w:p>
    <w:p w14:paraId="2297DC43">
      <w:pPr>
        <w:tabs>
          <w:tab w:val="left" w:pos="400"/>
        </w:tabs>
        <w:bidi w:val="0"/>
        <w:jc w:val="left"/>
        <w:rPr>
          <w:rFonts w:hint="eastAsia" w:eastAsia="宋体"/>
          <w:sz w:val="30"/>
          <w:szCs w:val="30"/>
          <w:lang w:eastAsia="zh-CN"/>
        </w:rPr>
      </w:pPr>
      <w:r>
        <w:rPr>
          <w:rFonts w:hint="eastAsia" w:eastAsia="宋体"/>
          <w:sz w:val="30"/>
          <w:szCs w:val="30"/>
          <w:lang w:eastAsia="zh-CN"/>
        </w:rPr>
        <w:t>凡父所有的，都是我的；所以我说，祂要将受于我的，告诉你们。</w:t>
      </w:r>
    </w:p>
    <w:p w14:paraId="4CDC5EC1">
      <w:pPr>
        <w:tabs>
          <w:tab w:val="left" w:pos="400"/>
        </w:tabs>
        <w:bidi w:val="0"/>
        <w:jc w:val="left"/>
        <w:rPr>
          <w:rFonts w:hint="eastAsia" w:eastAsia="宋体"/>
          <w:sz w:val="30"/>
          <w:szCs w:val="30"/>
          <w:lang w:eastAsia="zh-CN"/>
        </w:rPr>
      </w:pPr>
    </w:p>
    <w:p w14:paraId="313027DD">
      <w:pPr>
        <w:tabs>
          <w:tab w:val="left" w:pos="400"/>
        </w:tabs>
        <w:bidi w:val="0"/>
        <w:jc w:val="left"/>
        <w:rPr>
          <w:rFonts w:hint="eastAsia" w:eastAsia="宋体"/>
          <w:sz w:val="30"/>
          <w:szCs w:val="30"/>
          <w:lang w:eastAsia="zh-CN"/>
        </w:rPr>
      </w:pPr>
      <w:r>
        <w:rPr>
          <w:rFonts w:hint="eastAsia" w:eastAsia="宋体"/>
          <w:sz w:val="30"/>
          <w:szCs w:val="30"/>
          <w:lang w:eastAsia="zh-CN"/>
        </w:rPr>
        <w:t>—John 16:12-15</w:t>
      </w:r>
    </w:p>
    <w:p w14:paraId="3389D6CE">
      <w:pPr>
        <w:tabs>
          <w:tab w:val="left" w:pos="400"/>
        </w:tabs>
        <w:bidi w:val="0"/>
        <w:jc w:val="left"/>
        <w:rPr>
          <w:rFonts w:hint="eastAsia" w:eastAsia="宋体"/>
          <w:sz w:val="30"/>
          <w:szCs w:val="30"/>
          <w:lang w:eastAsia="zh-CN"/>
        </w:rPr>
      </w:pPr>
    </w:p>
    <w:p w14:paraId="3116B554">
      <w:pPr>
        <w:tabs>
          <w:tab w:val="left" w:pos="400"/>
        </w:tabs>
        <w:bidi w:val="0"/>
        <w:jc w:val="left"/>
        <w:rPr>
          <w:rFonts w:hint="eastAsia" w:eastAsia="宋体"/>
          <w:sz w:val="30"/>
          <w:szCs w:val="30"/>
          <w:lang w:eastAsia="zh-CN"/>
        </w:rPr>
      </w:pPr>
      <w:r>
        <w:rPr>
          <w:rFonts w:hint="eastAsia" w:eastAsia="宋体"/>
          <w:sz w:val="30"/>
          <w:szCs w:val="30"/>
          <w:lang w:eastAsia="zh-CN"/>
        </w:rPr>
        <w:t>——约翰福音 16:12-15</w:t>
      </w:r>
    </w:p>
    <w:p w14:paraId="27C8D339">
      <w:pPr>
        <w:tabs>
          <w:tab w:val="left" w:pos="400"/>
        </w:tabs>
        <w:bidi w:val="0"/>
        <w:jc w:val="left"/>
        <w:rPr>
          <w:rFonts w:hint="eastAsia" w:eastAsia="宋体"/>
          <w:sz w:val="30"/>
          <w:szCs w:val="30"/>
          <w:lang w:eastAsia="zh-CN"/>
        </w:rPr>
      </w:pPr>
    </w:p>
    <w:p w14:paraId="54C6E1B8">
      <w:pPr>
        <w:tabs>
          <w:tab w:val="left" w:pos="400"/>
        </w:tabs>
        <w:bidi w:val="0"/>
        <w:jc w:val="left"/>
        <w:rPr>
          <w:rFonts w:hint="eastAsia" w:eastAsia="宋体"/>
          <w:sz w:val="30"/>
          <w:szCs w:val="30"/>
          <w:lang w:eastAsia="zh-CN"/>
        </w:rPr>
      </w:pPr>
      <w:r>
        <w:rPr>
          <w:rFonts w:hint="eastAsia" w:eastAsia="宋体"/>
          <w:sz w:val="30"/>
          <w:szCs w:val="30"/>
          <w:lang w:eastAsia="zh-CN"/>
        </w:rPr>
        <w:t>Here we encounter what I like to call “the great chain of revelation”, the hierarchical cascade by which God’s definitive special revelation flowed down from the Father, through Christ, through the Spirit, through Christ’s holy apostles and prophets, to his (elect Jewish) people and to the whole world (cf. Rev. 1:1-11).</w:t>
      </w:r>
    </w:p>
    <w:p w14:paraId="1F992F58">
      <w:pPr>
        <w:tabs>
          <w:tab w:val="left" w:pos="400"/>
        </w:tabs>
        <w:bidi w:val="0"/>
        <w:jc w:val="left"/>
        <w:rPr>
          <w:rFonts w:hint="eastAsia" w:eastAsia="宋体"/>
          <w:sz w:val="30"/>
          <w:szCs w:val="30"/>
          <w:lang w:eastAsia="zh-CN"/>
        </w:rPr>
      </w:pPr>
    </w:p>
    <w:p w14:paraId="27D033AA">
      <w:pPr>
        <w:tabs>
          <w:tab w:val="left" w:pos="400"/>
        </w:tabs>
        <w:bidi w:val="0"/>
        <w:jc w:val="left"/>
        <w:rPr>
          <w:rFonts w:hint="eastAsia" w:eastAsia="宋体"/>
          <w:sz w:val="30"/>
          <w:szCs w:val="30"/>
          <w:lang w:eastAsia="zh-CN"/>
        </w:rPr>
      </w:pPr>
      <w:r>
        <w:rPr>
          <w:rFonts w:hint="eastAsia" w:eastAsia="宋体"/>
          <w:sz w:val="30"/>
          <w:szCs w:val="30"/>
          <w:lang w:eastAsia="zh-CN"/>
        </w:rPr>
        <w:t>在这里我们遇到了我喜欢称之为“启示的大链条”的东西，这是一个等级分明的瀑布，神的确定性特殊启示从父那里流下，经过基督，经过圣灵，经过基督的圣使徒和申言者，流到祂（蒙拣选的犹太）子民和全世界（参 启 1:1-11）。</w:t>
      </w:r>
    </w:p>
    <w:p w14:paraId="6AD30D0F">
      <w:pPr>
        <w:tabs>
          <w:tab w:val="left" w:pos="400"/>
        </w:tabs>
        <w:bidi w:val="0"/>
        <w:jc w:val="left"/>
        <w:rPr>
          <w:rFonts w:hint="eastAsia" w:eastAsia="宋体"/>
          <w:sz w:val="30"/>
          <w:szCs w:val="30"/>
          <w:lang w:eastAsia="zh-CN"/>
        </w:rPr>
      </w:pPr>
    </w:p>
    <w:p w14:paraId="38A8EC9B">
      <w:pPr>
        <w:tabs>
          <w:tab w:val="left" w:pos="400"/>
        </w:tabs>
        <w:bidi w:val="0"/>
        <w:jc w:val="left"/>
        <w:rPr>
          <w:rFonts w:hint="eastAsia" w:eastAsia="宋体"/>
          <w:sz w:val="30"/>
          <w:szCs w:val="30"/>
          <w:lang w:eastAsia="zh-CN"/>
        </w:rPr>
      </w:pPr>
      <w:r>
        <w:rPr>
          <w:rFonts w:hint="eastAsia" w:eastAsia="宋体"/>
          <w:sz w:val="30"/>
          <w:szCs w:val="30"/>
          <w:lang w:eastAsia="zh-CN"/>
        </w:rPr>
        <w:t>Note carefully from our text that even in NT times this revelation was progressive.</w:t>
      </w:r>
    </w:p>
    <w:p w14:paraId="32EDE29C">
      <w:pPr>
        <w:tabs>
          <w:tab w:val="left" w:pos="400"/>
        </w:tabs>
        <w:bidi w:val="0"/>
        <w:jc w:val="left"/>
        <w:rPr>
          <w:rFonts w:hint="eastAsia" w:eastAsia="宋体"/>
          <w:sz w:val="30"/>
          <w:szCs w:val="30"/>
          <w:lang w:eastAsia="zh-CN"/>
        </w:rPr>
      </w:pPr>
    </w:p>
    <w:p w14:paraId="53D93869">
      <w:pPr>
        <w:tabs>
          <w:tab w:val="left" w:pos="400"/>
        </w:tabs>
        <w:bidi w:val="0"/>
        <w:jc w:val="left"/>
        <w:rPr>
          <w:rFonts w:hint="eastAsia" w:eastAsia="宋体"/>
          <w:sz w:val="30"/>
          <w:szCs w:val="30"/>
          <w:lang w:eastAsia="zh-CN"/>
        </w:rPr>
      </w:pPr>
      <w:r>
        <w:rPr>
          <w:rFonts w:hint="eastAsia" w:eastAsia="宋体"/>
          <w:sz w:val="30"/>
          <w:szCs w:val="30"/>
          <w:lang w:eastAsia="zh-CN"/>
        </w:rPr>
        <w:t>从我们的经文中仔细注意，即使在新约时代，这个启示也是渐进的。</w:t>
      </w:r>
    </w:p>
    <w:p w14:paraId="5A473848">
      <w:pPr>
        <w:tabs>
          <w:tab w:val="left" w:pos="400"/>
        </w:tabs>
        <w:bidi w:val="0"/>
        <w:jc w:val="left"/>
        <w:rPr>
          <w:rFonts w:hint="eastAsia" w:eastAsia="宋体"/>
          <w:sz w:val="30"/>
          <w:szCs w:val="30"/>
          <w:lang w:eastAsia="zh-CN"/>
        </w:rPr>
      </w:pPr>
    </w:p>
    <w:p w14:paraId="1BE30254">
      <w:pPr>
        <w:tabs>
          <w:tab w:val="left" w:pos="400"/>
        </w:tabs>
        <w:bidi w:val="0"/>
        <w:jc w:val="left"/>
        <w:rPr>
          <w:rFonts w:hint="eastAsia" w:eastAsia="宋体"/>
          <w:sz w:val="30"/>
          <w:szCs w:val="30"/>
          <w:lang w:eastAsia="zh-CN"/>
        </w:rPr>
      </w:pPr>
      <w:r>
        <w:rPr>
          <w:rFonts w:hint="eastAsia" w:eastAsia="宋体"/>
          <w:sz w:val="30"/>
          <w:szCs w:val="30"/>
          <w:lang w:eastAsia="zh-CN"/>
        </w:rPr>
        <w:t>During his earthly ministry, Jesus received and unveiled a measure of truth, the measure his disciples could “bear” at that time.</w:t>
      </w:r>
    </w:p>
    <w:p w14:paraId="54DABF7E">
      <w:pPr>
        <w:tabs>
          <w:tab w:val="left" w:pos="400"/>
        </w:tabs>
        <w:bidi w:val="0"/>
        <w:jc w:val="left"/>
        <w:rPr>
          <w:rFonts w:hint="eastAsia" w:eastAsia="宋体"/>
          <w:sz w:val="30"/>
          <w:szCs w:val="30"/>
          <w:lang w:eastAsia="zh-CN"/>
        </w:rPr>
      </w:pPr>
    </w:p>
    <w:p w14:paraId="03BE7509">
      <w:pPr>
        <w:tabs>
          <w:tab w:val="left" w:pos="400"/>
        </w:tabs>
        <w:bidi w:val="0"/>
        <w:jc w:val="left"/>
        <w:rPr>
          <w:rFonts w:hint="eastAsia" w:eastAsia="宋体"/>
          <w:sz w:val="30"/>
          <w:szCs w:val="30"/>
          <w:lang w:eastAsia="zh-CN"/>
        </w:rPr>
      </w:pPr>
      <w:r>
        <w:rPr>
          <w:rFonts w:hint="eastAsia" w:eastAsia="宋体"/>
          <w:sz w:val="30"/>
          <w:szCs w:val="30"/>
          <w:lang w:eastAsia="zh-CN"/>
        </w:rPr>
        <w:t>在祂地上的职事期间，耶稣领受并揭示了一定量的真理，是祂门徒那时所能“担当”的量。</w:t>
      </w:r>
    </w:p>
    <w:p w14:paraId="1A41765E">
      <w:pPr>
        <w:tabs>
          <w:tab w:val="left" w:pos="400"/>
        </w:tabs>
        <w:bidi w:val="0"/>
        <w:jc w:val="left"/>
        <w:rPr>
          <w:rFonts w:hint="eastAsia" w:eastAsia="宋体"/>
          <w:sz w:val="30"/>
          <w:szCs w:val="30"/>
          <w:lang w:eastAsia="zh-CN"/>
        </w:rPr>
      </w:pPr>
    </w:p>
    <w:p w14:paraId="4F59A3F6">
      <w:pPr>
        <w:tabs>
          <w:tab w:val="left" w:pos="400"/>
        </w:tabs>
        <w:bidi w:val="0"/>
        <w:jc w:val="left"/>
        <w:rPr>
          <w:rFonts w:hint="eastAsia" w:eastAsia="宋体"/>
          <w:sz w:val="30"/>
          <w:szCs w:val="30"/>
          <w:lang w:eastAsia="zh-CN"/>
        </w:rPr>
      </w:pPr>
      <w:r>
        <w:rPr>
          <w:rFonts w:hint="eastAsia" w:eastAsia="宋体"/>
          <w:sz w:val="30"/>
          <w:szCs w:val="30"/>
          <w:lang w:eastAsia="zh-CN"/>
        </w:rPr>
        <w:t>Then, as part of his continuing prophetic ministry in heaven, he received the rest of God’s truth and, in the years immediately subsequent to Pentecost, bestowed it on his writing prophets.</w:t>
      </w:r>
    </w:p>
    <w:p w14:paraId="7A3D696C">
      <w:pPr>
        <w:tabs>
          <w:tab w:val="left" w:pos="400"/>
        </w:tabs>
        <w:bidi w:val="0"/>
        <w:jc w:val="left"/>
        <w:rPr>
          <w:rFonts w:hint="eastAsia" w:eastAsia="宋体"/>
          <w:sz w:val="30"/>
          <w:szCs w:val="30"/>
          <w:lang w:eastAsia="zh-CN"/>
        </w:rPr>
      </w:pPr>
    </w:p>
    <w:p w14:paraId="17568E00">
      <w:pPr>
        <w:tabs>
          <w:tab w:val="left" w:pos="400"/>
        </w:tabs>
        <w:bidi w:val="0"/>
        <w:jc w:val="left"/>
        <w:rPr>
          <w:rFonts w:hint="eastAsia" w:eastAsia="宋体"/>
          <w:sz w:val="30"/>
          <w:szCs w:val="30"/>
          <w:lang w:eastAsia="zh-CN"/>
        </w:rPr>
      </w:pPr>
      <w:r>
        <w:rPr>
          <w:rFonts w:hint="eastAsia" w:eastAsia="宋体"/>
          <w:sz w:val="30"/>
          <w:szCs w:val="30"/>
          <w:lang w:eastAsia="zh-CN"/>
        </w:rPr>
        <w:t>然后，作为祂在天上持续申言职事的一部分，祂领受了神其余的真理，并在紧接着五旬节的几年里，将其赐给了祂的写作申言者。</w:t>
      </w:r>
    </w:p>
    <w:p w14:paraId="7BEC851D">
      <w:pPr>
        <w:tabs>
          <w:tab w:val="left" w:pos="400"/>
        </w:tabs>
        <w:bidi w:val="0"/>
        <w:jc w:val="left"/>
        <w:rPr>
          <w:rFonts w:hint="eastAsia" w:eastAsia="宋体"/>
          <w:sz w:val="30"/>
          <w:szCs w:val="30"/>
          <w:lang w:eastAsia="zh-CN"/>
        </w:rPr>
      </w:pPr>
    </w:p>
    <w:p w14:paraId="301A0089">
      <w:pPr>
        <w:tabs>
          <w:tab w:val="left" w:pos="400"/>
        </w:tabs>
        <w:bidi w:val="0"/>
        <w:jc w:val="left"/>
        <w:rPr>
          <w:rFonts w:hint="eastAsia" w:eastAsia="宋体"/>
          <w:sz w:val="30"/>
          <w:szCs w:val="30"/>
          <w:lang w:eastAsia="zh-CN"/>
        </w:rPr>
      </w:pPr>
      <w:r>
        <w:rPr>
          <w:rFonts w:hint="eastAsia" w:eastAsia="宋体"/>
          <w:sz w:val="30"/>
          <w:szCs w:val="30"/>
          <w:lang w:eastAsia="zh-CN"/>
        </w:rPr>
        <w:t>When at last they had committed this further truth to writing, “all the truth” was finally delivered into the arms of a waiting world (John 16:13, Jude 1:3).</w:t>
      </w:r>
    </w:p>
    <w:p w14:paraId="5B5ACB1E">
      <w:pPr>
        <w:tabs>
          <w:tab w:val="left" w:pos="400"/>
        </w:tabs>
        <w:bidi w:val="0"/>
        <w:jc w:val="left"/>
        <w:rPr>
          <w:rFonts w:hint="eastAsia" w:eastAsia="宋体"/>
          <w:sz w:val="30"/>
          <w:szCs w:val="30"/>
          <w:lang w:eastAsia="zh-CN"/>
        </w:rPr>
      </w:pPr>
    </w:p>
    <w:p w14:paraId="32E59B1E">
      <w:pPr>
        <w:tabs>
          <w:tab w:val="left" w:pos="400"/>
        </w:tabs>
        <w:bidi w:val="0"/>
        <w:jc w:val="left"/>
        <w:rPr>
          <w:rFonts w:hint="eastAsia" w:eastAsia="宋体"/>
          <w:sz w:val="30"/>
          <w:szCs w:val="30"/>
          <w:lang w:eastAsia="zh-CN"/>
        </w:rPr>
      </w:pPr>
      <w:r>
        <w:rPr>
          <w:rFonts w:hint="eastAsia" w:eastAsia="宋体"/>
          <w:sz w:val="30"/>
          <w:szCs w:val="30"/>
          <w:lang w:eastAsia="zh-CN"/>
        </w:rPr>
        <w:t>当他们最终将这进一步的真理付诸文字时，“一切的真理”终于被交付到一个等候着的世界的怀抱中（约 16:13, 犹 1:3）。</w:t>
      </w:r>
    </w:p>
    <w:p w14:paraId="573A12F3">
      <w:pPr>
        <w:tabs>
          <w:tab w:val="left" w:pos="400"/>
        </w:tabs>
        <w:bidi w:val="0"/>
        <w:jc w:val="left"/>
        <w:rPr>
          <w:rFonts w:hint="eastAsia" w:eastAsia="宋体"/>
          <w:sz w:val="30"/>
          <w:szCs w:val="30"/>
          <w:lang w:eastAsia="zh-CN"/>
        </w:rPr>
      </w:pPr>
    </w:p>
    <w:p w14:paraId="35862C11">
      <w:pPr>
        <w:tabs>
          <w:tab w:val="left" w:pos="400"/>
        </w:tabs>
        <w:bidi w:val="0"/>
        <w:jc w:val="left"/>
        <w:rPr>
          <w:rFonts w:hint="eastAsia" w:eastAsia="宋体"/>
          <w:sz w:val="30"/>
          <w:szCs w:val="30"/>
          <w:lang w:eastAsia="zh-CN"/>
        </w:rPr>
      </w:pPr>
      <w:r>
        <w:rPr>
          <w:rFonts w:hint="eastAsia" w:eastAsia="宋体"/>
          <w:sz w:val="30"/>
          <w:szCs w:val="30"/>
          <w:lang w:eastAsia="zh-CN"/>
        </w:rPr>
        <w:t>Again, the fact and sequence of progressive revelation is enormously important for a correct interpretation of the Bible in general, and of eschatology in particular.</w:t>
      </w:r>
    </w:p>
    <w:p w14:paraId="1F9294F3">
      <w:pPr>
        <w:tabs>
          <w:tab w:val="left" w:pos="400"/>
        </w:tabs>
        <w:bidi w:val="0"/>
        <w:jc w:val="left"/>
        <w:rPr>
          <w:rFonts w:hint="eastAsia" w:eastAsia="宋体"/>
          <w:sz w:val="30"/>
          <w:szCs w:val="30"/>
          <w:lang w:eastAsia="zh-CN"/>
        </w:rPr>
      </w:pPr>
    </w:p>
    <w:p w14:paraId="3C3A230E">
      <w:pPr>
        <w:tabs>
          <w:tab w:val="left" w:pos="400"/>
        </w:tabs>
        <w:bidi w:val="0"/>
        <w:jc w:val="left"/>
        <w:rPr>
          <w:rFonts w:hint="eastAsia" w:eastAsia="宋体"/>
          <w:sz w:val="30"/>
          <w:szCs w:val="30"/>
          <w:lang w:eastAsia="zh-CN"/>
        </w:rPr>
      </w:pPr>
      <w:r>
        <w:rPr>
          <w:rFonts w:hint="eastAsia" w:eastAsia="宋体"/>
          <w:sz w:val="30"/>
          <w:szCs w:val="30"/>
          <w:lang w:eastAsia="zh-CN"/>
        </w:rPr>
        <w:t>再次强调，渐进启示的事实和顺序对于正确解释整本圣经，特别是末世论，是极其重要的。</w:t>
      </w:r>
    </w:p>
    <w:p w14:paraId="24AF029D">
      <w:pPr>
        <w:tabs>
          <w:tab w:val="left" w:pos="400"/>
        </w:tabs>
        <w:bidi w:val="0"/>
        <w:jc w:val="left"/>
        <w:rPr>
          <w:rFonts w:hint="eastAsia" w:eastAsia="宋体"/>
          <w:sz w:val="30"/>
          <w:szCs w:val="30"/>
          <w:lang w:eastAsia="zh-CN"/>
        </w:rPr>
      </w:pPr>
    </w:p>
    <w:p w14:paraId="68F6E99E">
      <w:pPr>
        <w:tabs>
          <w:tab w:val="left" w:pos="400"/>
        </w:tabs>
        <w:bidi w:val="0"/>
        <w:jc w:val="left"/>
        <w:rPr>
          <w:rFonts w:hint="eastAsia" w:eastAsia="宋体"/>
          <w:sz w:val="30"/>
          <w:szCs w:val="30"/>
          <w:lang w:eastAsia="zh-CN"/>
        </w:rPr>
      </w:pPr>
      <w:r>
        <w:rPr>
          <w:rFonts w:hint="eastAsia" w:eastAsia="宋体"/>
          <w:sz w:val="30"/>
          <w:szCs w:val="30"/>
          <w:lang w:eastAsia="zh-CN"/>
        </w:rPr>
        <w:t>Obviously, it means that in seeking to resolve all questions and all controversies, we must take our cues from the definitive revelations of the NT, rather than from the preliminary revelations of the OT.</w:t>
      </w:r>
    </w:p>
    <w:p w14:paraId="4056A9D1">
      <w:pPr>
        <w:tabs>
          <w:tab w:val="left" w:pos="400"/>
        </w:tabs>
        <w:bidi w:val="0"/>
        <w:jc w:val="left"/>
        <w:rPr>
          <w:rFonts w:hint="eastAsia" w:eastAsia="宋体"/>
          <w:sz w:val="30"/>
          <w:szCs w:val="30"/>
          <w:lang w:eastAsia="zh-CN"/>
        </w:rPr>
      </w:pPr>
    </w:p>
    <w:p w14:paraId="52E73900">
      <w:pPr>
        <w:tabs>
          <w:tab w:val="left" w:pos="400"/>
        </w:tabs>
        <w:bidi w:val="0"/>
        <w:jc w:val="left"/>
        <w:rPr>
          <w:rFonts w:hint="eastAsia" w:eastAsia="宋体"/>
          <w:sz w:val="30"/>
          <w:szCs w:val="30"/>
          <w:lang w:eastAsia="zh-CN"/>
        </w:rPr>
      </w:pPr>
      <w:r>
        <w:rPr>
          <w:rFonts w:hint="eastAsia" w:eastAsia="宋体"/>
          <w:sz w:val="30"/>
          <w:szCs w:val="30"/>
          <w:lang w:eastAsia="zh-CN"/>
        </w:rPr>
        <w:t>显然，这意味着在寻求解决所有问题和所有争议时，我们必须从新约的确定的启示中获取线索，而不是从旧约初步的启示中。</w:t>
      </w:r>
    </w:p>
    <w:p w14:paraId="22AA381D">
      <w:pPr>
        <w:tabs>
          <w:tab w:val="left" w:pos="400"/>
        </w:tabs>
        <w:bidi w:val="0"/>
        <w:jc w:val="left"/>
        <w:rPr>
          <w:rFonts w:hint="eastAsia" w:eastAsia="宋体"/>
          <w:sz w:val="30"/>
          <w:szCs w:val="30"/>
          <w:lang w:eastAsia="zh-CN"/>
        </w:rPr>
      </w:pPr>
    </w:p>
    <w:p w14:paraId="6CE1B596">
      <w:pPr>
        <w:tabs>
          <w:tab w:val="left" w:pos="400"/>
        </w:tabs>
        <w:bidi w:val="0"/>
        <w:jc w:val="left"/>
        <w:rPr>
          <w:rFonts w:hint="eastAsia" w:eastAsia="宋体"/>
          <w:sz w:val="30"/>
          <w:szCs w:val="30"/>
          <w:lang w:eastAsia="zh-CN"/>
        </w:rPr>
      </w:pPr>
      <w:r>
        <w:rPr>
          <w:rFonts w:hint="eastAsia" w:eastAsia="宋体"/>
          <w:sz w:val="30"/>
          <w:szCs w:val="30"/>
          <w:lang w:eastAsia="zh-CN"/>
        </w:rPr>
        <w:t>Beyond this, it also means that within the NT itself we must take our cues, first from the gospels, where the seed of definitive truth was planted; and then from the Acts and the epistles, where that seed reaches full flower.</w:t>
      </w:r>
    </w:p>
    <w:p w14:paraId="094E297A">
      <w:pPr>
        <w:tabs>
          <w:tab w:val="left" w:pos="400"/>
        </w:tabs>
        <w:bidi w:val="0"/>
        <w:jc w:val="left"/>
        <w:rPr>
          <w:rFonts w:hint="eastAsia" w:eastAsia="宋体"/>
          <w:sz w:val="30"/>
          <w:szCs w:val="30"/>
          <w:lang w:eastAsia="zh-CN"/>
        </w:rPr>
      </w:pPr>
    </w:p>
    <w:p w14:paraId="2997A357">
      <w:pPr>
        <w:tabs>
          <w:tab w:val="left" w:pos="400"/>
        </w:tabs>
        <w:bidi w:val="0"/>
        <w:jc w:val="left"/>
        <w:rPr>
          <w:rFonts w:hint="eastAsia" w:eastAsia="宋体"/>
          <w:sz w:val="30"/>
          <w:szCs w:val="30"/>
          <w:lang w:eastAsia="zh-CN"/>
        </w:rPr>
      </w:pPr>
      <w:r>
        <w:rPr>
          <w:rFonts w:hint="eastAsia" w:eastAsia="宋体"/>
          <w:sz w:val="30"/>
          <w:szCs w:val="30"/>
          <w:lang w:eastAsia="zh-CN"/>
        </w:rPr>
        <w:t>除此之外，这也意味着在新约本身之内，我们必须首先从福音书中获取线索，那里是确定真理的种子被种下的地方；然后从使徒行传和书信中，那里是种子完全开花的地方。</w:t>
      </w:r>
    </w:p>
    <w:p w14:paraId="3BE70FA5">
      <w:pPr>
        <w:tabs>
          <w:tab w:val="left" w:pos="400"/>
        </w:tabs>
        <w:bidi w:val="0"/>
        <w:jc w:val="left"/>
        <w:rPr>
          <w:rFonts w:hint="eastAsia" w:eastAsia="宋体"/>
          <w:sz w:val="30"/>
          <w:szCs w:val="30"/>
          <w:lang w:eastAsia="zh-CN"/>
        </w:rPr>
      </w:pPr>
    </w:p>
    <w:p w14:paraId="642C8519">
      <w:pPr>
        <w:tabs>
          <w:tab w:val="left" w:pos="400"/>
        </w:tabs>
        <w:bidi w:val="0"/>
        <w:jc w:val="left"/>
        <w:rPr>
          <w:rFonts w:hint="eastAsia" w:eastAsia="宋体"/>
          <w:sz w:val="30"/>
          <w:szCs w:val="30"/>
          <w:lang w:eastAsia="zh-CN"/>
        </w:rPr>
      </w:pPr>
      <w:r>
        <w:rPr>
          <w:rFonts w:hint="eastAsia" w:eastAsia="宋体"/>
          <w:sz w:val="30"/>
          <w:szCs w:val="30"/>
          <w:lang w:eastAsia="zh-CN"/>
        </w:rPr>
        <w:t>Again, these three—and especially the epistles—constitute the Didactic New Testament.</w:t>
      </w:r>
    </w:p>
    <w:p w14:paraId="3F5C424E">
      <w:pPr>
        <w:tabs>
          <w:tab w:val="left" w:pos="400"/>
        </w:tabs>
        <w:bidi w:val="0"/>
        <w:jc w:val="left"/>
        <w:rPr>
          <w:rFonts w:hint="eastAsia" w:eastAsia="宋体"/>
          <w:sz w:val="30"/>
          <w:szCs w:val="30"/>
          <w:lang w:eastAsia="zh-CN"/>
        </w:rPr>
      </w:pPr>
    </w:p>
    <w:p w14:paraId="4D30796F">
      <w:pPr>
        <w:tabs>
          <w:tab w:val="left" w:pos="400"/>
        </w:tabs>
        <w:bidi w:val="0"/>
        <w:jc w:val="left"/>
        <w:rPr>
          <w:rFonts w:hint="eastAsia" w:eastAsia="宋体"/>
          <w:sz w:val="30"/>
          <w:szCs w:val="30"/>
          <w:lang w:eastAsia="zh-CN"/>
        </w:rPr>
      </w:pPr>
      <w:r>
        <w:rPr>
          <w:rFonts w:hint="eastAsia" w:eastAsia="宋体"/>
          <w:sz w:val="30"/>
          <w:szCs w:val="30"/>
          <w:lang w:eastAsia="zh-CN"/>
        </w:rPr>
        <w:t>再次强调，这三者——特别是书信——构成了教导性的新约。</w:t>
      </w:r>
    </w:p>
    <w:p w14:paraId="16090B1C">
      <w:pPr>
        <w:tabs>
          <w:tab w:val="left" w:pos="400"/>
        </w:tabs>
        <w:bidi w:val="0"/>
        <w:jc w:val="left"/>
        <w:rPr>
          <w:rFonts w:hint="eastAsia" w:eastAsia="宋体"/>
          <w:sz w:val="30"/>
          <w:szCs w:val="30"/>
          <w:lang w:eastAsia="zh-CN"/>
        </w:rPr>
      </w:pPr>
    </w:p>
    <w:p w14:paraId="0D8EAD2E">
      <w:pPr>
        <w:tabs>
          <w:tab w:val="left" w:pos="400"/>
        </w:tabs>
        <w:bidi w:val="0"/>
        <w:jc w:val="left"/>
        <w:rPr>
          <w:rFonts w:hint="eastAsia" w:eastAsia="宋体"/>
          <w:sz w:val="30"/>
          <w:szCs w:val="30"/>
          <w:lang w:eastAsia="zh-CN"/>
        </w:rPr>
      </w:pPr>
      <w:r>
        <w:rPr>
          <w:rFonts w:hint="eastAsia" w:eastAsia="宋体"/>
          <w:sz w:val="30"/>
          <w:szCs w:val="30"/>
          <w:lang w:eastAsia="zh-CN"/>
        </w:rPr>
        <w:t>And based on all we have seen so far, nothing could be clearer than that God means it to be the highest court of biblical appeal; the supreme biblical arbiter of every theological dispute, eschatological disputes included!</w:t>
      </w:r>
    </w:p>
    <w:p w14:paraId="50751566">
      <w:pPr>
        <w:tabs>
          <w:tab w:val="left" w:pos="400"/>
        </w:tabs>
        <w:bidi w:val="0"/>
        <w:jc w:val="left"/>
        <w:rPr>
          <w:rFonts w:hint="eastAsia" w:eastAsia="宋体"/>
          <w:sz w:val="30"/>
          <w:szCs w:val="30"/>
          <w:lang w:eastAsia="zh-CN"/>
        </w:rPr>
      </w:pPr>
    </w:p>
    <w:p w14:paraId="7314CDBF">
      <w:pPr>
        <w:tabs>
          <w:tab w:val="left" w:pos="400"/>
        </w:tabs>
        <w:bidi w:val="0"/>
        <w:jc w:val="left"/>
        <w:rPr>
          <w:rFonts w:hint="eastAsia" w:eastAsia="宋体"/>
          <w:sz w:val="30"/>
          <w:szCs w:val="30"/>
          <w:lang w:eastAsia="zh-CN"/>
        </w:rPr>
      </w:pPr>
      <w:r>
        <w:rPr>
          <w:rFonts w:hint="eastAsia" w:eastAsia="宋体"/>
          <w:sz w:val="30"/>
          <w:szCs w:val="30"/>
          <w:lang w:eastAsia="zh-CN"/>
        </w:rPr>
        <w:t>并且，基于我们目前所见的一切，再没有比这更清楚的了：神意在使其成为圣经上诉的最高法庭；所有神学争议，包括末世论争议的最高圣经仲裁者！</w:t>
      </w:r>
    </w:p>
    <w:p w14:paraId="61200911">
      <w:pPr>
        <w:tabs>
          <w:tab w:val="left" w:pos="400"/>
        </w:tabs>
        <w:bidi w:val="0"/>
        <w:jc w:val="left"/>
        <w:rPr>
          <w:rFonts w:hint="eastAsia" w:eastAsia="宋体"/>
          <w:sz w:val="30"/>
          <w:szCs w:val="30"/>
          <w:lang w:eastAsia="zh-CN"/>
        </w:rPr>
      </w:pPr>
    </w:p>
    <w:p w14:paraId="5456E82C">
      <w:pPr>
        <w:tabs>
          <w:tab w:val="left" w:pos="400"/>
        </w:tabs>
        <w:bidi w:val="0"/>
        <w:jc w:val="left"/>
        <w:rPr>
          <w:rFonts w:hint="eastAsia" w:eastAsia="宋体"/>
          <w:sz w:val="30"/>
          <w:szCs w:val="30"/>
          <w:lang w:eastAsia="zh-CN"/>
        </w:rPr>
      </w:pPr>
      <w:r>
        <w:rPr>
          <w:rFonts w:hint="eastAsia" w:eastAsia="宋体"/>
          <w:sz w:val="30"/>
          <w:szCs w:val="30"/>
          <w:lang w:eastAsia="zh-CN"/>
        </w:rPr>
        <w:t>I will say it again: Here in the Didactic New Testament we find “all the truth”—the definitive disclosure, explanation, and practical application of all that God purposed in Christ before the foundation of the world, and of all that he would have us know and do until the end of the world.</w:t>
      </w:r>
    </w:p>
    <w:p w14:paraId="23505483">
      <w:pPr>
        <w:tabs>
          <w:tab w:val="left" w:pos="400"/>
        </w:tabs>
        <w:bidi w:val="0"/>
        <w:jc w:val="left"/>
        <w:rPr>
          <w:rFonts w:hint="eastAsia" w:eastAsia="宋体"/>
          <w:sz w:val="30"/>
          <w:szCs w:val="30"/>
          <w:lang w:eastAsia="zh-CN"/>
        </w:rPr>
      </w:pPr>
    </w:p>
    <w:p w14:paraId="2B678173">
      <w:pPr>
        <w:tabs>
          <w:tab w:val="left" w:pos="400"/>
        </w:tabs>
        <w:bidi w:val="0"/>
        <w:jc w:val="left"/>
        <w:rPr>
          <w:rFonts w:hint="eastAsia" w:eastAsia="宋体"/>
          <w:sz w:val="30"/>
          <w:szCs w:val="30"/>
          <w:lang w:eastAsia="zh-CN"/>
        </w:rPr>
      </w:pPr>
      <w:r>
        <w:rPr>
          <w:rFonts w:hint="eastAsia" w:eastAsia="宋体"/>
          <w:sz w:val="30"/>
          <w:szCs w:val="30"/>
          <w:lang w:eastAsia="zh-CN"/>
        </w:rPr>
        <w:t>我要再说一遍：在这里，在教导性的新约中，我们找到了“一切的真理”——关于神在创世以前在基督里所定意的一切，以及祂要我们在世界末了之前所知道并遵行的一切的确定的揭示、解释和实际应用。</w:t>
      </w:r>
    </w:p>
    <w:p w14:paraId="4A726B76">
      <w:pPr>
        <w:tabs>
          <w:tab w:val="left" w:pos="400"/>
        </w:tabs>
        <w:bidi w:val="0"/>
        <w:jc w:val="left"/>
        <w:rPr>
          <w:rFonts w:hint="eastAsia" w:eastAsia="宋体"/>
          <w:sz w:val="30"/>
          <w:szCs w:val="30"/>
          <w:lang w:eastAsia="zh-CN"/>
        </w:rPr>
      </w:pPr>
    </w:p>
    <w:p w14:paraId="0A7C3260">
      <w:pPr>
        <w:tabs>
          <w:tab w:val="left" w:pos="400"/>
        </w:tabs>
        <w:bidi w:val="0"/>
        <w:jc w:val="left"/>
        <w:rPr>
          <w:rFonts w:hint="eastAsia" w:eastAsia="宋体"/>
          <w:sz w:val="30"/>
          <w:szCs w:val="30"/>
          <w:lang w:eastAsia="zh-CN"/>
        </w:rPr>
      </w:pPr>
      <w:r>
        <w:rPr>
          <w:rFonts w:hint="eastAsia" w:eastAsia="宋体"/>
          <w:sz w:val="30"/>
          <w:szCs w:val="30"/>
          <w:lang w:eastAsia="zh-CN"/>
        </w:rPr>
        <w:t>In this light we see light (Psalm 36:9).</w:t>
      </w:r>
    </w:p>
    <w:p w14:paraId="2584FF4A">
      <w:pPr>
        <w:tabs>
          <w:tab w:val="left" w:pos="400"/>
        </w:tabs>
        <w:bidi w:val="0"/>
        <w:jc w:val="left"/>
        <w:rPr>
          <w:rFonts w:hint="eastAsia" w:eastAsia="宋体"/>
          <w:sz w:val="30"/>
          <w:szCs w:val="30"/>
          <w:lang w:eastAsia="zh-CN"/>
        </w:rPr>
      </w:pPr>
    </w:p>
    <w:p w14:paraId="4DCDE9FA">
      <w:pPr>
        <w:tabs>
          <w:tab w:val="left" w:pos="400"/>
        </w:tabs>
        <w:bidi w:val="0"/>
        <w:jc w:val="left"/>
        <w:rPr>
          <w:rFonts w:hint="eastAsia" w:eastAsia="宋体"/>
          <w:sz w:val="30"/>
          <w:szCs w:val="30"/>
          <w:lang w:eastAsia="zh-CN"/>
        </w:rPr>
      </w:pPr>
      <w:r>
        <w:rPr>
          <w:rFonts w:hint="eastAsia" w:eastAsia="宋体"/>
          <w:sz w:val="30"/>
          <w:szCs w:val="30"/>
          <w:lang w:eastAsia="zh-CN"/>
        </w:rPr>
        <w:t>在这光中，我们得见光（诗篇 36:9）。</w:t>
      </w:r>
    </w:p>
    <w:p w14:paraId="5201E83B">
      <w:pPr>
        <w:tabs>
          <w:tab w:val="left" w:pos="400"/>
        </w:tabs>
        <w:bidi w:val="0"/>
        <w:jc w:val="left"/>
        <w:rPr>
          <w:rFonts w:hint="eastAsia" w:eastAsia="宋体"/>
          <w:sz w:val="30"/>
          <w:szCs w:val="30"/>
          <w:lang w:eastAsia="zh-CN"/>
        </w:rPr>
      </w:pPr>
    </w:p>
    <w:p w14:paraId="3916D4A1">
      <w:pPr>
        <w:tabs>
          <w:tab w:val="left" w:pos="400"/>
        </w:tabs>
        <w:bidi w:val="0"/>
        <w:jc w:val="left"/>
        <w:rPr>
          <w:rFonts w:hint="eastAsia" w:eastAsia="宋体"/>
          <w:sz w:val="30"/>
          <w:szCs w:val="30"/>
          <w:lang w:eastAsia="zh-CN"/>
        </w:rPr>
      </w:pPr>
      <w:r>
        <w:rPr>
          <w:rFonts w:hint="eastAsia" w:eastAsia="宋体"/>
          <w:sz w:val="30"/>
          <w:szCs w:val="30"/>
          <w:lang w:eastAsia="zh-CN"/>
        </w:rPr>
        <w:t>In this light, we behold the deepest layers of biblical truth.</w:t>
      </w:r>
    </w:p>
    <w:p w14:paraId="6D672941">
      <w:pPr>
        <w:tabs>
          <w:tab w:val="left" w:pos="400"/>
        </w:tabs>
        <w:bidi w:val="0"/>
        <w:jc w:val="left"/>
        <w:rPr>
          <w:rFonts w:hint="eastAsia" w:eastAsia="宋体"/>
          <w:sz w:val="30"/>
          <w:szCs w:val="30"/>
          <w:lang w:eastAsia="zh-CN"/>
        </w:rPr>
      </w:pPr>
    </w:p>
    <w:p w14:paraId="5273830A">
      <w:pPr>
        <w:tabs>
          <w:tab w:val="left" w:pos="400"/>
        </w:tabs>
        <w:bidi w:val="0"/>
        <w:jc w:val="left"/>
        <w:rPr>
          <w:rFonts w:hint="eastAsia" w:eastAsia="宋体"/>
          <w:sz w:val="30"/>
          <w:szCs w:val="30"/>
          <w:lang w:eastAsia="zh-CN"/>
        </w:rPr>
      </w:pPr>
      <w:r>
        <w:rPr>
          <w:rFonts w:hint="eastAsia" w:eastAsia="宋体"/>
          <w:sz w:val="30"/>
          <w:szCs w:val="30"/>
          <w:lang w:eastAsia="zh-CN"/>
        </w:rPr>
        <w:t>在这光中，我们看见圣经真理最深的层次。</w:t>
      </w:r>
    </w:p>
    <w:p w14:paraId="5FE7BBB0">
      <w:pPr>
        <w:tabs>
          <w:tab w:val="left" w:pos="400"/>
        </w:tabs>
        <w:bidi w:val="0"/>
        <w:jc w:val="left"/>
        <w:rPr>
          <w:rFonts w:hint="eastAsia" w:eastAsia="宋体"/>
          <w:sz w:val="30"/>
          <w:szCs w:val="30"/>
          <w:lang w:eastAsia="zh-CN"/>
        </w:rPr>
      </w:pPr>
    </w:p>
    <w:p w14:paraId="1E6638BC">
      <w:pPr>
        <w:tabs>
          <w:tab w:val="left" w:pos="400"/>
        </w:tabs>
        <w:bidi w:val="0"/>
        <w:jc w:val="left"/>
        <w:rPr>
          <w:rFonts w:hint="eastAsia" w:eastAsia="宋体"/>
          <w:sz w:val="30"/>
          <w:szCs w:val="30"/>
          <w:lang w:eastAsia="zh-CN"/>
        </w:rPr>
      </w:pPr>
      <w:r>
        <w:rPr>
          <w:rFonts w:hint="eastAsia" w:eastAsia="宋体"/>
          <w:sz w:val="30"/>
          <w:szCs w:val="30"/>
          <w:lang w:eastAsia="zh-CN"/>
        </w:rPr>
        <w:t>In this light, we see and understand all previous light.</w:t>
      </w:r>
    </w:p>
    <w:p w14:paraId="4413B7C3">
      <w:pPr>
        <w:tabs>
          <w:tab w:val="left" w:pos="400"/>
        </w:tabs>
        <w:bidi w:val="0"/>
        <w:jc w:val="left"/>
        <w:rPr>
          <w:rFonts w:hint="eastAsia" w:eastAsia="宋体"/>
          <w:sz w:val="30"/>
          <w:szCs w:val="30"/>
          <w:lang w:eastAsia="zh-CN"/>
        </w:rPr>
      </w:pPr>
    </w:p>
    <w:p w14:paraId="5AA7B2EA">
      <w:pPr>
        <w:tabs>
          <w:tab w:val="left" w:pos="400"/>
        </w:tabs>
        <w:bidi w:val="0"/>
        <w:jc w:val="left"/>
        <w:rPr>
          <w:rFonts w:hint="eastAsia" w:eastAsia="宋体"/>
          <w:sz w:val="30"/>
          <w:szCs w:val="30"/>
          <w:lang w:eastAsia="zh-CN"/>
        </w:rPr>
      </w:pPr>
      <w:r>
        <w:rPr>
          <w:rFonts w:hint="eastAsia" w:eastAsia="宋体"/>
          <w:sz w:val="30"/>
          <w:szCs w:val="30"/>
          <w:lang w:eastAsia="zh-CN"/>
        </w:rPr>
        <w:t>在这光中，我们看见并理解所有先前的光。</w:t>
      </w:r>
    </w:p>
    <w:p w14:paraId="13CF5D12">
      <w:pPr>
        <w:tabs>
          <w:tab w:val="left" w:pos="400"/>
        </w:tabs>
        <w:bidi w:val="0"/>
        <w:jc w:val="left"/>
        <w:rPr>
          <w:rFonts w:hint="eastAsia" w:eastAsia="宋体"/>
          <w:sz w:val="30"/>
          <w:szCs w:val="30"/>
          <w:lang w:eastAsia="zh-CN"/>
        </w:rPr>
      </w:pPr>
    </w:p>
    <w:p w14:paraId="4E7C81A4">
      <w:pPr>
        <w:tabs>
          <w:tab w:val="left" w:pos="400"/>
        </w:tabs>
        <w:bidi w:val="0"/>
        <w:jc w:val="left"/>
        <w:rPr>
          <w:rFonts w:hint="eastAsia" w:eastAsia="宋体"/>
          <w:sz w:val="30"/>
          <w:szCs w:val="30"/>
          <w:lang w:eastAsia="zh-CN"/>
        </w:rPr>
      </w:pPr>
      <w:r>
        <w:rPr>
          <w:rFonts w:hint="eastAsia" w:eastAsia="宋体"/>
          <w:sz w:val="30"/>
          <w:szCs w:val="30"/>
          <w:lang w:eastAsia="zh-CN"/>
        </w:rPr>
        <w:t>Therefore, to neglect NT light, or to subordinate it to (human interpretations of) OT light, is to commit theological suicide.</w:t>
      </w:r>
    </w:p>
    <w:p w14:paraId="128696E5">
      <w:pPr>
        <w:tabs>
          <w:tab w:val="left" w:pos="400"/>
        </w:tabs>
        <w:bidi w:val="0"/>
        <w:jc w:val="left"/>
        <w:rPr>
          <w:rFonts w:hint="eastAsia" w:eastAsia="宋体"/>
          <w:sz w:val="30"/>
          <w:szCs w:val="30"/>
          <w:lang w:eastAsia="zh-CN"/>
        </w:rPr>
      </w:pPr>
    </w:p>
    <w:p w14:paraId="76F3F76C">
      <w:pPr>
        <w:tabs>
          <w:tab w:val="left" w:pos="400"/>
        </w:tabs>
        <w:bidi w:val="0"/>
        <w:jc w:val="left"/>
        <w:rPr>
          <w:rFonts w:hint="eastAsia" w:eastAsia="宋体"/>
          <w:sz w:val="30"/>
          <w:szCs w:val="30"/>
          <w:lang w:eastAsia="zh-CN"/>
        </w:rPr>
      </w:pPr>
      <w:r>
        <w:rPr>
          <w:rFonts w:hint="eastAsia" w:eastAsia="宋体"/>
          <w:sz w:val="30"/>
          <w:szCs w:val="30"/>
          <w:lang w:eastAsia="zh-CN"/>
        </w:rPr>
        <w:t>因此，忽视新约的光，或将其置于（人对）旧约之光的解释之下，无异于神学上的自杀。</w:t>
      </w:r>
    </w:p>
    <w:p w14:paraId="7CE82413">
      <w:pPr>
        <w:tabs>
          <w:tab w:val="left" w:pos="400"/>
        </w:tabs>
        <w:bidi w:val="0"/>
        <w:jc w:val="left"/>
        <w:rPr>
          <w:rFonts w:hint="eastAsia" w:eastAsia="宋体"/>
          <w:sz w:val="30"/>
          <w:szCs w:val="30"/>
          <w:lang w:eastAsia="zh-CN"/>
        </w:rPr>
      </w:pPr>
    </w:p>
    <w:p w14:paraId="3A43CC67">
      <w:pPr>
        <w:tabs>
          <w:tab w:val="left" w:pos="400"/>
        </w:tabs>
        <w:bidi w:val="0"/>
        <w:jc w:val="left"/>
        <w:rPr>
          <w:rFonts w:hint="eastAsia" w:eastAsia="宋体"/>
          <w:sz w:val="30"/>
          <w:szCs w:val="30"/>
          <w:lang w:eastAsia="zh-CN"/>
        </w:rPr>
      </w:pPr>
      <w:r>
        <w:rPr>
          <w:rFonts w:hint="eastAsia" w:eastAsia="宋体"/>
          <w:sz w:val="30"/>
          <w:szCs w:val="30"/>
          <w:lang w:eastAsia="zh-CN"/>
        </w:rPr>
        <w:t>Budding eschatologists, beware!</w:t>
      </w:r>
    </w:p>
    <w:p w14:paraId="597A110E">
      <w:pPr>
        <w:tabs>
          <w:tab w:val="left" w:pos="400"/>
        </w:tabs>
        <w:bidi w:val="0"/>
        <w:jc w:val="left"/>
        <w:rPr>
          <w:rFonts w:hint="eastAsia" w:eastAsia="宋体"/>
          <w:sz w:val="30"/>
          <w:szCs w:val="30"/>
          <w:lang w:eastAsia="zh-CN"/>
        </w:rPr>
      </w:pPr>
    </w:p>
    <w:p w14:paraId="12569646">
      <w:pPr>
        <w:tabs>
          <w:tab w:val="left" w:pos="400"/>
        </w:tabs>
        <w:bidi w:val="0"/>
        <w:jc w:val="left"/>
        <w:rPr>
          <w:rFonts w:hint="eastAsia" w:eastAsia="宋体"/>
          <w:sz w:val="30"/>
          <w:szCs w:val="30"/>
          <w:lang w:eastAsia="zh-CN"/>
        </w:rPr>
      </w:pPr>
      <w:r>
        <w:rPr>
          <w:rFonts w:hint="eastAsia" w:eastAsia="宋体"/>
          <w:sz w:val="30"/>
          <w:szCs w:val="30"/>
          <w:lang w:eastAsia="zh-CN"/>
        </w:rPr>
        <w:t>初出茅庐的末世论学者们，要当心！</w:t>
      </w:r>
    </w:p>
    <w:p w14:paraId="60174720">
      <w:pPr>
        <w:tabs>
          <w:tab w:val="left" w:pos="400"/>
        </w:tabs>
        <w:bidi w:val="0"/>
        <w:jc w:val="left"/>
        <w:rPr>
          <w:rFonts w:hint="eastAsia" w:eastAsia="宋体"/>
          <w:sz w:val="30"/>
          <w:szCs w:val="30"/>
          <w:lang w:eastAsia="zh-CN"/>
        </w:rPr>
      </w:pPr>
    </w:p>
    <w:p w14:paraId="6FC4340B">
      <w:pPr>
        <w:tabs>
          <w:tab w:val="left" w:pos="400"/>
        </w:tabs>
        <w:bidi w:val="0"/>
        <w:jc w:val="left"/>
        <w:rPr>
          <w:rFonts w:hint="eastAsia" w:eastAsia="宋体"/>
          <w:sz w:val="30"/>
          <w:szCs w:val="30"/>
          <w:lang w:eastAsia="zh-CN"/>
        </w:rPr>
      </w:pPr>
      <w:r>
        <w:rPr>
          <w:rFonts w:hint="eastAsia" w:eastAsia="宋体"/>
          <w:sz w:val="30"/>
          <w:szCs w:val="30"/>
          <w:lang w:eastAsia="zh-CN"/>
        </w:rPr>
        <w:t>How Did God Make His Revelation Progressive? (2)</w:t>
      </w:r>
    </w:p>
    <w:p w14:paraId="4F330249">
      <w:pPr>
        <w:tabs>
          <w:tab w:val="left" w:pos="400"/>
        </w:tabs>
        <w:bidi w:val="0"/>
        <w:jc w:val="left"/>
        <w:rPr>
          <w:rFonts w:hint="eastAsia" w:eastAsia="宋体"/>
          <w:sz w:val="30"/>
          <w:szCs w:val="30"/>
          <w:lang w:eastAsia="zh-CN"/>
        </w:rPr>
      </w:pPr>
    </w:p>
    <w:p w14:paraId="05D36EA4">
      <w:pPr>
        <w:tabs>
          <w:tab w:val="left" w:pos="400"/>
        </w:tabs>
        <w:bidi w:val="0"/>
        <w:jc w:val="left"/>
        <w:rPr>
          <w:rFonts w:hint="eastAsia" w:eastAsia="宋体"/>
          <w:sz w:val="30"/>
          <w:szCs w:val="30"/>
          <w:lang w:eastAsia="zh-CN"/>
        </w:rPr>
      </w:pPr>
      <w:r>
        <w:rPr>
          <w:rFonts w:hint="eastAsia" w:eastAsia="宋体"/>
          <w:sz w:val="30"/>
          <w:szCs w:val="30"/>
          <w:lang w:eastAsia="zh-CN"/>
        </w:rPr>
        <w:t>神如何使祂的启示成为渐进的？(2)</w:t>
      </w:r>
    </w:p>
    <w:p w14:paraId="49A5E2DA">
      <w:pPr>
        <w:tabs>
          <w:tab w:val="left" w:pos="400"/>
        </w:tabs>
        <w:bidi w:val="0"/>
        <w:jc w:val="left"/>
        <w:rPr>
          <w:rFonts w:hint="eastAsia" w:eastAsia="宋体"/>
          <w:sz w:val="30"/>
          <w:szCs w:val="30"/>
          <w:lang w:eastAsia="zh-CN"/>
        </w:rPr>
      </w:pPr>
    </w:p>
    <w:p w14:paraId="6DD05FB2">
      <w:pPr>
        <w:tabs>
          <w:tab w:val="left" w:pos="400"/>
        </w:tabs>
        <w:bidi w:val="0"/>
        <w:jc w:val="left"/>
        <w:rPr>
          <w:rFonts w:hint="eastAsia" w:eastAsia="宋体"/>
          <w:sz w:val="30"/>
          <w:szCs w:val="30"/>
          <w:lang w:eastAsia="zh-CN"/>
        </w:rPr>
      </w:pPr>
      <w:r>
        <w:rPr>
          <w:rFonts w:hint="eastAsia" w:eastAsia="宋体"/>
          <w:sz w:val="30"/>
          <w:szCs w:val="30"/>
          <w:lang w:eastAsia="zh-CN"/>
        </w:rPr>
        <w:t>All of this brings us to our second point, namely, that God made his revelation progressive by appointing Christ himself to illuminate the true meaning of the OT; by making the Didactic New Testament the key to a proper understanding the Old Testament.</w:t>
      </w:r>
    </w:p>
    <w:p w14:paraId="6AA0EC1A">
      <w:pPr>
        <w:tabs>
          <w:tab w:val="left" w:pos="400"/>
        </w:tabs>
        <w:bidi w:val="0"/>
        <w:jc w:val="left"/>
        <w:rPr>
          <w:rFonts w:hint="eastAsia" w:eastAsia="宋体"/>
          <w:sz w:val="30"/>
          <w:szCs w:val="30"/>
          <w:lang w:eastAsia="zh-CN"/>
        </w:rPr>
      </w:pPr>
    </w:p>
    <w:p w14:paraId="066946DA">
      <w:pPr>
        <w:tabs>
          <w:tab w:val="left" w:pos="400"/>
        </w:tabs>
        <w:bidi w:val="0"/>
        <w:jc w:val="left"/>
        <w:rPr>
          <w:rFonts w:hint="eastAsia" w:eastAsia="宋体"/>
          <w:sz w:val="30"/>
          <w:szCs w:val="30"/>
          <w:lang w:eastAsia="zh-CN"/>
        </w:rPr>
      </w:pPr>
      <w:r>
        <w:rPr>
          <w:rFonts w:hint="eastAsia" w:eastAsia="宋体"/>
          <w:sz w:val="30"/>
          <w:szCs w:val="30"/>
          <w:lang w:eastAsia="zh-CN"/>
        </w:rPr>
        <w:t>所有这一切都把我们带到第二点，即神使祂的启示成为渐进的，是借着指派基督自己来阐明旧约的真义；借着使教导性的新约成为正确理解旧约的钥匙。</w:t>
      </w:r>
    </w:p>
    <w:p w14:paraId="2642C20A">
      <w:pPr>
        <w:tabs>
          <w:tab w:val="left" w:pos="400"/>
        </w:tabs>
        <w:bidi w:val="0"/>
        <w:jc w:val="left"/>
        <w:rPr>
          <w:rFonts w:hint="eastAsia" w:eastAsia="宋体"/>
          <w:sz w:val="30"/>
          <w:szCs w:val="30"/>
          <w:lang w:eastAsia="zh-CN"/>
        </w:rPr>
      </w:pPr>
    </w:p>
    <w:p w14:paraId="655B06C0">
      <w:pPr>
        <w:tabs>
          <w:tab w:val="left" w:pos="400"/>
        </w:tabs>
        <w:bidi w:val="0"/>
        <w:jc w:val="left"/>
        <w:rPr>
          <w:rFonts w:hint="eastAsia" w:eastAsia="宋体"/>
          <w:sz w:val="30"/>
          <w:szCs w:val="30"/>
          <w:lang w:eastAsia="zh-CN"/>
        </w:rPr>
      </w:pPr>
      <w:r>
        <w:rPr>
          <w:rFonts w:hint="eastAsia" w:eastAsia="宋体"/>
          <w:sz w:val="30"/>
          <w:szCs w:val="30"/>
          <w:lang w:eastAsia="zh-CN"/>
        </w:rPr>
        <w:t>As we shall see in Parts 2 and 3 of our journey, this idea is absolutely essential for resolving the single most important problem of the Great End Time Debate: the proper interpretation of OTKP.</w:t>
      </w:r>
    </w:p>
    <w:p w14:paraId="56F2B970">
      <w:pPr>
        <w:tabs>
          <w:tab w:val="left" w:pos="400"/>
        </w:tabs>
        <w:bidi w:val="0"/>
        <w:jc w:val="left"/>
        <w:rPr>
          <w:rFonts w:hint="eastAsia" w:eastAsia="宋体"/>
          <w:sz w:val="30"/>
          <w:szCs w:val="30"/>
          <w:lang w:eastAsia="zh-CN"/>
        </w:rPr>
      </w:pPr>
    </w:p>
    <w:p w14:paraId="0996ED3D">
      <w:pPr>
        <w:tabs>
          <w:tab w:val="left" w:pos="400"/>
        </w:tabs>
        <w:bidi w:val="0"/>
        <w:jc w:val="left"/>
        <w:rPr>
          <w:rFonts w:hint="eastAsia" w:eastAsia="宋体"/>
          <w:sz w:val="30"/>
          <w:szCs w:val="30"/>
          <w:lang w:eastAsia="zh-CN"/>
        </w:rPr>
      </w:pPr>
      <w:r>
        <w:rPr>
          <w:rFonts w:hint="eastAsia" w:eastAsia="宋体"/>
          <w:sz w:val="30"/>
          <w:szCs w:val="30"/>
          <w:lang w:eastAsia="zh-CN"/>
        </w:rPr>
        <w:t>正如我们将在我们旅程的第二和第三部分看到的，这个观念对于解决末世大辩论中唯一最重要的问题——对旧约国度预言的正确解释——是绝对必要的。</w:t>
      </w:r>
    </w:p>
    <w:p w14:paraId="49A59292">
      <w:pPr>
        <w:tabs>
          <w:tab w:val="left" w:pos="400"/>
        </w:tabs>
        <w:bidi w:val="0"/>
        <w:jc w:val="left"/>
        <w:rPr>
          <w:rFonts w:hint="eastAsia" w:eastAsia="宋体"/>
          <w:sz w:val="30"/>
          <w:szCs w:val="30"/>
          <w:lang w:eastAsia="zh-CN"/>
        </w:rPr>
      </w:pPr>
    </w:p>
    <w:p w14:paraId="28627F0A">
      <w:pPr>
        <w:tabs>
          <w:tab w:val="left" w:pos="400"/>
        </w:tabs>
        <w:bidi w:val="0"/>
        <w:jc w:val="left"/>
        <w:rPr>
          <w:rFonts w:hint="eastAsia" w:eastAsia="宋体"/>
          <w:sz w:val="30"/>
          <w:szCs w:val="30"/>
          <w:lang w:eastAsia="zh-CN"/>
        </w:rPr>
      </w:pPr>
      <w:r>
        <w:rPr>
          <w:rFonts w:hint="eastAsia" w:eastAsia="宋体"/>
          <w:sz w:val="30"/>
          <w:szCs w:val="30"/>
          <w:lang w:eastAsia="zh-CN"/>
        </w:rPr>
        <w:t>I will introduce it here, and then, in the pages ahead, flesh it out more completely.</w:t>
      </w:r>
    </w:p>
    <w:p w14:paraId="0CEE844E">
      <w:pPr>
        <w:tabs>
          <w:tab w:val="left" w:pos="400"/>
        </w:tabs>
        <w:bidi w:val="0"/>
        <w:jc w:val="left"/>
        <w:rPr>
          <w:rFonts w:hint="eastAsia" w:eastAsia="宋体"/>
          <w:sz w:val="30"/>
          <w:szCs w:val="30"/>
          <w:lang w:eastAsia="zh-CN"/>
        </w:rPr>
      </w:pPr>
    </w:p>
    <w:p w14:paraId="5D008C71">
      <w:pPr>
        <w:tabs>
          <w:tab w:val="left" w:pos="400"/>
        </w:tabs>
        <w:bidi w:val="0"/>
        <w:jc w:val="left"/>
        <w:rPr>
          <w:rFonts w:hint="eastAsia" w:eastAsia="宋体"/>
          <w:sz w:val="30"/>
          <w:szCs w:val="30"/>
          <w:lang w:eastAsia="zh-CN"/>
        </w:rPr>
      </w:pPr>
      <w:r>
        <w:rPr>
          <w:rFonts w:hint="eastAsia" w:eastAsia="宋体"/>
          <w:sz w:val="30"/>
          <w:szCs w:val="30"/>
          <w:lang w:eastAsia="zh-CN"/>
        </w:rPr>
        <w:t>我将在这里介绍它，然后在接下来的篇幅中，更完整地充实它。</w:t>
      </w:r>
    </w:p>
    <w:p w14:paraId="278D5EBA">
      <w:pPr>
        <w:tabs>
          <w:tab w:val="left" w:pos="400"/>
        </w:tabs>
        <w:bidi w:val="0"/>
        <w:jc w:val="left"/>
        <w:rPr>
          <w:rFonts w:hint="eastAsia" w:eastAsia="宋体"/>
          <w:sz w:val="30"/>
          <w:szCs w:val="30"/>
          <w:lang w:eastAsia="zh-CN"/>
        </w:rPr>
      </w:pPr>
    </w:p>
    <w:p w14:paraId="1EF06EF8">
      <w:pPr>
        <w:tabs>
          <w:tab w:val="left" w:pos="400"/>
        </w:tabs>
        <w:bidi w:val="0"/>
        <w:jc w:val="left"/>
        <w:rPr>
          <w:rFonts w:hint="eastAsia" w:eastAsia="宋体"/>
          <w:sz w:val="30"/>
          <w:szCs w:val="30"/>
          <w:lang w:eastAsia="zh-CN"/>
        </w:rPr>
      </w:pPr>
      <w:r>
        <w:rPr>
          <w:rFonts w:hint="eastAsia" w:eastAsia="宋体"/>
          <w:sz w:val="30"/>
          <w:szCs w:val="30"/>
          <w:lang w:eastAsia="zh-CN"/>
        </w:rPr>
        <w:t>Let us begin by turning again to a fabulously rich word from the lips of the Master himself: “Do not think that I came to abolish the Law or the Prophets; I did not come to abolish, but to fulfill” (Mt. 5:17).</w:t>
      </w:r>
    </w:p>
    <w:p w14:paraId="350158FA">
      <w:pPr>
        <w:tabs>
          <w:tab w:val="left" w:pos="400"/>
        </w:tabs>
        <w:bidi w:val="0"/>
        <w:jc w:val="left"/>
        <w:rPr>
          <w:rFonts w:hint="eastAsia" w:eastAsia="宋体"/>
          <w:sz w:val="30"/>
          <w:szCs w:val="30"/>
          <w:lang w:eastAsia="zh-CN"/>
        </w:rPr>
      </w:pPr>
    </w:p>
    <w:p w14:paraId="15A3586E">
      <w:pPr>
        <w:tabs>
          <w:tab w:val="left" w:pos="400"/>
        </w:tabs>
        <w:bidi w:val="0"/>
        <w:jc w:val="left"/>
        <w:rPr>
          <w:rFonts w:hint="eastAsia" w:eastAsia="宋体"/>
          <w:sz w:val="30"/>
          <w:szCs w:val="30"/>
          <w:lang w:eastAsia="zh-CN"/>
        </w:rPr>
      </w:pPr>
      <w:r>
        <w:rPr>
          <w:rFonts w:hint="eastAsia" w:eastAsia="宋体"/>
          <w:sz w:val="30"/>
          <w:szCs w:val="30"/>
          <w:lang w:eastAsia="zh-CN"/>
        </w:rPr>
        <w:t>让我们从主自己口中那句极其丰富的话语开始：“你们不要以为我来是要废掉律法和申言者；我来不是要废掉，乃是要成全”（太 5:17）。</w:t>
      </w:r>
    </w:p>
    <w:p w14:paraId="1D677A5B">
      <w:pPr>
        <w:tabs>
          <w:tab w:val="left" w:pos="400"/>
        </w:tabs>
        <w:bidi w:val="0"/>
        <w:jc w:val="left"/>
        <w:rPr>
          <w:rFonts w:hint="eastAsia" w:eastAsia="宋体"/>
          <w:sz w:val="30"/>
          <w:szCs w:val="30"/>
          <w:lang w:eastAsia="zh-CN"/>
        </w:rPr>
      </w:pPr>
    </w:p>
    <w:p w14:paraId="12B4CD82">
      <w:pPr>
        <w:tabs>
          <w:tab w:val="left" w:pos="400"/>
        </w:tabs>
        <w:bidi w:val="0"/>
        <w:jc w:val="left"/>
        <w:rPr>
          <w:rFonts w:hint="eastAsia" w:eastAsia="宋体"/>
          <w:sz w:val="30"/>
          <w:szCs w:val="30"/>
          <w:lang w:eastAsia="zh-CN"/>
        </w:rPr>
      </w:pPr>
      <w:r>
        <w:rPr>
          <w:rFonts w:hint="eastAsia" w:eastAsia="宋体"/>
          <w:sz w:val="30"/>
          <w:szCs w:val="30"/>
          <w:lang w:eastAsia="zh-CN"/>
        </w:rPr>
        <w:t>Here our Lord introduces to his disciples nothing less than a completely new way of interpreting the Jewish Scriptures.</w:t>
      </w:r>
    </w:p>
    <w:p w14:paraId="3C0B9294">
      <w:pPr>
        <w:tabs>
          <w:tab w:val="left" w:pos="400"/>
        </w:tabs>
        <w:bidi w:val="0"/>
        <w:jc w:val="left"/>
        <w:rPr>
          <w:rFonts w:hint="eastAsia" w:eastAsia="宋体"/>
          <w:sz w:val="30"/>
          <w:szCs w:val="30"/>
          <w:lang w:eastAsia="zh-CN"/>
        </w:rPr>
      </w:pPr>
    </w:p>
    <w:p w14:paraId="64CAC7C5">
      <w:pPr>
        <w:tabs>
          <w:tab w:val="left" w:pos="400"/>
        </w:tabs>
        <w:bidi w:val="0"/>
        <w:jc w:val="left"/>
        <w:rPr>
          <w:rFonts w:hint="eastAsia" w:eastAsia="宋体"/>
          <w:sz w:val="30"/>
          <w:szCs w:val="30"/>
          <w:lang w:eastAsia="zh-CN"/>
        </w:rPr>
      </w:pPr>
      <w:r>
        <w:rPr>
          <w:rFonts w:hint="eastAsia" w:eastAsia="宋体"/>
          <w:sz w:val="30"/>
          <w:szCs w:val="30"/>
          <w:lang w:eastAsia="zh-CN"/>
        </w:rPr>
        <w:t>在这里，我们的主向祂的门徒们介绍的，无非是一种全新的解释犹太圣经的方法。</w:t>
      </w:r>
    </w:p>
    <w:p w14:paraId="418672BD">
      <w:pPr>
        <w:tabs>
          <w:tab w:val="left" w:pos="400"/>
        </w:tabs>
        <w:bidi w:val="0"/>
        <w:jc w:val="left"/>
        <w:rPr>
          <w:rFonts w:hint="eastAsia" w:eastAsia="宋体"/>
          <w:sz w:val="30"/>
          <w:szCs w:val="30"/>
          <w:lang w:eastAsia="zh-CN"/>
        </w:rPr>
      </w:pPr>
    </w:p>
    <w:p w14:paraId="76AAB93F">
      <w:pPr>
        <w:tabs>
          <w:tab w:val="left" w:pos="400"/>
        </w:tabs>
        <w:bidi w:val="0"/>
        <w:jc w:val="left"/>
        <w:rPr>
          <w:rFonts w:hint="eastAsia" w:eastAsia="宋体"/>
          <w:sz w:val="30"/>
          <w:szCs w:val="30"/>
          <w:lang w:eastAsia="zh-CN"/>
        </w:rPr>
      </w:pPr>
      <w:r>
        <w:rPr>
          <w:rFonts w:hint="eastAsia" w:eastAsia="宋体"/>
          <w:sz w:val="30"/>
          <w:szCs w:val="30"/>
          <w:lang w:eastAsia="zh-CN"/>
        </w:rPr>
        <w:t>He refers to these Scriptures as “the Law and the Prophets” (Mt. 7:12, 22:40, Acts 3:15, Rom. 3:21).</w:t>
      </w:r>
    </w:p>
    <w:p w14:paraId="1C973D3C">
      <w:pPr>
        <w:tabs>
          <w:tab w:val="left" w:pos="400"/>
        </w:tabs>
        <w:bidi w:val="0"/>
        <w:jc w:val="left"/>
        <w:rPr>
          <w:rFonts w:hint="eastAsia" w:eastAsia="宋体"/>
          <w:sz w:val="30"/>
          <w:szCs w:val="30"/>
          <w:lang w:eastAsia="zh-CN"/>
        </w:rPr>
      </w:pPr>
    </w:p>
    <w:p w14:paraId="01D77A89">
      <w:pPr>
        <w:tabs>
          <w:tab w:val="left" w:pos="400"/>
        </w:tabs>
        <w:bidi w:val="0"/>
        <w:jc w:val="left"/>
        <w:rPr>
          <w:rFonts w:hint="eastAsia" w:eastAsia="宋体"/>
          <w:sz w:val="30"/>
          <w:szCs w:val="30"/>
          <w:lang w:eastAsia="zh-CN"/>
        </w:rPr>
      </w:pPr>
      <w:r>
        <w:rPr>
          <w:rFonts w:hint="eastAsia" w:eastAsia="宋体"/>
          <w:sz w:val="30"/>
          <w:szCs w:val="30"/>
          <w:lang w:eastAsia="zh-CN"/>
        </w:rPr>
        <w:t>祂将这些圣经称为“律法和申言者”（太 7:12, 22:40, 徒 3:15, 罗 3:21）。</w:t>
      </w:r>
    </w:p>
    <w:p w14:paraId="6D7761DC">
      <w:pPr>
        <w:tabs>
          <w:tab w:val="left" w:pos="400"/>
        </w:tabs>
        <w:bidi w:val="0"/>
        <w:jc w:val="left"/>
        <w:rPr>
          <w:rFonts w:hint="eastAsia" w:eastAsia="宋体"/>
          <w:sz w:val="30"/>
          <w:szCs w:val="30"/>
          <w:lang w:eastAsia="zh-CN"/>
        </w:rPr>
      </w:pPr>
    </w:p>
    <w:p w14:paraId="2AD989FC">
      <w:pPr>
        <w:tabs>
          <w:tab w:val="left" w:pos="400"/>
        </w:tabs>
        <w:bidi w:val="0"/>
        <w:jc w:val="left"/>
        <w:rPr>
          <w:rFonts w:hint="eastAsia" w:eastAsia="宋体"/>
          <w:sz w:val="30"/>
          <w:szCs w:val="30"/>
          <w:lang w:eastAsia="zh-CN"/>
        </w:rPr>
      </w:pPr>
      <w:r>
        <w:rPr>
          <w:rFonts w:hint="eastAsia" w:eastAsia="宋体"/>
          <w:sz w:val="30"/>
          <w:szCs w:val="30"/>
          <w:lang w:eastAsia="zh-CN"/>
        </w:rPr>
        <w:t>Lest he needlessly offend his Jewish audience, he stresses that he has not come to abolish them.</w:t>
      </w:r>
    </w:p>
    <w:p w14:paraId="7181E783">
      <w:pPr>
        <w:tabs>
          <w:tab w:val="left" w:pos="400"/>
        </w:tabs>
        <w:bidi w:val="0"/>
        <w:jc w:val="left"/>
        <w:rPr>
          <w:rFonts w:hint="eastAsia" w:eastAsia="宋体"/>
          <w:sz w:val="30"/>
          <w:szCs w:val="30"/>
          <w:lang w:eastAsia="zh-CN"/>
        </w:rPr>
      </w:pPr>
    </w:p>
    <w:p w14:paraId="67C587CF">
      <w:pPr>
        <w:tabs>
          <w:tab w:val="left" w:pos="400"/>
        </w:tabs>
        <w:bidi w:val="0"/>
        <w:jc w:val="left"/>
        <w:rPr>
          <w:rFonts w:hint="eastAsia" w:eastAsia="宋体"/>
          <w:sz w:val="30"/>
          <w:szCs w:val="30"/>
          <w:lang w:eastAsia="zh-CN"/>
        </w:rPr>
      </w:pPr>
      <w:r>
        <w:rPr>
          <w:rFonts w:hint="eastAsia" w:eastAsia="宋体"/>
          <w:sz w:val="30"/>
          <w:szCs w:val="30"/>
          <w:lang w:eastAsia="zh-CN"/>
        </w:rPr>
        <w:t>为了避免不必要地冒犯祂的犹太听众，祂强调祂来不是要废掉它们。</w:t>
      </w:r>
    </w:p>
    <w:p w14:paraId="62BDC4F0">
      <w:pPr>
        <w:tabs>
          <w:tab w:val="left" w:pos="400"/>
        </w:tabs>
        <w:bidi w:val="0"/>
        <w:jc w:val="left"/>
        <w:rPr>
          <w:rFonts w:hint="eastAsia" w:eastAsia="宋体"/>
          <w:sz w:val="30"/>
          <w:szCs w:val="30"/>
          <w:lang w:eastAsia="zh-CN"/>
        </w:rPr>
      </w:pPr>
    </w:p>
    <w:p w14:paraId="27BFAC42">
      <w:pPr>
        <w:tabs>
          <w:tab w:val="left" w:pos="400"/>
        </w:tabs>
        <w:bidi w:val="0"/>
        <w:jc w:val="left"/>
        <w:rPr>
          <w:rFonts w:hint="eastAsia" w:eastAsia="宋体"/>
          <w:sz w:val="30"/>
          <w:szCs w:val="30"/>
          <w:lang w:eastAsia="zh-CN"/>
        </w:rPr>
      </w:pPr>
      <w:r>
        <w:rPr>
          <w:rFonts w:hint="eastAsia" w:eastAsia="宋体"/>
          <w:sz w:val="30"/>
          <w:szCs w:val="30"/>
          <w:lang w:eastAsia="zh-CN"/>
        </w:rPr>
        <w:t>Nevertheless, in the plan of God something new is about to happen.</w:t>
      </w:r>
    </w:p>
    <w:p w14:paraId="4DD4B3E2">
      <w:pPr>
        <w:tabs>
          <w:tab w:val="left" w:pos="400"/>
        </w:tabs>
        <w:bidi w:val="0"/>
        <w:jc w:val="left"/>
        <w:rPr>
          <w:rFonts w:hint="eastAsia" w:eastAsia="宋体"/>
          <w:sz w:val="30"/>
          <w:szCs w:val="30"/>
          <w:lang w:eastAsia="zh-CN"/>
        </w:rPr>
      </w:pPr>
    </w:p>
    <w:p w14:paraId="6114C3C1">
      <w:pPr>
        <w:tabs>
          <w:tab w:val="left" w:pos="400"/>
        </w:tabs>
        <w:bidi w:val="0"/>
        <w:jc w:val="left"/>
        <w:rPr>
          <w:rFonts w:hint="eastAsia" w:eastAsia="宋体"/>
          <w:sz w:val="30"/>
          <w:szCs w:val="30"/>
          <w:lang w:eastAsia="zh-CN"/>
        </w:rPr>
      </w:pPr>
      <w:r>
        <w:rPr>
          <w:rFonts w:hint="eastAsia" w:eastAsia="宋体"/>
          <w:sz w:val="30"/>
          <w:szCs w:val="30"/>
          <w:lang w:eastAsia="zh-CN"/>
        </w:rPr>
        <w:t>然而，在神的计划中，有新的事将要发生。</w:t>
      </w:r>
    </w:p>
    <w:p w14:paraId="600D860D">
      <w:pPr>
        <w:tabs>
          <w:tab w:val="left" w:pos="400"/>
        </w:tabs>
        <w:bidi w:val="0"/>
        <w:jc w:val="left"/>
        <w:rPr>
          <w:rFonts w:hint="eastAsia" w:eastAsia="宋体"/>
          <w:sz w:val="30"/>
          <w:szCs w:val="30"/>
          <w:lang w:eastAsia="zh-CN"/>
        </w:rPr>
      </w:pPr>
    </w:p>
    <w:p w14:paraId="1638B486">
      <w:pPr>
        <w:tabs>
          <w:tab w:val="left" w:pos="400"/>
        </w:tabs>
        <w:bidi w:val="0"/>
        <w:jc w:val="left"/>
        <w:rPr>
          <w:rFonts w:hint="eastAsia" w:eastAsia="宋体"/>
          <w:sz w:val="30"/>
          <w:szCs w:val="30"/>
          <w:lang w:eastAsia="zh-CN"/>
        </w:rPr>
      </w:pPr>
      <w:r>
        <w:rPr>
          <w:rFonts w:hint="eastAsia" w:eastAsia="宋体"/>
          <w:sz w:val="30"/>
          <w:szCs w:val="30"/>
          <w:lang w:eastAsia="zh-CN"/>
        </w:rPr>
        <w:t>And because of this, something new is about to happen to the Law and the Prophets: They are going to be fulfilled.</w:t>
      </w:r>
    </w:p>
    <w:p w14:paraId="5B5EA888">
      <w:pPr>
        <w:tabs>
          <w:tab w:val="left" w:pos="400"/>
        </w:tabs>
        <w:bidi w:val="0"/>
        <w:jc w:val="left"/>
        <w:rPr>
          <w:rFonts w:hint="eastAsia" w:eastAsia="宋体"/>
          <w:sz w:val="30"/>
          <w:szCs w:val="30"/>
          <w:lang w:eastAsia="zh-CN"/>
        </w:rPr>
      </w:pPr>
    </w:p>
    <w:p w14:paraId="6B868A90">
      <w:pPr>
        <w:tabs>
          <w:tab w:val="left" w:pos="400"/>
        </w:tabs>
        <w:bidi w:val="0"/>
        <w:jc w:val="left"/>
        <w:rPr>
          <w:rFonts w:hint="eastAsia" w:eastAsia="宋体"/>
          <w:sz w:val="30"/>
          <w:szCs w:val="30"/>
          <w:lang w:eastAsia="zh-CN"/>
        </w:rPr>
      </w:pPr>
      <w:r>
        <w:rPr>
          <w:rFonts w:hint="eastAsia" w:eastAsia="宋体"/>
          <w:sz w:val="30"/>
          <w:szCs w:val="30"/>
          <w:lang w:eastAsia="zh-CN"/>
        </w:rPr>
        <w:t>正因如此，律法和申言者也将有新的事发生：它们将要被成全。</w:t>
      </w:r>
    </w:p>
    <w:p w14:paraId="11CE6581">
      <w:pPr>
        <w:tabs>
          <w:tab w:val="left" w:pos="400"/>
        </w:tabs>
        <w:bidi w:val="0"/>
        <w:jc w:val="left"/>
        <w:rPr>
          <w:rFonts w:hint="eastAsia" w:eastAsia="宋体"/>
          <w:sz w:val="30"/>
          <w:szCs w:val="30"/>
          <w:lang w:eastAsia="zh-CN"/>
        </w:rPr>
      </w:pPr>
    </w:p>
    <w:p w14:paraId="20EF7520">
      <w:pPr>
        <w:tabs>
          <w:tab w:val="left" w:pos="400"/>
        </w:tabs>
        <w:bidi w:val="0"/>
        <w:jc w:val="left"/>
        <w:rPr>
          <w:rFonts w:hint="eastAsia" w:eastAsia="宋体"/>
          <w:sz w:val="30"/>
          <w:szCs w:val="30"/>
          <w:lang w:eastAsia="zh-CN"/>
        </w:rPr>
      </w:pPr>
      <w:r>
        <w:rPr>
          <w:rFonts w:hint="eastAsia" w:eastAsia="宋体"/>
          <w:sz w:val="30"/>
          <w:szCs w:val="30"/>
          <w:lang w:eastAsia="zh-CN"/>
        </w:rPr>
        <w:t>In other words, they are about to assume a new form, a form that will remain in force until the Consummation and beyond (Mt. 5:18).</w:t>
      </w:r>
    </w:p>
    <w:p w14:paraId="125DE0EC">
      <w:pPr>
        <w:tabs>
          <w:tab w:val="left" w:pos="400"/>
        </w:tabs>
        <w:bidi w:val="0"/>
        <w:jc w:val="left"/>
        <w:rPr>
          <w:rFonts w:hint="eastAsia" w:eastAsia="宋体"/>
          <w:sz w:val="30"/>
          <w:szCs w:val="30"/>
          <w:lang w:eastAsia="zh-CN"/>
        </w:rPr>
      </w:pPr>
    </w:p>
    <w:p w14:paraId="524CFD3F">
      <w:pPr>
        <w:tabs>
          <w:tab w:val="left" w:pos="400"/>
        </w:tabs>
        <w:bidi w:val="0"/>
        <w:jc w:val="left"/>
        <w:rPr>
          <w:rFonts w:hint="eastAsia" w:eastAsia="宋体"/>
          <w:sz w:val="30"/>
          <w:szCs w:val="30"/>
          <w:lang w:eastAsia="zh-CN"/>
        </w:rPr>
      </w:pPr>
      <w:r>
        <w:rPr>
          <w:rFonts w:hint="eastAsia" w:eastAsia="宋体"/>
          <w:sz w:val="30"/>
          <w:szCs w:val="30"/>
          <w:lang w:eastAsia="zh-CN"/>
        </w:rPr>
        <w:t>换句话说，它们将要呈现一种新的形态，这种形态将一直有效，直到最终的成全及以后（太 5:18）。</w:t>
      </w:r>
    </w:p>
    <w:p w14:paraId="2FE14CFE">
      <w:pPr>
        <w:tabs>
          <w:tab w:val="left" w:pos="400"/>
        </w:tabs>
        <w:bidi w:val="0"/>
        <w:jc w:val="left"/>
        <w:rPr>
          <w:rFonts w:hint="eastAsia" w:eastAsia="宋体"/>
          <w:sz w:val="30"/>
          <w:szCs w:val="30"/>
          <w:lang w:eastAsia="zh-CN"/>
        </w:rPr>
      </w:pPr>
    </w:p>
    <w:p w14:paraId="7E5E8EEB">
      <w:pPr>
        <w:tabs>
          <w:tab w:val="left" w:pos="400"/>
        </w:tabs>
        <w:bidi w:val="0"/>
        <w:jc w:val="left"/>
        <w:rPr>
          <w:rFonts w:hint="eastAsia" w:eastAsia="宋体"/>
          <w:sz w:val="30"/>
          <w:szCs w:val="30"/>
          <w:lang w:eastAsia="zh-CN"/>
        </w:rPr>
      </w:pPr>
      <w:r>
        <w:rPr>
          <w:rFonts w:hint="eastAsia" w:eastAsia="宋体"/>
          <w:sz w:val="30"/>
          <w:szCs w:val="30"/>
          <w:lang w:eastAsia="zh-CN"/>
        </w:rPr>
        <w:t>Though the butterfly appears to be quite different from the caterpillar, the truth is that not a jot or a tittle of the insect has passed away.</w:t>
      </w:r>
    </w:p>
    <w:p w14:paraId="1A601A62">
      <w:pPr>
        <w:tabs>
          <w:tab w:val="left" w:pos="400"/>
        </w:tabs>
        <w:bidi w:val="0"/>
        <w:jc w:val="left"/>
        <w:rPr>
          <w:rFonts w:hint="eastAsia" w:eastAsia="宋体"/>
          <w:sz w:val="30"/>
          <w:szCs w:val="30"/>
          <w:lang w:eastAsia="zh-CN"/>
        </w:rPr>
      </w:pPr>
    </w:p>
    <w:p w14:paraId="7B5389E6">
      <w:pPr>
        <w:tabs>
          <w:tab w:val="left" w:pos="400"/>
        </w:tabs>
        <w:bidi w:val="0"/>
        <w:jc w:val="left"/>
        <w:rPr>
          <w:rFonts w:hint="eastAsia" w:eastAsia="宋体"/>
          <w:sz w:val="30"/>
          <w:szCs w:val="30"/>
          <w:lang w:eastAsia="zh-CN"/>
        </w:rPr>
      </w:pPr>
      <w:r>
        <w:rPr>
          <w:rFonts w:hint="eastAsia" w:eastAsia="宋体"/>
          <w:sz w:val="30"/>
          <w:szCs w:val="30"/>
          <w:lang w:eastAsia="zh-CN"/>
        </w:rPr>
        <w:t>尽管蝴蝶看起来与毛毛虫大不相同，但事实是，这昆虫的一点一画也没有过去。</w:t>
      </w:r>
    </w:p>
    <w:p w14:paraId="1383652B">
      <w:pPr>
        <w:tabs>
          <w:tab w:val="left" w:pos="400"/>
        </w:tabs>
        <w:bidi w:val="0"/>
        <w:jc w:val="left"/>
        <w:rPr>
          <w:rFonts w:hint="eastAsia" w:eastAsia="宋体"/>
          <w:sz w:val="30"/>
          <w:szCs w:val="30"/>
          <w:lang w:eastAsia="zh-CN"/>
        </w:rPr>
      </w:pPr>
    </w:p>
    <w:p w14:paraId="44D0A2E2">
      <w:pPr>
        <w:tabs>
          <w:tab w:val="left" w:pos="400"/>
        </w:tabs>
        <w:bidi w:val="0"/>
        <w:jc w:val="left"/>
        <w:rPr>
          <w:rFonts w:hint="eastAsia" w:eastAsia="宋体"/>
          <w:sz w:val="30"/>
          <w:szCs w:val="30"/>
          <w:lang w:eastAsia="zh-CN"/>
        </w:rPr>
      </w:pPr>
      <w:r>
        <w:rPr>
          <w:rFonts w:hint="eastAsia" w:eastAsia="宋体"/>
          <w:sz w:val="30"/>
          <w:szCs w:val="30"/>
          <w:lang w:eastAsia="zh-CN"/>
        </w:rPr>
        <w:t>It is the same creature, only in its new and final form.</w:t>
      </w:r>
    </w:p>
    <w:p w14:paraId="38A2B74B">
      <w:pPr>
        <w:tabs>
          <w:tab w:val="left" w:pos="400"/>
        </w:tabs>
        <w:bidi w:val="0"/>
        <w:jc w:val="left"/>
        <w:rPr>
          <w:rFonts w:hint="eastAsia" w:eastAsia="宋体"/>
          <w:sz w:val="30"/>
          <w:szCs w:val="30"/>
          <w:lang w:eastAsia="zh-CN"/>
        </w:rPr>
      </w:pPr>
    </w:p>
    <w:p w14:paraId="0EF729B7">
      <w:pPr>
        <w:tabs>
          <w:tab w:val="left" w:pos="400"/>
        </w:tabs>
        <w:bidi w:val="0"/>
        <w:jc w:val="left"/>
        <w:rPr>
          <w:rFonts w:hint="eastAsia" w:eastAsia="宋体"/>
          <w:sz w:val="30"/>
          <w:szCs w:val="30"/>
          <w:lang w:eastAsia="zh-CN"/>
        </w:rPr>
      </w:pPr>
      <w:r>
        <w:rPr>
          <w:rFonts w:hint="eastAsia" w:eastAsia="宋体"/>
          <w:sz w:val="30"/>
          <w:szCs w:val="30"/>
          <w:lang w:eastAsia="zh-CN"/>
        </w:rPr>
        <w:t>它是同一个受造之物，只是以其新的、最终的形态出现。</w:t>
      </w:r>
    </w:p>
    <w:p w14:paraId="68A852FF">
      <w:pPr>
        <w:tabs>
          <w:tab w:val="left" w:pos="400"/>
        </w:tabs>
        <w:bidi w:val="0"/>
        <w:jc w:val="left"/>
        <w:rPr>
          <w:rFonts w:hint="eastAsia" w:eastAsia="宋体"/>
          <w:sz w:val="30"/>
          <w:szCs w:val="30"/>
          <w:lang w:eastAsia="zh-CN"/>
        </w:rPr>
      </w:pPr>
    </w:p>
    <w:p w14:paraId="6E936365">
      <w:pPr>
        <w:tabs>
          <w:tab w:val="left" w:pos="400"/>
        </w:tabs>
        <w:bidi w:val="0"/>
        <w:jc w:val="left"/>
        <w:rPr>
          <w:rFonts w:hint="eastAsia" w:eastAsia="宋体"/>
          <w:sz w:val="30"/>
          <w:szCs w:val="30"/>
          <w:lang w:eastAsia="zh-CN"/>
        </w:rPr>
      </w:pPr>
      <w:r>
        <w:rPr>
          <w:rFonts w:hint="eastAsia" w:eastAsia="宋体"/>
          <w:sz w:val="30"/>
          <w:szCs w:val="30"/>
          <w:lang w:eastAsia="zh-CN"/>
        </w:rPr>
        <w:t>In speaking thus, Christ was alluding to something that in due season his apostles would declare openly, often at great personal cost: the New Covenant introduced by Christ has turned the Jewish Scriptures into (the record of) an Old Covenant, or an Old Testament.</w:t>
      </w:r>
    </w:p>
    <w:p w14:paraId="0DEE7A7A">
      <w:pPr>
        <w:tabs>
          <w:tab w:val="left" w:pos="400"/>
        </w:tabs>
        <w:bidi w:val="0"/>
        <w:jc w:val="left"/>
        <w:rPr>
          <w:rFonts w:hint="eastAsia" w:eastAsia="宋体"/>
          <w:sz w:val="30"/>
          <w:szCs w:val="30"/>
          <w:lang w:eastAsia="zh-CN"/>
        </w:rPr>
      </w:pPr>
    </w:p>
    <w:p w14:paraId="5114F966">
      <w:pPr>
        <w:tabs>
          <w:tab w:val="left" w:pos="400"/>
        </w:tabs>
        <w:bidi w:val="0"/>
        <w:jc w:val="left"/>
        <w:rPr>
          <w:rFonts w:hint="eastAsia" w:eastAsia="宋体"/>
          <w:sz w:val="30"/>
          <w:szCs w:val="30"/>
          <w:lang w:eastAsia="zh-CN"/>
        </w:rPr>
      </w:pPr>
      <w:r>
        <w:rPr>
          <w:rFonts w:hint="eastAsia" w:eastAsia="宋体"/>
          <w:sz w:val="30"/>
          <w:szCs w:val="30"/>
          <w:lang w:eastAsia="zh-CN"/>
        </w:rPr>
        <w:t>如此说时，基督是在暗示一件事，这件事祂的使徒们到了时候会公开宣告，常常是付上极大的个人代价：基督所引入的新约，已将犹太圣经变成了（记载）一个旧约，或一本旧约圣经。</w:t>
      </w:r>
    </w:p>
    <w:p w14:paraId="62220B0B">
      <w:pPr>
        <w:tabs>
          <w:tab w:val="left" w:pos="400"/>
        </w:tabs>
        <w:bidi w:val="0"/>
        <w:jc w:val="left"/>
        <w:rPr>
          <w:rFonts w:hint="eastAsia" w:eastAsia="宋体"/>
          <w:sz w:val="30"/>
          <w:szCs w:val="30"/>
          <w:lang w:eastAsia="zh-CN"/>
        </w:rPr>
      </w:pPr>
    </w:p>
    <w:p w14:paraId="0ADEFF21">
      <w:pPr>
        <w:tabs>
          <w:tab w:val="left" w:pos="400"/>
        </w:tabs>
        <w:bidi w:val="0"/>
        <w:jc w:val="left"/>
        <w:rPr>
          <w:rFonts w:hint="eastAsia" w:eastAsia="宋体"/>
          <w:sz w:val="30"/>
          <w:szCs w:val="30"/>
          <w:lang w:eastAsia="zh-CN"/>
        </w:rPr>
      </w:pPr>
      <w:r>
        <w:rPr>
          <w:rFonts w:hint="eastAsia" w:eastAsia="宋体"/>
          <w:sz w:val="30"/>
          <w:szCs w:val="30"/>
          <w:lang w:eastAsia="zh-CN"/>
        </w:rPr>
        <w:t>Because of the advent of the New Covenant and the New Covenant Scriptures that articulate it, the Jewish Scriptures have now become old, obsolete, and (in one sense) ready to pass away (Mt. 9:14-17, 2 Cor. 3:14, Heb. 8:13).</w:t>
      </w:r>
    </w:p>
    <w:p w14:paraId="1253E8E1">
      <w:pPr>
        <w:tabs>
          <w:tab w:val="left" w:pos="400"/>
        </w:tabs>
        <w:bidi w:val="0"/>
        <w:jc w:val="left"/>
        <w:rPr>
          <w:rFonts w:hint="eastAsia" w:eastAsia="宋体"/>
          <w:sz w:val="30"/>
          <w:szCs w:val="30"/>
          <w:lang w:eastAsia="zh-CN"/>
        </w:rPr>
      </w:pPr>
    </w:p>
    <w:p w14:paraId="46036A82">
      <w:pPr>
        <w:tabs>
          <w:tab w:val="left" w:pos="400"/>
        </w:tabs>
        <w:bidi w:val="0"/>
        <w:jc w:val="left"/>
        <w:rPr>
          <w:rFonts w:hint="eastAsia" w:eastAsia="宋体"/>
          <w:sz w:val="30"/>
          <w:szCs w:val="30"/>
          <w:lang w:eastAsia="zh-CN"/>
        </w:rPr>
      </w:pPr>
      <w:r>
        <w:rPr>
          <w:rFonts w:hint="eastAsia" w:eastAsia="宋体"/>
          <w:sz w:val="30"/>
          <w:szCs w:val="30"/>
          <w:lang w:eastAsia="zh-CN"/>
        </w:rPr>
        <w:t>因为新约的来临以及阐明它的新约圣经，犹太圣经如今已变旧、过时，并且（在某种意义上）快要过去了（太 9:14-17, 林后 3:14, 来 8:13）。</w:t>
      </w:r>
    </w:p>
    <w:p w14:paraId="3E9B5197">
      <w:pPr>
        <w:tabs>
          <w:tab w:val="left" w:pos="400"/>
        </w:tabs>
        <w:bidi w:val="0"/>
        <w:jc w:val="left"/>
        <w:rPr>
          <w:rFonts w:hint="eastAsia" w:eastAsia="宋体"/>
          <w:sz w:val="30"/>
          <w:szCs w:val="30"/>
          <w:lang w:eastAsia="zh-CN"/>
        </w:rPr>
      </w:pPr>
    </w:p>
    <w:p w14:paraId="00792FE7">
      <w:pPr>
        <w:tabs>
          <w:tab w:val="left" w:pos="400"/>
        </w:tabs>
        <w:bidi w:val="0"/>
        <w:jc w:val="left"/>
        <w:rPr>
          <w:rFonts w:hint="eastAsia" w:eastAsia="宋体"/>
          <w:sz w:val="30"/>
          <w:szCs w:val="30"/>
          <w:lang w:eastAsia="zh-CN"/>
        </w:rPr>
      </w:pPr>
      <w:r>
        <w:rPr>
          <w:rFonts w:hint="eastAsia" w:eastAsia="宋体"/>
          <w:sz w:val="30"/>
          <w:szCs w:val="30"/>
          <w:lang w:eastAsia="zh-CN"/>
        </w:rPr>
        <w:t>Note carefully, however, that neither Christ nor the apostles taught that the OT was now useless.</w:t>
      </w:r>
    </w:p>
    <w:p w14:paraId="33B03548">
      <w:pPr>
        <w:tabs>
          <w:tab w:val="left" w:pos="400"/>
        </w:tabs>
        <w:bidi w:val="0"/>
        <w:jc w:val="left"/>
        <w:rPr>
          <w:rFonts w:hint="eastAsia" w:eastAsia="宋体"/>
          <w:sz w:val="30"/>
          <w:szCs w:val="30"/>
          <w:lang w:eastAsia="zh-CN"/>
        </w:rPr>
      </w:pPr>
    </w:p>
    <w:p w14:paraId="2464A966">
      <w:pPr>
        <w:tabs>
          <w:tab w:val="left" w:pos="400"/>
        </w:tabs>
        <w:bidi w:val="0"/>
        <w:jc w:val="left"/>
        <w:rPr>
          <w:rFonts w:hint="eastAsia" w:eastAsia="宋体"/>
          <w:sz w:val="30"/>
          <w:szCs w:val="30"/>
          <w:lang w:eastAsia="zh-CN"/>
        </w:rPr>
      </w:pPr>
      <w:r>
        <w:rPr>
          <w:rFonts w:hint="eastAsia" w:eastAsia="宋体"/>
          <w:sz w:val="30"/>
          <w:szCs w:val="30"/>
          <w:lang w:eastAsia="zh-CN"/>
        </w:rPr>
        <w:t>然而，请仔细注意，基督和使徒们都没有教导说旧约现在无用了。</w:t>
      </w:r>
    </w:p>
    <w:p w14:paraId="2F86D318">
      <w:pPr>
        <w:tabs>
          <w:tab w:val="left" w:pos="400"/>
        </w:tabs>
        <w:bidi w:val="0"/>
        <w:jc w:val="left"/>
        <w:rPr>
          <w:rFonts w:hint="eastAsia" w:eastAsia="宋体"/>
          <w:sz w:val="30"/>
          <w:szCs w:val="30"/>
          <w:lang w:eastAsia="zh-CN"/>
        </w:rPr>
      </w:pPr>
    </w:p>
    <w:p w14:paraId="15FE165D">
      <w:pPr>
        <w:tabs>
          <w:tab w:val="left" w:pos="400"/>
        </w:tabs>
        <w:bidi w:val="0"/>
        <w:jc w:val="left"/>
        <w:rPr>
          <w:rFonts w:hint="eastAsia" w:eastAsia="宋体"/>
          <w:sz w:val="30"/>
          <w:szCs w:val="30"/>
          <w:lang w:eastAsia="zh-CN"/>
        </w:rPr>
      </w:pPr>
      <w:r>
        <w:rPr>
          <w:rFonts w:hint="eastAsia" w:eastAsia="宋体"/>
          <w:sz w:val="30"/>
          <w:szCs w:val="30"/>
          <w:lang w:eastAsia="zh-CN"/>
        </w:rPr>
        <w:t>To the contrary, from now on the Law and the Prophets would serve a new purpose: Along with the words and works of Christ, and along with the eyewitness testimony of the apostles, they would become a powerful witness to the truth of the Gospel.</w:t>
      </w:r>
    </w:p>
    <w:p w14:paraId="6371D973">
      <w:pPr>
        <w:tabs>
          <w:tab w:val="left" w:pos="400"/>
        </w:tabs>
        <w:bidi w:val="0"/>
        <w:jc w:val="left"/>
        <w:rPr>
          <w:rFonts w:hint="eastAsia" w:eastAsia="宋体"/>
          <w:sz w:val="30"/>
          <w:szCs w:val="30"/>
          <w:lang w:eastAsia="zh-CN"/>
        </w:rPr>
      </w:pPr>
    </w:p>
    <w:p w14:paraId="72D6E3FE">
      <w:pPr>
        <w:tabs>
          <w:tab w:val="left" w:pos="400"/>
        </w:tabs>
        <w:bidi w:val="0"/>
        <w:jc w:val="left"/>
        <w:rPr>
          <w:rFonts w:hint="eastAsia" w:eastAsia="宋体"/>
          <w:sz w:val="30"/>
          <w:szCs w:val="30"/>
          <w:lang w:eastAsia="zh-CN"/>
        </w:rPr>
      </w:pPr>
      <w:r>
        <w:rPr>
          <w:rFonts w:hint="eastAsia" w:eastAsia="宋体"/>
          <w:sz w:val="30"/>
          <w:szCs w:val="30"/>
          <w:lang w:eastAsia="zh-CN"/>
        </w:rPr>
        <w:t>相反，从今以后，律法和申言者将服务于一个新的目的：连同基督的话语和作为，以及使徒们的亲眼见证，它们将成为福音真理的有力见证。</w:t>
      </w:r>
    </w:p>
    <w:p w14:paraId="14DCF07D">
      <w:pPr>
        <w:tabs>
          <w:tab w:val="left" w:pos="400"/>
        </w:tabs>
        <w:bidi w:val="0"/>
        <w:jc w:val="left"/>
        <w:rPr>
          <w:rFonts w:hint="eastAsia" w:eastAsia="宋体"/>
          <w:sz w:val="30"/>
          <w:szCs w:val="30"/>
          <w:lang w:eastAsia="zh-CN"/>
        </w:rPr>
      </w:pPr>
    </w:p>
    <w:p w14:paraId="3AB08F96">
      <w:pPr>
        <w:tabs>
          <w:tab w:val="left" w:pos="400"/>
        </w:tabs>
        <w:bidi w:val="0"/>
        <w:jc w:val="left"/>
        <w:rPr>
          <w:rFonts w:hint="eastAsia" w:eastAsia="宋体"/>
          <w:sz w:val="30"/>
          <w:szCs w:val="30"/>
          <w:lang w:eastAsia="zh-CN"/>
        </w:rPr>
      </w:pPr>
      <w:r>
        <w:rPr>
          <w:rFonts w:hint="eastAsia" w:eastAsia="宋体"/>
          <w:sz w:val="30"/>
          <w:szCs w:val="30"/>
          <w:lang w:eastAsia="zh-CN"/>
        </w:rPr>
        <w:t>They would constitute a vast treasury of OT pictures and prophecies, all of which were designed by God to further the cause of Christ and the New Covenant in these last days.</w:t>
      </w:r>
    </w:p>
    <w:p w14:paraId="501FB8EC">
      <w:pPr>
        <w:tabs>
          <w:tab w:val="left" w:pos="400"/>
        </w:tabs>
        <w:bidi w:val="0"/>
        <w:jc w:val="left"/>
        <w:rPr>
          <w:rFonts w:hint="eastAsia" w:eastAsia="宋体"/>
          <w:sz w:val="30"/>
          <w:szCs w:val="30"/>
          <w:lang w:eastAsia="zh-CN"/>
        </w:rPr>
      </w:pPr>
    </w:p>
    <w:p w14:paraId="6CE04A20">
      <w:pPr>
        <w:tabs>
          <w:tab w:val="left" w:pos="400"/>
        </w:tabs>
        <w:bidi w:val="0"/>
        <w:jc w:val="left"/>
        <w:rPr>
          <w:rFonts w:hint="eastAsia" w:eastAsia="宋体"/>
          <w:sz w:val="30"/>
          <w:szCs w:val="30"/>
          <w:lang w:eastAsia="zh-CN"/>
        </w:rPr>
      </w:pPr>
      <w:r>
        <w:rPr>
          <w:rFonts w:hint="eastAsia" w:eastAsia="宋体"/>
          <w:sz w:val="30"/>
          <w:szCs w:val="30"/>
          <w:lang w:eastAsia="zh-CN"/>
        </w:rPr>
        <w:t>它们将构成一个巨大的旧约图画和预言的宝库，所有这些都是神设计的，为要在这些末后的日子里，推进基督和新约的事业。</w:t>
      </w:r>
    </w:p>
    <w:p w14:paraId="226AA80A">
      <w:pPr>
        <w:tabs>
          <w:tab w:val="left" w:pos="400"/>
        </w:tabs>
        <w:bidi w:val="0"/>
        <w:jc w:val="left"/>
        <w:rPr>
          <w:rFonts w:hint="eastAsia" w:eastAsia="宋体"/>
          <w:sz w:val="30"/>
          <w:szCs w:val="30"/>
          <w:lang w:eastAsia="zh-CN"/>
        </w:rPr>
      </w:pPr>
    </w:p>
    <w:p w14:paraId="212EE51E">
      <w:pPr>
        <w:tabs>
          <w:tab w:val="left" w:pos="400"/>
        </w:tabs>
        <w:bidi w:val="0"/>
        <w:jc w:val="left"/>
        <w:rPr>
          <w:rFonts w:hint="eastAsia" w:eastAsia="宋体"/>
          <w:sz w:val="30"/>
          <w:szCs w:val="30"/>
          <w:lang w:eastAsia="zh-CN"/>
        </w:rPr>
      </w:pPr>
      <w:r>
        <w:rPr>
          <w:rFonts w:hint="eastAsia" w:eastAsia="宋体"/>
          <w:sz w:val="30"/>
          <w:szCs w:val="30"/>
          <w:lang w:eastAsia="zh-CN"/>
        </w:rPr>
        <w:t>In this regard, the Lord Jesus himself pointed the way.</w:t>
      </w:r>
    </w:p>
    <w:p w14:paraId="16B3B594">
      <w:pPr>
        <w:tabs>
          <w:tab w:val="left" w:pos="400"/>
        </w:tabs>
        <w:bidi w:val="0"/>
        <w:jc w:val="left"/>
        <w:rPr>
          <w:rFonts w:hint="eastAsia" w:eastAsia="宋体"/>
          <w:sz w:val="30"/>
          <w:szCs w:val="30"/>
          <w:lang w:eastAsia="zh-CN"/>
        </w:rPr>
      </w:pPr>
    </w:p>
    <w:p w14:paraId="690F6FD8">
      <w:pPr>
        <w:tabs>
          <w:tab w:val="left" w:pos="400"/>
        </w:tabs>
        <w:bidi w:val="0"/>
        <w:jc w:val="left"/>
        <w:rPr>
          <w:rFonts w:hint="eastAsia" w:eastAsia="宋体"/>
          <w:sz w:val="30"/>
          <w:szCs w:val="30"/>
          <w:lang w:eastAsia="zh-CN"/>
        </w:rPr>
      </w:pPr>
      <w:r>
        <w:rPr>
          <w:rFonts w:hint="eastAsia" w:eastAsia="宋体"/>
          <w:sz w:val="30"/>
          <w:szCs w:val="30"/>
          <w:lang w:eastAsia="zh-CN"/>
        </w:rPr>
        <w:t>在这方面，主耶稣自己指明了道路。</w:t>
      </w:r>
    </w:p>
    <w:p w14:paraId="1A8CD189">
      <w:pPr>
        <w:tabs>
          <w:tab w:val="left" w:pos="400"/>
        </w:tabs>
        <w:bidi w:val="0"/>
        <w:jc w:val="left"/>
        <w:rPr>
          <w:rFonts w:hint="eastAsia" w:eastAsia="宋体"/>
          <w:sz w:val="30"/>
          <w:szCs w:val="30"/>
          <w:lang w:eastAsia="zh-CN"/>
        </w:rPr>
      </w:pPr>
    </w:p>
    <w:p w14:paraId="57D8254C">
      <w:pPr>
        <w:tabs>
          <w:tab w:val="left" w:pos="400"/>
        </w:tabs>
        <w:bidi w:val="0"/>
        <w:jc w:val="left"/>
        <w:rPr>
          <w:rFonts w:hint="eastAsia" w:eastAsia="宋体"/>
          <w:sz w:val="30"/>
          <w:szCs w:val="30"/>
          <w:lang w:eastAsia="zh-CN"/>
        </w:rPr>
      </w:pPr>
      <w:r>
        <w:rPr>
          <w:rFonts w:hint="eastAsia" w:eastAsia="宋体"/>
          <w:sz w:val="30"/>
          <w:szCs w:val="30"/>
          <w:lang w:eastAsia="zh-CN"/>
        </w:rPr>
        <w:t>We remember, for example, how he taught Nicodemus to see the Person and Work of the Messiah in the ancient story of the bronze serpent that Moses suspended on a pole for the rescue of guilty and condemned sinners (Numbers 21, John 3).</w:t>
      </w:r>
    </w:p>
    <w:p w14:paraId="2CF9770D">
      <w:pPr>
        <w:tabs>
          <w:tab w:val="left" w:pos="400"/>
        </w:tabs>
        <w:bidi w:val="0"/>
        <w:jc w:val="left"/>
        <w:rPr>
          <w:rFonts w:hint="eastAsia" w:eastAsia="宋体"/>
          <w:sz w:val="30"/>
          <w:szCs w:val="30"/>
          <w:lang w:eastAsia="zh-CN"/>
        </w:rPr>
      </w:pPr>
    </w:p>
    <w:p w14:paraId="7833C760">
      <w:pPr>
        <w:tabs>
          <w:tab w:val="left" w:pos="400"/>
        </w:tabs>
        <w:bidi w:val="0"/>
        <w:jc w:val="left"/>
        <w:rPr>
          <w:rFonts w:hint="eastAsia" w:eastAsia="宋体"/>
          <w:sz w:val="30"/>
          <w:szCs w:val="30"/>
          <w:lang w:eastAsia="zh-CN"/>
        </w:rPr>
      </w:pPr>
      <w:r>
        <w:rPr>
          <w:rFonts w:hint="eastAsia" w:eastAsia="宋体"/>
          <w:sz w:val="30"/>
          <w:szCs w:val="30"/>
          <w:lang w:eastAsia="zh-CN"/>
        </w:rPr>
        <w:t>例如，我们记得祂如何教导尼哥底母，在摩西为拯救有罪和被定罪的罪人而悬挂在杆上的铜蛇的古老故事中，看见弥赛亚的所是和所作（民数记 21, 约翰福音 3）。</w:t>
      </w:r>
    </w:p>
    <w:p w14:paraId="717A082B">
      <w:pPr>
        <w:tabs>
          <w:tab w:val="left" w:pos="400"/>
        </w:tabs>
        <w:bidi w:val="0"/>
        <w:jc w:val="left"/>
        <w:rPr>
          <w:rFonts w:hint="eastAsia" w:eastAsia="宋体"/>
          <w:sz w:val="30"/>
          <w:szCs w:val="30"/>
          <w:lang w:eastAsia="zh-CN"/>
        </w:rPr>
      </w:pPr>
    </w:p>
    <w:p w14:paraId="61EF3117">
      <w:pPr>
        <w:tabs>
          <w:tab w:val="left" w:pos="400"/>
        </w:tabs>
        <w:bidi w:val="0"/>
        <w:jc w:val="left"/>
        <w:rPr>
          <w:rFonts w:hint="eastAsia" w:eastAsia="宋体"/>
          <w:sz w:val="30"/>
          <w:szCs w:val="30"/>
          <w:lang w:eastAsia="zh-CN"/>
        </w:rPr>
      </w:pPr>
      <w:r>
        <w:rPr>
          <w:rFonts w:hint="eastAsia" w:eastAsia="宋体"/>
          <w:sz w:val="30"/>
          <w:szCs w:val="30"/>
          <w:lang w:eastAsia="zh-CN"/>
        </w:rPr>
        <w:t>Likewise, we recall how he foretold his own death, burial, and resurrection by alluding to Jonah’s three days and nights in the belly of the great fish (Mt. 12:40).</w:t>
      </w:r>
    </w:p>
    <w:p w14:paraId="192726C2">
      <w:pPr>
        <w:tabs>
          <w:tab w:val="left" w:pos="400"/>
        </w:tabs>
        <w:bidi w:val="0"/>
        <w:jc w:val="left"/>
        <w:rPr>
          <w:rFonts w:hint="eastAsia" w:eastAsia="宋体"/>
          <w:sz w:val="30"/>
          <w:szCs w:val="30"/>
          <w:lang w:eastAsia="zh-CN"/>
        </w:rPr>
      </w:pPr>
    </w:p>
    <w:p w14:paraId="0BEE358F">
      <w:pPr>
        <w:tabs>
          <w:tab w:val="left" w:pos="400"/>
        </w:tabs>
        <w:bidi w:val="0"/>
        <w:jc w:val="left"/>
        <w:rPr>
          <w:rFonts w:hint="eastAsia" w:eastAsia="宋体"/>
          <w:sz w:val="30"/>
          <w:szCs w:val="30"/>
          <w:lang w:eastAsia="zh-CN"/>
        </w:rPr>
      </w:pPr>
      <w:r>
        <w:rPr>
          <w:rFonts w:hint="eastAsia" w:eastAsia="宋体"/>
          <w:sz w:val="30"/>
          <w:szCs w:val="30"/>
          <w:lang w:eastAsia="zh-CN"/>
        </w:rPr>
        <w:t>同样，我们回想祂如何通过暗示约拿在大鱼腹中三日三夜，来预言祂自己的死、埋葬和复活（太 12:40）。</w:t>
      </w:r>
    </w:p>
    <w:p w14:paraId="2AA53F2E">
      <w:pPr>
        <w:tabs>
          <w:tab w:val="left" w:pos="400"/>
        </w:tabs>
        <w:bidi w:val="0"/>
        <w:jc w:val="left"/>
        <w:rPr>
          <w:rFonts w:hint="eastAsia" w:eastAsia="宋体"/>
          <w:sz w:val="30"/>
          <w:szCs w:val="30"/>
          <w:lang w:eastAsia="zh-CN"/>
        </w:rPr>
      </w:pPr>
    </w:p>
    <w:p w14:paraId="63735832">
      <w:pPr>
        <w:tabs>
          <w:tab w:val="left" w:pos="400"/>
        </w:tabs>
        <w:bidi w:val="0"/>
        <w:jc w:val="left"/>
        <w:rPr>
          <w:rFonts w:hint="eastAsia" w:eastAsia="宋体"/>
          <w:sz w:val="30"/>
          <w:szCs w:val="30"/>
          <w:lang w:eastAsia="zh-CN"/>
        </w:rPr>
      </w:pPr>
      <w:r>
        <w:rPr>
          <w:rFonts w:hint="eastAsia" w:eastAsia="宋体"/>
          <w:sz w:val="30"/>
          <w:szCs w:val="30"/>
          <w:lang w:eastAsia="zh-CN"/>
        </w:rPr>
        <w:t>Or again, we marvel to see him opening up the deep, Messianic significance of the Manna with which God fed his OT people in the wilderness: how it stands for Christ himself, the Bread of Heaven, graciously sent down by God, broken for his people, that he might live in his people, thereby nourishing and strengthening them for their difficult walk through the wilderness of this present evil world (Exodus 16, John 6, Rev. 12).</w:t>
      </w:r>
    </w:p>
    <w:p w14:paraId="523287CF">
      <w:pPr>
        <w:tabs>
          <w:tab w:val="left" w:pos="400"/>
        </w:tabs>
        <w:bidi w:val="0"/>
        <w:jc w:val="left"/>
        <w:rPr>
          <w:rFonts w:hint="eastAsia" w:eastAsia="宋体"/>
          <w:sz w:val="30"/>
          <w:szCs w:val="30"/>
          <w:lang w:eastAsia="zh-CN"/>
        </w:rPr>
      </w:pPr>
    </w:p>
    <w:p w14:paraId="659E16C1">
      <w:pPr>
        <w:tabs>
          <w:tab w:val="left" w:pos="400"/>
        </w:tabs>
        <w:bidi w:val="0"/>
        <w:jc w:val="left"/>
        <w:rPr>
          <w:rFonts w:hint="eastAsia" w:eastAsia="宋体"/>
          <w:sz w:val="30"/>
          <w:szCs w:val="30"/>
          <w:lang w:eastAsia="zh-CN"/>
        </w:rPr>
      </w:pPr>
      <w:r>
        <w:rPr>
          <w:rFonts w:hint="eastAsia" w:eastAsia="宋体"/>
          <w:sz w:val="30"/>
          <w:szCs w:val="30"/>
          <w:lang w:eastAsia="zh-CN"/>
        </w:rPr>
        <w:t>或者，我们惊叹地看见祂揭示神在旷野用以喂养祂旧约子民之吗哪的深层、弥赛亚的意义：它如何代表基督自己，天上的粮，由神恩慈地降下，为祂的子民擘开，好叫祂能活在祂的子民里面，从而滋养并加力他们，走过现今这邪恶世界之旷野的艰难路程（出埃及记 16, 约翰福音 6, 启示录 12）。</w:t>
      </w:r>
    </w:p>
    <w:p w14:paraId="12E08C1D">
      <w:pPr>
        <w:tabs>
          <w:tab w:val="left" w:pos="400"/>
        </w:tabs>
        <w:bidi w:val="0"/>
        <w:jc w:val="left"/>
        <w:rPr>
          <w:rFonts w:hint="eastAsia" w:eastAsia="宋体"/>
          <w:sz w:val="30"/>
          <w:szCs w:val="30"/>
          <w:lang w:eastAsia="zh-CN"/>
        </w:rPr>
      </w:pPr>
    </w:p>
    <w:p w14:paraId="58140C4E">
      <w:pPr>
        <w:tabs>
          <w:tab w:val="left" w:pos="400"/>
        </w:tabs>
        <w:bidi w:val="0"/>
        <w:jc w:val="left"/>
        <w:rPr>
          <w:rFonts w:hint="eastAsia" w:eastAsia="宋体"/>
          <w:sz w:val="30"/>
          <w:szCs w:val="30"/>
          <w:lang w:eastAsia="zh-CN"/>
        </w:rPr>
      </w:pPr>
      <w:r>
        <w:rPr>
          <w:rFonts w:hint="eastAsia" w:eastAsia="宋体"/>
          <w:sz w:val="30"/>
          <w:szCs w:val="30"/>
          <w:lang w:eastAsia="zh-CN"/>
        </w:rPr>
        <w:t>And beyond all this, we remember the many times in which he taught his disciples that the events of his earthly ministry were in fulfillment of specific OT prophecies about the earthly life of God’s Messiah (Mt. 13:14, 26:54, Luke 4:21, John 13:18, 15:25, 17:12).</w:t>
      </w:r>
    </w:p>
    <w:p w14:paraId="71519384">
      <w:pPr>
        <w:tabs>
          <w:tab w:val="left" w:pos="400"/>
        </w:tabs>
        <w:bidi w:val="0"/>
        <w:jc w:val="left"/>
        <w:rPr>
          <w:rFonts w:hint="eastAsia" w:eastAsia="宋体"/>
          <w:sz w:val="30"/>
          <w:szCs w:val="30"/>
          <w:lang w:eastAsia="zh-CN"/>
        </w:rPr>
      </w:pPr>
    </w:p>
    <w:p w14:paraId="2637BE6D">
      <w:pPr>
        <w:tabs>
          <w:tab w:val="left" w:pos="400"/>
        </w:tabs>
        <w:bidi w:val="0"/>
        <w:jc w:val="left"/>
        <w:rPr>
          <w:rFonts w:hint="eastAsia" w:eastAsia="宋体"/>
          <w:sz w:val="30"/>
          <w:szCs w:val="30"/>
          <w:lang w:eastAsia="zh-CN"/>
        </w:rPr>
      </w:pPr>
      <w:r>
        <w:rPr>
          <w:rFonts w:hint="eastAsia" w:eastAsia="宋体"/>
          <w:sz w:val="30"/>
          <w:szCs w:val="30"/>
          <w:lang w:eastAsia="zh-CN"/>
        </w:rPr>
        <w:t>除此之外，我们还记得祂多次教导祂的门徒，祂地上职事的事件，是为要应验关于神弥赛亚地上生活的特定旧约预言（太 13:14, 26:54, 路 4:21, 约 13:18, 15:25, 17:12）。</w:t>
      </w:r>
    </w:p>
    <w:p w14:paraId="5154A05F">
      <w:pPr>
        <w:tabs>
          <w:tab w:val="left" w:pos="400"/>
        </w:tabs>
        <w:bidi w:val="0"/>
        <w:jc w:val="left"/>
        <w:rPr>
          <w:rFonts w:hint="eastAsia" w:eastAsia="宋体"/>
          <w:sz w:val="30"/>
          <w:szCs w:val="30"/>
          <w:lang w:eastAsia="zh-CN"/>
        </w:rPr>
      </w:pPr>
    </w:p>
    <w:p w14:paraId="66641C68">
      <w:pPr>
        <w:tabs>
          <w:tab w:val="left" w:pos="400"/>
        </w:tabs>
        <w:bidi w:val="0"/>
        <w:jc w:val="left"/>
        <w:rPr>
          <w:rFonts w:hint="eastAsia" w:eastAsia="宋体"/>
          <w:sz w:val="30"/>
          <w:szCs w:val="30"/>
          <w:lang w:eastAsia="zh-CN"/>
        </w:rPr>
      </w:pPr>
      <w:r>
        <w:rPr>
          <w:rFonts w:hint="eastAsia" w:eastAsia="宋体"/>
          <w:sz w:val="30"/>
          <w:szCs w:val="30"/>
          <w:lang w:eastAsia="zh-CN"/>
        </w:rPr>
        <w:t>All of these examples teach us that a vital part of Christ’s earthly ministry was to prepare his disciples to receive the Master Key to the proper understanding of the entire Old Testament.</w:t>
      </w:r>
    </w:p>
    <w:p w14:paraId="770E856E">
      <w:pPr>
        <w:tabs>
          <w:tab w:val="left" w:pos="400"/>
        </w:tabs>
        <w:bidi w:val="0"/>
        <w:jc w:val="left"/>
        <w:rPr>
          <w:rFonts w:hint="eastAsia" w:eastAsia="宋体"/>
          <w:sz w:val="30"/>
          <w:szCs w:val="30"/>
          <w:lang w:eastAsia="zh-CN"/>
        </w:rPr>
      </w:pPr>
    </w:p>
    <w:p w14:paraId="37DD3149">
      <w:pPr>
        <w:tabs>
          <w:tab w:val="left" w:pos="400"/>
        </w:tabs>
        <w:bidi w:val="0"/>
        <w:jc w:val="left"/>
        <w:rPr>
          <w:rFonts w:hint="eastAsia" w:eastAsia="宋体"/>
          <w:sz w:val="30"/>
          <w:szCs w:val="30"/>
          <w:lang w:eastAsia="zh-CN"/>
        </w:rPr>
      </w:pPr>
      <w:r>
        <w:rPr>
          <w:rFonts w:hint="eastAsia" w:eastAsia="宋体"/>
          <w:sz w:val="30"/>
          <w:szCs w:val="30"/>
          <w:lang w:eastAsia="zh-CN"/>
        </w:rPr>
        <w:t>所有这些例子都教导我们，基督地上职事的一个重要部分，是预备祂的门徒领受正确理解整本旧约的万能钥匙。</w:t>
      </w:r>
    </w:p>
    <w:p w14:paraId="60884467">
      <w:pPr>
        <w:tabs>
          <w:tab w:val="left" w:pos="400"/>
        </w:tabs>
        <w:bidi w:val="0"/>
        <w:jc w:val="left"/>
        <w:rPr>
          <w:rFonts w:hint="eastAsia" w:eastAsia="宋体"/>
          <w:sz w:val="30"/>
          <w:szCs w:val="30"/>
          <w:lang w:eastAsia="zh-CN"/>
        </w:rPr>
      </w:pPr>
    </w:p>
    <w:p w14:paraId="154A66CF">
      <w:pPr>
        <w:tabs>
          <w:tab w:val="left" w:pos="400"/>
        </w:tabs>
        <w:bidi w:val="0"/>
        <w:jc w:val="left"/>
        <w:rPr>
          <w:rFonts w:hint="eastAsia" w:eastAsia="宋体"/>
          <w:sz w:val="30"/>
          <w:szCs w:val="30"/>
          <w:lang w:eastAsia="zh-CN"/>
        </w:rPr>
      </w:pPr>
      <w:r>
        <w:rPr>
          <w:rFonts w:hint="eastAsia" w:eastAsia="宋体"/>
          <w:sz w:val="30"/>
          <w:szCs w:val="30"/>
          <w:lang w:eastAsia="zh-CN"/>
        </w:rPr>
        <w:t>And indeed, shortly after his resurrection he finally placed that key in their hands, saying:</w:t>
      </w:r>
    </w:p>
    <w:p w14:paraId="4AB755CB">
      <w:pPr>
        <w:tabs>
          <w:tab w:val="left" w:pos="400"/>
        </w:tabs>
        <w:bidi w:val="0"/>
        <w:jc w:val="left"/>
        <w:rPr>
          <w:rFonts w:hint="eastAsia" w:eastAsia="宋体"/>
          <w:sz w:val="30"/>
          <w:szCs w:val="30"/>
          <w:lang w:eastAsia="zh-CN"/>
        </w:rPr>
      </w:pPr>
    </w:p>
    <w:p w14:paraId="43AAD963">
      <w:pPr>
        <w:tabs>
          <w:tab w:val="left" w:pos="400"/>
        </w:tabs>
        <w:bidi w:val="0"/>
        <w:jc w:val="left"/>
        <w:rPr>
          <w:rFonts w:hint="eastAsia" w:eastAsia="宋体"/>
          <w:sz w:val="30"/>
          <w:szCs w:val="30"/>
          <w:lang w:eastAsia="zh-CN"/>
        </w:rPr>
      </w:pPr>
      <w:r>
        <w:rPr>
          <w:rFonts w:hint="eastAsia" w:eastAsia="宋体"/>
          <w:sz w:val="30"/>
          <w:szCs w:val="30"/>
          <w:lang w:eastAsia="zh-CN"/>
        </w:rPr>
        <w:t>的确，在祂复活后不久，祂终于将那钥匙放在他们手中，说：</w:t>
      </w:r>
    </w:p>
    <w:p w14:paraId="546A638F">
      <w:pPr>
        <w:tabs>
          <w:tab w:val="left" w:pos="400"/>
        </w:tabs>
        <w:bidi w:val="0"/>
        <w:jc w:val="left"/>
        <w:rPr>
          <w:rFonts w:hint="eastAsia" w:eastAsia="宋体"/>
          <w:sz w:val="30"/>
          <w:szCs w:val="30"/>
          <w:lang w:eastAsia="zh-CN"/>
        </w:rPr>
      </w:pPr>
    </w:p>
    <w:p w14:paraId="1ED98EFF">
      <w:pPr>
        <w:tabs>
          <w:tab w:val="left" w:pos="400"/>
        </w:tabs>
        <w:bidi w:val="0"/>
        <w:jc w:val="left"/>
        <w:rPr>
          <w:rFonts w:hint="eastAsia" w:eastAsia="宋体"/>
          <w:sz w:val="30"/>
          <w:szCs w:val="30"/>
          <w:lang w:eastAsia="zh-CN"/>
        </w:rPr>
      </w:pPr>
      <w:r>
        <w:rPr>
          <w:rFonts w:hint="eastAsia" w:eastAsia="宋体"/>
          <w:sz w:val="30"/>
          <w:szCs w:val="30"/>
          <w:lang w:eastAsia="zh-CN"/>
        </w:rPr>
        <w:t>“This is what I told you while I was still with you, that all things which are written about Me in the Law of Moses and the Prophets and the Psalms must be fulfilled.”</w:t>
      </w:r>
    </w:p>
    <w:p w14:paraId="24623264">
      <w:pPr>
        <w:tabs>
          <w:tab w:val="left" w:pos="400"/>
        </w:tabs>
        <w:bidi w:val="0"/>
        <w:jc w:val="left"/>
        <w:rPr>
          <w:rFonts w:hint="eastAsia" w:eastAsia="宋体"/>
          <w:sz w:val="30"/>
          <w:szCs w:val="30"/>
          <w:lang w:eastAsia="zh-CN"/>
        </w:rPr>
      </w:pPr>
    </w:p>
    <w:p w14:paraId="1FE87564">
      <w:pPr>
        <w:tabs>
          <w:tab w:val="left" w:pos="400"/>
        </w:tabs>
        <w:bidi w:val="0"/>
        <w:jc w:val="left"/>
        <w:rPr>
          <w:rFonts w:hint="eastAsia" w:eastAsia="宋体"/>
          <w:sz w:val="30"/>
          <w:szCs w:val="30"/>
          <w:lang w:eastAsia="zh-CN"/>
        </w:rPr>
      </w:pPr>
      <w:r>
        <w:rPr>
          <w:rFonts w:hint="eastAsia" w:eastAsia="宋体"/>
          <w:sz w:val="30"/>
          <w:szCs w:val="30"/>
          <w:lang w:eastAsia="zh-CN"/>
        </w:rPr>
        <w:t>“这就是我从前与你们同在的时候，对你们所说的话，就是摩西的律法、申言者的书，和诗篇上所记关于我的一切事，都必须应验。”</w:t>
      </w:r>
    </w:p>
    <w:p w14:paraId="6D38DBE9">
      <w:pPr>
        <w:tabs>
          <w:tab w:val="left" w:pos="400"/>
        </w:tabs>
        <w:bidi w:val="0"/>
        <w:jc w:val="left"/>
        <w:rPr>
          <w:rFonts w:hint="eastAsia" w:eastAsia="宋体"/>
          <w:sz w:val="30"/>
          <w:szCs w:val="30"/>
          <w:lang w:eastAsia="zh-CN"/>
        </w:rPr>
      </w:pPr>
    </w:p>
    <w:p w14:paraId="0078BB51">
      <w:pPr>
        <w:tabs>
          <w:tab w:val="left" w:pos="400"/>
        </w:tabs>
        <w:bidi w:val="0"/>
        <w:jc w:val="left"/>
        <w:rPr>
          <w:rFonts w:hint="eastAsia" w:eastAsia="宋体"/>
          <w:sz w:val="30"/>
          <w:szCs w:val="30"/>
          <w:lang w:eastAsia="zh-CN"/>
        </w:rPr>
      </w:pPr>
      <w:r>
        <w:rPr>
          <w:rFonts w:hint="eastAsia" w:eastAsia="宋体"/>
          <w:sz w:val="30"/>
          <w:szCs w:val="30"/>
          <w:lang w:eastAsia="zh-CN"/>
        </w:rPr>
        <w:t>Then He opened their minds to understand the Scriptures.</w:t>
      </w:r>
    </w:p>
    <w:p w14:paraId="67944B27">
      <w:pPr>
        <w:tabs>
          <w:tab w:val="left" w:pos="400"/>
        </w:tabs>
        <w:bidi w:val="0"/>
        <w:jc w:val="left"/>
        <w:rPr>
          <w:rFonts w:hint="eastAsia" w:eastAsia="宋体"/>
          <w:sz w:val="30"/>
          <w:szCs w:val="30"/>
          <w:lang w:eastAsia="zh-CN"/>
        </w:rPr>
      </w:pPr>
    </w:p>
    <w:p w14:paraId="6D5DD46D">
      <w:pPr>
        <w:tabs>
          <w:tab w:val="left" w:pos="400"/>
        </w:tabs>
        <w:bidi w:val="0"/>
        <w:jc w:val="left"/>
        <w:rPr>
          <w:rFonts w:hint="eastAsia" w:eastAsia="宋体"/>
          <w:sz w:val="30"/>
          <w:szCs w:val="30"/>
          <w:lang w:eastAsia="zh-CN"/>
        </w:rPr>
      </w:pPr>
      <w:r>
        <w:rPr>
          <w:rFonts w:hint="eastAsia" w:eastAsia="宋体"/>
          <w:sz w:val="30"/>
          <w:szCs w:val="30"/>
          <w:lang w:eastAsia="zh-CN"/>
        </w:rPr>
        <w:t>于是祂开了他们的心窍，使他们能明白圣经。</w:t>
      </w:r>
    </w:p>
    <w:p w14:paraId="7339C8C2">
      <w:pPr>
        <w:tabs>
          <w:tab w:val="left" w:pos="400"/>
        </w:tabs>
        <w:bidi w:val="0"/>
        <w:jc w:val="left"/>
        <w:rPr>
          <w:rFonts w:hint="eastAsia" w:eastAsia="宋体"/>
          <w:sz w:val="30"/>
          <w:szCs w:val="30"/>
          <w:lang w:eastAsia="zh-CN"/>
        </w:rPr>
      </w:pPr>
    </w:p>
    <w:p w14:paraId="24F9EA43">
      <w:pPr>
        <w:tabs>
          <w:tab w:val="left" w:pos="400"/>
        </w:tabs>
        <w:bidi w:val="0"/>
        <w:jc w:val="left"/>
        <w:rPr>
          <w:rFonts w:hint="eastAsia" w:eastAsia="宋体"/>
          <w:sz w:val="30"/>
          <w:szCs w:val="30"/>
          <w:lang w:eastAsia="zh-CN"/>
        </w:rPr>
      </w:pPr>
      <w:r>
        <w:rPr>
          <w:rFonts w:hint="eastAsia" w:eastAsia="宋体"/>
          <w:sz w:val="30"/>
          <w:szCs w:val="30"/>
          <w:lang w:eastAsia="zh-CN"/>
        </w:rPr>
        <w:t>—Luke 24:27, 44-47 (NIV)</w:t>
      </w:r>
    </w:p>
    <w:p w14:paraId="03887D18">
      <w:pPr>
        <w:tabs>
          <w:tab w:val="left" w:pos="400"/>
        </w:tabs>
        <w:bidi w:val="0"/>
        <w:jc w:val="left"/>
        <w:rPr>
          <w:rFonts w:hint="eastAsia" w:eastAsia="宋体"/>
          <w:sz w:val="30"/>
          <w:szCs w:val="30"/>
          <w:lang w:eastAsia="zh-CN"/>
        </w:rPr>
      </w:pPr>
    </w:p>
    <w:p w14:paraId="7F602081">
      <w:pPr>
        <w:tabs>
          <w:tab w:val="left" w:pos="400"/>
        </w:tabs>
        <w:bidi w:val="0"/>
        <w:jc w:val="left"/>
        <w:rPr>
          <w:rFonts w:hint="eastAsia" w:eastAsia="宋体"/>
          <w:sz w:val="30"/>
          <w:szCs w:val="30"/>
          <w:lang w:eastAsia="zh-CN"/>
        </w:rPr>
      </w:pPr>
      <w:r>
        <w:rPr>
          <w:rFonts w:hint="eastAsia" w:eastAsia="宋体"/>
          <w:sz w:val="30"/>
          <w:szCs w:val="30"/>
          <w:lang w:eastAsia="zh-CN"/>
        </w:rPr>
        <w:t>——路加福音 24:27, 44-47 (新国际版)</w:t>
      </w:r>
    </w:p>
    <w:p w14:paraId="24B9FBD4">
      <w:pPr>
        <w:tabs>
          <w:tab w:val="left" w:pos="400"/>
        </w:tabs>
        <w:bidi w:val="0"/>
        <w:jc w:val="left"/>
        <w:rPr>
          <w:rFonts w:hint="eastAsia" w:eastAsia="宋体"/>
          <w:sz w:val="30"/>
          <w:szCs w:val="30"/>
          <w:lang w:eastAsia="zh-CN"/>
        </w:rPr>
      </w:pPr>
    </w:p>
    <w:p w14:paraId="322A7E8B">
      <w:pPr>
        <w:tabs>
          <w:tab w:val="left" w:pos="400"/>
        </w:tabs>
        <w:bidi w:val="0"/>
        <w:jc w:val="left"/>
        <w:rPr>
          <w:rFonts w:hint="eastAsia" w:eastAsia="宋体"/>
          <w:sz w:val="30"/>
          <w:szCs w:val="30"/>
          <w:lang w:eastAsia="zh-CN"/>
        </w:rPr>
      </w:pPr>
      <w:r>
        <w:rPr>
          <w:rFonts w:hint="eastAsia" w:eastAsia="宋体"/>
          <w:sz w:val="30"/>
          <w:szCs w:val="30"/>
          <w:lang w:eastAsia="zh-CN"/>
        </w:rPr>
        <w:t>What a moment that must have been!</w:t>
      </w:r>
    </w:p>
    <w:p w14:paraId="47562DCB">
      <w:pPr>
        <w:tabs>
          <w:tab w:val="left" w:pos="400"/>
        </w:tabs>
        <w:bidi w:val="0"/>
        <w:jc w:val="left"/>
        <w:rPr>
          <w:rFonts w:hint="eastAsia" w:eastAsia="宋体"/>
          <w:sz w:val="30"/>
          <w:szCs w:val="30"/>
          <w:lang w:eastAsia="zh-CN"/>
        </w:rPr>
      </w:pPr>
    </w:p>
    <w:p w14:paraId="4D5BE0A1">
      <w:pPr>
        <w:tabs>
          <w:tab w:val="left" w:pos="400"/>
        </w:tabs>
        <w:bidi w:val="0"/>
        <w:jc w:val="left"/>
        <w:rPr>
          <w:rFonts w:hint="eastAsia" w:eastAsia="宋体"/>
          <w:sz w:val="30"/>
          <w:szCs w:val="30"/>
          <w:lang w:eastAsia="zh-CN"/>
        </w:rPr>
      </w:pPr>
      <w:r>
        <w:rPr>
          <w:rFonts w:hint="eastAsia" w:eastAsia="宋体"/>
          <w:sz w:val="30"/>
          <w:szCs w:val="30"/>
          <w:lang w:eastAsia="zh-CN"/>
        </w:rPr>
        <w:t>那必定是何等的一个时刻！</w:t>
      </w:r>
    </w:p>
    <w:p w14:paraId="17F47865">
      <w:pPr>
        <w:tabs>
          <w:tab w:val="left" w:pos="400"/>
        </w:tabs>
        <w:bidi w:val="0"/>
        <w:jc w:val="left"/>
        <w:rPr>
          <w:rFonts w:hint="eastAsia" w:eastAsia="宋体"/>
          <w:sz w:val="30"/>
          <w:szCs w:val="30"/>
          <w:lang w:eastAsia="zh-CN"/>
        </w:rPr>
      </w:pPr>
    </w:p>
    <w:p w14:paraId="366A2BCB">
      <w:pPr>
        <w:tabs>
          <w:tab w:val="left" w:pos="400"/>
        </w:tabs>
        <w:bidi w:val="0"/>
        <w:jc w:val="left"/>
        <w:rPr>
          <w:rFonts w:hint="eastAsia" w:eastAsia="宋体"/>
          <w:sz w:val="30"/>
          <w:szCs w:val="30"/>
          <w:lang w:eastAsia="zh-CN"/>
        </w:rPr>
      </w:pPr>
      <w:r>
        <w:rPr>
          <w:rFonts w:hint="eastAsia" w:eastAsia="宋体"/>
          <w:sz w:val="30"/>
          <w:szCs w:val="30"/>
          <w:lang w:eastAsia="zh-CN"/>
        </w:rPr>
        <w:t>And what a moment it was in Salvation History!</w:t>
      </w:r>
    </w:p>
    <w:p w14:paraId="02BCB305">
      <w:pPr>
        <w:tabs>
          <w:tab w:val="left" w:pos="400"/>
        </w:tabs>
        <w:bidi w:val="0"/>
        <w:jc w:val="left"/>
        <w:rPr>
          <w:rFonts w:hint="eastAsia" w:eastAsia="宋体"/>
          <w:sz w:val="30"/>
          <w:szCs w:val="30"/>
          <w:lang w:eastAsia="zh-CN"/>
        </w:rPr>
      </w:pPr>
    </w:p>
    <w:p w14:paraId="36C8EC69">
      <w:pPr>
        <w:tabs>
          <w:tab w:val="left" w:pos="400"/>
        </w:tabs>
        <w:bidi w:val="0"/>
        <w:jc w:val="left"/>
        <w:rPr>
          <w:rFonts w:hint="eastAsia" w:eastAsia="宋体"/>
          <w:sz w:val="30"/>
          <w:szCs w:val="30"/>
          <w:lang w:eastAsia="zh-CN"/>
        </w:rPr>
      </w:pPr>
      <w:r>
        <w:rPr>
          <w:rFonts w:hint="eastAsia" w:eastAsia="宋体"/>
          <w:sz w:val="30"/>
          <w:szCs w:val="30"/>
          <w:lang w:eastAsia="zh-CN"/>
        </w:rPr>
        <w:t>在救赎历史中，那又是何等的一个时刻！</w:t>
      </w:r>
    </w:p>
    <w:p w14:paraId="5321905E">
      <w:pPr>
        <w:tabs>
          <w:tab w:val="left" w:pos="400"/>
        </w:tabs>
        <w:bidi w:val="0"/>
        <w:jc w:val="left"/>
        <w:rPr>
          <w:rFonts w:hint="eastAsia" w:eastAsia="宋体"/>
          <w:sz w:val="30"/>
          <w:szCs w:val="30"/>
          <w:lang w:eastAsia="zh-CN"/>
        </w:rPr>
      </w:pPr>
    </w:p>
    <w:p w14:paraId="4C5E5FF2">
      <w:pPr>
        <w:tabs>
          <w:tab w:val="left" w:pos="400"/>
        </w:tabs>
        <w:bidi w:val="0"/>
        <w:jc w:val="left"/>
        <w:rPr>
          <w:rFonts w:hint="eastAsia" w:eastAsia="宋体"/>
          <w:sz w:val="30"/>
          <w:szCs w:val="30"/>
          <w:lang w:eastAsia="zh-CN"/>
        </w:rPr>
      </w:pPr>
      <w:r>
        <w:rPr>
          <w:rFonts w:hint="eastAsia" w:eastAsia="宋体"/>
          <w:sz w:val="30"/>
          <w:szCs w:val="30"/>
          <w:lang w:eastAsia="zh-CN"/>
        </w:rPr>
        <w:t>For when our Lord thus opened the disciples’ minds, he also opened up, once and for all, the OT Scriptures themselves.</w:t>
      </w:r>
    </w:p>
    <w:p w14:paraId="1BBAD861">
      <w:pPr>
        <w:tabs>
          <w:tab w:val="left" w:pos="400"/>
        </w:tabs>
        <w:bidi w:val="0"/>
        <w:jc w:val="left"/>
        <w:rPr>
          <w:rFonts w:hint="eastAsia" w:eastAsia="宋体"/>
          <w:sz w:val="30"/>
          <w:szCs w:val="30"/>
          <w:lang w:eastAsia="zh-CN"/>
        </w:rPr>
      </w:pPr>
    </w:p>
    <w:p w14:paraId="3B57B2F8">
      <w:pPr>
        <w:tabs>
          <w:tab w:val="left" w:pos="400"/>
        </w:tabs>
        <w:bidi w:val="0"/>
        <w:jc w:val="left"/>
        <w:rPr>
          <w:rFonts w:hint="eastAsia" w:eastAsia="宋体"/>
          <w:sz w:val="30"/>
          <w:szCs w:val="30"/>
          <w:lang w:eastAsia="zh-CN"/>
        </w:rPr>
      </w:pPr>
      <w:r>
        <w:rPr>
          <w:rFonts w:hint="eastAsia" w:eastAsia="宋体"/>
          <w:sz w:val="30"/>
          <w:szCs w:val="30"/>
          <w:lang w:eastAsia="zh-CN"/>
        </w:rPr>
        <w:t>因为当我们的主如此开启门徒的心窍时，祂也一次而永远地开启了旧约圣经本身。</w:t>
      </w:r>
    </w:p>
    <w:p w14:paraId="2F8E892E">
      <w:pPr>
        <w:tabs>
          <w:tab w:val="left" w:pos="400"/>
        </w:tabs>
        <w:bidi w:val="0"/>
        <w:jc w:val="left"/>
        <w:rPr>
          <w:rFonts w:hint="eastAsia" w:eastAsia="宋体"/>
          <w:sz w:val="30"/>
          <w:szCs w:val="30"/>
          <w:lang w:eastAsia="zh-CN"/>
        </w:rPr>
      </w:pPr>
    </w:p>
    <w:p w14:paraId="28F425A6">
      <w:pPr>
        <w:tabs>
          <w:tab w:val="left" w:pos="400"/>
        </w:tabs>
        <w:bidi w:val="0"/>
        <w:jc w:val="left"/>
        <w:rPr>
          <w:rFonts w:hint="eastAsia" w:eastAsia="宋体"/>
          <w:sz w:val="30"/>
          <w:szCs w:val="30"/>
          <w:lang w:eastAsia="zh-CN"/>
        </w:rPr>
      </w:pPr>
      <w:r>
        <w:rPr>
          <w:rFonts w:hint="eastAsia" w:eastAsia="宋体"/>
          <w:sz w:val="30"/>
          <w:szCs w:val="30"/>
          <w:lang w:eastAsia="zh-CN"/>
        </w:rPr>
        <w:t>That is, he displayed their deep, inmost, Christ-centered meaning.</w:t>
      </w:r>
    </w:p>
    <w:p w14:paraId="4463B0B2">
      <w:pPr>
        <w:tabs>
          <w:tab w:val="left" w:pos="400"/>
        </w:tabs>
        <w:bidi w:val="0"/>
        <w:jc w:val="left"/>
        <w:rPr>
          <w:rFonts w:hint="eastAsia" w:eastAsia="宋体"/>
          <w:sz w:val="30"/>
          <w:szCs w:val="30"/>
          <w:lang w:eastAsia="zh-CN"/>
        </w:rPr>
      </w:pPr>
    </w:p>
    <w:p w14:paraId="329207F9">
      <w:pPr>
        <w:tabs>
          <w:tab w:val="left" w:pos="400"/>
        </w:tabs>
        <w:bidi w:val="0"/>
        <w:jc w:val="left"/>
        <w:rPr>
          <w:rFonts w:hint="eastAsia" w:eastAsia="宋体"/>
          <w:sz w:val="30"/>
          <w:szCs w:val="30"/>
          <w:lang w:eastAsia="zh-CN"/>
        </w:rPr>
      </w:pPr>
      <w:r>
        <w:rPr>
          <w:rFonts w:hint="eastAsia" w:eastAsia="宋体"/>
          <w:sz w:val="30"/>
          <w:szCs w:val="30"/>
          <w:lang w:eastAsia="zh-CN"/>
        </w:rPr>
        <w:t>就是说，祂展示了它们深层的、内在的、以基督为中心的意义。</w:t>
      </w:r>
    </w:p>
    <w:p w14:paraId="48E2E8B0">
      <w:pPr>
        <w:tabs>
          <w:tab w:val="left" w:pos="400"/>
        </w:tabs>
        <w:bidi w:val="0"/>
        <w:jc w:val="left"/>
        <w:rPr>
          <w:rFonts w:hint="eastAsia" w:eastAsia="宋体"/>
          <w:sz w:val="30"/>
          <w:szCs w:val="30"/>
          <w:lang w:eastAsia="zh-CN"/>
        </w:rPr>
      </w:pPr>
    </w:p>
    <w:p w14:paraId="76A45469">
      <w:pPr>
        <w:tabs>
          <w:tab w:val="left" w:pos="400"/>
        </w:tabs>
        <w:bidi w:val="0"/>
        <w:jc w:val="left"/>
        <w:rPr>
          <w:rFonts w:hint="eastAsia" w:eastAsia="宋体"/>
          <w:sz w:val="30"/>
          <w:szCs w:val="30"/>
          <w:lang w:eastAsia="zh-CN"/>
        </w:rPr>
      </w:pPr>
      <w:r>
        <w:rPr>
          <w:rFonts w:hint="eastAsia" w:eastAsia="宋体"/>
          <w:sz w:val="30"/>
          <w:szCs w:val="30"/>
          <w:lang w:eastAsia="zh-CN"/>
        </w:rPr>
        <w:t>And again, in unveiling them as he did, he actually crowned them, setting them apart for a new and still higher mission in the purposes of God: to bear witness to the Person and Work of Christ; to testify about the New and Eternal Covenant that was mystically prefigured and prophesied in the old.</w:t>
      </w:r>
    </w:p>
    <w:p w14:paraId="6E375211">
      <w:pPr>
        <w:tabs>
          <w:tab w:val="left" w:pos="400"/>
        </w:tabs>
        <w:bidi w:val="0"/>
        <w:jc w:val="left"/>
        <w:rPr>
          <w:rFonts w:hint="eastAsia" w:eastAsia="宋体"/>
          <w:sz w:val="30"/>
          <w:szCs w:val="30"/>
          <w:lang w:eastAsia="zh-CN"/>
        </w:rPr>
      </w:pPr>
    </w:p>
    <w:p w14:paraId="0F4F63A6">
      <w:pPr>
        <w:tabs>
          <w:tab w:val="left" w:pos="400"/>
        </w:tabs>
        <w:bidi w:val="0"/>
        <w:jc w:val="left"/>
        <w:rPr>
          <w:rFonts w:hint="eastAsia" w:eastAsia="宋体"/>
          <w:sz w:val="30"/>
          <w:szCs w:val="30"/>
          <w:lang w:eastAsia="zh-CN"/>
        </w:rPr>
      </w:pPr>
      <w:r>
        <w:rPr>
          <w:rFonts w:hint="eastAsia" w:eastAsia="宋体"/>
          <w:sz w:val="30"/>
          <w:szCs w:val="30"/>
          <w:lang w:eastAsia="zh-CN"/>
        </w:rPr>
        <w:t>再次强调，当祂如此揭示它们时，祂实际上是给它们加了冠冕，将它们分别出来，为要在神的旨意中承担一个新的、且更高的使命：为基督的所是和所作作见证；为那在旧约中被奥秘地预表和预言的新而永恒的约作见证。</w:t>
      </w:r>
    </w:p>
    <w:p w14:paraId="14916EE8">
      <w:pPr>
        <w:tabs>
          <w:tab w:val="left" w:pos="400"/>
        </w:tabs>
        <w:bidi w:val="0"/>
        <w:jc w:val="left"/>
        <w:rPr>
          <w:rFonts w:hint="eastAsia" w:eastAsia="宋体"/>
          <w:sz w:val="30"/>
          <w:szCs w:val="30"/>
          <w:lang w:eastAsia="zh-CN"/>
        </w:rPr>
      </w:pPr>
    </w:p>
    <w:p w14:paraId="0838CD3A">
      <w:pPr>
        <w:tabs>
          <w:tab w:val="left" w:pos="400"/>
        </w:tabs>
        <w:bidi w:val="0"/>
        <w:jc w:val="left"/>
        <w:rPr>
          <w:rFonts w:hint="eastAsia" w:eastAsia="宋体"/>
          <w:sz w:val="30"/>
          <w:szCs w:val="30"/>
          <w:lang w:eastAsia="zh-CN"/>
        </w:rPr>
      </w:pPr>
      <w:r>
        <w:rPr>
          <w:rFonts w:hint="eastAsia" w:eastAsia="宋体"/>
          <w:sz w:val="30"/>
          <w:szCs w:val="30"/>
          <w:lang w:eastAsia="zh-CN"/>
        </w:rPr>
        <w:t>Since this point cannot be overstressed, let me repeat myself here by saying that at this crucial juncture in Salvation History the risen Christ himself—the divinely appointed Teacher of God’s Church—bestowed upon his disciples a fabulously precious gift, what is arguably the single most important key for resolving the Great End Time Debate.</w:t>
      </w:r>
    </w:p>
    <w:p w14:paraId="7F20BE6D">
      <w:pPr>
        <w:tabs>
          <w:tab w:val="left" w:pos="400"/>
        </w:tabs>
        <w:bidi w:val="0"/>
        <w:jc w:val="left"/>
        <w:rPr>
          <w:rFonts w:hint="eastAsia" w:eastAsia="宋体"/>
          <w:sz w:val="30"/>
          <w:szCs w:val="30"/>
          <w:lang w:eastAsia="zh-CN"/>
        </w:rPr>
      </w:pPr>
    </w:p>
    <w:p w14:paraId="670573B8">
      <w:pPr>
        <w:tabs>
          <w:tab w:val="left" w:pos="400"/>
        </w:tabs>
        <w:bidi w:val="0"/>
        <w:jc w:val="left"/>
        <w:rPr>
          <w:rFonts w:hint="eastAsia" w:eastAsia="宋体"/>
          <w:sz w:val="30"/>
          <w:szCs w:val="30"/>
          <w:lang w:eastAsia="zh-CN"/>
        </w:rPr>
      </w:pPr>
      <w:r>
        <w:rPr>
          <w:rFonts w:hint="eastAsia" w:eastAsia="宋体"/>
          <w:sz w:val="30"/>
          <w:szCs w:val="30"/>
          <w:lang w:eastAsia="zh-CN"/>
        </w:rPr>
        <w:t>由于这一点怎么强调都不过分，请允许我在这里重复一遍：在救赎历史的这个关键时刻，复活的基督自己——神所命定的教会教师——赐给了祂的门徒一份极其宝贵的礼物，这可以说是解决末世大辩论的唯一最重要的钥匙。</w:t>
      </w:r>
    </w:p>
    <w:p w14:paraId="19B3901F">
      <w:pPr>
        <w:tabs>
          <w:tab w:val="left" w:pos="400"/>
        </w:tabs>
        <w:bidi w:val="0"/>
        <w:jc w:val="left"/>
        <w:rPr>
          <w:rFonts w:hint="eastAsia" w:eastAsia="宋体"/>
          <w:sz w:val="30"/>
          <w:szCs w:val="30"/>
          <w:lang w:eastAsia="zh-CN"/>
        </w:rPr>
      </w:pPr>
    </w:p>
    <w:p w14:paraId="5F2AE66E">
      <w:pPr>
        <w:tabs>
          <w:tab w:val="left" w:pos="400"/>
        </w:tabs>
        <w:bidi w:val="0"/>
        <w:jc w:val="left"/>
        <w:rPr>
          <w:rFonts w:hint="eastAsia" w:eastAsia="宋体"/>
          <w:sz w:val="30"/>
          <w:szCs w:val="30"/>
          <w:lang w:eastAsia="zh-CN"/>
        </w:rPr>
      </w:pPr>
      <w:r>
        <w:rPr>
          <w:rFonts w:hint="eastAsia" w:eastAsia="宋体"/>
          <w:sz w:val="30"/>
          <w:szCs w:val="30"/>
          <w:lang w:eastAsia="zh-CN"/>
        </w:rPr>
        <w:t>Hereafter, I will call it the New Covenant Hermeneutic (NCH).</w:t>
      </w:r>
    </w:p>
    <w:p w14:paraId="30656582">
      <w:pPr>
        <w:tabs>
          <w:tab w:val="left" w:pos="400"/>
        </w:tabs>
        <w:bidi w:val="0"/>
        <w:jc w:val="left"/>
        <w:rPr>
          <w:rFonts w:hint="eastAsia" w:eastAsia="宋体"/>
          <w:sz w:val="30"/>
          <w:szCs w:val="30"/>
          <w:lang w:eastAsia="zh-CN"/>
        </w:rPr>
      </w:pPr>
    </w:p>
    <w:p w14:paraId="03E6E78D">
      <w:pPr>
        <w:tabs>
          <w:tab w:val="left" w:pos="400"/>
        </w:tabs>
        <w:bidi w:val="0"/>
        <w:jc w:val="left"/>
        <w:rPr>
          <w:rFonts w:hint="eastAsia" w:eastAsia="宋体"/>
          <w:sz w:val="30"/>
          <w:szCs w:val="30"/>
          <w:lang w:eastAsia="zh-CN"/>
        </w:rPr>
      </w:pPr>
      <w:r>
        <w:rPr>
          <w:rFonts w:hint="eastAsia" w:eastAsia="宋体"/>
          <w:sz w:val="30"/>
          <w:szCs w:val="30"/>
          <w:lang w:eastAsia="zh-CN"/>
        </w:rPr>
        <w:t>此后，我将称之为新约释经学（NCH）。</w:t>
      </w:r>
    </w:p>
    <w:p w14:paraId="761D4F49">
      <w:pPr>
        <w:tabs>
          <w:tab w:val="left" w:pos="400"/>
        </w:tabs>
        <w:bidi w:val="0"/>
        <w:jc w:val="left"/>
        <w:rPr>
          <w:rFonts w:hint="eastAsia" w:eastAsia="宋体"/>
          <w:sz w:val="30"/>
          <w:szCs w:val="30"/>
          <w:lang w:eastAsia="zh-CN"/>
        </w:rPr>
      </w:pPr>
    </w:p>
    <w:p w14:paraId="0E2EC6A6">
      <w:pPr>
        <w:tabs>
          <w:tab w:val="left" w:pos="400"/>
        </w:tabs>
        <w:bidi w:val="0"/>
        <w:jc w:val="left"/>
        <w:rPr>
          <w:rFonts w:hint="eastAsia" w:eastAsia="宋体"/>
          <w:sz w:val="30"/>
          <w:szCs w:val="30"/>
          <w:lang w:eastAsia="zh-CN"/>
        </w:rPr>
      </w:pPr>
      <w:r>
        <w:rPr>
          <w:rFonts w:hint="eastAsia" w:eastAsia="宋体"/>
          <w:sz w:val="30"/>
          <w:szCs w:val="30"/>
          <w:lang w:eastAsia="zh-CN"/>
        </w:rPr>
        <w:t>The word “hermeneutic” simply means “method of interpretation.”</w:t>
      </w:r>
    </w:p>
    <w:p w14:paraId="4716C2B4">
      <w:pPr>
        <w:tabs>
          <w:tab w:val="left" w:pos="400"/>
        </w:tabs>
        <w:bidi w:val="0"/>
        <w:jc w:val="left"/>
        <w:rPr>
          <w:rFonts w:hint="eastAsia" w:eastAsia="宋体"/>
          <w:sz w:val="30"/>
          <w:szCs w:val="30"/>
          <w:lang w:eastAsia="zh-CN"/>
        </w:rPr>
      </w:pPr>
    </w:p>
    <w:p w14:paraId="7A2B398E">
      <w:pPr>
        <w:tabs>
          <w:tab w:val="left" w:pos="400"/>
        </w:tabs>
        <w:bidi w:val="0"/>
        <w:jc w:val="left"/>
        <w:rPr>
          <w:rFonts w:hint="eastAsia" w:eastAsia="宋体"/>
          <w:sz w:val="30"/>
          <w:szCs w:val="30"/>
          <w:lang w:eastAsia="zh-CN"/>
        </w:rPr>
      </w:pPr>
      <w:r>
        <w:rPr>
          <w:rFonts w:hint="eastAsia" w:eastAsia="宋体"/>
          <w:sz w:val="30"/>
          <w:szCs w:val="30"/>
          <w:lang w:eastAsia="zh-CN"/>
        </w:rPr>
        <w:t>“释经学”这个词仅仅意为“解释的方法”。</w:t>
      </w:r>
    </w:p>
    <w:p w14:paraId="75EE376F">
      <w:pPr>
        <w:tabs>
          <w:tab w:val="left" w:pos="400"/>
        </w:tabs>
        <w:bidi w:val="0"/>
        <w:jc w:val="left"/>
        <w:rPr>
          <w:rFonts w:hint="eastAsia" w:eastAsia="宋体"/>
          <w:sz w:val="30"/>
          <w:szCs w:val="30"/>
          <w:lang w:eastAsia="zh-CN"/>
        </w:rPr>
      </w:pPr>
    </w:p>
    <w:p w14:paraId="173F00DA">
      <w:pPr>
        <w:tabs>
          <w:tab w:val="left" w:pos="400"/>
        </w:tabs>
        <w:bidi w:val="0"/>
        <w:jc w:val="left"/>
        <w:rPr>
          <w:rFonts w:hint="eastAsia" w:eastAsia="宋体"/>
          <w:sz w:val="30"/>
          <w:szCs w:val="30"/>
          <w:lang w:eastAsia="zh-CN"/>
        </w:rPr>
      </w:pPr>
      <w:r>
        <w:rPr>
          <w:rFonts w:hint="eastAsia" w:eastAsia="宋体"/>
          <w:sz w:val="30"/>
          <w:szCs w:val="30"/>
          <w:lang w:eastAsia="zh-CN"/>
        </w:rPr>
        <w:t>So then, at this point in Salvation History the risen Christ gave his disciples the true New Covenant method for interpreting, understanding, enjoying, and proclaiming all of the OT Jewish Scriptures.</w:t>
      </w:r>
    </w:p>
    <w:p w14:paraId="5AE20E43">
      <w:pPr>
        <w:tabs>
          <w:tab w:val="left" w:pos="400"/>
        </w:tabs>
        <w:bidi w:val="0"/>
        <w:jc w:val="left"/>
        <w:rPr>
          <w:rFonts w:hint="eastAsia" w:eastAsia="宋体"/>
          <w:sz w:val="30"/>
          <w:szCs w:val="30"/>
          <w:lang w:eastAsia="zh-CN"/>
        </w:rPr>
      </w:pPr>
    </w:p>
    <w:p w14:paraId="0CDF8E1C">
      <w:pPr>
        <w:tabs>
          <w:tab w:val="left" w:pos="400"/>
        </w:tabs>
        <w:bidi w:val="0"/>
        <w:jc w:val="left"/>
        <w:rPr>
          <w:rFonts w:hint="eastAsia" w:eastAsia="宋体"/>
          <w:sz w:val="30"/>
          <w:szCs w:val="30"/>
          <w:lang w:eastAsia="zh-CN"/>
        </w:rPr>
      </w:pPr>
      <w:r>
        <w:rPr>
          <w:rFonts w:hint="eastAsia" w:eastAsia="宋体"/>
          <w:sz w:val="30"/>
          <w:szCs w:val="30"/>
          <w:lang w:eastAsia="zh-CN"/>
        </w:rPr>
        <w:t>那么，在救赎历史的这个时刻，复活的基督赐给了祂的门徒们真实的新约方法，用以解释、理解、享受和宣讲所有旧约的犹太圣经。</w:t>
      </w:r>
    </w:p>
    <w:p w14:paraId="0AF6228A">
      <w:pPr>
        <w:tabs>
          <w:tab w:val="left" w:pos="400"/>
        </w:tabs>
        <w:bidi w:val="0"/>
        <w:jc w:val="left"/>
        <w:rPr>
          <w:rFonts w:hint="eastAsia" w:eastAsia="宋体"/>
          <w:sz w:val="30"/>
          <w:szCs w:val="30"/>
          <w:lang w:eastAsia="zh-CN"/>
        </w:rPr>
      </w:pPr>
    </w:p>
    <w:p w14:paraId="57548275">
      <w:pPr>
        <w:tabs>
          <w:tab w:val="left" w:pos="400"/>
        </w:tabs>
        <w:bidi w:val="0"/>
        <w:jc w:val="left"/>
        <w:rPr>
          <w:rFonts w:hint="eastAsia" w:eastAsia="宋体"/>
          <w:sz w:val="30"/>
          <w:szCs w:val="30"/>
          <w:lang w:eastAsia="zh-CN"/>
        </w:rPr>
      </w:pPr>
      <w:r>
        <w:rPr>
          <w:rFonts w:hint="eastAsia" w:eastAsia="宋体"/>
          <w:sz w:val="30"/>
          <w:szCs w:val="30"/>
          <w:lang w:eastAsia="zh-CN"/>
        </w:rPr>
        <w:t>They would never be the same—nor will we, once we receive it as they did!</w:t>
      </w:r>
    </w:p>
    <w:p w14:paraId="455471D4">
      <w:pPr>
        <w:tabs>
          <w:tab w:val="left" w:pos="400"/>
        </w:tabs>
        <w:bidi w:val="0"/>
        <w:jc w:val="left"/>
        <w:rPr>
          <w:rFonts w:hint="eastAsia" w:eastAsia="宋体"/>
          <w:sz w:val="30"/>
          <w:szCs w:val="30"/>
          <w:lang w:eastAsia="zh-CN"/>
        </w:rPr>
      </w:pPr>
    </w:p>
    <w:p w14:paraId="46914167">
      <w:pPr>
        <w:tabs>
          <w:tab w:val="left" w:pos="400"/>
        </w:tabs>
        <w:bidi w:val="0"/>
        <w:jc w:val="left"/>
        <w:rPr>
          <w:rFonts w:hint="eastAsia" w:eastAsia="宋体"/>
          <w:sz w:val="30"/>
          <w:szCs w:val="30"/>
          <w:lang w:eastAsia="zh-CN"/>
        </w:rPr>
      </w:pPr>
      <w:r>
        <w:rPr>
          <w:rFonts w:hint="eastAsia" w:eastAsia="宋体"/>
          <w:sz w:val="30"/>
          <w:szCs w:val="30"/>
          <w:lang w:eastAsia="zh-CN"/>
        </w:rPr>
        <w:t>他们将永不再一样——我们一旦像他们那样领受了它，也将永不再一样！</w:t>
      </w:r>
    </w:p>
    <w:p w14:paraId="3B598D0A">
      <w:pPr>
        <w:tabs>
          <w:tab w:val="left" w:pos="400"/>
        </w:tabs>
        <w:bidi w:val="0"/>
        <w:jc w:val="left"/>
        <w:rPr>
          <w:rFonts w:hint="eastAsia" w:eastAsia="宋体"/>
          <w:sz w:val="30"/>
          <w:szCs w:val="30"/>
          <w:lang w:eastAsia="zh-CN"/>
        </w:rPr>
      </w:pPr>
    </w:p>
    <w:p w14:paraId="100255E9">
      <w:pPr>
        <w:tabs>
          <w:tab w:val="left" w:pos="400"/>
        </w:tabs>
        <w:bidi w:val="0"/>
        <w:jc w:val="left"/>
        <w:rPr>
          <w:rFonts w:hint="eastAsia" w:eastAsia="宋体"/>
          <w:sz w:val="30"/>
          <w:szCs w:val="30"/>
          <w:lang w:eastAsia="zh-CN"/>
        </w:rPr>
      </w:pPr>
      <w:r>
        <w:rPr>
          <w:rFonts w:hint="eastAsia" w:eastAsia="宋体"/>
          <w:sz w:val="30"/>
          <w:szCs w:val="30"/>
          <w:lang w:eastAsia="zh-CN"/>
        </w:rPr>
        <w:t>Henceforth, they would read the Law and the Prophets christocentrically, asking themselves, “What do these writings teach me about the Person and Work of Christ, the supreme mystery of God?”</w:t>
      </w:r>
    </w:p>
    <w:p w14:paraId="215320E6">
      <w:pPr>
        <w:tabs>
          <w:tab w:val="left" w:pos="400"/>
        </w:tabs>
        <w:bidi w:val="0"/>
        <w:jc w:val="left"/>
        <w:rPr>
          <w:rFonts w:hint="eastAsia" w:eastAsia="宋体"/>
          <w:sz w:val="30"/>
          <w:szCs w:val="30"/>
          <w:lang w:eastAsia="zh-CN"/>
        </w:rPr>
      </w:pPr>
    </w:p>
    <w:p w14:paraId="3572A145">
      <w:pPr>
        <w:tabs>
          <w:tab w:val="left" w:pos="400"/>
        </w:tabs>
        <w:bidi w:val="0"/>
        <w:jc w:val="left"/>
        <w:rPr>
          <w:rFonts w:hint="eastAsia" w:eastAsia="宋体"/>
          <w:sz w:val="30"/>
          <w:szCs w:val="30"/>
          <w:lang w:eastAsia="zh-CN"/>
        </w:rPr>
      </w:pPr>
      <w:r>
        <w:rPr>
          <w:rFonts w:hint="eastAsia" w:eastAsia="宋体"/>
          <w:sz w:val="30"/>
          <w:szCs w:val="30"/>
          <w:lang w:eastAsia="zh-CN"/>
        </w:rPr>
        <w:t>从此以后，他们将以基督为中心来阅读律法和申言者，自问：“这些著作教导我关于基督的所是和所作，即神至高的奥秘，是什么？”（约翰福音 5:39, 歌罗西书 2:2）。</w:t>
      </w:r>
    </w:p>
    <w:p w14:paraId="3976499B">
      <w:pPr>
        <w:tabs>
          <w:tab w:val="left" w:pos="400"/>
        </w:tabs>
        <w:bidi w:val="0"/>
        <w:jc w:val="left"/>
        <w:rPr>
          <w:rFonts w:hint="eastAsia" w:eastAsia="宋体"/>
          <w:sz w:val="30"/>
          <w:szCs w:val="30"/>
          <w:lang w:eastAsia="zh-CN"/>
        </w:rPr>
      </w:pPr>
    </w:p>
    <w:p w14:paraId="1E429EFD">
      <w:pPr>
        <w:tabs>
          <w:tab w:val="left" w:pos="400"/>
        </w:tabs>
        <w:bidi w:val="0"/>
        <w:jc w:val="left"/>
        <w:rPr>
          <w:rFonts w:hint="eastAsia" w:eastAsia="宋体"/>
          <w:sz w:val="30"/>
          <w:szCs w:val="30"/>
          <w:lang w:eastAsia="zh-CN"/>
        </w:rPr>
      </w:pPr>
      <w:r>
        <w:rPr>
          <w:rFonts w:hint="eastAsia" w:eastAsia="宋体"/>
          <w:sz w:val="30"/>
          <w:szCs w:val="30"/>
          <w:lang w:eastAsia="zh-CN"/>
        </w:rPr>
        <w:t>(John 5:39, Col. 2:2).</w:t>
      </w:r>
    </w:p>
    <w:p w14:paraId="29BF8F92">
      <w:pPr>
        <w:tabs>
          <w:tab w:val="left" w:pos="400"/>
        </w:tabs>
        <w:bidi w:val="0"/>
        <w:jc w:val="left"/>
        <w:rPr>
          <w:rFonts w:hint="eastAsia" w:eastAsia="宋体"/>
          <w:sz w:val="30"/>
          <w:szCs w:val="30"/>
          <w:lang w:eastAsia="zh-CN"/>
        </w:rPr>
      </w:pPr>
    </w:p>
    <w:p w14:paraId="1A6F72A1">
      <w:pPr>
        <w:tabs>
          <w:tab w:val="left" w:pos="400"/>
        </w:tabs>
        <w:bidi w:val="0"/>
        <w:jc w:val="left"/>
        <w:rPr>
          <w:rFonts w:hint="eastAsia" w:eastAsia="宋体"/>
          <w:sz w:val="30"/>
          <w:szCs w:val="30"/>
          <w:lang w:eastAsia="zh-CN"/>
        </w:rPr>
      </w:pPr>
      <w:r>
        <w:rPr>
          <w:rFonts w:hint="eastAsia" w:eastAsia="宋体"/>
          <w:sz w:val="30"/>
          <w:szCs w:val="30"/>
          <w:lang w:eastAsia="zh-CN"/>
        </w:rPr>
        <w:t>（约翰福音 5:39, 歌罗西书 2:2）。</w:t>
      </w:r>
    </w:p>
    <w:p w14:paraId="29D70521">
      <w:pPr>
        <w:tabs>
          <w:tab w:val="left" w:pos="400"/>
        </w:tabs>
        <w:bidi w:val="0"/>
        <w:jc w:val="left"/>
        <w:rPr>
          <w:rFonts w:hint="eastAsia" w:eastAsia="宋体"/>
          <w:sz w:val="30"/>
          <w:szCs w:val="30"/>
          <w:lang w:eastAsia="zh-CN"/>
        </w:rPr>
      </w:pPr>
    </w:p>
    <w:p w14:paraId="4471FC3A">
      <w:pPr>
        <w:tabs>
          <w:tab w:val="left" w:pos="400"/>
        </w:tabs>
        <w:bidi w:val="0"/>
        <w:jc w:val="left"/>
        <w:rPr>
          <w:rFonts w:hint="eastAsia" w:eastAsia="宋体"/>
          <w:sz w:val="30"/>
          <w:szCs w:val="30"/>
          <w:lang w:eastAsia="zh-CN"/>
        </w:rPr>
      </w:pPr>
      <w:r>
        <w:rPr>
          <w:rFonts w:hint="eastAsia" w:eastAsia="宋体"/>
          <w:sz w:val="30"/>
          <w:szCs w:val="30"/>
          <w:lang w:eastAsia="zh-CN"/>
        </w:rPr>
        <w:t>Henceforth, they would read the Law and the Prophets covenantally, asking themselves, “How exactly do the events, commandments, promises, and warnings of Old Covenant times prefigure the various elements and riches of the New Covenant?”</w:t>
      </w:r>
    </w:p>
    <w:p w14:paraId="0E0ACD56">
      <w:pPr>
        <w:tabs>
          <w:tab w:val="left" w:pos="400"/>
        </w:tabs>
        <w:bidi w:val="0"/>
        <w:jc w:val="left"/>
        <w:rPr>
          <w:rFonts w:hint="eastAsia" w:eastAsia="宋体"/>
          <w:sz w:val="30"/>
          <w:szCs w:val="30"/>
          <w:lang w:eastAsia="zh-CN"/>
        </w:rPr>
      </w:pPr>
    </w:p>
    <w:p w14:paraId="21F02E9B">
      <w:pPr>
        <w:tabs>
          <w:tab w:val="left" w:pos="400"/>
        </w:tabs>
        <w:bidi w:val="0"/>
        <w:jc w:val="left"/>
        <w:rPr>
          <w:rFonts w:hint="eastAsia" w:eastAsia="宋体"/>
          <w:sz w:val="30"/>
          <w:szCs w:val="30"/>
          <w:lang w:eastAsia="zh-CN"/>
        </w:rPr>
      </w:pPr>
      <w:r>
        <w:rPr>
          <w:rFonts w:hint="eastAsia" w:eastAsia="宋体"/>
          <w:sz w:val="30"/>
          <w:szCs w:val="30"/>
          <w:lang w:eastAsia="zh-CN"/>
        </w:rPr>
        <w:t>从此以后，他们将以圣约为中心来阅读律法和申言者，自问：“旧约时代的事件、诫命、应许和警告，究竟如何预表新约的各种元素和丰富？”（哥林多后书 3:1及以下, 希伯来书 9:1及以下, 13:20）。</w:t>
      </w:r>
    </w:p>
    <w:p w14:paraId="5A1E883A">
      <w:pPr>
        <w:tabs>
          <w:tab w:val="left" w:pos="400"/>
        </w:tabs>
        <w:bidi w:val="0"/>
        <w:jc w:val="left"/>
        <w:rPr>
          <w:rFonts w:hint="eastAsia" w:eastAsia="宋体"/>
          <w:sz w:val="30"/>
          <w:szCs w:val="30"/>
          <w:lang w:eastAsia="zh-CN"/>
        </w:rPr>
      </w:pPr>
    </w:p>
    <w:p w14:paraId="5EF73C86">
      <w:pPr>
        <w:tabs>
          <w:tab w:val="left" w:pos="400"/>
        </w:tabs>
        <w:bidi w:val="0"/>
        <w:jc w:val="left"/>
        <w:rPr>
          <w:rFonts w:hint="eastAsia" w:eastAsia="宋体"/>
          <w:sz w:val="30"/>
          <w:szCs w:val="30"/>
          <w:lang w:eastAsia="zh-CN"/>
        </w:rPr>
      </w:pPr>
      <w:r>
        <w:rPr>
          <w:rFonts w:hint="eastAsia" w:eastAsia="宋体"/>
          <w:sz w:val="30"/>
          <w:szCs w:val="30"/>
          <w:lang w:eastAsia="zh-CN"/>
        </w:rPr>
        <w:t>(2 Cor. 3:1ff, Heb. 9:1ff, 13:20).</w:t>
      </w:r>
    </w:p>
    <w:p w14:paraId="14B71DDE">
      <w:pPr>
        <w:tabs>
          <w:tab w:val="left" w:pos="400"/>
        </w:tabs>
        <w:bidi w:val="0"/>
        <w:jc w:val="left"/>
        <w:rPr>
          <w:rFonts w:hint="eastAsia" w:eastAsia="宋体"/>
          <w:sz w:val="30"/>
          <w:szCs w:val="30"/>
          <w:lang w:eastAsia="zh-CN"/>
        </w:rPr>
      </w:pPr>
    </w:p>
    <w:p w14:paraId="508DBFDB">
      <w:pPr>
        <w:tabs>
          <w:tab w:val="left" w:pos="400"/>
        </w:tabs>
        <w:bidi w:val="0"/>
        <w:jc w:val="left"/>
        <w:rPr>
          <w:rFonts w:hint="eastAsia" w:eastAsia="宋体"/>
          <w:sz w:val="30"/>
          <w:szCs w:val="30"/>
          <w:lang w:eastAsia="zh-CN"/>
        </w:rPr>
      </w:pPr>
      <w:r>
        <w:rPr>
          <w:rFonts w:hint="eastAsia" w:eastAsia="宋体"/>
          <w:sz w:val="30"/>
          <w:szCs w:val="30"/>
          <w:lang w:eastAsia="zh-CN"/>
        </w:rPr>
        <w:t>（哥林多后书 3:1及以下, 希伯来书 9:1及以下, 13:20）。</w:t>
      </w:r>
    </w:p>
    <w:p w14:paraId="3BF328F4">
      <w:pPr>
        <w:tabs>
          <w:tab w:val="left" w:pos="400"/>
        </w:tabs>
        <w:bidi w:val="0"/>
        <w:jc w:val="left"/>
        <w:rPr>
          <w:rFonts w:hint="eastAsia" w:eastAsia="宋体"/>
          <w:sz w:val="30"/>
          <w:szCs w:val="30"/>
          <w:lang w:eastAsia="zh-CN"/>
        </w:rPr>
      </w:pPr>
    </w:p>
    <w:p w14:paraId="3933BD36">
      <w:pPr>
        <w:tabs>
          <w:tab w:val="left" w:pos="400"/>
        </w:tabs>
        <w:bidi w:val="0"/>
        <w:jc w:val="left"/>
        <w:rPr>
          <w:rFonts w:hint="eastAsia" w:eastAsia="宋体"/>
          <w:sz w:val="30"/>
          <w:szCs w:val="30"/>
          <w:lang w:eastAsia="zh-CN"/>
        </w:rPr>
      </w:pPr>
      <w:r>
        <w:rPr>
          <w:rFonts w:hint="eastAsia" w:eastAsia="宋体"/>
          <w:sz w:val="30"/>
          <w:szCs w:val="30"/>
          <w:lang w:eastAsia="zh-CN"/>
        </w:rPr>
        <w:t>Henceforth, they would read the Law and the Prophets typologically, asking themselves, “How do the events, persons, objects, and institutions of OT times—in which God gave veiled revelations of the things of Christ and the Covenant—mystically picture or symbolize the New Covenant blessings that Christ has now unveiled and brought to light?”</w:t>
      </w:r>
    </w:p>
    <w:p w14:paraId="5BFB53BD">
      <w:pPr>
        <w:tabs>
          <w:tab w:val="left" w:pos="400"/>
        </w:tabs>
        <w:bidi w:val="0"/>
        <w:jc w:val="left"/>
        <w:rPr>
          <w:rFonts w:hint="eastAsia" w:eastAsia="宋体"/>
          <w:sz w:val="30"/>
          <w:szCs w:val="30"/>
          <w:lang w:eastAsia="zh-CN"/>
        </w:rPr>
      </w:pPr>
    </w:p>
    <w:p w14:paraId="66F9BC83">
      <w:pPr>
        <w:tabs>
          <w:tab w:val="left" w:pos="400"/>
        </w:tabs>
        <w:bidi w:val="0"/>
        <w:jc w:val="left"/>
        <w:rPr>
          <w:rFonts w:hint="eastAsia" w:eastAsia="宋体"/>
          <w:sz w:val="30"/>
          <w:szCs w:val="30"/>
          <w:lang w:eastAsia="zh-CN"/>
        </w:rPr>
      </w:pPr>
      <w:r>
        <w:rPr>
          <w:rFonts w:hint="eastAsia" w:eastAsia="宋体"/>
          <w:sz w:val="30"/>
          <w:szCs w:val="30"/>
          <w:lang w:eastAsia="zh-CN"/>
        </w:rPr>
        <w:t>从此以后，他们将以预表论的方式来阅读律法和申言者，自问：“旧约时代的事件、人物、物件和制度——在其中神赐下了关于基督和圣约之事的蒙着帕子的启示——如何奥秘地描绘或象征基督如今已揭示并带到光中的新约祝福？”（罗马书 5:14, 哥林多前书 10, 歌罗西书 2:17, 希伯来书 8:1-6）。</w:t>
      </w:r>
    </w:p>
    <w:p w14:paraId="6396709E">
      <w:pPr>
        <w:tabs>
          <w:tab w:val="left" w:pos="400"/>
        </w:tabs>
        <w:bidi w:val="0"/>
        <w:jc w:val="left"/>
        <w:rPr>
          <w:rFonts w:hint="eastAsia" w:eastAsia="宋体"/>
          <w:sz w:val="30"/>
          <w:szCs w:val="30"/>
          <w:lang w:eastAsia="zh-CN"/>
        </w:rPr>
      </w:pPr>
    </w:p>
    <w:p w14:paraId="6CE16425">
      <w:pPr>
        <w:tabs>
          <w:tab w:val="left" w:pos="400"/>
        </w:tabs>
        <w:bidi w:val="0"/>
        <w:jc w:val="left"/>
        <w:rPr>
          <w:rFonts w:hint="eastAsia" w:eastAsia="宋体"/>
          <w:sz w:val="30"/>
          <w:szCs w:val="30"/>
          <w:lang w:eastAsia="zh-CN"/>
        </w:rPr>
      </w:pPr>
      <w:r>
        <w:rPr>
          <w:rFonts w:hint="eastAsia" w:eastAsia="宋体"/>
          <w:sz w:val="30"/>
          <w:szCs w:val="30"/>
          <w:lang w:eastAsia="zh-CN"/>
        </w:rPr>
        <w:t>(Rom. 5:14, 1 Cor. 10, Col. 2:17, Heb. 8:1-6).</w:t>
      </w:r>
    </w:p>
    <w:p w14:paraId="0B9B9C60">
      <w:pPr>
        <w:tabs>
          <w:tab w:val="left" w:pos="400"/>
        </w:tabs>
        <w:bidi w:val="0"/>
        <w:jc w:val="left"/>
        <w:rPr>
          <w:rFonts w:hint="eastAsia" w:eastAsia="宋体"/>
          <w:sz w:val="30"/>
          <w:szCs w:val="30"/>
          <w:lang w:eastAsia="zh-CN"/>
        </w:rPr>
      </w:pPr>
    </w:p>
    <w:p w14:paraId="3DCF4070">
      <w:pPr>
        <w:tabs>
          <w:tab w:val="left" w:pos="400"/>
        </w:tabs>
        <w:bidi w:val="0"/>
        <w:jc w:val="left"/>
        <w:rPr>
          <w:rFonts w:hint="eastAsia" w:eastAsia="宋体"/>
          <w:sz w:val="30"/>
          <w:szCs w:val="30"/>
          <w:lang w:eastAsia="zh-CN"/>
        </w:rPr>
      </w:pPr>
      <w:r>
        <w:rPr>
          <w:rFonts w:hint="eastAsia" w:eastAsia="宋体"/>
          <w:sz w:val="30"/>
          <w:szCs w:val="30"/>
          <w:lang w:eastAsia="zh-CN"/>
        </w:rPr>
        <w:t>（罗马书 5:14, 哥林多前书 10, 歌罗西书 2:17, 希伯来书 8:1-6）。</w:t>
      </w:r>
    </w:p>
    <w:p w14:paraId="11948928">
      <w:pPr>
        <w:tabs>
          <w:tab w:val="left" w:pos="400"/>
        </w:tabs>
        <w:bidi w:val="0"/>
        <w:jc w:val="left"/>
        <w:rPr>
          <w:rFonts w:hint="eastAsia" w:eastAsia="宋体"/>
          <w:sz w:val="30"/>
          <w:szCs w:val="30"/>
          <w:lang w:eastAsia="zh-CN"/>
        </w:rPr>
      </w:pPr>
    </w:p>
    <w:p w14:paraId="1DB3C19F">
      <w:pPr>
        <w:tabs>
          <w:tab w:val="left" w:pos="400"/>
        </w:tabs>
        <w:bidi w:val="0"/>
        <w:jc w:val="left"/>
        <w:rPr>
          <w:rFonts w:hint="eastAsia" w:eastAsia="宋体"/>
          <w:sz w:val="30"/>
          <w:szCs w:val="30"/>
          <w:lang w:eastAsia="zh-CN"/>
        </w:rPr>
      </w:pPr>
      <w:r>
        <w:rPr>
          <w:rFonts w:hint="eastAsia" w:eastAsia="宋体"/>
          <w:sz w:val="30"/>
          <w:szCs w:val="30"/>
          <w:lang w:eastAsia="zh-CN"/>
        </w:rPr>
        <w:t>And henceforth, they would read the Law and the Prophets eschatologically, realizing that all throughout OT times God was actually working towards—and mystically speaking of—NT times; that the great theme of the OT was in fact the last days, and the people of the last days, upon whom the ends of the ages have come (1 Cor. 10:11, 1 Peter 4:7).</w:t>
      </w:r>
    </w:p>
    <w:p w14:paraId="30239D1B">
      <w:pPr>
        <w:tabs>
          <w:tab w:val="left" w:pos="400"/>
        </w:tabs>
        <w:bidi w:val="0"/>
        <w:jc w:val="left"/>
        <w:rPr>
          <w:rFonts w:hint="eastAsia" w:eastAsia="宋体"/>
          <w:sz w:val="30"/>
          <w:szCs w:val="30"/>
          <w:lang w:eastAsia="zh-CN"/>
        </w:rPr>
      </w:pPr>
    </w:p>
    <w:p w14:paraId="5CFFF16F">
      <w:pPr>
        <w:tabs>
          <w:tab w:val="left" w:pos="400"/>
        </w:tabs>
        <w:bidi w:val="0"/>
        <w:jc w:val="left"/>
        <w:rPr>
          <w:rFonts w:hint="eastAsia" w:eastAsia="宋体"/>
          <w:sz w:val="30"/>
          <w:szCs w:val="30"/>
          <w:lang w:eastAsia="zh-CN"/>
        </w:rPr>
      </w:pPr>
      <w:r>
        <w:rPr>
          <w:rFonts w:hint="eastAsia" w:eastAsia="宋体"/>
          <w:sz w:val="30"/>
          <w:szCs w:val="30"/>
          <w:lang w:eastAsia="zh-CN"/>
        </w:rPr>
        <w:t>并且从此以后，他们将以末世论的方式来阅读律法和申言者，认识到在整个旧约时代，神实际上一直在朝着新约时代作工——并奥秘地论及它；旧约的伟大主题实际上就是末后的日子，以及末后日子的人，他们就是万世的结局临到的人（林前 10:11, 彼前 4:7）。</w:t>
      </w:r>
    </w:p>
    <w:p w14:paraId="4692CBC8">
      <w:pPr>
        <w:tabs>
          <w:tab w:val="left" w:pos="400"/>
        </w:tabs>
        <w:bidi w:val="0"/>
        <w:jc w:val="left"/>
        <w:rPr>
          <w:rFonts w:hint="eastAsia" w:eastAsia="宋体"/>
          <w:sz w:val="30"/>
          <w:szCs w:val="30"/>
          <w:lang w:eastAsia="zh-CN"/>
        </w:rPr>
      </w:pPr>
    </w:p>
    <w:p w14:paraId="77042F08">
      <w:pPr>
        <w:tabs>
          <w:tab w:val="left" w:pos="400"/>
        </w:tabs>
        <w:bidi w:val="0"/>
        <w:jc w:val="left"/>
        <w:rPr>
          <w:rFonts w:hint="eastAsia" w:eastAsia="宋体"/>
          <w:sz w:val="30"/>
          <w:szCs w:val="30"/>
          <w:lang w:eastAsia="zh-CN"/>
        </w:rPr>
      </w:pPr>
      <w:r>
        <w:rPr>
          <w:rFonts w:hint="eastAsia" w:eastAsia="宋体"/>
          <w:sz w:val="30"/>
          <w:szCs w:val="30"/>
          <w:lang w:eastAsia="zh-CN"/>
        </w:rPr>
        <w:t>When we read the apostles’ writings, we soon begin to see how successful the Master was in turning them into NT scribes, skilled teachers who were well able to bring out of the great treasury of God’s revealed truth things both new and old (Mt. 13:52).</w:t>
      </w:r>
    </w:p>
    <w:p w14:paraId="1423B526">
      <w:pPr>
        <w:tabs>
          <w:tab w:val="left" w:pos="400"/>
        </w:tabs>
        <w:bidi w:val="0"/>
        <w:jc w:val="left"/>
        <w:rPr>
          <w:rFonts w:hint="eastAsia" w:eastAsia="宋体"/>
          <w:sz w:val="30"/>
          <w:szCs w:val="30"/>
          <w:lang w:eastAsia="zh-CN"/>
        </w:rPr>
      </w:pPr>
    </w:p>
    <w:p w14:paraId="563993AE">
      <w:pPr>
        <w:tabs>
          <w:tab w:val="left" w:pos="400"/>
        </w:tabs>
        <w:bidi w:val="0"/>
        <w:jc w:val="left"/>
        <w:rPr>
          <w:rFonts w:hint="eastAsia" w:eastAsia="宋体"/>
          <w:sz w:val="30"/>
          <w:szCs w:val="30"/>
          <w:lang w:eastAsia="zh-CN"/>
        </w:rPr>
      </w:pPr>
      <w:r>
        <w:rPr>
          <w:rFonts w:hint="eastAsia" w:eastAsia="宋体"/>
          <w:sz w:val="30"/>
          <w:szCs w:val="30"/>
          <w:lang w:eastAsia="zh-CN"/>
        </w:rPr>
        <w:t>当我们阅读使徒们的著作时，我们很快就开始看到，主在将他们转变为新约文士——能够从神所启示之真理的大宝库中取出新旧东西的熟练教师——这件事上是何等成功（太 13:52）。</w:t>
      </w:r>
    </w:p>
    <w:p w14:paraId="17680E09">
      <w:pPr>
        <w:tabs>
          <w:tab w:val="left" w:pos="400"/>
        </w:tabs>
        <w:bidi w:val="0"/>
        <w:jc w:val="left"/>
        <w:rPr>
          <w:rFonts w:hint="eastAsia" w:eastAsia="宋体"/>
          <w:sz w:val="30"/>
          <w:szCs w:val="30"/>
          <w:lang w:eastAsia="zh-CN"/>
        </w:rPr>
      </w:pPr>
    </w:p>
    <w:p w14:paraId="140224A9">
      <w:pPr>
        <w:tabs>
          <w:tab w:val="left" w:pos="400"/>
        </w:tabs>
        <w:bidi w:val="0"/>
        <w:jc w:val="left"/>
        <w:rPr>
          <w:rFonts w:hint="eastAsia" w:eastAsia="宋体"/>
          <w:sz w:val="30"/>
          <w:szCs w:val="30"/>
          <w:lang w:eastAsia="zh-CN"/>
        </w:rPr>
      </w:pPr>
      <w:r>
        <w:rPr>
          <w:rFonts w:hint="eastAsia" w:eastAsia="宋体"/>
          <w:sz w:val="30"/>
          <w:szCs w:val="30"/>
          <w:lang w:eastAsia="zh-CN"/>
        </w:rPr>
        <w:t>On the one hand, they understood that their exalted Lord was now disclosing to them new and eternal “mysteries;” precious truths about God and his redemptive plans and purposes, truths long hidden from generations past, but now, in these last days, revealed to the saints through Christ’s own holy apostles and prophets (Rom. 16:25, 1 Cor. 2:7, Eph. 3:9, Col. 1:26).</w:t>
      </w:r>
    </w:p>
    <w:p w14:paraId="610CD096">
      <w:pPr>
        <w:tabs>
          <w:tab w:val="left" w:pos="400"/>
        </w:tabs>
        <w:bidi w:val="0"/>
        <w:jc w:val="left"/>
        <w:rPr>
          <w:rFonts w:hint="eastAsia" w:eastAsia="宋体"/>
          <w:sz w:val="30"/>
          <w:szCs w:val="30"/>
          <w:lang w:eastAsia="zh-CN"/>
        </w:rPr>
      </w:pPr>
    </w:p>
    <w:p w14:paraId="3B58BFC5">
      <w:pPr>
        <w:tabs>
          <w:tab w:val="left" w:pos="400"/>
        </w:tabs>
        <w:bidi w:val="0"/>
        <w:jc w:val="left"/>
        <w:rPr>
          <w:rFonts w:hint="eastAsia" w:eastAsia="宋体"/>
          <w:sz w:val="30"/>
          <w:szCs w:val="30"/>
          <w:lang w:eastAsia="zh-CN"/>
        </w:rPr>
      </w:pPr>
      <w:r>
        <w:rPr>
          <w:rFonts w:hint="eastAsia" w:eastAsia="宋体"/>
          <w:sz w:val="30"/>
          <w:szCs w:val="30"/>
          <w:lang w:eastAsia="zh-CN"/>
        </w:rPr>
        <w:t>一方面，他们明白他们被高举的主如今正向他们揭示新的、永恒的“奥秘”；关于神和祂救赎计划与旨意的宝贵真理，这些真理在过去的世代中长久隐藏，但如今，在这末后的日子，借着基督自己的圣使徒和申言者，向圣徒们显明了（罗 16:25, 林前 2:7, 弗 3:9, 西 1:26）。</w:t>
      </w:r>
    </w:p>
    <w:p w14:paraId="046CAD77">
      <w:pPr>
        <w:tabs>
          <w:tab w:val="left" w:pos="400"/>
        </w:tabs>
        <w:bidi w:val="0"/>
        <w:jc w:val="left"/>
        <w:rPr>
          <w:rFonts w:hint="eastAsia" w:eastAsia="宋体"/>
          <w:sz w:val="30"/>
          <w:szCs w:val="30"/>
          <w:lang w:eastAsia="zh-CN"/>
        </w:rPr>
      </w:pPr>
    </w:p>
    <w:p w14:paraId="3CC54296">
      <w:pPr>
        <w:tabs>
          <w:tab w:val="left" w:pos="400"/>
        </w:tabs>
        <w:bidi w:val="0"/>
        <w:jc w:val="left"/>
        <w:rPr>
          <w:rFonts w:hint="eastAsia" w:eastAsia="宋体"/>
          <w:sz w:val="30"/>
          <w:szCs w:val="30"/>
          <w:lang w:eastAsia="zh-CN"/>
        </w:rPr>
      </w:pPr>
      <w:r>
        <w:rPr>
          <w:rFonts w:hint="eastAsia" w:eastAsia="宋体"/>
          <w:sz w:val="30"/>
          <w:szCs w:val="30"/>
          <w:lang w:eastAsia="zh-CN"/>
        </w:rPr>
        <w:t>On the other hand, having now received God’s “true truth” in the Gospel, they also came to understand that in OT times God had already spoken of these things; that by means of various types, shadows, promises, and predictions, God had richly spoken beforehand of the coming of the Redeemer and the glorious fruits of the New Covenant in his blood (Rom. 1:2, Gal. 3:8, 1 Peter 1:11).</w:t>
      </w:r>
    </w:p>
    <w:p w14:paraId="2F4FC35B">
      <w:pPr>
        <w:tabs>
          <w:tab w:val="left" w:pos="400"/>
        </w:tabs>
        <w:bidi w:val="0"/>
        <w:jc w:val="left"/>
        <w:rPr>
          <w:rFonts w:hint="eastAsia" w:eastAsia="宋体"/>
          <w:sz w:val="30"/>
          <w:szCs w:val="30"/>
          <w:lang w:eastAsia="zh-CN"/>
        </w:rPr>
      </w:pPr>
    </w:p>
    <w:p w14:paraId="4030D8FF">
      <w:pPr>
        <w:tabs>
          <w:tab w:val="left" w:pos="400"/>
        </w:tabs>
        <w:bidi w:val="0"/>
        <w:jc w:val="left"/>
        <w:rPr>
          <w:rFonts w:hint="eastAsia" w:eastAsia="宋体"/>
          <w:sz w:val="30"/>
          <w:szCs w:val="30"/>
          <w:lang w:eastAsia="zh-CN"/>
        </w:rPr>
      </w:pPr>
      <w:r>
        <w:rPr>
          <w:rFonts w:hint="eastAsia" w:eastAsia="宋体"/>
          <w:sz w:val="30"/>
          <w:szCs w:val="30"/>
          <w:lang w:eastAsia="zh-CN"/>
        </w:rPr>
        <w:t>另一方面，如今既已在福音中领受了神的“真实际”，他们也开始明白，在旧约时代，神早已论及这些事；神借着各样的预表、影儿、应许和预言，早已丰丰富富地预言了救赎主的来临，以及在新约中凭祂血所得的荣耀果实（罗 1:2, 加 3:8, 彼前 1:11）。</w:t>
      </w:r>
    </w:p>
    <w:p w14:paraId="3F9B0165">
      <w:pPr>
        <w:tabs>
          <w:tab w:val="left" w:pos="400"/>
        </w:tabs>
        <w:bidi w:val="0"/>
        <w:jc w:val="left"/>
        <w:rPr>
          <w:rFonts w:hint="eastAsia" w:eastAsia="宋体"/>
          <w:sz w:val="30"/>
          <w:szCs w:val="30"/>
          <w:lang w:eastAsia="zh-CN"/>
        </w:rPr>
      </w:pPr>
    </w:p>
    <w:p w14:paraId="670A7086">
      <w:pPr>
        <w:tabs>
          <w:tab w:val="left" w:pos="400"/>
        </w:tabs>
        <w:bidi w:val="0"/>
        <w:jc w:val="left"/>
        <w:rPr>
          <w:rFonts w:hint="eastAsia" w:eastAsia="宋体"/>
          <w:sz w:val="30"/>
          <w:szCs w:val="30"/>
          <w:lang w:eastAsia="zh-CN"/>
        </w:rPr>
      </w:pPr>
      <w:r>
        <w:rPr>
          <w:rFonts w:hint="eastAsia" w:eastAsia="宋体"/>
          <w:sz w:val="30"/>
          <w:szCs w:val="30"/>
          <w:lang w:eastAsia="zh-CN"/>
        </w:rPr>
        <w:t>In short, Christ himself had opened their minds to understand the OT Scriptures.</w:t>
      </w:r>
    </w:p>
    <w:p w14:paraId="1197F1F0">
      <w:pPr>
        <w:tabs>
          <w:tab w:val="left" w:pos="400"/>
        </w:tabs>
        <w:bidi w:val="0"/>
        <w:jc w:val="left"/>
        <w:rPr>
          <w:rFonts w:hint="eastAsia" w:eastAsia="宋体"/>
          <w:sz w:val="30"/>
          <w:szCs w:val="30"/>
          <w:lang w:eastAsia="zh-CN"/>
        </w:rPr>
      </w:pPr>
    </w:p>
    <w:p w14:paraId="4F22E17B">
      <w:pPr>
        <w:tabs>
          <w:tab w:val="left" w:pos="400"/>
        </w:tabs>
        <w:bidi w:val="0"/>
        <w:jc w:val="left"/>
        <w:rPr>
          <w:rFonts w:hint="eastAsia" w:eastAsia="宋体"/>
          <w:sz w:val="30"/>
          <w:szCs w:val="30"/>
          <w:lang w:eastAsia="zh-CN"/>
        </w:rPr>
      </w:pPr>
      <w:r>
        <w:rPr>
          <w:rFonts w:hint="eastAsia" w:eastAsia="宋体"/>
          <w:sz w:val="30"/>
          <w:szCs w:val="30"/>
          <w:lang w:eastAsia="zh-CN"/>
        </w:rPr>
        <w:t>简而言之，基督自己开启了他们的心窍，使他们能明白旧约圣经。</w:t>
      </w:r>
    </w:p>
    <w:p w14:paraId="154B592E">
      <w:pPr>
        <w:tabs>
          <w:tab w:val="left" w:pos="400"/>
        </w:tabs>
        <w:bidi w:val="0"/>
        <w:jc w:val="left"/>
        <w:rPr>
          <w:rFonts w:hint="eastAsia" w:eastAsia="宋体"/>
          <w:sz w:val="30"/>
          <w:szCs w:val="30"/>
          <w:lang w:eastAsia="zh-CN"/>
        </w:rPr>
      </w:pPr>
    </w:p>
    <w:p w14:paraId="78A5F396">
      <w:pPr>
        <w:tabs>
          <w:tab w:val="left" w:pos="400"/>
        </w:tabs>
        <w:bidi w:val="0"/>
        <w:jc w:val="left"/>
        <w:rPr>
          <w:rFonts w:hint="eastAsia" w:eastAsia="宋体"/>
          <w:sz w:val="30"/>
          <w:szCs w:val="30"/>
          <w:lang w:eastAsia="zh-CN"/>
        </w:rPr>
      </w:pPr>
      <w:r>
        <w:rPr>
          <w:rFonts w:hint="eastAsia" w:eastAsia="宋体"/>
          <w:sz w:val="30"/>
          <w:szCs w:val="30"/>
          <w:lang w:eastAsia="zh-CN"/>
        </w:rPr>
        <w:t>He had enabled them to see that the Old Covenant was actually a veiled revelation of the New (2 Cor. 3:12-18); that the entire OT was, as it were, a single great prophecy; and that the spirit (or inner essence) of that prophecy was nothing other than the testimony of Jesus Christ (Rev. 19:10).</w:t>
      </w:r>
    </w:p>
    <w:p w14:paraId="6A3C2F3F">
      <w:pPr>
        <w:tabs>
          <w:tab w:val="left" w:pos="400"/>
        </w:tabs>
        <w:bidi w:val="0"/>
        <w:jc w:val="left"/>
        <w:rPr>
          <w:rFonts w:hint="eastAsia" w:eastAsia="宋体"/>
          <w:sz w:val="30"/>
          <w:szCs w:val="30"/>
          <w:lang w:eastAsia="zh-CN"/>
        </w:rPr>
      </w:pPr>
    </w:p>
    <w:p w14:paraId="3054EA95">
      <w:pPr>
        <w:tabs>
          <w:tab w:val="left" w:pos="400"/>
        </w:tabs>
        <w:bidi w:val="0"/>
        <w:jc w:val="left"/>
        <w:rPr>
          <w:rFonts w:hint="eastAsia" w:eastAsia="宋体"/>
          <w:sz w:val="30"/>
          <w:szCs w:val="30"/>
          <w:lang w:eastAsia="zh-CN"/>
        </w:rPr>
      </w:pPr>
      <w:r>
        <w:rPr>
          <w:rFonts w:hint="eastAsia" w:eastAsia="宋体"/>
          <w:sz w:val="30"/>
          <w:szCs w:val="30"/>
          <w:lang w:eastAsia="zh-CN"/>
        </w:rPr>
        <w:t>祂使他们能看见，旧约实际上是新约一个蒙着帕子的启示（林后 3:12-18）；整本旧约，可以说是，一个伟大的预言；而那预言的灵意（或内在本质）无非就是耶稣基督的见证（启 19:10）。</w:t>
      </w:r>
    </w:p>
    <w:p w14:paraId="70F46B62">
      <w:pPr>
        <w:tabs>
          <w:tab w:val="left" w:pos="400"/>
        </w:tabs>
        <w:bidi w:val="0"/>
        <w:jc w:val="left"/>
        <w:rPr>
          <w:rFonts w:hint="eastAsia" w:eastAsia="宋体"/>
          <w:sz w:val="30"/>
          <w:szCs w:val="30"/>
          <w:lang w:eastAsia="zh-CN"/>
        </w:rPr>
      </w:pPr>
    </w:p>
    <w:p w14:paraId="322CDAF0">
      <w:pPr>
        <w:tabs>
          <w:tab w:val="left" w:pos="400"/>
        </w:tabs>
        <w:bidi w:val="0"/>
        <w:jc w:val="left"/>
        <w:rPr>
          <w:rFonts w:hint="eastAsia" w:eastAsia="宋体"/>
          <w:sz w:val="30"/>
          <w:szCs w:val="30"/>
          <w:lang w:eastAsia="zh-CN"/>
        </w:rPr>
      </w:pPr>
      <w:r>
        <w:rPr>
          <w:rFonts w:hint="eastAsia" w:eastAsia="宋体"/>
          <w:sz w:val="30"/>
          <w:szCs w:val="30"/>
          <w:lang w:eastAsia="zh-CN"/>
        </w:rPr>
        <w:t>Summing up, then, we find that revelation was progressive because when Christ finally appeared at the climactic moment in Salvation History, he “progressed” our understanding of the things of God in two fundamental ways: He gave us new and ultimate truth, and in so doing illuminated old and “penultimate truth,” once and for all.</w:t>
      </w:r>
    </w:p>
    <w:p w14:paraId="5BE97557">
      <w:pPr>
        <w:tabs>
          <w:tab w:val="left" w:pos="400"/>
        </w:tabs>
        <w:bidi w:val="0"/>
        <w:jc w:val="left"/>
        <w:rPr>
          <w:rFonts w:hint="eastAsia" w:eastAsia="宋体"/>
          <w:sz w:val="30"/>
          <w:szCs w:val="30"/>
          <w:lang w:eastAsia="zh-CN"/>
        </w:rPr>
      </w:pPr>
    </w:p>
    <w:p w14:paraId="607A7028">
      <w:pPr>
        <w:tabs>
          <w:tab w:val="left" w:pos="400"/>
        </w:tabs>
        <w:bidi w:val="0"/>
        <w:jc w:val="left"/>
        <w:rPr>
          <w:rFonts w:hint="eastAsia" w:eastAsia="宋体"/>
          <w:sz w:val="30"/>
          <w:szCs w:val="30"/>
          <w:lang w:eastAsia="zh-CN"/>
        </w:rPr>
      </w:pPr>
      <w:r>
        <w:rPr>
          <w:rFonts w:hint="eastAsia" w:eastAsia="宋体"/>
          <w:sz w:val="30"/>
          <w:szCs w:val="30"/>
          <w:lang w:eastAsia="zh-CN"/>
        </w:rPr>
        <w:t>总结起来，我们发现启示是渐进的，因为当基督最终在救赎历史的高潮时刻显现时，祂以两种根本的方式“推进”了我们对神之事的理解：祂赐给我们新的、终极的真理，并在此过程中，一次而永远地阐明了旧的、“次终极的真理”。</w:t>
      </w:r>
    </w:p>
    <w:p w14:paraId="191A5937">
      <w:pPr>
        <w:tabs>
          <w:tab w:val="left" w:pos="400"/>
        </w:tabs>
        <w:bidi w:val="0"/>
        <w:jc w:val="left"/>
        <w:rPr>
          <w:rFonts w:hint="eastAsia" w:eastAsia="宋体"/>
          <w:sz w:val="30"/>
          <w:szCs w:val="30"/>
          <w:lang w:eastAsia="zh-CN"/>
        </w:rPr>
      </w:pPr>
    </w:p>
    <w:p w14:paraId="77998E67">
      <w:pPr>
        <w:tabs>
          <w:tab w:val="left" w:pos="400"/>
        </w:tabs>
        <w:bidi w:val="0"/>
        <w:jc w:val="left"/>
        <w:rPr>
          <w:rFonts w:hint="eastAsia" w:eastAsia="宋体"/>
          <w:sz w:val="30"/>
          <w:szCs w:val="30"/>
          <w:lang w:eastAsia="zh-CN"/>
        </w:rPr>
      </w:pPr>
      <w:r>
        <w:rPr>
          <w:rFonts w:hint="eastAsia" w:eastAsia="宋体"/>
          <w:sz w:val="30"/>
          <w:szCs w:val="30"/>
          <w:lang w:eastAsia="zh-CN"/>
        </w:rPr>
        <w:t>In other words, He gave us not only the New Covenant, but also the New Covenant Hermeneutic.</w:t>
      </w:r>
    </w:p>
    <w:p w14:paraId="265B9A6A">
      <w:pPr>
        <w:tabs>
          <w:tab w:val="left" w:pos="400"/>
        </w:tabs>
        <w:bidi w:val="0"/>
        <w:jc w:val="left"/>
        <w:rPr>
          <w:rFonts w:hint="eastAsia" w:eastAsia="宋体"/>
          <w:sz w:val="30"/>
          <w:szCs w:val="30"/>
          <w:lang w:eastAsia="zh-CN"/>
        </w:rPr>
      </w:pPr>
    </w:p>
    <w:p w14:paraId="0DC5FEA9">
      <w:pPr>
        <w:tabs>
          <w:tab w:val="left" w:pos="400"/>
        </w:tabs>
        <w:bidi w:val="0"/>
        <w:jc w:val="left"/>
        <w:rPr>
          <w:rFonts w:hint="eastAsia" w:eastAsia="宋体"/>
          <w:sz w:val="30"/>
          <w:szCs w:val="30"/>
          <w:lang w:eastAsia="zh-CN"/>
        </w:rPr>
      </w:pPr>
      <w:r>
        <w:rPr>
          <w:rFonts w:hint="eastAsia" w:eastAsia="宋体"/>
          <w:sz w:val="30"/>
          <w:szCs w:val="30"/>
          <w:lang w:eastAsia="zh-CN"/>
        </w:rPr>
        <w:t>换句话说，祂不仅赐给我们新约，也赐给我们新约释经学。</w:t>
      </w:r>
    </w:p>
    <w:p w14:paraId="5088511A">
      <w:pPr>
        <w:tabs>
          <w:tab w:val="left" w:pos="400"/>
        </w:tabs>
        <w:bidi w:val="0"/>
        <w:jc w:val="left"/>
        <w:rPr>
          <w:rFonts w:hint="eastAsia" w:eastAsia="宋体"/>
          <w:sz w:val="30"/>
          <w:szCs w:val="30"/>
          <w:lang w:eastAsia="zh-CN"/>
        </w:rPr>
      </w:pPr>
    </w:p>
    <w:p w14:paraId="2B53707C">
      <w:pPr>
        <w:tabs>
          <w:tab w:val="left" w:pos="400"/>
        </w:tabs>
        <w:bidi w:val="0"/>
        <w:jc w:val="left"/>
        <w:rPr>
          <w:rFonts w:hint="eastAsia" w:eastAsia="宋体"/>
          <w:sz w:val="30"/>
          <w:szCs w:val="30"/>
          <w:lang w:eastAsia="zh-CN"/>
        </w:rPr>
      </w:pPr>
      <w:r>
        <w:rPr>
          <w:rFonts w:hint="eastAsia" w:eastAsia="宋体"/>
          <w:sz w:val="30"/>
          <w:szCs w:val="30"/>
          <w:lang w:eastAsia="zh-CN"/>
        </w:rPr>
        <w:t>He gave us the divinely sanctioned method of biblical interpretation by which God’s New Covenant people can, at long last, understand the deep, Christ- centered meaning of the Old.</w:t>
      </w:r>
    </w:p>
    <w:p w14:paraId="0A5617AE">
      <w:pPr>
        <w:tabs>
          <w:tab w:val="left" w:pos="400"/>
        </w:tabs>
        <w:bidi w:val="0"/>
        <w:jc w:val="left"/>
        <w:rPr>
          <w:rFonts w:hint="eastAsia" w:eastAsia="宋体"/>
          <w:sz w:val="30"/>
          <w:szCs w:val="30"/>
          <w:lang w:eastAsia="zh-CN"/>
        </w:rPr>
      </w:pPr>
    </w:p>
    <w:p w14:paraId="74D75A95">
      <w:pPr>
        <w:tabs>
          <w:tab w:val="left" w:pos="400"/>
        </w:tabs>
        <w:bidi w:val="0"/>
        <w:jc w:val="left"/>
        <w:rPr>
          <w:rFonts w:hint="eastAsia" w:eastAsia="宋体"/>
          <w:sz w:val="30"/>
          <w:szCs w:val="30"/>
          <w:lang w:eastAsia="zh-CN"/>
        </w:rPr>
      </w:pPr>
      <w:r>
        <w:rPr>
          <w:rFonts w:hint="eastAsia" w:eastAsia="宋体"/>
          <w:sz w:val="30"/>
          <w:szCs w:val="30"/>
          <w:lang w:eastAsia="zh-CN"/>
        </w:rPr>
        <w:t>祂赐给我们那神所认可的圣经解释方法，借此，神的新约子民终于能理解旧约深层的、以基督为中心的意义。</w:t>
      </w:r>
    </w:p>
    <w:p w14:paraId="190C8640">
      <w:pPr>
        <w:tabs>
          <w:tab w:val="left" w:pos="400"/>
        </w:tabs>
        <w:bidi w:val="0"/>
        <w:jc w:val="left"/>
        <w:rPr>
          <w:rFonts w:hint="eastAsia" w:eastAsia="宋体"/>
          <w:sz w:val="30"/>
          <w:szCs w:val="30"/>
          <w:lang w:eastAsia="zh-CN"/>
        </w:rPr>
      </w:pPr>
    </w:p>
    <w:p w14:paraId="3405866C">
      <w:pPr>
        <w:tabs>
          <w:tab w:val="left" w:pos="400"/>
        </w:tabs>
        <w:bidi w:val="0"/>
        <w:jc w:val="left"/>
        <w:rPr>
          <w:rFonts w:hint="eastAsia" w:eastAsia="宋体"/>
          <w:sz w:val="30"/>
          <w:szCs w:val="30"/>
          <w:lang w:eastAsia="zh-CN"/>
        </w:rPr>
      </w:pPr>
      <w:r>
        <w:rPr>
          <w:rFonts w:hint="eastAsia" w:eastAsia="宋体"/>
          <w:sz w:val="30"/>
          <w:szCs w:val="30"/>
          <w:lang w:eastAsia="zh-CN"/>
        </w:rPr>
        <w:t>No aspiring eschatologist can do without it!</w:t>
      </w:r>
    </w:p>
    <w:p w14:paraId="2A717370">
      <w:pPr>
        <w:tabs>
          <w:tab w:val="left" w:pos="400"/>
        </w:tabs>
        <w:bidi w:val="0"/>
        <w:jc w:val="left"/>
        <w:rPr>
          <w:rFonts w:hint="eastAsia" w:eastAsia="宋体"/>
          <w:sz w:val="30"/>
          <w:szCs w:val="30"/>
          <w:lang w:eastAsia="zh-CN"/>
        </w:rPr>
      </w:pPr>
    </w:p>
    <w:p w14:paraId="2C7CF8F6">
      <w:pPr>
        <w:tabs>
          <w:tab w:val="left" w:pos="400"/>
        </w:tabs>
        <w:bidi w:val="0"/>
        <w:jc w:val="left"/>
        <w:rPr>
          <w:rFonts w:hint="eastAsia" w:eastAsia="宋体"/>
          <w:sz w:val="30"/>
          <w:szCs w:val="30"/>
          <w:lang w:eastAsia="zh-CN"/>
        </w:rPr>
      </w:pPr>
      <w:r>
        <w:rPr>
          <w:rFonts w:hint="eastAsia" w:eastAsia="宋体"/>
          <w:sz w:val="30"/>
          <w:szCs w:val="30"/>
          <w:lang w:eastAsia="zh-CN"/>
        </w:rPr>
        <w:t>任何有抱负的末世论学者都不能没有它！</w:t>
      </w:r>
    </w:p>
    <w:p w14:paraId="5D0179F1">
      <w:pPr>
        <w:tabs>
          <w:tab w:val="left" w:pos="400"/>
        </w:tabs>
        <w:bidi w:val="0"/>
        <w:jc w:val="left"/>
        <w:rPr>
          <w:rFonts w:hint="eastAsia" w:eastAsia="宋体"/>
          <w:sz w:val="30"/>
          <w:szCs w:val="30"/>
          <w:lang w:eastAsia="zh-CN"/>
        </w:rPr>
      </w:pPr>
    </w:p>
    <w:p w14:paraId="480CBBFD">
      <w:pPr>
        <w:tabs>
          <w:tab w:val="left" w:pos="400"/>
        </w:tabs>
        <w:bidi w:val="0"/>
        <w:jc w:val="left"/>
        <w:rPr>
          <w:rFonts w:hint="eastAsia" w:eastAsia="宋体"/>
          <w:sz w:val="30"/>
          <w:szCs w:val="30"/>
          <w:lang w:eastAsia="zh-CN"/>
        </w:rPr>
      </w:pPr>
      <w:r>
        <w:rPr>
          <w:rFonts w:hint="eastAsia" w:eastAsia="宋体"/>
          <w:sz w:val="30"/>
          <w:szCs w:val="30"/>
          <w:lang w:eastAsia="zh-CN"/>
        </w:rPr>
        <w:t>The Importance of the New Covenant Hermeneutic</w:t>
      </w:r>
    </w:p>
    <w:p w14:paraId="745FE5C7">
      <w:pPr>
        <w:tabs>
          <w:tab w:val="left" w:pos="400"/>
        </w:tabs>
        <w:bidi w:val="0"/>
        <w:jc w:val="left"/>
        <w:rPr>
          <w:rFonts w:hint="eastAsia" w:eastAsia="宋体"/>
          <w:sz w:val="30"/>
          <w:szCs w:val="30"/>
          <w:lang w:eastAsia="zh-CN"/>
        </w:rPr>
      </w:pPr>
    </w:p>
    <w:p w14:paraId="6119CD32">
      <w:pPr>
        <w:tabs>
          <w:tab w:val="left" w:pos="400"/>
        </w:tabs>
        <w:bidi w:val="0"/>
        <w:jc w:val="left"/>
        <w:rPr>
          <w:rFonts w:hint="eastAsia" w:eastAsia="宋体"/>
          <w:sz w:val="30"/>
          <w:szCs w:val="30"/>
          <w:lang w:eastAsia="zh-CN"/>
        </w:rPr>
      </w:pPr>
      <w:r>
        <w:rPr>
          <w:rFonts w:hint="eastAsia" w:eastAsia="宋体"/>
          <w:sz w:val="30"/>
          <w:szCs w:val="30"/>
          <w:lang w:eastAsia="zh-CN"/>
        </w:rPr>
        <w:t>新约释经学的重要性</w:t>
      </w:r>
    </w:p>
    <w:p w14:paraId="4117636E">
      <w:pPr>
        <w:tabs>
          <w:tab w:val="left" w:pos="400"/>
        </w:tabs>
        <w:bidi w:val="0"/>
        <w:jc w:val="left"/>
        <w:rPr>
          <w:rFonts w:hint="eastAsia" w:eastAsia="宋体"/>
          <w:sz w:val="30"/>
          <w:szCs w:val="30"/>
          <w:lang w:eastAsia="zh-CN"/>
        </w:rPr>
      </w:pPr>
    </w:p>
    <w:p w14:paraId="2BDF854D">
      <w:pPr>
        <w:tabs>
          <w:tab w:val="left" w:pos="400"/>
        </w:tabs>
        <w:bidi w:val="0"/>
        <w:jc w:val="left"/>
        <w:rPr>
          <w:rFonts w:hint="eastAsia" w:eastAsia="宋体"/>
          <w:sz w:val="30"/>
          <w:szCs w:val="30"/>
          <w:lang w:eastAsia="zh-CN"/>
        </w:rPr>
      </w:pPr>
      <w:r>
        <w:rPr>
          <w:rFonts w:hint="eastAsia" w:eastAsia="宋体"/>
          <w:sz w:val="30"/>
          <w:szCs w:val="30"/>
          <w:lang w:eastAsia="zh-CN"/>
        </w:rPr>
        <w:t>Again, the NCH is one of Christ’s richest gifts to his Church, and a vitally important requirement for her spiritual health and the good success of her mission.</w:t>
      </w:r>
    </w:p>
    <w:p w14:paraId="6E89E0BE">
      <w:pPr>
        <w:tabs>
          <w:tab w:val="left" w:pos="400"/>
        </w:tabs>
        <w:bidi w:val="0"/>
        <w:jc w:val="left"/>
        <w:rPr>
          <w:rFonts w:hint="eastAsia" w:eastAsia="宋体"/>
          <w:sz w:val="30"/>
          <w:szCs w:val="30"/>
          <w:lang w:eastAsia="zh-CN"/>
        </w:rPr>
      </w:pPr>
    </w:p>
    <w:p w14:paraId="3BBBC7B4">
      <w:pPr>
        <w:tabs>
          <w:tab w:val="left" w:pos="400"/>
        </w:tabs>
        <w:bidi w:val="0"/>
        <w:jc w:val="left"/>
        <w:rPr>
          <w:rFonts w:hint="eastAsia" w:eastAsia="宋体"/>
          <w:sz w:val="30"/>
          <w:szCs w:val="30"/>
          <w:lang w:eastAsia="zh-CN"/>
        </w:rPr>
      </w:pPr>
      <w:r>
        <w:rPr>
          <w:rFonts w:hint="eastAsia" w:eastAsia="宋体"/>
          <w:sz w:val="30"/>
          <w:szCs w:val="30"/>
          <w:lang w:eastAsia="zh-CN"/>
        </w:rPr>
        <w:t>再次强调，新约释经学是基督赐给祂教会最丰富的恩赐之一，也是她属灵健康和使命成功的一个至关重要的条件。</w:t>
      </w:r>
    </w:p>
    <w:p w14:paraId="72CDDD9A">
      <w:pPr>
        <w:tabs>
          <w:tab w:val="left" w:pos="400"/>
        </w:tabs>
        <w:bidi w:val="0"/>
        <w:jc w:val="left"/>
        <w:rPr>
          <w:rFonts w:hint="eastAsia" w:eastAsia="宋体"/>
          <w:sz w:val="30"/>
          <w:szCs w:val="30"/>
          <w:lang w:eastAsia="zh-CN"/>
        </w:rPr>
      </w:pPr>
    </w:p>
    <w:p w14:paraId="7083EF17">
      <w:pPr>
        <w:tabs>
          <w:tab w:val="left" w:pos="400"/>
        </w:tabs>
        <w:bidi w:val="0"/>
        <w:jc w:val="left"/>
        <w:rPr>
          <w:rFonts w:hint="eastAsia" w:eastAsia="宋体"/>
          <w:sz w:val="30"/>
          <w:szCs w:val="30"/>
          <w:lang w:eastAsia="zh-CN"/>
        </w:rPr>
      </w:pPr>
      <w:r>
        <w:rPr>
          <w:rFonts w:hint="eastAsia" w:eastAsia="宋体"/>
          <w:sz w:val="30"/>
          <w:szCs w:val="30"/>
          <w:lang w:eastAsia="zh-CN"/>
        </w:rPr>
        <w:t>We do well to consider a few of the reasons why.</w:t>
      </w:r>
    </w:p>
    <w:p w14:paraId="3C92EBC1">
      <w:pPr>
        <w:tabs>
          <w:tab w:val="left" w:pos="400"/>
        </w:tabs>
        <w:bidi w:val="0"/>
        <w:jc w:val="left"/>
        <w:rPr>
          <w:rFonts w:hint="eastAsia" w:eastAsia="宋体"/>
          <w:sz w:val="30"/>
          <w:szCs w:val="30"/>
          <w:lang w:eastAsia="zh-CN"/>
        </w:rPr>
      </w:pPr>
    </w:p>
    <w:p w14:paraId="575B4ECC">
      <w:pPr>
        <w:tabs>
          <w:tab w:val="left" w:pos="400"/>
        </w:tabs>
        <w:bidi w:val="0"/>
        <w:jc w:val="left"/>
        <w:rPr>
          <w:rFonts w:hint="eastAsia" w:eastAsia="宋体"/>
          <w:sz w:val="30"/>
          <w:szCs w:val="30"/>
          <w:lang w:eastAsia="zh-CN"/>
        </w:rPr>
      </w:pPr>
      <w:r>
        <w:rPr>
          <w:rFonts w:hint="eastAsia" w:eastAsia="宋体"/>
          <w:sz w:val="30"/>
          <w:szCs w:val="30"/>
          <w:lang w:eastAsia="zh-CN"/>
        </w:rPr>
        <w:t>我们最好思想一下其原因。</w:t>
      </w:r>
    </w:p>
    <w:p w14:paraId="70775381">
      <w:pPr>
        <w:tabs>
          <w:tab w:val="left" w:pos="400"/>
        </w:tabs>
        <w:bidi w:val="0"/>
        <w:jc w:val="left"/>
        <w:rPr>
          <w:rFonts w:hint="eastAsia" w:eastAsia="宋体"/>
          <w:sz w:val="30"/>
          <w:szCs w:val="30"/>
          <w:lang w:eastAsia="zh-CN"/>
        </w:rPr>
      </w:pPr>
    </w:p>
    <w:p w14:paraId="11D73D7C">
      <w:pPr>
        <w:tabs>
          <w:tab w:val="left" w:pos="400"/>
        </w:tabs>
        <w:bidi w:val="0"/>
        <w:jc w:val="left"/>
        <w:rPr>
          <w:rFonts w:hint="eastAsia" w:eastAsia="宋体"/>
          <w:sz w:val="30"/>
          <w:szCs w:val="30"/>
          <w:lang w:eastAsia="zh-CN"/>
        </w:rPr>
      </w:pPr>
      <w:r>
        <w:rPr>
          <w:rFonts w:hint="eastAsia" w:eastAsia="宋体"/>
          <w:sz w:val="30"/>
          <w:szCs w:val="30"/>
          <w:lang w:eastAsia="zh-CN"/>
        </w:rPr>
        <w:t>I have already mentioned, for example, that the NCH is indispensable equipment for effective evangelism.</w:t>
      </w:r>
    </w:p>
    <w:p w14:paraId="46E5C88F">
      <w:pPr>
        <w:tabs>
          <w:tab w:val="left" w:pos="400"/>
        </w:tabs>
        <w:bidi w:val="0"/>
        <w:jc w:val="left"/>
        <w:rPr>
          <w:rFonts w:hint="eastAsia" w:eastAsia="宋体"/>
          <w:sz w:val="30"/>
          <w:szCs w:val="30"/>
          <w:lang w:eastAsia="zh-CN"/>
        </w:rPr>
      </w:pPr>
    </w:p>
    <w:p w14:paraId="1E4E6CE3">
      <w:pPr>
        <w:tabs>
          <w:tab w:val="left" w:pos="400"/>
        </w:tabs>
        <w:bidi w:val="0"/>
        <w:jc w:val="left"/>
        <w:rPr>
          <w:rFonts w:hint="eastAsia" w:eastAsia="宋体"/>
          <w:sz w:val="30"/>
          <w:szCs w:val="30"/>
          <w:lang w:eastAsia="zh-CN"/>
        </w:rPr>
      </w:pPr>
      <w:r>
        <w:rPr>
          <w:rFonts w:hint="eastAsia" w:eastAsia="宋体"/>
          <w:sz w:val="30"/>
          <w:szCs w:val="30"/>
          <w:lang w:eastAsia="zh-CN"/>
        </w:rPr>
        <w:t>例如，我已提到，新约释经学是有效传福音不可或缺的装备。</w:t>
      </w:r>
    </w:p>
    <w:p w14:paraId="1ACF40A4">
      <w:pPr>
        <w:tabs>
          <w:tab w:val="left" w:pos="400"/>
        </w:tabs>
        <w:bidi w:val="0"/>
        <w:jc w:val="left"/>
        <w:rPr>
          <w:rFonts w:hint="eastAsia" w:eastAsia="宋体"/>
          <w:sz w:val="30"/>
          <w:szCs w:val="30"/>
          <w:lang w:eastAsia="zh-CN"/>
        </w:rPr>
      </w:pPr>
    </w:p>
    <w:p w14:paraId="0A1C0E4A">
      <w:pPr>
        <w:tabs>
          <w:tab w:val="left" w:pos="400"/>
        </w:tabs>
        <w:bidi w:val="0"/>
        <w:jc w:val="left"/>
        <w:rPr>
          <w:rFonts w:hint="eastAsia" w:eastAsia="宋体"/>
          <w:sz w:val="30"/>
          <w:szCs w:val="30"/>
          <w:lang w:eastAsia="zh-CN"/>
        </w:rPr>
      </w:pPr>
      <w:r>
        <w:rPr>
          <w:rFonts w:hint="eastAsia" w:eastAsia="宋体"/>
          <w:sz w:val="30"/>
          <w:szCs w:val="30"/>
          <w:lang w:eastAsia="zh-CN"/>
        </w:rPr>
        <w:t>As the apostles affirmed both by precept and example, God has ordained that the Gospel be made known to the nations through the Scriptures of the prophets (Rom. 16:25-27).</w:t>
      </w:r>
    </w:p>
    <w:p w14:paraId="16564A4E">
      <w:pPr>
        <w:tabs>
          <w:tab w:val="left" w:pos="400"/>
        </w:tabs>
        <w:bidi w:val="0"/>
        <w:jc w:val="left"/>
        <w:rPr>
          <w:rFonts w:hint="eastAsia" w:eastAsia="宋体"/>
          <w:sz w:val="30"/>
          <w:szCs w:val="30"/>
          <w:lang w:eastAsia="zh-CN"/>
        </w:rPr>
      </w:pPr>
    </w:p>
    <w:p w14:paraId="09E478C5">
      <w:pPr>
        <w:tabs>
          <w:tab w:val="left" w:pos="400"/>
        </w:tabs>
        <w:bidi w:val="0"/>
        <w:jc w:val="left"/>
        <w:rPr>
          <w:rFonts w:hint="eastAsia" w:eastAsia="宋体"/>
          <w:sz w:val="30"/>
          <w:szCs w:val="30"/>
          <w:lang w:eastAsia="zh-CN"/>
        </w:rPr>
      </w:pPr>
      <w:r>
        <w:rPr>
          <w:rFonts w:hint="eastAsia" w:eastAsia="宋体"/>
          <w:sz w:val="30"/>
          <w:szCs w:val="30"/>
          <w:lang w:eastAsia="zh-CN"/>
        </w:rPr>
        <w:t>正如使徒们借着教训和榜样所确认的，神已命定福音要借着众申言者的经书传给万国得知（罗 16:25-27）。</w:t>
      </w:r>
    </w:p>
    <w:p w14:paraId="0BAFAA2B">
      <w:pPr>
        <w:tabs>
          <w:tab w:val="left" w:pos="400"/>
        </w:tabs>
        <w:bidi w:val="0"/>
        <w:jc w:val="left"/>
        <w:rPr>
          <w:rFonts w:hint="eastAsia" w:eastAsia="宋体"/>
          <w:sz w:val="30"/>
          <w:szCs w:val="30"/>
          <w:lang w:eastAsia="zh-CN"/>
        </w:rPr>
      </w:pPr>
    </w:p>
    <w:p w14:paraId="1E19AE0F">
      <w:pPr>
        <w:tabs>
          <w:tab w:val="left" w:pos="400"/>
        </w:tabs>
        <w:bidi w:val="0"/>
        <w:jc w:val="left"/>
        <w:rPr>
          <w:rFonts w:hint="eastAsia" w:eastAsia="宋体"/>
          <w:sz w:val="30"/>
          <w:szCs w:val="30"/>
          <w:lang w:eastAsia="zh-CN"/>
        </w:rPr>
      </w:pPr>
      <w:r>
        <w:rPr>
          <w:rFonts w:hint="eastAsia" w:eastAsia="宋体"/>
          <w:sz w:val="30"/>
          <w:szCs w:val="30"/>
          <w:lang w:eastAsia="zh-CN"/>
        </w:rPr>
        <w:t>In other words, in her global proclamation of the Good News of salvation, the Church is to make copious use of the OT Scriptures.</w:t>
      </w:r>
    </w:p>
    <w:p w14:paraId="4E9FFDDA">
      <w:pPr>
        <w:tabs>
          <w:tab w:val="left" w:pos="400"/>
        </w:tabs>
        <w:bidi w:val="0"/>
        <w:jc w:val="left"/>
        <w:rPr>
          <w:rFonts w:hint="eastAsia" w:eastAsia="宋体"/>
          <w:sz w:val="30"/>
          <w:szCs w:val="30"/>
          <w:lang w:eastAsia="zh-CN"/>
        </w:rPr>
      </w:pPr>
    </w:p>
    <w:p w14:paraId="7C5925DD">
      <w:pPr>
        <w:tabs>
          <w:tab w:val="left" w:pos="400"/>
        </w:tabs>
        <w:bidi w:val="0"/>
        <w:jc w:val="left"/>
        <w:rPr>
          <w:rFonts w:hint="eastAsia" w:eastAsia="宋体"/>
          <w:sz w:val="30"/>
          <w:szCs w:val="30"/>
          <w:lang w:eastAsia="zh-CN"/>
        </w:rPr>
      </w:pPr>
      <w:r>
        <w:rPr>
          <w:rFonts w:hint="eastAsia" w:eastAsia="宋体"/>
          <w:sz w:val="30"/>
          <w:szCs w:val="30"/>
          <w:lang w:eastAsia="zh-CN"/>
        </w:rPr>
        <w:t>换句话说，在向全球宣讲救恩的好消息时，教会要大量使用旧约圣经。</w:t>
      </w:r>
    </w:p>
    <w:p w14:paraId="26CD35E5">
      <w:pPr>
        <w:tabs>
          <w:tab w:val="left" w:pos="400"/>
        </w:tabs>
        <w:bidi w:val="0"/>
        <w:jc w:val="left"/>
        <w:rPr>
          <w:rFonts w:hint="eastAsia" w:eastAsia="宋体"/>
          <w:sz w:val="30"/>
          <w:szCs w:val="30"/>
          <w:lang w:eastAsia="zh-CN"/>
        </w:rPr>
      </w:pPr>
    </w:p>
    <w:p w14:paraId="397955D3">
      <w:pPr>
        <w:tabs>
          <w:tab w:val="left" w:pos="400"/>
        </w:tabs>
        <w:bidi w:val="0"/>
        <w:jc w:val="left"/>
        <w:rPr>
          <w:rFonts w:hint="eastAsia" w:eastAsia="宋体"/>
          <w:sz w:val="30"/>
          <w:szCs w:val="30"/>
          <w:lang w:eastAsia="zh-CN"/>
        </w:rPr>
      </w:pPr>
      <w:r>
        <w:rPr>
          <w:rFonts w:hint="eastAsia" w:eastAsia="宋体"/>
          <w:sz w:val="30"/>
          <w:szCs w:val="30"/>
          <w:lang w:eastAsia="zh-CN"/>
        </w:rPr>
        <w:t>The NCH enables her to do so.</w:t>
      </w:r>
    </w:p>
    <w:p w14:paraId="48D91606">
      <w:pPr>
        <w:tabs>
          <w:tab w:val="left" w:pos="400"/>
        </w:tabs>
        <w:bidi w:val="0"/>
        <w:jc w:val="left"/>
        <w:rPr>
          <w:rFonts w:hint="eastAsia" w:eastAsia="宋体"/>
          <w:sz w:val="30"/>
          <w:szCs w:val="30"/>
          <w:lang w:eastAsia="zh-CN"/>
        </w:rPr>
      </w:pPr>
    </w:p>
    <w:p w14:paraId="6135BDE8">
      <w:pPr>
        <w:tabs>
          <w:tab w:val="left" w:pos="400"/>
        </w:tabs>
        <w:bidi w:val="0"/>
        <w:jc w:val="left"/>
        <w:rPr>
          <w:rFonts w:hint="eastAsia" w:eastAsia="宋体"/>
          <w:sz w:val="30"/>
          <w:szCs w:val="30"/>
          <w:lang w:eastAsia="zh-CN"/>
        </w:rPr>
      </w:pPr>
      <w:r>
        <w:rPr>
          <w:rFonts w:hint="eastAsia" w:eastAsia="宋体"/>
          <w:sz w:val="30"/>
          <w:szCs w:val="30"/>
          <w:lang w:eastAsia="zh-CN"/>
        </w:rPr>
        <w:t>新约释经学使她能够这样做。</w:t>
      </w:r>
    </w:p>
    <w:p w14:paraId="2CEAC175">
      <w:pPr>
        <w:tabs>
          <w:tab w:val="left" w:pos="400"/>
        </w:tabs>
        <w:bidi w:val="0"/>
        <w:jc w:val="left"/>
        <w:rPr>
          <w:rFonts w:hint="eastAsia" w:eastAsia="宋体"/>
          <w:sz w:val="30"/>
          <w:szCs w:val="30"/>
          <w:lang w:eastAsia="zh-CN"/>
        </w:rPr>
      </w:pPr>
    </w:p>
    <w:p w14:paraId="2682E6B6">
      <w:pPr>
        <w:tabs>
          <w:tab w:val="left" w:pos="400"/>
        </w:tabs>
        <w:bidi w:val="0"/>
        <w:jc w:val="left"/>
        <w:rPr>
          <w:rFonts w:hint="eastAsia" w:eastAsia="宋体"/>
          <w:sz w:val="30"/>
          <w:szCs w:val="30"/>
          <w:lang w:eastAsia="zh-CN"/>
        </w:rPr>
      </w:pPr>
      <w:r>
        <w:rPr>
          <w:rFonts w:hint="eastAsia" w:eastAsia="宋体"/>
          <w:sz w:val="30"/>
          <w:szCs w:val="30"/>
          <w:lang w:eastAsia="zh-CN"/>
        </w:rPr>
        <w:t>It enables her evangelists skillfully and powerfully to draw from the vast treasury of OT witness; to cite, expound, and press home to the heart of their audience the multitude of OT Messianic prophecies, types, shadows, and christophanies.</w:t>
      </w:r>
    </w:p>
    <w:p w14:paraId="3E008B96">
      <w:pPr>
        <w:tabs>
          <w:tab w:val="left" w:pos="400"/>
        </w:tabs>
        <w:bidi w:val="0"/>
        <w:jc w:val="left"/>
        <w:rPr>
          <w:rFonts w:hint="eastAsia" w:eastAsia="宋体"/>
          <w:sz w:val="30"/>
          <w:szCs w:val="30"/>
          <w:lang w:eastAsia="zh-CN"/>
        </w:rPr>
      </w:pPr>
    </w:p>
    <w:p w14:paraId="479CE2DD">
      <w:pPr>
        <w:tabs>
          <w:tab w:val="left" w:pos="400"/>
        </w:tabs>
        <w:bidi w:val="0"/>
        <w:jc w:val="left"/>
        <w:rPr>
          <w:rFonts w:hint="eastAsia" w:eastAsia="宋体"/>
          <w:sz w:val="30"/>
          <w:szCs w:val="30"/>
          <w:lang w:eastAsia="zh-CN"/>
        </w:rPr>
      </w:pPr>
      <w:r>
        <w:rPr>
          <w:rFonts w:hint="eastAsia" w:eastAsia="宋体"/>
          <w:sz w:val="30"/>
          <w:szCs w:val="30"/>
          <w:lang w:eastAsia="zh-CN"/>
        </w:rPr>
        <w:t>它使她的传福音者能够技巧娴熟且有力地从旧约见证的巨大宝库中汲取；引用、阐述并向他们听众的心中强调那众多的旧约弥赛亚预言、预表、影儿和基督的显现。</w:t>
      </w:r>
    </w:p>
    <w:p w14:paraId="75AC078A">
      <w:pPr>
        <w:tabs>
          <w:tab w:val="left" w:pos="400"/>
        </w:tabs>
        <w:bidi w:val="0"/>
        <w:jc w:val="left"/>
        <w:rPr>
          <w:rFonts w:hint="eastAsia" w:eastAsia="宋体"/>
          <w:sz w:val="30"/>
          <w:szCs w:val="30"/>
          <w:lang w:eastAsia="zh-CN"/>
        </w:rPr>
      </w:pPr>
    </w:p>
    <w:p w14:paraId="0160A88E">
      <w:pPr>
        <w:tabs>
          <w:tab w:val="left" w:pos="400"/>
        </w:tabs>
        <w:bidi w:val="0"/>
        <w:jc w:val="left"/>
        <w:rPr>
          <w:rFonts w:hint="eastAsia" w:eastAsia="宋体"/>
          <w:sz w:val="30"/>
          <w:szCs w:val="30"/>
          <w:lang w:eastAsia="zh-CN"/>
        </w:rPr>
      </w:pPr>
      <w:r>
        <w:rPr>
          <w:rFonts w:hint="eastAsia" w:eastAsia="宋体"/>
          <w:sz w:val="30"/>
          <w:szCs w:val="30"/>
          <w:lang w:eastAsia="zh-CN"/>
        </w:rPr>
        <w:t>Gospel messengers are to showcase their abundance, highlight their detail and complexity, remark upon their beauty, and glory in the Sovereign God who has so graciously granted them to us all, both in history and in Scripture.</w:t>
      </w:r>
    </w:p>
    <w:p w14:paraId="06A73D93">
      <w:pPr>
        <w:tabs>
          <w:tab w:val="left" w:pos="400"/>
        </w:tabs>
        <w:bidi w:val="0"/>
        <w:jc w:val="left"/>
        <w:rPr>
          <w:rFonts w:hint="eastAsia" w:eastAsia="宋体"/>
          <w:sz w:val="30"/>
          <w:szCs w:val="30"/>
          <w:lang w:eastAsia="zh-CN"/>
        </w:rPr>
      </w:pPr>
    </w:p>
    <w:p w14:paraId="5E2AE2B7">
      <w:pPr>
        <w:tabs>
          <w:tab w:val="left" w:pos="400"/>
        </w:tabs>
        <w:bidi w:val="0"/>
        <w:jc w:val="left"/>
        <w:rPr>
          <w:rFonts w:hint="eastAsia" w:eastAsia="宋体"/>
          <w:sz w:val="30"/>
          <w:szCs w:val="30"/>
          <w:lang w:eastAsia="zh-CN"/>
        </w:rPr>
      </w:pPr>
      <w:r>
        <w:rPr>
          <w:rFonts w:hint="eastAsia" w:eastAsia="宋体"/>
          <w:sz w:val="30"/>
          <w:szCs w:val="30"/>
          <w:lang w:eastAsia="zh-CN"/>
        </w:rPr>
        <w:t>福音的使者要展示它们的丰富，突显它们的细节和复杂性，评论它们的美丽，并在那位如此恩慈地将它们赐给我们所有人的主宰之神里面夸耀，无论是在历史中还是在圣经里。</w:t>
      </w:r>
    </w:p>
    <w:p w14:paraId="3C726A34">
      <w:pPr>
        <w:tabs>
          <w:tab w:val="left" w:pos="400"/>
        </w:tabs>
        <w:bidi w:val="0"/>
        <w:jc w:val="left"/>
        <w:rPr>
          <w:rFonts w:hint="eastAsia" w:eastAsia="宋体"/>
          <w:sz w:val="30"/>
          <w:szCs w:val="30"/>
          <w:lang w:eastAsia="zh-CN"/>
        </w:rPr>
      </w:pPr>
    </w:p>
    <w:p w14:paraId="7B5B6E87">
      <w:pPr>
        <w:tabs>
          <w:tab w:val="left" w:pos="400"/>
        </w:tabs>
        <w:bidi w:val="0"/>
        <w:jc w:val="left"/>
        <w:rPr>
          <w:rFonts w:hint="eastAsia" w:eastAsia="宋体"/>
          <w:sz w:val="30"/>
          <w:szCs w:val="30"/>
          <w:lang w:eastAsia="zh-CN"/>
        </w:rPr>
      </w:pPr>
      <w:r>
        <w:rPr>
          <w:rFonts w:hint="eastAsia" w:eastAsia="宋体"/>
          <w:sz w:val="30"/>
          <w:szCs w:val="30"/>
          <w:lang w:eastAsia="zh-CN"/>
        </w:rPr>
        <w:t>And they are to do this with one great end in view: to exalt the Person and Work of Christ in such a way that men may realize that the Bible is indeed the Word of God, and that Jesus Christ is indeed the Savior of the world, the One whom God has sent to deliver his people from the wrath to come, and to bestow the gift of eternal life on all who believe.</w:t>
      </w:r>
    </w:p>
    <w:p w14:paraId="4D6A1A02">
      <w:pPr>
        <w:tabs>
          <w:tab w:val="left" w:pos="400"/>
        </w:tabs>
        <w:bidi w:val="0"/>
        <w:jc w:val="left"/>
        <w:rPr>
          <w:rFonts w:hint="eastAsia" w:eastAsia="宋体"/>
          <w:sz w:val="30"/>
          <w:szCs w:val="30"/>
          <w:lang w:eastAsia="zh-CN"/>
        </w:rPr>
      </w:pPr>
    </w:p>
    <w:p w14:paraId="74F481D8">
      <w:pPr>
        <w:tabs>
          <w:tab w:val="left" w:pos="400"/>
        </w:tabs>
        <w:bidi w:val="0"/>
        <w:jc w:val="left"/>
        <w:rPr>
          <w:rFonts w:hint="eastAsia" w:eastAsia="宋体"/>
          <w:sz w:val="30"/>
          <w:szCs w:val="30"/>
          <w:lang w:eastAsia="zh-CN"/>
        </w:rPr>
      </w:pPr>
      <w:r>
        <w:rPr>
          <w:rFonts w:hint="eastAsia" w:eastAsia="宋体"/>
          <w:sz w:val="30"/>
          <w:szCs w:val="30"/>
          <w:lang w:eastAsia="zh-CN"/>
        </w:rPr>
        <w:t>他们这样做，要有一个伟大的目标：高举基督的所是和所作，好叫人能认识到圣经确实是神的话，耶稣基督确实是世界的救主，是神所差来，要拯救祂的子民脱离将来忿怒，并将永生的恩赐赐给所有相信之人的一位。</w:t>
      </w:r>
    </w:p>
    <w:p w14:paraId="35FA2754">
      <w:pPr>
        <w:tabs>
          <w:tab w:val="left" w:pos="400"/>
        </w:tabs>
        <w:bidi w:val="0"/>
        <w:jc w:val="left"/>
        <w:rPr>
          <w:rFonts w:hint="eastAsia" w:eastAsia="宋体"/>
          <w:sz w:val="30"/>
          <w:szCs w:val="30"/>
          <w:lang w:eastAsia="zh-CN"/>
        </w:rPr>
      </w:pPr>
    </w:p>
    <w:p w14:paraId="115A62DC">
      <w:pPr>
        <w:tabs>
          <w:tab w:val="left" w:pos="400"/>
        </w:tabs>
        <w:bidi w:val="0"/>
        <w:jc w:val="left"/>
        <w:rPr>
          <w:rFonts w:hint="eastAsia" w:eastAsia="宋体"/>
          <w:sz w:val="30"/>
          <w:szCs w:val="30"/>
          <w:lang w:eastAsia="zh-CN"/>
        </w:rPr>
      </w:pPr>
      <w:r>
        <w:rPr>
          <w:rFonts w:hint="eastAsia" w:eastAsia="宋体"/>
          <w:sz w:val="30"/>
          <w:szCs w:val="30"/>
          <w:lang w:eastAsia="zh-CN"/>
        </w:rPr>
        <w:t>The NCH is also important because it strengthens the faith of God’s elect.</w:t>
      </w:r>
    </w:p>
    <w:p w14:paraId="731B1CED">
      <w:pPr>
        <w:tabs>
          <w:tab w:val="left" w:pos="400"/>
        </w:tabs>
        <w:bidi w:val="0"/>
        <w:jc w:val="left"/>
        <w:rPr>
          <w:rFonts w:hint="eastAsia" w:eastAsia="宋体"/>
          <w:sz w:val="30"/>
          <w:szCs w:val="30"/>
          <w:lang w:eastAsia="zh-CN"/>
        </w:rPr>
      </w:pPr>
    </w:p>
    <w:p w14:paraId="52320CF0">
      <w:pPr>
        <w:tabs>
          <w:tab w:val="left" w:pos="400"/>
        </w:tabs>
        <w:bidi w:val="0"/>
        <w:jc w:val="left"/>
        <w:rPr>
          <w:rFonts w:hint="eastAsia" w:eastAsia="宋体"/>
          <w:sz w:val="30"/>
          <w:szCs w:val="30"/>
          <w:lang w:eastAsia="zh-CN"/>
        </w:rPr>
      </w:pPr>
      <w:r>
        <w:rPr>
          <w:rFonts w:hint="eastAsia" w:eastAsia="宋体"/>
          <w:sz w:val="30"/>
          <w:szCs w:val="30"/>
          <w:lang w:eastAsia="zh-CN"/>
        </w:rPr>
        <w:t>新约释经学也很重要，因为它坚固神选民的信心。</w:t>
      </w:r>
    </w:p>
    <w:p w14:paraId="160D7E5C">
      <w:pPr>
        <w:tabs>
          <w:tab w:val="left" w:pos="400"/>
        </w:tabs>
        <w:bidi w:val="0"/>
        <w:jc w:val="left"/>
        <w:rPr>
          <w:rFonts w:hint="eastAsia" w:eastAsia="宋体"/>
          <w:sz w:val="30"/>
          <w:szCs w:val="30"/>
          <w:lang w:eastAsia="zh-CN"/>
        </w:rPr>
      </w:pPr>
    </w:p>
    <w:p w14:paraId="2A10862C">
      <w:pPr>
        <w:tabs>
          <w:tab w:val="left" w:pos="400"/>
        </w:tabs>
        <w:bidi w:val="0"/>
        <w:jc w:val="left"/>
        <w:rPr>
          <w:rFonts w:hint="eastAsia" w:eastAsia="宋体"/>
          <w:sz w:val="30"/>
          <w:szCs w:val="30"/>
          <w:lang w:eastAsia="zh-CN"/>
        </w:rPr>
      </w:pPr>
      <w:r>
        <w:rPr>
          <w:rFonts w:hint="eastAsia" w:eastAsia="宋体"/>
          <w:sz w:val="30"/>
          <w:szCs w:val="30"/>
          <w:lang w:eastAsia="zh-CN"/>
        </w:rPr>
        <w:t>Or, to use Paul’s exact wording, it establishes them in their most holy faith (Rom. 16:25).</w:t>
      </w:r>
    </w:p>
    <w:p w14:paraId="2ADBB21F">
      <w:pPr>
        <w:tabs>
          <w:tab w:val="left" w:pos="400"/>
        </w:tabs>
        <w:bidi w:val="0"/>
        <w:jc w:val="left"/>
        <w:rPr>
          <w:rFonts w:hint="eastAsia" w:eastAsia="宋体"/>
          <w:sz w:val="30"/>
          <w:szCs w:val="30"/>
          <w:lang w:eastAsia="zh-CN"/>
        </w:rPr>
      </w:pPr>
    </w:p>
    <w:p w14:paraId="3697F37F">
      <w:pPr>
        <w:tabs>
          <w:tab w:val="left" w:pos="400"/>
        </w:tabs>
        <w:bidi w:val="0"/>
        <w:jc w:val="left"/>
        <w:rPr>
          <w:rFonts w:hint="eastAsia" w:eastAsia="宋体"/>
          <w:sz w:val="30"/>
          <w:szCs w:val="30"/>
          <w:lang w:eastAsia="zh-CN"/>
        </w:rPr>
      </w:pPr>
      <w:r>
        <w:rPr>
          <w:rFonts w:hint="eastAsia" w:eastAsia="宋体"/>
          <w:sz w:val="30"/>
          <w:szCs w:val="30"/>
          <w:lang w:eastAsia="zh-CN"/>
        </w:rPr>
        <w:t>或者，用保罗确切的措辞，它在他们至圣的信仰上建立他们（罗 16:25）。</w:t>
      </w:r>
    </w:p>
    <w:p w14:paraId="7BC53007">
      <w:pPr>
        <w:tabs>
          <w:tab w:val="left" w:pos="400"/>
        </w:tabs>
        <w:bidi w:val="0"/>
        <w:jc w:val="left"/>
        <w:rPr>
          <w:rFonts w:hint="eastAsia" w:eastAsia="宋体"/>
          <w:sz w:val="30"/>
          <w:szCs w:val="30"/>
          <w:lang w:eastAsia="zh-CN"/>
        </w:rPr>
      </w:pPr>
    </w:p>
    <w:p w14:paraId="277C63A0">
      <w:pPr>
        <w:tabs>
          <w:tab w:val="left" w:pos="400"/>
        </w:tabs>
        <w:bidi w:val="0"/>
        <w:jc w:val="left"/>
        <w:rPr>
          <w:rFonts w:hint="eastAsia" w:eastAsia="宋体"/>
          <w:sz w:val="30"/>
          <w:szCs w:val="30"/>
          <w:lang w:eastAsia="zh-CN"/>
        </w:rPr>
      </w:pPr>
      <w:r>
        <w:rPr>
          <w:rFonts w:hint="eastAsia" w:eastAsia="宋体"/>
          <w:sz w:val="30"/>
          <w:szCs w:val="30"/>
          <w:lang w:eastAsia="zh-CN"/>
        </w:rPr>
        <w:t>What happens when a Christian—well schooled in the NCH—starts seeing the things of Christ in the persons, places, objects, events, and institutions of the OT?</w:t>
      </w:r>
    </w:p>
    <w:p w14:paraId="122A71AF">
      <w:pPr>
        <w:tabs>
          <w:tab w:val="left" w:pos="400"/>
        </w:tabs>
        <w:bidi w:val="0"/>
        <w:jc w:val="left"/>
        <w:rPr>
          <w:rFonts w:hint="eastAsia" w:eastAsia="宋体"/>
          <w:sz w:val="30"/>
          <w:szCs w:val="30"/>
          <w:lang w:eastAsia="zh-CN"/>
        </w:rPr>
      </w:pPr>
    </w:p>
    <w:p w14:paraId="0EA3F363">
      <w:pPr>
        <w:tabs>
          <w:tab w:val="left" w:pos="400"/>
        </w:tabs>
        <w:bidi w:val="0"/>
        <w:jc w:val="left"/>
        <w:rPr>
          <w:rFonts w:hint="eastAsia" w:eastAsia="宋体"/>
          <w:sz w:val="30"/>
          <w:szCs w:val="30"/>
          <w:lang w:eastAsia="zh-CN"/>
        </w:rPr>
      </w:pPr>
      <w:r>
        <w:rPr>
          <w:rFonts w:hint="eastAsia" w:eastAsia="宋体"/>
          <w:sz w:val="30"/>
          <w:szCs w:val="30"/>
          <w:lang w:eastAsia="zh-CN"/>
        </w:rPr>
        <w:t>当一个在新约释经学上受过良好训练的基督徒，开始在旧约的人物、地方、物件、事件和制度中看见基督的事时，会发生什么？</w:t>
      </w:r>
    </w:p>
    <w:p w14:paraId="366D41D2">
      <w:pPr>
        <w:tabs>
          <w:tab w:val="left" w:pos="400"/>
        </w:tabs>
        <w:bidi w:val="0"/>
        <w:jc w:val="left"/>
        <w:rPr>
          <w:rFonts w:hint="eastAsia" w:eastAsia="宋体"/>
          <w:sz w:val="30"/>
          <w:szCs w:val="30"/>
          <w:lang w:eastAsia="zh-CN"/>
        </w:rPr>
      </w:pPr>
    </w:p>
    <w:p w14:paraId="61D350A3">
      <w:pPr>
        <w:tabs>
          <w:tab w:val="left" w:pos="400"/>
        </w:tabs>
        <w:bidi w:val="0"/>
        <w:jc w:val="left"/>
        <w:rPr>
          <w:rFonts w:hint="eastAsia" w:eastAsia="宋体"/>
          <w:sz w:val="30"/>
          <w:szCs w:val="30"/>
          <w:lang w:eastAsia="zh-CN"/>
        </w:rPr>
      </w:pPr>
      <w:r>
        <w:rPr>
          <w:rFonts w:hint="eastAsia" w:eastAsia="宋体"/>
          <w:sz w:val="30"/>
          <w:szCs w:val="30"/>
          <w:lang w:eastAsia="zh-CN"/>
        </w:rPr>
        <w:t>What happens when he begins to discern them in Adam, the Tree of Life, Noah, the Ark, Melchizedek, Isaac, Jacob’s ladder, the Exodus, the Passover lamb, the Manna from heaven, the Rock that Moses struck, the Water that burst forth from it, the Mercy Seat, the Scapegoat, and so on?</w:t>
      </w:r>
    </w:p>
    <w:p w14:paraId="72D88FA4">
      <w:pPr>
        <w:tabs>
          <w:tab w:val="left" w:pos="400"/>
        </w:tabs>
        <w:bidi w:val="0"/>
        <w:jc w:val="left"/>
        <w:rPr>
          <w:rFonts w:hint="eastAsia" w:eastAsia="宋体"/>
          <w:sz w:val="30"/>
          <w:szCs w:val="30"/>
          <w:lang w:eastAsia="zh-CN"/>
        </w:rPr>
      </w:pPr>
    </w:p>
    <w:p w14:paraId="25B3ADD6">
      <w:pPr>
        <w:tabs>
          <w:tab w:val="left" w:pos="400"/>
        </w:tabs>
        <w:bidi w:val="0"/>
        <w:jc w:val="left"/>
        <w:rPr>
          <w:rFonts w:hint="eastAsia" w:eastAsia="宋体"/>
          <w:sz w:val="30"/>
          <w:szCs w:val="30"/>
          <w:lang w:eastAsia="zh-CN"/>
        </w:rPr>
      </w:pPr>
      <w:r>
        <w:rPr>
          <w:rFonts w:hint="eastAsia" w:eastAsia="宋体"/>
          <w:sz w:val="30"/>
          <w:szCs w:val="30"/>
          <w:lang w:eastAsia="zh-CN"/>
        </w:rPr>
        <w:t>当他开始在亚当、生命树、挪亚、方舟、麦基洗德、以撒、雅各的梯子、出埃及、逾越节的羊羔、天上的吗哪、摩西所击打的磐石、从其中涌出的水、施恩座、替罪羊等等事物中辨识出它们时，会发生什么？</w:t>
      </w:r>
    </w:p>
    <w:p w14:paraId="23F18DC0">
      <w:pPr>
        <w:tabs>
          <w:tab w:val="left" w:pos="400"/>
        </w:tabs>
        <w:bidi w:val="0"/>
        <w:jc w:val="left"/>
        <w:rPr>
          <w:rFonts w:hint="eastAsia" w:eastAsia="宋体"/>
          <w:sz w:val="30"/>
          <w:szCs w:val="30"/>
          <w:lang w:eastAsia="zh-CN"/>
        </w:rPr>
      </w:pPr>
    </w:p>
    <w:p w14:paraId="47432407">
      <w:pPr>
        <w:tabs>
          <w:tab w:val="left" w:pos="400"/>
        </w:tabs>
        <w:bidi w:val="0"/>
        <w:jc w:val="left"/>
        <w:rPr>
          <w:rFonts w:hint="eastAsia" w:eastAsia="宋体"/>
          <w:sz w:val="30"/>
          <w:szCs w:val="30"/>
          <w:lang w:eastAsia="zh-CN"/>
        </w:rPr>
      </w:pPr>
      <w:r>
        <w:rPr>
          <w:rFonts w:hint="eastAsia" w:eastAsia="宋体"/>
          <w:sz w:val="30"/>
          <w:szCs w:val="30"/>
          <w:lang w:eastAsia="zh-CN"/>
        </w:rPr>
        <w:t>Every saint knows the answer.</w:t>
      </w:r>
    </w:p>
    <w:p w14:paraId="6B611BC6">
      <w:pPr>
        <w:tabs>
          <w:tab w:val="left" w:pos="400"/>
        </w:tabs>
        <w:bidi w:val="0"/>
        <w:jc w:val="left"/>
        <w:rPr>
          <w:rFonts w:hint="eastAsia" w:eastAsia="宋体"/>
          <w:sz w:val="30"/>
          <w:szCs w:val="30"/>
          <w:lang w:eastAsia="zh-CN"/>
        </w:rPr>
      </w:pPr>
    </w:p>
    <w:p w14:paraId="10A71A35">
      <w:pPr>
        <w:tabs>
          <w:tab w:val="left" w:pos="400"/>
        </w:tabs>
        <w:bidi w:val="0"/>
        <w:jc w:val="left"/>
        <w:rPr>
          <w:rFonts w:hint="eastAsia" w:eastAsia="宋体"/>
          <w:sz w:val="30"/>
          <w:szCs w:val="30"/>
          <w:lang w:eastAsia="zh-CN"/>
        </w:rPr>
      </w:pPr>
      <w:r>
        <w:rPr>
          <w:rFonts w:hint="eastAsia" w:eastAsia="宋体"/>
          <w:sz w:val="30"/>
          <w:szCs w:val="30"/>
          <w:lang w:eastAsia="zh-CN"/>
        </w:rPr>
        <w:t>每个圣徒都知道答案。</w:t>
      </w:r>
    </w:p>
    <w:p w14:paraId="33A1A650">
      <w:pPr>
        <w:tabs>
          <w:tab w:val="left" w:pos="400"/>
        </w:tabs>
        <w:bidi w:val="0"/>
        <w:jc w:val="left"/>
        <w:rPr>
          <w:rFonts w:hint="eastAsia" w:eastAsia="宋体"/>
          <w:sz w:val="30"/>
          <w:szCs w:val="30"/>
          <w:lang w:eastAsia="zh-CN"/>
        </w:rPr>
      </w:pPr>
    </w:p>
    <w:p w14:paraId="473A826D">
      <w:pPr>
        <w:tabs>
          <w:tab w:val="left" w:pos="400"/>
        </w:tabs>
        <w:bidi w:val="0"/>
        <w:jc w:val="left"/>
        <w:rPr>
          <w:rFonts w:hint="eastAsia" w:eastAsia="宋体"/>
          <w:sz w:val="30"/>
          <w:szCs w:val="30"/>
          <w:lang w:eastAsia="zh-CN"/>
        </w:rPr>
      </w:pPr>
      <w:r>
        <w:rPr>
          <w:rFonts w:hint="eastAsia" w:eastAsia="宋体"/>
          <w:sz w:val="30"/>
          <w:szCs w:val="30"/>
          <w:lang w:eastAsia="zh-CN"/>
        </w:rPr>
        <w:t>If he is a new Christian, he is simply bowled over—not only to discover the stunning sovereignty and ingenuity of God, but also to behold the beauty and power of the divine inspiration of his Word.</w:t>
      </w:r>
    </w:p>
    <w:p w14:paraId="5FEF31CD">
      <w:pPr>
        <w:tabs>
          <w:tab w:val="left" w:pos="400"/>
        </w:tabs>
        <w:bidi w:val="0"/>
        <w:jc w:val="left"/>
        <w:rPr>
          <w:rFonts w:hint="eastAsia" w:eastAsia="宋体"/>
          <w:sz w:val="30"/>
          <w:szCs w:val="30"/>
          <w:lang w:eastAsia="zh-CN"/>
        </w:rPr>
      </w:pPr>
    </w:p>
    <w:p w14:paraId="47B1BAEB">
      <w:pPr>
        <w:tabs>
          <w:tab w:val="left" w:pos="400"/>
        </w:tabs>
        <w:bidi w:val="0"/>
        <w:jc w:val="left"/>
        <w:rPr>
          <w:rFonts w:hint="eastAsia" w:eastAsia="宋体"/>
          <w:sz w:val="30"/>
          <w:szCs w:val="30"/>
          <w:lang w:eastAsia="zh-CN"/>
        </w:rPr>
      </w:pPr>
      <w:r>
        <w:rPr>
          <w:rFonts w:hint="eastAsia" w:eastAsia="宋体"/>
          <w:sz w:val="30"/>
          <w:szCs w:val="30"/>
          <w:lang w:eastAsia="zh-CN"/>
        </w:rPr>
        <w:t>如果他是个新基督徒，他简直被折服了——不仅发现神惊人的主宰和巧思，也看见祂话语神圣默示的美丽和能力。</w:t>
      </w:r>
    </w:p>
    <w:p w14:paraId="142842D7">
      <w:pPr>
        <w:tabs>
          <w:tab w:val="left" w:pos="400"/>
        </w:tabs>
        <w:bidi w:val="0"/>
        <w:jc w:val="left"/>
        <w:rPr>
          <w:rFonts w:hint="eastAsia" w:eastAsia="宋体"/>
          <w:sz w:val="30"/>
          <w:szCs w:val="30"/>
          <w:lang w:eastAsia="zh-CN"/>
        </w:rPr>
      </w:pPr>
    </w:p>
    <w:p w14:paraId="3911528A">
      <w:pPr>
        <w:tabs>
          <w:tab w:val="left" w:pos="400"/>
        </w:tabs>
        <w:bidi w:val="0"/>
        <w:jc w:val="left"/>
        <w:rPr>
          <w:rFonts w:hint="eastAsia" w:eastAsia="宋体"/>
          <w:sz w:val="30"/>
          <w:szCs w:val="30"/>
          <w:lang w:eastAsia="zh-CN"/>
        </w:rPr>
      </w:pPr>
      <w:r>
        <w:rPr>
          <w:rFonts w:hint="eastAsia" w:eastAsia="宋体"/>
          <w:sz w:val="30"/>
          <w:szCs w:val="30"/>
          <w:lang w:eastAsia="zh-CN"/>
        </w:rPr>
        <w:t>And if he is an older Christian, he is still bowled over, in large part because he seems never to get to the bottom of these things!</w:t>
      </w:r>
    </w:p>
    <w:p w14:paraId="4023B02A">
      <w:pPr>
        <w:tabs>
          <w:tab w:val="left" w:pos="400"/>
        </w:tabs>
        <w:bidi w:val="0"/>
        <w:jc w:val="left"/>
        <w:rPr>
          <w:rFonts w:hint="eastAsia" w:eastAsia="宋体"/>
          <w:sz w:val="30"/>
          <w:szCs w:val="30"/>
          <w:lang w:eastAsia="zh-CN"/>
        </w:rPr>
      </w:pPr>
    </w:p>
    <w:p w14:paraId="6015C3A5">
      <w:pPr>
        <w:tabs>
          <w:tab w:val="left" w:pos="400"/>
        </w:tabs>
        <w:bidi w:val="0"/>
        <w:jc w:val="left"/>
        <w:rPr>
          <w:rFonts w:hint="eastAsia" w:eastAsia="宋体"/>
          <w:sz w:val="30"/>
          <w:szCs w:val="30"/>
          <w:lang w:eastAsia="zh-CN"/>
        </w:rPr>
      </w:pPr>
      <w:r>
        <w:rPr>
          <w:rFonts w:hint="eastAsia" w:eastAsia="宋体"/>
          <w:sz w:val="30"/>
          <w:szCs w:val="30"/>
          <w:lang w:eastAsia="zh-CN"/>
        </w:rPr>
        <w:t>如果他是个老基督徒，他仍然被折服，很大程度上因为他似乎永远也探不到这些事的底！</w:t>
      </w:r>
    </w:p>
    <w:p w14:paraId="76C69CBB">
      <w:pPr>
        <w:tabs>
          <w:tab w:val="left" w:pos="400"/>
        </w:tabs>
        <w:bidi w:val="0"/>
        <w:jc w:val="left"/>
        <w:rPr>
          <w:rFonts w:hint="eastAsia" w:eastAsia="宋体"/>
          <w:sz w:val="30"/>
          <w:szCs w:val="30"/>
          <w:lang w:eastAsia="zh-CN"/>
        </w:rPr>
      </w:pPr>
    </w:p>
    <w:p w14:paraId="7E34FF91">
      <w:pPr>
        <w:tabs>
          <w:tab w:val="left" w:pos="400"/>
        </w:tabs>
        <w:bidi w:val="0"/>
        <w:jc w:val="left"/>
        <w:rPr>
          <w:rFonts w:hint="eastAsia" w:eastAsia="宋体"/>
          <w:sz w:val="30"/>
          <w:szCs w:val="30"/>
          <w:lang w:eastAsia="zh-CN"/>
        </w:rPr>
      </w:pPr>
      <w:r>
        <w:rPr>
          <w:rFonts w:hint="eastAsia" w:eastAsia="宋体"/>
          <w:sz w:val="30"/>
          <w:szCs w:val="30"/>
          <w:lang w:eastAsia="zh-CN"/>
        </w:rPr>
        <w:t>Indeed, with ever-expanding clarity he sees that the OT is an infinite, or at least a fathomless, treasury of “mystical” witness to the Person and Work of Christ.</w:t>
      </w:r>
    </w:p>
    <w:p w14:paraId="7AF00942">
      <w:pPr>
        <w:tabs>
          <w:tab w:val="left" w:pos="400"/>
        </w:tabs>
        <w:bidi w:val="0"/>
        <w:jc w:val="left"/>
        <w:rPr>
          <w:rFonts w:hint="eastAsia" w:eastAsia="宋体"/>
          <w:sz w:val="30"/>
          <w:szCs w:val="30"/>
          <w:lang w:eastAsia="zh-CN"/>
        </w:rPr>
      </w:pPr>
    </w:p>
    <w:p w14:paraId="7C073419">
      <w:pPr>
        <w:tabs>
          <w:tab w:val="left" w:pos="400"/>
        </w:tabs>
        <w:bidi w:val="0"/>
        <w:jc w:val="left"/>
        <w:rPr>
          <w:rFonts w:hint="eastAsia" w:eastAsia="宋体"/>
          <w:sz w:val="30"/>
          <w:szCs w:val="30"/>
          <w:lang w:eastAsia="zh-CN"/>
        </w:rPr>
      </w:pPr>
      <w:r>
        <w:rPr>
          <w:rFonts w:hint="eastAsia" w:eastAsia="宋体"/>
          <w:sz w:val="30"/>
          <w:szCs w:val="30"/>
          <w:lang w:eastAsia="zh-CN"/>
        </w:rPr>
        <w:t>的确，他以不断扩展的清晰度看见，旧约是一个无限的，或至少是深不可测的，对基督的所是和所作之“奥秘”见证的宝库。</w:t>
      </w:r>
    </w:p>
    <w:p w14:paraId="4EFAA899">
      <w:pPr>
        <w:tabs>
          <w:tab w:val="left" w:pos="400"/>
        </w:tabs>
        <w:bidi w:val="0"/>
        <w:jc w:val="left"/>
        <w:rPr>
          <w:rFonts w:hint="eastAsia" w:eastAsia="宋体"/>
          <w:sz w:val="30"/>
          <w:szCs w:val="30"/>
          <w:lang w:eastAsia="zh-CN"/>
        </w:rPr>
      </w:pPr>
    </w:p>
    <w:p w14:paraId="57CE7CEF">
      <w:pPr>
        <w:tabs>
          <w:tab w:val="left" w:pos="400"/>
        </w:tabs>
        <w:bidi w:val="0"/>
        <w:jc w:val="left"/>
        <w:rPr>
          <w:rFonts w:hint="eastAsia" w:eastAsia="宋体"/>
          <w:sz w:val="30"/>
          <w:szCs w:val="30"/>
          <w:lang w:eastAsia="zh-CN"/>
        </w:rPr>
      </w:pPr>
      <w:r>
        <w:rPr>
          <w:rFonts w:hint="eastAsia" w:eastAsia="宋体"/>
          <w:sz w:val="30"/>
          <w:szCs w:val="30"/>
          <w:lang w:eastAsia="zh-CN"/>
        </w:rPr>
        <w:t>The end result of this is that all Christians, whether new or old, grow deeper and deeper in their conviction that the Bible is indeed the Christ- centered Word of God.</w:t>
      </w:r>
    </w:p>
    <w:p w14:paraId="567489C0">
      <w:pPr>
        <w:tabs>
          <w:tab w:val="left" w:pos="400"/>
        </w:tabs>
        <w:bidi w:val="0"/>
        <w:jc w:val="left"/>
        <w:rPr>
          <w:rFonts w:hint="eastAsia" w:eastAsia="宋体"/>
          <w:sz w:val="30"/>
          <w:szCs w:val="30"/>
          <w:lang w:eastAsia="zh-CN"/>
        </w:rPr>
      </w:pPr>
    </w:p>
    <w:p w14:paraId="0038538F">
      <w:pPr>
        <w:tabs>
          <w:tab w:val="left" w:pos="400"/>
        </w:tabs>
        <w:bidi w:val="0"/>
        <w:jc w:val="left"/>
        <w:rPr>
          <w:rFonts w:hint="eastAsia" w:eastAsia="宋体"/>
          <w:sz w:val="30"/>
          <w:szCs w:val="30"/>
          <w:lang w:eastAsia="zh-CN"/>
        </w:rPr>
      </w:pPr>
      <w:r>
        <w:rPr>
          <w:rFonts w:hint="eastAsia" w:eastAsia="宋体"/>
          <w:sz w:val="30"/>
          <w:szCs w:val="30"/>
          <w:lang w:eastAsia="zh-CN"/>
        </w:rPr>
        <w:t>其最终结果是，所有基督徒，无论是新的还是老的，都在他们对圣经确实是神以基督为中心的话语的信念上，越来越深。</w:t>
      </w:r>
    </w:p>
    <w:p w14:paraId="1BBE0958">
      <w:pPr>
        <w:tabs>
          <w:tab w:val="left" w:pos="400"/>
        </w:tabs>
        <w:bidi w:val="0"/>
        <w:jc w:val="left"/>
        <w:rPr>
          <w:rFonts w:hint="eastAsia" w:eastAsia="宋体"/>
          <w:sz w:val="30"/>
          <w:szCs w:val="30"/>
          <w:lang w:eastAsia="zh-CN"/>
        </w:rPr>
      </w:pPr>
    </w:p>
    <w:p w14:paraId="3A1AB71E">
      <w:pPr>
        <w:tabs>
          <w:tab w:val="left" w:pos="400"/>
        </w:tabs>
        <w:bidi w:val="0"/>
        <w:jc w:val="left"/>
        <w:rPr>
          <w:rFonts w:hint="eastAsia" w:eastAsia="宋体"/>
          <w:sz w:val="30"/>
          <w:szCs w:val="30"/>
          <w:lang w:eastAsia="zh-CN"/>
        </w:rPr>
      </w:pPr>
      <w:r>
        <w:rPr>
          <w:rFonts w:hint="eastAsia" w:eastAsia="宋体"/>
          <w:sz w:val="30"/>
          <w:szCs w:val="30"/>
          <w:lang w:eastAsia="zh-CN"/>
        </w:rPr>
        <w:t>And as a result of this, they grow ever more fervent in their glad and grateful worship of the One who gave it to them.</w:t>
      </w:r>
    </w:p>
    <w:p w14:paraId="2E5B57F9">
      <w:pPr>
        <w:tabs>
          <w:tab w:val="left" w:pos="400"/>
        </w:tabs>
        <w:bidi w:val="0"/>
        <w:jc w:val="left"/>
        <w:rPr>
          <w:rFonts w:hint="eastAsia" w:eastAsia="宋体"/>
          <w:sz w:val="30"/>
          <w:szCs w:val="30"/>
          <w:lang w:eastAsia="zh-CN"/>
        </w:rPr>
      </w:pPr>
    </w:p>
    <w:p w14:paraId="61C47ACB">
      <w:pPr>
        <w:tabs>
          <w:tab w:val="left" w:pos="400"/>
        </w:tabs>
        <w:bidi w:val="0"/>
        <w:jc w:val="left"/>
        <w:rPr>
          <w:rFonts w:hint="eastAsia" w:eastAsia="宋体"/>
          <w:sz w:val="30"/>
          <w:szCs w:val="30"/>
          <w:lang w:eastAsia="zh-CN"/>
        </w:rPr>
      </w:pPr>
      <w:r>
        <w:rPr>
          <w:rFonts w:hint="eastAsia" w:eastAsia="宋体"/>
          <w:sz w:val="30"/>
          <w:szCs w:val="30"/>
          <w:lang w:eastAsia="zh-CN"/>
        </w:rPr>
        <w:t>其结果是，他们在对那位将它赐给他们的神的喜乐和感恩的敬拜中，变得越来越热切。</w:t>
      </w:r>
    </w:p>
    <w:p w14:paraId="41606A9C">
      <w:pPr>
        <w:tabs>
          <w:tab w:val="left" w:pos="400"/>
        </w:tabs>
        <w:bidi w:val="0"/>
        <w:jc w:val="left"/>
        <w:rPr>
          <w:rFonts w:hint="eastAsia" w:eastAsia="宋体"/>
          <w:sz w:val="30"/>
          <w:szCs w:val="30"/>
          <w:lang w:eastAsia="zh-CN"/>
        </w:rPr>
      </w:pPr>
    </w:p>
    <w:p w14:paraId="664CC159">
      <w:pPr>
        <w:tabs>
          <w:tab w:val="left" w:pos="400"/>
        </w:tabs>
        <w:bidi w:val="0"/>
        <w:jc w:val="left"/>
        <w:rPr>
          <w:rFonts w:hint="eastAsia" w:eastAsia="宋体"/>
          <w:sz w:val="30"/>
          <w:szCs w:val="30"/>
          <w:lang w:eastAsia="zh-CN"/>
        </w:rPr>
      </w:pPr>
      <w:r>
        <w:rPr>
          <w:rFonts w:hint="eastAsia" w:eastAsia="宋体"/>
          <w:sz w:val="30"/>
          <w:szCs w:val="30"/>
          <w:lang w:eastAsia="zh-CN"/>
        </w:rPr>
        <w:t>Finally—and most importantly for our study—the NCH is crucial for a proper understanding of biblical eschatology, and so for resolving the Great End Time Debate.</w:t>
      </w:r>
    </w:p>
    <w:p w14:paraId="4A06A389">
      <w:pPr>
        <w:tabs>
          <w:tab w:val="left" w:pos="400"/>
        </w:tabs>
        <w:bidi w:val="0"/>
        <w:jc w:val="left"/>
        <w:rPr>
          <w:rFonts w:hint="eastAsia" w:eastAsia="宋体"/>
          <w:sz w:val="30"/>
          <w:szCs w:val="30"/>
          <w:lang w:eastAsia="zh-CN"/>
        </w:rPr>
      </w:pPr>
    </w:p>
    <w:p w14:paraId="48EC5318">
      <w:pPr>
        <w:tabs>
          <w:tab w:val="left" w:pos="400"/>
        </w:tabs>
        <w:bidi w:val="0"/>
        <w:jc w:val="left"/>
        <w:rPr>
          <w:rFonts w:hint="eastAsia" w:eastAsia="宋体"/>
          <w:sz w:val="30"/>
          <w:szCs w:val="30"/>
          <w:lang w:eastAsia="zh-CN"/>
        </w:rPr>
      </w:pPr>
      <w:r>
        <w:rPr>
          <w:rFonts w:hint="eastAsia" w:eastAsia="宋体"/>
          <w:sz w:val="30"/>
          <w:szCs w:val="30"/>
          <w:lang w:eastAsia="zh-CN"/>
        </w:rPr>
        <w:t>最后——对我们的研究而言最重要的是——新约释经学对于正确理解圣经末世论，从而解决末世大辩论，是至关重要的。</w:t>
      </w:r>
    </w:p>
    <w:p w14:paraId="06644FCE">
      <w:pPr>
        <w:tabs>
          <w:tab w:val="left" w:pos="400"/>
        </w:tabs>
        <w:bidi w:val="0"/>
        <w:jc w:val="left"/>
        <w:rPr>
          <w:rFonts w:hint="eastAsia" w:eastAsia="宋体"/>
          <w:sz w:val="30"/>
          <w:szCs w:val="30"/>
          <w:lang w:eastAsia="zh-CN"/>
        </w:rPr>
      </w:pPr>
    </w:p>
    <w:p w14:paraId="7C149999">
      <w:pPr>
        <w:tabs>
          <w:tab w:val="left" w:pos="400"/>
        </w:tabs>
        <w:bidi w:val="0"/>
        <w:jc w:val="left"/>
        <w:rPr>
          <w:rFonts w:hint="eastAsia" w:eastAsia="宋体"/>
          <w:sz w:val="30"/>
          <w:szCs w:val="30"/>
          <w:lang w:eastAsia="zh-CN"/>
        </w:rPr>
      </w:pPr>
      <w:r>
        <w:rPr>
          <w:rFonts w:hint="eastAsia" w:eastAsia="宋体"/>
          <w:sz w:val="30"/>
          <w:szCs w:val="30"/>
          <w:lang w:eastAsia="zh-CN"/>
        </w:rPr>
        <w:t>Though much remains to be said on this score, the truth of this statement should even now be coming into focus.</w:t>
      </w:r>
    </w:p>
    <w:p w14:paraId="17AE19CF">
      <w:pPr>
        <w:tabs>
          <w:tab w:val="left" w:pos="400"/>
        </w:tabs>
        <w:bidi w:val="0"/>
        <w:jc w:val="left"/>
        <w:rPr>
          <w:rFonts w:hint="eastAsia" w:eastAsia="宋体"/>
          <w:sz w:val="30"/>
          <w:szCs w:val="30"/>
          <w:lang w:eastAsia="zh-CN"/>
        </w:rPr>
      </w:pPr>
    </w:p>
    <w:p w14:paraId="2B4F9565">
      <w:pPr>
        <w:tabs>
          <w:tab w:val="left" w:pos="400"/>
        </w:tabs>
        <w:bidi w:val="0"/>
        <w:jc w:val="left"/>
        <w:rPr>
          <w:rFonts w:hint="eastAsia" w:eastAsia="宋体"/>
          <w:sz w:val="30"/>
          <w:szCs w:val="30"/>
          <w:lang w:eastAsia="zh-CN"/>
        </w:rPr>
      </w:pPr>
      <w:r>
        <w:rPr>
          <w:rFonts w:hint="eastAsia" w:eastAsia="宋体"/>
          <w:sz w:val="30"/>
          <w:szCs w:val="30"/>
          <w:lang w:eastAsia="zh-CN"/>
        </w:rPr>
        <w:t>尽管在这方面还有很多话要说，但这个陈述的真实性现在应该已开始变得清晰。</w:t>
      </w:r>
    </w:p>
    <w:p w14:paraId="15FDAC34">
      <w:pPr>
        <w:tabs>
          <w:tab w:val="left" w:pos="400"/>
        </w:tabs>
        <w:bidi w:val="0"/>
        <w:jc w:val="left"/>
        <w:rPr>
          <w:rFonts w:hint="eastAsia" w:eastAsia="宋体"/>
          <w:sz w:val="30"/>
          <w:szCs w:val="30"/>
          <w:lang w:eastAsia="zh-CN"/>
        </w:rPr>
      </w:pPr>
    </w:p>
    <w:p w14:paraId="2F3E6659">
      <w:pPr>
        <w:tabs>
          <w:tab w:val="left" w:pos="400"/>
        </w:tabs>
        <w:bidi w:val="0"/>
        <w:jc w:val="left"/>
        <w:rPr>
          <w:rFonts w:hint="eastAsia" w:eastAsia="宋体"/>
          <w:sz w:val="30"/>
          <w:szCs w:val="30"/>
          <w:lang w:eastAsia="zh-CN"/>
        </w:rPr>
      </w:pPr>
      <w:r>
        <w:rPr>
          <w:rFonts w:hint="eastAsia" w:eastAsia="宋体"/>
          <w:sz w:val="30"/>
          <w:szCs w:val="30"/>
          <w:lang w:eastAsia="zh-CN"/>
        </w:rPr>
        <w:t>We have already seen that the single greatest bone of contention in the End Time Debate is the proper interpretation of OTKP.</w:t>
      </w:r>
    </w:p>
    <w:p w14:paraId="0E6EC30A">
      <w:pPr>
        <w:tabs>
          <w:tab w:val="left" w:pos="400"/>
        </w:tabs>
        <w:bidi w:val="0"/>
        <w:jc w:val="left"/>
        <w:rPr>
          <w:rFonts w:hint="eastAsia" w:eastAsia="宋体"/>
          <w:sz w:val="30"/>
          <w:szCs w:val="30"/>
          <w:lang w:eastAsia="zh-CN"/>
        </w:rPr>
      </w:pPr>
    </w:p>
    <w:p w14:paraId="7B3BB11E">
      <w:pPr>
        <w:tabs>
          <w:tab w:val="left" w:pos="400"/>
        </w:tabs>
        <w:bidi w:val="0"/>
        <w:jc w:val="left"/>
        <w:rPr>
          <w:rFonts w:hint="eastAsia" w:eastAsia="宋体"/>
          <w:sz w:val="30"/>
          <w:szCs w:val="30"/>
          <w:lang w:eastAsia="zh-CN"/>
        </w:rPr>
      </w:pPr>
      <w:r>
        <w:rPr>
          <w:rFonts w:hint="eastAsia" w:eastAsia="宋体"/>
          <w:sz w:val="30"/>
          <w:szCs w:val="30"/>
          <w:lang w:eastAsia="zh-CN"/>
        </w:rPr>
        <w:t>我们已经看到，末世辩论中最大的争论点是对旧约国度预言的正确解释。</w:t>
      </w:r>
    </w:p>
    <w:p w14:paraId="7E91C9F5">
      <w:pPr>
        <w:tabs>
          <w:tab w:val="left" w:pos="400"/>
        </w:tabs>
        <w:bidi w:val="0"/>
        <w:jc w:val="left"/>
        <w:rPr>
          <w:rFonts w:hint="eastAsia" w:eastAsia="宋体"/>
          <w:sz w:val="30"/>
          <w:szCs w:val="30"/>
          <w:lang w:eastAsia="zh-CN"/>
        </w:rPr>
      </w:pPr>
    </w:p>
    <w:p w14:paraId="29F29570">
      <w:pPr>
        <w:tabs>
          <w:tab w:val="left" w:pos="400"/>
        </w:tabs>
        <w:bidi w:val="0"/>
        <w:jc w:val="left"/>
        <w:rPr>
          <w:rFonts w:hint="eastAsia" w:eastAsia="宋体"/>
          <w:sz w:val="30"/>
          <w:szCs w:val="30"/>
          <w:lang w:eastAsia="zh-CN"/>
        </w:rPr>
      </w:pPr>
      <w:r>
        <w:rPr>
          <w:rFonts w:hint="eastAsia" w:eastAsia="宋体"/>
          <w:sz w:val="30"/>
          <w:szCs w:val="30"/>
          <w:lang w:eastAsia="zh-CN"/>
        </w:rPr>
        <w:t>Everything else—our understanding of the Millennium and the Consummation—hinges on this.</w:t>
      </w:r>
    </w:p>
    <w:p w14:paraId="7E7FC5C8">
      <w:pPr>
        <w:tabs>
          <w:tab w:val="left" w:pos="400"/>
        </w:tabs>
        <w:bidi w:val="0"/>
        <w:jc w:val="left"/>
        <w:rPr>
          <w:rFonts w:hint="eastAsia" w:eastAsia="宋体"/>
          <w:sz w:val="30"/>
          <w:szCs w:val="30"/>
          <w:lang w:eastAsia="zh-CN"/>
        </w:rPr>
      </w:pPr>
    </w:p>
    <w:p w14:paraId="6807AEAC">
      <w:pPr>
        <w:tabs>
          <w:tab w:val="left" w:pos="400"/>
        </w:tabs>
        <w:bidi w:val="0"/>
        <w:jc w:val="left"/>
        <w:rPr>
          <w:rFonts w:hint="eastAsia" w:eastAsia="宋体"/>
          <w:sz w:val="30"/>
          <w:szCs w:val="30"/>
          <w:lang w:eastAsia="zh-CN"/>
        </w:rPr>
      </w:pPr>
      <w:r>
        <w:rPr>
          <w:rFonts w:hint="eastAsia" w:eastAsia="宋体"/>
          <w:sz w:val="30"/>
          <w:szCs w:val="30"/>
          <w:lang w:eastAsia="zh-CN"/>
        </w:rPr>
        <w:t>其他一切——我们对千禧年和最终成全的理解——都取决于此。</w:t>
      </w:r>
    </w:p>
    <w:p w14:paraId="4B35A8F6">
      <w:pPr>
        <w:tabs>
          <w:tab w:val="left" w:pos="400"/>
        </w:tabs>
        <w:bidi w:val="0"/>
        <w:jc w:val="left"/>
        <w:rPr>
          <w:rFonts w:hint="eastAsia" w:eastAsia="宋体"/>
          <w:sz w:val="30"/>
          <w:szCs w:val="30"/>
          <w:lang w:eastAsia="zh-CN"/>
        </w:rPr>
      </w:pPr>
    </w:p>
    <w:p w14:paraId="692C8B6F">
      <w:pPr>
        <w:tabs>
          <w:tab w:val="left" w:pos="400"/>
        </w:tabs>
        <w:bidi w:val="0"/>
        <w:jc w:val="left"/>
        <w:rPr>
          <w:rFonts w:hint="eastAsia" w:eastAsia="宋体"/>
          <w:sz w:val="30"/>
          <w:szCs w:val="30"/>
          <w:lang w:eastAsia="zh-CN"/>
        </w:rPr>
      </w:pPr>
      <w:r>
        <w:rPr>
          <w:rFonts w:hint="eastAsia" w:eastAsia="宋体"/>
          <w:sz w:val="30"/>
          <w:szCs w:val="30"/>
          <w:lang w:eastAsia="zh-CN"/>
        </w:rPr>
        <w:t>Are we to interpret OTKP’s prophecies literally, as describing God’s future plans for his Old Covenant people, ethnic Israel; or are we to interpret them figuratively (i.e., typologically), as describing his future plans for his New Covenant people, spiritual “Israel” (Rom. 9:6-8, Gal. 6:16)?</w:t>
      </w:r>
    </w:p>
    <w:p w14:paraId="737445BC">
      <w:pPr>
        <w:tabs>
          <w:tab w:val="left" w:pos="400"/>
        </w:tabs>
        <w:bidi w:val="0"/>
        <w:jc w:val="left"/>
        <w:rPr>
          <w:rFonts w:hint="eastAsia" w:eastAsia="宋体"/>
          <w:sz w:val="30"/>
          <w:szCs w:val="30"/>
          <w:lang w:eastAsia="zh-CN"/>
        </w:rPr>
      </w:pPr>
    </w:p>
    <w:p w14:paraId="1C10E44B">
      <w:pPr>
        <w:tabs>
          <w:tab w:val="left" w:pos="400"/>
        </w:tabs>
        <w:bidi w:val="0"/>
        <w:jc w:val="left"/>
        <w:rPr>
          <w:rFonts w:hint="eastAsia" w:eastAsia="宋体"/>
          <w:sz w:val="30"/>
          <w:szCs w:val="30"/>
          <w:lang w:eastAsia="zh-CN"/>
        </w:rPr>
      </w:pPr>
      <w:r>
        <w:rPr>
          <w:rFonts w:hint="eastAsia" w:eastAsia="宋体"/>
          <w:sz w:val="30"/>
          <w:szCs w:val="30"/>
          <w:lang w:eastAsia="zh-CN"/>
        </w:rPr>
        <w:t>我们是应当按字面意义解释旧约国度预言的预言，将其描述为神对祂旧约子民——以色列民族——的未来计划；还是应当按预表意义（即预表性地）解释它们，将其描述为祂对祂新约子民——属灵的“以色列”——的未来计划（罗 9:6-8, 加 6:16）？</w:t>
      </w:r>
    </w:p>
    <w:p w14:paraId="1A1728C6">
      <w:pPr>
        <w:tabs>
          <w:tab w:val="left" w:pos="400"/>
        </w:tabs>
        <w:bidi w:val="0"/>
        <w:jc w:val="left"/>
        <w:rPr>
          <w:rFonts w:hint="eastAsia" w:eastAsia="宋体"/>
          <w:sz w:val="30"/>
          <w:szCs w:val="30"/>
          <w:lang w:eastAsia="zh-CN"/>
        </w:rPr>
      </w:pPr>
    </w:p>
    <w:p w14:paraId="24513AC9">
      <w:pPr>
        <w:tabs>
          <w:tab w:val="left" w:pos="400"/>
        </w:tabs>
        <w:bidi w:val="0"/>
        <w:jc w:val="left"/>
        <w:rPr>
          <w:rFonts w:hint="eastAsia" w:eastAsia="宋体"/>
          <w:sz w:val="30"/>
          <w:szCs w:val="30"/>
          <w:lang w:eastAsia="zh-CN"/>
        </w:rPr>
      </w:pPr>
      <w:r>
        <w:rPr>
          <w:rFonts w:hint="eastAsia" w:eastAsia="宋体"/>
          <w:sz w:val="30"/>
          <w:szCs w:val="30"/>
          <w:lang w:eastAsia="zh-CN"/>
        </w:rPr>
        <w:t>By instructing us in the NCH— and by applying it directly to many OTKP’s—the NT addresses this crucial question head on.</w:t>
      </w:r>
    </w:p>
    <w:p w14:paraId="2D5F5DAB">
      <w:pPr>
        <w:tabs>
          <w:tab w:val="left" w:pos="400"/>
        </w:tabs>
        <w:bidi w:val="0"/>
        <w:jc w:val="left"/>
        <w:rPr>
          <w:rFonts w:hint="eastAsia" w:eastAsia="宋体"/>
          <w:sz w:val="30"/>
          <w:szCs w:val="30"/>
          <w:lang w:eastAsia="zh-CN"/>
        </w:rPr>
      </w:pPr>
    </w:p>
    <w:p w14:paraId="24B00A4D">
      <w:pPr>
        <w:tabs>
          <w:tab w:val="left" w:pos="400"/>
        </w:tabs>
        <w:bidi w:val="0"/>
        <w:jc w:val="left"/>
        <w:rPr>
          <w:rFonts w:hint="eastAsia" w:eastAsia="宋体"/>
          <w:sz w:val="30"/>
          <w:szCs w:val="30"/>
          <w:lang w:eastAsia="zh-CN"/>
        </w:rPr>
      </w:pPr>
      <w:r>
        <w:rPr>
          <w:rFonts w:hint="eastAsia" w:eastAsia="宋体"/>
          <w:sz w:val="30"/>
          <w:szCs w:val="30"/>
          <w:lang w:eastAsia="zh-CN"/>
        </w:rPr>
        <w:t>新约通过教导我们新约释经学——并将其直接应用于许多旧约国度预言——正面地处理了这个关键问题。</w:t>
      </w:r>
    </w:p>
    <w:p w14:paraId="55F2E122">
      <w:pPr>
        <w:tabs>
          <w:tab w:val="left" w:pos="400"/>
        </w:tabs>
        <w:bidi w:val="0"/>
        <w:jc w:val="left"/>
        <w:rPr>
          <w:rFonts w:hint="eastAsia" w:eastAsia="宋体"/>
          <w:sz w:val="30"/>
          <w:szCs w:val="30"/>
          <w:lang w:eastAsia="zh-CN"/>
        </w:rPr>
      </w:pPr>
    </w:p>
    <w:p w14:paraId="00CF1783">
      <w:pPr>
        <w:tabs>
          <w:tab w:val="left" w:pos="400"/>
        </w:tabs>
        <w:bidi w:val="0"/>
        <w:jc w:val="left"/>
        <w:rPr>
          <w:rFonts w:hint="eastAsia" w:eastAsia="宋体"/>
          <w:sz w:val="30"/>
          <w:szCs w:val="30"/>
          <w:lang w:eastAsia="zh-CN"/>
        </w:rPr>
      </w:pPr>
      <w:r>
        <w:rPr>
          <w:rFonts w:hint="eastAsia" w:eastAsia="宋体"/>
          <w:sz w:val="30"/>
          <w:szCs w:val="30"/>
          <w:lang w:eastAsia="zh-CN"/>
        </w:rPr>
        <w:t>As we shall soon see, the results greatly amaze and deeply satisfy!</w:t>
      </w:r>
    </w:p>
    <w:p w14:paraId="37D989D7">
      <w:pPr>
        <w:tabs>
          <w:tab w:val="left" w:pos="400"/>
        </w:tabs>
        <w:bidi w:val="0"/>
        <w:jc w:val="left"/>
        <w:rPr>
          <w:rFonts w:hint="eastAsia" w:eastAsia="宋体"/>
          <w:sz w:val="30"/>
          <w:szCs w:val="30"/>
          <w:lang w:eastAsia="zh-CN"/>
        </w:rPr>
      </w:pPr>
    </w:p>
    <w:p w14:paraId="2A58FBB0">
      <w:pPr>
        <w:tabs>
          <w:tab w:val="left" w:pos="400"/>
        </w:tabs>
        <w:bidi w:val="0"/>
        <w:jc w:val="left"/>
        <w:rPr>
          <w:rFonts w:hint="eastAsia" w:eastAsia="宋体"/>
          <w:sz w:val="30"/>
          <w:szCs w:val="30"/>
          <w:lang w:eastAsia="zh-CN"/>
        </w:rPr>
      </w:pPr>
      <w:r>
        <w:rPr>
          <w:rFonts w:hint="eastAsia" w:eastAsia="宋体"/>
          <w:sz w:val="30"/>
          <w:szCs w:val="30"/>
          <w:lang w:eastAsia="zh-CN"/>
        </w:rPr>
        <w:t>我们很快就会看到，其结果令人大为惊奇且深感满足！</w:t>
      </w:r>
    </w:p>
    <w:p w14:paraId="7510D739">
      <w:pPr>
        <w:tabs>
          <w:tab w:val="left" w:pos="400"/>
        </w:tabs>
        <w:bidi w:val="0"/>
        <w:jc w:val="left"/>
        <w:rPr>
          <w:rFonts w:hint="eastAsia" w:eastAsia="宋体"/>
          <w:sz w:val="30"/>
          <w:szCs w:val="30"/>
          <w:lang w:eastAsia="zh-CN"/>
        </w:rPr>
      </w:pPr>
    </w:p>
    <w:p w14:paraId="35C28583">
      <w:pPr>
        <w:tabs>
          <w:tab w:val="left" w:pos="400"/>
        </w:tabs>
        <w:bidi w:val="0"/>
        <w:jc w:val="left"/>
        <w:rPr>
          <w:rFonts w:hint="eastAsia" w:eastAsia="宋体"/>
          <w:sz w:val="30"/>
          <w:szCs w:val="30"/>
          <w:lang w:eastAsia="zh-CN"/>
        </w:rPr>
      </w:pPr>
      <w:r>
        <w:rPr>
          <w:rFonts w:hint="eastAsia" w:eastAsia="宋体"/>
          <w:sz w:val="30"/>
          <w:szCs w:val="30"/>
          <w:lang w:eastAsia="zh-CN"/>
        </w:rPr>
        <w:t>Receiving the Keys</w:t>
      </w:r>
    </w:p>
    <w:p w14:paraId="1068243E">
      <w:pPr>
        <w:tabs>
          <w:tab w:val="left" w:pos="400"/>
        </w:tabs>
        <w:bidi w:val="0"/>
        <w:jc w:val="left"/>
        <w:rPr>
          <w:rFonts w:hint="eastAsia" w:eastAsia="宋体"/>
          <w:sz w:val="30"/>
          <w:szCs w:val="30"/>
          <w:lang w:eastAsia="zh-CN"/>
        </w:rPr>
      </w:pPr>
    </w:p>
    <w:p w14:paraId="7691E38A">
      <w:pPr>
        <w:tabs>
          <w:tab w:val="left" w:pos="400"/>
        </w:tabs>
        <w:bidi w:val="0"/>
        <w:jc w:val="left"/>
        <w:rPr>
          <w:rFonts w:hint="eastAsia" w:eastAsia="宋体"/>
          <w:sz w:val="30"/>
          <w:szCs w:val="30"/>
          <w:lang w:eastAsia="zh-CN"/>
        </w:rPr>
      </w:pPr>
      <w:r>
        <w:rPr>
          <w:rFonts w:hint="eastAsia" w:eastAsia="宋体"/>
          <w:sz w:val="30"/>
          <w:szCs w:val="30"/>
          <w:lang w:eastAsia="zh-CN"/>
        </w:rPr>
        <w:t>领受众钥匙</w:t>
      </w:r>
    </w:p>
    <w:p w14:paraId="0996AAA8">
      <w:pPr>
        <w:tabs>
          <w:tab w:val="left" w:pos="400"/>
        </w:tabs>
        <w:bidi w:val="0"/>
        <w:jc w:val="left"/>
        <w:rPr>
          <w:rFonts w:hint="eastAsia" w:eastAsia="宋体"/>
          <w:sz w:val="30"/>
          <w:szCs w:val="30"/>
          <w:lang w:eastAsia="zh-CN"/>
        </w:rPr>
      </w:pPr>
    </w:p>
    <w:p w14:paraId="481D17CC">
      <w:pPr>
        <w:tabs>
          <w:tab w:val="left" w:pos="400"/>
        </w:tabs>
        <w:bidi w:val="0"/>
        <w:jc w:val="left"/>
        <w:rPr>
          <w:rFonts w:hint="eastAsia" w:eastAsia="宋体"/>
          <w:sz w:val="30"/>
          <w:szCs w:val="30"/>
          <w:lang w:eastAsia="zh-CN"/>
        </w:rPr>
      </w:pPr>
      <w:r>
        <w:rPr>
          <w:rFonts w:hint="eastAsia" w:eastAsia="宋体"/>
          <w:sz w:val="30"/>
          <w:szCs w:val="30"/>
          <w:lang w:eastAsia="zh-CN"/>
        </w:rPr>
        <w:t>In this chapter, I have been at pains to show that Christ, and Christ alone, has the keys that will open the door to “true truth” about biblical eschatology.</w:t>
      </w:r>
    </w:p>
    <w:p w14:paraId="5157CEC0">
      <w:pPr>
        <w:tabs>
          <w:tab w:val="left" w:pos="400"/>
        </w:tabs>
        <w:bidi w:val="0"/>
        <w:jc w:val="left"/>
        <w:rPr>
          <w:rFonts w:hint="eastAsia" w:eastAsia="宋体"/>
          <w:sz w:val="30"/>
          <w:szCs w:val="30"/>
          <w:lang w:eastAsia="zh-CN"/>
        </w:rPr>
      </w:pPr>
    </w:p>
    <w:p w14:paraId="6DC14C99">
      <w:pPr>
        <w:tabs>
          <w:tab w:val="left" w:pos="400"/>
        </w:tabs>
        <w:bidi w:val="0"/>
        <w:jc w:val="left"/>
        <w:rPr>
          <w:rFonts w:hint="eastAsia" w:eastAsia="宋体"/>
          <w:sz w:val="30"/>
          <w:szCs w:val="30"/>
          <w:lang w:eastAsia="zh-CN"/>
        </w:rPr>
      </w:pPr>
      <w:r>
        <w:rPr>
          <w:rFonts w:hint="eastAsia" w:eastAsia="宋体"/>
          <w:sz w:val="30"/>
          <w:szCs w:val="30"/>
          <w:lang w:eastAsia="zh-CN"/>
        </w:rPr>
        <w:t>在本章中，我煞费苦心地指出，基督，且惟有基督，拿着能打开通往关于圣经末世论之“真实际”之门的众钥匙。</w:t>
      </w:r>
    </w:p>
    <w:p w14:paraId="27C148E2">
      <w:pPr>
        <w:tabs>
          <w:tab w:val="left" w:pos="400"/>
        </w:tabs>
        <w:bidi w:val="0"/>
        <w:jc w:val="left"/>
        <w:rPr>
          <w:rFonts w:hint="eastAsia" w:eastAsia="宋体"/>
          <w:sz w:val="30"/>
          <w:szCs w:val="30"/>
          <w:lang w:eastAsia="zh-CN"/>
        </w:rPr>
      </w:pPr>
    </w:p>
    <w:p w14:paraId="0D6E4F83">
      <w:pPr>
        <w:tabs>
          <w:tab w:val="left" w:pos="400"/>
        </w:tabs>
        <w:bidi w:val="0"/>
        <w:jc w:val="left"/>
        <w:rPr>
          <w:rFonts w:hint="eastAsia" w:eastAsia="宋体"/>
          <w:sz w:val="30"/>
          <w:szCs w:val="30"/>
          <w:lang w:eastAsia="zh-CN"/>
        </w:rPr>
      </w:pPr>
      <w:r>
        <w:rPr>
          <w:rFonts w:hint="eastAsia" w:eastAsia="宋体"/>
          <w:sz w:val="30"/>
          <w:szCs w:val="30"/>
          <w:lang w:eastAsia="zh-CN"/>
        </w:rPr>
        <w:t>He has them because God was pleased to make his special revelation progressive; because he desired to exalt his only-begotten Son as the supreme Prophet and Teacher of the whole world; because he desired, through Christ, not only to unveil new and eternal truth, but also to place it in our hands as a Master Key for properly understanding his old and preliminary truth.</w:t>
      </w:r>
    </w:p>
    <w:p w14:paraId="1E4FBCF8">
      <w:pPr>
        <w:tabs>
          <w:tab w:val="left" w:pos="400"/>
        </w:tabs>
        <w:bidi w:val="0"/>
        <w:jc w:val="left"/>
        <w:rPr>
          <w:rFonts w:hint="eastAsia" w:eastAsia="宋体"/>
          <w:sz w:val="30"/>
          <w:szCs w:val="30"/>
          <w:lang w:eastAsia="zh-CN"/>
        </w:rPr>
      </w:pPr>
    </w:p>
    <w:p w14:paraId="7FA01722">
      <w:pPr>
        <w:tabs>
          <w:tab w:val="left" w:pos="400"/>
        </w:tabs>
        <w:bidi w:val="0"/>
        <w:jc w:val="left"/>
        <w:rPr>
          <w:rFonts w:hint="eastAsia" w:eastAsia="宋体"/>
          <w:sz w:val="30"/>
          <w:szCs w:val="30"/>
          <w:lang w:eastAsia="zh-CN"/>
        </w:rPr>
      </w:pPr>
      <w:r>
        <w:rPr>
          <w:rFonts w:hint="eastAsia" w:eastAsia="宋体"/>
          <w:sz w:val="30"/>
          <w:szCs w:val="30"/>
          <w:lang w:eastAsia="zh-CN"/>
        </w:rPr>
        <w:t>祂拿着它们，因为神乐意使祂的特殊启示成为渐进的；因为祂渴望高举祂的独生子，作全世界至高的申言者和教师；因为祂渴望借着基督，不仅揭示新的、永恒的真理，也将其放在我们手中，作为一把万能钥匙，用以正确理解祂旧的、初步的真理。</w:t>
      </w:r>
    </w:p>
    <w:p w14:paraId="46E85402">
      <w:pPr>
        <w:tabs>
          <w:tab w:val="left" w:pos="400"/>
        </w:tabs>
        <w:bidi w:val="0"/>
        <w:jc w:val="left"/>
        <w:rPr>
          <w:rFonts w:hint="eastAsia" w:eastAsia="宋体"/>
          <w:sz w:val="30"/>
          <w:szCs w:val="30"/>
          <w:lang w:eastAsia="zh-CN"/>
        </w:rPr>
      </w:pPr>
    </w:p>
    <w:p w14:paraId="78ACB6BF">
      <w:pPr>
        <w:tabs>
          <w:tab w:val="left" w:pos="400"/>
        </w:tabs>
        <w:bidi w:val="0"/>
        <w:jc w:val="left"/>
        <w:rPr>
          <w:rFonts w:hint="eastAsia" w:eastAsia="宋体"/>
          <w:sz w:val="30"/>
          <w:szCs w:val="30"/>
          <w:lang w:eastAsia="zh-CN"/>
        </w:rPr>
      </w:pPr>
      <w:r>
        <w:rPr>
          <w:rFonts w:hint="eastAsia" w:eastAsia="宋体"/>
          <w:sz w:val="30"/>
          <w:szCs w:val="30"/>
          <w:lang w:eastAsia="zh-CN"/>
        </w:rPr>
        <w:t>How, then, at a practical level, shall we honor the fact that Christ has the keys; that he alone can answer all our questions about OTKP, the Millennium, and the Consummation; that he alone can resolve the Great End Time Debate?</w:t>
      </w:r>
    </w:p>
    <w:p w14:paraId="2057DCA3">
      <w:pPr>
        <w:tabs>
          <w:tab w:val="left" w:pos="400"/>
        </w:tabs>
        <w:bidi w:val="0"/>
        <w:jc w:val="left"/>
        <w:rPr>
          <w:rFonts w:hint="eastAsia" w:eastAsia="宋体"/>
          <w:sz w:val="30"/>
          <w:szCs w:val="30"/>
          <w:lang w:eastAsia="zh-CN"/>
        </w:rPr>
      </w:pPr>
    </w:p>
    <w:p w14:paraId="52323B79">
      <w:pPr>
        <w:tabs>
          <w:tab w:val="left" w:pos="400"/>
        </w:tabs>
        <w:bidi w:val="0"/>
        <w:jc w:val="left"/>
        <w:rPr>
          <w:rFonts w:hint="eastAsia" w:eastAsia="宋体"/>
          <w:sz w:val="30"/>
          <w:szCs w:val="30"/>
          <w:lang w:eastAsia="zh-CN"/>
        </w:rPr>
      </w:pPr>
      <w:r>
        <w:rPr>
          <w:rFonts w:hint="eastAsia" w:eastAsia="宋体"/>
          <w:sz w:val="30"/>
          <w:szCs w:val="30"/>
          <w:lang w:eastAsia="zh-CN"/>
        </w:rPr>
        <w:t>那么，在实践的层面上，我们该如何尊重基督拿着众钥匙这个事实；即惟有祂能回答我们所有关于旧约国度预言、千禧年和最终成全的问题；惟有祂能解决末世大辩论？</w:t>
      </w:r>
    </w:p>
    <w:p w14:paraId="28B1A831">
      <w:pPr>
        <w:tabs>
          <w:tab w:val="left" w:pos="400"/>
        </w:tabs>
        <w:bidi w:val="0"/>
        <w:jc w:val="left"/>
        <w:rPr>
          <w:rFonts w:hint="eastAsia" w:eastAsia="宋体"/>
          <w:sz w:val="30"/>
          <w:szCs w:val="30"/>
          <w:lang w:eastAsia="zh-CN"/>
        </w:rPr>
      </w:pPr>
    </w:p>
    <w:p w14:paraId="35B6F903">
      <w:pPr>
        <w:tabs>
          <w:tab w:val="left" w:pos="400"/>
        </w:tabs>
        <w:bidi w:val="0"/>
        <w:jc w:val="left"/>
        <w:rPr>
          <w:rFonts w:hint="eastAsia" w:eastAsia="宋体"/>
          <w:sz w:val="30"/>
          <w:szCs w:val="30"/>
          <w:lang w:eastAsia="zh-CN"/>
        </w:rPr>
      </w:pPr>
      <w:r>
        <w:rPr>
          <w:rFonts w:hint="eastAsia" w:eastAsia="宋体"/>
          <w:sz w:val="30"/>
          <w:szCs w:val="30"/>
          <w:lang w:eastAsia="zh-CN"/>
        </w:rPr>
        <w:t>We have already touched on the twofold answer to these questions.</w:t>
      </w:r>
    </w:p>
    <w:p w14:paraId="1067A2BD">
      <w:pPr>
        <w:tabs>
          <w:tab w:val="left" w:pos="400"/>
        </w:tabs>
        <w:bidi w:val="0"/>
        <w:jc w:val="left"/>
        <w:rPr>
          <w:rFonts w:hint="eastAsia" w:eastAsia="宋体"/>
          <w:sz w:val="30"/>
          <w:szCs w:val="30"/>
          <w:lang w:eastAsia="zh-CN"/>
        </w:rPr>
      </w:pPr>
    </w:p>
    <w:p w14:paraId="2BC4B9A4">
      <w:pPr>
        <w:tabs>
          <w:tab w:val="left" w:pos="400"/>
        </w:tabs>
        <w:bidi w:val="0"/>
        <w:jc w:val="left"/>
        <w:rPr>
          <w:rFonts w:hint="eastAsia" w:eastAsia="宋体"/>
          <w:sz w:val="30"/>
          <w:szCs w:val="30"/>
          <w:lang w:eastAsia="zh-CN"/>
        </w:rPr>
      </w:pPr>
      <w:r>
        <w:rPr>
          <w:rFonts w:hint="eastAsia" w:eastAsia="宋体"/>
          <w:sz w:val="30"/>
          <w:szCs w:val="30"/>
          <w:lang w:eastAsia="zh-CN"/>
        </w:rPr>
        <w:t>我们已经触及了这些问题的双重答案。</w:t>
      </w:r>
    </w:p>
    <w:p w14:paraId="4151CB77">
      <w:pPr>
        <w:tabs>
          <w:tab w:val="left" w:pos="400"/>
        </w:tabs>
        <w:bidi w:val="0"/>
        <w:jc w:val="left"/>
        <w:rPr>
          <w:rFonts w:hint="eastAsia" w:eastAsia="宋体"/>
          <w:sz w:val="30"/>
          <w:szCs w:val="30"/>
          <w:lang w:eastAsia="zh-CN"/>
        </w:rPr>
      </w:pPr>
    </w:p>
    <w:p w14:paraId="72920E83">
      <w:pPr>
        <w:tabs>
          <w:tab w:val="left" w:pos="400"/>
        </w:tabs>
        <w:bidi w:val="0"/>
        <w:jc w:val="left"/>
        <w:rPr>
          <w:rFonts w:hint="eastAsia" w:eastAsia="宋体"/>
          <w:sz w:val="30"/>
          <w:szCs w:val="30"/>
          <w:lang w:eastAsia="zh-CN"/>
        </w:rPr>
      </w:pPr>
      <w:r>
        <w:rPr>
          <w:rFonts w:hint="eastAsia" w:eastAsia="宋体"/>
          <w:sz w:val="30"/>
          <w:szCs w:val="30"/>
          <w:lang w:eastAsia="zh-CN"/>
        </w:rPr>
        <w:t>It is simple, self-evident, and a veritable fountain of confidence, hope, and joy.</w:t>
      </w:r>
    </w:p>
    <w:p w14:paraId="2EEFD280">
      <w:pPr>
        <w:tabs>
          <w:tab w:val="left" w:pos="400"/>
        </w:tabs>
        <w:bidi w:val="0"/>
        <w:jc w:val="left"/>
        <w:rPr>
          <w:rFonts w:hint="eastAsia" w:eastAsia="宋体"/>
          <w:sz w:val="30"/>
          <w:szCs w:val="30"/>
          <w:lang w:eastAsia="zh-CN"/>
        </w:rPr>
      </w:pPr>
    </w:p>
    <w:p w14:paraId="22E38ED2">
      <w:pPr>
        <w:tabs>
          <w:tab w:val="left" w:pos="400"/>
        </w:tabs>
        <w:bidi w:val="0"/>
        <w:jc w:val="left"/>
        <w:rPr>
          <w:rFonts w:hint="eastAsia" w:eastAsia="宋体"/>
          <w:sz w:val="30"/>
          <w:szCs w:val="30"/>
          <w:lang w:eastAsia="zh-CN"/>
        </w:rPr>
      </w:pPr>
      <w:r>
        <w:rPr>
          <w:rFonts w:hint="eastAsia" w:eastAsia="宋体"/>
          <w:sz w:val="30"/>
          <w:szCs w:val="30"/>
          <w:lang w:eastAsia="zh-CN"/>
        </w:rPr>
        <w:t>它简单、不言自明，并且是信心、盼望和喜乐的真正泉源。</w:t>
      </w:r>
    </w:p>
    <w:p w14:paraId="62C86025">
      <w:pPr>
        <w:tabs>
          <w:tab w:val="left" w:pos="400"/>
        </w:tabs>
        <w:bidi w:val="0"/>
        <w:jc w:val="left"/>
        <w:rPr>
          <w:rFonts w:hint="eastAsia" w:eastAsia="宋体"/>
          <w:sz w:val="30"/>
          <w:szCs w:val="30"/>
          <w:lang w:eastAsia="zh-CN"/>
        </w:rPr>
      </w:pPr>
    </w:p>
    <w:p w14:paraId="184E44F6">
      <w:pPr>
        <w:tabs>
          <w:tab w:val="left" w:pos="400"/>
        </w:tabs>
        <w:bidi w:val="0"/>
        <w:jc w:val="left"/>
        <w:rPr>
          <w:rFonts w:hint="eastAsia" w:eastAsia="宋体"/>
          <w:sz w:val="30"/>
          <w:szCs w:val="30"/>
          <w:lang w:eastAsia="zh-CN"/>
        </w:rPr>
      </w:pPr>
      <w:r>
        <w:rPr>
          <w:rFonts w:hint="eastAsia" w:eastAsia="宋体"/>
          <w:sz w:val="30"/>
          <w:szCs w:val="30"/>
          <w:lang w:eastAsia="zh-CN"/>
        </w:rPr>
        <w:t>I would sum it up as follows:</w:t>
      </w:r>
    </w:p>
    <w:p w14:paraId="4DC59372">
      <w:pPr>
        <w:tabs>
          <w:tab w:val="left" w:pos="400"/>
        </w:tabs>
        <w:bidi w:val="0"/>
        <w:jc w:val="left"/>
        <w:rPr>
          <w:rFonts w:hint="eastAsia" w:eastAsia="宋体"/>
          <w:sz w:val="30"/>
          <w:szCs w:val="30"/>
          <w:lang w:eastAsia="zh-CN"/>
        </w:rPr>
      </w:pPr>
    </w:p>
    <w:p w14:paraId="098730A8">
      <w:pPr>
        <w:tabs>
          <w:tab w:val="left" w:pos="400"/>
        </w:tabs>
        <w:bidi w:val="0"/>
        <w:jc w:val="left"/>
        <w:rPr>
          <w:rFonts w:hint="eastAsia" w:eastAsia="宋体"/>
          <w:sz w:val="30"/>
          <w:szCs w:val="30"/>
          <w:lang w:eastAsia="zh-CN"/>
        </w:rPr>
      </w:pPr>
      <w:r>
        <w:rPr>
          <w:rFonts w:hint="eastAsia" w:eastAsia="宋体"/>
          <w:sz w:val="30"/>
          <w:szCs w:val="30"/>
          <w:lang w:eastAsia="zh-CN"/>
        </w:rPr>
        <w:t>我将其总结如下：</w:t>
      </w:r>
    </w:p>
    <w:p w14:paraId="7B029C5C">
      <w:pPr>
        <w:tabs>
          <w:tab w:val="left" w:pos="400"/>
        </w:tabs>
        <w:bidi w:val="0"/>
        <w:jc w:val="left"/>
        <w:rPr>
          <w:rFonts w:hint="eastAsia" w:eastAsia="宋体"/>
          <w:sz w:val="30"/>
          <w:szCs w:val="30"/>
          <w:lang w:eastAsia="zh-CN"/>
        </w:rPr>
      </w:pPr>
    </w:p>
    <w:p w14:paraId="11F24E63">
      <w:pPr>
        <w:tabs>
          <w:tab w:val="left" w:pos="400"/>
        </w:tabs>
        <w:bidi w:val="0"/>
        <w:jc w:val="left"/>
        <w:rPr>
          <w:rFonts w:hint="eastAsia" w:eastAsia="宋体"/>
          <w:sz w:val="30"/>
          <w:szCs w:val="30"/>
          <w:lang w:eastAsia="zh-CN"/>
        </w:rPr>
      </w:pPr>
      <w:r>
        <w:rPr>
          <w:rFonts w:hint="eastAsia" w:eastAsia="宋体"/>
          <w:sz w:val="30"/>
          <w:szCs w:val="30"/>
          <w:lang w:eastAsia="zh-CN"/>
        </w:rPr>
        <w:t>First, with respect to all theological questions and controversies, we must anchor to Christ.</w:t>
      </w:r>
    </w:p>
    <w:p w14:paraId="5FDC1916">
      <w:pPr>
        <w:tabs>
          <w:tab w:val="left" w:pos="400"/>
        </w:tabs>
        <w:bidi w:val="0"/>
        <w:jc w:val="left"/>
        <w:rPr>
          <w:rFonts w:hint="eastAsia" w:eastAsia="宋体"/>
          <w:sz w:val="30"/>
          <w:szCs w:val="30"/>
          <w:lang w:eastAsia="zh-CN"/>
        </w:rPr>
      </w:pPr>
    </w:p>
    <w:p w14:paraId="7CDE63BC">
      <w:pPr>
        <w:tabs>
          <w:tab w:val="left" w:pos="400"/>
        </w:tabs>
        <w:bidi w:val="0"/>
        <w:jc w:val="left"/>
        <w:rPr>
          <w:rFonts w:hint="eastAsia" w:eastAsia="宋体"/>
          <w:sz w:val="30"/>
          <w:szCs w:val="30"/>
          <w:lang w:eastAsia="zh-CN"/>
        </w:rPr>
      </w:pPr>
      <w:r>
        <w:rPr>
          <w:rFonts w:hint="eastAsia" w:eastAsia="宋体"/>
          <w:sz w:val="30"/>
          <w:szCs w:val="30"/>
          <w:lang w:eastAsia="zh-CN"/>
        </w:rPr>
        <w:t>首先，关于所有神学问题和争议，我们必须锚定于基督。</w:t>
      </w:r>
    </w:p>
    <w:p w14:paraId="3C606CD7">
      <w:pPr>
        <w:tabs>
          <w:tab w:val="left" w:pos="400"/>
        </w:tabs>
        <w:bidi w:val="0"/>
        <w:jc w:val="left"/>
        <w:rPr>
          <w:rFonts w:hint="eastAsia" w:eastAsia="宋体"/>
          <w:sz w:val="30"/>
          <w:szCs w:val="30"/>
          <w:lang w:eastAsia="zh-CN"/>
        </w:rPr>
      </w:pPr>
    </w:p>
    <w:p w14:paraId="082B1B22">
      <w:pPr>
        <w:tabs>
          <w:tab w:val="left" w:pos="400"/>
        </w:tabs>
        <w:bidi w:val="0"/>
        <w:jc w:val="left"/>
        <w:rPr>
          <w:rFonts w:hint="eastAsia" w:eastAsia="宋体"/>
          <w:sz w:val="30"/>
          <w:szCs w:val="30"/>
          <w:lang w:eastAsia="zh-CN"/>
        </w:rPr>
      </w:pPr>
      <w:r>
        <w:rPr>
          <w:rFonts w:hint="eastAsia" w:eastAsia="宋体"/>
          <w:sz w:val="30"/>
          <w:szCs w:val="30"/>
          <w:lang w:eastAsia="zh-CN"/>
        </w:rPr>
        <w:t>Because he is God’s supreme Prophet and Teacher, because He is the giver and central theme of all Scripture, and because He is therefore the rightful interpreter of all Scripture, we must honor him by bringing all our theological questions and disputes to his feet.</w:t>
      </w:r>
    </w:p>
    <w:p w14:paraId="1A19F9F9">
      <w:pPr>
        <w:tabs>
          <w:tab w:val="left" w:pos="400"/>
        </w:tabs>
        <w:bidi w:val="0"/>
        <w:jc w:val="left"/>
        <w:rPr>
          <w:rFonts w:hint="eastAsia" w:eastAsia="宋体"/>
          <w:sz w:val="30"/>
          <w:szCs w:val="30"/>
          <w:lang w:eastAsia="zh-CN"/>
        </w:rPr>
      </w:pPr>
    </w:p>
    <w:p w14:paraId="3E0A2441">
      <w:pPr>
        <w:tabs>
          <w:tab w:val="left" w:pos="400"/>
        </w:tabs>
        <w:bidi w:val="0"/>
        <w:jc w:val="left"/>
        <w:rPr>
          <w:rFonts w:hint="eastAsia" w:eastAsia="宋体"/>
          <w:sz w:val="30"/>
          <w:szCs w:val="30"/>
          <w:lang w:eastAsia="zh-CN"/>
        </w:rPr>
      </w:pPr>
      <w:r>
        <w:rPr>
          <w:rFonts w:hint="eastAsia" w:eastAsia="宋体"/>
          <w:sz w:val="30"/>
          <w:szCs w:val="30"/>
          <w:lang w:eastAsia="zh-CN"/>
        </w:rPr>
        <w:t>因为祂是神至高的申言者和教师，因为祂是所有圣经的赐予者和中心主题，又因为祂因此是所有圣经合法的解释者，我们必须将我们所有的神学问题和争议带到祂脚前，以此来尊重祂。</w:t>
      </w:r>
    </w:p>
    <w:p w14:paraId="7D0C3FD6">
      <w:pPr>
        <w:tabs>
          <w:tab w:val="left" w:pos="400"/>
        </w:tabs>
        <w:bidi w:val="0"/>
        <w:jc w:val="left"/>
        <w:rPr>
          <w:rFonts w:hint="eastAsia" w:eastAsia="宋体"/>
          <w:sz w:val="30"/>
          <w:szCs w:val="30"/>
          <w:lang w:eastAsia="zh-CN"/>
        </w:rPr>
      </w:pPr>
    </w:p>
    <w:p w14:paraId="3FBCA591">
      <w:pPr>
        <w:tabs>
          <w:tab w:val="left" w:pos="400"/>
        </w:tabs>
        <w:bidi w:val="0"/>
        <w:jc w:val="left"/>
        <w:rPr>
          <w:rFonts w:hint="eastAsia" w:eastAsia="宋体"/>
          <w:sz w:val="30"/>
          <w:szCs w:val="30"/>
          <w:lang w:eastAsia="zh-CN"/>
        </w:rPr>
      </w:pPr>
      <w:r>
        <w:rPr>
          <w:rFonts w:hint="eastAsia" w:eastAsia="宋体"/>
          <w:sz w:val="30"/>
          <w:szCs w:val="30"/>
          <w:lang w:eastAsia="zh-CN"/>
        </w:rPr>
        <w:t>In actual practice this means that with respect to any given doctrine we must first consult the Gospels, wherein Jesus began to teach (Acts 1:1); where he first planted the seeds of God’s “true truth.”</w:t>
      </w:r>
    </w:p>
    <w:p w14:paraId="3A3BE2C9">
      <w:pPr>
        <w:tabs>
          <w:tab w:val="left" w:pos="400"/>
        </w:tabs>
        <w:bidi w:val="0"/>
        <w:jc w:val="left"/>
        <w:rPr>
          <w:rFonts w:hint="eastAsia" w:eastAsia="宋体"/>
          <w:sz w:val="30"/>
          <w:szCs w:val="30"/>
          <w:lang w:eastAsia="zh-CN"/>
        </w:rPr>
      </w:pPr>
    </w:p>
    <w:p w14:paraId="03586A9A">
      <w:pPr>
        <w:tabs>
          <w:tab w:val="left" w:pos="400"/>
        </w:tabs>
        <w:bidi w:val="0"/>
        <w:jc w:val="left"/>
        <w:rPr>
          <w:rFonts w:hint="eastAsia" w:eastAsia="宋体"/>
          <w:sz w:val="30"/>
          <w:szCs w:val="30"/>
          <w:lang w:eastAsia="zh-CN"/>
        </w:rPr>
      </w:pPr>
      <w:r>
        <w:rPr>
          <w:rFonts w:hint="eastAsia" w:eastAsia="宋体"/>
          <w:sz w:val="30"/>
          <w:szCs w:val="30"/>
          <w:lang w:eastAsia="zh-CN"/>
        </w:rPr>
        <w:t>在实际操作中，这意味着关于任何给定的教义，我们都必须首先查考福音书，其中耶稣开始教导（徒 1:1）；在那里祂首先种下了神“真实际”的种子。</w:t>
      </w:r>
    </w:p>
    <w:p w14:paraId="48E2CE39">
      <w:pPr>
        <w:tabs>
          <w:tab w:val="left" w:pos="400"/>
        </w:tabs>
        <w:bidi w:val="0"/>
        <w:jc w:val="left"/>
        <w:rPr>
          <w:rFonts w:hint="eastAsia" w:eastAsia="宋体"/>
          <w:sz w:val="30"/>
          <w:szCs w:val="30"/>
          <w:lang w:eastAsia="zh-CN"/>
        </w:rPr>
      </w:pPr>
    </w:p>
    <w:p w14:paraId="2A80841B">
      <w:pPr>
        <w:tabs>
          <w:tab w:val="left" w:pos="400"/>
        </w:tabs>
        <w:bidi w:val="0"/>
        <w:jc w:val="left"/>
        <w:rPr>
          <w:rFonts w:hint="eastAsia" w:eastAsia="宋体"/>
          <w:sz w:val="30"/>
          <w:szCs w:val="30"/>
          <w:lang w:eastAsia="zh-CN"/>
        </w:rPr>
      </w:pPr>
      <w:r>
        <w:rPr>
          <w:rFonts w:hint="eastAsia" w:eastAsia="宋体"/>
          <w:sz w:val="30"/>
          <w:szCs w:val="30"/>
          <w:lang w:eastAsia="zh-CN"/>
        </w:rPr>
        <w:t>Next, we must turn to the book of Acts, where he continued to teach; where we get to listen in on how he spoke through the apostles as they proclaimed God’s true truth in the early days of the Church.</w:t>
      </w:r>
    </w:p>
    <w:p w14:paraId="67B1EB89">
      <w:pPr>
        <w:tabs>
          <w:tab w:val="left" w:pos="400"/>
        </w:tabs>
        <w:bidi w:val="0"/>
        <w:jc w:val="left"/>
        <w:rPr>
          <w:rFonts w:hint="eastAsia" w:eastAsia="宋体"/>
          <w:sz w:val="30"/>
          <w:szCs w:val="30"/>
          <w:lang w:eastAsia="zh-CN"/>
        </w:rPr>
      </w:pPr>
    </w:p>
    <w:p w14:paraId="216BF6A4">
      <w:pPr>
        <w:tabs>
          <w:tab w:val="left" w:pos="400"/>
        </w:tabs>
        <w:bidi w:val="0"/>
        <w:jc w:val="left"/>
        <w:rPr>
          <w:rFonts w:hint="eastAsia" w:eastAsia="宋体"/>
          <w:sz w:val="30"/>
          <w:szCs w:val="30"/>
          <w:lang w:eastAsia="zh-CN"/>
        </w:rPr>
      </w:pPr>
      <w:r>
        <w:rPr>
          <w:rFonts w:hint="eastAsia" w:eastAsia="宋体"/>
          <w:sz w:val="30"/>
          <w:szCs w:val="30"/>
          <w:lang w:eastAsia="zh-CN"/>
        </w:rPr>
        <w:t>接着，我们必须转向使徒行传，在那里祂继续教导；在那里我们得以听见祂如何借着使徒们，在教会早期宣讲神的真实际。</w:t>
      </w:r>
    </w:p>
    <w:p w14:paraId="2B7A4F28">
      <w:pPr>
        <w:tabs>
          <w:tab w:val="left" w:pos="400"/>
        </w:tabs>
        <w:bidi w:val="0"/>
        <w:jc w:val="left"/>
        <w:rPr>
          <w:rFonts w:hint="eastAsia" w:eastAsia="宋体"/>
          <w:sz w:val="30"/>
          <w:szCs w:val="30"/>
          <w:lang w:eastAsia="zh-CN"/>
        </w:rPr>
      </w:pPr>
    </w:p>
    <w:p w14:paraId="6B14BA7E">
      <w:pPr>
        <w:tabs>
          <w:tab w:val="left" w:pos="400"/>
        </w:tabs>
        <w:bidi w:val="0"/>
        <w:jc w:val="left"/>
        <w:rPr>
          <w:rFonts w:hint="eastAsia" w:eastAsia="宋体"/>
          <w:sz w:val="30"/>
          <w:szCs w:val="30"/>
          <w:lang w:eastAsia="zh-CN"/>
        </w:rPr>
      </w:pPr>
      <w:r>
        <w:rPr>
          <w:rFonts w:hint="eastAsia" w:eastAsia="宋体"/>
          <w:sz w:val="30"/>
          <w:szCs w:val="30"/>
          <w:lang w:eastAsia="zh-CN"/>
        </w:rPr>
        <w:t>Finally, we must come to the epistles, where the Teacher completed his special revelation of God’s true truth; where he brought all aspects of the redemptive mystery of God out into the blazing light of the noon day sun.</w:t>
      </w:r>
    </w:p>
    <w:p w14:paraId="3829F2BC">
      <w:pPr>
        <w:tabs>
          <w:tab w:val="left" w:pos="400"/>
        </w:tabs>
        <w:bidi w:val="0"/>
        <w:jc w:val="left"/>
        <w:rPr>
          <w:rFonts w:hint="eastAsia" w:eastAsia="宋体"/>
          <w:sz w:val="30"/>
          <w:szCs w:val="30"/>
          <w:lang w:eastAsia="zh-CN"/>
        </w:rPr>
      </w:pPr>
    </w:p>
    <w:p w14:paraId="6F2CDA85">
      <w:pPr>
        <w:tabs>
          <w:tab w:val="left" w:pos="400"/>
        </w:tabs>
        <w:bidi w:val="0"/>
        <w:jc w:val="left"/>
        <w:rPr>
          <w:rFonts w:hint="eastAsia" w:eastAsia="宋体"/>
          <w:sz w:val="30"/>
          <w:szCs w:val="30"/>
          <w:lang w:eastAsia="zh-CN"/>
        </w:rPr>
      </w:pPr>
      <w:r>
        <w:rPr>
          <w:rFonts w:hint="eastAsia" w:eastAsia="宋体"/>
          <w:sz w:val="30"/>
          <w:szCs w:val="30"/>
          <w:lang w:eastAsia="zh-CN"/>
        </w:rPr>
        <w:t>最后，我们必须来到书信，在那里这位教师完成了祂对神真实际的特殊启示；在那里祂将神救赎奥秘的所有方面都带到正午烈日的光中。</w:t>
      </w:r>
    </w:p>
    <w:p w14:paraId="447E6848">
      <w:pPr>
        <w:tabs>
          <w:tab w:val="left" w:pos="400"/>
        </w:tabs>
        <w:bidi w:val="0"/>
        <w:jc w:val="left"/>
        <w:rPr>
          <w:rFonts w:hint="eastAsia" w:eastAsia="宋体"/>
          <w:sz w:val="30"/>
          <w:szCs w:val="30"/>
          <w:lang w:eastAsia="zh-CN"/>
        </w:rPr>
      </w:pPr>
    </w:p>
    <w:p w14:paraId="16B8C24B">
      <w:pPr>
        <w:tabs>
          <w:tab w:val="left" w:pos="400"/>
        </w:tabs>
        <w:bidi w:val="0"/>
        <w:jc w:val="left"/>
        <w:rPr>
          <w:rFonts w:hint="eastAsia" w:eastAsia="宋体"/>
          <w:sz w:val="30"/>
          <w:szCs w:val="30"/>
          <w:lang w:eastAsia="zh-CN"/>
        </w:rPr>
      </w:pPr>
      <w:r>
        <w:rPr>
          <w:rFonts w:hint="eastAsia" w:eastAsia="宋体"/>
          <w:sz w:val="30"/>
          <w:szCs w:val="30"/>
          <w:lang w:eastAsia="zh-CN"/>
        </w:rPr>
        <w:t>Now apply this to eschatology.</w:t>
      </w:r>
    </w:p>
    <w:p w14:paraId="3407FA81">
      <w:pPr>
        <w:tabs>
          <w:tab w:val="left" w:pos="400"/>
        </w:tabs>
        <w:bidi w:val="0"/>
        <w:jc w:val="left"/>
        <w:rPr>
          <w:rFonts w:hint="eastAsia" w:eastAsia="宋体"/>
          <w:sz w:val="30"/>
          <w:szCs w:val="30"/>
          <w:lang w:eastAsia="zh-CN"/>
        </w:rPr>
      </w:pPr>
    </w:p>
    <w:p w14:paraId="00E97F3F">
      <w:pPr>
        <w:tabs>
          <w:tab w:val="left" w:pos="400"/>
        </w:tabs>
        <w:bidi w:val="0"/>
        <w:jc w:val="left"/>
        <w:rPr>
          <w:rFonts w:hint="eastAsia" w:eastAsia="宋体"/>
          <w:sz w:val="30"/>
          <w:szCs w:val="30"/>
          <w:lang w:eastAsia="zh-CN"/>
        </w:rPr>
      </w:pPr>
      <w:r>
        <w:rPr>
          <w:rFonts w:hint="eastAsia" w:eastAsia="宋体"/>
          <w:sz w:val="30"/>
          <w:szCs w:val="30"/>
          <w:lang w:eastAsia="zh-CN"/>
        </w:rPr>
        <w:t>现在将此应用于末世论。</w:t>
      </w:r>
    </w:p>
    <w:p w14:paraId="2C6CDD28">
      <w:pPr>
        <w:tabs>
          <w:tab w:val="left" w:pos="400"/>
        </w:tabs>
        <w:bidi w:val="0"/>
        <w:jc w:val="left"/>
        <w:rPr>
          <w:rFonts w:hint="eastAsia" w:eastAsia="宋体"/>
          <w:sz w:val="30"/>
          <w:szCs w:val="30"/>
          <w:lang w:eastAsia="zh-CN"/>
        </w:rPr>
      </w:pPr>
    </w:p>
    <w:p w14:paraId="449D6765">
      <w:pPr>
        <w:tabs>
          <w:tab w:val="left" w:pos="400"/>
        </w:tabs>
        <w:bidi w:val="0"/>
        <w:jc w:val="left"/>
        <w:rPr>
          <w:rFonts w:hint="eastAsia" w:eastAsia="宋体"/>
          <w:sz w:val="30"/>
          <w:szCs w:val="30"/>
          <w:lang w:eastAsia="zh-CN"/>
        </w:rPr>
      </w:pPr>
      <w:r>
        <w:rPr>
          <w:rFonts w:hint="eastAsia" w:eastAsia="宋体"/>
          <w:sz w:val="30"/>
          <w:szCs w:val="30"/>
          <w:lang w:eastAsia="zh-CN"/>
        </w:rPr>
        <w:t>If we are seeking God’s eschatological truth, surely we must not turn first to OT typology, or to OT Kingdom prophecies, or to the Revelation.</w:t>
      </w:r>
    </w:p>
    <w:p w14:paraId="3D92D788">
      <w:pPr>
        <w:tabs>
          <w:tab w:val="left" w:pos="400"/>
        </w:tabs>
        <w:bidi w:val="0"/>
        <w:jc w:val="left"/>
        <w:rPr>
          <w:rFonts w:hint="eastAsia" w:eastAsia="宋体"/>
          <w:sz w:val="30"/>
          <w:szCs w:val="30"/>
          <w:lang w:eastAsia="zh-CN"/>
        </w:rPr>
      </w:pPr>
    </w:p>
    <w:p w14:paraId="1C6469A9">
      <w:pPr>
        <w:tabs>
          <w:tab w:val="left" w:pos="400"/>
        </w:tabs>
        <w:bidi w:val="0"/>
        <w:jc w:val="left"/>
        <w:rPr>
          <w:rFonts w:hint="eastAsia" w:eastAsia="宋体"/>
          <w:sz w:val="30"/>
          <w:szCs w:val="30"/>
          <w:lang w:eastAsia="zh-CN"/>
        </w:rPr>
      </w:pPr>
      <w:r>
        <w:rPr>
          <w:rFonts w:hint="eastAsia" w:eastAsia="宋体"/>
          <w:sz w:val="30"/>
          <w:szCs w:val="30"/>
          <w:lang w:eastAsia="zh-CN"/>
        </w:rPr>
        <w:t>如果我们正在寻求神的末世论真理，我们肯定不能首先转向旧约的预表论，或旧约的国度预言，或启示录。</w:t>
      </w:r>
    </w:p>
    <w:p w14:paraId="5429C33C">
      <w:pPr>
        <w:tabs>
          <w:tab w:val="left" w:pos="400"/>
        </w:tabs>
        <w:bidi w:val="0"/>
        <w:jc w:val="left"/>
        <w:rPr>
          <w:rFonts w:hint="eastAsia" w:eastAsia="宋体"/>
          <w:sz w:val="30"/>
          <w:szCs w:val="30"/>
          <w:lang w:eastAsia="zh-CN"/>
        </w:rPr>
      </w:pPr>
    </w:p>
    <w:p w14:paraId="075D0F66">
      <w:pPr>
        <w:tabs>
          <w:tab w:val="left" w:pos="400"/>
        </w:tabs>
        <w:bidi w:val="0"/>
        <w:jc w:val="left"/>
        <w:rPr>
          <w:rFonts w:hint="eastAsia" w:eastAsia="宋体"/>
          <w:sz w:val="30"/>
          <w:szCs w:val="30"/>
          <w:lang w:eastAsia="zh-CN"/>
        </w:rPr>
      </w:pPr>
      <w:r>
        <w:rPr>
          <w:rFonts w:hint="eastAsia" w:eastAsia="宋体"/>
          <w:sz w:val="30"/>
          <w:szCs w:val="30"/>
          <w:lang w:eastAsia="zh-CN"/>
        </w:rPr>
        <w:t>No, we must turn first to the threefold Didactic New Testament; to the gospels, the book of Acts, and the epistles.</w:t>
      </w:r>
    </w:p>
    <w:p w14:paraId="0EF325DD">
      <w:pPr>
        <w:tabs>
          <w:tab w:val="left" w:pos="400"/>
        </w:tabs>
        <w:bidi w:val="0"/>
        <w:jc w:val="left"/>
        <w:rPr>
          <w:rFonts w:hint="eastAsia" w:eastAsia="宋体"/>
          <w:sz w:val="30"/>
          <w:szCs w:val="30"/>
          <w:lang w:eastAsia="zh-CN"/>
        </w:rPr>
      </w:pPr>
    </w:p>
    <w:p w14:paraId="7BBE3F85">
      <w:pPr>
        <w:tabs>
          <w:tab w:val="left" w:pos="400"/>
        </w:tabs>
        <w:bidi w:val="0"/>
        <w:jc w:val="left"/>
        <w:rPr>
          <w:rFonts w:hint="eastAsia" w:eastAsia="宋体"/>
          <w:sz w:val="30"/>
          <w:szCs w:val="30"/>
          <w:lang w:eastAsia="zh-CN"/>
        </w:rPr>
      </w:pPr>
      <w:r>
        <w:rPr>
          <w:rFonts w:hint="eastAsia" w:eastAsia="宋体"/>
          <w:sz w:val="30"/>
          <w:szCs w:val="30"/>
          <w:lang w:eastAsia="zh-CN"/>
        </w:rPr>
        <w:t>不，我们必须首先转向三重教导性的新约；转向福音书、使徒行传和书信。</w:t>
      </w:r>
    </w:p>
    <w:p w14:paraId="6526706B">
      <w:pPr>
        <w:tabs>
          <w:tab w:val="left" w:pos="400"/>
        </w:tabs>
        <w:bidi w:val="0"/>
        <w:jc w:val="left"/>
        <w:rPr>
          <w:rFonts w:hint="eastAsia" w:eastAsia="宋体"/>
          <w:sz w:val="30"/>
          <w:szCs w:val="30"/>
          <w:lang w:eastAsia="zh-CN"/>
        </w:rPr>
      </w:pPr>
    </w:p>
    <w:p w14:paraId="61D65CA2">
      <w:pPr>
        <w:tabs>
          <w:tab w:val="left" w:pos="400"/>
        </w:tabs>
        <w:bidi w:val="0"/>
        <w:jc w:val="left"/>
        <w:rPr>
          <w:rFonts w:hint="eastAsia" w:eastAsia="宋体"/>
          <w:sz w:val="30"/>
          <w:szCs w:val="30"/>
          <w:lang w:eastAsia="zh-CN"/>
        </w:rPr>
      </w:pPr>
      <w:r>
        <w:rPr>
          <w:rFonts w:hint="eastAsia" w:eastAsia="宋体"/>
          <w:sz w:val="30"/>
          <w:szCs w:val="30"/>
          <w:lang w:eastAsia="zh-CN"/>
        </w:rPr>
        <w:t>Moreover, in thus conferring with Christ, we are wise always to remember that in this, or any other theological quest, the epistles stand as the final court of appeal in all debates.</w:t>
      </w:r>
    </w:p>
    <w:p w14:paraId="7D45A13E">
      <w:pPr>
        <w:tabs>
          <w:tab w:val="left" w:pos="400"/>
        </w:tabs>
        <w:bidi w:val="0"/>
        <w:jc w:val="left"/>
        <w:rPr>
          <w:rFonts w:hint="eastAsia" w:eastAsia="宋体"/>
          <w:sz w:val="30"/>
          <w:szCs w:val="30"/>
          <w:lang w:eastAsia="zh-CN"/>
        </w:rPr>
      </w:pPr>
    </w:p>
    <w:p w14:paraId="11B7311E">
      <w:pPr>
        <w:tabs>
          <w:tab w:val="left" w:pos="400"/>
        </w:tabs>
        <w:bidi w:val="0"/>
        <w:jc w:val="left"/>
        <w:rPr>
          <w:rFonts w:hint="eastAsia" w:eastAsia="宋体"/>
          <w:sz w:val="30"/>
          <w:szCs w:val="30"/>
          <w:lang w:eastAsia="zh-CN"/>
        </w:rPr>
      </w:pPr>
      <w:r>
        <w:rPr>
          <w:rFonts w:hint="eastAsia" w:eastAsia="宋体"/>
          <w:sz w:val="30"/>
          <w:szCs w:val="30"/>
          <w:lang w:eastAsia="zh-CN"/>
        </w:rPr>
        <w:t>此外，在如此与基督商议时，我们明智的做法是永远记住，在这次或任何其他神学探索中，书信在所有辩论中都担当最终上诉法庭的角色。</w:t>
      </w:r>
    </w:p>
    <w:p w14:paraId="542031B1">
      <w:pPr>
        <w:tabs>
          <w:tab w:val="left" w:pos="400"/>
        </w:tabs>
        <w:bidi w:val="0"/>
        <w:jc w:val="left"/>
        <w:rPr>
          <w:rFonts w:hint="eastAsia" w:eastAsia="宋体"/>
          <w:sz w:val="30"/>
          <w:szCs w:val="30"/>
          <w:lang w:eastAsia="zh-CN"/>
        </w:rPr>
      </w:pPr>
    </w:p>
    <w:p w14:paraId="3442581F">
      <w:pPr>
        <w:tabs>
          <w:tab w:val="left" w:pos="400"/>
        </w:tabs>
        <w:bidi w:val="0"/>
        <w:jc w:val="left"/>
        <w:rPr>
          <w:rFonts w:hint="eastAsia" w:eastAsia="宋体"/>
          <w:sz w:val="30"/>
          <w:szCs w:val="30"/>
          <w:lang w:eastAsia="zh-CN"/>
        </w:rPr>
      </w:pPr>
      <w:r>
        <w:rPr>
          <w:rFonts w:hint="eastAsia" w:eastAsia="宋体"/>
          <w:sz w:val="30"/>
          <w:szCs w:val="30"/>
          <w:lang w:eastAsia="zh-CN"/>
        </w:rPr>
        <w:t>For here Christ fully and finally unveils all mysteries in their didactic form.</w:t>
      </w:r>
    </w:p>
    <w:p w14:paraId="0F6AD45B">
      <w:pPr>
        <w:tabs>
          <w:tab w:val="left" w:pos="400"/>
        </w:tabs>
        <w:bidi w:val="0"/>
        <w:jc w:val="left"/>
        <w:rPr>
          <w:rFonts w:hint="eastAsia" w:eastAsia="宋体"/>
          <w:sz w:val="30"/>
          <w:szCs w:val="30"/>
          <w:lang w:eastAsia="zh-CN"/>
        </w:rPr>
      </w:pPr>
    </w:p>
    <w:p w14:paraId="41593399">
      <w:pPr>
        <w:tabs>
          <w:tab w:val="left" w:pos="400"/>
        </w:tabs>
        <w:bidi w:val="0"/>
        <w:jc w:val="left"/>
        <w:rPr>
          <w:rFonts w:hint="eastAsia" w:eastAsia="宋体"/>
          <w:sz w:val="30"/>
          <w:szCs w:val="30"/>
          <w:lang w:eastAsia="zh-CN"/>
        </w:rPr>
      </w:pPr>
      <w:r>
        <w:rPr>
          <w:rFonts w:hint="eastAsia" w:eastAsia="宋体"/>
          <w:sz w:val="30"/>
          <w:szCs w:val="30"/>
          <w:lang w:eastAsia="zh-CN"/>
        </w:rPr>
        <w:t>因为在这里，基督以其教导的形式，完全且最终地揭示了所有的奥秘。</w:t>
      </w:r>
    </w:p>
    <w:p w14:paraId="6E2631CA">
      <w:pPr>
        <w:tabs>
          <w:tab w:val="left" w:pos="400"/>
        </w:tabs>
        <w:bidi w:val="0"/>
        <w:jc w:val="left"/>
        <w:rPr>
          <w:rFonts w:hint="eastAsia" w:eastAsia="宋体"/>
          <w:sz w:val="30"/>
          <w:szCs w:val="30"/>
          <w:lang w:eastAsia="zh-CN"/>
        </w:rPr>
      </w:pPr>
    </w:p>
    <w:p w14:paraId="02AC936A">
      <w:pPr>
        <w:tabs>
          <w:tab w:val="left" w:pos="400"/>
        </w:tabs>
        <w:bidi w:val="0"/>
        <w:jc w:val="left"/>
        <w:rPr>
          <w:rFonts w:hint="eastAsia" w:eastAsia="宋体"/>
          <w:sz w:val="30"/>
          <w:szCs w:val="30"/>
          <w:lang w:eastAsia="zh-CN"/>
        </w:rPr>
      </w:pPr>
      <w:r>
        <w:rPr>
          <w:rFonts w:hint="eastAsia" w:eastAsia="宋体"/>
          <w:sz w:val="30"/>
          <w:szCs w:val="30"/>
          <w:lang w:eastAsia="zh-CN"/>
        </w:rPr>
        <w:t>Here he speaks plainly, using no figure speech (John 16:29, Eph. 1:8-12, 3:1f).</w:t>
      </w:r>
    </w:p>
    <w:p w14:paraId="4C8AE4E5">
      <w:pPr>
        <w:tabs>
          <w:tab w:val="left" w:pos="400"/>
        </w:tabs>
        <w:bidi w:val="0"/>
        <w:jc w:val="left"/>
        <w:rPr>
          <w:rFonts w:hint="eastAsia" w:eastAsia="宋体"/>
          <w:sz w:val="30"/>
          <w:szCs w:val="30"/>
          <w:lang w:eastAsia="zh-CN"/>
        </w:rPr>
      </w:pPr>
    </w:p>
    <w:p w14:paraId="340D1762">
      <w:pPr>
        <w:tabs>
          <w:tab w:val="left" w:pos="400"/>
        </w:tabs>
        <w:bidi w:val="0"/>
        <w:jc w:val="left"/>
        <w:rPr>
          <w:rFonts w:hint="eastAsia" w:eastAsia="宋体"/>
          <w:sz w:val="30"/>
          <w:szCs w:val="30"/>
          <w:lang w:eastAsia="zh-CN"/>
        </w:rPr>
      </w:pPr>
      <w:r>
        <w:rPr>
          <w:rFonts w:hint="eastAsia" w:eastAsia="宋体"/>
          <w:sz w:val="30"/>
          <w:szCs w:val="30"/>
          <w:lang w:eastAsia="zh-CN"/>
        </w:rPr>
        <w:t>在这里祂明明地说话，不用比喻（约 16:29, 弗 1:8-12, 3:1及以下）。</w:t>
      </w:r>
    </w:p>
    <w:p w14:paraId="3278B696">
      <w:pPr>
        <w:tabs>
          <w:tab w:val="left" w:pos="400"/>
        </w:tabs>
        <w:bidi w:val="0"/>
        <w:jc w:val="left"/>
        <w:rPr>
          <w:rFonts w:hint="eastAsia" w:eastAsia="宋体"/>
          <w:sz w:val="30"/>
          <w:szCs w:val="30"/>
          <w:lang w:eastAsia="zh-CN"/>
        </w:rPr>
      </w:pPr>
    </w:p>
    <w:p w14:paraId="30568CAE">
      <w:pPr>
        <w:tabs>
          <w:tab w:val="left" w:pos="400"/>
        </w:tabs>
        <w:bidi w:val="0"/>
        <w:jc w:val="left"/>
        <w:rPr>
          <w:rFonts w:hint="eastAsia" w:eastAsia="宋体"/>
          <w:sz w:val="30"/>
          <w:szCs w:val="30"/>
          <w:lang w:eastAsia="zh-CN"/>
        </w:rPr>
      </w:pPr>
      <w:r>
        <w:rPr>
          <w:rFonts w:hint="eastAsia" w:eastAsia="宋体"/>
          <w:sz w:val="30"/>
          <w:szCs w:val="30"/>
          <w:lang w:eastAsia="zh-CN"/>
        </w:rPr>
        <w:t>Here he places the key to true truth in his follower’s hands, so that henceforth they can understand the more symbolic portions of Scripture, the veiled revelations found not only in the OT, but also in some of Jesus’ own sayings, and in the Revelation, as well.</w:t>
      </w:r>
    </w:p>
    <w:p w14:paraId="4D0D38B9">
      <w:pPr>
        <w:tabs>
          <w:tab w:val="left" w:pos="400"/>
        </w:tabs>
        <w:bidi w:val="0"/>
        <w:jc w:val="left"/>
        <w:rPr>
          <w:rFonts w:hint="eastAsia" w:eastAsia="宋体"/>
          <w:sz w:val="30"/>
          <w:szCs w:val="30"/>
          <w:lang w:eastAsia="zh-CN"/>
        </w:rPr>
      </w:pPr>
    </w:p>
    <w:p w14:paraId="6109FBF9">
      <w:pPr>
        <w:tabs>
          <w:tab w:val="left" w:pos="400"/>
        </w:tabs>
        <w:bidi w:val="0"/>
        <w:jc w:val="left"/>
        <w:rPr>
          <w:rFonts w:hint="eastAsia" w:eastAsia="宋体"/>
          <w:sz w:val="30"/>
          <w:szCs w:val="30"/>
          <w:lang w:eastAsia="zh-CN"/>
        </w:rPr>
      </w:pPr>
      <w:r>
        <w:rPr>
          <w:rFonts w:hint="eastAsia" w:eastAsia="宋体"/>
          <w:sz w:val="30"/>
          <w:szCs w:val="30"/>
          <w:lang w:eastAsia="zh-CN"/>
        </w:rPr>
        <w:t>在这里祂将通往真实际的钥匙放在祂跟随者的手中，好叫他们从此能明白圣经中更具象征性的部分，那些不仅在旧约中，也在耶稣自己的一些话语中，以及在启示录中找到的蒙着帕子的启示。</w:t>
      </w:r>
    </w:p>
    <w:p w14:paraId="3D4162D4">
      <w:pPr>
        <w:tabs>
          <w:tab w:val="left" w:pos="400"/>
        </w:tabs>
        <w:bidi w:val="0"/>
        <w:jc w:val="left"/>
        <w:rPr>
          <w:rFonts w:hint="eastAsia" w:eastAsia="宋体"/>
          <w:sz w:val="30"/>
          <w:szCs w:val="30"/>
          <w:lang w:eastAsia="zh-CN"/>
        </w:rPr>
      </w:pPr>
    </w:p>
    <w:p w14:paraId="525008E2">
      <w:pPr>
        <w:tabs>
          <w:tab w:val="left" w:pos="400"/>
        </w:tabs>
        <w:bidi w:val="0"/>
        <w:jc w:val="left"/>
        <w:rPr>
          <w:rFonts w:hint="eastAsia" w:eastAsia="宋体"/>
          <w:sz w:val="30"/>
          <w:szCs w:val="30"/>
          <w:lang w:eastAsia="zh-CN"/>
        </w:rPr>
      </w:pPr>
      <w:r>
        <w:rPr>
          <w:rFonts w:hint="eastAsia" w:eastAsia="宋体"/>
          <w:sz w:val="30"/>
          <w:szCs w:val="30"/>
          <w:lang w:eastAsia="zh-CN"/>
        </w:rPr>
        <w:t>In sum, by anchoring to Christ in the Didactic New Testament—and especially in the epistles—we receive from him the Master Key to all Scripture, thus ensuring that we will not wander far from its true teachings.</w:t>
      </w:r>
    </w:p>
    <w:p w14:paraId="2CD1D5F6">
      <w:pPr>
        <w:tabs>
          <w:tab w:val="left" w:pos="400"/>
        </w:tabs>
        <w:bidi w:val="0"/>
        <w:jc w:val="left"/>
        <w:rPr>
          <w:rFonts w:hint="eastAsia" w:eastAsia="宋体"/>
          <w:sz w:val="30"/>
          <w:szCs w:val="30"/>
          <w:lang w:eastAsia="zh-CN"/>
        </w:rPr>
      </w:pPr>
    </w:p>
    <w:p w14:paraId="79DE82AC">
      <w:pPr>
        <w:tabs>
          <w:tab w:val="left" w:pos="400"/>
        </w:tabs>
        <w:bidi w:val="0"/>
        <w:jc w:val="left"/>
        <w:rPr>
          <w:rFonts w:hint="eastAsia" w:eastAsia="宋体"/>
          <w:sz w:val="30"/>
          <w:szCs w:val="30"/>
          <w:lang w:eastAsia="zh-CN"/>
        </w:rPr>
      </w:pPr>
      <w:r>
        <w:rPr>
          <w:rFonts w:hint="eastAsia" w:eastAsia="宋体"/>
          <w:sz w:val="30"/>
          <w:szCs w:val="30"/>
          <w:lang w:eastAsia="zh-CN"/>
        </w:rPr>
        <w:t>总之，通过在教导性的新约中——特别是在书信中——锚定于基督，我们从祂那里领受了通往所有圣经的万能钥匙，从而确保我们不会远离其真实的教导。</w:t>
      </w:r>
    </w:p>
    <w:p w14:paraId="78DF0A1A">
      <w:pPr>
        <w:tabs>
          <w:tab w:val="left" w:pos="400"/>
        </w:tabs>
        <w:bidi w:val="0"/>
        <w:jc w:val="left"/>
        <w:rPr>
          <w:rFonts w:hint="eastAsia" w:eastAsia="宋体"/>
          <w:sz w:val="30"/>
          <w:szCs w:val="30"/>
          <w:lang w:eastAsia="zh-CN"/>
        </w:rPr>
      </w:pPr>
    </w:p>
    <w:p w14:paraId="5CD3EDD7">
      <w:pPr>
        <w:tabs>
          <w:tab w:val="left" w:pos="400"/>
        </w:tabs>
        <w:bidi w:val="0"/>
        <w:jc w:val="left"/>
        <w:rPr>
          <w:rFonts w:hint="eastAsia" w:eastAsia="宋体"/>
          <w:sz w:val="30"/>
          <w:szCs w:val="30"/>
          <w:lang w:eastAsia="zh-CN"/>
        </w:rPr>
      </w:pPr>
      <w:r>
        <w:rPr>
          <w:rFonts w:hint="eastAsia" w:eastAsia="宋体"/>
          <w:sz w:val="30"/>
          <w:szCs w:val="30"/>
          <w:lang w:eastAsia="zh-CN"/>
        </w:rPr>
        <w:t>Secondly, with respect to eschatology, we must bring this precious Key to the four closed doors presently standing before the modern evangelical Church.</w:t>
      </w:r>
    </w:p>
    <w:p w14:paraId="74503025">
      <w:pPr>
        <w:tabs>
          <w:tab w:val="left" w:pos="400"/>
        </w:tabs>
        <w:bidi w:val="0"/>
        <w:jc w:val="left"/>
        <w:rPr>
          <w:rFonts w:hint="eastAsia" w:eastAsia="宋体"/>
          <w:sz w:val="30"/>
          <w:szCs w:val="30"/>
          <w:lang w:eastAsia="zh-CN"/>
        </w:rPr>
      </w:pPr>
    </w:p>
    <w:p w14:paraId="663AF334">
      <w:pPr>
        <w:tabs>
          <w:tab w:val="left" w:pos="400"/>
        </w:tabs>
        <w:bidi w:val="0"/>
        <w:jc w:val="left"/>
        <w:rPr>
          <w:rFonts w:hint="eastAsia" w:eastAsia="宋体"/>
          <w:sz w:val="30"/>
          <w:szCs w:val="30"/>
          <w:lang w:eastAsia="zh-CN"/>
        </w:rPr>
      </w:pPr>
      <w:r>
        <w:rPr>
          <w:rFonts w:hint="eastAsia" w:eastAsia="宋体"/>
          <w:sz w:val="30"/>
          <w:szCs w:val="30"/>
          <w:lang w:eastAsia="zh-CN"/>
        </w:rPr>
        <w:t>其次，关于末世论，我们必须将这把宝贵的钥匙带到现今福音派教会面前的四扇关闭的门前。</w:t>
      </w:r>
    </w:p>
    <w:p w14:paraId="50320A94">
      <w:pPr>
        <w:tabs>
          <w:tab w:val="left" w:pos="400"/>
        </w:tabs>
        <w:bidi w:val="0"/>
        <w:jc w:val="left"/>
        <w:rPr>
          <w:rFonts w:hint="eastAsia" w:eastAsia="宋体"/>
          <w:sz w:val="30"/>
          <w:szCs w:val="30"/>
          <w:lang w:eastAsia="zh-CN"/>
        </w:rPr>
      </w:pPr>
    </w:p>
    <w:p w14:paraId="63EE33CF">
      <w:pPr>
        <w:tabs>
          <w:tab w:val="left" w:pos="400"/>
        </w:tabs>
        <w:bidi w:val="0"/>
        <w:jc w:val="left"/>
        <w:rPr>
          <w:rFonts w:hint="eastAsia" w:eastAsia="宋体"/>
          <w:sz w:val="30"/>
          <w:szCs w:val="30"/>
          <w:lang w:eastAsia="zh-CN"/>
        </w:rPr>
      </w:pPr>
      <w:r>
        <w:rPr>
          <w:rFonts w:hint="eastAsia" w:eastAsia="宋体"/>
          <w:sz w:val="30"/>
          <w:szCs w:val="30"/>
          <w:lang w:eastAsia="zh-CN"/>
        </w:rPr>
        <w:t>That is, we must bring it to the four deep, underlying issues of the Great End Time Debate: the Kingdom of God, the proper interpretation of OTKP, the meaning of the Millennium, and the shape of the Consummation.</w:t>
      </w:r>
    </w:p>
    <w:p w14:paraId="01B13B0A">
      <w:pPr>
        <w:tabs>
          <w:tab w:val="left" w:pos="400"/>
        </w:tabs>
        <w:bidi w:val="0"/>
        <w:jc w:val="left"/>
        <w:rPr>
          <w:rFonts w:hint="eastAsia" w:eastAsia="宋体"/>
          <w:sz w:val="30"/>
          <w:szCs w:val="30"/>
          <w:lang w:eastAsia="zh-CN"/>
        </w:rPr>
      </w:pPr>
    </w:p>
    <w:p w14:paraId="319D03A4">
      <w:pPr>
        <w:tabs>
          <w:tab w:val="left" w:pos="400"/>
        </w:tabs>
        <w:bidi w:val="0"/>
        <w:jc w:val="left"/>
        <w:rPr>
          <w:rFonts w:hint="eastAsia" w:eastAsia="宋体"/>
          <w:sz w:val="30"/>
          <w:szCs w:val="30"/>
          <w:lang w:eastAsia="zh-CN"/>
        </w:rPr>
      </w:pPr>
      <w:r>
        <w:rPr>
          <w:rFonts w:hint="eastAsia" w:eastAsia="宋体"/>
          <w:sz w:val="30"/>
          <w:szCs w:val="30"/>
          <w:lang w:eastAsia="zh-CN"/>
        </w:rPr>
        <w:t>就是说，我们必须将它带到末世大辩论的四个深层、根本性的议题上：神的国、对旧约国度预言的正确解释、千禧年的意义，以及最终成全的形态。</w:t>
      </w:r>
    </w:p>
    <w:p w14:paraId="508E0929">
      <w:pPr>
        <w:tabs>
          <w:tab w:val="left" w:pos="400"/>
        </w:tabs>
        <w:bidi w:val="0"/>
        <w:jc w:val="left"/>
        <w:rPr>
          <w:rFonts w:hint="eastAsia" w:eastAsia="宋体"/>
          <w:sz w:val="30"/>
          <w:szCs w:val="30"/>
          <w:lang w:eastAsia="zh-CN"/>
        </w:rPr>
      </w:pPr>
    </w:p>
    <w:p w14:paraId="541B640F">
      <w:pPr>
        <w:tabs>
          <w:tab w:val="left" w:pos="400"/>
        </w:tabs>
        <w:bidi w:val="0"/>
        <w:jc w:val="left"/>
        <w:rPr>
          <w:rFonts w:hint="eastAsia" w:eastAsia="宋体"/>
          <w:sz w:val="30"/>
          <w:szCs w:val="30"/>
          <w:lang w:eastAsia="zh-CN"/>
        </w:rPr>
      </w:pPr>
      <w:r>
        <w:rPr>
          <w:rFonts w:hint="eastAsia" w:eastAsia="宋体"/>
          <w:sz w:val="30"/>
          <w:szCs w:val="30"/>
          <w:lang w:eastAsia="zh-CN"/>
        </w:rPr>
        <w:t>Moreover, we must be sure to bring it first to the issue of all issues—the Kingdom of God—since, as we have seen over and again, our conclusions on this fundamental theme will profoundly affect every other aspect of our eschatology.</w:t>
      </w:r>
    </w:p>
    <w:p w14:paraId="3DD61316">
      <w:pPr>
        <w:tabs>
          <w:tab w:val="left" w:pos="400"/>
        </w:tabs>
        <w:bidi w:val="0"/>
        <w:jc w:val="left"/>
        <w:rPr>
          <w:rFonts w:hint="eastAsia" w:eastAsia="宋体"/>
          <w:sz w:val="30"/>
          <w:szCs w:val="30"/>
          <w:lang w:eastAsia="zh-CN"/>
        </w:rPr>
      </w:pPr>
    </w:p>
    <w:p w14:paraId="526E56E7">
      <w:pPr>
        <w:tabs>
          <w:tab w:val="left" w:pos="400"/>
        </w:tabs>
        <w:bidi w:val="0"/>
        <w:jc w:val="left"/>
        <w:rPr>
          <w:rFonts w:hint="eastAsia" w:eastAsia="宋体"/>
          <w:sz w:val="30"/>
          <w:szCs w:val="30"/>
          <w:lang w:eastAsia="zh-CN"/>
        </w:rPr>
      </w:pPr>
      <w:r>
        <w:rPr>
          <w:rFonts w:hint="eastAsia" w:eastAsia="宋体"/>
          <w:sz w:val="30"/>
          <w:szCs w:val="30"/>
          <w:lang w:eastAsia="zh-CN"/>
        </w:rPr>
        <w:t>此外，我们必须确保首先将它带到所有议题中的议题——神的国——上，因为，正如我们一再看到的，我们对这个基本主题的结论将深刻地影响我们末世论的每一个其他方面。</w:t>
      </w:r>
    </w:p>
    <w:p w14:paraId="4DA3C347">
      <w:pPr>
        <w:tabs>
          <w:tab w:val="left" w:pos="400"/>
        </w:tabs>
        <w:bidi w:val="0"/>
        <w:jc w:val="left"/>
        <w:rPr>
          <w:rFonts w:hint="eastAsia" w:eastAsia="宋体"/>
          <w:sz w:val="30"/>
          <w:szCs w:val="30"/>
          <w:lang w:eastAsia="zh-CN"/>
        </w:rPr>
      </w:pPr>
    </w:p>
    <w:p w14:paraId="0CC91C37">
      <w:pPr>
        <w:tabs>
          <w:tab w:val="left" w:pos="400"/>
        </w:tabs>
        <w:bidi w:val="0"/>
        <w:jc w:val="left"/>
        <w:rPr>
          <w:rFonts w:hint="eastAsia" w:eastAsia="宋体"/>
          <w:sz w:val="30"/>
          <w:szCs w:val="30"/>
          <w:lang w:eastAsia="zh-CN"/>
        </w:rPr>
      </w:pPr>
      <w:r>
        <w:rPr>
          <w:rFonts w:hint="eastAsia" w:eastAsia="宋体"/>
          <w:sz w:val="30"/>
          <w:szCs w:val="30"/>
          <w:lang w:eastAsia="zh-CN"/>
        </w:rPr>
        <w:t>Therefore, let us do so now.</w:t>
      </w:r>
    </w:p>
    <w:p w14:paraId="1756189C">
      <w:pPr>
        <w:tabs>
          <w:tab w:val="left" w:pos="400"/>
        </w:tabs>
        <w:bidi w:val="0"/>
        <w:jc w:val="left"/>
        <w:rPr>
          <w:rFonts w:hint="eastAsia" w:eastAsia="宋体"/>
          <w:sz w:val="30"/>
          <w:szCs w:val="30"/>
          <w:lang w:eastAsia="zh-CN"/>
        </w:rPr>
      </w:pPr>
    </w:p>
    <w:p w14:paraId="1C4A2874">
      <w:pPr>
        <w:tabs>
          <w:tab w:val="left" w:pos="400"/>
        </w:tabs>
        <w:bidi w:val="0"/>
        <w:jc w:val="left"/>
        <w:rPr>
          <w:rFonts w:hint="eastAsia" w:eastAsia="宋体"/>
          <w:sz w:val="30"/>
          <w:szCs w:val="30"/>
          <w:lang w:eastAsia="zh-CN"/>
        </w:rPr>
      </w:pPr>
      <w:r>
        <w:rPr>
          <w:rFonts w:hint="eastAsia" w:eastAsia="宋体"/>
          <w:sz w:val="30"/>
          <w:szCs w:val="30"/>
          <w:lang w:eastAsia="zh-CN"/>
        </w:rPr>
        <w:t>因此，让我们现在就这样做。</w:t>
      </w:r>
    </w:p>
    <w:p w14:paraId="16BBA538">
      <w:pPr>
        <w:tabs>
          <w:tab w:val="left" w:pos="400"/>
        </w:tabs>
        <w:bidi w:val="0"/>
        <w:jc w:val="left"/>
        <w:rPr>
          <w:rFonts w:hint="eastAsia" w:eastAsia="宋体"/>
          <w:sz w:val="30"/>
          <w:szCs w:val="30"/>
          <w:lang w:eastAsia="zh-CN"/>
        </w:rPr>
      </w:pPr>
    </w:p>
    <w:p w14:paraId="242B40E0">
      <w:pPr>
        <w:tabs>
          <w:tab w:val="left" w:pos="400"/>
        </w:tabs>
        <w:bidi w:val="0"/>
        <w:jc w:val="left"/>
        <w:rPr>
          <w:rFonts w:hint="eastAsia" w:eastAsia="宋体"/>
          <w:sz w:val="30"/>
          <w:szCs w:val="30"/>
          <w:lang w:eastAsia="zh-CN"/>
        </w:rPr>
      </w:pPr>
      <w:r>
        <w:rPr>
          <w:rFonts w:hint="eastAsia" w:eastAsia="宋体"/>
          <w:sz w:val="30"/>
          <w:szCs w:val="30"/>
          <w:lang w:eastAsia="zh-CN"/>
        </w:rPr>
        <w:t>Let us approach the first and most forbidding of the four closed doors.</w:t>
      </w:r>
    </w:p>
    <w:p w14:paraId="3EF39EF1">
      <w:pPr>
        <w:tabs>
          <w:tab w:val="left" w:pos="400"/>
        </w:tabs>
        <w:bidi w:val="0"/>
        <w:jc w:val="left"/>
        <w:rPr>
          <w:rFonts w:hint="eastAsia" w:eastAsia="宋体"/>
          <w:sz w:val="30"/>
          <w:szCs w:val="30"/>
          <w:lang w:eastAsia="zh-CN"/>
        </w:rPr>
      </w:pPr>
    </w:p>
    <w:p w14:paraId="1E32918B">
      <w:pPr>
        <w:tabs>
          <w:tab w:val="left" w:pos="400"/>
        </w:tabs>
        <w:bidi w:val="0"/>
        <w:jc w:val="left"/>
        <w:rPr>
          <w:rFonts w:hint="eastAsia" w:eastAsia="宋体"/>
          <w:sz w:val="30"/>
          <w:szCs w:val="30"/>
          <w:lang w:eastAsia="zh-CN"/>
        </w:rPr>
      </w:pPr>
      <w:r>
        <w:rPr>
          <w:rFonts w:hint="eastAsia" w:eastAsia="宋体"/>
          <w:sz w:val="30"/>
          <w:szCs w:val="30"/>
          <w:lang w:eastAsia="zh-CN"/>
        </w:rPr>
        <w:t>让我们走近四扇关闭的门中第一扇、也是最令人生畏的一扇。</w:t>
      </w:r>
    </w:p>
    <w:p w14:paraId="7A7FBB37">
      <w:pPr>
        <w:tabs>
          <w:tab w:val="left" w:pos="400"/>
        </w:tabs>
        <w:bidi w:val="0"/>
        <w:jc w:val="left"/>
        <w:rPr>
          <w:rFonts w:hint="eastAsia" w:eastAsia="宋体"/>
          <w:sz w:val="30"/>
          <w:szCs w:val="30"/>
          <w:lang w:eastAsia="zh-CN"/>
        </w:rPr>
      </w:pPr>
    </w:p>
    <w:p w14:paraId="53A358C6">
      <w:pPr>
        <w:tabs>
          <w:tab w:val="left" w:pos="400"/>
        </w:tabs>
        <w:bidi w:val="0"/>
        <w:jc w:val="left"/>
        <w:rPr>
          <w:rFonts w:hint="eastAsia" w:eastAsia="宋体"/>
          <w:sz w:val="30"/>
          <w:szCs w:val="30"/>
          <w:lang w:eastAsia="zh-CN"/>
        </w:rPr>
      </w:pPr>
      <w:r>
        <w:rPr>
          <w:rFonts w:hint="eastAsia" w:eastAsia="宋体"/>
          <w:sz w:val="30"/>
          <w:szCs w:val="30"/>
          <w:lang w:eastAsia="zh-CN"/>
        </w:rPr>
        <w:t>Let us consult with Christ and the apostles about the Kingdom of God; and in particular, let us ask them to teach us about its true nature and several stages.</w:t>
      </w:r>
    </w:p>
    <w:p w14:paraId="69FB1D97">
      <w:pPr>
        <w:tabs>
          <w:tab w:val="left" w:pos="400"/>
        </w:tabs>
        <w:bidi w:val="0"/>
        <w:jc w:val="left"/>
        <w:rPr>
          <w:rFonts w:hint="eastAsia" w:eastAsia="宋体"/>
          <w:sz w:val="30"/>
          <w:szCs w:val="30"/>
          <w:lang w:eastAsia="zh-CN"/>
        </w:rPr>
      </w:pPr>
    </w:p>
    <w:p w14:paraId="0A487997">
      <w:pPr>
        <w:tabs>
          <w:tab w:val="left" w:pos="400"/>
        </w:tabs>
        <w:bidi w:val="0"/>
        <w:jc w:val="left"/>
        <w:rPr>
          <w:rFonts w:hint="eastAsia" w:eastAsia="宋体"/>
          <w:sz w:val="30"/>
          <w:szCs w:val="30"/>
          <w:lang w:eastAsia="zh-CN"/>
        </w:rPr>
      </w:pPr>
      <w:r>
        <w:rPr>
          <w:rFonts w:hint="eastAsia" w:eastAsia="宋体"/>
          <w:sz w:val="30"/>
          <w:szCs w:val="30"/>
          <w:lang w:eastAsia="zh-CN"/>
        </w:rPr>
        <w:t>让我们就神的国与基督和使徒们商议；特别是，让我们请求他们教导我们关于其真实性质和几个阶段。</w:t>
      </w:r>
    </w:p>
    <w:p w14:paraId="3F0BDDA8">
      <w:pPr>
        <w:tabs>
          <w:tab w:val="left" w:pos="400"/>
        </w:tabs>
        <w:bidi w:val="0"/>
        <w:jc w:val="left"/>
        <w:rPr>
          <w:rFonts w:hint="eastAsia" w:eastAsia="宋体"/>
          <w:sz w:val="30"/>
          <w:szCs w:val="30"/>
          <w:lang w:eastAsia="zh-CN"/>
        </w:rPr>
      </w:pPr>
    </w:p>
    <w:p w14:paraId="7E00C61A">
      <w:pPr>
        <w:tabs>
          <w:tab w:val="left" w:pos="400"/>
        </w:tabs>
        <w:bidi w:val="0"/>
        <w:jc w:val="left"/>
        <w:rPr>
          <w:rFonts w:hint="eastAsia" w:eastAsia="宋体"/>
          <w:sz w:val="30"/>
          <w:szCs w:val="30"/>
          <w:lang w:eastAsia="zh-CN"/>
        </w:rPr>
      </w:pPr>
      <w:r>
        <w:rPr>
          <w:rFonts w:hint="eastAsia" w:eastAsia="宋体"/>
          <w:sz w:val="30"/>
          <w:szCs w:val="30"/>
          <w:lang w:eastAsia="zh-CN"/>
        </w:rPr>
        <w:t>Why?</w:t>
      </w:r>
    </w:p>
    <w:p w14:paraId="58C67364">
      <w:pPr>
        <w:tabs>
          <w:tab w:val="left" w:pos="400"/>
        </w:tabs>
        <w:bidi w:val="0"/>
        <w:jc w:val="left"/>
        <w:rPr>
          <w:rFonts w:hint="eastAsia" w:eastAsia="宋体"/>
          <w:sz w:val="30"/>
          <w:szCs w:val="30"/>
          <w:lang w:eastAsia="zh-CN"/>
        </w:rPr>
      </w:pPr>
    </w:p>
    <w:p w14:paraId="4DE9D2D1">
      <w:pPr>
        <w:tabs>
          <w:tab w:val="left" w:pos="400"/>
        </w:tabs>
        <w:bidi w:val="0"/>
        <w:jc w:val="left"/>
        <w:rPr>
          <w:rFonts w:hint="eastAsia" w:eastAsia="宋体"/>
          <w:sz w:val="30"/>
          <w:szCs w:val="30"/>
          <w:lang w:eastAsia="zh-CN"/>
        </w:rPr>
      </w:pPr>
      <w:r>
        <w:rPr>
          <w:rFonts w:hint="eastAsia" w:eastAsia="宋体"/>
          <w:sz w:val="30"/>
          <w:szCs w:val="30"/>
          <w:lang w:eastAsia="zh-CN"/>
        </w:rPr>
        <w:t>为什么？</w:t>
      </w:r>
    </w:p>
    <w:p w14:paraId="693A46A8">
      <w:pPr>
        <w:tabs>
          <w:tab w:val="left" w:pos="400"/>
        </w:tabs>
        <w:bidi w:val="0"/>
        <w:jc w:val="left"/>
        <w:rPr>
          <w:rFonts w:hint="eastAsia" w:eastAsia="宋体"/>
          <w:sz w:val="30"/>
          <w:szCs w:val="30"/>
          <w:lang w:eastAsia="zh-CN"/>
        </w:rPr>
      </w:pPr>
    </w:p>
    <w:p w14:paraId="46B08155">
      <w:pPr>
        <w:tabs>
          <w:tab w:val="left" w:pos="400"/>
        </w:tabs>
        <w:bidi w:val="0"/>
        <w:jc w:val="left"/>
        <w:rPr>
          <w:rFonts w:hint="eastAsia" w:eastAsia="宋体"/>
          <w:sz w:val="30"/>
          <w:szCs w:val="30"/>
          <w:lang w:eastAsia="zh-CN"/>
        </w:rPr>
      </w:pPr>
      <w:r>
        <w:rPr>
          <w:rFonts w:hint="eastAsia" w:eastAsia="宋体"/>
          <w:sz w:val="30"/>
          <w:szCs w:val="30"/>
          <w:lang w:eastAsia="zh-CN"/>
        </w:rPr>
        <w:t>Because once we have gotten through that door, surely we will get through the other three as well; surely we will learn how to interpret OTKP, discover the meaning of the Millennium, and come to understand the true purpose, elements, and structure of the Consummation.</w:t>
      </w:r>
    </w:p>
    <w:p w14:paraId="3B32DABB">
      <w:pPr>
        <w:tabs>
          <w:tab w:val="left" w:pos="400"/>
        </w:tabs>
        <w:bidi w:val="0"/>
        <w:jc w:val="left"/>
        <w:rPr>
          <w:rFonts w:hint="eastAsia" w:eastAsia="宋体"/>
          <w:sz w:val="30"/>
          <w:szCs w:val="30"/>
          <w:lang w:eastAsia="zh-CN"/>
        </w:rPr>
      </w:pPr>
    </w:p>
    <w:p w14:paraId="3A594C58">
      <w:pPr>
        <w:tabs>
          <w:tab w:val="left" w:pos="400"/>
        </w:tabs>
        <w:bidi w:val="0"/>
        <w:jc w:val="left"/>
        <w:rPr>
          <w:rFonts w:hint="eastAsia" w:eastAsia="宋体"/>
          <w:sz w:val="30"/>
          <w:szCs w:val="30"/>
          <w:lang w:eastAsia="zh-CN"/>
        </w:rPr>
      </w:pPr>
      <w:r>
        <w:rPr>
          <w:rFonts w:hint="eastAsia" w:eastAsia="宋体"/>
          <w:sz w:val="30"/>
          <w:szCs w:val="30"/>
          <w:lang w:eastAsia="zh-CN"/>
        </w:rPr>
        <w:t>因为一旦我们穿过了那扇门，我们肯定也能穿过其他三扇；我们肯定会学会如何解释旧约国度预言，发现千禧年的意义，并开始理解最终成全的真实目的、元素和结构。</w:t>
      </w:r>
    </w:p>
    <w:p w14:paraId="766D7562">
      <w:pPr>
        <w:tabs>
          <w:tab w:val="left" w:pos="400"/>
        </w:tabs>
        <w:bidi w:val="0"/>
        <w:jc w:val="left"/>
        <w:rPr>
          <w:rFonts w:hint="eastAsia" w:eastAsia="宋体"/>
          <w:sz w:val="30"/>
          <w:szCs w:val="30"/>
          <w:lang w:eastAsia="zh-CN"/>
        </w:rPr>
      </w:pPr>
    </w:p>
    <w:p w14:paraId="3B38C373">
      <w:pPr>
        <w:tabs>
          <w:tab w:val="left" w:pos="400"/>
        </w:tabs>
        <w:bidi w:val="0"/>
        <w:jc w:val="left"/>
        <w:rPr>
          <w:rFonts w:hint="eastAsia" w:eastAsia="宋体"/>
          <w:sz w:val="30"/>
          <w:szCs w:val="30"/>
          <w:lang w:eastAsia="zh-CN"/>
        </w:rPr>
      </w:pPr>
      <w:r>
        <w:rPr>
          <w:rFonts w:hint="eastAsia" w:eastAsia="宋体"/>
          <w:sz w:val="30"/>
          <w:szCs w:val="30"/>
          <w:lang w:eastAsia="zh-CN"/>
        </w:rPr>
        <w:t>Such good news: He has the keys!</w:t>
      </w:r>
    </w:p>
    <w:p w14:paraId="26AF361D">
      <w:pPr>
        <w:tabs>
          <w:tab w:val="left" w:pos="400"/>
        </w:tabs>
        <w:bidi w:val="0"/>
        <w:jc w:val="left"/>
        <w:rPr>
          <w:rFonts w:hint="eastAsia" w:eastAsia="宋体"/>
          <w:sz w:val="30"/>
          <w:szCs w:val="30"/>
          <w:lang w:eastAsia="zh-CN"/>
        </w:rPr>
      </w:pPr>
    </w:p>
    <w:p w14:paraId="31AA184B">
      <w:pPr>
        <w:tabs>
          <w:tab w:val="left" w:pos="400"/>
        </w:tabs>
        <w:bidi w:val="0"/>
        <w:jc w:val="left"/>
        <w:rPr>
          <w:rFonts w:hint="eastAsia" w:eastAsia="宋体"/>
          <w:sz w:val="30"/>
          <w:szCs w:val="30"/>
          <w:lang w:eastAsia="zh-CN"/>
        </w:rPr>
      </w:pPr>
      <w:r>
        <w:rPr>
          <w:rFonts w:hint="eastAsia" w:eastAsia="宋体"/>
          <w:sz w:val="30"/>
          <w:szCs w:val="30"/>
          <w:lang w:eastAsia="zh-CN"/>
        </w:rPr>
        <w:t>何等的好消息：祂拿着众钥匙！</w:t>
      </w:r>
    </w:p>
    <w:p w14:paraId="4ADA0B88">
      <w:pPr>
        <w:tabs>
          <w:tab w:val="left" w:pos="400"/>
        </w:tabs>
        <w:bidi w:val="0"/>
        <w:jc w:val="left"/>
        <w:rPr>
          <w:rFonts w:hint="eastAsia" w:eastAsia="宋体"/>
          <w:sz w:val="30"/>
          <w:szCs w:val="30"/>
          <w:lang w:eastAsia="zh-CN"/>
        </w:rPr>
      </w:pPr>
    </w:p>
    <w:p w14:paraId="6D659F67">
      <w:pPr>
        <w:tabs>
          <w:tab w:val="left" w:pos="400"/>
        </w:tabs>
        <w:bidi w:val="0"/>
        <w:jc w:val="left"/>
        <w:rPr>
          <w:rFonts w:hint="eastAsia" w:eastAsia="宋体"/>
          <w:sz w:val="30"/>
          <w:szCs w:val="30"/>
          <w:lang w:eastAsia="zh-CN"/>
        </w:rPr>
      </w:pPr>
      <w:r>
        <w:rPr>
          <w:rFonts w:hint="eastAsia" w:eastAsia="宋体"/>
          <w:sz w:val="30"/>
          <w:szCs w:val="30"/>
          <w:lang w:eastAsia="zh-CN"/>
        </w:rPr>
        <w:t>And here is more good news: Now we have them, too!</w:t>
      </w:r>
    </w:p>
    <w:p w14:paraId="5FF731B4">
      <w:pPr>
        <w:tabs>
          <w:tab w:val="left" w:pos="400"/>
        </w:tabs>
        <w:bidi w:val="0"/>
        <w:jc w:val="left"/>
        <w:rPr>
          <w:rFonts w:hint="eastAsia" w:eastAsia="宋体"/>
          <w:sz w:val="30"/>
          <w:szCs w:val="30"/>
          <w:lang w:eastAsia="zh-CN"/>
        </w:rPr>
      </w:pPr>
    </w:p>
    <w:p w14:paraId="7AF04022">
      <w:pPr>
        <w:tabs>
          <w:tab w:val="left" w:pos="400"/>
        </w:tabs>
        <w:bidi w:val="0"/>
        <w:jc w:val="left"/>
        <w:rPr>
          <w:rFonts w:hint="eastAsia" w:eastAsia="宋体"/>
          <w:sz w:val="30"/>
          <w:szCs w:val="30"/>
          <w:lang w:eastAsia="zh-CN"/>
        </w:rPr>
      </w:pPr>
      <w:r>
        <w:rPr>
          <w:rFonts w:hint="eastAsia" w:eastAsia="宋体"/>
          <w:sz w:val="30"/>
          <w:szCs w:val="30"/>
          <w:lang w:eastAsia="zh-CN"/>
        </w:rPr>
        <w:t>这里还有更多好消息：现在我们也拿着它们了！</w:t>
      </w:r>
    </w:p>
    <w:p w14:paraId="2866ED4F">
      <w:pPr>
        <w:tabs>
          <w:tab w:val="left" w:pos="400"/>
        </w:tabs>
        <w:bidi w:val="0"/>
        <w:jc w:val="left"/>
        <w:rPr>
          <w:rFonts w:hint="eastAsia" w:eastAsia="宋体"/>
          <w:sz w:val="30"/>
          <w:szCs w:val="30"/>
          <w:lang w:eastAsia="zh-CN"/>
        </w:rPr>
      </w:pPr>
    </w:p>
    <w:p w14:paraId="73CE7CDE">
      <w:pPr>
        <w:tabs>
          <w:tab w:val="left" w:pos="400"/>
        </w:tabs>
        <w:bidi w:val="0"/>
        <w:jc w:val="left"/>
        <w:rPr>
          <w:rFonts w:hint="eastAsia" w:eastAsia="宋体"/>
          <w:sz w:val="30"/>
          <w:szCs w:val="30"/>
          <w:lang w:eastAsia="zh-CN"/>
        </w:rPr>
      </w:pPr>
      <w:r>
        <w:rPr>
          <w:rFonts w:hint="eastAsia" w:eastAsia="宋体"/>
          <w:sz w:val="30"/>
          <w:szCs w:val="30"/>
          <w:lang w:eastAsia="zh-CN"/>
        </w:rPr>
        <w:t>Therefore, with the Lord at our side, and with his keys in our hand, let us make our way boldly to “true truth” about the nature and stages of the Kingdom of God.</w:t>
      </w:r>
    </w:p>
    <w:p w14:paraId="26AA7530">
      <w:pPr>
        <w:tabs>
          <w:tab w:val="left" w:pos="400"/>
        </w:tabs>
        <w:bidi w:val="0"/>
        <w:jc w:val="left"/>
        <w:rPr>
          <w:rFonts w:hint="eastAsia" w:eastAsia="宋体"/>
          <w:sz w:val="30"/>
          <w:szCs w:val="30"/>
          <w:lang w:eastAsia="zh-CN"/>
        </w:rPr>
      </w:pPr>
    </w:p>
    <w:p w14:paraId="51E091E1">
      <w:pPr>
        <w:tabs>
          <w:tab w:val="left" w:pos="400"/>
        </w:tabs>
        <w:bidi w:val="0"/>
        <w:jc w:val="left"/>
        <w:rPr>
          <w:rFonts w:hint="eastAsia" w:eastAsia="宋体"/>
          <w:sz w:val="30"/>
          <w:szCs w:val="30"/>
          <w:lang w:eastAsia="zh-CN"/>
        </w:rPr>
        <w:sectPr>
          <w:pgSz w:w="12240" w:h="15840"/>
          <w:pgMar w:top="1380" w:right="1440" w:bottom="280" w:left="1440" w:header="720" w:footer="720" w:gutter="0"/>
          <w:cols w:space="720" w:num="1"/>
        </w:sectPr>
      </w:pPr>
      <w:r>
        <w:rPr>
          <w:rFonts w:hint="eastAsia" w:eastAsia="宋体"/>
          <w:sz w:val="30"/>
          <w:szCs w:val="30"/>
          <w:lang w:eastAsia="zh-CN"/>
        </w:rPr>
        <w:t>因此，有主在我们身旁，祂的众钥匙在我们手中，让我们勇敢地走向关于神的国之性质与阶段的“真实际”。</w:t>
      </w:r>
    </w:p>
    <w:p w14:paraId="27373FA3">
      <w:pPr>
        <w:pStyle w:val="9"/>
        <w:spacing w:before="288"/>
        <w:ind w:left="0"/>
        <w:jc w:val="left"/>
        <w:rPr>
          <w:sz w:val="50"/>
        </w:rPr>
      </w:pPr>
    </w:p>
    <w:p w14:paraId="0B59A742">
      <w:pPr>
        <w:pStyle w:val="2"/>
        <w:bidi w:val="0"/>
      </w:pPr>
      <w:bookmarkStart w:id="15" w:name="Part 2: Understanding the Kingdom of God"/>
      <w:bookmarkEnd w:id="15"/>
      <w:bookmarkStart w:id="16" w:name="_bookmark20"/>
      <w:bookmarkEnd w:id="16"/>
      <w:r>
        <w:t>Part 2</w:t>
      </w:r>
    </w:p>
    <w:p w14:paraId="79CFCC3E">
      <w:pPr>
        <w:pStyle w:val="2"/>
        <w:bidi w:val="0"/>
      </w:pPr>
      <w:r>
        <w:t>Understanding the Kingdom of God</w:t>
      </w:r>
    </w:p>
    <w:p w14:paraId="04F86295">
      <w:pPr>
        <w:pStyle w:val="2"/>
        <w:bidi w:val="0"/>
        <w:rPr>
          <w:rFonts w:hint="eastAsia"/>
        </w:rPr>
      </w:pPr>
      <w:r>
        <w:rPr>
          <w:rFonts w:hint="eastAsia"/>
        </w:rPr>
        <w:t>第二部分</w:t>
      </w:r>
    </w:p>
    <w:p w14:paraId="26BDDC35">
      <w:pPr>
        <w:pStyle w:val="2"/>
        <w:bidi w:val="0"/>
        <w:rPr>
          <w:rFonts w:hint="eastAsia"/>
        </w:rPr>
      </w:pPr>
      <w:r>
        <w:rPr>
          <w:rFonts w:hint="eastAsia"/>
        </w:rPr>
        <w:t>理解神的国</w:t>
      </w:r>
    </w:p>
    <w:p w14:paraId="3587C0D0">
      <w:pPr>
        <w:bidi w:val="0"/>
        <w:rPr>
          <w:rFonts w:hint="eastAsia"/>
          <w:sz w:val="30"/>
          <w:szCs w:val="30"/>
        </w:rPr>
      </w:pPr>
    </w:p>
    <w:p w14:paraId="0105614F">
      <w:pPr>
        <w:pStyle w:val="3"/>
        <w:bidi w:val="0"/>
        <w:rPr>
          <w:rFonts w:hint="eastAsia"/>
        </w:rPr>
      </w:pPr>
      <w:r>
        <w:rPr>
          <w:rFonts w:hint="eastAsia"/>
        </w:rPr>
        <w:t>Chapter 5</w:t>
      </w:r>
    </w:p>
    <w:p w14:paraId="1A133DBE">
      <w:pPr>
        <w:pStyle w:val="3"/>
        <w:bidi w:val="0"/>
        <w:rPr>
          <w:rFonts w:hint="eastAsia"/>
        </w:rPr>
      </w:pPr>
      <w:r>
        <w:rPr>
          <w:rFonts w:hint="eastAsia"/>
        </w:rPr>
        <w:t>第五章</w:t>
      </w:r>
    </w:p>
    <w:p w14:paraId="3CEDFC2D">
      <w:pPr>
        <w:bidi w:val="0"/>
        <w:rPr>
          <w:rFonts w:hint="eastAsia"/>
          <w:sz w:val="30"/>
          <w:szCs w:val="30"/>
        </w:rPr>
      </w:pPr>
    </w:p>
    <w:p w14:paraId="612B9DA1">
      <w:pPr>
        <w:bidi w:val="0"/>
        <w:rPr>
          <w:rFonts w:hint="eastAsia"/>
          <w:sz w:val="30"/>
          <w:szCs w:val="30"/>
        </w:rPr>
      </w:pPr>
      <w:r>
        <w:rPr>
          <w:rFonts w:hint="eastAsia"/>
          <w:sz w:val="30"/>
          <w:szCs w:val="30"/>
        </w:rPr>
        <w:t>The Good News of the Kingdom</w:t>
      </w:r>
    </w:p>
    <w:p w14:paraId="5006EF3C">
      <w:pPr>
        <w:bidi w:val="0"/>
        <w:rPr>
          <w:rFonts w:hint="eastAsia"/>
          <w:sz w:val="30"/>
          <w:szCs w:val="30"/>
        </w:rPr>
      </w:pPr>
    </w:p>
    <w:p w14:paraId="02DF2106">
      <w:pPr>
        <w:bidi w:val="0"/>
        <w:rPr>
          <w:rFonts w:hint="eastAsia"/>
          <w:sz w:val="30"/>
          <w:szCs w:val="30"/>
        </w:rPr>
      </w:pPr>
      <w:r>
        <w:rPr>
          <w:rFonts w:hint="eastAsia"/>
          <w:sz w:val="30"/>
          <w:szCs w:val="30"/>
        </w:rPr>
        <w:t>国度的福音</w:t>
      </w:r>
    </w:p>
    <w:p w14:paraId="3D8E61C1">
      <w:pPr>
        <w:bidi w:val="0"/>
        <w:rPr>
          <w:rFonts w:hint="eastAsia"/>
          <w:sz w:val="30"/>
          <w:szCs w:val="30"/>
        </w:rPr>
      </w:pPr>
    </w:p>
    <w:p w14:paraId="188271D5">
      <w:pPr>
        <w:bidi w:val="0"/>
        <w:rPr>
          <w:rFonts w:hint="eastAsia"/>
          <w:sz w:val="30"/>
          <w:szCs w:val="30"/>
        </w:rPr>
      </w:pPr>
      <w:r>
        <w:rPr>
          <w:rFonts w:hint="eastAsia"/>
          <w:sz w:val="30"/>
          <w:szCs w:val="30"/>
        </w:rPr>
        <w:t>IN THE GOSPEL according to Mark, the first words out of Jesus’ mouth are these: “The time is fulfilled, and the Kingdom of God is at hand.</w:t>
      </w:r>
    </w:p>
    <w:p w14:paraId="3355E3F3">
      <w:pPr>
        <w:bidi w:val="0"/>
        <w:rPr>
          <w:rFonts w:hint="eastAsia"/>
          <w:sz w:val="30"/>
          <w:szCs w:val="30"/>
        </w:rPr>
      </w:pPr>
    </w:p>
    <w:p w14:paraId="5D578B25">
      <w:pPr>
        <w:bidi w:val="0"/>
        <w:rPr>
          <w:rFonts w:hint="eastAsia"/>
          <w:sz w:val="30"/>
          <w:szCs w:val="30"/>
        </w:rPr>
      </w:pPr>
      <w:r>
        <w:rPr>
          <w:rFonts w:hint="eastAsia"/>
          <w:sz w:val="30"/>
          <w:szCs w:val="30"/>
        </w:rPr>
        <w:t>在马可福音中，耶稣口中所出的第一句话是：“时期满了，神的国近了。</w:t>
      </w:r>
    </w:p>
    <w:p w14:paraId="37727DED">
      <w:pPr>
        <w:bidi w:val="0"/>
        <w:rPr>
          <w:rFonts w:hint="eastAsia"/>
          <w:sz w:val="30"/>
          <w:szCs w:val="30"/>
        </w:rPr>
      </w:pPr>
    </w:p>
    <w:p w14:paraId="14D6712F">
      <w:pPr>
        <w:bidi w:val="0"/>
        <w:rPr>
          <w:rFonts w:hint="eastAsia"/>
          <w:sz w:val="30"/>
          <w:szCs w:val="30"/>
        </w:rPr>
      </w:pPr>
      <w:r>
        <w:rPr>
          <w:rFonts w:hint="eastAsia"/>
          <w:sz w:val="30"/>
          <w:szCs w:val="30"/>
        </w:rPr>
        <w:t>Repent and believe the good news” (Mark 1:15).</w:t>
      </w:r>
    </w:p>
    <w:p w14:paraId="090A7E45">
      <w:pPr>
        <w:bidi w:val="0"/>
        <w:rPr>
          <w:rFonts w:hint="eastAsia"/>
          <w:sz w:val="30"/>
          <w:szCs w:val="30"/>
        </w:rPr>
      </w:pPr>
    </w:p>
    <w:p w14:paraId="0C33906F">
      <w:pPr>
        <w:bidi w:val="0"/>
        <w:rPr>
          <w:rFonts w:hint="eastAsia"/>
          <w:sz w:val="30"/>
          <w:szCs w:val="30"/>
        </w:rPr>
      </w:pPr>
      <w:r>
        <w:rPr>
          <w:rFonts w:hint="eastAsia"/>
          <w:sz w:val="30"/>
          <w:szCs w:val="30"/>
        </w:rPr>
        <w:t>你们当悔改，信福音”（马可福音 1:15）。</w:t>
      </w:r>
    </w:p>
    <w:p w14:paraId="64A2D5B2">
      <w:pPr>
        <w:bidi w:val="0"/>
        <w:rPr>
          <w:rFonts w:hint="eastAsia"/>
          <w:sz w:val="30"/>
          <w:szCs w:val="30"/>
        </w:rPr>
      </w:pPr>
    </w:p>
    <w:p w14:paraId="4490F945">
      <w:pPr>
        <w:bidi w:val="0"/>
        <w:rPr>
          <w:rFonts w:hint="eastAsia"/>
          <w:sz w:val="30"/>
          <w:szCs w:val="30"/>
        </w:rPr>
      </w:pPr>
      <w:r>
        <w:rPr>
          <w:rFonts w:hint="eastAsia"/>
          <w:sz w:val="30"/>
          <w:szCs w:val="30"/>
        </w:rPr>
        <w:t>No doubt they fell sweetly upon the ears of all Israel.</w:t>
      </w:r>
    </w:p>
    <w:p w14:paraId="0DFFE87E">
      <w:pPr>
        <w:bidi w:val="0"/>
        <w:rPr>
          <w:rFonts w:hint="eastAsia"/>
          <w:sz w:val="30"/>
          <w:szCs w:val="30"/>
        </w:rPr>
      </w:pPr>
    </w:p>
    <w:p w14:paraId="06BFD77A">
      <w:pPr>
        <w:bidi w:val="0"/>
        <w:rPr>
          <w:rFonts w:hint="eastAsia"/>
          <w:sz w:val="30"/>
          <w:szCs w:val="30"/>
        </w:rPr>
      </w:pPr>
      <w:r>
        <w:rPr>
          <w:rFonts w:hint="eastAsia"/>
          <w:sz w:val="30"/>
          <w:szCs w:val="30"/>
        </w:rPr>
        <w:t>毫无疑问，这些话甜美地落入全以色列的耳中。</w:t>
      </w:r>
    </w:p>
    <w:p w14:paraId="25DD9BE5">
      <w:pPr>
        <w:bidi w:val="0"/>
        <w:rPr>
          <w:rFonts w:hint="eastAsia"/>
          <w:sz w:val="30"/>
          <w:szCs w:val="30"/>
        </w:rPr>
      </w:pPr>
    </w:p>
    <w:p w14:paraId="30E0E11E">
      <w:pPr>
        <w:bidi w:val="0"/>
        <w:rPr>
          <w:rFonts w:hint="eastAsia"/>
          <w:sz w:val="30"/>
          <w:szCs w:val="30"/>
        </w:rPr>
      </w:pPr>
      <w:r>
        <w:rPr>
          <w:rFonts w:hint="eastAsia"/>
          <w:sz w:val="30"/>
          <w:szCs w:val="30"/>
        </w:rPr>
        <w:t>For centuries their prophets had promised a day when God would send his Messiah, through him launching a sequence of events that would culminate in the redemption and glorification of the whole world.</w:t>
      </w:r>
    </w:p>
    <w:p w14:paraId="305D097B">
      <w:pPr>
        <w:bidi w:val="0"/>
        <w:rPr>
          <w:rFonts w:hint="eastAsia"/>
          <w:sz w:val="30"/>
          <w:szCs w:val="30"/>
        </w:rPr>
      </w:pPr>
    </w:p>
    <w:p w14:paraId="2DEC9E8D">
      <w:pPr>
        <w:bidi w:val="0"/>
        <w:rPr>
          <w:rFonts w:hint="eastAsia"/>
          <w:sz w:val="30"/>
          <w:szCs w:val="30"/>
        </w:rPr>
      </w:pPr>
      <w:r>
        <w:rPr>
          <w:rFonts w:hint="eastAsia"/>
          <w:sz w:val="30"/>
          <w:szCs w:val="30"/>
        </w:rPr>
        <w:t>几个世纪以来，他们的申言者们一直应许着一个日子，那时神将差遣祂的弥赛亚，借着祂启动一系列事件，最终达到全世界的救赎和得荣。</w:t>
      </w:r>
    </w:p>
    <w:p w14:paraId="34EEBDBE">
      <w:pPr>
        <w:bidi w:val="0"/>
        <w:rPr>
          <w:rFonts w:hint="eastAsia"/>
          <w:sz w:val="30"/>
          <w:szCs w:val="30"/>
        </w:rPr>
      </w:pPr>
    </w:p>
    <w:p w14:paraId="5B24DDB6">
      <w:pPr>
        <w:bidi w:val="0"/>
        <w:rPr>
          <w:rFonts w:hint="eastAsia"/>
          <w:sz w:val="30"/>
          <w:szCs w:val="30"/>
        </w:rPr>
      </w:pPr>
      <w:r>
        <w:rPr>
          <w:rFonts w:hint="eastAsia"/>
          <w:sz w:val="30"/>
          <w:szCs w:val="30"/>
        </w:rPr>
        <w:t>For centuries, Israel had waited for it.</w:t>
      </w:r>
    </w:p>
    <w:p w14:paraId="614661C1">
      <w:pPr>
        <w:bidi w:val="0"/>
        <w:rPr>
          <w:rFonts w:hint="eastAsia"/>
          <w:sz w:val="30"/>
          <w:szCs w:val="30"/>
        </w:rPr>
      </w:pPr>
    </w:p>
    <w:p w14:paraId="53D0A6DC">
      <w:pPr>
        <w:bidi w:val="0"/>
        <w:rPr>
          <w:rFonts w:hint="eastAsia"/>
          <w:sz w:val="30"/>
          <w:szCs w:val="30"/>
        </w:rPr>
      </w:pPr>
      <w:r>
        <w:rPr>
          <w:rFonts w:hint="eastAsia"/>
          <w:sz w:val="30"/>
          <w:szCs w:val="30"/>
        </w:rPr>
        <w:t>几个世纪以来，以色列一直在等候它。</w:t>
      </w:r>
    </w:p>
    <w:p w14:paraId="14F737BA">
      <w:pPr>
        <w:bidi w:val="0"/>
        <w:rPr>
          <w:rFonts w:hint="eastAsia"/>
          <w:sz w:val="30"/>
          <w:szCs w:val="30"/>
        </w:rPr>
      </w:pPr>
    </w:p>
    <w:p w14:paraId="0F183281">
      <w:pPr>
        <w:bidi w:val="0"/>
        <w:rPr>
          <w:rFonts w:hint="eastAsia"/>
          <w:sz w:val="30"/>
          <w:szCs w:val="30"/>
        </w:rPr>
      </w:pPr>
      <w:r>
        <w:rPr>
          <w:rFonts w:hint="eastAsia"/>
          <w:sz w:val="30"/>
          <w:szCs w:val="30"/>
        </w:rPr>
        <w:t>And now, said Jesus to his astonished countrymen, the day is “at hand”—very near, and drawing nearer by the moment.</w:t>
      </w:r>
    </w:p>
    <w:p w14:paraId="2DB101EB">
      <w:pPr>
        <w:bidi w:val="0"/>
        <w:rPr>
          <w:rFonts w:hint="eastAsia"/>
          <w:sz w:val="30"/>
          <w:szCs w:val="30"/>
        </w:rPr>
      </w:pPr>
    </w:p>
    <w:p w14:paraId="32357A7A">
      <w:pPr>
        <w:bidi w:val="0"/>
        <w:rPr>
          <w:rFonts w:hint="eastAsia"/>
          <w:sz w:val="30"/>
          <w:szCs w:val="30"/>
        </w:rPr>
      </w:pPr>
      <w:r>
        <w:rPr>
          <w:rFonts w:hint="eastAsia"/>
          <w:sz w:val="30"/>
          <w:szCs w:val="30"/>
        </w:rPr>
        <w:t>而现在，耶稣对祂惊讶的同胞们说，那日子“近了”——非常近，并且每时每刻都在临近。</w:t>
      </w:r>
    </w:p>
    <w:p w14:paraId="3FE1B5FC">
      <w:pPr>
        <w:bidi w:val="0"/>
        <w:rPr>
          <w:rFonts w:hint="eastAsia"/>
          <w:sz w:val="30"/>
          <w:szCs w:val="30"/>
        </w:rPr>
      </w:pPr>
    </w:p>
    <w:p w14:paraId="0B10FF2A">
      <w:pPr>
        <w:bidi w:val="0"/>
        <w:rPr>
          <w:rFonts w:hint="eastAsia"/>
          <w:sz w:val="30"/>
          <w:szCs w:val="30"/>
        </w:rPr>
      </w:pPr>
      <w:r>
        <w:rPr>
          <w:rFonts w:hint="eastAsia"/>
          <w:sz w:val="30"/>
          <w:szCs w:val="30"/>
        </w:rPr>
        <w:t>The people were to prepare themselves spiritually.</w:t>
      </w:r>
    </w:p>
    <w:p w14:paraId="0A70F0B7">
      <w:pPr>
        <w:bidi w:val="0"/>
        <w:rPr>
          <w:rFonts w:hint="eastAsia"/>
          <w:sz w:val="30"/>
          <w:szCs w:val="30"/>
        </w:rPr>
      </w:pPr>
    </w:p>
    <w:p w14:paraId="77553CF1">
      <w:pPr>
        <w:bidi w:val="0"/>
        <w:rPr>
          <w:rFonts w:hint="eastAsia"/>
          <w:sz w:val="30"/>
          <w:szCs w:val="30"/>
        </w:rPr>
      </w:pPr>
      <w:r>
        <w:rPr>
          <w:rFonts w:hint="eastAsia"/>
          <w:sz w:val="30"/>
          <w:szCs w:val="30"/>
        </w:rPr>
        <w:t>百姓当在属灵上预备自己。</w:t>
      </w:r>
    </w:p>
    <w:p w14:paraId="4C6C3502">
      <w:pPr>
        <w:bidi w:val="0"/>
        <w:rPr>
          <w:rFonts w:hint="eastAsia"/>
          <w:sz w:val="30"/>
          <w:szCs w:val="30"/>
        </w:rPr>
      </w:pPr>
    </w:p>
    <w:p w14:paraId="2E6C298D">
      <w:pPr>
        <w:bidi w:val="0"/>
        <w:rPr>
          <w:rFonts w:hint="eastAsia"/>
          <w:sz w:val="30"/>
          <w:szCs w:val="30"/>
        </w:rPr>
      </w:pPr>
      <w:r>
        <w:rPr>
          <w:rFonts w:hint="eastAsia"/>
          <w:sz w:val="30"/>
          <w:szCs w:val="30"/>
        </w:rPr>
        <w:t>The hope of the ages was upon them.</w:t>
      </w:r>
    </w:p>
    <w:p w14:paraId="48F9F473">
      <w:pPr>
        <w:bidi w:val="0"/>
        <w:rPr>
          <w:rFonts w:hint="eastAsia"/>
          <w:sz w:val="30"/>
          <w:szCs w:val="30"/>
        </w:rPr>
      </w:pPr>
    </w:p>
    <w:p w14:paraId="6B06491C">
      <w:pPr>
        <w:bidi w:val="0"/>
        <w:rPr>
          <w:rFonts w:hint="eastAsia"/>
          <w:sz w:val="30"/>
          <w:szCs w:val="30"/>
        </w:rPr>
      </w:pPr>
      <w:r>
        <w:rPr>
          <w:rFonts w:hint="eastAsia"/>
          <w:sz w:val="30"/>
          <w:szCs w:val="30"/>
        </w:rPr>
        <w:t>历代的盼望临到了他们。</w:t>
      </w:r>
    </w:p>
    <w:p w14:paraId="0CADD9CE">
      <w:pPr>
        <w:bidi w:val="0"/>
        <w:rPr>
          <w:rFonts w:hint="eastAsia"/>
          <w:sz w:val="30"/>
          <w:szCs w:val="30"/>
        </w:rPr>
      </w:pPr>
    </w:p>
    <w:p w14:paraId="0DE766F1">
      <w:pPr>
        <w:bidi w:val="0"/>
        <w:rPr>
          <w:rFonts w:hint="eastAsia"/>
          <w:sz w:val="30"/>
          <w:szCs w:val="30"/>
        </w:rPr>
      </w:pPr>
      <w:r>
        <w:rPr>
          <w:rFonts w:hint="eastAsia"/>
          <w:sz w:val="30"/>
          <w:szCs w:val="30"/>
        </w:rPr>
        <w:t>At first, they were with him.</w:t>
      </w:r>
    </w:p>
    <w:p w14:paraId="763571EA">
      <w:pPr>
        <w:bidi w:val="0"/>
        <w:rPr>
          <w:rFonts w:hint="eastAsia"/>
          <w:sz w:val="30"/>
          <w:szCs w:val="30"/>
        </w:rPr>
      </w:pPr>
    </w:p>
    <w:p w14:paraId="3E151F0F">
      <w:pPr>
        <w:bidi w:val="0"/>
        <w:rPr>
          <w:rFonts w:hint="eastAsia"/>
          <w:sz w:val="30"/>
          <w:szCs w:val="30"/>
        </w:rPr>
      </w:pPr>
      <w:r>
        <w:rPr>
          <w:rFonts w:hint="eastAsia"/>
          <w:sz w:val="30"/>
          <w:szCs w:val="30"/>
        </w:rPr>
        <w:t>起初，他们是与祂同在的。</w:t>
      </w:r>
    </w:p>
    <w:p w14:paraId="02B8F296">
      <w:pPr>
        <w:bidi w:val="0"/>
        <w:rPr>
          <w:rFonts w:hint="eastAsia"/>
          <w:sz w:val="30"/>
          <w:szCs w:val="30"/>
        </w:rPr>
      </w:pPr>
    </w:p>
    <w:p w14:paraId="264A74B1">
      <w:pPr>
        <w:bidi w:val="0"/>
        <w:rPr>
          <w:rFonts w:hint="eastAsia"/>
          <w:sz w:val="30"/>
          <w:szCs w:val="30"/>
        </w:rPr>
      </w:pPr>
      <w:r>
        <w:rPr>
          <w:rFonts w:hint="eastAsia"/>
          <w:sz w:val="30"/>
          <w:szCs w:val="30"/>
        </w:rPr>
        <w:t>Though his teachings—usually couched in parables—were enigmatic, his mighty miracles clearly identified him as a prophet (Luke 7:16).</w:t>
      </w:r>
    </w:p>
    <w:p w14:paraId="42045A3F">
      <w:pPr>
        <w:bidi w:val="0"/>
        <w:rPr>
          <w:rFonts w:hint="eastAsia"/>
          <w:sz w:val="30"/>
          <w:szCs w:val="30"/>
        </w:rPr>
      </w:pPr>
    </w:p>
    <w:p w14:paraId="08A78257">
      <w:pPr>
        <w:bidi w:val="0"/>
        <w:rPr>
          <w:rFonts w:hint="eastAsia"/>
          <w:sz w:val="30"/>
          <w:szCs w:val="30"/>
        </w:rPr>
      </w:pPr>
      <w:r>
        <w:rPr>
          <w:rFonts w:hint="eastAsia"/>
          <w:sz w:val="30"/>
          <w:szCs w:val="30"/>
        </w:rPr>
        <w:t>尽管祂的教导——通常用比喻来表达——是奥秘的，祂大能的神迹却清楚地指明祂是一位申言者（路加福音 7:16）。</w:t>
      </w:r>
    </w:p>
    <w:p w14:paraId="0ED4BA74">
      <w:pPr>
        <w:bidi w:val="0"/>
        <w:rPr>
          <w:rFonts w:hint="eastAsia"/>
          <w:sz w:val="30"/>
          <w:szCs w:val="30"/>
        </w:rPr>
      </w:pPr>
    </w:p>
    <w:p w14:paraId="5E76A1D5">
      <w:pPr>
        <w:bidi w:val="0"/>
        <w:rPr>
          <w:rFonts w:hint="eastAsia"/>
          <w:sz w:val="30"/>
          <w:szCs w:val="30"/>
        </w:rPr>
      </w:pPr>
      <w:r>
        <w:rPr>
          <w:rFonts w:hint="eastAsia"/>
          <w:sz w:val="30"/>
          <w:szCs w:val="30"/>
        </w:rPr>
        <w:t>Moreover, he did little to discourage the Messianic speculation and fervor that the miracles aroused (Mt. 9:27, 12:23, John 4:29).</w:t>
      </w:r>
    </w:p>
    <w:p w14:paraId="18EAC331">
      <w:pPr>
        <w:bidi w:val="0"/>
        <w:rPr>
          <w:rFonts w:hint="eastAsia"/>
          <w:sz w:val="30"/>
          <w:szCs w:val="30"/>
        </w:rPr>
      </w:pPr>
    </w:p>
    <w:p w14:paraId="0C49DBFB">
      <w:pPr>
        <w:bidi w:val="0"/>
        <w:rPr>
          <w:rFonts w:hint="eastAsia"/>
          <w:sz w:val="30"/>
          <w:szCs w:val="30"/>
        </w:rPr>
      </w:pPr>
      <w:r>
        <w:rPr>
          <w:rFonts w:hint="eastAsia"/>
          <w:sz w:val="30"/>
          <w:szCs w:val="30"/>
        </w:rPr>
        <w:t>此外，祂几乎没有去制止那些因神迹而起的关于弥赛亚的揣测和热情（太 9:27, 12:23, 约 4:29）。</w:t>
      </w:r>
    </w:p>
    <w:p w14:paraId="436331A8">
      <w:pPr>
        <w:bidi w:val="0"/>
        <w:rPr>
          <w:rFonts w:hint="eastAsia"/>
          <w:sz w:val="30"/>
          <w:szCs w:val="30"/>
        </w:rPr>
      </w:pPr>
    </w:p>
    <w:p w14:paraId="4F2953C6">
      <w:pPr>
        <w:bidi w:val="0"/>
        <w:rPr>
          <w:rFonts w:hint="eastAsia"/>
          <w:sz w:val="30"/>
          <w:szCs w:val="30"/>
        </w:rPr>
      </w:pPr>
      <w:r>
        <w:rPr>
          <w:rFonts w:hint="eastAsia"/>
          <w:sz w:val="30"/>
          <w:szCs w:val="30"/>
        </w:rPr>
        <w:t>And when, on Palm Sunday, he made his triumphal entry into Jerusalem, he openly declared to all—to the Jewish people, their leaders, and Rome itself—that he was exactly what his exultant disciples believed him to be: the eschatological Son of David, the blessed Messianic King who comes in the name of the LORD (Luke 19:37-40)!</w:t>
      </w:r>
    </w:p>
    <w:p w14:paraId="6CF43047">
      <w:pPr>
        <w:bidi w:val="0"/>
        <w:rPr>
          <w:rFonts w:hint="eastAsia"/>
          <w:sz w:val="30"/>
          <w:szCs w:val="30"/>
        </w:rPr>
      </w:pPr>
    </w:p>
    <w:p w14:paraId="73BC27D0">
      <w:pPr>
        <w:bidi w:val="0"/>
        <w:rPr>
          <w:rFonts w:hint="eastAsia"/>
          <w:sz w:val="30"/>
          <w:szCs w:val="30"/>
        </w:rPr>
      </w:pPr>
      <w:r>
        <w:rPr>
          <w:rFonts w:hint="eastAsia"/>
          <w:sz w:val="30"/>
          <w:szCs w:val="30"/>
        </w:rPr>
        <w:t>并且，当在棕枝主日，祂荣耀地进入耶路撒冷时，祂向所有人——犹太百姓、他们的领袖，以及罗马本身——公开宣告，祂正是祂欢欣的门徒们所相信的那位：末世的大卫之子，那位奉主名来的、蒙福的弥赛亚君王（路加福音 19:37-40）！</w:t>
      </w:r>
    </w:p>
    <w:p w14:paraId="39B85BE7">
      <w:pPr>
        <w:bidi w:val="0"/>
        <w:rPr>
          <w:rFonts w:hint="eastAsia"/>
          <w:sz w:val="30"/>
          <w:szCs w:val="30"/>
        </w:rPr>
      </w:pPr>
    </w:p>
    <w:p w14:paraId="3DF0C35D">
      <w:pPr>
        <w:bidi w:val="0"/>
        <w:rPr>
          <w:rFonts w:hint="eastAsia"/>
          <w:sz w:val="30"/>
          <w:szCs w:val="30"/>
        </w:rPr>
      </w:pPr>
      <w:r>
        <w:rPr>
          <w:rFonts w:hint="eastAsia"/>
          <w:sz w:val="30"/>
          <w:szCs w:val="30"/>
        </w:rPr>
        <w:t>In the end, however, the nation turned against him (John 1:11).</w:t>
      </w:r>
    </w:p>
    <w:p w14:paraId="3A0FA77D">
      <w:pPr>
        <w:bidi w:val="0"/>
        <w:rPr>
          <w:rFonts w:hint="eastAsia"/>
          <w:sz w:val="30"/>
          <w:szCs w:val="30"/>
        </w:rPr>
      </w:pPr>
    </w:p>
    <w:p w14:paraId="31CD3CBC">
      <w:pPr>
        <w:bidi w:val="0"/>
        <w:rPr>
          <w:rFonts w:hint="eastAsia"/>
          <w:sz w:val="30"/>
          <w:szCs w:val="30"/>
        </w:rPr>
      </w:pPr>
      <w:r>
        <w:rPr>
          <w:rFonts w:hint="eastAsia"/>
          <w:sz w:val="30"/>
          <w:szCs w:val="30"/>
        </w:rPr>
        <w:t>然而，最终，这国却转而反对祂（约翰福音 1:11）。</w:t>
      </w:r>
    </w:p>
    <w:p w14:paraId="31079B47">
      <w:pPr>
        <w:bidi w:val="0"/>
        <w:rPr>
          <w:rFonts w:hint="eastAsia"/>
          <w:sz w:val="30"/>
          <w:szCs w:val="30"/>
        </w:rPr>
      </w:pPr>
    </w:p>
    <w:p w14:paraId="0D6CFF64">
      <w:pPr>
        <w:bidi w:val="0"/>
        <w:rPr>
          <w:rFonts w:hint="eastAsia"/>
          <w:sz w:val="30"/>
          <w:szCs w:val="30"/>
        </w:rPr>
      </w:pPr>
      <w:r>
        <w:rPr>
          <w:rFonts w:hint="eastAsia"/>
          <w:sz w:val="30"/>
          <w:szCs w:val="30"/>
        </w:rPr>
        <w:t>Why?</w:t>
      </w:r>
    </w:p>
    <w:p w14:paraId="798E5C05">
      <w:pPr>
        <w:bidi w:val="0"/>
        <w:rPr>
          <w:rFonts w:hint="eastAsia"/>
          <w:sz w:val="30"/>
          <w:szCs w:val="30"/>
        </w:rPr>
      </w:pPr>
    </w:p>
    <w:p w14:paraId="195F7D97">
      <w:pPr>
        <w:bidi w:val="0"/>
        <w:rPr>
          <w:rFonts w:hint="eastAsia"/>
          <w:sz w:val="30"/>
          <w:szCs w:val="30"/>
        </w:rPr>
      </w:pPr>
      <w:r>
        <w:rPr>
          <w:rFonts w:hint="eastAsia"/>
          <w:sz w:val="30"/>
          <w:szCs w:val="30"/>
        </w:rPr>
        <w:t>为什么？</w:t>
      </w:r>
    </w:p>
    <w:p w14:paraId="0B72B4D2">
      <w:pPr>
        <w:bidi w:val="0"/>
        <w:rPr>
          <w:rFonts w:hint="eastAsia"/>
          <w:sz w:val="30"/>
          <w:szCs w:val="30"/>
        </w:rPr>
      </w:pPr>
    </w:p>
    <w:p w14:paraId="588D780F">
      <w:pPr>
        <w:bidi w:val="0"/>
        <w:rPr>
          <w:rFonts w:hint="eastAsia"/>
          <w:sz w:val="30"/>
          <w:szCs w:val="30"/>
        </w:rPr>
      </w:pPr>
      <w:r>
        <w:rPr>
          <w:rFonts w:hint="eastAsia"/>
          <w:sz w:val="30"/>
          <w:szCs w:val="30"/>
        </w:rPr>
        <w:t>Because he was not the Son of David they expected or wanted.</w:t>
      </w:r>
    </w:p>
    <w:p w14:paraId="13B43EC2">
      <w:pPr>
        <w:bidi w:val="0"/>
        <w:rPr>
          <w:rFonts w:hint="eastAsia"/>
          <w:sz w:val="30"/>
          <w:szCs w:val="30"/>
        </w:rPr>
      </w:pPr>
    </w:p>
    <w:p w14:paraId="16179FBB">
      <w:pPr>
        <w:bidi w:val="0"/>
        <w:rPr>
          <w:rFonts w:hint="eastAsia"/>
          <w:sz w:val="30"/>
          <w:szCs w:val="30"/>
        </w:rPr>
      </w:pPr>
      <w:r>
        <w:rPr>
          <w:rFonts w:hint="eastAsia"/>
          <w:sz w:val="30"/>
          <w:szCs w:val="30"/>
        </w:rPr>
        <w:t>因为祂不是他们所期待或想要的大卫之子。</w:t>
      </w:r>
    </w:p>
    <w:p w14:paraId="5425C78B">
      <w:pPr>
        <w:bidi w:val="0"/>
        <w:rPr>
          <w:rFonts w:hint="eastAsia"/>
          <w:sz w:val="30"/>
          <w:szCs w:val="30"/>
        </w:rPr>
      </w:pPr>
    </w:p>
    <w:p w14:paraId="6ED5EAA1">
      <w:pPr>
        <w:bidi w:val="0"/>
        <w:rPr>
          <w:rFonts w:hint="eastAsia"/>
          <w:sz w:val="30"/>
          <w:szCs w:val="30"/>
        </w:rPr>
      </w:pPr>
      <w:r>
        <w:rPr>
          <w:rFonts w:hint="eastAsia"/>
          <w:sz w:val="30"/>
          <w:szCs w:val="30"/>
        </w:rPr>
        <w:t>If he had been, he would not have fallen into Pilate’s hands.</w:t>
      </w:r>
    </w:p>
    <w:p w14:paraId="0798A7FD">
      <w:pPr>
        <w:bidi w:val="0"/>
        <w:rPr>
          <w:rFonts w:hint="eastAsia"/>
          <w:sz w:val="30"/>
          <w:szCs w:val="30"/>
        </w:rPr>
      </w:pPr>
    </w:p>
    <w:p w14:paraId="20D0A3EB">
      <w:pPr>
        <w:bidi w:val="0"/>
        <w:rPr>
          <w:rFonts w:hint="eastAsia"/>
          <w:sz w:val="30"/>
          <w:szCs w:val="30"/>
        </w:rPr>
      </w:pPr>
      <w:r>
        <w:rPr>
          <w:rFonts w:hint="eastAsia"/>
          <w:sz w:val="30"/>
          <w:szCs w:val="30"/>
        </w:rPr>
        <w:t>如果祂是，祂就不会落入彼拉多的手中。</w:t>
      </w:r>
    </w:p>
    <w:p w14:paraId="3B438E4B">
      <w:pPr>
        <w:bidi w:val="0"/>
        <w:rPr>
          <w:rFonts w:hint="eastAsia"/>
          <w:sz w:val="30"/>
          <w:szCs w:val="30"/>
        </w:rPr>
      </w:pPr>
    </w:p>
    <w:p w14:paraId="714A71E4">
      <w:pPr>
        <w:bidi w:val="0"/>
        <w:rPr>
          <w:rFonts w:hint="eastAsia"/>
          <w:sz w:val="30"/>
          <w:szCs w:val="30"/>
        </w:rPr>
      </w:pPr>
      <w:r>
        <w:rPr>
          <w:rFonts w:hint="eastAsia"/>
          <w:sz w:val="30"/>
          <w:szCs w:val="30"/>
        </w:rPr>
        <w:t>If he had been, he would have roused the people to war.</w:t>
      </w:r>
    </w:p>
    <w:p w14:paraId="528DE2D5">
      <w:pPr>
        <w:bidi w:val="0"/>
        <w:rPr>
          <w:rFonts w:hint="eastAsia"/>
          <w:sz w:val="30"/>
          <w:szCs w:val="30"/>
        </w:rPr>
      </w:pPr>
    </w:p>
    <w:p w14:paraId="22143022">
      <w:pPr>
        <w:bidi w:val="0"/>
        <w:rPr>
          <w:rFonts w:hint="eastAsia"/>
          <w:sz w:val="30"/>
          <w:szCs w:val="30"/>
        </w:rPr>
      </w:pPr>
      <w:r>
        <w:rPr>
          <w:rFonts w:hint="eastAsia"/>
          <w:sz w:val="30"/>
          <w:szCs w:val="30"/>
        </w:rPr>
        <w:t>如果祂是，祂就会煽动百姓起来争战。</w:t>
      </w:r>
    </w:p>
    <w:p w14:paraId="65FCADB7">
      <w:pPr>
        <w:bidi w:val="0"/>
        <w:rPr>
          <w:rFonts w:hint="eastAsia"/>
          <w:sz w:val="30"/>
          <w:szCs w:val="30"/>
        </w:rPr>
      </w:pPr>
    </w:p>
    <w:p w14:paraId="45BAE733">
      <w:pPr>
        <w:bidi w:val="0"/>
        <w:rPr>
          <w:rFonts w:hint="eastAsia"/>
          <w:sz w:val="30"/>
          <w:szCs w:val="30"/>
        </w:rPr>
      </w:pPr>
      <w:r>
        <w:rPr>
          <w:rFonts w:hint="eastAsia"/>
          <w:sz w:val="30"/>
          <w:szCs w:val="30"/>
        </w:rPr>
        <w:t>If he had been, he would have invoked the power of God once again, this time to lead Israel to victory over Rome and to eventual supremacy among the nations.</w:t>
      </w:r>
    </w:p>
    <w:p w14:paraId="3B278534">
      <w:pPr>
        <w:bidi w:val="0"/>
        <w:rPr>
          <w:rFonts w:hint="eastAsia"/>
          <w:sz w:val="30"/>
          <w:szCs w:val="30"/>
        </w:rPr>
      </w:pPr>
    </w:p>
    <w:p w14:paraId="591650A5">
      <w:pPr>
        <w:bidi w:val="0"/>
        <w:rPr>
          <w:rFonts w:hint="eastAsia"/>
          <w:sz w:val="30"/>
          <w:szCs w:val="30"/>
        </w:rPr>
      </w:pPr>
      <w:r>
        <w:rPr>
          <w:rFonts w:hint="eastAsia"/>
          <w:sz w:val="30"/>
          <w:szCs w:val="30"/>
        </w:rPr>
        <w:t>如果祂是，祂就会再次调用神的能力，这一次是带领以色列战胜罗马，并最终在列国中取得至高地位。</w:t>
      </w:r>
    </w:p>
    <w:p w14:paraId="02477974">
      <w:pPr>
        <w:bidi w:val="0"/>
        <w:rPr>
          <w:rFonts w:hint="eastAsia"/>
          <w:sz w:val="30"/>
          <w:szCs w:val="30"/>
        </w:rPr>
      </w:pPr>
    </w:p>
    <w:p w14:paraId="4D7A0227">
      <w:pPr>
        <w:bidi w:val="0"/>
        <w:rPr>
          <w:rFonts w:hint="eastAsia"/>
          <w:sz w:val="30"/>
          <w:szCs w:val="30"/>
        </w:rPr>
      </w:pPr>
      <w:r>
        <w:rPr>
          <w:rFonts w:hint="eastAsia"/>
          <w:sz w:val="30"/>
          <w:szCs w:val="30"/>
        </w:rPr>
        <w:t>No, the Pharisees had gotten it right after all.</w:t>
      </w:r>
    </w:p>
    <w:p w14:paraId="29A8FB95">
      <w:pPr>
        <w:bidi w:val="0"/>
        <w:rPr>
          <w:rFonts w:hint="eastAsia"/>
          <w:sz w:val="30"/>
          <w:szCs w:val="30"/>
        </w:rPr>
      </w:pPr>
    </w:p>
    <w:p w14:paraId="56AD20BF">
      <w:pPr>
        <w:bidi w:val="0"/>
        <w:rPr>
          <w:rFonts w:hint="eastAsia"/>
          <w:sz w:val="30"/>
          <w:szCs w:val="30"/>
        </w:rPr>
      </w:pPr>
      <w:r>
        <w:rPr>
          <w:rFonts w:hint="eastAsia"/>
          <w:sz w:val="30"/>
          <w:szCs w:val="30"/>
        </w:rPr>
        <w:t>不，法利赛人终究是对的。</w:t>
      </w:r>
    </w:p>
    <w:p w14:paraId="53FD5726">
      <w:pPr>
        <w:bidi w:val="0"/>
        <w:rPr>
          <w:rFonts w:hint="eastAsia"/>
          <w:sz w:val="30"/>
          <w:szCs w:val="30"/>
        </w:rPr>
      </w:pPr>
    </w:p>
    <w:p w14:paraId="20A1A580">
      <w:pPr>
        <w:bidi w:val="0"/>
        <w:rPr>
          <w:rFonts w:hint="eastAsia"/>
          <w:sz w:val="30"/>
          <w:szCs w:val="30"/>
        </w:rPr>
      </w:pPr>
      <w:r>
        <w:rPr>
          <w:rFonts w:hint="eastAsia"/>
          <w:sz w:val="30"/>
          <w:szCs w:val="30"/>
        </w:rPr>
        <w:t>Jesus of Nazareth was just another in a long line of false prophets and false messiahs.</w:t>
      </w:r>
    </w:p>
    <w:p w14:paraId="1D324A8D">
      <w:pPr>
        <w:bidi w:val="0"/>
        <w:rPr>
          <w:rFonts w:hint="eastAsia"/>
          <w:sz w:val="30"/>
          <w:szCs w:val="30"/>
        </w:rPr>
      </w:pPr>
    </w:p>
    <w:p w14:paraId="32B14A24">
      <w:pPr>
        <w:bidi w:val="0"/>
        <w:rPr>
          <w:rFonts w:hint="eastAsia"/>
          <w:sz w:val="30"/>
          <w:szCs w:val="30"/>
        </w:rPr>
      </w:pPr>
      <w:r>
        <w:rPr>
          <w:rFonts w:hint="eastAsia"/>
          <w:sz w:val="30"/>
          <w:szCs w:val="30"/>
        </w:rPr>
        <w:t>拿撒勒的耶稣只是那一长串假申言者和假弥赛亚中的又一个。</w:t>
      </w:r>
    </w:p>
    <w:p w14:paraId="3FF48F22">
      <w:pPr>
        <w:bidi w:val="0"/>
        <w:rPr>
          <w:rFonts w:hint="eastAsia"/>
          <w:sz w:val="30"/>
          <w:szCs w:val="30"/>
        </w:rPr>
      </w:pPr>
    </w:p>
    <w:p w14:paraId="3D359878">
      <w:pPr>
        <w:bidi w:val="0"/>
        <w:rPr>
          <w:rFonts w:hint="eastAsia"/>
          <w:sz w:val="30"/>
          <w:szCs w:val="30"/>
        </w:rPr>
      </w:pPr>
      <w:r>
        <w:rPr>
          <w:rFonts w:hint="eastAsia"/>
          <w:sz w:val="30"/>
          <w:szCs w:val="30"/>
        </w:rPr>
        <w:t>Therefore, as Moses commanded, he must die, and the people must resume their long wait for the true King and the true Kingdom of God.</w:t>
      </w:r>
    </w:p>
    <w:p w14:paraId="446376A0">
      <w:pPr>
        <w:bidi w:val="0"/>
        <w:rPr>
          <w:rFonts w:hint="eastAsia"/>
          <w:sz w:val="30"/>
          <w:szCs w:val="30"/>
        </w:rPr>
      </w:pPr>
    </w:p>
    <w:p w14:paraId="02072A28">
      <w:pPr>
        <w:bidi w:val="0"/>
        <w:rPr>
          <w:rFonts w:hint="eastAsia"/>
          <w:sz w:val="30"/>
          <w:szCs w:val="30"/>
        </w:rPr>
      </w:pPr>
      <w:r>
        <w:rPr>
          <w:rFonts w:hint="eastAsia"/>
          <w:sz w:val="30"/>
          <w:szCs w:val="30"/>
        </w:rPr>
        <w:t>因此，正如摩西所吩咐的，祂必须死，而百姓必须重新开始他们漫长的等待，等待那位真正的君王和真正的神的国。</w:t>
      </w:r>
    </w:p>
    <w:p w14:paraId="46F5A546">
      <w:pPr>
        <w:bidi w:val="0"/>
        <w:rPr>
          <w:rFonts w:hint="eastAsia"/>
          <w:sz w:val="30"/>
          <w:szCs w:val="30"/>
        </w:rPr>
      </w:pPr>
    </w:p>
    <w:p w14:paraId="481110BA">
      <w:pPr>
        <w:bidi w:val="0"/>
        <w:rPr>
          <w:rFonts w:hint="eastAsia"/>
          <w:sz w:val="30"/>
          <w:szCs w:val="30"/>
        </w:rPr>
      </w:pPr>
      <w:r>
        <w:rPr>
          <w:rFonts w:hint="eastAsia"/>
          <w:sz w:val="30"/>
          <w:szCs w:val="30"/>
        </w:rPr>
        <w:t>Jesus’ View of the Kingdom</w:t>
      </w:r>
    </w:p>
    <w:p w14:paraId="4D0F3C35">
      <w:pPr>
        <w:bidi w:val="0"/>
        <w:rPr>
          <w:rFonts w:hint="eastAsia"/>
          <w:sz w:val="30"/>
          <w:szCs w:val="30"/>
        </w:rPr>
      </w:pPr>
    </w:p>
    <w:p w14:paraId="0250F0A3">
      <w:pPr>
        <w:bidi w:val="0"/>
        <w:rPr>
          <w:rFonts w:hint="eastAsia"/>
          <w:sz w:val="30"/>
          <w:szCs w:val="30"/>
        </w:rPr>
      </w:pPr>
      <w:r>
        <w:rPr>
          <w:rFonts w:hint="eastAsia"/>
          <w:sz w:val="30"/>
          <w:szCs w:val="30"/>
        </w:rPr>
        <w:t>耶稣对国度的观点</w:t>
      </w:r>
    </w:p>
    <w:p w14:paraId="6C5D61FF">
      <w:pPr>
        <w:bidi w:val="0"/>
        <w:rPr>
          <w:rFonts w:hint="eastAsia"/>
          <w:sz w:val="30"/>
          <w:szCs w:val="30"/>
        </w:rPr>
      </w:pPr>
    </w:p>
    <w:p w14:paraId="2B08E761">
      <w:pPr>
        <w:bidi w:val="0"/>
        <w:rPr>
          <w:rFonts w:hint="eastAsia"/>
          <w:sz w:val="30"/>
          <w:szCs w:val="30"/>
        </w:rPr>
      </w:pPr>
      <w:r>
        <w:rPr>
          <w:rFonts w:hint="eastAsia"/>
          <w:sz w:val="30"/>
          <w:szCs w:val="30"/>
        </w:rPr>
        <w:t>If only they had understood.</w:t>
      </w:r>
    </w:p>
    <w:p w14:paraId="55C905FB">
      <w:pPr>
        <w:bidi w:val="0"/>
        <w:rPr>
          <w:rFonts w:hint="eastAsia"/>
          <w:sz w:val="30"/>
          <w:szCs w:val="30"/>
        </w:rPr>
      </w:pPr>
    </w:p>
    <w:p w14:paraId="247532AE">
      <w:pPr>
        <w:bidi w:val="0"/>
        <w:rPr>
          <w:rFonts w:hint="eastAsia"/>
          <w:sz w:val="30"/>
          <w:szCs w:val="30"/>
        </w:rPr>
      </w:pPr>
      <w:r>
        <w:rPr>
          <w:rFonts w:hint="eastAsia"/>
          <w:sz w:val="30"/>
          <w:szCs w:val="30"/>
        </w:rPr>
        <w:t>要是他们明白了就好了。</w:t>
      </w:r>
    </w:p>
    <w:p w14:paraId="241FC42C">
      <w:pPr>
        <w:bidi w:val="0"/>
        <w:rPr>
          <w:rFonts w:hint="eastAsia"/>
          <w:sz w:val="30"/>
          <w:szCs w:val="30"/>
        </w:rPr>
      </w:pPr>
    </w:p>
    <w:p w14:paraId="19A07F10">
      <w:pPr>
        <w:bidi w:val="0"/>
        <w:rPr>
          <w:rFonts w:hint="eastAsia"/>
          <w:sz w:val="30"/>
          <w:szCs w:val="30"/>
        </w:rPr>
      </w:pPr>
      <w:r>
        <w:rPr>
          <w:rFonts w:hint="eastAsia"/>
          <w:sz w:val="30"/>
          <w:szCs w:val="30"/>
        </w:rPr>
        <w:t>Had not Jesus told Nicodemus that without a spiritual rebirth, no one could see the Kingdom of God (John 3:3)?</w:t>
      </w:r>
    </w:p>
    <w:p w14:paraId="0A45BB05">
      <w:pPr>
        <w:bidi w:val="0"/>
        <w:rPr>
          <w:rFonts w:hint="eastAsia"/>
          <w:sz w:val="30"/>
          <w:szCs w:val="30"/>
        </w:rPr>
      </w:pPr>
    </w:p>
    <w:p w14:paraId="6AC12391">
      <w:pPr>
        <w:bidi w:val="0"/>
        <w:rPr>
          <w:rFonts w:hint="eastAsia"/>
          <w:sz w:val="30"/>
          <w:szCs w:val="30"/>
        </w:rPr>
      </w:pPr>
      <w:r>
        <w:rPr>
          <w:rFonts w:hint="eastAsia"/>
          <w:sz w:val="30"/>
          <w:szCs w:val="30"/>
        </w:rPr>
        <w:t>耶稣岂没有告诉尼哥底母，人若不重生，就不能见神的国吗（约翰福音 3:3）？</w:t>
      </w:r>
    </w:p>
    <w:p w14:paraId="66CE0DFB">
      <w:pPr>
        <w:bidi w:val="0"/>
        <w:rPr>
          <w:rFonts w:hint="eastAsia"/>
          <w:sz w:val="30"/>
          <w:szCs w:val="30"/>
        </w:rPr>
      </w:pPr>
    </w:p>
    <w:p w14:paraId="13C496B2">
      <w:pPr>
        <w:bidi w:val="0"/>
        <w:rPr>
          <w:rFonts w:hint="eastAsia"/>
          <w:sz w:val="30"/>
          <w:szCs w:val="30"/>
        </w:rPr>
      </w:pPr>
      <w:r>
        <w:rPr>
          <w:rFonts w:hint="eastAsia"/>
          <w:sz w:val="30"/>
          <w:szCs w:val="30"/>
        </w:rPr>
        <w:t>Had he not told the Pharisees that the Kingdom of God does not come with observation (Luke 17:20)?</w:t>
      </w:r>
    </w:p>
    <w:p w14:paraId="068BFADD">
      <w:pPr>
        <w:bidi w:val="0"/>
        <w:rPr>
          <w:rFonts w:hint="eastAsia"/>
          <w:sz w:val="30"/>
          <w:szCs w:val="30"/>
        </w:rPr>
      </w:pPr>
    </w:p>
    <w:p w14:paraId="618512A3">
      <w:pPr>
        <w:bidi w:val="0"/>
        <w:rPr>
          <w:rFonts w:hint="eastAsia"/>
          <w:sz w:val="30"/>
          <w:szCs w:val="30"/>
        </w:rPr>
      </w:pPr>
      <w:r>
        <w:rPr>
          <w:rFonts w:hint="eastAsia"/>
          <w:sz w:val="30"/>
          <w:szCs w:val="30"/>
        </w:rPr>
        <w:t>祂岂没有告诉法利赛人，神的国来到，不是眼所能见的吗（路加福音 17:20）？</w:t>
      </w:r>
    </w:p>
    <w:p w14:paraId="0122A7CD">
      <w:pPr>
        <w:bidi w:val="0"/>
        <w:rPr>
          <w:rFonts w:hint="eastAsia"/>
          <w:sz w:val="30"/>
          <w:szCs w:val="30"/>
        </w:rPr>
      </w:pPr>
    </w:p>
    <w:p w14:paraId="76EEFDC4">
      <w:pPr>
        <w:bidi w:val="0"/>
        <w:rPr>
          <w:rFonts w:hint="eastAsia"/>
          <w:sz w:val="30"/>
          <w:szCs w:val="30"/>
        </w:rPr>
      </w:pPr>
      <w:r>
        <w:rPr>
          <w:rFonts w:hint="eastAsia"/>
          <w:sz w:val="30"/>
          <w:szCs w:val="30"/>
        </w:rPr>
        <w:t>Had he not told Pilate that his Kingdom was not of this world (John 18:36)?</w:t>
      </w:r>
    </w:p>
    <w:p w14:paraId="305753F1">
      <w:pPr>
        <w:bidi w:val="0"/>
        <w:rPr>
          <w:rFonts w:hint="eastAsia"/>
          <w:sz w:val="30"/>
          <w:szCs w:val="30"/>
        </w:rPr>
      </w:pPr>
    </w:p>
    <w:p w14:paraId="1986126E">
      <w:pPr>
        <w:bidi w:val="0"/>
        <w:rPr>
          <w:rFonts w:hint="eastAsia"/>
          <w:sz w:val="30"/>
          <w:szCs w:val="30"/>
        </w:rPr>
      </w:pPr>
      <w:r>
        <w:rPr>
          <w:rFonts w:hint="eastAsia"/>
          <w:sz w:val="30"/>
          <w:szCs w:val="30"/>
        </w:rPr>
        <w:t>祂岂没有告诉彼拉多，祂的国不属这世界吗（约翰福音 18:36）？</w:t>
      </w:r>
    </w:p>
    <w:p w14:paraId="2BE742CC">
      <w:pPr>
        <w:bidi w:val="0"/>
        <w:rPr>
          <w:rFonts w:hint="eastAsia"/>
          <w:sz w:val="30"/>
          <w:szCs w:val="30"/>
        </w:rPr>
      </w:pPr>
    </w:p>
    <w:p w14:paraId="59DD92D5">
      <w:pPr>
        <w:bidi w:val="0"/>
        <w:rPr>
          <w:rFonts w:hint="eastAsia"/>
          <w:sz w:val="30"/>
          <w:szCs w:val="30"/>
        </w:rPr>
      </w:pPr>
      <w:r>
        <w:rPr>
          <w:rFonts w:hint="eastAsia"/>
          <w:sz w:val="30"/>
          <w:szCs w:val="30"/>
        </w:rPr>
        <w:t>And when the multitudes had tried to make him a king by force, had he not withdrawn from them, and later reproved them for a selfish materialism that blinded them to the true nature of his Messianic mission (John 6)?</w:t>
      </w:r>
    </w:p>
    <w:p w14:paraId="4BDCB79A">
      <w:pPr>
        <w:bidi w:val="0"/>
        <w:rPr>
          <w:rFonts w:hint="eastAsia"/>
          <w:sz w:val="30"/>
          <w:szCs w:val="30"/>
        </w:rPr>
      </w:pPr>
    </w:p>
    <w:p w14:paraId="1635A426">
      <w:pPr>
        <w:bidi w:val="0"/>
        <w:rPr>
          <w:rFonts w:hint="eastAsia"/>
          <w:sz w:val="30"/>
          <w:szCs w:val="30"/>
        </w:rPr>
      </w:pPr>
      <w:r>
        <w:rPr>
          <w:rFonts w:hint="eastAsia"/>
          <w:sz w:val="30"/>
          <w:szCs w:val="30"/>
        </w:rPr>
        <w:t>当众人要强逼祂作王时，祂岂没有退去，后来又为他们那蒙蔽了祂弥赛亚使命之真实性质的自私的物质主义而责备他们吗（约翰福音 6）？</w:t>
      </w:r>
    </w:p>
    <w:p w14:paraId="511BD1BA">
      <w:pPr>
        <w:bidi w:val="0"/>
        <w:rPr>
          <w:rFonts w:hint="eastAsia"/>
          <w:sz w:val="30"/>
          <w:szCs w:val="30"/>
        </w:rPr>
      </w:pPr>
    </w:p>
    <w:p w14:paraId="5702001D">
      <w:pPr>
        <w:bidi w:val="0"/>
        <w:rPr>
          <w:rFonts w:hint="eastAsia"/>
          <w:sz w:val="30"/>
          <w:szCs w:val="30"/>
        </w:rPr>
      </w:pPr>
      <w:r>
        <w:rPr>
          <w:rFonts w:hint="eastAsia"/>
          <w:sz w:val="30"/>
          <w:szCs w:val="30"/>
        </w:rPr>
        <w:t>Yes, Jesus of Nazareth was the Messianic herald of the Kingdom of God.</w:t>
      </w:r>
    </w:p>
    <w:p w14:paraId="783475BD">
      <w:pPr>
        <w:bidi w:val="0"/>
        <w:rPr>
          <w:rFonts w:hint="eastAsia"/>
          <w:sz w:val="30"/>
          <w:szCs w:val="30"/>
        </w:rPr>
      </w:pPr>
    </w:p>
    <w:p w14:paraId="2E427F18">
      <w:pPr>
        <w:bidi w:val="0"/>
        <w:rPr>
          <w:rFonts w:hint="eastAsia"/>
          <w:sz w:val="30"/>
          <w:szCs w:val="30"/>
        </w:rPr>
      </w:pPr>
      <w:r>
        <w:rPr>
          <w:rFonts w:hint="eastAsia"/>
          <w:sz w:val="30"/>
          <w:szCs w:val="30"/>
        </w:rPr>
        <w:t>是的，拿撒勒的耶稣是神的国的弥赛亚先锋。</w:t>
      </w:r>
    </w:p>
    <w:p w14:paraId="17045A49">
      <w:pPr>
        <w:bidi w:val="0"/>
        <w:rPr>
          <w:rFonts w:hint="eastAsia"/>
          <w:sz w:val="30"/>
          <w:szCs w:val="30"/>
        </w:rPr>
      </w:pPr>
    </w:p>
    <w:p w14:paraId="0D8E0669">
      <w:pPr>
        <w:bidi w:val="0"/>
        <w:rPr>
          <w:rFonts w:hint="eastAsia"/>
          <w:sz w:val="30"/>
          <w:szCs w:val="30"/>
        </w:rPr>
      </w:pPr>
      <w:r>
        <w:rPr>
          <w:rFonts w:hint="eastAsia"/>
          <w:sz w:val="30"/>
          <w:szCs w:val="30"/>
        </w:rPr>
        <w:t>But as all four gospels make painfully clear, his understanding of the Kingdom was different from that of the people to whom he proclaimed it— profoundly different!</w:t>
      </w:r>
    </w:p>
    <w:p w14:paraId="7775F29F">
      <w:pPr>
        <w:bidi w:val="0"/>
        <w:rPr>
          <w:rFonts w:hint="eastAsia"/>
          <w:sz w:val="30"/>
          <w:szCs w:val="30"/>
        </w:rPr>
      </w:pPr>
    </w:p>
    <w:p w14:paraId="79AED385">
      <w:pPr>
        <w:bidi w:val="0"/>
        <w:rPr>
          <w:rFonts w:hint="eastAsia"/>
          <w:sz w:val="30"/>
          <w:szCs w:val="30"/>
        </w:rPr>
      </w:pPr>
      <w:r>
        <w:rPr>
          <w:rFonts w:hint="eastAsia"/>
          <w:sz w:val="30"/>
          <w:szCs w:val="30"/>
        </w:rPr>
        <w:t>但正如四福音书痛苦地指出的，祂对国度的理解与祂所向其宣讲之人的理解不同——是极其不同的！</w:t>
      </w:r>
    </w:p>
    <w:p w14:paraId="3DA83F56">
      <w:pPr>
        <w:bidi w:val="0"/>
        <w:rPr>
          <w:rFonts w:hint="eastAsia"/>
          <w:sz w:val="30"/>
          <w:szCs w:val="30"/>
        </w:rPr>
      </w:pPr>
    </w:p>
    <w:p w14:paraId="3E5B63BF">
      <w:pPr>
        <w:bidi w:val="0"/>
        <w:rPr>
          <w:rFonts w:hint="eastAsia"/>
          <w:sz w:val="30"/>
          <w:szCs w:val="30"/>
        </w:rPr>
      </w:pPr>
      <w:r>
        <w:rPr>
          <w:rFonts w:hint="eastAsia"/>
          <w:sz w:val="30"/>
          <w:szCs w:val="30"/>
        </w:rPr>
        <w:t>What then was his understanding?</w:t>
      </w:r>
    </w:p>
    <w:p w14:paraId="2F5EE832">
      <w:pPr>
        <w:bidi w:val="0"/>
        <w:rPr>
          <w:rFonts w:hint="eastAsia"/>
          <w:sz w:val="30"/>
          <w:szCs w:val="30"/>
        </w:rPr>
      </w:pPr>
    </w:p>
    <w:p w14:paraId="2B2B5D9C">
      <w:pPr>
        <w:bidi w:val="0"/>
        <w:rPr>
          <w:rFonts w:hint="eastAsia"/>
          <w:sz w:val="30"/>
          <w:szCs w:val="30"/>
        </w:rPr>
      </w:pPr>
      <w:r>
        <w:rPr>
          <w:rFonts w:hint="eastAsia"/>
          <w:sz w:val="30"/>
          <w:szCs w:val="30"/>
        </w:rPr>
        <w:t>那么祂的理解是什么呢？</w:t>
      </w:r>
    </w:p>
    <w:p w14:paraId="37EA21DF">
      <w:pPr>
        <w:bidi w:val="0"/>
        <w:rPr>
          <w:rFonts w:hint="eastAsia"/>
          <w:sz w:val="30"/>
          <w:szCs w:val="30"/>
        </w:rPr>
      </w:pPr>
    </w:p>
    <w:p w14:paraId="44F1826A">
      <w:pPr>
        <w:bidi w:val="0"/>
        <w:rPr>
          <w:rFonts w:hint="eastAsia"/>
          <w:sz w:val="30"/>
          <w:szCs w:val="30"/>
        </w:rPr>
      </w:pPr>
      <w:r>
        <w:rPr>
          <w:rFonts w:hint="eastAsia"/>
          <w:sz w:val="30"/>
          <w:szCs w:val="30"/>
        </w:rPr>
        <w:t>Having pondered this crucial question for many years, I would argue that in proclaiming, expounding, and manifesting the true character of the Kingdom of God, our Lord always had in mind five main ideas.</w:t>
      </w:r>
    </w:p>
    <w:p w14:paraId="2BA46BB2">
      <w:pPr>
        <w:bidi w:val="0"/>
        <w:rPr>
          <w:rFonts w:hint="eastAsia"/>
          <w:sz w:val="30"/>
          <w:szCs w:val="30"/>
        </w:rPr>
      </w:pPr>
    </w:p>
    <w:p w14:paraId="3D6771DA">
      <w:pPr>
        <w:bidi w:val="0"/>
        <w:rPr>
          <w:rFonts w:hint="eastAsia"/>
          <w:sz w:val="30"/>
          <w:szCs w:val="30"/>
        </w:rPr>
      </w:pPr>
      <w:r>
        <w:rPr>
          <w:rFonts w:hint="eastAsia"/>
          <w:sz w:val="30"/>
          <w:szCs w:val="30"/>
        </w:rPr>
        <w:t>在思索这个关键问题多年后，我要论证，在宣讲、阐释并彰显神的国之真实特性时，我们的主总是心存五个主要观念。</w:t>
      </w:r>
    </w:p>
    <w:p w14:paraId="61568C49">
      <w:pPr>
        <w:bidi w:val="0"/>
        <w:rPr>
          <w:rFonts w:hint="eastAsia"/>
          <w:sz w:val="30"/>
          <w:szCs w:val="30"/>
        </w:rPr>
      </w:pPr>
    </w:p>
    <w:p w14:paraId="427A063A">
      <w:pPr>
        <w:bidi w:val="0"/>
        <w:rPr>
          <w:rFonts w:hint="eastAsia"/>
          <w:sz w:val="30"/>
          <w:szCs w:val="30"/>
        </w:rPr>
      </w:pPr>
      <w:r>
        <w:rPr>
          <w:rFonts w:hint="eastAsia"/>
          <w:sz w:val="30"/>
          <w:szCs w:val="30"/>
        </w:rPr>
        <w:t>In the pages ahead, I will briefly examine each one, and then offer a working definition of the Kingdom as I believe Jesus saw it.</w:t>
      </w:r>
    </w:p>
    <w:p w14:paraId="5B81E3E1">
      <w:pPr>
        <w:bidi w:val="0"/>
        <w:rPr>
          <w:rFonts w:hint="eastAsia"/>
          <w:sz w:val="30"/>
          <w:szCs w:val="30"/>
        </w:rPr>
      </w:pPr>
    </w:p>
    <w:p w14:paraId="00031D87">
      <w:pPr>
        <w:bidi w:val="0"/>
        <w:rPr>
          <w:rFonts w:hint="eastAsia"/>
          <w:sz w:val="30"/>
          <w:szCs w:val="30"/>
        </w:rPr>
      </w:pPr>
      <w:r>
        <w:rPr>
          <w:rFonts w:hint="eastAsia"/>
          <w:sz w:val="30"/>
          <w:szCs w:val="30"/>
        </w:rPr>
        <w:t>在接下来的篇幅中，我将简要地审视每一个观念，然后提出一个我认为是耶稣所看见的国度之运作性定义。</w:t>
      </w:r>
    </w:p>
    <w:p w14:paraId="722167BD">
      <w:pPr>
        <w:bidi w:val="0"/>
        <w:rPr>
          <w:rFonts w:hint="eastAsia"/>
          <w:sz w:val="30"/>
          <w:szCs w:val="30"/>
        </w:rPr>
      </w:pPr>
    </w:p>
    <w:p w14:paraId="56DC115C">
      <w:pPr>
        <w:bidi w:val="0"/>
        <w:rPr>
          <w:rFonts w:hint="eastAsia"/>
          <w:sz w:val="30"/>
          <w:szCs w:val="30"/>
        </w:rPr>
      </w:pPr>
      <w:r>
        <w:rPr>
          <w:rFonts w:hint="eastAsia"/>
          <w:sz w:val="30"/>
          <w:szCs w:val="30"/>
        </w:rPr>
        <w:t>Later in our journey, we shall discuss many of these ideas in greater depth.</w:t>
      </w:r>
    </w:p>
    <w:p w14:paraId="4B840985">
      <w:pPr>
        <w:bidi w:val="0"/>
        <w:rPr>
          <w:rFonts w:hint="eastAsia"/>
          <w:sz w:val="30"/>
          <w:szCs w:val="30"/>
        </w:rPr>
      </w:pPr>
    </w:p>
    <w:p w14:paraId="36A45FF9">
      <w:pPr>
        <w:bidi w:val="0"/>
        <w:rPr>
          <w:rFonts w:hint="eastAsia"/>
          <w:sz w:val="30"/>
          <w:szCs w:val="30"/>
        </w:rPr>
      </w:pPr>
      <w:r>
        <w:rPr>
          <w:rFonts w:hint="eastAsia"/>
          <w:sz w:val="30"/>
          <w:szCs w:val="30"/>
        </w:rPr>
        <w:t>在我们旅程的稍后部分，我们将更深入地讨论这些观念中的许多。</w:t>
      </w:r>
    </w:p>
    <w:p w14:paraId="1231D00F">
      <w:pPr>
        <w:bidi w:val="0"/>
        <w:rPr>
          <w:rFonts w:hint="eastAsia"/>
          <w:sz w:val="30"/>
          <w:szCs w:val="30"/>
        </w:rPr>
      </w:pPr>
    </w:p>
    <w:p w14:paraId="6A474B25">
      <w:pPr>
        <w:bidi w:val="0"/>
        <w:rPr>
          <w:rFonts w:hint="eastAsia"/>
          <w:sz w:val="30"/>
          <w:szCs w:val="30"/>
        </w:rPr>
      </w:pPr>
      <w:r>
        <w:rPr>
          <w:rFonts w:hint="eastAsia"/>
          <w:sz w:val="30"/>
          <w:szCs w:val="30"/>
        </w:rPr>
        <w:t>A Direct Reign of God the Father</w:t>
      </w:r>
    </w:p>
    <w:p w14:paraId="05EF0DD2">
      <w:pPr>
        <w:bidi w:val="0"/>
        <w:rPr>
          <w:rFonts w:hint="eastAsia"/>
          <w:sz w:val="30"/>
          <w:szCs w:val="30"/>
        </w:rPr>
      </w:pPr>
    </w:p>
    <w:p w14:paraId="432D564B">
      <w:pPr>
        <w:bidi w:val="0"/>
        <w:rPr>
          <w:rFonts w:hint="eastAsia"/>
          <w:sz w:val="30"/>
          <w:szCs w:val="30"/>
        </w:rPr>
      </w:pPr>
      <w:r>
        <w:rPr>
          <w:rFonts w:hint="eastAsia"/>
          <w:sz w:val="30"/>
          <w:szCs w:val="30"/>
        </w:rPr>
        <w:t>父神直接的掌权</w:t>
      </w:r>
    </w:p>
    <w:p w14:paraId="10B4C7B8">
      <w:pPr>
        <w:bidi w:val="0"/>
        <w:rPr>
          <w:rFonts w:hint="eastAsia"/>
          <w:sz w:val="30"/>
          <w:szCs w:val="30"/>
        </w:rPr>
      </w:pPr>
    </w:p>
    <w:p w14:paraId="26712AD1">
      <w:pPr>
        <w:bidi w:val="0"/>
        <w:rPr>
          <w:rFonts w:hint="eastAsia"/>
          <w:sz w:val="30"/>
          <w:szCs w:val="30"/>
        </w:rPr>
      </w:pPr>
      <w:r>
        <w:rPr>
          <w:rFonts w:hint="eastAsia"/>
          <w:sz w:val="30"/>
          <w:szCs w:val="30"/>
        </w:rPr>
        <w:t>Above all else, Christ understood the Kingdom to be the direct reign (or rule) of God the Father over his creation.</w:t>
      </w:r>
    </w:p>
    <w:p w14:paraId="623487F4">
      <w:pPr>
        <w:bidi w:val="0"/>
        <w:rPr>
          <w:rFonts w:hint="eastAsia"/>
          <w:sz w:val="30"/>
          <w:szCs w:val="30"/>
        </w:rPr>
      </w:pPr>
    </w:p>
    <w:p w14:paraId="52023062">
      <w:pPr>
        <w:bidi w:val="0"/>
        <w:rPr>
          <w:rFonts w:hint="eastAsia"/>
          <w:sz w:val="30"/>
          <w:szCs w:val="30"/>
        </w:rPr>
      </w:pPr>
      <w:r>
        <w:rPr>
          <w:rFonts w:hint="eastAsia"/>
          <w:sz w:val="30"/>
          <w:szCs w:val="30"/>
        </w:rPr>
        <w:t>首先，基督将国度理解为父神对祂创造物直接的掌权（或统治）。</w:t>
      </w:r>
    </w:p>
    <w:p w14:paraId="6589B0A4">
      <w:pPr>
        <w:bidi w:val="0"/>
        <w:rPr>
          <w:rFonts w:hint="eastAsia"/>
          <w:sz w:val="30"/>
          <w:szCs w:val="30"/>
        </w:rPr>
      </w:pPr>
    </w:p>
    <w:p w14:paraId="4620F8C0">
      <w:pPr>
        <w:bidi w:val="0"/>
        <w:rPr>
          <w:rFonts w:hint="eastAsia"/>
          <w:sz w:val="30"/>
          <w:szCs w:val="30"/>
        </w:rPr>
      </w:pPr>
      <w:r>
        <w:rPr>
          <w:rFonts w:hint="eastAsia"/>
          <w:sz w:val="30"/>
          <w:szCs w:val="30"/>
        </w:rPr>
        <w:t>We see this truth on display in the Lord’s Prayer, where he taught his disciples to say, “Thy Kingdom come, Thy will be done, on earth as it is in heaven” (Mt. 6:10).</w:t>
      </w:r>
    </w:p>
    <w:p w14:paraId="6CC7EB7A">
      <w:pPr>
        <w:bidi w:val="0"/>
        <w:rPr>
          <w:rFonts w:hint="eastAsia"/>
          <w:sz w:val="30"/>
          <w:szCs w:val="30"/>
        </w:rPr>
      </w:pPr>
    </w:p>
    <w:p w14:paraId="43CCE5BF">
      <w:pPr>
        <w:bidi w:val="0"/>
        <w:rPr>
          <w:rFonts w:hint="eastAsia"/>
          <w:sz w:val="30"/>
          <w:szCs w:val="30"/>
        </w:rPr>
      </w:pPr>
      <w:r>
        <w:rPr>
          <w:rFonts w:hint="eastAsia"/>
          <w:sz w:val="30"/>
          <w:szCs w:val="30"/>
        </w:rPr>
        <w:t>我们在主祷文中看到这个真理的展示，祂在那里教导祂的门徒说：“愿你的国降临，愿你的旨意行在地上，如同行在天上”（太 6:10）。</w:t>
      </w:r>
    </w:p>
    <w:p w14:paraId="46E90128">
      <w:pPr>
        <w:bidi w:val="0"/>
        <w:rPr>
          <w:rFonts w:hint="eastAsia"/>
          <w:sz w:val="30"/>
          <w:szCs w:val="30"/>
        </w:rPr>
      </w:pPr>
    </w:p>
    <w:p w14:paraId="544C7C37">
      <w:pPr>
        <w:bidi w:val="0"/>
        <w:rPr>
          <w:rFonts w:hint="eastAsia"/>
          <w:sz w:val="30"/>
          <w:szCs w:val="30"/>
        </w:rPr>
      </w:pPr>
      <w:r>
        <w:rPr>
          <w:rFonts w:hint="eastAsia"/>
          <w:sz w:val="30"/>
          <w:szCs w:val="30"/>
        </w:rPr>
        <w:t>Here we have a virtual definition of the Kingdom: It is the sphere where God’s will is being done as it is in heaven.</w:t>
      </w:r>
    </w:p>
    <w:p w14:paraId="2F21E05B">
      <w:pPr>
        <w:bidi w:val="0"/>
        <w:rPr>
          <w:rFonts w:hint="eastAsia"/>
          <w:sz w:val="30"/>
          <w:szCs w:val="30"/>
        </w:rPr>
      </w:pPr>
    </w:p>
    <w:p w14:paraId="3389A190">
      <w:pPr>
        <w:bidi w:val="0"/>
        <w:rPr>
          <w:rFonts w:hint="eastAsia"/>
          <w:sz w:val="30"/>
          <w:szCs w:val="30"/>
        </w:rPr>
      </w:pPr>
      <w:r>
        <w:rPr>
          <w:rFonts w:hint="eastAsia"/>
          <w:sz w:val="30"/>
          <w:szCs w:val="30"/>
        </w:rPr>
        <w:t>在这里，我们有一个国度的实际定义：它是一个神的旨意行得如同在天上的范围。</w:t>
      </w:r>
    </w:p>
    <w:p w14:paraId="0F0D97F3">
      <w:pPr>
        <w:bidi w:val="0"/>
        <w:rPr>
          <w:rFonts w:hint="eastAsia"/>
          <w:sz w:val="30"/>
          <w:szCs w:val="30"/>
        </w:rPr>
      </w:pPr>
    </w:p>
    <w:p w14:paraId="3B8657CA">
      <w:pPr>
        <w:bidi w:val="0"/>
        <w:rPr>
          <w:rFonts w:hint="eastAsia"/>
          <w:sz w:val="30"/>
          <w:szCs w:val="30"/>
        </w:rPr>
      </w:pPr>
      <w:r>
        <w:rPr>
          <w:rFonts w:hint="eastAsia"/>
          <w:sz w:val="30"/>
          <w:szCs w:val="30"/>
        </w:rPr>
        <w:t>But to understand this saying, we must be clear on two points.</w:t>
      </w:r>
    </w:p>
    <w:p w14:paraId="3DA9F5F8">
      <w:pPr>
        <w:bidi w:val="0"/>
        <w:rPr>
          <w:rFonts w:hint="eastAsia"/>
          <w:sz w:val="30"/>
          <w:szCs w:val="30"/>
        </w:rPr>
      </w:pPr>
    </w:p>
    <w:p w14:paraId="67961846">
      <w:pPr>
        <w:bidi w:val="0"/>
        <w:rPr>
          <w:rFonts w:hint="eastAsia"/>
          <w:sz w:val="30"/>
          <w:szCs w:val="30"/>
        </w:rPr>
      </w:pPr>
      <w:r>
        <w:rPr>
          <w:rFonts w:hint="eastAsia"/>
          <w:sz w:val="30"/>
          <w:szCs w:val="30"/>
        </w:rPr>
        <w:t>但要理解这句话，我们必须清楚两点。</w:t>
      </w:r>
    </w:p>
    <w:p w14:paraId="6A03AC86">
      <w:pPr>
        <w:bidi w:val="0"/>
        <w:rPr>
          <w:rFonts w:hint="eastAsia"/>
          <w:sz w:val="30"/>
          <w:szCs w:val="30"/>
        </w:rPr>
      </w:pPr>
    </w:p>
    <w:p w14:paraId="5E7F5A7D">
      <w:pPr>
        <w:bidi w:val="0"/>
        <w:rPr>
          <w:rFonts w:hint="eastAsia"/>
          <w:sz w:val="30"/>
          <w:szCs w:val="30"/>
        </w:rPr>
      </w:pPr>
      <w:r>
        <w:rPr>
          <w:rFonts w:hint="eastAsia"/>
          <w:sz w:val="30"/>
          <w:szCs w:val="30"/>
        </w:rPr>
        <w:t>First, what exactly does Jesus mean by the Father’s “will”?</w:t>
      </w:r>
    </w:p>
    <w:p w14:paraId="73E373CA">
      <w:pPr>
        <w:bidi w:val="0"/>
        <w:rPr>
          <w:rFonts w:hint="eastAsia"/>
          <w:sz w:val="30"/>
          <w:szCs w:val="30"/>
        </w:rPr>
      </w:pPr>
    </w:p>
    <w:p w14:paraId="31010CB7">
      <w:pPr>
        <w:bidi w:val="0"/>
        <w:rPr>
          <w:rFonts w:hint="eastAsia"/>
          <w:sz w:val="30"/>
          <w:szCs w:val="30"/>
        </w:rPr>
      </w:pPr>
      <w:r>
        <w:rPr>
          <w:rFonts w:hint="eastAsia"/>
          <w:sz w:val="30"/>
          <w:szCs w:val="30"/>
        </w:rPr>
        <w:t>首先，耶稣所说的父的“旨意”究竟是什么意思？</w:t>
      </w:r>
    </w:p>
    <w:p w14:paraId="49518354">
      <w:pPr>
        <w:bidi w:val="0"/>
        <w:rPr>
          <w:rFonts w:hint="eastAsia"/>
          <w:sz w:val="30"/>
          <w:szCs w:val="30"/>
        </w:rPr>
      </w:pPr>
    </w:p>
    <w:p w14:paraId="668A54BC">
      <w:pPr>
        <w:bidi w:val="0"/>
        <w:rPr>
          <w:rFonts w:hint="eastAsia"/>
          <w:sz w:val="30"/>
          <w:szCs w:val="30"/>
        </w:rPr>
      </w:pPr>
      <w:r>
        <w:rPr>
          <w:rFonts w:hint="eastAsia"/>
          <w:sz w:val="30"/>
          <w:szCs w:val="30"/>
        </w:rPr>
        <w:t>And secondly, what is the difference, at present, between the way this will is being done in heaven and on earth?</w:t>
      </w:r>
    </w:p>
    <w:p w14:paraId="7229A74A">
      <w:pPr>
        <w:bidi w:val="0"/>
        <w:rPr>
          <w:rFonts w:hint="eastAsia"/>
          <w:sz w:val="30"/>
          <w:szCs w:val="30"/>
        </w:rPr>
      </w:pPr>
    </w:p>
    <w:p w14:paraId="0837CA63">
      <w:pPr>
        <w:bidi w:val="0"/>
        <w:rPr>
          <w:rFonts w:hint="eastAsia"/>
          <w:sz w:val="30"/>
          <w:szCs w:val="30"/>
        </w:rPr>
      </w:pPr>
      <w:r>
        <w:rPr>
          <w:rFonts w:hint="eastAsia"/>
          <w:sz w:val="30"/>
          <w:szCs w:val="30"/>
        </w:rPr>
        <w:t>其次，目前这旨意在天上和在地上行的方式有何不同？</w:t>
      </w:r>
    </w:p>
    <w:p w14:paraId="363EDC79">
      <w:pPr>
        <w:bidi w:val="0"/>
        <w:rPr>
          <w:rFonts w:hint="eastAsia"/>
          <w:sz w:val="30"/>
          <w:szCs w:val="30"/>
        </w:rPr>
      </w:pPr>
    </w:p>
    <w:p w14:paraId="01F19EB2">
      <w:pPr>
        <w:bidi w:val="0"/>
        <w:rPr>
          <w:rFonts w:hint="eastAsia"/>
          <w:sz w:val="30"/>
          <w:szCs w:val="30"/>
        </w:rPr>
      </w:pPr>
      <w:r>
        <w:rPr>
          <w:rFonts w:hint="eastAsia"/>
          <w:sz w:val="30"/>
          <w:szCs w:val="30"/>
        </w:rPr>
        <w:t>Concerning the first question, it is clear that here Jesus has in mind what theologians call God’s will of precept (or moral will, or will of command).</w:t>
      </w:r>
    </w:p>
    <w:p w14:paraId="719D1220">
      <w:pPr>
        <w:bidi w:val="0"/>
        <w:rPr>
          <w:rFonts w:hint="eastAsia"/>
          <w:sz w:val="30"/>
          <w:szCs w:val="30"/>
        </w:rPr>
      </w:pPr>
    </w:p>
    <w:p w14:paraId="082187EA">
      <w:pPr>
        <w:bidi w:val="0"/>
        <w:rPr>
          <w:rFonts w:hint="eastAsia"/>
          <w:sz w:val="30"/>
          <w:szCs w:val="30"/>
        </w:rPr>
      </w:pPr>
      <w:r>
        <w:rPr>
          <w:rFonts w:hint="eastAsia"/>
          <w:sz w:val="30"/>
          <w:szCs w:val="30"/>
        </w:rPr>
        <w:t>关于第一个问题，很清楚，耶稣在这里想到的是神学家们所称的神的训令旨意（或道德旨意，或命令旨意）。</w:t>
      </w:r>
    </w:p>
    <w:p w14:paraId="292D2A19">
      <w:pPr>
        <w:bidi w:val="0"/>
        <w:rPr>
          <w:rFonts w:hint="eastAsia"/>
          <w:sz w:val="30"/>
          <w:szCs w:val="30"/>
        </w:rPr>
      </w:pPr>
    </w:p>
    <w:p w14:paraId="31867EC1">
      <w:pPr>
        <w:bidi w:val="0"/>
        <w:rPr>
          <w:rFonts w:hint="eastAsia"/>
          <w:sz w:val="30"/>
          <w:szCs w:val="30"/>
        </w:rPr>
      </w:pPr>
      <w:r>
        <w:rPr>
          <w:rFonts w:hint="eastAsia"/>
          <w:sz w:val="30"/>
          <w:szCs w:val="30"/>
        </w:rPr>
        <w:t>Revealed in Eden, revealed in Christ, and revealed in his Scriptural promises and precepts, it may be defined as that which God expressly desires his creatures to do and to be, so that they, reflecting both the character of their Creator and his benevolent purpose for their lives, may naturally and joyfully bring glory to him.</w:t>
      </w:r>
    </w:p>
    <w:p w14:paraId="7C178B7D">
      <w:pPr>
        <w:bidi w:val="0"/>
        <w:rPr>
          <w:rFonts w:hint="eastAsia"/>
          <w:sz w:val="30"/>
          <w:szCs w:val="30"/>
        </w:rPr>
      </w:pPr>
    </w:p>
    <w:p w14:paraId="750C367D">
      <w:pPr>
        <w:bidi w:val="0"/>
        <w:rPr>
          <w:rFonts w:hint="eastAsia"/>
          <w:sz w:val="30"/>
          <w:szCs w:val="30"/>
        </w:rPr>
      </w:pPr>
      <w:r>
        <w:rPr>
          <w:rFonts w:hint="eastAsia"/>
          <w:sz w:val="30"/>
          <w:szCs w:val="30"/>
        </w:rPr>
        <w:t>这旨意在伊甸园中启示，在基督里启示，并在祂圣经的应许和训令中启示，它可以被定义为神明确渴望祂的受造之物所作所是，好叫他们能反映他们创造主的性情和祂对他们生命之仁慈的旨意，从而自然而喜乐地将荣耀归给祂。</w:t>
      </w:r>
    </w:p>
    <w:p w14:paraId="3C32F5FC">
      <w:pPr>
        <w:bidi w:val="0"/>
        <w:rPr>
          <w:rFonts w:hint="eastAsia"/>
          <w:sz w:val="30"/>
          <w:szCs w:val="30"/>
        </w:rPr>
      </w:pPr>
    </w:p>
    <w:p w14:paraId="71E36E31">
      <w:pPr>
        <w:bidi w:val="0"/>
        <w:rPr>
          <w:rFonts w:hint="eastAsia"/>
          <w:sz w:val="30"/>
          <w:szCs w:val="30"/>
        </w:rPr>
      </w:pPr>
      <w:r>
        <w:rPr>
          <w:rFonts w:hint="eastAsia"/>
          <w:sz w:val="30"/>
          <w:szCs w:val="30"/>
        </w:rPr>
        <w:t>Up in heaven, God’s will of precept is now being done perfectly.</w:t>
      </w:r>
    </w:p>
    <w:p w14:paraId="06313270">
      <w:pPr>
        <w:bidi w:val="0"/>
        <w:rPr>
          <w:rFonts w:hint="eastAsia"/>
          <w:sz w:val="30"/>
          <w:szCs w:val="30"/>
        </w:rPr>
      </w:pPr>
    </w:p>
    <w:p w14:paraId="16F961EF">
      <w:pPr>
        <w:bidi w:val="0"/>
        <w:rPr>
          <w:rFonts w:hint="eastAsia"/>
          <w:sz w:val="30"/>
          <w:szCs w:val="30"/>
        </w:rPr>
      </w:pPr>
      <w:r>
        <w:rPr>
          <w:rFonts w:hint="eastAsia"/>
          <w:sz w:val="30"/>
          <w:szCs w:val="30"/>
        </w:rPr>
        <w:t>在天上，神的训令旨意如今正被完全地遵行。</w:t>
      </w:r>
    </w:p>
    <w:p w14:paraId="351388BB">
      <w:pPr>
        <w:bidi w:val="0"/>
        <w:rPr>
          <w:rFonts w:hint="eastAsia"/>
          <w:sz w:val="30"/>
          <w:szCs w:val="30"/>
        </w:rPr>
      </w:pPr>
    </w:p>
    <w:p w14:paraId="02B3EE4A">
      <w:pPr>
        <w:bidi w:val="0"/>
        <w:rPr>
          <w:rFonts w:hint="eastAsia"/>
          <w:sz w:val="30"/>
          <w:szCs w:val="30"/>
        </w:rPr>
      </w:pPr>
      <w:r>
        <w:rPr>
          <w:rFonts w:hint="eastAsia"/>
          <w:sz w:val="30"/>
          <w:szCs w:val="30"/>
        </w:rPr>
        <w:t>Why?</w:t>
      </w:r>
    </w:p>
    <w:p w14:paraId="7F80019B">
      <w:pPr>
        <w:bidi w:val="0"/>
        <w:rPr>
          <w:rFonts w:hint="eastAsia"/>
          <w:sz w:val="30"/>
          <w:szCs w:val="30"/>
        </w:rPr>
      </w:pPr>
    </w:p>
    <w:p w14:paraId="5724CCDD">
      <w:pPr>
        <w:bidi w:val="0"/>
        <w:rPr>
          <w:rFonts w:hint="eastAsia"/>
          <w:sz w:val="30"/>
          <w:szCs w:val="30"/>
        </w:rPr>
      </w:pPr>
      <w:r>
        <w:rPr>
          <w:rFonts w:hint="eastAsia"/>
          <w:sz w:val="30"/>
          <w:szCs w:val="30"/>
        </w:rPr>
        <w:t>为什么？</w:t>
      </w:r>
    </w:p>
    <w:p w14:paraId="0C0C934E">
      <w:pPr>
        <w:bidi w:val="0"/>
        <w:rPr>
          <w:rFonts w:hint="eastAsia"/>
          <w:sz w:val="30"/>
          <w:szCs w:val="30"/>
        </w:rPr>
      </w:pPr>
    </w:p>
    <w:p w14:paraId="75694D4D">
      <w:pPr>
        <w:bidi w:val="0"/>
        <w:rPr>
          <w:rFonts w:hint="eastAsia"/>
          <w:sz w:val="30"/>
          <w:szCs w:val="30"/>
        </w:rPr>
      </w:pPr>
      <w:r>
        <w:rPr>
          <w:rFonts w:hint="eastAsia"/>
          <w:sz w:val="30"/>
          <w:szCs w:val="30"/>
        </w:rPr>
        <w:t>Because up there God rules directly over the spirits of the saints and angels, with the result that their wills and his will are one.</w:t>
      </w:r>
    </w:p>
    <w:p w14:paraId="34C0159C">
      <w:pPr>
        <w:bidi w:val="0"/>
        <w:rPr>
          <w:rFonts w:hint="eastAsia"/>
          <w:sz w:val="30"/>
          <w:szCs w:val="30"/>
        </w:rPr>
      </w:pPr>
    </w:p>
    <w:p w14:paraId="091F60C6">
      <w:pPr>
        <w:bidi w:val="0"/>
        <w:rPr>
          <w:rFonts w:hint="eastAsia"/>
          <w:sz w:val="30"/>
          <w:szCs w:val="30"/>
        </w:rPr>
      </w:pPr>
      <w:r>
        <w:rPr>
          <w:rFonts w:hint="eastAsia"/>
          <w:sz w:val="30"/>
          <w:szCs w:val="30"/>
        </w:rPr>
        <w:t>因为在那里，神直接统治着众圣徒和天使的灵，其结果是他们的意志和祂的旨意是合一的。</w:t>
      </w:r>
    </w:p>
    <w:p w14:paraId="795ED2DE">
      <w:pPr>
        <w:bidi w:val="0"/>
        <w:rPr>
          <w:rFonts w:hint="eastAsia"/>
          <w:sz w:val="30"/>
          <w:szCs w:val="30"/>
        </w:rPr>
      </w:pPr>
    </w:p>
    <w:p w14:paraId="383C7545">
      <w:pPr>
        <w:bidi w:val="0"/>
        <w:rPr>
          <w:rFonts w:hint="eastAsia"/>
          <w:sz w:val="30"/>
          <w:szCs w:val="30"/>
        </w:rPr>
      </w:pPr>
      <w:r>
        <w:rPr>
          <w:rFonts w:hint="eastAsia"/>
          <w:sz w:val="30"/>
          <w:szCs w:val="30"/>
        </w:rPr>
        <w:t>This is what makes heaven to be heaven.</w:t>
      </w:r>
    </w:p>
    <w:p w14:paraId="0B5D10C4">
      <w:pPr>
        <w:bidi w:val="0"/>
        <w:rPr>
          <w:rFonts w:hint="eastAsia"/>
          <w:sz w:val="30"/>
          <w:szCs w:val="30"/>
        </w:rPr>
      </w:pPr>
    </w:p>
    <w:p w14:paraId="1EDAC676">
      <w:pPr>
        <w:bidi w:val="0"/>
        <w:rPr>
          <w:rFonts w:hint="eastAsia"/>
          <w:sz w:val="30"/>
          <w:szCs w:val="30"/>
        </w:rPr>
      </w:pPr>
      <w:r>
        <w:rPr>
          <w:rFonts w:hint="eastAsia"/>
          <w:sz w:val="30"/>
          <w:szCs w:val="30"/>
        </w:rPr>
        <w:t>这就是使天成为天的原因。</w:t>
      </w:r>
    </w:p>
    <w:p w14:paraId="7FE0E0B5">
      <w:pPr>
        <w:bidi w:val="0"/>
        <w:rPr>
          <w:rFonts w:hint="eastAsia"/>
          <w:sz w:val="30"/>
          <w:szCs w:val="30"/>
        </w:rPr>
      </w:pPr>
    </w:p>
    <w:p w14:paraId="7320BEE1">
      <w:pPr>
        <w:bidi w:val="0"/>
        <w:rPr>
          <w:rFonts w:hint="eastAsia"/>
          <w:sz w:val="30"/>
          <w:szCs w:val="30"/>
        </w:rPr>
      </w:pPr>
      <w:r>
        <w:rPr>
          <w:rFonts w:hint="eastAsia"/>
          <w:sz w:val="30"/>
          <w:szCs w:val="30"/>
        </w:rPr>
        <w:t>Since there God conforms all things to his will of precept, all things reflect his glory and partake of his joy.</w:t>
      </w:r>
    </w:p>
    <w:p w14:paraId="54C1F178">
      <w:pPr>
        <w:bidi w:val="0"/>
        <w:rPr>
          <w:rFonts w:hint="eastAsia"/>
          <w:sz w:val="30"/>
          <w:szCs w:val="30"/>
        </w:rPr>
      </w:pPr>
    </w:p>
    <w:p w14:paraId="0F18779A">
      <w:pPr>
        <w:bidi w:val="0"/>
        <w:rPr>
          <w:rFonts w:hint="eastAsia"/>
          <w:sz w:val="30"/>
          <w:szCs w:val="30"/>
        </w:rPr>
      </w:pPr>
      <w:r>
        <w:rPr>
          <w:rFonts w:hint="eastAsia"/>
          <w:sz w:val="30"/>
          <w:szCs w:val="30"/>
        </w:rPr>
        <w:t>既然在那里神使万事都符合祂的训令旨意，万事就都反映祂的荣耀，并有分于祂的喜乐。</w:t>
      </w:r>
    </w:p>
    <w:p w14:paraId="6D0A4269">
      <w:pPr>
        <w:bidi w:val="0"/>
        <w:rPr>
          <w:rFonts w:hint="eastAsia"/>
          <w:sz w:val="30"/>
          <w:szCs w:val="30"/>
        </w:rPr>
      </w:pPr>
    </w:p>
    <w:p w14:paraId="211680D4">
      <w:pPr>
        <w:bidi w:val="0"/>
        <w:rPr>
          <w:rFonts w:hint="eastAsia"/>
          <w:sz w:val="30"/>
          <w:szCs w:val="30"/>
        </w:rPr>
      </w:pPr>
      <w:r>
        <w:rPr>
          <w:rFonts w:hint="eastAsia"/>
          <w:sz w:val="30"/>
          <w:szCs w:val="30"/>
        </w:rPr>
        <w:t>In heaven, the Kingdom of God has come.</w:t>
      </w:r>
    </w:p>
    <w:p w14:paraId="57DAA852">
      <w:pPr>
        <w:bidi w:val="0"/>
        <w:rPr>
          <w:rFonts w:hint="eastAsia"/>
          <w:sz w:val="30"/>
          <w:szCs w:val="30"/>
        </w:rPr>
      </w:pPr>
    </w:p>
    <w:p w14:paraId="5E46358D">
      <w:pPr>
        <w:bidi w:val="0"/>
        <w:rPr>
          <w:rFonts w:hint="eastAsia"/>
          <w:sz w:val="30"/>
          <w:szCs w:val="30"/>
        </w:rPr>
      </w:pPr>
      <w:r>
        <w:rPr>
          <w:rFonts w:hint="eastAsia"/>
          <w:sz w:val="30"/>
          <w:szCs w:val="30"/>
        </w:rPr>
        <w:t>在天上，神的国已经降临。</w:t>
      </w:r>
    </w:p>
    <w:p w14:paraId="518A00CF">
      <w:pPr>
        <w:bidi w:val="0"/>
        <w:rPr>
          <w:rFonts w:hint="eastAsia"/>
          <w:sz w:val="30"/>
          <w:szCs w:val="30"/>
        </w:rPr>
      </w:pPr>
    </w:p>
    <w:p w14:paraId="657483A1">
      <w:pPr>
        <w:bidi w:val="0"/>
        <w:rPr>
          <w:rFonts w:hint="eastAsia"/>
          <w:sz w:val="30"/>
          <w:szCs w:val="30"/>
        </w:rPr>
      </w:pPr>
      <w:r>
        <w:rPr>
          <w:rFonts w:hint="eastAsia"/>
          <w:sz w:val="30"/>
          <w:szCs w:val="30"/>
        </w:rPr>
        <w:t>However, it has not yet come to the earth; or rather, it has not yet fully come to the earth, as it has to heaven.</w:t>
      </w:r>
    </w:p>
    <w:p w14:paraId="4509BFFE">
      <w:pPr>
        <w:bidi w:val="0"/>
        <w:rPr>
          <w:rFonts w:hint="eastAsia"/>
          <w:sz w:val="30"/>
          <w:szCs w:val="30"/>
        </w:rPr>
      </w:pPr>
    </w:p>
    <w:p w14:paraId="799FC02B">
      <w:pPr>
        <w:bidi w:val="0"/>
        <w:rPr>
          <w:rFonts w:hint="eastAsia"/>
          <w:sz w:val="30"/>
          <w:szCs w:val="30"/>
        </w:rPr>
      </w:pPr>
      <w:r>
        <w:rPr>
          <w:rFonts w:hint="eastAsia"/>
          <w:sz w:val="30"/>
          <w:szCs w:val="30"/>
        </w:rPr>
        <w:t>然而，它尚未降临到地上；或者说，它尚未像在天上那样完全地降临到地上。</w:t>
      </w:r>
    </w:p>
    <w:p w14:paraId="4232A39A">
      <w:pPr>
        <w:bidi w:val="0"/>
        <w:rPr>
          <w:rFonts w:hint="eastAsia"/>
          <w:sz w:val="30"/>
          <w:szCs w:val="30"/>
        </w:rPr>
      </w:pPr>
    </w:p>
    <w:p w14:paraId="2F92F278">
      <w:pPr>
        <w:bidi w:val="0"/>
        <w:rPr>
          <w:rFonts w:hint="eastAsia"/>
          <w:sz w:val="30"/>
          <w:szCs w:val="30"/>
        </w:rPr>
      </w:pPr>
      <w:r>
        <w:rPr>
          <w:rFonts w:hint="eastAsia"/>
          <w:sz w:val="30"/>
          <w:szCs w:val="30"/>
        </w:rPr>
        <w:t>Importantly, this does not mean that in our fallen world God’s “will” is not being done.</w:t>
      </w:r>
    </w:p>
    <w:p w14:paraId="22E33F92">
      <w:pPr>
        <w:bidi w:val="0"/>
        <w:rPr>
          <w:rFonts w:hint="eastAsia"/>
          <w:sz w:val="30"/>
          <w:szCs w:val="30"/>
        </w:rPr>
      </w:pPr>
    </w:p>
    <w:p w14:paraId="534E1E71">
      <w:pPr>
        <w:bidi w:val="0"/>
        <w:rPr>
          <w:rFonts w:hint="eastAsia"/>
          <w:sz w:val="30"/>
          <w:szCs w:val="30"/>
        </w:rPr>
      </w:pPr>
      <w:r>
        <w:rPr>
          <w:rFonts w:hint="eastAsia"/>
          <w:sz w:val="30"/>
          <w:szCs w:val="30"/>
        </w:rPr>
        <w:t>重要的是，这并不意味着在我们堕落的世界里，神的“旨意”没有被遵行。</w:t>
      </w:r>
    </w:p>
    <w:p w14:paraId="6397D762">
      <w:pPr>
        <w:bidi w:val="0"/>
        <w:rPr>
          <w:rFonts w:hint="eastAsia"/>
          <w:sz w:val="30"/>
          <w:szCs w:val="30"/>
        </w:rPr>
      </w:pPr>
    </w:p>
    <w:p w14:paraId="41D09629">
      <w:pPr>
        <w:bidi w:val="0"/>
        <w:rPr>
          <w:rFonts w:hint="eastAsia"/>
          <w:sz w:val="30"/>
          <w:szCs w:val="30"/>
        </w:rPr>
      </w:pPr>
      <w:r>
        <w:rPr>
          <w:rFonts w:hint="eastAsia"/>
          <w:sz w:val="30"/>
          <w:szCs w:val="30"/>
        </w:rPr>
        <w:t>For according to the Bible, everything that happens on earth happens according to his will of purpose, that is, according to his eternal decrees.</w:t>
      </w:r>
    </w:p>
    <w:p w14:paraId="27860076">
      <w:pPr>
        <w:bidi w:val="0"/>
        <w:rPr>
          <w:rFonts w:hint="eastAsia"/>
          <w:sz w:val="30"/>
          <w:szCs w:val="30"/>
        </w:rPr>
      </w:pPr>
    </w:p>
    <w:p w14:paraId="5207ADC2">
      <w:pPr>
        <w:bidi w:val="0"/>
        <w:rPr>
          <w:rFonts w:hint="eastAsia"/>
          <w:sz w:val="30"/>
          <w:szCs w:val="30"/>
        </w:rPr>
      </w:pPr>
      <w:r>
        <w:rPr>
          <w:rFonts w:hint="eastAsia"/>
          <w:sz w:val="30"/>
          <w:szCs w:val="30"/>
        </w:rPr>
        <w:t>因为根据圣经，地上发生的一切事，都是按照祂的定旨旨意，也就是按照祂永恒的谕令发生的。</w:t>
      </w:r>
    </w:p>
    <w:p w14:paraId="73B48848">
      <w:pPr>
        <w:bidi w:val="0"/>
        <w:rPr>
          <w:rFonts w:hint="eastAsia"/>
          <w:sz w:val="30"/>
          <w:szCs w:val="30"/>
        </w:rPr>
      </w:pPr>
    </w:p>
    <w:p w14:paraId="4CFDCE6E">
      <w:pPr>
        <w:bidi w:val="0"/>
        <w:rPr>
          <w:rFonts w:hint="eastAsia"/>
          <w:sz w:val="30"/>
          <w:szCs w:val="30"/>
        </w:rPr>
      </w:pPr>
      <w:r>
        <w:rPr>
          <w:rFonts w:hint="eastAsia"/>
          <w:sz w:val="30"/>
          <w:szCs w:val="30"/>
        </w:rPr>
        <w:t>Mysteriously enough, this even includes situations and events that are contrary to his will of precept.</w:t>
      </w:r>
    </w:p>
    <w:p w14:paraId="29E32143">
      <w:pPr>
        <w:bidi w:val="0"/>
        <w:rPr>
          <w:rFonts w:hint="eastAsia"/>
          <w:sz w:val="30"/>
          <w:szCs w:val="30"/>
        </w:rPr>
      </w:pPr>
    </w:p>
    <w:p w14:paraId="2986F288">
      <w:pPr>
        <w:bidi w:val="0"/>
        <w:rPr>
          <w:rFonts w:hint="eastAsia"/>
          <w:sz w:val="30"/>
          <w:szCs w:val="30"/>
        </w:rPr>
      </w:pPr>
      <w:r>
        <w:rPr>
          <w:rFonts w:hint="eastAsia"/>
          <w:sz w:val="30"/>
          <w:szCs w:val="30"/>
        </w:rPr>
        <w:t>神秘的是，这甚至包括了与祂的训令旨意相悖的情形和事件。</w:t>
      </w:r>
    </w:p>
    <w:p w14:paraId="51C5A813">
      <w:pPr>
        <w:bidi w:val="0"/>
        <w:rPr>
          <w:rFonts w:hint="eastAsia"/>
          <w:sz w:val="30"/>
          <w:szCs w:val="30"/>
        </w:rPr>
      </w:pPr>
    </w:p>
    <w:p w14:paraId="3FE99AB3">
      <w:pPr>
        <w:bidi w:val="0"/>
        <w:rPr>
          <w:rFonts w:hint="eastAsia"/>
          <w:sz w:val="30"/>
          <w:szCs w:val="30"/>
        </w:rPr>
      </w:pPr>
      <w:r>
        <w:rPr>
          <w:rFonts w:hint="eastAsia"/>
          <w:sz w:val="30"/>
          <w:szCs w:val="30"/>
        </w:rPr>
        <w:t>Thus, we find Jesus asking, “Are not two sparrows sold for a copper coin, and not one of them falls to the ground apart from your Father’s will” (Mt. 10:29, John 19:11, Eph. 1:11).</w:t>
      </w:r>
    </w:p>
    <w:p w14:paraId="5DDE6075">
      <w:pPr>
        <w:bidi w:val="0"/>
        <w:rPr>
          <w:rFonts w:hint="eastAsia"/>
          <w:sz w:val="30"/>
          <w:szCs w:val="30"/>
        </w:rPr>
      </w:pPr>
    </w:p>
    <w:p w14:paraId="383FB628">
      <w:pPr>
        <w:bidi w:val="0"/>
        <w:rPr>
          <w:rFonts w:hint="eastAsia"/>
          <w:sz w:val="30"/>
          <w:szCs w:val="30"/>
        </w:rPr>
      </w:pPr>
      <w:r>
        <w:rPr>
          <w:rFonts w:hint="eastAsia"/>
          <w:sz w:val="30"/>
          <w:szCs w:val="30"/>
        </w:rPr>
        <w:t>因此，我们发现耶稣问：“两个麻雀不是卖一个铜钱么？若是你们的父不许，一个也不能掉在地上”（太 10:29, 约 19:11, 弗 1:11）。</w:t>
      </w:r>
    </w:p>
    <w:p w14:paraId="285C80C5">
      <w:pPr>
        <w:bidi w:val="0"/>
        <w:rPr>
          <w:rFonts w:hint="eastAsia"/>
          <w:sz w:val="30"/>
          <w:szCs w:val="30"/>
        </w:rPr>
      </w:pPr>
    </w:p>
    <w:p w14:paraId="5A1E7930">
      <w:pPr>
        <w:bidi w:val="0"/>
        <w:rPr>
          <w:rFonts w:hint="eastAsia"/>
          <w:sz w:val="30"/>
          <w:szCs w:val="30"/>
        </w:rPr>
      </w:pPr>
      <w:r>
        <w:rPr>
          <w:rFonts w:hint="eastAsia"/>
          <w:sz w:val="30"/>
          <w:szCs w:val="30"/>
        </w:rPr>
        <w:t>Now, it is not God’s express desire—his will of precept—that sparrows should fall to the ground.</w:t>
      </w:r>
    </w:p>
    <w:p w14:paraId="4283189E">
      <w:pPr>
        <w:bidi w:val="0"/>
        <w:rPr>
          <w:rFonts w:hint="eastAsia"/>
          <w:sz w:val="30"/>
          <w:szCs w:val="30"/>
        </w:rPr>
      </w:pPr>
    </w:p>
    <w:p w14:paraId="2CCC1C99">
      <w:pPr>
        <w:bidi w:val="0"/>
        <w:rPr>
          <w:rFonts w:hint="eastAsia"/>
          <w:sz w:val="30"/>
          <w:szCs w:val="30"/>
        </w:rPr>
      </w:pPr>
      <w:r>
        <w:rPr>
          <w:rFonts w:hint="eastAsia"/>
          <w:sz w:val="30"/>
          <w:szCs w:val="30"/>
        </w:rPr>
        <w:t>现在，麻雀掉在地上并非神的明确愿望——祂的训令旨意。</w:t>
      </w:r>
    </w:p>
    <w:p w14:paraId="6B14C3CF">
      <w:pPr>
        <w:bidi w:val="0"/>
        <w:rPr>
          <w:rFonts w:hint="eastAsia"/>
          <w:sz w:val="30"/>
          <w:szCs w:val="30"/>
        </w:rPr>
      </w:pPr>
    </w:p>
    <w:p w14:paraId="770D6466">
      <w:pPr>
        <w:bidi w:val="0"/>
        <w:rPr>
          <w:rFonts w:hint="eastAsia"/>
          <w:sz w:val="30"/>
          <w:szCs w:val="30"/>
        </w:rPr>
      </w:pPr>
      <w:r>
        <w:rPr>
          <w:rFonts w:hint="eastAsia"/>
          <w:sz w:val="30"/>
          <w:szCs w:val="30"/>
        </w:rPr>
        <w:t>But yes, for wise reasons it is indeed—for the moment—his will of purpose.</w:t>
      </w:r>
    </w:p>
    <w:p w14:paraId="7EC95974">
      <w:pPr>
        <w:bidi w:val="0"/>
        <w:rPr>
          <w:rFonts w:hint="eastAsia"/>
          <w:sz w:val="30"/>
          <w:szCs w:val="30"/>
        </w:rPr>
      </w:pPr>
    </w:p>
    <w:p w14:paraId="44C4E0EB">
      <w:pPr>
        <w:bidi w:val="0"/>
        <w:rPr>
          <w:rFonts w:hint="eastAsia"/>
          <w:sz w:val="30"/>
          <w:szCs w:val="30"/>
        </w:rPr>
      </w:pPr>
      <w:r>
        <w:rPr>
          <w:rFonts w:hint="eastAsia"/>
          <w:sz w:val="30"/>
          <w:szCs w:val="30"/>
        </w:rPr>
        <w:t>但是，是的，出于智慧的原因，这确实——暂时地——是祂的定旨旨意。</w:t>
      </w:r>
    </w:p>
    <w:p w14:paraId="308322F6">
      <w:pPr>
        <w:bidi w:val="0"/>
        <w:rPr>
          <w:rFonts w:hint="eastAsia"/>
          <w:sz w:val="30"/>
          <w:szCs w:val="30"/>
        </w:rPr>
      </w:pPr>
    </w:p>
    <w:p w14:paraId="2450C2D4">
      <w:pPr>
        <w:bidi w:val="0"/>
        <w:rPr>
          <w:rFonts w:hint="eastAsia"/>
          <w:sz w:val="30"/>
          <w:szCs w:val="30"/>
        </w:rPr>
      </w:pPr>
      <w:r>
        <w:rPr>
          <w:rFonts w:hint="eastAsia"/>
          <w:sz w:val="30"/>
          <w:szCs w:val="30"/>
        </w:rPr>
        <w:t>We find, then, that God’s absolute sovereignty over all events does not mean that his Kingdom has (fully) come to the earth.</w:t>
      </w:r>
    </w:p>
    <w:p w14:paraId="3BB793A1">
      <w:pPr>
        <w:bidi w:val="0"/>
        <w:rPr>
          <w:rFonts w:hint="eastAsia"/>
          <w:sz w:val="30"/>
          <w:szCs w:val="30"/>
        </w:rPr>
      </w:pPr>
    </w:p>
    <w:p w14:paraId="738FA3EA">
      <w:pPr>
        <w:bidi w:val="0"/>
        <w:rPr>
          <w:rFonts w:hint="eastAsia"/>
          <w:sz w:val="30"/>
          <w:szCs w:val="30"/>
        </w:rPr>
      </w:pPr>
      <w:r>
        <w:rPr>
          <w:rFonts w:hint="eastAsia"/>
          <w:sz w:val="30"/>
          <w:szCs w:val="30"/>
        </w:rPr>
        <w:t>那么，我们发现，神对所有事件的绝对主宰，并不意味着祂的国已经（完全）降临到地上。</w:t>
      </w:r>
    </w:p>
    <w:p w14:paraId="76C2AC0F">
      <w:pPr>
        <w:bidi w:val="0"/>
        <w:rPr>
          <w:rFonts w:hint="eastAsia"/>
          <w:sz w:val="30"/>
          <w:szCs w:val="30"/>
        </w:rPr>
      </w:pPr>
    </w:p>
    <w:p w14:paraId="2E9CE810">
      <w:pPr>
        <w:bidi w:val="0"/>
        <w:rPr>
          <w:rFonts w:hint="eastAsia"/>
          <w:sz w:val="30"/>
          <w:szCs w:val="30"/>
        </w:rPr>
      </w:pPr>
      <w:r>
        <w:rPr>
          <w:rFonts w:hint="eastAsia"/>
          <w:sz w:val="30"/>
          <w:szCs w:val="30"/>
        </w:rPr>
        <w:t>That’s because at present he is largely reigning indirectly.</w:t>
      </w:r>
    </w:p>
    <w:p w14:paraId="0FAF5711">
      <w:pPr>
        <w:bidi w:val="0"/>
        <w:rPr>
          <w:rFonts w:hint="eastAsia"/>
          <w:sz w:val="30"/>
          <w:szCs w:val="30"/>
        </w:rPr>
      </w:pPr>
    </w:p>
    <w:p w14:paraId="654603AA">
      <w:pPr>
        <w:bidi w:val="0"/>
        <w:rPr>
          <w:rFonts w:hint="eastAsia"/>
          <w:sz w:val="30"/>
          <w:szCs w:val="30"/>
        </w:rPr>
      </w:pPr>
      <w:r>
        <w:rPr>
          <w:rFonts w:hint="eastAsia"/>
          <w:sz w:val="30"/>
          <w:szCs w:val="30"/>
        </w:rPr>
        <w:t>那是因为目前祂主要是间接地掌权。</w:t>
      </w:r>
    </w:p>
    <w:p w14:paraId="564D6393">
      <w:pPr>
        <w:bidi w:val="0"/>
        <w:rPr>
          <w:rFonts w:hint="eastAsia"/>
          <w:sz w:val="30"/>
          <w:szCs w:val="30"/>
        </w:rPr>
      </w:pPr>
    </w:p>
    <w:p w14:paraId="039C6250">
      <w:pPr>
        <w:bidi w:val="0"/>
        <w:rPr>
          <w:rFonts w:hint="eastAsia"/>
          <w:sz w:val="30"/>
          <w:szCs w:val="30"/>
        </w:rPr>
      </w:pPr>
      <w:r>
        <w:rPr>
          <w:rFonts w:hint="eastAsia"/>
          <w:sz w:val="30"/>
          <w:szCs w:val="30"/>
        </w:rPr>
        <w:t>In other words, his sovereign rule over all things is mediated by, or passes through, a judicial curse that he himself has placed upon the creation—a curse that terribly distorts the ideal nature of all things (Gen. 3:15, Rom. 8:20).</w:t>
      </w:r>
    </w:p>
    <w:p w14:paraId="695F1991">
      <w:pPr>
        <w:bidi w:val="0"/>
        <w:rPr>
          <w:rFonts w:hint="eastAsia"/>
          <w:sz w:val="30"/>
          <w:szCs w:val="30"/>
        </w:rPr>
      </w:pPr>
    </w:p>
    <w:p w14:paraId="4A0A69AA">
      <w:pPr>
        <w:bidi w:val="0"/>
        <w:rPr>
          <w:rFonts w:hint="eastAsia"/>
          <w:sz w:val="30"/>
          <w:szCs w:val="30"/>
        </w:rPr>
      </w:pPr>
      <w:r>
        <w:rPr>
          <w:rFonts w:hint="eastAsia"/>
          <w:sz w:val="30"/>
          <w:szCs w:val="30"/>
        </w:rPr>
        <w:t>换句话说，祂对万物的主宰统治，是由祂自己加在受造之物上的一个审判性咒诅所中介，或经过它，这咒诅严重地扭曲了万物的理想性质（创 3:15, 罗 8:20）。</w:t>
      </w:r>
    </w:p>
    <w:p w14:paraId="7EC5377C">
      <w:pPr>
        <w:bidi w:val="0"/>
        <w:rPr>
          <w:rFonts w:hint="eastAsia"/>
          <w:sz w:val="30"/>
          <w:szCs w:val="30"/>
        </w:rPr>
      </w:pPr>
    </w:p>
    <w:p w14:paraId="116A55AC">
      <w:pPr>
        <w:bidi w:val="0"/>
        <w:rPr>
          <w:rFonts w:hint="eastAsia"/>
          <w:sz w:val="30"/>
          <w:szCs w:val="30"/>
        </w:rPr>
      </w:pPr>
      <w:r>
        <w:rPr>
          <w:rFonts w:hint="eastAsia"/>
          <w:sz w:val="30"/>
          <w:szCs w:val="30"/>
        </w:rPr>
        <w:t>When, however, God’s will of purpose for all (redeemed) things has been fulfilled at last, his will of purpose and his will of precept will be one.</w:t>
      </w:r>
    </w:p>
    <w:p w14:paraId="0729485B">
      <w:pPr>
        <w:bidi w:val="0"/>
        <w:rPr>
          <w:rFonts w:hint="eastAsia"/>
          <w:sz w:val="30"/>
          <w:szCs w:val="30"/>
        </w:rPr>
      </w:pPr>
    </w:p>
    <w:p w14:paraId="10E521A0">
      <w:pPr>
        <w:bidi w:val="0"/>
        <w:rPr>
          <w:rFonts w:hint="eastAsia"/>
          <w:sz w:val="30"/>
          <w:szCs w:val="30"/>
        </w:rPr>
      </w:pPr>
      <w:r>
        <w:rPr>
          <w:rFonts w:hint="eastAsia"/>
          <w:sz w:val="30"/>
          <w:szCs w:val="30"/>
        </w:rPr>
        <w:t>然而，当神对所有（蒙赎）之物的定旨旨意最终得以成全时，祂的定旨旨意和祂的训令旨意将成为一。</w:t>
      </w:r>
    </w:p>
    <w:p w14:paraId="3964D60A">
      <w:pPr>
        <w:bidi w:val="0"/>
        <w:rPr>
          <w:rFonts w:hint="eastAsia"/>
          <w:sz w:val="30"/>
          <w:szCs w:val="30"/>
        </w:rPr>
      </w:pPr>
    </w:p>
    <w:p w14:paraId="37E13A2D">
      <w:pPr>
        <w:bidi w:val="0"/>
        <w:rPr>
          <w:rFonts w:hint="eastAsia"/>
          <w:sz w:val="30"/>
          <w:szCs w:val="30"/>
        </w:rPr>
      </w:pPr>
      <w:r>
        <w:rPr>
          <w:rFonts w:hint="eastAsia"/>
          <w:sz w:val="30"/>
          <w:szCs w:val="30"/>
        </w:rPr>
        <w:t>In that day, his Kingdom will have come to earth, even as it has already come to heaven.</w:t>
      </w:r>
    </w:p>
    <w:p w14:paraId="1BB4072D">
      <w:pPr>
        <w:bidi w:val="0"/>
        <w:rPr>
          <w:rFonts w:hint="eastAsia"/>
          <w:sz w:val="30"/>
          <w:szCs w:val="30"/>
        </w:rPr>
      </w:pPr>
    </w:p>
    <w:p w14:paraId="7D73AE2B">
      <w:pPr>
        <w:bidi w:val="0"/>
        <w:rPr>
          <w:rFonts w:hint="eastAsia"/>
          <w:sz w:val="30"/>
          <w:szCs w:val="30"/>
        </w:rPr>
      </w:pPr>
      <w:r>
        <w:rPr>
          <w:rFonts w:hint="eastAsia"/>
          <w:sz w:val="30"/>
          <w:szCs w:val="30"/>
        </w:rPr>
        <w:t>在那日，祂的国将降临到地上，如同它已经降临到天上一样。</w:t>
      </w:r>
    </w:p>
    <w:p w14:paraId="60801E38">
      <w:pPr>
        <w:bidi w:val="0"/>
        <w:rPr>
          <w:rFonts w:hint="eastAsia"/>
          <w:sz w:val="30"/>
          <w:szCs w:val="30"/>
        </w:rPr>
      </w:pPr>
    </w:p>
    <w:p w14:paraId="5B933053">
      <w:pPr>
        <w:bidi w:val="0"/>
        <w:rPr>
          <w:rFonts w:hint="eastAsia"/>
          <w:sz w:val="30"/>
          <w:szCs w:val="30"/>
        </w:rPr>
      </w:pPr>
      <w:r>
        <w:rPr>
          <w:rFonts w:hint="eastAsia"/>
          <w:sz w:val="30"/>
          <w:szCs w:val="30"/>
        </w:rPr>
        <w:t>Our Lord commands his saints to pray—and labor—for this very thing.</w:t>
      </w:r>
    </w:p>
    <w:p w14:paraId="6FFE976D">
      <w:pPr>
        <w:bidi w:val="0"/>
        <w:rPr>
          <w:rFonts w:hint="eastAsia"/>
          <w:sz w:val="30"/>
          <w:szCs w:val="30"/>
        </w:rPr>
      </w:pPr>
    </w:p>
    <w:p w14:paraId="1FA44A4B">
      <w:pPr>
        <w:bidi w:val="0"/>
        <w:rPr>
          <w:rFonts w:hint="eastAsia"/>
          <w:sz w:val="30"/>
          <w:szCs w:val="30"/>
        </w:rPr>
      </w:pPr>
      <w:r>
        <w:rPr>
          <w:rFonts w:hint="eastAsia"/>
          <w:sz w:val="30"/>
          <w:szCs w:val="30"/>
        </w:rPr>
        <w:t>我们的主吩咐祂的圣徒为这件事祷告——并劳苦。</w:t>
      </w:r>
    </w:p>
    <w:p w14:paraId="7FFE7CEC">
      <w:pPr>
        <w:bidi w:val="0"/>
        <w:rPr>
          <w:rFonts w:hint="eastAsia"/>
          <w:sz w:val="30"/>
          <w:szCs w:val="30"/>
        </w:rPr>
      </w:pPr>
    </w:p>
    <w:p w14:paraId="7BC5441F">
      <w:pPr>
        <w:bidi w:val="0"/>
        <w:rPr>
          <w:rFonts w:hint="eastAsia"/>
          <w:sz w:val="30"/>
          <w:szCs w:val="30"/>
        </w:rPr>
      </w:pPr>
      <w:r>
        <w:rPr>
          <w:rFonts w:hint="eastAsia"/>
          <w:sz w:val="30"/>
          <w:szCs w:val="30"/>
        </w:rPr>
        <w:t>They are to ask the Father to advance his redemptive purpose in the earth; to lift his hand of judgment and to remove all distortions; to cause his “will of precept” to be done here, even as it is being done among the saints and angels in heaven.</w:t>
      </w:r>
    </w:p>
    <w:p w14:paraId="610ADA2D">
      <w:pPr>
        <w:bidi w:val="0"/>
        <w:rPr>
          <w:rFonts w:hint="eastAsia"/>
          <w:sz w:val="30"/>
          <w:szCs w:val="30"/>
        </w:rPr>
      </w:pPr>
    </w:p>
    <w:p w14:paraId="47CFC7B2">
      <w:pPr>
        <w:bidi w:val="0"/>
        <w:rPr>
          <w:rFonts w:hint="eastAsia"/>
          <w:sz w:val="30"/>
          <w:szCs w:val="30"/>
        </w:rPr>
      </w:pPr>
      <w:r>
        <w:rPr>
          <w:rFonts w:hint="eastAsia"/>
          <w:sz w:val="30"/>
          <w:szCs w:val="30"/>
        </w:rPr>
        <w:t>他们要请求父在地上推进祂的救赎旨意；举起祂审判的手，除去一切的扭曲；使祂的“训令旨意”在此地被遵行，如同在天上的众圣徒和天使中间被遵行一样。</w:t>
      </w:r>
    </w:p>
    <w:p w14:paraId="71B82DBD">
      <w:pPr>
        <w:bidi w:val="0"/>
        <w:rPr>
          <w:rFonts w:hint="eastAsia"/>
          <w:sz w:val="30"/>
          <w:szCs w:val="30"/>
        </w:rPr>
      </w:pPr>
    </w:p>
    <w:p w14:paraId="1CA18445">
      <w:pPr>
        <w:bidi w:val="0"/>
        <w:rPr>
          <w:rFonts w:hint="eastAsia"/>
          <w:sz w:val="30"/>
          <w:szCs w:val="30"/>
        </w:rPr>
      </w:pPr>
      <w:r>
        <w:rPr>
          <w:rFonts w:hint="eastAsia"/>
          <w:sz w:val="30"/>
          <w:szCs w:val="30"/>
        </w:rPr>
        <w:t>In short, they are to pray for the Father to extend his direct reign over all his redeemed creatures.</w:t>
      </w:r>
    </w:p>
    <w:p w14:paraId="63E37716">
      <w:pPr>
        <w:bidi w:val="0"/>
        <w:rPr>
          <w:rFonts w:hint="eastAsia"/>
          <w:sz w:val="30"/>
          <w:szCs w:val="30"/>
        </w:rPr>
      </w:pPr>
    </w:p>
    <w:p w14:paraId="00A002B5">
      <w:pPr>
        <w:bidi w:val="0"/>
        <w:rPr>
          <w:rFonts w:hint="eastAsia"/>
          <w:sz w:val="30"/>
          <w:szCs w:val="30"/>
        </w:rPr>
      </w:pPr>
      <w:r>
        <w:rPr>
          <w:rFonts w:hint="eastAsia"/>
          <w:sz w:val="30"/>
          <w:szCs w:val="30"/>
        </w:rPr>
        <w:t>简而言之，他们要为父将祂直接的掌权延伸到祂所有蒙赎的受造之物上而祷告。</w:t>
      </w:r>
    </w:p>
    <w:p w14:paraId="12DE2938">
      <w:pPr>
        <w:bidi w:val="0"/>
        <w:rPr>
          <w:rFonts w:hint="eastAsia"/>
          <w:sz w:val="30"/>
          <w:szCs w:val="30"/>
        </w:rPr>
      </w:pPr>
    </w:p>
    <w:p w14:paraId="3D2D23DE">
      <w:pPr>
        <w:bidi w:val="0"/>
        <w:rPr>
          <w:rFonts w:hint="eastAsia"/>
          <w:sz w:val="30"/>
          <w:szCs w:val="30"/>
        </w:rPr>
      </w:pPr>
      <w:r>
        <w:rPr>
          <w:rFonts w:hint="eastAsia"/>
          <w:sz w:val="30"/>
          <w:szCs w:val="30"/>
        </w:rPr>
        <w:t>They are to pray for the (complete) coming of the Kingdom of God.</w:t>
      </w:r>
    </w:p>
    <w:p w14:paraId="1B1B464A">
      <w:pPr>
        <w:bidi w:val="0"/>
        <w:rPr>
          <w:rFonts w:hint="eastAsia"/>
          <w:sz w:val="30"/>
          <w:szCs w:val="30"/>
        </w:rPr>
      </w:pPr>
    </w:p>
    <w:p w14:paraId="1BB6EBB4">
      <w:pPr>
        <w:bidi w:val="0"/>
        <w:rPr>
          <w:rFonts w:hint="eastAsia"/>
          <w:sz w:val="30"/>
          <w:szCs w:val="30"/>
        </w:rPr>
      </w:pPr>
      <w:r>
        <w:rPr>
          <w:rFonts w:hint="eastAsia"/>
          <w:sz w:val="30"/>
          <w:szCs w:val="30"/>
        </w:rPr>
        <w:t>他们要为神的国（完全）的降临而祷告。</w:t>
      </w:r>
    </w:p>
    <w:p w14:paraId="7A61D61C">
      <w:pPr>
        <w:bidi w:val="0"/>
        <w:rPr>
          <w:rFonts w:hint="eastAsia"/>
          <w:sz w:val="30"/>
          <w:szCs w:val="30"/>
        </w:rPr>
      </w:pPr>
    </w:p>
    <w:p w14:paraId="725AB333">
      <w:pPr>
        <w:bidi w:val="0"/>
        <w:rPr>
          <w:rFonts w:hint="eastAsia"/>
          <w:sz w:val="30"/>
          <w:szCs w:val="30"/>
        </w:rPr>
      </w:pPr>
      <w:r>
        <w:rPr>
          <w:rFonts w:hint="eastAsia"/>
          <w:sz w:val="30"/>
          <w:szCs w:val="30"/>
        </w:rPr>
        <w:t>A Sphere of Wholeness and Blessing</w:t>
      </w:r>
    </w:p>
    <w:p w14:paraId="0269E8D1">
      <w:pPr>
        <w:bidi w:val="0"/>
        <w:rPr>
          <w:rFonts w:hint="eastAsia"/>
          <w:sz w:val="30"/>
          <w:szCs w:val="30"/>
        </w:rPr>
      </w:pPr>
    </w:p>
    <w:p w14:paraId="6FEA6DB9">
      <w:pPr>
        <w:bidi w:val="0"/>
        <w:rPr>
          <w:rFonts w:hint="eastAsia"/>
          <w:sz w:val="30"/>
          <w:szCs w:val="30"/>
        </w:rPr>
      </w:pPr>
      <w:r>
        <w:rPr>
          <w:rFonts w:hint="eastAsia"/>
          <w:sz w:val="30"/>
          <w:szCs w:val="30"/>
        </w:rPr>
        <w:t>一个完整与祝福的范围</w:t>
      </w:r>
    </w:p>
    <w:p w14:paraId="7F24DA7B">
      <w:pPr>
        <w:bidi w:val="0"/>
        <w:rPr>
          <w:rFonts w:hint="eastAsia"/>
          <w:sz w:val="30"/>
          <w:szCs w:val="30"/>
        </w:rPr>
      </w:pPr>
    </w:p>
    <w:p w14:paraId="0F6E46D6">
      <w:pPr>
        <w:bidi w:val="0"/>
        <w:rPr>
          <w:rFonts w:hint="eastAsia"/>
          <w:sz w:val="30"/>
          <w:szCs w:val="30"/>
        </w:rPr>
      </w:pPr>
      <w:r>
        <w:rPr>
          <w:rFonts w:hint="eastAsia"/>
          <w:sz w:val="30"/>
          <w:szCs w:val="30"/>
        </w:rPr>
        <w:t>Secondly, Christ understood the Kingdom to be a sphere of wholeness and blessing.</w:t>
      </w:r>
    </w:p>
    <w:p w14:paraId="7D2FAB97">
      <w:pPr>
        <w:bidi w:val="0"/>
        <w:rPr>
          <w:rFonts w:hint="eastAsia"/>
          <w:sz w:val="30"/>
          <w:szCs w:val="30"/>
        </w:rPr>
      </w:pPr>
    </w:p>
    <w:p w14:paraId="1DE7B7E4">
      <w:pPr>
        <w:bidi w:val="0"/>
        <w:rPr>
          <w:rFonts w:hint="eastAsia"/>
          <w:sz w:val="30"/>
          <w:szCs w:val="30"/>
        </w:rPr>
      </w:pPr>
      <w:r>
        <w:rPr>
          <w:rFonts w:hint="eastAsia"/>
          <w:sz w:val="30"/>
          <w:szCs w:val="30"/>
        </w:rPr>
        <w:t>其次，基督将国度理解为一个完整与祝福的范围。</w:t>
      </w:r>
    </w:p>
    <w:p w14:paraId="185D8996">
      <w:pPr>
        <w:bidi w:val="0"/>
        <w:rPr>
          <w:rFonts w:hint="eastAsia"/>
          <w:sz w:val="30"/>
          <w:szCs w:val="30"/>
        </w:rPr>
      </w:pPr>
    </w:p>
    <w:p w14:paraId="19D09F59">
      <w:pPr>
        <w:bidi w:val="0"/>
        <w:rPr>
          <w:rFonts w:hint="eastAsia"/>
          <w:sz w:val="30"/>
          <w:szCs w:val="30"/>
        </w:rPr>
      </w:pPr>
      <w:r>
        <w:rPr>
          <w:rFonts w:hint="eastAsia"/>
          <w:sz w:val="30"/>
          <w:szCs w:val="30"/>
        </w:rPr>
        <w:t>This only stands to reason, since wherever God reigns directly over his creatures, those creatures must take on the likeness of their Creator.</w:t>
      </w:r>
    </w:p>
    <w:p w14:paraId="2F73147C">
      <w:pPr>
        <w:bidi w:val="0"/>
        <w:rPr>
          <w:rFonts w:hint="eastAsia"/>
          <w:sz w:val="30"/>
          <w:szCs w:val="30"/>
        </w:rPr>
      </w:pPr>
    </w:p>
    <w:p w14:paraId="145A6448">
      <w:pPr>
        <w:bidi w:val="0"/>
        <w:rPr>
          <w:rFonts w:hint="eastAsia"/>
          <w:sz w:val="30"/>
          <w:szCs w:val="30"/>
        </w:rPr>
      </w:pPr>
      <w:r>
        <w:rPr>
          <w:rFonts w:hint="eastAsia"/>
          <w:sz w:val="30"/>
          <w:szCs w:val="30"/>
        </w:rPr>
        <w:t>这理所当然，因为无论神在哪里直接统治祂的受造之物，那些受造之物就必须呈现出他们创造主的样式。</w:t>
      </w:r>
    </w:p>
    <w:p w14:paraId="5E739C81">
      <w:pPr>
        <w:bidi w:val="0"/>
        <w:rPr>
          <w:rFonts w:hint="eastAsia"/>
          <w:sz w:val="30"/>
          <w:szCs w:val="30"/>
        </w:rPr>
      </w:pPr>
    </w:p>
    <w:p w14:paraId="1E1E922D">
      <w:pPr>
        <w:bidi w:val="0"/>
        <w:rPr>
          <w:rFonts w:hint="eastAsia"/>
          <w:sz w:val="30"/>
          <w:szCs w:val="30"/>
        </w:rPr>
      </w:pPr>
      <w:r>
        <w:rPr>
          <w:rFonts w:hint="eastAsia"/>
          <w:sz w:val="30"/>
          <w:szCs w:val="30"/>
        </w:rPr>
        <w:t>They must reflect, in their own nature, the integrity, beauty, and blessedness of the One who made them.</w:t>
      </w:r>
    </w:p>
    <w:p w14:paraId="559AF9E1">
      <w:pPr>
        <w:bidi w:val="0"/>
        <w:rPr>
          <w:rFonts w:hint="eastAsia"/>
          <w:sz w:val="30"/>
          <w:szCs w:val="30"/>
        </w:rPr>
      </w:pPr>
    </w:p>
    <w:p w14:paraId="5179A3A5">
      <w:pPr>
        <w:bidi w:val="0"/>
        <w:rPr>
          <w:rFonts w:hint="eastAsia"/>
          <w:sz w:val="30"/>
          <w:szCs w:val="30"/>
        </w:rPr>
      </w:pPr>
      <w:r>
        <w:rPr>
          <w:rFonts w:hint="eastAsia"/>
          <w:sz w:val="30"/>
          <w:szCs w:val="30"/>
        </w:rPr>
        <w:t>他们必须在他们自己的本性中，反映出那造他们之主的正直、美丽和福气。</w:t>
      </w:r>
    </w:p>
    <w:p w14:paraId="2F25F237">
      <w:pPr>
        <w:bidi w:val="0"/>
        <w:rPr>
          <w:rFonts w:hint="eastAsia"/>
          <w:sz w:val="30"/>
          <w:szCs w:val="30"/>
        </w:rPr>
      </w:pPr>
    </w:p>
    <w:p w14:paraId="0360DBD9">
      <w:pPr>
        <w:bidi w:val="0"/>
        <w:rPr>
          <w:rFonts w:hint="eastAsia"/>
          <w:sz w:val="30"/>
          <w:szCs w:val="30"/>
        </w:rPr>
      </w:pPr>
      <w:r>
        <w:rPr>
          <w:rFonts w:hint="eastAsia"/>
          <w:sz w:val="30"/>
          <w:szCs w:val="30"/>
        </w:rPr>
        <w:t>Over and again we see this important truth vividly reflected in the gospels.</w:t>
      </w:r>
    </w:p>
    <w:p w14:paraId="00789B4A">
      <w:pPr>
        <w:bidi w:val="0"/>
        <w:rPr>
          <w:rFonts w:hint="eastAsia"/>
          <w:sz w:val="30"/>
          <w:szCs w:val="30"/>
        </w:rPr>
      </w:pPr>
    </w:p>
    <w:p w14:paraId="3FA09E94">
      <w:pPr>
        <w:bidi w:val="0"/>
        <w:rPr>
          <w:rFonts w:hint="eastAsia"/>
          <w:sz w:val="30"/>
          <w:szCs w:val="30"/>
        </w:rPr>
      </w:pPr>
      <w:r>
        <w:rPr>
          <w:rFonts w:hint="eastAsia"/>
          <w:sz w:val="30"/>
          <w:szCs w:val="30"/>
        </w:rPr>
        <w:t>我们一次又一次地在福音书中看到这个重要的真理被生动地反映出来。</w:t>
      </w:r>
    </w:p>
    <w:p w14:paraId="37E959DF">
      <w:pPr>
        <w:bidi w:val="0"/>
        <w:rPr>
          <w:rFonts w:hint="eastAsia"/>
          <w:sz w:val="30"/>
          <w:szCs w:val="30"/>
        </w:rPr>
      </w:pPr>
    </w:p>
    <w:p w14:paraId="7B2B3949">
      <w:pPr>
        <w:bidi w:val="0"/>
        <w:rPr>
          <w:rFonts w:hint="eastAsia"/>
          <w:sz w:val="30"/>
          <w:szCs w:val="30"/>
        </w:rPr>
      </w:pPr>
      <w:r>
        <w:rPr>
          <w:rFonts w:hint="eastAsia"/>
          <w:sz w:val="30"/>
          <w:szCs w:val="30"/>
        </w:rPr>
        <w:t>Consider, for example, this thought-provoking text from Matthew: “Jesus was going about all the cities and the villages, teaching in their synagogues, proclaiming the gospel of the Kingdom, and healing every kind of disease and every kind of sickness” (Mt. 9:35; 10:7-8, 12:28).</w:t>
      </w:r>
    </w:p>
    <w:p w14:paraId="247E9E55">
      <w:pPr>
        <w:bidi w:val="0"/>
        <w:rPr>
          <w:rFonts w:hint="eastAsia"/>
          <w:sz w:val="30"/>
          <w:szCs w:val="30"/>
        </w:rPr>
      </w:pPr>
    </w:p>
    <w:p w14:paraId="27163069">
      <w:pPr>
        <w:bidi w:val="0"/>
        <w:rPr>
          <w:rFonts w:hint="eastAsia"/>
          <w:sz w:val="30"/>
          <w:szCs w:val="30"/>
        </w:rPr>
      </w:pPr>
      <w:r>
        <w:rPr>
          <w:rFonts w:hint="eastAsia"/>
          <w:sz w:val="30"/>
          <w:szCs w:val="30"/>
        </w:rPr>
        <w:t>例如，思想马太福音中这段发人深省的经文：“耶稣走遍各城各乡，在他们的会堂里教训人，宣讲国度的福音，又医治各样的病症和各样的疾病”（太 9:35; 10:7-8, 12:28）。</w:t>
      </w:r>
    </w:p>
    <w:p w14:paraId="5B002C54">
      <w:pPr>
        <w:bidi w:val="0"/>
        <w:rPr>
          <w:rFonts w:hint="eastAsia"/>
          <w:sz w:val="30"/>
          <w:szCs w:val="30"/>
        </w:rPr>
      </w:pPr>
    </w:p>
    <w:p w14:paraId="3861D2F3">
      <w:pPr>
        <w:bidi w:val="0"/>
        <w:rPr>
          <w:rFonts w:hint="eastAsia"/>
          <w:sz w:val="30"/>
          <w:szCs w:val="30"/>
        </w:rPr>
      </w:pPr>
      <w:r>
        <w:rPr>
          <w:rFonts w:hint="eastAsia"/>
          <w:sz w:val="30"/>
          <w:szCs w:val="30"/>
        </w:rPr>
        <w:t>Here, the juxtaposition of Jesus’ saying and doing is profoundly revealing.</w:t>
      </w:r>
    </w:p>
    <w:p w14:paraId="077F5332">
      <w:pPr>
        <w:bidi w:val="0"/>
        <w:rPr>
          <w:rFonts w:hint="eastAsia"/>
          <w:sz w:val="30"/>
          <w:szCs w:val="30"/>
        </w:rPr>
      </w:pPr>
    </w:p>
    <w:p w14:paraId="236DBC1D">
      <w:pPr>
        <w:bidi w:val="0"/>
        <w:rPr>
          <w:rFonts w:hint="eastAsia"/>
          <w:sz w:val="30"/>
          <w:szCs w:val="30"/>
        </w:rPr>
      </w:pPr>
      <w:r>
        <w:rPr>
          <w:rFonts w:hint="eastAsia"/>
          <w:sz w:val="30"/>
          <w:szCs w:val="30"/>
        </w:rPr>
        <w:t>在这里，耶稣言行并列的安排，具有深刻的启示性。</w:t>
      </w:r>
    </w:p>
    <w:p w14:paraId="1250B4B1">
      <w:pPr>
        <w:bidi w:val="0"/>
        <w:rPr>
          <w:rFonts w:hint="eastAsia"/>
          <w:sz w:val="30"/>
          <w:szCs w:val="30"/>
        </w:rPr>
      </w:pPr>
    </w:p>
    <w:p w14:paraId="302F0F54">
      <w:pPr>
        <w:bidi w:val="0"/>
        <w:rPr>
          <w:rFonts w:hint="eastAsia"/>
          <w:sz w:val="30"/>
          <w:szCs w:val="30"/>
        </w:rPr>
      </w:pPr>
      <w:r>
        <w:rPr>
          <w:rFonts w:hint="eastAsia"/>
          <w:sz w:val="30"/>
          <w:szCs w:val="30"/>
        </w:rPr>
        <w:t>On the one hand, he is proclaiming that the Kingdom is near; on the other, he is healing all manner of disease and sickness.</w:t>
      </w:r>
    </w:p>
    <w:p w14:paraId="38089FC4">
      <w:pPr>
        <w:bidi w:val="0"/>
        <w:rPr>
          <w:rFonts w:hint="eastAsia"/>
          <w:sz w:val="30"/>
          <w:szCs w:val="30"/>
        </w:rPr>
      </w:pPr>
    </w:p>
    <w:p w14:paraId="1DB46937">
      <w:pPr>
        <w:bidi w:val="0"/>
        <w:rPr>
          <w:rFonts w:hint="eastAsia"/>
          <w:sz w:val="30"/>
          <w:szCs w:val="30"/>
        </w:rPr>
      </w:pPr>
      <w:r>
        <w:rPr>
          <w:rFonts w:hint="eastAsia"/>
          <w:sz w:val="30"/>
          <w:szCs w:val="30"/>
        </w:rPr>
        <w:t>一方面，祂在宣讲国度近了；另一方面，祂在医治各样的病症和疾病。</w:t>
      </w:r>
    </w:p>
    <w:p w14:paraId="4938DAD4">
      <w:pPr>
        <w:bidi w:val="0"/>
        <w:rPr>
          <w:rFonts w:hint="eastAsia"/>
          <w:sz w:val="30"/>
          <w:szCs w:val="30"/>
        </w:rPr>
      </w:pPr>
    </w:p>
    <w:p w14:paraId="7C388733">
      <w:pPr>
        <w:bidi w:val="0"/>
        <w:rPr>
          <w:rFonts w:hint="eastAsia"/>
          <w:sz w:val="30"/>
          <w:szCs w:val="30"/>
        </w:rPr>
      </w:pPr>
      <w:r>
        <w:rPr>
          <w:rFonts w:hint="eastAsia"/>
          <w:sz w:val="30"/>
          <w:szCs w:val="30"/>
        </w:rPr>
        <w:t>Surely, then, both he and Matthew mean for us to understand that wherever the Kingdom is present, there God himself also is present to do two things: to rescue from the manifold effects of sin, and to restore to the kind of wholeness and blessedness that he had originally planned for his creatures in the beginning!</w:t>
      </w:r>
    </w:p>
    <w:p w14:paraId="731C3FDC">
      <w:pPr>
        <w:bidi w:val="0"/>
        <w:rPr>
          <w:rFonts w:hint="eastAsia"/>
          <w:sz w:val="30"/>
          <w:szCs w:val="30"/>
        </w:rPr>
      </w:pPr>
    </w:p>
    <w:p w14:paraId="24343A3E">
      <w:pPr>
        <w:bidi w:val="0"/>
        <w:rPr>
          <w:rFonts w:hint="eastAsia"/>
          <w:sz w:val="30"/>
          <w:szCs w:val="30"/>
        </w:rPr>
      </w:pPr>
      <w:r>
        <w:rPr>
          <w:rFonts w:hint="eastAsia"/>
          <w:sz w:val="30"/>
          <w:szCs w:val="30"/>
        </w:rPr>
        <w:t>那么，无疑，祂和马太都意在让我们明白，无论国度在哪里显现，神自己也必在那里显现，行两件事：拯救人脱离罪的诸多影响，并恢复到祂起初为祂受造之物所计划的那种完整和福气中！</w:t>
      </w:r>
    </w:p>
    <w:p w14:paraId="44D43E7A">
      <w:pPr>
        <w:bidi w:val="0"/>
        <w:rPr>
          <w:rFonts w:hint="eastAsia"/>
          <w:sz w:val="30"/>
          <w:szCs w:val="30"/>
        </w:rPr>
      </w:pPr>
    </w:p>
    <w:p w14:paraId="7832273E">
      <w:pPr>
        <w:bidi w:val="0"/>
        <w:rPr>
          <w:rFonts w:hint="eastAsia"/>
          <w:sz w:val="30"/>
          <w:szCs w:val="30"/>
        </w:rPr>
      </w:pPr>
      <w:r>
        <w:rPr>
          <w:rFonts w:hint="eastAsia"/>
          <w:sz w:val="30"/>
          <w:szCs w:val="30"/>
        </w:rPr>
        <w:t>In other words, wherever the Kingdom is present, God is present to redeem.</w:t>
      </w:r>
    </w:p>
    <w:p w14:paraId="323DA90E">
      <w:pPr>
        <w:bidi w:val="0"/>
        <w:rPr>
          <w:rFonts w:hint="eastAsia"/>
          <w:sz w:val="30"/>
          <w:szCs w:val="30"/>
        </w:rPr>
      </w:pPr>
    </w:p>
    <w:p w14:paraId="5C303128">
      <w:pPr>
        <w:bidi w:val="0"/>
        <w:rPr>
          <w:rFonts w:hint="eastAsia"/>
          <w:sz w:val="30"/>
          <w:szCs w:val="30"/>
        </w:rPr>
      </w:pPr>
      <w:r>
        <w:rPr>
          <w:rFonts w:hint="eastAsia"/>
          <w:sz w:val="30"/>
          <w:szCs w:val="30"/>
        </w:rPr>
        <w:t>换句话说，无论国度在哪里显现，神就在那里显现来救赎。</w:t>
      </w:r>
    </w:p>
    <w:p w14:paraId="301341B7">
      <w:pPr>
        <w:bidi w:val="0"/>
        <w:rPr>
          <w:rFonts w:hint="eastAsia"/>
          <w:sz w:val="30"/>
          <w:szCs w:val="30"/>
        </w:rPr>
      </w:pPr>
    </w:p>
    <w:p w14:paraId="492801FE">
      <w:pPr>
        <w:bidi w:val="0"/>
        <w:rPr>
          <w:rFonts w:hint="eastAsia"/>
          <w:sz w:val="30"/>
          <w:szCs w:val="30"/>
        </w:rPr>
      </w:pPr>
      <w:r>
        <w:rPr>
          <w:rFonts w:hint="eastAsia"/>
          <w:sz w:val="30"/>
          <w:szCs w:val="30"/>
        </w:rPr>
        <w:t>Unless we completely understand these three key words—redemption, rescue, and restoration—we cannot understand the Kingdom of God.</w:t>
      </w:r>
    </w:p>
    <w:p w14:paraId="3FC4DC79">
      <w:pPr>
        <w:bidi w:val="0"/>
        <w:rPr>
          <w:rFonts w:hint="eastAsia"/>
          <w:sz w:val="30"/>
          <w:szCs w:val="30"/>
        </w:rPr>
      </w:pPr>
    </w:p>
    <w:p w14:paraId="4A138E88">
      <w:pPr>
        <w:bidi w:val="0"/>
        <w:rPr>
          <w:rFonts w:hint="eastAsia"/>
          <w:sz w:val="30"/>
          <w:szCs w:val="30"/>
        </w:rPr>
      </w:pPr>
      <w:r>
        <w:rPr>
          <w:rFonts w:hint="eastAsia"/>
          <w:sz w:val="30"/>
          <w:szCs w:val="30"/>
        </w:rPr>
        <w:t>除非我们完全理解这三个关键词——救赎、拯救和恢复——我们便不能理解神的国。</w:t>
      </w:r>
    </w:p>
    <w:p w14:paraId="1381452A">
      <w:pPr>
        <w:bidi w:val="0"/>
        <w:rPr>
          <w:rFonts w:hint="eastAsia"/>
          <w:sz w:val="30"/>
          <w:szCs w:val="30"/>
        </w:rPr>
      </w:pPr>
    </w:p>
    <w:p w14:paraId="29E289B6">
      <w:pPr>
        <w:bidi w:val="0"/>
        <w:rPr>
          <w:rFonts w:hint="eastAsia"/>
          <w:sz w:val="30"/>
          <w:szCs w:val="30"/>
        </w:rPr>
      </w:pPr>
      <w:r>
        <w:rPr>
          <w:rFonts w:hint="eastAsia"/>
          <w:sz w:val="30"/>
          <w:szCs w:val="30"/>
        </w:rPr>
        <w:t>That’s because the Kingdom, in Jesus’ eyes, was exactly what the prophets of old had promised: a sphere of wholeness and blessing that is the direct result of God’s redemptive activity.</w:t>
      </w:r>
    </w:p>
    <w:p w14:paraId="28DB992D">
      <w:pPr>
        <w:bidi w:val="0"/>
        <w:rPr>
          <w:rFonts w:hint="eastAsia"/>
          <w:sz w:val="30"/>
          <w:szCs w:val="30"/>
        </w:rPr>
      </w:pPr>
    </w:p>
    <w:p w14:paraId="321EEC7A">
      <w:pPr>
        <w:bidi w:val="0"/>
        <w:rPr>
          <w:rFonts w:hint="eastAsia"/>
          <w:sz w:val="30"/>
          <w:szCs w:val="30"/>
        </w:rPr>
      </w:pPr>
      <w:r>
        <w:rPr>
          <w:rFonts w:hint="eastAsia"/>
          <w:sz w:val="30"/>
          <w:szCs w:val="30"/>
        </w:rPr>
        <w:t>那是因为，在耶稣眼中，国度正是古时申言者们所应许的：一个完整与祝福的范围，是神救赎作为的直接结果。</w:t>
      </w:r>
    </w:p>
    <w:p w14:paraId="619272AA">
      <w:pPr>
        <w:bidi w:val="0"/>
        <w:rPr>
          <w:rFonts w:hint="eastAsia"/>
          <w:sz w:val="30"/>
          <w:szCs w:val="30"/>
        </w:rPr>
      </w:pPr>
    </w:p>
    <w:p w14:paraId="707F1C61">
      <w:pPr>
        <w:bidi w:val="0"/>
        <w:rPr>
          <w:rFonts w:hint="eastAsia"/>
          <w:sz w:val="30"/>
          <w:szCs w:val="30"/>
        </w:rPr>
      </w:pPr>
      <w:r>
        <w:rPr>
          <w:rFonts w:hint="eastAsia"/>
          <w:sz w:val="30"/>
          <w:szCs w:val="30"/>
        </w:rPr>
        <w:t>It is the direct result of God rescuing his people and his world from the manifold spiritual and physical enemies introduced by Adam at the Fall, and also of his restoring them to the manifold “friends” he originally planned for them at the creation.</w:t>
      </w:r>
    </w:p>
    <w:p w14:paraId="5730883D">
      <w:pPr>
        <w:bidi w:val="0"/>
        <w:rPr>
          <w:rFonts w:hint="eastAsia"/>
          <w:sz w:val="30"/>
          <w:szCs w:val="30"/>
        </w:rPr>
      </w:pPr>
    </w:p>
    <w:p w14:paraId="60F7CD1C">
      <w:pPr>
        <w:bidi w:val="0"/>
        <w:rPr>
          <w:rFonts w:hint="eastAsia"/>
          <w:sz w:val="30"/>
          <w:szCs w:val="30"/>
        </w:rPr>
      </w:pPr>
      <w:r>
        <w:rPr>
          <w:rFonts w:hint="eastAsia"/>
          <w:sz w:val="30"/>
          <w:szCs w:val="30"/>
        </w:rPr>
        <w:t>这是神将祂的子民和祂的世界从亚当在堕落时所引入的诸多属灵和属肉体的仇敌中拯救出来，并且将他们恢复到祂起初在创造时为他们所计划的诸多“朋友”那里的直接结果。</w:t>
      </w:r>
    </w:p>
    <w:p w14:paraId="2A0A98F6">
      <w:pPr>
        <w:bidi w:val="0"/>
        <w:rPr>
          <w:rFonts w:hint="eastAsia"/>
          <w:sz w:val="30"/>
          <w:szCs w:val="30"/>
        </w:rPr>
      </w:pPr>
    </w:p>
    <w:p w14:paraId="31CE93C3">
      <w:pPr>
        <w:bidi w:val="0"/>
        <w:rPr>
          <w:rFonts w:hint="eastAsia"/>
          <w:sz w:val="30"/>
          <w:szCs w:val="30"/>
        </w:rPr>
      </w:pPr>
      <w:r>
        <w:rPr>
          <w:rFonts w:hint="eastAsia"/>
          <w:sz w:val="30"/>
          <w:szCs w:val="30"/>
        </w:rPr>
        <w:t>Again, unless we fully grasp these closely related ideas, we cannot understand the Kingdom.</w:t>
      </w:r>
    </w:p>
    <w:p w14:paraId="6967682C">
      <w:pPr>
        <w:bidi w:val="0"/>
        <w:rPr>
          <w:rFonts w:hint="eastAsia"/>
          <w:sz w:val="30"/>
          <w:szCs w:val="30"/>
        </w:rPr>
      </w:pPr>
    </w:p>
    <w:p w14:paraId="069CABE3">
      <w:pPr>
        <w:bidi w:val="0"/>
        <w:rPr>
          <w:rFonts w:hint="eastAsia"/>
          <w:sz w:val="30"/>
          <w:szCs w:val="30"/>
        </w:rPr>
      </w:pPr>
      <w:r>
        <w:rPr>
          <w:rFonts w:hint="eastAsia"/>
          <w:sz w:val="30"/>
          <w:szCs w:val="30"/>
        </w:rPr>
        <w:t>再次强调，除非我们完全掌握这些紧密相关的观念，我们便不能理解国度。</w:t>
      </w:r>
    </w:p>
    <w:p w14:paraId="26CD7A1C">
      <w:pPr>
        <w:bidi w:val="0"/>
        <w:rPr>
          <w:rFonts w:hint="eastAsia"/>
          <w:sz w:val="30"/>
          <w:szCs w:val="30"/>
        </w:rPr>
      </w:pPr>
    </w:p>
    <w:p w14:paraId="63FF541C">
      <w:pPr>
        <w:bidi w:val="0"/>
        <w:rPr>
          <w:rFonts w:hint="eastAsia"/>
          <w:sz w:val="30"/>
          <w:szCs w:val="30"/>
        </w:rPr>
      </w:pPr>
      <w:r>
        <w:rPr>
          <w:rFonts w:hint="eastAsia"/>
          <w:sz w:val="30"/>
          <w:szCs w:val="30"/>
        </w:rPr>
        <w:t>Through God’s redemptive action in history, his people and his world are rescued and restored; through his redemptive action, they are brought under the blessedness of his direct reign; through his redemptive action, the Kingdom of God comes.</w:t>
      </w:r>
    </w:p>
    <w:p w14:paraId="10BD55FF">
      <w:pPr>
        <w:bidi w:val="0"/>
        <w:rPr>
          <w:rFonts w:hint="eastAsia"/>
          <w:sz w:val="30"/>
          <w:szCs w:val="30"/>
        </w:rPr>
      </w:pPr>
    </w:p>
    <w:p w14:paraId="33F6080B">
      <w:pPr>
        <w:bidi w:val="0"/>
        <w:rPr>
          <w:rFonts w:hint="eastAsia"/>
          <w:sz w:val="30"/>
          <w:szCs w:val="30"/>
        </w:rPr>
      </w:pPr>
      <w:r>
        <w:rPr>
          <w:rFonts w:hint="eastAsia"/>
          <w:sz w:val="30"/>
          <w:szCs w:val="30"/>
        </w:rPr>
        <w:t>通过神在历史中的救赎行动，祂的子民和祂的世界被拯救和恢复；通过祂的救赎行动，他们被带到祂直接统治的福气之下；通过祂的救赎行动，神的国就降临了。</w:t>
      </w:r>
    </w:p>
    <w:p w14:paraId="309608A8">
      <w:pPr>
        <w:bidi w:val="0"/>
        <w:rPr>
          <w:rFonts w:hint="eastAsia"/>
          <w:sz w:val="30"/>
          <w:szCs w:val="30"/>
        </w:rPr>
      </w:pPr>
    </w:p>
    <w:p w14:paraId="7AF05D64">
      <w:pPr>
        <w:bidi w:val="0"/>
        <w:rPr>
          <w:rFonts w:hint="eastAsia"/>
          <w:sz w:val="30"/>
          <w:szCs w:val="30"/>
        </w:rPr>
      </w:pPr>
      <w:r>
        <w:rPr>
          <w:rFonts w:hint="eastAsia"/>
          <w:sz w:val="30"/>
          <w:szCs w:val="30"/>
        </w:rPr>
        <w:t>It is well worthwhile to illustrate these great truths from our Lord’s earthly ministry, from the works of Christ during the days of his flesh.</w:t>
      </w:r>
    </w:p>
    <w:p w14:paraId="55C4F381">
      <w:pPr>
        <w:bidi w:val="0"/>
        <w:rPr>
          <w:rFonts w:hint="eastAsia"/>
          <w:sz w:val="30"/>
          <w:szCs w:val="30"/>
        </w:rPr>
      </w:pPr>
    </w:p>
    <w:p w14:paraId="6CC59322">
      <w:pPr>
        <w:bidi w:val="0"/>
        <w:rPr>
          <w:rFonts w:hint="eastAsia"/>
          <w:sz w:val="30"/>
          <w:szCs w:val="30"/>
        </w:rPr>
      </w:pPr>
      <w:r>
        <w:rPr>
          <w:rFonts w:hint="eastAsia"/>
          <w:sz w:val="30"/>
          <w:szCs w:val="30"/>
        </w:rPr>
        <w:t>从我们主地上的职事，从基督在祂肉身的日子里所行的事，来说明这些伟大的真理，是很有价值的。</w:t>
      </w:r>
    </w:p>
    <w:p w14:paraId="2CDCACAB">
      <w:pPr>
        <w:bidi w:val="0"/>
        <w:rPr>
          <w:rFonts w:hint="eastAsia"/>
          <w:sz w:val="30"/>
          <w:szCs w:val="30"/>
        </w:rPr>
      </w:pPr>
    </w:p>
    <w:p w14:paraId="6F62C600">
      <w:pPr>
        <w:bidi w:val="0"/>
        <w:rPr>
          <w:rFonts w:hint="eastAsia"/>
          <w:sz w:val="30"/>
          <w:szCs w:val="30"/>
        </w:rPr>
      </w:pPr>
      <w:r>
        <w:rPr>
          <w:rFonts w:hint="eastAsia"/>
          <w:sz w:val="30"/>
          <w:szCs w:val="30"/>
        </w:rPr>
        <w:t>As we just saw, through Christ God rescued the blind (Mt. 9:27f, John 9:1-7), the lame (John 5:1f), the leprous (Luke 17:11f), the paralyzed (Mt. 8:5-13), the sick (Mt. 8:14-15, 9:20-22), the mute (Mt. 9:32f), and the deformed (Mt. 12:1-13), and he restored them all—if only temporarily—to perfect health.</w:t>
      </w:r>
    </w:p>
    <w:p w14:paraId="2BA1F685">
      <w:pPr>
        <w:bidi w:val="0"/>
        <w:rPr>
          <w:rFonts w:hint="eastAsia"/>
          <w:sz w:val="30"/>
          <w:szCs w:val="30"/>
        </w:rPr>
      </w:pPr>
    </w:p>
    <w:p w14:paraId="1498F9C6">
      <w:pPr>
        <w:bidi w:val="0"/>
        <w:rPr>
          <w:rFonts w:hint="eastAsia"/>
          <w:sz w:val="30"/>
          <w:szCs w:val="30"/>
        </w:rPr>
      </w:pPr>
      <w:r>
        <w:rPr>
          <w:rFonts w:hint="eastAsia"/>
          <w:sz w:val="30"/>
          <w:szCs w:val="30"/>
        </w:rPr>
        <w:t>正如我们刚才所见，神借着基督拯救了瞎眼的（太 9:27及以下, 约 9:1-7）、瘸腿的（约 5:1及以下）、长大痲疯的（路 17:11及以下）、瘫痪的（太 8:5-13）、患病的（太 8:14-15, 9:20-22）、哑吧的（太 9:32及以下）和残疾的（太 12:1-13），并且祂将他们全都——即使只是暂时地——恢复到完全的健康。</w:t>
      </w:r>
    </w:p>
    <w:p w14:paraId="4CE26B23">
      <w:pPr>
        <w:bidi w:val="0"/>
        <w:rPr>
          <w:rFonts w:hint="eastAsia"/>
          <w:sz w:val="30"/>
          <w:szCs w:val="30"/>
        </w:rPr>
      </w:pPr>
    </w:p>
    <w:p w14:paraId="4230F9D4">
      <w:pPr>
        <w:bidi w:val="0"/>
        <w:rPr>
          <w:rFonts w:hint="eastAsia"/>
          <w:sz w:val="30"/>
          <w:szCs w:val="30"/>
        </w:rPr>
      </w:pPr>
      <w:r>
        <w:rPr>
          <w:rFonts w:hint="eastAsia"/>
          <w:sz w:val="30"/>
          <w:szCs w:val="30"/>
        </w:rPr>
        <w:t>Here, then, for all with eyes to see, was a sneak preview of the Kingdom of God, when it will have come benevolently, redemptively, and definitively upon sinful and broken human flesh.</w:t>
      </w:r>
    </w:p>
    <w:p w14:paraId="2B3134D7">
      <w:pPr>
        <w:bidi w:val="0"/>
        <w:rPr>
          <w:rFonts w:hint="eastAsia"/>
          <w:sz w:val="30"/>
          <w:szCs w:val="30"/>
        </w:rPr>
      </w:pPr>
    </w:p>
    <w:p w14:paraId="13BEF045">
      <w:pPr>
        <w:bidi w:val="0"/>
        <w:rPr>
          <w:rFonts w:hint="eastAsia"/>
          <w:sz w:val="30"/>
          <w:szCs w:val="30"/>
        </w:rPr>
      </w:pPr>
      <w:r>
        <w:rPr>
          <w:rFonts w:hint="eastAsia"/>
          <w:sz w:val="30"/>
          <w:szCs w:val="30"/>
        </w:rPr>
        <w:t>那么，在这里，对所有有眼可看的人来说，乃是神的国的一个预告，当它仁慈地、救赎地、且确定地降临在有罪和破碎的人肉身上时。</w:t>
      </w:r>
    </w:p>
    <w:p w14:paraId="7758FDD8">
      <w:pPr>
        <w:bidi w:val="0"/>
        <w:rPr>
          <w:rFonts w:hint="eastAsia"/>
          <w:sz w:val="30"/>
          <w:szCs w:val="30"/>
        </w:rPr>
      </w:pPr>
    </w:p>
    <w:p w14:paraId="1173206C">
      <w:pPr>
        <w:bidi w:val="0"/>
        <w:rPr>
          <w:rFonts w:hint="eastAsia"/>
          <w:sz w:val="30"/>
          <w:szCs w:val="30"/>
        </w:rPr>
      </w:pPr>
      <w:r>
        <w:rPr>
          <w:rFonts w:hint="eastAsia"/>
          <w:sz w:val="30"/>
          <w:szCs w:val="30"/>
        </w:rPr>
        <w:t>On more than one occasion, God also worked through Christ to rescue the dead from death itself, restoring them not only to life, but also to their loved ones, and to the pleasures of family and friends that were the traditional scriptural earmarks of the Kingdom (Jer. 33:10-11, Zech. 8:2-5; Mt. 8:11, 9:18-25, 22:1f, Luke 7:11-15, John 11:1-44; Zech. 8:2-5, Mt. 8:11, 22:1f).</w:t>
      </w:r>
    </w:p>
    <w:p w14:paraId="640979BE">
      <w:pPr>
        <w:bidi w:val="0"/>
        <w:rPr>
          <w:rFonts w:hint="eastAsia"/>
          <w:sz w:val="30"/>
          <w:szCs w:val="30"/>
        </w:rPr>
      </w:pPr>
    </w:p>
    <w:p w14:paraId="1AD5F033">
      <w:pPr>
        <w:bidi w:val="0"/>
        <w:rPr>
          <w:rFonts w:hint="eastAsia"/>
          <w:sz w:val="30"/>
          <w:szCs w:val="30"/>
        </w:rPr>
      </w:pPr>
      <w:r>
        <w:rPr>
          <w:rFonts w:hint="eastAsia"/>
          <w:sz w:val="30"/>
          <w:szCs w:val="30"/>
        </w:rPr>
        <w:t>不止一次，神也借着基督行事，将死人从死亡本身中拯救出来，不仅将他们恢复到生命中，也恢复到他们的亲人中间，并恢复到家庭和朋友的乐趣中，这些都是国度传统的圣经标志（耶 33:10-11, 亚 8:2-5; 太 8:11, 9:18-25, 22:1及以下, 路 7:11-15, 约 11:1-44; 亚 8:2-5, 太 8:11, 22:1及以下）。</w:t>
      </w:r>
    </w:p>
    <w:p w14:paraId="14541C4C">
      <w:pPr>
        <w:bidi w:val="0"/>
        <w:rPr>
          <w:rFonts w:hint="eastAsia"/>
          <w:sz w:val="30"/>
          <w:szCs w:val="30"/>
        </w:rPr>
      </w:pPr>
    </w:p>
    <w:p w14:paraId="46419CC1">
      <w:pPr>
        <w:bidi w:val="0"/>
        <w:rPr>
          <w:rFonts w:hint="eastAsia"/>
          <w:sz w:val="30"/>
          <w:szCs w:val="30"/>
        </w:rPr>
      </w:pPr>
      <w:r>
        <w:rPr>
          <w:rFonts w:hint="eastAsia"/>
          <w:sz w:val="30"/>
          <w:szCs w:val="30"/>
        </w:rPr>
        <w:t>Moreover, through Jesus, God seemed even to put his healing touch on inanimate nature itself, “rescuing” the raging waters of the Sea of Galilee from a deadly windstorm, thereby restoring them to peace (Mt. 8:23-27); or rescuing the multitude of his followers from a dangerous lack of food in the wilderness, and restoring them to abundant provision and the satisfaction of a full stomach (Mt. 14:15f, 15:32f).</w:t>
      </w:r>
    </w:p>
    <w:p w14:paraId="7F1C29C5">
      <w:pPr>
        <w:bidi w:val="0"/>
        <w:rPr>
          <w:rFonts w:hint="eastAsia"/>
          <w:sz w:val="30"/>
          <w:szCs w:val="30"/>
        </w:rPr>
      </w:pPr>
    </w:p>
    <w:p w14:paraId="23A3E71D">
      <w:pPr>
        <w:bidi w:val="0"/>
        <w:rPr>
          <w:rFonts w:hint="eastAsia"/>
          <w:sz w:val="30"/>
          <w:szCs w:val="30"/>
        </w:rPr>
      </w:pPr>
      <w:r>
        <w:rPr>
          <w:rFonts w:hint="eastAsia"/>
          <w:sz w:val="30"/>
          <w:szCs w:val="30"/>
        </w:rPr>
        <w:t>此外，借着耶稣，神似乎甚至将祂医治的触摸放在无生命的自然界本身上，“拯救”加利利海狂暴的海水脱离致命的风暴，从而将其恢复到平静（太 8:23-27）；或拯救祂的众多跟随者脱离旷野中危险的食物短缺，并将他们恢复到丰富的供应和饱足的满足中（太 14:15及以下, 15:32及以下）。</w:t>
      </w:r>
    </w:p>
    <w:p w14:paraId="708EFFAA">
      <w:pPr>
        <w:bidi w:val="0"/>
        <w:rPr>
          <w:rFonts w:hint="eastAsia"/>
          <w:sz w:val="30"/>
          <w:szCs w:val="30"/>
        </w:rPr>
      </w:pPr>
    </w:p>
    <w:p w14:paraId="0CA3C90E">
      <w:pPr>
        <w:bidi w:val="0"/>
        <w:rPr>
          <w:rFonts w:hint="eastAsia"/>
          <w:sz w:val="30"/>
          <w:szCs w:val="30"/>
        </w:rPr>
      </w:pPr>
      <w:r>
        <w:rPr>
          <w:rFonts w:hint="eastAsia"/>
          <w:sz w:val="30"/>
          <w:szCs w:val="30"/>
        </w:rPr>
        <w:t>Through Christ, God also rescued many poor souls tormented by evil spirits, restoring them to soundness of mind and body (Mt. 8:28f, 12:22, 15:21f, 17:14f, Mark 1:23f, Luke 13:11f).</w:t>
      </w:r>
    </w:p>
    <w:p w14:paraId="34D1F60A">
      <w:pPr>
        <w:bidi w:val="0"/>
        <w:rPr>
          <w:rFonts w:hint="eastAsia"/>
          <w:sz w:val="30"/>
          <w:szCs w:val="30"/>
        </w:rPr>
      </w:pPr>
    </w:p>
    <w:p w14:paraId="194A6907">
      <w:pPr>
        <w:bidi w:val="0"/>
        <w:rPr>
          <w:rFonts w:hint="eastAsia"/>
          <w:sz w:val="30"/>
          <w:szCs w:val="30"/>
        </w:rPr>
      </w:pPr>
      <w:r>
        <w:rPr>
          <w:rFonts w:hint="eastAsia"/>
          <w:sz w:val="30"/>
          <w:szCs w:val="30"/>
        </w:rPr>
        <w:t>借着基督，神也拯救了许多被邪灵折磨的可怜灵魂，将他们恢复到心智和身体的健全（太 8:28及以下, 12:22, 15:21及以下, 17:14及以下, 马可福音 1:23及以下, 路加福音 13:11及以下）。</w:t>
      </w:r>
    </w:p>
    <w:p w14:paraId="3814F834">
      <w:pPr>
        <w:bidi w:val="0"/>
        <w:rPr>
          <w:rFonts w:hint="eastAsia"/>
          <w:sz w:val="30"/>
          <w:szCs w:val="30"/>
        </w:rPr>
      </w:pPr>
    </w:p>
    <w:p w14:paraId="3B0C81E6">
      <w:pPr>
        <w:bidi w:val="0"/>
        <w:rPr>
          <w:rFonts w:hint="eastAsia"/>
          <w:sz w:val="30"/>
          <w:szCs w:val="30"/>
        </w:rPr>
      </w:pPr>
      <w:r>
        <w:rPr>
          <w:rFonts w:hint="eastAsia"/>
          <w:sz w:val="30"/>
          <w:szCs w:val="30"/>
        </w:rPr>
        <w:t>Very notably, when the Pharisees accused him of casting out demons by the power of Satan, Jesus vigorously contested their flawed reasoning.</w:t>
      </w:r>
    </w:p>
    <w:p w14:paraId="4F413BD2">
      <w:pPr>
        <w:bidi w:val="0"/>
        <w:rPr>
          <w:rFonts w:hint="eastAsia"/>
          <w:sz w:val="30"/>
          <w:szCs w:val="30"/>
        </w:rPr>
      </w:pPr>
    </w:p>
    <w:p w14:paraId="22833592">
      <w:pPr>
        <w:bidi w:val="0"/>
        <w:rPr>
          <w:rFonts w:hint="eastAsia"/>
          <w:sz w:val="30"/>
          <w:szCs w:val="30"/>
        </w:rPr>
      </w:pPr>
      <w:r>
        <w:rPr>
          <w:rFonts w:hint="eastAsia"/>
          <w:sz w:val="30"/>
          <w:szCs w:val="30"/>
        </w:rPr>
        <w:t>非常值得注意的是，当法利赛人指控祂是靠撒但的能力赶鬼时，耶稣有力地驳斥了他们有缺陷的推理。</w:t>
      </w:r>
    </w:p>
    <w:p w14:paraId="45FAD88E">
      <w:pPr>
        <w:bidi w:val="0"/>
        <w:rPr>
          <w:rFonts w:hint="eastAsia"/>
          <w:sz w:val="30"/>
          <w:szCs w:val="30"/>
        </w:rPr>
      </w:pPr>
    </w:p>
    <w:p w14:paraId="1D1596B9">
      <w:pPr>
        <w:bidi w:val="0"/>
        <w:rPr>
          <w:rFonts w:hint="eastAsia"/>
          <w:sz w:val="30"/>
          <w:szCs w:val="30"/>
        </w:rPr>
      </w:pPr>
      <w:r>
        <w:rPr>
          <w:rFonts w:hint="eastAsia"/>
          <w:sz w:val="30"/>
          <w:szCs w:val="30"/>
        </w:rPr>
        <w:t>Then, in a direct challenge of his own, he concluded his argument by saying, “But if I drive out demons by the Spirit of God, then surely the Kingdom of God has come upon you” (Mt. 12:28, Luke 11:20).</w:t>
      </w:r>
    </w:p>
    <w:p w14:paraId="28960A2F">
      <w:pPr>
        <w:bidi w:val="0"/>
        <w:rPr>
          <w:rFonts w:hint="eastAsia"/>
          <w:sz w:val="30"/>
          <w:szCs w:val="30"/>
        </w:rPr>
      </w:pPr>
    </w:p>
    <w:p w14:paraId="306B66E1">
      <w:pPr>
        <w:bidi w:val="0"/>
        <w:rPr>
          <w:rFonts w:hint="eastAsia"/>
          <w:sz w:val="30"/>
          <w:szCs w:val="30"/>
        </w:rPr>
      </w:pPr>
      <w:r>
        <w:rPr>
          <w:rFonts w:hint="eastAsia"/>
          <w:sz w:val="30"/>
          <w:szCs w:val="30"/>
        </w:rPr>
        <w:t>然后，在祂自己的直接挑战中，祂结束祂的论证说：“我若靠着神的灵赶鬼，这就是神的国临到你们了”（太 12:28, 路 11:20）。</w:t>
      </w:r>
    </w:p>
    <w:p w14:paraId="71EE3D33">
      <w:pPr>
        <w:bidi w:val="0"/>
        <w:rPr>
          <w:rFonts w:hint="eastAsia"/>
          <w:sz w:val="30"/>
          <w:szCs w:val="30"/>
        </w:rPr>
      </w:pPr>
    </w:p>
    <w:p w14:paraId="620BB8CD">
      <w:pPr>
        <w:bidi w:val="0"/>
        <w:rPr>
          <w:rFonts w:hint="eastAsia"/>
          <w:sz w:val="30"/>
          <w:szCs w:val="30"/>
        </w:rPr>
      </w:pPr>
      <w:r>
        <w:rPr>
          <w:rFonts w:hint="eastAsia"/>
          <w:sz w:val="30"/>
          <w:szCs w:val="30"/>
        </w:rPr>
        <w:t>This powerful text teaches us that it belongs to the very essence of the Kingdom that the Spirit of God should arrive upon the scene, rescue people from every power of evil, and restore them to the mental and physical wholeness that will always characterize life under his direct reign.</w:t>
      </w:r>
    </w:p>
    <w:p w14:paraId="2923969B">
      <w:pPr>
        <w:bidi w:val="0"/>
        <w:rPr>
          <w:rFonts w:hint="eastAsia"/>
          <w:sz w:val="30"/>
          <w:szCs w:val="30"/>
        </w:rPr>
      </w:pPr>
    </w:p>
    <w:p w14:paraId="51FA1361">
      <w:pPr>
        <w:bidi w:val="0"/>
        <w:rPr>
          <w:rFonts w:hint="eastAsia"/>
          <w:sz w:val="30"/>
          <w:szCs w:val="30"/>
        </w:rPr>
      </w:pPr>
      <w:r>
        <w:rPr>
          <w:rFonts w:hint="eastAsia"/>
          <w:sz w:val="30"/>
          <w:szCs w:val="30"/>
        </w:rPr>
        <w:t>这段有力的经文教导我们，国度的本质就在于，神的灵应当降临到现场，拯救人脱离一切邪恶的权势，并将他们恢复到心智和肉体的完整中，这完整将永远是祂直接统治下生活的特征。</w:t>
      </w:r>
    </w:p>
    <w:p w14:paraId="37A20E26">
      <w:pPr>
        <w:bidi w:val="0"/>
        <w:rPr>
          <w:rFonts w:hint="eastAsia"/>
          <w:sz w:val="30"/>
          <w:szCs w:val="30"/>
        </w:rPr>
      </w:pPr>
    </w:p>
    <w:p w14:paraId="23441919">
      <w:pPr>
        <w:bidi w:val="0"/>
        <w:rPr>
          <w:rFonts w:hint="eastAsia"/>
          <w:sz w:val="30"/>
          <w:szCs w:val="30"/>
        </w:rPr>
      </w:pPr>
      <w:r>
        <w:rPr>
          <w:rFonts w:hint="eastAsia"/>
          <w:sz w:val="30"/>
          <w:szCs w:val="30"/>
        </w:rPr>
        <w:t>Finally, and most importantly, through Christ, God rescued sinners from their terrible burden of guilt and shame, forgiving the sins of all who turned to Jesus in repentance and faith, thereby restoring them to the peace, love, joy, gratitude, and hope of eternal life that ever marks the community of the redeemed (Luke 7:36-50, 15:1f, 18:9-14, 19:1f).</w:t>
      </w:r>
    </w:p>
    <w:p w14:paraId="0135D68E">
      <w:pPr>
        <w:bidi w:val="0"/>
        <w:rPr>
          <w:rFonts w:hint="eastAsia"/>
          <w:sz w:val="30"/>
          <w:szCs w:val="30"/>
        </w:rPr>
      </w:pPr>
    </w:p>
    <w:p w14:paraId="3CE0A12A">
      <w:pPr>
        <w:bidi w:val="0"/>
        <w:rPr>
          <w:rFonts w:hint="eastAsia"/>
          <w:sz w:val="30"/>
          <w:szCs w:val="30"/>
        </w:rPr>
      </w:pPr>
      <w:r>
        <w:rPr>
          <w:rFonts w:hint="eastAsia"/>
          <w:sz w:val="30"/>
          <w:szCs w:val="30"/>
        </w:rPr>
        <w:t>最后，也是最重要的，借着基督，神拯救罪人脱离他们可怕的罪咎和羞耻的重担，赦免所有悔改信靠耶稣之人的罪，从而将他们恢复到那永远标志着蒙赎之民群体的平安、爱、喜乐、感恩和永生的盼望中（路加福音 7:36-50, 15:1及以下, 18:9-14, 19:1及以下）。</w:t>
      </w:r>
    </w:p>
    <w:p w14:paraId="13024774">
      <w:pPr>
        <w:bidi w:val="0"/>
        <w:rPr>
          <w:rFonts w:hint="eastAsia"/>
          <w:sz w:val="30"/>
          <w:szCs w:val="30"/>
        </w:rPr>
      </w:pPr>
    </w:p>
    <w:p w14:paraId="682B6BF4">
      <w:pPr>
        <w:bidi w:val="0"/>
        <w:rPr>
          <w:rFonts w:hint="eastAsia"/>
          <w:sz w:val="30"/>
          <w:szCs w:val="30"/>
        </w:rPr>
      </w:pPr>
      <w:r>
        <w:rPr>
          <w:rFonts w:hint="eastAsia"/>
          <w:sz w:val="30"/>
          <w:szCs w:val="30"/>
        </w:rPr>
        <w:t>We find, then, that Jesus’ miraculous ministry was designed to do something more than confirm his status as a prophet, or as the Messiah, or even as the Son of God.</w:t>
      </w:r>
    </w:p>
    <w:p w14:paraId="728C693A">
      <w:pPr>
        <w:bidi w:val="0"/>
        <w:rPr>
          <w:rFonts w:hint="eastAsia"/>
          <w:sz w:val="30"/>
          <w:szCs w:val="30"/>
        </w:rPr>
      </w:pPr>
    </w:p>
    <w:p w14:paraId="70622899">
      <w:pPr>
        <w:bidi w:val="0"/>
        <w:rPr>
          <w:rFonts w:hint="eastAsia"/>
          <w:sz w:val="30"/>
          <w:szCs w:val="30"/>
        </w:rPr>
      </w:pPr>
      <w:r>
        <w:rPr>
          <w:rFonts w:hint="eastAsia"/>
          <w:sz w:val="30"/>
          <w:szCs w:val="30"/>
        </w:rPr>
        <w:t>那么，我们发现，耶稣神奇的职事，其设计目的不仅仅是为了证实祂作为申言者，或弥赛亚，甚至神儿子的地位。</w:t>
      </w:r>
    </w:p>
    <w:p w14:paraId="23AB13B6">
      <w:pPr>
        <w:bidi w:val="0"/>
        <w:rPr>
          <w:rFonts w:hint="eastAsia"/>
          <w:sz w:val="30"/>
          <w:szCs w:val="30"/>
        </w:rPr>
      </w:pPr>
    </w:p>
    <w:p w14:paraId="266EB0C2">
      <w:pPr>
        <w:bidi w:val="0"/>
        <w:rPr>
          <w:rFonts w:hint="eastAsia"/>
          <w:sz w:val="30"/>
          <w:szCs w:val="30"/>
        </w:rPr>
      </w:pPr>
      <w:r>
        <w:rPr>
          <w:rFonts w:hint="eastAsia"/>
          <w:sz w:val="30"/>
          <w:szCs w:val="30"/>
        </w:rPr>
        <w:t>Beyond all these, it was designed to give Israel— and all mankind—a glimpse and foretaste of the Kingdom of God itself; of the redemptive rescue and restoration by which God enables every believer in Christ to experience the blessedness of life beneath his direct rule.</w:t>
      </w:r>
    </w:p>
    <w:p w14:paraId="457A58B7">
      <w:pPr>
        <w:bidi w:val="0"/>
        <w:rPr>
          <w:rFonts w:hint="eastAsia"/>
          <w:sz w:val="30"/>
          <w:szCs w:val="30"/>
        </w:rPr>
      </w:pPr>
    </w:p>
    <w:p w14:paraId="2BB21AE6">
      <w:pPr>
        <w:bidi w:val="0"/>
        <w:rPr>
          <w:rFonts w:hint="eastAsia"/>
          <w:sz w:val="30"/>
          <w:szCs w:val="30"/>
        </w:rPr>
      </w:pPr>
      <w:r>
        <w:rPr>
          <w:rFonts w:hint="eastAsia"/>
          <w:sz w:val="30"/>
          <w:szCs w:val="30"/>
        </w:rPr>
        <w:t>除此之外，它还旨在让以色列——以及全人类——一瞥并预尝神的国本身；即那救赎性的拯救和恢复，借此神使每一个信靠基督的人，都能体验到在祂直接统治下生活的福气。</w:t>
      </w:r>
    </w:p>
    <w:p w14:paraId="2E0F3F1D">
      <w:pPr>
        <w:bidi w:val="0"/>
        <w:rPr>
          <w:rFonts w:hint="eastAsia"/>
          <w:sz w:val="30"/>
          <w:szCs w:val="30"/>
        </w:rPr>
      </w:pPr>
    </w:p>
    <w:p w14:paraId="0BB77752">
      <w:pPr>
        <w:bidi w:val="0"/>
        <w:rPr>
          <w:rFonts w:hint="eastAsia"/>
          <w:sz w:val="30"/>
          <w:szCs w:val="30"/>
        </w:rPr>
      </w:pPr>
      <w:r>
        <w:rPr>
          <w:rFonts w:hint="eastAsia"/>
          <w:sz w:val="30"/>
          <w:szCs w:val="30"/>
        </w:rPr>
        <w:t>Mediated by the Son of God</w:t>
      </w:r>
    </w:p>
    <w:p w14:paraId="4C722BC1">
      <w:pPr>
        <w:bidi w:val="0"/>
        <w:rPr>
          <w:rFonts w:hint="eastAsia"/>
          <w:sz w:val="30"/>
          <w:szCs w:val="30"/>
        </w:rPr>
      </w:pPr>
    </w:p>
    <w:p w14:paraId="68D041AD">
      <w:pPr>
        <w:bidi w:val="0"/>
        <w:rPr>
          <w:rFonts w:hint="eastAsia"/>
          <w:sz w:val="30"/>
          <w:szCs w:val="30"/>
        </w:rPr>
      </w:pPr>
      <w:r>
        <w:rPr>
          <w:rFonts w:hint="eastAsia"/>
          <w:sz w:val="30"/>
          <w:szCs w:val="30"/>
        </w:rPr>
        <w:t>由神的儿子作中介</w:t>
      </w:r>
    </w:p>
    <w:p w14:paraId="037BDEB4">
      <w:pPr>
        <w:bidi w:val="0"/>
        <w:rPr>
          <w:rFonts w:hint="eastAsia"/>
          <w:sz w:val="30"/>
          <w:szCs w:val="30"/>
        </w:rPr>
      </w:pPr>
    </w:p>
    <w:p w14:paraId="01D858E6">
      <w:pPr>
        <w:bidi w:val="0"/>
        <w:rPr>
          <w:rFonts w:hint="eastAsia"/>
          <w:sz w:val="30"/>
          <w:szCs w:val="30"/>
        </w:rPr>
      </w:pPr>
      <w:r>
        <w:rPr>
          <w:rFonts w:hint="eastAsia"/>
          <w:sz w:val="30"/>
          <w:szCs w:val="30"/>
        </w:rPr>
        <w:t>This brings us to our third point, namely, that the direct reign of God the Father is always mediated by God the Son.</w:t>
      </w:r>
    </w:p>
    <w:p w14:paraId="13BD26E8">
      <w:pPr>
        <w:bidi w:val="0"/>
        <w:rPr>
          <w:rFonts w:hint="eastAsia"/>
          <w:sz w:val="30"/>
          <w:szCs w:val="30"/>
        </w:rPr>
      </w:pPr>
    </w:p>
    <w:p w14:paraId="6F7FA1A4">
      <w:pPr>
        <w:bidi w:val="0"/>
        <w:rPr>
          <w:rFonts w:hint="eastAsia"/>
          <w:sz w:val="30"/>
          <w:szCs w:val="30"/>
        </w:rPr>
      </w:pPr>
      <w:r>
        <w:rPr>
          <w:rFonts w:hint="eastAsia"/>
          <w:sz w:val="30"/>
          <w:szCs w:val="30"/>
        </w:rPr>
        <w:t>这就把我们带到了第三点，即父神直接的掌权总是由神子作中介。</w:t>
      </w:r>
    </w:p>
    <w:p w14:paraId="4F1BEEBA">
      <w:pPr>
        <w:bidi w:val="0"/>
        <w:rPr>
          <w:rFonts w:hint="eastAsia"/>
          <w:sz w:val="30"/>
          <w:szCs w:val="30"/>
        </w:rPr>
      </w:pPr>
    </w:p>
    <w:p w14:paraId="2FF7D159">
      <w:pPr>
        <w:bidi w:val="0"/>
        <w:rPr>
          <w:rFonts w:hint="eastAsia"/>
          <w:sz w:val="30"/>
          <w:szCs w:val="30"/>
        </w:rPr>
      </w:pPr>
      <w:r>
        <w:rPr>
          <w:rFonts w:hint="eastAsia"/>
          <w:sz w:val="30"/>
          <w:szCs w:val="30"/>
        </w:rPr>
        <w:t>Later we will explore in greater depth the divine rationale for this crucial characteristic of the Kingdom.</w:t>
      </w:r>
    </w:p>
    <w:p w14:paraId="06A6FC05">
      <w:pPr>
        <w:bidi w:val="0"/>
        <w:rPr>
          <w:rFonts w:hint="eastAsia"/>
          <w:sz w:val="30"/>
          <w:szCs w:val="30"/>
        </w:rPr>
      </w:pPr>
    </w:p>
    <w:p w14:paraId="4583DDDE">
      <w:pPr>
        <w:bidi w:val="0"/>
        <w:rPr>
          <w:rFonts w:hint="eastAsia"/>
          <w:sz w:val="30"/>
          <w:szCs w:val="30"/>
        </w:rPr>
      </w:pPr>
      <w:r>
        <w:rPr>
          <w:rFonts w:hint="eastAsia"/>
          <w:sz w:val="30"/>
          <w:szCs w:val="30"/>
        </w:rPr>
        <w:t>稍后我们将更深入地探讨国度这一关键特征的神圣理据。</w:t>
      </w:r>
    </w:p>
    <w:p w14:paraId="722B944E">
      <w:pPr>
        <w:bidi w:val="0"/>
        <w:rPr>
          <w:rFonts w:hint="eastAsia"/>
          <w:sz w:val="30"/>
          <w:szCs w:val="30"/>
        </w:rPr>
      </w:pPr>
    </w:p>
    <w:p w14:paraId="56FF8DD6">
      <w:pPr>
        <w:bidi w:val="0"/>
        <w:rPr>
          <w:rFonts w:hint="eastAsia"/>
          <w:sz w:val="30"/>
          <w:szCs w:val="30"/>
        </w:rPr>
      </w:pPr>
      <w:r>
        <w:rPr>
          <w:rFonts w:hint="eastAsia"/>
          <w:sz w:val="30"/>
          <w:szCs w:val="30"/>
        </w:rPr>
        <w:t>Here, however, it suffices to say that this important characteristic is on display all throughout Christ’s earthly ministry.</w:t>
      </w:r>
    </w:p>
    <w:p w14:paraId="3BAF9302">
      <w:pPr>
        <w:bidi w:val="0"/>
        <w:rPr>
          <w:rFonts w:hint="eastAsia"/>
          <w:sz w:val="30"/>
          <w:szCs w:val="30"/>
        </w:rPr>
      </w:pPr>
    </w:p>
    <w:p w14:paraId="40ACBAB1">
      <w:pPr>
        <w:bidi w:val="0"/>
        <w:rPr>
          <w:rFonts w:hint="eastAsia"/>
          <w:sz w:val="30"/>
          <w:szCs w:val="30"/>
        </w:rPr>
      </w:pPr>
      <w:r>
        <w:rPr>
          <w:rFonts w:hint="eastAsia"/>
          <w:sz w:val="30"/>
          <w:szCs w:val="30"/>
        </w:rPr>
        <w:t>然而，在这里，只需说这个重要的特征在基督整个地上的职事中都得以展示。</w:t>
      </w:r>
    </w:p>
    <w:p w14:paraId="7202D9D1">
      <w:pPr>
        <w:bidi w:val="0"/>
        <w:rPr>
          <w:rFonts w:hint="eastAsia"/>
          <w:sz w:val="30"/>
          <w:szCs w:val="30"/>
        </w:rPr>
      </w:pPr>
    </w:p>
    <w:p w14:paraId="174CF9E6">
      <w:pPr>
        <w:bidi w:val="0"/>
        <w:rPr>
          <w:rFonts w:hint="eastAsia"/>
          <w:sz w:val="30"/>
          <w:szCs w:val="30"/>
        </w:rPr>
      </w:pPr>
      <w:r>
        <w:rPr>
          <w:rFonts w:hint="eastAsia"/>
          <w:sz w:val="30"/>
          <w:szCs w:val="30"/>
        </w:rPr>
        <w:t>How were the people healed?</w:t>
      </w:r>
    </w:p>
    <w:p w14:paraId="470DEA75">
      <w:pPr>
        <w:bidi w:val="0"/>
        <w:rPr>
          <w:rFonts w:hint="eastAsia"/>
          <w:sz w:val="30"/>
          <w:szCs w:val="30"/>
        </w:rPr>
      </w:pPr>
    </w:p>
    <w:p w14:paraId="02DA4E06">
      <w:pPr>
        <w:bidi w:val="0"/>
        <w:rPr>
          <w:rFonts w:hint="eastAsia"/>
          <w:sz w:val="30"/>
          <w:szCs w:val="30"/>
        </w:rPr>
      </w:pPr>
      <w:r>
        <w:rPr>
          <w:rFonts w:hint="eastAsia"/>
          <w:sz w:val="30"/>
          <w:szCs w:val="30"/>
        </w:rPr>
        <w:t>百姓是如何被医治的？</w:t>
      </w:r>
    </w:p>
    <w:p w14:paraId="1497F7B6">
      <w:pPr>
        <w:bidi w:val="0"/>
        <w:rPr>
          <w:rFonts w:hint="eastAsia"/>
          <w:sz w:val="30"/>
          <w:szCs w:val="30"/>
        </w:rPr>
      </w:pPr>
    </w:p>
    <w:p w14:paraId="14E17A99">
      <w:pPr>
        <w:bidi w:val="0"/>
        <w:rPr>
          <w:rFonts w:hint="eastAsia"/>
          <w:sz w:val="30"/>
          <w:szCs w:val="30"/>
        </w:rPr>
      </w:pPr>
      <w:r>
        <w:rPr>
          <w:rFonts w:hint="eastAsia"/>
          <w:sz w:val="30"/>
          <w:szCs w:val="30"/>
        </w:rPr>
        <w:t>How were they delivered?</w:t>
      </w:r>
    </w:p>
    <w:p w14:paraId="3ADF915B">
      <w:pPr>
        <w:bidi w:val="0"/>
        <w:rPr>
          <w:rFonts w:hint="eastAsia"/>
          <w:sz w:val="30"/>
          <w:szCs w:val="30"/>
        </w:rPr>
      </w:pPr>
    </w:p>
    <w:p w14:paraId="34A6177C">
      <w:pPr>
        <w:bidi w:val="0"/>
        <w:rPr>
          <w:rFonts w:hint="eastAsia"/>
          <w:sz w:val="30"/>
          <w:szCs w:val="30"/>
        </w:rPr>
      </w:pPr>
      <w:r>
        <w:rPr>
          <w:rFonts w:hint="eastAsia"/>
          <w:sz w:val="30"/>
          <w:szCs w:val="30"/>
        </w:rPr>
        <w:t>他们是如何被拯救的？</w:t>
      </w:r>
    </w:p>
    <w:p w14:paraId="2227B01E">
      <w:pPr>
        <w:bidi w:val="0"/>
        <w:rPr>
          <w:rFonts w:hint="eastAsia"/>
          <w:sz w:val="30"/>
          <w:szCs w:val="30"/>
        </w:rPr>
      </w:pPr>
    </w:p>
    <w:p w14:paraId="21ECB50D">
      <w:pPr>
        <w:bidi w:val="0"/>
        <w:rPr>
          <w:rFonts w:hint="eastAsia"/>
          <w:sz w:val="30"/>
          <w:szCs w:val="30"/>
        </w:rPr>
      </w:pPr>
      <w:r>
        <w:rPr>
          <w:rFonts w:hint="eastAsia"/>
          <w:sz w:val="30"/>
          <w:szCs w:val="30"/>
        </w:rPr>
        <w:t>How were they supplied, or raised, or pardoned, or filled with renewed faith, hope, and love?</w:t>
      </w:r>
    </w:p>
    <w:p w14:paraId="2DB8878A">
      <w:pPr>
        <w:bidi w:val="0"/>
        <w:rPr>
          <w:rFonts w:hint="eastAsia"/>
          <w:sz w:val="30"/>
          <w:szCs w:val="30"/>
        </w:rPr>
      </w:pPr>
    </w:p>
    <w:p w14:paraId="17CC79BC">
      <w:pPr>
        <w:bidi w:val="0"/>
        <w:rPr>
          <w:rFonts w:hint="eastAsia"/>
          <w:sz w:val="30"/>
          <w:szCs w:val="30"/>
        </w:rPr>
      </w:pPr>
      <w:r>
        <w:rPr>
          <w:rFonts w:hint="eastAsia"/>
          <w:sz w:val="30"/>
          <w:szCs w:val="30"/>
        </w:rPr>
        <w:t>他们是如何被供应，或被复活，或被赦免，或被重新充满信心、盼望和爱的？</w:t>
      </w:r>
    </w:p>
    <w:p w14:paraId="263E96C0">
      <w:pPr>
        <w:bidi w:val="0"/>
        <w:rPr>
          <w:rFonts w:hint="eastAsia"/>
          <w:sz w:val="30"/>
          <w:szCs w:val="30"/>
        </w:rPr>
      </w:pPr>
    </w:p>
    <w:p w14:paraId="32871D65">
      <w:pPr>
        <w:bidi w:val="0"/>
        <w:rPr>
          <w:rFonts w:hint="eastAsia"/>
          <w:sz w:val="30"/>
          <w:szCs w:val="30"/>
        </w:rPr>
      </w:pPr>
      <w:r>
        <w:rPr>
          <w:rFonts w:hint="eastAsia"/>
          <w:sz w:val="30"/>
          <w:szCs w:val="30"/>
        </w:rPr>
        <w:t>The answer shines on every page of the gospels: All these things happened when Jesus reached out and touched them; or when they reached out and touched him; or when he taught, or prayed, or issued a mighty word of command.</w:t>
      </w:r>
    </w:p>
    <w:p w14:paraId="03883A20">
      <w:pPr>
        <w:bidi w:val="0"/>
        <w:rPr>
          <w:rFonts w:hint="eastAsia"/>
          <w:sz w:val="30"/>
          <w:szCs w:val="30"/>
        </w:rPr>
      </w:pPr>
    </w:p>
    <w:p w14:paraId="349067DA">
      <w:pPr>
        <w:bidi w:val="0"/>
        <w:rPr>
          <w:rFonts w:hint="eastAsia"/>
          <w:sz w:val="30"/>
          <w:szCs w:val="30"/>
        </w:rPr>
      </w:pPr>
      <w:r>
        <w:rPr>
          <w:rFonts w:hint="eastAsia"/>
          <w:sz w:val="30"/>
          <w:szCs w:val="30"/>
        </w:rPr>
        <w:t>答案在福音书的每一页上都闪耀着：所有这些事都发生在耶稣伸出手触摸他们的时候；或在他们伸出手触摸祂的时候；或在祂教导、祷告，或发出大能的命令之言的时候。</w:t>
      </w:r>
    </w:p>
    <w:p w14:paraId="36B5D708">
      <w:pPr>
        <w:bidi w:val="0"/>
        <w:rPr>
          <w:rFonts w:hint="eastAsia"/>
          <w:sz w:val="30"/>
          <w:szCs w:val="30"/>
        </w:rPr>
      </w:pPr>
    </w:p>
    <w:p w14:paraId="3770289A">
      <w:pPr>
        <w:bidi w:val="0"/>
        <w:rPr>
          <w:rFonts w:hint="eastAsia"/>
          <w:sz w:val="30"/>
          <w:szCs w:val="30"/>
        </w:rPr>
      </w:pPr>
      <w:r>
        <w:rPr>
          <w:rFonts w:hint="eastAsia"/>
          <w:sz w:val="30"/>
          <w:szCs w:val="30"/>
        </w:rPr>
        <w:t>Yes, in the end it was God the Father who was doing the works.</w:t>
      </w:r>
    </w:p>
    <w:p w14:paraId="5BA9B20A">
      <w:pPr>
        <w:bidi w:val="0"/>
        <w:rPr>
          <w:rFonts w:hint="eastAsia"/>
          <w:sz w:val="30"/>
          <w:szCs w:val="30"/>
        </w:rPr>
      </w:pPr>
    </w:p>
    <w:p w14:paraId="6A7EBF59">
      <w:pPr>
        <w:bidi w:val="0"/>
        <w:rPr>
          <w:rFonts w:hint="eastAsia"/>
          <w:sz w:val="30"/>
          <w:szCs w:val="30"/>
        </w:rPr>
      </w:pPr>
      <w:r>
        <w:rPr>
          <w:rFonts w:hint="eastAsia"/>
          <w:sz w:val="30"/>
          <w:szCs w:val="30"/>
        </w:rPr>
        <w:t>是的，最终是父神在作工。</w:t>
      </w:r>
    </w:p>
    <w:p w14:paraId="5AF30FE6">
      <w:pPr>
        <w:bidi w:val="0"/>
        <w:rPr>
          <w:rFonts w:hint="eastAsia"/>
          <w:sz w:val="30"/>
          <w:szCs w:val="30"/>
        </w:rPr>
      </w:pPr>
    </w:p>
    <w:p w14:paraId="5F5D7FE5">
      <w:pPr>
        <w:bidi w:val="0"/>
        <w:rPr>
          <w:rFonts w:hint="eastAsia"/>
          <w:sz w:val="30"/>
          <w:szCs w:val="30"/>
        </w:rPr>
      </w:pPr>
      <w:r>
        <w:rPr>
          <w:rFonts w:hint="eastAsia"/>
          <w:sz w:val="30"/>
          <w:szCs w:val="30"/>
        </w:rPr>
        <w:t>But in the end, it was always through Jesus that he did them!</w:t>
      </w:r>
    </w:p>
    <w:p w14:paraId="282071C3">
      <w:pPr>
        <w:bidi w:val="0"/>
        <w:rPr>
          <w:rFonts w:hint="eastAsia"/>
          <w:sz w:val="30"/>
          <w:szCs w:val="30"/>
        </w:rPr>
      </w:pPr>
    </w:p>
    <w:p w14:paraId="7C78F582">
      <w:pPr>
        <w:bidi w:val="0"/>
        <w:rPr>
          <w:rFonts w:hint="eastAsia"/>
          <w:sz w:val="30"/>
          <w:szCs w:val="30"/>
        </w:rPr>
      </w:pPr>
      <w:r>
        <w:rPr>
          <w:rFonts w:hint="eastAsia"/>
          <w:sz w:val="30"/>
          <w:szCs w:val="30"/>
        </w:rPr>
        <w:t>但最终，祂总是借着耶稣作这些工！</w:t>
      </w:r>
    </w:p>
    <w:p w14:paraId="369D6366">
      <w:pPr>
        <w:bidi w:val="0"/>
        <w:rPr>
          <w:rFonts w:hint="eastAsia"/>
          <w:sz w:val="30"/>
          <w:szCs w:val="30"/>
        </w:rPr>
      </w:pPr>
    </w:p>
    <w:p w14:paraId="0E9E73F6">
      <w:pPr>
        <w:bidi w:val="0"/>
        <w:rPr>
          <w:rFonts w:hint="eastAsia"/>
          <w:sz w:val="30"/>
          <w:szCs w:val="30"/>
        </w:rPr>
      </w:pPr>
      <w:r>
        <w:rPr>
          <w:rFonts w:hint="eastAsia"/>
          <w:sz w:val="30"/>
          <w:szCs w:val="30"/>
        </w:rPr>
        <w:t>This is a recurring theme in the most profoundly christological gospel, the Gospel of John.</w:t>
      </w:r>
    </w:p>
    <w:p w14:paraId="72D2DC28">
      <w:pPr>
        <w:bidi w:val="0"/>
        <w:rPr>
          <w:rFonts w:hint="eastAsia"/>
          <w:sz w:val="30"/>
          <w:szCs w:val="30"/>
        </w:rPr>
      </w:pPr>
    </w:p>
    <w:p w14:paraId="18CE7731">
      <w:pPr>
        <w:bidi w:val="0"/>
        <w:rPr>
          <w:rFonts w:hint="eastAsia"/>
          <w:sz w:val="30"/>
          <w:szCs w:val="30"/>
        </w:rPr>
      </w:pPr>
      <w:r>
        <w:rPr>
          <w:rFonts w:hint="eastAsia"/>
          <w:sz w:val="30"/>
          <w:szCs w:val="30"/>
        </w:rPr>
        <w:t>这是在那最深刻的基督论福音书，即约翰福音中，一个反复出现的主题。</w:t>
      </w:r>
    </w:p>
    <w:p w14:paraId="457E4598">
      <w:pPr>
        <w:bidi w:val="0"/>
        <w:rPr>
          <w:rFonts w:hint="eastAsia"/>
          <w:sz w:val="30"/>
          <w:szCs w:val="30"/>
        </w:rPr>
      </w:pPr>
    </w:p>
    <w:p w14:paraId="5F1A19DE">
      <w:pPr>
        <w:bidi w:val="0"/>
        <w:rPr>
          <w:rFonts w:hint="eastAsia"/>
          <w:sz w:val="30"/>
          <w:szCs w:val="30"/>
        </w:rPr>
      </w:pPr>
      <w:r>
        <w:rPr>
          <w:rFonts w:hint="eastAsia"/>
          <w:sz w:val="30"/>
          <w:szCs w:val="30"/>
        </w:rPr>
        <w:t>Over and again we hear Christ saying, “Truly, truly I say to you, the Son can do nothing by himself, unless it is something he sees the Father doing” (John 5:19, 30, 6:38, 8:28, 12:49, 14:10).</w:t>
      </w:r>
    </w:p>
    <w:p w14:paraId="40EDDD2A">
      <w:pPr>
        <w:bidi w:val="0"/>
        <w:rPr>
          <w:rFonts w:hint="eastAsia"/>
          <w:sz w:val="30"/>
          <w:szCs w:val="30"/>
        </w:rPr>
      </w:pPr>
    </w:p>
    <w:p w14:paraId="006C6717">
      <w:pPr>
        <w:bidi w:val="0"/>
        <w:rPr>
          <w:rFonts w:hint="eastAsia"/>
          <w:sz w:val="30"/>
          <w:szCs w:val="30"/>
        </w:rPr>
      </w:pPr>
      <w:r>
        <w:rPr>
          <w:rFonts w:hint="eastAsia"/>
          <w:sz w:val="30"/>
          <w:szCs w:val="30"/>
        </w:rPr>
        <w:t>我们一次又一次地听见基督说：“我实实在在地告诉你们，子凭着自己不能作什么，惟有看见父所作的，子才能作”（约 5:19, 30, 6:38, 8:28, 12:49, 14:10）。</w:t>
      </w:r>
    </w:p>
    <w:p w14:paraId="62CD446B">
      <w:pPr>
        <w:bidi w:val="0"/>
        <w:rPr>
          <w:rFonts w:hint="eastAsia"/>
          <w:sz w:val="30"/>
          <w:szCs w:val="30"/>
        </w:rPr>
      </w:pPr>
    </w:p>
    <w:p w14:paraId="47FFFF3E">
      <w:pPr>
        <w:bidi w:val="0"/>
        <w:rPr>
          <w:rFonts w:hint="eastAsia"/>
          <w:sz w:val="30"/>
          <w:szCs w:val="30"/>
        </w:rPr>
      </w:pPr>
      <w:r>
        <w:rPr>
          <w:rFonts w:hint="eastAsia"/>
          <w:sz w:val="30"/>
          <w:szCs w:val="30"/>
        </w:rPr>
        <w:t>But the more we consider the work of God in the gospels, the more we see that the reverse is also true: The Father will do nothing by himself, unless it is something he is pleased to do through his Son!</w:t>
      </w:r>
    </w:p>
    <w:p w14:paraId="33241F67">
      <w:pPr>
        <w:bidi w:val="0"/>
        <w:rPr>
          <w:rFonts w:hint="eastAsia"/>
          <w:sz w:val="30"/>
          <w:szCs w:val="30"/>
        </w:rPr>
      </w:pPr>
    </w:p>
    <w:p w14:paraId="2FD6FB47">
      <w:pPr>
        <w:bidi w:val="0"/>
        <w:rPr>
          <w:rFonts w:hint="eastAsia"/>
          <w:sz w:val="30"/>
          <w:szCs w:val="30"/>
        </w:rPr>
      </w:pPr>
      <w:r>
        <w:rPr>
          <w:rFonts w:hint="eastAsia"/>
          <w:sz w:val="30"/>
          <w:szCs w:val="30"/>
        </w:rPr>
        <w:t>但我们越思想神在福音书中的工作，就越看见反之亦然：父凭着自己不作什么，惟有祂乐意借着祂儿子作的事！</w:t>
      </w:r>
    </w:p>
    <w:p w14:paraId="20E1632D">
      <w:pPr>
        <w:bidi w:val="0"/>
        <w:rPr>
          <w:rFonts w:hint="eastAsia"/>
          <w:sz w:val="30"/>
          <w:szCs w:val="30"/>
        </w:rPr>
      </w:pPr>
    </w:p>
    <w:p w14:paraId="4C85192E">
      <w:pPr>
        <w:bidi w:val="0"/>
        <w:rPr>
          <w:rFonts w:hint="eastAsia"/>
          <w:sz w:val="30"/>
          <w:szCs w:val="30"/>
        </w:rPr>
      </w:pPr>
      <w:r>
        <w:rPr>
          <w:rFonts w:hint="eastAsia"/>
          <w:sz w:val="30"/>
          <w:szCs w:val="30"/>
        </w:rPr>
        <w:t>Why?</w:t>
      </w:r>
    </w:p>
    <w:p w14:paraId="37B6D982">
      <w:pPr>
        <w:bidi w:val="0"/>
        <w:rPr>
          <w:rFonts w:hint="eastAsia"/>
          <w:sz w:val="30"/>
          <w:szCs w:val="30"/>
        </w:rPr>
      </w:pPr>
    </w:p>
    <w:p w14:paraId="024C6BCD">
      <w:pPr>
        <w:bidi w:val="0"/>
        <w:rPr>
          <w:rFonts w:hint="eastAsia"/>
          <w:sz w:val="30"/>
          <w:szCs w:val="30"/>
        </w:rPr>
      </w:pPr>
      <w:r>
        <w:rPr>
          <w:rFonts w:hint="eastAsia"/>
          <w:sz w:val="30"/>
          <w:szCs w:val="30"/>
        </w:rPr>
        <w:t>为什么？</w:t>
      </w:r>
    </w:p>
    <w:p w14:paraId="60F8D32F">
      <w:pPr>
        <w:bidi w:val="0"/>
        <w:rPr>
          <w:rFonts w:hint="eastAsia"/>
          <w:sz w:val="30"/>
          <w:szCs w:val="30"/>
        </w:rPr>
      </w:pPr>
    </w:p>
    <w:p w14:paraId="16275958">
      <w:pPr>
        <w:bidi w:val="0"/>
        <w:rPr>
          <w:rFonts w:hint="eastAsia"/>
          <w:sz w:val="30"/>
          <w:szCs w:val="30"/>
        </w:rPr>
      </w:pPr>
      <w:r>
        <w:rPr>
          <w:rFonts w:hint="eastAsia"/>
          <w:sz w:val="30"/>
          <w:szCs w:val="30"/>
        </w:rPr>
        <w:t>Because he desires that all should honor the Son, even as they honor the Father (John 5:23).</w:t>
      </w:r>
    </w:p>
    <w:p w14:paraId="598571CC">
      <w:pPr>
        <w:bidi w:val="0"/>
        <w:rPr>
          <w:rFonts w:hint="eastAsia"/>
          <w:sz w:val="30"/>
          <w:szCs w:val="30"/>
        </w:rPr>
      </w:pPr>
    </w:p>
    <w:p w14:paraId="7927DDD4">
      <w:pPr>
        <w:bidi w:val="0"/>
        <w:rPr>
          <w:rFonts w:hint="eastAsia"/>
          <w:sz w:val="30"/>
          <w:szCs w:val="30"/>
        </w:rPr>
      </w:pPr>
      <w:r>
        <w:rPr>
          <w:rFonts w:hint="eastAsia"/>
          <w:sz w:val="30"/>
          <w:szCs w:val="30"/>
        </w:rPr>
        <w:t>因为祂渴望人都尊敬子，如同尊敬父一样（约 5:23）。</w:t>
      </w:r>
    </w:p>
    <w:p w14:paraId="6399101E">
      <w:pPr>
        <w:bidi w:val="0"/>
        <w:rPr>
          <w:rFonts w:hint="eastAsia"/>
          <w:sz w:val="30"/>
          <w:szCs w:val="30"/>
        </w:rPr>
      </w:pPr>
    </w:p>
    <w:p w14:paraId="2F02583E">
      <w:pPr>
        <w:bidi w:val="0"/>
        <w:rPr>
          <w:rFonts w:hint="eastAsia"/>
          <w:sz w:val="30"/>
          <w:szCs w:val="30"/>
        </w:rPr>
      </w:pPr>
      <w:r>
        <w:rPr>
          <w:rFonts w:hint="eastAsia"/>
          <w:sz w:val="30"/>
          <w:szCs w:val="30"/>
        </w:rPr>
        <w:t>For this reason, it is the Father’s good pleasure to rescue and restore his people and their world through Christ; it is his good pleasure to bring in the Kingdom of God through his only-begotten Son.</w:t>
      </w:r>
    </w:p>
    <w:p w14:paraId="03F59942">
      <w:pPr>
        <w:bidi w:val="0"/>
        <w:rPr>
          <w:rFonts w:hint="eastAsia"/>
          <w:sz w:val="30"/>
          <w:szCs w:val="30"/>
        </w:rPr>
      </w:pPr>
    </w:p>
    <w:p w14:paraId="71514E81">
      <w:pPr>
        <w:bidi w:val="0"/>
        <w:rPr>
          <w:rFonts w:hint="eastAsia"/>
          <w:sz w:val="30"/>
          <w:szCs w:val="30"/>
        </w:rPr>
      </w:pPr>
      <w:r>
        <w:rPr>
          <w:rFonts w:hint="eastAsia"/>
          <w:sz w:val="30"/>
          <w:szCs w:val="30"/>
        </w:rPr>
        <w:t>因此，父乐意借着基督拯救并恢复祂的子民和他们的世界；祂乐意借着祂的独生子带来神的国。</w:t>
      </w:r>
    </w:p>
    <w:p w14:paraId="482890CB">
      <w:pPr>
        <w:bidi w:val="0"/>
        <w:rPr>
          <w:rFonts w:hint="eastAsia"/>
          <w:sz w:val="30"/>
          <w:szCs w:val="30"/>
        </w:rPr>
      </w:pPr>
    </w:p>
    <w:p w14:paraId="150BA1BD">
      <w:pPr>
        <w:bidi w:val="0"/>
        <w:rPr>
          <w:rFonts w:hint="eastAsia"/>
          <w:sz w:val="30"/>
          <w:szCs w:val="30"/>
        </w:rPr>
      </w:pPr>
      <w:r>
        <w:rPr>
          <w:rFonts w:hint="eastAsia"/>
          <w:sz w:val="30"/>
          <w:szCs w:val="30"/>
        </w:rPr>
        <w:t>Jesus himself affirmed this very thing as a matter of principle.</w:t>
      </w:r>
    </w:p>
    <w:p w14:paraId="2340FA7B">
      <w:pPr>
        <w:bidi w:val="0"/>
        <w:rPr>
          <w:rFonts w:hint="eastAsia"/>
          <w:sz w:val="30"/>
          <w:szCs w:val="30"/>
        </w:rPr>
      </w:pPr>
    </w:p>
    <w:p w14:paraId="7CEF945F">
      <w:pPr>
        <w:bidi w:val="0"/>
        <w:rPr>
          <w:rFonts w:hint="eastAsia"/>
          <w:sz w:val="30"/>
          <w:szCs w:val="30"/>
        </w:rPr>
      </w:pPr>
      <w:r>
        <w:rPr>
          <w:rFonts w:hint="eastAsia"/>
          <w:sz w:val="30"/>
          <w:szCs w:val="30"/>
        </w:rPr>
        <w:t>耶稣自己也肯定了这件事，视之为一条原则。</w:t>
      </w:r>
    </w:p>
    <w:p w14:paraId="4E3D6926">
      <w:pPr>
        <w:bidi w:val="0"/>
        <w:rPr>
          <w:rFonts w:hint="eastAsia"/>
          <w:sz w:val="30"/>
          <w:szCs w:val="30"/>
        </w:rPr>
      </w:pPr>
    </w:p>
    <w:p w14:paraId="36D26015">
      <w:pPr>
        <w:bidi w:val="0"/>
        <w:rPr>
          <w:rFonts w:hint="eastAsia"/>
          <w:sz w:val="30"/>
          <w:szCs w:val="30"/>
        </w:rPr>
      </w:pPr>
      <w:r>
        <w:rPr>
          <w:rFonts w:hint="eastAsia"/>
          <w:sz w:val="30"/>
          <w:szCs w:val="30"/>
        </w:rPr>
        <w:t>Thus, in a midnight conversation with master Nicodemus, he declared, “Truly, truly, I say to you, unless a man is born again, he cannot see the Kingdom of God” (John 3:3).</w:t>
      </w:r>
    </w:p>
    <w:p w14:paraId="0D935621">
      <w:pPr>
        <w:bidi w:val="0"/>
        <w:rPr>
          <w:rFonts w:hint="eastAsia"/>
          <w:sz w:val="30"/>
          <w:szCs w:val="30"/>
        </w:rPr>
      </w:pPr>
    </w:p>
    <w:p w14:paraId="70261E75">
      <w:pPr>
        <w:bidi w:val="0"/>
        <w:rPr>
          <w:rFonts w:hint="eastAsia"/>
          <w:sz w:val="30"/>
          <w:szCs w:val="30"/>
        </w:rPr>
      </w:pPr>
      <w:r>
        <w:rPr>
          <w:rFonts w:hint="eastAsia"/>
          <w:sz w:val="30"/>
          <w:szCs w:val="30"/>
        </w:rPr>
        <w:t>因此，在与教师尼哥底母的午夜谈话中，祂宣告说：“我实实在在地告诉你，人若不重生，就不能见神的国”（约 3:3）。</w:t>
      </w:r>
    </w:p>
    <w:p w14:paraId="6D79C15D">
      <w:pPr>
        <w:bidi w:val="0"/>
        <w:rPr>
          <w:rFonts w:hint="eastAsia"/>
          <w:sz w:val="30"/>
          <w:szCs w:val="30"/>
        </w:rPr>
      </w:pPr>
    </w:p>
    <w:p w14:paraId="7941ED7F">
      <w:pPr>
        <w:bidi w:val="0"/>
        <w:rPr>
          <w:rFonts w:hint="eastAsia"/>
          <w:sz w:val="30"/>
          <w:szCs w:val="30"/>
        </w:rPr>
      </w:pPr>
      <w:r>
        <w:rPr>
          <w:rFonts w:hint="eastAsia"/>
          <w:sz w:val="30"/>
          <w:szCs w:val="30"/>
        </w:rPr>
        <w:t>Now Nicodemus had definitely seen Jesus’ miracles, and he had also seen that God was behind them (John 3:1).</w:t>
      </w:r>
    </w:p>
    <w:p w14:paraId="2FEB9B92">
      <w:pPr>
        <w:bidi w:val="0"/>
        <w:rPr>
          <w:rFonts w:hint="eastAsia"/>
          <w:sz w:val="30"/>
          <w:szCs w:val="30"/>
        </w:rPr>
      </w:pPr>
    </w:p>
    <w:p w14:paraId="611DC6C3">
      <w:pPr>
        <w:bidi w:val="0"/>
        <w:rPr>
          <w:rFonts w:hint="eastAsia"/>
          <w:sz w:val="30"/>
          <w:szCs w:val="30"/>
        </w:rPr>
      </w:pPr>
      <w:r>
        <w:rPr>
          <w:rFonts w:hint="eastAsia"/>
          <w:sz w:val="30"/>
          <w:szCs w:val="30"/>
        </w:rPr>
        <w:t>现在尼哥底母确确实实看见了耶稣的神迹，他也看见了神在这些神迹背后（约 3:1）。</w:t>
      </w:r>
    </w:p>
    <w:p w14:paraId="6E7223AF">
      <w:pPr>
        <w:bidi w:val="0"/>
        <w:rPr>
          <w:rFonts w:hint="eastAsia"/>
          <w:sz w:val="30"/>
          <w:szCs w:val="30"/>
        </w:rPr>
      </w:pPr>
    </w:p>
    <w:p w14:paraId="64927EE0">
      <w:pPr>
        <w:bidi w:val="0"/>
        <w:rPr>
          <w:rFonts w:hint="eastAsia"/>
          <w:sz w:val="30"/>
          <w:szCs w:val="30"/>
        </w:rPr>
      </w:pPr>
      <w:r>
        <w:rPr>
          <w:rFonts w:hint="eastAsia"/>
          <w:sz w:val="30"/>
          <w:szCs w:val="30"/>
        </w:rPr>
        <w:t>Nevertheless, because he was not yet born again, he could neither see—nor enter—the Kingdom of God (John 3:5).</w:t>
      </w:r>
    </w:p>
    <w:p w14:paraId="002836CA">
      <w:pPr>
        <w:bidi w:val="0"/>
        <w:rPr>
          <w:rFonts w:hint="eastAsia"/>
          <w:sz w:val="30"/>
          <w:szCs w:val="30"/>
        </w:rPr>
      </w:pPr>
    </w:p>
    <w:p w14:paraId="10766FB8">
      <w:pPr>
        <w:bidi w:val="0"/>
        <w:rPr>
          <w:rFonts w:hint="eastAsia"/>
          <w:sz w:val="30"/>
          <w:szCs w:val="30"/>
        </w:rPr>
      </w:pPr>
      <w:r>
        <w:rPr>
          <w:rFonts w:hint="eastAsia"/>
          <w:sz w:val="30"/>
          <w:szCs w:val="30"/>
        </w:rPr>
        <w:t>然而，因为他尚未重生，他既不能见——也不能进——神的国（约 3:5）。</w:t>
      </w:r>
    </w:p>
    <w:p w14:paraId="5A5C8596">
      <w:pPr>
        <w:bidi w:val="0"/>
        <w:rPr>
          <w:rFonts w:hint="eastAsia"/>
          <w:sz w:val="30"/>
          <w:szCs w:val="30"/>
        </w:rPr>
      </w:pPr>
    </w:p>
    <w:p w14:paraId="6340CF7C">
      <w:pPr>
        <w:bidi w:val="0"/>
        <w:rPr>
          <w:rFonts w:hint="eastAsia"/>
          <w:sz w:val="30"/>
          <w:szCs w:val="30"/>
        </w:rPr>
      </w:pPr>
      <w:r>
        <w:rPr>
          <w:rFonts w:hint="eastAsia"/>
          <w:sz w:val="30"/>
          <w:szCs w:val="30"/>
        </w:rPr>
        <w:t>Why?</w:t>
      </w:r>
    </w:p>
    <w:p w14:paraId="4D19D97E">
      <w:pPr>
        <w:bidi w:val="0"/>
        <w:rPr>
          <w:rFonts w:hint="eastAsia"/>
          <w:sz w:val="30"/>
          <w:szCs w:val="30"/>
        </w:rPr>
      </w:pPr>
    </w:p>
    <w:p w14:paraId="046C3058">
      <w:pPr>
        <w:bidi w:val="0"/>
        <w:rPr>
          <w:rFonts w:hint="eastAsia"/>
          <w:sz w:val="30"/>
          <w:szCs w:val="30"/>
        </w:rPr>
      </w:pPr>
      <w:r>
        <w:rPr>
          <w:rFonts w:hint="eastAsia"/>
          <w:sz w:val="30"/>
          <w:szCs w:val="30"/>
        </w:rPr>
        <w:t>为什么？</w:t>
      </w:r>
    </w:p>
    <w:p w14:paraId="2AB79909">
      <w:pPr>
        <w:bidi w:val="0"/>
        <w:rPr>
          <w:rFonts w:hint="eastAsia"/>
          <w:sz w:val="30"/>
          <w:szCs w:val="30"/>
        </w:rPr>
      </w:pPr>
    </w:p>
    <w:p w14:paraId="07C8B283">
      <w:pPr>
        <w:bidi w:val="0"/>
        <w:rPr>
          <w:rFonts w:hint="eastAsia"/>
          <w:sz w:val="30"/>
          <w:szCs w:val="30"/>
        </w:rPr>
      </w:pPr>
      <w:r>
        <w:rPr>
          <w:rFonts w:hint="eastAsia"/>
          <w:sz w:val="30"/>
          <w:szCs w:val="30"/>
        </w:rPr>
        <w:t>Because he could not see the King, or the nature of the Kingdom over which God had placed him!</w:t>
      </w:r>
    </w:p>
    <w:p w14:paraId="6AD42974">
      <w:pPr>
        <w:bidi w:val="0"/>
        <w:rPr>
          <w:rFonts w:hint="eastAsia"/>
          <w:sz w:val="30"/>
          <w:szCs w:val="30"/>
        </w:rPr>
      </w:pPr>
    </w:p>
    <w:p w14:paraId="428CFBC5">
      <w:pPr>
        <w:bidi w:val="0"/>
        <w:rPr>
          <w:rFonts w:hint="eastAsia"/>
          <w:sz w:val="30"/>
          <w:szCs w:val="30"/>
        </w:rPr>
      </w:pPr>
      <w:r>
        <w:rPr>
          <w:rFonts w:hint="eastAsia"/>
          <w:sz w:val="30"/>
          <w:szCs w:val="30"/>
        </w:rPr>
        <w:t>因为他看不见那位君王，也看不见神立祂所统治之国的性质！</w:t>
      </w:r>
    </w:p>
    <w:p w14:paraId="5D4627CE">
      <w:pPr>
        <w:bidi w:val="0"/>
        <w:rPr>
          <w:rFonts w:hint="eastAsia"/>
          <w:sz w:val="30"/>
          <w:szCs w:val="30"/>
        </w:rPr>
      </w:pPr>
    </w:p>
    <w:p w14:paraId="7B5112AF">
      <w:pPr>
        <w:bidi w:val="0"/>
        <w:rPr>
          <w:rFonts w:hint="eastAsia"/>
          <w:sz w:val="30"/>
          <w:szCs w:val="30"/>
        </w:rPr>
      </w:pPr>
      <w:r>
        <w:rPr>
          <w:rFonts w:hint="eastAsia"/>
          <w:sz w:val="30"/>
          <w:szCs w:val="30"/>
        </w:rPr>
        <w:t>Soon, however, he would be able to.</w:t>
      </w:r>
    </w:p>
    <w:p w14:paraId="3992D8F1">
      <w:pPr>
        <w:bidi w:val="0"/>
        <w:rPr>
          <w:rFonts w:hint="eastAsia"/>
          <w:sz w:val="30"/>
          <w:szCs w:val="30"/>
        </w:rPr>
      </w:pPr>
    </w:p>
    <w:p w14:paraId="64225BA2">
      <w:pPr>
        <w:bidi w:val="0"/>
        <w:rPr>
          <w:rFonts w:hint="eastAsia"/>
          <w:sz w:val="30"/>
          <w:szCs w:val="30"/>
        </w:rPr>
      </w:pPr>
      <w:r>
        <w:rPr>
          <w:rFonts w:hint="eastAsia"/>
          <w:sz w:val="30"/>
          <w:szCs w:val="30"/>
        </w:rPr>
        <w:t>然而，他很快就能了。</w:t>
      </w:r>
    </w:p>
    <w:p w14:paraId="5A37ADE2">
      <w:pPr>
        <w:bidi w:val="0"/>
        <w:rPr>
          <w:rFonts w:hint="eastAsia"/>
          <w:sz w:val="30"/>
          <w:szCs w:val="30"/>
        </w:rPr>
      </w:pPr>
    </w:p>
    <w:p w14:paraId="75C7E519">
      <w:pPr>
        <w:bidi w:val="0"/>
        <w:rPr>
          <w:rFonts w:hint="eastAsia"/>
          <w:sz w:val="30"/>
          <w:szCs w:val="30"/>
        </w:rPr>
      </w:pPr>
      <w:r>
        <w:rPr>
          <w:rFonts w:hint="eastAsia"/>
          <w:sz w:val="30"/>
          <w:szCs w:val="30"/>
        </w:rPr>
        <w:t>For as Jesus himself intimated that very night, in time he (Christ) would die, rise, and ascend to heaven; and in time he would pour out the Holy Spirit on Nicodemus, renew him inwardly, and open his eyes.</w:t>
      </w:r>
    </w:p>
    <w:p w14:paraId="1E3FC8F7">
      <w:pPr>
        <w:bidi w:val="0"/>
        <w:rPr>
          <w:rFonts w:hint="eastAsia"/>
          <w:sz w:val="30"/>
          <w:szCs w:val="30"/>
        </w:rPr>
      </w:pPr>
    </w:p>
    <w:p w14:paraId="6B93B9CC">
      <w:pPr>
        <w:bidi w:val="0"/>
        <w:rPr>
          <w:rFonts w:hint="eastAsia"/>
          <w:sz w:val="30"/>
          <w:szCs w:val="30"/>
        </w:rPr>
      </w:pPr>
      <w:r>
        <w:rPr>
          <w:rFonts w:hint="eastAsia"/>
          <w:sz w:val="30"/>
          <w:szCs w:val="30"/>
        </w:rPr>
        <w:t>因为正如耶稣自己当晚所暗示的，到了一定的时间，祂（基督）将要死、复活并升到天上；到了一定的时间，祂将把圣灵浇灌在尼哥底母身上，使他内心更新，并开启他的眼睛。</w:t>
      </w:r>
    </w:p>
    <w:p w14:paraId="07D3CFAF">
      <w:pPr>
        <w:bidi w:val="0"/>
        <w:rPr>
          <w:rFonts w:hint="eastAsia"/>
          <w:sz w:val="30"/>
          <w:szCs w:val="30"/>
        </w:rPr>
      </w:pPr>
    </w:p>
    <w:p w14:paraId="67E7C672">
      <w:pPr>
        <w:bidi w:val="0"/>
        <w:rPr>
          <w:rFonts w:hint="eastAsia"/>
          <w:sz w:val="30"/>
          <w:szCs w:val="30"/>
        </w:rPr>
      </w:pPr>
      <w:r>
        <w:rPr>
          <w:rFonts w:hint="eastAsia"/>
          <w:sz w:val="30"/>
          <w:szCs w:val="30"/>
        </w:rPr>
        <w:t>Then he would be able to see the King, high and lifted up: not only upon the Cross (John 3:14-16), but also at the right hand of God (Acts 2:33).</w:t>
      </w:r>
    </w:p>
    <w:p w14:paraId="27169AC6">
      <w:pPr>
        <w:bidi w:val="0"/>
        <w:rPr>
          <w:rFonts w:hint="eastAsia"/>
          <w:sz w:val="30"/>
          <w:szCs w:val="30"/>
        </w:rPr>
      </w:pPr>
    </w:p>
    <w:p w14:paraId="0A0AAC49">
      <w:pPr>
        <w:bidi w:val="0"/>
        <w:rPr>
          <w:rFonts w:hint="eastAsia"/>
          <w:sz w:val="30"/>
          <w:szCs w:val="30"/>
        </w:rPr>
      </w:pPr>
      <w:r>
        <w:rPr>
          <w:rFonts w:hint="eastAsia"/>
          <w:sz w:val="30"/>
          <w:szCs w:val="30"/>
        </w:rPr>
        <w:t>那时他将能看见那位君王，高高被举起：不仅在十字架上（约 3:14-16），也在神的右边（徒 2:33）。</w:t>
      </w:r>
    </w:p>
    <w:p w14:paraId="0D7F385C">
      <w:pPr>
        <w:bidi w:val="0"/>
        <w:rPr>
          <w:rFonts w:hint="eastAsia"/>
          <w:sz w:val="30"/>
          <w:szCs w:val="30"/>
        </w:rPr>
      </w:pPr>
    </w:p>
    <w:p w14:paraId="25C4A2F0">
      <w:pPr>
        <w:bidi w:val="0"/>
        <w:rPr>
          <w:rFonts w:hint="eastAsia"/>
          <w:sz w:val="30"/>
          <w:szCs w:val="30"/>
        </w:rPr>
      </w:pPr>
      <w:r>
        <w:rPr>
          <w:rFonts w:hint="eastAsia"/>
          <w:sz w:val="30"/>
          <w:szCs w:val="30"/>
        </w:rPr>
        <w:t>Then he would be able to see Christ’s deity, and the meaning of his redemptive work on earth.</w:t>
      </w:r>
    </w:p>
    <w:p w14:paraId="083E2983">
      <w:pPr>
        <w:bidi w:val="0"/>
        <w:rPr>
          <w:rFonts w:hint="eastAsia"/>
          <w:sz w:val="30"/>
          <w:szCs w:val="30"/>
        </w:rPr>
      </w:pPr>
    </w:p>
    <w:p w14:paraId="59FF8E84">
      <w:pPr>
        <w:bidi w:val="0"/>
        <w:rPr>
          <w:rFonts w:hint="eastAsia"/>
          <w:sz w:val="30"/>
          <w:szCs w:val="30"/>
        </w:rPr>
      </w:pPr>
      <w:r>
        <w:rPr>
          <w:rFonts w:hint="eastAsia"/>
          <w:sz w:val="30"/>
          <w:szCs w:val="30"/>
        </w:rPr>
        <w:t>那时他将能看见基督的神性，以及祂在地上救赎工作的意义。</w:t>
      </w:r>
    </w:p>
    <w:p w14:paraId="3CE644D9">
      <w:pPr>
        <w:bidi w:val="0"/>
        <w:rPr>
          <w:rFonts w:hint="eastAsia"/>
          <w:sz w:val="30"/>
          <w:szCs w:val="30"/>
        </w:rPr>
      </w:pPr>
    </w:p>
    <w:p w14:paraId="10FD5A0A">
      <w:pPr>
        <w:bidi w:val="0"/>
        <w:rPr>
          <w:rFonts w:hint="eastAsia"/>
          <w:sz w:val="30"/>
          <w:szCs w:val="30"/>
        </w:rPr>
      </w:pPr>
      <w:r>
        <w:rPr>
          <w:rFonts w:hint="eastAsia"/>
          <w:sz w:val="30"/>
          <w:szCs w:val="30"/>
        </w:rPr>
        <w:t>And then, coming to the one Mediator between God and man—the high Prophet, Priest, and King of Heaven—he would be able to experience, at long last, the direct rule of God the Father over his whole being.</w:t>
      </w:r>
    </w:p>
    <w:p w14:paraId="39980F3A">
      <w:pPr>
        <w:bidi w:val="0"/>
        <w:rPr>
          <w:rFonts w:hint="eastAsia"/>
          <w:sz w:val="30"/>
          <w:szCs w:val="30"/>
        </w:rPr>
      </w:pPr>
    </w:p>
    <w:p w14:paraId="6AAAC190">
      <w:pPr>
        <w:bidi w:val="0"/>
        <w:rPr>
          <w:rFonts w:hint="eastAsia"/>
          <w:sz w:val="30"/>
          <w:szCs w:val="30"/>
        </w:rPr>
      </w:pPr>
      <w:r>
        <w:rPr>
          <w:rFonts w:hint="eastAsia"/>
          <w:sz w:val="30"/>
          <w:szCs w:val="30"/>
        </w:rPr>
        <w:t>然后，来到那一位在神和人之间的中保——天上的大申言者、祭司和君王——面前，他将能最终体验到父神对他全人的直接统治。</w:t>
      </w:r>
    </w:p>
    <w:p w14:paraId="77479B08">
      <w:pPr>
        <w:bidi w:val="0"/>
        <w:rPr>
          <w:rFonts w:hint="eastAsia"/>
          <w:sz w:val="30"/>
          <w:szCs w:val="30"/>
        </w:rPr>
      </w:pPr>
    </w:p>
    <w:p w14:paraId="6442D320">
      <w:pPr>
        <w:bidi w:val="0"/>
        <w:rPr>
          <w:rFonts w:hint="eastAsia"/>
          <w:sz w:val="30"/>
          <w:szCs w:val="30"/>
        </w:rPr>
      </w:pPr>
      <w:r>
        <w:rPr>
          <w:rFonts w:hint="eastAsia"/>
          <w:sz w:val="30"/>
          <w:szCs w:val="30"/>
        </w:rPr>
        <w:t>In short, through Christ—and through a Spirit-wrought faith in him—Nicodemus would enter the Kingdom of God.</w:t>
      </w:r>
    </w:p>
    <w:p w14:paraId="3E291E15">
      <w:pPr>
        <w:bidi w:val="0"/>
        <w:rPr>
          <w:rFonts w:hint="eastAsia"/>
          <w:sz w:val="30"/>
          <w:szCs w:val="30"/>
        </w:rPr>
      </w:pPr>
    </w:p>
    <w:p w14:paraId="7E845469">
      <w:pPr>
        <w:bidi w:val="0"/>
        <w:rPr>
          <w:rFonts w:hint="eastAsia"/>
          <w:sz w:val="30"/>
          <w:szCs w:val="30"/>
        </w:rPr>
      </w:pPr>
      <w:r>
        <w:rPr>
          <w:rFonts w:hint="eastAsia"/>
          <w:sz w:val="30"/>
          <w:szCs w:val="30"/>
        </w:rPr>
        <w:t>简而言之，借着基督——并借着圣灵所作的对祂的信——尼哥底母将要进入神的国。</w:t>
      </w:r>
    </w:p>
    <w:p w14:paraId="7D27EB41">
      <w:pPr>
        <w:bidi w:val="0"/>
        <w:rPr>
          <w:rFonts w:hint="eastAsia"/>
          <w:sz w:val="30"/>
          <w:szCs w:val="30"/>
        </w:rPr>
      </w:pPr>
    </w:p>
    <w:p w14:paraId="1C741CB0">
      <w:pPr>
        <w:bidi w:val="0"/>
        <w:rPr>
          <w:rFonts w:hint="eastAsia"/>
          <w:sz w:val="30"/>
          <w:szCs w:val="30"/>
        </w:rPr>
      </w:pPr>
      <w:r>
        <w:rPr>
          <w:rFonts w:hint="eastAsia"/>
          <w:sz w:val="30"/>
          <w:szCs w:val="30"/>
        </w:rPr>
        <w:t>Later in our study we will explore these crucial themes more deeply.</w:t>
      </w:r>
    </w:p>
    <w:p w14:paraId="3F2A2E48">
      <w:pPr>
        <w:bidi w:val="0"/>
        <w:rPr>
          <w:rFonts w:hint="eastAsia"/>
          <w:sz w:val="30"/>
          <w:szCs w:val="30"/>
        </w:rPr>
      </w:pPr>
    </w:p>
    <w:p w14:paraId="1E2E3B62">
      <w:pPr>
        <w:bidi w:val="0"/>
        <w:rPr>
          <w:rFonts w:hint="eastAsia"/>
          <w:sz w:val="30"/>
          <w:szCs w:val="30"/>
        </w:rPr>
      </w:pPr>
      <w:r>
        <w:rPr>
          <w:rFonts w:hint="eastAsia"/>
          <w:sz w:val="30"/>
          <w:szCs w:val="30"/>
        </w:rPr>
        <w:t>在我们稍后的研究中，我们将更深入地探讨这些关键的主题。</w:t>
      </w:r>
    </w:p>
    <w:p w14:paraId="16657B06">
      <w:pPr>
        <w:bidi w:val="0"/>
        <w:rPr>
          <w:rFonts w:hint="eastAsia"/>
          <w:sz w:val="30"/>
          <w:szCs w:val="30"/>
        </w:rPr>
      </w:pPr>
    </w:p>
    <w:p w14:paraId="10B6D594">
      <w:pPr>
        <w:bidi w:val="0"/>
        <w:rPr>
          <w:rFonts w:hint="eastAsia"/>
          <w:sz w:val="30"/>
          <w:szCs w:val="30"/>
        </w:rPr>
      </w:pPr>
      <w:r>
        <w:rPr>
          <w:rFonts w:hint="eastAsia"/>
          <w:sz w:val="30"/>
          <w:szCs w:val="30"/>
        </w:rPr>
        <w:t>However, as we begin to grapple with the great question of the nature of the Kingdom, let us even now resolve always to remember this: Jesus explicitly taught that the direct reign of God the Father is always mediated by God the Son.</w:t>
      </w:r>
    </w:p>
    <w:p w14:paraId="3A11AFA3">
      <w:pPr>
        <w:bidi w:val="0"/>
        <w:rPr>
          <w:rFonts w:hint="eastAsia"/>
          <w:sz w:val="30"/>
          <w:szCs w:val="30"/>
        </w:rPr>
      </w:pPr>
    </w:p>
    <w:p w14:paraId="1498292C">
      <w:pPr>
        <w:bidi w:val="0"/>
        <w:rPr>
          <w:rFonts w:hint="eastAsia"/>
          <w:sz w:val="30"/>
          <w:szCs w:val="30"/>
        </w:rPr>
      </w:pPr>
      <w:r>
        <w:rPr>
          <w:rFonts w:hint="eastAsia"/>
          <w:sz w:val="30"/>
          <w:szCs w:val="30"/>
        </w:rPr>
        <w:t>然而，当我们开始处理国度性质这个重大问题时，让我们现在就决心永远记住这一点：耶稣明确地教导说，父神直接的掌权总是由神子作中介。</w:t>
      </w:r>
    </w:p>
    <w:p w14:paraId="76C60382">
      <w:pPr>
        <w:bidi w:val="0"/>
        <w:rPr>
          <w:rFonts w:hint="eastAsia"/>
          <w:sz w:val="30"/>
          <w:szCs w:val="30"/>
        </w:rPr>
      </w:pPr>
    </w:p>
    <w:p w14:paraId="56F3E036">
      <w:pPr>
        <w:bidi w:val="0"/>
        <w:rPr>
          <w:rFonts w:hint="eastAsia"/>
          <w:sz w:val="30"/>
          <w:szCs w:val="30"/>
        </w:rPr>
      </w:pPr>
      <w:r>
        <w:rPr>
          <w:rFonts w:hint="eastAsia"/>
          <w:sz w:val="30"/>
          <w:szCs w:val="30"/>
        </w:rPr>
        <w:t>Said he, “The Kingdom of God belongs to such as these” (Mark 10:14).</w:t>
      </w:r>
    </w:p>
    <w:p w14:paraId="463C8FA3">
      <w:pPr>
        <w:bidi w:val="0"/>
        <w:rPr>
          <w:rFonts w:hint="eastAsia"/>
          <w:sz w:val="30"/>
          <w:szCs w:val="30"/>
        </w:rPr>
      </w:pPr>
    </w:p>
    <w:p w14:paraId="61F56039">
      <w:pPr>
        <w:bidi w:val="0"/>
        <w:rPr>
          <w:rFonts w:hint="eastAsia"/>
          <w:sz w:val="30"/>
          <w:szCs w:val="30"/>
        </w:rPr>
      </w:pPr>
      <w:r>
        <w:rPr>
          <w:rFonts w:hint="eastAsia"/>
          <w:sz w:val="30"/>
          <w:szCs w:val="30"/>
        </w:rPr>
        <w:t>祂说：“神的国正是属于这样的人的”（马可福音 10:14）。</w:t>
      </w:r>
    </w:p>
    <w:p w14:paraId="42A53183">
      <w:pPr>
        <w:bidi w:val="0"/>
        <w:rPr>
          <w:rFonts w:hint="eastAsia"/>
          <w:sz w:val="30"/>
          <w:szCs w:val="30"/>
        </w:rPr>
      </w:pPr>
    </w:p>
    <w:p w14:paraId="37577899">
      <w:pPr>
        <w:bidi w:val="0"/>
        <w:rPr>
          <w:rFonts w:hint="eastAsia"/>
          <w:sz w:val="30"/>
          <w:szCs w:val="30"/>
        </w:rPr>
      </w:pPr>
      <w:r>
        <w:rPr>
          <w:rFonts w:hint="eastAsia"/>
          <w:sz w:val="30"/>
          <w:szCs w:val="30"/>
        </w:rPr>
        <w:t>And who are “these”?</w:t>
      </w:r>
    </w:p>
    <w:p w14:paraId="4018D00C">
      <w:pPr>
        <w:bidi w:val="0"/>
        <w:rPr>
          <w:rFonts w:hint="eastAsia"/>
          <w:sz w:val="30"/>
          <w:szCs w:val="30"/>
        </w:rPr>
      </w:pPr>
    </w:p>
    <w:p w14:paraId="3F87816A">
      <w:pPr>
        <w:bidi w:val="0"/>
        <w:rPr>
          <w:rFonts w:hint="eastAsia"/>
          <w:sz w:val="30"/>
          <w:szCs w:val="30"/>
        </w:rPr>
      </w:pPr>
      <w:r>
        <w:rPr>
          <w:rFonts w:hint="eastAsia"/>
          <w:sz w:val="30"/>
          <w:szCs w:val="30"/>
        </w:rPr>
        <w:t>而“这些人”是谁呢？</w:t>
      </w:r>
    </w:p>
    <w:p w14:paraId="033FDF23">
      <w:pPr>
        <w:bidi w:val="0"/>
        <w:rPr>
          <w:rFonts w:hint="eastAsia"/>
          <w:sz w:val="30"/>
          <w:szCs w:val="30"/>
        </w:rPr>
      </w:pPr>
    </w:p>
    <w:p w14:paraId="2BFFEFD2">
      <w:pPr>
        <w:bidi w:val="0"/>
        <w:rPr>
          <w:rFonts w:hint="eastAsia"/>
          <w:sz w:val="30"/>
          <w:szCs w:val="30"/>
        </w:rPr>
      </w:pPr>
      <w:r>
        <w:rPr>
          <w:rFonts w:hint="eastAsia"/>
          <w:sz w:val="30"/>
          <w:szCs w:val="30"/>
        </w:rPr>
        <w:t>They are all who, like little children, simply come to him (Mt. 11:28f, 18:1-5, 19:14).</w:t>
      </w:r>
    </w:p>
    <w:p w14:paraId="76B18A58">
      <w:pPr>
        <w:bidi w:val="0"/>
        <w:rPr>
          <w:rFonts w:hint="eastAsia"/>
          <w:sz w:val="30"/>
          <w:szCs w:val="30"/>
        </w:rPr>
      </w:pPr>
    </w:p>
    <w:p w14:paraId="5B1A01E5">
      <w:pPr>
        <w:bidi w:val="0"/>
        <w:rPr>
          <w:rFonts w:hint="eastAsia"/>
          <w:sz w:val="30"/>
          <w:szCs w:val="30"/>
        </w:rPr>
      </w:pPr>
      <w:r>
        <w:rPr>
          <w:rFonts w:hint="eastAsia"/>
          <w:sz w:val="30"/>
          <w:szCs w:val="30"/>
        </w:rPr>
        <w:t>他们是所有像小孩子一样，单单来到祂这里的人（太 11:28及以下, 18:1-5, 19:14）。</w:t>
      </w:r>
    </w:p>
    <w:p w14:paraId="08664FA5">
      <w:pPr>
        <w:bidi w:val="0"/>
        <w:rPr>
          <w:rFonts w:hint="eastAsia"/>
          <w:sz w:val="30"/>
          <w:szCs w:val="30"/>
        </w:rPr>
      </w:pPr>
    </w:p>
    <w:p w14:paraId="6E49C5A6">
      <w:pPr>
        <w:bidi w:val="0"/>
        <w:rPr>
          <w:rFonts w:hint="eastAsia"/>
          <w:sz w:val="30"/>
          <w:szCs w:val="30"/>
        </w:rPr>
      </w:pPr>
      <w:r>
        <w:rPr>
          <w:rFonts w:hint="eastAsia"/>
          <w:sz w:val="30"/>
          <w:szCs w:val="30"/>
        </w:rPr>
        <w:t>Effected by the Holy Spirit</w:t>
      </w:r>
    </w:p>
    <w:p w14:paraId="1DB1B563">
      <w:pPr>
        <w:bidi w:val="0"/>
        <w:rPr>
          <w:rFonts w:hint="eastAsia"/>
          <w:sz w:val="30"/>
          <w:szCs w:val="30"/>
        </w:rPr>
      </w:pPr>
    </w:p>
    <w:p w14:paraId="5290D2D8">
      <w:pPr>
        <w:bidi w:val="0"/>
        <w:rPr>
          <w:rFonts w:hint="eastAsia"/>
          <w:sz w:val="30"/>
          <w:szCs w:val="30"/>
        </w:rPr>
      </w:pPr>
      <w:r>
        <w:rPr>
          <w:rFonts w:hint="eastAsia"/>
          <w:sz w:val="30"/>
          <w:szCs w:val="30"/>
        </w:rPr>
        <w:t>由圣灵所施行</w:t>
      </w:r>
    </w:p>
    <w:p w14:paraId="64E357BA">
      <w:pPr>
        <w:bidi w:val="0"/>
        <w:rPr>
          <w:rFonts w:hint="eastAsia"/>
          <w:sz w:val="30"/>
          <w:szCs w:val="30"/>
        </w:rPr>
      </w:pPr>
    </w:p>
    <w:p w14:paraId="0CDAA5C9">
      <w:pPr>
        <w:bidi w:val="0"/>
        <w:rPr>
          <w:rFonts w:hint="eastAsia"/>
          <w:sz w:val="30"/>
          <w:szCs w:val="30"/>
        </w:rPr>
      </w:pPr>
      <w:r>
        <w:rPr>
          <w:rFonts w:hint="eastAsia"/>
          <w:sz w:val="30"/>
          <w:szCs w:val="30"/>
        </w:rPr>
        <w:t>The Lord Jesus consistently portrayed the coming of the Kingdom as a trinitarian event.</w:t>
      </w:r>
    </w:p>
    <w:p w14:paraId="7BCD86A4">
      <w:pPr>
        <w:bidi w:val="0"/>
        <w:rPr>
          <w:rFonts w:hint="eastAsia"/>
          <w:sz w:val="30"/>
          <w:szCs w:val="30"/>
        </w:rPr>
      </w:pPr>
    </w:p>
    <w:p w14:paraId="548ECB0A">
      <w:pPr>
        <w:bidi w:val="0"/>
        <w:rPr>
          <w:rFonts w:hint="eastAsia"/>
          <w:sz w:val="30"/>
          <w:szCs w:val="30"/>
        </w:rPr>
      </w:pPr>
      <w:r>
        <w:rPr>
          <w:rFonts w:hint="eastAsia"/>
          <w:sz w:val="30"/>
          <w:szCs w:val="30"/>
        </w:rPr>
        <w:t>主耶稣始终将国度的降临描绘成一个三一神的事件。</w:t>
      </w:r>
    </w:p>
    <w:p w14:paraId="70F6FAF9">
      <w:pPr>
        <w:bidi w:val="0"/>
        <w:rPr>
          <w:rFonts w:hint="eastAsia"/>
          <w:sz w:val="30"/>
          <w:szCs w:val="30"/>
        </w:rPr>
      </w:pPr>
    </w:p>
    <w:p w14:paraId="2496993E">
      <w:pPr>
        <w:bidi w:val="0"/>
        <w:rPr>
          <w:rFonts w:hint="eastAsia"/>
          <w:sz w:val="30"/>
          <w:szCs w:val="30"/>
        </w:rPr>
      </w:pPr>
      <w:r>
        <w:rPr>
          <w:rFonts w:hint="eastAsia"/>
          <w:sz w:val="30"/>
          <w:szCs w:val="30"/>
        </w:rPr>
        <w:t>For him, the direct reign of the Father comes through the Son, and is implemented or effected by the Holy Spirit.</w:t>
      </w:r>
    </w:p>
    <w:p w14:paraId="72DFD1BB">
      <w:pPr>
        <w:bidi w:val="0"/>
        <w:rPr>
          <w:rFonts w:hint="eastAsia"/>
          <w:sz w:val="30"/>
          <w:szCs w:val="30"/>
        </w:rPr>
      </w:pPr>
    </w:p>
    <w:p w14:paraId="1C895B88">
      <w:pPr>
        <w:bidi w:val="0"/>
        <w:rPr>
          <w:rFonts w:hint="eastAsia"/>
          <w:sz w:val="30"/>
          <w:szCs w:val="30"/>
        </w:rPr>
      </w:pPr>
      <w:r>
        <w:rPr>
          <w:rFonts w:hint="eastAsia"/>
          <w:sz w:val="30"/>
          <w:szCs w:val="30"/>
        </w:rPr>
        <w:t>对祂而言，父直接的掌权是借着子而来，并由圣灵来实施或施行。</w:t>
      </w:r>
    </w:p>
    <w:p w14:paraId="0D58F1F2">
      <w:pPr>
        <w:bidi w:val="0"/>
        <w:rPr>
          <w:rFonts w:hint="eastAsia"/>
          <w:sz w:val="30"/>
          <w:szCs w:val="30"/>
        </w:rPr>
      </w:pPr>
    </w:p>
    <w:p w14:paraId="55EEEDCA">
      <w:pPr>
        <w:bidi w:val="0"/>
        <w:rPr>
          <w:rFonts w:hint="eastAsia"/>
          <w:sz w:val="30"/>
          <w:szCs w:val="30"/>
        </w:rPr>
      </w:pPr>
      <w:r>
        <w:rPr>
          <w:rFonts w:hint="eastAsia"/>
          <w:sz w:val="30"/>
          <w:szCs w:val="30"/>
        </w:rPr>
        <w:t>The OT prophets had predicted this very thing, closely associating the last days with the gift and outpouring of the Spirit upon all of God’s people (Isaiah 44:3, Ezek. 36:27, 37:14, 39:29, Joel 2:28).</w:t>
      </w:r>
    </w:p>
    <w:p w14:paraId="3CCB0892">
      <w:pPr>
        <w:bidi w:val="0"/>
        <w:rPr>
          <w:rFonts w:hint="eastAsia"/>
          <w:sz w:val="30"/>
          <w:szCs w:val="30"/>
        </w:rPr>
      </w:pPr>
    </w:p>
    <w:p w14:paraId="481EE4D5">
      <w:pPr>
        <w:bidi w:val="0"/>
        <w:rPr>
          <w:rFonts w:hint="eastAsia"/>
          <w:sz w:val="30"/>
          <w:szCs w:val="30"/>
        </w:rPr>
      </w:pPr>
      <w:r>
        <w:rPr>
          <w:rFonts w:hint="eastAsia"/>
          <w:sz w:val="30"/>
          <w:szCs w:val="30"/>
        </w:rPr>
        <w:t>旧约的申言者们已经预言了这件事，他们将末后的日子与圣灵的恩赐和浇灌在神所有子民身上紧密地联系在一起（以赛亚书 44:3, 以西结书 36:27, 37:14, 39:29, 约珥书 2:28）。</w:t>
      </w:r>
    </w:p>
    <w:p w14:paraId="68431288">
      <w:pPr>
        <w:bidi w:val="0"/>
        <w:rPr>
          <w:rFonts w:hint="eastAsia"/>
          <w:sz w:val="30"/>
          <w:szCs w:val="30"/>
        </w:rPr>
      </w:pPr>
    </w:p>
    <w:p w14:paraId="05FF0395">
      <w:pPr>
        <w:bidi w:val="0"/>
        <w:rPr>
          <w:rFonts w:hint="eastAsia"/>
          <w:sz w:val="30"/>
          <w:szCs w:val="30"/>
        </w:rPr>
      </w:pPr>
      <w:r>
        <w:rPr>
          <w:rFonts w:hint="eastAsia"/>
          <w:sz w:val="30"/>
          <w:szCs w:val="30"/>
        </w:rPr>
        <w:t>In his midnight discourse to Master Nicodemus, Jesus did the same, juxtaposing the coming of the Kingdom with the coming of the Spirit, and the coming of both with his own life, death, and resurrection (John 3:1-12f).</w:t>
      </w:r>
    </w:p>
    <w:p w14:paraId="05BB91AA">
      <w:pPr>
        <w:bidi w:val="0"/>
        <w:rPr>
          <w:rFonts w:hint="eastAsia"/>
          <w:sz w:val="30"/>
          <w:szCs w:val="30"/>
        </w:rPr>
      </w:pPr>
    </w:p>
    <w:p w14:paraId="54096A48">
      <w:pPr>
        <w:bidi w:val="0"/>
        <w:rPr>
          <w:rFonts w:hint="eastAsia"/>
          <w:sz w:val="30"/>
          <w:szCs w:val="30"/>
        </w:rPr>
      </w:pPr>
      <w:r>
        <w:rPr>
          <w:rFonts w:hint="eastAsia"/>
          <w:sz w:val="30"/>
          <w:szCs w:val="30"/>
        </w:rPr>
        <w:t>在他对教师尼哥底母的午夜讲论中，耶稣也做了同样的事，祂将国度的降临与圣灵的降临并列，并将二者的降临与祂自己的生、死和复活并列（约 3:1-12及以下）。</w:t>
      </w:r>
    </w:p>
    <w:p w14:paraId="48B27640">
      <w:pPr>
        <w:bidi w:val="0"/>
        <w:rPr>
          <w:rFonts w:hint="eastAsia"/>
          <w:sz w:val="30"/>
          <w:szCs w:val="30"/>
        </w:rPr>
      </w:pPr>
    </w:p>
    <w:p w14:paraId="799FD9BA">
      <w:pPr>
        <w:bidi w:val="0"/>
        <w:rPr>
          <w:rFonts w:hint="eastAsia"/>
          <w:sz w:val="30"/>
          <w:szCs w:val="30"/>
        </w:rPr>
      </w:pPr>
      <w:r>
        <w:rPr>
          <w:rFonts w:hint="eastAsia"/>
          <w:sz w:val="30"/>
          <w:szCs w:val="30"/>
        </w:rPr>
        <w:t>Also, we have seen that the Lord explicitly declared that where the Spirit is at work to rescue and restore, there the Kingdom has come upon the creature(s) that the Father is pleased to redeem (Mt. 12:28, Luke 11:20).</w:t>
      </w:r>
    </w:p>
    <w:p w14:paraId="66547721">
      <w:pPr>
        <w:bidi w:val="0"/>
        <w:rPr>
          <w:rFonts w:hint="eastAsia"/>
          <w:sz w:val="30"/>
          <w:szCs w:val="30"/>
        </w:rPr>
      </w:pPr>
    </w:p>
    <w:p w14:paraId="693C83BC">
      <w:pPr>
        <w:bidi w:val="0"/>
        <w:rPr>
          <w:rFonts w:hint="eastAsia"/>
          <w:sz w:val="30"/>
          <w:szCs w:val="30"/>
        </w:rPr>
      </w:pPr>
      <w:r>
        <w:rPr>
          <w:rFonts w:hint="eastAsia"/>
          <w:sz w:val="30"/>
          <w:szCs w:val="30"/>
        </w:rPr>
        <w:t>此外，我们已经看到，主明确地宣告，哪里有圣灵在作工来拯救和恢复，那里的国度就已经降临在父乐意救赎的受造之物身上（太 12:28, 路 11:20）。</w:t>
      </w:r>
    </w:p>
    <w:p w14:paraId="2A5ECC03">
      <w:pPr>
        <w:bidi w:val="0"/>
        <w:rPr>
          <w:rFonts w:hint="eastAsia"/>
          <w:sz w:val="30"/>
          <w:szCs w:val="30"/>
        </w:rPr>
      </w:pPr>
    </w:p>
    <w:p w14:paraId="67A2AE2D">
      <w:pPr>
        <w:bidi w:val="0"/>
        <w:rPr>
          <w:rFonts w:hint="eastAsia"/>
          <w:sz w:val="30"/>
          <w:szCs w:val="30"/>
        </w:rPr>
      </w:pPr>
      <w:r>
        <w:rPr>
          <w:rFonts w:hint="eastAsia"/>
          <w:sz w:val="30"/>
          <w:szCs w:val="30"/>
        </w:rPr>
        <w:t>Moreover, throughout his entire Upper Room discourse, we find him preparing his disciples for the coming of the Spirit, through whom, in due season, they will be able to declare the coming of the Kingdom (John 13-16, Acts 1:4-8, 8:12, 19:8, 20:5, 28:31).</w:t>
      </w:r>
    </w:p>
    <w:p w14:paraId="5E8D75DA">
      <w:pPr>
        <w:bidi w:val="0"/>
        <w:rPr>
          <w:rFonts w:hint="eastAsia"/>
          <w:sz w:val="30"/>
          <w:szCs w:val="30"/>
        </w:rPr>
      </w:pPr>
    </w:p>
    <w:p w14:paraId="17DA393A">
      <w:pPr>
        <w:bidi w:val="0"/>
        <w:rPr>
          <w:rFonts w:hint="eastAsia"/>
          <w:sz w:val="30"/>
          <w:szCs w:val="30"/>
        </w:rPr>
      </w:pPr>
      <w:r>
        <w:rPr>
          <w:rFonts w:hint="eastAsia"/>
          <w:sz w:val="30"/>
          <w:szCs w:val="30"/>
        </w:rPr>
        <w:t>此外，在祂整个楼房上的讲论中，我们发现祂在预备祂的门徒迎接圣灵的降临，借着圣灵，到了时候，他们将能宣告国度的降临（约 13-16, 徒 1:4-8, 8:12, 19:8, 20:5, 28:31）。</w:t>
      </w:r>
    </w:p>
    <w:p w14:paraId="55628AE7">
      <w:pPr>
        <w:bidi w:val="0"/>
        <w:rPr>
          <w:rFonts w:hint="eastAsia"/>
          <w:sz w:val="30"/>
          <w:szCs w:val="30"/>
        </w:rPr>
      </w:pPr>
    </w:p>
    <w:p w14:paraId="434F1590">
      <w:pPr>
        <w:bidi w:val="0"/>
        <w:rPr>
          <w:rFonts w:hint="eastAsia"/>
          <w:sz w:val="30"/>
          <w:szCs w:val="30"/>
        </w:rPr>
      </w:pPr>
      <w:r>
        <w:rPr>
          <w:rFonts w:hint="eastAsia"/>
          <w:sz w:val="30"/>
          <w:szCs w:val="30"/>
        </w:rPr>
        <w:t>So then, in Jesus’ eyes the coming of the Kingdom is a gracious gift and accomplishment of the Holy Trinity.</w:t>
      </w:r>
    </w:p>
    <w:p w14:paraId="3B74C443">
      <w:pPr>
        <w:bidi w:val="0"/>
        <w:rPr>
          <w:rFonts w:hint="eastAsia"/>
          <w:sz w:val="30"/>
          <w:szCs w:val="30"/>
        </w:rPr>
      </w:pPr>
    </w:p>
    <w:p w14:paraId="45A4B440">
      <w:pPr>
        <w:bidi w:val="0"/>
        <w:rPr>
          <w:rFonts w:hint="eastAsia"/>
          <w:sz w:val="30"/>
          <w:szCs w:val="30"/>
        </w:rPr>
      </w:pPr>
      <w:r>
        <w:rPr>
          <w:rFonts w:hint="eastAsia"/>
          <w:sz w:val="30"/>
          <w:szCs w:val="30"/>
        </w:rPr>
        <w:t>那么，在耶稣眼中，国度的降临是圣三一恩慈的恩赐和成就。</w:t>
      </w:r>
    </w:p>
    <w:p w14:paraId="55A3B944">
      <w:pPr>
        <w:bidi w:val="0"/>
        <w:rPr>
          <w:rFonts w:hint="eastAsia"/>
          <w:sz w:val="30"/>
          <w:szCs w:val="30"/>
        </w:rPr>
      </w:pPr>
    </w:p>
    <w:p w14:paraId="32CB1F15">
      <w:pPr>
        <w:bidi w:val="0"/>
        <w:rPr>
          <w:rFonts w:hint="eastAsia"/>
          <w:sz w:val="30"/>
          <w:szCs w:val="30"/>
        </w:rPr>
      </w:pPr>
      <w:r>
        <w:rPr>
          <w:rFonts w:hint="eastAsia"/>
          <w:sz w:val="30"/>
          <w:szCs w:val="30"/>
        </w:rPr>
        <w:t>It is the coming of the Father to reign directly through the Son, by the Holy Spirit, over all his redeemed creatures.</w:t>
      </w:r>
    </w:p>
    <w:p w14:paraId="65BD437A">
      <w:pPr>
        <w:bidi w:val="0"/>
        <w:rPr>
          <w:rFonts w:hint="eastAsia"/>
          <w:sz w:val="30"/>
          <w:szCs w:val="30"/>
        </w:rPr>
      </w:pPr>
    </w:p>
    <w:p w14:paraId="6D480CD2">
      <w:pPr>
        <w:bidi w:val="0"/>
        <w:rPr>
          <w:rFonts w:hint="eastAsia"/>
          <w:sz w:val="30"/>
          <w:szCs w:val="30"/>
        </w:rPr>
      </w:pPr>
      <w:r>
        <w:rPr>
          <w:rFonts w:hint="eastAsia"/>
          <w:sz w:val="30"/>
          <w:szCs w:val="30"/>
        </w:rPr>
        <w:t>它是父借着子，凭着圣灵，来直接统治祂所有蒙赎的受造之物。</w:t>
      </w:r>
    </w:p>
    <w:p w14:paraId="46BDD842">
      <w:pPr>
        <w:bidi w:val="0"/>
        <w:rPr>
          <w:rFonts w:hint="eastAsia"/>
          <w:sz w:val="30"/>
          <w:szCs w:val="30"/>
        </w:rPr>
      </w:pPr>
    </w:p>
    <w:p w14:paraId="7793B30D">
      <w:pPr>
        <w:bidi w:val="0"/>
        <w:rPr>
          <w:rFonts w:hint="eastAsia"/>
          <w:sz w:val="30"/>
          <w:szCs w:val="30"/>
        </w:rPr>
      </w:pPr>
      <w:r>
        <w:rPr>
          <w:rFonts w:hint="eastAsia"/>
          <w:sz w:val="30"/>
          <w:szCs w:val="30"/>
        </w:rPr>
        <w:t>A Realm Beneath a Reign</w:t>
      </w:r>
    </w:p>
    <w:p w14:paraId="0B06F6B0">
      <w:pPr>
        <w:bidi w:val="0"/>
        <w:rPr>
          <w:rFonts w:hint="eastAsia"/>
          <w:sz w:val="30"/>
          <w:szCs w:val="30"/>
        </w:rPr>
      </w:pPr>
    </w:p>
    <w:p w14:paraId="168E25AE">
      <w:pPr>
        <w:bidi w:val="0"/>
        <w:rPr>
          <w:rFonts w:hint="eastAsia"/>
          <w:sz w:val="30"/>
          <w:szCs w:val="30"/>
        </w:rPr>
      </w:pPr>
      <w:r>
        <w:rPr>
          <w:rFonts w:hint="eastAsia"/>
          <w:sz w:val="30"/>
          <w:szCs w:val="30"/>
        </w:rPr>
        <w:t>一个掌权下的范围</w:t>
      </w:r>
    </w:p>
    <w:p w14:paraId="0760A0BD">
      <w:pPr>
        <w:bidi w:val="0"/>
        <w:rPr>
          <w:rFonts w:hint="eastAsia"/>
          <w:sz w:val="30"/>
          <w:szCs w:val="30"/>
        </w:rPr>
      </w:pPr>
    </w:p>
    <w:p w14:paraId="58866233">
      <w:pPr>
        <w:bidi w:val="0"/>
        <w:rPr>
          <w:rFonts w:hint="eastAsia"/>
          <w:sz w:val="30"/>
          <w:szCs w:val="30"/>
        </w:rPr>
      </w:pPr>
      <w:r>
        <w:rPr>
          <w:rFonts w:hint="eastAsia"/>
          <w:sz w:val="30"/>
          <w:szCs w:val="30"/>
        </w:rPr>
        <w:t>Finally, Jesus not only viewed the Kingdom as a reign, but also as a realm; as the totality of redeemed persons, places, and things that blessedly dwell beneath the direct rule of God.</w:t>
      </w:r>
    </w:p>
    <w:p w14:paraId="70FD8CA9">
      <w:pPr>
        <w:bidi w:val="0"/>
        <w:rPr>
          <w:rFonts w:hint="eastAsia"/>
          <w:sz w:val="30"/>
          <w:szCs w:val="30"/>
        </w:rPr>
      </w:pPr>
    </w:p>
    <w:p w14:paraId="76000C7E">
      <w:pPr>
        <w:bidi w:val="0"/>
        <w:rPr>
          <w:rFonts w:hint="eastAsia"/>
          <w:sz w:val="30"/>
          <w:szCs w:val="30"/>
        </w:rPr>
      </w:pPr>
      <w:r>
        <w:rPr>
          <w:rFonts w:hint="eastAsia"/>
          <w:sz w:val="30"/>
          <w:szCs w:val="30"/>
        </w:rPr>
        <w:t>最后，耶稣不仅视国度为一个掌权，也视其为一个范围；即所有蒙赎的人、地方和事物，蒙福地居住在神直接的统治之下。</w:t>
      </w:r>
    </w:p>
    <w:p w14:paraId="681D575F">
      <w:pPr>
        <w:bidi w:val="0"/>
        <w:rPr>
          <w:rFonts w:hint="eastAsia"/>
          <w:sz w:val="30"/>
          <w:szCs w:val="30"/>
        </w:rPr>
      </w:pPr>
    </w:p>
    <w:p w14:paraId="7C9CFB13">
      <w:pPr>
        <w:bidi w:val="0"/>
        <w:rPr>
          <w:rFonts w:hint="eastAsia"/>
          <w:sz w:val="30"/>
          <w:szCs w:val="30"/>
        </w:rPr>
      </w:pPr>
      <w:r>
        <w:rPr>
          <w:rFonts w:hint="eastAsia"/>
          <w:sz w:val="30"/>
          <w:szCs w:val="30"/>
        </w:rPr>
        <w:t>In the gospels, this idea appears prominently in his explanation of the parable of the wheat and the tares.</w:t>
      </w:r>
    </w:p>
    <w:p w14:paraId="13422176">
      <w:pPr>
        <w:bidi w:val="0"/>
        <w:rPr>
          <w:rFonts w:hint="eastAsia"/>
          <w:sz w:val="30"/>
          <w:szCs w:val="30"/>
        </w:rPr>
      </w:pPr>
    </w:p>
    <w:p w14:paraId="18841036">
      <w:pPr>
        <w:bidi w:val="0"/>
        <w:rPr>
          <w:rFonts w:hint="eastAsia"/>
          <w:sz w:val="30"/>
          <w:szCs w:val="30"/>
        </w:rPr>
      </w:pPr>
      <w:r>
        <w:rPr>
          <w:rFonts w:hint="eastAsia"/>
          <w:sz w:val="30"/>
          <w:szCs w:val="30"/>
        </w:rPr>
        <w:t>在福音书中，这个观念在祂对麦子和稗子的比喻的解释中显着地出现。</w:t>
      </w:r>
    </w:p>
    <w:p w14:paraId="522A8D6C">
      <w:pPr>
        <w:bidi w:val="0"/>
        <w:rPr>
          <w:rFonts w:hint="eastAsia"/>
          <w:sz w:val="30"/>
          <w:szCs w:val="30"/>
        </w:rPr>
      </w:pPr>
    </w:p>
    <w:p w14:paraId="39186466">
      <w:pPr>
        <w:bidi w:val="0"/>
        <w:rPr>
          <w:rFonts w:hint="eastAsia"/>
          <w:sz w:val="30"/>
          <w:szCs w:val="30"/>
        </w:rPr>
      </w:pPr>
      <w:r>
        <w:rPr>
          <w:rFonts w:hint="eastAsia"/>
          <w:sz w:val="30"/>
          <w:szCs w:val="30"/>
        </w:rPr>
        <w:t>Speaking of the Judgment that will occur at his Parousia, he says:</w:t>
      </w:r>
    </w:p>
    <w:p w14:paraId="25253474">
      <w:pPr>
        <w:bidi w:val="0"/>
        <w:rPr>
          <w:rFonts w:hint="eastAsia"/>
          <w:sz w:val="30"/>
          <w:szCs w:val="30"/>
        </w:rPr>
      </w:pPr>
    </w:p>
    <w:p w14:paraId="3E59F9D0">
      <w:pPr>
        <w:bidi w:val="0"/>
        <w:rPr>
          <w:rFonts w:hint="eastAsia"/>
          <w:sz w:val="30"/>
          <w:szCs w:val="30"/>
        </w:rPr>
      </w:pPr>
      <w:r>
        <w:rPr>
          <w:rFonts w:hint="eastAsia"/>
          <w:sz w:val="30"/>
          <w:szCs w:val="30"/>
        </w:rPr>
        <w:t>论到将在祂再来时发生的审判，祂说：</w:t>
      </w:r>
    </w:p>
    <w:p w14:paraId="3026CA45">
      <w:pPr>
        <w:bidi w:val="0"/>
        <w:rPr>
          <w:rFonts w:hint="eastAsia"/>
          <w:sz w:val="30"/>
          <w:szCs w:val="30"/>
        </w:rPr>
      </w:pPr>
    </w:p>
    <w:p w14:paraId="31E6136E">
      <w:pPr>
        <w:bidi w:val="0"/>
        <w:rPr>
          <w:rFonts w:hint="eastAsia"/>
          <w:sz w:val="30"/>
          <w:szCs w:val="30"/>
        </w:rPr>
      </w:pPr>
      <w:r>
        <w:rPr>
          <w:rFonts w:hint="eastAsia"/>
          <w:sz w:val="30"/>
          <w:szCs w:val="30"/>
        </w:rPr>
        <w:t>The Son of Man will send forth His angels, and they will gather out of His kingdom all stumbling blocks , and those who commit lawlessness, and will cast them into the furnace of fire; in that place there shall be weeping and gnashing of teeth.</w:t>
      </w:r>
    </w:p>
    <w:p w14:paraId="32AC215F">
      <w:pPr>
        <w:bidi w:val="0"/>
        <w:rPr>
          <w:rFonts w:hint="eastAsia"/>
          <w:sz w:val="30"/>
          <w:szCs w:val="30"/>
        </w:rPr>
      </w:pPr>
    </w:p>
    <w:p w14:paraId="2E0254BF">
      <w:pPr>
        <w:bidi w:val="0"/>
        <w:rPr>
          <w:rFonts w:hint="eastAsia"/>
          <w:sz w:val="30"/>
          <w:szCs w:val="30"/>
        </w:rPr>
      </w:pPr>
      <w:r>
        <w:rPr>
          <w:rFonts w:hint="eastAsia"/>
          <w:sz w:val="30"/>
          <w:szCs w:val="30"/>
        </w:rPr>
        <w:t>人子要差遣祂的使者，把一切绊脚石，和那些行不法的人，都从祂的国里薅出来，丢在火炉里；在那里必要哀哭切齿了。</w:t>
      </w:r>
    </w:p>
    <w:p w14:paraId="10B93020">
      <w:pPr>
        <w:bidi w:val="0"/>
        <w:rPr>
          <w:rFonts w:hint="eastAsia"/>
          <w:sz w:val="30"/>
          <w:szCs w:val="30"/>
        </w:rPr>
      </w:pPr>
    </w:p>
    <w:p w14:paraId="636F75F0">
      <w:pPr>
        <w:bidi w:val="0"/>
        <w:rPr>
          <w:rFonts w:hint="eastAsia"/>
          <w:sz w:val="30"/>
          <w:szCs w:val="30"/>
        </w:rPr>
      </w:pPr>
      <w:r>
        <w:rPr>
          <w:rFonts w:hint="eastAsia"/>
          <w:sz w:val="30"/>
          <w:szCs w:val="30"/>
        </w:rPr>
        <w:t>—Mt. 13:41-42</w:t>
      </w:r>
    </w:p>
    <w:p w14:paraId="2A5E0C38">
      <w:pPr>
        <w:bidi w:val="0"/>
        <w:rPr>
          <w:rFonts w:hint="eastAsia"/>
          <w:sz w:val="30"/>
          <w:szCs w:val="30"/>
        </w:rPr>
      </w:pPr>
    </w:p>
    <w:p w14:paraId="5C6FD338">
      <w:pPr>
        <w:bidi w:val="0"/>
        <w:rPr>
          <w:rFonts w:hint="eastAsia"/>
          <w:sz w:val="30"/>
          <w:szCs w:val="30"/>
        </w:rPr>
      </w:pPr>
      <w:r>
        <w:rPr>
          <w:rFonts w:hint="eastAsia"/>
          <w:sz w:val="30"/>
          <w:szCs w:val="30"/>
        </w:rPr>
        <w:t>——太 13:41-42</w:t>
      </w:r>
    </w:p>
    <w:p w14:paraId="74C9A086">
      <w:pPr>
        <w:bidi w:val="0"/>
        <w:rPr>
          <w:rFonts w:hint="eastAsia"/>
          <w:sz w:val="30"/>
          <w:szCs w:val="30"/>
        </w:rPr>
      </w:pPr>
    </w:p>
    <w:p w14:paraId="4B740132">
      <w:pPr>
        <w:bidi w:val="0"/>
        <w:rPr>
          <w:rFonts w:hint="eastAsia"/>
          <w:sz w:val="30"/>
          <w:szCs w:val="30"/>
        </w:rPr>
      </w:pPr>
      <w:r>
        <w:rPr>
          <w:rFonts w:hint="eastAsia"/>
          <w:sz w:val="30"/>
          <w:szCs w:val="30"/>
        </w:rPr>
        <w:t>Here we catch a glimpse of the realm of the completed Kingdom.</w:t>
      </w:r>
    </w:p>
    <w:p w14:paraId="0BEE5CEB">
      <w:pPr>
        <w:bidi w:val="0"/>
        <w:rPr>
          <w:rFonts w:hint="eastAsia"/>
          <w:sz w:val="30"/>
          <w:szCs w:val="30"/>
        </w:rPr>
      </w:pPr>
    </w:p>
    <w:p w14:paraId="4CCD07B1">
      <w:pPr>
        <w:bidi w:val="0"/>
        <w:rPr>
          <w:rFonts w:hint="eastAsia"/>
          <w:sz w:val="30"/>
          <w:szCs w:val="30"/>
        </w:rPr>
      </w:pPr>
      <w:r>
        <w:rPr>
          <w:rFonts w:hint="eastAsia"/>
          <w:sz w:val="30"/>
          <w:szCs w:val="30"/>
        </w:rPr>
        <w:t>在这里，我们得以一瞥那成全了的国度的范围。</w:t>
      </w:r>
    </w:p>
    <w:p w14:paraId="251440C6">
      <w:pPr>
        <w:bidi w:val="0"/>
        <w:rPr>
          <w:rFonts w:hint="eastAsia"/>
          <w:sz w:val="30"/>
          <w:szCs w:val="30"/>
        </w:rPr>
      </w:pPr>
    </w:p>
    <w:p w14:paraId="40F54731">
      <w:pPr>
        <w:bidi w:val="0"/>
        <w:rPr>
          <w:rFonts w:hint="eastAsia"/>
          <w:sz w:val="30"/>
          <w:szCs w:val="30"/>
        </w:rPr>
      </w:pPr>
      <w:r>
        <w:rPr>
          <w:rFonts w:hint="eastAsia"/>
          <w:sz w:val="30"/>
          <w:szCs w:val="30"/>
        </w:rPr>
        <w:t>At the end of the age, Christ will come again.</w:t>
      </w:r>
    </w:p>
    <w:p w14:paraId="7EA1E839">
      <w:pPr>
        <w:bidi w:val="0"/>
        <w:rPr>
          <w:rFonts w:hint="eastAsia"/>
          <w:sz w:val="30"/>
          <w:szCs w:val="30"/>
        </w:rPr>
      </w:pPr>
    </w:p>
    <w:p w14:paraId="2E19F958">
      <w:pPr>
        <w:bidi w:val="0"/>
        <w:rPr>
          <w:rFonts w:hint="eastAsia"/>
          <w:sz w:val="30"/>
          <w:szCs w:val="30"/>
        </w:rPr>
      </w:pPr>
      <w:r>
        <w:rPr>
          <w:rFonts w:hint="eastAsia"/>
          <w:sz w:val="30"/>
          <w:szCs w:val="30"/>
        </w:rPr>
        <w:t>在世代的末了，基督将要再来。</w:t>
      </w:r>
    </w:p>
    <w:p w14:paraId="75A3DCA1">
      <w:pPr>
        <w:bidi w:val="0"/>
        <w:rPr>
          <w:rFonts w:hint="eastAsia"/>
          <w:sz w:val="30"/>
          <w:szCs w:val="30"/>
        </w:rPr>
      </w:pPr>
    </w:p>
    <w:p w14:paraId="7A67649D">
      <w:pPr>
        <w:bidi w:val="0"/>
        <w:rPr>
          <w:rFonts w:hint="eastAsia"/>
          <w:sz w:val="30"/>
          <w:szCs w:val="30"/>
        </w:rPr>
      </w:pPr>
      <w:r>
        <w:rPr>
          <w:rFonts w:hint="eastAsia"/>
          <w:sz w:val="30"/>
          <w:szCs w:val="30"/>
        </w:rPr>
        <w:t>When he does, he himself will create a perfect world.</w:t>
      </w:r>
    </w:p>
    <w:p w14:paraId="6C09881E">
      <w:pPr>
        <w:bidi w:val="0"/>
        <w:rPr>
          <w:rFonts w:hint="eastAsia"/>
          <w:sz w:val="30"/>
          <w:szCs w:val="30"/>
        </w:rPr>
      </w:pPr>
    </w:p>
    <w:p w14:paraId="599C3ECE">
      <w:pPr>
        <w:bidi w:val="0"/>
        <w:rPr>
          <w:rFonts w:hint="eastAsia"/>
          <w:sz w:val="30"/>
          <w:szCs w:val="30"/>
        </w:rPr>
      </w:pPr>
      <w:r>
        <w:rPr>
          <w:rFonts w:hint="eastAsia"/>
          <w:sz w:val="30"/>
          <w:szCs w:val="30"/>
        </w:rPr>
        <w:t>当祂再来时，祂自己将创造一个完美的世界。</w:t>
      </w:r>
    </w:p>
    <w:p w14:paraId="7550F239">
      <w:pPr>
        <w:bidi w:val="0"/>
        <w:rPr>
          <w:rFonts w:hint="eastAsia"/>
          <w:sz w:val="30"/>
          <w:szCs w:val="30"/>
        </w:rPr>
      </w:pPr>
    </w:p>
    <w:p w14:paraId="5DBF77E3">
      <w:pPr>
        <w:bidi w:val="0"/>
        <w:rPr>
          <w:rFonts w:hint="eastAsia"/>
          <w:sz w:val="30"/>
          <w:szCs w:val="30"/>
        </w:rPr>
      </w:pPr>
      <w:r>
        <w:rPr>
          <w:rFonts w:hint="eastAsia"/>
          <w:sz w:val="30"/>
          <w:szCs w:val="30"/>
        </w:rPr>
        <w:t>But in order to do this, he must first remove all stumbling blocks , everything that “scandalizes” or offends against the holiness that will mark the new creation.</w:t>
      </w:r>
    </w:p>
    <w:p w14:paraId="0BB38B41">
      <w:pPr>
        <w:bidi w:val="0"/>
        <w:rPr>
          <w:rFonts w:hint="eastAsia"/>
          <w:sz w:val="30"/>
          <w:szCs w:val="30"/>
        </w:rPr>
      </w:pPr>
    </w:p>
    <w:p w14:paraId="3582313A">
      <w:pPr>
        <w:bidi w:val="0"/>
        <w:rPr>
          <w:rFonts w:hint="eastAsia"/>
          <w:sz w:val="30"/>
          <w:szCs w:val="30"/>
        </w:rPr>
      </w:pPr>
      <w:r>
        <w:rPr>
          <w:rFonts w:hint="eastAsia"/>
          <w:sz w:val="30"/>
          <w:szCs w:val="30"/>
        </w:rPr>
        <w:t>但为了做到这一点，祂必须首先移除所有的绊脚石，即一切“使人跌倒”或冒犯那将要标记新造之物之圣洁的事物。</w:t>
      </w:r>
    </w:p>
    <w:p w14:paraId="4AFA8849">
      <w:pPr>
        <w:bidi w:val="0"/>
        <w:rPr>
          <w:rFonts w:hint="eastAsia"/>
          <w:sz w:val="30"/>
          <w:szCs w:val="30"/>
        </w:rPr>
      </w:pPr>
    </w:p>
    <w:p w14:paraId="00DE1BFB">
      <w:pPr>
        <w:bidi w:val="0"/>
        <w:rPr>
          <w:rFonts w:hint="eastAsia"/>
          <w:sz w:val="30"/>
          <w:szCs w:val="30"/>
        </w:rPr>
      </w:pPr>
      <w:r>
        <w:rPr>
          <w:rFonts w:hint="eastAsia"/>
          <w:sz w:val="30"/>
          <w:szCs w:val="30"/>
        </w:rPr>
        <w:t>Therefore, the devil must go, the devil’s followers (the tares) must go, and indeed every mark and vestige of the fallenness of the old order of nature must go.</w:t>
      </w:r>
    </w:p>
    <w:p w14:paraId="365D8BA5">
      <w:pPr>
        <w:bidi w:val="0"/>
        <w:rPr>
          <w:rFonts w:hint="eastAsia"/>
          <w:sz w:val="30"/>
          <w:szCs w:val="30"/>
        </w:rPr>
      </w:pPr>
    </w:p>
    <w:p w14:paraId="0753CC11">
      <w:pPr>
        <w:bidi w:val="0"/>
        <w:rPr>
          <w:rFonts w:hint="eastAsia"/>
          <w:sz w:val="30"/>
          <w:szCs w:val="30"/>
        </w:rPr>
      </w:pPr>
      <w:r>
        <w:rPr>
          <w:rFonts w:hint="eastAsia"/>
          <w:sz w:val="30"/>
          <w:szCs w:val="30"/>
        </w:rPr>
        <w:t>因此，魔鬼必须离开，魔鬼的跟随者（稗子）必须离开，并且旧有自然秩序之堕落的每一个印记和残迹都必须离开。</w:t>
      </w:r>
    </w:p>
    <w:p w14:paraId="7390DF9D">
      <w:pPr>
        <w:bidi w:val="0"/>
        <w:rPr>
          <w:rFonts w:hint="eastAsia"/>
          <w:sz w:val="30"/>
          <w:szCs w:val="30"/>
        </w:rPr>
      </w:pPr>
    </w:p>
    <w:p w14:paraId="1017E8DD">
      <w:pPr>
        <w:bidi w:val="0"/>
        <w:rPr>
          <w:rFonts w:hint="eastAsia"/>
          <w:sz w:val="30"/>
          <w:szCs w:val="30"/>
        </w:rPr>
      </w:pPr>
      <w:r>
        <w:rPr>
          <w:rFonts w:hint="eastAsia"/>
          <w:sz w:val="30"/>
          <w:szCs w:val="30"/>
        </w:rPr>
        <w:t>When this occurs, the perfect reign of God will have created a perfected realm of God.</w:t>
      </w:r>
    </w:p>
    <w:p w14:paraId="4BB70190">
      <w:pPr>
        <w:bidi w:val="0"/>
        <w:rPr>
          <w:rFonts w:hint="eastAsia"/>
          <w:sz w:val="30"/>
          <w:szCs w:val="30"/>
        </w:rPr>
      </w:pPr>
    </w:p>
    <w:p w14:paraId="0A2BF46D">
      <w:pPr>
        <w:bidi w:val="0"/>
        <w:rPr>
          <w:rFonts w:hint="eastAsia"/>
          <w:sz w:val="30"/>
          <w:szCs w:val="30"/>
        </w:rPr>
      </w:pPr>
      <w:r>
        <w:rPr>
          <w:rFonts w:hint="eastAsia"/>
          <w:sz w:val="30"/>
          <w:szCs w:val="30"/>
        </w:rPr>
        <w:t>当这事发生时，神完美的掌权将创造出一个完美的、属神的范围。</w:t>
      </w:r>
    </w:p>
    <w:p w14:paraId="3A9E3CF8">
      <w:pPr>
        <w:bidi w:val="0"/>
        <w:rPr>
          <w:rFonts w:hint="eastAsia"/>
          <w:sz w:val="30"/>
          <w:szCs w:val="30"/>
        </w:rPr>
      </w:pPr>
    </w:p>
    <w:p w14:paraId="41B1A6C9">
      <w:pPr>
        <w:bidi w:val="0"/>
        <w:rPr>
          <w:rFonts w:hint="eastAsia"/>
          <w:sz w:val="30"/>
          <w:szCs w:val="30"/>
        </w:rPr>
      </w:pPr>
      <w:r>
        <w:rPr>
          <w:rFonts w:hint="eastAsia"/>
          <w:sz w:val="30"/>
          <w:szCs w:val="30"/>
        </w:rPr>
        <w:t>And that realm is properly called the Kingdom of God.</w:t>
      </w:r>
    </w:p>
    <w:p w14:paraId="2BD0D7B7">
      <w:pPr>
        <w:bidi w:val="0"/>
        <w:rPr>
          <w:rFonts w:hint="eastAsia"/>
          <w:sz w:val="30"/>
          <w:szCs w:val="30"/>
        </w:rPr>
      </w:pPr>
    </w:p>
    <w:p w14:paraId="77994CD1">
      <w:pPr>
        <w:bidi w:val="0"/>
        <w:rPr>
          <w:rFonts w:hint="eastAsia"/>
          <w:sz w:val="30"/>
          <w:szCs w:val="30"/>
        </w:rPr>
      </w:pPr>
      <w:r>
        <w:rPr>
          <w:rFonts w:hint="eastAsia"/>
          <w:sz w:val="30"/>
          <w:szCs w:val="30"/>
        </w:rPr>
        <w:t>而那个范围就恰当地被称为神的国。</w:t>
      </w:r>
    </w:p>
    <w:p w14:paraId="22CACA79">
      <w:pPr>
        <w:bidi w:val="0"/>
        <w:rPr>
          <w:rFonts w:hint="eastAsia"/>
          <w:sz w:val="30"/>
          <w:szCs w:val="30"/>
        </w:rPr>
      </w:pPr>
    </w:p>
    <w:p w14:paraId="759C0405">
      <w:pPr>
        <w:bidi w:val="0"/>
        <w:rPr>
          <w:rFonts w:hint="eastAsia"/>
          <w:sz w:val="30"/>
          <w:szCs w:val="30"/>
        </w:rPr>
      </w:pPr>
      <w:r>
        <w:rPr>
          <w:rFonts w:hint="eastAsia"/>
          <w:sz w:val="30"/>
          <w:szCs w:val="30"/>
        </w:rPr>
        <w:t>As we shall see later, even now, during the present Church era, this realm exists.</w:t>
      </w:r>
    </w:p>
    <w:p w14:paraId="5C123C01">
      <w:pPr>
        <w:bidi w:val="0"/>
        <w:rPr>
          <w:rFonts w:hint="eastAsia"/>
          <w:sz w:val="30"/>
          <w:szCs w:val="30"/>
        </w:rPr>
      </w:pPr>
    </w:p>
    <w:p w14:paraId="52EA9FDE">
      <w:pPr>
        <w:bidi w:val="0"/>
        <w:rPr>
          <w:rFonts w:hint="eastAsia"/>
          <w:sz w:val="30"/>
          <w:szCs w:val="30"/>
        </w:rPr>
      </w:pPr>
      <w:r>
        <w:rPr>
          <w:rFonts w:hint="eastAsia"/>
          <w:sz w:val="30"/>
          <w:szCs w:val="30"/>
        </w:rPr>
        <w:t>我们稍后会看到，即使是现在，在现今的教会时代，这个范围也存在。</w:t>
      </w:r>
    </w:p>
    <w:p w14:paraId="47D1B8AB">
      <w:pPr>
        <w:bidi w:val="0"/>
        <w:rPr>
          <w:rFonts w:hint="eastAsia"/>
          <w:sz w:val="30"/>
          <w:szCs w:val="30"/>
        </w:rPr>
      </w:pPr>
    </w:p>
    <w:p w14:paraId="2E63FD4E">
      <w:pPr>
        <w:bidi w:val="0"/>
        <w:rPr>
          <w:rFonts w:hint="eastAsia"/>
          <w:sz w:val="30"/>
          <w:szCs w:val="30"/>
        </w:rPr>
      </w:pPr>
      <w:r>
        <w:rPr>
          <w:rFonts w:hint="eastAsia"/>
          <w:sz w:val="30"/>
          <w:szCs w:val="30"/>
        </w:rPr>
        <w:t>Even now God is transferring a chosen people from the Domain of Darkness into the Kingdom of his beloved Son (Col. 1:13).</w:t>
      </w:r>
    </w:p>
    <w:p w14:paraId="22CE3E4C">
      <w:pPr>
        <w:bidi w:val="0"/>
        <w:rPr>
          <w:rFonts w:hint="eastAsia"/>
          <w:sz w:val="30"/>
          <w:szCs w:val="30"/>
        </w:rPr>
      </w:pPr>
    </w:p>
    <w:p w14:paraId="00F2F051">
      <w:pPr>
        <w:bidi w:val="0"/>
        <w:rPr>
          <w:rFonts w:hint="eastAsia"/>
          <w:sz w:val="30"/>
          <w:szCs w:val="30"/>
        </w:rPr>
      </w:pPr>
      <w:r>
        <w:rPr>
          <w:rFonts w:hint="eastAsia"/>
          <w:sz w:val="30"/>
          <w:szCs w:val="30"/>
        </w:rPr>
        <w:t>即使是现在，神正在将一个蒙拣选的子民从黑暗的权势中迁到祂爱子的国里（西 1:13）。</w:t>
      </w:r>
    </w:p>
    <w:p w14:paraId="2BE97D62">
      <w:pPr>
        <w:bidi w:val="0"/>
        <w:rPr>
          <w:rFonts w:hint="eastAsia"/>
          <w:sz w:val="30"/>
          <w:szCs w:val="30"/>
        </w:rPr>
      </w:pPr>
    </w:p>
    <w:p w14:paraId="06F56BAF">
      <w:pPr>
        <w:bidi w:val="0"/>
        <w:rPr>
          <w:rFonts w:hint="eastAsia"/>
          <w:sz w:val="30"/>
          <w:szCs w:val="30"/>
        </w:rPr>
      </w:pPr>
      <w:r>
        <w:rPr>
          <w:rFonts w:hint="eastAsia"/>
          <w:sz w:val="30"/>
          <w:szCs w:val="30"/>
        </w:rPr>
        <w:t>Even now, these people are subjects of the High King of Heaven, citizens of the Jerusalem above (Phil. 3:20).</w:t>
      </w:r>
    </w:p>
    <w:p w14:paraId="4792C6A2">
      <w:pPr>
        <w:bidi w:val="0"/>
        <w:rPr>
          <w:rFonts w:hint="eastAsia"/>
          <w:sz w:val="30"/>
          <w:szCs w:val="30"/>
        </w:rPr>
      </w:pPr>
    </w:p>
    <w:p w14:paraId="684FD19C">
      <w:pPr>
        <w:bidi w:val="0"/>
        <w:rPr>
          <w:rFonts w:hint="eastAsia"/>
          <w:sz w:val="30"/>
          <w:szCs w:val="30"/>
        </w:rPr>
      </w:pPr>
      <w:r>
        <w:rPr>
          <w:rFonts w:hint="eastAsia"/>
          <w:sz w:val="30"/>
          <w:szCs w:val="30"/>
        </w:rPr>
        <w:t>即使是现在，这些人是天上至高君王的子民，是那在上的耶路撒冷的国民（腓 3:20）。</w:t>
      </w:r>
    </w:p>
    <w:p w14:paraId="7FBCF979">
      <w:pPr>
        <w:bidi w:val="0"/>
        <w:rPr>
          <w:rFonts w:hint="eastAsia"/>
          <w:sz w:val="30"/>
          <w:szCs w:val="30"/>
        </w:rPr>
      </w:pPr>
    </w:p>
    <w:p w14:paraId="74297F17">
      <w:pPr>
        <w:bidi w:val="0"/>
        <w:rPr>
          <w:rFonts w:hint="eastAsia"/>
          <w:sz w:val="30"/>
          <w:szCs w:val="30"/>
        </w:rPr>
      </w:pPr>
      <w:r>
        <w:rPr>
          <w:rFonts w:hint="eastAsia"/>
          <w:sz w:val="30"/>
          <w:szCs w:val="30"/>
        </w:rPr>
        <w:t>Even now they are a Kingdom and priests to his God (Rev. 5:10).</w:t>
      </w:r>
    </w:p>
    <w:p w14:paraId="7D3F8478">
      <w:pPr>
        <w:bidi w:val="0"/>
        <w:rPr>
          <w:rFonts w:hint="eastAsia"/>
          <w:sz w:val="30"/>
          <w:szCs w:val="30"/>
        </w:rPr>
      </w:pPr>
    </w:p>
    <w:p w14:paraId="332C11C2">
      <w:pPr>
        <w:bidi w:val="0"/>
        <w:rPr>
          <w:rFonts w:hint="eastAsia"/>
          <w:sz w:val="30"/>
          <w:szCs w:val="30"/>
        </w:rPr>
      </w:pPr>
      <w:r>
        <w:rPr>
          <w:rFonts w:hint="eastAsia"/>
          <w:sz w:val="30"/>
          <w:szCs w:val="30"/>
        </w:rPr>
        <w:t>即使是现在，他们是归与祂神的一个国度和祭司（启 5:10）。</w:t>
      </w:r>
    </w:p>
    <w:p w14:paraId="6BDCF81F">
      <w:pPr>
        <w:bidi w:val="0"/>
        <w:rPr>
          <w:rFonts w:hint="eastAsia"/>
          <w:sz w:val="30"/>
          <w:szCs w:val="30"/>
        </w:rPr>
      </w:pPr>
    </w:p>
    <w:p w14:paraId="58060C18">
      <w:pPr>
        <w:bidi w:val="0"/>
        <w:rPr>
          <w:rFonts w:hint="eastAsia"/>
          <w:sz w:val="30"/>
          <w:szCs w:val="30"/>
        </w:rPr>
      </w:pPr>
      <w:r>
        <w:rPr>
          <w:rFonts w:hint="eastAsia"/>
          <w:sz w:val="30"/>
          <w:szCs w:val="30"/>
        </w:rPr>
        <w:t>So then, the Church on earth is an invisible realm, an outpost of the Kingdom of heaven, dwelling and laboring amidst the kingdom(s) of this present evil world.</w:t>
      </w:r>
    </w:p>
    <w:p w14:paraId="710263C3">
      <w:pPr>
        <w:bidi w:val="0"/>
        <w:rPr>
          <w:rFonts w:hint="eastAsia"/>
          <w:sz w:val="30"/>
          <w:szCs w:val="30"/>
        </w:rPr>
      </w:pPr>
    </w:p>
    <w:p w14:paraId="7D71D8EE">
      <w:pPr>
        <w:bidi w:val="0"/>
        <w:rPr>
          <w:rFonts w:hint="eastAsia"/>
          <w:sz w:val="30"/>
          <w:szCs w:val="30"/>
        </w:rPr>
      </w:pPr>
      <w:r>
        <w:rPr>
          <w:rFonts w:hint="eastAsia"/>
          <w:sz w:val="30"/>
          <w:szCs w:val="30"/>
        </w:rPr>
        <w:t>那么，地上的教会就是一个无形的范围，是天国的前哨，居住并劳苦于现今这邪恶世界的国度之中。</w:t>
      </w:r>
    </w:p>
    <w:p w14:paraId="15DE3317">
      <w:pPr>
        <w:bidi w:val="0"/>
        <w:rPr>
          <w:rFonts w:hint="eastAsia"/>
          <w:sz w:val="30"/>
          <w:szCs w:val="30"/>
        </w:rPr>
      </w:pPr>
    </w:p>
    <w:p w14:paraId="7DE852B7">
      <w:pPr>
        <w:bidi w:val="0"/>
        <w:rPr>
          <w:rFonts w:hint="eastAsia"/>
          <w:sz w:val="30"/>
          <w:szCs w:val="30"/>
        </w:rPr>
      </w:pPr>
      <w:r>
        <w:rPr>
          <w:rFonts w:hint="eastAsia"/>
          <w:sz w:val="30"/>
          <w:szCs w:val="30"/>
        </w:rPr>
        <w:t>And again, at his return Christ will perfect this realm—not only his people, but also the physical world that they will ever inhabit—and then deliver it up, as a supreme gift, to his Father (1 Cor. 15:20-28).</w:t>
      </w:r>
    </w:p>
    <w:p w14:paraId="6FCB15F2">
      <w:pPr>
        <w:bidi w:val="0"/>
        <w:rPr>
          <w:rFonts w:hint="eastAsia"/>
          <w:sz w:val="30"/>
          <w:szCs w:val="30"/>
        </w:rPr>
      </w:pPr>
    </w:p>
    <w:p w14:paraId="6956C8AC">
      <w:pPr>
        <w:bidi w:val="0"/>
        <w:rPr>
          <w:rFonts w:hint="eastAsia"/>
          <w:sz w:val="30"/>
          <w:szCs w:val="30"/>
        </w:rPr>
      </w:pPr>
      <w:r>
        <w:rPr>
          <w:rFonts w:hint="eastAsia"/>
          <w:sz w:val="30"/>
          <w:szCs w:val="30"/>
        </w:rPr>
        <w:t>并且，再次强调，在祂再来时，基督将使这个范围完美——不仅是祂的子民，也是他们将永远居住的物质世界——然后将其作为至高的恩赐，交与祂的父（林前 15:20-28）。</w:t>
      </w:r>
    </w:p>
    <w:p w14:paraId="0ED99CD6">
      <w:pPr>
        <w:bidi w:val="0"/>
        <w:rPr>
          <w:rFonts w:hint="eastAsia"/>
          <w:sz w:val="30"/>
          <w:szCs w:val="30"/>
        </w:rPr>
      </w:pPr>
    </w:p>
    <w:p w14:paraId="3999C951">
      <w:pPr>
        <w:bidi w:val="0"/>
        <w:rPr>
          <w:rFonts w:hint="eastAsia"/>
          <w:sz w:val="30"/>
          <w:szCs w:val="30"/>
        </w:rPr>
      </w:pPr>
      <w:r>
        <w:rPr>
          <w:rFonts w:hint="eastAsia"/>
          <w:sz w:val="30"/>
          <w:szCs w:val="30"/>
        </w:rPr>
        <w:t>In that Day, say the Scriptures, all the kingdoms of the earth will have become the Kingdom of our Lord, and of his Christ; all things will dwell blessedly under his direct reign; all things will belong to his holy realm (Rev. 11:15).</w:t>
      </w:r>
    </w:p>
    <w:p w14:paraId="50E126A4">
      <w:pPr>
        <w:bidi w:val="0"/>
        <w:rPr>
          <w:rFonts w:hint="eastAsia"/>
          <w:sz w:val="30"/>
          <w:szCs w:val="30"/>
        </w:rPr>
      </w:pPr>
    </w:p>
    <w:p w14:paraId="67999A06">
      <w:pPr>
        <w:bidi w:val="0"/>
        <w:rPr>
          <w:rFonts w:hint="eastAsia"/>
          <w:sz w:val="30"/>
          <w:szCs w:val="30"/>
        </w:rPr>
      </w:pPr>
      <w:r>
        <w:rPr>
          <w:rFonts w:hint="eastAsia"/>
          <w:sz w:val="30"/>
          <w:szCs w:val="30"/>
        </w:rPr>
        <w:t>在那日，圣经说，地上所有的国度都将成为我们主和祂基督的国度；万物都将蒙福地居住在祂直接的掌权之下；万物都将属于祂圣洁的范围（启 11:15）。</w:t>
      </w:r>
    </w:p>
    <w:p w14:paraId="464B94A7">
      <w:pPr>
        <w:bidi w:val="0"/>
        <w:rPr>
          <w:rFonts w:hint="eastAsia"/>
          <w:sz w:val="30"/>
          <w:szCs w:val="30"/>
        </w:rPr>
      </w:pPr>
    </w:p>
    <w:p w14:paraId="003505D1">
      <w:pPr>
        <w:bidi w:val="0"/>
        <w:rPr>
          <w:rFonts w:hint="eastAsia"/>
          <w:sz w:val="30"/>
          <w:szCs w:val="30"/>
        </w:rPr>
      </w:pPr>
      <w:r>
        <w:rPr>
          <w:rFonts w:hint="eastAsia"/>
          <w:sz w:val="30"/>
          <w:szCs w:val="30"/>
        </w:rPr>
        <w:t>The Essence of the Kingdom</w:t>
      </w:r>
    </w:p>
    <w:p w14:paraId="7AE9ED20">
      <w:pPr>
        <w:bidi w:val="0"/>
        <w:rPr>
          <w:rFonts w:hint="eastAsia"/>
          <w:sz w:val="30"/>
          <w:szCs w:val="30"/>
        </w:rPr>
      </w:pPr>
    </w:p>
    <w:p w14:paraId="1D5BAA40">
      <w:pPr>
        <w:bidi w:val="0"/>
        <w:rPr>
          <w:rFonts w:hint="eastAsia"/>
          <w:sz w:val="30"/>
          <w:szCs w:val="30"/>
        </w:rPr>
      </w:pPr>
      <w:r>
        <w:rPr>
          <w:rFonts w:hint="eastAsia"/>
          <w:sz w:val="30"/>
          <w:szCs w:val="30"/>
        </w:rPr>
        <w:t>国度的本质</w:t>
      </w:r>
    </w:p>
    <w:p w14:paraId="38CD6E7D">
      <w:pPr>
        <w:bidi w:val="0"/>
        <w:rPr>
          <w:rFonts w:hint="eastAsia"/>
          <w:sz w:val="30"/>
          <w:szCs w:val="30"/>
        </w:rPr>
      </w:pPr>
    </w:p>
    <w:p w14:paraId="1C5498E8">
      <w:pPr>
        <w:bidi w:val="0"/>
        <w:rPr>
          <w:rFonts w:hint="eastAsia"/>
          <w:sz w:val="30"/>
          <w:szCs w:val="30"/>
        </w:rPr>
      </w:pPr>
      <w:r>
        <w:rPr>
          <w:rFonts w:hint="eastAsia"/>
          <w:sz w:val="30"/>
          <w:szCs w:val="30"/>
        </w:rPr>
        <w:t>Though much more remains to be said, we are now in a good position to give an extended definition of the nature, or essence, of the Kingdom of God as Jesus revealed it to us.</w:t>
      </w:r>
    </w:p>
    <w:p w14:paraId="1FF290A7">
      <w:pPr>
        <w:bidi w:val="0"/>
        <w:rPr>
          <w:rFonts w:hint="eastAsia"/>
          <w:sz w:val="30"/>
          <w:szCs w:val="30"/>
        </w:rPr>
      </w:pPr>
    </w:p>
    <w:p w14:paraId="67ED0CE8">
      <w:pPr>
        <w:bidi w:val="0"/>
        <w:rPr>
          <w:rFonts w:hint="eastAsia"/>
          <w:sz w:val="30"/>
          <w:szCs w:val="30"/>
        </w:rPr>
      </w:pPr>
      <w:r>
        <w:rPr>
          <w:rFonts w:hint="eastAsia"/>
          <w:sz w:val="30"/>
          <w:szCs w:val="30"/>
        </w:rPr>
        <w:t>尽管还有很多话要说，但我们现在处于一个很好的位置，可以给出耶稣向我们启示的神国之性质，或本质的扩展定义。</w:t>
      </w:r>
    </w:p>
    <w:p w14:paraId="506DE975">
      <w:pPr>
        <w:bidi w:val="0"/>
        <w:rPr>
          <w:rFonts w:hint="eastAsia"/>
          <w:sz w:val="30"/>
          <w:szCs w:val="30"/>
        </w:rPr>
      </w:pPr>
    </w:p>
    <w:p w14:paraId="26013D70">
      <w:pPr>
        <w:bidi w:val="0"/>
        <w:rPr>
          <w:rFonts w:hint="eastAsia"/>
          <w:sz w:val="30"/>
          <w:szCs w:val="30"/>
        </w:rPr>
      </w:pPr>
      <w:r>
        <w:rPr>
          <w:rFonts w:hint="eastAsia"/>
          <w:sz w:val="30"/>
          <w:szCs w:val="30"/>
        </w:rPr>
        <w:t>I would frame it as follows:</w:t>
      </w:r>
    </w:p>
    <w:p w14:paraId="0E324213">
      <w:pPr>
        <w:bidi w:val="0"/>
        <w:rPr>
          <w:rFonts w:hint="eastAsia"/>
          <w:sz w:val="30"/>
          <w:szCs w:val="30"/>
        </w:rPr>
      </w:pPr>
    </w:p>
    <w:p w14:paraId="1A7A9EBB">
      <w:pPr>
        <w:bidi w:val="0"/>
        <w:rPr>
          <w:rFonts w:hint="eastAsia"/>
          <w:sz w:val="30"/>
          <w:szCs w:val="30"/>
        </w:rPr>
      </w:pPr>
      <w:r>
        <w:rPr>
          <w:rFonts w:hint="eastAsia"/>
          <w:sz w:val="30"/>
          <w:szCs w:val="30"/>
        </w:rPr>
        <w:t>我将其构建如下：</w:t>
      </w:r>
    </w:p>
    <w:p w14:paraId="4B09C32A">
      <w:pPr>
        <w:bidi w:val="0"/>
        <w:rPr>
          <w:rFonts w:hint="eastAsia"/>
          <w:sz w:val="30"/>
          <w:szCs w:val="30"/>
        </w:rPr>
      </w:pPr>
    </w:p>
    <w:p w14:paraId="6B7BBF4D">
      <w:pPr>
        <w:bidi w:val="0"/>
        <w:rPr>
          <w:rFonts w:hint="eastAsia"/>
          <w:sz w:val="30"/>
          <w:szCs w:val="30"/>
        </w:rPr>
      </w:pPr>
      <w:r>
        <w:rPr>
          <w:rFonts w:hint="eastAsia"/>
          <w:sz w:val="30"/>
          <w:szCs w:val="30"/>
        </w:rPr>
        <w:t>In essence, the Kingdom of God is the direct reign of God the Father, through the Son, by the Spirit, over his redeemed creatures; creatures who have been rescued from every spiritual and physical enemy, and restored to every spiritual and physical friend that God planned for them in the beginning.</w:t>
      </w:r>
    </w:p>
    <w:p w14:paraId="3D58F698">
      <w:pPr>
        <w:bidi w:val="0"/>
        <w:rPr>
          <w:rFonts w:hint="eastAsia"/>
          <w:sz w:val="30"/>
          <w:szCs w:val="30"/>
        </w:rPr>
      </w:pPr>
    </w:p>
    <w:p w14:paraId="0BBEC8A7">
      <w:pPr>
        <w:bidi w:val="0"/>
        <w:rPr>
          <w:rFonts w:hint="eastAsia"/>
          <w:sz w:val="30"/>
          <w:szCs w:val="30"/>
        </w:rPr>
      </w:pPr>
      <w:r>
        <w:rPr>
          <w:rFonts w:hint="eastAsia"/>
          <w:sz w:val="30"/>
          <w:szCs w:val="30"/>
        </w:rPr>
        <w:t>本质上，神的国是父神借着子，凭着圣灵，对祂蒙赎的受造之物直接的掌权；这些受造之物已被拯救脱离一切属灵和属肉体的仇敌，并被恢复到神起初为他们所计划的一切属灵和属肉体的朋友那里。</w:t>
      </w:r>
    </w:p>
    <w:p w14:paraId="24DD60EF">
      <w:pPr>
        <w:bidi w:val="0"/>
        <w:rPr>
          <w:rFonts w:hint="eastAsia"/>
          <w:sz w:val="30"/>
          <w:szCs w:val="30"/>
        </w:rPr>
      </w:pPr>
    </w:p>
    <w:p w14:paraId="689EEFDE">
      <w:pPr>
        <w:bidi w:val="0"/>
        <w:rPr>
          <w:rFonts w:hint="eastAsia"/>
          <w:sz w:val="30"/>
          <w:szCs w:val="30"/>
        </w:rPr>
      </w:pPr>
      <w:r>
        <w:rPr>
          <w:rFonts w:hint="eastAsia"/>
          <w:sz w:val="30"/>
          <w:szCs w:val="30"/>
        </w:rPr>
        <w:t>Also, the Kingdom is the blessed realm that this redemptive reign creates, and over which it forever rules.</w:t>
      </w:r>
    </w:p>
    <w:p w14:paraId="5D009CE5">
      <w:pPr>
        <w:bidi w:val="0"/>
        <w:rPr>
          <w:rFonts w:hint="eastAsia"/>
          <w:sz w:val="30"/>
          <w:szCs w:val="30"/>
        </w:rPr>
      </w:pPr>
    </w:p>
    <w:p w14:paraId="6958710E">
      <w:pPr>
        <w:bidi w:val="0"/>
        <w:rPr>
          <w:rFonts w:hint="eastAsia"/>
          <w:sz w:val="30"/>
          <w:szCs w:val="30"/>
        </w:rPr>
      </w:pPr>
      <w:r>
        <w:rPr>
          <w:rFonts w:hint="eastAsia"/>
          <w:sz w:val="30"/>
          <w:szCs w:val="30"/>
        </w:rPr>
        <w:t>并且，国度是这个救赎性掌权所创造的、蒙福的范围，并且它永远统治这个范围。</w:t>
      </w:r>
    </w:p>
    <w:p w14:paraId="3C718578">
      <w:pPr>
        <w:bidi w:val="0"/>
        <w:rPr>
          <w:rFonts w:hint="eastAsia"/>
          <w:sz w:val="30"/>
          <w:szCs w:val="30"/>
        </w:rPr>
      </w:pPr>
    </w:p>
    <w:p w14:paraId="0F4BF264">
      <w:pPr>
        <w:bidi w:val="0"/>
        <w:rPr>
          <w:rFonts w:hint="eastAsia"/>
          <w:sz w:val="30"/>
          <w:szCs w:val="30"/>
        </w:rPr>
      </w:pPr>
      <w:r>
        <w:rPr>
          <w:rFonts w:hint="eastAsia"/>
          <w:sz w:val="30"/>
          <w:szCs w:val="30"/>
        </w:rPr>
        <w:t>The Kingdom and the New Covenant</w:t>
      </w:r>
    </w:p>
    <w:p w14:paraId="509C2177">
      <w:pPr>
        <w:bidi w:val="0"/>
        <w:rPr>
          <w:rFonts w:hint="eastAsia"/>
          <w:sz w:val="30"/>
          <w:szCs w:val="30"/>
        </w:rPr>
      </w:pPr>
    </w:p>
    <w:p w14:paraId="4FEDA8D2">
      <w:pPr>
        <w:bidi w:val="0"/>
        <w:rPr>
          <w:rFonts w:hint="eastAsia"/>
          <w:sz w:val="30"/>
          <w:szCs w:val="30"/>
        </w:rPr>
      </w:pPr>
      <w:r>
        <w:rPr>
          <w:rFonts w:hint="eastAsia"/>
          <w:sz w:val="30"/>
          <w:szCs w:val="30"/>
        </w:rPr>
        <w:t>国度与新约</w:t>
      </w:r>
    </w:p>
    <w:p w14:paraId="73C93EF6">
      <w:pPr>
        <w:bidi w:val="0"/>
        <w:rPr>
          <w:rFonts w:hint="eastAsia"/>
          <w:sz w:val="30"/>
          <w:szCs w:val="30"/>
        </w:rPr>
      </w:pPr>
    </w:p>
    <w:p w14:paraId="5F182984">
      <w:pPr>
        <w:bidi w:val="0"/>
        <w:rPr>
          <w:rFonts w:hint="eastAsia"/>
          <w:sz w:val="30"/>
          <w:szCs w:val="30"/>
        </w:rPr>
      </w:pPr>
      <w:r>
        <w:rPr>
          <w:rFonts w:hint="eastAsia"/>
          <w:sz w:val="30"/>
          <w:szCs w:val="30"/>
        </w:rPr>
        <w:t>Did Jesus embrace what we earlier called the Representative OT Idea of the Kingdom?</w:t>
      </w:r>
    </w:p>
    <w:p w14:paraId="298F9AF7">
      <w:pPr>
        <w:bidi w:val="0"/>
        <w:rPr>
          <w:rFonts w:hint="eastAsia"/>
          <w:sz w:val="30"/>
          <w:szCs w:val="30"/>
        </w:rPr>
      </w:pPr>
    </w:p>
    <w:p w14:paraId="1B4C50CA">
      <w:pPr>
        <w:bidi w:val="0"/>
        <w:rPr>
          <w:rFonts w:hint="eastAsia"/>
          <w:sz w:val="30"/>
          <w:szCs w:val="30"/>
        </w:rPr>
      </w:pPr>
      <w:r>
        <w:rPr>
          <w:rFonts w:hint="eastAsia"/>
          <w:sz w:val="30"/>
          <w:szCs w:val="30"/>
        </w:rPr>
        <w:t>耶稣是否接纳了我们先前称之为旧约对国度的代表性观念？</w:t>
      </w:r>
    </w:p>
    <w:p w14:paraId="4491DF0E">
      <w:pPr>
        <w:bidi w:val="0"/>
        <w:rPr>
          <w:rFonts w:hint="eastAsia"/>
          <w:sz w:val="30"/>
          <w:szCs w:val="30"/>
        </w:rPr>
      </w:pPr>
    </w:p>
    <w:p w14:paraId="1254267A">
      <w:pPr>
        <w:bidi w:val="0"/>
        <w:rPr>
          <w:rFonts w:hint="eastAsia"/>
          <w:sz w:val="30"/>
          <w:szCs w:val="30"/>
        </w:rPr>
      </w:pPr>
      <w:r>
        <w:rPr>
          <w:rFonts w:hint="eastAsia"/>
          <w:sz w:val="30"/>
          <w:szCs w:val="30"/>
        </w:rPr>
        <w:t>That is, did he join with his Jewish contemporaries in thinking of the Kingdom as an ideal Mosaic theocracy?</w:t>
      </w:r>
    </w:p>
    <w:p w14:paraId="44A069DF">
      <w:pPr>
        <w:bidi w:val="0"/>
        <w:rPr>
          <w:rFonts w:hint="eastAsia"/>
          <w:sz w:val="30"/>
          <w:szCs w:val="30"/>
        </w:rPr>
      </w:pPr>
    </w:p>
    <w:p w14:paraId="5F8928A8">
      <w:pPr>
        <w:bidi w:val="0"/>
        <w:rPr>
          <w:rFonts w:hint="eastAsia"/>
          <w:sz w:val="30"/>
          <w:szCs w:val="30"/>
        </w:rPr>
      </w:pPr>
      <w:r>
        <w:rPr>
          <w:rFonts w:hint="eastAsia"/>
          <w:sz w:val="30"/>
          <w:szCs w:val="30"/>
        </w:rPr>
        <w:t>就是说，祂是否与祂的犹太同代人一样，将国度视为一个理想的摩西式神权政体？</w:t>
      </w:r>
    </w:p>
    <w:p w14:paraId="03BD6873">
      <w:pPr>
        <w:bidi w:val="0"/>
        <w:rPr>
          <w:rFonts w:hint="eastAsia"/>
          <w:sz w:val="30"/>
          <w:szCs w:val="30"/>
        </w:rPr>
      </w:pPr>
    </w:p>
    <w:p w14:paraId="338B39D6">
      <w:pPr>
        <w:bidi w:val="0"/>
        <w:rPr>
          <w:rFonts w:hint="eastAsia"/>
          <w:sz w:val="30"/>
          <w:szCs w:val="30"/>
        </w:rPr>
      </w:pPr>
      <w:r>
        <w:rPr>
          <w:rFonts w:hint="eastAsia"/>
          <w:sz w:val="30"/>
          <w:szCs w:val="30"/>
        </w:rPr>
        <w:t>From all we have learned so far, clearly not.</w:t>
      </w:r>
    </w:p>
    <w:p w14:paraId="35FC76C4">
      <w:pPr>
        <w:bidi w:val="0"/>
        <w:rPr>
          <w:rFonts w:hint="eastAsia"/>
          <w:sz w:val="30"/>
          <w:szCs w:val="30"/>
        </w:rPr>
      </w:pPr>
    </w:p>
    <w:p w14:paraId="2A852E6D">
      <w:pPr>
        <w:bidi w:val="0"/>
        <w:rPr>
          <w:rFonts w:hint="eastAsia"/>
          <w:sz w:val="30"/>
          <w:szCs w:val="30"/>
        </w:rPr>
      </w:pPr>
      <w:r>
        <w:rPr>
          <w:rFonts w:hint="eastAsia"/>
          <w:sz w:val="30"/>
          <w:szCs w:val="30"/>
        </w:rPr>
        <w:t>从我们目前所学的一切来看，显然不是。</w:t>
      </w:r>
    </w:p>
    <w:p w14:paraId="034F4751">
      <w:pPr>
        <w:bidi w:val="0"/>
        <w:rPr>
          <w:rFonts w:hint="eastAsia"/>
          <w:sz w:val="30"/>
          <w:szCs w:val="30"/>
        </w:rPr>
      </w:pPr>
    </w:p>
    <w:p w14:paraId="601DB340">
      <w:pPr>
        <w:bidi w:val="0"/>
        <w:rPr>
          <w:rFonts w:hint="eastAsia"/>
          <w:sz w:val="30"/>
          <w:szCs w:val="30"/>
        </w:rPr>
      </w:pPr>
      <w:r>
        <w:rPr>
          <w:rFonts w:hint="eastAsia"/>
          <w:sz w:val="30"/>
          <w:szCs w:val="30"/>
        </w:rPr>
        <w:t>Yes, during the days of his flesh the Law was in effect.</w:t>
      </w:r>
    </w:p>
    <w:p w14:paraId="406AC848">
      <w:pPr>
        <w:bidi w:val="0"/>
        <w:rPr>
          <w:rFonts w:hint="eastAsia"/>
          <w:sz w:val="30"/>
          <w:szCs w:val="30"/>
        </w:rPr>
      </w:pPr>
    </w:p>
    <w:p w14:paraId="7D0C0426">
      <w:pPr>
        <w:bidi w:val="0"/>
        <w:rPr>
          <w:rFonts w:hint="eastAsia"/>
          <w:sz w:val="30"/>
          <w:szCs w:val="30"/>
        </w:rPr>
      </w:pPr>
      <w:r>
        <w:rPr>
          <w:rFonts w:hint="eastAsia"/>
          <w:sz w:val="30"/>
          <w:szCs w:val="30"/>
        </w:rPr>
        <w:t>是的，在祂肉身的日子里，律法是有效的。</w:t>
      </w:r>
    </w:p>
    <w:p w14:paraId="5B75AF26">
      <w:pPr>
        <w:bidi w:val="0"/>
        <w:rPr>
          <w:rFonts w:hint="eastAsia"/>
          <w:sz w:val="30"/>
          <w:szCs w:val="30"/>
        </w:rPr>
      </w:pPr>
    </w:p>
    <w:p w14:paraId="5BFCF8F6">
      <w:pPr>
        <w:bidi w:val="0"/>
        <w:rPr>
          <w:rFonts w:hint="eastAsia"/>
          <w:sz w:val="30"/>
          <w:szCs w:val="30"/>
        </w:rPr>
      </w:pPr>
      <w:r>
        <w:rPr>
          <w:rFonts w:hint="eastAsia"/>
          <w:sz w:val="30"/>
          <w:szCs w:val="30"/>
        </w:rPr>
        <w:t>And yes, for important reasons he obeyed it implicitly.</w:t>
      </w:r>
    </w:p>
    <w:p w14:paraId="7C736AC3">
      <w:pPr>
        <w:bidi w:val="0"/>
        <w:rPr>
          <w:rFonts w:hint="eastAsia"/>
          <w:sz w:val="30"/>
          <w:szCs w:val="30"/>
        </w:rPr>
      </w:pPr>
    </w:p>
    <w:p w14:paraId="1488DDBB">
      <w:pPr>
        <w:bidi w:val="0"/>
        <w:rPr>
          <w:rFonts w:hint="eastAsia"/>
          <w:sz w:val="30"/>
          <w:szCs w:val="30"/>
        </w:rPr>
      </w:pPr>
      <w:r>
        <w:rPr>
          <w:rFonts w:hint="eastAsia"/>
          <w:sz w:val="30"/>
          <w:szCs w:val="30"/>
        </w:rPr>
        <w:t>并且，是的，出于重要的原因，祂暗中顺从了它。</w:t>
      </w:r>
    </w:p>
    <w:p w14:paraId="1E8961C7">
      <w:pPr>
        <w:bidi w:val="0"/>
        <w:rPr>
          <w:rFonts w:hint="eastAsia"/>
          <w:sz w:val="30"/>
          <w:szCs w:val="30"/>
        </w:rPr>
      </w:pPr>
    </w:p>
    <w:p w14:paraId="0BB9BC88">
      <w:pPr>
        <w:bidi w:val="0"/>
        <w:rPr>
          <w:rFonts w:hint="eastAsia"/>
          <w:sz w:val="30"/>
          <w:szCs w:val="30"/>
        </w:rPr>
      </w:pPr>
      <w:r>
        <w:rPr>
          <w:rFonts w:hint="eastAsia"/>
          <w:sz w:val="30"/>
          <w:szCs w:val="30"/>
        </w:rPr>
        <w:t>Nevertheless, even a cursory reading of the gospels shows that during Jesus’ earthly ministry God the Father was not performing his redemptive work through any person or ordinance associated with the existing religious system, but simply through his incarnate Son.</w:t>
      </w:r>
    </w:p>
    <w:p w14:paraId="6CFA0008">
      <w:pPr>
        <w:bidi w:val="0"/>
        <w:rPr>
          <w:rFonts w:hint="eastAsia"/>
          <w:sz w:val="30"/>
          <w:szCs w:val="30"/>
        </w:rPr>
      </w:pPr>
    </w:p>
    <w:p w14:paraId="0599CF5A">
      <w:pPr>
        <w:bidi w:val="0"/>
        <w:rPr>
          <w:rFonts w:hint="eastAsia"/>
          <w:sz w:val="30"/>
          <w:szCs w:val="30"/>
        </w:rPr>
      </w:pPr>
      <w:r>
        <w:rPr>
          <w:rFonts w:hint="eastAsia"/>
          <w:sz w:val="30"/>
          <w:szCs w:val="30"/>
        </w:rPr>
        <w:t>然而，即使是粗略地阅读福音书也显示，在耶稣地上的职事期间，父神并没有通过任何与现有宗教体系相关的人或条例来施行祂的救赎工作，而仅仅是借着祂道成肉身的儿子。</w:t>
      </w:r>
    </w:p>
    <w:p w14:paraId="5212D24D">
      <w:pPr>
        <w:bidi w:val="0"/>
        <w:rPr>
          <w:rFonts w:hint="eastAsia"/>
          <w:sz w:val="30"/>
          <w:szCs w:val="30"/>
        </w:rPr>
      </w:pPr>
    </w:p>
    <w:p w14:paraId="6C602DF4">
      <w:pPr>
        <w:bidi w:val="0"/>
        <w:rPr>
          <w:rFonts w:hint="eastAsia"/>
          <w:sz w:val="30"/>
          <w:szCs w:val="30"/>
        </w:rPr>
      </w:pPr>
      <w:r>
        <w:rPr>
          <w:rFonts w:hint="eastAsia"/>
          <w:sz w:val="30"/>
          <w:szCs w:val="30"/>
        </w:rPr>
        <w:t>In other words, the Kingdom was not coming through the Law, but through the One who was in the process of fulfilling the Law: the Lord Jesus Christ (John 1:17).</w:t>
      </w:r>
    </w:p>
    <w:p w14:paraId="35712FE0">
      <w:pPr>
        <w:bidi w:val="0"/>
        <w:rPr>
          <w:rFonts w:hint="eastAsia"/>
          <w:sz w:val="30"/>
          <w:szCs w:val="30"/>
        </w:rPr>
      </w:pPr>
    </w:p>
    <w:p w14:paraId="35C94FA4">
      <w:pPr>
        <w:bidi w:val="0"/>
        <w:rPr>
          <w:rFonts w:hint="eastAsia"/>
          <w:sz w:val="30"/>
          <w:szCs w:val="30"/>
        </w:rPr>
      </w:pPr>
      <w:r>
        <w:rPr>
          <w:rFonts w:hint="eastAsia"/>
          <w:sz w:val="30"/>
          <w:szCs w:val="30"/>
        </w:rPr>
        <w:t>换句话说，国度不是借着律法来的，而是借着那位正在成全律法的：主耶稣基督（约 1:17）。</w:t>
      </w:r>
    </w:p>
    <w:p w14:paraId="21F3A695">
      <w:pPr>
        <w:bidi w:val="0"/>
        <w:rPr>
          <w:rFonts w:hint="eastAsia"/>
          <w:sz w:val="30"/>
          <w:szCs w:val="30"/>
        </w:rPr>
      </w:pPr>
    </w:p>
    <w:p w14:paraId="0472BD27">
      <w:pPr>
        <w:bidi w:val="0"/>
        <w:rPr>
          <w:rFonts w:hint="eastAsia"/>
          <w:sz w:val="30"/>
          <w:szCs w:val="30"/>
        </w:rPr>
      </w:pPr>
      <w:r>
        <w:rPr>
          <w:rFonts w:hint="eastAsia"/>
          <w:sz w:val="30"/>
          <w:szCs w:val="30"/>
        </w:rPr>
        <w:t>We have already touched on this crucial theme several times.</w:t>
      </w:r>
    </w:p>
    <w:p w14:paraId="6DE33A43">
      <w:pPr>
        <w:bidi w:val="0"/>
        <w:rPr>
          <w:rFonts w:hint="eastAsia"/>
          <w:sz w:val="30"/>
          <w:szCs w:val="30"/>
        </w:rPr>
      </w:pPr>
    </w:p>
    <w:p w14:paraId="7AF34527">
      <w:pPr>
        <w:bidi w:val="0"/>
        <w:rPr>
          <w:rFonts w:hint="eastAsia"/>
          <w:sz w:val="30"/>
          <w:szCs w:val="30"/>
        </w:rPr>
      </w:pPr>
      <w:r>
        <w:rPr>
          <w:rFonts w:hint="eastAsia"/>
          <w:sz w:val="30"/>
          <w:szCs w:val="30"/>
        </w:rPr>
        <w:t>我们已经多次触及这个关键的主题。</w:t>
      </w:r>
    </w:p>
    <w:p w14:paraId="4E46CE5E">
      <w:pPr>
        <w:bidi w:val="0"/>
        <w:rPr>
          <w:rFonts w:hint="eastAsia"/>
          <w:sz w:val="30"/>
          <w:szCs w:val="30"/>
        </w:rPr>
      </w:pPr>
    </w:p>
    <w:p w14:paraId="7BB30071">
      <w:pPr>
        <w:bidi w:val="0"/>
        <w:rPr>
          <w:rFonts w:hint="eastAsia"/>
          <w:sz w:val="30"/>
          <w:szCs w:val="30"/>
        </w:rPr>
      </w:pPr>
      <w:r>
        <w:rPr>
          <w:rFonts w:hint="eastAsia"/>
          <w:sz w:val="30"/>
          <w:szCs w:val="30"/>
        </w:rPr>
        <w:t>Here, however, in our discussion of the good news of the Kingdom, we must explore it more deeply.</w:t>
      </w:r>
    </w:p>
    <w:p w14:paraId="45CF2728">
      <w:pPr>
        <w:bidi w:val="0"/>
        <w:rPr>
          <w:rFonts w:hint="eastAsia"/>
          <w:sz w:val="30"/>
          <w:szCs w:val="30"/>
        </w:rPr>
      </w:pPr>
    </w:p>
    <w:p w14:paraId="25C8DA95">
      <w:pPr>
        <w:bidi w:val="0"/>
        <w:rPr>
          <w:rFonts w:hint="eastAsia"/>
          <w:sz w:val="30"/>
          <w:szCs w:val="30"/>
        </w:rPr>
      </w:pPr>
      <w:r>
        <w:rPr>
          <w:rFonts w:hint="eastAsia"/>
          <w:sz w:val="30"/>
          <w:szCs w:val="30"/>
        </w:rPr>
        <w:t>然而，在这里，在我们讨论国度的好消息时，我们必须更深入地探讨它。</w:t>
      </w:r>
    </w:p>
    <w:p w14:paraId="55099B7C">
      <w:pPr>
        <w:bidi w:val="0"/>
        <w:rPr>
          <w:rFonts w:hint="eastAsia"/>
          <w:sz w:val="30"/>
          <w:szCs w:val="30"/>
        </w:rPr>
      </w:pPr>
    </w:p>
    <w:p w14:paraId="1804B455">
      <w:pPr>
        <w:bidi w:val="0"/>
        <w:rPr>
          <w:rFonts w:hint="eastAsia"/>
          <w:sz w:val="30"/>
          <w:szCs w:val="30"/>
        </w:rPr>
      </w:pPr>
      <w:r>
        <w:rPr>
          <w:rFonts w:hint="eastAsia"/>
          <w:sz w:val="30"/>
          <w:szCs w:val="30"/>
        </w:rPr>
        <w:t>Three crucial points may be made.</w:t>
      </w:r>
    </w:p>
    <w:p w14:paraId="3F44E217">
      <w:pPr>
        <w:bidi w:val="0"/>
        <w:rPr>
          <w:rFonts w:hint="eastAsia"/>
          <w:sz w:val="30"/>
          <w:szCs w:val="30"/>
        </w:rPr>
      </w:pPr>
    </w:p>
    <w:p w14:paraId="39A885B6">
      <w:pPr>
        <w:bidi w:val="0"/>
        <w:rPr>
          <w:rFonts w:hint="eastAsia"/>
          <w:sz w:val="30"/>
          <w:szCs w:val="30"/>
        </w:rPr>
      </w:pPr>
      <w:r>
        <w:rPr>
          <w:rFonts w:hint="eastAsia"/>
          <w:sz w:val="30"/>
          <w:szCs w:val="30"/>
        </w:rPr>
        <w:t>可以提出三个关键点。</w:t>
      </w:r>
    </w:p>
    <w:p w14:paraId="7B85DA7E">
      <w:pPr>
        <w:bidi w:val="0"/>
        <w:rPr>
          <w:rFonts w:hint="eastAsia"/>
          <w:sz w:val="30"/>
          <w:szCs w:val="30"/>
        </w:rPr>
      </w:pPr>
    </w:p>
    <w:p w14:paraId="0C68531D">
      <w:pPr>
        <w:bidi w:val="0"/>
        <w:rPr>
          <w:rFonts w:hint="eastAsia"/>
          <w:sz w:val="30"/>
          <w:szCs w:val="30"/>
        </w:rPr>
      </w:pPr>
      <w:r>
        <w:rPr>
          <w:rFonts w:hint="eastAsia"/>
          <w:sz w:val="30"/>
          <w:szCs w:val="30"/>
        </w:rPr>
        <w:t>First, in his teaching ministry, Jesus closely associated the Kingdom of God with a New Covenant.</w:t>
      </w:r>
    </w:p>
    <w:p w14:paraId="41425441">
      <w:pPr>
        <w:bidi w:val="0"/>
        <w:rPr>
          <w:rFonts w:hint="eastAsia"/>
          <w:sz w:val="30"/>
          <w:szCs w:val="30"/>
        </w:rPr>
      </w:pPr>
    </w:p>
    <w:p w14:paraId="2051BE23">
      <w:pPr>
        <w:bidi w:val="0"/>
        <w:rPr>
          <w:rFonts w:hint="eastAsia"/>
          <w:sz w:val="30"/>
          <w:szCs w:val="30"/>
        </w:rPr>
      </w:pPr>
      <w:r>
        <w:rPr>
          <w:rFonts w:hint="eastAsia"/>
          <w:sz w:val="30"/>
          <w:szCs w:val="30"/>
        </w:rPr>
        <w:t>首先，在祂的教导职事中，耶稣将神的国与一个新约紧密地联系在一起。</w:t>
      </w:r>
    </w:p>
    <w:p w14:paraId="0B6D4945">
      <w:pPr>
        <w:bidi w:val="0"/>
        <w:rPr>
          <w:rFonts w:hint="eastAsia"/>
          <w:sz w:val="30"/>
          <w:szCs w:val="30"/>
        </w:rPr>
      </w:pPr>
    </w:p>
    <w:p w14:paraId="5C43E072">
      <w:pPr>
        <w:bidi w:val="0"/>
        <w:rPr>
          <w:rFonts w:hint="eastAsia"/>
          <w:sz w:val="30"/>
          <w:szCs w:val="30"/>
        </w:rPr>
      </w:pPr>
      <w:r>
        <w:rPr>
          <w:rFonts w:hint="eastAsia"/>
          <w:sz w:val="30"/>
          <w:szCs w:val="30"/>
        </w:rPr>
        <w:t>We remember that in OT times Jeremiah had promised one (Jer. 31:31).</w:t>
      </w:r>
    </w:p>
    <w:p w14:paraId="555BD38B">
      <w:pPr>
        <w:bidi w:val="0"/>
        <w:rPr>
          <w:rFonts w:hint="eastAsia"/>
          <w:sz w:val="30"/>
          <w:szCs w:val="30"/>
        </w:rPr>
      </w:pPr>
    </w:p>
    <w:p w14:paraId="69646AF5">
      <w:pPr>
        <w:bidi w:val="0"/>
        <w:rPr>
          <w:rFonts w:hint="eastAsia"/>
          <w:sz w:val="30"/>
          <w:szCs w:val="30"/>
        </w:rPr>
      </w:pPr>
      <w:r>
        <w:rPr>
          <w:rFonts w:hint="eastAsia"/>
          <w:sz w:val="30"/>
          <w:szCs w:val="30"/>
        </w:rPr>
        <w:t>我们记得，在旧约时代，耶利米曾应许过一个（耶 31:31）。</w:t>
      </w:r>
    </w:p>
    <w:p w14:paraId="1967A158">
      <w:pPr>
        <w:bidi w:val="0"/>
        <w:rPr>
          <w:rFonts w:hint="eastAsia"/>
          <w:sz w:val="30"/>
          <w:szCs w:val="30"/>
        </w:rPr>
      </w:pPr>
    </w:p>
    <w:p w14:paraId="1CBEBFA9">
      <w:pPr>
        <w:bidi w:val="0"/>
        <w:rPr>
          <w:rFonts w:hint="eastAsia"/>
          <w:sz w:val="30"/>
          <w:szCs w:val="30"/>
        </w:rPr>
      </w:pPr>
      <w:r>
        <w:rPr>
          <w:rFonts w:hint="eastAsia"/>
          <w:sz w:val="30"/>
          <w:szCs w:val="30"/>
        </w:rPr>
        <w:t>Throughout the NT we learn that Jesus himself brought it into the world, sealing it with his own blood (Luke 22:20, 1 Cor. 11:25, Heb. 8:8).</w:t>
      </w:r>
    </w:p>
    <w:p w14:paraId="032B5DB3">
      <w:pPr>
        <w:bidi w:val="0"/>
        <w:rPr>
          <w:rFonts w:hint="eastAsia"/>
          <w:sz w:val="30"/>
          <w:szCs w:val="30"/>
        </w:rPr>
      </w:pPr>
    </w:p>
    <w:p w14:paraId="34893334">
      <w:pPr>
        <w:bidi w:val="0"/>
        <w:rPr>
          <w:rFonts w:hint="eastAsia"/>
          <w:sz w:val="30"/>
          <w:szCs w:val="30"/>
        </w:rPr>
      </w:pPr>
      <w:r>
        <w:rPr>
          <w:rFonts w:hint="eastAsia"/>
          <w:sz w:val="30"/>
          <w:szCs w:val="30"/>
        </w:rPr>
        <w:t>在整本新约中我们学到，耶稣自己将其带入世界，并用祂自己的血印证了它（路 22:20, 林前 11:25, 来 8:8）。</w:t>
      </w:r>
    </w:p>
    <w:p w14:paraId="7BBF6116">
      <w:pPr>
        <w:bidi w:val="0"/>
        <w:rPr>
          <w:rFonts w:hint="eastAsia"/>
          <w:sz w:val="30"/>
          <w:szCs w:val="30"/>
        </w:rPr>
      </w:pPr>
    </w:p>
    <w:p w14:paraId="2B153ADF">
      <w:pPr>
        <w:bidi w:val="0"/>
        <w:rPr>
          <w:rFonts w:hint="eastAsia"/>
          <w:sz w:val="30"/>
          <w:szCs w:val="30"/>
        </w:rPr>
      </w:pPr>
      <w:r>
        <w:rPr>
          <w:rFonts w:hint="eastAsia"/>
          <w:sz w:val="30"/>
          <w:szCs w:val="30"/>
        </w:rPr>
        <w:t>The story here begins with the Sermon on the Mount (Mt. 5-7).</w:t>
      </w:r>
    </w:p>
    <w:p w14:paraId="1DC56F7B">
      <w:pPr>
        <w:bidi w:val="0"/>
        <w:rPr>
          <w:rFonts w:hint="eastAsia"/>
          <w:sz w:val="30"/>
          <w:szCs w:val="30"/>
        </w:rPr>
      </w:pPr>
    </w:p>
    <w:p w14:paraId="5C4D4956">
      <w:pPr>
        <w:bidi w:val="0"/>
        <w:rPr>
          <w:rFonts w:hint="eastAsia"/>
          <w:sz w:val="30"/>
          <w:szCs w:val="30"/>
        </w:rPr>
      </w:pPr>
      <w:r>
        <w:rPr>
          <w:rFonts w:hint="eastAsia"/>
          <w:sz w:val="30"/>
          <w:szCs w:val="30"/>
        </w:rPr>
        <w:t>这里的故事始于登山宝训（太 5-7）。</w:t>
      </w:r>
    </w:p>
    <w:p w14:paraId="79B5510C">
      <w:pPr>
        <w:bidi w:val="0"/>
        <w:rPr>
          <w:rFonts w:hint="eastAsia"/>
          <w:sz w:val="30"/>
          <w:szCs w:val="30"/>
        </w:rPr>
      </w:pPr>
    </w:p>
    <w:p w14:paraId="22E2B859">
      <w:pPr>
        <w:bidi w:val="0"/>
        <w:rPr>
          <w:rFonts w:hint="eastAsia"/>
          <w:sz w:val="30"/>
          <w:szCs w:val="30"/>
        </w:rPr>
      </w:pPr>
      <w:r>
        <w:rPr>
          <w:rFonts w:hint="eastAsia"/>
          <w:sz w:val="30"/>
          <w:szCs w:val="30"/>
        </w:rPr>
        <w:t>Ascending as he did to a mountaintop, and there giving his disciples a new (evangelical) law, he is clearly emulating Moses; indeed, he is acting as “a greater than Moses,” as God’s eschatological Moses, as the mediator of a new and eternal covenant, of which the OT Law was a type or picture.</w:t>
      </w:r>
    </w:p>
    <w:p w14:paraId="5142E788">
      <w:pPr>
        <w:bidi w:val="0"/>
        <w:rPr>
          <w:rFonts w:hint="eastAsia"/>
          <w:sz w:val="30"/>
          <w:szCs w:val="30"/>
        </w:rPr>
      </w:pPr>
    </w:p>
    <w:p w14:paraId="29510754">
      <w:pPr>
        <w:bidi w:val="0"/>
        <w:rPr>
          <w:rFonts w:hint="eastAsia"/>
          <w:sz w:val="30"/>
          <w:szCs w:val="30"/>
        </w:rPr>
      </w:pPr>
      <w:r>
        <w:rPr>
          <w:rFonts w:hint="eastAsia"/>
          <w:sz w:val="30"/>
          <w:szCs w:val="30"/>
        </w:rPr>
        <w:t>祂登上山顶，在那里赐给祂的门徒一条新的（福音的）律法，祂显然是在效法摩西；的确，祂是在扮演“一位比摩西更大的”，即神末世的摩西，一个新而永恒之约的中保，而旧约律法只是其预表或图画。</w:t>
      </w:r>
    </w:p>
    <w:p w14:paraId="2CBCAF25">
      <w:pPr>
        <w:bidi w:val="0"/>
        <w:rPr>
          <w:rFonts w:hint="eastAsia"/>
          <w:sz w:val="30"/>
          <w:szCs w:val="30"/>
        </w:rPr>
      </w:pPr>
    </w:p>
    <w:p w14:paraId="72900B35">
      <w:pPr>
        <w:bidi w:val="0"/>
        <w:rPr>
          <w:rFonts w:hint="eastAsia"/>
          <w:sz w:val="30"/>
          <w:szCs w:val="30"/>
        </w:rPr>
      </w:pPr>
      <w:r>
        <w:rPr>
          <w:rFonts w:hint="eastAsia"/>
          <w:sz w:val="30"/>
          <w:szCs w:val="30"/>
        </w:rPr>
        <w:t>Very importantly, in his articulation of this new evangelical Law, Christ repeatedly refers to the Kingdom of God (Mt. 5:3, 10, 19-20, 6:10, 13, 33, 7:21).</w:t>
      </w:r>
    </w:p>
    <w:p w14:paraId="120F91B6">
      <w:pPr>
        <w:bidi w:val="0"/>
        <w:rPr>
          <w:rFonts w:hint="eastAsia"/>
          <w:sz w:val="30"/>
          <w:szCs w:val="30"/>
        </w:rPr>
      </w:pPr>
    </w:p>
    <w:p w14:paraId="5F6ED78A">
      <w:pPr>
        <w:bidi w:val="0"/>
        <w:rPr>
          <w:rFonts w:hint="eastAsia"/>
          <w:sz w:val="30"/>
          <w:szCs w:val="30"/>
        </w:rPr>
      </w:pPr>
      <w:r>
        <w:rPr>
          <w:rFonts w:hint="eastAsia"/>
          <w:sz w:val="30"/>
          <w:szCs w:val="30"/>
        </w:rPr>
        <w:t>非常重要的一点是，在祂阐述这条新的福音律法时，基督反复提到神的国（太 5:3, 10, 19-20, 6:10, 13, 33, 7:21）。</w:t>
      </w:r>
    </w:p>
    <w:p w14:paraId="7489A304">
      <w:pPr>
        <w:bidi w:val="0"/>
        <w:rPr>
          <w:rFonts w:hint="eastAsia"/>
          <w:sz w:val="30"/>
          <w:szCs w:val="30"/>
        </w:rPr>
      </w:pPr>
    </w:p>
    <w:p w14:paraId="59E2E932">
      <w:pPr>
        <w:bidi w:val="0"/>
        <w:rPr>
          <w:rFonts w:hint="eastAsia"/>
          <w:sz w:val="30"/>
          <w:szCs w:val="30"/>
        </w:rPr>
      </w:pPr>
      <w:r>
        <w:rPr>
          <w:rFonts w:hint="eastAsia"/>
          <w:sz w:val="30"/>
          <w:szCs w:val="30"/>
        </w:rPr>
        <w:t>The implication is clear: The Kingdom he is proclaiming and demonstrating in his earthly ministry will enter the world in conjunction with a new covenant, a covenant expounded (here and elsewhere in his teaching ministry) by the Messianic Prophet, and in the end to be ratified by the blood of the Messianic Priest and Sacrifice (Luke 22:20).</w:t>
      </w:r>
    </w:p>
    <w:p w14:paraId="3358156C">
      <w:pPr>
        <w:bidi w:val="0"/>
        <w:rPr>
          <w:rFonts w:hint="eastAsia"/>
          <w:sz w:val="30"/>
          <w:szCs w:val="30"/>
        </w:rPr>
      </w:pPr>
    </w:p>
    <w:p w14:paraId="07E2A61D">
      <w:pPr>
        <w:bidi w:val="0"/>
        <w:rPr>
          <w:rFonts w:hint="eastAsia"/>
          <w:sz w:val="30"/>
          <w:szCs w:val="30"/>
        </w:rPr>
      </w:pPr>
      <w:r>
        <w:rPr>
          <w:rFonts w:hint="eastAsia"/>
          <w:sz w:val="30"/>
          <w:szCs w:val="30"/>
        </w:rPr>
        <w:t>其含义是清楚的：祂在祂地上职事中所宣讲并展示的国度，将与一个新约一同进入世界，这个新约是由弥赛亚申言者阐述的（在这里以及祂教导职事的其他地方），并最终要由弥赛亚祭司和祭物的血来批准（路 22:20）。</w:t>
      </w:r>
    </w:p>
    <w:p w14:paraId="7EC27DBB">
      <w:pPr>
        <w:bidi w:val="0"/>
        <w:rPr>
          <w:rFonts w:hint="eastAsia"/>
          <w:sz w:val="30"/>
          <w:szCs w:val="30"/>
        </w:rPr>
      </w:pPr>
    </w:p>
    <w:p w14:paraId="0FDE1096">
      <w:pPr>
        <w:bidi w:val="0"/>
        <w:rPr>
          <w:rFonts w:hint="eastAsia"/>
          <w:sz w:val="30"/>
          <w:szCs w:val="30"/>
        </w:rPr>
      </w:pPr>
      <w:r>
        <w:rPr>
          <w:rFonts w:hint="eastAsia"/>
          <w:sz w:val="30"/>
          <w:szCs w:val="30"/>
        </w:rPr>
        <w:t>Secondly, Jesus explicitly taught that the Mosaic Law was about to pass away, permanently.</w:t>
      </w:r>
    </w:p>
    <w:p w14:paraId="0BC2DA5B">
      <w:pPr>
        <w:bidi w:val="0"/>
        <w:rPr>
          <w:rFonts w:hint="eastAsia"/>
          <w:sz w:val="30"/>
          <w:szCs w:val="30"/>
        </w:rPr>
      </w:pPr>
    </w:p>
    <w:p w14:paraId="0372D513">
      <w:pPr>
        <w:bidi w:val="0"/>
        <w:rPr>
          <w:rFonts w:hint="eastAsia"/>
          <w:sz w:val="30"/>
          <w:szCs w:val="30"/>
        </w:rPr>
      </w:pPr>
      <w:r>
        <w:rPr>
          <w:rFonts w:hint="eastAsia"/>
          <w:sz w:val="30"/>
          <w:szCs w:val="30"/>
        </w:rPr>
        <w:t>其次，耶稣明确地教导说，摩西律法即将永久地过去。</w:t>
      </w:r>
    </w:p>
    <w:p w14:paraId="1FF031F4">
      <w:pPr>
        <w:bidi w:val="0"/>
        <w:rPr>
          <w:rFonts w:hint="eastAsia"/>
          <w:sz w:val="30"/>
          <w:szCs w:val="30"/>
        </w:rPr>
      </w:pPr>
    </w:p>
    <w:p w14:paraId="1E49DC29">
      <w:pPr>
        <w:bidi w:val="0"/>
        <w:rPr>
          <w:rFonts w:hint="eastAsia"/>
          <w:sz w:val="30"/>
          <w:szCs w:val="30"/>
        </w:rPr>
      </w:pPr>
      <w:r>
        <w:rPr>
          <w:rFonts w:hint="eastAsia"/>
          <w:sz w:val="30"/>
          <w:szCs w:val="30"/>
        </w:rPr>
        <w:t>Earlier, we discussed the reason why: The Old Covenant must pass away because the New and Eternal Covenant fulfills it (Mt. 5:17).</w:t>
      </w:r>
    </w:p>
    <w:p w14:paraId="1BF2F803">
      <w:pPr>
        <w:bidi w:val="0"/>
        <w:rPr>
          <w:rFonts w:hint="eastAsia"/>
          <w:sz w:val="30"/>
          <w:szCs w:val="30"/>
        </w:rPr>
      </w:pPr>
    </w:p>
    <w:p w14:paraId="16BB1431">
      <w:pPr>
        <w:bidi w:val="0"/>
        <w:rPr>
          <w:rFonts w:hint="eastAsia"/>
          <w:sz w:val="30"/>
          <w:szCs w:val="30"/>
        </w:rPr>
      </w:pPr>
      <w:r>
        <w:rPr>
          <w:rFonts w:hint="eastAsia"/>
          <w:sz w:val="30"/>
          <w:szCs w:val="30"/>
        </w:rPr>
        <w:t>早些时候，我们讨论了原因：旧约必须过去，因为新而永恒的约成全了它（太 5:17）。</w:t>
      </w:r>
    </w:p>
    <w:p w14:paraId="1BEDC5DF">
      <w:pPr>
        <w:bidi w:val="0"/>
        <w:rPr>
          <w:rFonts w:hint="eastAsia"/>
          <w:sz w:val="30"/>
          <w:szCs w:val="30"/>
        </w:rPr>
      </w:pPr>
    </w:p>
    <w:p w14:paraId="4F5BACD9">
      <w:pPr>
        <w:bidi w:val="0"/>
        <w:rPr>
          <w:rFonts w:hint="eastAsia"/>
          <w:sz w:val="30"/>
          <w:szCs w:val="30"/>
        </w:rPr>
      </w:pPr>
      <w:r>
        <w:rPr>
          <w:rFonts w:hint="eastAsia"/>
          <w:sz w:val="30"/>
          <w:szCs w:val="30"/>
        </w:rPr>
        <w:t>The elements and institutions of the Old Covenant were in the nature of a promise: Mystically, they pointed ahead to the Redeemer, and to the elements and institutions of the New Covenant that he would bring.</w:t>
      </w:r>
    </w:p>
    <w:p w14:paraId="01F1071B">
      <w:pPr>
        <w:bidi w:val="0"/>
        <w:rPr>
          <w:rFonts w:hint="eastAsia"/>
          <w:sz w:val="30"/>
          <w:szCs w:val="30"/>
        </w:rPr>
      </w:pPr>
    </w:p>
    <w:p w14:paraId="6EEAD983">
      <w:pPr>
        <w:bidi w:val="0"/>
        <w:rPr>
          <w:rFonts w:hint="eastAsia"/>
          <w:sz w:val="30"/>
          <w:szCs w:val="30"/>
        </w:rPr>
      </w:pPr>
      <w:r>
        <w:rPr>
          <w:rFonts w:hint="eastAsia"/>
          <w:sz w:val="30"/>
          <w:szCs w:val="30"/>
        </w:rPr>
        <w:t>旧约的元素和制度具有应许的性质：奥秘地，它们指向将来的救赎主，以及祂将要带来的新约的元素和制度。</w:t>
      </w:r>
    </w:p>
    <w:p w14:paraId="5C52D5C1">
      <w:pPr>
        <w:bidi w:val="0"/>
        <w:rPr>
          <w:rFonts w:hint="eastAsia"/>
          <w:sz w:val="30"/>
          <w:szCs w:val="30"/>
        </w:rPr>
      </w:pPr>
    </w:p>
    <w:p w14:paraId="4C4A20C1">
      <w:pPr>
        <w:bidi w:val="0"/>
        <w:rPr>
          <w:rFonts w:hint="eastAsia"/>
          <w:sz w:val="30"/>
          <w:szCs w:val="30"/>
        </w:rPr>
      </w:pPr>
      <w:r>
        <w:rPr>
          <w:rFonts w:hint="eastAsia"/>
          <w:sz w:val="30"/>
          <w:szCs w:val="30"/>
        </w:rPr>
        <w:t>Now, however, the Redeemer has come.</w:t>
      </w:r>
    </w:p>
    <w:p w14:paraId="5783DD46">
      <w:pPr>
        <w:bidi w:val="0"/>
        <w:rPr>
          <w:rFonts w:hint="eastAsia"/>
          <w:sz w:val="30"/>
          <w:szCs w:val="30"/>
        </w:rPr>
      </w:pPr>
    </w:p>
    <w:p w14:paraId="1E1D9230">
      <w:pPr>
        <w:bidi w:val="0"/>
        <w:rPr>
          <w:rFonts w:hint="eastAsia"/>
          <w:sz w:val="30"/>
          <w:szCs w:val="30"/>
        </w:rPr>
      </w:pPr>
      <w:r>
        <w:rPr>
          <w:rFonts w:hint="eastAsia"/>
          <w:sz w:val="30"/>
          <w:szCs w:val="30"/>
        </w:rPr>
        <w:t>然而，现在，救赎主已经来了。</w:t>
      </w:r>
    </w:p>
    <w:p w14:paraId="13B8EEAF">
      <w:pPr>
        <w:bidi w:val="0"/>
        <w:rPr>
          <w:rFonts w:hint="eastAsia"/>
          <w:sz w:val="30"/>
          <w:szCs w:val="30"/>
        </w:rPr>
      </w:pPr>
    </w:p>
    <w:p w14:paraId="63A78F4E">
      <w:pPr>
        <w:bidi w:val="0"/>
        <w:rPr>
          <w:rFonts w:hint="eastAsia"/>
          <w:sz w:val="30"/>
          <w:szCs w:val="30"/>
        </w:rPr>
      </w:pPr>
      <w:r>
        <w:rPr>
          <w:rFonts w:hint="eastAsia"/>
          <w:sz w:val="30"/>
          <w:szCs w:val="30"/>
        </w:rPr>
        <w:t>Therefore, the temporary and promissory institutions of the Old Covenant are obsolete.</w:t>
      </w:r>
    </w:p>
    <w:p w14:paraId="30100C24">
      <w:pPr>
        <w:bidi w:val="0"/>
        <w:rPr>
          <w:rFonts w:hint="eastAsia"/>
          <w:sz w:val="30"/>
          <w:szCs w:val="30"/>
        </w:rPr>
      </w:pPr>
    </w:p>
    <w:p w14:paraId="65B21ACC">
      <w:pPr>
        <w:bidi w:val="0"/>
        <w:rPr>
          <w:rFonts w:hint="eastAsia"/>
          <w:sz w:val="30"/>
          <w:szCs w:val="30"/>
        </w:rPr>
      </w:pPr>
      <w:r>
        <w:rPr>
          <w:rFonts w:hint="eastAsia"/>
          <w:sz w:val="30"/>
          <w:szCs w:val="30"/>
        </w:rPr>
        <w:t>因此，旧约的临时性和应许性的制度已经过时了。</w:t>
      </w:r>
    </w:p>
    <w:p w14:paraId="158DC601">
      <w:pPr>
        <w:bidi w:val="0"/>
        <w:rPr>
          <w:rFonts w:hint="eastAsia"/>
          <w:sz w:val="30"/>
          <w:szCs w:val="30"/>
        </w:rPr>
      </w:pPr>
    </w:p>
    <w:p w14:paraId="4347FC97">
      <w:pPr>
        <w:bidi w:val="0"/>
        <w:rPr>
          <w:rFonts w:hint="eastAsia"/>
          <w:sz w:val="30"/>
          <w:szCs w:val="30"/>
        </w:rPr>
      </w:pPr>
      <w:r>
        <w:rPr>
          <w:rFonts w:hint="eastAsia"/>
          <w:sz w:val="30"/>
          <w:szCs w:val="30"/>
        </w:rPr>
        <w:t>They must forever pass away, in order to make room for those that will remain forever.</w:t>
      </w:r>
    </w:p>
    <w:p w14:paraId="35176383">
      <w:pPr>
        <w:bidi w:val="0"/>
        <w:rPr>
          <w:rFonts w:hint="eastAsia"/>
          <w:sz w:val="30"/>
          <w:szCs w:val="30"/>
        </w:rPr>
      </w:pPr>
    </w:p>
    <w:p w14:paraId="08EEF4CC">
      <w:pPr>
        <w:bidi w:val="0"/>
        <w:rPr>
          <w:rFonts w:hint="eastAsia"/>
          <w:sz w:val="30"/>
          <w:szCs w:val="30"/>
        </w:rPr>
      </w:pPr>
      <w:r>
        <w:rPr>
          <w:rFonts w:hint="eastAsia"/>
          <w:sz w:val="30"/>
          <w:szCs w:val="30"/>
        </w:rPr>
        <w:t>它们必须永远地过去，以便为那些将要永远存留的制度腾出空间。</w:t>
      </w:r>
    </w:p>
    <w:p w14:paraId="7D3AA4E2">
      <w:pPr>
        <w:bidi w:val="0"/>
        <w:rPr>
          <w:rFonts w:hint="eastAsia"/>
          <w:sz w:val="30"/>
          <w:szCs w:val="30"/>
        </w:rPr>
      </w:pPr>
    </w:p>
    <w:p w14:paraId="4625E604">
      <w:pPr>
        <w:bidi w:val="0"/>
        <w:rPr>
          <w:rFonts w:hint="eastAsia"/>
          <w:sz w:val="30"/>
          <w:szCs w:val="30"/>
        </w:rPr>
      </w:pPr>
      <w:r>
        <w:rPr>
          <w:rFonts w:hint="eastAsia"/>
          <w:sz w:val="30"/>
          <w:szCs w:val="30"/>
        </w:rPr>
        <w:t>Let us hear the Lord himself on this:</w:t>
      </w:r>
    </w:p>
    <w:p w14:paraId="32CDD8E5">
      <w:pPr>
        <w:bidi w:val="0"/>
        <w:rPr>
          <w:rFonts w:hint="eastAsia"/>
          <w:sz w:val="30"/>
          <w:szCs w:val="30"/>
        </w:rPr>
      </w:pPr>
    </w:p>
    <w:p w14:paraId="3408E08F">
      <w:pPr>
        <w:bidi w:val="0"/>
        <w:rPr>
          <w:rFonts w:hint="eastAsia"/>
          <w:sz w:val="30"/>
          <w:szCs w:val="30"/>
        </w:rPr>
      </w:pPr>
      <w:r>
        <w:rPr>
          <w:rFonts w:hint="eastAsia"/>
          <w:sz w:val="30"/>
          <w:szCs w:val="30"/>
        </w:rPr>
        <w:t>让我们听听主自己对此的说法：</w:t>
      </w:r>
    </w:p>
    <w:p w14:paraId="33879EAD">
      <w:pPr>
        <w:bidi w:val="0"/>
        <w:rPr>
          <w:rFonts w:hint="eastAsia"/>
          <w:sz w:val="30"/>
          <w:szCs w:val="30"/>
        </w:rPr>
      </w:pPr>
    </w:p>
    <w:p w14:paraId="2605E031">
      <w:pPr>
        <w:bidi w:val="0"/>
        <w:rPr>
          <w:rFonts w:hint="eastAsia"/>
          <w:sz w:val="30"/>
          <w:szCs w:val="30"/>
        </w:rPr>
      </w:pPr>
      <w:r>
        <w:rPr>
          <w:rFonts w:hint="eastAsia"/>
          <w:sz w:val="30"/>
          <w:szCs w:val="30"/>
        </w:rPr>
        <w:t>No one puts a piece of unshrunk cloth on an old garment; for the patch pulls away from the garment, and the tear is made worse.</w:t>
      </w:r>
    </w:p>
    <w:p w14:paraId="785A7C06">
      <w:pPr>
        <w:bidi w:val="0"/>
        <w:rPr>
          <w:rFonts w:hint="eastAsia"/>
          <w:sz w:val="30"/>
          <w:szCs w:val="30"/>
        </w:rPr>
      </w:pPr>
    </w:p>
    <w:p w14:paraId="446B45E4">
      <w:pPr>
        <w:bidi w:val="0"/>
        <w:rPr>
          <w:rFonts w:hint="eastAsia"/>
          <w:sz w:val="30"/>
          <w:szCs w:val="30"/>
        </w:rPr>
      </w:pPr>
      <w:r>
        <w:rPr>
          <w:rFonts w:hint="eastAsia"/>
          <w:sz w:val="30"/>
          <w:szCs w:val="30"/>
        </w:rPr>
        <w:t>没有人把一块未缩水的布补在旧衣服上；因为所补的布会拉破那件衣服，使裂缝变得更糟。</w:t>
      </w:r>
    </w:p>
    <w:p w14:paraId="133EE454">
      <w:pPr>
        <w:bidi w:val="0"/>
        <w:rPr>
          <w:rFonts w:hint="eastAsia"/>
          <w:sz w:val="30"/>
          <w:szCs w:val="30"/>
        </w:rPr>
      </w:pPr>
    </w:p>
    <w:p w14:paraId="6526484F">
      <w:pPr>
        <w:bidi w:val="0"/>
        <w:rPr>
          <w:rFonts w:hint="eastAsia"/>
          <w:sz w:val="30"/>
          <w:szCs w:val="30"/>
        </w:rPr>
      </w:pPr>
      <w:r>
        <w:rPr>
          <w:rFonts w:hint="eastAsia"/>
          <w:sz w:val="30"/>
          <w:szCs w:val="30"/>
        </w:rPr>
        <w:t>Nor do people put new wine into old wineskins, or else the wineskins break, the wine is spilled, and the wineskins are ruined.</w:t>
      </w:r>
    </w:p>
    <w:p w14:paraId="2A675F15">
      <w:pPr>
        <w:bidi w:val="0"/>
        <w:rPr>
          <w:rFonts w:hint="eastAsia"/>
          <w:sz w:val="30"/>
          <w:szCs w:val="30"/>
        </w:rPr>
      </w:pPr>
    </w:p>
    <w:p w14:paraId="59AEFC05">
      <w:pPr>
        <w:bidi w:val="0"/>
        <w:rPr>
          <w:rFonts w:hint="eastAsia"/>
          <w:sz w:val="30"/>
          <w:szCs w:val="30"/>
        </w:rPr>
      </w:pPr>
      <w:r>
        <w:rPr>
          <w:rFonts w:hint="eastAsia"/>
          <w:sz w:val="30"/>
          <w:szCs w:val="30"/>
        </w:rPr>
        <w:t>也没有人把新酒装在旧皮袋里，否则皮袋会裂开，酒会漏出来，皮袋也毁了。</w:t>
      </w:r>
    </w:p>
    <w:p w14:paraId="623563E4">
      <w:pPr>
        <w:bidi w:val="0"/>
        <w:rPr>
          <w:rFonts w:hint="eastAsia"/>
          <w:sz w:val="30"/>
          <w:szCs w:val="30"/>
        </w:rPr>
      </w:pPr>
    </w:p>
    <w:p w14:paraId="3BAD1A6C">
      <w:pPr>
        <w:bidi w:val="0"/>
        <w:rPr>
          <w:rFonts w:hint="eastAsia"/>
          <w:sz w:val="30"/>
          <w:szCs w:val="30"/>
        </w:rPr>
      </w:pPr>
      <w:r>
        <w:rPr>
          <w:rFonts w:hint="eastAsia"/>
          <w:sz w:val="30"/>
          <w:szCs w:val="30"/>
        </w:rPr>
        <w:t>But they put new wine into new wineskins, and both are preserved.</w:t>
      </w:r>
    </w:p>
    <w:p w14:paraId="5176FE0B">
      <w:pPr>
        <w:bidi w:val="0"/>
        <w:rPr>
          <w:rFonts w:hint="eastAsia"/>
          <w:sz w:val="30"/>
          <w:szCs w:val="30"/>
        </w:rPr>
      </w:pPr>
    </w:p>
    <w:p w14:paraId="109430A6">
      <w:pPr>
        <w:bidi w:val="0"/>
        <w:rPr>
          <w:rFonts w:hint="eastAsia"/>
          <w:sz w:val="30"/>
          <w:szCs w:val="30"/>
        </w:rPr>
      </w:pPr>
      <w:r>
        <w:rPr>
          <w:rFonts w:hint="eastAsia"/>
          <w:sz w:val="30"/>
          <w:szCs w:val="30"/>
        </w:rPr>
        <w:t>乃是把新酒装在新皮袋里，两样就都保全了。</w:t>
      </w:r>
    </w:p>
    <w:p w14:paraId="1928207F">
      <w:pPr>
        <w:bidi w:val="0"/>
        <w:rPr>
          <w:rFonts w:hint="eastAsia"/>
          <w:sz w:val="30"/>
          <w:szCs w:val="30"/>
        </w:rPr>
      </w:pPr>
    </w:p>
    <w:p w14:paraId="3D0DD282">
      <w:pPr>
        <w:bidi w:val="0"/>
        <w:rPr>
          <w:rFonts w:hint="eastAsia"/>
          <w:sz w:val="30"/>
          <w:szCs w:val="30"/>
        </w:rPr>
      </w:pPr>
      <w:r>
        <w:rPr>
          <w:rFonts w:hint="eastAsia"/>
          <w:sz w:val="30"/>
          <w:szCs w:val="30"/>
        </w:rPr>
        <w:t>—Mt. 9:16-17 (NIV)</w:t>
      </w:r>
    </w:p>
    <w:p w14:paraId="1A0AA549">
      <w:pPr>
        <w:bidi w:val="0"/>
        <w:rPr>
          <w:rFonts w:hint="eastAsia"/>
          <w:sz w:val="30"/>
          <w:szCs w:val="30"/>
        </w:rPr>
      </w:pPr>
    </w:p>
    <w:p w14:paraId="5914C261">
      <w:pPr>
        <w:bidi w:val="0"/>
        <w:rPr>
          <w:rFonts w:hint="eastAsia"/>
          <w:sz w:val="30"/>
          <w:szCs w:val="30"/>
        </w:rPr>
      </w:pPr>
      <w:r>
        <w:rPr>
          <w:rFonts w:hint="eastAsia"/>
          <w:sz w:val="30"/>
          <w:szCs w:val="30"/>
        </w:rPr>
        <w:t>——太 9:16-17 (新国际版)</w:t>
      </w:r>
    </w:p>
    <w:p w14:paraId="1A0AA811">
      <w:pPr>
        <w:bidi w:val="0"/>
        <w:rPr>
          <w:rFonts w:hint="eastAsia"/>
          <w:sz w:val="30"/>
          <w:szCs w:val="30"/>
        </w:rPr>
      </w:pPr>
    </w:p>
    <w:p w14:paraId="1FA2C086">
      <w:pPr>
        <w:bidi w:val="0"/>
        <w:rPr>
          <w:rFonts w:hint="eastAsia"/>
          <w:sz w:val="30"/>
          <w:szCs w:val="30"/>
        </w:rPr>
      </w:pPr>
      <w:r>
        <w:rPr>
          <w:rFonts w:hint="eastAsia"/>
          <w:sz w:val="30"/>
          <w:szCs w:val="30"/>
        </w:rPr>
        <w:t>The message of these memorable tropes is quite simple: The Old Covenant and the New Covenant are incompatible.</w:t>
      </w:r>
    </w:p>
    <w:p w14:paraId="6B3649DB">
      <w:pPr>
        <w:bidi w:val="0"/>
        <w:rPr>
          <w:rFonts w:hint="eastAsia"/>
          <w:sz w:val="30"/>
          <w:szCs w:val="30"/>
        </w:rPr>
      </w:pPr>
    </w:p>
    <w:p w14:paraId="4ACFEDA0">
      <w:pPr>
        <w:bidi w:val="0"/>
        <w:rPr>
          <w:rFonts w:hint="eastAsia"/>
          <w:sz w:val="30"/>
          <w:szCs w:val="30"/>
        </w:rPr>
      </w:pPr>
      <w:r>
        <w:rPr>
          <w:rFonts w:hint="eastAsia"/>
          <w:sz w:val="30"/>
          <w:szCs w:val="30"/>
        </w:rPr>
        <w:t>这些令人难忘的比喻所传达的信息相当简单：旧约与新约是不相容的。</w:t>
      </w:r>
    </w:p>
    <w:p w14:paraId="3D7C845C">
      <w:pPr>
        <w:bidi w:val="0"/>
        <w:rPr>
          <w:rFonts w:hint="eastAsia"/>
          <w:sz w:val="30"/>
          <w:szCs w:val="30"/>
        </w:rPr>
      </w:pPr>
    </w:p>
    <w:p w14:paraId="5688EEFF">
      <w:pPr>
        <w:bidi w:val="0"/>
        <w:rPr>
          <w:rFonts w:hint="eastAsia"/>
          <w:sz w:val="30"/>
          <w:szCs w:val="30"/>
        </w:rPr>
      </w:pPr>
      <w:r>
        <w:rPr>
          <w:rFonts w:hint="eastAsia"/>
          <w:sz w:val="30"/>
          <w:szCs w:val="30"/>
        </w:rPr>
        <w:t>The disciples cannot live under both at the same time.</w:t>
      </w:r>
    </w:p>
    <w:p w14:paraId="68FD453E">
      <w:pPr>
        <w:bidi w:val="0"/>
        <w:rPr>
          <w:rFonts w:hint="eastAsia"/>
          <w:sz w:val="30"/>
          <w:szCs w:val="30"/>
        </w:rPr>
      </w:pPr>
    </w:p>
    <w:p w14:paraId="0CFFC450">
      <w:pPr>
        <w:bidi w:val="0"/>
        <w:rPr>
          <w:rFonts w:hint="eastAsia"/>
          <w:sz w:val="30"/>
          <w:szCs w:val="30"/>
        </w:rPr>
      </w:pPr>
      <w:r>
        <w:rPr>
          <w:rFonts w:hint="eastAsia"/>
          <w:sz w:val="30"/>
          <w:szCs w:val="30"/>
        </w:rPr>
        <w:t>门徒们不能同时生活在两者之下。</w:t>
      </w:r>
    </w:p>
    <w:p w14:paraId="5B1A70D2">
      <w:pPr>
        <w:bidi w:val="0"/>
        <w:rPr>
          <w:rFonts w:hint="eastAsia"/>
          <w:sz w:val="30"/>
          <w:szCs w:val="30"/>
        </w:rPr>
      </w:pPr>
    </w:p>
    <w:p w14:paraId="3960F580">
      <w:pPr>
        <w:bidi w:val="0"/>
        <w:rPr>
          <w:rFonts w:hint="eastAsia"/>
          <w:sz w:val="30"/>
          <w:szCs w:val="30"/>
        </w:rPr>
      </w:pPr>
      <w:r>
        <w:rPr>
          <w:rFonts w:hint="eastAsia"/>
          <w:sz w:val="30"/>
          <w:szCs w:val="30"/>
        </w:rPr>
        <w:t>Everyday objects and events make this truth clear.</w:t>
      </w:r>
    </w:p>
    <w:p w14:paraId="630DE56E">
      <w:pPr>
        <w:bidi w:val="0"/>
        <w:rPr>
          <w:rFonts w:hint="eastAsia"/>
          <w:sz w:val="30"/>
          <w:szCs w:val="30"/>
        </w:rPr>
      </w:pPr>
    </w:p>
    <w:p w14:paraId="24BECC85">
      <w:pPr>
        <w:bidi w:val="0"/>
        <w:rPr>
          <w:rFonts w:hint="eastAsia"/>
          <w:sz w:val="30"/>
          <w:szCs w:val="30"/>
        </w:rPr>
      </w:pPr>
      <w:r>
        <w:rPr>
          <w:rFonts w:hint="eastAsia"/>
          <w:sz w:val="30"/>
          <w:szCs w:val="30"/>
        </w:rPr>
        <w:t>日常的物件和事件都使这个真理变得清晰。</w:t>
      </w:r>
    </w:p>
    <w:p w14:paraId="4A7BA281">
      <w:pPr>
        <w:bidi w:val="0"/>
        <w:rPr>
          <w:rFonts w:hint="eastAsia"/>
          <w:sz w:val="30"/>
          <w:szCs w:val="30"/>
        </w:rPr>
      </w:pPr>
    </w:p>
    <w:p w14:paraId="3B43272F">
      <w:pPr>
        <w:bidi w:val="0"/>
        <w:rPr>
          <w:rFonts w:hint="eastAsia"/>
          <w:sz w:val="30"/>
          <w:szCs w:val="30"/>
        </w:rPr>
      </w:pPr>
      <w:r>
        <w:rPr>
          <w:rFonts w:hint="eastAsia"/>
          <w:sz w:val="30"/>
          <w:szCs w:val="30"/>
        </w:rPr>
        <w:t>If people hope to enjoy the blessings of a new garment or a new wineskin, they must not try to combine the new with the old; that will only make a mess of both.</w:t>
      </w:r>
    </w:p>
    <w:p w14:paraId="0A759E3C">
      <w:pPr>
        <w:bidi w:val="0"/>
        <w:rPr>
          <w:rFonts w:hint="eastAsia"/>
          <w:sz w:val="30"/>
          <w:szCs w:val="30"/>
        </w:rPr>
      </w:pPr>
    </w:p>
    <w:p w14:paraId="33956C4C">
      <w:pPr>
        <w:bidi w:val="0"/>
        <w:rPr>
          <w:rFonts w:hint="eastAsia"/>
          <w:sz w:val="30"/>
          <w:szCs w:val="30"/>
        </w:rPr>
      </w:pPr>
      <w:r>
        <w:rPr>
          <w:rFonts w:hint="eastAsia"/>
          <w:sz w:val="30"/>
          <w:szCs w:val="30"/>
        </w:rPr>
        <w:t>如果人们希望享受一件新衣服或一个新皮袋的祝福，他们就不能试图将新旧结合；那只会把两样都搞砸。</w:t>
      </w:r>
    </w:p>
    <w:p w14:paraId="37E9EE5C">
      <w:pPr>
        <w:bidi w:val="0"/>
        <w:rPr>
          <w:rFonts w:hint="eastAsia"/>
          <w:sz w:val="30"/>
          <w:szCs w:val="30"/>
        </w:rPr>
      </w:pPr>
    </w:p>
    <w:p w14:paraId="41169732">
      <w:pPr>
        <w:bidi w:val="0"/>
        <w:rPr>
          <w:rFonts w:hint="eastAsia"/>
          <w:sz w:val="30"/>
          <w:szCs w:val="30"/>
        </w:rPr>
      </w:pPr>
      <w:r>
        <w:rPr>
          <w:rFonts w:hint="eastAsia"/>
          <w:sz w:val="30"/>
          <w:szCs w:val="30"/>
        </w:rPr>
        <w:t>Rather, they must discard the old and completely invest themselves in the new.</w:t>
      </w:r>
    </w:p>
    <w:p w14:paraId="518F2897">
      <w:pPr>
        <w:bidi w:val="0"/>
        <w:rPr>
          <w:rFonts w:hint="eastAsia"/>
          <w:sz w:val="30"/>
          <w:szCs w:val="30"/>
        </w:rPr>
      </w:pPr>
    </w:p>
    <w:p w14:paraId="6843A27C">
      <w:pPr>
        <w:bidi w:val="0"/>
        <w:rPr>
          <w:rFonts w:hint="eastAsia"/>
          <w:sz w:val="30"/>
          <w:szCs w:val="30"/>
        </w:rPr>
      </w:pPr>
      <w:r>
        <w:rPr>
          <w:rFonts w:hint="eastAsia"/>
          <w:sz w:val="30"/>
          <w:szCs w:val="30"/>
        </w:rPr>
        <w:t>相反，他们必须丢弃旧的，完全投身于新的。</w:t>
      </w:r>
    </w:p>
    <w:p w14:paraId="0513733D">
      <w:pPr>
        <w:bidi w:val="0"/>
        <w:rPr>
          <w:rFonts w:hint="eastAsia"/>
          <w:sz w:val="30"/>
          <w:szCs w:val="30"/>
        </w:rPr>
      </w:pPr>
    </w:p>
    <w:p w14:paraId="359DF5AE">
      <w:pPr>
        <w:bidi w:val="0"/>
        <w:rPr>
          <w:rFonts w:hint="eastAsia"/>
          <w:sz w:val="30"/>
          <w:szCs w:val="30"/>
        </w:rPr>
      </w:pPr>
      <w:r>
        <w:rPr>
          <w:rFonts w:hint="eastAsia"/>
          <w:sz w:val="30"/>
          <w:szCs w:val="30"/>
        </w:rPr>
        <w:t>Similarly, if the disciples hope to enjoy the blessings of the New Covenant, they cannot mingle them with the trappings of the Old.</w:t>
      </w:r>
    </w:p>
    <w:p w14:paraId="086D63D6">
      <w:pPr>
        <w:bidi w:val="0"/>
        <w:rPr>
          <w:rFonts w:hint="eastAsia"/>
          <w:sz w:val="30"/>
          <w:szCs w:val="30"/>
        </w:rPr>
      </w:pPr>
    </w:p>
    <w:p w14:paraId="1240F7C4">
      <w:pPr>
        <w:bidi w:val="0"/>
        <w:rPr>
          <w:rFonts w:hint="eastAsia"/>
          <w:sz w:val="30"/>
          <w:szCs w:val="30"/>
        </w:rPr>
      </w:pPr>
      <w:r>
        <w:rPr>
          <w:rFonts w:hint="eastAsia"/>
          <w:sz w:val="30"/>
          <w:szCs w:val="30"/>
        </w:rPr>
        <w:t>同样，如果门徒们希望享受新约的祝福，他们就不能将其与旧约的装饰混杂。</w:t>
      </w:r>
    </w:p>
    <w:p w14:paraId="1462958C">
      <w:pPr>
        <w:bidi w:val="0"/>
        <w:rPr>
          <w:rFonts w:hint="eastAsia"/>
          <w:sz w:val="30"/>
          <w:szCs w:val="30"/>
        </w:rPr>
      </w:pPr>
    </w:p>
    <w:p w14:paraId="39EAE79F">
      <w:pPr>
        <w:bidi w:val="0"/>
        <w:rPr>
          <w:rFonts w:hint="eastAsia"/>
          <w:sz w:val="30"/>
          <w:szCs w:val="30"/>
        </w:rPr>
      </w:pPr>
      <w:r>
        <w:rPr>
          <w:rFonts w:hint="eastAsia"/>
          <w:sz w:val="30"/>
          <w:szCs w:val="30"/>
        </w:rPr>
        <w:t>Because the Old is now obsolete, they must let it pass away completely, once and for all.</w:t>
      </w:r>
    </w:p>
    <w:p w14:paraId="10803D87">
      <w:pPr>
        <w:bidi w:val="0"/>
        <w:rPr>
          <w:rFonts w:hint="eastAsia"/>
          <w:sz w:val="30"/>
          <w:szCs w:val="30"/>
        </w:rPr>
      </w:pPr>
    </w:p>
    <w:p w14:paraId="33C64EAC">
      <w:pPr>
        <w:bidi w:val="0"/>
        <w:rPr>
          <w:rFonts w:hint="eastAsia"/>
          <w:sz w:val="30"/>
          <w:szCs w:val="30"/>
        </w:rPr>
      </w:pPr>
      <w:r>
        <w:rPr>
          <w:rFonts w:hint="eastAsia"/>
          <w:sz w:val="30"/>
          <w:szCs w:val="30"/>
        </w:rPr>
        <w:t>因为旧的如今已经过时，他们必须让它完全地、一劳永逸地过去。</w:t>
      </w:r>
    </w:p>
    <w:p w14:paraId="7F2A9BCA">
      <w:pPr>
        <w:bidi w:val="0"/>
        <w:rPr>
          <w:rFonts w:hint="eastAsia"/>
          <w:sz w:val="30"/>
          <w:szCs w:val="30"/>
        </w:rPr>
      </w:pPr>
    </w:p>
    <w:p w14:paraId="3042351A">
      <w:pPr>
        <w:bidi w:val="0"/>
        <w:rPr>
          <w:rFonts w:hint="eastAsia"/>
          <w:sz w:val="30"/>
          <w:szCs w:val="30"/>
        </w:rPr>
      </w:pPr>
      <w:r>
        <w:rPr>
          <w:rFonts w:hint="eastAsia"/>
          <w:sz w:val="30"/>
          <w:szCs w:val="30"/>
        </w:rPr>
        <w:t>Jesus spoke of the end of Mosaic Law in other ways, as well.</w:t>
      </w:r>
    </w:p>
    <w:p w14:paraId="5E2B92EA">
      <w:pPr>
        <w:bidi w:val="0"/>
        <w:rPr>
          <w:rFonts w:hint="eastAsia"/>
          <w:sz w:val="30"/>
          <w:szCs w:val="30"/>
        </w:rPr>
      </w:pPr>
    </w:p>
    <w:p w14:paraId="53DE121A">
      <w:pPr>
        <w:bidi w:val="0"/>
        <w:rPr>
          <w:rFonts w:hint="eastAsia"/>
          <w:sz w:val="30"/>
          <w:szCs w:val="30"/>
        </w:rPr>
      </w:pPr>
      <w:r>
        <w:rPr>
          <w:rFonts w:hint="eastAsia"/>
          <w:sz w:val="30"/>
          <w:szCs w:val="30"/>
        </w:rPr>
        <w:t>耶稣也以其他方式谈论了摩西律法的终结。</w:t>
      </w:r>
    </w:p>
    <w:p w14:paraId="1C2F58DE">
      <w:pPr>
        <w:bidi w:val="0"/>
        <w:rPr>
          <w:rFonts w:hint="eastAsia"/>
          <w:sz w:val="30"/>
          <w:szCs w:val="30"/>
        </w:rPr>
      </w:pPr>
    </w:p>
    <w:p w14:paraId="507F17FF">
      <w:pPr>
        <w:bidi w:val="0"/>
        <w:rPr>
          <w:rFonts w:hint="eastAsia"/>
          <w:sz w:val="30"/>
          <w:szCs w:val="30"/>
        </w:rPr>
      </w:pPr>
      <w:r>
        <w:rPr>
          <w:rFonts w:hint="eastAsia"/>
          <w:sz w:val="30"/>
          <w:szCs w:val="30"/>
        </w:rPr>
        <w:t>During the last week of his life, when he publicly offered himself to Israel as their Messiah, the spiritually hungry Christ came up to a fig tree, found no fruit on it, and cursed it, saying, “Let no one eat fruit from you again” (Mark 11:14).</w:t>
      </w:r>
    </w:p>
    <w:p w14:paraId="2EA1E2F8">
      <w:pPr>
        <w:bidi w:val="0"/>
        <w:rPr>
          <w:rFonts w:hint="eastAsia"/>
          <w:sz w:val="30"/>
          <w:szCs w:val="30"/>
        </w:rPr>
      </w:pPr>
    </w:p>
    <w:p w14:paraId="4D09D99D">
      <w:pPr>
        <w:bidi w:val="0"/>
        <w:rPr>
          <w:rFonts w:hint="eastAsia"/>
          <w:sz w:val="30"/>
          <w:szCs w:val="30"/>
        </w:rPr>
      </w:pPr>
      <w:r>
        <w:rPr>
          <w:rFonts w:hint="eastAsia"/>
          <w:sz w:val="30"/>
          <w:szCs w:val="30"/>
        </w:rPr>
        <w:t>在祂生命的最后一周，当祂公开向以色列献上自己为他们的弥赛亚时，灵里饥饿的基督来到一棵无花果树前，发现其上没有果子，就咒诅它说：“从今以后，永没有人吃你的果子了”（马可福音 11:14）。</w:t>
      </w:r>
    </w:p>
    <w:p w14:paraId="5B5C4AF3">
      <w:pPr>
        <w:bidi w:val="0"/>
        <w:rPr>
          <w:rFonts w:hint="eastAsia"/>
          <w:sz w:val="30"/>
          <w:szCs w:val="30"/>
        </w:rPr>
      </w:pPr>
    </w:p>
    <w:p w14:paraId="64E9FF3D">
      <w:pPr>
        <w:bidi w:val="0"/>
        <w:rPr>
          <w:rFonts w:hint="eastAsia"/>
          <w:sz w:val="30"/>
          <w:szCs w:val="30"/>
        </w:rPr>
      </w:pPr>
      <w:r>
        <w:rPr>
          <w:rFonts w:hint="eastAsia"/>
          <w:sz w:val="30"/>
          <w:szCs w:val="30"/>
        </w:rPr>
        <w:t>The tree represented national Israel, destitute of spiritual fruit (Luke 3:8, 13:6f).</w:t>
      </w:r>
    </w:p>
    <w:p w14:paraId="37F2952E">
      <w:pPr>
        <w:bidi w:val="0"/>
        <w:rPr>
          <w:rFonts w:hint="eastAsia"/>
          <w:sz w:val="30"/>
          <w:szCs w:val="30"/>
        </w:rPr>
      </w:pPr>
    </w:p>
    <w:p w14:paraId="2ED18EB5">
      <w:pPr>
        <w:bidi w:val="0"/>
        <w:rPr>
          <w:rFonts w:hint="eastAsia"/>
          <w:sz w:val="30"/>
          <w:szCs w:val="30"/>
        </w:rPr>
      </w:pPr>
      <w:r>
        <w:rPr>
          <w:rFonts w:hint="eastAsia"/>
          <w:sz w:val="30"/>
          <w:szCs w:val="30"/>
        </w:rPr>
        <w:t>这棵树代表着民族以色列，缺乏属灵的果子（路加福音 3:8, 13:6及以下）。</w:t>
      </w:r>
    </w:p>
    <w:p w14:paraId="1E44A816">
      <w:pPr>
        <w:bidi w:val="0"/>
        <w:rPr>
          <w:rFonts w:hint="eastAsia"/>
          <w:sz w:val="30"/>
          <w:szCs w:val="30"/>
        </w:rPr>
      </w:pPr>
    </w:p>
    <w:p w14:paraId="41ABA725">
      <w:pPr>
        <w:bidi w:val="0"/>
        <w:rPr>
          <w:rFonts w:hint="eastAsia"/>
          <w:sz w:val="30"/>
          <w:szCs w:val="30"/>
        </w:rPr>
      </w:pPr>
      <w:r>
        <w:rPr>
          <w:rFonts w:hint="eastAsia"/>
          <w:sz w:val="30"/>
          <w:szCs w:val="30"/>
        </w:rPr>
        <w:t>But more than this, it also represented the Law, which was largely incapable of producing such fruit (Jer. 31:31f).</w:t>
      </w:r>
    </w:p>
    <w:p w14:paraId="0EB04D6A">
      <w:pPr>
        <w:bidi w:val="0"/>
        <w:rPr>
          <w:rFonts w:hint="eastAsia"/>
          <w:sz w:val="30"/>
          <w:szCs w:val="30"/>
        </w:rPr>
      </w:pPr>
    </w:p>
    <w:p w14:paraId="2A844580">
      <w:pPr>
        <w:bidi w:val="0"/>
        <w:rPr>
          <w:rFonts w:hint="eastAsia"/>
          <w:sz w:val="30"/>
          <w:szCs w:val="30"/>
        </w:rPr>
      </w:pPr>
      <w:r>
        <w:rPr>
          <w:rFonts w:hint="eastAsia"/>
          <w:sz w:val="30"/>
          <w:szCs w:val="30"/>
        </w:rPr>
        <w:t>但不仅如此，它也代表着律法，律法在很大程度上不能结出这样的果子（耶利米书 31:31及以下）。</w:t>
      </w:r>
    </w:p>
    <w:p w14:paraId="288211E4">
      <w:pPr>
        <w:bidi w:val="0"/>
        <w:rPr>
          <w:rFonts w:hint="eastAsia"/>
          <w:sz w:val="30"/>
          <w:szCs w:val="30"/>
        </w:rPr>
      </w:pPr>
    </w:p>
    <w:p w14:paraId="6DA21226">
      <w:pPr>
        <w:bidi w:val="0"/>
        <w:rPr>
          <w:rFonts w:hint="eastAsia"/>
          <w:sz w:val="30"/>
          <w:szCs w:val="30"/>
        </w:rPr>
      </w:pPr>
      <w:r>
        <w:rPr>
          <w:rFonts w:hint="eastAsia"/>
          <w:sz w:val="30"/>
          <w:szCs w:val="30"/>
        </w:rPr>
        <w:t>And once Christ fulfills the Law through his life, death, and resurrection, it will become utterly devoid of any vital connection with him, and so completely dead and fruitless.</w:t>
      </w:r>
    </w:p>
    <w:p w14:paraId="656BA6FA">
      <w:pPr>
        <w:bidi w:val="0"/>
        <w:rPr>
          <w:rFonts w:hint="eastAsia"/>
          <w:sz w:val="30"/>
          <w:szCs w:val="30"/>
        </w:rPr>
      </w:pPr>
    </w:p>
    <w:p w14:paraId="37E2A407">
      <w:pPr>
        <w:bidi w:val="0"/>
        <w:rPr>
          <w:rFonts w:hint="eastAsia"/>
          <w:sz w:val="30"/>
          <w:szCs w:val="30"/>
        </w:rPr>
      </w:pPr>
      <w:r>
        <w:rPr>
          <w:rFonts w:hint="eastAsia"/>
          <w:sz w:val="30"/>
          <w:szCs w:val="30"/>
        </w:rPr>
        <w:t>一旦基督借着祂的生、死和复活成全了律法，它将完全失去与祂任何重要的联系，从而完全枯死无果。</w:t>
      </w:r>
    </w:p>
    <w:p w14:paraId="723086C1">
      <w:pPr>
        <w:bidi w:val="0"/>
        <w:rPr>
          <w:rFonts w:hint="eastAsia"/>
          <w:sz w:val="30"/>
          <w:szCs w:val="30"/>
        </w:rPr>
      </w:pPr>
    </w:p>
    <w:p w14:paraId="3C8DA8AB">
      <w:pPr>
        <w:bidi w:val="0"/>
        <w:rPr>
          <w:rFonts w:hint="eastAsia"/>
          <w:sz w:val="30"/>
          <w:szCs w:val="30"/>
        </w:rPr>
      </w:pPr>
      <w:r>
        <w:rPr>
          <w:rFonts w:hint="eastAsia"/>
          <w:sz w:val="30"/>
          <w:szCs w:val="30"/>
        </w:rPr>
        <w:t>Consigned by God to obsolescence, it will fall like so much religious chaff into the “elementary principles of the (religious) world” (2 Kings 18:4, Gal. 4:3, 9).</w:t>
      </w:r>
    </w:p>
    <w:p w14:paraId="456F6352">
      <w:pPr>
        <w:bidi w:val="0"/>
        <w:rPr>
          <w:rFonts w:hint="eastAsia"/>
          <w:sz w:val="30"/>
          <w:szCs w:val="30"/>
        </w:rPr>
      </w:pPr>
    </w:p>
    <w:p w14:paraId="1074C568">
      <w:pPr>
        <w:bidi w:val="0"/>
        <w:rPr>
          <w:rFonts w:hint="eastAsia"/>
          <w:sz w:val="30"/>
          <w:szCs w:val="30"/>
        </w:rPr>
      </w:pPr>
      <w:r>
        <w:rPr>
          <w:rFonts w:hint="eastAsia"/>
          <w:sz w:val="30"/>
          <w:szCs w:val="30"/>
        </w:rPr>
        <w:t>被神定为过时，它将像许多宗教的糠秕一样，落入“（宗教）世界的小学”中（列王纪下 18:4, 加拉太书 4:3, 9）。</w:t>
      </w:r>
    </w:p>
    <w:p w14:paraId="0FE2EED3">
      <w:pPr>
        <w:bidi w:val="0"/>
        <w:rPr>
          <w:rFonts w:hint="eastAsia"/>
          <w:sz w:val="30"/>
          <w:szCs w:val="30"/>
        </w:rPr>
      </w:pPr>
    </w:p>
    <w:p w14:paraId="7B205D85">
      <w:pPr>
        <w:bidi w:val="0"/>
        <w:rPr>
          <w:rFonts w:hint="eastAsia"/>
          <w:sz w:val="30"/>
          <w:szCs w:val="30"/>
        </w:rPr>
      </w:pPr>
      <w:r>
        <w:rPr>
          <w:rFonts w:hint="eastAsia"/>
          <w:sz w:val="30"/>
          <w:szCs w:val="30"/>
        </w:rPr>
        <w:t>Similarly, we remember that when Jesus exited Jerusalem on the afternoon before his crucifixion, the disciples asked him to comment on the grandeur of Herod’s temple.</w:t>
      </w:r>
    </w:p>
    <w:p w14:paraId="58E91FF5">
      <w:pPr>
        <w:bidi w:val="0"/>
        <w:rPr>
          <w:rFonts w:hint="eastAsia"/>
          <w:sz w:val="30"/>
          <w:szCs w:val="30"/>
        </w:rPr>
      </w:pPr>
    </w:p>
    <w:p w14:paraId="0212BC80">
      <w:pPr>
        <w:bidi w:val="0"/>
        <w:rPr>
          <w:rFonts w:hint="eastAsia"/>
          <w:sz w:val="30"/>
          <w:szCs w:val="30"/>
        </w:rPr>
      </w:pPr>
      <w:r>
        <w:rPr>
          <w:rFonts w:hint="eastAsia"/>
          <w:sz w:val="30"/>
          <w:szCs w:val="30"/>
        </w:rPr>
        <w:t>同样，我们记得当耶稣在祂被钉十字架前一天的下午离开耶路撒冷时，门徒们请祂评论希律圣殿的宏伟。</w:t>
      </w:r>
    </w:p>
    <w:p w14:paraId="2FB233E1">
      <w:pPr>
        <w:bidi w:val="0"/>
        <w:rPr>
          <w:rFonts w:hint="eastAsia"/>
          <w:sz w:val="30"/>
          <w:szCs w:val="30"/>
        </w:rPr>
      </w:pPr>
    </w:p>
    <w:p w14:paraId="3AC12F31">
      <w:pPr>
        <w:bidi w:val="0"/>
        <w:rPr>
          <w:rFonts w:hint="eastAsia"/>
          <w:sz w:val="30"/>
          <w:szCs w:val="30"/>
        </w:rPr>
      </w:pPr>
      <w:r>
        <w:rPr>
          <w:rFonts w:hint="eastAsia"/>
          <w:sz w:val="30"/>
          <w:szCs w:val="30"/>
        </w:rPr>
        <w:t>Solemnly, he replied, “Do you not see all these things?</w:t>
      </w:r>
    </w:p>
    <w:p w14:paraId="12F3F57E">
      <w:pPr>
        <w:bidi w:val="0"/>
        <w:rPr>
          <w:rFonts w:hint="eastAsia"/>
          <w:sz w:val="30"/>
          <w:szCs w:val="30"/>
        </w:rPr>
      </w:pPr>
    </w:p>
    <w:p w14:paraId="2C7CDD1B">
      <w:pPr>
        <w:bidi w:val="0"/>
        <w:rPr>
          <w:rFonts w:hint="eastAsia"/>
          <w:sz w:val="30"/>
          <w:szCs w:val="30"/>
        </w:rPr>
      </w:pPr>
      <w:r>
        <w:rPr>
          <w:rFonts w:hint="eastAsia"/>
          <w:sz w:val="30"/>
          <w:szCs w:val="30"/>
        </w:rPr>
        <w:t>祂庄严地回答说：“你们不是看见这一切么？</w:t>
      </w:r>
    </w:p>
    <w:p w14:paraId="4BF7F1A5">
      <w:pPr>
        <w:bidi w:val="0"/>
        <w:rPr>
          <w:rFonts w:hint="eastAsia"/>
          <w:sz w:val="30"/>
          <w:szCs w:val="30"/>
        </w:rPr>
      </w:pPr>
    </w:p>
    <w:p w14:paraId="04D20B63">
      <w:pPr>
        <w:bidi w:val="0"/>
        <w:rPr>
          <w:rFonts w:hint="eastAsia"/>
          <w:sz w:val="30"/>
          <w:szCs w:val="30"/>
        </w:rPr>
      </w:pPr>
      <w:r>
        <w:rPr>
          <w:rFonts w:hint="eastAsia"/>
          <w:sz w:val="30"/>
          <w:szCs w:val="30"/>
        </w:rPr>
        <w:t>Truly, I say to you not one stone shall be left here upon another that shall not be thrown down” (Mt. 24:2).</w:t>
      </w:r>
    </w:p>
    <w:p w14:paraId="3B01329C">
      <w:pPr>
        <w:bidi w:val="0"/>
        <w:rPr>
          <w:rFonts w:hint="eastAsia"/>
          <w:sz w:val="30"/>
          <w:szCs w:val="30"/>
        </w:rPr>
      </w:pPr>
    </w:p>
    <w:p w14:paraId="67D0EE65">
      <w:pPr>
        <w:bidi w:val="0"/>
        <w:rPr>
          <w:rFonts w:hint="eastAsia"/>
          <w:sz w:val="30"/>
          <w:szCs w:val="30"/>
        </w:rPr>
      </w:pPr>
      <w:r>
        <w:rPr>
          <w:rFonts w:hint="eastAsia"/>
          <w:sz w:val="30"/>
          <w:szCs w:val="30"/>
        </w:rPr>
        <w:t>我实在告诉你们，将来在这里，没有一块石头留在石头上，不被拆毁了”（太 24:2）。</w:t>
      </w:r>
    </w:p>
    <w:p w14:paraId="07212B24">
      <w:pPr>
        <w:bidi w:val="0"/>
        <w:rPr>
          <w:rFonts w:hint="eastAsia"/>
          <w:sz w:val="30"/>
          <w:szCs w:val="30"/>
        </w:rPr>
      </w:pPr>
    </w:p>
    <w:p w14:paraId="7B1D8007">
      <w:pPr>
        <w:bidi w:val="0"/>
        <w:rPr>
          <w:rFonts w:hint="eastAsia"/>
          <w:sz w:val="30"/>
          <w:szCs w:val="30"/>
        </w:rPr>
      </w:pPr>
      <w:r>
        <w:rPr>
          <w:rFonts w:hint="eastAsia"/>
          <w:sz w:val="30"/>
          <w:szCs w:val="30"/>
        </w:rPr>
        <w:t>This was a shocking word.</w:t>
      </w:r>
    </w:p>
    <w:p w14:paraId="47C23DDB">
      <w:pPr>
        <w:bidi w:val="0"/>
        <w:rPr>
          <w:rFonts w:hint="eastAsia"/>
          <w:sz w:val="30"/>
          <w:szCs w:val="30"/>
        </w:rPr>
      </w:pPr>
    </w:p>
    <w:p w14:paraId="47B57387">
      <w:pPr>
        <w:bidi w:val="0"/>
        <w:rPr>
          <w:rFonts w:hint="eastAsia"/>
          <w:sz w:val="30"/>
          <w:szCs w:val="30"/>
        </w:rPr>
      </w:pPr>
      <w:r>
        <w:rPr>
          <w:rFonts w:hint="eastAsia"/>
          <w:sz w:val="30"/>
          <w:szCs w:val="30"/>
        </w:rPr>
        <w:t>这是一个令人震惊的话。</w:t>
      </w:r>
    </w:p>
    <w:p w14:paraId="316654FD">
      <w:pPr>
        <w:bidi w:val="0"/>
        <w:rPr>
          <w:rFonts w:hint="eastAsia"/>
          <w:sz w:val="30"/>
          <w:szCs w:val="30"/>
        </w:rPr>
      </w:pPr>
    </w:p>
    <w:p w14:paraId="7A9A3CD4">
      <w:pPr>
        <w:bidi w:val="0"/>
        <w:rPr>
          <w:rFonts w:hint="eastAsia"/>
          <w:sz w:val="30"/>
          <w:szCs w:val="30"/>
        </w:rPr>
      </w:pPr>
      <w:r>
        <w:rPr>
          <w:rFonts w:hint="eastAsia"/>
          <w:sz w:val="30"/>
          <w:szCs w:val="30"/>
        </w:rPr>
        <w:t>The temple was the very heart of the nation, the hub of the Jewish ceremonial Law, the locus of all Israel’s sacrifices, and the destination of her pilgrims on all the high holy days.</w:t>
      </w:r>
    </w:p>
    <w:p w14:paraId="1C171496">
      <w:pPr>
        <w:bidi w:val="0"/>
        <w:rPr>
          <w:rFonts w:hint="eastAsia"/>
          <w:sz w:val="30"/>
          <w:szCs w:val="30"/>
        </w:rPr>
      </w:pPr>
    </w:p>
    <w:p w14:paraId="2F2EA012">
      <w:pPr>
        <w:bidi w:val="0"/>
        <w:rPr>
          <w:rFonts w:hint="eastAsia"/>
          <w:sz w:val="30"/>
          <w:szCs w:val="30"/>
        </w:rPr>
      </w:pPr>
      <w:r>
        <w:rPr>
          <w:rFonts w:hint="eastAsia"/>
          <w:sz w:val="30"/>
          <w:szCs w:val="30"/>
        </w:rPr>
        <w:t>圣殿是这国的核心，是犹太礼仪律法的中心，是以色列所有献祭的场所，也是她在所有大圣日里朝圣者的目的地。</w:t>
      </w:r>
    </w:p>
    <w:p w14:paraId="489AF98F">
      <w:pPr>
        <w:bidi w:val="0"/>
        <w:rPr>
          <w:rFonts w:hint="eastAsia"/>
          <w:sz w:val="30"/>
          <w:szCs w:val="30"/>
        </w:rPr>
      </w:pPr>
    </w:p>
    <w:p w14:paraId="1FB6E465">
      <w:pPr>
        <w:bidi w:val="0"/>
        <w:rPr>
          <w:rFonts w:hint="eastAsia"/>
          <w:sz w:val="30"/>
          <w:szCs w:val="30"/>
        </w:rPr>
      </w:pPr>
      <w:r>
        <w:rPr>
          <w:rFonts w:hint="eastAsia"/>
          <w:sz w:val="30"/>
          <w:szCs w:val="30"/>
        </w:rPr>
        <w:t>In effect, its destruction would be the destruction of Judaism, the end of the Mosaic Law.</w:t>
      </w:r>
    </w:p>
    <w:p w14:paraId="720DFAD2">
      <w:pPr>
        <w:bidi w:val="0"/>
        <w:rPr>
          <w:rFonts w:hint="eastAsia"/>
          <w:sz w:val="30"/>
          <w:szCs w:val="30"/>
        </w:rPr>
      </w:pPr>
    </w:p>
    <w:p w14:paraId="0B580E28">
      <w:pPr>
        <w:bidi w:val="0"/>
        <w:rPr>
          <w:rFonts w:hint="eastAsia"/>
          <w:sz w:val="30"/>
          <w:szCs w:val="30"/>
        </w:rPr>
      </w:pPr>
      <w:r>
        <w:rPr>
          <w:rFonts w:hint="eastAsia"/>
          <w:sz w:val="30"/>
          <w:szCs w:val="30"/>
        </w:rPr>
        <w:t>实际上，它的毁灭将是犹太教的毁灭，是摩西律法的终结。</w:t>
      </w:r>
    </w:p>
    <w:p w14:paraId="228BF423">
      <w:pPr>
        <w:bidi w:val="0"/>
        <w:rPr>
          <w:rFonts w:hint="eastAsia"/>
          <w:sz w:val="30"/>
          <w:szCs w:val="30"/>
        </w:rPr>
      </w:pPr>
    </w:p>
    <w:p w14:paraId="46AD34F2">
      <w:pPr>
        <w:bidi w:val="0"/>
        <w:rPr>
          <w:rFonts w:hint="eastAsia"/>
          <w:sz w:val="30"/>
          <w:szCs w:val="30"/>
        </w:rPr>
      </w:pPr>
      <w:r>
        <w:rPr>
          <w:rFonts w:hint="eastAsia"/>
          <w:sz w:val="30"/>
          <w:szCs w:val="30"/>
        </w:rPr>
        <w:t>But this is precisely what Jesus declares.</w:t>
      </w:r>
    </w:p>
    <w:p w14:paraId="7D49B78F">
      <w:pPr>
        <w:bidi w:val="0"/>
        <w:rPr>
          <w:rFonts w:hint="eastAsia"/>
          <w:sz w:val="30"/>
          <w:szCs w:val="30"/>
        </w:rPr>
      </w:pPr>
    </w:p>
    <w:p w14:paraId="3F764917">
      <w:pPr>
        <w:bidi w:val="0"/>
        <w:rPr>
          <w:rFonts w:hint="eastAsia"/>
          <w:sz w:val="30"/>
          <w:szCs w:val="30"/>
        </w:rPr>
      </w:pPr>
      <w:r>
        <w:rPr>
          <w:rFonts w:hint="eastAsia"/>
          <w:sz w:val="30"/>
          <w:szCs w:val="30"/>
        </w:rPr>
        <w:t>但这正是耶稣所宣告的。</w:t>
      </w:r>
    </w:p>
    <w:p w14:paraId="3EBA844C">
      <w:pPr>
        <w:bidi w:val="0"/>
        <w:rPr>
          <w:rFonts w:hint="eastAsia"/>
          <w:sz w:val="30"/>
          <w:szCs w:val="30"/>
        </w:rPr>
      </w:pPr>
    </w:p>
    <w:p w14:paraId="0129C5EF">
      <w:pPr>
        <w:bidi w:val="0"/>
        <w:rPr>
          <w:rFonts w:hint="eastAsia"/>
          <w:sz w:val="30"/>
          <w:szCs w:val="30"/>
        </w:rPr>
      </w:pPr>
      <w:r>
        <w:rPr>
          <w:rFonts w:hint="eastAsia"/>
          <w:sz w:val="30"/>
          <w:szCs w:val="30"/>
        </w:rPr>
        <w:t>God, by his supernatural Power, is about to tear down the veil of the temple at the hand of his Holy Spirit (Mt. 27:51).</w:t>
      </w:r>
    </w:p>
    <w:p w14:paraId="7A839CE5">
      <w:pPr>
        <w:bidi w:val="0"/>
        <w:rPr>
          <w:rFonts w:hint="eastAsia"/>
          <w:sz w:val="30"/>
          <w:szCs w:val="30"/>
        </w:rPr>
      </w:pPr>
    </w:p>
    <w:p w14:paraId="01B40EB5">
      <w:pPr>
        <w:bidi w:val="0"/>
        <w:rPr>
          <w:rFonts w:hint="eastAsia"/>
          <w:sz w:val="30"/>
          <w:szCs w:val="30"/>
        </w:rPr>
      </w:pPr>
      <w:r>
        <w:rPr>
          <w:rFonts w:hint="eastAsia"/>
          <w:sz w:val="30"/>
          <w:szCs w:val="30"/>
        </w:rPr>
        <w:t>神，借着祂超自然的能力，将要借着祂的圣灵之手，撕裂殿的幔子（太 27:51）。</w:t>
      </w:r>
    </w:p>
    <w:p w14:paraId="3FE39305">
      <w:pPr>
        <w:bidi w:val="0"/>
        <w:rPr>
          <w:rFonts w:hint="eastAsia"/>
          <w:sz w:val="30"/>
          <w:szCs w:val="30"/>
        </w:rPr>
      </w:pPr>
    </w:p>
    <w:p w14:paraId="295045FA">
      <w:pPr>
        <w:bidi w:val="0"/>
        <w:rPr>
          <w:rFonts w:hint="eastAsia"/>
          <w:sz w:val="30"/>
          <w:szCs w:val="30"/>
        </w:rPr>
      </w:pPr>
      <w:r>
        <w:rPr>
          <w:rFonts w:hint="eastAsia"/>
          <w:sz w:val="30"/>
          <w:szCs w:val="30"/>
        </w:rPr>
        <w:t>And God, by his Providence, is about to tear down the temple itself at the hand of Rome.</w:t>
      </w:r>
    </w:p>
    <w:p w14:paraId="18755AE3">
      <w:pPr>
        <w:bidi w:val="0"/>
        <w:rPr>
          <w:rFonts w:hint="eastAsia"/>
          <w:sz w:val="30"/>
          <w:szCs w:val="30"/>
        </w:rPr>
      </w:pPr>
    </w:p>
    <w:p w14:paraId="291D9434">
      <w:pPr>
        <w:bidi w:val="0"/>
        <w:rPr>
          <w:rFonts w:hint="eastAsia"/>
          <w:sz w:val="30"/>
          <w:szCs w:val="30"/>
        </w:rPr>
      </w:pPr>
      <w:r>
        <w:rPr>
          <w:rFonts w:hint="eastAsia"/>
          <w:sz w:val="30"/>
          <w:szCs w:val="30"/>
        </w:rPr>
        <w:t>并且神，借着祂的护理，将要借着罗马之手，拆毁圣殿本身。</w:t>
      </w:r>
    </w:p>
    <w:p w14:paraId="3AE185F0">
      <w:pPr>
        <w:bidi w:val="0"/>
        <w:rPr>
          <w:rFonts w:hint="eastAsia"/>
          <w:sz w:val="30"/>
          <w:szCs w:val="30"/>
        </w:rPr>
      </w:pPr>
    </w:p>
    <w:p w14:paraId="12BB3040">
      <w:pPr>
        <w:bidi w:val="0"/>
        <w:rPr>
          <w:rFonts w:hint="eastAsia"/>
          <w:sz w:val="30"/>
          <w:szCs w:val="30"/>
        </w:rPr>
      </w:pPr>
      <w:r>
        <w:rPr>
          <w:rFonts w:hint="eastAsia"/>
          <w:sz w:val="30"/>
          <w:szCs w:val="30"/>
        </w:rPr>
        <w:t>Like the Law itself, neither emblem of the Law will ever rise again.</w:t>
      </w:r>
    </w:p>
    <w:p w14:paraId="7584B808">
      <w:pPr>
        <w:bidi w:val="0"/>
        <w:rPr>
          <w:rFonts w:hint="eastAsia"/>
          <w:sz w:val="30"/>
          <w:szCs w:val="30"/>
        </w:rPr>
      </w:pPr>
    </w:p>
    <w:p w14:paraId="6348B6F5">
      <w:pPr>
        <w:bidi w:val="0"/>
        <w:rPr>
          <w:rFonts w:hint="eastAsia"/>
          <w:sz w:val="30"/>
          <w:szCs w:val="30"/>
        </w:rPr>
      </w:pPr>
      <w:r>
        <w:rPr>
          <w:rFonts w:hint="eastAsia"/>
          <w:sz w:val="30"/>
          <w:szCs w:val="30"/>
        </w:rPr>
        <w:t>像律法本身一样，律法的这两个象征都将永不再起。</w:t>
      </w:r>
    </w:p>
    <w:p w14:paraId="398E8AB2">
      <w:pPr>
        <w:bidi w:val="0"/>
        <w:rPr>
          <w:rFonts w:hint="eastAsia"/>
          <w:sz w:val="30"/>
          <w:szCs w:val="30"/>
        </w:rPr>
      </w:pPr>
    </w:p>
    <w:p w14:paraId="020D86B9">
      <w:pPr>
        <w:bidi w:val="0"/>
        <w:rPr>
          <w:rFonts w:hint="eastAsia"/>
          <w:sz w:val="30"/>
          <w:szCs w:val="30"/>
        </w:rPr>
      </w:pPr>
      <w:r>
        <w:rPr>
          <w:rFonts w:hint="eastAsia"/>
          <w:sz w:val="30"/>
          <w:szCs w:val="30"/>
        </w:rPr>
        <w:t>We conclude, then, that Jesus could not possibly have thought of the Kingdom as an ideal Mosaic theocracy, since he clearly believed that in fulfilling the Mosaic Law he was making it forever obsolete.</w:t>
      </w:r>
    </w:p>
    <w:p w14:paraId="47562641">
      <w:pPr>
        <w:bidi w:val="0"/>
        <w:rPr>
          <w:rFonts w:hint="eastAsia"/>
          <w:sz w:val="30"/>
          <w:szCs w:val="30"/>
        </w:rPr>
      </w:pPr>
    </w:p>
    <w:p w14:paraId="57D5D305">
      <w:pPr>
        <w:bidi w:val="0"/>
        <w:rPr>
          <w:rFonts w:hint="eastAsia"/>
          <w:sz w:val="30"/>
          <w:szCs w:val="30"/>
        </w:rPr>
      </w:pPr>
      <w:r>
        <w:rPr>
          <w:rFonts w:hint="eastAsia"/>
          <w:sz w:val="30"/>
          <w:szCs w:val="30"/>
        </w:rPr>
        <w:t>那么，我们得出结论，耶稣不可能将国度视为一个理想的摩西式神权政体，因为祂清楚地相信，在成全摩西律法时，祂正在使其永远过时。</w:t>
      </w:r>
    </w:p>
    <w:p w14:paraId="48ECC185">
      <w:pPr>
        <w:bidi w:val="0"/>
        <w:rPr>
          <w:rFonts w:hint="eastAsia"/>
          <w:sz w:val="30"/>
          <w:szCs w:val="30"/>
        </w:rPr>
      </w:pPr>
    </w:p>
    <w:p w14:paraId="44AE752A">
      <w:pPr>
        <w:bidi w:val="0"/>
        <w:rPr>
          <w:rFonts w:hint="eastAsia"/>
          <w:sz w:val="30"/>
          <w:szCs w:val="30"/>
        </w:rPr>
      </w:pPr>
      <w:r>
        <w:rPr>
          <w:rFonts w:hint="eastAsia"/>
          <w:sz w:val="30"/>
          <w:szCs w:val="30"/>
        </w:rPr>
        <w:t>This brings us to a final and closely related point: Jesus taught that in fulfilling the several institutions of the Mosaic Law, he was replacing them with new ones, once and for all.</w:t>
      </w:r>
    </w:p>
    <w:p w14:paraId="19B8048C">
      <w:pPr>
        <w:bidi w:val="0"/>
        <w:rPr>
          <w:rFonts w:hint="eastAsia"/>
          <w:sz w:val="30"/>
          <w:szCs w:val="30"/>
        </w:rPr>
      </w:pPr>
    </w:p>
    <w:p w14:paraId="70E51AA2">
      <w:pPr>
        <w:bidi w:val="0"/>
        <w:rPr>
          <w:rFonts w:hint="eastAsia"/>
          <w:sz w:val="30"/>
          <w:szCs w:val="30"/>
        </w:rPr>
      </w:pPr>
      <w:r>
        <w:rPr>
          <w:rFonts w:hint="eastAsia"/>
          <w:sz w:val="30"/>
          <w:szCs w:val="30"/>
        </w:rPr>
        <w:t>这就把我们带到了最后一个且紧密相关的点：耶稣教导说，在成全摩西律法的几项制度时，祂正在用新的制度来取代它们，一劳永逸。</w:t>
      </w:r>
    </w:p>
    <w:p w14:paraId="4F0355BC">
      <w:pPr>
        <w:bidi w:val="0"/>
        <w:rPr>
          <w:rFonts w:hint="eastAsia"/>
          <w:sz w:val="30"/>
          <w:szCs w:val="30"/>
        </w:rPr>
      </w:pPr>
    </w:p>
    <w:p w14:paraId="09E4F183">
      <w:pPr>
        <w:bidi w:val="0"/>
        <w:rPr>
          <w:rFonts w:hint="eastAsia"/>
          <w:sz w:val="30"/>
          <w:szCs w:val="30"/>
        </w:rPr>
      </w:pPr>
      <w:r>
        <w:rPr>
          <w:rFonts w:hint="eastAsia"/>
          <w:sz w:val="30"/>
          <w:szCs w:val="30"/>
        </w:rPr>
        <w:t>The anti-type fulfills the type, and so replaces it.</w:t>
      </w:r>
    </w:p>
    <w:p w14:paraId="235B124B">
      <w:pPr>
        <w:bidi w:val="0"/>
        <w:rPr>
          <w:rFonts w:hint="eastAsia"/>
          <w:sz w:val="30"/>
          <w:szCs w:val="30"/>
        </w:rPr>
      </w:pPr>
    </w:p>
    <w:p w14:paraId="4AC4E9E1">
      <w:pPr>
        <w:bidi w:val="0"/>
        <w:rPr>
          <w:rFonts w:hint="eastAsia"/>
          <w:sz w:val="30"/>
          <w:szCs w:val="30"/>
        </w:rPr>
      </w:pPr>
      <w:r>
        <w:rPr>
          <w:rFonts w:hint="eastAsia"/>
          <w:sz w:val="30"/>
          <w:szCs w:val="30"/>
        </w:rPr>
        <w:t>实体成全了预表，因此取代了它。</w:t>
      </w:r>
    </w:p>
    <w:p w14:paraId="70DE5CFA">
      <w:pPr>
        <w:bidi w:val="0"/>
        <w:rPr>
          <w:rFonts w:hint="eastAsia"/>
          <w:sz w:val="30"/>
          <w:szCs w:val="30"/>
        </w:rPr>
      </w:pPr>
    </w:p>
    <w:p w14:paraId="47E07C40">
      <w:pPr>
        <w:bidi w:val="0"/>
        <w:rPr>
          <w:rFonts w:hint="eastAsia"/>
          <w:sz w:val="30"/>
          <w:szCs w:val="30"/>
        </w:rPr>
      </w:pPr>
      <w:r>
        <w:rPr>
          <w:rFonts w:hint="eastAsia"/>
          <w:sz w:val="30"/>
          <w:szCs w:val="30"/>
        </w:rPr>
        <w:t>The greater fulfills the lesser, and so supplants it.</w:t>
      </w:r>
    </w:p>
    <w:p w14:paraId="6CF186E2">
      <w:pPr>
        <w:bidi w:val="0"/>
        <w:rPr>
          <w:rFonts w:hint="eastAsia"/>
          <w:sz w:val="30"/>
          <w:szCs w:val="30"/>
        </w:rPr>
      </w:pPr>
    </w:p>
    <w:p w14:paraId="2140016F">
      <w:pPr>
        <w:bidi w:val="0"/>
        <w:rPr>
          <w:rFonts w:hint="eastAsia"/>
          <w:sz w:val="30"/>
          <w:szCs w:val="30"/>
        </w:rPr>
      </w:pPr>
      <w:r>
        <w:rPr>
          <w:rFonts w:hint="eastAsia"/>
          <w:sz w:val="30"/>
          <w:szCs w:val="30"/>
        </w:rPr>
        <w:t>更大的成全了更小的，因此取代了它。</w:t>
      </w:r>
    </w:p>
    <w:p w14:paraId="77CFC8F2">
      <w:pPr>
        <w:bidi w:val="0"/>
        <w:rPr>
          <w:rFonts w:hint="eastAsia"/>
          <w:sz w:val="30"/>
          <w:szCs w:val="30"/>
        </w:rPr>
      </w:pPr>
    </w:p>
    <w:p w14:paraId="0C1F200D">
      <w:pPr>
        <w:bidi w:val="0"/>
        <w:rPr>
          <w:rFonts w:hint="eastAsia"/>
          <w:sz w:val="30"/>
          <w:szCs w:val="30"/>
        </w:rPr>
      </w:pPr>
      <w:r>
        <w:rPr>
          <w:rFonts w:hint="eastAsia"/>
          <w:sz w:val="30"/>
          <w:szCs w:val="30"/>
        </w:rPr>
        <w:t>The heavenly body, shaped in eternity past, fulfills the earthly shadow, and so floods the room with a light that expels all shadows (Col. 2:17).</w:t>
      </w:r>
    </w:p>
    <w:p w14:paraId="55E09442">
      <w:pPr>
        <w:bidi w:val="0"/>
        <w:rPr>
          <w:rFonts w:hint="eastAsia"/>
          <w:sz w:val="30"/>
          <w:szCs w:val="30"/>
        </w:rPr>
      </w:pPr>
    </w:p>
    <w:p w14:paraId="5AC58B65">
      <w:pPr>
        <w:bidi w:val="0"/>
        <w:rPr>
          <w:rFonts w:hint="eastAsia"/>
          <w:sz w:val="30"/>
          <w:szCs w:val="30"/>
        </w:rPr>
      </w:pPr>
      <w:r>
        <w:rPr>
          <w:rFonts w:hint="eastAsia"/>
          <w:sz w:val="30"/>
          <w:szCs w:val="30"/>
        </w:rPr>
        <w:t>那在永恒的过去成形的天上实体，成全了属地的影儿，因此用一道驱散所有影儿的光充满了房间（西 2:17）。</w:t>
      </w:r>
    </w:p>
    <w:p w14:paraId="7D52D058">
      <w:pPr>
        <w:bidi w:val="0"/>
        <w:rPr>
          <w:rFonts w:hint="eastAsia"/>
          <w:sz w:val="30"/>
          <w:szCs w:val="30"/>
        </w:rPr>
      </w:pPr>
    </w:p>
    <w:p w14:paraId="1FEE6668">
      <w:pPr>
        <w:bidi w:val="0"/>
        <w:rPr>
          <w:rFonts w:hint="eastAsia"/>
          <w:sz w:val="30"/>
          <w:szCs w:val="30"/>
        </w:rPr>
      </w:pPr>
      <w:r>
        <w:rPr>
          <w:rFonts w:hint="eastAsia"/>
          <w:sz w:val="30"/>
          <w:szCs w:val="30"/>
        </w:rPr>
        <w:t>There is no going back.</w:t>
      </w:r>
    </w:p>
    <w:p w14:paraId="38ADA3FC">
      <w:pPr>
        <w:bidi w:val="0"/>
        <w:rPr>
          <w:rFonts w:hint="eastAsia"/>
          <w:sz w:val="30"/>
          <w:szCs w:val="30"/>
        </w:rPr>
      </w:pPr>
    </w:p>
    <w:p w14:paraId="226CDAE6">
      <w:pPr>
        <w:bidi w:val="0"/>
        <w:rPr>
          <w:rFonts w:hint="eastAsia"/>
          <w:sz w:val="30"/>
          <w:szCs w:val="30"/>
        </w:rPr>
      </w:pPr>
      <w:r>
        <w:rPr>
          <w:rFonts w:hint="eastAsia"/>
          <w:sz w:val="30"/>
          <w:szCs w:val="30"/>
        </w:rPr>
        <w:t>没有回头路了。</w:t>
      </w:r>
    </w:p>
    <w:p w14:paraId="15947219">
      <w:pPr>
        <w:bidi w:val="0"/>
        <w:rPr>
          <w:rFonts w:hint="eastAsia"/>
          <w:sz w:val="30"/>
          <w:szCs w:val="30"/>
        </w:rPr>
      </w:pPr>
    </w:p>
    <w:p w14:paraId="35BAFAE6">
      <w:pPr>
        <w:bidi w:val="0"/>
        <w:rPr>
          <w:rFonts w:hint="eastAsia"/>
          <w:sz w:val="30"/>
          <w:szCs w:val="30"/>
        </w:rPr>
      </w:pPr>
      <w:r>
        <w:rPr>
          <w:rFonts w:hint="eastAsia"/>
          <w:sz w:val="30"/>
          <w:szCs w:val="30"/>
        </w:rPr>
        <w:t>In order to understand this idea of replacement better, let us consider a few examples, drawn more or less exclusively from the teaching of the High King himself.</w:t>
      </w:r>
    </w:p>
    <w:p w14:paraId="2D2172E9">
      <w:pPr>
        <w:bidi w:val="0"/>
        <w:rPr>
          <w:rFonts w:hint="eastAsia"/>
          <w:sz w:val="30"/>
          <w:szCs w:val="30"/>
        </w:rPr>
      </w:pPr>
    </w:p>
    <w:p w14:paraId="22DB35C2">
      <w:pPr>
        <w:bidi w:val="0"/>
        <w:rPr>
          <w:rFonts w:hint="eastAsia"/>
          <w:sz w:val="30"/>
          <w:szCs w:val="30"/>
        </w:rPr>
      </w:pPr>
      <w:r>
        <w:rPr>
          <w:rFonts w:hint="eastAsia"/>
          <w:sz w:val="30"/>
          <w:szCs w:val="30"/>
        </w:rPr>
        <w:t>为了更好地理解这个替代的观念，让我们思考几个例子，这些例子或多或少地完全取自至高君王自己的教导。</w:t>
      </w:r>
    </w:p>
    <w:p w14:paraId="5C5FAA99">
      <w:pPr>
        <w:bidi w:val="0"/>
        <w:rPr>
          <w:rFonts w:hint="eastAsia"/>
          <w:sz w:val="30"/>
          <w:szCs w:val="30"/>
        </w:rPr>
      </w:pPr>
    </w:p>
    <w:p w14:paraId="26EA3FCB">
      <w:pPr>
        <w:bidi w:val="0"/>
        <w:rPr>
          <w:rFonts w:hint="eastAsia"/>
          <w:sz w:val="30"/>
          <w:szCs w:val="30"/>
        </w:rPr>
      </w:pPr>
      <w:r>
        <w:rPr>
          <w:rFonts w:hint="eastAsia"/>
          <w:sz w:val="30"/>
          <w:szCs w:val="30"/>
        </w:rPr>
        <w:t>We have just seen that Jesus presented himself as the supreme Mediator, a greater than Moses, bringing in a new and greater covenant.</w:t>
      </w:r>
    </w:p>
    <w:p w14:paraId="5CA7BA4F">
      <w:pPr>
        <w:bidi w:val="0"/>
        <w:rPr>
          <w:rFonts w:hint="eastAsia"/>
          <w:sz w:val="30"/>
          <w:szCs w:val="30"/>
        </w:rPr>
      </w:pPr>
    </w:p>
    <w:p w14:paraId="5485BF3C">
      <w:pPr>
        <w:bidi w:val="0"/>
        <w:rPr>
          <w:rFonts w:hint="eastAsia"/>
          <w:sz w:val="30"/>
          <w:szCs w:val="30"/>
        </w:rPr>
      </w:pPr>
      <w:r>
        <w:rPr>
          <w:rFonts w:hint="eastAsia"/>
          <w:sz w:val="30"/>
          <w:szCs w:val="30"/>
        </w:rPr>
        <w:t>我们刚才看到，耶稣将自己呈现为至高的中保，一位比摩西更大的，带来了一个新的、更大的约。</w:t>
      </w:r>
    </w:p>
    <w:p w14:paraId="73E49C44">
      <w:pPr>
        <w:bidi w:val="0"/>
        <w:rPr>
          <w:rFonts w:hint="eastAsia"/>
          <w:sz w:val="30"/>
          <w:szCs w:val="30"/>
        </w:rPr>
      </w:pPr>
    </w:p>
    <w:p w14:paraId="78B63514">
      <w:pPr>
        <w:bidi w:val="0"/>
        <w:rPr>
          <w:rFonts w:hint="eastAsia"/>
          <w:sz w:val="30"/>
          <w:szCs w:val="30"/>
        </w:rPr>
      </w:pPr>
      <w:r>
        <w:rPr>
          <w:rFonts w:hint="eastAsia"/>
          <w:sz w:val="30"/>
          <w:szCs w:val="30"/>
        </w:rPr>
        <w:t>Christ and his covenant are therefore replacing Moses and his.</w:t>
      </w:r>
    </w:p>
    <w:p w14:paraId="22B38634">
      <w:pPr>
        <w:bidi w:val="0"/>
        <w:rPr>
          <w:rFonts w:hint="eastAsia"/>
          <w:sz w:val="30"/>
          <w:szCs w:val="30"/>
        </w:rPr>
      </w:pPr>
    </w:p>
    <w:p w14:paraId="69F38930">
      <w:pPr>
        <w:bidi w:val="0"/>
        <w:rPr>
          <w:rFonts w:hint="eastAsia"/>
          <w:sz w:val="30"/>
          <w:szCs w:val="30"/>
        </w:rPr>
      </w:pPr>
      <w:r>
        <w:rPr>
          <w:rFonts w:hint="eastAsia"/>
          <w:sz w:val="30"/>
          <w:szCs w:val="30"/>
        </w:rPr>
        <w:t>因此，基督和祂的约正在取代摩西和他的约。</w:t>
      </w:r>
    </w:p>
    <w:p w14:paraId="35B9AA36">
      <w:pPr>
        <w:bidi w:val="0"/>
        <w:rPr>
          <w:rFonts w:hint="eastAsia"/>
          <w:sz w:val="30"/>
          <w:szCs w:val="30"/>
        </w:rPr>
      </w:pPr>
    </w:p>
    <w:p w14:paraId="1B56DFB7">
      <w:pPr>
        <w:bidi w:val="0"/>
        <w:rPr>
          <w:rFonts w:hint="eastAsia"/>
          <w:sz w:val="30"/>
          <w:szCs w:val="30"/>
        </w:rPr>
      </w:pPr>
      <w:r>
        <w:rPr>
          <w:rFonts w:hint="eastAsia"/>
          <w:sz w:val="30"/>
          <w:szCs w:val="30"/>
        </w:rPr>
        <w:t>Jesus is also the supreme Prophet, a greater than Moses, Elijah, or John the Baptist, and so replaces all former prophets as the authoritative spokesman of God and teacher of his people (Mt. 17:1f, Mt. 23:10, Mark 8:28, John 9:17, Acts 3:22).</w:t>
      </w:r>
    </w:p>
    <w:p w14:paraId="0BAB7CDA">
      <w:pPr>
        <w:bidi w:val="0"/>
        <w:rPr>
          <w:rFonts w:hint="eastAsia"/>
          <w:sz w:val="30"/>
          <w:szCs w:val="30"/>
        </w:rPr>
      </w:pPr>
    </w:p>
    <w:p w14:paraId="19CB81C2">
      <w:pPr>
        <w:bidi w:val="0"/>
        <w:rPr>
          <w:rFonts w:hint="eastAsia"/>
          <w:sz w:val="30"/>
          <w:szCs w:val="30"/>
        </w:rPr>
      </w:pPr>
      <w:r>
        <w:rPr>
          <w:rFonts w:hint="eastAsia"/>
          <w:sz w:val="30"/>
          <w:szCs w:val="30"/>
        </w:rPr>
        <w:t>耶稣也是至高的申言者，一位比摩西、以利亚或施浸者约翰更大的，因此取代了所有先前的申言者，成为神权威的发言人和祂子民的教师（太 17:1及以下, 太 23:10, 马可福音 8:28, 约翰福音 9:17, 使徒行传 3:22）。</w:t>
      </w:r>
    </w:p>
    <w:p w14:paraId="7D8C2F1A">
      <w:pPr>
        <w:bidi w:val="0"/>
        <w:rPr>
          <w:rFonts w:hint="eastAsia"/>
          <w:sz w:val="30"/>
          <w:szCs w:val="30"/>
        </w:rPr>
      </w:pPr>
    </w:p>
    <w:p w14:paraId="2E5CED8A">
      <w:pPr>
        <w:bidi w:val="0"/>
        <w:rPr>
          <w:rFonts w:hint="eastAsia"/>
          <w:sz w:val="30"/>
          <w:szCs w:val="30"/>
        </w:rPr>
      </w:pPr>
      <w:r>
        <w:rPr>
          <w:rFonts w:hint="eastAsia"/>
          <w:sz w:val="30"/>
          <w:szCs w:val="30"/>
        </w:rPr>
        <w:t>He is the supreme Priest, a greater than Levi, and so replaces Levi as the one who intercedes for God’s people (Luke 23:34, John 17), offers sacrifice for their sin (John 10:11, 17:19), and assures the penitent of God’s mercy and forgiveness (Mt. 9:2, Luke 7:48, 24:43, John 20:23).</w:t>
      </w:r>
    </w:p>
    <w:p w14:paraId="5E88D84B">
      <w:pPr>
        <w:bidi w:val="0"/>
        <w:rPr>
          <w:rFonts w:hint="eastAsia"/>
          <w:sz w:val="30"/>
          <w:szCs w:val="30"/>
        </w:rPr>
      </w:pPr>
    </w:p>
    <w:p w14:paraId="62EBE79A">
      <w:pPr>
        <w:bidi w:val="0"/>
        <w:rPr>
          <w:rFonts w:hint="eastAsia"/>
          <w:sz w:val="30"/>
          <w:szCs w:val="30"/>
        </w:rPr>
      </w:pPr>
      <w:r>
        <w:rPr>
          <w:rFonts w:hint="eastAsia"/>
          <w:sz w:val="30"/>
          <w:szCs w:val="30"/>
        </w:rPr>
        <w:t>祂是至高的大祭司，一位比利未更大的，因此取代了利未，成为那为神的子民代求（路加福音 23:34, 约翰福音 17）、为他们的罪献祭（约翰福音 10:11, 17:19），并向悔改的人保证神的怜悯和赦免的一位（太 9:2, 路加福音 7:48, 24:43, 约翰福音 20:23）。</w:t>
      </w:r>
    </w:p>
    <w:p w14:paraId="791BAD8E">
      <w:pPr>
        <w:bidi w:val="0"/>
        <w:rPr>
          <w:rFonts w:hint="eastAsia"/>
          <w:sz w:val="30"/>
          <w:szCs w:val="30"/>
        </w:rPr>
      </w:pPr>
    </w:p>
    <w:p w14:paraId="0FBF471E">
      <w:pPr>
        <w:bidi w:val="0"/>
        <w:rPr>
          <w:rFonts w:hint="eastAsia"/>
          <w:sz w:val="30"/>
          <w:szCs w:val="30"/>
        </w:rPr>
      </w:pPr>
      <w:r>
        <w:rPr>
          <w:rFonts w:hint="eastAsia"/>
          <w:sz w:val="30"/>
          <w:szCs w:val="30"/>
        </w:rPr>
        <w:t>He is the supreme Sacrifice, a greater than all the animal sacrifices offered under the Law, and so replaces them as the one Lamb of God who gives his life a ransom for many, thereby taking away the sin of the new world for which he died (Mk. 10:45, John 1:29).</w:t>
      </w:r>
    </w:p>
    <w:p w14:paraId="3B252379">
      <w:pPr>
        <w:bidi w:val="0"/>
        <w:rPr>
          <w:rFonts w:hint="eastAsia"/>
          <w:sz w:val="30"/>
          <w:szCs w:val="30"/>
        </w:rPr>
      </w:pPr>
    </w:p>
    <w:p w14:paraId="37516FE7">
      <w:pPr>
        <w:bidi w:val="0"/>
        <w:rPr>
          <w:rFonts w:hint="eastAsia"/>
          <w:sz w:val="30"/>
          <w:szCs w:val="30"/>
        </w:rPr>
      </w:pPr>
      <w:r>
        <w:rPr>
          <w:rFonts w:hint="eastAsia"/>
          <w:sz w:val="30"/>
          <w:szCs w:val="30"/>
        </w:rPr>
        <w:t>祂是至高的祭物，一位比律法下所献的一切动物献祭更大的，因此取代了它们，成为那一位神的羔羊，祂舍命作多人的赎价，从而除去祂为其而死之新世界的罪（可 10:45, 约 1:29）。</w:t>
      </w:r>
    </w:p>
    <w:p w14:paraId="3CCB7745">
      <w:pPr>
        <w:bidi w:val="0"/>
        <w:rPr>
          <w:rFonts w:hint="eastAsia"/>
          <w:sz w:val="30"/>
          <w:szCs w:val="30"/>
        </w:rPr>
      </w:pPr>
    </w:p>
    <w:p w14:paraId="341FCD40">
      <w:pPr>
        <w:bidi w:val="0"/>
        <w:rPr>
          <w:rFonts w:hint="eastAsia"/>
          <w:sz w:val="30"/>
          <w:szCs w:val="30"/>
        </w:rPr>
      </w:pPr>
      <w:r>
        <w:rPr>
          <w:rFonts w:hint="eastAsia"/>
          <w:sz w:val="30"/>
          <w:szCs w:val="30"/>
        </w:rPr>
        <w:t>He is the true Temple, a greater than Herod’s, and so replaces Herod’s with his own Body, which is the true and eternal Tabernacle of God (Mt. 12:6, John 2:19, John 10:38).</w:t>
      </w:r>
    </w:p>
    <w:p w14:paraId="10B97E86">
      <w:pPr>
        <w:bidi w:val="0"/>
        <w:rPr>
          <w:rFonts w:hint="eastAsia"/>
          <w:sz w:val="30"/>
          <w:szCs w:val="30"/>
        </w:rPr>
      </w:pPr>
    </w:p>
    <w:p w14:paraId="3D794D2D">
      <w:pPr>
        <w:bidi w:val="0"/>
        <w:rPr>
          <w:rFonts w:hint="eastAsia"/>
          <w:sz w:val="30"/>
          <w:szCs w:val="30"/>
        </w:rPr>
      </w:pPr>
      <w:r>
        <w:rPr>
          <w:rFonts w:hint="eastAsia"/>
          <w:sz w:val="30"/>
          <w:szCs w:val="30"/>
        </w:rPr>
        <w:t>祂是真圣殿，一位比希律的更大的，因此用祂自己的身体取代了希律的圣殿，这身体是神真实且永恒的帐幕（太 12:6, 约 2:19, 约 10:38）。</w:t>
      </w:r>
    </w:p>
    <w:p w14:paraId="45E8AEAA">
      <w:pPr>
        <w:bidi w:val="0"/>
        <w:rPr>
          <w:rFonts w:hint="eastAsia"/>
          <w:sz w:val="30"/>
          <w:szCs w:val="30"/>
        </w:rPr>
      </w:pPr>
    </w:p>
    <w:p w14:paraId="615A989C">
      <w:pPr>
        <w:bidi w:val="0"/>
        <w:rPr>
          <w:rFonts w:hint="eastAsia"/>
          <w:sz w:val="30"/>
          <w:szCs w:val="30"/>
        </w:rPr>
      </w:pPr>
      <w:r>
        <w:rPr>
          <w:rFonts w:hint="eastAsia"/>
          <w:sz w:val="30"/>
          <w:szCs w:val="30"/>
        </w:rPr>
        <w:t>Moreover, because of this, his people no longer worship the Father on earthly Zion, but on the Zion above, in spirit and in truth, whenever they wish and wherever their physical bodies happen to be.</w:t>
      </w:r>
    </w:p>
    <w:p w14:paraId="5065CC80">
      <w:pPr>
        <w:bidi w:val="0"/>
        <w:rPr>
          <w:rFonts w:hint="eastAsia"/>
          <w:sz w:val="30"/>
          <w:szCs w:val="30"/>
        </w:rPr>
      </w:pPr>
    </w:p>
    <w:p w14:paraId="0C50CD07">
      <w:pPr>
        <w:bidi w:val="0"/>
        <w:rPr>
          <w:rFonts w:hint="eastAsia"/>
          <w:sz w:val="30"/>
          <w:szCs w:val="30"/>
        </w:rPr>
      </w:pPr>
      <w:r>
        <w:rPr>
          <w:rFonts w:hint="eastAsia"/>
          <w:sz w:val="30"/>
          <w:szCs w:val="30"/>
        </w:rPr>
        <w:t>此外，正因如此，祂的子民不再在属地的锡安上敬拜父，而是在那在上的锡安，在灵和真实里敬拜，无论他们何时何地，他们的肉身在何处。</w:t>
      </w:r>
    </w:p>
    <w:p w14:paraId="1C3C7851">
      <w:pPr>
        <w:bidi w:val="0"/>
        <w:rPr>
          <w:rFonts w:hint="eastAsia"/>
          <w:sz w:val="30"/>
          <w:szCs w:val="30"/>
        </w:rPr>
      </w:pPr>
    </w:p>
    <w:p w14:paraId="2EDE911F">
      <w:pPr>
        <w:bidi w:val="0"/>
        <w:rPr>
          <w:rFonts w:hint="eastAsia"/>
          <w:sz w:val="30"/>
          <w:szCs w:val="30"/>
        </w:rPr>
      </w:pPr>
      <w:r>
        <w:rPr>
          <w:rFonts w:hint="eastAsia"/>
          <w:sz w:val="30"/>
          <w:szCs w:val="30"/>
        </w:rPr>
        <w:t>In short, NT worship in spirit and truth replaces OT worship in Jerusalem (John 4:21f, 14:20, 17:23, Gal. 4:26, Heb. 12:22, Rev. 14:1f).</w:t>
      </w:r>
    </w:p>
    <w:p w14:paraId="234FC208">
      <w:pPr>
        <w:bidi w:val="0"/>
        <w:rPr>
          <w:rFonts w:hint="eastAsia"/>
          <w:sz w:val="30"/>
          <w:szCs w:val="30"/>
        </w:rPr>
      </w:pPr>
    </w:p>
    <w:p w14:paraId="4C1A4EFF">
      <w:pPr>
        <w:bidi w:val="0"/>
        <w:rPr>
          <w:rFonts w:hint="eastAsia"/>
          <w:sz w:val="30"/>
          <w:szCs w:val="30"/>
        </w:rPr>
      </w:pPr>
      <w:r>
        <w:rPr>
          <w:rFonts w:hint="eastAsia"/>
          <w:sz w:val="30"/>
          <w:szCs w:val="30"/>
        </w:rPr>
        <w:t>简而言之，新约在灵和真实里的敬拜，取代了旧约在耶路撒冷的敬拜（约 4:21及以下, 14:20, 17:23, 加 4:26, 来 12:22, 启 14:1及以下）。</w:t>
      </w:r>
    </w:p>
    <w:p w14:paraId="1010A7C4">
      <w:pPr>
        <w:bidi w:val="0"/>
        <w:rPr>
          <w:rFonts w:hint="eastAsia"/>
          <w:sz w:val="30"/>
          <w:szCs w:val="30"/>
        </w:rPr>
      </w:pPr>
    </w:p>
    <w:p w14:paraId="5C1D6C93">
      <w:pPr>
        <w:bidi w:val="0"/>
        <w:rPr>
          <w:rFonts w:hint="eastAsia"/>
          <w:sz w:val="30"/>
          <w:szCs w:val="30"/>
        </w:rPr>
      </w:pPr>
      <w:r>
        <w:rPr>
          <w:rFonts w:hint="eastAsia"/>
          <w:sz w:val="30"/>
          <w:szCs w:val="30"/>
        </w:rPr>
        <w:t>He is the true Sabbath, a greater than the Israelite Sabbath, and Lord over it, with authority from God to give his people true spiritual rest, as well as the Spirit-led worship and work that properly arise from it (Mt. 11:28, 12:48, John 6:29, 15:1f, 19:30).</w:t>
      </w:r>
    </w:p>
    <w:p w14:paraId="2B29D4BB">
      <w:pPr>
        <w:bidi w:val="0"/>
        <w:rPr>
          <w:rFonts w:hint="eastAsia"/>
          <w:sz w:val="30"/>
          <w:szCs w:val="30"/>
        </w:rPr>
      </w:pPr>
    </w:p>
    <w:p w14:paraId="10F4927F">
      <w:pPr>
        <w:bidi w:val="0"/>
        <w:rPr>
          <w:rFonts w:hint="eastAsia"/>
          <w:sz w:val="30"/>
          <w:szCs w:val="30"/>
        </w:rPr>
      </w:pPr>
      <w:r>
        <w:rPr>
          <w:rFonts w:hint="eastAsia"/>
          <w:sz w:val="30"/>
          <w:szCs w:val="30"/>
        </w:rPr>
        <w:t>祂是真安息日，一位比以色列的安息日更大的，并且是安息日的主，有来自神的权柄，赐给祂的子民真正的属灵安息，以及从其中恰当生发的、由圣灵引导的敬拜和工作（太 11:28, 12:48, 约 6:29, 15:1及以下, 19:30）。</w:t>
      </w:r>
    </w:p>
    <w:p w14:paraId="16C3D16D">
      <w:pPr>
        <w:bidi w:val="0"/>
        <w:rPr>
          <w:rFonts w:hint="eastAsia"/>
          <w:sz w:val="30"/>
          <w:szCs w:val="30"/>
        </w:rPr>
      </w:pPr>
    </w:p>
    <w:p w14:paraId="3FA3EA5D">
      <w:pPr>
        <w:bidi w:val="0"/>
        <w:rPr>
          <w:rFonts w:hint="eastAsia"/>
          <w:sz w:val="30"/>
          <w:szCs w:val="30"/>
        </w:rPr>
      </w:pPr>
      <w:r>
        <w:rPr>
          <w:rFonts w:hint="eastAsia"/>
          <w:sz w:val="30"/>
          <w:szCs w:val="30"/>
        </w:rPr>
        <w:t>He is the true Passover Lamb—and his death the true Passover sacrifice —so that henceforth the Passover Feast is replaced with the Lord’s Supper, wherein Christ’s people remember, celebrate, and re-appropriate their spiritual rescue from the world, the flesh, and the devil, and their spiritual restoration to God (Mt. 26:17-30, Mark 14:12-26, Luke 22:7-23, John 5:24).</w:t>
      </w:r>
    </w:p>
    <w:p w14:paraId="31ECAABC">
      <w:pPr>
        <w:bidi w:val="0"/>
        <w:rPr>
          <w:rFonts w:hint="eastAsia"/>
          <w:sz w:val="30"/>
          <w:szCs w:val="30"/>
        </w:rPr>
      </w:pPr>
    </w:p>
    <w:p w14:paraId="4C490B92">
      <w:pPr>
        <w:bidi w:val="0"/>
        <w:rPr>
          <w:rFonts w:hint="eastAsia"/>
          <w:sz w:val="30"/>
          <w:szCs w:val="30"/>
        </w:rPr>
      </w:pPr>
      <w:r>
        <w:rPr>
          <w:rFonts w:hint="eastAsia"/>
          <w:sz w:val="30"/>
          <w:szCs w:val="30"/>
        </w:rPr>
        <w:t>祂是真逾越节的羊羔——祂的死是真逾越节的祭物——因此，从今以后逾越节被主的晚餐所取代，在其中基督的子民记念、庆祝并重新得着他们从世界、肉体和魔鬼中属灵的拯救，以及他们向神属灵的恢复（太 26:17-30, 马可福音 14:12-26, 路加福音 22:7-23, 约翰福音 5:24）。</w:t>
      </w:r>
    </w:p>
    <w:p w14:paraId="4C77EB52">
      <w:pPr>
        <w:bidi w:val="0"/>
        <w:rPr>
          <w:rFonts w:hint="eastAsia"/>
          <w:sz w:val="30"/>
          <w:szCs w:val="30"/>
        </w:rPr>
      </w:pPr>
    </w:p>
    <w:p w14:paraId="2B67AF2F">
      <w:pPr>
        <w:bidi w:val="0"/>
        <w:rPr>
          <w:rFonts w:hint="eastAsia"/>
          <w:sz w:val="30"/>
          <w:szCs w:val="30"/>
        </w:rPr>
      </w:pPr>
      <w:r>
        <w:rPr>
          <w:rFonts w:hint="eastAsia"/>
          <w:sz w:val="30"/>
          <w:szCs w:val="30"/>
        </w:rPr>
        <w:t>Very importantly, his is the true nation (Mt. 21:43), the true flock (John 10:16), the true household (Mark 13:34, Luke 14:23, John 8:35), and the true city (Mt. 5:14) of God, so that henceforth Christ’s Church of called out Jews and Gentiles replaces ethnic Israel (who are still beloved for the sake of the fathers, Romans 11:28) as the true people of God (Mt. 16:18).</w:t>
      </w:r>
    </w:p>
    <w:p w14:paraId="60842848">
      <w:pPr>
        <w:bidi w:val="0"/>
        <w:rPr>
          <w:rFonts w:hint="eastAsia"/>
          <w:sz w:val="30"/>
          <w:szCs w:val="30"/>
        </w:rPr>
      </w:pPr>
    </w:p>
    <w:p w14:paraId="39A05D5D">
      <w:pPr>
        <w:bidi w:val="0"/>
        <w:rPr>
          <w:rFonts w:hint="eastAsia"/>
          <w:sz w:val="30"/>
          <w:szCs w:val="30"/>
        </w:rPr>
      </w:pPr>
      <w:r>
        <w:rPr>
          <w:rFonts w:hint="eastAsia"/>
          <w:sz w:val="30"/>
          <w:szCs w:val="30"/>
        </w:rPr>
        <w:t>非常重要的一点是，祂的是真国民（太 21:43）、真羊群（约 10:16）、真家室（马可福音 13:34, 路加福音 14:23, 约翰福音 8:35）和真城（太 5:14），因此从今以后，基督那由蒙召的犹太人和外邦人组成的教会，取代了民族以色列（他们因列祖的缘故仍然是蒙爱的，罗马书 11:28），成为神真正的子民（太 16:18）。</w:t>
      </w:r>
    </w:p>
    <w:p w14:paraId="097CA64D">
      <w:pPr>
        <w:bidi w:val="0"/>
        <w:rPr>
          <w:rFonts w:hint="eastAsia"/>
          <w:sz w:val="30"/>
          <w:szCs w:val="30"/>
        </w:rPr>
      </w:pPr>
    </w:p>
    <w:p w14:paraId="2E90F9E9">
      <w:pPr>
        <w:bidi w:val="0"/>
        <w:rPr>
          <w:rFonts w:hint="eastAsia"/>
          <w:sz w:val="30"/>
          <w:szCs w:val="30"/>
        </w:rPr>
      </w:pPr>
      <w:r>
        <w:rPr>
          <w:rFonts w:hint="eastAsia"/>
          <w:sz w:val="30"/>
          <w:szCs w:val="30"/>
        </w:rPr>
        <w:t>And over this nation he rules as the supreme King, a greater than David (Mt. 22:41-46) and Solomon (Mt. 12:24), and so replaces Israel’s many earthly kings with a single heavenly king: the High King of Heaven and Earth, the divine Lord of the “Israel of God” (Mt. 28:18f, Luke 19:12, John 18:36, Gal. 6:16).</w:t>
      </w:r>
    </w:p>
    <w:p w14:paraId="6589427F">
      <w:pPr>
        <w:bidi w:val="0"/>
        <w:rPr>
          <w:rFonts w:hint="eastAsia"/>
          <w:sz w:val="30"/>
          <w:szCs w:val="30"/>
        </w:rPr>
      </w:pPr>
    </w:p>
    <w:p w14:paraId="718EBF0C">
      <w:pPr>
        <w:bidi w:val="0"/>
        <w:rPr>
          <w:rFonts w:hint="eastAsia"/>
          <w:sz w:val="30"/>
          <w:szCs w:val="30"/>
        </w:rPr>
      </w:pPr>
      <w:r>
        <w:rPr>
          <w:rFonts w:hint="eastAsia"/>
          <w:sz w:val="30"/>
          <w:szCs w:val="30"/>
        </w:rPr>
        <w:t>并且祂以至高君王的身份统治这个国，祂比大卫（太 22:41-46）和所罗门（太 12:24）更大，因此用一位单一的天上君王取代了以色列许多属地的君王：即天上地下的至高君王，“神之以色列”的神圣之主（太 28:18及以下, 路 19:12, 约 18:36, 加 6:16）。</w:t>
      </w:r>
    </w:p>
    <w:p w14:paraId="49AAC73C">
      <w:pPr>
        <w:bidi w:val="0"/>
        <w:rPr>
          <w:rFonts w:hint="eastAsia"/>
          <w:sz w:val="30"/>
          <w:szCs w:val="30"/>
        </w:rPr>
      </w:pPr>
    </w:p>
    <w:p w14:paraId="019D156F">
      <w:pPr>
        <w:bidi w:val="0"/>
        <w:rPr>
          <w:rFonts w:hint="eastAsia"/>
          <w:sz w:val="30"/>
          <w:szCs w:val="30"/>
        </w:rPr>
      </w:pPr>
      <w:r>
        <w:rPr>
          <w:rFonts w:hint="eastAsia"/>
          <w:sz w:val="30"/>
          <w:szCs w:val="30"/>
        </w:rPr>
        <w:t>Much more could be said on this point, and in their letters to the early Christian churches the apostles say it.</w:t>
      </w:r>
    </w:p>
    <w:p w14:paraId="5ACBE597">
      <w:pPr>
        <w:bidi w:val="0"/>
        <w:rPr>
          <w:rFonts w:hint="eastAsia"/>
          <w:sz w:val="30"/>
          <w:szCs w:val="30"/>
        </w:rPr>
      </w:pPr>
    </w:p>
    <w:p w14:paraId="2FD7ECC1">
      <w:pPr>
        <w:bidi w:val="0"/>
        <w:rPr>
          <w:rFonts w:hint="eastAsia"/>
          <w:sz w:val="30"/>
          <w:szCs w:val="30"/>
        </w:rPr>
      </w:pPr>
      <w:r>
        <w:rPr>
          <w:rFonts w:hint="eastAsia"/>
          <w:sz w:val="30"/>
          <w:szCs w:val="30"/>
        </w:rPr>
        <w:t>关于这一点还有很多话可以说，使徒们在他们写给早期基督教会的书信中也说了。</w:t>
      </w:r>
    </w:p>
    <w:p w14:paraId="5E3B4ECD">
      <w:pPr>
        <w:bidi w:val="0"/>
        <w:rPr>
          <w:rFonts w:hint="eastAsia"/>
          <w:sz w:val="30"/>
          <w:szCs w:val="30"/>
        </w:rPr>
      </w:pPr>
    </w:p>
    <w:p w14:paraId="43D0159D">
      <w:pPr>
        <w:bidi w:val="0"/>
        <w:rPr>
          <w:rFonts w:hint="eastAsia"/>
          <w:sz w:val="30"/>
          <w:szCs w:val="30"/>
        </w:rPr>
      </w:pPr>
      <w:r>
        <w:rPr>
          <w:rFonts w:hint="eastAsia"/>
          <w:sz w:val="30"/>
          <w:szCs w:val="30"/>
        </w:rPr>
        <w:t>However, from what we have seen so far, it is quite clear that the Lord Jesus viewed the institutions of the Mosaic Law as temporary physical “types” pointing forward to the permanent spiritual realities of the New Covenant.</w:t>
      </w:r>
    </w:p>
    <w:p w14:paraId="0503919B">
      <w:pPr>
        <w:bidi w:val="0"/>
        <w:rPr>
          <w:rFonts w:hint="eastAsia"/>
          <w:sz w:val="30"/>
          <w:szCs w:val="30"/>
        </w:rPr>
      </w:pPr>
    </w:p>
    <w:p w14:paraId="632EB1CF">
      <w:pPr>
        <w:bidi w:val="0"/>
        <w:rPr>
          <w:rFonts w:hint="eastAsia"/>
          <w:sz w:val="30"/>
          <w:szCs w:val="30"/>
        </w:rPr>
      </w:pPr>
      <w:r>
        <w:rPr>
          <w:rFonts w:hint="eastAsia"/>
          <w:sz w:val="30"/>
          <w:szCs w:val="30"/>
        </w:rPr>
        <w:t>然而，从我们目前所见，很清楚，主耶稣视摩西律法的制度为暂时的、物质的“预表”，指向新约永久的属灵实际。</w:t>
      </w:r>
    </w:p>
    <w:p w14:paraId="448907C2">
      <w:pPr>
        <w:bidi w:val="0"/>
        <w:rPr>
          <w:rFonts w:hint="eastAsia"/>
          <w:sz w:val="30"/>
          <w:szCs w:val="30"/>
        </w:rPr>
      </w:pPr>
    </w:p>
    <w:p w14:paraId="2EDBAE0D">
      <w:pPr>
        <w:bidi w:val="0"/>
        <w:rPr>
          <w:rFonts w:hint="eastAsia"/>
          <w:sz w:val="30"/>
          <w:szCs w:val="30"/>
        </w:rPr>
      </w:pPr>
      <w:r>
        <w:rPr>
          <w:rFonts w:hint="eastAsia"/>
          <w:sz w:val="30"/>
          <w:szCs w:val="30"/>
        </w:rPr>
        <w:t>Accordingly, his own teaching on these matters completely rules out the notion that the Kingdom of God, in any of its stages, can ever again take on the trappings of a Mosaic theocracy.</w:t>
      </w:r>
    </w:p>
    <w:p w14:paraId="738C181E">
      <w:pPr>
        <w:bidi w:val="0"/>
        <w:rPr>
          <w:rFonts w:hint="eastAsia"/>
          <w:sz w:val="30"/>
          <w:szCs w:val="30"/>
        </w:rPr>
      </w:pPr>
    </w:p>
    <w:p w14:paraId="18BD951D">
      <w:pPr>
        <w:bidi w:val="0"/>
        <w:rPr>
          <w:rFonts w:hint="eastAsia"/>
          <w:sz w:val="30"/>
          <w:szCs w:val="30"/>
        </w:rPr>
      </w:pPr>
      <w:r>
        <w:rPr>
          <w:rFonts w:hint="eastAsia"/>
          <w:sz w:val="30"/>
          <w:szCs w:val="30"/>
        </w:rPr>
        <w:t>因此，祂自己关于这些事的教导，完全排除了神的国在其任何阶段，能再次披上摩西式神权政体之外衣的观念。</w:t>
      </w:r>
    </w:p>
    <w:p w14:paraId="0CBF0DF8">
      <w:pPr>
        <w:bidi w:val="0"/>
        <w:rPr>
          <w:rFonts w:hint="eastAsia"/>
          <w:sz w:val="30"/>
          <w:szCs w:val="30"/>
        </w:rPr>
      </w:pPr>
    </w:p>
    <w:p w14:paraId="5BDA0064">
      <w:pPr>
        <w:bidi w:val="0"/>
        <w:rPr>
          <w:rFonts w:hint="eastAsia"/>
          <w:sz w:val="30"/>
          <w:szCs w:val="30"/>
        </w:rPr>
      </w:pPr>
      <w:r>
        <w:rPr>
          <w:rFonts w:hint="eastAsia"/>
          <w:sz w:val="30"/>
          <w:szCs w:val="30"/>
        </w:rPr>
        <w:t>Conclusion</w:t>
      </w:r>
    </w:p>
    <w:p w14:paraId="51D62D8F">
      <w:pPr>
        <w:bidi w:val="0"/>
        <w:rPr>
          <w:rFonts w:hint="eastAsia"/>
          <w:sz w:val="30"/>
          <w:szCs w:val="30"/>
        </w:rPr>
      </w:pPr>
    </w:p>
    <w:p w14:paraId="0C31DD1B">
      <w:pPr>
        <w:bidi w:val="0"/>
        <w:rPr>
          <w:rFonts w:hint="eastAsia"/>
          <w:sz w:val="30"/>
          <w:szCs w:val="30"/>
        </w:rPr>
      </w:pPr>
      <w:r>
        <w:rPr>
          <w:rFonts w:hint="eastAsia"/>
          <w:sz w:val="30"/>
          <w:szCs w:val="30"/>
        </w:rPr>
        <w:t>结论</w:t>
      </w:r>
    </w:p>
    <w:p w14:paraId="5F4FC536">
      <w:pPr>
        <w:bidi w:val="0"/>
        <w:rPr>
          <w:rFonts w:hint="eastAsia"/>
          <w:sz w:val="30"/>
          <w:szCs w:val="30"/>
        </w:rPr>
      </w:pPr>
    </w:p>
    <w:p w14:paraId="3EDBE803">
      <w:pPr>
        <w:bidi w:val="0"/>
        <w:rPr>
          <w:rFonts w:hint="eastAsia"/>
          <w:sz w:val="30"/>
          <w:szCs w:val="30"/>
        </w:rPr>
      </w:pPr>
      <w:r>
        <w:rPr>
          <w:rFonts w:hint="eastAsia"/>
          <w:sz w:val="30"/>
          <w:szCs w:val="30"/>
        </w:rPr>
        <w:t>In the present chapter we have listened hard to the Herald of the Kingdom, endeavoring to discern from the words and works of Christ the true nature of the Kingdom of God.</w:t>
      </w:r>
    </w:p>
    <w:p w14:paraId="2517D553">
      <w:pPr>
        <w:bidi w:val="0"/>
        <w:rPr>
          <w:rFonts w:hint="eastAsia"/>
          <w:sz w:val="30"/>
          <w:szCs w:val="30"/>
        </w:rPr>
      </w:pPr>
    </w:p>
    <w:p w14:paraId="623B755C">
      <w:pPr>
        <w:bidi w:val="0"/>
        <w:rPr>
          <w:rFonts w:hint="eastAsia"/>
          <w:sz w:val="30"/>
          <w:szCs w:val="30"/>
        </w:rPr>
      </w:pPr>
      <w:r>
        <w:rPr>
          <w:rFonts w:hint="eastAsia"/>
          <w:sz w:val="30"/>
          <w:szCs w:val="30"/>
        </w:rPr>
        <w:t>在本章中，我们仔细聆听了国度的先锋，努力从基督的言行中辨识神的国之真实性质。</w:t>
      </w:r>
    </w:p>
    <w:p w14:paraId="1A8A28DF">
      <w:pPr>
        <w:bidi w:val="0"/>
        <w:rPr>
          <w:rFonts w:hint="eastAsia"/>
          <w:sz w:val="30"/>
          <w:szCs w:val="30"/>
        </w:rPr>
      </w:pPr>
    </w:p>
    <w:p w14:paraId="749DBE37">
      <w:pPr>
        <w:bidi w:val="0"/>
        <w:rPr>
          <w:rFonts w:hint="eastAsia"/>
          <w:sz w:val="30"/>
          <w:szCs w:val="30"/>
        </w:rPr>
      </w:pPr>
      <w:r>
        <w:rPr>
          <w:rFonts w:hint="eastAsia"/>
          <w:sz w:val="30"/>
          <w:szCs w:val="30"/>
        </w:rPr>
        <w:t>Thus far we have seen that he viewed it as a direct reign of God the Father, through the Son, by the Spirit; a reign that falls upon redeemed creatures who have been rescued from every spiritual enemy, and restored to every spiritual friend; a reign that creates a realm, the Kingdom of God.</w:t>
      </w:r>
    </w:p>
    <w:p w14:paraId="25EDFB0F">
      <w:pPr>
        <w:bidi w:val="0"/>
        <w:rPr>
          <w:rFonts w:hint="eastAsia"/>
          <w:sz w:val="30"/>
          <w:szCs w:val="30"/>
        </w:rPr>
      </w:pPr>
    </w:p>
    <w:p w14:paraId="1FE6771C">
      <w:pPr>
        <w:bidi w:val="0"/>
        <w:rPr>
          <w:rFonts w:hint="eastAsia"/>
          <w:sz w:val="30"/>
          <w:szCs w:val="30"/>
        </w:rPr>
      </w:pPr>
      <w:r>
        <w:rPr>
          <w:rFonts w:hint="eastAsia"/>
          <w:sz w:val="30"/>
          <w:szCs w:val="30"/>
        </w:rPr>
        <w:t>到目前为止，我们已经看到祂视其为父神借着子，凭着圣灵的直接掌权；一个降临在蒙赎的受造之物身上的掌权，这些受造之物已被拯救脱离一切属灵的仇敌，并被恢复到一切属灵的朋友那里；一个创造了一个范围，即神的国的掌权。</w:t>
      </w:r>
    </w:p>
    <w:p w14:paraId="327BBCF6">
      <w:pPr>
        <w:bidi w:val="0"/>
        <w:rPr>
          <w:rFonts w:hint="eastAsia"/>
          <w:sz w:val="30"/>
          <w:szCs w:val="30"/>
        </w:rPr>
      </w:pPr>
    </w:p>
    <w:p w14:paraId="05090330">
      <w:pPr>
        <w:bidi w:val="0"/>
        <w:rPr>
          <w:rFonts w:hint="eastAsia"/>
          <w:sz w:val="30"/>
          <w:szCs w:val="30"/>
        </w:rPr>
      </w:pPr>
      <w:r>
        <w:rPr>
          <w:rFonts w:hint="eastAsia"/>
          <w:sz w:val="30"/>
          <w:szCs w:val="30"/>
        </w:rPr>
        <w:t>Now if we had learned nothing more than this, we would be strongly inclined to conclude that the Kingdom has little or nothing to do with a Mosaic theocracy.</w:t>
      </w:r>
    </w:p>
    <w:p w14:paraId="59E60ABC">
      <w:pPr>
        <w:bidi w:val="0"/>
        <w:rPr>
          <w:rFonts w:hint="eastAsia"/>
          <w:sz w:val="30"/>
          <w:szCs w:val="30"/>
        </w:rPr>
      </w:pPr>
    </w:p>
    <w:p w14:paraId="1798DA66">
      <w:pPr>
        <w:bidi w:val="0"/>
        <w:rPr>
          <w:rFonts w:hint="eastAsia"/>
          <w:sz w:val="30"/>
          <w:szCs w:val="30"/>
        </w:rPr>
      </w:pPr>
      <w:r>
        <w:rPr>
          <w:rFonts w:hint="eastAsia"/>
          <w:sz w:val="30"/>
          <w:szCs w:val="30"/>
        </w:rPr>
        <w:t>现在，如果我们只学到这些，我们就会强烈地倾向于得出结论：国度与摩西的神权政体几乎毫无关系。</w:t>
      </w:r>
    </w:p>
    <w:p w14:paraId="3E66B010">
      <w:pPr>
        <w:bidi w:val="0"/>
        <w:rPr>
          <w:rFonts w:hint="eastAsia"/>
          <w:sz w:val="30"/>
          <w:szCs w:val="30"/>
        </w:rPr>
      </w:pPr>
    </w:p>
    <w:p w14:paraId="680C1061">
      <w:pPr>
        <w:bidi w:val="0"/>
        <w:rPr>
          <w:rFonts w:hint="eastAsia"/>
          <w:sz w:val="30"/>
          <w:szCs w:val="30"/>
        </w:rPr>
      </w:pPr>
      <w:r>
        <w:rPr>
          <w:rFonts w:hint="eastAsia"/>
          <w:sz w:val="30"/>
          <w:szCs w:val="30"/>
        </w:rPr>
        <w:t>But we did learn more.</w:t>
      </w:r>
    </w:p>
    <w:p w14:paraId="37412EB5">
      <w:pPr>
        <w:bidi w:val="0"/>
        <w:rPr>
          <w:rFonts w:hint="eastAsia"/>
          <w:sz w:val="30"/>
          <w:szCs w:val="30"/>
        </w:rPr>
      </w:pPr>
    </w:p>
    <w:p w14:paraId="7C7F1474">
      <w:pPr>
        <w:bidi w:val="0"/>
        <w:rPr>
          <w:rFonts w:hint="eastAsia"/>
          <w:sz w:val="30"/>
          <w:szCs w:val="30"/>
        </w:rPr>
      </w:pPr>
      <w:r>
        <w:rPr>
          <w:rFonts w:hint="eastAsia"/>
          <w:sz w:val="30"/>
          <w:szCs w:val="30"/>
        </w:rPr>
        <w:t>但我们确实学到了更多。</w:t>
      </w:r>
    </w:p>
    <w:p w14:paraId="28CE0A09">
      <w:pPr>
        <w:bidi w:val="0"/>
        <w:rPr>
          <w:rFonts w:hint="eastAsia"/>
          <w:sz w:val="30"/>
          <w:szCs w:val="30"/>
        </w:rPr>
      </w:pPr>
    </w:p>
    <w:p w14:paraId="79D5D3A7">
      <w:pPr>
        <w:bidi w:val="0"/>
        <w:rPr>
          <w:rFonts w:hint="eastAsia"/>
          <w:sz w:val="30"/>
          <w:szCs w:val="30"/>
        </w:rPr>
      </w:pPr>
      <w:r>
        <w:rPr>
          <w:rFonts w:hint="eastAsia"/>
          <w:sz w:val="30"/>
          <w:szCs w:val="30"/>
        </w:rPr>
        <w:t>We learned that Jesus viewed the events and institutions of OT times as temporary physical “types” of permanent spiritual realities that he himself was introducing under the New Covenant.</w:t>
      </w:r>
    </w:p>
    <w:p w14:paraId="4887327E">
      <w:pPr>
        <w:bidi w:val="0"/>
        <w:rPr>
          <w:rFonts w:hint="eastAsia"/>
          <w:sz w:val="30"/>
          <w:szCs w:val="30"/>
        </w:rPr>
      </w:pPr>
    </w:p>
    <w:p w14:paraId="2B67ABBF">
      <w:pPr>
        <w:bidi w:val="0"/>
        <w:rPr>
          <w:rFonts w:hint="eastAsia"/>
          <w:sz w:val="30"/>
          <w:szCs w:val="30"/>
        </w:rPr>
      </w:pPr>
      <w:r>
        <w:rPr>
          <w:rFonts w:hint="eastAsia"/>
          <w:sz w:val="30"/>
          <w:szCs w:val="30"/>
        </w:rPr>
        <w:t>我们学到，耶稣视旧约时代的事件和制度为暂时的、物质的“预表”，预表着祂自己在新约之下所引入的永久的属灵实际。</w:t>
      </w:r>
    </w:p>
    <w:p w14:paraId="39694449">
      <w:pPr>
        <w:bidi w:val="0"/>
        <w:rPr>
          <w:rFonts w:hint="eastAsia"/>
          <w:sz w:val="30"/>
          <w:szCs w:val="30"/>
        </w:rPr>
      </w:pPr>
    </w:p>
    <w:p w14:paraId="23315ED6">
      <w:pPr>
        <w:bidi w:val="0"/>
        <w:rPr>
          <w:rFonts w:hint="eastAsia"/>
          <w:sz w:val="30"/>
          <w:szCs w:val="30"/>
        </w:rPr>
      </w:pPr>
      <w:r>
        <w:rPr>
          <w:rFonts w:hint="eastAsia"/>
          <w:sz w:val="30"/>
          <w:szCs w:val="30"/>
        </w:rPr>
        <w:t>We learned that he saw himself and the New Covenant as fulfilling OT institutions, replacing them, and rendering them forever obsolete.</w:t>
      </w:r>
    </w:p>
    <w:p w14:paraId="7ED8435E">
      <w:pPr>
        <w:bidi w:val="0"/>
        <w:rPr>
          <w:rFonts w:hint="eastAsia"/>
          <w:sz w:val="30"/>
          <w:szCs w:val="30"/>
        </w:rPr>
      </w:pPr>
    </w:p>
    <w:p w14:paraId="668A667B">
      <w:pPr>
        <w:bidi w:val="0"/>
        <w:rPr>
          <w:rFonts w:hint="eastAsia"/>
          <w:sz w:val="30"/>
          <w:szCs w:val="30"/>
        </w:rPr>
      </w:pPr>
      <w:r>
        <w:rPr>
          <w:rFonts w:hint="eastAsia"/>
          <w:sz w:val="30"/>
          <w:szCs w:val="30"/>
        </w:rPr>
        <w:t>我们学到，祂视祂自己和新约为成全旧约的制度，取代它们，并使其永远过时。</w:t>
      </w:r>
    </w:p>
    <w:p w14:paraId="15111A22">
      <w:pPr>
        <w:bidi w:val="0"/>
        <w:rPr>
          <w:rFonts w:hint="eastAsia"/>
          <w:sz w:val="30"/>
          <w:szCs w:val="30"/>
        </w:rPr>
      </w:pPr>
    </w:p>
    <w:p w14:paraId="7B86C013">
      <w:pPr>
        <w:bidi w:val="0"/>
        <w:rPr>
          <w:rFonts w:hint="eastAsia"/>
          <w:sz w:val="30"/>
          <w:szCs w:val="30"/>
        </w:rPr>
      </w:pPr>
      <w:r>
        <w:rPr>
          <w:rFonts w:hint="eastAsia"/>
          <w:sz w:val="30"/>
          <w:szCs w:val="30"/>
        </w:rPr>
        <w:t>Obviously, this has important implications for eschatology.</w:t>
      </w:r>
    </w:p>
    <w:p w14:paraId="612F77AF">
      <w:pPr>
        <w:bidi w:val="0"/>
        <w:rPr>
          <w:rFonts w:hint="eastAsia"/>
          <w:sz w:val="30"/>
          <w:szCs w:val="30"/>
        </w:rPr>
      </w:pPr>
    </w:p>
    <w:p w14:paraId="031FBFF8">
      <w:pPr>
        <w:bidi w:val="0"/>
        <w:rPr>
          <w:rFonts w:hint="eastAsia"/>
          <w:sz w:val="30"/>
          <w:szCs w:val="30"/>
        </w:rPr>
      </w:pPr>
      <w:r>
        <w:rPr>
          <w:rFonts w:hint="eastAsia"/>
          <w:sz w:val="30"/>
          <w:szCs w:val="30"/>
        </w:rPr>
        <w:t>显然，这对末世论有重要的含义。</w:t>
      </w:r>
    </w:p>
    <w:p w14:paraId="7578C223">
      <w:pPr>
        <w:bidi w:val="0"/>
        <w:rPr>
          <w:rFonts w:hint="eastAsia"/>
          <w:sz w:val="30"/>
          <w:szCs w:val="30"/>
        </w:rPr>
      </w:pPr>
    </w:p>
    <w:p w14:paraId="440744FE">
      <w:pPr>
        <w:bidi w:val="0"/>
        <w:rPr>
          <w:rFonts w:hint="eastAsia"/>
          <w:sz w:val="30"/>
          <w:szCs w:val="30"/>
        </w:rPr>
      </w:pPr>
      <w:r>
        <w:rPr>
          <w:rFonts w:hint="eastAsia"/>
          <w:sz w:val="30"/>
          <w:szCs w:val="30"/>
        </w:rPr>
        <w:t>In particular, it raises grave doubts about theocratic ideas of the Kingdom.</w:t>
      </w:r>
    </w:p>
    <w:p w14:paraId="00D1C78B">
      <w:pPr>
        <w:bidi w:val="0"/>
        <w:rPr>
          <w:rFonts w:hint="eastAsia"/>
          <w:sz w:val="30"/>
          <w:szCs w:val="30"/>
        </w:rPr>
      </w:pPr>
    </w:p>
    <w:p w14:paraId="5ACA3C41">
      <w:pPr>
        <w:bidi w:val="0"/>
        <w:rPr>
          <w:rFonts w:hint="eastAsia"/>
          <w:sz w:val="30"/>
          <w:szCs w:val="30"/>
        </w:rPr>
      </w:pPr>
      <w:r>
        <w:rPr>
          <w:rFonts w:hint="eastAsia"/>
          <w:sz w:val="30"/>
          <w:szCs w:val="30"/>
        </w:rPr>
        <w:t>特别是，它对国度的神权政体观念提出了严重的怀疑。</w:t>
      </w:r>
    </w:p>
    <w:p w14:paraId="63D2DE04">
      <w:pPr>
        <w:bidi w:val="0"/>
        <w:rPr>
          <w:rFonts w:hint="eastAsia"/>
          <w:sz w:val="30"/>
          <w:szCs w:val="30"/>
        </w:rPr>
      </w:pPr>
    </w:p>
    <w:p w14:paraId="28D7E00A">
      <w:pPr>
        <w:bidi w:val="0"/>
        <w:rPr>
          <w:rFonts w:hint="eastAsia"/>
          <w:sz w:val="30"/>
          <w:szCs w:val="30"/>
        </w:rPr>
      </w:pPr>
      <w:r>
        <w:rPr>
          <w:rFonts w:hint="eastAsia"/>
          <w:sz w:val="30"/>
          <w:szCs w:val="30"/>
        </w:rPr>
        <w:t>In other words, it raises grave doubts about the various schools of premillennialism, all of which posit a future thousand year revival of OT institutions (e.g., a temple, priests, sacrifices, feasts, etc.) following the New Covenant era and the second coming of Christ.</w:t>
      </w:r>
    </w:p>
    <w:p w14:paraId="390AB8D9">
      <w:pPr>
        <w:bidi w:val="0"/>
        <w:rPr>
          <w:rFonts w:hint="eastAsia"/>
          <w:sz w:val="30"/>
          <w:szCs w:val="30"/>
        </w:rPr>
      </w:pPr>
    </w:p>
    <w:p w14:paraId="6EB4A31B">
      <w:pPr>
        <w:bidi w:val="0"/>
        <w:rPr>
          <w:rFonts w:hint="eastAsia"/>
          <w:sz w:val="30"/>
          <w:szCs w:val="30"/>
        </w:rPr>
      </w:pPr>
      <w:r>
        <w:rPr>
          <w:rFonts w:hint="eastAsia"/>
          <w:sz w:val="30"/>
          <w:szCs w:val="30"/>
        </w:rPr>
        <w:t>换句话说，它对各种前千禧年论学派提出了严重的怀疑，所有这些学派都假定在新约时代和基督第二次降临之后，会有一个未来的一千年的旧约制度复兴（例如，圣殿、祭司、献祭、节期等）。</w:t>
      </w:r>
    </w:p>
    <w:p w14:paraId="6EB4DE95">
      <w:pPr>
        <w:bidi w:val="0"/>
        <w:rPr>
          <w:rFonts w:hint="eastAsia"/>
          <w:sz w:val="30"/>
          <w:szCs w:val="30"/>
        </w:rPr>
      </w:pPr>
    </w:p>
    <w:p w14:paraId="436C332A">
      <w:pPr>
        <w:bidi w:val="0"/>
        <w:rPr>
          <w:rFonts w:hint="eastAsia"/>
          <w:sz w:val="30"/>
          <w:szCs w:val="30"/>
        </w:rPr>
      </w:pPr>
      <w:r>
        <w:rPr>
          <w:rFonts w:hint="eastAsia"/>
          <w:sz w:val="30"/>
          <w:szCs w:val="30"/>
        </w:rPr>
        <w:t>Nevertheless, despite all we have learned so far, we cannot make a final decision about a future millennial stage of the Kingdom until we take the next logical step in our investigation; until we ascertain what Christ and his apostles taught, not only about the nature of the Kingdom, but also about the coming of the Kingdom.</w:t>
      </w:r>
    </w:p>
    <w:p w14:paraId="12322ED0">
      <w:pPr>
        <w:bidi w:val="0"/>
        <w:rPr>
          <w:rFonts w:hint="eastAsia"/>
          <w:sz w:val="30"/>
          <w:szCs w:val="30"/>
        </w:rPr>
      </w:pPr>
    </w:p>
    <w:p w14:paraId="53621C61">
      <w:pPr>
        <w:bidi w:val="0"/>
        <w:rPr>
          <w:rFonts w:hint="eastAsia"/>
          <w:sz w:val="30"/>
          <w:szCs w:val="30"/>
        </w:rPr>
      </w:pPr>
      <w:r>
        <w:rPr>
          <w:rFonts w:hint="eastAsia"/>
          <w:sz w:val="30"/>
          <w:szCs w:val="30"/>
        </w:rPr>
        <w:t>然而，尽管我们到目前为止学到了这么多，但在我们采取我们调查的下一个逻辑步骤之前，我们无法就国度未来的千禧年阶段作出最终决定；直到我们确定基督和祂的使徒们不仅教导了国度的性质，也教导了国度的降临。</w:t>
      </w:r>
    </w:p>
    <w:p w14:paraId="18634541">
      <w:pPr>
        <w:bidi w:val="0"/>
        <w:rPr>
          <w:rFonts w:hint="eastAsia"/>
          <w:sz w:val="30"/>
          <w:szCs w:val="30"/>
        </w:rPr>
      </w:pPr>
    </w:p>
    <w:p w14:paraId="1A7217B0">
      <w:pPr>
        <w:bidi w:val="0"/>
        <w:rPr>
          <w:rFonts w:hint="eastAsia"/>
          <w:sz w:val="30"/>
          <w:szCs w:val="30"/>
        </w:rPr>
      </w:pPr>
      <w:r>
        <w:rPr>
          <w:rFonts w:hint="eastAsia"/>
          <w:sz w:val="30"/>
          <w:szCs w:val="30"/>
        </w:rPr>
        <w:t>To get to the bottom of this crucial subject, we must ask ourselves a number of important questions: Did Jesus think of the Kingdom as being present in his earthly ministry?</w:t>
      </w:r>
    </w:p>
    <w:p w14:paraId="384924B1">
      <w:pPr>
        <w:bidi w:val="0"/>
        <w:rPr>
          <w:rFonts w:hint="eastAsia"/>
          <w:sz w:val="30"/>
          <w:szCs w:val="30"/>
        </w:rPr>
      </w:pPr>
    </w:p>
    <w:p w14:paraId="1D737139">
      <w:pPr>
        <w:bidi w:val="0"/>
        <w:rPr>
          <w:rFonts w:hint="eastAsia"/>
          <w:sz w:val="30"/>
          <w:szCs w:val="30"/>
        </w:rPr>
      </w:pPr>
      <w:r>
        <w:rPr>
          <w:rFonts w:hint="eastAsia"/>
          <w:sz w:val="30"/>
          <w:szCs w:val="30"/>
        </w:rPr>
        <w:t>为了探究这个关键主题的底蕴，我们必须问自己一些重要的问题：耶稣是否认为国度在祂地上的职事中已经存在？</w:t>
      </w:r>
    </w:p>
    <w:p w14:paraId="266DB994">
      <w:pPr>
        <w:bidi w:val="0"/>
        <w:rPr>
          <w:rFonts w:hint="eastAsia"/>
          <w:sz w:val="30"/>
          <w:szCs w:val="30"/>
        </w:rPr>
      </w:pPr>
    </w:p>
    <w:p w14:paraId="780EDE72">
      <w:pPr>
        <w:bidi w:val="0"/>
        <w:rPr>
          <w:rFonts w:hint="eastAsia"/>
          <w:sz w:val="30"/>
          <w:szCs w:val="30"/>
        </w:rPr>
      </w:pPr>
      <w:r>
        <w:rPr>
          <w:rFonts w:hint="eastAsia"/>
          <w:sz w:val="30"/>
          <w:szCs w:val="30"/>
        </w:rPr>
        <w:t>Did he think of it as yet to come, say on the Day of Pentecost?</w:t>
      </w:r>
    </w:p>
    <w:p w14:paraId="2A9F7099">
      <w:pPr>
        <w:bidi w:val="0"/>
        <w:rPr>
          <w:rFonts w:hint="eastAsia"/>
          <w:sz w:val="30"/>
          <w:szCs w:val="30"/>
        </w:rPr>
      </w:pPr>
    </w:p>
    <w:p w14:paraId="73B4D0FD">
      <w:pPr>
        <w:bidi w:val="0"/>
        <w:rPr>
          <w:rFonts w:hint="eastAsia"/>
          <w:sz w:val="30"/>
          <w:szCs w:val="30"/>
        </w:rPr>
      </w:pPr>
      <w:r>
        <w:rPr>
          <w:rFonts w:hint="eastAsia"/>
          <w:sz w:val="30"/>
          <w:szCs w:val="30"/>
        </w:rPr>
        <w:t>祂是否认为它尚未到来，比如在五旬节那天？</w:t>
      </w:r>
    </w:p>
    <w:p w14:paraId="49ECC6A5">
      <w:pPr>
        <w:bidi w:val="0"/>
        <w:rPr>
          <w:rFonts w:hint="eastAsia"/>
          <w:sz w:val="30"/>
          <w:szCs w:val="30"/>
        </w:rPr>
      </w:pPr>
    </w:p>
    <w:p w14:paraId="5B413317">
      <w:pPr>
        <w:bidi w:val="0"/>
        <w:rPr>
          <w:rFonts w:hint="eastAsia"/>
          <w:sz w:val="30"/>
          <w:szCs w:val="30"/>
        </w:rPr>
      </w:pPr>
      <w:r>
        <w:rPr>
          <w:rFonts w:hint="eastAsia"/>
          <w:sz w:val="30"/>
          <w:szCs w:val="30"/>
        </w:rPr>
        <w:t>If so, did he think of it as coming all at once, or as coming in several stages?</w:t>
      </w:r>
    </w:p>
    <w:p w14:paraId="3A8B3521">
      <w:pPr>
        <w:bidi w:val="0"/>
        <w:rPr>
          <w:rFonts w:hint="eastAsia"/>
          <w:sz w:val="30"/>
          <w:szCs w:val="30"/>
        </w:rPr>
      </w:pPr>
    </w:p>
    <w:p w14:paraId="6CD3FF66">
      <w:pPr>
        <w:bidi w:val="0"/>
        <w:rPr>
          <w:rFonts w:hint="eastAsia"/>
          <w:sz w:val="30"/>
          <w:szCs w:val="30"/>
        </w:rPr>
      </w:pPr>
      <w:r>
        <w:rPr>
          <w:rFonts w:hint="eastAsia"/>
          <w:sz w:val="30"/>
          <w:szCs w:val="30"/>
        </w:rPr>
        <w:t>若是如此，祂是否认为它是一次性降临，还是分几个阶段降临？</w:t>
      </w:r>
    </w:p>
    <w:p w14:paraId="16CEF717">
      <w:pPr>
        <w:bidi w:val="0"/>
        <w:rPr>
          <w:rFonts w:hint="eastAsia"/>
          <w:sz w:val="30"/>
          <w:szCs w:val="30"/>
        </w:rPr>
      </w:pPr>
    </w:p>
    <w:p w14:paraId="36A080E9">
      <w:pPr>
        <w:bidi w:val="0"/>
        <w:rPr>
          <w:rFonts w:hint="eastAsia"/>
          <w:sz w:val="30"/>
          <w:szCs w:val="30"/>
        </w:rPr>
      </w:pPr>
      <w:r>
        <w:rPr>
          <w:rFonts w:hint="eastAsia"/>
          <w:sz w:val="30"/>
          <w:szCs w:val="30"/>
        </w:rPr>
        <w:t>If in several stages, how many would there be?</w:t>
      </w:r>
    </w:p>
    <w:p w14:paraId="12DD16FF">
      <w:pPr>
        <w:bidi w:val="0"/>
        <w:rPr>
          <w:rFonts w:hint="eastAsia"/>
          <w:sz w:val="30"/>
          <w:szCs w:val="30"/>
        </w:rPr>
      </w:pPr>
    </w:p>
    <w:p w14:paraId="7EA307CE">
      <w:pPr>
        <w:bidi w:val="0"/>
        <w:rPr>
          <w:rFonts w:hint="eastAsia"/>
          <w:sz w:val="30"/>
          <w:szCs w:val="30"/>
        </w:rPr>
      </w:pPr>
      <w:r>
        <w:rPr>
          <w:rFonts w:hint="eastAsia"/>
          <w:sz w:val="30"/>
          <w:szCs w:val="30"/>
        </w:rPr>
        <w:t>若是分几个阶段，将会有多少个阶段？</w:t>
      </w:r>
    </w:p>
    <w:p w14:paraId="5DE10D72">
      <w:pPr>
        <w:bidi w:val="0"/>
        <w:rPr>
          <w:rFonts w:hint="eastAsia"/>
          <w:sz w:val="30"/>
          <w:szCs w:val="30"/>
        </w:rPr>
      </w:pPr>
    </w:p>
    <w:p w14:paraId="5D0B22FA">
      <w:pPr>
        <w:bidi w:val="0"/>
        <w:rPr>
          <w:rFonts w:hint="eastAsia"/>
          <w:sz w:val="30"/>
          <w:szCs w:val="30"/>
        </w:rPr>
      </w:pPr>
      <w:r>
        <w:rPr>
          <w:rFonts w:hint="eastAsia"/>
          <w:sz w:val="30"/>
          <w:szCs w:val="30"/>
        </w:rPr>
        <w:t>And if in several stages, what would the distinctive characteristics of each stage be?</w:t>
      </w:r>
    </w:p>
    <w:p w14:paraId="58E8F9E3">
      <w:pPr>
        <w:bidi w:val="0"/>
        <w:rPr>
          <w:rFonts w:hint="eastAsia"/>
          <w:sz w:val="30"/>
          <w:szCs w:val="30"/>
        </w:rPr>
      </w:pPr>
    </w:p>
    <w:p w14:paraId="251CFF60">
      <w:pPr>
        <w:bidi w:val="0"/>
        <w:rPr>
          <w:rFonts w:hint="eastAsia"/>
          <w:sz w:val="30"/>
          <w:szCs w:val="30"/>
        </w:rPr>
      </w:pPr>
      <w:r>
        <w:rPr>
          <w:rFonts w:hint="eastAsia"/>
          <w:sz w:val="30"/>
          <w:szCs w:val="30"/>
        </w:rPr>
        <w:t>若是分几个阶段，每个阶段的独特特征会是什么？</w:t>
      </w:r>
    </w:p>
    <w:p w14:paraId="26ECF2B4">
      <w:pPr>
        <w:bidi w:val="0"/>
        <w:rPr>
          <w:rFonts w:hint="eastAsia"/>
          <w:sz w:val="30"/>
          <w:szCs w:val="30"/>
        </w:rPr>
      </w:pPr>
    </w:p>
    <w:p w14:paraId="5BB25212">
      <w:pPr>
        <w:bidi w:val="0"/>
        <w:rPr>
          <w:rFonts w:hint="eastAsia"/>
          <w:sz w:val="30"/>
          <w:szCs w:val="30"/>
        </w:rPr>
      </w:pPr>
      <w:r>
        <w:rPr>
          <w:rFonts w:hint="eastAsia"/>
          <w:sz w:val="30"/>
          <w:szCs w:val="30"/>
        </w:rPr>
        <w:t>In short, we must try to determine Jesus’ exact view as to when and how the promised redemption of the universe, life, and man is to occur.</w:t>
      </w:r>
    </w:p>
    <w:p w14:paraId="59E34809">
      <w:pPr>
        <w:bidi w:val="0"/>
        <w:rPr>
          <w:rFonts w:hint="eastAsia"/>
          <w:sz w:val="30"/>
          <w:szCs w:val="30"/>
        </w:rPr>
      </w:pPr>
    </w:p>
    <w:p w14:paraId="5937FF6A">
      <w:pPr>
        <w:bidi w:val="0"/>
        <w:rPr>
          <w:rFonts w:hint="eastAsia"/>
          <w:sz w:val="30"/>
          <w:szCs w:val="30"/>
        </w:rPr>
      </w:pPr>
      <w:r>
        <w:rPr>
          <w:rFonts w:hint="eastAsia"/>
          <w:sz w:val="30"/>
          <w:szCs w:val="30"/>
        </w:rPr>
        <w:t>简而言之，我们必须试图确定耶稣关于宇宙、生命和人所应许之救赎将于何时、以何种方式发生的确切观点。</w:t>
      </w:r>
    </w:p>
    <w:p w14:paraId="628201BC">
      <w:pPr>
        <w:bidi w:val="0"/>
        <w:rPr>
          <w:rFonts w:hint="eastAsia"/>
          <w:sz w:val="30"/>
          <w:szCs w:val="30"/>
        </w:rPr>
      </w:pPr>
    </w:p>
    <w:p w14:paraId="582B8352">
      <w:pPr>
        <w:bidi w:val="0"/>
        <w:rPr>
          <w:rFonts w:hint="eastAsia"/>
          <w:sz w:val="30"/>
          <w:szCs w:val="30"/>
        </w:rPr>
      </w:pPr>
      <w:r>
        <w:rPr>
          <w:rFonts w:hint="eastAsia"/>
          <w:sz w:val="30"/>
          <w:szCs w:val="30"/>
        </w:rPr>
        <w:t>I have said that addressing these fascinating questions is the next logical step in our journey.</w:t>
      </w:r>
    </w:p>
    <w:p w14:paraId="5598EC43">
      <w:pPr>
        <w:bidi w:val="0"/>
        <w:rPr>
          <w:rFonts w:hint="eastAsia"/>
          <w:sz w:val="30"/>
          <w:szCs w:val="30"/>
        </w:rPr>
      </w:pPr>
    </w:p>
    <w:p w14:paraId="6A948C5D">
      <w:pPr>
        <w:bidi w:val="0"/>
        <w:rPr>
          <w:rFonts w:hint="eastAsia"/>
          <w:sz w:val="30"/>
          <w:szCs w:val="30"/>
        </w:rPr>
      </w:pPr>
      <w:r>
        <w:rPr>
          <w:rFonts w:hint="eastAsia"/>
          <w:sz w:val="30"/>
          <w:szCs w:val="30"/>
        </w:rPr>
        <w:t>我说过，处理这些引人入胜的问题是我们旅程的下一个逻辑步骤。</w:t>
      </w:r>
    </w:p>
    <w:p w14:paraId="10B497E0">
      <w:pPr>
        <w:bidi w:val="0"/>
        <w:rPr>
          <w:rFonts w:hint="eastAsia"/>
          <w:sz w:val="30"/>
          <w:szCs w:val="30"/>
        </w:rPr>
      </w:pPr>
    </w:p>
    <w:p w14:paraId="7CC98E74">
      <w:pPr>
        <w:bidi w:val="0"/>
        <w:rPr>
          <w:rFonts w:hint="eastAsia"/>
          <w:sz w:val="30"/>
          <w:szCs w:val="30"/>
        </w:rPr>
      </w:pPr>
      <w:r>
        <w:rPr>
          <w:rFonts w:hint="eastAsia"/>
          <w:sz w:val="30"/>
          <w:szCs w:val="30"/>
        </w:rPr>
        <w:t>And yet, much as I would love to take that step, I find that I cannot.</w:t>
      </w:r>
    </w:p>
    <w:p w14:paraId="61301E9A">
      <w:pPr>
        <w:bidi w:val="0"/>
        <w:rPr>
          <w:rFonts w:hint="eastAsia"/>
          <w:sz w:val="30"/>
          <w:szCs w:val="30"/>
        </w:rPr>
      </w:pPr>
    </w:p>
    <w:p w14:paraId="1A50DE8C">
      <w:pPr>
        <w:bidi w:val="0"/>
        <w:rPr>
          <w:rFonts w:hint="eastAsia"/>
          <w:sz w:val="30"/>
          <w:szCs w:val="30"/>
        </w:rPr>
      </w:pPr>
      <w:r>
        <w:rPr>
          <w:rFonts w:hint="eastAsia"/>
          <w:sz w:val="30"/>
          <w:szCs w:val="30"/>
        </w:rPr>
        <w:t>然而，尽管我非常想迈出那一步，我发现我不能。</w:t>
      </w:r>
    </w:p>
    <w:p w14:paraId="1DF88DF3">
      <w:pPr>
        <w:bidi w:val="0"/>
        <w:rPr>
          <w:rFonts w:hint="eastAsia"/>
          <w:sz w:val="30"/>
          <w:szCs w:val="30"/>
        </w:rPr>
      </w:pPr>
    </w:p>
    <w:p w14:paraId="12882692">
      <w:pPr>
        <w:bidi w:val="0"/>
        <w:rPr>
          <w:rFonts w:hint="eastAsia"/>
          <w:sz w:val="30"/>
          <w:szCs w:val="30"/>
        </w:rPr>
      </w:pPr>
      <w:r>
        <w:rPr>
          <w:rFonts w:hint="eastAsia"/>
          <w:sz w:val="30"/>
          <w:szCs w:val="30"/>
        </w:rPr>
        <w:t>Why?</w:t>
      </w:r>
    </w:p>
    <w:p w14:paraId="5554A5FC">
      <w:pPr>
        <w:bidi w:val="0"/>
        <w:rPr>
          <w:rFonts w:hint="eastAsia"/>
          <w:sz w:val="30"/>
          <w:szCs w:val="30"/>
        </w:rPr>
      </w:pPr>
    </w:p>
    <w:p w14:paraId="7D5E8E9F">
      <w:pPr>
        <w:bidi w:val="0"/>
        <w:rPr>
          <w:rFonts w:hint="eastAsia"/>
          <w:sz w:val="30"/>
          <w:szCs w:val="30"/>
        </w:rPr>
      </w:pPr>
      <w:r>
        <w:rPr>
          <w:rFonts w:hint="eastAsia"/>
          <w:sz w:val="30"/>
          <w:szCs w:val="30"/>
        </w:rPr>
        <w:t>为什么？</w:t>
      </w:r>
    </w:p>
    <w:p w14:paraId="18EA7250">
      <w:pPr>
        <w:bidi w:val="0"/>
        <w:rPr>
          <w:rFonts w:hint="eastAsia"/>
          <w:sz w:val="30"/>
          <w:szCs w:val="30"/>
        </w:rPr>
      </w:pPr>
    </w:p>
    <w:p w14:paraId="78907A9C">
      <w:pPr>
        <w:bidi w:val="0"/>
        <w:rPr>
          <w:rFonts w:hint="eastAsia"/>
          <w:sz w:val="30"/>
          <w:szCs w:val="30"/>
        </w:rPr>
      </w:pPr>
      <w:r>
        <w:rPr>
          <w:rFonts w:hint="eastAsia"/>
          <w:sz w:val="30"/>
          <w:szCs w:val="30"/>
        </w:rPr>
        <w:t>Because I have found that in order to do so, we must be fully prepared; and that in order to be fully prepared, we must be thoroughly conversant with all that God did in Salvation History prior to the coming of the Kingdom.</w:t>
      </w:r>
    </w:p>
    <w:p w14:paraId="53310A3B">
      <w:pPr>
        <w:bidi w:val="0"/>
        <w:rPr>
          <w:rFonts w:hint="eastAsia"/>
          <w:sz w:val="30"/>
          <w:szCs w:val="30"/>
        </w:rPr>
      </w:pPr>
    </w:p>
    <w:p w14:paraId="0F8ADDE9">
      <w:pPr>
        <w:bidi w:val="0"/>
        <w:rPr>
          <w:rFonts w:hint="eastAsia"/>
          <w:sz w:val="30"/>
          <w:szCs w:val="30"/>
        </w:rPr>
      </w:pPr>
      <w:r>
        <w:rPr>
          <w:rFonts w:hint="eastAsia"/>
          <w:sz w:val="30"/>
          <w:szCs w:val="30"/>
        </w:rPr>
        <w:t>因为我发现，为了这样做，我们必须完全预备好；而为了完全预备好，我们必须对神在国度降临之前在救赎历史中所作的一切都了如指掌。</w:t>
      </w:r>
    </w:p>
    <w:p w14:paraId="21E05C87">
      <w:pPr>
        <w:bidi w:val="0"/>
        <w:rPr>
          <w:rFonts w:hint="eastAsia"/>
          <w:sz w:val="30"/>
          <w:szCs w:val="30"/>
        </w:rPr>
      </w:pPr>
    </w:p>
    <w:p w14:paraId="5F92FECF">
      <w:pPr>
        <w:bidi w:val="0"/>
        <w:rPr>
          <w:rFonts w:hint="eastAsia"/>
          <w:sz w:val="30"/>
          <w:szCs w:val="30"/>
        </w:rPr>
      </w:pPr>
      <w:r>
        <w:rPr>
          <w:rFonts w:hint="eastAsia"/>
          <w:sz w:val="30"/>
          <w:szCs w:val="30"/>
        </w:rPr>
        <w:t>Only thus shall we be able to think and speak of the coming of the Kingdom in deeply biblical terms; only thus shall we be able to form a clear picture, and a deep understanding, of the inward heart and outward structure of Salvation History as a whole.</w:t>
      </w:r>
    </w:p>
    <w:p w14:paraId="00675949">
      <w:pPr>
        <w:bidi w:val="0"/>
        <w:rPr>
          <w:rFonts w:hint="eastAsia"/>
          <w:sz w:val="30"/>
          <w:szCs w:val="30"/>
        </w:rPr>
      </w:pPr>
    </w:p>
    <w:p w14:paraId="270F6B2D">
      <w:pPr>
        <w:bidi w:val="0"/>
        <w:rPr>
          <w:rFonts w:hint="eastAsia"/>
          <w:sz w:val="30"/>
          <w:szCs w:val="30"/>
        </w:rPr>
      </w:pPr>
      <w:r>
        <w:rPr>
          <w:rFonts w:hint="eastAsia"/>
          <w:sz w:val="30"/>
          <w:szCs w:val="30"/>
        </w:rPr>
        <w:t>惟有如此，我们才能以深刻的圣经术语来思考和谈论国度的降临；惟有如此，我们才能对整个救赎历史的内在核心和外在结构，形成一幅清晰的图画和一个深刻的理解。</w:t>
      </w:r>
    </w:p>
    <w:p w14:paraId="5132D742">
      <w:pPr>
        <w:bidi w:val="0"/>
        <w:rPr>
          <w:rFonts w:hint="eastAsia"/>
          <w:sz w:val="30"/>
          <w:szCs w:val="30"/>
        </w:rPr>
      </w:pPr>
    </w:p>
    <w:p w14:paraId="54CD5C8A">
      <w:pPr>
        <w:bidi w:val="0"/>
        <w:rPr>
          <w:rFonts w:hint="eastAsia"/>
          <w:sz w:val="30"/>
          <w:szCs w:val="30"/>
        </w:rPr>
      </w:pPr>
      <w:r>
        <w:rPr>
          <w:rFonts w:hint="eastAsia"/>
          <w:sz w:val="30"/>
          <w:szCs w:val="30"/>
        </w:rPr>
        <w:t>Permit me then to test your patience by asking you to take with me a rather circuitous route to our destination; to take a somewhat longer, but infinitely more fruitful, journey to a complete understanding of the Kingdom of God.</w:t>
      </w:r>
    </w:p>
    <w:p w14:paraId="74A88BC2">
      <w:pPr>
        <w:bidi w:val="0"/>
        <w:rPr>
          <w:rFonts w:hint="eastAsia"/>
          <w:sz w:val="30"/>
          <w:szCs w:val="30"/>
        </w:rPr>
      </w:pPr>
    </w:p>
    <w:p w14:paraId="3326400B">
      <w:pPr>
        <w:bidi w:val="0"/>
        <w:rPr>
          <w:rFonts w:hint="eastAsia"/>
          <w:sz w:val="30"/>
          <w:szCs w:val="30"/>
        </w:rPr>
      </w:pPr>
      <w:r>
        <w:rPr>
          <w:rFonts w:hint="eastAsia"/>
          <w:sz w:val="30"/>
          <w:szCs w:val="30"/>
        </w:rPr>
        <w:t>那么，请允许我考验一下您的耐心，请求您与我一同走一条相当迂回的路线，到达我们的目的地；走一条稍长，但无限更有成果的旅程，以完全理解神的国。</w:t>
      </w:r>
    </w:p>
    <w:p w14:paraId="6397B65E">
      <w:pPr>
        <w:bidi w:val="0"/>
        <w:rPr>
          <w:rFonts w:hint="eastAsia"/>
          <w:sz w:val="30"/>
          <w:szCs w:val="30"/>
        </w:rPr>
      </w:pPr>
    </w:p>
    <w:p w14:paraId="2943E4E8">
      <w:pPr>
        <w:bidi w:val="0"/>
        <w:rPr>
          <w:rFonts w:hint="eastAsia"/>
          <w:sz w:val="30"/>
          <w:szCs w:val="30"/>
        </w:rPr>
      </w:pPr>
      <w:r>
        <w:rPr>
          <w:rFonts w:hint="eastAsia"/>
          <w:sz w:val="30"/>
          <w:szCs w:val="30"/>
        </w:rPr>
        <w:t>Assuming your good will, I therefore propose that we go back to the beginning; indeed, that we even go back to a “time” before the beginning.</w:t>
      </w:r>
    </w:p>
    <w:p w14:paraId="1FC14F83">
      <w:pPr>
        <w:bidi w:val="0"/>
        <w:rPr>
          <w:rFonts w:hint="eastAsia"/>
          <w:sz w:val="30"/>
          <w:szCs w:val="30"/>
        </w:rPr>
      </w:pPr>
    </w:p>
    <w:p w14:paraId="0224A018">
      <w:pPr>
        <w:bidi w:val="0"/>
        <w:rPr>
          <w:rFonts w:hint="eastAsia"/>
          <w:sz w:val="30"/>
          <w:szCs w:val="30"/>
        </w:rPr>
      </w:pPr>
      <w:r>
        <w:rPr>
          <w:rFonts w:hint="eastAsia"/>
          <w:sz w:val="30"/>
          <w:szCs w:val="30"/>
        </w:rPr>
        <w:t>假定您的善意，我因此提议我们回到起初；的确，甚至回到一个“时间”之前的“时间”。</w:t>
      </w:r>
    </w:p>
    <w:p w14:paraId="5C1C23D6">
      <w:pPr>
        <w:bidi w:val="0"/>
        <w:rPr>
          <w:rFonts w:hint="eastAsia"/>
          <w:sz w:val="30"/>
          <w:szCs w:val="30"/>
        </w:rPr>
      </w:pPr>
    </w:p>
    <w:p w14:paraId="4EC40CDA">
      <w:pPr>
        <w:bidi w:val="0"/>
        <w:rPr>
          <w:rFonts w:hint="eastAsia"/>
          <w:sz w:val="30"/>
          <w:szCs w:val="30"/>
        </w:rPr>
      </w:pPr>
      <w:r>
        <w:rPr>
          <w:rFonts w:hint="eastAsia"/>
          <w:sz w:val="30"/>
          <w:szCs w:val="30"/>
        </w:rPr>
        <w:t>Then, with Christ and the apostles close at our side, we will make our way forward through the various OT stages of Salvation History, learning everything we can about the amazing events that paved the way for —and richly illumine the meaning of—the coming of the Kingdom of God.</w:t>
      </w:r>
    </w:p>
    <w:p w14:paraId="3B1BEEF4">
      <w:pPr>
        <w:bidi w:val="0"/>
        <w:rPr>
          <w:rFonts w:hint="eastAsia"/>
          <w:sz w:val="30"/>
          <w:szCs w:val="30"/>
        </w:rPr>
      </w:pPr>
    </w:p>
    <w:p w14:paraId="626A3C19">
      <w:pPr>
        <w:bidi w:val="0"/>
        <w:rPr>
          <w:rFonts w:hint="eastAsia"/>
          <w:sz w:val="30"/>
          <w:szCs w:val="30"/>
        </w:rPr>
      </w:pPr>
      <w:r>
        <w:rPr>
          <w:rFonts w:hint="eastAsia"/>
          <w:sz w:val="30"/>
          <w:szCs w:val="30"/>
        </w:rPr>
        <w:t>然后，有基督和使徒们在我们身旁，我们将通过救赎历史的各个旧约阶段向前行进，学习一切我们能学的，关于那些为神的国降临铺平道路——并丰富地阐明其意义——的奇妙事件。</w:t>
      </w:r>
    </w:p>
    <w:p w14:paraId="7C923DB5">
      <w:pPr>
        <w:bidi w:val="0"/>
        <w:rPr>
          <w:rFonts w:hint="eastAsia"/>
          <w:sz w:val="30"/>
          <w:szCs w:val="30"/>
        </w:rPr>
      </w:pPr>
    </w:p>
    <w:p w14:paraId="3D038567">
      <w:pPr>
        <w:bidi w:val="0"/>
        <w:rPr>
          <w:rFonts w:hint="eastAsia"/>
          <w:sz w:val="30"/>
          <w:szCs w:val="30"/>
        </w:rPr>
      </w:pPr>
      <w:r>
        <w:rPr>
          <w:rFonts w:hint="eastAsia"/>
          <w:sz w:val="30"/>
          <w:szCs w:val="30"/>
        </w:rPr>
        <w:t>And what shall be your reward for all this historical wending and winding?</w:t>
      </w:r>
    </w:p>
    <w:p w14:paraId="55FDCA21">
      <w:pPr>
        <w:bidi w:val="0"/>
        <w:rPr>
          <w:rFonts w:hint="eastAsia"/>
          <w:sz w:val="30"/>
          <w:szCs w:val="30"/>
        </w:rPr>
      </w:pPr>
    </w:p>
    <w:p w14:paraId="7231C11D">
      <w:pPr>
        <w:bidi w:val="0"/>
        <w:rPr>
          <w:rFonts w:hint="eastAsia"/>
          <w:sz w:val="30"/>
          <w:szCs w:val="30"/>
        </w:rPr>
      </w:pPr>
      <w:r>
        <w:rPr>
          <w:rFonts w:hint="eastAsia"/>
          <w:sz w:val="30"/>
          <w:szCs w:val="30"/>
        </w:rPr>
        <w:t>而您为这一切历史的迂回曲折所得到的奖赏将是什么呢？</w:t>
      </w:r>
    </w:p>
    <w:p w14:paraId="02686D5E">
      <w:pPr>
        <w:bidi w:val="0"/>
        <w:rPr>
          <w:rFonts w:hint="eastAsia"/>
          <w:sz w:val="30"/>
          <w:szCs w:val="30"/>
        </w:rPr>
      </w:pPr>
    </w:p>
    <w:p w14:paraId="57ACFA5F">
      <w:pPr>
        <w:bidi w:val="0"/>
        <w:rPr>
          <w:rFonts w:hint="eastAsia"/>
          <w:sz w:val="30"/>
          <w:szCs w:val="30"/>
        </w:rPr>
      </w:pPr>
      <w:r>
        <w:rPr>
          <w:rFonts w:hint="eastAsia"/>
          <w:sz w:val="30"/>
          <w:szCs w:val="30"/>
        </w:rPr>
        <w:t>Eyes to see.</w:t>
      </w:r>
    </w:p>
    <w:p w14:paraId="4F497D8A">
      <w:pPr>
        <w:bidi w:val="0"/>
        <w:rPr>
          <w:rFonts w:hint="eastAsia"/>
          <w:sz w:val="30"/>
          <w:szCs w:val="30"/>
        </w:rPr>
      </w:pPr>
    </w:p>
    <w:p w14:paraId="31AB7FE4">
      <w:pPr>
        <w:bidi w:val="0"/>
        <w:rPr>
          <w:rFonts w:hint="eastAsia"/>
          <w:sz w:val="30"/>
          <w:szCs w:val="30"/>
        </w:rPr>
      </w:pPr>
      <w:r>
        <w:rPr>
          <w:rFonts w:hint="eastAsia"/>
          <w:sz w:val="30"/>
          <w:szCs w:val="30"/>
        </w:rPr>
        <w:t>能看见的眼睛。</w:t>
      </w:r>
    </w:p>
    <w:p w14:paraId="7F0AF4C3">
      <w:pPr>
        <w:bidi w:val="0"/>
        <w:rPr>
          <w:rFonts w:hint="eastAsia"/>
          <w:sz w:val="30"/>
          <w:szCs w:val="30"/>
        </w:rPr>
      </w:pPr>
    </w:p>
    <w:p w14:paraId="44179179">
      <w:pPr>
        <w:bidi w:val="0"/>
        <w:rPr>
          <w:rFonts w:hint="eastAsia"/>
          <w:sz w:val="30"/>
          <w:szCs w:val="30"/>
        </w:rPr>
      </w:pPr>
      <w:r>
        <w:rPr>
          <w:rFonts w:hint="eastAsia"/>
          <w:sz w:val="30"/>
          <w:szCs w:val="30"/>
        </w:rPr>
        <w:t>Eyes to see all eschatological things clearly: the heart and structure of Salvation History, the nature and stages of the Kingdom of God, the proper interpretation of OTKP, the meaning of the Millennium, the true character of the Consummation, and the victor in the Great End Time Debate!</w:t>
      </w:r>
    </w:p>
    <w:p w14:paraId="3B8747BA">
      <w:pPr>
        <w:bidi w:val="0"/>
        <w:rPr>
          <w:rFonts w:hint="eastAsia"/>
          <w:sz w:val="30"/>
          <w:szCs w:val="30"/>
        </w:rPr>
      </w:pPr>
    </w:p>
    <w:p w14:paraId="572F05A7">
      <w:pPr>
        <w:bidi w:val="0"/>
        <w:rPr>
          <w:rFonts w:hint="eastAsia"/>
          <w:sz w:val="30"/>
          <w:szCs w:val="30"/>
        </w:rPr>
      </w:pPr>
      <w:r>
        <w:rPr>
          <w:rFonts w:hint="eastAsia"/>
          <w:sz w:val="30"/>
          <w:szCs w:val="30"/>
        </w:rPr>
        <w:t>能清楚看见所有末世论之事的眼睛：救赎历史的核心与结构，神的国的性质与阶段，对旧约国度预言的正确解释，千禧年的意义，最终成全的真实特性，以及末世大辩论中的胜利者！</w:t>
      </w:r>
    </w:p>
    <w:p w14:paraId="0EB82B80">
      <w:pPr>
        <w:bidi w:val="0"/>
        <w:rPr>
          <w:rFonts w:hint="eastAsia"/>
          <w:sz w:val="30"/>
          <w:szCs w:val="30"/>
        </w:rPr>
      </w:pPr>
    </w:p>
    <w:p w14:paraId="3D445F6B">
      <w:pPr>
        <w:bidi w:val="0"/>
        <w:rPr>
          <w:rFonts w:hint="eastAsia"/>
          <w:sz w:val="30"/>
          <w:szCs w:val="30"/>
        </w:rPr>
      </w:pPr>
      <w:r>
        <w:rPr>
          <w:rFonts w:hint="eastAsia"/>
          <w:sz w:val="30"/>
          <w:szCs w:val="30"/>
        </w:rPr>
        <w:t>Shall we head out?</w:t>
      </w:r>
    </w:p>
    <w:p w14:paraId="7856FF40">
      <w:pPr>
        <w:bidi w:val="0"/>
        <w:rPr>
          <w:rFonts w:hint="eastAsia"/>
          <w:sz w:val="30"/>
          <w:szCs w:val="30"/>
        </w:rPr>
      </w:pPr>
    </w:p>
    <w:p w14:paraId="46A8AA8D">
      <w:pPr>
        <w:bidi w:val="0"/>
        <w:rPr>
          <w:sz w:val="30"/>
          <w:szCs w:val="30"/>
        </w:rPr>
        <w:sectPr>
          <w:pgSz w:w="12240" w:h="15840"/>
          <w:pgMar w:top="1820" w:right="1440" w:bottom="280" w:left="1440" w:header="720" w:footer="720" w:gutter="0"/>
          <w:cols w:space="720" w:num="1"/>
        </w:sectPr>
      </w:pPr>
      <w:r>
        <w:rPr>
          <w:rFonts w:hint="eastAsia"/>
          <w:sz w:val="30"/>
          <w:szCs w:val="30"/>
        </w:rPr>
        <w:t>我们出发吧？</w:t>
      </w:r>
    </w:p>
    <w:p w14:paraId="4B40E333">
      <w:pPr>
        <w:pStyle w:val="9"/>
        <w:spacing w:before="0"/>
        <w:ind w:left="0"/>
        <w:jc w:val="left"/>
        <w:rPr>
          <w:sz w:val="17"/>
        </w:rPr>
      </w:pPr>
      <w:bookmarkStart w:id="17" w:name="Chapter 6: The Beginning and the Kingdom"/>
      <w:bookmarkEnd w:id="17"/>
      <w:bookmarkStart w:id="18" w:name="_bookmark22"/>
      <w:bookmarkEnd w:id="18"/>
      <w:bookmarkStart w:id="19" w:name="Chapter 5: The Good News of the Kingdom"/>
      <w:bookmarkEnd w:id="19"/>
      <w:bookmarkStart w:id="20" w:name="_bookmark21"/>
      <w:bookmarkEnd w:id="20"/>
    </w:p>
    <w:p w14:paraId="4ADABAC9">
      <w:pPr>
        <w:pStyle w:val="2"/>
        <w:bidi w:val="0"/>
        <w:rPr>
          <w:rFonts w:hint="eastAsia"/>
        </w:rPr>
      </w:pPr>
      <w:r>
        <w:rPr>
          <w:rFonts w:hint="eastAsia"/>
        </w:rPr>
        <w:t>Chapter 6</w:t>
      </w:r>
    </w:p>
    <w:p w14:paraId="3FC064B3">
      <w:pPr>
        <w:pStyle w:val="2"/>
        <w:bidi w:val="0"/>
        <w:rPr>
          <w:rFonts w:hint="eastAsia"/>
        </w:rPr>
      </w:pPr>
      <w:r>
        <w:rPr>
          <w:rFonts w:hint="eastAsia"/>
        </w:rPr>
        <w:t>第六章</w:t>
      </w:r>
    </w:p>
    <w:p w14:paraId="060540C7">
      <w:pPr>
        <w:pStyle w:val="9"/>
        <w:spacing w:after="0" w:line="249" w:lineRule="auto"/>
        <w:rPr>
          <w:rFonts w:hint="eastAsia"/>
        </w:rPr>
      </w:pPr>
    </w:p>
    <w:p w14:paraId="44F58745">
      <w:pPr>
        <w:pStyle w:val="3"/>
        <w:bidi w:val="0"/>
        <w:rPr>
          <w:rFonts w:hint="eastAsia"/>
        </w:rPr>
      </w:pPr>
      <w:r>
        <w:rPr>
          <w:rFonts w:hint="eastAsia"/>
        </w:rPr>
        <w:t>The Beginning and the Kingdom</w:t>
      </w:r>
    </w:p>
    <w:p w14:paraId="09290F13">
      <w:pPr>
        <w:pStyle w:val="3"/>
        <w:bidi w:val="0"/>
        <w:rPr>
          <w:rFonts w:hint="eastAsia"/>
        </w:rPr>
      </w:pPr>
      <w:r>
        <w:rPr>
          <w:rFonts w:hint="eastAsia"/>
        </w:rPr>
        <w:t>起初与国度</w:t>
      </w:r>
    </w:p>
    <w:p w14:paraId="4C1E82A6">
      <w:pPr>
        <w:pStyle w:val="9"/>
        <w:spacing w:after="0" w:line="249" w:lineRule="auto"/>
        <w:rPr>
          <w:rFonts w:hint="eastAsia"/>
        </w:rPr>
      </w:pPr>
    </w:p>
    <w:p w14:paraId="17F06800">
      <w:pPr>
        <w:pStyle w:val="9"/>
        <w:spacing w:after="0" w:line="249" w:lineRule="auto"/>
        <w:rPr>
          <w:rFonts w:hint="eastAsia"/>
        </w:rPr>
      </w:pPr>
      <w:r>
        <w:rPr>
          <w:rFonts w:hint="eastAsia"/>
        </w:rPr>
        <w:t>OUR JOURNEY TO Kingdom clarity begins at the beginning, in Genesis.</w:t>
      </w:r>
    </w:p>
    <w:p w14:paraId="0D3DEE9A">
      <w:pPr>
        <w:pStyle w:val="9"/>
        <w:spacing w:after="0" w:line="249" w:lineRule="auto"/>
        <w:rPr>
          <w:rFonts w:hint="eastAsia"/>
        </w:rPr>
      </w:pPr>
    </w:p>
    <w:p w14:paraId="10AA6A20">
      <w:pPr>
        <w:pStyle w:val="9"/>
        <w:spacing w:after="0" w:line="249" w:lineRule="auto"/>
        <w:rPr>
          <w:rFonts w:hint="eastAsia"/>
        </w:rPr>
      </w:pPr>
      <w:r>
        <w:rPr>
          <w:rFonts w:hint="eastAsia"/>
        </w:rPr>
        <w:t>我们通往国度清晰之道的旅程始于起初，在创世记中。</w:t>
      </w:r>
    </w:p>
    <w:p w14:paraId="279F6411">
      <w:pPr>
        <w:pStyle w:val="9"/>
        <w:spacing w:after="0" w:line="249" w:lineRule="auto"/>
        <w:rPr>
          <w:rFonts w:hint="eastAsia"/>
        </w:rPr>
      </w:pPr>
    </w:p>
    <w:p w14:paraId="2A18A274">
      <w:pPr>
        <w:pStyle w:val="9"/>
        <w:spacing w:after="0" w:line="249" w:lineRule="auto"/>
        <w:rPr>
          <w:rFonts w:hint="eastAsia"/>
        </w:rPr>
      </w:pPr>
      <w:r>
        <w:rPr>
          <w:rFonts w:hint="eastAsia"/>
        </w:rPr>
        <w:t>There, in chapters 1-11, we learn of the Creation, the Probation and Fall of Adam, the Flood, and the Division and Dispersion of the family of man at Babel.</w:t>
      </w:r>
    </w:p>
    <w:p w14:paraId="0A8D0663">
      <w:pPr>
        <w:pStyle w:val="9"/>
        <w:spacing w:after="0" w:line="249" w:lineRule="auto"/>
        <w:rPr>
          <w:rFonts w:hint="eastAsia"/>
        </w:rPr>
      </w:pPr>
    </w:p>
    <w:p w14:paraId="3F896382">
      <w:pPr>
        <w:pStyle w:val="9"/>
        <w:spacing w:after="0" w:line="249" w:lineRule="auto"/>
        <w:rPr>
          <w:rFonts w:hint="eastAsia"/>
        </w:rPr>
      </w:pPr>
      <w:r>
        <w:rPr>
          <w:rFonts w:hint="eastAsia"/>
        </w:rPr>
        <w:t>在那里，在第1-11章，我们学到了创造、亚当的察验与堕落、洪水，以及人类家庭在巴别塔的分裂与分散。</w:t>
      </w:r>
    </w:p>
    <w:p w14:paraId="0A452F6B">
      <w:pPr>
        <w:pStyle w:val="9"/>
        <w:spacing w:after="0" w:line="249" w:lineRule="auto"/>
        <w:rPr>
          <w:rFonts w:hint="eastAsia"/>
        </w:rPr>
      </w:pPr>
    </w:p>
    <w:p w14:paraId="5F86CA5F">
      <w:pPr>
        <w:pStyle w:val="9"/>
        <w:spacing w:after="0" w:line="249" w:lineRule="auto"/>
        <w:rPr>
          <w:rFonts w:hint="eastAsia"/>
        </w:rPr>
      </w:pPr>
      <w:r>
        <w:rPr>
          <w:rFonts w:hint="eastAsia"/>
        </w:rPr>
        <w:t>With Christ close at our side, let us briefly examine each one, learning from him how to discern important truths about the Kingdom of God even in the earliest stages of the great drama of Salvation History.</w:t>
      </w:r>
    </w:p>
    <w:p w14:paraId="44513850">
      <w:pPr>
        <w:pStyle w:val="9"/>
        <w:spacing w:after="0" w:line="249" w:lineRule="auto"/>
        <w:rPr>
          <w:rFonts w:hint="eastAsia"/>
        </w:rPr>
      </w:pPr>
    </w:p>
    <w:p w14:paraId="4C6FB65E">
      <w:pPr>
        <w:pStyle w:val="9"/>
        <w:spacing w:after="0" w:line="249" w:lineRule="auto"/>
        <w:rPr>
          <w:rFonts w:hint="eastAsia"/>
        </w:rPr>
      </w:pPr>
      <w:r>
        <w:rPr>
          <w:rFonts w:hint="eastAsia"/>
        </w:rPr>
        <w:t>有基督在我们身旁，让我们简要地审视每一项，向祂学习如何在救赎历史这出伟大戏剧的最早期阶段，就辨识出关于神的国的重要真理。</w:t>
      </w:r>
    </w:p>
    <w:p w14:paraId="2BF61AAC">
      <w:pPr>
        <w:pStyle w:val="9"/>
        <w:spacing w:after="0" w:line="249" w:lineRule="auto"/>
        <w:rPr>
          <w:rFonts w:hint="eastAsia"/>
        </w:rPr>
      </w:pPr>
    </w:p>
    <w:p w14:paraId="1ACC1B5D">
      <w:pPr>
        <w:pStyle w:val="9"/>
        <w:spacing w:after="0" w:line="249" w:lineRule="auto"/>
        <w:rPr>
          <w:rFonts w:hint="eastAsia"/>
        </w:rPr>
      </w:pPr>
      <w:r>
        <w:rPr>
          <w:rFonts w:hint="eastAsia"/>
        </w:rPr>
        <w:t>The Kingdom in Creation</w:t>
      </w:r>
    </w:p>
    <w:p w14:paraId="65B60461">
      <w:pPr>
        <w:pStyle w:val="9"/>
        <w:spacing w:after="0" w:line="249" w:lineRule="auto"/>
        <w:rPr>
          <w:rFonts w:hint="eastAsia"/>
        </w:rPr>
      </w:pPr>
    </w:p>
    <w:p w14:paraId="325A4A24">
      <w:pPr>
        <w:pStyle w:val="9"/>
        <w:spacing w:after="0" w:line="249" w:lineRule="auto"/>
        <w:rPr>
          <w:rFonts w:hint="eastAsia"/>
        </w:rPr>
      </w:pPr>
      <w:r>
        <w:rPr>
          <w:rFonts w:hint="eastAsia"/>
        </w:rPr>
        <w:t>创造中的国度</w:t>
      </w:r>
    </w:p>
    <w:p w14:paraId="5EF63DD0">
      <w:pPr>
        <w:pStyle w:val="9"/>
        <w:spacing w:after="0" w:line="249" w:lineRule="auto"/>
        <w:rPr>
          <w:rFonts w:hint="eastAsia"/>
        </w:rPr>
      </w:pPr>
    </w:p>
    <w:p w14:paraId="2DC3E699">
      <w:pPr>
        <w:pStyle w:val="9"/>
        <w:spacing w:after="0" w:line="249" w:lineRule="auto"/>
        <w:rPr>
          <w:rFonts w:hint="eastAsia"/>
        </w:rPr>
      </w:pPr>
      <w:r>
        <w:rPr>
          <w:rFonts w:hint="eastAsia"/>
        </w:rPr>
        <w:t>In the beginning the LORD God created the heavens, the earth, the seas, and all that is in them.</w:t>
      </w:r>
    </w:p>
    <w:p w14:paraId="0ED3F806">
      <w:pPr>
        <w:pStyle w:val="9"/>
        <w:spacing w:after="0" w:line="249" w:lineRule="auto"/>
        <w:rPr>
          <w:rFonts w:hint="eastAsia"/>
        </w:rPr>
      </w:pPr>
    </w:p>
    <w:p w14:paraId="5B8AA20C">
      <w:pPr>
        <w:pStyle w:val="9"/>
        <w:spacing w:after="0" w:line="249" w:lineRule="auto"/>
        <w:rPr>
          <w:rFonts w:hint="eastAsia"/>
        </w:rPr>
      </w:pPr>
      <w:r>
        <w:rPr>
          <w:rFonts w:hint="eastAsia"/>
        </w:rPr>
        <w:t>起初耶和华神创造了天、地、海，和其中的万物。</w:t>
      </w:r>
    </w:p>
    <w:p w14:paraId="4FC3ADE9">
      <w:pPr>
        <w:pStyle w:val="9"/>
        <w:spacing w:after="0" w:line="249" w:lineRule="auto"/>
        <w:rPr>
          <w:rFonts w:hint="eastAsia"/>
        </w:rPr>
      </w:pPr>
    </w:p>
    <w:p w14:paraId="4DE2E09B">
      <w:pPr>
        <w:pStyle w:val="9"/>
        <w:spacing w:after="0" w:line="249" w:lineRule="auto"/>
        <w:rPr>
          <w:rFonts w:hint="eastAsia"/>
        </w:rPr>
      </w:pPr>
      <w:r>
        <w:rPr>
          <w:rFonts w:hint="eastAsia"/>
        </w:rPr>
        <w:t>On the sixth day he created a man, Adam, out of the dust of the ground.</w:t>
      </w:r>
    </w:p>
    <w:p w14:paraId="2EB121F7">
      <w:pPr>
        <w:pStyle w:val="9"/>
        <w:spacing w:after="0" w:line="249" w:lineRule="auto"/>
        <w:rPr>
          <w:rFonts w:hint="eastAsia"/>
        </w:rPr>
      </w:pPr>
    </w:p>
    <w:p w14:paraId="10F15484">
      <w:pPr>
        <w:pStyle w:val="9"/>
        <w:spacing w:after="0" w:line="249" w:lineRule="auto"/>
        <w:rPr>
          <w:rFonts w:hint="eastAsia"/>
        </w:rPr>
      </w:pPr>
      <w:r>
        <w:rPr>
          <w:rFonts w:hint="eastAsia"/>
        </w:rPr>
        <w:t>在第六日，祂用地上的尘土造了一个人，名叫亚当。</w:t>
      </w:r>
    </w:p>
    <w:p w14:paraId="3EBE48DD">
      <w:pPr>
        <w:pStyle w:val="9"/>
        <w:spacing w:after="0" w:line="249" w:lineRule="auto"/>
        <w:rPr>
          <w:rFonts w:hint="eastAsia"/>
        </w:rPr>
      </w:pPr>
    </w:p>
    <w:p w14:paraId="5588D153">
      <w:pPr>
        <w:pStyle w:val="9"/>
        <w:spacing w:after="0" w:line="249" w:lineRule="auto"/>
        <w:rPr>
          <w:rFonts w:hint="eastAsia"/>
        </w:rPr>
      </w:pPr>
      <w:r>
        <w:rPr>
          <w:rFonts w:hint="eastAsia"/>
        </w:rPr>
        <w:t>Then he planted a Garden toward the East, in Eden, from which there flowed a great river that watered the Garden, divided into four streams, and went forth into the earth.</w:t>
      </w:r>
    </w:p>
    <w:p w14:paraId="02246D1A">
      <w:pPr>
        <w:pStyle w:val="9"/>
        <w:spacing w:after="0" w:line="249" w:lineRule="auto"/>
        <w:rPr>
          <w:rFonts w:hint="eastAsia"/>
        </w:rPr>
      </w:pPr>
    </w:p>
    <w:p w14:paraId="09C6A7FF">
      <w:pPr>
        <w:pStyle w:val="9"/>
        <w:spacing w:after="0" w:line="249" w:lineRule="auto"/>
        <w:rPr>
          <w:rFonts w:hint="eastAsia"/>
        </w:rPr>
      </w:pPr>
      <w:r>
        <w:rPr>
          <w:rFonts w:hint="eastAsia"/>
        </w:rPr>
        <w:t>然后在伊甸的东方栽了一个园子，从那里有一道大河流出来，滋润那园子，分成四道，流遍全地。</w:t>
      </w:r>
    </w:p>
    <w:p w14:paraId="1C63F14E">
      <w:pPr>
        <w:pStyle w:val="9"/>
        <w:spacing w:after="0" w:line="249" w:lineRule="auto"/>
        <w:rPr>
          <w:rFonts w:hint="eastAsia"/>
        </w:rPr>
      </w:pPr>
    </w:p>
    <w:p w14:paraId="46DCD640">
      <w:pPr>
        <w:pStyle w:val="9"/>
        <w:spacing w:after="0" w:line="249" w:lineRule="auto"/>
        <w:rPr>
          <w:rFonts w:hint="eastAsia"/>
        </w:rPr>
      </w:pPr>
      <w:r>
        <w:rPr>
          <w:rFonts w:hint="eastAsia"/>
        </w:rPr>
        <w:t>He placed Adam in Eden, commanding him to cultivate the Garden and freely enjoy its fruits.</w:t>
      </w:r>
    </w:p>
    <w:p w14:paraId="46B4CFFD">
      <w:pPr>
        <w:pStyle w:val="9"/>
        <w:spacing w:after="0" w:line="249" w:lineRule="auto"/>
        <w:rPr>
          <w:rFonts w:hint="eastAsia"/>
        </w:rPr>
      </w:pPr>
    </w:p>
    <w:p w14:paraId="399304C1">
      <w:pPr>
        <w:pStyle w:val="9"/>
        <w:spacing w:after="0" w:line="249" w:lineRule="auto"/>
        <w:rPr>
          <w:rFonts w:hint="eastAsia"/>
        </w:rPr>
      </w:pPr>
      <w:r>
        <w:rPr>
          <w:rFonts w:hint="eastAsia"/>
        </w:rPr>
        <w:t>祂将亚当安置在伊甸园，吩咐他修理看守那园子，并可以随意吃其上的果子。</w:t>
      </w:r>
    </w:p>
    <w:p w14:paraId="0BAF14DE">
      <w:pPr>
        <w:pStyle w:val="9"/>
        <w:spacing w:after="0" w:line="249" w:lineRule="auto"/>
        <w:rPr>
          <w:rFonts w:hint="eastAsia"/>
        </w:rPr>
      </w:pPr>
    </w:p>
    <w:p w14:paraId="2A21FEB3">
      <w:pPr>
        <w:pStyle w:val="9"/>
        <w:spacing w:after="0" w:line="249" w:lineRule="auto"/>
        <w:rPr>
          <w:rFonts w:hint="eastAsia"/>
        </w:rPr>
      </w:pPr>
      <w:r>
        <w:rPr>
          <w:rFonts w:hint="eastAsia"/>
        </w:rPr>
        <w:t>However, he strictly forbade him to eat of the Tree of the Knowledge of Good and Evil, lest he should die.</w:t>
      </w:r>
    </w:p>
    <w:p w14:paraId="5B2CD7DF">
      <w:pPr>
        <w:pStyle w:val="9"/>
        <w:spacing w:after="0" w:line="249" w:lineRule="auto"/>
        <w:rPr>
          <w:rFonts w:hint="eastAsia"/>
        </w:rPr>
      </w:pPr>
    </w:p>
    <w:p w14:paraId="0620EA91">
      <w:pPr>
        <w:pStyle w:val="9"/>
        <w:spacing w:after="0" w:line="249" w:lineRule="auto"/>
        <w:rPr>
          <w:rFonts w:hint="eastAsia"/>
        </w:rPr>
      </w:pPr>
      <w:r>
        <w:rPr>
          <w:rFonts w:hint="eastAsia"/>
        </w:rPr>
        <w:t>然而，祂严严地禁止他吃那分别善恶树上的果子，免得他死。</w:t>
      </w:r>
    </w:p>
    <w:p w14:paraId="6CDCEEB7">
      <w:pPr>
        <w:pStyle w:val="9"/>
        <w:spacing w:after="0" w:line="249" w:lineRule="auto"/>
        <w:rPr>
          <w:rFonts w:hint="eastAsia"/>
        </w:rPr>
      </w:pPr>
    </w:p>
    <w:p w14:paraId="244AED86">
      <w:pPr>
        <w:pStyle w:val="9"/>
        <w:spacing w:after="0" w:line="249" w:lineRule="auto"/>
        <w:rPr>
          <w:rFonts w:hint="eastAsia"/>
        </w:rPr>
      </w:pPr>
      <w:r>
        <w:rPr>
          <w:rFonts w:hint="eastAsia"/>
        </w:rPr>
        <w:t>Then the LORD brought the animals and the birds to Adam, to see what he would call them.</w:t>
      </w:r>
    </w:p>
    <w:p w14:paraId="3F1C18B6">
      <w:pPr>
        <w:pStyle w:val="9"/>
        <w:spacing w:after="0" w:line="249" w:lineRule="auto"/>
        <w:rPr>
          <w:rFonts w:hint="eastAsia"/>
        </w:rPr>
      </w:pPr>
    </w:p>
    <w:p w14:paraId="4F8E9C14">
      <w:pPr>
        <w:pStyle w:val="9"/>
        <w:spacing w:after="0" w:line="249" w:lineRule="auto"/>
        <w:rPr>
          <w:rFonts w:hint="eastAsia"/>
        </w:rPr>
      </w:pPr>
      <w:r>
        <w:rPr>
          <w:rFonts w:hint="eastAsia"/>
        </w:rPr>
        <w:t>然后耶和华将走兽和飞鸟带到亚当面前，看他叫什么。</w:t>
      </w:r>
    </w:p>
    <w:p w14:paraId="55674C35">
      <w:pPr>
        <w:pStyle w:val="9"/>
        <w:spacing w:after="0" w:line="249" w:lineRule="auto"/>
        <w:rPr>
          <w:rFonts w:hint="eastAsia"/>
        </w:rPr>
      </w:pPr>
    </w:p>
    <w:p w14:paraId="35D30C86">
      <w:pPr>
        <w:pStyle w:val="9"/>
        <w:spacing w:after="0" w:line="249" w:lineRule="auto"/>
        <w:rPr>
          <w:rFonts w:hint="eastAsia"/>
        </w:rPr>
      </w:pPr>
      <w:r>
        <w:rPr>
          <w:rFonts w:hint="eastAsia"/>
        </w:rPr>
        <w:t>However, among such creatures Adam found no companion and helper corresponding to him.</w:t>
      </w:r>
    </w:p>
    <w:p w14:paraId="4C7242DE">
      <w:pPr>
        <w:pStyle w:val="9"/>
        <w:spacing w:after="0" w:line="249" w:lineRule="auto"/>
        <w:rPr>
          <w:rFonts w:hint="eastAsia"/>
        </w:rPr>
      </w:pPr>
    </w:p>
    <w:p w14:paraId="1DAF27EA">
      <w:pPr>
        <w:pStyle w:val="9"/>
        <w:spacing w:after="0" w:line="249" w:lineRule="auto"/>
        <w:rPr>
          <w:rFonts w:hint="eastAsia"/>
        </w:rPr>
      </w:pPr>
      <w:r>
        <w:rPr>
          <w:rFonts w:hint="eastAsia"/>
        </w:rPr>
        <w:t>然而，在这些活物中，亚当找不到与他相配的伴侣和帮助者。</w:t>
      </w:r>
    </w:p>
    <w:p w14:paraId="13699774">
      <w:pPr>
        <w:pStyle w:val="9"/>
        <w:spacing w:after="0" w:line="249" w:lineRule="auto"/>
        <w:rPr>
          <w:rFonts w:hint="eastAsia"/>
        </w:rPr>
      </w:pPr>
    </w:p>
    <w:p w14:paraId="2778D71E">
      <w:pPr>
        <w:pStyle w:val="9"/>
        <w:spacing w:after="0" w:line="249" w:lineRule="auto"/>
        <w:rPr>
          <w:rFonts w:hint="eastAsia"/>
        </w:rPr>
      </w:pPr>
      <w:r>
        <w:rPr>
          <w:rFonts w:hint="eastAsia"/>
        </w:rPr>
        <w:t>So the LORD God cast him into a deep sleep, extracted a rib from his side, fashioned it into a woman, and brought her to him to be his wife.</w:t>
      </w:r>
    </w:p>
    <w:p w14:paraId="690206A6">
      <w:pPr>
        <w:pStyle w:val="9"/>
        <w:spacing w:after="0" w:line="249" w:lineRule="auto"/>
        <w:rPr>
          <w:rFonts w:hint="eastAsia"/>
        </w:rPr>
      </w:pPr>
    </w:p>
    <w:p w14:paraId="4081D006">
      <w:pPr>
        <w:pStyle w:val="9"/>
        <w:spacing w:after="0" w:line="249" w:lineRule="auto"/>
        <w:rPr>
          <w:rFonts w:hint="eastAsia"/>
        </w:rPr>
      </w:pPr>
      <w:r>
        <w:rPr>
          <w:rFonts w:hint="eastAsia"/>
        </w:rPr>
        <w:t>于是耶和华神使他沉睡，从他肋旁取下一条肋骨，造成一个女人，带她到他面前作他的妻子。</w:t>
      </w:r>
    </w:p>
    <w:p w14:paraId="33964CC6">
      <w:pPr>
        <w:pStyle w:val="9"/>
        <w:spacing w:after="0" w:line="249" w:lineRule="auto"/>
        <w:rPr>
          <w:rFonts w:hint="eastAsia"/>
        </w:rPr>
      </w:pPr>
    </w:p>
    <w:p w14:paraId="65F60797">
      <w:pPr>
        <w:pStyle w:val="9"/>
        <w:spacing w:after="0" w:line="249" w:lineRule="auto"/>
        <w:rPr>
          <w:rFonts w:hint="eastAsia"/>
        </w:rPr>
      </w:pPr>
      <w:r>
        <w:rPr>
          <w:rFonts w:hint="eastAsia"/>
        </w:rPr>
        <w:t>And God blessed them, commanding them to be fruitful and multiply, to fill the earth and subdue it, to rule over the fish, the birds, and every living thing that moves upon the earth.</w:t>
      </w:r>
    </w:p>
    <w:p w14:paraId="2BEB3366">
      <w:pPr>
        <w:pStyle w:val="9"/>
        <w:spacing w:after="0" w:line="249" w:lineRule="auto"/>
        <w:rPr>
          <w:rFonts w:hint="eastAsia"/>
        </w:rPr>
      </w:pPr>
    </w:p>
    <w:p w14:paraId="6C86A550">
      <w:pPr>
        <w:pStyle w:val="9"/>
        <w:spacing w:after="0" w:line="249" w:lineRule="auto"/>
        <w:rPr>
          <w:rFonts w:hint="eastAsia"/>
        </w:rPr>
      </w:pPr>
      <w:r>
        <w:rPr>
          <w:rFonts w:hint="eastAsia"/>
        </w:rPr>
        <w:t>神就赐福给他们，吩咐他们要生养众多，遍满地面，治理这地，也要管理海里的鱼、空中的鸟，和地上各样行动的活物。</w:t>
      </w:r>
    </w:p>
    <w:p w14:paraId="606C7ED7">
      <w:pPr>
        <w:pStyle w:val="9"/>
        <w:spacing w:after="0" w:line="249" w:lineRule="auto"/>
        <w:rPr>
          <w:rFonts w:hint="eastAsia"/>
        </w:rPr>
      </w:pPr>
    </w:p>
    <w:p w14:paraId="7CFE631A">
      <w:pPr>
        <w:pStyle w:val="9"/>
        <w:spacing w:after="0" w:line="249" w:lineRule="auto"/>
        <w:rPr>
          <w:rFonts w:hint="eastAsia"/>
        </w:rPr>
      </w:pPr>
      <w:r>
        <w:rPr>
          <w:rFonts w:hint="eastAsia"/>
        </w:rPr>
        <w:t>Finally, as the sixth day drew to a close, God looked upon all he had made, declared it to be “very good,” and rested from his creative work (Gen. 1-2).</w:t>
      </w:r>
    </w:p>
    <w:p w14:paraId="3AC88473">
      <w:pPr>
        <w:pStyle w:val="9"/>
        <w:spacing w:after="0" w:line="249" w:lineRule="auto"/>
        <w:rPr>
          <w:rFonts w:hint="eastAsia"/>
        </w:rPr>
      </w:pPr>
    </w:p>
    <w:p w14:paraId="69197C3E">
      <w:pPr>
        <w:pStyle w:val="9"/>
        <w:spacing w:after="0" w:line="249" w:lineRule="auto"/>
        <w:rPr>
          <w:rFonts w:hint="eastAsia"/>
        </w:rPr>
      </w:pPr>
      <w:r>
        <w:rPr>
          <w:rFonts w:hint="eastAsia"/>
        </w:rPr>
        <w:t>最后，当第六日临近尾声时，神看着祂所造的一切，宣告其为“甚好”，就歇了祂创造的工（创 1-2）。</w:t>
      </w:r>
    </w:p>
    <w:p w14:paraId="0FF36BA8">
      <w:pPr>
        <w:pStyle w:val="9"/>
        <w:spacing w:after="0" w:line="249" w:lineRule="auto"/>
        <w:rPr>
          <w:rFonts w:hint="eastAsia"/>
        </w:rPr>
      </w:pPr>
    </w:p>
    <w:p w14:paraId="22248BED">
      <w:pPr>
        <w:pStyle w:val="9"/>
        <w:spacing w:after="0" w:line="249" w:lineRule="auto"/>
        <w:rPr>
          <w:rFonts w:hint="eastAsia"/>
        </w:rPr>
      </w:pPr>
      <w:r>
        <w:rPr>
          <w:rFonts w:hint="eastAsia"/>
        </w:rPr>
        <w:t>In the beautiful new world that God created, we catch a glimpse of the Kingdom of God.</w:t>
      </w:r>
    </w:p>
    <w:p w14:paraId="7B1CCF6B">
      <w:pPr>
        <w:pStyle w:val="9"/>
        <w:spacing w:after="0" w:line="249" w:lineRule="auto"/>
        <w:rPr>
          <w:rFonts w:hint="eastAsia"/>
        </w:rPr>
      </w:pPr>
    </w:p>
    <w:p w14:paraId="7E86E93C">
      <w:pPr>
        <w:pStyle w:val="9"/>
        <w:spacing w:after="0" w:line="249" w:lineRule="auto"/>
        <w:rPr>
          <w:rFonts w:hint="eastAsia"/>
        </w:rPr>
      </w:pPr>
      <w:r>
        <w:rPr>
          <w:rFonts w:hint="eastAsia"/>
        </w:rPr>
        <w:t>在神所创造的美丽新世界中，我们得以一瞥神的国。</w:t>
      </w:r>
    </w:p>
    <w:p w14:paraId="5DC8781E">
      <w:pPr>
        <w:pStyle w:val="9"/>
        <w:spacing w:after="0" w:line="249" w:lineRule="auto"/>
        <w:rPr>
          <w:rFonts w:hint="eastAsia"/>
        </w:rPr>
      </w:pPr>
    </w:p>
    <w:p w14:paraId="0111E338">
      <w:pPr>
        <w:pStyle w:val="9"/>
        <w:spacing w:after="0" w:line="249" w:lineRule="auto"/>
        <w:rPr>
          <w:rFonts w:hint="eastAsia"/>
        </w:rPr>
      </w:pPr>
      <w:r>
        <w:rPr>
          <w:rFonts w:hint="eastAsia"/>
        </w:rPr>
        <w:t>Indeed, we behold it, as it were, in seed form.</w:t>
      </w:r>
    </w:p>
    <w:p w14:paraId="54748C60">
      <w:pPr>
        <w:pStyle w:val="9"/>
        <w:spacing w:after="0" w:line="249" w:lineRule="auto"/>
        <w:rPr>
          <w:rFonts w:hint="eastAsia"/>
        </w:rPr>
      </w:pPr>
    </w:p>
    <w:p w14:paraId="03FD21D3">
      <w:pPr>
        <w:pStyle w:val="9"/>
        <w:spacing w:after="0" w:line="249" w:lineRule="auto"/>
        <w:rPr>
          <w:rFonts w:hint="eastAsia"/>
        </w:rPr>
      </w:pPr>
      <w:r>
        <w:rPr>
          <w:rFonts w:hint="eastAsia"/>
        </w:rPr>
        <w:t>的确，我们看见它，可以说是，以种子的形态。</w:t>
      </w:r>
    </w:p>
    <w:p w14:paraId="5BB10DB5">
      <w:pPr>
        <w:pStyle w:val="9"/>
        <w:spacing w:after="0" w:line="249" w:lineRule="auto"/>
        <w:rPr>
          <w:rFonts w:hint="eastAsia"/>
        </w:rPr>
      </w:pPr>
    </w:p>
    <w:p w14:paraId="4EFE0D4F">
      <w:pPr>
        <w:pStyle w:val="9"/>
        <w:spacing w:after="0" w:line="249" w:lineRule="auto"/>
        <w:rPr>
          <w:rFonts w:hint="eastAsia"/>
        </w:rPr>
      </w:pPr>
      <w:r>
        <w:rPr>
          <w:rFonts w:hint="eastAsia"/>
        </w:rPr>
        <w:t>A seed, though not yet a mature plant or tree, nevertheless contains within itself the properties of what it is destined to become.</w:t>
      </w:r>
    </w:p>
    <w:p w14:paraId="653D1FD6">
      <w:pPr>
        <w:pStyle w:val="9"/>
        <w:spacing w:after="0" w:line="249" w:lineRule="auto"/>
        <w:rPr>
          <w:rFonts w:hint="eastAsia"/>
        </w:rPr>
      </w:pPr>
    </w:p>
    <w:p w14:paraId="54FC1D04">
      <w:pPr>
        <w:pStyle w:val="9"/>
        <w:spacing w:after="0" w:line="249" w:lineRule="auto"/>
        <w:rPr>
          <w:rFonts w:hint="eastAsia"/>
        </w:rPr>
      </w:pPr>
      <w:r>
        <w:rPr>
          <w:rFonts w:hint="eastAsia"/>
        </w:rPr>
        <w:t>一粒种子，虽然尚未长成一株成熟的植物或树木，但它本身已包含了它注定要成为之物的属性。</w:t>
      </w:r>
    </w:p>
    <w:p w14:paraId="385C48AD">
      <w:pPr>
        <w:pStyle w:val="9"/>
        <w:spacing w:after="0" w:line="249" w:lineRule="auto"/>
        <w:rPr>
          <w:rFonts w:hint="eastAsia"/>
        </w:rPr>
      </w:pPr>
    </w:p>
    <w:p w14:paraId="57CE53AA">
      <w:pPr>
        <w:pStyle w:val="9"/>
        <w:spacing w:after="0" w:line="249" w:lineRule="auto"/>
        <w:rPr>
          <w:rFonts w:hint="eastAsia"/>
        </w:rPr>
      </w:pPr>
      <w:r>
        <w:rPr>
          <w:rFonts w:hint="eastAsia"/>
        </w:rPr>
        <w:t>So it was here: the Edenic world of our first parents displayed the properties of the eternal Kingdom of God, but it was not yet the Kingdom itself.</w:t>
      </w:r>
    </w:p>
    <w:p w14:paraId="183E2E13">
      <w:pPr>
        <w:pStyle w:val="9"/>
        <w:spacing w:after="0" w:line="249" w:lineRule="auto"/>
        <w:rPr>
          <w:rFonts w:hint="eastAsia"/>
        </w:rPr>
      </w:pPr>
    </w:p>
    <w:p w14:paraId="42BC1D9D">
      <w:pPr>
        <w:pStyle w:val="9"/>
        <w:spacing w:after="0" w:line="249" w:lineRule="auto"/>
        <w:rPr>
          <w:rFonts w:hint="eastAsia"/>
        </w:rPr>
      </w:pPr>
      <w:r>
        <w:rPr>
          <w:rFonts w:hint="eastAsia"/>
        </w:rPr>
        <w:t>这里也是如此：我们始祖的伊甸世界展现了神永恒国度的属性，但它还不是国度本身。</w:t>
      </w:r>
    </w:p>
    <w:p w14:paraId="1415B00E">
      <w:pPr>
        <w:pStyle w:val="9"/>
        <w:spacing w:after="0" w:line="249" w:lineRule="auto"/>
        <w:rPr>
          <w:rFonts w:hint="eastAsia"/>
        </w:rPr>
      </w:pPr>
    </w:p>
    <w:p w14:paraId="09290C50">
      <w:pPr>
        <w:pStyle w:val="9"/>
        <w:spacing w:after="0" w:line="249" w:lineRule="auto"/>
        <w:rPr>
          <w:rFonts w:hint="eastAsia"/>
        </w:rPr>
      </w:pPr>
      <w:r>
        <w:rPr>
          <w:rFonts w:hint="eastAsia"/>
        </w:rPr>
        <w:t>We have seen that the essence of the Kingdom is God’s direct rule over his creation, a rule that by its very nature involves wholeness and blessing.</w:t>
      </w:r>
    </w:p>
    <w:p w14:paraId="79094146">
      <w:pPr>
        <w:pStyle w:val="9"/>
        <w:spacing w:after="0" w:line="249" w:lineRule="auto"/>
        <w:rPr>
          <w:rFonts w:hint="eastAsia"/>
        </w:rPr>
      </w:pPr>
    </w:p>
    <w:p w14:paraId="1ED1D3D7">
      <w:pPr>
        <w:pStyle w:val="9"/>
        <w:spacing w:after="0" w:line="249" w:lineRule="auto"/>
        <w:rPr>
          <w:rFonts w:hint="eastAsia"/>
        </w:rPr>
      </w:pPr>
      <w:r>
        <w:rPr>
          <w:rFonts w:hint="eastAsia"/>
        </w:rPr>
        <w:t>我们已经看到，国度的本质是神对祂创造物直接的统治，这一统治其本质就包含了完整和祝福。</w:t>
      </w:r>
    </w:p>
    <w:p w14:paraId="3D96EADF">
      <w:pPr>
        <w:pStyle w:val="9"/>
        <w:spacing w:after="0" w:line="249" w:lineRule="auto"/>
        <w:rPr>
          <w:rFonts w:hint="eastAsia"/>
        </w:rPr>
      </w:pPr>
    </w:p>
    <w:p w14:paraId="72457D16">
      <w:pPr>
        <w:pStyle w:val="9"/>
        <w:spacing w:after="0" w:line="249" w:lineRule="auto"/>
        <w:rPr>
          <w:rFonts w:hint="eastAsia"/>
        </w:rPr>
      </w:pPr>
      <w:r>
        <w:rPr>
          <w:rFonts w:hint="eastAsia"/>
        </w:rPr>
        <w:t>Certainly this was the experience of our first parents in Eden.</w:t>
      </w:r>
    </w:p>
    <w:p w14:paraId="2CCDD878">
      <w:pPr>
        <w:pStyle w:val="9"/>
        <w:spacing w:after="0" w:line="249" w:lineRule="auto"/>
        <w:rPr>
          <w:rFonts w:hint="eastAsia"/>
        </w:rPr>
      </w:pPr>
    </w:p>
    <w:p w14:paraId="68F34F60">
      <w:pPr>
        <w:pStyle w:val="9"/>
        <w:spacing w:after="0" w:line="249" w:lineRule="auto"/>
        <w:rPr>
          <w:rFonts w:hint="eastAsia"/>
        </w:rPr>
      </w:pPr>
      <w:r>
        <w:rPr>
          <w:rFonts w:hint="eastAsia"/>
        </w:rPr>
        <w:t>这当然是我们始祖在伊甸园中的经历。</w:t>
      </w:r>
    </w:p>
    <w:p w14:paraId="621EC6C8">
      <w:pPr>
        <w:pStyle w:val="9"/>
        <w:spacing w:after="0" w:line="249" w:lineRule="auto"/>
        <w:rPr>
          <w:rFonts w:hint="eastAsia"/>
        </w:rPr>
      </w:pPr>
    </w:p>
    <w:p w14:paraId="4E9021A6">
      <w:pPr>
        <w:pStyle w:val="9"/>
        <w:spacing w:after="0" w:line="249" w:lineRule="auto"/>
        <w:rPr>
          <w:rFonts w:hint="eastAsia"/>
        </w:rPr>
      </w:pPr>
      <w:r>
        <w:rPr>
          <w:rFonts w:hint="eastAsia"/>
        </w:rPr>
        <w:t>God ruled directly over their minds, their bodies, and their whole world.</w:t>
      </w:r>
    </w:p>
    <w:p w14:paraId="415E6CFC">
      <w:pPr>
        <w:pStyle w:val="9"/>
        <w:spacing w:after="0" w:line="249" w:lineRule="auto"/>
        <w:rPr>
          <w:rFonts w:hint="eastAsia"/>
        </w:rPr>
      </w:pPr>
    </w:p>
    <w:p w14:paraId="21F19A31">
      <w:pPr>
        <w:pStyle w:val="9"/>
        <w:spacing w:after="0" w:line="249" w:lineRule="auto"/>
        <w:rPr>
          <w:rFonts w:hint="eastAsia"/>
        </w:rPr>
      </w:pPr>
      <w:r>
        <w:rPr>
          <w:rFonts w:hint="eastAsia"/>
        </w:rPr>
        <w:t>神直接统治他们的心智、他们的身体和他们的整个世界。</w:t>
      </w:r>
    </w:p>
    <w:p w14:paraId="63CE9C3D">
      <w:pPr>
        <w:pStyle w:val="9"/>
        <w:spacing w:after="0" w:line="249" w:lineRule="auto"/>
        <w:rPr>
          <w:rFonts w:hint="eastAsia"/>
        </w:rPr>
      </w:pPr>
    </w:p>
    <w:p w14:paraId="1B81C68F">
      <w:pPr>
        <w:pStyle w:val="9"/>
        <w:spacing w:after="0" w:line="249" w:lineRule="auto"/>
        <w:rPr>
          <w:rFonts w:hint="eastAsia"/>
        </w:rPr>
      </w:pPr>
      <w:r>
        <w:rPr>
          <w:rFonts w:hint="eastAsia"/>
        </w:rPr>
        <w:t>As a result, he said all things were “very good.”</w:t>
      </w:r>
    </w:p>
    <w:p w14:paraId="3ABE52E5">
      <w:pPr>
        <w:pStyle w:val="9"/>
        <w:spacing w:after="0" w:line="249" w:lineRule="auto"/>
        <w:rPr>
          <w:rFonts w:hint="eastAsia"/>
        </w:rPr>
      </w:pPr>
    </w:p>
    <w:p w14:paraId="24776821">
      <w:pPr>
        <w:pStyle w:val="9"/>
        <w:spacing w:after="0" w:line="249" w:lineRule="auto"/>
        <w:rPr>
          <w:rFonts w:hint="eastAsia"/>
        </w:rPr>
      </w:pPr>
      <w:r>
        <w:rPr>
          <w:rFonts w:hint="eastAsia"/>
        </w:rPr>
        <w:t>结果，祂说万物都“甚好”。</w:t>
      </w:r>
    </w:p>
    <w:p w14:paraId="0008F423">
      <w:pPr>
        <w:pStyle w:val="9"/>
        <w:spacing w:after="0" w:line="249" w:lineRule="auto"/>
        <w:rPr>
          <w:rFonts w:hint="eastAsia"/>
        </w:rPr>
      </w:pPr>
    </w:p>
    <w:p w14:paraId="251A41AE">
      <w:pPr>
        <w:pStyle w:val="9"/>
        <w:spacing w:after="0" w:line="249" w:lineRule="auto"/>
        <w:rPr>
          <w:rFonts w:hint="eastAsia"/>
        </w:rPr>
      </w:pPr>
      <w:r>
        <w:rPr>
          <w:rFonts w:hint="eastAsia"/>
        </w:rPr>
        <w:t>There was not—nor, in the creative process, had there ever been—the least speck of chaos, evil, brokenness, pain, or sorrow.</w:t>
      </w:r>
    </w:p>
    <w:p w14:paraId="26B6B572">
      <w:pPr>
        <w:pStyle w:val="9"/>
        <w:spacing w:after="0" w:line="249" w:lineRule="auto"/>
        <w:rPr>
          <w:rFonts w:hint="eastAsia"/>
        </w:rPr>
      </w:pPr>
    </w:p>
    <w:p w14:paraId="1DDD4943">
      <w:pPr>
        <w:pStyle w:val="9"/>
        <w:spacing w:after="0" w:line="249" w:lineRule="auto"/>
        <w:rPr>
          <w:rFonts w:hint="eastAsia"/>
        </w:rPr>
      </w:pPr>
      <w:r>
        <w:rPr>
          <w:rFonts w:hint="eastAsia"/>
        </w:rPr>
        <w:t>没有——在创造过程中也从未有过——丝毫的混乱、邪恶、破碎、痛苦或忧愁。</w:t>
      </w:r>
    </w:p>
    <w:p w14:paraId="41F34519">
      <w:pPr>
        <w:pStyle w:val="9"/>
        <w:spacing w:after="0" w:line="249" w:lineRule="auto"/>
        <w:rPr>
          <w:rFonts w:hint="eastAsia"/>
        </w:rPr>
      </w:pPr>
    </w:p>
    <w:p w14:paraId="15603F1F">
      <w:pPr>
        <w:pStyle w:val="9"/>
        <w:spacing w:after="0" w:line="249" w:lineRule="auto"/>
        <w:rPr>
          <w:rFonts w:hint="eastAsia"/>
        </w:rPr>
      </w:pPr>
      <w:r>
        <w:rPr>
          <w:rFonts w:hint="eastAsia"/>
        </w:rPr>
        <w:t>Indeed, so pure and so undefiled was this world, that God himself walked within it, eager to meet regularly with Adam and Eve in the Garden, and to fellowship with them there.</w:t>
      </w:r>
    </w:p>
    <w:p w14:paraId="36C66D89">
      <w:pPr>
        <w:pStyle w:val="9"/>
        <w:spacing w:after="0" w:line="249" w:lineRule="auto"/>
        <w:rPr>
          <w:rFonts w:hint="eastAsia"/>
        </w:rPr>
      </w:pPr>
    </w:p>
    <w:p w14:paraId="68FF43C7">
      <w:pPr>
        <w:pStyle w:val="9"/>
        <w:spacing w:after="0" w:line="249" w:lineRule="auto"/>
        <w:rPr>
          <w:rFonts w:hint="eastAsia"/>
        </w:rPr>
      </w:pPr>
      <w:r>
        <w:rPr>
          <w:rFonts w:hint="eastAsia"/>
        </w:rPr>
        <w:t>的确，这个世界是如此纯净无瑕，以至神自己也在其中行走，渴望在园中定期与亚当和夏娃相会，并在那里与他们交通。</w:t>
      </w:r>
    </w:p>
    <w:p w14:paraId="12636FF5">
      <w:pPr>
        <w:pStyle w:val="9"/>
        <w:spacing w:after="0" w:line="249" w:lineRule="auto"/>
        <w:rPr>
          <w:rFonts w:hint="eastAsia"/>
        </w:rPr>
      </w:pPr>
    </w:p>
    <w:p w14:paraId="19FF63E8">
      <w:pPr>
        <w:pStyle w:val="9"/>
        <w:spacing w:after="0" w:line="249" w:lineRule="auto"/>
        <w:rPr>
          <w:rFonts w:hint="eastAsia"/>
        </w:rPr>
      </w:pPr>
      <w:r>
        <w:rPr>
          <w:rFonts w:hint="eastAsia"/>
        </w:rPr>
        <w:t>Notably, this is precisely how the OT Prophets pictured the future Kingdom of God.</w:t>
      </w:r>
    </w:p>
    <w:p w14:paraId="436FF765">
      <w:pPr>
        <w:pStyle w:val="9"/>
        <w:spacing w:after="0" w:line="249" w:lineRule="auto"/>
        <w:rPr>
          <w:rFonts w:hint="eastAsia"/>
        </w:rPr>
      </w:pPr>
    </w:p>
    <w:p w14:paraId="52830658">
      <w:pPr>
        <w:pStyle w:val="9"/>
        <w:spacing w:after="0" w:line="249" w:lineRule="auto"/>
        <w:rPr>
          <w:rFonts w:hint="eastAsia"/>
        </w:rPr>
      </w:pPr>
      <w:r>
        <w:rPr>
          <w:rFonts w:hint="eastAsia"/>
        </w:rPr>
        <w:t>值得注意的是，这正是旧约申言者们所描绘的未来神的国。</w:t>
      </w:r>
    </w:p>
    <w:p w14:paraId="585CFDAB">
      <w:pPr>
        <w:pStyle w:val="9"/>
        <w:spacing w:after="0" w:line="249" w:lineRule="auto"/>
        <w:rPr>
          <w:rFonts w:hint="eastAsia"/>
        </w:rPr>
      </w:pPr>
    </w:p>
    <w:p w14:paraId="2FD4977D">
      <w:pPr>
        <w:pStyle w:val="9"/>
        <w:spacing w:after="0" w:line="249" w:lineRule="auto"/>
        <w:rPr>
          <w:rFonts w:hint="eastAsia"/>
        </w:rPr>
      </w:pPr>
      <w:r>
        <w:rPr>
          <w:rFonts w:hint="eastAsia"/>
        </w:rPr>
        <w:t>When the LORD’s eschatological rule finally breaks into the world, he will comfort all the waste places of Zion, making her wilderness like Eden, and her desert like the Garden of the LORD (Is. 51:3).</w:t>
      </w:r>
    </w:p>
    <w:p w14:paraId="7A00ED9C">
      <w:pPr>
        <w:pStyle w:val="9"/>
        <w:spacing w:after="0" w:line="249" w:lineRule="auto"/>
        <w:rPr>
          <w:rFonts w:hint="eastAsia"/>
        </w:rPr>
      </w:pPr>
    </w:p>
    <w:p w14:paraId="48A44DB7">
      <w:pPr>
        <w:pStyle w:val="9"/>
        <w:spacing w:after="0" w:line="249" w:lineRule="auto"/>
        <w:rPr>
          <w:rFonts w:hint="eastAsia"/>
        </w:rPr>
      </w:pPr>
      <w:r>
        <w:rPr>
          <w:rFonts w:hint="eastAsia"/>
        </w:rPr>
        <w:t>当耶和华末世的统治最终临到世界时，祂将安慰锡安一切的荒场，使她的旷野像伊甸，使她的沙漠像耶和华的园子（赛 51:3）。</w:t>
      </w:r>
    </w:p>
    <w:p w14:paraId="7287C8EB">
      <w:pPr>
        <w:pStyle w:val="9"/>
        <w:spacing w:after="0" w:line="249" w:lineRule="auto"/>
        <w:rPr>
          <w:rFonts w:hint="eastAsia"/>
        </w:rPr>
      </w:pPr>
    </w:p>
    <w:p w14:paraId="4A870007">
      <w:pPr>
        <w:pStyle w:val="9"/>
        <w:spacing w:after="0" w:line="249" w:lineRule="auto"/>
        <w:rPr>
          <w:rFonts w:hint="eastAsia"/>
        </w:rPr>
      </w:pPr>
      <w:r>
        <w:rPr>
          <w:rFonts w:hint="eastAsia"/>
        </w:rPr>
        <w:t>From beneath the eastern threshold of the House of the Lord, a River will flow forth, bringing life to all it touches; on either side of the river there will be trees whose fruit is good for food, and whose leaves are for the healing of the nations (Ezek. 47:1-15, Rev. 22:22).</w:t>
      </w:r>
    </w:p>
    <w:p w14:paraId="4E1560D9">
      <w:pPr>
        <w:pStyle w:val="9"/>
        <w:spacing w:after="0" w:line="249" w:lineRule="auto"/>
        <w:rPr>
          <w:rFonts w:hint="eastAsia"/>
        </w:rPr>
      </w:pPr>
    </w:p>
    <w:p w14:paraId="22AB79AC">
      <w:pPr>
        <w:pStyle w:val="9"/>
        <w:spacing w:after="0" w:line="249" w:lineRule="auto"/>
        <w:rPr>
          <w:rFonts w:hint="eastAsia"/>
        </w:rPr>
      </w:pPr>
      <w:r>
        <w:rPr>
          <w:rFonts w:hint="eastAsia"/>
        </w:rPr>
        <w:t>从主殿的东门槛下，将有一道河水流出，凡它所到之处，百物都得复苏；在河的两岸，将有树木，其果子可作食物，其叶子可医治万民（结 47:1-15, 启 22:22）。</w:t>
      </w:r>
    </w:p>
    <w:p w14:paraId="71F23096">
      <w:pPr>
        <w:pStyle w:val="9"/>
        <w:spacing w:after="0" w:line="249" w:lineRule="auto"/>
        <w:rPr>
          <w:rFonts w:hint="eastAsia"/>
        </w:rPr>
      </w:pPr>
    </w:p>
    <w:p w14:paraId="571155ED">
      <w:pPr>
        <w:pStyle w:val="9"/>
        <w:spacing w:after="0" w:line="249" w:lineRule="auto"/>
        <w:rPr>
          <w:rFonts w:hint="eastAsia"/>
        </w:rPr>
      </w:pPr>
      <w:r>
        <w:rPr>
          <w:rFonts w:hint="eastAsia"/>
        </w:rPr>
        <w:t>Nothing shall hurt or destroy in all God’s holy mountain, for the earth will be full of the knowledge of the LORD, even as the waters cover the sea (Isaiah 11:9; Rev. 21:10).</w:t>
      </w:r>
    </w:p>
    <w:p w14:paraId="5BD83545">
      <w:pPr>
        <w:pStyle w:val="9"/>
        <w:spacing w:after="0" w:line="249" w:lineRule="auto"/>
        <w:rPr>
          <w:rFonts w:hint="eastAsia"/>
        </w:rPr>
      </w:pPr>
    </w:p>
    <w:p w14:paraId="52D1C81D">
      <w:pPr>
        <w:pStyle w:val="9"/>
        <w:spacing w:after="0" w:line="249" w:lineRule="auto"/>
        <w:rPr>
          <w:rFonts w:hint="eastAsia"/>
        </w:rPr>
      </w:pPr>
      <w:r>
        <w:rPr>
          <w:rFonts w:hint="eastAsia"/>
        </w:rPr>
        <w:t>在神的全圣山上，一切都不伤人，不害物，因为认识耶和华的知识要充满遍地，好像水充满洋海一般（以赛亚书 11:9；启示录 21:10）。</w:t>
      </w:r>
    </w:p>
    <w:p w14:paraId="2A85D7AB">
      <w:pPr>
        <w:pStyle w:val="9"/>
        <w:spacing w:after="0" w:line="249" w:lineRule="auto"/>
        <w:rPr>
          <w:rFonts w:hint="eastAsia"/>
        </w:rPr>
      </w:pPr>
    </w:p>
    <w:p w14:paraId="1D072852">
      <w:pPr>
        <w:pStyle w:val="9"/>
        <w:spacing w:after="0" w:line="249" w:lineRule="auto"/>
        <w:rPr>
          <w:rFonts w:hint="eastAsia"/>
        </w:rPr>
      </w:pPr>
      <w:r>
        <w:rPr>
          <w:rFonts w:hint="eastAsia"/>
        </w:rPr>
        <w:t>As for John the Revelator, he writes that when the Kingdom fully comes the saints will freely eat from the Tree of Life, and the tabernacle of God shall be among men.</w:t>
      </w:r>
    </w:p>
    <w:p w14:paraId="5E7633C3">
      <w:pPr>
        <w:pStyle w:val="9"/>
        <w:spacing w:after="0" w:line="249" w:lineRule="auto"/>
        <w:rPr>
          <w:rFonts w:hint="eastAsia"/>
        </w:rPr>
      </w:pPr>
    </w:p>
    <w:p w14:paraId="3D809EC4">
      <w:pPr>
        <w:pStyle w:val="9"/>
        <w:spacing w:after="0" w:line="249" w:lineRule="auto"/>
        <w:rPr>
          <w:rFonts w:hint="eastAsia"/>
        </w:rPr>
      </w:pPr>
      <w:r>
        <w:rPr>
          <w:rFonts w:hint="eastAsia"/>
        </w:rPr>
        <w:t>至于写启示录的约翰，他写道，当国度完全降临时，圣徒们将可以随意吃生命树上的果子，并且神的帐幕要在人间。</w:t>
      </w:r>
    </w:p>
    <w:p w14:paraId="515F9E6B">
      <w:pPr>
        <w:pStyle w:val="9"/>
        <w:spacing w:after="0" w:line="249" w:lineRule="auto"/>
        <w:rPr>
          <w:rFonts w:hint="eastAsia"/>
        </w:rPr>
      </w:pPr>
    </w:p>
    <w:p w14:paraId="38308E14">
      <w:pPr>
        <w:pStyle w:val="9"/>
        <w:spacing w:after="0" w:line="249" w:lineRule="auto"/>
        <w:rPr>
          <w:rFonts w:hint="eastAsia"/>
        </w:rPr>
      </w:pPr>
      <w:r>
        <w:rPr>
          <w:rFonts w:hint="eastAsia"/>
        </w:rPr>
        <w:t>They shall be his people, and he himself—in the cool of an everlasting Day—shall dwell among them (Rev. 2:7, 21:3, 22:2, 14).</w:t>
      </w:r>
    </w:p>
    <w:p w14:paraId="34C056BD">
      <w:pPr>
        <w:pStyle w:val="9"/>
        <w:spacing w:after="0" w:line="249" w:lineRule="auto"/>
        <w:rPr>
          <w:rFonts w:hint="eastAsia"/>
        </w:rPr>
      </w:pPr>
    </w:p>
    <w:p w14:paraId="03AD59F4">
      <w:pPr>
        <w:pStyle w:val="9"/>
        <w:spacing w:after="0" w:line="249" w:lineRule="auto"/>
        <w:rPr>
          <w:rFonts w:hint="eastAsia"/>
        </w:rPr>
      </w:pPr>
      <w:r>
        <w:rPr>
          <w:rFonts w:hint="eastAsia"/>
        </w:rPr>
        <w:t>他们要作祂的子民，祂自己——在一个永恒之日的凉爽中——要与他们同住（启 2:7, 21:3, 22:2, 14）。</w:t>
      </w:r>
    </w:p>
    <w:p w14:paraId="4EE271F0">
      <w:pPr>
        <w:pStyle w:val="9"/>
        <w:spacing w:after="0" w:line="249" w:lineRule="auto"/>
        <w:rPr>
          <w:rFonts w:hint="eastAsia"/>
        </w:rPr>
      </w:pPr>
    </w:p>
    <w:p w14:paraId="44E2D0EE">
      <w:pPr>
        <w:pStyle w:val="9"/>
        <w:spacing w:after="0" w:line="249" w:lineRule="auto"/>
        <w:rPr>
          <w:rFonts w:hint="eastAsia"/>
        </w:rPr>
      </w:pPr>
      <w:r>
        <w:rPr>
          <w:rFonts w:hint="eastAsia"/>
        </w:rPr>
        <w:t>So then, in Eden we do indeed catch a glimpse of the Kingdom in seed form.</w:t>
      </w:r>
    </w:p>
    <w:p w14:paraId="6FC0218D">
      <w:pPr>
        <w:pStyle w:val="9"/>
        <w:spacing w:after="0" w:line="249" w:lineRule="auto"/>
        <w:rPr>
          <w:rFonts w:hint="eastAsia"/>
        </w:rPr>
      </w:pPr>
    </w:p>
    <w:p w14:paraId="04B99895">
      <w:pPr>
        <w:pStyle w:val="9"/>
        <w:spacing w:after="0" w:line="249" w:lineRule="auto"/>
        <w:rPr>
          <w:rFonts w:hint="eastAsia"/>
        </w:rPr>
      </w:pPr>
      <w:r>
        <w:rPr>
          <w:rFonts w:hint="eastAsia"/>
        </w:rPr>
        <w:t>那么，在伊甸园中，我们确实得以一瞥那以种子形态存在的国度。</w:t>
      </w:r>
    </w:p>
    <w:p w14:paraId="60CABD72">
      <w:pPr>
        <w:pStyle w:val="9"/>
        <w:spacing w:after="0" w:line="249" w:lineRule="auto"/>
        <w:rPr>
          <w:rFonts w:hint="eastAsia"/>
        </w:rPr>
      </w:pPr>
    </w:p>
    <w:p w14:paraId="03E87809">
      <w:pPr>
        <w:pStyle w:val="9"/>
        <w:spacing w:after="0" w:line="249" w:lineRule="auto"/>
        <w:rPr>
          <w:rFonts w:hint="eastAsia"/>
        </w:rPr>
      </w:pPr>
      <w:r>
        <w:rPr>
          <w:rFonts w:hint="eastAsia"/>
        </w:rPr>
        <w:t>And yet, with the benefit of NT hindsight we understand that this primordial world was not (yet) the Kingdom itself.</w:t>
      </w:r>
    </w:p>
    <w:p w14:paraId="18F72152">
      <w:pPr>
        <w:pStyle w:val="9"/>
        <w:spacing w:after="0" w:line="249" w:lineRule="auto"/>
        <w:rPr>
          <w:rFonts w:hint="eastAsia"/>
        </w:rPr>
      </w:pPr>
    </w:p>
    <w:p w14:paraId="10615D0D">
      <w:pPr>
        <w:pStyle w:val="9"/>
        <w:spacing w:after="0" w:line="249" w:lineRule="auto"/>
        <w:rPr>
          <w:rFonts w:hint="eastAsia"/>
        </w:rPr>
      </w:pPr>
      <w:r>
        <w:rPr>
          <w:rFonts w:hint="eastAsia"/>
        </w:rPr>
        <w:t>然而，借着新约的回溯之见，我们明白这个原始的世界还不是（尚未是）国度本身。</w:t>
      </w:r>
    </w:p>
    <w:p w14:paraId="757222E7">
      <w:pPr>
        <w:pStyle w:val="9"/>
        <w:spacing w:after="0" w:line="249" w:lineRule="auto"/>
        <w:rPr>
          <w:rFonts w:hint="eastAsia"/>
        </w:rPr>
      </w:pPr>
    </w:p>
    <w:p w14:paraId="2E2CF5F2">
      <w:pPr>
        <w:pStyle w:val="9"/>
        <w:spacing w:after="0" w:line="249" w:lineRule="auto"/>
        <w:rPr>
          <w:rFonts w:hint="eastAsia"/>
        </w:rPr>
      </w:pPr>
      <w:r>
        <w:rPr>
          <w:rFonts w:hint="eastAsia"/>
        </w:rPr>
        <w:t>We know, for example, that man and nature were not yet sealed in goodness; that despite their innocence and wholeness, they both were all too capable of falling into sin; that while Adam and Eve did indeed enjoy fellowship with God in the Garden, they had not yet come to know him in the way or the measure that he ultimately intended; that while he occasionally showed himself to them outwardly (presumably by way of theophany), they did not yet dwell in him, or he in them, permanently, by the Holy Spirit (Gen. 3:8, John 14:23, 15:5).</w:t>
      </w:r>
    </w:p>
    <w:p w14:paraId="3E3A1EF2">
      <w:pPr>
        <w:pStyle w:val="9"/>
        <w:spacing w:after="0" w:line="249" w:lineRule="auto"/>
        <w:rPr>
          <w:rFonts w:hint="eastAsia"/>
        </w:rPr>
      </w:pPr>
    </w:p>
    <w:p w14:paraId="5FE727E0">
      <w:pPr>
        <w:pStyle w:val="9"/>
        <w:spacing w:after="0" w:line="249" w:lineRule="auto"/>
        <w:rPr>
          <w:rFonts w:hint="eastAsia"/>
        </w:rPr>
      </w:pPr>
      <w:r>
        <w:rPr>
          <w:rFonts w:hint="eastAsia"/>
        </w:rPr>
        <w:t>例如，我们知道人和自然尚未被印证在良善中；尽管他们天真无邪且完整，他们都太容易堕入罪中；亚当和夏娃虽然确实在园中享受与神的交通，但他们尚未以祂最终所意欲的方式或程度来认识祂；虽然祂偶尔会向他们外在地显现（大概是通过神的显现），但他们尚未借着圣灵，永久地住在祂里面，或祂住在他们里面（创 3:8, 约 14:23, 15:5）。</w:t>
      </w:r>
    </w:p>
    <w:p w14:paraId="64327506">
      <w:pPr>
        <w:pStyle w:val="9"/>
        <w:spacing w:after="0" w:line="249" w:lineRule="auto"/>
        <w:rPr>
          <w:rFonts w:hint="eastAsia"/>
        </w:rPr>
      </w:pPr>
    </w:p>
    <w:p w14:paraId="1E8FCC53">
      <w:pPr>
        <w:pStyle w:val="9"/>
        <w:spacing w:after="0" w:line="249" w:lineRule="auto"/>
        <w:rPr>
          <w:rFonts w:hint="eastAsia"/>
        </w:rPr>
      </w:pPr>
      <w:r>
        <w:rPr>
          <w:rFonts w:hint="eastAsia"/>
        </w:rPr>
        <w:t>And perhaps most importantly, we know that they had not yet entered into the mystery of the Holy Trinity; that they had not yet encountered the Son of God, or come under his headship, or known him as King—this One for whom all things had been made, and whom the Father desired to make the “firstborn” over all his creation (Col. 1:15-16, Heb. 1:1f).</w:t>
      </w:r>
    </w:p>
    <w:p w14:paraId="155C7F6C">
      <w:pPr>
        <w:pStyle w:val="9"/>
        <w:spacing w:after="0" w:line="249" w:lineRule="auto"/>
        <w:rPr>
          <w:rFonts w:hint="eastAsia"/>
        </w:rPr>
      </w:pPr>
    </w:p>
    <w:p w14:paraId="0A6F6810">
      <w:pPr>
        <w:pStyle w:val="9"/>
        <w:spacing w:after="0" w:line="249" w:lineRule="auto"/>
        <w:rPr>
          <w:rFonts w:hint="eastAsia"/>
        </w:rPr>
      </w:pPr>
      <w:r>
        <w:rPr>
          <w:rFonts w:hint="eastAsia"/>
        </w:rPr>
        <w:t>或许最重要的是，我们知道他们尚未进入圣三一的奥秘中；他们尚未遇见神的儿子，或归于祂的元首权柄之下，或认识祂为王——这一位是万物都为其而被造的，也是父渴望使其成为祂一切创造物之上的“首生者”（西 1:15-16, 来 1:1及以下）。</w:t>
      </w:r>
    </w:p>
    <w:p w14:paraId="46D81E3E">
      <w:pPr>
        <w:pStyle w:val="9"/>
        <w:spacing w:after="0" w:line="249" w:lineRule="auto"/>
        <w:rPr>
          <w:rFonts w:hint="eastAsia"/>
        </w:rPr>
      </w:pPr>
    </w:p>
    <w:p w14:paraId="51806980">
      <w:pPr>
        <w:pStyle w:val="9"/>
        <w:spacing w:after="0" w:line="249" w:lineRule="auto"/>
        <w:rPr>
          <w:rFonts w:hint="eastAsia"/>
        </w:rPr>
      </w:pPr>
      <w:r>
        <w:rPr>
          <w:rFonts w:hint="eastAsia"/>
        </w:rPr>
        <w:t>So again, in Eden we glimpse the Kingdom only in seed form.</w:t>
      </w:r>
    </w:p>
    <w:p w14:paraId="30D2461A">
      <w:pPr>
        <w:pStyle w:val="9"/>
        <w:spacing w:after="0" w:line="249" w:lineRule="auto"/>
        <w:rPr>
          <w:rFonts w:hint="eastAsia"/>
        </w:rPr>
      </w:pPr>
    </w:p>
    <w:p w14:paraId="0C60F4FC">
      <w:pPr>
        <w:pStyle w:val="9"/>
        <w:spacing w:after="0" w:line="249" w:lineRule="auto"/>
        <w:rPr>
          <w:rFonts w:hint="eastAsia"/>
        </w:rPr>
      </w:pPr>
      <w:r>
        <w:rPr>
          <w:rFonts w:hint="eastAsia"/>
        </w:rPr>
        <w:t>所以再次强调，在伊甸园中，我们只瞥见了以种子形态存在的国度。</w:t>
      </w:r>
    </w:p>
    <w:p w14:paraId="405F614D">
      <w:pPr>
        <w:pStyle w:val="9"/>
        <w:spacing w:after="0" w:line="249" w:lineRule="auto"/>
        <w:rPr>
          <w:rFonts w:hint="eastAsia"/>
        </w:rPr>
      </w:pPr>
    </w:p>
    <w:p w14:paraId="118AB11B">
      <w:pPr>
        <w:pStyle w:val="9"/>
        <w:spacing w:after="0" w:line="249" w:lineRule="auto"/>
        <w:rPr>
          <w:rFonts w:hint="eastAsia"/>
        </w:rPr>
      </w:pPr>
      <w:r>
        <w:rPr>
          <w:rFonts w:hint="eastAsia"/>
        </w:rPr>
        <w:t>On condition of Adam’s obedience, it was indeed poised to become the Kingdom, but it had not yet been transformed into all it was meant to be.</w:t>
      </w:r>
    </w:p>
    <w:p w14:paraId="1C351059">
      <w:pPr>
        <w:pStyle w:val="9"/>
        <w:spacing w:after="0" w:line="249" w:lineRule="auto"/>
        <w:rPr>
          <w:rFonts w:hint="eastAsia"/>
        </w:rPr>
      </w:pPr>
    </w:p>
    <w:p w14:paraId="4704A72A">
      <w:pPr>
        <w:pStyle w:val="9"/>
        <w:spacing w:after="0" w:line="249" w:lineRule="auto"/>
        <w:rPr>
          <w:rFonts w:hint="eastAsia"/>
        </w:rPr>
      </w:pPr>
      <w:r>
        <w:rPr>
          <w:rFonts w:hint="eastAsia"/>
        </w:rPr>
        <w:t>在亚当顺从的条件下，它确实已准备好成为国度，但它尚未转变为其所应有的全部。</w:t>
      </w:r>
    </w:p>
    <w:p w14:paraId="2D5C921F">
      <w:pPr>
        <w:pStyle w:val="9"/>
        <w:spacing w:after="0" w:line="249" w:lineRule="auto"/>
        <w:rPr>
          <w:rFonts w:hint="eastAsia"/>
        </w:rPr>
      </w:pPr>
    </w:p>
    <w:p w14:paraId="3F76D61F">
      <w:pPr>
        <w:pStyle w:val="9"/>
        <w:spacing w:after="0" w:line="249" w:lineRule="auto"/>
        <w:rPr>
          <w:rFonts w:hint="eastAsia"/>
        </w:rPr>
      </w:pPr>
      <w:r>
        <w:rPr>
          <w:rFonts w:hint="eastAsia"/>
        </w:rPr>
        <w:t>The Mystery of Marriage and the Kingdom</w:t>
      </w:r>
    </w:p>
    <w:p w14:paraId="6C71127D">
      <w:pPr>
        <w:pStyle w:val="9"/>
        <w:spacing w:after="0" w:line="249" w:lineRule="auto"/>
        <w:rPr>
          <w:rFonts w:hint="eastAsia"/>
        </w:rPr>
      </w:pPr>
    </w:p>
    <w:p w14:paraId="5B4F8110">
      <w:pPr>
        <w:pStyle w:val="9"/>
        <w:spacing w:after="0" w:line="249" w:lineRule="auto"/>
        <w:rPr>
          <w:rFonts w:hint="eastAsia"/>
        </w:rPr>
      </w:pPr>
      <w:r>
        <w:rPr>
          <w:rFonts w:hint="eastAsia"/>
        </w:rPr>
        <w:t>婚姻的奥秘与国度</w:t>
      </w:r>
    </w:p>
    <w:p w14:paraId="337EE156">
      <w:pPr>
        <w:pStyle w:val="9"/>
        <w:spacing w:after="0" w:line="249" w:lineRule="auto"/>
        <w:rPr>
          <w:rFonts w:hint="eastAsia"/>
        </w:rPr>
      </w:pPr>
    </w:p>
    <w:p w14:paraId="2213EB3C">
      <w:pPr>
        <w:pStyle w:val="9"/>
        <w:spacing w:after="0" w:line="249" w:lineRule="auto"/>
        <w:rPr>
          <w:rFonts w:hint="eastAsia"/>
        </w:rPr>
      </w:pPr>
      <w:r>
        <w:rPr>
          <w:rFonts w:hint="eastAsia"/>
        </w:rPr>
        <w:t>Fascinatingly, a close look at Genesis 2 supplies yet another glimpse of the future Kingdom.</w:t>
      </w:r>
    </w:p>
    <w:p w14:paraId="5FCF9DE1">
      <w:pPr>
        <w:pStyle w:val="9"/>
        <w:spacing w:after="0" w:line="249" w:lineRule="auto"/>
        <w:rPr>
          <w:rFonts w:hint="eastAsia"/>
        </w:rPr>
      </w:pPr>
    </w:p>
    <w:p w14:paraId="4B8F48E5">
      <w:pPr>
        <w:pStyle w:val="9"/>
        <w:spacing w:after="0" w:line="249" w:lineRule="auto"/>
        <w:rPr>
          <w:rFonts w:hint="eastAsia"/>
        </w:rPr>
      </w:pPr>
      <w:r>
        <w:rPr>
          <w:rFonts w:hint="eastAsia"/>
        </w:rPr>
        <w:t>令人着迷的是，仔细察看创世记第2章，又提供了未来国度的另一瞥。</w:t>
      </w:r>
    </w:p>
    <w:p w14:paraId="288777E7">
      <w:pPr>
        <w:pStyle w:val="9"/>
        <w:spacing w:after="0" w:line="249" w:lineRule="auto"/>
        <w:rPr>
          <w:rFonts w:hint="eastAsia"/>
        </w:rPr>
      </w:pPr>
    </w:p>
    <w:p w14:paraId="69D5436D">
      <w:pPr>
        <w:pStyle w:val="9"/>
        <w:spacing w:after="0" w:line="249" w:lineRule="auto"/>
        <w:rPr>
          <w:rFonts w:hint="eastAsia"/>
        </w:rPr>
      </w:pPr>
      <w:r>
        <w:rPr>
          <w:rFonts w:hint="eastAsia"/>
        </w:rPr>
        <w:t>We find it in God’s method for creating the man and the woman; a method that, according to the apostle Paul, contained a great mystery.</w:t>
      </w:r>
    </w:p>
    <w:p w14:paraId="4463E939">
      <w:pPr>
        <w:pStyle w:val="9"/>
        <w:spacing w:after="0" w:line="249" w:lineRule="auto"/>
        <w:rPr>
          <w:rFonts w:hint="eastAsia"/>
        </w:rPr>
      </w:pPr>
    </w:p>
    <w:p w14:paraId="646CFE82">
      <w:pPr>
        <w:pStyle w:val="9"/>
        <w:spacing w:after="0" w:line="249" w:lineRule="auto"/>
        <w:rPr>
          <w:rFonts w:hint="eastAsia"/>
        </w:rPr>
      </w:pPr>
      <w:r>
        <w:rPr>
          <w:rFonts w:hint="eastAsia"/>
        </w:rPr>
        <w:t>我们在神创造男人和女人的方法中找到了它；根据使徒保罗的说法，这个方法包含了一个极大的奥秘。</w:t>
      </w:r>
    </w:p>
    <w:p w14:paraId="64B5B6CA">
      <w:pPr>
        <w:pStyle w:val="9"/>
        <w:spacing w:after="0" w:line="249" w:lineRule="auto"/>
        <w:rPr>
          <w:rFonts w:hint="eastAsia"/>
        </w:rPr>
      </w:pPr>
    </w:p>
    <w:p w14:paraId="15D9325F">
      <w:pPr>
        <w:pStyle w:val="9"/>
        <w:spacing w:after="0" w:line="249" w:lineRule="auto"/>
        <w:rPr>
          <w:rFonts w:hint="eastAsia"/>
        </w:rPr>
      </w:pPr>
      <w:r>
        <w:rPr>
          <w:rFonts w:hint="eastAsia"/>
        </w:rPr>
        <w:t>The first Adam represented the Last—Jesus Christ (1 Cor. 15:45).</w:t>
      </w:r>
    </w:p>
    <w:p w14:paraId="3EB40368">
      <w:pPr>
        <w:pStyle w:val="9"/>
        <w:spacing w:after="0" w:line="249" w:lineRule="auto"/>
        <w:rPr>
          <w:rFonts w:hint="eastAsia"/>
        </w:rPr>
      </w:pPr>
    </w:p>
    <w:p w14:paraId="5F384AF7">
      <w:pPr>
        <w:pStyle w:val="9"/>
        <w:spacing w:after="0" w:line="249" w:lineRule="auto"/>
        <w:rPr>
          <w:rFonts w:hint="eastAsia"/>
        </w:rPr>
      </w:pPr>
      <w:r>
        <w:rPr>
          <w:rFonts w:hint="eastAsia"/>
        </w:rPr>
        <w:t>第一个亚当预表了末后的亚当——耶稣基督（林前 15:45）。</w:t>
      </w:r>
    </w:p>
    <w:p w14:paraId="2B7D982F">
      <w:pPr>
        <w:pStyle w:val="9"/>
        <w:spacing w:after="0" w:line="249" w:lineRule="auto"/>
        <w:rPr>
          <w:rFonts w:hint="eastAsia"/>
        </w:rPr>
      </w:pPr>
    </w:p>
    <w:p w14:paraId="6DA38528">
      <w:pPr>
        <w:pStyle w:val="9"/>
        <w:spacing w:after="0" w:line="249" w:lineRule="auto"/>
        <w:rPr>
          <w:rFonts w:hint="eastAsia"/>
        </w:rPr>
      </w:pPr>
      <w:r>
        <w:rPr>
          <w:rFonts w:hint="eastAsia"/>
        </w:rPr>
        <w:t>The woman represented the Church, Christ’s Bride (Eph. 5, Rev. 12:1f).</w:t>
      </w:r>
    </w:p>
    <w:p w14:paraId="23AAD510">
      <w:pPr>
        <w:pStyle w:val="9"/>
        <w:spacing w:after="0" w:line="249" w:lineRule="auto"/>
        <w:rPr>
          <w:rFonts w:hint="eastAsia"/>
        </w:rPr>
      </w:pPr>
    </w:p>
    <w:p w14:paraId="758CECA5">
      <w:pPr>
        <w:pStyle w:val="9"/>
        <w:spacing w:after="0" w:line="249" w:lineRule="auto"/>
        <w:rPr>
          <w:rFonts w:hint="eastAsia"/>
        </w:rPr>
      </w:pPr>
      <w:r>
        <w:rPr>
          <w:rFonts w:hint="eastAsia"/>
        </w:rPr>
        <w:t>女人预表了教会，基督的新妇（弗 5, 启 12:1及以下）。</w:t>
      </w:r>
    </w:p>
    <w:p w14:paraId="30E87694">
      <w:pPr>
        <w:pStyle w:val="9"/>
        <w:spacing w:after="0" w:line="249" w:lineRule="auto"/>
        <w:rPr>
          <w:rFonts w:hint="eastAsia"/>
        </w:rPr>
      </w:pPr>
    </w:p>
    <w:p w14:paraId="1D73480F">
      <w:pPr>
        <w:pStyle w:val="9"/>
        <w:spacing w:after="0" w:line="249" w:lineRule="auto"/>
        <w:rPr>
          <w:rFonts w:hint="eastAsia"/>
        </w:rPr>
      </w:pPr>
      <w:r>
        <w:rPr>
          <w:rFonts w:hint="eastAsia"/>
        </w:rPr>
        <w:t>Just as Eve came from Adam’s side, so too the Church, figuratively speaking, comes from Christ’s side—from his very body—which God cast into the sleep of death at Calvary for the redemption of a sinful but beloved people (John 19:34).</w:t>
      </w:r>
    </w:p>
    <w:p w14:paraId="1F8C4958">
      <w:pPr>
        <w:pStyle w:val="9"/>
        <w:spacing w:after="0" w:line="249" w:lineRule="auto"/>
        <w:rPr>
          <w:rFonts w:hint="eastAsia"/>
        </w:rPr>
      </w:pPr>
    </w:p>
    <w:p w14:paraId="6E420EE3">
      <w:pPr>
        <w:pStyle w:val="9"/>
        <w:spacing w:after="0" w:line="249" w:lineRule="auto"/>
        <w:rPr>
          <w:rFonts w:hint="eastAsia"/>
        </w:rPr>
      </w:pPr>
      <w:r>
        <w:rPr>
          <w:rFonts w:hint="eastAsia"/>
        </w:rPr>
        <w:t>正如夏娃出自亚当的肋旁，教会也同样，象征性地说，出自基督的肋旁——出自祂的身体——神在加略山使其陷入死亡的沉睡，为要救赎一个有罪但蒙爱的子民（约 19:34）。</w:t>
      </w:r>
    </w:p>
    <w:p w14:paraId="18959B11">
      <w:pPr>
        <w:pStyle w:val="9"/>
        <w:spacing w:after="0" w:line="249" w:lineRule="auto"/>
        <w:rPr>
          <w:rFonts w:hint="eastAsia"/>
        </w:rPr>
      </w:pPr>
    </w:p>
    <w:p w14:paraId="11FC7D45">
      <w:pPr>
        <w:pStyle w:val="9"/>
        <w:spacing w:after="0" w:line="249" w:lineRule="auto"/>
        <w:rPr>
          <w:rFonts w:hint="eastAsia"/>
        </w:rPr>
      </w:pPr>
      <w:r>
        <w:rPr>
          <w:rFonts w:hint="eastAsia"/>
        </w:rPr>
        <w:t>And just as the LORD God brought Eve to the freshly awakened Adam, so too God the Father, even now, is bringing a specially prepared people to his risen and ascended Son, that he (the Son) might not be alone (Gen. 2:18); that he might have Her as his eternal companion, helper, lover, and (spiritual) mother of his children (Gen. 2:18, John 6:44, 65).</w:t>
      </w:r>
    </w:p>
    <w:p w14:paraId="2C751857">
      <w:pPr>
        <w:pStyle w:val="9"/>
        <w:spacing w:after="0" w:line="249" w:lineRule="auto"/>
        <w:rPr>
          <w:rFonts w:hint="eastAsia"/>
        </w:rPr>
      </w:pPr>
    </w:p>
    <w:p w14:paraId="47AB9740">
      <w:pPr>
        <w:pStyle w:val="9"/>
        <w:spacing w:after="0" w:line="249" w:lineRule="auto"/>
        <w:rPr>
          <w:rFonts w:hint="eastAsia"/>
        </w:rPr>
      </w:pPr>
      <w:r>
        <w:rPr>
          <w:rFonts w:hint="eastAsia"/>
        </w:rPr>
        <w:t>正如耶和华神将夏娃带到刚睡醒的亚当面前，父神如今也正在将一个特别预备的子民带到祂复活升天的儿子面前，好叫祂（子）不再孤单（创 2:18）；好叫祂能有她作祂永远的伴侣、帮助者、爱人，以及祂儿女（属灵）的母亲（创 2:18, 约 6:44, 65）。</w:t>
      </w:r>
    </w:p>
    <w:p w14:paraId="751FCBB3">
      <w:pPr>
        <w:pStyle w:val="9"/>
        <w:spacing w:after="0" w:line="249" w:lineRule="auto"/>
        <w:rPr>
          <w:rFonts w:hint="eastAsia"/>
        </w:rPr>
      </w:pPr>
    </w:p>
    <w:p w14:paraId="0AD6158E">
      <w:pPr>
        <w:pStyle w:val="9"/>
        <w:spacing w:after="0" w:line="249" w:lineRule="auto"/>
        <w:rPr>
          <w:rFonts w:hint="eastAsia"/>
        </w:rPr>
      </w:pPr>
      <w:r>
        <w:rPr>
          <w:rFonts w:hint="eastAsia"/>
        </w:rPr>
        <w:t>And there is more.</w:t>
      </w:r>
    </w:p>
    <w:p w14:paraId="0CA38A76">
      <w:pPr>
        <w:pStyle w:val="9"/>
        <w:spacing w:after="0" w:line="249" w:lineRule="auto"/>
        <w:rPr>
          <w:rFonts w:hint="eastAsia"/>
        </w:rPr>
      </w:pPr>
    </w:p>
    <w:p w14:paraId="55AD766C">
      <w:pPr>
        <w:pStyle w:val="9"/>
        <w:spacing w:after="0" w:line="249" w:lineRule="auto"/>
        <w:rPr>
          <w:rFonts w:hint="eastAsia"/>
        </w:rPr>
      </w:pPr>
      <w:r>
        <w:rPr>
          <w:rFonts w:hint="eastAsia"/>
        </w:rPr>
        <w:t>还有更多。</w:t>
      </w:r>
    </w:p>
    <w:p w14:paraId="51AE36C2">
      <w:pPr>
        <w:pStyle w:val="9"/>
        <w:spacing w:after="0" w:line="249" w:lineRule="auto"/>
        <w:rPr>
          <w:rFonts w:hint="eastAsia"/>
        </w:rPr>
      </w:pPr>
    </w:p>
    <w:p w14:paraId="0D67BE4F">
      <w:pPr>
        <w:pStyle w:val="9"/>
        <w:spacing w:after="0" w:line="249" w:lineRule="auto"/>
        <w:rPr>
          <w:rFonts w:hint="eastAsia"/>
        </w:rPr>
      </w:pPr>
      <w:r>
        <w:rPr>
          <w:rFonts w:hint="eastAsia"/>
        </w:rPr>
        <w:t>God’s method for creating the woman reflected his will for the character of her relationship with her husband: He created her after him, from him, and for him, with the result that she is always to live under him in a hierarchy of benevolent rulership (1 Cor. 11:1f, Eph. 5:22f, 1 Tim. 2:13).</w:t>
      </w:r>
    </w:p>
    <w:p w14:paraId="2542521A">
      <w:pPr>
        <w:pStyle w:val="9"/>
        <w:spacing w:after="0" w:line="249" w:lineRule="auto"/>
        <w:rPr>
          <w:rFonts w:hint="eastAsia"/>
        </w:rPr>
      </w:pPr>
    </w:p>
    <w:p w14:paraId="25D4CA1E">
      <w:pPr>
        <w:pStyle w:val="9"/>
        <w:spacing w:after="0" w:line="249" w:lineRule="auto"/>
        <w:rPr>
          <w:rFonts w:hint="eastAsia"/>
        </w:rPr>
      </w:pPr>
      <w:r>
        <w:rPr>
          <w:rFonts w:hint="eastAsia"/>
        </w:rPr>
        <w:t>神创造女人的方法反映了祂对她与其丈夫关系之特性的旨意：祂在她之后，从她而来，为她而造她，其结果是她总要在祂之下，活在一个仁慈统治的等级制度中（林前 11:1及以下, 弗 5:22及以下, 提前 2:13）。</w:t>
      </w:r>
    </w:p>
    <w:p w14:paraId="0E553FF1">
      <w:pPr>
        <w:pStyle w:val="9"/>
        <w:spacing w:after="0" w:line="249" w:lineRule="auto"/>
        <w:rPr>
          <w:rFonts w:hint="eastAsia"/>
        </w:rPr>
      </w:pPr>
    </w:p>
    <w:p w14:paraId="44152E35">
      <w:pPr>
        <w:pStyle w:val="9"/>
        <w:spacing w:after="0" w:line="249" w:lineRule="auto"/>
        <w:rPr>
          <w:rFonts w:hint="eastAsia"/>
        </w:rPr>
      </w:pPr>
      <w:r>
        <w:rPr>
          <w:rFonts w:hint="eastAsia"/>
        </w:rPr>
        <w:t>Therefore, as for Adam and Eve, so for Christ and the Church: He is her Head, and she is his Body—bone of his bones, and flesh of his flesh (Gen. 2:23).</w:t>
      </w:r>
    </w:p>
    <w:p w14:paraId="116B73DB">
      <w:pPr>
        <w:pStyle w:val="9"/>
        <w:spacing w:after="0" w:line="249" w:lineRule="auto"/>
        <w:rPr>
          <w:rFonts w:hint="eastAsia"/>
        </w:rPr>
      </w:pPr>
    </w:p>
    <w:p w14:paraId="312A8F30">
      <w:pPr>
        <w:pStyle w:val="9"/>
        <w:spacing w:after="0" w:line="249" w:lineRule="auto"/>
        <w:rPr>
          <w:rFonts w:hint="eastAsia"/>
        </w:rPr>
      </w:pPr>
      <w:r>
        <w:rPr>
          <w:rFonts w:hint="eastAsia"/>
        </w:rPr>
        <w:t>因此，亚当与夏娃如何，基督与教会也如何：祂是她的头，她是祂的身体——祂骨中的骨，肉中的肉（创 2:23）。</w:t>
      </w:r>
    </w:p>
    <w:p w14:paraId="5FE7A494">
      <w:pPr>
        <w:pStyle w:val="9"/>
        <w:spacing w:after="0" w:line="249" w:lineRule="auto"/>
        <w:rPr>
          <w:rFonts w:hint="eastAsia"/>
        </w:rPr>
      </w:pPr>
    </w:p>
    <w:p w14:paraId="25D9C1CA">
      <w:pPr>
        <w:pStyle w:val="9"/>
        <w:spacing w:after="0" w:line="249" w:lineRule="auto"/>
        <w:rPr>
          <w:rFonts w:hint="eastAsia"/>
        </w:rPr>
      </w:pPr>
      <w:r>
        <w:rPr>
          <w:rFonts w:hint="eastAsia"/>
        </w:rPr>
        <w:t>Or, to change the metaphor only slightly, he is her King, and she his Kingdom.</w:t>
      </w:r>
    </w:p>
    <w:p w14:paraId="70A408C4">
      <w:pPr>
        <w:pStyle w:val="9"/>
        <w:spacing w:after="0" w:line="249" w:lineRule="auto"/>
        <w:rPr>
          <w:rFonts w:hint="eastAsia"/>
        </w:rPr>
      </w:pPr>
    </w:p>
    <w:p w14:paraId="4E12D4DB">
      <w:pPr>
        <w:pStyle w:val="9"/>
        <w:spacing w:after="0" w:line="249" w:lineRule="auto"/>
        <w:rPr>
          <w:rFonts w:hint="eastAsia"/>
        </w:rPr>
      </w:pPr>
      <w:r>
        <w:rPr>
          <w:rFonts w:hint="eastAsia"/>
        </w:rPr>
        <w:t>或者，只稍微改变一下比喻，祂是她的王，她是祂的国。</w:t>
      </w:r>
    </w:p>
    <w:p w14:paraId="10573BAF">
      <w:pPr>
        <w:pStyle w:val="9"/>
        <w:spacing w:after="0" w:line="249" w:lineRule="auto"/>
        <w:rPr>
          <w:rFonts w:hint="eastAsia"/>
        </w:rPr>
      </w:pPr>
    </w:p>
    <w:p w14:paraId="1A2CDF66">
      <w:pPr>
        <w:pStyle w:val="9"/>
        <w:spacing w:after="0" w:line="249" w:lineRule="auto"/>
        <w:rPr>
          <w:rFonts w:hint="eastAsia"/>
        </w:rPr>
      </w:pPr>
      <w:r>
        <w:rPr>
          <w:rFonts w:hint="eastAsia"/>
        </w:rPr>
        <w:t>Thus, way back in Eden, even before the Fall, we glimpse the mystery of the Kingdom in the mystery of marriage.</w:t>
      </w:r>
    </w:p>
    <w:p w14:paraId="46EC54D1">
      <w:pPr>
        <w:pStyle w:val="9"/>
        <w:spacing w:after="0" w:line="249" w:lineRule="auto"/>
        <w:rPr>
          <w:rFonts w:hint="eastAsia"/>
        </w:rPr>
      </w:pPr>
    </w:p>
    <w:p w14:paraId="7D885B04">
      <w:pPr>
        <w:pStyle w:val="9"/>
        <w:spacing w:after="0" w:line="249" w:lineRule="auto"/>
        <w:rPr>
          <w:rFonts w:hint="eastAsia"/>
        </w:rPr>
      </w:pPr>
      <w:r>
        <w:rPr>
          <w:rFonts w:hint="eastAsia"/>
        </w:rPr>
        <w:t>因此，远在伊甸园，甚至在堕落之前，我们就在婚姻的奥秘中瞥见了国度的奥秘。</w:t>
      </w:r>
    </w:p>
    <w:p w14:paraId="652FD3C2">
      <w:pPr>
        <w:pStyle w:val="9"/>
        <w:spacing w:after="0" w:line="249" w:lineRule="auto"/>
        <w:rPr>
          <w:rFonts w:hint="eastAsia"/>
        </w:rPr>
      </w:pPr>
    </w:p>
    <w:p w14:paraId="1BC72AE7">
      <w:pPr>
        <w:pStyle w:val="9"/>
        <w:spacing w:after="0" w:line="249" w:lineRule="auto"/>
        <w:rPr>
          <w:rFonts w:hint="eastAsia"/>
        </w:rPr>
      </w:pPr>
      <w:r>
        <w:rPr>
          <w:rFonts w:hint="eastAsia"/>
        </w:rPr>
        <w:t>Just as God is pleased lovingly to rule over woman through Christ and her husband, so too, in the Kingdom, he will be pleased to rule over his chosen people through his royal Son (Mt. 22:2f).</w:t>
      </w:r>
    </w:p>
    <w:p w14:paraId="560B05DE">
      <w:pPr>
        <w:pStyle w:val="9"/>
        <w:spacing w:after="0" w:line="249" w:lineRule="auto"/>
        <w:rPr>
          <w:rFonts w:hint="eastAsia"/>
        </w:rPr>
      </w:pPr>
    </w:p>
    <w:p w14:paraId="46E8EF04">
      <w:pPr>
        <w:pStyle w:val="9"/>
        <w:spacing w:after="0" w:line="249" w:lineRule="auto"/>
        <w:rPr>
          <w:rFonts w:hint="eastAsia"/>
        </w:rPr>
      </w:pPr>
      <w:r>
        <w:rPr>
          <w:rFonts w:hint="eastAsia"/>
        </w:rPr>
        <w:t>正如神乐意借着基督和她的丈夫，慈爱地管治女人，同样，在国度里，祂也将乐意借着祂的君尊之子，管治祂所拣选的子民（太 22:2及以下）。</w:t>
      </w:r>
    </w:p>
    <w:p w14:paraId="5492E54D">
      <w:pPr>
        <w:pStyle w:val="9"/>
        <w:spacing w:after="0" w:line="249" w:lineRule="auto"/>
        <w:rPr>
          <w:rFonts w:hint="eastAsia"/>
        </w:rPr>
      </w:pPr>
    </w:p>
    <w:p w14:paraId="0C3F59A4">
      <w:pPr>
        <w:pStyle w:val="9"/>
        <w:spacing w:after="0" w:line="249" w:lineRule="auto"/>
        <w:rPr>
          <w:rFonts w:hint="eastAsia"/>
        </w:rPr>
      </w:pPr>
      <w:r>
        <w:rPr>
          <w:rFonts w:hint="eastAsia"/>
        </w:rPr>
        <w:t>Summing up, we find that the biblical narrative of “the good beginning” (i.e., creation in six days) gives us two precious glimpses of the Kingdom.</w:t>
      </w:r>
    </w:p>
    <w:p w14:paraId="0163260D">
      <w:pPr>
        <w:pStyle w:val="9"/>
        <w:spacing w:after="0" w:line="249" w:lineRule="auto"/>
        <w:rPr>
          <w:rFonts w:hint="eastAsia"/>
        </w:rPr>
      </w:pPr>
    </w:p>
    <w:p w14:paraId="450E3576">
      <w:pPr>
        <w:pStyle w:val="9"/>
        <w:spacing w:after="0" w:line="249" w:lineRule="auto"/>
        <w:rPr>
          <w:rFonts w:hint="eastAsia"/>
        </w:rPr>
      </w:pPr>
      <w:r>
        <w:rPr>
          <w:rFonts w:hint="eastAsia"/>
        </w:rPr>
        <w:t>总结起来，我们发现“美好起初”（即六日创造）的圣经叙事，给了我们两瞥宝贵的国度景象。</w:t>
      </w:r>
    </w:p>
    <w:p w14:paraId="652C2EE3">
      <w:pPr>
        <w:pStyle w:val="9"/>
        <w:spacing w:after="0" w:line="249" w:lineRule="auto"/>
        <w:rPr>
          <w:rFonts w:hint="eastAsia"/>
        </w:rPr>
      </w:pPr>
    </w:p>
    <w:p w14:paraId="4F9D60B7">
      <w:pPr>
        <w:pStyle w:val="9"/>
        <w:spacing w:after="0" w:line="249" w:lineRule="auto"/>
        <w:rPr>
          <w:rFonts w:hint="eastAsia"/>
        </w:rPr>
      </w:pPr>
      <w:r>
        <w:rPr>
          <w:rFonts w:hint="eastAsia"/>
        </w:rPr>
        <w:t>We see the first in the direct and blessed rule of God over man and nature; we see the second in the creation of man and woman, whereby God placed man over woman, thus supplying a perennial picture of Christ as the Head and King of his Bride, the Church.</w:t>
      </w:r>
    </w:p>
    <w:p w14:paraId="2CC3A432">
      <w:pPr>
        <w:pStyle w:val="9"/>
        <w:spacing w:after="0" w:line="249" w:lineRule="auto"/>
        <w:rPr>
          <w:rFonts w:hint="eastAsia"/>
        </w:rPr>
      </w:pPr>
    </w:p>
    <w:p w14:paraId="15EE3CB0">
      <w:pPr>
        <w:pStyle w:val="9"/>
        <w:spacing w:after="0" w:line="249" w:lineRule="auto"/>
        <w:rPr>
          <w:rFonts w:hint="eastAsia"/>
        </w:rPr>
      </w:pPr>
      <w:r>
        <w:rPr>
          <w:rFonts w:hint="eastAsia"/>
        </w:rPr>
        <w:t>我们看到的第一瞥是神对人和自然直接而蒙福的统治；我们看到的第二瞥是男人和女人的创造，借此神将男人置于女人之上，从而提供了一幅基督作为祂新妇——教会——的元首和君王的长久图画。</w:t>
      </w:r>
    </w:p>
    <w:p w14:paraId="3D4C6FEE">
      <w:pPr>
        <w:pStyle w:val="9"/>
        <w:spacing w:after="0" w:line="249" w:lineRule="auto"/>
        <w:rPr>
          <w:rFonts w:hint="eastAsia"/>
        </w:rPr>
      </w:pPr>
    </w:p>
    <w:p w14:paraId="49B4D5CB">
      <w:pPr>
        <w:pStyle w:val="9"/>
        <w:spacing w:after="0" w:line="249" w:lineRule="auto"/>
        <w:rPr>
          <w:rFonts w:hint="eastAsia"/>
        </w:rPr>
      </w:pPr>
      <w:r>
        <w:rPr>
          <w:rFonts w:hint="eastAsia"/>
        </w:rPr>
        <w:t>Importantly, here we also see that the idea of the Kingdom predates the Mosaic Law by thousands of years; that the biblical idea of the Kingdom is separable from, prior to, and more fundamental than, the idea of a Mosaic theocracy.</w:t>
      </w:r>
    </w:p>
    <w:p w14:paraId="6773ACFB">
      <w:pPr>
        <w:pStyle w:val="9"/>
        <w:spacing w:after="0" w:line="249" w:lineRule="auto"/>
        <w:rPr>
          <w:rFonts w:hint="eastAsia"/>
        </w:rPr>
      </w:pPr>
    </w:p>
    <w:p w14:paraId="27702901">
      <w:pPr>
        <w:pStyle w:val="9"/>
        <w:spacing w:after="0" w:line="249" w:lineRule="auto"/>
        <w:rPr>
          <w:rFonts w:hint="eastAsia"/>
        </w:rPr>
      </w:pPr>
      <w:r>
        <w:rPr>
          <w:rFonts w:hint="eastAsia"/>
        </w:rPr>
        <w:t>重要的是，在这里我们也看到，国度的观念比摩西律法早了几千年；圣经中国度的观念是与摩西神权政体的观念可分的、先于它的，并且比它更根本。</w:t>
      </w:r>
    </w:p>
    <w:p w14:paraId="6352AF71">
      <w:pPr>
        <w:pStyle w:val="9"/>
        <w:spacing w:after="0" w:line="249" w:lineRule="auto"/>
        <w:rPr>
          <w:rFonts w:hint="eastAsia"/>
        </w:rPr>
      </w:pPr>
    </w:p>
    <w:p w14:paraId="38128C98">
      <w:pPr>
        <w:pStyle w:val="9"/>
        <w:spacing w:after="0" w:line="249" w:lineRule="auto"/>
        <w:rPr>
          <w:rFonts w:hint="eastAsia"/>
        </w:rPr>
      </w:pPr>
      <w:r>
        <w:rPr>
          <w:rFonts w:hint="eastAsia"/>
        </w:rPr>
        <w:t>While such a theocracy may indeed serve to picture the Kingdom, the Kingdom is something other than a theocracy.</w:t>
      </w:r>
    </w:p>
    <w:p w14:paraId="34896BC6">
      <w:pPr>
        <w:pStyle w:val="9"/>
        <w:spacing w:after="0" w:line="249" w:lineRule="auto"/>
        <w:rPr>
          <w:rFonts w:hint="eastAsia"/>
        </w:rPr>
      </w:pPr>
    </w:p>
    <w:p w14:paraId="6EA378A3">
      <w:pPr>
        <w:pStyle w:val="9"/>
        <w:spacing w:after="0" w:line="249" w:lineRule="auto"/>
        <w:rPr>
          <w:rFonts w:hint="eastAsia"/>
        </w:rPr>
      </w:pPr>
      <w:r>
        <w:rPr>
          <w:rFonts w:hint="eastAsia"/>
        </w:rPr>
        <w:t>虽然这样一个神权政体确实可以用来描绘国度，但国度本身并非一个神权政体。</w:t>
      </w:r>
    </w:p>
    <w:p w14:paraId="1C2D22F9">
      <w:pPr>
        <w:pStyle w:val="9"/>
        <w:spacing w:after="0" w:line="249" w:lineRule="auto"/>
        <w:rPr>
          <w:rFonts w:hint="eastAsia"/>
        </w:rPr>
      </w:pPr>
    </w:p>
    <w:p w14:paraId="761A7C1E">
      <w:pPr>
        <w:pStyle w:val="9"/>
        <w:spacing w:after="0" w:line="249" w:lineRule="auto"/>
        <w:rPr>
          <w:rFonts w:hint="eastAsia"/>
        </w:rPr>
      </w:pPr>
      <w:r>
        <w:rPr>
          <w:rFonts w:hint="eastAsia"/>
        </w:rPr>
        <w:t>It is simply God’s direct rule, through His Son, by His Spirit, over his (redeemed) creation, with all the wholeness and blessing that such a rule implies.</w:t>
      </w:r>
    </w:p>
    <w:p w14:paraId="06A58217">
      <w:pPr>
        <w:pStyle w:val="9"/>
        <w:spacing w:after="0" w:line="249" w:lineRule="auto"/>
        <w:rPr>
          <w:rFonts w:hint="eastAsia"/>
        </w:rPr>
      </w:pPr>
    </w:p>
    <w:p w14:paraId="63C6E1B3">
      <w:pPr>
        <w:pStyle w:val="9"/>
        <w:spacing w:after="0" w:line="249" w:lineRule="auto"/>
        <w:rPr>
          <w:rFonts w:hint="eastAsia"/>
        </w:rPr>
      </w:pPr>
      <w:r>
        <w:rPr>
          <w:rFonts w:hint="eastAsia"/>
        </w:rPr>
        <w:t>它仅仅是神借着祂的儿子，凭着祂的灵，对祂（蒙赎）的创造物直接的统治，并包含了这样一个统治所蕴含的一切完整和祝福。</w:t>
      </w:r>
    </w:p>
    <w:p w14:paraId="1E551B95">
      <w:pPr>
        <w:pStyle w:val="9"/>
        <w:spacing w:after="0" w:line="249" w:lineRule="auto"/>
        <w:rPr>
          <w:rFonts w:hint="eastAsia"/>
        </w:rPr>
      </w:pPr>
    </w:p>
    <w:p w14:paraId="24F411E9">
      <w:pPr>
        <w:pStyle w:val="9"/>
        <w:spacing w:after="0" w:line="249" w:lineRule="auto"/>
        <w:rPr>
          <w:rFonts w:hint="eastAsia"/>
        </w:rPr>
      </w:pPr>
      <w:r>
        <w:rPr>
          <w:rFonts w:hint="eastAsia"/>
        </w:rPr>
        <w:t>The Kingdom and the Probation in Eden</w:t>
      </w:r>
    </w:p>
    <w:p w14:paraId="59F0A020">
      <w:pPr>
        <w:pStyle w:val="9"/>
        <w:spacing w:after="0" w:line="249" w:lineRule="auto"/>
        <w:rPr>
          <w:rFonts w:hint="eastAsia"/>
        </w:rPr>
      </w:pPr>
    </w:p>
    <w:p w14:paraId="3CEFE4FB">
      <w:pPr>
        <w:pStyle w:val="9"/>
        <w:spacing w:after="0" w:line="249" w:lineRule="auto"/>
        <w:rPr>
          <w:rFonts w:hint="eastAsia"/>
        </w:rPr>
      </w:pPr>
      <w:r>
        <w:rPr>
          <w:rFonts w:hint="eastAsia"/>
        </w:rPr>
        <w:t>国度与在伊甸园的察验</w:t>
      </w:r>
    </w:p>
    <w:p w14:paraId="6D51EC20">
      <w:pPr>
        <w:pStyle w:val="9"/>
        <w:spacing w:after="0" w:line="249" w:lineRule="auto"/>
        <w:rPr>
          <w:rFonts w:hint="eastAsia"/>
        </w:rPr>
      </w:pPr>
    </w:p>
    <w:p w14:paraId="165F4963">
      <w:pPr>
        <w:pStyle w:val="9"/>
        <w:spacing w:after="0" w:line="249" w:lineRule="auto"/>
        <w:rPr>
          <w:rFonts w:hint="eastAsia"/>
        </w:rPr>
      </w:pPr>
      <w:r>
        <w:rPr>
          <w:rFonts w:hint="eastAsia"/>
        </w:rPr>
        <w:t>We have seen that in the beginning God placed Adam on probation, giving him free access to all the trees in Eden, including the Tree of Life, but commanding him never to eat of the Tree of the Knowledge of Good and Evil.</w:t>
      </w:r>
    </w:p>
    <w:p w14:paraId="4C0E13E9">
      <w:pPr>
        <w:pStyle w:val="9"/>
        <w:spacing w:after="0" w:line="249" w:lineRule="auto"/>
        <w:rPr>
          <w:rFonts w:hint="eastAsia"/>
        </w:rPr>
      </w:pPr>
    </w:p>
    <w:p w14:paraId="5107D580">
      <w:pPr>
        <w:pStyle w:val="9"/>
        <w:spacing w:after="0" w:line="249" w:lineRule="auto"/>
        <w:rPr>
          <w:rFonts w:hint="eastAsia"/>
        </w:rPr>
      </w:pPr>
      <w:r>
        <w:rPr>
          <w:rFonts w:hint="eastAsia"/>
        </w:rPr>
        <w:t>我们已经看到，起初神将亚当置于察验之下，让他可以随意吃伊甸园中所有的树，包括生命树，但吩咐他绝不可吃分别善恶树上的果子。</w:t>
      </w:r>
    </w:p>
    <w:p w14:paraId="4A900674">
      <w:pPr>
        <w:pStyle w:val="9"/>
        <w:spacing w:after="0" w:line="249" w:lineRule="auto"/>
        <w:rPr>
          <w:rFonts w:hint="eastAsia"/>
        </w:rPr>
      </w:pPr>
    </w:p>
    <w:p w14:paraId="47EDDAAD">
      <w:pPr>
        <w:pStyle w:val="9"/>
        <w:spacing w:after="0" w:line="249" w:lineRule="auto"/>
        <w:rPr>
          <w:rFonts w:hint="eastAsia"/>
        </w:rPr>
      </w:pPr>
      <w:r>
        <w:rPr>
          <w:rFonts w:hint="eastAsia"/>
        </w:rPr>
        <w:t>As in the creation, so in the probation: Here too we can discern something of the Kingdom, if only we allow Christ to give us eyes to see it.</w:t>
      </w:r>
    </w:p>
    <w:p w14:paraId="59D01A55">
      <w:pPr>
        <w:pStyle w:val="9"/>
        <w:spacing w:after="0" w:line="249" w:lineRule="auto"/>
        <w:rPr>
          <w:rFonts w:hint="eastAsia"/>
        </w:rPr>
      </w:pPr>
    </w:p>
    <w:p w14:paraId="15E60940">
      <w:pPr>
        <w:pStyle w:val="9"/>
        <w:spacing w:after="0" w:line="249" w:lineRule="auto"/>
        <w:rPr>
          <w:rFonts w:hint="eastAsia"/>
        </w:rPr>
      </w:pPr>
      <w:r>
        <w:rPr>
          <w:rFonts w:hint="eastAsia"/>
        </w:rPr>
        <w:t>如同在创造中，在察验中也是如此：在这里我们也能辨识出国度的某些方面，只要我们让基督赐给我们能看见的眼睛。</w:t>
      </w:r>
    </w:p>
    <w:p w14:paraId="6E959C6A">
      <w:pPr>
        <w:pStyle w:val="9"/>
        <w:spacing w:after="0" w:line="249" w:lineRule="auto"/>
        <w:rPr>
          <w:rFonts w:hint="eastAsia"/>
        </w:rPr>
      </w:pPr>
    </w:p>
    <w:p w14:paraId="51F71A48">
      <w:pPr>
        <w:pStyle w:val="9"/>
        <w:spacing w:after="0" w:line="249" w:lineRule="auto"/>
        <w:rPr>
          <w:rFonts w:hint="eastAsia"/>
        </w:rPr>
      </w:pPr>
      <w:r>
        <w:rPr>
          <w:rFonts w:hint="eastAsia"/>
        </w:rPr>
        <w:t>Therefore, with the Lord close by our side, let us briefly consider four crucial facts about the state of Adam in the Garden of Eden.</w:t>
      </w:r>
    </w:p>
    <w:p w14:paraId="439C771A">
      <w:pPr>
        <w:pStyle w:val="9"/>
        <w:spacing w:after="0" w:line="249" w:lineRule="auto"/>
        <w:rPr>
          <w:rFonts w:hint="eastAsia"/>
        </w:rPr>
      </w:pPr>
    </w:p>
    <w:p w14:paraId="49882DEE">
      <w:pPr>
        <w:pStyle w:val="9"/>
        <w:spacing w:after="0" w:line="249" w:lineRule="auto"/>
        <w:rPr>
          <w:rFonts w:hint="eastAsia"/>
        </w:rPr>
      </w:pPr>
      <w:r>
        <w:rPr>
          <w:rFonts w:hint="eastAsia"/>
        </w:rPr>
        <w:t>因此，有主在我们身旁，让我们简要地思想一下关于亚当在伊甸园中状态的四个关键事实。</w:t>
      </w:r>
    </w:p>
    <w:p w14:paraId="00466C3C">
      <w:pPr>
        <w:pStyle w:val="9"/>
        <w:spacing w:after="0" w:line="249" w:lineRule="auto"/>
        <w:rPr>
          <w:rFonts w:hint="eastAsia"/>
        </w:rPr>
      </w:pPr>
    </w:p>
    <w:p w14:paraId="78404DFB">
      <w:pPr>
        <w:pStyle w:val="9"/>
        <w:spacing w:after="0" w:line="249" w:lineRule="auto"/>
        <w:rPr>
          <w:rFonts w:hint="eastAsia"/>
        </w:rPr>
      </w:pPr>
      <w:r>
        <w:rPr>
          <w:rFonts w:hint="eastAsia"/>
        </w:rPr>
        <w:t>First, he was innocent.</w:t>
      </w:r>
    </w:p>
    <w:p w14:paraId="6DA3A2D6">
      <w:pPr>
        <w:pStyle w:val="9"/>
        <w:spacing w:after="0" w:line="249" w:lineRule="auto"/>
        <w:rPr>
          <w:rFonts w:hint="eastAsia"/>
        </w:rPr>
      </w:pPr>
    </w:p>
    <w:p w14:paraId="0799F7E6">
      <w:pPr>
        <w:pStyle w:val="9"/>
        <w:spacing w:after="0" w:line="249" w:lineRule="auto"/>
        <w:rPr>
          <w:rFonts w:hint="eastAsia"/>
        </w:rPr>
      </w:pPr>
      <w:r>
        <w:rPr>
          <w:rFonts w:hint="eastAsia"/>
        </w:rPr>
        <w:t>首先，他是无罪的。</w:t>
      </w:r>
    </w:p>
    <w:p w14:paraId="5A32CBFC">
      <w:pPr>
        <w:pStyle w:val="9"/>
        <w:spacing w:after="0" w:line="249" w:lineRule="auto"/>
        <w:rPr>
          <w:rFonts w:hint="eastAsia"/>
        </w:rPr>
      </w:pPr>
    </w:p>
    <w:p w14:paraId="09501124">
      <w:pPr>
        <w:pStyle w:val="9"/>
        <w:spacing w:after="0" w:line="249" w:lineRule="auto"/>
        <w:rPr>
          <w:rFonts w:hint="eastAsia"/>
        </w:rPr>
      </w:pPr>
      <w:r>
        <w:rPr>
          <w:rFonts w:hint="eastAsia"/>
        </w:rPr>
        <w:t>That is, he had no knowledge of good and evil.</w:t>
      </w:r>
    </w:p>
    <w:p w14:paraId="24321A4C">
      <w:pPr>
        <w:pStyle w:val="9"/>
        <w:spacing w:after="0" w:line="249" w:lineRule="auto"/>
        <w:rPr>
          <w:rFonts w:hint="eastAsia"/>
        </w:rPr>
      </w:pPr>
    </w:p>
    <w:p w14:paraId="6D56F676">
      <w:pPr>
        <w:pStyle w:val="9"/>
        <w:spacing w:after="0" w:line="249" w:lineRule="auto"/>
        <w:rPr>
          <w:rFonts w:hint="eastAsia"/>
        </w:rPr>
      </w:pPr>
      <w:r>
        <w:rPr>
          <w:rFonts w:hint="eastAsia"/>
        </w:rPr>
        <w:t>就是说，他对善恶没有知识。</w:t>
      </w:r>
    </w:p>
    <w:p w14:paraId="6A9E93BB">
      <w:pPr>
        <w:pStyle w:val="9"/>
        <w:spacing w:after="0" w:line="249" w:lineRule="auto"/>
        <w:rPr>
          <w:rFonts w:hint="eastAsia"/>
        </w:rPr>
      </w:pPr>
    </w:p>
    <w:p w14:paraId="4B7890CE">
      <w:pPr>
        <w:pStyle w:val="9"/>
        <w:spacing w:after="0" w:line="249" w:lineRule="auto"/>
        <w:rPr>
          <w:rFonts w:hint="eastAsia"/>
        </w:rPr>
      </w:pPr>
      <w:r>
        <w:rPr>
          <w:rFonts w:hint="eastAsia"/>
        </w:rPr>
        <w:t>This does not mean he was experientially ignorant of goodness, since everything he experienced in his short existence before the Fall was good: God, the world, and himself (Gen. 1:31).</w:t>
      </w:r>
    </w:p>
    <w:p w14:paraId="26285917">
      <w:pPr>
        <w:pStyle w:val="9"/>
        <w:spacing w:after="0" w:line="249" w:lineRule="auto"/>
        <w:rPr>
          <w:rFonts w:hint="eastAsia"/>
        </w:rPr>
      </w:pPr>
    </w:p>
    <w:p w14:paraId="3D39EDCB">
      <w:pPr>
        <w:pStyle w:val="9"/>
        <w:spacing w:after="0" w:line="249" w:lineRule="auto"/>
        <w:rPr>
          <w:rFonts w:hint="eastAsia"/>
        </w:rPr>
      </w:pPr>
      <w:r>
        <w:rPr>
          <w:rFonts w:hint="eastAsia"/>
        </w:rPr>
        <w:t>这并不意味着他在经验上对良善无知，因为他在堕落前短暂的存在中所经历的一切都是好的：神、世界和他自己（创 1:31）。</w:t>
      </w:r>
    </w:p>
    <w:p w14:paraId="5D5EB51B">
      <w:pPr>
        <w:pStyle w:val="9"/>
        <w:spacing w:after="0" w:line="249" w:lineRule="auto"/>
        <w:rPr>
          <w:rFonts w:hint="eastAsia"/>
        </w:rPr>
      </w:pPr>
    </w:p>
    <w:p w14:paraId="7CC02F53">
      <w:pPr>
        <w:pStyle w:val="9"/>
        <w:spacing w:after="0" w:line="249" w:lineRule="auto"/>
        <w:rPr>
          <w:rFonts w:hint="eastAsia"/>
        </w:rPr>
      </w:pPr>
      <w:r>
        <w:rPr>
          <w:rFonts w:hint="eastAsia"/>
        </w:rPr>
        <w:t>It does mean, however, that he was conceptually ignorant of goodness: He had no idea of goodness, because he had no idea—or experience—of its opposite, evil.</w:t>
      </w:r>
    </w:p>
    <w:p w14:paraId="328B5680">
      <w:pPr>
        <w:pStyle w:val="9"/>
        <w:spacing w:after="0" w:line="249" w:lineRule="auto"/>
        <w:rPr>
          <w:rFonts w:hint="eastAsia"/>
        </w:rPr>
      </w:pPr>
    </w:p>
    <w:p w14:paraId="657F227D">
      <w:pPr>
        <w:pStyle w:val="9"/>
        <w:spacing w:after="0" w:line="249" w:lineRule="auto"/>
        <w:rPr>
          <w:rFonts w:hint="eastAsia"/>
        </w:rPr>
      </w:pPr>
      <w:r>
        <w:rPr>
          <w:rFonts w:hint="eastAsia"/>
        </w:rPr>
        <w:t>然而，这确实意味着他在概念上对良善无知：他对良善没有概念，因为他对它的反面——邪恶——没有概念或经验。</w:t>
      </w:r>
    </w:p>
    <w:p w14:paraId="240C1669">
      <w:pPr>
        <w:pStyle w:val="9"/>
        <w:spacing w:after="0" w:line="249" w:lineRule="auto"/>
        <w:rPr>
          <w:rFonts w:hint="eastAsia"/>
        </w:rPr>
      </w:pPr>
    </w:p>
    <w:p w14:paraId="52DA0E10">
      <w:pPr>
        <w:pStyle w:val="9"/>
        <w:spacing w:after="0" w:line="249" w:lineRule="auto"/>
        <w:rPr>
          <w:rFonts w:hint="eastAsia"/>
        </w:rPr>
      </w:pPr>
      <w:r>
        <w:rPr>
          <w:rFonts w:hint="eastAsia"/>
        </w:rPr>
        <w:t>In evil, he was a babe (1 Cor. 14:20, Isaiah 7:15-16).</w:t>
      </w:r>
    </w:p>
    <w:p w14:paraId="0839F184">
      <w:pPr>
        <w:pStyle w:val="9"/>
        <w:spacing w:after="0" w:line="249" w:lineRule="auto"/>
        <w:rPr>
          <w:rFonts w:hint="eastAsia"/>
        </w:rPr>
      </w:pPr>
    </w:p>
    <w:p w14:paraId="6C2C02E2">
      <w:pPr>
        <w:pStyle w:val="9"/>
        <w:spacing w:after="0" w:line="249" w:lineRule="auto"/>
        <w:rPr>
          <w:rFonts w:hint="eastAsia"/>
        </w:rPr>
      </w:pPr>
      <w:r>
        <w:rPr>
          <w:rFonts w:hint="eastAsia"/>
        </w:rPr>
        <w:t>在邪恶的事上，他是个婴孩（林前 14:20, 以赛亚书 7:15-16）。</w:t>
      </w:r>
    </w:p>
    <w:p w14:paraId="0D254E2E">
      <w:pPr>
        <w:pStyle w:val="9"/>
        <w:spacing w:after="0" w:line="249" w:lineRule="auto"/>
        <w:rPr>
          <w:rFonts w:hint="eastAsia"/>
        </w:rPr>
      </w:pPr>
    </w:p>
    <w:p w14:paraId="4F5877BB">
      <w:pPr>
        <w:pStyle w:val="9"/>
        <w:spacing w:after="0" w:line="249" w:lineRule="auto"/>
        <w:rPr>
          <w:rFonts w:hint="eastAsia"/>
        </w:rPr>
      </w:pPr>
      <w:r>
        <w:rPr>
          <w:rFonts w:hint="eastAsia"/>
        </w:rPr>
        <w:t>And in this case, ignorance truly was bliss.</w:t>
      </w:r>
    </w:p>
    <w:p w14:paraId="144BF44B">
      <w:pPr>
        <w:pStyle w:val="9"/>
        <w:spacing w:after="0" w:line="249" w:lineRule="auto"/>
        <w:rPr>
          <w:rFonts w:hint="eastAsia"/>
        </w:rPr>
      </w:pPr>
    </w:p>
    <w:p w14:paraId="2C817B46">
      <w:pPr>
        <w:pStyle w:val="9"/>
        <w:spacing w:after="0" w:line="249" w:lineRule="auto"/>
        <w:rPr>
          <w:rFonts w:hint="eastAsia"/>
        </w:rPr>
      </w:pPr>
      <w:r>
        <w:rPr>
          <w:rFonts w:hint="eastAsia"/>
        </w:rPr>
        <w:t>在这种情况下，无知确实是福。</w:t>
      </w:r>
    </w:p>
    <w:p w14:paraId="21F4EB3F">
      <w:pPr>
        <w:pStyle w:val="9"/>
        <w:spacing w:after="0" w:line="249" w:lineRule="auto"/>
        <w:rPr>
          <w:rFonts w:hint="eastAsia"/>
        </w:rPr>
      </w:pPr>
    </w:p>
    <w:p w14:paraId="272C8120">
      <w:pPr>
        <w:pStyle w:val="9"/>
        <w:spacing w:after="0" w:line="249" w:lineRule="auto"/>
        <w:rPr>
          <w:rFonts w:hint="eastAsia"/>
        </w:rPr>
      </w:pPr>
      <w:r>
        <w:rPr>
          <w:rFonts w:hint="eastAsia"/>
        </w:rPr>
        <w:t>Secondly, he was on probation.</w:t>
      </w:r>
    </w:p>
    <w:p w14:paraId="3C83B3B1">
      <w:pPr>
        <w:pStyle w:val="9"/>
        <w:spacing w:after="0" w:line="249" w:lineRule="auto"/>
        <w:rPr>
          <w:rFonts w:hint="eastAsia"/>
        </w:rPr>
      </w:pPr>
    </w:p>
    <w:p w14:paraId="7FBD1562">
      <w:pPr>
        <w:pStyle w:val="9"/>
        <w:spacing w:after="0" w:line="249" w:lineRule="auto"/>
        <w:rPr>
          <w:rFonts w:hint="eastAsia"/>
        </w:rPr>
      </w:pPr>
      <w:r>
        <w:rPr>
          <w:rFonts w:hint="eastAsia"/>
        </w:rPr>
        <w:t>其次，他正处于察验期。</w:t>
      </w:r>
    </w:p>
    <w:p w14:paraId="50F7E99E">
      <w:pPr>
        <w:pStyle w:val="9"/>
        <w:spacing w:after="0" w:line="249" w:lineRule="auto"/>
        <w:rPr>
          <w:rFonts w:hint="eastAsia"/>
        </w:rPr>
      </w:pPr>
    </w:p>
    <w:p w14:paraId="262E4F1B">
      <w:pPr>
        <w:pStyle w:val="9"/>
        <w:spacing w:after="0" w:line="249" w:lineRule="auto"/>
        <w:rPr>
          <w:rFonts w:hint="eastAsia"/>
        </w:rPr>
      </w:pPr>
      <w:r>
        <w:rPr>
          <w:rFonts w:hint="eastAsia"/>
        </w:rPr>
        <w:t>That is, God was pleased to test Adam’s love for him by requiring obedience to a simple command concerning the Tree of the Knowledge of Good and Evil.</w:t>
      </w:r>
    </w:p>
    <w:p w14:paraId="6F56B98B">
      <w:pPr>
        <w:pStyle w:val="9"/>
        <w:spacing w:after="0" w:line="249" w:lineRule="auto"/>
        <w:rPr>
          <w:rFonts w:hint="eastAsia"/>
        </w:rPr>
      </w:pPr>
    </w:p>
    <w:p w14:paraId="48A6BE6E">
      <w:pPr>
        <w:pStyle w:val="9"/>
        <w:spacing w:after="0" w:line="249" w:lineRule="auto"/>
        <w:rPr>
          <w:rFonts w:hint="eastAsia"/>
        </w:rPr>
      </w:pPr>
      <w:r>
        <w:rPr>
          <w:rFonts w:hint="eastAsia"/>
        </w:rPr>
        <w:t>就是说，神乐意通过要求亚当顺从一个关于分别善恶树的简单命令，来试验他对祂的爱。</w:t>
      </w:r>
    </w:p>
    <w:p w14:paraId="0683144A">
      <w:pPr>
        <w:pStyle w:val="9"/>
        <w:spacing w:after="0" w:line="249" w:lineRule="auto"/>
        <w:rPr>
          <w:rFonts w:hint="eastAsia"/>
        </w:rPr>
      </w:pPr>
    </w:p>
    <w:p w14:paraId="6A7AB51E">
      <w:pPr>
        <w:pStyle w:val="9"/>
        <w:spacing w:after="0" w:line="249" w:lineRule="auto"/>
        <w:rPr>
          <w:rFonts w:hint="eastAsia"/>
        </w:rPr>
      </w:pPr>
      <w:r>
        <w:rPr>
          <w:rFonts w:hint="eastAsia"/>
        </w:rPr>
        <w:t>Though Adam, in his innocence, knew nothing of death, he did know God as his creator and rightful ruler.</w:t>
      </w:r>
    </w:p>
    <w:p w14:paraId="36D8F0AE">
      <w:pPr>
        <w:pStyle w:val="9"/>
        <w:spacing w:after="0" w:line="249" w:lineRule="auto"/>
        <w:rPr>
          <w:rFonts w:hint="eastAsia"/>
        </w:rPr>
      </w:pPr>
    </w:p>
    <w:p w14:paraId="4F7DC0DF">
      <w:pPr>
        <w:pStyle w:val="9"/>
        <w:spacing w:after="0" w:line="249" w:lineRule="auto"/>
        <w:rPr>
          <w:rFonts w:hint="eastAsia"/>
        </w:rPr>
      </w:pPr>
      <w:r>
        <w:rPr>
          <w:rFonts w:hint="eastAsia"/>
        </w:rPr>
        <w:t>虽然亚当，在他无罪的状态下，对死亡一无所知，但他确实知道神是他的创造主和合法的统治者。</w:t>
      </w:r>
    </w:p>
    <w:p w14:paraId="23B44662">
      <w:pPr>
        <w:pStyle w:val="9"/>
        <w:spacing w:after="0" w:line="249" w:lineRule="auto"/>
        <w:rPr>
          <w:rFonts w:hint="eastAsia"/>
        </w:rPr>
      </w:pPr>
    </w:p>
    <w:p w14:paraId="1740A0D8">
      <w:pPr>
        <w:pStyle w:val="9"/>
        <w:spacing w:after="0" w:line="249" w:lineRule="auto"/>
        <w:rPr>
          <w:rFonts w:hint="eastAsia"/>
        </w:rPr>
      </w:pPr>
      <w:r>
        <w:rPr>
          <w:rFonts w:hint="eastAsia"/>
        </w:rPr>
        <w:t>He also knew the difference between “may” and “may not,” and may well have trembled to hear the latter.</w:t>
      </w:r>
    </w:p>
    <w:p w14:paraId="7F628CC0">
      <w:pPr>
        <w:pStyle w:val="9"/>
        <w:spacing w:after="0" w:line="249" w:lineRule="auto"/>
        <w:rPr>
          <w:rFonts w:hint="eastAsia"/>
        </w:rPr>
      </w:pPr>
    </w:p>
    <w:p w14:paraId="493B1598">
      <w:pPr>
        <w:pStyle w:val="9"/>
        <w:spacing w:after="0" w:line="249" w:lineRule="auto"/>
        <w:rPr>
          <w:rFonts w:hint="eastAsia"/>
        </w:rPr>
      </w:pPr>
      <w:r>
        <w:rPr>
          <w:rFonts w:hint="eastAsia"/>
        </w:rPr>
        <w:t>他也知道“可以”和“不可以”的区别，并且听到后者时很可能感到战兢。</w:t>
      </w:r>
    </w:p>
    <w:p w14:paraId="709650A6">
      <w:pPr>
        <w:pStyle w:val="9"/>
        <w:spacing w:after="0" w:line="249" w:lineRule="auto"/>
        <w:rPr>
          <w:rFonts w:hint="eastAsia"/>
        </w:rPr>
      </w:pPr>
    </w:p>
    <w:p w14:paraId="2CC9459B">
      <w:pPr>
        <w:pStyle w:val="9"/>
        <w:spacing w:after="0" w:line="249" w:lineRule="auto"/>
        <w:rPr>
          <w:rFonts w:hint="eastAsia"/>
        </w:rPr>
      </w:pPr>
      <w:r>
        <w:rPr>
          <w:rFonts w:hint="eastAsia"/>
        </w:rPr>
        <w:t>Therefore, he knew that he must freely choose to believe and obey God by staying away from the forbidden tree.</w:t>
      </w:r>
    </w:p>
    <w:p w14:paraId="3B7A3777">
      <w:pPr>
        <w:pStyle w:val="9"/>
        <w:spacing w:after="0" w:line="249" w:lineRule="auto"/>
        <w:rPr>
          <w:rFonts w:hint="eastAsia"/>
        </w:rPr>
      </w:pPr>
    </w:p>
    <w:p w14:paraId="2DACC77A">
      <w:pPr>
        <w:pStyle w:val="9"/>
        <w:spacing w:after="0" w:line="249" w:lineRule="auto"/>
        <w:rPr>
          <w:rFonts w:hint="eastAsia"/>
        </w:rPr>
      </w:pPr>
      <w:r>
        <w:rPr>
          <w:rFonts w:hint="eastAsia"/>
        </w:rPr>
        <w:t>因此，他知道他必须自由地选择相信并顺从神，远离那被禁的树。</w:t>
      </w:r>
    </w:p>
    <w:p w14:paraId="0C1B8C6A">
      <w:pPr>
        <w:pStyle w:val="9"/>
        <w:spacing w:after="0" w:line="249" w:lineRule="auto"/>
        <w:rPr>
          <w:rFonts w:hint="eastAsia"/>
        </w:rPr>
      </w:pPr>
    </w:p>
    <w:p w14:paraId="6E9A209B">
      <w:pPr>
        <w:pStyle w:val="9"/>
        <w:spacing w:after="0" w:line="249" w:lineRule="auto"/>
        <w:rPr>
          <w:rFonts w:hint="eastAsia"/>
        </w:rPr>
      </w:pPr>
      <w:r>
        <w:rPr>
          <w:rFonts w:hint="eastAsia"/>
        </w:rPr>
        <w:t>Thirdly, Adam was mutable.</w:t>
      </w:r>
    </w:p>
    <w:p w14:paraId="3EE0E5F5">
      <w:pPr>
        <w:pStyle w:val="9"/>
        <w:spacing w:after="0" w:line="249" w:lineRule="auto"/>
        <w:rPr>
          <w:rFonts w:hint="eastAsia"/>
        </w:rPr>
      </w:pPr>
    </w:p>
    <w:p w14:paraId="3C9DF052">
      <w:pPr>
        <w:pStyle w:val="9"/>
        <w:spacing w:after="0" w:line="249" w:lineRule="auto"/>
        <w:rPr>
          <w:rFonts w:hint="eastAsia"/>
        </w:rPr>
      </w:pPr>
      <w:r>
        <w:rPr>
          <w:rFonts w:hint="eastAsia"/>
        </w:rPr>
        <w:t>第三，亚当是可变的。</w:t>
      </w:r>
    </w:p>
    <w:p w14:paraId="2B855A95">
      <w:pPr>
        <w:pStyle w:val="9"/>
        <w:spacing w:after="0" w:line="249" w:lineRule="auto"/>
        <w:rPr>
          <w:rFonts w:hint="eastAsia"/>
        </w:rPr>
      </w:pPr>
    </w:p>
    <w:p w14:paraId="0ABFFAF4">
      <w:pPr>
        <w:pStyle w:val="9"/>
        <w:spacing w:after="0" w:line="249" w:lineRule="auto"/>
        <w:rPr>
          <w:rFonts w:hint="eastAsia"/>
        </w:rPr>
      </w:pPr>
      <w:r>
        <w:rPr>
          <w:rFonts w:hint="eastAsia"/>
        </w:rPr>
        <w:t>This means that if he ate from either of the two trees in the Garden, he would immediately change, whether for the better or the worse.</w:t>
      </w:r>
    </w:p>
    <w:p w14:paraId="57DF87FC">
      <w:pPr>
        <w:pStyle w:val="9"/>
        <w:spacing w:after="0" w:line="249" w:lineRule="auto"/>
        <w:rPr>
          <w:rFonts w:hint="eastAsia"/>
        </w:rPr>
      </w:pPr>
    </w:p>
    <w:p w14:paraId="2EF53E3D">
      <w:pPr>
        <w:pStyle w:val="9"/>
        <w:spacing w:after="0" w:line="249" w:lineRule="auto"/>
        <w:rPr>
          <w:rFonts w:hint="eastAsia"/>
        </w:rPr>
      </w:pPr>
      <w:r>
        <w:rPr>
          <w:rFonts w:hint="eastAsia"/>
        </w:rPr>
        <w:t>这意味着，如果他吃了园中两棵树中的任何一棵，他都会立刻改变，无论是变好还是变坏。</w:t>
      </w:r>
    </w:p>
    <w:p w14:paraId="61EEF76C">
      <w:pPr>
        <w:pStyle w:val="9"/>
        <w:spacing w:after="0" w:line="249" w:lineRule="auto"/>
        <w:rPr>
          <w:rFonts w:hint="eastAsia"/>
        </w:rPr>
      </w:pPr>
    </w:p>
    <w:p w14:paraId="519813EA">
      <w:pPr>
        <w:pStyle w:val="9"/>
        <w:spacing w:after="0" w:line="249" w:lineRule="auto"/>
        <w:rPr>
          <w:rFonts w:hint="eastAsia"/>
        </w:rPr>
      </w:pPr>
      <w:r>
        <w:rPr>
          <w:rFonts w:hint="eastAsia"/>
        </w:rPr>
        <w:t>If he ate of the Tree of Life, he would live forever in intimate spiritual union with the triune God (Gen. 3:22, John 17:3, 23).</w:t>
      </w:r>
    </w:p>
    <w:p w14:paraId="445E54B9">
      <w:pPr>
        <w:pStyle w:val="9"/>
        <w:spacing w:after="0" w:line="249" w:lineRule="auto"/>
        <w:rPr>
          <w:rFonts w:hint="eastAsia"/>
        </w:rPr>
      </w:pPr>
    </w:p>
    <w:p w14:paraId="6F9878D5">
      <w:pPr>
        <w:pStyle w:val="9"/>
        <w:spacing w:after="0" w:line="249" w:lineRule="auto"/>
        <w:rPr>
          <w:rFonts w:hint="eastAsia"/>
        </w:rPr>
      </w:pPr>
      <w:r>
        <w:rPr>
          <w:rFonts w:hint="eastAsia"/>
        </w:rPr>
        <w:t>如果他吃了生命树的果子，他就会在与三一神亲密的属灵联合中永远活着（创 3:22, 约 17:3, 23）。</w:t>
      </w:r>
    </w:p>
    <w:p w14:paraId="5ABE350B">
      <w:pPr>
        <w:pStyle w:val="9"/>
        <w:spacing w:after="0" w:line="249" w:lineRule="auto"/>
        <w:rPr>
          <w:rFonts w:hint="eastAsia"/>
        </w:rPr>
      </w:pPr>
    </w:p>
    <w:p w14:paraId="38D6722C">
      <w:pPr>
        <w:pStyle w:val="9"/>
        <w:spacing w:after="0" w:line="249" w:lineRule="auto"/>
        <w:rPr>
          <w:rFonts w:hint="eastAsia"/>
        </w:rPr>
      </w:pPr>
      <w:r>
        <w:rPr>
          <w:rFonts w:hint="eastAsia"/>
        </w:rPr>
        <w:t>If he ate of the Tree of the Knowledge of Good and Evil, he would die—and, as time would prove, in more ways than one.</w:t>
      </w:r>
    </w:p>
    <w:p w14:paraId="0AE8A98A">
      <w:pPr>
        <w:pStyle w:val="9"/>
        <w:spacing w:after="0" w:line="249" w:lineRule="auto"/>
        <w:rPr>
          <w:rFonts w:hint="eastAsia"/>
        </w:rPr>
      </w:pPr>
    </w:p>
    <w:p w14:paraId="2E1918FF">
      <w:pPr>
        <w:pStyle w:val="9"/>
        <w:spacing w:after="0" w:line="249" w:lineRule="auto"/>
        <w:rPr>
          <w:rFonts w:hint="eastAsia"/>
        </w:rPr>
      </w:pPr>
      <w:r>
        <w:rPr>
          <w:rFonts w:hint="eastAsia"/>
        </w:rPr>
        <w:t>如果他吃了分别善恶树的果子，他就会死——并且，时间会证明，是以不止一种方式死。</w:t>
      </w:r>
    </w:p>
    <w:p w14:paraId="18BE3607">
      <w:pPr>
        <w:pStyle w:val="9"/>
        <w:spacing w:after="0" w:line="249" w:lineRule="auto"/>
        <w:rPr>
          <w:rFonts w:hint="eastAsia"/>
        </w:rPr>
      </w:pPr>
    </w:p>
    <w:p w14:paraId="78E83FD8">
      <w:pPr>
        <w:pStyle w:val="9"/>
        <w:spacing w:after="0" w:line="249" w:lineRule="auto"/>
        <w:rPr>
          <w:rFonts w:hint="eastAsia"/>
        </w:rPr>
      </w:pPr>
      <w:r>
        <w:rPr>
          <w:rFonts w:hint="eastAsia"/>
        </w:rPr>
        <w:t>Finally—and quite importantly—Adam, throughout his probation, stood before God as the head or representative of both man and nature.</w:t>
      </w:r>
    </w:p>
    <w:p w14:paraId="31376A21">
      <w:pPr>
        <w:pStyle w:val="9"/>
        <w:spacing w:after="0" w:line="249" w:lineRule="auto"/>
        <w:rPr>
          <w:rFonts w:hint="eastAsia"/>
        </w:rPr>
      </w:pPr>
    </w:p>
    <w:p w14:paraId="32A50AD3">
      <w:pPr>
        <w:pStyle w:val="9"/>
        <w:spacing w:after="0" w:line="249" w:lineRule="auto"/>
        <w:rPr>
          <w:rFonts w:hint="eastAsia"/>
        </w:rPr>
      </w:pPr>
      <w:r>
        <w:rPr>
          <w:rFonts w:hint="eastAsia"/>
        </w:rPr>
        <w:t>最后——且相当重要地——亚当，在他整个察验期间，都作为人和自然的元首或代表站在神面前。</w:t>
      </w:r>
    </w:p>
    <w:p w14:paraId="139222B4">
      <w:pPr>
        <w:pStyle w:val="9"/>
        <w:spacing w:after="0" w:line="249" w:lineRule="auto"/>
        <w:rPr>
          <w:rFonts w:hint="eastAsia"/>
        </w:rPr>
      </w:pPr>
    </w:p>
    <w:p w14:paraId="1826A250">
      <w:pPr>
        <w:pStyle w:val="9"/>
        <w:spacing w:after="0" w:line="249" w:lineRule="auto"/>
        <w:rPr>
          <w:rFonts w:hint="eastAsia"/>
        </w:rPr>
      </w:pPr>
      <w:r>
        <w:rPr>
          <w:rFonts w:hint="eastAsia"/>
        </w:rPr>
        <w:t>In other words, whatever his decision vis-à-vis the two trees, it would affect not only himself, but also the whole family of man and the whole natural world that God had created to be their home.</w:t>
      </w:r>
    </w:p>
    <w:p w14:paraId="11A0C12B">
      <w:pPr>
        <w:pStyle w:val="9"/>
        <w:spacing w:after="0" w:line="249" w:lineRule="auto"/>
        <w:rPr>
          <w:rFonts w:hint="eastAsia"/>
        </w:rPr>
      </w:pPr>
    </w:p>
    <w:p w14:paraId="209918BB">
      <w:pPr>
        <w:pStyle w:val="9"/>
        <w:spacing w:after="0" w:line="249" w:lineRule="auto"/>
        <w:rPr>
          <w:rFonts w:hint="eastAsia"/>
        </w:rPr>
      </w:pPr>
      <w:r>
        <w:rPr>
          <w:rFonts w:hint="eastAsia"/>
        </w:rPr>
        <w:t>换句话说，无论他对那两棵树作出何种决定，都不仅会影响他自己，也会影响整个人类家庭和神所创造的、作为他们家园的整个自然界。</w:t>
      </w:r>
    </w:p>
    <w:p w14:paraId="1C04262A">
      <w:pPr>
        <w:pStyle w:val="9"/>
        <w:spacing w:after="0" w:line="249" w:lineRule="auto"/>
        <w:rPr>
          <w:rFonts w:hint="eastAsia"/>
        </w:rPr>
      </w:pPr>
    </w:p>
    <w:p w14:paraId="447B63CA">
      <w:pPr>
        <w:pStyle w:val="9"/>
        <w:spacing w:after="0" w:line="249" w:lineRule="auto"/>
        <w:rPr>
          <w:rFonts w:hint="eastAsia"/>
        </w:rPr>
      </w:pPr>
      <w:r>
        <w:rPr>
          <w:rFonts w:hint="eastAsia"/>
        </w:rPr>
        <w:t>If he passed the test, he would lift up all things—the very universe itself—into eternal life.</w:t>
      </w:r>
    </w:p>
    <w:p w14:paraId="39F158B7">
      <w:pPr>
        <w:pStyle w:val="9"/>
        <w:spacing w:after="0" w:line="249" w:lineRule="auto"/>
        <w:rPr>
          <w:rFonts w:hint="eastAsia"/>
        </w:rPr>
      </w:pPr>
    </w:p>
    <w:p w14:paraId="68B1D366">
      <w:pPr>
        <w:pStyle w:val="9"/>
        <w:spacing w:after="0" w:line="249" w:lineRule="auto"/>
        <w:rPr>
          <w:rFonts w:hint="eastAsia"/>
        </w:rPr>
      </w:pPr>
      <w:r>
        <w:rPr>
          <w:rFonts w:hint="eastAsia"/>
        </w:rPr>
        <w:t>如果他通过了试验，他就会将万物——整个宇宙本身——都提升到永生里。</w:t>
      </w:r>
    </w:p>
    <w:p w14:paraId="482232A2">
      <w:pPr>
        <w:pStyle w:val="9"/>
        <w:spacing w:after="0" w:line="249" w:lineRule="auto"/>
        <w:rPr>
          <w:rFonts w:hint="eastAsia"/>
        </w:rPr>
      </w:pPr>
    </w:p>
    <w:p w14:paraId="490A45BF">
      <w:pPr>
        <w:pStyle w:val="9"/>
        <w:spacing w:after="0" w:line="249" w:lineRule="auto"/>
        <w:rPr>
          <w:rFonts w:hint="eastAsia"/>
        </w:rPr>
      </w:pPr>
      <w:r>
        <w:rPr>
          <w:rFonts w:hint="eastAsia"/>
        </w:rPr>
        <w:t>If he failed, he would drag them all down with him into death and destruction.</w:t>
      </w:r>
    </w:p>
    <w:p w14:paraId="42284569">
      <w:pPr>
        <w:pStyle w:val="9"/>
        <w:spacing w:after="0" w:line="249" w:lineRule="auto"/>
        <w:rPr>
          <w:rFonts w:hint="eastAsia"/>
        </w:rPr>
      </w:pPr>
    </w:p>
    <w:p w14:paraId="7CAC8687">
      <w:pPr>
        <w:pStyle w:val="9"/>
        <w:spacing w:after="0" w:line="249" w:lineRule="auto"/>
        <w:rPr>
          <w:rFonts w:hint="eastAsia"/>
        </w:rPr>
      </w:pPr>
      <w:r>
        <w:rPr>
          <w:rFonts w:hint="eastAsia"/>
        </w:rPr>
        <w:t>如果他失败了，他就会将它们全都与他一同拖入死亡和毁灭中。</w:t>
      </w:r>
    </w:p>
    <w:p w14:paraId="4D42A83B">
      <w:pPr>
        <w:pStyle w:val="9"/>
        <w:spacing w:after="0" w:line="249" w:lineRule="auto"/>
        <w:rPr>
          <w:rFonts w:hint="eastAsia"/>
        </w:rPr>
      </w:pPr>
    </w:p>
    <w:p w14:paraId="44B5E6A1">
      <w:pPr>
        <w:pStyle w:val="9"/>
        <w:spacing w:after="0" w:line="249" w:lineRule="auto"/>
        <w:rPr>
          <w:rFonts w:hint="eastAsia"/>
        </w:rPr>
      </w:pPr>
      <w:r>
        <w:rPr>
          <w:rFonts w:hint="eastAsia"/>
        </w:rPr>
        <w:t>Thus, in the days of his probation Adam was like a door through which great good—or great evil—would soon enter the universe, life, and man (Rom. 5:12f, 8:18-25).</w:t>
      </w:r>
    </w:p>
    <w:p w14:paraId="3CE51365">
      <w:pPr>
        <w:pStyle w:val="9"/>
        <w:spacing w:after="0" w:line="249" w:lineRule="auto"/>
        <w:rPr>
          <w:rFonts w:hint="eastAsia"/>
        </w:rPr>
      </w:pPr>
    </w:p>
    <w:p w14:paraId="6747AE12">
      <w:pPr>
        <w:pStyle w:val="9"/>
        <w:spacing w:after="0" w:line="249" w:lineRule="auto"/>
        <w:rPr>
          <w:rFonts w:hint="eastAsia"/>
        </w:rPr>
      </w:pPr>
      <w:r>
        <w:rPr>
          <w:rFonts w:hint="eastAsia"/>
        </w:rPr>
        <w:t>因此，在他察验的日子里，亚当就像一扇门，极大的善——或极大的恶——将很快通过这扇门进入宇宙、生命和人里面（罗 5:12及以下, 8:18-25）。</w:t>
      </w:r>
    </w:p>
    <w:p w14:paraId="42EADBFE">
      <w:pPr>
        <w:pStyle w:val="9"/>
        <w:spacing w:after="0" w:line="249" w:lineRule="auto"/>
        <w:rPr>
          <w:rFonts w:hint="eastAsia"/>
        </w:rPr>
      </w:pPr>
    </w:p>
    <w:p w14:paraId="1F5A1E6D">
      <w:pPr>
        <w:pStyle w:val="9"/>
        <w:spacing w:after="0" w:line="249" w:lineRule="auto"/>
        <w:rPr>
          <w:rFonts w:hint="eastAsia"/>
        </w:rPr>
      </w:pPr>
      <w:r>
        <w:rPr>
          <w:rFonts w:hint="eastAsia"/>
        </w:rPr>
        <w:t>In a moment, we will consider at length some of the terrible consequences of Adam’s failing this simple test.</w:t>
      </w:r>
    </w:p>
    <w:p w14:paraId="3639EC91">
      <w:pPr>
        <w:pStyle w:val="9"/>
        <w:spacing w:after="0" w:line="249" w:lineRule="auto"/>
        <w:rPr>
          <w:rFonts w:hint="eastAsia"/>
        </w:rPr>
      </w:pPr>
    </w:p>
    <w:p w14:paraId="707B5A02">
      <w:pPr>
        <w:pStyle w:val="9"/>
        <w:spacing w:after="0" w:line="249" w:lineRule="auto"/>
        <w:rPr>
          <w:rFonts w:hint="eastAsia"/>
        </w:rPr>
      </w:pPr>
      <w:r>
        <w:rPr>
          <w:rFonts w:hint="eastAsia"/>
        </w:rPr>
        <w:t>稍后，我们将详细思想亚当未能通过这个简单试验的一些可怕后果。</w:t>
      </w:r>
    </w:p>
    <w:p w14:paraId="7B7D29FE">
      <w:pPr>
        <w:pStyle w:val="9"/>
        <w:spacing w:after="0" w:line="249" w:lineRule="auto"/>
        <w:rPr>
          <w:rFonts w:hint="eastAsia"/>
        </w:rPr>
      </w:pPr>
    </w:p>
    <w:p w14:paraId="510F5D5B">
      <w:pPr>
        <w:pStyle w:val="9"/>
        <w:spacing w:after="0" w:line="249" w:lineRule="auto"/>
        <w:rPr>
          <w:rFonts w:hint="eastAsia"/>
        </w:rPr>
      </w:pPr>
      <w:r>
        <w:rPr>
          <w:rFonts w:hint="eastAsia"/>
        </w:rPr>
        <w:t>Here, however, I want to linger over an important but oft-neglected aspect of his probation, namely that in Eden God offered the fullness of his Kingdom to Adam and his family at the Tree of life.</w:t>
      </w:r>
    </w:p>
    <w:p w14:paraId="554DC018">
      <w:pPr>
        <w:pStyle w:val="9"/>
        <w:spacing w:after="0" w:line="249" w:lineRule="auto"/>
        <w:rPr>
          <w:rFonts w:hint="eastAsia"/>
        </w:rPr>
      </w:pPr>
    </w:p>
    <w:p w14:paraId="456B0C76">
      <w:pPr>
        <w:pStyle w:val="9"/>
        <w:spacing w:after="0" w:line="249" w:lineRule="auto"/>
        <w:rPr>
          <w:rFonts w:hint="eastAsia"/>
        </w:rPr>
      </w:pPr>
      <w:r>
        <w:rPr>
          <w:rFonts w:hint="eastAsia"/>
        </w:rPr>
        <w:t>然而，在此我想停留在一个重要但常被忽略的、关于他察验的方面，即在伊甸园，神在生命树那里，向亚当和他的家庭提供了祂国度的丰满。</w:t>
      </w:r>
    </w:p>
    <w:p w14:paraId="1BCFCD3B">
      <w:pPr>
        <w:pStyle w:val="9"/>
        <w:spacing w:after="0" w:line="249" w:lineRule="auto"/>
        <w:rPr>
          <w:rFonts w:hint="eastAsia"/>
        </w:rPr>
      </w:pPr>
    </w:p>
    <w:p w14:paraId="2AA5A51D">
      <w:pPr>
        <w:pStyle w:val="9"/>
        <w:spacing w:after="0" w:line="249" w:lineRule="auto"/>
        <w:rPr>
          <w:rFonts w:hint="eastAsia"/>
        </w:rPr>
      </w:pPr>
      <w:r>
        <w:rPr>
          <w:rFonts w:hint="eastAsia"/>
        </w:rPr>
        <w:t>We do not, of course, find this explicitly stated in Genesis, or elsewhere in the Old Testament.</w:t>
      </w:r>
    </w:p>
    <w:p w14:paraId="77D8A2EB">
      <w:pPr>
        <w:pStyle w:val="9"/>
        <w:spacing w:after="0" w:line="249" w:lineRule="auto"/>
        <w:rPr>
          <w:rFonts w:hint="eastAsia"/>
        </w:rPr>
      </w:pPr>
    </w:p>
    <w:p w14:paraId="37365E1C">
      <w:pPr>
        <w:pStyle w:val="9"/>
        <w:spacing w:after="0" w:line="249" w:lineRule="auto"/>
        <w:rPr>
          <w:rFonts w:hint="eastAsia"/>
        </w:rPr>
      </w:pPr>
      <w:r>
        <w:rPr>
          <w:rFonts w:hint="eastAsia"/>
        </w:rPr>
        <w:t>当然，我们在创世记或旧约其他地方找不到明确的陈述。</w:t>
      </w:r>
    </w:p>
    <w:p w14:paraId="01F1307F">
      <w:pPr>
        <w:pStyle w:val="9"/>
        <w:spacing w:after="0" w:line="249" w:lineRule="auto"/>
        <w:rPr>
          <w:rFonts w:hint="eastAsia"/>
        </w:rPr>
      </w:pPr>
    </w:p>
    <w:p w14:paraId="1D84A02F">
      <w:pPr>
        <w:pStyle w:val="9"/>
        <w:spacing w:after="0" w:line="249" w:lineRule="auto"/>
        <w:rPr>
          <w:rFonts w:hint="eastAsia"/>
        </w:rPr>
      </w:pPr>
      <w:r>
        <w:rPr>
          <w:rFonts w:hint="eastAsia"/>
        </w:rPr>
        <w:t>We do, however, in the New.</w:t>
      </w:r>
    </w:p>
    <w:p w14:paraId="1F465A0D">
      <w:pPr>
        <w:pStyle w:val="9"/>
        <w:spacing w:after="0" w:line="249" w:lineRule="auto"/>
        <w:rPr>
          <w:rFonts w:hint="eastAsia"/>
        </w:rPr>
      </w:pPr>
    </w:p>
    <w:p w14:paraId="7D3A518E">
      <w:pPr>
        <w:pStyle w:val="9"/>
        <w:spacing w:after="0" w:line="249" w:lineRule="auto"/>
        <w:rPr>
          <w:rFonts w:hint="eastAsia"/>
        </w:rPr>
      </w:pPr>
      <w:r>
        <w:rPr>
          <w:rFonts w:hint="eastAsia"/>
        </w:rPr>
        <w:t>然而，我们在新约中找到了。</w:t>
      </w:r>
    </w:p>
    <w:p w14:paraId="4C326278">
      <w:pPr>
        <w:pStyle w:val="9"/>
        <w:spacing w:after="0" w:line="249" w:lineRule="auto"/>
        <w:rPr>
          <w:rFonts w:hint="eastAsia"/>
        </w:rPr>
      </w:pPr>
    </w:p>
    <w:p w14:paraId="3D81AF2A">
      <w:pPr>
        <w:pStyle w:val="9"/>
        <w:spacing w:after="0" w:line="249" w:lineRule="auto"/>
        <w:rPr>
          <w:rFonts w:hint="eastAsia"/>
        </w:rPr>
      </w:pPr>
      <w:r>
        <w:rPr>
          <w:rFonts w:hint="eastAsia"/>
        </w:rPr>
        <w:t>There we learn that the Tree of Life was a “type” or symbol of the eternal life that God offers to sinful man in the Gospel (John 17:3, Rev. 2:7, 22:2, 14).</w:t>
      </w:r>
    </w:p>
    <w:p w14:paraId="60707615">
      <w:pPr>
        <w:pStyle w:val="9"/>
        <w:spacing w:after="0" w:line="249" w:lineRule="auto"/>
        <w:rPr>
          <w:rFonts w:hint="eastAsia"/>
        </w:rPr>
      </w:pPr>
    </w:p>
    <w:p w14:paraId="66FBBD8E">
      <w:pPr>
        <w:pStyle w:val="9"/>
        <w:spacing w:after="0" w:line="249" w:lineRule="auto"/>
        <w:rPr>
          <w:rFonts w:hint="eastAsia"/>
        </w:rPr>
      </w:pPr>
      <w:r>
        <w:rPr>
          <w:rFonts w:hint="eastAsia"/>
        </w:rPr>
        <w:t>在那里我们学到，生命树是神在福音中向有罪之人所提供之永生的“预表”或象征（约 17:3, 启 2:7, 22:2, 14）。</w:t>
      </w:r>
    </w:p>
    <w:p w14:paraId="467AFC16">
      <w:pPr>
        <w:pStyle w:val="9"/>
        <w:spacing w:after="0" w:line="249" w:lineRule="auto"/>
        <w:rPr>
          <w:rFonts w:hint="eastAsia"/>
        </w:rPr>
      </w:pPr>
    </w:p>
    <w:p w14:paraId="6B995AEB">
      <w:pPr>
        <w:pStyle w:val="9"/>
        <w:spacing w:after="0" w:line="249" w:lineRule="auto"/>
        <w:rPr>
          <w:rFonts w:hint="eastAsia"/>
        </w:rPr>
      </w:pPr>
      <w:r>
        <w:rPr>
          <w:rFonts w:hint="eastAsia"/>
        </w:rPr>
        <w:t>And how, in NT times (i.e., in “these last days”) does one receive eternal life?</w:t>
      </w:r>
    </w:p>
    <w:p w14:paraId="42DCF1C2">
      <w:pPr>
        <w:pStyle w:val="9"/>
        <w:spacing w:after="0" w:line="249" w:lineRule="auto"/>
        <w:rPr>
          <w:rFonts w:hint="eastAsia"/>
        </w:rPr>
      </w:pPr>
    </w:p>
    <w:p w14:paraId="3B9D03DB">
      <w:pPr>
        <w:pStyle w:val="9"/>
        <w:spacing w:after="0" w:line="249" w:lineRule="auto"/>
        <w:rPr>
          <w:rFonts w:hint="eastAsia"/>
        </w:rPr>
      </w:pPr>
      <w:r>
        <w:rPr>
          <w:rFonts w:hint="eastAsia"/>
        </w:rPr>
        <w:t>并且，在新约时代（即“在这末后的日子”），人如何领受永生呢？</w:t>
      </w:r>
    </w:p>
    <w:p w14:paraId="0E49C016">
      <w:pPr>
        <w:pStyle w:val="9"/>
        <w:spacing w:after="0" w:line="249" w:lineRule="auto"/>
        <w:rPr>
          <w:rFonts w:hint="eastAsia"/>
        </w:rPr>
      </w:pPr>
    </w:p>
    <w:p w14:paraId="1323BC93">
      <w:pPr>
        <w:pStyle w:val="9"/>
        <w:spacing w:after="0" w:line="249" w:lineRule="auto"/>
        <w:rPr>
          <w:rFonts w:hint="eastAsia"/>
        </w:rPr>
      </w:pPr>
      <w:r>
        <w:rPr>
          <w:rFonts w:hint="eastAsia"/>
        </w:rPr>
        <w:t>The answer is clear: by receiving Christ (Mt. 10:40, John 1:12, 13:20).</w:t>
      </w:r>
    </w:p>
    <w:p w14:paraId="4A72AFD0">
      <w:pPr>
        <w:pStyle w:val="9"/>
        <w:spacing w:after="0" w:line="249" w:lineRule="auto"/>
        <w:rPr>
          <w:rFonts w:hint="eastAsia"/>
        </w:rPr>
      </w:pPr>
    </w:p>
    <w:p w14:paraId="394591A4">
      <w:pPr>
        <w:pStyle w:val="9"/>
        <w:spacing w:after="0" w:line="249" w:lineRule="auto"/>
        <w:rPr>
          <w:rFonts w:hint="eastAsia"/>
        </w:rPr>
      </w:pPr>
      <w:r>
        <w:rPr>
          <w:rFonts w:hint="eastAsia"/>
        </w:rPr>
        <w:t>答案是清楚的：借着接受基督（太 10:40, 约 1:12, 13:20）。</w:t>
      </w:r>
    </w:p>
    <w:p w14:paraId="73900450">
      <w:pPr>
        <w:pStyle w:val="9"/>
        <w:spacing w:after="0" w:line="249" w:lineRule="auto"/>
        <w:rPr>
          <w:rFonts w:hint="eastAsia"/>
        </w:rPr>
      </w:pPr>
    </w:p>
    <w:p w14:paraId="1AB8BB31">
      <w:pPr>
        <w:pStyle w:val="9"/>
        <w:spacing w:after="0" w:line="249" w:lineRule="auto"/>
        <w:rPr>
          <w:rFonts w:hint="eastAsia"/>
        </w:rPr>
      </w:pPr>
      <w:r>
        <w:rPr>
          <w:rFonts w:hint="eastAsia"/>
        </w:rPr>
        <w:t>This fundamental NT truth helps us richly to understand the true situation in Eden.</w:t>
      </w:r>
    </w:p>
    <w:p w14:paraId="4C3A9766">
      <w:pPr>
        <w:pStyle w:val="9"/>
        <w:spacing w:after="0" w:line="249" w:lineRule="auto"/>
        <w:rPr>
          <w:rFonts w:hint="eastAsia"/>
        </w:rPr>
      </w:pPr>
    </w:p>
    <w:p w14:paraId="1D89E730">
      <w:pPr>
        <w:pStyle w:val="9"/>
        <w:spacing w:after="0" w:line="249" w:lineRule="auto"/>
        <w:rPr>
          <w:rFonts w:hint="eastAsia"/>
        </w:rPr>
      </w:pPr>
      <w:r>
        <w:rPr>
          <w:rFonts w:hint="eastAsia"/>
        </w:rPr>
        <w:t>这个基本的新约真理帮助我们丰富地理解伊甸园的真实情况。</w:t>
      </w:r>
    </w:p>
    <w:p w14:paraId="1BB138B0">
      <w:pPr>
        <w:pStyle w:val="9"/>
        <w:spacing w:after="0" w:line="249" w:lineRule="auto"/>
        <w:rPr>
          <w:rFonts w:hint="eastAsia"/>
        </w:rPr>
      </w:pPr>
    </w:p>
    <w:p w14:paraId="1A72ABBA">
      <w:pPr>
        <w:pStyle w:val="9"/>
        <w:spacing w:after="0" w:line="249" w:lineRule="auto"/>
        <w:rPr>
          <w:rFonts w:hint="eastAsia"/>
        </w:rPr>
      </w:pPr>
      <w:r>
        <w:rPr>
          <w:rFonts w:hint="eastAsia"/>
        </w:rPr>
        <w:t>The Tree of Life represented eternal life—the kind of life ever enjoyed by the triune God, and that life lived forever.</w:t>
      </w:r>
    </w:p>
    <w:p w14:paraId="60FEEB15">
      <w:pPr>
        <w:pStyle w:val="9"/>
        <w:spacing w:after="0" w:line="249" w:lineRule="auto"/>
        <w:rPr>
          <w:rFonts w:hint="eastAsia"/>
        </w:rPr>
      </w:pPr>
    </w:p>
    <w:p w14:paraId="156596C5">
      <w:pPr>
        <w:pStyle w:val="9"/>
        <w:spacing w:after="0" w:line="249" w:lineRule="auto"/>
        <w:rPr>
          <w:rFonts w:hint="eastAsia"/>
        </w:rPr>
      </w:pPr>
      <w:r>
        <w:rPr>
          <w:rFonts w:hint="eastAsia"/>
        </w:rPr>
        <w:t>生命树代表着永生——即三一神所永远享受的那种生命，并且是永远活着的生命。</w:t>
      </w:r>
    </w:p>
    <w:p w14:paraId="2CC57ADE">
      <w:pPr>
        <w:pStyle w:val="9"/>
        <w:spacing w:after="0" w:line="249" w:lineRule="auto"/>
        <w:rPr>
          <w:rFonts w:hint="eastAsia"/>
        </w:rPr>
      </w:pPr>
    </w:p>
    <w:p w14:paraId="6CBADEC1">
      <w:pPr>
        <w:pStyle w:val="9"/>
        <w:spacing w:after="0" w:line="249" w:lineRule="auto"/>
        <w:rPr>
          <w:rFonts w:hint="eastAsia"/>
        </w:rPr>
      </w:pPr>
      <w:r>
        <w:rPr>
          <w:rFonts w:hint="eastAsia"/>
        </w:rPr>
        <w:t>The fruit of the Tree represented Christ, or more accurately, God the Son—the “receivable” part of God.1</w:t>
      </w:r>
    </w:p>
    <w:p w14:paraId="32DBEF71">
      <w:pPr>
        <w:pStyle w:val="9"/>
        <w:spacing w:after="0" w:line="249" w:lineRule="auto"/>
        <w:rPr>
          <w:rFonts w:hint="eastAsia"/>
        </w:rPr>
      </w:pPr>
    </w:p>
    <w:p w14:paraId="754AEBF1">
      <w:pPr>
        <w:pStyle w:val="9"/>
        <w:spacing w:after="0" w:line="249" w:lineRule="auto"/>
        <w:rPr>
          <w:rFonts w:hint="eastAsia"/>
        </w:rPr>
      </w:pPr>
      <w:r>
        <w:rPr>
          <w:rFonts w:hint="eastAsia"/>
        </w:rPr>
        <w:t>那树的果子代表基督，或更准确地说，是神的儿子——神“可接受”的部分。1</w:t>
      </w:r>
    </w:p>
    <w:p w14:paraId="79E0A479">
      <w:pPr>
        <w:pStyle w:val="9"/>
        <w:spacing w:after="0" w:line="249" w:lineRule="auto"/>
        <w:rPr>
          <w:rFonts w:hint="eastAsia"/>
        </w:rPr>
      </w:pPr>
    </w:p>
    <w:p w14:paraId="1B2CEF7A">
      <w:pPr>
        <w:pStyle w:val="9"/>
        <w:spacing w:after="0" w:line="249" w:lineRule="auto"/>
        <w:rPr>
          <w:rFonts w:hint="eastAsia"/>
        </w:rPr>
      </w:pPr>
      <w:r>
        <w:rPr>
          <w:rFonts w:hint="eastAsia"/>
        </w:rPr>
        <w:t>Adam had only to eat of that fruit, and he and his family would have entered immediately, once and for all, into the great trinitarian mystery; they would have come to know the Father, through the Son, by the Holy Spirit (John 14:16-23, 17:3).</w:t>
      </w:r>
    </w:p>
    <w:p w14:paraId="554AD39A">
      <w:pPr>
        <w:pStyle w:val="9"/>
        <w:spacing w:after="0" w:line="249" w:lineRule="auto"/>
        <w:rPr>
          <w:rFonts w:hint="eastAsia"/>
        </w:rPr>
      </w:pPr>
    </w:p>
    <w:p w14:paraId="6CB910EB">
      <w:pPr>
        <w:pStyle w:val="9"/>
        <w:spacing w:after="0" w:line="249" w:lineRule="auto"/>
        <w:rPr>
          <w:rFonts w:hint="eastAsia"/>
        </w:rPr>
      </w:pPr>
      <w:r>
        <w:rPr>
          <w:rFonts w:hint="eastAsia"/>
        </w:rPr>
        <w:t>亚当只需吃那果子，他和他的家庭就会立刻、一劳永逸地，进入那伟大的三一奥秘中；他们就会借着子，凭着圣灵，认识父（约 14:16-23, 17:3）。</w:t>
      </w:r>
    </w:p>
    <w:p w14:paraId="1D37CC9F">
      <w:pPr>
        <w:pStyle w:val="9"/>
        <w:spacing w:after="0" w:line="249" w:lineRule="auto"/>
        <w:rPr>
          <w:rFonts w:hint="eastAsia"/>
        </w:rPr>
      </w:pPr>
    </w:p>
    <w:p w14:paraId="3E491461">
      <w:pPr>
        <w:pStyle w:val="9"/>
        <w:spacing w:after="0" w:line="249" w:lineRule="auto"/>
        <w:rPr>
          <w:rFonts w:hint="eastAsia"/>
        </w:rPr>
      </w:pPr>
      <w:r>
        <w:rPr>
          <w:rFonts w:hint="eastAsia"/>
        </w:rPr>
        <w:t>And that would only have been the beginning.</w:t>
      </w:r>
    </w:p>
    <w:p w14:paraId="2540EF01">
      <w:pPr>
        <w:pStyle w:val="9"/>
        <w:spacing w:after="0" w:line="249" w:lineRule="auto"/>
        <w:rPr>
          <w:rFonts w:hint="eastAsia"/>
        </w:rPr>
      </w:pPr>
    </w:p>
    <w:p w14:paraId="6FAB414E">
      <w:pPr>
        <w:pStyle w:val="9"/>
        <w:spacing w:after="0" w:line="249" w:lineRule="auto"/>
        <w:rPr>
          <w:rFonts w:hint="eastAsia"/>
        </w:rPr>
      </w:pPr>
      <w:r>
        <w:rPr>
          <w:rFonts w:hint="eastAsia"/>
        </w:rPr>
        <w:t>而那仅仅是个开始。</w:t>
      </w:r>
    </w:p>
    <w:p w14:paraId="3637E33B">
      <w:pPr>
        <w:pStyle w:val="9"/>
        <w:spacing w:after="0" w:line="249" w:lineRule="auto"/>
        <w:rPr>
          <w:rFonts w:hint="eastAsia"/>
        </w:rPr>
      </w:pPr>
    </w:p>
    <w:p w14:paraId="13C6C430">
      <w:pPr>
        <w:pStyle w:val="9"/>
        <w:spacing w:after="0" w:line="249" w:lineRule="auto"/>
        <w:rPr>
          <w:rFonts w:hint="eastAsia"/>
        </w:rPr>
      </w:pPr>
      <w:r>
        <w:rPr>
          <w:rFonts w:hint="eastAsia"/>
        </w:rPr>
        <w:t>For now, in full possession of the Trinity, Adam and his family also would have fulfilled God’s original purpose for his creation by coming under the direct headship of his Son.</w:t>
      </w:r>
    </w:p>
    <w:p w14:paraId="0B51AA59">
      <w:pPr>
        <w:pStyle w:val="9"/>
        <w:spacing w:after="0" w:line="249" w:lineRule="auto"/>
        <w:rPr>
          <w:rFonts w:hint="eastAsia"/>
        </w:rPr>
      </w:pPr>
    </w:p>
    <w:p w14:paraId="1E244A59">
      <w:pPr>
        <w:pStyle w:val="9"/>
        <w:spacing w:after="0" w:line="249" w:lineRule="auto"/>
        <w:rPr>
          <w:rFonts w:hint="eastAsia"/>
        </w:rPr>
      </w:pPr>
      <w:r>
        <w:rPr>
          <w:rFonts w:hint="eastAsia"/>
        </w:rPr>
        <w:t>因为如今，在完全拥有三一神之后，亚当和他的家庭也会借着归于祂儿子的直接元首权柄之下，而成全神对祂创造物的原始旨意。</w:t>
      </w:r>
    </w:p>
    <w:p w14:paraId="7B3E64EF">
      <w:pPr>
        <w:pStyle w:val="9"/>
        <w:spacing w:after="0" w:line="249" w:lineRule="auto"/>
        <w:rPr>
          <w:rFonts w:hint="eastAsia"/>
        </w:rPr>
      </w:pPr>
    </w:p>
    <w:p w14:paraId="4FA7F2D6">
      <w:pPr>
        <w:pStyle w:val="9"/>
        <w:spacing w:after="0" w:line="249" w:lineRule="auto"/>
        <w:rPr>
          <w:rFonts w:hint="eastAsia"/>
        </w:rPr>
      </w:pPr>
      <w:r>
        <w:rPr>
          <w:rFonts w:hint="eastAsia"/>
        </w:rPr>
        <w:t>How do we know this?</w:t>
      </w:r>
    </w:p>
    <w:p w14:paraId="640BE92D">
      <w:pPr>
        <w:pStyle w:val="9"/>
        <w:spacing w:after="0" w:line="249" w:lineRule="auto"/>
        <w:rPr>
          <w:rFonts w:hint="eastAsia"/>
        </w:rPr>
      </w:pPr>
    </w:p>
    <w:p w14:paraId="2E5BCD93">
      <w:pPr>
        <w:pStyle w:val="9"/>
        <w:spacing w:after="0" w:line="249" w:lineRule="auto"/>
        <w:rPr>
          <w:rFonts w:hint="eastAsia"/>
        </w:rPr>
      </w:pPr>
      <w:r>
        <w:rPr>
          <w:rFonts w:hint="eastAsia"/>
        </w:rPr>
        <w:t>我们如何知道这一点？</w:t>
      </w:r>
    </w:p>
    <w:p w14:paraId="4E7409D8">
      <w:pPr>
        <w:pStyle w:val="9"/>
        <w:spacing w:after="0" w:line="249" w:lineRule="auto"/>
        <w:rPr>
          <w:rFonts w:hint="eastAsia"/>
        </w:rPr>
      </w:pPr>
    </w:p>
    <w:p w14:paraId="16B8A135">
      <w:pPr>
        <w:pStyle w:val="9"/>
        <w:spacing w:after="0" w:line="249" w:lineRule="auto"/>
        <w:rPr>
          <w:rFonts w:hint="eastAsia"/>
        </w:rPr>
      </w:pPr>
      <w:r>
        <w:rPr>
          <w:rFonts w:hint="eastAsia"/>
        </w:rPr>
        <w:t>Again, we know it from NT revelation.</w:t>
      </w:r>
    </w:p>
    <w:p w14:paraId="683857ED">
      <w:pPr>
        <w:pStyle w:val="9"/>
        <w:spacing w:after="0" w:line="249" w:lineRule="auto"/>
        <w:rPr>
          <w:rFonts w:hint="eastAsia"/>
        </w:rPr>
      </w:pPr>
    </w:p>
    <w:p w14:paraId="30B0F03C">
      <w:pPr>
        <w:pStyle w:val="9"/>
        <w:spacing w:after="0" w:line="249" w:lineRule="auto"/>
        <w:rPr>
          <w:rFonts w:hint="eastAsia"/>
        </w:rPr>
      </w:pPr>
      <w:r>
        <w:rPr>
          <w:rFonts w:hint="eastAsia"/>
        </w:rPr>
        <w:t>再次强调，我们是从新约的启示中知道的。</w:t>
      </w:r>
    </w:p>
    <w:p w14:paraId="04120DB2">
      <w:pPr>
        <w:pStyle w:val="9"/>
        <w:spacing w:after="0" w:line="249" w:lineRule="auto"/>
        <w:rPr>
          <w:rFonts w:hint="eastAsia"/>
        </w:rPr>
      </w:pPr>
    </w:p>
    <w:p w14:paraId="7B31D8FF">
      <w:pPr>
        <w:pStyle w:val="9"/>
        <w:spacing w:after="0" w:line="249" w:lineRule="auto"/>
        <w:rPr>
          <w:rFonts w:hint="eastAsia"/>
        </w:rPr>
      </w:pPr>
      <w:r>
        <w:rPr>
          <w:rFonts w:hint="eastAsia"/>
        </w:rPr>
        <w:t>In particular, we know it from Paul’s letter to the Ephesians, where he writes that God’s purpose in redemption was, among other things,“… the heading up of all things in Christ, things in the heavens, and things upon the earth” (Eph. 1:9-10).</w:t>
      </w:r>
    </w:p>
    <w:p w14:paraId="7EE6CBBA">
      <w:pPr>
        <w:pStyle w:val="9"/>
        <w:spacing w:after="0" w:line="249" w:lineRule="auto"/>
        <w:rPr>
          <w:rFonts w:hint="eastAsia"/>
        </w:rPr>
      </w:pPr>
    </w:p>
    <w:p w14:paraId="4FA6FAED">
      <w:pPr>
        <w:pStyle w:val="9"/>
        <w:spacing w:after="0" w:line="249" w:lineRule="auto"/>
        <w:rPr>
          <w:rFonts w:hint="eastAsia"/>
        </w:rPr>
      </w:pPr>
      <w:r>
        <w:rPr>
          <w:rFonts w:hint="eastAsia"/>
        </w:rPr>
        <w:t>特别是，我们是从保罗写给以弗所人的信中知道的，他在那里写道，神在救赎中的旨意，除其他事之外，“……是要将万有，无论是在诸天之上的，或是在地上的，都在基督里归一于一个元首之下”（弗 1:9-10）。</w:t>
      </w:r>
    </w:p>
    <w:p w14:paraId="15EC5C24">
      <w:pPr>
        <w:pStyle w:val="9"/>
        <w:spacing w:after="0" w:line="249" w:lineRule="auto"/>
        <w:rPr>
          <w:rFonts w:hint="eastAsia"/>
        </w:rPr>
      </w:pPr>
    </w:p>
    <w:p w14:paraId="2B7C1B32">
      <w:pPr>
        <w:pStyle w:val="9"/>
        <w:spacing w:after="0" w:line="249" w:lineRule="auto"/>
        <w:rPr>
          <w:rFonts w:hint="eastAsia"/>
        </w:rPr>
      </w:pPr>
      <w:r>
        <w:rPr>
          <w:rFonts w:hint="eastAsia"/>
        </w:rPr>
        <w:t>Similarly, we know it from his letter to the Colossians, wherein he taught us that all things were created for the Son, and that the Son now is, and was ever meant to be, “the head, the first-born over all creation”—its rightful heir and ruler (Col. 1:14-18, Heb. 1:2).</w:t>
      </w:r>
    </w:p>
    <w:p w14:paraId="2DFF6CD0">
      <w:pPr>
        <w:pStyle w:val="9"/>
        <w:spacing w:after="0" w:line="249" w:lineRule="auto"/>
        <w:rPr>
          <w:rFonts w:hint="eastAsia"/>
        </w:rPr>
      </w:pPr>
    </w:p>
    <w:p w14:paraId="3808BA20">
      <w:pPr>
        <w:pStyle w:val="9"/>
        <w:spacing w:after="0" w:line="249" w:lineRule="auto"/>
        <w:rPr>
          <w:rFonts w:hint="eastAsia"/>
        </w:rPr>
      </w:pPr>
      <w:r>
        <w:rPr>
          <w:rFonts w:hint="eastAsia"/>
        </w:rPr>
        <w:t>同样，我们是从他写给歌罗西人的信中知道的，他在其中教导我们，万物都是为子造的，并且子现在是，且一直意在成为，“元首，是一切受造之物中首生的”——其合法的承受者和统治者（西 1:14-18, 来 1:2）。</w:t>
      </w:r>
    </w:p>
    <w:p w14:paraId="7EC5E2A8">
      <w:pPr>
        <w:pStyle w:val="9"/>
        <w:spacing w:after="0" w:line="249" w:lineRule="auto"/>
        <w:rPr>
          <w:rFonts w:hint="eastAsia"/>
        </w:rPr>
      </w:pPr>
    </w:p>
    <w:p w14:paraId="05021722">
      <w:pPr>
        <w:pStyle w:val="9"/>
        <w:spacing w:after="0" w:line="249" w:lineRule="auto"/>
        <w:rPr>
          <w:rFonts w:hint="eastAsia"/>
        </w:rPr>
      </w:pPr>
      <w:r>
        <w:rPr>
          <w:rFonts w:hint="eastAsia"/>
        </w:rPr>
        <w:t>In short, through redemption in Christ, God is now fulfilling his original purpose in creation and probation.</w:t>
      </w:r>
    </w:p>
    <w:p w14:paraId="62358A4D">
      <w:pPr>
        <w:pStyle w:val="9"/>
        <w:spacing w:after="0" w:line="249" w:lineRule="auto"/>
        <w:rPr>
          <w:rFonts w:hint="eastAsia"/>
        </w:rPr>
      </w:pPr>
    </w:p>
    <w:p w14:paraId="0081E5F4">
      <w:pPr>
        <w:pStyle w:val="9"/>
        <w:spacing w:after="0" w:line="249" w:lineRule="auto"/>
        <w:rPr>
          <w:rFonts w:hint="eastAsia"/>
        </w:rPr>
      </w:pPr>
      <w:r>
        <w:rPr>
          <w:rFonts w:hint="eastAsia"/>
        </w:rPr>
        <w:t>简而言之，借着在基督里的救赎，神如今正在成全祂在创造和察验中的原始旨意。</w:t>
      </w:r>
    </w:p>
    <w:p w14:paraId="5663A131">
      <w:pPr>
        <w:pStyle w:val="9"/>
        <w:spacing w:after="0" w:line="249" w:lineRule="auto"/>
        <w:rPr>
          <w:rFonts w:hint="eastAsia"/>
        </w:rPr>
      </w:pPr>
    </w:p>
    <w:p w14:paraId="0E9C4729">
      <w:pPr>
        <w:pStyle w:val="9"/>
        <w:spacing w:after="0" w:line="249" w:lineRule="auto"/>
        <w:rPr>
          <w:rFonts w:hint="eastAsia"/>
        </w:rPr>
      </w:pPr>
      <w:r>
        <w:rPr>
          <w:rFonts w:hint="eastAsia"/>
        </w:rPr>
        <w:t>Not only does the NT illuminate what did happen in Eden, it also strongly suggests what would have happened, if only had Adam passed his probation.</w:t>
      </w:r>
    </w:p>
    <w:p w14:paraId="52FA290B">
      <w:pPr>
        <w:pStyle w:val="9"/>
        <w:spacing w:after="0" w:line="249" w:lineRule="auto"/>
        <w:rPr>
          <w:rFonts w:hint="eastAsia"/>
        </w:rPr>
      </w:pPr>
    </w:p>
    <w:p w14:paraId="4683B175">
      <w:pPr>
        <w:pStyle w:val="9"/>
        <w:spacing w:after="0" w:line="249" w:lineRule="auto"/>
        <w:rPr>
          <w:rFonts w:hint="eastAsia"/>
        </w:rPr>
      </w:pPr>
      <w:r>
        <w:rPr>
          <w:rFonts w:hint="eastAsia"/>
        </w:rPr>
        <w:t>新约不仅阐明了在伊甸园发生的事，也强烈地暗示了如果亚当通过了他的察验会发生什么。</w:t>
      </w:r>
    </w:p>
    <w:p w14:paraId="15379022">
      <w:pPr>
        <w:pStyle w:val="9"/>
        <w:spacing w:after="0" w:line="249" w:lineRule="auto"/>
        <w:rPr>
          <w:rFonts w:hint="eastAsia"/>
        </w:rPr>
      </w:pPr>
    </w:p>
    <w:p w14:paraId="30DAA7F3">
      <w:pPr>
        <w:pStyle w:val="9"/>
        <w:spacing w:after="0" w:line="249" w:lineRule="auto"/>
        <w:rPr>
          <w:rFonts w:hint="eastAsia"/>
        </w:rPr>
      </w:pPr>
      <w:r>
        <w:rPr>
          <w:rFonts w:hint="eastAsia"/>
        </w:rPr>
        <w:t>The thought is a sobering one: Upon condition of obedience, Adam (and his family), in due season, would have come to know the Son of God, and also to experience eternal life under his benevolent rule (John 5:26, 1 John 5:11).</w:t>
      </w:r>
    </w:p>
    <w:p w14:paraId="65E3232E">
      <w:pPr>
        <w:pStyle w:val="9"/>
        <w:spacing w:after="0" w:line="249" w:lineRule="auto"/>
        <w:rPr>
          <w:rFonts w:hint="eastAsia"/>
        </w:rPr>
      </w:pPr>
    </w:p>
    <w:p w14:paraId="0485510B">
      <w:pPr>
        <w:pStyle w:val="9"/>
        <w:spacing w:after="0" w:line="249" w:lineRule="auto"/>
        <w:rPr>
          <w:rFonts w:hint="eastAsia"/>
        </w:rPr>
      </w:pPr>
      <w:r>
        <w:rPr>
          <w:rFonts w:hint="eastAsia"/>
        </w:rPr>
        <w:t>这个想法令人警醒：在顺从的条件下，亚当（和他的家庭），到了时候，就会认识神的儿子，并体验到在祂仁慈统治下的永生（约 5:26, 约一 5:11）。</w:t>
      </w:r>
    </w:p>
    <w:p w14:paraId="233BE778">
      <w:pPr>
        <w:pStyle w:val="9"/>
        <w:spacing w:after="0" w:line="249" w:lineRule="auto"/>
        <w:rPr>
          <w:rFonts w:hint="eastAsia"/>
        </w:rPr>
      </w:pPr>
    </w:p>
    <w:p w14:paraId="017B1BFC">
      <w:pPr>
        <w:pStyle w:val="9"/>
        <w:spacing w:after="0" w:line="249" w:lineRule="auto"/>
        <w:rPr>
          <w:rFonts w:hint="eastAsia"/>
        </w:rPr>
      </w:pPr>
      <w:r>
        <w:rPr>
          <w:rFonts w:hint="eastAsia"/>
        </w:rPr>
        <w:t>Or, to say the same thing using the preferred NT metaphor, he and his family would have entered the Kingdom of the High King of Heaven.</w:t>
      </w:r>
    </w:p>
    <w:p w14:paraId="26E73D28">
      <w:pPr>
        <w:pStyle w:val="9"/>
        <w:spacing w:after="0" w:line="249" w:lineRule="auto"/>
        <w:rPr>
          <w:rFonts w:hint="eastAsia"/>
        </w:rPr>
      </w:pPr>
    </w:p>
    <w:p w14:paraId="797973D8">
      <w:pPr>
        <w:pStyle w:val="9"/>
        <w:spacing w:after="0" w:line="249" w:lineRule="auto"/>
        <w:rPr>
          <w:rFonts w:hint="eastAsia"/>
        </w:rPr>
      </w:pPr>
      <w:r>
        <w:rPr>
          <w:rFonts w:hint="eastAsia"/>
        </w:rPr>
        <w:t>或者，用新约更偏爱的比喻来说，他和他的家庭就会进入天上至高君王的国度。</w:t>
      </w:r>
    </w:p>
    <w:p w14:paraId="0EEBAEE0">
      <w:pPr>
        <w:pStyle w:val="9"/>
        <w:spacing w:after="0" w:line="249" w:lineRule="auto"/>
        <w:rPr>
          <w:rFonts w:hint="eastAsia"/>
        </w:rPr>
      </w:pPr>
    </w:p>
    <w:p w14:paraId="44B6EF8C">
      <w:pPr>
        <w:pStyle w:val="9"/>
        <w:spacing w:after="0" w:line="249" w:lineRule="auto"/>
        <w:rPr>
          <w:rFonts w:hint="eastAsia"/>
        </w:rPr>
      </w:pPr>
      <w:r>
        <w:rPr>
          <w:rFonts w:hint="eastAsia"/>
        </w:rPr>
        <w:t>This would have meant unspeakable blessings for the universe, life, and man.</w:t>
      </w:r>
    </w:p>
    <w:p w14:paraId="76102042">
      <w:pPr>
        <w:pStyle w:val="9"/>
        <w:spacing w:after="0" w:line="249" w:lineRule="auto"/>
        <w:rPr>
          <w:rFonts w:hint="eastAsia"/>
        </w:rPr>
      </w:pPr>
    </w:p>
    <w:p w14:paraId="3D2D6C7F">
      <w:pPr>
        <w:pStyle w:val="9"/>
        <w:spacing w:after="0" w:line="249" w:lineRule="auto"/>
        <w:rPr>
          <w:rFonts w:hint="eastAsia"/>
        </w:rPr>
      </w:pPr>
      <w:r>
        <w:rPr>
          <w:rFonts w:hint="eastAsia"/>
        </w:rPr>
        <w:t>这对宇宙、生命和人来说，将意味着难以言喻的祝福。</w:t>
      </w:r>
    </w:p>
    <w:p w14:paraId="2A6853EA">
      <w:pPr>
        <w:pStyle w:val="9"/>
        <w:spacing w:after="0" w:line="249" w:lineRule="auto"/>
        <w:rPr>
          <w:rFonts w:hint="eastAsia"/>
        </w:rPr>
      </w:pPr>
    </w:p>
    <w:p w14:paraId="4E8DA314">
      <w:pPr>
        <w:pStyle w:val="9"/>
        <w:spacing w:after="0" w:line="249" w:lineRule="auto"/>
        <w:rPr>
          <w:rFonts w:hint="eastAsia"/>
        </w:rPr>
      </w:pPr>
      <w:r>
        <w:rPr>
          <w:rFonts w:hint="eastAsia"/>
        </w:rPr>
        <w:t>For now—with all creativity, fruitfulness, and joy— the Sovereign Son, pursuant to his Father’s plans for the cosmos, would have shepherded both man and nature down the long corridor of universal history (John 10:1-30), brought them faithfully to their appointed ends (Phil. 1:6), exalted them to a state of glory (Rom. 8:18-25, 1 Cor. 15:50-58), and then—in a cosmic grand finale—handed them all back over to the Father, that God might be all in all (1 Cor. 15:20-28)!</w:t>
      </w:r>
    </w:p>
    <w:p w14:paraId="31783895">
      <w:pPr>
        <w:pStyle w:val="9"/>
        <w:spacing w:after="0" w:line="249" w:lineRule="auto"/>
        <w:rPr>
          <w:rFonts w:hint="eastAsia"/>
        </w:rPr>
      </w:pPr>
    </w:p>
    <w:p w14:paraId="26D1EDAB">
      <w:pPr>
        <w:pStyle w:val="9"/>
        <w:spacing w:after="0" w:line="249" w:lineRule="auto"/>
        <w:rPr>
          <w:rFonts w:hint="eastAsia"/>
        </w:rPr>
      </w:pPr>
      <w:r>
        <w:rPr>
          <w:rFonts w:hint="eastAsia"/>
        </w:rPr>
        <w:t>因为如今——带着一切的创造力、丰盛和喜乐——这位主宰之子，遵照祂父对宇宙的计划，就会牧养人和自然，走过宇宙历史的长廊（约 10:1-30），信实地将他们带到他们命定的终点（腓 1:6），将他们高举到荣耀的状态（罗 8:18-25, 林前 15:50-58），然后——在一个宇宙性的宏大终曲中——将他们全都交还给父，好叫神在万有中作万有（林前 15:20-28）！</w:t>
      </w:r>
    </w:p>
    <w:p w14:paraId="46A4E8C0">
      <w:pPr>
        <w:pStyle w:val="9"/>
        <w:spacing w:after="0" w:line="249" w:lineRule="auto"/>
        <w:rPr>
          <w:rFonts w:hint="eastAsia"/>
        </w:rPr>
      </w:pPr>
    </w:p>
    <w:p w14:paraId="41018B6B">
      <w:pPr>
        <w:pStyle w:val="9"/>
        <w:spacing w:after="0" w:line="249" w:lineRule="auto"/>
        <w:rPr>
          <w:rFonts w:hint="eastAsia"/>
        </w:rPr>
      </w:pPr>
      <w:r>
        <w:rPr>
          <w:rFonts w:hint="eastAsia"/>
        </w:rPr>
        <w:t>What a world, what a journey, and what a Kingdom awaited Adam and Eve at the Tree of Life!</w:t>
      </w:r>
    </w:p>
    <w:p w14:paraId="6C4A57C6">
      <w:pPr>
        <w:pStyle w:val="9"/>
        <w:spacing w:after="0" w:line="249" w:lineRule="auto"/>
        <w:rPr>
          <w:rFonts w:hint="eastAsia"/>
        </w:rPr>
      </w:pPr>
    </w:p>
    <w:p w14:paraId="1234326C">
      <w:pPr>
        <w:pStyle w:val="9"/>
        <w:spacing w:after="0" w:line="249" w:lineRule="auto"/>
        <w:rPr>
          <w:rFonts w:hint="eastAsia"/>
        </w:rPr>
      </w:pPr>
      <w:r>
        <w:rPr>
          <w:rFonts w:hint="eastAsia"/>
        </w:rPr>
        <w:t>在生命树那里，等待着亚当和夏娃的是何等的一个世界、何等的一段旅程、何等的一个国度啊！</w:t>
      </w:r>
    </w:p>
    <w:p w14:paraId="0C1B7BF1">
      <w:pPr>
        <w:pStyle w:val="9"/>
        <w:spacing w:after="0" w:line="249" w:lineRule="auto"/>
        <w:rPr>
          <w:rFonts w:hint="eastAsia"/>
        </w:rPr>
      </w:pPr>
    </w:p>
    <w:p w14:paraId="7E72A5AE">
      <w:pPr>
        <w:pStyle w:val="9"/>
        <w:spacing w:after="0" w:line="249" w:lineRule="auto"/>
        <w:rPr>
          <w:rFonts w:hint="eastAsia"/>
        </w:rPr>
      </w:pPr>
      <w:r>
        <w:rPr>
          <w:rFonts w:hint="eastAsia"/>
        </w:rPr>
        <w:t>And again, this Kingdom had nothing whatsoever to do with a Mosaic theocracy.</w:t>
      </w:r>
    </w:p>
    <w:p w14:paraId="6C6FC7DB">
      <w:pPr>
        <w:pStyle w:val="9"/>
        <w:spacing w:after="0" w:line="249" w:lineRule="auto"/>
        <w:rPr>
          <w:rFonts w:hint="eastAsia"/>
        </w:rPr>
      </w:pPr>
    </w:p>
    <w:p w14:paraId="7ED78B55">
      <w:pPr>
        <w:pStyle w:val="9"/>
        <w:spacing w:after="0" w:line="249" w:lineRule="auto"/>
        <w:rPr>
          <w:rFonts w:hint="eastAsia"/>
        </w:rPr>
      </w:pPr>
      <w:r>
        <w:rPr>
          <w:rFonts w:hint="eastAsia"/>
        </w:rPr>
        <w:t>并且，再次强调，这个国度与摩西的神权政体毫无关系。</w:t>
      </w:r>
    </w:p>
    <w:p w14:paraId="72DB91CE">
      <w:pPr>
        <w:pStyle w:val="9"/>
        <w:spacing w:after="0" w:line="249" w:lineRule="auto"/>
        <w:rPr>
          <w:rFonts w:hint="eastAsia"/>
        </w:rPr>
      </w:pPr>
    </w:p>
    <w:p w14:paraId="16A52A75">
      <w:pPr>
        <w:pStyle w:val="9"/>
        <w:spacing w:after="0" w:line="249" w:lineRule="auto"/>
        <w:rPr>
          <w:rFonts w:hint="eastAsia"/>
        </w:rPr>
      </w:pPr>
      <w:r>
        <w:rPr>
          <w:rFonts w:hint="eastAsia"/>
        </w:rPr>
        <w:t>It did, however, have everything to do with the High King of Heaven, and with him ruling directly—in love and blessing—over their world, their bodies, and their God-intoxicated souls.</w:t>
      </w:r>
    </w:p>
    <w:p w14:paraId="5A32B67A">
      <w:pPr>
        <w:pStyle w:val="9"/>
        <w:spacing w:after="0" w:line="249" w:lineRule="auto"/>
        <w:rPr>
          <w:rFonts w:hint="eastAsia"/>
        </w:rPr>
      </w:pPr>
    </w:p>
    <w:p w14:paraId="5261C4C3">
      <w:pPr>
        <w:pStyle w:val="9"/>
        <w:spacing w:after="0" w:line="249" w:lineRule="auto"/>
        <w:rPr>
          <w:rFonts w:hint="eastAsia"/>
        </w:rPr>
      </w:pPr>
      <w:r>
        <w:rPr>
          <w:rFonts w:hint="eastAsia"/>
        </w:rPr>
        <w:t>然而，它却与天上的至高君王息息相关，与祂直接地——在爱与祝福中——统治他们的世界、他们的身体和他们那被神陶醉的魂息息相关。</w:t>
      </w:r>
    </w:p>
    <w:p w14:paraId="7D01C5E1">
      <w:pPr>
        <w:pStyle w:val="9"/>
        <w:spacing w:after="0" w:line="249" w:lineRule="auto"/>
        <w:rPr>
          <w:rFonts w:hint="eastAsia"/>
        </w:rPr>
      </w:pPr>
    </w:p>
    <w:p w14:paraId="7769DCB8">
      <w:pPr>
        <w:pStyle w:val="9"/>
        <w:spacing w:after="0" w:line="249" w:lineRule="auto"/>
        <w:rPr>
          <w:rFonts w:hint="eastAsia"/>
        </w:rPr>
      </w:pPr>
      <w:r>
        <w:rPr>
          <w:rFonts w:hint="eastAsia"/>
        </w:rPr>
        <w:t>Summing up—and using the language of Reformed theology—we may say that throughout his probation in Eden Adam stood in a Covenant of Works with God.</w:t>
      </w:r>
    </w:p>
    <w:p w14:paraId="0795E67E">
      <w:pPr>
        <w:pStyle w:val="9"/>
        <w:spacing w:after="0" w:line="249" w:lineRule="auto"/>
        <w:rPr>
          <w:rFonts w:hint="eastAsia"/>
        </w:rPr>
      </w:pPr>
    </w:p>
    <w:p w14:paraId="54A2D51C">
      <w:pPr>
        <w:pStyle w:val="9"/>
        <w:spacing w:after="0" w:line="249" w:lineRule="auto"/>
        <w:rPr>
          <w:rFonts w:hint="eastAsia"/>
        </w:rPr>
      </w:pPr>
      <w:r>
        <w:rPr>
          <w:rFonts w:hint="eastAsia"/>
        </w:rPr>
        <w:t>总结起来——并使用改革宗神学的语言——我们可以说，在伊甸园的察验期间，亚当与神立了一个行为之约。</w:t>
      </w:r>
    </w:p>
    <w:p w14:paraId="40F981FE">
      <w:pPr>
        <w:pStyle w:val="9"/>
        <w:spacing w:after="0" w:line="249" w:lineRule="auto"/>
        <w:rPr>
          <w:rFonts w:hint="eastAsia"/>
        </w:rPr>
      </w:pPr>
    </w:p>
    <w:p w14:paraId="7D1D9FB1">
      <w:pPr>
        <w:pStyle w:val="9"/>
        <w:spacing w:after="0" w:line="249" w:lineRule="auto"/>
        <w:rPr>
          <w:rFonts w:hint="eastAsia"/>
        </w:rPr>
      </w:pPr>
      <w:r>
        <w:rPr>
          <w:rFonts w:hint="eastAsia"/>
        </w:rPr>
        <w:t>In order to receive eternal life for himself, his family, and his world, he had only to fulfill two simple works: steer clear of the Tree of the Knowledge of Good and Evil, and draw near to the Tree of Life.</w:t>
      </w:r>
    </w:p>
    <w:p w14:paraId="45D855A8">
      <w:pPr>
        <w:pStyle w:val="9"/>
        <w:spacing w:after="0" w:line="249" w:lineRule="auto"/>
        <w:rPr>
          <w:rFonts w:hint="eastAsia"/>
        </w:rPr>
      </w:pPr>
    </w:p>
    <w:p w14:paraId="327977C9">
      <w:pPr>
        <w:pStyle w:val="9"/>
        <w:spacing w:after="0" w:line="249" w:lineRule="auto"/>
        <w:rPr>
          <w:rFonts w:hint="eastAsia"/>
        </w:rPr>
      </w:pPr>
      <w:r>
        <w:rPr>
          <w:rFonts w:hint="eastAsia"/>
        </w:rPr>
        <w:t>为了为他自己、他的家庭和他的世界领受永生，他只需完成两件简单的工作：远离分别善恶树，并亲近生命树。</w:t>
      </w:r>
    </w:p>
    <w:p w14:paraId="5B0CE4D0">
      <w:pPr>
        <w:pStyle w:val="9"/>
        <w:spacing w:after="0" w:line="249" w:lineRule="auto"/>
        <w:rPr>
          <w:rFonts w:hint="eastAsia"/>
        </w:rPr>
      </w:pPr>
    </w:p>
    <w:p w14:paraId="46D6EF26">
      <w:pPr>
        <w:pStyle w:val="9"/>
        <w:spacing w:after="0" w:line="249" w:lineRule="auto"/>
        <w:rPr>
          <w:rFonts w:hint="eastAsia"/>
        </w:rPr>
      </w:pPr>
      <w:r>
        <w:rPr>
          <w:rFonts w:hint="eastAsia"/>
        </w:rPr>
        <w:t>As we know all too well, it was a covenant that he broke.</w:t>
      </w:r>
    </w:p>
    <w:p w14:paraId="3125EC6B">
      <w:pPr>
        <w:pStyle w:val="9"/>
        <w:spacing w:after="0" w:line="249" w:lineRule="auto"/>
        <w:rPr>
          <w:rFonts w:hint="eastAsia"/>
        </w:rPr>
      </w:pPr>
    </w:p>
    <w:p w14:paraId="5604F759">
      <w:pPr>
        <w:pStyle w:val="9"/>
        <w:spacing w:after="0" w:line="249" w:lineRule="auto"/>
        <w:rPr>
          <w:rFonts w:hint="eastAsia"/>
        </w:rPr>
      </w:pPr>
      <w:r>
        <w:rPr>
          <w:rFonts w:hint="eastAsia"/>
        </w:rPr>
        <w:t>我们都太清楚了，这是一个他违背了的约。</w:t>
      </w:r>
    </w:p>
    <w:p w14:paraId="2538682E">
      <w:pPr>
        <w:pStyle w:val="9"/>
        <w:spacing w:after="0" w:line="249" w:lineRule="auto"/>
        <w:rPr>
          <w:rFonts w:hint="eastAsia"/>
        </w:rPr>
      </w:pPr>
    </w:p>
    <w:p w14:paraId="5529FD42">
      <w:pPr>
        <w:pStyle w:val="9"/>
        <w:spacing w:after="0" w:line="249" w:lineRule="auto"/>
        <w:rPr>
          <w:rFonts w:hint="eastAsia"/>
        </w:rPr>
      </w:pPr>
      <w:r>
        <w:rPr>
          <w:rFonts w:hint="eastAsia"/>
        </w:rPr>
        <w:t>The Kingdom and the Fall</w:t>
      </w:r>
    </w:p>
    <w:p w14:paraId="1E33B6B9">
      <w:pPr>
        <w:pStyle w:val="9"/>
        <w:spacing w:after="0" w:line="249" w:lineRule="auto"/>
        <w:rPr>
          <w:rFonts w:hint="eastAsia"/>
        </w:rPr>
      </w:pPr>
    </w:p>
    <w:p w14:paraId="109553AC">
      <w:pPr>
        <w:pStyle w:val="9"/>
        <w:spacing w:after="0" w:line="249" w:lineRule="auto"/>
        <w:rPr>
          <w:rFonts w:hint="eastAsia"/>
        </w:rPr>
      </w:pPr>
      <w:r>
        <w:rPr>
          <w:rFonts w:hint="eastAsia"/>
        </w:rPr>
        <w:t>国度与堕落</w:t>
      </w:r>
    </w:p>
    <w:p w14:paraId="7058680F">
      <w:pPr>
        <w:pStyle w:val="9"/>
        <w:spacing w:after="0" w:line="249" w:lineRule="auto"/>
        <w:rPr>
          <w:rFonts w:hint="eastAsia"/>
        </w:rPr>
      </w:pPr>
    </w:p>
    <w:p w14:paraId="6559555C">
      <w:pPr>
        <w:pStyle w:val="9"/>
        <w:spacing w:after="0" w:line="249" w:lineRule="auto"/>
        <w:rPr>
          <w:rFonts w:hint="eastAsia"/>
        </w:rPr>
      </w:pPr>
      <w:r>
        <w:rPr>
          <w:rFonts w:hint="eastAsia"/>
        </w:rPr>
        <w:t>Biblical cosmogony, as found in Genesis 1-11, may be divided into two parts: the Good Beginning and the Bad Beginning.</w:t>
      </w:r>
    </w:p>
    <w:p w14:paraId="5E8E6AA8">
      <w:pPr>
        <w:pStyle w:val="9"/>
        <w:spacing w:after="0" w:line="249" w:lineRule="auto"/>
        <w:rPr>
          <w:rFonts w:hint="eastAsia"/>
        </w:rPr>
      </w:pPr>
    </w:p>
    <w:p w14:paraId="1AE26915">
      <w:pPr>
        <w:pStyle w:val="9"/>
        <w:spacing w:after="0" w:line="249" w:lineRule="auto"/>
        <w:rPr>
          <w:rFonts w:hint="eastAsia"/>
        </w:rPr>
      </w:pPr>
      <w:r>
        <w:rPr>
          <w:rFonts w:hint="eastAsia"/>
        </w:rPr>
        <w:t>圣经的宇宙起源论，如创世记1-11章所载，可分为两部分：美好的起初和败坏的起初。</w:t>
      </w:r>
    </w:p>
    <w:p w14:paraId="701C0DBB">
      <w:pPr>
        <w:pStyle w:val="9"/>
        <w:spacing w:after="0" w:line="249" w:lineRule="auto"/>
        <w:rPr>
          <w:rFonts w:hint="eastAsia"/>
        </w:rPr>
      </w:pPr>
    </w:p>
    <w:p w14:paraId="542FAFB0">
      <w:pPr>
        <w:pStyle w:val="9"/>
        <w:spacing w:after="0" w:line="249" w:lineRule="auto"/>
        <w:rPr>
          <w:rFonts w:hint="eastAsia"/>
        </w:rPr>
      </w:pPr>
      <w:r>
        <w:rPr>
          <w:rFonts w:hint="eastAsia"/>
        </w:rPr>
        <w:t>As we have just seen, the Good Beginning was creation in six days, resulting in a “very good” world (Gen. 1-2).</w:t>
      </w:r>
    </w:p>
    <w:p w14:paraId="4601DC82">
      <w:pPr>
        <w:pStyle w:val="9"/>
        <w:spacing w:after="0" w:line="249" w:lineRule="auto"/>
        <w:rPr>
          <w:rFonts w:hint="eastAsia"/>
        </w:rPr>
      </w:pPr>
    </w:p>
    <w:p w14:paraId="63F94586">
      <w:pPr>
        <w:pStyle w:val="9"/>
        <w:spacing w:after="0" w:line="249" w:lineRule="auto"/>
        <w:rPr>
          <w:rFonts w:hint="eastAsia"/>
        </w:rPr>
      </w:pPr>
      <w:r>
        <w:rPr>
          <w:rFonts w:hint="eastAsia"/>
        </w:rPr>
        <w:t>正如我们刚才所见，美好的起初是六日的创造，其结果是一个“甚好”的世界（创 1-2）。</w:t>
      </w:r>
    </w:p>
    <w:p w14:paraId="0D28A8AA">
      <w:pPr>
        <w:pStyle w:val="9"/>
        <w:spacing w:after="0" w:line="249" w:lineRule="auto"/>
        <w:rPr>
          <w:rFonts w:hint="eastAsia"/>
        </w:rPr>
      </w:pPr>
    </w:p>
    <w:p w14:paraId="52CE74F1">
      <w:pPr>
        <w:pStyle w:val="9"/>
        <w:spacing w:after="0" w:line="249" w:lineRule="auto"/>
        <w:rPr>
          <w:rFonts w:hint="eastAsia"/>
        </w:rPr>
      </w:pPr>
      <w:r>
        <w:rPr>
          <w:rFonts w:hint="eastAsia"/>
        </w:rPr>
        <w:t>The Bad Beginning spans a considerably longer time (some 1750 years), and includes three events—three divine judgments—of great cosmological significance: the Fall, the Flood, and the Division and Dispersion of Mankind at Babel (Gen. 3-11).</w:t>
      </w:r>
    </w:p>
    <w:p w14:paraId="6D5C3947">
      <w:pPr>
        <w:pStyle w:val="9"/>
        <w:spacing w:after="0" w:line="249" w:lineRule="auto"/>
        <w:rPr>
          <w:rFonts w:hint="eastAsia"/>
        </w:rPr>
      </w:pPr>
    </w:p>
    <w:p w14:paraId="7288C440">
      <w:pPr>
        <w:pStyle w:val="9"/>
        <w:spacing w:after="0" w:line="249" w:lineRule="auto"/>
        <w:rPr>
          <w:rFonts w:hint="eastAsia"/>
        </w:rPr>
      </w:pPr>
      <w:r>
        <w:rPr>
          <w:rFonts w:hint="eastAsia"/>
        </w:rPr>
        <w:t>败坏的起初跨越了相当长的一段时间（约1750年），并包括三个具有重大宇宙论意义的事件——三个神的审判：堕落、洪水，以及在巴别塔的人类分裂与分散（创 3-11）。</w:t>
      </w:r>
    </w:p>
    <w:p w14:paraId="54D3D926">
      <w:pPr>
        <w:pStyle w:val="9"/>
        <w:spacing w:after="0" w:line="249" w:lineRule="auto"/>
        <w:rPr>
          <w:rFonts w:hint="eastAsia"/>
        </w:rPr>
      </w:pPr>
    </w:p>
    <w:p w14:paraId="5322FEDC">
      <w:pPr>
        <w:pStyle w:val="9"/>
        <w:spacing w:after="0" w:line="249" w:lineRule="auto"/>
        <w:rPr>
          <w:rFonts w:hint="eastAsia"/>
        </w:rPr>
      </w:pPr>
      <w:r>
        <w:rPr>
          <w:rFonts w:hint="eastAsia"/>
        </w:rPr>
        <w:t>As we are about to see, there can be no deep understanding of Salvation History or the Kingdom of God without a correspondingly deep (i.e., NT) understanding of the Bad Beginning.</w:t>
      </w:r>
    </w:p>
    <w:p w14:paraId="3A4A3D03">
      <w:pPr>
        <w:pStyle w:val="9"/>
        <w:spacing w:after="0" w:line="249" w:lineRule="auto"/>
        <w:rPr>
          <w:rFonts w:hint="eastAsia"/>
        </w:rPr>
      </w:pPr>
    </w:p>
    <w:p w14:paraId="2FE0C184">
      <w:pPr>
        <w:pStyle w:val="9"/>
        <w:spacing w:after="0" w:line="249" w:lineRule="auto"/>
        <w:rPr>
          <w:rFonts w:hint="eastAsia"/>
        </w:rPr>
      </w:pPr>
      <w:r>
        <w:rPr>
          <w:rFonts w:hint="eastAsia"/>
        </w:rPr>
        <w:t>我们即将看到，若没有对败坏的起初一个相应深入（即新约的）理解，就不可能有对救赎历史或神的国一个深入的理解。</w:t>
      </w:r>
    </w:p>
    <w:p w14:paraId="081968A3">
      <w:pPr>
        <w:pStyle w:val="9"/>
        <w:spacing w:after="0" w:line="249" w:lineRule="auto"/>
        <w:rPr>
          <w:rFonts w:hint="eastAsia"/>
        </w:rPr>
      </w:pPr>
    </w:p>
    <w:p w14:paraId="07941380">
      <w:pPr>
        <w:pStyle w:val="9"/>
        <w:spacing w:after="0" w:line="249" w:lineRule="auto"/>
        <w:rPr>
          <w:rFonts w:hint="eastAsia"/>
        </w:rPr>
      </w:pPr>
      <w:r>
        <w:rPr>
          <w:rFonts w:hint="eastAsia"/>
        </w:rPr>
        <w:t>Therefore, let us join our Teacher once again in venturing onto OT ground, and let us begin by looking at the first and most solemn element of the dark triumvirate that makes up the Bad Beginning: the Fall.</w:t>
      </w:r>
    </w:p>
    <w:p w14:paraId="6FEF6135">
      <w:pPr>
        <w:pStyle w:val="9"/>
        <w:spacing w:after="0" w:line="249" w:lineRule="auto"/>
        <w:rPr>
          <w:rFonts w:hint="eastAsia"/>
        </w:rPr>
      </w:pPr>
    </w:p>
    <w:p w14:paraId="523A4AF4">
      <w:pPr>
        <w:pStyle w:val="9"/>
        <w:spacing w:after="0" w:line="249" w:lineRule="auto"/>
        <w:rPr>
          <w:rFonts w:hint="eastAsia"/>
        </w:rPr>
      </w:pPr>
      <w:r>
        <w:rPr>
          <w:rFonts w:hint="eastAsia"/>
        </w:rPr>
        <w:t>因此，让我们再次与我们的教师一同冒险进入旧约的领域，让我们从构成败坏起初之黑暗三巨头的第一个、也是最严肃的元素开始看起：堕落。</w:t>
      </w:r>
    </w:p>
    <w:p w14:paraId="205501CC">
      <w:pPr>
        <w:pStyle w:val="9"/>
        <w:spacing w:after="0" w:line="249" w:lineRule="auto"/>
        <w:rPr>
          <w:rFonts w:hint="eastAsia"/>
        </w:rPr>
      </w:pPr>
    </w:p>
    <w:p w14:paraId="088C17BD">
      <w:pPr>
        <w:pStyle w:val="9"/>
        <w:spacing w:after="0" w:line="249" w:lineRule="auto"/>
        <w:rPr>
          <w:rFonts w:hint="eastAsia"/>
        </w:rPr>
      </w:pPr>
      <w:r>
        <w:rPr>
          <w:rFonts w:hint="eastAsia"/>
        </w:rPr>
        <w:t>The Fall before the Fall</w:t>
      </w:r>
    </w:p>
    <w:p w14:paraId="45273163">
      <w:pPr>
        <w:pStyle w:val="9"/>
        <w:spacing w:after="0" w:line="249" w:lineRule="auto"/>
        <w:rPr>
          <w:rFonts w:hint="eastAsia"/>
        </w:rPr>
      </w:pPr>
    </w:p>
    <w:p w14:paraId="5816CAE6">
      <w:pPr>
        <w:pStyle w:val="9"/>
        <w:spacing w:after="0" w:line="249" w:lineRule="auto"/>
        <w:rPr>
          <w:rFonts w:hint="eastAsia"/>
        </w:rPr>
      </w:pPr>
      <w:r>
        <w:rPr>
          <w:rFonts w:hint="eastAsia"/>
        </w:rPr>
        <w:t>堕落前的堕落</w:t>
      </w:r>
    </w:p>
    <w:p w14:paraId="154951CD">
      <w:pPr>
        <w:pStyle w:val="9"/>
        <w:spacing w:after="0" w:line="249" w:lineRule="auto"/>
        <w:rPr>
          <w:rFonts w:hint="eastAsia"/>
        </w:rPr>
      </w:pPr>
    </w:p>
    <w:p w14:paraId="3C292958">
      <w:pPr>
        <w:pStyle w:val="9"/>
        <w:spacing w:after="0" w:line="249" w:lineRule="auto"/>
        <w:rPr>
          <w:rFonts w:hint="eastAsia"/>
        </w:rPr>
      </w:pPr>
      <w:r>
        <w:rPr>
          <w:rFonts w:hint="eastAsia"/>
        </w:rPr>
        <w:t>The biblical story of the Fall actually begins in heaven, where, presumably on the first or second day, God created the angels.</w:t>
      </w:r>
    </w:p>
    <w:p w14:paraId="5D0F5E1C">
      <w:pPr>
        <w:pStyle w:val="9"/>
        <w:spacing w:after="0" w:line="249" w:lineRule="auto"/>
        <w:rPr>
          <w:rFonts w:hint="eastAsia"/>
        </w:rPr>
      </w:pPr>
    </w:p>
    <w:p w14:paraId="44DAD747">
      <w:pPr>
        <w:pStyle w:val="9"/>
        <w:spacing w:after="0" w:line="249" w:lineRule="auto"/>
        <w:rPr>
          <w:rFonts w:hint="eastAsia"/>
        </w:rPr>
      </w:pPr>
      <w:r>
        <w:rPr>
          <w:rFonts w:hint="eastAsia"/>
        </w:rPr>
        <w:t>圣经关于堕落的故事实际上始于天上，大概是在第一或第二天，神创造了众天使。</w:t>
      </w:r>
    </w:p>
    <w:p w14:paraId="760C64B6">
      <w:pPr>
        <w:pStyle w:val="9"/>
        <w:spacing w:after="0" w:line="249" w:lineRule="auto"/>
        <w:rPr>
          <w:rFonts w:hint="eastAsia"/>
        </w:rPr>
      </w:pPr>
    </w:p>
    <w:p w14:paraId="70BB2094">
      <w:pPr>
        <w:pStyle w:val="9"/>
        <w:spacing w:after="0" w:line="249" w:lineRule="auto"/>
        <w:rPr>
          <w:rFonts w:hint="eastAsia"/>
        </w:rPr>
      </w:pPr>
      <w:r>
        <w:rPr>
          <w:rFonts w:hint="eastAsia"/>
        </w:rPr>
        <w:t>Among them was a cherub of extraordinary wisdom, beauty, and rank: Lucifer (Hebrew: shining one, son of the dawn, Isaiah 14:12).</w:t>
      </w:r>
    </w:p>
    <w:p w14:paraId="2C11D90E">
      <w:pPr>
        <w:pStyle w:val="9"/>
        <w:spacing w:after="0" w:line="249" w:lineRule="auto"/>
        <w:rPr>
          <w:rFonts w:hint="eastAsia"/>
        </w:rPr>
      </w:pPr>
    </w:p>
    <w:p w14:paraId="26A0B316">
      <w:pPr>
        <w:pStyle w:val="9"/>
        <w:spacing w:after="0" w:line="249" w:lineRule="auto"/>
        <w:rPr>
          <w:rFonts w:hint="eastAsia"/>
        </w:rPr>
      </w:pPr>
      <w:r>
        <w:rPr>
          <w:rFonts w:hint="eastAsia"/>
        </w:rPr>
        <w:t>其中有一位具有非凡智慧、美丽和地位的基路伯：路西弗（希伯来文：明亮之星，早晨之子，以赛亚书 14:12）。</w:t>
      </w:r>
    </w:p>
    <w:p w14:paraId="2F6F6FAB">
      <w:pPr>
        <w:pStyle w:val="9"/>
        <w:spacing w:after="0" w:line="249" w:lineRule="auto"/>
        <w:rPr>
          <w:rFonts w:hint="eastAsia"/>
        </w:rPr>
      </w:pPr>
    </w:p>
    <w:p w14:paraId="7169DB02">
      <w:pPr>
        <w:pStyle w:val="9"/>
        <w:spacing w:after="0" w:line="249" w:lineRule="auto"/>
        <w:rPr>
          <w:rFonts w:hint="eastAsia"/>
        </w:rPr>
      </w:pPr>
      <w:r>
        <w:rPr>
          <w:rFonts w:hint="eastAsia"/>
        </w:rPr>
        <w:t>Like Adam, Lucifer and the other angels were on probation.</w:t>
      </w:r>
    </w:p>
    <w:p w14:paraId="4F202695">
      <w:pPr>
        <w:pStyle w:val="9"/>
        <w:spacing w:after="0" w:line="249" w:lineRule="auto"/>
        <w:rPr>
          <w:rFonts w:hint="eastAsia"/>
        </w:rPr>
      </w:pPr>
    </w:p>
    <w:p w14:paraId="5F6F9CD3">
      <w:pPr>
        <w:pStyle w:val="9"/>
        <w:spacing w:after="0" w:line="249" w:lineRule="auto"/>
        <w:rPr>
          <w:rFonts w:hint="eastAsia"/>
        </w:rPr>
      </w:pPr>
      <w:r>
        <w:rPr>
          <w:rFonts w:hint="eastAsia"/>
        </w:rPr>
        <w:t>像亚当一样，路西弗和其他天使也处于察验期。</w:t>
      </w:r>
    </w:p>
    <w:p w14:paraId="0FABC356">
      <w:pPr>
        <w:pStyle w:val="9"/>
        <w:spacing w:after="0" w:line="249" w:lineRule="auto"/>
        <w:rPr>
          <w:rFonts w:hint="eastAsia"/>
        </w:rPr>
      </w:pPr>
    </w:p>
    <w:p w14:paraId="65B14F75">
      <w:pPr>
        <w:pStyle w:val="9"/>
        <w:spacing w:after="0" w:line="249" w:lineRule="auto"/>
        <w:rPr>
          <w:rFonts w:hint="eastAsia"/>
        </w:rPr>
      </w:pPr>
      <w:r>
        <w:rPr>
          <w:rFonts w:hint="eastAsia"/>
        </w:rPr>
        <w:t>The Bible says nothing about the nature of their test, only that Lucifer was the first to fail it, since shortly after his creation there came a dreadful moment when “unrighteousness was found in him” (Ezek. 28:15).</w:t>
      </w:r>
    </w:p>
    <w:p w14:paraId="700A4007">
      <w:pPr>
        <w:pStyle w:val="9"/>
        <w:spacing w:after="0" w:line="249" w:lineRule="auto"/>
        <w:rPr>
          <w:rFonts w:hint="eastAsia"/>
        </w:rPr>
      </w:pPr>
    </w:p>
    <w:p w14:paraId="0B47D155">
      <w:pPr>
        <w:pStyle w:val="9"/>
        <w:spacing w:after="0" w:line="249" w:lineRule="auto"/>
        <w:rPr>
          <w:rFonts w:hint="eastAsia"/>
        </w:rPr>
      </w:pPr>
      <w:r>
        <w:rPr>
          <w:rFonts w:hint="eastAsia"/>
        </w:rPr>
        <w:t>圣经没有提到他们试验的性质，只说路西弗是第一个失败的，因为在他被造后不久，就有一个可怕的时刻，“不义在他里面被发现”（以西结书 28:15）。</w:t>
      </w:r>
    </w:p>
    <w:p w14:paraId="267220FF">
      <w:pPr>
        <w:pStyle w:val="9"/>
        <w:spacing w:after="0" w:line="249" w:lineRule="auto"/>
        <w:rPr>
          <w:rFonts w:hint="eastAsia"/>
        </w:rPr>
      </w:pPr>
    </w:p>
    <w:p w14:paraId="725225E8">
      <w:pPr>
        <w:pStyle w:val="9"/>
        <w:spacing w:after="0" w:line="249" w:lineRule="auto"/>
        <w:rPr>
          <w:rFonts w:hint="eastAsia"/>
        </w:rPr>
      </w:pPr>
      <w:r>
        <w:rPr>
          <w:rFonts w:hint="eastAsia"/>
        </w:rPr>
        <w:t>This cryptic phrase marks the entrance of evil into the universe.</w:t>
      </w:r>
    </w:p>
    <w:p w14:paraId="054BC8AC">
      <w:pPr>
        <w:pStyle w:val="9"/>
        <w:spacing w:after="0" w:line="249" w:lineRule="auto"/>
        <w:rPr>
          <w:rFonts w:hint="eastAsia"/>
        </w:rPr>
      </w:pPr>
    </w:p>
    <w:p w14:paraId="5587E19F">
      <w:pPr>
        <w:pStyle w:val="9"/>
        <w:spacing w:after="0" w:line="249" w:lineRule="auto"/>
        <w:rPr>
          <w:rFonts w:hint="eastAsia"/>
        </w:rPr>
      </w:pPr>
      <w:r>
        <w:rPr>
          <w:rFonts w:hint="eastAsia"/>
        </w:rPr>
        <w:t>这个神秘的短语标志着邪恶进入宇宙。</w:t>
      </w:r>
    </w:p>
    <w:p w14:paraId="0C138808">
      <w:pPr>
        <w:pStyle w:val="9"/>
        <w:spacing w:after="0" w:line="249" w:lineRule="auto"/>
        <w:rPr>
          <w:rFonts w:hint="eastAsia"/>
        </w:rPr>
      </w:pPr>
    </w:p>
    <w:p w14:paraId="748FB077">
      <w:pPr>
        <w:pStyle w:val="9"/>
        <w:spacing w:after="0" w:line="249" w:lineRule="auto"/>
        <w:rPr>
          <w:rFonts w:hint="eastAsia"/>
        </w:rPr>
      </w:pPr>
      <w:r>
        <w:rPr>
          <w:rFonts w:hint="eastAsia"/>
        </w:rPr>
        <w:t>Henceforth, the entire course of Lucifer’s existence would be determined by a sinful twofold animus: pride and hatred.</w:t>
      </w:r>
    </w:p>
    <w:p w14:paraId="26A83F5E">
      <w:pPr>
        <w:pStyle w:val="9"/>
        <w:spacing w:after="0" w:line="249" w:lineRule="auto"/>
        <w:rPr>
          <w:rFonts w:hint="eastAsia"/>
        </w:rPr>
      </w:pPr>
    </w:p>
    <w:p w14:paraId="535AD812">
      <w:pPr>
        <w:pStyle w:val="9"/>
        <w:spacing w:after="0" w:line="249" w:lineRule="auto"/>
        <w:rPr>
          <w:rFonts w:hint="eastAsia"/>
        </w:rPr>
      </w:pPr>
      <w:r>
        <w:rPr>
          <w:rFonts w:hint="eastAsia"/>
        </w:rPr>
        <w:t>从此，路西弗整个存在的历程都将由一个罪恶的双重恶意所决定：骄傲和仇恨。</w:t>
      </w:r>
    </w:p>
    <w:p w14:paraId="4B2DBF63">
      <w:pPr>
        <w:pStyle w:val="9"/>
        <w:spacing w:after="0" w:line="249" w:lineRule="auto"/>
        <w:rPr>
          <w:rFonts w:hint="eastAsia"/>
        </w:rPr>
      </w:pPr>
    </w:p>
    <w:p w14:paraId="6AB33D6F">
      <w:pPr>
        <w:pStyle w:val="9"/>
        <w:spacing w:after="0" w:line="249" w:lineRule="auto"/>
        <w:rPr>
          <w:rFonts w:hint="eastAsia"/>
        </w:rPr>
      </w:pPr>
      <w:r>
        <w:rPr>
          <w:rFonts w:hint="eastAsia"/>
        </w:rPr>
        <w:t>In his pride, he would seek to supplant God by usurping both his worship and his sovereignty (Isaiah 14:12-15, Mt. 4:8-11).</w:t>
      </w:r>
    </w:p>
    <w:p w14:paraId="44C15EBA">
      <w:pPr>
        <w:pStyle w:val="9"/>
        <w:spacing w:after="0" w:line="249" w:lineRule="auto"/>
        <w:rPr>
          <w:rFonts w:hint="eastAsia"/>
        </w:rPr>
      </w:pPr>
    </w:p>
    <w:p w14:paraId="151E7E6F">
      <w:pPr>
        <w:pStyle w:val="9"/>
        <w:spacing w:after="0" w:line="249" w:lineRule="auto"/>
        <w:rPr>
          <w:rFonts w:hint="eastAsia"/>
        </w:rPr>
      </w:pPr>
      <w:r>
        <w:rPr>
          <w:rFonts w:hint="eastAsia"/>
        </w:rPr>
        <w:t>在他的骄傲中，他会试图通过篡夺神的敬拜和主权来取代神（以赛亚书 14:12-15, 太 4:8-11）。</w:t>
      </w:r>
    </w:p>
    <w:p w14:paraId="655719A0">
      <w:pPr>
        <w:pStyle w:val="9"/>
        <w:spacing w:after="0" w:line="249" w:lineRule="auto"/>
        <w:rPr>
          <w:rFonts w:hint="eastAsia"/>
        </w:rPr>
      </w:pPr>
    </w:p>
    <w:p w14:paraId="51CA82BF">
      <w:pPr>
        <w:pStyle w:val="9"/>
        <w:spacing w:after="0" w:line="249" w:lineRule="auto"/>
        <w:rPr>
          <w:rFonts w:hint="eastAsia"/>
        </w:rPr>
      </w:pPr>
      <w:r>
        <w:rPr>
          <w:rFonts w:hint="eastAsia"/>
        </w:rPr>
        <w:t>In his hatred, he would seek to wound God, primarily by using his formidable spiritual resources to injure his most beloved creations (John 10:10).</w:t>
      </w:r>
    </w:p>
    <w:p w14:paraId="00B59FE1">
      <w:pPr>
        <w:pStyle w:val="9"/>
        <w:spacing w:after="0" w:line="249" w:lineRule="auto"/>
        <w:rPr>
          <w:rFonts w:hint="eastAsia"/>
        </w:rPr>
      </w:pPr>
    </w:p>
    <w:p w14:paraId="71530FAB">
      <w:pPr>
        <w:pStyle w:val="9"/>
        <w:spacing w:after="0" w:line="249" w:lineRule="auto"/>
        <w:rPr>
          <w:rFonts w:hint="eastAsia"/>
        </w:rPr>
      </w:pPr>
      <w:r>
        <w:rPr>
          <w:rFonts w:hint="eastAsia"/>
        </w:rPr>
        <w:t>在他的仇恨中，他会试图伤害神，主要是通过使用他强大的属灵资源来伤害祂最钟爱的创造物（约 10:10）。</w:t>
      </w:r>
    </w:p>
    <w:p w14:paraId="32BDDE21">
      <w:pPr>
        <w:pStyle w:val="9"/>
        <w:spacing w:after="0" w:line="249" w:lineRule="auto"/>
        <w:rPr>
          <w:rFonts w:hint="eastAsia"/>
        </w:rPr>
      </w:pPr>
    </w:p>
    <w:p w14:paraId="09741A63">
      <w:pPr>
        <w:pStyle w:val="9"/>
        <w:spacing w:after="0" w:line="249" w:lineRule="auto"/>
        <w:rPr>
          <w:rFonts w:hint="eastAsia"/>
        </w:rPr>
      </w:pPr>
      <w:r>
        <w:rPr>
          <w:rFonts w:hint="eastAsia"/>
        </w:rPr>
        <w:t>Thus did Lucifer become Satan (Heb., adversary): the adversary of God, and the adversary of all God loves, especially the race of men.</w:t>
      </w:r>
    </w:p>
    <w:p w14:paraId="78EB89E7">
      <w:pPr>
        <w:pStyle w:val="9"/>
        <w:spacing w:after="0" w:line="249" w:lineRule="auto"/>
        <w:rPr>
          <w:rFonts w:hint="eastAsia"/>
        </w:rPr>
      </w:pPr>
    </w:p>
    <w:p w14:paraId="5F4492BD">
      <w:pPr>
        <w:pStyle w:val="9"/>
        <w:spacing w:after="0" w:line="249" w:lineRule="auto"/>
        <w:rPr>
          <w:rFonts w:hint="eastAsia"/>
        </w:rPr>
      </w:pPr>
      <w:r>
        <w:rPr>
          <w:rFonts w:hint="eastAsia"/>
        </w:rPr>
        <w:t>路西弗就这样成了撒但（希伯来文，敌对者）：神的敌对者，以及神所爱的一切的敌对者，特别是人类。</w:t>
      </w:r>
    </w:p>
    <w:p w14:paraId="5224557C">
      <w:pPr>
        <w:pStyle w:val="9"/>
        <w:spacing w:after="0" w:line="249" w:lineRule="auto"/>
        <w:rPr>
          <w:rFonts w:hint="eastAsia"/>
        </w:rPr>
      </w:pPr>
    </w:p>
    <w:p w14:paraId="0FD52681">
      <w:pPr>
        <w:pStyle w:val="9"/>
        <w:spacing w:after="0" w:line="249" w:lineRule="auto"/>
        <w:rPr>
          <w:rFonts w:hint="eastAsia"/>
        </w:rPr>
      </w:pPr>
      <w:r>
        <w:rPr>
          <w:rFonts w:hint="eastAsia"/>
        </w:rPr>
        <w:t>Moved by his new and evil nature, Satan immediately undertook to build a counterfeit kingdom of his own.</w:t>
      </w:r>
    </w:p>
    <w:p w14:paraId="0A602229">
      <w:pPr>
        <w:pStyle w:val="9"/>
        <w:spacing w:after="0" w:line="249" w:lineRule="auto"/>
        <w:rPr>
          <w:rFonts w:hint="eastAsia"/>
        </w:rPr>
      </w:pPr>
    </w:p>
    <w:p w14:paraId="199174C4">
      <w:pPr>
        <w:pStyle w:val="9"/>
        <w:spacing w:after="0" w:line="249" w:lineRule="auto"/>
        <w:rPr>
          <w:rFonts w:hint="eastAsia"/>
        </w:rPr>
      </w:pPr>
      <w:r>
        <w:rPr>
          <w:rFonts w:hint="eastAsia"/>
        </w:rPr>
        <w:t>被他新的、邪恶的本性所驱使，撒但立即着手建立一个他自己的假冒国度。</w:t>
      </w:r>
    </w:p>
    <w:p w14:paraId="3569ECA6">
      <w:pPr>
        <w:pStyle w:val="9"/>
        <w:spacing w:after="0" w:line="249" w:lineRule="auto"/>
        <w:rPr>
          <w:rFonts w:hint="eastAsia"/>
        </w:rPr>
      </w:pPr>
    </w:p>
    <w:p w14:paraId="4723B6D9">
      <w:pPr>
        <w:pStyle w:val="9"/>
        <w:spacing w:after="0" w:line="249" w:lineRule="auto"/>
        <w:rPr>
          <w:rFonts w:hint="eastAsia"/>
        </w:rPr>
      </w:pPr>
      <w:r>
        <w:rPr>
          <w:rFonts w:hint="eastAsia"/>
        </w:rPr>
        <w:t>His first prey were the other angels, a large minority of which quickly succumbed to his temptations (Rev. 12:4).</w:t>
      </w:r>
    </w:p>
    <w:p w14:paraId="10446020">
      <w:pPr>
        <w:pStyle w:val="9"/>
        <w:spacing w:after="0" w:line="249" w:lineRule="auto"/>
        <w:rPr>
          <w:rFonts w:hint="eastAsia"/>
        </w:rPr>
      </w:pPr>
    </w:p>
    <w:p w14:paraId="172F7D4C">
      <w:pPr>
        <w:pStyle w:val="9"/>
        <w:spacing w:after="0" w:line="249" w:lineRule="auto"/>
        <w:rPr>
          <w:rFonts w:hint="eastAsia"/>
        </w:rPr>
      </w:pPr>
      <w:r>
        <w:rPr>
          <w:rFonts w:hint="eastAsia"/>
        </w:rPr>
        <w:t>他的第一个猎物是其他天使，其中一大部分很快就屈服于他的引诱（启 12:4）。</w:t>
      </w:r>
    </w:p>
    <w:p w14:paraId="5405C939">
      <w:pPr>
        <w:pStyle w:val="9"/>
        <w:spacing w:after="0" w:line="249" w:lineRule="auto"/>
        <w:rPr>
          <w:rFonts w:hint="eastAsia"/>
        </w:rPr>
      </w:pPr>
    </w:p>
    <w:p w14:paraId="36787F3D">
      <w:pPr>
        <w:pStyle w:val="9"/>
        <w:spacing w:after="0" w:line="249" w:lineRule="auto"/>
        <w:rPr>
          <w:rFonts w:hint="eastAsia"/>
        </w:rPr>
      </w:pPr>
      <w:r>
        <w:rPr>
          <w:rFonts w:hint="eastAsia"/>
        </w:rPr>
        <w:t>Through their sin, they too corrupted their original nature, transforming themselves into demons (Mark 5:1f).</w:t>
      </w:r>
    </w:p>
    <w:p w14:paraId="6F487311">
      <w:pPr>
        <w:pStyle w:val="9"/>
        <w:spacing w:after="0" w:line="249" w:lineRule="auto"/>
        <w:rPr>
          <w:rFonts w:hint="eastAsia"/>
        </w:rPr>
      </w:pPr>
    </w:p>
    <w:p w14:paraId="15354980">
      <w:pPr>
        <w:pStyle w:val="9"/>
        <w:spacing w:after="0" w:line="249" w:lineRule="auto"/>
        <w:rPr>
          <w:rFonts w:hint="eastAsia"/>
        </w:rPr>
      </w:pPr>
      <w:r>
        <w:rPr>
          <w:rFonts w:hint="eastAsia"/>
        </w:rPr>
        <w:t>通过他们的罪，他们也败坏了他们原初的本性，将自己变成了鬼魔（马可福音 5:1及以下）。</w:t>
      </w:r>
    </w:p>
    <w:p w14:paraId="080EE24B">
      <w:pPr>
        <w:pStyle w:val="9"/>
        <w:spacing w:after="0" w:line="249" w:lineRule="auto"/>
        <w:rPr>
          <w:rFonts w:hint="eastAsia"/>
        </w:rPr>
      </w:pPr>
    </w:p>
    <w:p w14:paraId="0A2AAF6D">
      <w:pPr>
        <w:pStyle w:val="9"/>
        <w:spacing w:after="0" w:line="249" w:lineRule="auto"/>
        <w:rPr>
          <w:rFonts w:hint="eastAsia"/>
        </w:rPr>
      </w:pPr>
      <w:r>
        <w:rPr>
          <w:rFonts w:hint="eastAsia"/>
        </w:rPr>
        <w:t>Some of them were cast into Hades, a place of darkness and torment immediately created by God for the punishment of his angelic foes (Mt. 25:41, Luke 8:31, 2 Peter 2:4, Jude 6).</w:t>
      </w:r>
    </w:p>
    <w:p w14:paraId="1C643947">
      <w:pPr>
        <w:pStyle w:val="9"/>
        <w:spacing w:after="0" w:line="249" w:lineRule="auto"/>
        <w:rPr>
          <w:rFonts w:hint="eastAsia"/>
        </w:rPr>
      </w:pPr>
    </w:p>
    <w:p w14:paraId="3DD8AB19">
      <w:pPr>
        <w:pStyle w:val="9"/>
        <w:spacing w:after="0" w:line="249" w:lineRule="auto"/>
        <w:rPr>
          <w:rFonts w:hint="eastAsia"/>
        </w:rPr>
      </w:pPr>
      <w:r>
        <w:rPr>
          <w:rFonts w:hint="eastAsia"/>
        </w:rPr>
        <w:t>他们中有些被扔进阴间，一个黑暗和痛苦的地方，是神为惩罚祂的天使仇敌而立刻创造的（太 25:41, 路 8:31, 彼后 2:4, 犹 6）。</w:t>
      </w:r>
    </w:p>
    <w:p w14:paraId="6278D406">
      <w:pPr>
        <w:pStyle w:val="9"/>
        <w:spacing w:after="0" w:line="249" w:lineRule="auto"/>
        <w:rPr>
          <w:rFonts w:hint="eastAsia"/>
        </w:rPr>
      </w:pPr>
    </w:p>
    <w:p w14:paraId="6DE1749B">
      <w:pPr>
        <w:pStyle w:val="9"/>
        <w:spacing w:after="0" w:line="249" w:lineRule="auto"/>
        <w:rPr>
          <w:rFonts w:hint="eastAsia"/>
        </w:rPr>
      </w:pPr>
      <w:r>
        <w:rPr>
          <w:rFonts w:hint="eastAsia"/>
        </w:rPr>
        <w:t>Others, for wise reasons, were permitted to remain “in the heavenly places” where Satan, their overlord, arranged them into a hierarchy of evil rulers (Eph. 2:2, 6:10-12).</w:t>
      </w:r>
    </w:p>
    <w:p w14:paraId="578404A3">
      <w:pPr>
        <w:pStyle w:val="9"/>
        <w:spacing w:after="0" w:line="249" w:lineRule="auto"/>
        <w:rPr>
          <w:rFonts w:hint="eastAsia"/>
        </w:rPr>
      </w:pPr>
    </w:p>
    <w:p w14:paraId="4D230A9E">
      <w:pPr>
        <w:pStyle w:val="9"/>
        <w:spacing w:after="0" w:line="249" w:lineRule="auto"/>
        <w:rPr>
          <w:rFonts w:hint="eastAsia"/>
        </w:rPr>
      </w:pPr>
      <w:r>
        <w:rPr>
          <w:rFonts w:hint="eastAsia"/>
        </w:rPr>
        <w:t>另一些，出于智慧的原因，被允许留在“天上”，在那里撒但，他们的霸主，将他们安排成一个邪恶统治者的等级制度（弗 2:2, 6:10-12）。</w:t>
      </w:r>
    </w:p>
    <w:p w14:paraId="4E250935">
      <w:pPr>
        <w:pStyle w:val="9"/>
        <w:spacing w:after="0" w:line="249" w:lineRule="auto"/>
        <w:rPr>
          <w:rFonts w:hint="eastAsia"/>
        </w:rPr>
      </w:pPr>
    </w:p>
    <w:p w14:paraId="7BEEB3BA">
      <w:pPr>
        <w:pStyle w:val="9"/>
        <w:spacing w:after="0" w:line="249" w:lineRule="auto"/>
        <w:rPr>
          <w:rFonts w:hint="eastAsia"/>
        </w:rPr>
      </w:pPr>
      <w:r>
        <w:rPr>
          <w:rFonts w:hint="eastAsia"/>
        </w:rPr>
        <w:t>Thus was born the kingdom of Satan, an alien domain of spiritual darkness eager to extend its sway over the rest of God’s good creation, but unable to do so at any place but one (Mt. 12:25, Col. 1:13, 1 John 5:19).</w:t>
      </w:r>
    </w:p>
    <w:p w14:paraId="45FD20BD">
      <w:pPr>
        <w:pStyle w:val="9"/>
        <w:spacing w:after="0" w:line="249" w:lineRule="auto"/>
        <w:rPr>
          <w:rFonts w:hint="eastAsia"/>
        </w:rPr>
      </w:pPr>
    </w:p>
    <w:p w14:paraId="4E112791">
      <w:pPr>
        <w:pStyle w:val="9"/>
        <w:spacing w:after="0" w:line="249" w:lineRule="auto"/>
        <w:rPr>
          <w:rFonts w:hint="eastAsia"/>
        </w:rPr>
      </w:pPr>
      <w:r>
        <w:rPr>
          <w:rFonts w:hint="eastAsia"/>
        </w:rPr>
        <w:t>撒但的国度就这样诞生了，一个属灵黑暗的异域，渴望将其权势延伸到神其余美好的创造物之上，但除了一个地方之外，都无法做到（太 12:25, 西 1:13, 约一 5:19）。</w:t>
      </w:r>
    </w:p>
    <w:p w14:paraId="5FA54F7B">
      <w:pPr>
        <w:pStyle w:val="9"/>
        <w:spacing w:after="0" w:line="249" w:lineRule="auto"/>
        <w:rPr>
          <w:rFonts w:hint="eastAsia"/>
        </w:rPr>
      </w:pPr>
    </w:p>
    <w:p w14:paraId="4E577F85">
      <w:pPr>
        <w:pStyle w:val="9"/>
        <w:spacing w:after="0" w:line="249" w:lineRule="auto"/>
        <w:rPr>
          <w:rFonts w:hint="eastAsia"/>
        </w:rPr>
      </w:pPr>
      <w:r>
        <w:rPr>
          <w:rFonts w:hint="eastAsia"/>
        </w:rPr>
        <w:t>Temptation and Fall</w:t>
      </w:r>
    </w:p>
    <w:p w14:paraId="6D6D6522">
      <w:pPr>
        <w:pStyle w:val="9"/>
        <w:spacing w:after="0" w:line="249" w:lineRule="auto"/>
        <w:rPr>
          <w:rFonts w:hint="eastAsia"/>
        </w:rPr>
      </w:pPr>
    </w:p>
    <w:p w14:paraId="7B71E94F">
      <w:pPr>
        <w:pStyle w:val="9"/>
        <w:spacing w:after="0" w:line="249" w:lineRule="auto"/>
        <w:rPr>
          <w:rFonts w:hint="eastAsia"/>
        </w:rPr>
      </w:pPr>
      <w:r>
        <w:rPr>
          <w:rFonts w:hint="eastAsia"/>
        </w:rPr>
        <w:t>引诱与堕落</w:t>
      </w:r>
    </w:p>
    <w:p w14:paraId="1E5160B1">
      <w:pPr>
        <w:pStyle w:val="9"/>
        <w:spacing w:after="0" w:line="249" w:lineRule="auto"/>
        <w:rPr>
          <w:rFonts w:hint="eastAsia"/>
        </w:rPr>
      </w:pPr>
    </w:p>
    <w:p w14:paraId="29A7236D">
      <w:pPr>
        <w:pStyle w:val="9"/>
        <w:spacing w:after="0" w:line="249" w:lineRule="auto"/>
        <w:rPr>
          <w:rFonts w:hint="eastAsia"/>
        </w:rPr>
      </w:pPr>
      <w:r>
        <w:rPr>
          <w:rFonts w:hint="eastAsia"/>
        </w:rPr>
        <w:t>Satan’s next target was Adam, whom he would tempt through his wife, whom he would tempt through a serpent (Gen. 3:1f).</w:t>
      </w:r>
    </w:p>
    <w:p w14:paraId="1E5C07B3">
      <w:pPr>
        <w:pStyle w:val="9"/>
        <w:spacing w:after="0" w:line="249" w:lineRule="auto"/>
        <w:rPr>
          <w:rFonts w:hint="eastAsia"/>
        </w:rPr>
      </w:pPr>
    </w:p>
    <w:p w14:paraId="1A501F32">
      <w:pPr>
        <w:pStyle w:val="9"/>
        <w:spacing w:after="0" w:line="249" w:lineRule="auto"/>
        <w:rPr>
          <w:rFonts w:hint="eastAsia"/>
        </w:rPr>
      </w:pPr>
      <w:r>
        <w:rPr>
          <w:rFonts w:hint="eastAsia"/>
        </w:rPr>
        <w:t>撒但的下一个目标是亚当，他要通过他的妻子来引诱他，而他要通过一条蛇来引诱她（创 3:1及以下）。</w:t>
      </w:r>
    </w:p>
    <w:p w14:paraId="4293BC7D">
      <w:pPr>
        <w:pStyle w:val="9"/>
        <w:spacing w:after="0" w:line="249" w:lineRule="auto"/>
        <w:rPr>
          <w:rFonts w:hint="eastAsia"/>
        </w:rPr>
      </w:pPr>
    </w:p>
    <w:p w14:paraId="7CB2D07B">
      <w:pPr>
        <w:pStyle w:val="9"/>
        <w:spacing w:after="0" w:line="249" w:lineRule="auto"/>
        <w:rPr>
          <w:rFonts w:hint="eastAsia"/>
        </w:rPr>
      </w:pPr>
      <w:r>
        <w:rPr>
          <w:rFonts w:hint="eastAsia"/>
        </w:rPr>
        <w:t>Unfortunately, we cannot linger here to explore the nuanced record of Adam’s temptation and fall.</w:t>
      </w:r>
    </w:p>
    <w:p w14:paraId="3A752745">
      <w:pPr>
        <w:pStyle w:val="9"/>
        <w:spacing w:after="0" w:line="249" w:lineRule="auto"/>
        <w:rPr>
          <w:rFonts w:hint="eastAsia"/>
        </w:rPr>
      </w:pPr>
    </w:p>
    <w:p w14:paraId="30154E17">
      <w:pPr>
        <w:pStyle w:val="9"/>
        <w:spacing w:after="0" w:line="249" w:lineRule="auto"/>
        <w:rPr>
          <w:rFonts w:hint="eastAsia"/>
        </w:rPr>
      </w:pPr>
      <w:r>
        <w:rPr>
          <w:rFonts w:hint="eastAsia"/>
        </w:rPr>
        <w:t>不幸的是，我们不能在这里停留，来探讨亚当受引诱和堕落的细微记录。</w:t>
      </w:r>
    </w:p>
    <w:p w14:paraId="4ABD7209">
      <w:pPr>
        <w:pStyle w:val="9"/>
        <w:spacing w:after="0" w:line="249" w:lineRule="auto"/>
        <w:rPr>
          <w:rFonts w:hint="eastAsia"/>
        </w:rPr>
      </w:pPr>
    </w:p>
    <w:p w14:paraId="024369DF">
      <w:pPr>
        <w:pStyle w:val="9"/>
        <w:spacing w:after="0" w:line="249" w:lineRule="auto"/>
        <w:rPr>
          <w:rFonts w:hint="eastAsia"/>
        </w:rPr>
      </w:pPr>
      <w:r>
        <w:rPr>
          <w:rFonts w:hint="eastAsia"/>
        </w:rPr>
        <w:t>Suffice it to say that in that hour Satan did what came most naturally to him: he lied.</w:t>
      </w:r>
    </w:p>
    <w:p w14:paraId="5840E7DC">
      <w:pPr>
        <w:pStyle w:val="9"/>
        <w:spacing w:after="0" w:line="249" w:lineRule="auto"/>
        <w:rPr>
          <w:rFonts w:hint="eastAsia"/>
        </w:rPr>
      </w:pPr>
    </w:p>
    <w:p w14:paraId="377E11B4">
      <w:pPr>
        <w:pStyle w:val="9"/>
        <w:spacing w:after="0" w:line="249" w:lineRule="auto"/>
        <w:rPr>
          <w:rFonts w:hint="eastAsia"/>
        </w:rPr>
      </w:pPr>
      <w:r>
        <w:rPr>
          <w:rFonts w:hint="eastAsia"/>
        </w:rPr>
        <w:t>只需说，在那一刻，撒但做了对他来说最自然的事：他说了谎。</w:t>
      </w:r>
    </w:p>
    <w:p w14:paraId="5A029204">
      <w:pPr>
        <w:pStyle w:val="9"/>
        <w:spacing w:after="0" w:line="249" w:lineRule="auto"/>
        <w:rPr>
          <w:rFonts w:hint="eastAsia"/>
        </w:rPr>
      </w:pPr>
    </w:p>
    <w:p w14:paraId="20BA9051">
      <w:pPr>
        <w:pStyle w:val="9"/>
        <w:spacing w:after="0" w:line="249" w:lineRule="auto"/>
        <w:rPr>
          <w:rFonts w:hint="eastAsia"/>
        </w:rPr>
      </w:pPr>
      <w:r>
        <w:rPr>
          <w:rFonts w:hint="eastAsia"/>
        </w:rPr>
        <w:t>Or, to be more precise, he spoke numerous half-truths with an intent to deceive (John 8:44, 2 Cor. 11:14, Rev. 20:3, 8).</w:t>
      </w:r>
    </w:p>
    <w:p w14:paraId="7C10848F">
      <w:pPr>
        <w:pStyle w:val="9"/>
        <w:spacing w:after="0" w:line="249" w:lineRule="auto"/>
        <w:rPr>
          <w:rFonts w:hint="eastAsia"/>
        </w:rPr>
      </w:pPr>
    </w:p>
    <w:p w14:paraId="436FD942">
      <w:pPr>
        <w:pStyle w:val="9"/>
        <w:spacing w:after="0" w:line="249" w:lineRule="auto"/>
        <w:rPr>
          <w:rFonts w:hint="eastAsia"/>
        </w:rPr>
      </w:pPr>
      <w:r>
        <w:rPr>
          <w:rFonts w:hint="eastAsia"/>
        </w:rPr>
        <w:t>或者，更准确地说，他说了许多半真半假的话，意图欺骗（约 8:44, 林后 11:14, 启 20:3, 8）。</w:t>
      </w:r>
    </w:p>
    <w:p w14:paraId="1A2E6031">
      <w:pPr>
        <w:pStyle w:val="9"/>
        <w:spacing w:after="0" w:line="249" w:lineRule="auto"/>
        <w:rPr>
          <w:rFonts w:hint="eastAsia"/>
        </w:rPr>
      </w:pPr>
    </w:p>
    <w:p w14:paraId="2C3B25BF">
      <w:pPr>
        <w:pStyle w:val="9"/>
        <w:spacing w:after="0" w:line="249" w:lineRule="auto"/>
        <w:rPr>
          <w:rFonts w:hint="eastAsia"/>
        </w:rPr>
      </w:pPr>
      <w:r>
        <w:rPr>
          <w:rFonts w:hint="eastAsia"/>
        </w:rPr>
        <w:t>In Eve’s case, the deception worked: Filled with doubts about God’s goodness—and enflamed with illicit desires to free herself from his rule, become his equal, and make her way forward in life independently of him—she ate.</w:t>
      </w:r>
    </w:p>
    <w:p w14:paraId="3D22B5D3">
      <w:pPr>
        <w:pStyle w:val="9"/>
        <w:spacing w:after="0" w:line="249" w:lineRule="auto"/>
        <w:rPr>
          <w:rFonts w:hint="eastAsia"/>
        </w:rPr>
      </w:pPr>
    </w:p>
    <w:p w14:paraId="4BE80ABE">
      <w:pPr>
        <w:pStyle w:val="9"/>
        <w:spacing w:after="0" w:line="249" w:lineRule="auto"/>
        <w:rPr>
          <w:rFonts w:hint="eastAsia"/>
        </w:rPr>
      </w:pPr>
      <w:r>
        <w:rPr>
          <w:rFonts w:hint="eastAsia"/>
        </w:rPr>
        <w:t>在夏娃的例子中，欺骗奏效了：她充满了对神良善的怀疑——并被不法的欲望点燃，要脱离祂的统治，与祂同等，并独立于祂在生活中前行——她就吃了。</w:t>
      </w:r>
    </w:p>
    <w:p w14:paraId="3C5CE490">
      <w:pPr>
        <w:pStyle w:val="9"/>
        <w:spacing w:after="0" w:line="249" w:lineRule="auto"/>
        <w:rPr>
          <w:rFonts w:hint="eastAsia"/>
        </w:rPr>
      </w:pPr>
    </w:p>
    <w:p w14:paraId="38671126">
      <w:pPr>
        <w:pStyle w:val="9"/>
        <w:spacing w:after="0" w:line="249" w:lineRule="auto"/>
        <w:rPr>
          <w:rFonts w:hint="eastAsia"/>
        </w:rPr>
      </w:pPr>
      <w:r>
        <w:rPr>
          <w:rFonts w:hint="eastAsia"/>
        </w:rPr>
        <w:t>Adam, on the other hand, was not deceived (2 Cor. 11:3, 1 Tim. 2:14).</w:t>
      </w:r>
    </w:p>
    <w:p w14:paraId="6AD9CE41">
      <w:pPr>
        <w:pStyle w:val="9"/>
        <w:spacing w:after="0" w:line="249" w:lineRule="auto"/>
        <w:rPr>
          <w:rFonts w:hint="eastAsia"/>
        </w:rPr>
      </w:pPr>
    </w:p>
    <w:p w14:paraId="2B55F18A">
      <w:pPr>
        <w:pStyle w:val="9"/>
        <w:spacing w:after="0" w:line="249" w:lineRule="auto"/>
        <w:rPr>
          <w:rFonts w:hint="eastAsia"/>
        </w:rPr>
      </w:pPr>
      <w:r>
        <w:rPr>
          <w:rFonts w:hint="eastAsia"/>
        </w:rPr>
        <w:t>另一方面，亚当并没有被欺骗（林后 11:3, 提前 2:14）。</w:t>
      </w:r>
    </w:p>
    <w:p w14:paraId="7426C517">
      <w:pPr>
        <w:pStyle w:val="9"/>
        <w:spacing w:after="0" w:line="249" w:lineRule="auto"/>
        <w:rPr>
          <w:rFonts w:hint="eastAsia"/>
        </w:rPr>
      </w:pPr>
    </w:p>
    <w:p w14:paraId="150FB714">
      <w:pPr>
        <w:pStyle w:val="9"/>
        <w:spacing w:after="0" w:line="249" w:lineRule="auto"/>
        <w:rPr>
          <w:rFonts w:hint="eastAsia"/>
        </w:rPr>
      </w:pPr>
      <w:r>
        <w:rPr>
          <w:rFonts w:hint="eastAsia"/>
        </w:rPr>
        <w:t>Why, then, did he eat?</w:t>
      </w:r>
    </w:p>
    <w:p w14:paraId="1EE10929">
      <w:pPr>
        <w:pStyle w:val="9"/>
        <w:spacing w:after="0" w:line="249" w:lineRule="auto"/>
        <w:rPr>
          <w:rFonts w:hint="eastAsia"/>
        </w:rPr>
      </w:pPr>
    </w:p>
    <w:p w14:paraId="0C1E0FAF">
      <w:pPr>
        <w:pStyle w:val="9"/>
        <w:spacing w:after="0" w:line="249" w:lineRule="auto"/>
        <w:rPr>
          <w:rFonts w:hint="eastAsia"/>
        </w:rPr>
      </w:pPr>
      <w:r>
        <w:rPr>
          <w:rFonts w:hint="eastAsia"/>
        </w:rPr>
        <w:t>那么，他为何要吃呢？</w:t>
      </w:r>
    </w:p>
    <w:p w14:paraId="309EE99A">
      <w:pPr>
        <w:pStyle w:val="9"/>
        <w:spacing w:after="0" w:line="249" w:lineRule="auto"/>
        <w:rPr>
          <w:rFonts w:hint="eastAsia"/>
        </w:rPr>
      </w:pPr>
    </w:p>
    <w:p w14:paraId="55C481D3">
      <w:pPr>
        <w:pStyle w:val="9"/>
        <w:spacing w:after="0" w:line="249" w:lineRule="auto"/>
        <w:rPr>
          <w:rFonts w:hint="eastAsia"/>
        </w:rPr>
      </w:pPr>
      <w:r>
        <w:rPr>
          <w:rFonts w:hint="eastAsia"/>
        </w:rPr>
        <w:t>The Bible does not say.</w:t>
      </w:r>
    </w:p>
    <w:p w14:paraId="11CFA9A3">
      <w:pPr>
        <w:pStyle w:val="9"/>
        <w:spacing w:after="0" w:line="249" w:lineRule="auto"/>
        <w:rPr>
          <w:rFonts w:hint="eastAsia"/>
        </w:rPr>
      </w:pPr>
    </w:p>
    <w:p w14:paraId="1924870A">
      <w:pPr>
        <w:pStyle w:val="9"/>
        <w:spacing w:after="0" w:line="249" w:lineRule="auto"/>
        <w:rPr>
          <w:rFonts w:hint="eastAsia"/>
        </w:rPr>
      </w:pPr>
      <w:r>
        <w:rPr>
          <w:rFonts w:hint="eastAsia"/>
        </w:rPr>
        <w:t>圣经没有说。</w:t>
      </w:r>
    </w:p>
    <w:p w14:paraId="40A537C4">
      <w:pPr>
        <w:pStyle w:val="9"/>
        <w:spacing w:after="0" w:line="249" w:lineRule="auto"/>
        <w:rPr>
          <w:rFonts w:hint="eastAsia"/>
        </w:rPr>
      </w:pPr>
    </w:p>
    <w:p w14:paraId="50028BAA">
      <w:pPr>
        <w:pStyle w:val="9"/>
        <w:spacing w:after="0" w:line="249" w:lineRule="auto"/>
        <w:rPr>
          <w:rFonts w:hint="eastAsia"/>
        </w:rPr>
      </w:pPr>
      <w:r>
        <w:rPr>
          <w:rFonts w:hint="eastAsia"/>
        </w:rPr>
        <w:t>Yet this much is sure: Because he was not deceived, he had nothing like Eve’s excuse for his disobedience, and was therefore guilty of the more egregious rebellion against his benevolent creator and king.</w:t>
      </w:r>
    </w:p>
    <w:p w14:paraId="3A5D67FF">
      <w:pPr>
        <w:pStyle w:val="9"/>
        <w:spacing w:after="0" w:line="249" w:lineRule="auto"/>
        <w:rPr>
          <w:rFonts w:hint="eastAsia"/>
        </w:rPr>
      </w:pPr>
    </w:p>
    <w:p w14:paraId="43FFA15B">
      <w:pPr>
        <w:pStyle w:val="9"/>
        <w:spacing w:after="0" w:line="249" w:lineRule="auto"/>
        <w:rPr>
          <w:rFonts w:hint="eastAsia"/>
        </w:rPr>
      </w:pPr>
      <w:r>
        <w:rPr>
          <w:rFonts w:hint="eastAsia"/>
        </w:rPr>
        <w:t>然而，这一点是肯定的：因为他没有被欺骗，他对他的不顺从就没有像夏娃那样的借口，因此犯了对祂仁慈的创造主和君王更严重的叛逆罪。</w:t>
      </w:r>
    </w:p>
    <w:p w14:paraId="18AFF11B">
      <w:pPr>
        <w:pStyle w:val="9"/>
        <w:spacing w:after="0" w:line="249" w:lineRule="auto"/>
        <w:rPr>
          <w:rFonts w:hint="eastAsia"/>
        </w:rPr>
      </w:pPr>
    </w:p>
    <w:p w14:paraId="2D52CB3D">
      <w:pPr>
        <w:pStyle w:val="9"/>
        <w:spacing w:after="0" w:line="249" w:lineRule="auto"/>
        <w:rPr>
          <w:rFonts w:hint="eastAsia"/>
        </w:rPr>
      </w:pPr>
      <w:r>
        <w:rPr>
          <w:rFonts w:hint="eastAsia"/>
        </w:rPr>
        <w:t>All too well, then, do the words of the apostle apply to the guilty pair, even as they serve to explain to modern skeptics the seriousness (and deadly consequences) of one man eating a piece of forbidden fruit:</w:t>
      </w:r>
    </w:p>
    <w:p w14:paraId="0DC4B85A">
      <w:pPr>
        <w:pStyle w:val="9"/>
        <w:spacing w:after="0" w:line="249" w:lineRule="auto"/>
        <w:rPr>
          <w:rFonts w:hint="eastAsia"/>
        </w:rPr>
      </w:pPr>
    </w:p>
    <w:p w14:paraId="3C0EB4C3">
      <w:pPr>
        <w:pStyle w:val="9"/>
        <w:spacing w:after="0" w:line="249" w:lineRule="auto"/>
        <w:rPr>
          <w:rFonts w:hint="eastAsia"/>
        </w:rPr>
      </w:pPr>
      <w:r>
        <w:rPr>
          <w:rFonts w:hint="eastAsia"/>
        </w:rPr>
        <w:t>那么，使徒的话就非常恰当地适用于这对有罪的夫妇，同时也向现代的怀疑论者解释了一个人吃一块禁果的严重性（和致命后果）：</w:t>
      </w:r>
    </w:p>
    <w:p w14:paraId="6C2BE7A0">
      <w:pPr>
        <w:pStyle w:val="9"/>
        <w:spacing w:after="0" w:line="249" w:lineRule="auto"/>
        <w:rPr>
          <w:rFonts w:hint="eastAsia"/>
        </w:rPr>
      </w:pPr>
    </w:p>
    <w:p w14:paraId="0067B9C9">
      <w:pPr>
        <w:pStyle w:val="9"/>
        <w:spacing w:after="0" w:line="249" w:lineRule="auto"/>
        <w:rPr>
          <w:rFonts w:hint="eastAsia"/>
        </w:rPr>
      </w:pPr>
      <w:r>
        <w:rPr>
          <w:rFonts w:hint="eastAsia"/>
        </w:rPr>
        <w:t>Although they knew God, they did not honor him as God, nor were they thankful, but became futile in their thoughts, and their foolish hearts were darkened … (They) exchanged the truth of God for a lie, and served the creature rather than the Creator, who is blessed forever.</w:t>
      </w:r>
    </w:p>
    <w:p w14:paraId="7FEACBCC">
      <w:pPr>
        <w:pStyle w:val="9"/>
        <w:spacing w:after="0" w:line="249" w:lineRule="auto"/>
        <w:rPr>
          <w:rFonts w:hint="eastAsia"/>
        </w:rPr>
      </w:pPr>
    </w:p>
    <w:p w14:paraId="60119C77">
      <w:pPr>
        <w:pStyle w:val="9"/>
        <w:spacing w:after="0" w:line="249" w:lineRule="auto"/>
        <w:rPr>
          <w:rFonts w:hint="eastAsia"/>
        </w:rPr>
      </w:pPr>
      <w:r>
        <w:rPr>
          <w:rFonts w:hint="eastAsia"/>
        </w:rPr>
        <w:t>他们虽然知道神，却不当作神荣耀祂，也不感谢祂，他们的思念变为虚妄，无知的心就昏暗了……（他们）将神的真实变为虚谎，去敬拜事奉受造之物，不敬奉那造物的主，主乃是可称颂的，直到永远。</w:t>
      </w:r>
    </w:p>
    <w:p w14:paraId="70D1F142">
      <w:pPr>
        <w:pStyle w:val="9"/>
        <w:spacing w:after="0" w:line="249" w:lineRule="auto"/>
        <w:rPr>
          <w:rFonts w:hint="eastAsia"/>
        </w:rPr>
      </w:pPr>
    </w:p>
    <w:p w14:paraId="642CA1A1">
      <w:pPr>
        <w:pStyle w:val="9"/>
        <w:spacing w:after="0" w:line="249" w:lineRule="auto"/>
        <w:rPr>
          <w:rFonts w:hint="eastAsia"/>
        </w:rPr>
      </w:pPr>
      <w:r>
        <w:rPr>
          <w:rFonts w:hint="eastAsia"/>
        </w:rPr>
        <w:t>Amen.</w:t>
      </w:r>
    </w:p>
    <w:p w14:paraId="56277961">
      <w:pPr>
        <w:pStyle w:val="9"/>
        <w:spacing w:after="0" w:line="249" w:lineRule="auto"/>
        <w:rPr>
          <w:rFonts w:hint="eastAsia"/>
        </w:rPr>
      </w:pPr>
    </w:p>
    <w:p w14:paraId="7C1CFD4B">
      <w:pPr>
        <w:pStyle w:val="9"/>
        <w:spacing w:after="0" w:line="249" w:lineRule="auto"/>
        <w:rPr>
          <w:rFonts w:hint="eastAsia"/>
        </w:rPr>
      </w:pPr>
      <w:r>
        <w:rPr>
          <w:rFonts w:hint="eastAsia"/>
        </w:rPr>
        <w:t>阿们。</w:t>
      </w:r>
    </w:p>
    <w:p w14:paraId="43CCDD89">
      <w:pPr>
        <w:pStyle w:val="9"/>
        <w:spacing w:after="0" w:line="249" w:lineRule="auto"/>
        <w:rPr>
          <w:rFonts w:hint="eastAsia"/>
        </w:rPr>
      </w:pPr>
    </w:p>
    <w:p w14:paraId="41623375">
      <w:pPr>
        <w:pStyle w:val="9"/>
        <w:spacing w:after="0" w:line="249" w:lineRule="auto"/>
        <w:rPr>
          <w:rFonts w:hint="eastAsia"/>
        </w:rPr>
      </w:pPr>
      <w:r>
        <w:rPr>
          <w:rFonts w:hint="eastAsia"/>
        </w:rPr>
        <w:t>—Rom. 1:21, 25</w:t>
      </w:r>
    </w:p>
    <w:p w14:paraId="3365AA07">
      <w:pPr>
        <w:pStyle w:val="9"/>
        <w:spacing w:after="0" w:line="249" w:lineRule="auto"/>
        <w:rPr>
          <w:rFonts w:hint="eastAsia"/>
        </w:rPr>
      </w:pPr>
    </w:p>
    <w:p w14:paraId="0A88E8E1">
      <w:pPr>
        <w:pStyle w:val="9"/>
        <w:spacing w:after="0" w:line="249" w:lineRule="auto"/>
        <w:rPr>
          <w:rFonts w:hint="eastAsia"/>
        </w:rPr>
      </w:pPr>
      <w:r>
        <w:rPr>
          <w:rFonts w:hint="eastAsia"/>
        </w:rPr>
        <w:t>——罗 1:21, 25</w:t>
      </w:r>
    </w:p>
    <w:p w14:paraId="470EB816">
      <w:pPr>
        <w:pStyle w:val="9"/>
        <w:spacing w:after="0" w:line="249" w:lineRule="auto"/>
        <w:rPr>
          <w:rFonts w:hint="eastAsia"/>
        </w:rPr>
      </w:pPr>
    </w:p>
    <w:p w14:paraId="02FC5A66">
      <w:pPr>
        <w:pStyle w:val="9"/>
        <w:spacing w:after="0" w:line="249" w:lineRule="auto"/>
        <w:rPr>
          <w:rFonts w:hint="eastAsia"/>
        </w:rPr>
      </w:pPr>
      <w:r>
        <w:rPr>
          <w:rFonts w:hint="eastAsia"/>
        </w:rPr>
        <w:t>Consequences of the Fall: Friends That Went Out</w:t>
      </w:r>
    </w:p>
    <w:p w14:paraId="56F4B734">
      <w:pPr>
        <w:pStyle w:val="9"/>
        <w:spacing w:after="0" w:line="249" w:lineRule="auto"/>
        <w:rPr>
          <w:rFonts w:hint="eastAsia"/>
        </w:rPr>
      </w:pPr>
    </w:p>
    <w:p w14:paraId="6945C62C">
      <w:pPr>
        <w:pStyle w:val="9"/>
        <w:spacing w:after="0" w:line="249" w:lineRule="auto"/>
        <w:rPr>
          <w:rFonts w:hint="eastAsia"/>
        </w:rPr>
      </w:pPr>
      <w:r>
        <w:rPr>
          <w:rFonts w:hint="eastAsia"/>
        </w:rPr>
        <w:t>堕落的后果：离去的朋友</w:t>
      </w:r>
    </w:p>
    <w:p w14:paraId="3D123FB4">
      <w:pPr>
        <w:pStyle w:val="9"/>
        <w:spacing w:after="0" w:line="249" w:lineRule="auto"/>
        <w:rPr>
          <w:rFonts w:hint="eastAsia"/>
        </w:rPr>
      </w:pPr>
    </w:p>
    <w:p w14:paraId="6688CA31">
      <w:pPr>
        <w:pStyle w:val="9"/>
        <w:spacing w:after="0" w:line="249" w:lineRule="auto"/>
        <w:rPr>
          <w:rFonts w:hint="eastAsia"/>
        </w:rPr>
      </w:pPr>
      <w:r>
        <w:rPr>
          <w:rFonts w:hint="eastAsia"/>
        </w:rPr>
        <w:t>Genesis 3:7-24 recounts some of the consequences of Adam’s fall.</w:t>
      </w:r>
    </w:p>
    <w:p w14:paraId="67E6FA06">
      <w:pPr>
        <w:pStyle w:val="9"/>
        <w:spacing w:after="0" w:line="249" w:lineRule="auto"/>
        <w:rPr>
          <w:rFonts w:hint="eastAsia"/>
        </w:rPr>
      </w:pPr>
    </w:p>
    <w:p w14:paraId="244AC5E3">
      <w:pPr>
        <w:pStyle w:val="9"/>
        <w:spacing w:after="0" w:line="249" w:lineRule="auto"/>
        <w:rPr>
          <w:rFonts w:hint="eastAsia"/>
        </w:rPr>
      </w:pPr>
      <w:r>
        <w:rPr>
          <w:rFonts w:hint="eastAsia"/>
        </w:rPr>
        <w:t>创世记3:7-24记述了亚当堕落的一些后果。</w:t>
      </w:r>
    </w:p>
    <w:p w14:paraId="06BEDBCD">
      <w:pPr>
        <w:pStyle w:val="9"/>
        <w:spacing w:after="0" w:line="249" w:lineRule="auto"/>
        <w:rPr>
          <w:rFonts w:hint="eastAsia"/>
        </w:rPr>
      </w:pPr>
    </w:p>
    <w:p w14:paraId="46070DE6">
      <w:pPr>
        <w:pStyle w:val="9"/>
        <w:spacing w:after="0" w:line="249" w:lineRule="auto"/>
        <w:rPr>
          <w:rFonts w:hint="eastAsia"/>
        </w:rPr>
      </w:pPr>
      <w:r>
        <w:rPr>
          <w:rFonts w:hint="eastAsia"/>
        </w:rPr>
        <w:t>When supplemented with NT teaching, we realize that they were indeed cosmic in scale, extending up into heaven, out across the whole face of nature, down through the generations, and deep into the recesses of the human heart.</w:t>
      </w:r>
    </w:p>
    <w:p w14:paraId="43F97311">
      <w:pPr>
        <w:pStyle w:val="9"/>
        <w:spacing w:after="0" w:line="249" w:lineRule="auto"/>
        <w:rPr>
          <w:rFonts w:hint="eastAsia"/>
        </w:rPr>
      </w:pPr>
    </w:p>
    <w:p w14:paraId="450ACB21">
      <w:pPr>
        <w:pStyle w:val="9"/>
        <w:spacing w:after="0" w:line="249" w:lineRule="auto"/>
        <w:rPr>
          <w:rFonts w:hint="eastAsia"/>
        </w:rPr>
      </w:pPr>
      <w:r>
        <w:rPr>
          <w:rFonts w:hint="eastAsia"/>
        </w:rPr>
        <w:t>当辅以新约的教导时，我们意识到这些后果确实是宇宙规模的，延伸到天上，遍及整个自然界，贯穿世世代代，并深入到人心的隐秘处。</w:t>
      </w:r>
    </w:p>
    <w:p w14:paraId="313CF4A3">
      <w:pPr>
        <w:pStyle w:val="9"/>
        <w:spacing w:after="0" w:line="249" w:lineRule="auto"/>
        <w:rPr>
          <w:rFonts w:hint="eastAsia"/>
        </w:rPr>
      </w:pPr>
    </w:p>
    <w:p w14:paraId="2A71BF0E">
      <w:pPr>
        <w:pStyle w:val="9"/>
        <w:spacing w:after="0" w:line="249" w:lineRule="auto"/>
        <w:rPr>
          <w:rFonts w:hint="eastAsia"/>
        </w:rPr>
      </w:pPr>
      <w:r>
        <w:rPr>
          <w:rFonts w:hint="eastAsia"/>
        </w:rPr>
        <w:t>To form a complete picture of them, we must remember that the Bible likens Adam to a door (Rom 5:12).</w:t>
      </w:r>
    </w:p>
    <w:p w14:paraId="4DBB345D">
      <w:pPr>
        <w:pStyle w:val="9"/>
        <w:spacing w:after="0" w:line="249" w:lineRule="auto"/>
        <w:rPr>
          <w:rFonts w:hint="eastAsia"/>
        </w:rPr>
      </w:pPr>
    </w:p>
    <w:p w14:paraId="50726545">
      <w:pPr>
        <w:pStyle w:val="9"/>
        <w:spacing w:after="0" w:line="249" w:lineRule="auto"/>
        <w:rPr>
          <w:rFonts w:hint="eastAsia"/>
        </w:rPr>
      </w:pPr>
      <w:r>
        <w:rPr>
          <w:rFonts w:hint="eastAsia"/>
        </w:rPr>
        <w:t>为了对它们形成一个完整的图画，我们必须记住，圣经将亚当比作一扇门（罗 5:12）。</w:t>
      </w:r>
    </w:p>
    <w:p w14:paraId="2B3050F4">
      <w:pPr>
        <w:pStyle w:val="9"/>
        <w:spacing w:after="0" w:line="249" w:lineRule="auto"/>
        <w:rPr>
          <w:rFonts w:hint="eastAsia"/>
        </w:rPr>
      </w:pPr>
    </w:p>
    <w:p w14:paraId="0F3E88B2">
      <w:pPr>
        <w:pStyle w:val="9"/>
        <w:spacing w:after="0" w:line="249" w:lineRule="auto"/>
        <w:rPr>
          <w:rFonts w:hint="eastAsia"/>
        </w:rPr>
      </w:pPr>
      <w:r>
        <w:rPr>
          <w:rFonts w:hint="eastAsia"/>
        </w:rPr>
        <w:t>When he sinned, many dear friends went out the door, even as many deadly enemies entered in.</w:t>
      </w:r>
    </w:p>
    <w:p w14:paraId="3E956684">
      <w:pPr>
        <w:pStyle w:val="9"/>
        <w:spacing w:after="0" w:line="249" w:lineRule="auto"/>
        <w:rPr>
          <w:rFonts w:hint="eastAsia"/>
        </w:rPr>
      </w:pPr>
    </w:p>
    <w:p w14:paraId="3395B34B">
      <w:pPr>
        <w:pStyle w:val="9"/>
        <w:spacing w:after="0" w:line="249" w:lineRule="auto"/>
        <w:rPr>
          <w:rFonts w:hint="eastAsia"/>
        </w:rPr>
      </w:pPr>
      <w:r>
        <w:rPr>
          <w:rFonts w:hint="eastAsia"/>
        </w:rPr>
        <w:t>当他犯罪时，许多亲爱的朋友出了门，同时许多致命的敌人也进来了。</w:t>
      </w:r>
    </w:p>
    <w:p w14:paraId="029D63C9">
      <w:pPr>
        <w:pStyle w:val="9"/>
        <w:spacing w:after="0" w:line="249" w:lineRule="auto"/>
        <w:rPr>
          <w:rFonts w:hint="eastAsia"/>
        </w:rPr>
      </w:pPr>
    </w:p>
    <w:p w14:paraId="72A3FA0B">
      <w:pPr>
        <w:pStyle w:val="9"/>
        <w:spacing w:after="0" w:line="249" w:lineRule="auto"/>
        <w:rPr>
          <w:rFonts w:hint="eastAsia"/>
        </w:rPr>
      </w:pPr>
      <w:r>
        <w:rPr>
          <w:rFonts w:hint="eastAsia"/>
        </w:rPr>
        <w:t>As for the departed friends, the dearest was no doubt Adam’s easy relationship with God.</w:t>
      </w:r>
    </w:p>
    <w:p w14:paraId="5EC0D689">
      <w:pPr>
        <w:pStyle w:val="9"/>
        <w:spacing w:after="0" w:line="249" w:lineRule="auto"/>
        <w:rPr>
          <w:rFonts w:hint="eastAsia"/>
        </w:rPr>
      </w:pPr>
    </w:p>
    <w:p w14:paraId="5CB03DF1">
      <w:pPr>
        <w:pStyle w:val="9"/>
        <w:spacing w:after="0" w:line="249" w:lineRule="auto"/>
        <w:rPr>
          <w:rFonts w:hint="eastAsia"/>
        </w:rPr>
      </w:pPr>
      <w:r>
        <w:rPr>
          <w:rFonts w:hint="eastAsia"/>
        </w:rPr>
        <w:t>至于离去的朋友，最亲爱的无疑是亚当与神轻松的关系。</w:t>
      </w:r>
    </w:p>
    <w:p w14:paraId="115FB58F">
      <w:pPr>
        <w:pStyle w:val="9"/>
        <w:spacing w:after="0" w:line="249" w:lineRule="auto"/>
        <w:rPr>
          <w:rFonts w:hint="eastAsia"/>
        </w:rPr>
      </w:pPr>
    </w:p>
    <w:p w14:paraId="338B8684">
      <w:pPr>
        <w:pStyle w:val="9"/>
        <w:spacing w:after="0" w:line="249" w:lineRule="auto"/>
        <w:rPr>
          <w:rFonts w:hint="eastAsia"/>
        </w:rPr>
      </w:pPr>
      <w:r>
        <w:rPr>
          <w:rFonts w:hint="eastAsia"/>
        </w:rPr>
        <w:t>Though this was not yet full spiritual sonship, it was certainly friendship.</w:t>
      </w:r>
    </w:p>
    <w:p w14:paraId="66BC3873">
      <w:pPr>
        <w:pStyle w:val="9"/>
        <w:spacing w:after="0" w:line="249" w:lineRule="auto"/>
        <w:rPr>
          <w:rFonts w:hint="eastAsia"/>
        </w:rPr>
      </w:pPr>
    </w:p>
    <w:p w14:paraId="05738194">
      <w:pPr>
        <w:pStyle w:val="9"/>
        <w:spacing w:after="0" w:line="249" w:lineRule="auto"/>
        <w:rPr>
          <w:rFonts w:hint="eastAsia"/>
        </w:rPr>
      </w:pPr>
      <w:r>
        <w:rPr>
          <w:rFonts w:hint="eastAsia"/>
        </w:rPr>
        <w:t>虽然这还不是完全的属灵儿子名分，但肯定是友谊。</w:t>
      </w:r>
    </w:p>
    <w:p w14:paraId="69886C29">
      <w:pPr>
        <w:pStyle w:val="9"/>
        <w:spacing w:after="0" w:line="249" w:lineRule="auto"/>
        <w:rPr>
          <w:rFonts w:hint="eastAsia"/>
        </w:rPr>
      </w:pPr>
    </w:p>
    <w:p w14:paraId="4C4840B0">
      <w:pPr>
        <w:pStyle w:val="9"/>
        <w:spacing w:after="0" w:line="249" w:lineRule="auto"/>
        <w:rPr>
          <w:rFonts w:hint="eastAsia"/>
        </w:rPr>
      </w:pPr>
      <w:r>
        <w:rPr>
          <w:rFonts w:hint="eastAsia"/>
        </w:rPr>
        <w:t>When Adam sinned, that friendship was broken, God withdrew his soul-sustaining presence, and—in immediate fulfillment of his earlier warning—Adam died, spiritually speaking (Gen. 2:17).</w:t>
      </w:r>
    </w:p>
    <w:p w14:paraId="59C9F6CE">
      <w:pPr>
        <w:pStyle w:val="9"/>
        <w:spacing w:after="0" w:line="249" w:lineRule="auto"/>
        <w:rPr>
          <w:rFonts w:hint="eastAsia"/>
        </w:rPr>
      </w:pPr>
    </w:p>
    <w:p w14:paraId="7952C1D1">
      <w:pPr>
        <w:pStyle w:val="9"/>
        <w:spacing w:after="0" w:line="249" w:lineRule="auto"/>
        <w:rPr>
          <w:rFonts w:hint="eastAsia"/>
        </w:rPr>
      </w:pPr>
      <w:r>
        <w:rPr>
          <w:rFonts w:hint="eastAsia"/>
        </w:rPr>
        <w:t>当亚当犯罪时，那份友谊就破裂了，神收回了祂那维系灵魂的同在，并且——为要立即应验祂先前的警告——亚当就死了，是灵性上的死（创 2:17）。</w:t>
      </w:r>
    </w:p>
    <w:p w14:paraId="79D7A05C">
      <w:pPr>
        <w:pStyle w:val="9"/>
        <w:spacing w:after="0" w:line="249" w:lineRule="auto"/>
        <w:rPr>
          <w:rFonts w:hint="eastAsia"/>
        </w:rPr>
      </w:pPr>
    </w:p>
    <w:p w14:paraId="05FDF62D">
      <w:pPr>
        <w:pStyle w:val="9"/>
        <w:spacing w:after="0" w:line="249" w:lineRule="auto"/>
        <w:rPr>
          <w:rFonts w:hint="eastAsia"/>
        </w:rPr>
      </w:pPr>
      <w:r>
        <w:rPr>
          <w:rFonts w:hint="eastAsia"/>
        </w:rPr>
        <w:t>With this there necessarily followed a loss of his original integrity, both spiritual and physical.</w:t>
      </w:r>
    </w:p>
    <w:p w14:paraId="35A036F8">
      <w:pPr>
        <w:pStyle w:val="9"/>
        <w:spacing w:after="0" w:line="249" w:lineRule="auto"/>
        <w:rPr>
          <w:rFonts w:hint="eastAsia"/>
        </w:rPr>
      </w:pPr>
    </w:p>
    <w:p w14:paraId="059E26EF">
      <w:pPr>
        <w:pStyle w:val="9"/>
        <w:spacing w:after="0" w:line="249" w:lineRule="auto"/>
        <w:rPr>
          <w:rFonts w:hint="eastAsia"/>
        </w:rPr>
      </w:pPr>
      <w:r>
        <w:rPr>
          <w:rFonts w:hint="eastAsia"/>
        </w:rPr>
        <w:t>随之而来的是他原初完整性的丧失，无论是属灵的还是属肉体的。</w:t>
      </w:r>
    </w:p>
    <w:p w14:paraId="674C9600">
      <w:pPr>
        <w:pStyle w:val="9"/>
        <w:spacing w:after="0" w:line="249" w:lineRule="auto"/>
        <w:rPr>
          <w:rFonts w:hint="eastAsia"/>
        </w:rPr>
      </w:pPr>
    </w:p>
    <w:p w14:paraId="1D0B8E0A">
      <w:pPr>
        <w:pStyle w:val="9"/>
        <w:spacing w:after="0" w:line="249" w:lineRule="auto"/>
        <w:rPr>
          <w:rFonts w:hint="eastAsia"/>
        </w:rPr>
      </w:pPr>
      <w:r>
        <w:rPr>
          <w:rFonts w:hint="eastAsia"/>
        </w:rPr>
        <w:t>Henceforth, Adam’s faculties, his body, and his manifold relationships were weakened, twisted, broken, and polluted beyond human repair (Gen. 3:7-8, 14-19).</w:t>
      </w:r>
    </w:p>
    <w:p w14:paraId="088D70A6">
      <w:pPr>
        <w:pStyle w:val="9"/>
        <w:spacing w:after="0" w:line="249" w:lineRule="auto"/>
        <w:rPr>
          <w:rFonts w:hint="eastAsia"/>
        </w:rPr>
      </w:pPr>
    </w:p>
    <w:p w14:paraId="4289B112">
      <w:pPr>
        <w:pStyle w:val="9"/>
        <w:spacing w:after="0" w:line="249" w:lineRule="auto"/>
        <w:rPr>
          <w:rFonts w:hint="eastAsia"/>
        </w:rPr>
      </w:pPr>
      <w:r>
        <w:rPr>
          <w:rFonts w:hint="eastAsia"/>
        </w:rPr>
        <w:t>从此，亚当的官能、他的身体和他诸般的关系都变得软弱、扭曲、破碎和被玷污，超出了人力所能修复的范围（创 3:7-8, 14-19）。</w:t>
      </w:r>
    </w:p>
    <w:p w14:paraId="43F456B3">
      <w:pPr>
        <w:pStyle w:val="9"/>
        <w:spacing w:after="0" w:line="249" w:lineRule="auto"/>
        <w:rPr>
          <w:rFonts w:hint="eastAsia"/>
        </w:rPr>
      </w:pPr>
    </w:p>
    <w:p w14:paraId="04A51C0A">
      <w:pPr>
        <w:pStyle w:val="9"/>
        <w:spacing w:after="0" w:line="249" w:lineRule="auto"/>
        <w:rPr>
          <w:rFonts w:hint="eastAsia"/>
        </w:rPr>
      </w:pPr>
      <w:r>
        <w:rPr>
          <w:rFonts w:hint="eastAsia"/>
        </w:rPr>
        <w:t>Death, like sin, was at work in his members.</w:t>
      </w:r>
    </w:p>
    <w:p w14:paraId="3A0A16C8">
      <w:pPr>
        <w:pStyle w:val="9"/>
        <w:spacing w:after="0" w:line="249" w:lineRule="auto"/>
        <w:rPr>
          <w:rFonts w:hint="eastAsia"/>
        </w:rPr>
      </w:pPr>
    </w:p>
    <w:p w14:paraId="24E20B6B">
      <w:pPr>
        <w:pStyle w:val="9"/>
        <w:spacing w:after="0" w:line="249" w:lineRule="auto"/>
        <w:rPr>
          <w:rFonts w:hint="eastAsia"/>
        </w:rPr>
      </w:pPr>
      <w:r>
        <w:rPr>
          <w:rFonts w:hint="eastAsia"/>
        </w:rPr>
        <w:t>死，如同罪，在他肢体中作工。</w:t>
      </w:r>
    </w:p>
    <w:p w14:paraId="670852C9">
      <w:pPr>
        <w:pStyle w:val="9"/>
        <w:spacing w:after="0" w:line="249" w:lineRule="auto"/>
        <w:rPr>
          <w:rFonts w:hint="eastAsia"/>
        </w:rPr>
      </w:pPr>
    </w:p>
    <w:p w14:paraId="6F2F49CF">
      <w:pPr>
        <w:pStyle w:val="9"/>
        <w:spacing w:after="0" w:line="249" w:lineRule="auto"/>
        <w:rPr>
          <w:rFonts w:hint="eastAsia"/>
        </w:rPr>
      </w:pPr>
      <w:r>
        <w:rPr>
          <w:rFonts w:hint="eastAsia"/>
        </w:rPr>
        <w:t>With these two losses there came also a third: the loss of his original freedom.</w:t>
      </w:r>
    </w:p>
    <w:p w14:paraId="6E9C09AC">
      <w:pPr>
        <w:pStyle w:val="9"/>
        <w:spacing w:after="0" w:line="249" w:lineRule="auto"/>
        <w:rPr>
          <w:rFonts w:hint="eastAsia"/>
        </w:rPr>
      </w:pPr>
    </w:p>
    <w:p w14:paraId="662E90CA">
      <w:pPr>
        <w:pStyle w:val="9"/>
        <w:spacing w:after="0" w:line="249" w:lineRule="auto"/>
        <w:rPr>
          <w:rFonts w:hint="eastAsia"/>
        </w:rPr>
      </w:pPr>
      <w:r>
        <w:rPr>
          <w:rFonts w:hint="eastAsia"/>
        </w:rPr>
        <w:t>随着这两样损失，又来了第三样：他原初自由的丧失。</w:t>
      </w:r>
    </w:p>
    <w:p w14:paraId="0FD7B989">
      <w:pPr>
        <w:pStyle w:val="9"/>
        <w:spacing w:after="0" w:line="249" w:lineRule="auto"/>
        <w:rPr>
          <w:rFonts w:hint="eastAsia"/>
        </w:rPr>
      </w:pPr>
    </w:p>
    <w:p w14:paraId="3F4A1227">
      <w:pPr>
        <w:pStyle w:val="9"/>
        <w:spacing w:after="0" w:line="249" w:lineRule="auto"/>
        <w:rPr>
          <w:rFonts w:hint="eastAsia"/>
        </w:rPr>
      </w:pPr>
      <w:r>
        <w:rPr>
          <w:rFonts w:hint="eastAsia"/>
        </w:rPr>
        <w:t>In biblical perspective, freedom is never autonomy, a metaphysical impossibility for any creature of the sovereign, all-sustaining God.</w:t>
      </w:r>
    </w:p>
    <w:p w14:paraId="5D5EFB16">
      <w:pPr>
        <w:pStyle w:val="9"/>
        <w:spacing w:after="0" w:line="249" w:lineRule="auto"/>
        <w:rPr>
          <w:rFonts w:hint="eastAsia"/>
        </w:rPr>
      </w:pPr>
    </w:p>
    <w:p w14:paraId="32372706">
      <w:pPr>
        <w:pStyle w:val="9"/>
        <w:spacing w:after="0" w:line="249" w:lineRule="auto"/>
        <w:rPr>
          <w:rFonts w:hint="eastAsia"/>
        </w:rPr>
      </w:pPr>
      <w:r>
        <w:rPr>
          <w:rFonts w:hint="eastAsia"/>
        </w:rPr>
        <w:t>在圣经的视角中，自由从来不是自主，这对任何被那位主宰的、维系万有之神所造的受造之物来说，在形而上学上都是不可能的。</w:t>
      </w:r>
    </w:p>
    <w:p w14:paraId="7BA24052">
      <w:pPr>
        <w:pStyle w:val="9"/>
        <w:spacing w:after="0" w:line="249" w:lineRule="auto"/>
        <w:rPr>
          <w:rFonts w:hint="eastAsia"/>
        </w:rPr>
      </w:pPr>
    </w:p>
    <w:p w14:paraId="32CCCB8A">
      <w:pPr>
        <w:pStyle w:val="9"/>
        <w:spacing w:after="0" w:line="249" w:lineRule="auto"/>
        <w:rPr>
          <w:rFonts w:hint="eastAsia"/>
        </w:rPr>
      </w:pPr>
      <w:r>
        <w:rPr>
          <w:rFonts w:hint="eastAsia"/>
        </w:rPr>
        <w:t>Rather, it is the simple ability to be what one was created to be.</w:t>
      </w:r>
    </w:p>
    <w:p w14:paraId="2C13FD24">
      <w:pPr>
        <w:pStyle w:val="9"/>
        <w:spacing w:after="0" w:line="249" w:lineRule="auto"/>
        <w:rPr>
          <w:rFonts w:hint="eastAsia"/>
        </w:rPr>
      </w:pPr>
    </w:p>
    <w:p w14:paraId="2CA7ED17">
      <w:pPr>
        <w:pStyle w:val="9"/>
        <w:spacing w:after="0" w:line="249" w:lineRule="auto"/>
        <w:rPr>
          <w:rFonts w:hint="eastAsia"/>
        </w:rPr>
      </w:pPr>
      <w:r>
        <w:rPr>
          <w:rFonts w:hint="eastAsia"/>
        </w:rPr>
        <w:t>相反，它是一种简单的能力，即成为一个人被造时所应有的样子。</w:t>
      </w:r>
    </w:p>
    <w:p w14:paraId="15DA3BA5">
      <w:pPr>
        <w:pStyle w:val="9"/>
        <w:spacing w:after="0" w:line="249" w:lineRule="auto"/>
        <w:rPr>
          <w:rFonts w:hint="eastAsia"/>
        </w:rPr>
      </w:pPr>
    </w:p>
    <w:p w14:paraId="268D4621">
      <w:pPr>
        <w:pStyle w:val="9"/>
        <w:spacing w:after="0" w:line="249" w:lineRule="auto"/>
        <w:rPr>
          <w:rFonts w:hint="eastAsia"/>
        </w:rPr>
      </w:pPr>
      <w:r>
        <w:rPr>
          <w:rFonts w:hint="eastAsia"/>
        </w:rPr>
        <w:t>When Adam sinned —and when sin wrought its devastating effects upon his nature—he lost that ability.</w:t>
      </w:r>
    </w:p>
    <w:p w14:paraId="6C8AEBF1">
      <w:pPr>
        <w:pStyle w:val="9"/>
        <w:spacing w:after="0" w:line="249" w:lineRule="auto"/>
        <w:rPr>
          <w:rFonts w:hint="eastAsia"/>
        </w:rPr>
      </w:pPr>
    </w:p>
    <w:p w14:paraId="6C536EE6">
      <w:pPr>
        <w:pStyle w:val="9"/>
        <w:spacing w:after="0" w:line="249" w:lineRule="auto"/>
        <w:rPr>
          <w:rFonts w:hint="eastAsia"/>
        </w:rPr>
      </w:pPr>
      <w:r>
        <w:rPr>
          <w:rFonts w:hint="eastAsia"/>
        </w:rPr>
        <w:t>当亚当犯罪——并且当罪对他本性造成毁灭性影响时——他就失去了那种能力。</w:t>
      </w:r>
    </w:p>
    <w:p w14:paraId="4008DA23">
      <w:pPr>
        <w:pStyle w:val="9"/>
        <w:spacing w:after="0" w:line="249" w:lineRule="auto"/>
        <w:rPr>
          <w:rFonts w:hint="eastAsia"/>
        </w:rPr>
      </w:pPr>
    </w:p>
    <w:p w14:paraId="64E63551">
      <w:pPr>
        <w:pStyle w:val="9"/>
        <w:spacing w:after="0" w:line="249" w:lineRule="auto"/>
        <w:rPr>
          <w:rFonts w:hint="eastAsia"/>
        </w:rPr>
      </w:pPr>
      <w:r>
        <w:rPr>
          <w:rFonts w:hint="eastAsia"/>
        </w:rPr>
        <w:t>Henceforth, he was no longer free to be his normal godly self.</w:t>
      </w:r>
    </w:p>
    <w:p w14:paraId="4DFED478">
      <w:pPr>
        <w:pStyle w:val="9"/>
        <w:spacing w:after="0" w:line="249" w:lineRule="auto"/>
        <w:rPr>
          <w:rFonts w:hint="eastAsia"/>
        </w:rPr>
      </w:pPr>
    </w:p>
    <w:p w14:paraId="408B2C1D">
      <w:pPr>
        <w:pStyle w:val="9"/>
        <w:spacing w:after="0" w:line="249" w:lineRule="auto"/>
        <w:rPr>
          <w:rFonts w:hint="eastAsia"/>
        </w:rPr>
      </w:pPr>
      <w:r>
        <w:rPr>
          <w:rFonts w:hint="eastAsia"/>
        </w:rPr>
        <w:t>从此，他不再能自由地作他正常的敬虔自我。</w:t>
      </w:r>
    </w:p>
    <w:p w14:paraId="37F524B6">
      <w:pPr>
        <w:pStyle w:val="9"/>
        <w:spacing w:after="0" w:line="249" w:lineRule="auto"/>
        <w:rPr>
          <w:rFonts w:hint="eastAsia"/>
        </w:rPr>
      </w:pPr>
    </w:p>
    <w:p w14:paraId="77F4F879">
      <w:pPr>
        <w:pStyle w:val="9"/>
        <w:spacing w:after="0" w:line="249" w:lineRule="auto"/>
        <w:rPr>
          <w:rFonts w:hint="eastAsia"/>
        </w:rPr>
      </w:pPr>
      <w:r>
        <w:rPr>
          <w:rFonts w:hint="eastAsia"/>
        </w:rPr>
        <w:t>Indeed, he was no longer even inclined to be his normal godly self (Rom. 3:9-18, 8:7).</w:t>
      </w:r>
    </w:p>
    <w:p w14:paraId="3269F3D5">
      <w:pPr>
        <w:pStyle w:val="9"/>
        <w:spacing w:after="0" w:line="249" w:lineRule="auto"/>
        <w:rPr>
          <w:rFonts w:hint="eastAsia"/>
        </w:rPr>
      </w:pPr>
    </w:p>
    <w:p w14:paraId="61FD7E72">
      <w:pPr>
        <w:pStyle w:val="9"/>
        <w:spacing w:after="0" w:line="249" w:lineRule="auto"/>
        <w:rPr>
          <w:rFonts w:hint="eastAsia"/>
        </w:rPr>
      </w:pPr>
      <w:r>
        <w:rPr>
          <w:rFonts w:hint="eastAsia"/>
        </w:rPr>
        <w:t>的确，他甚至不再倾向于作他正常的敬虔自我（罗 3:9-18, 8:7）。</w:t>
      </w:r>
    </w:p>
    <w:p w14:paraId="7F4A476F">
      <w:pPr>
        <w:pStyle w:val="9"/>
        <w:spacing w:after="0" w:line="249" w:lineRule="auto"/>
        <w:rPr>
          <w:rFonts w:hint="eastAsia"/>
        </w:rPr>
      </w:pPr>
    </w:p>
    <w:p w14:paraId="0A0CD132">
      <w:pPr>
        <w:pStyle w:val="9"/>
        <w:spacing w:after="0" w:line="249" w:lineRule="auto"/>
        <w:rPr>
          <w:rFonts w:hint="eastAsia"/>
        </w:rPr>
      </w:pPr>
      <w:r>
        <w:rPr>
          <w:rFonts w:hint="eastAsia"/>
        </w:rPr>
        <w:t>Instead of being a slave to God and righteousness, he had now become a slave to sin and Satan (John 5:42, 8:44, Rom. 6:1ff).</w:t>
      </w:r>
    </w:p>
    <w:p w14:paraId="1647C6A0">
      <w:pPr>
        <w:pStyle w:val="9"/>
        <w:spacing w:after="0" w:line="249" w:lineRule="auto"/>
        <w:rPr>
          <w:rFonts w:hint="eastAsia"/>
        </w:rPr>
      </w:pPr>
    </w:p>
    <w:p w14:paraId="6B02BACB">
      <w:pPr>
        <w:pStyle w:val="9"/>
        <w:spacing w:after="0" w:line="249" w:lineRule="auto"/>
        <w:rPr>
          <w:rFonts w:hint="eastAsia"/>
        </w:rPr>
      </w:pPr>
      <w:r>
        <w:rPr>
          <w:rFonts w:hint="eastAsia"/>
        </w:rPr>
        <w:t>他不再是神和义的奴仆，如今却成了罪和撒但的奴仆（约 5:42, 8:44, 罗 6:1及以下）。</w:t>
      </w:r>
    </w:p>
    <w:p w14:paraId="3EC22927">
      <w:pPr>
        <w:pStyle w:val="9"/>
        <w:spacing w:after="0" w:line="249" w:lineRule="auto"/>
        <w:rPr>
          <w:rFonts w:hint="eastAsia"/>
        </w:rPr>
      </w:pPr>
    </w:p>
    <w:p w14:paraId="534A9D72">
      <w:pPr>
        <w:pStyle w:val="9"/>
        <w:spacing w:after="0" w:line="249" w:lineRule="auto"/>
        <w:rPr>
          <w:rFonts w:hint="eastAsia"/>
        </w:rPr>
      </w:pPr>
      <w:r>
        <w:rPr>
          <w:rFonts w:hint="eastAsia"/>
        </w:rPr>
        <w:t>Finally, and very importantly, Adam lost access to the Tree of Life (Gen. 3:22-24).</w:t>
      </w:r>
    </w:p>
    <w:p w14:paraId="49FA953E">
      <w:pPr>
        <w:pStyle w:val="9"/>
        <w:spacing w:after="0" w:line="249" w:lineRule="auto"/>
        <w:rPr>
          <w:rFonts w:hint="eastAsia"/>
        </w:rPr>
      </w:pPr>
    </w:p>
    <w:p w14:paraId="25850BAE">
      <w:pPr>
        <w:pStyle w:val="9"/>
        <w:spacing w:after="0" w:line="249" w:lineRule="auto"/>
        <w:rPr>
          <w:rFonts w:hint="eastAsia"/>
        </w:rPr>
      </w:pPr>
      <w:r>
        <w:rPr>
          <w:rFonts w:hint="eastAsia"/>
        </w:rPr>
        <w:t>最后，且非常重要地，亚当失去了通往生命树的途径（创 3:22-24）。</w:t>
      </w:r>
    </w:p>
    <w:p w14:paraId="035EC165">
      <w:pPr>
        <w:pStyle w:val="9"/>
        <w:spacing w:after="0" w:line="249" w:lineRule="auto"/>
        <w:rPr>
          <w:rFonts w:hint="eastAsia"/>
        </w:rPr>
      </w:pPr>
    </w:p>
    <w:p w14:paraId="45440B0E">
      <w:pPr>
        <w:pStyle w:val="9"/>
        <w:spacing w:after="0" w:line="249" w:lineRule="auto"/>
        <w:rPr>
          <w:rFonts w:hint="eastAsia"/>
        </w:rPr>
      </w:pPr>
      <w:r>
        <w:rPr>
          <w:rFonts w:hint="eastAsia"/>
        </w:rPr>
        <w:t>As we have just seen, this tree represented eternal life in union with the triune God.</w:t>
      </w:r>
    </w:p>
    <w:p w14:paraId="59BA5E0B">
      <w:pPr>
        <w:pStyle w:val="9"/>
        <w:spacing w:after="0" w:line="249" w:lineRule="auto"/>
        <w:rPr>
          <w:rFonts w:hint="eastAsia"/>
        </w:rPr>
      </w:pPr>
    </w:p>
    <w:p w14:paraId="0262D0C8">
      <w:pPr>
        <w:pStyle w:val="9"/>
        <w:spacing w:after="0" w:line="249" w:lineRule="auto"/>
        <w:rPr>
          <w:rFonts w:hint="eastAsia"/>
        </w:rPr>
      </w:pPr>
      <w:r>
        <w:rPr>
          <w:rFonts w:hint="eastAsia"/>
        </w:rPr>
        <w:t>正如我们刚才所见，这棵树代表着与三一神联合的永生。</w:t>
      </w:r>
    </w:p>
    <w:p w14:paraId="05AB1EDB">
      <w:pPr>
        <w:pStyle w:val="9"/>
        <w:spacing w:after="0" w:line="249" w:lineRule="auto"/>
        <w:rPr>
          <w:rFonts w:hint="eastAsia"/>
        </w:rPr>
      </w:pPr>
    </w:p>
    <w:p w14:paraId="23CE7B00">
      <w:pPr>
        <w:pStyle w:val="9"/>
        <w:spacing w:after="0" w:line="249" w:lineRule="auto"/>
        <w:rPr>
          <w:rFonts w:hint="eastAsia"/>
        </w:rPr>
      </w:pPr>
      <w:r>
        <w:rPr>
          <w:rFonts w:hint="eastAsia"/>
        </w:rPr>
        <w:t>There, God offered to make Adam and his family children of God through the Son of God, and also citizens of his Kingdom through glad submission to the High King of Heaven.</w:t>
      </w:r>
    </w:p>
    <w:p w14:paraId="03E2EB74">
      <w:pPr>
        <w:pStyle w:val="9"/>
        <w:spacing w:after="0" w:line="249" w:lineRule="auto"/>
        <w:rPr>
          <w:rFonts w:hint="eastAsia"/>
        </w:rPr>
      </w:pPr>
    </w:p>
    <w:p w14:paraId="31299D9B">
      <w:pPr>
        <w:pStyle w:val="9"/>
        <w:spacing w:after="0" w:line="249" w:lineRule="auto"/>
        <w:rPr>
          <w:rFonts w:hint="eastAsia"/>
        </w:rPr>
      </w:pPr>
      <w:r>
        <w:rPr>
          <w:rFonts w:hint="eastAsia"/>
        </w:rPr>
        <w:t>在那里，神提出要借着神的儿子，使亚当和他的家庭成为神的儿女，并借着对天上至高君王的欣然顺服，成为祂国度的子民。</w:t>
      </w:r>
    </w:p>
    <w:p w14:paraId="756EA77F">
      <w:pPr>
        <w:pStyle w:val="9"/>
        <w:spacing w:after="0" w:line="249" w:lineRule="auto"/>
        <w:rPr>
          <w:rFonts w:hint="eastAsia"/>
        </w:rPr>
      </w:pPr>
    </w:p>
    <w:p w14:paraId="1F452844">
      <w:pPr>
        <w:pStyle w:val="9"/>
        <w:spacing w:after="0" w:line="249" w:lineRule="auto"/>
        <w:rPr>
          <w:rFonts w:hint="eastAsia"/>
        </w:rPr>
      </w:pPr>
      <w:r>
        <w:rPr>
          <w:rFonts w:hint="eastAsia"/>
        </w:rPr>
        <w:t>In his innocence, Adam might so have “worked” as to receive these blessings.</w:t>
      </w:r>
    </w:p>
    <w:p w14:paraId="60C358C5">
      <w:pPr>
        <w:pStyle w:val="9"/>
        <w:spacing w:after="0" w:line="249" w:lineRule="auto"/>
        <w:rPr>
          <w:rFonts w:hint="eastAsia"/>
        </w:rPr>
      </w:pPr>
    </w:p>
    <w:p w14:paraId="3E4EEDF3">
      <w:pPr>
        <w:pStyle w:val="9"/>
        <w:spacing w:after="0" w:line="249" w:lineRule="auto"/>
        <w:rPr>
          <w:rFonts w:hint="eastAsia"/>
        </w:rPr>
      </w:pPr>
      <w:r>
        <w:rPr>
          <w:rFonts w:hint="eastAsia"/>
        </w:rPr>
        <w:t>在他无罪的状态下，亚当本可以如此“作工”以领受这些祝福。</w:t>
      </w:r>
    </w:p>
    <w:p w14:paraId="5FA1C87D">
      <w:pPr>
        <w:pStyle w:val="9"/>
        <w:spacing w:after="0" w:line="249" w:lineRule="auto"/>
        <w:rPr>
          <w:rFonts w:hint="eastAsia"/>
        </w:rPr>
      </w:pPr>
    </w:p>
    <w:p w14:paraId="462233B1">
      <w:pPr>
        <w:pStyle w:val="9"/>
        <w:spacing w:after="0" w:line="249" w:lineRule="auto"/>
        <w:rPr>
          <w:rFonts w:hint="eastAsia"/>
        </w:rPr>
      </w:pPr>
      <w:r>
        <w:rPr>
          <w:rFonts w:hint="eastAsia"/>
        </w:rPr>
        <w:t>He had only to pass his test—to eschew the Tree of the Knowledge of Good and Evil, and to eat first from the Tree of Life—in order to live forever.</w:t>
      </w:r>
    </w:p>
    <w:p w14:paraId="0BA7F603">
      <w:pPr>
        <w:pStyle w:val="9"/>
        <w:spacing w:after="0" w:line="249" w:lineRule="auto"/>
        <w:rPr>
          <w:rFonts w:hint="eastAsia"/>
        </w:rPr>
      </w:pPr>
    </w:p>
    <w:p w14:paraId="3AA50B79">
      <w:pPr>
        <w:pStyle w:val="9"/>
        <w:spacing w:after="0" w:line="249" w:lineRule="auto"/>
        <w:rPr>
          <w:rFonts w:hint="eastAsia"/>
        </w:rPr>
      </w:pPr>
      <w:r>
        <w:rPr>
          <w:rFonts w:hint="eastAsia"/>
        </w:rPr>
        <w:t>他只需通过他的试验——避开分别善恶树，并先吃生命树上的果子——就能永远活着。</w:t>
      </w:r>
    </w:p>
    <w:p w14:paraId="3D79EC4B">
      <w:pPr>
        <w:pStyle w:val="9"/>
        <w:spacing w:after="0" w:line="249" w:lineRule="auto"/>
        <w:rPr>
          <w:rFonts w:hint="eastAsia"/>
        </w:rPr>
      </w:pPr>
    </w:p>
    <w:p w14:paraId="43E59CBC">
      <w:pPr>
        <w:pStyle w:val="9"/>
        <w:spacing w:after="0" w:line="249" w:lineRule="auto"/>
        <w:rPr>
          <w:rFonts w:hint="eastAsia"/>
        </w:rPr>
      </w:pPr>
      <w:r>
        <w:rPr>
          <w:rFonts w:hint="eastAsia"/>
        </w:rPr>
        <w:t>However, having disobeyed, he instead became guilty and polluted with sin, so that God could no longer grant him access to the Tree of Life (Gen. 3:22-24).</w:t>
      </w:r>
    </w:p>
    <w:p w14:paraId="6B0A5905">
      <w:pPr>
        <w:pStyle w:val="9"/>
        <w:spacing w:after="0" w:line="249" w:lineRule="auto"/>
        <w:rPr>
          <w:rFonts w:hint="eastAsia"/>
        </w:rPr>
      </w:pPr>
    </w:p>
    <w:p w14:paraId="715ADBDE">
      <w:pPr>
        <w:pStyle w:val="9"/>
        <w:spacing w:after="0" w:line="249" w:lineRule="auto"/>
        <w:rPr>
          <w:rFonts w:hint="eastAsia"/>
        </w:rPr>
      </w:pPr>
      <w:r>
        <w:rPr>
          <w:rFonts w:hint="eastAsia"/>
        </w:rPr>
        <w:t>然而，他因悖逆而变得有罪，被罪玷污，以致神不能再让他接触生命树（创 3:22-24）。</w:t>
      </w:r>
    </w:p>
    <w:p w14:paraId="42E407D1">
      <w:pPr>
        <w:pStyle w:val="9"/>
        <w:spacing w:after="0" w:line="249" w:lineRule="auto"/>
        <w:rPr>
          <w:rFonts w:hint="eastAsia"/>
        </w:rPr>
      </w:pPr>
    </w:p>
    <w:p w14:paraId="51D582D6">
      <w:pPr>
        <w:pStyle w:val="9"/>
        <w:spacing w:after="0" w:line="249" w:lineRule="auto"/>
        <w:rPr>
          <w:rFonts w:hint="eastAsia"/>
        </w:rPr>
      </w:pPr>
      <w:r>
        <w:rPr>
          <w:rFonts w:hint="eastAsia"/>
        </w:rPr>
        <w:t>To do so would have been for God to break his word (i.e., the threat of death), compromise his justice, and stain his honor by joining himself to a rebel.</w:t>
      </w:r>
    </w:p>
    <w:p w14:paraId="50192BE7">
      <w:pPr>
        <w:pStyle w:val="9"/>
        <w:spacing w:after="0" w:line="249" w:lineRule="auto"/>
        <w:rPr>
          <w:rFonts w:hint="eastAsia"/>
        </w:rPr>
      </w:pPr>
    </w:p>
    <w:p w14:paraId="3C690270">
      <w:pPr>
        <w:pStyle w:val="9"/>
        <w:spacing w:after="0" w:line="249" w:lineRule="auto"/>
        <w:rPr>
          <w:rFonts w:hint="eastAsia"/>
        </w:rPr>
      </w:pPr>
      <w:r>
        <w:rPr>
          <w:rFonts w:hint="eastAsia"/>
        </w:rPr>
        <w:t>这样做，就等于神违背祂的话（即死亡的威胁），损害祂的公义，并因与一个叛逆者联合而玷污祂的荣耀。</w:t>
      </w:r>
    </w:p>
    <w:p w14:paraId="324D07D5">
      <w:pPr>
        <w:pStyle w:val="9"/>
        <w:spacing w:after="0" w:line="249" w:lineRule="auto"/>
        <w:rPr>
          <w:rFonts w:hint="eastAsia"/>
        </w:rPr>
      </w:pPr>
    </w:p>
    <w:p w14:paraId="4D6F9209">
      <w:pPr>
        <w:pStyle w:val="9"/>
        <w:spacing w:after="0" w:line="249" w:lineRule="auto"/>
        <w:rPr>
          <w:rFonts w:hint="eastAsia"/>
        </w:rPr>
      </w:pPr>
      <w:r>
        <w:rPr>
          <w:rFonts w:hint="eastAsia"/>
        </w:rPr>
        <w:t>No, some provision had first to be made for Adam’s sin, both to forgive it and to eradicate its manifold consequences.</w:t>
      </w:r>
    </w:p>
    <w:p w14:paraId="610D4B38">
      <w:pPr>
        <w:pStyle w:val="9"/>
        <w:spacing w:after="0" w:line="249" w:lineRule="auto"/>
        <w:rPr>
          <w:rFonts w:hint="eastAsia"/>
        </w:rPr>
      </w:pPr>
    </w:p>
    <w:p w14:paraId="361D72A2">
      <w:pPr>
        <w:pStyle w:val="9"/>
        <w:spacing w:after="0" w:line="249" w:lineRule="auto"/>
        <w:rPr>
          <w:rFonts w:hint="eastAsia"/>
        </w:rPr>
      </w:pPr>
      <w:r>
        <w:rPr>
          <w:rFonts w:hint="eastAsia"/>
        </w:rPr>
        <w:t>不，必须先为亚当的罪作些预备，既为赦免它，也为根除其诸多的后果。</w:t>
      </w:r>
    </w:p>
    <w:p w14:paraId="4E116098">
      <w:pPr>
        <w:pStyle w:val="9"/>
        <w:spacing w:after="0" w:line="249" w:lineRule="auto"/>
        <w:rPr>
          <w:rFonts w:hint="eastAsia"/>
        </w:rPr>
      </w:pPr>
    </w:p>
    <w:p w14:paraId="0A8D2A13">
      <w:pPr>
        <w:pStyle w:val="9"/>
        <w:spacing w:after="0" w:line="249" w:lineRule="auto"/>
        <w:rPr>
          <w:rFonts w:hint="eastAsia"/>
        </w:rPr>
      </w:pPr>
      <w:r>
        <w:rPr>
          <w:rFonts w:hint="eastAsia"/>
        </w:rPr>
        <w:t>Only then could Adam eat from the Tree of Life.</w:t>
      </w:r>
    </w:p>
    <w:p w14:paraId="6D97498D">
      <w:pPr>
        <w:pStyle w:val="9"/>
        <w:spacing w:after="0" w:line="249" w:lineRule="auto"/>
        <w:rPr>
          <w:rFonts w:hint="eastAsia"/>
        </w:rPr>
      </w:pPr>
    </w:p>
    <w:p w14:paraId="1305F1C2">
      <w:pPr>
        <w:pStyle w:val="9"/>
        <w:spacing w:after="0" w:line="249" w:lineRule="auto"/>
        <w:rPr>
          <w:rFonts w:hint="eastAsia"/>
        </w:rPr>
      </w:pPr>
      <w:r>
        <w:rPr>
          <w:rFonts w:hint="eastAsia"/>
        </w:rPr>
        <w:t>只有那时，亚当才能吃生命树上的果子。</w:t>
      </w:r>
    </w:p>
    <w:p w14:paraId="35C06B94">
      <w:pPr>
        <w:pStyle w:val="9"/>
        <w:spacing w:after="0" w:line="249" w:lineRule="auto"/>
        <w:rPr>
          <w:rFonts w:hint="eastAsia"/>
        </w:rPr>
      </w:pPr>
    </w:p>
    <w:p w14:paraId="32EB33CB">
      <w:pPr>
        <w:pStyle w:val="9"/>
        <w:spacing w:after="0" w:line="249" w:lineRule="auto"/>
        <w:rPr>
          <w:rFonts w:hint="eastAsia"/>
        </w:rPr>
      </w:pPr>
      <w:r>
        <w:rPr>
          <w:rFonts w:hint="eastAsia"/>
        </w:rPr>
        <w:t>Only then could he regain all he had lost.</w:t>
      </w:r>
    </w:p>
    <w:p w14:paraId="0DC82080">
      <w:pPr>
        <w:pStyle w:val="9"/>
        <w:spacing w:after="0" w:line="249" w:lineRule="auto"/>
        <w:rPr>
          <w:rFonts w:hint="eastAsia"/>
        </w:rPr>
      </w:pPr>
    </w:p>
    <w:p w14:paraId="7729C4C2">
      <w:pPr>
        <w:pStyle w:val="9"/>
        <w:spacing w:after="0" w:line="249" w:lineRule="auto"/>
        <w:rPr>
          <w:rFonts w:hint="eastAsia"/>
        </w:rPr>
      </w:pPr>
      <w:r>
        <w:rPr>
          <w:rFonts w:hint="eastAsia"/>
        </w:rPr>
        <w:t>只有那时，他才能重获他所失去的一切。</w:t>
      </w:r>
    </w:p>
    <w:p w14:paraId="7E1D749A">
      <w:pPr>
        <w:pStyle w:val="9"/>
        <w:spacing w:after="0" w:line="249" w:lineRule="auto"/>
        <w:rPr>
          <w:rFonts w:hint="eastAsia"/>
        </w:rPr>
      </w:pPr>
    </w:p>
    <w:p w14:paraId="4A91DC88">
      <w:pPr>
        <w:pStyle w:val="9"/>
        <w:spacing w:after="0" w:line="249" w:lineRule="auto"/>
        <w:rPr>
          <w:rFonts w:hint="eastAsia"/>
        </w:rPr>
      </w:pPr>
      <w:r>
        <w:rPr>
          <w:rFonts w:hint="eastAsia"/>
        </w:rPr>
        <w:t>In sum, when Adam transgressed, he forfeited his easy relationship with God, his original integrity, his freedom, and his access to the Tree of Life.</w:t>
      </w:r>
    </w:p>
    <w:p w14:paraId="2740D32F">
      <w:pPr>
        <w:pStyle w:val="9"/>
        <w:spacing w:after="0" w:line="249" w:lineRule="auto"/>
        <w:rPr>
          <w:rFonts w:hint="eastAsia"/>
        </w:rPr>
      </w:pPr>
    </w:p>
    <w:p w14:paraId="3CA533A9">
      <w:pPr>
        <w:pStyle w:val="9"/>
        <w:spacing w:after="0" w:line="249" w:lineRule="auto"/>
        <w:rPr>
          <w:rFonts w:hint="eastAsia"/>
        </w:rPr>
      </w:pPr>
      <w:r>
        <w:rPr>
          <w:rFonts w:hint="eastAsia"/>
        </w:rPr>
        <w:t>总之，当亚当犯罪时，他丧失了他与神轻松的关系、他原初的完整性、他的自由，以及他通往生命树的途径。</w:t>
      </w:r>
    </w:p>
    <w:p w14:paraId="2646B612">
      <w:pPr>
        <w:pStyle w:val="9"/>
        <w:spacing w:after="0" w:line="249" w:lineRule="auto"/>
        <w:rPr>
          <w:rFonts w:hint="eastAsia"/>
        </w:rPr>
      </w:pPr>
    </w:p>
    <w:p w14:paraId="32198EDB">
      <w:pPr>
        <w:pStyle w:val="9"/>
        <w:spacing w:after="0" w:line="249" w:lineRule="auto"/>
        <w:rPr>
          <w:rFonts w:hint="eastAsia"/>
        </w:rPr>
      </w:pPr>
      <w:r>
        <w:rPr>
          <w:rFonts w:hint="eastAsia"/>
        </w:rPr>
        <w:t>And—because he had acted as head over all—he also lost them for his wife, his children, and the universe itself.</w:t>
      </w:r>
    </w:p>
    <w:p w14:paraId="13742464">
      <w:pPr>
        <w:pStyle w:val="9"/>
        <w:spacing w:after="0" w:line="249" w:lineRule="auto"/>
        <w:rPr>
          <w:rFonts w:hint="eastAsia"/>
        </w:rPr>
      </w:pPr>
    </w:p>
    <w:p w14:paraId="23F33DA9">
      <w:pPr>
        <w:pStyle w:val="9"/>
        <w:spacing w:after="0" w:line="249" w:lineRule="auto"/>
        <w:rPr>
          <w:rFonts w:hint="eastAsia"/>
        </w:rPr>
      </w:pPr>
      <w:r>
        <w:rPr>
          <w:rFonts w:hint="eastAsia"/>
        </w:rPr>
        <w:t>并且——因为他曾作为万有的元首行事——他也为他的妻子、他的儿女和宇宙本身失去了它们。</w:t>
      </w:r>
    </w:p>
    <w:p w14:paraId="43F9B7CA">
      <w:pPr>
        <w:pStyle w:val="9"/>
        <w:spacing w:after="0" w:line="249" w:lineRule="auto"/>
        <w:rPr>
          <w:rFonts w:hint="eastAsia"/>
        </w:rPr>
      </w:pPr>
    </w:p>
    <w:p w14:paraId="65C6D752">
      <w:pPr>
        <w:pStyle w:val="9"/>
        <w:spacing w:after="0" w:line="249" w:lineRule="auto"/>
        <w:rPr>
          <w:rFonts w:hint="eastAsia"/>
        </w:rPr>
      </w:pPr>
      <w:r>
        <w:rPr>
          <w:rFonts w:hint="eastAsia"/>
        </w:rPr>
        <w:t>Consequences of the Fall: Enemies That Came In</w:t>
      </w:r>
    </w:p>
    <w:p w14:paraId="7A514A3B">
      <w:pPr>
        <w:pStyle w:val="9"/>
        <w:spacing w:after="0" w:line="249" w:lineRule="auto"/>
        <w:rPr>
          <w:rFonts w:hint="eastAsia"/>
        </w:rPr>
      </w:pPr>
    </w:p>
    <w:p w14:paraId="22C3F4C8">
      <w:pPr>
        <w:pStyle w:val="9"/>
        <w:spacing w:after="0" w:line="249" w:lineRule="auto"/>
        <w:rPr>
          <w:rFonts w:hint="eastAsia"/>
        </w:rPr>
      </w:pPr>
      <w:r>
        <w:rPr>
          <w:rFonts w:hint="eastAsia"/>
        </w:rPr>
        <w:t>堕落的后果：进来的仇敌</w:t>
      </w:r>
    </w:p>
    <w:p w14:paraId="66657A64">
      <w:pPr>
        <w:pStyle w:val="9"/>
        <w:spacing w:after="0" w:line="249" w:lineRule="auto"/>
        <w:rPr>
          <w:rFonts w:hint="eastAsia"/>
        </w:rPr>
      </w:pPr>
    </w:p>
    <w:p w14:paraId="20B797FA">
      <w:pPr>
        <w:pStyle w:val="9"/>
        <w:spacing w:after="0" w:line="249" w:lineRule="auto"/>
        <w:rPr>
          <w:rFonts w:hint="eastAsia"/>
        </w:rPr>
      </w:pPr>
      <w:r>
        <w:rPr>
          <w:rFonts w:hint="eastAsia"/>
        </w:rPr>
        <w:t>While many precious friends were going out the door, many deadly enemies were coming in.</w:t>
      </w:r>
    </w:p>
    <w:p w14:paraId="78365333">
      <w:pPr>
        <w:pStyle w:val="9"/>
        <w:spacing w:after="0" w:line="249" w:lineRule="auto"/>
        <w:rPr>
          <w:rFonts w:hint="eastAsia"/>
        </w:rPr>
      </w:pPr>
    </w:p>
    <w:p w14:paraId="33DFF489">
      <w:pPr>
        <w:pStyle w:val="9"/>
        <w:spacing w:after="0" w:line="249" w:lineRule="auto"/>
        <w:rPr>
          <w:rFonts w:hint="eastAsia"/>
        </w:rPr>
      </w:pPr>
      <w:r>
        <w:rPr>
          <w:rFonts w:hint="eastAsia"/>
        </w:rPr>
        <w:t>当许多宝贵的朋友出门时，许多致命的仇敌也进来了。</w:t>
      </w:r>
    </w:p>
    <w:p w14:paraId="655344B8">
      <w:pPr>
        <w:pStyle w:val="9"/>
        <w:spacing w:after="0" w:line="249" w:lineRule="auto"/>
        <w:rPr>
          <w:rFonts w:hint="eastAsia"/>
        </w:rPr>
      </w:pPr>
    </w:p>
    <w:p w14:paraId="4A8808F1">
      <w:pPr>
        <w:pStyle w:val="9"/>
        <w:spacing w:after="0" w:line="249" w:lineRule="auto"/>
        <w:rPr>
          <w:rFonts w:hint="eastAsia"/>
        </w:rPr>
      </w:pPr>
      <w:r>
        <w:rPr>
          <w:rFonts w:hint="eastAsia"/>
        </w:rPr>
        <w:t>Moreover, they did not enter simply to harass the sons of Adam, but rather to take them captive and, if possible, drag them down to eternal destruction.</w:t>
      </w:r>
    </w:p>
    <w:p w14:paraId="28C46F5A">
      <w:pPr>
        <w:pStyle w:val="9"/>
        <w:spacing w:after="0" w:line="249" w:lineRule="auto"/>
        <w:rPr>
          <w:rFonts w:hint="eastAsia"/>
        </w:rPr>
      </w:pPr>
    </w:p>
    <w:p w14:paraId="542D52FA">
      <w:pPr>
        <w:pStyle w:val="9"/>
        <w:spacing w:after="0" w:line="249" w:lineRule="auto"/>
        <w:rPr>
          <w:rFonts w:hint="eastAsia"/>
        </w:rPr>
      </w:pPr>
      <w:r>
        <w:rPr>
          <w:rFonts w:hint="eastAsia"/>
        </w:rPr>
        <w:t>此外，他们进来不仅仅是为了骚扰亚当的子孙，而是要掳掠他们，并且，若是可能，将他们拖入永远的沉沦中。</w:t>
      </w:r>
    </w:p>
    <w:p w14:paraId="72BF172F">
      <w:pPr>
        <w:pStyle w:val="9"/>
        <w:spacing w:after="0" w:line="249" w:lineRule="auto"/>
        <w:rPr>
          <w:rFonts w:hint="eastAsia"/>
        </w:rPr>
      </w:pPr>
    </w:p>
    <w:p w14:paraId="047FC2A9">
      <w:pPr>
        <w:pStyle w:val="9"/>
        <w:spacing w:after="0" w:line="249" w:lineRule="auto"/>
        <w:rPr>
          <w:rFonts w:hint="eastAsia"/>
        </w:rPr>
      </w:pPr>
      <w:r>
        <w:rPr>
          <w:rFonts w:hint="eastAsia"/>
        </w:rPr>
        <w:t>Under four broad categories, I will here touch on the most important.</w:t>
      </w:r>
    </w:p>
    <w:p w14:paraId="17D85407">
      <w:pPr>
        <w:pStyle w:val="9"/>
        <w:spacing w:after="0" w:line="249" w:lineRule="auto"/>
        <w:rPr>
          <w:rFonts w:hint="eastAsia"/>
        </w:rPr>
      </w:pPr>
    </w:p>
    <w:p w14:paraId="667FA1CA">
      <w:pPr>
        <w:pStyle w:val="9"/>
        <w:spacing w:after="0" w:line="249" w:lineRule="auto"/>
        <w:rPr>
          <w:rFonts w:hint="eastAsia"/>
        </w:rPr>
      </w:pPr>
      <w:r>
        <w:rPr>
          <w:rFonts w:hint="eastAsia"/>
        </w:rPr>
        <w:t>在四个大类之下，我将在这里触及最重要的几点。</w:t>
      </w:r>
    </w:p>
    <w:p w14:paraId="584286C1">
      <w:pPr>
        <w:pStyle w:val="9"/>
        <w:spacing w:after="0" w:line="249" w:lineRule="auto"/>
        <w:rPr>
          <w:rFonts w:hint="eastAsia"/>
        </w:rPr>
      </w:pPr>
    </w:p>
    <w:p w14:paraId="71DCB033">
      <w:pPr>
        <w:pStyle w:val="9"/>
        <w:spacing w:after="0" w:line="249" w:lineRule="auto"/>
        <w:rPr>
          <w:rFonts w:hint="eastAsia"/>
        </w:rPr>
      </w:pPr>
      <w:r>
        <w:rPr>
          <w:rFonts w:hint="eastAsia"/>
        </w:rPr>
        <w:t>First, there were interior spiritual enemies, enemies that took hold of the spirit (or soul) of man.</w:t>
      </w:r>
    </w:p>
    <w:p w14:paraId="324C4FC8">
      <w:pPr>
        <w:pStyle w:val="9"/>
        <w:spacing w:after="0" w:line="249" w:lineRule="auto"/>
        <w:rPr>
          <w:rFonts w:hint="eastAsia"/>
        </w:rPr>
      </w:pPr>
    </w:p>
    <w:p w14:paraId="0E6FF62F">
      <w:pPr>
        <w:pStyle w:val="9"/>
        <w:spacing w:after="0" w:line="249" w:lineRule="auto"/>
        <w:rPr>
          <w:rFonts w:hint="eastAsia"/>
        </w:rPr>
      </w:pPr>
      <w:r>
        <w:rPr>
          <w:rFonts w:hint="eastAsia"/>
        </w:rPr>
        <w:t>首先，有内在的属灵仇敌，即抓住人灵（或魂）的仇敌。</w:t>
      </w:r>
    </w:p>
    <w:p w14:paraId="13AE2D7A">
      <w:pPr>
        <w:pStyle w:val="9"/>
        <w:spacing w:after="0" w:line="249" w:lineRule="auto"/>
        <w:rPr>
          <w:rFonts w:hint="eastAsia"/>
        </w:rPr>
      </w:pPr>
    </w:p>
    <w:p w14:paraId="264FC27F">
      <w:pPr>
        <w:pStyle w:val="9"/>
        <w:spacing w:after="0" w:line="249" w:lineRule="auto"/>
        <w:rPr>
          <w:rFonts w:hint="eastAsia"/>
        </w:rPr>
      </w:pPr>
      <w:r>
        <w:rPr>
          <w:rFonts w:hint="eastAsia"/>
        </w:rPr>
        <w:t>Chief among them were sin and guilt.</w:t>
      </w:r>
    </w:p>
    <w:p w14:paraId="1AED7BBA">
      <w:pPr>
        <w:pStyle w:val="9"/>
        <w:spacing w:after="0" w:line="249" w:lineRule="auto"/>
        <w:rPr>
          <w:rFonts w:hint="eastAsia"/>
        </w:rPr>
      </w:pPr>
    </w:p>
    <w:p w14:paraId="2D5D9287">
      <w:pPr>
        <w:pStyle w:val="9"/>
        <w:spacing w:after="0" w:line="249" w:lineRule="auto"/>
        <w:rPr>
          <w:rFonts w:hint="eastAsia"/>
        </w:rPr>
      </w:pPr>
      <w:r>
        <w:rPr>
          <w:rFonts w:hint="eastAsia"/>
        </w:rPr>
        <w:t>其中最主要的是罪和罪咎。</w:t>
      </w:r>
    </w:p>
    <w:p w14:paraId="134EC949">
      <w:pPr>
        <w:pStyle w:val="9"/>
        <w:spacing w:after="0" w:line="249" w:lineRule="auto"/>
        <w:rPr>
          <w:rFonts w:hint="eastAsia"/>
        </w:rPr>
      </w:pPr>
    </w:p>
    <w:p w14:paraId="577F6CE8">
      <w:pPr>
        <w:pStyle w:val="9"/>
        <w:spacing w:after="0" w:line="249" w:lineRule="auto"/>
        <w:rPr>
          <w:rFonts w:hint="eastAsia"/>
        </w:rPr>
      </w:pPr>
      <w:r>
        <w:rPr>
          <w:rFonts w:hint="eastAsia"/>
        </w:rPr>
        <w:t>As for sin, the Bible depicts it as an indwelling force; a complex of dark, powerful, and unnatural passions (or lusts) that effectively bend every human faculty towards self: self-satisfaction, self-exaltation, and self-rule over and against the rule of God.</w:t>
      </w:r>
    </w:p>
    <w:p w14:paraId="786E268E">
      <w:pPr>
        <w:pStyle w:val="9"/>
        <w:spacing w:after="0" w:line="249" w:lineRule="auto"/>
        <w:rPr>
          <w:rFonts w:hint="eastAsia"/>
        </w:rPr>
      </w:pPr>
    </w:p>
    <w:p w14:paraId="280C1B23">
      <w:pPr>
        <w:pStyle w:val="9"/>
        <w:spacing w:after="0" w:line="249" w:lineRule="auto"/>
        <w:rPr>
          <w:rFonts w:hint="eastAsia"/>
        </w:rPr>
      </w:pPr>
      <w:r>
        <w:rPr>
          <w:rFonts w:hint="eastAsia"/>
        </w:rPr>
        <w:t>至于罪，圣经将其描绘成一种内住的力量；一种由黑暗、强大且不自然的私欲（或情欲）构成的复合体，它有效地使每一个人的官能都倾向于自我：自我满足、自我高举和自我统治，与神的统治相对立。</w:t>
      </w:r>
    </w:p>
    <w:p w14:paraId="6BC20993">
      <w:pPr>
        <w:pStyle w:val="9"/>
        <w:spacing w:after="0" w:line="249" w:lineRule="auto"/>
        <w:rPr>
          <w:rFonts w:hint="eastAsia"/>
        </w:rPr>
      </w:pPr>
    </w:p>
    <w:p w14:paraId="3789ABC3">
      <w:pPr>
        <w:pStyle w:val="9"/>
        <w:spacing w:after="0" w:line="249" w:lineRule="auto"/>
        <w:rPr>
          <w:rFonts w:hint="eastAsia"/>
        </w:rPr>
      </w:pPr>
      <w:r>
        <w:rPr>
          <w:rFonts w:hint="eastAsia"/>
        </w:rPr>
        <w:t>The NT finds all people (save Christ) in this state, and traces it to Adam, who “sold” his posterity “under” sin, so that henceforth all would be born in sin’s chains (Mark 7:21-22, John 2:25, Rom. 7:14; Psalm 51:5).</w:t>
      </w:r>
    </w:p>
    <w:p w14:paraId="4AE585E4">
      <w:pPr>
        <w:pStyle w:val="9"/>
        <w:spacing w:after="0" w:line="249" w:lineRule="auto"/>
        <w:rPr>
          <w:rFonts w:hint="eastAsia"/>
        </w:rPr>
      </w:pPr>
    </w:p>
    <w:p w14:paraId="3B55E279">
      <w:pPr>
        <w:pStyle w:val="9"/>
        <w:spacing w:after="0" w:line="249" w:lineRule="auto"/>
        <w:rPr>
          <w:rFonts w:hint="eastAsia"/>
        </w:rPr>
      </w:pPr>
      <w:r>
        <w:rPr>
          <w:rFonts w:hint="eastAsia"/>
        </w:rPr>
        <w:t>新约发现所有人（除了基督）都处于这种状态，并将其追溯到亚当，他将他的后裔“卖”在罪“之下”，因此从今以后，所有人都会生在罪的锁链中（马可福音 7:21-22, 约翰福音 2:25, 罗马书 7:14; 诗篇 51:5）。</w:t>
      </w:r>
    </w:p>
    <w:p w14:paraId="3FA6AFE5">
      <w:pPr>
        <w:pStyle w:val="9"/>
        <w:spacing w:after="0" w:line="249" w:lineRule="auto"/>
        <w:rPr>
          <w:rFonts w:hint="eastAsia"/>
        </w:rPr>
      </w:pPr>
    </w:p>
    <w:p w14:paraId="41EB8E98">
      <w:pPr>
        <w:pStyle w:val="9"/>
        <w:spacing w:after="0" w:line="249" w:lineRule="auto"/>
        <w:rPr>
          <w:rFonts w:hint="eastAsia"/>
        </w:rPr>
      </w:pPr>
      <w:r>
        <w:rPr>
          <w:rFonts w:hint="eastAsia"/>
        </w:rPr>
        <w:t>As for (true) guilt, it is a subjective awareness of an objective fact: the fact that we have fallen short of God’s glory (i.e., of his moral perfection) in who we are and what we have done (Rom. 3:23).</w:t>
      </w:r>
    </w:p>
    <w:p w14:paraId="06E0FEAB">
      <w:pPr>
        <w:pStyle w:val="9"/>
        <w:spacing w:after="0" w:line="249" w:lineRule="auto"/>
        <w:rPr>
          <w:rFonts w:hint="eastAsia"/>
        </w:rPr>
      </w:pPr>
    </w:p>
    <w:p w14:paraId="0AB8ADD7">
      <w:pPr>
        <w:pStyle w:val="9"/>
        <w:spacing w:after="0" w:line="249" w:lineRule="auto"/>
        <w:rPr>
          <w:rFonts w:hint="eastAsia"/>
        </w:rPr>
      </w:pPr>
      <w:r>
        <w:rPr>
          <w:rFonts w:hint="eastAsia"/>
        </w:rPr>
        <w:t>至于（真实的）罪咎，它是一种对客观事实的主观意识：即我们在我们所是和所行上，都亏缺了神的荣耀（即祂道德的完全）（罗 3:23）。</w:t>
      </w:r>
    </w:p>
    <w:p w14:paraId="0DF293F0">
      <w:pPr>
        <w:pStyle w:val="9"/>
        <w:spacing w:after="0" w:line="249" w:lineRule="auto"/>
        <w:rPr>
          <w:rFonts w:hint="eastAsia"/>
        </w:rPr>
      </w:pPr>
    </w:p>
    <w:p w14:paraId="24ED5F88">
      <w:pPr>
        <w:pStyle w:val="9"/>
        <w:spacing w:after="0" w:line="249" w:lineRule="auto"/>
        <w:rPr>
          <w:rFonts w:hint="eastAsia"/>
        </w:rPr>
      </w:pPr>
      <w:r>
        <w:rPr>
          <w:rFonts w:hint="eastAsia"/>
        </w:rPr>
        <w:t>Typically, this shortfall involves fear (of divine punishment) and shame (Gen. 3:7-8, 1 Tim. 4:2, Eph. 4:19, 1 John 4:18).</w:t>
      </w:r>
    </w:p>
    <w:p w14:paraId="2EEB0BC1">
      <w:pPr>
        <w:pStyle w:val="9"/>
        <w:spacing w:after="0" w:line="249" w:lineRule="auto"/>
        <w:rPr>
          <w:rFonts w:hint="eastAsia"/>
        </w:rPr>
      </w:pPr>
    </w:p>
    <w:p w14:paraId="61A17575">
      <w:pPr>
        <w:pStyle w:val="9"/>
        <w:spacing w:after="0" w:line="249" w:lineRule="auto"/>
        <w:rPr>
          <w:rFonts w:hint="eastAsia"/>
        </w:rPr>
      </w:pPr>
      <w:r>
        <w:rPr>
          <w:rFonts w:hint="eastAsia"/>
        </w:rPr>
        <w:t>通常，这种亏缺包含了惧怕（对神圣惩罚的惧怕）和羞耻（创 3:7-8, 提前 4:2, 弗 4:19, 约一 4:18）。</w:t>
      </w:r>
    </w:p>
    <w:p w14:paraId="00198557">
      <w:pPr>
        <w:pStyle w:val="9"/>
        <w:spacing w:after="0" w:line="249" w:lineRule="auto"/>
        <w:rPr>
          <w:rFonts w:hint="eastAsia"/>
        </w:rPr>
      </w:pPr>
    </w:p>
    <w:p w14:paraId="5AABAF82">
      <w:pPr>
        <w:pStyle w:val="9"/>
        <w:spacing w:after="0" w:line="249" w:lineRule="auto"/>
        <w:rPr>
          <w:rFonts w:hint="eastAsia"/>
        </w:rPr>
      </w:pPr>
      <w:r>
        <w:rPr>
          <w:rFonts w:hint="eastAsia"/>
        </w:rPr>
        <w:t>With great compassion the Bible attests that true guilt is a formidable enemy indeed, well able to darken the entire sky of a man’s existence, crush his spirit, and even sicken his flesh (Psalm 5, Mark 2:1-12, Luke 7:36-50).</w:t>
      </w:r>
    </w:p>
    <w:p w14:paraId="40DB161E">
      <w:pPr>
        <w:pStyle w:val="9"/>
        <w:spacing w:after="0" w:line="249" w:lineRule="auto"/>
        <w:rPr>
          <w:rFonts w:hint="eastAsia"/>
        </w:rPr>
      </w:pPr>
    </w:p>
    <w:p w14:paraId="7F56F31F">
      <w:pPr>
        <w:pStyle w:val="9"/>
        <w:spacing w:after="0" w:line="249" w:lineRule="auto"/>
        <w:rPr>
          <w:rFonts w:hint="eastAsia"/>
        </w:rPr>
      </w:pPr>
      <w:r>
        <w:rPr>
          <w:rFonts w:hint="eastAsia"/>
        </w:rPr>
        <w:t>圣经满有怜悯地证实，真实的罪咎确实是一个强大的仇敌，足以使一个人存在的整个天空变暗，压碎他的灵，甚至使他的肉体生病（诗篇 5, 马可福音 2:1-12, 路加福音 7:36-50）。</w:t>
      </w:r>
    </w:p>
    <w:p w14:paraId="6F31071B">
      <w:pPr>
        <w:pStyle w:val="9"/>
        <w:spacing w:after="0" w:line="249" w:lineRule="auto"/>
        <w:rPr>
          <w:rFonts w:hint="eastAsia"/>
        </w:rPr>
      </w:pPr>
    </w:p>
    <w:p w14:paraId="13EF0C3B">
      <w:pPr>
        <w:pStyle w:val="9"/>
        <w:spacing w:after="0" w:line="249" w:lineRule="auto"/>
        <w:rPr>
          <w:rFonts w:hint="eastAsia"/>
        </w:rPr>
      </w:pPr>
      <w:r>
        <w:rPr>
          <w:rFonts w:hint="eastAsia"/>
        </w:rPr>
        <w:t>Secondly, there were physical enemies.</w:t>
      </w:r>
    </w:p>
    <w:p w14:paraId="7DBD9327">
      <w:pPr>
        <w:pStyle w:val="9"/>
        <w:spacing w:after="0" w:line="249" w:lineRule="auto"/>
        <w:rPr>
          <w:rFonts w:hint="eastAsia"/>
        </w:rPr>
      </w:pPr>
    </w:p>
    <w:p w14:paraId="70B7AEE8">
      <w:pPr>
        <w:pStyle w:val="9"/>
        <w:spacing w:after="0" w:line="249" w:lineRule="auto"/>
        <w:rPr>
          <w:rFonts w:hint="eastAsia"/>
        </w:rPr>
      </w:pPr>
      <w:r>
        <w:rPr>
          <w:rFonts w:hint="eastAsia"/>
        </w:rPr>
        <w:t>其次，有属肉体的仇敌。</w:t>
      </w:r>
    </w:p>
    <w:p w14:paraId="0267749C">
      <w:pPr>
        <w:pStyle w:val="9"/>
        <w:spacing w:after="0" w:line="249" w:lineRule="auto"/>
        <w:rPr>
          <w:rFonts w:hint="eastAsia"/>
        </w:rPr>
      </w:pPr>
    </w:p>
    <w:p w14:paraId="531ABF17">
      <w:pPr>
        <w:pStyle w:val="9"/>
        <w:spacing w:after="0" w:line="249" w:lineRule="auto"/>
        <w:rPr>
          <w:rFonts w:hint="eastAsia"/>
        </w:rPr>
      </w:pPr>
      <w:r>
        <w:rPr>
          <w:rFonts w:hint="eastAsia"/>
        </w:rPr>
        <w:t>These entered when God cursed the whole realm of nature.</w:t>
      </w:r>
    </w:p>
    <w:p w14:paraId="0A4DE8C7">
      <w:pPr>
        <w:pStyle w:val="9"/>
        <w:spacing w:after="0" w:line="249" w:lineRule="auto"/>
        <w:rPr>
          <w:rFonts w:hint="eastAsia"/>
        </w:rPr>
      </w:pPr>
    </w:p>
    <w:p w14:paraId="2FFBB29A">
      <w:pPr>
        <w:pStyle w:val="9"/>
        <w:spacing w:after="0" w:line="249" w:lineRule="auto"/>
        <w:rPr>
          <w:rFonts w:hint="eastAsia"/>
        </w:rPr>
      </w:pPr>
      <w:r>
        <w:rPr>
          <w:rFonts w:hint="eastAsia"/>
        </w:rPr>
        <w:t>当神咒诅整个自然界时，这些仇敌就进来了。</w:t>
      </w:r>
    </w:p>
    <w:p w14:paraId="4F0C2D5F">
      <w:pPr>
        <w:pStyle w:val="9"/>
        <w:spacing w:after="0" w:line="249" w:lineRule="auto"/>
        <w:rPr>
          <w:rFonts w:hint="eastAsia"/>
        </w:rPr>
      </w:pPr>
    </w:p>
    <w:p w14:paraId="7A97DB6B">
      <w:pPr>
        <w:pStyle w:val="9"/>
        <w:spacing w:after="0" w:line="249" w:lineRule="auto"/>
        <w:rPr>
          <w:rFonts w:hint="eastAsia"/>
        </w:rPr>
      </w:pPr>
      <w:r>
        <w:rPr>
          <w:rFonts w:hint="eastAsia"/>
        </w:rPr>
        <w:t>In a measure, Genesis itself tells us how.</w:t>
      </w:r>
    </w:p>
    <w:p w14:paraId="3D128AF4">
      <w:pPr>
        <w:pStyle w:val="9"/>
        <w:spacing w:after="0" w:line="249" w:lineRule="auto"/>
        <w:rPr>
          <w:rFonts w:hint="eastAsia"/>
        </w:rPr>
      </w:pPr>
    </w:p>
    <w:p w14:paraId="2DF36A38">
      <w:pPr>
        <w:pStyle w:val="9"/>
        <w:spacing w:after="0" w:line="249" w:lineRule="auto"/>
        <w:rPr>
          <w:rFonts w:hint="eastAsia"/>
        </w:rPr>
      </w:pPr>
      <w:r>
        <w:rPr>
          <w:rFonts w:hint="eastAsia"/>
        </w:rPr>
        <w:t>在某种程度上，创世记本身就告诉了我们如何。</w:t>
      </w:r>
    </w:p>
    <w:p w14:paraId="6DB9BCB2">
      <w:pPr>
        <w:pStyle w:val="9"/>
        <w:spacing w:after="0" w:line="249" w:lineRule="auto"/>
        <w:rPr>
          <w:rFonts w:hint="eastAsia"/>
        </w:rPr>
      </w:pPr>
    </w:p>
    <w:p w14:paraId="5B6A6C85">
      <w:pPr>
        <w:pStyle w:val="9"/>
        <w:spacing w:after="0" w:line="249" w:lineRule="auto"/>
        <w:rPr>
          <w:rFonts w:hint="eastAsia"/>
        </w:rPr>
      </w:pPr>
      <w:r>
        <w:rPr>
          <w:rFonts w:hint="eastAsia"/>
        </w:rPr>
        <w:t>God cursed the ground (along with the entire plant kingdom) so that henceforth it would yield its treasures reluctantly, barring the way with thorns and thistles (Gen. 3:17).</w:t>
      </w:r>
    </w:p>
    <w:p w14:paraId="403E752A">
      <w:pPr>
        <w:pStyle w:val="9"/>
        <w:spacing w:after="0" w:line="249" w:lineRule="auto"/>
        <w:rPr>
          <w:rFonts w:hint="eastAsia"/>
        </w:rPr>
      </w:pPr>
    </w:p>
    <w:p w14:paraId="3D357866">
      <w:pPr>
        <w:pStyle w:val="9"/>
        <w:spacing w:after="0" w:line="249" w:lineRule="auto"/>
        <w:rPr>
          <w:rFonts w:hint="eastAsia"/>
        </w:rPr>
      </w:pPr>
      <w:r>
        <w:rPr>
          <w:rFonts w:hint="eastAsia"/>
        </w:rPr>
        <w:t>神咒诅了地（连同整个植物界），因此从今以后，地要不情愿地出产其宝藏，用荆棘和蒺藜来阻挡道路（创 3:17）。</w:t>
      </w:r>
    </w:p>
    <w:p w14:paraId="15B2F166">
      <w:pPr>
        <w:pStyle w:val="9"/>
        <w:spacing w:after="0" w:line="249" w:lineRule="auto"/>
        <w:rPr>
          <w:rFonts w:hint="eastAsia"/>
        </w:rPr>
      </w:pPr>
    </w:p>
    <w:p w14:paraId="11E71FC0">
      <w:pPr>
        <w:pStyle w:val="9"/>
        <w:spacing w:after="0" w:line="249" w:lineRule="auto"/>
        <w:rPr>
          <w:rFonts w:hint="eastAsia"/>
        </w:rPr>
      </w:pPr>
      <w:r>
        <w:rPr>
          <w:rFonts w:hint="eastAsia"/>
        </w:rPr>
        <w:t>He cursed the serpent, the cattle, and the beasts of the field (i.e., the entire animal kingdom), thereby introducing a dreadful new economy of violence and predation (Gen. 3:14-15, Lev. 26:22, Isaiah 11:6- 9).</w:t>
      </w:r>
    </w:p>
    <w:p w14:paraId="032E766C">
      <w:pPr>
        <w:pStyle w:val="9"/>
        <w:spacing w:after="0" w:line="249" w:lineRule="auto"/>
        <w:rPr>
          <w:rFonts w:hint="eastAsia"/>
        </w:rPr>
      </w:pPr>
    </w:p>
    <w:p w14:paraId="6E2EA38F">
      <w:pPr>
        <w:pStyle w:val="9"/>
        <w:spacing w:after="0" w:line="249" w:lineRule="auto"/>
        <w:rPr>
          <w:rFonts w:hint="eastAsia"/>
        </w:rPr>
      </w:pPr>
      <w:r>
        <w:rPr>
          <w:rFonts w:hint="eastAsia"/>
        </w:rPr>
        <w:t>祂咒诅了蛇、牲畜和田野的走兽（即整个动物界），从而引入了一个可怕的、新的暴力和捕食的生态系统（创 3:14-15, 利 26:22, 以赛亚书 11:6-9）。</w:t>
      </w:r>
    </w:p>
    <w:p w14:paraId="1CED4C13">
      <w:pPr>
        <w:pStyle w:val="9"/>
        <w:spacing w:after="0" w:line="249" w:lineRule="auto"/>
        <w:rPr>
          <w:rFonts w:hint="eastAsia"/>
        </w:rPr>
      </w:pPr>
    </w:p>
    <w:p w14:paraId="44EB89AC">
      <w:pPr>
        <w:pStyle w:val="9"/>
        <w:spacing w:after="0" w:line="249" w:lineRule="auto"/>
        <w:rPr>
          <w:rFonts w:hint="eastAsia"/>
        </w:rPr>
      </w:pPr>
      <w:r>
        <w:rPr>
          <w:rFonts w:hint="eastAsia"/>
        </w:rPr>
        <w:t>He cursed Eve’s body, so that she and her daughters would give birth in pain (Gen. 3:16).</w:t>
      </w:r>
    </w:p>
    <w:p w14:paraId="25FC17DA">
      <w:pPr>
        <w:pStyle w:val="9"/>
        <w:spacing w:after="0" w:line="249" w:lineRule="auto"/>
        <w:rPr>
          <w:rFonts w:hint="eastAsia"/>
        </w:rPr>
      </w:pPr>
    </w:p>
    <w:p w14:paraId="1EBA682D">
      <w:pPr>
        <w:pStyle w:val="9"/>
        <w:spacing w:after="0" w:line="249" w:lineRule="auto"/>
        <w:rPr>
          <w:rFonts w:hint="eastAsia"/>
        </w:rPr>
      </w:pPr>
      <w:r>
        <w:rPr>
          <w:rFonts w:hint="eastAsia"/>
        </w:rPr>
        <w:t>祂咒诅了夏娃的身体，使她和她的女儿们都要在痛苦中生产（创 3:16）。</w:t>
      </w:r>
    </w:p>
    <w:p w14:paraId="364E2917">
      <w:pPr>
        <w:pStyle w:val="9"/>
        <w:spacing w:after="0" w:line="249" w:lineRule="auto"/>
        <w:rPr>
          <w:rFonts w:hint="eastAsia"/>
        </w:rPr>
      </w:pPr>
    </w:p>
    <w:p w14:paraId="2700E1EB">
      <w:pPr>
        <w:pStyle w:val="9"/>
        <w:spacing w:after="0" w:line="249" w:lineRule="auto"/>
        <w:rPr>
          <w:rFonts w:hint="eastAsia"/>
        </w:rPr>
      </w:pPr>
      <w:r>
        <w:rPr>
          <w:rFonts w:hint="eastAsia"/>
        </w:rPr>
        <w:t>He cursed man’s body, so that it would return to the ground from which it had come (3:19).</w:t>
      </w:r>
    </w:p>
    <w:p w14:paraId="770415D4">
      <w:pPr>
        <w:pStyle w:val="9"/>
        <w:spacing w:after="0" w:line="249" w:lineRule="auto"/>
        <w:rPr>
          <w:rFonts w:hint="eastAsia"/>
        </w:rPr>
      </w:pPr>
    </w:p>
    <w:p w14:paraId="06DBEBDA">
      <w:pPr>
        <w:pStyle w:val="9"/>
        <w:spacing w:after="0" w:line="249" w:lineRule="auto"/>
        <w:rPr>
          <w:rFonts w:hint="eastAsia"/>
        </w:rPr>
      </w:pPr>
      <w:r>
        <w:rPr>
          <w:rFonts w:hint="eastAsia"/>
        </w:rPr>
        <w:t>祂咒诅了人的身体，使它要归于它所出自的尘土（3:19）。</w:t>
      </w:r>
    </w:p>
    <w:p w14:paraId="25D38B75">
      <w:pPr>
        <w:pStyle w:val="9"/>
        <w:spacing w:after="0" w:line="249" w:lineRule="auto"/>
        <w:rPr>
          <w:rFonts w:hint="eastAsia"/>
        </w:rPr>
      </w:pPr>
    </w:p>
    <w:p w14:paraId="5FA4C0D0">
      <w:pPr>
        <w:pStyle w:val="9"/>
        <w:spacing w:after="0" w:line="249" w:lineRule="auto"/>
        <w:rPr>
          <w:rFonts w:hint="eastAsia"/>
        </w:rPr>
      </w:pPr>
      <w:r>
        <w:rPr>
          <w:rFonts w:hint="eastAsia"/>
        </w:rPr>
        <w:t>In sum, God subjected the entire physical creation to a principle of decay, futility, and suffering; to a principle that manifests itself in the whole dark spectrum of natural evils.</w:t>
      </w:r>
    </w:p>
    <w:p w14:paraId="7C67636C">
      <w:pPr>
        <w:pStyle w:val="9"/>
        <w:spacing w:after="0" w:line="249" w:lineRule="auto"/>
        <w:rPr>
          <w:rFonts w:hint="eastAsia"/>
        </w:rPr>
      </w:pPr>
    </w:p>
    <w:p w14:paraId="13B918A9">
      <w:pPr>
        <w:pStyle w:val="9"/>
        <w:spacing w:after="0" w:line="249" w:lineRule="auto"/>
        <w:rPr>
          <w:rFonts w:hint="eastAsia"/>
        </w:rPr>
      </w:pPr>
      <w:r>
        <w:rPr>
          <w:rFonts w:hint="eastAsia"/>
        </w:rPr>
        <w:t>总之，神使整个物质创造都服于一个败坏、虚空和受苦的原则之下；这个原则体现在整个自然邪恶的黑暗光谱中。</w:t>
      </w:r>
    </w:p>
    <w:p w14:paraId="35DD5F78">
      <w:pPr>
        <w:pStyle w:val="9"/>
        <w:spacing w:after="0" w:line="249" w:lineRule="auto"/>
        <w:rPr>
          <w:rFonts w:hint="eastAsia"/>
        </w:rPr>
      </w:pPr>
    </w:p>
    <w:p w14:paraId="7A82435B">
      <w:pPr>
        <w:pStyle w:val="9"/>
        <w:spacing w:after="0" w:line="249" w:lineRule="auto"/>
        <w:rPr>
          <w:rFonts w:hint="eastAsia"/>
        </w:rPr>
      </w:pPr>
      <w:r>
        <w:rPr>
          <w:rFonts w:hint="eastAsia"/>
        </w:rPr>
        <w:t>These include drought, famine, plague, pestilence, earthquake, storm, flood, mutations, extinctions, accident, injury, sickness, pain, fatigue, old age, and physical death, (Rom. 8:18-25).</w:t>
      </w:r>
    </w:p>
    <w:p w14:paraId="55A7A703">
      <w:pPr>
        <w:pStyle w:val="9"/>
        <w:spacing w:after="0" w:line="249" w:lineRule="auto"/>
        <w:rPr>
          <w:rFonts w:hint="eastAsia"/>
        </w:rPr>
      </w:pPr>
    </w:p>
    <w:p w14:paraId="2840D994">
      <w:pPr>
        <w:pStyle w:val="9"/>
        <w:spacing w:after="0" w:line="249" w:lineRule="auto"/>
        <w:rPr>
          <w:rFonts w:hint="eastAsia"/>
        </w:rPr>
      </w:pPr>
      <w:r>
        <w:rPr>
          <w:rFonts w:hint="eastAsia"/>
        </w:rPr>
        <w:t>这些包括干旱、饥荒、瘟疫、传染病、地震、风暴、洪水、突变、灭绝、事故、伤害、疾病、疼痛、疲劳、衰老和肉体的死亡（罗 8:18-25）。</w:t>
      </w:r>
    </w:p>
    <w:p w14:paraId="3844245E">
      <w:pPr>
        <w:pStyle w:val="9"/>
        <w:spacing w:after="0" w:line="249" w:lineRule="auto"/>
        <w:rPr>
          <w:rFonts w:hint="eastAsia"/>
        </w:rPr>
      </w:pPr>
    </w:p>
    <w:p w14:paraId="0C4D4B9A">
      <w:pPr>
        <w:pStyle w:val="9"/>
        <w:spacing w:after="0" w:line="249" w:lineRule="auto"/>
        <w:rPr>
          <w:rFonts w:hint="eastAsia"/>
        </w:rPr>
      </w:pPr>
      <w:r>
        <w:rPr>
          <w:rFonts w:hint="eastAsia"/>
        </w:rPr>
        <w:t>The Bible well understands that suffering people often reckon such judgments to be a sign of God’s indifference, cruelty, or non-existence (Prov. 19:3).</w:t>
      </w:r>
    </w:p>
    <w:p w14:paraId="017A285E">
      <w:pPr>
        <w:pStyle w:val="9"/>
        <w:spacing w:after="0" w:line="249" w:lineRule="auto"/>
        <w:rPr>
          <w:rFonts w:hint="eastAsia"/>
        </w:rPr>
      </w:pPr>
    </w:p>
    <w:p w14:paraId="20ABBCD7">
      <w:pPr>
        <w:pStyle w:val="9"/>
        <w:spacing w:after="0" w:line="249" w:lineRule="auto"/>
        <w:rPr>
          <w:rFonts w:hint="eastAsia"/>
        </w:rPr>
      </w:pPr>
      <w:r>
        <w:rPr>
          <w:rFonts w:hint="eastAsia"/>
        </w:rPr>
        <w:t>圣经很清楚，受苦的人常常将这样的审判视为神冷漠、残忍或不存在的记号（箴 19:3）。</w:t>
      </w:r>
    </w:p>
    <w:p w14:paraId="5FF95B1F">
      <w:pPr>
        <w:pStyle w:val="9"/>
        <w:spacing w:after="0" w:line="249" w:lineRule="auto"/>
        <w:rPr>
          <w:rFonts w:hint="eastAsia"/>
        </w:rPr>
      </w:pPr>
    </w:p>
    <w:p w14:paraId="0B9FD532">
      <w:pPr>
        <w:pStyle w:val="9"/>
        <w:spacing w:after="0" w:line="249" w:lineRule="auto"/>
        <w:rPr>
          <w:rFonts w:hint="eastAsia"/>
        </w:rPr>
      </w:pPr>
      <w:r>
        <w:rPr>
          <w:rFonts w:hint="eastAsia"/>
        </w:rPr>
        <w:t>It responds, however, by framing them instead as severe mercies, wisely designed by a loving Creator and Judge to show fallen man the ugliness of his sin, warn him of its dangers, and (along with the far more numerous tokens of God’s goodness) lead him to repentance, faith, and salvation from a much worse judgment waiting up ahead (Deut. 28, Psalm 107, Luke 13:1-5, Acts 14:17, Romans 2:4).</w:t>
      </w:r>
    </w:p>
    <w:p w14:paraId="1314A48D">
      <w:pPr>
        <w:pStyle w:val="9"/>
        <w:spacing w:after="0" w:line="249" w:lineRule="auto"/>
        <w:rPr>
          <w:rFonts w:hint="eastAsia"/>
        </w:rPr>
      </w:pPr>
    </w:p>
    <w:p w14:paraId="2C307613">
      <w:pPr>
        <w:pStyle w:val="9"/>
        <w:spacing w:after="0" w:line="249" w:lineRule="auto"/>
        <w:rPr>
          <w:rFonts w:hint="eastAsia"/>
        </w:rPr>
      </w:pPr>
      <w:r>
        <w:rPr>
          <w:rFonts w:hint="eastAsia"/>
        </w:rPr>
        <w:t>然而，它却将它们构建为严厉的怜悯，是由一位慈爱的创造主和审判者智慧地设计的，为要向堕落的人显明他罪的丑陋，警告他罪的危险，并（连同神更多无数的良善标记）带领他悔改、信靠，并从一个更糟的、在前方等候的审判中得救（申 28, 诗 107, 路 13:1-5, 徒 14:17, 罗 2:4）。</w:t>
      </w:r>
    </w:p>
    <w:p w14:paraId="234B534C">
      <w:pPr>
        <w:pStyle w:val="9"/>
        <w:spacing w:after="0" w:line="249" w:lineRule="auto"/>
        <w:rPr>
          <w:rFonts w:hint="eastAsia"/>
        </w:rPr>
      </w:pPr>
    </w:p>
    <w:p w14:paraId="3B0450F3">
      <w:pPr>
        <w:pStyle w:val="9"/>
        <w:spacing w:after="0" w:line="249" w:lineRule="auto"/>
        <w:rPr>
          <w:rFonts w:hint="eastAsia"/>
        </w:rPr>
      </w:pPr>
      <w:r>
        <w:rPr>
          <w:rFonts w:hint="eastAsia"/>
        </w:rPr>
        <w:t>Next, there were Satanic enemies.</w:t>
      </w:r>
    </w:p>
    <w:p w14:paraId="6514D21B">
      <w:pPr>
        <w:pStyle w:val="9"/>
        <w:spacing w:after="0" w:line="249" w:lineRule="auto"/>
        <w:rPr>
          <w:rFonts w:hint="eastAsia"/>
        </w:rPr>
      </w:pPr>
    </w:p>
    <w:p w14:paraId="1FB240B2">
      <w:pPr>
        <w:pStyle w:val="9"/>
        <w:spacing w:after="0" w:line="249" w:lineRule="auto"/>
        <w:rPr>
          <w:rFonts w:hint="eastAsia"/>
        </w:rPr>
      </w:pPr>
      <w:r>
        <w:rPr>
          <w:rFonts w:hint="eastAsia"/>
        </w:rPr>
        <w:t>其次，有撒但的仇敌。</w:t>
      </w:r>
    </w:p>
    <w:p w14:paraId="232F94B0">
      <w:pPr>
        <w:pStyle w:val="9"/>
        <w:spacing w:after="0" w:line="249" w:lineRule="auto"/>
        <w:rPr>
          <w:rFonts w:hint="eastAsia"/>
        </w:rPr>
      </w:pPr>
    </w:p>
    <w:p w14:paraId="4963944A">
      <w:pPr>
        <w:pStyle w:val="9"/>
        <w:spacing w:after="0" w:line="249" w:lineRule="auto"/>
        <w:rPr>
          <w:rFonts w:hint="eastAsia"/>
        </w:rPr>
      </w:pPr>
      <w:r>
        <w:rPr>
          <w:rFonts w:hint="eastAsia"/>
        </w:rPr>
        <w:t>These entered when Adam repudiated the rule of God and obeyed the devil instead.</w:t>
      </w:r>
    </w:p>
    <w:p w14:paraId="0BAED894">
      <w:pPr>
        <w:pStyle w:val="9"/>
        <w:spacing w:after="0" w:line="249" w:lineRule="auto"/>
        <w:rPr>
          <w:rFonts w:hint="eastAsia"/>
        </w:rPr>
      </w:pPr>
    </w:p>
    <w:p w14:paraId="300A92C5">
      <w:pPr>
        <w:pStyle w:val="9"/>
        <w:spacing w:after="0" w:line="249" w:lineRule="auto"/>
        <w:rPr>
          <w:rFonts w:hint="eastAsia"/>
        </w:rPr>
      </w:pPr>
      <w:r>
        <w:rPr>
          <w:rFonts w:hint="eastAsia"/>
        </w:rPr>
        <w:t>当亚当弃绝神的统治，转而顺从魔鬼时，这些仇敌就进来了。</w:t>
      </w:r>
    </w:p>
    <w:p w14:paraId="4B0F8B24">
      <w:pPr>
        <w:pStyle w:val="9"/>
        <w:spacing w:after="0" w:line="249" w:lineRule="auto"/>
        <w:rPr>
          <w:rFonts w:hint="eastAsia"/>
        </w:rPr>
      </w:pPr>
    </w:p>
    <w:p w14:paraId="7FD87FCF">
      <w:pPr>
        <w:pStyle w:val="9"/>
        <w:spacing w:after="0" w:line="249" w:lineRule="auto"/>
        <w:rPr>
          <w:rFonts w:hint="eastAsia"/>
        </w:rPr>
      </w:pPr>
      <w:r>
        <w:rPr>
          <w:rFonts w:hint="eastAsia"/>
        </w:rPr>
        <w:t>In other words, through his sin, Adam effectively rejected the spiritual headship of God’s Son, fell under the spiritual headship of the devil, and thereby incorporated himself and his family into Satan’s growing kingdom of darkness (Luke 4:5-7, John 8:44).</w:t>
      </w:r>
    </w:p>
    <w:p w14:paraId="1BD38630">
      <w:pPr>
        <w:pStyle w:val="9"/>
        <w:spacing w:after="0" w:line="249" w:lineRule="auto"/>
        <w:rPr>
          <w:rFonts w:hint="eastAsia"/>
        </w:rPr>
      </w:pPr>
    </w:p>
    <w:p w14:paraId="05A7EF44">
      <w:pPr>
        <w:pStyle w:val="9"/>
        <w:spacing w:after="0" w:line="249" w:lineRule="auto"/>
        <w:rPr>
          <w:rFonts w:hint="eastAsia"/>
        </w:rPr>
      </w:pPr>
      <w:r>
        <w:rPr>
          <w:rFonts w:hint="eastAsia"/>
        </w:rPr>
        <w:t>换句话说，通过他的罪，亚当有效地拒绝了神儿子的属灵元首权柄，落入了魔鬼的属灵元首权柄之下，从而将他自己和他的家庭并入撒但不断增长的黑暗国度中（路 4:5-7, 约 8:44）。</w:t>
      </w:r>
    </w:p>
    <w:p w14:paraId="7C2FA861">
      <w:pPr>
        <w:pStyle w:val="9"/>
        <w:spacing w:after="0" w:line="249" w:lineRule="auto"/>
        <w:rPr>
          <w:rFonts w:hint="eastAsia"/>
        </w:rPr>
      </w:pPr>
    </w:p>
    <w:p w14:paraId="67B1DA3E">
      <w:pPr>
        <w:pStyle w:val="9"/>
        <w:spacing w:after="0" w:line="249" w:lineRule="auto"/>
        <w:rPr>
          <w:rFonts w:hint="eastAsia"/>
        </w:rPr>
      </w:pPr>
      <w:r>
        <w:rPr>
          <w:rFonts w:hint="eastAsia"/>
        </w:rPr>
        <w:t>Very importantly, this aspect of the Fall marked the beginning of what the Bible calls “the world” or “the world-system.”</w:t>
      </w:r>
    </w:p>
    <w:p w14:paraId="3CE948E3">
      <w:pPr>
        <w:pStyle w:val="9"/>
        <w:spacing w:after="0" w:line="249" w:lineRule="auto"/>
        <w:rPr>
          <w:rFonts w:hint="eastAsia"/>
        </w:rPr>
      </w:pPr>
    </w:p>
    <w:p w14:paraId="66A127F9">
      <w:pPr>
        <w:pStyle w:val="9"/>
        <w:spacing w:after="0" w:line="249" w:lineRule="auto"/>
        <w:rPr>
          <w:rFonts w:hint="eastAsia"/>
        </w:rPr>
      </w:pPr>
      <w:r>
        <w:rPr>
          <w:rFonts w:hint="eastAsia"/>
        </w:rPr>
        <w:t>非常重要的一点是，堕落的这一方面标志着圣经所称的“世界”或“世界体系”的开始。</w:t>
      </w:r>
    </w:p>
    <w:p w14:paraId="3C8E0F37">
      <w:pPr>
        <w:pStyle w:val="9"/>
        <w:spacing w:after="0" w:line="249" w:lineRule="auto"/>
        <w:rPr>
          <w:rFonts w:hint="eastAsia"/>
        </w:rPr>
      </w:pPr>
    </w:p>
    <w:p w14:paraId="07990638">
      <w:pPr>
        <w:pStyle w:val="9"/>
        <w:spacing w:after="0" w:line="249" w:lineRule="auto"/>
        <w:rPr>
          <w:rFonts w:hint="eastAsia"/>
        </w:rPr>
      </w:pPr>
      <w:r>
        <w:rPr>
          <w:rFonts w:hint="eastAsia"/>
        </w:rPr>
        <w:t>It may be defined as human society, insofar as it is alienated from God, and organized, energized, and directed by its unseen “prince” or “ruler”—the devil and his demonic hosts (John 12:31, 14:30, 16:11, Eph. 6:10f).</w:t>
      </w:r>
    </w:p>
    <w:p w14:paraId="01094BAF">
      <w:pPr>
        <w:pStyle w:val="9"/>
        <w:spacing w:after="0" w:line="249" w:lineRule="auto"/>
        <w:rPr>
          <w:rFonts w:hint="eastAsia"/>
        </w:rPr>
      </w:pPr>
    </w:p>
    <w:p w14:paraId="0C0F9AD7">
      <w:pPr>
        <w:pStyle w:val="9"/>
        <w:spacing w:after="0" w:line="249" w:lineRule="auto"/>
        <w:rPr>
          <w:rFonts w:hint="eastAsia"/>
        </w:rPr>
      </w:pPr>
      <w:r>
        <w:rPr>
          <w:rFonts w:hint="eastAsia"/>
        </w:rPr>
        <w:t>它可以被定义为人类社会，就其与神疏远而言，并且由其无形的“王”或“统治者”——魔鬼和他的鬼魔军团——所组织、激励和指导（约 12:31, 14:30, 16:11, 弗 6:10及以下）。</w:t>
      </w:r>
    </w:p>
    <w:p w14:paraId="4157F6DA">
      <w:pPr>
        <w:pStyle w:val="9"/>
        <w:spacing w:after="0" w:line="249" w:lineRule="auto"/>
        <w:rPr>
          <w:rFonts w:hint="eastAsia"/>
        </w:rPr>
      </w:pPr>
    </w:p>
    <w:p w14:paraId="0B41846C">
      <w:pPr>
        <w:pStyle w:val="9"/>
        <w:spacing w:after="0" w:line="249" w:lineRule="auto"/>
        <w:rPr>
          <w:rFonts w:hint="eastAsia"/>
        </w:rPr>
      </w:pPr>
      <w:r>
        <w:rPr>
          <w:rFonts w:hint="eastAsia"/>
        </w:rPr>
        <w:t>While the NT does indeed style Satan as the ruler of this world, it also assures us that his rule is not absolute.</w:t>
      </w:r>
    </w:p>
    <w:p w14:paraId="1C1327C5">
      <w:pPr>
        <w:pStyle w:val="9"/>
        <w:spacing w:after="0" w:line="249" w:lineRule="auto"/>
        <w:rPr>
          <w:rFonts w:hint="eastAsia"/>
        </w:rPr>
      </w:pPr>
    </w:p>
    <w:p w14:paraId="10D7DB3D">
      <w:pPr>
        <w:pStyle w:val="9"/>
        <w:spacing w:after="0" w:line="249" w:lineRule="auto"/>
        <w:rPr>
          <w:rFonts w:hint="eastAsia"/>
        </w:rPr>
      </w:pPr>
      <w:r>
        <w:rPr>
          <w:rFonts w:hint="eastAsia"/>
        </w:rPr>
        <w:t>虽然新约确实称撒但为这世界的王，但它也向我们保证，他的统治不是绝对的。</w:t>
      </w:r>
    </w:p>
    <w:p w14:paraId="7448883E">
      <w:pPr>
        <w:pStyle w:val="9"/>
        <w:spacing w:after="0" w:line="249" w:lineRule="auto"/>
        <w:rPr>
          <w:rFonts w:hint="eastAsia"/>
        </w:rPr>
      </w:pPr>
    </w:p>
    <w:p w14:paraId="7C9DD00C">
      <w:pPr>
        <w:pStyle w:val="9"/>
        <w:spacing w:after="0" w:line="249" w:lineRule="auto"/>
        <w:rPr>
          <w:rFonts w:hint="eastAsia"/>
        </w:rPr>
      </w:pPr>
      <w:r>
        <w:rPr>
          <w:rFonts w:hint="eastAsia"/>
        </w:rPr>
        <w:t>From the very beginning God has graciously poured out manifold blessings on all his creatures, his enemies included (Mt. 5:45, Acts 14:17, 17:28).</w:t>
      </w:r>
    </w:p>
    <w:p w14:paraId="176E3D32">
      <w:pPr>
        <w:pStyle w:val="9"/>
        <w:spacing w:after="0" w:line="249" w:lineRule="auto"/>
        <w:rPr>
          <w:rFonts w:hint="eastAsia"/>
        </w:rPr>
      </w:pPr>
    </w:p>
    <w:p w14:paraId="62400FA6">
      <w:pPr>
        <w:pStyle w:val="9"/>
        <w:spacing w:after="0" w:line="249" w:lineRule="auto"/>
        <w:rPr>
          <w:rFonts w:hint="eastAsia"/>
        </w:rPr>
      </w:pPr>
      <w:r>
        <w:rPr>
          <w:rFonts w:hint="eastAsia"/>
        </w:rPr>
        <w:t>从起初，神就恩慈地将诸般的祝福倾倒在祂所有的受造之物上，包括祂的仇敌在内（太 5:45, 徒 14:17, 17:28）。</w:t>
      </w:r>
    </w:p>
    <w:p w14:paraId="747813AB">
      <w:pPr>
        <w:pStyle w:val="9"/>
        <w:spacing w:after="0" w:line="249" w:lineRule="auto"/>
        <w:rPr>
          <w:rFonts w:hint="eastAsia"/>
        </w:rPr>
      </w:pPr>
    </w:p>
    <w:p w14:paraId="6BD8D3C1">
      <w:pPr>
        <w:pStyle w:val="9"/>
        <w:spacing w:after="0" w:line="249" w:lineRule="auto"/>
        <w:rPr>
          <w:rFonts w:hint="eastAsia"/>
        </w:rPr>
      </w:pPr>
      <w:r>
        <w:rPr>
          <w:rFonts w:hint="eastAsia"/>
        </w:rPr>
        <w:t>Moreover, all along the way he has been taking a chosen people out of the world (Gen. 3:15, 21, John 15:19, 17:6, 15) and gathering them back to himself.</w:t>
      </w:r>
    </w:p>
    <w:p w14:paraId="22F75377">
      <w:pPr>
        <w:pStyle w:val="9"/>
        <w:spacing w:after="0" w:line="249" w:lineRule="auto"/>
        <w:rPr>
          <w:rFonts w:hint="eastAsia"/>
        </w:rPr>
      </w:pPr>
    </w:p>
    <w:p w14:paraId="78D9EF63">
      <w:pPr>
        <w:pStyle w:val="9"/>
        <w:spacing w:after="0" w:line="249" w:lineRule="auto"/>
        <w:rPr>
          <w:rFonts w:hint="eastAsia"/>
        </w:rPr>
      </w:pPr>
      <w:r>
        <w:rPr>
          <w:rFonts w:hint="eastAsia"/>
        </w:rPr>
        <w:t>此外，一路上祂一直在从世界中取出一个蒙拣选的子民（创 3:15, 21, 约 15:19, 17:6, 15），并将他们聚集回到祂自己这里。</w:t>
      </w:r>
    </w:p>
    <w:p w14:paraId="54C2DBC2">
      <w:pPr>
        <w:pStyle w:val="9"/>
        <w:spacing w:after="0" w:line="249" w:lineRule="auto"/>
        <w:rPr>
          <w:rFonts w:hint="eastAsia"/>
        </w:rPr>
      </w:pPr>
    </w:p>
    <w:p w14:paraId="23BCDEBD">
      <w:pPr>
        <w:pStyle w:val="9"/>
        <w:spacing w:after="0" w:line="249" w:lineRule="auto"/>
        <w:rPr>
          <w:rFonts w:hint="eastAsia"/>
        </w:rPr>
      </w:pPr>
      <w:r>
        <w:rPr>
          <w:rFonts w:hint="eastAsia"/>
        </w:rPr>
        <w:t>Nevertheless, Satan remains a profoundly dangerous enemy to saint and sinner alike, prowling about like a ravenous lion, seeking whom he may devour (1 Peter 5:8, Rev. 12:12-17).</w:t>
      </w:r>
    </w:p>
    <w:p w14:paraId="39707961">
      <w:pPr>
        <w:pStyle w:val="9"/>
        <w:spacing w:after="0" w:line="249" w:lineRule="auto"/>
        <w:rPr>
          <w:rFonts w:hint="eastAsia"/>
        </w:rPr>
      </w:pPr>
    </w:p>
    <w:p w14:paraId="73A9A228">
      <w:pPr>
        <w:pStyle w:val="9"/>
        <w:spacing w:after="0" w:line="249" w:lineRule="auto"/>
        <w:rPr>
          <w:rFonts w:hint="eastAsia"/>
        </w:rPr>
      </w:pPr>
      <w:r>
        <w:rPr>
          <w:rFonts w:hint="eastAsia"/>
        </w:rPr>
        <w:t>然而，撒但对圣徒和罪人来说，仍然是一个极其危险的仇敌，他像一只饥饿的狮子，遍地游行，寻找可吞吃的人（彼前 5:8, 启 12:12-17）。</w:t>
      </w:r>
    </w:p>
    <w:p w14:paraId="7712A3C2">
      <w:pPr>
        <w:pStyle w:val="9"/>
        <w:spacing w:after="0" w:line="249" w:lineRule="auto"/>
        <w:rPr>
          <w:rFonts w:hint="eastAsia"/>
        </w:rPr>
      </w:pPr>
    </w:p>
    <w:p w14:paraId="7A4203AB">
      <w:pPr>
        <w:pStyle w:val="9"/>
        <w:spacing w:after="0" w:line="249" w:lineRule="auto"/>
        <w:rPr>
          <w:rFonts w:hint="eastAsia"/>
        </w:rPr>
      </w:pPr>
      <w:r>
        <w:rPr>
          <w:rFonts w:hint="eastAsia"/>
        </w:rPr>
        <w:t>Though the modern mind often scoffs at the idea of invisible spiritual enemies, the NT writers regard them with utmost seriousness.</w:t>
      </w:r>
    </w:p>
    <w:p w14:paraId="57E12B51">
      <w:pPr>
        <w:pStyle w:val="9"/>
        <w:spacing w:after="0" w:line="249" w:lineRule="auto"/>
        <w:rPr>
          <w:rFonts w:hint="eastAsia"/>
        </w:rPr>
      </w:pPr>
    </w:p>
    <w:p w14:paraId="3AFCB373">
      <w:pPr>
        <w:pStyle w:val="9"/>
        <w:spacing w:after="0" w:line="249" w:lineRule="auto"/>
        <w:rPr>
          <w:rFonts w:hint="eastAsia"/>
        </w:rPr>
      </w:pPr>
      <w:r>
        <w:rPr>
          <w:rFonts w:hint="eastAsia"/>
        </w:rPr>
        <w:t>尽管现代的心智常常嘲笑无形的属灵仇敌这一观念，但新约的作者们却以极其严肃的态度看待他们。</w:t>
      </w:r>
    </w:p>
    <w:p w14:paraId="4D27D6FD">
      <w:pPr>
        <w:pStyle w:val="9"/>
        <w:spacing w:after="0" w:line="249" w:lineRule="auto"/>
        <w:rPr>
          <w:rFonts w:hint="eastAsia"/>
        </w:rPr>
      </w:pPr>
    </w:p>
    <w:p w14:paraId="6BEBAE8C">
      <w:pPr>
        <w:pStyle w:val="9"/>
        <w:spacing w:after="0" w:line="249" w:lineRule="auto"/>
        <w:rPr>
          <w:rFonts w:hint="eastAsia"/>
        </w:rPr>
      </w:pPr>
      <w:r>
        <w:rPr>
          <w:rFonts w:hint="eastAsia"/>
        </w:rPr>
        <w:t>At any given moment the majority of mankind are their (unwitting) slaves (Rev. 12:9).</w:t>
      </w:r>
    </w:p>
    <w:p w14:paraId="7030F9DA">
      <w:pPr>
        <w:pStyle w:val="9"/>
        <w:spacing w:after="0" w:line="249" w:lineRule="auto"/>
        <w:rPr>
          <w:rFonts w:hint="eastAsia"/>
        </w:rPr>
      </w:pPr>
    </w:p>
    <w:p w14:paraId="68B177BB">
      <w:pPr>
        <w:pStyle w:val="9"/>
        <w:spacing w:after="0" w:line="249" w:lineRule="auto"/>
        <w:rPr>
          <w:rFonts w:hint="eastAsia"/>
        </w:rPr>
      </w:pPr>
      <w:r>
        <w:rPr>
          <w:rFonts w:hint="eastAsia"/>
        </w:rPr>
        <w:t>在任何特定的时刻，大多数的人类都是他们（不知情的）奴隶（启 12:9）。</w:t>
      </w:r>
    </w:p>
    <w:p w14:paraId="2F61F466">
      <w:pPr>
        <w:pStyle w:val="9"/>
        <w:spacing w:after="0" w:line="249" w:lineRule="auto"/>
        <w:rPr>
          <w:rFonts w:hint="eastAsia"/>
        </w:rPr>
      </w:pPr>
    </w:p>
    <w:p w14:paraId="1CA47C77">
      <w:pPr>
        <w:pStyle w:val="9"/>
        <w:spacing w:after="0" w:line="249" w:lineRule="auto"/>
        <w:rPr>
          <w:rFonts w:hint="eastAsia"/>
        </w:rPr>
      </w:pPr>
      <w:r>
        <w:rPr>
          <w:rFonts w:hint="eastAsia"/>
        </w:rPr>
        <w:t>The ungodly are ensnared by the devil, having been taken captive by him to do his will (2 Tim. 2:24-26).</w:t>
      </w:r>
    </w:p>
    <w:p w14:paraId="3BFBD5D3">
      <w:pPr>
        <w:pStyle w:val="9"/>
        <w:spacing w:after="0" w:line="249" w:lineRule="auto"/>
        <w:rPr>
          <w:rFonts w:hint="eastAsia"/>
        </w:rPr>
      </w:pPr>
    </w:p>
    <w:p w14:paraId="18406600">
      <w:pPr>
        <w:pStyle w:val="9"/>
        <w:spacing w:after="0" w:line="249" w:lineRule="auto"/>
        <w:rPr>
          <w:rFonts w:hint="eastAsia"/>
        </w:rPr>
      </w:pPr>
      <w:r>
        <w:rPr>
          <w:rFonts w:hint="eastAsia"/>
        </w:rPr>
        <w:t>不敬虔的人被魔鬼所诱捕，被他掳去，行他的旨意（提后 2:24-26）。</w:t>
      </w:r>
    </w:p>
    <w:p w14:paraId="0D574863">
      <w:pPr>
        <w:pStyle w:val="9"/>
        <w:spacing w:after="0" w:line="249" w:lineRule="auto"/>
        <w:rPr>
          <w:rFonts w:hint="eastAsia"/>
        </w:rPr>
      </w:pPr>
    </w:p>
    <w:p w14:paraId="2C4D9D70">
      <w:pPr>
        <w:pStyle w:val="9"/>
        <w:spacing w:after="0" w:line="249" w:lineRule="auto"/>
        <w:rPr>
          <w:rFonts w:hint="eastAsia"/>
        </w:rPr>
      </w:pPr>
      <w:r>
        <w:rPr>
          <w:rFonts w:hint="eastAsia"/>
        </w:rPr>
        <w:t>The fallen world is Satan’s “domain,” a prison- house of darkness (Mt. 12:22-30, Col. 1:13).</w:t>
      </w:r>
    </w:p>
    <w:p w14:paraId="35A7E4C0">
      <w:pPr>
        <w:pStyle w:val="9"/>
        <w:spacing w:after="0" w:line="249" w:lineRule="auto"/>
        <w:rPr>
          <w:rFonts w:hint="eastAsia"/>
        </w:rPr>
      </w:pPr>
    </w:p>
    <w:p w14:paraId="2789CDA1">
      <w:pPr>
        <w:pStyle w:val="9"/>
        <w:spacing w:after="0" w:line="249" w:lineRule="auto"/>
        <w:rPr>
          <w:rFonts w:hint="eastAsia"/>
        </w:rPr>
      </w:pPr>
      <w:r>
        <w:rPr>
          <w:rFonts w:hint="eastAsia"/>
        </w:rPr>
        <w:t>堕落的世界是撒但的“领域”，一个黑暗的牢笼（太 12:22-30, 西 1:13）。</w:t>
      </w:r>
    </w:p>
    <w:p w14:paraId="17FB5F92">
      <w:pPr>
        <w:pStyle w:val="9"/>
        <w:spacing w:after="0" w:line="249" w:lineRule="auto"/>
        <w:rPr>
          <w:rFonts w:hint="eastAsia"/>
        </w:rPr>
      </w:pPr>
    </w:p>
    <w:p w14:paraId="0075B681">
      <w:pPr>
        <w:pStyle w:val="9"/>
        <w:spacing w:after="0" w:line="249" w:lineRule="auto"/>
        <w:rPr>
          <w:rFonts w:hint="eastAsia"/>
        </w:rPr>
      </w:pPr>
      <w:r>
        <w:rPr>
          <w:rFonts w:hint="eastAsia"/>
        </w:rPr>
        <w:t>It lies in the power of the evil one, so much so that (under God’s ultimate sovereignty) he can summon entire empires onto the stage of history (1 John 5:19, Rev. 13:1).</w:t>
      </w:r>
    </w:p>
    <w:p w14:paraId="05FA9F69">
      <w:pPr>
        <w:pStyle w:val="9"/>
        <w:spacing w:after="0" w:line="249" w:lineRule="auto"/>
        <w:rPr>
          <w:rFonts w:hint="eastAsia"/>
        </w:rPr>
      </w:pPr>
    </w:p>
    <w:p w14:paraId="5FCE0EE1">
      <w:pPr>
        <w:pStyle w:val="9"/>
        <w:spacing w:after="0" w:line="249" w:lineRule="auto"/>
        <w:rPr>
          <w:rFonts w:hint="eastAsia"/>
        </w:rPr>
      </w:pPr>
      <w:r>
        <w:rPr>
          <w:rFonts w:hint="eastAsia"/>
        </w:rPr>
        <w:t>它在那恶者手中，以至于（在神的终极主宰之下）他能将整个帝国召上历史的舞台（约一 5:19, 启 13:1）。</w:t>
      </w:r>
    </w:p>
    <w:p w14:paraId="712570B3">
      <w:pPr>
        <w:pStyle w:val="9"/>
        <w:spacing w:after="0" w:line="249" w:lineRule="auto"/>
        <w:rPr>
          <w:rFonts w:hint="eastAsia"/>
        </w:rPr>
      </w:pPr>
    </w:p>
    <w:p w14:paraId="0A1DC760">
      <w:pPr>
        <w:pStyle w:val="9"/>
        <w:spacing w:after="0" w:line="249" w:lineRule="auto"/>
        <w:rPr>
          <w:rFonts w:hint="eastAsia"/>
        </w:rPr>
      </w:pPr>
      <w:r>
        <w:rPr>
          <w:rFonts w:hint="eastAsia"/>
        </w:rPr>
        <w:t>Though Satan is the prince of this world, he nevertheless hates it, for he hates the God who created and loves it.</w:t>
      </w:r>
    </w:p>
    <w:p w14:paraId="11A4CD55">
      <w:pPr>
        <w:pStyle w:val="9"/>
        <w:spacing w:after="0" w:line="249" w:lineRule="auto"/>
        <w:rPr>
          <w:rFonts w:hint="eastAsia"/>
        </w:rPr>
      </w:pPr>
    </w:p>
    <w:p w14:paraId="7400F11B">
      <w:pPr>
        <w:pStyle w:val="9"/>
        <w:spacing w:after="0" w:line="249" w:lineRule="auto"/>
        <w:rPr>
          <w:rFonts w:hint="eastAsia"/>
        </w:rPr>
      </w:pPr>
      <w:r>
        <w:rPr>
          <w:rFonts w:hint="eastAsia"/>
        </w:rPr>
        <w:t>虽然撒但是这世界的王，他却恨这世界，因为他恨那创造并爱这世界的神。</w:t>
      </w:r>
    </w:p>
    <w:p w14:paraId="67070F0B">
      <w:pPr>
        <w:pStyle w:val="9"/>
        <w:spacing w:after="0" w:line="249" w:lineRule="auto"/>
        <w:rPr>
          <w:rFonts w:hint="eastAsia"/>
        </w:rPr>
      </w:pPr>
    </w:p>
    <w:p w14:paraId="36F278EF">
      <w:pPr>
        <w:pStyle w:val="9"/>
        <w:spacing w:after="0" w:line="249" w:lineRule="auto"/>
        <w:rPr>
          <w:rFonts w:hint="eastAsia"/>
        </w:rPr>
      </w:pPr>
      <w:r>
        <w:rPr>
          <w:rFonts w:hint="eastAsia"/>
        </w:rPr>
        <w:t>Therefore, whether by deception, temptation, oppression, or persecution, his great goal is first to feed his own pride by usurping the obedience of God’s human creatures (Mt. 4:8-9), and then to wound God by destroying as many of those creatures as he can (John 10:10, 1 Peter 5:8).</w:t>
      </w:r>
    </w:p>
    <w:p w14:paraId="626D13F7">
      <w:pPr>
        <w:pStyle w:val="9"/>
        <w:spacing w:after="0" w:line="249" w:lineRule="auto"/>
        <w:rPr>
          <w:rFonts w:hint="eastAsia"/>
        </w:rPr>
      </w:pPr>
    </w:p>
    <w:p w14:paraId="3E4CBED1">
      <w:pPr>
        <w:pStyle w:val="9"/>
        <w:spacing w:after="0" w:line="249" w:lineRule="auto"/>
        <w:rPr>
          <w:rFonts w:hint="eastAsia"/>
        </w:rPr>
      </w:pPr>
      <w:r>
        <w:rPr>
          <w:rFonts w:hint="eastAsia"/>
        </w:rPr>
        <w:t>因此，无论是通过欺骗、引诱、压迫还是逼迫，他的大目标首先是通过篡夺神的人类受造之物的顺从来满足他自己的骄傲（太 4:8-9），然后通过尽可能多地毁灭那些受造之物来伤害神（约 10:10, 彼前 5:8）。</w:t>
      </w:r>
    </w:p>
    <w:p w14:paraId="6D854CCF">
      <w:pPr>
        <w:pStyle w:val="9"/>
        <w:spacing w:after="0" w:line="249" w:lineRule="auto"/>
        <w:rPr>
          <w:rFonts w:hint="eastAsia"/>
        </w:rPr>
      </w:pPr>
    </w:p>
    <w:p w14:paraId="1A56E06D">
      <w:pPr>
        <w:pStyle w:val="9"/>
        <w:spacing w:after="0" w:line="249" w:lineRule="auto"/>
        <w:rPr>
          <w:rFonts w:hint="eastAsia"/>
        </w:rPr>
      </w:pPr>
      <w:r>
        <w:rPr>
          <w:rFonts w:hint="eastAsia"/>
        </w:rPr>
        <w:t>Jesus reckons this enemy to be a “strong man” from whom none can deliver themselves.</w:t>
      </w:r>
    </w:p>
    <w:p w14:paraId="208C305A">
      <w:pPr>
        <w:pStyle w:val="9"/>
        <w:spacing w:after="0" w:line="249" w:lineRule="auto"/>
        <w:rPr>
          <w:rFonts w:hint="eastAsia"/>
        </w:rPr>
      </w:pPr>
    </w:p>
    <w:p w14:paraId="5669C71A">
      <w:pPr>
        <w:pStyle w:val="9"/>
        <w:spacing w:after="0" w:line="249" w:lineRule="auto"/>
        <w:rPr>
          <w:rFonts w:hint="eastAsia"/>
        </w:rPr>
      </w:pPr>
      <w:r>
        <w:rPr>
          <w:rFonts w:hint="eastAsia"/>
        </w:rPr>
        <w:t>耶稣视这个仇敌为一个“壮士”，无人能自救脱离他。</w:t>
      </w:r>
    </w:p>
    <w:p w14:paraId="10D3E54D">
      <w:pPr>
        <w:pStyle w:val="9"/>
        <w:spacing w:after="0" w:line="249" w:lineRule="auto"/>
        <w:rPr>
          <w:rFonts w:hint="eastAsia"/>
        </w:rPr>
      </w:pPr>
    </w:p>
    <w:p w14:paraId="73C73B5A">
      <w:pPr>
        <w:pStyle w:val="9"/>
        <w:spacing w:after="0" w:line="249" w:lineRule="auto"/>
        <w:rPr>
          <w:rFonts w:hint="eastAsia"/>
        </w:rPr>
      </w:pPr>
      <w:r>
        <w:rPr>
          <w:rFonts w:hint="eastAsia"/>
        </w:rPr>
        <w:t>Their only hope is that “a stronger than he” will appear to invade Satan’s dark prison house, spoil his goods, and makes those goods his own (Mt. 12:22-30).</w:t>
      </w:r>
    </w:p>
    <w:p w14:paraId="77C45913">
      <w:pPr>
        <w:pStyle w:val="9"/>
        <w:spacing w:after="0" w:line="249" w:lineRule="auto"/>
        <w:rPr>
          <w:rFonts w:hint="eastAsia"/>
        </w:rPr>
      </w:pPr>
    </w:p>
    <w:p w14:paraId="730723B6">
      <w:pPr>
        <w:pStyle w:val="9"/>
        <w:spacing w:after="0" w:line="249" w:lineRule="auto"/>
        <w:rPr>
          <w:rFonts w:hint="eastAsia"/>
        </w:rPr>
      </w:pPr>
      <w:r>
        <w:rPr>
          <w:rFonts w:hint="eastAsia"/>
        </w:rPr>
        <w:t>他们唯一的盼望是有一个“比他更强的”出现，入侵撒但黑暗的牢笼，抢夺他的财物，并将那些财物据为己有（太 12:22-30）。</w:t>
      </w:r>
    </w:p>
    <w:p w14:paraId="5590D338">
      <w:pPr>
        <w:pStyle w:val="9"/>
        <w:spacing w:after="0" w:line="249" w:lineRule="auto"/>
        <w:rPr>
          <w:rFonts w:hint="eastAsia"/>
        </w:rPr>
      </w:pPr>
    </w:p>
    <w:p w14:paraId="07ED01BB">
      <w:pPr>
        <w:pStyle w:val="9"/>
        <w:spacing w:after="0" w:line="249" w:lineRule="auto"/>
        <w:rPr>
          <w:rFonts w:hint="eastAsia"/>
        </w:rPr>
      </w:pPr>
      <w:r>
        <w:rPr>
          <w:rFonts w:hint="eastAsia"/>
        </w:rPr>
        <w:t>Finally, Adam’s sin brought upon the world a dark trinity of divine enemies: condemnation, wrath, and the peril of eternal punishment.</w:t>
      </w:r>
    </w:p>
    <w:p w14:paraId="5D3779CF">
      <w:pPr>
        <w:pStyle w:val="9"/>
        <w:spacing w:after="0" w:line="249" w:lineRule="auto"/>
        <w:rPr>
          <w:rFonts w:hint="eastAsia"/>
        </w:rPr>
      </w:pPr>
    </w:p>
    <w:p w14:paraId="34D42CFC">
      <w:pPr>
        <w:pStyle w:val="9"/>
        <w:spacing w:after="0" w:line="249" w:lineRule="auto"/>
        <w:rPr>
          <w:rFonts w:hint="eastAsia"/>
        </w:rPr>
      </w:pPr>
      <w:r>
        <w:rPr>
          <w:rFonts w:hint="eastAsia"/>
        </w:rPr>
        <w:t>最后，亚当的罪给世界带来了黑暗的三一神圣仇敌：定罪、忿怒和永远刑罚的危险。</w:t>
      </w:r>
    </w:p>
    <w:p w14:paraId="024FB04D">
      <w:pPr>
        <w:pStyle w:val="9"/>
        <w:spacing w:after="0" w:line="249" w:lineRule="auto"/>
        <w:rPr>
          <w:rFonts w:hint="eastAsia"/>
        </w:rPr>
      </w:pPr>
    </w:p>
    <w:p w14:paraId="3B40AF85">
      <w:pPr>
        <w:pStyle w:val="9"/>
        <w:spacing w:after="0" w:line="249" w:lineRule="auto"/>
        <w:rPr>
          <w:rFonts w:hint="eastAsia"/>
        </w:rPr>
      </w:pPr>
      <w:r>
        <w:rPr>
          <w:rFonts w:hint="eastAsia"/>
        </w:rPr>
        <w:t>Though hidden in God, there are none more dangerous.</w:t>
      </w:r>
    </w:p>
    <w:p w14:paraId="13F6B49E">
      <w:pPr>
        <w:pStyle w:val="9"/>
        <w:spacing w:after="0" w:line="249" w:lineRule="auto"/>
        <w:rPr>
          <w:rFonts w:hint="eastAsia"/>
        </w:rPr>
      </w:pPr>
    </w:p>
    <w:p w14:paraId="64814270">
      <w:pPr>
        <w:pStyle w:val="9"/>
        <w:spacing w:after="0" w:line="249" w:lineRule="auto"/>
        <w:rPr>
          <w:rFonts w:hint="eastAsia"/>
        </w:rPr>
      </w:pPr>
      <w:r>
        <w:rPr>
          <w:rFonts w:hint="eastAsia"/>
        </w:rPr>
        <w:t>虽然隐藏在神里面，却再没有比这更危险的了。</w:t>
      </w:r>
    </w:p>
    <w:p w14:paraId="558EE5ED">
      <w:pPr>
        <w:pStyle w:val="9"/>
        <w:spacing w:after="0" w:line="249" w:lineRule="auto"/>
        <w:rPr>
          <w:rFonts w:hint="eastAsia"/>
        </w:rPr>
      </w:pPr>
    </w:p>
    <w:p w14:paraId="166B3C2B">
      <w:pPr>
        <w:pStyle w:val="9"/>
        <w:spacing w:after="0" w:line="249" w:lineRule="auto"/>
        <w:rPr>
          <w:rFonts w:hint="eastAsia"/>
        </w:rPr>
      </w:pPr>
      <w:r>
        <w:rPr>
          <w:rFonts w:hint="eastAsia"/>
        </w:rPr>
        <w:t>Because Adam represented all, his sin condemned all.</w:t>
      </w:r>
    </w:p>
    <w:p w14:paraId="5FC326AB">
      <w:pPr>
        <w:pStyle w:val="9"/>
        <w:spacing w:after="0" w:line="249" w:lineRule="auto"/>
        <w:rPr>
          <w:rFonts w:hint="eastAsia"/>
        </w:rPr>
      </w:pPr>
    </w:p>
    <w:p w14:paraId="65335179">
      <w:pPr>
        <w:pStyle w:val="9"/>
        <w:spacing w:after="0" w:line="249" w:lineRule="auto"/>
        <w:rPr>
          <w:rFonts w:hint="eastAsia"/>
        </w:rPr>
      </w:pPr>
      <w:r>
        <w:rPr>
          <w:rFonts w:hint="eastAsia"/>
        </w:rPr>
        <w:t>因为亚当代表了所有的人，他的罪就定了所有人的罪。</w:t>
      </w:r>
    </w:p>
    <w:p w14:paraId="65C61547">
      <w:pPr>
        <w:pStyle w:val="9"/>
        <w:spacing w:after="0" w:line="249" w:lineRule="auto"/>
        <w:rPr>
          <w:rFonts w:hint="eastAsia"/>
        </w:rPr>
      </w:pPr>
    </w:p>
    <w:p w14:paraId="7BFE2F04">
      <w:pPr>
        <w:pStyle w:val="9"/>
        <w:spacing w:after="0" w:line="249" w:lineRule="auto"/>
        <w:rPr>
          <w:rFonts w:hint="eastAsia"/>
        </w:rPr>
      </w:pPr>
      <w:r>
        <w:rPr>
          <w:rFonts w:hint="eastAsia"/>
        </w:rPr>
        <w:t>All are reckoned transgressors of God’s law, worthy of death in every form: spiritual, physical, and eternal (Rom. 5:12, 16, 18).</w:t>
      </w:r>
    </w:p>
    <w:p w14:paraId="4701CF31">
      <w:pPr>
        <w:pStyle w:val="9"/>
        <w:spacing w:after="0" w:line="249" w:lineRule="auto"/>
        <w:rPr>
          <w:rFonts w:hint="eastAsia"/>
        </w:rPr>
      </w:pPr>
    </w:p>
    <w:p w14:paraId="55FAC091">
      <w:pPr>
        <w:pStyle w:val="9"/>
        <w:spacing w:after="0" w:line="249" w:lineRule="auto"/>
        <w:rPr>
          <w:rFonts w:hint="eastAsia"/>
        </w:rPr>
      </w:pPr>
      <w:r>
        <w:rPr>
          <w:rFonts w:hint="eastAsia"/>
        </w:rPr>
        <w:t>所有人都被算为违背神律法的人，配得各种形式的死：属灵的、属肉体的和永远的（罗 5:12, 16, 18）。</w:t>
      </w:r>
    </w:p>
    <w:p w14:paraId="50D7FB30">
      <w:pPr>
        <w:pStyle w:val="9"/>
        <w:spacing w:after="0" w:line="249" w:lineRule="auto"/>
        <w:rPr>
          <w:rFonts w:hint="eastAsia"/>
        </w:rPr>
      </w:pPr>
    </w:p>
    <w:p w14:paraId="11516542">
      <w:pPr>
        <w:pStyle w:val="9"/>
        <w:spacing w:after="0" w:line="249" w:lineRule="auto"/>
        <w:rPr>
          <w:rFonts w:hint="eastAsia"/>
        </w:rPr>
      </w:pPr>
      <w:r>
        <w:rPr>
          <w:rFonts w:hint="eastAsia"/>
        </w:rPr>
        <w:t>Similarly, Adam’s disobedience exposed his sinful children to God’s wrath.</w:t>
      </w:r>
    </w:p>
    <w:p w14:paraId="028597BD">
      <w:pPr>
        <w:pStyle w:val="9"/>
        <w:spacing w:after="0" w:line="249" w:lineRule="auto"/>
        <w:rPr>
          <w:rFonts w:hint="eastAsia"/>
        </w:rPr>
      </w:pPr>
    </w:p>
    <w:p w14:paraId="52409B45">
      <w:pPr>
        <w:pStyle w:val="9"/>
        <w:spacing w:after="0" w:line="249" w:lineRule="auto"/>
        <w:rPr>
          <w:rFonts w:hint="eastAsia"/>
        </w:rPr>
      </w:pPr>
      <w:r>
        <w:rPr>
          <w:rFonts w:hint="eastAsia"/>
        </w:rPr>
        <w:t>同样，亚当的悖逆使他有罪的儿女暴露在神的忿怒之下。</w:t>
      </w:r>
    </w:p>
    <w:p w14:paraId="4D92CBC0">
      <w:pPr>
        <w:pStyle w:val="9"/>
        <w:spacing w:after="0" w:line="249" w:lineRule="auto"/>
        <w:rPr>
          <w:rFonts w:hint="eastAsia"/>
        </w:rPr>
      </w:pPr>
    </w:p>
    <w:p w14:paraId="72B98A5C">
      <w:pPr>
        <w:pStyle w:val="9"/>
        <w:spacing w:after="0" w:line="249" w:lineRule="auto"/>
        <w:rPr>
          <w:rFonts w:hint="eastAsia"/>
        </w:rPr>
      </w:pPr>
      <w:r>
        <w:rPr>
          <w:rFonts w:hint="eastAsia"/>
        </w:rPr>
        <w:t>This is not to be understood as an impersonal spiritual principle, like the karma of the Hindus and Buddhists.</w:t>
      </w:r>
    </w:p>
    <w:p w14:paraId="4C774291">
      <w:pPr>
        <w:pStyle w:val="9"/>
        <w:spacing w:after="0" w:line="249" w:lineRule="auto"/>
        <w:rPr>
          <w:rFonts w:hint="eastAsia"/>
        </w:rPr>
      </w:pPr>
    </w:p>
    <w:p w14:paraId="6C33D538">
      <w:pPr>
        <w:pStyle w:val="9"/>
        <w:spacing w:after="0" w:line="249" w:lineRule="auto"/>
        <w:rPr>
          <w:rFonts w:hint="eastAsia"/>
        </w:rPr>
      </w:pPr>
      <w:r>
        <w:rPr>
          <w:rFonts w:hint="eastAsia"/>
        </w:rPr>
        <w:t>这不应被理解为一个非人格的属灵原则，就像印度教徒和佛教徒的业力。</w:t>
      </w:r>
    </w:p>
    <w:p w14:paraId="6E11C445">
      <w:pPr>
        <w:pStyle w:val="9"/>
        <w:spacing w:after="0" w:line="249" w:lineRule="auto"/>
        <w:rPr>
          <w:rFonts w:hint="eastAsia"/>
        </w:rPr>
      </w:pPr>
    </w:p>
    <w:p w14:paraId="1759CDC6">
      <w:pPr>
        <w:pStyle w:val="9"/>
        <w:spacing w:after="0" w:line="249" w:lineRule="auto"/>
        <w:rPr>
          <w:rFonts w:hint="eastAsia"/>
        </w:rPr>
      </w:pPr>
      <w:r>
        <w:rPr>
          <w:rFonts w:hint="eastAsia"/>
        </w:rPr>
        <w:t>Rather, it is a true passion in a true Person.</w:t>
      </w:r>
    </w:p>
    <w:p w14:paraId="3E1A02B9">
      <w:pPr>
        <w:pStyle w:val="9"/>
        <w:spacing w:after="0" w:line="249" w:lineRule="auto"/>
        <w:rPr>
          <w:rFonts w:hint="eastAsia"/>
        </w:rPr>
      </w:pPr>
    </w:p>
    <w:p w14:paraId="0BEE644F">
      <w:pPr>
        <w:pStyle w:val="9"/>
        <w:spacing w:after="0" w:line="249" w:lineRule="auto"/>
        <w:rPr>
          <w:rFonts w:hint="eastAsia"/>
        </w:rPr>
      </w:pPr>
      <w:r>
        <w:rPr>
          <w:rFonts w:hint="eastAsia"/>
        </w:rPr>
        <w:t>相反，它是一位真实位格中真实的激情。</w:t>
      </w:r>
    </w:p>
    <w:p w14:paraId="266AC7CC">
      <w:pPr>
        <w:pStyle w:val="9"/>
        <w:spacing w:after="0" w:line="249" w:lineRule="auto"/>
        <w:rPr>
          <w:rFonts w:hint="eastAsia"/>
        </w:rPr>
      </w:pPr>
    </w:p>
    <w:p w14:paraId="3D341C22">
      <w:pPr>
        <w:pStyle w:val="9"/>
        <w:spacing w:after="0" w:line="249" w:lineRule="auto"/>
        <w:rPr>
          <w:rFonts w:hint="eastAsia"/>
        </w:rPr>
      </w:pPr>
      <w:r>
        <w:rPr>
          <w:rFonts w:hint="eastAsia"/>
        </w:rPr>
        <w:t>Sinners awaken God’s wrath each and every time they “suppress the truth in unrighteousness” (Ex. 32:11, Deut. 29:28, 31:17, Psalm 5:5-6, 7:11-13, Romans 1:18f).</w:t>
      </w:r>
    </w:p>
    <w:p w14:paraId="3E2A5BA7">
      <w:pPr>
        <w:pStyle w:val="9"/>
        <w:spacing w:after="0" w:line="249" w:lineRule="auto"/>
        <w:rPr>
          <w:rFonts w:hint="eastAsia"/>
        </w:rPr>
      </w:pPr>
    </w:p>
    <w:p w14:paraId="32864D65">
      <w:pPr>
        <w:pStyle w:val="9"/>
        <w:spacing w:after="0" w:line="249" w:lineRule="auto"/>
        <w:rPr>
          <w:rFonts w:hint="eastAsia"/>
        </w:rPr>
      </w:pPr>
      <w:r>
        <w:rPr>
          <w:rFonts w:hint="eastAsia"/>
        </w:rPr>
        <w:t>罪人每一次“在不义中压制真理”时，都会激起神的忿怒（出 32:11, 申 29:28, 31:17, 诗 5:5-6, 7:11-13, 罗 1:18及以下）。</w:t>
      </w:r>
    </w:p>
    <w:p w14:paraId="1EA988FF">
      <w:pPr>
        <w:pStyle w:val="9"/>
        <w:spacing w:after="0" w:line="249" w:lineRule="auto"/>
        <w:rPr>
          <w:rFonts w:hint="eastAsia"/>
        </w:rPr>
      </w:pPr>
    </w:p>
    <w:p w14:paraId="0E10B953">
      <w:pPr>
        <w:pStyle w:val="9"/>
        <w:spacing w:after="0" w:line="249" w:lineRule="auto"/>
        <w:rPr>
          <w:rFonts w:hint="eastAsia"/>
        </w:rPr>
      </w:pPr>
      <w:r>
        <w:rPr>
          <w:rFonts w:hint="eastAsia"/>
        </w:rPr>
        <w:t>This brings us to the most fearsome enemy of all: the peril of eternal punishment.</w:t>
      </w:r>
    </w:p>
    <w:p w14:paraId="2723367F">
      <w:pPr>
        <w:pStyle w:val="9"/>
        <w:spacing w:after="0" w:line="249" w:lineRule="auto"/>
        <w:rPr>
          <w:rFonts w:hint="eastAsia"/>
        </w:rPr>
      </w:pPr>
    </w:p>
    <w:p w14:paraId="5A0D3A6C">
      <w:pPr>
        <w:pStyle w:val="9"/>
        <w:spacing w:after="0" w:line="249" w:lineRule="auto"/>
        <w:rPr>
          <w:rFonts w:hint="eastAsia"/>
        </w:rPr>
      </w:pPr>
      <w:r>
        <w:rPr>
          <w:rFonts w:hint="eastAsia"/>
        </w:rPr>
        <w:t>这就把我们带到了最可怕的仇敌面前：永远刑罚的危险。</w:t>
      </w:r>
    </w:p>
    <w:p w14:paraId="083FD919">
      <w:pPr>
        <w:pStyle w:val="9"/>
        <w:spacing w:after="0" w:line="249" w:lineRule="auto"/>
        <w:rPr>
          <w:rFonts w:hint="eastAsia"/>
        </w:rPr>
      </w:pPr>
    </w:p>
    <w:p w14:paraId="15388B49">
      <w:pPr>
        <w:pStyle w:val="9"/>
        <w:spacing w:after="0" w:line="249" w:lineRule="auto"/>
        <w:rPr>
          <w:rFonts w:hint="eastAsia"/>
        </w:rPr>
      </w:pPr>
      <w:r>
        <w:rPr>
          <w:rFonts w:hint="eastAsia"/>
        </w:rPr>
        <w:t>It is twofold , involving eternal separation from every life- giving blessing of God, and with that eternal subjection to his wrath under painful retributions throughout the Age to Come (Mt. 25:46, 2 Thess. 1:9, Rev. 14:11).</w:t>
      </w:r>
    </w:p>
    <w:p w14:paraId="0C1EAD91">
      <w:pPr>
        <w:pStyle w:val="9"/>
        <w:spacing w:after="0" w:line="249" w:lineRule="auto"/>
        <w:rPr>
          <w:rFonts w:hint="eastAsia"/>
        </w:rPr>
      </w:pPr>
    </w:p>
    <w:p w14:paraId="5A761EBF">
      <w:pPr>
        <w:pStyle w:val="9"/>
        <w:spacing w:after="0" w:line="249" w:lineRule="auto"/>
        <w:rPr>
          <w:rFonts w:hint="eastAsia"/>
        </w:rPr>
      </w:pPr>
      <w:r>
        <w:rPr>
          <w:rFonts w:hint="eastAsia"/>
        </w:rPr>
        <w:t>它是双重的，包含了永远与神一切赐生命的祝福隔绝，以及在那将要来的世代中，永远服于祂忿怒之下，受痛苦的报应（太 25:46, 帖后 1:9, 启 14:11）。</w:t>
      </w:r>
    </w:p>
    <w:p w14:paraId="5D9812BF">
      <w:pPr>
        <w:pStyle w:val="9"/>
        <w:spacing w:after="0" w:line="249" w:lineRule="auto"/>
        <w:rPr>
          <w:rFonts w:hint="eastAsia"/>
        </w:rPr>
      </w:pPr>
    </w:p>
    <w:p w14:paraId="76740624">
      <w:pPr>
        <w:pStyle w:val="9"/>
        <w:spacing w:after="0" w:line="249" w:lineRule="auto"/>
        <w:rPr>
          <w:rFonts w:hint="eastAsia"/>
        </w:rPr>
      </w:pPr>
      <w:r>
        <w:rPr>
          <w:rFonts w:hint="eastAsia"/>
        </w:rPr>
        <w:t>No biblical figure speaks of this enemy more often or more forcefully than Jesus of Nazareth: “Do not fear those who kill the body but cannot kill the soul.</w:t>
      </w:r>
    </w:p>
    <w:p w14:paraId="3A3AE880">
      <w:pPr>
        <w:pStyle w:val="9"/>
        <w:spacing w:after="0" w:line="249" w:lineRule="auto"/>
        <w:rPr>
          <w:rFonts w:hint="eastAsia"/>
        </w:rPr>
      </w:pPr>
    </w:p>
    <w:p w14:paraId="08CE4298">
      <w:pPr>
        <w:pStyle w:val="9"/>
        <w:spacing w:after="0" w:line="249" w:lineRule="auto"/>
        <w:rPr>
          <w:rFonts w:hint="eastAsia"/>
        </w:rPr>
      </w:pPr>
      <w:r>
        <w:rPr>
          <w:rFonts w:hint="eastAsia"/>
        </w:rPr>
        <w:t>没有哪位圣经人物比拿撒勒的耶稣更频繁或更有力地谈论这个仇敌了：“不要怕那杀身体，不能杀魂的。</w:t>
      </w:r>
    </w:p>
    <w:p w14:paraId="1AA288B3">
      <w:pPr>
        <w:pStyle w:val="9"/>
        <w:spacing w:after="0" w:line="249" w:lineRule="auto"/>
        <w:rPr>
          <w:rFonts w:hint="eastAsia"/>
        </w:rPr>
      </w:pPr>
    </w:p>
    <w:p w14:paraId="211E65CC">
      <w:pPr>
        <w:pStyle w:val="9"/>
        <w:spacing w:after="0" w:line="249" w:lineRule="auto"/>
        <w:rPr>
          <w:rFonts w:hint="eastAsia"/>
        </w:rPr>
      </w:pPr>
      <w:r>
        <w:rPr>
          <w:rFonts w:hint="eastAsia"/>
        </w:rPr>
        <w:t>But rather fear Him who is able to destroy both soul and body in hell” (Mt. 10:28).</w:t>
      </w:r>
    </w:p>
    <w:p w14:paraId="1D657049">
      <w:pPr>
        <w:pStyle w:val="9"/>
        <w:spacing w:after="0" w:line="249" w:lineRule="auto"/>
        <w:rPr>
          <w:rFonts w:hint="eastAsia"/>
        </w:rPr>
      </w:pPr>
    </w:p>
    <w:p w14:paraId="1620BE55">
      <w:pPr>
        <w:pStyle w:val="9"/>
        <w:spacing w:after="0" w:line="249" w:lineRule="auto"/>
        <w:rPr>
          <w:rFonts w:hint="eastAsia"/>
        </w:rPr>
      </w:pPr>
      <w:r>
        <w:rPr>
          <w:rFonts w:hint="eastAsia"/>
        </w:rPr>
        <w:t>惟要怕那能把魂和身体都灭在地狱里的”（太 10:28）。</w:t>
      </w:r>
    </w:p>
    <w:p w14:paraId="7FC3C597">
      <w:pPr>
        <w:pStyle w:val="9"/>
        <w:spacing w:after="0" w:line="249" w:lineRule="auto"/>
        <w:rPr>
          <w:rFonts w:hint="eastAsia"/>
        </w:rPr>
      </w:pPr>
    </w:p>
    <w:p w14:paraId="41B388C1">
      <w:pPr>
        <w:pStyle w:val="9"/>
        <w:spacing w:after="0" w:line="249" w:lineRule="auto"/>
        <w:rPr>
          <w:rFonts w:hint="eastAsia"/>
        </w:rPr>
      </w:pPr>
      <w:r>
        <w:rPr>
          <w:rFonts w:hint="eastAsia"/>
        </w:rPr>
        <w:t>Just as condemnation and wrath loom from above, so too the peril of hell lurks beneath.</w:t>
      </w:r>
    </w:p>
    <w:p w14:paraId="386C8D5D">
      <w:pPr>
        <w:pStyle w:val="9"/>
        <w:spacing w:after="0" w:line="249" w:lineRule="auto"/>
        <w:rPr>
          <w:rFonts w:hint="eastAsia"/>
        </w:rPr>
      </w:pPr>
    </w:p>
    <w:p w14:paraId="5BE350AA">
      <w:pPr>
        <w:pStyle w:val="9"/>
        <w:spacing w:after="0" w:line="249" w:lineRule="auto"/>
        <w:rPr>
          <w:rFonts w:hint="eastAsia"/>
        </w:rPr>
      </w:pPr>
      <w:r>
        <w:rPr>
          <w:rFonts w:hint="eastAsia"/>
        </w:rPr>
        <w:t>正如定罪和忿怒从上临近，地狱的危险也潜伏在下。</w:t>
      </w:r>
    </w:p>
    <w:p w14:paraId="3B8A0EE2">
      <w:pPr>
        <w:pStyle w:val="9"/>
        <w:spacing w:after="0" w:line="249" w:lineRule="auto"/>
        <w:rPr>
          <w:rFonts w:hint="eastAsia"/>
        </w:rPr>
      </w:pPr>
    </w:p>
    <w:p w14:paraId="4454728A">
      <w:pPr>
        <w:pStyle w:val="9"/>
        <w:spacing w:after="0" w:line="249" w:lineRule="auto"/>
        <w:rPr>
          <w:rFonts w:hint="eastAsia"/>
        </w:rPr>
      </w:pPr>
      <w:r>
        <w:rPr>
          <w:rFonts w:hint="eastAsia"/>
        </w:rPr>
        <w:t>For the moment—amongst the living, at least—these enemies stand strangely at bay.</w:t>
      </w:r>
    </w:p>
    <w:p w14:paraId="2E327889">
      <w:pPr>
        <w:pStyle w:val="9"/>
        <w:spacing w:after="0" w:line="249" w:lineRule="auto"/>
        <w:rPr>
          <w:rFonts w:hint="eastAsia"/>
        </w:rPr>
      </w:pPr>
    </w:p>
    <w:p w14:paraId="348CB0F1">
      <w:pPr>
        <w:pStyle w:val="9"/>
        <w:spacing w:after="0" w:line="249" w:lineRule="auto"/>
        <w:rPr>
          <w:rFonts w:hint="eastAsia"/>
        </w:rPr>
      </w:pPr>
      <w:r>
        <w:rPr>
          <w:rFonts w:hint="eastAsia"/>
        </w:rPr>
        <w:t>暂时地——至少在活着的人中间——这些仇敌奇怪地处于被遏制的状态。</w:t>
      </w:r>
    </w:p>
    <w:p w14:paraId="6DE8607D">
      <w:pPr>
        <w:pStyle w:val="9"/>
        <w:spacing w:after="0" w:line="249" w:lineRule="auto"/>
        <w:rPr>
          <w:rFonts w:hint="eastAsia"/>
        </w:rPr>
      </w:pPr>
    </w:p>
    <w:p w14:paraId="219CCFDE">
      <w:pPr>
        <w:pStyle w:val="9"/>
        <w:spacing w:after="0" w:line="249" w:lineRule="auto"/>
        <w:rPr>
          <w:rFonts w:hint="eastAsia"/>
        </w:rPr>
      </w:pPr>
      <w:r>
        <w:rPr>
          <w:rFonts w:hint="eastAsia"/>
        </w:rPr>
        <w:t>Yet they will not do so forever.</w:t>
      </w:r>
    </w:p>
    <w:p w14:paraId="41E05667">
      <w:pPr>
        <w:pStyle w:val="9"/>
        <w:spacing w:after="0" w:line="249" w:lineRule="auto"/>
        <w:rPr>
          <w:rFonts w:hint="eastAsia"/>
        </w:rPr>
      </w:pPr>
    </w:p>
    <w:p w14:paraId="4024D40E">
      <w:pPr>
        <w:pStyle w:val="9"/>
        <w:spacing w:after="0" w:line="249" w:lineRule="auto"/>
        <w:rPr>
          <w:rFonts w:hint="eastAsia"/>
        </w:rPr>
      </w:pPr>
      <w:r>
        <w:rPr>
          <w:rFonts w:hint="eastAsia"/>
        </w:rPr>
        <w:t>然而他们不会永远如此。</w:t>
      </w:r>
    </w:p>
    <w:p w14:paraId="7AC2D71F">
      <w:pPr>
        <w:pStyle w:val="9"/>
        <w:spacing w:after="0" w:line="249" w:lineRule="auto"/>
        <w:rPr>
          <w:rFonts w:hint="eastAsia"/>
        </w:rPr>
      </w:pPr>
    </w:p>
    <w:p w14:paraId="628860D2">
      <w:pPr>
        <w:pStyle w:val="9"/>
        <w:spacing w:after="0" w:line="249" w:lineRule="auto"/>
        <w:rPr>
          <w:rFonts w:hint="eastAsia"/>
        </w:rPr>
      </w:pPr>
      <w:r>
        <w:rPr>
          <w:rFonts w:hint="eastAsia"/>
        </w:rPr>
        <w:t>If, then, God has made a way of escape, men must do all they can to find it, now.</w:t>
      </w:r>
    </w:p>
    <w:p w14:paraId="0E0A16A5">
      <w:pPr>
        <w:pStyle w:val="9"/>
        <w:spacing w:after="0" w:line="249" w:lineRule="auto"/>
        <w:rPr>
          <w:rFonts w:hint="eastAsia"/>
        </w:rPr>
      </w:pPr>
    </w:p>
    <w:p w14:paraId="539F1472">
      <w:pPr>
        <w:pStyle w:val="9"/>
        <w:spacing w:after="0" w:line="249" w:lineRule="auto"/>
        <w:rPr>
          <w:rFonts w:hint="eastAsia"/>
        </w:rPr>
      </w:pPr>
      <w:r>
        <w:rPr>
          <w:rFonts w:hint="eastAsia"/>
        </w:rPr>
        <w:t>那么，如果神已预备了一条出路，人就必须尽其所能，现在就去寻找它。</w:t>
      </w:r>
    </w:p>
    <w:p w14:paraId="009A35FC">
      <w:pPr>
        <w:pStyle w:val="9"/>
        <w:spacing w:after="0" w:line="249" w:lineRule="auto"/>
        <w:rPr>
          <w:rFonts w:hint="eastAsia"/>
        </w:rPr>
      </w:pPr>
    </w:p>
    <w:p w14:paraId="5C4A4593">
      <w:pPr>
        <w:pStyle w:val="9"/>
        <w:spacing w:after="0" w:line="249" w:lineRule="auto"/>
        <w:rPr>
          <w:rFonts w:hint="eastAsia"/>
        </w:rPr>
      </w:pPr>
      <w:r>
        <w:rPr>
          <w:rFonts w:hint="eastAsia"/>
        </w:rPr>
        <w:t>They must seek the God-appointed door through which they may safely “flee the wrath to come” (Mt. 3:7, 7:13, 1 Thess. 1:10).</w:t>
      </w:r>
    </w:p>
    <w:p w14:paraId="524D2133">
      <w:pPr>
        <w:pStyle w:val="9"/>
        <w:spacing w:after="0" w:line="249" w:lineRule="auto"/>
        <w:rPr>
          <w:rFonts w:hint="eastAsia"/>
        </w:rPr>
      </w:pPr>
    </w:p>
    <w:p w14:paraId="04BF8BE6">
      <w:pPr>
        <w:pStyle w:val="9"/>
        <w:spacing w:after="0" w:line="249" w:lineRule="auto"/>
        <w:rPr>
          <w:rFonts w:hint="eastAsia"/>
        </w:rPr>
      </w:pPr>
      <w:r>
        <w:rPr>
          <w:rFonts w:hint="eastAsia"/>
        </w:rPr>
        <w:t>他们必须寻求神所指定的门，借此他们可以安全地“逃避那要来的忿怒”（太 3:7, 7:13, 帖前 1:10）。</w:t>
      </w:r>
    </w:p>
    <w:p w14:paraId="0EE8F475">
      <w:pPr>
        <w:pStyle w:val="9"/>
        <w:spacing w:after="0" w:line="249" w:lineRule="auto"/>
        <w:rPr>
          <w:rFonts w:hint="eastAsia"/>
        </w:rPr>
      </w:pPr>
    </w:p>
    <w:p w14:paraId="33039F95">
      <w:pPr>
        <w:pStyle w:val="9"/>
        <w:spacing w:after="0" w:line="249" w:lineRule="auto"/>
        <w:rPr>
          <w:rFonts w:hint="eastAsia"/>
        </w:rPr>
      </w:pPr>
      <w:r>
        <w:rPr>
          <w:rFonts w:hint="eastAsia"/>
        </w:rPr>
        <w:t>The Domain of Darkness</w:t>
      </w:r>
    </w:p>
    <w:p w14:paraId="68F1FEBB">
      <w:pPr>
        <w:pStyle w:val="9"/>
        <w:spacing w:after="0" w:line="249" w:lineRule="auto"/>
        <w:rPr>
          <w:rFonts w:hint="eastAsia"/>
        </w:rPr>
      </w:pPr>
    </w:p>
    <w:p w14:paraId="55C5BD5F">
      <w:pPr>
        <w:pStyle w:val="9"/>
        <w:spacing w:after="0" w:line="249" w:lineRule="auto"/>
        <w:rPr>
          <w:rFonts w:hint="eastAsia"/>
        </w:rPr>
      </w:pPr>
      <w:r>
        <w:rPr>
          <w:rFonts w:hint="eastAsia"/>
        </w:rPr>
        <w:t>黑暗的权势</w:t>
      </w:r>
    </w:p>
    <w:p w14:paraId="2EA97086">
      <w:pPr>
        <w:pStyle w:val="9"/>
        <w:spacing w:after="0" w:line="249" w:lineRule="auto"/>
        <w:rPr>
          <w:rFonts w:hint="eastAsia"/>
        </w:rPr>
      </w:pPr>
    </w:p>
    <w:p w14:paraId="4C2C30D5">
      <w:pPr>
        <w:pStyle w:val="9"/>
        <w:spacing w:after="0" w:line="249" w:lineRule="auto"/>
        <w:rPr>
          <w:rFonts w:hint="eastAsia"/>
        </w:rPr>
      </w:pPr>
      <w:r>
        <w:rPr>
          <w:rFonts w:hint="eastAsia"/>
        </w:rPr>
        <w:t>Clearly, the cosmological effects of the Fall were stupendous.</w:t>
      </w:r>
    </w:p>
    <w:p w14:paraId="403D5E29">
      <w:pPr>
        <w:pStyle w:val="9"/>
        <w:spacing w:after="0" w:line="249" w:lineRule="auto"/>
        <w:rPr>
          <w:rFonts w:hint="eastAsia"/>
        </w:rPr>
      </w:pPr>
    </w:p>
    <w:p w14:paraId="5DF858E2">
      <w:pPr>
        <w:pStyle w:val="9"/>
        <w:spacing w:after="0" w:line="249" w:lineRule="auto"/>
        <w:rPr>
          <w:rFonts w:hint="eastAsia"/>
        </w:rPr>
      </w:pPr>
      <w:r>
        <w:rPr>
          <w:rFonts w:hint="eastAsia"/>
        </w:rPr>
        <w:t>显然，堕落的宇宙论影响是巨大的。</w:t>
      </w:r>
    </w:p>
    <w:p w14:paraId="6983AB87">
      <w:pPr>
        <w:pStyle w:val="9"/>
        <w:spacing w:after="0" w:line="249" w:lineRule="auto"/>
        <w:rPr>
          <w:rFonts w:hint="eastAsia"/>
        </w:rPr>
      </w:pPr>
    </w:p>
    <w:p w14:paraId="42131AC4">
      <w:pPr>
        <w:pStyle w:val="9"/>
        <w:spacing w:after="0" w:line="249" w:lineRule="auto"/>
        <w:rPr>
          <w:rFonts w:hint="eastAsia"/>
        </w:rPr>
      </w:pPr>
      <w:r>
        <w:rPr>
          <w:rFonts w:hint="eastAsia"/>
        </w:rPr>
        <w:t>Summing them up, we may say that Adam’s sin gave us Adam’s World or the Domain of Darkness.</w:t>
      </w:r>
    </w:p>
    <w:p w14:paraId="5C2B6647">
      <w:pPr>
        <w:pStyle w:val="9"/>
        <w:spacing w:after="0" w:line="249" w:lineRule="auto"/>
        <w:rPr>
          <w:rFonts w:hint="eastAsia"/>
        </w:rPr>
      </w:pPr>
    </w:p>
    <w:p w14:paraId="71259FA4">
      <w:pPr>
        <w:pStyle w:val="9"/>
        <w:spacing w:after="0" w:line="249" w:lineRule="auto"/>
        <w:rPr>
          <w:rFonts w:hint="eastAsia"/>
        </w:rPr>
      </w:pPr>
      <w:r>
        <w:rPr>
          <w:rFonts w:hint="eastAsia"/>
        </w:rPr>
        <w:t>总结起来，我们可以说亚当的罪给了我们亚当的世界或黑暗的权势。</w:t>
      </w:r>
    </w:p>
    <w:p w14:paraId="1D137077">
      <w:pPr>
        <w:pStyle w:val="9"/>
        <w:spacing w:after="0" w:line="249" w:lineRule="auto"/>
        <w:rPr>
          <w:rFonts w:hint="eastAsia"/>
        </w:rPr>
      </w:pPr>
    </w:p>
    <w:p w14:paraId="2D06513F">
      <w:pPr>
        <w:pStyle w:val="9"/>
        <w:spacing w:after="0" w:line="249" w:lineRule="auto"/>
        <w:rPr>
          <w:rFonts w:hint="eastAsia"/>
        </w:rPr>
      </w:pPr>
      <w:r>
        <w:rPr>
          <w:rFonts w:hint="eastAsia"/>
        </w:rPr>
        <w:t>It is all-inclusive, taking in “the heavens and the earth”—the universe, life, and man.</w:t>
      </w:r>
    </w:p>
    <w:p w14:paraId="5BF21A7B">
      <w:pPr>
        <w:pStyle w:val="9"/>
        <w:spacing w:after="0" w:line="249" w:lineRule="auto"/>
        <w:rPr>
          <w:rFonts w:hint="eastAsia"/>
        </w:rPr>
      </w:pPr>
    </w:p>
    <w:p w14:paraId="7CA5F0BA">
      <w:pPr>
        <w:pStyle w:val="9"/>
        <w:spacing w:after="0" w:line="249" w:lineRule="auto"/>
        <w:rPr>
          <w:rFonts w:hint="eastAsia"/>
        </w:rPr>
      </w:pPr>
      <w:r>
        <w:rPr>
          <w:rFonts w:hint="eastAsia"/>
        </w:rPr>
        <w:t>它是包罗万象的，包含了“天和地”——宇宙、生命和人。</w:t>
      </w:r>
    </w:p>
    <w:p w14:paraId="3CA9EFA3">
      <w:pPr>
        <w:pStyle w:val="9"/>
        <w:spacing w:after="0" w:line="249" w:lineRule="auto"/>
        <w:rPr>
          <w:rFonts w:hint="eastAsia"/>
        </w:rPr>
      </w:pPr>
    </w:p>
    <w:p w14:paraId="7F847F50">
      <w:pPr>
        <w:pStyle w:val="9"/>
        <w:spacing w:after="0" w:line="249" w:lineRule="auto"/>
        <w:rPr>
          <w:rFonts w:hint="eastAsia"/>
        </w:rPr>
      </w:pPr>
      <w:r>
        <w:rPr>
          <w:rFonts w:hint="eastAsia"/>
        </w:rPr>
        <w:t>Though the world God created in the beginning was very good, the transgression of its human head and representative profoundly marred it.</w:t>
      </w:r>
    </w:p>
    <w:p w14:paraId="24A7CABD">
      <w:pPr>
        <w:pStyle w:val="9"/>
        <w:spacing w:after="0" w:line="249" w:lineRule="auto"/>
        <w:rPr>
          <w:rFonts w:hint="eastAsia"/>
        </w:rPr>
      </w:pPr>
    </w:p>
    <w:p w14:paraId="371CCB3C">
      <w:pPr>
        <w:pStyle w:val="9"/>
        <w:spacing w:after="0" w:line="249" w:lineRule="auto"/>
        <w:rPr>
          <w:rFonts w:hint="eastAsia"/>
        </w:rPr>
      </w:pPr>
      <w:r>
        <w:rPr>
          <w:rFonts w:hint="eastAsia"/>
        </w:rPr>
        <w:t>虽然神起初创造的世界甚好，但其人类元首和代表的过犯却深刻地损害了它。</w:t>
      </w:r>
    </w:p>
    <w:p w14:paraId="611C2A8A">
      <w:pPr>
        <w:pStyle w:val="9"/>
        <w:spacing w:after="0" w:line="249" w:lineRule="auto"/>
        <w:rPr>
          <w:rFonts w:hint="eastAsia"/>
        </w:rPr>
      </w:pPr>
    </w:p>
    <w:p w14:paraId="3714DBBB">
      <w:pPr>
        <w:pStyle w:val="9"/>
        <w:spacing w:after="0" w:line="249" w:lineRule="auto"/>
        <w:rPr>
          <w:rFonts w:hint="eastAsia"/>
        </w:rPr>
      </w:pPr>
      <w:r>
        <w:rPr>
          <w:rFonts w:hint="eastAsia"/>
        </w:rPr>
        <w:t>On the one hand, Adam alienated the world from its original innocence, and also from God’s benevolent purpose for it, which was that it should become the Kingdom of his beloved Son.</w:t>
      </w:r>
    </w:p>
    <w:p w14:paraId="04DB8FE6">
      <w:pPr>
        <w:pStyle w:val="9"/>
        <w:spacing w:after="0" w:line="249" w:lineRule="auto"/>
        <w:rPr>
          <w:rFonts w:hint="eastAsia"/>
        </w:rPr>
      </w:pPr>
    </w:p>
    <w:p w14:paraId="458AFE0F">
      <w:pPr>
        <w:pStyle w:val="9"/>
        <w:spacing w:after="0" w:line="249" w:lineRule="auto"/>
        <w:rPr>
          <w:rFonts w:hint="eastAsia"/>
        </w:rPr>
      </w:pPr>
      <w:r>
        <w:rPr>
          <w:rFonts w:hint="eastAsia"/>
        </w:rPr>
        <w:t>一方面，亚当使世界疏远了其原初的无罪，也疏远了神对它仁慈的旨意，即它应当成为祂爱子的国度。</w:t>
      </w:r>
    </w:p>
    <w:p w14:paraId="00C20B4F">
      <w:pPr>
        <w:pStyle w:val="9"/>
        <w:spacing w:after="0" w:line="249" w:lineRule="auto"/>
        <w:rPr>
          <w:rFonts w:hint="eastAsia"/>
        </w:rPr>
      </w:pPr>
    </w:p>
    <w:p w14:paraId="0ECA494F">
      <w:pPr>
        <w:pStyle w:val="9"/>
        <w:spacing w:after="0" w:line="249" w:lineRule="auto"/>
        <w:rPr>
          <w:rFonts w:hint="eastAsia"/>
        </w:rPr>
      </w:pPr>
      <w:r>
        <w:rPr>
          <w:rFonts w:hint="eastAsia"/>
        </w:rPr>
        <w:t>On the other hand, he subjected it to the tyranny of a deadly host of dark enemies: interior spiritual enemies, physical enemies, Satanic enemies, and divine enemies.</w:t>
      </w:r>
    </w:p>
    <w:p w14:paraId="07F361FB">
      <w:pPr>
        <w:pStyle w:val="9"/>
        <w:spacing w:after="0" w:line="249" w:lineRule="auto"/>
        <w:rPr>
          <w:rFonts w:hint="eastAsia"/>
        </w:rPr>
      </w:pPr>
    </w:p>
    <w:p w14:paraId="6E5C0BEF">
      <w:pPr>
        <w:pStyle w:val="9"/>
        <w:spacing w:after="0" w:line="249" w:lineRule="auto"/>
        <w:rPr>
          <w:rFonts w:hint="eastAsia"/>
        </w:rPr>
      </w:pPr>
      <w:r>
        <w:rPr>
          <w:rFonts w:hint="eastAsia"/>
        </w:rPr>
        <w:t>另一方面，他使其服于一群致命的黑暗仇敌的暴政之下：内在的属灵仇敌、属肉体的仇敌、撒但的仇敌和神圣的仇敌。</w:t>
      </w:r>
    </w:p>
    <w:p w14:paraId="70FBF68D">
      <w:pPr>
        <w:pStyle w:val="9"/>
        <w:spacing w:after="0" w:line="249" w:lineRule="auto"/>
        <w:rPr>
          <w:rFonts w:hint="eastAsia"/>
        </w:rPr>
      </w:pPr>
    </w:p>
    <w:p w14:paraId="72B0DAC3">
      <w:pPr>
        <w:pStyle w:val="9"/>
        <w:spacing w:after="0" w:line="249" w:lineRule="auto"/>
        <w:rPr>
          <w:rFonts w:hint="eastAsia"/>
        </w:rPr>
      </w:pPr>
      <w:r>
        <w:rPr>
          <w:rFonts w:hint="eastAsia"/>
        </w:rPr>
        <w:t>Moreover, because of his fallen state, Adam could do nothing whatsoever to rescue his world from his enemies; nor could he do anything to restore himself, his family, or his once beautiful home to the health and joy of union with God.</w:t>
      </w:r>
    </w:p>
    <w:p w14:paraId="520C816B">
      <w:pPr>
        <w:pStyle w:val="9"/>
        <w:spacing w:after="0" w:line="249" w:lineRule="auto"/>
        <w:rPr>
          <w:rFonts w:hint="eastAsia"/>
        </w:rPr>
      </w:pPr>
    </w:p>
    <w:p w14:paraId="2304E5D7">
      <w:pPr>
        <w:pStyle w:val="9"/>
        <w:spacing w:after="0" w:line="249" w:lineRule="auto"/>
        <w:rPr>
          <w:rFonts w:hint="eastAsia"/>
        </w:rPr>
      </w:pPr>
      <w:r>
        <w:rPr>
          <w:rFonts w:hint="eastAsia"/>
        </w:rPr>
        <w:t>此外，由于他堕落的状态，亚当根本无能为力从他的仇敌手中拯救他的世界；他也无能为力将他自己、他的家庭或他曾经美丽的家恢复到与神联合的健康和喜乐中。</w:t>
      </w:r>
    </w:p>
    <w:p w14:paraId="612EE95B">
      <w:pPr>
        <w:pStyle w:val="9"/>
        <w:spacing w:after="0" w:line="249" w:lineRule="auto"/>
        <w:rPr>
          <w:rFonts w:hint="eastAsia"/>
        </w:rPr>
      </w:pPr>
    </w:p>
    <w:p w14:paraId="15982727">
      <w:pPr>
        <w:pStyle w:val="9"/>
        <w:spacing w:after="0" w:line="249" w:lineRule="auto"/>
        <w:rPr>
          <w:rFonts w:hint="eastAsia"/>
        </w:rPr>
      </w:pPr>
      <w:r>
        <w:rPr>
          <w:rFonts w:hint="eastAsia"/>
        </w:rPr>
        <w:t>In and of themselves, Adam and his sinful family were henceforth without strength (Rom. 5:6), without hope (1 Thess. 4:13), and without God in the world (Eph. 2:12).</w:t>
      </w:r>
    </w:p>
    <w:p w14:paraId="13AF1A35">
      <w:pPr>
        <w:pStyle w:val="9"/>
        <w:spacing w:after="0" w:line="249" w:lineRule="auto"/>
        <w:rPr>
          <w:rFonts w:hint="eastAsia"/>
        </w:rPr>
      </w:pPr>
    </w:p>
    <w:p w14:paraId="58F3A284">
      <w:pPr>
        <w:pStyle w:val="9"/>
        <w:spacing w:after="0" w:line="249" w:lineRule="auto"/>
        <w:rPr>
          <w:rFonts w:hint="eastAsia"/>
        </w:rPr>
      </w:pPr>
      <w:r>
        <w:rPr>
          <w:rFonts w:hint="eastAsia"/>
        </w:rPr>
        <w:t>亚当和他有罪的家庭，就其本身而言，从此以后便软弱无力（罗 5:6）、没有指望（帖前 4:13），并且在世上没有神（弗 2:12）。</w:t>
      </w:r>
    </w:p>
    <w:p w14:paraId="0E2C674F">
      <w:pPr>
        <w:pStyle w:val="9"/>
        <w:spacing w:after="0" w:line="249" w:lineRule="auto"/>
        <w:rPr>
          <w:rFonts w:hint="eastAsia"/>
        </w:rPr>
      </w:pPr>
    </w:p>
    <w:p w14:paraId="7903C3C8">
      <w:pPr>
        <w:pStyle w:val="9"/>
        <w:spacing w:after="0" w:line="249" w:lineRule="auto"/>
        <w:rPr>
          <w:rFonts w:hint="eastAsia"/>
        </w:rPr>
      </w:pPr>
      <w:r>
        <w:rPr>
          <w:rFonts w:hint="eastAsia"/>
        </w:rPr>
        <w:t>A Domain of Darkness indeed!</w:t>
      </w:r>
    </w:p>
    <w:p w14:paraId="3966372B">
      <w:pPr>
        <w:pStyle w:val="9"/>
        <w:spacing w:after="0" w:line="249" w:lineRule="auto"/>
        <w:rPr>
          <w:rFonts w:hint="eastAsia"/>
        </w:rPr>
      </w:pPr>
    </w:p>
    <w:p w14:paraId="21F8B262">
      <w:pPr>
        <w:pStyle w:val="9"/>
        <w:spacing w:after="0" w:line="249" w:lineRule="auto"/>
        <w:rPr>
          <w:rFonts w:hint="eastAsia"/>
        </w:rPr>
      </w:pPr>
      <w:r>
        <w:rPr>
          <w:rFonts w:hint="eastAsia"/>
        </w:rPr>
        <w:t>确实是一个黑暗的权势！</w:t>
      </w:r>
    </w:p>
    <w:p w14:paraId="7494E9BB">
      <w:pPr>
        <w:pStyle w:val="9"/>
        <w:spacing w:after="0" w:line="249" w:lineRule="auto"/>
        <w:rPr>
          <w:rFonts w:hint="eastAsia"/>
        </w:rPr>
      </w:pPr>
    </w:p>
    <w:p w14:paraId="7073815F">
      <w:pPr>
        <w:pStyle w:val="9"/>
        <w:spacing w:after="0" w:line="249" w:lineRule="auto"/>
        <w:rPr>
          <w:rFonts w:hint="eastAsia"/>
        </w:rPr>
      </w:pPr>
      <w:r>
        <w:rPr>
          <w:rFonts w:hint="eastAsia"/>
        </w:rPr>
        <w:t>The Fall, Salvation History, and the Kingdom of God</w:t>
      </w:r>
    </w:p>
    <w:p w14:paraId="06DD206C">
      <w:pPr>
        <w:pStyle w:val="9"/>
        <w:spacing w:after="0" w:line="249" w:lineRule="auto"/>
        <w:rPr>
          <w:rFonts w:hint="eastAsia"/>
        </w:rPr>
      </w:pPr>
    </w:p>
    <w:p w14:paraId="4D28BD05">
      <w:pPr>
        <w:pStyle w:val="9"/>
        <w:spacing w:after="0" w:line="249" w:lineRule="auto"/>
        <w:rPr>
          <w:rFonts w:hint="eastAsia"/>
        </w:rPr>
      </w:pPr>
      <w:r>
        <w:rPr>
          <w:rFonts w:hint="eastAsia"/>
        </w:rPr>
        <w:t>堕落、救赎历史与神的国</w:t>
      </w:r>
    </w:p>
    <w:p w14:paraId="13A787E1">
      <w:pPr>
        <w:pStyle w:val="9"/>
        <w:spacing w:after="0" w:line="249" w:lineRule="auto"/>
        <w:rPr>
          <w:rFonts w:hint="eastAsia"/>
        </w:rPr>
      </w:pPr>
    </w:p>
    <w:p w14:paraId="0961438B">
      <w:pPr>
        <w:pStyle w:val="9"/>
        <w:spacing w:after="0" w:line="249" w:lineRule="auto"/>
        <w:rPr>
          <w:rFonts w:hint="eastAsia"/>
        </w:rPr>
      </w:pPr>
      <w:r>
        <w:rPr>
          <w:rFonts w:hint="eastAsia"/>
        </w:rPr>
        <w:t>I have written at considerable length on this solemn subject, firmly believing that any failure to recognize the origin, elements, and unspeakable dangers of the Domain of Darkness will immediately preclude a proper understanding of the Kingdom of God.</w:t>
      </w:r>
    </w:p>
    <w:p w14:paraId="06A42F57">
      <w:pPr>
        <w:pStyle w:val="9"/>
        <w:spacing w:after="0" w:line="249" w:lineRule="auto"/>
        <w:rPr>
          <w:rFonts w:hint="eastAsia"/>
        </w:rPr>
      </w:pPr>
    </w:p>
    <w:p w14:paraId="1A0FC4FD">
      <w:pPr>
        <w:pStyle w:val="9"/>
        <w:spacing w:after="0" w:line="249" w:lineRule="auto"/>
        <w:rPr>
          <w:rFonts w:hint="eastAsia"/>
        </w:rPr>
      </w:pPr>
      <w:r>
        <w:rPr>
          <w:rFonts w:hint="eastAsia"/>
        </w:rPr>
        <w:t>我已就这个严肃的主题写了相当长的篇幅，坚信任何未能认识到黑暗权势的起源、元素和难以言喻的危险，都会立即妨碍对神的国的正确理解。</w:t>
      </w:r>
    </w:p>
    <w:p w14:paraId="296F337B">
      <w:pPr>
        <w:pStyle w:val="9"/>
        <w:spacing w:after="0" w:line="249" w:lineRule="auto"/>
        <w:rPr>
          <w:rFonts w:hint="eastAsia"/>
        </w:rPr>
      </w:pPr>
    </w:p>
    <w:p w14:paraId="2E38845F">
      <w:pPr>
        <w:pStyle w:val="9"/>
        <w:spacing w:after="0" w:line="249" w:lineRule="auto"/>
        <w:rPr>
          <w:rFonts w:hint="eastAsia"/>
        </w:rPr>
      </w:pPr>
      <w:r>
        <w:rPr>
          <w:rFonts w:hint="eastAsia"/>
        </w:rPr>
        <w:t>Why is this so?</w:t>
      </w:r>
    </w:p>
    <w:p w14:paraId="3EB51788">
      <w:pPr>
        <w:pStyle w:val="9"/>
        <w:spacing w:after="0" w:line="249" w:lineRule="auto"/>
        <w:rPr>
          <w:rFonts w:hint="eastAsia"/>
        </w:rPr>
      </w:pPr>
    </w:p>
    <w:p w14:paraId="424306B3">
      <w:pPr>
        <w:pStyle w:val="9"/>
        <w:spacing w:after="0" w:line="249" w:lineRule="auto"/>
        <w:rPr>
          <w:rFonts w:hint="eastAsia"/>
        </w:rPr>
      </w:pPr>
      <w:r>
        <w:rPr>
          <w:rFonts w:hint="eastAsia"/>
        </w:rPr>
        <w:t>为何如此？</w:t>
      </w:r>
    </w:p>
    <w:p w14:paraId="18A19597">
      <w:pPr>
        <w:pStyle w:val="9"/>
        <w:spacing w:after="0" w:line="249" w:lineRule="auto"/>
        <w:rPr>
          <w:rFonts w:hint="eastAsia"/>
        </w:rPr>
      </w:pPr>
    </w:p>
    <w:p w14:paraId="3BF0A18B">
      <w:pPr>
        <w:pStyle w:val="9"/>
        <w:spacing w:after="0" w:line="249" w:lineRule="auto"/>
        <w:rPr>
          <w:rFonts w:hint="eastAsia"/>
        </w:rPr>
      </w:pPr>
      <w:r>
        <w:rPr>
          <w:rFonts w:hint="eastAsia"/>
        </w:rPr>
        <w:t>I offer three answers.</w:t>
      </w:r>
    </w:p>
    <w:p w14:paraId="0F9A89AC">
      <w:pPr>
        <w:pStyle w:val="9"/>
        <w:spacing w:after="0" w:line="249" w:lineRule="auto"/>
        <w:rPr>
          <w:rFonts w:hint="eastAsia"/>
        </w:rPr>
      </w:pPr>
    </w:p>
    <w:p w14:paraId="4E62A82C">
      <w:pPr>
        <w:pStyle w:val="9"/>
        <w:spacing w:after="0" w:line="249" w:lineRule="auto"/>
        <w:rPr>
          <w:rFonts w:hint="eastAsia"/>
        </w:rPr>
      </w:pPr>
      <w:r>
        <w:rPr>
          <w:rFonts w:hint="eastAsia"/>
        </w:rPr>
        <w:t>我提供三个答案。</w:t>
      </w:r>
    </w:p>
    <w:p w14:paraId="46ECF8D7">
      <w:pPr>
        <w:pStyle w:val="9"/>
        <w:spacing w:after="0" w:line="249" w:lineRule="auto"/>
        <w:rPr>
          <w:rFonts w:hint="eastAsia"/>
        </w:rPr>
      </w:pPr>
    </w:p>
    <w:p w14:paraId="3B7E5542">
      <w:pPr>
        <w:pStyle w:val="9"/>
        <w:spacing w:after="0" w:line="249" w:lineRule="auto"/>
        <w:rPr>
          <w:rFonts w:hint="eastAsia"/>
        </w:rPr>
      </w:pPr>
      <w:r>
        <w:rPr>
          <w:rFonts w:hint="eastAsia"/>
        </w:rPr>
        <w:t>First, the Domain of Darkness is nothing less than the spiritual dipole of the Kingdom of God.</w:t>
      </w:r>
    </w:p>
    <w:p w14:paraId="1C4083D8">
      <w:pPr>
        <w:pStyle w:val="9"/>
        <w:spacing w:after="0" w:line="249" w:lineRule="auto"/>
        <w:rPr>
          <w:rFonts w:hint="eastAsia"/>
        </w:rPr>
      </w:pPr>
    </w:p>
    <w:p w14:paraId="29F7746A">
      <w:pPr>
        <w:pStyle w:val="9"/>
        <w:spacing w:after="0" w:line="249" w:lineRule="auto"/>
        <w:rPr>
          <w:rFonts w:hint="eastAsia"/>
        </w:rPr>
      </w:pPr>
      <w:r>
        <w:rPr>
          <w:rFonts w:hint="eastAsia"/>
        </w:rPr>
        <w:t>首先，黑暗的权势无非是神的国的属灵两极。</w:t>
      </w:r>
    </w:p>
    <w:p w14:paraId="0747FE84">
      <w:pPr>
        <w:pStyle w:val="9"/>
        <w:spacing w:after="0" w:line="249" w:lineRule="auto"/>
        <w:rPr>
          <w:rFonts w:hint="eastAsia"/>
        </w:rPr>
      </w:pPr>
    </w:p>
    <w:p w14:paraId="3876BDCE">
      <w:pPr>
        <w:pStyle w:val="9"/>
        <w:spacing w:after="0" w:line="249" w:lineRule="auto"/>
        <w:rPr>
          <w:rFonts w:hint="eastAsia"/>
        </w:rPr>
      </w:pPr>
      <w:r>
        <w:rPr>
          <w:rFonts w:hint="eastAsia"/>
        </w:rPr>
        <w:t>It is the negative, of which God’s Kingdom is the positive.</w:t>
      </w:r>
    </w:p>
    <w:p w14:paraId="6DAFD2A1">
      <w:pPr>
        <w:pStyle w:val="9"/>
        <w:spacing w:after="0" w:line="249" w:lineRule="auto"/>
        <w:rPr>
          <w:rFonts w:hint="eastAsia"/>
        </w:rPr>
      </w:pPr>
    </w:p>
    <w:p w14:paraId="2D3A98C1">
      <w:pPr>
        <w:pStyle w:val="9"/>
        <w:spacing w:after="0" w:line="249" w:lineRule="auto"/>
        <w:rPr>
          <w:rFonts w:hint="eastAsia"/>
        </w:rPr>
      </w:pPr>
      <w:r>
        <w:rPr>
          <w:rFonts w:hint="eastAsia"/>
        </w:rPr>
        <w:t>它是负极，而神的国是正极。</w:t>
      </w:r>
    </w:p>
    <w:p w14:paraId="5B3B4199">
      <w:pPr>
        <w:pStyle w:val="9"/>
        <w:spacing w:after="0" w:line="249" w:lineRule="auto"/>
        <w:rPr>
          <w:rFonts w:hint="eastAsia"/>
        </w:rPr>
      </w:pPr>
    </w:p>
    <w:p w14:paraId="081B58A2">
      <w:pPr>
        <w:pStyle w:val="9"/>
        <w:spacing w:after="0" w:line="249" w:lineRule="auto"/>
        <w:rPr>
          <w:rFonts w:hint="eastAsia"/>
        </w:rPr>
      </w:pPr>
      <w:r>
        <w:rPr>
          <w:rFonts w:hint="eastAsia"/>
        </w:rPr>
        <w:t>It is the dark background against which the brightness of the Kingdom shines, and against which it was meant to shine at its brightest.</w:t>
      </w:r>
    </w:p>
    <w:p w14:paraId="06F7C5CB">
      <w:pPr>
        <w:pStyle w:val="9"/>
        <w:spacing w:after="0" w:line="249" w:lineRule="auto"/>
        <w:rPr>
          <w:rFonts w:hint="eastAsia"/>
        </w:rPr>
      </w:pPr>
    </w:p>
    <w:p w14:paraId="194D8010">
      <w:pPr>
        <w:pStyle w:val="9"/>
        <w:spacing w:after="0" w:line="249" w:lineRule="auto"/>
        <w:rPr>
          <w:rFonts w:hint="eastAsia"/>
        </w:rPr>
      </w:pPr>
      <w:r>
        <w:rPr>
          <w:rFonts w:hint="eastAsia"/>
        </w:rPr>
        <w:t>它是国度之光辉闪耀的黑暗背景，并且国度本意就是要在这背景下最明亮地闪耀。</w:t>
      </w:r>
    </w:p>
    <w:p w14:paraId="26CBAFDD">
      <w:pPr>
        <w:pStyle w:val="9"/>
        <w:spacing w:after="0" w:line="249" w:lineRule="auto"/>
        <w:rPr>
          <w:rFonts w:hint="eastAsia"/>
        </w:rPr>
      </w:pPr>
    </w:p>
    <w:p w14:paraId="01771CF6">
      <w:pPr>
        <w:pStyle w:val="9"/>
        <w:spacing w:after="0" w:line="249" w:lineRule="auto"/>
        <w:rPr>
          <w:rFonts w:hint="eastAsia"/>
        </w:rPr>
      </w:pPr>
      <w:r>
        <w:rPr>
          <w:rFonts w:hint="eastAsia"/>
        </w:rPr>
        <w:t>It is the counterfeit of the real, to which God responds with the real itself, for the praise of the glory of his grace.</w:t>
      </w:r>
    </w:p>
    <w:p w14:paraId="53616EA0">
      <w:pPr>
        <w:pStyle w:val="9"/>
        <w:spacing w:after="0" w:line="249" w:lineRule="auto"/>
        <w:rPr>
          <w:rFonts w:hint="eastAsia"/>
        </w:rPr>
      </w:pPr>
    </w:p>
    <w:p w14:paraId="4DE09DFE">
      <w:pPr>
        <w:pStyle w:val="9"/>
        <w:spacing w:after="0" w:line="249" w:lineRule="auto"/>
        <w:rPr>
          <w:rFonts w:hint="eastAsia"/>
        </w:rPr>
      </w:pPr>
      <w:r>
        <w:rPr>
          <w:rFonts w:hint="eastAsia"/>
        </w:rPr>
        <w:t>它是真实的假冒品，神以真实本身来回应，为要使祂恩典的荣耀得着称赞。</w:t>
      </w:r>
    </w:p>
    <w:p w14:paraId="594199D7">
      <w:pPr>
        <w:pStyle w:val="9"/>
        <w:spacing w:after="0" w:line="249" w:lineRule="auto"/>
        <w:rPr>
          <w:rFonts w:hint="eastAsia"/>
        </w:rPr>
      </w:pPr>
    </w:p>
    <w:p w14:paraId="73F9A0FC">
      <w:pPr>
        <w:pStyle w:val="9"/>
        <w:spacing w:after="0" w:line="249" w:lineRule="auto"/>
        <w:rPr>
          <w:rFonts w:hint="eastAsia"/>
        </w:rPr>
      </w:pPr>
      <w:r>
        <w:rPr>
          <w:rFonts w:hint="eastAsia"/>
        </w:rPr>
        <w:t>In light of this basic fact, I feel compelled to say it again: We must never think of God’s Kingdom in terms of theocratic institutions, Mosaic or otherwise.</w:t>
      </w:r>
    </w:p>
    <w:p w14:paraId="2824C985">
      <w:pPr>
        <w:pStyle w:val="9"/>
        <w:spacing w:after="0" w:line="249" w:lineRule="auto"/>
        <w:rPr>
          <w:rFonts w:hint="eastAsia"/>
        </w:rPr>
      </w:pPr>
    </w:p>
    <w:p w14:paraId="44F72E65">
      <w:pPr>
        <w:pStyle w:val="9"/>
        <w:spacing w:after="0" w:line="249" w:lineRule="auto"/>
        <w:rPr>
          <w:rFonts w:hint="eastAsia"/>
        </w:rPr>
      </w:pPr>
      <w:r>
        <w:rPr>
          <w:rFonts w:hint="eastAsia"/>
        </w:rPr>
        <w:t>鉴于这个基本事实，我感到有必要再说一遍：我们绝不能从神权政体的制度，无论是摩西的还是其他的，来思想神的国。</w:t>
      </w:r>
    </w:p>
    <w:p w14:paraId="5C7538F2">
      <w:pPr>
        <w:pStyle w:val="9"/>
        <w:spacing w:after="0" w:line="249" w:lineRule="auto"/>
        <w:rPr>
          <w:rFonts w:hint="eastAsia"/>
        </w:rPr>
      </w:pPr>
    </w:p>
    <w:p w14:paraId="2B8AD19B">
      <w:pPr>
        <w:pStyle w:val="9"/>
        <w:spacing w:after="0" w:line="249" w:lineRule="auto"/>
        <w:rPr>
          <w:rFonts w:hint="eastAsia"/>
        </w:rPr>
      </w:pPr>
      <w:r>
        <w:rPr>
          <w:rFonts w:hint="eastAsia"/>
        </w:rPr>
        <w:t>Rather, we must think of it as the spiritual mirror image of the Domain of Darkness.</w:t>
      </w:r>
    </w:p>
    <w:p w14:paraId="35494085">
      <w:pPr>
        <w:pStyle w:val="9"/>
        <w:spacing w:after="0" w:line="249" w:lineRule="auto"/>
        <w:rPr>
          <w:rFonts w:hint="eastAsia"/>
        </w:rPr>
      </w:pPr>
    </w:p>
    <w:p w14:paraId="5B8A1B60">
      <w:pPr>
        <w:pStyle w:val="9"/>
        <w:spacing w:after="0" w:line="249" w:lineRule="auto"/>
        <w:rPr>
          <w:rFonts w:hint="eastAsia"/>
        </w:rPr>
      </w:pPr>
      <w:r>
        <w:rPr>
          <w:rFonts w:hint="eastAsia"/>
        </w:rPr>
        <w:t>相反，我们必须将其视为黑暗权势的属灵镜像。</w:t>
      </w:r>
    </w:p>
    <w:p w14:paraId="42850BD8">
      <w:pPr>
        <w:pStyle w:val="9"/>
        <w:spacing w:after="0" w:line="249" w:lineRule="auto"/>
        <w:rPr>
          <w:rFonts w:hint="eastAsia"/>
        </w:rPr>
      </w:pPr>
    </w:p>
    <w:p w14:paraId="26732C41">
      <w:pPr>
        <w:pStyle w:val="9"/>
        <w:spacing w:after="0" w:line="249" w:lineRule="auto"/>
        <w:rPr>
          <w:rFonts w:hint="eastAsia"/>
        </w:rPr>
      </w:pPr>
      <w:r>
        <w:rPr>
          <w:rFonts w:hint="eastAsia"/>
        </w:rPr>
        <w:t>It is the realm over which God, forgiveness, love, and spiritual and physical wholeness reign, rather than Satan, condemnation, wrath, and spiritual and physical brokenness.</w:t>
      </w:r>
    </w:p>
    <w:p w14:paraId="697BCDB6">
      <w:pPr>
        <w:pStyle w:val="9"/>
        <w:spacing w:after="0" w:line="249" w:lineRule="auto"/>
        <w:rPr>
          <w:rFonts w:hint="eastAsia"/>
        </w:rPr>
      </w:pPr>
    </w:p>
    <w:p w14:paraId="3FC2699B">
      <w:pPr>
        <w:pStyle w:val="9"/>
        <w:spacing w:after="0" w:line="249" w:lineRule="auto"/>
        <w:rPr>
          <w:rFonts w:hint="eastAsia"/>
        </w:rPr>
      </w:pPr>
      <w:r>
        <w:rPr>
          <w:rFonts w:hint="eastAsia"/>
        </w:rPr>
        <w:t>它是神、赦免、爱，以及属灵和属肉体的完整所统治的范围，而不是撒但、定罪、忿怒，以及属灵和属肉体的破碎所统治的范围。</w:t>
      </w:r>
    </w:p>
    <w:p w14:paraId="0F140C95">
      <w:pPr>
        <w:pStyle w:val="9"/>
        <w:spacing w:after="0" w:line="249" w:lineRule="auto"/>
        <w:rPr>
          <w:rFonts w:hint="eastAsia"/>
        </w:rPr>
      </w:pPr>
    </w:p>
    <w:p w14:paraId="0ECBF946">
      <w:pPr>
        <w:pStyle w:val="9"/>
        <w:spacing w:after="0" w:line="249" w:lineRule="auto"/>
        <w:rPr>
          <w:rFonts w:hint="eastAsia"/>
        </w:rPr>
      </w:pPr>
      <w:r>
        <w:rPr>
          <w:rFonts w:hint="eastAsia"/>
        </w:rPr>
        <w:t>Therefore, to behold the dreadful, manifold elements of the Domain of Darkness is to prepare oneself properly to behold the blessed, manifold elements of Kingdom of God.</w:t>
      </w:r>
    </w:p>
    <w:p w14:paraId="6ED6F392">
      <w:pPr>
        <w:pStyle w:val="9"/>
        <w:spacing w:after="0" w:line="249" w:lineRule="auto"/>
        <w:rPr>
          <w:rFonts w:hint="eastAsia"/>
        </w:rPr>
      </w:pPr>
    </w:p>
    <w:p w14:paraId="6569439A">
      <w:pPr>
        <w:pStyle w:val="9"/>
        <w:spacing w:after="0" w:line="249" w:lineRule="auto"/>
        <w:rPr>
          <w:rFonts w:hint="eastAsia"/>
        </w:rPr>
      </w:pPr>
      <w:r>
        <w:rPr>
          <w:rFonts w:hint="eastAsia"/>
        </w:rPr>
        <w:t>因此，看见黑暗权势那可怕的、诸般的元素，就是为自己预备好，去看见神的国那蒙福的、诸般的元素。</w:t>
      </w:r>
    </w:p>
    <w:p w14:paraId="420964C7">
      <w:pPr>
        <w:pStyle w:val="9"/>
        <w:spacing w:after="0" w:line="249" w:lineRule="auto"/>
        <w:rPr>
          <w:rFonts w:hint="eastAsia"/>
        </w:rPr>
      </w:pPr>
    </w:p>
    <w:p w14:paraId="3B64EE89">
      <w:pPr>
        <w:pStyle w:val="9"/>
        <w:spacing w:after="0" w:line="249" w:lineRule="auto"/>
        <w:rPr>
          <w:rFonts w:hint="eastAsia"/>
        </w:rPr>
      </w:pPr>
      <w:r>
        <w:rPr>
          <w:rFonts w:hint="eastAsia"/>
        </w:rPr>
        <w:t>Secondly, the massive extension of the Domain of Darkness occasioned by Adam’s fall sets the stage for Salvation History, and therefore displays its true meaning.</w:t>
      </w:r>
    </w:p>
    <w:p w14:paraId="1E23FA47">
      <w:pPr>
        <w:pStyle w:val="9"/>
        <w:spacing w:after="0" w:line="249" w:lineRule="auto"/>
        <w:rPr>
          <w:rFonts w:hint="eastAsia"/>
        </w:rPr>
      </w:pPr>
    </w:p>
    <w:p w14:paraId="2E540E5F">
      <w:pPr>
        <w:pStyle w:val="9"/>
        <w:spacing w:after="0" w:line="249" w:lineRule="auto"/>
        <w:rPr>
          <w:rFonts w:hint="eastAsia"/>
        </w:rPr>
      </w:pPr>
      <w:r>
        <w:rPr>
          <w:rFonts w:hint="eastAsia"/>
        </w:rPr>
        <w:t>其次，由亚当堕落所引发的黑暗权势的巨大扩张，为救赎历史搭建了舞台，因此也彰显了其真实意义。</w:t>
      </w:r>
    </w:p>
    <w:p w14:paraId="08A55134">
      <w:pPr>
        <w:pStyle w:val="9"/>
        <w:spacing w:after="0" w:line="249" w:lineRule="auto"/>
        <w:rPr>
          <w:rFonts w:hint="eastAsia"/>
        </w:rPr>
      </w:pPr>
    </w:p>
    <w:p w14:paraId="492E9014">
      <w:pPr>
        <w:pStyle w:val="9"/>
        <w:spacing w:after="0" w:line="249" w:lineRule="auto"/>
        <w:rPr>
          <w:rFonts w:hint="eastAsia"/>
        </w:rPr>
      </w:pPr>
      <w:r>
        <w:rPr>
          <w:rFonts w:hint="eastAsia"/>
        </w:rPr>
        <w:t>Because of the Fall, man and nature must be rescued from their manifold enemies.</w:t>
      </w:r>
    </w:p>
    <w:p w14:paraId="5AFEE64C">
      <w:pPr>
        <w:pStyle w:val="9"/>
        <w:spacing w:after="0" w:line="249" w:lineRule="auto"/>
        <w:rPr>
          <w:rFonts w:hint="eastAsia"/>
        </w:rPr>
      </w:pPr>
    </w:p>
    <w:p w14:paraId="12C4F0B4">
      <w:pPr>
        <w:pStyle w:val="9"/>
        <w:spacing w:after="0" w:line="249" w:lineRule="auto"/>
        <w:rPr>
          <w:rFonts w:hint="eastAsia"/>
        </w:rPr>
      </w:pPr>
      <w:r>
        <w:rPr>
          <w:rFonts w:hint="eastAsia"/>
        </w:rPr>
        <w:t>因为堕落，人和自然必须从他们诸多的仇敌中被拯救出来。</w:t>
      </w:r>
    </w:p>
    <w:p w14:paraId="17984E2B">
      <w:pPr>
        <w:pStyle w:val="9"/>
        <w:spacing w:after="0" w:line="249" w:lineRule="auto"/>
        <w:rPr>
          <w:rFonts w:hint="eastAsia"/>
        </w:rPr>
      </w:pPr>
    </w:p>
    <w:p w14:paraId="7E1AE64D">
      <w:pPr>
        <w:pStyle w:val="9"/>
        <w:spacing w:after="0" w:line="249" w:lineRule="auto"/>
        <w:rPr>
          <w:rFonts w:hint="eastAsia"/>
        </w:rPr>
      </w:pPr>
      <w:r>
        <w:rPr>
          <w:rFonts w:hint="eastAsia"/>
        </w:rPr>
        <w:t>Because of the Fall, they must be restored to the manifold friends originally offered at the Tree of Life.</w:t>
      </w:r>
    </w:p>
    <w:p w14:paraId="1F49A293">
      <w:pPr>
        <w:pStyle w:val="9"/>
        <w:spacing w:after="0" w:line="249" w:lineRule="auto"/>
        <w:rPr>
          <w:rFonts w:hint="eastAsia"/>
        </w:rPr>
      </w:pPr>
    </w:p>
    <w:p w14:paraId="03A4BF56">
      <w:pPr>
        <w:pStyle w:val="9"/>
        <w:spacing w:after="0" w:line="249" w:lineRule="auto"/>
        <w:rPr>
          <w:rFonts w:hint="eastAsia"/>
        </w:rPr>
      </w:pPr>
      <w:r>
        <w:rPr>
          <w:rFonts w:hint="eastAsia"/>
        </w:rPr>
        <w:t>因为堕落，他们必须被恢复到起初在生命树那里所提供的诸多朋友那里。</w:t>
      </w:r>
    </w:p>
    <w:p w14:paraId="570EA480">
      <w:pPr>
        <w:pStyle w:val="9"/>
        <w:spacing w:after="0" w:line="249" w:lineRule="auto"/>
        <w:rPr>
          <w:rFonts w:hint="eastAsia"/>
        </w:rPr>
      </w:pPr>
    </w:p>
    <w:p w14:paraId="44E84BA8">
      <w:pPr>
        <w:pStyle w:val="9"/>
        <w:spacing w:after="0" w:line="249" w:lineRule="auto"/>
        <w:rPr>
          <w:rFonts w:hint="eastAsia"/>
        </w:rPr>
      </w:pPr>
      <w:r>
        <w:rPr>
          <w:rFonts w:hint="eastAsia"/>
        </w:rPr>
        <w:t>Therefore, a redemptive plan, devised before the foundation of the world, must now be set in motion; phase by phase, a History of Salvation must now unfold.</w:t>
      </w:r>
    </w:p>
    <w:p w14:paraId="251062AC">
      <w:pPr>
        <w:pStyle w:val="9"/>
        <w:spacing w:after="0" w:line="249" w:lineRule="auto"/>
        <w:rPr>
          <w:rFonts w:hint="eastAsia"/>
        </w:rPr>
      </w:pPr>
    </w:p>
    <w:p w14:paraId="561C0A0C">
      <w:pPr>
        <w:pStyle w:val="9"/>
        <w:spacing w:after="0" w:line="249" w:lineRule="auto"/>
        <w:rPr>
          <w:rFonts w:hint="eastAsia"/>
        </w:rPr>
      </w:pPr>
      <w:r>
        <w:rPr>
          <w:rFonts w:hint="eastAsia"/>
        </w:rPr>
        <w:t>因此，一个在创世以前所设计的救赎计划，如今必须启动；一阶段一阶段地，一部救赎的历史如今必须展开。</w:t>
      </w:r>
    </w:p>
    <w:p w14:paraId="6486AE58">
      <w:pPr>
        <w:pStyle w:val="9"/>
        <w:spacing w:after="0" w:line="249" w:lineRule="auto"/>
        <w:rPr>
          <w:rFonts w:hint="eastAsia"/>
        </w:rPr>
      </w:pPr>
    </w:p>
    <w:p w14:paraId="3FDC736C">
      <w:pPr>
        <w:pStyle w:val="9"/>
        <w:spacing w:after="0" w:line="249" w:lineRule="auto"/>
        <w:rPr>
          <w:rFonts w:hint="eastAsia"/>
        </w:rPr>
      </w:pPr>
      <w:r>
        <w:rPr>
          <w:rFonts w:hint="eastAsia"/>
        </w:rPr>
        <w:t>And when at last the plan has been fully administered— when the saints safely enter the World to Come and look back upon the long and winding course of this History—what will they see?</w:t>
      </w:r>
    </w:p>
    <w:p w14:paraId="22B4D284">
      <w:pPr>
        <w:pStyle w:val="9"/>
        <w:spacing w:after="0" w:line="249" w:lineRule="auto"/>
        <w:rPr>
          <w:rFonts w:hint="eastAsia"/>
        </w:rPr>
      </w:pPr>
    </w:p>
    <w:p w14:paraId="0FC5DC30">
      <w:pPr>
        <w:pStyle w:val="9"/>
        <w:spacing w:after="0" w:line="249" w:lineRule="auto"/>
        <w:rPr>
          <w:rFonts w:hint="eastAsia"/>
        </w:rPr>
      </w:pPr>
      <w:r>
        <w:rPr>
          <w:rFonts w:hint="eastAsia"/>
        </w:rPr>
        <w:t>当这计划最终完全施行时——当圣徒们安全地进入要来的世界，并回顾这段历史漫长而曲折的历程时——他们将看见什么？</w:t>
      </w:r>
    </w:p>
    <w:p w14:paraId="79F0329E">
      <w:pPr>
        <w:pStyle w:val="9"/>
        <w:spacing w:after="0" w:line="249" w:lineRule="auto"/>
        <w:rPr>
          <w:rFonts w:hint="eastAsia"/>
        </w:rPr>
      </w:pPr>
    </w:p>
    <w:p w14:paraId="3B94F1AD">
      <w:pPr>
        <w:pStyle w:val="9"/>
        <w:spacing w:after="0" w:line="249" w:lineRule="auto"/>
        <w:rPr>
          <w:rFonts w:hint="eastAsia"/>
        </w:rPr>
      </w:pPr>
      <w:r>
        <w:rPr>
          <w:rFonts w:hint="eastAsia"/>
        </w:rPr>
        <w:t>They will see (and forever sing) that through the redemptive work of Christ the Holy Trinity invaded, looted, and finally destroyed the Domain of Darkness, replacing it with the eternal Kingdom of God (Col. 1:13, Rev. 14:2-4).</w:t>
      </w:r>
    </w:p>
    <w:p w14:paraId="181E4ED3">
      <w:pPr>
        <w:pStyle w:val="9"/>
        <w:spacing w:after="0" w:line="249" w:lineRule="auto"/>
        <w:rPr>
          <w:rFonts w:hint="eastAsia"/>
        </w:rPr>
      </w:pPr>
    </w:p>
    <w:p w14:paraId="61910A5A">
      <w:pPr>
        <w:pStyle w:val="9"/>
        <w:spacing w:after="0" w:line="249" w:lineRule="auto"/>
        <w:rPr>
          <w:rFonts w:hint="eastAsia"/>
        </w:rPr>
      </w:pPr>
      <w:r>
        <w:rPr>
          <w:rFonts w:hint="eastAsia"/>
        </w:rPr>
        <w:t>他们将看见（并永远歌唱），借着基督的救赎工作，圣三一入侵、掳掠并最终摧毁了黑暗的权势，代之以神永恒的国度（西 1:13, 启 14:2-4）。</w:t>
      </w:r>
    </w:p>
    <w:p w14:paraId="2CAE8636">
      <w:pPr>
        <w:pStyle w:val="9"/>
        <w:spacing w:after="0" w:line="249" w:lineRule="auto"/>
        <w:rPr>
          <w:rFonts w:hint="eastAsia"/>
        </w:rPr>
      </w:pPr>
    </w:p>
    <w:p w14:paraId="3A64B399">
      <w:pPr>
        <w:pStyle w:val="9"/>
        <w:spacing w:after="0" w:line="249" w:lineRule="auto"/>
        <w:rPr>
          <w:rFonts w:hint="eastAsia"/>
        </w:rPr>
      </w:pPr>
      <w:r>
        <w:rPr>
          <w:rFonts w:hint="eastAsia"/>
        </w:rPr>
        <w:t>This brings us to our third and final point, namely that a good understanding of the origin of the Domain of Darkness prepares us to understand the heart of God’s redemptive plan, the astonishing means by which he was pleased to create and bring in his Kingdom.</w:t>
      </w:r>
    </w:p>
    <w:p w14:paraId="692F8904">
      <w:pPr>
        <w:pStyle w:val="9"/>
        <w:spacing w:after="0" w:line="249" w:lineRule="auto"/>
        <w:rPr>
          <w:rFonts w:hint="eastAsia"/>
        </w:rPr>
      </w:pPr>
    </w:p>
    <w:p w14:paraId="268A3261">
      <w:pPr>
        <w:pStyle w:val="9"/>
        <w:spacing w:after="0" w:line="249" w:lineRule="auto"/>
        <w:rPr>
          <w:rFonts w:hint="eastAsia"/>
        </w:rPr>
      </w:pPr>
      <w:r>
        <w:rPr>
          <w:rFonts w:hint="eastAsia"/>
        </w:rPr>
        <w:t>这就把我们带到了第三个也是最后一个点，即对黑暗权势之起源的良好理解，预备我们去理解神救赎计划的核心，即祂乐意用来创造并带来祂国度的惊人方法。</w:t>
      </w:r>
    </w:p>
    <w:p w14:paraId="79260B26">
      <w:pPr>
        <w:pStyle w:val="9"/>
        <w:spacing w:after="0" w:line="249" w:lineRule="auto"/>
        <w:rPr>
          <w:rFonts w:hint="eastAsia"/>
        </w:rPr>
      </w:pPr>
    </w:p>
    <w:p w14:paraId="19EC8AB3">
      <w:pPr>
        <w:pStyle w:val="9"/>
        <w:spacing w:after="0" w:line="249" w:lineRule="auto"/>
        <w:rPr>
          <w:rFonts w:hint="eastAsia"/>
        </w:rPr>
      </w:pPr>
      <w:r>
        <w:rPr>
          <w:rFonts w:hint="eastAsia"/>
        </w:rPr>
        <w:t>What exactly is that means?Christ and the NT authors reply richly: The Kingdom will come just as it was lost, through the redemptive action of a Representative Man.</w:t>
      </w:r>
    </w:p>
    <w:p w14:paraId="6D4D416B">
      <w:pPr>
        <w:pStyle w:val="9"/>
        <w:spacing w:after="0" w:line="249" w:lineRule="auto"/>
        <w:rPr>
          <w:rFonts w:hint="eastAsia"/>
        </w:rPr>
      </w:pPr>
    </w:p>
    <w:p w14:paraId="31BF4214">
      <w:pPr>
        <w:pStyle w:val="9"/>
        <w:spacing w:after="0" w:line="249" w:lineRule="auto"/>
        <w:rPr>
          <w:rFonts w:hint="eastAsia"/>
        </w:rPr>
      </w:pPr>
      <w:r>
        <w:rPr>
          <w:rFonts w:hint="eastAsia"/>
        </w:rPr>
        <w:t>那种方法究竟是什么？基督和新约的作者们丰富地回答说：国度将借着一位代表性之人的救赎行动而来，正如它是借此而失丧的。</w:t>
      </w:r>
    </w:p>
    <w:p w14:paraId="4C300AAB">
      <w:pPr>
        <w:pStyle w:val="9"/>
        <w:spacing w:after="0" w:line="249" w:lineRule="auto"/>
        <w:rPr>
          <w:rFonts w:hint="eastAsia"/>
        </w:rPr>
      </w:pPr>
    </w:p>
    <w:p w14:paraId="65267E1A">
      <w:pPr>
        <w:pStyle w:val="9"/>
        <w:spacing w:after="0" w:line="249" w:lineRule="auto"/>
        <w:rPr>
          <w:rFonts w:hint="eastAsia"/>
        </w:rPr>
      </w:pPr>
      <w:r>
        <w:rPr>
          <w:rFonts w:hint="eastAsia"/>
        </w:rPr>
        <w:t>That is, it will come through another Adam, a last Adam, and an altogether holy Adam.</w:t>
      </w:r>
    </w:p>
    <w:p w14:paraId="7AF2DC47">
      <w:pPr>
        <w:pStyle w:val="9"/>
        <w:spacing w:after="0" w:line="249" w:lineRule="auto"/>
        <w:rPr>
          <w:rFonts w:hint="eastAsia"/>
        </w:rPr>
      </w:pPr>
    </w:p>
    <w:p w14:paraId="0996E29B">
      <w:pPr>
        <w:pStyle w:val="9"/>
        <w:spacing w:after="0" w:line="249" w:lineRule="auto"/>
        <w:rPr>
          <w:rFonts w:hint="eastAsia"/>
        </w:rPr>
      </w:pPr>
      <w:r>
        <w:rPr>
          <w:rFonts w:hint="eastAsia"/>
        </w:rPr>
        <w:t>就是说，它将借着另一位亚当，末后的亚当，一位全然圣洁的亚当而来。</w:t>
      </w:r>
    </w:p>
    <w:p w14:paraId="2B0085E9">
      <w:pPr>
        <w:pStyle w:val="9"/>
        <w:spacing w:after="0" w:line="249" w:lineRule="auto"/>
        <w:rPr>
          <w:rFonts w:hint="eastAsia"/>
        </w:rPr>
      </w:pPr>
    </w:p>
    <w:p w14:paraId="542F7A0B">
      <w:pPr>
        <w:pStyle w:val="9"/>
        <w:spacing w:after="0" w:line="249" w:lineRule="auto"/>
        <w:rPr>
          <w:rFonts w:hint="eastAsia"/>
        </w:rPr>
      </w:pPr>
      <w:r>
        <w:rPr>
          <w:rFonts w:hint="eastAsia"/>
        </w:rPr>
        <w:t>It will come through an Adam who, like the first, will stand before God as the Head and Representative of his people and their world; an Adam who will undo for his people all that the first Adam had done, and will do for them all that the first failed to do; an Adam who is therefore their Redeemer, since he will rescue them from all their enemies, restore them to all their friends, and thus bring them into the eternal Kingdom of God.</w:t>
      </w:r>
    </w:p>
    <w:p w14:paraId="21D0E1EE">
      <w:pPr>
        <w:pStyle w:val="9"/>
        <w:spacing w:after="0" w:line="249" w:lineRule="auto"/>
        <w:rPr>
          <w:rFonts w:hint="eastAsia"/>
        </w:rPr>
      </w:pPr>
    </w:p>
    <w:p w14:paraId="074D6FD4">
      <w:pPr>
        <w:pStyle w:val="9"/>
        <w:spacing w:after="0" w:line="249" w:lineRule="auto"/>
        <w:rPr>
          <w:rFonts w:hint="eastAsia"/>
        </w:rPr>
      </w:pPr>
      <w:r>
        <w:rPr>
          <w:rFonts w:hint="eastAsia"/>
        </w:rPr>
        <w:t>它将借着一位像第一位亚当一样，站在神面前，作为祂子民和他们世界的元首和代表的亚当而来；一位将为祂的子民废除第一位亚当所作的一切，并为他们作成第一位所未能作成的一切的亚当；一位因此是他们救赎主的亚当，因为祂将拯救他们脱离一切的仇敌，将他们恢复到一切的朋友那里，从而将他们带入神永恒的国度。</w:t>
      </w:r>
    </w:p>
    <w:p w14:paraId="624B210F">
      <w:pPr>
        <w:pStyle w:val="9"/>
        <w:spacing w:after="0" w:line="249" w:lineRule="auto"/>
        <w:rPr>
          <w:rFonts w:hint="eastAsia"/>
        </w:rPr>
      </w:pPr>
    </w:p>
    <w:p w14:paraId="29C23542">
      <w:pPr>
        <w:pStyle w:val="9"/>
        <w:spacing w:after="0" w:line="249" w:lineRule="auto"/>
        <w:rPr>
          <w:rFonts w:hint="eastAsia"/>
        </w:rPr>
      </w:pPr>
      <w:r>
        <w:rPr>
          <w:rFonts w:hint="eastAsia"/>
        </w:rPr>
        <w:t>According to the NT, this is the single greatest mystery of God, the single greatest mystery of Salvation History, and the single greatest mystery by which we will rightly understand the Kingdom.</w:t>
      </w:r>
    </w:p>
    <w:p w14:paraId="5CEDDCBF">
      <w:pPr>
        <w:pStyle w:val="9"/>
        <w:spacing w:after="0" w:line="249" w:lineRule="auto"/>
        <w:rPr>
          <w:rFonts w:hint="eastAsia"/>
        </w:rPr>
      </w:pPr>
    </w:p>
    <w:p w14:paraId="30880D41">
      <w:pPr>
        <w:pStyle w:val="9"/>
        <w:spacing w:after="0" w:line="249" w:lineRule="auto"/>
        <w:rPr>
          <w:rFonts w:hint="eastAsia"/>
        </w:rPr>
      </w:pPr>
      <w:r>
        <w:rPr>
          <w:rFonts w:hint="eastAsia"/>
        </w:rPr>
        <w:t>根据新约，这是神唯一最大的奥秘，救赎历史唯一最大的奥秘，以及我们将借此正确理解国度的唯一最大的奥秘。</w:t>
      </w:r>
    </w:p>
    <w:p w14:paraId="0C36BB2A">
      <w:pPr>
        <w:pStyle w:val="9"/>
        <w:spacing w:after="0" w:line="249" w:lineRule="auto"/>
        <w:rPr>
          <w:rFonts w:hint="eastAsia"/>
        </w:rPr>
      </w:pPr>
    </w:p>
    <w:p w14:paraId="42D38812">
      <w:pPr>
        <w:pStyle w:val="9"/>
        <w:spacing w:after="0" w:line="249" w:lineRule="auto"/>
        <w:rPr>
          <w:rFonts w:hint="eastAsia"/>
        </w:rPr>
      </w:pPr>
      <w:r>
        <w:rPr>
          <w:rFonts w:hint="eastAsia"/>
        </w:rPr>
        <w:t>In the pages ahead we will examine it with great care.2</w:t>
      </w:r>
    </w:p>
    <w:p w14:paraId="71C0AA70">
      <w:pPr>
        <w:pStyle w:val="9"/>
        <w:spacing w:after="0" w:line="249" w:lineRule="auto"/>
        <w:rPr>
          <w:rFonts w:hint="eastAsia"/>
        </w:rPr>
      </w:pPr>
    </w:p>
    <w:p w14:paraId="693C7ED6">
      <w:pPr>
        <w:pStyle w:val="9"/>
        <w:spacing w:after="0" w:line="249" w:lineRule="auto"/>
        <w:rPr>
          <w:rFonts w:hint="eastAsia"/>
        </w:rPr>
      </w:pPr>
      <w:r>
        <w:rPr>
          <w:rFonts w:hint="eastAsia"/>
        </w:rPr>
        <w:t>在接下来的篇幅中，我们将非常仔细地查考它。2</w:t>
      </w:r>
    </w:p>
    <w:p w14:paraId="19393A6C">
      <w:pPr>
        <w:pStyle w:val="9"/>
        <w:spacing w:after="0" w:line="249" w:lineRule="auto"/>
        <w:rPr>
          <w:rFonts w:hint="eastAsia"/>
        </w:rPr>
      </w:pPr>
    </w:p>
    <w:p w14:paraId="2D588ADB">
      <w:pPr>
        <w:pStyle w:val="9"/>
        <w:spacing w:after="0" w:line="249" w:lineRule="auto"/>
        <w:rPr>
          <w:rFonts w:hint="eastAsia"/>
        </w:rPr>
      </w:pPr>
      <w:r>
        <w:rPr>
          <w:rFonts w:hint="eastAsia"/>
        </w:rPr>
        <w:t>The Kingdom and The Flood</w:t>
      </w:r>
    </w:p>
    <w:p w14:paraId="11AA6E34">
      <w:pPr>
        <w:pStyle w:val="9"/>
        <w:spacing w:after="0" w:line="249" w:lineRule="auto"/>
        <w:rPr>
          <w:rFonts w:hint="eastAsia"/>
        </w:rPr>
      </w:pPr>
    </w:p>
    <w:p w14:paraId="193631E8">
      <w:pPr>
        <w:pStyle w:val="9"/>
        <w:spacing w:after="0" w:line="249" w:lineRule="auto"/>
        <w:rPr>
          <w:rFonts w:hint="eastAsia"/>
        </w:rPr>
      </w:pPr>
      <w:r>
        <w:rPr>
          <w:rFonts w:hint="eastAsia"/>
        </w:rPr>
        <w:t>国度与洪水</w:t>
      </w:r>
    </w:p>
    <w:p w14:paraId="269B16D6">
      <w:pPr>
        <w:pStyle w:val="9"/>
        <w:spacing w:after="0" w:line="249" w:lineRule="auto"/>
        <w:rPr>
          <w:rFonts w:hint="eastAsia"/>
        </w:rPr>
      </w:pPr>
    </w:p>
    <w:p w14:paraId="751FBC2F">
      <w:pPr>
        <w:pStyle w:val="9"/>
        <w:spacing w:after="0" w:line="249" w:lineRule="auto"/>
        <w:rPr>
          <w:rFonts w:hint="eastAsia"/>
        </w:rPr>
      </w:pPr>
      <w:r>
        <w:rPr>
          <w:rFonts w:hint="eastAsia"/>
        </w:rPr>
        <w:t>The second element of the Bad Beginning is the Flood (Gen. 6-9).</w:t>
      </w:r>
    </w:p>
    <w:p w14:paraId="2F274306">
      <w:pPr>
        <w:pStyle w:val="9"/>
        <w:spacing w:after="0" w:line="249" w:lineRule="auto"/>
        <w:rPr>
          <w:rFonts w:hint="eastAsia"/>
        </w:rPr>
      </w:pPr>
    </w:p>
    <w:p w14:paraId="7B0B2356">
      <w:pPr>
        <w:pStyle w:val="9"/>
        <w:spacing w:after="0" w:line="249" w:lineRule="auto"/>
        <w:rPr>
          <w:rFonts w:hint="eastAsia"/>
        </w:rPr>
      </w:pPr>
      <w:r>
        <w:rPr>
          <w:rFonts w:hint="eastAsia"/>
        </w:rPr>
        <w:t>败坏起初的第二个元素是洪水（创 6-9）。</w:t>
      </w:r>
    </w:p>
    <w:p w14:paraId="3B817B50">
      <w:pPr>
        <w:pStyle w:val="9"/>
        <w:spacing w:after="0" w:line="249" w:lineRule="auto"/>
        <w:rPr>
          <w:rFonts w:hint="eastAsia"/>
        </w:rPr>
      </w:pPr>
    </w:p>
    <w:p w14:paraId="0D550443">
      <w:pPr>
        <w:pStyle w:val="9"/>
        <w:spacing w:after="0" w:line="249" w:lineRule="auto"/>
        <w:rPr>
          <w:rFonts w:hint="eastAsia"/>
        </w:rPr>
      </w:pPr>
      <w:r>
        <w:rPr>
          <w:rFonts w:hint="eastAsia"/>
        </w:rPr>
        <w:t>In its own way, this epic judgment of God further darkens the Domain of Darkness.</w:t>
      </w:r>
    </w:p>
    <w:p w14:paraId="74F99538">
      <w:pPr>
        <w:pStyle w:val="9"/>
        <w:spacing w:after="0" w:line="249" w:lineRule="auto"/>
        <w:rPr>
          <w:rFonts w:hint="eastAsia"/>
        </w:rPr>
      </w:pPr>
    </w:p>
    <w:p w14:paraId="0FF00F8F">
      <w:pPr>
        <w:pStyle w:val="9"/>
        <w:spacing w:after="0" w:line="249" w:lineRule="auto"/>
        <w:rPr>
          <w:rFonts w:hint="eastAsia"/>
        </w:rPr>
      </w:pPr>
      <w:r>
        <w:rPr>
          <w:rFonts w:hint="eastAsia"/>
        </w:rPr>
        <w:t>以其自身的方式，神这次史诗般的审判进一步使黑暗的权势变得更黑暗。</w:t>
      </w:r>
    </w:p>
    <w:p w14:paraId="40106E5D">
      <w:pPr>
        <w:pStyle w:val="9"/>
        <w:spacing w:after="0" w:line="249" w:lineRule="auto"/>
        <w:rPr>
          <w:rFonts w:hint="eastAsia"/>
        </w:rPr>
      </w:pPr>
    </w:p>
    <w:p w14:paraId="693C16E6">
      <w:pPr>
        <w:pStyle w:val="9"/>
        <w:spacing w:after="0" w:line="249" w:lineRule="auto"/>
        <w:rPr>
          <w:rFonts w:hint="eastAsia"/>
        </w:rPr>
      </w:pPr>
      <w:r>
        <w:rPr>
          <w:rFonts w:hint="eastAsia"/>
        </w:rPr>
        <w:t>Yet here too, we see glimpses of hope—glimpses of a coming Kingdom, and of the mighty King who will bring it in.</w:t>
      </w:r>
    </w:p>
    <w:p w14:paraId="20F9907B">
      <w:pPr>
        <w:pStyle w:val="9"/>
        <w:spacing w:after="0" w:line="249" w:lineRule="auto"/>
        <w:rPr>
          <w:rFonts w:hint="eastAsia"/>
        </w:rPr>
      </w:pPr>
    </w:p>
    <w:p w14:paraId="43590F20">
      <w:pPr>
        <w:pStyle w:val="9"/>
        <w:spacing w:after="0" w:line="249" w:lineRule="auto"/>
        <w:rPr>
          <w:rFonts w:hint="eastAsia"/>
        </w:rPr>
      </w:pPr>
      <w:r>
        <w:rPr>
          <w:rFonts w:hint="eastAsia"/>
        </w:rPr>
        <w:t>然而在这里，我们也看见了希望的微光——一瞥将要来临的国度，以及那将带来它的大能君王。</w:t>
      </w:r>
    </w:p>
    <w:p w14:paraId="05215B00">
      <w:pPr>
        <w:pStyle w:val="9"/>
        <w:spacing w:after="0" w:line="249" w:lineRule="auto"/>
        <w:rPr>
          <w:rFonts w:hint="eastAsia"/>
        </w:rPr>
      </w:pPr>
    </w:p>
    <w:p w14:paraId="5085F019">
      <w:pPr>
        <w:pStyle w:val="9"/>
        <w:spacing w:after="0" w:line="249" w:lineRule="auto"/>
        <w:rPr>
          <w:rFonts w:hint="eastAsia"/>
        </w:rPr>
      </w:pPr>
      <w:r>
        <w:rPr>
          <w:rFonts w:hint="eastAsia"/>
        </w:rPr>
        <w:t>The story is a familiar one.</w:t>
      </w:r>
    </w:p>
    <w:p w14:paraId="4C5023A8">
      <w:pPr>
        <w:pStyle w:val="9"/>
        <w:spacing w:after="0" w:line="249" w:lineRule="auto"/>
        <w:rPr>
          <w:rFonts w:hint="eastAsia"/>
        </w:rPr>
      </w:pPr>
    </w:p>
    <w:p w14:paraId="26399B0D">
      <w:pPr>
        <w:pStyle w:val="9"/>
        <w:spacing w:after="0" w:line="249" w:lineRule="auto"/>
        <w:rPr>
          <w:rFonts w:hint="eastAsia"/>
        </w:rPr>
      </w:pPr>
      <w:r>
        <w:rPr>
          <w:rFonts w:hint="eastAsia"/>
        </w:rPr>
        <w:t>这个故事是人所熟悉的。</w:t>
      </w:r>
    </w:p>
    <w:p w14:paraId="2E640CAA">
      <w:pPr>
        <w:pStyle w:val="9"/>
        <w:spacing w:after="0" w:line="249" w:lineRule="auto"/>
        <w:rPr>
          <w:rFonts w:hint="eastAsia"/>
        </w:rPr>
      </w:pPr>
    </w:p>
    <w:p w14:paraId="28E4E7FA">
      <w:pPr>
        <w:pStyle w:val="9"/>
        <w:spacing w:after="0" w:line="249" w:lineRule="auto"/>
        <w:rPr>
          <w:rFonts w:hint="eastAsia"/>
        </w:rPr>
      </w:pPr>
      <w:r>
        <w:rPr>
          <w:rFonts w:hint="eastAsia"/>
        </w:rPr>
        <w:t>For some 1600 years, the sinful sons of Adam had corrupted themselves, until the day came when every intention of the thoughts of men’s hearts was only evil continually (Gen. 6:5).</w:t>
      </w:r>
    </w:p>
    <w:p w14:paraId="0C8A0963">
      <w:pPr>
        <w:pStyle w:val="9"/>
        <w:spacing w:after="0" w:line="249" w:lineRule="auto"/>
        <w:rPr>
          <w:rFonts w:hint="eastAsia"/>
        </w:rPr>
      </w:pPr>
    </w:p>
    <w:p w14:paraId="67CCB1B4">
      <w:pPr>
        <w:pStyle w:val="9"/>
        <w:spacing w:after="0" w:line="249" w:lineRule="auto"/>
        <w:rPr>
          <w:rFonts w:hint="eastAsia"/>
        </w:rPr>
      </w:pPr>
      <w:r>
        <w:rPr>
          <w:rFonts w:hint="eastAsia"/>
        </w:rPr>
        <w:t>约1600年来，亚当有罪的子孙败坏了自己，直到有一天，人心里思念的尽都是恶（创 6:5）。</w:t>
      </w:r>
    </w:p>
    <w:p w14:paraId="548113A5">
      <w:pPr>
        <w:pStyle w:val="9"/>
        <w:spacing w:after="0" w:line="249" w:lineRule="auto"/>
        <w:rPr>
          <w:rFonts w:hint="eastAsia"/>
        </w:rPr>
      </w:pPr>
    </w:p>
    <w:p w14:paraId="0C1BC6C8">
      <w:pPr>
        <w:pStyle w:val="9"/>
        <w:spacing w:after="0" w:line="249" w:lineRule="auto"/>
        <w:rPr>
          <w:rFonts w:hint="eastAsia"/>
        </w:rPr>
      </w:pPr>
      <w:r>
        <w:rPr>
          <w:rFonts w:hint="eastAsia"/>
        </w:rPr>
        <w:t>Therefore, God determined to destroy all flesh—everything that drew the breath of life (Gen. 6:13).</w:t>
      </w:r>
    </w:p>
    <w:p w14:paraId="1F81826F">
      <w:pPr>
        <w:pStyle w:val="9"/>
        <w:spacing w:after="0" w:line="249" w:lineRule="auto"/>
        <w:rPr>
          <w:rFonts w:hint="eastAsia"/>
        </w:rPr>
      </w:pPr>
    </w:p>
    <w:p w14:paraId="30659C32">
      <w:pPr>
        <w:pStyle w:val="9"/>
        <w:spacing w:after="0" w:line="249" w:lineRule="auto"/>
        <w:rPr>
          <w:rFonts w:hint="eastAsia"/>
        </w:rPr>
      </w:pPr>
      <w:r>
        <w:rPr>
          <w:rFonts w:hint="eastAsia"/>
        </w:rPr>
        <w:t>因此，神决定要毁灭一切的血肉——一切有生命气息的（创 6:13）。</w:t>
      </w:r>
    </w:p>
    <w:p w14:paraId="53280F18">
      <w:pPr>
        <w:pStyle w:val="9"/>
        <w:spacing w:after="0" w:line="249" w:lineRule="auto"/>
        <w:rPr>
          <w:rFonts w:hint="eastAsia"/>
        </w:rPr>
      </w:pPr>
    </w:p>
    <w:p w14:paraId="6B6A7A60">
      <w:pPr>
        <w:pStyle w:val="9"/>
        <w:spacing w:after="0" w:line="249" w:lineRule="auto"/>
        <w:rPr>
          <w:rFonts w:hint="eastAsia"/>
        </w:rPr>
      </w:pPr>
      <w:r>
        <w:rPr>
          <w:rFonts w:hint="eastAsia"/>
        </w:rPr>
        <w:t>He chose a global Flood as the instrument of his judgment, a flood to be effected by two closely related events: the opening of the windows of heaven, and the breaking up of the fountains of the great deep (Gen. 7:11).</w:t>
      </w:r>
    </w:p>
    <w:p w14:paraId="644B9AA3">
      <w:pPr>
        <w:pStyle w:val="9"/>
        <w:spacing w:after="0" w:line="249" w:lineRule="auto"/>
        <w:rPr>
          <w:rFonts w:hint="eastAsia"/>
        </w:rPr>
      </w:pPr>
    </w:p>
    <w:p w14:paraId="29CB6E0D">
      <w:pPr>
        <w:pStyle w:val="9"/>
        <w:spacing w:after="0" w:line="249" w:lineRule="auto"/>
        <w:rPr>
          <w:rFonts w:hint="eastAsia"/>
        </w:rPr>
      </w:pPr>
      <w:r>
        <w:rPr>
          <w:rFonts w:hint="eastAsia"/>
        </w:rPr>
        <w:t>祂选择了一场全球性的洪水作为祂审判的工具，这场洪水是由两个紧密相关的事件所造成的：天上的窗户都敞开了，大渊的泉源都裂开了（创 7:11）。</w:t>
      </w:r>
    </w:p>
    <w:p w14:paraId="75055EF4">
      <w:pPr>
        <w:pStyle w:val="9"/>
        <w:spacing w:after="0" w:line="249" w:lineRule="auto"/>
        <w:rPr>
          <w:rFonts w:hint="eastAsia"/>
        </w:rPr>
      </w:pPr>
    </w:p>
    <w:p w14:paraId="41BB36BC">
      <w:pPr>
        <w:pStyle w:val="9"/>
        <w:spacing w:after="0" w:line="249" w:lineRule="auto"/>
        <w:rPr>
          <w:rFonts w:hint="eastAsia"/>
        </w:rPr>
      </w:pPr>
      <w:r>
        <w:rPr>
          <w:rFonts w:hint="eastAsia"/>
        </w:rPr>
        <w:t>Between the both of them, God would altogether cleanse the face of the earth (Gen. 6:7).</w:t>
      </w:r>
    </w:p>
    <w:p w14:paraId="170C8949">
      <w:pPr>
        <w:pStyle w:val="9"/>
        <w:spacing w:after="0" w:line="249" w:lineRule="auto"/>
        <w:rPr>
          <w:rFonts w:hint="eastAsia"/>
        </w:rPr>
      </w:pPr>
    </w:p>
    <w:p w14:paraId="2A20BE22">
      <w:pPr>
        <w:pStyle w:val="9"/>
        <w:spacing w:after="0" w:line="249" w:lineRule="auto"/>
        <w:rPr>
          <w:rFonts w:hint="eastAsia"/>
        </w:rPr>
      </w:pPr>
      <w:r>
        <w:rPr>
          <w:rFonts w:hint="eastAsia"/>
        </w:rPr>
        <w:t>借着这两者，神要完全洁净地面（创 6:7）。</w:t>
      </w:r>
    </w:p>
    <w:p w14:paraId="49D51374">
      <w:pPr>
        <w:pStyle w:val="9"/>
        <w:spacing w:after="0" w:line="249" w:lineRule="auto"/>
        <w:rPr>
          <w:rFonts w:hint="eastAsia"/>
        </w:rPr>
      </w:pPr>
    </w:p>
    <w:p w14:paraId="696E5493">
      <w:pPr>
        <w:pStyle w:val="9"/>
        <w:spacing w:after="0" w:line="249" w:lineRule="auto"/>
        <w:rPr>
          <w:rFonts w:hint="eastAsia"/>
        </w:rPr>
      </w:pPr>
      <w:r>
        <w:rPr>
          <w:rFonts w:hint="eastAsia"/>
        </w:rPr>
        <w:t>Yet righteous Noah found favor in the eyes of the Lord, and so received a plan from heaven, a plan for an Ark of salvation that would protect him, his family, and a remnant of living creatures from the devastation of the Flood, and would carry them all in safety to a new world.</w:t>
      </w:r>
    </w:p>
    <w:p w14:paraId="44318B88">
      <w:pPr>
        <w:pStyle w:val="9"/>
        <w:spacing w:after="0" w:line="249" w:lineRule="auto"/>
        <w:rPr>
          <w:rFonts w:hint="eastAsia"/>
        </w:rPr>
      </w:pPr>
    </w:p>
    <w:p w14:paraId="0893AF52">
      <w:pPr>
        <w:pStyle w:val="9"/>
        <w:spacing w:after="0" w:line="249" w:lineRule="auto"/>
        <w:rPr>
          <w:rFonts w:hint="eastAsia"/>
        </w:rPr>
      </w:pPr>
      <w:r>
        <w:rPr>
          <w:rFonts w:hint="eastAsia"/>
        </w:rPr>
        <w:t>然而，义人挪亚在耶和华眼前蒙恩，于是从天上领受了一个计划，一个建造救恩方舟的计划，这方舟要保护他、他的家人和一群活物的余种，脱离洪水的毁灭，并将他们都安全地带到一个新世界。</w:t>
      </w:r>
    </w:p>
    <w:p w14:paraId="7E1458BC">
      <w:pPr>
        <w:pStyle w:val="9"/>
        <w:spacing w:after="0" w:line="249" w:lineRule="auto"/>
        <w:rPr>
          <w:rFonts w:hint="eastAsia"/>
        </w:rPr>
      </w:pPr>
    </w:p>
    <w:p w14:paraId="5B7AC673">
      <w:pPr>
        <w:pStyle w:val="9"/>
        <w:spacing w:after="0" w:line="249" w:lineRule="auto"/>
        <w:rPr>
          <w:rFonts w:hint="eastAsia"/>
        </w:rPr>
      </w:pPr>
      <w:r>
        <w:rPr>
          <w:rFonts w:hint="eastAsia"/>
        </w:rPr>
        <w:t>Precisely how did this universal judgment further darken the Domain of Darkness?</w:t>
      </w:r>
    </w:p>
    <w:p w14:paraId="22CE1DC9">
      <w:pPr>
        <w:pStyle w:val="9"/>
        <w:spacing w:after="0" w:line="249" w:lineRule="auto"/>
        <w:rPr>
          <w:rFonts w:hint="eastAsia"/>
        </w:rPr>
      </w:pPr>
    </w:p>
    <w:p w14:paraId="5039805D">
      <w:pPr>
        <w:pStyle w:val="9"/>
        <w:spacing w:after="0" w:line="249" w:lineRule="auto"/>
        <w:rPr>
          <w:rFonts w:hint="eastAsia"/>
        </w:rPr>
      </w:pPr>
      <w:r>
        <w:rPr>
          <w:rFonts w:hint="eastAsia"/>
        </w:rPr>
        <w:t>这场普世的审判究竟如何进一步使黑暗的权势变得更黑暗呢？</w:t>
      </w:r>
    </w:p>
    <w:p w14:paraId="2FA817F2">
      <w:pPr>
        <w:pStyle w:val="9"/>
        <w:spacing w:after="0" w:line="249" w:lineRule="auto"/>
        <w:rPr>
          <w:rFonts w:hint="eastAsia"/>
        </w:rPr>
      </w:pPr>
    </w:p>
    <w:p w14:paraId="61E76907">
      <w:pPr>
        <w:pStyle w:val="9"/>
        <w:spacing w:after="0" w:line="249" w:lineRule="auto"/>
        <w:rPr>
          <w:rFonts w:hint="eastAsia"/>
        </w:rPr>
      </w:pPr>
      <w:r>
        <w:rPr>
          <w:rFonts w:hint="eastAsia"/>
        </w:rPr>
        <w:t>In two ways.</w:t>
      </w:r>
    </w:p>
    <w:p w14:paraId="1B30F3BA">
      <w:pPr>
        <w:pStyle w:val="9"/>
        <w:spacing w:after="0" w:line="249" w:lineRule="auto"/>
        <w:rPr>
          <w:rFonts w:hint="eastAsia"/>
        </w:rPr>
      </w:pPr>
    </w:p>
    <w:p w14:paraId="09ACF076">
      <w:pPr>
        <w:pStyle w:val="9"/>
        <w:spacing w:after="0" w:line="249" w:lineRule="auto"/>
        <w:rPr>
          <w:rFonts w:hint="eastAsia"/>
        </w:rPr>
      </w:pPr>
      <w:r>
        <w:rPr>
          <w:rFonts w:hint="eastAsia"/>
        </w:rPr>
        <w:t>以两种方式。</w:t>
      </w:r>
    </w:p>
    <w:p w14:paraId="46FF8DD3">
      <w:pPr>
        <w:pStyle w:val="9"/>
        <w:spacing w:after="0" w:line="249" w:lineRule="auto"/>
        <w:rPr>
          <w:rFonts w:hint="eastAsia"/>
        </w:rPr>
      </w:pPr>
    </w:p>
    <w:p w14:paraId="7DB54DC1">
      <w:pPr>
        <w:pStyle w:val="9"/>
        <w:spacing w:after="0" w:line="249" w:lineRule="auto"/>
        <w:rPr>
          <w:rFonts w:hint="eastAsia"/>
        </w:rPr>
      </w:pPr>
      <w:r>
        <w:rPr>
          <w:rFonts w:hint="eastAsia"/>
        </w:rPr>
        <w:t>First, it left a vast imprint upon man’s homeland, the physical earth.</w:t>
      </w:r>
    </w:p>
    <w:p w14:paraId="18D94270">
      <w:pPr>
        <w:pStyle w:val="9"/>
        <w:spacing w:after="0" w:line="249" w:lineRule="auto"/>
        <w:rPr>
          <w:rFonts w:hint="eastAsia"/>
        </w:rPr>
      </w:pPr>
    </w:p>
    <w:p w14:paraId="32225480">
      <w:pPr>
        <w:pStyle w:val="9"/>
        <w:spacing w:after="0" w:line="249" w:lineRule="auto"/>
        <w:rPr>
          <w:rFonts w:hint="eastAsia"/>
        </w:rPr>
      </w:pPr>
      <w:r>
        <w:rPr>
          <w:rFonts w:hint="eastAsia"/>
        </w:rPr>
        <w:t>首先，它在人的家园，即物质的地球上，留下了巨大的印记。</w:t>
      </w:r>
    </w:p>
    <w:p w14:paraId="4A496EA3">
      <w:pPr>
        <w:pStyle w:val="9"/>
        <w:spacing w:after="0" w:line="249" w:lineRule="auto"/>
        <w:rPr>
          <w:rFonts w:hint="eastAsia"/>
        </w:rPr>
      </w:pPr>
    </w:p>
    <w:p w14:paraId="5432FE43">
      <w:pPr>
        <w:pStyle w:val="9"/>
        <w:spacing w:after="0" w:line="249" w:lineRule="auto"/>
        <w:rPr>
          <w:rFonts w:hint="eastAsia"/>
        </w:rPr>
      </w:pPr>
      <w:r>
        <w:rPr>
          <w:rFonts w:hint="eastAsia"/>
        </w:rPr>
        <w:t>According to many Christian geologists, this imprint would include such phenomena as salinized oceans, infertile deserts, uninhabitable mountain ranges, volcanoes, lava flows, frozen tundra, enormous arctic ice caps, a geological column full of animal remains, and— likely as not—the four seasons themselves, with their unwelcome and often deadly extremes of heat and cold.3</w:t>
      </w:r>
    </w:p>
    <w:p w14:paraId="35689809">
      <w:pPr>
        <w:pStyle w:val="9"/>
        <w:spacing w:after="0" w:line="249" w:lineRule="auto"/>
        <w:rPr>
          <w:rFonts w:hint="eastAsia"/>
        </w:rPr>
      </w:pPr>
    </w:p>
    <w:p w14:paraId="3D9B8C48">
      <w:pPr>
        <w:pStyle w:val="9"/>
        <w:spacing w:after="0" w:line="249" w:lineRule="auto"/>
        <w:rPr>
          <w:rFonts w:hint="eastAsia"/>
        </w:rPr>
      </w:pPr>
      <w:r>
        <w:rPr>
          <w:rFonts w:hint="eastAsia"/>
        </w:rPr>
        <w:t>根据许多基督教地质学家的说法，这个印记会包括诸如海洋盐化、贫瘠的沙漠、无法居住的山脉、火山、熔岩流、冰冻的苔原、巨大的北极冰盖、充满动物遗骸的地质柱，以及——很可能——四季本身，及其不受欢迎且常常致命的酷热严寒。3</w:t>
      </w:r>
    </w:p>
    <w:p w14:paraId="2599569F">
      <w:pPr>
        <w:pStyle w:val="9"/>
        <w:spacing w:after="0" w:line="249" w:lineRule="auto"/>
        <w:rPr>
          <w:rFonts w:hint="eastAsia"/>
        </w:rPr>
      </w:pPr>
    </w:p>
    <w:p w14:paraId="63ADAA0F">
      <w:pPr>
        <w:pStyle w:val="9"/>
        <w:spacing w:after="0" w:line="249" w:lineRule="auto"/>
        <w:rPr>
          <w:rFonts w:hint="eastAsia"/>
        </w:rPr>
      </w:pPr>
      <w:r>
        <w:rPr>
          <w:rFonts w:hint="eastAsia"/>
        </w:rPr>
        <w:t>Such terrible scars on the face of nature only added to the burdensomeness of the curse, darkening the Domain of Darkness still more.</w:t>
      </w:r>
    </w:p>
    <w:p w14:paraId="48AC9834">
      <w:pPr>
        <w:pStyle w:val="9"/>
        <w:spacing w:after="0" w:line="249" w:lineRule="auto"/>
        <w:rPr>
          <w:rFonts w:hint="eastAsia"/>
        </w:rPr>
      </w:pPr>
    </w:p>
    <w:p w14:paraId="6BDA849C">
      <w:pPr>
        <w:pStyle w:val="9"/>
        <w:spacing w:after="0" w:line="249" w:lineRule="auto"/>
        <w:rPr>
          <w:rFonts w:hint="eastAsia"/>
        </w:rPr>
      </w:pPr>
      <w:r>
        <w:rPr>
          <w:rFonts w:hint="eastAsia"/>
        </w:rPr>
        <w:t>自然面貌上如此可怕的伤痕，只会增加咒诅的沉重，使黑暗的权势更加黑暗。</w:t>
      </w:r>
    </w:p>
    <w:p w14:paraId="4CF11FEC">
      <w:pPr>
        <w:pStyle w:val="9"/>
        <w:spacing w:after="0" w:line="249" w:lineRule="auto"/>
        <w:rPr>
          <w:rFonts w:hint="eastAsia"/>
        </w:rPr>
      </w:pPr>
    </w:p>
    <w:p w14:paraId="14278A70">
      <w:pPr>
        <w:pStyle w:val="9"/>
        <w:spacing w:after="0" w:line="249" w:lineRule="auto"/>
        <w:rPr>
          <w:rFonts w:hint="eastAsia"/>
        </w:rPr>
      </w:pPr>
      <w:r>
        <w:rPr>
          <w:rFonts w:hint="eastAsia"/>
        </w:rPr>
        <w:t>Secondly, these other natural evils stood as further reminders of man’s sin, and of the judgment that God must always visit upon sin.</w:t>
      </w:r>
    </w:p>
    <w:p w14:paraId="05220F76">
      <w:pPr>
        <w:pStyle w:val="9"/>
        <w:spacing w:after="0" w:line="249" w:lineRule="auto"/>
        <w:rPr>
          <w:rFonts w:hint="eastAsia"/>
        </w:rPr>
      </w:pPr>
    </w:p>
    <w:p w14:paraId="3C0356AB">
      <w:pPr>
        <w:pStyle w:val="9"/>
        <w:spacing w:after="0" w:line="249" w:lineRule="auto"/>
        <w:rPr>
          <w:rFonts w:hint="eastAsia"/>
        </w:rPr>
      </w:pPr>
      <w:r>
        <w:rPr>
          <w:rFonts w:hint="eastAsia"/>
        </w:rPr>
        <w:t>其次，这些其他的自然邪恶，成了人罪的进一步提醒，也提醒了神必须永远临到罪的审判。</w:t>
      </w:r>
    </w:p>
    <w:p w14:paraId="4CEF8CBB">
      <w:pPr>
        <w:pStyle w:val="9"/>
        <w:spacing w:after="0" w:line="249" w:lineRule="auto"/>
        <w:rPr>
          <w:rFonts w:hint="eastAsia"/>
        </w:rPr>
      </w:pPr>
    </w:p>
    <w:p w14:paraId="6C3C6994">
      <w:pPr>
        <w:pStyle w:val="9"/>
        <w:spacing w:after="0" w:line="249" w:lineRule="auto"/>
        <w:rPr>
          <w:rFonts w:hint="eastAsia"/>
        </w:rPr>
      </w:pPr>
      <w:r>
        <w:rPr>
          <w:rFonts w:hint="eastAsia"/>
        </w:rPr>
        <w:t>In other words, they were meant not only to weigh upon man’s body, but also upon his conscience; to move him to turn back to his Creator, Judge, and Redeemer; to remind him that there is One, and One alone, who can deliver the children of Adam (and the descendants of Noah) from the flood of divine wrath that is yet to come upon the world (2 Peter 3:5-7).</w:t>
      </w:r>
    </w:p>
    <w:p w14:paraId="0ABF1A10">
      <w:pPr>
        <w:pStyle w:val="9"/>
        <w:spacing w:after="0" w:line="249" w:lineRule="auto"/>
        <w:rPr>
          <w:rFonts w:hint="eastAsia"/>
        </w:rPr>
      </w:pPr>
    </w:p>
    <w:p w14:paraId="70036226">
      <w:pPr>
        <w:pStyle w:val="9"/>
        <w:spacing w:after="0" w:line="249" w:lineRule="auto"/>
        <w:rPr>
          <w:rFonts w:hint="eastAsia"/>
        </w:rPr>
      </w:pPr>
      <w:r>
        <w:rPr>
          <w:rFonts w:hint="eastAsia"/>
        </w:rPr>
        <w:t>换句话说，它们不仅意在压在人的身体上，也压在他的良心上；感动他转回到他的创造主、审判者和救赎主那里；提醒他，有一位，且惟有一位，能拯救亚当的子孙（和挪亚的后裔）脱离那将要临到世界的神圣忿怒的洪水（彼后 3:5-7）。</w:t>
      </w:r>
    </w:p>
    <w:p w14:paraId="36BBB986">
      <w:pPr>
        <w:pStyle w:val="9"/>
        <w:spacing w:after="0" w:line="249" w:lineRule="auto"/>
        <w:rPr>
          <w:rFonts w:hint="eastAsia"/>
        </w:rPr>
      </w:pPr>
    </w:p>
    <w:p w14:paraId="7AC9ADF3">
      <w:pPr>
        <w:pStyle w:val="9"/>
        <w:spacing w:after="0" w:line="249" w:lineRule="auto"/>
        <w:rPr>
          <w:rFonts w:hint="eastAsia"/>
        </w:rPr>
      </w:pPr>
      <w:r>
        <w:rPr>
          <w:rFonts w:hint="eastAsia"/>
        </w:rPr>
        <w:t>But how exactly does the Flood speak of the Kingdom of God?</w:t>
      </w:r>
    </w:p>
    <w:p w14:paraId="3B2DF7EE">
      <w:pPr>
        <w:pStyle w:val="9"/>
        <w:spacing w:after="0" w:line="249" w:lineRule="auto"/>
        <w:rPr>
          <w:rFonts w:hint="eastAsia"/>
        </w:rPr>
      </w:pPr>
    </w:p>
    <w:p w14:paraId="71AC162B">
      <w:pPr>
        <w:pStyle w:val="9"/>
        <w:spacing w:after="0" w:line="249" w:lineRule="auto"/>
        <w:rPr>
          <w:rFonts w:hint="eastAsia"/>
        </w:rPr>
      </w:pPr>
      <w:r>
        <w:rPr>
          <w:rFonts w:hint="eastAsia"/>
        </w:rPr>
        <w:t>但洪水究竟如何论及神的国呢？</w:t>
      </w:r>
    </w:p>
    <w:p w14:paraId="19A376A3">
      <w:pPr>
        <w:pStyle w:val="9"/>
        <w:spacing w:after="0" w:line="249" w:lineRule="auto"/>
        <w:rPr>
          <w:rFonts w:hint="eastAsia"/>
        </w:rPr>
      </w:pPr>
    </w:p>
    <w:p w14:paraId="3E968F71">
      <w:pPr>
        <w:pStyle w:val="9"/>
        <w:spacing w:after="0" w:line="249" w:lineRule="auto"/>
        <w:rPr>
          <w:rFonts w:hint="eastAsia"/>
        </w:rPr>
      </w:pPr>
      <w:r>
        <w:rPr>
          <w:rFonts w:hint="eastAsia"/>
        </w:rPr>
        <w:t>Very fulsomely!</w:t>
      </w:r>
    </w:p>
    <w:p w14:paraId="38B45EED">
      <w:pPr>
        <w:pStyle w:val="9"/>
        <w:spacing w:after="0" w:line="249" w:lineRule="auto"/>
        <w:rPr>
          <w:rFonts w:hint="eastAsia"/>
        </w:rPr>
      </w:pPr>
    </w:p>
    <w:p w14:paraId="61C1305E">
      <w:pPr>
        <w:pStyle w:val="9"/>
        <w:spacing w:after="0" w:line="249" w:lineRule="auto"/>
        <w:rPr>
          <w:rFonts w:hint="eastAsia"/>
        </w:rPr>
      </w:pPr>
      <w:r>
        <w:rPr>
          <w:rFonts w:hint="eastAsia"/>
        </w:rPr>
        <w:t>非常丰富地！</w:t>
      </w:r>
    </w:p>
    <w:p w14:paraId="6F5A9F46">
      <w:pPr>
        <w:pStyle w:val="9"/>
        <w:spacing w:after="0" w:line="249" w:lineRule="auto"/>
        <w:rPr>
          <w:rFonts w:hint="eastAsia"/>
        </w:rPr>
      </w:pPr>
    </w:p>
    <w:p w14:paraId="187D4458">
      <w:pPr>
        <w:pStyle w:val="9"/>
        <w:spacing w:after="0" w:line="249" w:lineRule="auto"/>
        <w:rPr>
          <w:rFonts w:hint="eastAsia"/>
        </w:rPr>
      </w:pPr>
      <w:r>
        <w:rPr>
          <w:rFonts w:hint="eastAsia"/>
        </w:rPr>
        <w:t>Alas, the discussion of that must wait for chapter 8.</w:t>
      </w:r>
    </w:p>
    <w:p w14:paraId="05D96250">
      <w:pPr>
        <w:pStyle w:val="9"/>
        <w:spacing w:after="0" w:line="249" w:lineRule="auto"/>
        <w:rPr>
          <w:rFonts w:hint="eastAsia"/>
        </w:rPr>
      </w:pPr>
    </w:p>
    <w:p w14:paraId="60571534">
      <w:pPr>
        <w:pStyle w:val="9"/>
        <w:spacing w:after="0" w:line="249" w:lineRule="auto"/>
        <w:rPr>
          <w:rFonts w:hint="eastAsia"/>
        </w:rPr>
      </w:pPr>
      <w:r>
        <w:rPr>
          <w:rFonts w:hint="eastAsia"/>
        </w:rPr>
        <w:t>唉，那部分的讨论必须等到第8章。</w:t>
      </w:r>
    </w:p>
    <w:p w14:paraId="396E9ED6">
      <w:pPr>
        <w:pStyle w:val="9"/>
        <w:spacing w:after="0" w:line="249" w:lineRule="auto"/>
        <w:rPr>
          <w:rFonts w:hint="eastAsia"/>
        </w:rPr>
      </w:pPr>
    </w:p>
    <w:p w14:paraId="56AF9C90">
      <w:pPr>
        <w:pStyle w:val="9"/>
        <w:spacing w:after="0" w:line="249" w:lineRule="auto"/>
        <w:rPr>
          <w:rFonts w:hint="eastAsia"/>
        </w:rPr>
      </w:pPr>
      <w:r>
        <w:rPr>
          <w:rFonts w:hint="eastAsia"/>
        </w:rPr>
        <w:t>Suffice it to say here that in Noah, the Ark, and the new world he bequeathed to his children, we catch precious glimpses indeed of the Person and Work of heaven’s King, of him who sits as King over the greatest Flood of all, and of him who covenants with his people to bestow upon them new heavens and a new earth, a Kingdom thoroughly purged of the guilt, burden, presence, and scars of sin (Psalm 29:10).</w:t>
      </w:r>
    </w:p>
    <w:p w14:paraId="0E4AFD00">
      <w:pPr>
        <w:pStyle w:val="9"/>
        <w:spacing w:after="0" w:line="249" w:lineRule="auto"/>
        <w:rPr>
          <w:rFonts w:hint="eastAsia"/>
        </w:rPr>
      </w:pPr>
    </w:p>
    <w:p w14:paraId="126BE877">
      <w:pPr>
        <w:pStyle w:val="9"/>
        <w:spacing w:after="0" w:line="249" w:lineRule="auto"/>
        <w:rPr>
          <w:rFonts w:hint="eastAsia"/>
        </w:rPr>
      </w:pPr>
      <w:r>
        <w:rPr>
          <w:rFonts w:hint="eastAsia"/>
        </w:rPr>
        <w:t>在此只需说，在挪亚、方舟和他留给他儿女的新世界中，我们确实得以一瞥宝贵的景象，关乎天上君王的所是和所作，关乎祂这位坐着为王、掌管那最大洪水的一位，也关乎祂这位与祂的子民立约，要赐给他们新天新地，一个完全洁净了罪的罪咎、重担、存在和伤痕的国度（诗篇 29:10）。</w:t>
      </w:r>
    </w:p>
    <w:p w14:paraId="162AF159">
      <w:pPr>
        <w:pStyle w:val="9"/>
        <w:spacing w:after="0" w:line="249" w:lineRule="auto"/>
        <w:rPr>
          <w:rFonts w:hint="eastAsia"/>
        </w:rPr>
      </w:pPr>
    </w:p>
    <w:p w14:paraId="354D84A6">
      <w:pPr>
        <w:pStyle w:val="9"/>
        <w:spacing w:after="0" w:line="249" w:lineRule="auto"/>
        <w:rPr>
          <w:rFonts w:hint="eastAsia"/>
        </w:rPr>
      </w:pPr>
      <w:r>
        <w:rPr>
          <w:rFonts w:hint="eastAsia"/>
        </w:rPr>
        <w:t>The Kingdom and the Division of Mankind at Babel</w:t>
      </w:r>
    </w:p>
    <w:p w14:paraId="56CD04B3">
      <w:pPr>
        <w:pStyle w:val="9"/>
        <w:spacing w:after="0" w:line="249" w:lineRule="auto"/>
        <w:rPr>
          <w:rFonts w:hint="eastAsia"/>
        </w:rPr>
      </w:pPr>
    </w:p>
    <w:p w14:paraId="30430F58">
      <w:pPr>
        <w:pStyle w:val="9"/>
        <w:spacing w:after="0" w:line="249" w:lineRule="auto"/>
        <w:rPr>
          <w:rFonts w:hint="eastAsia"/>
        </w:rPr>
      </w:pPr>
      <w:r>
        <w:rPr>
          <w:rFonts w:hint="eastAsia"/>
        </w:rPr>
        <w:t>国度与在巴别塔的人类分裂</w:t>
      </w:r>
    </w:p>
    <w:p w14:paraId="2DD67A24">
      <w:pPr>
        <w:pStyle w:val="9"/>
        <w:spacing w:after="0" w:line="249" w:lineRule="auto"/>
        <w:rPr>
          <w:rFonts w:hint="eastAsia"/>
        </w:rPr>
      </w:pPr>
    </w:p>
    <w:p w14:paraId="5A87DF7B">
      <w:pPr>
        <w:pStyle w:val="9"/>
        <w:spacing w:after="0" w:line="249" w:lineRule="auto"/>
        <w:rPr>
          <w:rFonts w:hint="eastAsia"/>
        </w:rPr>
      </w:pPr>
      <w:r>
        <w:rPr>
          <w:rFonts w:hint="eastAsia"/>
        </w:rPr>
        <w:t>The third and final element of the Bad Beginning was the confusion of language at Babel, resulting in the ethnic division and dispersion of the family of man (Gen. 9-10).</w:t>
      </w:r>
    </w:p>
    <w:p w14:paraId="73BD9F29">
      <w:pPr>
        <w:pStyle w:val="9"/>
        <w:spacing w:after="0" w:line="249" w:lineRule="auto"/>
        <w:rPr>
          <w:rFonts w:hint="eastAsia"/>
        </w:rPr>
      </w:pPr>
    </w:p>
    <w:p w14:paraId="3F15BFF5">
      <w:pPr>
        <w:pStyle w:val="9"/>
        <w:spacing w:after="0" w:line="249" w:lineRule="auto"/>
        <w:rPr>
          <w:rFonts w:hint="eastAsia"/>
        </w:rPr>
      </w:pPr>
      <w:r>
        <w:rPr>
          <w:rFonts w:hint="eastAsia"/>
        </w:rPr>
        <w:t>败坏起初的第三个也是最后一个元素，是在巴别塔的语言混乱，导致了人类家庭的民族分裂和分散（创 9-10）。</w:t>
      </w:r>
    </w:p>
    <w:p w14:paraId="5834A21E">
      <w:pPr>
        <w:pStyle w:val="9"/>
        <w:spacing w:after="0" w:line="249" w:lineRule="auto"/>
        <w:rPr>
          <w:rFonts w:hint="eastAsia"/>
        </w:rPr>
      </w:pPr>
    </w:p>
    <w:p w14:paraId="4E1A3AB3">
      <w:pPr>
        <w:pStyle w:val="9"/>
        <w:spacing w:after="0" w:line="249" w:lineRule="auto"/>
        <w:rPr>
          <w:rFonts w:hint="eastAsia"/>
        </w:rPr>
      </w:pPr>
      <w:r>
        <w:rPr>
          <w:rFonts w:hint="eastAsia"/>
        </w:rPr>
        <w:t>This story is included in biblical cosmogony because it answers a question sure to be raised by any monotheistic worldview: If there really is one true God, and if he really did create one human race, why don’t the peoples of the earth live together as a single family?</w:t>
      </w:r>
    </w:p>
    <w:p w14:paraId="2E53A39B">
      <w:pPr>
        <w:pStyle w:val="9"/>
        <w:spacing w:after="0" w:line="249" w:lineRule="auto"/>
        <w:rPr>
          <w:rFonts w:hint="eastAsia"/>
        </w:rPr>
      </w:pPr>
    </w:p>
    <w:p w14:paraId="7C461F07">
      <w:pPr>
        <w:pStyle w:val="9"/>
        <w:spacing w:after="0" w:line="249" w:lineRule="auto"/>
        <w:rPr>
          <w:rFonts w:hint="eastAsia"/>
        </w:rPr>
      </w:pPr>
      <w:r>
        <w:rPr>
          <w:rFonts w:hint="eastAsia"/>
        </w:rPr>
        <w:t>这个故事被包含在圣经的宇宙起源论中，因为它回答了一个任何一神论世界观都必然会提出的问题：如果真的有一位真神，并且如果祂真的创造了一个人类，为何地上的人们不像一个单一的家庭一样生活在一起？</w:t>
      </w:r>
    </w:p>
    <w:p w14:paraId="6EDE7CEA">
      <w:pPr>
        <w:pStyle w:val="9"/>
        <w:spacing w:after="0" w:line="249" w:lineRule="auto"/>
        <w:rPr>
          <w:rFonts w:hint="eastAsia"/>
        </w:rPr>
      </w:pPr>
    </w:p>
    <w:p w14:paraId="48C6B123">
      <w:pPr>
        <w:pStyle w:val="9"/>
        <w:spacing w:after="0" w:line="249" w:lineRule="auto"/>
        <w:rPr>
          <w:rFonts w:hint="eastAsia"/>
        </w:rPr>
      </w:pPr>
      <w:r>
        <w:rPr>
          <w:rFonts w:hint="eastAsia"/>
        </w:rPr>
        <w:t>Why do they speak different languages, live in different lands, develop different cultures, and even have different religions?</w:t>
      </w:r>
    </w:p>
    <w:p w14:paraId="6A19BA69">
      <w:pPr>
        <w:pStyle w:val="9"/>
        <w:spacing w:after="0" w:line="249" w:lineRule="auto"/>
        <w:rPr>
          <w:rFonts w:hint="eastAsia"/>
        </w:rPr>
      </w:pPr>
    </w:p>
    <w:p w14:paraId="21E150F7">
      <w:pPr>
        <w:pStyle w:val="9"/>
        <w:spacing w:after="0" w:line="249" w:lineRule="auto"/>
        <w:rPr>
          <w:rFonts w:hint="eastAsia"/>
        </w:rPr>
      </w:pPr>
      <w:r>
        <w:rPr>
          <w:rFonts w:hint="eastAsia"/>
        </w:rPr>
        <w:t>他们为何说不同的语言，住在不同的土地上，发展不同的文化，甚至有不同的宗教？</w:t>
      </w:r>
    </w:p>
    <w:p w14:paraId="3508C534">
      <w:pPr>
        <w:pStyle w:val="9"/>
        <w:spacing w:after="0" w:line="249" w:lineRule="auto"/>
        <w:rPr>
          <w:rFonts w:hint="eastAsia"/>
        </w:rPr>
      </w:pPr>
    </w:p>
    <w:p w14:paraId="22C6860D">
      <w:pPr>
        <w:pStyle w:val="9"/>
        <w:spacing w:after="0" w:line="249" w:lineRule="auto"/>
        <w:rPr>
          <w:rFonts w:hint="eastAsia"/>
        </w:rPr>
      </w:pPr>
      <w:r>
        <w:rPr>
          <w:rFonts w:hint="eastAsia"/>
        </w:rPr>
        <w:t>Why must there be so much linguistic, ethnic, cultural, and religious diversity, when surely mankind could accomplish so much more without these barriers to family unity?</w:t>
      </w:r>
    </w:p>
    <w:p w14:paraId="073FC358">
      <w:pPr>
        <w:pStyle w:val="9"/>
        <w:spacing w:after="0" w:line="249" w:lineRule="auto"/>
        <w:rPr>
          <w:rFonts w:hint="eastAsia"/>
        </w:rPr>
      </w:pPr>
    </w:p>
    <w:p w14:paraId="09466B2A">
      <w:pPr>
        <w:pStyle w:val="9"/>
        <w:spacing w:after="0" w:line="249" w:lineRule="auto"/>
        <w:rPr>
          <w:rFonts w:hint="eastAsia"/>
        </w:rPr>
      </w:pPr>
      <w:r>
        <w:rPr>
          <w:rFonts w:hint="eastAsia"/>
        </w:rPr>
        <w:t>为何必须有如此多的语言、民族、文化和宗教的多样性，而若没有这些阻碍家庭合一的障碍，人类肯定能成就更多？</w:t>
      </w:r>
    </w:p>
    <w:p w14:paraId="653BBB1E">
      <w:pPr>
        <w:pStyle w:val="9"/>
        <w:spacing w:after="0" w:line="249" w:lineRule="auto"/>
        <w:rPr>
          <w:rFonts w:hint="eastAsia"/>
        </w:rPr>
      </w:pPr>
    </w:p>
    <w:p w14:paraId="40168C40">
      <w:pPr>
        <w:pStyle w:val="9"/>
        <w:spacing w:after="0" w:line="249" w:lineRule="auto"/>
        <w:rPr>
          <w:rFonts w:hint="eastAsia"/>
        </w:rPr>
      </w:pPr>
      <w:r>
        <w:rPr>
          <w:rFonts w:hint="eastAsia"/>
        </w:rPr>
        <w:t>The Bible responds to these thoughtful questions in no uncertain terms: Linguistic and ethnic division was not God’s original purpose, but presently stands as a divinely imposed restraint upon sin, and also as yet another reminder that God will indeed judge sin, especially the sin of pride and rebellion.</w:t>
      </w:r>
    </w:p>
    <w:p w14:paraId="43312372">
      <w:pPr>
        <w:pStyle w:val="9"/>
        <w:spacing w:after="0" w:line="249" w:lineRule="auto"/>
        <w:rPr>
          <w:rFonts w:hint="eastAsia"/>
        </w:rPr>
      </w:pPr>
    </w:p>
    <w:p w14:paraId="59A9C280">
      <w:pPr>
        <w:pStyle w:val="9"/>
        <w:spacing w:after="0" w:line="249" w:lineRule="auto"/>
        <w:rPr>
          <w:rFonts w:hint="eastAsia"/>
        </w:rPr>
      </w:pPr>
      <w:r>
        <w:rPr>
          <w:rFonts w:hint="eastAsia"/>
        </w:rPr>
        <w:t>圣经对这些深思熟虑的问题作出了毫不含糊的回应：语言和民族的分裂并非神最初的旨意，但目前是神所加在罪上的一个约束，也是又一个提醒，即神确实会审判罪，特别是骄傲和悖逆的罪。</w:t>
      </w:r>
    </w:p>
    <w:p w14:paraId="5025D98C">
      <w:pPr>
        <w:pStyle w:val="9"/>
        <w:spacing w:after="0" w:line="249" w:lineRule="auto"/>
        <w:rPr>
          <w:rFonts w:hint="eastAsia"/>
        </w:rPr>
      </w:pPr>
    </w:p>
    <w:p w14:paraId="32935706">
      <w:pPr>
        <w:pStyle w:val="9"/>
        <w:spacing w:after="0" w:line="249" w:lineRule="auto"/>
        <w:rPr>
          <w:rFonts w:hint="eastAsia"/>
        </w:rPr>
      </w:pPr>
      <w:r>
        <w:rPr>
          <w:rFonts w:hint="eastAsia"/>
        </w:rPr>
        <w:t>Accordingly, it too is an element of the Domain of Darkness, waiting to be overruled and abolished in the days of the Kingdom of God.</w:t>
      </w:r>
    </w:p>
    <w:p w14:paraId="4A526278">
      <w:pPr>
        <w:pStyle w:val="9"/>
        <w:spacing w:after="0" w:line="249" w:lineRule="auto"/>
        <w:rPr>
          <w:rFonts w:hint="eastAsia"/>
        </w:rPr>
      </w:pPr>
    </w:p>
    <w:p w14:paraId="39607610">
      <w:pPr>
        <w:pStyle w:val="9"/>
        <w:spacing w:after="0" w:line="249" w:lineRule="auto"/>
        <w:rPr>
          <w:rFonts w:hint="eastAsia"/>
        </w:rPr>
      </w:pPr>
      <w:r>
        <w:rPr>
          <w:rFonts w:hint="eastAsia"/>
        </w:rPr>
        <w:t>因此，它也是黑暗权势的一个元素，等待着在神的国度的日子里被推翻和废除。</w:t>
      </w:r>
    </w:p>
    <w:p w14:paraId="5E9D1B9C">
      <w:pPr>
        <w:pStyle w:val="9"/>
        <w:spacing w:after="0" w:line="249" w:lineRule="auto"/>
        <w:rPr>
          <w:rFonts w:hint="eastAsia"/>
        </w:rPr>
      </w:pPr>
    </w:p>
    <w:p w14:paraId="3D9A24F5">
      <w:pPr>
        <w:pStyle w:val="9"/>
        <w:spacing w:after="0" w:line="249" w:lineRule="auto"/>
        <w:rPr>
          <w:rFonts w:hint="eastAsia"/>
        </w:rPr>
      </w:pPr>
      <w:r>
        <w:rPr>
          <w:rFonts w:hint="eastAsia"/>
        </w:rPr>
        <w:t>To understand all this better, let us briefly recall the story itself.</w:t>
      </w:r>
    </w:p>
    <w:p w14:paraId="594AF1C0">
      <w:pPr>
        <w:pStyle w:val="9"/>
        <w:spacing w:after="0" w:line="249" w:lineRule="auto"/>
        <w:rPr>
          <w:rFonts w:hint="eastAsia"/>
        </w:rPr>
      </w:pPr>
    </w:p>
    <w:p w14:paraId="79F84013">
      <w:pPr>
        <w:pStyle w:val="9"/>
        <w:spacing w:after="0" w:line="249" w:lineRule="auto"/>
        <w:rPr>
          <w:rFonts w:hint="eastAsia"/>
        </w:rPr>
      </w:pPr>
      <w:r>
        <w:rPr>
          <w:rFonts w:hint="eastAsia"/>
        </w:rPr>
        <w:t>为了更好地理解这一切，让我们简要地回顾一下这个故事本身。</w:t>
      </w:r>
    </w:p>
    <w:p w14:paraId="42FB0B54">
      <w:pPr>
        <w:pStyle w:val="9"/>
        <w:spacing w:after="0" w:line="249" w:lineRule="auto"/>
        <w:rPr>
          <w:rFonts w:hint="eastAsia"/>
        </w:rPr>
      </w:pPr>
    </w:p>
    <w:p w14:paraId="7AE26E57">
      <w:pPr>
        <w:pStyle w:val="9"/>
        <w:spacing w:after="0" w:line="249" w:lineRule="auto"/>
        <w:rPr>
          <w:rFonts w:hint="eastAsia"/>
        </w:rPr>
      </w:pPr>
      <w:r>
        <w:rPr>
          <w:rFonts w:hint="eastAsia"/>
        </w:rPr>
        <w:t>Shortly after Noah exited the Ark, God again commanded Man to be fruitful, multiply, and fill the earth (Gen. 1:22, 28, 9:1).</w:t>
      </w:r>
    </w:p>
    <w:p w14:paraId="785272C4">
      <w:pPr>
        <w:pStyle w:val="9"/>
        <w:spacing w:after="0" w:line="249" w:lineRule="auto"/>
        <w:rPr>
          <w:rFonts w:hint="eastAsia"/>
        </w:rPr>
      </w:pPr>
    </w:p>
    <w:p w14:paraId="30B99E5B">
      <w:pPr>
        <w:pStyle w:val="9"/>
        <w:spacing w:after="0" w:line="249" w:lineRule="auto"/>
        <w:rPr>
          <w:rFonts w:hint="eastAsia"/>
        </w:rPr>
      </w:pPr>
      <w:r>
        <w:rPr>
          <w:rFonts w:hint="eastAsia"/>
        </w:rPr>
        <w:t>挪亚出方舟后不久，神再次吩咐人要生养众多，遍满地面（创 1:22, 28, 9:1）。</w:t>
      </w:r>
    </w:p>
    <w:p w14:paraId="428EBBE6">
      <w:pPr>
        <w:pStyle w:val="9"/>
        <w:spacing w:after="0" w:line="249" w:lineRule="auto"/>
        <w:rPr>
          <w:rFonts w:hint="eastAsia"/>
        </w:rPr>
      </w:pPr>
    </w:p>
    <w:p w14:paraId="163E5F9E">
      <w:pPr>
        <w:pStyle w:val="9"/>
        <w:spacing w:after="0" w:line="249" w:lineRule="auto"/>
        <w:rPr>
          <w:rFonts w:hint="eastAsia"/>
        </w:rPr>
      </w:pPr>
      <w:r>
        <w:rPr>
          <w:rFonts w:hint="eastAsia"/>
        </w:rPr>
        <w:t>He intended that Shem, Ham, Japheth, and their respective families should spread abroad throughout all the Earth.</w:t>
      </w:r>
    </w:p>
    <w:p w14:paraId="0A2A8793">
      <w:pPr>
        <w:pStyle w:val="9"/>
        <w:spacing w:after="0" w:line="249" w:lineRule="auto"/>
        <w:rPr>
          <w:rFonts w:hint="eastAsia"/>
        </w:rPr>
      </w:pPr>
    </w:p>
    <w:p w14:paraId="7AD03294">
      <w:pPr>
        <w:pStyle w:val="9"/>
        <w:spacing w:after="0" w:line="249" w:lineRule="auto"/>
        <w:rPr>
          <w:rFonts w:hint="eastAsia"/>
        </w:rPr>
      </w:pPr>
      <w:r>
        <w:rPr>
          <w:rFonts w:hint="eastAsia"/>
        </w:rPr>
        <w:t>祂的意图是，闪、含、雅弗和他们各自的家庭，应当散布到全地。</w:t>
      </w:r>
    </w:p>
    <w:p w14:paraId="20A53697">
      <w:pPr>
        <w:pStyle w:val="9"/>
        <w:spacing w:after="0" w:line="249" w:lineRule="auto"/>
        <w:rPr>
          <w:rFonts w:hint="eastAsia"/>
        </w:rPr>
      </w:pPr>
    </w:p>
    <w:p w14:paraId="0699CCCE">
      <w:pPr>
        <w:pStyle w:val="9"/>
        <w:spacing w:after="0" w:line="249" w:lineRule="auto"/>
        <w:rPr>
          <w:rFonts w:hint="eastAsia"/>
        </w:rPr>
      </w:pPr>
      <w:r>
        <w:rPr>
          <w:rFonts w:hint="eastAsia"/>
        </w:rPr>
        <w:t>It is even possible that God, through Eber’s son Peleg, gave them specific instructions concerning their proper destinations (Gen. 10:25).</w:t>
      </w:r>
    </w:p>
    <w:p w14:paraId="3E88D3A5">
      <w:pPr>
        <w:pStyle w:val="9"/>
        <w:spacing w:after="0" w:line="249" w:lineRule="auto"/>
        <w:rPr>
          <w:rFonts w:hint="eastAsia"/>
        </w:rPr>
      </w:pPr>
    </w:p>
    <w:p w14:paraId="12CEA7A7">
      <w:pPr>
        <w:pStyle w:val="9"/>
        <w:spacing w:after="0" w:line="249" w:lineRule="auto"/>
        <w:rPr>
          <w:rFonts w:hint="eastAsia"/>
        </w:rPr>
      </w:pPr>
      <w:r>
        <w:rPr>
          <w:rFonts w:hint="eastAsia"/>
        </w:rPr>
        <w:t>甚至可能，神通过希伯的儿子法勒，给了他们关于他们应有目的地的具体指示（创 10:25）。</w:t>
      </w:r>
    </w:p>
    <w:p w14:paraId="03782F01">
      <w:pPr>
        <w:pStyle w:val="9"/>
        <w:spacing w:after="0" w:line="249" w:lineRule="auto"/>
        <w:rPr>
          <w:rFonts w:hint="eastAsia"/>
        </w:rPr>
      </w:pPr>
    </w:p>
    <w:p w14:paraId="069D15D4">
      <w:pPr>
        <w:pStyle w:val="9"/>
        <w:spacing w:after="0" w:line="249" w:lineRule="auto"/>
        <w:rPr>
          <w:rFonts w:hint="eastAsia"/>
        </w:rPr>
      </w:pPr>
      <w:r>
        <w:rPr>
          <w:rFonts w:hint="eastAsia"/>
        </w:rPr>
        <w:t>In any case, the growing, sojourning seed of Noah—now led by the powerful and charismatic Nimrod—were not inclined to obey.</w:t>
      </w:r>
    </w:p>
    <w:p w14:paraId="3BEDF0E0">
      <w:pPr>
        <w:pStyle w:val="9"/>
        <w:spacing w:after="0" w:line="249" w:lineRule="auto"/>
        <w:rPr>
          <w:rFonts w:hint="eastAsia"/>
        </w:rPr>
      </w:pPr>
    </w:p>
    <w:p w14:paraId="24E0FDF2">
      <w:pPr>
        <w:pStyle w:val="9"/>
        <w:spacing w:after="0" w:line="249" w:lineRule="auto"/>
        <w:rPr>
          <w:rFonts w:hint="eastAsia"/>
        </w:rPr>
      </w:pPr>
      <w:r>
        <w:rPr>
          <w:rFonts w:hint="eastAsia"/>
        </w:rPr>
        <w:t>无论如何，挪亚那不断增长、寄居的后裔——如今由强大而有魅力的宁录所领导——并不倾向于顺从。</w:t>
      </w:r>
    </w:p>
    <w:p w14:paraId="23CAC132">
      <w:pPr>
        <w:pStyle w:val="9"/>
        <w:spacing w:after="0" w:line="249" w:lineRule="auto"/>
        <w:rPr>
          <w:rFonts w:hint="eastAsia"/>
        </w:rPr>
      </w:pPr>
    </w:p>
    <w:p w14:paraId="6DFDED8D">
      <w:pPr>
        <w:pStyle w:val="9"/>
        <w:spacing w:after="0" w:line="249" w:lineRule="auto"/>
        <w:rPr>
          <w:rFonts w:hint="eastAsia"/>
        </w:rPr>
      </w:pPr>
      <w:r>
        <w:rPr>
          <w:rFonts w:hint="eastAsia"/>
        </w:rPr>
        <w:t>Indeed, in words savoring of open rebellion, they declared:</w:t>
      </w:r>
    </w:p>
    <w:p w14:paraId="57677413">
      <w:pPr>
        <w:pStyle w:val="9"/>
        <w:spacing w:after="0" w:line="249" w:lineRule="auto"/>
        <w:rPr>
          <w:rFonts w:hint="eastAsia"/>
        </w:rPr>
      </w:pPr>
    </w:p>
    <w:p w14:paraId="78ECE4CF">
      <w:pPr>
        <w:pStyle w:val="9"/>
        <w:spacing w:after="0" w:line="249" w:lineRule="auto"/>
        <w:rPr>
          <w:rFonts w:hint="eastAsia"/>
        </w:rPr>
      </w:pPr>
      <w:r>
        <w:rPr>
          <w:rFonts w:hint="eastAsia"/>
        </w:rPr>
        <w:t>的确，他们用带着公然叛逆意味的话语宣告：</w:t>
      </w:r>
    </w:p>
    <w:p w14:paraId="70D0EA5D">
      <w:pPr>
        <w:pStyle w:val="9"/>
        <w:spacing w:after="0" w:line="249" w:lineRule="auto"/>
        <w:rPr>
          <w:rFonts w:hint="eastAsia"/>
        </w:rPr>
      </w:pPr>
    </w:p>
    <w:p w14:paraId="1972CDE9">
      <w:pPr>
        <w:pStyle w:val="9"/>
        <w:spacing w:after="0" w:line="249" w:lineRule="auto"/>
        <w:rPr>
          <w:rFonts w:hint="eastAsia"/>
        </w:rPr>
      </w:pPr>
      <w:r>
        <w:rPr>
          <w:rFonts w:hint="eastAsia"/>
        </w:rPr>
        <w:t>“Come, let us build for ourselves a city, and a tower whose top will reach into heaven, and let us make for ourselves a name, lest we be scattered abroad over the face of the whole earth.”</w:t>
      </w:r>
    </w:p>
    <w:p w14:paraId="40619A8C">
      <w:pPr>
        <w:pStyle w:val="9"/>
        <w:spacing w:after="0" w:line="249" w:lineRule="auto"/>
        <w:rPr>
          <w:rFonts w:hint="eastAsia"/>
        </w:rPr>
      </w:pPr>
    </w:p>
    <w:p w14:paraId="077A6FB3">
      <w:pPr>
        <w:pStyle w:val="9"/>
        <w:spacing w:after="0" w:line="249" w:lineRule="auto"/>
        <w:rPr>
          <w:rFonts w:hint="eastAsia"/>
        </w:rPr>
      </w:pPr>
      <w:r>
        <w:rPr>
          <w:rFonts w:hint="eastAsia"/>
        </w:rPr>
        <w:t>“来吧，我们来为自己建造一座城，和一座塔，塔顶通天，为要传扬我们的名，免得我们分散在全地上。”</w:t>
      </w:r>
    </w:p>
    <w:p w14:paraId="650ACAC3">
      <w:pPr>
        <w:pStyle w:val="9"/>
        <w:spacing w:after="0" w:line="249" w:lineRule="auto"/>
        <w:rPr>
          <w:rFonts w:hint="eastAsia"/>
        </w:rPr>
      </w:pPr>
    </w:p>
    <w:p w14:paraId="61728EC1">
      <w:pPr>
        <w:pStyle w:val="9"/>
        <w:spacing w:after="0" w:line="249" w:lineRule="auto"/>
        <w:rPr>
          <w:rFonts w:hint="eastAsia"/>
        </w:rPr>
      </w:pPr>
      <w:r>
        <w:rPr>
          <w:rFonts w:hint="eastAsia"/>
        </w:rPr>
        <w:t>—Gen 11:4</w:t>
      </w:r>
    </w:p>
    <w:p w14:paraId="7E72858F">
      <w:pPr>
        <w:pStyle w:val="9"/>
        <w:spacing w:after="0" w:line="249" w:lineRule="auto"/>
        <w:rPr>
          <w:rFonts w:hint="eastAsia"/>
        </w:rPr>
      </w:pPr>
    </w:p>
    <w:p w14:paraId="2628402B">
      <w:pPr>
        <w:pStyle w:val="9"/>
        <w:spacing w:after="0" w:line="249" w:lineRule="auto"/>
        <w:rPr>
          <w:rFonts w:hint="eastAsia"/>
        </w:rPr>
      </w:pPr>
      <w:r>
        <w:rPr>
          <w:rFonts w:hint="eastAsia"/>
        </w:rPr>
        <w:t>——创 11:4</w:t>
      </w:r>
    </w:p>
    <w:p w14:paraId="393A1A03">
      <w:pPr>
        <w:pStyle w:val="9"/>
        <w:spacing w:after="0" w:line="249" w:lineRule="auto"/>
        <w:rPr>
          <w:rFonts w:hint="eastAsia"/>
        </w:rPr>
      </w:pPr>
    </w:p>
    <w:p w14:paraId="35653B00">
      <w:pPr>
        <w:pStyle w:val="9"/>
        <w:spacing w:after="0" w:line="249" w:lineRule="auto"/>
        <w:rPr>
          <w:rFonts w:hint="eastAsia"/>
        </w:rPr>
      </w:pPr>
      <w:r>
        <w:rPr>
          <w:rFonts w:hint="eastAsia"/>
        </w:rPr>
        <w:t>The great city was to become a rallying point, a center of gravity to hold the people together.</w:t>
      </w:r>
    </w:p>
    <w:p w14:paraId="1A13121F">
      <w:pPr>
        <w:pStyle w:val="9"/>
        <w:spacing w:after="0" w:line="249" w:lineRule="auto"/>
        <w:rPr>
          <w:rFonts w:hint="eastAsia"/>
        </w:rPr>
      </w:pPr>
    </w:p>
    <w:p w14:paraId="7794215B">
      <w:pPr>
        <w:pStyle w:val="9"/>
        <w:spacing w:after="0" w:line="249" w:lineRule="auto"/>
        <w:rPr>
          <w:rFonts w:hint="eastAsia"/>
        </w:rPr>
      </w:pPr>
      <w:r>
        <w:rPr>
          <w:rFonts w:hint="eastAsia"/>
        </w:rPr>
        <w:t>那座大城要成为一个集结点，一个维系百姓的重心。</w:t>
      </w:r>
    </w:p>
    <w:p w14:paraId="17F6C1D4">
      <w:pPr>
        <w:pStyle w:val="9"/>
        <w:spacing w:after="0" w:line="249" w:lineRule="auto"/>
        <w:rPr>
          <w:rFonts w:hint="eastAsia"/>
        </w:rPr>
      </w:pPr>
    </w:p>
    <w:p w14:paraId="149DD203">
      <w:pPr>
        <w:pStyle w:val="9"/>
        <w:spacing w:after="0" w:line="249" w:lineRule="auto"/>
        <w:rPr>
          <w:rFonts w:hint="eastAsia"/>
        </w:rPr>
      </w:pPr>
      <w:r>
        <w:rPr>
          <w:rFonts w:hint="eastAsia"/>
        </w:rPr>
        <w:t>So too was the tower, visible even from the outermost bounds of the growing metropolis.</w:t>
      </w:r>
    </w:p>
    <w:p w14:paraId="6DA94F14">
      <w:pPr>
        <w:pStyle w:val="9"/>
        <w:spacing w:after="0" w:line="249" w:lineRule="auto"/>
        <w:rPr>
          <w:rFonts w:hint="eastAsia"/>
        </w:rPr>
      </w:pPr>
    </w:p>
    <w:p w14:paraId="39F93B60">
      <w:pPr>
        <w:pStyle w:val="9"/>
        <w:spacing w:after="0" w:line="249" w:lineRule="auto"/>
        <w:rPr>
          <w:rFonts w:hint="eastAsia"/>
        </w:rPr>
      </w:pPr>
      <w:r>
        <w:rPr>
          <w:rFonts w:hint="eastAsia"/>
        </w:rPr>
        <w:t>那座塔也是如此，即使从那不断扩张的大都会的最外围也能看见。</w:t>
      </w:r>
    </w:p>
    <w:p w14:paraId="5E9A8D3B">
      <w:pPr>
        <w:pStyle w:val="9"/>
        <w:spacing w:after="0" w:line="249" w:lineRule="auto"/>
        <w:rPr>
          <w:rFonts w:hint="eastAsia"/>
        </w:rPr>
      </w:pPr>
    </w:p>
    <w:p w14:paraId="3D2DF7D8">
      <w:pPr>
        <w:pStyle w:val="9"/>
        <w:spacing w:after="0" w:line="249" w:lineRule="auto"/>
        <w:rPr>
          <w:rFonts w:hint="eastAsia"/>
        </w:rPr>
      </w:pPr>
      <w:r>
        <w:rPr>
          <w:rFonts w:hint="eastAsia"/>
        </w:rPr>
        <w:t>Furthermore, in naming the city, they would in effect be renaming themselves—and thus, in time, forgetting not only their own family names, but the name of the LORD as well.</w:t>
      </w:r>
    </w:p>
    <w:p w14:paraId="3F1E4188">
      <w:pPr>
        <w:pStyle w:val="9"/>
        <w:spacing w:after="0" w:line="249" w:lineRule="auto"/>
        <w:rPr>
          <w:rFonts w:hint="eastAsia"/>
        </w:rPr>
      </w:pPr>
    </w:p>
    <w:p w14:paraId="6F723261">
      <w:pPr>
        <w:pStyle w:val="9"/>
        <w:spacing w:after="0" w:line="249" w:lineRule="auto"/>
        <w:rPr>
          <w:rFonts w:hint="eastAsia"/>
        </w:rPr>
      </w:pPr>
      <w:r>
        <w:rPr>
          <w:rFonts w:hint="eastAsia"/>
        </w:rPr>
        <w:t>此外，在给那城命名时，他们实际上也是在重新命名自己——从而，久而久之，不仅会忘记他们自己的家族名字，也会忘记耶和华的名。</w:t>
      </w:r>
    </w:p>
    <w:p w14:paraId="291B675E">
      <w:pPr>
        <w:pStyle w:val="9"/>
        <w:spacing w:after="0" w:line="249" w:lineRule="auto"/>
        <w:rPr>
          <w:rFonts w:hint="eastAsia"/>
        </w:rPr>
      </w:pPr>
    </w:p>
    <w:p w14:paraId="385CAE7D">
      <w:pPr>
        <w:pStyle w:val="9"/>
        <w:spacing w:after="0" w:line="249" w:lineRule="auto"/>
        <w:rPr>
          <w:rFonts w:hint="eastAsia"/>
        </w:rPr>
      </w:pPr>
      <w:r>
        <w:rPr>
          <w:rFonts w:hint="eastAsia"/>
        </w:rPr>
        <w:t>So God stepped in.</w:t>
      </w:r>
    </w:p>
    <w:p w14:paraId="72436D52">
      <w:pPr>
        <w:pStyle w:val="9"/>
        <w:spacing w:after="0" w:line="249" w:lineRule="auto"/>
        <w:rPr>
          <w:rFonts w:hint="eastAsia"/>
        </w:rPr>
      </w:pPr>
    </w:p>
    <w:p w14:paraId="0457867E">
      <w:pPr>
        <w:pStyle w:val="9"/>
        <w:spacing w:after="0" w:line="249" w:lineRule="auto"/>
        <w:rPr>
          <w:rFonts w:hint="eastAsia"/>
        </w:rPr>
      </w:pPr>
      <w:r>
        <w:rPr>
          <w:rFonts w:hint="eastAsia"/>
        </w:rPr>
        <w:t>于是神介入了。</w:t>
      </w:r>
    </w:p>
    <w:p w14:paraId="3B941143">
      <w:pPr>
        <w:pStyle w:val="9"/>
        <w:spacing w:after="0" w:line="249" w:lineRule="auto"/>
        <w:rPr>
          <w:rFonts w:hint="eastAsia"/>
        </w:rPr>
      </w:pPr>
    </w:p>
    <w:p w14:paraId="7FE995F3">
      <w:pPr>
        <w:pStyle w:val="9"/>
        <w:spacing w:after="0" w:line="249" w:lineRule="auto"/>
        <w:rPr>
          <w:rFonts w:hint="eastAsia"/>
        </w:rPr>
      </w:pPr>
      <w:r>
        <w:rPr>
          <w:rFonts w:hint="eastAsia"/>
        </w:rPr>
        <w:t>Surveying the situation, seeing their unity, and seeing its potential for still greater evil and rebellion, the triune LORD “went down” and confused their language, dividing their one tongue into many, according to their respective families (Gen. 10:20, 31).</w:t>
      </w:r>
    </w:p>
    <w:p w14:paraId="3221398C">
      <w:pPr>
        <w:pStyle w:val="9"/>
        <w:spacing w:after="0" w:line="249" w:lineRule="auto"/>
        <w:rPr>
          <w:rFonts w:hint="eastAsia"/>
        </w:rPr>
      </w:pPr>
    </w:p>
    <w:p w14:paraId="53C4BBF6">
      <w:pPr>
        <w:pStyle w:val="9"/>
        <w:spacing w:after="0" w:line="249" w:lineRule="auto"/>
        <w:rPr>
          <w:rFonts w:hint="eastAsia"/>
        </w:rPr>
      </w:pPr>
      <w:r>
        <w:rPr>
          <w:rFonts w:hint="eastAsia"/>
        </w:rPr>
        <w:t>三一的耶和华察看那情况，看见他们的合一，并看见其可能导致更大的邪恶和悖逆，就“下去”，变乱他们的语言，将他们一种的语言，按他们各自的家族，分成许多种（创 10:20, 31）。</w:t>
      </w:r>
    </w:p>
    <w:p w14:paraId="20B77868">
      <w:pPr>
        <w:pStyle w:val="9"/>
        <w:spacing w:after="0" w:line="249" w:lineRule="auto"/>
        <w:rPr>
          <w:rFonts w:hint="eastAsia"/>
        </w:rPr>
      </w:pPr>
    </w:p>
    <w:p w14:paraId="5A7BD39F">
      <w:pPr>
        <w:pStyle w:val="9"/>
        <w:spacing w:after="0" w:line="249" w:lineRule="auto"/>
        <w:rPr>
          <w:rFonts w:hint="eastAsia"/>
        </w:rPr>
      </w:pPr>
      <w:r>
        <w:rPr>
          <w:rFonts w:hint="eastAsia"/>
        </w:rPr>
        <w:t>The result: The people immediately stopped building, glumly memorialized the bewildering event by calling the city Babel (the Hebrew balal means to confuse), and then—no doubt quite reluctantly—began to spread abroad.</w:t>
      </w:r>
    </w:p>
    <w:p w14:paraId="40DA5CB8">
      <w:pPr>
        <w:pStyle w:val="9"/>
        <w:spacing w:after="0" w:line="249" w:lineRule="auto"/>
        <w:rPr>
          <w:rFonts w:hint="eastAsia"/>
        </w:rPr>
      </w:pPr>
    </w:p>
    <w:p w14:paraId="5797DE11">
      <w:pPr>
        <w:pStyle w:val="9"/>
        <w:spacing w:after="0" w:line="249" w:lineRule="auto"/>
        <w:rPr>
          <w:rFonts w:hint="eastAsia"/>
        </w:rPr>
      </w:pPr>
      <w:r>
        <w:rPr>
          <w:rFonts w:hint="eastAsia"/>
        </w:rPr>
        <w:t>结果是：百姓立刻停工，闷闷不乐地将那城称为巴别（希伯来文 balal 意为混乱），以此来记念那个令人困惑的事件，然后——无疑是相当不情愿地——开始分散开来。</w:t>
      </w:r>
    </w:p>
    <w:p w14:paraId="1CAB0FD0">
      <w:pPr>
        <w:pStyle w:val="9"/>
        <w:spacing w:after="0" w:line="249" w:lineRule="auto"/>
        <w:rPr>
          <w:rFonts w:hint="eastAsia"/>
        </w:rPr>
      </w:pPr>
    </w:p>
    <w:p w14:paraId="0973B494">
      <w:pPr>
        <w:pStyle w:val="9"/>
        <w:spacing w:after="0" w:line="249" w:lineRule="auto"/>
        <w:rPr>
          <w:rFonts w:hint="eastAsia"/>
        </w:rPr>
      </w:pPr>
      <w:r>
        <w:rPr>
          <w:rFonts w:hint="eastAsia"/>
        </w:rPr>
        <w:t>By confusing their language, God had confounded their purpose, and also successfully established his own (Deut. 32:8, Prov. 19:21, Acts 17:26).</w:t>
      </w:r>
    </w:p>
    <w:p w14:paraId="1B95EBC6">
      <w:pPr>
        <w:pStyle w:val="9"/>
        <w:spacing w:after="0" w:line="249" w:lineRule="auto"/>
        <w:rPr>
          <w:rFonts w:hint="eastAsia"/>
        </w:rPr>
      </w:pPr>
    </w:p>
    <w:p w14:paraId="65BC94FA">
      <w:pPr>
        <w:pStyle w:val="9"/>
        <w:spacing w:after="0" w:line="249" w:lineRule="auto"/>
        <w:rPr>
          <w:rFonts w:hint="eastAsia"/>
        </w:rPr>
      </w:pPr>
      <w:r>
        <w:rPr>
          <w:rFonts w:hint="eastAsia"/>
        </w:rPr>
        <w:t>通过变乱他们的语言，神就搅乱了他们的意图，也成功地立定了祂自己的意图（申 32:8, 箴 19:21, 徒 17:26）。</w:t>
      </w:r>
    </w:p>
    <w:p w14:paraId="3305F137">
      <w:pPr>
        <w:pStyle w:val="9"/>
        <w:spacing w:after="0" w:line="249" w:lineRule="auto"/>
        <w:rPr>
          <w:rFonts w:hint="eastAsia"/>
        </w:rPr>
      </w:pPr>
    </w:p>
    <w:p w14:paraId="7D03734A">
      <w:pPr>
        <w:pStyle w:val="9"/>
        <w:spacing w:after="0" w:line="249" w:lineRule="auto"/>
        <w:rPr>
          <w:rFonts w:hint="eastAsia"/>
        </w:rPr>
      </w:pPr>
      <w:r>
        <w:rPr>
          <w:rFonts w:hint="eastAsia"/>
        </w:rPr>
        <w:t>In addition to explaining the origin of ethnic divisions in the family of man, this story is clearly designed to warn and instruct the descendents of Noah of all times and places.</w:t>
      </w:r>
    </w:p>
    <w:p w14:paraId="6EDBBE70">
      <w:pPr>
        <w:pStyle w:val="9"/>
        <w:spacing w:after="0" w:line="249" w:lineRule="auto"/>
        <w:rPr>
          <w:rFonts w:hint="eastAsia"/>
        </w:rPr>
      </w:pPr>
    </w:p>
    <w:p w14:paraId="43AFDE08">
      <w:pPr>
        <w:pStyle w:val="9"/>
        <w:spacing w:after="0" w:line="249" w:lineRule="auto"/>
        <w:rPr>
          <w:rFonts w:hint="eastAsia"/>
        </w:rPr>
      </w:pPr>
      <w:r>
        <w:rPr>
          <w:rFonts w:hint="eastAsia"/>
        </w:rPr>
        <w:t>除了解释人类家庭中民族分裂的起源，这个故事显然也是为了警告和教导挪亚在各时各地的后裔。</w:t>
      </w:r>
    </w:p>
    <w:p w14:paraId="2D4267D7">
      <w:pPr>
        <w:pStyle w:val="9"/>
        <w:spacing w:after="0" w:line="249" w:lineRule="auto"/>
        <w:rPr>
          <w:rFonts w:hint="eastAsia"/>
        </w:rPr>
      </w:pPr>
    </w:p>
    <w:p w14:paraId="50AE9D5B">
      <w:pPr>
        <w:pStyle w:val="9"/>
        <w:spacing w:after="0" w:line="249" w:lineRule="auto"/>
        <w:rPr>
          <w:rFonts w:hint="eastAsia"/>
        </w:rPr>
      </w:pPr>
      <w:r>
        <w:rPr>
          <w:rFonts w:hint="eastAsia"/>
        </w:rPr>
        <w:t>It warns against rebellion.</w:t>
      </w:r>
    </w:p>
    <w:p w14:paraId="4B61FB64">
      <w:pPr>
        <w:pStyle w:val="9"/>
        <w:spacing w:after="0" w:line="249" w:lineRule="auto"/>
        <w:rPr>
          <w:rFonts w:hint="eastAsia"/>
        </w:rPr>
      </w:pPr>
    </w:p>
    <w:p w14:paraId="5BE835F9">
      <w:pPr>
        <w:pStyle w:val="9"/>
        <w:spacing w:after="0" w:line="249" w:lineRule="auto"/>
        <w:rPr>
          <w:rFonts w:hint="eastAsia"/>
        </w:rPr>
      </w:pPr>
      <w:r>
        <w:rPr>
          <w:rFonts w:hint="eastAsia"/>
        </w:rPr>
        <w:t>它警告悖逆。</w:t>
      </w:r>
    </w:p>
    <w:p w14:paraId="3C0119AD">
      <w:pPr>
        <w:pStyle w:val="9"/>
        <w:spacing w:after="0" w:line="249" w:lineRule="auto"/>
        <w:rPr>
          <w:rFonts w:hint="eastAsia"/>
        </w:rPr>
      </w:pPr>
    </w:p>
    <w:p w14:paraId="36CA4913">
      <w:pPr>
        <w:pStyle w:val="9"/>
        <w:spacing w:after="0" w:line="249" w:lineRule="auto"/>
        <w:rPr>
          <w:rFonts w:hint="eastAsia"/>
        </w:rPr>
      </w:pPr>
      <w:r>
        <w:rPr>
          <w:rFonts w:hint="eastAsia"/>
        </w:rPr>
        <w:t>It warns against pride.</w:t>
      </w:r>
    </w:p>
    <w:p w14:paraId="0B1EAFD1">
      <w:pPr>
        <w:pStyle w:val="9"/>
        <w:spacing w:after="0" w:line="249" w:lineRule="auto"/>
        <w:rPr>
          <w:rFonts w:hint="eastAsia"/>
        </w:rPr>
      </w:pPr>
    </w:p>
    <w:p w14:paraId="1568F52D">
      <w:pPr>
        <w:pStyle w:val="9"/>
        <w:spacing w:after="0" w:line="249" w:lineRule="auto"/>
        <w:rPr>
          <w:rFonts w:hint="eastAsia"/>
        </w:rPr>
      </w:pPr>
      <w:r>
        <w:rPr>
          <w:rFonts w:hint="eastAsia"/>
        </w:rPr>
        <w:t>它警告骄傲。</w:t>
      </w:r>
    </w:p>
    <w:p w14:paraId="1B80D4C8">
      <w:pPr>
        <w:pStyle w:val="9"/>
        <w:spacing w:after="0" w:line="249" w:lineRule="auto"/>
        <w:rPr>
          <w:rFonts w:hint="eastAsia"/>
        </w:rPr>
      </w:pPr>
    </w:p>
    <w:p w14:paraId="06106C5D">
      <w:pPr>
        <w:pStyle w:val="9"/>
        <w:spacing w:after="0" w:line="249" w:lineRule="auto"/>
        <w:rPr>
          <w:rFonts w:hint="eastAsia"/>
        </w:rPr>
      </w:pPr>
      <w:r>
        <w:rPr>
          <w:rFonts w:hint="eastAsia"/>
        </w:rPr>
        <w:t>It warns against the deceptive powers of charismatic leaders and mass psychology.</w:t>
      </w:r>
    </w:p>
    <w:p w14:paraId="6BB77233">
      <w:pPr>
        <w:pStyle w:val="9"/>
        <w:spacing w:after="0" w:line="249" w:lineRule="auto"/>
        <w:rPr>
          <w:rFonts w:hint="eastAsia"/>
        </w:rPr>
      </w:pPr>
    </w:p>
    <w:p w14:paraId="070F514F">
      <w:pPr>
        <w:pStyle w:val="9"/>
        <w:spacing w:after="0" w:line="249" w:lineRule="auto"/>
        <w:rPr>
          <w:rFonts w:hint="eastAsia"/>
        </w:rPr>
      </w:pPr>
      <w:r>
        <w:rPr>
          <w:rFonts w:hint="eastAsia"/>
        </w:rPr>
        <w:t>它警告有魅力的领袖和大众心理学的欺骗能力。</w:t>
      </w:r>
    </w:p>
    <w:p w14:paraId="4A258321">
      <w:pPr>
        <w:pStyle w:val="9"/>
        <w:spacing w:after="0" w:line="249" w:lineRule="auto"/>
        <w:rPr>
          <w:rFonts w:hint="eastAsia"/>
        </w:rPr>
      </w:pPr>
    </w:p>
    <w:p w14:paraId="77CA81B1">
      <w:pPr>
        <w:pStyle w:val="9"/>
        <w:spacing w:after="0" w:line="249" w:lineRule="auto"/>
        <w:rPr>
          <w:rFonts w:hint="eastAsia"/>
        </w:rPr>
      </w:pPr>
      <w:r>
        <w:rPr>
          <w:rFonts w:hint="eastAsia"/>
        </w:rPr>
        <w:t>In particular, it warns against utopianism, against mankind’s perennial quest for global unity—whether political, economic, or religious.</w:t>
      </w:r>
    </w:p>
    <w:p w14:paraId="0AC8C614">
      <w:pPr>
        <w:pStyle w:val="9"/>
        <w:spacing w:after="0" w:line="249" w:lineRule="auto"/>
        <w:rPr>
          <w:rFonts w:hint="eastAsia"/>
        </w:rPr>
      </w:pPr>
    </w:p>
    <w:p w14:paraId="323ED44B">
      <w:pPr>
        <w:pStyle w:val="9"/>
        <w:spacing w:after="0" w:line="249" w:lineRule="auto"/>
        <w:rPr>
          <w:rFonts w:hint="eastAsia"/>
        </w:rPr>
      </w:pPr>
      <w:r>
        <w:rPr>
          <w:rFonts w:hint="eastAsia"/>
        </w:rPr>
        <w:t>特别是，它警告乌托邦主义，警告人类对全球统一的常年追求——无论是政治的、经济的，还是宗教的。</w:t>
      </w:r>
    </w:p>
    <w:p w14:paraId="47365158">
      <w:pPr>
        <w:pStyle w:val="9"/>
        <w:spacing w:after="0" w:line="249" w:lineRule="auto"/>
        <w:rPr>
          <w:rFonts w:hint="eastAsia"/>
        </w:rPr>
      </w:pPr>
    </w:p>
    <w:p w14:paraId="56B0C296">
      <w:pPr>
        <w:pStyle w:val="9"/>
        <w:spacing w:after="0" w:line="249" w:lineRule="auto"/>
        <w:rPr>
          <w:rFonts w:hint="eastAsia"/>
        </w:rPr>
      </w:pPr>
      <w:r>
        <w:rPr>
          <w:rFonts w:hint="eastAsia"/>
        </w:rPr>
        <w:t>The message of Babel is: Global unity is something you had in Eden, and something you forfeited at the Fall.</w:t>
      </w:r>
    </w:p>
    <w:p w14:paraId="5A19EC71">
      <w:pPr>
        <w:pStyle w:val="9"/>
        <w:spacing w:after="0" w:line="249" w:lineRule="auto"/>
        <w:rPr>
          <w:rFonts w:hint="eastAsia"/>
        </w:rPr>
      </w:pPr>
    </w:p>
    <w:p w14:paraId="423750EC">
      <w:pPr>
        <w:pStyle w:val="9"/>
        <w:spacing w:after="0" w:line="249" w:lineRule="auto"/>
        <w:rPr>
          <w:rFonts w:hint="eastAsia"/>
        </w:rPr>
      </w:pPr>
      <w:r>
        <w:rPr>
          <w:rFonts w:hint="eastAsia"/>
        </w:rPr>
        <w:t>巴别的信息是：全球统一是你在伊甸园拥有的东西，也是你在堕落时丧失的东西。</w:t>
      </w:r>
    </w:p>
    <w:p w14:paraId="53719977">
      <w:pPr>
        <w:pStyle w:val="9"/>
        <w:spacing w:after="0" w:line="249" w:lineRule="auto"/>
        <w:rPr>
          <w:rFonts w:hint="eastAsia"/>
        </w:rPr>
      </w:pPr>
    </w:p>
    <w:p w14:paraId="2E3CAB90">
      <w:pPr>
        <w:pStyle w:val="9"/>
        <w:spacing w:after="0" w:line="249" w:lineRule="auto"/>
        <w:rPr>
          <w:rFonts w:hint="eastAsia"/>
        </w:rPr>
      </w:pPr>
      <w:r>
        <w:rPr>
          <w:rFonts w:hint="eastAsia"/>
        </w:rPr>
        <w:t>It is a good thing, but a lost thing.</w:t>
      </w:r>
    </w:p>
    <w:p w14:paraId="383B5C8F">
      <w:pPr>
        <w:pStyle w:val="9"/>
        <w:spacing w:after="0" w:line="249" w:lineRule="auto"/>
        <w:rPr>
          <w:rFonts w:hint="eastAsia"/>
        </w:rPr>
      </w:pPr>
    </w:p>
    <w:p w14:paraId="21E261E5">
      <w:pPr>
        <w:pStyle w:val="9"/>
        <w:spacing w:after="0" w:line="249" w:lineRule="auto"/>
        <w:rPr>
          <w:rFonts w:hint="eastAsia"/>
        </w:rPr>
      </w:pPr>
      <w:r>
        <w:rPr>
          <w:rFonts w:hint="eastAsia"/>
        </w:rPr>
        <w:t>它是件好事，但已失落。</w:t>
      </w:r>
    </w:p>
    <w:p w14:paraId="6F4881E6">
      <w:pPr>
        <w:pStyle w:val="9"/>
        <w:spacing w:after="0" w:line="249" w:lineRule="auto"/>
        <w:rPr>
          <w:rFonts w:hint="eastAsia"/>
        </w:rPr>
      </w:pPr>
    </w:p>
    <w:p w14:paraId="0F391DAE">
      <w:pPr>
        <w:pStyle w:val="9"/>
        <w:spacing w:after="0" w:line="249" w:lineRule="auto"/>
        <w:rPr>
          <w:rFonts w:hint="eastAsia"/>
        </w:rPr>
      </w:pPr>
      <w:r>
        <w:rPr>
          <w:rFonts w:hint="eastAsia"/>
        </w:rPr>
        <w:t>Because of sin in the human heart, it is too hot to handle.</w:t>
      </w:r>
    </w:p>
    <w:p w14:paraId="32547B02">
      <w:pPr>
        <w:pStyle w:val="9"/>
        <w:spacing w:after="0" w:line="249" w:lineRule="auto"/>
        <w:rPr>
          <w:rFonts w:hint="eastAsia"/>
        </w:rPr>
      </w:pPr>
    </w:p>
    <w:p w14:paraId="0C3BDEF3">
      <w:pPr>
        <w:pStyle w:val="9"/>
        <w:spacing w:after="0" w:line="249" w:lineRule="auto"/>
        <w:rPr>
          <w:rFonts w:hint="eastAsia"/>
        </w:rPr>
      </w:pPr>
      <w:r>
        <w:rPr>
          <w:rFonts w:hint="eastAsia"/>
        </w:rPr>
        <w:t>因为人心中的罪，它太烫手了。</w:t>
      </w:r>
    </w:p>
    <w:p w14:paraId="206E350C">
      <w:pPr>
        <w:pStyle w:val="9"/>
        <w:spacing w:after="0" w:line="249" w:lineRule="auto"/>
        <w:rPr>
          <w:rFonts w:hint="eastAsia"/>
        </w:rPr>
      </w:pPr>
    </w:p>
    <w:p w14:paraId="25C263D1">
      <w:pPr>
        <w:pStyle w:val="9"/>
        <w:spacing w:after="0" w:line="249" w:lineRule="auto"/>
        <w:rPr>
          <w:rFonts w:hint="eastAsia"/>
        </w:rPr>
      </w:pPr>
      <w:r>
        <w:rPr>
          <w:rFonts w:hint="eastAsia"/>
        </w:rPr>
        <w:t>So don’t even try!</w:t>
      </w:r>
    </w:p>
    <w:p w14:paraId="2D2A3618">
      <w:pPr>
        <w:pStyle w:val="9"/>
        <w:spacing w:after="0" w:line="249" w:lineRule="auto"/>
        <w:rPr>
          <w:rFonts w:hint="eastAsia"/>
        </w:rPr>
      </w:pPr>
    </w:p>
    <w:p w14:paraId="43FF0135">
      <w:pPr>
        <w:pStyle w:val="9"/>
        <w:spacing w:after="0" w:line="249" w:lineRule="auto"/>
        <w:rPr>
          <w:rFonts w:hint="eastAsia"/>
        </w:rPr>
      </w:pPr>
      <w:r>
        <w:rPr>
          <w:rFonts w:hint="eastAsia"/>
        </w:rPr>
        <w:t>所以连试都别试！</w:t>
      </w:r>
    </w:p>
    <w:p w14:paraId="16DACFFA">
      <w:pPr>
        <w:pStyle w:val="9"/>
        <w:spacing w:after="0" w:line="249" w:lineRule="auto"/>
        <w:rPr>
          <w:rFonts w:hint="eastAsia"/>
        </w:rPr>
      </w:pPr>
    </w:p>
    <w:p w14:paraId="6119FEE6">
      <w:pPr>
        <w:pStyle w:val="9"/>
        <w:spacing w:after="0" w:line="249" w:lineRule="auto"/>
        <w:rPr>
          <w:rFonts w:hint="eastAsia"/>
        </w:rPr>
      </w:pPr>
      <w:r>
        <w:rPr>
          <w:rFonts w:hint="eastAsia"/>
        </w:rPr>
        <w:t>And yet, we know that this is not the whole story; that the ethnic and linguistic division of mankind is not the last word.</w:t>
      </w:r>
    </w:p>
    <w:p w14:paraId="498D69B4">
      <w:pPr>
        <w:pStyle w:val="9"/>
        <w:spacing w:after="0" w:line="249" w:lineRule="auto"/>
        <w:rPr>
          <w:rFonts w:hint="eastAsia"/>
        </w:rPr>
      </w:pPr>
    </w:p>
    <w:p w14:paraId="424A4168">
      <w:pPr>
        <w:pStyle w:val="9"/>
        <w:spacing w:after="0" w:line="249" w:lineRule="auto"/>
        <w:rPr>
          <w:rFonts w:hint="eastAsia"/>
        </w:rPr>
      </w:pPr>
      <w:r>
        <w:rPr>
          <w:rFonts w:hint="eastAsia"/>
        </w:rPr>
        <w:t>然而，我们知道这不是故事的全部；人类的民族和语言分裂并非最终的定论。</w:t>
      </w:r>
    </w:p>
    <w:p w14:paraId="5DC20648">
      <w:pPr>
        <w:pStyle w:val="9"/>
        <w:spacing w:after="0" w:line="249" w:lineRule="auto"/>
        <w:rPr>
          <w:rFonts w:hint="eastAsia"/>
        </w:rPr>
      </w:pPr>
    </w:p>
    <w:p w14:paraId="5383CB0F">
      <w:pPr>
        <w:pStyle w:val="9"/>
        <w:spacing w:after="0" w:line="249" w:lineRule="auto"/>
        <w:rPr>
          <w:rFonts w:hint="eastAsia"/>
        </w:rPr>
      </w:pPr>
      <w:r>
        <w:rPr>
          <w:rFonts w:hint="eastAsia"/>
        </w:rPr>
        <w:t>For a day is coming, said the OT Prophets, when God will step in to overthrow this painful element of the Domain of Darkness.</w:t>
      </w:r>
    </w:p>
    <w:p w14:paraId="4EC1A2C3">
      <w:pPr>
        <w:pStyle w:val="9"/>
        <w:spacing w:after="0" w:line="249" w:lineRule="auto"/>
        <w:rPr>
          <w:rFonts w:hint="eastAsia"/>
        </w:rPr>
      </w:pPr>
    </w:p>
    <w:p w14:paraId="5F2BE1EA">
      <w:pPr>
        <w:pStyle w:val="9"/>
        <w:spacing w:after="0" w:line="249" w:lineRule="auto"/>
        <w:rPr>
          <w:rFonts w:hint="eastAsia"/>
        </w:rPr>
      </w:pPr>
      <w:r>
        <w:rPr>
          <w:rFonts w:hint="eastAsia"/>
        </w:rPr>
        <w:t>因为旧约的申言者说，日子将到，神要介入，推翻黑暗权势这个痛苦的元素。</w:t>
      </w:r>
    </w:p>
    <w:p w14:paraId="75D2FBC9">
      <w:pPr>
        <w:pStyle w:val="9"/>
        <w:spacing w:after="0" w:line="249" w:lineRule="auto"/>
        <w:rPr>
          <w:rFonts w:hint="eastAsia"/>
        </w:rPr>
      </w:pPr>
    </w:p>
    <w:p w14:paraId="34CD0967">
      <w:pPr>
        <w:pStyle w:val="9"/>
        <w:spacing w:after="0" w:line="249" w:lineRule="auto"/>
        <w:rPr>
          <w:rFonts w:hint="eastAsia"/>
        </w:rPr>
      </w:pPr>
      <w:r>
        <w:rPr>
          <w:rFonts w:hint="eastAsia"/>
        </w:rPr>
        <w:t>It will occur when he sends his Messiah, the appointed King of the nations.</w:t>
      </w:r>
    </w:p>
    <w:p w14:paraId="229FB0EF">
      <w:pPr>
        <w:pStyle w:val="9"/>
        <w:spacing w:after="0" w:line="249" w:lineRule="auto"/>
        <w:rPr>
          <w:rFonts w:hint="eastAsia"/>
        </w:rPr>
      </w:pPr>
    </w:p>
    <w:p w14:paraId="59B3FB3F">
      <w:pPr>
        <w:pStyle w:val="9"/>
        <w:spacing w:after="0" w:line="249" w:lineRule="auto"/>
        <w:rPr>
          <w:rFonts w:hint="eastAsia"/>
        </w:rPr>
      </w:pPr>
      <w:r>
        <w:rPr>
          <w:rFonts w:hint="eastAsia"/>
        </w:rPr>
        <w:t>这事将在祂差遣祂的弥赛亚，即列国所命定的君王时发生。</w:t>
      </w:r>
    </w:p>
    <w:p w14:paraId="6113B9AC">
      <w:pPr>
        <w:pStyle w:val="9"/>
        <w:spacing w:after="0" w:line="249" w:lineRule="auto"/>
        <w:rPr>
          <w:rFonts w:hint="eastAsia"/>
        </w:rPr>
      </w:pPr>
    </w:p>
    <w:p w14:paraId="2B10AFBB">
      <w:pPr>
        <w:pStyle w:val="9"/>
        <w:spacing w:after="0" w:line="249" w:lineRule="auto"/>
        <w:rPr>
          <w:rFonts w:hint="eastAsia"/>
        </w:rPr>
      </w:pPr>
      <w:r>
        <w:rPr>
          <w:rFonts w:hint="eastAsia"/>
        </w:rPr>
        <w:t>In that day, he will speak peace to the divided family of man, and his dominion will be from sea to sea (Zech. 9:10).</w:t>
      </w:r>
    </w:p>
    <w:p w14:paraId="49A74C2E">
      <w:pPr>
        <w:pStyle w:val="9"/>
        <w:spacing w:after="0" w:line="249" w:lineRule="auto"/>
        <w:rPr>
          <w:rFonts w:hint="eastAsia"/>
        </w:rPr>
      </w:pPr>
    </w:p>
    <w:p w14:paraId="30263047">
      <w:pPr>
        <w:pStyle w:val="9"/>
        <w:spacing w:after="0" w:line="249" w:lineRule="auto"/>
        <w:rPr>
          <w:rFonts w:hint="eastAsia"/>
        </w:rPr>
      </w:pPr>
      <w:r>
        <w:rPr>
          <w:rFonts w:hint="eastAsia"/>
        </w:rPr>
        <w:t>在那日，祂将向分裂的人类家庭说和平，祂的权柄将从这海管到那海（亚 9:10）。</w:t>
      </w:r>
    </w:p>
    <w:p w14:paraId="28D86BB7">
      <w:pPr>
        <w:pStyle w:val="9"/>
        <w:spacing w:after="0" w:line="249" w:lineRule="auto"/>
        <w:rPr>
          <w:rFonts w:hint="eastAsia"/>
        </w:rPr>
      </w:pPr>
    </w:p>
    <w:p w14:paraId="51C79BFC">
      <w:pPr>
        <w:pStyle w:val="9"/>
        <w:spacing w:after="0" w:line="249" w:lineRule="auto"/>
        <w:rPr>
          <w:rFonts w:hint="eastAsia"/>
        </w:rPr>
      </w:pPr>
      <w:r>
        <w:rPr>
          <w:rFonts w:hint="eastAsia"/>
        </w:rPr>
        <w:t>All nations will call him blessed, and they will bless themselves by him (Psalm 72:17).</w:t>
      </w:r>
    </w:p>
    <w:p w14:paraId="4B53096A">
      <w:pPr>
        <w:pStyle w:val="9"/>
        <w:spacing w:after="0" w:line="249" w:lineRule="auto"/>
        <w:rPr>
          <w:rFonts w:hint="eastAsia"/>
        </w:rPr>
      </w:pPr>
    </w:p>
    <w:p w14:paraId="38DEF31D">
      <w:pPr>
        <w:pStyle w:val="9"/>
        <w:spacing w:after="0" w:line="249" w:lineRule="auto"/>
        <w:rPr>
          <w:rFonts w:hint="eastAsia"/>
        </w:rPr>
      </w:pPr>
      <w:r>
        <w:rPr>
          <w:rFonts w:hint="eastAsia"/>
        </w:rPr>
        <w:t>万国都要称祂为有福，也要因祂得福（诗篇 72:17）。</w:t>
      </w:r>
    </w:p>
    <w:p w14:paraId="287E6874">
      <w:pPr>
        <w:pStyle w:val="9"/>
        <w:spacing w:after="0" w:line="249" w:lineRule="auto"/>
        <w:rPr>
          <w:rFonts w:hint="eastAsia"/>
        </w:rPr>
      </w:pPr>
    </w:p>
    <w:p w14:paraId="6D40318F">
      <w:pPr>
        <w:pStyle w:val="9"/>
        <w:spacing w:after="0" w:line="249" w:lineRule="auto"/>
        <w:rPr>
          <w:rFonts w:hint="eastAsia"/>
        </w:rPr>
      </w:pPr>
      <w:r>
        <w:rPr>
          <w:rFonts w:hint="eastAsia"/>
        </w:rPr>
        <w:t>Accordingly, all the ends of the earth will remember and turn to the LORD his God, and all the families of the nations will worship before him (Psalm 22:27).</w:t>
      </w:r>
    </w:p>
    <w:p w14:paraId="685528A2">
      <w:pPr>
        <w:pStyle w:val="9"/>
        <w:spacing w:after="0" w:line="249" w:lineRule="auto"/>
        <w:rPr>
          <w:rFonts w:hint="eastAsia"/>
        </w:rPr>
      </w:pPr>
    </w:p>
    <w:p w14:paraId="4D07C9F1">
      <w:pPr>
        <w:pStyle w:val="9"/>
        <w:spacing w:after="0" w:line="249" w:lineRule="auto"/>
        <w:rPr>
          <w:rFonts w:hint="eastAsia"/>
        </w:rPr>
      </w:pPr>
      <w:r>
        <w:rPr>
          <w:rFonts w:hint="eastAsia"/>
        </w:rPr>
        <w:t>因此，地的四极都要记念，归向耶和华祂的神，列国的万族都要在祂面前敬拜（诗篇 22:27）。</w:t>
      </w:r>
    </w:p>
    <w:p w14:paraId="6B574FA9">
      <w:pPr>
        <w:pStyle w:val="9"/>
        <w:spacing w:after="0" w:line="249" w:lineRule="auto"/>
        <w:rPr>
          <w:rFonts w:hint="eastAsia"/>
        </w:rPr>
      </w:pPr>
    </w:p>
    <w:p w14:paraId="05988233">
      <w:pPr>
        <w:pStyle w:val="9"/>
        <w:spacing w:after="0" w:line="249" w:lineRule="auto"/>
        <w:rPr>
          <w:rFonts w:hint="eastAsia"/>
        </w:rPr>
      </w:pPr>
      <w:r>
        <w:rPr>
          <w:rFonts w:hint="eastAsia"/>
        </w:rPr>
        <w:t>Then the LORD will be King over all the earth, and his name the only name (Zech. 14:9).</w:t>
      </w:r>
    </w:p>
    <w:p w14:paraId="34621550">
      <w:pPr>
        <w:pStyle w:val="9"/>
        <w:spacing w:after="0" w:line="249" w:lineRule="auto"/>
        <w:rPr>
          <w:rFonts w:hint="eastAsia"/>
        </w:rPr>
      </w:pPr>
    </w:p>
    <w:p w14:paraId="2336FB6D">
      <w:pPr>
        <w:pStyle w:val="9"/>
        <w:spacing w:after="0" w:line="249" w:lineRule="auto"/>
        <w:rPr>
          <w:rFonts w:hint="eastAsia"/>
        </w:rPr>
      </w:pPr>
      <w:r>
        <w:rPr>
          <w:rFonts w:hint="eastAsia"/>
        </w:rPr>
        <w:t>那时，耶和华必作全地的王，祂的名必为独一的名（亚 14:9）。</w:t>
      </w:r>
    </w:p>
    <w:p w14:paraId="7C4BCBD3">
      <w:pPr>
        <w:pStyle w:val="9"/>
        <w:spacing w:after="0" w:line="249" w:lineRule="auto"/>
        <w:rPr>
          <w:rFonts w:hint="eastAsia"/>
        </w:rPr>
      </w:pPr>
    </w:p>
    <w:p w14:paraId="6082B267">
      <w:pPr>
        <w:pStyle w:val="9"/>
        <w:spacing w:after="0" w:line="249" w:lineRule="auto"/>
        <w:rPr>
          <w:rFonts w:hint="eastAsia"/>
        </w:rPr>
      </w:pPr>
      <w:r>
        <w:rPr>
          <w:rFonts w:hint="eastAsia"/>
        </w:rPr>
        <w:t>In that day the curse that fell at Babel will be lifted, for God will give the peoples a pure language, so that all of them can call upon the name of the LORD, and serve him shoulder to shoulder (Zeph. 3:9).</w:t>
      </w:r>
    </w:p>
    <w:p w14:paraId="25B432F3">
      <w:pPr>
        <w:pStyle w:val="9"/>
        <w:spacing w:after="0" w:line="249" w:lineRule="auto"/>
        <w:rPr>
          <w:rFonts w:hint="eastAsia"/>
        </w:rPr>
      </w:pPr>
    </w:p>
    <w:p w14:paraId="6319C615">
      <w:pPr>
        <w:pStyle w:val="9"/>
        <w:spacing w:after="0" w:line="249" w:lineRule="auto"/>
        <w:rPr>
          <w:rFonts w:hint="eastAsia"/>
        </w:rPr>
      </w:pPr>
      <w:r>
        <w:rPr>
          <w:rFonts w:hint="eastAsia"/>
        </w:rPr>
        <w:t>在那日，在巴别塔所降的咒诅将被解除，因为神将赐给众民清洁的语言，好叫他们都能求告耶和华的名，同心合意地事奉祂（番 3:9）。</w:t>
      </w:r>
    </w:p>
    <w:p w14:paraId="73915312">
      <w:pPr>
        <w:pStyle w:val="9"/>
        <w:spacing w:after="0" w:line="249" w:lineRule="auto"/>
        <w:rPr>
          <w:rFonts w:hint="eastAsia"/>
        </w:rPr>
      </w:pPr>
    </w:p>
    <w:p w14:paraId="69576C45">
      <w:pPr>
        <w:pStyle w:val="9"/>
        <w:spacing w:after="0" w:line="249" w:lineRule="auto"/>
        <w:rPr>
          <w:rFonts w:hint="eastAsia"/>
        </w:rPr>
      </w:pPr>
      <w:r>
        <w:rPr>
          <w:rFonts w:hint="eastAsia"/>
        </w:rPr>
        <w:t>Even the cities of Egypt will speak the language of Canaan (Isaiah 19:18)!</w:t>
      </w:r>
    </w:p>
    <w:p w14:paraId="2AAF98D0">
      <w:pPr>
        <w:pStyle w:val="9"/>
        <w:spacing w:after="0" w:line="249" w:lineRule="auto"/>
        <w:rPr>
          <w:rFonts w:hint="eastAsia"/>
        </w:rPr>
      </w:pPr>
    </w:p>
    <w:p w14:paraId="5AD3D0E2">
      <w:pPr>
        <w:pStyle w:val="9"/>
        <w:spacing w:after="0" w:line="249" w:lineRule="auto"/>
        <w:rPr>
          <w:rFonts w:hint="eastAsia"/>
        </w:rPr>
      </w:pPr>
      <w:r>
        <w:rPr>
          <w:rFonts w:hint="eastAsia"/>
        </w:rPr>
        <w:t>连埃及的城邑也要说迦南的方言（以赛亚书 19:18）！</w:t>
      </w:r>
    </w:p>
    <w:p w14:paraId="3AE6F15A">
      <w:pPr>
        <w:pStyle w:val="9"/>
        <w:spacing w:after="0" w:line="249" w:lineRule="auto"/>
        <w:rPr>
          <w:rFonts w:hint="eastAsia"/>
        </w:rPr>
      </w:pPr>
    </w:p>
    <w:p w14:paraId="4B7A82A1">
      <w:pPr>
        <w:pStyle w:val="9"/>
        <w:spacing w:after="0" w:line="249" w:lineRule="auto"/>
        <w:rPr>
          <w:rFonts w:hint="eastAsia"/>
        </w:rPr>
      </w:pPr>
      <w:r>
        <w:rPr>
          <w:rFonts w:hint="eastAsia"/>
        </w:rPr>
        <w:t>It is, of course, only in the NT that we come to understand the meaning of these mysterious prophecies.</w:t>
      </w:r>
    </w:p>
    <w:p w14:paraId="2AC7E3A5">
      <w:pPr>
        <w:pStyle w:val="9"/>
        <w:spacing w:after="0" w:line="249" w:lineRule="auto"/>
        <w:rPr>
          <w:rFonts w:hint="eastAsia"/>
        </w:rPr>
      </w:pPr>
    </w:p>
    <w:p w14:paraId="153EF6DE">
      <w:pPr>
        <w:pStyle w:val="9"/>
        <w:spacing w:after="0" w:line="249" w:lineRule="auto"/>
        <w:rPr>
          <w:rFonts w:hint="eastAsia"/>
        </w:rPr>
      </w:pPr>
      <w:r>
        <w:rPr>
          <w:rFonts w:hint="eastAsia"/>
        </w:rPr>
        <w:t>当然，只有在新约中我们才开始理解这些奥秘预言的意义。</w:t>
      </w:r>
    </w:p>
    <w:p w14:paraId="41D11EF5">
      <w:pPr>
        <w:pStyle w:val="9"/>
        <w:spacing w:after="0" w:line="249" w:lineRule="auto"/>
        <w:rPr>
          <w:rFonts w:hint="eastAsia"/>
        </w:rPr>
      </w:pPr>
    </w:p>
    <w:p w14:paraId="52942430">
      <w:pPr>
        <w:pStyle w:val="9"/>
        <w:spacing w:after="0" w:line="249" w:lineRule="auto"/>
        <w:rPr>
          <w:rFonts w:hint="eastAsia"/>
        </w:rPr>
      </w:pPr>
      <w:r>
        <w:rPr>
          <w:rFonts w:hint="eastAsia"/>
        </w:rPr>
        <w:t>There we learn that Jesus Christ is the Messiah; that he is the King of God’s new spiritual nation, a nation comprised of redeemed Jews and Gentiles (Gal. 3:28, 6:16, 1 Peter 2:9); that he is the Head of the Body, the Church, the one New Man, whose members are drawn from every tribe, language, people, and nation (Col. 1:8, Eph. 2:15, Rev. 5:9, 7:4).</w:t>
      </w:r>
    </w:p>
    <w:p w14:paraId="082657A4">
      <w:pPr>
        <w:pStyle w:val="9"/>
        <w:spacing w:after="0" w:line="249" w:lineRule="auto"/>
        <w:rPr>
          <w:rFonts w:hint="eastAsia"/>
        </w:rPr>
      </w:pPr>
    </w:p>
    <w:p w14:paraId="458A542F">
      <w:pPr>
        <w:pStyle w:val="9"/>
        <w:spacing w:after="0" w:line="249" w:lineRule="auto"/>
        <w:rPr>
          <w:rFonts w:hint="eastAsia"/>
        </w:rPr>
      </w:pPr>
      <w:r>
        <w:rPr>
          <w:rFonts w:hint="eastAsia"/>
        </w:rPr>
        <w:t>在那里我们学到，耶稣基督是弥赛亚；祂是神新的属灵国度的君王，这个国度由蒙赎的犹太人和外邦人组成（加 3:28, 6:16, 彼前 2:9）；祂是身体的头，即教会，那一个新人，其肢体是从各支派、各方言、各民、各国中召来的（西 1:8, 弗 2:15, 启 5:9, 7:4）。</w:t>
      </w:r>
    </w:p>
    <w:p w14:paraId="4EB0E51C">
      <w:pPr>
        <w:pStyle w:val="9"/>
        <w:spacing w:after="0" w:line="249" w:lineRule="auto"/>
        <w:rPr>
          <w:rFonts w:hint="eastAsia"/>
        </w:rPr>
      </w:pPr>
    </w:p>
    <w:p w14:paraId="612EA966">
      <w:pPr>
        <w:pStyle w:val="9"/>
        <w:spacing w:after="0" w:line="249" w:lineRule="auto"/>
        <w:rPr>
          <w:rFonts w:hint="eastAsia"/>
        </w:rPr>
      </w:pPr>
      <w:r>
        <w:rPr>
          <w:rFonts w:hint="eastAsia"/>
        </w:rPr>
        <w:t>Here then, in Christ, is where God overthrows the curse of Babel.</w:t>
      </w:r>
    </w:p>
    <w:p w14:paraId="0C76D613">
      <w:pPr>
        <w:pStyle w:val="9"/>
        <w:spacing w:after="0" w:line="249" w:lineRule="auto"/>
        <w:rPr>
          <w:rFonts w:hint="eastAsia"/>
        </w:rPr>
      </w:pPr>
    </w:p>
    <w:p w14:paraId="1F7EC4E0">
      <w:pPr>
        <w:pStyle w:val="9"/>
        <w:spacing w:after="0" w:line="249" w:lineRule="auto"/>
        <w:rPr>
          <w:rFonts w:hint="eastAsia"/>
        </w:rPr>
      </w:pPr>
      <w:r>
        <w:rPr>
          <w:rFonts w:hint="eastAsia"/>
        </w:rPr>
        <w:t>那么，在这里，在基督里，神推翻了巴别的咒诅。</w:t>
      </w:r>
    </w:p>
    <w:p w14:paraId="07518672">
      <w:pPr>
        <w:pStyle w:val="9"/>
        <w:spacing w:after="0" w:line="249" w:lineRule="auto"/>
        <w:rPr>
          <w:rFonts w:hint="eastAsia"/>
        </w:rPr>
      </w:pPr>
    </w:p>
    <w:p w14:paraId="3B4AB904">
      <w:pPr>
        <w:pStyle w:val="9"/>
        <w:spacing w:after="0" w:line="249" w:lineRule="auto"/>
        <w:rPr>
          <w:rFonts w:hint="eastAsia"/>
        </w:rPr>
      </w:pPr>
      <w:r>
        <w:rPr>
          <w:rFonts w:hint="eastAsia"/>
        </w:rPr>
        <w:t>Here is where he reunites confused and scattered humanity into one Body, having one Spirit, one hope, one Lord, one faith, one baptism, and one God and Father over all, through all, and in all (Eph. 4:1-6).</w:t>
      </w:r>
    </w:p>
    <w:p w14:paraId="4B61D6CC">
      <w:pPr>
        <w:pStyle w:val="9"/>
        <w:spacing w:after="0" w:line="249" w:lineRule="auto"/>
        <w:rPr>
          <w:rFonts w:hint="eastAsia"/>
        </w:rPr>
      </w:pPr>
    </w:p>
    <w:p w14:paraId="2C0E8F26">
      <w:pPr>
        <w:pStyle w:val="9"/>
        <w:spacing w:after="0" w:line="249" w:lineRule="auto"/>
        <w:rPr>
          <w:rFonts w:hint="eastAsia"/>
        </w:rPr>
      </w:pPr>
      <w:r>
        <w:rPr>
          <w:rFonts w:hint="eastAsia"/>
        </w:rPr>
        <w:t>在这里，祂将混乱分散的人类重新联合成一个身体，同有一个灵，一个盼望，一主，一信，一浸，一位神，就是众人的父，超乎众人之上，贯乎众人之中，也住在众人之内（弗 4:1-6）。</w:t>
      </w:r>
    </w:p>
    <w:p w14:paraId="166F02BD">
      <w:pPr>
        <w:pStyle w:val="9"/>
        <w:spacing w:after="0" w:line="249" w:lineRule="auto"/>
        <w:rPr>
          <w:rFonts w:hint="eastAsia"/>
        </w:rPr>
      </w:pPr>
    </w:p>
    <w:p w14:paraId="5A091677">
      <w:pPr>
        <w:pStyle w:val="9"/>
        <w:spacing w:after="0" w:line="249" w:lineRule="auto"/>
        <w:rPr>
          <w:rFonts w:hint="eastAsia"/>
        </w:rPr>
      </w:pPr>
      <w:r>
        <w:rPr>
          <w:rFonts w:hint="eastAsia"/>
        </w:rPr>
        <w:t>Here alone is where the quest for unity is both lawful and safe, for here alone the unifying Spirit of God is at work to replace pride and selfish ambition with love, humility, and a servant’s heart (John 17, Eph. 4:1-7, Phil. 2:1f).</w:t>
      </w:r>
    </w:p>
    <w:p w14:paraId="450AADDA">
      <w:pPr>
        <w:pStyle w:val="9"/>
        <w:spacing w:after="0" w:line="249" w:lineRule="auto"/>
        <w:rPr>
          <w:rFonts w:hint="eastAsia"/>
        </w:rPr>
      </w:pPr>
    </w:p>
    <w:p w14:paraId="4881F879">
      <w:pPr>
        <w:pStyle w:val="9"/>
        <w:spacing w:after="0" w:line="249" w:lineRule="auto"/>
        <w:rPr>
          <w:rFonts w:hint="eastAsia"/>
        </w:rPr>
      </w:pPr>
      <w:r>
        <w:rPr>
          <w:rFonts w:hint="eastAsia"/>
        </w:rPr>
        <w:t>惟有在这里，对合一的追求才是既合法又安全的，因为惟有在这里，神合一的灵在作工，用爱、谦卑和仆人的心，来取代骄傲和自私的野心（约 17, 弗 4:1-7, 腓 2:1及以下）。</w:t>
      </w:r>
    </w:p>
    <w:p w14:paraId="78D754AC">
      <w:pPr>
        <w:pStyle w:val="9"/>
        <w:spacing w:after="0" w:line="249" w:lineRule="auto"/>
        <w:rPr>
          <w:rFonts w:hint="eastAsia"/>
        </w:rPr>
      </w:pPr>
    </w:p>
    <w:p w14:paraId="2A7ABB76">
      <w:pPr>
        <w:pStyle w:val="9"/>
        <w:spacing w:after="0" w:line="249" w:lineRule="auto"/>
        <w:rPr>
          <w:rFonts w:hint="eastAsia"/>
        </w:rPr>
      </w:pPr>
      <w:r>
        <w:rPr>
          <w:rFonts w:hint="eastAsia"/>
        </w:rPr>
        <w:t>Students of biblical eschatology understand that the spirit of Babel is inveterate; that it belongs essentially to the fallen world-system; that in the continuous succession of world empires it has repeatedly raised its ugly head; and that it will continue to do so until the very end, when indeed the ruler of this world (Satan) will finally succeed in incorporating all of (unredeemed) humanity into the one global kingdom that he has ever sought: into the City of Man, “Babylon the Great”, “the great city that reigns over the kings of the earth” (Rev. 13:8, 16:19, 17:8).</w:t>
      </w:r>
    </w:p>
    <w:p w14:paraId="02C545BC">
      <w:pPr>
        <w:pStyle w:val="9"/>
        <w:spacing w:after="0" w:line="249" w:lineRule="auto"/>
        <w:rPr>
          <w:rFonts w:hint="eastAsia"/>
        </w:rPr>
      </w:pPr>
    </w:p>
    <w:p w14:paraId="5235CF63">
      <w:pPr>
        <w:pStyle w:val="9"/>
        <w:spacing w:after="0" w:line="249" w:lineRule="auto"/>
        <w:rPr>
          <w:rFonts w:hint="eastAsia"/>
        </w:rPr>
      </w:pPr>
      <w:r>
        <w:rPr>
          <w:rFonts w:hint="eastAsia"/>
        </w:rPr>
        <w:t>研究圣经末世论的学生明白，巴别的灵是根深蒂固的；它本质上属于堕落的世界体系；在世界帝国的不断更替中，它一再抬头；并且它将继续如此，直到末了，那时这世界的王（撒但）最终将成功地将所有（未蒙赎）的人类并入他一直寻求的一个全球性国度中：即人城，“大巴比伦”，“那管辖地上众君王的大城”（启 13:8, 16:19, 17:8）。</w:t>
      </w:r>
    </w:p>
    <w:p w14:paraId="0B60CA99">
      <w:pPr>
        <w:pStyle w:val="9"/>
        <w:spacing w:after="0" w:line="249" w:lineRule="auto"/>
        <w:rPr>
          <w:rFonts w:hint="eastAsia"/>
        </w:rPr>
      </w:pPr>
    </w:p>
    <w:p w14:paraId="519092C3">
      <w:pPr>
        <w:pStyle w:val="9"/>
        <w:spacing w:after="0" w:line="249" w:lineRule="auto"/>
        <w:rPr>
          <w:rFonts w:hint="eastAsia"/>
        </w:rPr>
      </w:pPr>
      <w:r>
        <w:rPr>
          <w:rFonts w:hint="eastAsia"/>
        </w:rPr>
        <w:t>But again, such a kingdom is a mere counterfeit; a dark, reverse image of the real; a chimera that can never truly satisfy.</w:t>
      </w:r>
    </w:p>
    <w:p w14:paraId="61B68D6B">
      <w:pPr>
        <w:pStyle w:val="9"/>
        <w:spacing w:after="0" w:line="249" w:lineRule="auto"/>
        <w:rPr>
          <w:rFonts w:hint="eastAsia"/>
        </w:rPr>
      </w:pPr>
    </w:p>
    <w:p w14:paraId="644DCED8">
      <w:pPr>
        <w:pStyle w:val="9"/>
        <w:spacing w:after="0" w:line="249" w:lineRule="auto"/>
        <w:rPr>
          <w:rFonts w:hint="eastAsia"/>
        </w:rPr>
      </w:pPr>
      <w:r>
        <w:rPr>
          <w:rFonts w:hint="eastAsia"/>
        </w:rPr>
        <w:t>但再次强调，这样一个国度仅仅是个假冒品；是真实的黑暗反像；一个永远不能真正满足的妄想。</w:t>
      </w:r>
    </w:p>
    <w:p w14:paraId="3F3F921C">
      <w:pPr>
        <w:pStyle w:val="9"/>
        <w:spacing w:after="0" w:line="249" w:lineRule="auto"/>
        <w:rPr>
          <w:rFonts w:hint="eastAsia"/>
        </w:rPr>
      </w:pPr>
    </w:p>
    <w:p w14:paraId="01097878">
      <w:pPr>
        <w:pStyle w:val="9"/>
        <w:spacing w:after="0" w:line="249" w:lineRule="auto"/>
        <w:rPr>
          <w:rFonts w:hint="eastAsia"/>
        </w:rPr>
      </w:pPr>
      <w:r>
        <w:rPr>
          <w:rFonts w:hint="eastAsia"/>
        </w:rPr>
        <w:t>No, to enjoy the reality, one must dwell in the City of the Great King, where even now the spiritually hungry of the earth can glimpse the soon-coming Day when God will perfectly join the family of man together in one mind, one judgment, one tongue, and one eternal Kingdom (Psalm 48:2, Acts 2:1-5, 1 Cor. 1:10).</w:t>
      </w:r>
    </w:p>
    <w:p w14:paraId="2C53B4C9">
      <w:pPr>
        <w:pStyle w:val="9"/>
        <w:spacing w:after="0" w:line="249" w:lineRule="auto"/>
        <w:rPr>
          <w:rFonts w:hint="eastAsia"/>
        </w:rPr>
      </w:pPr>
    </w:p>
    <w:p w14:paraId="40AA7CEB">
      <w:pPr>
        <w:pStyle w:val="9"/>
        <w:spacing w:after="0" w:line="249" w:lineRule="auto"/>
        <w:rPr>
          <w:rFonts w:hint="eastAsia"/>
        </w:rPr>
      </w:pPr>
      <w:r>
        <w:rPr>
          <w:rFonts w:hint="eastAsia"/>
        </w:rPr>
        <w:t>不，要享受那真实，人必须居住在那大君王的城中，在那里，即使是现在，地上灵里饥饿的人也能瞥见那快要来临的日子，那时神将完全地将人类家庭联结在一起，有同一的心思，同一的判断，同一的口音，和同一个永恒的国度（诗篇 48:2, 使徒行传 2:1-5, 哥林多前书 1:10）。</w:t>
      </w:r>
    </w:p>
    <w:p w14:paraId="169D0A8E">
      <w:pPr>
        <w:pStyle w:val="9"/>
        <w:spacing w:after="0" w:line="249" w:lineRule="auto"/>
        <w:rPr>
          <w:rFonts w:hint="eastAsia"/>
        </w:rPr>
      </w:pPr>
    </w:p>
    <w:p w14:paraId="6CEF561E">
      <w:pPr>
        <w:pStyle w:val="9"/>
        <w:spacing w:after="0" w:line="249" w:lineRule="auto"/>
        <w:rPr>
          <w:rFonts w:hint="eastAsia"/>
        </w:rPr>
      </w:pPr>
      <w:r>
        <w:rPr>
          <w:rFonts w:hint="eastAsia"/>
        </w:rPr>
        <w:t>Conclusion</w:t>
      </w:r>
    </w:p>
    <w:p w14:paraId="7E199E9F">
      <w:pPr>
        <w:pStyle w:val="9"/>
        <w:spacing w:after="0" w:line="249" w:lineRule="auto"/>
        <w:rPr>
          <w:rFonts w:hint="eastAsia"/>
        </w:rPr>
      </w:pPr>
    </w:p>
    <w:p w14:paraId="7735B3AC">
      <w:pPr>
        <w:pStyle w:val="9"/>
        <w:spacing w:after="0" w:line="249" w:lineRule="auto"/>
        <w:rPr>
          <w:rFonts w:hint="eastAsia"/>
        </w:rPr>
      </w:pPr>
      <w:r>
        <w:rPr>
          <w:rFonts w:hint="eastAsia"/>
        </w:rPr>
        <w:t>结论</w:t>
      </w:r>
    </w:p>
    <w:p w14:paraId="7FAB9A17">
      <w:pPr>
        <w:pStyle w:val="9"/>
        <w:spacing w:after="0" w:line="249" w:lineRule="auto"/>
        <w:rPr>
          <w:rFonts w:hint="eastAsia"/>
        </w:rPr>
      </w:pPr>
    </w:p>
    <w:p w14:paraId="3E449AE1">
      <w:pPr>
        <w:pStyle w:val="9"/>
        <w:spacing w:after="0" w:line="249" w:lineRule="auto"/>
        <w:rPr>
          <w:rFonts w:hint="eastAsia"/>
        </w:rPr>
      </w:pPr>
      <w:r>
        <w:rPr>
          <w:rFonts w:hint="eastAsia"/>
        </w:rPr>
        <w:t>On this leg of our journey to Kingdom clarity we have seen that the mystery of the Kingdom of God, like light filtered through a prism, shines in many different hues through the cosmogony of Genesis 1-11.</w:t>
      </w:r>
    </w:p>
    <w:p w14:paraId="19E2C385">
      <w:pPr>
        <w:pStyle w:val="9"/>
        <w:spacing w:after="0" w:line="249" w:lineRule="auto"/>
        <w:rPr>
          <w:rFonts w:hint="eastAsia"/>
        </w:rPr>
      </w:pPr>
    </w:p>
    <w:p w14:paraId="254B0C40">
      <w:pPr>
        <w:pStyle w:val="9"/>
        <w:spacing w:after="0" w:line="249" w:lineRule="auto"/>
        <w:rPr>
          <w:rFonts w:hint="eastAsia"/>
        </w:rPr>
      </w:pPr>
      <w:r>
        <w:rPr>
          <w:rFonts w:hint="eastAsia"/>
        </w:rPr>
        <w:t>在我们通往国度清晰之道的这段旅程中，我们已经看到，神的国之奥秘，如同透过棱镜过滤的光线，在创世记1-11章的宇宙起源论中，以许多不同的色调闪耀着。</w:t>
      </w:r>
    </w:p>
    <w:p w14:paraId="2BA52B2D">
      <w:pPr>
        <w:pStyle w:val="9"/>
        <w:spacing w:after="0" w:line="249" w:lineRule="auto"/>
        <w:rPr>
          <w:rFonts w:hint="eastAsia"/>
        </w:rPr>
      </w:pPr>
    </w:p>
    <w:p w14:paraId="020A25D0">
      <w:pPr>
        <w:pStyle w:val="9"/>
        <w:spacing w:after="0" w:line="249" w:lineRule="auto"/>
        <w:rPr>
          <w:rFonts w:hint="eastAsia"/>
        </w:rPr>
      </w:pPr>
      <w:r>
        <w:rPr>
          <w:rFonts w:hint="eastAsia"/>
        </w:rPr>
        <w:t>To begin with, the Kingdom is glimpsed in Eden, and that in two important ways: in the beauty and wholeness of God’s reign over the pre-fall world, and also in the mystery of marriage, which pictures the ultimate rule of the Royal Christ over his Bride, the Church.</w:t>
      </w:r>
    </w:p>
    <w:p w14:paraId="76B92003">
      <w:pPr>
        <w:pStyle w:val="9"/>
        <w:spacing w:after="0" w:line="249" w:lineRule="auto"/>
        <w:rPr>
          <w:rFonts w:hint="eastAsia"/>
        </w:rPr>
      </w:pPr>
    </w:p>
    <w:p w14:paraId="5E9C8295">
      <w:pPr>
        <w:pStyle w:val="9"/>
        <w:spacing w:after="0" w:line="249" w:lineRule="auto"/>
        <w:rPr>
          <w:rFonts w:hint="eastAsia"/>
        </w:rPr>
      </w:pPr>
      <w:r>
        <w:rPr>
          <w:rFonts w:hint="eastAsia"/>
        </w:rPr>
        <w:t>首先，在伊甸园中可以瞥见国度，这有两种重要的方式：在神对堕落前世界之统治的美丽与完整中，以及在婚姻的奥秘中，这奥秘描绘了君尊的基督对祂新妇——教会——最终的统治。</w:t>
      </w:r>
    </w:p>
    <w:p w14:paraId="23F14138">
      <w:pPr>
        <w:pStyle w:val="9"/>
        <w:spacing w:after="0" w:line="249" w:lineRule="auto"/>
        <w:rPr>
          <w:rFonts w:hint="eastAsia"/>
        </w:rPr>
      </w:pPr>
    </w:p>
    <w:p w14:paraId="275B3023">
      <w:pPr>
        <w:pStyle w:val="9"/>
        <w:spacing w:after="0" w:line="249" w:lineRule="auto"/>
        <w:rPr>
          <w:rFonts w:hint="eastAsia"/>
        </w:rPr>
      </w:pPr>
      <w:r>
        <w:rPr>
          <w:rFonts w:hint="eastAsia"/>
        </w:rPr>
        <w:t>Then the Kingdom is offered in fullness at the Tree of Life, where mankind might have met—and joyfully begun to serve—the Son of God, the High King of Heaven.</w:t>
      </w:r>
    </w:p>
    <w:p w14:paraId="31A65FA3">
      <w:pPr>
        <w:pStyle w:val="9"/>
        <w:spacing w:after="0" w:line="249" w:lineRule="auto"/>
        <w:rPr>
          <w:rFonts w:hint="eastAsia"/>
        </w:rPr>
      </w:pPr>
    </w:p>
    <w:p w14:paraId="5923FBF8">
      <w:pPr>
        <w:pStyle w:val="9"/>
        <w:spacing w:after="0" w:line="249" w:lineRule="auto"/>
        <w:rPr>
          <w:rFonts w:hint="eastAsia"/>
        </w:rPr>
      </w:pPr>
      <w:r>
        <w:rPr>
          <w:rFonts w:hint="eastAsia"/>
        </w:rPr>
        <w:t>然后在生命树那里，国度以丰满的方式被提供，人类本可以在那里遇见——并喜乐地开始服事——神的儿子，天上的至高君王。</w:t>
      </w:r>
    </w:p>
    <w:p w14:paraId="2EB5E582">
      <w:pPr>
        <w:pStyle w:val="9"/>
        <w:spacing w:after="0" w:line="249" w:lineRule="auto"/>
        <w:rPr>
          <w:rFonts w:hint="eastAsia"/>
        </w:rPr>
      </w:pPr>
    </w:p>
    <w:p w14:paraId="776E420B">
      <w:pPr>
        <w:pStyle w:val="9"/>
        <w:spacing w:after="0" w:line="249" w:lineRule="auto"/>
        <w:rPr>
          <w:rFonts w:hint="eastAsia"/>
        </w:rPr>
      </w:pPr>
      <w:r>
        <w:rPr>
          <w:rFonts w:hint="eastAsia"/>
        </w:rPr>
        <w:t>Then, at the Fall it is both forfeited and supplanted by the Domain of Darkness, an evil counterfeit kingdom that holds its willing citizens captive to a host of deadly enemies, whether spiritual, Satanic, physical, or divine; a counterfeit kingdom whose painful grip upon man and nature is further strengthened by divine judgments introduced at the Flood and at the Division and Dispersion of mankind at Babel.</w:t>
      </w:r>
    </w:p>
    <w:p w14:paraId="642DBD40">
      <w:pPr>
        <w:pStyle w:val="9"/>
        <w:spacing w:after="0" w:line="249" w:lineRule="auto"/>
        <w:rPr>
          <w:rFonts w:hint="eastAsia"/>
        </w:rPr>
      </w:pPr>
    </w:p>
    <w:p w14:paraId="576E11AF">
      <w:pPr>
        <w:pStyle w:val="9"/>
        <w:spacing w:after="0" w:line="249" w:lineRule="auto"/>
        <w:rPr>
          <w:rFonts w:hint="eastAsia"/>
        </w:rPr>
      </w:pPr>
      <w:r>
        <w:rPr>
          <w:rFonts w:hint="eastAsia"/>
        </w:rPr>
        <w:t>然后，在堕落时，它既被丧失，又被黑暗的权势所取代，这是一个邪恶的假冒国度，它将其甘愿的公民掳掠给一群致命的仇敌，无论是属灵的、撒但的、属肉体的，还是神圣的；这个假冒国度对人和自然的痛苦控制，又因在洪水和在巴别塔的人类分裂与分散时所引入的神圣审判而得到进一步的加强。</w:t>
      </w:r>
    </w:p>
    <w:p w14:paraId="2CF90B3A">
      <w:pPr>
        <w:pStyle w:val="9"/>
        <w:spacing w:after="0" w:line="249" w:lineRule="auto"/>
        <w:rPr>
          <w:rFonts w:hint="eastAsia"/>
        </w:rPr>
      </w:pPr>
    </w:p>
    <w:p w14:paraId="47B39AAD">
      <w:pPr>
        <w:pStyle w:val="9"/>
        <w:spacing w:after="0" w:line="249" w:lineRule="auto"/>
        <w:rPr>
          <w:rFonts w:hint="eastAsia"/>
        </w:rPr>
      </w:pPr>
      <w:r>
        <w:rPr>
          <w:rFonts w:hint="eastAsia"/>
        </w:rPr>
        <w:t>What a mixture of light and darkness, good and evil, grace and judgment, hope and despair!</w:t>
      </w:r>
    </w:p>
    <w:p w14:paraId="2580FE37">
      <w:pPr>
        <w:pStyle w:val="9"/>
        <w:spacing w:after="0" w:line="249" w:lineRule="auto"/>
        <w:rPr>
          <w:rFonts w:hint="eastAsia"/>
        </w:rPr>
      </w:pPr>
    </w:p>
    <w:p w14:paraId="149B90E6">
      <w:pPr>
        <w:pStyle w:val="9"/>
        <w:spacing w:after="0" w:line="249" w:lineRule="auto"/>
        <w:rPr>
          <w:rFonts w:hint="eastAsia"/>
        </w:rPr>
      </w:pPr>
      <w:r>
        <w:rPr>
          <w:rFonts w:hint="eastAsia"/>
        </w:rPr>
        <w:t>何等的光明与黑暗、善与恶、恩典与审判、盼望与绝望的混合！</w:t>
      </w:r>
    </w:p>
    <w:p w14:paraId="2110F57C">
      <w:pPr>
        <w:pStyle w:val="9"/>
        <w:spacing w:after="0" w:line="249" w:lineRule="auto"/>
        <w:rPr>
          <w:rFonts w:hint="eastAsia"/>
        </w:rPr>
      </w:pPr>
    </w:p>
    <w:p w14:paraId="07EF8D7A">
      <w:pPr>
        <w:pStyle w:val="9"/>
        <w:spacing w:after="0" w:line="249" w:lineRule="auto"/>
        <w:rPr>
          <w:rFonts w:hint="eastAsia"/>
        </w:rPr>
      </w:pPr>
      <w:r>
        <w:rPr>
          <w:rFonts w:hint="eastAsia"/>
        </w:rPr>
        <w:t>However, those who know the Scriptures know full well that here the biblical accent decidedly falls upon grace and hope, if for no other reason than that God—who might justly have destroyed the universe, life, and man at the Fall—did nothing of the kind.</w:t>
      </w:r>
    </w:p>
    <w:p w14:paraId="79190408">
      <w:pPr>
        <w:pStyle w:val="9"/>
        <w:spacing w:after="0" w:line="249" w:lineRule="auto"/>
        <w:rPr>
          <w:rFonts w:hint="eastAsia"/>
        </w:rPr>
      </w:pPr>
    </w:p>
    <w:p w14:paraId="6AFB3244">
      <w:pPr>
        <w:pStyle w:val="9"/>
        <w:spacing w:after="0" w:line="249" w:lineRule="auto"/>
        <w:rPr>
          <w:rFonts w:hint="eastAsia"/>
        </w:rPr>
      </w:pPr>
      <w:r>
        <w:rPr>
          <w:rFonts w:hint="eastAsia"/>
        </w:rPr>
        <w:t>然而，那些认识圣经的人深知，在这里圣经的重点决然地落在恩典和盼望上，即使没有其他原因，也因为神——祂本可以在堕落时公义地毁灭宇宙、生命和人——却完全没有这样做。</w:t>
      </w:r>
    </w:p>
    <w:p w14:paraId="7C4150A4">
      <w:pPr>
        <w:pStyle w:val="9"/>
        <w:spacing w:after="0" w:line="249" w:lineRule="auto"/>
        <w:rPr>
          <w:rFonts w:hint="eastAsia"/>
        </w:rPr>
      </w:pPr>
    </w:p>
    <w:p w14:paraId="01F893C7">
      <w:pPr>
        <w:pStyle w:val="9"/>
        <w:spacing w:after="0" w:line="249" w:lineRule="auto"/>
        <w:rPr>
          <w:rFonts w:hint="eastAsia"/>
        </w:rPr>
      </w:pPr>
      <w:r>
        <w:rPr>
          <w:rFonts w:hint="eastAsia"/>
        </w:rPr>
        <w:t>To the contrary, being full of unconditional love for his own, he immediately went in search of his errant children, meeting them not only with words of judgment, but also with words (and deeds) of mercy and grace (Gen. 3:15, 21).</w:t>
      </w:r>
    </w:p>
    <w:p w14:paraId="28A2CFEC">
      <w:pPr>
        <w:pStyle w:val="9"/>
        <w:spacing w:after="0" w:line="249" w:lineRule="auto"/>
        <w:rPr>
          <w:rFonts w:hint="eastAsia"/>
        </w:rPr>
      </w:pPr>
    </w:p>
    <w:p w14:paraId="550475FD">
      <w:pPr>
        <w:pStyle w:val="9"/>
        <w:spacing w:after="0" w:line="249" w:lineRule="auto"/>
        <w:rPr>
          <w:rFonts w:hint="eastAsia"/>
        </w:rPr>
      </w:pPr>
      <w:r>
        <w:rPr>
          <w:rFonts w:hint="eastAsia"/>
        </w:rPr>
        <w:t>相反，祂对祂自己的人充满了无条件的爱，祂立刻去寻找祂迷失的儿女，不仅用审判的话，也用怜悯和恩典的话（和行为）来与他们相遇（创 3:15, 21）。</w:t>
      </w:r>
    </w:p>
    <w:p w14:paraId="1F2CA7E0">
      <w:pPr>
        <w:pStyle w:val="9"/>
        <w:spacing w:after="0" w:line="249" w:lineRule="auto"/>
        <w:rPr>
          <w:rFonts w:hint="eastAsia"/>
        </w:rPr>
      </w:pPr>
    </w:p>
    <w:p w14:paraId="68DFF11E">
      <w:pPr>
        <w:pStyle w:val="9"/>
        <w:spacing w:after="0" w:line="249" w:lineRule="auto"/>
        <w:rPr>
          <w:rFonts w:hint="eastAsia"/>
        </w:rPr>
      </w:pPr>
      <w:r>
        <w:rPr>
          <w:rFonts w:hint="eastAsia"/>
        </w:rPr>
        <w:t>In other words, the subsequent story of Scripture makes it clear that God willed for His Story to go on; that a new kind of history—Salvation History —was about to begin; that like a mighty river it would flow on between the banks of time until, at long last, it reached its appointed destination in the Kingdom of God; and that at all times it would have at its heart an exquisitely crafted Plan of Salvation, centered around the Person and Work of the Savior himself.</w:t>
      </w:r>
    </w:p>
    <w:p w14:paraId="4537F5B7">
      <w:pPr>
        <w:pStyle w:val="9"/>
        <w:spacing w:after="0" w:line="249" w:lineRule="auto"/>
        <w:rPr>
          <w:rFonts w:hint="eastAsia"/>
        </w:rPr>
      </w:pPr>
    </w:p>
    <w:p w14:paraId="31E7B623">
      <w:pPr>
        <w:pStyle w:val="9"/>
        <w:spacing w:after="0" w:line="249" w:lineRule="auto"/>
        <w:rPr>
          <w:rFonts w:hint="eastAsia"/>
        </w:rPr>
      </w:pPr>
      <w:r>
        <w:rPr>
          <w:rFonts w:hint="eastAsia"/>
        </w:rPr>
        <w:t>换句话说，圣经后续的故事清楚地表明，神意欲让祂的故事继续下去；一种新的历史——救赎历史——即将开始；它将像一条大河，在时间的河岸之间流淌，直到最终，到达它在神的国度中命定的目的地；并且在任何时候，其核心都将有一个精心设计的救恩计划，围绕着救主自己的所是和所作。</w:t>
      </w:r>
    </w:p>
    <w:p w14:paraId="35A3FA01">
      <w:pPr>
        <w:pStyle w:val="9"/>
        <w:spacing w:after="0" w:line="249" w:lineRule="auto"/>
        <w:rPr>
          <w:rFonts w:hint="eastAsia"/>
        </w:rPr>
      </w:pPr>
    </w:p>
    <w:p w14:paraId="6B6044DE">
      <w:pPr>
        <w:pStyle w:val="9"/>
        <w:spacing w:after="0" w:line="249" w:lineRule="auto"/>
        <w:rPr>
          <w:rFonts w:hint="eastAsia"/>
        </w:rPr>
      </w:pPr>
      <w:r>
        <w:rPr>
          <w:rFonts w:hint="eastAsia"/>
        </w:rPr>
        <w:t>If, then, we are to understand Salvation History at its depths—as well as the eternal Kingdom towards which that history is ever flowing—it is certain we must first understand the Savior who lives at its very heart.</w:t>
      </w:r>
    </w:p>
    <w:p w14:paraId="06EA55C4">
      <w:pPr>
        <w:pStyle w:val="9"/>
        <w:spacing w:after="0" w:line="249" w:lineRule="auto"/>
        <w:rPr>
          <w:rFonts w:hint="eastAsia"/>
        </w:rPr>
      </w:pPr>
    </w:p>
    <w:p w14:paraId="5749A8CA">
      <w:pPr>
        <w:pStyle w:val="9"/>
        <w:spacing w:after="0" w:line="249" w:lineRule="auto"/>
        <w:rPr>
          <w:rFonts w:hint="eastAsia"/>
        </w:rPr>
      </w:pPr>
      <w:r>
        <w:rPr>
          <w:rFonts w:hint="eastAsia"/>
        </w:rPr>
        <w:t>那么，如果我们要在其深处理解救赎历史——以及那历史永远流向的永恒国度——我们肯定必须首先理解那活在其核心的救主。</w:t>
      </w:r>
    </w:p>
    <w:p w14:paraId="2F168D28">
      <w:pPr>
        <w:pStyle w:val="9"/>
        <w:spacing w:after="0" w:line="249" w:lineRule="auto"/>
        <w:rPr>
          <w:rFonts w:hint="eastAsia"/>
        </w:rPr>
      </w:pPr>
    </w:p>
    <w:p w14:paraId="0F81871B">
      <w:pPr>
        <w:pStyle w:val="9"/>
        <w:spacing w:after="0" w:line="249" w:lineRule="auto"/>
        <w:rPr>
          <w:rFonts w:hint="eastAsia"/>
        </w:rPr>
      </w:pPr>
      <w:r>
        <w:rPr>
          <w:rFonts w:hint="eastAsia"/>
        </w:rPr>
        <w:t>On the next leg of the journey—again with Christ close by our side— we will seek to do this very thing.</w:t>
      </w:r>
    </w:p>
    <w:p w14:paraId="4531C9C5">
      <w:pPr>
        <w:pStyle w:val="9"/>
        <w:spacing w:after="0" w:line="249" w:lineRule="auto"/>
        <w:rPr>
          <w:rFonts w:hint="eastAsia"/>
        </w:rPr>
      </w:pPr>
    </w:p>
    <w:p w14:paraId="2887BA69">
      <w:pPr>
        <w:pStyle w:val="9"/>
        <w:spacing w:after="0" w:line="249" w:lineRule="auto"/>
        <w:sectPr>
          <w:pgSz w:w="12240" w:h="15840"/>
          <w:pgMar w:top="1380" w:right="1440" w:bottom="280" w:left="1440" w:header="720" w:footer="720" w:gutter="0"/>
          <w:cols w:space="720" w:num="1"/>
        </w:sectPr>
      </w:pPr>
      <w:r>
        <w:rPr>
          <w:rFonts w:hint="eastAsia"/>
        </w:rPr>
        <w:t>在下一段旅程中——再次有基督在我们身旁——我们将寻求做这件事。</w:t>
      </w:r>
    </w:p>
    <w:p w14:paraId="7BB68D0C">
      <w:pPr>
        <w:bidi w:val="0"/>
        <w:rPr>
          <w:sz w:val="30"/>
          <w:szCs w:val="30"/>
        </w:rPr>
      </w:pPr>
      <w:bookmarkStart w:id="21" w:name="Chapter 7: The Covenant and the Kingdom"/>
      <w:bookmarkEnd w:id="21"/>
      <w:bookmarkStart w:id="22" w:name="_bookmark26"/>
      <w:bookmarkEnd w:id="22"/>
    </w:p>
    <w:p w14:paraId="7D21239F">
      <w:pPr>
        <w:pStyle w:val="2"/>
        <w:bidi w:val="0"/>
        <w:rPr>
          <w:rFonts w:hint="eastAsia"/>
          <w:lang w:eastAsia="zh-CN"/>
        </w:rPr>
      </w:pPr>
      <w:r>
        <w:rPr>
          <w:rFonts w:hint="eastAsia"/>
          <w:lang w:eastAsia="zh-CN"/>
        </w:rPr>
        <w:tab/>
      </w:r>
      <w:r>
        <w:rPr>
          <w:rFonts w:hint="eastAsia"/>
          <w:lang w:eastAsia="zh-CN"/>
        </w:rPr>
        <w:t>Chapter 7</w:t>
      </w:r>
    </w:p>
    <w:p w14:paraId="13CC77E6">
      <w:pPr>
        <w:pStyle w:val="2"/>
        <w:bidi w:val="0"/>
        <w:rPr>
          <w:rFonts w:hint="eastAsia"/>
          <w:lang w:eastAsia="zh-CN"/>
        </w:rPr>
      </w:pPr>
      <w:r>
        <w:rPr>
          <w:rFonts w:hint="eastAsia"/>
          <w:lang w:eastAsia="zh-CN"/>
        </w:rPr>
        <w:t>第七章</w:t>
      </w:r>
    </w:p>
    <w:p w14:paraId="5F0B92AD">
      <w:pPr>
        <w:tabs>
          <w:tab w:val="left" w:pos="2120"/>
        </w:tabs>
        <w:bidi w:val="0"/>
        <w:jc w:val="left"/>
        <w:rPr>
          <w:rFonts w:hint="eastAsia" w:eastAsia="宋体"/>
          <w:sz w:val="30"/>
          <w:szCs w:val="30"/>
          <w:lang w:eastAsia="zh-CN"/>
        </w:rPr>
      </w:pPr>
    </w:p>
    <w:p w14:paraId="2FE43A37">
      <w:pPr>
        <w:pStyle w:val="3"/>
        <w:bidi w:val="0"/>
        <w:rPr>
          <w:rFonts w:hint="eastAsia"/>
          <w:lang w:eastAsia="zh-CN"/>
        </w:rPr>
      </w:pPr>
      <w:r>
        <w:rPr>
          <w:rFonts w:hint="eastAsia"/>
          <w:lang w:eastAsia="zh-CN"/>
        </w:rPr>
        <w:t>The Covenant and the Kingdom</w:t>
      </w:r>
    </w:p>
    <w:p w14:paraId="7F7219E8">
      <w:pPr>
        <w:pStyle w:val="3"/>
        <w:bidi w:val="0"/>
        <w:rPr>
          <w:rFonts w:hint="eastAsia"/>
          <w:lang w:eastAsia="zh-CN"/>
        </w:rPr>
      </w:pPr>
      <w:r>
        <w:rPr>
          <w:rFonts w:hint="eastAsia"/>
          <w:lang w:eastAsia="zh-CN"/>
        </w:rPr>
        <w:t>圣约与国度</w:t>
      </w:r>
    </w:p>
    <w:p w14:paraId="32DB79FA">
      <w:pPr>
        <w:tabs>
          <w:tab w:val="left" w:pos="2120"/>
        </w:tabs>
        <w:bidi w:val="0"/>
        <w:jc w:val="left"/>
        <w:rPr>
          <w:rFonts w:hint="eastAsia" w:eastAsia="宋体"/>
          <w:sz w:val="30"/>
          <w:szCs w:val="30"/>
          <w:lang w:eastAsia="zh-CN"/>
        </w:rPr>
      </w:pPr>
    </w:p>
    <w:p w14:paraId="698ECCE2">
      <w:pPr>
        <w:tabs>
          <w:tab w:val="left" w:pos="2120"/>
        </w:tabs>
        <w:bidi w:val="0"/>
        <w:jc w:val="left"/>
        <w:rPr>
          <w:rFonts w:hint="eastAsia" w:eastAsia="宋体"/>
          <w:sz w:val="30"/>
          <w:szCs w:val="30"/>
          <w:lang w:eastAsia="zh-CN"/>
        </w:rPr>
      </w:pPr>
      <w:r>
        <w:rPr>
          <w:rFonts w:hint="eastAsia" w:eastAsia="宋体"/>
          <w:sz w:val="30"/>
          <w:szCs w:val="30"/>
          <w:lang w:eastAsia="zh-CN"/>
        </w:rPr>
        <w:t>IN ORDER TO go forward, we must now go back.</w:t>
      </w:r>
    </w:p>
    <w:p w14:paraId="60AB0F64">
      <w:pPr>
        <w:tabs>
          <w:tab w:val="left" w:pos="2120"/>
        </w:tabs>
        <w:bidi w:val="0"/>
        <w:jc w:val="left"/>
        <w:rPr>
          <w:rFonts w:hint="eastAsia" w:eastAsia="宋体"/>
          <w:sz w:val="30"/>
          <w:szCs w:val="30"/>
          <w:lang w:eastAsia="zh-CN"/>
        </w:rPr>
      </w:pPr>
      <w:r>
        <w:rPr>
          <w:rFonts w:hint="eastAsia" w:eastAsia="宋体"/>
          <w:sz w:val="30"/>
          <w:szCs w:val="30"/>
          <w:lang w:eastAsia="zh-CN"/>
        </w:rPr>
        <w:t>为了前进，我们现在必须后退。</w:t>
      </w:r>
    </w:p>
    <w:p w14:paraId="18EBE1BC">
      <w:pPr>
        <w:tabs>
          <w:tab w:val="left" w:pos="2120"/>
        </w:tabs>
        <w:bidi w:val="0"/>
        <w:jc w:val="left"/>
        <w:rPr>
          <w:rFonts w:hint="eastAsia" w:eastAsia="宋体"/>
          <w:sz w:val="30"/>
          <w:szCs w:val="30"/>
          <w:lang w:eastAsia="zh-CN"/>
        </w:rPr>
      </w:pPr>
    </w:p>
    <w:p w14:paraId="5188F974">
      <w:pPr>
        <w:tabs>
          <w:tab w:val="left" w:pos="2120"/>
        </w:tabs>
        <w:bidi w:val="0"/>
        <w:jc w:val="left"/>
        <w:rPr>
          <w:rFonts w:hint="eastAsia" w:eastAsia="宋体"/>
          <w:sz w:val="30"/>
          <w:szCs w:val="30"/>
          <w:lang w:eastAsia="zh-CN"/>
        </w:rPr>
      </w:pPr>
      <w:r>
        <w:rPr>
          <w:rFonts w:hint="eastAsia" w:eastAsia="宋体"/>
          <w:sz w:val="30"/>
          <w:szCs w:val="30"/>
          <w:lang w:eastAsia="zh-CN"/>
        </w:rPr>
        <w:t>Way back!</w:t>
      </w:r>
    </w:p>
    <w:p w14:paraId="7C4A1211">
      <w:pPr>
        <w:tabs>
          <w:tab w:val="left" w:pos="2120"/>
        </w:tabs>
        <w:bidi w:val="0"/>
        <w:jc w:val="left"/>
        <w:rPr>
          <w:rFonts w:hint="eastAsia" w:eastAsia="宋体"/>
          <w:sz w:val="30"/>
          <w:szCs w:val="30"/>
          <w:lang w:eastAsia="zh-CN"/>
        </w:rPr>
      </w:pPr>
      <w:r>
        <w:rPr>
          <w:rFonts w:hint="eastAsia" w:eastAsia="宋体"/>
          <w:sz w:val="30"/>
          <w:szCs w:val="30"/>
          <w:lang w:eastAsia="zh-CN"/>
        </w:rPr>
        <w:t>回到很久以前！</w:t>
      </w:r>
    </w:p>
    <w:p w14:paraId="07AA1F99">
      <w:pPr>
        <w:tabs>
          <w:tab w:val="left" w:pos="2120"/>
        </w:tabs>
        <w:bidi w:val="0"/>
        <w:jc w:val="left"/>
        <w:rPr>
          <w:rFonts w:hint="eastAsia" w:eastAsia="宋体"/>
          <w:sz w:val="30"/>
          <w:szCs w:val="30"/>
          <w:lang w:eastAsia="zh-CN"/>
        </w:rPr>
      </w:pPr>
    </w:p>
    <w:p w14:paraId="51CBF923">
      <w:pPr>
        <w:tabs>
          <w:tab w:val="left" w:pos="2120"/>
        </w:tabs>
        <w:bidi w:val="0"/>
        <w:jc w:val="left"/>
        <w:rPr>
          <w:rFonts w:hint="eastAsia" w:eastAsia="宋体"/>
          <w:sz w:val="30"/>
          <w:szCs w:val="30"/>
          <w:lang w:eastAsia="zh-CN"/>
        </w:rPr>
      </w:pPr>
      <w:r>
        <w:rPr>
          <w:rFonts w:hint="eastAsia" w:eastAsia="宋体"/>
          <w:sz w:val="30"/>
          <w:szCs w:val="30"/>
          <w:lang w:eastAsia="zh-CN"/>
        </w:rPr>
        <w:t>Our ultimate goal is to behold the true shape of Salvation History, and the true structure of the Kingdom towards which it is ever tending.</w:t>
      </w:r>
    </w:p>
    <w:p w14:paraId="44AAE14E">
      <w:pPr>
        <w:tabs>
          <w:tab w:val="left" w:pos="2120"/>
        </w:tabs>
        <w:bidi w:val="0"/>
        <w:jc w:val="left"/>
        <w:rPr>
          <w:rFonts w:hint="eastAsia" w:eastAsia="宋体"/>
          <w:sz w:val="30"/>
          <w:szCs w:val="30"/>
          <w:lang w:eastAsia="zh-CN"/>
        </w:rPr>
      </w:pPr>
      <w:r>
        <w:rPr>
          <w:rFonts w:hint="eastAsia" w:eastAsia="宋体"/>
          <w:sz w:val="30"/>
          <w:szCs w:val="30"/>
          <w:lang w:eastAsia="zh-CN"/>
        </w:rPr>
        <w:t>我们的最终目标是看清救赎历史的真实形态，以及它所趋向的国度的真实结构。</w:t>
      </w:r>
    </w:p>
    <w:p w14:paraId="19CBAB7F">
      <w:pPr>
        <w:tabs>
          <w:tab w:val="left" w:pos="2120"/>
        </w:tabs>
        <w:bidi w:val="0"/>
        <w:jc w:val="left"/>
        <w:rPr>
          <w:rFonts w:hint="eastAsia" w:eastAsia="宋体"/>
          <w:sz w:val="30"/>
          <w:szCs w:val="30"/>
          <w:lang w:eastAsia="zh-CN"/>
        </w:rPr>
      </w:pPr>
    </w:p>
    <w:p w14:paraId="218C90F5">
      <w:pPr>
        <w:tabs>
          <w:tab w:val="left" w:pos="2120"/>
        </w:tabs>
        <w:bidi w:val="0"/>
        <w:jc w:val="left"/>
        <w:rPr>
          <w:rFonts w:hint="eastAsia" w:eastAsia="宋体"/>
          <w:sz w:val="30"/>
          <w:szCs w:val="30"/>
          <w:lang w:eastAsia="zh-CN"/>
        </w:rPr>
      </w:pPr>
      <w:r>
        <w:rPr>
          <w:rFonts w:hint="eastAsia" w:eastAsia="宋体"/>
          <w:sz w:val="30"/>
          <w:szCs w:val="30"/>
          <w:lang w:eastAsia="zh-CN"/>
        </w:rPr>
        <w:t>We have just learned, however, that Salvation History is the embodiment and outworking of a divine plan, a plan formulated before the foundation of the world.</w:t>
      </w:r>
    </w:p>
    <w:p w14:paraId="7209F63C">
      <w:pPr>
        <w:tabs>
          <w:tab w:val="left" w:pos="2120"/>
        </w:tabs>
        <w:bidi w:val="0"/>
        <w:jc w:val="left"/>
        <w:rPr>
          <w:rFonts w:hint="eastAsia" w:eastAsia="宋体"/>
          <w:sz w:val="30"/>
          <w:szCs w:val="30"/>
          <w:lang w:eastAsia="zh-CN"/>
        </w:rPr>
      </w:pPr>
      <w:r>
        <w:rPr>
          <w:rFonts w:hint="eastAsia" w:eastAsia="宋体"/>
          <w:sz w:val="30"/>
          <w:szCs w:val="30"/>
          <w:lang w:eastAsia="zh-CN"/>
        </w:rPr>
        <w:t>然而，我们刚刚了解到，救赎历史是一个神圣计划的体现和运作，这个计划是在创世以前就已制定的。</w:t>
      </w:r>
    </w:p>
    <w:p w14:paraId="4E206F4D">
      <w:pPr>
        <w:tabs>
          <w:tab w:val="left" w:pos="2120"/>
        </w:tabs>
        <w:bidi w:val="0"/>
        <w:jc w:val="left"/>
        <w:rPr>
          <w:rFonts w:hint="eastAsia" w:eastAsia="宋体"/>
          <w:sz w:val="30"/>
          <w:szCs w:val="30"/>
          <w:lang w:eastAsia="zh-CN"/>
        </w:rPr>
      </w:pPr>
    </w:p>
    <w:p w14:paraId="38C098C2">
      <w:pPr>
        <w:tabs>
          <w:tab w:val="left" w:pos="2120"/>
        </w:tabs>
        <w:bidi w:val="0"/>
        <w:jc w:val="left"/>
        <w:rPr>
          <w:rFonts w:hint="eastAsia" w:eastAsia="宋体"/>
          <w:sz w:val="30"/>
          <w:szCs w:val="30"/>
          <w:lang w:eastAsia="zh-CN"/>
        </w:rPr>
      </w:pPr>
      <w:r>
        <w:rPr>
          <w:rFonts w:hint="eastAsia" w:eastAsia="宋体"/>
          <w:sz w:val="30"/>
          <w:szCs w:val="30"/>
          <w:lang w:eastAsia="zh-CN"/>
        </w:rPr>
        <w:t>Prior to the first advent of Christ, no one could examine that plan; no one could look behind the closed door that the Bible calls “the Beginning,” in order to see what God had purposed in eternity past, and what he had planned for eternity future.</w:t>
      </w:r>
    </w:p>
    <w:p w14:paraId="17DECF6C">
      <w:pPr>
        <w:tabs>
          <w:tab w:val="left" w:pos="2120"/>
        </w:tabs>
        <w:bidi w:val="0"/>
        <w:jc w:val="left"/>
        <w:rPr>
          <w:rFonts w:hint="eastAsia" w:eastAsia="宋体"/>
          <w:sz w:val="30"/>
          <w:szCs w:val="30"/>
          <w:lang w:eastAsia="zh-CN"/>
        </w:rPr>
      </w:pPr>
      <w:r>
        <w:rPr>
          <w:rFonts w:hint="eastAsia" w:eastAsia="宋体"/>
          <w:sz w:val="30"/>
          <w:szCs w:val="30"/>
          <w:lang w:eastAsia="zh-CN"/>
        </w:rPr>
        <w:t>在基督第一次降临之前，没有人能够察看那个计划；没有人能够看到圣经所称的“太初”那扇紧闭的门背后，以了解上帝在永恒的过去定意了什么，以及祂为永恒的未来计划了什么。</w:t>
      </w:r>
    </w:p>
    <w:p w14:paraId="41370493">
      <w:pPr>
        <w:tabs>
          <w:tab w:val="left" w:pos="2120"/>
        </w:tabs>
        <w:bidi w:val="0"/>
        <w:jc w:val="left"/>
        <w:rPr>
          <w:rFonts w:hint="eastAsia" w:eastAsia="宋体"/>
          <w:sz w:val="30"/>
          <w:szCs w:val="30"/>
          <w:lang w:eastAsia="zh-CN"/>
        </w:rPr>
      </w:pPr>
    </w:p>
    <w:p w14:paraId="0D00711C">
      <w:pPr>
        <w:tabs>
          <w:tab w:val="left" w:pos="2120"/>
        </w:tabs>
        <w:bidi w:val="0"/>
        <w:jc w:val="left"/>
        <w:rPr>
          <w:rFonts w:hint="eastAsia" w:eastAsia="宋体"/>
          <w:sz w:val="30"/>
          <w:szCs w:val="30"/>
          <w:lang w:eastAsia="zh-CN"/>
        </w:rPr>
      </w:pPr>
      <w:r>
        <w:rPr>
          <w:rFonts w:hint="eastAsia" w:eastAsia="宋体"/>
          <w:sz w:val="30"/>
          <w:szCs w:val="30"/>
          <w:lang w:eastAsia="zh-CN"/>
        </w:rPr>
        <w:t>Therefore, no one could understand the true meaning of time and history.</w:t>
      </w:r>
    </w:p>
    <w:p w14:paraId="49C50D62">
      <w:pPr>
        <w:tabs>
          <w:tab w:val="left" w:pos="2120"/>
        </w:tabs>
        <w:bidi w:val="0"/>
        <w:jc w:val="left"/>
        <w:rPr>
          <w:rFonts w:hint="eastAsia" w:eastAsia="宋体"/>
          <w:sz w:val="30"/>
          <w:szCs w:val="30"/>
          <w:lang w:eastAsia="zh-CN"/>
        </w:rPr>
      </w:pPr>
      <w:r>
        <w:rPr>
          <w:rFonts w:hint="eastAsia" w:eastAsia="宋体"/>
          <w:sz w:val="30"/>
          <w:szCs w:val="30"/>
          <w:lang w:eastAsia="zh-CN"/>
        </w:rPr>
        <w:t>因此，没有人能够理解时间和历史的真正意义。</w:t>
      </w:r>
    </w:p>
    <w:p w14:paraId="31F8724F">
      <w:pPr>
        <w:tabs>
          <w:tab w:val="left" w:pos="2120"/>
        </w:tabs>
        <w:bidi w:val="0"/>
        <w:jc w:val="left"/>
        <w:rPr>
          <w:rFonts w:hint="eastAsia" w:eastAsia="宋体"/>
          <w:sz w:val="30"/>
          <w:szCs w:val="30"/>
          <w:lang w:eastAsia="zh-CN"/>
        </w:rPr>
      </w:pPr>
    </w:p>
    <w:p w14:paraId="33B178B7">
      <w:pPr>
        <w:tabs>
          <w:tab w:val="left" w:pos="2120"/>
        </w:tabs>
        <w:bidi w:val="0"/>
        <w:jc w:val="left"/>
        <w:rPr>
          <w:rFonts w:hint="eastAsia" w:eastAsia="宋体"/>
          <w:sz w:val="30"/>
          <w:szCs w:val="30"/>
          <w:lang w:eastAsia="zh-CN"/>
        </w:rPr>
      </w:pPr>
      <w:r>
        <w:rPr>
          <w:rFonts w:hint="eastAsia" w:eastAsia="宋体"/>
          <w:sz w:val="30"/>
          <w:szCs w:val="30"/>
          <w:lang w:eastAsia="zh-CN"/>
        </w:rPr>
        <w:t>Shut up to the dreary cycle of life and (inevitable) death under the sun, even the wisest of men were forced to conclude, “Vanity of vanities! All is vanity and grasping for the wind!” (Eccles. 2:11, 4:11).</w:t>
      </w:r>
    </w:p>
    <w:p w14:paraId="63C3B0F2">
      <w:pPr>
        <w:tabs>
          <w:tab w:val="left" w:pos="2120"/>
        </w:tabs>
        <w:bidi w:val="0"/>
        <w:jc w:val="left"/>
        <w:rPr>
          <w:rFonts w:hint="eastAsia" w:eastAsia="宋体"/>
          <w:sz w:val="30"/>
          <w:szCs w:val="30"/>
          <w:lang w:eastAsia="zh-CN"/>
        </w:rPr>
      </w:pPr>
      <w:r>
        <w:rPr>
          <w:rFonts w:hint="eastAsia" w:eastAsia="宋体"/>
          <w:sz w:val="30"/>
          <w:szCs w:val="30"/>
          <w:lang w:eastAsia="zh-CN"/>
        </w:rPr>
        <w:t>被困在日光之下生命与（不可避免的）死亡的沉闷循环中，即使是最有智慧的人也不得不做出结论：“虚空的虚空！凡事都是虚空，都是捕风！”（传 2:11, 4:11）。</w:t>
      </w:r>
    </w:p>
    <w:p w14:paraId="75B0A3A7">
      <w:pPr>
        <w:tabs>
          <w:tab w:val="left" w:pos="2120"/>
        </w:tabs>
        <w:bidi w:val="0"/>
        <w:jc w:val="left"/>
        <w:rPr>
          <w:rFonts w:hint="eastAsia" w:eastAsia="宋体"/>
          <w:sz w:val="30"/>
          <w:szCs w:val="30"/>
          <w:lang w:eastAsia="zh-CN"/>
        </w:rPr>
      </w:pPr>
    </w:p>
    <w:p w14:paraId="5DC69FA4">
      <w:pPr>
        <w:tabs>
          <w:tab w:val="left" w:pos="2120"/>
        </w:tabs>
        <w:bidi w:val="0"/>
        <w:jc w:val="left"/>
        <w:rPr>
          <w:rFonts w:hint="eastAsia" w:eastAsia="宋体"/>
          <w:sz w:val="30"/>
          <w:szCs w:val="30"/>
          <w:lang w:eastAsia="zh-CN"/>
        </w:rPr>
      </w:pPr>
      <w:r>
        <w:rPr>
          <w:rFonts w:hint="eastAsia" w:eastAsia="宋体"/>
          <w:sz w:val="30"/>
          <w:szCs w:val="30"/>
          <w:lang w:eastAsia="zh-CN"/>
        </w:rPr>
        <w:t>Now, however, Christ has come.</w:t>
      </w:r>
    </w:p>
    <w:p w14:paraId="476AF061">
      <w:pPr>
        <w:tabs>
          <w:tab w:val="left" w:pos="2120"/>
        </w:tabs>
        <w:bidi w:val="0"/>
        <w:jc w:val="left"/>
        <w:rPr>
          <w:rFonts w:hint="eastAsia" w:eastAsia="宋体"/>
          <w:sz w:val="30"/>
          <w:szCs w:val="30"/>
          <w:lang w:eastAsia="zh-CN"/>
        </w:rPr>
      </w:pPr>
      <w:r>
        <w:rPr>
          <w:rFonts w:hint="eastAsia" w:eastAsia="宋体"/>
          <w:sz w:val="30"/>
          <w:szCs w:val="30"/>
          <w:lang w:eastAsia="zh-CN"/>
        </w:rPr>
        <w:t>然而，现在基督已经来了。</w:t>
      </w:r>
    </w:p>
    <w:p w14:paraId="59286818">
      <w:pPr>
        <w:tabs>
          <w:tab w:val="left" w:pos="2120"/>
        </w:tabs>
        <w:bidi w:val="0"/>
        <w:jc w:val="left"/>
        <w:rPr>
          <w:rFonts w:hint="eastAsia" w:eastAsia="宋体"/>
          <w:sz w:val="30"/>
          <w:szCs w:val="30"/>
          <w:lang w:eastAsia="zh-CN"/>
        </w:rPr>
      </w:pPr>
    </w:p>
    <w:p w14:paraId="7D7D5A0E">
      <w:pPr>
        <w:tabs>
          <w:tab w:val="left" w:pos="2120"/>
        </w:tabs>
        <w:bidi w:val="0"/>
        <w:jc w:val="left"/>
        <w:rPr>
          <w:rFonts w:hint="eastAsia" w:eastAsia="宋体"/>
          <w:sz w:val="30"/>
          <w:szCs w:val="30"/>
          <w:lang w:eastAsia="zh-CN"/>
        </w:rPr>
      </w:pPr>
      <w:r>
        <w:rPr>
          <w:rFonts w:hint="eastAsia" w:eastAsia="宋体"/>
          <w:sz w:val="30"/>
          <w:szCs w:val="30"/>
          <w:lang w:eastAsia="zh-CN"/>
        </w:rPr>
        <w:t>Now he has placed the Master Key to the door of the Beginning in our hands.</w:t>
      </w:r>
    </w:p>
    <w:p w14:paraId="264C15F9">
      <w:pPr>
        <w:tabs>
          <w:tab w:val="left" w:pos="2120"/>
        </w:tabs>
        <w:bidi w:val="0"/>
        <w:jc w:val="left"/>
        <w:rPr>
          <w:rFonts w:hint="eastAsia" w:eastAsia="宋体"/>
          <w:sz w:val="30"/>
          <w:szCs w:val="30"/>
          <w:lang w:eastAsia="zh-CN"/>
        </w:rPr>
      </w:pPr>
      <w:r>
        <w:rPr>
          <w:rFonts w:hint="eastAsia" w:eastAsia="宋体"/>
          <w:sz w:val="30"/>
          <w:szCs w:val="30"/>
          <w:lang w:eastAsia="zh-CN"/>
        </w:rPr>
        <w:t>现在祂已将通往太初之门的总钥匙放在我们手中。</w:t>
      </w:r>
    </w:p>
    <w:p w14:paraId="495FF28F">
      <w:pPr>
        <w:tabs>
          <w:tab w:val="left" w:pos="2120"/>
        </w:tabs>
        <w:bidi w:val="0"/>
        <w:jc w:val="left"/>
        <w:rPr>
          <w:rFonts w:hint="eastAsia" w:eastAsia="宋体"/>
          <w:sz w:val="30"/>
          <w:szCs w:val="30"/>
          <w:lang w:eastAsia="zh-CN"/>
        </w:rPr>
      </w:pPr>
    </w:p>
    <w:p w14:paraId="104A7627">
      <w:pPr>
        <w:tabs>
          <w:tab w:val="left" w:pos="2120"/>
        </w:tabs>
        <w:bidi w:val="0"/>
        <w:jc w:val="left"/>
        <w:rPr>
          <w:rFonts w:hint="eastAsia" w:eastAsia="宋体"/>
          <w:sz w:val="30"/>
          <w:szCs w:val="30"/>
          <w:lang w:eastAsia="zh-CN"/>
        </w:rPr>
      </w:pPr>
      <w:r>
        <w:rPr>
          <w:rFonts w:hint="eastAsia" w:eastAsia="宋体"/>
          <w:sz w:val="30"/>
          <w:szCs w:val="30"/>
          <w:lang w:eastAsia="zh-CN"/>
        </w:rPr>
        <w:t>Now he has enabled us to glimpse the divine Architect at his drafting table before the foundation of the world.</w:t>
      </w:r>
    </w:p>
    <w:p w14:paraId="0265F2A6">
      <w:pPr>
        <w:tabs>
          <w:tab w:val="left" w:pos="2120"/>
        </w:tabs>
        <w:bidi w:val="0"/>
        <w:jc w:val="left"/>
        <w:rPr>
          <w:rFonts w:hint="eastAsia" w:eastAsia="宋体"/>
          <w:sz w:val="30"/>
          <w:szCs w:val="30"/>
          <w:lang w:eastAsia="zh-CN"/>
        </w:rPr>
      </w:pPr>
      <w:r>
        <w:rPr>
          <w:rFonts w:hint="eastAsia" w:eastAsia="宋体"/>
          <w:sz w:val="30"/>
          <w:szCs w:val="30"/>
          <w:lang w:eastAsia="zh-CN"/>
        </w:rPr>
        <w:t>现在祂使我们得以一瞥那位神圣的建筑师在创世以前的绘图桌前。</w:t>
      </w:r>
    </w:p>
    <w:p w14:paraId="7071682D">
      <w:pPr>
        <w:tabs>
          <w:tab w:val="left" w:pos="2120"/>
        </w:tabs>
        <w:bidi w:val="0"/>
        <w:jc w:val="left"/>
        <w:rPr>
          <w:rFonts w:hint="eastAsia" w:eastAsia="宋体"/>
          <w:sz w:val="30"/>
          <w:szCs w:val="30"/>
          <w:lang w:eastAsia="zh-CN"/>
        </w:rPr>
      </w:pPr>
    </w:p>
    <w:p w14:paraId="58BC44D4">
      <w:pPr>
        <w:tabs>
          <w:tab w:val="left" w:pos="2120"/>
        </w:tabs>
        <w:bidi w:val="0"/>
        <w:jc w:val="left"/>
        <w:rPr>
          <w:rFonts w:hint="eastAsia" w:eastAsia="宋体"/>
          <w:sz w:val="30"/>
          <w:szCs w:val="30"/>
          <w:lang w:eastAsia="zh-CN"/>
        </w:rPr>
      </w:pPr>
      <w:r>
        <w:rPr>
          <w:rFonts w:hint="eastAsia" w:eastAsia="宋体"/>
          <w:sz w:val="30"/>
          <w:szCs w:val="30"/>
          <w:lang w:eastAsia="zh-CN"/>
        </w:rPr>
        <w:t>Now he has enabled us to understand the Great Story that unfurls in time and space like a scroll, with one end held firmly in the Father’s hand.</w:t>
      </w:r>
    </w:p>
    <w:p w14:paraId="33EB4BD8">
      <w:pPr>
        <w:tabs>
          <w:tab w:val="left" w:pos="2120"/>
        </w:tabs>
        <w:bidi w:val="0"/>
        <w:jc w:val="left"/>
        <w:rPr>
          <w:rFonts w:hint="eastAsia" w:eastAsia="宋体"/>
          <w:sz w:val="30"/>
          <w:szCs w:val="30"/>
          <w:lang w:eastAsia="zh-CN"/>
        </w:rPr>
      </w:pPr>
      <w:r>
        <w:rPr>
          <w:rFonts w:hint="eastAsia" w:eastAsia="宋体"/>
          <w:sz w:val="30"/>
          <w:szCs w:val="30"/>
          <w:lang w:eastAsia="zh-CN"/>
        </w:rPr>
        <w:t>现在祂使我们能够理解这个伟大的故事，它如同一卷书卷在时间和空间中展开，一端牢牢地握在天父的手中。</w:t>
      </w:r>
    </w:p>
    <w:p w14:paraId="74D6A682">
      <w:pPr>
        <w:tabs>
          <w:tab w:val="left" w:pos="2120"/>
        </w:tabs>
        <w:bidi w:val="0"/>
        <w:jc w:val="left"/>
        <w:rPr>
          <w:rFonts w:hint="eastAsia" w:eastAsia="宋体"/>
          <w:sz w:val="30"/>
          <w:szCs w:val="30"/>
          <w:lang w:eastAsia="zh-CN"/>
        </w:rPr>
      </w:pPr>
    </w:p>
    <w:p w14:paraId="24750929">
      <w:pPr>
        <w:tabs>
          <w:tab w:val="left" w:pos="2120"/>
        </w:tabs>
        <w:bidi w:val="0"/>
        <w:jc w:val="left"/>
        <w:rPr>
          <w:rFonts w:hint="eastAsia" w:eastAsia="宋体"/>
          <w:sz w:val="30"/>
          <w:szCs w:val="30"/>
          <w:lang w:eastAsia="zh-CN"/>
        </w:rPr>
      </w:pPr>
      <w:r>
        <w:rPr>
          <w:rFonts w:hint="eastAsia" w:eastAsia="宋体"/>
          <w:sz w:val="30"/>
          <w:szCs w:val="30"/>
          <w:lang w:eastAsia="zh-CN"/>
        </w:rPr>
        <w:t>Let us therefore avail ourselves of this precious gift.</w:t>
      </w:r>
    </w:p>
    <w:p w14:paraId="3B044EB0">
      <w:pPr>
        <w:tabs>
          <w:tab w:val="left" w:pos="2120"/>
        </w:tabs>
        <w:bidi w:val="0"/>
        <w:jc w:val="left"/>
        <w:rPr>
          <w:rFonts w:hint="eastAsia" w:eastAsia="宋体"/>
          <w:sz w:val="30"/>
          <w:szCs w:val="30"/>
          <w:lang w:eastAsia="zh-CN"/>
        </w:rPr>
      </w:pPr>
      <w:r>
        <w:rPr>
          <w:rFonts w:hint="eastAsia" w:eastAsia="宋体"/>
          <w:sz w:val="30"/>
          <w:szCs w:val="30"/>
          <w:lang w:eastAsia="zh-CN"/>
        </w:rPr>
        <w:t>因此，让我们利用这份宝贵的礼物吧。</w:t>
      </w:r>
    </w:p>
    <w:p w14:paraId="55623FA6">
      <w:pPr>
        <w:tabs>
          <w:tab w:val="left" w:pos="2120"/>
        </w:tabs>
        <w:bidi w:val="0"/>
        <w:jc w:val="left"/>
        <w:rPr>
          <w:rFonts w:hint="eastAsia" w:eastAsia="宋体"/>
          <w:sz w:val="30"/>
          <w:szCs w:val="30"/>
          <w:lang w:eastAsia="zh-CN"/>
        </w:rPr>
      </w:pPr>
    </w:p>
    <w:p w14:paraId="2EEB5642">
      <w:pPr>
        <w:tabs>
          <w:tab w:val="left" w:pos="2120"/>
        </w:tabs>
        <w:bidi w:val="0"/>
        <w:jc w:val="left"/>
        <w:rPr>
          <w:rFonts w:hint="eastAsia" w:eastAsia="宋体"/>
          <w:sz w:val="30"/>
          <w:szCs w:val="30"/>
          <w:lang w:eastAsia="zh-CN"/>
        </w:rPr>
      </w:pPr>
      <w:r>
        <w:rPr>
          <w:rFonts w:hint="eastAsia" w:eastAsia="宋体"/>
          <w:sz w:val="30"/>
          <w:szCs w:val="30"/>
          <w:lang w:eastAsia="zh-CN"/>
        </w:rPr>
        <w:t>Let us return with our Lord to “times eternal” (Titus 1:2).</w:t>
      </w:r>
    </w:p>
    <w:p w14:paraId="197196DA">
      <w:pPr>
        <w:tabs>
          <w:tab w:val="left" w:pos="2120"/>
        </w:tabs>
        <w:bidi w:val="0"/>
        <w:jc w:val="left"/>
        <w:rPr>
          <w:rFonts w:hint="eastAsia" w:eastAsia="宋体"/>
          <w:sz w:val="30"/>
          <w:szCs w:val="30"/>
          <w:lang w:eastAsia="zh-CN"/>
        </w:rPr>
      </w:pPr>
      <w:r>
        <w:rPr>
          <w:rFonts w:hint="eastAsia" w:eastAsia="宋体"/>
          <w:sz w:val="30"/>
          <w:szCs w:val="30"/>
          <w:lang w:eastAsia="zh-CN"/>
        </w:rPr>
        <w:t>让我们与我们的主一同回到“永古之时”（多 1:2）。</w:t>
      </w:r>
    </w:p>
    <w:p w14:paraId="37AA9C5C">
      <w:pPr>
        <w:tabs>
          <w:tab w:val="left" w:pos="2120"/>
        </w:tabs>
        <w:bidi w:val="0"/>
        <w:jc w:val="left"/>
        <w:rPr>
          <w:rFonts w:hint="eastAsia" w:eastAsia="宋体"/>
          <w:sz w:val="30"/>
          <w:szCs w:val="30"/>
          <w:lang w:eastAsia="zh-CN"/>
        </w:rPr>
      </w:pPr>
    </w:p>
    <w:p w14:paraId="0DB5926A">
      <w:pPr>
        <w:tabs>
          <w:tab w:val="left" w:pos="2120"/>
        </w:tabs>
        <w:bidi w:val="0"/>
        <w:jc w:val="left"/>
        <w:rPr>
          <w:rFonts w:hint="eastAsia" w:eastAsia="宋体"/>
          <w:sz w:val="30"/>
          <w:szCs w:val="30"/>
          <w:lang w:eastAsia="zh-CN"/>
        </w:rPr>
      </w:pPr>
      <w:r>
        <w:rPr>
          <w:rFonts w:hint="eastAsia" w:eastAsia="宋体"/>
          <w:sz w:val="30"/>
          <w:szCs w:val="30"/>
          <w:lang w:eastAsia="zh-CN"/>
        </w:rPr>
        <w:t>Why?</w:t>
      </w:r>
    </w:p>
    <w:p w14:paraId="65B95C7C">
      <w:pPr>
        <w:tabs>
          <w:tab w:val="left" w:pos="2120"/>
        </w:tabs>
        <w:bidi w:val="0"/>
        <w:jc w:val="left"/>
        <w:rPr>
          <w:rFonts w:hint="eastAsia" w:eastAsia="宋体"/>
          <w:sz w:val="30"/>
          <w:szCs w:val="30"/>
          <w:lang w:eastAsia="zh-CN"/>
        </w:rPr>
      </w:pPr>
      <w:r>
        <w:rPr>
          <w:rFonts w:hint="eastAsia" w:eastAsia="宋体"/>
          <w:sz w:val="30"/>
          <w:szCs w:val="30"/>
          <w:lang w:eastAsia="zh-CN"/>
        </w:rPr>
        <w:t>为什么？</w:t>
      </w:r>
    </w:p>
    <w:p w14:paraId="08C7AFC9">
      <w:pPr>
        <w:tabs>
          <w:tab w:val="left" w:pos="2120"/>
        </w:tabs>
        <w:bidi w:val="0"/>
        <w:jc w:val="left"/>
        <w:rPr>
          <w:rFonts w:hint="eastAsia" w:eastAsia="宋体"/>
          <w:sz w:val="30"/>
          <w:szCs w:val="30"/>
          <w:lang w:eastAsia="zh-CN"/>
        </w:rPr>
      </w:pPr>
    </w:p>
    <w:p w14:paraId="1C5546E6">
      <w:pPr>
        <w:tabs>
          <w:tab w:val="left" w:pos="2120"/>
        </w:tabs>
        <w:bidi w:val="0"/>
        <w:jc w:val="left"/>
        <w:rPr>
          <w:rFonts w:hint="eastAsia" w:eastAsia="宋体"/>
          <w:sz w:val="30"/>
          <w:szCs w:val="30"/>
          <w:lang w:eastAsia="zh-CN"/>
        </w:rPr>
      </w:pPr>
      <w:r>
        <w:rPr>
          <w:rFonts w:hint="eastAsia" w:eastAsia="宋体"/>
          <w:sz w:val="30"/>
          <w:szCs w:val="30"/>
          <w:lang w:eastAsia="zh-CN"/>
        </w:rPr>
        <w:t>So that afterwards we may wisely go forward through all of Salvation History to a more perfect understanding of the Kingdom of God.</w:t>
      </w:r>
    </w:p>
    <w:p w14:paraId="14ADE486">
      <w:pPr>
        <w:tabs>
          <w:tab w:val="left" w:pos="2120"/>
        </w:tabs>
        <w:bidi w:val="0"/>
        <w:jc w:val="left"/>
        <w:rPr>
          <w:rFonts w:hint="eastAsia" w:eastAsia="宋体"/>
          <w:sz w:val="30"/>
          <w:szCs w:val="30"/>
          <w:lang w:eastAsia="zh-CN"/>
        </w:rPr>
      </w:pPr>
      <w:r>
        <w:rPr>
          <w:rFonts w:hint="eastAsia" w:eastAsia="宋体"/>
          <w:sz w:val="30"/>
          <w:szCs w:val="30"/>
          <w:lang w:eastAsia="zh-CN"/>
        </w:rPr>
        <w:t>为的是之后我们能够有智慧地走过整个救赎历史，从而更完美地理解上帝的国。</w:t>
      </w:r>
    </w:p>
    <w:p w14:paraId="3B209ABB">
      <w:pPr>
        <w:tabs>
          <w:tab w:val="left" w:pos="2120"/>
        </w:tabs>
        <w:bidi w:val="0"/>
        <w:jc w:val="left"/>
        <w:rPr>
          <w:rFonts w:hint="eastAsia" w:eastAsia="宋体"/>
          <w:sz w:val="30"/>
          <w:szCs w:val="30"/>
          <w:lang w:eastAsia="zh-CN"/>
        </w:rPr>
      </w:pPr>
    </w:p>
    <w:p w14:paraId="4FD85E6C">
      <w:pPr>
        <w:tabs>
          <w:tab w:val="left" w:pos="2120"/>
        </w:tabs>
        <w:bidi w:val="0"/>
        <w:jc w:val="left"/>
        <w:rPr>
          <w:rFonts w:hint="eastAsia" w:eastAsia="宋体"/>
          <w:sz w:val="30"/>
          <w:szCs w:val="30"/>
          <w:lang w:eastAsia="zh-CN"/>
        </w:rPr>
      </w:pPr>
      <w:r>
        <w:rPr>
          <w:rFonts w:hint="eastAsia" w:eastAsia="宋体"/>
          <w:sz w:val="30"/>
          <w:szCs w:val="30"/>
          <w:lang w:eastAsia="zh-CN"/>
        </w:rPr>
        <w:t>The Mystery of God</w:t>
      </w:r>
    </w:p>
    <w:p w14:paraId="4EE8A3BF">
      <w:pPr>
        <w:tabs>
          <w:tab w:val="left" w:pos="2120"/>
        </w:tabs>
        <w:bidi w:val="0"/>
        <w:jc w:val="left"/>
        <w:rPr>
          <w:rFonts w:hint="eastAsia" w:eastAsia="宋体"/>
          <w:sz w:val="30"/>
          <w:szCs w:val="30"/>
          <w:lang w:eastAsia="zh-CN"/>
        </w:rPr>
      </w:pPr>
      <w:r>
        <w:rPr>
          <w:rFonts w:hint="eastAsia" w:eastAsia="宋体"/>
          <w:sz w:val="30"/>
          <w:szCs w:val="30"/>
          <w:lang w:eastAsia="zh-CN"/>
        </w:rPr>
        <w:t>上帝的奥秘</w:t>
      </w:r>
    </w:p>
    <w:p w14:paraId="7406A985">
      <w:pPr>
        <w:tabs>
          <w:tab w:val="left" w:pos="2120"/>
        </w:tabs>
        <w:bidi w:val="0"/>
        <w:jc w:val="left"/>
        <w:rPr>
          <w:rFonts w:hint="eastAsia" w:eastAsia="宋体"/>
          <w:sz w:val="30"/>
          <w:szCs w:val="30"/>
          <w:lang w:eastAsia="zh-CN"/>
        </w:rPr>
      </w:pPr>
    </w:p>
    <w:p w14:paraId="79068C6A">
      <w:pPr>
        <w:tabs>
          <w:tab w:val="left" w:pos="2120"/>
        </w:tabs>
        <w:bidi w:val="0"/>
        <w:jc w:val="left"/>
        <w:rPr>
          <w:rFonts w:hint="eastAsia" w:eastAsia="宋体"/>
          <w:sz w:val="30"/>
          <w:szCs w:val="30"/>
          <w:lang w:eastAsia="zh-CN"/>
        </w:rPr>
      </w:pPr>
      <w:r>
        <w:rPr>
          <w:rFonts w:hint="eastAsia" w:eastAsia="宋体"/>
          <w:sz w:val="30"/>
          <w:szCs w:val="30"/>
          <w:lang w:eastAsia="zh-CN"/>
        </w:rPr>
        <w:t>Like the sons of Issachar, Christ’s holy apostles and prophets were men who understood the times in which they lived—and who stood ravished at the privilege of being called to serve God in such a special season (1 Chron. 12:32, Eph. 3:8).</w:t>
      </w:r>
    </w:p>
    <w:p w14:paraId="2FED5544">
      <w:pPr>
        <w:tabs>
          <w:tab w:val="left" w:pos="2120"/>
        </w:tabs>
        <w:bidi w:val="0"/>
        <w:jc w:val="left"/>
        <w:rPr>
          <w:rFonts w:hint="eastAsia" w:eastAsia="宋体"/>
          <w:sz w:val="30"/>
          <w:szCs w:val="30"/>
          <w:lang w:eastAsia="zh-CN"/>
        </w:rPr>
      </w:pPr>
      <w:r>
        <w:rPr>
          <w:rFonts w:hint="eastAsia" w:eastAsia="宋体"/>
          <w:sz w:val="30"/>
          <w:szCs w:val="30"/>
          <w:lang w:eastAsia="zh-CN"/>
        </w:rPr>
        <w:t>就像以萨迦的子孙一样，基督的圣使徒和先知们是通达时务的人——他们因蒙召在这样一个特殊的季节服事上帝的特权而心醉神迷（代上 12:32，弗 3:8）。</w:t>
      </w:r>
    </w:p>
    <w:p w14:paraId="27F84E80">
      <w:pPr>
        <w:tabs>
          <w:tab w:val="left" w:pos="2120"/>
        </w:tabs>
        <w:bidi w:val="0"/>
        <w:jc w:val="left"/>
        <w:rPr>
          <w:rFonts w:hint="eastAsia" w:eastAsia="宋体"/>
          <w:sz w:val="30"/>
          <w:szCs w:val="30"/>
          <w:lang w:eastAsia="zh-CN"/>
        </w:rPr>
      </w:pPr>
    </w:p>
    <w:p w14:paraId="64F71122">
      <w:pPr>
        <w:tabs>
          <w:tab w:val="left" w:pos="2120"/>
        </w:tabs>
        <w:bidi w:val="0"/>
        <w:jc w:val="left"/>
        <w:rPr>
          <w:rFonts w:hint="eastAsia" w:eastAsia="宋体"/>
          <w:sz w:val="30"/>
          <w:szCs w:val="30"/>
          <w:lang w:eastAsia="zh-CN"/>
        </w:rPr>
      </w:pPr>
      <w:r>
        <w:rPr>
          <w:rFonts w:hint="eastAsia" w:eastAsia="宋体"/>
          <w:sz w:val="30"/>
          <w:szCs w:val="30"/>
          <w:lang w:eastAsia="zh-CN"/>
        </w:rPr>
        <w:t>Slowly but surely, as “the Spirit of wisdom and revelation in the knowledge of God” performed his work, it dawned upon them that they were among the chosen few to live in “the fullness of time”, to stand in awe as the great door of Salvation History swung mightily upon its hinges, forever leaving behind the Era of Promise and Preparation, and forever entering the Era of Fulfillment.</w:t>
      </w:r>
    </w:p>
    <w:p w14:paraId="501858F6">
      <w:pPr>
        <w:tabs>
          <w:tab w:val="left" w:pos="2120"/>
        </w:tabs>
        <w:bidi w:val="0"/>
        <w:jc w:val="left"/>
        <w:rPr>
          <w:rFonts w:hint="eastAsia" w:eastAsia="宋体"/>
          <w:sz w:val="30"/>
          <w:szCs w:val="30"/>
          <w:lang w:eastAsia="zh-CN"/>
        </w:rPr>
      </w:pPr>
      <w:r>
        <w:rPr>
          <w:rFonts w:hint="eastAsia" w:eastAsia="宋体"/>
          <w:sz w:val="30"/>
          <w:szCs w:val="30"/>
          <w:lang w:eastAsia="zh-CN"/>
        </w:rPr>
        <w:t>缓慢但确切地，当“那赐人智慧和启示的灵，使你们真知道神”施行祂的工作时，他们开始领悟到，他们是少数被拣选活在“时候满足”的人，敬畏地站立着，眼看救赎历史的宏伟大门在其铰链上强力地转动，永远地告别了应许与预备的时代，并永远地进入了成全的时代。</w:t>
      </w:r>
    </w:p>
    <w:p w14:paraId="12BC5FEF">
      <w:pPr>
        <w:tabs>
          <w:tab w:val="left" w:pos="2120"/>
        </w:tabs>
        <w:bidi w:val="0"/>
        <w:jc w:val="left"/>
        <w:rPr>
          <w:rFonts w:hint="eastAsia" w:eastAsia="宋体"/>
          <w:sz w:val="30"/>
          <w:szCs w:val="30"/>
          <w:lang w:eastAsia="zh-CN"/>
        </w:rPr>
      </w:pPr>
    </w:p>
    <w:p w14:paraId="3DDB7C57">
      <w:pPr>
        <w:tabs>
          <w:tab w:val="left" w:pos="2120"/>
        </w:tabs>
        <w:bidi w:val="0"/>
        <w:jc w:val="left"/>
        <w:rPr>
          <w:rFonts w:hint="eastAsia" w:eastAsia="宋体"/>
          <w:sz w:val="30"/>
          <w:szCs w:val="30"/>
          <w:lang w:eastAsia="zh-CN"/>
        </w:rPr>
      </w:pPr>
      <w:r>
        <w:rPr>
          <w:rFonts w:hint="eastAsia" w:eastAsia="宋体"/>
          <w:sz w:val="30"/>
          <w:szCs w:val="30"/>
          <w:lang w:eastAsia="zh-CN"/>
        </w:rPr>
        <w:t>As we saw earlier, they expressed this dawning awareness in many NT texts, not a few of which contain that most NT of words, mystery.</w:t>
      </w:r>
    </w:p>
    <w:p w14:paraId="1AEB1F6C">
      <w:pPr>
        <w:tabs>
          <w:tab w:val="left" w:pos="2120"/>
        </w:tabs>
        <w:bidi w:val="0"/>
        <w:jc w:val="left"/>
        <w:rPr>
          <w:rFonts w:hint="eastAsia" w:eastAsia="宋体"/>
          <w:sz w:val="30"/>
          <w:szCs w:val="30"/>
          <w:lang w:eastAsia="zh-CN"/>
        </w:rPr>
      </w:pPr>
      <w:r>
        <w:rPr>
          <w:rFonts w:hint="eastAsia" w:eastAsia="宋体"/>
          <w:sz w:val="30"/>
          <w:szCs w:val="30"/>
          <w:lang w:eastAsia="zh-CN"/>
        </w:rPr>
        <w:t>正如我们之前所见，他们在许多新约经文中表达了这种初萌的意识，其中不少经文包含了那个最具新约特色的词——奥秘。</w:t>
      </w:r>
    </w:p>
    <w:p w14:paraId="22E1696C">
      <w:pPr>
        <w:tabs>
          <w:tab w:val="left" w:pos="2120"/>
        </w:tabs>
        <w:bidi w:val="0"/>
        <w:jc w:val="left"/>
        <w:rPr>
          <w:rFonts w:hint="eastAsia" w:eastAsia="宋体"/>
          <w:sz w:val="30"/>
          <w:szCs w:val="30"/>
          <w:lang w:eastAsia="zh-CN"/>
        </w:rPr>
      </w:pPr>
    </w:p>
    <w:p w14:paraId="273FB7A4">
      <w:pPr>
        <w:tabs>
          <w:tab w:val="left" w:pos="2120"/>
        </w:tabs>
        <w:bidi w:val="0"/>
        <w:jc w:val="left"/>
        <w:rPr>
          <w:rFonts w:hint="eastAsia" w:eastAsia="宋体"/>
          <w:sz w:val="30"/>
          <w:szCs w:val="30"/>
          <w:lang w:eastAsia="zh-CN"/>
        </w:rPr>
      </w:pPr>
      <w:r>
        <w:rPr>
          <w:rFonts w:hint="eastAsia" w:eastAsia="宋体"/>
          <w:sz w:val="30"/>
          <w:szCs w:val="30"/>
          <w:lang w:eastAsia="zh-CN"/>
        </w:rPr>
        <w:t>We have already cited one of the richest of them, Romans 16:25-26.</w:t>
      </w:r>
    </w:p>
    <w:p w14:paraId="4BCE2C25">
      <w:pPr>
        <w:tabs>
          <w:tab w:val="left" w:pos="2120"/>
        </w:tabs>
        <w:bidi w:val="0"/>
        <w:jc w:val="left"/>
        <w:rPr>
          <w:rFonts w:hint="eastAsia" w:eastAsia="宋体"/>
          <w:sz w:val="30"/>
          <w:szCs w:val="30"/>
          <w:lang w:eastAsia="zh-CN"/>
        </w:rPr>
      </w:pPr>
      <w:r>
        <w:rPr>
          <w:rFonts w:hint="eastAsia" w:eastAsia="宋体"/>
          <w:sz w:val="30"/>
          <w:szCs w:val="30"/>
          <w:lang w:eastAsia="zh-CN"/>
        </w:rPr>
        <w:t>我们已经引用了其中最丰富的一处，罗马书 16:25-26。</w:t>
      </w:r>
    </w:p>
    <w:p w14:paraId="24CEF149">
      <w:pPr>
        <w:tabs>
          <w:tab w:val="left" w:pos="2120"/>
        </w:tabs>
        <w:bidi w:val="0"/>
        <w:jc w:val="left"/>
        <w:rPr>
          <w:rFonts w:hint="eastAsia" w:eastAsia="宋体"/>
          <w:sz w:val="30"/>
          <w:szCs w:val="30"/>
          <w:lang w:eastAsia="zh-CN"/>
        </w:rPr>
      </w:pPr>
    </w:p>
    <w:p w14:paraId="2761BB11">
      <w:pPr>
        <w:tabs>
          <w:tab w:val="left" w:pos="2120"/>
        </w:tabs>
        <w:bidi w:val="0"/>
        <w:jc w:val="left"/>
        <w:rPr>
          <w:rFonts w:hint="eastAsia" w:eastAsia="宋体"/>
          <w:sz w:val="30"/>
          <w:szCs w:val="30"/>
          <w:lang w:eastAsia="zh-CN"/>
        </w:rPr>
      </w:pPr>
      <w:r>
        <w:rPr>
          <w:rFonts w:hint="eastAsia" w:eastAsia="宋体"/>
          <w:sz w:val="30"/>
          <w:szCs w:val="30"/>
          <w:lang w:eastAsia="zh-CN"/>
        </w:rPr>
        <w:t>Now let us look at two more, both of which breathe the same spirit.</w:t>
      </w:r>
    </w:p>
    <w:p w14:paraId="3E25B469">
      <w:pPr>
        <w:tabs>
          <w:tab w:val="left" w:pos="2120"/>
        </w:tabs>
        <w:bidi w:val="0"/>
        <w:jc w:val="left"/>
        <w:rPr>
          <w:rFonts w:hint="eastAsia" w:eastAsia="宋体"/>
          <w:sz w:val="30"/>
          <w:szCs w:val="30"/>
          <w:lang w:eastAsia="zh-CN"/>
        </w:rPr>
      </w:pPr>
      <w:r>
        <w:rPr>
          <w:rFonts w:hint="eastAsia" w:eastAsia="宋体"/>
          <w:sz w:val="30"/>
          <w:szCs w:val="30"/>
          <w:lang w:eastAsia="zh-CN"/>
        </w:rPr>
        <w:t>现在让我们再看两处，它们都散发着同样的气息。</w:t>
      </w:r>
    </w:p>
    <w:p w14:paraId="5959728A">
      <w:pPr>
        <w:tabs>
          <w:tab w:val="left" w:pos="2120"/>
        </w:tabs>
        <w:bidi w:val="0"/>
        <w:jc w:val="left"/>
        <w:rPr>
          <w:rFonts w:hint="eastAsia" w:eastAsia="宋体"/>
          <w:sz w:val="30"/>
          <w:szCs w:val="30"/>
          <w:lang w:eastAsia="zh-CN"/>
        </w:rPr>
      </w:pPr>
    </w:p>
    <w:p w14:paraId="57A45667">
      <w:pPr>
        <w:tabs>
          <w:tab w:val="left" w:pos="2120"/>
        </w:tabs>
        <w:bidi w:val="0"/>
        <w:jc w:val="left"/>
        <w:rPr>
          <w:rFonts w:hint="eastAsia" w:eastAsia="宋体"/>
          <w:sz w:val="30"/>
          <w:szCs w:val="30"/>
          <w:lang w:eastAsia="zh-CN"/>
        </w:rPr>
      </w:pPr>
      <w:r>
        <w:rPr>
          <w:rFonts w:hint="eastAsia" w:eastAsia="宋体"/>
          <w:sz w:val="30"/>
          <w:szCs w:val="30"/>
          <w:lang w:eastAsia="zh-CN"/>
        </w:rPr>
        <w:t>The first is found in Paul’s letter to the Corinthians, where, in defending his apostleship, he numbers himself among the “us” privileged by God to see, expound, and proclaim his supreme mystery of God, the Gospel:</w:t>
      </w:r>
    </w:p>
    <w:p w14:paraId="49CCAFEE">
      <w:pPr>
        <w:tabs>
          <w:tab w:val="left" w:pos="2120"/>
        </w:tabs>
        <w:bidi w:val="0"/>
        <w:jc w:val="left"/>
        <w:rPr>
          <w:rFonts w:hint="eastAsia" w:eastAsia="宋体"/>
          <w:sz w:val="30"/>
          <w:szCs w:val="30"/>
          <w:lang w:eastAsia="zh-CN"/>
        </w:rPr>
      </w:pPr>
      <w:r>
        <w:rPr>
          <w:rFonts w:hint="eastAsia" w:eastAsia="宋体"/>
          <w:sz w:val="30"/>
          <w:szCs w:val="30"/>
          <w:lang w:eastAsia="zh-CN"/>
        </w:rPr>
        <w:t>第一处见于保罗写给哥林多人的信中，他在为自己的使徒身份辩护时，将自己列入蒙上帝赐予特权的“我们”之中，得以看见、阐释并宣扬祂那至高的上帝的奥秘，即福音：</w:t>
      </w:r>
    </w:p>
    <w:p w14:paraId="142E801B">
      <w:pPr>
        <w:tabs>
          <w:tab w:val="left" w:pos="2120"/>
        </w:tabs>
        <w:bidi w:val="0"/>
        <w:jc w:val="left"/>
        <w:rPr>
          <w:rFonts w:hint="eastAsia" w:eastAsia="宋体"/>
          <w:sz w:val="30"/>
          <w:szCs w:val="30"/>
          <w:lang w:eastAsia="zh-CN"/>
        </w:rPr>
      </w:pPr>
    </w:p>
    <w:p w14:paraId="03A71090">
      <w:pPr>
        <w:tabs>
          <w:tab w:val="left" w:pos="2120"/>
        </w:tabs>
        <w:bidi w:val="0"/>
        <w:jc w:val="left"/>
        <w:rPr>
          <w:rFonts w:hint="eastAsia" w:eastAsia="宋体"/>
          <w:sz w:val="30"/>
          <w:szCs w:val="30"/>
          <w:lang w:eastAsia="zh-CN"/>
        </w:rPr>
      </w:pPr>
      <w:r>
        <w:rPr>
          <w:rFonts w:hint="eastAsia" w:eastAsia="宋体"/>
          <w:sz w:val="30"/>
          <w:szCs w:val="30"/>
          <w:lang w:eastAsia="zh-CN"/>
        </w:rPr>
        <w:t>Yet we do speak wisdom among those who are mature; a wisdom, however, not of this age, nor of the rulers of this age, who are passing away.</w:t>
      </w:r>
    </w:p>
    <w:p w14:paraId="74AABA04">
      <w:pPr>
        <w:tabs>
          <w:tab w:val="left" w:pos="2120"/>
        </w:tabs>
        <w:bidi w:val="0"/>
        <w:jc w:val="left"/>
        <w:rPr>
          <w:rFonts w:hint="eastAsia" w:eastAsia="宋体"/>
          <w:sz w:val="30"/>
          <w:szCs w:val="30"/>
          <w:lang w:eastAsia="zh-CN"/>
        </w:rPr>
      </w:pPr>
      <w:r>
        <w:rPr>
          <w:rFonts w:hint="eastAsia" w:eastAsia="宋体"/>
          <w:sz w:val="30"/>
          <w:szCs w:val="30"/>
          <w:lang w:eastAsia="zh-CN"/>
        </w:rPr>
        <w:t>然而，在完全的人中，我们也讲智慧；但不是这世代的智慧，也不是这世代将要败亡之人的智慧。</w:t>
      </w:r>
    </w:p>
    <w:p w14:paraId="738C8338">
      <w:pPr>
        <w:tabs>
          <w:tab w:val="left" w:pos="2120"/>
        </w:tabs>
        <w:bidi w:val="0"/>
        <w:jc w:val="left"/>
        <w:rPr>
          <w:rFonts w:hint="eastAsia" w:eastAsia="宋体"/>
          <w:sz w:val="30"/>
          <w:szCs w:val="30"/>
          <w:lang w:eastAsia="zh-CN"/>
        </w:rPr>
      </w:pPr>
    </w:p>
    <w:p w14:paraId="73F6A1AA">
      <w:pPr>
        <w:tabs>
          <w:tab w:val="left" w:pos="2120"/>
        </w:tabs>
        <w:bidi w:val="0"/>
        <w:jc w:val="left"/>
        <w:rPr>
          <w:rFonts w:hint="eastAsia" w:eastAsia="宋体"/>
          <w:sz w:val="30"/>
          <w:szCs w:val="30"/>
          <w:lang w:eastAsia="zh-CN"/>
        </w:rPr>
      </w:pPr>
      <w:r>
        <w:rPr>
          <w:rFonts w:hint="eastAsia" w:eastAsia="宋体"/>
          <w:sz w:val="30"/>
          <w:szCs w:val="30"/>
          <w:lang w:eastAsia="zh-CN"/>
        </w:rPr>
        <w:t>But we speak God’s wisdom in a mystery, the hidden wisdom which God predestined before the ages to our glory;</w:t>
      </w:r>
    </w:p>
    <w:p w14:paraId="512AA5D8">
      <w:pPr>
        <w:tabs>
          <w:tab w:val="left" w:pos="2120"/>
        </w:tabs>
        <w:bidi w:val="0"/>
        <w:jc w:val="left"/>
        <w:rPr>
          <w:rFonts w:hint="eastAsia" w:eastAsia="宋体"/>
          <w:sz w:val="30"/>
          <w:szCs w:val="30"/>
          <w:lang w:eastAsia="zh-CN"/>
        </w:rPr>
      </w:pPr>
      <w:r>
        <w:rPr>
          <w:rFonts w:hint="eastAsia" w:eastAsia="宋体"/>
          <w:sz w:val="30"/>
          <w:szCs w:val="30"/>
          <w:lang w:eastAsia="zh-CN"/>
        </w:rPr>
        <w:t>我们讲的，乃是从前所隐藏、上帝奥秘中的智慧，就是上帝在万世以前预定使我们得荣耀的。</w:t>
      </w:r>
    </w:p>
    <w:p w14:paraId="2CA53366">
      <w:pPr>
        <w:tabs>
          <w:tab w:val="left" w:pos="2120"/>
        </w:tabs>
        <w:bidi w:val="0"/>
        <w:jc w:val="left"/>
        <w:rPr>
          <w:rFonts w:hint="eastAsia" w:eastAsia="宋体"/>
          <w:sz w:val="30"/>
          <w:szCs w:val="30"/>
          <w:lang w:eastAsia="zh-CN"/>
        </w:rPr>
      </w:pPr>
    </w:p>
    <w:p w14:paraId="7CDF2FDB">
      <w:pPr>
        <w:tabs>
          <w:tab w:val="left" w:pos="2120"/>
        </w:tabs>
        <w:bidi w:val="0"/>
        <w:jc w:val="left"/>
        <w:rPr>
          <w:rFonts w:hint="eastAsia" w:eastAsia="宋体"/>
          <w:sz w:val="30"/>
          <w:szCs w:val="30"/>
          <w:lang w:eastAsia="zh-CN"/>
        </w:rPr>
      </w:pPr>
      <w:r>
        <w:rPr>
          <w:rFonts w:hint="eastAsia" w:eastAsia="宋体"/>
          <w:sz w:val="30"/>
          <w:szCs w:val="30"/>
          <w:lang w:eastAsia="zh-CN"/>
        </w:rPr>
        <w:t>the wisdom which none of the rulers of this age understood; for had they understood it, they would not have crucified the Lord of glory.</w:t>
      </w:r>
    </w:p>
    <w:p w14:paraId="5CA47C9E">
      <w:pPr>
        <w:tabs>
          <w:tab w:val="left" w:pos="2120"/>
        </w:tabs>
        <w:bidi w:val="0"/>
        <w:jc w:val="left"/>
        <w:rPr>
          <w:rFonts w:hint="eastAsia" w:eastAsia="宋体"/>
          <w:sz w:val="30"/>
          <w:szCs w:val="30"/>
          <w:lang w:eastAsia="zh-CN"/>
        </w:rPr>
      </w:pPr>
      <w:r>
        <w:rPr>
          <w:rFonts w:hint="eastAsia" w:eastAsia="宋体"/>
          <w:sz w:val="30"/>
          <w:szCs w:val="30"/>
          <w:lang w:eastAsia="zh-CN"/>
        </w:rPr>
        <w:t>这智慧，这世代有权有位的人没有一个知道的；他们若知道，就不把荣耀的主钉在十字架上了。</w:t>
      </w:r>
    </w:p>
    <w:p w14:paraId="1EE84000">
      <w:pPr>
        <w:tabs>
          <w:tab w:val="left" w:pos="2120"/>
        </w:tabs>
        <w:bidi w:val="0"/>
        <w:jc w:val="left"/>
        <w:rPr>
          <w:rFonts w:hint="eastAsia" w:eastAsia="宋体"/>
          <w:sz w:val="30"/>
          <w:szCs w:val="30"/>
          <w:lang w:eastAsia="zh-CN"/>
        </w:rPr>
      </w:pPr>
    </w:p>
    <w:p w14:paraId="2F35E6BD">
      <w:pPr>
        <w:tabs>
          <w:tab w:val="left" w:pos="2120"/>
        </w:tabs>
        <w:bidi w:val="0"/>
        <w:jc w:val="left"/>
        <w:rPr>
          <w:rFonts w:hint="eastAsia" w:eastAsia="宋体"/>
          <w:sz w:val="30"/>
          <w:szCs w:val="30"/>
          <w:lang w:eastAsia="zh-CN"/>
        </w:rPr>
      </w:pPr>
      <w:r>
        <w:rPr>
          <w:rFonts w:hint="eastAsia" w:eastAsia="宋体"/>
          <w:sz w:val="30"/>
          <w:szCs w:val="30"/>
          <w:lang w:eastAsia="zh-CN"/>
        </w:rPr>
        <w:t>But just as it is written, “Eye has not seen, nor ear heard, nor have entered into the heart of man the things which God has prepared for those who love Him.”</w:t>
      </w:r>
    </w:p>
    <w:p w14:paraId="55E6DE12">
      <w:pPr>
        <w:tabs>
          <w:tab w:val="left" w:pos="2120"/>
        </w:tabs>
        <w:bidi w:val="0"/>
        <w:jc w:val="left"/>
        <w:rPr>
          <w:rFonts w:hint="eastAsia" w:eastAsia="宋体"/>
          <w:sz w:val="30"/>
          <w:szCs w:val="30"/>
          <w:lang w:eastAsia="zh-CN"/>
        </w:rPr>
      </w:pPr>
      <w:r>
        <w:rPr>
          <w:rFonts w:hint="eastAsia" w:eastAsia="宋体"/>
          <w:sz w:val="30"/>
          <w:szCs w:val="30"/>
          <w:lang w:eastAsia="zh-CN"/>
        </w:rPr>
        <w:t>如经上所记：“上帝为爱祂的人所预备的，是眼睛未曾看见，耳朵未曾听见，人心也未曾想到的。”</w:t>
      </w:r>
    </w:p>
    <w:p w14:paraId="17C5463C">
      <w:pPr>
        <w:tabs>
          <w:tab w:val="left" w:pos="2120"/>
        </w:tabs>
        <w:bidi w:val="0"/>
        <w:jc w:val="left"/>
        <w:rPr>
          <w:rFonts w:hint="eastAsia" w:eastAsia="宋体"/>
          <w:sz w:val="30"/>
          <w:szCs w:val="30"/>
          <w:lang w:eastAsia="zh-CN"/>
        </w:rPr>
      </w:pPr>
    </w:p>
    <w:p w14:paraId="291DA8CF">
      <w:pPr>
        <w:tabs>
          <w:tab w:val="left" w:pos="2120"/>
        </w:tabs>
        <w:bidi w:val="0"/>
        <w:jc w:val="left"/>
        <w:rPr>
          <w:rFonts w:hint="eastAsia" w:eastAsia="宋体"/>
          <w:sz w:val="30"/>
          <w:szCs w:val="30"/>
          <w:lang w:eastAsia="zh-CN"/>
        </w:rPr>
      </w:pPr>
      <w:r>
        <w:rPr>
          <w:rFonts w:hint="eastAsia" w:eastAsia="宋体"/>
          <w:sz w:val="30"/>
          <w:szCs w:val="30"/>
          <w:lang w:eastAsia="zh-CN"/>
        </w:rPr>
        <w:t>But to us God has revealed them through His Spirit; for the Spirit searches all things, even the deep things of God.</w:t>
      </w:r>
    </w:p>
    <w:p w14:paraId="40CA6587">
      <w:pPr>
        <w:tabs>
          <w:tab w:val="left" w:pos="2120"/>
        </w:tabs>
        <w:bidi w:val="0"/>
        <w:jc w:val="left"/>
        <w:rPr>
          <w:rFonts w:hint="eastAsia" w:eastAsia="宋体"/>
          <w:sz w:val="30"/>
          <w:szCs w:val="30"/>
          <w:lang w:eastAsia="zh-CN"/>
        </w:rPr>
      </w:pPr>
      <w:r>
        <w:rPr>
          <w:rFonts w:hint="eastAsia" w:eastAsia="宋体"/>
          <w:sz w:val="30"/>
          <w:szCs w:val="30"/>
          <w:lang w:eastAsia="zh-CN"/>
        </w:rPr>
        <w:t>但上帝却藉着圣灵向我们显明了，因为圣灵参透万事，就是上帝深奥的事也参透了。</w:t>
      </w:r>
    </w:p>
    <w:p w14:paraId="0E6BD21E">
      <w:pPr>
        <w:tabs>
          <w:tab w:val="left" w:pos="2120"/>
        </w:tabs>
        <w:bidi w:val="0"/>
        <w:jc w:val="left"/>
        <w:rPr>
          <w:rFonts w:hint="eastAsia" w:eastAsia="宋体"/>
          <w:sz w:val="30"/>
          <w:szCs w:val="30"/>
          <w:lang w:eastAsia="zh-CN"/>
        </w:rPr>
      </w:pPr>
    </w:p>
    <w:p w14:paraId="006B454A">
      <w:pPr>
        <w:tabs>
          <w:tab w:val="left" w:pos="2120"/>
        </w:tabs>
        <w:bidi w:val="0"/>
        <w:jc w:val="left"/>
        <w:rPr>
          <w:rFonts w:hint="eastAsia" w:eastAsia="宋体"/>
          <w:sz w:val="30"/>
          <w:szCs w:val="30"/>
          <w:lang w:eastAsia="zh-CN"/>
        </w:rPr>
      </w:pPr>
      <w:r>
        <w:rPr>
          <w:rFonts w:hint="eastAsia" w:eastAsia="宋体"/>
          <w:sz w:val="30"/>
          <w:szCs w:val="30"/>
          <w:lang w:eastAsia="zh-CN"/>
        </w:rPr>
        <w:t>—1 Cor. 2:6-10</w:t>
      </w:r>
    </w:p>
    <w:p w14:paraId="55819C3F">
      <w:pPr>
        <w:tabs>
          <w:tab w:val="left" w:pos="2120"/>
        </w:tabs>
        <w:bidi w:val="0"/>
        <w:jc w:val="left"/>
        <w:rPr>
          <w:rFonts w:hint="eastAsia" w:eastAsia="宋体"/>
          <w:sz w:val="30"/>
          <w:szCs w:val="30"/>
          <w:lang w:eastAsia="zh-CN"/>
        </w:rPr>
      </w:pPr>
      <w:r>
        <w:rPr>
          <w:rFonts w:hint="eastAsia" w:eastAsia="宋体"/>
          <w:sz w:val="30"/>
          <w:szCs w:val="30"/>
          <w:lang w:eastAsia="zh-CN"/>
        </w:rPr>
        <w:t>—林前 2:6-10</w:t>
      </w:r>
    </w:p>
    <w:p w14:paraId="40990B1D">
      <w:pPr>
        <w:tabs>
          <w:tab w:val="left" w:pos="2120"/>
        </w:tabs>
        <w:bidi w:val="0"/>
        <w:jc w:val="left"/>
        <w:rPr>
          <w:rFonts w:hint="eastAsia" w:eastAsia="宋体"/>
          <w:sz w:val="30"/>
          <w:szCs w:val="30"/>
          <w:lang w:eastAsia="zh-CN"/>
        </w:rPr>
      </w:pPr>
    </w:p>
    <w:p w14:paraId="1346BD35">
      <w:pPr>
        <w:tabs>
          <w:tab w:val="left" w:pos="2120"/>
        </w:tabs>
        <w:bidi w:val="0"/>
        <w:jc w:val="left"/>
        <w:rPr>
          <w:rFonts w:hint="eastAsia" w:eastAsia="宋体"/>
          <w:sz w:val="30"/>
          <w:szCs w:val="30"/>
          <w:lang w:eastAsia="zh-CN"/>
        </w:rPr>
      </w:pPr>
      <w:r>
        <w:rPr>
          <w:rFonts w:hint="eastAsia" w:eastAsia="宋体"/>
          <w:sz w:val="30"/>
          <w:szCs w:val="30"/>
          <w:lang w:eastAsia="zh-CN"/>
        </w:rPr>
        <w:t>The second text is found in Paul’s letter to the Ephesians.</w:t>
      </w:r>
    </w:p>
    <w:p w14:paraId="6B2DA8B5">
      <w:pPr>
        <w:tabs>
          <w:tab w:val="left" w:pos="2120"/>
        </w:tabs>
        <w:bidi w:val="0"/>
        <w:jc w:val="left"/>
        <w:rPr>
          <w:rFonts w:hint="eastAsia" w:eastAsia="宋体"/>
          <w:sz w:val="30"/>
          <w:szCs w:val="30"/>
          <w:lang w:eastAsia="zh-CN"/>
        </w:rPr>
      </w:pPr>
      <w:r>
        <w:rPr>
          <w:rFonts w:hint="eastAsia" w:eastAsia="宋体"/>
          <w:sz w:val="30"/>
          <w:szCs w:val="30"/>
          <w:lang w:eastAsia="zh-CN"/>
        </w:rPr>
        <w:t>第二段经文见于保罗写给以弗所人的信中。</w:t>
      </w:r>
    </w:p>
    <w:p w14:paraId="1D38065A">
      <w:pPr>
        <w:tabs>
          <w:tab w:val="left" w:pos="2120"/>
        </w:tabs>
        <w:bidi w:val="0"/>
        <w:jc w:val="left"/>
        <w:rPr>
          <w:rFonts w:hint="eastAsia" w:eastAsia="宋体"/>
          <w:sz w:val="30"/>
          <w:szCs w:val="30"/>
          <w:lang w:eastAsia="zh-CN"/>
        </w:rPr>
      </w:pPr>
    </w:p>
    <w:p w14:paraId="55D7C1C6">
      <w:pPr>
        <w:tabs>
          <w:tab w:val="left" w:pos="2120"/>
        </w:tabs>
        <w:bidi w:val="0"/>
        <w:jc w:val="left"/>
        <w:rPr>
          <w:rFonts w:hint="eastAsia" w:eastAsia="宋体"/>
          <w:sz w:val="30"/>
          <w:szCs w:val="30"/>
          <w:lang w:eastAsia="zh-CN"/>
        </w:rPr>
      </w:pPr>
      <w:r>
        <w:rPr>
          <w:rFonts w:hint="eastAsia" w:eastAsia="宋体"/>
          <w:sz w:val="30"/>
          <w:szCs w:val="30"/>
          <w:lang w:eastAsia="zh-CN"/>
        </w:rPr>
        <w:t>Here his burden is much the same, but with this added element, that he identifies himself as an apostle specially sent to the Gentiles:</w:t>
      </w:r>
    </w:p>
    <w:p w14:paraId="5B3574F9">
      <w:pPr>
        <w:tabs>
          <w:tab w:val="left" w:pos="2120"/>
        </w:tabs>
        <w:bidi w:val="0"/>
        <w:jc w:val="left"/>
        <w:rPr>
          <w:rFonts w:hint="eastAsia" w:eastAsia="宋体"/>
          <w:sz w:val="30"/>
          <w:szCs w:val="30"/>
          <w:lang w:eastAsia="zh-CN"/>
        </w:rPr>
      </w:pPr>
      <w:r>
        <w:rPr>
          <w:rFonts w:hint="eastAsia" w:eastAsia="宋体"/>
          <w:sz w:val="30"/>
          <w:szCs w:val="30"/>
          <w:lang w:eastAsia="zh-CN"/>
        </w:rPr>
        <w:t>在此，他的负担大致相同，但增加了一个元素，即他表明自己是特派到外邦人那里的使徒：</w:t>
      </w:r>
    </w:p>
    <w:p w14:paraId="7B6F3C8C">
      <w:pPr>
        <w:tabs>
          <w:tab w:val="left" w:pos="2120"/>
        </w:tabs>
        <w:bidi w:val="0"/>
        <w:jc w:val="left"/>
        <w:rPr>
          <w:rFonts w:hint="eastAsia" w:eastAsia="宋体"/>
          <w:sz w:val="30"/>
          <w:szCs w:val="30"/>
          <w:lang w:eastAsia="zh-CN"/>
        </w:rPr>
      </w:pPr>
    </w:p>
    <w:p w14:paraId="43B01BDE">
      <w:pPr>
        <w:tabs>
          <w:tab w:val="left" w:pos="2120"/>
        </w:tabs>
        <w:bidi w:val="0"/>
        <w:jc w:val="left"/>
        <w:rPr>
          <w:rFonts w:hint="eastAsia" w:eastAsia="宋体"/>
          <w:sz w:val="30"/>
          <w:szCs w:val="30"/>
          <w:lang w:eastAsia="zh-CN"/>
        </w:rPr>
      </w:pPr>
      <w:r>
        <w:rPr>
          <w:rFonts w:hint="eastAsia" w:eastAsia="宋体"/>
          <w:sz w:val="30"/>
          <w:szCs w:val="30"/>
          <w:lang w:eastAsia="zh-CN"/>
        </w:rPr>
        <w:t>To me, the very least of all saints, this grace was given, to preach to the Gentiles the unfathomable riches of Christ, and to bring to light what is the administration of the mystery which for ages has been hidden in God, who created all things;</w:t>
      </w:r>
    </w:p>
    <w:p w14:paraId="1952A063">
      <w:pPr>
        <w:tabs>
          <w:tab w:val="left" w:pos="2120"/>
        </w:tabs>
        <w:bidi w:val="0"/>
        <w:jc w:val="left"/>
        <w:rPr>
          <w:rFonts w:hint="eastAsia" w:eastAsia="宋体"/>
          <w:sz w:val="30"/>
          <w:szCs w:val="30"/>
          <w:lang w:eastAsia="zh-CN"/>
        </w:rPr>
      </w:pPr>
      <w:r>
        <w:rPr>
          <w:rFonts w:hint="eastAsia" w:eastAsia="宋体"/>
          <w:sz w:val="30"/>
          <w:szCs w:val="30"/>
          <w:lang w:eastAsia="zh-CN"/>
        </w:rPr>
        <w:t>我本来比众圣徒中最小的还小，然而祂还赐我这恩典，叫我把基督那测不透的丰富传给外邦人，又使众人都明白，这历代以来隐藏在创造万物之上帝里的奥秘，是如何安排的；</w:t>
      </w:r>
    </w:p>
    <w:p w14:paraId="4854D173">
      <w:pPr>
        <w:tabs>
          <w:tab w:val="left" w:pos="2120"/>
        </w:tabs>
        <w:bidi w:val="0"/>
        <w:jc w:val="left"/>
        <w:rPr>
          <w:rFonts w:hint="eastAsia" w:eastAsia="宋体"/>
          <w:sz w:val="30"/>
          <w:szCs w:val="30"/>
          <w:lang w:eastAsia="zh-CN"/>
        </w:rPr>
      </w:pPr>
    </w:p>
    <w:p w14:paraId="27B00E7A">
      <w:pPr>
        <w:tabs>
          <w:tab w:val="left" w:pos="2120"/>
        </w:tabs>
        <w:bidi w:val="0"/>
        <w:jc w:val="left"/>
        <w:rPr>
          <w:rFonts w:hint="eastAsia" w:eastAsia="宋体"/>
          <w:sz w:val="30"/>
          <w:szCs w:val="30"/>
          <w:lang w:eastAsia="zh-CN"/>
        </w:rPr>
      </w:pPr>
      <w:r>
        <w:rPr>
          <w:rFonts w:hint="eastAsia" w:eastAsia="宋体"/>
          <w:sz w:val="30"/>
          <w:szCs w:val="30"/>
          <w:lang w:eastAsia="zh-CN"/>
        </w:rPr>
        <w:t>in order that the manifold wisdom of God might now be made known through the Church to the rulers and the authorities in the heavenly places.</w:t>
      </w:r>
    </w:p>
    <w:p w14:paraId="22504CEE">
      <w:pPr>
        <w:tabs>
          <w:tab w:val="left" w:pos="2120"/>
        </w:tabs>
        <w:bidi w:val="0"/>
        <w:jc w:val="left"/>
        <w:rPr>
          <w:rFonts w:hint="eastAsia" w:eastAsia="宋体"/>
          <w:sz w:val="30"/>
          <w:szCs w:val="30"/>
          <w:lang w:eastAsia="zh-CN"/>
        </w:rPr>
      </w:pPr>
      <w:r>
        <w:rPr>
          <w:rFonts w:hint="eastAsia" w:eastAsia="宋体"/>
          <w:sz w:val="30"/>
          <w:szCs w:val="30"/>
          <w:lang w:eastAsia="zh-CN"/>
        </w:rPr>
        <w:t>为要藉着教会，使天上执政的、掌权的，现在得知上帝百般的智慧。</w:t>
      </w:r>
    </w:p>
    <w:p w14:paraId="3E028832">
      <w:pPr>
        <w:tabs>
          <w:tab w:val="left" w:pos="2120"/>
        </w:tabs>
        <w:bidi w:val="0"/>
        <w:jc w:val="left"/>
        <w:rPr>
          <w:rFonts w:hint="eastAsia" w:eastAsia="宋体"/>
          <w:sz w:val="30"/>
          <w:szCs w:val="30"/>
          <w:lang w:eastAsia="zh-CN"/>
        </w:rPr>
      </w:pPr>
    </w:p>
    <w:p w14:paraId="0379B18E">
      <w:pPr>
        <w:tabs>
          <w:tab w:val="left" w:pos="2120"/>
        </w:tabs>
        <w:bidi w:val="0"/>
        <w:jc w:val="left"/>
        <w:rPr>
          <w:rFonts w:hint="eastAsia" w:eastAsia="宋体"/>
          <w:sz w:val="30"/>
          <w:szCs w:val="30"/>
          <w:lang w:eastAsia="zh-CN"/>
        </w:rPr>
      </w:pPr>
      <w:r>
        <w:rPr>
          <w:rFonts w:hint="eastAsia" w:eastAsia="宋体"/>
          <w:sz w:val="30"/>
          <w:szCs w:val="30"/>
          <w:lang w:eastAsia="zh-CN"/>
        </w:rPr>
        <w:t>This was in accordance with the eternal purpose that He carried out in Christ Jesus our Lord,</w:t>
      </w:r>
    </w:p>
    <w:p w14:paraId="0CFBC3D6">
      <w:pPr>
        <w:tabs>
          <w:tab w:val="left" w:pos="2120"/>
        </w:tabs>
        <w:bidi w:val="0"/>
        <w:jc w:val="left"/>
        <w:rPr>
          <w:rFonts w:hint="eastAsia" w:eastAsia="宋体"/>
          <w:sz w:val="30"/>
          <w:szCs w:val="30"/>
          <w:lang w:eastAsia="zh-CN"/>
        </w:rPr>
      </w:pPr>
      <w:r>
        <w:rPr>
          <w:rFonts w:hint="eastAsia" w:eastAsia="宋体"/>
          <w:sz w:val="30"/>
          <w:szCs w:val="30"/>
          <w:lang w:eastAsia="zh-CN"/>
        </w:rPr>
        <w:t>这是照着上帝从万世以前，在我们主基督耶稣里所定的旨意。</w:t>
      </w:r>
    </w:p>
    <w:p w14:paraId="3AF4E5C7">
      <w:pPr>
        <w:tabs>
          <w:tab w:val="left" w:pos="2120"/>
        </w:tabs>
        <w:bidi w:val="0"/>
        <w:jc w:val="left"/>
        <w:rPr>
          <w:rFonts w:hint="eastAsia" w:eastAsia="宋体"/>
          <w:sz w:val="30"/>
          <w:szCs w:val="30"/>
          <w:lang w:eastAsia="zh-CN"/>
        </w:rPr>
      </w:pPr>
    </w:p>
    <w:p w14:paraId="64536100">
      <w:pPr>
        <w:tabs>
          <w:tab w:val="left" w:pos="2120"/>
        </w:tabs>
        <w:bidi w:val="0"/>
        <w:jc w:val="left"/>
        <w:rPr>
          <w:rFonts w:hint="eastAsia" w:eastAsia="宋体"/>
          <w:sz w:val="30"/>
          <w:szCs w:val="30"/>
          <w:lang w:eastAsia="zh-CN"/>
        </w:rPr>
      </w:pPr>
      <w:r>
        <w:rPr>
          <w:rFonts w:hint="eastAsia" w:eastAsia="宋体"/>
          <w:sz w:val="30"/>
          <w:szCs w:val="30"/>
          <w:lang w:eastAsia="zh-CN"/>
        </w:rPr>
        <w:t>in whom we have boldness and confident access through faith in him.</w:t>
      </w:r>
    </w:p>
    <w:p w14:paraId="41C709DB">
      <w:pPr>
        <w:tabs>
          <w:tab w:val="left" w:pos="2120"/>
        </w:tabs>
        <w:bidi w:val="0"/>
        <w:jc w:val="left"/>
        <w:rPr>
          <w:rFonts w:hint="eastAsia" w:eastAsia="宋体"/>
          <w:sz w:val="30"/>
          <w:szCs w:val="30"/>
          <w:lang w:eastAsia="zh-CN"/>
        </w:rPr>
      </w:pPr>
      <w:r>
        <w:rPr>
          <w:rFonts w:hint="eastAsia" w:eastAsia="宋体"/>
          <w:sz w:val="30"/>
          <w:szCs w:val="30"/>
          <w:lang w:eastAsia="zh-CN"/>
        </w:rPr>
        <w:t>我们因信祂，就在祂里面放胆无惧，笃信不疑地来到上帝面前。</w:t>
      </w:r>
    </w:p>
    <w:p w14:paraId="6923811D">
      <w:pPr>
        <w:tabs>
          <w:tab w:val="left" w:pos="2120"/>
        </w:tabs>
        <w:bidi w:val="0"/>
        <w:jc w:val="left"/>
        <w:rPr>
          <w:rFonts w:hint="eastAsia" w:eastAsia="宋体"/>
          <w:sz w:val="30"/>
          <w:szCs w:val="30"/>
          <w:lang w:eastAsia="zh-CN"/>
        </w:rPr>
      </w:pPr>
    </w:p>
    <w:p w14:paraId="4950D76F">
      <w:pPr>
        <w:tabs>
          <w:tab w:val="left" w:pos="2120"/>
        </w:tabs>
        <w:bidi w:val="0"/>
        <w:jc w:val="left"/>
        <w:rPr>
          <w:rFonts w:hint="eastAsia" w:eastAsia="宋体"/>
          <w:sz w:val="30"/>
          <w:szCs w:val="30"/>
          <w:lang w:eastAsia="zh-CN"/>
        </w:rPr>
      </w:pPr>
      <w:r>
        <w:rPr>
          <w:rFonts w:hint="eastAsia" w:eastAsia="宋体"/>
          <w:sz w:val="30"/>
          <w:szCs w:val="30"/>
          <w:lang w:eastAsia="zh-CN"/>
        </w:rPr>
        <w:t>—Eph. 3:8-12</w:t>
      </w:r>
    </w:p>
    <w:p w14:paraId="795DB2F4">
      <w:pPr>
        <w:tabs>
          <w:tab w:val="left" w:pos="2120"/>
        </w:tabs>
        <w:bidi w:val="0"/>
        <w:jc w:val="left"/>
        <w:rPr>
          <w:rFonts w:hint="eastAsia" w:eastAsia="宋体"/>
          <w:sz w:val="30"/>
          <w:szCs w:val="30"/>
          <w:lang w:eastAsia="zh-CN"/>
        </w:rPr>
      </w:pPr>
      <w:r>
        <w:rPr>
          <w:rFonts w:hint="eastAsia" w:eastAsia="宋体"/>
          <w:sz w:val="30"/>
          <w:szCs w:val="30"/>
          <w:lang w:eastAsia="zh-CN"/>
        </w:rPr>
        <w:t>—弗 3:8-12</w:t>
      </w:r>
    </w:p>
    <w:p w14:paraId="6A1DC343">
      <w:pPr>
        <w:tabs>
          <w:tab w:val="left" w:pos="2120"/>
        </w:tabs>
        <w:bidi w:val="0"/>
        <w:jc w:val="left"/>
        <w:rPr>
          <w:rFonts w:hint="eastAsia" w:eastAsia="宋体"/>
          <w:sz w:val="30"/>
          <w:szCs w:val="30"/>
          <w:lang w:eastAsia="zh-CN"/>
        </w:rPr>
      </w:pPr>
    </w:p>
    <w:p w14:paraId="69D965D4">
      <w:pPr>
        <w:tabs>
          <w:tab w:val="left" w:pos="2120"/>
        </w:tabs>
        <w:bidi w:val="0"/>
        <w:jc w:val="left"/>
        <w:rPr>
          <w:rFonts w:hint="eastAsia" w:eastAsia="宋体"/>
          <w:sz w:val="30"/>
          <w:szCs w:val="30"/>
          <w:lang w:eastAsia="zh-CN"/>
        </w:rPr>
      </w:pPr>
      <w:r>
        <w:rPr>
          <w:rFonts w:hint="eastAsia" w:eastAsia="宋体"/>
          <w:sz w:val="30"/>
          <w:szCs w:val="30"/>
          <w:lang w:eastAsia="zh-CN"/>
        </w:rPr>
        <w:t>My purpose here is not to undertake an exposition of these texts, but simply to give you a feel for the mind-set of Christ’s founding apostles, and also for the nature of the “mystery” which God had revealed to them, placed in their custody, and commanded them to steward and proclaim with infinite care.</w:t>
      </w:r>
    </w:p>
    <w:p w14:paraId="443DEDB0">
      <w:pPr>
        <w:tabs>
          <w:tab w:val="left" w:pos="2120"/>
        </w:tabs>
        <w:bidi w:val="0"/>
        <w:jc w:val="left"/>
        <w:rPr>
          <w:rFonts w:hint="eastAsia" w:eastAsia="宋体"/>
          <w:sz w:val="30"/>
          <w:szCs w:val="30"/>
          <w:lang w:eastAsia="zh-CN"/>
        </w:rPr>
      </w:pPr>
      <w:r>
        <w:rPr>
          <w:rFonts w:hint="eastAsia" w:eastAsia="宋体"/>
          <w:sz w:val="30"/>
          <w:szCs w:val="30"/>
          <w:lang w:eastAsia="zh-CN"/>
        </w:rPr>
        <w:t>我在此的目的不是要对这些经文进行阐释，而只是想让你感受一下基督的创始使徒们的心态，以及上帝向他们启示、交托他们保管、并吩咐他们以无限谨慎去管理和宣讲的那个“奥秘”的本质。</w:t>
      </w:r>
    </w:p>
    <w:p w14:paraId="1B7454C3">
      <w:pPr>
        <w:tabs>
          <w:tab w:val="left" w:pos="2120"/>
        </w:tabs>
        <w:bidi w:val="0"/>
        <w:jc w:val="left"/>
        <w:rPr>
          <w:rFonts w:hint="eastAsia" w:eastAsia="宋体"/>
          <w:sz w:val="30"/>
          <w:szCs w:val="30"/>
          <w:lang w:eastAsia="zh-CN"/>
        </w:rPr>
      </w:pPr>
    </w:p>
    <w:p w14:paraId="71472C61">
      <w:pPr>
        <w:tabs>
          <w:tab w:val="left" w:pos="2120"/>
        </w:tabs>
        <w:bidi w:val="0"/>
        <w:jc w:val="left"/>
        <w:rPr>
          <w:rFonts w:hint="eastAsia" w:eastAsia="宋体"/>
          <w:sz w:val="30"/>
          <w:szCs w:val="30"/>
          <w:lang w:eastAsia="zh-CN"/>
        </w:rPr>
      </w:pPr>
      <w:r>
        <w:rPr>
          <w:rFonts w:hint="eastAsia" w:eastAsia="宋体"/>
          <w:sz w:val="30"/>
          <w:szCs w:val="30"/>
          <w:lang w:eastAsia="zh-CN"/>
        </w:rPr>
        <w:t>What can we say about this “mystery of God” that so intoxicated Paul and his companions?</w:t>
      </w:r>
    </w:p>
    <w:p w14:paraId="2BD10C5E">
      <w:pPr>
        <w:tabs>
          <w:tab w:val="left" w:pos="2120"/>
        </w:tabs>
        <w:bidi w:val="0"/>
        <w:jc w:val="left"/>
        <w:rPr>
          <w:rFonts w:hint="eastAsia" w:eastAsia="宋体"/>
          <w:sz w:val="30"/>
          <w:szCs w:val="30"/>
          <w:lang w:eastAsia="zh-CN"/>
        </w:rPr>
      </w:pPr>
      <w:r>
        <w:rPr>
          <w:rFonts w:hint="eastAsia" w:eastAsia="宋体"/>
          <w:sz w:val="30"/>
          <w:szCs w:val="30"/>
          <w:lang w:eastAsia="zh-CN"/>
        </w:rPr>
        <w:t>关于这个令保罗和他的同伴如此陶醉的“上帝的奥秘”，我们能说些什么呢？</w:t>
      </w:r>
    </w:p>
    <w:p w14:paraId="68474F98">
      <w:pPr>
        <w:tabs>
          <w:tab w:val="left" w:pos="2120"/>
        </w:tabs>
        <w:bidi w:val="0"/>
        <w:jc w:val="left"/>
        <w:rPr>
          <w:rFonts w:hint="eastAsia" w:eastAsia="宋体"/>
          <w:sz w:val="30"/>
          <w:szCs w:val="30"/>
          <w:lang w:eastAsia="zh-CN"/>
        </w:rPr>
      </w:pPr>
    </w:p>
    <w:p w14:paraId="41EAA395">
      <w:pPr>
        <w:tabs>
          <w:tab w:val="left" w:pos="2120"/>
        </w:tabs>
        <w:bidi w:val="0"/>
        <w:jc w:val="left"/>
        <w:rPr>
          <w:rFonts w:hint="eastAsia" w:eastAsia="宋体"/>
          <w:sz w:val="30"/>
          <w:szCs w:val="30"/>
          <w:lang w:eastAsia="zh-CN"/>
        </w:rPr>
      </w:pPr>
      <w:r>
        <w:rPr>
          <w:rFonts w:hint="eastAsia" w:eastAsia="宋体"/>
          <w:sz w:val="30"/>
          <w:szCs w:val="30"/>
          <w:lang w:eastAsia="zh-CN"/>
        </w:rPr>
        <w:t>Based on these two texts—and a number of others closely related to them—we can say that this mystery is:</w:t>
      </w:r>
    </w:p>
    <w:p w14:paraId="098928D5">
      <w:pPr>
        <w:tabs>
          <w:tab w:val="left" w:pos="2120"/>
        </w:tabs>
        <w:bidi w:val="0"/>
        <w:jc w:val="left"/>
        <w:rPr>
          <w:rFonts w:hint="eastAsia" w:eastAsia="宋体"/>
          <w:sz w:val="30"/>
          <w:szCs w:val="30"/>
          <w:lang w:eastAsia="zh-CN"/>
        </w:rPr>
      </w:pPr>
      <w:r>
        <w:rPr>
          <w:rFonts w:hint="eastAsia" w:eastAsia="宋体"/>
          <w:sz w:val="30"/>
          <w:szCs w:val="30"/>
          <w:lang w:eastAsia="zh-CN"/>
        </w:rPr>
        <w:t>基于这两段经文——以及其他一些与之密切相关的经文——我们可以说，这个奥秘是：</w:t>
      </w:r>
    </w:p>
    <w:p w14:paraId="305BF4A3">
      <w:pPr>
        <w:tabs>
          <w:tab w:val="left" w:pos="2120"/>
        </w:tabs>
        <w:bidi w:val="0"/>
        <w:jc w:val="left"/>
        <w:rPr>
          <w:rFonts w:hint="eastAsia" w:eastAsia="宋体"/>
          <w:sz w:val="30"/>
          <w:szCs w:val="30"/>
          <w:lang w:eastAsia="zh-CN"/>
        </w:rPr>
      </w:pPr>
    </w:p>
    <w:p w14:paraId="026B3A40">
      <w:pPr>
        <w:tabs>
          <w:tab w:val="left" w:pos="2120"/>
        </w:tabs>
        <w:bidi w:val="0"/>
        <w:jc w:val="left"/>
        <w:rPr>
          <w:rFonts w:hint="eastAsia" w:eastAsia="宋体"/>
          <w:sz w:val="30"/>
          <w:szCs w:val="30"/>
          <w:lang w:eastAsia="zh-CN"/>
        </w:rPr>
      </w:pPr>
      <w:r>
        <w:rPr>
          <w:rFonts w:hint="eastAsia" w:eastAsia="宋体"/>
          <w:sz w:val="30"/>
          <w:szCs w:val="30"/>
          <w:lang w:eastAsia="zh-CN"/>
        </w:rPr>
        <w:t>1.A plan (or purpose) for the redemption of sinners (Rom. 8:28, Eph. 1:7, 3:11, 2 Tim. 1:9) …</w:t>
      </w:r>
    </w:p>
    <w:p w14:paraId="021AEDFE">
      <w:pPr>
        <w:tabs>
          <w:tab w:val="left" w:pos="2120"/>
        </w:tabs>
        <w:bidi w:val="0"/>
        <w:jc w:val="left"/>
        <w:rPr>
          <w:rFonts w:hint="eastAsia" w:eastAsia="宋体"/>
          <w:sz w:val="30"/>
          <w:szCs w:val="30"/>
          <w:lang w:eastAsia="zh-CN"/>
        </w:rPr>
      </w:pPr>
      <w:r>
        <w:rPr>
          <w:rFonts w:hint="eastAsia" w:eastAsia="宋体"/>
          <w:sz w:val="30"/>
          <w:szCs w:val="30"/>
          <w:lang w:eastAsia="zh-CN"/>
        </w:rPr>
        <w:t>1. 一个为罪人得救赎的计划（或旨意）（罗 8:28, 弗 1:7, 3:11, 提后 1:9）…</w:t>
      </w:r>
    </w:p>
    <w:p w14:paraId="7B80EBA9">
      <w:pPr>
        <w:tabs>
          <w:tab w:val="left" w:pos="2120"/>
        </w:tabs>
        <w:bidi w:val="0"/>
        <w:jc w:val="left"/>
        <w:rPr>
          <w:rFonts w:hint="eastAsia" w:eastAsia="宋体"/>
          <w:sz w:val="30"/>
          <w:szCs w:val="30"/>
          <w:lang w:eastAsia="zh-CN"/>
        </w:rPr>
      </w:pPr>
    </w:p>
    <w:p w14:paraId="636F5CED">
      <w:pPr>
        <w:tabs>
          <w:tab w:val="left" w:pos="2120"/>
        </w:tabs>
        <w:bidi w:val="0"/>
        <w:jc w:val="left"/>
        <w:rPr>
          <w:rFonts w:hint="eastAsia" w:eastAsia="宋体"/>
          <w:sz w:val="30"/>
          <w:szCs w:val="30"/>
          <w:lang w:eastAsia="zh-CN"/>
        </w:rPr>
      </w:pPr>
      <w:r>
        <w:rPr>
          <w:rFonts w:hint="eastAsia" w:eastAsia="宋体"/>
          <w:sz w:val="30"/>
          <w:szCs w:val="30"/>
          <w:lang w:eastAsia="zh-CN"/>
        </w:rPr>
        <w:t>2.Devised in eternity past (Eph. 1:11, 2 Tim. 1:9, Titus 1:2) …</w:t>
      </w:r>
    </w:p>
    <w:p w14:paraId="40883246">
      <w:pPr>
        <w:tabs>
          <w:tab w:val="left" w:pos="2120"/>
        </w:tabs>
        <w:bidi w:val="0"/>
        <w:jc w:val="left"/>
        <w:rPr>
          <w:rFonts w:hint="eastAsia" w:eastAsia="宋体"/>
          <w:sz w:val="30"/>
          <w:szCs w:val="30"/>
          <w:lang w:eastAsia="zh-CN"/>
        </w:rPr>
      </w:pPr>
      <w:r>
        <w:rPr>
          <w:rFonts w:hint="eastAsia" w:eastAsia="宋体"/>
          <w:sz w:val="30"/>
          <w:szCs w:val="30"/>
          <w:lang w:eastAsia="zh-CN"/>
        </w:rPr>
        <w:t>2. 在永恒的过去所制定的（弗 1:11, 提后 1:9, 多 1:2）…</w:t>
      </w:r>
    </w:p>
    <w:p w14:paraId="5489303D">
      <w:pPr>
        <w:tabs>
          <w:tab w:val="left" w:pos="2120"/>
        </w:tabs>
        <w:bidi w:val="0"/>
        <w:jc w:val="left"/>
        <w:rPr>
          <w:rFonts w:hint="eastAsia" w:eastAsia="宋体"/>
          <w:sz w:val="30"/>
          <w:szCs w:val="30"/>
          <w:lang w:eastAsia="zh-CN"/>
        </w:rPr>
      </w:pPr>
    </w:p>
    <w:p w14:paraId="6F380110">
      <w:pPr>
        <w:tabs>
          <w:tab w:val="left" w:pos="2120"/>
        </w:tabs>
        <w:bidi w:val="0"/>
        <w:jc w:val="left"/>
        <w:rPr>
          <w:rFonts w:hint="eastAsia" w:eastAsia="宋体"/>
          <w:sz w:val="30"/>
          <w:szCs w:val="30"/>
          <w:lang w:eastAsia="zh-CN"/>
        </w:rPr>
      </w:pPr>
      <w:r>
        <w:rPr>
          <w:rFonts w:hint="eastAsia" w:eastAsia="宋体"/>
          <w:sz w:val="30"/>
          <w:szCs w:val="30"/>
          <w:lang w:eastAsia="zh-CN"/>
        </w:rPr>
        <w:t>3.Hidden for long ages from the sight of men and angels (Rom. 16:25- 26, Col. 1:25-27) …</w:t>
      </w:r>
    </w:p>
    <w:p w14:paraId="49DF2E2C">
      <w:pPr>
        <w:tabs>
          <w:tab w:val="left" w:pos="2120"/>
        </w:tabs>
        <w:bidi w:val="0"/>
        <w:jc w:val="left"/>
        <w:rPr>
          <w:rFonts w:hint="eastAsia" w:eastAsia="宋体"/>
          <w:sz w:val="30"/>
          <w:szCs w:val="30"/>
          <w:lang w:eastAsia="zh-CN"/>
        </w:rPr>
      </w:pPr>
      <w:r>
        <w:rPr>
          <w:rFonts w:hint="eastAsia" w:eastAsia="宋体"/>
          <w:sz w:val="30"/>
          <w:szCs w:val="30"/>
          <w:lang w:eastAsia="zh-CN"/>
        </w:rPr>
        <w:t>3. 历世历代向世人和天使所隐藏的（罗 16:25-26, 西 1:25-27）…</w:t>
      </w:r>
    </w:p>
    <w:p w14:paraId="4A4833BA">
      <w:pPr>
        <w:tabs>
          <w:tab w:val="left" w:pos="2120"/>
        </w:tabs>
        <w:bidi w:val="0"/>
        <w:jc w:val="left"/>
        <w:rPr>
          <w:rFonts w:hint="eastAsia" w:eastAsia="宋体"/>
          <w:sz w:val="30"/>
          <w:szCs w:val="30"/>
          <w:lang w:eastAsia="zh-CN"/>
        </w:rPr>
      </w:pPr>
    </w:p>
    <w:p w14:paraId="1C1A8C8A">
      <w:pPr>
        <w:tabs>
          <w:tab w:val="left" w:pos="2120"/>
        </w:tabs>
        <w:bidi w:val="0"/>
        <w:jc w:val="left"/>
        <w:rPr>
          <w:rFonts w:hint="eastAsia" w:eastAsia="宋体"/>
          <w:sz w:val="30"/>
          <w:szCs w:val="30"/>
          <w:lang w:eastAsia="zh-CN"/>
        </w:rPr>
      </w:pPr>
      <w:r>
        <w:rPr>
          <w:rFonts w:hint="eastAsia" w:eastAsia="宋体"/>
          <w:sz w:val="30"/>
          <w:szCs w:val="30"/>
          <w:lang w:eastAsia="zh-CN"/>
        </w:rPr>
        <w:t>4.Manifested at the (first) coming of Christ and in the Good News about his redemptive work (Rom. 3:21, Titus 1:3, 3:4, 1 Peter 1:20, Heb. 9:26, 1 John 1:2, 3:5, Rev. 13:8, 17:8) …</w:t>
      </w:r>
    </w:p>
    <w:p w14:paraId="616799B2">
      <w:pPr>
        <w:tabs>
          <w:tab w:val="left" w:pos="2120"/>
        </w:tabs>
        <w:bidi w:val="0"/>
        <w:jc w:val="left"/>
        <w:rPr>
          <w:rFonts w:hint="eastAsia" w:eastAsia="宋体"/>
          <w:sz w:val="30"/>
          <w:szCs w:val="30"/>
          <w:lang w:eastAsia="zh-CN"/>
        </w:rPr>
      </w:pPr>
      <w:r>
        <w:rPr>
          <w:rFonts w:hint="eastAsia" w:eastAsia="宋体"/>
          <w:sz w:val="30"/>
          <w:szCs w:val="30"/>
          <w:lang w:eastAsia="zh-CN"/>
        </w:rPr>
        <w:t>4. 在基督（第一次）降临时以及在关于祂救赎工作的福音中显明出来的（罗 3:21, 多 1:3, 3:4, 彼前 1:20, 来 9:26, 约一 1:2, 3:5, 启 13:8, 17:8）…</w:t>
      </w:r>
    </w:p>
    <w:p w14:paraId="7D1FC07A">
      <w:pPr>
        <w:tabs>
          <w:tab w:val="left" w:pos="2120"/>
        </w:tabs>
        <w:bidi w:val="0"/>
        <w:jc w:val="left"/>
        <w:rPr>
          <w:rFonts w:hint="eastAsia" w:eastAsia="宋体"/>
          <w:sz w:val="30"/>
          <w:szCs w:val="30"/>
          <w:lang w:eastAsia="zh-CN"/>
        </w:rPr>
      </w:pPr>
    </w:p>
    <w:p w14:paraId="1099C17A">
      <w:pPr>
        <w:tabs>
          <w:tab w:val="left" w:pos="2120"/>
        </w:tabs>
        <w:bidi w:val="0"/>
        <w:jc w:val="left"/>
        <w:rPr>
          <w:rFonts w:hint="eastAsia" w:eastAsia="宋体"/>
          <w:sz w:val="30"/>
          <w:szCs w:val="30"/>
          <w:lang w:eastAsia="zh-CN"/>
        </w:rPr>
      </w:pPr>
      <w:r>
        <w:rPr>
          <w:rFonts w:hint="eastAsia" w:eastAsia="宋体"/>
          <w:sz w:val="30"/>
          <w:szCs w:val="30"/>
          <w:lang w:eastAsia="zh-CN"/>
        </w:rPr>
        <w:t>5.</w:t>
      </w:r>
      <w:r>
        <w:rPr>
          <w:rFonts w:hint="eastAsia" w:eastAsia="宋体"/>
          <w:sz w:val="30"/>
          <w:szCs w:val="30"/>
          <w:lang w:eastAsia="zh-CN"/>
        </w:rPr>
        <w:tab/>
      </w:r>
      <w:r>
        <w:rPr>
          <w:rFonts w:hint="eastAsia" w:eastAsia="宋体"/>
          <w:sz w:val="30"/>
          <w:szCs w:val="30"/>
          <w:lang w:eastAsia="zh-CN"/>
        </w:rPr>
        <w:t>Administered by God and Christ to men and women through the preaching of the Gospel (Eph. 1:10, 3:9, 1 Tim. 1:4) …</w:t>
      </w:r>
    </w:p>
    <w:p w14:paraId="3396CF28">
      <w:pPr>
        <w:tabs>
          <w:tab w:val="left" w:pos="2120"/>
        </w:tabs>
        <w:bidi w:val="0"/>
        <w:jc w:val="left"/>
        <w:rPr>
          <w:rFonts w:hint="eastAsia" w:eastAsia="宋体"/>
          <w:sz w:val="30"/>
          <w:szCs w:val="30"/>
          <w:lang w:eastAsia="zh-CN"/>
        </w:rPr>
      </w:pPr>
      <w:r>
        <w:rPr>
          <w:rFonts w:hint="eastAsia" w:eastAsia="宋体"/>
          <w:sz w:val="30"/>
          <w:szCs w:val="30"/>
          <w:lang w:eastAsia="zh-CN"/>
        </w:rPr>
        <w:t>5. 由上帝和基督藉着福音的传讲施行给世上男女的（弗 1:10, 3:9, 提前 1:4）…</w:t>
      </w:r>
    </w:p>
    <w:p w14:paraId="765A234F">
      <w:pPr>
        <w:tabs>
          <w:tab w:val="left" w:pos="2120"/>
        </w:tabs>
        <w:bidi w:val="0"/>
        <w:jc w:val="left"/>
        <w:rPr>
          <w:rFonts w:hint="eastAsia" w:eastAsia="宋体"/>
          <w:sz w:val="30"/>
          <w:szCs w:val="30"/>
          <w:lang w:eastAsia="zh-CN"/>
        </w:rPr>
      </w:pPr>
    </w:p>
    <w:p w14:paraId="07E2004C">
      <w:pPr>
        <w:tabs>
          <w:tab w:val="left" w:pos="2120"/>
        </w:tabs>
        <w:bidi w:val="0"/>
        <w:jc w:val="left"/>
        <w:rPr>
          <w:rFonts w:hint="eastAsia" w:eastAsia="宋体"/>
          <w:sz w:val="30"/>
          <w:szCs w:val="30"/>
          <w:lang w:eastAsia="zh-CN"/>
        </w:rPr>
      </w:pPr>
      <w:r>
        <w:rPr>
          <w:rFonts w:hint="eastAsia" w:eastAsia="宋体"/>
          <w:sz w:val="30"/>
          <w:szCs w:val="30"/>
          <w:lang w:eastAsia="zh-CN"/>
        </w:rPr>
        <w:t>6.Fulfilling manifold OT promises (Mark 1:15, Rom. 1:2, Titus 1:2, Heb. 11:39) …</w:t>
      </w:r>
    </w:p>
    <w:p w14:paraId="6FC3448D">
      <w:pPr>
        <w:tabs>
          <w:tab w:val="left" w:pos="2120"/>
        </w:tabs>
        <w:bidi w:val="0"/>
        <w:jc w:val="left"/>
        <w:rPr>
          <w:rFonts w:hint="eastAsia" w:eastAsia="宋体"/>
          <w:sz w:val="30"/>
          <w:szCs w:val="30"/>
          <w:lang w:eastAsia="zh-CN"/>
        </w:rPr>
      </w:pPr>
      <w:r>
        <w:rPr>
          <w:rFonts w:hint="eastAsia" w:eastAsia="宋体"/>
          <w:sz w:val="30"/>
          <w:szCs w:val="30"/>
          <w:lang w:eastAsia="zh-CN"/>
        </w:rPr>
        <w:t>6. 成就了旧约中多样的应许（可 1:15, 罗 1:2, 多 1:2, 来 11:39）…</w:t>
      </w:r>
    </w:p>
    <w:p w14:paraId="4655CE84">
      <w:pPr>
        <w:tabs>
          <w:tab w:val="left" w:pos="2120"/>
        </w:tabs>
        <w:bidi w:val="0"/>
        <w:jc w:val="left"/>
        <w:rPr>
          <w:rFonts w:hint="eastAsia" w:eastAsia="宋体"/>
          <w:sz w:val="30"/>
          <w:szCs w:val="30"/>
          <w:lang w:eastAsia="zh-CN"/>
        </w:rPr>
      </w:pPr>
    </w:p>
    <w:p w14:paraId="6F1EBCA2">
      <w:pPr>
        <w:tabs>
          <w:tab w:val="left" w:pos="2120"/>
        </w:tabs>
        <w:bidi w:val="0"/>
        <w:jc w:val="left"/>
        <w:rPr>
          <w:rFonts w:hint="eastAsia" w:eastAsia="宋体"/>
          <w:sz w:val="30"/>
          <w:szCs w:val="30"/>
          <w:lang w:eastAsia="zh-CN"/>
        </w:rPr>
      </w:pPr>
      <w:r>
        <w:rPr>
          <w:rFonts w:hint="eastAsia" w:eastAsia="宋体"/>
          <w:sz w:val="30"/>
          <w:szCs w:val="30"/>
          <w:lang w:eastAsia="zh-CN"/>
        </w:rPr>
        <w:t>7.And enabling the saints to see those promises as veiled revelations of Christ and the Gospel, unveiled once and for all by his appearing in history and the subsequent work of the Spirit of revelation (2 Cor. 3:7- 4:6, Col. 2:16-17, Heb. 8:5, 10:1).</w:t>
      </w:r>
    </w:p>
    <w:p w14:paraId="274819AA">
      <w:pPr>
        <w:tabs>
          <w:tab w:val="left" w:pos="2120"/>
        </w:tabs>
        <w:bidi w:val="0"/>
        <w:jc w:val="left"/>
        <w:rPr>
          <w:rFonts w:hint="eastAsia" w:eastAsia="宋体"/>
          <w:sz w:val="30"/>
          <w:szCs w:val="30"/>
          <w:lang w:eastAsia="zh-CN"/>
        </w:rPr>
      </w:pPr>
      <w:r>
        <w:rPr>
          <w:rFonts w:hint="eastAsia" w:eastAsia="宋体"/>
          <w:sz w:val="30"/>
          <w:szCs w:val="30"/>
          <w:lang w:eastAsia="zh-CN"/>
        </w:rPr>
        <w:t>7. 并且使圣徒能够将那些应许视为基督和福音的蒙着帕子的启示，这帕子藉着祂在历史中的显现以及随后启示之灵的工作而被一次性地揭开（林后 3:7-4:6, 西 2:16-17, 来 8:5, 10:1）。</w:t>
      </w:r>
    </w:p>
    <w:p w14:paraId="5CD4B517">
      <w:pPr>
        <w:tabs>
          <w:tab w:val="left" w:pos="2120"/>
        </w:tabs>
        <w:bidi w:val="0"/>
        <w:jc w:val="left"/>
        <w:rPr>
          <w:rFonts w:hint="eastAsia" w:eastAsia="宋体"/>
          <w:sz w:val="30"/>
          <w:szCs w:val="30"/>
          <w:lang w:eastAsia="zh-CN"/>
        </w:rPr>
      </w:pPr>
    </w:p>
    <w:p w14:paraId="2CCCB5A4">
      <w:pPr>
        <w:tabs>
          <w:tab w:val="left" w:pos="2120"/>
        </w:tabs>
        <w:bidi w:val="0"/>
        <w:jc w:val="left"/>
        <w:rPr>
          <w:rFonts w:hint="eastAsia" w:eastAsia="宋体"/>
          <w:sz w:val="30"/>
          <w:szCs w:val="30"/>
          <w:lang w:eastAsia="zh-CN"/>
        </w:rPr>
      </w:pPr>
      <w:r>
        <w:rPr>
          <w:rFonts w:hint="eastAsia" w:eastAsia="宋体"/>
          <w:sz w:val="30"/>
          <w:szCs w:val="30"/>
          <w:lang w:eastAsia="zh-CN"/>
        </w:rPr>
        <w:t>Now if we knew nothing more about the mystery of God than what we learn in these seven points, we could still see clearly why the apostles regarded it as such a stupendous affair—and why they were willing to sell everything they had in order to possess a pearl of so great a price (Mt. 13:46)!</w:t>
      </w:r>
    </w:p>
    <w:p w14:paraId="57BEE50F">
      <w:pPr>
        <w:tabs>
          <w:tab w:val="left" w:pos="2120"/>
        </w:tabs>
        <w:bidi w:val="0"/>
        <w:jc w:val="left"/>
        <w:rPr>
          <w:rFonts w:hint="eastAsia" w:eastAsia="宋体"/>
          <w:sz w:val="30"/>
          <w:szCs w:val="30"/>
          <w:lang w:eastAsia="zh-CN"/>
        </w:rPr>
      </w:pPr>
      <w:r>
        <w:rPr>
          <w:rFonts w:hint="eastAsia" w:eastAsia="宋体"/>
          <w:sz w:val="30"/>
          <w:szCs w:val="30"/>
          <w:lang w:eastAsia="zh-CN"/>
        </w:rPr>
        <w:t>现在，即使我们对上帝的奥秘所知仅限于这七点，我们仍然可以清楚地看到，为什么使徒们认为它是一件如此惊人的事——以及为什么他们愿意变卖所拥有的一切，为要得着这颗极贵重的珍珠（太 13:46）！</w:t>
      </w:r>
    </w:p>
    <w:p w14:paraId="1D73BAB7">
      <w:pPr>
        <w:tabs>
          <w:tab w:val="left" w:pos="2120"/>
        </w:tabs>
        <w:bidi w:val="0"/>
        <w:jc w:val="left"/>
        <w:rPr>
          <w:rFonts w:hint="eastAsia" w:eastAsia="宋体"/>
          <w:sz w:val="30"/>
          <w:szCs w:val="30"/>
          <w:lang w:eastAsia="zh-CN"/>
        </w:rPr>
      </w:pPr>
    </w:p>
    <w:p w14:paraId="7CEDB3A9">
      <w:pPr>
        <w:tabs>
          <w:tab w:val="left" w:pos="2120"/>
        </w:tabs>
        <w:bidi w:val="0"/>
        <w:jc w:val="left"/>
        <w:rPr>
          <w:rFonts w:hint="eastAsia" w:eastAsia="宋体"/>
          <w:sz w:val="30"/>
          <w:szCs w:val="30"/>
          <w:lang w:eastAsia="zh-CN"/>
        </w:rPr>
      </w:pPr>
      <w:r>
        <w:rPr>
          <w:rFonts w:hint="eastAsia" w:eastAsia="宋体"/>
          <w:sz w:val="30"/>
          <w:szCs w:val="30"/>
          <w:lang w:eastAsia="zh-CN"/>
        </w:rPr>
        <w:t>Nevertheless, helpful as the points are for alerting us to the importance of the mystery, they do not really enable us to understand its substance, its inner essence.</w:t>
      </w:r>
    </w:p>
    <w:p w14:paraId="41C54F2E">
      <w:pPr>
        <w:tabs>
          <w:tab w:val="left" w:pos="2120"/>
        </w:tabs>
        <w:bidi w:val="0"/>
        <w:jc w:val="left"/>
        <w:rPr>
          <w:rFonts w:hint="eastAsia" w:eastAsia="宋体"/>
          <w:sz w:val="30"/>
          <w:szCs w:val="30"/>
          <w:lang w:eastAsia="zh-CN"/>
        </w:rPr>
      </w:pPr>
      <w:r>
        <w:rPr>
          <w:rFonts w:hint="eastAsia" w:eastAsia="宋体"/>
          <w:sz w:val="30"/>
          <w:szCs w:val="30"/>
          <w:lang w:eastAsia="zh-CN"/>
        </w:rPr>
        <w:t>然而，尽管这些要点有助于提醒我们这个奥秘的重要性，它们却并未真正让我们理解其本质，其内在精髓。</w:t>
      </w:r>
    </w:p>
    <w:p w14:paraId="2C7BBD1D">
      <w:pPr>
        <w:tabs>
          <w:tab w:val="left" w:pos="2120"/>
        </w:tabs>
        <w:bidi w:val="0"/>
        <w:jc w:val="left"/>
        <w:rPr>
          <w:rFonts w:hint="eastAsia" w:eastAsia="宋体"/>
          <w:sz w:val="30"/>
          <w:szCs w:val="30"/>
          <w:lang w:eastAsia="zh-CN"/>
        </w:rPr>
      </w:pPr>
    </w:p>
    <w:p w14:paraId="548AF3D8">
      <w:pPr>
        <w:tabs>
          <w:tab w:val="left" w:pos="2120"/>
        </w:tabs>
        <w:bidi w:val="0"/>
        <w:jc w:val="left"/>
        <w:rPr>
          <w:rFonts w:hint="eastAsia" w:eastAsia="宋体"/>
          <w:sz w:val="30"/>
          <w:szCs w:val="30"/>
          <w:lang w:eastAsia="zh-CN"/>
        </w:rPr>
      </w:pPr>
      <w:r>
        <w:rPr>
          <w:rFonts w:hint="eastAsia" w:eastAsia="宋体"/>
          <w:sz w:val="30"/>
          <w:szCs w:val="30"/>
          <w:lang w:eastAsia="zh-CN"/>
        </w:rPr>
        <w:t>They do not enable us deeply to understand the true character of the Good News, the redemptive plan unveiled by Christ: its elements, how it works to save sinners, how it relates to Salvation History, and how it introduces the (further mystery of the) Kingdom of God.</w:t>
      </w:r>
    </w:p>
    <w:p w14:paraId="11F8DB2F">
      <w:pPr>
        <w:tabs>
          <w:tab w:val="left" w:pos="2120"/>
        </w:tabs>
        <w:bidi w:val="0"/>
        <w:jc w:val="left"/>
        <w:rPr>
          <w:rFonts w:hint="eastAsia" w:eastAsia="宋体"/>
          <w:sz w:val="30"/>
          <w:szCs w:val="30"/>
          <w:lang w:eastAsia="zh-CN"/>
        </w:rPr>
      </w:pPr>
      <w:r>
        <w:rPr>
          <w:rFonts w:hint="eastAsia" w:eastAsia="宋体"/>
          <w:sz w:val="30"/>
          <w:szCs w:val="30"/>
          <w:lang w:eastAsia="zh-CN"/>
        </w:rPr>
        <w:t>它们没有使我们能够深刻理解福音的真实特性，即由基督揭示的救赎计划：它的要素，它如何拯救罪人，它如何与救赎历史相关，以及它如何引出上帝的国（的更深奥秘）。</w:t>
      </w:r>
    </w:p>
    <w:p w14:paraId="3B265318">
      <w:pPr>
        <w:tabs>
          <w:tab w:val="left" w:pos="2120"/>
        </w:tabs>
        <w:bidi w:val="0"/>
        <w:jc w:val="left"/>
        <w:rPr>
          <w:rFonts w:hint="eastAsia" w:eastAsia="宋体"/>
          <w:sz w:val="30"/>
          <w:szCs w:val="30"/>
          <w:lang w:eastAsia="zh-CN"/>
        </w:rPr>
      </w:pPr>
    </w:p>
    <w:p w14:paraId="4E4A19F5">
      <w:pPr>
        <w:tabs>
          <w:tab w:val="left" w:pos="2120"/>
        </w:tabs>
        <w:bidi w:val="0"/>
        <w:jc w:val="left"/>
        <w:rPr>
          <w:rFonts w:hint="eastAsia" w:eastAsia="宋体"/>
          <w:sz w:val="30"/>
          <w:szCs w:val="30"/>
          <w:lang w:eastAsia="zh-CN"/>
        </w:rPr>
      </w:pPr>
      <w:r>
        <w:rPr>
          <w:rFonts w:hint="eastAsia" w:eastAsia="宋体"/>
          <w:sz w:val="30"/>
          <w:szCs w:val="30"/>
          <w:lang w:eastAsia="zh-CN"/>
        </w:rPr>
        <w:t>Therefore, in order fully to understand all these things, we must dig deeper still in the mines of NT truth, discovering all we can about the fabulously ingenious and nuanced plan that is the substance of “the mystery of God.”</w:t>
      </w:r>
    </w:p>
    <w:p w14:paraId="3F6DAAAB">
      <w:pPr>
        <w:tabs>
          <w:tab w:val="left" w:pos="2120"/>
        </w:tabs>
        <w:bidi w:val="0"/>
        <w:jc w:val="left"/>
        <w:rPr>
          <w:rFonts w:hint="eastAsia" w:eastAsia="宋体"/>
          <w:sz w:val="30"/>
          <w:szCs w:val="30"/>
          <w:lang w:eastAsia="zh-CN"/>
        </w:rPr>
      </w:pPr>
      <w:r>
        <w:rPr>
          <w:rFonts w:hint="eastAsia" w:eastAsia="宋体"/>
          <w:sz w:val="30"/>
          <w:szCs w:val="30"/>
          <w:lang w:eastAsia="zh-CN"/>
        </w:rPr>
        <w:t>因此，为了完全理解所有这些事情，我们必须在新约真理的矿藏中更深地挖掘，尽我们所能地去发现那个构成“上帝的奥秘”之实质的、极其精妙和细致的计划。</w:t>
      </w:r>
    </w:p>
    <w:p w14:paraId="3D25D0A7">
      <w:pPr>
        <w:tabs>
          <w:tab w:val="left" w:pos="2120"/>
        </w:tabs>
        <w:bidi w:val="0"/>
        <w:jc w:val="left"/>
        <w:rPr>
          <w:rFonts w:hint="eastAsia" w:eastAsia="宋体"/>
          <w:sz w:val="30"/>
          <w:szCs w:val="30"/>
          <w:lang w:eastAsia="zh-CN"/>
        </w:rPr>
      </w:pPr>
    </w:p>
    <w:p w14:paraId="2AD69DC7">
      <w:pPr>
        <w:tabs>
          <w:tab w:val="left" w:pos="2120"/>
        </w:tabs>
        <w:bidi w:val="0"/>
        <w:jc w:val="left"/>
        <w:rPr>
          <w:rFonts w:hint="eastAsia" w:eastAsia="宋体"/>
          <w:sz w:val="30"/>
          <w:szCs w:val="30"/>
          <w:lang w:eastAsia="zh-CN"/>
        </w:rPr>
      </w:pPr>
      <w:r>
        <w:rPr>
          <w:rFonts w:hint="eastAsia" w:eastAsia="宋体"/>
          <w:sz w:val="30"/>
          <w:szCs w:val="30"/>
          <w:lang w:eastAsia="zh-CN"/>
        </w:rPr>
        <w:t>In other words, we must let Christ and his apostles teach us about the Eternal Covenant, and also about how that Covenant is administered progressively in Salvation History so as to bring in the eternal Kingdom of God.</w:t>
      </w:r>
    </w:p>
    <w:p w14:paraId="665D833C">
      <w:pPr>
        <w:tabs>
          <w:tab w:val="left" w:pos="2120"/>
        </w:tabs>
        <w:bidi w:val="0"/>
        <w:jc w:val="left"/>
        <w:rPr>
          <w:rFonts w:hint="eastAsia" w:eastAsia="宋体"/>
          <w:sz w:val="30"/>
          <w:szCs w:val="30"/>
          <w:lang w:eastAsia="zh-CN"/>
        </w:rPr>
      </w:pPr>
      <w:r>
        <w:rPr>
          <w:rFonts w:hint="eastAsia" w:eastAsia="宋体"/>
          <w:sz w:val="30"/>
          <w:szCs w:val="30"/>
          <w:lang w:eastAsia="zh-CN"/>
        </w:rPr>
        <w:t>换句话说，我们必须让基督和祂的使徒教导我们关于永恒之约，以及该约如何在救赎历史中逐步施行，以带入永恒的上帝之国。</w:t>
      </w:r>
    </w:p>
    <w:p w14:paraId="0FEB3856">
      <w:pPr>
        <w:tabs>
          <w:tab w:val="left" w:pos="2120"/>
        </w:tabs>
        <w:bidi w:val="0"/>
        <w:jc w:val="left"/>
        <w:rPr>
          <w:rFonts w:hint="eastAsia" w:eastAsia="宋体"/>
          <w:sz w:val="30"/>
          <w:szCs w:val="30"/>
          <w:lang w:eastAsia="zh-CN"/>
        </w:rPr>
      </w:pPr>
    </w:p>
    <w:p w14:paraId="17137C90">
      <w:pPr>
        <w:tabs>
          <w:tab w:val="left" w:pos="2120"/>
        </w:tabs>
        <w:bidi w:val="0"/>
        <w:jc w:val="left"/>
        <w:rPr>
          <w:rFonts w:hint="eastAsia" w:eastAsia="宋体"/>
          <w:sz w:val="30"/>
          <w:szCs w:val="30"/>
          <w:lang w:eastAsia="zh-CN"/>
        </w:rPr>
      </w:pPr>
      <w:r>
        <w:rPr>
          <w:rFonts w:hint="eastAsia" w:eastAsia="宋体"/>
          <w:sz w:val="30"/>
          <w:szCs w:val="30"/>
          <w:lang w:eastAsia="zh-CN"/>
        </w:rPr>
        <w:t>The Eternal Covenant</w:t>
      </w:r>
    </w:p>
    <w:p w14:paraId="579F3B1B">
      <w:pPr>
        <w:tabs>
          <w:tab w:val="left" w:pos="2120"/>
        </w:tabs>
        <w:bidi w:val="0"/>
        <w:jc w:val="left"/>
        <w:rPr>
          <w:rFonts w:hint="eastAsia" w:eastAsia="宋体"/>
          <w:sz w:val="30"/>
          <w:szCs w:val="30"/>
          <w:lang w:eastAsia="zh-CN"/>
        </w:rPr>
      </w:pPr>
      <w:r>
        <w:rPr>
          <w:rFonts w:hint="eastAsia" w:eastAsia="宋体"/>
          <w:sz w:val="30"/>
          <w:szCs w:val="30"/>
          <w:lang w:eastAsia="zh-CN"/>
        </w:rPr>
        <w:t>永恒之约</w:t>
      </w:r>
    </w:p>
    <w:p w14:paraId="358090D0">
      <w:pPr>
        <w:tabs>
          <w:tab w:val="left" w:pos="2120"/>
        </w:tabs>
        <w:bidi w:val="0"/>
        <w:jc w:val="left"/>
        <w:rPr>
          <w:rFonts w:hint="eastAsia" w:eastAsia="宋体"/>
          <w:sz w:val="30"/>
          <w:szCs w:val="30"/>
          <w:lang w:eastAsia="zh-CN"/>
        </w:rPr>
      </w:pPr>
    </w:p>
    <w:p w14:paraId="182B7F09">
      <w:pPr>
        <w:tabs>
          <w:tab w:val="left" w:pos="2120"/>
        </w:tabs>
        <w:bidi w:val="0"/>
        <w:jc w:val="left"/>
        <w:rPr>
          <w:rFonts w:hint="eastAsia" w:eastAsia="宋体"/>
          <w:sz w:val="30"/>
          <w:szCs w:val="30"/>
          <w:lang w:eastAsia="zh-CN"/>
        </w:rPr>
      </w:pPr>
      <w:r>
        <w:rPr>
          <w:rFonts w:hint="eastAsia" w:eastAsia="宋体"/>
          <w:sz w:val="30"/>
          <w:szCs w:val="30"/>
          <w:lang w:eastAsia="zh-CN"/>
        </w:rPr>
        <w:t>We have learned that the mystery of God is a Christ-centered redemptive plan, formulated before the foundation of the world and administered in history.</w:t>
      </w:r>
    </w:p>
    <w:p w14:paraId="2A90B169">
      <w:pPr>
        <w:tabs>
          <w:tab w:val="left" w:pos="2120"/>
        </w:tabs>
        <w:bidi w:val="0"/>
        <w:jc w:val="left"/>
        <w:rPr>
          <w:rFonts w:hint="eastAsia" w:eastAsia="宋体"/>
          <w:sz w:val="30"/>
          <w:szCs w:val="30"/>
          <w:lang w:eastAsia="zh-CN"/>
        </w:rPr>
      </w:pPr>
      <w:r>
        <w:rPr>
          <w:rFonts w:hint="eastAsia" w:eastAsia="宋体"/>
          <w:sz w:val="30"/>
          <w:szCs w:val="30"/>
          <w:lang w:eastAsia="zh-CN"/>
        </w:rPr>
        <w:t>我们已经了解到，上帝的奥秘是一个以基督为中心的救赎计划，在创世以先制定，并在历史中施行。</w:t>
      </w:r>
    </w:p>
    <w:p w14:paraId="70CCDBA6">
      <w:pPr>
        <w:tabs>
          <w:tab w:val="left" w:pos="2120"/>
        </w:tabs>
        <w:bidi w:val="0"/>
        <w:jc w:val="left"/>
        <w:rPr>
          <w:rFonts w:hint="eastAsia" w:eastAsia="宋体"/>
          <w:sz w:val="30"/>
          <w:szCs w:val="30"/>
          <w:lang w:eastAsia="zh-CN"/>
        </w:rPr>
      </w:pPr>
    </w:p>
    <w:p w14:paraId="514F4708">
      <w:pPr>
        <w:tabs>
          <w:tab w:val="left" w:pos="2120"/>
        </w:tabs>
        <w:bidi w:val="0"/>
        <w:jc w:val="left"/>
        <w:rPr>
          <w:rFonts w:hint="eastAsia" w:eastAsia="宋体"/>
          <w:sz w:val="30"/>
          <w:szCs w:val="30"/>
          <w:lang w:eastAsia="zh-CN"/>
        </w:rPr>
      </w:pPr>
      <w:r>
        <w:rPr>
          <w:rFonts w:hint="eastAsia" w:eastAsia="宋体"/>
          <w:sz w:val="30"/>
          <w:szCs w:val="30"/>
          <w:lang w:eastAsia="zh-CN"/>
        </w:rPr>
        <w:t>Seeking to explain to wavering Jewish believers that the entire OT was nothing other than a vast foreshadowing of this plan, the writer to the Hebrews called it the Eternal Covenant (Heb. 13:20).</w:t>
      </w:r>
    </w:p>
    <w:p w14:paraId="499E3103">
      <w:pPr>
        <w:tabs>
          <w:tab w:val="left" w:pos="2120"/>
        </w:tabs>
        <w:bidi w:val="0"/>
        <w:jc w:val="left"/>
        <w:rPr>
          <w:rFonts w:hint="eastAsia" w:eastAsia="宋体"/>
          <w:sz w:val="30"/>
          <w:szCs w:val="30"/>
          <w:lang w:eastAsia="zh-CN"/>
        </w:rPr>
      </w:pPr>
      <w:r>
        <w:rPr>
          <w:rFonts w:hint="eastAsia" w:eastAsia="宋体"/>
          <w:sz w:val="30"/>
          <w:szCs w:val="30"/>
          <w:lang w:eastAsia="zh-CN"/>
        </w:rPr>
        <w:t>为了向摇摆不定的犹太信徒解释整个旧约不过是这个计划的巨大预表，希伯来书的作者称之为永恒之约（来 13:20）。</w:t>
      </w:r>
    </w:p>
    <w:p w14:paraId="18E44F81">
      <w:pPr>
        <w:tabs>
          <w:tab w:val="left" w:pos="2120"/>
        </w:tabs>
        <w:bidi w:val="0"/>
        <w:jc w:val="left"/>
        <w:rPr>
          <w:rFonts w:hint="eastAsia" w:eastAsia="宋体"/>
          <w:sz w:val="30"/>
          <w:szCs w:val="30"/>
          <w:lang w:eastAsia="zh-CN"/>
        </w:rPr>
      </w:pPr>
    </w:p>
    <w:p w14:paraId="637F5DB2">
      <w:pPr>
        <w:tabs>
          <w:tab w:val="left" w:pos="2120"/>
        </w:tabs>
        <w:bidi w:val="0"/>
        <w:jc w:val="left"/>
        <w:rPr>
          <w:rFonts w:hint="eastAsia" w:eastAsia="宋体"/>
          <w:sz w:val="30"/>
          <w:szCs w:val="30"/>
          <w:lang w:eastAsia="zh-CN"/>
        </w:rPr>
      </w:pPr>
      <w:r>
        <w:rPr>
          <w:rFonts w:hint="eastAsia" w:eastAsia="宋体"/>
          <w:sz w:val="30"/>
          <w:szCs w:val="30"/>
          <w:lang w:eastAsia="zh-CN"/>
        </w:rPr>
        <w:t>In doing so, he put his finger on the one biblical theme—the one conceptual key—that, according to many theologians, most fruitfully empowers us to understand and articulate the inner workings of God’s plan of salvation, the heart of Salvation History, and the nature and coming of the Kingdom of God.</w:t>
      </w:r>
    </w:p>
    <w:p w14:paraId="7BBC77CD">
      <w:pPr>
        <w:tabs>
          <w:tab w:val="left" w:pos="2120"/>
        </w:tabs>
        <w:bidi w:val="0"/>
        <w:jc w:val="left"/>
        <w:rPr>
          <w:rFonts w:hint="eastAsia" w:eastAsia="宋体"/>
          <w:sz w:val="30"/>
          <w:szCs w:val="30"/>
          <w:lang w:eastAsia="zh-CN"/>
        </w:rPr>
      </w:pPr>
      <w:r>
        <w:rPr>
          <w:rFonts w:hint="eastAsia" w:eastAsia="宋体"/>
          <w:sz w:val="30"/>
          <w:szCs w:val="30"/>
          <w:lang w:eastAsia="zh-CN"/>
        </w:rPr>
        <w:t>如此，他指出了一个圣经主题——一个概念钥匙——根据许多神学家的看法，这个钥匙最富有成效地使我们能够理解和阐明上帝救恩计划的内在运作、救赎历史的核心，以及上帝之国的性质和降临。</w:t>
      </w:r>
    </w:p>
    <w:p w14:paraId="2E5BBF69">
      <w:pPr>
        <w:tabs>
          <w:tab w:val="left" w:pos="2120"/>
        </w:tabs>
        <w:bidi w:val="0"/>
        <w:jc w:val="left"/>
        <w:rPr>
          <w:rFonts w:hint="eastAsia" w:eastAsia="宋体"/>
          <w:sz w:val="30"/>
          <w:szCs w:val="30"/>
          <w:lang w:eastAsia="zh-CN"/>
        </w:rPr>
      </w:pPr>
    </w:p>
    <w:p w14:paraId="7E45C12B">
      <w:pPr>
        <w:tabs>
          <w:tab w:val="left" w:pos="2120"/>
        </w:tabs>
        <w:bidi w:val="0"/>
        <w:jc w:val="left"/>
        <w:rPr>
          <w:rFonts w:hint="eastAsia" w:eastAsia="宋体"/>
          <w:sz w:val="30"/>
          <w:szCs w:val="30"/>
          <w:lang w:eastAsia="zh-CN"/>
        </w:rPr>
      </w:pPr>
      <w:r>
        <w:rPr>
          <w:rFonts w:hint="eastAsia" w:eastAsia="宋体"/>
          <w:sz w:val="30"/>
          <w:szCs w:val="30"/>
          <w:lang w:eastAsia="zh-CN"/>
        </w:rPr>
        <w:t>But what exactly do we mean by “the Eternal Covenant”?</w:t>
      </w:r>
    </w:p>
    <w:p w14:paraId="4AF374A1">
      <w:pPr>
        <w:tabs>
          <w:tab w:val="left" w:pos="2120"/>
        </w:tabs>
        <w:bidi w:val="0"/>
        <w:jc w:val="left"/>
        <w:rPr>
          <w:rFonts w:hint="eastAsia" w:eastAsia="宋体"/>
          <w:sz w:val="30"/>
          <w:szCs w:val="30"/>
          <w:lang w:eastAsia="zh-CN"/>
        </w:rPr>
      </w:pPr>
      <w:r>
        <w:rPr>
          <w:rFonts w:hint="eastAsia" w:eastAsia="宋体"/>
          <w:sz w:val="30"/>
          <w:szCs w:val="30"/>
          <w:lang w:eastAsia="zh-CN"/>
        </w:rPr>
        <w:t>但我们所说的“永恒之约”到底是什么意思呢？</w:t>
      </w:r>
    </w:p>
    <w:p w14:paraId="3CE0408B">
      <w:pPr>
        <w:tabs>
          <w:tab w:val="left" w:pos="2120"/>
        </w:tabs>
        <w:bidi w:val="0"/>
        <w:jc w:val="left"/>
        <w:rPr>
          <w:rFonts w:hint="eastAsia" w:eastAsia="宋体"/>
          <w:sz w:val="30"/>
          <w:szCs w:val="30"/>
          <w:lang w:eastAsia="zh-CN"/>
        </w:rPr>
      </w:pPr>
    </w:p>
    <w:p w14:paraId="5B40ED54">
      <w:pPr>
        <w:tabs>
          <w:tab w:val="left" w:pos="2120"/>
        </w:tabs>
        <w:bidi w:val="0"/>
        <w:jc w:val="left"/>
        <w:rPr>
          <w:rFonts w:hint="eastAsia" w:eastAsia="宋体"/>
          <w:sz w:val="30"/>
          <w:szCs w:val="30"/>
          <w:lang w:eastAsia="zh-CN"/>
        </w:rPr>
      </w:pPr>
      <w:r>
        <w:rPr>
          <w:rFonts w:hint="eastAsia" w:eastAsia="宋体"/>
          <w:sz w:val="30"/>
          <w:szCs w:val="30"/>
          <w:lang w:eastAsia="zh-CN"/>
        </w:rPr>
        <w:t>Based upon the overall teaching of the NT—and emphasizing the purpose of this covenant—I would define it as follows: The Eternal Covenant is the redemptive plan, devised in eternity past, by which God the Father determined to rescue a chosen people and their world from the Domain of Darkness, and also to restore them to the direct spiritual reign (or Kingdom) that he had offered mankind at the Tree of Life; a plan that would fulfill—with the largest possible display of his own glory—the totality of his original purposes for his Son and his creation.</w:t>
      </w:r>
    </w:p>
    <w:p w14:paraId="44982AF9">
      <w:pPr>
        <w:tabs>
          <w:tab w:val="left" w:pos="2120"/>
        </w:tabs>
        <w:bidi w:val="0"/>
        <w:jc w:val="left"/>
        <w:rPr>
          <w:rFonts w:hint="eastAsia" w:eastAsia="宋体"/>
          <w:sz w:val="30"/>
          <w:szCs w:val="30"/>
          <w:lang w:eastAsia="zh-CN"/>
        </w:rPr>
      </w:pPr>
      <w:r>
        <w:rPr>
          <w:rFonts w:hint="eastAsia" w:eastAsia="宋体"/>
          <w:sz w:val="30"/>
          <w:szCs w:val="30"/>
          <w:lang w:eastAsia="zh-CN"/>
        </w:rPr>
        <w:t>基于新约的整体教导——并强调此约的目的——我会如下定义：永恒之约是一个救赎计划，在永恒的过去制定，藉此父上帝定意要将一群被拣选的子民和他们的世界从黑暗的权势中拯救出来，并且恢复他们到祂曾在生命树那里提供给人类的直接属灵统治（或国度）之下；这是一个能够——以尽可能最大程度彰显祂自己的荣耀的方式——成全祂为祂的圣子和祂的创造物所定的全部原始旨意的计划。</w:t>
      </w:r>
    </w:p>
    <w:p w14:paraId="76FE2254">
      <w:pPr>
        <w:tabs>
          <w:tab w:val="left" w:pos="2120"/>
        </w:tabs>
        <w:bidi w:val="0"/>
        <w:jc w:val="left"/>
        <w:rPr>
          <w:rFonts w:hint="eastAsia" w:eastAsia="宋体"/>
          <w:sz w:val="30"/>
          <w:szCs w:val="30"/>
          <w:lang w:eastAsia="zh-CN"/>
        </w:rPr>
      </w:pPr>
    </w:p>
    <w:p w14:paraId="267B9022">
      <w:pPr>
        <w:tabs>
          <w:tab w:val="left" w:pos="2120"/>
        </w:tabs>
        <w:bidi w:val="0"/>
        <w:jc w:val="left"/>
        <w:rPr>
          <w:rFonts w:hint="eastAsia" w:eastAsia="宋体"/>
          <w:sz w:val="30"/>
          <w:szCs w:val="30"/>
          <w:lang w:eastAsia="zh-CN"/>
        </w:rPr>
      </w:pPr>
      <w:r>
        <w:rPr>
          <w:rFonts w:hint="eastAsia" w:eastAsia="宋体"/>
          <w:sz w:val="30"/>
          <w:szCs w:val="30"/>
          <w:lang w:eastAsia="zh-CN"/>
        </w:rPr>
        <w:t>Before exploring some of the nooks and crannies of this lengthy definition, a few preliminary remarks are definitely in order.</w:t>
      </w:r>
    </w:p>
    <w:p w14:paraId="4C5A7FDD">
      <w:pPr>
        <w:tabs>
          <w:tab w:val="left" w:pos="2120"/>
        </w:tabs>
        <w:bidi w:val="0"/>
        <w:jc w:val="left"/>
        <w:rPr>
          <w:rFonts w:hint="eastAsia" w:eastAsia="宋体"/>
          <w:sz w:val="30"/>
          <w:szCs w:val="30"/>
          <w:lang w:eastAsia="zh-CN"/>
        </w:rPr>
      </w:pPr>
      <w:r>
        <w:rPr>
          <w:rFonts w:hint="eastAsia" w:eastAsia="宋体"/>
          <w:sz w:val="30"/>
          <w:szCs w:val="30"/>
          <w:lang w:eastAsia="zh-CN"/>
        </w:rPr>
        <w:t>在探讨这个冗长定义的一些细枝末节之前，有几句初步的评论是绝对必要的。</w:t>
      </w:r>
    </w:p>
    <w:p w14:paraId="5B491448">
      <w:pPr>
        <w:tabs>
          <w:tab w:val="left" w:pos="2120"/>
        </w:tabs>
        <w:bidi w:val="0"/>
        <w:jc w:val="left"/>
        <w:rPr>
          <w:rFonts w:hint="eastAsia" w:eastAsia="宋体"/>
          <w:sz w:val="30"/>
          <w:szCs w:val="30"/>
          <w:lang w:eastAsia="zh-CN"/>
        </w:rPr>
      </w:pPr>
    </w:p>
    <w:p w14:paraId="2CE7A349">
      <w:pPr>
        <w:tabs>
          <w:tab w:val="left" w:pos="2120"/>
        </w:tabs>
        <w:bidi w:val="0"/>
        <w:jc w:val="left"/>
        <w:rPr>
          <w:rFonts w:hint="eastAsia" w:eastAsia="宋体"/>
          <w:sz w:val="30"/>
          <w:szCs w:val="30"/>
          <w:lang w:eastAsia="zh-CN"/>
        </w:rPr>
      </w:pPr>
      <w:r>
        <w:rPr>
          <w:rFonts w:hint="eastAsia" w:eastAsia="宋体"/>
          <w:sz w:val="30"/>
          <w:szCs w:val="30"/>
          <w:lang w:eastAsia="zh-CN"/>
        </w:rPr>
        <w:t>First, observe from the text in Hebrews—and also from the definition I have built around it—that the Eternal Covenant is one.</w:t>
      </w:r>
    </w:p>
    <w:p w14:paraId="60254C37">
      <w:pPr>
        <w:tabs>
          <w:tab w:val="left" w:pos="2120"/>
        </w:tabs>
        <w:bidi w:val="0"/>
        <w:jc w:val="left"/>
        <w:rPr>
          <w:rFonts w:hint="eastAsia" w:eastAsia="宋体"/>
          <w:sz w:val="30"/>
          <w:szCs w:val="30"/>
          <w:lang w:eastAsia="zh-CN"/>
        </w:rPr>
      </w:pPr>
      <w:r>
        <w:rPr>
          <w:rFonts w:hint="eastAsia" w:eastAsia="宋体"/>
          <w:sz w:val="30"/>
          <w:szCs w:val="30"/>
          <w:lang w:eastAsia="zh-CN"/>
        </w:rPr>
        <w:t>首先，从希伯来书的经文——以及我围绕它构建的定义中——请注意，永恒之约是独一的。</w:t>
      </w:r>
    </w:p>
    <w:p w14:paraId="5E42A043">
      <w:pPr>
        <w:tabs>
          <w:tab w:val="left" w:pos="2120"/>
        </w:tabs>
        <w:bidi w:val="0"/>
        <w:jc w:val="left"/>
        <w:rPr>
          <w:rFonts w:hint="eastAsia" w:eastAsia="宋体"/>
          <w:sz w:val="30"/>
          <w:szCs w:val="30"/>
          <w:lang w:eastAsia="zh-CN"/>
        </w:rPr>
      </w:pPr>
    </w:p>
    <w:p w14:paraId="72332B20">
      <w:pPr>
        <w:tabs>
          <w:tab w:val="left" w:pos="2120"/>
        </w:tabs>
        <w:bidi w:val="0"/>
        <w:jc w:val="left"/>
        <w:rPr>
          <w:rFonts w:hint="eastAsia" w:eastAsia="宋体"/>
          <w:sz w:val="30"/>
          <w:szCs w:val="30"/>
          <w:lang w:eastAsia="zh-CN"/>
        </w:rPr>
      </w:pPr>
      <w:r>
        <w:rPr>
          <w:rFonts w:hint="eastAsia" w:eastAsia="宋体"/>
          <w:sz w:val="30"/>
          <w:szCs w:val="30"/>
          <w:lang w:eastAsia="zh-CN"/>
        </w:rPr>
        <w:t>There is—and always has been—but a single plan of salvation, no matter when, where, or to whom it has been revealed and administered in history.</w:t>
      </w:r>
    </w:p>
    <w:p w14:paraId="0B58B66F">
      <w:pPr>
        <w:tabs>
          <w:tab w:val="left" w:pos="2120"/>
        </w:tabs>
        <w:bidi w:val="0"/>
        <w:jc w:val="left"/>
        <w:rPr>
          <w:rFonts w:hint="eastAsia" w:eastAsia="宋体"/>
          <w:sz w:val="30"/>
          <w:szCs w:val="30"/>
          <w:lang w:eastAsia="zh-CN"/>
        </w:rPr>
      </w:pPr>
      <w:r>
        <w:rPr>
          <w:rFonts w:hint="eastAsia" w:eastAsia="宋体"/>
          <w:sz w:val="30"/>
          <w:szCs w:val="30"/>
          <w:lang w:eastAsia="zh-CN"/>
        </w:rPr>
        <w:t>无论在历史中的何时、何地、向何人启示和施行，救恩的计划只有一个——而且向来如此。</w:t>
      </w:r>
    </w:p>
    <w:p w14:paraId="349FEFA3">
      <w:pPr>
        <w:tabs>
          <w:tab w:val="left" w:pos="2120"/>
        </w:tabs>
        <w:bidi w:val="0"/>
        <w:jc w:val="left"/>
        <w:rPr>
          <w:rFonts w:hint="eastAsia" w:eastAsia="宋体"/>
          <w:sz w:val="30"/>
          <w:szCs w:val="30"/>
          <w:lang w:eastAsia="zh-CN"/>
        </w:rPr>
      </w:pPr>
    </w:p>
    <w:p w14:paraId="0DB82356">
      <w:pPr>
        <w:tabs>
          <w:tab w:val="left" w:pos="2120"/>
        </w:tabs>
        <w:bidi w:val="0"/>
        <w:jc w:val="left"/>
        <w:rPr>
          <w:rFonts w:hint="eastAsia" w:eastAsia="宋体"/>
          <w:sz w:val="30"/>
          <w:szCs w:val="30"/>
          <w:lang w:eastAsia="zh-CN"/>
        </w:rPr>
      </w:pPr>
      <w:r>
        <w:rPr>
          <w:rFonts w:hint="eastAsia" w:eastAsia="宋体"/>
          <w:sz w:val="30"/>
          <w:szCs w:val="30"/>
          <w:lang w:eastAsia="zh-CN"/>
        </w:rPr>
        <w:t>It is the Eternal Covenant: formulated in eternity past—and ever prevailing in eternity future—for the redemption of the saints of God.</w:t>
      </w:r>
    </w:p>
    <w:p w14:paraId="7912ED3C">
      <w:pPr>
        <w:tabs>
          <w:tab w:val="left" w:pos="2120"/>
        </w:tabs>
        <w:bidi w:val="0"/>
        <w:jc w:val="left"/>
        <w:rPr>
          <w:rFonts w:hint="eastAsia" w:eastAsia="宋体"/>
          <w:sz w:val="30"/>
          <w:szCs w:val="30"/>
          <w:lang w:eastAsia="zh-CN"/>
        </w:rPr>
      </w:pPr>
      <w:r>
        <w:rPr>
          <w:rFonts w:hint="eastAsia" w:eastAsia="宋体"/>
          <w:sz w:val="30"/>
          <w:szCs w:val="30"/>
          <w:lang w:eastAsia="zh-CN"/>
        </w:rPr>
        <w:t>它就是永恒之约：在永恒的过去制定——并在永恒的未来永远得胜——为要救赎上帝的圣徒。</w:t>
      </w:r>
    </w:p>
    <w:p w14:paraId="3FAC33D0">
      <w:pPr>
        <w:tabs>
          <w:tab w:val="left" w:pos="2120"/>
        </w:tabs>
        <w:bidi w:val="0"/>
        <w:jc w:val="left"/>
        <w:rPr>
          <w:rFonts w:hint="eastAsia" w:eastAsia="宋体"/>
          <w:sz w:val="30"/>
          <w:szCs w:val="30"/>
          <w:lang w:eastAsia="zh-CN"/>
        </w:rPr>
      </w:pPr>
    </w:p>
    <w:p w14:paraId="5EAB7970">
      <w:pPr>
        <w:tabs>
          <w:tab w:val="left" w:pos="2120"/>
        </w:tabs>
        <w:bidi w:val="0"/>
        <w:jc w:val="left"/>
        <w:rPr>
          <w:rFonts w:hint="eastAsia" w:eastAsia="宋体"/>
          <w:sz w:val="30"/>
          <w:szCs w:val="30"/>
          <w:lang w:eastAsia="zh-CN"/>
        </w:rPr>
      </w:pPr>
      <w:r>
        <w:rPr>
          <w:rFonts w:hint="eastAsia" w:eastAsia="宋体"/>
          <w:sz w:val="30"/>
          <w:szCs w:val="30"/>
          <w:lang w:eastAsia="zh-CN"/>
        </w:rPr>
        <w:t>Just as there is no salvation apart from the Person and Work of Christ, so too there is no salvation apart from the Eternal Covenant.</w:t>
      </w:r>
    </w:p>
    <w:p w14:paraId="100BBA9E">
      <w:pPr>
        <w:tabs>
          <w:tab w:val="left" w:pos="2120"/>
        </w:tabs>
        <w:bidi w:val="0"/>
        <w:jc w:val="left"/>
        <w:rPr>
          <w:rFonts w:hint="eastAsia" w:eastAsia="宋体"/>
          <w:sz w:val="30"/>
          <w:szCs w:val="30"/>
          <w:lang w:eastAsia="zh-CN"/>
        </w:rPr>
      </w:pPr>
      <w:r>
        <w:rPr>
          <w:rFonts w:hint="eastAsia" w:eastAsia="宋体"/>
          <w:sz w:val="30"/>
          <w:szCs w:val="30"/>
          <w:lang w:eastAsia="zh-CN"/>
        </w:rPr>
        <w:t>正如离了基督的位格和工作就没有救恩一样，离了永恒之约也没有救恩。</w:t>
      </w:r>
    </w:p>
    <w:p w14:paraId="48BD63E8">
      <w:pPr>
        <w:tabs>
          <w:tab w:val="left" w:pos="2120"/>
        </w:tabs>
        <w:bidi w:val="0"/>
        <w:jc w:val="left"/>
        <w:rPr>
          <w:rFonts w:hint="eastAsia" w:eastAsia="宋体"/>
          <w:sz w:val="30"/>
          <w:szCs w:val="30"/>
          <w:lang w:eastAsia="zh-CN"/>
        </w:rPr>
      </w:pPr>
    </w:p>
    <w:p w14:paraId="52117F3E">
      <w:pPr>
        <w:tabs>
          <w:tab w:val="left" w:pos="2120"/>
        </w:tabs>
        <w:bidi w:val="0"/>
        <w:jc w:val="left"/>
        <w:rPr>
          <w:rFonts w:hint="eastAsia" w:eastAsia="宋体"/>
          <w:sz w:val="30"/>
          <w:szCs w:val="30"/>
          <w:lang w:eastAsia="zh-CN"/>
        </w:rPr>
      </w:pPr>
      <w:r>
        <w:rPr>
          <w:rFonts w:hint="eastAsia" w:eastAsia="宋体"/>
          <w:sz w:val="30"/>
          <w:szCs w:val="30"/>
          <w:lang w:eastAsia="zh-CN"/>
        </w:rPr>
        <w:t>There is only one Covenant, just as there is only one Christ who lies at its very heart.</w:t>
      </w:r>
    </w:p>
    <w:p w14:paraId="27CA2724">
      <w:pPr>
        <w:tabs>
          <w:tab w:val="left" w:pos="2120"/>
        </w:tabs>
        <w:bidi w:val="0"/>
        <w:jc w:val="left"/>
        <w:rPr>
          <w:rFonts w:hint="eastAsia" w:eastAsia="宋体"/>
          <w:sz w:val="30"/>
          <w:szCs w:val="30"/>
          <w:lang w:eastAsia="zh-CN"/>
        </w:rPr>
      </w:pPr>
      <w:r>
        <w:rPr>
          <w:rFonts w:hint="eastAsia" w:eastAsia="宋体"/>
          <w:sz w:val="30"/>
          <w:szCs w:val="30"/>
          <w:lang w:eastAsia="zh-CN"/>
        </w:rPr>
        <w:t>只有一个约，正如只有一位基督是这约的核心。</w:t>
      </w:r>
    </w:p>
    <w:p w14:paraId="41F145D1">
      <w:pPr>
        <w:tabs>
          <w:tab w:val="left" w:pos="2120"/>
        </w:tabs>
        <w:bidi w:val="0"/>
        <w:jc w:val="left"/>
        <w:rPr>
          <w:rFonts w:hint="eastAsia" w:eastAsia="宋体"/>
          <w:sz w:val="30"/>
          <w:szCs w:val="30"/>
          <w:lang w:eastAsia="zh-CN"/>
        </w:rPr>
      </w:pPr>
    </w:p>
    <w:p w14:paraId="34E16F6E">
      <w:pPr>
        <w:tabs>
          <w:tab w:val="left" w:pos="2120"/>
        </w:tabs>
        <w:bidi w:val="0"/>
        <w:jc w:val="left"/>
        <w:rPr>
          <w:rFonts w:hint="eastAsia" w:eastAsia="宋体"/>
          <w:sz w:val="30"/>
          <w:szCs w:val="30"/>
          <w:lang w:eastAsia="zh-CN"/>
        </w:rPr>
      </w:pPr>
      <w:r>
        <w:rPr>
          <w:rFonts w:hint="eastAsia" w:eastAsia="宋体"/>
          <w:sz w:val="30"/>
          <w:szCs w:val="30"/>
          <w:lang w:eastAsia="zh-CN"/>
        </w:rPr>
        <w:t>Secondly, in order best to understand the Eternal Covenant, we must follow the NT in contemplating it from two different perspectives.</w:t>
      </w:r>
    </w:p>
    <w:p w14:paraId="1EF4706D">
      <w:pPr>
        <w:tabs>
          <w:tab w:val="left" w:pos="2120"/>
        </w:tabs>
        <w:bidi w:val="0"/>
        <w:jc w:val="left"/>
        <w:rPr>
          <w:rFonts w:hint="eastAsia" w:eastAsia="宋体"/>
          <w:sz w:val="30"/>
          <w:szCs w:val="30"/>
          <w:lang w:eastAsia="zh-CN"/>
        </w:rPr>
      </w:pPr>
      <w:r>
        <w:rPr>
          <w:rFonts w:hint="eastAsia" w:eastAsia="宋体"/>
          <w:sz w:val="30"/>
          <w:szCs w:val="30"/>
          <w:lang w:eastAsia="zh-CN"/>
        </w:rPr>
        <w:t>其次，为了最好地理解永恒之约，我们必须跟随新约，从两个不同的角度来默想它。</w:t>
      </w:r>
    </w:p>
    <w:p w14:paraId="1950442C">
      <w:pPr>
        <w:tabs>
          <w:tab w:val="left" w:pos="2120"/>
        </w:tabs>
        <w:bidi w:val="0"/>
        <w:jc w:val="left"/>
        <w:rPr>
          <w:rFonts w:hint="eastAsia" w:eastAsia="宋体"/>
          <w:sz w:val="30"/>
          <w:szCs w:val="30"/>
          <w:lang w:eastAsia="zh-CN"/>
        </w:rPr>
      </w:pPr>
    </w:p>
    <w:p w14:paraId="03B4C4E5">
      <w:pPr>
        <w:tabs>
          <w:tab w:val="left" w:pos="2120"/>
        </w:tabs>
        <w:bidi w:val="0"/>
        <w:jc w:val="left"/>
        <w:rPr>
          <w:rFonts w:hint="eastAsia" w:eastAsia="宋体"/>
          <w:sz w:val="30"/>
          <w:szCs w:val="30"/>
          <w:lang w:eastAsia="zh-CN"/>
        </w:rPr>
      </w:pPr>
      <w:r>
        <w:rPr>
          <w:rFonts w:hint="eastAsia" w:eastAsia="宋体"/>
          <w:sz w:val="30"/>
          <w:szCs w:val="30"/>
          <w:lang w:eastAsia="zh-CN"/>
        </w:rPr>
        <w:t>Indeed, theologians intent on exploring its fabulous riches insist that, for all practical purposes, we must think of this Covenant as having two sides; as involving two separate but closely related sub-covenants.</w:t>
      </w:r>
    </w:p>
    <w:p w14:paraId="695E363C">
      <w:pPr>
        <w:tabs>
          <w:tab w:val="left" w:pos="2120"/>
        </w:tabs>
        <w:bidi w:val="0"/>
        <w:jc w:val="left"/>
        <w:rPr>
          <w:rFonts w:hint="eastAsia" w:eastAsia="宋体"/>
          <w:sz w:val="30"/>
          <w:szCs w:val="30"/>
          <w:lang w:eastAsia="zh-CN"/>
        </w:rPr>
      </w:pPr>
      <w:r>
        <w:rPr>
          <w:rFonts w:hint="eastAsia" w:eastAsia="宋体"/>
          <w:sz w:val="30"/>
          <w:szCs w:val="30"/>
          <w:lang w:eastAsia="zh-CN"/>
        </w:rPr>
        <w:t>事实上，那些致力于探索其奇妙丰富的神学家坚持认为，出于所有实际目的，我们必须将此约视为有两个方面；即包含两个独立但密切相关的子约。</w:t>
      </w:r>
    </w:p>
    <w:p w14:paraId="35F2099B">
      <w:pPr>
        <w:tabs>
          <w:tab w:val="left" w:pos="2120"/>
        </w:tabs>
        <w:bidi w:val="0"/>
        <w:jc w:val="left"/>
        <w:rPr>
          <w:rFonts w:hint="eastAsia" w:eastAsia="宋体"/>
          <w:sz w:val="30"/>
          <w:szCs w:val="30"/>
          <w:lang w:eastAsia="zh-CN"/>
        </w:rPr>
      </w:pPr>
    </w:p>
    <w:p w14:paraId="0707B417">
      <w:pPr>
        <w:tabs>
          <w:tab w:val="left" w:pos="2120"/>
        </w:tabs>
        <w:bidi w:val="0"/>
        <w:jc w:val="left"/>
        <w:rPr>
          <w:rFonts w:hint="eastAsia" w:eastAsia="宋体"/>
          <w:sz w:val="30"/>
          <w:szCs w:val="30"/>
          <w:lang w:eastAsia="zh-CN"/>
        </w:rPr>
      </w:pPr>
      <w:r>
        <w:rPr>
          <w:rFonts w:hint="eastAsia" w:eastAsia="宋体"/>
          <w:sz w:val="30"/>
          <w:szCs w:val="30"/>
          <w:lang w:eastAsia="zh-CN"/>
        </w:rPr>
        <w:t>The first is customarily called the Covenant of Redemption.</w:t>
      </w:r>
    </w:p>
    <w:p w14:paraId="2B057DEB">
      <w:pPr>
        <w:tabs>
          <w:tab w:val="left" w:pos="2120"/>
        </w:tabs>
        <w:bidi w:val="0"/>
        <w:jc w:val="left"/>
        <w:rPr>
          <w:rFonts w:hint="eastAsia" w:eastAsia="宋体"/>
          <w:sz w:val="30"/>
          <w:szCs w:val="30"/>
          <w:lang w:eastAsia="zh-CN"/>
        </w:rPr>
      </w:pPr>
      <w:r>
        <w:rPr>
          <w:rFonts w:hint="eastAsia" w:eastAsia="宋体"/>
          <w:sz w:val="30"/>
          <w:szCs w:val="30"/>
          <w:lang w:eastAsia="zh-CN"/>
        </w:rPr>
        <w:t>第一个通常被称为救赎之约。</w:t>
      </w:r>
    </w:p>
    <w:p w14:paraId="33C28788">
      <w:pPr>
        <w:tabs>
          <w:tab w:val="left" w:pos="2120"/>
        </w:tabs>
        <w:bidi w:val="0"/>
        <w:jc w:val="left"/>
        <w:rPr>
          <w:rFonts w:hint="eastAsia" w:eastAsia="宋体"/>
          <w:sz w:val="30"/>
          <w:szCs w:val="30"/>
          <w:lang w:eastAsia="zh-CN"/>
        </w:rPr>
      </w:pPr>
    </w:p>
    <w:p w14:paraId="420487B3">
      <w:pPr>
        <w:tabs>
          <w:tab w:val="left" w:pos="2120"/>
        </w:tabs>
        <w:bidi w:val="0"/>
        <w:jc w:val="left"/>
        <w:rPr>
          <w:rFonts w:hint="eastAsia" w:eastAsia="宋体"/>
          <w:sz w:val="30"/>
          <w:szCs w:val="30"/>
          <w:lang w:eastAsia="zh-CN"/>
        </w:rPr>
      </w:pPr>
      <w:r>
        <w:rPr>
          <w:rFonts w:hint="eastAsia" w:eastAsia="宋体"/>
          <w:sz w:val="30"/>
          <w:szCs w:val="30"/>
          <w:lang w:eastAsia="zh-CN"/>
        </w:rPr>
        <w:t>In essence, this is a covenant between the Father and the Son, according to which the Son agrees to fulfill the Father’s plan for the redemption of a chosen people and their world, even as the Father agrees to enable him to do so, and also to reward him richly for his costly labors.</w:t>
      </w:r>
    </w:p>
    <w:p w14:paraId="7BFD65D2">
      <w:pPr>
        <w:tabs>
          <w:tab w:val="left" w:pos="2120"/>
        </w:tabs>
        <w:bidi w:val="0"/>
        <w:jc w:val="left"/>
        <w:rPr>
          <w:rFonts w:hint="eastAsia" w:eastAsia="宋体"/>
          <w:sz w:val="30"/>
          <w:szCs w:val="30"/>
          <w:lang w:eastAsia="zh-CN"/>
        </w:rPr>
      </w:pPr>
      <w:r>
        <w:rPr>
          <w:rFonts w:hint="eastAsia" w:eastAsia="宋体"/>
          <w:sz w:val="30"/>
          <w:szCs w:val="30"/>
          <w:lang w:eastAsia="zh-CN"/>
        </w:rPr>
        <w:t>实质上，这是父与子之间的一个约，根据这个约，子同意成全父为救赎一群被拣选的子民和他们的世界所定的计划，而父也同意使祂能够这样做，并为祂付上代价的劳苦丰厚地赏赐祂。</w:t>
      </w:r>
    </w:p>
    <w:p w14:paraId="2FCC21F0">
      <w:pPr>
        <w:tabs>
          <w:tab w:val="left" w:pos="2120"/>
        </w:tabs>
        <w:bidi w:val="0"/>
        <w:jc w:val="left"/>
        <w:rPr>
          <w:rFonts w:hint="eastAsia" w:eastAsia="宋体"/>
          <w:sz w:val="30"/>
          <w:szCs w:val="30"/>
          <w:lang w:eastAsia="zh-CN"/>
        </w:rPr>
      </w:pPr>
    </w:p>
    <w:p w14:paraId="291B928E">
      <w:pPr>
        <w:tabs>
          <w:tab w:val="left" w:pos="2120"/>
        </w:tabs>
        <w:bidi w:val="0"/>
        <w:jc w:val="left"/>
        <w:rPr>
          <w:rFonts w:hint="eastAsia" w:eastAsia="宋体"/>
          <w:sz w:val="30"/>
          <w:szCs w:val="30"/>
          <w:lang w:eastAsia="zh-CN"/>
        </w:rPr>
      </w:pPr>
      <w:r>
        <w:rPr>
          <w:rFonts w:hint="eastAsia" w:eastAsia="宋体"/>
          <w:sz w:val="30"/>
          <w:szCs w:val="30"/>
          <w:lang w:eastAsia="zh-CN"/>
        </w:rPr>
        <w:t>The second sub-covenant is called the Covenant of Grace.</w:t>
      </w:r>
    </w:p>
    <w:p w14:paraId="5A007BB8">
      <w:pPr>
        <w:tabs>
          <w:tab w:val="left" w:pos="2120"/>
        </w:tabs>
        <w:bidi w:val="0"/>
        <w:jc w:val="left"/>
        <w:rPr>
          <w:rFonts w:hint="eastAsia" w:eastAsia="宋体"/>
          <w:sz w:val="30"/>
          <w:szCs w:val="30"/>
          <w:lang w:eastAsia="zh-CN"/>
        </w:rPr>
      </w:pPr>
      <w:r>
        <w:rPr>
          <w:rFonts w:hint="eastAsia" w:eastAsia="宋体"/>
          <w:sz w:val="30"/>
          <w:szCs w:val="30"/>
          <w:lang w:eastAsia="zh-CN"/>
        </w:rPr>
        <w:t>第二个子约被称为恩典之约。</w:t>
      </w:r>
    </w:p>
    <w:p w14:paraId="6DB40876">
      <w:pPr>
        <w:tabs>
          <w:tab w:val="left" w:pos="2120"/>
        </w:tabs>
        <w:bidi w:val="0"/>
        <w:jc w:val="left"/>
        <w:rPr>
          <w:rFonts w:hint="eastAsia" w:eastAsia="宋体"/>
          <w:sz w:val="30"/>
          <w:szCs w:val="30"/>
          <w:lang w:eastAsia="zh-CN"/>
        </w:rPr>
      </w:pPr>
    </w:p>
    <w:p w14:paraId="54FC1C33">
      <w:pPr>
        <w:tabs>
          <w:tab w:val="left" w:pos="2120"/>
        </w:tabs>
        <w:bidi w:val="0"/>
        <w:jc w:val="left"/>
        <w:rPr>
          <w:rFonts w:hint="eastAsia" w:eastAsia="宋体"/>
          <w:sz w:val="30"/>
          <w:szCs w:val="30"/>
          <w:lang w:eastAsia="zh-CN"/>
        </w:rPr>
      </w:pPr>
      <w:r>
        <w:rPr>
          <w:rFonts w:hint="eastAsia" w:eastAsia="宋体"/>
          <w:sz w:val="30"/>
          <w:szCs w:val="30"/>
          <w:lang w:eastAsia="zh-CN"/>
        </w:rPr>
        <w:t>In essence, it is a covenant between the triune God and sinful men.</w:t>
      </w:r>
    </w:p>
    <w:p w14:paraId="4DDA56C5">
      <w:pPr>
        <w:tabs>
          <w:tab w:val="left" w:pos="2120"/>
        </w:tabs>
        <w:bidi w:val="0"/>
        <w:jc w:val="left"/>
        <w:rPr>
          <w:rFonts w:hint="eastAsia" w:eastAsia="宋体"/>
          <w:sz w:val="30"/>
          <w:szCs w:val="30"/>
          <w:lang w:eastAsia="zh-CN"/>
        </w:rPr>
      </w:pPr>
      <w:r>
        <w:rPr>
          <w:rFonts w:hint="eastAsia" w:eastAsia="宋体"/>
          <w:sz w:val="30"/>
          <w:szCs w:val="30"/>
          <w:lang w:eastAsia="zh-CN"/>
        </w:rPr>
        <w:t>实质上，这是三一上帝与有罪世人之间的约。</w:t>
      </w:r>
    </w:p>
    <w:p w14:paraId="7072C2D4">
      <w:pPr>
        <w:tabs>
          <w:tab w:val="left" w:pos="2120"/>
        </w:tabs>
        <w:bidi w:val="0"/>
        <w:jc w:val="left"/>
        <w:rPr>
          <w:rFonts w:hint="eastAsia" w:eastAsia="宋体"/>
          <w:sz w:val="30"/>
          <w:szCs w:val="30"/>
          <w:lang w:eastAsia="zh-CN"/>
        </w:rPr>
      </w:pPr>
    </w:p>
    <w:p w14:paraId="5F6A2364">
      <w:pPr>
        <w:tabs>
          <w:tab w:val="left" w:pos="2120"/>
        </w:tabs>
        <w:bidi w:val="0"/>
        <w:jc w:val="left"/>
        <w:rPr>
          <w:rFonts w:hint="eastAsia" w:eastAsia="宋体"/>
          <w:sz w:val="30"/>
          <w:szCs w:val="30"/>
          <w:lang w:eastAsia="zh-CN"/>
        </w:rPr>
      </w:pPr>
      <w:r>
        <w:rPr>
          <w:rFonts w:hint="eastAsia" w:eastAsia="宋体"/>
          <w:sz w:val="30"/>
          <w:szCs w:val="30"/>
          <w:lang w:eastAsia="zh-CN"/>
        </w:rPr>
        <w:t>Here, God graciously agrees to give sinners the gift of eternal life under his direct reign (i.e., in his Kingdom) upon condition of simple repentance and faith in Christ.</w:t>
      </w:r>
    </w:p>
    <w:p w14:paraId="3810A022">
      <w:pPr>
        <w:tabs>
          <w:tab w:val="left" w:pos="2120"/>
        </w:tabs>
        <w:bidi w:val="0"/>
        <w:jc w:val="left"/>
        <w:rPr>
          <w:rFonts w:hint="eastAsia" w:eastAsia="宋体"/>
          <w:sz w:val="30"/>
          <w:szCs w:val="30"/>
          <w:lang w:eastAsia="zh-CN"/>
        </w:rPr>
      </w:pPr>
      <w:r>
        <w:rPr>
          <w:rFonts w:hint="eastAsia" w:eastAsia="宋体"/>
          <w:sz w:val="30"/>
          <w:szCs w:val="30"/>
          <w:lang w:eastAsia="zh-CN"/>
        </w:rPr>
        <w:t>在此，上帝恩慈地同意，以单单悔改和相信基督为条件，将永生这礼物赐给罪人，使他们活在祂直接的统治之下（即，在祂的国度里）。</w:t>
      </w:r>
    </w:p>
    <w:p w14:paraId="2D7664AB">
      <w:pPr>
        <w:tabs>
          <w:tab w:val="left" w:pos="2120"/>
        </w:tabs>
        <w:bidi w:val="0"/>
        <w:jc w:val="left"/>
        <w:rPr>
          <w:rFonts w:hint="eastAsia" w:eastAsia="宋体"/>
          <w:sz w:val="30"/>
          <w:szCs w:val="30"/>
          <w:lang w:eastAsia="zh-CN"/>
        </w:rPr>
      </w:pPr>
    </w:p>
    <w:p w14:paraId="0C922EB3">
      <w:pPr>
        <w:tabs>
          <w:tab w:val="left" w:pos="2120"/>
        </w:tabs>
        <w:bidi w:val="0"/>
        <w:jc w:val="left"/>
        <w:rPr>
          <w:rFonts w:hint="eastAsia" w:eastAsia="宋体"/>
          <w:sz w:val="30"/>
          <w:szCs w:val="30"/>
          <w:lang w:eastAsia="zh-CN"/>
        </w:rPr>
      </w:pPr>
      <w:r>
        <w:rPr>
          <w:rFonts w:hint="eastAsia" w:eastAsia="宋体"/>
          <w:sz w:val="30"/>
          <w:szCs w:val="30"/>
          <w:lang w:eastAsia="zh-CN"/>
        </w:rPr>
        <w:t>Clearly, the two sub-covenants are closely related: God works out the Covenant of Redemption by administering the Covenant of Grace in history.</w:t>
      </w:r>
    </w:p>
    <w:p w14:paraId="12F10925">
      <w:pPr>
        <w:tabs>
          <w:tab w:val="left" w:pos="2120"/>
        </w:tabs>
        <w:bidi w:val="0"/>
        <w:jc w:val="left"/>
        <w:rPr>
          <w:rFonts w:hint="eastAsia" w:eastAsia="宋体"/>
          <w:sz w:val="30"/>
          <w:szCs w:val="30"/>
          <w:lang w:eastAsia="zh-CN"/>
        </w:rPr>
      </w:pPr>
      <w:r>
        <w:rPr>
          <w:rFonts w:hint="eastAsia" w:eastAsia="宋体"/>
          <w:sz w:val="30"/>
          <w:szCs w:val="30"/>
          <w:lang w:eastAsia="zh-CN"/>
        </w:rPr>
        <w:t>显然，这两个子约密切相关：上帝通过在历史中施行恩典之约来完成救赎之约。</w:t>
      </w:r>
    </w:p>
    <w:p w14:paraId="692BF8F6">
      <w:pPr>
        <w:tabs>
          <w:tab w:val="left" w:pos="2120"/>
        </w:tabs>
        <w:bidi w:val="0"/>
        <w:jc w:val="left"/>
        <w:rPr>
          <w:rFonts w:hint="eastAsia" w:eastAsia="宋体"/>
          <w:sz w:val="30"/>
          <w:szCs w:val="30"/>
          <w:lang w:eastAsia="zh-CN"/>
        </w:rPr>
      </w:pPr>
    </w:p>
    <w:p w14:paraId="15DC5695">
      <w:pPr>
        <w:tabs>
          <w:tab w:val="left" w:pos="2120"/>
        </w:tabs>
        <w:bidi w:val="0"/>
        <w:jc w:val="left"/>
        <w:rPr>
          <w:rFonts w:hint="eastAsia" w:eastAsia="宋体"/>
          <w:sz w:val="30"/>
          <w:szCs w:val="30"/>
          <w:lang w:eastAsia="zh-CN"/>
        </w:rPr>
      </w:pPr>
      <w:r>
        <w:rPr>
          <w:rFonts w:hint="eastAsia" w:eastAsia="宋体"/>
          <w:sz w:val="30"/>
          <w:szCs w:val="30"/>
          <w:lang w:eastAsia="zh-CN"/>
        </w:rPr>
        <w:t>Yet just as clearly, the covenants differ.</w:t>
      </w:r>
    </w:p>
    <w:p w14:paraId="71F8DC61">
      <w:pPr>
        <w:tabs>
          <w:tab w:val="left" w:pos="2120"/>
        </w:tabs>
        <w:bidi w:val="0"/>
        <w:jc w:val="left"/>
        <w:rPr>
          <w:rFonts w:hint="eastAsia" w:eastAsia="宋体"/>
          <w:sz w:val="30"/>
          <w:szCs w:val="30"/>
          <w:lang w:eastAsia="zh-CN"/>
        </w:rPr>
      </w:pPr>
      <w:r>
        <w:rPr>
          <w:rFonts w:hint="eastAsia" w:eastAsia="宋体"/>
          <w:sz w:val="30"/>
          <w:szCs w:val="30"/>
          <w:lang w:eastAsia="zh-CN"/>
        </w:rPr>
        <w:t>然而同样清楚的是，这两个约是不同的。</w:t>
      </w:r>
    </w:p>
    <w:p w14:paraId="0196FBAC">
      <w:pPr>
        <w:tabs>
          <w:tab w:val="left" w:pos="2120"/>
        </w:tabs>
        <w:bidi w:val="0"/>
        <w:jc w:val="left"/>
        <w:rPr>
          <w:rFonts w:hint="eastAsia" w:eastAsia="宋体"/>
          <w:sz w:val="30"/>
          <w:szCs w:val="30"/>
          <w:lang w:eastAsia="zh-CN"/>
        </w:rPr>
      </w:pPr>
    </w:p>
    <w:p w14:paraId="1303628F">
      <w:pPr>
        <w:tabs>
          <w:tab w:val="left" w:pos="2120"/>
        </w:tabs>
        <w:bidi w:val="0"/>
        <w:jc w:val="left"/>
        <w:rPr>
          <w:rFonts w:hint="eastAsia" w:eastAsia="宋体"/>
          <w:sz w:val="30"/>
          <w:szCs w:val="30"/>
          <w:lang w:eastAsia="zh-CN"/>
        </w:rPr>
      </w:pPr>
      <w:r>
        <w:rPr>
          <w:rFonts w:hint="eastAsia" w:eastAsia="宋体"/>
          <w:sz w:val="30"/>
          <w:szCs w:val="30"/>
          <w:lang w:eastAsia="zh-CN"/>
        </w:rPr>
        <w:t>For example, God’s Son entered the Covenant of Redemption in eternity past, whereas penitent sinners enter the Covenant of Grace all along the highway of Salvation History.</w:t>
      </w:r>
    </w:p>
    <w:p w14:paraId="09577DFA">
      <w:pPr>
        <w:tabs>
          <w:tab w:val="left" w:pos="2120"/>
        </w:tabs>
        <w:bidi w:val="0"/>
        <w:jc w:val="left"/>
        <w:rPr>
          <w:rFonts w:hint="eastAsia" w:eastAsia="宋体"/>
          <w:sz w:val="30"/>
          <w:szCs w:val="30"/>
          <w:lang w:eastAsia="zh-CN"/>
        </w:rPr>
      </w:pPr>
      <w:r>
        <w:rPr>
          <w:rFonts w:hint="eastAsia" w:eastAsia="宋体"/>
          <w:sz w:val="30"/>
          <w:szCs w:val="30"/>
          <w:lang w:eastAsia="zh-CN"/>
        </w:rPr>
        <w:t>例如，上帝的圣子在永恒的过去进入了救赎之约，而悔罪的罪人则在救赎历史的整个大道上进入恩典之约。</w:t>
      </w:r>
    </w:p>
    <w:p w14:paraId="06C3964A">
      <w:pPr>
        <w:tabs>
          <w:tab w:val="left" w:pos="2120"/>
        </w:tabs>
        <w:bidi w:val="0"/>
        <w:jc w:val="left"/>
        <w:rPr>
          <w:rFonts w:hint="eastAsia" w:eastAsia="宋体"/>
          <w:sz w:val="30"/>
          <w:szCs w:val="30"/>
          <w:lang w:eastAsia="zh-CN"/>
        </w:rPr>
      </w:pPr>
    </w:p>
    <w:p w14:paraId="72B9599A">
      <w:pPr>
        <w:tabs>
          <w:tab w:val="left" w:pos="2120"/>
        </w:tabs>
        <w:bidi w:val="0"/>
        <w:jc w:val="left"/>
        <w:rPr>
          <w:rFonts w:hint="eastAsia" w:eastAsia="宋体"/>
          <w:sz w:val="30"/>
          <w:szCs w:val="30"/>
          <w:lang w:eastAsia="zh-CN"/>
        </w:rPr>
      </w:pPr>
      <w:r>
        <w:rPr>
          <w:rFonts w:hint="eastAsia" w:eastAsia="宋体"/>
          <w:sz w:val="30"/>
          <w:szCs w:val="30"/>
          <w:lang w:eastAsia="zh-CN"/>
        </w:rPr>
        <w:t>Also, the Covenant of Redemption highlights the sovereignty of the triune God in bestowing redemption upon a chosen people, whereas the Covenant of Grace highlights the responsibility of all people to receive the proffered gift during the days of their probation on the earth.</w:t>
      </w:r>
    </w:p>
    <w:p w14:paraId="693FCF63">
      <w:pPr>
        <w:tabs>
          <w:tab w:val="left" w:pos="2120"/>
        </w:tabs>
        <w:bidi w:val="0"/>
        <w:jc w:val="left"/>
        <w:rPr>
          <w:rFonts w:hint="eastAsia" w:eastAsia="宋体"/>
          <w:sz w:val="30"/>
          <w:szCs w:val="30"/>
          <w:lang w:eastAsia="zh-CN"/>
        </w:rPr>
      </w:pPr>
      <w:r>
        <w:rPr>
          <w:rFonts w:hint="eastAsia" w:eastAsia="宋体"/>
          <w:sz w:val="30"/>
          <w:szCs w:val="30"/>
          <w:lang w:eastAsia="zh-CN"/>
        </w:rPr>
        <w:t>此外，救赎之约突显了三一上帝在将救赎赐给被拣选子民这件事上的主权，而恩典之约则突显了所有人在他们在世上受察验的日子里接受所赐礼物的责任。</w:t>
      </w:r>
    </w:p>
    <w:p w14:paraId="75A8DD6A">
      <w:pPr>
        <w:tabs>
          <w:tab w:val="left" w:pos="2120"/>
        </w:tabs>
        <w:bidi w:val="0"/>
        <w:jc w:val="left"/>
        <w:rPr>
          <w:rFonts w:hint="eastAsia" w:eastAsia="宋体"/>
          <w:sz w:val="30"/>
          <w:szCs w:val="30"/>
          <w:lang w:eastAsia="zh-CN"/>
        </w:rPr>
      </w:pPr>
    </w:p>
    <w:p w14:paraId="729A9855">
      <w:pPr>
        <w:tabs>
          <w:tab w:val="left" w:pos="2120"/>
        </w:tabs>
        <w:bidi w:val="0"/>
        <w:jc w:val="left"/>
        <w:rPr>
          <w:rFonts w:hint="eastAsia" w:eastAsia="宋体"/>
          <w:sz w:val="30"/>
          <w:szCs w:val="30"/>
          <w:lang w:eastAsia="zh-CN"/>
        </w:rPr>
      </w:pPr>
      <w:r>
        <w:rPr>
          <w:rFonts w:hint="eastAsia" w:eastAsia="宋体"/>
          <w:sz w:val="30"/>
          <w:szCs w:val="30"/>
          <w:lang w:eastAsia="zh-CN"/>
        </w:rPr>
        <w:t>So again, there is only one arrangement for the salvation of sinners, yet two different perspectives through which we may contemplate it.</w:t>
      </w:r>
    </w:p>
    <w:p w14:paraId="53D339CB">
      <w:pPr>
        <w:tabs>
          <w:tab w:val="left" w:pos="2120"/>
        </w:tabs>
        <w:bidi w:val="0"/>
        <w:jc w:val="left"/>
        <w:rPr>
          <w:rFonts w:hint="eastAsia" w:eastAsia="宋体"/>
          <w:sz w:val="30"/>
          <w:szCs w:val="30"/>
          <w:lang w:eastAsia="zh-CN"/>
        </w:rPr>
      </w:pPr>
      <w:r>
        <w:rPr>
          <w:rFonts w:hint="eastAsia" w:eastAsia="宋体"/>
          <w:sz w:val="30"/>
          <w:szCs w:val="30"/>
          <w:lang w:eastAsia="zh-CN"/>
        </w:rPr>
        <w:t>所以，再说一次，为罪人得救只有一个安排，但我们可以通过两种不同的视角来默想它。</w:t>
      </w:r>
    </w:p>
    <w:p w14:paraId="73203966">
      <w:pPr>
        <w:tabs>
          <w:tab w:val="left" w:pos="2120"/>
        </w:tabs>
        <w:bidi w:val="0"/>
        <w:jc w:val="left"/>
        <w:rPr>
          <w:rFonts w:hint="eastAsia" w:eastAsia="宋体"/>
          <w:sz w:val="30"/>
          <w:szCs w:val="30"/>
          <w:lang w:eastAsia="zh-CN"/>
        </w:rPr>
      </w:pPr>
    </w:p>
    <w:p w14:paraId="5CB7AF26">
      <w:pPr>
        <w:tabs>
          <w:tab w:val="left" w:pos="2120"/>
        </w:tabs>
        <w:bidi w:val="0"/>
        <w:jc w:val="left"/>
        <w:rPr>
          <w:rFonts w:hint="eastAsia" w:eastAsia="宋体"/>
          <w:sz w:val="30"/>
          <w:szCs w:val="30"/>
          <w:lang w:eastAsia="zh-CN"/>
        </w:rPr>
      </w:pPr>
      <w:r>
        <w:rPr>
          <w:rFonts w:hint="eastAsia" w:eastAsia="宋体"/>
          <w:sz w:val="30"/>
          <w:szCs w:val="30"/>
          <w:lang w:eastAsia="zh-CN"/>
        </w:rPr>
        <w:t>To be aware of both perspectives, and to keep them in balance, leads us to the fullest possible appreciation of God’s redemptive plan.</w:t>
      </w:r>
    </w:p>
    <w:p w14:paraId="4562CD8F">
      <w:pPr>
        <w:tabs>
          <w:tab w:val="left" w:pos="2120"/>
        </w:tabs>
        <w:bidi w:val="0"/>
        <w:jc w:val="left"/>
        <w:rPr>
          <w:rFonts w:hint="eastAsia" w:eastAsia="宋体"/>
          <w:sz w:val="30"/>
          <w:szCs w:val="30"/>
          <w:lang w:eastAsia="zh-CN"/>
        </w:rPr>
      </w:pPr>
      <w:r>
        <w:rPr>
          <w:rFonts w:hint="eastAsia" w:eastAsia="宋体"/>
          <w:sz w:val="30"/>
          <w:szCs w:val="30"/>
          <w:lang w:eastAsia="zh-CN"/>
        </w:rPr>
        <w:t>意识到这两种视角，并保持它们的平衡，能使我们最充分地领会上帝的救赎计划。</w:t>
      </w:r>
    </w:p>
    <w:p w14:paraId="0A438C65">
      <w:pPr>
        <w:tabs>
          <w:tab w:val="left" w:pos="2120"/>
        </w:tabs>
        <w:bidi w:val="0"/>
        <w:jc w:val="left"/>
        <w:rPr>
          <w:rFonts w:hint="eastAsia" w:eastAsia="宋体"/>
          <w:sz w:val="30"/>
          <w:szCs w:val="30"/>
          <w:lang w:eastAsia="zh-CN"/>
        </w:rPr>
      </w:pPr>
    </w:p>
    <w:p w14:paraId="3E09C217">
      <w:pPr>
        <w:tabs>
          <w:tab w:val="left" w:pos="2120"/>
        </w:tabs>
        <w:bidi w:val="0"/>
        <w:jc w:val="left"/>
        <w:rPr>
          <w:rFonts w:hint="eastAsia" w:eastAsia="宋体"/>
          <w:sz w:val="30"/>
          <w:szCs w:val="30"/>
          <w:lang w:eastAsia="zh-CN"/>
        </w:rPr>
      </w:pPr>
      <w:r>
        <w:rPr>
          <w:rFonts w:hint="eastAsia" w:eastAsia="宋体"/>
          <w:sz w:val="30"/>
          <w:szCs w:val="30"/>
          <w:lang w:eastAsia="zh-CN"/>
        </w:rPr>
        <w:t>Having said this much by way of introduction, let us now look a bit more closely at these two covenants.</w:t>
      </w:r>
    </w:p>
    <w:p w14:paraId="273D1589">
      <w:pPr>
        <w:tabs>
          <w:tab w:val="left" w:pos="2120"/>
        </w:tabs>
        <w:bidi w:val="0"/>
        <w:jc w:val="left"/>
        <w:rPr>
          <w:rFonts w:hint="eastAsia" w:eastAsia="宋体"/>
          <w:sz w:val="30"/>
          <w:szCs w:val="30"/>
          <w:lang w:eastAsia="zh-CN"/>
        </w:rPr>
      </w:pPr>
      <w:r>
        <w:rPr>
          <w:rFonts w:hint="eastAsia" w:eastAsia="宋体"/>
          <w:sz w:val="30"/>
          <w:szCs w:val="30"/>
          <w:lang w:eastAsia="zh-CN"/>
        </w:rPr>
        <w:t>在介绍了这么多之后，现在让我们更仔细地看看这两个约。</w:t>
      </w:r>
    </w:p>
    <w:p w14:paraId="107DAA8B">
      <w:pPr>
        <w:tabs>
          <w:tab w:val="left" w:pos="2120"/>
        </w:tabs>
        <w:bidi w:val="0"/>
        <w:jc w:val="left"/>
        <w:rPr>
          <w:rFonts w:hint="eastAsia" w:eastAsia="宋体"/>
          <w:sz w:val="30"/>
          <w:szCs w:val="30"/>
          <w:lang w:eastAsia="zh-CN"/>
        </w:rPr>
      </w:pPr>
    </w:p>
    <w:p w14:paraId="5C280D7B">
      <w:pPr>
        <w:tabs>
          <w:tab w:val="left" w:pos="2120"/>
        </w:tabs>
        <w:bidi w:val="0"/>
        <w:jc w:val="left"/>
        <w:rPr>
          <w:rFonts w:hint="eastAsia" w:eastAsia="宋体"/>
          <w:sz w:val="30"/>
          <w:szCs w:val="30"/>
          <w:lang w:eastAsia="zh-CN"/>
        </w:rPr>
      </w:pPr>
      <w:r>
        <w:rPr>
          <w:rFonts w:hint="eastAsia" w:eastAsia="宋体"/>
          <w:sz w:val="30"/>
          <w:szCs w:val="30"/>
          <w:lang w:eastAsia="zh-CN"/>
        </w:rPr>
        <w:t>The Covenant of Redemption</w:t>
      </w:r>
    </w:p>
    <w:p w14:paraId="2EEB9EB1">
      <w:pPr>
        <w:tabs>
          <w:tab w:val="left" w:pos="2120"/>
        </w:tabs>
        <w:bidi w:val="0"/>
        <w:jc w:val="left"/>
        <w:rPr>
          <w:rFonts w:hint="eastAsia" w:eastAsia="宋体"/>
          <w:sz w:val="30"/>
          <w:szCs w:val="30"/>
          <w:lang w:eastAsia="zh-CN"/>
        </w:rPr>
      </w:pPr>
      <w:r>
        <w:rPr>
          <w:rFonts w:hint="eastAsia" w:eastAsia="宋体"/>
          <w:sz w:val="30"/>
          <w:szCs w:val="30"/>
          <w:lang w:eastAsia="zh-CN"/>
        </w:rPr>
        <w:t>救赎之约</w:t>
      </w:r>
    </w:p>
    <w:p w14:paraId="520BEC2A">
      <w:pPr>
        <w:tabs>
          <w:tab w:val="left" w:pos="2120"/>
        </w:tabs>
        <w:bidi w:val="0"/>
        <w:jc w:val="left"/>
        <w:rPr>
          <w:rFonts w:hint="eastAsia" w:eastAsia="宋体"/>
          <w:sz w:val="30"/>
          <w:szCs w:val="30"/>
          <w:lang w:eastAsia="zh-CN"/>
        </w:rPr>
      </w:pPr>
    </w:p>
    <w:p w14:paraId="588FDD50">
      <w:pPr>
        <w:tabs>
          <w:tab w:val="left" w:pos="2120"/>
        </w:tabs>
        <w:bidi w:val="0"/>
        <w:jc w:val="left"/>
        <w:rPr>
          <w:rFonts w:hint="eastAsia" w:eastAsia="宋体"/>
          <w:sz w:val="30"/>
          <w:szCs w:val="30"/>
          <w:lang w:eastAsia="zh-CN"/>
        </w:rPr>
      </w:pPr>
      <w:r>
        <w:rPr>
          <w:rFonts w:hint="eastAsia" w:eastAsia="宋体"/>
          <w:sz w:val="30"/>
          <w:szCs w:val="30"/>
          <w:lang w:eastAsia="zh-CN"/>
        </w:rPr>
        <w:t>It is fascinating to discover in Scripture that the journey of the Son of God into our world was according to a pre-arranged agreement between him and his Father.</w:t>
      </w:r>
    </w:p>
    <w:p w14:paraId="42453F31">
      <w:pPr>
        <w:tabs>
          <w:tab w:val="left" w:pos="2120"/>
        </w:tabs>
        <w:bidi w:val="0"/>
        <w:jc w:val="left"/>
        <w:rPr>
          <w:rFonts w:hint="eastAsia" w:eastAsia="宋体"/>
          <w:sz w:val="30"/>
          <w:szCs w:val="30"/>
          <w:lang w:eastAsia="zh-CN"/>
        </w:rPr>
      </w:pPr>
      <w:r>
        <w:rPr>
          <w:rFonts w:hint="eastAsia" w:eastAsia="宋体"/>
          <w:sz w:val="30"/>
          <w:szCs w:val="30"/>
          <w:lang w:eastAsia="zh-CN"/>
        </w:rPr>
        <w:t>在圣经中发现，上帝之子进入我们世界的旅程是根据祂与祂父预先安排的协议，这是非常引人入胜的。</w:t>
      </w:r>
    </w:p>
    <w:p w14:paraId="722C8523">
      <w:pPr>
        <w:tabs>
          <w:tab w:val="left" w:pos="2120"/>
        </w:tabs>
        <w:bidi w:val="0"/>
        <w:jc w:val="left"/>
        <w:rPr>
          <w:rFonts w:hint="eastAsia" w:eastAsia="宋体"/>
          <w:sz w:val="30"/>
          <w:szCs w:val="30"/>
          <w:lang w:eastAsia="zh-CN"/>
        </w:rPr>
      </w:pPr>
    </w:p>
    <w:p w14:paraId="0AD91540">
      <w:pPr>
        <w:tabs>
          <w:tab w:val="left" w:pos="2120"/>
        </w:tabs>
        <w:bidi w:val="0"/>
        <w:jc w:val="left"/>
        <w:rPr>
          <w:rFonts w:hint="eastAsia" w:eastAsia="宋体"/>
          <w:sz w:val="30"/>
          <w:szCs w:val="30"/>
          <w:lang w:eastAsia="zh-CN"/>
        </w:rPr>
      </w:pPr>
      <w:r>
        <w:rPr>
          <w:rFonts w:hint="eastAsia" w:eastAsia="宋体"/>
          <w:sz w:val="30"/>
          <w:szCs w:val="30"/>
          <w:lang w:eastAsia="zh-CN"/>
        </w:rPr>
        <w:t>For example, speaking through the Psalmist, the Son declares his willingness to take on the body that his Father has prepared for him, and thus to become the one and only effective sacrifice for sin (Psalm 40:6, Heb. 10:5-10).</w:t>
      </w:r>
    </w:p>
    <w:p w14:paraId="25BB71CA">
      <w:pPr>
        <w:tabs>
          <w:tab w:val="left" w:pos="2120"/>
        </w:tabs>
        <w:bidi w:val="0"/>
        <w:jc w:val="left"/>
        <w:rPr>
          <w:rFonts w:hint="eastAsia" w:eastAsia="宋体"/>
          <w:sz w:val="30"/>
          <w:szCs w:val="30"/>
          <w:lang w:eastAsia="zh-CN"/>
        </w:rPr>
      </w:pPr>
      <w:r>
        <w:rPr>
          <w:rFonts w:hint="eastAsia" w:eastAsia="宋体"/>
          <w:sz w:val="30"/>
          <w:szCs w:val="30"/>
          <w:lang w:eastAsia="zh-CN"/>
        </w:rPr>
        <w:t>例如，子藉着诗篇作者说话，宣告祂愿意取了祂父为祂预备的身体，从而成为那唯一有效的赎罪祭（诗篇 40:6, 来 10:5-10）。</w:t>
      </w:r>
    </w:p>
    <w:p w14:paraId="584BA05F">
      <w:pPr>
        <w:tabs>
          <w:tab w:val="left" w:pos="2120"/>
        </w:tabs>
        <w:bidi w:val="0"/>
        <w:jc w:val="left"/>
        <w:rPr>
          <w:rFonts w:hint="eastAsia" w:eastAsia="宋体"/>
          <w:sz w:val="30"/>
          <w:szCs w:val="30"/>
          <w:lang w:eastAsia="zh-CN"/>
        </w:rPr>
      </w:pPr>
    </w:p>
    <w:p w14:paraId="7F236BFA">
      <w:pPr>
        <w:tabs>
          <w:tab w:val="left" w:pos="2120"/>
        </w:tabs>
        <w:bidi w:val="0"/>
        <w:jc w:val="left"/>
        <w:rPr>
          <w:rFonts w:hint="eastAsia" w:eastAsia="宋体"/>
          <w:sz w:val="30"/>
          <w:szCs w:val="30"/>
          <w:lang w:eastAsia="zh-CN"/>
        </w:rPr>
      </w:pPr>
      <w:r>
        <w:rPr>
          <w:rFonts w:hint="eastAsia" w:eastAsia="宋体"/>
          <w:sz w:val="30"/>
          <w:szCs w:val="30"/>
          <w:lang w:eastAsia="zh-CN"/>
        </w:rPr>
        <w:t>In Psalm 2, we hear the voice of the Father responding to such eager and costly obedience with this lavish challenge: “Ask of me, and I will give the nations as Your inheritance, and the ends of the earth as Your possession” (Psalm 2:8).</w:t>
      </w:r>
    </w:p>
    <w:p w14:paraId="22E0FECD">
      <w:pPr>
        <w:tabs>
          <w:tab w:val="left" w:pos="2120"/>
        </w:tabs>
        <w:bidi w:val="0"/>
        <w:jc w:val="left"/>
        <w:rPr>
          <w:rFonts w:hint="eastAsia" w:eastAsia="宋体"/>
          <w:sz w:val="30"/>
          <w:szCs w:val="30"/>
          <w:lang w:eastAsia="zh-CN"/>
        </w:rPr>
      </w:pPr>
      <w:r>
        <w:rPr>
          <w:rFonts w:hint="eastAsia" w:eastAsia="宋体"/>
          <w:sz w:val="30"/>
          <w:szCs w:val="30"/>
          <w:lang w:eastAsia="zh-CN"/>
        </w:rPr>
        <w:t>在诗篇第2篇中，我们听到父的声音，以这慷慨的挑战回应这样热切而昂贵的顺服：“祢求我，我就将列国赐祢为基业，将地极赐祢为田产”（诗篇 2:8）。</w:t>
      </w:r>
    </w:p>
    <w:p w14:paraId="2C478534">
      <w:pPr>
        <w:tabs>
          <w:tab w:val="left" w:pos="2120"/>
        </w:tabs>
        <w:bidi w:val="0"/>
        <w:jc w:val="left"/>
        <w:rPr>
          <w:rFonts w:hint="eastAsia" w:eastAsia="宋体"/>
          <w:sz w:val="30"/>
          <w:szCs w:val="30"/>
          <w:lang w:eastAsia="zh-CN"/>
        </w:rPr>
      </w:pPr>
    </w:p>
    <w:p w14:paraId="760C5F18">
      <w:pPr>
        <w:tabs>
          <w:tab w:val="left" w:pos="2120"/>
        </w:tabs>
        <w:bidi w:val="0"/>
        <w:jc w:val="left"/>
        <w:rPr>
          <w:rFonts w:hint="eastAsia" w:eastAsia="宋体"/>
          <w:sz w:val="30"/>
          <w:szCs w:val="30"/>
          <w:lang w:eastAsia="zh-CN"/>
        </w:rPr>
      </w:pPr>
      <w:r>
        <w:rPr>
          <w:rFonts w:hint="eastAsia" w:eastAsia="宋体"/>
          <w:sz w:val="30"/>
          <w:szCs w:val="30"/>
          <w:lang w:eastAsia="zh-CN"/>
        </w:rPr>
        <w:t>Similarly, through Isaiah the Father promises the Suffering Servant that he will “divide him a portion with the great” (Isaiah 53:10-12).</w:t>
      </w:r>
    </w:p>
    <w:p w14:paraId="5151B0EB">
      <w:pPr>
        <w:tabs>
          <w:tab w:val="left" w:pos="2120"/>
        </w:tabs>
        <w:bidi w:val="0"/>
        <w:jc w:val="left"/>
        <w:rPr>
          <w:rFonts w:hint="eastAsia" w:eastAsia="宋体"/>
          <w:sz w:val="30"/>
          <w:szCs w:val="30"/>
          <w:lang w:eastAsia="zh-CN"/>
        </w:rPr>
      </w:pPr>
      <w:r>
        <w:rPr>
          <w:rFonts w:hint="eastAsia" w:eastAsia="宋体"/>
          <w:sz w:val="30"/>
          <w:szCs w:val="30"/>
          <w:lang w:eastAsia="zh-CN"/>
        </w:rPr>
        <w:t>同样，藉着以赛亚，父应许受苦的仆人，祂将“使祂与位大的同分”（以赛亚书 53:10-12）。</w:t>
      </w:r>
    </w:p>
    <w:p w14:paraId="36C6EC2C">
      <w:pPr>
        <w:tabs>
          <w:tab w:val="left" w:pos="2120"/>
        </w:tabs>
        <w:bidi w:val="0"/>
        <w:jc w:val="left"/>
        <w:rPr>
          <w:rFonts w:hint="eastAsia" w:eastAsia="宋体"/>
          <w:sz w:val="30"/>
          <w:szCs w:val="30"/>
          <w:lang w:eastAsia="zh-CN"/>
        </w:rPr>
      </w:pPr>
    </w:p>
    <w:p w14:paraId="315FDA20">
      <w:pPr>
        <w:tabs>
          <w:tab w:val="left" w:pos="2120"/>
        </w:tabs>
        <w:bidi w:val="0"/>
        <w:jc w:val="left"/>
        <w:rPr>
          <w:rFonts w:hint="eastAsia" w:eastAsia="宋体"/>
          <w:sz w:val="30"/>
          <w:szCs w:val="30"/>
          <w:lang w:eastAsia="zh-CN"/>
        </w:rPr>
      </w:pPr>
      <w:r>
        <w:rPr>
          <w:rFonts w:hint="eastAsia" w:eastAsia="宋体"/>
          <w:sz w:val="30"/>
          <w:szCs w:val="30"/>
          <w:lang w:eastAsia="zh-CN"/>
        </w:rPr>
        <w:t>All of this accords perfectly with the words of Jesus, who said that he had not come down out of heaven to do his own will, but the will of him who sent him, to the end that the Father might glorify the Son, and the Son might glorify the Father (John 6:37-39; cf. Psalm 2:7-9, 89:1- 37, Luke 22:24, John 17:4-12, Phil. 2:9-11)!</w:t>
      </w:r>
    </w:p>
    <w:p w14:paraId="44F6293E">
      <w:pPr>
        <w:tabs>
          <w:tab w:val="left" w:pos="2120"/>
        </w:tabs>
        <w:bidi w:val="0"/>
        <w:jc w:val="left"/>
        <w:rPr>
          <w:rFonts w:hint="eastAsia" w:eastAsia="宋体"/>
          <w:sz w:val="30"/>
          <w:szCs w:val="30"/>
          <w:lang w:eastAsia="zh-CN"/>
        </w:rPr>
      </w:pPr>
      <w:r>
        <w:rPr>
          <w:rFonts w:hint="eastAsia" w:eastAsia="宋体"/>
          <w:sz w:val="30"/>
          <w:szCs w:val="30"/>
          <w:lang w:eastAsia="zh-CN"/>
        </w:rPr>
        <w:t>所有这一切都与耶稣的话完全一致，祂说祂从天上降下来，不是要按自己的意思行，乃是要按那差祂来者的意思行，为要叫父荣耀子，子也荣耀父（约 6:37-39; 参 诗篇 2:7-9, 89:1-37, 路 22:24, 约 17:4-12, 腓 2:9-11）！</w:t>
      </w:r>
    </w:p>
    <w:p w14:paraId="32979983">
      <w:pPr>
        <w:tabs>
          <w:tab w:val="left" w:pos="2120"/>
        </w:tabs>
        <w:bidi w:val="0"/>
        <w:jc w:val="left"/>
        <w:rPr>
          <w:rFonts w:hint="eastAsia" w:eastAsia="宋体"/>
          <w:sz w:val="30"/>
          <w:szCs w:val="30"/>
          <w:lang w:eastAsia="zh-CN"/>
        </w:rPr>
      </w:pPr>
    </w:p>
    <w:p w14:paraId="43E2513E">
      <w:pPr>
        <w:tabs>
          <w:tab w:val="left" w:pos="2120"/>
        </w:tabs>
        <w:bidi w:val="0"/>
        <w:jc w:val="left"/>
        <w:rPr>
          <w:rFonts w:hint="eastAsia" w:eastAsia="宋体"/>
          <w:sz w:val="30"/>
          <w:szCs w:val="30"/>
          <w:lang w:eastAsia="zh-CN"/>
        </w:rPr>
      </w:pPr>
      <w:r>
        <w:rPr>
          <w:rFonts w:hint="eastAsia" w:eastAsia="宋体"/>
          <w:sz w:val="30"/>
          <w:szCs w:val="30"/>
          <w:lang w:eastAsia="zh-CN"/>
        </w:rPr>
        <w:t>So then, the ministry of Jesus Christ was (and is) in accordance with a covenant between the Father and the Son, into which both Persons entered before the creation of the world.</w:t>
      </w:r>
    </w:p>
    <w:p w14:paraId="1A9692FB">
      <w:pPr>
        <w:tabs>
          <w:tab w:val="left" w:pos="2120"/>
        </w:tabs>
        <w:bidi w:val="0"/>
        <w:jc w:val="left"/>
        <w:rPr>
          <w:rFonts w:hint="eastAsia" w:eastAsia="宋体"/>
          <w:sz w:val="30"/>
          <w:szCs w:val="30"/>
          <w:lang w:eastAsia="zh-CN"/>
        </w:rPr>
      </w:pPr>
      <w:r>
        <w:rPr>
          <w:rFonts w:hint="eastAsia" w:eastAsia="宋体"/>
          <w:sz w:val="30"/>
          <w:szCs w:val="30"/>
          <w:lang w:eastAsia="zh-CN"/>
        </w:rPr>
        <w:t>所以，耶稣基督的事工过去是（现在也是）依照父与子之间的约，两位格在创世以前就进入了这个约。</w:t>
      </w:r>
    </w:p>
    <w:p w14:paraId="7E1F9D0A">
      <w:pPr>
        <w:tabs>
          <w:tab w:val="left" w:pos="2120"/>
        </w:tabs>
        <w:bidi w:val="0"/>
        <w:jc w:val="left"/>
        <w:rPr>
          <w:rFonts w:hint="eastAsia" w:eastAsia="宋体"/>
          <w:sz w:val="30"/>
          <w:szCs w:val="30"/>
          <w:lang w:eastAsia="zh-CN"/>
        </w:rPr>
      </w:pPr>
    </w:p>
    <w:p w14:paraId="30A35DB6">
      <w:pPr>
        <w:tabs>
          <w:tab w:val="left" w:pos="2120"/>
        </w:tabs>
        <w:bidi w:val="0"/>
        <w:jc w:val="left"/>
        <w:rPr>
          <w:rFonts w:hint="eastAsia" w:eastAsia="宋体"/>
          <w:sz w:val="30"/>
          <w:szCs w:val="30"/>
          <w:lang w:eastAsia="zh-CN"/>
        </w:rPr>
      </w:pPr>
      <w:r>
        <w:rPr>
          <w:rFonts w:hint="eastAsia" w:eastAsia="宋体"/>
          <w:sz w:val="30"/>
          <w:szCs w:val="30"/>
          <w:lang w:eastAsia="zh-CN"/>
        </w:rPr>
        <w:t>While the Covenant of Redemption is doubtless an agreement between all three persons of the Trinity, the above texts suggest that in strictness the parties of this covenant are the Father and the Son, with the Father promising to anoint his incarnate Son with the Spirit, so that all the terms of the covenant may be fulfilled (Isaiah 42:1, Luke 1:35).</w:t>
      </w:r>
    </w:p>
    <w:p w14:paraId="135133D0">
      <w:pPr>
        <w:tabs>
          <w:tab w:val="left" w:pos="2120"/>
        </w:tabs>
        <w:bidi w:val="0"/>
        <w:jc w:val="left"/>
        <w:rPr>
          <w:rFonts w:hint="eastAsia" w:eastAsia="宋体"/>
          <w:sz w:val="30"/>
          <w:szCs w:val="30"/>
          <w:lang w:eastAsia="zh-CN"/>
        </w:rPr>
      </w:pPr>
      <w:r>
        <w:rPr>
          <w:rFonts w:hint="eastAsia" w:eastAsia="宋体"/>
          <w:sz w:val="30"/>
          <w:szCs w:val="30"/>
          <w:lang w:eastAsia="zh-CN"/>
        </w:rPr>
        <w:t>虽然救赎之约无疑是三位一体所有三个位格之间的协议，但上述经文表明，严格来说，此约的立约方是父与子，父应许用圣灵膏抹祂道成肉身的儿子，以便约的所有条款得以成全（以赛亚书 42:1, 路 1:35）。</w:t>
      </w:r>
    </w:p>
    <w:p w14:paraId="35660373">
      <w:pPr>
        <w:tabs>
          <w:tab w:val="left" w:pos="2120"/>
        </w:tabs>
        <w:bidi w:val="0"/>
        <w:jc w:val="left"/>
        <w:rPr>
          <w:rFonts w:hint="eastAsia" w:eastAsia="宋体"/>
          <w:sz w:val="30"/>
          <w:szCs w:val="30"/>
          <w:lang w:eastAsia="zh-CN"/>
        </w:rPr>
      </w:pPr>
    </w:p>
    <w:p w14:paraId="3BC3173C">
      <w:pPr>
        <w:tabs>
          <w:tab w:val="left" w:pos="2120"/>
        </w:tabs>
        <w:bidi w:val="0"/>
        <w:jc w:val="left"/>
        <w:rPr>
          <w:rFonts w:hint="eastAsia" w:eastAsia="宋体"/>
          <w:sz w:val="30"/>
          <w:szCs w:val="30"/>
          <w:lang w:eastAsia="zh-CN"/>
        </w:rPr>
      </w:pPr>
      <w:r>
        <w:rPr>
          <w:rFonts w:hint="eastAsia" w:eastAsia="宋体"/>
          <w:sz w:val="30"/>
          <w:szCs w:val="30"/>
          <w:lang w:eastAsia="zh-CN"/>
        </w:rPr>
        <w:t>As for the purpose of the Covenant of Redemption, we have seen that in the beginning God desired to honor his Son by making him Head over the entire creation, an event that would have occurred as soon as Adam had passed his probation in the Garden and eaten of the Tree of Life (John 5:23, Col. 1:16).</w:t>
      </w:r>
    </w:p>
    <w:p w14:paraId="777BA50A">
      <w:pPr>
        <w:tabs>
          <w:tab w:val="left" w:pos="2120"/>
        </w:tabs>
        <w:bidi w:val="0"/>
        <w:jc w:val="left"/>
        <w:rPr>
          <w:rFonts w:hint="eastAsia" w:eastAsia="宋体"/>
          <w:sz w:val="30"/>
          <w:szCs w:val="30"/>
          <w:lang w:eastAsia="zh-CN"/>
        </w:rPr>
      </w:pPr>
      <w:r>
        <w:rPr>
          <w:rFonts w:hint="eastAsia" w:eastAsia="宋体"/>
          <w:sz w:val="30"/>
          <w:szCs w:val="30"/>
          <w:lang w:eastAsia="zh-CN"/>
        </w:rPr>
        <w:t>至于救赎之约的目的，我们已经看到，在起初，上帝希望尊荣祂的儿子，立祂为全创造的元首，这件事本会在亚当通过了他在园中的察验并吃了生命树的果子之后立即发生（约 5:23, 西 1:16）。</w:t>
      </w:r>
    </w:p>
    <w:p w14:paraId="68EE8E20">
      <w:pPr>
        <w:tabs>
          <w:tab w:val="left" w:pos="2120"/>
        </w:tabs>
        <w:bidi w:val="0"/>
        <w:jc w:val="left"/>
        <w:rPr>
          <w:rFonts w:hint="eastAsia" w:eastAsia="宋体"/>
          <w:sz w:val="30"/>
          <w:szCs w:val="30"/>
          <w:lang w:eastAsia="zh-CN"/>
        </w:rPr>
      </w:pPr>
    </w:p>
    <w:p w14:paraId="1D34EBED">
      <w:pPr>
        <w:tabs>
          <w:tab w:val="left" w:pos="2120"/>
        </w:tabs>
        <w:bidi w:val="0"/>
        <w:jc w:val="left"/>
        <w:rPr>
          <w:rFonts w:hint="eastAsia" w:eastAsia="宋体"/>
          <w:sz w:val="30"/>
          <w:szCs w:val="30"/>
          <w:lang w:eastAsia="zh-CN"/>
        </w:rPr>
      </w:pPr>
      <w:r>
        <w:rPr>
          <w:rFonts w:hint="eastAsia" w:eastAsia="宋体"/>
          <w:sz w:val="30"/>
          <w:szCs w:val="30"/>
          <w:lang w:eastAsia="zh-CN"/>
        </w:rPr>
        <w:t>However, foreseeing Adam’s sin—and realizing that it threatened to frustrate his original purpose—God, in response, devised a further and distinctly redemptive plan.</w:t>
      </w:r>
    </w:p>
    <w:p w14:paraId="2327B1AB">
      <w:pPr>
        <w:tabs>
          <w:tab w:val="left" w:pos="2120"/>
        </w:tabs>
        <w:bidi w:val="0"/>
        <w:jc w:val="left"/>
        <w:rPr>
          <w:rFonts w:hint="eastAsia" w:eastAsia="宋体"/>
          <w:sz w:val="30"/>
          <w:szCs w:val="30"/>
          <w:lang w:eastAsia="zh-CN"/>
        </w:rPr>
      </w:pPr>
      <w:r>
        <w:rPr>
          <w:rFonts w:hint="eastAsia" w:eastAsia="宋体"/>
          <w:sz w:val="30"/>
          <w:szCs w:val="30"/>
          <w:lang w:eastAsia="zh-CN"/>
        </w:rPr>
        <w:t>然而，预见到亚当的罪——并意识到这罪威胁要挫败祂最初的旨意——上帝作为回应，设计了一个更进一步且明确是救赎性的计划。</w:t>
      </w:r>
    </w:p>
    <w:p w14:paraId="53D5470F">
      <w:pPr>
        <w:tabs>
          <w:tab w:val="left" w:pos="2120"/>
        </w:tabs>
        <w:bidi w:val="0"/>
        <w:jc w:val="left"/>
        <w:rPr>
          <w:rFonts w:hint="eastAsia" w:eastAsia="宋体"/>
          <w:sz w:val="30"/>
          <w:szCs w:val="30"/>
          <w:lang w:eastAsia="zh-CN"/>
        </w:rPr>
      </w:pPr>
    </w:p>
    <w:p w14:paraId="10775BC1">
      <w:pPr>
        <w:tabs>
          <w:tab w:val="left" w:pos="2120"/>
        </w:tabs>
        <w:bidi w:val="0"/>
        <w:jc w:val="left"/>
        <w:rPr>
          <w:rFonts w:hint="eastAsia" w:eastAsia="宋体"/>
          <w:sz w:val="30"/>
          <w:szCs w:val="30"/>
          <w:lang w:eastAsia="zh-CN"/>
        </w:rPr>
      </w:pPr>
      <w:r>
        <w:rPr>
          <w:rFonts w:hint="eastAsia" w:eastAsia="宋体"/>
          <w:sz w:val="30"/>
          <w:szCs w:val="30"/>
          <w:lang w:eastAsia="zh-CN"/>
        </w:rPr>
        <w:t>This too was in accordance with his eternal purpose, with the result that the Covenant of Redemption would not only fulfill God’s original desire for his Son and his creation, but also fulfill it in a manner that secured an even larger display of the manifold glory of the triune God.</w:t>
      </w:r>
    </w:p>
    <w:p w14:paraId="095F6077">
      <w:pPr>
        <w:tabs>
          <w:tab w:val="left" w:pos="2120"/>
        </w:tabs>
        <w:bidi w:val="0"/>
        <w:jc w:val="left"/>
        <w:rPr>
          <w:rFonts w:hint="eastAsia" w:eastAsia="宋体"/>
          <w:sz w:val="30"/>
          <w:szCs w:val="30"/>
          <w:lang w:eastAsia="zh-CN"/>
        </w:rPr>
      </w:pPr>
      <w:r>
        <w:rPr>
          <w:rFonts w:hint="eastAsia" w:eastAsia="宋体"/>
          <w:sz w:val="30"/>
          <w:szCs w:val="30"/>
          <w:lang w:eastAsia="zh-CN"/>
        </w:rPr>
        <w:t>这也符合祂永恒的旨意，其结果是，救赎之约不仅会成全上帝对祂的儿子和祂的创造物的最初愿望，而且会以一种确保三一上帝多重荣耀得到更大彰显的方式来成全它。</w:t>
      </w:r>
    </w:p>
    <w:p w14:paraId="5A8C0A67">
      <w:pPr>
        <w:tabs>
          <w:tab w:val="left" w:pos="2120"/>
        </w:tabs>
        <w:bidi w:val="0"/>
        <w:jc w:val="left"/>
        <w:rPr>
          <w:rFonts w:hint="eastAsia" w:eastAsia="宋体"/>
          <w:sz w:val="30"/>
          <w:szCs w:val="30"/>
          <w:lang w:eastAsia="zh-CN"/>
        </w:rPr>
      </w:pPr>
    </w:p>
    <w:p w14:paraId="7E5A123B">
      <w:pPr>
        <w:tabs>
          <w:tab w:val="left" w:pos="2120"/>
        </w:tabs>
        <w:bidi w:val="0"/>
        <w:jc w:val="left"/>
        <w:rPr>
          <w:rFonts w:hint="eastAsia" w:eastAsia="宋体"/>
          <w:sz w:val="30"/>
          <w:szCs w:val="30"/>
          <w:lang w:eastAsia="zh-CN"/>
        </w:rPr>
      </w:pPr>
      <w:r>
        <w:rPr>
          <w:rFonts w:hint="eastAsia" w:eastAsia="宋体"/>
          <w:sz w:val="30"/>
          <w:szCs w:val="30"/>
          <w:lang w:eastAsia="zh-CN"/>
        </w:rPr>
        <w:t>The display would include, on the one hand, his dreadful holiness, justice, wrath, and power; but also, on the other, the glories of his sovereign grace, mercy, wisdom, and steadfast love.</w:t>
      </w:r>
    </w:p>
    <w:p w14:paraId="4CBED723">
      <w:pPr>
        <w:tabs>
          <w:tab w:val="left" w:pos="2120"/>
        </w:tabs>
        <w:bidi w:val="0"/>
        <w:jc w:val="left"/>
        <w:rPr>
          <w:rFonts w:hint="eastAsia" w:eastAsia="宋体"/>
          <w:sz w:val="30"/>
          <w:szCs w:val="30"/>
          <w:lang w:eastAsia="zh-CN"/>
        </w:rPr>
      </w:pPr>
      <w:r>
        <w:rPr>
          <w:rFonts w:hint="eastAsia" w:eastAsia="宋体"/>
          <w:sz w:val="30"/>
          <w:szCs w:val="30"/>
          <w:lang w:eastAsia="zh-CN"/>
        </w:rPr>
        <w:t>这一彰显一方面会包括祂可畏的圣洁、公义、忿怒和权能；但另一方面，也包括祂至高恩典、怜悯、智慧和不变的爱的荣耀。</w:t>
      </w:r>
    </w:p>
    <w:p w14:paraId="33D1BFF4">
      <w:pPr>
        <w:tabs>
          <w:tab w:val="left" w:pos="2120"/>
        </w:tabs>
        <w:bidi w:val="0"/>
        <w:jc w:val="left"/>
        <w:rPr>
          <w:rFonts w:hint="eastAsia" w:eastAsia="宋体"/>
          <w:sz w:val="30"/>
          <w:szCs w:val="30"/>
          <w:lang w:eastAsia="zh-CN"/>
        </w:rPr>
      </w:pPr>
    </w:p>
    <w:p w14:paraId="0DBA810A">
      <w:pPr>
        <w:tabs>
          <w:tab w:val="left" w:pos="2120"/>
        </w:tabs>
        <w:bidi w:val="0"/>
        <w:jc w:val="left"/>
        <w:rPr>
          <w:rFonts w:hint="eastAsia" w:eastAsia="宋体"/>
          <w:sz w:val="30"/>
          <w:szCs w:val="30"/>
          <w:lang w:eastAsia="zh-CN"/>
        </w:rPr>
      </w:pPr>
      <w:r>
        <w:rPr>
          <w:rFonts w:hint="eastAsia" w:eastAsia="宋体"/>
          <w:sz w:val="30"/>
          <w:szCs w:val="30"/>
          <w:lang w:eastAsia="zh-CN"/>
        </w:rPr>
        <w:t>But how exactly does God achieve this great end?</w:t>
      </w:r>
    </w:p>
    <w:p w14:paraId="4CA1D43E">
      <w:pPr>
        <w:tabs>
          <w:tab w:val="left" w:pos="2120"/>
        </w:tabs>
        <w:bidi w:val="0"/>
        <w:jc w:val="left"/>
        <w:rPr>
          <w:rFonts w:hint="eastAsia" w:eastAsia="宋体"/>
          <w:sz w:val="30"/>
          <w:szCs w:val="30"/>
          <w:lang w:eastAsia="zh-CN"/>
        </w:rPr>
      </w:pPr>
      <w:r>
        <w:rPr>
          <w:rFonts w:hint="eastAsia" w:eastAsia="宋体"/>
          <w:sz w:val="30"/>
          <w:szCs w:val="30"/>
          <w:lang w:eastAsia="zh-CN"/>
        </w:rPr>
        <w:t>但上帝究竟是如何实现这一伟大目标的呢？</w:t>
      </w:r>
    </w:p>
    <w:p w14:paraId="1C0F4050">
      <w:pPr>
        <w:tabs>
          <w:tab w:val="left" w:pos="2120"/>
        </w:tabs>
        <w:bidi w:val="0"/>
        <w:jc w:val="left"/>
        <w:rPr>
          <w:rFonts w:hint="eastAsia" w:eastAsia="宋体"/>
          <w:sz w:val="30"/>
          <w:szCs w:val="30"/>
          <w:lang w:eastAsia="zh-CN"/>
        </w:rPr>
      </w:pPr>
    </w:p>
    <w:p w14:paraId="18CCF0A9">
      <w:pPr>
        <w:tabs>
          <w:tab w:val="left" w:pos="2120"/>
        </w:tabs>
        <w:bidi w:val="0"/>
        <w:jc w:val="left"/>
        <w:rPr>
          <w:rFonts w:hint="eastAsia" w:eastAsia="宋体"/>
          <w:sz w:val="30"/>
          <w:szCs w:val="30"/>
          <w:lang w:eastAsia="zh-CN"/>
        </w:rPr>
      </w:pPr>
      <w:r>
        <w:rPr>
          <w:rFonts w:hint="eastAsia" w:eastAsia="宋体"/>
          <w:sz w:val="30"/>
          <w:szCs w:val="30"/>
          <w:lang w:eastAsia="zh-CN"/>
        </w:rPr>
        <w:t>What, in essence, is his strategy for redeeming sinners enslaved to the Domain of Darkness?</w:t>
      </w:r>
    </w:p>
    <w:p w14:paraId="1B80198F">
      <w:pPr>
        <w:tabs>
          <w:tab w:val="left" w:pos="2120"/>
        </w:tabs>
        <w:bidi w:val="0"/>
        <w:jc w:val="left"/>
        <w:rPr>
          <w:rFonts w:hint="eastAsia" w:eastAsia="宋体"/>
          <w:sz w:val="30"/>
          <w:szCs w:val="30"/>
          <w:lang w:eastAsia="zh-CN"/>
        </w:rPr>
      </w:pPr>
      <w:r>
        <w:rPr>
          <w:rFonts w:hint="eastAsia" w:eastAsia="宋体"/>
          <w:sz w:val="30"/>
          <w:szCs w:val="30"/>
          <w:lang w:eastAsia="zh-CN"/>
        </w:rPr>
        <w:t>实质上，祂救赎那些被奴役于黑暗权势下的罪人的策略是什么？</w:t>
      </w:r>
    </w:p>
    <w:p w14:paraId="700FF787">
      <w:pPr>
        <w:tabs>
          <w:tab w:val="left" w:pos="2120"/>
        </w:tabs>
        <w:bidi w:val="0"/>
        <w:jc w:val="left"/>
        <w:rPr>
          <w:rFonts w:hint="eastAsia" w:eastAsia="宋体"/>
          <w:sz w:val="30"/>
          <w:szCs w:val="30"/>
          <w:lang w:eastAsia="zh-CN"/>
        </w:rPr>
      </w:pPr>
    </w:p>
    <w:p w14:paraId="1F994AD4">
      <w:pPr>
        <w:tabs>
          <w:tab w:val="left" w:pos="2120"/>
        </w:tabs>
        <w:bidi w:val="0"/>
        <w:jc w:val="left"/>
        <w:rPr>
          <w:rFonts w:hint="eastAsia" w:eastAsia="宋体"/>
          <w:sz w:val="30"/>
          <w:szCs w:val="30"/>
          <w:lang w:eastAsia="zh-CN"/>
        </w:rPr>
      </w:pPr>
      <w:r>
        <w:rPr>
          <w:rFonts w:hint="eastAsia" w:eastAsia="宋体"/>
          <w:sz w:val="30"/>
          <w:szCs w:val="30"/>
          <w:lang w:eastAsia="zh-CN"/>
        </w:rPr>
        <w:t>If I had to answer these questions in a single NT word, that word would be “recapitulation.”</w:t>
      </w:r>
    </w:p>
    <w:p w14:paraId="3235870B">
      <w:pPr>
        <w:tabs>
          <w:tab w:val="left" w:pos="2120"/>
        </w:tabs>
        <w:bidi w:val="0"/>
        <w:jc w:val="left"/>
        <w:rPr>
          <w:rFonts w:hint="eastAsia" w:eastAsia="宋体"/>
          <w:sz w:val="30"/>
          <w:szCs w:val="30"/>
          <w:lang w:eastAsia="zh-CN"/>
        </w:rPr>
      </w:pPr>
      <w:r>
        <w:rPr>
          <w:rFonts w:hint="eastAsia" w:eastAsia="宋体"/>
          <w:sz w:val="30"/>
          <w:szCs w:val="30"/>
          <w:lang w:eastAsia="zh-CN"/>
        </w:rPr>
        <w:t>如果我必须用一个新约词汇来回答这些问题，那个词将是“总括”。</w:t>
      </w:r>
    </w:p>
    <w:p w14:paraId="7DB3F046">
      <w:pPr>
        <w:tabs>
          <w:tab w:val="left" w:pos="2120"/>
        </w:tabs>
        <w:bidi w:val="0"/>
        <w:jc w:val="left"/>
        <w:rPr>
          <w:rFonts w:hint="eastAsia" w:eastAsia="宋体"/>
          <w:sz w:val="30"/>
          <w:szCs w:val="30"/>
          <w:lang w:eastAsia="zh-CN"/>
        </w:rPr>
      </w:pPr>
    </w:p>
    <w:p w14:paraId="3380C6B7">
      <w:pPr>
        <w:tabs>
          <w:tab w:val="left" w:pos="2120"/>
        </w:tabs>
        <w:bidi w:val="0"/>
        <w:jc w:val="left"/>
        <w:rPr>
          <w:rFonts w:hint="eastAsia" w:eastAsia="宋体"/>
          <w:sz w:val="30"/>
          <w:szCs w:val="30"/>
          <w:lang w:eastAsia="zh-CN"/>
        </w:rPr>
      </w:pPr>
      <w:r>
        <w:rPr>
          <w:rFonts w:hint="eastAsia" w:eastAsia="宋体"/>
          <w:sz w:val="30"/>
          <w:szCs w:val="30"/>
          <w:lang w:eastAsia="zh-CN"/>
        </w:rPr>
        <w:t>It comes to us through the apostle Paul, who identified God’s supreme goal in Salvation History as “… the re-heading up (Greek: anakephalaio) of all things in Christ, things in the heavens and things upon the earth” (Eph. 1:10).</w:t>
      </w:r>
    </w:p>
    <w:p w14:paraId="6163A8D8">
      <w:pPr>
        <w:tabs>
          <w:tab w:val="left" w:pos="2120"/>
        </w:tabs>
        <w:bidi w:val="0"/>
        <w:jc w:val="left"/>
        <w:rPr>
          <w:rFonts w:hint="eastAsia" w:eastAsia="宋体"/>
          <w:sz w:val="30"/>
          <w:szCs w:val="30"/>
          <w:lang w:eastAsia="zh-CN"/>
        </w:rPr>
      </w:pPr>
      <w:r>
        <w:rPr>
          <w:rFonts w:hint="eastAsia" w:eastAsia="宋体"/>
          <w:sz w:val="30"/>
          <w:szCs w:val="30"/>
          <w:lang w:eastAsia="zh-CN"/>
        </w:rPr>
        <w:t>它来自使徒保罗，他将上帝在救赎历史中的至高目标确定为“……使天上、地上、一切所有的都在基督里面同归于一（希腊文：anakephalaio）”（弗 1:10）。</w:t>
      </w:r>
    </w:p>
    <w:p w14:paraId="47A04D09">
      <w:pPr>
        <w:tabs>
          <w:tab w:val="left" w:pos="2120"/>
        </w:tabs>
        <w:bidi w:val="0"/>
        <w:jc w:val="left"/>
        <w:rPr>
          <w:rFonts w:hint="eastAsia" w:eastAsia="宋体"/>
          <w:sz w:val="30"/>
          <w:szCs w:val="30"/>
          <w:lang w:eastAsia="zh-CN"/>
        </w:rPr>
      </w:pPr>
    </w:p>
    <w:p w14:paraId="1D802CE7">
      <w:pPr>
        <w:tabs>
          <w:tab w:val="left" w:pos="2120"/>
        </w:tabs>
        <w:bidi w:val="0"/>
        <w:jc w:val="left"/>
        <w:rPr>
          <w:rFonts w:hint="eastAsia" w:eastAsia="宋体"/>
          <w:sz w:val="30"/>
          <w:szCs w:val="30"/>
          <w:lang w:eastAsia="zh-CN"/>
        </w:rPr>
      </w:pPr>
      <w:r>
        <w:rPr>
          <w:rFonts w:hint="eastAsia" w:eastAsia="宋体"/>
          <w:sz w:val="30"/>
          <w:szCs w:val="30"/>
          <w:lang w:eastAsia="zh-CN"/>
        </w:rPr>
        <w:t>He means that the thrust of Salvation History is nothing less than to transfer a chosen people and their world out from under Adam’s headship (and from all the spiritual and physical enemies to which he subjected them), and thereafter to place them under Christ’s headship (and under all the spiritual and physical friends that his benevolent rule represents).</w:t>
      </w:r>
    </w:p>
    <w:p w14:paraId="3BF7FB1F">
      <w:pPr>
        <w:tabs>
          <w:tab w:val="left" w:pos="2120"/>
        </w:tabs>
        <w:bidi w:val="0"/>
        <w:jc w:val="left"/>
        <w:rPr>
          <w:rFonts w:hint="eastAsia" w:eastAsia="宋体"/>
          <w:sz w:val="30"/>
          <w:szCs w:val="30"/>
          <w:lang w:eastAsia="zh-CN"/>
        </w:rPr>
      </w:pPr>
      <w:r>
        <w:rPr>
          <w:rFonts w:hint="eastAsia" w:eastAsia="宋体"/>
          <w:sz w:val="30"/>
          <w:szCs w:val="30"/>
          <w:lang w:eastAsia="zh-CN"/>
        </w:rPr>
        <w:t>他的意思是，救赎历史的主旨无非是将一群被拣选的子民和他们的世界从亚当的元首地位下（以及从他使他们屈服于其下的所有属灵和属世的仇敌中）转移出来，然后将他们置于基督的元首地位之下（以及在祂仁慈统治所代表的所有属灵和属世的朋友之下）。</w:t>
      </w:r>
    </w:p>
    <w:p w14:paraId="18D84D1E">
      <w:pPr>
        <w:tabs>
          <w:tab w:val="left" w:pos="2120"/>
        </w:tabs>
        <w:bidi w:val="0"/>
        <w:jc w:val="left"/>
        <w:rPr>
          <w:rFonts w:hint="eastAsia" w:eastAsia="宋体"/>
          <w:sz w:val="30"/>
          <w:szCs w:val="30"/>
          <w:lang w:eastAsia="zh-CN"/>
        </w:rPr>
      </w:pPr>
    </w:p>
    <w:p w14:paraId="33C21B7A">
      <w:pPr>
        <w:tabs>
          <w:tab w:val="left" w:pos="2120"/>
        </w:tabs>
        <w:bidi w:val="0"/>
        <w:jc w:val="left"/>
        <w:rPr>
          <w:rFonts w:hint="eastAsia" w:eastAsia="宋体"/>
          <w:sz w:val="30"/>
          <w:szCs w:val="30"/>
          <w:lang w:eastAsia="zh-CN"/>
        </w:rPr>
      </w:pPr>
      <w:r>
        <w:rPr>
          <w:rFonts w:hint="eastAsia" w:eastAsia="宋体"/>
          <w:sz w:val="30"/>
          <w:szCs w:val="30"/>
          <w:lang w:eastAsia="zh-CN"/>
        </w:rPr>
        <w:t>However—and this is of great importance—God cannot simply do this at will.</w:t>
      </w:r>
    </w:p>
    <w:p w14:paraId="2FBEA507">
      <w:pPr>
        <w:tabs>
          <w:tab w:val="left" w:pos="2120"/>
        </w:tabs>
        <w:bidi w:val="0"/>
        <w:jc w:val="left"/>
        <w:rPr>
          <w:rFonts w:hint="eastAsia" w:eastAsia="宋体"/>
          <w:sz w:val="30"/>
          <w:szCs w:val="30"/>
          <w:lang w:eastAsia="zh-CN"/>
        </w:rPr>
      </w:pPr>
      <w:r>
        <w:rPr>
          <w:rFonts w:hint="eastAsia" w:eastAsia="宋体"/>
          <w:sz w:val="30"/>
          <w:szCs w:val="30"/>
          <w:lang w:eastAsia="zh-CN"/>
        </w:rPr>
        <w:t>然而——这一点非常重要——上帝不能随心所欲地这样做。</w:t>
      </w:r>
    </w:p>
    <w:p w14:paraId="4BBFA474">
      <w:pPr>
        <w:tabs>
          <w:tab w:val="left" w:pos="2120"/>
        </w:tabs>
        <w:bidi w:val="0"/>
        <w:jc w:val="left"/>
        <w:rPr>
          <w:rFonts w:hint="eastAsia" w:eastAsia="宋体"/>
          <w:sz w:val="30"/>
          <w:szCs w:val="30"/>
          <w:lang w:eastAsia="zh-CN"/>
        </w:rPr>
      </w:pPr>
    </w:p>
    <w:p w14:paraId="6095A680">
      <w:pPr>
        <w:tabs>
          <w:tab w:val="left" w:pos="2120"/>
        </w:tabs>
        <w:bidi w:val="0"/>
        <w:jc w:val="left"/>
        <w:rPr>
          <w:rFonts w:hint="eastAsia" w:eastAsia="宋体"/>
          <w:sz w:val="30"/>
          <w:szCs w:val="30"/>
          <w:lang w:eastAsia="zh-CN"/>
        </w:rPr>
      </w:pPr>
      <w:r>
        <w:rPr>
          <w:rFonts w:hint="eastAsia" w:eastAsia="宋体"/>
          <w:sz w:val="30"/>
          <w:szCs w:val="30"/>
          <w:lang w:eastAsia="zh-CN"/>
        </w:rPr>
        <w:t>No, first he must provide, as it were, a legal basis for the great transfer.</w:t>
      </w:r>
    </w:p>
    <w:p w14:paraId="149574B9">
      <w:pPr>
        <w:tabs>
          <w:tab w:val="left" w:pos="2120"/>
        </w:tabs>
        <w:bidi w:val="0"/>
        <w:jc w:val="left"/>
        <w:rPr>
          <w:rFonts w:hint="eastAsia" w:eastAsia="宋体"/>
          <w:sz w:val="30"/>
          <w:szCs w:val="30"/>
          <w:lang w:eastAsia="zh-CN"/>
        </w:rPr>
      </w:pPr>
      <w:r>
        <w:rPr>
          <w:rFonts w:hint="eastAsia" w:eastAsia="宋体"/>
          <w:sz w:val="30"/>
          <w:szCs w:val="30"/>
          <w:lang w:eastAsia="zh-CN"/>
        </w:rPr>
        <w:t>不，首先祂必须，可说，为这伟大的转移提供一个法律基础。</w:t>
      </w:r>
    </w:p>
    <w:p w14:paraId="7A521EA9">
      <w:pPr>
        <w:tabs>
          <w:tab w:val="left" w:pos="2120"/>
        </w:tabs>
        <w:bidi w:val="0"/>
        <w:jc w:val="left"/>
        <w:rPr>
          <w:rFonts w:hint="eastAsia" w:eastAsia="宋体"/>
          <w:sz w:val="30"/>
          <w:szCs w:val="30"/>
          <w:lang w:eastAsia="zh-CN"/>
        </w:rPr>
      </w:pPr>
    </w:p>
    <w:p w14:paraId="78A4FE23">
      <w:pPr>
        <w:tabs>
          <w:tab w:val="left" w:pos="2120"/>
        </w:tabs>
        <w:bidi w:val="0"/>
        <w:jc w:val="left"/>
        <w:rPr>
          <w:rFonts w:hint="eastAsia" w:eastAsia="宋体"/>
          <w:sz w:val="30"/>
          <w:szCs w:val="30"/>
          <w:lang w:eastAsia="zh-CN"/>
        </w:rPr>
      </w:pPr>
      <w:r>
        <w:rPr>
          <w:rFonts w:hint="eastAsia" w:eastAsia="宋体"/>
          <w:sz w:val="30"/>
          <w:szCs w:val="30"/>
          <w:lang w:eastAsia="zh-CN"/>
        </w:rPr>
        <w:t>In particular, he must find a way lawfully to bestow upon his people the prize of eternal life that their father Adam forfeited in Eden.</w:t>
      </w:r>
    </w:p>
    <w:p w14:paraId="46A87883">
      <w:pPr>
        <w:tabs>
          <w:tab w:val="left" w:pos="2120"/>
        </w:tabs>
        <w:bidi w:val="0"/>
        <w:jc w:val="left"/>
        <w:rPr>
          <w:rFonts w:hint="eastAsia" w:eastAsia="宋体"/>
          <w:sz w:val="30"/>
          <w:szCs w:val="30"/>
          <w:lang w:eastAsia="zh-CN"/>
        </w:rPr>
      </w:pPr>
      <w:r>
        <w:rPr>
          <w:rFonts w:hint="eastAsia" w:eastAsia="宋体"/>
          <w:sz w:val="30"/>
          <w:szCs w:val="30"/>
          <w:lang w:eastAsia="zh-CN"/>
        </w:rPr>
        <w:t>具体来说，祂必须找到一种合法的方式，将他们的父亚当在伊甸园中丧失的永生奖赏赐给祂的子民。</w:t>
      </w:r>
    </w:p>
    <w:p w14:paraId="0B1BAE74">
      <w:pPr>
        <w:tabs>
          <w:tab w:val="left" w:pos="2120"/>
        </w:tabs>
        <w:bidi w:val="0"/>
        <w:jc w:val="left"/>
        <w:rPr>
          <w:rFonts w:hint="eastAsia" w:eastAsia="宋体"/>
          <w:sz w:val="30"/>
          <w:szCs w:val="30"/>
          <w:lang w:eastAsia="zh-CN"/>
        </w:rPr>
      </w:pPr>
    </w:p>
    <w:p w14:paraId="0933CDDD">
      <w:pPr>
        <w:tabs>
          <w:tab w:val="left" w:pos="2120"/>
        </w:tabs>
        <w:bidi w:val="0"/>
        <w:jc w:val="left"/>
        <w:rPr>
          <w:rFonts w:hint="eastAsia" w:eastAsia="宋体"/>
          <w:sz w:val="30"/>
          <w:szCs w:val="30"/>
          <w:lang w:eastAsia="zh-CN"/>
        </w:rPr>
      </w:pPr>
      <w:r>
        <w:rPr>
          <w:rFonts w:hint="eastAsia" w:eastAsia="宋体"/>
          <w:sz w:val="30"/>
          <w:szCs w:val="30"/>
          <w:lang w:eastAsia="zh-CN"/>
        </w:rPr>
        <w:t>Similarly, he must find a way lawfully not only to forgive their sin, but also the sin of Adam that was imputed to them.</w:t>
      </w:r>
    </w:p>
    <w:p w14:paraId="1A9429F8">
      <w:pPr>
        <w:tabs>
          <w:tab w:val="left" w:pos="2120"/>
        </w:tabs>
        <w:bidi w:val="0"/>
        <w:jc w:val="left"/>
        <w:rPr>
          <w:rFonts w:hint="eastAsia" w:eastAsia="宋体"/>
          <w:sz w:val="30"/>
          <w:szCs w:val="30"/>
          <w:lang w:eastAsia="zh-CN"/>
        </w:rPr>
      </w:pPr>
      <w:r>
        <w:rPr>
          <w:rFonts w:hint="eastAsia" w:eastAsia="宋体"/>
          <w:sz w:val="30"/>
          <w:szCs w:val="30"/>
          <w:lang w:eastAsia="zh-CN"/>
        </w:rPr>
        <w:t>同样，祂必须找到一种合法的方式，不仅赦免他们的罪，也赦免归算给他们的亚当之罪。</w:t>
      </w:r>
    </w:p>
    <w:p w14:paraId="1042E812">
      <w:pPr>
        <w:tabs>
          <w:tab w:val="left" w:pos="2120"/>
        </w:tabs>
        <w:bidi w:val="0"/>
        <w:jc w:val="left"/>
        <w:rPr>
          <w:rFonts w:hint="eastAsia" w:eastAsia="宋体"/>
          <w:sz w:val="30"/>
          <w:szCs w:val="30"/>
          <w:lang w:eastAsia="zh-CN"/>
        </w:rPr>
      </w:pPr>
    </w:p>
    <w:p w14:paraId="2252A170">
      <w:pPr>
        <w:tabs>
          <w:tab w:val="left" w:pos="2120"/>
        </w:tabs>
        <w:bidi w:val="0"/>
        <w:jc w:val="left"/>
        <w:rPr>
          <w:rFonts w:hint="eastAsia" w:eastAsia="宋体"/>
          <w:sz w:val="30"/>
          <w:szCs w:val="30"/>
          <w:lang w:eastAsia="zh-CN"/>
        </w:rPr>
      </w:pPr>
      <w:r>
        <w:rPr>
          <w:rFonts w:hint="eastAsia" w:eastAsia="宋体"/>
          <w:sz w:val="30"/>
          <w:szCs w:val="30"/>
          <w:lang w:eastAsia="zh-CN"/>
        </w:rPr>
        <w:t>Here, then, is where the recapitulation enters the picture.</w:t>
      </w:r>
    </w:p>
    <w:p w14:paraId="61E7347D">
      <w:pPr>
        <w:tabs>
          <w:tab w:val="left" w:pos="2120"/>
        </w:tabs>
        <w:bidi w:val="0"/>
        <w:jc w:val="left"/>
        <w:rPr>
          <w:rFonts w:hint="eastAsia" w:eastAsia="宋体"/>
          <w:sz w:val="30"/>
          <w:szCs w:val="30"/>
          <w:lang w:eastAsia="zh-CN"/>
        </w:rPr>
      </w:pPr>
      <w:r>
        <w:rPr>
          <w:rFonts w:hint="eastAsia" w:eastAsia="宋体"/>
          <w:sz w:val="30"/>
          <w:szCs w:val="30"/>
          <w:lang w:eastAsia="zh-CN"/>
        </w:rPr>
        <w:t>于是，总括就在这里登场了。</w:t>
      </w:r>
    </w:p>
    <w:p w14:paraId="314C7D11">
      <w:pPr>
        <w:tabs>
          <w:tab w:val="left" w:pos="2120"/>
        </w:tabs>
        <w:bidi w:val="0"/>
        <w:jc w:val="left"/>
        <w:rPr>
          <w:rFonts w:hint="eastAsia" w:eastAsia="宋体"/>
          <w:sz w:val="30"/>
          <w:szCs w:val="30"/>
          <w:lang w:eastAsia="zh-CN"/>
        </w:rPr>
      </w:pPr>
    </w:p>
    <w:p w14:paraId="5B3A56AD">
      <w:pPr>
        <w:tabs>
          <w:tab w:val="left" w:pos="2120"/>
        </w:tabs>
        <w:bidi w:val="0"/>
        <w:jc w:val="left"/>
        <w:rPr>
          <w:rFonts w:hint="eastAsia" w:eastAsia="宋体"/>
          <w:sz w:val="30"/>
          <w:szCs w:val="30"/>
          <w:lang w:eastAsia="zh-CN"/>
        </w:rPr>
      </w:pPr>
      <w:r>
        <w:rPr>
          <w:rFonts w:hint="eastAsia" w:eastAsia="宋体"/>
          <w:sz w:val="30"/>
          <w:szCs w:val="30"/>
          <w:lang w:eastAsia="zh-CN"/>
        </w:rPr>
        <w:t>So that a lawful redemption may be accomplished, the Father determined to send his Son into the world as a man, in order that he (the Son) might become another Adam, a better Adam, and the Last Adam; the Last Adam who, in behalf of his people and their world, not only does what the first Adam failed to do, but also manages to undo all that the first Adam (and his chosen seed) had done (1 Cor. 15:45, Gal. 4:4f).</w:t>
      </w:r>
    </w:p>
    <w:p w14:paraId="26000433">
      <w:pPr>
        <w:tabs>
          <w:tab w:val="left" w:pos="2120"/>
        </w:tabs>
        <w:bidi w:val="0"/>
        <w:jc w:val="left"/>
        <w:rPr>
          <w:rFonts w:hint="eastAsia" w:eastAsia="宋体"/>
          <w:sz w:val="30"/>
          <w:szCs w:val="30"/>
          <w:lang w:eastAsia="zh-CN"/>
        </w:rPr>
      </w:pPr>
      <w:r>
        <w:rPr>
          <w:rFonts w:hint="eastAsia" w:eastAsia="宋体"/>
          <w:sz w:val="30"/>
          <w:szCs w:val="30"/>
          <w:lang w:eastAsia="zh-CN"/>
        </w:rPr>
        <w:t>为了完成合法的救赎，父定意差遣祂的儿子作为一个人进入世界，为要使祂（子）成为另一个亚当，一个更美的亚当，以及末后的亚当；这位末后的亚当，代表祂的子民和他们的世界，不仅做了首先的亚当没有做到的事，还设法撤销了首先的亚当（和他被拣选的后裔）所做的一切（林前 15:45, 加 4:4f）。</w:t>
      </w:r>
    </w:p>
    <w:p w14:paraId="78CFE497">
      <w:pPr>
        <w:tabs>
          <w:tab w:val="left" w:pos="2120"/>
        </w:tabs>
        <w:bidi w:val="0"/>
        <w:jc w:val="left"/>
        <w:rPr>
          <w:rFonts w:hint="eastAsia" w:eastAsia="宋体"/>
          <w:sz w:val="30"/>
          <w:szCs w:val="30"/>
          <w:lang w:eastAsia="zh-CN"/>
        </w:rPr>
      </w:pPr>
    </w:p>
    <w:p w14:paraId="163D92F8">
      <w:pPr>
        <w:tabs>
          <w:tab w:val="left" w:pos="2120"/>
        </w:tabs>
        <w:bidi w:val="0"/>
        <w:jc w:val="left"/>
        <w:rPr>
          <w:rFonts w:hint="eastAsia" w:eastAsia="宋体"/>
          <w:sz w:val="30"/>
          <w:szCs w:val="30"/>
          <w:lang w:eastAsia="zh-CN"/>
        </w:rPr>
      </w:pPr>
      <w:r>
        <w:rPr>
          <w:rFonts w:hint="eastAsia" w:eastAsia="宋体"/>
          <w:sz w:val="30"/>
          <w:szCs w:val="30"/>
          <w:lang w:eastAsia="zh-CN"/>
        </w:rPr>
        <w:t>Thus, God’s redemptive strategy was, as it were, to start from scratch, to create a new and better Head for a new and better humanity and their world.</w:t>
      </w:r>
    </w:p>
    <w:p w14:paraId="00222A69">
      <w:pPr>
        <w:tabs>
          <w:tab w:val="left" w:pos="2120"/>
        </w:tabs>
        <w:bidi w:val="0"/>
        <w:jc w:val="left"/>
        <w:rPr>
          <w:rFonts w:hint="eastAsia" w:eastAsia="宋体"/>
          <w:sz w:val="30"/>
          <w:szCs w:val="30"/>
          <w:lang w:eastAsia="zh-CN"/>
        </w:rPr>
      </w:pPr>
      <w:r>
        <w:rPr>
          <w:rFonts w:hint="eastAsia" w:eastAsia="宋体"/>
          <w:sz w:val="30"/>
          <w:szCs w:val="30"/>
          <w:lang w:eastAsia="zh-CN"/>
        </w:rPr>
        <w:t>因此，上帝的救赎策略，可说，是从头开始，为一个新的、更美的人类和他们的世界创造一位新的、更美的元首。</w:t>
      </w:r>
    </w:p>
    <w:p w14:paraId="7A65AF8A">
      <w:pPr>
        <w:tabs>
          <w:tab w:val="left" w:pos="2120"/>
        </w:tabs>
        <w:bidi w:val="0"/>
        <w:jc w:val="left"/>
        <w:rPr>
          <w:rFonts w:hint="eastAsia" w:eastAsia="宋体"/>
          <w:sz w:val="30"/>
          <w:szCs w:val="30"/>
          <w:lang w:eastAsia="zh-CN"/>
        </w:rPr>
      </w:pPr>
    </w:p>
    <w:p w14:paraId="48C09318">
      <w:pPr>
        <w:tabs>
          <w:tab w:val="left" w:pos="2120"/>
        </w:tabs>
        <w:bidi w:val="0"/>
        <w:jc w:val="left"/>
        <w:rPr>
          <w:rFonts w:hint="eastAsia" w:eastAsia="宋体"/>
          <w:sz w:val="30"/>
          <w:szCs w:val="30"/>
          <w:lang w:eastAsia="zh-CN"/>
        </w:rPr>
      </w:pPr>
      <w:r>
        <w:rPr>
          <w:rFonts w:hint="eastAsia" w:eastAsia="宋体"/>
          <w:sz w:val="30"/>
          <w:szCs w:val="30"/>
          <w:lang w:eastAsia="zh-CN"/>
        </w:rPr>
        <w:t>In short, he decided to “recapitulate” the universe itself!</w:t>
      </w:r>
    </w:p>
    <w:p w14:paraId="37FACE0D">
      <w:pPr>
        <w:tabs>
          <w:tab w:val="left" w:pos="2120"/>
        </w:tabs>
        <w:bidi w:val="0"/>
        <w:jc w:val="left"/>
        <w:rPr>
          <w:rFonts w:hint="eastAsia" w:eastAsia="宋体"/>
          <w:sz w:val="30"/>
          <w:szCs w:val="30"/>
          <w:lang w:eastAsia="zh-CN"/>
        </w:rPr>
      </w:pPr>
      <w:r>
        <w:rPr>
          <w:rFonts w:hint="eastAsia" w:eastAsia="宋体"/>
          <w:sz w:val="30"/>
          <w:szCs w:val="30"/>
          <w:lang w:eastAsia="zh-CN"/>
        </w:rPr>
        <w:t>简而言之，祂决定“总括”整个宇宙！</w:t>
      </w:r>
    </w:p>
    <w:p w14:paraId="55D6C878">
      <w:pPr>
        <w:tabs>
          <w:tab w:val="left" w:pos="2120"/>
        </w:tabs>
        <w:bidi w:val="0"/>
        <w:jc w:val="left"/>
        <w:rPr>
          <w:rFonts w:hint="eastAsia" w:eastAsia="宋体"/>
          <w:sz w:val="30"/>
          <w:szCs w:val="30"/>
          <w:lang w:eastAsia="zh-CN"/>
        </w:rPr>
      </w:pPr>
    </w:p>
    <w:p w14:paraId="31C6A8BD">
      <w:pPr>
        <w:tabs>
          <w:tab w:val="left" w:pos="2120"/>
        </w:tabs>
        <w:bidi w:val="0"/>
        <w:jc w:val="left"/>
        <w:rPr>
          <w:rFonts w:hint="eastAsia" w:eastAsia="宋体"/>
          <w:sz w:val="30"/>
          <w:szCs w:val="30"/>
          <w:lang w:eastAsia="zh-CN"/>
        </w:rPr>
      </w:pPr>
      <w:r>
        <w:rPr>
          <w:rFonts w:hint="eastAsia" w:eastAsia="宋体"/>
          <w:sz w:val="30"/>
          <w:szCs w:val="30"/>
          <w:lang w:eastAsia="zh-CN"/>
        </w:rPr>
        <w:t>With this great goal in view, the Father—who stands as the supreme authority within the Godhead—set forth the proviso (or demand) of the Covenant of Redemption.</w:t>
      </w:r>
    </w:p>
    <w:p w14:paraId="378BBC36">
      <w:pPr>
        <w:tabs>
          <w:tab w:val="left" w:pos="2120"/>
        </w:tabs>
        <w:bidi w:val="0"/>
        <w:jc w:val="left"/>
        <w:rPr>
          <w:rFonts w:hint="eastAsia" w:eastAsia="宋体"/>
          <w:sz w:val="30"/>
          <w:szCs w:val="30"/>
          <w:lang w:eastAsia="zh-CN"/>
        </w:rPr>
      </w:pPr>
      <w:r>
        <w:rPr>
          <w:rFonts w:hint="eastAsia" w:eastAsia="宋体"/>
          <w:sz w:val="30"/>
          <w:szCs w:val="30"/>
          <w:lang w:eastAsia="zh-CN"/>
        </w:rPr>
        <w:t>怀着这个伟大的目标，作为神格内至高权威的父，提出了救赎之约的附带条件（或要求）。</w:t>
      </w:r>
    </w:p>
    <w:p w14:paraId="48F3F4A4">
      <w:pPr>
        <w:tabs>
          <w:tab w:val="left" w:pos="2120"/>
        </w:tabs>
        <w:bidi w:val="0"/>
        <w:jc w:val="left"/>
        <w:rPr>
          <w:rFonts w:hint="eastAsia" w:eastAsia="宋体"/>
          <w:sz w:val="30"/>
          <w:szCs w:val="30"/>
          <w:lang w:eastAsia="zh-CN"/>
        </w:rPr>
      </w:pPr>
    </w:p>
    <w:p w14:paraId="710C98C7">
      <w:pPr>
        <w:tabs>
          <w:tab w:val="left" w:pos="2120"/>
        </w:tabs>
        <w:bidi w:val="0"/>
        <w:jc w:val="left"/>
        <w:rPr>
          <w:rFonts w:hint="eastAsia" w:eastAsia="宋体"/>
          <w:sz w:val="30"/>
          <w:szCs w:val="30"/>
          <w:lang w:eastAsia="zh-CN"/>
        </w:rPr>
      </w:pPr>
      <w:r>
        <w:rPr>
          <w:rFonts w:hint="eastAsia" w:eastAsia="宋体"/>
          <w:sz w:val="30"/>
          <w:szCs w:val="30"/>
          <w:lang w:eastAsia="zh-CN"/>
        </w:rPr>
        <w:t>In particular, he required of his Son a perfect twofold obedience, in order that he might accomplish a perfect, full-orbed redemption (John 10:18).</w:t>
      </w:r>
    </w:p>
    <w:p w14:paraId="3401E0A7">
      <w:pPr>
        <w:tabs>
          <w:tab w:val="left" w:pos="2120"/>
        </w:tabs>
        <w:bidi w:val="0"/>
        <w:jc w:val="left"/>
        <w:rPr>
          <w:rFonts w:hint="eastAsia" w:eastAsia="宋体"/>
          <w:sz w:val="30"/>
          <w:szCs w:val="30"/>
          <w:lang w:eastAsia="zh-CN"/>
        </w:rPr>
      </w:pPr>
      <w:r>
        <w:rPr>
          <w:rFonts w:hint="eastAsia" w:eastAsia="宋体"/>
          <w:sz w:val="30"/>
          <w:szCs w:val="30"/>
          <w:lang w:eastAsia="zh-CN"/>
        </w:rPr>
        <w:t>具体来说，祂要求祂的儿子有完美的双重顺服，以便祂可以完成一个完美的、全方位的救赎（约 10:18）。</w:t>
      </w:r>
    </w:p>
    <w:p w14:paraId="703A8AA7">
      <w:pPr>
        <w:tabs>
          <w:tab w:val="left" w:pos="2120"/>
        </w:tabs>
        <w:bidi w:val="0"/>
        <w:jc w:val="left"/>
        <w:rPr>
          <w:rFonts w:hint="eastAsia" w:eastAsia="宋体"/>
          <w:sz w:val="30"/>
          <w:szCs w:val="30"/>
          <w:lang w:eastAsia="zh-CN"/>
        </w:rPr>
      </w:pPr>
    </w:p>
    <w:p w14:paraId="47BF607A">
      <w:pPr>
        <w:tabs>
          <w:tab w:val="left" w:pos="2120"/>
        </w:tabs>
        <w:bidi w:val="0"/>
        <w:jc w:val="left"/>
        <w:rPr>
          <w:rFonts w:hint="eastAsia" w:eastAsia="宋体"/>
          <w:sz w:val="30"/>
          <w:szCs w:val="30"/>
          <w:lang w:eastAsia="zh-CN"/>
        </w:rPr>
      </w:pPr>
      <w:r>
        <w:rPr>
          <w:rFonts w:hint="eastAsia" w:eastAsia="宋体"/>
          <w:sz w:val="30"/>
          <w:szCs w:val="30"/>
          <w:lang w:eastAsia="zh-CN"/>
        </w:rPr>
        <w:t>The first part would be an active obedience.</w:t>
      </w:r>
    </w:p>
    <w:p w14:paraId="675BDC12">
      <w:pPr>
        <w:tabs>
          <w:tab w:val="left" w:pos="2120"/>
        </w:tabs>
        <w:bidi w:val="0"/>
        <w:jc w:val="left"/>
        <w:rPr>
          <w:rFonts w:hint="eastAsia" w:eastAsia="宋体"/>
          <w:sz w:val="30"/>
          <w:szCs w:val="30"/>
          <w:lang w:eastAsia="zh-CN"/>
        </w:rPr>
      </w:pPr>
      <w:r>
        <w:rPr>
          <w:rFonts w:hint="eastAsia" w:eastAsia="宋体"/>
          <w:sz w:val="30"/>
          <w:szCs w:val="30"/>
          <w:lang w:eastAsia="zh-CN"/>
        </w:rPr>
        <w:t>第一部分是主动的顺服。</w:t>
      </w:r>
    </w:p>
    <w:p w14:paraId="76F8A05E">
      <w:pPr>
        <w:tabs>
          <w:tab w:val="left" w:pos="2120"/>
        </w:tabs>
        <w:bidi w:val="0"/>
        <w:jc w:val="left"/>
        <w:rPr>
          <w:rFonts w:hint="eastAsia" w:eastAsia="宋体"/>
          <w:sz w:val="30"/>
          <w:szCs w:val="30"/>
          <w:lang w:eastAsia="zh-CN"/>
        </w:rPr>
      </w:pPr>
    </w:p>
    <w:p w14:paraId="68C70A63">
      <w:pPr>
        <w:tabs>
          <w:tab w:val="left" w:pos="2120"/>
        </w:tabs>
        <w:bidi w:val="0"/>
        <w:jc w:val="left"/>
        <w:rPr>
          <w:rFonts w:hint="eastAsia" w:eastAsia="宋体"/>
          <w:sz w:val="30"/>
          <w:szCs w:val="30"/>
          <w:lang w:eastAsia="zh-CN"/>
        </w:rPr>
      </w:pPr>
      <w:r>
        <w:rPr>
          <w:rFonts w:hint="eastAsia" w:eastAsia="宋体"/>
          <w:sz w:val="30"/>
          <w:szCs w:val="30"/>
          <w:lang w:eastAsia="zh-CN"/>
        </w:rPr>
        <w:t>Here the Son must do what the first Adam (and his elect offspring) failed to do.</w:t>
      </w:r>
    </w:p>
    <w:p w14:paraId="38783696">
      <w:pPr>
        <w:tabs>
          <w:tab w:val="left" w:pos="2120"/>
        </w:tabs>
        <w:bidi w:val="0"/>
        <w:jc w:val="left"/>
        <w:rPr>
          <w:rFonts w:hint="eastAsia" w:eastAsia="宋体"/>
          <w:sz w:val="30"/>
          <w:szCs w:val="30"/>
          <w:lang w:eastAsia="zh-CN"/>
        </w:rPr>
      </w:pPr>
      <w:r>
        <w:rPr>
          <w:rFonts w:hint="eastAsia" w:eastAsia="宋体"/>
          <w:sz w:val="30"/>
          <w:szCs w:val="30"/>
          <w:lang w:eastAsia="zh-CN"/>
        </w:rPr>
        <w:t>在此，子必须做到首先的亚当（和他蒙拣选的后裔）没有做到的事。</w:t>
      </w:r>
    </w:p>
    <w:p w14:paraId="3EFDB39E">
      <w:pPr>
        <w:tabs>
          <w:tab w:val="left" w:pos="2120"/>
        </w:tabs>
        <w:bidi w:val="0"/>
        <w:jc w:val="left"/>
        <w:rPr>
          <w:rFonts w:hint="eastAsia" w:eastAsia="宋体"/>
          <w:sz w:val="30"/>
          <w:szCs w:val="30"/>
          <w:lang w:eastAsia="zh-CN"/>
        </w:rPr>
      </w:pPr>
    </w:p>
    <w:p w14:paraId="1D7F3C29">
      <w:pPr>
        <w:tabs>
          <w:tab w:val="left" w:pos="2120"/>
        </w:tabs>
        <w:bidi w:val="0"/>
        <w:jc w:val="left"/>
        <w:rPr>
          <w:rFonts w:hint="eastAsia" w:eastAsia="宋体"/>
          <w:sz w:val="30"/>
          <w:szCs w:val="30"/>
          <w:lang w:eastAsia="zh-CN"/>
        </w:rPr>
      </w:pPr>
      <w:r>
        <w:rPr>
          <w:rFonts w:hint="eastAsia" w:eastAsia="宋体"/>
          <w:sz w:val="30"/>
          <w:szCs w:val="30"/>
          <w:lang w:eastAsia="zh-CN"/>
        </w:rPr>
        <w:t>That is, acting as a substitute on behalf of God’s chosen people, the incarnate Son must successfully recapitulate the probation that the first Adam had failed on behalf of all.</w:t>
      </w:r>
    </w:p>
    <w:p w14:paraId="6B63A476">
      <w:pPr>
        <w:tabs>
          <w:tab w:val="left" w:pos="2120"/>
        </w:tabs>
        <w:bidi w:val="0"/>
        <w:jc w:val="left"/>
        <w:rPr>
          <w:rFonts w:hint="eastAsia" w:eastAsia="宋体"/>
          <w:sz w:val="30"/>
          <w:szCs w:val="30"/>
          <w:lang w:eastAsia="zh-CN"/>
        </w:rPr>
      </w:pPr>
      <w:r>
        <w:rPr>
          <w:rFonts w:hint="eastAsia" w:eastAsia="宋体"/>
          <w:sz w:val="30"/>
          <w:szCs w:val="30"/>
          <w:lang w:eastAsia="zh-CN"/>
        </w:rPr>
        <w:t>也就是说，作为上帝选民的替代者，道成肉身的子必须成功地总括首先的亚当为全人类所失败的察验。</w:t>
      </w:r>
    </w:p>
    <w:p w14:paraId="4038F02B">
      <w:pPr>
        <w:tabs>
          <w:tab w:val="left" w:pos="2120"/>
        </w:tabs>
        <w:bidi w:val="0"/>
        <w:jc w:val="left"/>
        <w:rPr>
          <w:rFonts w:hint="eastAsia" w:eastAsia="宋体"/>
          <w:sz w:val="30"/>
          <w:szCs w:val="30"/>
          <w:lang w:eastAsia="zh-CN"/>
        </w:rPr>
      </w:pPr>
    </w:p>
    <w:p w14:paraId="58D10DD5">
      <w:pPr>
        <w:tabs>
          <w:tab w:val="left" w:pos="2120"/>
        </w:tabs>
        <w:bidi w:val="0"/>
        <w:jc w:val="left"/>
        <w:rPr>
          <w:rFonts w:hint="eastAsia" w:eastAsia="宋体"/>
          <w:sz w:val="30"/>
          <w:szCs w:val="30"/>
          <w:lang w:eastAsia="zh-CN"/>
        </w:rPr>
      </w:pPr>
      <w:r>
        <w:rPr>
          <w:rFonts w:hint="eastAsia" w:eastAsia="宋体"/>
          <w:sz w:val="30"/>
          <w:szCs w:val="30"/>
          <w:lang w:eastAsia="zh-CN"/>
        </w:rPr>
        <w:t>Moreover, he must also fulfill the righteous requirement of God’s Law written on sinful Adam’s heart, and also on the hearts of all his children (Rom. 2:12-16, 8:4).</w:t>
      </w:r>
    </w:p>
    <w:p w14:paraId="34DCDE25">
      <w:pPr>
        <w:tabs>
          <w:tab w:val="left" w:pos="2120"/>
        </w:tabs>
        <w:bidi w:val="0"/>
        <w:jc w:val="left"/>
        <w:rPr>
          <w:rFonts w:hint="eastAsia" w:eastAsia="宋体"/>
          <w:sz w:val="30"/>
          <w:szCs w:val="30"/>
          <w:lang w:eastAsia="zh-CN"/>
        </w:rPr>
      </w:pPr>
      <w:r>
        <w:rPr>
          <w:rFonts w:hint="eastAsia" w:eastAsia="宋体"/>
          <w:sz w:val="30"/>
          <w:szCs w:val="30"/>
          <w:lang w:eastAsia="zh-CN"/>
        </w:rPr>
        <w:t>此外，祂还必须满足上帝律法的公义要求，这律法写在有罪的亚当的心上，也写在他所有子孙的心上（罗 2:12-16, 8:4）。</w:t>
      </w:r>
    </w:p>
    <w:p w14:paraId="14192051">
      <w:pPr>
        <w:tabs>
          <w:tab w:val="left" w:pos="2120"/>
        </w:tabs>
        <w:bidi w:val="0"/>
        <w:jc w:val="left"/>
        <w:rPr>
          <w:rFonts w:hint="eastAsia" w:eastAsia="宋体"/>
          <w:sz w:val="30"/>
          <w:szCs w:val="30"/>
          <w:lang w:eastAsia="zh-CN"/>
        </w:rPr>
      </w:pPr>
    </w:p>
    <w:p w14:paraId="2DF92C68">
      <w:pPr>
        <w:tabs>
          <w:tab w:val="left" w:pos="2120"/>
        </w:tabs>
        <w:bidi w:val="0"/>
        <w:jc w:val="left"/>
        <w:rPr>
          <w:rFonts w:hint="eastAsia" w:eastAsia="宋体"/>
          <w:sz w:val="30"/>
          <w:szCs w:val="30"/>
          <w:lang w:eastAsia="zh-CN"/>
        </w:rPr>
      </w:pPr>
      <w:r>
        <w:rPr>
          <w:rFonts w:hint="eastAsia" w:eastAsia="宋体"/>
          <w:sz w:val="30"/>
          <w:szCs w:val="30"/>
          <w:lang w:eastAsia="zh-CN"/>
        </w:rPr>
        <w:t>In sum, through a perfect conformity to all the will of the Father, the God-Man must fulfill the terms of the Covenant of Works instituted in Eden, thereby earning for his people and their world the prize of eternal life (Rom. 5:12ff).</w:t>
      </w:r>
    </w:p>
    <w:p w14:paraId="40E6F6E9">
      <w:pPr>
        <w:tabs>
          <w:tab w:val="left" w:pos="2120"/>
        </w:tabs>
        <w:bidi w:val="0"/>
        <w:jc w:val="left"/>
        <w:rPr>
          <w:rFonts w:hint="eastAsia" w:eastAsia="宋体"/>
          <w:sz w:val="30"/>
          <w:szCs w:val="30"/>
          <w:lang w:eastAsia="zh-CN"/>
        </w:rPr>
      </w:pPr>
      <w:r>
        <w:rPr>
          <w:rFonts w:hint="eastAsia" w:eastAsia="宋体"/>
          <w:sz w:val="30"/>
          <w:szCs w:val="30"/>
          <w:lang w:eastAsia="zh-CN"/>
        </w:rPr>
        <w:t>总而言之，藉着完全遵从父的一切旨意，这位神人必须成全在伊甸园设立的行为之约的条款，从而为祂的子民和他们的世界赚得永生的奖赏（罗 5:12ff）。</w:t>
      </w:r>
    </w:p>
    <w:p w14:paraId="0C399ED6">
      <w:pPr>
        <w:tabs>
          <w:tab w:val="left" w:pos="2120"/>
        </w:tabs>
        <w:bidi w:val="0"/>
        <w:jc w:val="left"/>
        <w:rPr>
          <w:rFonts w:hint="eastAsia" w:eastAsia="宋体"/>
          <w:sz w:val="30"/>
          <w:szCs w:val="30"/>
          <w:lang w:eastAsia="zh-CN"/>
        </w:rPr>
      </w:pPr>
    </w:p>
    <w:p w14:paraId="12843AA0">
      <w:pPr>
        <w:tabs>
          <w:tab w:val="left" w:pos="2120"/>
        </w:tabs>
        <w:bidi w:val="0"/>
        <w:jc w:val="left"/>
        <w:rPr>
          <w:rFonts w:hint="eastAsia" w:eastAsia="宋体"/>
          <w:sz w:val="30"/>
          <w:szCs w:val="30"/>
          <w:lang w:eastAsia="zh-CN"/>
        </w:rPr>
      </w:pPr>
      <w:r>
        <w:rPr>
          <w:rFonts w:hint="eastAsia" w:eastAsia="宋体"/>
          <w:sz w:val="30"/>
          <w:szCs w:val="30"/>
          <w:lang w:eastAsia="zh-CN"/>
        </w:rPr>
        <w:t>Let us pause for a moment to observe how richly this idea illumines various facets of Jesus’ earthly ministry.</w:t>
      </w:r>
    </w:p>
    <w:p w14:paraId="059FB130">
      <w:pPr>
        <w:tabs>
          <w:tab w:val="left" w:pos="2120"/>
        </w:tabs>
        <w:bidi w:val="0"/>
        <w:jc w:val="left"/>
        <w:rPr>
          <w:rFonts w:hint="eastAsia" w:eastAsia="宋体"/>
          <w:sz w:val="30"/>
          <w:szCs w:val="30"/>
          <w:lang w:eastAsia="zh-CN"/>
        </w:rPr>
      </w:pPr>
      <w:r>
        <w:rPr>
          <w:rFonts w:hint="eastAsia" w:eastAsia="宋体"/>
          <w:sz w:val="30"/>
          <w:szCs w:val="30"/>
          <w:lang w:eastAsia="zh-CN"/>
        </w:rPr>
        <w:t>让我们暂停片刻，观察这个思想如何丰富地阐明了耶稣在世事工的各个方面。</w:t>
      </w:r>
    </w:p>
    <w:p w14:paraId="5877E426">
      <w:pPr>
        <w:tabs>
          <w:tab w:val="left" w:pos="2120"/>
        </w:tabs>
        <w:bidi w:val="0"/>
        <w:jc w:val="left"/>
        <w:rPr>
          <w:rFonts w:hint="eastAsia" w:eastAsia="宋体"/>
          <w:sz w:val="30"/>
          <w:szCs w:val="30"/>
          <w:lang w:eastAsia="zh-CN"/>
        </w:rPr>
      </w:pPr>
    </w:p>
    <w:p w14:paraId="751E9DF8">
      <w:pPr>
        <w:tabs>
          <w:tab w:val="left" w:pos="2120"/>
        </w:tabs>
        <w:bidi w:val="0"/>
        <w:jc w:val="left"/>
        <w:rPr>
          <w:rFonts w:hint="eastAsia" w:eastAsia="宋体"/>
          <w:sz w:val="30"/>
          <w:szCs w:val="30"/>
          <w:lang w:eastAsia="zh-CN"/>
        </w:rPr>
      </w:pPr>
      <w:r>
        <w:rPr>
          <w:rFonts w:hint="eastAsia" w:eastAsia="宋体"/>
          <w:sz w:val="30"/>
          <w:szCs w:val="30"/>
          <w:lang w:eastAsia="zh-CN"/>
        </w:rPr>
        <w:t>It explains, for example, why Jesus said to John the Baptizer that he (Jesus) “must fulfill all righteousness” (Mt. 3:15).</w:t>
      </w:r>
    </w:p>
    <w:p w14:paraId="61A9CA26">
      <w:pPr>
        <w:tabs>
          <w:tab w:val="left" w:pos="2120"/>
        </w:tabs>
        <w:bidi w:val="0"/>
        <w:jc w:val="left"/>
        <w:rPr>
          <w:rFonts w:hint="eastAsia" w:eastAsia="宋体"/>
          <w:sz w:val="30"/>
          <w:szCs w:val="30"/>
          <w:lang w:eastAsia="zh-CN"/>
        </w:rPr>
      </w:pPr>
      <w:r>
        <w:rPr>
          <w:rFonts w:hint="eastAsia" w:eastAsia="宋体"/>
          <w:sz w:val="30"/>
          <w:szCs w:val="30"/>
          <w:lang w:eastAsia="zh-CN"/>
        </w:rPr>
        <w:t>例如，它解释了为什么耶稣对施洗约翰说祂（耶稣）“理当尽诸般的义”（太 3:15）。</w:t>
      </w:r>
    </w:p>
    <w:p w14:paraId="2A423CF0">
      <w:pPr>
        <w:tabs>
          <w:tab w:val="left" w:pos="2120"/>
        </w:tabs>
        <w:bidi w:val="0"/>
        <w:jc w:val="left"/>
        <w:rPr>
          <w:rFonts w:hint="eastAsia" w:eastAsia="宋体"/>
          <w:sz w:val="30"/>
          <w:szCs w:val="30"/>
          <w:lang w:eastAsia="zh-CN"/>
        </w:rPr>
      </w:pPr>
    </w:p>
    <w:p w14:paraId="0D4B9F9B">
      <w:pPr>
        <w:tabs>
          <w:tab w:val="left" w:pos="2120"/>
        </w:tabs>
        <w:bidi w:val="0"/>
        <w:jc w:val="left"/>
        <w:rPr>
          <w:rFonts w:hint="eastAsia" w:eastAsia="宋体"/>
          <w:sz w:val="30"/>
          <w:szCs w:val="30"/>
          <w:lang w:eastAsia="zh-CN"/>
        </w:rPr>
      </w:pPr>
      <w:r>
        <w:rPr>
          <w:rFonts w:hint="eastAsia" w:eastAsia="宋体"/>
          <w:sz w:val="30"/>
          <w:szCs w:val="30"/>
          <w:lang w:eastAsia="zh-CN"/>
        </w:rPr>
        <w:t>It explains why the Spirit thrust him into the wilderness to be tested by the devil, much as Adam was tested by the devil in the Garden, and Israel in the wilderness of Sinai (Mt. 4:1f).</w:t>
      </w:r>
    </w:p>
    <w:p w14:paraId="5254F771">
      <w:pPr>
        <w:tabs>
          <w:tab w:val="left" w:pos="2120"/>
        </w:tabs>
        <w:bidi w:val="0"/>
        <w:jc w:val="left"/>
        <w:rPr>
          <w:rFonts w:hint="eastAsia" w:eastAsia="宋体"/>
          <w:sz w:val="30"/>
          <w:szCs w:val="30"/>
          <w:lang w:eastAsia="zh-CN"/>
        </w:rPr>
      </w:pPr>
      <w:r>
        <w:rPr>
          <w:rFonts w:hint="eastAsia" w:eastAsia="宋体"/>
          <w:sz w:val="30"/>
          <w:szCs w:val="30"/>
          <w:lang w:eastAsia="zh-CN"/>
        </w:rPr>
        <w:t>它解释了为什么圣灵将祂催到旷野受魔鬼的试探，就像亚当在园中受魔鬼的试探，以及以色列在西奈旷野受试探一样（太 4:1f）。</w:t>
      </w:r>
    </w:p>
    <w:p w14:paraId="51217896">
      <w:pPr>
        <w:tabs>
          <w:tab w:val="left" w:pos="2120"/>
        </w:tabs>
        <w:bidi w:val="0"/>
        <w:jc w:val="left"/>
        <w:rPr>
          <w:rFonts w:hint="eastAsia" w:eastAsia="宋体"/>
          <w:sz w:val="30"/>
          <w:szCs w:val="30"/>
          <w:lang w:eastAsia="zh-CN"/>
        </w:rPr>
      </w:pPr>
    </w:p>
    <w:p w14:paraId="1230CD58">
      <w:pPr>
        <w:tabs>
          <w:tab w:val="left" w:pos="2120"/>
        </w:tabs>
        <w:bidi w:val="0"/>
        <w:jc w:val="left"/>
        <w:rPr>
          <w:rFonts w:hint="eastAsia" w:eastAsia="宋体"/>
          <w:sz w:val="30"/>
          <w:szCs w:val="30"/>
          <w:lang w:eastAsia="zh-CN"/>
        </w:rPr>
      </w:pPr>
      <w:r>
        <w:rPr>
          <w:rFonts w:hint="eastAsia" w:eastAsia="宋体"/>
          <w:sz w:val="30"/>
          <w:szCs w:val="30"/>
          <w:lang w:eastAsia="zh-CN"/>
        </w:rPr>
        <w:t>It explains why he was “born of a woman, born under the Law,” and why he scrupulously obeyed that Law in all particulars (Gal. 4:4; Mt. 5:19, 8:4, 26:18).</w:t>
      </w:r>
    </w:p>
    <w:p w14:paraId="0886527F">
      <w:pPr>
        <w:tabs>
          <w:tab w:val="left" w:pos="2120"/>
        </w:tabs>
        <w:bidi w:val="0"/>
        <w:jc w:val="left"/>
        <w:rPr>
          <w:rFonts w:hint="eastAsia" w:eastAsia="宋体"/>
          <w:sz w:val="30"/>
          <w:szCs w:val="30"/>
          <w:lang w:eastAsia="zh-CN"/>
        </w:rPr>
      </w:pPr>
      <w:r>
        <w:rPr>
          <w:rFonts w:hint="eastAsia" w:eastAsia="宋体"/>
          <w:sz w:val="30"/>
          <w:szCs w:val="30"/>
          <w:lang w:eastAsia="zh-CN"/>
        </w:rPr>
        <w:t>它解释了为什么祂“为女子所生，且生在律法以下”，以及为什么祂一丝不苟地在所有细节上遵守那律法（加 4:4; 太 5:19, 8:4, 26:18）。</w:t>
      </w:r>
    </w:p>
    <w:p w14:paraId="0F2A3F7F">
      <w:pPr>
        <w:tabs>
          <w:tab w:val="left" w:pos="2120"/>
        </w:tabs>
        <w:bidi w:val="0"/>
        <w:jc w:val="left"/>
        <w:rPr>
          <w:rFonts w:hint="eastAsia" w:eastAsia="宋体"/>
          <w:sz w:val="30"/>
          <w:szCs w:val="30"/>
          <w:lang w:eastAsia="zh-CN"/>
        </w:rPr>
      </w:pPr>
    </w:p>
    <w:p w14:paraId="18ABADB6">
      <w:pPr>
        <w:tabs>
          <w:tab w:val="left" w:pos="2120"/>
        </w:tabs>
        <w:bidi w:val="0"/>
        <w:jc w:val="left"/>
        <w:rPr>
          <w:rFonts w:hint="eastAsia" w:eastAsia="宋体"/>
          <w:sz w:val="30"/>
          <w:szCs w:val="30"/>
          <w:lang w:eastAsia="zh-CN"/>
        </w:rPr>
      </w:pPr>
      <w:r>
        <w:rPr>
          <w:rFonts w:hint="eastAsia" w:eastAsia="宋体"/>
          <w:sz w:val="30"/>
          <w:szCs w:val="30"/>
          <w:lang w:eastAsia="zh-CN"/>
        </w:rPr>
        <w:t>In these and like passages, we plainly see that Jesus was a man on probation, a man who was actually retracing the steps of the first Adam.</w:t>
      </w:r>
    </w:p>
    <w:p w14:paraId="3DD6E7EB">
      <w:pPr>
        <w:tabs>
          <w:tab w:val="left" w:pos="2120"/>
        </w:tabs>
        <w:bidi w:val="0"/>
        <w:jc w:val="left"/>
        <w:rPr>
          <w:rFonts w:hint="eastAsia" w:eastAsia="宋体"/>
          <w:sz w:val="30"/>
          <w:szCs w:val="30"/>
          <w:lang w:eastAsia="zh-CN"/>
        </w:rPr>
      </w:pPr>
      <w:r>
        <w:rPr>
          <w:rFonts w:hint="eastAsia" w:eastAsia="宋体"/>
          <w:sz w:val="30"/>
          <w:szCs w:val="30"/>
          <w:lang w:eastAsia="zh-CN"/>
        </w:rPr>
        <w:t>在这些以及类似的经文中，我们清楚地看到耶稣是一个处在察验之下的人，一个实际上在重走首先的亚当之路的人。</w:t>
      </w:r>
    </w:p>
    <w:p w14:paraId="1EA2B4DA">
      <w:pPr>
        <w:tabs>
          <w:tab w:val="left" w:pos="2120"/>
        </w:tabs>
        <w:bidi w:val="0"/>
        <w:jc w:val="left"/>
        <w:rPr>
          <w:rFonts w:hint="eastAsia" w:eastAsia="宋体"/>
          <w:sz w:val="30"/>
          <w:szCs w:val="30"/>
          <w:lang w:eastAsia="zh-CN"/>
        </w:rPr>
      </w:pPr>
    </w:p>
    <w:p w14:paraId="0628A0E6">
      <w:pPr>
        <w:tabs>
          <w:tab w:val="left" w:pos="2120"/>
        </w:tabs>
        <w:bidi w:val="0"/>
        <w:jc w:val="left"/>
        <w:rPr>
          <w:rFonts w:hint="eastAsia" w:eastAsia="宋体"/>
          <w:sz w:val="30"/>
          <w:szCs w:val="30"/>
          <w:lang w:eastAsia="zh-CN"/>
        </w:rPr>
      </w:pPr>
      <w:r>
        <w:rPr>
          <w:rFonts w:hint="eastAsia" w:eastAsia="宋体"/>
          <w:sz w:val="30"/>
          <w:szCs w:val="30"/>
          <w:lang w:eastAsia="zh-CN"/>
        </w:rPr>
        <w:t>For man and nature to receive the eternal life forfeited in Eden, Christ must not fail the test.</w:t>
      </w:r>
    </w:p>
    <w:p w14:paraId="5908D5B0">
      <w:pPr>
        <w:tabs>
          <w:tab w:val="left" w:pos="2120"/>
        </w:tabs>
        <w:bidi w:val="0"/>
        <w:jc w:val="left"/>
        <w:rPr>
          <w:rFonts w:hint="eastAsia" w:eastAsia="宋体"/>
          <w:sz w:val="30"/>
          <w:szCs w:val="30"/>
          <w:lang w:eastAsia="zh-CN"/>
        </w:rPr>
      </w:pPr>
      <w:r>
        <w:rPr>
          <w:rFonts w:hint="eastAsia" w:eastAsia="宋体"/>
          <w:sz w:val="30"/>
          <w:szCs w:val="30"/>
          <w:lang w:eastAsia="zh-CN"/>
        </w:rPr>
        <w:t>为了让人和自然界得到在伊甸园中丧失的永生，基督绝不能在这次考验中失败。</w:t>
      </w:r>
    </w:p>
    <w:p w14:paraId="1188B64F">
      <w:pPr>
        <w:tabs>
          <w:tab w:val="left" w:pos="2120"/>
        </w:tabs>
        <w:bidi w:val="0"/>
        <w:jc w:val="left"/>
        <w:rPr>
          <w:rFonts w:hint="eastAsia" w:eastAsia="宋体"/>
          <w:sz w:val="30"/>
          <w:szCs w:val="30"/>
          <w:lang w:eastAsia="zh-CN"/>
        </w:rPr>
      </w:pPr>
    </w:p>
    <w:p w14:paraId="510E0F4D">
      <w:pPr>
        <w:tabs>
          <w:tab w:val="left" w:pos="2120"/>
        </w:tabs>
        <w:bidi w:val="0"/>
        <w:jc w:val="left"/>
        <w:rPr>
          <w:rFonts w:hint="eastAsia" w:eastAsia="宋体"/>
          <w:sz w:val="30"/>
          <w:szCs w:val="30"/>
          <w:lang w:eastAsia="zh-CN"/>
        </w:rPr>
      </w:pPr>
      <w:r>
        <w:rPr>
          <w:rFonts w:hint="eastAsia" w:eastAsia="宋体"/>
          <w:sz w:val="30"/>
          <w:szCs w:val="30"/>
          <w:lang w:eastAsia="zh-CN"/>
        </w:rPr>
        <w:t>The second obedience would be passive.</w:t>
      </w:r>
    </w:p>
    <w:p w14:paraId="4989A99A">
      <w:pPr>
        <w:tabs>
          <w:tab w:val="left" w:pos="2120"/>
        </w:tabs>
        <w:bidi w:val="0"/>
        <w:jc w:val="left"/>
        <w:rPr>
          <w:rFonts w:hint="eastAsia" w:eastAsia="宋体"/>
          <w:sz w:val="30"/>
          <w:szCs w:val="30"/>
          <w:lang w:eastAsia="zh-CN"/>
        </w:rPr>
      </w:pPr>
      <w:r>
        <w:rPr>
          <w:rFonts w:hint="eastAsia" w:eastAsia="宋体"/>
          <w:sz w:val="30"/>
          <w:szCs w:val="30"/>
          <w:lang w:eastAsia="zh-CN"/>
        </w:rPr>
        <w:t>第二种顺服是被动的。</w:t>
      </w:r>
    </w:p>
    <w:p w14:paraId="14823C3E">
      <w:pPr>
        <w:tabs>
          <w:tab w:val="left" w:pos="2120"/>
        </w:tabs>
        <w:bidi w:val="0"/>
        <w:jc w:val="left"/>
        <w:rPr>
          <w:rFonts w:hint="eastAsia" w:eastAsia="宋体"/>
          <w:sz w:val="30"/>
          <w:szCs w:val="30"/>
          <w:lang w:eastAsia="zh-CN"/>
        </w:rPr>
      </w:pPr>
    </w:p>
    <w:p w14:paraId="7A46C525">
      <w:pPr>
        <w:tabs>
          <w:tab w:val="left" w:pos="2120"/>
        </w:tabs>
        <w:bidi w:val="0"/>
        <w:jc w:val="left"/>
        <w:rPr>
          <w:rFonts w:hint="eastAsia" w:eastAsia="宋体"/>
          <w:sz w:val="30"/>
          <w:szCs w:val="30"/>
          <w:lang w:eastAsia="zh-CN"/>
        </w:rPr>
      </w:pPr>
      <w:r>
        <w:rPr>
          <w:rFonts w:hint="eastAsia" w:eastAsia="宋体"/>
          <w:sz w:val="30"/>
          <w:szCs w:val="30"/>
          <w:lang w:eastAsia="zh-CN"/>
        </w:rPr>
        <w:t>Here the Son must undo what the First Adam (and his elect but sinful seed) had done.</w:t>
      </w:r>
    </w:p>
    <w:p w14:paraId="1448B4CE">
      <w:pPr>
        <w:tabs>
          <w:tab w:val="left" w:pos="2120"/>
        </w:tabs>
        <w:bidi w:val="0"/>
        <w:jc w:val="left"/>
        <w:rPr>
          <w:rFonts w:hint="eastAsia" w:eastAsia="宋体"/>
          <w:sz w:val="30"/>
          <w:szCs w:val="30"/>
          <w:lang w:eastAsia="zh-CN"/>
        </w:rPr>
      </w:pPr>
      <w:r>
        <w:rPr>
          <w:rFonts w:hint="eastAsia" w:eastAsia="宋体"/>
          <w:sz w:val="30"/>
          <w:szCs w:val="30"/>
          <w:lang w:eastAsia="zh-CN"/>
        </w:rPr>
        <w:t>在此，子必须撤销首先的亚当（和他蒙拣选但有罪的后裔）所做的事。</w:t>
      </w:r>
    </w:p>
    <w:p w14:paraId="0F3B0701">
      <w:pPr>
        <w:tabs>
          <w:tab w:val="left" w:pos="2120"/>
        </w:tabs>
        <w:bidi w:val="0"/>
        <w:jc w:val="left"/>
        <w:rPr>
          <w:rFonts w:hint="eastAsia" w:eastAsia="宋体"/>
          <w:sz w:val="30"/>
          <w:szCs w:val="30"/>
          <w:lang w:eastAsia="zh-CN"/>
        </w:rPr>
      </w:pPr>
    </w:p>
    <w:p w14:paraId="28259AB4">
      <w:pPr>
        <w:tabs>
          <w:tab w:val="left" w:pos="2120"/>
        </w:tabs>
        <w:bidi w:val="0"/>
        <w:jc w:val="left"/>
        <w:rPr>
          <w:rFonts w:hint="eastAsia" w:eastAsia="宋体"/>
          <w:sz w:val="30"/>
          <w:szCs w:val="30"/>
          <w:lang w:eastAsia="zh-CN"/>
        </w:rPr>
      </w:pPr>
      <w:r>
        <w:rPr>
          <w:rFonts w:hint="eastAsia" w:eastAsia="宋体"/>
          <w:sz w:val="30"/>
          <w:szCs w:val="30"/>
          <w:lang w:eastAsia="zh-CN"/>
        </w:rPr>
        <w:t>Strictly speaking, this alone is the redemptive part of his mission, since here alone he pays his people’s debt to the justice of God, thereby purchasing them back for him.</w:t>
      </w:r>
    </w:p>
    <w:p w14:paraId="493C900A">
      <w:pPr>
        <w:tabs>
          <w:tab w:val="left" w:pos="2120"/>
        </w:tabs>
        <w:bidi w:val="0"/>
        <w:jc w:val="left"/>
        <w:rPr>
          <w:rFonts w:hint="eastAsia" w:eastAsia="宋体"/>
          <w:sz w:val="30"/>
          <w:szCs w:val="30"/>
          <w:lang w:eastAsia="zh-CN"/>
        </w:rPr>
      </w:pPr>
      <w:r>
        <w:rPr>
          <w:rFonts w:hint="eastAsia" w:eastAsia="宋体"/>
          <w:sz w:val="30"/>
          <w:szCs w:val="30"/>
          <w:lang w:eastAsia="zh-CN"/>
        </w:rPr>
        <w:t>严格来说，唯有这才是祂使命中救赎的部分，因为唯有在此，祂才偿还了祂子民欠上帝公义的债，从而为祂将他们赎回。</w:t>
      </w:r>
    </w:p>
    <w:p w14:paraId="7F254778">
      <w:pPr>
        <w:tabs>
          <w:tab w:val="left" w:pos="2120"/>
        </w:tabs>
        <w:bidi w:val="0"/>
        <w:jc w:val="left"/>
        <w:rPr>
          <w:rFonts w:hint="eastAsia" w:eastAsia="宋体"/>
          <w:sz w:val="30"/>
          <w:szCs w:val="30"/>
          <w:lang w:eastAsia="zh-CN"/>
        </w:rPr>
      </w:pPr>
    </w:p>
    <w:p w14:paraId="378172B2">
      <w:pPr>
        <w:tabs>
          <w:tab w:val="left" w:pos="2120"/>
        </w:tabs>
        <w:bidi w:val="0"/>
        <w:jc w:val="left"/>
        <w:rPr>
          <w:rFonts w:hint="eastAsia" w:eastAsia="宋体"/>
          <w:sz w:val="30"/>
          <w:szCs w:val="30"/>
          <w:lang w:eastAsia="zh-CN"/>
        </w:rPr>
      </w:pPr>
      <w:r>
        <w:rPr>
          <w:rFonts w:hint="eastAsia" w:eastAsia="宋体"/>
          <w:sz w:val="30"/>
          <w:szCs w:val="30"/>
          <w:lang w:eastAsia="zh-CN"/>
        </w:rPr>
        <w:t>In other words, it will not be enough for the incarnate Son to earn the gift of eternal life for God’s elect through his active obedience.</w:t>
      </w:r>
    </w:p>
    <w:p w14:paraId="781E02C4">
      <w:pPr>
        <w:tabs>
          <w:tab w:val="left" w:pos="2120"/>
        </w:tabs>
        <w:bidi w:val="0"/>
        <w:jc w:val="left"/>
        <w:rPr>
          <w:rFonts w:hint="eastAsia" w:eastAsia="宋体"/>
          <w:sz w:val="30"/>
          <w:szCs w:val="30"/>
          <w:lang w:eastAsia="zh-CN"/>
        </w:rPr>
      </w:pPr>
      <w:r>
        <w:rPr>
          <w:rFonts w:hint="eastAsia" w:eastAsia="宋体"/>
          <w:sz w:val="30"/>
          <w:szCs w:val="30"/>
          <w:lang w:eastAsia="zh-CN"/>
        </w:rPr>
        <w:t>换句话说，道成肉身的子藉着祂主动的顺服为上帝的选民赚得永生的礼物，这还不够。</w:t>
      </w:r>
    </w:p>
    <w:p w14:paraId="1DE08119">
      <w:pPr>
        <w:tabs>
          <w:tab w:val="left" w:pos="2120"/>
        </w:tabs>
        <w:bidi w:val="0"/>
        <w:jc w:val="left"/>
        <w:rPr>
          <w:rFonts w:hint="eastAsia" w:eastAsia="宋体"/>
          <w:sz w:val="30"/>
          <w:szCs w:val="30"/>
          <w:lang w:eastAsia="zh-CN"/>
        </w:rPr>
      </w:pPr>
    </w:p>
    <w:p w14:paraId="60ADD60F">
      <w:pPr>
        <w:tabs>
          <w:tab w:val="left" w:pos="2120"/>
        </w:tabs>
        <w:bidi w:val="0"/>
        <w:jc w:val="left"/>
        <w:rPr>
          <w:rFonts w:hint="eastAsia" w:eastAsia="宋体"/>
          <w:sz w:val="30"/>
          <w:szCs w:val="30"/>
          <w:lang w:eastAsia="zh-CN"/>
        </w:rPr>
      </w:pPr>
      <w:r>
        <w:rPr>
          <w:rFonts w:hint="eastAsia" w:eastAsia="宋体"/>
          <w:sz w:val="30"/>
          <w:szCs w:val="30"/>
          <w:lang w:eastAsia="zh-CN"/>
        </w:rPr>
        <w:t>Why?</w:t>
      </w:r>
    </w:p>
    <w:p w14:paraId="029F573C">
      <w:pPr>
        <w:tabs>
          <w:tab w:val="left" w:pos="2120"/>
        </w:tabs>
        <w:bidi w:val="0"/>
        <w:jc w:val="left"/>
        <w:rPr>
          <w:rFonts w:hint="eastAsia" w:eastAsia="宋体"/>
          <w:sz w:val="30"/>
          <w:szCs w:val="30"/>
          <w:lang w:eastAsia="zh-CN"/>
        </w:rPr>
      </w:pPr>
      <w:r>
        <w:rPr>
          <w:rFonts w:hint="eastAsia" w:eastAsia="宋体"/>
          <w:sz w:val="30"/>
          <w:szCs w:val="30"/>
          <w:lang w:eastAsia="zh-CN"/>
        </w:rPr>
        <w:t>为什么？</w:t>
      </w:r>
    </w:p>
    <w:p w14:paraId="33B9137C">
      <w:pPr>
        <w:tabs>
          <w:tab w:val="left" w:pos="2120"/>
        </w:tabs>
        <w:bidi w:val="0"/>
        <w:jc w:val="left"/>
        <w:rPr>
          <w:rFonts w:hint="eastAsia" w:eastAsia="宋体"/>
          <w:sz w:val="30"/>
          <w:szCs w:val="30"/>
          <w:lang w:eastAsia="zh-CN"/>
        </w:rPr>
      </w:pPr>
    </w:p>
    <w:p w14:paraId="23B4C6DE">
      <w:pPr>
        <w:tabs>
          <w:tab w:val="left" w:pos="2120"/>
        </w:tabs>
        <w:bidi w:val="0"/>
        <w:jc w:val="left"/>
        <w:rPr>
          <w:rFonts w:hint="eastAsia" w:eastAsia="宋体"/>
          <w:sz w:val="30"/>
          <w:szCs w:val="30"/>
          <w:lang w:eastAsia="zh-CN"/>
        </w:rPr>
      </w:pPr>
      <w:r>
        <w:rPr>
          <w:rFonts w:hint="eastAsia" w:eastAsia="宋体"/>
          <w:sz w:val="30"/>
          <w:szCs w:val="30"/>
          <w:lang w:eastAsia="zh-CN"/>
        </w:rPr>
        <w:t>Because the sin of the first Adam has been imputed (i.e., credited) to them (Rom. 5:12ff), and because their own sins, flowing from their own sinful nature, condemn them further still.</w:t>
      </w:r>
    </w:p>
    <w:p w14:paraId="34324539">
      <w:pPr>
        <w:tabs>
          <w:tab w:val="left" w:pos="2120"/>
        </w:tabs>
        <w:bidi w:val="0"/>
        <w:jc w:val="left"/>
        <w:rPr>
          <w:rFonts w:hint="eastAsia" w:eastAsia="宋体"/>
          <w:sz w:val="30"/>
          <w:szCs w:val="30"/>
          <w:lang w:eastAsia="zh-CN"/>
        </w:rPr>
      </w:pPr>
      <w:r>
        <w:rPr>
          <w:rFonts w:hint="eastAsia" w:eastAsia="宋体"/>
          <w:sz w:val="30"/>
          <w:szCs w:val="30"/>
          <w:lang w:eastAsia="zh-CN"/>
        </w:rPr>
        <w:t>因为首先的亚当的罪已经归算（即，记在）他们身上（罗 5:12ff），又因为他们自己的罪，源于他们自己有罪的本性，使他们更受定罪。</w:t>
      </w:r>
    </w:p>
    <w:p w14:paraId="69FC77CB">
      <w:pPr>
        <w:tabs>
          <w:tab w:val="left" w:pos="2120"/>
        </w:tabs>
        <w:bidi w:val="0"/>
        <w:jc w:val="left"/>
        <w:rPr>
          <w:rFonts w:hint="eastAsia" w:eastAsia="宋体"/>
          <w:sz w:val="30"/>
          <w:szCs w:val="30"/>
          <w:lang w:eastAsia="zh-CN"/>
        </w:rPr>
      </w:pPr>
    </w:p>
    <w:p w14:paraId="2243D5C0">
      <w:pPr>
        <w:tabs>
          <w:tab w:val="left" w:pos="2120"/>
        </w:tabs>
        <w:bidi w:val="0"/>
        <w:jc w:val="left"/>
        <w:rPr>
          <w:rFonts w:hint="eastAsia" w:eastAsia="宋体"/>
          <w:sz w:val="30"/>
          <w:szCs w:val="30"/>
          <w:lang w:eastAsia="zh-CN"/>
        </w:rPr>
      </w:pPr>
      <w:r>
        <w:rPr>
          <w:rFonts w:hint="eastAsia" w:eastAsia="宋体"/>
          <w:sz w:val="30"/>
          <w:szCs w:val="30"/>
          <w:lang w:eastAsia="zh-CN"/>
        </w:rPr>
        <w:t>Therefore, until those sins are forgiven, until the certificate of debt that stands against them is marked “paid” (Col. 2:14), and until God’s people are legally reconciled to the holy and sovereign Judge (Rom. 5:10), they remain ineligible to receive the great gift of life.</w:t>
      </w:r>
    </w:p>
    <w:p w14:paraId="12F30036">
      <w:pPr>
        <w:tabs>
          <w:tab w:val="left" w:pos="2120"/>
        </w:tabs>
        <w:bidi w:val="0"/>
        <w:jc w:val="left"/>
        <w:rPr>
          <w:rFonts w:hint="eastAsia" w:eastAsia="宋体"/>
          <w:sz w:val="30"/>
          <w:szCs w:val="30"/>
          <w:lang w:eastAsia="zh-CN"/>
        </w:rPr>
      </w:pPr>
      <w:r>
        <w:rPr>
          <w:rFonts w:hint="eastAsia" w:eastAsia="宋体"/>
          <w:sz w:val="30"/>
          <w:szCs w:val="30"/>
          <w:lang w:eastAsia="zh-CN"/>
        </w:rPr>
        <w:t>因此，直到那些罪被赦免，直到那与他们为敌的债务证书被标明“已付清”（西 2:14），直到上帝的子民在法律上与圣洁和至高的审判者和好（罗 5:10），他们仍然没有资格领受生命这伟大的礼物。</w:t>
      </w:r>
    </w:p>
    <w:p w14:paraId="11FEAFDD">
      <w:pPr>
        <w:tabs>
          <w:tab w:val="left" w:pos="2120"/>
        </w:tabs>
        <w:bidi w:val="0"/>
        <w:jc w:val="left"/>
        <w:rPr>
          <w:rFonts w:hint="eastAsia" w:eastAsia="宋体"/>
          <w:sz w:val="30"/>
          <w:szCs w:val="30"/>
          <w:lang w:eastAsia="zh-CN"/>
        </w:rPr>
      </w:pPr>
    </w:p>
    <w:p w14:paraId="3C3DB8B1">
      <w:pPr>
        <w:tabs>
          <w:tab w:val="left" w:pos="2120"/>
        </w:tabs>
        <w:bidi w:val="0"/>
        <w:jc w:val="left"/>
        <w:rPr>
          <w:rFonts w:hint="eastAsia" w:eastAsia="宋体"/>
          <w:sz w:val="30"/>
          <w:szCs w:val="30"/>
          <w:lang w:eastAsia="zh-CN"/>
        </w:rPr>
      </w:pPr>
      <w:r>
        <w:rPr>
          <w:rFonts w:hint="eastAsia" w:eastAsia="宋体"/>
          <w:sz w:val="30"/>
          <w:szCs w:val="30"/>
          <w:lang w:eastAsia="zh-CN"/>
        </w:rPr>
        <w:t>So then, the Last Adam must passively represent his people in judgment.</w:t>
      </w:r>
    </w:p>
    <w:p w14:paraId="4F695DB3">
      <w:pPr>
        <w:tabs>
          <w:tab w:val="left" w:pos="2120"/>
        </w:tabs>
        <w:bidi w:val="0"/>
        <w:jc w:val="left"/>
        <w:rPr>
          <w:rFonts w:hint="eastAsia" w:eastAsia="宋体"/>
          <w:sz w:val="30"/>
          <w:szCs w:val="30"/>
          <w:lang w:eastAsia="zh-CN"/>
        </w:rPr>
      </w:pPr>
      <w:r>
        <w:rPr>
          <w:rFonts w:hint="eastAsia" w:eastAsia="宋体"/>
          <w:sz w:val="30"/>
          <w:szCs w:val="30"/>
          <w:lang w:eastAsia="zh-CN"/>
        </w:rPr>
        <w:t>所以，末后的亚当必须在审判中被动地代表祂的子民。</w:t>
      </w:r>
    </w:p>
    <w:p w14:paraId="4EF87846">
      <w:pPr>
        <w:tabs>
          <w:tab w:val="left" w:pos="2120"/>
        </w:tabs>
        <w:bidi w:val="0"/>
        <w:jc w:val="left"/>
        <w:rPr>
          <w:rFonts w:hint="eastAsia" w:eastAsia="宋体"/>
          <w:sz w:val="30"/>
          <w:szCs w:val="30"/>
          <w:lang w:eastAsia="zh-CN"/>
        </w:rPr>
      </w:pPr>
    </w:p>
    <w:p w14:paraId="2F79F2F2">
      <w:pPr>
        <w:tabs>
          <w:tab w:val="left" w:pos="2120"/>
        </w:tabs>
        <w:bidi w:val="0"/>
        <w:jc w:val="left"/>
        <w:rPr>
          <w:rFonts w:hint="eastAsia" w:eastAsia="宋体"/>
          <w:sz w:val="30"/>
          <w:szCs w:val="30"/>
          <w:lang w:eastAsia="zh-CN"/>
        </w:rPr>
      </w:pPr>
      <w:r>
        <w:rPr>
          <w:rFonts w:hint="eastAsia" w:eastAsia="宋体"/>
          <w:sz w:val="30"/>
          <w:szCs w:val="30"/>
          <w:lang w:eastAsia="zh-CN"/>
        </w:rPr>
        <w:t>He must take their place and endure the due penalty for their sins, which is death (2 Cor. 5:21, 1 Peter 3:18).</w:t>
      </w:r>
    </w:p>
    <w:p w14:paraId="41B28B40">
      <w:pPr>
        <w:tabs>
          <w:tab w:val="left" w:pos="2120"/>
        </w:tabs>
        <w:bidi w:val="0"/>
        <w:jc w:val="left"/>
        <w:rPr>
          <w:rFonts w:hint="eastAsia" w:eastAsia="宋体"/>
          <w:sz w:val="30"/>
          <w:szCs w:val="30"/>
          <w:lang w:eastAsia="zh-CN"/>
        </w:rPr>
      </w:pPr>
      <w:r>
        <w:rPr>
          <w:rFonts w:hint="eastAsia" w:eastAsia="宋体"/>
          <w:sz w:val="30"/>
          <w:szCs w:val="30"/>
          <w:lang w:eastAsia="zh-CN"/>
        </w:rPr>
        <w:t>祂必须代替他们的位置，并为他们的罪承受应得的刑罚，就是死（林后 5:21, 彼前 3:18）。</w:t>
      </w:r>
    </w:p>
    <w:p w14:paraId="5B96A1CA">
      <w:pPr>
        <w:tabs>
          <w:tab w:val="left" w:pos="2120"/>
        </w:tabs>
        <w:bidi w:val="0"/>
        <w:jc w:val="left"/>
        <w:rPr>
          <w:rFonts w:hint="eastAsia" w:eastAsia="宋体"/>
          <w:sz w:val="30"/>
          <w:szCs w:val="30"/>
          <w:lang w:eastAsia="zh-CN"/>
        </w:rPr>
      </w:pPr>
    </w:p>
    <w:p w14:paraId="3BC0AFFD">
      <w:pPr>
        <w:tabs>
          <w:tab w:val="left" w:pos="2120"/>
        </w:tabs>
        <w:bidi w:val="0"/>
        <w:jc w:val="left"/>
        <w:rPr>
          <w:rFonts w:hint="eastAsia" w:eastAsia="宋体"/>
          <w:sz w:val="30"/>
          <w:szCs w:val="30"/>
          <w:lang w:eastAsia="zh-CN"/>
        </w:rPr>
      </w:pPr>
      <w:r>
        <w:rPr>
          <w:rFonts w:hint="eastAsia" w:eastAsia="宋体"/>
          <w:sz w:val="30"/>
          <w:szCs w:val="30"/>
          <w:lang w:eastAsia="zh-CN"/>
        </w:rPr>
        <w:t>Only thus can the Father be both just and the “justifier” of those who will one day put their trust in Jesus (Rom. 3:21-26).</w:t>
      </w:r>
    </w:p>
    <w:p w14:paraId="2524504A">
      <w:pPr>
        <w:tabs>
          <w:tab w:val="left" w:pos="2120"/>
        </w:tabs>
        <w:bidi w:val="0"/>
        <w:jc w:val="left"/>
        <w:rPr>
          <w:rFonts w:hint="eastAsia" w:eastAsia="宋体"/>
          <w:sz w:val="30"/>
          <w:szCs w:val="30"/>
          <w:lang w:eastAsia="zh-CN"/>
        </w:rPr>
      </w:pPr>
      <w:r>
        <w:rPr>
          <w:rFonts w:hint="eastAsia" w:eastAsia="宋体"/>
          <w:sz w:val="30"/>
          <w:szCs w:val="30"/>
          <w:lang w:eastAsia="zh-CN"/>
        </w:rPr>
        <w:t>唯有如此，父才能既是公义的，又是那称信耶稣之人为义的“称义者”（罗 3:21-26）。</w:t>
      </w:r>
    </w:p>
    <w:p w14:paraId="17C8A439">
      <w:pPr>
        <w:tabs>
          <w:tab w:val="left" w:pos="2120"/>
        </w:tabs>
        <w:bidi w:val="0"/>
        <w:jc w:val="left"/>
        <w:rPr>
          <w:rFonts w:hint="eastAsia" w:eastAsia="宋体"/>
          <w:sz w:val="30"/>
          <w:szCs w:val="30"/>
          <w:lang w:eastAsia="zh-CN"/>
        </w:rPr>
      </w:pPr>
    </w:p>
    <w:p w14:paraId="35851AF0">
      <w:pPr>
        <w:tabs>
          <w:tab w:val="left" w:pos="2120"/>
        </w:tabs>
        <w:bidi w:val="0"/>
        <w:jc w:val="left"/>
        <w:rPr>
          <w:rFonts w:hint="eastAsia" w:eastAsia="宋体"/>
          <w:sz w:val="30"/>
          <w:szCs w:val="30"/>
          <w:lang w:eastAsia="zh-CN"/>
        </w:rPr>
      </w:pPr>
      <w:r>
        <w:rPr>
          <w:rFonts w:hint="eastAsia" w:eastAsia="宋体"/>
          <w:sz w:val="30"/>
          <w:szCs w:val="30"/>
          <w:lang w:eastAsia="zh-CN"/>
        </w:rPr>
        <w:t>Only thus can he bestow upon them the gift of eternal life under his glorious reign.</w:t>
      </w:r>
    </w:p>
    <w:p w14:paraId="281661BE">
      <w:pPr>
        <w:tabs>
          <w:tab w:val="left" w:pos="2120"/>
        </w:tabs>
        <w:bidi w:val="0"/>
        <w:jc w:val="left"/>
        <w:rPr>
          <w:rFonts w:hint="eastAsia" w:eastAsia="宋体"/>
          <w:sz w:val="30"/>
          <w:szCs w:val="30"/>
          <w:lang w:eastAsia="zh-CN"/>
        </w:rPr>
      </w:pPr>
      <w:r>
        <w:rPr>
          <w:rFonts w:hint="eastAsia" w:eastAsia="宋体"/>
          <w:sz w:val="30"/>
          <w:szCs w:val="30"/>
          <w:lang w:eastAsia="zh-CN"/>
        </w:rPr>
        <w:t>唯有如此，祂才能将永生这礼物赐给他们，使他们活在祂荣耀的统治之下。</w:t>
      </w:r>
    </w:p>
    <w:p w14:paraId="2D389474">
      <w:pPr>
        <w:tabs>
          <w:tab w:val="left" w:pos="2120"/>
        </w:tabs>
        <w:bidi w:val="0"/>
        <w:jc w:val="left"/>
        <w:rPr>
          <w:rFonts w:hint="eastAsia" w:eastAsia="宋体"/>
          <w:sz w:val="30"/>
          <w:szCs w:val="30"/>
          <w:lang w:eastAsia="zh-CN"/>
        </w:rPr>
      </w:pPr>
    </w:p>
    <w:p w14:paraId="19B7C616">
      <w:pPr>
        <w:tabs>
          <w:tab w:val="left" w:pos="2120"/>
        </w:tabs>
        <w:bidi w:val="0"/>
        <w:jc w:val="left"/>
        <w:rPr>
          <w:rFonts w:hint="eastAsia" w:eastAsia="宋体"/>
          <w:sz w:val="30"/>
          <w:szCs w:val="30"/>
          <w:lang w:eastAsia="zh-CN"/>
        </w:rPr>
      </w:pPr>
      <w:r>
        <w:rPr>
          <w:rFonts w:hint="eastAsia" w:eastAsia="宋体"/>
          <w:sz w:val="30"/>
          <w:szCs w:val="30"/>
          <w:lang w:eastAsia="zh-CN"/>
        </w:rPr>
        <w:t>Both in word and deed, Jesus showed himself to be keenly—and sometimes painfully—aware of this aspect of his mission.</w:t>
      </w:r>
    </w:p>
    <w:p w14:paraId="1A7997DC">
      <w:pPr>
        <w:tabs>
          <w:tab w:val="left" w:pos="2120"/>
        </w:tabs>
        <w:bidi w:val="0"/>
        <w:jc w:val="left"/>
        <w:rPr>
          <w:rFonts w:hint="eastAsia" w:eastAsia="宋体"/>
          <w:sz w:val="30"/>
          <w:szCs w:val="30"/>
          <w:lang w:eastAsia="zh-CN"/>
        </w:rPr>
      </w:pPr>
      <w:r>
        <w:rPr>
          <w:rFonts w:hint="eastAsia" w:eastAsia="宋体"/>
          <w:sz w:val="30"/>
          <w:szCs w:val="30"/>
          <w:lang w:eastAsia="zh-CN"/>
        </w:rPr>
        <w:t>无论在言语还是行为上，耶稣都显明自己敏锐地——有时是痛苦地——意识到祂使命的这一方面。</w:t>
      </w:r>
    </w:p>
    <w:p w14:paraId="4B8AE355">
      <w:pPr>
        <w:tabs>
          <w:tab w:val="left" w:pos="2120"/>
        </w:tabs>
        <w:bidi w:val="0"/>
        <w:jc w:val="left"/>
        <w:rPr>
          <w:rFonts w:hint="eastAsia" w:eastAsia="宋体"/>
          <w:sz w:val="30"/>
          <w:szCs w:val="30"/>
          <w:lang w:eastAsia="zh-CN"/>
        </w:rPr>
      </w:pPr>
    </w:p>
    <w:p w14:paraId="6B499574">
      <w:pPr>
        <w:tabs>
          <w:tab w:val="left" w:pos="2120"/>
        </w:tabs>
        <w:bidi w:val="0"/>
        <w:jc w:val="left"/>
        <w:rPr>
          <w:rFonts w:hint="eastAsia" w:eastAsia="宋体"/>
          <w:sz w:val="30"/>
          <w:szCs w:val="30"/>
          <w:lang w:eastAsia="zh-CN"/>
        </w:rPr>
      </w:pPr>
      <w:r>
        <w:rPr>
          <w:rFonts w:hint="eastAsia" w:eastAsia="宋体"/>
          <w:sz w:val="30"/>
          <w:szCs w:val="30"/>
          <w:lang w:eastAsia="zh-CN"/>
        </w:rPr>
        <w:t>He has come to give his life a ransom (i.e., an atoning sacrifice) for many (Mark 10:45).</w:t>
      </w:r>
    </w:p>
    <w:p w14:paraId="74D6A7BA">
      <w:pPr>
        <w:tabs>
          <w:tab w:val="left" w:pos="2120"/>
        </w:tabs>
        <w:bidi w:val="0"/>
        <w:jc w:val="left"/>
        <w:rPr>
          <w:rFonts w:hint="eastAsia" w:eastAsia="宋体"/>
          <w:sz w:val="30"/>
          <w:szCs w:val="30"/>
          <w:lang w:eastAsia="zh-CN"/>
        </w:rPr>
      </w:pPr>
      <w:r>
        <w:rPr>
          <w:rFonts w:hint="eastAsia" w:eastAsia="宋体"/>
          <w:sz w:val="30"/>
          <w:szCs w:val="30"/>
          <w:lang w:eastAsia="zh-CN"/>
        </w:rPr>
        <w:t>祂来，是要舍命作多人的赎价（即，赎罪祭）（可 10:45）。</w:t>
      </w:r>
    </w:p>
    <w:p w14:paraId="1FB88DA7">
      <w:pPr>
        <w:tabs>
          <w:tab w:val="left" w:pos="2120"/>
        </w:tabs>
        <w:bidi w:val="0"/>
        <w:jc w:val="left"/>
        <w:rPr>
          <w:rFonts w:hint="eastAsia" w:eastAsia="宋体"/>
          <w:sz w:val="30"/>
          <w:szCs w:val="30"/>
          <w:lang w:eastAsia="zh-CN"/>
        </w:rPr>
      </w:pPr>
    </w:p>
    <w:p w14:paraId="380E7834">
      <w:pPr>
        <w:tabs>
          <w:tab w:val="left" w:pos="2120"/>
        </w:tabs>
        <w:bidi w:val="0"/>
        <w:jc w:val="left"/>
        <w:rPr>
          <w:rFonts w:hint="eastAsia" w:eastAsia="宋体"/>
          <w:sz w:val="30"/>
          <w:szCs w:val="30"/>
          <w:lang w:eastAsia="zh-CN"/>
        </w:rPr>
      </w:pPr>
      <w:r>
        <w:rPr>
          <w:rFonts w:hint="eastAsia" w:eastAsia="宋体"/>
          <w:sz w:val="30"/>
          <w:szCs w:val="30"/>
          <w:lang w:eastAsia="zh-CN"/>
        </w:rPr>
        <w:t>He will lay down his life for his friends, and give up his life for the sheep (John 15:13, 10:11).</w:t>
      </w:r>
    </w:p>
    <w:p w14:paraId="10CCDB6F">
      <w:pPr>
        <w:tabs>
          <w:tab w:val="left" w:pos="2120"/>
        </w:tabs>
        <w:bidi w:val="0"/>
        <w:jc w:val="left"/>
        <w:rPr>
          <w:rFonts w:hint="eastAsia" w:eastAsia="宋体"/>
          <w:sz w:val="30"/>
          <w:szCs w:val="30"/>
          <w:lang w:eastAsia="zh-CN"/>
        </w:rPr>
      </w:pPr>
      <w:r>
        <w:rPr>
          <w:rFonts w:hint="eastAsia" w:eastAsia="宋体"/>
          <w:sz w:val="30"/>
          <w:szCs w:val="30"/>
          <w:lang w:eastAsia="zh-CN"/>
        </w:rPr>
        <w:t>祂要为祂的朋友舍命，并为羊舍命（约 15:13, 10:11）。</w:t>
      </w:r>
    </w:p>
    <w:p w14:paraId="0469834E">
      <w:pPr>
        <w:tabs>
          <w:tab w:val="left" w:pos="2120"/>
        </w:tabs>
        <w:bidi w:val="0"/>
        <w:jc w:val="left"/>
        <w:rPr>
          <w:rFonts w:hint="eastAsia" w:eastAsia="宋体"/>
          <w:sz w:val="30"/>
          <w:szCs w:val="30"/>
          <w:lang w:eastAsia="zh-CN"/>
        </w:rPr>
      </w:pPr>
    </w:p>
    <w:p w14:paraId="104C765A">
      <w:pPr>
        <w:tabs>
          <w:tab w:val="left" w:pos="2120"/>
        </w:tabs>
        <w:bidi w:val="0"/>
        <w:jc w:val="left"/>
        <w:rPr>
          <w:rFonts w:hint="eastAsia" w:eastAsia="宋体"/>
          <w:sz w:val="30"/>
          <w:szCs w:val="30"/>
          <w:lang w:eastAsia="zh-CN"/>
        </w:rPr>
      </w:pPr>
      <w:r>
        <w:rPr>
          <w:rFonts w:hint="eastAsia" w:eastAsia="宋体"/>
          <w:sz w:val="30"/>
          <w:szCs w:val="30"/>
          <w:lang w:eastAsia="zh-CN"/>
        </w:rPr>
        <w:t>He must be lifted up from the earth, so as to draw all of God’s people to himself (John 12:32).</w:t>
      </w:r>
    </w:p>
    <w:p w14:paraId="5B056401">
      <w:pPr>
        <w:tabs>
          <w:tab w:val="left" w:pos="2120"/>
        </w:tabs>
        <w:bidi w:val="0"/>
        <w:jc w:val="left"/>
        <w:rPr>
          <w:rFonts w:hint="eastAsia" w:eastAsia="宋体"/>
          <w:sz w:val="30"/>
          <w:szCs w:val="30"/>
          <w:lang w:eastAsia="zh-CN"/>
        </w:rPr>
      </w:pPr>
      <w:r>
        <w:rPr>
          <w:rFonts w:hint="eastAsia" w:eastAsia="宋体"/>
          <w:sz w:val="30"/>
          <w:szCs w:val="30"/>
          <w:lang w:eastAsia="zh-CN"/>
        </w:rPr>
        <w:t>祂必须从地上被举起来，好吸引上帝所有的子民都来归祂（约 12:32）。</w:t>
      </w:r>
    </w:p>
    <w:p w14:paraId="04ECD3C4">
      <w:pPr>
        <w:tabs>
          <w:tab w:val="left" w:pos="2120"/>
        </w:tabs>
        <w:bidi w:val="0"/>
        <w:jc w:val="left"/>
        <w:rPr>
          <w:rFonts w:hint="eastAsia" w:eastAsia="宋体"/>
          <w:sz w:val="30"/>
          <w:szCs w:val="30"/>
          <w:lang w:eastAsia="zh-CN"/>
        </w:rPr>
      </w:pPr>
    </w:p>
    <w:p w14:paraId="3300D73C">
      <w:pPr>
        <w:tabs>
          <w:tab w:val="left" w:pos="2120"/>
        </w:tabs>
        <w:bidi w:val="0"/>
        <w:jc w:val="left"/>
        <w:rPr>
          <w:rFonts w:hint="eastAsia" w:eastAsia="宋体"/>
          <w:sz w:val="30"/>
          <w:szCs w:val="30"/>
          <w:lang w:eastAsia="zh-CN"/>
        </w:rPr>
      </w:pPr>
      <w:r>
        <w:rPr>
          <w:rFonts w:hint="eastAsia" w:eastAsia="宋体"/>
          <w:sz w:val="30"/>
          <w:szCs w:val="30"/>
          <w:lang w:eastAsia="zh-CN"/>
        </w:rPr>
        <w:t>Anticipating the cruel death by which he will accomplish these things, he said, “I have a baptism to be baptized with, and how distressed I am until it is accomplished” (Luke 12:50)!</w:t>
      </w:r>
    </w:p>
    <w:p w14:paraId="6F31A849">
      <w:pPr>
        <w:tabs>
          <w:tab w:val="left" w:pos="2120"/>
        </w:tabs>
        <w:bidi w:val="0"/>
        <w:jc w:val="left"/>
        <w:rPr>
          <w:rFonts w:hint="eastAsia" w:eastAsia="宋体"/>
          <w:sz w:val="30"/>
          <w:szCs w:val="30"/>
          <w:lang w:eastAsia="zh-CN"/>
        </w:rPr>
      </w:pPr>
      <w:r>
        <w:rPr>
          <w:rFonts w:hint="eastAsia" w:eastAsia="宋体"/>
          <w:sz w:val="30"/>
          <w:szCs w:val="30"/>
          <w:lang w:eastAsia="zh-CN"/>
        </w:rPr>
        <w:t>预料到祂将藉以成就这些事的残酷死亡，祂说：“我有当受的洗还没有成就，我是何等地迫切呢”（路 12:50）！</w:t>
      </w:r>
    </w:p>
    <w:p w14:paraId="4813AF36">
      <w:pPr>
        <w:tabs>
          <w:tab w:val="left" w:pos="2120"/>
        </w:tabs>
        <w:bidi w:val="0"/>
        <w:jc w:val="left"/>
        <w:rPr>
          <w:rFonts w:hint="eastAsia" w:eastAsia="宋体"/>
          <w:sz w:val="30"/>
          <w:szCs w:val="30"/>
          <w:lang w:eastAsia="zh-CN"/>
        </w:rPr>
      </w:pPr>
    </w:p>
    <w:p w14:paraId="0FFADB10">
      <w:pPr>
        <w:tabs>
          <w:tab w:val="left" w:pos="2120"/>
        </w:tabs>
        <w:bidi w:val="0"/>
        <w:jc w:val="left"/>
        <w:rPr>
          <w:rFonts w:hint="eastAsia" w:eastAsia="宋体"/>
          <w:sz w:val="30"/>
          <w:szCs w:val="30"/>
          <w:lang w:eastAsia="zh-CN"/>
        </w:rPr>
      </w:pPr>
      <w:r>
        <w:rPr>
          <w:rFonts w:hint="eastAsia" w:eastAsia="宋体"/>
          <w:sz w:val="30"/>
          <w:szCs w:val="30"/>
          <w:lang w:eastAsia="zh-CN"/>
        </w:rPr>
        <w:t>And yet, as his final Passover drew near, he fixed his eyes like flint upon the city of his imminent demise, knowing that a prophet cannot perish outside of Jerusalem, and that the appointed hour for him to do that very thing had come at last (Isaiah 50:7, Mark 10:32f, Luke 13:33).</w:t>
      </w:r>
    </w:p>
    <w:p w14:paraId="5B4AE257">
      <w:pPr>
        <w:tabs>
          <w:tab w:val="left" w:pos="2120"/>
        </w:tabs>
        <w:bidi w:val="0"/>
        <w:jc w:val="left"/>
        <w:rPr>
          <w:rFonts w:hint="eastAsia" w:eastAsia="宋体"/>
          <w:sz w:val="30"/>
          <w:szCs w:val="30"/>
          <w:lang w:eastAsia="zh-CN"/>
        </w:rPr>
      </w:pPr>
      <w:r>
        <w:rPr>
          <w:rFonts w:hint="eastAsia" w:eastAsia="宋体"/>
          <w:sz w:val="30"/>
          <w:szCs w:val="30"/>
          <w:lang w:eastAsia="zh-CN"/>
        </w:rPr>
        <w:t>然而，当祂最后的逾越节临近时，祂定意面向祂即将受死的城，因为祂知道先知不能在耶路撒冷之外丧命，而祂做这件事的指定时刻终于到来了（以赛亚书 50:7, 可 10:32f, 路 13:33）。</w:t>
      </w:r>
    </w:p>
    <w:p w14:paraId="12EB0185">
      <w:pPr>
        <w:tabs>
          <w:tab w:val="left" w:pos="2120"/>
        </w:tabs>
        <w:bidi w:val="0"/>
        <w:jc w:val="left"/>
        <w:rPr>
          <w:rFonts w:hint="eastAsia" w:eastAsia="宋体"/>
          <w:sz w:val="30"/>
          <w:szCs w:val="30"/>
          <w:lang w:eastAsia="zh-CN"/>
        </w:rPr>
      </w:pPr>
    </w:p>
    <w:p w14:paraId="1C015A74">
      <w:pPr>
        <w:tabs>
          <w:tab w:val="left" w:pos="2120"/>
        </w:tabs>
        <w:bidi w:val="0"/>
        <w:jc w:val="left"/>
        <w:rPr>
          <w:rFonts w:hint="eastAsia" w:eastAsia="宋体"/>
          <w:sz w:val="30"/>
          <w:szCs w:val="30"/>
          <w:lang w:eastAsia="zh-CN"/>
        </w:rPr>
      </w:pPr>
      <w:r>
        <w:rPr>
          <w:rFonts w:hint="eastAsia" w:eastAsia="宋体"/>
          <w:sz w:val="30"/>
          <w:szCs w:val="30"/>
          <w:lang w:eastAsia="zh-CN"/>
        </w:rPr>
        <w:t>Here, then, is something of the costly obedience that the Father set before the Son in the Covenant of Redemption.</w:t>
      </w:r>
    </w:p>
    <w:p w14:paraId="13B8E717">
      <w:pPr>
        <w:tabs>
          <w:tab w:val="left" w:pos="2120"/>
        </w:tabs>
        <w:bidi w:val="0"/>
        <w:jc w:val="left"/>
        <w:rPr>
          <w:rFonts w:hint="eastAsia" w:eastAsia="宋体"/>
          <w:sz w:val="30"/>
          <w:szCs w:val="30"/>
          <w:lang w:eastAsia="zh-CN"/>
        </w:rPr>
      </w:pPr>
      <w:r>
        <w:rPr>
          <w:rFonts w:hint="eastAsia" w:eastAsia="宋体"/>
          <w:sz w:val="30"/>
          <w:szCs w:val="30"/>
          <w:lang w:eastAsia="zh-CN"/>
        </w:rPr>
        <w:t>那么，这就是父在救赎之约中摆在子面前的代价高昂的顺服的一部分。</w:t>
      </w:r>
    </w:p>
    <w:p w14:paraId="4899F1E0">
      <w:pPr>
        <w:tabs>
          <w:tab w:val="left" w:pos="2120"/>
        </w:tabs>
        <w:bidi w:val="0"/>
        <w:jc w:val="left"/>
        <w:rPr>
          <w:rFonts w:hint="eastAsia" w:eastAsia="宋体"/>
          <w:sz w:val="30"/>
          <w:szCs w:val="30"/>
          <w:lang w:eastAsia="zh-CN"/>
        </w:rPr>
      </w:pPr>
    </w:p>
    <w:p w14:paraId="4DA03AA8">
      <w:pPr>
        <w:tabs>
          <w:tab w:val="left" w:pos="2120"/>
        </w:tabs>
        <w:bidi w:val="0"/>
        <w:jc w:val="left"/>
        <w:rPr>
          <w:rFonts w:hint="eastAsia" w:eastAsia="宋体"/>
          <w:sz w:val="30"/>
          <w:szCs w:val="30"/>
          <w:lang w:eastAsia="zh-CN"/>
        </w:rPr>
      </w:pPr>
      <w:r>
        <w:rPr>
          <w:rFonts w:hint="eastAsia" w:eastAsia="宋体"/>
          <w:sz w:val="30"/>
          <w:szCs w:val="30"/>
          <w:lang w:eastAsia="zh-CN"/>
        </w:rPr>
        <w:t>And what reward did he offer him in exchange for it; what promise did he give to his Son?</w:t>
      </w:r>
    </w:p>
    <w:p w14:paraId="18069A45">
      <w:pPr>
        <w:tabs>
          <w:tab w:val="left" w:pos="2120"/>
        </w:tabs>
        <w:bidi w:val="0"/>
        <w:jc w:val="left"/>
        <w:rPr>
          <w:rFonts w:hint="eastAsia" w:eastAsia="宋体"/>
          <w:sz w:val="30"/>
          <w:szCs w:val="30"/>
          <w:lang w:eastAsia="zh-CN"/>
        </w:rPr>
      </w:pPr>
      <w:r>
        <w:rPr>
          <w:rFonts w:hint="eastAsia" w:eastAsia="宋体"/>
          <w:sz w:val="30"/>
          <w:szCs w:val="30"/>
          <w:lang w:eastAsia="zh-CN"/>
        </w:rPr>
        <w:t>祂又用什么奖赏来交换呢；祂给了祂的儿子什么应许？</w:t>
      </w:r>
    </w:p>
    <w:p w14:paraId="38B3A0E6">
      <w:pPr>
        <w:tabs>
          <w:tab w:val="left" w:pos="2120"/>
        </w:tabs>
        <w:bidi w:val="0"/>
        <w:jc w:val="left"/>
        <w:rPr>
          <w:rFonts w:hint="eastAsia" w:eastAsia="宋体"/>
          <w:sz w:val="30"/>
          <w:szCs w:val="30"/>
          <w:lang w:eastAsia="zh-CN"/>
        </w:rPr>
      </w:pPr>
    </w:p>
    <w:p w14:paraId="5B3E29D2">
      <w:pPr>
        <w:tabs>
          <w:tab w:val="left" w:pos="2120"/>
        </w:tabs>
        <w:bidi w:val="0"/>
        <w:jc w:val="left"/>
        <w:rPr>
          <w:rFonts w:hint="eastAsia" w:eastAsia="宋体"/>
          <w:sz w:val="30"/>
          <w:szCs w:val="30"/>
          <w:lang w:eastAsia="zh-CN"/>
        </w:rPr>
      </w:pPr>
      <w:r>
        <w:rPr>
          <w:rFonts w:hint="eastAsia" w:eastAsia="宋体"/>
          <w:sz w:val="30"/>
          <w:szCs w:val="30"/>
          <w:lang w:eastAsia="zh-CN"/>
        </w:rPr>
        <w:t>The Bible is not shy in replying.</w:t>
      </w:r>
    </w:p>
    <w:p w14:paraId="6D5B308A">
      <w:pPr>
        <w:tabs>
          <w:tab w:val="left" w:pos="2120"/>
        </w:tabs>
        <w:bidi w:val="0"/>
        <w:jc w:val="left"/>
        <w:rPr>
          <w:rFonts w:hint="eastAsia" w:eastAsia="宋体"/>
          <w:sz w:val="30"/>
          <w:szCs w:val="30"/>
          <w:lang w:eastAsia="zh-CN"/>
        </w:rPr>
      </w:pPr>
      <w:r>
        <w:rPr>
          <w:rFonts w:hint="eastAsia" w:eastAsia="宋体"/>
          <w:sz w:val="30"/>
          <w:szCs w:val="30"/>
          <w:lang w:eastAsia="zh-CN"/>
        </w:rPr>
        <w:t>圣经对此毫不讳言。</w:t>
      </w:r>
    </w:p>
    <w:p w14:paraId="2D93084A">
      <w:pPr>
        <w:tabs>
          <w:tab w:val="left" w:pos="2120"/>
        </w:tabs>
        <w:bidi w:val="0"/>
        <w:jc w:val="left"/>
        <w:rPr>
          <w:rFonts w:hint="eastAsia" w:eastAsia="宋体"/>
          <w:sz w:val="30"/>
          <w:szCs w:val="30"/>
          <w:lang w:eastAsia="zh-CN"/>
        </w:rPr>
      </w:pPr>
    </w:p>
    <w:p w14:paraId="5A84EBAD">
      <w:pPr>
        <w:tabs>
          <w:tab w:val="left" w:pos="2120"/>
        </w:tabs>
        <w:bidi w:val="0"/>
        <w:jc w:val="left"/>
        <w:rPr>
          <w:rFonts w:hint="eastAsia" w:eastAsia="宋体"/>
          <w:sz w:val="30"/>
          <w:szCs w:val="30"/>
          <w:lang w:eastAsia="zh-CN"/>
        </w:rPr>
      </w:pPr>
      <w:r>
        <w:rPr>
          <w:rFonts w:hint="eastAsia" w:eastAsia="宋体"/>
          <w:sz w:val="30"/>
          <w:szCs w:val="30"/>
          <w:lang w:eastAsia="zh-CN"/>
        </w:rPr>
        <w:t>Among other things, the Father promised to supply him with every gift and grace necessary in order to become a triumphant Redeemer; in order to serve victoriously as his Spirit-anointed (Messianic) Prophet, Priest, and King (Psalm 2:2, Isaiah 61:1, Luke 4:18).</w:t>
      </w:r>
    </w:p>
    <w:p w14:paraId="58BDE47C">
      <w:pPr>
        <w:tabs>
          <w:tab w:val="left" w:pos="2120"/>
        </w:tabs>
        <w:bidi w:val="0"/>
        <w:jc w:val="left"/>
        <w:rPr>
          <w:rFonts w:hint="eastAsia" w:eastAsia="宋体"/>
          <w:sz w:val="30"/>
          <w:szCs w:val="30"/>
          <w:lang w:eastAsia="zh-CN"/>
        </w:rPr>
      </w:pPr>
      <w:r>
        <w:rPr>
          <w:rFonts w:hint="eastAsia" w:eastAsia="宋体"/>
          <w:sz w:val="30"/>
          <w:szCs w:val="30"/>
          <w:lang w:eastAsia="zh-CN"/>
        </w:rPr>
        <w:t>其中，父应许供给祂一切必要的恩赐和恩典，使祂成为一位得胜的救赎主；使祂能作为祂受圣灵膏抹的（弥赛亚的）先知、祭司和君王，胜利地服事（诗篇 2:2, 以赛亚书 61:1, 路 4:18）。</w:t>
      </w:r>
    </w:p>
    <w:p w14:paraId="4E4D3276">
      <w:pPr>
        <w:tabs>
          <w:tab w:val="left" w:pos="2120"/>
        </w:tabs>
        <w:bidi w:val="0"/>
        <w:jc w:val="left"/>
        <w:rPr>
          <w:rFonts w:hint="eastAsia" w:eastAsia="宋体"/>
          <w:sz w:val="30"/>
          <w:szCs w:val="30"/>
          <w:lang w:eastAsia="zh-CN"/>
        </w:rPr>
      </w:pPr>
    </w:p>
    <w:p w14:paraId="5A9EA29F">
      <w:pPr>
        <w:tabs>
          <w:tab w:val="left" w:pos="2120"/>
        </w:tabs>
        <w:bidi w:val="0"/>
        <w:jc w:val="left"/>
        <w:rPr>
          <w:rFonts w:hint="eastAsia" w:eastAsia="宋体"/>
          <w:sz w:val="30"/>
          <w:szCs w:val="30"/>
          <w:lang w:eastAsia="zh-CN"/>
        </w:rPr>
      </w:pPr>
      <w:r>
        <w:rPr>
          <w:rFonts w:hint="eastAsia" w:eastAsia="宋体"/>
          <w:sz w:val="30"/>
          <w:szCs w:val="30"/>
          <w:lang w:eastAsia="zh-CN"/>
        </w:rPr>
        <w:t>He also promised that the Son himself, throughout the course of his heavenly reign, would have the honor of applying the redemption that he purchased on earth, personally gathering in, sanctifying, and preserving God’s elect by the secret work of the Holy Spirit (Gen. 2:22, Psalm 2:8, John 6, 10. 17, Acts 2:33, Titus 2:14).</w:t>
      </w:r>
    </w:p>
    <w:p w14:paraId="60C198DB">
      <w:pPr>
        <w:tabs>
          <w:tab w:val="left" w:pos="2120"/>
        </w:tabs>
        <w:bidi w:val="0"/>
        <w:jc w:val="left"/>
        <w:rPr>
          <w:rFonts w:hint="eastAsia" w:eastAsia="宋体"/>
          <w:sz w:val="30"/>
          <w:szCs w:val="30"/>
          <w:lang w:eastAsia="zh-CN"/>
        </w:rPr>
      </w:pPr>
      <w:r>
        <w:rPr>
          <w:rFonts w:hint="eastAsia" w:eastAsia="宋体"/>
          <w:sz w:val="30"/>
          <w:szCs w:val="30"/>
          <w:lang w:eastAsia="zh-CN"/>
        </w:rPr>
        <w:t>祂也应许，子自己，在祂属天统治的整个过程中，将有荣耀来施行祂在地上所买赎的救恩，藉着圣灵奥秘的工作，亲自招聚、圣化和保守上帝的选民（创 2:22, 诗篇 2:8, 约 6, 10, 17, 徒 2:33, 多 2:14）。</w:t>
      </w:r>
    </w:p>
    <w:p w14:paraId="6B280440">
      <w:pPr>
        <w:tabs>
          <w:tab w:val="left" w:pos="2120"/>
        </w:tabs>
        <w:bidi w:val="0"/>
        <w:jc w:val="left"/>
        <w:rPr>
          <w:rFonts w:hint="eastAsia" w:eastAsia="宋体"/>
          <w:sz w:val="30"/>
          <w:szCs w:val="30"/>
          <w:lang w:eastAsia="zh-CN"/>
        </w:rPr>
      </w:pPr>
    </w:p>
    <w:p w14:paraId="5652AE4B">
      <w:pPr>
        <w:tabs>
          <w:tab w:val="left" w:pos="2120"/>
        </w:tabs>
        <w:bidi w:val="0"/>
        <w:jc w:val="left"/>
        <w:rPr>
          <w:rFonts w:hint="eastAsia" w:eastAsia="宋体"/>
          <w:sz w:val="30"/>
          <w:szCs w:val="30"/>
          <w:lang w:eastAsia="zh-CN"/>
        </w:rPr>
      </w:pPr>
      <w:r>
        <w:rPr>
          <w:rFonts w:hint="eastAsia" w:eastAsia="宋体"/>
          <w:sz w:val="30"/>
          <w:szCs w:val="30"/>
          <w:lang w:eastAsia="zh-CN"/>
        </w:rPr>
        <w:t>Moreover, he granted that the Son also should consummate his plan for the universe—both in final judgment and final redemption—at his Coming in glory at the end of the age (Mt. 24-25, John 5:19f).</w:t>
      </w:r>
    </w:p>
    <w:p w14:paraId="5172F242">
      <w:pPr>
        <w:tabs>
          <w:tab w:val="left" w:pos="2120"/>
        </w:tabs>
        <w:bidi w:val="0"/>
        <w:jc w:val="left"/>
        <w:rPr>
          <w:rFonts w:hint="eastAsia" w:eastAsia="宋体"/>
          <w:sz w:val="30"/>
          <w:szCs w:val="30"/>
          <w:lang w:eastAsia="zh-CN"/>
        </w:rPr>
      </w:pPr>
      <w:r>
        <w:rPr>
          <w:rFonts w:hint="eastAsia" w:eastAsia="宋体"/>
          <w:sz w:val="30"/>
          <w:szCs w:val="30"/>
          <w:lang w:eastAsia="zh-CN"/>
        </w:rPr>
        <w:t>此外，祂授予子权柄，在世代的末了，当祂在荣耀中降临时，也应成全祂对宇宙的计划——包括最终的审判和最终的救赎（太 24-25, 约 5:19f）。</w:t>
      </w:r>
    </w:p>
    <w:p w14:paraId="287B527C">
      <w:pPr>
        <w:tabs>
          <w:tab w:val="left" w:pos="2120"/>
        </w:tabs>
        <w:bidi w:val="0"/>
        <w:jc w:val="left"/>
        <w:rPr>
          <w:rFonts w:hint="eastAsia" w:eastAsia="宋体"/>
          <w:sz w:val="30"/>
          <w:szCs w:val="30"/>
          <w:lang w:eastAsia="zh-CN"/>
        </w:rPr>
      </w:pPr>
    </w:p>
    <w:p w14:paraId="02C83F20">
      <w:pPr>
        <w:tabs>
          <w:tab w:val="left" w:pos="2120"/>
        </w:tabs>
        <w:bidi w:val="0"/>
        <w:jc w:val="left"/>
        <w:rPr>
          <w:rFonts w:hint="eastAsia" w:eastAsia="宋体"/>
          <w:sz w:val="30"/>
          <w:szCs w:val="30"/>
          <w:lang w:eastAsia="zh-CN"/>
        </w:rPr>
      </w:pPr>
      <w:r>
        <w:rPr>
          <w:rFonts w:hint="eastAsia" w:eastAsia="宋体"/>
          <w:sz w:val="30"/>
          <w:szCs w:val="30"/>
          <w:lang w:eastAsia="zh-CN"/>
        </w:rPr>
        <w:t>In sum, the Father’s promise to his Son in the Covenant of Redemption was that he (Christ) should bestow upon his (the Father’s) beloved children the life-giving gift of the knowledge of the glory of God, and that in doing so he (Christ) should infinitely please and glorify the One who had planned this great work and sent him to it (John 5:24-30, 17:3, Phil. 2:5-11, Heb. 1:1f, 12:1-3, Rev. 5).</w:t>
      </w:r>
    </w:p>
    <w:p w14:paraId="5D39532D">
      <w:pPr>
        <w:tabs>
          <w:tab w:val="left" w:pos="2120"/>
        </w:tabs>
        <w:bidi w:val="0"/>
        <w:jc w:val="left"/>
        <w:rPr>
          <w:rFonts w:hint="eastAsia" w:eastAsia="宋体"/>
          <w:sz w:val="30"/>
          <w:szCs w:val="30"/>
          <w:lang w:eastAsia="zh-CN"/>
        </w:rPr>
      </w:pPr>
      <w:r>
        <w:rPr>
          <w:rFonts w:hint="eastAsia" w:eastAsia="宋体"/>
          <w:sz w:val="30"/>
          <w:szCs w:val="30"/>
          <w:lang w:eastAsia="zh-CN"/>
        </w:rPr>
        <w:t>总而言之，父在救赎之约中对祂儿子的应许是，祂（基督）要将认识上帝荣耀的赐生命之恩赐予祂（父）的爱子们，并且在这样做的时候，祂（基督）要无限地取悦和荣耀那计划这伟大工作并差祂去行的那一位（约 5:24-30, 17:3, 腓 2:5-11, 来 1:1f, 12:1-3, 启 5）。</w:t>
      </w:r>
    </w:p>
    <w:p w14:paraId="05916DA5">
      <w:pPr>
        <w:tabs>
          <w:tab w:val="left" w:pos="2120"/>
        </w:tabs>
        <w:bidi w:val="0"/>
        <w:jc w:val="left"/>
        <w:rPr>
          <w:rFonts w:hint="eastAsia" w:eastAsia="宋体"/>
          <w:sz w:val="30"/>
          <w:szCs w:val="30"/>
          <w:lang w:eastAsia="zh-CN"/>
        </w:rPr>
      </w:pPr>
    </w:p>
    <w:p w14:paraId="0536D7C2">
      <w:pPr>
        <w:tabs>
          <w:tab w:val="left" w:pos="2120"/>
        </w:tabs>
        <w:bidi w:val="0"/>
        <w:jc w:val="left"/>
        <w:rPr>
          <w:rFonts w:hint="eastAsia" w:eastAsia="宋体"/>
          <w:sz w:val="30"/>
          <w:szCs w:val="30"/>
          <w:lang w:eastAsia="zh-CN"/>
        </w:rPr>
      </w:pPr>
      <w:r>
        <w:rPr>
          <w:rFonts w:hint="eastAsia" w:eastAsia="宋体"/>
          <w:sz w:val="30"/>
          <w:szCs w:val="30"/>
          <w:lang w:eastAsia="zh-CN"/>
        </w:rPr>
        <w:t>To read the NT is to learn that the Son very much liked the terms of this agreement, and that he did indeed take up his Father’s command with holy obedience, zeal, and joy (John 4:34, 10:18, 12:49, 17:1-4, Heb. 10:5-7, 12:2).</w:t>
      </w:r>
    </w:p>
    <w:p w14:paraId="47F4331E">
      <w:pPr>
        <w:tabs>
          <w:tab w:val="left" w:pos="2120"/>
        </w:tabs>
        <w:bidi w:val="0"/>
        <w:jc w:val="left"/>
        <w:rPr>
          <w:rFonts w:hint="eastAsia" w:eastAsia="宋体"/>
          <w:sz w:val="30"/>
          <w:szCs w:val="30"/>
          <w:lang w:eastAsia="zh-CN"/>
        </w:rPr>
      </w:pPr>
      <w:r>
        <w:rPr>
          <w:rFonts w:hint="eastAsia" w:eastAsia="宋体"/>
          <w:sz w:val="30"/>
          <w:szCs w:val="30"/>
          <w:lang w:eastAsia="zh-CN"/>
        </w:rPr>
        <w:t>读新约就会知道，子非常喜欢这个协议的条款，并且祂确实以圣洁的顺服、热心和喜乐来领受祂父的命令（约 4:34, 10:18, 12:49, 17:1-4, 来 10:5-7, 12:2）。</w:t>
      </w:r>
    </w:p>
    <w:p w14:paraId="7E0C29C7">
      <w:pPr>
        <w:tabs>
          <w:tab w:val="left" w:pos="2120"/>
        </w:tabs>
        <w:bidi w:val="0"/>
        <w:jc w:val="left"/>
        <w:rPr>
          <w:rFonts w:hint="eastAsia" w:eastAsia="宋体"/>
          <w:sz w:val="30"/>
          <w:szCs w:val="30"/>
          <w:lang w:eastAsia="zh-CN"/>
        </w:rPr>
      </w:pPr>
    </w:p>
    <w:p w14:paraId="0B01D623">
      <w:pPr>
        <w:tabs>
          <w:tab w:val="left" w:pos="2120"/>
        </w:tabs>
        <w:bidi w:val="0"/>
        <w:jc w:val="left"/>
        <w:rPr>
          <w:rFonts w:hint="eastAsia" w:eastAsia="宋体"/>
          <w:sz w:val="30"/>
          <w:szCs w:val="30"/>
          <w:lang w:eastAsia="zh-CN"/>
        </w:rPr>
      </w:pPr>
      <w:r>
        <w:rPr>
          <w:rFonts w:hint="eastAsia" w:eastAsia="宋体"/>
          <w:sz w:val="30"/>
          <w:szCs w:val="30"/>
          <w:lang w:eastAsia="zh-CN"/>
        </w:rPr>
        <w:t>The Covenant of Grace</w:t>
      </w:r>
    </w:p>
    <w:p w14:paraId="517C2D90">
      <w:pPr>
        <w:tabs>
          <w:tab w:val="left" w:pos="2120"/>
        </w:tabs>
        <w:bidi w:val="0"/>
        <w:jc w:val="left"/>
        <w:rPr>
          <w:rFonts w:hint="eastAsia" w:eastAsia="宋体"/>
          <w:sz w:val="30"/>
          <w:szCs w:val="30"/>
          <w:lang w:eastAsia="zh-CN"/>
        </w:rPr>
      </w:pPr>
      <w:r>
        <w:rPr>
          <w:rFonts w:hint="eastAsia" w:eastAsia="宋体"/>
          <w:sz w:val="30"/>
          <w:szCs w:val="30"/>
          <w:lang w:eastAsia="zh-CN"/>
        </w:rPr>
        <w:t>恩典之约</w:t>
      </w:r>
    </w:p>
    <w:p w14:paraId="2894E07E">
      <w:pPr>
        <w:tabs>
          <w:tab w:val="left" w:pos="2120"/>
        </w:tabs>
        <w:bidi w:val="0"/>
        <w:jc w:val="left"/>
        <w:rPr>
          <w:rFonts w:hint="eastAsia" w:eastAsia="宋体"/>
          <w:sz w:val="30"/>
          <w:szCs w:val="30"/>
          <w:lang w:eastAsia="zh-CN"/>
        </w:rPr>
      </w:pPr>
    </w:p>
    <w:p w14:paraId="4A68657F">
      <w:pPr>
        <w:tabs>
          <w:tab w:val="left" w:pos="2120"/>
        </w:tabs>
        <w:bidi w:val="0"/>
        <w:jc w:val="left"/>
        <w:rPr>
          <w:rFonts w:hint="eastAsia" w:eastAsia="宋体"/>
          <w:sz w:val="30"/>
          <w:szCs w:val="30"/>
          <w:lang w:eastAsia="zh-CN"/>
        </w:rPr>
      </w:pPr>
      <w:r>
        <w:rPr>
          <w:rFonts w:hint="eastAsia" w:eastAsia="宋体"/>
          <w:sz w:val="30"/>
          <w:szCs w:val="30"/>
          <w:lang w:eastAsia="zh-CN"/>
        </w:rPr>
        <w:t>We have seen that in formulating the Covenant of Redemption the Father also had in view a Covenant of Grace between God and men.</w:t>
      </w:r>
    </w:p>
    <w:p w14:paraId="70FD0802">
      <w:pPr>
        <w:tabs>
          <w:tab w:val="left" w:pos="2120"/>
        </w:tabs>
        <w:bidi w:val="0"/>
        <w:jc w:val="left"/>
        <w:rPr>
          <w:rFonts w:hint="eastAsia" w:eastAsia="宋体"/>
          <w:sz w:val="30"/>
          <w:szCs w:val="30"/>
          <w:lang w:eastAsia="zh-CN"/>
        </w:rPr>
      </w:pPr>
      <w:r>
        <w:rPr>
          <w:rFonts w:hint="eastAsia" w:eastAsia="宋体"/>
          <w:sz w:val="30"/>
          <w:szCs w:val="30"/>
          <w:lang w:eastAsia="zh-CN"/>
        </w:rPr>
        <w:t>我们已经看到，在制定救赎之约时，父心中也想着一个上帝与人之间的恩典之约。</w:t>
      </w:r>
    </w:p>
    <w:p w14:paraId="3B96E438">
      <w:pPr>
        <w:tabs>
          <w:tab w:val="left" w:pos="2120"/>
        </w:tabs>
        <w:bidi w:val="0"/>
        <w:jc w:val="left"/>
        <w:rPr>
          <w:rFonts w:hint="eastAsia" w:eastAsia="宋体"/>
          <w:sz w:val="30"/>
          <w:szCs w:val="30"/>
          <w:lang w:eastAsia="zh-CN"/>
        </w:rPr>
      </w:pPr>
    </w:p>
    <w:p w14:paraId="5145AA9A">
      <w:pPr>
        <w:tabs>
          <w:tab w:val="left" w:pos="2120"/>
        </w:tabs>
        <w:bidi w:val="0"/>
        <w:jc w:val="left"/>
        <w:rPr>
          <w:rFonts w:hint="eastAsia" w:eastAsia="宋体"/>
          <w:sz w:val="30"/>
          <w:szCs w:val="30"/>
          <w:lang w:eastAsia="zh-CN"/>
        </w:rPr>
      </w:pPr>
      <w:r>
        <w:rPr>
          <w:rFonts w:hint="eastAsia" w:eastAsia="宋体"/>
          <w:sz w:val="30"/>
          <w:szCs w:val="30"/>
          <w:lang w:eastAsia="zh-CN"/>
        </w:rPr>
        <w:t>The agreement made with the Son in eternity past must be played out upon the stage of world history.</w:t>
      </w:r>
    </w:p>
    <w:p w14:paraId="0DE927E0">
      <w:pPr>
        <w:tabs>
          <w:tab w:val="left" w:pos="2120"/>
        </w:tabs>
        <w:bidi w:val="0"/>
        <w:jc w:val="left"/>
        <w:rPr>
          <w:rFonts w:hint="eastAsia" w:eastAsia="宋体"/>
          <w:sz w:val="30"/>
          <w:szCs w:val="30"/>
          <w:lang w:eastAsia="zh-CN"/>
        </w:rPr>
      </w:pPr>
      <w:r>
        <w:rPr>
          <w:rFonts w:hint="eastAsia" w:eastAsia="宋体"/>
          <w:sz w:val="30"/>
          <w:szCs w:val="30"/>
          <w:lang w:eastAsia="zh-CN"/>
        </w:rPr>
        <w:t>在永恒的过去与子所立的协议，必须在世界历史的舞台上演出来。</w:t>
      </w:r>
    </w:p>
    <w:p w14:paraId="676C1649">
      <w:pPr>
        <w:tabs>
          <w:tab w:val="left" w:pos="2120"/>
        </w:tabs>
        <w:bidi w:val="0"/>
        <w:jc w:val="left"/>
        <w:rPr>
          <w:rFonts w:hint="eastAsia" w:eastAsia="宋体"/>
          <w:sz w:val="30"/>
          <w:szCs w:val="30"/>
          <w:lang w:eastAsia="zh-CN"/>
        </w:rPr>
      </w:pPr>
    </w:p>
    <w:p w14:paraId="41FDB6D0">
      <w:pPr>
        <w:tabs>
          <w:tab w:val="left" w:pos="2120"/>
        </w:tabs>
        <w:bidi w:val="0"/>
        <w:jc w:val="left"/>
        <w:rPr>
          <w:rFonts w:hint="eastAsia" w:eastAsia="宋体"/>
          <w:sz w:val="30"/>
          <w:szCs w:val="30"/>
          <w:lang w:eastAsia="zh-CN"/>
        </w:rPr>
      </w:pPr>
      <w:r>
        <w:rPr>
          <w:rFonts w:hint="eastAsia" w:eastAsia="宋体"/>
          <w:sz w:val="30"/>
          <w:szCs w:val="30"/>
          <w:lang w:eastAsia="zh-CN"/>
        </w:rPr>
        <w:t>As we will soon see, in OT times God administered this covenant in a veiled manner on several different occasions.</w:t>
      </w:r>
    </w:p>
    <w:p w14:paraId="22EFFB45">
      <w:pPr>
        <w:tabs>
          <w:tab w:val="left" w:pos="2120"/>
        </w:tabs>
        <w:bidi w:val="0"/>
        <w:jc w:val="left"/>
        <w:rPr>
          <w:rFonts w:hint="eastAsia" w:eastAsia="宋体"/>
          <w:sz w:val="30"/>
          <w:szCs w:val="30"/>
          <w:lang w:eastAsia="zh-CN"/>
        </w:rPr>
      </w:pPr>
      <w:r>
        <w:rPr>
          <w:rFonts w:hint="eastAsia" w:eastAsia="宋体"/>
          <w:sz w:val="30"/>
          <w:szCs w:val="30"/>
          <w:lang w:eastAsia="zh-CN"/>
        </w:rPr>
        <w:t>我们很快就会看到，在旧约时代，上帝在几个不同的场合以一种蒙着帕子的方式施行这个约。</w:t>
      </w:r>
    </w:p>
    <w:p w14:paraId="7D7DC4E9">
      <w:pPr>
        <w:tabs>
          <w:tab w:val="left" w:pos="2120"/>
        </w:tabs>
        <w:bidi w:val="0"/>
        <w:jc w:val="left"/>
        <w:rPr>
          <w:rFonts w:hint="eastAsia" w:eastAsia="宋体"/>
          <w:sz w:val="30"/>
          <w:szCs w:val="30"/>
          <w:lang w:eastAsia="zh-CN"/>
        </w:rPr>
      </w:pPr>
    </w:p>
    <w:p w14:paraId="15DE4A09">
      <w:pPr>
        <w:tabs>
          <w:tab w:val="left" w:pos="2120"/>
        </w:tabs>
        <w:bidi w:val="0"/>
        <w:jc w:val="left"/>
        <w:rPr>
          <w:rFonts w:hint="eastAsia" w:eastAsia="宋体"/>
          <w:sz w:val="30"/>
          <w:szCs w:val="30"/>
          <w:lang w:eastAsia="zh-CN"/>
        </w:rPr>
      </w:pPr>
      <w:r>
        <w:rPr>
          <w:rFonts w:hint="eastAsia" w:eastAsia="宋体"/>
          <w:sz w:val="30"/>
          <w:szCs w:val="30"/>
          <w:lang w:eastAsia="zh-CN"/>
        </w:rPr>
        <w:t>In NT times, he unveils and administers it on many different occasions.</w:t>
      </w:r>
    </w:p>
    <w:p w14:paraId="21A6E12F">
      <w:pPr>
        <w:tabs>
          <w:tab w:val="left" w:pos="2120"/>
        </w:tabs>
        <w:bidi w:val="0"/>
        <w:jc w:val="left"/>
        <w:rPr>
          <w:rFonts w:hint="eastAsia" w:eastAsia="宋体"/>
          <w:sz w:val="30"/>
          <w:szCs w:val="30"/>
          <w:lang w:eastAsia="zh-CN"/>
        </w:rPr>
      </w:pPr>
      <w:r>
        <w:rPr>
          <w:rFonts w:hint="eastAsia" w:eastAsia="宋体"/>
          <w:sz w:val="30"/>
          <w:szCs w:val="30"/>
          <w:lang w:eastAsia="zh-CN"/>
        </w:rPr>
        <w:t>在新约时代，祂在许多不同的场合揭示并施行它。</w:t>
      </w:r>
    </w:p>
    <w:p w14:paraId="7AB3DA48">
      <w:pPr>
        <w:tabs>
          <w:tab w:val="left" w:pos="2120"/>
        </w:tabs>
        <w:bidi w:val="0"/>
        <w:jc w:val="left"/>
        <w:rPr>
          <w:rFonts w:hint="eastAsia" w:eastAsia="宋体"/>
          <w:sz w:val="30"/>
          <w:szCs w:val="30"/>
          <w:lang w:eastAsia="zh-CN"/>
        </w:rPr>
      </w:pPr>
    </w:p>
    <w:p w14:paraId="1F395DE6">
      <w:pPr>
        <w:tabs>
          <w:tab w:val="left" w:pos="2120"/>
        </w:tabs>
        <w:bidi w:val="0"/>
        <w:jc w:val="left"/>
        <w:rPr>
          <w:rFonts w:hint="eastAsia" w:eastAsia="宋体"/>
          <w:sz w:val="30"/>
          <w:szCs w:val="30"/>
          <w:lang w:eastAsia="zh-CN"/>
        </w:rPr>
      </w:pPr>
      <w:r>
        <w:rPr>
          <w:rFonts w:hint="eastAsia" w:eastAsia="宋体"/>
          <w:sz w:val="30"/>
          <w:szCs w:val="30"/>
          <w:lang w:eastAsia="zh-CN"/>
        </w:rPr>
        <w:t>The idea of unveiling is crucial.</w:t>
      </w:r>
    </w:p>
    <w:p w14:paraId="2B8B5BDE">
      <w:pPr>
        <w:tabs>
          <w:tab w:val="left" w:pos="2120"/>
        </w:tabs>
        <w:bidi w:val="0"/>
        <w:jc w:val="left"/>
        <w:rPr>
          <w:rFonts w:hint="eastAsia" w:eastAsia="宋体"/>
          <w:sz w:val="30"/>
          <w:szCs w:val="30"/>
          <w:lang w:eastAsia="zh-CN"/>
        </w:rPr>
      </w:pPr>
      <w:r>
        <w:rPr>
          <w:rFonts w:hint="eastAsia" w:eastAsia="宋体"/>
          <w:sz w:val="30"/>
          <w:szCs w:val="30"/>
          <w:lang w:eastAsia="zh-CN"/>
        </w:rPr>
        <w:t>揭示的观念至关重要。</w:t>
      </w:r>
    </w:p>
    <w:p w14:paraId="16EF6F1E">
      <w:pPr>
        <w:tabs>
          <w:tab w:val="left" w:pos="2120"/>
        </w:tabs>
        <w:bidi w:val="0"/>
        <w:jc w:val="left"/>
        <w:rPr>
          <w:rFonts w:hint="eastAsia" w:eastAsia="宋体"/>
          <w:sz w:val="30"/>
          <w:szCs w:val="30"/>
          <w:lang w:eastAsia="zh-CN"/>
        </w:rPr>
      </w:pPr>
    </w:p>
    <w:p w14:paraId="40ECB249">
      <w:pPr>
        <w:tabs>
          <w:tab w:val="left" w:pos="2120"/>
        </w:tabs>
        <w:bidi w:val="0"/>
        <w:jc w:val="left"/>
        <w:rPr>
          <w:rFonts w:hint="eastAsia" w:eastAsia="宋体"/>
          <w:sz w:val="30"/>
          <w:szCs w:val="30"/>
          <w:lang w:eastAsia="zh-CN"/>
        </w:rPr>
      </w:pPr>
      <w:r>
        <w:rPr>
          <w:rFonts w:hint="eastAsia" w:eastAsia="宋体"/>
          <w:sz w:val="30"/>
          <w:szCs w:val="30"/>
          <w:lang w:eastAsia="zh-CN"/>
        </w:rPr>
        <w:t>Once Christ had entered the world, lived, died, risen again, returned to heaven, and sent forth the Holy Spirit, the mystery of God became an open secret: the Eternal Covenant was on full display before men and angels, so that all the elements of the Covenant of Grace— the terms of eternal salvation—could go forth as Good News to all the nations of the earth.</w:t>
      </w:r>
    </w:p>
    <w:p w14:paraId="31CEDFB4">
      <w:pPr>
        <w:tabs>
          <w:tab w:val="left" w:pos="2120"/>
        </w:tabs>
        <w:bidi w:val="0"/>
        <w:jc w:val="left"/>
        <w:rPr>
          <w:rFonts w:hint="eastAsia" w:eastAsia="宋体"/>
          <w:sz w:val="30"/>
          <w:szCs w:val="30"/>
          <w:lang w:eastAsia="zh-CN"/>
        </w:rPr>
      </w:pPr>
      <w:r>
        <w:rPr>
          <w:rFonts w:hint="eastAsia" w:eastAsia="宋体"/>
          <w:sz w:val="30"/>
          <w:szCs w:val="30"/>
          <w:lang w:eastAsia="zh-CN"/>
        </w:rPr>
        <w:t>一旦基督进入世界，生活、死亡、复活、回到天上，并差遣圣灵降下，上帝的奥秘就成了一个公开的秘密：永恒之约在世人和天使面前完全展示出来，以致恩典之约的所有要素——永恒救恩的条款——能作为福音传到地上的万国。</w:t>
      </w:r>
    </w:p>
    <w:p w14:paraId="42B69D60">
      <w:pPr>
        <w:tabs>
          <w:tab w:val="left" w:pos="2120"/>
        </w:tabs>
        <w:bidi w:val="0"/>
        <w:jc w:val="left"/>
        <w:rPr>
          <w:rFonts w:hint="eastAsia" w:eastAsia="宋体"/>
          <w:sz w:val="30"/>
          <w:szCs w:val="30"/>
          <w:lang w:eastAsia="zh-CN"/>
        </w:rPr>
      </w:pPr>
    </w:p>
    <w:p w14:paraId="58CB4775">
      <w:pPr>
        <w:tabs>
          <w:tab w:val="left" w:pos="2120"/>
        </w:tabs>
        <w:bidi w:val="0"/>
        <w:jc w:val="left"/>
        <w:rPr>
          <w:rFonts w:hint="eastAsia" w:eastAsia="宋体"/>
          <w:sz w:val="30"/>
          <w:szCs w:val="30"/>
          <w:lang w:eastAsia="zh-CN"/>
        </w:rPr>
      </w:pPr>
      <w:r>
        <w:rPr>
          <w:rFonts w:hint="eastAsia" w:eastAsia="宋体"/>
          <w:sz w:val="30"/>
          <w:szCs w:val="30"/>
          <w:lang w:eastAsia="zh-CN"/>
        </w:rPr>
        <w:t>The Covenant of Grace is, then, none other than the Gospel, which Christ commands his Church to proclaim and teach to all creation (Mt. 28:18ff).</w:t>
      </w:r>
    </w:p>
    <w:p w14:paraId="574139ED">
      <w:pPr>
        <w:tabs>
          <w:tab w:val="left" w:pos="2120"/>
        </w:tabs>
        <w:bidi w:val="0"/>
        <w:jc w:val="left"/>
        <w:rPr>
          <w:rFonts w:hint="eastAsia" w:eastAsia="宋体"/>
          <w:sz w:val="30"/>
          <w:szCs w:val="30"/>
          <w:lang w:eastAsia="zh-CN"/>
        </w:rPr>
      </w:pPr>
      <w:r>
        <w:rPr>
          <w:rFonts w:hint="eastAsia" w:eastAsia="宋体"/>
          <w:sz w:val="30"/>
          <w:szCs w:val="30"/>
          <w:lang w:eastAsia="zh-CN"/>
        </w:rPr>
        <w:t>因此，恩典之约正是福音，是基督命令祂的教会向所有受造之物宣讲和教导的（太 28:18ff）。</w:t>
      </w:r>
    </w:p>
    <w:p w14:paraId="435A86C4">
      <w:pPr>
        <w:tabs>
          <w:tab w:val="left" w:pos="2120"/>
        </w:tabs>
        <w:bidi w:val="0"/>
        <w:jc w:val="left"/>
        <w:rPr>
          <w:rFonts w:hint="eastAsia" w:eastAsia="宋体"/>
          <w:sz w:val="30"/>
          <w:szCs w:val="30"/>
          <w:lang w:eastAsia="zh-CN"/>
        </w:rPr>
      </w:pPr>
    </w:p>
    <w:p w14:paraId="5759C280">
      <w:pPr>
        <w:tabs>
          <w:tab w:val="left" w:pos="2120"/>
        </w:tabs>
        <w:bidi w:val="0"/>
        <w:jc w:val="left"/>
        <w:rPr>
          <w:rFonts w:hint="eastAsia" w:eastAsia="宋体"/>
          <w:sz w:val="30"/>
          <w:szCs w:val="30"/>
          <w:lang w:eastAsia="zh-CN"/>
        </w:rPr>
      </w:pPr>
      <w:r>
        <w:rPr>
          <w:rFonts w:hint="eastAsia" w:eastAsia="宋体"/>
          <w:sz w:val="30"/>
          <w:szCs w:val="30"/>
          <w:lang w:eastAsia="zh-CN"/>
        </w:rPr>
        <w:t>She is to explain that the parties of the covenant are God and believing sinners.</w:t>
      </w:r>
    </w:p>
    <w:p w14:paraId="47205675">
      <w:pPr>
        <w:tabs>
          <w:tab w:val="left" w:pos="2120"/>
        </w:tabs>
        <w:bidi w:val="0"/>
        <w:jc w:val="left"/>
        <w:rPr>
          <w:rFonts w:hint="eastAsia" w:eastAsia="宋体"/>
          <w:sz w:val="30"/>
          <w:szCs w:val="30"/>
          <w:lang w:eastAsia="zh-CN"/>
        </w:rPr>
      </w:pPr>
      <w:r>
        <w:rPr>
          <w:rFonts w:hint="eastAsia" w:eastAsia="宋体"/>
          <w:sz w:val="30"/>
          <w:szCs w:val="30"/>
          <w:lang w:eastAsia="zh-CN"/>
        </w:rPr>
        <w:t>她（教会）要解释说，这约的立约方是上帝和相信的罪人。</w:t>
      </w:r>
    </w:p>
    <w:p w14:paraId="6DD33708">
      <w:pPr>
        <w:tabs>
          <w:tab w:val="left" w:pos="2120"/>
        </w:tabs>
        <w:bidi w:val="0"/>
        <w:jc w:val="left"/>
        <w:rPr>
          <w:rFonts w:hint="eastAsia" w:eastAsia="宋体"/>
          <w:sz w:val="30"/>
          <w:szCs w:val="30"/>
          <w:lang w:eastAsia="zh-CN"/>
        </w:rPr>
      </w:pPr>
    </w:p>
    <w:p w14:paraId="251FD5C0">
      <w:pPr>
        <w:tabs>
          <w:tab w:val="left" w:pos="2120"/>
        </w:tabs>
        <w:bidi w:val="0"/>
        <w:jc w:val="left"/>
        <w:rPr>
          <w:rFonts w:hint="eastAsia" w:eastAsia="宋体"/>
          <w:sz w:val="30"/>
          <w:szCs w:val="30"/>
          <w:lang w:eastAsia="zh-CN"/>
        </w:rPr>
      </w:pPr>
      <w:r>
        <w:rPr>
          <w:rFonts w:hint="eastAsia" w:eastAsia="宋体"/>
          <w:sz w:val="30"/>
          <w:szCs w:val="30"/>
          <w:lang w:eastAsia="zh-CN"/>
        </w:rPr>
        <w:t>The gracious provision of the covenant is the Lord Jesus Christ: the Son of God and the Last Adam, the One whose active and passive obedience secure a full redemption, thereby making the covenant relationship itself possible.</w:t>
      </w:r>
    </w:p>
    <w:p w14:paraId="4C46D8B8">
      <w:pPr>
        <w:tabs>
          <w:tab w:val="left" w:pos="2120"/>
        </w:tabs>
        <w:bidi w:val="0"/>
        <w:jc w:val="left"/>
        <w:rPr>
          <w:rFonts w:hint="eastAsia" w:eastAsia="宋体"/>
          <w:sz w:val="30"/>
          <w:szCs w:val="30"/>
          <w:lang w:eastAsia="zh-CN"/>
        </w:rPr>
      </w:pPr>
      <w:r>
        <w:rPr>
          <w:rFonts w:hint="eastAsia" w:eastAsia="宋体"/>
          <w:sz w:val="30"/>
          <w:szCs w:val="30"/>
          <w:lang w:eastAsia="zh-CN"/>
        </w:rPr>
        <w:t>此约的恩典预备是主耶稣基督：上帝的儿子和末后的亚当，祂的主动和被动顺服确保了完全的救赎，从而使约的关系本身成为可能。</w:t>
      </w:r>
    </w:p>
    <w:p w14:paraId="48FBEAE6">
      <w:pPr>
        <w:tabs>
          <w:tab w:val="left" w:pos="2120"/>
        </w:tabs>
        <w:bidi w:val="0"/>
        <w:jc w:val="left"/>
        <w:rPr>
          <w:rFonts w:hint="eastAsia" w:eastAsia="宋体"/>
          <w:sz w:val="30"/>
          <w:szCs w:val="30"/>
          <w:lang w:eastAsia="zh-CN"/>
        </w:rPr>
      </w:pPr>
    </w:p>
    <w:p w14:paraId="2F413179">
      <w:pPr>
        <w:tabs>
          <w:tab w:val="left" w:pos="2120"/>
        </w:tabs>
        <w:bidi w:val="0"/>
        <w:jc w:val="left"/>
        <w:rPr>
          <w:rFonts w:hint="eastAsia" w:eastAsia="宋体"/>
          <w:sz w:val="30"/>
          <w:szCs w:val="30"/>
          <w:lang w:eastAsia="zh-CN"/>
        </w:rPr>
      </w:pPr>
      <w:r>
        <w:rPr>
          <w:rFonts w:hint="eastAsia" w:eastAsia="宋体"/>
          <w:sz w:val="30"/>
          <w:szCs w:val="30"/>
          <w:lang w:eastAsia="zh-CN"/>
        </w:rPr>
        <w:t>The promise of the covenant is eternal life with (and in) God; a life that begins with the gift of the Holy Spirit to each believer; a life that is consummated at Christ’s Parousia, when he himself introduces the Kingdom in its fullness to all believers.1</w:t>
      </w:r>
    </w:p>
    <w:p w14:paraId="6AF3BC8D">
      <w:pPr>
        <w:tabs>
          <w:tab w:val="left" w:pos="2120"/>
        </w:tabs>
        <w:bidi w:val="0"/>
        <w:jc w:val="left"/>
        <w:rPr>
          <w:rFonts w:hint="eastAsia" w:eastAsia="宋体"/>
          <w:sz w:val="30"/>
          <w:szCs w:val="30"/>
          <w:lang w:eastAsia="zh-CN"/>
        </w:rPr>
      </w:pPr>
      <w:r>
        <w:rPr>
          <w:rFonts w:hint="eastAsia" w:eastAsia="宋体"/>
          <w:sz w:val="30"/>
          <w:szCs w:val="30"/>
          <w:lang w:eastAsia="zh-CN"/>
        </w:rPr>
        <w:t>此约的应许是与上帝同在（并在上帝里面）的永生；这生命始于赐给每位信徒的圣灵的恩赐；这生命在基督再来时得以成全，那时祂亲自将完全的国度引介给所有信徒。1</w:t>
      </w:r>
    </w:p>
    <w:p w14:paraId="1D73F226">
      <w:pPr>
        <w:tabs>
          <w:tab w:val="left" w:pos="2120"/>
        </w:tabs>
        <w:bidi w:val="0"/>
        <w:jc w:val="left"/>
        <w:rPr>
          <w:rFonts w:hint="eastAsia" w:eastAsia="宋体"/>
          <w:sz w:val="30"/>
          <w:szCs w:val="30"/>
          <w:lang w:eastAsia="zh-CN"/>
        </w:rPr>
      </w:pPr>
    </w:p>
    <w:p w14:paraId="60D17B85">
      <w:pPr>
        <w:tabs>
          <w:tab w:val="left" w:pos="2120"/>
        </w:tabs>
        <w:bidi w:val="0"/>
        <w:jc w:val="left"/>
        <w:rPr>
          <w:rFonts w:hint="eastAsia" w:eastAsia="宋体"/>
          <w:sz w:val="30"/>
          <w:szCs w:val="30"/>
          <w:lang w:eastAsia="zh-CN"/>
        </w:rPr>
      </w:pPr>
      <w:r>
        <w:rPr>
          <w:rFonts w:hint="eastAsia" w:eastAsia="宋体"/>
          <w:sz w:val="30"/>
          <w:szCs w:val="30"/>
          <w:lang w:eastAsia="zh-CN"/>
        </w:rPr>
        <w:t>The proviso, or condition of entry into the covenant, is not any combination of human works, but simple faith in the all-sufficient work of Christ (John 6:29, Acts 16:31, Eph. 2:8-9).</w:t>
      </w:r>
    </w:p>
    <w:p w14:paraId="0B56223D">
      <w:pPr>
        <w:tabs>
          <w:tab w:val="left" w:pos="2120"/>
        </w:tabs>
        <w:bidi w:val="0"/>
        <w:jc w:val="left"/>
        <w:rPr>
          <w:rFonts w:hint="eastAsia" w:eastAsia="宋体"/>
          <w:sz w:val="30"/>
          <w:szCs w:val="30"/>
          <w:lang w:eastAsia="zh-CN"/>
        </w:rPr>
      </w:pPr>
      <w:r>
        <w:rPr>
          <w:rFonts w:hint="eastAsia" w:eastAsia="宋体"/>
          <w:sz w:val="30"/>
          <w:szCs w:val="30"/>
          <w:lang w:eastAsia="zh-CN"/>
        </w:rPr>
        <w:t>进入此约的附带条件，或说条件，不是任何人类行为的组合，而是单单相信基督那全备的工作（约 6:29, 徒 16:31, 弗 2:8-9）。</w:t>
      </w:r>
    </w:p>
    <w:p w14:paraId="2ADFD510">
      <w:pPr>
        <w:tabs>
          <w:tab w:val="left" w:pos="2120"/>
        </w:tabs>
        <w:bidi w:val="0"/>
        <w:jc w:val="left"/>
        <w:rPr>
          <w:rFonts w:hint="eastAsia" w:eastAsia="宋体"/>
          <w:sz w:val="30"/>
          <w:szCs w:val="30"/>
          <w:lang w:eastAsia="zh-CN"/>
        </w:rPr>
      </w:pPr>
    </w:p>
    <w:p w14:paraId="1D606B82">
      <w:pPr>
        <w:tabs>
          <w:tab w:val="left" w:pos="2120"/>
        </w:tabs>
        <w:bidi w:val="0"/>
        <w:jc w:val="left"/>
        <w:rPr>
          <w:rFonts w:hint="eastAsia" w:eastAsia="宋体"/>
          <w:sz w:val="30"/>
          <w:szCs w:val="30"/>
          <w:lang w:eastAsia="zh-CN"/>
        </w:rPr>
      </w:pPr>
      <w:r>
        <w:rPr>
          <w:rFonts w:hint="eastAsia" w:eastAsia="宋体"/>
          <w:sz w:val="30"/>
          <w:szCs w:val="30"/>
          <w:lang w:eastAsia="zh-CN"/>
        </w:rPr>
        <w:t>Finally, the penalty for all who disobediently spurn the provision of the covenant is eternal punishment.</w:t>
      </w:r>
    </w:p>
    <w:p w14:paraId="280939B1">
      <w:pPr>
        <w:tabs>
          <w:tab w:val="left" w:pos="2120"/>
        </w:tabs>
        <w:bidi w:val="0"/>
        <w:jc w:val="left"/>
        <w:rPr>
          <w:rFonts w:hint="eastAsia" w:eastAsia="宋体"/>
          <w:sz w:val="30"/>
          <w:szCs w:val="30"/>
          <w:lang w:eastAsia="zh-CN"/>
        </w:rPr>
      </w:pPr>
      <w:r>
        <w:rPr>
          <w:rFonts w:hint="eastAsia" w:eastAsia="宋体"/>
          <w:sz w:val="30"/>
          <w:szCs w:val="30"/>
          <w:lang w:eastAsia="zh-CN"/>
        </w:rPr>
        <w:t>最后，对于所有不顺服地藐视此约之预备的人，其刑罚是永恒的惩罚。</w:t>
      </w:r>
    </w:p>
    <w:p w14:paraId="23947F9A">
      <w:pPr>
        <w:tabs>
          <w:tab w:val="left" w:pos="2120"/>
        </w:tabs>
        <w:bidi w:val="0"/>
        <w:jc w:val="left"/>
        <w:rPr>
          <w:rFonts w:hint="eastAsia" w:eastAsia="宋体"/>
          <w:sz w:val="30"/>
          <w:szCs w:val="30"/>
          <w:lang w:eastAsia="zh-CN"/>
        </w:rPr>
      </w:pPr>
    </w:p>
    <w:p w14:paraId="203DF572">
      <w:pPr>
        <w:tabs>
          <w:tab w:val="left" w:pos="2120"/>
        </w:tabs>
        <w:bidi w:val="0"/>
        <w:jc w:val="left"/>
        <w:rPr>
          <w:rFonts w:hint="eastAsia" w:eastAsia="宋体"/>
          <w:sz w:val="30"/>
          <w:szCs w:val="30"/>
          <w:lang w:eastAsia="zh-CN"/>
        </w:rPr>
      </w:pPr>
      <w:r>
        <w:rPr>
          <w:rFonts w:hint="eastAsia" w:eastAsia="宋体"/>
          <w:sz w:val="30"/>
          <w:szCs w:val="30"/>
          <w:lang w:eastAsia="zh-CN"/>
        </w:rPr>
        <w:t>Again, through the preaching of the Gospel, God invites—indeed, commands—all who hear it to consider the claims of Christ; to weigh the manifold evidence graciously given to confirm those claims; to turn and come to the divine Prophet, Priest and King; and thus to enter into the Covenant of Grace with him (Mt. 11:28, John 5:40, 7:37, Acts 10:35, 17:30, 1 John 3:23, Rev. 22:17).</w:t>
      </w:r>
    </w:p>
    <w:p w14:paraId="5F9BEF77">
      <w:pPr>
        <w:tabs>
          <w:tab w:val="left" w:pos="2120"/>
        </w:tabs>
        <w:bidi w:val="0"/>
        <w:jc w:val="left"/>
        <w:rPr>
          <w:rFonts w:hint="eastAsia" w:eastAsia="宋体"/>
          <w:sz w:val="30"/>
          <w:szCs w:val="30"/>
          <w:lang w:eastAsia="zh-CN"/>
        </w:rPr>
      </w:pPr>
      <w:r>
        <w:rPr>
          <w:rFonts w:hint="eastAsia" w:eastAsia="宋体"/>
          <w:sz w:val="30"/>
          <w:szCs w:val="30"/>
          <w:lang w:eastAsia="zh-CN"/>
        </w:rPr>
        <w:t>再者，藉着福音的传讲，上帝邀请——实际上是命令——所有听到的人去思想基督的主张；去衡量为证实这些主张而恩慈地赐下的多重证据；去转向并来到这位神圣的先知、祭司和君王面前；从而与祂一同进入恩典之约（太 11:28, 约 5:40, 7:37, 徒 10:35, 17:30, 约一 3:23, 启 22:17）。</w:t>
      </w:r>
    </w:p>
    <w:p w14:paraId="0B44AB17">
      <w:pPr>
        <w:tabs>
          <w:tab w:val="left" w:pos="2120"/>
        </w:tabs>
        <w:bidi w:val="0"/>
        <w:jc w:val="left"/>
        <w:rPr>
          <w:rFonts w:hint="eastAsia" w:eastAsia="宋体"/>
          <w:sz w:val="30"/>
          <w:szCs w:val="30"/>
          <w:lang w:eastAsia="zh-CN"/>
        </w:rPr>
      </w:pPr>
    </w:p>
    <w:p w14:paraId="7A0725A6">
      <w:pPr>
        <w:tabs>
          <w:tab w:val="left" w:pos="2120"/>
        </w:tabs>
        <w:bidi w:val="0"/>
        <w:jc w:val="left"/>
        <w:rPr>
          <w:rFonts w:hint="eastAsia" w:eastAsia="宋体"/>
          <w:sz w:val="30"/>
          <w:szCs w:val="30"/>
          <w:lang w:eastAsia="zh-CN"/>
        </w:rPr>
      </w:pPr>
      <w:r>
        <w:rPr>
          <w:rFonts w:hint="eastAsia" w:eastAsia="宋体"/>
          <w:sz w:val="30"/>
          <w:szCs w:val="30"/>
          <w:lang w:eastAsia="zh-CN"/>
        </w:rPr>
        <w:t>Here, in the Church’s evangelistic thrust into the Domain of Darkness, is where the accent falls upon man’s obligation to respond: to receive the love of the truth (2 Thess. 2:10), to search diligently for it (Acts 17:11), to pray over it (Mt. 7:7), to inquire about it (Acts 8:31), and, in the end, to choose whom we will serve (Josh. 24:15, Luke 19:27, Heb. 13).</w:t>
      </w:r>
    </w:p>
    <w:p w14:paraId="34DC6118">
      <w:pPr>
        <w:tabs>
          <w:tab w:val="left" w:pos="2120"/>
        </w:tabs>
        <w:bidi w:val="0"/>
        <w:jc w:val="left"/>
        <w:rPr>
          <w:rFonts w:hint="eastAsia" w:eastAsia="宋体"/>
          <w:sz w:val="30"/>
          <w:szCs w:val="30"/>
          <w:lang w:eastAsia="zh-CN"/>
        </w:rPr>
      </w:pPr>
      <w:r>
        <w:rPr>
          <w:rFonts w:hint="eastAsia" w:eastAsia="宋体"/>
          <w:sz w:val="30"/>
          <w:szCs w:val="30"/>
          <w:lang w:eastAsia="zh-CN"/>
        </w:rPr>
        <w:t>在此，在教会向黑暗权势的福音推进中，重点落在了人回应的责任上：接受爱真理的心（帖后 2:10），殷勤地查考它（徒 17:11），为此祷告（太 7:7），询问它（徒 8:31），并且，最终，选择我们要事奉谁（书 24:15, 路 19:27, 来 13）。</w:t>
      </w:r>
    </w:p>
    <w:p w14:paraId="4C759FF2">
      <w:pPr>
        <w:tabs>
          <w:tab w:val="left" w:pos="2120"/>
        </w:tabs>
        <w:bidi w:val="0"/>
        <w:jc w:val="left"/>
        <w:rPr>
          <w:rFonts w:hint="eastAsia" w:eastAsia="宋体"/>
          <w:sz w:val="30"/>
          <w:szCs w:val="30"/>
          <w:lang w:eastAsia="zh-CN"/>
        </w:rPr>
      </w:pPr>
    </w:p>
    <w:p w14:paraId="28464176">
      <w:pPr>
        <w:tabs>
          <w:tab w:val="left" w:pos="2120"/>
        </w:tabs>
        <w:bidi w:val="0"/>
        <w:jc w:val="left"/>
        <w:rPr>
          <w:rFonts w:hint="eastAsia" w:eastAsia="宋体"/>
          <w:sz w:val="30"/>
          <w:szCs w:val="30"/>
          <w:lang w:eastAsia="zh-CN"/>
        </w:rPr>
      </w:pPr>
      <w:r>
        <w:rPr>
          <w:rFonts w:hint="eastAsia" w:eastAsia="宋体"/>
          <w:sz w:val="30"/>
          <w:szCs w:val="30"/>
          <w:lang w:eastAsia="zh-CN"/>
        </w:rPr>
        <w:t>And in thus inviting all, God will surely fulfill his commitment to his Son in the Covenant of Redemption, infallibly bringing his people to Christ, through whom they will indeed enter into an eternal covenant with him (Isaiah 8:18, John 6:37, 10:16, 17:6, Rom. 8:30, Heb. 2:13).</w:t>
      </w:r>
    </w:p>
    <w:p w14:paraId="7852A925">
      <w:pPr>
        <w:tabs>
          <w:tab w:val="left" w:pos="2120"/>
        </w:tabs>
        <w:bidi w:val="0"/>
        <w:jc w:val="left"/>
        <w:rPr>
          <w:rFonts w:hint="eastAsia" w:eastAsia="宋体"/>
          <w:sz w:val="30"/>
          <w:szCs w:val="30"/>
          <w:lang w:eastAsia="zh-CN"/>
        </w:rPr>
      </w:pPr>
      <w:r>
        <w:rPr>
          <w:rFonts w:hint="eastAsia" w:eastAsia="宋体"/>
          <w:sz w:val="30"/>
          <w:szCs w:val="30"/>
          <w:lang w:eastAsia="zh-CN"/>
        </w:rPr>
        <w:t>在如此邀请所有人的过程中，上帝必将履行祂在救赎之约中对祂儿子的承诺，万无一失地将祂的子民带到基督面前，藉着祂，他们确实将与祂订立永恒之约（以赛亚书 8:18, 约 6:37, 10:16, 17:6, 罗 8:30, 来 2:13）。</w:t>
      </w:r>
    </w:p>
    <w:p w14:paraId="19E8F380">
      <w:pPr>
        <w:tabs>
          <w:tab w:val="left" w:pos="2120"/>
        </w:tabs>
        <w:bidi w:val="0"/>
        <w:jc w:val="left"/>
        <w:rPr>
          <w:rFonts w:hint="eastAsia" w:eastAsia="宋体"/>
          <w:sz w:val="30"/>
          <w:szCs w:val="30"/>
          <w:lang w:eastAsia="zh-CN"/>
        </w:rPr>
      </w:pPr>
    </w:p>
    <w:p w14:paraId="5F8F3D55">
      <w:pPr>
        <w:tabs>
          <w:tab w:val="left" w:pos="2120"/>
        </w:tabs>
        <w:bidi w:val="0"/>
        <w:jc w:val="left"/>
        <w:rPr>
          <w:rFonts w:hint="eastAsia" w:eastAsia="宋体"/>
          <w:sz w:val="30"/>
          <w:szCs w:val="30"/>
          <w:lang w:eastAsia="zh-CN"/>
        </w:rPr>
      </w:pPr>
      <w:r>
        <w:rPr>
          <w:rFonts w:hint="eastAsia" w:eastAsia="宋体"/>
          <w:sz w:val="30"/>
          <w:szCs w:val="30"/>
          <w:lang w:eastAsia="zh-CN"/>
        </w:rPr>
        <w:t>The Eternal Covenant and Salvation History</w:t>
      </w:r>
    </w:p>
    <w:p w14:paraId="361A430E">
      <w:pPr>
        <w:tabs>
          <w:tab w:val="left" w:pos="2120"/>
        </w:tabs>
        <w:bidi w:val="0"/>
        <w:jc w:val="left"/>
        <w:rPr>
          <w:rFonts w:hint="eastAsia" w:eastAsia="宋体"/>
          <w:sz w:val="30"/>
          <w:szCs w:val="30"/>
          <w:lang w:eastAsia="zh-CN"/>
        </w:rPr>
      </w:pPr>
      <w:r>
        <w:rPr>
          <w:rFonts w:hint="eastAsia" w:eastAsia="宋体"/>
          <w:sz w:val="30"/>
          <w:szCs w:val="30"/>
          <w:lang w:eastAsia="zh-CN"/>
        </w:rPr>
        <w:t>永恒之约与救赎历史</w:t>
      </w:r>
    </w:p>
    <w:p w14:paraId="08073891">
      <w:pPr>
        <w:tabs>
          <w:tab w:val="left" w:pos="2120"/>
        </w:tabs>
        <w:bidi w:val="0"/>
        <w:jc w:val="left"/>
        <w:rPr>
          <w:rFonts w:hint="eastAsia" w:eastAsia="宋体"/>
          <w:sz w:val="30"/>
          <w:szCs w:val="30"/>
          <w:lang w:eastAsia="zh-CN"/>
        </w:rPr>
      </w:pPr>
    </w:p>
    <w:p w14:paraId="67AFF03F">
      <w:pPr>
        <w:tabs>
          <w:tab w:val="left" w:pos="2120"/>
        </w:tabs>
        <w:bidi w:val="0"/>
        <w:jc w:val="left"/>
        <w:rPr>
          <w:rFonts w:hint="eastAsia" w:eastAsia="宋体"/>
          <w:sz w:val="30"/>
          <w:szCs w:val="30"/>
          <w:lang w:eastAsia="zh-CN"/>
        </w:rPr>
      </w:pPr>
      <w:r>
        <w:rPr>
          <w:rFonts w:hint="eastAsia" w:eastAsia="宋体"/>
          <w:sz w:val="30"/>
          <w:szCs w:val="30"/>
          <w:lang w:eastAsia="zh-CN"/>
        </w:rPr>
        <w:t>Now we are ready to begin our journey through Salvation History.</w:t>
      </w:r>
    </w:p>
    <w:p w14:paraId="09E5D2FF">
      <w:pPr>
        <w:tabs>
          <w:tab w:val="left" w:pos="2120"/>
        </w:tabs>
        <w:bidi w:val="0"/>
        <w:jc w:val="left"/>
        <w:rPr>
          <w:rFonts w:hint="eastAsia" w:eastAsia="宋体"/>
          <w:sz w:val="30"/>
          <w:szCs w:val="30"/>
          <w:lang w:eastAsia="zh-CN"/>
        </w:rPr>
      </w:pPr>
      <w:r>
        <w:rPr>
          <w:rFonts w:hint="eastAsia" w:eastAsia="宋体"/>
          <w:sz w:val="30"/>
          <w:szCs w:val="30"/>
          <w:lang w:eastAsia="zh-CN"/>
        </w:rPr>
        <w:t>现在我们准备好开始我们穿越救赎历史的旅程了。</w:t>
      </w:r>
    </w:p>
    <w:p w14:paraId="43ADE530">
      <w:pPr>
        <w:tabs>
          <w:tab w:val="left" w:pos="2120"/>
        </w:tabs>
        <w:bidi w:val="0"/>
        <w:jc w:val="left"/>
        <w:rPr>
          <w:rFonts w:hint="eastAsia" w:eastAsia="宋体"/>
          <w:sz w:val="30"/>
          <w:szCs w:val="30"/>
          <w:lang w:eastAsia="zh-CN"/>
        </w:rPr>
      </w:pPr>
    </w:p>
    <w:p w14:paraId="3E33E463">
      <w:pPr>
        <w:tabs>
          <w:tab w:val="left" w:pos="2120"/>
        </w:tabs>
        <w:bidi w:val="0"/>
        <w:jc w:val="left"/>
        <w:rPr>
          <w:rFonts w:hint="eastAsia" w:eastAsia="宋体"/>
          <w:sz w:val="30"/>
          <w:szCs w:val="30"/>
          <w:lang w:eastAsia="zh-CN"/>
        </w:rPr>
      </w:pPr>
      <w:r>
        <w:rPr>
          <w:rFonts w:hint="eastAsia" w:eastAsia="宋体"/>
          <w:sz w:val="30"/>
          <w:szCs w:val="30"/>
          <w:lang w:eastAsia="zh-CN"/>
        </w:rPr>
        <w:t>Why?</w:t>
      </w:r>
    </w:p>
    <w:p w14:paraId="6B92308C">
      <w:pPr>
        <w:tabs>
          <w:tab w:val="left" w:pos="2120"/>
        </w:tabs>
        <w:bidi w:val="0"/>
        <w:jc w:val="left"/>
        <w:rPr>
          <w:rFonts w:hint="eastAsia" w:eastAsia="宋体"/>
          <w:sz w:val="30"/>
          <w:szCs w:val="30"/>
          <w:lang w:eastAsia="zh-CN"/>
        </w:rPr>
      </w:pPr>
      <w:r>
        <w:rPr>
          <w:rFonts w:hint="eastAsia" w:eastAsia="宋体"/>
          <w:sz w:val="30"/>
          <w:szCs w:val="30"/>
          <w:lang w:eastAsia="zh-CN"/>
        </w:rPr>
        <w:t>为什么？</w:t>
      </w:r>
    </w:p>
    <w:p w14:paraId="7340B4DD">
      <w:pPr>
        <w:tabs>
          <w:tab w:val="left" w:pos="2120"/>
        </w:tabs>
        <w:bidi w:val="0"/>
        <w:jc w:val="left"/>
        <w:rPr>
          <w:rFonts w:hint="eastAsia" w:eastAsia="宋体"/>
          <w:sz w:val="30"/>
          <w:szCs w:val="30"/>
          <w:lang w:eastAsia="zh-CN"/>
        </w:rPr>
      </w:pPr>
    </w:p>
    <w:p w14:paraId="432A1DCA">
      <w:pPr>
        <w:tabs>
          <w:tab w:val="left" w:pos="2120"/>
        </w:tabs>
        <w:bidi w:val="0"/>
        <w:jc w:val="left"/>
        <w:rPr>
          <w:rFonts w:hint="eastAsia" w:eastAsia="宋体"/>
          <w:sz w:val="30"/>
          <w:szCs w:val="30"/>
          <w:lang w:eastAsia="zh-CN"/>
        </w:rPr>
      </w:pPr>
      <w:r>
        <w:rPr>
          <w:rFonts w:hint="eastAsia" w:eastAsia="宋体"/>
          <w:sz w:val="30"/>
          <w:szCs w:val="30"/>
          <w:lang w:eastAsia="zh-CN"/>
        </w:rPr>
        <w:t>Because now we understand from the NT what Salvation History is: It is a progressive administration of the Eternal Covenant.</w:t>
      </w:r>
    </w:p>
    <w:p w14:paraId="5D87A65A">
      <w:pPr>
        <w:tabs>
          <w:tab w:val="left" w:pos="2120"/>
        </w:tabs>
        <w:bidi w:val="0"/>
        <w:jc w:val="left"/>
        <w:rPr>
          <w:rFonts w:hint="eastAsia" w:eastAsia="宋体"/>
          <w:sz w:val="30"/>
          <w:szCs w:val="30"/>
          <w:lang w:eastAsia="zh-CN"/>
        </w:rPr>
      </w:pPr>
      <w:r>
        <w:rPr>
          <w:rFonts w:hint="eastAsia" w:eastAsia="宋体"/>
          <w:sz w:val="30"/>
          <w:szCs w:val="30"/>
          <w:lang w:eastAsia="zh-CN"/>
        </w:rPr>
        <w:t>因为现在我们从新约中明白了救赎历史是什么：它是永恒之约的逐步施行。</w:t>
      </w:r>
    </w:p>
    <w:p w14:paraId="025DEA5A">
      <w:pPr>
        <w:tabs>
          <w:tab w:val="left" w:pos="2120"/>
        </w:tabs>
        <w:bidi w:val="0"/>
        <w:jc w:val="left"/>
        <w:rPr>
          <w:rFonts w:hint="eastAsia" w:eastAsia="宋体"/>
          <w:sz w:val="30"/>
          <w:szCs w:val="30"/>
          <w:lang w:eastAsia="zh-CN"/>
        </w:rPr>
      </w:pPr>
    </w:p>
    <w:p w14:paraId="5F693D2C">
      <w:pPr>
        <w:tabs>
          <w:tab w:val="left" w:pos="2120"/>
        </w:tabs>
        <w:bidi w:val="0"/>
        <w:jc w:val="left"/>
        <w:rPr>
          <w:rFonts w:hint="eastAsia" w:eastAsia="宋体"/>
          <w:sz w:val="30"/>
          <w:szCs w:val="30"/>
          <w:lang w:eastAsia="zh-CN"/>
        </w:rPr>
      </w:pPr>
      <w:r>
        <w:rPr>
          <w:rFonts w:hint="eastAsia" w:eastAsia="宋体"/>
          <w:sz w:val="30"/>
          <w:szCs w:val="30"/>
          <w:lang w:eastAsia="zh-CN"/>
        </w:rPr>
        <w:t>Before the Fall, there was no need of Salvation History.</w:t>
      </w:r>
    </w:p>
    <w:p w14:paraId="4018C694">
      <w:pPr>
        <w:tabs>
          <w:tab w:val="left" w:pos="2120"/>
        </w:tabs>
        <w:bidi w:val="0"/>
        <w:jc w:val="left"/>
        <w:rPr>
          <w:rFonts w:hint="eastAsia" w:eastAsia="宋体"/>
          <w:sz w:val="30"/>
          <w:szCs w:val="30"/>
          <w:lang w:eastAsia="zh-CN"/>
        </w:rPr>
      </w:pPr>
      <w:r>
        <w:rPr>
          <w:rFonts w:hint="eastAsia" w:eastAsia="宋体"/>
          <w:sz w:val="30"/>
          <w:szCs w:val="30"/>
          <w:lang w:eastAsia="zh-CN"/>
        </w:rPr>
        <w:t>在堕落之前，并不需要救赎历史。</w:t>
      </w:r>
    </w:p>
    <w:p w14:paraId="0D235E19">
      <w:pPr>
        <w:tabs>
          <w:tab w:val="left" w:pos="2120"/>
        </w:tabs>
        <w:bidi w:val="0"/>
        <w:jc w:val="left"/>
        <w:rPr>
          <w:rFonts w:hint="eastAsia" w:eastAsia="宋体"/>
          <w:sz w:val="30"/>
          <w:szCs w:val="30"/>
          <w:lang w:eastAsia="zh-CN"/>
        </w:rPr>
      </w:pPr>
    </w:p>
    <w:p w14:paraId="0BE1AC39">
      <w:pPr>
        <w:tabs>
          <w:tab w:val="left" w:pos="2120"/>
        </w:tabs>
        <w:bidi w:val="0"/>
        <w:jc w:val="left"/>
        <w:rPr>
          <w:rFonts w:hint="eastAsia" w:eastAsia="宋体"/>
          <w:sz w:val="30"/>
          <w:szCs w:val="30"/>
          <w:lang w:eastAsia="zh-CN"/>
        </w:rPr>
      </w:pPr>
      <w:r>
        <w:rPr>
          <w:rFonts w:hint="eastAsia" w:eastAsia="宋体"/>
          <w:sz w:val="30"/>
          <w:szCs w:val="30"/>
          <w:lang w:eastAsia="zh-CN"/>
        </w:rPr>
        <w:t>God was administering a Covenant of Works, a covenant of simple obedience to the word of God by which Adam might have placed himself once and for all under the headship of Christ, and by which he might have earned the reward of eternal life, ushering himself and his family into the Kingdom of God.</w:t>
      </w:r>
    </w:p>
    <w:p w14:paraId="3646CCB5">
      <w:pPr>
        <w:tabs>
          <w:tab w:val="left" w:pos="2120"/>
        </w:tabs>
        <w:bidi w:val="0"/>
        <w:jc w:val="left"/>
        <w:rPr>
          <w:rFonts w:hint="eastAsia" w:eastAsia="宋体"/>
          <w:sz w:val="30"/>
          <w:szCs w:val="30"/>
          <w:lang w:eastAsia="zh-CN"/>
        </w:rPr>
      </w:pPr>
      <w:r>
        <w:rPr>
          <w:rFonts w:hint="eastAsia" w:eastAsia="宋体"/>
          <w:sz w:val="30"/>
          <w:szCs w:val="30"/>
          <w:lang w:eastAsia="zh-CN"/>
        </w:rPr>
        <w:t>上帝正在施行一个行为之约，一个单单顺服上帝话语的约，亚当本可藉此将自己一劳永逸地置于基督的元首地位之下，并藉此赚得永生的奖赏，将自己和他的家庭带入上帝的国度。</w:t>
      </w:r>
    </w:p>
    <w:p w14:paraId="6214FD2B">
      <w:pPr>
        <w:tabs>
          <w:tab w:val="left" w:pos="2120"/>
        </w:tabs>
        <w:bidi w:val="0"/>
        <w:jc w:val="left"/>
        <w:rPr>
          <w:rFonts w:hint="eastAsia" w:eastAsia="宋体"/>
          <w:sz w:val="30"/>
          <w:szCs w:val="30"/>
          <w:lang w:eastAsia="zh-CN"/>
        </w:rPr>
      </w:pPr>
    </w:p>
    <w:p w14:paraId="3FFD33ED">
      <w:pPr>
        <w:tabs>
          <w:tab w:val="left" w:pos="2120"/>
        </w:tabs>
        <w:bidi w:val="0"/>
        <w:jc w:val="left"/>
        <w:rPr>
          <w:rFonts w:hint="eastAsia" w:eastAsia="宋体"/>
          <w:sz w:val="30"/>
          <w:szCs w:val="30"/>
          <w:lang w:eastAsia="zh-CN"/>
        </w:rPr>
      </w:pPr>
      <w:r>
        <w:rPr>
          <w:rFonts w:hint="eastAsia" w:eastAsia="宋体"/>
          <w:sz w:val="30"/>
          <w:szCs w:val="30"/>
          <w:lang w:eastAsia="zh-CN"/>
        </w:rPr>
        <w:t>However, at the Fall, Adam instituted—and subjected the whole world to—the Domain of Darkness.</w:t>
      </w:r>
    </w:p>
    <w:p w14:paraId="68D85147">
      <w:pPr>
        <w:tabs>
          <w:tab w:val="left" w:pos="2120"/>
        </w:tabs>
        <w:bidi w:val="0"/>
        <w:jc w:val="left"/>
        <w:rPr>
          <w:rFonts w:hint="eastAsia" w:eastAsia="宋体"/>
          <w:sz w:val="30"/>
          <w:szCs w:val="30"/>
          <w:lang w:eastAsia="zh-CN"/>
        </w:rPr>
      </w:pPr>
      <w:r>
        <w:rPr>
          <w:rFonts w:hint="eastAsia" w:eastAsia="宋体"/>
          <w:sz w:val="30"/>
          <w:szCs w:val="30"/>
          <w:lang w:eastAsia="zh-CN"/>
        </w:rPr>
        <w:t>然而，在堕落时，亚当建立并使整个世界屈服于黑暗的权势之下。</w:t>
      </w:r>
    </w:p>
    <w:p w14:paraId="5CBE0203">
      <w:pPr>
        <w:tabs>
          <w:tab w:val="left" w:pos="2120"/>
        </w:tabs>
        <w:bidi w:val="0"/>
        <w:jc w:val="left"/>
        <w:rPr>
          <w:rFonts w:hint="eastAsia" w:eastAsia="宋体"/>
          <w:sz w:val="30"/>
          <w:szCs w:val="30"/>
          <w:lang w:eastAsia="zh-CN"/>
        </w:rPr>
      </w:pPr>
    </w:p>
    <w:p w14:paraId="0C3548D9">
      <w:pPr>
        <w:tabs>
          <w:tab w:val="left" w:pos="2120"/>
        </w:tabs>
        <w:bidi w:val="0"/>
        <w:jc w:val="left"/>
        <w:rPr>
          <w:rFonts w:hint="eastAsia" w:eastAsia="宋体"/>
          <w:sz w:val="30"/>
          <w:szCs w:val="30"/>
          <w:lang w:eastAsia="zh-CN"/>
        </w:rPr>
      </w:pPr>
      <w:r>
        <w:rPr>
          <w:rFonts w:hint="eastAsia" w:eastAsia="宋体"/>
          <w:sz w:val="30"/>
          <w:szCs w:val="30"/>
          <w:lang w:eastAsia="zh-CN"/>
        </w:rPr>
        <w:t>Therefore, after the Fall a different kind of history—a Salvation History—begins, with God over and again graciously coming to men and offering them the promise of the Covenant of Grace: eternal life in his Kingdom, receivable not by works, but upon condition of simple faith in the divine Person and finished Work of the Redeemer: the Provision of the covenant, the Lord Jesus Christ.</w:t>
      </w:r>
    </w:p>
    <w:p w14:paraId="18CC983A">
      <w:pPr>
        <w:tabs>
          <w:tab w:val="left" w:pos="2120"/>
        </w:tabs>
        <w:bidi w:val="0"/>
        <w:jc w:val="left"/>
        <w:rPr>
          <w:rFonts w:hint="eastAsia" w:eastAsia="宋体"/>
          <w:sz w:val="30"/>
          <w:szCs w:val="30"/>
          <w:lang w:eastAsia="zh-CN"/>
        </w:rPr>
      </w:pPr>
      <w:r>
        <w:rPr>
          <w:rFonts w:hint="eastAsia" w:eastAsia="宋体"/>
          <w:sz w:val="30"/>
          <w:szCs w:val="30"/>
          <w:lang w:eastAsia="zh-CN"/>
        </w:rPr>
        <w:t>因此，在堕落之后，一种不同的历史——救赎历史——开始了，上帝一次又一次地恩慈地临到世人，向他们提供恩典之约的应许：在祂国度里的永生，不是靠行为，而是以单单相信救赎主的神圣位格和已成之工为条件领受的：这约的预备，就是主耶稣基督。</w:t>
      </w:r>
    </w:p>
    <w:p w14:paraId="55A9EF5C">
      <w:pPr>
        <w:tabs>
          <w:tab w:val="left" w:pos="2120"/>
        </w:tabs>
        <w:bidi w:val="0"/>
        <w:jc w:val="left"/>
        <w:rPr>
          <w:rFonts w:hint="eastAsia" w:eastAsia="宋体"/>
          <w:sz w:val="30"/>
          <w:szCs w:val="30"/>
          <w:lang w:eastAsia="zh-CN"/>
        </w:rPr>
      </w:pPr>
    </w:p>
    <w:p w14:paraId="1A501768">
      <w:pPr>
        <w:tabs>
          <w:tab w:val="left" w:pos="2120"/>
        </w:tabs>
        <w:bidi w:val="0"/>
        <w:jc w:val="left"/>
        <w:rPr>
          <w:rFonts w:hint="eastAsia" w:eastAsia="宋体"/>
          <w:sz w:val="30"/>
          <w:szCs w:val="30"/>
          <w:lang w:eastAsia="zh-CN"/>
        </w:rPr>
      </w:pPr>
      <w:r>
        <w:rPr>
          <w:rFonts w:hint="eastAsia" w:eastAsia="宋体"/>
          <w:sz w:val="30"/>
          <w:szCs w:val="30"/>
          <w:lang w:eastAsia="zh-CN"/>
        </w:rPr>
        <w:t>In previous chapters we have gotten a feel for how the administration of the Covenant of Grace progresses through time.</w:t>
      </w:r>
    </w:p>
    <w:p w14:paraId="2EB5CB1F">
      <w:pPr>
        <w:tabs>
          <w:tab w:val="left" w:pos="2120"/>
        </w:tabs>
        <w:bidi w:val="0"/>
        <w:jc w:val="left"/>
        <w:rPr>
          <w:rFonts w:hint="eastAsia" w:eastAsia="宋体"/>
          <w:sz w:val="30"/>
          <w:szCs w:val="30"/>
          <w:lang w:eastAsia="zh-CN"/>
        </w:rPr>
      </w:pPr>
      <w:r>
        <w:rPr>
          <w:rFonts w:hint="eastAsia" w:eastAsia="宋体"/>
          <w:sz w:val="30"/>
          <w:szCs w:val="30"/>
          <w:lang w:eastAsia="zh-CN"/>
        </w:rPr>
        <w:t>在前面的章节中，我们已经对恩典之约的施行如何随时间进展有了一些感受。</w:t>
      </w:r>
    </w:p>
    <w:p w14:paraId="04F94F67">
      <w:pPr>
        <w:tabs>
          <w:tab w:val="left" w:pos="2120"/>
        </w:tabs>
        <w:bidi w:val="0"/>
        <w:jc w:val="left"/>
        <w:rPr>
          <w:rFonts w:hint="eastAsia" w:eastAsia="宋体"/>
          <w:sz w:val="30"/>
          <w:szCs w:val="30"/>
          <w:lang w:eastAsia="zh-CN"/>
        </w:rPr>
      </w:pPr>
    </w:p>
    <w:p w14:paraId="5F2AA882">
      <w:pPr>
        <w:tabs>
          <w:tab w:val="left" w:pos="2120"/>
        </w:tabs>
        <w:bidi w:val="0"/>
        <w:jc w:val="left"/>
        <w:rPr>
          <w:rFonts w:hint="eastAsia" w:eastAsia="宋体"/>
          <w:sz w:val="30"/>
          <w:szCs w:val="30"/>
          <w:lang w:eastAsia="zh-CN"/>
        </w:rPr>
      </w:pPr>
      <w:r>
        <w:rPr>
          <w:rFonts w:hint="eastAsia" w:eastAsia="宋体"/>
          <w:sz w:val="30"/>
          <w:szCs w:val="30"/>
          <w:lang w:eastAsia="zh-CN"/>
        </w:rPr>
        <w:t>Here it will be useful to summarize what we have learned so far, add a few important details, and then offer a preliminary picture of Salvation History as a whole.</w:t>
      </w:r>
    </w:p>
    <w:p w14:paraId="71E3DBBD">
      <w:pPr>
        <w:tabs>
          <w:tab w:val="left" w:pos="2120"/>
        </w:tabs>
        <w:bidi w:val="0"/>
        <w:jc w:val="left"/>
        <w:rPr>
          <w:rFonts w:hint="eastAsia" w:eastAsia="宋体"/>
          <w:sz w:val="30"/>
          <w:szCs w:val="30"/>
          <w:lang w:eastAsia="zh-CN"/>
        </w:rPr>
      </w:pPr>
      <w:r>
        <w:rPr>
          <w:rFonts w:hint="eastAsia" w:eastAsia="宋体"/>
          <w:sz w:val="30"/>
          <w:szCs w:val="30"/>
          <w:lang w:eastAsia="zh-CN"/>
        </w:rPr>
        <w:t>在此，总结我们到目前为止所学的，补充一些重要的细节，然后提供一个救赎历史的初步全貌将是有益的。</w:t>
      </w:r>
    </w:p>
    <w:p w14:paraId="756A7792">
      <w:pPr>
        <w:tabs>
          <w:tab w:val="left" w:pos="2120"/>
        </w:tabs>
        <w:bidi w:val="0"/>
        <w:jc w:val="left"/>
        <w:rPr>
          <w:rFonts w:hint="eastAsia" w:eastAsia="宋体"/>
          <w:sz w:val="30"/>
          <w:szCs w:val="30"/>
          <w:lang w:eastAsia="zh-CN"/>
        </w:rPr>
      </w:pPr>
    </w:p>
    <w:p w14:paraId="5E0EF2E3">
      <w:pPr>
        <w:tabs>
          <w:tab w:val="left" w:pos="2120"/>
        </w:tabs>
        <w:bidi w:val="0"/>
        <w:jc w:val="left"/>
        <w:rPr>
          <w:rFonts w:hint="eastAsia" w:eastAsia="宋体"/>
          <w:sz w:val="30"/>
          <w:szCs w:val="30"/>
          <w:lang w:eastAsia="zh-CN"/>
        </w:rPr>
      </w:pPr>
      <w:r>
        <w:rPr>
          <w:rFonts w:hint="eastAsia" w:eastAsia="宋体"/>
          <w:sz w:val="30"/>
          <w:szCs w:val="30"/>
          <w:lang w:eastAsia="zh-CN"/>
        </w:rPr>
        <w:t>At its most fundamental level, Salvation History is divided into two parts: the Era of Promise and Preparation, and the Era of Fulfillment.</w:t>
      </w:r>
    </w:p>
    <w:p w14:paraId="3A85EE4D">
      <w:pPr>
        <w:tabs>
          <w:tab w:val="left" w:pos="2120"/>
        </w:tabs>
        <w:bidi w:val="0"/>
        <w:jc w:val="left"/>
        <w:rPr>
          <w:rFonts w:hint="eastAsia" w:eastAsia="宋体"/>
          <w:sz w:val="30"/>
          <w:szCs w:val="30"/>
          <w:lang w:eastAsia="zh-CN"/>
        </w:rPr>
      </w:pPr>
      <w:r>
        <w:rPr>
          <w:rFonts w:hint="eastAsia" w:eastAsia="宋体"/>
          <w:sz w:val="30"/>
          <w:szCs w:val="30"/>
          <w:lang w:eastAsia="zh-CN"/>
        </w:rPr>
        <w:t>在最基本的层面上，救赎历史分为两部分：应许与预备的时代，和成全的时代。</w:t>
      </w:r>
    </w:p>
    <w:p w14:paraId="152C7E3F">
      <w:pPr>
        <w:tabs>
          <w:tab w:val="left" w:pos="2120"/>
        </w:tabs>
        <w:bidi w:val="0"/>
        <w:jc w:val="left"/>
        <w:rPr>
          <w:rFonts w:hint="eastAsia" w:eastAsia="宋体"/>
          <w:sz w:val="30"/>
          <w:szCs w:val="30"/>
          <w:lang w:eastAsia="zh-CN"/>
        </w:rPr>
      </w:pPr>
    </w:p>
    <w:p w14:paraId="7B99C793">
      <w:pPr>
        <w:tabs>
          <w:tab w:val="left" w:pos="2120"/>
        </w:tabs>
        <w:bidi w:val="0"/>
        <w:jc w:val="left"/>
        <w:rPr>
          <w:rFonts w:hint="eastAsia" w:eastAsia="宋体"/>
          <w:sz w:val="30"/>
          <w:szCs w:val="30"/>
          <w:lang w:eastAsia="zh-CN"/>
        </w:rPr>
      </w:pPr>
      <w:r>
        <w:rPr>
          <w:rFonts w:hint="eastAsia" w:eastAsia="宋体"/>
          <w:sz w:val="30"/>
          <w:szCs w:val="30"/>
          <w:lang w:eastAsia="zh-CN"/>
        </w:rPr>
        <w:t>Let us briefly survey each.</w:t>
      </w:r>
    </w:p>
    <w:p w14:paraId="12ABEB84">
      <w:pPr>
        <w:tabs>
          <w:tab w:val="left" w:pos="2120"/>
        </w:tabs>
        <w:bidi w:val="0"/>
        <w:jc w:val="left"/>
        <w:rPr>
          <w:rFonts w:hint="eastAsia" w:eastAsia="宋体"/>
          <w:sz w:val="30"/>
          <w:szCs w:val="30"/>
          <w:lang w:eastAsia="zh-CN"/>
        </w:rPr>
      </w:pPr>
      <w:r>
        <w:rPr>
          <w:rFonts w:hint="eastAsia" w:eastAsia="宋体"/>
          <w:sz w:val="30"/>
          <w:szCs w:val="30"/>
          <w:lang w:eastAsia="zh-CN"/>
        </w:rPr>
        <w:t>让我们简要地审视每一部分。</w:t>
      </w:r>
    </w:p>
    <w:p w14:paraId="3B25CCEE">
      <w:pPr>
        <w:tabs>
          <w:tab w:val="left" w:pos="2120"/>
        </w:tabs>
        <w:bidi w:val="0"/>
        <w:jc w:val="left"/>
        <w:rPr>
          <w:rFonts w:hint="eastAsia" w:eastAsia="宋体"/>
          <w:sz w:val="30"/>
          <w:szCs w:val="30"/>
          <w:lang w:eastAsia="zh-CN"/>
        </w:rPr>
      </w:pPr>
    </w:p>
    <w:p w14:paraId="314313A4">
      <w:pPr>
        <w:tabs>
          <w:tab w:val="left" w:pos="2120"/>
        </w:tabs>
        <w:bidi w:val="0"/>
        <w:jc w:val="left"/>
        <w:rPr>
          <w:rFonts w:hint="eastAsia" w:eastAsia="宋体"/>
          <w:sz w:val="30"/>
          <w:szCs w:val="30"/>
          <w:lang w:eastAsia="zh-CN"/>
        </w:rPr>
      </w:pPr>
      <w:r>
        <w:rPr>
          <w:rFonts w:hint="eastAsia" w:eastAsia="宋体"/>
          <w:sz w:val="30"/>
          <w:szCs w:val="30"/>
          <w:lang w:eastAsia="zh-CN"/>
        </w:rPr>
        <w:t>The Era of Promise and Preparation</w:t>
      </w:r>
    </w:p>
    <w:p w14:paraId="69CE84A4">
      <w:pPr>
        <w:tabs>
          <w:tab w:val="left" w:pos="2120"/>
        </w:tabs>
        <w:bidi w:val="0"/>
        <w:jc w:val="left"/>
        <w:rPr>
          <w:rFonts w:hint="eastAsia" w:eastAsia="宋体"/>
          <w:sz w:val="30"/>
          <w:szCs w:val="30"/>
          <w:lang w:eastAsia="zh-CN"/>
        </w:rPr>
      </w:pPr>
      <w:r>
        <w:rPr>
          <w:rFonts w:hint="eastAsia" w:eastAsia="宋体"/>
          <w:sz w:val="30"/>
          <w:szCs w:val="30"/>
          <w:lang w:eastAsia="zh-CN"/>
        </w:rPr>
        <w:t>应许与预备的时代</w:t>
      </w:r>
    </w:p>
    <w:p w14:paraId="5BBAE47B">
      <w:pPr>
        <w:tabs>
          <w:tab w:val="left" w:pos="2120"/>
        </w:tabs>
        <w:bidi w:val="0"/>
        <w:jc w:val="left"/>
        <w:rPr>
          <w:rFonts w:hint="eastAsia" w:eastAsia="宋体"/>
          <w:sz w:val="30"/>
          <w:szCs w:val="30"/>
          <w:lang w:eastAsia="zh-CN"/>
        </w:rPr>
      </w:pPr>
    </w:p>
    <w:p w14:paraId="43952475">
      <w:pPr>
        <w:tabs>
          <w:tab w:val="left" w:pos="2120"/>
        </w:tabs>
        <w:bidi w:val="0"/>
        <w:jc w:val="left"/>
        <w:rPr>
          <w:rFonts w:hint="eastAsia" w:eastAsia="宋体"/>
          <w:sz w:val="30"/>
          <w:szCs w:val="30"/>
          <w:lang w:eastAsia="zh-CN"/>
        </w:rPr>
      </w:pPr>
      <w:r>
        <w:rPr>
          <w:rFonts w:hint="eastAsia" w:eastAsia="宋体"/>
          <w:sz w:val="30"/>
          <w:szCs w:val="30"/>
          <w:lang w:eastAsia="zh-CN"/>
        </w:rPr>
        <w:t>The Era of Promise and Preparation spans the time between the Fall and the first coming of Christ.</w:t>
      </w:r>
    </w:p>
    <w:p w14:paraId="5AA5EEED">
      <w:pPr>
        <w:tabs>
          <w:tab w:val="left" w:pos="2120"/>
        </w:tabs>
        <w:bidi w:val="0"/>
        <w:jc w:val="left"/>
        <w:rPr>
          <w:rFonts w:hint="eastAsia" w:eastAsia="宋体"/>
          <w:sz w:val="30"/>
          <w:szCs w:val="30"/>
          <w:lang w:eastAsia="zh-CN"/>
        </w:rPr>
      </w:pPr>
      <w:r>
        <w:rPr>
          <w:rFonts w:hint="eastAsia" w:eastAsia="宋体"/>
          <w:sz w:val="30"/>
          <w:szCs w:val="30"/>
          <w:lang w:eastAsia="zh-CN"/>
        </w:rPr>
        <w:t>应许与预备的时代涵盖了从堕落到基督第一次降临之间的时间。</w:t>
      </w:r>
    </w:p>
    <w:p w14:paraId="5C2D8E2B">
      <w:pPr>
        <w:tabs>
          <w:tab w:val="left" w:pos="2120"/>
        </w:tabs>
        <w:bidi w:val="0"/>
        <w:jc w:val="left"/>
        <w:rPr>
          <w:rFonts w:hint="eastAsia" w:eastAsia="宋体"/>
          <w:sz w:val="30"/>
          <w:szCs w:val="30"/>
          <w:lang w:eastAsia="zh-CN"/>
        </w:rPr>
      </w:pPr>
    </w:p>
    <w:p w14:paraId="430129F8">
      <w:pPr>
        <w:tabs>
          <w:tab w:val="left" w:pos="2120"/>
        </w:tabs>
        <w:bidi w:val="0"/>
        <w:jc w:val="left"/>
        <w:rPr>
          <w:rFonts w:hint="eastAsia" w:eastAsia="宋体"/>
          <w:sz w:val="30"/>
          <w:szCs w:val="30"/>
          <w:lang w:eastAsia="zh-CN"/>
        </w:rPr>
      </w:pPr>
      <w:r>
        <w:rPr>
          <w:rFonts w:hint="eastAsia" w:eastAsia="宋体"/>
          <w:sz w:val="30"/>
          <w:szCs w:val="30"/>
          <w:lang w:eastAsia="zh-CN"/>
        </w:rPr>
        <w:t>The scriptural record of God’s acts during this period begins in Genesis 3 and concludes with Malachi 4.</w:t>
      </w:r>
    </w:p>
    <w:p w14:paraId="7E996473">
      <w:pPr>
        <w:tabs>
          <w:tab w:val="left" w:pos="2120"/>
        </w:tabs>
        <w:bidi w:val="0"/>
        <w:jc w:val="left"/>
        <w:rPr>
          <w:rFonts w:hint="eastAsia" w:eastAsia="宋体"/>
          <w:sz w:val="30"/>
          <w:szCs w:val="30"/>
          <w:lang w:eastAsia="zh-CN"/>
        </w:rPr>
      </w:pPr>
      <w:r>
        <w:rPr>
          <w:rFonts w:hint="eastAsia" w:eastAsia="宋体"/>
          <w:sz w:val="30"/>
          <w:szCs w:val="30"/>
          <w:lang w:eastAsia="zh-CN"/>
        </w:rPr>
        <w:t>圣经关于上帝在此期间作为的记载始于创世记第3章，结束于玛拉基书第4章。</w:t>
      </w:r>
    </w:p>
    <w:p w14:paraId="55667030">
      <w:pPr>
        <w:tabs>
          <w:tab w:val="left" w:pos="2120"/>
        </w:tabs>
        <w:bidi w:val="0"/>
        <w:jc w:val="left"/>
        <w:rPr>
          <w:rFonts w:hint="eastAsia" w:eastAsia="宋体"/>
          <w:sz w:val="30"/>
          <w:szCs w:val="30"/>
          <w:lang w:eastAsia="zh-CN"/>
        </w:rPr>
      </w:pPr>
    </w:p>
    <w:p w14:paraId="15DEDAD2">
      <w:pPr>
        <w:tabs>
          <w:tab w:val="left" w:pos="2120"/>
        </w:tabs>
        <w:bidi w:val="0"/>
        <w:jc w:val="left"/>
        <w:rPr>
          <w:rFonts w:hint="eastAsia" w:eastAsia="宋体"/>
          <w:sz w:val="30"/>
          <w:szCs w:val="30"/>
          <w:lang w:eastAsia="zh-CN"/>
        </w:rPr>
      </w:pPr>
      <w:r>
        <w:rPr>
          <w:rFonts w:hint="eastAsia" w:eastAsia="宋体"/>
          <w:sz w:val="30"/>
          <w:szCs w:val="30"/>
          <w:lang w:eastAsia="zh-CN"/>
        </w:rPr>
        <w:t>As we shall see later, it includes at least four OT administrations of the Covenant of Grace.</w:t>
      </w:r>
    </w:p>
    <w:p w14:paraId="77E6E842">
      <w:pPr>
        <w:tabs>
          <w:tab w:val="left" w:pos="2120"/>
        </w:tabs>
        <w:bidi w:val="0"/>
        <w:jc w:val="left"/>
        <w:rPr>
          <w:rFonts w:hint="eastAsia" w:eastAsia="宋体"/>
          <w:sz w:val="30"/>
          <w:szCs w:val="30"/>
          <w:lang w:eastAsia="zh-CN"/>
        </w:rPr>
      </w:pPr>
      <w:r>
        <w:rPr>
          <w:rFonts w:hint="eastAsia" w:eastAsia="宋体"/>
          <w:sz w:val="30"/>
          <w:szCs w:val="30"/>
          <w:lang w:eastAsia="zh-CN"/>
        </w:rPr>
        <w:t>我们稍后会看到，它至少包括旧约中恩典之约的四次施行。</w:t>
      </w:r>
    </w:p>
    <w:p w14:paraId="5FED3653">
      <w:pPr>
        <w:tabs>
          <w:tab w:val="left" w:pos="2120"/>
        </w:tabs>
        <w:bidi w:val="0"/>
        <w:jc w:val="left"/>
        <w:rPr>
          <w:rFonts w:hint="eastAsia" w:eastAsia="宋体"/>
          <w:sz w:val="30"/>
          <w:szCs w:val="30"/>
          <w:lang w:eastAsia="zh-CN"/>
        </w:rPr>
      </w:pPr>
    </w:p>
    <w:p w14:paraId="02DD2744">
      <w:pPr>
        <w:tabs>
          <w:tab w:val="left" w:pos="2120"/>
        </w:tabs>
        <w:bidi w:val="0"/>
        <w:jc w:val="left"/>
        <w:rPr>
          <w:rFonts w:hint="eastAsia" w:eastAsia="宋体"/>
          <w:sz w:val="30"/>
          <w:szCs w:val="30"/>
          <w:lang w:eastAsia="zh-CN"/>
        </w:rPr>
      </w:pPr>
      <w:r>
        <w:rPr>
          <w:rFonts w:hint="eastAsia" w:eastAsia="宋体"/>
          <w:sz w:val="30"/>
          <w:szCs w:val="30"/>
          <w:lang w:eastAsia="zh-CN"/>
        </w:rPr>
        <w:t>They all share three important characteristics.</w:t>
      </w:r>
    </w:p>
    <w:p w14:paraId="41DB1D8B">
      <w:pPr>
        <w:tabs>
          <w:tab w:val="left" w:pos="2120"/>
        </w:tabs>
        <w:bidi w:val="0"/>
        <w:jc w:val="left"/>
        <w:rPr>
          <w:rFonts w:hint="eastAsia" w:eastAsia="宋体"/>
          <w:sz w:val="30"/>
          <w:szCs w:val="30"/>
          <w:lang w:eastAsia="zh-CN"/>
        </w:rPr>
      </w:pPr>
      <w:r>
        <w:rPr>
          <w:rFonts w:hint="eastAsia" w:eastAsia="宋体"/>
          <w:sz w:val="30"/>
          <w:szCs w:val="30"/>
          <w:lang w:eastAsia="zh-CN"/>
        </w:rPr>
        <w:t>它们都共有三个重要的特征。</w:t>
      </w:r>
    </w:p>
    <w:p w14:paraId="3ED57FF9">
      <w:pPr>
        <w:tabs>
          <w:tab w:val="left" w:pos="2120"/>
        </w:tabs>
        <w:bidi w:val="0"/>
        <w:jc w:val="left"/>
        <w:rPr>
          <w:rFonts w:hint="eastAsia" w:eastAsia="宋体"/>
          <w:sz w:val="30"/>
          <w:szCs w:val="30"/>
          <w:lang w:eastAsia="zh-CN"/>
        </w:rPr>
      </w:pPr>
    </w:p>
    <w:p w14:paraId="349E1786">
      <w:pPr>
        <w:tabs>
          <w:tab w:val="left" w:pos="2120"/>
        </w:tabs>
        <w:bidi w:val="0"/>
        <w:jc w:val="left"/>
        <w:rPr>
          <w:rFonts w:hint="eastAsia" w:eastAsia="宋体"/>
          <w:sz w:val="30"/>
          <w:szCs w:val="30"/>
          <w:lang w:eastAsia="zh-CN"/>
        </w:rPr>
      </w:pPr>
      <w:r>
        <w:rPr>
          <w:rFonts w:hint="eastAsia" w:eastAsia="宋体"/>
          <w:sz w:val="30"/>
          <w:szCs w:val="30"/>
          <w:lang w:eastAsia="zh-CN"/>
        </w:rPr>
        <w:t>First, they are preparatory.</w:t>
      </w:r>
    </w:p>
    <w:p w14:paraId="4414CFBA">
      <w:pPr>
        <w:tabs>
          <w:tab w:val="left" w:pos="2120"/>
        </w:tabs>
        <w:bidi w:val="0"/>
        <w:jc w:val="left"/>
        <w:rPr>
          <w:rFonts w:hint="eastAsia" w:eastAsia="宋体"/>
          <w:sz w:val="30"/>
          <w:szCs w:val="30"/>
          <w:lang w:eastAsia="zh-CN"/>
        </w:rPr>
      </w:pPr>
      <w:r>
        <w:rPr>
          <w:rFonts w:hint="eastAsia" w:eastAsia="宋体"/>
          <w:sz w:val="30"/>
          <w:szCs w:val="30"/>
          <w:lang w:eastAsia="zh-CN"/>
        </w:rPr>
        <w:t>首先，它们是预备性的。</w:t>
      </w:r>
    </w:p>
    <w:p w14:paraId="342912E2">
      <w:pPr>
        <w:tabs>
          <w:tab w:val="left" w:pos="2120"/>
        </w:tabs>
        <w:bidi w:val="0"/>
        <w:jc w:val="left"/>
        <w:rPr>
          <w:rFonts w:hint="eastAsia" w:eastAsia="宋体"/>
          <w:sz w:val="30"/>
          <w:szCs w:val="30"/>
          <w:lang w:eastAsia="zh-CN"/>
        </w:rPr>
      </w:pPr>
    </w:p>
    <w:p w14:paraId="25C97AA6">
      <w:pPr>
        <w:tabs>
          <w:tab w:val="left" w:pos="2120"/>
        </w:tabs>
        <w:bidi w:val="0"/>
        <w:jc w:val="left"/>
        <w:rPr>
          <w:rFonts w:hint="eastAsia" w:eastAsia="宋体"/>
          <w:sz w:val="30"/>
          <w:szCs w:val="30"/>
          <w:lang w:eastAsia="zh-CN"/>
        </w:rPr>
      </w:pPr>
      <w:r>
        <w:rPr>
          <w:rFonts w:hint="eastAsia" w:eastAsia="宋体"/>
          <w:sz w:val="30"/>
          <w:szCs w:val="30"/>
          <w:lang w:eastAsia="zh-CN"/>
        </w:rPr>
        <w:t>That is, they pave the way for the first coming of Christ and the universal proclamation of the Gospel, largely by creating and sustaining a chosen people through whom the Messiah would be given to the world, and also by creating a body of OT Christophanies and Messianic types, shadows, and prophecies, all of which would be vital for the proclamation and advance of the Gospel in NT times.</w:t>
      </w:r>
    </w:p>
    <w:p w14:paraId="0F6CE7ED">
      <w:pPr>
        <w:tabs>
          <w:tab w:val="left" w:pos="2120"/>
        </w:tabs>
        <w:bidi w:val="0"/>
        <w:jc w:val="left"/>
        <w:rPr>
          <w:rFonts w:hint="eastAsia" w:eastAsia="宋体"/>
          <w:sz w:val="30"/>
          <w:szCs w:val="30"/>
          <w:lang w:eastAsia="zh-CN"/>
        </w:rPr>
      </w:pPr>
      <w:r>
        <w:rPr>
          <w:rFonts w:hint="eastAsia" w:eastAsia="宋体"/>
          <w:sz w:val="30"/>
          <w:szCs w:val="30"/>
          <w:lang w:eastAsia="zh-CN"/>
        </w:rPr>
        <w:t>也就是说，它们为基督的第一次降临和福音的普世宣讲铺平了道路，主要是通过创造并维系一个蒙拣选的民族，弥赛亚将藉由他们被赐给世界，并且也通过创造一系列旧约的基督显现、弥赛亚的预表、影像和预言，所有这些对于新约时代福音的宣讲和推进都至关重要。</w:t>
      </w:r>
    </w:p>
    <w:p w14:paraId="6380133A">
      <w:pPr>
        <w:tabs>
          <w:tab w:val="left" w:pos="2120"/>
        </w:tabs>
        <w:bidi w:val="0"/>
        <w:jc w:val="left"/>
        <w:rPr>
          <w:rFonts w:hint="eastAsia" w:eastAsia="宋体"/>
          <w:sz w:val="30"/>
          <w:szCs w:val="30"/>
          <w:lang w:eastAsia="zh-CN"/>
        </w:rPr>
      </w:pPr>
    </w:p>
    <w:p w14:paraId="758B2B50">
      <w:pPr>
        <w:tabs>
          <w:tab w:val="left" w:pos="2120"/>
        </w:tabs>
        <w:bidi w:val="0"/>
        <w:jc w:val="left"/>
        <w:rPr>
          <w:rFonts w:hint="eastAsia" w:eastAsia="宋体"/>
          <w:sz w:val="30"/>
          <w:szCs w:val="30"/>
          <w:lang w:eastAsia="zh-CN"/>
        </w:rPr>
      </w:pPr>
      <w:r>
        <w:rPr>
          <w:rFonts w:hint="eastAsia" w:eastAsia="宋体"/>
          <w:sz w:val="30"/>
          <w:szCs w:val="30"/>
          <w:lang w:eastAsia="zh-CN"/>
        </w:rPr>
        <w:t>Secondly, they are promissory.</w:t>
      </w:r>
    </w:p>
    <w:p w14:paraId="32564020">
      <w:pPr>
        <w:tabs>
          <w:tab w:val="left" w:pos="2120"/>
        </w:tabs>
        <w:bidi w:val="0"/>
        <w:jc w:val="left"/>
        <w:rPr>
          <w:rFonts w:hint="eastAsia" w:eastAsia="宋体"/>
          <w:sz w:val="30"/>
          <w:szCs w:val="30"/>
          <w:lang w:eastAsia="zh-CN"/>
        </w:rPr>
      </w:pPr>
      <w:r>
        <w:rPr>
          <w:rFonts w:hint="eastAsia" w:eastAsia="宋体"/>
          <w:sz w:val="30"/>
          <w:szCs w:val="30"/>
          <w:lang w:eastAsia="zh-CN"/>
        </w:rPr>
        <w:t>其次，它们是应许性的。</w:t>
      </w:r>
    </w:p>
    <w:p w14:paraId="32BE96E9">
      <w:pPr>
        <w:tabs>
          <w:tab w:val="left" w:pos="2120"/>
        </w:tabs>
        <w:bidi w:val="0"/>
        <w:jc w:val="left"/>
        <w:rPr>
          <w:rFonts w:hint="eastAsia" w:eastAsia="宋体"/>
          <w:sz w:val="30"/>
          <w:szCs w:val="30"/>
          <w:lang w:eastAsia="zh-CN"/>
        </w:rPr>
      </w:pPr>
    </w:p>
    <w:p w14:paraId="0E432116">
      <w:pPr>
        <w:tabs>
          <w:tab w:val="left" w:pos="2120"/>
        </w:tabs>
        <w:bidi w:val="0"/>
        <w:jc w:val="left"/>
        <w:rPr>
          <w:rFonts w:hint="eastAsia" w:eastAsia="宋体"/>
          <w:sz w:val="30"/>
          <w:szCs w:val="30"/>
          <w:lang w:eastAsia="zh-CN"/>
        </w:rPr>
      </w:pPr>
      <w:r>
        <w:rPr>
          <w:rFonts w:hint="eastAsia" w:eastAsia="宋体"/>
          <w:sz w:val="30"/>
          <w:szCs w:val="30"/>
          <w:lang w:eastAsia="zh-CN"/>
        </w:rPr>
        <w:t>That is, in one way or another they look forward to the coming of the Promise of the Covenant: Eternal Life, receivable through faith in the Person and Work of Christ.</w:t>
      </w:r>
    </w:p>
    <w:p w14:paraId="6DBB9757">
      <w:pPr>
        <w:tabs>
          <w:tab w:val="left" w:pos="2120"/>
        </w:tabs>
        <w:bidi w:val="0"/>
        <w:jc w:val="left"/>
        <w:rPr>
          <w:rFonts w:hint="eastAsia" w:eastAsia="宋体"/>
          <w:sz w:val="30"/>
          <w:szCs w:val="30"/>
          <w:lang w:eastAsia="zh-CN"/>
        </w:rPr>
      </w:pPr>
      <w:r>
        <w:rPr>
          <w:rFonts w:hint="eastAsia" w:eastAsia="宋体"/>
          <w:sz w:val="30"/>
          <w:szCs w:val="30"/>
          <w:lang w:eastAsia="zh-CN"/>
        </w:rPr>
        <w:t>也就是说，它们以这样或那样的方式，展望着圣约之应许的到来：永生，藉着相信基督的位格和工作而领受。</w:t>
      </w:r>
    </w:p>
    <w:p w14:paraId="41220B48">
      <w:pPr>
        <w:tabs>
          <w:tab w:val="left" w:pos="2120"/>
        </w:tabs>
        <w:bidi w:val="0"/>
        <w:jc w:val="left"/>
        <w:rPr>
          <w:rFonts w:hint="eastAsia" w:eastAsia="宋体"/>
          <w:sz w:val="30"/>
          <w:szCs w:val="30"/>
          <w:lang w:eastAsia="zh-CN"/>
        </w:rPr>
      </w:pPr>
    </w:p>
    <w:p w14:paraId="3C7B1EBC">
      <w:pPr>
        <w:tabs>
          <w:tab w:val="left" w:pos="2120"/>
        </w:tabs>
        <w:bidi w:val="0"/>
        <w:jc w:val="left"/>
        <w:rPr>
          <w:rFonts w:hint="eastAsia" w:eastAsia="宋体"/>
          <w:sz w:val="30"/>
          <w:szCs w:val="30"/>
          <w:lang w:eastAsia="zh-CN"/>
        </w:rPr>
      </w:pPr>
      <w:r>
        <w:rPr>
          <w:rFonts w:hint="eastAsia" w:eastAsia="宋体"/>
          <w:sz w:val="30"/>
          <w:szCs w:val="30"/>
          <w:lang w:eastAsia="zh-CN"/>
        </w:rPr>
        <w:t>Sometimes the promises are explicit: God tells his people outright—by way of predictive prophecy—that in days ahead he will be sending a Redeemer to bring in the manifold blessings of life in his Kingdom.</w:t>
      </w:r>
    </w:p>
    <w:p w14:paraId="305D3F65">
      <w:pPr>
        <w:tabs>
          <w:tab w:val="left" w:pos="2120"/>
        </w:tabs>
        <w:bidi w:val="0"/>
        <w:jc w:val="left"/>
        <w:rPr>
          <w:rFonts w:hint="eastAsia" w:eastAsia="宋体"/>
          <w:sz w:val="30"/>
          <w:szCs w:val="30"/>
          <w:lang w:eastAsia="zh-CN"/>
        </w:rPr>
      </w:pPr>
      <w:r>
        <w:rPr>
          <w:rFonts w:hint="eastAsia" w:eastAsia="宋体"/>
          <w:sz w:val="30"/>
          <w:szCs w:val="30"/>
          <w:lang w:eastAsia="zh-CN"/>
        </w:rPr>
        <w:t>有时这些应许是明确的：上帝直接告诉祂的子民——通过预言的方式——在未来的日子里，祂将派遣一位救赎主，带来在祂国度里生活的多重祝福。</w:t>
      </w:r>
    </w:p>
    <w:p w14:paraId="3DCA7C04">
      <w:pPr>
        <w:tabs>
          <w:tab w:val="left" w:pos="2120"/>
        </w:tabs>
        <w:bidi w:val="0"/>
        <w:jc w:val="left"/>
        <w:rPr>
          <w:rFonts w:hint="eastAsia" w:eastAsia="宋体"/>
          <w:sz w:val="30"/>
          <w:szCs w:val="30"/>
          <w:lang w:eastAsia="zh-CN"/>
        </w:rPr>
      </w:pPr>
    </w:p>
    <w:p w14:paraId="45AFED28">
      <w:pPr>
        <w:tabs>
          <w:tab w:val="left" w:pos="2120"/>
        </w:tabs>
        <w:bidi w:val="0"/>
        <w:jc w:val="left"/>
        <w:rPr>
          <w:rFonts w:hint="eastAsia" w:eastAsia="宋体"/>
          <w:sz w:val="30"/>
          <w:szCs w:val="30"/>
          <w:lang w:eastAsia="zh-CN"/>
        </w:rPr>
      </w:pPr>
      <w:r>
        <w:rPr>
          <w:rFonts w:hint="eastAsia" w:eastAsia="宋体"/>
          <w:sz w:val="30"/>
          <w:szCs w:val="30"/>
          <w:lang w:eastAsia="zh-CN"/>
        </w:rPr>
        <w:t>Other times, the promises are implicit, being thickly veiled in the fabric of OT history itself, as God speaks mystically and symbolically of the things of Christ through “typical” persons, places, objects, events, and institutions.</w:t>
      </w:r>
    </w:p>
    <w:p w14:paraId="2AA6485A">
      <w:pPr>
        <w:tabs>
          <w:tab w:val="left" w:pos="2120"/>
        </w:tabs>
        <w:bidi w:val="0"/>
        <w:jc w:val="left"/>
        <w:rPr>
          <w:rFonts w:hint="eastAsia" w:eastAsia="宋体"/>
          <w:sz w:val="30"/>
          <w:szCs w:val="30"/>
          <w:lang w:eastAsia="zh-CN"/>
        </w:rPr>
      </w:pPr>
      <w:r>
        <w:rPr>
          <w:rFonts w:hint="eastAsia" w:eastAsia="宋体"/>
          <w:sz w:val="30"/>
          <w:szCs w:val="30"/>
          <w:lang w:eastAsia="zh-CN"/>
        </w:rPr>
        <w:t>其他时候，这些应许是含蓄的，被厚厚地遮盖在旧约历史本身的结构中，上帝通过“预表性”的人物、地点、物件、事件和制度，奥秘地、象征性地讲述关于基督的事。</w:t>
      </w:r>
    </w:p>
    <w:p w14:paraId="355CAB1C">
      <w:pPr>
        <w:tabs>
          <w:tab w:val="left" w:pos="2120"/>
        </w:tabs>
        <w:bidi w:val="0"/>
        <w:jc w:val="left"/>
        <w:rPr>
          <w:rFonts w:hint="eastAsia" w:eastAsia="宋体"/>
          <w:sz w:val="30"/>
          <w:szCs w:val="30"/>
          <w:lang w:eastAsia="zh-CN"/>
        </w:rPr>
      </w:pPr>
    </w:p>
    <w:p w14:paraId="3DCD2869">
      <w:pPr>
        <w:tabs>
          <w:tab w:val="left" w:pos="2120"/>
        </w:tabs>
        <w:bidi w:val="0"/>
        <w:jc w:val="left"/>
        <w:rPr>
          <w:rFonts w:hint="eastAsia" w:eastAsia="宋体"/>
          <w:sz w:val="30"/>
          <w:szCs w:val="30"/>
          <w:lang w:eastAsia="zh-CN"/>
        </w:rPr>
      </w:pPr>
      <w:r>
        <w:rPr>
          <w:rFonts w:hint="eastAsia" w:eastAsia="宋体"/>
          <w:sz w:val="30"/>
          <w:szCs w:val="30"/>
          <w:lang w:eastAsia="zh-CN"/>
        </w:rPr>
        <w:t>Again, he does this so that when Christ comes at last, there will be a body of supernatural signs to elicit and confirm faith in him.</w:t>
      </w:r>
    </w:p>
    <w:p w14:paraId="13CCAB84">
      <w:pPr>
        <w:tabs>
          <w:tab w:val="left" w:pos="2120"/>
        </w:tabs>
        <w:bidi w:val="0"/>
        <w:jc w:val="left"/>
        <w:rPr>
          <w:rFonts w:hint="eastAsia" w:eastAsia="宋体"/>
          <w:sz w:val="30"/>
          <w:szCs w:val="30"/>
          <w:lang w:eastAsia="zh-CN"/>
        </w:rPr>
      </w:pPr>
      <w:r>
        <w:rPr>
          <w:rFonts w:hint="eastAsia" w:eastAsia="宋体"/>
          <w:sz w:val="30"/>
          <w:szCs w:val="30"/>
          <w:lang w:eastAsia="zh-CN"/>
        </w:rPr>
        <w:t>再者，祂这样做是为了当基督最终降临时，会有一系列超自然的记号来引发并坚固对祂的信心。</w:t>
      </w:r>
    </w:p>
    <w:p w14:paraId="375BCBFB">
      <w:pPr>
        <w:tabs>
          <w:tab w:val="left" w:pos="2120"/>
        </w:tabs>
        <w:bidi w:val="0"/>
        <w:jc w:val="left"/>
        <w:rPr>
          <w:rFonts w:hint="eastAsia" w:eastAsia="宋体"/>
          <w:sz w:val="30"/>
          <w:szCs w:val="30"/>
          <w:lang w:eastAsia="zh-CN"/>
        </w:rPr>
      </w:pPr>
    </w:p>
    <w:p w14:paraId="41300A67">
      <w:pPr>
        <w:tabs>
          <w:tab w:val="left" w:pos="2120"/>
        </w:tabs>
        <w:bidi w:val="0"/>
        <w:jc w:val="left"/>
        <w:rPr>
          <w:rFonts w:hint="eastAsia" w:eastAsia="宋体"/>
          <w:sz w:val="30"/>
          <w:szCs w:val="30"/>
          <w:lang w:eastAsia="zh-CN"/>
        </w:rPr>
      </w:pPr>
      <w:r>
        <w:rPr>
          <w:rFonts w:hint="eastAsia" w:eastAsia="宋体"/>
          <w:sz w:val="30"/>
          <w:szCs w:val="30"/>
          <w:lang w:eastAsia="zh-CN"/>
        </w:rPr>
        <w:t>Still other times—as in the case of many explicit OT prophecies of the Kingdom—he uses a blend of both.</w:t>
      </w:r>
    </w:p>
    <w:p w14:paraId="0A5207D0">
      <w:pPr>
        <w:tabs>
          <w:tab w:val="left" w:pos="2120"/>
        </w:tabs>
        <w:bidi w:val="0"/>
        <w:jc w:val="left"/>
        <w:rPr>
          <w:rFonts w:hint="eastAsia" w:eastAsia="宋体"/>
          <w:sz w:val="30"/>
          <w:szCs w:val="30"/>
          <w:lang w:eastAsia="zh-CN"/>
        </w:rPr>
      </w:pPr>
      <w:r>
        <w:rPr>
          <w:rFonts w:hint="eastAsia" w:eastAsia="宋体"/>
          <w:sz w:val="30"/>
          <w:szCs w:val="30"/>
          <w:lang w:eastAsia="zh-CN"/>
        </w:rPr>
        <w:t>还有些时候——就像许多关于国度的明确旧约预言那样——祂两者兼用。</w:t>
      </w:r>
    </w:p>
    <w:p w14:paraId="2F99F91B">
      <w:pPr>
        <w:tabs>
          <w:tab w:val="left" w:pos="2120"/>
        </w:tabs>
        <w:bidi w:val="0"/>
        <w:jc w:val="left"/>
        <w:rPr>
          <w:rFonts w:hint="eastAsia" w:eastAsia="宋体"/>
          <w:sz w:val="30"/>
          <w:szCs w:val="30"/>
          <w:lang w:eastAsia="zh-CN"/>
        </w:rPr>
      </w:pPr>
    </w:p>
    <w:p w14:paraId="55277373">
      <w:pPr>
        <w:tabs>
          <w:tab w:val="left" w:pos="2120"/>
        </w:tabs>
        <w:bidi w:val="0"/>
        <w:jc w:val="left"/>
        <w:rPr>
          <w:rFonts w:hint="eastAsia" w:eastAsia="宋体"/>
          <w:sz w:val="30"/>
          <w:szCs w:val="30"/>
          <w:lang w:eastAsia="zh-CN"/>
        </w:rPr>
      </w:pPr>
      <w:r>
        <w:rPr>
          <w:rFonts w:hint="eastAsia" w:eastAsia="宋体"/>
          <w:sz w:val="30"/>
          <w:szCs w:val="30"/>
          <w:lang w:eastAsia="zh-CN"/>
        </w:rPr>
        <w:t>That is, he uses predictive prophecy couched in typological language in order to arouse faith and hope among his Old Covenant people, yet does so in such a way as to retain for the coming Messianic Prophet the privilege of graciously unveiling the mysteries of the Kingdom to his own (Mark 4:11).</w:t>
      </w:r>
    </w:p>
    <w:p w14:paraId="14E6EAD0">
      <w:pPr>
        <w:tabs>
          <w:tab w:val="left" w:pos="2120"/>
        </w:tabs>
        <w:bidi w:val="0"/>
        <w:jc w:val="left"/>
        <w:rPr>
          <w:rFonts w:hint="eastAsia" w:eastAsia="宋体"/>
          <w:sz w:val="30"/>
          <w:szCs w:val="30"/>
          <w:lang w:eastAsia="zh-CN"/>
        </w:rPr>
      </w:pPr>
      <w:r>
        <w:rPr>
          <w:rFonts w:hint="eastAsia" w:eastAsia="宋体"/>
          <w:sz w:val="30"/>
          <w:szCs w:val="30"/>
          <w:lang w:eastAsia="zh-CN"/>
        </w:rPr>
        <w:t>也就是说，祂使用以预表性语言包装的预言性预言，以便在祂的旧约子民中激发信心和盼望，但祂这样做的方式是，为即将到来的弥赛亚先知保留特权，让他能恩慈地向祂自己的人揭开国度的奥秘（可 4:11）。</w:t>
      </w:r>
    </w:p>
    <w:p w14:paraId="2C43166E">
      <w:pPr>
        <w:tabs>
          <w:tab w:val="left" w:pos="2120"/>
        </w:tabs>
        <w:bidi w:val="0"/>
        <w:jc w:val="left"/>
        <w:rPr>
          <w:rFonts w:hint="eastAsia" w:eastAsia="宋体"/>
          <w:sz w:val="30"/>
          <w:szCs w:val="30"/>
          <w:lang w:eastAsia="zh-CN"/>
        </w:rPr>
      </w:pPr>
    </w:p>
    <w:p w14:paraId="19B4A21B">
      <w:pPr>
        <w:tabs>
          <w:tab w:val="left" w:pos="2120"/>
        </w:tabs>
        <w:bidi w:val="0"/>
        <w:jc w:val="left"/>
        <w:rPr>
          <w:rFonts w:hint="eastAsia" w:eastAsia="宋体"/>
          <w:sz w:val="30"/>
          <w:szCs w:val="30"/>
          <w:lang w:eastAsia="zh-CN"/>
        </w:rPr>
      </w:pPr>
      <w:r>
        <w:rPr>
          <w:rFonts w:hint="eastAsia" w:eastAsia="宋体"/>
          <w:sz w:val="30"/>
          <w:szCs w:val="30"/>
          <w:lang w:eastAsia="zh-CN"/>
        </w:rPr>
        <w:t>More on this later.</w:t>
      </w:r>
    </w:p>
    <w:p w14:paraId="26BDE04E">
      <w:pPr>
        <w:tabs>
          <w:tab w:val="left" w:pos="2120"/>
        </w:tabs>
        <w:bidi w:val="0"/>
        <w:jc w:val="left"/>
        <w:rPr>
          <w:rFonts w:hint="eastAsia" w:eastAsia="宋体"/>
          <w:sz w:val="30"/>
          <w:szCs w:val="30"/>
          <w:lang w:eastAsia="zh-CN"/>
        </w:rPr>
      </w:pPr>
      <w:r>
        <w:rPr>
          <w:rFonts w:hint="eastAsia" w:eastAsia="宋体"/>
          <w:sz w:val="30"/>
          <w:szCs w:val="30"/>
          <w:lang w:eastAsia="zh-CN"/>
        </w:rPr>
        <w:t>关于这一点，后面会详细讨论。</w:t>
      </w:r>
    </w:p>
    <w:p w14:paraId="3445CC11">
      <w:pPr>
        <w:tabs>
          <w:tab w:val="left" w:pos="2120"/>
        </w:tabs>
        <w:bidi w:val="0"/>
        <w:jc w:val="left"/>
        <w:rPr>
          <w:rFonts w:hint="eastAsia" w:eastAsia="宋体"/>
          <w:sz w:val="30"/>
          <w:szCs w:val="30"/>
          <w:lang w:eastAsia="zh-CN"/>
        </w:rPr>
      </w:pPr>
    </w:p>
    <w:p w14:paraId="3C3390A3">
      <w:pPr>
        <w:tabs>
          <w:tab w:val="left" w:pos="2120"/>
        </w:tabs>
        <w:bidi w:val="0"/>
        <w:jc w:val="left"/>
        <w:rPr>
          <w:rFonts w:hint="eastAsia" w:eastAsia="宋体"/>
          <w:sz w:val="30"/>
          <w:szCs w:val="30"/>
          <w:lang w:eastAsia="zh-CN"/>
        </w:rPr>
      </w:pPr>
      <w:r>
        <w:rPr>
          <w:rFonts w:hint="eastAsia" w:eastAsia="宋体"/>
          <w:sz w:val="30"/>
          <w:szCs w:val="30"/>
          <w:lang w:eastAsia="zh-CN"/>
        </w:rPr>
        <w:t>Finally, the OT administrations of the Covenant are temporary.</w:t>
      </w:r>
    </w:p>
    <w:p w14:paraId="1E62F331">
      <w:pPr>
        <w:tabs>
          <w:tab w:val="left" w:pos="2120"/>
        </w:tabs>
        <w:bidi w:val="0"/>
        <w:jc w:val="left"/>
        <w:rPr>
          <w:rFonts w:hint="eastAsia" w:eastAsia="宋体"/>
          <w:sz w:val="30"/>
          <w:szCs w:val="30"/>
          <w:lang w:eastAsia="zh-CN"/>
        </w:rPr>
      </w:pPr>
      <w:r>
        <w:rPr>
          <w:rFonts w:hint="eastAsia" w:eastAsia="宋体"/>
          <w:sz w:val="30"/>
          <w:szCs w:val="30"/>
          <w:lang w:eastAsia="zh-CN"/>
        </w:rPr>
        <w:t>最后，旧约对约的施行是暂时的。</w:t>
      </w:r>
    </w:p>
    <w:p w14:paraId="51D7CED4">
      <w:pPr>
        <w:tabs>
          <w:tab w:val="left" w:pos="2120"/>
        </w:tabs>
        <w:bidi w:val="0"/>
        <w:jc w:val="left"/>
        <w:rPr>
          <w:rFonts w:hint="eastAsia" w:eastAsia="宋体"/>
          <w:sz w:val="30"/>
          <w:szCs w:val="30"/>
          <w:lang w:eastAsia="zh-CN"/>
        </w:rPr>
      </w:pPr>
    </w:p>
    <w:p w14:paraId="6A9BAE53">
      <w:pPr>
        <w:tabs>
          <w:tab w:val="left" w:pos="2120"/>
        </w:tabs>
        <w:bidi w:val="0"/>
        <w:jc w:val="left"/>
        <w:rPr>
          <w:rFonts w:hint="eastAsia" w:eastAsia="宋体"/>
          <w:sz w:val="30"/>
          <w:szCs w:val="30"/>
          <w:lang w:eastAsia="zh-CN"/>
        </w:rPr>
      </w:pPr>
      <w:r>
        <w:rPr>
          <w:rFonts w:hint="eastAsia" w:eastAsia="宋体"/>
          <w:sz w:val="30"/>
          <w:szCs w:val="30"/>
          <w:lang w:eastAsia="zh-CN"/>
        </w:rPr>
        <w:t>This conclusion flows logically from the fact that they are merely preparatory; that they are awaiting the actual unveiling of the Covenant in history, an unveiling that fulfills the OT administrations of the Covenant, and therefore (as to their external form) renders them forever obsolete (Heb. 7:18, 8:13).</w:t>
      </w:r>
    </w:p>
    <w:p w14:paraId="2C939C05">
      <w:pPr>
        <w:tabs>
          <w:tab w:val="left" w:pos="2120"/>
        </w:tabs>
        <w:bidi w:val="0"/>
        <w:jc w:val="left"/>
        <w:rPr>
          <w:rFonts w:hint="eastAsia" w:eastAsia="宋体"/>
          <w:sz w:val="30"/>
          <w:szCs w:val="30"/>
          <w:lang w:eastAsia="zh-CN"/>
        </w:rPr>
      </w:pPr>
      <w:r>
        <w:rPr>
          <w:rFonts w:hint="eastAsia" w:eastAsia="宋体"/>
          <w:sz w:val="30"/>
          <w:szCs w:val="30"/>
          <w:lang w:eastAsia="zh-CN"/>
        </w:rPr>
        <w:t>这个结论从它们仅仅是预备性的这一事实中逻辑地得出；它们正在等待约在历史中的实际揭示，这一揭示成全了旧约对约的施行，因此（就其外在形式而言）使它们永远被废弃了（来 7:18, 8:13）。</w:t>
      </w:r>
    </w:p>
    <w:p w14:paraId="26A5C413">
      <w:pPr>
        <w:tabs>
          <w:tab w:val="left" w:pos="2120"/>
        </w:tabs>
        <w:bidi w:val="0"/>
        <w:jc w:val="left"/>
        <w:rPr>
          <w:rFonts w:hint="eastAsia" w:eastAsia="宋体"/>
          <w:sz w:val="30"/>
          <w:szCs w:val="30"/>
          <w:lang w:eastAsia="zh-CN"/>
        </w:rPr>
      </w:pPr>
    </w:p>
    <w:p w14:paraId="6367B808">
      <w:pPr>
        <w:tabs>
          <w:tab w:val="left" w:pos="2120"/>
        </w:tabs>
        <w:bidi w:val="0"/>
        <w:jc w:val="left"/>
        <w:rPr>
          <w:rFonts w:hint="eastAsia" w:eastAsia="宋体"/>
          <w:sz w:val="30"/>
          <w:szCs w:val="30"/>
          <w:lang w:eastAsia="zh-CN"/>
        </w:rPr>
      </w:pPr>
      <w:r>
        <w:rPr>
          <w:rFonts w:hint="eastAsia" w:eastAsia="宋体"/>
          <w:sz w:val="30"/>
          <w:szCs w:val="30"/>
          <w:lang w:eastAsia="zh-CN"/>
        </w:rPr>
        <w:t>As we saw earlier, there is only one insect.</w:t>
      </w:r>
    </w:p>
    <w:p w14:paraId="386433DD">
      <w:pPr>
        <w:tabs>
          <w:tab w:val="left" w:pos="2120"/>
        </w:tabs>
        <w:bidi w:val="0"/>
        <w:jc w:val="left"/>
        <w:rPr>
          <w:rFonts w:hint="eastAsia" w:eastAsia="宋体"/>
          <w:sz w:val="30"/>
          <w:szCs w:val="30"/>
          <w:lang w:eastAsia="zh-CN"/>
        </w:rPr>
      </w:pPr>
      <w:r>
        <w:rPr>
          <w:rFonts w:hint="eastAsia" w:eastAsia="宋体"/>
          <w:sz w:val="30"/>
          <w:szCs w:val="30"/>
          <w:lang w:eastAsia="zh-CN"/>
        </w:rPr>
        <w:t>正如我们之前所见，只有一只昆虫。</w:t>
      </w:r>
    </w:p>
    <w:p w14:paraId="7B1917E8">
      <w:pPr>
        <w:tabs>
          <w:tab w:val="left" w:pos="2120"/>
        </w:tabs>
        <w:bidi w:val="0"/>
        <w:jc w:val="left"/>
        <w:rPr>
          <w:rFonts w:hint="eastAsia" w:eastAsia="宋体"/>
          <w:sz w:val="30"/>
          <w:szCs w:val="30"/>
          <w:lang w:eastAsia="zh-CN"/>
        </w:rPr>
      </w:pPr>
    </w:p>
    <w:p w14:paraId="79C0FDE4">
      <w:pPr>
        <w:tabs>
          <w:tab w:val="left" w:pos="2120"/>
        </w:tabs>
        <w:bidi w:val="0"/>
        <w:jc w:val="left"/>
        <w:rPr>
          <w:rFonts w:hint="eastAsia" w:eastAsia="宋体"/>
          <w:sz w:val="30"/>
          <w:szCs w:val="30"/>
          <w:lang w:eastAsia="zh-CN"/>
        </w:rPr>
      </w:pPr>
      <w:r>
        <w:rPr>
          <w:rFonts w:hint="eastAsia" w:eastAsia="宋体"/>
          <w:sz w:val="30"/>
          <w:szCs w:val="30"/>
          <w:lang w:eastAsia="zh-CN"/>
        </w:rPr>
        <w:t>Nevertheless, when the butterfly emerges from the cocoon, the caterpillar is forever gone.</w:t>
      </w:r>
    </w:p>
    <w:p w14:paraId="3B8F9377">
      <w:pPr>
        <w:tabs>
          <w:tab w:val="left" w:pos="2120"/>
        </w:tabs>
        <w:bidi w:val="0"/>
        <w:jc w:val="left"/>
        <w:rPr>
          <w:rFonts w:hint="eastAsia" w:eastAsia="宋体"/>
          <w:sz w:val="30"/>
          <w:szCs w:val="30"/>
          <w:lang w:eastAsia="zh-CN"/>
        </w:rPr>
      </w:pPr>
      <w:r>
        <w:rPr>
          <w:rFonts w:hint="eastAsia" w:eastAsia="宋体"/>
          <w:sz w:val="30"/>
          <w:szCs w:val="30"/>
          <w:lang w:eastAsia="zh-CN"/>
        </w:rPr>
        <w:t>然而，当蝴蝶破茧而出时，毛毛虫就永远消失了。</w:t>
      </w:r>
    </w:p>
    <w:p w14:paraId="79FC29F8">
      <w:pPr>
        <w:tabs>
          <w:tab w:val="left" w:pos="2120"/>
        </w:tabs>
        <w:bidi w:val="0"/>
        <w:jc w:val="left"/>
        <w:rPr>
          <w:rFonts w:hint="eastAsia" w:eastAsia="宋体"/>
          <w:sz w:val="30"/>
          <w:szCs w:val="30"/>
          <w:lang w:eastAsia="zh-CN"/>
        </w:rPr>
      </w:pPr>
    </w:p>
    <w:p w14:paraId="24BE9142">
      <w:pPr>
        <w:tabs>
          <w:tab w:val="left" w:pos="2120"/>
        </w:tabs>
        <w:bidi w:val="0"/>
        <w:jc w:val="left"/>
        <w:rPr>
          <w:rFonts w:hint="eastAsia" w:eastAsia="宋体"/>
          <w:sz w:val="30"/>
          <w:szCs w:val="30"/>
          <w:lang w:eastAsia="zh-CN"/>
        </w:rPr>
      </w:pPr>
      <w:r>
        <w:rPr>
          <w:rFonts w:hint="eastAsia" w:eastAsia="宋体"/>
          <w:sz w:val="30"/>
          <w:szCs w:val="30"/>
          <w:lang w:eastAsia="zh-CN"/>
        </w:rPr>
        <w:t>In classical Protestant theology, almost all agree that there were four distinct OT administrations of the Covenant of Grace.</w:t>
      </w:r>
    </w:p>
    <w:p w14:paraId="598F3146">
      <w:pPr>
        <w:tabs>
          <w:tab w:val="left" w:pos="2120"/>
        </w:tabs>
        <w:bidi w:val="0"/>
        <w:jc w:val="left"/>
        <w:rPr>
          <w:rFonts w:hint="eastAsia" w:eastAsia="宋体"/>
          <w:sz w:val="30"/>
          <w:szCs w:val="30"/>
          <w:lang w:eastAsia="zh-CN"/>
        </w:rPr>
      </w:pPr>
      <w:r>
        <w:rPr>
          <w:rFonts w:hint="eastAsia" w:eastAsia="宋体"/>
          <w:sz w:val="30"/>
          <w:szCs w:val="30"/>
          <w:lang w:eastAsia="zh-CN"/>
        </w:rPr>
        <w:t>在古典新教神学中，几乎所有人都同意旧约中恩典之约有四次不同的施行。</w:t>
      </w:r>
    </w:p>
    <w:p w14:paraId="19B4EEAA">
      <w:pPr>
        <w:tabs>
          <w:tab w:val="left" w:pos="2120"/>
        </w:tabs>
        <w:bidi w:val="0"/>
        <w:jc w:val="left"/>
        <w:rPr>
          <w:rFonts w:hint="eastAsia" w:eastAsia="宋体"/>
          <w:sz w:val="30"/>
          <w:szCs w:val="30"/>
          <w:lang w:eastAsia="zh-CN"/>
        </w:rPr>
      </w:pPr>
    </w:p>
    <w:p w14:paraId="471A0FD6">
      <w:pPr>
        <w:tabs>
          <w:tab w:val="left" w:pos="2120"/>
        </w:tabs>
        <w:bidi w:val="0"/>
        <w:jc w:val="left"/>
        <w:rPr>
          <w:rFonts w:hint="eastAsia" w:eastAsia="宋体"/>
          <w:sz w:val="30"/>
          <w:szCs w:val="30"/>
          <w:lang w:eastAsia="zh-CN"/>
        </w:rPr>
      </w:pPr>
      <w:r>
        <w:rPr>
          <w:rFonts w:hint="eastAsia" w:eastAsia="宋体"/>
          <w:sz w:val="30"/>
          <w:szCs w:val="30"/>
          <w:lang w:eastAsia="zh-CN"/>
        </w:rPr>
        <w:t>The first came to Adam and Eve (and their seed), the second to Noah (and his seed), the third to Abraham (and his seed), and the fourth, through Moses, to the nation of Israel.</w:t>
      </w:r>
    </w:p>
    <w:p w14:paraId="3F7D6B13">
      <w:pPr>
        <w:tabs>
          <w:tab w:val="left" w:pos="2120"/>
        </w:tabs>
        <w:bidi w:val="0"/>
        <w:jc w:val="left"/>
        <w:rPr>
          <w:rFonts w:hint="eastAsia" w:eastAsia="宋体"/>
          <w:sz w:val="30"/>
          <w:szCs w:val="30"/>
          <w:lang w:eastAsia="zh-CN"/>
        </w:rPr>
      </w:pPr>
      <w:r>
        <w:rPr>
          <w:rFonts w:hint="eastAsia" w:eastAsia="宋体"/>
          <w:sz w:val="30"/>
          <w:szCs w:val="30"/>
          <w:lang w:eastAsia="zh-CN"/>
        </w:rPr>
        <w:t>第一次临到亚当和夏娃（以及他们的后裔），第二次临到挪亚（以及他的后裔），第三次临到亚伯拉罕（以及他的后裔），第四次通过摩西临到以色列国。</w:t>
      </w:r>
    </w:p>
    <w:p w14:paraId="498ACD16">
      <w:pPr>
        <w:tabs>
          <w:tab w:val="left" w:pos="2120"/>
        </w:tabs>
        <w:bidi w:val="0"/>
        <w:jc w:val="left"/>
        <w:rPr>
          <w:rFonts w:hint="eastAsia" w:eastAsia="宋体"/>
          <w:sz w:val="30"/>
          <w:szCs w:val="30"/>
          <w:lang w:eastAsia="zh-CN"/>
        </w:rPr>
      </w:pPr>
    </w:p>
    <w:p w14:paraId="58CBCFAE">
      <w:pPr>
        <w:tabs>
          <w:tab w:val="left" w:pos="2120"/>
        </w:tabs>
        <w:bidi w:val="0"/>
        <w:jc w:val="left"/>
        <w:rPr>
          <w:rFonts w:hint="eastAsia" w:eastAsia="宋体"/>
          <w:sz w:val="30"/>
          <w:szCs w:val="30"/>
          <w:lang w:eastAsia="zh-CN"/>
        </w:rPr>
      </w:pPr>
      <w:r>
        <w:rPr>
          <w:rFonts w:hint="eastAsia" w:eastAsia="宋体"/>
          <w:sz w:val="30"/>
          <w:szCs w:val="30"/>
          <w:lang w:eastAsia="zh-CN"/>
        </w:rPr>
        <w:t>Though the essential message always remains the same, in each successive administration God is pleased to reveal more and more about the Person and Work of the coming Redeemer; more and more about the several elements of the one Covenant of Grace.</w:t>
      </w:r>
    </w:p>
    <w:p w14:paraId="2D08216C">
      <w:pPr>
        <w:tabs>
          <w:tab w:val="left" w:pos="2120"/>
        </w:tabs>
        <w:bidi w:val="0"/>
        <w:jc w:val="left"/>
        <w:rPr>
          <w:rFonts w:hint="eastAsia" w:eastAsia="宋体"/>
          <w:sz w:val="30"/>
          <w:szCs w:val="30"/>
          <w:lang w:eastAsia="zh-CN"/>
        </w:rPr>
      </w:pPr>
      <w:r>
        <w:rPr>
          <w:rFonts w:hint="eastAsia" w:eastAsia="宋体"/>
          <w:sz w:val="30"/>
          <w:szCs w:val="30"/>
          <w:lang w:eastAsia="zh-CN"/>
        </w:rPr>
        <w:t>尽管基本信息总是不变，但在每一次相继的施行中，上帝乐意越来越多地揭示关于将要来的救赎主的位格和工作；越来越多地揭示关于那独一恩典之约的几个要素。</w:t>
      </w:r>
    </w:p>
    <w:p w14:paraId="7A3ACEEA">
      <w:pPr>
        <w:tabs>
          <w:tab w:val="left" w:pos="2120"/>
        </w:tabs>
        <w:bidi w:val="0"/>
        <w:jc w:val="left"/>
        <w:rPr>
          <w:rFonts w:hint="eastAsia" w:eastAsia="宋体"/>
          <w:sz w:val="30"/>
          <w:szCs w:val="30"/>
          <w:lang w:eastAsia="zh-CN"/>
        </w:rPr>
      </w:pPr>
    </w:p>
    <w:p w14:paraId="37C3C08E">
      <w:pPr>
        <w:tabs>
          <w:tab w:val="left" w:pos="2120"/>
        </w:tabs>
        <w:bidi w:val="0"/>
        <w:jc w:val="left"/>
        <w:rPr>
          <w:rFonts w:hint="eastAsia" w:eastAsia="宋体"/>
          <w:sz w:val="30"/>
          <w:szCs w:val="30"/>
          <w:lang w:eastAsia="zh-CN"/>
        </w:rPr>
      </w:pPr>
      <w:r>
        <w:rPr>
          <w:rFonts w:hint="eastAsia" w:eastAsia="宋体"/>
          <w:sz w:val="30"/>
          <w:szCs w:val="30"/>
          <w:lang w:eastAsia="zh-CN"/>
        </w:rPr>
        <w:t>Nevertheless, it remains true that in the aggregate all the OT revelations are heavily veiled, with the result that Jew and Gentile alike must await the appearing of Christ, the completion of his redemptive work, and the gift of the Holy Spirit, before the Lord removes the veil, thereby enabling his people to see the Eternal Covenant in the New Covenant, and the New Covenant in the Old (Luke 24:45, 2 Cor. 3:1ff).</w:t>
      </w:r>
    </w:p>
    <w:p w14:paraId="29FA5F45">
      <w:pPr>
        <w:tabs>
          <w:tab w:val="left" w:pos="2120"/>
        </w:tabs>
        <w:bidi w:val="0"/>
        <w:jc w:val="left"/>
        <w:rPr>
          <w:rFonts w:hint="eastAsia" w:eastAsia="宋体"/>
          <w:sz w:val="30"/>
          <w:szCs w:val="30"/>
          <w:lang w:eastAsia="zh-CN"/>
        </w:rPr>
      </w:pPr>
      <w:r>
        <w:rPr>
          <w:rFonts w:hint="eastAsia" w:eastAsia="宋体"/>
          <w:sz w:val="30"/>
          <w:szCs w:val="30"/>
          <w:lang w:eastAsia="zh-CN"/>
        </w:rPr>
        <w:t>然而，总体来看，所有旧约的启示仍然是被厚厚遮盖的，结果是，犹太人和外邦人都必须等待基督的显现、祂救赎工作的完成，以及圣灵的恩赐，主才会挪去帕子，从而使祂的子民能够在新的约中看到永恒之约，在旧的约中看到新的约（路 24:45, 林后 3:1ff）。</w:t>
      </w:r>
    </w:p>
    <w:p w14:paraId="59598B14">
      <w:pPr>
        <w:tabs>
          <w:tab w:val="left" w:pos="2120"/>
        </w:tabs>
        <w:bidi w:val="0"/>
        <w:jc w:val="left"/>
        <w:rPr>
          <w:rFonts w:hint="eastAsia" w:eastAsia="宋体"/>
          <w:sz w:val="30"/>
          <w:szCs w:val="30"/>
          <w:lang w:eastAsia="zh-CN"/>
        </w:rPr>
      </w:pPr>
    </w:p>
    <w:p w14:paraId="56D46328">
      <w:pPr>
        <w:tabs>
          <w:tab w:val="left" w:pos="2120"/>
        </w:tabs>
        <w:bidi w:val="0"/>
        <w:jc w:val="left"/>
        <w:rPr>
          <w:rFonts w:hint="eastAsia" w:eastAsia="宋体"/>
          <w:sz w:val="30"/>
          <w:szCs w:val="30"/>
          <w:lang w:eastAsia="zh-CN"/>
        </w:rPr>
      </w:pPr>
      <w:r>
        <w:rPr>
          <w:rFonts w:hint="eastAsia" w:eastAsia="宋体"/>
          <w:sz w:val="30"/>
          <w:szCs w:val="30"/>
          <w:lang w:eastAsia="zh-CN"/>
        </w:rPr>
        <w:t>In other words, without Christ’s twin gifts of the Spirit and the New Covenant Hermeneutic, no one can even begin to understand the OT Scriptures for what they really are: a record of the administration of the Eternal Covenant in an Era of Promise and Preparation.</w:t>
      </w:r>
    </w:p>
    <w:p w14:paraId="226EFE79">
      <w:pPr>
        <w:tabs>
          <w:tab w:val="left" w:pos="2120"/>
        </w:tabs>
        <w:bidi w:val="0"/>
        <w:jc w:val="left"/>
        <w:rPr>
          <w:rFonts w:hint="eastAsia" w:eastAsia="宋体"/>
          <w:sz w:val="30"/>
          <w:szCs w:val="30"/>
          <w:lang w:eastAsia="zh-CN"/>
        </w:rPr>
      </w:pPr>
      <w:r>
        <w:rPr>
          <w:rFonts w:hint="eastAsia" w:eastAsia="宋体"/>
          <w:sz w:val="30"/>
          <w:szCs w:val="30"/>
          <w:lang w:eastAsia="zh-CN"/>
        </w:rPr>
        <w:t>换句话说，没有基督所赐的圣灵和新约释经学这两样恩赐，没有人能开始理解旧约圣经的真正面目：一个在应许与预备的时代中施行永恒之约的记录。</w:t>
      </w:r>
    </w:p>
    <w:p w14:paraId="42375552">
      <w:pPr>
        <w:tabs>
          <w:tab w:val="left" w:pos="2120"/>
        </w:tabs>
        <w:bidi w:val="0"/>
        <w:jc w:val="left"/>
        <w:rPr>
          <w:rFonts w:hint="eastAsia" w:eastAsia="宋体"/>
          <w:sz w:val="30"/>
          <w:szCs w:val="30"/>
          <w:lang w:eastAsia="zh-CN"/>
        </w:rPr>
      </w:pPr>
    </w:p>
    <w:p w14:paraId="59928C7D">
      <w:pPr>
        <w:tabs>
          <w:tab w:val="left" w:pos="2120"/>
        </w:tabs>
        <w:bidi w:val="0"/>
        <w:jc w:val="left"/>
        <w:rPr>
          <w:rFonts w:hint="eastAsia" w:eastAsia="宋体"/>
          <w:sz w:val="30"/>
          <w:szCs w:val="30"/>
          <w:lang w:eastAsia="zh-CN"/>
        </w:rPr>
      </w:pPr>
      <w:r>
        <w:rPr>
          <w:rFonts w:hint="eastAsia" w:eastAsia="宋体"/>
          <w:sz w:val="30"/>
          <w:szCs w:val="30"/>
          <w:lang w:eastAsia="zh-CN"/>
        </w:rPr>
        <w:t>The Era of Fulfillment</w:t>
      </w:r>
    </w:p>
    <w:p w14:paraId="1630812B">
      <w:pPr>
        <w:tabs>
          <w:tab w:val="left" w:pos="2120"/>
        </w:tabs>
        <w:bidi w:val="0"/>
        <w:jc w:val="left"/>
        <w:rPr>
          <w:rFonts w:hint="eastAsia" w:eastAsia="宋体"/>
          <w:sz w:val="30"/>
          <w:szCs w:val="30"/>
          <w:lang w:eastAsia="zh-CN"/>
        </w:rPr>
      </w:pPr>
      <w:r>
        <w:rPr>
          <w:rFonts w:hint="eastAsia" w:eastAsia="宋体"/>
          <w:sz w:val="30"/>
          <w:szCs w:val="30"/>
          <w:lang w:eastAsia="zh-CN"/>
        </w:rPr>
        <w:t>成全的时代</w:t>
      </w:r>
    </w:p>
    <w:p w14:paraId="0DB67A4A">
      <w:pPr>
        <w:tabs>
          <w:tab w:val="left" w:pos="2120"/>
        </w:tabs>
        <w:bidi w:val="0"/>
        <w:jc w:val="left"/>
        <w:rPr>
          <w:rFonts w:hint="eastAsia" w:eastAsia="宋体"/>
          <w:sz w:val="30"/>
          <w:szCs w:val="30"/>
          <w:lang w:eastAsia="zh-CN"/>
        </w:rPr>
      </w:pPr>
    </w:p>
    <w:p w14:paraId="38451B65">
      <w:pPr>
        <w:tabs>
          <w:tab w:val="left" w:pos="2120"/>
        </w:tabs>
        <w:bidi w:val="0"/>
        <w:jc w:val="left"/>
        <w:rPr>
          <w:rFonts w:hint="eastAsia" w:eastAsia="宋体"/>
          <w:sz w:val="30"/>
          <w:szCs w:val="30"/>
          <w:lang w:eastAsia="zh-CN"/>
        </w:rPr>
      </w:pPr>
      <w:r>
        <w:rPr>
          <w:rFonts w:hint="eastAsia" w:eastAsia="宋体"/>
          <w:sz w:val="30"/>
          <w:szCs w:val="30"/>
          <w:lang w:eastAsia="zh-CN"/>
        </w:rPr>
        <w:t>The Era of Fulfillment begins with the incarnation of the Son of God and extends into eternity future.</w:t>
      </w:r>
    </w:p>
    <w:p w14:paraId="044A4512">
      <w:pPr>
        <w:tabs>
          <w:tab w:val="left" w:pos="2120"/>
        </w:tabs>
        <w:bidi w:val="0"/>
        <w:jc w:val="left"/>
        <w:rPr>
          <w:rFonts w:hint="eastAsia" w:eastAsia="宋体"/>
          <w:sz w:val="30"/>
          <w:szCs w:val="30"/>
          <w:lang w:eastAsia="zh-CN"/>
        </w:rPr>
      </w:pPr>
      <w:r>
        <w:rPr>
          <w:rFonts w:hint="eastAsia" w:eastAsia="宋体"/>
          <w:sz w:val="30"/>
          <w:szCs w:val="30"/>
          <w:lang w:eastAsia="zh-CN"/>
        </w:rPr>
        <w:t>成全的时代始于上帝之子的道成肉身，并延伸至永恒的未来。</w:t>
      </w:r>
    </w:p>
    <w:p w14:paraId="0E50C1E1">
      <w:pPr>
        <w:tabs>
          <w:tab w:val="left" w:pos="2120"/>
        </w:tabs>
        <w:bidi w:val="0"/>
        <w:jc w:val="left"/>
        <w:rPr>
          <w:rFonts w:hint="eastAsia" w:eastAsia="宋体"/>
          <w:sz w:val="30"/>
          <w:szCs w:val="30"/>
          <w:lang w:eastAsia="zh-CN"/>
        </w:rPr>
      </w:pPr>
    </w:p>
    <w:p w14:paraId="1F0B8C5F">
      <w:pPr>
        <w:tabs>
          <w:tab w:val="left" w:pos="2120"/>
        </w:tabs>
        <w:bidi w:val="0"/>
        <w:jc w:val="left"/>
        <w:rPr>
          <w:rFonts w:hint="eastAsia" w:eastAsia="宋体"/>
          <w:sz w:val="30"/>
          <w:szCs w:val="30"/>
          <w:lang w:eastAsia="zh-CN"/>
        </w:rPr>
      </w:pPr>
      <w:r>
        <w:rPr>
          <w:rFonts w:hint="eastAsia" w:eastAsia="宋体"/>
          <w:sz w:val="30"/>
          <w:szCs w:val="30"/>
          <w:lang w:eastAsia="zh-CN"/>
        </w:rPr>
        <w:t>Its central events, stages, and characteristics are revealed by Christ himself through his holy apostles and prophets, and are recorded in the New Testament from Matthew to the Revelation.</w:t>
      </w:r>
    </w:p>
    <w:p w14:paraId="3DE30D5D">
      <w:pPr>
        <w:tabs>
          <w:tab w:val="left" w:pos="2120"/>
        </w:tabs>
        <w:bidi w:val="0"/>
        <w:jc w:val="left"/>
        <w:rPr>
          <w:rFonts w:hint="eastAsia" w:eastAsia="宋体"/>
          <w:sz w:val="30"/>
          <w:szCs w:val="30"/>
          <w:lang w:eastAsia="zh-CN"/>
        </w:rPr>
      </w:pPr>
      <w:r>
        <w:rPr>
          <w:rFonts w:hint="eastAsia" w:eastAsia="宋体"/>
          <w:sz w:val="30"/>
          <w:szCs w:val="30"/>
          <w:lang w:eastAsia="zh-CN"/>
        </w:rPr>
        <w:t>其核心事件、阶段和特征由基督亲自藉着祂的圣使徒和先知启示出来，并记录在新约中，从马太福音到启示录。</w:t>
      </w:r>
    </w:p>
    <w:p w14:paraId="5AE41306">
      <w:pPr>
        <w:tabs>
          <w:tab w:val="left" w:pos="2120"/>
        </w:tabs>
        <w:bidi w:val="0"/>
        <w:jc w:val="left"/>
        <w:rPr>
          <w:rFonts w:hint="eastAsia" w:eastAsia="宋体"/>
          <w:sz w:val="30"/>
          <w:szCs w:val="30"/>
          <w:lang w:eastAsia="zh-CN"/>
        </w:rPr>
      </w:pPr>
    </w:p>
    <w:p w14:paraId="7E82DC0F">
      <w:pPr>
        <w:tabs>
          <w:tab w:val="left" w:pos="2120"/>
        </w:tabs>
        <w:bidi w:val="0"/>
        <w:jc w:val="left"/>
        <w:rPr>
          <w:rFonts w:hint="eastAsia" w:eastAsia="宋体"/>
          <w:sz w:val="30"/>
          <w:szCs w:val="30"/>
          <w:lang w:eastAsia="zh-CN"/>
        </w:rPr>
      </w:pPr>
      <w:r>
        <w:rPr>
          <w:rFonts w:hint="eastAsia" w:eastAsia="宋体"/>
          <w:sz w:val="30"/>
          <w:szCs w:val="30"/>
          <w:lang w:eastAsia="zh-CN"/>
        </w:rPr>
        <w:t>The essential characteristic of this Era is that the preparatory, promissory, and temporary administrations of the Eternal Covenant now give way to a once-for-all administration of the Covenant as it is in itself.</w:t>
      </w:r>
    </w:p>
    <w:p w14:paraId="57883816">
      <w:pPr>
        <w:tabs>
          <w:tab w:val="left" w:pos="2120"/>
        </w:tabs>
        <w:bidi w:val="0"/>
        <w:jc w:val="left"/>
        <w:rPr>
          <w:rFonts w:hint="eastAsia" w:eastAsia="宋体"/>
          <w:sz w:val="30"/>
          <w:szCs w:val="30"/>
          <w:lang w:eastAsia="zh-CN"/>
        </w:rPr>
      </w:pPr>
      <w:r>
        <w:rPr>
          <w:rFonts w:hint="eastAsia" w:eastAsia="宋体"/>
          <w:sz w:val="30"/>
          <w:szCs w:val="30"/>
          <w:lang w:eastAsia="zh-CN"/>
        </w:rPr>
        <w:t>这个时代的基本特征是，永恒之约的预备性、应许性和暂时性的施行，现在让位给约本身的一次性的施行。</w:t>
      </w:r>
    </w:p>
    <w:p w14:paraId="08DD4A3D">
      <w:pPr>
        <w:tabs>
          <w:tab w:val="left" w:pos="2120"/>
        </w:tabs>
        <w:bidi w:val="0"/>
        <w:jc w:val="left"/>
        <w:rPr>
          <w:rFonts w:hint="eastAsia" w:eastAsia="宋体"/>
          <w:sz w:val="30"/>
          <w:szCs w:val="30"/>
          <w:lang w:eastAsia="zh-CN"/>
        </w:rPr>
      </w:pPr>
    </w:p>
    <w:p w14:paraId="285B5514">
      <w:pPr>
        <w:tabs>
          <w:tab w:val="left" w:pos="2120"/>
        </w:tabs>
        <w:bidi w:val="0"/>
        <w:jc w:val="left"/>
        <w:rPr>
          <w:rFonts w:hint="eastAsia" w:eastAsia="宋体"/>
          <w:sz w:val="30"/>
          <w:szCs w:val="30"/>
          <w:lang w:eastAsia="zh-CN"/>
        </w:rPr>
      </w:pPr>
      <w:r>
        <w:rPr>
          <w:rFonts w:hint="eastAsia" w:eastAsia="宋体"/>
          <w:sz w:val="30"/>
          <w:szCs w:val="30"/>
          <w:lang w:eastAsia="zh-CN"/>
        </w:rPr>
        <w:t>God’s redemptive plan, formulated in eternity past, now appears in broad daylight.</w:t>
      </w:r>
    </w:p>
    <w:p w14:paraId="46BF0F64">
      <w:pPr>
        <w:tabs>
          <w:tab w:val="left" w:pos="2120"/>
        </w:tabs>
        <w:bidi w:val="0"/>
        <w:jc w:val="left"/>
        <w:rPr>
          <w:rFonts w:hint="eastAsia" w:eastAsia="宋体"/>
          <w:sz w:val="30"/>
          <w:szCs w:val="30"/>
          <w:lang w:eastAsia="zh-CN"/>
        </w:rPr>
      </w:pPr>
      <w:r>
        <w:rPr>
          <w:rFonts w:hint="eastAsia" w:eastAsia="宋体"/>
          <w:sz w:val="30"/>
          <w:szCs w:val="30"/>
          <w:lang w:eastAsia="zh-CN"/>
        </w:rPr>
        <w:t>上帝在永恒过去所制定的救赎计划，现在在光天化日之下显现出来。</w:t>
      </w:r>
    </w:p>
    <w:p w14:paraId="04755894">
      <w:pPr>
        <w:tabs>
          <w:tab w:val="left" w:pos="2120"/>
        </w:tabs>
        <w:bidi w:val="0"/>
        <w:jc w:val="left"/>
        <w:rPr>
          <w:rFonts w:hint="eastAsia" w:eastAsia="宋体"/>
          <w:sz w:val="30"/>
          <w:szCs w:val="30"/>
          <w:lang w:eastAsia="zh-CN"/>
        </w:rPr>
      </w:pPr>
    </w:p>
    <w:p w14:paraId="08727E6D">
      <w:pPr>
        <w:tabs>
          <w:tab w:val="left" w:pos="2120"/>
        </w:tabs>
        <w:bidi w:val="0"/>
        <w:jc w:val="left"/>
        <w:rPr>
          <w:rFonts w:hint="eastAsia" w:eastAsia="宋体"/>
          <w:sz w:val="30"/>
          <w:szCs w:val="30"/>
          <w:lang w:eastAsia="zh-CN"/>
        </w:rPr>
      </w:pPr>
      <w:r>
        <w:rPr>
          <w:rFonts w:hint="eastAsia" w:eastAsia="宋体"/>
          <w:sz w:val="30"/>
          <w:szCs w:val="30"/>
          <w:lang w:eastAsia="zh-CN"/>
        </w:rPr>
        <w:t>The eternal Son of God actually enters the stream of history.</w:t>
      </w:r>
    </w:p>
    <w:p w14:paraId="45B730A9">
      <w:pPr>
        <w:tabs>
          <w:tab w:val="left" w:pos="2120"/>
        </w:tabs>
        <w:bidi w:val="0"/>
        <w:jc w:val="left"/>
        <w:rPr>
          <w:rFonts w:hint="eastAsia" w:eastAsia="宋体"/>
          <w:sz w:val="30"/>
          <w:szCs w:val="30"/>
          <w:lang w:eastAsia="zh-CN"/>
        </w:rPr>
      </w:pPr>
      <w:r>
        <w:rPr>
          <w:rFonts w:hint="eastAsia" w:eastAsia="宋体"/>
          <w:sz w:val="30"/>
          <w:szCs w:val="30"/>
          <w:lang w:eastAsia="zh-CN"/>
        </w:rPr>
        <w:t>永恒的上帝之子真的进入了历史的长河。</w:t>
      </w:r>
    </w:p>
    <w:p w14:paraId="5D10D44B">
      <w:pPr>
        <w:tabs>
          <w:tab w:val="left" w:pos="2120"/>
        </w:tabs>
        <w:bidi w:val="0"/>
        <w:jc w:val="left"/>
        <w:rPr>
          <w:rFonts w:hint="eastAsia" w:eastAsia="宋体"/>
          <w:sz w:val="30"/>
          <w:szCs w:val="30"/>
          <w:lang w:eastAsia="zh-CN"/>
        </w:rPr>
      </w:pPr>
    </w:p>
    <w:p w14:paraId="7BAF9D77">
      <w:pPr>
        <w:tabs>
          <w:tab w:val="left" w:pos="2120"/>
        </w:tabs>
        <w:bidi w:val="0"/>
        <w:jc w:val="left"/>
        <w:rPr>
          <w:rFonts w:hint="eastAsia" w:eastAsia="宋体"/>
          <w:sz w:val="30"/>
          <w:szCs w:val="30"/>
          <w:lang w:eastAsia="zh-CN"/>
        </w:rPr>
      </w:pPr>
      <w:r>
        <w:rPr>
          <w:rFonts w:hint="eastAsia" w:eastAsia="宋体"/>
          <w:sz w:val="30"/>
          <w:szCs w:val="30"/>
          <w:lang w:eastAsia="zh-CN"/>
        </w:rPr>
        <w:t>The Last Adam actually takes on human flesh, slipping, as it were, by night into the Great City—the very Domain of Darkness, mystically called Sodom and Egypt—that he might rescue and restore his Father’s chosen ones (Rev. 11:8).</w:t>
      </w:r>
    </w:p>
    <w:p w14:paraId="76B9E73F">
      <w:pPr>
        <w:tabs>
          <w:tab w:val="left" w:pos="2120"/>
        </w:tabs>
        <w:bidi w:val="0"/>
        <w:jc w:val="left"/>
        <w:rPr>
          <w:rFonts w:hint="eastAsia" w:eastAsia="宋体"/>
          <w:sz w:val="30"/>
          <w:szCs w:val="30"/>
          <w:lang w:eastAsia="zh-CN"/>
        </w:rPr>
      </w:pPr>
      <w:r>
        <w:rPr>
          <w:rFonts w:hint="eastAsia" w:eastAsia="宋体"/>
          <w:sz w:val="30"/>
          <w:szCs w:val="30"/>
          <w:lang w:eastAsia="zh-CN"/>
        </w:rPr>
        <w:t>末后的亚当真的取了人的肉身，仿佛在夜间溜进了那大城——正是黑暗的权势，奥秘地称为所多玛和埃及——为要拯救和恢复祂父的选民（启 11:8）。</w:t>
      </w:r>
    </w:p>
    <w:p w14:paraId="5317829D">
      <w:pPr>
        <w:tabs>
          <w:tab w:val="left" w:pos="2120"/>
        </w:tabs>
        <w:bidi w:val="0"/>
        <w:jc w:val="left"/>
        <w:rPr>
          <w:rFonts w:hint="eastAsia" w:eastAsia="宋体"/>
          <w:sz w:val="30"/>
          <w:szCs w:val="30"/>
          <w:lang w:eastAsia="zh-CN"/>
        </w:rPr>
      </w:pPr>
    </w:p>
    <w:p w14:paraId="5F53E487">
      <w:pPr>
        <w:tabs>
          <w:tab w:val="left" w:pos="2120"/>
        </w:tabs>
        <w:bidi w:val="0"/>
        <w:jc w:val="left"/>
        <w:rPr>
          <w:rFonts w:hint="eastAsia" w:eastAsia="宋体"/>
          <w:sz w:val="30"/>
          <w:szCs w:val="30"/>
          <w:lang w:eastAsia="zh-CN"/>
        </w:rPr>
      </w:pPr>
      <w:r>
        <w:rPr>
          <w:rFonts w:hint="eastAsia" w:eastAsia="宋体"/>
          <w:sz w:val="30"/>
          <w:szCs w:val="30"/>
          <w:lang w:eastAsia="zh-CN"/>
        </w:rPr>
        <w:t>In the vast apparatus of his Messianic work—in his humiliation and exaltation—the Last Adam does this very thing.</w:t>
      </w:r>
    </w:p>
    <w:p w14:paraId="329193AB">
      <w:pPr>
        <w:tabs>
          <w:tab w:val="left" w:pos="2120"/>
        </w:tabs>
        <w:bidi w:val="0"/>
        <w:jc w:val="left"/>
        <w:rPr>
          <w:rFonts w:hint="eastAsia" w:eastAsia="宋体"/>
          <w:sz w:val="30"/>
          <w:szCs w:val="30"/>
          <w:lang w:eastAsia="zh-CN"/>
        </w:rPr>
      </w:pPr>
      <w:r>
        <w:rPr>
          <w:rFonts w:hint="eastAsia" w:eastAsia="宋体"/>
          <w:sz w:val="30"/>
          <w:szCs w:val="30"/>
          <w:lang w:eastAsia="zh-CN"/>
        </w:rPr>
        <w:t>在祂弥赛亚工作的庞大机制中——在祂的降卑与高升中——末后的亚当做的正是这件事。</w:t>
      </w:r>
    </w:p>
    <w:p w14:paraId="6213ED5F">
      <w:pPr>
        <w:tabs>
          <w:tab w:val="left" w:pos="2120"/>
        </w:tabs>
        <w:bidi w:val="0"/>
        <w:jc w:val="left"/>
        <w:rPr>
          <w:rFonts w:hint="eastAsia" w:eastAsia="宋体"/>
          <w:sz w:val="30"/>
          <w:szCs w:val="30"/>
          <w:lang w:eastAsia="zh-CN"/>
        </w:rPr>
      </w:pPr>
    </w:p>
    <w:p w14:paraId="1724501C">
      <w:pPr>
        <w:tabs>
          <w:tab w:val="left" w:pos="2120"/>
        </w:tabs>
        <w:bidi w:val="0"/>
        <w:jc w:val="left"/>
        <w:rPr>
          <w:rFonts w:hint="eastAsia" w:eastAsia="宋体"/>
          <w:sz w:val="30"/>
          <w:szCs w:val="30"/>
          <w:lang w:eastAsia="zh-CN"/>
        </w:rPr>
      </w:pPr>
      <w:r>
        <w:rPr>
          <w:rFonts w:hint="eastAsia" w:eastAsia="宋体"/>
          <w:sz w:val="30"/>
          <w:szCs w:val="30"/>
          <w:lang w:eastAsia="zh-CN"/>
        </w:rPr>
        <w:t>Though the Consummation is still to come, the elements of the Covenant are now unveiled, the terms of the Covenant are now proclaimed, and—among all who believe—the Promise of the Covenant is now experienced and enjoyed: Eternal Life in the eternal Kingdom of God.</w:t>
      </w:r>
    </w:p>
    <w:p w14:paraId="17F7FEFC">
      <w:pPr>
        <w:tabs>
          <w:tab w:val="left" w:pos="2120"/>
        </w:tabs>
        <w:bidi w:val="0"/>
        <w:jc w:val="left"/>
        <w:rPr>
          <w:rFonts w:hint="eastAsia" w:eastAsia="宋体"/>
          <w:sz w:val="30"/>
          <w:szCs w:val="30"/>
          <w:lang w:eastAsia="zh-CN"/>
        </w:rPr>
      </w:pPr>
      <w:r>
        <w:rPr>
          <w:rFonts w:hint="eastAsia" w:eastAsia="宋体"/>
          <w:sz w:val="30"/>
          <w:szCs w:val="30"/>
          <w:lang w:eastAsia="zh-CN"/>
        </w:rPr>
        <w:t>虽然最终的成全尚未来到，但约的要素现已揭示，约的条款现已宣告，并且——在所有相信的人中——约的应许现已经历和享有：在永恒的上帝之国里的永生。</w:t>
      </w:r>
    </w:p>
    <w:p w14:paraId="6A3D0351">
      <w:pPr>
        <w:tabs>
          <w:tab w:val="left" w:pos="2120"/>
        </w:tabs>
        <w:bidi w:val="0"/>
        <w:jc w:val="left"/>
        <w:rPr>
          <w:rFonts w:hint="eastAsia" w:eastAsia="宋体"/>
          <w:sz w:val="30"/>
          <w:szCs w:val="30"/>
          <w:lang w:eastAsia="zh-CN"/>
        </w:rPr>
      </w:pPr>
    </w:p>
    <w:p w14:paraId="424C06DB">
      <w:pPr>
        <w:tabs>
          <w:tab w:val="left" w:pos="2120"/>
        </w:tabs>
        <w:bidi w:val="0"/>
        <w:jc w:val="left"/>
        <w:rPr>
          <w:rFonts w:hint="eastAsia" w:eastAsia="宋体"/>
          <w:sz w:val="30"/>
          <w:szCs w:val="30"/>
          <w:lang w:eastAsia="zh-CN"/>
        </w:rPr>
      </w:pPr>
      <w:r>
        <w:rPr>
          <w:rFonts w:hint="eastAsia" w:eastAsia="宋体"/>
          <w:sz w:val="30"/>
          <w:szCs w:val="30"/>
          <w:lang w:eastAsia="zh-CN"/>
        </w:rPr>
        <w:t>As for the stages of the Era of Fulfillment, I will show in chapter 9, from the teachings of Christ and the apostles, that they are basically two.</w:t>
      </w:r>
    </w:p>
    <w:p w14:paraId="7909E223">
      <w:pPr>
        <w:tabs>
          <w:tab w:val="left" w:pos="2120"/>
        </w:tabs>
        <w:bidi w:val="0"/>
        <w:jc w:val="left"/>
        <w:rPr>
          <w:rFonts w:hint="eastAsia" w:eastAsia="宋体"/>
          <w:sz w:val="30"/>
          <w:szCs w:val="30"/>
          <w:lang w:eastAsia="zh-CN"/>
        </w:rPr>
      </w:pPr>
      <w:r>
        <w:rPr>
          <w:rFonts w:hint="eastAsia" w:eastAsia="宋体"/>
          <w:sz w:val="30"/>
          <w:szCs w:val="30"/>
          <w:lang w:eastAsia="zh-CN"/>
        </w:rPr>
        <w:t>至于成全时代的各个阶段，我将在第9章中，根据基督和使徒的教导，说明基本上有两个阶段。</w:t>
      </w:r>
    </w:p>
    <w:p w14:paraId="7170D24C">
      <w:pPr>
        <w:tabs>
          <w:tab w:val="left" w:pos="2120"/>
        </w:tabs>
        <w:bidi w:val="0"/>
        <w:jc w:val="left"/>
        <w:rPr>
          <w:rFonts w:hint="eastAsia" w:eastAsia="宋体"/>
          <w:sz w:val="30"/>
          <w:szCs w:val="30"/>
          <w:lang w:eastAsia="zh-CN"/>
        </w:rPr>
      </w:pPr>
    </w:p>
    <w:p w14:paraId="1AFECBEC">
      <w:pPr>
        <w:tabs>
          <w:tab w:val="left" w:pos="2120"/>
        </w:tabs>
        <w:bidi w:val="0"/>
        <w:jc w:val="left"/>
        <w:rPr>
          <w:rFonts w:hint="eastAsia" w:eastAsia="宋体"/>
          <w:sz w:val="30"/>
          <w:szCs w:val="30"/>
          <w:lang w:eastAsia="zh-CN"/>
        </w:rPr>
      </w:pPr>
      <w:r>
        <w:rPr>
          <w:rFonts w:hint="eastAsia" w:eastAsia="宋体"/>
          <w:sz w:val="30"/>
          <w:szCs w:val="30"/>
          <w:lang w:eastAsia="zh-CN"/>
        </w:rPr>
        <w:t>Let me sketch this idea now, and defend it at length later on.</w:t>
      </w:r>
    </w:p>
    <w:p w14:paraId="6CE0DEB0">
      <w:pPr>
        <w:tabs>
          <w:tab w:val="left" w:pos="2120"/>
        </w:tabs>
        <w:bidi w:val="0"/>
        <w:jc w:val="left"/>
        <w:rPr>
          <w:rFonts w:hint="eastAsia" w:eastAsia="宋体"/>
          <w:sz w:val="30"/>
          <w:szCs w:val="30"/>
          <w:lang w:eastAsia="zh-CN"/>
        </w:rPr>
      </w:pPr>
      <w:r>
        <w:rPr>
          <w:rFonts w:hint="eastAsia" w:eastAsia="宋体"/>
          <w:sz w:val="30"/>
          <w:szCs w:val="30"/>
          <w:lang w:eastAsia="zh-CN"/>
        </w:rPr>
        <w:t>现在让我勾勒出这个想法，稍后再详细辩护。</w:t>
      </w:r>
    </w:p>
    <w:p w14:paraId="27A7F17A">
      <w:pPr>
        <w:tabs>
          <w:tab w:val="left" w:pos="2120"/>
        </w:tabs>
        <w:bidi w:val="0"/>
        <w:jc w:val="left"/>
        <w:rPr>
          <w:rFonts w:hint="eastAsia" w:eastAsia="宋体"/>
          <w:sz w:val="30"/>
          <w:szCs w:val="30"/>
          <w:lang w:eastAsia="zh-CN"/>
        </w:rPr>
      </w:pPr>
    </w:p>
    <w:p w14:paraId="670418DE">
      <w:pPr>
        <w:tabs>
          <w:tab w:val="left" w:pos="2120"/>
        </w:tabs>
        <w:bidi w:val="0"/>
        <w:jc w:val="left"/>
        <w:rPr>
          <w:rFonts w:hint="eastAsia" w:eastAsia="宋体"/>
          <w:sz w:val="30"/>
          <w:szCs w:val="30"/>
          <w:lang w:eastAsia="zh-CN"/>
        </w:rPr>
      </w:pPr>
      <w:r>
        <w:rPr>
          <w:rFonts w:hint="eastAsia" w:eastAsia="宋体"/>
          <w:sz w:val="30"/>
          <w:szCs w:val="30"/>
          <w:lang w:eastAsia="zh-CN"/>
        </w:rPr>
        <w:t>The first stage may be called the Era of Proclamation and Probation.</w:t>
      </w:r>
    </w:p>
    <w:p w14:paraId="7C421DDF">
      <w:pPr>
        <w:tabs>
          <w:tab w:val="left" w:pos="2120"/>
        </w:tabs>
        <w:bidi w:val="0"/>
        <w:jc w:val="left"/>
        <w:rPr>
          <w:rFonts w:hint="eastAsia" w:eastAsia="宋体"/>
          <w:sz w:val="30"/>
          <w:szCs w:val="30"/>
          <w:lang w:eastAsia="zh-CN"/>
        </w:rPr>
      </w:pPr>
      <w:r>
        <w:rPr>
          <w:rFonts w:hint="eastAsia" w:eastAsia="宋体"/>
          <w:sz w:val="30"/>
          <w:szCs w:val="30"/>
          <w:lang w:eastAsia="zh-CN"/>
        </w:rPr>
        <w:t>第一个阶段可称为宣讲与察验的时代。</w:t>
      </w:r>
    </w:p>
    <w:p w14:paraId="79A0886D">
      <w:pPr>
        <w:tabs>
          <w:tab w:val="left" w:pos="2120"/>
        </w:tabs>
        <w:bidi w:val="0"/>
        <w:jc w:val="left"/>
        <w:rPr>
          <w:rFonts w:hint="eastAsia" w:eastAsia="宋体"/>
          <w:sz w:val="30"/>
          <w:szCs w:val="30"/>
          <w:lang w:eastAsia="zh-CN"/>
        </w:rPr>
      </w:pPr>
    </w:p>
    <w:p w14:paraId="2535ECE5">
      <w:pPr>
        <w:tabs>
          <w:tab w:val="left" w:pos="2120"/>
        </w:tabs>
        <w:bidi w:val="0"/>
        <w:jc w:val="left"/>
        <w:rPr>
          <w:rFonts w:hint="eastAsia" w:eastAsia="宋体"/>
          <w:sz w:val="30"/>
          <w:szCs w:val="30"/>
          <w:lang w:eastAsia="zh-CN"/>
        </w:rPr>
      </w:pPr>
      <w:r>
        <w:rPr>
          <w:rFonts w:hint="eastAsia" w:eastAsia="宋体"/>
          <w:sz w:val="30"/>
          <w:szCs w:val="30"/>
          <w:lang w:eastAsia="zh-CN"/>
        </w:rPr>
        <w:t>Fundamentally, it begins on the Day of Pentecost and continues until Christ’s Parousia at the end of the age.</w:t>
      </w:r>
    </w:p>
    <w:p w14:paraId="40F63B7C">
      <w:pPr>
        <w:tabs>
          <w:tab w:val="left" w:pos="2120"/>
        </w:tabs>
        <w:bidi w:val="0"/>
        <w:jc w:val="left"/>
        <w:rPr>
          <w:rFonts w:hint="eastAsia" w:eastAsia="宋体"/>
          <w:sz w:val="30"/>
          <w:szCs w:val="30"/>
          <w:lang w:eastAsia="zh-CN"/>
        </w:rPr>
      </w:pPr>
      <w:r>
        <w:rPr>
          <w:rFonts w:hint="eastAsia" w:eastAsia="宋体"/>
          <w:sz w:val="30"/>
          <w:szCs w:val="30"/>
          <w:lang w:eastAsia="zh-CN"/>
        </w:rPr>
        <w:t>基本上，它始于五旬节，并持续到世代末了基督的再来。</w:t>
      </w:r>
    </w:p>
    <w:p w14:paraId="728AFE6A">
      <w:pPr>
        <w:tabs>
          <w:tab w:val="left" w:pos="2120"/>
        </w:tabs>
        <w:bidi w:val="0"/>
        <w:jc w:val="left"/>
        <w:rPr>
          <w:rFonts w:hint="eastAsia" w:eastAsia="宋体"/>
          <w:sz w:val="30"/>
          <w:szCs w:val="30"/>
          <w:lang w:eastAsia="zh-CN"/>
        </w:rPr>
      </w:pPr>
    </w:p>
    <w:p w14:paraId="2383566C">
      <w:pPr>
        <w:tabs>
          <w:tab w:val="left" w:pos="2120"/>
        </w:tabs>
        <w:bidi w:val="0"/>
        <w:jc w:val="left"/>
        <w:rPr>
          <w:rFonts w:hint="eastAsia" w:eastAsia="宋体"/>
          <w:sz w:val="30"/>
          <w:szCs w:val="30"/>
          <w:lang w:eastAsia="zh-CN"/>
        </w:rPr>
      </w:pPr>
      <w:r>
        <w:rPr>
          <w:rFonts w:hint="eastAsia" w:eastAsia="宋体"/>
          <w:sz w:val="30"/>
          <w:szCs w:val="30"/>
          <w:lang w:eastAsia="zh-CN"/>
        </w:rPr>
        <w:t>Throughout this era, the elements and terms of the Covenant of Grace are proclaimed as Good News to all nations, with the result that all who hear are placed on probation concerning their love of the truth about the one true God, and their obedience to him.</w:t>
      </w:r>
    </w:p>
    <w:p w14:paraId="037305D0">
      <w:pPr>
        <w:tabs>
          <w:tab w:val="left" w:pos="2120"/>
        </w:tabs>
        <w:bidi w:val="0"/>
        <w:jc w:val="left"/>
        <w:rPr>
          <w:rFonts w:hint="eastAsia" w:eastAsia="宋体"/>
          <w:sz w:val="30"/>
          <w:szCs w:val="30"/>
          <w:lang w:eastAsia="zh-CN"/>
        </w:rPr>
      </w:pPr>
      <w:r>
        <w:rPr>
          <w:rFonts w:hint="eastAsia" w:eastAsia="宋体"/>
          <w:sz w:val="30"/>
          <w:szCs w:val="30"/>
          <w:lang w:eastAsia="zh-CN"/>
        </w:rPr>
        <w:t>在整个这个时代，恩典之约的要素和条款作为福音向万国宣讲，结果是所有听到的人都受到察验，看他们是否爱独一真神的真理，以及是否顺服祂。</w:t>
      </w:r>
    </w:p>
    <w:p w14:paraId="42F88C04">
      <w:pPr>
        <w:tabs>
          <w:tab w:val="left" w:pos="2120"/>
        </w:tabs>
        <w:bidi w:val="0"/>
        <w:jc w:val="left"/>
        <w:rPr>
          <w:rFonts w:hint="eastAsia" w:eastAsia="宋体"/>
          <w:sz w:val="30"/>
          <w:szCs w:val="30"/>
          <w:lang w:eastAsia="zh-CN"/>
        </w:rPr>
      </w:pPr>
    </w:p>
    <w:p w14:paraId="2FEF521E">
      <w:pPr>
        <w:tabs>
          <w:tab w:val="left" w:pos="2120"/>
        </w:tabs>
        <w:bidi w:val="0"/>
        <w:jc w:val="left"/>
        <w:rPr>
          <w:rFonts w:hint="eastAsia" w:eastAsia="宋体"/>
          <w:sz w:val="30"/>
          <w:szCs w:val="30"/>
          <w:lang w:eastAsia="zh-CN"/>
        </w:rPr>
      </w:pPr>
      <w:r>
        <w:rPr>
          <w:rFonts w:hint="eastAsia" w:eastAsia="宋体"/>
          <w:sz w:val="30"/>
          <w:szCs w:val="30"/>
          <w:lang w:eastAsia="zh-CN"/>
        </w:rPr>
        <w:t>During this time, and in this process, the heavenly Prophet, Priest, and King draws near to his own, granting them repentance and faith, so that they may trust in him, enter the Covenant, receive the gift of eternal life, and know the joys of his distinctly spiritual reign.</w:t>
      </w:r>
    </w:p>
    <w:p w14:paraId="0515768B">
      <w:pPr>
        <w:tabs>
          <w:tab w:val="left" w:pos="2120"/>
        </w:tabs>
        <w:bidi w:val="0"/>
        <w:jc w:val="left"/>
        <w:rPr>
          <w:rFonts w:hint="eastAsia" w:eastAsia="宋体"/>
          <w:sz w:val="30"/>
          <w:szCs w:val="30"/>
          <w:lang w:eastAsia="zh-CN"/>
        </w:rPr>
      </w:pPr>
      <w:r>
        <w:rPr>
          <w:rFonts w:hint="eastAsia" w:eastAsia="宋体"/>
          <w:sz w:val="30"/>
          <w:szCs w:val="30"/>
          <w:lang w:eastAsia="zh-CN"/>
        </w:rPr>
        <w:t>在此期间，并在此过程中，天上的先知、祭司和君王走近祂自己的人，赐给他们悔改和信心，使他们可以信靠祂，进入圣约，领受永生的恩赐，并认识到祂那独特的属灵统治的喜乐。</w:t>
      </w:r>
    </w:p>
    <w:p w14:paraId="0FC4F190">
      <w:pPr>
        <w:tabs>
          <w:tab w:val="left" w:pos="2120"/>
        </w:tabs>
        <w:bidi w:val="0"/>
        <w:jc w:val="left"/>
        <w:rPr>
          <w:rFonts w:hint="eastAsia" w:eastAsia="宋体"/>
          <w:sz w:val="30"/>
          <w:szCs w:val="30"/>
          <w:lang w:eastAsia="zh-CN"/>
        </w:rPr>
      </w:pPr>
    </w:p>
    <w:p w14:paraId="1AACFE80">
      <w:pPr>
        <w:tabs>
          <w:tab w:val="left" w:pos="2120"/>
        </w:tabs>
        <w:bidi w:val="0"/>
        <w:jc w:val="left"/>
        <w:rPr>
          <w:rFonts w:hint="eastAsia" w:eastAsia="宋体"/>
          <w:sz w:val="30"/>
          <w:szCs w:val="30"/>
          <w:lang w:eastAsia="zh-CN"/>
        </w:rPr>
      </w:pPr>
      <w:r>
        <w:rPr>
          <w:rFonts w:hint="eastAsia" w:eastAsia="宋体"/>
          <w:sz w:val="30"/>
          <w:szCs w:val="30"/>
          <w:lang w:eastAsia="zh-CN"/>
        </w:rPr>
        <w:t>The second stage of the Era of Fulfillment may be called the Era of Reward and Retribution.</w:t>
      </w:r>
    </w:p>
    <w:p w14:paraId="38A741E7">
      <w:pPr>
        <w:tabs>
          <w:tab w:val="left" w:pos="2120"/>
        </w:tabs>
        <w:bidi w:val="0"/>
        <w:jc w:val="left"/>
        <w:rPr>
          <w:rFonts w:hint="eastAsia" w:eastAsia="宋体"/>
          <w:sz w:val="30"/>
          <w:szCs w:val="30"/>
          <w:lang w:eastAsia="zh-CN"/>
        </w:rPr>
      </w:pPr>
      <w:r>
        <w:rPr>
          <w:rFonts w:hint="eastAsia" w:eastAsia="宋体"/>
          <w:sz w:val="30"/>
          <w:szCs w:val="30"/>
          <w:lang w:eastAsia="zh-CN"/>
        </w:rPr>
        <w:t>成全时代的第二个阶段可称为赏赐与报应的时代。</w:t>
      </w:r>
    </w:p>
    <w:p w14:paraId="4E779081">
      <w:pPr>
        <w:tabs>
          <w:tab w:val="left" w:pos="2120"/>
        </w:tabs>
        <w:bidi w:val="0"/>
        <w:jc w:val="left"/>
        <w:rPr>
          <w:rFonts w:hint="eastAsia" w:eastAsia="宋体"/>
          <w:sz w:val="30"/>
          <w:szCs w:val="30"/>
          <w:lang w:eastAsia="zh-CN"/>
        </w:rPr>
      </w:pPr>
    </w:p>
    <w:p w14:paraId="7EF1E458">
      <w:pPr>
        <w:tabs>
          <w:tab w:val="left" w:pos="2120"/>
        </w:tabs>
        <w:bidi w:val="0"/>
        <w:jc w:val="left"/>
        <w:rPr>
          <w:rFonts w:hint="eastAsia" w:eastAsia="宋体"/>
          <w:sz w:val="30"/>
          <w:szCs w:val="30"/>
          <w:lang w:eastAsia="zh-CN"/>
        </w:rPr>
      </w:pPr>
      <w:r>
        <w:rPr>
          <w:rFonts w:hint="eastAsia" w:eastAsia="宋体"/>
          <w:sz w:val="30"/>
          <w:szCs w:val="30"/>
          <w:lang w:eastAsia="zh-CN"/>
        </w:rPr>
        <w:t>It begins at Christ’s return in glory and continues forever.</w:t>
      </w:r>
    </w:p>
    <w:p w14:paraId="589133FF">
      <w:pPr>
        <w:tabs>
          <w:tab w:val="left" w:pos="2120"/>
        </w:tabs>
        <w:bidi w:val="0"/>
        <w:jc w:val="left"/>
        <w:rPr>
          <w:rFonts w:hint="eastAsia" w:eastAsia="宋体"/>
          <w:sz w:val="30"/>
          <w:szCs w:val="30"/>
          <w:lang w:eastAsia="zh-CN"/>
        </w:rPr>
      </w:pPr>
      <w:r>
        <w:rPr>
          <w:rFonts w:hint="eastAsia" w:eastAsia="宋体"/>
          <w:sz w:val="30"/>
          <w:szCs w:val="30"/>
          <w:lang w:eastAsia="zh-CN"/>
        </w:rPr>
        <w:t>它始于基督在荣耀中再来，并永远持续下去。</w:t>
      </w:r>
    </w:p>
    <w:p w14:paraId="142198C3">
      <w:pPr>
        <w:tabs>
          <w:tab w:val="left" w:pos="2120"/>
        </w:tabs>
        <w:bidi w:val="0"/>
        <w:jc w:val="left"/>
        <w:rPr>
          <w:rFonts w:hint="eastAsia" w:eastAsia="宋体"/>
          <w:sz w:val="30"/>
          <w:szCs w:val="30"/>
          <w:lang w:eastAsia="zh-CN"/>
        </w:rPr>
      </w:pPr>
    </w:p>
    <w:p w14:paraId="1875834C">
      <w:pPr>
        <w:tabs>
          <w:tab w:val="left" w:pos="2120"/>
        </w:tabs>
        <w:bidi w:val="0"/>
        <w:jc w:val="left"/>
        <w:rPr>
          <w:rFonts w:hint="eastAsia" w:eastAsia="宋体"/>
          <w:sz w:val="30"/>
          <w:szCs w:val="30"/>
          <w:lang w:eastAsia="zh-CN"/>
        </w:rPr>
      </w:pPr>
      <w:r>
        <w:rPr>
          <w:rFonts w:hint="eastAsia" w:eastAsia="宋体"/>
          <w:sz w:val="30"/>
          <w:szCs w:val="30"/>
          <w:lang w:eastAsia="zh-CN"/>
        </w:rPr>
        <w:t>Here the penalty of (rejecting) the Covenant falls upon the wicked: everlasting retribution in hell.</w:t>
      </w:r>
    </w:p>
    <w:p w14:paraId="683A07E5">
      <w:pPr>
        <w:tabs>
          <w:tab w:val="left" w:pos="2120"/>
        </w:tabs>
        <w:bidi w:val="0"/>
        <w:jc w:val="left"/>
        <w:rPr>
          <w:rFonts w:hint="eastAsia" w:eastAsia="宋体"/>
          <w:sz w:val="30"/>
          <w:szCs w:val="30"/>
          <w:lang w:eastAsia="zh-CN"/>
        </w:rPr>
      </w:pPr>
      <w:r>
        <w:rPr>
          <w:rFonts w:hint="eastAsia" w:eastAsia="宋体"/>
          <w:sz w:val="30"/>
          <w:szCs w:val="30"/>
          <w:lang w:eastAsia="zh-CN"/>
        </w:rPr>
        <w:t>在此，（拒绝）圣约的刑罚临到恶人身上：在地狱里永恒的报应。</w:t>
      </w:r>
    </w:p>
    <w:p w14:paraId="5E9D1DFA">
      <w:pPr>
        <w:tabs>
          <w:tab w:val="left" w:pos="2120"/>
        </w:tabs>
        <w:bidi w:val="0"/>
        <w:jc w:val="left"/>
        <w:rPr>
          <w:rFonts w:hint="eastAsia" w:eastAsia="宋体"/>
          <w:sz w:val="30"/>
          <w:szCs w:val="30"/>
          <w:lang w:eastAsia="zh-CN"/>
        </w:rPr>
      </w:pPr>
    </w:p>
    <w:p w14:paraId="133763CA">
      <w:pPr>
        <w:tabs>
          <w:tab w:val="left" w:pos="2120"/>
        </w:tabs>
        <w:bidi w:val="0"/>
        <w:jc w:val="left"/>
        <w:rPr>
          <w:rFonts w:hint="eastAsia" w:eastAsia="宋体"/>
          <w:sz w:val="30"/>
          <w:szCs w:val="30"/>
          <w:lang w:eastAsia="zh-CN"/>
        </w:rPr>
      </w:pPr>
      <w:r>
        <w:rPr>
          <w:rFonts w:hint="eastAsia" w:eastAsia="宋体"/>
          <w:sz w:val="30"/>
          <w:szCs w:val="30"/>
          <w:lang w:eastAsia="zh-CN"/>
        </w:rPr>
        <w:t>Here the promise of the Covenant descends in fullness upon all who are righteous by faith in Christ: eternal life under new heavens and in a glorious new earth.</w:t>
      </w:r>
    </w:p>
    <w:p w14:paraId="641C6186">
      <w:pPr>
        <w:tabs>
          <w:tab w:val="left" w:pos="2120"/>
        </w:tabs>
        <w:bidi w:val="0"/>
        <w:jc w:val="left"/>
        <w:rPr>
          <w:rFonts w:hint="eastAsia" w:eastAsia="宋体"/>
          <w:sz w:val="30"/>
          <w:szCs w:val="30"/>
          <w:lang w:eastAsia="zh-CN"/>
        </w:rPr>
      </w:pPr>
      <w:r>
        <w:rPr>
          <w:rFonts w:hint="eastAsia" w:eastAsia="宋体"/>
          <w:sz w:val="30"/>
          <w:szCs w:val="30"/>
          <w:lang w:eastAsia="zh-CN"/>
        </w:rPr>
        <w:t>在此，圣约的应许丰满地降临在所有因信基督而为义的人身上：在新天新地下的永生。</w:t>
      </w:r>
    </w:p>
    <w:p w14:paraId="489F0695">
      <w:pPr>
        <w:tabs>
          <w:tab w:val="left" w:pos="2120"/>
        </w:tabs>
        <w:bidi w:val="0"/>
        <w:jc w:val="left"/>
        <w:rPr>
          <w:rFonts w:hint="eastAsia" w:eastAsia="宋体"/>
          <w:sz w:val="30"/>
          <w:szCs w:val="30"/>
          <w:lang w:eastAsia="zh-CN"/>
        </w:rPr>
      </w:pPr>
    </w:p>
    <w:p w14:paraId="3F03C5DF">
      <w:pPr>
        <w:tabs>
          <w:tab w:val="left" w:pos="2120"/>
        </w:tabs>
        <w:bidi w:val="0"/>
        <w:jc w:val="left"/>
        <w:rPr>
          <w:rFonts w:hint="eastAsia" w:eastAsia="宋体"/>
          <w:sz w:val="30"/>
          <w:szCs w:val="30"/>
          <w:lang w:eastAsia="zh-CN"/>
        </w:rPr>
      </w:pPr>
      <w:r>
        <w:rPr>
          <w:rFonts w:hint="eastAsia" w:eastAsia="宋体"/>
          <w:sz w:val="30"/>
          <w:szCs w:val="30"/>
          <w:lang w:eastAsia="zh-CN"/>
        </w:rPr>
        <w:t>Later we will look at some of the biblical texts underlying this picture.</w:t>
      </w:r>
    </w:p>
    <w:p w14:paraId="723673A1">
      <w:pPr>
        <w:tabs>
          <w:tab w:val="left" w:pos="2120"/>
        </w:tabs>
        <w:bidi w:val="0"/>
        <w:jc w:val="left"/>
        <w:rPr>
          <w:rFonts w:hint="eastAsia" w:eastAsia="宋体"/>
          <w:sz w:val="30"/>
          <w:szCs w:val="30"/>
          <w:lang w:eastAsia="zh-CN"/>
        </w:rPr>
      </w:pPr>
      <w:r>
        <w:rPr>
          <w:rFonts w:hint="eastAsia" w:eastAsia="宋体"/>
          <w:sz w:val="30"/>
          <w:szCs w:val="30"/>
          <w:lang w:eastAsia="zh-CN"/>
        </w:rPr>
        <w:t>稍后我们将查看支持这一图景的一些圣经经文。</w:t>
      </w:r>
    </w:p>
    <w:p w14:paraId="6CE27EE7">
      <w:pPr>
        <w:tabs>
          <w:tab w:val="left" w:pos="2120"/>
        </w:tabs>
        <w:bidi w:val="0"/>
        <w:jc w:val="left"/>
        <w:rPr>
          <w:rFonts w:hint="eastAsia" w:eastAsia="宋体"/>
          <w:sz w:val="30"/>
          <w:szCs w:val="30"/>
          <w:lang w:eastAsia="zh-CN"/>
        </w:rPr>
      </w:pPr>
    </w:p>
    <w:p w14:paraId="040063D0">
      <w:pPr>
        <w:tabs>
          <w:tab w:val="left" w:pos="2120"/>
        </w:tabs>
        <w:bidi w:val="0"/>
        <w:jc w:val="left"/>
        <w:rPr>
          <w:rFonts w:hint="eastAsia" w:eastAsia="宋体"/>
          <w:sz w:val="30"/>
          <w:szCs w:val="30"/>
          <w:lang w:eastAsia="zh-CN"/>
        </w:rPr>
      </w:pPr>
      <w:r>
        <w:rPr>
          <w:rFonts w:hint="eastAsia" w:eastAsia="宋体"/>
          <w:sz w:val="30"/>
          <w:szCs w:val="30"/>
          <w:lang w:eastAsia="zh-CN"/>
        </w:rPr>
        <w:t>Here, however, we do well to note how the structure of the Era of Fulfillment reveals both the urgency of preaching the Gospel, and the urgency of men responding to it in obedience.</w:t>
      </w:r>
    </w:p>
    <w:p w14:paraId="6EF06099">
      <w:pPr>
        <w:tabs>
          <w:tab w:val="left" w:pos="2120"/>
        </w:tabs>
        <w:bidi w:val="0"/>
        <w:jc w:val="left"/>
        <w:rPr>
          <w:rFonts w:hint="eastAsia" w:eastAsia="宋体"/>
          <w:sz w:val="30"/>
          <w:szCs w:val="30"/>
          <w:lang w:eastAsia="zh-CN"/>
        </w:rPr>
      </w:pPr>
      <w:r>
        <w:rPr>
          <w:rFonts w:hint="eastAsia" w:eastAsia="宋体"/>
          <w:sz w:val="30"/>
          <w:szCs w:val="30"/>
          <w:lang w:eastAsia="zh-CN"/>
        </w:rPr>
        <w:t>然而，在此我们最好注意到，成全时代的结构如何揭示了传福音的紧迫性，以及世人顺服回应的紧迫性。</w:t>
      </w:r>
    </w:p>
    <w:p w14:paraId="672B7A34">
      <w:pPr>
        <w:tabs>
          <w:tab w:val="left" w:pos="2120"/>
        </w:tabs>
        <w:bidi w:val="0"/>
        <w:jc w:val="left"/>
        <w:rPr>
          <w:rFonts w:hint="eastAsia" w:eastAsia="宋体"/>
          <w:sz w:val="30"/>
          <w:szCs w:val="30"/>
          <w:lang w:eastAsia="zh-CN"/>
        </w:rPr>
      </w:pPr>
    </w:p>
    <w:p w14:paraId="50D8A3A6">
      <w:pPr>
        <w:tabs>
          <w:tab w:val="left" w:pos="2120"/>
        </w:tabs>
        <w:bidi w:val="0"/>
        <w:jc w:val="left"/>
        <w:rPr>
          <w:rFonts w:hint="eastAsia" w:eastAsia="宋体"/>
          <w:sz w:val="30"/>
          <w:szCs w:val="30"/>
          <w:lang w:eastAsia="zh-CN"/>
        </w:rPr>
      </w:pPr>
      <w:r>
        <w:rPr>
          <w:rFonts w:hint="eastAsia" w:eastAsia="宋体"/>
          <w:sz w:val="30"/>
          <w:szCs w:val="30"/>
          <w:lang w:eastAsia="zh-CN"/>
        </w:rPr>
        <w:t>As Christ himself said, presently we live in “the year of the Lord’s favor”— the year in which honest seekers may find the grace of God unto salvation through faith in his Son (Luke 4:19).</w:t>
      </w:r>
    </w:p>
    <w:p w14:paraId="3554A0B1">
      <w:pPr>
        <w:tabs>
          <w:tab w:val="left" w:pos="2120"/>
        </w:tabs>
        <w:bidi w:val="0"/>
        <w:jc w:val="left"/>
        <w:rPr>
          <w:rFonts w:hint="eastAsia" w:eastAsia="宋体"/>
          <w:sz w:val="30"/>
          <w:szCs w:val="30"/>
          <w:lang w:eastAsia="zh-CN"/>
        </w:rPr>
      </w:pPr>
      <w:r>
        <w:rPr>
          <w:rFonts w:hint="eastAsia" w:eastAsia="宋体"/>
          <w:sz w:val="30"/>
          <w:szCs w:val="30"/>
          <w:lang w:eastAsia="zh-CN"/>
        </w:rPr>
        <w:t>正如基督自己所说，目前我们生活在“主悦纳人的禧年”——在这一年里，诚实的寻求者可以通过信靠祂的儿子找到上帝的救恩之恩（路 4:19）。</w:t>
      </w:r>
    </w:p>
    <w:p w14:paraId="3164E93A">
      <w:pPr>
        <w:tabs>
          <w:tab w:val="left" w:pos="2120"/>
        </w:tabs>
        <w:bidi w:val="0"/>
        <w:jc w:val="left"/>
        <w:rPr>
          <w:rFonts w:hint="eastAsia" w:eastAsia="宋体"/>
          <w:sz w:val="30"/>
          <w:szCs w:val="30"/>
          <w:lang w:eastAsia="zh-CN"/>
        </w:rPr>
      </w:pPr>
    </w:p>
    <w:p w14:paraId="48DD7DA0">
      <w:pPr>
        <w:tabs>
          <w:tab w:val="left" w:pos="2120"/>
        </w:tabs>
        <w:bidi w:val="0"/>
        <w:jc w:val="left"/>
        <w:rPr>
          <w:rFonts w:hint="eastAsia" w:eastAsia="宋体"/>
          <w:sz w:val="30"/>
          <w:szCs w:val="30"/>
          <w:lang w:eastAsia="zh-CN"/>
        </w:rPr>
      </w:pPr>
      <w:r>
        <w:rPr>
          <w:rFonts w:hint="eastAsia" w:eastAsia="宋体"/>
          <w:sz w:val="30"/>
          <w:szCs w:val="30"/>
          <w:lang w:eastAsia="zh-CN"/>
        </w:rPr>
        <w:t>Soon, however, that year will come to and end.</w:t>
      </w:r>
    </w:p>
    <w:p w14:paraId="32EB07D9">
      <w:pPr>
        <w:tabs>
          <w:tab w:val="left" w:pos="2120"/>
        </w:tabs>
        <w:bidi w:val="0"/>
        <w:jc w:val="left"/>
        <w:rPr>
          <w:rFonts w:hint="eastAsia" w:eastAsia="宋体"/>
          <w:sz w:val="30"/>
          <w:szCs w:val="30"/>
          <w:lang w:eastAsia="zh-CN"/>
        </w:rPr>
      </w:pPr>
      <w:r>
        <w:rPr>
          <w:rFonts w:hint="eastAsia" w:eastAsia="宋体"/>
          <w:sz w:val="30"/>
          <w:szCs w:val="30"/>
          <w:lang w:eastAsia="zh-CN"/>
        </w:rPr>
        <w:t>然而，那一年很快就会结束。</w:t>
      </w:r>
    </w:p>
    <w:p w14:paraId="742BBB3C">
      <w:pPr>
        <w:tabs>
          <w:tab w:val="left" w:pos="2120"/>
        </w:tabs>
        <w:bidi w:val="0"/>
        <w:jc w:val="left"/>
        <w:rPr>
          <w:rFonts w:hint="eastAsia" w:eastAsia="宋体"/>
          <w:sz w:val="30"/>
          <w:szCs w:val="30"/>
          <w:lang w:eastAsia="zh-CN"/>
        </w:rPr>
      </w:pPr>
    </w:p>
    <w:p w14:paraId="1C5CF765">
      <w:pPr>
        <w:tabs>
          <w:tab w:val="left" w:pos="2120"/>
        </w:tabs>
        <w:bidi w:val="0"/>
        <w:jc w:val="left"/>
        <w:rPr>
          <w:rFonts w:hint="eastAsia" w:eastAsia="宋体"/>
          <w:sz w:val="30"/>
          <w:szCs w:val="30"/>
          <w:lang w:eastAsia="zh-CN"/>
        </w:rPr>
      </w:pPr>
      <w:r>
        <w:rPr>
          <w:rFonts w:hint="eastAsia" w:eastAsia="宋体"/>
          <w:sz w:val="30"/>
          <w:szCs w:val="30"/>
          <w:lang w:eastAsia="zh-CN"/>
        </w:rPr>
        <w:t>Therefore, let all men everywhere “work the work” of him who now speaks to us in the Gospel, for the night is coming when—in this particular and eternally decisive way—no one can ever work again (John 6:29, 9:4).2</w:t>
      </w:r>
    </w:p>
    <w:p w14:paraId="31AC474A">
      <w:pPr>
        <w:tabs>
          <w:tab w:val="left" w:pos="2120"/>
        </w:tabs>
        <w:bidi w:val="0"/>
        <w:jc w:val="left"/>
        <w:rPr>
          <w:rFonts w:hint="eastAsia" w:eastAsia="宋体"/>
          <w:sz w:val="30"/>
          <w:szCs w:val="30"/>
          <w:lang w:eastAsia="zh-CN"/>
        </w:rPr>
      </w:pPr>
      <w:r>
        <w:rPr>
          <w:rFonts w:hint="eastAsia" w:eastAsia="宋体"/>
          <w:sz w:val="30"/>
          <w:szCs w:val="30"/>
          <w:lang w:eastAsia="zh-CN"/>
        </w:rPr>
        <w:t>因此，愿各处所有的人都“做”那现在在福音中对我们说话者的“工”，因为黑夜将到，那时——以这种特殊且永恒决定的方式——就没有人能再做工了（约 6:29, 9:4）。2</w:t>
      </w:r>
    </w:p>
    <w:p w14:paraId="519D4C90">
      <w:pPr>
        <w:tabs>
          <w:tab w:val="left" w:pos="2120"/>
        </w:tabs>
        <w:bidi w:val="0"/>
        <w:jc w:val="left"/>
        <w:rPr>
          <w:rFonts w:hint="eastAsia" w:eastAsia="宋体"/>
          <w:sz w:val="30"/>
          <w:szCs w:val="30"/>
          <w:lang w:eastAsia="zh-CN"/>
        </w:rPr>
      </w:pPr>
    </w:p>
    <w:p w14:paraId="6E9C2B8D">
      <w:pPr>
        <w:tabs>
          <w:tab w:val="left" w:pos="2120"/>
        </w:tabs>
        <w:bidi w:val="0"/>
        <w:jc w:val="left"/>
        <w:rPr>
          <w:rFonts w:hint="eastAsia" w:eastAsia="宋体"/>
          <w:sz w:val="30"/>
          <w:szCs w:val="30"/>
          <w:lang w:eastAsia="zh-CN"/>
        </w:rPr>
      </w:pPr>
      <w:r>
        <w:rPr>
          <w:rFonts w:hint="eastAsia" w:eastAsia="宋体"/>
          <w:sz w:val="30"/>
          <w:szCs w:val="30"/>
          <w:lang w:eastAsia="zh-CN"/>
        </w:rPr>
        <w:t>The Eternal Covenant and the Kingdom of God</w:t>
      </w:r>
    </w:p>
    <w:p w14:paraId="2639A4BC">
      <w:pPr>
        <w:tabs>
          <w:tab w:val="left" w:pos="2120"/>
        </w:tabs>
        <w:bidi w:val="0"/>
        <w:jc w:val="left"/>
        <w:rPr>
          <w:rFonts w:hint="eastAsia" w:eastAsia="宋体"/>
          <w:sz w:val="30"/>
          <w:szCs w:val="30"/>
          <w:lang w:eastAsia="zh-CN"/>
        </w:rPr>
      </w:pPr>
      <w:r>
        <w:rPr>
          <w:rFonts w:hint="eastAsia" w:eastAsia="宋体"/>
          <w:sz w:val="30"/>
          <w:szCs w:val="30"/>
          <w:lang w:eastAsia="zh-CN"/>
        </w:rPr>
        <w:t>永恒之约与上帝的国</w:t>
      </w:r>
    </w:p>
    <w:p w14:paraId="1F176ADD">
      <w:pPr>
        <w:tabs>
          <w:tab w:val="left" w:pos="2120"/>
        </w:tabs>
        <w:bidi w:val="0"/>
        <w:jc w:val="left"/>
        <w:rPr>
          <w:rFonts w:hint="eastAsia" w:eastAsia="宋体"/>
          <w:sz w:val="30"/>
          <w:szCs w:val="30"/>
          <w:lang w:eastAsia="zh-CN"/>
        </w:rPr>
      </w:pPr>
    </w:p>
    <w:p w14:paraId="290646C1">
      <w:pPr>
        <w:tabs>
          <w:tab w:val="left" w:pos="2120"/>
        </w:tabs>
        <w:bidi w:val="0"/>
        <w:jc w:val="left"/>
        <w:rPr>
          <w:rFonts w:hint="eastAsia" w:eastAsia="宋体"/>
          <w:sz w:val="30"/>
          <w:szCs w:val="30"/>
          <w:lang w:eastAsia="zh-CN"/>
        </w:rPr>
      </w:pPr>
      <w:r>
        <w:rPr>
          <w:rFonts w:hint="eastAsia" w:eastAsia="宋体"/>
          <w:sz w:val="30"/>
          <w:szCs w:val="30"/>
          <w:lang w:eastAsia="zh-CN"/>
        </w:rPr>
        <w:t>Here in Part 2 of our journey our great objective is to understand the Kingdom of God.</w:t>
      </w:r>
    </w:p>
    <w:p w14:paraId="70AD4A04">
      <w:pPr>
        <w:tabs>
          <w:tab w:val="left" w:pos="2120"/>
        </w:tabs>
        <w:bidi w:val="0"/>
        <w:jc w:val="left"/>
        <w:rPr>
          <w:rFonts w:hint="eastAsia" w:eastAsia="宋体"/>
          <w:sz w:val="30"/>
          <w:szCs w:val="30"/>
          <w:lang w:eastAsia="zh-CN"/>
        </w:rPr>
      </w:pPr>
      <w:r>
        <w:rPr>
          <w:rFonts w:hint="eastAsia" w:eastAsia="宋体"/>
          <w:sz w:val="30"/>
          <w:szCs w:val="30"/>
          <w:lang w:eastAsia="zh-CN"/>
        </w:rPr>
        <w:t>在我们旅程的第二部分，我们的主要目标是理解上帝的国。</w:t>
      </w:r>
    </w:p>
    <w:p w14:paraId="03888796">
      <w:pPr>
        <w:tabs>
          <w:tab w:val="left" w:pos="2120"/>
        </w:tabs>
        <w:bidi w:val="0"/>
        <w:jc w:val="left"/>
        <w:rPr>
          <w:rFonts w:hint="eastAsia" w:eastAsia="宋体"/>
          <w:sz w:val="30"/>
          <w:szCs w:val="30"/>
          <w:lang w:eastAsia="zh-CN"/>
        </w:rPr>
      </w:pPr>
    </w:p>
    <w:p w14:paraId="53549680">
      <w:pPr>
        <w:tabs>
          <w:tab w:val="left" w:pos="2120"/>
        </w:tabs>
        <w:bidi w:val="0"/>
        <w:jc w:val="left"/>
        <w:rPr>
          <w:rFonts w:hint="eastAsia" w:eastAsia="宋体"/>
          <w:sz w:val="30"/>
          <w:szCs w:val="30"/>
          <w:lang w:eastAsia="zh-CN"/>
        </w:rPr>
      </w:pPr>
      <w:r>
        <w:rPr>
          <w:rFonts w:hint="eastAsia" w:eastAsia="宋体"/>
          <w:sz w:val="30"/>
          <w:szCs w:val="30"/>
          <w:lang w:eastAsia="zh-CN"/>
        </w:rPr>
        <w:t>Having now mined the depths of the NT, having now discovered the precious diamond of the Eternal Covenant, and having now seen that this diamond is the heart and soul of Salvation History, we are in a much better position to do so.</w:t>
      </w:r>
    </w:p>
    <w:p w14:paraId="152833FE">
      <w:pPr>
        <w:tabs>
          <w:tab w:val="left" w:pos="2120"/>
        </w:tabs>
        <w:bidi w:val="0"/>
        <w:jc w:val="left"/>
        <w:rPr>
          <w:rFonts w:hint="eastAsia" w:eastAsia="宋体"/>
          <w:sz w:val="30"/>
          <w:szCs w:val="30"/>
          <w:lang w:eastAsia="zh-CN"/>
        </w:rPr>
      </w:pPr>
      <w:r>
        <w:rPr>
          <w:rFonts w:hint="eastAsia" w:eastAsia="宋体"/>
          <w:sz w:val="30"/>
          <w:szCs w:val="30"/>
          <w:lang w:eastAsia="zh-CN"/>
        </w:rPr>
        <w:t>现在我们已经挖掘了新约的深处，发现了永恒之约这颗宝贵的钻石，并看到这颗钻石是救赎历史的核心和灵魂，我们处于一个好得多的位置来做这件事。</w:t>
      </w:r>
    </w:p>
    <w:p w14:paraId="6E1105B3">
      <w:pPr>
        <w:tabs>
          <w:tab w:val="left" w:pos="2120"/>
        </w:tabs>
        <w:bidi w:val="0"/>
        <w:jc w:val="left"/>
        <w:rPr>
          <w:rFonts w:hint="eastAsia" w:eastAsia="宋体"/>
          <w:sz w:val="30"/>
          <w:szCs w:val="30"/>
          <w:lang w:eastAsia="zh-CN"/>
        </w:rPr>
      </w:pPr>
    </w:p>
    <w:p w14:paraId="2241E509">
      <w:pPr>
        <w:tabs>
          <w:tab w:val="left" w:pos="2120"/>
        </w:tabs>
        <w:bidi w:val="0"/>
        <w:jc w:val="left"/>
        <w:rPr>
          <w:rFonts w:hint="eastAsia" w:eastAsia="宋体"/>
          <w:sz w:val="30"/>
          <w:szCs w:val="30"/>
          <w:lang w:eastAsia="zh-CN"/>
        </w:rPr>
      </w:pPr>
      <w:r>
        <w:rPr>
          <w:rFonts w:hint="eastAsia" w:eastAsia="宋体"/>
          <w:sz w:val="30"/>
          <w:szCs w:val="30"/>
          <w:lang w:eastAsia="zh-CN"/>
        </w:rPr>
        <w:t>Therefore, in bringing the present chapter to a close, we must ask an important question: In our study of the Eternal Covenant, what exactly have we learned about the Kingdom of God?</w:t>
      </w:r>
    </w:p>
    <w:p w14:paraId="71DDFAB4">
      <w:pPr>
        <w:tabs>
          <w:tab w:val="left" w:pos="2120"/>
        </w:tabs>
        <w:bidi w:val="0"/>
        <w:jc w:val="left"/>
        <w:rPr>
          <w:rFonts w:hint="eastAsia" w:eastAsia="宋体"/>
          <w:sz w:val="30"/>
          <w:szCs w:val="30"/>
          <w:lang w:eastAsia="zh-CN"/>
        </w:rPr>
      </w:pPr>
      <w:r>
        <w:rPr>
          <w:rFonts w:hint="eastAsia" w:eastAsia="宋体"/>
          <w:sz w:val="30"/>
          <w:szCs w:val="30"/>
          <w:lang w:eastAsia="zh-CN"/>
        </w:rPr>
        <w:t>因此，在结束本章时，我们必须问一个重要问题：在我们对永恒之约的研究中，我们究竟学到了关于上帝之国的什么？</w:t>
      </w:r>
    </w:p>
    <w:p w14:paraId="059946A8">
      <w:pPr>
        <w:tabs>
          <w:tab w:val="left" w:pos="2120"/>
        </w:tabs>
        <w:bidi w:val="0"/>
        <w:jc w:val="left"/>
        <w:rPr>
          <w:rFonts w:hint="eastAsia" w:eastAsia="宋体"/>
          <w:sz w:val="30"/>
          <w:szCs w:val="30"/>
          <w:lang w:eastAsia="zh-CN"/>
        </w:rPr>
      </w:pPr>
    </w:p>
    <w:p w14:paraId="343D916E">
      <w:pPr>
        <w:tabs>
          <w:tab w:val="left" w:pos="2120"/>
        </w:tabs>
        <w:bidi w:val="0"/>
        <w:jc w:val="left"/>
        <w:rPr>
          <w:rFonts w:hint="eastAsia" w:eastAsia="宋体"/>
          <w:sz w:val="30"/>
          <w:szCs w:val="30"/>
          <w:lang w:eastAsia="zh-CN"/>
        </w:rPr>
      </w:pPr>
      <w:r>
        <w:rPr>
          <w:rFonts w:hint="eastAsia" w:eastAsia="宋体"/>
          <w:sz w:val="30"/>
          <w:szCs w:val="30"/>
          <w:lang w:eastAsia="zh-CN"/>
        </w:rPr>
        <w:t>In response, I would offer three main answers.</w:t>
      </w:r>
    </w:p>
    <w:p w14:paraId="2BE131AF">
      <w:pPr>
        <w:tabs>
          <w:tab w:val="left" w:pos="2120"/>
        </w:tabs>
        <w:bidi w:val="0"/>
        <w:jc w:val="left"/>
        <w:rPr>
          <w:rFonts w:hint="eastAsia" w:eastAsia="宋体"/>
          <w:sz w:val="30"/>
          <w:szCs w:val="30"/>
          <w:lang w:eastAsia="zh-CN"/>
        </w:rPr>
      </w:pPr>
      <w:r>
        <w:rPr>
          <w:rFonts w:hint="eastAsia" w:eastAsia="宋体"/>
          <w:sz w:val="30"/>
          <w:szCs w:val="30"/>
          <w:lang w:eastAsia="zh-CN"/>
        </w:rPr>
        <w:t>作为回应，我会提供三个主要答案。</w:t>
      </w:r>
    </w:p>
    <w:p w14:paraId="282589B7">
      <w:pPr>
        <w:tabs>
          <w:tab w:val="left" w:pos="2120"/>
        </w:tabs>
        <w:bidi w:val="0"/>
        <w:jc w:val="left"/>
        <w:rPr>
          <w:rFonts w:hint="eastAsia" w:eastAsia="宋体"/>
          <w:sz w:val="30"/>
          <w:szCs w:val="30"/>
          <w:lang w:eastAsia="zh-CN"/>
        </w:rPr>
      </w:pPr>
    </w:p>
    <w:p w14:paraId="1969FC7A">
      <w:pPr>
        <w:tabs>
          <w:tab w:val="left" w:pos="2120"/>
        </w:tabs>
        <w:bidi w:val="0"/>
        <w:jc w:val="left"/>
        <w:rPr>
          <w:rFonts w:hint="eastAsia" w:eastAsia="宋体"/>
          <w:sz w:val="30"/>
          <w:szCs w:val="30"/>
          <w:lang w:eastAsia="zh-CN"/>
        </w:rPr>
      </w:pPr>
      <w:r>
        <w:rPr>
          <w:rFonts w:hint="eastAsia" w:eastAsia="宋体"/>
          <w:sz w:val="30"/>
          <w:szCs w:val="30"/>
          <w:lang w:eastAsia="zh-CN"/>
        </w:rPr>
        <w:t>First, we have learned that the Kingdom, at its heart, is the Promise of the twofold Eternal Covenant.</w:t>
      </w:r>
    </w:p>
    <w:p w14:paraId="5E3B9202">
      <w:pPr>
        <w:tabs>
          <w:tab w:val="left" w:pos="2120"/>
        </w:tabs>
        <w:bidi w:val="0"/>
        <w:jc w:val="left"/>
        <w:rPr>
          <w:rFonts w:hint="eastAsia" w:eastAsia="宋体"/>
          <w:sz w:val="30"/>
          <w:szCs w:val="30"/>
          <w:lang w:eastAsia="zh-CN"/>
        </w:rPr>
      </w:pPr>
      <w:r>
        <w:rPr>
          <w:rFonts w:hint="eastAsia" w:eastAsia="宋体"/>
          <w:sz w:val="30"/>
          <w:szCs w:val="30"/>
          <w:lang w:eastAsia="zh-CN"/>
        </w:rPr>
        <w:t>首先，我们学到，国度，在其核心，是双重永恒之约的应许。</w:t>
      </w:r>
    </w:p>
    <w:p w14:paraId="29186083">
      <w:pPr>
        <w:tabs>
          <w:tab w:val="left" w:pos="2120"/>
        </w:tabs>
        <w:bidi w:val="0"/>
        <w:jc w:val="left"/>
        <w:rPr>
          <w:rFonts w:hint="eastAsia" w:eastAsia="宋体"/>
          <w:sz w:val="30"/>
          <w:szCs w:val="30"/>
          <w:lang w:eastAsia="zh-CN"/>
        </w:rPr>
      </w:pPr>
    </w:p>
    <w:p w14:paraId="3F820CA9">
      <w:pPr>
        <w:tabs>
          <w:tab w:val="left" w:pos="2120"/>
        </w:tabs>
        <w:bidi w:val="0"/>
        <w:jc w:val="left"/>
        <w:rPr>
          <w:rFonts w:hint="eastAsia" w:eastAsia="宋体"/>
          <w:sz w:val="30"/>
          <w:szCs w:val="30"/>
          <w:lang w:eastAsia="zh-CN"/>
        </w:rPr>
      </w:pPr>
      <w:r>
        <w:rPr>
          <w:rFonts w:hint="eastAsia" w:eastAsia="宋体"/>
          <w:sz w:val="30"/>
          <w:szCs w:val="30"/>
          <w:lang w:eastAsia="zh-CN"/>
        </w:rPr>
        <w:t>We can best appreciate this foundational truth by looking at the Kingdom through both sides of the Covenant.</w:t>
      </w:r>
    </w:p>
    <w:p w14:paraId="4D71BC80">
      <w:pPr>
        <w:tabs>
          <w:tab w:val="left" w:pos="2120"/>
        </w:tabs>
        <w:bidi w:val="0"/>
        <w:jc w:val="left"/>
        <w:rPr>
          <w:rFonts w:hint="eastAsia" w:eastAsia="宋体"/>
          <w:sz w:val="30"/>
          <w:szCs w:val="30"/>
          <w:lang w:eastAsia="zh-CN"/>
        </w:rPr>
      </w:pPr>
      <w:r>
        <w:rPr>
          <w:rFonts w:hint="eastAsia" w:eastAsia="宋体"/>
          <w:sz w:val="30"/>
          <w:szCs w:val="30"/>
          <w:lang w:eastAsia="zh-CN"/>
        </w:rPr>
        <w:t>我们可以通过从约的两个方面来看国度，来最好地领会这个基础真理。</w:t>
      </w:r>
    </w:p>
    <w:p w14:paraId="692A3B60">
      <w:pPr>
        <w:tabs>
          <w:tab w:val="left" w:pos="2120"/>
        </w:tabs>
        <w:bidi w:val="0"/>
        <w:jc w:val="left"/>
        <w:rPr>
          <w:rFonts w:hint="eastAsia" w:eastAsia="宋体"/>
          <w:sz w:val="30"/>
          <w:szCs w:val="30"/>
          <w:lang w:eastAsia="zh-CN"/>
        </w:rPr>
      </w:pPr>
    </w:p>
    <w:p w14:paraId="77DE0DB8">
      <w:pPr>
        <w:tabs>
          <w:tab w:val="left" w:pos="2120"/>
        </w:tabs>
        <w:bidi w:val="0"/>
        <w:jc w:val="left"/>
        <w:rPr>
          <w:rFonts w:hint="eastAsia" w:eastAsia="宋体"/>
          <w:sz w:val="30"/>
          <w:szCs w:val="30"/>
          <w:lang w:eastAsia="zh-CN"/>
        </w:rPr>
      </w:pPr>
      <w:r>
        <w:rPr>
          <w:rFonts w:hint="eastAsia" w:eastAsia="宋体"/>
          <w:sz w:val="30"/>
          <w:szCs w:val="30"/>
          <w:lang w:eastAsia="zh-CN"/>
        </w:rPr>
        <w:t>Let us do so now, beginning with a look at the Kingdom vis-à-vis the Covenant of Redemption.</w:t>
      </w:r>
    </w:p>
    <w:p w14:paraId="5D1AF262">
      <w:pPr>
        <w:tabs>
          <w:tab w:val="left" w:pos="2120"/>
        </w:tabs>
        <w:bidi w:val="0"/>
        <w:jc w:val="left"/>
        <w:rPr>
          <w:rFonts w:hint="eastAsia" w:eastAsia="宋体"/>
          <w:sz w:val="30"/>
          <w:szCs w:val="30"/>
          <w:lang w:eastAsia="zh-CN"/>
        </w:rPr>
      </w:pPr>
      <w:r>
        <w:rPr>
          <w:rFonts w:hint="eastAsia" w:eastAsia="宋体"/>
          <w:sz w:val="30"/>
          <w:szCs w:val="30"/>
          <w:lang w:eastAsia="zh-CN"/>
        </w:rPr>
        <w:t>现在让我们这样做，首先来看看国度相对于救赎之约。</w:t>
      </w:r>
    </w:p>
    <w:p w14:paraId="20448322">
      <w:pPr>
        <w:tabs>
          <w:tab w:val="left" w:pos="2120"/>
        </w:tabs>
        <w:bidi w:val="0"/>
        <w:jc w:val="left"/>
        <w:rPr>
          <w:rFonts w:hint="eastAsia" w:eastAsia="宋体"/>
          <w:sz w:val="30"/>
          <w:szCs w:val="30"/>
          <w:lang w:eastAsia="zh-CN"/>
        </w:rPr>
      </w:pPr>
    </w:p>
    <w:p w14:paraId="21D6A293">
      <w:pPr>
        <w:tabs>
          <w:tab w:val="left" w:pos="2120"/>
        </w:tabs>
        <w:bidi w:val="0"/>
        <w:jc w:val="left"/>
        <w:rPr>
          <w:rFonts w:hint="eastAsia" w:eastAsia="宋体"/>
          <w:sz w:val="30"/>
          <w:szCs w:val="30"/>
          <w:lang w:eastAsia="zh-CN"/>
        </w:rPr>
      </w:pPr>
      <w:r>
        <w:rPr>
          <w:rFonts w:hint="eastAsia" w:eastAsia="宋体"/>
          <w:sz w:val="30"/>
          <w:szCs w:val="30"/>
          <w:lang w:eastAsia="zh-CN"/>
        </w:rPr>
        <w:t>In the Covenant of Redemption, God the Father promised his Son that as a consequence of his obedience unto humiliation, he (the Father) would highly exalt him, making him Head or High King over all, thereby fulfilling his original purposes for his creation.</w:t>
      </w:r>
    </w:p>
    <w:p w14:paraId="0C7FBDCB">
      <w:pPr>
        <w:tabs>
          <w:tab w:val="left" w:pos="2120"/>
        </w:tabs>
        <w:bidi w:val="0"/>
        <w:jc w:val="left"/>
        <w:rPr>
          <w:rFonts w:hint="eastAsia" w:eastAsia="宋体"/>
          <w:sz w:val="30"/>
          <w:szCs w:val="30"/>
          <w:lang w:eastAsia="zh-CN"/>
        </w:rPr>
      </w:pPr>
      <w:r>
        <w:rPr>
          <w:rFonts w:hint="eastAsia" w:eastAsia="宋体"/>
          <w:sz w:val="30"/>
          <w:szCs w:val="30"/>
          <w:lang w:eastAsia="zh-CN"/>
        </w:rPr>
        <w:t>在救赎之约中，父上帝应许祂的儿子，作为祂顺服至降卑的结果，祂（父）将高举祂，使祂作万有的元首或至高君王，从而成就祂对祂创造物的原始旨意。</w:t>
      </w:r>
    </w:p>
    <w:p w14:paraId="58F131EB">
      <w:pPr>
        <w:tabs>
          <w:tab w:val="left" w:pos="2120"/>
        </w:tabs>
        <w:bidi w:val="0"/>
        <w:jc w:val="left"/>
        <w:rPr>
          <w:rFonts w:hint="eastAsia" w:eastAsia="宋体"/>
          <w:sz w:val="30"/>
          <w:szCs w:val="30"/>
          <w:lang w:eastAsia="zh-CN"/>
        </w:rPr>
      </w:pPr>
    </w:p>
    <w:p w14:paraId="3E79E159">
      <w:pPr>
        <w:tabs>
          <w:tab w:val="left" w:pos="2120"/>
        </w:tabs>
        <w:bidi w:val="0"/>
        <w:jc w:val="left"/>
        <w:rPr>
          <w:rFonts w:hint="eastAsia" w:eastAsia="宋体"/>
          <w:sz w:val="30"/>
          <w:szCs w:val="30"/>
          <w:lang w:eastAsia="zh-CN"/>
        </w:rPr>
      </w:pPr>
      <w:r>
        <w:rPr>
          <w:rFonts w:hint="eastAsia" w:eastAsia="宋体"/>
          <w:sz w:val="30"/>
          <w:szCs w:val="30"/>
          <w:lang w:eastAsia="zh-CN"/>
        </w:rPr>
        <w:t>In other words, according the Father’s promise, it would fall to the High King to bring in the Kingdom; to extend the direct spiritual rule of God over the (new) cosmos.</w:t>
      </w:r>
    </w:p>
    <w:p w14:paraId="38CF0728">
      <w:pPr>
        <w:tabs>
          <w:tab w:val="left" w:pos="2120"/>
        </w:tabs>
        <w:bidi w:val="0"/>
        <w:jc w:val="left"/>
        <w:rPr>
          <w:rFonts w:hint="eastAsia" w:eastAsia="宋体"/>
          <w:sz w:val="30"/>
          <w:szCs w:val="30"/>
          <w:lang w:eastAsia="zh-CN"/>
        </w:rPr>
      </w:pPr>
      <w:r>
        <w:rPr>
          <w:rFonts w:hint="eastAsia" w:eastAsia="宋体"/>
          <w:sz w:val="30"/>
          <w:szCs w:val="30"/>
          <w:lang w:eastAsia="zh-CN"/>
        </w:rPr>
        <w:t>换句话说，根据父的应许，带入国度将是至高君王的责任；将上帝的直接属灵统治扩展到（新的）宇宙之上。</w:t>
      </w:r>
    </w:p>
    <w:p w14:paraId="2600E0D4">
      <w:pPr>
        <w:tabs>
          <w:tab w:val="left" w:pos="2120"/>
        </w:tabs>
        <w:bidi w:val="0"/>
        <w:jc w:val="left"/>
        <w:rPr>
          <w:rFonts w:hint="eastAsia" w:eastAsia="宋体"/>
          <w:sz w:val="30"/>
          <w:szCs w:val="30"/>
          <w:lang w:eastAsia="zh-CN"/>
        </w:rPr>
      </w:pPr>
    </w:p>
    <w:p w14:paraId="3485A274">
      <w:pPr>
        <w:tabs>
          <w:tab w:val="left" w:pos="2120"/>
        </w:tabs>
        <w:bidi w:val="0"/>
        <w:jc w:val="left"/>
        <w:rPr>
          <w:rFonts w:hint="eastAsia" w:eastAsia="宋体"/>
          <w:sz w:val="30"/>
          <w:szCs w:val="30"/>
          <w:lang w:eastAsia="zh-CN"/>
        </w:rPr>
      </w:pPr>
      <w:r>
        <w:rPr>
          <w:rFonts w:hint="eastAsia" w:eastAsia="宋体"/>
          <w:sz w:val="30"/>
          <w:szCs w:val="30"/>
          <w:lang w:eastAsia="zh-CN"/>
        </w:rPr>
        <w:t>According to the NT, this will occur in two basic stages.</w:t>
      </w:r>
    </w:p>
    <w:p w14:paraId="1DA008F9">
      <w:pPr>
        <w:tabs>
          <w:tab w:val="left" w:pos="2120"/>
        </w:tabs>
        <w:bidi w:val="0"/>
        <w:jc w:val="left"/>
        <w:rPr>
          <w:rFonts w:hint="eastAsia" w:eastAsia="宋体"/>
          <w:sz w:val="30"/>
          <w:szCs w:val="30"/>
          <w:lang w:eastAsia="zh-CN"/>
        </w:rPr>
      </w:pPr>
      <w:r>
        <w:rPr>
          <w:rFonts w:hint="eastAsia" w:eastAsia="宋体"/>
          <w:sz w:val="30"/>
          <w:szCs w:val="30"/>
          <w:lang w:eastAsia="zh-CN"/>
        </w:rPr>
        <w:t>根据新约，这将在两个基本阶段发生。</w:t>
      </w:r>
    </w:p>
    <w:p w14:paraId="67C9168B">
      <w:pPr>
        <w:tabs>
          <w:tab w:val="left" w:pos="2120"/>
        </w:tabs>
        <w:bidi w:val="0"/>
        <w:jc w:val="left"/>
        <w:rPr>
          <w:rFonts w:hint="eastAsia" w:eastAsia="宋体"/>
          <w:sz w:val="30"/>
          <w:szCs w:val="30"/>
          <w:lang w:eastAsia="zh-CN"/>
        </w:rPr>
      </w:pPr>
    </w:p>
    <w:p w14:paraId="55C9F61A">
      <w:pPr>
        <w:tabs>
          <w:tab w:val="left" w:pos="2120"/>
        </w:tabs>
        <w:bidi w:val="0"/>
        <w:jc w:val="left"/>
        <w:rPr>
          <w:rFonts w:hint="eastAsia" w:eastAsia="宋体"/>
          <w:sz w:val="30"/>
          <w:szCs w:val="30"/>
          <w:lang w:eastAsia="zh-CN"/>
        </w:rPr>
      </w:pPr>
      <w:r>
        <w:rPr>
          <w:rFonts w:hint="eastAsia" w:eastAsia="宋体"/>
          <w:sz w:val="30"/>
          <w:szCs w:val="30"/>
          <w:lang w:eastAsia="zh-CN"/>
        </w:rPr>
        <w:t>Throughout a long Era of Proclamation, the exalted Christ, through the preaching of the Gospel, will extend his reign over the spirits of God’s people.</w:t>
      </w:r>
    </w:p>
    <w:p w14:paraId="430872C1">
      <w:pPr>
        <w:tabs>
          <w:tab w:val="left" w:pos="2120"/>
        </w:tabs>
        <w:bidi w:val="0"/>
        <w:jc w:val="left"/>
        <w:rPr>
          <w:rFonts w:hint="eastAsia" w:eastAsia="宋体"/>
          <w:sz w:val="30"/>
          <w:szCs w:val="30"/>
          <w:lang w:eastAsia="zh-CN"/>
        </w:rPr>
      </w:pPr>
      <w:r>
        <w:rPr>
          <w:rFonts w:hint="eastAsia" w:eastAsia="宋体"/>
          <w:sz w:val="30"/>
          <w:szCs w:val="30"/>
          <w:lang w:eastAsia="zh-CN"/>
        </w:rPr>
        <w:t>在漫长的宣讲时代中，被高举的基督，将通过福音的传讲，将祂的统治扩展到上帝子民的灵里。</w:t>
      </w:r>
    </w:p>
    <w:p w14:paraId="5C7DB907">
      <w:pPr>
        <w:tabs>
          <w:tab w:val="left" w:pos="2120"/>
        </w:tabs>
        <w:bidi w:val="0"/>
        <w:jc w:val="left"/>
        <w:rPr>
          <w:rFonts w:hint="eastAsia" w:eastAsia="宋体"/>
          <w:sz w:val="30"/>
          <w:szCs w:val="30"/>
          <w:lang w:eastAsia="zh-CN"/>
        </w:rPr>
      </w:pPr>
    </w:p>
    <w:p w14:paraId="0178ED2D">
      <w:pPr>
        <w:tabs>
          <w:tab w:val="left" w:pos="2120"/>
        </w:tabs>
        <w:bidi w:val="0"/>
        <w:jc w:val="left"/>
        <w:rPr>
          <w:rFonts w:hint="eastAsia" w:eastAsia="宋体"/>
          <w:sz w:val="30"/>
          <w:szCs w:val="30"/>
          <w:lang w:eastAsia="zh-CN"/>
        </w:rPr>
      </w:pPr>
      <w:r>
        <w:rPr>
          <w:rFonts w:hint="eastAsia" w:eastAsia="宋体"/>
          <w:sz w:val="30"/>
          <w:szCs w:val="30"/>
          <w:lang w:eastAsia="zh-CN"/>
        </w:rPr>
        <w:t>Then, at the Consummation, when he raises the dead and creates new heavens and a new earth, he will further extend it over their bodies and their world, thus bringing in the Kingdom in its full and final form; thus making the entire creation his glorious realm.</w:t>
      </w:r>
    </w:p>
    <w:p w14:paraId="4935B9C7">
      <w:pPr>
        <w:tabs>
          <w:tab w:val="left" w:pos="2120"/>
        </w:tabs>
        <w:bidi w:val="0"/>
        <w:jc w:val="left"/>
        <w:rPr>
          <w:rFonts w:hint="eastAsia" w:eastAsia="宋体"/>
          <w:sz w:val="30"/>
          <w:szCs w:val="30"/>
          <w:lang w:eastAsia="zh-CN"/>
        </w:rPr>
      </w:pPr>
      <w:r>
        <w:rPr>
          <w:rFonts w:hint="eastAsia" w:eastAsia="宋体"/>
          <w:sz w:val="30"/>
          <w:szCs w:val="30"/>
          <w:lang w:eastAsia="zh-CN"/>
        </w:rPr>
        <w:t>然后，在最终成全时，当祂使死人复活并创造新天新地时，祂将进一步将其统治扩展到他们的身体和他们的世界上，从而以其完整和最终的形式带入国度；从而使整个创造界成为祂荣耀的领域。</w:t>
      </w:r>
    </w:p>
    <w:p w14:paraId="6C071E60">
      <w:pPr>
        <w:tabs>
          <w:tab w:val="left" w:pos="2120"/>
        </w:tabs>
        <w:bidi w:val="0"/>
        <w:jc w:val="left"/>
        <w:rPr>
          <w:rFonts w:hint="eastAsia" w:eastAsia="宋体"/>
          <w:sz w:val="30"/>
          <w:szCs w:val="30"/>
          <w:lang w:eastAsia="zh-CN"/>
        </w:rPr>
      </w:pPr>
    </w:p>
    <w:p w14:paraId="5AC66241">
      <w:pPr>
        <w:tabs>
          <w:tab w:val="left" w:pos="2120"/>
        </w:tabs>
        <w:bidi w:val="0"/>
        <w:jc w:val="left"/>
        <w:rPr>
          <w:rFonts w:hint="eastAsia" w:eastAsia="宋体"/>
          <w:sz w:val="30"/>
          <w:szCs w:val="30"/>
          <w:lang w:eastAsia="zh-CN"/>
        </w:rPr>
      </w:pPr>
      <w:r>
        <w:rPr>
          <w:rFonts w:hint="eastAsia" w:eastAsia="宋体"/>
          <w:sz w:val="30"/>
          <w:szCs w:val="30"/>
          <w:lang w:eastAsia="zh-CN"/>
        </w:rPr>
        <w:t>Again, in chapter 9 we will discuss the (stages of the) coming of the Kingdom in greater detail.</w:t>
      </w:r>
    </w:p>
    <w:p w14:paraId="37D3AB65">
      <w:pPr>
        <w:tabs>
          <w:tab w:val="left" w:pos="2120"/>
        </w:tabs>
        <w:bidi w:val="0"/>
        <w:jc w:val="left"/>
        <w:rPr>
          <w:rFonts w:hint="eastAsia" w:eastAsia="宋体"/>
          <w:sz w:val="30"/>
          <w:szCs w:val="30"/>
          <w:lang w:eastAsia="zh-CN"/>
        </w:rPr>
      </w:pPr>
      <w:r>
        <w:rPr>
          <w:rFonts w:hint="eastAsia" w:eastAsia="宋体"/>
          <w:sz w:val="30"/>
          <w:szCs w:val="30"/>
          <w:lang w:eastAsia="zh-CN"/>
        </w:rPr>
        <w:t>再次，在第9章中，我们将更详细地讨论国度降临的（各个阶段）。</w:t>
      </w:r>
    </w:p>
    <w:p w14:paraId="78716DCA">
      <w:pPr>
        <w:tabs>
          <w:tab w:val="left" w:pos="2120"/>
        </w:tabs>
        <w:bidi w:val="0"/>
        <w:jc w:val="left"/>
        <w:rPr>
          <w:rFonts w:hint="eastAsia" w:eastAsia="宋体"/>
          <w:sz w:val="30"/>
          <w:szCs w:val="30"/>
          <w:lang w:eastAsia="zh-CN"/>
        </w:rPr>
      </w:pPr>
    </w:p>
    <w:p w14:paraId="43927A6E">
      <w:pPr>
        <w:tabs>
          <w:tab w:val="left" w:pos="2120"/>
        </w:tabs>
        <w:bidi w:val="0"/>
        <w:jc w:val="left"/>
        <w:rPr>
          <w:rFonts w:hint="eastAsia" w:eastAsia="宋体"/>
          <w:sz w:val="30"/>
          <w:szCs w:val="30"/>
          <w:lang w:eastAsia="zh-CN"/>
        </w:rPr>
      </w:pPr>
      <w:r>
        <w:rPr>
          <w:rFonts w:hint="eastAsia" w:eastAsia="宋体"/>
          <w:sz w:val="30"/>
          <w:szCs w:val="30"/>
          <w:lang w:eastAsia="zh-CN"/>
        </w:rPr>
        <w:t>But for the moment, this much is clear: In accordance with the Father’s promise in the Covenant of Redemption, the privilege of creating, extending, and consummating the Kingdom of God falls to the High King of the Kingdom, to the exalted Son of God.</w:t>
      </w:r>
    </w:p>
    <w:p w14:paraId="690B9950">
      <w:pPr>
        <w:tabs>
          <w:tab w:val="left" w:pos="2120"/>
        </w:tabs>
        <w:bidi w:val="0"/>
        <w:jc w:val="left"/>
        <w:rPr>
          <w:rFonts w:hint="eastAsia" w:eastAsia="宋体"/>
          <w:sz w:val="30"/>
          <w:szCs w:val="30"/>
          <w:lang w:eastAsia="zh-CN"/>
        </w:rPr>
      </w:pPr>
      <w:r>
        <w:rPr>
          <w:rFonts w:hint="eastAsia" w:eastAsia="宋体"/>
          <w:sz w:val="30"/>
          <w:szCs w:val="30"/>
          <w:lang w:eastAsia="zh-CN"/>
        </w:rPr>
        <w:t>但就目前而言，这一点很清楚：根据父在救赎之约中的应许，创造、扩展和成全上帝之国的特权，属于国度的至高君王，属于被高举的上帝之子。</w:t>
      </w:r>
    </w:p>
    <w:p w14:paraId="183B6180">
      <w:pPr>
        <w:tabs>
          <w:tab w:val="left" w:pos="2120"/>
        </w:tabs>
        <w:bidi w:val="0"/>
        <w:jc w:val="left"/>
        <w:rPr>
          <w:rFonts w:hint="eastAsia" w:eastAsia="宋体"/>
          <w:sz w:val="30"/>
          <w:szCs w:val="30"/>
          <w:lang w:eastAsia="zh-CN"/>
        </w:rPr>
      </w:pPr>
    </w:p>
    <w:p w14:paraId="1CBBB838">
      <w:pPr>
        <w:tabs>
          <w:tab w:val="left" w:pos="2120"/>
        </w:tabs>
        <w:bidi w:val="0"/>
        <w:jc w:val="left"/>
        <w:rPr>
          <w:rFonts w:hint="eastAsia" w:eastAsia="宋体"/>
          <w:sz w:val="30"/>
          <w:szCs w:val="30"/>
          <w:lang w:eastAsia="zh-CN"/>
        </w:rPr>
      </w:pPr>
      <w:r>
        <w:rPr>
          <w:rFonts w:hint="eastAsia" w:eastAsia="宋体"/>
          <w:sz w:val="30"/>
          <w:szCs w:val="30"/>
          <w:lang w:eastAsia="zh-CN"/>
        </w:rPr>
        <w:t>Now let us consider the Kingdom vis-à-vis the Covenant of Grace.</w:t>
      </w:r>
    </w:p>
    <w:p w14:paraId="4B70CB26">
      <w:pPr>
        <w:tabs>
          <w:tab w:val="left" w:pos="2120"/>
        </w:tabs>
        <w:bidi w:val="0"/>
        <w:jc w:val="left"/>
        <w:rPr>
          <w:rFonts w:hint="eastAsia" w:eastAsia="宋体"/>
          <w:sz w:val="30"/>
          <w:szCs w:val="30"/>
          <w:lang w:eastAsia="zh-CN"/>
        </w:rPr>
      </w:pPr>
      <w:r>
        <w:rPr>
          <w:rFonts w:hint="eastAsia" w:eastAsia="宋体"/>
          <w:sz w:val="30"/>
          <w:szCs w:val="30"/>
          <w:lang w:eastAsia="zh-CN"/>
        </w:rPr>
        <w:t>现在让我们考虑国度相对于恩典之约。</w:t>
      </w:r>
    </w:p>
    <w:p w14:paraId="383FF48A">
      <w:pPr>
        <w:tabs>
          <w:tab w:val="left" w:pos="2120"/>
        </w:tabs>
        <w:bidi w:val="0"/>
        <w:jc w:val="left"/>
        <w:rPr>
          <w:rFonts w:hint="eastAsia" w:eastAsia="宋体"/>
          <w:sz w:val="30"/>
          <w:szCs w:val="30"/>
          <w:lang w:eastAsia="zh-CN"/>
        </w:rPr>
      </w:pPr>
    </w:p>
    <w:p w14:paraId="14270716">
      <w:pPr>
        <w:tabs>
          <w:tab w:val="left" w:pos="2120"/>
        </w:tabs>
        <w:bidi w:val="0"/>
        <w:jc w:val="left"/>
        <w:rPr>
          <w:rFonts w:hint="eastAsia" w:eastAsia="宋体"/>
          <w:sz w:val="30"/>
          <w:szCs w:val="30"/>
          <w:lang w:eastAsia="zh-CN"/>
        </w:rPr>
      </w:pPr>
      <w:r>
        <w:rPr>
          <w:rFonts w:hint="eastAsia" w:eastAsia="宋体"/>
          <w:sz w:val="30"/>
          <w:szCs w:val="30"/>
          <w:lang w:eastAsia="zh-CN"/>
        </w:rPr>
        <w:t>Here, the Kingdom is the promise of God the Father to the parties of the Covenant; to all who fulfill the proviso (or demand) of the Covenant simply by trusting in Christ.</w:t>
      </w:r>
    </w:p>
    <w:p w14:paraId="750BFF12">
      <w:pPr>
        <w:tabs>
          <w:tab w:val="left" w:pos="2120"/>
        </w:tabs>
        <w:bidi w:val="0"/>
        <w:jc w:val="left"/>
        <w:rPr>
          <w:rFonts w:hint="eastAsia" w:eastAsia="宋体"/>
          <w:sz w:val="30"/>
          <w:szCs w:val="30"/>
          <w:lang w:eastAsia="zh-CN"/>
        </w:rPr>
      </w:pPr>
      <w:r>
        <w:rPr>
          <w:rFonts w:hint="eastAsia" w:eastAsia="宋体"/>
          <w:sz w:val="30"/>
          <w:szCs w:val="30"/>
          <w:lang w:eastAsia="zh-CN"/>
        </w:rPr>
        <w:t>在此，国度是父上帝给圣约立约方的应许；给所有仅凭信靠基督就满足圣约附带条件（或要求）之人的应许。</w:t>
      </w:r>
    </w:p>
    <w:p w14:paraId="57F16CBE">
      <w:pPr>
        <w:tabs>
          <w:tab w:val="left" w:pos="2120"/>
        </w:tabs>
        <w:bidi w:val="0"/>
        <w:jc w:val="left"/>
        <w:rPr>
          <w:rFonts w:hint="eastAsia" w:eastAsia="宋体"/>
          <w:sz w:val="30"/>
          <w:szCs w:val="30"/>
          <w:lang w:eastAsia="zh-CN"/>
        </w:rPr>
      </w:pPr>
    </w:p>
    <w:p w14:paraId="51F96D0E">
      <w:pPr>
        <w:tabs>
          <w:tab w:val="left" w:pos="2120"/>
        </w:tabs>
        <w:bidi w:val="0"/>
        <w:jc w:val="left"/>
        <w:rPr>
          <w:rFonts w:hint="eastAsia" w:eastAsia="宋体"/>
          <w:sz w:val="30"/>
          <w:szCs w:val="30"/>
          <w:lang w:eastAsia="zh-CN"/>
        </w:rPr>
      </w:pPr>
      <w:r>
        <w:rPr>
          <w:rFonts w:hint="eastAsia" w:eastAsia="宋体"/>
          <w:sz w:val="30"/>
          <w:szCs w:val="30"/>
          <w:lang w:eastAsia="zh-CN"/>
        </w:rPr>
        <w:t>These are the ones whom he rescues from the Domain of Darkness and from thralldom to its evil king.</w:t>
      </w:r>
    </w:p>
    <w:p w14:paraId="16DC78E8">
      <w:pPr>
        <w:tabs>
          <w:tab w:val="left" w:pos="2120"/>
        </w:tabs>
        <w:bidi w:val="0"/>
        <w:jc w:val="left"/>
        <w:rPr>
          <w:rFonts w:hint="eastAsia" w:eastAsia="宋体"/>
          <w:sz w:val="30"/>
          <w:szCs w:val="30"/>
          <w:lang w:eastAsia="zh-CN"/>
        </w:rPr>
      </w:pPr>
      <w:r>
        <w:rPr>
          <w:rFonts w:hint="eastAsia" w:eastAsia="宋体"/>
          <w:sz w:val="30"/>
          <w:szCs w:val="30"/>
          <w:lang w:eastAsia="zh-CN"/>
        </w:rPr>
        <w:t>这些人是祂从黑暗权势和其邪恶君王的奴役中拯救出来的。</w:t>
      </w:r>
    </w:p>
    <w:p w14:paraId="23F9972D">
      <w:pPr>
        <w:tabs>
          <w:tab w:val="left" w:pos="2120"/>
        </w:tabs>
        <w:bidi w:val="0"/>
        <w:jc w:val="left"/>
        <w:rPr>
          <w:rFonts w:hint="eastAsia" w:eastAsia="宋体"/>
          <w:sz w:val="30"/>
          <w:szCs w:val="30"/>
          <w:lang w:eastAsia="zh-CN"/>
        </w:rPr>
      </w:pPr>
    </w:p>
    <w:p w14:paraId="19676DEB">
      <w:pPr>
        <w:tabs>
          <w:tab w:val="left" w:pos="2120"/>
        </w:tabs>
        <w:bidi w:val="0"/>
        <w:jc w:val="left"/>
        <w:rPr>
          <w:rFonts w:hint="eastAsia" w:eastAsia="宋体"/>
          <w:sz w:val="30"/>
          <w:szCs w:val="30"/>
          <w:lang w:eastAsia="zh-CN"/>
        </w:rPr>
      </w:pPr>
      <w:r>
        <w:rPr>
          <w:rFonts w:hint="eastAsia" w:eastAsia="宋体"/>
          <w:sz w:val="30"/>
          <w:szCs w:val="30"/>
          <w:lang w:eastAsia="zh-CN"/>
        </w:rPr>
        <w:t>These are the ones whom he transfers into the Kingdom of his beloved Son.</w:t>
      </w:r>
    </w:p>
    <w:p w14:paraId="692E3D2E">
      <w:pPr>
        <w:tabs>
          <w:tab w:val="left" w:pos="2120"/>
        </w:tabs>
        <w:bidi w:val="0"/>
        <w:jc w:val="left"/>
        <w:rPr>
          <w:rFonts w:hint="eastAsia" w:eastAsia="宋体"/>
          <w:sz w:val="30"/>
          <w:szCs w:val="30"/>
          <w:lang w:eastAsia="zh-CN"/>
        </w:rPr>
      </w:pPr>
      <w:r>
        <w:rPr>
          <w:rFonts w:hint="eastAsia" w:eastAsia="宋体"/>
          <w:sz w:val="30"/>
          <w:szCs w:val="30"/>
          <w:lang w:eastAsia="zh-CN"/>
        </w:rPr>
        <w:t>这些人是祂迁入祂爱子国度里的人。</w:t>
      </w:r>
    </w:p>
    <w:p w14:paraId="436701BA">
      <w:pPr>
        <w:tabs>
          <w:tab w:val="left" w:pos="2120"/>
        </w:tabs>
        <w:bidi w:val="0"/>
        <w:jc w:val="left"/>
        <w:rPr>
          <w:rFonts w:hint="eastAsia" w:eastAsia="宋体"/>
          <w:sz w:val="30"/>
          <w:szCs w:val="30"/>
          <w:lang w:eastAsia="zh-CN"/>
        </w:rPr>
      </w:pPr>
    </w:p>
    <w:p w14:paraId="0A9DAF06">
      <w:pPr>
        <w:tabs>
          <w:tab w:val="left" w:pos="2120"/>
        </w:tabs>
        <w:bidi w:val="0"/>
        <w:jc w:val="left"/>
        <w:rPr>
          <w:rFonts w:hint="eastAsia" w:eastAsia="宋体"/>
          <w:sz w:val="30"/>
          <w:szCs w:val="30"/>
          <w:lang w:eastAsia="zh-CN"/>
        </w:rPr>
      </w:pPr>
      <w:r>
        <w:rPr>
          <w:rFonts w:hint="eastAsia" w:eastAsia="宋体"/>
          <w:sz w:val="30"/>
          <w:szCs w:val="30"/>
          <w:lang w:eastAsia="zh-CN"/>
        </w:rPr>
        <w:t>These are the ones who even now enjoy eternal life under the exalted Christ’s direct and benevolent reign, with all the spiritual blessings this entails.</w:t>
      </w:r>
    </w:p>
    <w:p w14:paraId="35E2A4AB">
      <w:pPr>
        <w:tabs>
          <w:tab w:val="left" w:pos="2120"/>
        </w:tabs>
        <w:bidi w:val="0"/>
        <w:jc w:val="left"/>
        <w:rPr>
          <w:rFonts w:hint="eastAsia" w:eastAsia="宋体"/>
          <w:sz w:val="30"/>
          <w:szCs w:val="30"/>
          <w:lang w:eastAsia="zh-CN"/>
        </w:rPr>
      </w:pPr>
      <w:r>
        <w:rPr>
          <w:rFonts w:hint="eastAsia" w:eastAsia="宋体"/>
          <w:sz w:val="30"/>
          <w:szCs w:val="30"/>
          <w:lang w:eastAsia="zh-CN"/>
        </w:rPr>
        <w:t>这些人甚至现在就在被高举的基督直接和仁慈的统治下享受永生，以及这所带来的一切属灵福气。</w:t>
      </w:r>
    </w:p>
    <w:p w14:paraId="699679FD">
      <w:pPr>
        <w:tabs>
          <w:tab w:val="left" w:pos="2120"/>
        </w:tabs>
        <w:bidi w:val="0"/>
        <w:jc w:val="left"/>
        <w:rPr>
          <w:rFonts w:hint="eastAsia" w:eastAsia="宋体"/>
          <w:sz w:val="30"/>
          <w:szCs w:val="30"/>
          <w:lang w:eastAsia="zh-CN"/>
        </w:rPr>
      </w:pPr>
    </w:p>
    <w:p w14:paraId="7698F1AE">
      <w:pPr>
        <w:tabs>
          <w:tab w:val="left" w:pos="2120"/>
        </w:tabs>
        <w:bidi w:val="0"/>
        <w:jc w:val="left"/>
        <w:rPr>
          <w:rFonts w:hint="eastAsia" w:eastAsia="宋体"/>
          <w:sz w:val="30"/>
          <w:szCs w:val="30"/>
          <w:lang w:eastAsia="zh-CN"/>
        </w:rPr>
      </w:pPr>
      <w:r>
        <w:rPr>
          <w:rFonts w:hint="eastAsia" w:eastAsia="宋体"/>
          <w:sz w:val="30"/>
          <w:szCs w:val="30"/>
          <w:lang w:eastAsia="zh-CN"/>
        </w:rPr>
        <w:t>And these are the ones who wait eagerly for his soon return, so that he may further extend his reign over their bodies and their world.</w:t>
      </w:r>
    </w:p>
    <w:p w14:paraId="26BA8153">
      <w:pPr>
        <w:tabs>
          <w:tab w:val="left" w:pos="2120"/>
        </w:tabs>
        <w:bidi w:val="0"/>
        <w:jc w:val="left"/>
        <w:rPr>
          <w:rFonts w:hint="eastAsia" w:eastAsia="宋体"/>
          <w:sz w:val="30"/>
          <w:szCs w:val="30"/>
          <w:lang w:eastAsia="zh-CN"/>
        </w:rPr>
      </w:pPr>
      <w:r>
        <w:rPr>
          <w:rFonts w:hint="eastAsia" w:eastAsia="宋体"/>
          <w:sz w:val="30"/>
          <w:szCs w:val="30"/>
          <w:lang w:eastAsia="zh-CN"/>
        </w:rPr>
        <w:t>这些人是热切等待祂快快再来的人，以便祂可以进一步将祂的统治扩展到他们的身体和他们的世界上。</w:t>
      </w:r>
    </w:p>
    <w:p w14:paraId="3CC3F980">
      <w:pPr>
        <w:tabs>
          <w:tab w:val="left" w:pos="2120"/>
        </w:tabs>
        <w:bidi w:val="0"/>
        <w:jc w:val="left"/>
        <w:rPr>
          <w:rFonts w:hint="eastAsia" w:eastAsia="宋体"/>
          <w:sz w:val="30"/>
          <w:szCs w:val="30"/>
          <w:lang w:eastAsia="zh-CN"/>
        </w:rPr>
      </w:pPr>
    </w:p>
    <w:p w14:paraId="73A3AA89">
      <w:pPr>
        <w:tabs>
          <w:tab w:val="left" w:pos="2120"/>
        </w:tabs>
        <w:bidi w:val="0"/>
        <w:jc w:val="left"/>
        <w:rPr>
          <w:rFonts w:hint="eastAsia" w:eastAsia="宋体"/>
          <w:sz w:val="30"/>
          <w:szCs w:val="30"/>
          <w:lang w:eastAsia="zh-CN"/>
        </w:rPr>
      </w:pPr>
      <w:r>
        <w:rPr>
          <w:rFonts w:hint="eastAsia" w:eastAsia="宋体"/>
          <w:sz w:val="30"/>
          <w:szCs w:val="30"/>
          <w:lang w:eastAsia="zh-CN"/>
        </w:rPr>
        <w:t>In sum, these are the ones in whom God fulfills his eternal purpose for his Son, making him High King over all, to the praise of the glory of God’s mercy and grace (Eph. 1:6, 12, 14, Phil. 2:9-11).</w:t>
      </w:r>
    </w:p>
    <w:p w14:paraId="20C735B2">
      <w:pPr>
        <w:tabs>
          <w:tab w:val="left" w:pos="2120"/>
        </w:tabs>
        <w:bidi w:val="0"/>
        <w:jc w:val="left"/>
        <w:rPr>
          <w:rFonts w:hint="eastAsia" w:eastAsia="宋体"/>
          <w:sz w:val="30"/>
          <w:szCs w:val="30"/>
          <w:lang w:eastAsia="zh-CN"/>
        </w:rPr>
      </w:pPr>
      <w:r>
        <w:rPr>
          <w:rFonts w:hint="eastAsia" w:eastAsia="宋体"/>
          <w:sz w:val="30"/>
          <w:szCs w:val="30"/>
          <w:lang w:eastAsia="zh-CN"/>
        </w:rPr>
        <w:t>总而言之，这些人是上帝在他们身上成全祂对祂儿子的永恒旨意的人，使祂成为万有的至高君王，使上帝怜悯和恩典的荣耀得着称赞（弗 1:6, 12, 14, 腓 2:9-11）。</w:t>
      </w:r>
    </w:p>
    <w:p w14:paraId="010A6B93">
      <w:pPr>
        <w:tabs>
          <w:tab w:val="left" w:pos="2120"/>
        </w:tabs>
        <w:bidi w:val="0"/>
        <w:jc w:val="left"/>
        <w:rPr>
          <w:rFonts w:hint="eastAsia" w:eastAsia="宋体"/>
          <w:sz w:val="30"/>
          <w:szCs w:val="30"/>
          <w:lang w:eastAsia="zh-CN"/>
        </w:rPr>
      </w:pPr>
    </w:p>
    <w:p w14:paraId="60BC3C68">
      <w:pPr>
        <w:tabs>
          <w:tab w:val="left" w:pos="2120"/>
        </w:tabs>
        <w:bidi w:val="0"/>
        <w:jc w:val="left"/>
        <w:rPr>
          <w:rFonts w:hint="eastAsia" w:eastAsia="宋体"/>
          <w:sz w:val="30"/>
          <w:szCs w:val="30"/>
          <w:lang w:eastAsia="zh-CN"/>
        </w:rPr>
      </w:pPr>
      <w:r>
        <w:rPr>
          <w:rFonts w:hint="eastAsia" w:eastAsia="宋体"/>
          <w:sz w:val="30"/>
          <w:szCs w:val="30"/>
          <w:lang w:eastAsia="zh-CN"/>
        </w:rPr>
        <w:t>So then, relative to the Covenant of Grace the Kingdom of God is the promise of the Covenant to his elect; to all who are willing to receive Christ as their Redeemer and King.</w:t>
      </w:r>
    </w:p>
    <w:p w14:paraId="0536507B">
      <w:pPr>
        <w:tabs>
          <w:tab w:val="left" w:pos="2120"/>
        </w:tabs>
        <w:bidi w:val="0"/>
        <w:jc w:val="left"/>
        <w:rPr>
          <w:rFonts w:hint="eastAsia" w:eastAsia="宋体"/>
          <w:sz w:val="30"/>
          <w:szCs w:val="30"/>
          <w:lang w:eastAsia="zh-CN"/>
        </w:rPr>
      </w:pPr>
      <w:r>
        <w:rPr>
          <w:rFonts w:hint="eastAsia" w:eastAsia="宋体"/>
          <w:sz w:val="30"/>
          <w:szCs w:val="30"/>
          <w:lang w:eastAsia="zh-CN"/>
        </w:rPr>
        <w:t>那么，相对于恩典之约，上帝的国是圣约对祂选民的应许；是对所有愿意接受基督为他们的救赎主和君王之人的应许。</w:t>
      </w:r>
    </w:p>
    <w:p w14:paraId="622B7A70">
      <w:pPr>
        <w:tabs>
          <w:tab w:val="left" w:pos="2120"/>
        </w:tabs>
        <w:bidi w:val="0"/>
        <w:jc w:val="left"/>
        <w:rPr>
          <w:rFonts w:hint="eastAsia" w:eastAsia="宋体"/>
          <w:sz w:val="30"/>
          <w:szCs w:val="30"/>
          <w:lang w:eastAsia="zh-CN"/>
        </w:rPr>
      </w:pPr>
    </w:p>
    <w:p w14:paraId="47335C40">
      <w:pPr>
        <w:tabs>
          <w:tab w:val="left" w:pos="2120"/>
        </w:tabs>
        <w:bidi w:val="0"/>
        <w:jc w:val="left"/>
        <w:rPr>
          <w:rFonts w:hint="eastAsia" w:eastAsia="宋体"/>
          <w:sz w:val="30"/>
          <w:szCs w:val="30"/>
          <w:lang w:eastAsia="zh-CN"/>
        </w:rPr>
      </w:pPr>
      <w:r>
        <w:rPr>
          <w:rFonts w:hint="eastAsia" w:eastAsia="宋体"/>
          <w:sz w:val="30"/>
          <w:szCs w:val="30"/>
          <w:lang w:eastAsia="zh-CN"/>
        </w:rPr>
        <w:t>Secondly, our study of the Eternal Covenant teaches us that the (advent of the) Kingdom of God is inseparable from (the advent of) the New Covenant.</w:t>
      </w:r>
    </w:p>
    <w:p w14:paraId="2E7BF979">
      <w:pPr>
        <w:tabs>
          <w:tab w:val="left" w:pos="2120"/>
        </w:tabs>
        <w:bidi w:val="0"/>
        <w:jc w:val="left"/>
        <w:rPr>
          <w:rFonts w:hint="eastAsia" w:eastAsia="宋体"/>
          <w:sz w:val="30"/>
          <w:szCs w:val="30"/>
          <w:lang w:eastAsia="zh-CN"/>
        </w:rPr>
      </w:pPr>
      <w:r>
        <w:rPr>
          <w:rFonts w:hint="eastAsia" w:eastAsia="宋体"/>
          <w:sz w:val="30"/>
          <w:szCs w:val="30"/>
          <w:lang w:eastAsia="zh-CN"/>
        </w:rPr>
        <w:t>其次，我们对永恒之约的研究教导我们，上帝之国（的降临）与新约（的降临）是密不可分的。</w:t>
      </w:r>
    </w:p>
    <w:p w14:paraId="5B1DE63C">
      <w:pPr>
        <w:tabs>
          <w:tab w:val="left" w:pos="2120"/>
        </w:tabs>
        <w:bidi w:val="0"/>
        <w:jc w:val="left"/>
        <w:rPr>
          <w:rFonts w:hint="eastAsia" w:eastAsia="宋体"/>
          <w:sz w:val="30"/>
          <w:szCs w:val="30"/>
          <w:lang w:eastAsia="zh-CN"/>
        </w:rPr>
      </w:pPr>
    </w:p>
    <w:p w14:paraId="74E9EE5D">
      <w:pPr>
        <w:tabs>
          <w:tab w:val="left" w:pos="2120"/>
        </w:tabs>
        <w:bidi w:val="0"/>
        <w:jc w:val="left"/>
        <w:rPr>
          <w:rFonts w:hint="eastAsia" w:eastAsia="宋体"/>
          <w:sz w:val="30"/>
          <w:szCs w:val="30"/>
          <w:lang w:eastAsia="zh-CN"/>
        </w:rPr>
      </w:pPr>
      <w:r>
        <w:rPr>
          <w:rFonts w:hint="eastAsia" w:eastAsia="宋体"/>
          <w:sz w:val="30"/>
          <w:szCs w:val="30"/>
          <w:lang w:eastAsia="zh-CN"/>
        </w:rPr>
        <w:t>We have seen this in our preliminary discussion of Salvation History.</w:t>
      </w:r>
    </w:p>
    <w:p w14:paraId="0A8C5A09">
      <w:pPr>
        <w:tabs>
          <w:tab w:val="left" w:pos="2120"/>
        </w:tabs>
        <w:bidi w:val="0"/>
        <w:jc w:val="left"/>
        <w:rPr>
          <w:rFonts w:hint="eastAsia" w:eastAsia="宋体"/>
          <w:sz w:val="30"/>
          <w:szCs w:val="30"/>
          <w:lang w:eastAsia="zh-CN"/>
        </w:rPr>
      </w:pPr>
      <w:r>
        <w:rPr>
          <w:rFonts w:hint="eastAsia" w:eastAsia="宋体"/>
          <w:sz w:val="30"/>
          <w:szCs w:val="30"/>
          <w:lang w:eastAsia="zh-CN"/>
        </w:rPr>
        <w:t>我们在对救赎历史的初步讨论中已经看到了这一点。</w:t>
      </w:r>
    </w:p>
    <w:p w14:paraId="14ED9004">
      <w:pPr>
        <w:tabs>
          <w:tab w:val="left" w:pos="2120"/>
        </w:tabs>
        <w:bidi w:val="0"/>
        <w:jc w:val="left"/>
        <w:rPr>
          <w:rFonts w:hint="eastAsia" w:eastAsia="宋体"/>
          <w:sz w:val="30"/>
          <w:szCs w:val="30"/>
          <w:lang w:eastAsia="zh-CN"/>
        </w:rPr>
      </w:pPr>
    </w:p>
    <w:p w14:paraId="00E68693">
      <w:pPr>
        <w:tabs>
          <w:tab w:val="left" w:pos="2120"/>
        </w:tabs>
        <w:bidi w:val="0"/>
        <w:jc w:val="left"/>
        <w:rPr>
          <w:rFonts w:hint="eastAsia" w:eastAsia="宋体"/>
          <w:sz w:val="30"/>
          <w:szCs w:val="30"/>
          <w:lang w:eastAsia="zh-CN"/>
        </w:rPr>
      </w:pPr>
      <w:r>
        <w:rPr>
          <w:rFonts w:hint="eastAsia" w:eastAsia="宋体"/>
          <w:sz w:val="30"/>
          <w:szCs w:val="30"/>
          <w:lang w:eastAsia="zh-CN"/>
        </w:rPr>
        <w:t>Before the foundation of the world, God devised the Eternal Covenant, by which he would bestow eternal life—a direct spiritual reign of God, through Christ, by the Spirit—upon his redeemed people and their world.</w:t>
      </w:r>
    </w:p>
    <w:p w14:paraId="32DA39C3">
      <w:pPr>
        <w:tabs>
          <w:tab w:val="left" w:pos="2120"/>
        </w:tabs>
        <w:bidi w:val="0"/>
        <w:jc w:val="left"/>
        <w:rPr>
          <w:rFonts w:hint="eastAsia" w:eastAsia="宋体"/>
          <w:sz w:val="30"/>
          <w:szCs w:val="30"/>
          <w:lang w:eastAsia="zh-CN"/>
        </w:rPr>
      </w:pPr>
      <w:r>
        <w:rPr>
          <w:rFonts w:hint="eastAsia" w:eastAsia="宋体"/>
          <w:sz w:val="30"/>
          <w:szCs w:val="30"/>
          <w:lang w:eastAsia="zh-CN"/>
        </w:rPr>
        <w:t>在创世以前，上帝制定了永恒之约，藉此祂要将永生——即上帝通过基督、藉着圣灵的直接属灵统治——赐给祂所救赎的子民和他们的世界。</w:t>
      </w:r>
    </w:p>
    <w:p w14:paraId="6EC13BE1">
      <w:pPr>
        <w:tabs>
          <w:tab w:val="left" w:pos="2120"/>
        </w:tabs>
        <w:bidi w:val="0"/>
        <w:jc w:val="left"/>
        <w:rPr>
          <w:rFonts w:hint="eastAsia" w:eastAsia="宋体"/>
          <w:sz w:val="30"/>
          <w:szCs w:val="30"/>
          <w:lang w:eastAsia="zh-CN"/>
        </w:rPr>
      </w:pPr>
    </w:p>
    <w:p w14:paraId="1C8C1998">
      <w:pPr>
        <w:tabs>
          <w:tab w:val="left" w:pos="2120"/>
        </w:tabs>
        <w:bidi w:val="0"/>
        <w:jc w:val="left"/>
        <w:rPr>
          <w:rFonts w:hint="eastAsia" w:eastAsia="宋体"/>
          <w:sz w:val="30"/>
          <w:szCs w:val="30"/>
          <w:lang w:eastAsia="zh-CN"/>
        </w:rPr>
      </w:pPr>
      <w:r>
        <w:rPr>
          <w:rFonts w:hint="eastAsia" w:eastAsia="宋体"/>
          <w:sz w:val="30"/>
          <w:szCs w:val="30"/>
          <w:lang w:eastAsia="zh-CN"/>
        </w:rPr>
        <w:t>In OT times—in the Era of Promise and Preparation—he gave a veiled revelation of the Eternal Covenant and the spiritual Kingdom it would create, using various types and shadows to picture them.</w:t>
      </w:r>
    </w:p>
    <w:p w14:paraId="256349EA">
      <w:pPr>
        <w:tabs>
          <w:tab w:val="left" w:pos="2120"/>
        </w:tabs>
        <w:bidi w:val="0"/>
        <w:jc w:val="left"/>
        <w:rPr>
          <w:rFonts w:hint="eastAsia" w:eastAsia="宋体"/>
          <w:sz w:val="30"/>
          <w:szCs w:val="30"/>
          <w:lang w:eastAsia="zh-CN"/>
        </w:rPr>
      </w:pPr>
      <w:r>
        <w:rPr>
          <w:rFonts w:hint="eastAsia" w:eastAsia="宋体"/>
          <w:sz w:val="30"/>
          <w:szCs w:val="30"/>
          <w:lang w:eastAsia="zh-CN"/>
        </w:rPr>
        <w:t>在旧约时代——在应许与预备的时代——祂对永恒之约及其将要创造的属灵国度给出了一个蒙着帕子的启示，使用各种预表和影像来描绘它们。</w:t>
      </w:r>
    </w:p>
    <w:p w14:paraId="56AFE1B8">
      <w:pPr>
        <w:tabs>
          <w:tab w:val="left" w:pos="2120"/>
        </w:tabs>
        <w:bidi w:val="0"/>
        <w:jc w:val="left"/>
        <w:rPr>
          <w:rFonts w:hint="eastAsia" w:eastAsia="宋体"/>
          <w:sz w:val="30"/>
          <w:szCs w:val="30"/>
          <w:lang w:eastAsia="zh-CN"/>
        </w:rPr>
      </w:pPr>
    </w:p>
    <w:p w14:paraId="25CB83E8">
      <w:pPr>
        <w:tabs>
          <w:tab w:val="left" w:pos="2120"/>
        </w:tabs>
        <w:bidi w:val="0"/>
        <w:jc w:val="left"/>
        <w:rPr>
          <w:rFonts w:hint="eastAsia" w:eastAsia="宋体"/>
          <w:sz w:val="30"/>
          <w:szCs w:val="30"/>
          <w:lang w:eastAsia="zh-CN"/>
        </w:rPr>
      </w:pPr>
      <w:r>
        <w:rPr>
          <w:rFonts w:hint="eastAsia" w:eastAsia="宋体"/>
          <w:sz w:val="30"/>
          <w:szCs w:val="30"/>
          <w:lang w:eastAsia="zh-CN"/>
        </w:rPr>
        <w:t>But in NT times—in the Era of Fulfillment—he administers the Eternal Covenant as it is in and of itself, actually sending Christ into the world and instituting the Eternal Covenant as the New Covenant.</w:t>
      </w:r>
    </w:p>
    <w:p w14:paraId="0D850666">
      <w:pPr>
        <w:tabs>
          <w:tab w:val="left" w:pos="2120"/>
        </w:tabs>
        <w:bidi w:val="0"/>
        <w:jc w:val="left"/>
        <w:rPr>
          <w:rFonts w:hint="eastAsia" w:eastAsia="宋体"/>
          <w:sz w:val="30"/>
          <w:szCs w:val="30"/>
          <w:lang w:eastAsia="zh-CN"/>
        </w:rPr>
      </w:pPr>
      <w:r>
        <w:rPr>
          <w:rFonts w:hint="eastAsia" w:eastAsia="宋体"/>
          <w:sz w:val="30"/>
          <w:szCs w:val="30"/>
          <w:lang w:eastAsia="zh-CN"/>
        </w:rPr>
        <w:t>但在新约时代——在成全的时代——祂施行永恒之约本身，实际差遣基督进入世界，并将永恒之约设立为新约。</w:t>
      </w:r>
    </w:p>
    <w:p w14:paraId="73EF7A64">
      <w:pPr>
        <w:tabs>
          <w:tab w:val="left" w:pos="2120"/>
        </w:tabs>
        <w:bidi w:val="0"/>
        <w:jc w:val="left"/>
        <w:rPr>
          <w:rFonts w:hint="eastAsia" w:eastAsia="宋体"/>
          <w:sz w:val="30"/>
          <w:szCs w:val="30"/>
          <w:lang w:eastAsia="zh-CN"/>
        </w:rPr>
      </w:pPr>
    </w:p>
    <w:p w14:paraId="72567B46">
      <w:pPr>
        <w:tabs>
          <w:tab w:val="left" w:pos="2120"/>
        </w:tabs>
        <w:bidi w:val="0"/>
        <w:jc w:val="left"/>
        <w:rPr>
          <w:rFonts w:hint="eastAsia" w:eastAsia="宋体"/>
          <w:sz w:val="30"/>
          <w:szCs w:val="30"/>
          <w:lang w:eastAsia="zh-CN"/>
        </w:rPr>
      </w:pPr>
      <w:r>
        <w:rPr>
          <w:rFonts w:hint="eastAsia" w:eastAsia="宋体"/>
          <w:sz w:val="30"/>
          <w:szCs w:val="30"/>
          <w:lang w:eastAsia="zh-CN"/>
        </w:rPr>
        <w:t>This truth is unspeakably important for a sound understanding of biblical eschatology, and for resolving the End Time Debate.</w:t>
      </w:r>
    </w:p>
    <w:p w14:paraId="09EE80DE">
      <w:pPr>
        <w:tabs>
          <w:tab w:val="left" w:pos="2120"/>
        </w:tabs>
        <w:bidi w:val="0"/>
        <w:jc w:val="left"/>
        <w:rPr>
          <w:rFonts w:hint="eastAsia" w:eastAsia="宋体"/>
          <w:sz w:val="30"/>
          <w:szCs w:val="30"/>
          <w:lang w:eastAsia="zh-CN"/>
        </w:rPr>
      </w:pPr>
      <w:r>
        <w:rPr>
          <w:rFonts w:hint="eastAsia" w:eastAsia="宋体"/>
          <w:sz w:val="30"/>
          <w:szCs w:val="30"/>
          <w:lang w:eastAsia="zh-CN"/>
        </w:rPr>
        <w:t>这个真理对于正确理解圣经末世论，以及解决末世辩论，是难以言喻地重要。</w:t>
      </w:r>
    </w:p>
    <w:p w14:paraId="3A3745CC">
      <w:pPr>
        <w:tabs>
          <w:tab w:val="left" w:pos="2120"/>
        </w:tabs>
        <w:bidi w:val="0"/>
        <w:jc w:val="left"/>
        <w:rPr>
          <w:rFonts w:hint="eastAsia" w:eastAsia="宋体"/>
          <w:sz w:val="30"/>
          <w:szCs w:val="30"/>
          <w:lang w:eastAsia="zh-CN"/>
        </w:rPr>
      </w:pPr>
    </w:p>
    <w:p w14:paraId="3DACDD3A">
      <w:pPr>
        <w:tabs>
          <w:tab w:val="left" w:pos="2120"/>
        </w:tabs>
        <w:bidi w:val="0"/>
        <w:jc w:val="left"/>
        <w:rPr>
          <w:rFonts w:hint="eastAsia" w:eastAsia="宋体"/>
          <w:sz w:val="30"/>
          <w:szCs w:val="30"/>
          <w:lang w:eastAsia="zh-CN"/>
        </w:rPr>
      </w:pPr>
      <w:r>
        <w:rPr>
          <w:rFonts w:hint="eastAsia" w:eastAsia="宋体"/>
          <w:sz w:val="30"/>
          <w:szCs w:val="30"/>
          <w:lang w:eastAsia="zh-CN"/>
        </w:rPr>
        <w:t>It means that the New Covenant is not just another covenant in an endless series of covenants.</w:t>
      </w:r>
    </w:p>
    <w:p w14:paraId="09961148">
      <w:pPr>
        <w:tabs>
          <w:tab w:val="left" w:pos="2120"/>
        </w:tabs>
        <w:bidi w:val="0"/>
        <w:jc w:val="left"/>
        <w:rPr>
          <w:rFonts w:hint="eastAsia" w:eastAsia="宋体"/>
          <w:sz w:val="30"/>
          <w:szCs w:val="30"/>
          <w:lang w:eastAsia="zh-CN"/>
        </w:rPr>
      </w:pPr>
      <w:r>
        <w:rPr>
          <w:rFonts w:hint="eastAsia" w:eastAsia="宋体"/>
          <w:sz w:val="30"/>
          <w:szCs w:val="30"/>
          <w:lang w:eastAsia="zh-CN"/>
        </w:rPr>
        <w:t>这意味着新约不仅仅是无尽系列圣约中的又一个约。</w:t>
      </w:r>
    </w:p>
    <w:p w14:paraId="08BB6676">
      <w:pPr>
        <w:tabs>
          <w:tab w:val="left" w:pos="2120"/>
        </w:tabs>
        <w:bidi w:val="0"/>
        <w:jc w:val="left"/>
        <w:rPr>
          <w:rFonts w:hint="eastAsia" w:eastAsia="宋体"/>
          <w:sz w:val="30"/>
          <w:szCs w:val="30"/>
          <w:lang w:eastAsia="zh-CN"/>
        </w:rPr>
      </w:pPr>
    </w:p>
    <w:p w14:paraId="4AD303EF">
      <w:pPr>
        <w:tabs>
          <w:tab w:val="left" w:pos="2120"/>
        </w:tabs>
        <w:bidi w:val="0"/>
        <w:jc w:val="left"/>
        <w:rPr>
          <w:rFonts w:hint="eastAsia" w:eastAsia="宋体"/>
          <w:sz w:val="30"/>
          <w:szCs w:val="30"/>
          <w:lang w:eastAsia="zh-CN"/>
        </w:rPr>
      </w:pPr>
      <w:r>
        <w:rPr>
          <w:rFonts w:hint="eastAsia" w:eastAsia="宋体"/>
          <w:sz w:val="30"/>
          <w:szCs w:val="30"/>
          <w:lang w:eastAsia="zh-CN"/>
        </w:rPr>
        <w:t>No, it is the end of the line.</w:t>
      </w:r>
    </w:p>
    <w:p w14:paraId="1489524F">
      <w:pPr>
        <w:tabs>
          <w:tab w:val="left" w:pos="2120"/>
        </w:tabs>
        <w:bidi w:val="0"/>
        <w:jc w:val="left"/>
        <w:rPr>
          <w:rFonts w:hint="eastAsia" w:eastAsia="宋体"/>
          <w:sz w:val="30"/>
          <w:szCs w:val="30"/>
          <w:lang w:eastAsia="zh-CN"/>
        </w:rPr>
      </w:pPr>
      <w:r>
        <w:rPr>
          <w:rFonts w:hint="eastAsia" w:eastAsia="宋体"/>
          <w:sz w:val="30"/>
          <w:szCs w:val="30"/>
          <w:lang w:eastAsia="zh-CN"/>
        </w:rPr>
        <w:t>不，它是终点。</w:t>
      </w:r>
    </w:p>
    <w:p w14:paraId="00BB7459">
      <w:pPr>
        <w:tabs>
          <w:tab w:val="left" w:pos="2120"/>
        </w:tabs>
        <w:bidi w:val="0"/>
        <w:jc w:val="left"/>
        <w:rPr>
          <w:rFonts w:hint="eastAsia" w:eastAsia="宋体"/>
          <w:sz w:val="30"/>
          <w:szCs w:val="30"/>
          <w:lang w:eastAsia="zh-CN"/>
        </w:rPr>
      </w:pPr>
    </w:p>
    <w:p w14:paraId="0AA8E624">
      <w:pPr>
        <w:tabs>
          <w:tab w:val="left" w:pos="2120"/>
        </w:tabs>
        <w:bidi w:val="0"/>
        <w:jc w:val="left"/>
        <w:rPr>
          <w:rFonts w:hint="eastAsia" w:eastAsia="宋体"/>
          <w:sz w:val="30"/>
          <w:szCs w:val="30"/>
          <w:lang w:eastAsia="zh-CN"/>
        </w:rPr>
      </w:pPr>
      <w:r>
        <w:rPr>
          <w:rFonts w:hint="eastAsia" w:eastAsia="宋体"/>
          <w:sz w:val="30"/>
          <w:szCs w:val="30"/>
          <w:lang w:eastAsia="zh-CN"/>
        </w:rPr>
        <w:t>Because it is the Eternal Covenant— God’s one and only plan of salvation—it is the last covenant in Salvation History.</w:t>
      </w:r>
    </w:p>
    <w:p w14:paraId="092A9011">
      <w:pPr>
        <w:tabs>
          <w:tab w:val="left" w:pos="2120"/>
        </w:tabs>
        <w:bidi w:val="0"/>
        <w:jc w:val="left"/>
        <w:rPr>
          <w:rFonts w:hint="eastAsia" w:eastAsia="宋体"/>
          <w:sz w:val="30"/>
          <w:szCs w:val="30"/>
          <w:lang w:eastAsia="zh-CN"/>
        </w:rPr>
      </w:pPr>
      <w:r>
        <w:rPr>
          <w:rFonts w:hint="eastAsia" w:eastAsia="宋体"/>
          <w:sz w:val="30"/>
          <w:szCs w:val="30"/>
          <w:lang w:eastAsia="zh-CN"/>
        </w:rPr>
        <w:t>因为它是永恒之约——上帝唯一且独一的救赎计划——它是救赎历史中最后的约。</w:t>
      </w:r>
    </w:p>
    <w:p w14:paraId="4C82F989">
      <w:pPr>
        <w:tabs>
          <w:tab w:val="left" w:pos="2120"/>
        </w:tabs>
        <w:bidi w:val="0"/>
        <w:jc w:val="left"/>
        <w:rPr>
          <w:rFonts w:hint="eastAsia" w:eastAsia="宋体"/>
          <w:sz w:val="30"/>
          <w:szCs w:val="30"/>
          <w:lang w:eastAsia="zh-CN"/>
        </w:rPr>
      </w:pPr>
    </w:p>
    <w:p w14:paraId="34703548">
      <w:pPr>
        <w:tabs>
          <w:tab w:val="left" w:pos="2120"/>
        </w:tabs>
        <w:bidi w:val="0"/>
        <w:jc w:val="left"/>
        <w:rPr>
          <w:rFonts w:hint="eastAsia" w:eastAsia="宋体"/>
          <w:sz w:val="30"/>
          <w:szCs w:val="30"/>
          <w:lang w:eastAsia="zh-CN"/>
        </w:rPr>
      </w:pPr>
      <w:r>
        <w:rPr>
          <w:rFonts w:hint="eastAsia" w:eastAsia="宋体"/>
          <w:sz w:val="30"/>
          <w:szCs w:val="30"/>
          <w:lang w:eastAsia="zh-CN"/>
        </w:rPr>
        <w:t>The Kingdom it creates, the spiritual life it bestows, and the manner of worship it inaugurates, are all eternal and fundamentally unchanging, for they are exactly as God planned them when he planned the Eternal Covenant.</w:t>
      </w:r>
    </w:p>
    <w:p w14:paraId="3FB2F86B">
      <w:pPr>
        <w:tabs>
          <w:tab w:val="left" w:pos="2120"/>
        </w:tabs>
        <w:bidi w:val="0"/>
        <w:jc w:val="left"/>
        <w:rPr>
          <w:rFonts w:hint="eastAsia" w:eastAsia="宋体"/>
          <w:sz w:val="30"/>
          <w:szCs w:val="30"/>
          <w:lang w:eastAsia="zh-CN"/>
        </w:rPr>
      </w:pPr>
      <w:r>
        <w:rPr>
          <w:rFonts w:hint="eastAsia" w:eastAsia="宋体"/>
          <w:sz w:val="30"/>
          <w:szCs w:val="30"/>
          <w:lang w:eastAsia="zh-CN"/>
        </w:rPr>
        <w:t>它所创造的国度，它所赐予的属灵生命，以及它所开启的敬拜方式，都是永恒且根本上不变的，因为它们正是上帝在计划永恒之约时所计划的样子。</w:t>
      </w:r>
    </w:p>
    <w:p w14:paraId="4569F2B8">
      <w:pPr>
        <w:tabs>
          <w:tab w:val="left" w:pos="2120"/>
        </w:tabs>
        <w:bidi w:val="0"/>
        <w:jc w:val="left"/>
        <w:rPr>
          <w:rFonts w:hint="eastAsia" w:eastAsia="宋体"/>
          <w:sz w:val="30"/>
          <w:szCs w:val="30"/>
          <w:lang w:eastAsia="zh-CN"/>
        </w:rPr>
      </w:pPr>
    </w:p>
    <w:p w14:paraId="7A9CF894">
      <w:pPr>
        <w:tabs>
          <w:tab w:val="left" w:pos="2120"/>
        </w:tabs>
        <w:bidi w:val="0"/>
        <w:jc w:val="left"/>
        <w:rPr>
          <w:rFonts w:hint="eastAsia" w:eastAsia="宋体"/>
          <w:sz w:val="30"/>
          <w:szCs w:val="30"/>
          <w:lang w:eastAsia="zh-CN"/>
        </w:rPr>
      </w:pPr>
      <w:r>
        <w:rPr>
          <w:rFonts w:hint="eastAsia" w:eastAsia="宋体"/>
          <w:sz w:val="30"/>
          <w:szCs w:val="30"/>
          <w:lang w:eastAsia="zh-CN"/>
        </w:rPr>
        <w:t>OT theocratic institutions do indeed mystically prefigure the spiritual reign, life, and worship that Christ introduced.</w:t>
      </w:r>
    </w:p>
    <w:p w14:paraId="17400C77">
      <w:pPr>
        <w:tabs>
          <w:tab w:val="left" w:pos="2120"/>
        </w:tabs>
        <w:bidi w:val="0"/>
        <w:jc w:val="left"/>
        <w:rPr>
          <w:rFonts w:hint="eastAsia" w:eastAsia="宋体"/>
          <w:sz w:val="30"/>
          <w:szCs w:val="30"/>
          <w:lang w:eastAsia="zh-CN"/>
        </w:rPr>
      </w:pPr>
      <w:r>
        <w:rPr>
          <w:rFonts w:hint="eastAsia" w:eastAsia="宋体"/>
          <w:sz w:val="30"/>
          <w:szCs w:val="30"/>
          <w:lang w:eastAsia="zh-CN"/>
        </w:rPr>
        <w:t>旧约的神权制度确实奥秘地预表了基督所引入的属灵统治、生命和敬拜。</w:t>
      </w:r>
    </w:p>
    <w:p w14:paraId="1EC01937">
      <w:pPr>
        <w:tabs>
          <w:tab w:val="left" w:pos="2120"/>
        </w:tabs>
        <w:bidi w:val="0"/>
        <w:jc w:val="left"/>
        <w:rPr>
          <w:rFonts w:hint="eastAsia" w:eastAsia="宋体"/>
          <w:sz w:val="30"/>
          <w:szCs w:val="30"/>
          <w:lang w:eastAsia="zh-CN"/>
        </w:rPr>
      </w:pPr>
    </w:p>
    <w:p w14:paraId="18917637">
      <w:pPr>
        <w:tabs>
          <w:tab w:val="left" w:pos="2120"/>
        </w:tabs>
        <w:bidi w:val="0"/>
        <w:jc w:val="left"/>
        <w:rPr>
          <w:rFonts w:hint="eastAsia" w:eastAsia="宋体"/>
          <w:sz w:val="30"/>
          <w:szCs w:val="30"/>
          <w:lang w:eastAsia="zh-CN"/>
        </w:rPr>
      </w:pPr>
      <w:r>
        <w:rPr>
          <w:rFonts w:hint="eastAsia" w:eastAsia="宋体"/>
          <w:sz w:val="30"/>
          <w:szCs w:val="30"/>
          <w:lang w:eastAsia="zh-CN"/>
        </w:rPr>
        <w:t>But now that he has introduced them, there is no going back to the Old Covenant forms, for the New Covenant forms are eternal.</w:t>
      </w:r>
    </w:p>
    <w:p w14:paraId="643BDC7D">
      <w:pPr>
        <w:tabs>
          <w:tab w:val="left" w:pos="2120"/>
        </w:tabs>
        <w:bidi w:val="0"/>
        <w:jc w:val="left"/>
        <w:rPr>
          <w:rFonts w:hint="eastAsia" w:eastAsia="宋体"/>
          <w:sz w:val="30"/>
          <w:szCs w:val="30"/>
          <w:lang w:eastAsia="zh-CN"/>
        </w:rPr>
      </w:pPr>
      <w:r>
        <w:rPr>
          <w:rFonts w:hint="eastAsia" w:eastAsia="宋体"/>
          <w:sz w:val="30"/>
          <w:szCs w:val="30"/>
          <w:lang w:eastAsia="zh-CN"/>
        </w:rPr>
        <w:t>但现在祂已经引入了它们，就无法再回到旧约的形式了，因为新约的形式是永恒的。</w:t>
      </w:r>
    </w:p>
    <w:p w14:paraId="07D7491F">
      <w:pPr>
        <w:tabs>
          <w:tab w:val="left" w:pos="2120"/>
        </w:tabs>
        <w:bidi w:val="0"/>
        <w:jc w:val="left"/>
        <w:rPr>
          <w:rFonts w:hint="eastAsia" w:eastAsia="宋体"/>
          <w:sz w:val="30"/>
          <w:szCs w:val="30"/>
          <w:lang w:eastAsia="zh-CN"/>
        </w:rPr>
      </w:pPr>
    </w:p>
    <w:p w14:paraId="54FF6417">
      <w:pPr>
        <w:tabs>
          <w:tab w:val="left" w:pos="2120"/>
        </w:tabs>
        <w:bidi w:val="0"/>
        <w:jc w:val="left"/>
        <w:rPr>
          <w:rFonts w:hint="eastAsia" w:eastAsia="宋体"/>
          <w:sz w:val="30"/>
          <w:szCs w:val="30"/>
          <w:lang w:eastAsia="zh-CN"/>
        </w:rPr>
      </w:pPr>
      <w:r>
        <w:rPr>
          <w:rFonts w:hint="eastAsia" w:eastAsia="宋体"/>
          <w:sz w:val="30"/>
          <w:szCs w:val="30"/>
          <w:lang w:eastAsia="zh-CN"/>
        </w:rPr>
        <w:t>Thus, to see that the New Covenant is the Eternal Covenant is to see that the Kingdom it creates is the eternal and unchanging Kingdom of God.</w:t>
      </w:r>
    </w:p>
    <w:p w14:paraId="18FA8963">
      <w:pPr>
        <w:tabs>
          <w:tab w:val="left" w:pos="2120"/>
        </w:tabs>
        <w:bidi w:val="0"/>
        <w:jc w:val="left"/>
        <w:rPr>
          <w:rFonts w:hint="eastAsia" w:eastAsia="宋体"/>
          <w:sz w:val="30"/>
          <w:szCs w:val="30"/>
          <w:lang w:eastAsia="zh-CN"/>
        </w:rPr>
      </w:pPr>
      <w:r>
        <w:rPr>
          <w:rFonts w:hint="eastAsia" w:eastAsia="宋体"/>
          <w:sz w:val="30"/>
          <w:szCs w:val="30"/>
          <w:lang w:eastAsia="zh-CN"/>
        </w:rPr>
        <w:t>因此，看到新约就是永恒之约，就是看到它所创造的国度是永恒不变的上帝之国。</w:t>
      </w:r>
    </w:p>
    <w:p w14:paraId="730665F4">
      <w:pPr>
        <w:tabs>
          <w:tab w:val="left" w:pos="2120"/>
        </w:tabs>
        <w:bidi w:val="0"/>
        <w:jc w:val="left"/>
        <w:rPr>
          <w:rFonts w:hint="eastAsia" w:eastAsia="宋体"/>
          <w:sz w:val="30"/>
          <w:szCs w:val="30"/>
          <w:lang w:eastAsia="zh-CN"/>
        </w:rPr>
      </w:pPr>
    </w:p>
    <w:p w14:paraId="44609107">
      <w:pPr>
        <w:tabs>
          <w:tab w:val="left" w:pos="2120"/>
        </w:tabs>
        <w:bidi w:val="0"/>
        <w:jc w:val="left"/>
        <w:rPr>
          <w:rFonts w:hint="eastAsia" w:eastAsia="宋体"/>
          <w:sz w:val="30"/>
          <w:szCs w:val="30"/>
          <w:lang w:eastAsia="zh-CN"/>
        </w:rPr>
      </w:pPr>
      <w:r>
        <w:rPr>
          <w:rFonts w:hint="eastAsia" w:eastAsia="宋体"/>
          <w:sz w:val="30"/>
          <w:szCs w:val="30"/>
          <w:lang w:eastAsia="zh-CN"/>
        </w:rPr>
        <w:t>This brings us to a third and closely related point, namely that a good understanding of the Eternal Covenant helps us arrive at the proper interpretation of OTKP.</w:t>
      </w:r>
    </w:p>
    <w:p w14:paraId="60630031">
      <w:pPr>
        <w:tabs>
          <w:tab w:val="left" w:pos="2120"/>
        </w:tabs>
        <w:bidi w:val="0"/>
        <w:jc w:val="left"/>
        <w:rPr>
          <w:rFonts w:hint="eastAsia" w:eastAsia="宋体"/>
          <w:sz w:val="30"/>
          <w:szCs w:val="30"/>
          <w:lang w:eastAsia="zh-CN"/>
        </w:rPr>
      </w:pPr>
      <w:r>
        <w:rPr>
          <w:rFonts w:hint="eastAsia" w:eastAsia="宋体"/>
          <w:sz w:val="30"/>
          <w:szCs w:val="30"/>
          <w:lang w:eastAsia="zh-CN"/>
        </w:rPr>
        <w:t>这带我们到第三个密切相关的点，即对永恒之约的良好理解有助于我们对旧约国度预言（OTKP）得出正确的解释。</w:t>
      </w:r>
    </w:p>
    <w:p w14:paraId="1866F278">
      <w:pPr>
        <w:tabs>
          <w:tab w:val="left" w:pos="2120"/>
        </w:tabs>
        <w:bidi w:val="0"/>
        <w:jc w:val="left"/>
        <w:rPr>
          <w:rFonts w:hint="eastAsia" w:eastAsia="宋体"/>
          <w:sz w:val="30"/>
          <w:szCs w:val="30"/>
          <w:lang w:eastAsia="zh-CN"/>
        </w:rPr>
      </w:pPr>
    </w:p>
    <w:p w14:paraId="3C69AF85">
      <w:pPr>
        <w:tabs>
          <w:tab w:val="left" w:pos="2120"/>
        </w:tabs>
        <w:bidi w:val="0"/>
        <w:jc w:val="left"/>
        <w:rPr>
          <w:rFonts w:hint="eastAsia" w:eastAsia="宋体"/>
          <w:sz w:val="30"/>
          <w:szCs w:val="30"/>
          <w:lang w:eastAsia="zh-CN"/>
        </w:rPr>
      </w:pPr>
      <w:r>
        <w:rPr>
          <w:rFonts w:hint="eastAsia" w:eastAsia="宋体"/>
          <w:sz w:val="30"/>
          <w:szCs w:val="30"/>
          <w:lang w:eastAsia="zh-CN"/>
        </w:rPr>
        <w:t>In understanding the Eternal Covenant, we also come to understand the very heart—the true spiritual character—of Salvation History: that it is a progressive administration of the one Eternal Covenant in time and space.</w:t>
      </w:r>
    </w:p>
    <w:p w14:paraId="70993DE1">
      <w:pPr>
        <w:tabs>
          <w:tab w:val="left" w:pos="2120"/>
        </w:tabs>
        <w:bidi w:val="0"/>
        <w:jc w:val="left"/>
        <w:rPr>
          <w:rFonts w:hint="eastAsia" w:eastAsia="宋体"/>
          <w:sz w:val="30"/>
          <w:szCs w:val="30"/>
          <w:lang w:eastAsia="zh-CN"/>
        </w:rPr>
      </w:pPr>
      <w:r>
        <w:rPr>
          <w:rFonts w:hint="eastAsia" w:eastAsia="宋体"/>
          <w:sz w:val="30"/>
          <w:szCs w:val="30"/>
          <w:lang w:eastAsia="zh-CN"/>
        </w:rPr>
        <w:t>在理解永恒之约时，我们也开始理解救赎历史的核心——其真正的属灵特性：它是在时间和空间中对那独一永恒之约的逐步施行。</w:t>
      </w:r>
    </w:p>
    <w:p w14:paraId="247E9DF8">
      <w:pPr>
        <w:tabs>
          <w:tab w:val="left" w:pos="2120"/>
        </w:tabs>
        <w:bidi w:val="0"/>
        <w:jc w:val="left"/>
        <w:rPr>
          <w:rFonts w:hint="eastAsia" w:eastAsia="宋体"/>
          <w:sz w:val="30"/>
          <w:szCs w:val="30"/>
          <w:lang w:eastAsia="zh-CN"/>
        </w:rPr>
      </w:pPr>
    </w:p>
    <w:p w14:paraId="62803AD3">
      <w:pPr>
        <w:tabs>
          <w:tab w:val="left" w:pos="2120"/>
        </w:tabs>
        <w:bidi w:val="0"/>
        <w:jc w:val="left"/>
        <w:rPr>
          <w:rFonts w:hint="eastAsia" w:eastAsia="宋体"/>
          <w:sz w:val="30"/>
          <w:szCs w:val="30"/>
          <w:lang w:eastAsia="zh-CN"/>
        </w:rPr>
      </w:pPr>
      <w:r>
        <w:rPr>
          <w:rFonts w:hint="eastAsia" w:eastAsia="宋体"/>
          <w:sz w:val="30"/>
          <w:szCs w:val="30"/>
          <w:lang w:eastAsia="zh-CN"/>
        </w:rPr>
        <w:t>As we shall see in chapter 8, in OT times (i.e., in the Era of Promise and Preparation) God did indeed administer the Eternal Covenant, but not as it was in and of itself.</w:t>
      </w:r>
    </w:p>
    <w:p w14:paraId="42F18010">
      <w:pPr>
        <w:tabs>
          <w:tab w:val="left" w:pos="2120"/>
        </w:tabs>
        <w:bidi w:val="0"/>
        <w:jc w:val="left"/>
        <w:rPr>
          <w:rFonts w:hint="eastAsia" w:eastAsia="宋体"/>
          <w:sz w:val="30"/>
          <w:szCs w:val="30"/>
          <w:lang w:eastAsia="zh-CN"/>
        </w:rPr>
      </w:pPr>
      <w:r>
        <w:rPr>
          <w:rFonts w:hint="eastAsia" w:eastAsia="宋体"/>
          <w:sz w:val="30"/>
          <w:szCs w:val="30"/>
          <w:lang w:eastAsia="zh-CN"/>
        </w:rPr>
        <w:t>我们将在第8章中看到，在旧约时代（即，在应许与预备的时代），上帝确实施行了永恒之约，但不是施行其本身。</w:t>
      </w:r>
    </w:p>
    <w:p w14:paraId="1E406BD1">
      <w:pPr>
        <w:tabs>
          <w:tab w:val="left" w:pos="2120"/>
        </w:tabs>
        <w:bidi w:val="0"/>
        <w:jc w:val="left"/>
        <w:rPr>
          <w:rFonts w:hint="eastAsia" w:eastAsia="宋体"/>
          <w:sz w:val="30"/>
          <w:szCs w:val="30"/>
          <w:lang w:eastAsia="zh-CN"/>
        </w:rPr>
      </w:pPr>
    </w:p>
    <w:p w14:paraId="60839709">
      <w:pPr>
        <w:tabs>
          <w:tab w:val="left" w:pos="2120"/>
        </w:tabs>
        <w:bidi w:val="0"/>
        <w:jc w:val="left"/>
        <w:rPr>
          <w:rFonts w:hint="eastAsia" w:eastAsia="宋体"/>
          <w:sz w:val="30"/>
          <w:szCs w:val="30"/>
          <w:lang w:eastAsia="zh-CN"/>
        </w:rPr>
      </w:pPr>
      <w:r>
        <w:rPr>
          <w:rFonts w:hint="eastAsia" w:eastAsia="宋体"/>
          <w:sz w:val="30"/>
          <w:szCs w:val="30"/>
          <w:lang w:eastAsia="zh-CN"/>
        </w:rPr>
        <w:t>Rather, he administered it in a series of veiled revelations; veiled revelations that promised, pictured, and prepared for the actual administration of the Eternal Covenant in NT times.</w:t>
      </w:r>
    </w:p>
    <w:p w14:paraId="6D9AADCA">
      <w:pPr>
        <w:tabs>
          <w:tab w:val="left" w:pos="2120"/>
        </w:tabs>
        <w:bidi w:val="0"/>
        <w:jc w:val="left"/>
        <w:rPr>
          <w:rFonts w:hint="eastAsia" w:eastAsia="宋体"/>
          <w:sz w:val="30"/>
          <w:szCs w:val="30"/>
          <w:lang w:eastAsia="zh-CN"/>
        </w:rPr>
      </w:pPr>
      <w:r>
        <w:rPr>
          <w:rFonts w:hint="eastAsia" w:eastAsia="宋体"/>
          <w:sz w:val="30"/>
          <w:szCs w:val="30"/>
          <w:lang w:eastAsia="zh-CN"/>
        </w:rPr>
        <w:t>相反，祂在一系列蒙着帕子的启示中施行它；这些蒙着帕子的启示应许、描绘并预备了新约时代永恒之约的实际施行。</w:t>
      </w:r>
    </w:p>
    <w:p w14:paraId="67D1CC53">
      <w:pPr>
        <w:tabs>
          <w:tab w:val="left" w:pos="2120"/>
        </w:tabs>
        <w:bidi w:val="0"/>
        <w:jc w:val="left"/>
        <w:rPr>
          <w:rFonts w:hint="eastAsia" w:eastAsia="宋体"/>
          <w:sz w:val="30"/>
          <w:szCs w:val="30"/>
          <w:lang w:eastAsia="zh-CN"/>
        </w:rPr>
      </w:pPr>
    </w:p>
    <w:p w14:paraId="44D79DD0">
      <w:pPr>
        <w:tabs>
          <w:tab w:val="left" w:pos="2120"/>
        </w:tabs>
        <w:bidi w:val="0"/>
        <w:jc w:val="left"/>
        <w:rPr>
          <w:rFonts w:hint="eastAsia" w:eastAsia="宋体"/>
          <w:sz w:val="30"/>
          <w:szCs w:val="30"/>
          <w:lang w:eastAsia="zh-CN"/>
        </w:rPr>
      </w:pPr>
      <w:r>
        <w:rPr>
          <w:rFonts w:hint="eastAsia" w:eastAsia="宋体"/>
          <w:sz w:val="30"/>
          <w:szCs w:val="30"/>
          <w:lang w:eastAsia="zh-CN"/>
        </w:rPr>
        <w:t>This implies, however, that God’s OT revelations of the promise of the Eternal Covenant—of a coming Messianic Kingdom—were also veiled; that in those revelations he used (theocratic) language and imagery drawn from the Mosaic Law to speak symbolically of the spiritual Kingdom that Christ would create, extend, and consummate under the New Covenant.</w:t>
      </w:r>
    </w:p>
    <w:p w14:paraId="714AC933">
      <w:pPr>
        <w:tabs>
          <w:tab w:val="left" w:pos="2120"/>
        </w:tabs>
        <w:bidi w:val="0"/>
        <w:jc w:val="left"/>
        <w:rPr>
          <w:rFonts w:hint="eastAsia" w:eastAsia="宋体"/>
          <w:sz w:val="30"/>
          <w:szCs w:val="30"/>
          <w:lang w:eastAsia="zh-CN"/>
        </w:rPr>
      </w:pPr>
      <w:r>
        <w:rPr>
          <w:rFonts w:hint="eastAsia" w:eastAsia="宋体"/>
          <w:sz w:val="30"/>
          <w:szCs w:val="30"/>
          <w:lang w:eastAsia="zh-CN"/>
        </w:rPr>
        <w:t>然而，这意味着，上帝在旧约中关于永恒之约应许的启示——即关于一个将要来临的弥赛亚国度的启示——也是蒙着帕子的；在那些启示中，祂使用了源自摩西律法的（神权的）语言和意象，来象征性地讲述基督将在新约下创造、扩展和成全的属灵国度。</w:t>
      </w:r>
    </w:p>
    <w:p w14:paraId="05A63E04">
      <w:pPr>
        <w:tabs>
          <w:tab w:val="left" w:pos="2120"/>
        </w:tabs>
        <w:bidi w:val="0"/>
        <w:jc w:val="left"/>
        <w:rPr>
          <w:rFonts w:hint="eastAsia" w:eastAsia="宋体"/>
          <w:sz w:val="30"/>
          <w:szCs w:val="30"/>
          <w:lang w:eastAsia="zh-CN"/>
        </w:rPr>
      </w:pPr>
    </w:p>
    <w:p w14:paraId="724124B0">
      <w:pPr>
        <w:tabs>
          <w:tab w:val="left" w:pos="2120"/>
        </w:tabs>
        <w:bidi w:val="0"/>
        <w:jc w:val="left"/>
        <w:rPr>
          <w:rFonts w:hint="eastAsia" w:eastAsia="宋体"/>
          <w:sz w:val="30"/>
          <w:szCs w:val="30"/>
          <w:lang w:eastAsia="zh-CN"/>
        </w:rPr>
      </w:pPr>
      <w:r>
        <w:rPr>
          <w:rFonts w:hint="eastAsia" w:eastAsia="宋体"/>
          <w:sz w:val="30"/>
          <w:szCs w:val="30"/>
          <w:lang w:eastAsia="zh-CN"/>
        </w:rPr>
        <w:t>For this reason, a good understanding of the Eternal Covenant and its relation to Salvation History strongly militates against a literal reading of OTKP.</w:t>
      </w:r>
    </w:p>
    <w:p w14:paraId="31E916E7">
      <w:pPr>
        <w:tabs>
          <w:tab w:val="left" w:pos="2120"/>
        </w:tabs>
        <w:bidi w:val="0"/>
        <w:jc w:val="left"/>
        <w:rPr>
          <w:rFonts w:hint="eastAsia" w:eastAsia="宋体"/>
          <w:sz w:val="30"/>
          <w:szCs w:val="30"/>
          <w:lang w:eastAsia="zh-CN"/>
        </w:rPr>
      </w:pPr>
      <w:r>
        <w:rPr>
          <w:rFonts w:hint="eastAsia" w:eastAsia="宋体"/>
          <w:sz w:val="30"/>
          <w:szCs w:val="30"/>
          <w:lang w:eastAsia="zh-CN"/>
        </w:rPr>
        <w:t>因此，对永恒之约及其与救赎历史关系的良好理解，强烈反对对旧约国度预言（OTKP）的字面解读。</w:t>
      </w:r>
    </w:p>
    <w:p w14:paraId="08BB308A">
      <w:pPr>
        <w:tabs>
          <w:tab w:val="left" w:pos="2120"/>
        </w:tabs>
        <w:bidi w:val="0"/>
        <w:jc w:val="left"/>
        <w:rPr>
          <w:rFonts w:hint="eastAsia" w:eastAsia="宋体"/>
          <w:sz w:val="30"/>
          <w:szCs w:val="30"/>
          <w:lang w:eastAsia="zh-CN"/>
        </w:rPr>
      </w:pPr>
    </w:p>
    <w:p w14:paraId="18AAF77A">
      <w:pPr>
        <w:tabs>
          <w:tab w:val="left" w:pos="2120"/>
        </w:tabs>
        <w:bidi w:val="0"/>
        <w:jc w:val="left"/>
        <w:rPr>
          <w:rFonts w:hint="eastAsia" w:eastAsia="宋体"/>
          <w:sz w:val="30"/>
          <w:szCs w:val="30"/>
          <w:lang w:eastAsia="zh-CN"/>
        </w:rPr>
      </w:pPr>
      <w:r>
        <w:rPr>
          <w:rFonts w:hint="eastAsia" w:eastAsia="宋体"/>
          <w:sz w:val="30"/>
          <w:szCs w:val="30"/>
          <w:lang w:eastAsia="zh-CN"/>
        </w:rPr>
        <w:t>Rather, it invites us to examine OTKP in NT perspective, to see if Christ and the apostles used a New Covenant Hermeneutic for interpreting OTKP, and to see if they would have us look for the things of Christ and the Covenant hidden away beneath the “mysterious” imagery of OTKP.</w:t>
      </w:r>
    </w:p>
    <w:p w14:paraId="731DD24D">
      <w:pPr>
        <w:tabs>
          <w:tab w:val="left" w:pos="2120"/>
        </w:tabs>
        <w:bidi w:val="0"/>
        <w:jc w:val="left"/>
        <w:rPr>
          <w:rFonts w:hint="eastAsia" w:eastAsia="宋体"/>
          <w:sz w:val="30"/>
          <w:szCs w:val="30"/>
          <w:lang w:eastAsia="zh-CN"/>
        </w:rPr>
      </w:pPr>
      <w:r>
        <w:rPr>
          <w:rFonts w:hint="eastAsia" w:eastAsia="宋体"/>
          <w:sz w:val="30"/>
          <w:szCs w:val="30"/>
          <w:lang w:eastAsia="zh-CN"/>
        </w:rPr>
        <w:t>相反，它邀请我们从新约的视角来审视旧约国度预言（OTKP），看看基督和使徒们是否使用了一种新约释经学来解释旧约国度预言（OTKP），看看他们是否要我们在旧约国度预言（OTKP）的“奥秘”意象之下寻找隐藏的关于基督和圣约的事物。</w:t>
      </w:r>
    </w:p>
    <w:p w14:paraId="664D83E6">
      <w:pPr>
        <w:tabs>
          <w:tab w:val="left" w:pos="2120"/>
        </w:tabs>
        <w:bidi w:val="0"/>
        <w:jc w:val="left"/>
        <w:rPr>
          <w:rFonts w:hint="eastAsia" w:eastAsia="宋体"/>
          <w:sz w:val="30"/>
          <w:szCs w:val="30"/>
          <w:lang w:eastAsia="zh-CN"/>
        </w:rPr>
      </w:pPr>
    </w:p>
    <w:p w14:paraId="38F05E14">
      <w:pPr>
        <w:tabs>
          <w:tab w:val="left" w:pos="2120"/>
        </w:tabs>
        <w:bidi w:val="0"/>
        <w:jc w:val="left"/>
        <w:rPr>
          <w:rFonts w:hint="eastAsia" w:eastAsia="宋体"/>
          <w:sz w:val="30"/>
          <w:szCs w:val="30"/>
          <w:lang w:eastAsia="zh-CN"/>
        </w:rPr>
      </w:pPr>
      <w:r>
        <w:rPr>
          <w:rFonts w:hint="eastAsia" w:eastAsia="宋体"/>
          <w:sz w:val="30"/>
          <w:szCs w:val="30"/>
          <w:lang w:eastAsia="zh-CN"/>
        </w:rPr>
        <w:t>In Part 3 of our journey we will spend a considerable amount of time hearing them teach us this very thing.</w:t>
      </w:r>
    </w:p>
    <w:p w14:paraId="0222ED9E">
      <w:pPr>
        <w:tabs>
          <w:tab w:val="left" w:pos="2120"/>
        </w:tabs>
        <w:bidi w:val="0"/>
        <w:jc w:val="left"/>
        <w:rPr>
          <w:rFonts w:hint="eastAsia" w:eastAsia="宋体"/>
          <w:sz w:val="30"/>
          <w:szCs w:val="30"/>
          <w:lang w:eastAsia="zh-CN"/>
        </w:rPr>
      </w:pPr>
      <w:r>
        <w:rPr>
          <w:rFonts w:hint="eastAsia" w:eastAsia="宋体"/>
          <w:sz w:val="30"/>
          <w:szCs w:val="30"/>
          <w:lang w:eastAsia="zh-CN"/>
        </w:rPr>
        <w:t>在我们旅程的第三部分，我们将花费相当多的时间听他们教导我们这件事。</w:t>
      </w:r>
    </w:p>
    <w:p w14:paraId="29E4A9DF">
      <w:pPr>
        <w:tabs>
          <w:tab w:val="left" w:pos="2120"/>
        </w:tabs>
        <w:bidi w:val="0"/>
        <w:jc w:val="left"/>
        <w:rPr>
          <w:rFonts w:hint="eastAsia" w:eastAsia="宋体"/>
          <w:sz w:val="30"/>
          <w:szCs w:val="30"/>
          <w:lang w:eastAsia="zh-CN"/>
        </w:rPr>
      </w:pPr>
    </w:p>
    <w:p w14:paraId="7AF5F9CB">
      <w:pPr>
        <w:tabs>
          <w:tab w:val="left" w:pos="2120"/>
        </w:tabs>
        <w:bidi w:val="0"/>
        <w:jc w:val="left"/>
        <w:rPr>
          <w:rFonts w:hint="eastAsia" w:eastAsia="宋体"/>
          <w:sz w:val="30"/>
          <w:szCs w:val="30"/>
          <w:lang w:eastAsia="zh-CN"/>
        </w:rPr>
      </w:pPr>
      <w:r>
        <w:rPr>
          <w:rFonts w:hint="eastAsia" w:eastAsia="宋体"/>
          <w:sz w:val="30"/>
          <w:szCs w:val="30"/>
          <w:lang w:eastAsia="zh-CN"/>
        </w:rPr>
        <w:t>Conclusion</w:t>
      </w:r>
    </w:p>
    <w:p w14:paraId="5D43FC83">
      <w:pPr>
        <w:tabs>
          <w:tab w:val="left" w:pos="2120"/>
        </w:tabs>
        <w:bidi w:val="0"/>
        <w:jc w:val="left"/>
        <w:rPr>
          <w:rFonts w:hint="eastAsia" w:eastAsia="宋体"/>
          <w:sz w:val="30"/>
          <w:szCs w:val="30"/>
          <w:lang w:eastAsia="zh-CN"/>
        </w:rPr>
      </w:pPr>
      <w:r>
        <w:rPr>
          <w:rFonts w:hint="eastAsia" w:eastAsia="宋体"/>
          <w:sz w:val="30"/>
          <w:szCs w:val="30"/>
          <w:lang w:eastAsia="zh-CN"/>
        </w:rPr>
        <w:t>结论</w:t>
      </w:r>
    </w:p>
    <w:p w14:paraId="07DF8A3F">
      <w:pPr>
        <w:tabs>
          <w:tab w:val="left" w:pos="2120"/>
        </w:tabs>
        <w:bidi w:val="0"/>
        <w:jc w:val="left"/>
        <w:rPr>
          <w:rFonts w:hint="eastAsia" w:eastAsia="宋体"/>
          <w:sz w:val="30"/>
          <w:szCs w:val="30"/>
          <w:lang w:eastAsia="zh-CN"/>
        </w:rPr>
      </w:pPr>
    </w:p>
    <w:p w14:paraId="56933F81">
      <w:pPr>
        <w:tabs>
          <w:tab w:val="left" w:pos="2120"/>
        </w:tabs>
        <w:bidi w:val="0"/>
        <w:jc w:val="left"/>
        <w:rPr>
          <w:rFonts w:hint="eastAsia" w:eastAsia="宋体"/>
          <w:sz w:val="30"/>
          <w:szCs w:val="30"/>
          <w:lang w:eastAsia="zh-CN"/>
        </w:rPr>
      </w:pPr>
      <w:r>
        <w:rPr>
          <w:rFonts w:hint="eastAsia" w:eastAsia="宋体"/>
          <w:sz w:val="30"/>
          <w:szCs w:val="30"/>
          <w:lang w:eastAsia="zh-CN"/>
        </w:rPr>
        <w:t>On the present leg of our journey we have followed Christ backward so that we might go forward.</w:t>
      </w:r>
    </w:p>
    <w:p w14:paraId="54605355">
      <w:pPr>
        <w:tabs>
          <w:tab w:val="left" w:pos="2120"/>
        </w:tabs>
        <w:bidi w:val="0"/>
        <w:jc w:val="left"/>
        <w:rPr>
          <w:rFonts w:hint="eastAsia" w:eastAsia="宋体"/>
          <w:sz w:val="30"/>
          <w:szCs w:val="30"/>
          <w:lang w:eastAsia="zh-CN"/>
        </w:rPr>
      </w:pPr>
      <w:r>
        <w:rPr>
          <w:rFonts w:hint="eastAsia" w:eastAsia="宋体"/>
          <w:sz w:val="30"/>
          <w:szCs w:val="30"/>
          <w:lang w:eastAsia="zh-CN"/>
        </w:rPr>
        <w:t>在我们旅程的当前阶段，我们跟随基督后退，以便我们能够前进。</w:t>
      </w:r>
    </w:p>
    <w:p w14:paraId="533EAABC">
      <w:pPr>
        <w:tabs>
          <w:tab w:val="left" w:pos="2120"/>
        </w:tabs>
        <w:bidi w:val="0"/>
        <w:jc w:val="left"/>
        <w:rPr>
          <w:rFonts w:hint="eastAsia" w:eastAsia="宋体"/>
          <w:sz w:val="30"/>
          <w:szCs w:val="30"/>
          <w:lang w:eastAsia="zh-CN"/>
        </w:rPr>
      </w:pPr>
    </w:p>
    <w:p w14:paraId="388C85D4">
      <w:pPr>
        <w:tabs>
          <w:tab w:val="left" w:pos="2120"/>
        </w:tabs>
        <w:bidi w:val="0"/>
        <w:jc w:val="left"/>
        <w:rPr>
          <w:rFonts w:hint="eastAsia" w:eastAsia="宋体"/>
          <w:sz w:val="30"/>
          <w:szCs w:val="30"/>
          <w:lang w:eastAsia="zh-CN"/>
        </w:rPr>
      </w:pPr>
      <w:r>
        <w:rPr>
          <w:rFonts w:hint="eastAsia" w:eastAsia="宋体"/>
          <w:sz w:val="30"/>
          <w:szCs w:val="30"/>
          <w:lang w:eastAsia="zh-CN"/>
        </w:rPr>
        <w:t>He has taken us through the door of the Beginning and guided us back to a time before the foundation of the world.</w:t>
      </w:r>
    </w:p>
    <w:p w14:paraId="77D6C29C">
      <w:pPr>
        <w:tabs>
          <w:tab w:val="left" w:pos="2120"/>
        </w:tabs>
        <w:bidi w:val="0"/>
        <w:jc w:val="left"/>
        <w:rPr>
          <w:rFonts w:hint="eastAsia" w:eastAsia="宋体"/>
          <w:sz w:val="30"/>
          <w:szCs w:val="30"/>
          <w:lang w:eastAsia="zh-CN"/>
        </w:rPr>
      </w:pPr>
      <w:r>
        <w:rPr>
          <w:rFonts w:hint="eastAsia" w:eastAsia="宋体"/>
          <w:sz w:val="30"/>
          <w:szCs w:val="30"/>
          <w:lang w:eastAsia="zh-CN"/>
        </w:rPr>
        <w:t>祂带领我们穿过太初之门，引导我们回到创世以前的时代。</w:t>
      </w:r>
    </w:p>
    <w:p w14:paraId="74A12C5A">
      <w:pPr>
        <w:tabs>
          <w:tab w:val="left" w:pos="2120"/>
        </w:tabs>
        <w:bidi w:val="0"/>
        <w:jc w:val="left"/>
        <w:rPr>
          <w:rFonts w:hint="eastAsia" w:eastAsia="宋体"/>
          <w:sz w:val="30"/>
          <w:szCs w:val="30"/>
          <w:lang w:eastAsia="zh-CN"/>
        </w:rPr>
      </w:pPr>
    </w:p>
    <w:p w14:paraId="0DC7A5C2">
      <w:pPr>
        <w:tabs>
          <w:tab w:val="left" w:pos="2120"/>
        </w:tabs>
        <w:bidi w:val="0"/>
        <w:jc w:val="left"/>
        <w:rPr>
          <w:rFonts w:hint="eastAsia" w:eastAsia="宋体"/>
          <w:sz w:val="30"/>
          <w:szCs w:val="30"/>
          <w:lang w:eastAsia="zh-CN"/>
        </w:rPr>
      </w:pPr>
      <w:r>
        <w:rPr>
          <w:rFonts w:hint="eastAsia" w:eastAsia="宋体"/>
          <w:sz w:val="30"/>
          <w:szCs w:val="30"/>
          <w:lang w:eastAsia="zh-CN"/>
        </w:rPr>
        <w:t>There we beheld the great mystery of God: the Christ-centered plan of salvation, the Eternal Covenant.</w:t>
      </w:r>
    </w:p>
    <w:p w14:paraId="77FA989F">
      <w:pPr>
        <w:tabs>
          <w:tab w:val="left" w:pos="2120"/>
        </w:tabs>
        <w:bidi w:val="0"/>
        <w:jc w:val="left"/>
        <w:rPr>
          <w:rFonts w:hint="eastAsia" w:eastAsia="宋体"/>
          <w:sz w:val="30"/>
          <w:szCs w:val="30"/>
          <w:lang w:eastAsia="zh-CN"/>
        </w:rPr>
      </w:pPr>
      <w:r>
        <w:rPr>
          <w:rFonts w:hint="eastAsia" w:eastAsia="宋体"/>
          <w:sz w:val="30"/>
          <w:szCs w:val="30"/>
          <w:lang w:eastAsia="zh-CN"/>
        </w:rPr>
        <w:t>在那里，我们看见了上帝伟大的奥秘：以基督为中心的救赎计划，即永恒之约。</w:t>
      </w:r>
    </w:p>
    <w:p w14:paraId="22589AFC">
      <w:pPr>
        <w:tabs>
          <w:tab w:val="left" w:pos="2120"/>
        </w:tabs>
        <w:bidi w:val="0"/>
        <w:jc w:val="left"/>
        <w:rPr>
          <w:rFonts w:hint="eastAsia" w:eastAsia="宋体"/>
          <w:sz w:val="30"/>
          <w:szCs w:val="30"/>
          <w:lang w:eastAsia="zh-CN"/>
        </w:rPr>
      </w:pPr>
    </w:p>
    <w:p w14:paraId="446CFF19">
      <w:pPr>
        <w:tabs>
          <w:tab w:val="left" w:pos="2120"/>
        </w:tabs>
        <w:bidi w:val="0"/>
        <w:jc w:val="left"/>
        <w:rPr>
          <w:rFonts w:hint="eastAsia" w:eastAsia="宋体"/>
          <w:sz w:val="30"/>
          <w:szCs w:val="30"/>
          <w:lang w:eastAsia="zh-CN"/>
        </w:rPr>
      </w:pPr>
      <w:r>
        <w:rPr>
          <w:rFonts w:hint="eastAsia" w:eastAsia="宋体"/>
          <w:sz w:val="30"/>
          <w:szCs w:val="30"/>
          <w:lang w:eastAsia="zh-CN"/>
        </w:rPr>
        <w:t>There we laid our hands upon the pulsing heart of Salvation History: the Person and Work of the Last Adam, the Lord Jesus Christ, doing in behalf of God’s elect children what the First Adam (and they themselves) failed to do, and undoing what the First Adam (and they themselves) had done.</w:t>
      </w:r>
    </w:p>
    <w:p w14:paraId="615D0A7D">
      <w:pPr>
        <w:tabs>
          <w:tab w:val="left" w:pos="2120"/>
        </w:tabs>
        <w:bidi w:val="0"/>
        <w:jc w:val="left"/>
        <w:rPr>
          <w:rFonts w:hint="eastAsia" w:eastAsia="宋体"/>
          <w:sz w:val="30"/>
          <w:szCs w:val="30"/>
          <w:lang w:eastAsia="zh-CN"/>
        </w:rPr>
      </w:pPr>
      <w:r>
        <w:rPr>
          <w:rFonts w:hint="eastAsia" w:eastAsia="宋体"/>
          <w:sz w:val="30"/>
          <w:szCs w:val="30"/>
          <w:lang w:eastAsia="zh-CN"/>
        </w:rPr>
        <w:t>在那里，我们将手放在救赎历史跳动的心脏上：末后的亚当，主耶稣基督的位格和工作，祂代表上帝的选民做了首先的亚当（以及他们自己）没有做到的事，并撤销了首先的亚当（以及他们自己）所做的事。</w:t>
      </w:r>
    </w:p>
    <w:p w14:paraId="5FF65828">
      <w:pPr>
        <w:tabs>
          <w:tab w:val="left" w:pos="2120"/>
        </w:tabs>
        <w:bidi w:val="0"/>
        <w:jc w:val="left"/>
        <w:rPr>
          <w:rFonts w:hint="eastAsia" w:eastAsia="宋体"/>
          <w:sz w:val="30"/>
          <w:szCs w:val="30"/>
          <w:lang w:eastAsia="zh-CN"/>
        </w:rPr>
      </w:pPr>
    </w:p>
    <w:p w14:paraId="38048FBB">
      <w:pPr>
        <w:tabs>
          <w:tab w:val="left" w:pos="2120"/>
        </w:tabs>
        <w:bidi w:val="0"/>
        <w:jc w:val="left"/>
        <w:rPr>
          <w:rFonts w:hint="eastAsia" w:eastAsia="宋体"/>
          <w:sz w:val="30"/>
          <w:szCs w:val="30"/>
          <w:lang w:eastAsia="zh-CN"/>
        </w:rPr>
      </w:pPr>
      <w:r>
        <w:rPr>
          <w:rFonts w:hint="eastAsia" w:eastAsia="宋体"/>
          <w:sz w:val="30"/>
          <w:szCs w:val="30"/>
          <w:lang w:eastAsia="zh-CN"/>
        </w:rPr>
        <w:t>There we also reached the heart of the Kingdom of God, learning that it is nothing other than the Promise of the Eternal Covenant, both to Christ and to his people; that it is God’s redemptive response to the alien and usurping Domain of Darkness; that it is the fulfillment of his original purpose for his Son—the heading up of all things in him—in a manner more glorious and more worthy of adoration than if there had been no Domain of Darkness at all; that it is the direct reign of God, through Christ, by the Spirit, over a chosen and redeemed people, with all the life, blessing, and eternal thanksgiving that such a reign must ever bring.</w:t>
      </w:r>
    </w:p>
    <w:p w14:paraId="76B8D9D4">
      <w:pPr>
        <w:tabs>
          <w:tab w:val="left" w:pos="2120"/>
        </w:tabs>
        <w:bidi w:val="0"/>
        <w:jc w:val="left"/>
        <w:rPr>
          <w:rFonts w:hint="eastAsia" w:eastAsia="宋体"/>
          <w:sz w:val="30"/>
          <w:szCs w:val="30"/>
          <w:lang w:eastAsia="zh-CN"/>
        </w:rPr>
      </w:pPr>
      <w:r>
        <w:rPr>
          <w:rFonts w:hint="eastAsia" w:eastAsia="宋体"/>
          <w:sz w:val="30"/>
          <w:szCs w:val="30"/>
          <w:lang w:eastAsia="zh-CN"/>
        </w:rPr>
        <w:t>在那里，我们也触及了上帝之国的核心，了解到它无非是永恒之约对基督和祂子民的应许；它是上帝对那外来和篡夺的黑暗权势的救赎性回应；它是祂对祂儿子的原始旨意的成全——万有在祂里面同归于一——其方式比没有任何黑暗权势时更加荣耀，更值得崇拜；它是上帝通过基督，藉着圣灵，对一群被拣选和救赎的子民的直接统治，带着这样的统治必须永远带来的所有生命、祝福和永恒的感恩。</w:t>
      </w:r>
    </w:p>
    <w:p w14:paraId="0878E393">
      <w:pPr>
        <w:tabs>
          <w:tab w:val="left" w:pos="2120"/>
        </w:tabs>
        <w:bidi w:val="0"/>
        <w:jc w:val="left"/>
        <w:rPr>
          <w:rFonts w:hint="eastAsia" w:eastAsia="宋体"/>
          <w:sz w:val="30"/>
          <w:szCs w:val="30"/>
          <w:lang w:eastAsia="zh-CN"/>
        </w:rPr>
      </w:pPr>
    </w:p>
    <w:p w14:paraId="2BABF1EE">
      <w:pPr>
        <w:tabs>
          <w:tab w:val="left" w:pos="2120"/>
        </w:tabs>
        <w:bidi w:val="0"/>
        <w:jc w:val="left"/>
        <w:rPr>
          <w:rFonts w:hint="eastAsia" w:eastAsia="宋体"/>
          <w:sz w:val="30"/>
          <w:szCs w:val="30"/>
          <w:lang w:eastAsia="zh-CN"/>
        </w:rPr>
      </w:pPr>
      <w:r>
        <w:rPr>
          <w:rFonts w:hint="eastAsia" w:eastAsia="宋体"/>
          <w:sz w:val="30"/>
          <w:szCs w:val="30"/>
          <w:lang w:eastAsia="zh-CN"/>
        </w:rPr>
        <w:t>Fully equipped with a good understanding of these mysteries, we are now ready to resume our journey through Salvation History.</w:t>
      </w:r>
    </w:p>
    <w:p w14:paraId="1B319979">
      <w:pPr>
        <w:tabs>
          <w:tab w:val="left" w:pos="2120"/>
        </w:tabs>
        <w:bidi w:val="0"/>
        <w:jc w:val="left"/>
        <w:rPr>
          <w:rFonts w:hint="eastAsia" w:eastAsia="宋体"/>
          <w:sz w:val="30"/>
          <w:szCs w:val="30"/>
          <w:lang w:eastAsia="zh-CN"/>
        </w:rPr>
      </w:pPr>
      <w:r>
        <w:rPr>
          <w:rFonts w:hint="eastAsia" w:eastAsia="宋体"/>
          <w:sz w:val="30"/>
          <w:szCs w:val="30"/>
          <w:lang w:eastAsia="zh-CN"/>
        </w:rPr>
        <w:t>充分装备了对这些奥秘的良好理解之后，我们现在准备好继续我们穿越救赎历史的旅程。</w:t>
      </w:r>
    </w:p>
    <w:p w14:paraId="0B313A2D">
      <w:pPr>
        <w:tabs>
          <w:tab w:val="left" w:pos="2120"/>
        </w:tabs>
        <w:bidi w:val="0"/>
        <w:jc w:val="left"/>
        <w:rPr>
          <w:rFonts w:hint="eastAsia" w:eastAsia="宋体"/>
          <w:sz w:val="30"/>
          <w:szCs w:val="30"/>
          <w:lang w:eastAsia="zh-CN"/>
        </w:rPr>
      </w:pPr>
    </w:p>
    <w:p w14:paraId="31083F11">
      <w:pPr>
        <w:tabs>
          <w:tab w:val="left" w:pos="2120"/>
        </w:tabs>
        <w:bidi w:val="0"/>
        <w:jc w:val="left"/>
        <w:rPr>
          <w:rFonts w:hint="eastAsia" w:eastAsia="宋体"/>
          <w:sz w:val="30"/>
          <w:szCs w:val="30"/>
          <w:lang w:eastAsia="zh-CN"/>
        </w:rPr>
      </w:pPr>
      <w:r>
        <w:rPr>
          <w:rFonts w:hint="eastAsia" w:eastAsia="宋体"/>
          <w:sz w:val="30"/>
          <w:szCs w:val="30"/>
          <w:lang w:eastAsia="zh-CN"/>
        </w:rPr>
        <w:t>Let us therefore step into the dark but lovely woods of the Era of Promise and Preparation.</w:t>
      </w:r>
    </w:p>
    <w:p w14:paraId="0AB078B6">
      <w:pPr>
        <w:tabs>
          <w:tab w:val="left" w:pos="2120"/>
        </w:tabs>
        <w:bidi w:val="0"/>
        <w:jc w:val="left"/>
        <w:rPr>
          <w:rFonts w:hint="eastAsia" w:eastAsia="宋体"/>
          <w:sz w:val="30"/>
          <w:szCs w:val="30"/>
          <w:lang w:eastAsia="zh-CN"/>
        </w:rPr>
      </w:pPr>
      <w:r>
        <w:rPr>
          <w:rFonts w:hint="eastAsia" w:eastAsia="宋体"/>
          <w:sz w:val="30"/>
          <w:szCs w:val="30"/>
          <w:lang w:eastAsia="zh-CN"/>
        </w:rPr>
        <w:t>因此，让我们踏入应许与预备时代的黑暗但可爱的树林中。</w:t>
      </w:r>
    </w:p>
    <w:p w14:paraId="4B82C324">
      <w:pPr>
        <w:tabs>
          <w:tab w:val="left" w:pos="2120"/>
        </w:tabs>
        <w:bidi w:val="0"/>
        <w:jc w:val="left"/>
        <w:rPr>
          <w:rFonts w:hint="eastAsia" w:eastAsia="宋体"/>
          <w:sz w:val="30"/>
          <w:szCs w:val="30"/>
          <w:lang w:eastAsia="zh-CN"/>
        </w:rPr>
      </w:pPr>
    </w:p>
    <w:p w14:paraId="2929CA69">
      <w:pPr>
        <w:tabs>
          <w:tab w:val="left" w:pos="2120"/>
        </w:tabs>
        <w:bidi w:val="0"/>
        <w:jc w:val="left"/>
        <w:rPr>
          <w:rFonts w:hint="eastAsia" w:eastAsia="宋体"/>
          <w:sz w:val="30"/>
          <w:szCs w:val="30"/>
          <w:lang w:eastAsia="zh-CN"/>
        </w:rPr>
      </w:pPr>
      <w:r>
        <w:rPr>
          <w:rFonts w:hint="eastAsia" w:eastAsia="宋体"/>
          <w:sz w:val="30"/>
          <w:szCs w:val="30"/>
          <w:lang w:eastAsia="zh-CN"/>
        </w:rPr>
        <w:t>And once there, let us cling more closely than ever to our Christ, so that with his help we may understand the most vexing of all issues in the Great End Time Debate: the OT promise of a coming Kingdom of God.</w:t>
      </w:r>
    </w:p>
    <w:p w14:paraId="069A8177">
      <w:pPr>
        <w:tabs>
          <w:tab w:val="left" w:pos="2120"/>
        </w:tabs>
        <w:bidi w:val="0"/>
        <w:jc w:val="left"/>
        <w:rPr>
          <w:rFonts w:hint="eastAsia" w:eastAsia="宋体"/>
          <w:sz w:val="30"/>
          <w:szCs w:val="30"/>
          <w:lang w:eastAsia="zh-CN"/>
        </w:rPr>
        <w:sectPr>
          <w:pgSz w:w="12240" w:h="15840"/>
          <w:pgMar w:top="1380" w:right="1440" w:bottom="280" w:left="1440" w:header="720" w:footer="720" w:gutter="0"/>
          <w:cols w:space="720" w:num="1"/>
        </w:sectPr>
      </w:pPr>
      <w:r>
        <w:rPr>
          <w:rFonts w:hint="eastAsia" w:eastAsia="宋体"/>
          <w:sz w:val="30"/>
          <w:szCs w:val="30"/>
          <w:lang w:eastAsia="zh-CN"/>
        </w:rPr>
        <w:t>一旦到了那里，让我们比以往任何时候都更紧密地依附于我们的基督，以便在祂的帮助下，我们可以理解伟大末世辩论中最令人烦恼的问题：旧约关于一个将要来临的上帝之国的应许。</w:t>
      </w:r>
    </w:p>
    <w:p w14:paraId="5AA0CDA9">
      <w:pPr>
        <w:bidi w:val="0"/>
      </w:pPr>
      <w:bookmarkStart w:id="23" w:name="_bookmark29"/>
      <w:bookmarkEnd w:id="23"/>
      <w:bookmarkStart w:id="24" w:name="Chapter 8: The OT Promise of the Kingdom"/>
      <w:bookmarkEnd w:id="24"/>
    </w:p>
    <w:p w14:paraId="2B6814DB">
      <w:pPr>
        <w:pStyle w:val="2"/>
        <w:bidi w:val="0"/>
        <w:rPr>
          <w:rFonts w:hint="eastAsia"/>
          <w:lang w:eastAsia="zh-CN"/>
        </w:rPr>
      </w:pPr>
      <w:r>
        <w:rPr>
          <w:rFonts w:hint="eastAsia"/>
          <w:lang w:eastAsia="zh-CN"/>
        </w:rPr>
        <w:tab/>
      </w:r>
      <w:r>
        <w:rPr>
          <w:rFonts w:hint="eastAsia"/>
          <w:lang w:eastAsia="zh-CN"/>
        </w:rPr>
        <w:t>Chapter 8</w:t>
      </w:r>
    </w:p>
    <w:p w14:paraId="211D61A8">
      <w:pPr>
        <w:pStyle w:val="2"/>
        <w:bidi w:val="0"/>
        <w:rPr>
          <w:rFonts w:hint="eastAsia"/>
          <w:lang w:eastAsia="zh-CN"/>
        </w:rPr>
      </w:pPr>
      <w:r>
        <w:rPr>
          <w:rFonts w:hint="eastAsia"/>
          <w:lang w:eastAsia="zh-CN"/>
        </w:rPr>
        <w:t>第八章</w:t>
      </w:r>
    </w:p>
    <w:p w14:paraId="27A50CF1">
      <w:pPr>
        <w:tabs>
          <w:tab w:val="left" w:pos="280"/>
        </w:tabs>
        <w:bidi w:val="0"/>
        <w:jc w:val="left"/>
        <w:rPr>
          <w:rFonts w:hint="eastAsia" w:eastAsia="宋体"/>
          <w:sz w:val="30"/>
          <w:szCs w:val="30"/>
          <w:lang w:eastAsia="zh-CN"/>
        </w:rPr>
      </w:pPr>
    </w:p>
    <w:p w14:paraId="682894B5">
      <w:pPr>
        <w:pStyle w:val="3"/>
        <w:bidi w:val="0"/>
        <w:rPr>
          <w:rFonts w:hint="eastAsia"/>
          <w:lang w:eastAsia="zh-CN"/>
        </w:rPr>
      </w:pPr>
      <w:r>
        <w:rPr>
          <w:rFonts w:hint="eastAsia"/>
          <w:lang w:eastAsia="zh-CN"/>
        </w:rPr>
        <w:t>The OT Promise of the Kingdom</w:t>
      </w:r>
    </w:p>
    <w:p w14:paraId="50AEA1C0">
      <w:pPr>
        <w:pStyle w:val="3"/>
        <w:bidi w:val="0"/>
        <w:rPr>
          <w:rFonts w:hint="eastAsia"/>
          <w:lang w:eastAsia="zh-CN"/>
        </w:rPr>
      </w:pPr>
      <w:r>
        <w:rPr>
          <w:rFonts w:hint="eastAsia"/>
          <w:lang w:eastAsia="zh-CN"/>
        </w:rPr>
        <w:t>旧约对国度的应许</w:t>
      </w:r>
    </w:p>
    <w:p w14:paraId="7B322799">
      <w:pPr>
        <w:tabs>
          <w:tab w:val="left" w:pos="280"/>
        </w:tabs>
        <w:bidi w:val="0"/>
        <w:jc w:val="left"/>
        <w:rPr>
          <w:rFonts w:hint="eastAsia" w:eastAsia="宋体"/>
          <w:sz w:val="30"/>
          <w:szCs w:val="30"/>
          <w:lang w:eastAsia="zh-CN"/>
        </w:rPr>
      </w:pPr>
    </w:p>
    <w:p w14:paraId="48F3391A">
      <w:pPr>
        <w:tabs>
          <w:tab w:val="left" w:pos="280"/>
        </w:tabs>
        <w:bidi w:val="0"/>
        <w:jc w:val="left"/>
        <w:rPr>
          <w:rFonts w:hint="eastAsia" w:eastAsia="宋体"/>
          <w:sz w:val="30"/>
          <w:szCs w:val="30"/>
          <w:lang w:eastAsia="zh-CN"/>
        </w:rPr>
      </w:pPr>
      <w:r>
        <w:rPr>
          <w:rFonts w:hint="eastAsia" w:eastAsia="宋体"/>
          <w:sz w:val="30"/>
          <w:szCs w:val="30"/>
          <w:lang w:eastAsia="zh-CN"/>
        </w:rPr>
        <w:t>WE HAVE SEEN that Salvation History may be divided into two basic stages: the Era of Promise and Preparation, in which God administers the Eternal Covenant in a veiled manner; and the Era of Fulfillment, in which he administers the Eternal Covenant as it is in itself; in which he unveils what was hidden in times past, so that all the world may see and understand his eternal plan of salvation and respond accordingly (1 Cor. 2:6-13).</w:t>
      </w:r>
    </w:p>
    <w:p w14:paraId="2E179858">
      <w:pPr>
        <w:tabs>
          <w:tab w:val="left" w:pos="280"/>
        </w:tabs>
        <w:bidi w:val="0"/>
        <w:jc w:val="left"/>
        <w:rPr>
          <w:rFonts w:hint="eastAsia" w:eastAsia="宋体"/>
          <w:sz w:val="30"/>
          <w:szCs w:val="30"/>
          <w:lang w:eastAsia="zh-CN"/>
        </w:rPr>
      </w:pPr>
      <w:r>
        <w:rPr>
          <w:rFonts w:hint="eastAsia" w:eastAsia="宋体"/>
          <w:sz w:val="30"/>
          <w:szCs w:val="30"/>
          <w:lang w:eastAsia="zh-CN"/>
        </w:rPr>
        <w:t>我们已经看到，救赎历史可分为两个基本阶段：应许与预备的时代，在此时代中，上帝以一种蒙着帕子的方式施行永恒之约；以及成全的时代，在此时代中，祂施行永恒之约本身；在此时代中，祂揭示了过去时代所隐藏的，使全世界都能看见并明白祂永恒的救恩计划，并据此作出回应（林前 2:6-13）。</w:t>
      </w:r>
    </w:p>
    <w:p w14:paraId="6735BEE5">
      <w:pPr>
        <w:tabs>
          <w:tab w:val="left" w:pos="280"/>
        </w:tabs>
        <w:bidi w:val="0"/>
        <w:jc w:val="left"/>
        <w:rPr>
          <w:rFonts w:hint="eastAsia" w:eastAsia="宋体"/>
          <w:sz w:val="30"/>
          <w:szCs w:val="30"/>
          <w:lang w:eastAsia="zh-CN"/>
        </w:rPr>
      </w:pPr>
    </w:p>
    <w:p w14:paraId="2B36FABA">
      <w:pPr>
        <w:tabs>
          <w:tab w:val="left" w:pos="280"/>
        </w:tabs>
        <w:bidi w:val="0"/>
        <w:jc w:val="left"/>
        <w:rPr>
          <w:rFonts w:hint="eastAsia" w:eastAsia="宋体"/>
          <w:sz w:val="30"/>
          <w:szCs w:val="30"/>
          <w:lang w:eastAsia="zh-CN"/>
        </w:rPr>
      </w:pPr>
      <w:r>
        <w:rPr>
          <w:rFonts w:hint="eastAsia" w:eastAsia="宋体"/>
          <w:sz w:val="30"/>
          <w:szCs w:val="30"/>
          <w:lang w:eastAsia="zh-CN"/>
        </w:rPr>
        <w:t>Our goal in this chapter is to walk, hand in hand with Christ, to the four great OT oases of Salvation History; to four holy terrains where God graciously descended and lovingly administered the Eternal Covenant to Adam, Noah, Abraham, and Moses and Israel, thereby entering into redemptive relationship with them and their believing children.</w:t>
      </w:r>
    </w:p>
    <w:p w14:paraId="766B2972">
      <w:pPr>
        <w:tabs>
          <w:tab w:val="left" w:pos="280"/>
        </w:tabs>
        <w:bidi w:val="0"/>
        <w:jc w:val="left"/>
        <w:rPr>
          <w:rFonts w:hint="eastAsia" w:eastAsia="宋体"/>
          <w:sz w:val="30"/>
          <w:szCs w:val="30"/>
          <w:lang w:eastAsia="zh-CN"/>
        </w:rPr>
      </w:pPr>
      <w:r>
        <w:rPr>
          <w:rFonts w:hint="eastAsia" w:eastAsia="宋体"/>
          <w:sz w:val="30"/>
          <w:szCs w:val="30"/>
          <w:lang w:eastAsia="zh-CN"/>
        </w:rPr>
        <w:t>本章的目标是与基督手挽手，走向救赎历史中旧约的四个伟大绿洲；走向四个圣洁的领域，在那里，上帝恩慈地降临，并慈爱地向亚当、挪亚、亚伯拉罕，以及摩西和以色列施行永恒之约，从而与他们及其有信心的后裔进入救赎的关系。</w:t>
      </w:r>
    </w:p>
    <w:p w14:paraId="2B152B85">
      <w:pPr>
        <w:tabs>
          <w:tab w:val="left" w:pos="280"/>
        </w:tabs>
        <w:bidi w:val="0"/>
        <w:jc w:val="left"/>
        <w:rPr>
          <w:rFonts w:hint="eastAsia" w:eastAsia="宋体"/>
          <w:sz w:val="30"/>
          <w:szCs w:val="30"/>
          <w:lang w:eastAsia="zh-CN"/>
        </w:rPr>
      </w:pPr>
    </w:p>
    <w:p w14:paraId="4D25106C">
      <w:pPr>
        <w:tabs>
          <w:tab w:val="left" w:pos="280"/>
        </w:tabs>
        <w:bidi w:val="0"/>
        <w:jc w:val="left"/>
        <w:rPr>
          <w:rFonts w:hint="eastAsia" w:eastAsia="宋体"/>
          <w:sz w:val="30"/>
          <w:szCs w:val="30"/>
          <w:lang w:eastAsia="zh-CN"/>
        </w:rPr>
      </w:pPr>
      <w:r>
        <w:rPr>
          <w:rFonts w:hint="eastAsia" w:eastAsia="宋体"/>
          <w:sz w:val="30"/>
          <w:szCs w:val="30"/>
          <w:lang w:eastAsia="zh-CN"/>
        </w:rPr>
        <w:t>While much could be said about these administrations, our focus here will be upon what concerns us most at the present stage of our journey: the way in which God revealed the promise of the Covenant—the Kingdom of God—in each of these four visitations.</w:t>
      </w:r>
    </w:p>
    <w:p w14:paraId="26132898">
      <w:pPr>
        <w:tabs>
          <w:tab w:val="left" w:pos="280"/>
        </w:tabs>
        <w:bidi w:val="0"/>
        <w:jc w:val="left"/>
        <w:rPr>
          <w:rFonts w:hint="eastAsia" w:eastAsia="宋体"/>
          <w:sz w:val="30"/>
          <w:szCs w:val="30"/>
          <w:lang w:eastAsia="zh-CN"/>
        </w:rPr>
      </w:pPr>
      <w:r>
        <w:rPr>
          <w:rFonts w:hint="eastAsia" w:eastAsia="宋体"/>
          <w:sz w:val="30"/>
          <w:szCs w:val="30"/>
          <w:lang w:eastAsia="zh-CN"/>
        </w:rPr>
        <w:t>尽管关于这些施行可以谈论很多，但我们此处的焦点将集中在我们旅程当前阶段最关切的问题上：在每一次的这四次临在中，上帝是如何揭示圣约的应许——即上帝的国。</w:t>
      </w:r>
    </w:p>
    <w:p w14:paraId="2F9A1479">
      <w:pPr>
        <w:tabs>
          <w:tab w:val="left" w:pos="280"/>
        </w:tabs>
        <w:bidi w:val="0"/>
        <w:jc w:val="left"/>
        <w:rPr>
          <w:rFonts w:hint="eastAsia" w:eastAsia="宋体"/>
          <w:sz w:val="30"/>
          <w:szCs w:val="30"/>
          <w:lang w:eastAsia="zh-CN"/>
        </w:rPr>
      </w:pPr>
    </w:p>
    <w:p w14:paraId="28F71045">
      <w:pPr>
        <w:tabs>
          <w:tab w:val="left" w:pos="280"/>
        </w:tabs>
        <w:bidi w:val="0"/>
        <w:jc w:val="left"/>
        <w:rPr>
          <w:rFonts w:hint="eastAsia" w:eastAsia="宋体"/>
          <w:sz w:val="30"/>
          <w:szCs w:val="30"/>
          <w:lang w:eastAsia="zh-CN"/>
        </w:rPr>
      </w:pPr>
      <w:r>
        <w:rPr>
          <w:rFonts w:hint="eastAsia" w:eastAsia="宋体"/>
          <w:sz w:val="30"/>
          <w:szCs w:val="30"/>
          <w:lang w:eastAsia="zh-CN"/>
        </w:rPr>
        <w:t>Moreover, in maintaining this focus we will pay especially close attention to the fourth and final OT administration—the Mosaic—through which God established the family of Abraham as a nation, or a kingdom, before him.</w:t>
      </w:r>
    </w:p>
    <w:p w14:paraId="794D1AE0">
      <w:pPr>
        <w:tabs>
          <w:tab w:val="left" w:pos="280"/>
        </w:tabs>
        <w:bidi w:val="0"/>
        <w:jc w:val="left"/>
        <w:rPr>
          <w:rFonts w:hint="eastAsia" w:eastAsia="宋体"/>
          <w:sz w:val="30"/>
          <w:szCs w:val="30"/>
          <w:lang w:eastAsia="zh-CN"/>
        </w:rPr>
      </w:pPr>
      <w:r>
        <w:rPr>
          <w:rFonts w:hint="eastAsia" w:eastAsia="宋体"/>
          <w:sz w:val="30"/>
          <w:szCs w:val="30"/>
          <w:lang w:eastAsia="zh-CN"/>
        </w:rPr>
        <w:t>此外，在保持这一焦点的同时，我们将特别密切关注第四次也是最后一次的旧约施行——即摩西之约——上帝藉此在祂面前将亚伯拉罕的家族建立为一个国家，或一个王国。</w:t>
      </w:r>
    </w:p>
    <w:p w14:paraId="2F3E2311">
      <w:pPr>
        <w:tabs>
          <w:tab w:val="left" w:pos="280"/>
        </w:tabs>
        <w:bidi w:val="0"/>
        <w:jc w:val="left"/>
        <w:rPr>
          <w:rFonts w:hint="eastAsia" w:eastAsia="宋体"/>
          <w:sz w:val="30"/>
          <w:szCs w:val="30"/>
          <w:lang w:eastAsia="zh-CN"/>
        </w:rPr>
      </w:pPr>
    </w:p>
    <w:p w14:paraId="352E7CE4">
      <w:pPr>
        <w:tabs>
          <w:tab w:val="left" w:pos="280"/>
        </w:tabs>
        <w:bidi w:val="0"/>
        <w:jc w:val="left"/>
        <w:rPr>
          <w:rFonts w:hint="eastAsia" w:eastAsia="宋体"/>
          <w:sz w:val="30"/>
          <w:szCs w:val="30"/>
          <w:lang w:eastAsia="zh-CN"/>
        </w:rPr>
      </w:pPr>
      <w:r>
        <w:rPr>
          <w:rFonts w:hint="eastAsia" w:eastAsia="宋体"/>
          <w:sz w:val="30"/>
          <w:szCs w:val="30"/>
          <w:lang w:eastAsia="zh-CN"/>
        </w:rPr>
        <w:t>This, as we shall soon see, will prove invaluable for learning how to unravel the mysteries of OTKP.</w:t>
      </w:r>
    </w:p>
    <w:p w14:paraId="4F01A28C">
      <w:pPr>
        <w:tabs>
          <w:tab w:val="left" w:pos="280"/>
        </w:tabs>
        <w:bidi w:val="0"/>
        <w:jc w:val="left"/>
        <w:rPr>
          <w:rFonts w:hint="eastAsia" w:eastAsia="宋体"/>
          <w:sz w:val="30"/>
          <w:szCs w:val="30"/>
          <w:lang w:eastAsia="zh-CN"/>
        </w:rPr>
      </w:pPr>
      <w:r>
        <w:rPr>
          <w:rFonts w:hint="eastAsia" w:eastAsia="宋体"/>
          <w:sz w:val="30"/>
          <w:szCs w:val="30"/>
          <w:lang w:eastAsia="zh-CN"/>
        </w:rPr>
        <w:t>我们很快就会看到，这对于学习如何解开旧约国度预言（OTKP）的奥秘将是极其宝贵的。</w:t>
      </w:r>
    </w:p>
    <w:p w14:paraId="005393A5">
      <w:pPr>
        <w:tabs>
          <w:tab w:val="left" w:pos="280"/>
        </w:tabs>
        <w:bidi w:val="0"/>
        <w:jc w:val="left"/>
        <w:rPr>
          <w:rFonts w:hint="eastAsia" w:eastAsia="宋体"/>
          <w:sz w:val="30"/>
          <w:szCs w:val="30"/>
          <w:lang w:eastAsia="zh-CN"/>
        </w:rPr>
      </w:pPr>
    </w:p>
    <w:p w14:paraId="00717D2C">
      <w:pPr>
        <w:tabs>
          <w:tab w:val="left" w:pos="280"/>
        </w:tabs>
        <w:bidi w:val="0"/>
        <w:jc w:val="left"/>
        <w:rPr>
          <w:rFonts w:hint="eastAsia" w:eastAsia="宋体"/>
          <w:sz w:val="30"/>
          <w:szCs w:val="30"/>
          <w:lang w:eastAsia="zh-CN"/>
        </w:rPr>
      </w:pPr>
      <w:r>
        <w:rPr>
          <w:rFonts w:hint="eastAsia" w:eastAsia="宋体"/>
          <w:sz w:val="30"/>
          <w:szCs w:val="30"/>
          <w:lang w:eastAsia="zh-CN"/>
        </w:rPr>
        <w:t>A final word of encouragement: If the road ahead seems at all to meander, please hang in there!</w:t>
      </w:r>
    </w:p>
    <w:p w14:paraId="63B9C36D">
      <w:pPr>
        <w:tabs>
          <w:tab w:val="left" w:pos="280"/>
        </w:tabs>
        <w:bidi w:val="0"/>
        <w:jc w:val="left"/>
        <w:rPr>
          <w:rFonts w:hint="eastAsia" w:eastAsia="宋体"/>
          <w:sz w:val="30"/>
          <w:szCs w:val="30"/>
          <w:lang w:eastAsia="zh-CN"/>
        </w:rPr>
      </w:pPr>
      <w:r>
        <w:rPr>
          <w:rFonts w:hint="eastAsia" w:eastAsia="宋体"/>
          <w:sz w:val="30"/>
          <w:szCs w:val="30"/>
          <w:lang w:eastAsia="zh-CN"/>
        </w:rPr>
        <w:t>最后一句鼓励的话：如果前方的道路看起来有些曲折，请坚持住！</w:t>
      </w:r>
    </w:p>
    <w:p w14:paraId="3D063586">
      <w:pPr>
        <w:tabs>
          <w:tab w:val="left" w:pos="280"/>
        </w:tabs>
        <w:bidi w:val="0"/>
        <w:jc w:val="left"/>
        <w:rPr>
          <w:rFonts w:hint="eastAsia" w:eastAsia="宋体"/>
          <w:sz w:val="30"/>
          <w:szCs w:val="30"/>
          <w:lang w:eastAsia="zh-CN"/>
        </w:rPr>
      </w:pPr>
    </w:p>
    <w:p w14:paraId="30C600C6">
      <w:pPr>
        <w:tabs>
          <w:tab w:val="left" w:pos="280"/>
        </w:tabs>
        <w:bidi w:val="0"/>
        <w:jc w:val="left"/>
        <w:rPr>
          <w:rFonts w:hint="eastAsia" w:eastAsia="宋体"/>
          <w:sz w:val="30"/>
          <w:szCs w:val="30"/>
          <w:lang w:eastAsia="zh-CN"/>
        </w:rPr>
      </w:pPr>
      <w:r>
        <w:rPr>
          <w:rFonts w:hint="eastAsia" w:eastAsia="宋体"/>
          <w:sz w:val="30"/>
          <w:szCs w:val="30"/>
          <w:lang w:eastAsia="zh-CN"/>
        </w:rPr>
        <w:t>We’re definitely going somewhere, and with the Lord at our side we shall surely reach our destination!</w:t>
      </w:r>
    </w:p>
    <w:p w14:paraId="7D1F5810">
      <w:pPr>
        <w:tabs>
          <w:tab w:val="left" w:pos="280"/>
        </w:tabs>
        <w:bidi w:val="0"/>
        <w:jc w:val="left"/>
        <w:rPr>
          <w:rFonts w:hint="eastAsia" w:eastAsia="宋体"/>
          <w:sz w:val="30"/>
          <w:szCs w:val="30"/>
          <w:lang w:eastAsia="zh-CN"/>
        </w:rPr>
      </w:pPr>
      <w:r>
        <w:rPr>
          <w:rFonts w:hint="eastAsia" w:eastAsia="宋体"/>
          <w:sz w:val="30"/>
          <w:szCs w:val="30"/>
          <w:lang w:eastAsia="zh-CN"/>
        </w:rPr>
        <w:t>我们肯定在走向某个地方，有主在我们身边，我们必将到达我们的目的地！</w:t>
      </w:r>
    </w:p>
    <w:p w14:paraId="298A1781">
      <w:pPr>
        <w:tabs>
          <w:tab w:val="left" w:pos="280"/>
        </w:tabs>
        <w:bidi w:val="0"/>
        <w:jc w:val="left"/>
        <w:rPr>
          <w:rFonts w:hint="eastAsia" w:eastAsia="宋体"/>
          <w:sz w:val="30"/>
          <w:szCs w:val="30"/>
          <w:lang w:eastAsia="zh-CN"/>
        </w:rPr>
      </w:pPr>
    </w:p>
    <w:p w14:paraId="0915C3BC">
      <w:pPr>
        <w:tabs>
          <w:tab w:val="left" w:pos="280"/>
        </w:tabs>
        <w:bidi w:val="0"/>
        <w:jc w:val="left"/>
        <w:rPr>
          <w:rFonts w:hint="eastAsia" w:eastAsia="宋体"/>
          <w:sz w:val="30"/>
          <w:szCs w:val="30"/>
          <w:lang w:eastAsia="zh-CN"/>
        </w:rPr>
      </w:pPr>
      <w:r>
        <w:rPr>
          <w:rFonts w:hint="eastAsia" w:eastAsia="宋体"/>
          <w:sz w:val="30"/>
          <w:szCs w:val="30"/>
          <w:lang w:eastAsia="zh-CN"/>
        </w:rPr>
        <w:t>The Kingdom and the Covenant with Adam</w:t>
      </w:r>
    </w:p>
    <w:p w14:paraId="4F7973ED">
      <w:pPr>
        <w:tabs>
          <w:tab w:val="left" w:pos="280"/>
        </w:tabs>
        <w:bidi w:val="0"/>
        <w:jc w:val="left"/>
        <w:rPr>
          <w:rFonts w:hint="eastAsia" w:eastAsia="宋体"/>
          <w:sz w:val="30"/>
          <w:szCs w:val="30"/>
          <w:lang w:eastAsia="zh-CN"/>
        </w:rPr>
      </w:pPr>
      <w:r>
        <w:rPr>
          <w:rFonts w:hint="eastAsia" w:eastAsia="宋体"/>
          <w:sz w:val="30"/>
          <w:szCs w:val="30"/>
          <w:lang w:eastAsia="zh-CN"/>
        </w:rPr>
        <w:t>国度与亚当之约</w:t>
      </w:r>
    </w:p>
    <w:p w14:paraId="1712A0AE">
      <w:pPr>
        <w:tabs>
          <w:tab w:val="left" w:pos="280"/>
        </w:tabs>
        <w:bidi w:val="0"/>
        <w:jc w:val="left"/>
        <w:rPr>
          <w:rFonts w:hint="eastAsia" w:eastAsia="宋体"/>
          <w:sz w:val="30"/>
          <w:szCs w:val="30"/>
          <w:lang w:eastAsia="zh-CN"/>
        </w:rPr>
      </w:pPr>
    </w:p>
    <w:p w14:paraId="0FAAF8DC">
      <w:pPr>
        <w:tabs>
          <w:tab w:val="left" w:pos="280"/>
        </w:tabs>
        <w:bidi w:val="0"/>
        <w:jc w:val="left"/>
        <w:rPr>
          <w:rFonts w:hint="eastAsia" w:eastAsia="宋体"/>
          <w:sz w:val="30"/>
          <w:szCs w:val="30"/>
          <w:lang w:eastAsia="zh-CN"/>
        </w:rPr>
      </w:pPr>
      <w:r>
        <w:rPr>
          <w:rFonts w:hint="eastAsia" w:eastAsia="宋体"/>
          <w:sz w:val="30"/>
          <w:szCs w:val="30"/>
          <w:lang w:eastAsia="zh-CN"/>
        </w:rPr>
        <w:t>(Genesis 3-4)</w:t>
      </w:r>
    </w:p>
    <w:p w14:paraId="57519311">
      <w:pPr>
        <w:tabs>
          <w:tab w:val="left" w:pos="280"/>
        </w:tabs>
        <w:bidi w:val="0"/>
        <w:jc w:val="left"/>
        <w:rPr>
          <w:rFonts w:hint="eastAsia" w:eastAsia="宋体"/>
          <w:sz w:val="30"/>
          <w:szCs w:val="30"/>
          <w:lang w:eastAsia="zh-CN"/>
        </w:rPr>
      </w:pPr>
      <w:r>
        <w:rPr>
          <w:rFonts w:hint="eastAsia" w:eastAsia="宋体"/>
          <w:sz w:val="30"/>
          <w:szCs w:val="30"/>
          <w:lang w:eastAsia="zh-CN"/>
        </w:rPr>
        <w:t>（创世记 3-4）</w:t>
      </w:r>
    </w:p>
    <w:p w14:paraId="6E4B57D1">
      <w:pPr>
        <w:tabs>
          <w:tab w:val="left" w:pos="280"/>
        </w:tabs>
        <w:bidi w:val="0"/>
        <w:jc w:val="left"/>
        <w:rPr>
          <w:rFonts w:hint="eastAsia" w:eastAsia="宋体"/>
          <w:sz w:val="30"/>
          <w:szCs w:val="30"/>
          <w:lang w:eastAsia="zh-CN"/>
        </w:rPr>
      </w:pPr>
    </w:p>
    <w:p w14:paraId="62EAF54C">
      <w:pPr>
        <w:tabs>
          <w:tab w:val="left" w:pos="280"/>
        </w:tabs>
        <w:bidi w:val="0"/>
        <w:jc w:val="left"/>
        <w:rPr>
          <w:rFonts w:hint="eastAsia" w:eastAsia="宋体"/>
          <w:sz w:val="30"/>
          <w:szCs w:val="30"/>
          <w:lang w:eastAsia="zh-CN"/>
        </w:rPr>
      </w:pPr>
      <w:r>
        <w:rPr>
          <w:rFonts w:hint="eastAsia" w:eastAsia="宋体"/>
          <w:sz w:val="30"/>
          <w:szCs w:val="30"/>
          <w:lang w:eastAsia="zh-CN"/>
        </w:rPr>
        <w:t>The first administration of the Eternal Covenant occurred in the days of Adam and Eve, immediately after the Fall.</w:t>
      </w:r>
    </w:p>
    <w:p w14:paraId="74D97B15">
      <w:pPr>
        <w:tabs>
          <w:tab w:val="left" w:pos="280"/>
        </w:tabs>
        <w:bidi w:val="0"/>
        <w:jc w:val="left"/>
        <w:rPr>
          <w:rFonts w:hint="eastAsia" w:eastAsia="宋体"/>
          <w:sz w:val="30"/>
          <w:szCs w:val="30"/>
          <w:lang w:eastAsia="zh-CN"/>
        </w:rPr>
      </w:pPr>
      <w:r>
        <w:rPr>
          <w:rFonts w:hint="eastAsia" w:eastAsia="宋体"/>
          <w:sz w:val="30"/>
          <w:szCs w:val="30"/>
          <w:lang w:eastAsia="zh-CN"/>
        </w:rPr>
        <w:t>永恒之约的第一次施行发生在亚当和夏娃的日子，紧接着堕落之后。</w:t>
      </w:r>
    </w:p>
    <w:p w14:paraId="44F8E58C">
      <w:pPr>
        <w:tabs>
          <w:tab w:val="left" w:pos="280"/>
        </w:tabs>
        <w:bidi w:val="0"/>
        <w:jc w:val="left"/>
        <w:rPr>
          <w:rFonts w:hint="eastAsia" w:eastAsia="宋体"/>
          <w:sz w:val="30"/>
          <w:szCs w:val="30"/>
          <w:lang w:eastAsia="zh-CN"/>
        </w:rPr>
      </w:pPr>
    </w:p>
    <w:p w14:paraId="17C17667">
      <w:pPr>
        <w:tabs>
          <w:tab w:val="left" w:pos="280"/>
        </w:tabs>
        <w:bidi w:val="0"/>
        <w:jc w:val="left"/>
        <w:rPr>
          <w:rFonts w:hint="eastAsia" w:eastAsia="宋体"/>
          <w:sz w:val="30"/>
          <w:szCs w:val="30"/>
          <w:lang w:eastAsia="zh-CN"/>
        </w:rPr>
      </w:pPr>
      <w:r>
        <w:rPr>
          <w:rFonts w:hint="eastAsia" w:eastAsia="宋体"/>
          <w:sz w:val="30"/>
          <w:szCs w:val="30"/>
          <w:lang w:eastAsia="zh-CN"/>
        </w:rPr>
        <w:t>Though God might justly have inflicted upon them a sentence of eternal spiritual and physical death, he did not.</w:t>
      </w:r>
    </w:p>
    <w:p w14:paraId="5DDB62BF">
      <w:pPr>
        <w:tabs>
          <w:tab w:val="left" w:pos="280"/>
        </w:tabs>
        <w:bidi w:val="0"/>
        <w:jc w:val="left"/>
        <w:rPr>
          <w:rFonts w:hint="eastAsia" w:eastAsia="宋体"/>
          <w:sz w:val="30"/>
          <w:szCs w:val="30"/>
          <w:lang w:eastAsia="zh-CN"/>
        </w:rPr>
      </w:pPr>
      <w:r>
        <w:rPr>
          <w:rFonts w:hint="eastAsia" w:eastAsia="宋体"/>
          <w:sz w:val="30"/>
          <w:szCs w:val="30"/>
          <w:lang w:eastAsia="zh-CN"/>
        </w:rPr>
        <w:t>虽然上帝本可以公义地对他们处以永恒的属灵和属肉体的死亡判决，但祂没有。</w:t>
      </w:r>
    </w:p>
    <w:p w14:paraId="3FB460A6">
      <w:pPr>
        <w:tabs>
          <w:tab w:val="left" w:pos="280"/>
        </w:tabs>
        <w:bidi w:val="0"/>
        <w:jc w:val="left"/>
        <w:rPr>
          <w:rFonts w:hint="eastAsia" w:eastAsia="宋体"/>
          <w:sz w:val="30"/>
          <w:szCs w:val="30"/>
          <w:lang w:eastAsia="zh-CN"/>
        </w:rPr>
      </w:pPr>
    </w:p>
    <w:p w14:paraId="72CB9D3B">
      <w:pPr>
        <w:tabs>
          <w:tab w:val="left" w:pos="280"/>
        </w:tabs>
        <w:bidi w:val="0"/>
        <w:jc w:val="left"/>
        <w:rPr>
          <w:rFonts w:hint="eastAsia" w:eastAsia="宋体"/>
          <w:sz w:val="30"/>
          <w:szCs w:val="30"/>
          <w:lang w:eastAsia="zh-CN"/>
        </w:rPr>
      </w:pPr>
      <w:r>
        <w:rPr>
          <w:rFonts w:hint="eastAsia" w:eastAsia="宋体"/>
          <w:sz w:val="30"/>
          <w:szCs w:val="30"/>
          <w:lang w:eastAsia="zh-CN"/>
        </w:rPr>
        <w:t>In fact, immediately after the account of their fall, we read of God walking through the Garden in the cool of the day, searching out the guilty pair with great purpose of heart.</w:t>
      </w:r>
    </w:p>
    <w:p w14:paraId="5CA5E4FF">
      <w:pPr>
        <w:tabs>
          <w:tab w:val="left" w:pos="280"/>
        </w:tabs>
        <w:bidi w:val="0"/>
        <w:jc w:val="left"/>
        <w:rPr>
          <w:rFonts w:hint="eastAsia" w:eastAsia="宋体"/>
          <w:sz w:val="30"/>
          <w:szCs w:val="30"/>
          <w:lang w:eastAsia="zh-CN"/>
        </w:rPr>
      </w:pPr>
      <w:r>
        <w:rPr>
          <w:rFonts w:hint="eastAsia" w:eastAsia="宋体"/>
          <w:sz w:val="30"/>
          <w:szCs w:val="30"/>
          <w:lang w:eastAsia="zh-CN"/>
        </w:rPr>
        <w:t>事实上，在他们堕落的记述之后，我们读到上帝在天凉的时候在园中行走，怀着极大的心意寻找那对有罪的夫妇。</w:t>
      </w:r>
    </w:p>
    <w:p w14:paraId="6AF385AD">
      <w:pPr>
        <w:tabs>
          <w:tab w:val="left" w:pos="280"/>
        </w:tabs>
        <w:bidi w:val="0"/>
        <w:jc w:val="left"/>
        <w:rPr>
          <w:rFonts w:hint="eastAsia" w:eastAsia="宋体"/>
          <w:sz w:val="30"/>
          <w:szCs w:val="30"/>
          <w:lang w:eastAsia="zh-CN"/>
        </w:rPr>
      </w:pPr>
    </w:p>
    <w:p w14:paraId="35149D87">
      <w:pPr>
        <w:tabs>
          <w:tab w:val="left" w:pos="280"/>
        </w:tabs>
        <w:bidi w:val="0"/>
        <w:jc w:val="left"/>
        <w:rPr>
          <w:rFonts w:hint="eastAsia" w:eastAsia="宋体"/>
          <w:sz w:val="30"/>
          <w:szCs w:val="30"/>
          <w:lang w:eastAsia="zh-CN"/>
        </w:rPr>
      </w:pPr>
      <w:r>
        <w:rPr>
          <w:rFonts w:hint="eastAsia" w:eastAsia="宋体"/>
          <w:sz w:val="30"/>
          <w:szCs w:val="30"/>
          <w:lang w:eastAsia="zh-CN"/>
        </w:rPr>
        <w:t>Was it to judge them?</w:t>
      </w:r>
    </w:p>
    <w:p w14:paraId="6F16EF86">
      <w:pPr>
        <w:tabs>
          <w:tab w:val="left" w:pos="280"/>
        </w:tabs>
        <w:bidi w:val="0"/>
        <w:jc w:val="left"/>
        <w:rPr>
          <w:rFonts w:hint="eastAsia" w:eastAsia="宋体"/>
          <w:sz w:val="30"/>
          <w:szCs w:val="30"/>
          <w:lang w:eastAsia="zh-CN"/>
        </w:rPr>
      </w:pPr>
      <w:r>
        <w:rPr>
          <w:rFonts w:hint="eastAsia" w:eastAsia="宋体"/>
          <w:sz w:val="30"/>
          <w:szCs w:val="30"/>
          <w:lang w:eastAsia="zh-CN"/>
        </w:rPr>
        <w:t>是为了审判他们吗？</w:t>
      </w:r>
    </w:p>
    <w:p w14:paraId="0710B5F4">
      <w:pPr>
        <w:tabs>
          <w:tab w:val="left" w:pos="280"/>
        </w:tabs>
        <w:bidi w:val="0"/>
        <w:jc w:val="left"/>
        <w:rPr>
          <w:rFonts w:hint="eastAsia" w:eastAsia="宋体"/>
          <w:sz w:val="30"/>
          <w:szCs w:val="30"/>
          <w:lang w:eastAsia="zh-CN"/>
        </w:rPr>
      </w:pPr>
    </w:p>
    <w:p w14:paraId="549859FB">
      <w:pPr>
        <w:tabs>
          <w:tab w:val="left" w:pos="280"/>
        </w:tabs>
        <w:bidi w:val="0"/>
        <w:jc w:val="left"/>
        <w:rPr>
          <w:rFonts w:hint="eastAsia" w:eastAsia="宋体"/>
          <w:sz w:val="30"/>
          <w:szCs w:val="30"/>
          <w:lang w:eastAsia="zh-CN"/>
        </w:rPr>
      </w:pPr>
      <w:r>
        <w:rPr>
          <w:rFonts w:hint="eastAsia" w:eastAsia="宋体"/>
          <w:sz w:val="30"/>
          <w:szCs w:val="30"/>
          <w:lang w:eastAsia="zh-CN"/>
        </w:rPr>
        <w:t>Yes and no.</w:t>
      </w:r>
    </w:p>
    <w:p w14:paraId="69284B6F">
      <w:pPr>
        <w:tabs>
          <w:tab w:val="left" w:pos="280"/>
        </w:tabs>
        <w:bidi w:val="0"/>
        <w:jc w:val="left"/>
        <w:rPr>
          <w:rFonts w:hint="eastAsia" w:eastAsia="宋体"/>
          <w:sz w:val="30"/>
          <w:szCs w:val="30"/>
          <w:lang w:eastAsia="zh-CN"/>
        </w:rPr>
      </w:pPr>
      <w:r>
        <w:rPr>
          <w:rFonts w:hint="eastAsia" w:eastAsia="宋体"/>
          <w:sz w:val="30"/>
          <w:szCs w:val="30"/>
          <w:lang w:eastAsia="zh-CN"/>
        </w:rPr>
        <w:t>是，也不是。</w:t>
      </w:r>
    </w:p>
    <w:p w14:paraId="4DDE1895">
      <w:pPr>
        <w:tabs>
          <w:tab w:val="left" w:pos="280"/>
        </w:tabs>
        <w:bidi w:val="0"/>
        <w:jc w:val="left"/>
        <w:rPr>
          <w:rFonts w:hint="eastAsia" w:eastAsia="宋体"/>
          <w:sz w:val="30"/>
          <w:szCs w:val="30"/>
          <w:lang w:eastAsia="zh-CN"/>
        </w:rPr>
      </w:pPr>
    </w:p>
    <w:p w14:paraId="44367400">
      <w:pPr>
        <w:tabs>
          <w:tab w:val="left" w:pos="280"/>
        </w:tabs>
        <w:bidi w:val="0"/>
        <w:jc w:val="left"/>
        <w:rPr>
          <w:rFonts w:hint="eastAsia" w:eastAsia="宋体"/>
          <w:sz w:val="30"/>
          <w:szCs w:val="30"/>
          <w:lang w:eastAsia="zh-CN"/>
        </w:rPr>
      </w:pPr>
      <w:r>
        <w:rPr>
          <w:rFonts w:hint="eastAsia" w:eastAsia="宋体"/>
          <w:sz w:val="30"/>
          <w:szCs w:val="30"/>
          <w:lang w:eastAsia="zh-CN"/>
        </w:rPr>
        <w:t>Yes, because henceforth they, their seed, and their world must groan under manifold chastisements for sin.</w:t>
      </w:r>
    </w:p>
    <w:p w14:paraId="15783FD5">
      <w:pPr>
        <w:tabs>
          <w:tab w:val="left" w:pos="280"/>
        </w:tabs>
        <w:bidi w:val="0"/>
        <w:jc w:val="left"/>
        <w:rPr>
          <w:rFonts w:hint="eastAsia" w:eastAsia="宋体"/>
          <w:sz w:val="30"/>
          <w:szCs w:val="30"/>
          <w:lang w:eastAsia="zh-CN"/>
        </w:rPr>
      </w:pPr>
      <w:r>
        <w:rPr>
          <w:rFonts w:hint="eastAsia" w:eastAsia="宋体"/>
          <w:sz w:val="30"/>
          <w:szCs w:val="30"/>
          <w:lang w:eastAsia="zh-CN"/>
        </w:rPr>
        <w:t>是，因为从此以后，他们、他们的后裔以及他们的世界，都必须在对罪的多重惩戒下呻吟。</w:t>
      </w:r>
    </w:p>
    <w:p w14:paraId="222D63E5">
      <w:pPr>
        <w:tabs>
          <w:tab w:val="left" w:pos="280"/>
        </w:tabs>
        <w:bidi w:val="0"/>
        <w:jc w:val="left"/>
        <w:rPr>
          <w:rFonts w:hint="eastAsia" w:eastAsia="宋体"/>
          <w:sz w:val="30"/>
          <w:szCs w:val="30"/>
          <w:lang w:eastAsia="zh-CN"/>
        </w:rPr>
      </w:pPr>
    </w:p>
    <w:p w14:paraId="2FBDF866">
      <w:pPr>
        <w:tabs>
          <w:tab w:val="left" w:pos="280"/>
        </w:tabs>
        <w:bidi w:val="0"/>
        <w:jc w:val="left"/>
        <w:rPr>
          <w:rFonts w:hint="eastAsia" w:eastAsia="宋体"/>
          <w:sz w:val="30"/>
          <w:szCs w:val="30"/>
          <w:lang w:eastAsia="zh-CN"/>
        </w:rPr>
      </w:pPr>
      <w:r>
        <w:rPr>
          <w:rFonts w:hint="eastAsia" w:eastAsia="宋体"/>
          <w:sz w:val="30"/>
          <w:szCs w:val="30"/>
          <w:lang w:eastAsia="zh-CN"/>
        </w:rPr>
        <w:t>But no, because he did not strike them dead or cast them into hell.</w:t>
      </w:r>
    </w:p>
    <w:p w14:paraId="4EF1FC98">
      <w:pPr>
        <w:tabs>
          <w:tab w:val="left" w:pos="280"/>
        </w:tabs>
        <w:bidi w:val="0"/>
        <w:jc w:val="left"/>
        <w:rPr>
          <w:rFonts w:hint="eastAsia" w:eastAsia="宋体"/>
          <w:sz w:val="30"/>
          <w:szCs w:val="30"/>
          <w:lang w:eastAsia="zh-CN"/>
        </w:rPr>
      </w:pPr>
      <w:r>
        <w:rPr>
          <w:rFonts w:hint="eastAsia" w:eastAsia="宋体"/>
          <w:sz w:val="30"/>
          <w:szCs w:val="30"/>
          <w:lang w:eastAsia="zh-CN"/>
        </w:rPr>
        <w:t>但不是，因为祂没有击杀他们，也没有将他们投入地狱。</w:t>
      </w:r>
    </w:p>
    <w:p w14:paraId="7C963DEF">
      <w:pPr>
        <w:tabs>
          <w:tab w:val="left" w:pos="280"/>
        </w:tabs>
        <w:bidi w:val="0"/>
        <w:jc w:val="left"/>
        <w:rPr>
          <w:rFonts w:hint="eastAsia" w:eastAsia="宋体"/>
          <w:sz w:val="30"/>
          <w:szCs w:val="30"/>
          <w:lang w:eastAsia="zh-CN"/>
        </w:rPr>
      </w:pPr>
    </w:p>
    <w:p w14:paraId="48F16DD1">
      <w:pPr>
        <w:tabs>
          <w:tab w:val="left" w:pos="280"/>
        </w:tabs>
        <w:bidi w:val="0"/>
        <w:jc w:val="left"/>
        <w:rPr>
          <w:rFonts w:hint="eastAsia" w:eastAsia="宋体"/>
          <w:sz w:val="30"/>
          <w:szCs w:val="30"/>
          <w:lang w:eastAsia="zh-CN"/>
        </w:rPr>
      </w:pPr>
      <w:r>
        <w:rPr>
          <w:rFonts w:hint="eastAsia" w:eastAsia="宋体"/>
          <w:sz w:val="30"/>
          <w:szCs w:val="30"/>
          <w:lang w:eastAsia="zh-CN"/>
        </w:rPr>
        <w:t>In other words, the accent in the post-fall narrative heavily falls upon God’s mercy and grace.</w:t>
      </w:r>
    </w:p>
    <w:p w14:paraId="4FFA1732">
      <w:pPr>
        <w:tabs>
          <w:tab w:val="left" w:pos="280"/>
        </w:tabs>
        <w:bidi w:val="0"/>
        <w:jc w:val="left"/>
        <w:rPr>
          <w:rFonts w:hint="eastAsia" w:eastAsia="宋体"/>
          <w:sz w:val="30"/>
          <w:szCs w:val="30"/>
          <w:lang w:eastAsia="zh-CN"/>
        </w:rPr>
      </w:pPr>
      <w:r>
        <w:rPr>
          <w:rFonts w:hint="eastAsia" w:eastAsia="宋体"/>
          <w:sz w:val="30"/>
          <w:szCs w:val="30"/>
          <w:lang w:eastAsia="zh-CN"/>
        </w:rPr>
        <w:t>换言之，堕落后叙述的重点，重重地落在了上帝的怜悯和恩典之上。</w:t>
      </w:r>
    </w:p>
    <w:p w14:paraId="74D29947">
      <w:pPr>
        <w:tabs>
          <w:tab w:val="left" w:pos="280"/>
        </w:tabs>
        <w:bidi w:val="0"/>
        <w:jc w:val="left"/>
        <w:rPr>
          <w:rFonts w:hint="eastAsia" w:eastAsia="宋体"/>
          <w:sz w:val="30"/>
          <w:szCs w:val="30"/>
          <w:lang w:eastAsia="zh-CN"/>
        </w:rPr>
      </w:pPr>
    </w:p>
    <w:p w14:paraId="6F7D61B1">
      <w:pPr>
        <w:tabs>
          <w:tab w:val="left" w:pos="280"/>
        </w:tabs>
        <w:bidi w:val="0"/>
        <w:jc w:val="left"/>
        <w:rPr>
          <w:rFonts w:hint="eastAsia" w:eastAsia="宋体"/>
          <w:sz w:val="30"/>
          <w:szCs w:val="30"/>
          <w:lang w:eastAsia="zh-CN"/>
        </w:rPr>
      </w:pPr>
      <w:r>
        <w:rPr>
          <w:rFonts w:hint="eastAsia" w:eastAsia="宋体"/>
          <w:sz w:val="30"/>
          <w:szCs w:val="30"/>
          <w:lang w:eastAsia="zh-CN"/>
        </w:rPr>
        <w:t>The world will continue.</w:t>
      </w:r>
    </w:p>
    <w:p w14:paraId="752F2AE0">
      <w:pPr>
        <w:tabs>
          <w:tab w:val="left" w:pos="280"/>
        </w:tabs>
        <w:bidi w:val="0"/>
        <w:jc w:val="left"/>
        <w:rPr>
          <w:rFonts w:hint="eastAsia" w:eastAsia="宋体"/>
          <w:sz w:val="30"/>
          <w:szCs w:val="30"/>
          <w:lang w:eastAsia="zh-CN"/>
        </w:rPr>
      </w:pPr>
      <w:r>
        <w:rPr>
          <w:rFonts w:hint="eastAsia" w:eastAsia="宋体"/>
          <w:sz w:val="30"/>
          <w:szCs w:val="30"/>
          <w:lang w:eastAsia="zh-CN"/>
        </w:rPr>
        <w:t>世界将继续。</w:t>
      </w:r>
    </w:p>
    <w:p w14:paraId="3DE3EDB9">
      <w:pPr>
        <w:tabs>
          <w:tab w:val="left" w:pos="280"/>
        </w:tabs>
        <w:bidi w:val="0"/>
        <w:jc w:val="left"/>
        <w:rPr>
          <w:rFonts w:hint="eastAsia" w:eastAsia="宋体"/>
          <w:sz w:val="30"/>
          <w:szCs w:val="30"/>
          <w:lang w:eastAsia="zh-CN"/>
        </w:rPr>
      </w:pPr>
    </w:p>
    <w:p w14:paraId="434C11FA">
      <w:pPr>
        <w:tabs>
          <w:tab w:val="left" w:pos="280"/>
        </w:tabs>
        <w:bidi w:val="0"/>
        <w:jc w:val="left"/>
        <w:rPr>
          <w:rFonts w:hint="eastAsia" w:eastAsia="宋体"/>
          <w:sz w:val="30"/>
          <w:szCs w:val="30"/>
          <w:lang w:eastAsia="zh-CN"/>
        </w:rPr>
      </w:pPr>
      <w:r>
        <w:rPr>
          <w:rFonts w:hint="eastAsia" w:eastAsia="宋体"/>
          <w:sz w:val="30"/>
          <w:szCs w:val="30"/>
          <w:lang w:eastAsia="zh-CN"/>
        </w:rPr>
        <w:t>The family of man will continue.</w:t>
      </w:r>
    </w:p>
    <w:p w14:paraId="4626A68B">
      <w:pPr>
        <w:tabs>
          <w:tab w:val="left" w:pos="280"/>
        </w:tabs>
        <w:bidi w:val="0"/>
        <w:jc w:val="left"/>
        <w:rPr>
          <w:rFonts w:hint="eastAsia" w:eastAsia="宋体"/>
          <w:sz w:val="30"/>
          <w:szCs w:val="30"/>
          <w:lang w:eastAsia="zh-CN"/>
        </w:rPr>
      </w:pPr>
      <w:r>
        <w:rPr>
          <w:rFonts w:hint="eastAsia" w:eastAsia="宋体"/>
          <w:sz w:val="30"/>
          <w:szCs w:val="30"/>
          <w:lang w:eastAsia="zh-CN"/>
        </w:rPr>
        <w:t>人类的家庭将继续。</w:t>
      </w:r>
    </w:p>
    <w:p w14:paraId="61A24A96">
      <w:pPr>
        <w:tabs>
          <w:tab w:val="left" w:pos="280"/>
        </w:tabs>
        <w:bidi w:val="0"/>
        <w:jc w:val="left"/>
        <w:rPr>
          <w:rFonts w:hint="eastAsia" w:eastAsia="宋体"/>
          <w:sz w:val="30"/>
          <w:szCs w:val="30"/>
          <w:lang w:eastAsia="zh-CN"/>
        </w:rPr>
      </w:pPr>
    </w:p>
    <w:p w14:paraId="348F41F3">
      <w:pPr>
        <w:tabs>
          <w:tab w:val="left" w:pos="280"/>
        </w:tabs>
        <w:bidi w:val="0"/>
        <w:jc w:val="left"/>
        <w:rPr>
          <w:rFonts w:hint="eastAsia" w:eastAsia="宋体"/>
          <w:sz w:val="30"/>
          <w:szCs w:val="30"/>
          <w:lang w:eastAsia="zh-CN"/>
        </w:rPr>
      </w:pPr>
      <w:r>
        <w:rPr>
          <w:rFonts w:hint="eastAsia" w:eastAsia="宋体"/>
          <w:sz w:val="30"/>
          <w:szCs w:val="30"/>
          <w:lang w:eastAsia="zh-CN"/>
        </w:rPr>
        <w:t>Moreover, in the case of Adam, Eve, and certain of their children, the family of man will continue in a personal relationship with God.</w:t>
      </w:r>
    </w:p>
    <w:p w14:paraId="611ED020">
      <w:pPr>
        <w:tabs>
          <w:tab w:val="left" w:pos="280"/>
        </w:tabs>
        <w:bidi w:val="0"/>
        <w:jc w:val="left"/>
        <w:rPr>
          <w:rFonts w:hint="eastAsia" w:eastAsia="宋体"/>
          <w:sz w:val="30"/>
          <w:szCs w:val="30"/>
          <w:lang w:eastAsia="zh-CN"/>
        </w:rPr>
      </w:pPr>
      <w:r>
        <w:rPr>
          <w:rFonts w:hint="eastAsia" w:eastAsia="宋体"/>
          <w:sz w:val="30"/>
          <w:szCs w:val="30"/>
          <w:lang w:eastAsia="zh-CN"/>
        </w:rPr>
        <w:t>此外，就亚当、夏娃以及他们某些孩子而言，人类的家庭将继续与上帝保持个人的关系。</w:t>
      </w:r>
    </w:p>
    <w:p w14:paraId="74FF95A7">
      <w:pPr>
        <w:tabs>
          <w:tab w:val="left" w:pos="280"/>
        </w:tabs>
        <w:bidi w:val="0"/>
        <w:jc w:val="left"/>
        <w:rPr>
          <w:rFonts w:hint="eastAsia" w:eastAsia="宋体"/>
          <w:sz w:val="30"/>
          <w:szCs w:val="30"/>
          <w:lang w:eastAsia="zh-CN"/>
        </w:rPr>
      </w:pPr>
    </w:p>
    <w:p w14:paraId="0146EC77">
      <w:pPr>
        <w:tabs>
          <w:tab w:val="left" w:pos="280"/>
        </w:tabs>
        <w:bidi w:val="0"/>
        <w:jc w:val="left"/>
        <w:rPr>
          <w:rFonts w:hint="eastAsia" w:eastAsia="宋体"/>
          <w:sz w:val="30"/>
          <w:szCs w:val="30"/>
          <w:lang w:eastAsia="zh-CN"/>
        </w:rPr>
      </w:pPr>
      <w:r>
        <w:rPr>
          <w:rFonts w:hint="eastAsia" w:eastAsia="宋体"/>
          <w:sz w:val="30"/>
          <w:szCs w:val="30"/>
          <w:lang w:eastAsia="zh-CN"/>
        </w:rPr>
        <w:t>Why?</w:t>
      </w:r>
    </w:p>
    <w:p w14:paraId="1E769A40">
      <w:pPr>
        <w:tabs>
          <w:tab w:val="left" w:pos="280"/>
        </w:tabs>
        <w:bidi w:val="0"/>
        <w:jc w:val="left"/>
        <w:rPr>
          <w:rFonts w:hint="eastAsia" w:eastAsia="宋体"/>
          <w:sz w:val="30"/>
          <w:szCs w:val="30"/>
          <w:lang w:eastAsia="zh-CN"/>
        </w:rPr>
      </w:pPr>
      <w:r>
        <w:rPr>
          <w:rFonts w:hint="eastAsia" w:eastAsia="宋体"/>
          <w:sz w:val="30"/>
          <w:szCs w:val="30"/>
          <w:lang w:eastAsia="zh-CN"/>
        </w:rPr>
        <w:t>为什么？</w:t>
      </w:r>
    </w:p>
    <w:p w14:paraId="5DC965BF">
      <w:pPr>
        <w:tabs>
          <w:tab w:val="left" w:pos="280"/>
        </w:tabs>
        <w:bidi w:val="0"/>
        <w:jc w:val="left"/>
        <w:rPr>
          <w:rFonts w:hint="eastAsia" w:eastAsia="宋体"/>
          <w:sz w:val="30"/>
          <w:szCs w:val="30"/>
          <w:lang w:eastAsia="zh-CN"/>
        </w:rPr>
      </w:pPr>
    </w:p>
    <w:p w14:paraId="32D6AFB4">
      <w:pPr>
        <w:tabs>
          <w:tab w:val="left" w:pos="280"/>
        </w:tabs>
        <w:bidi w:val="0"/>
        <w:jc w:val="left"/>
        <w:rPr>
          <w:rFonts w:hint="eastAsia" w:eastAsia="宋体"/>
          <w:sz w:val="30"/>
          <w:szCs w:val="30"/>
          <w:lang w:eastAsia="zh-CN"/>
        </w:rPr>
      </w:pPr>
      <w:r>
        <w:rPr>
          <w:rFonts w:hint="eastAsia" w:eastAsia="宋体"/>
          <w:sz w:val="30"/>
          <w:szCs w:val="30"/>
          <w:lang w:eastAsia="zh-CN"/>
        </w:rPr>
        <w:t>Because in mercy and grace he will call them into a covenant with himself.</w:t>
      </w:r>
    </w:p>
    <w:p w14:paraId="0DA82252">
      <w:pPr>
        <w:tabs>
          <w:tab w:val="left" w:pos="280"/>
        </w:tabs>
        <w:bidi w:val="0"/>
        <w:jc w:val="left"/>
        <w:rPr>
          <w:rFonts w:hint="eastAsia" w:eastAsia="宋体"/>
          <w:sz w:val="30"/>
          <w:szCs w:val="30"/>
          <w:lang w:eastAsia="zh-CN"/>
        </w:rPr>
      </w:pPr>
      <w:r>
        <w:rPr>
          <w:rFonts w:hint="eastAsia" w:eastAsia="宋体"/>
          <w:sz w:val="30"/>
          <w:szCs w:val="30"/>
          <w:lang w:eastAsia="zh-CN"/>
        </w:rPr>
        <w:t>因为在怜悯和恩典中，祂将呼召他们与祂自己立约。</w:t>
      </w:r>
    </w:p>
    <w:p w14:paraId="73A57350">
      <w:pPr>
        <w:tabs>
          <w:tab w:val="left" w:pos="280"/>
        </w:tabs>
        <w:bidi w:val="0"/>
        <w:jc w:val="left"/>
        <w:rPr>
          <w:rFonts w:hint="eastAsia" w:eastAsia="宋体"/>
          <w:sz w:val="30"/>
          <w:szCs w:val="30"/>
          <w:lang w:eastAsia="zh-CN"/>
        </w:rPr>
      </w:pPr>
    </w:p>
    <w:p w14:paraId="331EDC9F">
      <w:pPr>
        <w:tabs>
          <w:tab w:val="left" w:pos="280"/>
        </w:tabs>
        <w:bidi w:val="0"/>
        <w:jc w:val="left"/>
        <w:rPr>
          <w:rFonts w:hint="eastAsia" w:eastAsia="宋体"/>
          <w:sz w:val="30"/>
          <w:szCs w:val="30"/>
          <w:lang w:eastAsia="zh-CN"/>
        </w:rPr>
      </w:pPr>
      <w:r>
        <w:rPr>
          <w:rFonts w:hint="eastAsia" w:eastAsia="宋体"/>
          <w:sz w:val="30"/>
          <w:szCs w:val="30"/>
          <w:lang w:eastAsia="zh-CN"/>
        </w:rPr>
        <w:t>We see this precious truth reflected in a number of texts.</w:t>
      </w:r>
    </w:p>
    <w:p w14:paraId="1CEF9C32">
      <w:pPr>
        <w:tabs>
          <w:tab w:val="left" w:pos="280"/>
        </w:tabs>
        <w:bidi w:val="0"/>
        <w:jc w:val="left"/>
        <w:rPr>
          <w:rFonts w:hint="eastAsia" w:eastAsia="宋体"/>
          <w:sz w:val="30"/>
          <w:szCs w:val="30"/>
          <w:lang w:eastAsia="zh-CN"/>
        </w:rPr>
      </w:pPr>
      <w:r>
        <w:rPr>
          <w:rFonts w:hint="eastAsia" w:eastAsia="宋体"/>
          <w:sz w:val="30"/>
          <w:szCs w:val="30"/>
          <w:lang w:eastAsia="zh-CN"/>
        </w:rPr>
        <w:t>我们在一些经文中看到这宝贵的真理被反映出来。</w:t>
      </w:r>
    </w:p>
    <w:p w14:paraId="3BB8BF2D">
      <w:pPr>
        <w:tabs>
          <w:tab w:val="left" w:pos="280"/>
        </w:tabs>
        <w:bidi w:val="0"/>
        <w:jc w:val="left"/>
        <w:rPr>
          <w:rFonts w:hint="eastAsia" w:eastAsia="宋体"/>
          <w:sz w:val="30"/>
          <w:szCs w:val="30"/>
          <w:lang w:eastAsia="zh-CN"/>
        </w:rPr>
      </w:pPr>
    </w:p>
    <w:p w14:paraId="43FCC2FA">
      <w:pPr>
        <w:tabs>
          <w:tab w:val="left" w:pos="280"/>
        </w:tabs>
        <w:bidi w:val="0"/>
        <w:jc w:val="left"/>
        <w:rPr>
          <w:rFonts w:hint="eastAsia" w:eastAsia="宋体"/>
          <w:sz w:val="30"/>
          <w:szCs w:val="30"/>
          <w:lang w:eastAsia="zh-CN"/>
        </w:rPr>
      </w:pPr>
      <w:r>
        <w:rPr>
          <w:rFonts w:hint="eastAsia" w:eastAsia="宋体"/>
          <w:sz w:val="30"/>
          <w:szCs w:val="30"/>
          <w:lang w:eastAsia="zh-CN"/>
        </w:rPr>
        <w:t>If we approach them with NT eyes, we shall see the light of the Eternal Covenant shimmering over them all, and the mystery of the Kingdom of God glowing from deep within.</w:t>
      </w:r>
    </w:p>
    <w:p w14:paraId="22EA6D73">
      <w:pPr>
        <w:tabs>
          <w:tab w:val="left" w:pos="280"/>
        </w:tabs>
        <w:bidi w:val="0"/>
        <w:jc w:val="left"/>
        <w:rPr>
          <w:rFonts w:hint="eastAsia" w:eastAsia="宋体"/>
          <w:sz w:val="30"/>
          <w:szCs w:val="30"/>
          <w:lang w:eastAsia="zh-CN"/>
        </w:rPr>
      </w:pPr>
      <w:r>
        <w:rPr>
          <w:rFonts w:hint="eastAsia" w:eastAsia="宋体"/>
          <w:sz w:val="30"/>
          <w:szCs w:val="30"/>
          <w:lang w:eastAsia="zh-CN"/>
        </w:rPr>
        <w:t>如果我们用新约的眼光来看待它们，我们将看到永恒之约的光芒在它们之上闪烁，上帝之国的奥秘从深处发光。</w:t>
      </w:r>
    </w:p>
    <w:p w14:paraId="5EA4C2F6">
      <w:pPr>
        <w:tabs>
          <w:tab w:val="left" w:pos="280"/>
        </w:tabs>
        <w:bidi w:val="0"/>
        <w:jc w:val="left"/>
        <w:rPr>
          <w:rFonts w:hint="eastAsia" w:eastAsia="宋体"/>
          <w:sz w:val="30"/>
          <w:szCs w:val="30"/>
          <w:lang w:eastAsia="zh-CN"/>
        </w:rPr>
      </w:pPr>
    </w:p>
    <w:p w14:paraId="3C9A6E78">
      <w:pPr>
        <w:tabs>
          <w:tab w:val="left" w:pos="280"/>
        </w:tabs>
        <w:bidi w:val="0"/>
        <w:jc w:val="left"/>
        <w:rPr>
          <w:rFonts w:hint="eastAsia" w:eastAsia="宋体"/>
          <w:sz w:val="30"/>
          <w:szCs w:val="30"/>
          <w:lang w:eastAsia="zh-CN"/>
        </w:rPr>
      </w:pPr>
      <w:r>
        <w:rPr>
          <w:rFonts w:hint="eastAsia" w:eastAsia="宋体"/>
          <w:sz w:val="30"/>
          <w:szCs w:val="30"/>
          <w:lang w:eastAsia="zh-CN"/>
        </w:rPr>
        <w:t>The Protoevangelium (Gen. 3:15)</w:t>
      </w:r>
    </w:p>
    <w:p w14:paraId="6FCB425A">
      <w:pPr>
        <w:tabs>
          <w:tab w:val="left" w:pos="280"/>
        </w:tabs>
        <w:bidi w:val="0"/>
        <w:jc w:val="left"/>
        <w:rPr>
          <w:rFonts w:hint="eastAsia" w:eastAsia="宋体"/>
          <w:sz w:val="30"/>
          <w:szCs w:val="30"/>
          <w:lang w:eastAsia="zh-CN"/>
        </w:rPr>
      </w:pPr>
      <w:r>
        <w:rPr>
          <w:rFonts w:hint="eastAsia" w:eastAsia="宋体"/>
          <w:sz w:val="30"/>
          <w:szCs w:val="30"/>
          <w:lang w:eastAsia="zh-CN"/>
        </w:rPr>
        <w:t>原始福音（创 3:15）</w:t>
      </w:r>
    </w:p>
    <w:p w14:paraId="701AF848">
      <w:pPr>
        <w:tabs>
          <w:tab w:val="left" w:pos="280"/>
        </w:tabs>
        <w:bidi w:val="0"/>
        <w:jc w:val="left"/>
        <w:rPr>
          <w:rFonts w:hint="eastAsia" w:eastAsia="宋体"/>
          <w:sz w:val="30"/>
          <w:szCs w:val="30"/>
          <w:lang w:eastAsia="zh-CN"/>
        </w:rPr>
      </w:pPr>
    </w:p>
    <w:p w14:paraId="25D6D39B">
      <w:pPr>
        <w:tabs>
          <w:tab w:val="left" w:pos="280"/>
        </w:tabs>
        <w:bidi w:val="0"/>
        <w:jc w:val="left"/>
        <w:rPr>
          <w:rFonts w:hint="eastAsia" w:eastAsia="宋体"/>
          <w:sz w:val="30"/>
          <w:szCs w:val="30"/>
          <w:lang w:eastAsia="zh-CN"/>
        </w:rPr>
      </w:pPr>
      <w:r>
        <w:rPr>
          <w:rFonts w:hint="eastAsia" w:eastAsia="宋体"/>
          <w:sz w:val="30"/>
          <w:szCs w:val="30"/>
          <w:lang w:eastAsia="zh-CN"/>
        </w:rPr>
        <w:t>The most important of these texts is Genesis 3:15.</w:t>
      </w:r>
    </w:p>
    <w:p w14:paraId="2382C830">
      <w:pPr>
        <w:tabs>
          <w:tab w:val="left" w:pos="280"/>
        </w:tabs>
        <w:bidi w:val="0"/>
        <w:jc w:val="left"/>
        <w:rPr>
          <w:rFonts w:hint="eastAsia" w:eastAsia="宋体"/>
          <w:sz w:val="30"/>
          <w:szCs w:val="30"/>
          <w:lang w:eastAsia="zh-CN"/>
        </w:rPr>
      </w:pPr>
      <w:r>
        <w:rPr>
          <w:rFonts w:hint="eastAsia" w:eastAsia="宋体"/>
          <w:sz w:val="30"/>
          <w:szCs w:val="30"/>
          <w:lang w:eastAsia="zh-CN"/>
        </w:rPr>
        <w:t>这些经文中，最重要的是创世记 3:15。</w:t>
      </w:r>
    </w:p>
    <w:p w14:paraId="3DDC6109">
      <w:pPr>
        <w:tabs>
          <w:tab w:val="left" w:pos="280"/>
        </w:tabs>
        <w:bidi w:val="0"/>
        <w:jc w:val="left"/>
        <w:rPr>
          <w:rFonts w:hint="eastAsia" w:eastAsia="宋体"/>
          <w:sz w:val="30"/>
          <w:szCs w:val="30"/>
          <w:lang w:eastAsia="zh-CN"/>
        </w:rPr>
      </w:pPr>
    </w:p>
    <w:p w14:paraId="0A65DDBC">
      <w:pPr>
        <w:tabs>
          <w:tab w:val="left" w:pos="280"/>
        </w:tabs>
        <w:bidi w:val="0"/>
        <w:jc w:val="left"/>
        <w:rPr>
          <w:rFonts w:hint="eastAsia" w:eastAsia="宋体"/>
          <w:sz w:val="30"/>
          <w:szCs w:val="30"/>
          <w:lang w:eastAsia="zh-CN"/>
        </w:rPr>
      </w:pPr>
      <w:r>
        <w:rPr>
          <w:rFonts w:hint="eastAsia" w:eastAsia="宋体"/>
          <w:sz w:val="30"/>
          <w:szCs w:val="30"/>
          <w:lang w:eastAsia="zh-CN"/>
        </w:rPr>
        <w:t>It is sometimes called the protoevangelium, since here we find the first biblical prophecy of the Gospel, albeit thickly veiled in typological language.</w:t>
      </w:r>
    </w:p>
    <w:p w14:paraId="740A7694">
      <w:pPr>
        <w:tabs>
          <w:tab w:val="left" w:pos="280"/>
        </w:tabs>
        <w:bidi w:val="0"/>
        <w:jc w:val="left"/>
        <w:rPr>
          <w:rFonts w:hint="eastAsia" w:eastAsia="宋体"/>
          <w:sz w:val="30"/>
          <w:szCs w:val="30"/>
          <w:lang w:eastAsia="zh-CN"/>
        </w:rPr>
      </w:pPr>
      <w:r>
        <w:rPr>
          <w:rFonts w:hint="eastAsia" w:eastAsia="宋体"/>
          <w:sz w:val="30"/>
          <w:szCs w:val="30"/>
          <w:lang w:eastAsia="zh-CN"/>
        </w:rPr>
        <w:t>它有时被称为原始福音，因为我们在此处找到了圣经中对福音的第一个预言，尽管是用厚重的预表性语言蒙着帕子的。</w:t>
      </w:r>
    </w:p>
    <w:p w14:paraId="017C8F36">
      <w:pPr>
        <w:tabs>
          <w:tab w:val="left" w:pos="280"/>
        </w:tabs>
        <w:bidi w:val="0"/>
        <w:jc w:val="left"/>
        <w:rPr>
          <w:rFonts w:hint="eastAsia" w:eastAsia="宋体"/>
          <w:sz w:val="30"/>
          <w:szCs w:val="30"/>
          <w:lang w:eastAsia="zh-CN"/>
        </w:rPr>
      </w:pPr>
    </w:p>
    <w:p w14:paraId="44D86D32">
      <w:pPr>
        <w:tabs>
          <w:tab w:val="left" w:pos="280"/>
        </w:tabs>
        <w:bidi w:val="0"/>
        <w:jc w:val="left"/>
        <w:rPr>
          <w:rFonts w:hint="eastAsia" w:eastAsia="宋体"/>
          <w:sz w:val="30"/>
          <w:szCs w:val="30"/>
          <w:lang w:eastAsia="zh-CN"/>
        </w:rPr>
      </w:pPr>
      <w:r>
        <w:rPr>
          <w:rFonts w:hint="eastAsia" w:eastAsia="宋体"/>
          <w:sz w:val="30"/>
          <w:szCs w:val="30"/>
          <w:lang w:eastAsia="zh-CN"/>
        </w:rPr>
        <w:t>With all the guilty parties assembled before him, God speaks first to the serpent—and to the evil spirit that stands behind it—saying, “And I will put enmity between you and the woman, and between your seed and her seed.</w:t>
      </w:r>
    </w:p>
    <w:p w14:paraId="63D7863E">
      <w:pPr>
        <w:tabs>
          <w:tab w:val="left" w:pos="280"/>
        </w:tabs>
        <w:bidi w:val="0"/>
        <w:jc w:val="left"/>
        <w:rPr>
          <w:rFonts w:hint="eastAsia" w:eastAsia="宋体"/>
          <w:sz w:val="30"/>
          <w:szCs w:val="30"/>
          <w:lang w:eastAsia="zh-CN"/>
        </w:rPr>
      </w:pPr>
      <w:r>
        <w:rPr>
          <w:rFonts w:hint="eastAsia" w:eastAsia="宋体"/>
          <w:sz w:val="30"/>
          <w:szCs w:val="30"/>
          <w:lang w:eastAsia="zh-CN"/>
        </w:rPr>
        <w:t>当所有有罪的一方都聚集在祂面前时，上帝首先对蛇——以及它背后的邪灵——说：“我又要叫你和女人彼此为仇，你的后裔和女人的后裔也彼此为仇。</w:t>
      </w:r>
    </w:p>
    <w:p w14:paraId="4A18F0AA">
      <w:pPr>
        <w:tabs>
          <w:tab w:val="left" w:pos="280"/>
        </w:tabs>
        <w:bidi w:val="0"/>
        <w:jc w:val="left"/>
        <w:rPr>
          <w:rFonts w:hint="eastAsia" w:eastAsia="宋体"/>
          <w:sz w:val="30"/>
          <w:szCs w:val="30"/>
          <w:lang w:eastAsia="zh-CN"/>
        </w:rPr>
      </w:pPr>
    </w:p>
    <w:p w14:paraId="7273BE85">
      <w:pPr>
        <w:tabs>
          <w:tab w:val="left" w:pos="280"/>
        </w:tabs>
        <w:bidi w:val="0"/>
        <w:jc w:val="left"/>
        <w:rPr>
          <w:rFonts w:hint="eastAsia" w:eastAsia="宋体"/>
          <w:sz w:val="30"/>
          <w:szCs w:val="30"/>
          <w:lang w:eastAsia="zh-CN"/>
        </w:rPr>
      </w:pPr>
      <w:r>
        <w:rPr>
          <w:rFonts w:hint="eastAsia" w:eastAsia="宋体"/>
          <w:sz w:val="30"/>
          <w:szCs w:val="30"/>
          <w:lang w:eastAsia="zh-CN"/>
        </w:rPr>
        <w:t>He will crush your head, and you will bruise his heel.”</w:t>
      </w:r>
    </w:p>
    <w:p w14:paraId="396C1DF9">
      <w:pPr>
        <w:tabs>
          <w:tab w:val="left" w:pos="280"/>
        </w:tabs>
        <w:bidi w:val="0"/>
        <w:jc w:val="left"/>
        <w:rPr>
          <w:rFonts w:hint="eastAsia" w:eastAsia="宋体"/>
          <w:sz w:val="30"/>
          <w:szCs w:val="30"/>
          <w:lang w:eastAsia="zh-CN"/>
        </w:rPr>
      </w:pPr>
      <w:r>
        <w:rPr>
          <w:rFonts w:hint="eastAsia" w:eastAsia="宋体"/>
          <w:sz w:val="30"/>
          <w:szCs w:val="30"/>
          <w:lang w:eastAsia="zh-CN"/>
        </w:rPr>
        <w:t>他要伤你的头，你要伤他的脚跟。”</w:t>
      </w:r>
    </w:p>
    <w:p w14:paraId="00EA4D3D">
      <w:pPr>
        <w:tabs>
          <w:tab w:val="left" w:pos="280"/>
        </w:tabs>
        <w:bidi w:val="0"/>
        <w:jc w:val="left"/>
        <w:rPr>
          <w:rFonts w:hint="eastAsia" w:eastAsia="宋体"/>
          <w:sz w:val="30"/>
          <w:szCs w:val="30"/>
          <w:lang w:eastAsia="zh-CN"/>
        </w:rPr>
      </w:pPr>
    </w:p>
    <w:p w14:paraId="0F544847">
      <w:pPr>
        <w:tabs>
          <w:tab w:val="left" w:pos="280"/>
        </w:tabs>
        <w:bidi w:val="0"/>
        <w:jc w:val="left"/>
        <w:rPr>
          <w:rFonts w:hint="eastAsia" w:eastAsia="宋体"/>
          <w:sz w:val="30"/>
          <w:szCs w:val="30"/>
          <w:lang w:eastAsia="zh-CN"/>
        </w:rPr>
      </w:pPr>
      <w:r>
        <w:rPr>
          <w:rFonts w:hint="eastAsia" w:eastAsia="宋体"/>
          <w:sz w:val="30"/>
          <w:szCs w:val="30"/>
          <w:lang w:eastAsia="zh-CN"/>
        </w:rPr>
        <w:t>As is the case throughout the OT, so here: the physical points to the spiritual, and the present to the future.</w:t>
      </w:r>
    </w:p>
    <w:p w14:paraId="17C51DE6">
      <w:pPr>
        <w:tabs>
          <w:tab w:val="left" w:pos="280"/>
        </w:tabs>
        <w:bidi w:val="0"/>
        <w:jc w:val="left"/>
        <w:rPr>
          <w:rFonts w:hint="eastAsia" w:eastAsia="宋体"/>
          <w:sz w:val="30"/>
          <w:szCs w:val="30"/>
          <w:lang w:eastAsia="zh-CN"/>
        </w:rPr>
      </w:pPr>
      <w:r>
        <w:rPr>
          <w:rFonts w:hint="eastAsia" w:eastAsia="宋体"/>
          <w:sz w:val="30"/>
          <w:szCs w:val="30"/>
          <w:lang w:eastAsia="zh-CN"/>
        </w:rPr>
        <w:t>正如整个旧约的情况一样，此处也是如此：属肉体的指向属灵的，现在的指向未来的。</w:t>
      </w:r>
    </w:p>
    <w:p w14:paraId="31621C32">
      <w:pPr>
        <w:tabs>
          <w:tab w:val="left" w:pos="280"/>
        </w:tabs>
        <w:bidi w:val="0"/>
        <w:jc w:val="left"/>
        <w:rPr>
          <w:rFonts w:hint="eastAsia" w:eastAsia="宋体"/>
          <w:sz w:val="30"/>
          <w:szCs w:val="30"/>
          <w:lang w:eastAsia="zh-CN"/>
        </w:rPr>
      </w:pPr>
    </w:p>
    <w:p w14:paraId="6BFB1E00">
      <w:pPr>
        <w:tabs>
          <w:tab w:val="left" w:pos="280"/>
        </w:tabs>
        <w:bidi w:val="0"/>
        <w:jc w:val="left"/>
        <w:rPr>
          <w:rFonts w:hint="eastAsia" w:eastAsia="宋体"/>
          <w:sz w:val="30"/>
          <w:szCs w:val="30"/>
          <w:lang w:eastAsia="zh-CN"/>
        </w:rPr>
      </w:pPr>
      <w:r>
        <w:rPr>
          <w:rFonts w:hint="eastAsia" w:eastAsia="宋体"/>
          <w:sz w:val="30"/>
          <w:szCs w:val="30"/>
          <w:lang w:eastAsia="zh-CN"/>
        </w:rPr>
        <w:t>God’s pregnant words do indeed have a near physical fulfillment, but they also have a vastly more important spiritual fulfillment in a time far off.</w:t>
      </w:r>
    </w:p>
    <w:p w14:paraId="37BEE710">
      <w:pPr>
        <w:tabs>
          <w:tab w:val="left" w:pos="280"/>
        </w:tabs>
        <w:bidi w:val="0"/>
        <w:jc w:val="left"/>
        <w:rPr>
          <w:rFonts w:hint="eastAsia" w:eastAsia="宋体"/>
          <w:sz w:val="30"/>
          <w:szCs w:val="30"/>
          <w:lang w:eastAsia="zh-CN"/>
        </w:rPr>
      </w:pPr>
      <w:r>
        <w:rPr>
          <w:rFonts w:hint="eastAsia" w:eastAsia="宋体"/>
          <w:sz w:val="30"/>
          <w:szCs w:val="30"/>
          <w:lang w:eastAsia="zh-CN"/>
        </w:rPr>
        <w:t>上帝意味深长的话语确实有一个近期的属肉体的应验，但它们也有一个在遥远未来更为重要的属灵应验。</w:t>
      </w:r>
    </w:p>
    <w:p w14:paraId="2F4AD747">
      <w:pPr>
        <w:tabs>
          <w:tab w:val="left" w:pos="280"/>
        </w:tabs>
        <w:bidi w:val="0"/>
        <w:jc w:val="left"/>
        <w:rPr>
          <w:rFonts w:hint="eastAsia" w:eastAsia="宋体"/>
          <w:sz w:val="30"/>
          <w:szCs w:val="30"/>
          <w:lang w:eastAsia="zh-CN"/>
        </w:rPr>
      </w:pPr>
    </w:p>
    <w:p w14:paraId="5307F162">
      <w:pPr>
        <w:tabs>
          <w:tab w:val="left" w:pos="280"/>
        </w:tabs>
        <w:bidi w:val="0"/>
        <w:jc w:val="left"/>
        <w:rPr>
          <w:rFonts w:hint="eastAsia" w:eastAsia="宋体"/>
          <w:sz w:val="30"/>
          <w:szCs w:val="30"/>
          <w:lang w:eastAsia="zh-CN"/>
        </w:rPr>
      </w:pPr>
      <w:r>
        <w:rPr>
          <w:rFonts w:hint="eastAsia" w:eastAsia="宋体"/>
          <w:sz w:val="30"/>
          <w:szCs w:val="30"/>
          <w:lang w:eastAsia="zh-CN"/>
        </w:rPr>
        <w:t>Physically, his words are fulfilled in the perennial enmity between humans (especially female humans), and snakes (especially venomous snakes).</w:t>
      </w:r>
    </w:p>
    <w:p w14:paraId="3581077D">
      <w:pPr>
        <w:tabs>
          <w:tab w:val="left" w:pos="280"/>
        </w:tabs>
        <w:bidi w:val="0"/>
        <w:jc w:val="left"/>
        <w:rPr>
          <w:rFonts w:hint="eastAsia" w:eastAsia="宋体"/>
          <w:sz w:val="30"/>
          <w:szCs w:val="30"/>
          <w:lang w:eastAsia="zh-CN"/>
        </w:rPr>
      </w:pPr>
      <w:r>
        <w:rPr>
          <w:rFonts w:hint="eastAsia" w:eastAsia="宋体"/>
          <w:sz w:val="30"/>
          <w:szCs w:val="30"/>
          <w:lang w:eastAsia="zh-CN"/>
        </w:rPr>
        <w:t>在肉体上，祂的话语应验在人类（尤其是女性）与蛇（尤其是毒蛇）之间长久的敌意中。</w:t>
      </w:r>
    </w:p>
    <w:p w14:paraId="585AC87E">
      <w:pPr>
        <w:tabs>
          <w:tab w:val="left" w:pos="280"/>
        </w:tabs>
        <w:bidi w:val="0"/>
        <w:jc w:val="left"/>
        <w:rPr>
          <w:rFonts w:hint="eastAsia" w:eastAsia="宋体"/>
          <w:sz w:val="30"/>
          <w:szCs w:val="30"/>
          <w:lang w:eastAsia="zh-CN"/>
        </w:rPr>
      </w:pPr>
    </w:p>
    <w:p w14:paraId="5CD952C9">
      <w:pPr>
        <w:tabs>
          <w:tab w:val="left" w:pos="280"/>
        </w:tabs>
        <w:bidi w:val="0"/>
        <w:jc w:val="left"/>
        <w:rPr>
          <w:rFonts w:hint="eastAsia" w:eastAsia="宋体"/>
          <w:sz w:val="30"/>
          <w:szCs w:val="30"/>
          <w:lang w:eastAsia="zh-CN"/>
        </w:rPr>
      </w:pPr>
      <w:r>
        <w:rPr>
          <w:rFonts w:hint="eastAsia" w:eastAsia="宋体"/>
          <w:sz w:val="30"/>
          <w:szCs w:val="30"/>
          <w:lang w:eastAsia="zh-CN"/>
        </w:rPr>
        <w:t>Until the end of time, serpents lurking in the grass or coiled by the wayside will strike at the heel of human passersby, who in turn will swiftly crush their heads under foot.</w:t>
      </w:r>
    </w:p>
    <w:p w14:paraId="5C57C614">
      <w:pPr>
        <w:tabs>
          <w:tab w:val="left" w:pos="280"/>
        </w:tabs>
        <w:bidi w:val="0"/>
        <w:jc w:val="left"/>
        <w:rPr>
          <w:rFonts w:hint="eastAsia" w:eastAsia="宋体"/>
          <w:sz w:val="30"/>
          <w:szCs w:val="30"/>
          <w:lang w:eastAsia="zh-CN"/>
        </w:rPr>
      </w:pPr>
      <w:r>
        <w:rPr>
          <w:rFonts w:hint="eastAsia" w:eastAsia="宋体"/>
          <w:sz w:val="30"/>
          <w:szCs w:val="30"/>
          <w:lang w:eastAsia="zh-CN"/>
        </w:rPr>
        <w:t>直到时间的尽头，潜伏在草丛中或盘绕在路边的蛇会攻击行人的脚跟，而行人则会迅速地用脚踩碎它们的头。</w:t>
      </w:r>
    </w:p>
    <w:p w14:paraId="0B7BDCC0">
      <w:pPr>
        <w:tabs>
          <w:tab w:val="left" w:pos="280"/>
        </w:tabs>
        <w:bidi w:val="0"/>
        <w:jc w:val="left"/>
        <w:rPr>
          <w:rFonts w:hint="eastAsia" w:eastAsia="宋体"/>
          <w:sz w:val="30"/>
          <w:szCs w:val="30"/>
          <w:lang w:eastAsia="zh-CN"/>
        </w:rPr>
      </w:pPr>
    </w:p>
    <w:p w14:paraId="105278D0">
      <w:pPr>
        <w:tabs>
          <w:tab w:val="left" w:pos="280"/>
        </w:tabs>
        <w:bidi w:val="0"/>
        <w:jc w:val="left"/>
        <w:rPr>
          <w:rFonts w:hint="eastAsia" w:eastAsia="宋体"/>
          <w:sz w:val="30"/>
          <w:szCs w:val="30"/>
          <w:lang w:eastAsia="zh-CN"/>
        </w:rPr>
      </w:pPr>
      <w:r>
        <w:rPr>
          <w:rFonts w:hint="eastAsia" w:eastAsia="宋体"/>
          <w:sz w:val="30"/>
          <w:szCs w:val="30"/>
          <w:lang w:eastAsia="zh-CN"/>
        </w:rPr>
        <w:t>However, this is but a picture of the larger spiritual fulfillment, a fulfillment that we now can understand because the mystery of the Gospel has been revealed.</w:t>
      </w:r>
    </w:p>
    <w:p w14:paraId="6DFE4E01">
      <w:pPr>
        <w:tabs>
          <w:tab w:val="left" w:pos="280"/>
        </w:tabs>
        <w:bidi w:val="0"/>
        <w:jc w:val="left"/>
        <w:rPr>
          <w:rFonts w:hint="eastAsia" w:eastAsia="宋体"/>
          <w:sz w:val="30"/>
          <w:szCs w:val="30"/>
          <w:lang w:eastAsia="zh-CN"/>
        </w:rPr>
      </w:pPr>
      <w:r>
        <w:rPr>
          <w:rFonts w:hint="eastAsia" w:eastAsia="宋体"/>
          <w:sz w:val="30"/>
          <w:szCs w:val="30"/>
          <w:lang w:eastAsia="zh-CN"/>
        </w:rPr>
        <w:t>然而，这只是更大属灵应验的一幅图画，一个我们现在因为福音的奥秘已被揭示而能够理解的应验。</w:t>
      </w:r>
    </w:p>
    <w:p w14:paraId="2D4C2116">
      <w:pPr>
        <w:tabs>
          <w:tab w:val="left" w:pos="280"/>
        </w:tabs>
        <w:bidi w:val="0"/>
        <w:jc w:val="left"/>
        <w:rPr>
          <w:rFonts w:hint="eastAsia" w:eastAsia="宋体"/>
          <w:sz w:val="30"/>
          <w:szCs w:val="30"/>
          <w:lang w:eastAsia="zh-CN"/>
        </w:rPr>
      </w:pPr>
    </w:p>
    <w:p w14:paraId="1F7CF38C">
      <w:pPr>
        <w:tabs>
          <w:tab w:val="left" w:pos="280"/>
        </w:tabs>
        <w:bidi w:val="0"/>
        <w:jc w:val="left"/>
        <w:rPr>
          <w:rFonts w:hint="eastAsia" w:eastAsia="宋体"/>
          <w:sz w:val="30"/>
          <w:szCs w:val="30"/>
          <w:lang w:eastAsia="zh-CN"/>
        </w:rPr>
      </w:pPr>
      <w:r>
        <w:rPr>
          <w:rFonts w:hint="eastAsia" w:eastAsia="宋体"/>
          <w:sz w:val="30"/>
          <w:szCs w:val="30"/>
          <w:lang w:eastAsia="zh-CN"/>
        </w:rPr>
        <w:t>Let us therefore explore our text phrase by phrase, to see what we can learn about its fulfillment in Christ and the New Covenant.</w:t>
      </w:r>
    </w:p>
    <w:p w14:paraId="337EECA1">
      <w:pPr>
        <w:tabs>
          <w:tab w:val="left" w:pos="280"/>
        </w:tabs>
        <w:bidi w:val="0"/>
        <w:jc w:val="left"/>
        <w:rPr>
          <w:rFonts w:hint="eastAsia" w:eastAsia="宋体"/>
          <w:sz w:val="30"/>
          <w:szCs w:val="30"/>
          <w:lang w:eastAsia="zh-CN"/>
        </w:rPr>
      </w:pPr>
      <w:r>
        <w:rPr>
          <w:rFonts w:hint="eastAsia" w:eastAsia="宋体"/>
          <w:sz w:val="30"/>
          <w:szCs w:val="30"/>
          <w:lang w:eastAsia="zh-CN"/>
        </w:rPr>
        <w:t>因此，让我们逐句探讨我们的经文，看看我们能从其在基督和新约中的应验中学到什么。</w:t>
      </w:r>
    </w:p>
    <w:p w14:paraId="6CB03F3D">
      <w:pPr>
        <w:tabs>
          <w:tab w:val="left" w:pos="280"/>
        </w:tabs>
        <w:bidi w:val="0"/>
        <w:jc w:val="left"/>
        <w:rPr>
          <w:rFonts w:hint="eastAsia" w:eastAsia="宋体"/>
          <w:sz w:val="30"/>
          <w:szCs w:val="30"/>
          <w:lang w:eastAsia="zh-CN"/>
        </w:rPr>
      </w:pPr>
    </w:p>
    <w:p w14:paraId="2DE2FA41">
      <w:pPr>
        <w:tabs>
          <w:tab w:val="left" w:pos="280"/>
        </w:tabs>
        <w:bidi w:val="0"/>
        <w:jc w:val="left"/>
        <w:rPr>
          <w:rFonts w:hint="eastAsia" w:eastAsia="宋体"/>
          <w:sz w:val="30"/>
          <w:szCs w:val="30"/>
          <w:lang w:eastAsia="zh-CN"/>
        </w:rPr>
      </w:pPr>
      <w:r>
        <w:rPr>
          <w:rFonts w:hint="eastAsia" w:eastAsia="宋体"/>
          <w:sz w:val="30"/>
          <w:szCs w:val="30"/>
          <w:lang w:eastAsia="zh-CN"/>
        </w:rPr>
        <w:t>To begin with, God says that he himself will put enmity between the serpent and the woman.</w:t>
      </w:r>
    </w:p>
    <w:p w14:paraId="4C3640D8">
      <w:pPr>
        <w:tabs>
          <w:tab w:val="left" w:pos="280"/>
        </w:tabs>
        <w:bidi w:val="0"/>
        <w:jc w:val="left"/>
        <w:rPr>
          <w:rFonts w:hint="eastAsia" w:eastAsia="宋体"/>
          <w:sz w:val="30"/>
          <w:szCs w:val="30"/>
          <w:lang w:eastAsia="zh-CN"/>
        </w:rPr>
      </w:pPr>
      <w:r>
        <w:rPr>
          <w:rFonts w:hint="eastAsia" w:eastAsia="宋体"/>
          <w:sz w:val="30"/>
          <w:szCs w:val="30"/>
          <w:lang w:eastAsia="zh-CN"/>
        </w:rPr>
        <w:t>首先，上帝说祂自己要叫蛇和女人彼此为仇。</w:t>
      </w:r>
    </w:p>
    <w:p w14:paraId="44C51711">
      <w:pPr>
        <w:tabs>
          <w:tab w:val="left" w:pos="280"/>
        </w:tabs>
        <w:bidi w:val="0"/>
        <w:jc w:val="left"/>
        <w:rPr>
          <w:rFonts w:hint="eastAsia" w:eastAsia="宋体"/>
          <w:sz w:val="30"/>
          <w:szCs w:val="30"/>
          <w:lang w:eastAsia="zh-CN"/>
        </w:rPr>
      </w:pPr>
    </w:p>
    <w:p w14:paraId="6A16ABE9">
      <w:pPr>
        <w:tabs>
          <w:tab w:val="left" w:pos="280"/>
        </w:tabs>
        <w:bidi w:val="0"/>
        <w:jc w:val="left"/>
        <w:rPr>
          <w:rFonts w:hint="eastAsia" w:eastAsia="宋体"/>
          <w:sz w:val="30"/>
          <w:szCs w:val="30"/>
          <w:lang w:eastAsia="zh-CN"/>
        </w:rPr>
      </w:pPr>
      <w:r>
        <w:rPr>
          <w:rFonts w:hint="eastAsia" w:eastAsia="宋体"/>
          <w:sz w:val="30"/>
          <w:szCs w:val="30"/>
          <w:lang w:eastAsia="zh-CN"/>
        </w:rPr>
        <w:t>The serpent represents Satan (2 Cor. 11:3).</w:t>
      </w:r>
    </w:p>
    <w:p w14:paraId="3DB6250E">
      <w:pPr>
        <w:tabs>
          <w:tab w:val="left" w:pos="280"/>
        </w:tabs>
        <w:bidi w:val="0"/>
        <w:jc w:val="left"/>
        <w:rPr>
          <w:rFonts w:hint="eastAsia" w:eastAsia="宋体"/>
          <w:sz w:val="30"/>
          <w:szCs w:val="30"/>
          <w:lang w:eastAsia="zh-CN"/>
        </w:rPr>
      </w:pPr>
      <w:r>
        <w:rPr>
          <w:rFonts w:hint="eastAsia" w:eastAsia="宋体"/>
          <w:sz w:val="30"/>
          <w:szCs w:val="30"/>
          <w:lang w:eastAsia="zh-CN"/>
        </w:rPr>
        <w:t>蛇代表撒但（林后 11:3）。</w:t>
      </w:r>
    </w:p>
    <w:p w14:paraId="1E1D7B58">
      <w:pPr>
        <w:tabs>
          <w:tab w:val="left" w:pos="280"/>
        </w:tabs>
        <w:bidi w:val="0"/>
        <w:jc w:val="left"/>
        <w:rPr>
          <w:rFonts w:hint="eastAsia" w:eastAsia="宋体"/>
          <w:sz w:val="30"/>
          <w:szCs w:val="30"/>
          <w:lang w:eastAsia="zh-CN"/>
        </w:rPr>
      </w:pPr>
    </w:p>
    <w:p w14:paraId="2836D4BE">
      <w:pPr>
        <w:tabs>
          <w:tab w:val="left" w:pos="280"/>
        </w:tabs>
        <w:bidi w:val="0"/>
        <w:jc w:val="left"/>
        <w:rPr>
          <w:rFonts w:hint="eastAsia" w:eastAsia="宋体"/>
          <w:sz w:val="30"/>
          <w:szCs w:val="30"/>
          <w:lang w:eastAsia="zh-CN"/>
        </w:rPr>
      </w:pPr>
      <w:r>
        <w:rPr>
          <w:rFonts w:hint="eastAsia" w:eastAsia="宋体"/>
          <w:sz w:val="30"/>
          <w:szCs w:val="30"/>
          <w:lang w:eastAsia="zh-CN"/>
        </w:rPr>
        <w:t>Eve represents the Church, she who is not only the Bride of Christ, but also the Mother of the Living (Eph. 5:22f).</w:t>
      </w:r>
    </w:p>
    <w:p w14:paraId="7CB34EAA">
      <w:pPr>
        <w:tabs>
          <w:tab w:val="left" w:pos="280"/>
        </w:tabs>
        <w:bidi w:val="0"/>
        <w:jc w:val="left"/>
        <w:rPr>
          <w:rFonts w:hint="eastAsia" w:eastAsia="宋体"/>
          <w:sz w:val="30"/>
          <w:szCs w:val="30"/>
          <w:lang w:eastAsia="zh-CN"/>
        </w:rPr>
      </w:pPr>
      <w:r>
        <w:rPr>
          <w:rFonts w:hint="eastAsia" w:eastAsia="宋体"/>
          <w:sz w:val="30"/>
          <w:szCs w:val="30"/>
          <w:lang w:eastAsia="zh-CN"/>
        </w:rPr>
        <w:t>夏娃代表教会，她不仅是基督的新妇，也是众生之母（弗 5:22f）。</w:t>
      </w:r>
    </w:p>
    <w:p w14:paraId="5662389B">
      <w:pPr>
        <w:tabs>
          <w:tab w:val="left" w:pos="280"/>
        </w:tabs>
        <w:bidi w:val="0"/>
        <w:jc w:val="left"/>
        <w:rPr>
          <w:rFonts w:hint="eastAsia" w:eastAsia="宋体"/>
          <w:sz w:val="30"/>
          <w:szCs w:val="30"/>
          <w:lang w:eastAsia="zh-CN"/>
        </w:rPr>
      </w:pPr>
    </w:p>
    <w:p w14:paraId="6CAFE70C">
      <w:pPr>
        <w:tabs>
          <w:tab w:val="left" w:pos="280"/>
        </w:tabs>
        <w:bidi w:val="0"/>
        <w:jc w:val="left"/>
        <w:rPr>
          <w:rFonts w:hint="eastAsia" w:eastAsia="宋体"/>
          <w:sz w:val="30"/>
          <w:szCs w:val="30"/>
          <w:lang w:eastAsia="zh-CN"/>
        </w:rPr>
      </w:pPr>
      <w:r>
        <w:rPr>
          <w:rFonts w:hint="eastAsia" w:eastAsia="宋体"/>
          <w:sz w:val="30"/>
          <w:szCs w:val="30"/>
          <w:lang w:eastAsia="zh-CN"/>
        </w:rPr>
        <w:t>That is, she will give birth to Christ, and also to all who will trust in him through the preaching of the Gospel (Rev. 12:1f).</w:t>
      </w:r>
    </w:p>
    <w:p w14:paraId="6F33CFE8">
      <w:pPr>
        <w:tabs>
          <w:tab w:val="left" w:pos="280"/>
        </w:tabs>
        <w:bidi w:val="0"/>
        <w:jc w:val="left"/>
        <w:rPr>
          <w:rFonts w:hint="eastAsia" w:eastAsia="宋体"/>
          <w:sz w:val="30"/>
          <w:szCs w:val="30"/>
          <w:lang w:eastAsia="zh-CN"/>
        </w:rPr>
      </w:pPr>
      <w:r>
        <w:rPr>
          <w:rFonts w:hint="eastAsia" w:eastAsia="宋体"/>
          <w:sz w:val="30"/>
          <w:szCs w:val="30"/>
          <w:lang w:eastAsia="zh-CN"/>
        </w:rPr>
        <w:t>也就是说，她将生下基督，也生下所有藉着福音的传讲而信靠祂的人（启 12:1f）。</w:t>
      </w:r>
    </w:p>
    <w:p w14:paraId="4C139D96">
      <w:pPr>
        <w:tabs>
          <w:tab w:val="left" w:pos="280"/>
        </w:tabs>
        <w:bidi w:val="0"/>
        <w:jc w:val="left"/>
        <w:rPr>
          <w:rFonts w:hint="eastAsia" w:eastAsia="宋体"/>
          <w:sz w:val="30"/>
          <w:szCs w:val="30"/>
          <w:lang w:eastAsia="zh-CN"/>
        </w:rPr>
      </w:pPr>
    </w:p>
    <w:p w14:paraId="439B67B2">
      <w:pPr>
        <w:tabs>
          <w:tab w:val="left" w:pos="280"/>
        </w:tabs>
        <w:bidi w:val="0"/>
        <w:jc w:val="left"/>
        <w:rPr>
          <w:rFonts w:hint="eastAsia" w:eastAsia="宋体"/>
          <w:sz w:val="30"/>
          <w:szCs w:val="30"/>
          <w:lang w:eastAsia="zh-CN"/>
        </w:rPr>
      </w:pPr>
      <w:r>
        <w:rPr>
          <w:rFonts w:hint="eastAsia" w:eastAsia="宋体"/>
          <w:sz w:val="30"/>
          <w:szCs w:val="30"/>
          <w:lang w:eastAsia="zh-CN"/>
        </w:rPr>
        <w:t>Mercifully and graciously, God will draw the Woman into a new (covenant) relationship with himself, giving her a new nature that causes her to love and trust him, even as she learns to hate and disbelieve the master she formerly chose to obey (John 5:42, Rom. 5:5).</w:t>
      </w:r>
    </w:p>
    <w:p w14:paraId="37611429">
      <w:pPr>
        <w:tabs>
          <w:tab w:val="left" w:pos="280"/>
        </w:tabs>
        <w:bidi w:val="0"/>
        <w:jc w:val="left"/>
        <w:rPr>
          <w:rFonts w:hint="eastAsia" w:eastAsia="宋体"/>
          <w:sz w:val="30"/>
          <w:szCs w:val="30"/>
          <w:lang w:eastAsia="zh-CN"/>
        </w:rPr>
      </w:pPr>
      <w:r>
        <w:rPr>
          <w:rFonts w:hint="eastAsia" w:eastAsia="宋体"/>
          <w:sz w:val="30"/>
          <w:szCs w:val="30"/>
          <w:lang w:eastAsia="zh-CN"/>
        </w:rPr>
        <w:t>上帝将以怜悯和恩典，吸引那女人进入与祂自己的一种新的（立约）关系，赐给她一个新的本性，使她爱祂、信靠祂，同时她也学会了恨恶和不信她先前选择顺从的主人（约 5:42, 罗 5:5）。</w:t>
      </w:r>
    </w:p>
    <w:p w14:paraId="4231C74A">
      <w:pPr>
        <w:tabs>
          <w:tab w:val="left" w:pos="280"/>
        </w:tabs>
        <w:bidi w:val="0"/>
        <w:jc w:val="left"/>
        <w:rPr>
          <w:rFonts w:hint="eastAsia" w:eastAsia="宋体"/>
          <w:sz w:val="30"/>
          <w:szCs w:val="30"/>
          <w:lang w:eastAsia="zh-CN"/>
        </w:rPr>
      </w:pPr>
    </w:p>
    <w:p w14:paraId="241128A8">
      <w:pPr>
        <w:tabs>
          <w:tab w:val="left" w:pos="280"/>
        </w:tabs>
        <w:bidi w:val="0"/>
        <w:jc w:val="left"/>
        <w:rPr>
          <w:rFonts w:hint="eastAsia" w:eastAsia="宋体"/>
          <w:sz w:val="30"/>
          <w:szCs w:val="30"/>
          <w:lang w:eastAsia="zh-CN"/>
        </w:rPr>
      </w:pPr>
      <w:r>
        <w:rPr>
          <w:rFonts w:hint="eastAsia" w:eastAsia="宋体"/>
          <w:sz w:val="30"/>
          <w:szCs w:val="30"/>
          <w:lang w:eastAsia="zh-CN"/>
        </w:rPr>
        <w:t>The text also says that God will put enmity between the seed of the serpent and the seed of the woman.</w:t>
      </w:r>
    </w:p>
    <w:p w14:paraId="23581A8C">
      <w:pPr>
        <w:tabs>
          <w:tab w:val="left" w:pos="280"/>
        </w:tabs>
        <w:bidi w:val="0"/>
        <w:jc w:val="left"/>
        <w:rPr>
          <w:rFonts w:hint="eastAsia" w:eastAsia="宋体"/>
          <w:sz w:val="30"/>
          <w:szCs w:val="30"/>
          <w:lang w:eastAsia="zh-CN"/>
        </w:rPr>
      </w:pPr>
      <w:r>
        <w:rPr>
          <w:rFonts w:hint="eastAsia" w:eastAsia="宋体"/>
          <w:sz w:val="30"/>
          <w:szCs w:val="30"/>
          <w:lang w:eastAsia="zh-CN"/>
        </w:rPr>
        <w:t>经文也说，上帝要叫蛇的后裔和女人的后裔彼此为仇。</w:t>
      </w:r>
    </w:p>
    <w:p w14:paraId="5455AC4A">
      <w:pPr>
        <w:tabs>
          <w:tab w:val="left" w:pos="280"/>
        </w:tabs>
        <w:bidi w:val="0"/>
        <w:jc w:val="left"/>
        <w:rPr>
          <w:rFonts w:hint="eastAsia" w:eastAsia="宋体"/>
          <w:sz w:val="30"/>
          <w:szCs w:val="30"/>
          <w:lang w:eastAsia="zh-CN"/>
        </w:rPr>
      </w:pPr>
    </w:p>
    <w:p w14:paraId="477E842A">
      <w:pPr>
        <w:tabs>
          <w:tab w:val="left" w:pos="280"/>
        </w:tabs>
        <w:bidi w:val="0"/>
        <w:jc w:val="left"/>
        <w:rPr>
          <w:rFonts w:hint="eastAsia" w:eastAsia="宋体"/>
          <w:sz w:val="30"/>
          <w:szCs w:val="30"/>
          <w:lang w:eastAsia="zh-CN"/>
        </w:rPr>
      </w:pPr>
      <w:r>
        <w:rPr>
          <w:rFonts w:hint="eastAsia" w:eastAsia="宋体"/>
          <w:sz w:val="30"/>
          <w:szCs w:val="30"/>
          <w:lang w:eastAsia="zh-CN"/>
        </w:rPr>
        <w:t>The seed of the serpent is Satan’s children—children like Cain, Korah, Ahithophel, Ahab, Herod, Judas, Caiaphas, Pilate, and Nero (Mt. 13:38, John 8:44).</w:t>
      </w:r>
    </w:p>
    <w:p w14:paraId="1AFBCEA0">
      <w:pPr>
        <w:tabs>
          <w:tab w:val="left" w:pos="280"/>
        </w:tabs>
        <w:bidi w:val="0"/>
        <w:jc w:val="left"/>
        <w:rPr>
          <w:rFonts w:hint="eastAsia" w:eastAsia="宋体"/>
          <w:sz w:val="30"/>
          <w:szCs w:val="30"/>
          <w:lang w:eastAsia="zh-CN"/>
        </w:rPr>
      </w:pPr>
      <w:r>
        <w:rPr>
          <w:rFonts w:hint="eastAsia" w:eastAsia="宋体"/>
          <w:sz w:val="30"/>
          <w:szCs w:val="30"/>
          <w:lang w:eastAsia="zh-CN"/>
        </w:rPr>
        <w:t>蛇的后裔是撒但的儿女——像该隐、可拉、亚希多弗、亚哈、希律、犹大、该亚法、彼拉多和尼禄这样的儿女（太 13:38, 约 8:44）。</w:t>
      </w:r>
    </w:p>
    <w:p w14:paraId="45639849">
      <w:pPr>
        <w:tabs>
          <w:tab w:val="left" w:pos="280"/>
        </w:tabs>
        <w:bidi w:val="0"/>
        <w:jc w:val="left"/>
        <w:rPr>
          <w:rFonts w:hint="eastAsia" w:eastAsia="宋体"/>
          <w:sz w:val="30"/>
          <w:szCs w:val="30"/>
          <w:lang w:eastAsia="zh-CN"/>
        </w:rPr>
      </w:pPr>
    </w:p>
    <w:p w14:paraId="49F1FB2B">
      <w:pPr>
        <w:tabs>
          <w:tab w:val="left" w:pos="280"/>
        </w:tabs>
        <w:bidi w:val="0"/>
        <w:jc w:val="left"/>
        <w:rPr>
          <w:rFonts w:hint="eastAsia" w:eastAsia="宋体"/>
          <w:sz w:val="30"/>
          <w:szCs w:val="30"/>
          <w:lang w:eastAsia="zh-CN"/>
        </w:rPr>
      </w:pPr>
      <w:r>
        <w:rPr>
          <w:rFonts w:hint="eastAsia" w:eastAsia="宋体"/>
          <w:sz w:val="30"/>
          <w:szCs w:val="30"/>
          <w:lang w:eastAsia="zh-CN"/>
        </w:rPr>
        <w:t>The seed of the woman is Christ.</w:t>
      </w:r>
    </w:p>
    <w:p w14:paraId="2C508828">
      <w:pPr>
        <w:tabs>
          <w:tab w:val="left" w:pos="280"/>
        </w:tabs>
        <w:bidi w:val="0"/>
        <w:jc w:val="left"/>
        <w:rPr>
          <w:rFonts w:hint="eastAsia" w:eastAsia="宋体"/>
          <w:sz w:val="30"/>
          <w:szCs w:val="30"/>
          <w:lang w:eastAsia="zh-CN"/>
        </w:rPr>
      </w:pPr>
      <w:r>
        <w:rPr>
          <w:rFonts w:hint="eastAsia" w:eastAsia="宋体"/>
          <w:sz w:val="30"/>
          <w:szCs w:val="30"/>
          <w:lang w:eastAsia="zh-CN"/>
        </w:rPr>
        <w:t>女人的后裔是基督。</w:t>
      </w:r>
    </w:p>
    <w:p w14:paraId="68C9BBA6">
      <w:pPr>
        <w:tabs>
          <w:tab w:val="left" w:pos="280"/>
        </w:tabs>
        <w:bidi w:val="0"/>
        <w:jc w:val="left"/>
        <w:rPr>
          <w:rFonts w:hint="eastAsia" w:eastAsia="宋体"/>
          <w:sz w:val="30"/>
          <w:szCs w:val="30"/>
          <w:lang w:eastAsia="zh-CN"/>
        </w:rPr>
      </w:pPr>
    </w:p>
    <w:p w14:paraId="18AB99D5">
      <w:pPr>
        <w:tabs>
          <w:tab w:val="left" w:pos="280"/>
        </w:tabs>
        <w:bidi w:val="0"/>
        <w:jc w:val="left"/>
        <w:rPr>
          <w:rFonts w:hint="eastAsia" w:eastAsia="宋体"/>
          <w:sz w:val="30"/>
          <w:szCs w:val="30"/>
          <w:lang w:eastAsia="zh-CN"/>
        </w:rPr>
      </w:pPr>
      <w:r>
        <w:rPr>
          <w:rFonts w:hint="eastAsia" w:eastAsia="宋体"/>
          <w:sz w:val="30"/>
          <w:szCs w:val="30"/>
          <w:lang w:eastAsia="zh-CN"/>
        </w:rPr>
        <w:t>He will be born of Mary, the woman who embodied all of God’s OT saints, through whose corporate faithfulness the OT Church finally gave birth to the world’s Lord and Savior (Gal. 3:19, Rev. 12:1f).</w:t>
      </w:r>
    </w:p>
    <w:p w14:paraId="4215919E">
      <w:pPr>
        <w:tabs>
          <w:tab w:val="left" w:pos="280"/>
        </w:tabs>
        <w:bidi w:val="0"/>
        <w:jc w:val="left"/>
        <w:rPr>
          <w:rFonts w:hint="eastAsia" w:eastAsia="宋体"/>
          <w:sz w:val="30"/>
          <w:szCs w:val="30"/>
          <w:lang w:eastAsia="zh-CN"/>
        </w:rPr>
      </w:pPr>
      <w:r>
        <w:rPr>
          <w:rFonts w:hint="eastAsia" w:eastAsia="宋体"/>
          <w:sz w:val="30"/>
          <w:szCs w:val="30"/>
          <w:lang w:eastAsia="zh-CN"/>
        </w:rPr>
        <w:t>祂将由马利亚所生，这女人体现了上帝所有的旧约圣徒，藉着他们集体的忠信，旧约教会最终生下了世界的救主和主（加 3:19, 启 12:1f）。</w:t>
      </w:r>
    </w:p>
    <w:p w14:paraId="7A76D022">
      <w:pPr>
        <w:tabs>
          <w:tab w:val="left" w:pos="280"/>
        </w:tabs>
        <w:bidi w:val="0"/>
        <w:jc w:val="left"/>
        <w:rPr>
          <w:rFonts w:hint="eastAsia" w:eastAsia="宋体"/>
          <w:sz w:val="30"/>
          <w:szCs w:val="30"/>
          <w:lang w:eastAsia="zh-CN"/>
        </w:rPr>
      </w:pPr>
    </w:p>
    <w:p w14:paraId="7EF23D04">
      <w:pPr>
        <w:tabs>
          <w:tab w:val="left" w:pos="280"/>
        </w:tabs>
        <w:bidi w:val="0"/>
        <w:jc w:val="left"/>
        <w:rPr>
          <w:rFonts w:hint="eastAsia" w:eastAsia="宋体"/>
          <w:sz w:val="30"/>
          <w:szCs w:val="30"/>
          <w:lang w:eastAsia="zh-CN"/>
        </w:rPr>
      </w:pPr>
      <w:r>
        <w:rPr>
          <w:rFonts w:hint="eastAsia" w:eastAsia="宋体"/>
          <w:sz w:val="30"/>
          <w:szCs w:val="30"/>
          <w:lang w:eastAsia="zh-CN"/>
        </w:rPr>
        <w:t>But by extension, the seed of the woman is also the Body of Christ: the saints, the human parties to the Covenant, all who trust in the Lord for salvation.</w:t>
      </w:r>
    </w:p>
    <w:p w14:paraId="10156071">
      <w:pPr>
        <w:tabs>
          <w:tab w:val="left" w:pos="280"/>
        </w:tabs>
        <w:bidi w:val="0"/>
        <w:jc w:val="left"/>
        <w:rPr>
          <w:rFonts w:hint="eastAsia" w:eastAsia="宋体"/>
          <w:sz w:val="30"/>
          <w:szCs w:val="30"/>
          <w:lang w:eastAsia="zh-CN"/>
        </w:rPr>
      </w:pPr>
      <w:r>
        <w:rPr>
          <w:rFonts w:hint="eastAsia" w:eastAsia="宋体"/>
          <w:sz w:val="30"/>
          <w:szCs w:val="30"/>
          <w:lang w:eastAsia="zh-CN"/>
        </w:rPr>
        <w:t>但推而广之，女人的后裔也是基督的身体：圣徒，圣约的人类立约方，所有信靠主得救的人。</w:t>
      </w:r>
    </w:p>
    <w:p w14:paraId="1321ED66">
      <w:pPr>
        <w:tabs>
          <w:tab w:val="left" w:pos="280"/>
        </w:tabs>
        <w:bidi w:val="0"/>
        <w:jc w:val="left"/>
        <w:rPr>
          <w:rFonts w:hint="eastAsia" w:eastAsia="宋体"/>
          <w:sz w:val="30"/>
          <w:szCs w:val="30"/>
          <w:lang w:eastAsia="zh-CN"/>
        </w:rPr>
      </w:pPr>
    </w:p>
    <w:p w14:paraId="12BDA585">
      <w:pPr>
        <w:tabs>
          <w:tab w:val="left" w:pos="280"/>
        </w:tabs>
        <w:bidi w:val="0"/>
        <w:jc w:val="left"/>
        <w:rPr>
          <w:rFonts w:hint="eastAsia" w:eastAsia="宋体"/>
          <w:sz w:val="30"/>
          <w:szCs w:val="30"/>
          <w:lang w:eastAsia="zh-CN"/>
        </w:rPr>
      </w:pPr>
      <w:r>
        <w:rPr>
          <w:rFonts w:hint="eastAsia" w:eastAsia="宋体"/>
          <w:sz w:val="30"/>
          <w:szCs w:val="30"/>
          <w:lang w:eastAsia="zh-CN"/>
        </w:rPr>
        <w:t>These will indeed share in his warfare and humiliation, but also in his ultimate triumph and glory (Rom. 4:16, Gal. 3:29).</w:t>
      </w:r>
    </w:p>
    <w:p w14:paraId="5C887125">
      <w:pPr>
        <w:tabs>
          <w:tab w:val="left" w:pos="280"/>
        </w:tabs>
        <w:bidi w:val="0"/>
        <w:jc w:val="left"/>
        <w:rPr>
          <w:rFonts w:hint="eastAsia" w:eastAsia="宋体"/>
          <w:sz w:val="30"/>
          <w:szCs w:val="30"/>
          <w:lang w:eastAsia="zh-CN"/>
        </w:rPr>
      </w:pPr>
      <w:r>
        <w:rPr>
          <w:rFonts w:hint="eastAsia" w:eastAsia="宋体"/>
          <w:sz w:val="30"/>
          <w:szCs w:val="30"/>
          <w:lang w:eastAsia="zh-CN"/>
        </w:rPr>
        <w:t>这些人确实将分享祂的争战和降卑，但也分享祂最终的胜利和荣耀（罗 4:16, 加 3:29）。</w:t>
      </w:r>
    </w:p>
    <w:p w14:paraId="22C5BC28">
      <w:pPr>
        <w:tabs>
          <w:tab w:val="left" w:pos="280"/>
        </w:tabs>
        <w:bidi w:val="0"/>
        <w:jc w:val="left"/>
        <w:rPr>
          <w:rFonts w:hint="eastAsia" w:eastAsia="宋体"/>
          <w:sz w:val="30"/>
          <w:szCs w:val="30"/>
          <w:lang w:eastAsia="zh-CN"/>
        </w:rPr>
      </w:pPr>
    </w:p>
    <w:p w14:paraId="48E44B21">
      <w:pPr>
        <w:tabs>
          <w:tab w:val="left" w:pos="280"/>
        </w:tabs>
        <w:bidi w:val="0"/>
        <w:jc w:val="left"/>
        <w:rPr>
          <w:rFonts w:hint="eastAsia" w:eastAsia="宋体"/>
          <w:sz w:val="30"/>
          <w:szCs w:val="30"/>
          <w:lang w:eastAsia="zh-CN"/>
        </w:rPr>
      </w:pPr>
      <w:r>
        <w:rPr>
          <w:rFonts w:hint="eastAsia" w:eastAsia="宋体"/>
          <w:sz w:val="30"/>
          <w:szCs w:val="30"/>
          <w:lang w:eastAsia="zh-CN"/>
        </w:rPr>
        <w:t>Finally, we learn that the Seed of the Woman will crush the serpent’s head, and the serpent will bruise him on the heel.</w:t>
      </w:r>
    </w:p>
    <w:p w14:paraId="4CF61931">
      <w:pPr>
        <w:tabs>
          <w:tab w:val="left" w:pos="280"/>
        </w:tabs>
        <w:bidi w:val="0"/>
        <w:jc w:val="left"/>
        <w:rPr>
          <w:rFonts w:hint="eastAsia" w:eastAsia="宋体"/>
          <w:sz w:val="30"/>
          <w:szCs w:val="30"/>
          <w:lang w:eastAsia="zh-CN"/>
        </w:rPr>
      </w:pPr>
      <w:r>
        <w:rPr>
          <w:rFonts w:hint="eastAsia" w:eastAsia="宋体"/>
          <w:sz w:val="30"/>
          <w:szCs w:val="30"/>
          <w:lang w:eastAsia="zh-CN"/>
        </w:rPr>
        <w:t>最后，我们得知女人的后裔将伤蛇的头，而蛇将伤祂的脚跟。</w:t>
      </w:r>
    </w:p>
    <w:p w14:paraId="5FD30BFC">
      <w:pPr>
        <w:tabs>
          <w:tab w:val="left" w:pos="280"/>
        </w:tabs>
        <w:bidi w:val="0"/>
        <w:jc w:val="left"/>
        <w:rPr>
          <w:rFonts w:hint="eastAsia" w:eastAsia="宋体"/>
          <w:sz w:val="30"/>
          <w:szCs w:val="30"/>
          <w:lang w:eastAsia="zh-CN"/>
        </w:rPr>
      </w:pPr>
    </w:p>
    <w:p w14:paraId="7176FC38">
      <w:pPr>
        <w:tabs>
          <w:tab w:val="left" w:pos="280"/>
        </w:tabs>
        <w:bidi w:val="0"/>
        <w:jc w:val="left"/>
        <w:rPr>
          <w:rFonts w:hint="eastAsia" w:eastAsia="宋体"/>
          <w:sz w:val="30"/>
          <w:szCs w:val="30"/>
          <w:lang w:eastAsia="zh-CN"/>
        </w:rPr>
      </w:pPr>
      <w:r>
        <w:rPr>
          <w:rFonts w:hint="eastAsia" w:eastAsia="宋体"/>
          <w:sz w:val="30"/>
          <w:szCs w:val="30"/>
          <w:lang w:eastAsia="zh-CN"/>
        </w:rPr>
        <w:t>These are astonishing words.</w:t>
      </w:r>
    </w:p>
    <w:p w14:paraId="4B52E629">
      <w:pPr>
        <w:tabs>
          <w:tab w:val="left" w:pos="280"/>
        </w:tabs>
        <w:bidi w:val="0"/>
        <w:jc w:val="left"/>
        <w:rPr>
          <w:rFonts w:hint="eastAsia" w:eastAsia="宋体"/>
          <w:sz w:val="30"/>
          <w:szCs w:val="30"/>
          <w:lang w:eastAsia="zh-CN"/>
        </w:rPr>
      </w:pPr>
      <w:r>
        <w:rPr>
          <w:rFonts w:hint="eastAsia" w:eastAsia="宋体"/>
          <w:sz w:val="30"/>
          <w:szCs w:val="30"/>
          <w:lang w:eastAsia="zh-CN"/>
        </w:rPr>
        <w:t>这些是令人震惊的话语。</w:t>
      </w:r>
    </w:p>
    <w:p w14:paraId="333A28E6">
      <w:pPr>
        <w:tabs>
          <w:tab w:val="left" w:pos="280"/>
        </w:tabs>
        <w:bidi w:val="0"/>
        <w:jc w:val="left"/>
        <w:rPr>
          <w:rFonts w:hint="eastAsia" w:eastAsia="宋体"/>
          <w:sz w:val="30"/>
          <w:szCs w:val="30"/>
          <w:lang w:eastAsia="zh-CN"/>
        </w:rPr>
      </w:pPr>
    </w:p>
    <w:p w14:paraId="7B5F44D4">
      <w:pPr>
        <w:tabs>
          <w:tab w:val="left" w:pos="280"/>
        </w:tabs>
        <w:bidi w:val="0"/>
        <w:jc w:val="left"/>
        <w:rPr>
          <w:rFonts w:hint="eastAsia" w:eastAsia="宋体"/>
          <w:sz w:val="30"/>
          <w:szCs w:val="30"/>
          <w:lang w:eastAsia="zh-CN"/>
        </w:rPr>
      </w:pPr>
      <w:r>
        <w:rPr>
          <w:rFonts w:hint="eastAsia" w:eastAsia="宋体"/>
          <w:sz w:val="30"/>
          <w:szCs w:val="30"/>
          <w:lang w:eastAsia="zh-CN"/>
        </w:rPr>
        <w:t>On the one hand, they point to Christ’s death, which Satan himself will effect through the agency of hostile Jews and Gentiles (John 14:30-31, Rev. 12:4).</w:t>
      </w:r>
    </w:p>
    <w:p w14:paraId="7FDB1D72">
      <w:pPr>
        <w:tabs>
          <w:tab w:val="left" w:pos="280"/>
        </w:tabs>
        <w:bidi w:val="0"/>
        <w:jc w:val="left"/>
        <w:rPr>
          <w:rFonts w:hint="eastAsia" w:eastAsia="宋体"/>
          <w:sz w:val="30"/>
          <w:szCs w:val="30"/>
          <w:lang w:eastAsia="zh-CN"/>
        </w:rPr>
      </w:pPr>
      <w:r>
        <w:rPr>
          <w:rFonts w:hint="eastAsia" w:eastAsia="宋体"/>
          <w:sz w:val="30"/>
          <w:szCs w:val="30"/>
          <w:lang w:eastAsia="zh-CN"/>
        </w:rPr>
        <w:t>一方面，它们指向基督的死，撒但自己将藉着敌对的犹太人和外邦人来实现（约 14:30-31, 启 12:4）。</w:t>
      </w:r>
    </w:p>
    <w:p w14:paraId="20C33C82">
      <w:pPr>
        <w:tabs>
          <w:tab w:val="left" w:pos="280"/>
        </w:tabs>
        <w:bidi w:val="0"/>
        <w:jc w:val="left"/>
        <w:rPr>
          <w:rFonts w:hint="eastAsia" w:eastAsia="宋体"/>
          <w:sz w:val="30"/>
          <w:szCs w:val="30"/>
          <w:lang w:eastAsia="zh-CN"/>
        </w:rPr>
      </w:pPr>
    </w:p>
    <w:p w14:paraId="7C9670D1">
      <w:pPr>
        <w:tabs>
          <w:tab w:val="left" w:pos="280"/>
        </w:tabs>
        <w:bidi w:val="0"/>
        <w:jc w:val="left"/>
        <w:rPr>
          <w:rFonts w:hint="eastAsia" w:eastAsia="宋体"/>
          <w:sz w:val="30"/>
          <w:szCs w:val="30"/>
          <w:lang w:eastAsia="zh-CN"/>
        </w:rPr>
      </w:pPr>
      <w:r>
        <w:rPr>
          <w:rFonts w:hint="eastAsia" w:eastAsia="宋体"/>
          <w:sz w:val="30"/>
          <w:szCs w:val="30"/>
          <w:lang w:eastAsia="zh-CN"/>
        </w:rPr>
        <w:t>This will be a true death, as it must be; yet because of the resurrection, it will only be a bruise.</w:t>
      </w:r>
    </w:p>
    <w:p w14:paraId="114C7FB7">
      <w:pPr>
        <w:tabs>
          <w:tab w:val="left" w:pos="280"/>
        </w:tabs>
        <w:bidi w:val="0"/>
        <w:jc w:val="left"/>
        <w:rPr>
          <w:rFonts w:hint="eastAsia" w:eastAsia="宋体"/>
          <w:sz w:val="30"/>
          <w:szCs w:val="30"/>
          <w:lang w:eastAsia="zh-CN"/>
        </w:rPr>
      </w:pPr>
      <w:r>
        <w:rPr>
          <w:rFonts w:hint="eastAsia" w:eastAsia="宋体"/>
          <w:sz w:val="30"/>
          <w:szCs w:val="30"/>
          <w:lang w:eastAsia="zh-CN"/>
        </w:rPr>
        <w:t>这必须是一场真正的死亡；然而因为复活，它将仅仅是一个瘀伤。</w:t>
      </w:r>
    </w:p>
    <w:p w14:paraId="78EF71C0">
      <w:pPr>
        <w:tabs>
          <w:tab w:val="left" w:pos="280"/>
        </w:tabs>
        <w:bidi w:val="0"/>
        <w:jc w:val="left"/>
        <w:rPr>
          <w:rFonts w:hint="eastAsia" w:eastAsia="宋体"/>
          <w:sz w:val="30"/>
          <w:szCs w:val="30"/>
          <w:lang w:eastAsia="zh-CN"/>
        </w:rPr>
      </w:pPr>
    </w:p>
    <w:p w14:paraId="487FB65E">
      <w:pPr>
        <w:tabs>
          <w:tab w:val="left" w:pos="280"/>
        </w:tabs>
        <w:bidi w:val="0"/>
        <w:jc w:val="left"/>
        <w:rPr>
          <w:rFonts w:hint="eastAsia" w:eastAsia="宋体"/>
          <w:sz w:val="30"/>
          <w:szCs w:val="30"/>
          <w:lang w:eastAsia="zh-CN"/>
        </w:rPr>
      </w:pPr>
      <w:r>
        <w:rPr>
          <w:rFonts w:hint="eastAsia" w:eastAsia="宋体"/>
          <w:sz w:val="30"/>
          <w:szCs w:val="30"/>
          <w:lang w:eastAsia="zh-CN"/>
        </w:rPr>
        <w:t>On the other hand, these words also point to the overthrow of Satan’s evil kingdom: Christ will strike a crushing blow to his head, a mortal blow to his authority (Psalm 110:6, John 12:31, Col. 2:15, Rev. 12:7-12).</w:t>
      </w:r>
    </w:p>
    <w:p w14:paraId="488B9AAE">
      <w:pPr>
        <w:tabs>
          <w:tab w:val="left" w:pos="280"/>
        </w:tabs>
        <w:bidi w:val="0"/>
        <w:jc w:val="left"/>
        <w:rPr>
          <w:rFonts w:hint="eastAsia" w:eastAsia="宋体"/>
          <w:sz w:val="30"/>
          <w:szCs w:val="30"/>
          <w:lang w:eastAsia="zh-CN"/>
        </w:rPr>
      </w:pPr>
      <w:r>
        <w:rPr>
          <w:rFonts w:hint="eastAsia" w:eastAsia="宋体"/>
          <w:sz w:val="30"/>
          <w:szCs w:val="30"/>
          <w:lang w:eastAsia="zh-CN"/>
        </w:rPr>
        <w:t>另一方面，这些话也指向撒但邪恶国度的倾覆：基督将给他的头以致命一击，给他的权柄以致命一击（诗篇 110:6, 约 12:31, 西 2:15, 启 12:7-12）。</w:t>
      </w:r>
    </w:p>
    <w:p w14:paraId="7F59C192">
      <w:pPr>
        <w:tabs>
          <w:tab w:val="left" w:pos="280"/>
        </w:tabs>
        <w:bidi w:val="0"/>
        <w:jc w:val="left"/>
        <w:rPr>
          <w:rFonts w:hint="eastAsia" w:eastAsia="宋体"/>
          <w:sz w:val="30"/>
          <w:szCs w:val="30"/>
          <w:lang w:eastAsia="zh-CN"/>
        </w:rPr>
      </w:pPr>
    </w:p>
    <w:p w14:paraId="61F0BC3F">
      <w:pPr>
        <w:tabs>
          <w:tab w:val="left" w:pos="280"/>
        </w:tabs>
        <w:bidi w:val="0"/>
        <w:jc w:val="left"/>
        <w:rPr>
          <w:rFonts w:hint="eastAsia" w:eastAsia="宋体"/>
          <w:sz w:val="30"/>
          <w:szCs w:val="30"/>
          <w:lang w:eastAsia="zh-CN"/>
        </w:rPr>
      </w:pPr>
      <w:r>
        <w:rPr>
          <w:rFonts w:hint="eastAsia" w:eastAsia="宋体"/>
          <w:sz w:val="30"/>
          <w:szCs w:val="30"/>
          <w:lang w:eastAsia="zh-CN"/>
        </w:rPr>
        <w:t>Paradoxically enough, Christ cannot accomplish this redemptive purpose apart from his own death, so that Satan, in effect, will be destroying Satan!</w:t>
      </w:r>
    </w:p>
    <w:p w14:paraId="0355F952">
      <w:pPr>
        <w:tabs>
          <w:tab w:val="left" w:pos="280"/>
        </w:tabs>
        <w:bidi w:val="0"/>
        <w:jc w:val="left"/>
        <w:rPr>
          <w:rFonts w:hint="eastAsia" w:eastAsia="宋体"/>
          <w:sz w:val="30"/>
          <w:szCs w:val="30"/>
          <w:lang w:eastAsia="zh-CN"/>
        </w:rPr>
      </w:pPr>
      <w:r>
        <w:rPr>
          <w:rFonts w:hint="eastAsia" w:eastAsia="宋体"/>
          <w:sz w:val="30"/>
          <w:szCs w:val="30"/>
          <w:lang w:eastAsia="zh-CN"/>
        </w:rPr>
        <w:t>矛盾的是，基督若不藉着祂自己的死，就无法完成这个救赎的目的，所以撒但实际上是在毁灭撒但！</w:t>
      </w:r>
    </w:p>
    <w:p w14:paraId="6D76A485">
      <w:pPr>
        <w:tabs>
          <w:tab w:val="left" w:pos="280"/>
        </w:tabs>
        <w:bidi w:val="0"/>
        <w:jc w:val="left"/>
        <w:rPr>
          <w:rFonts w:hint="eastAsia" w:eastAsia="宋体"/>
          <w:sz w:val="30"/>
          <w:szCs w:val="30"/>
          <w:lang w:eastAsia="zh-CN"/>
        </w:rPr>
      </w:pPr>
    </w:p>
    <w:p w14:paraId="1C17E5AE">
      <w:pPr>
        <w:tabs>
          <w:tab w:val="left" w:pos="280"/>
        </w:tabs>
        <w:bidi w:val="0"/>
        <w:jc w:val="left"/>
        <w:rPr>
          <w:rFonts w:hint="eastAsia" w:eastAsia="宋体"/>
          <w:sz w:val="30"/>
          <w:szCs w:val="30"/>
          <w:lang w:eastAsia="zh-CN"/>
        </w:rPr>
      </w:pPr>
      <w:r>
        <w:rPr>
          <w:rFonts w:hint="eastAsia" w:eastAsia="宋体"/>
          <w:sz w:val="30"/>
          <w:szCs w:val="30"/>
          <w:lang w:eastAsia="zh-CN"/>
        </w:rPr>
        <w:t>Moreover, as illuminated by the NT, our text makes it clear that his destruction will be complete: Along with all his evil hosts, both human and angelic, the Serpent of Old will be cast into the Lake of Fire by Christ himself, through the agency of his (Christ’s) elect seed (Rom. 16:20, Rev. 20:10).</w:t>
      </w:r>
    </w:p>
    <w:p w14:paraId="727BBD4E">
      <w:pPr>
        <w:tabs>
          <w:tab w:val="left" w:pos="280"/>
        </w:tabs>
        <w:bidi w:val="0"/>
        <w:jc w:val="left"/>
        <w:rPr>
          <w:rFonts w:hint="eastAsia" w:eastAsia="宋体"/>
          <w:sz w:val="30"/>
          <w:szCs w:val="30"/>
          <w:lang w:eastAsia="zh-CN"/>
        </w:rPr>
      </w:pPr>
      <w:r>
        <w:rPr>
          <w:rFonts w:hint="eastAsia" w:eastAsia="宋体"/>
          <w:sz w:val="30"/>
          <w:szCs w:val="30"/>
          <w:lang w:eastAsia="zh-CN"/>
        </w:rPr>
        <w:t>此外，如新约所阐明的，我们的经文清楚表明，他的毁灭将是完全的：连同他所有的邪恶军队，包括人类和天使，那古蛇将被基督亲自藉着祂（基督）的选民后裔投入火湖（罗 16:20, 启 20:10）。</w:t>
      </w:r>
    </w:p>
    <w:p w14:paraId="10124130">
      <w:pPr>
        <w:tabs>
          <w:tab w:val="left" w:pos="280"/>
        </w:tabs>
        <w:bidi w:val="0"/>
        <w:jc w:val="left"/>
        <w:rPr>
          <w:rFonts w:hint="eastAsia" w:eastAsia="宋体"/>
          <w:sz w:val="30"/>
          <w:szCs w:val="30"/>
          <w:lang w:eastAsia="zh-CN"/>
        </w:rPr>
      </w:pPr>
    </w:p>
    <w:p w14:paraId="7FD448BE">
      <w:pPr>
        <w:tabs>
          <w:tab w:val="left" w:pos="280"/>
        </w:tabs>
        <w:bidi w:val="0"/>
        <w:jc w:val="left"/>
        <w:rPr>
          <w:rFonts w:hint="eastAsia" w:eastAsia="宋体"/>
          <w:sz w:val="30"/>
          <w:szCs w:val="30"/>
          <w:lang w:eastAsia="zh-CN"/>
        </w:rPr>
      </w:pPr>
      <w:r>
        <w:rPr>
          <w:rFonts w:hint="eastAsia" w:eastAsia="宋体"/>
          <w:sz w:val="30"/>
          <w:szCs w:val="30"/>
          <w:lang w:eastAsia="zh-CN"/>
        </w:rPr>
        <w:t>We see, then, that this is a fabulously rich prophetic and eschatological text.</w:t>
      </w:r>
    </w:p>
    <w:p w14:paraId="274A3E0E">
      <w:pPr>
        <w:tabs>
          <w:tab w:val="left" w:pos="280"/>
        </w:tabs>
        <w:bidi w:val="0"/>
        <w:jc w:val="left"/>
        <w:rPr>
          <w:rFonts w:hint="eastAsia" w:eastAsia="宋体"/>
          <w:sz w:val="30"/>
          <w:szCs w:val="30"/>
          <w:lang w:eastAsia="zh-CN"/>
        </w:rPr>
      </w:pPr>
      <w:r>
        <w:rPr>
          <w:rFonts w:hint="eastAsia" w:eastAsia="宋体"/>
          <w:sz w:val="30"/>
          <w:szCs w:val="30"/>
          <w:lang w:eastAsia="zh-CN"/>
        </w:rPr>
        <w:t>我们因此看到，这是一段极其丰富的预言性和末世论的经文。</w:t>
      </w:r>
    </w:p>
    <w:p w14:paraId="1A776BBC">
      <w:pPr>
        <w:tabs>
          <w:tab w:val="left" w:pos="280"/>
        </w:tabs>
        <w:bidi w:val="0"/>
        <w:jc w:val="left"/>
        <w:rPr>
          <w:rFonts w:hint="eastAsia" w:eastAsia="宋体"/>
          <w:sz w:val="30"/>
          <w:szCs w:val="30"/>
          <w:lang w:eastAsia="zh-CN"/>
        </w:rPr>
      </w:pPr>
    </w:p>
    <w:p w14:paraId="4A5ECFF7">
      <w:pPr>
        <w:tabs>
          <w:tab w:val="left" w:pos="280"/>
        </w:tabs>
        <w:bidi w:val="0"/>
        <w:jc w:val="left"/>
        <w:rPr>
          <w:rFonts w:hint="eastAsia" w:eastAsia="宋体"/>
          <w:sz w:val="30"/>
          <w:szCs w:val="30"/>
          <w:lang w:eastAsia="zh-CN"/>
        </w:rPr>
      </w:pPr>
      <w:r>
        <w:rPr>
          <w:rFonts w:hint="eastAsia" w:eastAsia="宋体"/>
          <w:sz w:val="30"/>
          <w:szCs w:val="30"/>
          <w:lang w:eastAsia="zh-CN"/>
        </w:rPr>
        <w:t>Why?</w:t>
      </w:r>
    </w:p>
    <w:p w14:paraId="259E21B7">
      <w:pPr>
        <w:tabs>
          <w:tab w:val="left" w:pos="280"/>
        </w:tabs>
        <w:bidi w:val="0"/>
        <w:jc w:val="left"/>
        <w:rPr>
          <w:rFonts w:hint="eastAsia" w:eastAsia="宋体"/>
          <w:sz w:val="30"/>
          <w:szCs w:val="30"/>
          <w:lang w:eastAsia="zh-CN"/>
        </w:rPr>
      </w:pPr>
      <w:r>
        <w:rPr>
          <w:rFonts w:hint="eastAsia" w:eastAsia="宋体"/>
          <w:sz w:val="30"/>
          <w:szCs w:val="30"/>
          <w:lang w:eastAsia="zh-CN"/>
        </w:rPr>
        <w:t>为什么？</w:t>
      </w:r>
    </w:p>
    <w:p w14:paraId="24F07BDE">
      <w:pPr>
        <w:tabs>
          <w:tab w:val="left" w:pos="280"/>
        </w:tabs>
        <w:bidi w:val="0"/>
        <w:jc w:val="left"/>
        <w:rPr>
          <w:rFonts w:hint="eastAsia" w:eastAsia="宋体"/>
          <w:sz w:val="30"/>
          <w:szCs w:val="30"/>
          <w:lang w:eastAsia="zh-CN"/>
        </w:rPr>
      </w:pPr>
    </w:p>
    <w:p w14:paraId="272CE9DD">
      <w:pPr>
        <w:tabs>
          <w:tab w:val="left" w:pos="280"/>
        </w:tabs>
        <w:bidi w:val="0"/>
        <w:jc w:val="left"/>
        <w:rPr>
          <w:rFonts w:hint="eastAsia" w:eastAsia="宋体"/>
          <w:sz w:val="30"/>
          <w:szCs w:val="30"/>
          <w:lang w:eastAsia="zh-CN"/>
        </w:rPr>
      </w:pPr>
      <w:r>
        <w:rPr>
          <w:rFonts w:hint="eastAsia" w:eastAsia="宋体"/>
          <w:sz w:val="30"/>
          <w:szCs w:val="30"/>
          <w:lang w:eastAsia="zh-CN"/>
        </w:rPr>
        <w:t>Because it speaks with fabulous depth and nuance of the things of the Eternal Covenant; the covenant that God will unveil in the last days, and the covenant that is the sum and substance of the last things.</w:t>
      </w:r>
    </w:p>
    <w:p w14:paraId="1C81154F">
      <w:pPr>
        <w:tabs>
          <w:tab w:val="left" w:pos="280"/>
        </w:tabs>
        <w:bidi w:val="0"/>
        <w:jc w:val="left"/>
        <w:rPr>
          <w:rFonts w:hint="eastAsia" w:eastAsia="宋体"/>
          <w:sz w:val="30"/>
          <w:szCs w:val="30"/>
          <w:lang w:eastAsia="zh-CN"/>
        </w:rPr>
      </w:pPr>
      <w:r>
        <w:rPr>
          <w:rFonts w:hint="eastAsia" w:eastAsia="宋体"/>
          <w:sz w:val="30"/>
          <w:szCs w:val="30"/>
          <w:lang w:eastAsia="zh-CN"/>
        </w:rPr>
        <w:t>因为它以极其深刻和细致的笔触，讲述了永恒之约的事；就是上帝在末日将要揭示的约，也是末后之事的总和与实质。</w:t>
      </w:r>
    </w:p>
    <w:p w14:paraId="6BDB8353">
      <w:pPr>
        <w:tabs>
          <w:tab w:val="left" w:pos="280"/>
        </w:tabs>
        <w:bidi w:val="0"/>
        <w:jc w:val="left"/>
        <w:rPr>
          <w:rFonts w:hint="eastAsia" w:eastAsia="宋体"/>
          <w:sz w:val="30"/>
          <w:szCs w:val="30"/>
          <w:lang w:eastAsia="zh-CN"/>
        </w:rPr>
      </w:pPr>
    </w:p>
    <w:p w14:paraId="426BD83A">
      <w:pPr>
        <w:tabs>
          <w:tab w:val="left" w:pos="280"/>
        </w:tabs>
        <w:bidi w:val="0"/>
        <w:jc w:val="left"/>
        <w:rPr>
          <w:rFonts w:hint="eastAsia" w:eastAsia="宋体"/>
          <w:sz w:val="30"/>
          <w:szCs w:val="30"/>
          <w:lang w:eastAsia="zh-CN"/>
        </w:rPr>
      </w:pPr>
      <w:r>
        <w:rPr>
          <w:rFonts w:hint="eastAsia" w:eastAsia="宋体"/>
          <w:sz w:val="30"/>
          <w:szCs w:val="30"/>
          <w:lang w:eastAsia="zh-CN"/>
        </w:rPr>
        <w:t>But how exactly does it speak to us about the Kingdom?</w:t>
      </w:r>
    </w:p>
    <w:p w14:paraId="795B45E9">
      <w:pPr>
        <w:tabs>
          <w:tab w:val="left" w:pos="280"/>
        </w:tabs>
        <w:bidi w:val="0"/>
        <w:jc w:val="left"/>
        <w:rPr>
          <w:rFonts w:hint="eastAsia" w:eastAsia="宋体"/>
          <w:sz w:val="30"/>
          <w:szCs w:val="30"/>
          <w:lang w:eastAsia="zh-CN"/>
        </w:rPr>
      </w:pPr>
      <w:r>
        <w:rPr>
          <w:rFonts w:hint="eastAsia" w:eastAsia="宋体"/>
          <w:sz w:val="30"/>
          <w:szCs w:val="30"/>
          <w:lang w:eastAsia="zh-CN"/>
        </w:rPr>
        <w:t>但它究竟是如何向我们讲述国度的呢？</w:t>
      </w:r>
    </w:p>
    <w:p w14:paraId="7D920883">
      <w:pPr>
        <w:tabs>
          <w:tab w:val="left" w:pos="280"/>
        </w:tabs>
        <w:bidi w:val="0"/>
        <w:jc w:val="left"/>
        <w:rPr>
          <w:rFonts w:hint="eastAsia" w:eastAsia="宋体"/>
          <w:sz w:val="30"/>
          <w:szCs w:val="30"/>
          <w:lang w:eastAsia="zh-CN"/>
        </w:rPr>
      </w:pPr>
    </w:p>
    <w:p w14:paraId="62B2516E">
      <w:pPr>
        <w:tabs>
          <w:tab w:val="left" w:pos="280"/>
        </w:tabs>
        <w:bidi w:val="0"/>
        <w:jc w:val="left"/>
        <w:rPr>
          <w:rFonts w:hint="eastAsia" w:eastAsia="宋体"/>
          <w:sz w:val="30"/>
          <w:szCs w:val="30"/>
          <w:lang w:eastAsia="zh-CN"/>
        </w:rPr>
      </w:pPr>
      <w:r>
        <w:rPr>
          <w:rFonts w:hint="eastAsia" w:eastAsia="宋体"/>
          <w:sz w:val="30"/>
          <w:szCs w:val="30"/>
          <w:lang w:eastAsia="zh-CN"/>
        </w:rPr>
        <w:t>Quite powerfully, and quite picturesquely.</w:t>
      </w:r>
    </w:p>
    <w:p w14:paraId="3364D26A">
      <w:pPr>
        <w:tabs>
          <w:tab w:val="left" w:pos="280"/>
        </w:tabs>
        <w:bidi w:val="0"/>
        <w:jc w:val="left"/>
        <w:rPr>
          <w:rFonts w:hint="eastAsia" w:eastAsia="宋体"/>
          <w:sz w:val="30"/>
          <w:szCs w:val="30"/>
          <w:lang w:eastAsia="zh-CN"/>
        </w:rPr>
      </w:pPr>
      <w:r>
        <w:rPr>
          <w:rFonts w:hint="eastAsia" w:eastAsia="宋体"/>
          <w:sz w:val="30"/>
          <w:szCs w:val="30"/>
          <w:lang w:eastAsia="zh-CN"/>
        </w:rPr>
        <w:t>非常有力，也非常生动。</w:t>
      </w:r>
    </w:p>
    <w:p w14:paraId="41943170">
      <w:pPr>
        <w:tabs>
          <w:tab w:val="left" w:pos="280"/>
        </w:tabs>
        <w:bidi w:val="0"/>
        <w:jc w:val="left"/>
        <w:rPr>
          <w:rFonts w:hint="eastAsia" w:eastAsia="宋体"/>
          <w:sz w:val="30"/>
          <w:szCs w:val="30"/>
          <w:lang w:eastAsia="zh-CN"/>
        </w:rPr>
      </w:pPr>
    </w:p>
    <w:p w14:paraId="7BC0BB98">
      <w:pPr>
        <w:tabs>
          <w:tab w:val="left" w:pos="280"/>
        </w:tabs>
        <w:bidi w:val="0"/>
        <w:jc w:val="left"/>
        <w:rPr>
          <w:rFonts w:hint="eastAsia" w:eastAsia="宋体"/>
          <w:sz w:val="30"/>
          <w:szCs w:val="30"/>
          <w:lang w:eastAsia="zh-CN"/>
        </w:rPr>
      </w:pPr>
      <w:r>
        <w:rPr>
          <w:rFonts w:hint="eastAsia" w:eastAsia="宋体"/>
          <w:sz w:val="30"/>
          <w:szCs w:val="30"/>
          <w:lang w:eastAsia="zh-CN"/>
        </w:rPr>
        <w:t>It tells us that the LORD (the divine party of the Covenant) will send a Seed (the divine provision of the Covenant) who will live, die, and rise again, so as to rescue the Woman and her seed (the human parties of the Covenant) from the Domain of Darkness, and restore them, through faith (the proviso of the Covenant), to a life of eternal friendship with God (the promise of the Covenant).</w:t>
      </w:r>
    </w:p>
    <w:p w14:paraId="4E9D1D07">
      <w:pPr>
        <w:tabs>
          <w:tab w:val="left" w:pos="280"/>
        </w:tabs>
        <w:bidi w:val="0"/>
        <w:jc w:val="left"/>
        <w:rPr>
          <w:rFonts w:hint="eastAsia" w:eastAsia="宋体"/>
          <w:sz w:val="30"/>
          <w:szCs w:val="30"/>
          <w:lang w:eastAsia="zh-CN"/>
        </w:rPr>
      </w:pPr>
      <w:r>
        <w:rPr>
          <w:rFonts w:hint="eastAsia" w:eastAsia="宋体"/>
          <w:sz w:val="30"/>
          <w:szCs w:val="30"/>
          <w:lang w:eastAsia="zh-CN"/>
        </w:rPr>
        <w:t>它告诉我们，主（圣约的神圣一方）将派遣一位后裔（圣约的神圣预备），祂将活、死并复活，为要将女人和她的后裔（圣约的人类一方）从黑暗的权势中拯救出来，并藉着信心（圣约的附带条件），将他们恢复到与上帝永恒友谊的生活中（圣约的应许）。</w:t>
      </w:r>
    </w:p>
    <w:p w14:paraId="72FD1EE3">
      <w:pPr>
        <w:tabs>
          <w:tab w:val="left" w:pos="280"/>
        </w:tabs>
        <w:bidi w:val="0"/>
        <w:jc w:val="left"/>
        <w:rPr>
          <w:rFonts w:hint="eastAsia" w:eastAsia="宋体"/>
          <w:sz w:val="30"/>
          <w:szCs w:val="30"/>
          <w:lang w:eastAsia="zh-CN"/>
        </w:rPr>
      </w:pPr>
    </w:p>
    <w:p w14:paraId="6A13E599">
      <w:pPr>
        <w:tabs>
          <w:tab w:val="left" w:pos="280"/>
        </w:tabs>
        <w:bidi w:val="0"/>
        <w:jc w:val="left"/>
        <w:rPr>
          <w:rFonts w:hint="eastAsia" w:eastAsia="宋体"/>
          <w:sz w:val="30"/>
          <w:szCs w:val="30"/>
          <w:lang w:eastAsia="zh-CN"/>
        </w:rPr>
      </w:pPr>
      <w:r>
        <w:rPr>
          <w:rFonts w:hint="eastAsia" w:eastAsia="宋体"/>
          <w:sz w:val="30"/>
          <w:szCs w:val="30"/>
          <w:lang w:eastAsia="zh-CN"/>
        </w:rPr>
        <w:t>Moreover, it tells us that in the end God will destroy Satan, his unbelieving people, his works, and his entire evil kingdom (the penalty of spurning the Covenant), and thereafter bring in the greater Eden, the eternal home of the redeemed (the promise of the consummation of the Covenant).</w:t>
      </w:r>
    </w:p>
    <w:p w14:paraId="173DA608">
      <w:pPr>
        <w:tabs>
          <w:tab w:val="left" w:pos="280"/>
        </w:tabs>
        <w:bidi w:val="0"/>
        <w:jc w:val="left"/>
        <w:rPr>
          <w:rFonts w:hint="eastAsia" w:eastAsia="宋体"/>
          <w:sz w:val="30"/>
          <w:szCs w:val="30"/>
          <w:lang w:eastAsia="zh-CN"/>
        </w:rPr>
      </w:pPr>
      <w:r>
        <w:rPr>
          <w:rFonts w:hint="eastAsia" w:eastAsia="宋体"/>
          <w:sz w:val="30"/>
          <w:szCs w:val="30"/>
          <w:lang w:eastAsia="zh-CN"/>
        </w:rPr>
        <w:t>此外，它告诉我们，最终上帝将毁灭撒但、祂不信的子民、祂的作为以及祂整个邪恶的国度（藐视圣约的刑罚），然后带入更伟大的伊甸园，即被赎者的永恒家园（圣约最终成全的应许）。</w:t>
      </w:r>
    </w:p>
    <w:p w14:paraId="7A808B0F">
      <w:pPr>
        <w:tabs>
          <w:tab w:val="left" w:pos="280"/>
        </w:tabs>
        <w:bidi w:val="0"/>
        <w:jc w:val="left"/>
        <w:rPr>
          <w:rFonts w:hint="eastAsia" w:eastAsia="宋体"/>
          <w:sz w:val="30"/>
          <w:szCs w:val="30"/>
          <w:lang w:eastAsia="zh-CN"/>
        </w:rPr>
      </w:pPr>
    </w:p>
    <w:p w14:paraId="6812025A">
      <w:pPr>
        <w:tabs>
          <w:tab w:val="left" w:pos="280"/>
        </w:tabs>
        <w:bidi w:val="0"/>
        <w:jc w:val="left"/>
        <w:rPr>
          <w:rFonts w:hint="eastAsia" w:eastAsia="宋体"/>
          <w:sz w:val="30"/>
          <w:szCs w:val="30"/>
          <w:lang w:eastAsia="zh-CN"/>
        </w:rPr>
      </w:pPr>
      <w:r>
        <w:rPr>
          <w:rFonts w:hint="eastAsia" w:eastAsia="宋体"/>
          <w:sz w:val="30"/>
          <w:szCs w:val="30"/>
          <w:lang w:eastAsia="zh-CN"/>
        </w:rPr>
        <w:t>In short, the message of Genesis 3:15 is this: The redemption of God will bring the reign of God over a new and perfected realm of God.</w:t>
      </w:r>
    </w:p>
    <w:p w14:paraId="4EAC9510">
      <w:pPr>
        <w:tabs>
          <w:tab w:val="left" w:pos="280"/>
        </w:tabs>
        <w:bidi w:val="0"/>
        <w:jc w:val="left"/>
        <w:rPr>
          <w:rFonts w:hint="eastAsia" w:eastAsia="宋体"/>
          <w:sz w:val="30"/>
          <w:szCs w:val="30"/>
          <w:lang w:eastAsia="zh-CN"/>
        </w:rPr>
      </w:pPr>
      <w:r>
        <w:rPr>
          <w:rFonts w:hint="eastAsia" w:eastAsia="宋体"/>
          <w:sz w:val="30"/>
          <w:szCs w:val="30"/>
          <w:lang w:eastAsia="zh-CN"/>
        </w:rPr>
        <w:t>简而言之，创世记 3:15 的信息是：上帝的救赎将带来上帝对一个新的、完美的上帝领域的统治。</w:t>
      </w:r>
    </w:p>
    <w:p w14:paraId="1484420F">
      <w:pPr>
        <w:tabs>
          <w:tab w:val="left" w:pos="280"/>
        </w:tabs>
        <w:bidi w:val="0"/>
        <w:jc w:val="left"/>
        <w:rPr>
          <w:rFonts w:hint="eastAsia" w:eastAsia="宋体"/>
          <w:sz w:val="30"/>
          <w:szCs w:val="30"/>
          <w:lang w:eastAsia="zh-CN"/>
        </w:rPr>
      </w:pPr>
    </w:p>
    <w:p w14:paraId="69BD19F8">
      <w:pPr>
        <w:tabs>
          <w:tab w:val="left" w:pos="280"/>
        </w:tabs>
        <w:bidi w:val="0"/>
        <w:jc w:val="left"/>
        <w:rPr>
          <w:rFonts w:hint="eastAsia" w:eastAsia="宋体"/>
          <w:sz w:val="30"/>
          <w:szCs w:val="30"/>
          <w:lang w:eastAsia="zh-CN"/>
        </w:rPr>
      </w:pPr>
      <w:r>
        <w:rPr>
          <w:rFonts w:hint="eastAsia" w:eastAsia="宋体"/>
          <w:sz w:val="30"/>
          <w:szCs w:val="30"/>
          <w:lang w:eastAsia="zh-CN"/>
        </w:rPr>
        <w:t>One day, through Christ, the Kingdom of God will come.</w:t>
      </w:r>
    </w:p>
    <w:p w14:paraId="7D40C982">
      <w:pPr>
        <w:tabs>
          <w:tab w:val="left" w:pos="280"/>
        </w:tabs>
        <w:bidi w:val="0"/>
        <w:jc w:val="left"/>
        <w:rPr>
          <w:rFonts w:hint="eastAsia" w:eastAsia="宋体"/>
          <w:sz w:val="30"/>
          <w:szCs w:val="30"/>
          <w:lang w:eastAsia="zh-CN"/>
        </w:rPr>
      </w:pPr>
      <w:r>
        <w:rPr>
          <w:rFonts w:hint="eastAsia" w:eastAsia="宋体"/>
          <w:sz w:val="30"/>
          <w:szCs w:val="30"/>
          <w:lang w:eastAsia="zh-CN"/>
        </w:rPr>
        <w:t>有一天，藉着基督，上帝的国将要降临。</w:t>
      </w:r>
    </w:p>
    <w:p w14:paraId="476C66EA">
      <w:pPr>
        <w:tabs>
          <w:tab w:val="left" w:pos="280"/>
        </w:tabs>
        <w:bidi w:val="0"/>
        <w:jc w:val="left"/>
        <w:rPr>
          <w:rFonts w:hint="eastAsia" w:eastAsia="宋体"/>
          <w:sz w:val="30"/>
          <w:szCs w:val="30"/>
          <w:lang w:eastAsia="zh-CN"/>
        </w:rPr>
      </w:pPr>
    </w:p>
    <w:p w14:paraId="045CB5BF">
      <w:pPr>
        <w:tabs>
          <w:tab w:val="left" w:pos="280"/>
        </w:tabs>
        <w:bidi w:val="0"/>
        <w:jc w:val="left"/>
        <w:rPr>
          <w:rFonts w:hint="eastAsia" w:eastAsia="宋体"/>
          <w:sz w:val="30"/>
          <w:szCs w:val="30"/>
          <w:lang w:eastAsia="zh-CN"/>
        </w:rPr>
      </w:pPr>
      <w:r>
        <w:rPr>
          <w:rFonts w:hint="eastAsia" w:eastAsia="宋体"/>
          <w:sz w:val="30"/>
          <w:szCs w:val="30"/>
          <w:lang w:eastAsia="zh-CN"/>
        </w:rPr>
        <w:t>Will this Kingdom be an ideal Mosaic theocracy?</w:t>
      </w:r>
    </w:p>
    <w:p w14:paraId="39B6F89F">
      <w:pPr>
        <w:tabs>
          <w:tab w:val="left" w:pos="280"/>
        </w:tabs>
        <w:bidi w:val="0"/>
        <w:jc w:val="left"/>
        <w:rPr>
          <w:rFonts w:hint="eastAsia" w:eastAsia="宋体"/>
          <w:sz w:val="30"/>
          <w:szCs w:val="30"/>
          <w:lang w:eastAsia="zh-CN"/>
        </w:rPr>
      </w:pPr>
      <w:r>
        <w:rPr>
          <w:rFonts w:hint="eastAsia" w:eastAsia="宋体"/>
          <w:sz w:val="30"/>
          <w:szCs w:val="30"/>
          <w:lang w:eastAsia="zh-CN"/>
        </w:rPr>
        <w:t>这个国度会是一个理想的摩西式神权政体吗？</w:t>
      </w:r>
    </w:p>
    <w:p w14:paraId="3636EB10">
      <w:pPr>
        <w:tabs>
          <w:tab w:val="left" w:pos="280"/>
        </w:tabs>
        <w:bidi w:val="0"/>
        <w:jc w:val="left"/>
        <w:rPr>
          <w:rFonts w:hint="eastAsia" w:eastAsia="宋体"/>
          <w:sz w:val="30"/>
          <w:szCs w:val="30"/>
          <w:lang w:eastAsia="zh-CN"/>
        </w:rPr>
      </w:pPr>
    </w:p>
    <w:p w14:paraId="6437C4CB">
      <w:pPr>
        <w:tabs>
          <w:tab w:val="left" w:pos="280"/>
        </w:tabs>
        <w:bidi w:val="0"/>
        <w:jc w:val="left"/>
        <w:rPr>
          <w:rFonts w:hint="eastAsia" w:eastAsia="宋体"/>
          <w:sz w:val="30"/>
          <w:szCs w:val="30"/>
          <w:lang w:eastAsia="zh-CN"/>
        </w:rPr>
      </w:pPr>
      <w:r>
        <w:rPr>
          <w:rFonts w:hint="eastAsia" w:eastAsia="宋体"/>
          <w:sz w:val="30"/>
          <w:szCs w:val="30"/>
          <w:lang w:eastAsia="zh-CN"/>
        </w:rPr>
        <w:t>Not according to Genesis 3:15.</w:t>
      </w:r>
    </w:p>
    <w:p w14:paraId="19671EEC">
      <w:pPr>
        <w:tabs>
          <w:tab w:val="left" w:pos="280"/>
        </w:tabs>
        <w:bidi w:val="0"/>
        <w:jc w:val="left"/>
        <w:rPr>
          <w:rFonts w:hint="eastAsia" w:eastAsia="宋体"/>
          <w:sz w:val="30"/>
          <w:szCs w:val="30"/>
          <w:lang w:eastAsia="zh-CN"/>
        </w:rPr>
      </w:pPr>
      <w:r>
        <w:rPr>
          <w:rFonts w:hint="eastAsia" w:eastAsia="宋体"/>
          <w:sz w:val="30"/>
          <w:szCs w:val="30"/>
          <w:lang w:eastAsia="zh-CN"/>
        </w:rPr>
        <w:t>根据创世记 3:15，不会。</w:t>
      </w:r>
    </w:p>
    <w:p w14:paraId="4D2D5BA3">
      <w:pPr>
        <w:tabs>
          <w:tab w:val="left" w:pos="280"/>
        </w:tabs>
        <w:bidi w:val="0"/>
        <w:jc w:val="left"/>
        <w:rPr>
          <w:rFonts w:hint="eastAsia" w:eastAsia="宋体"/>
          <w:sz w:val="30"/>
          <w:szCs w:val="30"/>
          <w:lang w:eastAsia="zh-CN"/>
        </w:rPr>
      </w:pPr>
    </w:p>
    <w:p w14:paraId="33237657">
      <w:pPr>
        <w:tabs>
          <w:tab w:val="left" w:pos="280"/>
        </w:tabs>
        <w:bidi w:val="0"/>
        <w:jc w:val="left"/>
        <w:rPr>
          <w:rFonts w:hint="eastAsia" w:eastAsia="宋体"/>
          <w:sz w:val="30"/>
          <w:szCs w:val="30"/>
          <w:lang w:eastAsia="zh-CN"/>
        </w:rPr>
      </w:pPr>
      <w:r>
        <w:rPr>
          <w:rFonts w:hint="eastAsia" w:eastAsia="宋体"/>
          <w:sz w:val="30"/>
          <w:szCs w:val="30"/>
          <w:lang w:eastAsia="zh-CN"/>
        </w:rPr>
        <w:t>According to Genesis 3:15 it will be a direct spiritual reign of God, through Christ, who will be the Head of his redeemed Bride, and whose loving rule will return them both to Paradise, where they shall live together forever in matrimonial joy.</w:t>
      </w:r>
    </w:p>
    <w:p w14:paraId="0ACAE4E5">
      <w:pPr>
        <w:tabs>
          <w:tab w:val="left" w:pos="280"/>
        </w:tabs>
        <w:bidi w:val="0"/>
        <w:jc w:val="left"/>
        <w:rPr>
          <w:rFonts w:hint="eastAsia" w:eastAsia="宋体"/>
          <w:sz w:val="30"/>
          <w:szCs w:val="30"/>
          <w:lang w:eastAsia="zh-CN"/>
        </w:rPr>
      </w:pPr>
      <w:r>
        <w:rPr>
          <w:rFonts w:hint="eastAsia" w:eastAsia="宋体"/>
          <w:sz w:val="30"/>
          <w:szCs w:val="30"/>
          <w:lang w:eastAsia="zh-CN"/>
        </w:rPr>
        <w:t>根据创世记 3:15，它将是上帝通过基督的直接属灵统治，基督将是祂被赎新妇的头，祂慈爱的统治将使他们双双回到乐园，在那里他们将在婚姻的喜乐中永远同住。</w:t>
      </w:r>
    </w:p>
    <w:p w14:paraId="659D54C7">
      <w:pPr>
        <w:tabs>
          <w:tab w:val="left" w:pos="280"/>
        </w:tabs>
        <w:bidi w:val="0"/>
        <w:jc w:val="left"/>
        <w:rPr>
          <w:rFonts w:hint="eastAsia" w:eastAsia="宋体"/>
          <w:sz w:val="30"/>
          <w:szCs w:val="30"/>
          <w:lang w:eastAsia="zh-CN"/>
        </w:rPr>
      </w:pPr>
    </w:p>
    <w:p w14:paraId="408BFBCB">
      <w:pPr>
        <w:tabs>
          <w:tab w:val="left" w:pos="280"/>
        </w:tabs>
        <w:bidi w:val="0"/>
        <w:jc w:val="left"/>
        <w:rPr>
          <w:rFonts w:hint="eastAsia" w:eastAsia="宋体"/>
          <w:sz w:val="30"/>
          <w:szCs w:val="30"/>
          <w:lang w:eastAsia="zh-CN"/>
        </w:rPr>
      </w:pPr>
      <w:r>
        <w:rPr>
          <w:rFonts w:hint="eastAsia" w:eastAsia="宋体"/>
          <w:sz w:val="30"/>
          <w:szCs w:val="30"/>
          <w:lang w:eastAsia="zh-CN"/>
        </w:rPr>
        <w:t>And who is sufficient for these things?</w:t>
      </w:r>
    </w:p>
    <w:p w14:paraId="14123FCD">
      <w:pPr>
        <w:tabs>
          <w:tab w:val="left" w:pos="280"/>
        </w:tabs>
        <w:bidi w:val="0"/>
        <w:jc w:val="left"/>
        <w:rPr>
          <w:rFonts w:hint="eastAsia" w:eastAsia="宋体"/>
          <w:sz w:val="30"/>
          <w:szCs w:val="30"/>
          <w:lang w:eastAsia="zh-CN"/>
        </w:rPr>
      </w:pPr>
      <w:r>
        <w:rPr>
          <w:rFonts w:hint="eastAsia" w:eastAsia="宋体"/>
          <w:sz w:val="30"/>
          <w:szCs w:val="30"/>
          <w:lang w:eastAsia="zh-CN"/>
        </w:rPr>
        <w:t>谁能担当这些事呢？</w:t>
      </w:r>
    </w:p>
    <w:p w14:paraId="37979114">
      <w:pPr>
        <w:tabs>
          <w:tab w:val="left" w:pos="280"/>
        </w:tabs>
        <w:bidi w:val="0"/>
        <w:jc w:val="left"/>
        <w:rPr>
          <w:rFonts w:hint="eastAsia" w:eastAsia="宋体"/>
          <w:sz w:val="30"/>
          <w:szCs w:val="30"/>
          <w:lang w:eastAsia="zh-CN"/>
        </w:rPr>
      </w:pPr>
    </w:p>
    <w:p w14:paraId="05307EE4">
      <w:pPr>
        <w:tabs>
          <w:tab w:val="left" w:pos="280"/>
        </w:tabs>
        <w:bidi w:val="0"/>
        <w:jc w:val="left"/>
        <w:rPr>
          <w:rFonts w:hint="eastAsia" w:eastAsia="宋体"/>
          <w:sz w:val="30"/>
          <w:szCs w:val="30"/>
          <w:lang w:eastAsia="zh-CN"/>
        </w:rPr>
      </w:pPr>
      <w:r>
        <w:rPr>
          <w:rFonts w:hint="eastAsia" w:eastAsia="宋体"/>
          <w:sz w:val="30"/>
          <w:szCs w:val="30"/>
          <w:lang w:eastAsia="zh-CN"/>
        </w:rPr>
        <w:t>Further Post Fall Texts</w:t>
      </w:r>
    </w:p>
    <w:p w14:paraId="14248CB7">
      <w:pPr>
        <w:tabs>
          <w:tab w:val="left" w:pos="280"/>
        </w:tabs>
        <w:bidi w:val="0"/>
        <w:jc w:val="left"/>
        <w:rPr>
          <w:rFonts w:hint="eastAsia" w:eastAsia="宋体"/>
          <w:sz w:val="30"/>
          <w:szCs w:val="30"/>
          <w:lang w:eastAsia="zh-CN"/>
        </w:rPr>
      </w:pPr>
      <w:r>
        <w:rPr>
          <w:rFonts w:hint="eastAsia" w:eastAsia="宋体"/>
          <w:sz w:val="30"/>
          <w:szCs w:val="30"/>
          <w:lang w:eastAsia="zh-CN"/>
        </w:rPr>
        <w:t>更多堕落后的经文</w:t>
      </w:r>
    </w:p>
    <w:p w14:paraId="155AE3E9">
      <w:pPr>
        <w:tabs>
          <w:tab w:val="left" w:pos="280"/>
        </w:tabs>
        <w:bidi w:val="0"/>
        <w:jc w:val="left"/>
        <w:rPr>
          <w:rFonts w:hint="eastAsia" w:eastAsia="宋体"/>
          <w:sz w:val="30"/>
          <w:szCs w:val="30"/>
          <w:lang w:eastAsia="zh-CN"/>
        </w:rPr>
      </w:pPr>
    </w:p>
    <w:p w14:paraId="4D343FA5">
      <w:pPr>
        <w:tabs>
          <w:tab w:val="left" w:pos="280"/>
        </w:tabs>
        <w:bidi w:val="0"/>
        <w:jc w:val="left"/>
        <w:rPr>
          <w:rFonts w:hint="eastAsia" w:eastAsia="宋体"/>
          <w:sz w:val="30"/>
          <w:szCs w:val="30"/>
          <w:lang w:eastAsia="zh-CN"/>
        </w:rPr>
      </w:pPr>
      <w:r>
        <w:rPr>
          <w:rFonts w:hint="eastAsia" w:eastAsia="宋体"/>
          <w:sz w:val="30"/>
          <w:szCs w:val="30"/>
          <w:lang w:eastAsia="zh-CN"/>
        </w:rPr>
        <w:t>Let us briefly note several other post Fall texts in which we can glimpse both the Covenant and the Kingdom.</w:t>
      </w:r>
    </w:p>
    <w:p w14:paraId="01A85913">
      <w:pPr>
        <w:tabs>
          <w:tab w:val="left" w:pos="280"/>
        </w:tabs>
        <w:bidi w:val="0"/>
        <w:jc w:val="left"/>
        <w:rPr>
          <w:rFonts w:hint="eastAsia" w:eastAsia="宋体"/>
          <w:sz w:val="30"/>
          <w:szCs w:val="30"/>
          <w:lang w:eastAsia="zh-CN"/>
        </w:rPr>
      </w:pPr>
      <w:r>
        <w:rPr>
          <w:rFonts w:hint="eastAsia" w:eastAsia="宋体"/>
          <w:sz w:val="30"/>
          <w:szCs w:val="30"/>
          <w:lang w:eastAsia="zh-CN"/>
        </w:rPr>
        <w:t>让我们简要地注意其他几段堕落后的经文，我们可以在其中瞥见圣约和国度。</w:t>
      </w:r>
    </w:p>
    <w:p w14:paraId="02EBD53B">
      <w:pPr>
        <w:tabs>
          <w:tab w:val="left" w:pos="280"/>
        </w:tabs>
        <w:bidi w:val="0"/>
        <w:jc w:val="left"/>
        <w:rPr>
          <w:rFonts w:hint="eastAsia" w:eastAsia="宋体"/>
          <w:sz w:val="30"/>
          <w:szCs w:val="30"/>
          <w:lang w:eastAsia="zh-CN"/>
        </w:rPr>
      </w:pPr>
    </w:p>
    <w:p w14:paraId="49793E0B">
      <w:pPr>
        <w:tabs>
          <w:tab w:val="left" w:pos="280"/>
        </w:tabs>
        <w:bidi w:val="0"/>
        <w:jc w:val="left"/>
        <w:rPr>
          <w:rFonts w:hint="eastAsia" w:eastAsia="宋体"/>
          <w:sz w:val="30"/>
          <w:szCs w:val="30"/>
          <w:lang w:eastAsia="zh-CN"/>
        </w:rPr>
      </w:pPr>
      <w:r>
        <w:rPr>
          <w:rFonts w:hint="eastAsia" w:eastAsia="宋体"/>
          <w:sz w:val="30"/>
          <w:szCs w:val="30"/>
          <w:lang w:eastAsia="zh-CN"/>
        </w:rPr>
        <w:t>Genesis 3:21 reads, “Also, for Adam and his wife the LORD God made tunics of skin, and clothed them.”</w:t>
      </w:r>
    </w:p>
    <w:p w14:paraId="71409750">
      <w:pPr>
        <w:tabs>
          <w:tab w:val="left" w:pos="280"/>
        </w:tabs>
        <w:bidi w:val="0"/>
        <w:jc w:val="left"/>
        <w:rPr>
          <w:rFonts w:hint="eastAsia" w:eastAsia="宋体"/>
          <w:sz w:val="30"/>
          <w:szCs w:val="30"/>
          <w:lang w:eastAsia="zh-CN"/>
        </w:rPr>
      </w:pPr>
      <w:r>
        <w:rPr>
          <w:rFonts w:hint="eastAsia" w:eastAsia="宋体"/>
          <w:sz w:val="30"/>
          <w:szCs w:val="30"/>
          <w:lang w:eastAsia="zh-CN"/>
        </w:rPr>
        <w:t>创世记 3:21 记载：“耶和华上帝为亚当和他妻子用皮子做衣服给他们穿。”</w:t>
      </w:r>
    </w:p>
    <w:p w14:paraId="47712621">
      <w:pPr>
        <w:tabs>
          <w:tab w:val="left" w:pos="280"/>
        </w:tabs>
        <w:bidi w:val="0"/>
        <w:jc w:val="left"/>
        <w:rPr>
          <w:rFonts w:hint="eastAsia" w:eastAsia="宋体"/>
          <w:sz w:val="30"/>
          <w:szCs w:val="30"/>
          <w:lang w:eastAsia="zh-CN"/>
        </w:rPr>
      </w:pPr>
    </w:p>
    <w:p w14:paraId="4D956B2B">
      <w:pPr>
        <w:tabs>
          <w:tab w:val="left" w:pos="280"/>
        </w:tabs>
        <w:bidi w:val="0"/>
        <w:jc w:val="left"/>
        <w:rPr>
          <w:rFonts w:hint="eastAsia" w:eastAsia="宋体"/>
          <w:sz w:val="30"/>
          <w:szCs w:val="30"/>
          <w:lang w:eastAsia="zh-CN"/>
        </w:rPr>
      </w:pPr>
      <w:r>
        <w:rPr>
          <w:rFonts w:hint="eastAsia" w:eastAsia="宋体"/>
          <w:sz w:val="30"/>
          <w:szCs w:val="30"/>
          <w:lang w:eastAsia="zh-CN"/>
        </w:rPr>
        <w:t>When interpreted typologically, we find that this passage is both theologically rich and deeply affecting.</w:t>
      </w:r>
    </w:p>
    <w:p w14:paraId="405A7072">
      <w:pPr>
        <w:tabs>
          <w:tab w:val="left" w:pos="280"/>
        </w:tabs>
        <w:bidi w:val="0"/>
        <w:jc w:val="left"/>
        <w:rPr>
          <w:rFonts w:hint="eastAsia" w:eastAsia="宋体"/>
          <w:sz w:val="30"/>
          <w:szCs w:val="30"/>
          <w:lang w:eastAsia="zh-CN"/>
        </w:rPr>
      </w:pPr>
      <w:r>
        <w:rPr>
          <w:rFonts w:hint="eastAsia" w:eastAsia="宋体"/>
          <w:sz w:val="30"/>
          <w:szCs w:val="30"/>
          <w:lang w:eastAsia="zh-CN"/>
        </w:rPr>
        <w:t>当以预表的方式解释时，我们发现这段经文在神学上既丰富又深刻感人。</w:t>
      </w:r>
    </w:p>
    <w:p w14:paraId="1C4D9CA6">
      <w:pPr>
        <w:tabs>
          <w:tab w:val="left" w:pos="280"/>
        </w:tabs>
        <w:bidi w:val="0"/>
        <w:jc w:val="left"/>
        <w:rPr>
          <w:rFonts w:hint="eastAsia" w:eastAsia="宋体"/>
          <w:sz w:val="30"/>
          <w:szCs w:val="30"/>
          <w:lang w:eastAsia="zh-CN"/>
        </w:rPr>
      </w:pPr>
    </w:p>
    <w:p w14:paraId="4CB2FB05">
      <w:pPr>
        <w:tabs>
          <w:tab w:val="left" w:pos="280"/>
        </w:tabs>
        <w:bidi w:val="0"/>
        <w:jc w:val="left"/>
        <w:rPr>
          <w:rFonts w:hint="eastAsia" w:eastAsia="宋体"/>
          <w:sz w:val="30"/>
          <w:szCs w:val="30"/>
          <w:lang w:eastAsia="zh-CN"/>
        </w:rPr>
      </w:pPr>
      <w:r>
        <w:rPr>
          <w:rFonts w:hint="eastAsia" w:eastAsia="宋体"/>
          <w:sz w:val="30"/>
          <w:szCs w:val="30"/>
          <w:lang w:eastAsia="zh-CN"/>
        </w:rPr>
        <w:t>Previously, Adam and Eve had sought to cover their guilt and shame with fig leaves, the work of their own hands (Gen. 3:7).</w:t>
      </w:r>
    </w:p>
    <w:p w14:paraId="4450DFA1">
      <w:pPr>
        <w:tabs>
          <w:tab w:val="left" w:pos="280"/>
        </w:tabs>
        <w:bidi w:val="0"/>
        <w:jc w:val="left"/>
        <w:rPr>
          <w:rFonts w:hint="eastAsia" w:eastAsia="宋体"/>
          <w:sz w:val="30"/>
          <w:szCs w:val="30"/>
          <w:lang w:eastAsia="zh-CN"/>
        </w:rPr>
      </w:pPr>
      <w:r>
        <w:rPr>
          <w:rFonts w:hint="eastAsia" w:eastAsia="宋体"/>
          <w:sz w:val="30"/>
          <w:szCs w:val="30"/>
          <w:lang w:eastAsia="zh-CN"/>
        </w:rPr>
        <w:t>先前，亚当和夏娃曾试图用无花果树的叶子，即他们自己手所作的工，来遮盖他们的罪咎和羞耻（创 3:7）。</w:t>
      </w:r>
    </w:p>
    <w:p w14:paraId="2A89FD50">
      <w:pPr>
        <w:tabs>
          <w:tab w:val="left" w:pos="280"/>
        </w:tabs>
        <w:bidi w:val="0"/>
        <w:jc w:val="left"/>
        <w:rPr>
          <w:rFonts w:hint="eastAsia" w:eastAsia="宋体"/>
          <w:sz w:val="30"/>
          <w:szCs w:val="30"/>
          <w:lang w:eastAsia="zh-CN"/>
        </w:rPr>
      </w:pPr>
    </w:p>
    <w:p w14:paraId="7725D142">
      <w:pPr>
        <w:tabs>
          <w:tab w:val="left" w:pos="280"/>
        </w:tabs>
        <w:bidi w:val="0"/>
        <w:jc w:val="left"/>
        <w:rPr>
          <w:rFonts w:hint="eastAsia" w:eastAsia="宋体"/>
          <w:sz w:val="30"/>
          <w:szCs w:val="30"/>
          <w:lang w:eastAsia="zh-CN"/>
        </w:rPr>
      </w:pPr>
      <w:r>
        <w:rPr>
          <w:rFonts w:hint="eastAsia" w:eastAsia="宋体"/>
          <w:sz w:val="30"/>
          <w:szCs w:val="30"/>
          <w:lang w:eastAsia="zh-CN"/>
        </w:rPr>
        <w:t>This is a picture of fallen man, trying to justify himself before God through his own good works; through “the works of the law” written in his heart (Rom. 2:15).</w:t>
      </w:r>
    </w:p>
    <w:p w14:paraId="2218AA2A">
      <w:pPr>
        <w:tabs>
          <w:tab w:val="left" w:pos="280"/>
        </w:tabs>
        <w:bidi w:val="0"/>
        <w:jc w:val="left"/>
        <w:rPr>
          <w:rFonts w:hint="eastAsia" w:eastAsia="宋体"/>
          <w:sz w:val="30"/>
          <w:szCs w:val="30"/>
          <w:lang w:eastAsia="zh-CN"/>
        </w:rPr>
      </w:pPr>
      <w:r>
        <w:rPr>
          <w:rFonts w:hint="eastAsia" w:eastAsia="宋体"/>
          <w:sz w:val="30"/>
          <w:szCs w:val="30"/>
          <w:lang w:eastAsia="zh-CN"/>
        </w:rPr>
        <w:t>这是一幅堕落之人的图画，试图通过自己的善行，通过写在他心中的“律法的功用”，在上帝面前称自己为义（罗 2:15）。</w:t>
      </w:r>
    </w:p>
    <w:p w14:paraId="11BB7F8E">
      <w:pPr>
        <w:tabs>
          <w:tab w:val="left" w:pos="280"/>
        </w:tabs>
        <w:bidi w:val="0"/>
        <w:jc w:val="left"/>
        <w:rPr>
          <w:rFonts w:hint="eastAsia" w:eastAsia="宋体"/>
          <w:sz w:val="30"/>
          <w:szCs w:val="30"/>
          <w:lang w:eastAsia="zh-CN"/>
        </w:rPr>
      </w:pPr>
    </w:p>
    <w:p w14:paraId="08BDDE8D">
      <w:pPr>
        <w:tabs>
          <w:tab w:val="left" w:pos="280"/>
        </w:tabs>
        <w:bidi w:val="0"/>
        <w:jc w:val="left"/>
        <w:rPr>
          <w:rFonts w:hint="eastAsia" w:eastAsia="宋体"/>
          <w:sz w:val="30"/>
          <w:szCs w:val="30"/>
          <w:lang w:eastAsia="zh-CN"/>
        </w:rPr>
      </w:pPr>
      <w:r>
        <w:rPr>
          <w:rFonts w:hint="eastAsia" w:eastAsia="宋体"/>
          <w:sz w:val="30"/>
          <w:szCs w:val="30"/>
          <w:lang w:eastAsia="zh-CN"/>
        </w:rPr>
        <w:t>Knowing, however, that all such efforts are in vain (Gal. 2:16), the LORD God himself steps in, and works in their behalf: He himself kills an animal, fashions its skin into tunics, and drapes the holy garments over the slumping shoulders of the guilty pair—who, to their great surprise and joy, now find that they can walk before him and with him once again.</w:t>
      </w:r>
    </w:p>
    <w:p w14:paraId="7A44AD2F">
      <w:pPr>
        <w:tabs>
          <w:tab w:val="left" w:pos="280"/>
        </w:tabs>
        <w:bidi w:val="0"/>
        <w:jc w:val="left"/>
        <w:rPr>
          <w:rFonts w:hint="eastAsia" w:eastAsia="宋体"/>
          <w:sz w:val="30"/>
          <w:szCs w:val="30"/>
          <w:lang w:eastAsia="zh-CN"/>
        </w:rPr>
      </w:pPr>
      <w:r>
        <w:rPr>
          <w:rFonts w:hint="eastAsia" w:eastAsia="宋体"/>
          <w:sz w:val="30"/>
          <w:szCs w:val="30"/>
          <w:lang w:eastAsia="zh-CN"/>
        </w:rPr>
        <w:t>然而，主上帝知道所有这些努力都是徒劳的（加 2:16），祂亲自介入，并为他们工作：祂亲自宰杀一只动物，用它的皮制成外衣，并将这圣洁的衣袍披在那对有罪夫妇下垂的肩膀上——他们惊喜交加地发现，他们现在可以再次在祂面前与祂同行了。</w:t>
      </w:r>
    </w:p>
    <w:p w14:paraId="1ADE3FDB">
      <w:pPr>
        <w:tabs>
          <w:tab w:val="left" w:pos="280"/>
        </w:tabs>
        <w:bidi w:val="0"/>
        <w:jc w:val="left"/>
        <w:rPr>
          <w:rFonts w:hint="eastAsia" w:eastAsia="宋体"/>
          <w:sz w:val="30"/>
          <w:szCs w:val="30"/>
          <w:lang w:eastAsia="zh-CN"/>
        </w:rPr>
      </w:pPr>
    </w:p>
    <w:p w14:paraId="2F86AC2E">
      <w:pPr>
        <w:tabs>
          <w:tab w:val="left" w:pos="280"/>
        </w:tabs>
        <w:bidi w:val="0"/>
        <w:jc w:val="left"/>
        <w:rPr>
          <w:rFonts w:hint="eastAsia" w:eastAsia="宋体"/>
          <w:sz w:val="30"/>
          <w:szCs w:val="30"/>
          <w:lang w:eastAsia="zh-CN"/>
        </w:rPr>
      </w:pPr>
      <w:r>
        <w:rPr>
          <w:rFonts w:hint="eastAsia" w:eastAsia="宋体"/>
          <w:sz w:val="30"/>
          <w:szCs w:val="30"/>
          <w:lang w:eastAsia="zh-CN"/>
        </w:rPr>
        <w:t>That is, they can walk in covenant with him from whom they formerly were estranged!</w:t>
      </w:r>
    </w:p>
    <w:p w14:paraId="0AFF1C67">
      <w:pPr>
        <w:tabs>
          <w:tab w:val="left" w:pos="280"/>
        </w:tabs>
        <w:bidi w:val="0"/>
        <w:jc w:val="left"/>
        <w:rPr>
          <w:rFonts w:hint="eastAsia" w:eastAsia="宋体"/>
          <w:sz w:val="30"/>
          <w:szCs w:val="30"/>
          <w:lang w:eastAsia="zh-CN"/>
        </w:rPr>
      </w:pPr>
      <w:r>
        <w:rPr>
          <w:rFonts w:hint="eastAsia" w:eastAsia="宋体"/>
          <w:sz w:val="30"/>
          <w:szCs w:val="30"/>
          <w:lang w:eastAsia="zh-CN"/>
        </w:rPr>
        <w:t>也就是说，他们可以与他们先前所疏远的那位立约同行！</w:t>
      </w:r>
    </w:p>
    <w:p w14:paraId="20FE1CFC">
      <w:pPr>
        <w:tabs>
          <w:tab w:val="left" w:pos="280"/>
        </w:tabs>
        <w:bidi w:val="0"/>
        <w:jc w:val="left"/>
        <w:rPr>
          <w:rFonts w:hint="eastAsia" w:eastAsia="宋体"/>
          <w:sz w:val="30"/>
          <w:szCs w:val="30"/>
          <w:lang w:eastAsia="zh-CN"/>
        </w:rPr>
      </w:pPr>
    </w:p>
    <w:p w14:paraId="5CCBCF07">
      <w:pPr>
        <w:tabs>
          <w:tab w:val="left" w:pos="280"/>
        </w:tabs>
        <w:bidi w:val="0"/>
        <w:jc w:val="left"/>
        <w:rPr>
          <w:rFonts w:hint="eastAsia" w:eastAsia="宋体"/>
          <w:sz w:val="30"/>
          <w:szCs w:val="30"/>
          <w:lang w:eastAsia="zh-CN"/>
        </w:rPr>
      </w:pPr>
      <w:r>
        <w:rPr>
          <w:rFonts w:hint="eastAsia" w:eastAsia="宋体"/>
          <w:sz w:val="30"/>
          <w:szCs w:val="30"/>
          <w:lang w:eastAsia="zh-CN"/>
        </w:rPr>
        <w:t>Here then is still another type, this time of God the Father, who, by his own hand of Providence (and also by the lawless hands of evil men), kills his own Son (Acts 2:23, 4:28).</w:t>
      </w:r>
    </w:p>
    <w:p w14:paraId="10EC8358">
      <w:pPr>
        <w:tabs>
          <w:tab w:val="left" w:pos="280"/>
        </w:tabs>
        <w:bidi w:val="0"/>
        <w:jc w:val="left"/>
        <w:rPr>
          <w:rFonts w:hint="eastAsia" w:eastAsia="宋体"/>
          <w:sz w:val="30"/>
          <w:szCs w:val="30"/>
          <w:lang w:eastAsia="zh-CN"/>
        </w:rPr>
      </w:pPr>
      <w:r>
        <w:rPr>
          <w:rFonts w:hint="eastAsia" w:eastAsia="宋体"/>
          <w:sz w:val="30"/>
          <w:szCs w:val="30"/>
          <w:lang w:eastAsia="zh-CN"/>
        </w:rPr>
        <w:t>那么，这里还有另一个预表，这次是父上帝的预表，祂藉着祂自己护理的手（也藉着不法之徒的手），杀害了祂自己的儿子（徒 2:23, 4:28）。</w:t>
      </w:r>
    </w:p>
    <w:p w14:paraId="768F4329">
      <w:pPr>
        <w:tabs>
          <w:tab w:val="left" w:pos="280"/>
        </w:tabs>
        <w:bidi w:val="0"/>
        <w:jc w:val="left"/>
        <w:rPr>
          <w:rFonts w:hint="eastAsia" w:eastAsia="宋体"/>
          <w:sz w:val="30"/>
          <w:szCs w:val="30"/>
          <w:lang w:eastAsia="zh-CN"/>
        </w:rPr>
      </w:pPr>
    </w:p>
    <w:p w14:paraId="616AA28D">
      <w:pPr>
        <w:tabs>
          <w:tab w:val="left" w:pos="280"/>
        </w:tabs>
        <w:bidi w:val="0"/>
        <w:jc w:val="left"/>
        <w:rPr>
          <w:rFonts w:hint="eastAsia" w:eastAsia="宋体"/>
          <w:sz w:val="30"/>
          <w:szCs w:val="30"/>
          <w:lang w:eastAsia="zh-CN"/>
        </w:rPr>
      </w:pPr>
      <w:r>
        <w:rPr>
          <w:rFonts w:hint="eastAsia" w:eastAsia="宋体"/>
          <w:sz w:val="30"/>
          <w:szCs w:val="30"/>
          <w:lang w:eastAsia="zh-CN"/>
        </w:rPr>
        <w:t>And why does he do this?</w:t>
      </w:r>
    </w:p>
    <w:p w14:paraId="4A5520B6">
      <w:pPr>
        <w:tabs>
          <w:tab w:val="left" w:pos="280"/>
        </w:tabs>
        <w:bidi w:val="0"/>
        <w:jc w:val="left"/>
        <w:rPr>
          <w:rFonts w:hint="eastAsia" w:eastAsia="宋体"/>
          <w:sz w:val="30"/>
          <w:szCs w:val="30"/>
          <w:lang w:eastAsia="zh-CN"/>
        </w:rPr>
      </w:pPr>
      <w:r>
        <w:rPr>
          <w:rFonts w:hint="eastAsia" w:eastAsia="宋体"/>
          <w:sz w:val="30"/>
          <w:szCs w:val="30"/>
          <w:lang w:eastAsia="zh-CN"/>
        </w:rPr>
        <w:t>祂为什么这样做呢？</w:t>
      </w:r>
    </w:p>
    <w:p w14:paraId="34C0AA5E">
      <w:pPr>
        <w:tabs>
          <w:tab w:val="left" w:pos="280"/>
        </w:tabs>
        <w:bidi w:val="0"/>
        <w:jc w:val="left"/>
        <w:rPr>
          <w:rFonts w:hint="eastAsia" w:eastAsia="宋体"/>
          <w:sz w:val="30"/>
          <w:szCs w:val="30"/>
          <w:lang w:eastAsia="zh-CN"/>
        </w:rPr>
      </w:pPr>
    </w:p>
    <w:p w14:paraId="4EC3D763">
      <w:pPr>
        <w:tabs>
          <w:tab w:val="left" w:pos="280"/>
        </w:tabs>
        <w:bidi w:val="0"/>
        <w:jc w:val="left"/>
        <w:rPr>
          <w:rFonts w:hint="eastAsia" w:eastAsia="宋体"/>
          <w:sz w:val="30"/>
          <w:szCs w:val="30"/>
          <w:lang w:eastAsia="zh-CN"/>
        </w:rPr>
      </w:pPr>
      <w:r>
        <w:rPr>
          <w:rFonts w:hint="eastAsia" w:eastAsia="宋体"/>
          <w:sz w:val="30"/>
          <w:szCs w:val="30"/>
          <w:lang w:eastAsia="zh-CN"/>
        </w:rPr>
        <w:t>So that having imputed the sins of his elect to Christ—and having punished Christ for them—he may then impute the righteousness of Christ to his elect (2 Cor. 5:21)!</w:t>
      </w:r>
    </w:p>
    <w:p w14:paraId="50DBDB43">
      <w:pPr>
        <w:tabs>
          <w:tab w:val="left" w:pos="280"/>
        </w:tabs>
        <w:bidi w:val="0"/>
        <w:jc w:val="left"/>
        <w:rPr>
          <w:rFonts w:hint="eastAsia" w:eastAsia="宋体"/>
          <w:sz w:val="30"/>
          <w:szCs w:val="30"/>
          <w:lang w:eastAsia="zh-CN"/>
        </w:rPr>
      </w:pPr>
      <w:r>
        <w:rPr>
          <w:rFonts w:hint="eastAsia" w:eastAsia="宋体"/>
          <w:sz w:val="30"/>
          <w:szCs w:val="30"/>
          <w:lang w:eastAsia="zh-CN"/>
        </w:rPr>
        <w:t>为的是将祂选民的罪归算给基督——并因此惩罚了基督——然后祂可以将基督的义归算给祂的选民（林后 5:21）！</w:t>
      </w:r>
    </w:p>
    <w:p w14:paraId="3FA2E0E5">
      <w:pPr>
        <w:tabs>
          <w:tab w:val="left" w:pos="280"/>
        </w:tabs>
        <w:bidi w:val="0"/>
        <w:jc w:val="left"/>
        <w:rPr>
          <w:rFonts w:hint="eastAsia" w:eastAsia="宋体"/>
          <w:sz w:val="30"/>
          <w:szCs w:val="30"/>
          <w:lang w:eastAsia="zh-CN"/>
        </w:rPr>
      </w:pPr>
    </w:p>
    <w:p w14:paraId="09CB9E02">
      <w:pPr>
        <w:tabs>
          <w:tab w:val="left" w:pos="280"/>
        </w:tabs>
        <w:bidi w:val="0"/>
        <w:jc w:val="left"/>
        <w:rPr>
          <w:rFonts w:hint="eastAsia" w:eastAsia="宋体"/>
          <w:sz w:val="30"/>
          <w:szCs w:val="30"/>
          <w:lang w:eastAsia="zh-CN"/>
        </w:rPr>
      </w:pPr>
      <w:r>
        <w:rPr>
          <w:rFonts w:hint="eastAsia" w:eastAsia="宋体"/>
          <w:sz w:val="30"/>
          <w:szCs w:val="30"/>
          <w:lang w:eastAsia="zh-CN"/>
        </w:rPr>
        <w:t>In the words of Isaiah the prophet, he does this in order to adorn eschatological Israel with a “robe of righteousness,” so that henceforth and forevermore wedding bells may ring (Isaiah 61:10, Rev. 7:14)!</w:t>
      </w:r>
    </w:p>
    <w:p w14:paraId="63A568DC">
      <w:pPr>
        <w:tabs>
          <w:tab w:val="left" w:pos="280"/>
        </w:tabs>
        <w:bidi w:val="0"/>
        <w:jc w:val="left"/>
        <w:rPr>
          <w:rFonts w:hint="eastAsia" w:eastAsia="宋体"/>
          <w:sz w:val="30"/>
          <w:szCs w:val="30"/>
          <w:lang w:eastAsia="zh-CN"/>
        </w:rPr>
      </w:pPr>
      <w:r>
        <w:rPr>
          <w:rFonts w:hint="eastAsia" w:eastAsia="宋体"/>
          <w:sz w:val="30"/>
          <w:szCs w:val="30"/>
          <w:lang w:eastAsia="zh-CN"/>
        </w:rPr>
        <w:t>用先知以赛亚的话说，祂这样做是为了用“公义的袍”来装饰末世的以色列，从此以后直到永远，婚礼的钟声可以响起（以赛亚书 61:10, 启 7:14）！</w:t>
      </w:r>
    </w:p>
    <w:p w14:paraId="0129C178">
      <w:pPr>
        <w:tabs>
          <w:tab w:val="left" w:pos="280"/>
        </w:tabs>
        <w:bidi w:val="0"/>
        <w:jc w:val="left"/>
        <w:rPr>
          <w:rFonts w:hint="eastAsia" w:eastAsia="宋体"/>
          <w:sz w:val="30"/>
          <w:szCs w:val="30"/>
          <w:lang w:eastAsia="zh-CN"/>
        </w:rPr>
      </w:pPr>
    </w:p>
    <w:p w14:paraId="049A7DCA">
      <w:pPr>
        <w:tabs>
          <w:tab w:val="left" w:pos="280"/>
        </w:tabs>
        <w:bidi w:val="0"/>
        <w:jc w:val="left"/>
        <w:rPr>
          <w:rFonts w:hint="eastAsia" w:eastAsia="宋体"/>
          <w:sz w:val="30"/>
          <w:szCs w:val="30"/>
          <w:lang w:eastAsia="zh-CN"/>
        </w:rPr>
      </w:pPr>
      <w:r>
        <w:rPr>
          <w:rFonts w:hint="eastAsia" w:eastAsia="宋体"/>
          <w:sz w:val="30"/>
          <w:szCs w:val="30"/>
          <w:lang w:eastAsia="zh-CN"/>
        </w:rPr>
        <w:t>Can you see the elements of the Eternal Covenant in this amazing OT type?</w:t>
      </w:r>
    </w:p>
    <w:p w14:paraId="41DAE817">
      <w:pPr>
        <w:tabs>
          <w:tab w:val="left" w:pos="280"/>
        </w:tabs>
        <w:bidi w:val="0"/>
        <w:jc w:val="left"/>
        <w:rPr>
          <w:rFonts w:hint="eastAsia" w:eastAsia="宋体"/>
          <w:sz w:val="30"/>
          <w:szCs w:val="30"/>
          <w:lang w:eastAsia="zh-CN"/>
        </w:rPr>
      </w:pPr>
      <w:r>
        <w:rPr>
          <w:rFonts w:hint="eastAsia" w:eastAsia="宋体"/>
          <w:sz w:val="30"/>
          <w:szCs w:val="30"/>
          <w:lang w:eastAsia="zh-CN"/>
        </w:rPr>
        <w:t>你能在这个惊人的旧约预表中看到永恒之约的要素吗？</w:t>
      </w:r>
    </w:p>
    <w:p w14:paraId="1FDEB607">
      <w:pPr>
        <w:tabs>
          <w:tab w:val="left" w:pos="280"/>
        </w:tabs>
        <w:bidi w:val="0"/>
        <w:jc w:val="left"/>
        <w:rPr>
          <w:rFonts w:hint="eastAsia" w:eastAsia="宋体"/>
          <w:sz w:val="30"/>
          <w:szCs w:val="30"/>
          <w:lang w:eastAsia="zh-CN"/>
        </w:rPr>
      </w:pPr>
    </w:p>
    <w:p w14:paraId="10812D04">
      <w:pPr>
        <w:tabs>
          <w:tab w:val="left" w:pos="280"/>
        </w:tabs>
        <w:bidi w:val="0"/>
        <w:jc w:val="left"/>
        <w:rPr>
          <w:rFonts w:hint="eastAsia" w:eastAsia="宋体"/>
          <w:sz w:val="30"/>
          <w:szCs w:val="30"/>
          <w:lang w:eastAsia="zh-CN"/>
        </w:rPr>
      </w:pPr>
      <w:r>
        <w:rPr>
          <w:rFonts w:hint="eastAsia" w:eastAsia="宋体"/>
          <w:sz w:val="30"/>
          <w:szCs w:val="30"/>
          <w:lang w:eastAsia="zh-CN"/>
        </w:rPr>
        <w:t>If so, you can also see something of the Kingdom.</w:t>
      </w:r>
    </w:p>
    <w:p w14:paraId="03D148FB">
      <w:pPr>
        <w:tabs>
          <w:tab w:val="left" w:pos="280"/>
        </w:tabs>
        <w:bidi w:val="0"/>
        <w:jc w:val="left"/>
        <w:rPr>
          <w:rFonts w:hint="eastAsia" w:eastAsia="宋体"/>
          <w:sz w:val="30"/>
          <w:szCs w:val="30"/>
          <w:lang w:eastAsia="zh-CN"/>
        </w:rPr>
      </w:pPr>
      <w:r>
        <w:rPr>
          <w:rFonts w:hint="eastAsia" w:eastAsia="宋体"/>
          <w:sz w:val="30"/>
          <w:szCs w:val="30"/>
          <w:lang w:eastAsia="zh-CN"/>
        </w:rPr>
        <w:t>如果能，你也能看到一些关于国度的事情。</w:t>
      </w:r>
    </w:p>
    <w:p w14:paraId="3BF1D445">
      <w:pPr>
        <w:tabs>
          <w:tab w:val="left" w:pos="280"/>
        </w:tabs>
        <w:bidi w:val="0"/>
        <w:jc w:val="left"/>
        <w:rPr>
          <w:rFonts w:hint="eastAsia" w:eastAsia="宋体"/>
          <w:sz w:val="30"/>
          <w:szCs w:val="30"/>
          <w:lang w:eastAsia="zh-CN"/>
        </w:rPr>
      </w:pPr>
    </w:p>
    <w:p w14:paraId="36A3BCA2">
      <w:pPr>
        <w:tabs>
          <w:tab w:val="left" w:pos="280"/>
        </w:tabs>
        <w:bidi w:val="0"/>
        <w:jc w:val="left"/>
        <w:rPr>
          <w:rFonts w:hint="eastAsia" w:eastAsia="宋体"/>
          <w:sz w:val="30"/>
          <w:szCs w:val="30"/>
          <w:lang w:eastAsia="zh-CN"/>
        </w:rPr>
      </w:pPr>
      <w:r>
        <w:rPr>
          <w:rFonts w:hint="eastAsia" w:eastAsia="宋体"/>
          <w:sz w:val="30"/>
          <w:szCs w:val="30"/>
          <w:lang w:eastAsia="zh-CN"/>
        </w:rPr>
        <w:t>For it is because of the slain animal (the provision of the Covenant) that the merciful and gracious God (the divine party of the Covenant) can rescue his dear children (the human party of the Covenant) from their guilt and condemnation, thereafter restoring them to a life of friendship under his benevolent rule (the promise of the Covenant).</w:t>
      </w:r>
    </w:p>
    <w:p w14:paraId="0E4C139B">
      <w:pPr>
        <w:tabs>
          <w:tab w:val="left" w:pos="280"/>
        </w:tabs>
        <w:bidi w:val="0"/>
        <w:jc w:val="left"/>
        <w:rPr>
          <w:rFonts w:hint="eastAsia" w:eastAsia="宋体"/>
          <w:sz w:val="30"/>
          <w:szCs w:val="30"/>
          <w:lang w:eastAsia="zh-CN"/>
        </w:rPr>
      </w:pPr>
      <w:r>
        <w:rPr>
          <w:rFonts w:hint="eastAsia" w:eastAsia="宋体"/>
          <w:sz w:val="30"/>
          <w:szCs w:val="30"/>
          <w:lang w:eastAsia="zh-CN"/>
        </w:rPr>
        <w:t>因为正是由于被杀的动物（圣约的预备），那满有怜悯和恩典的上帝（圣约的神圣一方）才能将祂亲爱的儿女（圣约的人类一方）从他们的罪咎和定罪中拯救出来，此后恢复他们到祂仁慈统治下的友谊生活中（圣约的应许）。</w:t>
      </w:r>
    </w:p>
    <w:p w14:paraId="7D346EB9">
      <w:pPr>
        <w:tabs>
          <w:tab w:val="left" w:pos="280"/>
        </w:tabs>
        <w:bidi w:val="0"/>
        <w:jc w:val="left"/>
        <w:rPr>
          <w:rFonts w:hint="eastAsia" w:eastAsia="宋体"/>
          <w:sz w:val="30"/>
          <w:szCs w:val="30"/>
          <w:lang w:eastAsia="zh-CN"/>
        </w:rPr>
      </w:pPr>
    </w:p>
    <w:p w14:paraId="535ACD67">
      <w:pPr>
        <w:tabs>
          <w:tab w:val="left" w:pos="280"/>
        </w:tabs>
        <w:bidi w:val="0"/>
        <w:jc w:val="left"/>
        <w:rPr>
          <w:rFonts w:hint="eastAsia" w:eastAsia="宋体"/>
          <w:sz w:val="30"/>
          <w:szCs w:val="30"/>
          <w:lang w:eastAsia="zh-CN"/>
        </w:rPr>
      </w:pPr>
      <w:r>
        <w:rPr>
          <w:rFonts w:hint="eastAsia" w:eastAsia="宋体"/>
          <w:sz w:val="30"/>
          <w:szCs w:val="30"/>
          <w:lang w:eastAsia="zh-CN"/>
        </w:rPr>
        <w:t>In short, because of Christ he can usher them into his Kingdom of redeeming love.</w:t>
      </w:r>
    </w:p>
    <w:p w14:paraId="6539DB07">
      <w:pPr>
        <w:tabs>
          <w:tab w:val="left" w:pos="280"/>
        </w:tabs>
        <w:bidi w:val="0"/>
        <w:jc w:val="left"/>
        <w:rPr>
          <w:rFonts w:hint="eastAsia" w:eastAsia="宋体"/>
          <w:sz w:val="30"/>
          <w:szCs w:val="30"/>
          <w:lang w:eastAsia="zh-CN"/>
        </w:rPr>
      </w:pPr>
      <w:r>
        <w:rPr>
          <w:rFonts w:hint="eastAsia" w:eastAsia="宋体"/>
          <w:sz w:val="30"/>
          <w:szCs w:val="30"/>
          <w:lang w:eastAsia="zh-CN"/>
        </w:rPr>
        <w:t>简而言之，因为基督，祂能引领他们进入祂救赎之爱的国度。</w:t>
      </w:r>
    </w:p>
    <w:p w14:paraId="5B9E16A8">
      <w:pPr>
        <w:tabs>
          <w:tab w:val="left" w:pos="280"/>
        </w:tabs>
        <w:bidi w:val="0"/>
        <w:jc w:val="left"/>
        <w:rPr>
          <w:rFonts w:hint="eastAsia" w:eastAsia="宋体"/>
          <w:sz w:val="30"/>
          <w:szCs w:val="30"/>
          <w:lang w:eastAsia="zh-CN"/>
        </w:rPr>
      </w:pPr>
    </w:p>
    <w:p w14:paraId="6309F04A">
      <w:pPr>
        <w:tabs>
          <w:tab w:val="left" w:pos="280"/>
        </w:tabs>
        <w:bidi w:val="0"/>
        <w:jc w:val="left"/>
        <w:rPr>
          <w:rFonts w:hint="eastAsia" w:eastAsia="宋体"/>
          <w:sz w:val="30"/>
          <w:szCs w:val="30"/>
          <w:lang w:eastAsia="zh-CN"/>
        </w:rPr>
      </w:pPr>
      <w:r>
        <w:rPr>
          <w:rFonts w:hint="eastAsia" w:eastAsia="宋体"/>
          <w:sz w:val="30"/>
          <w:szCs w:val="30"/>
          <w:lang w:eastAsia="zh-CN"/>
        </w:rPr>
        <w:t>Interestingly, we see the provision of the Covenant yet again in Genesis 4:4, which reads, “Abel also brought of the firstlings of his flock, and of their fat. And the LORD respected Abel and his offering.”</w:t>
      </w:r>
    </w:p>
    <w:p w14:paraId="446415BF">
      <w:pPr>
        <w:tabs>
          <w:tab w:val="left" w:pos="280"/>
        </w:tabs>
        <w:bidi w:val="0"/>
        <w:jc w:val="left"/>
        <w:rPr>
          <w:rFonts w:hint="eastAsia" w:eastAsia="宋体"/>
          <w:sz w:val="30"/>
          <w:szCs w:val="30"/>
          <w:lang w:eastAsia="zh-CN"/>
        </w:rPr>
      </w:pPr>
      <w:r>
        <w:rPr>
          <w:rFonts w:hint="eastAsia" w:eastAsia="宋体"/>
          <w:sz w:val="30"/>
          <w:szCs w:val="30"/>
          <w:lang w:eastAsia="zh-CN"/>
        </w:rPr>
        <w:t>有趣的是，我们在创世记 4:4 再次看到圣约的预备，经文写道：“亚伯也将他羊群中头生的和羊的脂油献上。耶和华看中了亚伯和他的供物。”</w:t>
      </w:r>
    </w:p>
    <w:p w14:paraId="2F6B0BE9">
      <w:pPr>
        <w:tabs>
          <w:tab w:val="left" w:pos="280"/>
        </w:tabs>
        <w:bidi w:val="0"/>
        <w:jc w:val="left"/>
        <w:rPr>
          <w:rFonts w:hint="eastAsia" w:eastAsia="宋体"/>
          <w:sz w:val="30"/>
          <w:szCs w:val="30"/>
          <w:lang w:eastAsia="zh-CN"/>
        </w:rPr>
      </w:pPr>
    </w:p>
    <w:p w14:paraId="63BD0495">
      <w:pPr>
        <w:tabs>
          <w:tab w:val="left" w:pos="280"/>
        </w:tabs>
        <w:bidi w:val="0"/>
        <w:jc w:val="left"/>
        <w:rPr>
          <w:rFonts w:hint="eastAsia" w:eastAsia="宋体"/>
          <w:sz w:val="30"/>
          <w:szCs w:val="30"/>
          <w:lang w:eastAsia="zh-CN"/>
        </w:rPr>
      </w:pPr>
      <w:r>
        <w:rPr>
          <w:rFonts w:hint="eastAsia" w:eastAsia="宋体"/>
          <w:sz w:val="30"/>
          <w:szCs w:val="30"/>
          <w:lang w:eastAsia="zh-CN"/>
        </w:rPr>
        <w:t>This verse suggests that God, by slaying an animal to clothe Adam and Eve (3:21), had thereby inaugurated a chosen pattern of worship for those who desired to be in covenant with him.</w:t>
      </w:r>
    </w:p>
    <w:p w14:paraId="14428059">
      <w:pPr>
        <w:tabs>
          <w:tab w:val="left" w:pos="280"/>
        </w:tabs>
        <w:bidi w:val="0"/>
        <w:jc w:val="left"/>
        <w:rPr>
          <w:rFonts w:hint="eastAsia" w:eastAsia="宋体"/>
          <w:sz w:val="30"/>
          <w:szCs w:val="30"/>
          <w:lang w:eastAsia="zh-CN"/>
        </w:rPr>
      </w:pPr>
      <w:r>
        <w:rPr>
          <w:rFonts w:hint="eastAsia" w:eastAsia="宋体"/>
          <w:sz w:val="30"/>
          <w:szCs w:val="30"/>
          <w:lang w:eastAsia="zh-CN"/>
        </w:rPr>
        <w:t>这节经文暗示，上帝通过宰杀动物给亚当和夏娃穿（3:21），从而为那些渴望与祂立约的人开启了一种蒙拣选的敬拜模式。</w:t>
      </w:r>
    </w:p>
    <w:p w14:paraId="7BBC3B0B">
      <w:pPr>
        <w:tabs>
          <w:tab w:val="left" w:pos="280"/>
        </w:tabs>
        <w:bidi w:val="0"/>
        <w:jc w:val="left"/>
        <w:rPr>
          <w:rFonts w:hint="eastAsia" w:eastAsia="宋体"/>
          <w:sz w:val="30"/>
          <w:szCs w:val="30"/>
          <w:lang w:eastAsia="zh-CN"/>
        </w:rPr>
      </w:pPr>
    </w:p>
    <w:p w14:paraId="3C24DACC">
      <w:pPr>
        <w:tabs>
          <w:tab w:val="left" w:pos="280"/>
        </w:tabs>
        <w:bidi w:val="0"/>
        <w:jc w:val="left"/>
        <w:rPr>
          <w:rFonts w:hint="eastAsia" w:eastAsia="宋体"/>
          <w:sz w:val="30"/>
          <w:szCs w:val="30"/>
          <w:lang w:eastAsia="zh-CN"/>
        </w:rPr>
      </w:pPr>
      <w:r>
        <w:rPr>
          <w:rFonts w:hint="eastAsia" w:eastAsia="宋体"/>
          <w:sz w:val="30"/>
          <w:szCs w:val="30"/>
          <w:lang w:eastAsia="zh-CN"/>
        </w:rPr>
        <w:t>Cain, who was not of the (spiritual) seed of the Woman, but was of his father the devil, did not follow God’s pattern, and therefore did not meet with God’s favor (Gen. 3:5f, 1 John 3:12).</w:t>
      </w:r>
    </w:p>
    <w:p w14:paraId="38127493">
      <w:pPr>
        <w:tabs>
          <w:tab w:val="left" w:pos="280"/>
        </w:tabs>
        <w:bidi w:val="0"/>
        <w:jc w:val="left"/>
        <w:rPr>
          <w:rFonts w:hint="eastAsia" w:eastAsia="宋体"/>
          <w:sz w:val="30"/>
          <w:szCs w:val="30"/>
          <w:lang w:eastAsia="zh-CN"/>
        </w:rPr>
      </w:pPr>
      <w:r>
        <w:rPr>
          <w:rFonts w:hint="eastAsia" w:eastAsia="宋体"/>
          <w:sz w:val="30"/>
          <w:szCs w:val="30"/>
          <w:lang w:eastAsia="zh-CN"/>
        </w:rPr>
        <w:t>该隐，不是那女人（属灵）的后裔，而是属他父亲魔鬼的，没有遵循上帝的模式，因此没有得到上帝的喜悦（创 3:5f, 约一 3:12）。</w:t>
      </w:r>
    </w:p>
    <w:p w14:paraId="3BD0A7CD">
      <w:pPr>
        <w:tabs>
          <w:tab w:val="left" w:pos="280"/>
        </w:tabs>
        <w:bidi w:val="0"/>
        <w:jc w:val="left"/>
        <w:rPr>
          <w:rFonts w:hint="eastAsia" w:eastAsia="宋体"/>
          <w:sz w:val="30"/>
          <w:szCs w:val="30"/>
          <w:lang w:eastAsia="zh-CN"/>
        </w:rPr>
      </w:pPr>
    </w:p>
    <w:p w14:paraId="08C3E3ED">
      <w:pPr>
        <w:tabs>
          <w:tab w:val="left" w:pos="280"/>
        </w:tabs>
        <w:bidi w:val="0"/>
        <w:jc w:val="left"/>
        <w:rPr>
          <w:rFonts w:hint="eastAsia" w:eastAsia="宋体"/>
          <w:sz w:val="30"/>
          <w:szCs w:val="30"/>
          <w:lang w:eastAsia="zh-CN"/>
        </w:rPr>
      </w:pPr>
      <w:r>
        <w:rPr>
          <w:rFonts w:hint="eastAsia" w:eastAsia="宋体"/>
          <w:sz w:val="30"/>
          <w:szCs w:val="30"/>
          <w:lang w:eastAsia="zh-CN"/>
        </w:rPr>
        <w:t>Abel, by following the established pattern, did.</w:t>
      </w:r>
    </w:p>
    <w:p w14:paraId="61BADC9B">
      <w:pPr>
        <w:tabs>
          <w:tab w:val="left" w:pos="280"/>
        </w:tabs>
        <w:bidi w:val="0"/>
        <w:jc w:val="left"/>
        <w:rPr>
          <w:rFonts w:hint="eastAsia" w:eastAsia="宋体"/>
          <w:sz w:val="30"/>
          <w:szCs w:val="30"/>
          <w:lang w:eastAsia="zh-CN"/>
        </w:rPr>
      </w:pPr>
      <w:r>
        <w:rPr>
          <w:rFonts w:hint="eastAsia" w:eastAsia="宋体"/>
          <w:sz w:val="30"/>
          <w:szCs w:val="30"/>
          <w:lang w:eastAsia="zh-CN"/>
        </w:rPr>
        <w:t>亚伯，通过遵循既定的模式，做到了。</w:t>
      </w:r>
    </w:p>
    <w:p w14:paraId="4EC15446">
      <w:pPr>
        <w:tabs>
          <w:tab w:val="left" w:pos="280"/>
        </w:tabs>
        <w:bidi w:val="0"/>
        <w:jc w:val="left"/>
        <w:rPr>
          <w:rFonts w:hint="eastAsia" w:eastAsia="宋体"/>
          <w:sz w:val="30"/>
          <w:szCs w:val="30"/>
          <w:lang w:eastAsia="zh-CN"/>
        </w:rPr>
      </w:pPr>
    </w:p>
    <w:p w14:paraId="7B0706DE">
      <w:pPr>
        <w:tabs>
          <w:tab w:val="left" w:pos="280"/>
        </w:tabs>
        <w:bidi w:val="0"/>
        <w:jc w:val="left"/>
        <w:rPr>
          <w:rFonts w:hint="eastAsia" w:eastAsia="宋体"/>
          <w:sz w:val="30"/>
          <w:szCs w:val="30"/>
          <w:lang w:eastAsia="zh-CN"/>
        </w:rPr>
      </w:pPr>
      <w:r>
        <w:rPr>
          <w:rFonts w:hint="eastAsia" w:eastAsia="宋体"/>
          <w:sz w:val="30"/>
          <w:szCs w:val="30"/>
          <w:lang w:eastAsia="zh-CN"/>
        </w:rPr>
        <w:t>Therefore, he, Seth, Enosh, and all the other “sons of God” who would later call upon the name of the LORD, stand together as a picture of the Church: the eternal covenant community, the citizens of God’s Kingdom, the brotherhood of all who put no confidence in the flesh, but worship God through Christ, and so dwell blessedly beneath His redemptive reign (Gen. 4:4, 26, 6:2; Phil. 3:3).</w:t>
      </w:r>
    </w:p>
    <w:p w14:paraId="772DD0DF">
      <w:pPr>
        <w:tabs>
          <w:tab w:val="left" w:pos="280"/>
        </w:tabs>
        <w:bidi w:val="0"/>
        <w:jc w:val="left"/>
        <w:rPr>
          <w:rFonts w:hint="eastAsia" w:eastAsia="宋体"/>
          <w:sz w:val="30"/>
          <w:szCs w:val="30"/>
          <w:lang w:eastAsia="zh-CN"/>
        </w:rPr>
      </w:pPr>
      <w:r>
        <w:rPr>
          <w:rFonts w:hint="eastAsia" w:eastAsia="宋体"/>
          <w:sz w:val="30"/>
          <w:szCs w:val="30"/>
          <w:lang w:eastAsia="zh-CN"/>
        </w:rPr>
        <w:t>因此，他、塞特、以挪士，以及所有后来求告耶和华名的其他“上帝的儿子们”，共同构成了教会的一幅图画：永恒的圣约群体，上帝之国的公民，所有不靠着肉体，而是藉着基督敬拜上帝，从而有福地居住在祂救赎统治之下的弟兄们（创 4:4, 26, 6:2; 腓 3:3）。</w:t>
      </w:r>
    </w:p>
    <w:p w14:paraId="4B88487F">
      <w:pPr>
        <w:tabs>
          <w:tab w:val="left" w:pos="280"/>
        </w:tabs>
        <w:bidi w:val="0"/>
        <w:jc w:val="left"/>
        <w:rPr>
          <w:rFonts w:hint="eastAsia" w:eastAsia="宋体"/>
          <w:sz w:val="30"/>
          <w:szCs w:val="30"/>
          <w:lang w:eastAsia="zh-CN"/>
        </w:rPr>
      </w:pPr>
    </w:p>
    <w:p w14:paraId="73D190ED">
      <w:pPr>
        <w:tabs>
          <w:tab w:val="left" w:pos="280"/>
        </w:tabs>
        <w:bidi w:val="0"/>
        <w:jc w:val="left"/>
        <w:rPr>
          <w:rFonts w:hint="eastAsia" w:eastAsia="宋体"/>
          <w:sz w:val="30"/>
          <w:szCs w:val="30"/>
          <w:lang w:eastAsia="zh-CN"/>
        </w:rPr>
      </w:pPr>
      <w:r>
        <w:rPr>
          <w:rFonts w:hint="eastAsia" w:eastAsia="宋体"/>
          <w:sz w:val="30"/>
          <w:szCs w:val="30"/>
          <w:lang w:eastAsia="zh-CN"/>
        </w:rPr>
        <w:t>Do any of these texts portray the Kingdom as an ideal Mosaic theocracy?</w:t>
      </w:r>
    </w:p>
    <w:p w14:paraId="41D88217">
      <w:pPr>
        <w:tabs>
          <w:tab w:val="left" w:pos="280"/>
        </w:tabs>
        <w:bidi w:val="0"/>
        <w:jc w:val="left"/>
        <w:rPr>
          <w:rFonts w:hint="eastAsia" w:eastAsia="宋体"/>
          <w:sz w:val="30"/>
          <w:szCs w:val="30"/>
          <w:lang w:eastAsia="zh-CN"/>
        </w:rPr>
      </w:pPr>
      <w:r>
        <w:rPr>
          <w:rFonts w:hint="eastAsia" w:eastAsia="宋体"/>
          <w:sz w:val="30"/>
          <w:szCs w:val="30"/>
          <w:lang w:eastAsia="zh-CN"/>
        </w:rPr>
        <w:t>这些经文中有任何一篇将国度描绘成理想的摩西式神权政体吗？</w:t>
      </w:r>
    </w:p>
    <w:p w14:paraId="5F200047">
      <w:pPr>
        <w:tabs>
          <w:tab w:val="left" w:pos="280"/>
        </w:tabs>
        <w:bidi w:val="0"/>
        <w:jc w:val="left"/>
        <w:rPr>
          <w:rFonts w:hint="eastAsia" w:eastAsia="宋体"/>
          <w:sz w:val="30"/>
          <w:szCs w:val="30"/>
          <w:lang w:eastAsia="zh-CN"/>
        </w:rPr>
      </w:pPr>
    </w:p>
    <w:p w14:paraId="232E037A">
      <w:pPr>
        <w:tabs>
          <w:tab w:val="left" w:pos="280"/>
        </w:tabs>
        <w:bidi w:val="0"/>
        <w:jc w:val="left"/>
        <w:rPr>
          <w:rFonts w:hint="eastAsia" w:eastAsia="宋体"/>
          <w:sz w:val="30"/>
          <w:szCs w:val="30"/>
          <w:lang w:eastAsia="zh-CN"/>
        </w:rPr>
      </w:pPr>
      <w:r>
        <w:rPr>
          <w:rFonts w:hint="eastAsia" w:eastAsia="宋体"/>
          <w:sz w:val="30"/>
          <w:szCs w:val="30"/>
          <w:lang w:eastAsia="zh-CN"/>
        </w:rPr>
        <w:t>Not at all.</w:t>
      </w:r>
    </w:p>
    <w:p w14:paraId="2D0ED813">
      <w:pPr>
        <w:tabs>
          <w:tab w:val="left" w:pos="280"/>
        </w:tabs>
        <w:bidi w:val="0"/>
        <w:jc w:val="left"/>
        <w:rPr>
          <w:rFonts w:hint="eastAsia" w:eastAsia="宋体"/>
          <w:sz w:val="30"/>
          <w:szCs w:val="30"/>
          <w:lang w:eastAsia="zh-CN"/>
        </w:rPr>
      </w:pPr>
      <w:r>
        <w:rPr>
          <w:rFonts w:hint="eastAsia" w:eastAsia="宋体"/>
          <w:sz w:val="30"/>
          <w:szCs w:val="30"/>
          <w:lang w:eastAsia="zh-CN"/>
        </w:rPr>
        <w:t>完全没有。</w:t>
      </w:r>
    </w:p>
    <w:p w14:paraId="07CCE460">
      <w:pPr>
        <w:tabs>
          <w:tab w:val="left" w:pos="280"/>
        </w:tabs>
        <w:bidi w:val="0"/>
        <w:jc w:val="left"/>
        <w:rPr>
          <w:rFonts w:hint="eastAsia" w:eastAsia="宋体"/>
          <w:sz w:val="30"/>
          <w:szCs w:val="30"/>
          <w:lang w:eastAsia="zh-CN"/>
        </w:rPr>
      </w:pPr>
    </w:p>
    <w:p w14:paraId="0DD02D01">
      <w:pPr>
        <w:tabs>
          <w:tab w:val="left" w:pos="280"/>
        </w:tabs>
        <w:bidi w:val="0"/>
        <w:jc w:val="left"/>
        <w:rPr>
          <w:rFonts w:hint="eastAsia" w:eastAsia="宋体"/>
          <w:sz w:val="30"/>
          <w:szCs w:val="30"/>
          <w:lang w:eastAsia="zh-CN"/>
        </w:rPr>
      </w:pPr>
      <w:r>
        <w:rPr>
          <w:rFonts w:hint="eastAsia" w:eastAsia="宋体"/>
          <w:sz w:val="30"/>
          <w:szCs w:val="30"/>
          <w:lang w:eastAsia="zh-CN"/>
        </w:rPr>
        <w:t>But they do portray the Kingdom as an intimate covenant relationship with God, made possible by a Sacrifice.</w:t>
      </w:r>
    </w:p>
    <w:p w14:paraId="7721C272">
      <w:pPr>
        <w:tabs>
          <w:tab w:val="left" w:pos="280"/>
        </w:tabs>
        <w:bidi w:val="0"/>
        <w:jc w:val="left"/>
        <w:rPr>
          <w:rFonts w:hint="eastAsia" w:eastAsia="宋体"/>
          <w:sz w:val="30"/>
          <w:szCs w:val="30"/>
          <w:lang w:eastAsia="zh-CN"/>
        </w:rPr>
      </w:pPr>
      <w:r>
        <w:rPr>
          <w:rFonts w:hint="eastAsia" w:eastAsia="宋体"/>
          <w:sz w:val="30"/>
          <w:szCs w:val="30"/>
          <w:lang w:eastAsia="zh-CN"/>
        </w:rPr>
        <w:t>但它们确实将国度描绘成与上帝的一种亲密的立约关系，这是通过一个献祭才成为可能的。</w:t>
      </w:r>
    </w:p>
    <w:p w14:paraId="7B542F68">
      <w:pPr>
        <w:tabs>
          <w:tab w:val="left" w:pos="280"/>
        </w:tabs>
        <w:bidi w:val="0"/>
        <w:jc w:val="left"/>
        <w:rPr>
          <w:rFonts w:hint="eastAsia" w:eastAsia="宋体"/>
          <w:sz w:val="30"/>
          <w:szCs w:val="30"/>
          <w:lang w:eastAsia="zh-CN"/>
        </w:rPr>
      </w:pPr>
    </w:p>
    <w:p w14:paraId="0D0102D2">
      <w:pPr>
        <w:tabs>
          <w:tab w:val="left" w:pos="280"/>
        </w:tabs>
        <w:bidi w:val="0"/>
        <w:jc w:val="left"/>
        <w:rPr>
          <w:rFonts w:hint="eastAsia" w:eastAsia="宋体"/>
          <w:sz w:val="30"/>
          <w:szCs w:val="30"/>
          <w:lang w:eastAsia="zh-CN"/>
        </w:rPr>
      </w:pPr>
      <w:r>
        <w:rPr>
          <w:rFonts w:hint="eastAsia" w:eastAsia="宋体"/>
          <w:sz w:val="30"/>
          <w:szCs w:val="30"/>
          <w:lang w:eastAsia="zh-CN"/>
        </w:rPr>
        <w:t>So too did Jesus, when he brought the New and Eternal Covenant into the world.</w:t>
      </w:r>
    </w:p>
    <w:p w14:paraId="4558EE53">
      <w:pPr>
        <w:tabs>
          <w:tab w:val="left" w:pos="280"/>
        </w:tabs>
        <w:bidi w:val="0"/>
        <w:jc w:val="left"/>
        <w:rPr>
          <w:rFonts w:hint="eastAsia" w:eastAsia="宋体"/>
          <w:sz w:val="30"/>
          <w:szCs w:val="30"/>
          <w:lang w:eastAsia="zh-CN"/>
        </w:rPr>
      </w:pPr>
      <w:r>
        <w:rPr>
          <w:rFonts w:hint="eastAsia" w:eastAsia="宋体"/>
          <w:sz w:val="30"/>
          <w:szCs w:val="30"/>
          <w:lang w:eastAsia="zh-CN"/>
        </w:rPr>
        <w:t>耶稣也是如此，当祂将新的和永恒的约带入世界时。</w:t>
      </w:r>
    </w:p>
    <w:p w14:paraId="311F6D81">
      <w:pPr>
        <w:tabs>
          <w:tab w:val="left" w:pos="280"/>
        </w:tabs>
        <w:bidi w:val="0"/>
        <w:jc w:val="left"/>
        <w:rPr>
          <w:rFonts w:hint="eastAsia" w:eastAsia="宋体"/>
          <w:sz w:val="30"/>
          <w:szCs w:val="30"/>
          <w:lang w:eastAsia="zh-CN"/>
        </w:rPr>
      </w:pPr>
    </w:p>
    <w:p w14:paraId="68DDD46F">
      <w:pPr>
        <w:tabs>
          <w:tab w:val="left" w:pos="280"/>
        </w:tabs>
        <w:bidi w:val="0"/>
        <w:jc w:val="left"/>
        <w:rPr>
          <w:rFonts w:hint="eastAsia" w:eastAsia="宋体"/>
          <w:sz w:val="30"/>
          <w:szCs w:val="30"/>
          <w:lang w:eastAsia="zh-CN"/>
        </w:rPr>
      </w:pPr>
      <w:r>
        <w:rPr>
          <w:rFonts w:hint="eastAsia" w:eastAsia="宋体"/>
          <w:sz w:val="30"/>
          <w:szCs w:val="30"/>
          <w:lang w:eastAsia="zh-CN"/>
        </w:rPr>
        <w:t>The Kingdom and the Covenant with Noah</w:t>
      </w:r>
    </w:p>
    <w:p w14:paraId="15BD7994">
      <w:pPr>
        <w:tabs>
          <w:tab w:val="left" w:pos="280"/>
        </w:tabs>
        <w:bidi w:val="0"/>
        <w:jc w:val="left"/>
        <w:rPr>
          <w:rFonts w:hint="eastAsia" w:eastAsia="宋体"/>
          <w:sz w:val="30"/>
          <w:szCs w:val="30"/>
          <w:lang w:eastAsia="zh-CN"/>
        </w:rPr>
      </w:pPr>
      <w:r>
        <w:rPr>
          <w:rFonts w:hint="eastAsia" w:eastAsia="宋体"/>
          <w:sz w:val="30"/>
          <w:szCs w:val="30"/>
          <w:lang w:eastAsia="zh-CN"/>
        </w:rPr>
        <w:t>国度与挪亚之约</w:t>
      </w:r>
    </w:p>
    <w:p w14:paraId="218EFA8F">
      <w:pPr>
        <w:tabs>
          <w:tab w:val="left" w:pos="280"/>
        </w:tabs>
        <w:bidi w:val="0"/>
        <w:jc w:val="left"/>
        <w:rPr>
          <w:rFonts w:hint="eastAsia" w:eastAsia="宋体"/>
          <w:sz w:val="30"/>
          <w:szCs w:val="30"/>
          <w:lang w:eastAsia="zh-CN"/>
        </w:rPr>
      </w:pPr>
    </w:p>
    <w:p w14:paraId="15D51F83">
      <w:pPr>
        <w:tabs>
          <w:tab w:val="left" w:pos="280"/>
        </w:tabs>
        <w:bidi w:val="0"/>
        <w:jc w:val="left"/>
        <w:rPr>
          <w:rFonts w:hint="eastAsia" w:eastAsia="宋体"/>
          <w:sz w:val="30"/>
          <w:szCs w:val="30"/>
          <w:lang w:eastAsia="zh-CN"/>
        </w:rPr>
      </w:pPr>
      <w:r>
        <w:rPr>
          <w:rFonts w:hint="eastAsia" w:eastAsia="宋体"/>
          <w:sz w:val="30"/>
          <w:szCs w:val="30"/>
          <w:lang w:eastAsia="zh-CN"/>
        </w:rPr>
        <w:t>(Genesis 6-9)</w:t>
      </w:r>
    </w:p>
    <w:p w14:paraId="655C9865">
      <w:pPr>
        <w:tabs>
          <w:tab w:val="left" w:pos="280"/>
        </w:tabs>
        <w:bidi w:val="0"/>
        <w:jc w:val="left"/>
        <w:rPr>
          <w:rFonts w:hint="eastAsia" w:eastAsia="宋体"/>
          <w:sz w:val="30"/>
          <w:szCs w:val="30"/>
          <w:lang w:eastAsia="zh-CN"/>
        </w:rPr>
      </w:pPr>
      <w:r>
        <w:rPr>
          <w:rFonts w:hint="eastAsia" w:eastAsia="宋体"/>
          <w:sz w:val="30"/>
          <w:szCs w:val="30"/>
          <w:lang w:eastAsia="zh-CN"/>
        </w:rPr>
        <w:t>（创世记 6-9）</w:t>
      </w:r>
    </w:p>
    <w:p w14:paraId="325E44FB">
      <w:pPr>
        <w:tabs>
          <w:tab w:val="left" w:pos="280"/>
        </w:tabs>
        <w:bidi w:val="0"/>
        <w:jc w:val="left"/>
        <w:rPr>
          <w:rFonts w:hint="eastAsia" w:eastAsia="宋体"/>
          <w:sz w:val="30"/>
          <w:szCs w:val="30"/>
          <w:lang w:eastAsia="zh-CN"/>
        </w:rPr>
      </w:pPr>
    </w:p>
    <w:p w14:paraId="5D952301">
      <w:pPr>
        <w:tabs>
          <w:tab w:val="left" w:pos="280"/>
        </w:tabs>
        <w:bidi w:val="0"/>
        <w:jc w:val="left"/>
        <w:rPr>
          <w:rFonts w:hint="eastAsia" w:eastAsia="宋体"/>
          <w:sz w:val="30"/>
          <w:szCs w:val="30"/>
          <w:lang w:eastAsia="zh-CN"/>
        </w:rPr>
      </w:pPr>
      <w:r>
        <w:rPr>
          <w:rFonts w:hint="eastAsia" w:eastAsia="宋体"/>
          <w:sz w:val="30"/>
          <w:szCs w:val="30"/>
          <w:lang w:eastAsia="zh-CN"/>
        </w:rPr>
        <w:t>The biblical narrative of Noah and the ark is one of the great OT pictures of redemption (Genesis 6-9).</w:t>
      </w:r>
    </w:p>
    <w:p w14:paraId="3FF43440">
      <w:pPr>
        <w:tabs>
          <w:tab w:val="left" w:pos="280"/>
        </w:tabs>
        <w:bidi w:val="0"/>
        <w:jc w:val="left"/>
        <w:rPr>
          <w:rFonts w:hint="eastAsia" w:eastAsia="宋体"/>
          <w:sz w:val="30"/>
          <w:szCs w:val="30"/>
          <w:lang w:eastAsia="zh-CN"/>
        </w:rPr>
      </w:pPr>
      <w:r>
        <w:rPr>
          <w:rFonts w:hint="eastAsia" w:eastAsia="宋体"/>
          <w:sz w:val="30"/>
          <w:szCs w:val="30"/>
          <w:lang w:eastAsia="zh-CN"/>
        </w:rPr>
        <w:t>圣经中关于挪亚和方舟的叙述是旧约中伟大的救赎图画之一（创世记 6-9）。</w:t>
      </w:r>
    </w:p>
    <w:p w14:paraId="0E65B3C9">
      <w:pPr>
        <w:tabs>
          <w:tab w:val="left" w:pos="280"/>
        </w:tabs>
        <w:bidi w:val="0"/>
        <w:jc w:val="left"/>
        <w:rPr>
          <w:rFonts w:hint="eastAsia" w:eastAsia="宋体"/>
          <w:sz w:val="30"/>
          <w:szCs w:val="30"/>
          <w:lang w:eastAsia="zh-CN"/>
        </w:rPr>
      </w:pPr>
    </w:p>
    <w:p w14:paraId="06C4C8CB">
      <w:pPr>
        <w:tabs>
          <w:tab w:val="left" w:pos="280"/>
        </w:tabs>
        <w:bidi w:val="0"/>
        <w:jc w:val="left"/>
        <w:rPr>
          <w:rFonts w:hint="eastAsia" w:eastAsia="宋体"/>
          <w:sz w:val="30"/>
          <w:szCs w:val="30"/>
          <w:lang w:eastAsia="zh-CN"/>
        </w:rPr>
      </w:pPr>
      <w:r>
        <w:rPr>
          <w:rFonts w:hint="eastAsia" w:eastAsia="宋体"/>
          <w:sz w:val="30"/>
          <w:szCs w:val="30"/>
          <w:lang w:eastAsia="zh-CN"/>
        </w:rPr>
        <w:t>As such, it abounds with nuanced allusions to the Eternal Covenant and the Kingdom of God.</w:t>
      </w:r>
    </w:p>
    <w:p w14:paraId="57073E75">
      <w:pPr>
        <w:tabs>
          <w:tab w:val="left" w:pos="280"/>
        </w:tabs>
        <w:bidi w:val="0"/>
        <w:jc w:val="left"/>
        <w:rPr>
          <w:rFonts w:hint="eastAsia" w:eastAsia="宋体"/>
          <w:sz w:val="30"/>
          <w:szCs w:val="30"/>
          <w:lang w:eastAsia="zh-CN"/>
        </w:rPr>
      </w:pPr>
      <w:r>
        <w:rPr>
          <w:rFonts w:hint="eastAsia" w:eastAsia="宋体"/>
          <w:sz w:val="30"/>
          <w:szCs w:val="30"/>
          <w:lang w:eastAsia="zh-CN"/>
        </w:rPr>
        <w:t>因此，它充满了对永恒之约和上帝之国的细致入微的暗示。</w:t>
      </w:r>
    </w:p>
    <w:p w14:paraId="01DE2FC6">
      <w:pPr>
        <w:tabs>
          <w:tab w:val="left" w:pos="280"/>
        </w:tabs>
        <w:bidi w:val="0"/>
        <w:jc w:val="left"/>
        <w:rPr>
          <w:rFonts w:hint="eastAsia" w:eastAsia="宋体"/>
          <w:sz w:val="30"/>
          <w:szCs w:val="30"/>
          <w:lang w:eastAsia="zh-CN"/>
        </w:rPr>
      </w:pPr>
    </w:p>
    <w:p w14:paraId="0674C83B">
      <w:pPr>
        <w:tabs>
          <w:tab w:val="left" w:pos="280"/>
        </w:tabs>
        <w:bidi w:val="0"/>
        <w:jc w:val="left"/>
        <w:rPr>
          <w:rFonts w:hint="eastAsia" w:eastAsia="宋体"/>
          <w:sz w:val="30"/>
          <w:szCs w:val="30"/>
          <w:lang w:eastAsia="zh-CN"/>
        </w:rPr>
      </w:pPr>
      <w:r>
        <w:rPr>
          <w:rFonts w:hint="eastAsia" w:eastAsia="宋体"/>
          <w:sz w:val="30"/>
          <w:szCs w:val="30"/>
          <w:lang w:eastAsia="zh-CN"/>
        </w:rPr>
        <w:t>Let us briefly explore them here.</w:t>
      </w:r>
    </w:p>
    <w:p w14:paraId="66C4A2EB">
      <w:pPr>
        <w:tabs>
          <w:tab w:val="left" w:pos="280"/>
        </w:tabs>
        <w:bidi w:val="0"/>
        <w:jc w:val="left"/>
        <w:rPr>
          <w:rFonts w:hint="eastAsia" w:eastAsia="宋体"/>
          <w:sz w:val="30"/>
          <w:szCs w:val="30"/>
          <w:lang w:eastAsia="zh-CN"/>
        </w:rPr>
      </w:pPr>
      <w:r>
        <w:rPr>
          <w:rFonts w:hint="eastAsia" w:eastAsia="宋体"/>
          <w:sz w:val="30"/>
          <w:szCs w:val="30"/>
          <w:lang w:eastAsia="zh-CN"/>
        </w:rPr>
        <w:t>让我们在此简要地探讨它们。</w:t>
      </w:r>
    </w:p>
    <w:p w14:paraId="11B79AFE">
      <w:pPr>
        <w:tabs>
          <w:tab w:val="left" w:pos="280"/>
        </w:tabs>
        <w:bidi w:val="0"/>
        <w:jc w:val="left"/>
        <w:rPr>
          <w:rFonts w:hint="eastAsia" w:eastAsia="宋体"/>
          <w:sz w:val="30"/>
          <w:szCs w:val="30"/>
          <w:lang w:eastAsia="zh-CN"/>
        </w:rPr>
      </w:pPr>
    </w:p>
    <w:p w14:paraId="27C20A5E">
      <w:pPr>
        <w:tabs>
          <w:tab w:val="left" w:pos="280"/>
        </w:tabs>
        <w:bidi w:val="0"/>
        <w:jc w:val="left"/>
        <w:rPr>
          <w:rFonts w:hint="eastAsia" w:eastAsia="宋体"/>
          <w:sz w:val="30"/>
          <w:szCs w:val="30"/>
          <w:lang w:eastAsia="zh-CN"/>
        </w:rPr>
      </w:pPr>
      <w:r>
        <w:rPr>
          <w:rFonts w:hint="eastAsia" w:eastAsia="宋体"/>
          <w:sz w:val="30"/>
          <w:szCs w:val="30"/>
          <w:lang w:eastAsia="zh-CN"/>
        </w:rPr>
        <w:t>God’s covenant with Noah and his family flashes like lightning against the darkest of backdrops: a world almost wholly given over to depravity, and therefore a world over which God has pronounced a sentence of complete destruction:</w:t>
      </w:r>
    </w:p>
    <w:p w14:paraId="66ADAFC5">
      <w:pPr>
        <w:tabs>
          <w:tab w:val="left" w:pos="280"/>
        </w:tabs>
        <w:bidi w:val="0"/>
        <w:jc w:val="left"/>
        <w:rPr>
          <w:rFonts w:hint="eastAsia" w:eastAsia="宋体"/>
          <w:sz w:val="30"/>
          <w:szCs w:val="30"/>
          <w:lang w:eastAsia="zh-CN"/>
        </w:rPr>
      </w:pPr>
      <w:r>
        <w:rPr>
          <w:rFonts w:hint="eastAsia" w:eastAsia="宋体"/>
          <w:sz w:val="30"/>
          <w:szCs w:val="30"/>
          <w:lang w:eastAsia="zh-CN"/>
        </w:rPr>
        <w:t>上帝与挪亚和他家人的约，在最黑暗的背景下如闪电般闪现：一个几乎完全沉溺于败坏的世界，因此是一个上帝已宣告要完全毁灭的世界：</w:t>
      </w:r>
    </w:p>
    <w:p w14:paraId="4262BDFC">
      <w:pPr>
        <w:tabs>
          <w:tab w:val="left" w:pos="280"/>
        </w:tabs>
        <w:bidi w:val="0"/>
        <w:jc w:val="left"/>
        <w:rPr>
          <w:rFonts w:hint="eastAsia" w:eastAsia="宋体"/>
          <w:sz w:val="30"/>
          <w:szCs w:val="30"/>
          <w:lang w:eastAsia="zh-CN"/>
        </w:rPr>
      </w:pPr>
    </w:p>
    <w:p w14:paraId="778CBC60">
      <w:pPr>
        <w:tabs>
          <w:tab w:val="left" w:pos="280"/>
        </w:tabs>
        <w:bidi w:val="0"/>
        <w:jc w:val="left"/>
        <w:rPr>
          <w:rFonts w:hint="eastAsia" w:eastAsia="宋体"/>
          <w:sz w:val="30"/>
          <w:szCs w:val="30"/>
          <w:lang w:eastAsia="zh-CN"/>
        </w:rPr>
      </w:pPr>
      <w:r>
        <w:rPr>
          <w:rFonts w:hint="eastAsia" w:eastAsia="宋体"/>
          <w:sz w:val="30"/>
          <w:szCs w:val="30"/>
          <w:lang w:eastAsia="zh-CN"/>
        </w:rPr>
        <w:t>And behold, I myself am bringing floodwaters on the earth, to destroy from under heaven all flesh in which is the breath of life; everything that is on the earth shall die.</w:t>
      </w:r>
    </w:p>
    <w:p w14:paraId="64D9B932">
      <w:pPr>
        <w:tabs>
          <w:tab w:val="left" w:pos="280"/>
        </w:tabs>
        <w:bidi w:val="0"/>
        <w:jc w:val="left"/>
        <w:rPr>
          <w:rFonts w:hint="eastAsia" w:eastAsia="宋体"/>
          <w:sz w:val="30"/>
          <w:szCs w:val="30"/>
          <w:lang w:eastAsia="zh-CN"/>
        </w:rPr>
      </w:pPr>
      <w:r>
        <w:rPr>
          <w:rFonts w:hint="eastAsia" w:eastAsia="宋体"/>
          <w:sz w:val="30"/>
          <w:szCs w:val="30"/>
          <w:lang w:eastAsia="zh-CN"/>
        </w:rPr>
        <w:t>看哪，我必使洪水泛滥在地上，毁灭天下凡有血肉、有气息的活物，无一不死。</w:t>
      </w:r>
    </w:p>
    <w:p w14:paraId="180CF5DA">
      <w:pPr>
        <w:tabs>
          <w:tab w:val="left" w:pos="280"/>
        </w:tabs>
        <w:bidi w:val="0"/>
        <w:jc w:val="left"/>
        <w:rPr>
          <w:rFonts w:hint="eastAsia" w:eastAsia="宋体"/>
          <w:sz w:val="30"/>
          <w:szCs w:val="30"/>
          <w:lang w:eastAsia="zh-CN"/>
        </w:rPr>
      </w:pPr>
    </w:p>
    <w:p w14:paraId="4CD120AC">
      <w:pPr>
        <w:tabs>
          <w:tab w:val="left" w:pos="280"/>
        </w:tabs>
        <w:bidi w:val="0"/>
        <w:jc w:val="left"/>
        <w:rPr>
          <w:rFonts w:hint="eastAsia" w:eastAsia="宋体"/>
          <w:sz w:val="30"/>
          <w:szCs w:val="30"/>
          <w:lang w:eastAsia="zh-CN"/>
        </w:rPr>
      </w:pPr>
      <w:r>
        <w:rPr>
          <w:rFonts w:hint="eastAsia" w:eastAsia="宋体"/>
          <w:sz w:val="30"/>
          <w:szCs w:val="30"/>
          <w:lang w:eastAsia="zh-CN"/>
        </w:rPr>
        <w:t>But I will establish my covenant with you; and you shall go into the ark—you, your sons, your wife, and your sons’ wives with you.</w:t>
      </w:r>
    </w:p>
    <w:p w14:paraId="3324E061">
      <w:pPr>
        <w:tabs>
          <w:tab w:val="left" w:pos="280"/>
        </w:tabs>
        <w:bidi w:val="0"/>
        <w:jc w:val="left"/>
        <w:rPr>
          <w:rFonts w:hint="eastAsia" w:eastAsia="宋体"/>
          <w:sz w:val="30"/>
          <w:szCs w:val="30"/>
          <w:lang w:eastAsia="zh-CN"/>
        </w:rPr>
      </w:pPr>
      <w:r>
        <w:rPr>
          <w:rFonts w:hint="eastAsia" w:eastAsia="宋体"/>
          <w:sz w:val="30"/>
          <w:szCs w:val="30"/>
          <w:lang w:eastAsia="zh-CN"/>
        </w:rPr>
        <w:t>我却要与你立约；你同你的儿子、妻子、儿妇，都要进入方舟。</w:t>
      </w:r>
    </w:p>
    <w:p w14:paraId="52CA5E63">
      <w:pPr>
        <w:tabs>
          <w:tab w:val="left" w:pos="280"/>
        </w:tabs>
        <w:bidi w:val="0"/>
        <w:jc w:val="left"/>
        <w:rPr>
          <w:rFonts w:hint="eastAsia" w:eastAsia="宋体"/>
          <w:sz w:val="30"/>
          <w:szCs w:val="30"/>
          <w:lang w:eastAsia="zh-CN"/>
        </w:rPr>
      </w:pPr>
    </w:p>
    <w:p w14:paraId="0FBA01FC">
      <w:pPr>
        <w:tabs>
          <w:tab w:val="left" w:pos="280"/>
        </w:tabs>
        <w:bidi w:val="0"/>
        <w:jc w:val="left"/>
        <w:rPr>
          <w:rFonts w:hint="eastAsia" w:eastAsia="宋体"/>
          <w:sz w:val="30"/>
          <w:szCs w:val="30"/>
          <w:lang w:eastAsia="zh-CN"/>
        </w:rPr>
      </w:pPr>
      <w:r>
        <w:rPr>
          <w:rFonts w:hint="eastAsia" w:eastAsia="宋体"/>
          <w:sz w:val="30"/>
          <w:szCs w:val="30"/>
          <w:lang w:eastAsia="zh-CN"/>
        </w:rPr>
        <w:t>—Gen. 6:17-18</w:t>
      </w:r>
    </w:p>
    <w:p w14:paraId="1BD904D6">
      <w:pPr>
        <w:tabs>
          <w:tab w:val="left" w:pos="280"/>
        </w:tabs>
        <w:bidi w:val="0"/>
        <w:jc w:val="left"/>
        <w:rPr>
          <w:rFonts w:hint="eastAsia" w:eastAsia="宋体"/>
          <w:sz w:val="30"/>
          <w:szCs w:val="30"/>
          <w:lang w:eastAsia="zh-CN"/>
        </w:rPr>
      </w:pPr>
      <w:r>
        <w:rPr>
          <w:rFonts w:hint="eastAsia" w:eastAsia="宋体"/>
          <w:sz w:val="30"/>
          <w:szCs w:val="30"/>
          <w:lang w:eastAsia="zh-CN"/>
        </w:rPr>
        <w:t>—创 6:17-18</w:t>
      </w:r>
    </w:p>
    <w:p w14:paraId="745F7088">
      <w:pPr>
        <w:tabs>
          <w:tab w:val="left" w:pos="280"/>
        </w:tabs>
        <w:bidi w:val="0"/>
        <w:jc w:val="left"/>
        <w:rPr>
          <w:rFonts w:hint="eastAsia" w:eastAsia="宋体"/>
          <w:sz w:val="30"/>
          <w:szCs w:val="30"/>
          <w:lang w:eastAsia="zh-CN"/>
        </w:rPr>
      </w:pPr>
    </w:p>
    <w:p w14:paraId="22C6E258">
      <w:pPr>
        <w:tabs>
          <w:tab w:val="left" w:pos="280"/>
        </w:tabs>
        <w:bidi w:val="0"/>
        <w:jc w:val="left"/>
        <w:rPr>
          <w:rFonts w:hint="eastAsia" w:eastAsia="宋体"/>
          <w:sz w:val="30"/>
          <w:szCs w:val="30"/>
          <w:lang w:eastAsia="zh-CN"/>
        </w:rPr>
      </w:pPr>
      <w:r>
        <w:rPr>
          <w:rFonts w:hint="eastAsia" w:eastAsia="宋体"/>
          <w:sz w:val="30"/>
          <w:szCs w:val="30"/>
          <w:lang w:eastAsia="zh-CN"/>
        </w:rPr>
        <w:t>Here, and in the rest of this solemn account, God implicitly administers a covenant with Noah and his physical family that will ensure their physical survival in a new and different physical world to come.</w:t>
      </w:r>
    </w:p>
    <w:p w14:paraId="27533291">
      <w:pPr>
        <w:tabs>
          <w:tab w:val="left" w:pos="280"/>
        </w:tabs>
        <w:bidi w:val="0"/>
        <w:jc w:val="left"/>
        <w:rPr>
          <w:rFonts w:hint="eastAsia" w:eastAsia="宋体"/>
          <w:sz w:val="30"/>
          <w:szCs w:val="30"/>
          <w:lang w:eastAsia="zh-CN"/>
        </w:rPr>
      </w:pPr>
      <w:r>
        <w:rPr>
          <w:rFonts w:hint="eastAsia" w:eastAsia="宋体"/>
          <w:sz w:val="30"/>
          <w:szCs w:val="30"/>
          <w:lang w:eastAsia="zh-CN"/>
        </w:rPr>
        <w:t>在此，以及在这庄严记述的其余部分，上帝含蓄地与挪亚及其肉身的家庭施行了一个约，这将确保他们在将要来临的一个新的、不同的物质世界中的肉身存活。</w:t>
      </w:r>
    </w:p>
    <w:p w14:paraId="268E5220">
      <w:pPr>
        <w:tabs>
          <w:tab w:val="left" w:pos="280"/>
        </w:tabs>
        <w:bidi w:val="0"/>
        <w:jc w:val="left"/>
        <w:rPr>
          <w:rFonts w:hint="eastAsia" w:eastAsia="宋体"/>
          <w:sz w:val="30"/>
          <w:szCs w:val="30"/>
          <w:lang w:eastAsia="zh-CN"/>
        </w:rPr>
      </w:pPr>
    </w:p>
    <w:p w14:paraId="6B14AC6D">
      <w:pPr>
        <w:tabs>
          <w:tab w:val="left" w:pos="280"/>
        </w:tabs>
        <w:bidi w:val="0"/>
        <w:jc w:val="left"/>
        <w:rPr>
          <w:rFonts w:hint="eastAsia" w:eastAsia="宋体"/>
          <w:sz w:val="30"/>
          <w:szCs w:val="30"/>
          <w:lang w:eastAsia="zh-CN"/>
        </w:rPr>
      </w:pPr>
      <w:r>
        <w:rPr>
          <w:rFonts w:hint="eastAsia" w:eastAsia="宋体"/>
          <w:sz w:val="30"/>
          <w:szCs w:val="30"/>
          <w:lang w:eastAsia="zh-CN"/>
        </w:rPr>
        <w:t>As we are about to see, the various elements of this covenant picture future spiritual (as well as physical) realities; realities planned before the foundation of the world; realities that will be manifested only in the last days: the days of Christ and the New Covenant.</w:t>
      </w:r>
    </w:p>
    <w:p w14:paraId="41DAB6E5">
      <w:pPr>
        <w:tabs>
          <w:tab w:val="left" w:pos="280"/>
        </w:tabs>
        <w:bidi w:val="0"/>
        <w:jc w:val="left"/>
        <w:rPr>
          <w:rFonts w:hint="eastAsia" w:eastAsia="宋体"/>
          <w:sz w:val="30"/>
          <w:szCs w:val="30"/>
          <w:lang w:eastAsia="zh-CN"/>
        </w:rPr>
      </w:pPr>
      <w:r>
        <w:rPr>
          <w:rFonts w:hint="eastAsia" w:eastAsia="宋体"/>
          <w:sz w:val="30"/>
          <w:szCs w:val="30"/>
          <w:lang w:eastAsia="zh-CN"/>
        </w:rPr>
        <w:t>我们即将看到，这个约的各种要素描绘了未来的属灵（以及属肉体）的现实；这些现实是在创世以前就计划好的；这些现实只会在末后的日子显现出来：即基督和新约的日子。</w:t>
      </w:r>
    </w:p>
    <w:p w14:paraId="58D23656">
      <w:pPr>
        <w:tabs>
          <w:tab w:val="left" w:pos="280"/>
        </w:tabs>
        <w:bidi w:val="0"/>
        <w:jc w:val="left"/>
        <w:rPr>
          <w:rFonts w:hint="eastAsia" w:eastAsia="宋体"/>
          <w:sz w:val="30"/>
          <w:szCs w:val="30"/>
          <w:lang w:eastAsia="zh-CN"/>
        </w:rPr>
      </w:pPr>
    </w:p>
    <w:p w14:paraId="7013825D">
      <w:pPr>
        <w:tabs>
          <w:tab w:val="left" w:pos="280"/>
        </w:tabs>
        <w:bidi w:val="0"/>
        <w:jc w:val="left"/>
        <w:rPr>
          <w:rFonts w:hint="eastAsia" w:eastAsia="宋体"/>
          <w:sz w:val="30"/>
          <w:szCs w:val="30"/>
          <w:lang w:eastAsia="zh-CN"/>
        </w:rPr>
      </w:pPr>
      <w:r>
        <w:rPr>
          <w:rFonts w:hint="eastAsia" w:eastAsia="宋体"/>
          <w:sz w:val="30"/>
          <w:szCs w:val="30"/>
          <w:lang w:eastAsia="zh-CN"/>
        </w:rPr>
        <w:t>Noah, whose name is biblically associated with the word “comfort” (Gen. 5:29), is manifestly a type of Christ, the One who gives ultimate redemptive comfort to his people.</w:t>
      </w:r>
    </w:p>
    <w:p w14:paraId="077D0F88">
      <w:pPr>
        <w:tabs>
          <w:tab w:val="left" w:pos="280"/>
        </w:tabs>
        <w:bidi w:val="0"/>
        <w:jc w:val="left"/>
        <w:rPr>
          <w:rFonts w:hint="eastAsia" w:eastAsia="宋体"/>
          <w:sz w:val="30"/>
          <w:szCs w:val="30"/>
          <w:lang w:eastAsia="zh-CN"/>
        </w:rPr>
      </w:pPr>
      <w:r>
        <w:rPr>
          <w:rFonts w:hint="eastAsia" w:eastAsia="宋体"/>
          <w:sz w:val="30"/>
          <w:szCs w:val="30"/>
          <w:lang w:eastAsia="zh-CN"/>
        </w:rPr>
        <w:t>挪亚，他的名字在圣经中与“安慰”一词相关（创 5:29），显然是基督的预表，基督是赐给祂子民终极救赎安慰的那一位。</w:t>
      </w:r>
    </w:p>
    <w:p w14:paraId="6361F13B">
      <w:pPr>
        <w:tabs>
          <w:tab w:val="left" w:pos="280"/>
        </w:tabs>
        <w:bidi w:val="0"/>
        <w:jc w:val="left"/>
        <w:rPr>
          <w:rFonts w:hint="eastAsia" w:eastAsia="宋体"/>
          <w:sz w:val="30"/>
          <w:szCs w:val="30"/>
          <w:lang w:eastAsia="zh-CN"/>
        </w:rPr>
      </w:pPr>
    </w:p>
    <w:p w14:paraId="0B0CE7E0">
      <w:pPr>
        <w:tabs>
          <w:tab w:val="left" w:pos="280"/>
        </w:tabs>
        <w:bidi w:val="0"/>
        <w:jc w:val="left"/>
        <w:rPr>
          <w:rFonts w:hint="eastAsia" w:eastAsia="宋体"/>
          <w:sz w:val="30"/>
          <w:szCs w:val="30"/>
          <w:lang w:eastAsia="zh-CN"/>
        </w:rPr>
      </w:pPr>
      <w:r>
        <w:rPr>
          <w:rFonts w:hint="eastAsia" w:eastAsia="宋体"/>
          <w:sz w:val="30"/>
          <w:szCs w:val="30"/>
          <w:lang w:eastAsia="zh-CN"/>
        </w:rPr>
        <w:t>Note carefully from our text that God enters into a covenant directly with Noah for the salvation of his household (Heb. 11:7).</w:t>
      </w:r>
    </w:p>
    <w:p w14:paraId="18E2603E">
      <w:pPr>
        <w:tabs>
          <w:tab w:val="left" w:pos="280"/>
        </w:tabs>
        <w:bidi w:val="0"/>
        <w:jc w:val="left"/>
        <w:rPr>
          <w:rFonts w:hint="eastAsia" w:eastAsia="宋体"/>
          <w:sz w:val="30"/>
          <w:szCs w:val="30"/>
          <w:lang w:eastAsia="zh-CN"/>
        </w:rPr>
      </w:pPr>
      <w:r>
        <w:rPr>
          <w:rFonts w:hint="eastAsia" w:eastAsia="宋体"/>
          <w:sz w:val="30"/>
          <w:szCs w:val="30"/>
          <w:lang w:eastAsia="zh-CN"/>
        </w:rPr>
        <w:t>请从我们的经文中仔细注意，上帝直接与挪亚立约，为要拯救他的全家（来 11:7）。</w:t>
      </w:r>
    </w:p>
    <w:p w14:paraId="0ECC30F0">
      <w:pPr>
        <w:tabs>
          <w:tab w:val="left" w:pos="280"/>
        </w:tabs>
        <w:bidi w:val="0"/>
        <w:jc w:val="left"/>
        <w:rPr>
          <w:rFonts w:hint="eastAsia" w:eastAsia="宋体"/>
          <w:sz w:val="30"/>
          <w:szCs w:val="30"/>
          <w:lang w:eastAsia="zh-CN"/>
        </w:rPr>
      </w:pPr>
    </w:p>
    <w:p w14:paraId="3693C892">
      <w:pPr>
        <w:tabs>
          <w:tab w:val="left" w:pos="280"/>
        </w:tabs>
        <w:bidi w:val="0"/>
        <w:jc w:val="left"/>
        <w:rPr>
          <w:rFonts w:hint="eastAsia" w:eastAsia="宋体"/>
          <w:sz w:val="30"/>
          <w:szCs w:val="30"/>
          <w:lang w:eastAsia="zh-CN"/>
        </w:rPr>
      </w:pPr>
      <w:r>
        <w:rPr>
          <w:rFonts w:hint="eastAsia" w:eastAsia="宋体"/>
          <w:sz w:val="30"/>
          <w:szCs w:val="30"/>
          <w:lang w:eastAsia="zh-CN"/>
        </w:rPr>
        <w:t>Here is a beautiful picture of the Covenant of Redemption, in which God the Father covenants directly with his Son for the redemption of his human family.</w:t>
      </w:r>
    </w:p>
    <w:p w14:paraId="7128BCF7">
      <w:pPr>
        <w:tabs>
          <w:tab w:val="left" w:pos="280"/>
        </w:tabs>
        <w:bidi w:val="0"/>
        <w:jc w:val="left"/>
        <w:rPr>
          <w:rFonts w:hint="eastAsia" w:eastAsia="宋体"/>
          <w:sz w:val="30"/>
          <w:szCs w:val="30"/>
          <w:lang w:eastAsia="zh-CN"/>
        </w:rPr>
      </w:pPr>
      <w:r>
        <w:rPr>
          <w:rFonts w:hint="eastAsia" w:eastAsia="宋体"/>
          <w:sz w:val="30"/>
          <w:szCs w:val="30"/>
          <w:lang w:eastAsia="zh-CN"/>
        </w:rPr>
        <w:t>这是一幅救赎之约的美丽图画，其中父上帝直接与祂的儿子立约，为要救赎祂的人类家庭。</w:t>
      </w:r>
    </w:p>
    <w:p w14:paraId="3B42CBE4">
      <w:pPr>
        <w:tabs>
          <w:tab w:val="left" w:pos="280"/>
        </w:tabs>
        <w:bidi w:val="0"/>
        <w:jc w:val="left"/>
        <w:rPr>
          <w:rFonts w:hint="eastAsia" w:eastAsia="宋体"/>
          <w:sz w:val="30"/>
          <w:szCs w:val="30"/>
          <w:lang w:eastAsia="zh-CN"/>
        </w:rPr>
      </w:pPr>
    </w:p>
    <w:p w14:paraId="67B77A54">
      <w:pPr>
        <w:tabs>
          <w:tab w:val="left" w:pos="280"/>
        </w:tabs>
        <w:bidi w:val="0"/>
        <w:jc w:val="left"/>
        <w:rPr>
          <w:rFonts w:hint="eastAsia" w:eastAsia="宋体"/>
          <w:sz w:val="30"/>
          <w:szCs w:val="30"/>
          <w:lang w:eastAsia="zh-CN"/>
        </w:rPr>
      </w:pPr>
      <w:r>
        <w:rPr>
          <w:rFonts w:hint="eastAsia" w:eastAsia="宋体"/>
          <w:sz w:val="30"/>
          <w:szCs w:val="30"/>
          <w:lang w:eastAsia="zh-CN"/>
        </w:rPr>
        <w:t>But there is more.</w:t>
      </w:r>
    </w:p>
    <w:p w14:paraId="15EB3B2E">
      <w:pPr>
        <w:tabs>
          <w:tab w:val="left" w:pos="280"/>
        </w:tabs>
        <w:bidi w:val="0"/>
        <w:jc w:val="left"/>
        <w:rPr>
          <w:rFonts w:hint="eastAsia" w:eastAsia="宋体"/>
          <w:sz w:val="30"/>
          <w:szCs w:val="30"/>
          <w:lang w:eastAsia="zh-CN"/>
        </w:rPr>
      </w:pPr>
      <w:r>
        <w:rPr>
          <w:rFonts w:hint="eastAsia" w:eastAsia="宋体"/>
          <w:sz w:val="30"/>
          <w:szCs w:val="30"/>
          <w:lang w:eastAsia="zh-CN"/>
        </w:rPr>
        <w:t>但还有更多。</w:t>
      </w:r>
    </w:p>
    <w:p w14:paraId="16E07CEF">
      <w:pPr>
        <w:tabs>
          <w:tab w:val="left" w:pos="280"/>
        </w:tabs>
        <w:bidi w:val="0"/>
        <w:jc w:val="left"/>
        <w:rPr>
          <w:rFonts w:hint="eastAsia" w:eastAsia="宋体"/>
          <w:sz w:val="30"/>
          <w:szCs w:val="30"/>
          <w:lang w:eastAsia="zh-CN"/>
        </w:rPr>
      </w:pPr>
    </w:p>
    <w:p w14:paraId="14B129F0">
      <w:pPr>
        <w:tabs>
          <w:tab w:val="left" w:pos="280"/>
        </w:tabs>
        <w:bidi w:val="0"/>
        <w:jc w:val="left"/>
        <w:rPr>
          <w:rFonts w:hint="eastAsia" w:eastAsia="宋体"/>
          <w:sz w:val="30"/>
          <w:szCs w:val="30"/>
          <w:lang w:eastAsia="zh-CN"/>
        </w:rPr>
      </w:pPr>
      <w:r>
        <w:rPr>
          <w:rFonts w:hint="eastAsia" w:eastAsia="宋体"/>
          <w:sz w:val="30"/>
          <w:szCs w:val="30"/>
          <w:lang w:eastAsia="zh-CN"/>
        </w:rPr>
        <w:t>Noah also typifies Christ as the provision of the Covenant of Grace.</w:t>
      </w:r>
    </w:p>
    <w:p w14:paraId="3366FE39">
      <w:pPr>
        <w:tabs>
          <w:tab w:val="left" w:pos="280"/>
        </w:tabs>
        <w:bidi w:val="0"/>
        <w:jc w:val="left"/>
        <w:rPr>
          <w:rFonts w:hint="eastAsia" w:eastAsia="宋体"/>
          <w:sz w:val="30"/>
          <w:szCs w:val="30"/>
          <w:lang w:eastAsia="zh-CN"/>
        </w:rPr>
      </w:pPr>
      <w:r>
        <w:rPr>
          <w:rFonts w:hint="eastAsia" w:eastAsia="宋体"/>
          <w:sz w:val="30"/>
          <w:szCs w:val="30"/>
          <w:lang w:eastAsia="zh-CN"/>
        </w:rPr>
        <w:t>挪亚也预表基督是恩典之约的预备。</w:t>
      </w:r>
    </w:p>
    <w:p w14:paraId="4A537D2C">
      <w:pPr>
        <w:tabs>
          <w:tab w:val="left" w:pos="280"/>
        </w:tabs>
        <w:bidi w:val="0"/>
        <w:jc w:val="left"/>
        <w:rPr>
          <w:rFonts w:hint="eastAsia" w:eastAsia="宋体"/>
          <w:sz w:val="30"/>
          <w:szCs w:val="30"/>
          <w:lang w:eastAsia="zh-CN"/>
        </w:rPr>
      </w:pPr>
    </w:p>
    <w:p w14:paraId="2C14E53E">
      <w:pPr>
        <w:tabs>
          <w:tab w:val="left" w:pos="280"/>
        </w:tabs>
        <w:bidi w:val="0"/>
        <w:jc w:val="left"/>
        <w:rPr>
          <w:rFonts w:hint="eastAsia" w:eastAsia="宋体"/>
          <w:sz w:val="30"/>
          <w:szCs w:val="30"/>
          <w:lang w:eastAsia="zh-CN"/>
        </w:rPr>
      </w:pPr>
      <w:r>
        <w:rPr>
          <w:rFonts w:hint="eastAsia" w:eastAsia="宋体"/>
          <w:sz w:val="30"/>
          <w:szCs w:val="30"/>
          <w:lang w:eastAsia="zh-CN"/>
        </w:rPr>
        <w:t>How were the members of Noah’s family saved?</w:t>
      </w:r>
    </w:p>
    <w:p w14:paraId="1BF5F56D">
      <w:pPr>
        <w:tabs>
          <w:tab w:val="left" w:pos="280"/>
        </w:tabs>
        <w:bidi w:val="0"/>
        <w:jc w:val="left"/>
        <w:rPr>
          <w:rFonts w:hint="eastAsia" w:eastAsia="宋体"/>
          <w:sz w:val="30"/>
          <w:szCs w:val="30"/>
          <w:lang w:eastAsia="zh-CN"/>
        </w:rPr>
      </w:pPr>
      <w:r>
        <w:rPr>
          <w:rFonts w:hint="eastAsia" w:eastAsia="宋体"/>
          <w:sz w:val="30"/>
          <w:szCs w:val="30"/>
          <w:lang w:eastAsia="zh-CN"/>
        </w:rPr>
        <w:t>挪亚的家人是如何得救的？</w:t>
      </w:r>
    </w:p>
    <w:p w14:paraId="34255DDF">
      <w:pPr>
        <w:tabs>
          <w:tab w:val="left" w:pos="280"/>
        </w:tabs>
        <w:bidi w:val="0"/>
        <w:jc w:val="left"/>
        <w:rPr>
          <w:rFonts w:hint="eastAsia" w:eastAsia="宋体"/>
          <w:sz w:val="30"/>
          <w:szCs w:val="30"/>
          <w:lang w:eastAsia="zh-CN"/>
        </w:rPr>
      </w:pPr>
    </w:p>
    <w:p w14:paraId="1CDF39DF">
      <w:pPr>
        <w:tabs>
          <w:tab w:val="left" w:pos="280"/>
        </w:tabs>
        <w:bidi w:val="0"/>
        <w:jc w:val="left"/>
        <w:rPr>
          <w:rFonts w:hint="eastAsia" w:eastAsia="宋体"/>
          <w:sz w:val="30"/>
          <w:szCs w:val="30"/>
          <w:lang w:eastAsia="zh-CN"/>
        </w:rPr>
      </w:pPr>
      <w:r>
        <w:rPr>
          <w:rFonts w:hint="eastAsia" w:eastAsia="宋体"/>
          <w:sz w:val="30"/>
          <w:szCs w:val="30"/>
          <w:lang w:eastAsia="zh-CN"/>
        </w:rPr>
        <w:t>By looking in faith to a mediator, to the one who had received instructions from God and built an ark of salvation for them.</w:t>
      </w:r>
    </w:p>
    <w:p w14:paraId="5E2C0676">
      <w:pPr>
        <w:tabs>
          <w:tab w:val="left" w:pos="280"/>
        </w:tabs>
        <w:bidi w:val="0"/>
        <w:jc w:val="left"/>
        <w:rPr>
          <w:rFonts w:hint="eastAsia" w:eastAsia="宋体"/>
          <w:sz w:val="30"/>
          <w:szCs w:val="30"/>
          <w:lang w:eastAsia="zh-CN"/>
        </w:rPr>
      </w:pPr>
      <w:r>
        <w:rPr>
          <w:rFonts w:hint="eastAsia" w:eastAsia="宋体"/>
          <w:sz w:val="30"/>
          <w:szCs w:val="30"/>
          <w:lang w:eastAsia="zh-CN"/>
        </w:rPr>
        <w:t>藉着凭信心仰望一位中保，就是那位从上帝领受指示并为他们建造了救恩方舟的人。</w:t>
      </w:r>
    </w:p>
    <w:p w14:paraId="5F315197">
      <w:pPr>
        <w:tabs>
          <w:tab w:val="left" w:pos="280"/>
        </w:tabs>
        <w:bidi w:val="0"/>
        <w:jc w:val="left"/>
        <w:rPr>
          <w:rFonts w:hint="eastAsia" w:eastAsia="宋体"/>
          <w:sz w:val="30"/>
          <w:szCs w:val="30"/>
          <w:lang w:eastAsia="zh-CN"/>
        </w:rPr>
      </w:pPr>
    </w:p>
    <w:p w14:paraId="3157034A">
      <w:pPr>
        <w:tabs>
          <w:tab w:val="left" w:pos="280"/>
        </w:tabs>
        <w:bidi w:val="0"/>
        <w:jc w:val="left"/>
        <w:rPr>
          <w:rFonts w:hint="eastAsia" w:eastAsia="宋体"/>
          <w:sz w:val="30"/>
          <w:szCs w:val="30"/>
          <w:lang w:eastAsia="zh-CN"/>
        </w:rPr>
      </w:pPr>
      <w:r>
        <w:rPr>
          <w:rFonts w:hint="eastAsia" w:eastAsia="宋体"/>
          <w:sz w:val="30"/>
          <w:szCs w:val="30"/>
          <w:lang w:eastAsia="zh-CN"/>
        </w:rPr>
        <w:t>And how are the parties of the Covenant of Grace saved?</w:t>
      </w:r>
    </w:p>
    <w:p w14:paraId="7B423672">
      <w:pPr>
        <w:tabs>
          <w:tab w:val="left" w:pos="280"/>
        </w:tabs>
        <w:bidi w:val="0"/>
        <w:jc w:val="left"/>
        <w:rPr>
          <w:rFonts w:hint="eastAsia" w:eastAsia="宋体"/>
          <w:sz w:val="30"/>
          <w:szCs w:val="30"/>
          <w:lang w:eastAsia="zh-CN"/>
        </w:rPr>
      </w:pPr>
      <w:r>
        <w:rPr>
          <w:rFonts w:hint="eastAsia" w:eastAsia="宋体"/>
          <w:sz w:val="30"/>
          <w:szCs w:val="30"/>
          <w:lang w:eastAsia="zh-CN"/>
        </w:rPr>
        <w:t>那么，恩典之约的立约方是如何得救的呢？</w:t>
      </w:r>
    </w:p>
    <w:p w14:paraId="293756C8">
      <w:pPr>
        <w:tabs>
          <w:tab w:val="left" w:pos="280"/>
        </w:tabs>
        <w:bidi w:val="0"/>
        <w:jc w:val="left"/>
        <w:rPr>
          <w:rFonts w:hint="eastAsia" w:eastAsia="宋体"/>
          <w:sz w:val="30"/>
          <w:szCs w:val="30"/>
          <w:lang w:eastAsia="zh-CN"/>
        </w:rPr>
      </w:pPr>
    </w:p>
    <w:p w14:paraId="2169C95A">
      <w:pPr>
        <w:tabs>
          <w:tab w:val="left" w:pos="280"/>
        </w:tabs>
        <w:bidi w:val="0"/>
        <w:jc w:val="left"/>
        <w:rPr>
          <w:rFonts w:hint="eastAsia" w:eastAsia="宋体"/>
          <w:sz w:val="30"/>
          <w:szCs w:val="30"/>
          <w:lang w:eastAsia="zh-CN"/>
        </w:rPr>
      </w:pPr>
      <w:r>
        <w:rPr>
          <w:rFonts w:hint="eastAsia" w:eastAsia="宋体"/>
          <w:sz w:val="30"/>
          <w:szCs w:val="30"/>
          <w:lang w:eastAsia="zh-CN"/>
        </w:rPr>
        <w:t>By looking believingly to Christ, who throughout his earthly ministry received instructions from his heavenly Father, so that through his active and passive obedience in behalf of his people he might craft for them a perfect righteousness, a perfect vessel of redemption (Gen. 6:13-16, John 8:26-30).</w:t>
      </w:r>
    </w:p>
    <w:p w14:paraId="34472080">
      <w:pPr>
        <w:tabs>
          <w:tab w:val="left" w:pos="280"/>
        </w:tabs>
        <w:bidi w:val="0"/>
        <w:jc w:val="left"/>
        <w:rPr>
          <w:rFonts w:hint="eastAsia" w:eastAsia="宋体"/>
          <w:sz w:val="30"/>
          <w:szCs w:val="30"/>
          <w:lang w:eastAsia="zh-CN"/>
        </w:rPr>
      </w:pPr>
      <w:r>
        <w:rPr>
          <w:rFonts w:hint="eastAsia" w:eastAsia="宋体"/>
          <w:sz w:val="30"/>
          <w:szCs w:val="30"/>
          <w:lang w:eastAsia="zh-CN"/>
        </w:rPr>
        <w:t>藉着相信地仰望基督，祂在世上的事工中，从祂的天父领受指示，以便祂藉着为祂子民所作的主动和被动的顺服，可以为他们打造一个完美的义，一个完美的救赎器皿（创 6:13-16, 约 8:26-30）。</w:t>
      </w:r>
    </w:p>
    <w:p w14:paraId="64525D70">
      <w:pPr>
        <w:tabs>
          <w:tab w:val="left" w:pos="280"/>
        </w:tabs>
        <w:bidi w:val="0"/>
        <w:jc w:val="left"/>
        <w:rPr>
          <w:rFonts w:hint="eastAsia" w:eastAsia="宋体"/>
          <w:sz w:val="30"/>
          <w:szCs w:val="30"/>
          <w:lang w:eastAsia="zh-CN"/>
        </w:rPr>
      </w:pPr>
    </w:p>
    <w:p w14:paraId="0880E547">
      <w:pPr>
        <w:tabs>
          <w:tab w:val="left" w:pos="280"/>
        </w:tabs>
        <w:bidi w:val="0"/>
        <w:jc w:val="left"/>
        <w:rPr>
          <w:rFonts w:hint="eastAsia" w:eastAsia="宋体"/>
          <w:sz w:val="30"/>
          <w:szCs w:val="30"/>
          <w:lang w:eastAsia="zh-CN"/>
        </w:rPr>
      </w:pPr>
      <w:r>
        <w:rPr>
          <w:rFonts w:hint="eastAsia" w:eastAsia="宋体"/>
          <w:sz w:val="30"/>
          <w:szCs w:val="30"/>
          <w:lang w:eastAsia="zh-CN"/>
        </w:rPr>
        <w:t>In passing, we should note that the provision of the Covenant of Grace is also prefigured in Noah’s building an altar and offering animal sacrifices upon it.</w:t>
      </w:r>
    </w:p>
    <w:p w14:paraId="7DF05C81">
      <w:pPr>
        <w:tabs>
          <w:tab w:val="left" w:pos="280"/>
        </w:tabs>
        <w:bidi w:val="0"/>
        <w:jc w:val="left"/>
        <w:rPr>
          <w:rFonts w:hint="eastAsia" w:eastAsia="宋体"/>
          <w:sz w:val="30"/>
          <w:szCs w:val="30"/>
          <w:lang w:eastAsia="zh-CN"/>
        </w:rPr>
      </w:pPr>
      <w:r>
        <w:rPr>
          <w:rFonts w:hint="eastAsia" w:eastAsia="宋体"/>
          <w:sz w:val="30"/>
          <w:szCs w:val="30"/>
          <w:lang w:eastAsia="zh-CN"/>
        </w:rPr>
        <w:t>顺便提一下，我们应该注意到，恩典之约的预备也预表在挪亚筑坛并在其上献上牲畜祭物这件事上。</w:t>
      </w:r>
    </w:p>
    <w:p w14:paraId="16C7CF06">
      <w:pPr>
        <w:tabs>
          <w:tab w:val="left" w:pos="280"/>
        </w:tabs>
        <w:bidi w:val="0"/>
        <w:jc w:val="left"/>
        <w:rPr>
          <w:rFonts w:hint="eastAsia" w:eastAsia="宋体"/>
          <w:sz w:val="30"/>
          <w:szCs w:val="30"/>
          <w:lang w:eastAsia="zh-CN"/>
        </w:rPr>
      </w:pPr>
    </w:p>
    <w:p w14:paraId="5F3D4ED1">
      <w:pPr>
        <w:tabs>
          <w:tab w:val="left" w:pos="280"/>
        </w:tabs>
        <w:bidi w:val="0"/>
        <w:jc w:val="left"/>
        <w:rPr>
          <w:rFonts w:hint="eastAsia" w:eastAsia="宋体"/>
          <w:sz w:val="30"/>
          <w:szCs w:val="30"/>
          <w:lang w:eastAsia="zh-CN"/>
        </w:rPr>
      </w:pPr>
      <w:r>
        <w:rPr>
          <w:rFonts w:hint="eastAsia" w:eastAsia="宋体"/>
          <w:sz w:val="30"/>
          <w:szCs w:val="30"/>
          <w:lang w:eastAsia="zh-CN"/>
        </w:rPr>
        <w:t>Here again we meet Christ, this time as a Priest and a Sacrifice: as a priest in Noah, who offers the sacrifice, and as a sacrifice in the animals that he offers.</w:t>
      </w:r>
    </w:p>
    <w:p w14:paraId="7F610FD8">
      <w:pPr>
        <w:tabs>
          <w:tab w:val="left" w:pos="280"/>
        </w:tabs>
        <w:bidi w:val="0"/>
        <w:jc w:val="left"/>
        <w:rPr>
          <w:rFonts w:hint="eastAsia" w:eastAsia="宋体"/>
          <w:sz w:val="30"/>
          <w:szCs w:val="30"/>
          <w:lang w:eastAsia="zh-CN"/>
        </w:rPr>
      </w:pPr>
      <w:r>
        <w:rPr>
          <w:rFonts w:hint="eastAsia" w:eastAsia="宋体"/>
          <w:sz w:val="30"/>
          <w:szCs w:val="30"/>
          <w:lang w:eastAsia="zh-CN"/>
        </w:rPr>
        <w:t>在此我们再次遇见基督，这次是作为祭司和祭物：在献祭的挪亚身上是作为祭司，在他所献的动物身上是作为祭物。</w:t>
      </w:r>
    </w:p>
    <w:p w14:paraId="59CA35B4">
      <w:pPr>
        <w:tabs>
          <w:tab w:val="left" w:pos="280"/>
        </w:tabs>
        <w:bidi w:val="0"/>
        <w:jc w:val="left"/>
        <w:rPr>
          <w:rFonts w:hint="eastAsia" w:eastAsia="宋体"/>
          <w:sz w:val="30"/>
          <w:szCs w:val="30"/>
          <w:lang w:eastAsia="zh-CN"/>
        </w:rPr>
      </w:pPr>
    </w:p>
    <w:p w14:paraId="29DA14E2">
      <w:pPr>
        <w:tabs>
          <w:tab w:val="left" w:pos="280"/>
        </w:tabs>
        <w:bidi w:val="0"/>
        <w:jc w:val="left"/>
        <w:rPr>
          <w:rFonts w:hint="eastAsia" w:eastAsia="宋体"/>
          <w:sz w:val="30"/>
          <w:szCs w:val="30"/>
          <w:lang w:eastAsia="zh-CN"/>
        </w:rPr>
      </w:pPr>
      <w:r>
        <w:rPr>
          <w:rFonts w:hint="eastAsia" w:eastAsia="宋体"/>
          <w:sz w:val="30"/>
          <w:szCs w:val="30"/>
          <w:lang w:eastAsia="zh-CN"/>
        </w:rPr>
        <w:t>Moreover, just as Noah’s sacrifices were “a soothing aroma” to God—moving him to promise that he would never again destroy the earth by water—so too was Christ’s sacrifice, which satisfied God’s justice and propitiated his wrath, thereby securing for his own the promise of eternal life together with him in the new heavens and the new earth (Gen. 8:20-22, Rom. 3:21-6, Heb. 2:17).1</w:t>
      </w:r>
    </w:p>
    <w:p w14:paraId="17355A62">
      <w:pPr>
        <w:tabs>
          <w:tab w:val="left" w:pos="280"/>
        </w:tabs>
        <w:bidi w:val="0"/>
        <w:jc w:val="left"/>
        <w:rPr>
          <w:rFonts w:hint="eastAsia" w:eastAsia="宋体"/>
          <w:sz w:val="30"/>
          <w:szCs w:val="30"/>
          <w:lang w:eastAsia="zh-CN"/>
        </w:rPr>
      </w:pPr>
      <w:r>
        <w:rPr>
          <w:rFonts w:hint="eastAsia" w:eastAsia="宋体"/>
          <w:sz w:val="30"/>
          <w:szCs w:val="30"/>
          <w:lang w:eastAsia="zh-CN"/>
        </w:rPr>
        <w:t>此外，正如挪亚的献祭对上帝是“馨香之气”——促使祂应许再也不用水毁灭地——基督的献祭也是如此，它满足了上帝的公义，平息了祂的忿怒，从而为祂自己的人确保了与祂在新天新地里同享永生的应许（创 8:20-22, 罗 3:21-26, 来 2:17）。1</w:t>
      </w:r>
    </w:p>
    <w:p w14:paraId="7F4E4DB6">
      <w:pPr>
        <w:tabs>
          <w:tab w:val="left" w:pos="280"/>
        </w:tabs>
        <w:bidi w:val="0"/>
        <w:jc w:val="left"/>
        <w:rPr>
          <w:rFonts w:hint="eastAsia" w:eastAsia="宋体"/>
          <w:sz w:val="30"/>
          <w:szCs w:val="30"/>
          <w:lang w:eastAsia="zh-CN"/>
        </w:rPr>
      </w:pPr>
    </w:p>
    <w:p w14:paraId="4EE9FDB3">
      <w:pPr>
        <w:tabs>
          <w:tab w:val="left" w:pos="280"/>
        </w:tabs>
        <w:bidi w:val="0"/>
        <w:jc w:val="left"/>
        <w:rPr>
          <w:rFonts w:hint="eastAsia" w:eastAsia="宋体"/>
          <w:sz w:val="30"/>
          <w:szCs w:val="30"/>
          <w:lang w:eastAsia="zh-CN"/>
        </w:rPr>
      </w:pPr>
      <w:r>
        <w:rPr>
          <w:rFonts w:hint="eastAsia" w:eastAsia="宋体"/>
          <w:sz w:val="30"/>
          <w:szCs w:val="30"/>
          <w:lang w:eastAsia="zh-CN"/>
        </w:rPr>
        <w:t>Concerning the proviso of the Covenant, which is faith, we have already seen it on display in Noah’s family, who believingly followed him into the ark.</w:t>
      </w:r>
    </w:p>
    <w:p w14:paraId="27147439">
      <w:pPr>
        <w:tabs>
          <w:tab w:val="left" w:pos="280"/>
        </w:tabs>
        <w:bidi w:val="0"/>
        <w:jc w:val="left"/>
        <w:rPr>
          <w:rFonts w:hint="eastAsia" w:eastAsia="宋体"/>
          <w:sz w:val="30"/>
          <w:szCs w:val="30"/>
          <w:lang w:eastAsia="zh-CN"/>
        </w:rPr>
      </w:pPr>
      <w:r>
        <w:rPr>
          <w:rFonts w:hint="eastAsia" w:eastAsia="宋体"/>
          <w:sz w:val="30"/>
          <w:szCs w:val="30"/>
          <w:lang w:eastAsia="zh-CN"/>
        </w:rPr>
        <w:t>关于圣约的附带条件，即信心，我们已经在挪亚的家人身上看到了它的展现，他们凭着信心跟随他进入了方舟。</w:t>
      </w:r>
    </w:p>
    <w:p w14:paraId="59BADE56">
      <w:pPr>
        <w:tabs>
          <w:tab w:val="left" w:pos="280"/>
        </w:tabs>
        <w:bidi w:val="0"/>
        <w:jc w:val="left"/>
        <w:rPr>
          <w:rFonts w:hint="eastAsia" w:eastAsia="宋体"/>
          <w:sz w:val="30"/>
          <w:szCs w:val="30"/>
          <w:lang w:eastAsia="zh-CN"/>
        </w:rPr>
      </w:pPr>
    </w:p>
    <w:p w14:paraId="03243D55">
      <w:pPr>
        <w:tabs>
          <w:tab w:val="left" w:pos="280"/>
        </w:tabs>
        <w:bidi w:val="0"/>
        <w:jc w:val="left"/>
        <w:rPr>
          <w:rFonts w:hint="eastAsia" w:eastAsia="宋体"/>
          <w:sz w:val="30"/>
          <w:szCs w:val="30"/>
          <w:lang w:eastAsia="zh-CN"/>
        </w:rPr>
      </w:pPr>
      <w:r>
        <w:rPr>
          <w:rFonts w:hint="eastAsia" w:eastAsia="宋体"/>
          <w:sz w:val="30"/>
          <w:szCs w:val="30"/>
          <w:lang w:eastAsia="zh-CN"/>
        </w:rPr>
        <w:t>Importantly, a number of NT texts make it quite clear that Noah—a herald of righteousness—offered redemption to the world around him for 120 years, a redemption that they spurned unto their own condemnation (Heb. 11:7, 2 Peter 2:5).</w:t>
      </w:r>
    </w:p>
    <w:p w14:paraId="24E6B1EC">
      <w:pPr>
        <w:tabs>
          <w:tab w:val="left" w:pos="280"/>
        </w:tabs>
        <w:bidi w:val="0"/>
        <w:jc w:val="left"/>
        <w:rPr>
          <w:rFonts w:hint="eastAsia" w:eastAsia="宋体"/>
          <w:sz w:val="30"/>
          <w:szCs w:val="30"/>
          <w:lang w:eastAsia="zh-CN"/>
        </w:rPr>
      </w:pPr>
      <w:r>
        <w:rPr>
          <w:rFonts w:hint="eastAsia" w:eastAsia="宋体"/>
          <w:sz w:val="30"/>
          <w:szCs w:val="30"/>
          <w:lang w:eastAsia="zh-CN"/>
        </w:rPr>
        <w:t>重要的是，一些新约经文清楚表明，挪亚——一位传义道者——向他周围的世界提供了120年的救赎，但他们藐视了这救赎，以致自取定罪（来 11:7, 彼后 2:5）。</w:t>
      </w:r>
    </w:p>
    <w:p w14:paraId="7B5D05F7">
      <w:pPr>
        <w:tabs>
          <w:tab w:val="left" w:pos="280"/>
        </w:tabs>
        <w:bidi w:val="0"/>
        <w:jc w:val="left"/>
        <w:rPr>
          <w:rFonts w:hint="eastAsia" w:eastAsia="宋体"/>
          <w:sz w:val="30"/>
          <w:szCs w:val="30"/>
          <w:lang w:eastAsia="zh-CN"/>
        </w:rPr>
      </w:pPr>
    </w:p>
    <w:p w14:paraId="59243D78">
      <w:pPr>
        <w:tabs>
          <w:tab w:val="left" w:pos="280"/>
        </w:tabs>
        <w:bidi w:val="0"/>
        <w:jc w:val="left"/>
        <w:rPr>
          <w:rFonts w:hint="eastAsia" w:eastAsia="宋体"/>
          <w:sz w:val="30"/>
          <w:szCs w:val="30"/>
          <w:lang w:eastAsia="zh-CN"/>
        </w:rPr>
      </w:pPr>
      <w:r>
        <w:rPr>
          <w:rFonts w:hint="eastAsia" w:eastAsia="宋体"/>
          <w:sz w:val="30"/>
          <w:szCs w:val="30"/>
          <w:lang w:eastAsia="zh-CN"/>
        </w:rPr>
        <w:t>Here again we see Christ, who, in the days of his flesh, reared up a great, beautiful, and unavoidable ark of salvation.</w:t>
      </w:r>
    </w:p>
    <w:p w14:paraId="416F49EA">
      <w:pPr>
        <w:tabs>
          <w:tab w:val="left" w:pos="280"/>
        </w:tabs>
        <w:bidi w:val="0"/>
        <w:jc w:val="left"/>
        <w:rPr>
          <w:rFonts w:hint="eastAsia" w:eastAsia="宋体"/>
          <w:sz w:val="30"/>
          <w:szCs w:val="30"/>
          <w:lang w:eastAsia="zh-CN"/>
        </w:rPr>
      </w:pPr>
      <w:r>
        <w:rPr>
          <w:rFonts w:hint="eastAsia" w:eastAsia="宋体"/>
          <w:sz w:val="30"/>
          <w:szCs w:val="30"/>
          <w:lang w:eastAsia="zh-CN"/>
        </w:rPr>
        <w:t>在此我们再次看到基督，祂在肉身的日子里，建起了一个巨大、美丽且不可避免的救恩方舟。</w:t>
      </w:r>
    </w:p>
    <w:p w14:paraId="3BD86AB7">
      <w:pPr>
        <w:tabs>
          <w:tab w:val="left" w:pos="280"/>
        </w:tabs>
        <w:bidi w:val="0"/>
        <w:jc w:val="left"/>
        <w:rPr>
          <w:rFonts w:hint="eastAsia" w:eastAsia="宋体"/>
          <w:sz w:val="30"/>
          <w:szCs w:val="30"/>
          <w:lang w:eastAsia="zh-CN"/>
        </w:rPr>
      </w:pPr>
    </w:p>
    <w:p w14:paraId="091C30BF">
      <w:pPr>
        <w:tabs>
          <w:tab w:val="left" w:pos="280"/>
        </w:tabs>
        <w:bidi w:val="0"/>
        <w:jc w:val="left"/>
        <w:rPr>
          <w:rFonts w:hint="eastAsia" w:eastAsia="宋体"/>
          <w:sz w:val="30"/>
          <w:szCs w:val="30"/>
          <w:lang w:eastAsia="zh-CN"/>
        </w:rPr>
      </w:pPr>
      <w:r>
        <w:rPr>
          <w:rFonts w:hint="eastAsia" w:eastAsia="宋体"/>
          <w:sz w:val="30"/>
          <w:szCs w:val="30"/>
          <w:lang w:eastAsia="zh-CN"/>
        </w:rPr>
        <w:t>What’s more, even now, through the Gospel preaching of his Church, this same Christ calls all men everywhere to get on board (Mt. 11:28, John 3:16, Acts 17:30).</w:t>
      </w:r>
    </w:p>
    <w:p w14:paraId="4ADDED3D">
      <w:pPr>
        <w:tabs>
          <w:tab w:val="left" w:pos="280"/>
        </w:tabs>
        <w:bidi w:val="0"/>
        <w:jc w:val="left"/>
        <w:rPr>
          <w:rFonts w:hint="eastAsia" w:eastAsia="宋体"/>
          <w:sz w:val="30"/>
          <w:szCs w:val="30"/>
          <w:lang w:eastAsia="zh-CN"/>
        </w:rPr>
      </w:pPr>
      <w:r>
        <w:rPr>
          <w:rFonts w:hint="eastAsia" w:eastAsia="宋体"/>
          <w:sz w:val="30"/>
          <w:szCs w:val="30"/>
          <w:lang w:eastAsia="zh-CN"/>
        </w:rPr>
        <w:t>更重要的是，即使是现在，藉着祂教会的福音传讲，这位基督呼召各处所有的人都登船（太 11:28, 约 3:16, 徒 17:30）。</w:t>
      </w:r>
    </w:p>
    <w:p w14:paraId="79E55F2E">
      <w:pPr>
        <w:tabs>
          <w:tab w:val="left" w:pos="280"/>
        </w:tabs>
        <w:bidi w:val="0"/>
        <w:jc w:val="left"/>
        <w:rPr>
          <w:rFonts w:hint="eastAsia" w:eastAsia="宋体"/>
          <w:sz w:val="30"/>
          <w:szCs w:val="30"/>
          <w:lang w:eastAsia="zh-CN"/>
        </w:rPr>
      </w:pPr>
    </w:p>
    <w:p w14:paraId="57DB27B9">
      <w:pPr>
        <w:tabs>
          <w:tab w:val="left" w:pos="280"/>
        </w:tabs>
        <w:bidi w:val="0"/>
        <w:jc w:val="left"/>
        <w:rPr>
          <w:rFonts w:hint="eastAsia" w:eastAsia="宋体"/>
          <w:sz w:val="30"/>
          <w:szCs w:val="30"/>
          <w:lang w:eastAsia="zh-CN"/>
        </w:rPr>
      </w:pPr>
      <w:r>
        <w:rPr>
          <w:rFonts w:hint="eastAsia" w:eastAsia="宋体"/>
          <w:sz w:val="30"/>
          <w:szCs w:val="30"/>
          <w:lang w:eastAsia="zh-CN"/>
        </w:rPr>
        <w:t>Comfortingly, the Flood narrative assures us that, despite the natural depravity and rebellion of man, God will indeed have a family.</w:t>
      </w:r>
    </w:p>
    <w:p w14:paraId="1B970514">
      <w:pPr>
        <w:tabs>
          <w:tab w:val="left" w:pos="280"/>
        </w:tabs>
        <w:bidi w:val="0"/>
        <w:jc w:val="left"/>
        <w:rPr>
          <w:rFonts w:hint="eastAsia" w:eastAsia="宋体"/>
          <w:sz w:val="30"/>
          <w:szCs w:val="30"/>
          <w:lang w:eastAsia="zh-CN"/>
        </w:rPr>
      </w:pPr>
      <w:r>
        <w:rPr>
          <w:rFonts w:hint="eastAsia" w:eastAsia="宋体"/>
          <w:sz w:val="30"/>
          <w:szCs w:val="30"/>
          <w:lang w:eastAsia="zh-CN"/>
        </w:rPr>
        <w:t>令人安慰的是，洪水的故事向我们保证，尽管人有天然的败坏和悖逆，上帝确实会有一个家庭。</w:t>
      </w:r>
    </w:p>
    <w:p w14:paraId="3420B7BD">
      <w:pPr>
        <w:tabs>
          <w:tab w:val="left" w:pos="280"/>
        </w:tabs>
        <w:bidi w:val="0"/>
        <w:jc w:val="left"/>
        <w:rPr>
          <w:rFonts w:hint="eastAsia" w:eastAsia="宋体"/>
          <w:sz w:val="30"/>
          <w:szCs w:val="30"/>
          <w:lang w:eastAsia="zh-CN"/>
        </w:rPr>
      </w:pPr>
    </w:p>
    <w:p w14:paraId="73B9D3E1">
      <w:pPr>
        <w:tabs>
          <w:tab w:val="left" w:pos="280"/>
        </w:tabs>
        <w:bidi w:val="0"/>
        <w:jc w:val="left"/>
        <w:rPr>
          <w:rFonts w:hint="eastAsia" w:eastAsia="宋体"/>
          <w:sz w:val="30"/>
          <w:szCs w:val="30"/>
          <w:lang w:eastAsia="zh-CN"/>
        </w:rPr>
      </w:pPr>
      <w:r>
        <w:rPr>
          <w:rFonts w:hint="eastAsia" w:eastAsia="宋体"/>
          <w:sz w:val="30"/>
          <w:szCs w:val="30"/>
          <w:lang w:eastAsia="zh-CN"/>
        </w:rPr>
        <w:t>For just as God himself brought both man and beast safely into the ark, sealing them inside by closing the door with his own mighty hand, so too will the Father draw all his elect to Christ, and seal them once and for all in him (Gen. 7:13-16, John 6:44, 1 Cor. 1:30-31, Eph. 1:13, 4:30).</w:t>
      </w:r>
    </w:p>
    <w:p w14:paraId="266C3075">
      <w:pPr>
        <w:tabs>
          <w:tab w:val="left" w:pos="280"/>
        </w:tabs>
        <w:bidi w:val="0"/>
        <w:jc w:val="left"/>
        <w:rPr>
          <w:rFonts w:hint="eastAsia" w:eastAsia="宋体"/>
          <w:sz w:val="30"/>
          <w:szCs w:val="30"/>
          <w:lang w:eastAsia="zh-CN"/>
        </w:rPr>
      </w:pPr>
      <w:r>
        <w:rPr>
          <w:rFonts w:hint="eastAsia" w:eastAsia="宋体"/>
          <w:sz w:val="30"/>
          <w:szCs w:val="30"/>
          <w:lang w:eastAsia="zh-CN"/>
        </w:rPr>
        <w:t>因为正如上帝亲自将人和走兽都安全地带入方舟，用祂自己大能的手关上门将他们封在里面，父也要照样将祂所有的选民都引到基督那里，并将他们一劳永逸地在祂里面盖印（创 7:13-16, 约 6:44, 林前 1:30-31, 弗 1:13, 4:30）。</w:t>
      </w:r>
    </w:p>
    <w:p w14:paraId="505B6F9D">
      <w:pPr>
        <w:tabs>
          <w:tab w:val="left" w:pos="280"/>
        </w:tabs>
        <w:bidi w:val="0"/>
        <w:jc w:val="left"/>
        <w:rPr>
          <w:rFonts w:hint="eastAsia" w:eastAsia="宋体"/>
          <w:sz w:val="30"/>
          <w:szCs w:val="30"/>
          <w:lang w:eastAsia="zh-CN"/>
        </w:rPr>
      </w:pPr>
    </w:p>
    <w:p w14:paraId="46F4D052">
      <w:pPr>
        <w:tabs>
          <w:tab w:val="left" w:pos="280"/>
        </w:tabs>
        <w:bidi w:val="0"/>
        <w:jc w:val="left"/>
        <w:rPr>
          <w:rFonts w:hint="eastAsia" w:eastAsia="宋体"/>
          <w:sz w:val="30"/>
          <w:szCs w:val="30"/>
          <w:lang w:eastAsia="zh-CN"/>
        </w:rPr>
      </w:pPr>
      <w:r>
        <w:rPr>
          <w:rFonts w:hint="eastAsia" w:eastAsia="宋体"/>
          <w:sz w:val="30"/>
          <w:szCs w:val="30"/>
          <w:lang w:eastAsia="zh-CN"/>
        </w:rPr>
        <w:t>As for the promise of the Covenant, we remember that it is restoration to eternal life under God’s direct rule, a restoration graciously granted to those whom he has rescued from the Domain of Darkness.</w:t>
      </w:r>
    </w:p>
    <w:p w14:paraId="081BCA0D">
      <w:pPr>
        <w:tabs>
          <w:tab w:val="left" w:pos="280"/>
        </w:tabs>
        <w:bidi w:val="0"/>
        <w:jc w:val="left"/>
        <w:rPr>
          <w:rFonts w:hint="eastAsia" w:eastAsia="宋体"/>
          <w:sz w:val="30"/>
          <w:szCs w:val="30"/>
          <w:lang w:eastAsia="zh-CN"/>
        </w:rPr>
      </w:pPr>
      <w:r>
        <w:rPr>
          <w:rFonts w:hint="eastAsia" w:eastAsia="宋体"/>
          <w:sz w:val="30"/>
          <w:szCs w:val="30"/>
          <w:lang w:eastAsia="zh-CN"/>
        </w:rPr>
        <w:t>至于圣约的应许，我们记得那是恢复到上帝直接统治下的永生，是恩慈地赐给那些祂从黑暗权势中拯救出来之人的恢复。</w:t>
      </w:r>
    </w:p>
    <w:p w14:paraId="628C9CFE">
      <w:pPr>
        <w:tabs>
          <w:tab w:val="left" w:pos="280"/>
        </w:tabs>
        <w:bidi w:val="0"/>
        <w:jc w:val="left"/>
        <w:rPr>
          <w:rFonts w:hint="eastAsia" w:eastAsia="宋体"/>
          <w:sz w:val="30"/>
          <w:szCs w:val="30"/>
          <w:lang w:eastAsia="zh-CN"/>
        </w:rPr>
      </w:pPr>
    </w:p>
    <w:p w14:paraId="294A6AA6">
      <w:pPr>
        <w:tabs>
          <w:tab w:val="left" w:pos="280"/>
        </w:tabs>
        <w:bidi w:val="0"/>
        <w:jc w:val="left"/>
        <w:rPr>
          <w:rFonts w:hint="eastAsia" w:eastAsia="宋体"/>
          <w:sz w:val="30"/>
          <w:szCs w:val="30"/>
          <w:lang w:eastAsia="zh-CN"/>
        </w:rPr>
      </w:pPr>
      <w:r>
        <w:rPr>
          <w:rFonts w:hint="eastAsia" w:eastAsia="宋体"/>
          <w:sz w:val="30"/>
          <w:szCs w:val="30"/>
          <w:lang w:eastAsia="zh-CN"/>
        </w:rPr>
        <w:t>The Flood narrative pictures both.</w:t>
      </w:r>
    </w:p>
    <w:p w14:paraId="5C94B04A">
      <w:pPr>
        <w:tabs>
          <w:tab w:val="left" w:pos="280"/>
        </w:tabs>
        <w:bidi w:val="0"/>
        <w:jc w:val="left"/>
        <w:rPr>
          <w:rFonts w:hint="eastAsia" w:eastAsia="宋体"/>
          <w:sz w:val="30"/>
          <w:szCs w:val="30"/>
          <w:lang w:eastAsia="zh-CN"/>
        </w:rPr>
      </w:pPr>
      <w:r>
        <w:rPr>
          <w:rFonts w:hint="eastAsia" w:eastAsia="宋体"/>
          <w:sz w:val="30"/>
          <w:szCs w:val="30"/>
          <w:lang w:eastAsia="zh-CN"/>
        </w:rPr>
        <w:t>洪水的故事描绘了这两者。</w:t>
      </w:r>
    </w:p>
    <w:p w14:paraId="571D2283">
      <w:pPr>
        <w:tabs>
          <w:tab w:val="left" w:pos="280"/>
        </w:tabs>
        <w:bidi w:val="0"/>
        <w:jc w:val="left"/>
        <w:rPr>
          <w:rFonts w:hint="eastAsia" w:eastAsia="宋体"/>
          <w:sz w:val="30"/>
          <w:szCs w:val="30"/>
          <w:lang w:eastAsia="zh-CN"/>
        </w:rPr>
      </w:pPr>
    </w:p>
    <w:p w14:paraId="54058D91">
      <w:pPr>
        <w:tabs>
          <w:tab w:val="left" w:pos="280"/>
        </w:tabs>
        <w:bidi w:val="0"/>
        <w:jc w:val="left"/>
        <w:rPr>
          <w:rFonts w:hint="eastAsia" w:eastAsia="宋体"/>
          <w:sz w:val="30"/>
          <w:szCs w:val="30"/>
          <w:lang w:eastAsia="zh-CN"/>
        </w:rPr>
      </w:pPr>
      <w:r>
        <w:rPr>
          <w:rFonts w:hint="eastAsia" w:eastAsia="宋体"/>
          <w:sz w:val="30"/>
          <w:szCs w:val="30"/>
          <w:lang w:eastAsia="zh-CN"/>
        </w:rPr>
        <w:t>On the one hand, God rescues all who are willing to board the ark from destruction by water; similarly, God rescues all who are willing to come to Christ from destruction by fire, which is the penalty of (spurning) the eternal covenant (2 Peter 3:6-7).</w:t>
      </w:r>
    </w:p>
    <w:p w14:paraId="62C36920">
      <w:pPr>
        <w:tabs>
          <w:tab w:val="left" w:pos="280"/>
        </w:tabs>
        <w:bidi w:val="0"/>
        <w:jc w:val="left"/>
        <w:rPr>
          <w:rFonts w:hint="eastAsia" w:eastAsia="宋体"/>
          <w:sz w:val="30"/>
          <w:szCs w:val="30"/>
          <w:lang w:eastAsia="zh-CN"/>
        </w:rPr>
      </w:pPr>
      <w:r>
        <w:rPr>
          <w:rFonts w:hint="eastAsia" w:eastAsia="宋体"/>
          <w:sz w:val="30"/>
          <w:szCs w:val="30"/>
          <w:lang w:eastAsia="zh-CN"/>
        </w:rPr>
        <w:t>一方面，上帝拯救所有愿意登上方舟的人脱离水的毁灭；同样，上帝拯救所有愿意来到基督面前的人脱离火的毁灭，这是（藐视）永恒之约的刑罚（彼后 3:6-7）。</w:t>
      </w:r>
    </w:p>
    <w:p w14:paraId="73382E86">
      <w:pPr>
        <w:tabs>
          <w:tab w:val="left" w:pos="280"/>
        </w:tabs>
        <w:bidi w:val="0"/>
        <w:jc w:val="left"/>
        <w:rPr>
          <w:rFonts w:hint="eastAsia" w:eastAsia="宋体"/>
          <w:sz w:val="30"/>
          <w:szCs w:val="30"/>
          <w:lang w:eastAsia="zh-CN"/>
        </w:rPr>
      </w:pPr>
    </w:p>
    <w:p w14:paraId="2928DECB">
      <w:pPr>
        <w:tabs>
          <w:tab w:val="left" w:pos="280"/>
        </w:tabs>
        <w:bidi w:val="0"/>
        <w:jc w:val="left"/>
        <w:rPr>
          <w:rFonts w:hint="eastAsia" w:eastAsia="宋体"/>
          <w:sz w:val="30"/>
          <w:szCs w:val="30"/>
          <w:lang w:eastAsia="zh-CN"/>
        </w:rPr>
      </w:pPr>
      <w:r>
        <w:rPr>
          <w:rFonts w:hint="eastAsia" w:eastAsia="宋体"/>
          <w:sz w:val="30"/>
          <w:szCs w:val="30"/>
          <w:lang w:eastAsia="zh-CN"/>
        </w:rPr>
        <w:t>On the other hand, God restores Noah’s family to life in a new world cleansed of unrepentant sinners.</w:t>
      </w:r>
    </w:p>
    <w:p w14:paraId="139087D8">
      <w:pPr>
        <w:tabs>
          <w:tab w:val="left" w:pos="280"/>
        </w:tabs>
        <w:bidi w:val="0"/>
        <w:jc w:val="left"/>
        <w:rPr>
          <w:rFonts w:hint="eastAsia" w:eastAsia="宋体"/>
          <w:sz w:val="30"/>
          <w:szCs w:val="30"/>
          <w:lang w:eastAsia="zh-CN"/>
        </w:rPr>
      </w:pPr>
      <w:r>
        <w:rPr>
          <w:rFonts w:hint="eastAsia" w:eastAsia="宋体"/>
          <w:sz w:val="30"/>
          <w:szCs w:val="30"/>
          <w:lang w:eastAsia="zh-CN"/>
        </w:rPr>
        <w:t>另一方面，上帝将挪亚的家庭恢复到在一个清除了不悔改罪人的新世界里的生活。</w:t>
      </w:r>
    </w:p>
    <w:p w14:paraId="3739E00A">
      <w:pPr>
        <w:tabs>
          <w:tab w:val="left" w:pos="280"/>
        </w:tabs>
        <w:bidi w:val="0"/>
        <w:jc w:val="left"/>
        <w:rPr>
          <w:rFonts w:hint="eastAsia" w:eastAsia="宋体"/>
          <w:sz w:val="30"/>
          <w:szCs w:val="30"/>
          <w:lang w:eastAsia="zh-CN"/>
        </w:rPr>
      </w:pPr>
    </w:p>
    <w:p w14:paraId="33C939AB">
      <w:pPr>
        <w:tabs>
          <w:tab w:val="left" w:pos="280"/>
        </w:tabs>
        <w:bidi w:val="0"/>
        <w:jc w:val="left"/>
        <w:rPr>
          <w:rFonts w:hint="eastAsia" w:eastAsia="宋体"/>
          <w:sz w:val="30"/>
          <w:szCs w:val="30"/>
          <w:lang w:eastAsia="zh-CN"/>
        </w:rPr>
      </w:pPr>
      <w:r>
        <w:rPr>
          <w:rFonts w:hint="eastAsia" w:eastAsia="宋体"/>
          <w:sz w:val="30"/>
          <w:szCs w:val="30"/>
          <w:lang w:eastAsia="zh-CN"/>
        </w:rPr>
        <w:t>This calls to mind the Parousia and the Consummation, when Christ himself will restore his people to life in the eschatological Eden; to life in the new heavens and the new earth (2 Peter 3:13).</w:t>
      </w:r>
    </w:p>
    <w:p w14:paraId="759B514F">
      <w:pPr>
        <w:tabs>
          <w:tab w:val="left" w:pos="280"/>
        </w:tabs>
        <w:bidi w:val="0"/>
        <w:jc w:val="left"/>
        <w:rPr>
          <w:rFonts w:hint="eastAsia" w:eastAsia="宋体"/>
          <w:sz w:val="30"/>
          <w:szCs w:val="30"/>
          <w:lang w:eastAsia="zh-CN"/>
        </w:rPr>
      </w:pPr>
      <w:r>
        <w:rPr>
          <w:rFonts w:hint="eastAsia" w:eastAsia="宋体"/>
          <w:sz w:val="30"/>
          <w:szCs w:val="30"/>
          <w:lang w:eastAsia="zh-CN"/>
        </w:rPr>
        <w:t>这让人想起基督的再来和最终的成全，那时基督自己将恢复祂的子民到末世的伊甸园里生活；到新天新地里生活（彼后 3:13）。</w:t>
      </w:r>
    </w:p>
    <w:p w14:paraId="21645A1E">
      <w:pPr>
        <w:tabs>
          <w:tab w:val="left" w:pos="280"/>
        </w:tabs>
        <w:bidi w:val="0"/>
        <w:jc w:val="left"/>
        <w:rPr>
          <w:rFonts w:hint="eastAsia" w:eastAsia="宋体"/>
          <w:sz w:val="30"/>
          <w:szCs w:val="30"/>
          <w:lang w:eastAsia="zh-CN"/>
        </w:rPr>
      </w:pPr>
    </w:p>
    <w:p w14:paraId="48D88152">
      <w:pPr>
        <w:tabs>
          <w:tab w:val="left" w:pos="280"/>
        </w:tabs>
        <w:bidi w:val="0"/>
        <w:jc w:val="left"/>
        <w:rPr>
          <w:rFonts w:hint="eastAsia" w:eastAsia="宋体"/>
          <w:sz w:val="30"/>
          <w:szCs w:val="30"/>
          <w:lang w:eastAsia="zh-CN"/>
        </w:rPr>
      </w:pPr>
      <w:r>
        <w:rPr>
          <w:rFonts w:hint="eastAsia" w:eastAsia="宋体"/>
          <w:sz w:val="30"/>
          <w:szCs w:val="30"/>
          <w:lang w:eastAsia="zh-CN"/>
        </w:rPr>
        <w:t>In all of this, we therefore catch precious glimpses of the coming of the Kingdom.</w:t>
      </w:r>
    </w:p>
    <w:p w14:paraId="16A4D47C">
      <w:pPr>
        <w:tabs>
          <w:tab w:val="left" w:pos="280"/>
        </w:tabs>
        <w:bidi w:val="0"/>
        <w:jc w:val="left"/>
        <w:rPr>
          <w:rFonts w:hint="eastAsia" w:eastAsia="宋体"/>
          <w:sz w:val="30"/>
          <w:szCs w:val="30"/>
          <w:lang w:eastAsia="zh-CN"/>
        </w:rPr>
      </w:pPr>
      <w:r>
        <w:rPr>
          <w:rFonts w:hint="eastAsia" w:eastAsia="宋体"/>
          <w:sz w:val="30"/>
          <w:szCs w:val="30"/>
          <w:lang w:eastAsia="zh-CN"/>
        </w:rPr>
        <w:t>因此，在所有这一切中，我们得以瞥见国度降临的宝贵景象。</w:t>
      </w:r>
    </w:p>
    <w:p w14:paraId="5F472FED">
      <w:pPr>
        <w:tabs>
          <w:tab w:val="left" w:pos="280"/>
        </w:tabs>
        <w:bidi w:val="0"/>
        <w:jc w:val="left"/>
        <w:rPr>
          <w:rFonts w:hint="eastAsia" w:eastAsia="宋体"/>
          <w:sz w:val="30"/>
          <w:szCs w:val="30"/>
          <w:lang w:eastAsia="zh-CN"/>
        </w:rPr>
      </w:pPr>
    </w:p>
    <w:p w14:paraId="360DEF96">
      <w:pPr>
        <w:tabs>
          <w:tab w:val="left" w:pos="280"/>
        </w:tabs>
        <w:bidi w:val="0"/>
        <w:jc w:val="left"/>
        <w:rPr>
          <w:rFonts w:hint="eastAsia" w:eastAsia="宋体"/>
          <w:sz w:val="30"/>
          <w:szCs w:val="30"/>
          <w:lang w:eastAsia="zh-CN"/>
        </w:rPr>
      </w:pPr>
      <w:r>
        <w:rPr>
          <w:rFonts w:hint="eastAsia" w:eastAsia="宋体"/>
          <w:sz w:val="30"/>
          <w:szCs w:val="30"/>
          <w:lang w:eastAsia="zh-CN"/>
        </w:rPr>
        <w:t>For example, the world of Noah’s day clearly pictures the dark backdrop of the Kingdom, the Domain of Darkness; a Domain that will once again more or less completely go over to Satan at the end of the present evil age—and therefore perish in the end time conflagration (Mt. 24:12, 37, Luke 17:26).</w:t>
      </w:r>
    </w:p>
    <w:p w14:paraId="163C9821">
      <w:pPr>
        <w:tabs>
          <w:tab w:val="left" w:pos="280"/>
        </w:tabs>
        <w:bidi w:val="0"/>
        <w:jc w:val="left"/>
        <w:rPr>
          <w:rFonts w:hint="eastAsia" w:eastAsia="宋体"/>
          <w:sz w:val="30"/>
          <w:szCs w:val="30"/>
          <w:lang w:eastAsia="zh-CN"/>
        </w:rPr>
      </w:pPr>
      <w:r>
        <w:rPr>
          <w:rFonts w:hint="eastAsia" w:eastAsia="宋体"/>
          <w:sz w:val="30"/>
          <w:szCs w:val="30"/>
          <w:lang w:eastAsia="zh-CN"/>
        </w:rPr>
        <w:t>例如，挪亚时代的世界清楚地描绘了国度的黑暗背景，即黑暗的权势；一个在现今邪恶世代末了将再次或多或少完全归于撒但的权势——因此将在末世的大火中灭亡（太 24:12, 37, 路 17:26）。</w:t>
      </w:r>
    </w:p>
    <w:p w14:paraId="48A89664">
      <w:pPr>
        <w:tabs>
          <w:tab w:val="left" w:pos="280"/>
        </w:tabs>
        <w:bidi w:val="0"/>
        <w:jc w:val="left"/>
        <w:rPr>
          <w:rFonts w:hint="eastAsia" w:eastAsia="宋体"/>
          <w:sz w:val="30"/>
          <w:szCs w:val="30"/>
          <w:lang w:eastAsia="zh-CN"/>
        </w:rPr>
      </w:pPr>
    </w:p>
    <w:p w14:paraId="1CF53BA3">
      <w:pPr>
        <w:tabs>
          <w:tab w:val="left" w:pos="280"/>
        </w:tabs>
        <w:bidi w:val="0"/>
        <w:jc w:val="left"/>
        <w:rPr>
          <w:rFonts w:hint="eastAsia" w:eastAsia="宋体"/>
          <w:sz w:val="30"/>
          <w:szCs w:val="30"/>
          <w:lang w:eastAsia="zh-CN"/>
        </w:rPr>
      </w:pPr>
      <w:r>
        <w:rPr>
          <w:rFonts w:hint="eastAsia" w:eastAsia="宋体"/>
          <w:sz w:val="30"/>
          <w:szCs w:val="30"/>
          <w:lang w:eastAsia="zh-CN"/>
        </w:rPr>
        <w:t>Similarly, the new world into which Noah and his family descended corresponds to the Kingdom in its consummated form, wherein God reigns directly, not only over his people’s spirits, but also over their bodies; it corresponds to the new heavens and the new earth onto which the glorified Church will descend after the Judgment and the creation of the World to Come (1 Thess. 4:13f, Rev. 21:1-3).</w:t>
      </w:r>
    </w:p>
    <w:p w14:paraId="5A79BAD1">
      <w:pPr>
        <w:tabs>
          <w:tab w:val="left" w:pos="280"/>
        </w:tabs>
        <w:bidi w:val="0"/>
        <w:jc w:val="left"/>
        <w:rPr>
          <w:rFonts w:hint="eastAsia" w:eastAsia="宋体"/>
          <w:sz w:val="30"/>
          <w:szCs w:val="30"/>
          <w:lang w:eastAsia="zh-CN"/>
        </w:rPr>
      </w:pPr>
      <w:r>
        <w:rPr>
          <w:rFonts w:hint="eastAsia" w:eastAsia="宋体"/>
          <w:sz w:val="30"/>
          <w:szCs w:val="30"/>
          <w:lang w:eastAsia="zh-CN"/>
        </w:rPr>
        <w:t>同样，挪亚和他家人所进入的新世界，对应于最终成全形式的国度，其中上帝直接统治，不仅统治祂子民的灵，也统治他们的身体；它对应于新天新地，得荣耀的教会将在审判和来世被创造之后降临于其上（帖前 4:13f, 启 21:1-3）。</w:t>
      </w:r>
    </w:p>
    <w:p w14:paraId="4327213C">
      <w:pPr>
        <w:tabs>
          <w:tab w:val="left" w:pos="280"/>
        </w:tabs>
        <w:bidi w:val="0"/>
        <w:jc w:val="left"/>
        <w:rPr>
          <w:rFonts w:hint="eastAsia" w:eastAsia="宋体"/>
          <w:sz w:val="30"/>
          <w:szCs w:val="30"/>
          <w:lang w:eastAsia="zh-CN"/>
        </w:rPr>
      </w:pPr>
    </w:p>
    <w:p w14:paraId="2E5D20C3">
      <w:pPr>
        <w:tabs>
          <w:tab w:val="left" w:pos="280"/>
        </w:tabs>
        <w:bidi w:val="0"/>
        <w:jc w:val="left"/>
        <w:rPr>
          <w:rFonts w:hint="eastAsia" w:eastAsia="宋体"/>
          <w:sz w:val="30"/>
          <w:szCs w:val="30"/>
          <w:lang w:eastAsia="zh-CN"/>
        </w:rPr>
      </w:pPr>
      <w:r>
        <w:rPr>
          <w:rFonts w:hint="eastAsia" w:eastAsia="宋体"/>
          <w:sz w:val="30"/>
          <w:szCs w:val="30"/>
          <w:lang w:eastAsia="zh-CN"/>
        </w:rPr>
        <w:t>But what of the ark, and of the year or so that Noah’s family spent within it, safely floating upon the waters?</w:t>
      </w:r>
    </w:p>
    <w:p w14:paraId="4501FAFD">
      <w:pPr>
        <w:tabs>
          <w:tab w:val="left" w:pos="280"/>
        </w:tabs>
        <w:bidi w:val="0"/>
        <w:jc w:val="left"/>
        <w:rPr>
          <w:rFonts w:hint="eastAsia" w:eastAsia="宋体"/>
          <w:sz w:val="30"/>
          <w:szCs w:val="30"/>
          <w:lang w:eastAsia="zh-CN"/>
        </w:rPr>
      </w:pPr>
      <w:r>
        <w:rPr>
          <w:rFonts w:hint="eastAsia" w:eastAsia="宋体"/>
          <w:sz w:val="30"/>
          <w:szCs w:val="30"/>
          <w:lang w:eastAsia="zh-CN"/>
        </w:rPr>
        <w:t>但方舟呢，以及挪亚一家在其中安全地漂浮在水上大约一年的时间又如何呢？</w:t>
      </w:r>
    </w:p>
    <w:p w14:paraId="2078A1C1">
      <w:pPr>
        <w:tabs>
          <w:tab w:val="left" w:pos="280"/>
        </w:tabs>
        <w:bidi w:val="0"/>
        <w:jc w:val="left"/>
        <w:rPr>
          <w:rFonts w:hint="eastAsia" w:eastAsia="宋体"/>
          <w:sz w:val="30"/>
          <w:szCs w:val="30"/>
          <w:lang w:eastAsia="zh-CN"/>
        </w:rPr>
      </w:pPr>
    </w:p>
    <w:p w14:paraId="429C3B4F">
      <w:pPr>
        <w:tabs>
          <w:tab w:val="left" w:pos="280"/>
        </w:tabs>
        <w:bidi w:val="0"/>
        <w:jc w:val="left"/>
        <w:rPr>
          <w:rFonts w:hint="eastAsia" w:eastAsia="宋体"/>
          <w:sz w:val="30"/>
          <w:szCs w:val="30"/>
          <w:lang w:eastAsia="zh-CN"/>
        </w:rPr>
      </w:pPr>
      <w:r>
        <w:rPr>
          <w:rFonts w:hint="eastAsia" w:eastAsia="宋体"/>
          <w:sz w:val="30"/>
          <w:szCs w:val="30"/>
          <w:lang w:eastAsia="zh-CN"/>
        </w:rPr>
        <w:t>Again, the ark represents the Person and Work of Christ, God’s one and only vessel of salvation.</w:t>
      </w:r>
    </w:p>
    <w:p w14:paraId="56038B10">
      <w:pPr>
        <w:tabs>
          <w:tab w:val="left" w:pos="280"/>
        </w:tabs>
        <w:bidi w:val="0"/>
        <w:jc w:val="left"/>
        <w:rPr>
          <w:rFonts w:hint="eastAsia" w:eastAsia="宋体"/>
          <w:sz w:val="30"/>
          <w:szCs w:val="30"/>
          <w:lang w:eastAsia="zh-CN"/>
        </w:rPr>
      </w:pPr>
      <w:r>
        <w:rPr>
          <w:rFonts w:hint="eastAsia" w:eastAsia="宋体"/>
          <w:sz w:val="30"/>
          <w:szCs w:val="30"/>
          <w:lang w:eastAsia="zh-CN"/>
        </w:rPr>
        <w:t>再者，方舟代表基督的位格和工作，是上帝唯一且独一的救恩器皿。</w:t>
      </w:r>
    </w:p>
    <w:p w14:paraId="429BE938">
      <w:pPr>
        <w:tabs>
          <w:tab w:val="left" w:pos="280"/>
        </w:tabs>
        <w:bidi w:val="0"/>
        <w:jc w:val="left"/>
        <w:rPr>
          <w:rFonts w:hint="eastAsia" w:eastAsia="宋体"/>
          <w:sz w:val="30"/>
          <w:szCs w:val="30"/>
          <w:lang w:eastAsia="zh-CN"/>
        </w:rPr>
      </w:pPr>
    </w:p>
    <w:p w14:paraId="7CE30BAB">
      <w:pPr>
        <w:tabs>
          <w:tab w:val="left" w:pos="280"/>
        </w:tabs>
        <w:bidi w:val="0"/>
        <w:jc w:val="left"/>
        <w:rPr>
          <w:rFonts w:hint="eastAsia" w:eastAsia="宋体"/>
          <w:sz w:val="30"/>
          <w:szCs w:val="30"/>
          <w:lang w:eastAsia="zh-CN"/>
        </w:rPr>
      </w:pPr>
      <w:r>
        <w:rPr>
          <w:rFonts w:hint="eastAsia" w:eastAsia="宋体"/>
          <w:sz w:val="30"/>
          <w:szCs w:val="30"/>
          <w:lang w:eastAsia="zh-CN"/>
        </w:rPr>
        <w:t>As for the year of their “pilgrimage” over the waters, this appears to correspond to the time between Christ’s first and second advents, the time when God’s wayfaring people are safely shut in with their Comforter and King (Eph. 2:6).</w:t>
      </w:r>
    </w:p>
    <w:p w14:paraId="197615F7">
      <w:pPr>
        <w:tabs>
          <w:tab w:val="left" w:pos="280"/>
        </w:tabs>
        <w:bidi w:val="0"/>
        <w:jc w:val="left"/>
        <w:rPr>
          <w:rFonts w:hint="eastAsia" w:eastAsia="宋体"/>
          <w:sz w:val="30"/>
          <w:szCs w:val="30"/>
          <w:lang w:eastAsia="zh-CN"/>
        </w:rPr>
      </w:pPr>
      <w:r>
        <w:rPr>
          <w:rFonts w:hint="eastAsia" w:eastAsia="宋体"/>
          <w:sz w:val="30"/>
          <w:szCs w:val="30"/>
          <w:lang w:eastAsia="zh-CN"/>
        </w:rPr>
        <w:t>至于他们在水上“寄居”的一年，这似乎对应于基督第一次和第二次降临之间的时间，即上帝的行路子民与他们的保惠师和君王安全地被关在一起的时间（弗 2:6）。</w:t>
      </w:r>
    </w:p>
    <w:p w14:paraId="3688763D">
      <w:pPr>
        <w:tabs>
          <w:tab w:val="left" w:pos="280"/>
        </w:tabs>
        <w:bidi w:val="0"/>
        <w:jc w:val="left"/>
        <w:rPr>
          <w:rFonts w:hint="eastAsia" w:eastAsia="宋体"/>
          <w:sz w:val="30"/>
          <w:szCs w:val="30"/>
          <w:lang w:eastAsia="zh-CN"/>
        </w:rPr>
      </w:pPr>
    </w:p>
    <w:p w14:paraId="6DC1E0AC">
      <w:pPr>
        <w:tabs>
          <w:tab w:val="left" w:pos="280"/>
        </w:tabs>
        <w:bidi w:val="0"/>
        <w:jc w:val="left"/>
        <w:rPr>
          <w:rFonts w:hint="eastAsia" w:eastAsia="宋体"/>
          <w:sz w:val="30"/>
          <w:szCs w:val="30"/>
          <w:lang w:eastAsia="zh-CN"/>
        </w:rPr>
      </w:pPr>
      <w:r>
        <w:rPr>
          <w:rFonts w:hint="eastAsia" w:eastAsia="宋体"/>
          <w:sz w:val="30"/>
          <w:szCs w:val="30"/>
          <w:lang w:eastAsia="zh-CN"/>
        </w:rPr>
        <w:t>It is the time when he lovingly nourishes them from his heavenly stores (Rev. 12:6), and when he bids them patiently serve and wait until the happy Day when he himself will descend with them onto the eschatological mountain of God (Gen. 8:4, John 5:24, Rev. 21:1f).</w:t>
      </w:r>
    </w:p>
    <w:p w14:paraId="336BACB9">
      <w:pPr>
        <w:tabs>
          <w:tab w:val="left" w:pos="280"/>
        </w:tabs>
        <w:bidi w:val="0"/>
        <w:jc w:val="left"/>
        <w:rPr>
          <w:rFonts w:hint="eastAsia" w:eastAsia="宋体"/>
          <w:sz w:val="30"/>
          <w:szCs w:val="30"/>
          <w:lang w:eastAsia="zh-CN"/>
        </w:rPr>
      </w:pPr>
      <w:r>
        <w:rPr>
          <w:rFonts w:hint="eastAsia" w:eastAsia="宋体"/>
          <w:sz w:val="30"/>
          <w:szCs w:val="30"/>
          <w:lang w:eastAsia="zh-CN"/>
        </w:rPr>
        <w:t>这是祂用祂天上的储备慈爱地喂养他们的时候（启 12:6），也是祂吩咐他们耐心服事和等候，直到那个快乐的日子，那时祂自己将与他们一同降临到末世的上帝之山（创 8:4, 约 5:24, 启 21:1f）。</w:t>
      </w:r>
    </w:p>
    <w:p w14:paraId="2438A42B">
      <w:pPr>
        <w:tabs>
          <w:tab w:val="left" w:pos="280"/>
        </w:tabs>
        <w:bidi w:val="0"/>
        <w:jc w:val="left"/>
        <w:rPr>
          <w:rFonts w:hint="eastAsia" w:eastAsia="宋体"/>
          <w:sz w:val="30"/>
          <w:szCs w:val="30"/>
          <w:lang w:eastAsia="zh-CN"/>
        </w:rPr>
      </w:pPr>
    </w:p>
    <w:p w14:paraId="66070898">
      <w:pPr>
        <w:tabs>
          <w:tab w:val="left" w:pos="280"/>
        </w:tabs>
        <w:bidi w:val="0"/>
        <w:jc w:val="left"/>
        <w:rPr>
          <w:rFonts w:hint="eastAsia" w:eastAsia="宋体"/>
          <w:sz w:val="30"/>
          <w:szCs w:val="30"/>
          <w:lang w:eastAsia="zh-CN"/>
        </w:rPr>
      </w:pPr>
      <w:r>
        <w:rPr>
          <w:rFonts w:hint="eastAsia" w:eastAsia="宋体"/>
          <w:sz w:val="30"/>
          <w:szCs w:val="30"/>
          <w:lang w:eastAsia="zh-CN"/>
        </w:rPr>
        <w:t>In sum, by richly picturing the several elements of the Eternal Covenant, the Flood narrative also pictures the coming of a two-staged Kingdom of God—and the coming of the One whom God has seated as King over every flood (Psalm 29:10).</w:t>
      </w:r>
    </w:p>
    <w:p w14:paraId="29CF67AD">
      <w:pPr>
        <w:tabs>
          <w:tab w:val="left" w:pos="280"/>
        </w:tabs>
        <w:bidi w:val="0"/>
        <w:jc w:val="left"/>
        <w:rPr>
          <w:rFonts w:hint="eastAsia" w:eastAsia="宋体"/>
          <w:sz w:val="30"/>
          <w:szCs w:val="30"/>
          <w:lang w:eastAsia="zh-CN"/>
        </w:rPr>
      </w:pPr>
      <w:r>
        <w:rPr>
          <w:rFonts w:hint="eastAsia" w:eastAsia="宋体"/>
          <w:sz w:val="30"/>
          <w:szCs w:val="30"/>
          <w:lang w:eastAsia="zh-CN"/>
        </w:rPr>
        <w:t>总而言之，通过丰富地描绘永恒之约的几个要素，洪水的故事也描绘了一个分两阶段降临的上帝之国——以及那位被上帝立为王、掌管诸水者的降临（诗篇 29:10）。</w:t>
      </w:r>
    </w:p>
    <w:p w14:paraId="26BB1CDA">
      <w:pPr>
        <w:tabs>
          <w:tab w:val="left" w:pos="280"/>
        </w:tabs>
        <w:bidi w:val="0"/>
        <w:jc w:val="left"/>
        <w:rPr>
          <w:rFonts w:hint="eastAsia" w:eastAsia="宋体"/>
          <w:sz w:val="30"/>
          <w:szCs w:val="30"/>
          <w:lang w:eastAsia="zh-CN"/>
        </w:rPr>
      </w:pPr>
    </w:p>
    <w:p w14:paraId="3CDA51C9">
      <w:pPr>
        <w:tabs>
          <w:tab w:val="left" w:pos="280"/>
        </w:tabs>
        <w:bidi w:val="0"/>
        <w:jc w:val="left"/>
        <w:rPr>
          <w:rFonts w:hint="eastAsia" w:eastAsia="宋体"/>
          <w:sz w:val="30"/>
          <w:szCs w:val="30"/>
          <w:lang w:eastAsia="zh-CN"/>
        </w:rPr>
      </w:pPr>
      <w:r>
        <w:rPr>
          <w:rFonts w:hint="eastAsia" w:eastAsia="宋体"/>
          <w:sz w:val="30"/>
          <w:szCs w:val="30"/>
          <w:lang w:eastAsia="zh-CN"/>
        </w:rPr>
        <w:t>The Kingdom and the Covenant with Abraham</w:t>
      </w:r>
    </w:p>
    <w:p w14:paraId="7F75D5C0">
      <w:pPr>
        <w:tabs>
          <w:tab w:val="left" w:pos="280"/>
        </w:tabs>
        <w:bidi w:val="0"/>
        <w:jc w:val="left"/>
        <w:rPr>
          <w:rFonts w:hint="eastAsia" w:eastAsia="宋体"/>
          <w:sz w:val="30"/>
          <w:szCs w:val="30"/>
          <w:lang w:eastAsia="zh-CN"/>
        </w:rPr>
      </w:pPr>
      <w:r>
        <w:rPr>
          <w:rFonts w:hint="eastAsia" w:eastAsia="宋体"/>
          <w:sz w:val="30"/>
          <w:szCs w:val="30"/>
          <w:lang w:eastAsia="zh-CN"/>
        </w:rPr>
        <w:t>国度与亚伯拉罕之约</w:t>
      </w:r>
    </w:p>
    <w:p w14:paraId="35C016FB">
      <w:pPr>
        <w:tabs>
          <w:tab w:val="left" w:pos="280"/>
        </w:tabs>
        <w:bidi w:val="0"/>
        <w:jc w:val="left"/>
        <w:rPr>
          <w:rFonts w:hint="eastAsia" w:eastAsia="宋体"/>
          <w:sz w:val="30"/>
          <w:szCs w:val="30"/>
          <w:lang w:eastAsia="zh-CN"/>
        </w:rPr>
      </w:pPr>
    </w:p>
    <w:p w14:paraId="0BA6F294">
      <w:pPr>
        <w:tabs>
          <w:tab w:val="left" w:pos="280"/>
        </w:tabs>
        <w:bidi w:val="0"/>
        <w:jc w:val="left"/>
        <w:rPr>
          <w:rFonts w:hint="eastAsia" w:eastAsia="宋体"/>
          <w:sz w:val="30"/>
          <w:szCs w:val="30"/>
          <w:lang w:eastAsia="zh-CN"/>
        </w:rPr>
      </w:pPr>
      <w:r>
        <w:rPr>
          <w:rFonts w:hint="eastAsia" w:eastAsia="宋体"/>
          <w:sz w:val="30"/>
          <w:szCs w:val="30"/>
          <w:lang w:eastAsia="zh-CN"/>
        </w:rPr>
        <w:t>(Genesis 12-25)</w:t>
      </w:r>
    </w:p>
    <w:p w14:paraId="0302EED7">
      <w:pPr>
        <w:tabs>
          <w:tab w:val="left" w:pos="280"/>
        </w:tabs>
        <w:bidi w:val="0"/>
        <w:jc w:val="left"/>
        <w:rPr>
          <w:rFonts w:hint="eastAsia" w:eastAsia="宋体"/>
          <w:sz w:val="30"/>
          <w:szCs w:val="30"/>
          <w:lang w:eastAsia="zh-CN"/>
        </w:rPr>
      </w:pPr>
      <w:r>
        <w:rPr>
          <w:rFonts w:hint="eastAsia" w:eastAsia="宋体"/>
          <w:sz w:val="30"/>
          <w:szCs w:val="30"/>
          <w:lang w:eastAsia="zh-CN"/>
        </w:rPr>
        <w:t>（创世记 12-25）</w:t>
      </w:r>
    </w:p>
    <w:p w14:paraId="4F6FB3DC">
      <w:pPr>
        <w:tabs>
          <w:tab w:val="left" w:pos="280"/>
        </w:tabs>
        <w:bidi w:val="0"/>
        <w:jc w:val="left"/>
        <w:rPr>
          <w:rFonts w:hint="eastAsia" w:eastAsia="宋体"/>
          <w:sz w:val="30"/>
          <w:szCs w:val="30"/>
          <w:lang w:eastAsia="zh-CN"/>
        </w:rPr>
      </w:pPr>
    </w:p>
    <w:p w14:paraId="7C9E10BD">
      <w:pPr>
        <w:tabs>
          <w:tab w:val="left" w:pos="280"/>
        </w:tabs>
        <w:bidi w:val="0"/>
        <w:jc w:val="left"/>
        <w:rPr>
          <w:rFonts w:hint="eastAsia" w:eastAsia="宋体"/>
          <w:sz w:val="30"/>
          <w:szCs w:val="30"/>
          <w:lang w:eastAsia="zh-CN"/>
        </w:rPr>
      </w:pPr>
      <w:r>
        <w:rPr>
          <w:rFonts w:hint="eastAsia" w:eastAsia="宋体"/>
          <w:sz w:val="30"/>
          <w:szCs w:val="30"/>
          <w:lang w:eastAsia="zh-CN"/>
        </w:rPr>
        <w:t>In the Adamic Covenant, God promised to send a Seed who would do battle with the serpent, overthrow his evil works, and create a spiritual family loyal to the LORD and hostile to his perennial foe.</w:t>
      </w:r>
    </w:p>
    <w:p w14:paraId="54260E4D">
      <w:pPr>
        <w:tabs>
          <w:tab w:val="left" w:pos="280"/>
        </w:tabs>
        <w:bidi w:val="0"/>
        <w:jc w:val="left"/>
        <w:rPr>
          <w:rFonts w:hint="eastAsia" w:eastAsia="宋体"/>
          <w:sz w:val="30"/>
          <w:szCs w:val="30"/>
          <w:lang w:eastAsia="zh-CN"/>
        </w:rPr>
      </w:pPr>
      <w:r>
        <w:rPr>
          <w:rFonts w:hint="eastAsia" w:eastAsia="宋体"/>
          <w:sz w:val="30"/>
          <w:szCs w:val="30"/>
          <w:lang w:eastAsia="zh-CN"/>
        </w:rPr>
        <w:t>在亚当之约中，上帝应许派遣一位后裔，祂将与蛇争战，推翻他邪恶的作为，并创造一个忠于主、敌视祂永恒仇敌的属灵家庭。</w:t>
      </w:r>
    </w:p>
    <w:p w14:paraId="06B253AD">
      <w:pPr>
        <w:tabs>
          <w:tab w:val="left" w:pos="280"/>
        </w:tabs>
        <w:bidi w:val="0"/>
        <w:jc w:val="left"/>
        <w:rPr>
          <w:rFonts w:hint="eastAsia" w:eastAsia="宋体"/>
          <w:sz w:val="30"/>
          <w:szCs w:val="30"/>
          <w:lang w:eastAsia="zh-CN"/>
        </w:rPr>
      </w:pPr>
    </w:p>
    <w:p w14:paraId="65296FB9">
      <w:pPr>
        <w:tabs>
          <w:tab w:val="left" w:pos="280"/>
        </w:tabs>
        <w:bidi w:val="0"/>
        <w:jc w:val="left"/>
        <w:rPr>
          <w:rFonts w:hint="eastAsia" w:eastAsia="宋体"/>
          <w:sz w:val="30"/>
          <w:szCs w:val="30"/>
          <w:lang w:eastAsia="zh-CN"/>
        </w:rPr>
      </w:pPr>
      <w:r>
        <w:rPr>
          <w:rFonts w:hint="eastAsia" w:eastAsia="宋体"/>
          <w:sz w:val="30"/>
          <w:szCs w:val="30"/>
          <w:lang w:eastAsia="zh-CN"/>
        </w:rPr>
        <w:t>In the Abrahamic Covenant, he republishes this promise, albeit in a more elaborate manner.</w:t>
      </w:r>
    </w:p>
    <w:p w14:paraId="77251BD7">
      <w:pPr>
        <w:tabs>
          <w:tab w:val="left" w:pos="280"/>
        </w:tabs>
        <w:bidi w:val="0"/>
        <w:jc w:val="left"/>
        <w:rPr>
          <w:rFonts w:hint="eastAsia" w:eastAsia="宋体"/>
          <w:sz w:val="30"/>
          <w:szCs w:val="30"/>
          <w:lang w:eastAsia="zh-CN"/>
        </w:rPr>
      </w:pPr>
      <w:r>
        <w:rPr>
          <w:rFonts w:hint="eastAsia" w:eastAsia="宋体"/>
          <w:sz w:val="30"/>
          <w:szCs w:val="30"/>
          <w:lang w:eastAsia="zh-CN"/>
        </w:rPr>
        <w:t>在亚伯拉罕之约中，祂再次颁布这个应许，尽管方式更为详尽。</w:t>
      </w:r>
    </w:p>
    <w:p w14:paraId="1BCD01FB">
      <w:pPr>
        <w:tabs>
          <w:tab w:val="left" w:pos="280"/>
        </w:tabs>
        <w:bidi w:val="0"/>
        <w:jc w:val="left"/>
        <w:rPr>
          <w:rFonts w:hint="eastAsia" w:eastAsia="宋体"/>
          <w:sz w:val="30"/>
          <w:szCs w:val="30"/>
          <w:lang w:eastAsia="zh-CN"/>
        </w:rPr>
      </w:pPr>
    </w:p>
    <w:p w14:paraId="0EE3FD46">
      <w:pPr>
        <w:tabs>
          <w:tab w:val="left" w:pos="280"/>
        </w:tabs>
        <w:bidi w:val="0"/>
        <w:jc w:val="left"/>
        <w:rPr>
          <w:rFonts w:hint="eastAsia" w:eastAsia="宋体"/>
          <w:sz w:val="30"/>
          <w:szCs w:val="30"/>
          <w:lang w:eastAsia="zh-CN"/>
        </w:rPr>
      </w:pPr>
      <w:r>
        <w:rPr>
          <w:rFonts w:hint="eastAsia" w:eastAsia="宋体"/>
          <w:sz w:val="30"/>
          <w:szCs w:val="30"/>
          <w:lang w:eastAsia="zh-CN"/>
        </w:rPr>
        <w:t>In particular, he now creates a chosen family—soon to be become a chosen nation—through which the Seed and Redeemer will one day be born, and which itself is a picture of the eternal family that God will create through the Redeemer’s work.</w:t>
      </w:r>
    </w:p>
    <w:p w14:paraId="22051520">
      <w:pPr>
        <w:tabs>
          <w:tab w:val="left" w:pos="280"/>
        </w:tabs>
        <w:bidi w:val="0"/>
        <w:jc w:val="left"/>
        <w:rPr>
          <w:rFonts w:hint="eastAsia" w:eastAsia="宋体"/>
          <w:sz w:val="30"/>
          <w:szCs w:val="30"/>
          <w:lang w:eastAsia="zh-CN"/>
        </w:rPr>
      </w:pPr>
      <w:r>
        <w:rPr>
          <w:rFonts w:hint="eastAsia" w:eastAsia="宋体"/>
          <w:sz w:val="30"/>
          <w:szCs w:val="30"/>
          <w:lang w:eastAsia="zh-CN"/>
        </w:rPr>
        <w:t>具体来说，祂现在创造了一个蒙拣选的家族——很快将成为一个蒙拣选的国家——后裔和救赎主有一天将藉此而生，而这个家族本身就是上帝将藉着救赎主的工作创造的永恒家庭的一幅图画。</w:t>
      </w:r>
    </w:p>
    <w:p w14:paraId="2BCF143B">
      <w:pPr>
        <w:tabs>
          <w:tab w:val="left" w:pos="280"/>
        </w:tabs>
        <w:bidi w:val="0"/>
        <w:jc w:val="left"/>
        <w:rPr>
          <w:rFonts w:hint="eastAsia" w:eastAsia="宋体"/>
          <w:sz w:val="30"/>
          <w:szCs w:val="30"/>
          <w:lang w:eastAsia="zh-CN"/>
        </w:rPr>
      </w:pPr>
    </w:p>
    <w:p w14:paraId="7A7F8E5E">
      <w:pPr>
        <w:tabs>
          <w:tab w:val="left" w:pos="280"/>
        </w:tabs>
        <w:bidi w:val="0"/>
        <w:jc w:val="left"/>
        <w:rPr>
          <w:rFonts w:hint="eastAsia" w:eastAsia="宋体"/>
          <w:sz w:val="30"/>
          <w:szCs w:val="30"/>
          <w:lang w:eastAsia="zh-CN"/>
        </w:rPr>
      </w:pPr>
      <w:r>
        <w:rPr>
          <w:rFonts w:hint="eastAsia" w:eastAsia="宋体"/>
          <w:sz w:val="30"/>
          <w:szCs w:val="30"/>
          <w:lang w:eastAsia="zh-CN"/>
        </w:rPr>
        <w:t>Moreover, for the first time in Salvation History, God formally enters into covenant with this family in the person of father Abraham, its physical and spiritual head.</w:t>
      </w:r>
    </w:p>
    <w:p w14:paraId="2683CC1B">
      <w:pPr>
        <w:tabs>
          <w:tab w:val="left" w:pos="280"/>
        </w:tabs>
        <w:bidi w:val="0"/>
        <w:jc w:val="left"/>
        <w:rPr>
          <w:rFonts w:hint="eastAsia" w:eastAsia="宋体"/>
          <w:sz w:val="30"/>
          <w:szCs w:val="30"/>
          <w:lang w:eastAsia="zh-CN"/>
        </w:rPr>
      </w:pPr>
      <w:r>
        <w:rPr>
          <w:rFonts w:hint="eastAsia" w:eastAsia="宋体"/>
          <w:sz w:val="30"/>
          <w:szCs w:val="30"/>
          <w:lang w:eastAsia="zh-CN"/>
        </w:rPr>
        <w:t>此外，在救赎历史中，上帝首次以父亲亚伯拉罕——其肉身和属灵的元首——的位格，正式与这个家族立约。</w:t>
      </w:r>
    </w:p>
    <w:p w14:paraId="5F2D4B5E">
      <w:pPr>
        <w:tabs>
          <w:tab w:val="left" w:pos="280"/>
        </w:tabs>
        <w:bidi w:val="0"/>
        <w:jc w:val="left"/>
        <w:rPr>
          <w:rFonts w:hint="eastAsia" w:eastAsia="宋体"/>
          <w:sz w:val="30"/>
          <w:szCs w:val="30"/>
          <w:lang w:eastAsia="zh-CN"/>
        </w:rPr>
      </w:pPr>
    </w:p>
    <w:p w14:paraId="223C2641">
      <w:pPr>
        <w:tabs>
          <w:tab w:val="left" w:pos="280"/>
        </w:tabs>
        <w:bidi w:val="0"/>
        <w:jc w:val="left"/>
        <w:rPr>
          <w:rFonts w:hint="eastAsia" w:eastAsia="宋体"/>
          <w:sz w:val="30"/>
          <w:szCs w:val="30"/>
          <w:lang w:eastAsia="zh-CN"/>
        </w:rPr>
      </w:pPr>
      <w:r>
        <w:rPr>
          <w:rFonts w:hint="eastAsia" w:eastAsia="宋体"/>
          <w:sz w:val="30"/>
          <w:szCs w:val="30"/>
          <w:lang w:eastAsia="zh-CN"/>
        </w:rPr>
        <w:t>In short, with Abraham God once again administers the Eternal Covenant (EC) in type and shadow, even as he formally creates a chosen family through whom he will one day bring that covenant into the world.</w:t>
      </w:r>
    </w:p>
    <w:p w14:paraId="58115133">
      <w:pPr>
        <w:tabs>
          <w:tab w:val="left" w:pos="280"/>
        </w:tabs>
        <w:bidi w:val="0"/>
        <w:jc w:val="left"/>
        <w:rPr>
          <w:rFonts w:hint="eastAsia" w:eastAsia="宋体"/>
          <w:sz w:val="30"/>
          <w:szCs w:val="30"/>
          <w:lang w:eastAsia="zh-CN"/>
        </w:rPr>
      </w:pPr>
      <w:r>
        <w:rPr>
          <w:rFonts w:hint="eastAsia" w:eastAsia="宋体"/>
          <w:sz w:val="30"/>
          <w:szCs w:val="30"/>
          <w:lang w:eastAsia="zh-CN"/>
        </w:rPr>
        <w:t>简而言之，上帝再次藉着亚伯拉罕，以预表和影像的方式施行永恒之约（EC），同时祂也正式创造了一个蒙拣选的家族，祂将来有一天会藉着这个家族将那约带入世界。</w:t>
      </w:r>
    </w:p>
    <w:p w14:paraId="2CFB48DF">
      <w:pPr>
        <w:tabs>
          <w:tab w:val="left" w:pos="280"/>
        </w:tabs>
        <w:bidi w:val="0"/>
        <w:jc w:val="left"/>
        <w:rPr>
          <w:rFonts w:hint="eastAsia" w:eastAsia="宋体"/>
          <w:sz w:val="30"/>
          <w:szCs w:val="30"/>
          <w:lang w:eastAsia="zh-CN"/>
        </w:rPr>
      </w:pPr>
    </w:p>
    <w:p w14:paraId="6A4B4A1F">
      <w:pPr>
        <w:tabs>
          <w:tab w:val="left" w:pos="280"/>
        </w:tabs>
        <w:bidi w:val="0"/>
        <w:jc w:val="left"/>
        <w:rPr>
          <w:rFonts w:hint="eastAsia" w:eastAsia="宋体"/>
          <w:sz w:val="30"/>
          <w:szCs w:val="30"/>
          <w:lang w:eastAsia="zh-CN"/>
        </w:rPr>
      </w:pPr>
      <w:r>
        <w:rPr>
          <w:rFonts w:hint="eastAsia" w:eastAsia="宋体"/>
          <w:sz w:val="30"/>
          <w:szCs w:val="30"/>
          <w:lang w:eastAsia="zh-CN"/>
        </w:rPr>
        <w:t>To understand all this better, let us again look briefly at the elements of the Abrahamic Covenant, and also at the many ways in which it promises and pictures the Kingdom of God.</w:t>
      </w:r>
    </w:p>
    <w:p w14:paraId="3EAC6A69">
      <w:pPr>
        <w:tabs>
          <w:tab w:val="left" w:pos="280"/>
        </w:tabs>
        <w:bidi w:val="0"/>
        <w:jc w:val="left"/>
        <w:rPr>
          <w:rFonts w:hint="eastAsia" w:eastAsia="宋体"/>
          <w:sz w:val="30"/>
          <w:szCs w:val="30"/>
          <w:lang w:eastAsia="zh-CN"/>
        </w:rPr>
      </w:pPr>
      <w:r>
        <w:rPr>
          <w:rFonts w:hint="eastAsia" w:eastAsia="宋体"/>
          <w:sz w:val="30"/>
          <w:szCs w:val="30"/>
          <w:lang w:eastAsia="zh-CN"/>
        </w:rPr>
        <w:t>为了更好地理解这一切，让我们再次简要地看看亚伯拉罕之约的要素，以及它在许多方面应许和描绘上帝之国的方式。</w:t>
      </w:r>
    </w:p>
    <w:p w14:paraId="08E00A56">
      <w:pPr>
        <w:tabs>
          <w:tab w:val="left" w:pos="280"/>
        </w:tabs>
        <w:bidi w:val="0"/>
        <w:jc w:val="left"/>
        <w:rPr>
          <w:rFonts w:hint="eastAsia" w:eastAsia="宋体"/>
          <w:sz w:val="30"/>
          <w:szCs w:val="30"/>
          <w:lang w:eastAsia="zh-CN"/>
        </w:rPr>
      </w:pPr>
    </w:p>
    <w:p w14:paraId="61A912A3">
      <w:pPr>
        <w:tabs>
          <w:tab w:val="left" w:pos="280"/>
        </w:tabs>
        <w:bidi w:val="0"/>
        <w:jc w:val="left"/>
        <w:rPr>
          <w:rFonts w:hint="eastAsia" w:eastAsia="宋体"/>
          <w:sz w:val="30"/>
          <w:szCs w:val="30"/>
          <w:lang w:eastAsia="zh-CN"/>
        </w:rPr>
      </w:pPr>
      <w:r>
        <w:rPr>
          <w:rFonts w:hint="eastAsia" w:eastAsia="宋体"/>
          <w:sz w:val="30"/>
          <w:szCs w:val="30"/>
          <w:lang w:eastAsia="zh-CN"/>
        </w:rPr>
        <w:t>In this covenant, the divine party, and the one who sovereignly initiates it, is the LORD.</w:t>
      </w:r>
    </w:p>
    <w:p w14:paraId="1BB66C5C">
      <w:pPr>
        <w:tabs>
          <w:tab w:val="left" w:pos="280"/>
        </w:tabs>
        <w:bidi w:val="0"/>
        <w:jc w:val="left"/>
        <w:rPr>
          <w:rFonts w:hint="eastAsia" w:eastAsia="宋体"/>
          <w:sz w:val="30"/>
          <w:szCs w:val="30"/>
          <w:lang w:eastAsia="zh-CN"/>
        </w:rPr>
      </w:pPr>
      <w:r>
        <w:rPr>
          <w:rFonts w:hint="eastAsia" w:eastAsia="宋体"/>
          <w:sz w:val="30"/>
          <w:szCs w:val="30"/>
          <w:lang w:eastAsia="zh-CN"/>
        </w:rPr>
        <w:t>在这个约中，神圣的一方，以及主权地发起它的一方，是主。</w:t>
      </w:r>
    </w:p>
    <w:p w14:paraId="0CD43900">
      <w:pPr>
        <w:tabs>
          <w:tab w:val="left" w:pos="280"/>
        </w:tabs>
        <w:bidi w:val="0"/>
        <w:jc w:val="left"/>
        <w:rPr>
          <w:rFonts w:hint="eastAsia" w:eastAsia="宋体"/>
          <w:sz w:val="30"/>
          <w:szCs w:val="30"/>
          <w:lang w:eastAsia="zh-CN"/>
        </w:rPr>
      </w:pPr>
    </w:p>
    <w:p w14:paraId="6DA58FD1">
      <w:pPr>
        <w:tabs>
          <w:tab w:val="left" w:pos="280"/>
        </w:tabs>
        <w:bidi w:val="0"/>
        <w:jc w:val="left"/>
        <w:rPr>
          <w:rFonts w:hint="eastAsia" w:eastAsia="宋体"/>
          <w:sz w:val="30"/>
          <w:szCs w:val="30"/>
          <w:lang w:eastAsia="zh-CN"/>
        </w:rPr>
      </w:pPr>
      <w:r>
        <w:rPr>
          <w:rFonts w:hint="eastAsia" w:eastAsia="宋体"/>
          <w:sz w:val="30"/>
          <w:szCs w:val="30"/>
          <w:lang w:eastAsia="zh-CN"/>
        </w:rPr>
        <w:t>The human party is Abraham and his seed, yet only those of Abraham’s seed whose descent is through the elect son, Isaac (Genesis 17:1f, 21:12).</w:t>
      </w:r>
    </w:p>
    <w:p w14:paraId="346CA467">
      <w:pPr>
        <w:tabs>
          <w:tab w:val="left" w:pos="280"/>
        </w:tabs>
        <w:bidi w:val="0"/>
        <w:jc w:val="left"/>
        <w:rPr>
          <w:rFonts w:hint="eastAsia" w:eastAsia="宋体"/>
          <w:sz w:val="30"/>
          <w:szCs w:val="30"/>
          <w:lang w:eastAsia="zh-CN"/>
        </w:rPr>
      </w:pPr>
      <w:r>
        <w:rPr>
          <w:rFonts w:hint="eastAsia" w:eastAsia="宋体"/>
          <w:sz w:val="30"/>
          <w:szCs w:val="30"/>
          <w:lang w:eastAsia="zh-CN"/>
        </w:rPr>
        <w:t>人类的一方是亚伯拉罕和他的后裔，但仅限于亚伯拉罕后裔中通过蒙拣选的儿子以撒传承的那些人（创世记 17:1f, 21:12）。</w:t>
      </w:r>
    </w:p>
    <w:p w14:paraId="1952F6EF">
      <w:pPr>
        <w:tabs>
          <w:tab w:val="left" w:pos="280"/>
        </w:tabs>
        <w:bidi w:val="0"/>
        <w:jc w:val="left"/>
        <w:rPr>
          <w:rFonts w:hint="eastAsia" w:eastAsia="宋体"/>
          <w:sz w:val="30"/>
          <w:szCs w:val="30"/>
          <w:lang w:eastAsia="zh-CN"/>
        </w:rPr>
      </w:pPr>
    </w:p>
    <w:p w14:paraId="4DF82900">
      <w:pPr>
        <w:tabs>
          <w:tab w:val="left" w:pos="280"/>
        </w:tabs>
        <w:bidi w:val="0"/>
        <w:jc w:val="left"/>
        <w:rPr>
          <w:rFonts w:hint="eastAsia" w:eastAsia="宋体"/>
          <w:sz w:val="30"/>
          <w:szCs w:val="30"/>
          <w:lang w:eastAsia="zh-CN"/>
        </w:rPr>
      </w:pPr>
      <w:r>
        <w:rPr>
          <w:rFonts w:hint="eastAsia" w:eastAsia="宋体"/>
          <w:sz w:val="30"/>
          <w:szCs w:val="30"/>
          <w:lang w:eastAsia="zh-CN"/>
        </w:rPr>
        <w:t>Until the coming of Christ, God will stand in a formal covenant relationship with this new family: with Abraham, Isaac, and Jacob/Israel, and the twelve tribes flowing from Israel’s loins.</w:t>
      </w:r>
    </w:p>
    <w:p w14:paraId="11793EF5">
      <w:pPr>
        <w:tabs>
          <w:tab w:val="left" w:pos="280"/>
        </w:tabs>
        <w:bidi w:val="0"/>
        <w:jc w:val="left"/>
        <w:rPr>
          <w:rFonts w:hint="eastAsia" w:eastAsia="宋体"/>
          <w:sz w:val="30"/>
          <w:szCs w:val="30"/>
          <w:lang w:eastAsia="zh-CN"/>
        </w:rPr>
      </w:pPr>
      <w:r>
        <w:rPr>
          <w:rFonts w:hint="eastAsia" w:eastAsia="宋体"/>
          <w:sz w:val="30"/>
          <w:szCs w:val="30"/>
          <w:lang w:eastAsia="zh-CN"/>
        </w:rPr>
        <w:t>直到基督降临，上帝将与这个新家族保持正式的立约关系：与亚伯拉罕、以撒和雅各/以色列，以及从以色列腰中出来的十二支派。</w:t>
      </w:r>
    </w:p>
    <w:p w14:paraId="3D4DD7EC">
      <w:pPr>
        <w:tabs>
          <w:tab w:val="left" w:pos="280"/>
        </w:tabs>
        <w:bidi w:val="0"/>
        <w:jc w:val="left"/>
        <w:rPr>
          <w:rFonts w:hint="eastAsia" w:eastAsia="宋体"/>
          <w:sz w:val="30"/>
          <w:szCs w:val="30"/>
          <w:lang w:eastAsia="zh-CN"/>
        </w:rPr>
      </w:pPr>
    </w:p>
    <w:p w14:paraId="473AA64B">
      <w:pPr>
        <w:tabs>
          <w:tab w:val="left" w:pos="280"/>
        </w:tabs>
        <w:bidi w:val="0"/>
        <w:jc w:val="left"/>
        <w:rPr>
          <w:rFonts w:hint="eastAsia" w:eastAsia="宋体"/>
          <w:sz w:val="30"/>
          <w:szCs w:val="30"/>
          <w:lang w:eastAsia="zh-CN"/>
        </w:rPr>
      </w:pPr>
      <w:r>
        <w:rPr>
          <w:rFonts w:hint="eastAsia" w:eastAsia="宋体"/>
          <w:sz w:val="30"/>
          <w:szCs w:val="30"/>
          <w:lang w:eastAsia="zh-CN"/>
        </w:rPr>
        <w:t>Very importantly, in the NT we learn that Abraham’s physical family was actually a picture of God’s spiritual family, of which some, but not all, of Abraham’s physical family were members (Rom. 9:6-8).</w:t>
      </w:r>
    </w:p>
    <w:p w14:paraId="0D1DA8B9">
      <w:pPr>
        <w:tabs>
          <w:tab w:val="left" w:pos="280"/>
        </w:tabs>
        <w:bidi w:val="0"/>
        <w:jc w:val="left"/>
        <w:rPr>
          <w:rFonts w:hint="eastAsia" w:eastAsia="宋体"/>
          <w:sz w:val="30"/>
          <w:szCs w:val="30"/>
          <w:lang w:eastAsia="zh-CN"/>
        </w:rPr>
      </w:pPr>
      <w:r>
        <w:rPr>
          <w:rFonts w:hint="eastAsia" w:eastAsia="宋体"/>
          <w:sz w:val="30"/>
          <w:szCs w:val="30"/>
          <w:lang w:eastAsia="zh-CN"/>
        </w:rPr>
        <w:t>非常重要的是，在新约中我们了解到，亚伯拉罕的肉身家族实际上是上帝属灵家族的一幅图画，亚伯拉罕肉身家族中有些人，但不是所有人，是这个属灵家族的成员（罗 9:6-8）。</w:t>
      </w:r>
    </w:p>
    <w:p w14:paraId="74C5B308">
      <w:pPr>
        <w:tabs>
          <w:tab w:val="left" w:pos="280"/>
        </w:tabs>
        <w:bidi w:val="0"/>
        <w:jc w:val="left"/>
        <w:rPr>
          <w:rFonts w:hint="eastAsia" w:eastAsia="宋体"/>
          <w:sz w:val="30"/>
          <w:szCs w:val="30"/>
          <w:lang w:eastAsia="zh-CN"/>
        </w:rPr>
      </w:pPr>
    </w:p>
    <w:p w14:paraId="27EC8858">
      <w:pPr>
        <w:tabs>
          <w:tab w:val="left" w:pos="280"/>
        </w:tabs>
        <w:bidi w:val="0"/>
        <w:jc w:val="left"/>
        <w:rPr>
          <w:rFonts w:hint="eastAsia" w:eastAsia="宋体"/>
          <w:sz w:val="30"/>
          <w:szCs w:val="30"/>
          <w:lang w:eastAsia="zh-CN"/>
        </w:rPr>
      </w:pPr>
      <w:r>
        <w:rPr>
          <w:rFonts w:hint="eastAsia" w:eastAsia="宋体"/>
          <w:sz w:val="30"/>
          <w:szCs w:val="30"/>
          <w:lang w:eastAsia="zh-CN"/>
        </w:rPr>
        <w:t>It is a picture of the eternal Church, the “called out” ones of all time, both Jew and Gentile.</w:t>
      </w:r>
    </w:p>
    <w:p w14:paraId="743B28F4">
      <w:pPr>
        <w:tabs>
          <w:tab w:val="left" w:pos="280"/>
        </w:tabs>
        <w:bidi w:val="0"/>
        <w:jc w:val="left"/>
        <w:rPr>
          <w:rFonts w:hint="eastAsia" w:eastAsia="宋体"/>
          <w:sz w:val="30"/>
          <w:szCs w:val="30"/>
          <w:lang w:eastAsia="zh-CN"/>
        </w:rPr>
      </w:pPr>
      <w:r>
        <w:rPr>
          <w:rFonts w:hint="eastAsia" w:eastAsia="宋体"/>
          <w:sz w:val="30"/>
          <w:szCs w:val="30"/>
          <w:lang w:eastAsia="zh-CN"/>
        </w:rPr>
        <w:t>它是一幅永恒教会的图画，是历代以来“被呼召出来”的人，包括犹太人和外邦人。</w:t>
      </w:r>
    </w:p>
    <w:p w14:paraId="49E6679B">
      <w:pPr>
        <w:tabs>
          <w:tab w:val="left" w:pos="280"/>
        </w:tabs>
        <w:bidi w:val="0"/>
        <w:jc w:val="left"/>
        <w:rPr>
          <w:rFonts w:hint="eastAsia" w:eastAsia="宋体"/>
          <w:sz w:val="30"/>
          <w:szCs w:val="30"/>
          <w:lang w:eastAsia="zh-CN"/>
        </w:rPr>
      </w:pPr>
    </w:p>
    <w:p w14:paraId="504AA589">
      <w:pPr>
        <w:tabs>
          <w:tab w:val="left" w:pos="280"/>
        </w:tabs>
        <w:bidi w:val="0"/>
        <w:jc w:val="left"/>
        <w:rPr>
          <w:rFonts w:hint="eastAsia" w:eastAsia="宋体"/>
          <w:sz w:val="30"/>
          <w:szCs w:val="30"/>
          <w:lang w:eastAsia="zh-CN"/>
        </w:rPr>
      </w:pPr>
      <w:r>
        <w:rPr>
          <w:rFonts w:hint="eastAsia" w:eastAsia="宋体"/>
          <w:sz w:val="30"/>
          <w:szCs w:val="30"/>
          <w:lang w:eastAsia="zh-CN"/>
        </w:rPr>
        <w:t>Like their father Abraham, they encounter God, believe his promises, and walk with him in faith until they finally enter and dwell in the Promised Land (Mt. 8:1-11, Rom. 4, Gal. 3, Heb. 11:8-16).</w:t>
      </w:r>
    </w:p>
    <w:p w14:paraId="7681E1F1">
      <w:pPr>
        <w:tabs>
          <w:tab w:val="left" w:pos="280"/>
        </w:tabs>
        <w:bidi w:val="0"/>
        <w:jc w:val="left"/>
        <w:rPr>
          <w:rFonts w:hint="eastAsia" w:eastAsia="宋体"/>
          <w:sz w:val="30"/>
          <w:szCs w:val="30"/>
          <w:lang w:eastAsia="zh-CN"/>
        </w:rPr>
      </w:pPr>
      <w:r>
        <w:rPr>
          <w:rFonts w:hint="eastAsia" w:eastAsia="宋体"/>
          <w:sz w:val="30"/>
          <w:szCs w:val="30"/>
          <w:lang w:eastAsia="zh-CN"/>
        </w:rPr>
        <w:t>就像他们的父亚伯拉罕一样，他们遇见上帝，相信祂的应许，并凭信心与祂同行，直到他们最终进入并居住在应许之地（太 8:1-11, 罗 4, 加 3, 来 11:8-16）。</w:t>
      </w:r>
    </w:p>
    <w:p w14:paraId="4481B296">
      <w:pPr>
        <w:tabs>
          <w:tab w:val="left" w:pos="280"/>
        </w:tabs>
        <w:bidi w:val="0"/>
        <w:jc w:val="left"/>
        <w:rPr>
          <w:rFonts w:hint="eastAsia" w:eastAsia="宋体"/>
          <w:sz w:val="30"/>
          <w:szCs w:val="30"/>
          <w:lang w:eastAsia="zh-CN"/>
        </w:rPr>
      </w:pPr>
    </w:p>
    <w:p w14:paraId="2EB2C675">
      <w:pPr>
        <w:tabs>
          <w:tab w:val="left" w:pos="280"/>
        </w:tabs>
        <w:bidi w:val="0"/>
        <w:jc w:val="left"/>
        <w:rPr>
          <w:rFonts w:hint="eastAsia" w:eastAsia="宋体"/>
          <w:sz w:val="30"/>
          <w:szCs w:val="30"/>
          <w:lang w:eastAsia="zh-CN"/>
        </w:rPr>
      </w:pPr>
      <w:r>
        <w:rPr>
          <w:rFonts w:hint="eastAsia" w:eastAsia="宋体"/>
          <w:sz w:val="30"/>
          <w:szCs w:val="30"/>
          <w:lang w:eastAsia="zh-CN"/>
        </w:rPr>
        <w:t>In the days of Abraham, the provision of the Eternal Covenant—which is Christ—was pictured in many different ways.</w:t>
      </w:r>
    </w:p>
    <w:p w14:paraId="1584E492">
      <w:pPr>
        <w:tabs>
          <w:tab w:val="left" w:pos="280"/>
        </w:tabs>
        <w:bidi w:val="0"/>
        <w:jc w:val="left"/>
        <w:rPr>
          <w:rFonts w:hint="eastAsia" w:eastAsia="宋体"/>
          <w:sz w:val="30"/>
          <w:szCs w:val="30"/>
          <w:lang w:eastAsia="zh-CN"/>
        </w:rPr>
      </w:pPr>
      <w:r>
        <w:rPr>
          <w:rFonts w:hint="eastAsia" w:eastAsia="宋体"/>
          <w:sz w:val="30"/>
          <w:szCs w:val="30"/>
          <w:lang w:eastAsia="zh-CN"/>
        </w:rPr>
        <w:t>在亚伯拉罕的时代，永恒之约的预备——即基督——以许多不同的方式被描绘出来。</w:t>
      </w:r>
    </w:p>
    <w:p w14:paraId="5CD57E47">
      <w:pPr>
        <w:tabs>
          <w:tab w:val="left" w:pos="280"/>
        </w:tabs>
        <w:bidi w:val="0"/>
        <w:jc w:val="left"/>
        <w:rPr>
          <w:rFonts w:hint="eastAsia" w:eastAsia="宋体"/>
          <w:sz w:val="30"/>
          <w:szCs w:val="30"/>
          <w:lang w:eastAsia="zh-CN"/>
        </w:rPr>
      </w:pPr>
    </w:p>
    <w:p w14:paraId="21C88BDE">
      <w:pPr>
        <w:tabs>
          <w:tab w:val="left" w:pos="280"/>
        </w:tabs>
        <w:bidi w:val="0"/>
        <w:jc w:val="left"/>
        <w:rPr>
          <w:rFonts w:hint="eastAsia" w:eastAsia="宋体"/>
          <w:sz w:val="30"/>
          <w:szCs w:val="30"/>
          <w:lang w:eastAsia="zh-CN"/>
        </w:rPr>
      </w:pPr>
      <w:r>
        <w:rPr>
          <w:rFonts w:hint="eastAsia" w:eastAsia="宋体"/>
          <w:sz w:val="30"/>
          <w:szCs w:val="30"/>
          <w:lang w:eastAsia="zh-CN"/>
        </w:rPr>
        <w:t>Above all, we see it in Isaac, the miraculously conceived son of Sarah, through whom all the nations of the world will one day be blessed (Gen. 15:4, 17:15-22, 18:1-16, 22:2).</w:t>
      </w:r>
    </w:p>
    <w:p w14:paraId="188CFC51">
      <w:pPr>
        <w:tabs>
          <w:tab w:val="left" w:pos="280"/>
        </w:tabs>
        <w:bidi w:val="0"/>
        <w:jc w:val="left"/>
        <w:rPr>
          <w:rFonts w:hint="eastAsia" w:eastAsia="宋体"/>
          <w:sz w:val="30"/>
          <w:szCs w:val="30"/>
          <w:lang w:eastAsia="zh-CN"/>
        </w:rPr>
      </w:pPr>
      <w:r>
        <w:rPr>
          <w:rFonts w:hint="eastAsia" w:eastAsia="宋体"/>
          <w:sz w:val="30"/>
          <w:szCs w:val="30"/>
          <w:lang w:eastAsia="zh-CN"/>
        </w:rPr>
        <w:t>首先，我们在以撒身上看到它，他是撒拉奇迹般怀上的儿子，世上的万国有一天将藉着他得福（创 15:4, 17:15-22, 18:1-16, 22:2）。</w:t>
      </w:r>
    </w:p>
    <w:p w14:paraId="6457017E">
      <w:pPr>
        <w:tabs>
          <w:tab w:val="left" w:pos="280"/>
        </w:tabs>
        <w:bidi w:val="0"/>
        <w:jc w:val="left"/>
        <w:rPr>
          <w:rFonts w:hint="eastAsia" w:eastAsia="宋体"/>
          <w:sz w:val="30"/>
          <w:szCs w:val="30"/>
          <w:lang w:eastAsia="zh-CN"/>
        </w:rPr>
      </w:pPr>
    </w:p>
    <w:p w14:paraId="721B42BD">
      <w:pPr>
        <w:tabs>
          <w:tab w:val="left" w:pos="280"/>
        </w:tabs>
        <w:bidi w:val="0"/>
        <w:jc w:val="left"/>
        <w:rPr>
          <w:rFonts w:hint="eastAsia" w:eastAsia="宋体"/>
          <w:sz w:val="30"/>
          <w:szCs w:val="30"/>
          <w:lang w:eastAsia="zh-CN"/>
        </w:rPr>
      </w:pPr>
      <w:r>
        <w:rPr>
          <w:rFonts w:hint="eastAsia" w:eastAsia="宋体"/>
          <w:sz w:val="30"/>
          <w:szCs w:val="30"/>
          <w:lang w:eastAsia="zh-CN"/>
        </w:rPr>
        <w:t>We see it in Melchizedek, the priest-king of Salem, who not only blessed Abraham on his victorious return from war, but also his seed, who were “still in his loins” (Gen. 14:18-20, Heb. 7:10).</w:t>
      </w:r>
    </w:p>
    <w:p w14:paraId="247FD795">
      <w:pPr>
        <w:tabs>
          <w:tab w:val="left" w:pos="280"/>
        </w:tabs>
        <w:bidi w:val="0"/>
        <w:jc w:val="left"/>
        <w:rPr>
          <w:rFonts w:hint="eastAsia" w:eastAsia="宋体"/>
          <w:sz w:val="30"/>
          <w:szCs w:val="30"/>
          <w:lang w:eastAsia="zh-CN"/>
        </w:rPr>
      </w:pPr>
      <w:r>
        <w:rPr>
          <w:rFonts w:hint="eastAsia" w:eastAsia="宋体"/>
          <w:sz w:val="30"/>
          <w:szCs w:val="30"/>
          <w:lang w:eastAsia="zh-CN"/>
        </w:rPr>
        <w:t>我们在撒冷王麦基洗德身上看到它，他不仅在亚伯拉罕战胜归来时祝福了他，也祝福了他的后裔，他们“还在他腰中”（创 14:18-20, 来 7:10）。</w:t>
      </w:r>
    </w:p>
    <w:p w14:paraId="4FF97BA5">
      <w:pPr>
        <w:tabs>
          <w:tab w:val="left" w:pos="280"/>
        </w:tabs>
        <w:bidi w:val="0"/>
        <w:jc w:val="left"/>
        <w:rPr>
          <w:rFonts w:hint="eastAsia" w:eastAsia="宋体"/>
          <w:sz w:val="30"/>
          <w:szCs w:val="30"/>
          <w:lang w:eastAsia="zh-CN"/>
        </w:rPr>
      </w:pPr>
    </w:p>
    <w:p w14:paraId="504FE37C">
      <w:pPr>
        <w:tabs>
          <w:tab w:val="left" w:pos="280"/>
        </w:tabs>
        <w:bidi w:val="0"/>
        <w:jc w:val="left"/>
        <w:rPr>
          <w:rFonts w:hint="eastAsia" w:eastAsia="宋体"/>
          <w:sz w:val="30"/>
          <w:szCs w:val="30"/>
          <w:lang w:eastAsia="zh-CN"/>
        </w:rPr>
      </w:pPr>
      <w:r>
        <w:rPr>
          <w:rFonts w:hint="eastAsia" w:eastAsia="宋体"/>
          <w:sz w:val="30"/>
          <w:szCs w:val="30"/>
          <w:lang w:eastAsia="zh-CN"/>
        </w:rPr>
        <w:t>We also see it in the heifer, the goat, and the ram that God told Abraham to kill and cut in two, thereby providing a sacrifice that would enable the LORD to manifest his covenant commitment to his chosen family, Israel (Gen.15:9-21).</w:t>
      </w:r>
    </w:p>
    <w:p w14:paraId="41E74305">
      <w:pPr>
        <w:tabs>
          <w:tab w:val="left" w:pos="280"/>
        </w:tabs>
        <w:bidi w:val="0"/>
        <w:jc w:val="left"/>
        <w:rPr>
          <w:rFonts w:hint="eastAsia" w:eastAsia="宋体"/>
          <w:sz w:val="30"/>
          <w:szCs w:val="30"/>
          <w:lang w:eastAsia="zh-CN"/>
        </w:rPr>
      </w:pPr>
      <w:r>
        <w:rPr>
          <w:rFonts w:hint="eastAsia" w:eastAsia="宋体"/>
          <w:sz w:val="30"/>
          <w:szCs w:val="30"/>
          <w:lang w:eastAsia="zh-CN"/>
        </w:rPr>
        <w:t>我们也看到它在母牛、山羊和公羊身上，上帝告诉亚伯拉罕要宰杀并将它们劈开，从而提供一个献祭，使主能够向祂所拣选的家族以色列彰显祂的立约承诺（创 15:9-21）。</w:t>
      </w:r>
    </w:p>
    <w:p w14:paraId="340D9C9B">
      <w:pPr>
        <w:tabs>
          <w:tab w:val="left" w:pos="280"/>
        </w:tabs>
        <w:bidi w:val="0"/>
        <w:jc w:val="left"/>
        <w:rPr>
          <w:rFonts w:hint="eastAsia" w:eastAsia="宋体"/>
          <w:sz w:val="30"/>
          <w:szCs w:val="30"/>
          <w:lang w:eastAsia="zh-CN"/>
        </w:rPr>
      </w:pPr>
    </w:p>
    <w:p w14:paraId="00FBC6B5">
      <w:pPr>
        <w:tabs>
          <w:tab w:val="left" w:pos="280"/>
        </w:tabs>
        <w:bidi w:val="0"/>
        <w:jc w:val="left"/>
        <w:rPr>
          <w:rFonts w:hint="eastAsia" w:eastAsia="宋体"/>
          <w:sz w:val="30"/>
          <w:szCs w:val="30"/>
          <w:lang w:eastAsia="zh-CN"/>
        </w:rPr>
      </w:pPr>
      <w:r>
        <w:rPr>
          <w:rFonts w:hint="eastAsia" w:eastAsia="宋体"/>
          <w:sz w:val="30"/>
          <w:szCs w:val="30"/>
          <w:lang w:eastAsia="zh-CN"/>
        </w:rPr>
        <w:t>Finally— and quite impressively—we see it in the ram caught by his horns in a thicket on top of Mt. Moriah, a mountain where Isaac (at this point in the story a type of the Church) was spared, and where the ram (a type of Christ) was sacrificed in his place.</w:t>
      </w:r>
    </w:p>
    <w:p w14:paraId="517C24C0">
      <w:pPr>
        <w:tabs>
          <w:tab w:val="left" w:pos="280"/>
        </w:tabs>
        <w:bidi w:val="0"/>
        <w:jc w:val="left"/>
        <w:rPr>
          <w:rFonts w:hint="eastAsia" w:eastAsia="宋体"/>
          <w:sz w:val="30"/>
          <w:szCs w:val="30"/>
          <w:lang w:eastAsia="zh-CN"/>
        </w:rPr>
      </w:pPr>
      <w:r>
        <w:rPr>
          <w:rFonts w:hint="eastAsia" w:eastAsia="宋体"/>
          <w:sz w:val="30"/>
          <w:szCs w:val="30"/>
          <w:lang w:eastAsia="zh-CN"/>
        </w:rPr>
        <w:t>最后——而且非常令人印象深刻——我们在摩利亚山顶上的一只被角卡在灌木丛中的公羊身上看到它，在这座山上，以撒（在故事的这个节点上是教会的预表）得以幸免，而公羊（基督的预表）则代替他被献祭。</w:t>
      </w:r>
    </w:p>
    <w:p w14:paraId="19A90A17">
      <w:pPr>
        <w:tabs>
          <w:tab w:val="left" w:pos="280"/>
        </w:tabs>
        <w:bidi w:val="0"/>
        <w:jc w:val="left"/>
        <w:rPr>
          <w:rFonts w:hint="eastAsia" w:eastAsia="宋体"/>
          <w:sz w:val="30"/>
          <w:szCs w:val="30"/>
          <w:lang w:eastAsia="zh-CN"/>
        </w:rPr>
      </w:pPr>
    </w:p>
    <w:p w14:paraId="5B7C3BD0">
      <w:pPr>
        <w:tabs>
          <w:tab w:val="left" w:pos="280"/>
        </w:tabs>
        <w:bidi w:val="0"/>
        <w:jc w:val="left"/>
        <w:rPr>
          <w:rFonts w:hint="eastAsia" w:eastAsia="宋体"/>
          <w:sz w:val="30"/>
          <w:szCs w:val="30"/>
          <w:lang w:eastAsia="zh-CN"/>
        </w:rPr>
      </w:pPr>
      <w:r>
        <w:rPr>
          <w:rFonts w:hint="eastAsia" w:eastAsia="宋体"/>
          <w:sz w:val="30"/>
          <w:szCs w:val="30"/>
          <w:lang w:eastAsia="zh-CN"/>
        </w:rPr>
        <w:t>Notably, it is the very same mountain upon which, in due season, the LORD himself would provide the one true and eternal sacrifice for the redemption of his worldwide family (Gen. 22, John 5:61, Heb. 11:17-19).</w:t>
      </w:r>
    </w:p>
    <w:p w14:paraId="0D0DCCC7">
      <w:pPr>
        <w:tabs>
          <w:tab w:val="left" w:pos="280"/>
        </w:tabs>
        <w:bidi w:val="0"/>
        <w:jc w:val="left"/>
        <w:rPr>
          <w:rFonts w:hint="eastAsia" w:eastAsia="宋体"/>
          <w:sz w:val="30"/>
          <w:szCs w:val="30"/>
          <w:lang w:eastAsia="zh-CN"/>
        </w:rPr>
      </w:pPr>
      <w:r>
        <w:rPr>
          <w:rFonts w:hint="eastAsia" w:eastAsia="宋体"/>
          <w:sz w:val="30"/>
          <w:szCs w:val="30"/>
          <w:lang w:eastAsia="zh-CN"/>
        </w:rPr>
        <w:t>值得注意的是，正是这座山，在适当的时候，主自己将在其上为祂普世家庭的救赎提供那唯一、真实且永恒的献祭（创 22, 约 5:61, 来 11:17-19）。</w:t>
      </w:r>
    </w:p>
    <w:p w14:paraId="000B8A4F">
      <w:pPr>
        <w:tabs>
          <w:tab w:val="left" w:pos="280"/>
        </w:tabs>
        <w:bidi w:val="0"/>
        <w:jc w:val="left"/>
        <w:rPr>
          <w:rFonts w:hint="eastAsia" w:eastAsia="宋体"/>
          <w:sz w:val="30"/>
          <w:szCs w:val="30"/>
          <w:lang w:eastAsia="zh-CN"/>
        </w:rPr>
      </w:pPr>
    </w:p>
    <w:p w14:paraId="65EFEDF4">
      <w:pPr>
        <w:tabs>
          <w:tab w:val="left" w:pos="280"/>
        </w:tabs>
        <w:bidi w:val="0"/>
        <w:jc w:val="left"/>
        <w:rPr>
          <w:rFonts w:hint="eastAsia" w:eastAsia="宋体"/>
          <w:sz w:val="30"/>
          <w:szCs w:val="30"/>
          <w:lang w:eastAsia="zh-CN"/>
        </w:rPr>
      </w:pPr>
      <w:r>
        <w:rPr>
          <w:rFonts w:hint="eastAsia" w:eastAsia="宋体"/>
          <w:sz w:val="30"/>
          <w:szCs w:val="30"/>
          <w:lang w:eastAsia="zh-CN"/>
        </w:rPr>
        <w:t>The proviso of the EC—which is faith—appears very prominently in God’s covenant dealings with Abraham.</w:t>
      </w:r>
    </w:p>
    <w:p w14:paraId="1F98B45B">
      <w:pPr>
        <w:tabs>
          <w:tab w:val="left" w:pos="280"/>
        </w:tabs>
        <w:bidi w:val="0"/>
        <w:jc w:val="left"/>
        <w:rPr>
          <w:rFonts w:hint="eastAsia" w:eastAsia="宋体"/>
          <w:sz w:val="30"/>
          <w:szCs w:val="30"/>
          <w:lang w:eastAsia="zh-CN"/>
        </w:rPr>
      </w:pPr>
      <w:r>
        <w:rPr>
          <w:rFonts w:hint="eastAsia" w:eastAsia="宋体"/>
          <w:sz w:val="30"/>
          <w:szCs w:val="30"/>
          <w:lang w:eastAsia="zh-CN"/>
        </w:rPr>
        <w:t>永恒之约的附带条件——即信心——在上帝与亚伯拉罕的立约交往中表现得非常突出。</w:t>
      </w:r>
    </w:p>
    <w:p w14:paraId="36E3F138">
      <w:pPr>
        <w:tabs>
          <w:tab w:val="left" w:pos="280"/>
        </w:tabs>
        <w:bidi w:val="0"/>
        <w:jc w:val="left"/>
        <w:rPr>
          <w:rFonts w:hint="eastAsia" w:eastAsia="宋体"/>
          <w:sz w:val="30"/>
          <w:szCs w:val="30"/>
          <w:lang w:eastAsia="zh-CN"/>
        </w:rPr>
      </w:pPr>
    </w:p>
    <w:p w14:paraId="096D828C">
      <w:pPr>
        <w:tabs>
          <w:tab w:val="left" w:pos="280"/>
        </w:tabs>
        <w:bidi w:val="0"/>
        <w:jc w:val="left"/>
        <w:rPr>
          <w:rFonts w:hint="eastAsia" w:eastAsia="宋体"/>
          <w:sz w:val="30"/>
          <w:szCs w:val="30"/>
          <w:lang w:eastAsia="zh-CN"/>
        </w:rPr>
      </w:pPr>
      <w:r>
        <w:rPr>
          <w:rFonts w:hint="eastAsia" w:eastAsia="宋体"/>
          <w:sz w:val="30"/>
          <w:szCs w:val="30"/>
          <w:lang w:eastAsia="zh-CN"/>
        </w:rPr>
        <w:t>Well aware of this—and also of its significance—the NT writers repeatedly probe and extol it.</w:t>
      </w:r>
    </w:p>
    <w:p w14:paraId="0AEBB181">
      <w:pPr>
        <w:tabs>
          <w:tab w:val="left" w:pos="280"/>
        </w:tabs>
        <w:bidi w:val="0"/>
        <w:jc w:val="left"/>
        <w:rPr>
          <w:rFonts w:hint="eastAsia" w:eastAsia="宋体"/>
          <w:sz w:val="30"/>
          <w:szCs w:val="30"/>
          <w:lang w:eastAsia="zh-CN"/>
        </w:rPr>
      </w:pPr>
      <w:r>
        <w:rPr>
          <w:rFonts w:hint="eastAsia" w:eastAsia="宋体"/>
          <w:sz w:val="30"/>
          <w:szCs w:val="30"/>
          <w:lang w:eastAsia="zh-CN"/>
        </w:rPr>
        <w:t>新约作者们深知这一点——也知道其重要性——他们反复地探讨和赞美它。</w:t>
      </w:r>
    </w:p>
    <w:p w14:paraId="73023B8E">
      <w:pPr>
        <w:tabs>
          <w:tab w:val="left" w:pos="280"/>
        </w:tabs>
        <w:bidi w:val="0"/>
        <w:jc w:val="left"/>
        <w:rPr>
          <w:rFonts w:hint="eastAsia" w:eastAsia="宋体"/>
          <w:sz w:val="30"/>
          <w:szCs w:val="30"/>
          <w:lang w:eastAsia="zh-CN"/>
        </w:rPr>
      </w:pPr>
    </w:p>
    <w:p w14:paraId="464335C9">
      <w:pPr>
        <w:tabs>
          <w:tab w:val="left" w:pos="280"/>
        </w:tabs>
        <w:bidi w:val="0"/>
        <w:jc w:val="left"/>
        <w:rPr>
          <w:rFonts w:hint="eastAsia" w:eastAsia="宋体"/>
          <w:sz w:val="30"/>
          <w:szCs w:val="30"/>
          <w:lang w:eastAsia="zh-CN"/>
        </w:rPr>
      </w:pPr>
      <w:r>
        <w:rPr>
          <w:rFonts w:hint="eastAsia" w:eastAsia="宋体"/>
          <w:sz w:val="30"/>
          <w:szCs w:val="30"/>
          <w:lang w:eastAsia="zh-CN"/>
        </w:rPr>
        <w:t>By faith Abraham obeyed God and went out from Ur of the Chaldeans, and from Haran as well (Acts 7:2-4, Heb. 11:8).</w:t>
      </w:r>
    </w:p>
    <w:p w14:paraId="138B4CD6">
      <w:pPr>
        <w:tabs>
          <w:tab w:val="left" w:pos="280"/>
        </w:tabs>
        <w:bidi w:val="0"/>
        <w:jc w:val="left"/>
        <w:rPr>
          <w:rFonts w:hint="eastAsia" w:eastAsia="宋体"/>
          <w:sz w:val="30"/>
          <w:szCs w:val="30"/>
          <w:lang w:eastAsia="zh-CN"/>
        </w:rPr>
      </w:pPr>
      <w:r>
        <w:rPr>
          <w:rFonts w:hint="eastAsia" w:eastAsia="宋体"/>
          <w:sz w:val="30"/>
          <w:szCs w:val="30"/>
          <w:lang w:eastAsia="zh-CN"/>
        </w:rPr>
        <w:t>亚伯拉罕因着信，顺服了上帝，从迦勒底的吾珥出去，也从哈兰出去（徒 7:2-4, 来 11:8）。</w:t>
      </w:r>
    </w:p>
    <w:p w14:paraId="464BABE6">
      <w:pPr>
        <w:tabs>
          <w:tab w:val="left" w:pos="280"/>
        </w:tabs>
        <w:bidi w:val="0"/>
        <w:jc w:val="left"/>
        <w:rPr>
          <w:rFonts w:hint="eastAsia" w:eastAsia="宋体"/>
          <w:sz w:val="30"/>
          <w:szCs w:val="30"/>
          <w:lang w:eastAsia="zh-CN"/>
        </w:rPr>
      </w:pPr>
    </w:p>
    <w:p w14:paraId="1407EA6C">
      <w:pPr>
        <w:tabs>
          <w:tab w:val="left" w:pos="280"/>
        </w:tabs>
        <w:bidi w:val="0"/>
        <w:jc w:val="left"/>
        <w:rPr>
          <w:rFonts w:hint="eastAsia" w:eastAsia="宋体"/>
          <w:sz w:val="30"/>
          <w:szCs w:val="30"/>
          <w:lang w:eastAsia="zh-CN"/>
        </w:rPr>
      </w:pPr>
      <w:r>
        <w:rPr>
          <w:rFonts w:hint="eastAsia" w:eastAsia="宋体"/>
          <w:sz w:val="30"/>
          <w:szCs w:val="30"/>
          <w:lang w:eastAsia="zh-CN"/>
        </w:rPr>
        <w:t>By faith he sojourned in the land of promise (Heb. 11:9).</w:t>
      </w:r>
    </w:p>
    <w:p w14:paraId="4CB3B163">
      <w:pPr>
        <w:tabs>
          <w:tab w:val="left" w:pos="280"/>
        </w:tabs>
        <w:bidi w:val="0"/>
        <w:jc w:val="left"/>
        <w:rPr>
          <w:rFonts w:hint="eastAsia" w:eastAsia="宋体"/>
          <w:sz w:val="30"/>
          <w:szCs w:val="30"/>
          <w:lang w:eastAsia="zh-CN"/>
        </w:rPr>
      </w:pPr>
      <w:r>
        <w:rPr>
          <w:rFonts w:hint="eastAsia" w:eastAsia="宋体"/>
          <w:sz w:val="30"/>
          <w:szCs w:val="30"/>
          <w:lang w:eastAsia="zh-CN"/>
        </w:rPr>
        <w:t>他因着信，在应许之地作客（来 11:9）。</w:t>
      </w:r>
    </w:p>
    <w:p w14:paraId="308BE80F">
      <w:pPr>
        <w:tabs>
          <w:tab w:val="left" w:pos="280"/>
        </w:tabs>
        <w:bidi w:val="0"/>
        <w:jc w:val="left"/>
        <w:rPr>
          <w:rFonts w:hint="eastAsia" w:eastAsia="宋体"/>
          <w:sz w:val="30"/>
          <w:szCs w:val="30"/>
          <w:lang w:eastAsia="zh-CN"/>
        </w:rPr>
      </w:pPr>
    </w:p>
    <w:p w14:paraId="7A06AEE3">
      <w:pPr>
        <w:tabs>
          <w:tab w:val="left" w:pos="280"/>
        </w:tabs>
        <w:bidi w:val="0"/>
        <w:jc w:val="left"/>
        <w:rPr>
          <w:rFonts w:hint="eastAsia" w:eastAsia="宋体"/>
          <w:sz w:val="30"/>
          <w:szCs w:val="30"/>
          <w:lang w:eastAsia="zh-CN"/>
        </w:rPr>
      </w:pPr>
      <w:r>
        <w:rPr>
          <w:rFonts w:hint="eastAsia" w:eastAsia="宋体"/>
          <w:sz w:val="30"/>
          <w:szCs w:val="30"/>
          <w:lang w:eastAsia="zh-CN"/>
        </w:rPr>
        <w:t>By faith he—and Sarahh—found strength to conceive seed (Heb. 11:11).</w:t>
      </w:r>
    </w:p>
    <w:p w14:paraId="4112E6C6">
      <w:pPr>
        <w:tabs>
          <w:tab w:val="left" w:pos="280"/>
        </w:tabs>
        <w:bidi w:val="0"/>
        <w:jc w:val="left"/>
        <w:rPr>
          <w:rFonts w:hint="eastAsia" w:eastAsia="宋体"/>
          <w:sz w:val="30"/>
          <w:szCs w:val="30"/>
          <w:lang w:eastAsia="zh-CN"/>
        </w:rPr>
      </w:pPr>
      <w:r>
        <w:rPr>
          <w:rFonts w:hint="eastAsia" w:eastAsia="宋体"/>
          <w:sz w:val="30"/>
          <w:szCs w:val="30"/>
          <w:lang w:eastAsia="zh-CN"/>
        </w:rPr>
        <w:t>因着信，他——和撒拉——就得了能力，可以怀孕生子（来 11:11）。</w:t>
      </w:r>
    </w:p>
    <w:p w14:paraId="04BF4497">
      <w:pPr>
        <w:tabs>
          <w:tab w:val="left" w:pos="280"/>
        </w:tabs>
        <w:bidi w:val="0"/>
        <w:jc w:val="left"/>
        <w:rPr>
          <w:rFonts w:hint="eastAsia" w:eastAsia="宋体"/>
          <w:sz w:val="30"/>
          <w:szCs w:val="30"/>
          <w:lang w:eastAsia="zh-CN"/>
        </w:rPr>
      </w:pPr>
    </w:p>
    <w:p w14:paraId="59FCDCC0">
      <w:pPr>
        <w:tabs>
          <w:tab w:val="left" w:pos="280"/>
        </w:tabs>
        <w:bidi w:val="0"/>
        <w:jc w:val="left"/>
        <w:rPr>
          <w:rFonts w:hint="eastAsia" w:eastAsia="宋体"/>
          <w:sz w:val="30"/>
          <w:szCs w:val="30"/>
          <w:lang w:eastAsia="zh-CN"/>
        </w:rPr>
      </w:pPr>
      <w:r>
        <w:rPr>
          <w:rFonts w:hint="eastAsia" w:eastAsia="宋体"/>
          <w:sz w:val="30"/>
          <w:szCs w:val="30"/>
          <w:lang w:eastAsia="zh-CN"/>
        </w:rPr>
        <w:t>By faith he waited for a city whose builder and maker was God (Heb. 11:10).</w:t>
      </w:r>
    </w:p>
    <w:p w14:paraId="39137F2A">
      <w:pPr>
        <w:tabs>
          <w:tab w:val="left" w:pos="280"/>
        </w:tabs>
        <w:bidi w:val="0"/>
        <w:jc w:val="left"/>
        <w:rPr>
          <w:rFonts w:hint="eastAsia" w:eastAsia="宋体"/>
          <w:sz w:val="30"/>
          <w:szCs w:val="30"/>
          <w:lang w:eastAsia="zh-CN"/>
        </w:rPr>
      </w:pPr>
      <w:r>
        <w:rPr>
          <w:rFonts w:hint="eastAsia" w:eastAsia="宋体"/>
          <w:sz w:val="30"/>
          <w:szCs w:val="30"/>
          <w:lang w:eastAsia="zh-CN"/>
        </w:rPr>
        <w:t>他因着信，等候那座有根基的城，就是上帝所经营所建造的（来 11:10）。</w:t>
      </w:r>
    </w:p>
    <w:p w14:paraId="7D585196">
      <w:pPr>
        <w:tabs>
          <w:tab w:val="left" w:pos="280"/>
        </w:tabs>
        <w:bidi w:val="0"/>
        <w:jc w:val="left"/>
        <w:rPr>
          <w:rFonts w:hint="eastAsia" w:eastAsia="宋体"/>
          <w:sz w:val="30"/>
          <w:szCs w:val="30"/>
          <w:lang w:eastAsia="zh-CN"/>
        </w:rPr>
      </w:pPr>
    </w:p>
    <w:p w14:paraId="535560DB">
      <w:pPr>
        <w:tabs>
          <w:tab w:val="left" w:pos="280"/>
        </w:tabs>
        <w:bidi w:val="0"/>
        <w:jc w:val="left"/>
        <w:rPr>
          <w:rFonts w:hint="eastAsia" w:eastAsia="宋体"/>
          <w:sz w:val="30"/>
          <w:szCs w:val="30"/>
          <w:lang w:eastAsia="zh-CN"/>
        </w:rPr>
      </w:pPr>
      <w:r>
        <w:rPr>
          <w:rFonts w:hint="eastAsia" w:eastAsia="宋体"/>
          <w:sz w:val="30"/>
          <w:szCs w:val="30"/>
          <w:lang w:eastAsia="zh-CN"/>
        </w:rPr>
        <w:t>By faith he was justified (Gen. 15:6, Rom. 4:3); and by faith the reality of his justifying faith was vindicated (Gen. 22, James 2:20-23).</w:t>
      </w:r>
    </w:p>
    <w:p w14:paraId="57BD33ED">
      <w:pPr>
        <w:tabs>
          <w:tab w:val="left" w:pos="280"/>
        </w:tabs>
        <w:bidi w:val="0"/>
        <w:jc w:val="left"/>
        <w:rPr>
          <w:rFonts w:hint="eastAsia" w:eastAsia="宋体"/>
          <w:sz w:val="30"/>
          <w:szCs w:val="30"/>
          <w:lang w:eastAsia="zh-CN"/>
        </w:rPr>
      </w:pPr>
      <w:r>
        <w:rPr>
          <w:rFonts w:hint="eastAsia" w:eastAsia="宋体"/>
          <w:sz w:val="30"/>
          <w:szCs w:val="30"/>
          <w:lang w:eastAsia="zh-CN"/>
        </w:rPr>
        <w:t>他因信称义（创 15:6, 罗 4:3）；并且因信，他称义之信的真实性得到了证实（创 22, 雅 2:20-23）。</w:t>
      </w:r>
    </w:p>
    <w:p w14:paraId="119AD863">
      <w:pPr>
        <w:tabs>
          <w:tab w:val="left" w:pos="280"/>
        </w:tabs>
        <w:bidi w:val="0"/>
        <w:jc w:val="left"/>
        <w:rPr>
          <w:rFonts w:hint="eastAsia" w:eastAsia="宋体"/>
          <w:sz w:val="30"/>
          <w:szCs w:val="30"/>
          <w:lang w:eastAsia="zh-CN"/>
        </w:rPr>
      </w:pPr>
    </w:p>
    <w:p w14:paraId="063F8EE8">
      <w:pPr>
        <w:tabs>
          <w:tab w:val="left" w:pos="280"/>
        </w:tabs>
        <w:bidi w:val="0"/>
        <w:jc w:val="left"/>
        <w:rPr>
          <w:rFonts w:hint="eastAsia" w:eastAsia="宋体"/>
          <w:sz w:val="30"/>
          <w:szCs w:val="30"/>
          <w:lang w:eastAsia="zh-CN"/>
        </w:rPr>
      </w:pPr>
      <w:r>
        <w:rPr>
          <w:rFonts w:hint="eastAsia" w:eastAsia="宋体"/>
          <w:sz w:val="30"/>
          <w:szCs w:val="30"/>
          <w:lang w:eastAsia="zh-CN"/>
        </w:rPr>
        <w:t>Because of all this, the NT writers, following Genesis, crown Abraham as “the father of the faithful.”</w:t>
      </w:r>
    </w:p>
    <w:p w14:paraId="68F4DD33">
      <w:pPr>
        <w:tabs>
          <w:tab w:val="left" w:pos="280"/>
        </w:tabs>
        <w:bidi w:val="0"/>
        <w:jc w:val="left"/>
        <w:rPr>
          <w:rFonts w:hint="eastAsia" w:eastAsia="宋体"/>
          <w:sz w:val="30"/>
          <w:szCs w:val="30"/>
          <w:lang w:eastAsia="zh-CN"/>
        </w:rPr>
      </w:pPr>
      <w:r>
        <w:rPr>
          <w:rFonts w:hint="eastAsia" w:eastAsia="宋体"/>
          <w:sz w:val="30"/>
          <w:szCs w:val="30"/>
          <w:lang w:eastAsia="zh-CN"/>
        </w:rPr>
        <w:t>因为所有这一切，新约作者们，追随创世记，将亚伯拉罕加冕为“信者之父”。</w:t>
      </w:r>
    </w:p>
    <w:p w14:paraId="1CF6D1E2">
      <w:pPr>
        <w:tabs>
          <w:tab w:val="left" w:pos="280"/>
        </w:tabs>
        <w:bidi w:val="0"/>
        <w:jc w:val="left"/>
        <w:rPr>
          <w:rFonts w:hint="eastAsia" w:eastAsia="宋体"/>
          <w:sz w:val="30"/>
          <w:szCs w:val="30"/>
          <w:lang w:eastAsia="zh-CN"/>
        </w:rPr>
      </w:pPr>
    </w:p>
    <w:p w14:paraId="062A5626">
      <w:pPr>
        <w:tabs>
          <w:tab w:val="left" w:pos="280"/>
        </w:tabs>
        <w:bidi w:val="0"/>
        <w:jc w:val="left"/>
        <w:rPr>
          <w:rFonts w:hint="eastAsia" w:eastAsia="宋体"/>
          <w:sz w:val="30"/>
          <w:szCs w:val="30"/>
          <w:lang w:eastAsia="zh-CN"/>
        </w:rPr>
      </w:pPr>
      <w:r>
        <w:rPr>
          <w:rFonts w:hint="eastAsia" w:eastAsia="宋体"/>
          <w:sz w:val="30"/>
          <w:szCs w:val="30"/>
          <w:lang w:eastAsia="zh-CN"/>
        </w:rPr>
        <w:t>He is the prototype of all who believe in the promised Seed unto justification, and who thereafter walk with him faithfully, as strangers in a strange land, making their pilgrimage through a dark and dangerous world until the Seed himself comes again and makes all things new (Gen. 17:4-5, Rom. 4:11ff, Heb. 11:13).</w:t>
      </w:r>
    </w:p>
    <w:p w14:paraId="1E2D59CB">
      <w:pPr>
        <w:tabs>
          <w:tab w:val="left" w:pos="280"/>
        </w:tabs>
        <w:bidi w:val="0"/>
        <w:jc w:val="left"/>
        <w:rPr>
          <w:rFonts w:hint="eastAsia" w:eastAsia="宋体"/>
          <w:sz w:val="30"/>
          <w:szCs w:val="30"/>
          <w:lang w:eastAsia="zh-CN"/>
        </w:rPr>
      </w:pPr>
      <w:r>
        <w:rPr>
          <w:rFonts w:hint="eastAsia" w:eastAsia="宋体"/>
          <w:sz w:val="30"/>
          <w:szCs w:val="30"/>
          <w:lang w:eastAsia="zh-CN"/>
        </w:rPr>
        <w:t>他是所有因信应许的后裔而称义之人的原型，他们此后忠心地与祂同行，如同在异乡作客，在一个黑暗危险的世界中进行他们的朝圣之旅，直到那后裔亲自再来，将万物都更新了（创 17:4-5, 罗 4:11ff, 来 11:13）。</w:t>
      </w:r>
    </w:p>
    <w:p w14:paraId="7871D222">
      <w:pPr>
        <w:tabs>
          <w:tab w:val="left" w:pos="280"/>
        </w:tabs>
        <w:bidi w:val="0"/>
        <w:jc w:val="left"/>
        <w:rPr>
          <w:rFonts w:hint="eastAsia" w:eastAsia="宋体"/>
          <w:sz w:val="30"/>
          <w:szCs w:val="30"/>
          <w:lang w:eastAsia="zh-CN"/>
        </w:rPr>
      </w:pPr>
    </w:p>
    <w:p w14:paraId="6DA3FC25">
      <w:pPr>
        <w:tabs>
          <w:tab w:val="left" w:pos="280"/>
        </w:tabs>
        <w:bidi w:val="0"/>
        <w:jc w:val="left"/>
        <w:rPr>
          <w:rFonts w:hint="eastAsia" w:eastAsia="宋体"/>
          <w:sz w:val="30"/>
          <w:szCs w:val="30"/>
          <w:lang w:eastAsia="zh-CN"/>
        </w:rPr>
      </w:pPr>
      <w:r>
        <w:rPr>
          <w:rFonts w:hint="eastAsia" w:eastAsia="宋体"/>
          <w:sz w:val="30"/>
          <w:szCs w:val="30"/>
          <w:lang w:eastAsia="zh-CN"/>
        </w:rPr>
        <w:t>Many indeed are the promises that God gave to Abraham: to be his God (Gen. 17:17-18); to give him victory over all his enemies (Gen. 22:17); to give the land of Canaan to him and his seed forever (Gen. 12:7); to bless him with great wealth (Gen. 12:2, 22:17); to make him a great nation (Gen. 12:2, 13:16, 18:18); to make him the father of many nations (Gen. 17:4); and to make him a blessing to all the nations (Gen. 12:3, 18:18).</w:t>
      </w:r>
    </w:p>
    <w:p w14:paraId="7526F206">
      <w:pPr>
        <w:tabs>
          <w:tab w:val="left" w:pos="280"/>
        </w:tabs>
        <w:bidi w:val="0"/>
        <w:jc w:val="left"/>
        <w:rPr>
          <w:rFonts w:hint="eastAsia" w:eastAsia="宋体"/>
          <w:sz w:val="30"/>
          <w:szCs w:val="30"/>
          <w:lang w:eastAsia="zh-CN"/>
        </w:rPr>
      </w:pPr>
      <w:r>
        <w:rPr>
          <w:rFonts w:hint="eastAsia" w:eastAsia="宋体"/>
          <w:sz w:val="30"/>
          <w:szCs w:val="30"/>
          <w:lang w:eastAsia="zh-CN"/>
        </w:rPr>
        <w:t>上帝确实给了亚伯拉罕许多应许：要做他的上帝（创 17:17-18）；要使他胜过他所有的仇敌（创 22:17）；要将迦南地永远赐给他和他的后裔（创 12:7）；要用极大的财富祝福他（创 12:2, 22:17）；要使他成为大国（创 12:2, 13:16, 18:18）；要使他作多国的父（创 17:4）；并要使他成为万国的祝福（创 12:3, 18:18）。</w:t>
      </w:r>
    </w:p>
    <w:p w14:paraId="4FC17A17">
      <w:pPr>
        <w:tabs>
          <w:tab w:val="left" w:pos="280"/>
        </w:tabs>
        <w:bidi w:val="0"/>
        <w:jc w:val="left"/>
        <w:rPr>
          <w:rFonts w:hint="eastAsia" w:eastAsia="宋体"/>
          <w:sz w:val="30"/>
          <w:szCs w:val="30"/>
          <w:lang w:eastAsia="zh-CN"/>
        </w:rPr>
      </w:pPr>
    </w:p>
    <w:p w14:paraId="4BDD2421">
      <w:pPr>
        <w:tabs>
          <w:tab w:val="left" w:pos="280"/>
        </w:tabs>
        <w:bidi w:val="0"/>
        <w:jc w:val="left"/>
        <w:rPr>
          <w:rFonts w:hint="eastAsia" w:eastAsia="宋体"/>
          <w:sz w:val="30"/>
          <w:szCs w:val="30"/>
          <w:lang w:eastAsia="zh-CN"/>
        </w:rPr>
      </w:pPr>
      <w:r>
        <w:rPr>
          <w:rFonts w:hint="eastAsia" w:eastAsia="宋体"/>
          <w:sz w:val="30"/>
          <w:szCs w:val="30"/>
          <w:lang w:eastAsia="zh-CN"/>
        </w:rPr>
        <w:t>Very importantly, all these promises have a double fulfillment.</w:t>
      </w:r>
    </w:p>
    <w:p w14:paraId="041D0821">
      <w:pPr>
        <w:tabs>
          <w:tab w:val="left" w:pos="280"/>
        </w:tabs>
        <w:bidi w:val="0"/>
        <w:jc w:val="left"/>
        <w:rPr>
          <w:rFonts w:hint="eastAsia" w:eastAsia="宋体"/>
          <w:sz w:val="30"/>
          <w:szCs w:val="30"/>
          <w:lang w:eastAsia="zh-CN"/>
        </w:rPr>
      </w:pPr>
      <w:r>
        <w:rPr>
          <w:rFonts w:hint="eastAsia" w:eastAsia="宋体"/>
          <w:sz w:val="30"/>
          <w:szCs w:val="30"/>
          <w:lang w:eastAsia="zh-CN"/>
        </w:rPr>
        <w:t>非常重要的是，所有这些应许都有双重应验。</w:t>
      </w:r>
    </w:p>
    <w:p w14:paraId="63B4E8D1">
      <w:pPr>
        <w:tabs>
          <w:tab w:val="left" w:pos="280"/>
        </w:tabs>
        <w:bidi w:val="0"/>
        <w:jc w:val="left"/>
        <w:rPr>
          <w:rFonts w:hint="eastAsia" w:eastAsia="宋体"/>
          <w:sz w:val="30"/>
          <w:szCs w:val="30"/>
          <w:lang w:eastAsia="zh-CN"/>
        </w:rPr>
      </w:pPr>
    </w:p>
    <w:p w14:paraId="2F5EA394">
      <w:pPr>
        <w:tabs>
          <w:tab w:val="left" w:pos="280"/>
        </w:tabs>
        <w:bidi w:val="0"/>
        <w:jc w:val="left"/>
        <w:rPr>
          <w:rFonts w:hint="eastAsia" w:eastAsia="宋体"/>
          <w:sz w:val="30"/>
          <w:szCs w:val="30"/>
          <w:lang w:eastAsia="zh-CN"/>
        </w:rPr>
      </w:pPr>
      <w:r>
        <w:rPr>
          <w:rFonts w:hint="eastAsia" w:eastAsia="宋体"/>
          <w:sz w:val="30"/>
          <w:szCs w:val="30"/>
          <w:lang w:eastAsia="zh-CN"/>
        </w:rPr>
        <w:t>They were historically fulfilled among Abraham’s physical seed (i.e., the family and nation of Israel), first in Joshua’s conquest of Canaan (Joshua 21:43-44) and then in David and Solomon’s conquest of the surrounding nations (1 Kings 4:21).</w:t>
      </w:r>
    </w:p>
    <w:p w14:paraId="51200945">
      <w:pPr>
        <w:tabs>
          <w:tab w:val="left" w:pos="280"/>
        </w:tabs>
        <w:bidi w:val="0"/>
        <w:jc w:val="left"/>
        <w:rPr>
          <w:rFonts w:hint="eastAsia" w:eastAsia="宋体"/>
          <w:sz w:val="30"/>
          <w:szCs w:val="30"/>
          <w:lang w:eastAsia="zh-CN"/>
        </w:rPr>
      </w:pPr>
      <w:r>
        <w:rPr>
          <w:rFonts w:hint="eastAsia" w:eastAsia="宋体"/>
          <w:sz w:val="30"/>
          <w:szCs w:val="30"/>
          <w:lang w:eastAsia="zh-CN"/>
        </w:rPr>
        <w:t>它们在历史上在亚伯拉罕的肉身后裔（即以色列的家族和国家）中得到了应验，首先是在约书亚征服迦南（约书亚记 21:43-44），然后是在大卫和所罗门征服周围列国时（列王纪上 4:21）。</w:t>
      </w:r>
    </w:p>
    <w:p w14:paraId="1A4B3DE0">
      <w:pPr>
        <w:tabs>
          <w:tab w:val="left" w:pos="280"/>
        </w:tabs>
        <w:bidi w:val="0"/>
        <w:jc w:val="left"/>
        <w:rPr>
          <w:rFonts w:hint="eastAsia" w:eastAsia="宋体"/>
          <w:sz w:val="30"/>
          <w:szCs w:val="30"/>
          <w:lang w:eastAsia="zh-CN"/>
        </w:rPr>
      </w:pPr>
    </w:p>
    <w:p w14:paraId="4BC0E4C9">
      <w:pPr>
        <w:tabs>
          <w:tab w:val="left" w:pos="280"/>
        </w:tabs>
        <w:bidi w:val="0"/>
        <w:jc w:val="left"/>
        <w:rPr>
          <w:rFonts w:hint="eastAsia" w:eastAsia="宋体"/>
          <w:sz w:val="30"/>
          <w:szCs w:val="30"/>
          <w:lang w:eastAsia="zh-CN"/>
        </w:rPr>
      </w:pPr>
      <w:r>
        <w:rPr>
          <w:rFonts w:hint="eastAsia" w:eastAsia="宋体"/>
          <w:sz w:val="30"/>
          <w:szCs w:val="30"/>
          <w:lang w:eastAsia="zh-CN"/>
        </w:rPr>
        <w:t>However, the physical and the historical were preparing for, and pointing to, something greater, something spiritual and eschatological.</w:t>
      </w:r>
    </w:p>
    <w:p w14:paraId="7799CB16">
      <w:pPr>
        <w:tabs>
          <w:tab w:val="left" w:pos="280"/>
        </w:tabs>
        <w:bidi w:val="0"/>
        <w:jc w:val="left"/>
        <w:rPr>
          <w:rFonts w:hint="eastAsia" w:eastAsia="宋体"/>
          <w:sz w:val="30"/>
          <w:szCs w:val="30"/>
          <w:lang w:eastAsia="zh-CN"/>
        </w:rPr>
      </w:pPr>
      <w:r>
        <w:rPr>
          <w:rFonts w:hint="eastAsia" w:eastAsia="宋体"/>
          <w:sz w:val="30"/>
          <w:szCs w:val="30"/>
          <w:lang w:eastAsia="zh-CN"/>
        </w:rPr>
        <w:t>然而，肉身的和历史的都在为某种更伟大的、属灵的和末世论的事物作预备和指向。</w:t>
      </w:r>
    </w:p>
    <w:p w14:paraId="38819A16">
      <w:pPr>
        <w:tabs>
          <w:tab w:val="left" w:pos="280"/>
        </w:tabs>
        <w:bidi w:val="0"/>
        <w:jc w:val="left"/>
        <w:rPr>
          <w:rFonts w:hint="eastAsia" w:eastAsia="宋体"/>
          <w:sz w:val="30"/>
          <w:szCs w:val="30"/>
          <w:lang w:eastAsia="zh-CN"/>
        </w:rPr>
      </w:pPr>
    </w:p>
    <w:p w14:paraId="6D6CDFEA">
      <w:pPr>
        <w:tabs>
          <w:tab w:val="left" w:pos="280"/>
        </w:tabs>
        <w:bidi w:val="0"/>
        <w:jc w:val="left"/>
        <w:rPr>
          <w:rFonts w:hint="eastAsia" w:eastAsia="宋体"/>
          <w:sz w:val="30"/>
          <w:szCs w:val="30"/>
          <w:lang w:eastAsia="zh-CN"/>
        </w:rPr>
      </w:pPr>
      <w:r>
        <w:rPr>
          <w:rFonts w:hint="eastAsia" w:eastAsia="宋体"/>
          <w:sz w:val="30"/>
          <w:szCs w:val="30"/>
          <w:lang w:eastAsia="zh-CN"/>
        </w:rPr>
        <w:t>In the NT we learn what it is: The promises to Abraham are fully fulfilled only in his spiritual Seed, which is Christ and the Church of all time.</w:t>
      </w:r>
    </w:p>
    <w:p w14:paraId="08A27D54">
      <w:pPr>
        <w:tabs>
          <w:tab w:val="left" w:pos="280"/>
        </w:tabs>
        <w:bidi w:val="0"/>
        <w:jc w:val="left"/>
        <w:rPr>
          <w:rFonts w:hint="eastAsia" w:eastAsia="宋体"/>
          <w:sz w:val="30"/>
          <w:szCs w:val="30"/>
          <w:lang w:eastAsia="zh-CN"/>
        </w:rPr>
      </w:pPr>
      <w:r>
        <w:rPr>
          <w:rFonts w:hint="eastAsia" w:eastAsia="宋体"/>
          <w:sz w:val="30"/>
          <w:szCs w:val="30"/>
          <w:lang w:eastAsia="zh-CN"/>
        </w:rPr>
        <w:t>在新约中我们了解到它是什么：对亚伯拉罕的应许只有在他的属灵后裔，即基督和历代的教会中，才能完全应验。</w:t>
      </w:r>
    </w:p>
    <w:p w14:paraId="7B31ABC2">
      <w:pPr>
        <w:tabs>
          <w:tab w:val="left" w:pos="280"/>
        </w:tabs>
        <w:bidi w:val="0"/>
        <w:jc w:val="left"/>
        <w:rPr>
          <w:rFonts w:hint="eastAsia" w:eastAsia="宋体"/>
          <w:sz w:val="30"/>
          <w:szCs w:val="30"/>
          <w:lang w:eastAsia="zh-CN"/>
        </w:rPr>
      </w:pPr>
    </w:p>
    <w:p w14:paraId="71B308D7">
      <w:pPr>
        <w:tabs>
          <w:tab w:val="left" w:pos="280"/>
        </w:tabs>
        <w:bidi w:val="0"/>
        <w:jc w:val="left"/>
        <w:rPr>
          <w:rFonts w:hint="eastAsia" w:eastAsia="宋体"/>
          <w:sz w:val="30"/>
          <w:szCs w:val="30"/>
          <w:lang w:eastAsia="zh-CN"/>
        </w:rPr>
      </w:pPr>
      <w:r>
        <w:rPr>
          <w:rFonts w:hint="eastAsia" w:eastAsia="宋体"/>
          <w:sz w:val="30"/>
          <w:szCs w:val="30"/>
          <w:lang w:eastAsia="zh-CN"/>
        </w:rPr>
        <w:t>We see this even now, as God, through the preaching of the Gospel, calls, rescues, justifies, sanctifies, equips, guides, and otherwise prospers his pilgrim family of faithful sons and daughters, who, at Christ’s return, will become heirs of the world, the very world he pledged to believing Abraham and his seed (Romans 4:13, Gal. 3:15-4:7)!</w:t>
      </w:r>
    </w:p>
    <w:p w14:paraId="1F89EFDD">
      <w:pPr>
        <w:tabs>
          <w:tab w:val="left" w:pos="280"/>
        </w:tabs>
        <w:bidi w:val="0"/>
        <w:jc w:val="left"/>
        <w:rPr>
          <w:rFonts w:hint="eastAsia" w:eastAsia="宋体"/>
          <w:sz w:val="30"/>
          <w:szCs w:val="30"/>
          <w:lang w:eastAsia="zh-CN"/>
        </w:rPr>
      </w:pPr>
      <w:r>
        <w:rPr>
          <w:rFonts w:hint="eastAsia" w:eastAsia="宋体"/>
          <w:sz w:val="30"/>
          <w:szCs w:val="30"/>
          <w:lang w:eastAsia="zh-CN"/>
        </w:rPr>
        <w:t>我们现在就看到这一点，上帝藉着福音的传讲，呼召、拯救、称义、圣化、装备、引导并以其他方式使祂那由忠信儿女组成的行路客家庭兴旺，他们将在基督再来时成为世界的后嗣，就是祂曾应许给信心的亚伯拉罕和他后裔的那个世界（罗马书 4:13, 加拉太书 3:15-4:7）！</w:t>
      </w:r>
    </w:p>
    <w:p w14:paraId="43B6829D">
      <w:pPr>
        <w:tabs>
          <w:tab w:val="left" w:pos="280"/>
        </w:tabs>
        <w:bidi w:val="0"/>
        <w:jc w:val="left"/>
        <w:rPr>
          <w:rFonts w:hint="eastAsia" w:eastAsia="宋体"/>
          <w:sz w:val="30"/>
          <w:szCs w:val="30"/>
          <w:lang w:eastAsia="zh-CN"/>
        </w:rPr>
      </w:pPr>
    </w:p>
    <w:p w14:paraId="738B24B8">
      <w:pPr>
        <w:tabs>
          <w:tab w:val="left" w:pos="280"/>
        </w:tabs>
        <w:bidi w:val="0"/>
        <w:jc w:val="left"/>
        <w:rPr>
          <w:rFonts w:hint="eastAsia" w:eastAsia="宋体"/>
          <w:sz w:val="30"/>
          <w:szCs w:val="30"/>
          <w:lang w:eastAsia="zh-CN"/>
        </w:rPr>
      </w:pPr>
      <w:r>
        <w:rPr>
          <w:rFonts w:hint="eastAsia" w:eastAsia="宋体"/>
          <w:sz w:val="30"/>
          <w:szCs w:val="30"/>
          <w:lang w:eastAsia="zh-CN"/>
        </w:rPr>
        <w:t>All of this and more the omnipotent Redeemer of Israel had in mind when he promised his servant Abraham: “I will be your God” (Gen. 17:17- 18).</w:t>
      </w:r>
    </w:p>
    <w:p w14:paraId="4884C1F3">
      <w:pPr>
        <w:tabs>
          <w:tab w:val="left" w:pos="280"/>
        </w:tabs>
        <w:bidi w:val="0"/>
        <w:jc w:val="left"/>
        <w:rPr>
          <w:rFonts w:hint="eastAsia" w:eastAsia="宋体"/>
          <w:sz w:val="30"/>
          <w:szCs w:val="30"/>
          <w:lang w:eastAsia="zh-CN"/>
        </w:rPr>
      </w:pPr>
      <w:r>
        <w:rPr>
          <w:rFonts w:hint="eastAsia" w:eastAsia="宋体"/>
          <w:sz w:val="30"/>
          <w:szCs w:val="30"/>
          <w:lang w:eastAsia="zh-CN"/>
        </w:rPr>
        <w:t>当祂应许祂的仆人亚伯拉罕：“我要作你的上帝”时，全能的以色列救赎主心中所想的，就是这一切以及更多（创 17:17-18）。</w:t>
      </w:r>
    </w:p>
    <w:p w14:paraId="7C19A0F1">
      <w:pPr>
        <w:tabs>
          <w:tab w:val="left" w:pos="280"/>
        </w:tabs>
        <w:bidi w:val="0"/>
        <w:jc w:val="left"/>
        <w:rPr>
          <w:rFonts w:hint="eastAsia" w:eastAsia="宋体"/>
          <w:sz w:val="30"/>
          <w:szCs w:val="30"/>
          <w:lang w:eastAsia="zh-CN"/>
        </w:rPr>
      </w:pPr>
    </w:p>
    <w:p w14:paraId="0F484052">
      <w:pPr>
        <w:tabs>
          <w:tab w:val="left" w:pos="280"/>
        </w:tabs>
        <w:bidi w:val="0"/>
        <w:jc w:val="left"/>
        <w:rPr>
          <w:rFonts w:hint="eastAsia" w:eastAsia="宋体"/>
          <w:sz w:val="30"/>
          <w:szCs w:val="30"/>
          <w:lang w:eastAsia="zh-CN"/>
        </w:rPr>
      </w:pPr>
      <w:r>
        <w:rPr>
          <w:rFonts w:hint="eastAsia" w:eastAsia="宋体"/>
          <w:sz w:val="30"/>
          <w:szCs w:val="30"/>
          <w:lang w:eastAsia="zh-CN"/>
        </w:rPr>
        <w:t>It is hardly surprising, then, to find this very expression cropping up over and again throughout the course of Salvation History, until, at long last, it is revealed as the classic biblical formula for the promise of the Covenant of Grace: Eternal Life, through Jesus Christ our Lord (Ex. 19:5, Jer. 31:33, Ezek. 37:27; John 3:16, Rom. 5:21, Heb. 8:10, Rev. 21:3).</w:t>
      </w:r>
    </w:p>
    <w:p w14:paraId="5185099F">
      <w:pPr>
        <w:tabs>
          <w:tab w:val="left" w:pos="280"/>
        </w:tabs>
        <w:bidi w:val="0"/>
        <w:jc w:val="left"/>
        <w:rPr>
          <w:rFonts w:hint="eastAsia" w:eastAsia="宋体"/>
          <w:sz w:val="30"/>
          <w:szCs w:val="30"/>
          <w:lang w:eastAsia="zh-CN"/>
        </w:rPr>
      </w:pPr>
      <w:r>
        <w:rPr>
          <w:rFonts w:hint="eastAsia" w:eastAsia="宋体"/>
          <w:sz w:val="30"/>
          <w:szCs w:val="30"/>
          <w:lang w:eastAsia="zh-CN"/>
        </w:rPr>
        <w:t>因此，我们发现这个表述在救赎历史的进程中一再出现，就不足为奇了，直到最终，它被揭示为恩典之约应许的经典圣经公式：藉着我们的主耶稣基督得永生（出 19:5, 耶 31:33, 结 37:27; 约 3:16, 罗 5:21, 来 8:10, 启 21:3）。</w:t>
      </w:r>
    </w:p>
    <w:p w14:paraId="377FEA9E">
      <w:pPr>
        <w:tabs>
          <w:tab w:val="left" w:pos="280"/>
        </w:tabs>
        <w:bidi w:val="0"/>
        <w:jc w:val="left"/>
        <w:rPr>
          <w:rFonts w:hint="eastAsia" w:eastAsia="宋体"/>
          <w:sz w:val="30"/>
          <w:szCs w:val="30"/>
          <w:lang w:eastAsia="zh-CN"/>
        </w:rPr>
      </w:pPr>
    </w:p>
    <w:p w14:paraId="6EF0C3C5">
      <w:pPr>
        <w:tabs>
          <w:tab w:val="left" w:pos="280"/>
        </w:tabs>
        <w:bidi w:val="0"/>
        <w:jc w:val="left"/>
        <w:rPr>
          <w:rFonts w:hint="eastAsia" w:eastAsia="宋体"/>
          <w:sz w:val="30"/>
          <w:szCs w:val="30"/>
          <w:lang w:eastAsia="zh-CN"/>
        </w:rPr>
      </w:pPr>
      <w:r>
        <w:rPr>
          <w:rFonts w:hint="eastAsia" w:eastAsia="宋体"/>
          <w:sz w:val="30"/>
          <w:szCs w:val="30"/>
          <w:lang w:eastAsia="zh-CN"/>
        </w:rPr>
        <w:t>As for the penalty of (failure to enter) the EC, it is pictured quite dramatically in the fiery destruction of Sodom and Gomorrah (Gen. 18:16- 19:1ff).</w:t>
      </w:r>
    </w:p>
    <w:p w14:paraId="736893A9">
      <w:pPr>
        <w:tabs>
          <w:tab w:val="left" w:pos="280"/>
        </w:tabs>
        <w:bidi w:val="0"/>
        <w:jc w:val="left"/>
        <w:rPr>
          <w:rFonts w:hint="eastAsia" w:eastAsia="宋体"/>
          <w:sz w:val="30"/>
          <w:szCs w:val="30"/>
          <w:lang w:eastAsia="zh-CN"/>
        </w:rPr>
      </w:pPr>
      <w:r>
        <w:rPr>
          <w:rFonts w:hint="eastAsia" w:eastAsia="宋体"/>
          <w:sz w:val="30"/>
          <w:szCs w:val="30"/>
          <w:lang w:eastAsia="zh-CN"/>
        </w:rPr>
        <w:t>至于（未能进入）永恒之约的刑罚，在所多玛和蛾摩拉被火毁灭的事件中被戏剧性地描绘出来（创 18:16-19:1ff）。</w:t>
      </w:r>
    </w:p>
    <w:p w14:paraId="62C4FCE1">
      <w:pPr>
        <w:tabs>
          <w:tab w:val="left" w:pos="280"/>
        </w:tabs>
        <w:bidi w:val="0"/>
        <w:jc w:val="left"/>
        <w:rPr>
          <w:rFonts w:hint="eastAsia" w:eastAsia="宋体"/>
          <w:sz w:val="30"/>
          <w:szCs w:val="30"/>
          <w:lang w:eastAsia="zh-CN"/>
        </w:rPr>
      </w:pPr>
    </w:p>
    <w:p w14:paraId="2F6E9512">
      <w:pPr>
        <w:tabs>
          <w:tab w:val="left" w:pos="280"/>
        </w:tabs>
        <w:bidi w:val="0"/>
        <w:jc w:val="left"/>
        <w:rPr>
          <w:rFonts w:hint="eastAsia" w:eastAsia="宋体"/>
          <w:sz w:val="30"/>
          <w:szCs w:val="30"/>
          <w:lang w:eastAsia="zh-CN"/>
        </w:rPr>
      </w:pPr>
      <w:r>
        <w:rPr>
          <w:rFonts w:hint="eastAsia" w:eastAsia="宋体"/>
          <w:sz w:val="30"/>
          <w:szCs w:val="30"/>
          <w:lang w:eastAsia="zh-CN"/>
        </w:rPr>
        <w:t>Our Lord himself, in preparing his disciples for the vicissitudes of the last days, identified this episode as a figure of the Last Judgment at his Coming, and also as a figure of the eternal fire that awaits his enemies (Luke 17:28-30, 2 Peter 2:6, Jude 1:7).</w:t>
      </w:r>
    </w:p>
    <w:p w14:paraId="7B52E377">
      <w:pPr>
        <w:tabs>
          <w:tab w:val="left" w:pos="280"/>
        </w:tabs>
        <w:bidi w:val="0"/>
        <w:jc w:val="left"/>
        <w:rPr>
          <w:rFonts w:hint="eastAsia" w:eastAsia="宋体"/>
          <w:sz w:val="30"/>
          <w:szCs w:val="30"/>
          <w:lang w:eastAsia="zh-CN"/>
        </w:rPr>
      </w:pPr>
      <w:r>
        <w:rPr>
          <w:rFonts w:hint="eastAsia" w:eastAsia="宋体"/>
          <w:sz w:val="30"/>
          <w:szCs w:val="30"/>
          <w:lang w:eastAsia="zh-CN"/>
        </w:rPr>
        <w:t>我们的主亲自在为祂的门徒预备末日的变迁时，将这一事件确定为祂降临时最后审判的预表，也确定为等待祂仇敌的永火的预表（路 17:28-30, 彼后 2:6, 犹 1:7）。</w:t>
      </w:r>
    </w:p>
    <w:p w14:paraId="0493A0E8">
      <w:pPr>
        <w:tabs>
          <w:tab w:val="left" w:pos="280"/>
        </w:tabs>
        <w:bidi w:val="0"/>
        <w:jc w:val="left"/>
        <w:rPr>
          <w:rFonts w:hint="eastAsia" w:eastAsia="宋体"/>
          <w:sz w:val="30"/>
          <w:szCs w:val="30"/>
          <w:lang w:eastAsia="zh-CN"/>
        </w:rPr>
      </w:pPr>
    </w:p>
    <w:p w14:paraId="3ED1500C">
      <w:pPr>
        <w:tabs>
          <w:tab w:val="left" w:pos="280"/>
        </w:tabs>
        <w:bidi w:val="0"/>
        <w:jc w:val="left"/>
        <w:rPr>
          <w:rFonts w:hint="eastAsia" w:eastAsia="宋体"/>
          <w:sz w:val="30"/>
          <w:szCs w:val="30"/>
          <w:lang w:eastAsia="zh-CN"/>
        </w:rPr>
      </w:pPr>
      <w:r>
        <w:rPr>
          <w:rFonts w:hint="eastAsia" w:eastAsia="宋体"/>
          <w:sz w:val="30"/>
          <w:szCs w:val="30"/>
          <w:lang w:eastAsia="zh-CN"/>
        </w:rPr>
        <w:t>Accordingly, we see in Sodom a type of the fallen world-system, especially at the end, when its iniquity is complete (Gen. 15:16, Mt. 24:12).</w:t>
      </w:r>
    </w:p>
    <w:p w14:paraId="05E9D7FB">
      <w:pPr>
        <w:tabs>
          <w:tab w:val="left" w:pos="280"/>
        </w:tabs>
        <w:bidi w:val="0"/>
        <w:jc w:val="left"/>
        <w:rPr>
          <w:rFonts w:hint="eastAsia" w:eastAsia="宋体"/>
          <w:sz w:val="30"/>
          <w:szCs w:val="30"/>
          <w:lang w:eastAsia="zh-CN"/>
        </w:rPr>
      </w:pPr>
      <w:r>
        <w:rPr>
          <w:rFonts w:hint="eastAsia" w:eastAsia="宋体"/>
          <w:sz w:val="30"/>
          <w:szCs w:val="30"/>
          <w:lang w:eastAsia="zh-CN"/>
        </w:rPr>
        <w:t>因此，我们在所多玛看到了堕落世界体系的一个预表，尤其是在末了，当其罪孽满盈的时候（创 15:16, 太 24:12）。</w:t>
      </w:r>
    </w:p>
    <w:p w14:paraId="2AEDB267">
      <w:pPr>
        <w:tabs>
          <w:tab w:val="left" w:pos="280"/>
        </w:tabs>
        <w:bidi w:val="0"/>
        <w:jc w:val="left"/>
        <w:rPr>
          <w:rFonts w:hint="eastAsia" w:eastAsia="宋体"/>
          <w:sz w:val="30"/>
          <w:szCs w:val="30"/>
          <w:lang w:eastAsia="zh-CN"/>
        </w:rPr>
      </w:pPr>
    </w:p>
    <w:p w14:paraId="2B2AA325">
      <w:pPr>
        <w:tabs>
          <w:tab w:val="left" w:pos="280"/>
        </w:tabs>
        <w:bidi w:val="0"/>
        <w:jc w:val="left"/>
        <w:rPr>
          <w:rFonts w:hint="eastAsia" w:eastAsia="宋体"/>
          <w:sz w:val="30"/>
          <w:szCs w:val="30"/>
          <w:lang w:eastAsia="zh-CN"/>
        </w:rPr>
      </w:pPr>
      <w:r>
        <w:rPr>
          <w:rFonts w:hint="eastAsia" w:eastAsia="宋体"/>
          <w:sz w:val="30"/>
          <w:szCs w:val="30"/>
          <w:lang w:eastAsia="zh-CN"/>
        </w:rPr>
        <w:t>Lot and his family picture the Church as those of the fallen sons of Adam who, by God’s mere good pleasure, are “scarcely saved” (1 Peter 4:17-18).</w:t>
      </w:r>
    </w:p>
    <w:p w14:paraId="646CEC04">
      <w:pPr>
        <w:tabs>
          <w:tab w:val="left" w:pos="280"/>
        </w:tabs>
        <w:bidi w:val="0"/>
        <w:jc w:val="left"/>
        <w:rPr>
          <w:rFonts w:hint="eastAsia" w:eastAsia="宋体"/>
          <w:sz w:val="30"/>
          <w:szCs w:val="30"/>
          <w:lang w:eastAsia="zh-CN"/>
        </w:rPr>
      </w:pPr>
      <w:r>
        <w:rPr>
          <w:rFonts w:hint="eastAsia" w:eastAsia="宋体"/>
          <w:sz w:val="30"/>
          <w:szCs w:val="30"/>
          <w:lang w:eastAsia="zh-CN"/>
        </w:rPr>
        <w:t>罗得和他的家人描绘了教会，作为亚当堕落的子孙中那些仅凭上帝的美意而“仅仅得救”的人（彼前 4:17-18）。</w:t>
      </w:r>
    </w:p>
    <w:p w14:paraId="28D6B694">
      <w:pPr>
        <w:tabs>
          <w:tab w:val="left" w:pos="280"/>
        </w:tabs>
        <w:bidi w:val="0"/>
        <w:jc w:val="left"/>
        <w:rPr>
          <w:rFonts w:hint="eastAsia" w:eastAsia="宋体"/>
          <w:sz w:val="30"/>
          <w:szCs w:val="30"/>
          <w:lang w:eastAsia="zh-CN"/>
        </w:rPr>
      </w:pPr>
    </w:p>
    <w:p w14:paraId="76FC7F32">
      <w:pPr>
        <w:tabs>
          <w:tab w:val="left" w:pos="280"/>
        </w:tabs>
        <w:bidi w:val="0"/>
        <w:jc w:val="left"/>
        <w:rPr>
          <w:rFonts w:hint="eastAsia" w:eastAsia="宋体"/>
          <w:sz w:val="30"/>
          <w:szCs w:val="30"/>
          <w:lang w:eastAsia="zh-CN"/>
        </w:rPr>
      </w:pPr>
      <w:r>
        <w:rPr>
          <w:rFonts w:hint="eastAsia" w:eastAsia="宋体"/>
          <w:sz w:val="30"/>
          <w:szCs w:val="30"/>
          <w:lang w:eastAsia="zh-CN"/>
        </w:rPr>
        <w:t>Meanwhile, Abraham seems to picture Christ himself (and/or the Church) as intercessor for the salvation of sinners, while the two angels picture the Church as evangelist to those sinners.</w:t>
      </w:r>
    </w:p>
    <w:p w14:paraId="1210E5C4">
      <w:pPr>
        <w:tabs>
          <w:tab w:val="left" w:pos="280"/>
        </w:tabs>
        <w:bidi w:val="0"/>
        <w:jc w:val="left"/>
        <w:rPr>
          <w:rFonts w:hint="eastAsia" w:eastAsia="宋体"/>
          <w:sz w:val="30"/>
          <w:szCs w:val="30"/>
          <w:lang w:eastAsia="zh-CN"/>
        </w:rPr>
      </w:pPr>
      <w:r>
        <w:rPr>
          <w:rFonts w:hint="eastAsia" w:eastAsia="宋体"/>
          <w:sz w:val="30"/>
          <w:szCs w:val="30"/>
          <w:lang w:eastAsia="zh-CN"/>
        </w:rPr>
        <w:t>与此同时，亚伯拉罕似乎描绘了基督自己（和/或教会）作为罪人得救的代求者，而两位天使则描绘了教会作为向那些罪人传福音的使者。</w:t>
      </w:r>
    </w:p>
    <w:p w14:paraId="66AF5F56">
      <w:pPr>
        <w:tabs>
          <w:tab w:val="left" w:pos="280"/>
        </w:tabs>
        <w:bidi w:val="0"/>
        <w:jc w:val="left"/>
        <w:rPr>
          <w:rFonts w:hint="eastAsia" w:eastAsia="宋体"/>
          <w:sz w:val="30"/>
          <w:szCs w:val="30"/>
          <w:lang w:eastAsia="zh-CN"/>
        </w:rPr>
      </w:pPr>
    </w:p>
    <w:p w14:paraId="7A09B85F">
      <w:pPr>
        <w:tabs>
          <w:tab w:val="left" w:pos="280"/>
        </w:tabs>
        <w:bidi w:val="0"/>
        <w:jc w:val="left"/>
        <w:rPr>
          <w:rFonts w:hint="eastAsia" w:eastAsia="宋体"/>
          <w:sz w:val="30"/>
          <w:szCs w:val="30"/>
          <w:lang w:eastAsia="zh-CN"/>
        </w:rPr>
      </w:pPr>
      <w:r>
        <w:rPr>
          <w:rFonts w:hint="eastAsia" w:eastAsia="宋体"/>
          <w:sz w:val="30"/>
          <w:szCs w:val="30"/>
          <w:lang w:eastAsia="zh-CN"/>
        </w:rPr>
        <w:t>In short, we glimpse here the twin the twin instrumentalities (i.e., intercessory prayer and Gospel proclamation) by which God, in the fullness of time, will be pleased to rescue a chosen people from the wrath to come (Mt. 3:7, 1 Thess. 1:10).</w:t>
      </w:r>
    </w:p>
    <w:p w14:paraId="490A7049">
      <w:pPr>
        <w:tabs>
          <w:tab w:val="left" w:pos="280"/>
        </w:tabs>
        <w:bidi w:val="0"/>
        <w:jc w:val="left"/>
        <w:rPr>
          <w:rFonts w:hint="eastAsia" w:eastAsia="宋体"/>
          <w:sz w:val="30"/>
          <w:szCs w:val="30"/>
          <w:lang w:eastAsia="zh-CN"/>
        </w:rPr>
      </w:pPr>
      <w:r>
        <w:rPr>
          <w:rFonts w:hint="eastAsia" w:eastAsia="宋体"/>
          <w:sz w:val="30"/>
          <w:szCs w:val="30"/>
          <w:lang w:eastAsia="zh-CN"/>
        </w:rPr>
        <w:t>简而言之，我们在此瞥见了双重工具（即代祷和福音宣讲），上帝在时候满足时，将乐意藉此从将来的忿怒中拯救一群被拣选的子民（太 3:7, 帖前 1:10）。</w:t>
      </w:r>
    </w:p>
    <w:p w14:paraId="30C1B9EF">
      <w:pPr>
        <w:tabs>
          <w:tab w:val="left" w:pos="280"/>
        </w:tabs>
        <w:bidi w:val="0"/>
        <w:jc w:val="left"/>
        <w:rPr>
          <w:rFonts w:hint="eastAsia" w:eastAsia="宋体"/>
          <w:sz w:val="30"/>
          <w:szCs w:val="30"/>
          <w:lang w:eastAsia="zh-CN"/>
        </w:rPr>
      </w:pPr>
    </w:p>
    <w:p w14:paraId="7545B386">
      <w:pPr>
        <w:tabs>
          <w:tab w:val="left" w:pos="280"/>
        </w:tabs>
        <w:bidi w:val="0"/>
        <w:jc w:val="left"/>
        <w:rPr>
          <w:rFonts w:hint="eastAsia" w:eastAsia="宋体"/>
          <w:sz w:val="30"/>
          <w:szCs w:val="30"/>
          <w:lang w:eastAsia="zh-CN"/>
        </w:rPr>
      </w:pPr>
      <w:r>
        <w:rPr>
          <w:rFonts w:hint="eastAsia" w:eastAsia="宋体"/>
          <w:sz w:val="30"/>
          <w:szCs w:val="30"/>
          <w:lang w:eastAsia="zh-CN"/>
        </w:rPr>
        <w:t>How, then, has the Spirit portrayed the Kingdom of God in the Abrahamic Covenant?</w:t>
      </w:r>
    </w:p>
    <w:p w14:paraId="60DCBEE4">
      <w:pPr>
        <w:tabs>
          <w:tab w:val="left" w:pos="280"/>
        </w:tabs>
        <w:bidi w:val="0"/>
        <w:jc w:val="left"/>
        <w:rPr>
          <w:rFonts w:hint="eastAsia" w:eastAsia="宋体"/>
          <w:sz w:val="30"/>
          <w:szCs w:val="30"/>
          <w:lang w:eastAsia="zh-CN"/>
        </w:rPr>
      </w:pPr>
      <w:r>
        <w:rPr>
          <w:rFonts w:hint="eastAsia" w:eastAsia="宋体"/>
          <w:sz w:val="30"/>
          <w:szCs w:val="30"/>
          <w:lang w:eastAsia="zh-CN"/>
        </w:rPr>
        <w:t>那么，圣灵是如何在亚伯拉罕之约中描绘上帝的国呢？</w:t>
      </w:r>
    </w:p>
    <w:p w14:paraId="69480BDC">
      <w:pPr>
        <w:tabs>
          <w:tab w:val="left" w:pos="280"/>
        </w:tabs>
        <w:bidi w:val="0"/>
        <w:jc w:val="left"/>
        <w:rPr>
          <w:rFonts w:hint="eastAsia" w:eastAsia="宋体"/>
          <w:sz w:val="30"/>
          <w:szCs w:val="30"/>
          <w:lang w:eastAsia="zh-CN"/>
        </w:rPr>
      </w:pPr>
    </w:p>
    <w:p w14:paraId="1A1CABC9">
      <w:pPr>
        <w:tabs>
          <w:tab w:val="left" w:pos="280"/>
        </w:tabs>
        <w:bidi w:val="0"/>
        <w:jc w:val="left"/>
        <w:rPr>
          <w:rFonts w:hint="eastAsia" w:eastAsia="宋体"/>
          <w:sz w:val="30"/>
          <w:szCs w:val="30"/>
          <w:lang w:eastAsia="zh-CN"/>
        </w:rPr>
      </w:pPr>
      <w:r>
        <w:rPr>
          <w:rFonts w:hint="eastAsia" w:eastAsia="宋体"/>
          <w:sz w:val="30"/>
          <w:szCs w:val="30"/>
          <w:lang w:eastAsia="zh-CN"/>
        </w:rPr>
        <w:t>Doubtless in several ways, but most prominently in the overall arc of Abraham’s life itself.2</w:t>
      </w:r>
    </w:p>
    <w:p w14:paraId="727BE760">
      <w:pPr>
        <w:tabs>
          <w:tab w:val="left" w:pos="280"/>
        </w:tabs>
        <w:bidi w:val="0"/>
        <w:jc w:val="left"/>
        <w:rPr>
          <w:rFonts w:hint="eastAsia" w:eastAsia="宋体"/>
          <w:sz w:val="30"/>
          <w:szCs w:val="30"/>
          <w:lang w:eastAsia="zh-CN"/>
        </w:rPr>
      </w:pPr>
      <w:r>
        <w:rPr>
          <w:rFonts w:hint="eastAsia" w:eastAsia="宋体"/>
          <w:sz w:val="30"/>
          <w:szCs w:val="30"/>
          <w:lang w:eastAsia="zh-CN"/>
        </w:rPr>
        <w:t>无疑有几种方式，但最突出的是在亚伯拉罕生命本身的整体弧线中。2</w:t>
      </w:r>
    </w:p>
    <w:p w14:paraId="740ED641">
      <w:pPr>
        <w:tabs>
          <w:tab w:val="left" w:pos="280"/>
        </w:tabs>
        <w:bidi w:val="0"/>
        <w:jc w:val="left"/>
        <w:rPr>
          <w:rFonts w:hint="eastAsia" w:eastAsia="宋体"/>
          <w:sz w:val="30"/>
          <w:szCs w:val="30"/>
          <w:lang w:eastAsia="zh-CN"/>
        </w:rPr>
      </w:pPr>
    </w:p>
    <w:p w14:paraId="05938A6A">
      <w:pPr>
        <w:tabs>
          <w:tab w:val="left" w:pos="280"/>
        </w:tabs>
        <w:bidi w:val="0"/>
        <w:jc w:val="left"/>
        <w:rPr>
          <w:rFonts w:hint="eastAsia" w:eastAsia="宋体"/>
          <w:sz w:val="30"/>
          <w:szCs w:val="30"/>
          <w:lang w:eastAsia="zh-CN"/>
        </w:rPr>
      </w:pPr>
      <w:r>
        <w:rPr>
          <w:rFonts w:hint="eastAsia" w:eastAsia="宋体"/>
          <w:sz w:val="30"/>
          <w:szCs w:val="30"/>
          <w:lang w:eastAsia="zh-CN"/>
        </w:rPr>
        <w:t>We first meet him as a citizen of Babylon, dwelling among idolaters, serving other gods (Josh 24:2).</w:t>
      </w:r>
    </w:p>
    <w:p w14:paraId="7AB2DF90">
      <w:pPr>
        <w:tabs>
          <w:tab w:val="left" w:pos="280"/>
        </w:tabs>
        <w:bidi w:val="0"/>
        <w:jc w:val="left"/>
        <w:rPr>
          <w:rFonts w:hint="eastAsia" w:eastAsia="宋体"/>
          <w:sz w:val="30"/>
          <w:szCs w:val="30"/>
          <w:lang w:eastAsia="zh-CN"/>
        </w:rPr>
      </w:pPr>
      <w:r>
        <w:rPr>
          <w:rFonts w:hint="eastAsia" w:eastAsia="宋体"/>
          <w:sz w:val="30"/>
          <w:szCs w:val="30"/>
          <w:lang w:eastAsia="zh-CN"/>
        </w:rPr>
        <w:t>我们初次遇见他时，他是巴比伦的公民，住在拜偶像的人中间，事奉别神（书 24:2）。</w:t>
      </w:r>
    </w:p>
    <w:p w14:paraId="131EBAD5">
      <w:pPr>
        <w:tabs>
          <w:tab w:val="left" w:pos="280"/>
        </w:tabs>
        <w:bidi w:val="0"/>
        <w:jc w:val="left"/>
        <w:rPr>
          <w:rFonts w:hint="eastAsia" w:eastAsia="宋体"/>
          <w:sz w:val="30"/>
          <w:szCs w:val="30"/>
          <w:lang w:eastAsia="zh-CN"/>
        </w:rPr>
      </w:pPr>
    </w:p>
    <w:p w14:paraId="16498905">
      <w:pPr>
        <w:tabs>
          <w:tab w:val="left" w:pos="280"/>
        </w:tabs>
        <w:bidi w:val="0"/>
        <w:jc w:val="left"/>
        <w:rPr>
          <w:rFonts w:hint="eastAsia" w:eastAsia="宋体"/>
          <w:sz w:val="30"/>
          <w:szCs w:val="30"/>
          <w:lang w:eastAsia="zh-CN"/>
        </w:rPr>
      </w:pPr>
      <w:r>
        <w:rPr>
          <w:rFonts w:hint="eastAsia" w:eastAsia="宋体"/>
          <w:sz w:val="30"/>
          <w:szCs w:val="30"/>
          <w:lang w:eastAsia="zh-CN"/>
        </w:rPr>
        <w:t>This pictures God’s elect prior to their conversion, living as slaves of Satan in the Domain of Darkness.</w:t>
      </w:r>
    </w:p>
    <w:p w14:paraId="49DE330A">
      <w:pPr>
        <w:tabs>
          <w:tab w:val="left" w:pos="280"/>
        </w:tabs>
        <w:bidi w:val="0"/>
        <w:jc w:val="left"/>
        <w:rPr>
          <w:rFonts w:hint="eastAsia" w:eastAsia="宋体"/>
          <w:sz w:val="30"/>
          <w:szCs w:val="30"/>
          <w:lang w:eastAsia="zh-CN"/>
        </w:rPr>
      </w:pPr>
      <w:r>
        <w:rPr>
          <w:rFonts w:hint="eastAsia" w:eastAsia="宋体"/>
          <w:sz w:val="30"/>
          <w:szCs w:val="30"/>
          <w:lang w:eastAsia="zh-CN"/>
        </w:rPr>
        <w:t>这描绘了上帝的选民在归信之前，作为撒但的奴隶生活在黑暗的权势之下。</w:t>
      </w:r>
    </w:p>
    <w:p w14:paraId="6249EC08">
      <w:pPr>
        <w:tabs>
          <w:tab w:val="left" w:pos="280"/>
        </w:tabs>
        <w:bidi w:val="0"/>
        <w:jc w:val="left"/>
        <w:rPr>
          <w:rFonts w:hint="eastAsia" w:eastAsia="宋体"/>
          <w:sz w:val="30"/>
          <w:szCs w:val="30"/>
          <w:lang w:eastAsia="zh-CN"/>
        </w:rPr>
      </w:pPr>
    </w:p>
    <w:p w14:paraId="4F39033C">
      <w:pPr>
        <w:tabs>
          <w:tab w:val="left" w:pos="280"/>
        </w:tabs>
        <w:bidi w:val="0"/>
        <w:jc w:val="left"/>
        <w:rPr>
          <w:rFonts w:hint="eastAsia" w:eastAsia="宋体"/>
          <w:sz w:val="30"/>
          <w:szCs w:val="30"/>
          <w:lang w:eastAsia="zh-CN"/>
        </w:rPr>
      </w:pPr>
      <w:r>
        <w:rPr>
          <w:rFonts w:hint="eastAsia" w:eastAsia="宋体"/>
          <w:sz w:val="30"/>
          <w:szCs w:val="30"/>
          <w:lang w:eastAsia="zh-CN"/>
        </w:rPr>
        <w:t>Then we hear the call of Abraham, a call that comes with lavish promises, all of which he heartily embraces by faith.</w:t>
      </w:r>
    </w:p>
    <w:p w14:paraId="4F7EA0F4">
      <w:pPr>
        <w:tabs>
          <w:tab w:val="left" w:pos="280"/>
        </w:tabs>
        <w:bidi w:val="0"/>
        <w:jc w:val="left"/>
        <w:rPr>
          <w:rFonts w:hint="eastAsia" w:eastAsia="宋体"/>
          <w:sz w:val="30"/>
          <w:szCs w:val="30"/>
          <w:lang w:eastAsia="zh-CN"/>
        </w:rPr>
      </w:pPr>
      <w:r>
        <w:rPr>
          <w:rFonts w:hint="eastAsia" w:eastAsia="宋体"/>
          <w:sz w:val="30"/>
          <w:szCs w:val="30"/>
          <w:lang w:eastAsia="zh-CN"/>
        </w:rPr>
        <w:t>然后我们听到亚伯拉罕的呼召，这个呼召带来了丰厚的应许，他凭着信心衷心地接受了所有这些应许。</w:t>
      </w:r>
    </w:p>
    <w:p w14:paraId="18C2E668">
      <w:pPr>
        <w:tabs>
          <w:tab w:val="left" w:pos="280"/>
        </w:tabs>
        <w:bidi w:val="0"/>
        <w:jc w:val="left"/>
        <w:rPr>
          <w:rFonts w:hint="eastAsia" w:eastAsia="宋体"/>
          <w:sz w:val="30"/>
          <w:szCs w:val="30"/>
          <w:lang w:eastAsia="zh-CN"/>
        </w:rPr>
      </w:pPr>
    </w:p>
    <w:p w14:paraId="1C446328">
      <w:pPr>
        <w:tabs>
          <w:tab w:val="left" w:pos="280"/>
        </w:tabs>
        <w:bidi w:val="0"/>
        <w:jc w:val="left"/>
        <w:rPr>
          <w:rFonts w:hint="eastAsia" w:eastAsia="宋体"/>
          <w:sz w:val="30"/>
          <w:szCs w:val="30"/>
          <w:lang w:eastAsia="zh-CN"/>
        </w:rPr>
      </w:pPr>
      <w:r>
        <w:rPr>
          <w:rFonts w:hint="eastAsia" w:eastAsia="宋体"/>
          <w:sz w:val="30"/>
          <w:szCs w:val="30"/>
          <w:lang w:eastAsia="zh-CN"/>
        </w:rPr>
        <w:t>This corresponds to the effectual call of God who, through the preaching of the Gospel, brings his chosen people to faith in Christ, seals them with the Spirit, places them under Christ’s heavenly reign, and bids them walk with him in holiness and obedience, as citizens of his spiritual Kingdom, all the days of their life.</w:t>
      </w:r>
    </w:p>
    <w:p w14:paraId="7EF81DF0">
      <w:pPr>
        <w:tabs>
          <w:tab w:val="left" w:pos="280"/>
        </w:tabs>
        <w:bidi w:val="0"/>
        <w:jc w:val="left"/>
        <w:rPr>
          <w:rFonts w:hint="eastAsia" w:eastAsia="宋体"/>
          <w:sz w:val="30"/>
          <w:szCs w:val="30"/>
          <w:lang w:eastAsia="zh-CN"/>
        </w:rPr>
      </w:pPr>
      <w:r>
        <w:rPr>
          <w:rFonts w:hint="eastAsia" w:eastAsia="宋体"/>
          <w:sz w:val="30"/>
          <w:szCs w:val="30"/>
          <w:lang w:eastAsia="zh-CN"/>
        </w:rPr>
        <w:t>这对应于上帝有效的呼召，祂藉着福音的传讲，使祂的选民信靠基督，用圣灵给他们印记，将他们置于基督属天的统治之下，并吩咐他们一生一世在圣洁和顺服中与祂同行，作为祂属灵国度的公民。</w:t>
      </w:r>
    </w:p>
    <w:p w14:paraId="24A41D7A">
      <w:pPr>
        <w:tabs>
          <w:tab w:val="left" w:pos="280"/>
        </w:tabs>
        <w:bidi w:val="0"/>
        <w:jc w:val="left"/>
        <w:rPr>
          <w:rFonts w:hint="eastAsia" w:eastAsia="宋体"/>
          <w:sz w:val="30"/>
          <w:szCs w:val="30"/>
          <w:lang w:eastAsia="zh-CN"/>
        </w:rPr>
      </w:pPr>
    </w:p>
    <w:p w14:paraId="3B1FFCBA">
      <w:pPr>
        <w:tabs>
          <w:tab w:val="left" w:pos="280"/>
        </w:tabs>
        <w:bidi w:val="0"/>
        <w:jc w:val="left"/>
        <w:rPr>
          <w:rFonts w:hint="eastAsia" w:eastAsia="宋体"/>
          <w:sz w:val="30"/>
          <w:szCs w:val="30"/>
          <w:lang w:eastAsia="zh-CN"/>
        </w:rPr>
      </w:pPr>
      <w:r>
        <w:rPr>
          <w:rFonts w:hint="eastAsia" w:eastAsia="宋体"/>
          <w:sz w:val="30"/>
          <w:szCs w:val="30"/>
          <w:lang w:eastAsia="zh-CN"/>
        </w:rPr>
        <w:t>Finally, we observe Abraham sojourning in the land of promise, serving his friends, eluding his enemies, continually growing in wealth, often meeting with God—and always worshiping God—here and there along the way.</w:t>
      </w:r>
    </w:p>
    <w:p w14:paraId="36D1B197">
      <w:pPr>
        <w:tabs>
          <w:tab w:val="left" w:pos="280"/>
        </w:tabs>
        <w:bidi w:val="0"/>
        <w:jc w:val="left"/>
        <w:rPr>
          <w:rFonts w:hint="eastAsia" w:eastAsia="宋体"/>
          <w:sz w:val="30"/>
          <w:szCs w:val="30"/>
          <w:lang w:eastAsia="zh-CN"/>
        </w:rPr>
      </w:pPr>
      <w:r>
        <w:rPr>
          <w:rFonts w:hint="eastAsia" w:eastAsia="宋体"/>
          <w:sz w:val="30"/>
          <w:szCs w:val="30"/>
          <w:lang w:eastAsia="zh-CN"/>
        </w:rPr>
        <w:t>最后，我们观察到亚伯拉罕在应许之地寄居，服事他的朋友，躲避他的仇敌，财富不断增长，时常与上帝相遇——并且一路上随处敬拜上帝。</w:t>
      </w:r>
    </w:p>
    <w:p w14:paraId="38B72FC9">
      <w:pPr>
        <w:tabs>
          <w:tab w:val="left" w:pos="280"/>
        </w:tabs>
        <w:bidi w:val="0"/>
        <w:jc w:val="left"/>
        <w:rPr>
          <w:rFonts w:hint="eastAsia" w:eastAsia="宋体"/>
          <w:sz w:val="30"/>
          <w:szCs w:val="30"/>
          <w:lang w:eastAsia="zh-CN"/>
        </w:rPr>
      </w:pPr>
    </w:p>
    <w:p w14:paraId="6C836F46">
      <w:pPr>
        <w:tabs>
          <w:tab w:val="left" w:pos="280"/>
        </w:tabs>
        <w:bidi w:val="0"/>
        <w:jc w:val="left"/>
        <w:rPr>
          <w:rFonts w:hint="eastAsia" w:eastAsia="宋体"/>
          <w:sz w:val="30"/>
          <w:szCs w:val="30"/>
          <w:lang w:eastAsia="zh-CN"/>
        </w:rPr>
      </w:pPr>
      <w:r>
        <w:rPr>
          <w:rFonts w:hint="eastAsia" w:eastAsia="宋体"/>
          <w:sz w:val="30"/>
          <w:szCs w:val="30"/>
          <w:lang w:eastAsia="zh-CN"/>
        </w:rPr>
        <w:t>All of this richly pictures the Church militant making her own pilgrimage through the world, a world that God has promised to give her, in glory, at Christ’s return.</w:t>
      </w:r>
    </w:p>
    <w:p w14:paraId="1655DE99">
      <w:pPr>
        <w:tabs>
          <w:tab w:val="left" w:pos="280"/>
        </w:tabs>
        <w:bidi w:val="0"/>
        <w:jc w:val="left"/>
        <w:rPr>
          <w:rFonts w:hint="eastAsia" w:eastAsia="宋体"/>
          <w:sz w:val="30"/>
          <w:szCs w:val="30"/>
          <w:lang w:eastAsia="zh-CN"/>
        </w:rPr>
      </w:pPr>
      <w:r>
        <w:rPr>
          <w:rFonts w:hint="eastAsia" w:eastAsia="宋体"/>
          <w:sz w:val="30"/>
          <w:szCs w:val="30"/>
          <w:lang w:eastAsia="zh-CN"/>
        </w:rPr>
        <w:t>所有这一切都丰富地描绘了争战的教会在世上进行自己的朝圣之旅，这个世界是上帝应许在基督再来时，在荣耀中赐给她的。</w:t>
      </w:r>
    </w:p>
    <w:p w14:paraId="5C6637A5">
      <w:pPr>
        <w:tabs>
          <w:tab w:val="left" w:pos="280"/>
        </w:tabs>
        <w:bidi w:val="0"/>
        <w:jc w:val="left"/>
        <w:rPr>
          <w:rFonts w:hint="eastAsia" w:eastAsia="宋体"/>
          <w:sz w:val="30"/>
          <w:szCs w:val="30"/>
          <w:lang w:eastAsia="zh-CN"/>
        </w:rPr>
      </w:pPr>
    </w:p>
    <w:p w14:paraId="513779AB">
      <w:pPr>
        <w:tabs>
          <w:tab w:val="left" w:pos="280"/>
        </w:tabs>
        <w:bidi w:val="0"/>
        <w:jc w:val="left"/>
        <w:rPr>
          <w:rFonts w:hint="eastAsia" w:eastAsia="宋体"/>
          <w:sz w:val="30"/>
          <w:szCs w:val="30"/>
          <w:lang w:eastAsia="zh-CN"/>
        </w:rPr>
      </w:pPr>
      <w:r>
        <w:rPr>
          <w:rFonts w:hint="eastAsia" w:eastAsia="宋体"/>
          <w:sz w:val="30"/>
          <w:szCs w:val="30"/>
          <w:lang w:eastAsia="zh-CN"/>
        </w:rPr>
        <w:t>It is a world whose kings and peoples often hate her, but who sometimes join her, catching the vision of father Abraham, the vision of a City and a heavenly homeland still to come: the consummated Kingdom of God (Heb. 11: 8-16).</w:t>
      </w:r>
    </w:p>
    <w:p w14:paraId="52946C20">
      <w:pPr>
        <w:tabs>
          <w:tab w:val="left" w:pos="280"/>
        </w:tabs>
        <w:bidi w:val="0"/>
        <w:jc w:val="left"/>
        <w:rPr>
          <w:rFonts w:hint="eastAsia" w:eastAsia="宋体"/>
          <w:sz w:val="30"/>
          <w:szCs w:val="30"/>
          <w:lang w:eastAsia="zh-CN"/>
        </w:rPr>
      </w:pPr>
      <w:r>
        <w:rPr>
          <w:rFonts w:hint="eastAsia" w:eastAsia="宋体"/>
          <w:sz w:val="30"/>
          <w:szCs w:val="30"/>
          <w:lang w:eastAsia="zh-CN"/>
        </w:rPr>
        <w:t>这是一个其君王和人民常常恨她的世界，但有时也加入她，领会了父亚伯拉罕的异象，即一个尚未来临的城和一个属天的家乡的异象：那最终成全的上帝之国（来 11:8-16）。</w:t>
      </w:r>
    </w:p>
    <w:p w14:paraId="38C8D9F1">
      <w:pPr>
        <w:tabs>
          <w:tab w:val="left" w:pos="280"/>
        </w:tabs>
        <w:bidi w:val="0"/>
        <w:jc w:val="left"/>
        <w:rPr>
          <w:rFonts w:hint="eastAsia" w:eastAsia="宋体"/>
          <w:sz w:val="30"/>
          <w:szCs w:val="30"/>
          <w:lang w:eastAsia="zh-CN"/>
        </w:rPr>
      </w:pPr>
    </w:p>
    <w:p w14:paraId="38F76866">
      <w:pPr>
        <w:tabs>
          <w:tab w:val="left" w:pos="280"/>
        </w:tabs>
        <w:bidi w:val="0"/>
        <w:jc w:val="left"/>
        <w:rPr>
          <w:rFonts w:hint="eastAsia" w:eastAsia="宋体"/>
          <w:sz w:val="30"/>
          <w:szCs w:val="30"/>
          <w:lang w:eastAsia="zh-CN"/>
        </w:rPr>
      </w:pPr>
      <w:r>
        <w:rPr>
          <w:rFonts w:hint="eastAsia" w:eastAsia="宋体"/>
          <w:sz w:val="30"/>
          <w:szCs w:val="30"/>
          <w:lang w:eastAsia="zh-CN"/>
        </w:rPr>
        <w:t>If the Kingdom were an ideal Mosaic theocracy, we certainly could not see it in the life and times of father Abraham.</w:t>
      </w:r>
    </w:p>
    <w:p w14:paraId="09C8E425">
      <w:pPr>
        <w:tabs>
          <w:tab w:val="left" w:pos="280"/>
        </w:tabs>
        <w:bidi w:val="0"/>
        <w:jc w:val="left"/>
        <w:rPr>
          <w:rFonts w:hint="eastAsia" w:eastAsia="宋体"/>
          <w:sz w:val="30"/>
          <w:szCs w:val="30"/>
          <w:lang w:eastAsia="zh-CN"/>
        </w:rPr>
      </w:pPr>
      <w:r>
        <w:rPr>
          <w:rFonts w:hint="eastAsia" w:eastAsia="宋体"/>
          <w:sz w:val="30"/>
          <w:szCs w:val="30"/>
          <w:lang w:eastAsia="zh-CN"/>
        </w:rPr>
        <w:t>如果国度是一个理想的摩西式神权政体，我们肯定无法在父亚伯拉罕的生活和时代中看到它。</w:t>
      </w:r>
    </w:p>
    <w:p w14:paraId="4A953D09">
      <w:pPr>
        <w:tabs>
          <w:tab w:val="left" w:pos="280"/>
        </w:tabs>
        <w:bidi w:val="0"/>
        <w:jc w:val="left"/>
        <w:rPr>
          <w:rFonts w:hint="eastAsia" w:eastAsia="宋体"/>
          <w:sz w:val="30"/>
          <w:szCs w:val="30"/>
          <w:lang w:eastAsia="zh-CN"/>
        </w:rPr>
      </w:pPr>
    </w:p>
    <w:p w14:paraId="3A57DD54">
      <w:pPr>
        <w:tabs>
          <w:tab w:val="left" w:pos="280"/>
        </w:tabs>
        <w:bidi w:val="0"/>
        <w:jc w:val="left"/>
        <w:rPr>
          <w:rFonts w:hint="eastAsia" w:eastAsia="宋体"/>
          <w:sz w:val="30"/>
          <w:szCs w:val="30"/>
          <w:lang w:eastAsia="zh-CN"/>
        </w:rPr>
      </w:pPr>
      <w:r>
        <w:rPr>
          <w:rFonts w:hint="eastAsia" w:eastAsia="宋体"/>
          <w:sz w:val="30"/>
          <w:szCs w:val="30"/>
          <w:lang w:eastAsia="zh-CN"/>
        </w:rPr>
        <w:t>But according to Christ and the apostles, it is not a theocracy.</w:t>
      </w:r>
    </w:p>
    <w:p w14:paraId="0404A0C3">
      <w:pPr>
        <w:tabs>
          <w:tab w:val="left" w:pos="280"/>
        </w:tabs>
        <w:bidi w:val="0"/>
        <w:jc w:val="left"/>
        <w:rPr>
          <w:rFonts w:hint="eastAsia" w:eastAsia="宋体"/>
          <w:sz w:val="30"/>
          <w:szCs w:val="30"/>
          <w:lang w:eastAsia="zh-CN"/>
        </w:rPr>
      </w:pPr>
      <w:r>
        <w:rPr>
          <w:rFonts w:hint="eastAsia" w:eastAsia="宋体"/>
          <w:sz w:val="30"/>
          <w:szCs w:val="30"/>
          <w:lang w:eastAsia="zh-CN"/>
        </w:rPr>
        <w:t>但根据基督和使徒们的说法，它不是一个神权政体。</w:t>
      </w:r>
    </w:p>
    <w:p w14:paraId="1E5350C1">
      <w:pPr>
        <w:tabs>
          <w:tab w:val="left" w:pos="280"/>
        </w:tabs>
        <w:bidi w:val="0"/>
        <w:jc w:val="left"/>
        <w:rPr>
          <w:rFonts w:hint="eastAsia" w:eastAsia="宋体"/>
          <w:sz w:val="30"/>
          <w:szCs w:val="30"/>
          <w:lang w:eastAsia="zh-CN"/>
        </w:rPr>
      </w:pPr>
    </w:p>
    <w:p w14:paraId="0210B288">
      <w:pPr>
        <w:tabs>
          <w:tab w:val="left" w:pos="280"/>
        </w:tabs>
        <w:bidi w:val="0"/>
        <w:jc w:val="left"/>
        <w:rPr>
          <w:rFonts w:hint="eastAsia" w:eastAsia="宋体"/>
          <w:sz w:val="30"/>
          <w:szCs w:val="30"/>
          <w:lang w:eastAsia="zh-CN"/>
        </w:rPr>
      </w:pPr>
      <w:r>
        <w:rPr>
          <w:rFonts w:hint="eastAsia" w:eastAsia="宋体"/>
          <w:sz w:val="30"/>
          <w:szCs w:val="30"/>
          <w:lang w:eastAsia="zh-CN"/>
        </w:rPr>
        <w:t>Rather, it is a Christ-centered, two-staged, redemptive reign of God.</w:t>
      </w:r>
    </w:p>
    <w:p w14:paraId="706D9A89">
      <w:pPr>
        <w:tabs>
          <w:tab w:val="left" w:pos="280"/>
        </w:tabs>
        <w:bidi w:val="0"/>
        <w:jc w:val="left"/>
        <w:rPr>
          <w:rFonts w:hint="eastAsia" w:eastAsia="宋体"/>
          <w:sz w:val="30"/>
          <w:szCs w:val="30"/>
          <w:lang w:eastAsia="zh-CN"/>
        </w:rPr>
      </w:pPr>
      <w:r>
        <w:rPr>
          <w:rFonts w:hint="eastAsia" w:eastAsia="宋体"/>
          <w:sz w:val="30"/>
          <w:szCs w:val="30"/>
          <w:lang w:eastAsia="zh-CN"/>
        </w:rPr>
        <w:t>相反，它是一个以基督为中心、分两个阶段的、上帝的救赎性统治。</w:t>
      </w:r>
    </w:p>
    <w:p w14:paraId="076A8ECE">
      <w:pPr>
        <w:tabs>
          <w:tab w:val="left" w:pos="280"/>
        </w:tabs>
        <w:bidi w:val="0"/>
        <w:jc w:val="left"/>
        <w:rPr>
          <w:rFonts w:hint="eastAsia" w:eastAsia="宋体"/>
          <w:sz w:val="30"/>
          <w:szCs w:val="30"/>
          <w:lang w:eastAsia="zh-CN"/>
        </w:rPr>
      </w:pPr>
    </w:p>
    <w:p w14:paraId="00735DA4">
      <w:pPr>
        <w:tabs>
          <w:tab w:val="left" w:pos="280"/>
        </w:tabs>
        <w:bidi w:val="0"/>
        <w:jc w:val="left"/>
        <w:rPr>
          <w:rFonts w:hint="eastAsia" w:eastAsia="宋体"/>
          <w:sz w:val="30"/>
          <w:szCs w:val="30"/>
          <w:lang w:eastAsia="zh-CN"/>
        </w:rPr>
      </w:pPr>
      <w:r>
        <w:rPr>
          <w:rFonts w:hint="eastAsia" w:eastAsia="宋体"/>
          <w:sz w:val="30"/>
          <w:szCs w:val="30"/>
          <w:lang w:eastAsia="zh-CN"/>
        </w:rPr>
        <w:t>New Covenant theology enables us to understand this, and the NCH enables us to see it—with eyes opened wide—in the life and times of father Abraham.</w:t>
      </w:r>
    </w:p>
    <w:p w14:paraId="3F75B2A5">
      <w:pPr>
        <w:tabs>
          <w:tab w:val="left" w:pos="280"/>
        </w:tabs>
        <w:bidi w:val="0"/>
        <w:jc w:val="left"/>
        <w:rPr>
          <w:rFonts w:hint="eastAsia" w:eastAsia="宋体"/>
          <w:sz w:val="30"/>
          <w:szCs w:val="30"/>
          <w:lang w:eastAsia="zh-CN"/>
        </w:rPr>
      </w:pPr>
      <w:r>
        <w:rPr>
          <w:rFonts w:hint="eastAsia" w:eastAsia="宋体"/>
          <w:sz w:val="30"/>
          <w:szCs w:val="30"/>
          <w:lang w:eastAsia="zh-CN"/>
        </w:rPr>
        <w:t>新约神学使我们能够理解这一点，而新约释经学（NCH）则使我们能够——睁大眼睛——在父亚伯拉罕的生活和时代中看到它。</w:t>
      </w:r>
    </w:p>
    <w:p w14:paraId="54E322FE">
      <w:pPr>
        <w:tabs>
          <w:tab w:val="left" w:pos="280"/>
        </w:tabs>
        <w:bidi w:val="0"/>
        <w:jc w:val="left"/>
        <w:rPr>
          <w:rFonts w:hint="eastAsia" w:eastAsia="宋体"/>
          <w:sz w:val="30"/>
          <w:szCs w:val="30"/>
          <w:lang w:eastAsia="zh-CN"/>
        </w:rPr>
      </w:pPr>
    </w:p>
    <w:p w14:paraId="2341D2C9">
      <w:pPr>
        <w:tabs>
          <w:tab w:val="left" w:pos="280"/>
        </w:tabs>
        <w:bidi w:val="0"/>
        <w:jc w:val="left"/>
        <w:rPr>
          <w:rFonts w:hint="eastAsia" w:eastAsia="宋体"/>
          <w:sz w:val="30"/>
          <w:szCs w:val="30"/>
          <w:lang w:eastAsia="zh-CN"/>
        </w:rPr>
      </w:pPr>
      <w:r>
        <w:rPr>
          <w:rFonts w:hint="eastAsia" w:eastAsia="宋体"/>
          <w:sz w:val="30"/>
          <w:szCs w:val="30"/>
          <w:lang w:eastAsia="zh-CN"/>
        </w:rPr>
        <w:t>Thanks be to God for his indescribably wonderful gift!</w:t>
      </w:r>
    </w:p>
    <w:p w14:paraId="56418E81">
      <w:pPr>
        <w:tabs>
          <w:tab w:val="left" w:pos="280"/>
        </w:tabs>
        <w:bidi w:val="0"/>
        <w:jc w:val="left"/>
        <w:rPr>
          <w:rFonts w:hint="eastAsia" w:eastAsia="宋体"/>
          <w:sz w:val="30"/>
          <w:szCs w:val="30"/>
          <w:lang w:eastAsia="zh-CN"/>
        </w:rPr>
      </w:pPr>
      <w:r>
        <w:rPr>
          <w:rFonts w:hint="eastAsia" w:eastAsia="宋体"/>
          <w:sz w:val="30"/>
          <w:szCs w:val="30"/>
          <w:lang w:eastAsia="zh-CN"/>
        </w:rPr>
        <w:t>感谢上帝，因祂那难以形容的奇妙恩赐！</w:t>
      </w:r>
    </w:p>
    <w:p w14:paraId="3C31C729">
      <w:pPr>
        <w:tabs>
          <w:tab w:val="left" w:pos="280"/>
        </w:tabs>
        <w:bidi w:val="0"/>
        <w:jc w:val="left"/>
        <w:rPr>
          <w:rFonts w:hint="eastAsia" w:eastAsia="宋体"/>
          <w:sz w:val="30"/>
          <w:szCs w:val="30"/>
          <w:lang w:eastAsia="zh-CN"/>
        </w:rPr>
      </w:pPr>
    </w:p>
    <w:p w14:paraId="03CE2202">
      <w:pPr>
        <w:tabs>
          <w:tab w:val="left" w:pos="280"/>
        </w:tabs>
        <w:bidi w:val="0"/>
        <w:jc w:val="left"/>
        <w:rPr>
          <w:rFonts w:hint="eastAsia" w:eastAsia="宋体"/>
          <w:sz w:val="30"/>
          <w:szCs w:val="30"/>
          <w:lang w:eastAsia="zh-CN"/>
        </w:rPr>
      </w:pPr>
      <w:r>
        <w:rPr>
          <w:rFonts w:hint="eastAsia" w:eastAsia="宋体"/>
          <w:sz w:val="30"/>
          <w:szCs w:val="30"/>
          <w:lang w:eastAsia="zh-CN"/>
        </w:rPr>
        <w:t>The Kingdom and the Covenant with Israel</w:t>
      </w:r>
    </w:p>
    <w:p w14:paraId="6F92E5CD">
      <w:pPr>
        <w:tabs>
          <w:tab w:val="left" w:pos="280"/>
        </w:tabs>
        <w:bidi w:val="0"/>
        <w:jc w:val="left"/>
        <w:rPr>
          <w:rFonts w:hint="eastAsia" w:eastAsia="宋体"/>
          <w:sz w:val="30"/>
          <w:szCs w:val="30"/>
          <w:lang w:eastAsia="zh-CN"/>
        </w:rPr>
      </w:pPr>
      <w:r>
        <w:rPr>
          <w:rFonts w:hint="eastAsia" w:eastAsia="宋体"/>
          <w:sz w:val="30"/>
          <w:szCs w:val="30"/>
          <w:lang w:eastAsia="zh-CN"/>
        </w:rPr>
        <w:t>国度与以色列之约</w:t>
      </w:r>
    </w:p>
    <w:p w14:paraId="346E61F2">
      <w:pPr>
        <w:tabs>
          <w:tab w:val="left" w:pos="280"/>
        </w:tabs>
        <w:bidi w:val="0"/>
        <w:jc w:val="left"/>
        <w:rPr>
          <w:rFonts w:hint="eastAsia" w:eastAsia="宋体"/>
          <w:sz w:val="30"/>
          <w:szCs w:val="30"/>
          <w:lang w:eastAsia="zh-CN"/>
        </w:rPr>
      </w:pPr>
    </w:p>
    <w:p w14:paraId="37E2F160">
      <w:pPr>
        <w:tabs>
          <w:tab w:val="left" w:pos="280"/>
        </w:tabs>
        <w:bidi w:val="0"/>
        <w:jc w:val="left"/>
        <w:rPr>
          <w:rFonts w:hint="eastAsia" w:eastAsia="宋体"/>
          <w:sz w:val="30"/>
          <w:szCs w:val="30"/>
          <w:lang w:eastAsia="zh-CN"/>
        </w:rPr>
      </w:pPr>
      <w:r>
        <w:rPr>
          <w:rFonts w:hint="eastAsia" w:eastAsia="宋体"/>
          <w:sz w:val="30"/>
          <w:szCs w:val="30"/>
          <w:lang w:eastAsia="zh-CN"/>
        </w:rPr>
        <w:t>The final OT administration of the EC occurred in days of Moses, when God visited the enslaved family of Abraham in Egypt, delivered them from cruel bondage, and drew them into the wilderness of Sinai, there to renew the covenant he had made with Abraham.</w:t>
      </w:r>
    </w:p>
    <w:p w14:paraId="1FF28074">
      <w:pPr>
        <w:tabs>
          <w:tab w:val="left" w:pos="280"/>
        </w:tabs>
        <w:bidi w:val="0"/>
        <w:jc w:val="left"/>
        <w:rPr>
          <w:rFonts w:hint="eastAsia" w:eastAsia="宋体"/>
          <w:sz w:val="30"/>
          <w:szCs w:val="30"/>
          <w:lang w:eastAsia="zh-CN"/>
        </w:rPr>
      </w:pPr>
      <w:r>
        <w:rPr>
          <w:rFonts w:hint="eastAsia" w:eastAsia="宋体"/>
          <w:sz w:val="30"/>
          <w:szCs w:val="30"/>
          <w:lang w:eastAsia="zh-CN"/>
        </w:rPr>
        <w:t>永恒之约（EC）在旧约的最后一次施行发生在摩西的日子，当时上帝眷顾了在埃及为奴的亚伯拉罕家族，将他们从残酷的奴役中拯救出来，并带领他们进入西奈的旷野，在那里更新祂与亚伯拉罕所立的约。</w:t>
      </w:r>
    </w:p>
    <w:p w14:paraId="0DE7558A">
      <w:pPr>
        <w:tabs>
          <w:tab w:val="left" w:pos="280"/>
        </w:tabs>
        <w:bidi w:val="0"/>
        <w:jc w:val="left"/>
        <w:rPr>
          <w:rFonts w:hint="eastAsia" w:eastAsia="宋体"/>
          <w:sz w:val="30"/>
          <w:szCs w:val="30"/>
          <w:lang w:eastAsia="zh-CN"/>
        </w:rPr>
      </w:pPr>
    </w:p>
    <w:p w14:paraId="773A64A9">
      <w:pPr>
        <w:tabs>
          <w:tab w:val="left" w:pos="280"/>
        </w:tabs>
        <w:bidi w:val="0"/>
        <w:jc w:val="left"/>
        <w:rPr>
          <w:rFonts w:hint="eastAsia" w:eastAsia="宋体"/>
          <w:sz w:val="30"/>
          <w:szCs w:val="30"/>
          <w:lang w:eastAsia="zh-CN"/>
        </w:rPr>
      </w:pPr>
      <w:r>
        <w:rPr>
          <w:rFonts w:hint="eastAsia" w:eastAsia="宋体"/>
          <w:sz w:val="30"/>
          <w:szCs w:val="30"/>
          <w:lang w:eastAsia="zh-CN"/>
        </w:rPr>
        <w:t>Amidst a great (and significant) show of darkness and storm, he gave them a “fiery Law” beneath which they were called to live as a holy nation, forever planted in the land he had promised to their fathers.</w:t>
      </w:r>
    </w:p>
    <w:p w14:paraId="55A68514">
      <w:pPr>
        <w:tabs>
          <w:tab w:val="left" w:pos="280"/>
        </w:tabs>
        <w:bidi w:val="0"/>
        <w:jc w:val="left"/>
        <w:rPr>
          <w:rFonts w:hint="eastAsia" w:eastAsia="宋体"/>
          <w:sz w:val="30"/>
          <w:szCs w:val="30"/>
          <w:lang w:eastAsia="zh-CN"/>
        </w:rPr>
      </w:pPr>
      <w:r>
        <w:rPr>
          <w:rFonts w:hint="eastAsia" w:eastAsia="宋体"/>
          <w:sz w:val="30"/>
          <w:szCs w:val="30"/>
          <w:lang w:eastAsia="zh-CN"/>
        </w:rPr>
        <w:t>在黑暗和风暴的巨大（且重要的）景象中，祂赐给他们一部“烈火的律法”，他们被呼召在其下生活，作为一个圣洁的国度，永远栽植在祂应许给他们祖先的土地上。</w:t>
      </w:r>
    </w:p>
    <w:p w14:paraId="19CEE6D7">
      <w:pPr>
        <w:tabs>
          <w:tab w:val="left" w:pos="280"/>
        </w:tabs>
        <w:bidi w:val="0"/>
        <w:jc w:val="left"/>
        <w:rPr>
          <w:rFonts w:hint="eastAsia" w:eastAsia="宋体"/>
          <w:sz w:val="30"/>
          <w:szCs w:val="30"/>
          <w:lang w:eastAsia="zh-CN"/>
        </w:rPr>
      </w:pPr>
    </w:p>
    <w:p w14:paraId="1FB5C894">
      <w:pPr>
        <w:tabs>
          <w:tab w:val="left" w:pos="280"/>
        </w:tabs>
        <w:bidi w:val="0"/>
        <w:jc w:val="left"/>
        <w:rPr>
          <w:rFonts w:hint="eastAsia" w:eastAsia="宋体"/>
          <w:sz w:val="30"/>
          <w:szCs w:val="30"/>
          <w:lang w:eastAsia="zh-CN"/>
        </w:rPr>
      </w:pPr>
      <w:r>
        <w:rPr>
          <w:rFonts w:hint="eastAsia" w:eastAsia="宋体"/>
          <w:sz w:val="30"/>
          <w:szCs w:val="30"/>
          <w:lang w:eastAsia="zh-CN"/>
        </w:rPr>
        <w:t>He himself would be their God, and they his redeemed people, his own special treasure, chosen from among all the nations of the earth (Exodus 3:4-8, 6:2-8, 19:4-6, 32:13).</w:t>
      </w:r>
    </w:p>
    <w:p w14:paraId="62FFA50F">
      <w:pPr>
        <w:tabs>
          <w:tab w:val="left" w:pos="280"/>
        </w:tabs>
        <w:bidi w:val="0"/>
        <w:jc w:val="left"/>
        <w:rPr>
          <w:rFonts w:hint="eastAsia" w:eastAsia="宋体"/>
          <w:sz w:val="30"/>
          <w:szCs w:val="30"/>
          <w:lang w:eastAsia="zh-CN"/>
        </w:rPr>
      </w:pPr>
      <w:r>
        <w:rPr>
          <w:rFonts w:hint="eastAsia" w:eastAsia="宋体"/>
          <w:sz w:val="30"/>
          <w:szCs w:val="30"/>
          <w:lang w:eastAsia="zh-CN"/>
        </w:rPr>
        <w:t>祂自己要做他们的上帝，他们要做祂所救赎的子民，祂自己特别的珍宝，是从地上万民中拣选出来的（出埃及记 3:4-8, 6:2-8, 19:4-6, 32:13）。</w:t>
      </w:r>
    </w:p>
    <w:p w14:paraId="5B86DAF7">
      <w:pPr>
        <w:tabs>
          <w:tab w:val="left" w:pos="280"/>
        </w:tabs>
        <w:bidi w:val="0"/>
        <w:jc w:val="left"/>
        <w:rPr>
          <w:rFonts w:hint="eastAsia" w:eastAsia="宋体"/>
          <w:sz w:val="30"/>
          <w:szCs w:val="30"/>
          <w:lang w:eastAsia="zh-CN"/>
        </w:rPr>
      </w:pPr>
    </w:p>
    <w:p w14:paraId="7A306D9C">
      <w:pPr>
        <w:tabs>
          <w:tab w:val="left" w:pos="280"/>
        </w:tabs>
        <w:bidi w:val="0"/>
        <w:jc w:val="left"/>
        <w:rPr>
          <w:rFonts w:hint="eastAsia" w:eastAsia="宋体"/>
          <w:sz w:val="30"/>
          <w:szCs w:val="30"/>
          <w:lang w:eastAsia="zh-CN"/>
        </w:rPr>
      </w:pPr>
      <w:r>
        <w:rPr>
          <w:rFonts w:hint="eastAsia" w:eastAsia="宋体"/>
          <w:sz w:val="30"/>
          <w:szCs w:val="30"/>
          <w:lang w:eastAsia="zh-CN"/>
        </w:rPr>
        <w:t>As we shall see below, the Mosaic Law intricately displays the two essential characteristics of all the OT administrations of the EC: It actively prepares for the coming of the Promised Seed, even as it richly employs typological events and institutions to picture the fruits of his redemptive work.</w:t>
      </w:r>
    </w:p>
    <w:p w14:paraId="74AB75BE">
      <w:pPr>
        <w:tabs>
          <w:tab w:val="left" w:pos="280"/>
        </w:tabs>
        <w:bidi w:val="0"/>
        <w:jc w:val="left"/>
        <w:rPr>
          <w:rFonts w:hint="eastAsia" w:eastAsia="宋体"/>
          <w:sz w:val="30"/>
          <w:szCs w:val="30"/>
          <w:lang w:eastAsia="zh-CN"/>
        </w:rPr>
      </w:pPr>
      <w:r>
        <w:rPr>
          <w:rFonts w:hint="eastAsia" w:eastAsia="宋体"/>
          <w:sz w:val="30"/>
          <w:szCs w:val="30"/>
          <w:lang w:eastAsia="zh-CN"/>
        </w:rPr>
        <w:t>我们将在下面看到，摩西律法错综复杂地展示了所有旧约施行永恒之约（EC）的两个基本特征：它积极地为应许的后裔的到来作预备，同时又丰富地运用预表性的事件和制度来描绘祂救赎工作的果实。</w:t>
      </w:r>
    </w:p>
    <w:p w14:paraId="488F4B8B">
      <w:pPr>
        <w:tabs>
          <w:tab w:val="left" w:pos="280"/>
        </w:tabs>
        <w:bidi w:val="0"/>
        <w:jc w:val="left"/>
        <w:rPr>
          <w:rFonts w:hint="eastAsia" w:eastAsia="宋体"/>
          <w:sz w:val="30"/>
          <w:szCs w:val="30"/>
          <w:lang w:eastAsia="zh-CN"/>
        </w:rPr>
      </w:pPr>
    </w:p>
    <w:p w14:paraId="30B7C991">
      <w:pPr>
        <w:tabs>
          <w:tab w:val="left" w:pos="280"/>
        </w:tabs>
        <w:bidi w:val="0"/>
        <w:jc w:val="left"/>
        <w:rPr>
          <w:rFonts w:hint="eastAsia" w:eastAsia="宋体"/>
          <w:sz w:val="30"/>
          <w:szCs w:val="30"/>
          <w:lang w:eastAsia="zh-CN"/>
        </w:rPr>
      </w:pPr>
      <w:r>
        <w:rPr>
          <w:rFonts w:hint="eastAsia" w:eastAsia="宋体"/>
          <w:sz w:val="30"/>
          <w:szCs w:val="30"/>
          <w:lang w:eastAsia="zh-CN"/>
        </w:rPr>
        <w:t>In other words, the Mosaic Covenant was one with the preceding covenants, and all of them were one with the New and Eternal Covenant that is the Gospel (Psalm 105:8-10, Gal. 3:8, 15-22, Heb. 4:2, 13:20, 1 Peter 1:12, 4:6).</w:t>
      </w:r>
    </w:p>
    <w:p w14:paraId="17E6BAB5">
      <w:pPr>
        <w:tabs>
          <w:tab w:val="left" w:pos="280"/>
        </w:tabs>
        <w:bidi w:val="0"/>
        <w:jc w:val="left"/>
        <w:rPr>
          <w:rFonts w:hint="eastAsia" w:eastAsia="宋体"/>
          <w:sz w:val="30"/>
          <w:szCs w:val="30"/>
          <w:lang w:eastAsia="zh-CN"/>
        </w:rPr>
      </w:pPr>
      <w:r>
        <w:rPr>
          <w:rFonts w:hint="eastAsia" w:eastAsia="宋体"/>
          <w:sz w:val="30"/>
          <w:szCs w:val="30"/>
          <w:lang w:eastAsia="zh-CN"/>
        </w:rPr>
        <w:t>换句话说，摩西之约与之前的诸约是一体的，而所有这些约又与那作为福音的新而永恒的约是一体的（诗篇 105:8-10, 加 3:8, 15-22, 来 4:2, 13:20, 彼前 1:12, 4:6）。</w:t>
      </w:r>
    </w:p>
    <w:p w14:paraId="1B3ACC23">
      <w:pPr>
        <w:tabs>
          <w:tab w:val="left" w:pos="280"/>
        </w:tabs>
        <w:bidi w:val="0"/>
        <w:jc w:val="left"/>
        <w:rPr>
          <w:rFonts w:hint="eastAsia" w:eastAsia="宋体"/>
          <w:sz w:val="30"/>
          <w:szCs w:val="30"/>
          <w:lang w:eastAsia="zh-CN"/>
        </w:rPr>
      </w:pPr>
    </w:p>
    <w:p w14:paraId="1336F6D0">
      <w:pPr>
        <w:tabs>
          <w:tab w:val="left" w:pos="280"/>
        </w:tabs>
        <w:bidi w:val="0"/>
        <w:jc w:val="left"/>
        <w:rPr>
          <w:rFonts w:hint="eastAsia" w:eastAsia="宋体"/>
          <w:sz w:val="30"/>
          <w:szCs w:val="30"/>
          <w:lang w:eastAsia="zh-CN"/>
        </w:rPr>
      </w:pPr>
      <w:r>
        <w:rPr>
          <w:rFonts w:hint="eastAsia" w:eastAsia="宋体"/>
          <w:sz w:val="30"/>
          <w:szCs w:val="30"/>
          <w:lang w:eastAsia="zh-CN"/>
        </w:rPr>
        <w:t>When studying the Mosaic Covenant, we must ever keep these truths in mind, seeing that its unique characteristics have often led to confusion.</w:t>
      </w:r>
    </w:p>
    <w:p w14:paraId="1EC68144">
      <w:pPr>
        <w:tabs>
          <w:tab w:val="left" w:pos="280"/>
        </w:tabs>
        <w:bidi w:val="0"/>
        <w:jc w:val="left"/>
        <w:rPr>
          <w:rFonts w:hint="eastAsia" w:eastAsia="宋体"/>
          <w:sz w:val="30"/>
          <w:szCs w:val="30"/>
          <w:lang w:eastAsia="zh-CN"/>
        </w:rPr>
      </w:pPr>
      <w:r>
        <w:rPr>
          <w:rFonts w:hint="eastAsia" w:eastAsia="宋体"/>
          <w:sz w:val="30"/>
          <w:szCs w:val="30"/>
          <w:lang w:eastAsia="zh-CN"/>
        </w:rPr>
        <w:t>在研究摩西之约时，我们必须时刻牢记这些真理，因为其独特的特征常常导致混淆。</w:t>
      </w:r>
    </w:p>
    <w:p w14:paraId="75D1A347">
      <w:pPr>
        <w:tabs>
          <w:tab w:val="left" w:pos="280"/>
        </w:tabs>
        <w:bidi w:val="0"/>
        <w:jc w:val="left"/>
        <w:rPr>
          <w:rFonts w:hint="eastAsia" w:eastAsia="宋体"/>
          <w:sz w:val="30"/>
          <w:szCs w:val="30"/>
          <w:lang w:eastAsia="zh-CN"/>
        </w:rPr>
      </w:pPr>
    </w:p>
    <w:p w14:paraId="30D0D187">
      <w:pPr>
        <w:tabs>
          <w:tab w:val="left" w:pos="280"/>
        </w:tabs>
        <w:bidi w:val="0"/>
        <w:jc w:val="left"/>
        <w:rPr>
          <w:rFonts w:hint="eastAsia" w:eastAsia="宋体"/>
          <w:sz w:val="30"/>
          <w:szCs w:val="30"/>
          <w:lang w:eastAsia="zh-CN"/>
        </w:rPr>
      </w:pPr>
      <w:r>
        <w:rPr>
          <w:rFonts w:hint="eastAsia" w:eastAsia="宋体"/>
          <w:sz w:val="30"/>
          <w:szCs w:val="30"/>
          <w:lang w:eastAsia="zh-CN"/>
        </w:rPr>
        <w:t>Yes, it introduced a new and detailed body of moral, civic, and ceremonial law.</w:t>
      </w:r>
    </w:p>
    <w:p w14:paraId="6022A277">
      <w:pPr>
        <w:tabs>
          <w:tab w:val="left" w:pos="280"/>
        </w:tabs>
        <w:bidi w:val="0"/>
        <w:jc w:val="left"/>
        <w:rPr>
          <w:rFonts w:hint="eastAsia" w:eastAsia="宋体"/>
          <w:sz w:val="30"/>
          <w:szCs w:val="30"/>
          <w:lang w:eastAsia="zh-CN"/>
        </w:rPr>
      </w:pPr>
      <w:r>
        <w:rPr>
          <w:rFonts w:hint="eastAsia" w:eastAsia="宋体"/>
          <w:sz w:val="30"/>
          <w:szCs w:val="30"/>
          <w:lang w:eastAsia="zh-CN"/>
        </w:rPr>
        <w:t>是的，它引入了一套新的、详细的道德律、民事律和礼仪律。</w:t>
      </w:r>
    </w:p>
    <w:p w14:paraId="4FD7F0EB">
      <w:pPr>
        <w:tabs>
          <w:tab w:val="left" w:pos="280"/>
        </w:tabs>
        <w:bidi w:val="0"/>
        <w:jc w:val="left"/>
        <w:rPr>
          <w:rFonts w:hint="eastAsia" w:eastAsia="宋体"/>
          <w:sz w:val="30"/>
          <w:szCs w:val="30"/>
          <w:lang w:eastAsia="zh-CN"/>
        </w:rPr>
      </w:pPr>
    </w:p>
    <w:p w14:paraId="5D52623F">
      <w:pPr>
        <w:tabs>
          <w:tab w:val="left" w:pos="280"/>
        </w:tabs>
        <w:bidi w:val="0"/>
        <w:jc w:val="left"/>
        <w:rPr>
          <w:rFonts w:hint="eastAsia" w:eastAsia="宋体"/>
          <w:sz w:val="30"/>
          <w:szCs w:val="30"/>
          <w:lang w:eastAsia="zh-CN"/>
        </w:rPr>
      </w:pPr>
      <w:r>
        <w:rPr>
          <w:rFonts w:hint="eastAsia" w:eastAsia="宋体"/>
          <w:sz w:val="30"/>
          <w:szCs w:val="30"/>
          <w:lang w:eastAsia="zh-CN"/>
        </w:rPr>
        <w:t>Yes, the first two of these seem often to stand in the foreground of this covenant.</w:t>
      </w:r>
    </w:p>
    <w:p w14:paraId="6D785E22">
      <w:pPr>
        <w:tabs>
          <w:tab w:val="left" w:pos="280"/>
        </w:tabs>
        <w:bidi w:val="0"/>
        <w:jc w:val="left"/>
        <w:rPr>
          <w:rFonts w:hint="eastAsia" w:eastAsia="宋体"/>
          <w:sz w:val="30"/>
          <w:szCs w:val="30"/>
          <w:lang w:eastAsia="zh-CN"/>
        </w:rPr>
      </w:pPr>
      <w:r>
        <w:rPr>
          <w:rFonts w:hint="eastAsia" w:eastAsia="宋体"/>
          <w:sz w:val="30"/>
          <w:szCs w:val="30"/>
          <w:lang w:eastAsia="zh-CN"/>
        </w:rPr>
        <w:t>是的，其中前两者似乎常常站在这约的前景中。</w:t>
      </w:r>
    </w:p>
    <w:p w14:paraId="5BF8FECB">
      <w:pPr>
        <w:tabs>
          <w:tab w:val="left" w:pos="280"/>
        </w:tabs>
        <w:bidi w:val="0"/>
        <w:jc w:val="left"/>
        <w:rPr>
          <w:rFonts w:hint="eastAsia" w:eastAsia="宋体"/>
          <w:sz w:val="30"/>
          <w:szCs w:val="30"/>
          <w:lang w:eastAsia="zh-CN"/>
        </w:rPr>
      </w:pPr>
    </w:p>
    <w:p w14:paraId="5BE70BD2">
      <w:pPr>
        <w:tabs>
          <w:tab w:val="left" w:pos="280"/>
        </w:tabs>
        <w:bidi w:val="0"/>
        <w:jc w:val="left"/>
        <w:rPr>
          <w:rFonts w:hint="eastAsia" w:eastAsia="宋体"/>
          <w:sz w:val="30"/>
          <w:szCs w:val="30"/>
          <w:lang w:eastAsia="zh-CN"/>
        </w:rPr>
      </w:pPr>
      <w:r>
        <w:rPr>
          <w:rFonts w:hint="eastAsia" w:eastAsia="宋体"/>
          <w:sz w:val="30"/>
          <w:szCs w:val="30"/>
          <w:lang w:eastAsia="zh-CN"/>
        </w:rPr>
        <w:t>And yes, here Israel was continually reminded that obedience would bring blessing, but disobedience cursing (Lev. 26, Deut. 28).</w:t>
      </w:r>
    </w:p>
    <w:p w14:paraId="6FEBBEBC">
      <w:pPr>
        <w:tabs>
          <w:tab w:val="left" w:pos="280"/>
        </w:tabs>
        <w:bidi w:val="0"/>
        <w:jc w:val="left"/>
        <w:rPr>
          <w:rFonts w:hint="eastAsia" w:eastAsia="宋体"/>
          <w:sz w:val="30"/>
          <w:szCs w:val="30"/>
          <w:lang w:eastAsia="zh-CN"/>
        </w:rPr>
      </w:pPr>
      <w:r>
        <w:rPr>
          <w:rFonts w:hint="eastAsia" w:eastAsia="宋体"/>
          <w:sz w:val="30"/>
          <w:szCs w:val="30"/>
          <w:lang w:eastAsia="zh-CN"/>
        </w:rPr>
        <w:t>是的，在此以色列被不断地提醒，顺服会带来祝福，而不顺服则会带来咒诅（利 26, 申 28）。</w:t>
      </w:r>
    </w:p>
    <w:p w14:paraId="625D584A">
      <w:pPr>
        <w:tabs>
          <w:tab w:val="left" w:pos="280"/>
        </w:tabs>
        <w:bidi w:val="0"/>
        <w:jc w:val="left"/>
        <w:rPr>
          <w:rFonts w:hint="eastAsia" w:eastAsia="宋体"/>
          <w:sz w:val="30"/>
          <w:szCs w:val="30"/>
          <w:lang w:eastAsia="zh-CN"/>
        </w:rPr>
      </w:pPr>
    </w:p>
    <w:p w14:paraId="77ACF5B0">
      <w:pPr>
        <w:tabs>
          <w:tab w:val="left" w:pos="280"/>
        </w:tabs>
        <w:bidi w:val="0"/>
        <w:jc w:val="left"/>
        <w:rPr>
          <w:rFonts w:hint="eastAsia" w:eastAsia="宋体"/>
          <w:sz w:val="30"/>
          <w:szCs w:val="30"/>
          <w:lang w:eastAsia="zh-CN"/>
        </w:rPr>
      </w:pPr>
      <w:r>
        <w:rPr>
          <w:rFonts w:hint="eastAsia" w:eastAsia="宋体"/>
          <w:sz w:val="30"/>
          <w:szCs w:val="30"/>
          <w:lang w:eastAsia="zh-CN"/>
        </w:rPr>
        <w:t>Accordingly, for some (e.g., Scofield) the Law was “a conditional covenant of works,” and no covenant of grace at all.</w:t>
      </w:r>
    </w:p>
    <w:p w14:paraId="784BAC2E">
      <w:pPr>
        <w:tabs>
          <w:tab w:val="left" w:pos="280"/>
        </w:tabs>
        <w:bidi w:val="0"/>
        <w:jc w:val="left"/>
        <w:rPr>
          <w:rFonts w:hint="eastAsia" w:eastAsia="宋体"/>
          <w:sz w:val="30"/>
          <w:szCs w:val="30"/>
          <w:lang w:eastAsia="zh-CN"/>
        </w:rPr>
      </w:pPr>
      <w:r>
        <w:rPr>
          <w:rFonts w:hint="eastAsia" w:eastAsia="宋体"/>
          <w:sz w:val="30"/>
          <w:szCs w:val="30"/>
          <w:lang w:eastAsia="zh-CN"/>
        </w:rPr>
        <w:t>因此，对某些人（例如，司可福）来说，律法是“一个有条件的行为之约”，根本不是恩典之约。</w:t>
      </w:r>
    </w:p>
    <w:p w14:paraId="30D4C070">
      <w:pPr>
        <w:tabs>
          <w:tab w:val="left" w:pos="280"/>
        </w:tabs>
        <w:bidi w:val="0"/>
        <w:jc w:val="left"/>
        <w:rPr>
          <w:rFonts w:hint="eastAsia" w:eastAsia="宋体"/>
          <w:sz w:val="30"/>
          <w:szCs w:val="30"/>
          <w:lang w:eastAsia="zh-CN"/>
        </w:rPr>
      </w:pPr>
    </w:p>
    <w:p w14:paraId="303EEB14">
      <w:pPr>
        <w:tabs>
          <w:tab w:val="left" w:pos="280"/>
        </w:tabs>
        <w:bidi w:val="0"/>
        <w:jc w:val="left"/>
        <w:rPr>
          <w:rFonts w:hint="eastAsia" w:eastAsia="宋体"/>
          <w:sz w:val="30"/>
          <w:szCs w:val="30"/>
          <w:lang w:eastAsia="zh-CN"/>
        </w:rPr>
      </w:pPr>
      <w:r>
        <w:rPr>
          <w:rFonts w:hint="eastAsia" w:eastAsia="宋体"/>
          <w:sz w:val="30"/>
          <w:szCs w:val="30"/>
          <w:lang w:eastAsia="zh-CN"/>
        </w:rPr>
        <w:t>But the OT itself disagrees.</w:t>
      </w:r>
    </w:p>
    <w:p w14:paraId="3629D5F5">
      <w:pPr>
        <w:tabs>
          <w:tab w:val="left" w:pos="280"/>
        </w:tabs>
        <w:bidi w:val="0"/>
        <w:jc w:val="left"/>
        <w:rPr>
          <w:rFonts w:hint="eastAsia" w:eastAsia="宋体"/>
          <w:sz w:val="30"/>
          <w:szCs w:val="30"/>
          <w:lang w:eastAsia="zh-CN"/>
        </w:rPr>
      </w:pPr>
      <w:r>
        <w:rPr>
          <w:rFonts w:hint="eastAsia" w:eastAsia="宋体"/>
          <w:sz w:val="30"/>
          <w:szCs w:val="30"/>
          <w:lang w:eastAsia="zh-CN"/>
        </w:rPr>
        <w:t>但旧约本身并不同意。</w:t>
      </w:r>
    </w:p>
    <w:p w14:paraId="32F76969">
      <w:pPr>
        <w:tabs>
          <w:tab w:val="left" w:pos="280"/>
        </w:tabs>
        <w:bidi w:val="0"/>
        <w:jc w:val="left"/>
        <w:rPr>
          <w:rFonts w:hint="eastAsia" w:eastAsia="宋体"/>
          <w:sz w:val="30"/>
          <w:szCs w:val="30"/>
          <w:lang w:eastAsia="zh-CN"/>
        </w:rPr>
      </w:pPr>
    </w:p>
    <w:p w14:paraId="7562D9E1">
      <w:pPr>
        <w:tabs>
          <w:tab w:val="left" w:pos="280"/>
        </w:tabs>
        <w:bidi w:val="0"/>
        <w:jc w:val="left"/>
        <w:rPr>
          <w:rFonts w:hint="eastAsia" w:eastAsia="宋体"/>
          <w:sz w:val="30"/>
          <w:szCs w:val="30"/>
          <w:lang w:eastAsia="zh-CN"/>
        </w:rPr>
      </w:pPr>
      <w:r>
        <w:rPr>
          <w:rFonts w:hint="eastAsia" w:eastAsia="宋体"/>
          <w:sz w:val="30"/>
          <w:szCs w:val="30"/>
          <w:lang w:eastAsia="zh-CN"/>
        </w:rPr>
        <w:t>To the contrary, it declares the Law to be an expression of the lovingkindness (or gracious covenant love) of the LORD, and therefore a blessing and a delight to the saints who lived under it (Ex. 15:13, 34:6, Deut. 4:6-8, Psalm 1, 19:7, 119).</w:t>
      </w:r>
    </w:p>
    <w:p w14:paraId="43CDC720">
      <w:pPr>
        <w:tabs>
          <w:tab w:val="left" w:pos="280"/>
        </w:tabs>
        <w:bidi w:val="0"/>
        <w:jc w:val="left"/>
        <w:rPr>
          <w:rFonts w:hint="eastAsia" w:eastAsia="宋体"/>
          <w:sz w:val="30"/>
          <w:szCs w:val="30"/>
          <w:lang w:eastAsia="zh-CN"/>
        </w:rPr>
      </w:pPr>
      <w:r>
        <w:rPr>
          <w:rFonts w:hint="eastAsia" w:eastAsia="宋体"/>
          <w:sz w:val="30"/>
          <w:szCs w:val="30"/>
          <w:lang w:eastAsia="zh-CN"/>
        </w:rPr>
        <w:t>相反，它宣告律法是主慈爱（或恩典之约的爱）的表达，因此对于生活在其下的圣徒来说是一种祝福和喜乐（出 15:13, 34:6, 申 4:6-8, 诗篇 1, 19:7, 119）。</w:t>
      </w:r>
    </w:p>
    <w:p w14:paraId="2CBF4459">
      <w:pPr>
        <w:tabs>
          <w:tab w:val="left" w:pos="280"/>
        </w:tabs>
        <w:bidi w:val="0"/>
        <w:jc w:val="left"/>
        <w:rPr>
          <w:rFonts w:hint="eastAsia" w:eastAsia="宋体"/>
          <w:sz w:val="30"/>
          <w:szCs w:val="30"/>
          <w:lang w:eastAsia="zh-CN"/>
        </w:rPr>
      </w:pPr>
    </w:p>
    <w:p w14:paraId="404CC7BC">
      <w:pPr>
        <w:tabs>
          <w:tab w:val="left" w:pos="280"/>
        </w:tabs>
        <w:bidi w:val="0"/>
        <w:jc w:val="left"/>
        <w:rPr>
          <w:rFonts w:hint="eastAsia" w:eastAsia="宋体"/>
          <w:sz w:val="30"/>
          <w:szCs w:val="30"/>
          <w:lang w:eastAsia="zh-CN"/>
        </w:rPr>
      </w:pPr>
      <w:r>
        <w:rPr>
          <w:rFonts w:hint="eastAsia" w:eastAsia="宋体"/>
          <w:sz w:val="30"/>
          <w:szCs w:val="30"/>
          <w:lang w:eastAsia="zh-CN"/>
        </w:rPr>
        <w:t>The NT explains why: The moral law was never meant to promote justification by works, but rather to define, arouse, and condemn sin in the flesh, thereby guiding conscience- stricken sinners to the one true source of righteousness, Christ himself, hidden away under the several elements of the ceremonial law.</w:t>
      </w:r>
    </w:p>
    <w:p w14:paraId="07A7BF58">
      <w:pPr>
        <w:tabs>
          <w:tab w:val="left" w:pos="280"/>
        </w:tabs>
        <w:bidi w:val="0"/>
        <w:jc w:val="left"/>
        <w:rPr>
          <w:rFonts w:hint="eastAsia" w:eastAsia="宋体"/>
          <w:sz w:val="30"/>
          <w:szCs w:val="30"/>
          <w:lang w:eastAsia="zh-CN"/>
        </w:rPr>
      </w:pPr>
      <w:r>
        <w:rPr>
          <w:rFonts w:hint="eastAsia" w:eastAsia="宋体"/>
          <w:sz w:val="30"/>
          <w:szCs w:val="30"/>
          <w:lang w:eastAsia="zh-CN"/>
        </w:rPr>
        <w:t>新约解释了原因：道德律从来不是为了促进因行为称义，而是为了定义、激发和定罪肉体中的罪，从而引导良心受责备的罪人走向唯一的公义之源，即基督自己，祂隐藏在礼仪律的几个要素之下。</w:t>
      </w:r>
    </w:p>
    <w:p w14:paraId="693C79DD">
      <w:pPr>
        <w:tabs>
          <w:tab w:val="left" w:pos="280"/>
        </w:tabs>
        <w:bidi w:val="0"/>
        <w:jc w:val="left"/>
        <w:rPr>
          <w:rFonts w:hint="eastAsia" w:eastAsia="宋体"/>
          <w:sz w:val="30"/>
          <w:szCs w:val="30"/>
          <w:lang w:eastAsia="zh-CN"/>
        </w:rPr>
      </w:pPr>
    </w:p>
    <w:p w14:paraId="4F7AB3D1">
      <w:pPr>
        <w:tabs>
          <w:tab w:val="left" w:pos="280"/>
        </w:tabs>
        <w:bidi w:val="0"/>
        <w:jc w:val="left"/>
        <w:rPr>
          <w:rFonts w:hint="eastAsia" w:eastAsia="宋体"/>
          <w:sz w:val="30"/>
          <w:szCs w:val="30"/>
          <w:lang w:eastAsia="zh-CN"/>
        </w:rPr>
      </w:pPr>
      <w:r>
        <w:rPr>
          <w:rFonts w:hint="eastAsia" w:eastAsia="宋体"/>
          <w:sz w:val="30"/>
          <w:szCs w:val="30"/>
          <w:lang w:eastAsia="zh-CN"/>
        </w:rPr>
        <w:t>Skillfully handled, it can still serve this purpose today (Rom. 3:20, 7:1f, 10:4, Gal. 3:19-25, 1 Tim. 1:9-11).</w:t>
      </w:r>
    </w:p>
    <w:p w14:paraId="593DD5B6">
      <w:pPr>
        <w:tabs>
          <w:tab w:val="left" w:pos="280"/>
        </w:tabs>
        <w:bidi w:val="0"/>
        <w:jc w:val="left"/>
        <w:rPr>
          <w:rFonts w:hint="eastAsia" w:eastAsia="宋体"/>
          <w:sz w:val="30"/>
          <w:szCs w:val="30"/>
          <w:lang w:eastAsia="zh-CN"/>
        </w:rPr>
      </w:pPr>
      <w:r>
        <w:rPr>
          <w:rFonts w:hint="eastAsia" w:eastAsia="宋体"/>
          <w:sz w:val="30"/>
          <w:szCs w:val="30"/>
          <w:lang w:eastAsia="zh-CN"/>
        </w:rPr>
        <w:t>如果处理得当，它今天仍然可以达到这个目的（罗 3:20, 7:1f, 10:4, 加 3:19-25, 提前 1:9-11）。</w:t>
      </w:r>
    </w:p>
    <w:p w14:paraId="4A26A3FE">
      <w:pPr>
        <w:tabs>
          <w:tab w:val="left" w:pos="280"/>
        </w:tabs>
        <w:bidi w:val="0"/>
        <w:jc w:val="left"/>
        <w:rPr>
          <w:rFonts w:hint="eastAsia" w:eastAsia="宋体"/>
          <w:sz w:val="30"/>
          <w:szCs w:val="30"/>
          <w:lang w:eastAsia="zh-CN"/>
        </w:rPr>
      </w:pPr>
    </w:p>
    <w:p w14:paraId="72C6AC0F">
      <w:pPr>
        <w:tabs>
          <w:tab w:val="left" w:pos="280"/>
        </w:tabs>
        <w:bidi w:val="0"/>
        <w:jc w:val="left"/>
        <w:rPr>
          <w:rFonts w:hint="eastAsia" w:eastAsia="宋体"/>
          <w:sz w:val="30"/>
          <w:szCs w:val="30"/>
          <w:lang w:eastAsia="zh-CN"/>
        </w:rPr>
      </w:pPr>
      <w:r>
        <w:rPr>
          <w:rFonts w:hint="eastAsia" w:eastAsia="宋体"/>
          <w:sz w:val="30"/>
          <w:szCs w:val="30"/>
          <w:lang w:eastAsia="zh-CN"/>
        </w:rPr>
        <w:t>Thus, the moral law was, and is, designed by God to promote his gracious purposes in Christ.</w:t>
      </w:r>
    </w:p>
    <w:p w14:paraId="1347A5A7">
      <w:pPr>
        <w:tabs>
          <w:tab w:val="left" w:pos="280"/>
        </w:tabs>
        <w:bidi w:val="0"/>
        <w:jc w:val="left"/>
        <w:rPr>
          <w:rFonts w:hint="eastAsia" w:eastAsia="宋体"/>
          <w:sz w:val="30"/>
          <w:szCs w:val="30"/>
          <w:lang w:eastAsia="zh-CN"/>
        </w:rPr>
      </w:pPr>
      <w:r>
        <w:rPr>
          <w:rFonts w:hint="eastAsia" w:eastAsia="宋体"/>
          <w:sz w:val="30"/>
          <w:szCs w:val="30"/>
          <w:lang w:eastAsia="zh-CN"/>
        </w:rPr>
        <w:t>因此，道德律过去是，现在也是，由上帝设计的，为要在基督里促进祂恩典的旨意。</w:t>
      </w:r>
    </w:p>
    <w:p w14:paraId="51133E21">
      <w:pPr>
        <w:tabs>
          <w:tab w:val="left" w:pos="280"/>
        </w:tabs>
        <w:bidi w:val="0"/>
        <w:jc w:val="left"/>
        <w:rPr>
          <w:rFonts w:hint="eastAsia" w:eastAsia="宋体"/>
          <w:sz w:val="30"/>
          <w:szCs w:val="30"/>
          <w:lang w:eastAsia="zh-CN"/>
        </w:rPr>
      </w:pPr>
    </w:p>
    <w:p w14:paraId="7659A067">
      <w:pPr>
        <w:tabs>
          <w:tab w:val="left" w:pos="280"/>
        </w:tabs>
        <w:bidi w:val="0"/>
        <w:jc w:val="left"/>
        <w:rPr>
          <w:rFonts w:hint="eastAsia" w:eastAsia="宋体"/>
          <w:sz w:val="30"/>
          <w:szCs w:val="30"/>
          <w:lang w:eastAsia="zh-CN"/>
        </w:rPr>
      </w:pPr>
      <w:r>
        <w:rPr>
          <w:rFonts w:hint="eastAsia" w:eastAsia="宋体"/>
          <w:sz w:val="30"/>
          <w:szCs w:val="30"/>
          <w:lang w:eastAsia="zh-CN"/>
        </w:rPr>
        <w:t>We can understand all of this better by briefly examining the elements of the Mosaic Covenant itself.</w:t>
      </w:r>
    </w:p>
    <w:p w14:paraId="162FB806">
      <w:pPr>
        <w:tabs>
          <w:tab w:val="left" w:pos="280"/>
        </w:tabs>
        <w:bidi w:val="0"/>
        <w:jc w:val="left"/>
        <w:rPr>
          <w:rFonts w:hint="eastAsia" w:eastAsia="宋体"/>
          <w:sz w:val="30"/>
          <w:szCs w:val="30"/>
          <w:lang w:eastAsia="zh-CN"/>
        </w:rPr>
      </w:pPr>
      <w:r>
        <w:rPr>
          <w:rFonts w:hint="eastAsia" w:eastAsia="宋体"/>
          <w:sz w:val="30"/>
          <w:szCs w:val="30"/>
          <w:lang w:eastAsia="zh-CN"/>
        </w:rPr>
        <w:t>我们可以通过简要地审视摩西之约本身的要素来更好地理解这一切。</w:t>
      </w:r>
    </w:p>
    <w:p w14:paraId="2B828F27">
      <w:pPr>
        <w:tabs>
          <w:tab w:val="left" w:pos="280"/>
        </w:tabs>
        <w:bidi w:val="0"/>
        <w:jc w:val="left"/>
        <w:rPr>
          <w:rFonts w:hint="eastAsia" w:eastAsia="宋体"/>
          <w:sz w:val="30"/>
          <w:szCs w:val="30"/>
          <w:lang w:eastAsia="zh-CN"/>
        </w:rPr>
      </w:pPr>
    </w:p>
    <w:p w14:paraId="3209C501">
      <w:pPr>
        <w:tabs>
          <w:tab w:val="left" w:pos="280"/>
        </w:tabs>
        <w:bidi w:val="0"/>
        <w:jc w:val="left"/>
        <w:rPr>
          <w:rFonts w:hint="eastAsia" w:eastAsia="宋体"/>
          <w:sz w:val="30"/>
          <w:szCs w:val="30"/>
          <w:lang w:eastAsia="zh-CN"/>
        </w:rPr>
      </w:pPr>
      <w:r>
        <w:rPr>
          <w:rFonts w:hint="eastAsia" w:eastAsia="宋体"/>
          <w:sz w:val="30"/>
          <w:szCs w:val="30"/>
          <w:lang w:eastAsia="zh-CN"/>
        </w:rPr>
        <w:t>The parties to this covenant were God and the family of Abraham, now constituted as a nation living in their new homeland; though again, we must remember that not all in the covenant were of it (1 Cor. 10, Heb. 4).3</w:t>
      </w:r>
    </w:p>
    <w:p w14:paraId="2588523A">
      <w:pPr>
        <w:tabs>
          <w:tab w:val="left" w:pos="280"/>
        </w:tabs>
        <w:bidi w:val="0"/>
        <w:jc w:val="left"/>
        <w:rPr>
          <w:rFonts w:hint="eastAsia" w:eastAsia="宋体"/>
          <w:sz w:val="30"/>
          <w:szCs w:val="30"/>
          <w:lang w:eastAsia="zh-CN"/>
        </w:rPr>
      </w:pPr>
      <w:r>
        <w:rPr>
          <w:rFonts w:hint="eastAsia" w:eastAsia="宋体"/>
          <w:sz w:val="30"/>
          <w:szCs w:val="30"/>
          <w:lang w:eastAsia="zh-CN"/>
        </w:rPr>
        <w:t>这约的立约方是上帝和亚伯拉罕的家族，现在构成了一个居住在新家园的国家；不过，我们必须再次记住，并非所有在约中的人都属于它（林前 10, 来 4）。3</w:t>
      </w:r>
    </w:p>
    <w:p w14:paraId="4E377F0B">
      <w:pPr>
        <w:tabs>
          <w:tab w:val="left" w:pos="280"/>
        </w:tabs>
        <w:bidi w:val="0"/>
        <w:jc w:val="left"/>
        <w:rPr>
          <w:rFonts w:hint="eastAsia" w:eastAsia="宋体"/>
          <w:sz w:val="30"/>
          <w:szCs w:val="30"/>
          <w:lang w:eastAsia="zh-CN"/>
        </w:rPr>
      </w:pPr>
    </w:p>
    <w:p w14:paraId="2CD59199">
      <w:pPr>
        <w:tabs>
          <w:tab w:val="left" w:pos="280"/>
        </w:tabs>
        <w:bidi w:val="0"/>
        <w:jc w:val="left"/>
        <w:rPr>
          <w:rFonts w:hint="eastAsia" w:eastAsia="宋体"/>
          <w:sz w:val="30"/>
          <w:szCs w:val="30"/>
          <w:lang w:eastAsia="zh-CN"/>
        </w:rPr>
      </w:pPr>
      <w:r>
        <w:rPr>
          <w:rFonts w:hint="eastAsia" w:eastAsia="宋体"/>
          <w:sz w:val="30"/>
          <w:szCs w:val="30"/>
          <w:lang w:eastAsia="zh-CN"/>
        </w:rPr>
        <w:t>Importantly, the human parties are repeatedly referred to as a chosen people, a holy nation, and God’s own special treasure among all the peoples of the earth (Exodus 19:5, Deut. 7:6-8, 14:2).</w:t>
      </w:r>
    </w:p>
    <w:p w14:paraId="0252B6D3">
      <w:pPr>
        <w:tabs>
          <w:tab w:val="left" w:pos="280"/>
        </w:tabs>
        <w:bidi w:val="0"/>
        <w:jc w:val="left"/>
        <w:rPr>
          <w:rFonts w:hint="eastAsia" w:eastAsia="宋体"/>
          <w:sz w:val="30"/>
          <w:szCs w:val="30"/>
          <w:lang w:eastAsia="zh-CN"/>
        </w:rPr>
      </w:pPr>
      <w:r>
        <w:rPr>
          <w:rFonts w:hint="eastAsia" w:eastAsia="宋体"/>
          <w:sz w:val="30"/>
          <w:szCs w:val="30"/>
          <w:lang w:eastAsia="zh-CN"/>
        </w:rPr>
        <w:t>重要的是，人类立约方被反复地称为一个蒙拣选的子民，一个圣洁的国度，以及上帝在地上万民中自己特别的珍宝（出埃及记 19:5, 申 7:6-8, 14:2）。</w:t>
      </w:r>
    </w:p>
    <w:p w14:paraId="1F622CB8">
      <w:pPr>
        <w:tabs>
          <w:tab w:val="left" w:pos="280"/>
        </w:tabs>
        <w:bidi w:val="0"/>
        <w:jc w:val="left"/>
        <w:rPr>
          <w:rFonts w:hint="eastAsia" w:eastAsia="宋体"/>
          <w:sz w:val="30"/>
          <w:szCs w:val="30"/>
          <w:lang w:eastAsia="zh-CN"/>
        </w:rPr>
      </w:pPr>
    </w:p>
    <w:p w14:paraId="3EF92CD2">
      <w:pPr>
        <w:tabs>
          <w:tab w:val="left" w:pos="280"/>
        </w:tabs>
        <w:bidi w:val="0"/>
        <w:jc w:val="left"/>
        <w:rPr>
          <w:rFonts w:hint="eastAsia" w:eastAsia="宋体"/>
          <w:sz w:val="30"/>
          <w:szCs w:val="30"/>
          <w:lang w:eastAsia="zh-CN"/>
        </w:rPr>
      </w:pPr>
      <w:r>
        <w:rPr>
          <w:rFonts w:hint="eastAsia" w:eastAsia="宋体"/>
          <w:sz w:val="30"/>
          <w:szCs w:val="30"/>
          <w:lang w:eastAsia="zh-CN"/>
        </w:rPr>
        <w:t>These expressions identify physical Israel as a type of spiritual Israel; as a type of all whom God chose before the foundation of the world, makes holy in Christ, and now regards as his treasured sons and daughters (Gal. 6:16, Eph. 1:6, 1 Peter 1:1-3, 2:9-10).</w:t>
      </w:r>
    </w:p>
    <w:p w14:paraId="06116A33">
      <w:pPr>
        <w:tabs>
          <w:tab w:val="left" w:pos="280"/>
        </w:tabs>
        <w:bidi w:val="0"/>
        <w:jc w:val="left"/>
        <w:rPr>
          <w:rFonts w:hint="eastAsia" w:eastAsia="宋体"/>
          <w:sz w:val="30"/>
          <w:szCs w:val="30"/>
          <w:lang w:eastAsia="zh-CN"/>
        </w:rPr>
      </w:pPr>
      <w:r>
        <w:rPr>
          <w:rFonts w:hint="eastAsia" w:eastAsia="宋体"/>
          <w:sz w:val="30"/>
          <w:szCs w:val="30"/>
          <w:lang w:eastAsia="zh-CN"/>
        </w:rPr>
        <w:t>这些表述将肉身的以色列确定为属灵以色列的预表；是上帝在创世以前所拣选、在基督里使之成圣，并现在视为祂珍爱的儿女的所有人的预表（加 6:16, 弗 1:6, 彼前 1:1-3, 2:9-10）。</w:t>
      </w:r>
    </w:p>
    <w:p w14:paraId="48C3B736">
      <w:pPr>
        <w:tabs>
          <w:tab w:val="left" w:pos="280"/>
        </w:tabs>
        <w:bidi w:val="0"/>
        <w:jc w:val="left"/>
        <w:rPr>
          <w:rFonts w:hint="eastAsia" w:eastAsia="宋体"/>
          <w:sz w:val="30"/>
          <w:szCs w:val="30"/>
          <w:lang w:eastAsia="zh-CN"/>
        </w:rPr>
      </w:pPr>
    </w:p>
    <w:p w14:paraId="1A75E191">
      <w:pPr>
        <w:tabs>
          <w:tab w:val="left" w:pos="280"/>
        </w:tabs>
        <w:bidi w:val="0"/>
        <w:jc w:val="left"/>
        <w:rPr>
          <w:rFonts w:hint="eastAsia" w:eastAsia="宋体"/>
          <w:sz w:val="30"/>
          <w:szCs w:val="30"/>
          <w:lang w:eastAsia="zh-CN"/>
        </w:rPr>
      </w:pPr>
      <w:r>
        <w:rPr>
          <w:rFonts w:hint="eastAsia" w:eastAsia="宋体"/>
          <w:sz w:val="30"/>
          <w:szCs w:val="30"/>
          <w:lang w:eastAsia="zh-CN"/>
        </w:rPr>
        <w:t>Notably, the promise of the Mosaic Covenant is identical with that of the Abrahamic.</w:t>
      </w:r>
    </w:p>
    <w:p w14:paraId="77859B16">
      <w:pPr>
        <w:tabs>
          <w:tab w:val="left" w:pos="280"/>
        </w:tabs>
        <w:bidi w:val="0"/>
        <w:jc w:val="left"/>
        <w:rPr>
          <w:rFonts w:hint="eastAsia" w:eastAsia="宋体"/>
          <w:sz w:val="30"/>
          <w:szCs w:val="30"/>
          <w:lang w:eastAsia="zh-CN"/>
        </w:rPr>
      </w:pPr>
      <w:r>
        <w:rPr>
          <w:rFonts w:hint="eastAsia" w:eastAsia="宋体"/>
          <w:sz w:val="30"/>
          <w:szCs w:val="30"/>
          <w:lang w:eastAsia="zh-CN"/>
        </w:rPr>
        <w:t>值得注意的是，摩西之约的应许与亚伯拉罕之约的应许是相同的。</w:t>
      </w:r>
    </w:p>
    <w:p w14:paraId="2AE9A9AC">
      <w:pPr>
        <w:tabs>
          <w:tab w:val="left" w:pos="280"/>
        </w:tabs>
        <w:bidi w:val="0"/>
        <w:jc w:val="left"/>
        <w:rPr>
          <w:rFonts w:hint="eastAsia" w:eastAsia="宋体"/>
          <w:sz w:val="30"/>
          <w:szCs w:val="30"/>
          <w:lang w:eastAsia="zh-CN"/>
        </w:rPr>
      </w:pPr>
    </w:p>
    <w:p w14:paraId="398A7ACF">
      <w:pPr>
        <w:tabs>
          <w:tab w:val="left" w:pos="280"/>
        </w:tabs>
        <w:bidi w:val="0"/>
        <w:jc w:val="left"/>
        <w:rPr>
          <w:rFonts w:hint="eastAsia" w:eastAsia="宋体"/>
          <w:sz w:val="30"/>
          <w:szCs w:val="30"/>
          <w:lang w:eastAsia="zh-CN"/>
        </w:rPr>
      </w:pPr>
      <w:r>
        <w:rPr>
          <w:rFonts w:hint="eastAsia" w:eastAsia="宋体"/>
          <w:sz w:val="30"/>
          <w:szCs w:val="30"/>
          <w:lang w:eastAsia="zh-CN"/>
        </w:rPr>
        <w:t>Through Moses, God said to Israel, “I will take you as My people, and I will be your God . . . And I will bring you into the land that I swore to give to Abraham, Isaac, and Jacob; and I will give it to you as an inheritance. I am the Lord” (Ex. 6:7-8; cf. 3:17, Lev. 20:24, Deut. 6:3).</w:t>
      </w:r>
    </w:p>
    <w:p w14:paraId="72870137">
      <w:pPr>
        <w:tabs>
          <w:tab w:val="left" w:pos="280"/>
        </w:tabs>
        <w:bidi w:val="0"/>
        <w:jc w:val="left"/>
        <w:rPr>
          <w:rFonts w:hint="eastAsia" w:eastAsia="宋体"/>
          <w:sz w:val="30"/>
          <w:szCs w:val="30"/>
          <w:lang w:eastAsia="zh-CN"/>
        </w:rPr>
      </w:pPr>
      <w:r>
        <w:rPr>
          <w:rFonts w:hint="eastAsia" w:eastAsia="宋体"/>
          <w:sz w:val="30"/>
          <w:szCs w:val="30"/>
          <w:lang w:eastAsia="zh-CN"/>
        </w:rPr>
        <w:t>藉着摩西，上帝对以色列说：“我要以你们为我的百姓，我也要作你们的上帝……我也要把你们领进我起誓应许给亚伯拉罕、以撒、雅各的地，将那地赐给你们为业。我是耶和华”（出 6:7-8; 参 3:17, 利 20:24, 申 6:3）。</w:t>
      </w:r>
    </w:p>
    <w:p w14:paraId="127AF6CE">
      <w:pPr>
        <w:tabs>
          <w:tab w:val="left" w:pos="280"/>
        </w:tabs>
        <w:bidi w:val="0"/>
        <w:jc w:val="left"/>
        <w:rPr>
          <w:rFonts w:hint="eastAsia" w:eastAsia="宋体"/>
          <w:sz w:val="30"/>
          <w:szCs w:val="30"/>
          <w:lang w:eastAsia="zh-CN"/>
        </w:rPr>
      </w:pPr>
    </w:p>
    <w:p w14:paraId="623B8D6A">
      <w:pPr>
        <w:tabs>
          <w:tab w:val="left" w:pos="280"/>
        </w:tabs>
        <w:bidi w:val="0"/>
        <w:jc w:val="left"/>
        <w:rPr>
          <w:rFonts w:hint="eastAsia" w:eastAsia="宋体"/>
          <w:sz w:val="30"/>
          <w:szCs w:val="30"/>
          <w:lang w:eastAsia="zh-CN"/>
        </w:rPr>
      </w:pPr>
      <w:r>
        <w:rPr>
          <w:rFonts w:hint="eastAsia" w:eastAsia="宋体"/>
          <w:sz w:val="30"/>
          <w:szCs w:val="30"/>
          <w:lang w:eastAsia="zh-CN"/>
        </w:rPr>
        <w:t>Later, God will elaborate, specifying the manifold temporal blessings that his obedient people may expect to enjoy (Lev. 26:3-13, Deut. 28:1-14).</w:t>
      </w:r>
    </w:p>
    <w:p w14:paraId="2A5DD98E">
      <w:pPr>
        <w:tabs>
          <w:tab w:val="left" w:pos="280"/>
        </w:tabs>
        <w:bidi w:val="0"/>
        <w:jc w:val="left"/>
        <w:rPr>
          <w:rFonts w:hint="eastAsia" w:eastAsia="宋体"/>
          <w:sz w:val="30"/>
          <w:szCs w:val="30"/>
          <w:lang w:eastAsia="zh-CN"/>
        </w:rPr>
      </w:pPr>
      <w:r>
        <w:rPr>
          <w:rFonts w:hint="eastAsia" w:eastAsia="宋体"/>
          <w:sz w:val="30"/>
          <w:szCs w:val="30"/>
          <w:lang w:eastAsia="zh-CN"/>
        </w:rPr>
        <w:t>后来，上帝将详细阐述，具体说明祂顺服的子民可以期望享受到的多重属世祝福（利 26:3-13, 申 28:1-14）。</w:t>
      </w:r>
    </w:p>
    <w:p w14:paraId="3A442531">
      <w:pPr>
        <w:tabs>
          <w:tab w:val="left" w:pos="280"/>
        </w:tabs>
        <w:bidi w:val="0"/>
        <w:jc w:val="left"/>
        <w:rPr>
          <w:rFonts w:hint="eastAsia" w:eastAsia="宋体"/>
          <w:sz w:val="30"/>
          <w:szCs w:val="30"/>
          <w:lang w:eastAsia="zh-CN"/>
        </w:rPr>
      </w:pPr>
    </w:p>
    <w:p w14:paraId="3DDCD801">
      <w:pPr>
        <w:tabs>
          <w:tab w:val="left" w:pos="280"/>
        </w:tabs>
        <w:bidi w:val="0"/>
        <w:jc w:val="left"/>
        <w:rPr>
          <w:rFonts w:hint="eastAsia" w:eastAsia="宋体"/>
          <w:sz w:val="30"/>
          <w:szCs w:val="30"/>
          <w:lang w:eastAsia="zh-CN"/>
        </w:rPr>
      </w:pPr>
      <w:r>
        <w:rPr>
          <w:rFonts w:hint="eastAsia" w:eastAsia="宋体"/>
          <w:sz w:val="30"/>
          <w:szCs w:val="30"/>
          <w:lang w:eastAsia="zh-CN"/>
        </w:rPr>
        <w:t>Again, the NT teaches that all these blessings were meant to picture the promise of the EC, the spiritual riches enjoyed by all who are in Christ, both now and in the “Land” to come (Rom. 4:13, Gal 3:14, Eph. 1:3f).</w:t>
      </w:r>
    </w:p>
    <w:p w14:paraId="72B7B641">
      <w:pPr>
        <w:tabs>
          <w:tab w:val="left" w:pos="280"/>
        </w:tabs>
        <w:bidi w:val="0"/>
        <w:jc w:val="left"/>
        <w:rPr>
          <w:rFonts w:hint="eastAsia" w:eastAsia="宋体"/>
          <w:sz w:val="30"/>
          <w:szCs w:val="30"/>
          <w:lang w:eastAsia="zh-CN"/>
        </w:rPr>
      </w:pPr>
      <w:r>
        <w:rPr>
          <w:rFonts w:hint="eastAsia" w:eastAsia="宋体"/>
          <w:sz w:val="30"/>
          <w:szCs w:val="30"/>
          <w:lang w:eastAsia="zh-CN"/>
        </w:rPr>
        <w:t>再者，新约教导说，所有这些祝福都意在描绘永恒之约（EC）的应许，即所有在基督里的人现在和在将来的“土地”上所享有的属灵丰富（罗 4:13, 加 3:14, 弗 1:3f）。</w:t>
      </w:r>
    </w:p>
    <w:p w14:paraId="5DEEADED">
      <w:pPr>
        <w:tabs>
          <w:tab w:val="left" w:pos="280"/>
        </w:tabs>
        <w:bidi w:val="0"/>
        <w:jc w:val="left"/>
        <w:rPr>
          <w:rFonts w:hint="eastAsia" w:eastAsia="宋体"/>
          <w:sz w:val="30"/>
          <w:szCs w:val="30"/>
          <w:lang w:eastAsia="zh-CN"/>
        </w:rPr>
      </w:pPr>
    </w:p>
    <w:p w14:paraId="2FD83AB2">
      <w:pPr>
        <w:tabs>
          <w:tab w:val="left" w:pos="280"/>
        </w:tabs>
        <w:bidi w:val="0"/>
        <w:jc w:val="left"/>
        <w:rPr>
          <w:rFonts w:hint="eastAsia" w:eastAsia="宋体"/>
          <w:sz w:val="30"/>
          <w:szCs w:val="30"/>
          <w:lang w:eastAsia="zh-CN"/>
        </w:rPr>
      </w:pPr>
      <w:r>
        <w:rPr>
          <w:rFonts w:hint="eastAsia" w:eastAsia="宋体"/>
          <w:sz w:val="30"/>
          <w:szCs w:val="30"/>
          <w:lang w:eastAsia="zh-CN"/>
        </w:rPr>
        <w:t>The Mosaic Covenant lavishly pictures the provision of the EC.</w:t>
      </w:r>
    </w:p>
    <w:p w14:paraId="4329FC92">
      <w:pPr>
        <w:tabs>
          <w:tab w:val="left" w:pos="280"/>
        </w:tabs>
        <w:bidi w:val="0"/>
        <w:jc w:val="left"/>
        <w:rPr>
          <w:rFonts w:hint="eastAsia" w:eastAsia="宋体"/>
          <w:sz w:val="30"/>
          <w:szCs w:val="30"/>
          <w:lang w:eastAsia="zh-CN"/>
        </w:rPr>
      </w:pPr>
      <w:r>
        <w:rPr>
          <w:rFonts w:hint="eastAsia" w:eastAsia="宋体"/>
          <w:sz w:val="30"/>
          <w:szCs w:val="30"/>
          <w:lang w:eastAsia="zh-CN"/>
        </w:rPr>
        <w:t>摩西之约慷慨地描绘了永恒之约（EC）的预备。</w:t>
      </w:r>
    </w:p>
    <w:p w14:paraId="3D0F76EE">
      <w:pPr>
        <w:tabs>
          <w:tab w:val="left" w:pos="280"/>
        </w:tabs>
        <w:bidi w:val="0"/>
        <w:jc w:val="left"/>
        <w:rPr>
          <w:rFonts w:hint="eastAsia" w:eastAsia="宋体"/>
          <w:sz w:val="30"/>
          <w:szCs w:val="30"/>
          <w:lang w:eastAsia="zh-CN"/>
        </w:rPr>
      </w:pPr>
    </w:p>
    <w:p w14:paraId="0F60A689">
      <w:pPr>
        <w:tabs>
          <w:tab w:val="left" w:pos="280"/>
        </w:tabs>
        <w:bidi w:val="0"/>
        <w:jc w:val="left"/>
        <w:rPr>
          <w:rFonts w:hint="eastAsia" w:eastAsia="宋体"/>
          <w:sz w:val="30"/>
          <w:szCs w:val="30"/>
          <w:lang w:eastAsia="zh-CN"/>
        </w:rPr>
      </w:pPr>
      <w:r>
        <w:rPr>
          <w:rFonts w:hint="eastAsia" w:eastAsia="宋体"/>
          <w:sz w:val="30"/>
          <w:szCs w:val="30"/>
          <w:lang w:eastAsia="zh-CN"/>
        </w:rPr>
        <w:t>At its founding it was prefigured in the man Moses, who is a type of Christ as the Mediator of the covenant; and also in the Passover lamb, which is a type of Christ as the one true sacrifice for sin that makes the covenant relationship and blessings possible (Exodus 12, 1 Cor. 5:7).</w:t>
      </w:r>
    </w:p>
    <w:p w14:paraId="05984EAE">
      <w:pPr>
        <w:tabs>
          <w:tab w:val="left" w:pos="280"/>
        </w:tabs>
        <w:bidi w:val="0"/>
        <w:jc w:val="left"/>
        <w:rPr>
          <w:rFonts w:hint="eastAsia" w:eastAsia="宋体"/>
          <w:sz w:val="30"/>
          <w:szCs w:val="30"/>
          <w:lang w:eastAsia="zh-CN"/>
        </w:rPr>
      </w:pPr>
      <w:r>
        <w:rPr>
          <w:rFonts w:hint="eastAsia" w:eastAsia="宋体"/>
          <w:sz w:val="30"/>
          <w:szCs w:val="30"/>
          <w:lang w:eastAsia="zh-CN"/>
        </w:rPr>
        <w:t>在它建立之时，它被预表在摩西这个人身上，他是基督作为约之中保的预表；也预表在逾越节的羔羊身上，它是基督作为那唯一真实的赎罪祭的预表，这祭使立约关系和祝福成为可能（出埃及记 12, 林前 5:7）。</w:t>
      </w:r>
    </w:p>
    <w:p w14:paraId="58CC9C27">
      <w:pPr>
        <w:tabs>
          <w:tab w:val="left" w:pos="280"/>
        </w:tabs>
        <w:bidi w:val="0"/>
        <w:jc w:val="left"/>
        <w:rPr>
          <w:rFonts w:hint="eastAsia" w:eastAsia="宋体"/>
          <w:sz w:val="30"/>
          <w:szCs w:val="30"/>
          <w:lang w:eastAsia="zh-CN"/>
        </w:rPr>
      </w:pPr>
    </w:p>
    <w:p w14:paraId="57E2FC1D">
      <w:pPr>
        <w:tabs>
          <w:tab w:val="left" w:pos="280"/>
        </w:tabs>
        <w:bidi w:val="0"/>
        <w:jc w:val="left"/>
        <w:rPr>
          <w:rFonts w:hint="eastAsia" w:eastAsia="宋体"/>
          <w:sz w:val="30"/>
          <w:szCs w:val="30"/>
          <w:lang w:eastAsia="zh-CN"/>
        </w:rPr>
      </w:pPr>
      <w:r>
        <w:rPr>
          <w:rFonts w:hint="eastAsia" w:eastAsia="宋体"/>
          <w:sz w:val="30"/>
          <w:szCs w:val="30"/>
          <w:lang w:eastAsia="zh-CN"/>
        </w:rPr>
        <w:t>Within its manifold institutions, we can see the provision of the EC prefigured in the three offices occupied by Israel’s leaders: prophet, priest, and king.</w:t>
      </w:r>
    </w:p>
    <w:p w14:paraId="0CAD4830">
      <w:pPr>
        <w:tabs>
          <w:tab w:val="left" w:pos="280"/>
        </w:tabs>
        <w:bidi w:val="0"/>
        <w:jc w:val="left"/>
        <w:rPr>
          <w:rFonts w:hint="eastAsia" w:eastAsia="宋体"/>
          <w:sz w:val="30"/>
          <w:szCs w:val="30"/>
          <w:lang w:eastAsia="zh-CN"/>
        </w:rPr>
      </w:pPr>
      <w:r>
        <w:rPr>
          <w:rFonts w:hint="eastAsia" w:eastAsia="宋体"/>
          <w:sz w:val="30"/>
          <w:szCs w:val="30"/>
          <w:lang w:eastAsia="zh-CN"/>
        </w:rPr>
        <w:t>在其多样的制度中，我们可以看到永恒之约（EC）的预备预表在以色列领袖所担任的三个职分中：先知、祭司和君王。</w:t>
      </w:r>
    </w:p>
    <w:p w14:paraId="2475FCE5">
      <w:pPr>
        <w:tabs>
          <w:tab w:val="left" w:pos="280"/>
        </w:tabs>
        <w:bidi w:val="0"/>
        <w:jc w:val="left"/>
        <w:rPr>
          <w:rFonts w:hint="eastAsia" w:eastAsia="宋体"/>
          <w:sz w:val="30"/>
          <w:szCs w:val="30"/>
          <w:lang w:eastAsia="zh-CN"/>
        </w:rPr>
      </w:pPr>
    </w:p>
    <w:p w14:paraId="005EC647">
      <w:pPr>
        <w:tabs>
          <w:tab w:val="left" w:pos="280"/>
        </w:tabs>
        <w:bidi w:val="0"/>
        <w:jc w:val="left"/>
        <w:rPr>
          <w:rFonts w:hint="eastAsia" w:eastAsia="宋体"/>
          <w:sz w:val="30"/>
          <w:szCs w:val="30"/>
          <w:lang w:eastAsia="zh-CN"/>
        </w:rPr>
      </w:pPr>
      <w:r>
        <w:rPr>
          <w:rFonts w:hint="eastAsia" w:eastAsia="宋体"/>
          <w:sz w:val="30"/>
          <w:szCs w:val="30"/>
          <w:lang w:eastAsia="zh-CN"/>
        </w:rPr>
        <w:t>Let us take a moment to look at each.</w:t>
      </w:r>
    </w:p>
    <w:p w14:paraId="1237C830">
      <w:pPr>
        <w:tabs>
          <w:tab w:val="left" w:pos="280"/>
        </w:tabs>
        <w:bidi w:val="0"/>
        <w:jc w:val="left"/>
        <w:rPr>
          <w:rFonts w:hint="eastAsia" w:eastAsia="宋体"/>
          <w:sz w:val="30"/>
          <w:szCs w:val="30"/>
          <w:lang w:eastAsia="zh-CN"/>
        </w:rPr>
      </w:pPr>
      <w:r>
        <w:rPr>
          <w:rFonts w:hint="eastAsia" w:eastAsia="宋体"/>
          <w:sz w:val="30"/>
          <w:szCs w:val="30"/>
          <w:lang w:eastAsia="zh-CN"/>
        </w:rPr>
        <w:t>让我们花点时间看看每一个。</w:t>
      </w:r>
    </w:p>
    <w:p w14:paraId="66339D03">
      <w:pPr>
        <w:tabs>
          <w:tab w:val="left" w:pos="280"/>
        </w:tabs>
        <w:bidi w:val="0"/>
        <w:jc w:val="left"/>
        <w:rPr>
          <w:rFonts w:hint="eastAsia" w:eastAsia="宋体"/>
          <w:sz w:val="30"/>
          <w:szCs w:val="30"/>
          <w:lang w:eastAsia="zh-CN"/>
        </w:rPr>
      </w:pPr>
    </w:p>
    <w:p w14:paraId="01D23747">
      <w:pPr>
        <w:tabs>
          <w:tab w:val="left" w:pos="280"/>
        </w:tabs>
        <w:bidi w:val="0"/>
        <w:jc w:val="left"/>
        <w:rPr>
          <w:rFonts w:hint="eastAsia" w:eastAsia="宋体"/>
          <w:sz w:val="30"/>
          <w:szCs w:val="30"/>
          <w:lang w:eastAsia="zh-CN"/>
        </w:rPr>
      </w:pPr>
      <w:r>
        <w:rPr>
          <w:rFonts w:hint="eastAsia" w:eastAsia="宋体"/>
          <w:sz w:val="30"/>
          <w:szCs w:val="30"/>
          <w:lang w:eastAsia="zh-CN"/>
        </w:rPr>
        <w:t>God used prophets to bring his law to Israel, and thereafter to urge them to cling to it.</w:t>
      </w:r>
    </w:p>
    <w:p w14:paraId="005AF358">
      <w:pPr>
        <w:tabs>
          <w:tab w:val="left" w:pos="280"/>
        </w:tabs>
        <w:bidi w:val="0"/>
        <w:jc w:val="left"/>
        <w:rPr>
          <w:rFonts w:hint="eastAsia" w:eastAsia="宋体"/>
          <w:sz w:val="30"/>
          <w:szCs w:val="30"/>
          <w:lang w:eastAsia="zh-CN"/>
        </w:rPr>
      </w:pPr>
      <w:r>
        <w:rPr>
          <w:rFonts w:hint="eastAsia" w:eastAsia="宋体"/>
          <w:sz w:val="30"/>
          <w:szCs w:val="30"/>
          <w:lang w:eastAsia="zh-CN"/>
        </w:rPr>
        <w:t>上帝使用先知将祂的律法带给以色列，并此后敦促他们持守它。</w:t>
      </w:r>
    </w:p>
    <w:p w14:paraId="1C98702B">
      <w:pPr>
        <w:tabs>
          <w:tab w:val="left" w:pos="280"/>
        </w:tabs>
        <w:bidi w:val="0"/>
        <w:jc w:val="left"/>
        <w:rPr>
          <w:rFonts w:hint="eastAsia" w:eastAsia="宋体"/>
          <w:sz w:val="30"/>
          <w:szCs w:val="30"/>
          <w:lang w:eastAsia="zh-CN"/>
        </w:rPr>
      </w:pPr>
    </w:p>
    <w:p w14:paraId="73501C9A">
      <w:pPr>
        <w:tabs>
          <w:tab w:val="left" w:pos="280"/>
        </w:tabs>
        <w:bidi w:val="0"/>
        <w:jc w:val="left"/>
        <w:rPr>
          <w:rFonts w:hint="eastAsia" w:eastAsia="宋体"/>
          <w:sz w:val="30"/>
          <w:szCs w:val="30"/>
          <w:lang w:eastAsia="zh-CN"/>
        </w:rPr>
      </w:pPr>
      <w:r>
        <w:rPr>
          <w:rFonts w:hint="eastAsia" w:eastAsia="宋体"/>
          <w:sz w:val="30"/>
          <w:szCs w:val="30"/>
          <w:lang w:eastAsia="zh-CN"/>
        </w:rPr>
        <w:t>This points to Christ, who fulfilled the work of his prophetic predecessors by bringing God’s Greater Law—the ordinances of the EC— to spiritual Israel, and who also gave them gifted leaders to urge them to cleave to it (Deut. 18:15, Mt. 5-7, Acts 3:22, Eph. 4:7f).</w:t>
      </w:r>
    </w:p>
    <w:p w14:paraId="2F8D4995">
      <w:pPr>
        <w:tabs>
          <w:tab w:val="left" w:pos="280"/>
        </w:tabs>
        <w:bidi w:val="0"/>
        <w:jc w:val="left"/>
        <w:rPr>
          <w:rFonts w:hint="eastAsia" w:eastAsia="宋体"/>
          <w:sz w:val="30"/>
          <w:szCs w:val="30"/>
          <w:lang w:eastAsia="zh-CN"/>
        </w:rPr>
      </w:pPr>
      <w:r>
        <w:rPr>
          <w:rFonts w:hint="eastAsia" w:eastAsia="宋体"/>
          <w:sz w:val="30"/>
          <w:szCs w:val="30"/>
          <w:lang w:eastAsia="zh-CN"/>
        </w:rPr>
        <w:t>这指向基督，祂藉着将上帝更伟大的律法——永恒之约（EC）的条例——带给属灵的以色列，成全了祂先知前辈的工作，并且祂也赐给他们有恩赐的领袖，敦促他们坚守它（申 18:15, 太 5-7, 徒 3:22, 弗 4:7f）。</w:t>
      </w:r>
    </w:p>
    <w:p w14:paraId="634AE9E2">
      <w:pPr>
        <w:tabs>
          <w:tab w:val="left" w:pos="280"/>
        </w:tabs>
        <w:bidi w:val="0"/>
        <w:jc w:val="left"/>
        <w:rPr>
          <w:rFonts w:hint="eastAsia" w:eastAsia="宋体"/>
          <w:sz w:val="30"/>
          <w:szCs w:val="30"/>
          <w:lang w:eastAsia="zh-CN"/>
        </w:rPr>
      </w:pPr>
    </w:p>
    <w:p w14:paraId="3B6C832C">
      <w:pPr>
        <w:tabs>
          <w:tab w:val="left" w:pos="280"/>
        </w:tabs>
        <w:bidi w:val="0"/>
        <w:jc w:val="left"/>
        <w:rPr>
          <w:rFonts w:hint="eastAsia" w:eastAsia="宋体"/>
          <w:sz w:val="30"/>
          <w:szCs w:val="30"/>
          <w:lang w:eastAsia="zh-CN"/>
        </w:rPr>
      </w:pPr>
      <w:r>
        <w:rPr>
          <w:rFonts w:hint="eastAsia" w:eastAsia="宋体"/>
          <w:sz w:val="30"/>
          <w:szCs w:val="30"/>
          <w:lang w:eastAsia="zh-CN"/>
        </w:rPr>
        <w:t>God ordained Israel’s priests to offer up, in behalf of the people, gifts and sacrifices for sin.</w:t>
      </w:r>
    </w:p>
    <w:p w14:paraId="138AD217">
      <w:pPr>
        <w:tabs>
          <w:tab w:val="left" w:pos="280"/>
        </w:tabs>
        <w:bidi w:val="0"/>
        <w:jc w:val="left"/>
        <w:rPr>
          <w:rFonts w:hint="eastAsia" w:eastAsia="宋体"/>
          <w:sz w:val="30"/>
          <w:szCs w:val="30"/>
          <w:lang w:eastAsia="zh-CN"/>
        </w:rPr>
      </w:pPr>
      <w:r>
        <w:rPr>
          <w:rFonts w:hint="eastAsia" w:eastAsia="宋体"/>
          <w:sz w:val="30"/>
          <w:szCs w:val="30"/>
          <w:lang w:eastAsia="zh-CN"/>
        </w:rPr>
        <w:t>上帝设立以色列的祭司，为百姓献上礼物和赎罪祭。</w:t>
      </w:r>
    </w:p>
    <w:p w14:paraId="576E1D00">
      <w:pPr>
        <w:tabs>
          <w:tab w:val="left" w:pos="280"/>
        </w:tabs>
        <w:bidi w:val="0"/>
        <w:jc w:val="left"/>
        <w:rPr>
          <w:rFonts w:hint="eastAsia" w:eastAsia="宋体"/>
          <w:sz w:val="30"/>
          <w:szCs w:val="30"/>
          <w:lang w:eastAsia="zh-CN"/>
        </w:rPr>
      </w:pPr>
    </w:p>
    <w:p w14:paraId="33BCC9E0">
      <w:pPr>
        <w:tabs>
          <w:tab w:val="left" w:pos="280"/>
        </w:tabs>
        <w:bidi w:val="0"/>
        <w:jc w:val="left"/>
        <w:rPr>
          <w:rFonts w:hint="eastAsia" w:eastAsia="宋体"/>
          <w:sz w:val="30"/>
          <w:szCs w:val="30"/>
          <w:lang w:eastAsia="zh-CN"/>
        </w:rPr>
      </w:pPr>
      <w:r>
        <w:rPr>
          <w:rFonts w:hint="eastAsia" w:eastAsia="宋体"/>
          <w:sz w:val="30"/>
          <w:szCs w:val="30"/>
          <w:lang w:eastAsia="zh-CN"/>
        </w:rPr>
        <w:t>This too points to Christ, who fulfilled the work of his priestly predecessors by offering up the only possible sacrifice for sin: himself (Exodus 28, 29, Lev. 1-9, Heb. 5:1, 8:3, 9:9, 26).</w:t>
      </w:r>
    </w:p>
    <w:p w14:paraId="6F14FDBC">
      <w:pPr>
        <w:tabs>
          <w:tab w:val="left" w:pos="280"/>
        </w:tabs>
        <w:bidi w:val="0"/>
        <w:jc w:val="left"/>
        <w:rPr>
          <w:rFonts w:hint="eastAsia" w:eastAsia="宋体"/>
          <w:sz w:val="30"/>
          <w:szCs w:val="30"/>
          <w:lang w:eastAsia="zh-CN"/>
        </w:rPr>
      </w:pPr>
      <w:r>
        <w:rPr>
          <w:rFonts w:hint="eastAsia" w:eastAsia="宋体"/>
          <w:sz w:val="30"/>
          <w:szCs w:val="30"/>
          <w:lang w:eastAsia="zh-CN"/>
        </w:rPr>
        <w:t>这也指向基督，祂藉着献上唯一可能的赎罪祭——祂自己——成全了祂祭司前辈的工作（出埃及记 28, 29, 利 1-9, 来 5:1, 8:3, 9:9, 26）。</w:t>
      </w:r>
    </w:p>
    <w:p w14:paraId="43D9714D">
      <w:pPr>
        <w:tabs>
          <w:tab w:val="left" w:pos="280"/>
        </w:tabs>
        <w:bidi w:val="0"/>
        <w:jc w:val="left"/>
        <w:rPr>
          <w:rFonts w:hint="eastAsia" w:eastAsia="宋体"/>
          <w:sz w:val="30"/>
          <w:szCs w:val="30"/>
          <w:lang w:eastAsia="zh-CN"/>
        </w:rPr>
      </w:pPr>
    </w:p>
    <w:p w14:paraId="72F3FFD4">
      <w:pPr>
        <w:tabs>
          <w:tab w:val="left" w:pos="280"/>
        </w:tabs>
        <w:bidi w:val="0"/>
        <w:jc w:val="left"/>
        <w:rPr>
          <w:rFonts w:hint="eastAsia" w:eastAsia="宋体"/>
          <w:sz w:val="30"/>
          <w:szCs w:val="30"/>
          <w:lang w:eastAsia="zh-CN"/>
        </w:rPr>
      </w:pPr>
      <w:r>
        <w:rPr>
          <w:rFonts w:hint="eastAsia" w:eastAsia="宋体"/>
          <w:sz w:val="30"/>
          <w:szCs w:val="30"/>
          <w:lang w:eastAsia="zh-CN"/>
        </w:rPr>
        <w:t>It also points to the Church, which the NT casts as a holy priesthood offering up spiritual sacrifices acceptable to God (Rom. 12:1f, 1 Peter 2:5)</w:t>
      </w:r>
    </w:p>
    <w:p w14:paraId="41F3B70F">
      <w:pPr>
        <w:tabs>
          <w:tab w:val="left" w:pos="280"/>
        </w:tabs>
        <w:bidi w:val="0"/>
        <w:jc w:val="left"/>
        <w:rPr>
          <w:rFonts w:hint="eastAsia" w:eastAsia="宋体"/>
          <w:sz w:val="30"/>
          <w:szCs w:val="30"/>
          <w:lang w:eastAsia="zh-CN"/>
        </w:rPr>
      </w:pPr>
      <w:r>
        <w:rPr>
          <w:rFonts w:hint="eastAsia" w:eastAsia="宋体"/>
          <w:sz w:val="30"/>
          <w:szCs w:val="30"/>
          <w:lang w:eastAsia="zh-CN"/>
        </w:rPr>
        <w:t>它也指向教会，新约将教会描绘为一个圣洁的祭司体系，献上上帝所悦纳的属灵祭物（罗 12:1f, 彼前 2:5）。</w:t>
      </w:r>
    </w:p>
    <w:p w14:paraId="72E3DA4F">
      <w:pPr>
        <w:tabs>
          <w:tab w:val="left" w:pos="280"/>
        </w:tabs>
        <w:bidi w:val="0"/>
        <w:jc w:val="left"/>
        <w:rPr>
          <w:rFonts w:hint="eastAsia" w:eastAsia="宋体"/>
          <w:sz w:val="30"/>
          <w:szCs w:val="30"/>
          <w:lang w:eastAsia="zh-CN"/>
        </w:rPr>
      </w:pPr>
    </w:p>
    <w:p w14:paraId="56945F5E">
      <w:pPr>
        <w:tabs>
          <w:tab w:val="left" w:pos="280"/>
        </w:tabs>
        <w:bidi w:val="0"/>
        <w:jc w:val="left"/>
        <w:rPr>
          <w:rFonts w:hint="eastAsia" w:eastAsia="宋体"/>
          <w:sz w:val="30"/>
          <w:szCs w:val="30"/>
          <w:lang w:eastAsia="zh-CN"/>
        </w:rPr>
      </w:pPr>
      <w:r>
        <w:rPr>
          <w:rFonts w:hint="eastAsia" w:eastAsia="宋体"/>
          <w:sz w:val="30"/>
          <w:szCs w:val="30"/>
          <w:lang w:eastAsia="zh-CN"/>
        </w:rPr>
        <w:t>Interestingly, in the Law God did not mandate the royal office, since the LORD regarded himself as King over the nation (Deut. 33:5, 1 Sam. 8:7, 12:2).</w:t>
      </w:r>
    </w:p>
    <w:p w14:paraId="3A4CA7E8">
      <w:pPr>
        <w:tabs>
          <w:tab w:val="left" w:pos="280"/>
        </w:tabs>
        <w:bidi w:val="0"/>
        <w:jc w:val="left"/>
        <w:rPr>
          <w:rFonts w:hint="eastAsia" w:eastAsia="宋体"/>
          <w:sz w:val="30"/>
          <w:szCs w:val="30"/>
          <w:lang w:eastAsia="zh-CN"/>
        </w:rPr>
      </w:pPr>
      <w:r>
        <w:rPr>
          <w:rFonts w:hint="eastAsia" w:eastAsia="宋体"/>
          <w:sz w:val="30"/>
          <w:szCs w:val="30"/>
          <w:lang w:eastAsia="zh-CN"/>
        </w:rPr>
        <w:t>有趣的是，在律法中，上帝并没有强制设立王室职位，因为主将自己视为国家的王（申 33:5, 撒上 8:7, 12:2）。</w:t>
      </w:r>
    </w:p>
    <w:p w14:paraId="3989621B">
      <w:pPr>
        <w:tabs>
          <w:tab w:val="left" w:pos="280"/>
        </w:tabs>
        <w:bidi w:val="0"/>
        <w:jc w:val="left"/>
        <w:rPr>
          <w:rFonts w:hint="eastAsia" w:eastAsia="宋体"/>
          <w:sz w:val="30"/>
          <w:szCs w:val="30"/>
          <w:lang w:eastAsia="zh-CN"/>
        </w:rPr>
      </w:pPr>
    </w:p>
    <w:p w14:paraId="5F77EAB1">
      <w:pPr>
        <w:tabs>
          <w:tab w:val="left" w:pos="280"/>
        </w:tabs>
        <w:bidi w:val="0"/>
        <w:jc w:val="left"/>
        <w:rPr>
          <w:rFonts w:hint="eastAsia" w:eastAsia="宋体"/>
          <w:sz w:val="30"/>
          <w:szCs w:val="30"/>
          <w:lang w:eastAsia="zh-CN"/>
        </w:rPr>
      </w:pPr>
      <w:r>
        <w:rPr>
          <w:rFonts w:hint="eastAsia" w:eastAsia="宋体"/>
          <w:sz w:val="30"/>
          <w:szCs w:val="30"/>
          <w:lang w:eastAsia="zh-CN"/>
        </w:rPr>
        <w:t>Nevertheless, even as he issued the Law, he foretold the rise of Israelite kings, regulated their behavior, and thereafter used some of them— especially David and Solomon—as types of Christ and his heavenly reign (2 Sam. 7, Psalms 2, 45, 89, 110, Jer. 23, Ezek. 34, 37).</w:t>
      </w:r>
    </w:p>
    <w:p w14:paraId="1AAC030C">
      <w:pPr>
        <w:tabs>
          <w:tab w:val="left" w:pos="280"/>
        </w:tabs>
        <w:bidi w:val="0"/>
        <w:jc w:val="left"/>
        <w:rPr>
          <w:rFonts w:hint="eastAsia" w:eastAsia="宋体"/>
          <w:sz w:val="30"/>
          <w:szCs w:val="30"/>
          <w:lang w:eastAsia="zh-CN"/>
        </w:rPr>
      </w:pPr>
      <w:r>
        <w:rPr>
          <w:rFonts w:hint="eastAsia" w:eastAsia="宋体"/>
          <w:sz w:val="30"/>
          <w:szCs w:val="30"/>
          <w:lang w:eastAsia="zh-CN"/>
        </w:rPr>
        <w:t>然而，即使在祂颁布律法的同时，祂也预言了以色列君王的兴起，规范了他们的行为，并此后使用他们中的一些人——特别是大卫和所罗门——作为基督和祂属天统治的预表（撒下 7, 诗篇 2, 45, 89, 110, 耶 23, 结 34, 37）。</w:t>
      </w:r>
    </w:p>
    <w:p w14:paraId="20DE06F9">
      <w:pPr>
        <w:tabs>
          <w:tab w:val="left" w:pos="280"/>
        </w:tabs>
        <w:bidi w:val="0"/>
        <w:jc w:val="left"/>
        <w:rPr>
          <w:rFonts w:hint="eastAsia" w:eastAsia="宋体"/>
          <w:sz w:val="30"/>
          <w:szCs w:val="30"/>
          <w:lang w:eastAsia="zh-CN"/>
        </w:rPr>
      </w:pPr>
    </w:p>
    <w:p w14:paraId="0B6D3750">
      <w:pPr>
        <w:tabs>
          <w:tab w:val="left" w:pos="280"/>
        </w:tabs>
        <w:bidi w:val="0"/>
        <w:jc w:val="left"/>
        <w:rPr>
          <w:rFonts w:hint="eastAsia" w:eastAsia="宋体"/>
          <w:sz w:val="30"/>
          <w:szCs w:val="30"/>
          <w:lang w:eastAsia="zh-CN"/>
        </w:rPr>
      </w:pPr>
      <w:r>
        <w:rPr>
          <w:rFonts w:hint="eastAsia" w:eastAsia="宋体"/>
          <w:sz w:val="30"/>
          <w:szCs w:val="30"/>
          <w:lang w:eastAsia="zh-CN"/>
        </w:rPr>
        <w:t>Thus, both at Israel’s founding and in her ongoing institutions, God abundantly pictured the one true Provision of the EC: Israel’s Messianic Prophet, Priest, and King—the Lord Jesus Christ.</w:t>
      </w:r>
    </w:p>
    <w:p w14:paraId="5EED69BE">
      <w:pPr>
        <w:tabs>
          <w:tab w:val="left" w:pos="280"/>
        </w:tabs>
        <w:bidi w:val="0"/>
        <w:jc w:val="left"/>
        <w:rPr>
          <w:rFonts w:hint="eastAsia" w:eastAsia="宋体"/>
          <w:sz w:val="30"/>
          <w:szCs w:val="30"/>
          <w:lang w:eastAsia="zh-CN"/>
        </w:rPr>
      </w:pPr>
      <w:r>
        <w:rPr>
          <w:rFonts w:hint="eastAsia" w:eastAsia="宋体"/>
          <w:sz w:val="30"/>
          <w:szCs w:val="30"/>
          <w:lang w:eastAsia="zh-CN"/>
        </w:rPr>
        <w:t>因此，无论在以色列建国之初还是在其持续的制度中，上帝都丰富地描绘了永恒之约（EC）的唯一真实预备：以色列的弥赛亚先知、祭司和君王——主耶稣基督。</w:t>
      </w:r>
    </w:p>
    <w:p w14:paraId="09201423">
      <w:pPr>
        <w:tabs>
          <w:tab w:val="left" w:pos="280"/>
        </w:tabs>
        <w:bidi w:val="0"/>
        <w:jc w:val="left"/>
        <w:rPr>
          <w:rFonts w:hint="eastAsia" w:eastAsia="宋体"/>
          <w:sz w:val="30"/>
          <w:szCs w:val="30"/>
          <w:lang w:eastAsia="zh-CN"/>
        </w:rPr>
      </w:pPr>
    </w:p>
    <w:p w14:paraId="5AD65060">
      <w:pPr>
        <w:tabs>
          <w:tab w:val="left" w:pos="280"/>
        </w:tabs>
        <w:bidi w:val="0"/>
        <w:jc w:val="left"/>
        <w:rPr>
          <w:rFonts w:hint="eastAsia" w:eastAsia="宋体"/>
          <w:sz w:val="30"/>
          <w:szCs w:val="30"/>
          <w:lang w:eastAsia="zh-CN"/>
        </w:rPr>
      </w:pPr>
      <w:r>
        <w:rPr>
          <w:rFonts w:hint="eastAsia" w:eastAsia="宋体"/>
          <w:sz w:val="30"/>
          <w:szCs w:val="30"/>
          <w:lang w:eastAsia="zh-CN"/>
        </w:rPr>
        <w:t>As under the covenant with Abraham, so here: The proviso of the Mosaic Covenant was faith—though at first glance, it may seem otherwise.</w:t>
      </w:r>
    </w:p>
    <w:p w14:paraId="47D91570">
      <w:pPr>
        <w:tabs>
          <w:tab w:val="left" w:pos="280"/>
        </w:tabs>
        <w:bidi w:val="0"/>
        <w:jc w:val="left"/>
        <w:rPr>
          <w:rFonts w:hint="eastAsia" w:eastAsia="宋体"/>
          <w:sz w:val="30"/>
          <w:szCs w:val="30"/>
          <w:lang w:eastAsia="zh-CN"/>
        </w:rPr>
      </w:pPr>
      <w:r>
        <w:rPr>
          <w:rFonts w:hint="eastAsia" w:eastAsia="宋体"/>
          <w:sz w:val="30"/>
          <w:szCs w:val="30"/>
          <w:lang w:eastAsia="zh-CN"/>
        </w:rPr>
        <w:t>正如在与亚伯拉罕所立的约之下一样，在此也是如此：摩西之约的附带条件是信心——尽管乍看之下，可能并非如此。</w:t>
      </w:r>
    </w:p>
    <w:p w14:paraId="4D9C9791">
      <w:pPr>
        <w:tabs>
          <w:tab w:val="left" w:pos="280"/>
        </w:tabs>
        <w:bidi w:val="0"/>
        <w:jc w:val="left"/>
        <w:rPr>
          <w:rFonts w:hint="eastAsia" w:eastAsia="宋体"/>
          <w:sz w:val="30"/>
          <w:szCs w:val="30"/>
          <w:lang w:eastAsia="zh-CN"/>
        </w:rPr>
      </w:pPr>
    </w:p>
    <w:p w14:paraId="74EA62AE">
      <w:pPr>
        <w:tabs>
          <w:tab w:val="left" w:pos="280"/>
        </w:tabs>
        <w:bidi w:val="0"/>
        <w:jc w:val="left"/>
        <w:rPr>
          <w:rFonts w:hint="eastAsia" w:eastAsia="宋体"/>
          <w:sz w:val="30"/>
          <w:szCs w:val="30"/>
          <w:lang w:eastAsia="zh-CN"/>
        </w:rPr>
      </w:pPr>
      <w:r>
        <w:rPr>
          <w:rFonts w:hint="eastAsia" w:eastAsia="宋体"/>
          <w:sz w:val="30"/>
          <w:szCs w:val="30"/>
          <w:lang w:eastAsia="zh-CN"/>
        </w:rPr>
        <w:t>This is because in articulating a large body of moral, civic, and ceremonial law, God placed great emphasis upon implicit obedience; obedience that would indeed secure temporal blessings for the nation, and safeguard against temporal curses (Lev. 26, Deut. 28).</w:t>
      </w:r>
    </w:p>
    <w:p w14:paraId="4E7907A4">
      <w:pPr>
        <w:tabs>
          <w:tab w:val="left" w:pos="280"/>
        </w:tabs>
        <w:bidi w:val="0"/>
        <w:jc w:val="left"/>
        <w:rPr>
          <w:rFonts w:hint="eastAsia" w:eastAsia="宋体"/>
          <w:sz w:val="30"/>
          <w:szCs w:val="30"/>
          <w:lang w:eastAsia="zh-CN"/>
        </w:rPr>
      </w:pPr>
      <w:r>
        <w:rPr>
          <w:rFonts w:hint="eastAsia" w:eastAsia="宋体"/>
          <w:sz w:val="30"/>
          <w:szCs w:val="30"/>
          <w:lang w:eastAsia="zh-CN"/>
        </w:rPr>
        <w:t>这是因为在阐述大量的道德律、民事律和礼仪律时，上帝极度强调了无条件的顺服；这种顺服确实能为国家确保属世的祝福，并防范属世的咒诅（利 26, 申 28）。</w:t>
      </w:r>
    </w:p>
    <w:p w14:paraId="4F0D5F69">
      <w:pPr>
        <w:tabs>
          <w:tab w:val="left" w:pos="280"/>
        </w:tabs>
        <w:bidi w:val="0"/>
        <w:jc w:val="left"/>
        <w:rPr>
          <w:rFonts w:hint="eastAsia" w:eastAsia="宋体"/>
          <w:sz w:val="30"/>
          <w:szCs w:val="30"/>
          <w:lang w:eastAsia="zh-CN"/>
        </w:rPr>
      </w:pPr>
    </w:p>
    <w:p w14:paraId="2B349319">
      <w:pPr>
        <w:tabs>
          <w:tab w:val="left" w:pos="280"/>
        </w:tabs>
        <w:bidi w:val="0"/>
        <w:jc w:val="left"/>
        <w:rPr>
          <w:rFonts w:hint="eastAsia" w:eastAsia="宋体"/>
          <w:sz w:val="30"/>
          <w:szCs w:val="30"/>
          <w:lang w:eastAsia="zh-CN"/>
        </w:rPr>
      </w:pPr>
      <w:r>
        <w:rPr>
          <w:rFonts w:hint="eastAsia" w:eastAsia="宋体"/>
          <w:sz w:val="30"/>
          <w:szCs w:val="30"/>
          <w:lang w:eastAsia="zh-CN"/>
        </w:rPr>
        <w:t>Discerning theologians argue that all this was intentional; that the temporal blessings and curses did indeed picture eternal life and eternal death; and that by placing a close connection between obedience and (temporal) blessing at the forefront of the Mosaic Law, God was supplying Israel (and us) with “a positive reminder of the Covenant of Works.”4</w:t>
      </w:r>
    </w:p>
    <w:p w14:paraId="1EEF4837">
      <w:pPr>
        <w:tabs>
          <w:tab w:val="left" w:pos="280"/>
        </w:tabs>
        <w:bidi w:val="0"/>
        <w:jc w:val="left"/>
        <w:rPr>
          <w:rFonts w:hint="eastAsia" w:eastAsia="宋体"/>
          <w:sz w:val="30"/>
          <w:szCs w:val="30"/>
          <w:lang w:eastAsia="zh-CN"/>
        </w:rPr>
      </w:pPr>
      <w:r>
        <w:rPr>
          <w:rFonts w:hint="eastAsia" w:eastAsia="宋体"/>
          <w:sz w:val="30"/>
          <w:szCs w:val="30"/>
          <w:lang w:eastAsia="zh-CN"/>
        </w:rPr>
        <w:t>有见识的神学家们认为，所有这一切都是有意的；属世的祝福和咒诅确实描绘了永生和永死；并且，通过将顺服与（属世的）祝福之间的紧密联系置于摩西律法的前沿，上帝正在为以色列（和我们）提供“一个对行为之约的积极提醒”。4</w:t>
      </w:r>
    </w:p>
    <w:p w14:paraId="09F7D6EC">
      <w:pPr>
        <w:tabs>
          <w:tab w:val="left" w:pos="280"/>
        </w:tabs>
        <w:bidi w:val="0"/>
        <w:jc w:val="left"/>
        <w:rPr>
          <w:rFonts w:hint="eastAsia" w:eastAsia="宋体"/>
          <w:sz w:val="30"/>
          <w:szCs w:val="30"/>
          <w:lang w:eastAsia="zh-CN"/>
        </w:rPr>
      </w:pPr>
    </w:p>
    <w:p w14:paraId="515CC76E">
      <w:pPr>
        <w:tabs>
          <w:tab w:val="left" w:pos="280"/>
        </w:tabs>
        <w:bidi w:val="0"/>
        <w:jc w:val="left"/>
        <w:rPr>
          <w:rFonts w:hint="eastAsia" w:eastAsia="宋体"/>
          <w:sz w:val="30"/>
          <w:szCs w:val="30"/>
          <w:lang w:eastAsia="zh-CN"/>
        </w:rPr>
      </w:pPr>
      <w:r>
        <w:rPr>
          <w:rFonts w:hint="eastAsia" w:eastAsia="宋体"/>
          <w:sz w:val="30"/>
          <w:szCs w:val="30"/>
          <w:lang w:eastAsia="zh-CN"/>
        </w:rPr>
        <w:t>However, along with the apostle Paul, these same theologians rush to add that this was never meant to promote the idea of salvation (i.e., justification) by works, as so many of the Jews later came to believe.</w:t>
      </w:r>
    </w:p>
    <w:p w14:paraId="4DD8AF01">
      <w:pPr>
        <w:tabs>
          <w:tab w:val="left" w:pos="280"/>
        </w:tabs>
        <w:bidi w:val="0"/>
        <w:jc w:val="left"/>
        <w:rPr>
          <w:rFonts w:hint="eastAsia" w:eastAsia="宋体"/>
          <w:sz w:val="30"/>
          <w:szCs w:val="30"/>
          <w:lang w:eastAsia="zh-CN"/>
        </w:rPr>
      </w:pPr>
      <w:r>
        <w:rPr>
          <w:rFonts w:hint="eastAsia" w:eastAsia="宋体"/>
          <w:sz w:val="30"/>
          <w:szCs w:val="30"/>
          <w:lang w:eastAsia="zh-CN"/>
        </w:rPr>
        <w:t>然而，与使徒保罗一样，这些神学家们急忙补充说，这绝不是为了提倡靠行为得救（即称义）的观念，正如后来许多犹太人所相信的那样。</w:t>
      </w:r>
    </w:p>
    <w:p w14:paraId="30A53F56">
      <w:pPr>
        <w:tabs>
          <w:tab w:val="left" w:pos="280"/>
        </w:tabs>
        <w:bidi w:val="0"/>
        <w:jc w:val="left"/>
        <w:rPr>
          <w:rFonts w:hint="eastAsia" w:eastAsia="宋体"/>
          <w:sz w:val="30"/>
          <w:szCs w:val="30"/>
          <w:lang w:eastAsia="zh-CN"/>
        </w:rPr>
      </w:pPr>
    </w:p>
    <w:p w14:paraId="0FC18678">
      <w:pPr>
        <w:tabs>
          <w:tab w:val="left" w:pos="280"/>
        </w:tabs>
        <w:bidi w:val="0"/>
        <w:jc w:val="left"/>
        <w:rPr>
          <w:rFonts w:hint="eastAsia" w:eastAsia="宋体"/>
          <w:sz w:val="30"/>
          <w:szCs w:val="30"/>
          <w:lang w:eastAsia="zh-CN"/>
        </w:rPr>
      </w:pPr>
      <w:r>
        <w:rPr>
          <w:rFonts w:hint="eastAsia" w:eastAsia="宋体"/>
          <w:sz w:val="30"/>
          <w:szCs w:val="30"/>
          <w:lang w:eastAsia="zh-CN"/>
        </w:rPr>
        <w:t>To the contrary, it was designed to teach poor sinners, who could not possibly fulfill the Covenant of Works (i.e., the righteous requirement of the Law), that they must flee, in faith, to Christ, who alone could and did on their behalf (Rom. 3:20, 7:1ff, 8:1-4, Gal. 3:19- 25, Heb. 12:18-24)!</w:t>
      </w:r>
    </w:p>
    <w:p w14:paraId="43D3379A">
      <w:pPr>
        <w:tabs>
          <w:tab w:val="left" w:pos="280"/>
        </w:tabs>
        <w:bidi w:val="0"/>
        <w:jc w:val="left"/>
        <w:rPr>
          <w:rFonts w:hint="eastAsia" w:eastAsia="宋体"/>
          <w:sz w:val="30"/>
          <w:szCs w:val="30"/>
          <w:lang w:eastAsia="zh-CN"/>
        </w:rPr>
      </w:pPr>
      <w:r>
        <w:rPr>
          <w:rFonts w:hint="eastAsia" w:eastAsia="宋体"/>
          <w:sz w:val="30"/>
          <w:szCs w:val="30"/>
          <w:lang w:eastAsia="zh-CN"/>
        </w:rPr>
        <w:t>相反，它的设计是为了教导可怜的罪人，他们不可能履行行为之约（即律法的公义要求），他们必须凭着信心逃向基督，唯有基督能且确实代表他们做到了（罗 3:20, 7:1ff, 8:1-4, 加 3:19-25, 来 12:18-24）！</w:t>
      </w:r>
    </w:p>
    <w:p w14:paraId="7D62F4F5">
      <w:pPr>
        <w:tabs>
          <w:tab w:val="left" w:pos="280"/>
        </w:tabs>
        <w:bidi w:val="0"/>
        <w:jc w:val="left"/>
        <w:rPr>
          <w:rFonts w:hint="eastAsia" w:eastAsia="宋体"/>
          <w:sz w:val="30"/>
          <w:szCs w:val="30"/>
          <w:lang w:eastAsia="zh-CN"/>
        </w:rPr>
      </w:pPr>
    </w:p>
    <w:p w14:paraId="1AF6C1A9">
      <w:pPr>
        <w:tabs>
          <w:tab w:val="left" w:pos="280"/>
        </w:tabs>
        <w:bidi w:val="0"/>
        <w:jc w:val="left"/>
        <w:rPr>
          <w:rFonts w:hint="eastAsia" w:eastAsia="宋体"/>
          <w:sz w:val="30"/>
          <w:szCs w:val="30"/>
          <w:lang w:eastAsia="zh-CN"/>
        </w:rPr>
      </w:pPr>
      <w:r>
        <w:rPr>
          <w:rFonts w:hint="eastAsia" w:eastAsia="宋体"/>
          <w:sz w:val="30"/>
          <w:szCs w:val="30"/>
          <w:lang w:eastAsia="zh-CN"/>
        </w:rPr>
        <w:t>Yes, the proviso of the Mosaic Covenant was faith.</w:t>
      </w:r>
    </w:p>
    <w:p w14:paraId="522C1EA2">
      <w:pPr>
        <w:tabs>
          <w:tab w:val="left" w:pos="280"/>
        </w:tabs>
        <w:bidi w:val="0"/>
        <w:jc w:val="left"/>
        <w:rPr>
          <w:rFonts w:hint="eastAsia" w:eastAsia="宋体"/>
          <w:sz w:val="30"/>
          <w:szCs w:val="30"/>
          <w:lang w:eastAsia="zh-CN"/>
        </w:rPr>
      </w:pPr>
      <w:r>
        <w:rPr>
          <w:rFonts w:hint="eastAsia" w:eastAsia="宋体"/>
          <w:sz w:val="30"/>
          <w:szCs w:val="30"/>
          <w:lang w:eastAsia="zh-CN"/>
        </w:rPr>
        <w:t>是的，摩西之约的附带条件是信心。</w:t>
      </w:r>
    </w:p>
    <w:p w14:paraId="6BD0D947">
      <w:pPr>
        <w:tabs>
          <w:tab w:val="left" w:pos="280"/>
        </w:tabs>
        <w:bidi w:val="0"/>
        <w:jc w:val="left"/>
        <w:rPr>
          <w:rFonts w:hint="eastAsia" w:eastAsia="宋体"/>
          <w:sz w:val="30"/>
          <w:szCs w:val="30"/>
          <w:lang w:eastAsia="zh-CN"/>
        </w:rPr>
      </w:pPr>
    </w:p>
    <w:p w14:paraId="7A1FC48B">
      <w:pPr>
        <w:tabs>
          <w:tab w:val="left" w:pos="280"/>
        </w:tabs>
        <w:bidi w:val="0"/>
        <w:jc w:val="left"/>
        <w:rPr>
          <w:rFonts w:hint="eastAsia" w:eastAsia="宋体"/>
          <w:sz w:val="30"/>
          <w:szCs w:val="30"/>
          <w:lang w:eastAsia="zh-CN"/>
        </w:rPr>
      </w:pPr>
      <w:r>
        <w:rPr>
          <w:rFonts w:hint="eastAsia" w:eastAsia="宋体"/>
          <w:sz w:val="30"/>
          <w:szCs w:val="30"/>
          <w:lang w:eastAsia="zh-CN"/>
        </w:rPr>
        <w:t>We see this not only in the days of the Exodus itself, but also throughout the 1500 years during which the Law remained in force.</w:t>
      </w:r>
    </w:p>
    <w:p w14:paraId="59E5EADE">
      <w:pPr>
        <w:tabs>
          <w:tab w:val="left" w:pos="280"/>
        </w:tabs>
        <w:bidi w:val="0"/>
        <w:jc w:val="left"/>
        <w:rPr>
          <w:rFonts w:hint="eastAsia" w:eastAsia="宋体"/>
          <w:sz w:val="30"/>
          <w:szCs w:val="30"/>
          <w:lang w:eastAsia="zh-CN"/>
        </w:rPr>
      </w:pPr>
      <w:r>
        <w:rPr>
          <w:rFonts w:hint="eastAsia" w:eastAsia="宋体"/>
          <w:sz w:val="30"/>
          <w:szCs w:val="30"/>
          <w:lang w:eastAsia="zh-CN"/>
        </w:rPr>
        <w:t>我们不仅在出埃及的日子里看到这一点，也在律法生效的1500年间看到这一点。</w:t>
      </w:r>
    </w:p>
    <w:p w14:paraId="56BC2136">
      <w:pPr>
        <w:tabs>
          <w:tab w:val="left" w:pos="280"/>
        </w:tabs>
        <w:bidi w:val="0"/>
        <w:jc w:val="left"/>
        <w:rPr>
          <w:rFonts w:hint="eastAsia" w:eastAsia="宋体"/>
          <w:sz w:val="30"/>
          <w:szCs w:val="30"/>
          <w:lang w:eastAsia="zh-CN"/>
        </w:rPr>
      </w:pPr>
    </w:p>
    <w:p w14:paraId="62C48422">
      <w:pPr>
        <w:tabs>
          <w:tab w:val="left" w:pos="280"/>
        </w:tabs>
        <w:bidi w:val="0"/>
        <w:jc w:val="left"/>
        <w:rPr>
          <w:rFonts w:hint="eastAsia" w:eastAsia="宋体"/>
          <w:sz w:val="30"/>
          <w:szCs w:val="30"/>
          <w:lang w:eastAsia="zh-CN"/>
        </w:rPr>
      </w:pPr>
      <w:r>
        <w:rPr>
          <w:rFonts w:hint="eastAsia" w:eastAsia="宋体"/>
          <w:sz w:val="30"/>
          <w:szCs w:val="30"/>
          <w:lang w:eastAsia="zh-CN"/>
        </w:rPr>
        <w:t>For example, God repeatedly required the Israelites to exercise faith in Moses (a type of Christ), whether at his arrival in Egypt (Exodus 5), on the night of the Passover (Exodus 11, 12), at the Red Sea (Exodus 14), in need of food (Exodus 16), in need of water (Exodus 17), in need of healing (Num. 21, John 3), and, years later, at Israel’s entrance to the Promised Land (Deut. 31).</w:t>
      </w:r>
    </w:p>
    <w:p w14:paraId="72BD7941">
      <w:pPr>
        <w:tabs>
          <w:tab w:val="left" w:pos="280"/>
        </w:tabs>
        <w:bidi w:val="0"/>
        <w:jc w:val="left"/>
        <w:rPr>
          <w:rFonts w:hint="eastAsia" w:eastAsia="宋体"/>
          <w:sz w:val="30"/>
          <w:szCs w:val="30"/>
          <w:lang w:eastAsia="zh-CN"/>
        </w:rPr>
      </w:pPr>
      <w:r>
        <w:rPr>
          <w:rFonts w:hint="eastAsia" w:eastAsia="宋体"/>
          <w:sz w:val="30"/>
          <w:szCs w:val="30"/>
          <w:lang w:eastAsia="zh-CN"/>
        </w:rPr>
        <w:t>例如，上帝反复要求以色列人对摩西（基督的预表）有信心，无论是在他到达埃及时（出埃及记 5），在逾越节的晚上（出埃及记 11, 12），在红海（出埃及记 14），在需要食物时（出埃及记 16），在需要水时（出埃及记 17），在需要医治时（民 21, 约 3），以及多年后，在以色列进入应许之地时（申 31）。</w:t>
      </w:r>
    </w:p>
    <w:p w14:paraId="413F5568">
      <w:pPr>
        <w:tabs>
          <w:tab w:val="left" w:pos="280"/>
        </w:tabs>
        <w:bidi w:val="0"/>
        <w:jc w:val="left"/>
        <w:rPr>
          <w:rFonts w:hint="eastAsia" w:eastAsia="宋体"/>
          <w:sz w:val="30"/>
          <w:szCs w:val="30"/>
          <w:lang w:eastAsia="zh-CN"/>
        </w:rPr>
      </w:pPr>
    </w:p>
    <w:p w14:paraId="0AF88D49">
      <w:pPr>
        <w:tabs>
          <w:tab w:val="left" w:pos="280"/>
        </w:tabs>
        <w:bidi w:val="0"/>
        <w:jc w:val="left"/>
        <w:rPr>
          <w:rFonts w:hint="eastAsia" w:eastAsia="宋体"/>
          <w:sz w:val="30"/>
          <w:szCs w:val="30"/>
          <w:lang w:eastAsia="zh-CN"/>
        </w:rPr>
      </w:pPr>
      <w:r>
        <w:rPr>
          <w:rFonts w:hint="eastAsia" w:eastAsia="宋体"/>
          <w:sz w:val="30"/>
          <w:szCs w:val="30"/>
          <w:lang w:eastAsia="zh-CN"/>
        </w:rPr>
        <w:t>Also, Israel was to show faith in God’s promise of forgiveness by coming faithfully—especially on the Day of Atonement—to their priests (a type of Christ), through whom they might offer sacrifices for sin (a further type of Christ).</w:t>
      </w:r>
    </w:p>
    <w:p w14:paraId="31EF02FB">
      <w:pPr>
        <w:tabs>
          <w:tab w:val="left" w:pos="280"/>
        </w:tabs>
        <w:bidi w:val="0"/>
        <w:jc w:val="left"/>
        <w:rPr>
          <w:rFonts w:hint="eastAsia" w:eastAsia="宋体"/>
          <w:sz w:val="30"/>
          <w:szCs w:val="30"/>
          <w:lang w:eastAsia="zh-CN"/>
        </w:rPr>
      </w:pPr>
      <w:r>
        <w:rPr>
          <w:rFonts w:hint="eastAsia" w:eastAsia="宋体"/>
          <w:sz w:val="30"/>
          <w:szCs w:val="30"/>
          <w:lang w:eastAsia="zh-CN"/>
        </w:rPr>
        <w:t>此外，以色列要藉着忠心地——尤其是在赎罪日——来到他们的祭司（基督的预表）面前，来显明对上帝赦罪应许的信心，他们可以通过这些祭司为罪献祭（基督的又一预表）。</w:t>
      </w:r>
    </w:p>
    <w:p w14:paraId="40C159E1">
      <w:pPr>
        <w:tabs>
          <w:tab w:val="left" w:pos="280"/>
        </w:tabs>
        <w:bidi w:val="0"/>
        <w:jc w:val="left"/>
        <w:rPr>
          <w:rFonts w:hint="eastAsia" w:eastAsia="宋体"/>
          <w:sz w:val="30"/>
          <w:szCs w:val="30"/>
          <w:lang w:eastAsia="zh-CN"/>
        </w:rPr>
      </w:pPr>
    </w:p>
    <w:p w14:paraId="0717BC93">
      <w:pPr>
        <w:tabs>
          <w:tab w:val="left" w:pos="280"/>
        </w:tabs>
        <w:bidi w:val="0"/>
        <w:jc w:val="left"/>
        <w:rPr>
          <w:rFonts w:hint="eastAsia" w:eastAsia="宋体"/>
          <w:sz w:val="30"/>
          <w:szCs w:val="30"/>
          <w:lang w:eastAsia="zh-CN"/>
        </w:rPr>
      </w:pPr>
      <w:r>
        <w:rPr>
          <w:rFonts w:hint="eastAsia" w:eastAsia="宋体"/>
          <w:sz w:val="30"/>
          <w:szCs w:val="30"/>
          <w:lang w:eastAsia="zh-CN"/>
        </w:rPr>
        <w:t>And finally, in the ever-growing canon of OT Scripture, God called all Israelites to trust in his perennial promise of a coming Redeemer: the Seed of the woman (Gen. 3:15) and the Seed of Abraham (Gen 22:18), who, it turns out, will also be a Seed of David: a Spirit- anointed Prophet, Priest, and King (i.e., Messiah) who will bring the promised Kingdom of God to the whole world (Psalm 2, 110, Jer. 33:17-18, Daniel 9, Ezek. 34, 37).</w:t>
      </w:r>
    </w:p>
    <w:p w14:paraId="169923CC">
      <w:pPr>
        <w:tabs>
          <w:tab w:val="left" w:pos="280"/>
        </w:tabs>
        <w:bidi w:val="0"/>
        <w:jc w:val="left"/>
        <w:rPr>
          <w:rFonts w:hint="eastAsia" w:eastAsia="宋体"/>
          <w:sz w:val="30"/>
          <w:szCs w:val="30"/>
          <w:lang w:eastAsia="zh-CN"/>
        </w:rPr>
      </w:pPr>
      <w:r>
        <w:rPr>
          <w:rFonts w:hint="eastAsia" w:eastAsia="宋体"/>
          <w:sz w:val="30"/>
          <w:szCs w:val="30"/>
          <w:lang w:eastAsia="zh-CN"/>
        </w:rPr>
        <w:t>最后，在不断增长的旧约圣经正典中，上帝呼召所有以色列人信靠祂对将要来的救赎主的永恒应许：女人的后裔（创 3:15）和亚伯拉罕的后裔（创 22:18），结果，祂也将是大卫的后裔：一位受圣灵膏抹的先知、祭司和君王（即弥赛亚），祂将把应许的上帝之国带到全世界（诗篇 2, 110, 耶 33:17-18, 但以理书 9, 结 34, 37）。</w:t>
      </w:r>
    </w:p>
    <w:p w14:paraId="077D82EA">
      <w:pPr>
        <w:tabs>
          <w:tab w:val="left" w:pos="280"/>
        </w:tabs>
        <w:bidi w:val="0"/>
        <w:jc w:val="left"/>
        <w:rPr>
          <w:rFonts w:hint="eastAsia" w:eastAsia="宋体"/>
          <w:sz w:val="30"/>
          <w:szCs w:val="30"/>
          <w:lang w:eastAsia="zh-CN"/>
        </w:rPr>
      </w:pPr>
    </w:p>
    <w:p w14:paraId="78A70642">
      <w:pPr>
        <w:tabs>
          <w:tab w:val="left" w:pos="280"/>
        </w:tabs>
        <w:bidi w:val="0"/>
        <w:jc w:val="left"/>
        <w:rPr>
          <w:rFonts w:hint="eastAsia" w:eastAsia="宋体"/>
          <w:sz w:val="30"/>
          <w:szCs w:val="30"/>
          <w:lang w:eastAsia="zh-CN"/>
        </w:rPr>
      </w:pPr>
      <w:r>
        <w:rPr>
          <w:rFonts w:hint="eastAsia" w:eastAsia="宋体"/>
          <w:sz w:val="30"/>
          <w:szCs w:val="30"/>
          <w:lang w:eastAsia="zh-CN"/>
        </w:rPr>
        <w:t>It was, then, by faith in all these different types of Christ that godly Israelites (and some Gentiles) were saved.</w:t>
      </w:r>
    </w:p>
    <w:p w14:paraId="292D1D25">
      <w:pPr>
        <w:tabs>
          <w:tab w:val="left" w:pos="280"/>
        </w:tabs>
        <w:bidi w:val="0"/>
        <w:jc w:val="left"/>
        <w:rPr>
          <w:rFonts w:hint="eastAsia" w:eastAsia="宋体"/>
          <w:sz w:val="30"/>
          <w:szCs w:val="30"/>
          <w:lang w:eastAsia="zh-CN"/>
        </w:rPr>
      </w:pPr>
      <w:r>
        <w:rPr>
          <w:rFonts w:hint="eastAsia" w:eastAsia="宋体"/>
          <w:sz w:val="30"/>
          <w:szCs w:val="30"/>
          <w:lang w:eastAsia="zh-CN"/>
        </w:rPr>
        <w:t>那么，正是藉着对所有这些不同基督预表的信心，敬虔的以色列人（和一些外邦人）才得以拯救。</w:t>
      </w:r>
    </w:p>
    <w:p w14:paraId="269D603F">
      <w:pPr>
        <w:tabs>
          <w:tab w:val="left" w:pos="280"/>
        </w:tabs>
        <w:bidi w:val="0"/>
        <w:jc w:val="left"/>
        <w:rPr>
          <w:rFonts w:hint="eastAsia" w:eastAsia="宋体"/>
          <w:sz w:val="30"/>
          <w:szCs w:val="30"/>
          <w:lang w:eastAsia="zh-CN"/>
        </w:rPr>
      </w:pPr>
    </w:p>
    <w:p w14:paraId="79366BAE">
      <w:pPr>
        <w:tabs>
          <w:tab w:val="left" w:pos="280"/>
        </w:tabs>
        <w:bidi w:val="0"/>
        <w:jc w:val="left"/>
        <w:rPr>
          <w:rFonts w:hint="eastAsia" w:eastAsia="宋体"/>
          <w:sz w:val="30"/>
          <w:szCs w:val="30"/>
          <w:lang w:eastAsia="zh-CN"/>
        </w:rPr>
      </w:pPr>
      <w:r>
        <w:rPr>
          <w:rFonts w:hint="eastAsia" w:eastAsia="宋体"/>
          <w:sz w:val="30"/>
          <w:szCs w:val="30"/>
          <w:lang w:eastAsia="zh-CN"/>
        </w:rPr>
        <w:t>Moreover, it was that same faith that moved them to obey all of God’s commandments, just as their believing father Abraham had done; who, having been called and justified, always sought to walk in holiness, blameless before the LORD (Gen. 17:1, Luke 1:6, Heb. 11:1ff, James 2:14ff).</w:t>
      </w:r>
    </w:p>
    <w:p w14:paraId="1B0C5130">
      <w:pPr>
        <w:tabs>
          <w:tab w:val="left" w:pos="280"/>
        </w:tabs>
        <w:bidi w:val="0"/>
        <w:jc w:val="left"/>
        <w:rPr>
          <w:rFonts w:hint="eastAsia" w:eastAsia="宋体"/>
          <w:sz w:val="30"/>
          <w:szCs w:val="30"/>
          <w:lang w:eastAsia="zh-CN"/>
        </w:rPr>
      </w:pPr>
      <w:r>
        <w:rPr>
          <w:rFonts w:hint="eastAsia" w:eastAsia="宋体"/>
          <w:sz w:val="30"/>
          <w:szCs w:val="30"/>
          <w:lang w:eastAsia="zh-CN"/>
        </w:rPr>
        <w:t>此外，正是那同样的信心促使他们遵守上帝所有的诫命，就像他们有信心的父亚伯拉罕所做的一样；他既蒙召称义，就总是寻求在圣洁中行事，在主面前无可指摘（创 17:1, 路 1:6, 来 11:1ff, 雅 2:14ff）。</w:t>
      </w:r>
    </w:p>
    <w:p w14:paraId="14416F27">
      <w:pPr>
        <w:tabs>
          <w:tab w:val="left" w:pos="280"/>
        </w:tabs>
        <w:bidi w:val="0"/>
        <w:jc w:val="left"/>
        <w:rPr>
          <w:rFonts w:hint="eastAsia" w:eastAsia="宋体"/>
          <w:sz w:val="30"/>
          <w:szCs w:val="30"/>
          <w:lang w:eastAsia="zh-CN"/>
        </w:rPr>
      </w:pPr>
    </w:p>
    <w:p w14:paraId="73C5B0FC">
      <w:pPr>
        <w:tabs>
          <w:tab w:val="left" w:pos="280"/>
        </w:tabs>
        <w:bidi w:val="0"/>
        <w:jc w:val="left"/>
        <w:rPr>
          <w:rFonts w:hint="eastAsia" w:eastAsia="宋体"/>
          <w:sz w:val="30"/>
          <w:szCs w:val="30"/>
          <w:lang w:eastAsia="zh-CN"/>
        </w:rPr>
      </w:pPr>
      <w:r>
        <w:rPr>
          <w:rFonts w:hint="eastAsia" w:eastAsia="宋体"/>
          <w:sz w:val="30"/>
          <w:szCs w:val="30"/>
          <w:lang w:eastAsia="zh-CN"/>
        </w:rPr>
        <w:t>The Mosaic Covenant pictures the penalty of (disobeying) the EC in at least three different ways.</w:t>
      </w:r>
    </w:p>
    <w:p w14:paraId="6CBB0D37">
      <w:pPr>
        <w:tabs>
          <w:tab w:val="left" w:pos="280"/>
        </w:tabs>
        <w:bidi w:val="0"/>
        <w:jc w:val="left"/>
        <w:rPr>
          <w:rFonts w:hint="eastAsia" w:eastAsia="宋体"/>
          <w:sz w:val="30"/>
          <w:szCs w:val="30"/>
          <w:lang w:eastAsia="zh-CN"/>
        </w:rPr>
      </w:pPr>
      <w:r>
        <w:rPr>
          <w:rFonts w:hint="eastAsia" w:eastAsia="宋体"/>
          <w:sz w:val="30"/>
          <w:szCs w:val="30"/>
          <w:lang w:eastAsia="zh-CN"/>
        </w:rPr>
        <w:t>摩西之约以至少三种不同的方式描绘了（不顺服）永恒之约（EC）的刑罚。</w:t>
      </w:r>
    </w:p>
    <w:p w14:paraId="693A8D77">
      <w:pPr>
        <w:tabs>
          <w:tab w:val="left" w:pos="280"/>
        </w:tabs>
        <w:bidi w:val="0"/>
        <w:jc w:val="left"/>
        <w:rPr>
          <w:rFonts w:hint="eastAsia" w:eastAsia="宋体"/>
          <w:sz w:val="30"/>
          <w:szCs w:val="30"/>
          <w:lang w:eastAsia="zh-CN"/>
        </w:rPr>
      </w:pPr>
    </w:p>
    <w:p w14:paraId="55B4FA3C">
      <w:pPr>
        <w:tabs>
          <w:tab w:val="left" w:pos="280"/>
        </w:tabs>
        <w:bidi w:val="0"/>
        <w:jc w:val="left"/>
        <w:rPr>
          <w:rFonts w:hint="eastAsia" w:eastAsia="宋体"/>
          <w:sz w:val="30"/>
          <w:szCs w:val="30"/>
          <w:lang w:eastAsia="zh-CN"/>
        </w:rPr>
      </w:pPr>
      <w:r>
        <w:rPr>
          <w:rFonts w:hint="eastAsia" w:eastAsia="宋体"/>
          <w:sz w:val="30"/>
          <w:szCs w:val="30"/>
          <w:lang w:eastAsia="zh-CN"/>
        </w:rPr>
        <w:t>We first see it in the supernatural destruction of Egypt, not only by the ten plagues that fell upon the land and its inhabitants, but also and especially at the Red Sea, where the collapsing walls of water engulfed Pharaoh and his chariots (Exodus 7-15, Psalm 136:15).</w:t>
      </w:r>
    </w:p>
    <w:p w14:paraId="5B336458">
      <w:pPr>
        <w:tabs>
          <w:tab w:val="left" w:pos="280"/>
        </w:tabs>
        <w:bidi w:val="0"/>
        <w:jc w:val="left"/>
        <w:rPr>
          <w:rFonts w:hint="eastAsia" w:eastAsia="宋体"/>
          <w:sz w:val="30"/>
          <w:szCs w:val="30"/>
          <w:lang w:eastAsia="zh-CN"/>
        </w:rPr>
      </w:pPr>
      <w:r>
        <w:rPr>
          <w:rFonts w:hint="eastAsia" w:eastAsia="宋体"/>
          <w:sz w:val="30"/>
          <w:szCs w:val="30"/>
          <w:lang w:eastAsia="zh-CN"/>
        </w:rPr>
        <w:t>我们首先在埃及的超自然毁灭中看到它，不仅是通过降临在那地及其居民身上的十灾，而且尤其是在红海，在那里，倒塌的水墙吞噬了法老和他的战车（出埃及记 7-15, 诗篇 136:15）。</w:t>
      </w:r>
    </w:p>
    <w:p w14:paraId="09A2F81D">
      <w:pPr>
        <w:tabs>
          <w:tab w:val="left" w:pos="280"/>
        </w:tabs>
        <w:bidi w:val="0"/>
        <w:jc w:val="left"/>
        <w:rPr>
          <w:rFonts w:hint="eastAsia" w:eastAsia="宋体"/>
          <w:sz w:val="30"/>
          <w:szCs w:val="30"/>
          <w:lang w:eastAsia="zh-CN"/>
        </w:rPr>
      </w:pPr>
    </w:p>
    <w:p w14:paraId="109CAA58">
      <w:pPr>
        <w:tabs>
          <w:tab w:val="left" w:pos="280"/>
        </w:tabs>
        <w:bidi w:val="0"/>
        <w:jc w:val="left"/>
        <w:rPr>
          <w:rFonts w:hint="eastAsia" w:eastAsia="宋体"/>
          <w:sz w:val="30"/>
          <w:szCs w:val="30"/>
          <w:lang w:eastAsia="zh-CN"/>
        </w:rPr>
      </w:pPr>
      <w:r>
        <w:rPr>
          <w:rFonts w:hint="eastAsia" w:eastAsia="宋体"/>
          <w:sz w:val="30"/>
          <w:szCs w:val="30"/>
          <w:lang w:eastAsia="zh-CN"/>
        </w:rPr>
        <w:t>The Revelation repeatedly alludes to these events, putting them forth as types of the Last Judgment and the eternal punishment of the wicked to follow (Rev. 8, 11, 12, 15, 16, 20).</w:t>
      </w:r>
    </w:p>
    <w:p w14:paraId="3834BE6D">
      <w:pPr>
        <w:tabs>
          <w:tab w:val="left" w:pos="280"/>
        </w:tabs>
        <w:bidi w:val="0"/>
        <w:jc w:val="left"/>
        <w:rPr>
          <w:rFonts w:hint="eastAsia" w:eastAsia="宋体"/>
          <w:sz w:val="30"/>
          <w:szCs w:val="30"/>
          <w:lang w:eastAsia="zh-CN"/>
        </w:rPr>
      </w:pPr>
      <w:r>
        <w:rPr>
          <w:rFonts w:hint="eastAsia" w:eastAsia="宋体"/>
          <w:sz w:val="30"/>
          <w:szCs w:val="30"/>
          <w:lang w:eastAsia="zh-CN"/>
        </w:rPr>
        <w:t>启示录反复提及这些事件，将它们作为末日审判和随之而来的恶人永刑的预表（启 8, 11, 12, 15, 16, 20）。</w:t>
      </w:r>
    </w:p>
    <w:p w14:paraId="6A53DAEF">
      <w:pPr>
        <w:tabs>
          <w:tab w:val="left" w:pos="280"/>
        </w:tabs>
        <w:bidi w:val="0"/>
        <w:jc w:val="left"/>
        <w:rPr>
          <w:rFonts w:hint="eastAsia" w:eastAsia="宋体"/>
          <w:sz w:val="30"/>
          <w:szCs w:val="30"/>
          <w:lang w:eastAsia="zh-CN"/>
        </w:rPr>
      </w:pPr>
    </w:p>
    <w:p w14:paraId="72B4931C">
      <w:pPr>
        <w:tabs>
          <w:tab w:val="left" w:pos="280"/>
        </w:tabs>
        <w:bidi w:val="0"/>
        <w:jc w:val="left"/>
        <w:rPr>
          <w:rFonts w:hint="eastAsia" w:eastAsia="宋体"/>
          <w:sz w:val="30"/>
          <w:szCs w:val="30"/>
          <w:lang w:eastAsia="zh-CN"/>
        </w:rPr>
      </w:pPr>
      <w:r>
        <w:rPr>
          <w:rFonts w:hint="eastAsia" w:eastAsia="宋体"/>
          <w:sz w:val="30"/>
          <w:szCs w:val="30"/>
          <w:lang w:eastAsia="zh-CN"/>
        </w:rPr>
        <w:t>Secondly, we have the ghastly physical curses with which God threatened Israel (one of which was expulsion and exile from the land); curses that picture “the curse of the Law” (i.e., death), and which therefore typify “the second death,” which is eternal punishment away from the presence of the Lord and the glory of his power (Lev. 26, Deut. 28; Mt. 25:46, Gal. 3:13, 2 Thess. 1, Rev. 2:11, 20:14, 21:8).</w:t>
      </w:r>
    </w:p>
    <w:p w14:paraId="69CED82B">
      <w:pPr>
        <w:tabs>
          <w:tab w:val="left" w:pos="280"/>
        </w:tabs>
        <w:bidi w:val="0"/>
        <w:jc w:val="left"/>
        <w:rPr>
          <w:rFonts w:hint="eastAsia" w:eastAsia="宋体"/>
          <w:sz w:val="30"/>
          <w:szCs w:val="30"/>
          <w:lang w:eastAsia="zh-CN"/>
        </w:rPr>
      </w:pPr>
      <w:r>
        <w:rPr>
          <w:rFonts w:hint="eastAsia" w:eastAsia="宋体"/>
          <w:sz w:val="30"/>
          <w:szCs w:val="30"/>
          <w:lang w:eastAsia="zh-CN"/>
        </w:rPr>
        <w:t>其次，我们有上帝威胁以色列的可怕的肉身咒诅（其中之一是被逐出和流放离开那地）；这些咒诅描绘了“律法的咒诅”（即死亡），因此预表了“第二次的死”，即远离主的面和祂权能的荣光的永刑（利 26, 申 28; 太 25:46, 加 3:13, 帖后 1, 启 2:11, 20:14, 21:8）。</w:t>
      </w:r>
    </w:p>
    <w:p w14:paraId="3AEB9D5B">
      <w:pPr>
        <w:tabs>
          <w:tab w:val="left" w:pos="280"/>
        </w:tabs>
        <w:bidi w:val="0"/>
        <w:jc w:val="left"/>
        <w:rPr>
          <w:rFonts w:hint="eastAsia" w:eastAsia="宋体"/>
          <w:sz w:val="30"/>
          <w:szCs w:val="30"/>
          <w:lang w:eastAsia="zh-CN"/>
        </w:rPr>
      </w:pPr>
    </w:p>
    <w:p w14:paraId="37BE58FF">
      <w:pPr>
        <w:tabs>
          <w:tab w:val="left" w:pos="280"/>
        </w:tabs>
        <w:bidi w:val="0"/>
        <w:jc w:val="left"/>
        <w:rPr>
          <w:rFonts w:hint="eastAsia" w:eastAsia="宋体"/>
          <w:sz w:val="30"/>
          <w:szCs w:val="30"/>
          <w:lang w:eastAsia="zh-CN"/>
        </w:rPr>
      </w:pPr>
      <w:r>
        <w:rPr>
          <w:rFonts w:hint="eastAsia" w:eastAsia="宋体"/>
          <w:sz w:val="30"/>
          <w:szCs w:val="30"/>
          <w:lang w:eastAsia="zh-CN"/>
        </w:rPr>
        <w:t>And finally, we have the entire spectrum of “offerings made by fire,” offerings that point darkly to the sufferings of Christ, who on Calvary endured the fires of God’s wrath on behalf of his sinful people, so that they, through faith in his sweet-smelling sacrifice, might escape the everlasting fires of Gehenna (Leviticus 1-7, Rom. 3:21-26, Mt. 10:28, 18:9, Heb. 10:11-12).</w:t>
      </w:r>
    </w:p>
    <w:p w14:paraId="2922991C">
      <w:pPr>
        <w:tabs>
          <w:tab w:val="left" w:pos="280"/>
        </w:tabs>
        <w:bidi w:val="0"/>
        <w:jc w:val="left"/>
        <w:rPr>
          <w:rFonts w:hint="eastAsia" w:eastAsia="宋体"/>
          <w:sz w:val="30"/>
          <w:szCs w:val="30"/>
          <w:lang w:eastAsia="zh-CN"/>
        </w:rPr>
      </w:pPr>
      <w:r>
        <w:rPr>
          <w:rFonts w:hint="eastAsia" w:eastAsia="宋体"/>
          <w:sz w:val="30"/>
          <w:szCs w:val="30"/>
          <w:lang w:eastAsia="zh-CN"/>
        </w:rPr>
        <w:t>最后，我们有整套“火祭”，这些祭物暗暗地指向基督的苦难，祂在各各他为祂有罪的子民忍受了上帝忿怒的火焰，使他们可以藉着信靠祂馨香的祭物，逃脱地狱永恒的火焰（利未记 1-7, 罗 3:21-26, 太 10:28, 18:9, 来 10:11-12）。</w:t>
      </w:r>
    </w:p>
    <w:p w14:paraId="4A0D106C">
      <w:pPr>
        <w:tabs>
          <w:tab w:val="left" w:pos="280"/>
        </w:tabs>
        <w:bidi w:val="0"/>
        <w:jc w:val="left"/>
        <w:rPr>
          <w:rFonts w:hint="eastAsia" w:eastAsia="宋体"/>
          <w:sz w:val="30"/>
          <w:szCs w:val="30"/>
          <w:lang w:eastAsia="zh-CN"/>
        </w:rPr>
      </w:pPr>
    </w:p>
    <w:p w14:paraId="16ADC3E1">
      <w:pPr>
        <w:tabs>
          <w:tab w:val="left" w:pos="280"/>
        </w:tabs>
        <w:bidi w:val="0"/>
        <w:jc w:val="left"/>
        <w:rPr>
          <w:rFonts w:hint="eastAsia" w:eastAsia="宋体"/>
          <w:sz w:val="30"/>
          <w:szCs w:val="30"/>
          <w:lang w:eastAsia="zh-CN"/>
        </w:rPr>
      </w:pPr>
      <w:r>
        <w:rPr>
          <w:rFonts w:hint="eastAsia" w:eastAsia="宋体"/>
          <w:sz w:val="30"/>
          <w:szCs w:val="30"/>
          <w:lang w:eastAsia="zh-CN"/>
        </w:rPr>
        <w:t>Three Reflections of the Kingdom</w:t>
      </w:r>
    </w:p>
    <w:p w14:paraId="291592B7">
      <w:pPr>
        <w:tabs>
          <w:tab w:val="left" w:pos="280"/>
        </w:tabs>
        <w:bidi w:val="0"/>
        <w:jc w:val="left"/>
        <w:rPr>
          <w:rFonts w:hint="eastAsia" w:eastAsia="宋体"/>
          <w:sz w:val="30"/>
          <w:szCs w:val="30"/>
          <w:lang w:eastAsia="zh-CN"/>
        </w:rPr>
      </w:pPr>
      <w:r>
        <w:rPr>
          <w:rFonts w:hint="eastAsia" w:eastAsia="宋体"/>
          <w:sz w:val="30"/>
          <w:szCs w:val="30"/>
          <w:lang w:eastAsia="zh-CN"/>
        </w:rPr>
        <w:t>国度的三重反映</w:t>
      </w:r>
    </w:p>
    <w:p w14:paraId="5C1BED47">
      <w:pPr>
        <w:tabs>
          <w:tab w:val="left" w:pos="280"/>
        </w:tabs>
        <w:bidi w:val="0"/>
        <w:jc w:val="left"/>
        <w:rPr>
          <w:rFonts w:hint="eastAsia" w:eastAsia="宋体"/>
          <w:sz w:val="30"/>
          <w:szCs w:val="30"/>
          <w:lang w:eastAsia="zh-CN"/>
        </w:rPr>
      </w:pPr>
    </w:p>
    <w:p w14:paraId="447A24F1">
      <w:pPr>
        <w:tabs>
          <w:tab w:val="left" w:pos="280"/>
        </w:tabs>
        <w:bidi w:val="0"/>
        <w:jc w:val="left"/>
        <w:rPr>
          <w:rFonts w:hint="eastAsia" w:eastAsia="宋体"/>
          <w:sz w:val="30"/>
          <w:szCs w:val="30"/>
          <w:lang w:eastAsia="zh-CN"/>
        </w:rPr>
      </w:pPr>
      <w:r>
        <w:rPr>
          <w:rFonts w:hint="eastAsia" w:eastAsia="宋体"/>
          <w:sz w:val="30"/>
          <w:szCs w:val="30"/>
          <w:lang w:eastAsia="zh-CN"/>
        </w:rPr>
        <w:t>Our brief look at the elements of the Mosaic Covenant—a look designed to demonstrate yet again the great importance of bringing the NCH to Old Testament interpretation—has prepared us to discuss some of the ways in which the idea of the Kingdom appears in the Law.</w:t>
      </w:r>
    </w:p>
    <w:p w14:paraId="00F9858A">
      <w:pPr>
        <w:tabs>
          <w:tab w:val="left" w:pos="280"/>
        </w:tabs>
        <w:bidi w:val="0"/>
        <w:jc w:val="left"/>
        <w:rPr>
          <w:rFonts w:hint="eastAsia" w:eastAsia="宋体"/>
          <w:sz w:val="30"/>
          <w:szCs w:val="30"/>
          <w:lang w:eastAsia="zh-CN"/>
        </w:rPr>
      </w:pPr>
      <w:r>
        <w:rPr>
          <w:rFonts w:hint="eastAsia" w:eastAsia="宋体"/>
          <w:sz w:val="30"/>
          <w:szCs w:val="30"/>
          <w:lang w:eastAsia="zh-CN"/>
        </w:rPr>
        <w:t>我们对摩西之约要素的简短审视——这一审视旨在再次证明将新约释经学（NCH）应用于旧约解释的巨大重要性——已经为我们讨论国度的观念在律法中出现的某些方式做好了准备。</w:t>
      </w:r>
    </w:p>
    <w:p w14:paraId="611506D3">
      <w:pPr>
        <w:tabs>
          <w:tab w:val="left" w:pos="280"/>
        </w:tabs>
        <w:bidi w:val="0"/>
        <w:jc w:val="left"/>
        <w:rPr>
          <w:rFonts w:hint="eastAsia" w:eastAsia="宋体"/>
          <w:sz w:val="30"/>
          <w:szCs w:val="30"/>
          <w:lang w:eastAsia="zh-CN"/>
        </w:rPr>
      </w:pPr>
    </w:p>
    <w:p w14:paraId="3C4C2C6C">
      <w:pPr>
        <w:tabs>
          <w:tab w:val="left" w:pos="280"/>
        </w:tabs>
        <w:bidi w:val="0"/>
        <w:jc w:val="left"/>
        <w:rPr>
          <w:rFonts w:hint="eastAsia" w:eastAsia="宋体"/>
          <w:sz w:val="30"/>
          <w:szCs w:val="30"/>
          <w:lang w:eastAsia="zh-CN"/>
        </w:rPr>
      </w:pPr>
      <w:r>
        <w:rPr>
          <w:rFonts w:hint="eastAsia" w:eastAsia="宋体"/>
          <w:sz w:val="30"/>
          <w:szCs w:val="30"/>
          <w:lang w:eastAsia="zh-CN"/>
        </w:rPr>
        <w:t>I will focus on three.</w:t>
      </w:r>
    </w:p>
    <w:p w14:paraId="12D07EB6">
      <w:pPr>
        <w:tabs>
          <w:tab w:val="left" w:pos="280"/>
        </w:tabs>
        <w:bidi w:val="0"/>
        <w:jc w:val="left"/>
        <w:rPr>
          <w:rFonts w:hint="eastAsia" w:eastAsia="宋体"/>
          <w:sz w:val="30"/>
          <w:szCs w:val="30"/>
          <w:lang w:eastAsia="zh-CN"/>
        </w:rPr>
      </w:pPr>
      <w:r>
        <w:rPr>
          <w:rFonts w:hint="eastAsia" w:eastAsia="宋体"/>
          <w:sz w:val="30"/>
          <w:szCs w:val="30"/>
          <w:lang w:eastAsia="zh-CN"/>
        </w:rPr>
        <w:t>我将集中讨论三个方面。</w:t>
      </w:r>
    </w:p>
    <w:p w14:paraId="694B9454">
      <w:pPr>
        <w:tabs>
          <w:tab w:val="left" w:pos="280"/>
        </w:tabs>
        <w:bidi w:val="0"/>
        <w:jc w:val="left"/>
        <w:rPr>
          <w:rFonts w:hint="eastAsia" w:eastAsia="宋体"/>
          <w:sz w:val="30"/>
          <w:szCs w:val="30"/>
          <w:lang w:eastAsia="zh-CN"/>
        </w:rPr>
      </w:pPr>
    </w:p>
    <w:p w14:paraId="2B27BE4E">
      <w:pPr>
        <w:tabs>
          <w:tab w:val="left" w:pos="280"/>
        </w:tabs>
        <w:bidi w:val="0"/>
        <w:jc w:val="left"/>
        <w:rPr>
          <w:rFonts w:hint="eastAsia" w:eastAsia="宋体"/>
          <w:sz w:val="30"/>
          <w:szCs w:val="30"/>
          <w:lang w:eastAsia="zh-CN"/>
        </w:rPr>
      </w:pPr>
      <w:r>
        <w:rPr>
          <w:rFonts w:hint="eastAsia" w:eastAsia="宋体"/>
          <w:sz w:val="30"/>
          <w:szCs w:val="30"/>
          <w:lang w:eastAsia="zh-CN"/>
        </w:rPr>
        <w:t>Israel’s Founding as a Nation</w:t>
      </w:r>
    </w:p>
    <w:p w14:paraId="00517157">
      <w:pPr>
        <w:tabs>
          <w:tab w:val="left" w:pos="280"/>
        </w:tabs>
        <w:bidi w:val="0"/>
        <w:jc w:val="left"/>
        <w:rPr>
          <w:rFonts w:hint="eastAsia" w:eastAsia="宋体"/>
          <w:sz w:val="30"/>
          <w:szCs w:val="30"/>
          <w:lang w:eastAsia="zh-CN"/>
        </w:rPr>
      </w:pPr>
      <w:r>
        <w:rPr>
          <w:rFonts w:hint="eastAsia" w:eastAsia="宋体"/>
          <w:sz w:val="30"/>
          <w:szCs w:val="30"/>
          <w:lang w:eastAsia="zh-CN"/>
        </w:rPr>
        <w:t>以色列建国</w:t>
      </w:r>
    </w:p>
    <w:p w14:paraId="34E3491D">
      <w:pPr>
        <w:tabs>
          <w:tab w:val="left" w:pos="280"/>
        </w:tabs>
        <w:bidi w:val="0"/>
        <w:jc w:val="left"/>
        <w:rPr>
          <w:rFonts w:hint="eastAsia" w:eastAsia="宋体"/>
          <w:sz w:val="30"/>
          <w:szCs w:val="30"/>
          <w:lang w:eastAsia="zh-CN"/>
        </w:rPr>
      </w:pPr>
    </w:p>
    <w:p w14:paraId="01EE5A0C">
      <w:pPr>
        <w:tabs>
          <w:tab w:val="left" w:pos="280"/>
        </w:tabs>
        <w:bidi w:val="0"/>
        <w:jc w:val="left"/>
        <w:rPr>
          <w:rFonts w:hint="eastAsia" w:eastAsia="宋体"/>
          <w:sz w:val="30"/>
          <w:szCs w:val="30"/>
          <w:lang w:eastAsia="zh-CN"/>
        </w:rPr>
      </w:pPr>
      <w:r>
        <w:rPr>
          <w:rFonts w:hint="eastAsia" w:eastAsia="宋体"/>
          <w:sz w:val="30"/>
          <w:szCs w:val="30"/>
          <w:lang w:eastAsia="zh-CN"/>
        </w:rPr>
        <w:t>First, we have Israel’s founding as a nation.</w:t>
      </w:r>
    </w:p>
    <w:p w14:paraId="6BC79BCC">
      <w:pPr>
        <w:tabs>
          <w:tab w:val="left" w:pos="280"/>
        </w:tabs>
        <w:bidi w:val="0"/>
        <w:jc w:val="left"/>
        <w:rPr>
          <w:rFonts w:hint="eastAsia" w:eastAsia="宋体"/>
          <w:sz w:val="30"/>
          <w:szCs w:val="30"/>
          <w:lang w:eastAsia="zh-CN"/>
        </w:rPr>
      </w:pPr>
      <w:r>
        <w:rPr>
          <w:rFonts w:hint="eastAsia" w:eastAsia="宋体"/>
          <w:sz w:val="30"/>
          <w:szCs w:val="30"/>
          <w:lang w:eastAsia="zh-CN"/>
        </w:rPr>
        <w:t>首先，我们有以色列的建国。</w:t>
      </w:r>
    </w:p>
    <w:p w14:paraId="0B38E803">
      <w:pPr>
        <w:tabs>
          <w:tab w:val="left" w:pos="280"/>
        </w:tabs>
        <w:bidi w:val="0"/>
        <w:jc w:val="left"/>
        <w:rPr>
          <w:rFonts w:hint="eastAsia" w:eastAsia="宋体"/>
          <w:sz w:val="30"/>
          <w:szCs w:val="30"/>
          <w:lang w:eastAsia="zh-CN"/>
        </w:rPr>
      </w:pPr>
    </w:p>
    <w:p w14:paraId="65CDCA12">
      <w:pPr>
        <w:tabs>
          <w:tab w:val="left" w:pos="280"/>
        </w:tabs>
        <w:bidi w:val="0"/>
        <w:jc w:val="left"/>
        <w:rPr>
          <w:rFonts w:hint="eastAsia" w:eastAsia="宋体"/>
          <w:sz w:val="30"/>
          <w:szCs w:val="30"/>
          <w:lang w:eastAsia="zh-CN"/>
        </w:rPr>
      </w:pPr>
      <w:r>
        <w:rPr>
          <w:rFonts w:hint="eastAsia" w:eastAsia="宋体"/>
          <w:sz w:val="30"/>
          <w:szCs w:val="30"/>
          <w:lang w:eastAsia="zh-CN"/>
        </w:rPr>
        <w:t>Among the many typological events of Salvation History, this one is of special significance, since it so vividly portrays not only the redemptive rescue and restoration that is the essence of the Kingdom, but also the two-staged coming of the Kingdom into history.5</w:t>
      </w:r>
    </w:p>
    <w:p w14:paraId="7BFB3276">
      <w:pPr>
        <w:tabs>
          <w:tab w:val="left" w:pos="280"/>
        </w:tabs>
        <w:bidi w:val="0"/>
        <w:jc w:val="left"/>
        <w:rPr>
          <w:rFonts w:hint="eastAsia" w:eastAsia="宋体"/>
          <w:sz w:val="30"/>
          <w:szCs w:val="30"/>
          <w:lang w:eastAsia="zh-CN"/>
        </w:rPr>
      </w:pPr>
      <w:r>
        <w:rPr>
          <w:rFonts w:hint="eastAsia" w:eastAsia="宋体"/>
          <w:sz w:val="30"/>
          <w:szCs w:val="30"/>
          <w:lang w:eastAsia="zh-CN"/>
        </w:rPr>
        <w:t>在救赎历史的许多预表性事件中，这一件具有特殊意义，因为它如此生动地描绘了不仅是国度本质的救赎性拯救和恢复，也是国度分两阶段进入历史的过程。5</w:t>
      </w:r>
    </w:p>
    <w:p w14:paraId="6E7D956F">
      <w:pPr>
        <w:tabs>
          <w:tab w:val="left" w:pos="280"/>
        </w:tabs>
        <w:bidi w:val="0"/>
        <w:jc w:val="left"/>
        <w:rPr>
          <w:rFonts w:hint="eastAsia" w:eastAsia="宋体"/>
          <w:sz w:val="30"/>
          <w:szCs w:val="30"/>
          <w:lang w:eastAsia="zh-CN"/>
        </w:rPr>
      </w:pPr>
    </w:p>
    <w:p w14:paraId="34EDAC48">
      <w:pPr>
        <w:tabs>
          <w:tab w:val="left" w:pos="280"/>
        </w:tabs>
        <w:bidi w:val="0"/>
        <w:jc w:val="left"/>
        <w:rPr>
          <w:rFonts w:hint="eastAsia" w:eastAsia="宋体"/>
          <w:sz w:val="30"/>
          <w:szCs w:val="30"/>
          <w:lang w:eastAsia="zh-CN"/>
        </w:rPr>
      </w:pPr>
      <w:r>
        <w:rPr>
          <w:rFonts w:hint="eastAsia" w:eastAsia="宋体"/>
          <w:sz w:val="30"/>
          <w:szCs w:val="30"/>
          <w:lang w:eastAsia="zh-CN"/>
        </w:rPr>
        <w:t>Israel’s founding included three basic elements: their exodus from Egypt, their 40-year sojourn in the wilderness of Sinai, and their entrance by conquest into Canaan, the land of promise.</w:t>
      </w:r>
    </w:p>
    <w:p w14:paraId="4CFD4736">
      <w:pPr>
        <w:tabs>
          <w:tab w:val="left" w:pos="280"/>
        </w:tabs>
        <w:bidi w:val="0"/>
        <w:jc w:val="left"/>
        <w:rPr>
          <w:rFonts w:hint="eastAsia" w:eastAsia="宋体"/>
          <w:sz w:val="30"/>
          <w:szCs w:val="30"/>
          <w:lang w:eastAsia="zh-CN"/>
        </w:rPr>
      </w:pPr>
      <w:r>
        <w:rPr>
          <w:rFonts w:hint="eastAsia" w:eastAsia="宋体"/>
          <w:sz w:val="30"/>
          <w:szCs w:val="30"/>
          <w:lang w:eastAsia="zh-CN"/>
        </w:rPr>
        <w:t>以色列的建立包括三个基本要素：他们出埃及，他们在西奈旷野四十年的寄居，以及他们通过征服进入应许之地迦南。</w:t>
      </w:r>
    </w:p>
    <w:p w14:paraId="476864E3">
      <w:pPr>
        <w:tabs>
          <w:tab w:val="left" w:pos="280"/>
        </w:tabs>
        <w:bidi w:val="0"/>
        <w:jc w:val="left"/>
        <w:rPr>
          <w:rFonts w:hint="eastAsia" w:eastAsia="宋体"/>
          <w:sz w:val="30"/>
          <w:szCs w:val="30"/>
          <w:lang w:eastAsia="zh-CN"/>
        </w:rPr>
      </w:pPr>
    </w:p>
    <w:p w14:paraId="4FA372B0">
      <w:pPr>
        <w:tabs>
          <w:tab w:val="left" w:pos="280"/>
        </w:tabs>
        <w:bidi w:val="0"/>
        <w:jc w:val="left"/>
        <w:rPr>
          <w:rFonts w:hint="eastAsia" w:eastAsia="宋体"/>
          <w:sz w:val="30"/>
          <w:szCs w:val="30"/>
          <w:lang w:eastAsia="zh-CN"/>
        </w:rPr>
      </w:pPr>
      <w:r>
        <w:rPr>
          <w:rFonts w:hint="eastAsia" w:eastAsia="宋体"/>
          <w:sz w:val="30"/>
          <w:szCs w:val="30"/>
          <w:lang w:eastAsia="zh-CN"/>
        </w:rPr>
        <w:t>All have rich Kingdom significance.</w:t>
      </w:r>
    </w:p>
    <w:p w14:paraId="2BE9E368">
      <w:pPr>
        <w:tabs>
          <w:tab w:val="left" w:pos="280"/>
        </w:tabs>
        <w:bidi w:val="0"/>
        <w:jc w:val="left"/>
        <w:rPr>
          <w:rFonts w:hint="eastAsia" w:eastAsia="宋体"/>
          <w:sz w:val="30"/>
          <w:szCs w:val="30"/>
          <w:lang w:eastAsia="zh-CN"/>
        </w:rPr>
      </w:pPr>
      <w:r>
        <w:rPr>
          <w:rFonts w:hint="eastAsia" w:eastAsia="宋体"/>
          <w:sz w:val="30"/>
          <w:szCs w:val="30"/>
          <w:lang w:eastAsia="zh-CN"/>
        </w:rPr>
        <w:t>所有这些都具有丰富的国度意义。</w:t>
      </w:r>
    </w:p>
    <w:p w14:paraId="6F97F7DB">
      <w:pPr>
        <w:tabs>
          <w:tab w:val="left" w:pos="280"/>
        </w:tabs>
        <w:bidi w:val="0"/>
        <w:jc w:val="left"/>
        <w:rPr>
          <w:rFonts w:hint="eastAsia" w:eastAsia="宋体"/>
          <w:sz w:val="30"/>
          <w:szCs w:val="30"/>
          <w:lang w:eastAsia="zh-CN"/>
        </w:rPr>
      </w:pPr>
    </w:p>
    <w:p w14:paraId="4C4F5C7B">
      <w:pPr>
        <w:tabs>
          <w:tab w:val="left" w:pos="280"/>
        </w:tabs>
        <w:bidi w:val="0"/>
        <w:jc w:val="left"/>
        <w:rPr>
          <w:rFonts w:hint="eastAsia" w:eastAsia="宋体"/>
          <w:sz w:val="30"/>
          <w:szCs w:val="30"/>
          <w:lang w:eastAsia="zh-CN"/>
        </w:rPr>
      </w:pPr>
      <w:r>
        <w:rPr>
          <w:rFonts w:hint="eastAsia" w:eastAsia="宋体"/>
          <w:sz w:val="30"/>
          <w:szCs w:val="30"/>
          <w:lang w:eastAsia="zh-CN"/>
        </w:rPr>
        <w:t>With regard to the exodus, Egypt clearly represents the Domain of Darkness, the fallen world-system portrayed as a place of bondage to sin.</w:t>
      </w:r>
    </w:p>
    <w:p w14:paraId="340527C1">
      <w:pPr>
        <w:tabs>
          <w:tab w:val="left" w:pos="280"/>
        </w:tabs>
        <w:bidi w:val="0"/>
        <w:jc w:val="left"/>
        <w:rPr>
          <w:rFonts w:hint="eastAsia" w:eastAsia="宋体"/>
          <w:sz w:val="30"/>
          <w:szCs w:val="30"/>
          <w:lang w:eastAsia="zh-CN"/>
        </w:rPr>
      </w:pPr>
      <w:r>
        <w:rPr>
          <w:rFonts w:hint="eastAsia" w:eastAsia="宋体"/>
          <w:sz w:val="30"/>
          <w:szCs w:val="30"/>
          <w:lang w:eastAsia="zh-CN"/>
        </w:rPr>
        <w:t>关于出埃及，埃及清楚地代表了黑暗的权势，即堕落的世界体系，被描绘为一个罪的捆绑之地。</w:t>
      </w:r>
    </w:p>
    <w:p w14:paraId="2E79E290">
      <w:pPr>
        <w:tabs>
          <w:tab w:val="left" w:pos="280"/>
        </w:tabs>
        <w:bidi w:val="0"/>
        <w:jc w:val="left"/>
        <w:rPr>
          <w:rFonts w:hint="eastAsia" w:eastAsia="宋体"/>
          <w:sz w:val="30"/>
          <w:szCs w:val="30"/>
          <w:lang w:eastAsia="zh-CN"/>
        </w:rPr>
      </w:pPr>
    </w:p>
    <w:p w14:paraId="44F1B0C4">
      <w:pPr>
        <w:tabs>
          <w:tab w:val="left" w:pos="280"/>
        </w:tabs>
        <w:bidi w:val="0"/>
        <w:jc w:val="left"/>
        <w:rPr>
          <w:rFonts w:hint="eastAsia" w:eastAsia="宋体"/>
          <w:sz w:val="30"/>
          <w:szCs w:val="30"/>
          <w:lang w:eastAsia="zh-CN"/>
        </w:rPr>
      </w:pPr>
      <w:r>
        <w:rPr>
          <w:rFonts w:hint="eastAsia" w:eastAsia="宋体"/>
          <w:sz w:val="30"/>
          <w:szCs w:val="30"/>
          <w:lang w:eastAsia="zh-CN"/>
        </w:rPr>
        <w:t>Accordingly, Pharaoh represents Satan, “the ruler of this world” and the spiritual oppressor of God’s elect prior to their regeneration.</w:t>
      </w:r>
    </w:p>
    <w:p w14:paraId="5AE26A65">
      <w:pPr>
        <w:tabs>
          <w:tab w:val="left" w:pos="280"/>
        </w:tabs>
        <w:bidi w:val="0"/>
        <w:jc w:val="left"/>
        <w:rPr>
          <w:rFonts w:hint="eastAsia" w:eastAsia="宋体"/>
          <w:sz w:val="30"/>
          <w:szCs w:val="30"/>
          <w:lang w:eastAsia="zh-CN"/>
        </w:rPr>
      </w:pPr>
      <w:r>
        <w:rPr>
          <w:rFonts w:hint="eastAsia" w:eastAsia="宋体"/>
          <w:sz w:val="30"/>
          <w:szCs w:val="30"/>
          <w:lang w:eastAsia="zh-CN"/>
        </w:rPr>
        <w:t>因此，法老代表撒但，“这世界的王”，以及上帝选民在重生之前的属灵压迫者。</w:t>
      </w:r>
    </w:p>
    <w:p w14:paraId="0039F588">
      <w:pPr>
        <w:tabs>
          <w:tab w:val="left" w:pos="280"/>
        </w:tabs>
        <w:bidi w:val="0"/>
        <w:jc w:val="left"/>
        <w:rPr>
          <w:rFonts w:hint="eastAsia" w:eastAsia="宋体"/>
          <w:sz w:val="30"/>
          <w:szCs w:val="30"/>
          <w:lang w:eastAsia="zh-CN"/>
        </w:rPr>
      </w:pPr>
    </w:p>
    <w:p w14:paraId="343098B7">
      <w:pPr>
        <w:tabs>
          <w:tab w:val="left" w:pos="280"/>
        </w:tabs>
        <w:bidi w:val="0"/>
        <w:jc w:val="left"/>
        <w:rPr>
          <w:rFonts w:hint="eastAsia" w:eastAsia="宋体"/>
          <w:sz w:val="30"/>
          <w:szCs w:val="30"/>
          <w:lang w:eastAsia="zh-CN"/>
        </w:rPr>
      </w:pPr>
      <w:r>
        <w:rPr>
          <w:rFonts w:hint="eastAsia" w:eastAsia="宋体"/>
          <w:sz w:val="30"/>
          <w:szCs w:val="30"/>
          <w:lang w:eastAsia="zh-CN"/>
        </w:rPr>
        <w:t>Moses, in the initial stages of the exodus, represents Christ as Savior, sent by the Father into the darkness of the world-system to rescue a chosen people and deliver them from the terrible judgments soon to befall it.</w:t>
      </w:r>
    </w:p>
    <w:p w14:paraId="25295901">
      <w:pPr>
        <w:tabs>
          <w:tab w:val="left" w:pos="280"/>
        </w:tabs>
        <w:bidi w:val="0"/>
        <w:jc w:val="left"/>
        <w:rPr>
          <w:rFonts w:hint="eastAsia" w:eastAsia="宋体"/>
          <w:sz w:val="30"/>
          <w:szCs w:val="30"/>
          <w:lang w:eastAsia="zh-CN"/>
        </w:rPr>
      </w:pPr>
      <w:r>
        <w:rPr>
          <w:rFonts w:hint="eastAsia" w:eastAsia="宋体"/>
          <w:sz w:val="30"/>
          <w:szCs w:val="30"/>
          <w:lang w:eastAsia="zh-CN"/>
        </w:rPr>
        <w:t>摩西，在出埃及的初始阶段，代表基督是救主，被父差遣到世界体系的黑暗中，去拯救一个蒙拣选的民族，并使他们脱离即将临到其上的可怕审判。</w:t>
      </w:r>
    </w:p>
    <w:p w14:paraId="79E24DE0">
      <w:pPr>
        <w:tabs>
          <w:tab w:val="left" w:pos="280"/>
        </w:tabs>
        <w:bidi w:val="0"/>
        <w:jc w:val="left"/>
        <w:rPr>
          <w:rFonts w:hint="eastAsia" w:eastAsia="宋体"/>
          <w:sz w:val="30"/>
          <w:szCs w:val="30"/>
          <w:lang w:eastAsia="zh-CN"/>
        </w:rPr>
      </w:pPr>
    </w:p>
    <w:p w14:paraId="06EBE925">
      <w:pPr>
        <w:tabs>
          <w:tab w:val="left" w:pos="280"/>
        </w:tabs>
        <w:bidi w:val="0"/>
        <w:jc w:val="left"/>
        <w:rPr>
          <w:rFonts w:hint="eastAsia" w:eastAsia="宋体"/>
          <w:sz w:val="30"/>
          <w:szCs w:val="30"/>
          <w:lang w:eastAsia="zh-CN"/>
        </w:rPr>
      </w:pPr>
      <w:r>
        <w:rPr>
          <w:rFonts w:hint="eastAsia" w:eastAsia="宋体"/>
          <w:sz w:val="30"/>
          <w:szCs w:val="30"/>
          <w:lang w:eastAsia="zh-CN"/>
        </w:rPr>
        <w:t>As for Israel’s sojourn in the wilderness of Sinai, this depicts the Church Militant during the first stage of the Kingdom, the days of Christ’s heavenly mediatorial reign.</w:t>
      </w:r>
    </w:p>
    <w:p w14:paraId="0DC01129">
      <w:pPr>
        <w:tabs>
          <w:tab w:val="left" w:pos="280"/>
        </w:tabs>
        <w:bidi w:val="0"/>
        <w:jc w:val="left"/>
        <w:rPr>
          <w:rFonts w:hint="eastAsia" w:eastAsia="宋体"/>
          <w:sz w:val="30"/>
          <w:szCs w:val="30"/>
          <w:lang w:eastAsia="zh-CN"/>
        </w:rPr>
      </w:pPr>
      <w:r>
        <w:rPr>
          <w:rFonts w:hint="eastAsia" w:eastAsia="宋体"/>
          <w:sz w:val="30"/>
          <w:szCs w:val="30"/>
          <w:lang w:eastAsia="zh-CN"/>
        </w:rPr>
        <w:t>至于以色列在西奈旷野的寄居，这描绘了在国度的第一阶段，即基督属天中保统治的日子里，争战的教会。</w:t>
      </w:r>
    </w:p>
    <w:p w14:paraId="6AC16719">
      <w:pPr>
        <w:tabs>
          <w:tab w:val="left" w:pos="280"/>
        </w:tabs>
        <w:bidi w:val="0"/>
        <w:jc w:val="left"/>
        <w:rPr>
          <w:rFonts w:hint="eastAsia" w:eastAsia="宋体"/>
          <w:sz w:val="30"/>
          <w:szCs w:val="30"/>
          <w:lang w:eastAsia="zh-CN"/>
        </w:rPr>
      </w:pPr>
    </w:p>
    <w:p w14:paraId="05CBF7D4">
      <w:pPr>
        <w:tabs>
          <w:tab w:val="left" w:pos="280"/>
        </w:tabs>
        <w:bidi w:val="0"/>
        <w:jc w:val="left"/>
        <w:rPr>
          <w:rFonts w:hint="eastAsia" w:eastAsia="宋体"/>
          <w:sz w:val="30"/>
          <w:szCs w:val="30"/>
          <w:lang w:eastAsia="zh-CN"/>
        </w:rPr>
      </w:pPr>
      <w:r>
        <w:rPr>
          <w:rFonts w:hint="eastAsia" w:eastAsia="宋体"/>
          <w:sz w:val="30"/>
          <w:szCs w:val="30"/>
          <w:lang w:eastAsia="zh-CN"/>
        </w:rPr>
        <w:t>Like Israel at Sinai, the Church, by faith, enters into covenant with God through a Mediator who meets them at Mt. Zion.</w:t>
      </w:r>
    </w:p>
    <w:p w14:paraId="23741FF8">
      <w:pPr>
        <w:tabs>
          <w:tab w:val="left" w:pos="280"/>
        </w:tabs>
        <w:bidi w:val="0"/>
        <w:jc w:val="left"/>
        <w:rPr>
          <w:rFonts w:hint="eastAsia" w:eastAsia="宋体"/>
          <w:sz w:val="30"/>
          <w:szCs w:val="30"/>
          <w:lang w:eastAsia="zh-CN"/>
        </w:rPr>
      </w:pPr>
      <w:r>
        <w:rPr>
          <w:rFonts w:hint="eastAsia" w:eastAsia="宋体"/>
          <w:sz w:val="30"/>
          <w:szCs w:val="30"/>
          <w:lang w:eastAsia="zh-CN"/>
        </w:rPr>
        <w:t>就像在西奈的以色列一样，教会藉着信心，通过一位在锡安山与他们相遇的中保，与上帝立约。</w:t>
      </w:r>
    </w:p>
    <w:p w14:paraId="2472ECEE">
      <w:pPr>
        <w:tabs>
          <w:tab w:val="left" w:pos="280"/>
        </w:tabs>
        <w:bidi w:val="0"/>
        <w:jc w:val="left"/>
        <w:rPr>
          <w:rFonts w:hint="eastAsia" w:eastAsia="宋体"/>
          <w:sz w:val="30"/>
          <w:szCs w:val="30"/>
          <w:lang w:eastAsia="zh-CN"/>
        </w:rPr>
      </w:pPr>
    </w:p>
    <w:p w14:paraId="17FF8F48">
      <w:pPr>
        <w:tabs>
          <w:tab w:val="left" w:pos="280"/>
        </w:tabs>
        <w:bidi w:val="0"/>
        <w:jc w:val="left"/>
        <w:rPr>
          <w:rFonts w:hint="eastAsia" w:eastAsia="宋体"/>
          <w:sz w:val="30"/>
          <w:szCs w:val="30"/>
          <w:lang w:eastAsia="zh-CN"/>
        </w:rPr>
      </w:pPr>
      <w:r>
        <w:rPr>
          <w:rFonts w:hint="eastAsia" w:eastAsia="宋体"/>
          <w:sz w:val="30"/>
          <w:szCs w:val="30"/>
          <w:lang w:eastAsia="zh-CN"/>
        </w:rPr>
        <w:t>Like Israel, she also must make her way through the wilderness, which once again represents the fallen world-system, this time as a place of testing, hardship, and persecution, wherein a faithful God, through Christ (typified by Moses as fellow-sojourner), graces his pilgrim people with the divine presence, power, provision, and protection.</w:t>
      </w:r>
    </w:p>
    <w:p w14:paraId="628468EF">
      <w:pPr>
        <w:tabs>
          <w:tab w:val="left" w:pos="280"/>
        </w:tabs>
        <w:bidi w:val="0"/>
        <w:jc w:val="left"/>
        <w:rPr>
          <w:rFonts w:hint="eastAsia" w:eastAsia="宋体"/>
          <w:sz w:val="30"/>
          <w:szCs w:val="30"/>
          <w:lang w:eastAsia="zh-CN"/>
        </w:rPr>
      </w:pPr>
      <w:r>
        <w:rPr>
          <w:rFonts w:hint="eastAsia" w:eastAsia="宋体"/>
          <w:sz w:val="30"/>
          <w:szCs w:val="30"/>
          <w:lang w:eastAsia="zh-CN"/>
        </w:rPr>
        <w:t>像以色列一样，她也必须穿过旷野，这再次代表了堕落的世界体系，这次是作为一个试炼、困苦和逼迫的地方，其中一位信实的上帝，通过基督（以摩西为同路客的预表），以神圣的同在、能力、供应和保护来恩待祂的行路子民。</w:t>
      </w:r>
    </w:p>
    <w:p w14:paraId="52226EAB">
      <w:pPr>
        <w:tabs>
          <w:tab w:val="left" w:pos="280"/>
        </w:tabs>
        <w:bidi w:val="0"/>
        <w:jc w:val="left"/>
        <w:rPr>
          <w:rFonts w:hint="eastAsia" w:eastAsia="宋体"/>
          <w:sz w:val="30"/>
          <w:szCs w:val="30"/>
          <w:lang w:eastAsia="zh-CN"/>
        </w:rPr>
      </w:pPr>
    </w:p>
    <w:p w14:paraId="540BB4E1">
      <w:pPr>
        <w:tabs>
          <w:tab w:val="left" w:pos="280"/>
        </w:tabs>
        <w:bidi w:val="0"/>
        <w:jc w:val="left"/>
        <w:rPr>
          <w:rFonts w:hint="eastAsia" w:eastAsia="宋体"/>
          <w:sz w:val="30"/>
          <w:szCs w:val="30"/>
          <w:lang w:eastAsia="zh-CN"/>
        </w:rPr>
      </w:pPr>
      <w:r>
        <w:rPr>
          <w:rFonts w:hint="eastAsia" w:eastAsia="宋体"/>
          <w:sz w:val="30"/>
          <w:szCs w:val="30"/>
          <w:lang w:eastAsia="zh-CN"/>
        </w:rPr>
        <w:t>Finally, we have Israel’s entrance by conquest into Canaan.</w:t>
      </w:r>
    </w:p>
    <w:p w14:paraId="6D01AB97">
      <w:pPr>
        <w:tabs>
          <w:tab w:val="left" w:pos="280"/>
        </w:tabs>
        <w:bidi w:val="0"/>
        <w:jc w:val="left"/>
        <w:rPr>
          <w:rFonts w:hint="eastAsia" w:eastAsia="宋体"/>
          <w:sz w:val="30"/>
          <w:szCs w:val="30"/>
          <w:lang w:eastAsia="zh-CN"/>
        </w:rPr>
      </w:pPr>
      <w:r>
        <w:rPr>
          <w:rFonts w:hint="eastAsia" w:eastAsia="宋体"/>
          <w:sz w:val="30"/>
          <w:szCs w:val="30"/>
          <w:lang w:eastAsia="zh-CN"/>
        </w:rPr>
        <w:t>最后，我们有以色列藉征服进入迦南。</w:t>
      </w:r>
    </w:p>
    <w:p w14:paraId="33704890">
      <w:pPr>
        <w:tabs>
          <w:tab w:val="left" w:pos="280"/>
        </w:tabs>
        <w:bidi w:val="0"/>
        <w:jc w:val="left"/>
        <w:rPr>
          <w:rFonts w:hint="eastAsia" w:eastAsia="宋体"/>
          <w:sz w:val="30"/>
          <w:szCs w:val="30"/>
          <w:lang w:eastAsia="zh-CN"/>
        </w:rPr>
      </w:pPr>
    </w:p>
    <w:p w14:paraId="3A66627B">
      <w:pPr>
        <w:tabs>
          <w:tab w:val="left" w:pos="280"/>
        </w:tabs>
        <w:bidi w:val="0"/>
        <w:jc w:val="left"/>
        <w:rPr>
          <w:rFonts w:hint="eastAsia" w:eastAsia="宋体"/>
          <w:sz w:val="30"/>
          <w:szCs w:val="30"/>
          <w:lang w:eastAsia="zh-CN"/>
        </w:rPr>
      </w:pPr>
      <w:r>
        <w:rPr>
          <w:rFonts w:hint="eastAsia" w:eastAsia="宋体"/>
          <w:sz w:val="30"/>
          <w:szCs w:val="30"/>
          <w:lang w:eastAsia="zh-CN"/>
        </w:rPr>
        <w:t>This represents the appearing of the second stage of the Kingdom, wherein the returning Christ (this time typified by Joshua) leads his victorious host of warriors into the new heavens and the new earth, the eschatological Land of Promise that the Lord himself will create and bestow on his people on the Last Day.</w:t>
      </w:r>
    </w:p>
    <w:p w14:paraId="41B42746">
      <w:pPr>
        <w:tabs>
          <w:tab w:val="left" w:pos="280"/>
        </w:tabs>
        <w:bidi w:val="0"/>
        <w:jc w:val="left"/>
        <w:rPr>
          <w:rFonts w:hint="eastAsia" w:eastAsia="宋体"/>
          <w:sz w:val="30"/>
          <w:szCs w:val="30"/>
          <w:lang w:eastAsia="zh-CN"/>
        </w:rPr>
      </w:pPr>
      <w:r>
        <w:rPr>
          <w:rFonts w:hint="eastAsia" w:eastAsia="宋体"/>
          <w:sz w:val="30"/>
          <w:szCs w:val="30"/>
          <w:lang w:eastAsia="zh-CN"/>
        </w:rPr>
        <w:t>这代表了国度第二阶段的出现，其中再来的基督（这次由约书亚所预表）带领祂得胜的战士大军进入新天新地，即末世的应许之地，主自己将在末日创造并赐予祂的子民。</w:t>
      </w:r>
    </w:p>
    <w:p w14:paraId="657D5651">
      <w:pPr>
        <w:tabs>
          <w:tab w:val="left" w:pos="280"/>
        </w:tabs>
        <w:bidi w:val="0"/>
        <w:jc w:val="left"/>
        <w:rPr>
          <w:rFonts w:hint="eastAsia" w:eastAsia="宋体"/>
          <w:sz w:val="30"/>
          <w:szCs w:val="30"/>
          <w:lang w:eastAsia="zh-CN"/>
        </w:rPr>
      </w:pPr>
    </w:p>
    <w:p w14:paraId="7814AC1B">
      <w:pPr>
        <w:tabs>
          <w:tab w:val="left" w:pos="280"/>
        </w:tabs>
        <w:bidi w:val="0"/>
        <w:jc w:val="left"/>
        <w:rPr>
          <w:rFonts w:hint="eastAsia" w:eastAsia="宋体"/>
          <w:sz w:val="30"/>
          <w:szCs w:val="30"/>
          <w:lang w:eastAsia="zh-CN"/>
        </w:rPr>
      </w:pPr>
      <w:r>
        <w:rPr>
          <w:rFonts w:hint="eastAsia" w:eastAsia="宋体"/>
          <w:sz w:val="30"/>
          <w:szCs w:val="30"/>
          <w:lang w:eastAsia="zh-CN"/>
        </w:rPr>
        <w:t>Many NT texts—some of which we will examine more closely in the pages ahead—richly support this deep, spiritual understanding of Israel’s founding as a nation (Mt. 2:14-15, 4:1-11, Acts 7, Rom. 4:13, 1 Cor. 10:1-</w:t>
      </w:r>
    </w:p>
    <w:p w14:paraId="00758D68">
      <w:pPr>
        <w:tabs>
          <w:tab w:val="left" w:pos="280"/>
        </w:tabs>
        <w:bidi w:val="0"/>
        <w:jc w:val="left"/>
        <w:rPr>
          <w:rFonts w:hint="eastAsia" w:eastAsia="宋体"/>
          <w:sz w:val="30"/>
          <w:szCs w:val="30"/>
          <w:lang w:eastAsia="zh-CN"/>
        </w:rPr>
      </w:pPr>
      <w:r>
        <w:rPr>
          <w:rFonts w:hint="eastAsia" w:eastAsia="宋体"/>
          <w:sz w:val="30"/>
          <w:szCs w:val="30"/>
          <w:lang w:eastAsia="zh-CN"/>
        </w:rPr>
        <w:t>11, Heb. 3:7-4:10, 11:23-30, 12:18-24, Rev. 12:1ff, 20:7-10).</w:t>
      </w:r>
    </w:p>
    <w:p w14:paraId="75CCD4D8">
      <w:pPr>
        <w:tabs>
          <w:tab w:val="left" w:pos="280"/>
        </w:tabs>
        <w:bidi w:val="0"/>
        <w:jc w:val="left"/>
        <w:rPr>
          <w:rFonts w:hint="eastAsia" w:eastAsia="宋体"/>
          <w:sz w:val="30"/>
          <w:szCs w:val="30"/>
          <w:lang w:eastAsia="zh-CN"/>
        </w:rPr>
      </w:pPr>
      <w:r>
        <w:rPr>
          <w:rFonts w:hint="eastAsia" w:eastAsia="宋体"/>
          <w:sz w:val="30"/>
          <w:szCs w:val="30"/>
          <w:lang w:eastAsia="zh-CN"/>
        </w:rPr>
        <w:t>许多新约经文——我们将在接下来的篇幅中更仔细地查考其中一些——丰富地支持了对以色列建国这一深刻、属灵的理解（太 2:14-15, 4:1-11, 徒 7, 罗 4:13, 林前 10:1-11, 来 3:7-4:10, 11:23-30, 12:18-24, 启 12:1ff, 20:7-10）。</w:t>
      </w:r>
    </w:p>
    <w:p w14:paraId="5994823C">
      <w:pPr>
        <w:tabs>
          <w:tab w:val="left" w:pos="280"/>
        </w:tabs>
        <w:bidi w:val="0"/>
        <w:jc w:val="left"/>
        <w:rPr>
          <w:rFonts w:hint="eastAsia" w:eastAsia="宋体"/>
          <w:sz w:val="30"/>
          <w:szCs w:val="30"/>
          <w:lang w:eastAsia="zh-CN"/>
        </w:rPr>
      </w:pPr>
    </w:p>
    <w:p w14:paraId="11074CB3">
      <w:pPr>
        <w:tabs>
          <w:tab w:val="left" w:pos="280"/>
        </w:tabs>
        <w:bidi w:val="0"/>
        <w:jc w:val="left"/>
        <w:rPr>
          <w:rFonts w:hint="eastAsia" w:eastAsia="宋体"/>
          <w:sz w:val="30"/>
          <w:szCs w:val="30"/>
          <w:lang w:eastAsia="zh-CN"/>
        </w:rPr>
      </w:pPr>
      <w:r>
        <w:rPr>
          <w:rFonts w:hint="eastAsia" w:eastAsia="宋体"/>
          <w:sz w:val="30"/>
          <w:szCs w:val="30"/>
          <w:lang w:eastAsia="zh-CN"/>
        </w:rPr>
        <w:t>Israel’s Dwelling in the Land</w:t>
      </w:r>
    </w:p>
    <w:p w14:paraId="5319B10F">
      <w:pPr>
        <w:tabs>
          <w:tab w:val="left" w:pos="280"/>
        </w:tabs>
        <w:bidi w:val="0"/>
        <w:jc w:val="left"/>
        <w:rPr>
          <w:rFonts w:hint="eastAsia" w:eastAsia="宋体"/>
          <w:sz w:val="30"/>
          <w:szCs w:val="30"/>
          <w:lang w:eastAsia="zh-CN"/>
        </w:rPr>
      </w:pPr>
      <w:r>
        <w:rPr>
          <w:rFonts w:hint="eastAsia" w:eastAsia="宋体"/>
          <w:sz w:val="30"/>
          <w:szCs w:val="30"/>
          <w:lang w:eastAsia="zh-CN"/>
        </w:rPr>
        <w:t>以色列居住在那地</w:t>
      </w:r>
    </w:p>
    <w:p w14:paraId="3F918999">
      <w:pPr>
        <w:tabs>
          <w:tab w:val="left" w:pos="280"/>
        </w:tabs>
        <w:bidi w:val="0"/>
        <w:jc w:val="left"/>
        <w:rPr>
          <w:rFonts w:hint="eastAsia" w:eastAsia="宋体"/>
          <w:sz w:val="30"/>
          <w:szCs w:val="30"/>
          <w:lang w:eastAsia="zh-CN"/>
        </w:rPr>
      </w:pPr>
    </w:p>
    <w:p w14:paraId="6467441C">
      <w:pPr>
        <w:tabs>
          <w:tab w:val="left" w:pos="280"/>
        </w:tabs>
        <w:bidi w:val="0"/>
        <w:jc w:val="left"/>
        <w:rPr>
          <w:rFonts w:hint="eastAsia" w:eastAsia="宋体"/>
          <w:sz w:val="30"/>
          <w:szCs w:val="30"/>
          <w:lang w:eastAsia="zh-CN"/>
        </w:rPr>
      </w:pPr>
      <w:r>
        <w:rPr>
          <w:rFonts w:hint="eastAsia" w:eastAsia="宋体"/>
          <w:sz w:val="30"/>
          <w:szCs w:val="30"/>
          <w:lang w:eastAsia="zh-CN"/>
        </w:rPr>
        <w:t>Moving forward in Salvation History, we next observe a discreet and quite lengthy season that may be called the time of Israel’s dwelling in the land.</w:t>
      </w:r>
    </w:p>
    <w:p w14:paraId="5A9C2DE1">
      <w:pPr>
        <w:tabs>
          <w:tab w:val="left" w:pos="280"/>
        </w:tabs>
        <w:bidi w:val="0"/>
        <w:jc w:val="left"/>
        <w:rPr>
          <w:rFonts w:hint="eastAsia" w:eastAsia="宋体"/>
          <w:sz w:val="30"/>
          <w:szCs w:val="30"/>
          <w:lang w:eastAsia="zh-CN"/>
        </w:rPr>
      </w:pPr>
      <w:r>
        <w:rPr>
          <w:rFonts w:hint="eastAsia" w:eastAsia="宋体"/>
          <w:sz w:val="30"/>
          <w:szCs w:val="30"/>
          <w:lang w:eastAsia="zh-CN"/>
        </w:rPr>
        <w:t>在救赎历史中向前推进，我们接下来观察到一个审慎且相当长的时期，可以称之为以色列在那地居住的时期。</w:t>
      </w:r>
    </w:p>
    <w:p w14:paraId="1C9A1321">
      <w:pPr>
        <w:tabs>
          <w:tab w:val="left" w:pos="280"/>
        </w:tabs>
        <w:bidi w:val="0"/>
        <w:jc w:val="left"/>
        <w:rPr>
          <w:rFonts w:hint="eastAsia" w:eastAsia="宋体"/>
          <w:sz w:val="30"/>
          <w:szCs w:val="30"/>
          <w:lang w:eastAsia="zh-CN"/>
        </w:rPr>
      </w:pPr>
    </w:p>
    <w:p w14:paraId="65C540D1">
      <w:pPr>
        <w:tabs>
          <w:tab w:val="left" w:pos="280"/>
        </w:tabs>
        <w:bidi w:val="0"/>
        <w:jc w:val="left"/>
        <w:rPr>
          <w:rFonts w:hint="eastAsia" w:eastAsia="宋体"/>
          <w:sz w:val="30"/>
          <w:szCs w:val="30"/>
          <w:lang w:eastAsia="zh-CN"/>
        </w:rPr>
      </w:pPr>
      <w:r>
        <w:rPr>
          <w:rFonts w:hint="eastAsia" w:eastAsia="宋体"/>
          <w:sz w:val="30"/>
          <w:szCs w:val="30"/>
          <w:lang w:eastAsia="zh-CN"/>
        </w:rPr>
        <w:t>Beginning in the days of the Judges (ca. 1400 BC), it stretches through the United and Divided Monarchies, and ends with the fall of Jerusalem and the deportation of the Southern Kingdom to Babylon (ca. 600 BC).</w:t>
      </w:r>
    </w:p>
    <w:p w14:paraId="3000E566">
      <w:pPr>
        <w:tabs>
          <w:tab w:val="left" w:pos="280"/>
        </w:tabs>
        <w:bidi w:val="0"/>
        <w:jc w:val="left"/>
        <w:rPr>
          <w:rFonts w:hint="eastAsia" w:eastAsia="宋体"/>
          <w:sz w:val="30"/>
          <w:szCs w:val="30"/>
          <w:lang w:eastAsia="zh-CN"/>
        </w:rPr>
      </w:pPr>
      <w:r>
        <w:rPr>
          <w:rFonts w:hint="eastAsia" w:eastAsia="宋体"/>
          <w:sz w:val="30"/>
          <w:szCs w:val="30"/>
          <w:lang w:eastAsia="zh-CN"/>
        </w:rPr>
        <w:t>从士师时代（约公元前1400年）开始，它贯穿了联合王国和分裂王国时期，并以耶路撒冷的陷落和南国被掳到巴比伦（约公元前600年）而结束。</w:t>
      </w:r>
    </w:p>
    <w:p w14:paraId="4A71E269">
      <w:pPr>
        <w:tabs>
          <w:tab w:val="left" w:pos="280"/>
        </w:tabs>
        <w:bidi w:val="0"/>
        <w:jc w:val="left"/>
        <w:rPr>
          <w:rFonts w:hint="eastAsia" w:eastAsia="宋体"/>
          <w:sz w:val="30"/>
          <w:szCs w:val="30"/>
          <w:lang w:eastAsia="zh-CN"/>
        </w:rPr>
      </w:pPr>
    </w:p>
    <w:p w14:paraId="038AACF6">
      <w:pPr>
        <w:tabs>
          <w:tab w:val="left" w:pos="280"/>
        </w:tabs>
        <w:bidi w:val="0"/>
        <w:jc w:val="left"/>
        <w:rPr>
          <w:rFonts w:hint="eastAsia" w:eastAsia="宋体"/>
          <w:sz w:val="30"/>
          <w:szCs w:val="30"/>
          <w:lang w:eastAsia="zh-CN"/>
        </w:rPr>
      </w:pPr>
      <w:r>
        <w:rPr>
          <w:rFonts w:hint="eastAsia" w:eastAsia="宋体"/>
          <w:sz w:val="30"/>
          <w:szCs w:val="30"/>
          <w:lang w:eastAsia="zh-CN"/>
        </w:rPr>
        <w:t>Throughout this period, the LORD himself sat as King over the Israelite theocracy, dwelling among his people—whether in the tabernacle or the temple—and ruling over the nation through mediators: judges, priests, prophets, and kings.</w:t>
      </w:r>
    </w:p>
    <w:p w14:paraId="3B4B3151">
      <w:pPr>
        <w:tabs>
          <w:tab w:val="left" w:pos="280"/>
        </w:tabs>
        <w:bidi w:val="0"/>
        <w:jc w:val="left"/>
        <w:rPr>
          <w:rFonts w:hint="eastAsia" w:eastAsia="宋体"/>
          <w:sz w:val="30"/>
          <w:szCs w:val="30"/>
          <w:lang w:eastAsia="zh-CN"/>
        </w:rPr>
      </w:pPr>
      <w:r>
        <w:rPr>
          <w:rFonts w:hint="eastAsia" w:eastAsia="宋体"/>
          <w:sz w:val="30"/>
          <w:szCs w:val="30"/>
          <w:lang w:eastAsia="zh-CN"/>
        </w:rPr>
        <w:t>在整个这段时期，主亲自作王，统治以色列的神权政体，住在祂的子民中间——无论是在会幕还是在圣殿——并通过中保统治这个国家：士师、祭司、先知和君王。</w:t>
      </w:r>
    </w:p>
    <w:p w14:paraId="2F4FA605">
      <w:pPr>
        <w:tabs>
          <w:tab w:val="left" w:pos="280"/>
        </w:tabs>
        <w:bidi w:val="0"/>
        <w:jc w:val="left"/>
        <w:rPr>
          <w:rFonts w:hint="eastAsia" w:eastAsia="宋体"/>
          <w:sz w:val="30"/>
          <w:szCs w:val="30"/>
          <w:lang w:eastAsia="zh-CN"/>
        </w:rPr>
      </w:pPr>
    </w:p>
    <w:p w14:paraId="28325F72">
      <w:pPr>
        <w:tabs>
          <w:tab w:val="left" w:pos="280"/>
        </w:tabs>
        <w:bidi w:val="0"/>
        <w:jc w:val="left"/>
        <w:rPr>
          <w:rFonts w:hint="eastAsia" w:eastAsia="宋体"/>
          <w:sz w:val="30"/>
          <w:szCs w:val="30"/>
          <w:lang w:eastAsia="zh-CN"/>
        </w:rPr>
      </w:pPr>
      <w:r>
        <w:rPr>
          <w:rFonts w:hint="eastAsia" w:eastAsia="宋体"/>
          <w:sz w:val="30"/>
          <w:szCs w:val="30"/>
          <w:lang w:eastAsia="zh-CN"/>
        </w:rPr>
        <w:t>But though he had indeed given Israel the land, throughout this period much of it remained unconquered and unsettled, largely owing to sin in the twelve tribes.</w:t>
      </w:r>
    </w:p>
    <w:p w14:paraId="10CE37F0">
      <w:pPr>
        <w:tabs>
          <w:tab w:val="left" w:pos="280"/>
        </w:tabs>
        <w:bidi w:val="0"/>
        <w:jc w:val="left"/>
        <w:rPr>
          <w:rFonts w:hint="eastAsia" w:eastAsia="宋体"/>
          <w:sz w:val="30"/>
          <w:szCs w:val="30"/>
          <w:lang w:eastAsia="zh-CN"/>
        </w:rPr>
      </w:pPr>
      <w:r>
        <w:rPr>
          <w:rFonts w:hint="eastAsia" w:eastAsia="宋体"/>
          <w:sz w:val="30"/>
          <w:szCs w:val="30"/>
          <w:lang w:eastAsia="zh-CN"/>
        </w:rPr>
        <w:t>但尽管祂确实把那地赐给了以色列，在整个这段时期，大部分土地仍未被征服和安顿，这主要归因于十二支派的罪。</w:t>
      </w:r>
    </w:p>
    <w:p w14:paraId="02478451">
      <w:pPr>
        <w:tabs>
          <w:tab w:val="left" w:pos="280"/>
        </w:tabs>
        <w:bidi w:val="0"/>
        <w:jc w:val="left"/>
        <w:rPr>
          <w:rFonts w:hint="eastAsia" w:eastAsia="宋体"/>
          <w:sz w:val="30"/>
          <w:szCs w:val="30"/>
          <w:lang w:eastAsia="zh-CN"/>
        </w:rPr>
      </w:pPr>
    </w:p>
    <w:p w14:paraId="7BC2C41E">
      <w:pPr>
        <w:tabs>
          <w:tab w:val="left" w:pos="280"/>
        </w:tabs>
        <w:bidi w:val="0"/>
        <w:jc w:val="left"/>
        <w:rPr>
          <w:rFonts w:hint="eastAsia" w:eastAsia="宋体"/>
          <w:sz w:val="30"/>
          <w:szCs w:val="30"/>
          <w:lang w:eastAsia="zh-CN"/>
        </w:rPr>
      </w:pPr>
      <w:r>
        <w:rPr>
          <w:rFonts w:hint="eastAsia" w:eastAsia="宋体"/>
          <w:sz w:val="30"/>
          <w:szCs w:val="30"/>
          <w:lang w:eastAsia="zh-CN"/>
        </w:rPr>
        <w:t>Moreover, many enemies, both domestic and foreign, not only surrounded the Israelite kingdom, but also warred against it.</w:t>
      </w:r>
    </w:p>
    <w:p w14:paraId="47203E6E">
      <w:pPr>
        <w:tabs>
          <w:tab w:val="left" w:pos="280"/>
        </w:tabs>
        <w:bidi w:val="0"/>
        <w:jc w:val="left"/>
        <w:rPr>
          <w:rFonts w:hint="eastAsia" w:eastAsia="宋体"/>
          <w:sz w:val="30"/>
          <w:szCs w:val="30"/>
          <w:lang w:eastAsia="zh-CN"/>
        </w:rPr>
      </w:pPr>
      <w:r>
        <w:rPr>
          <w:rFonts w:hint="eastAsia" w:eastAsia="宋体"/>
          <w:sz w:val="30"/>
          <w:szCs w:val="30"/>
          <w:lang w:eastAsia="zh-CN"/>
        </w:rPr>
        <w:t>此外，许多敌人，无论是国内的还是国外的，不仅包围了以色列王国，还与之交战。</w:t>
      </w:r>
    </w:p>
    <w:p w14:paraId="29659DCF">
      <w:pPr>
        <w:tabs>
          <w:tab w:val="left" w:pos="280"/>
        </w:tabs>
        <w:bidi w:val="0"/>
        <w:jc w:val="left"/>
        <w:rPr>
          <w:rFonts w:hint="eastAsia" w:eastAsia="宋体"/>
          <w:sz w:val="30"/>
          <w:szCs w:val="30"/>
          <w:lang w:eastAsia="zh-CN"/>
        </w:rPr>
      </w:pPr>
    </w:p>
    <w:p w14:paraId="6B211F18">
      <w:pPr>
        <w:tabs>
          <w:tab w:val="left" w:pos="280"/>
        </w:tabs>
        <w:bidi w:val="0"/>
        <w:jc w:val="left"/>
        <w:rPr>
          <w:rFonts w:hint="eastAsia" w:eastAsia="宋体"/>
          <w:sz w:val="30"/>
          <w:szCs w:val="30"/>
          <w:lang w:eastAsia="zh-CN"/>
        </w:rPr>
      </w:pPr>
      <w:r>
        <w:rPr>
          <w:rFonts w:hint="eastAsia" w:eastAsia="宋体"/>
          <w:sz w:val="30"/>
          <w:szCs w:val="30"/>
          <w:lang w:eastAsia="zh-CN"/>
        </w:rPr>
        <w:t>Thus, despite their promotion to nationhood, Israel, during this entire period, remained much like their fathers Abraham, Isaac, and Jacob: a pilgrim people dwelling in a land still to become fully theirs.</w:t>
      </w:r>
    </w:p>
    <w:p w14:paraId="369EDDAB">
      <w:pPr>
        <w:tabs>
          <w:tab w:val="left" w:pos="280"/>
        </w:tabs>
        <w:bidi w:val="0"/>
        <w:jc w:val="left"/>
        <w:rPr>
          <w:rFonts w:hint="eastAsia" w:eastAsia="宋体"/>
          <w:sz w:val="30"/>
          <w:szCs w:val="30"/>
          <w:lang w:eastAsia="zh-CN"/>
        </w:rPr>
      </w:pPr>
      <w:r>
        <w:rPr>
          <w:rFonts w:hint="eastAsia" w:eastAsia="宋体"/>
          <w:sz w:val="30"/>
          <w:szCs w:val="30"/>
          <w:lang w:eastAsia="zh-CN"/>
        </w:rPr>
        <w:t>因此，尽管以色列被提升为国家，但在整个这段时期，他们仍然很像他们的祖先亚伯拉罕、以撒和雅各：一群寄居的民，居住在一片尚未完全属于他们的土地上。</w:t>
      </w:r>
    </w:p>
    <w:p w14:paraId="4E4D7566">
      <w:pPr>
        <w:tabs>
          <w:tab w:val="left" w:pos="280"/>
        </w:tabs>
        <w:bidi w:val="0"/>
        <w:jc w:val="left"/>
        <w:rPr>
          <w:rFonts w:hint="eastAsia" w:eastAsia="宋体"/>
          <w:sz w:val="30"/>
          <w:szCs w:val="30"/>
          <w:lang w:eastAsia="zh-CN"/>
        </w:rPr>
      </w:pPr>
    </w:p>
    <w:p w14:paraId="3157E058">
      <w:pPr>
        <w:tabs>
          <w:tab w:val="left" w:pos="280"/>
        </w:tabs>
        <w:bidi w:val="0"/>
        <w:jc w:val="left"/>
        <w:rPr>
          <w:rFonts w:hint="eastAsia" w:eastAsia="宋体"/>
          <w:sz w:val="30"/>
          <w:szCs w:val="30"/>
          <w:lang w:eastAsia="zh-CN"/>
        </w:rPr>
      </w:pPr>
      <w:r>
        <w:rPr>
          <w:rFonts w:hint="eastAsia" w:eastAsia="宋体"/>
          <w:sz w:val="30"/>
          <w:szCs w:val="30"/>
          <w:lang w:eastAsia="zh-CN"/>
        </w:rPr>
        <w:t>With important qualifications, we may say that the season of Israel’s dwelling in the land pictures the first stage of the Kingdom of God, during which the Church Militant dwells in the earth.</w:t>
      </w:r>
    </w:p>
    <w:p w14:paraId="3FA492A9">
      <w:pPr>
        <w:tabs>
          <w:tab w:val="left" w:pos="280"/>
        </w:tabs>
        <w:bidi w:val="0"/>
        <w:jc w:val="left"/>
        <w:rPr>
          <w:rFonts w:hint="eastAsia" w:eastAsia="宋体"/>
          <w:sz w:val="30"/>
          <w:szCs w:val="30"/>
          <w:lang w:eastAsia="zh-CN"/>
        </w:rPr>
      </w:pPr>
      <w:r>
        <w:rPr>
          <w:rFonts w:hint="eastAsia" w:eastAsia="宋体"/>
          <w:sz w:val="30"/>
          <w:szCs w:val="30"/>
          <w:lang w:eastAsia="zh-CN"/>
        </w:rPr>
        <w:t>在有重要限定条件的情况下，我们可以说，以色列在那地居住的时期描绘了上帝之国的第一阶段，在此期间，争战的教会居住在地上。</w:t>
      </w:r>
    </w:p>
    <w:p w14:paraId="56230169">
      <w:pPr>
        <w:tabs>
          <w:tab w:val="left" w:pos="280"/>
        </w:tabs>
        <w:bidi w:val="0"/>
        <w:jc w:val="left"/>
        <w:rPr>
          <w:rFonts w:hint="eastAsia" w:eastAsia="宋体"/>
          <w:sz w:val="30"/>
          <w:szCs w:val="30"/>
          <w:lang w:eastAsia="zh-CN"/>
        </w:rPr>
      </w:pPr>
    </w:p>
    <w:p w14:paraId="5635D8C8">
      <w:pPr>
        <w:tabs>
          <w:tab w:val="left" w:pos="280"/>
        </w:tabs>
        <w:bidi w:val="0"/>
        <w:jc w:val="left"/>
        <w:rPr>
          <w:rFonts w:hint="eastAsia" w:eastAsia="宋体"/>
          <w:sz w:val="30"/>
          <w:szCs w:val="30"/>
          <w:lang w:eastAsia="zh-CN"/>
        </w:rPr>
      </w:pPr>
      <w:r>
        <w:rPr>
          <w:rFonts w:hint="eastAsia" w:eastAsia="宋体"/>
          <w:sz w:val="30"/>
          <w:szCs w:val="30"/>
          <w:lang w:eastAsia="zh-CN"/>
        </w:rPr>
        <w:t>The points of correspondence are many.</w:t>
      </w:r>
    </w:p>
    <w:p w14:paraId="52E3924E">
      <w:pPr>
        <w:tabs>
          <w:tab w:val="left" w:pos="280"/>
        </w:tabs>
        <w:bidi w:val="0"/>
        <w:jc w:val="left"/>
        <w:rPr>
          <w:rFonts w:hint="eastAsia" w:eastAsia="宋体"/>
          <w:sz w:val="30"/>
          <w:szCs w:val="30"/>
          <w:lang w:eastAsia="zh-CN"/>
        </w:rPr>
      </w:pPr>
      <w:r>
        <w:rPr>
          <w:rFonts w:hint="eastAsia" w:eastAsia="宋体"/>
          <w:sz w:val="30"/>
          <w:szCs w:val="30"/>
          <w:lang w:eastAsia="zh-CN"/>
        </w:rPr>
        <w:t>对应点有很多。</w:t>
      </w:r>
    </w:p>
    <w:p w14:paraId="6F34812E">
      <w:pPr>
        <w:tabs>
          <w:tab w:val="left" w:pos="280"/>
        </w:tabs>
        <w:bidi w:val="0"/>
        <w:jc w:val="left"/>
        <w:rPr>
          <w:rFonts w:hint="eastAsia" w:eastAsia="宋体"/>
          <w:sz w:val="30"/>
          <w:szCs w:val="30"/>
          <w:lang w:eastAsia="zh-CN"/>
        </w:rPr>
      </w:pPr>
    </w:p>
    <w:p w14:paraId="2369702F">
      <w:pPr>
        <w:tabs>
          <w:tab w:val="left" w:pos="280"/>
        </w:tabs>
        <w:bidi w:val="0"/>
        <w:jc w:val="left"/>
        <w:rPr>
          <w:rFonts w:hint="eastAsia" w:eastAsia="宋体"/>
          <w:sz w:val="30"/>
          <w:szCs w:val="30"/>
          <w:lang w:eastAsia="zh-CN"/>
        </w:rPr>
      </w:pPr>
      <w:r>
        <w:rPr>
          <w:rFonts w:hint="eastAsia" w:eastAsia="宋体"/>
          <w:sz w:val="30"/>
          <w:szCs w:val="30"/>
          <w:lang w:eastAsia="zh-CN"/>
        </w:rPr>
        <w:t>Once again God is King, though here he dwells within his people, and thereby rules over a strictly spiritual theocracy, the Church.</w:t>
      </w:r>
    </w:p>
    <w:p w14:paraId="505C1C9D">
      <w:pPr>
        <w:tabs>
          <w:tab w:val="left" w:pos="280"/>
        </w:tabs>
        <w:bidi w:val="0"/>
        <w:jc w:val="left"/>
        <w:rPr>
          <w:rFonts w:hint="eastAsia" w:eastAsia="宋体"/>
          <w:sz w:val="30"/>
          <w:szCs w:val="30"/>
          <w:lang w:eastAsia="zh-CN"/>
        </w:rPr>
      </w:pPr>
      <w:r>
        <w:rPr>
          <w:rFonts w:hint="eastAsia" w:eastAsia="宋体"/>
          <w:sz w:val="30"/>
          <w:szCs w:val="30"/>
          <w:lang w:eastAsia="zh-CN"/>
        </w:rPr>
        <w:t>上帝再次为王，尽管在此祂住在祂的子民里面，从而统治一个严格意义上的属灵神权政体，即教会。</w:t>
      </w:r>
    </w:p>
    <w:p w14:paraId="7C1D7F18">
      <w:pPr>
        <w:tabs>
          <w:tab w:val="left" w:pos="280"/>
        </w:tabs>
        <w:bidi w:val="0"/>
        <w:jc w:val="left"/>
        <w:rPr>
          <w:rFonts w:hint="eastAsia" w:eastAsia="宋体"/>
          <w:sz w:val="30"/>
          <w:szCs w:val="30"/>
          <w:lang w:eastAsia="zh-CN"/>
        </w:rPr>
      </w:pPr>
    </w:p>
    <w:p w14:paraId="5D8C3F69">
      <w:pPr>
        <w:tabs>
          <w:tab w:val="left" w:pos="280"/>
        </w:tabs>
        <w:bidi w:val="0"/>
        <w:jc w:val="left"/>
        <w:rPr>
          <w:rFonts w:hint="eastAsia" w:eastAsia="宋体"/>
          <w:sz w:val="30"/>
          <w:szCs w:val="30"/>
          <w:lang w:eastAsia="zh-CN"/>
        </w:rPr>
      </w:pPr>
      <w:r>
        <w:rPr>
          <w:rFonts w:hint="eastAsia" w:eastAsia="宋体"/>
          <w:sz w:val="30"/>
          <w:szCs w:val="30"/>
          <w:lang w:eastAsia="zh-CN"/>
        </w:rPr>
        <w:t>Here he again rules through mediators: preeminently through the High King of heaven—the Lord Jesus Christ—but also through the Spirit of God, the Word of God, and the leaders of the people of God.</w:t>
      </w:r>
    </w:p>
    <w:p w14:paraId="79B4B09F">
      <w:pPr>
        <w:tabs>
          <w:tab w:val="left" w:pos="280"/>
        </w:tabs>
        <w:bidi w:val="0"/>
        <w:jc w:val="left"/>
        <w:rPr>
          <w:rFonts w:hint="eastAsia" w:eastAsia="宋体"/>
          <w:sz w:val="30"/>
          <w:szCs w:val="30"/>
          <w:lang w:eastAsia="zh-CN"/>
        </w:rPr>
      </w:pPr>
      <w:r>
        <w:rPr>
          <w:rFonts w:hint="eastAsia" w:eastAsia="宋体"/>
          <w:sz w:val="30"/>
          <w:szCs w:val="30"/>
          <w:lang w:eastAsia="zh-CN"/>
        </w:rPr>
        <w:t>在此祂再次通过中保统治：首要的是通过天上的至高君王——主耶稣基督——但也通过上帝的灵，上帝的话，以及上帝子民的领袖。</w:t>
      </w:r>
    </w:p>
    <w:p w14:paraId="0BE73F27">
      <w:pPr>
        <w:tabs>
          <w:tab w:val="left" w:pos="280"/>
        </w:tabs>
        <w:bidi w:val="0"/>
        <w:jc w:val="left"/>
        <w:rPr>
          <w:rFonts w:hint="eastAsia" w:eastAsia="宋体"/>
          <w:sz w:val="30"/>
          <w:szCs w:val="30"/>
          <w:lang w:eastAsia="zh-CN"/>
        </w:rPr>
      </w:pPr>
    </w:p>
    <w:p w14:paraId="654D1168">
      <w:pPr>
        <w:tabs>
          <w:tab w:val="left" w:pos="280"/>
        </w:tabs>
        <w:bidi w:val="0"/>
        <w:jc w:val="left"/>
        <w:rPr>
          <w:rFonts w:hint="eastAsia" w:eastAsia="宋体"/>
          <w:sz w:val="30"/>
          <w:szCs w:val="30"/>
          <w:lang w:eastAsia="zh-CN"/>
        </w:rPr>
      </w:pPr>
      <w:r>
        <w:rPr>
          <w:rFonts w:hint="eastAsia" w:eastAsia="宋体"/>
          <w:sz w:val="30"/>
          <w:szCs w:val="30"/>
          <w:lang w:eastAsia="zh-CN"/>
        </w:rPr>
        <w:t>Like Israel of old, the Church dwells in a world that even now belongs to her, but which she has yet fully to possess (1 Cor. 3:21-23).</w:t>
      </w:r>
    </w:p>
    <w:p w14:paraId="1FCB9688">
      <w:pPr>
        <w:tabs>
          <w:tab w:val="left" w:pos="280"/>
        </w:tabs>
        <w:bidi w:val="0"/>
        <w:jc w:val="left"/>
        <w:rPr>
          <w:rFonts w:hint="eastAsia" w:eastAsia="宋体"/>
          <w:sz w:val="30"/>
          <w:szCs w:val="30"/>
          <w:lang w:eastAsia="zh-CN"/>
        </w:rPr>
      </w:pPr>
      <w:r>
        <w:rPr>
          <w:rFonts w:hint="eastAsia" w:eastAsia="宋体"/>
          <w:sz w:val="30"/>
          <w:szCs w:val="30"/>
          <w:lang w:eastAsia="zh-CN"/>
        </w:rPr>
        <w:t>像古时的以色列一样，教会居住在一个现在就属于她，但她尚未完全拥有的世界里（林前 3:21-23）。</w:t>
      </w:r>
    </w:p>
    <w:p w14:paraId="6B7921F1">
      <w:pPr>
        <w:tabs>
          <w:tab w:val="left" w:pos="280"/>
        </w:tabs>
        <w:bidi w:val="0"/>
        <w:jc w:val="left"/>
        <w:rPr>
          <w:rFonts w:hint="eastAsia" w:eastAsia="宋体"/>
          <w:sz w:val="30"/>
          <w:szCs w:val="30"/>
          <w:lang w:eastAsia="zh-CN"/>
        </w:rPr>
      </w:pPr>
    </w:p>
    <w:p w14:paraId="5BADF4D0">
      <w:pPr>
        <w:tabs>
          <w:tab w:val="left" w:pos="280"/>
        </w:tabs>
        <w:bidi w:val="0"/>
        <w:jc w:val="left"/>
        <w:rPr>
          <w:rFonts w:hint="eastAsia" w:eastAsia="宋体"/>
          <w:sz w:val="30"/>
          <w:szCs w:val="30"/>
          <w:lang w:eastAsia="zh-CN"/>
        </w:rPr>
      </w:pPr>
      <w:r>
        <w:rPr>
          <w:rFonts w:hint="eastAsia" w:eastAsia="宋体"/>
          <w:sz w:val="30"/>
          <w:szCs w:val="30"/>
          <w:lang w:eastAsia="zh-CN"/>
        </w:rPr>
        <w:t>Like Israel, she lives under a divine mandate to take up the weapons of her warfare—prayer and the preaching of the Gospel—in order to conquer as much of the land as she possibly can for her King.</w:t>
      </w:r>
    </w:p>
    <w:p w14:paraId="512B4965">
      <w:pPr>
        <w:tabs>
          <w:tab w:val="left" w:pos="280"/>
        </w:tabs>
        <w:bidi w:val="0"/>
        <w:jc w:val="left"/>
        <w:rPr>
          <w:rFonts w:hint="eastAsia" w:eastAsia="宋体"/>
          <w:sz w:val="30"/>
          <w:szCs w:val="30"/>
          <w:lang w:eastAsia="zh-CN"/>
        </w:rPr>
      </w:pPr>
      <w:r>
        <w:rPr>
          <w:rFonts w:hint="eastAsia" w:eastAsia="宋体"/>
          <w:sz w:val="30"/>
          <w:szCs w:val="30"/>
          <w:lang w:eastAsia="zh-CN"/>
        </w:rPr>
        <w:t>像以色列一样，她生活在一个神圣的命令之下，要拿起她争战的武器——祷告和福音的传讲——为她的王尽可能多地征服那地。</w:t>
      </w:r>
    </w:p>
    <w:p w14:paraId="262F125A">
      <w:pPr>
        <w:tabs>
          <w:tab w:val="left" w:pos="280"/>
        </w:tabs>
        <w:bidi w:val="0"/>
        <w:jc w:val="left"/>
        <w:rPr>
          <w:rFonts w:hint="eastAsia" w:eastAsia="宋体"/>
          <w:sz w:val="30"/>
          <w:szCs w:val="30"/>
          <w:lang w:eastAsia="zh-CN"/>
        </w:rPr>
      </w:pPr>
    </w:p>
    <w:p w14:paraId="467541DA">
      <w:pPr>
        <w:tabs>
          <w:tab w:val="left" w:pos="280"/>
        </w:tabs>
        <w:bidi w:val="0"/>
        <w:jc w:val="left"/>
        <w:rPr>
          <w:rFonts w:hint="eastAsia" w:eastAsia="宋体"/>
          <w:sz w:val="30"/>
          <w:szCs w:val="30"/>
          <w:lang w:eastAsia="zh-CN"/>
        </w:rPr>
      </w:pPr>
      <w:r>
        <w:rPr>
          <w:rFonts w:hint="eastAsia" w:eastAsia="宋体"/>
          <w:sz w:val="30"/>
          <w:szCs w:val="30"/>
          <w:lang w:eastAsia="zh-CN"/>
        </w:rPr>
        <w:t>And like Israel, she is also surrounded by many enemies, both within and without; enemies that she must engage with the mighty weapons of prayer, truth, purity, kindness, perseverance, and great longsuffering (Mt. 5:43-48, Eph. 6).</w:t>
      </w:r>
    </w:p>
    <w:p w14:paraId="33E5CD10">
      <w:pPr>
        <w:tabs>
          <w:tab w:val="left" w:pos="280"/>
        </w:tabs>
        <w:bidi w:val="0"/>
        <w:jc w:val="left"/>
        <w:rPr>
          <w:rFonts w:hint="eastAsia" w:eastAsia="宋体"/>
          <w:sz w:val="30"/>
          <w:szCs w:val="30"/>
          <w:lang w:eastAsia="zh-CN"/>
        </w:rPr>
      </w:pPr>
      <w:r>
        <w:rPr>
          <w:rFonts w:hint="eastAsia" w:eastAsia="宋体"/>
          <w:sz w:val="30"/>
          <w:szCs w:val="30"/>
          <w:lang w:eastAsia="zh-CN"/>
        </w:rPr>
        <w:t>像以色列一样，她也被许多内外的仇敌所包围；她必须用祷告、真理、纯洁、仁慈、恒忍和极大的耐心这些大能的武器来与这些仇敌交战（太 5:43-48, 弗 6）。</w:t>
      </w:r>
    </w:p>
    <w:p w14:paraId="16193186">
      <w:pPr>
        <w:tabs>
          <w:tab w:val="left" w:pos="280"/>
        </w:tabs>
        <w:bidi w:val="0"/>
        <w:jc w:val="left"/>
        <w:rPr>
          <w:rFonts w:hint="eastAsia" w:eastAsia="宋体"/>
          <w:sz w:val="30"/>
          <w:szCs w:val="30"/>
          <w:lang w:eastAsia="zh-CN"/>
        </w:rPr>
      </w:pPr>
    </w:p>
    <w:p w14:paraId="21C5D495">
      <w:pPr>
        <w:tabs>
          <w:tab w:val="left" w:pos="280"/>
        </w:tabs>
        <w:bidi w:val="0"/>
        <w:jc w:val="left"/>
        <w:rPr>
          <w:rFonts w:hint="eastAsia" w:eastAsia="宋体"/>
          <w:sz w:val="30"/>
          <w:szCs w:val="30"/>
          <w:lang w:eastAsia="zh-CN"/>
        </w:rPr>
      </w:pPr>
      <w:r>
        <w:rPr>
          <w:rFonts w:hint="eastAsia" w:eastAsia="宋体"/>
          <w:sz w:val="30"/>
          <w:szCs w:val="30"/>
          <w:lang w:eastAsia="zh-CN"/>
        </w:rPr>
        <w:t>We must, however, take note of the “important qualifications” mentioned above.</w:t>
      </w:r>
    </w:p>
    <w:p w14:paraId="0C4D7BA2">
      <w:pPr>
        <w:tabs>
          <w:tab w:val="left" w:pos="280"/>
        </w:tabs>
        <w:bidi w:val="0"/>
        <w:jc w:val="left"/>
        <w:rPr>
          <w:rFonts w:hint="eastAsia" w:eastAsia="宋体"/>
          <w:sz w:val="30"/>
          <w:szCs w:val="30"/>
          <w:lang w:eastAsia="zh-CN"/>
        </w:rPr>
      </w:pPr>
      <w:r>
        <w:rPr>
          <w:rFonts w:hint="eastAsia" w:eastAsia="宋体"/>
          <w:sz w:val="30"/>
          <w:szCs w:val="30"/>
          <w:lang w:eastAsia="zh-CN"/>
        </w:rPr>
        <w:t>然而，我们必须注意上面提到的“重要限定条件”。</w:t>
      </w:r>
    </w:p>
    <w:p w14:paraId="370B6BED">
      <w:pPr>
        <w:tabs>
          <w:tab w:val="left" w:pos="280"/>
        </w:tabs>
        <w:bidi w:val="0"/>
        <w:jc w:val="left"/>
        <w:rPr>
          <w:rFonts w:hint="eastAsia" w:eastAsia="宋体"/>
          <w:sz w:val="30"/>
          <w:szCs w:val="30"/>
          <w:lang w:eastAsia="zh-CN"/>
        </w:rPr>
      </w:pPr>
    </w:p>
    <w:p w14:paraId="58D70047">
      <w:pPr>
        <w:tabs>
          <w:tab w:val="left" w:pos="280"/>
        </w:tabs>
        <w:bidi w:val="0"/>
        <w:jc w:val="left"/>
        <w:rPr>
          <w:rFonts w:hint="eastAsia" w:eastAsia="宋体"/>
          <w:sz w:val="30"/>
          <w:szCs w:val="30"/>
          <w:lang w:eastAsia="zh-CN"/>
        </w:rPr>
      </w:pPr>
      <w:r>
        <w:rPr>
          <w:rFonts w:hint="eastAsia" w:eastAsia="宋体"/>
          <w:sz w:val="30"/>
          <w:szCs w:val="30"/>
          <w:lang w:eastAsia="zh-CN"/>
        </w:rPr>
        <w:t>One of them is this: Because of the inherent weakness of the Old Covenant, Israel in the land was, as it were, doomed to be cast out of the land (Deut. 32, Jer. 31:31f).</w:t>
      </w:r>
    </w:p>
    <w:p w14:paraId="7BD1ACE4">
      <w:pPr>
        <w:tabs>
          <w:tab w:val="left" w:pos="280"/>
        </w:tabs>
        <w:bidi w:val="0"/>
        <w:jc w:val="left"/>
        <w:rPr>
          <w:rFonts w:hint="eastAsia" w:eastAsia="宋体"/>
          <w:sz w:val="30"/>
          <w:szCs w:val="30"/>
          <w:lang w:eastAsia="zh-CN"/>
        </w:rPr>
      </w:pPr>
      <w:r>
        <w:rPr>
          <w:rFonts w:hint="eastAsia" w:eastAsia="宋体"/>
          <w:sz w:val="30"/>
          <w:szCs w:val="30"/>
          <w:lang w:eastAsia="zh-CN"/>
        </w:rPr>
        <w:t>其中之一是：由于旧约固有的软弱，在那地的以色列，可以说，注定要被赶出那地（申 32, 耶 31:31f）。</w:t>
      </w:r>
    </w:p>
    <w:p w14:paraId="3D01CD7F">
      <w:pPr>
        <w:tabs>
          <w:tab w:val="left" w:pos="280"/>
        </w:tabs>
        <w:bidi w:val="0"/>
        <w:jc w:val="left"/>
        <w:rPr>
          <w:rFonts w:hint="eastAsia" w:eastAsia="宋体"/>
          <w:sz w:val="30"/>
          <w:szCs w:val="30"/>
          <w:lang w:eastAsia="zh-CN"/>
        </w:rPr>
      </w:pPr>
    </w:p>
    <w:p w14:paraId="24F760F3">
      <w:pPr>
        <w:tabs>
          <w:tab w:val="left" w:pos="280"/>
        </w:tabs>
        <w:bidi w:val="0"/>
        <w:jc w:val="left"/>
        <w:rPr>
          <w:rFonts w:hint="eastAsia" w:eastAsia="宋体"/>
          <w:sz w:val="30"/>
          <w:szCs w:val="30"/>
          <w:lang w:eastAsia="zh-CN"/>
        </w:rPr>
      </w:pPr>
      <w:r>
        <w:rPr>
          <w:rFonts w:hint="eastAsia" w:eastAsia="宋体"/>
          <w:sz w:val="30"/>
          <w:szCs w:val="30"/>
          <w:lang w:eastAsia="zh-CN"/>
        </w:rPr>
        <w:t>The Church, on the other hand, because of the inherent strength of the Gospel (i.e., the New and Eternal Covenant), is destined to triumph over every foe, and to remain in the earth forever (Romans 8:31-39, Heb. 8).</w:t>
      </w:r>
    </w:p>
    <w:p w14:paraId="2809CE43">
      <w:pPr>
        <w:tabs>
          <w:tab w:val="left" w:pos="280"/>
        </w:tabs>
        <w:bidi w:val="0"/>
        <w:jc w:val="left"/>
        <w:rPr>
          <w:rFonts w:hint="eastAsia" w:eastAsia="宋体"/>
          <w:sz w:val="30"/>
          <w:szCs w:val="30"/>
          <w:lang w:eastAsia="zh-CN"/>
        </w:rPr>
      </w:pPr>
      <w:r>
        <w:rPr>
          <w:rFonts w:hint="eastAsia" w:eastAsia="宋体"/>
          <w:sz w:val="30"/>
          <w:szCs w:val="30"/>
          <w:lang w:eastAsia="zh-CN"/>
        </w:rPr>
        <w:t>另一方面，教会，因为福音（即新的和永恒的约）固有的力量，注定要战胜每一个仇敌，并永远留在地上（罗马书 8:31-39, 来 8）。</w:t>
      </w:r>
    </w:p>
    <w:p w14:paraId="0ED677BF">
      <w:pPr>
        <w:tabs>
          <w:tab w:val="left" w:pos="280"/>
        </w:tabs>
        <w:bidi w:val="0"/>
        <w:jc w:val="left"/>
        <w:rPr>
          <w:rFonts w:hint="eastAsia" w:eastAsia="宋体"/>
          <w:sz w:val="30"/>
          <w:szCs w:val="30"/>
          <w:lang w:eastAsia="zh-CN"/>
        </w:rPr>
      </w:pPr>
    </w:p>
    <w:p w14:paraId="7CD81729">
      <w:pPr>
        <w:tabs>
          <w:tab w:val="left" w:pos="280"/>
        </w:tabs>
        <w:bidi w:val="0"/>
        <w:jc w:val="left"/>
        <w:rPr>
          <w:rFonts w:hint="eastAsia" w:eastAsia="宋体"/>
          <w:sz w:val="30"/>
          <w:szCs w:val="30"/>
          <w:lang w:eastAsia="zh-CN"/>
        </w:rPr>
      </w:pPr>
      <w:r>
        <w:rPr>
          <w:rFonts w:hint="eastAsia" w:eastAsia="宋体"/>
          <w:sz w:val="30"/>
          <w:szCs w:val="30"/>
          <w:lang w:eastAsia="zh-CN"/>
        </w:rPr>
        <w:t>Also, the writing prophets often used images of Israel dwelling in the land to picture the second stage of the Kingdom; to picture God’s glorified Church dwelling in the new heavens and the new earth (Isaiah 60, Ezek. 40-48, Micah 4, Zech. 8).</w:t>
      </w:r>
    </w:p>
    <w:p w14:paraId="2D1F826E">
      <w:pPr>
        <w:tabs>
          <w:tab w:val="left" w:pos="280"/>
        </w:tabs>
        <w:bidi w:val="0"/>
        <w:jc w:val="left"/>
        <w:rPr>
          <w:rFonts w:hint="eastAsia" w:eastAsia="宋体"/>
          <w:sz w:val="30"/>
          <w:szCs w:val="30"/>
          <w:lang w:eastAsia="zh-CN"/>
        </w:rPr>
      </w:pPr>
      <w:r>
        <w:rPr>
          <w:rFonts w:hint="eastAsia" w:eastAsia="宋体"/>
          <w:sz w:val="30"/>
          <w:szCs w:val="30"/>
          <w:lang w:eastAsia="zh-CN"/>
        </w:rPr>
        <w:t>此外，写作的先知们常常使用以色列在那地居住的意象来描绘国度的第二阶段；描绘上帝得荣耀的教会在新天新地居住（以赛亚书 60, 结 40-48, 弥迦书 4, 撒迦利亚书 8）。</w:t>
      </w:r>
    </w:p>
    <w:p w14:paraId="7317B305">
      <w:pPr>
        <w:tabs>
          <w:tab w:val="left" w:pos="280"/>
        </w:tabs>
        <w:bidi w:val="0"/>
        <w:jc w:val="left"/>
        <w:rPr>
          <w:rFonts w:hint="eastAsia" w:eastAsia="宋体"/>
          <w:sz w:val="30"/>
          <w:szCs w:val="30"/>
          <w:lang w:eastAsia="zh-CN"/>
        </w:rPr>
      </w:pPr>
    </w:p>
    <w:p w14:paraId="3A650056">
      <w:pPr>
        <w:tabs>
          <w:tab w:val="left" w:pos="280"/>
        </w:tabs>
        <w:bidi w:val="0"/>
        <w:jc w:val="left"/>
        <w:rPr>
          <w:rFonts w:hint="eastAsia" w:eastAsia="宋体"/>
          <w:sz w:val="30"/>
          <w:szCs w:val="30"/>
          <w:lang w:eastAsia="zh-CN"/>
        </w:rPr>
      </w:pPr>
      <w:r>
        <w:rPr>
          <w:rFonts w:hint="eastAsia" w:eastAsia="宋体"/>
          <w:sz w:val="30"/>
          <w:szCs w:val="30"/>
          <w:lang w:eastAsia="zh-CN"/>
        </w:rPr>
        <w:t>In other words, the Spirit was pleased to use Israel’s life under the Law to depict both stages of the Kingdom of God.</w:t>
      </w:r>
    </w:p>
    <w:p w14:paraId="111CC13A">
      <w:pPr>
        <w:tabs>
          <w:tab w:val="left" w:pos="280"/>
        </w:tabs>
        <w:bidi w:val="0"/>
        <w:jc w:val="left"/>
        <w:rPr>
          <w:rFonts w:hint="eastAsia" w:eastAsia="宋体"/>
          <w:sz w:val="30"/>
          <w:szCs w:val="30"/>
          <w:lang w:eastAsia="zh-CN"/>
        </w:rPr>
      </w:pPr>
      <w:r>
        <w:rPr>
          <w:rFonts w:hint="eastAsia" w:eastAsia="宋体"/>
          <w:sz w:val="30"/>
          <w:szCs w:val="30"/>
          <w:lang w:eastAsia="zh-CN"/>
        </w:rPr>
        <w:t>换句话说，圣灵乐意使用以色列在律法下的生活来描绘上帝之国的两个阶段。</w:t>
      </w:r>
    </w:p>
    <w:p w14:paraId="3BB5CCD2">
      <w:pPr>
        <w:tabs>
          <w:tab w:val="left" w:pos="280"/>
        </w:tabs>
        <w:bidi w:val="0"/>
        <w:jc w:val="left"/>
        <w:rPr>
          <w:rFonts w:hint="eastAsia" w:eastAsia="宋体"/>
          <w:sz w:val="30"/>
          <w:szCs w:val="30"/>
          <w:lang w:eastAsia="zh-CN"/>
        </w:rPr>
      </w:pPr>
    </w:p>
    <w:p w14:paraId="0EF020EE">
      <w:pPr>
        <w:tabs>
          <w:tab w:val="left" w:pos="280"/>
        </w:tabs>
        <w:bidi w:val="0"/>
        <w:jc w:val="left"/>
        <w:rPr>
          <w:rFonts w:hint="eastAsia" w:eastAsia="宋体"/>
          <w:sz w:val="30"/>
          <w:szCs w:val="30"/>
          <w:lang w:eastAsia="zh-CN"/>
        </w:rPr>
      </w:pPr>
      <w:r>
        <w:rPr>
          <w:rFonts w:hint="eastAsia" w:eastAsia="宋体"/>
          <w:sz w:val="30"/>
          <w:szCs w:val="30"/>
          <w:lang w:eastAsia="zh-CN"/>
        </w:rPr>
        <w:t>And he did so, not only in the OT, but also in the New (2 Cor. 6:6, Eph. 2:19-22, 1 Peter 2:9-10 Rev. 20-21).</w:t>
      </w:r>
    </w:p>
    <w:p w14:paraId="2A8F20EB">
      <w:pPr>
        <w:tabs>
          <w:tab w:val="left" w:pos="280"/>
        </w:tabs>
        <w:bidi w:val="0"/>
        <w:jc w:val="left"/>
        <w:rPr>
          <w:rFonts w:hint="eastAsia" w:eastAsia="宋体"/>
          <w:sz w:val="30"/>
          <w:szCs w:val="30"/>
          <w:lang w:eastAsia="zh-CN"/>
        </w:rPr>
      </w:pPr>
      <w:r>
        <w:rPr>
          <w:rFonts w:hint="eastAsia" w:eastAsia="宋体"/>
          <w:sz w:val="30"/>
          <w:szCs w:val="30"/>
          <w:lang w:eastAsia="zh-CN"/>
        </w:rPr>
        <w:t>祂不仅在旧约中这样做，也在新约中这样做（林后 6:6, 弗 2:19-22, 彼前 2:9-10, 启 20-21）。</w:t>
      </w:r>
    </w:p>
    <w:p w14:paraId="087F5474">
      <w:pPr>
        <w:tabs>
          <w:tab w:val="left" w:pos="280"/>
        </w:tabs>
        <w:bidi w:val="0"/>
        <w:jc w:val="left"/>
        <w:rPr>
          <w:rFonts w:hint="eastAsia" w:eastAsia="宋体"/>
          <w:sz w:val="30"/>
          <w:szCs w:val="30"/>
          <w:lang w:eastAsia="zh-CN"/>
        </w:rPr>
      </w:pPr>
    </w:p>
    <w:p w14:paraId="7BD82B9C">
      <w:pPr>
        <w:tabs>
          <w:tab w:val="left" w:pos="280"/>
        </w:tabs>
        <w:bidi w:val="0"/>
        <w:jc w:val="left"/>
        <w:rPr>
          <w:rFonts w:hint="eastAsia" w:eastAsia="宋体"/>
          <w:sz w:val="30"/>
          <w:szCs w:val="30"/>
          <w:lang w:eastAsia="zh-CN"/>
        </w:rPr>
      </w:pPr>
      <w:r>
        <w:rPr>
          <w:rFonts w:hint="eastAsia" w:eastAsia="宋体"/>
          <w:sz w:val="30"/>
          <w:szCs w:val="30"/>
          <w:lang w:eastAsia="zh-CN"/>
        </w:rPr>
        <w:t>More on this later.</w:t>
      </w:r>
    </w:p>
    <w:p w14:paraId="1C23846A">
      <w:pPr>
        <w:tabs>
          <w:tab w:val="left" w:pos="280"/>
        </w:tabs>
        <w:bidi w:val="0"/>
        <w:jc w:val="left"/>
        <w:rPr>
          <w:rFonts w:hint="eastAsia" w:eastAsia="宋体"/>
          <w:sz w:val="30"/>
          <w:szCs w:val="30"/>
          <w:lang w:eastAsia="zh-CN"/>
        </w:rPr>
      </w:pPr>
      <w:r>
        <w:rPr>
          <w:rFonts w:hint="eastAsia" w:eastAsia="宋体"/>
          <w:sz w:val="30"/>
          <w:szCs w:val="30"/>
          <w:lang w:eastAsia="zh-CN"/>
        </w:rPr>
        <w:t>关于这一点，后面会详细讨论。</w:t>
      </w:r>
    </w:p>
    <w:p w14:paraId="2D2FC61D">
      <w:pPr>
        <w:tabs>
          <w:tab w:val="left" w:pos="280"/>
        </w:tabs>
        <w:bidi w:val="0"/>
        <w:jc w:val="left"/>
        <w:rPr>
          <w:rFonts w:hint="eastAsia" w:eastAsia="宋体"/>
          <w:sz w:val="30"/>
          <w:szCs w:val="30"/>
          <w:lang w:eastAsia="zh-CN"/>
        </w:rPr>
      </w:pPr>
    </w:p>
    <w:p w14:paraId="51CC8CD3">
      <w:pPr>
        <w:tabs>
          <w:tab w:val="left" w:pos="280"/>
        </w:tabs>
        <w:bidi w:val="0"/>
        <w:jc w:val="left"/>
        <w:rPr>
          <w:rFonts w:hint="eastAsia" w:eastAsia="宋体"/>
          <w:sz w:val="30"/>
          <w:szCs w:val="30"/>
          <w:lang w:eastAsia="zh-CN"/>
        </w:rPr>
      </w:pPr>
      <w:r>
        <w:rPr>
          <w:rFonts w:hint="eastAsia" w:eastAsia="宋体"/>
          <w:sz w:val="30"/>
          <w:szCs w:val="30"/>
          <w:lang w:eastAsia="zh-CN"/>
        </w:rPr>
        <w:t>Israel’s Exile and Return</w:t>
      </w:r>
    </w:p>
    <w:p w14:paraId="09AE31EB">
      <w:pPr>
        <w:tabs>
          <w:tab w:val="left" w:pos="280"/>
        </w:tabs>
        <w:bidi w:val="0"/>
        <w:jc w:val="left"/>
        <w:rPr>
          <w:rFonts w:hint="eastAsia" w:eastAsia="宋体"/>
          <w:sz w:val="30"/>
          <w:szCs w:val="30"/>
          <w:lang w:eastAsia="zh-CN"/>
        </w:rPr>
      </w:pPr>
      <w:r>
        <w:rPr>
          <w:rFonts w:hint="eastAsia" w:eastAsia="宋体"/>
          <w:sz w:val="30"/>
          <w:szCs w:val="30"/>
          <w:lang w:eastAsia="zh-CN"/>
        </w:rPr>
        <w:t>以色列的被掳与归回</w:t>
      </w:r>
    </w:p>
    <w:p w14:paraId="487614B9">
      <w:pPr>
        <w:tabs>
          <w:tab w:val="left" w:pos="280"/>
        </w:tabs>
        <w:bidi w:val="0"/>
        <w:jc w:val="left"/>
        <w:rPr>
          <w:rFonts w:hint="eastAsia" w:eastAsia="宋体"/>
          <w:sz w:val="30"/>
          <w:szCs w:val="30"/>
          <w:lang w:eastAsia="zh-CN"/>
        </w:rPr>
      </w:pPr>
    </w:p>
    <w:p w14:paraId="4CC1A334">
      <w:pPr>
        <w:tabs>
          <w:tab w:val="left" w:pos="280"/>
        </w:tabs>
        <w:bidi w:val="0"/>
        <w:jc w:val="left"/>
        <w:rPr>
          <w:rFonts w:hint="eastAsia" w:eastAsia="宋体"/>
          <w:sz w:val="30"/>
          <w:szCs w:val="30"/>
          <w:lang w:eastAsia="zh-CN"/>
        </w:rPr>
      </w:pPr>
      <w:r>
        <w:rPr>
          <w:rFonts w:hint="eastAsia" w:eastAsia="宋体"/>
          <w:sz w:val="30"/>
          <w:szCs w:val="30"/>
          <w:lang w:eastAsia="zh-CN"/>
        </w:rPr>
        <w:t>This brings us to the third—and arguably the most important—OT depiction of the Kingdom, Israel’s exile and return.</w:t>
      </w:r>
    </w:p>
    <w:p w14:paraId="64F5B8EC">
      <w:pPr>
        <w:tabs>
          <w:tab w:val="left" w:pos="280"/>
        </w:tabs>
        <w:bidi w:val="0"/>
        <w:jc w:val="left"/>
        <w:rPr>
          <w:rFonts w:hint="eastAsia" w:eastAsia="宋体"/>
          <w:sz w:val="30"/>
          <w:szCs w:val="30"/>
          <w:lang w:eastAsia="zh-CN"/>
        </w:rPr>
      </w:pPr>
      <w:r>
        <w:rPr>
          <w:rFonts w:hint="eastAsia" w:eastAsia="宋体"/>
          <w:sz w:val="30"/>
          <w:szCs w:val="30"/>
          <w:lang w:eastAsia="zh-CN"/>
        </w:rPr>
        <w:t>这使我们来到了第三个——也可以说是最重要的——旧约对国度的描绘，即以色列的被掳与归回。</w:t>
      </w:r>
    </w:p>
    <w:p w14:paraId="5E420205">
      <w:pPr>
        <w:tabs>
          <w:tab w:val="left" w:pos="280"/>
        </w:tabs>
        <w:bidi w:val="0"/>
        <w:jc w:val="left"/>
        <w:rPr>
          <w:rFonts w:hint="eastAsia" w:eastAsia="宋体"/>
          <w:sz w:val="30"/>
          <w:szCs w:val="30"/>
          <w:lang w:eastAsia="zh-CN"/>
        </w:rPr>
      </w:pPr>
    </w:p>
    <w:p w14:paraId="7E78FF02">
      <w:pPr>
        <w:tabs>
          <w:tab w:val="left" w:pos="280"/>
        </w:tabs>
        <w:bidi w:val="0"/>
        <w:jc w:val="left"/>
        <w:rPr>
          <w:rFonts w:hint="eastAsia" w:eastAsia="宋体"/>
          <w:sz w:val="30"/>
          <w:szCs w:val="30"/>
          <w:lang w:eastAsia="zh-CN"/>
        </w:rPr>
      </w:pPr>
      <w:r>
        <w:rPr>
          <w:rFonts w:hint="eastAsia" w:eastAsia="宋体"/>
          <w:sz w:val="30"/>
          <w:szCs w:val="30"/>
          <w:lang w:eastAsia="zh-CN"/>
        </w:rPr>
        <w:t>As to its history, the exile itself actually began in 722 BC, with the fall of the Northern Kingdom (then called Israel) to the Assyrians, who deported and scattered the captives throughout their empire.</w:t>
      </w:r>
    </w:p>
    <w:p w14:paraId="5FEB5354">
      <w:pPr>
        <w:tabs>
          <w:tab w:val="left" w:pos="280"/>
        </w:tabs>
        <w:bidi w:val="0"/>
        <w:jc w:val="left"/>
        <w:rPr>
          <w:rFonts w:hint="eastAsia" w:eastAsia="宋体"/>
          <w:sz w:val="30"/>
          <w:szCs w:val="30"/>
          <w:lang w:eastAsia="zh-CN"/>
        </w:rPr>
      </w:pPr>
      <w:r>
        <w:rPr>
          <w:rFonts w:hint="eastAsia" w:eastAsia="宋体"/>
          <w:sz w:val="30"/>
          <w:szCs w:val="30"/>
          <w:lang w:eastAsia="zh-CN"/>
        </w:rPr>
        <w:t>就其历史而言，被掳本身实际上始于公元前722年，随着北国（当时称为以色列）被亚述人攻陷，亚述人将俘虏驱逐并分散到他们的帝国各地。</w:t>
      </w:r>
    </w:p>
    <w:p w14:paraId="01EFF014">
      <w:pPr>
        <w:tabs>
          <w:tab w:val="left" w:pos="280"/>
        </w:tabs>
        <w:bidi w:val="0"/>
        <w:jc w:val="left"/>
        <w:rPr>
          <w:rFonts w:hint="eastAsia" w:eastAsia="宋体"/>
          <w:sz w:val="30"/>
          <w:szCs w:val="30"/>
          <w:lang w:eastAsia="zh-CN"/>
        </w:rPr>
      </w:pPr>
    </w:p>
    <w:p w14:paraId="63386E8F">
      <w:pPr>
        <w:tabs>
          <w:tab w:val="left" w:pos="280"/>
        </w:tabs>
        <w:bidi w:val="0"/>
        <w:jc w:val="left"/>
        <w:rPr>
          <w:rFonts w:hint="eastAsia" w:eastAsia="宋体"/>
          <w:sz w:val="30"/>
          <w:szCs w:val="30"/>
          <w:lang w:eastAsia="zh-CN"/>
        </w:rPr>
      </w:pPr>
      <w:r>
        <w:rPr>
          <w:rFonts w:hint="eastAsia" w:eastAsia="宋体"/>
          <w:sz w:val="30"/>
          <w:szCs w:val="30"/>
          <w:lang w:eastAsia="zh-CN"/>
        </w:rPr>
        <w:t>Later the exile was consummated by the fall of the Southern Kingdom (then called Judah) to the Babylonians, who, after three separate deportations, razed Jerusalem to the ground in 586 BC.</w:t>
      </w:r>
    </w:p>
    <w:p w14:paraId="09169A22">
      <w:pPr>
        <w:tabs>
          <w:tab w:val="left" w:pos="280"/>
        </w:tabs>
        <w:bidi w:val="0"/>
        <w:jc w:val="left"/>
        <w:rPr>
          <w:rFonts w:hint="eastAsia" w:eastAsia="宋体"/>
          <w:sz w:val="30"/>
          <w:szCs w:val="30"/>
          <w:lang w:eastAsia="zh-CN"/>
        </w:rPr>
      </w:pPr>
      <w:r>
        <w:rPr>
          <w:rFonts w:hint="eastAsia" w:eastAsia="宋体"/>
          <w:sz w:val="30"/>
          <w:szCs w:val="30"/>
          <w:lang w:eastAsia="zh-CN"/>
        </w:rPr>
        <w:t>后来，随着南国（当时称为犹大）被巴比伦人攻陷，被掳得以最终完成，巴比伦人在三次独立的驱逐之后，于公元前586年将耶路撒冷夷为平地。</w:t>
      </w:r>
    </w:p>
    <w:p w14:paraId="503D1E52">
      <w:pPr>
        <w:tabs>
          <w:tab w:val="left" w:pos="280"/>
        </w:tabs>
        <w:bidi w:val="0"/>
        <w:jc w:val="left"/>
        <w:rPr>
          <w:rFonts w:hint="eastAsia" w:eastAsia="宋体"/>
          <w:sz w:val="30"/>
          <w:szCs w:val="30"/>
          <w:lang w:eastAsia="zh-CN"/>
        </w:rPr>
      </w:pPr>
    </w:p>
    <w:p w14:paraId="76E81D49">
      <w:pPr>
        <w:tabs>
          <w:tab w:val="left" w:pos="280"/>
        </w:tabs>
        <w:bidi w:val="0"/>
        <w:jc w:val="left"/>
        <w:rPr>
          <w:rFonts w:hint="eastAsia" w:eastAsia="宋体"/>
          <w:sz w:val="30"/>
          <w:szCs w:val="30"/>
          <w:lang w:eastAsia="zh-CN"/>
        </w:rPr>
      </w:pPr>
      <w:r>
        <w:rPr>
          <w:rFonts w:hint="eastAsia" w:eastAsia="宋体"/>
          <w:sz w:val="30"/>
          <w:szCs w:val="30"/>
          <w:lang w:eastAsia="zh-CN"/>
        </w:rPr>
        <w:t>This inaugurated 70 years of captivity in Babylon, after which, in fulfillment of biblical prophecy, a remnant of much- chastened and penitent Jews returned to their ancestral homeland in three waves, the final one occurring in 432 BC (2 Chron. 36:22-23, Isaiah 44-45, Jer. 25:1-14, 29:1ff).</w:t>
      </w:r>
    </w:p>
    <w:p w14:paraId="13FAE342">
      <w:pPr>
        <w:tabs>
          <w:tab w:val="left" w:pos="280"/>
        </w:tabs>
        <w:bidi w:val="0"/>
        <w:jc w:val="left"/>
        <w:rPr>
          <w:rFonts w:hint="eastAsia" w:eastAsia="宋体"/>
          <w:sz w:val="30"/>
          <w:szCs w:val="30"/>
          <w:lang w:eastAsia="zh-CN"/>
        </w:rPr>
      </w:pPr>
      <w:r>
        <w:rPr>
          <w:rFonts w:hint="eastAsia" w:eastAsia="宋体"/>
          <w:sz w:val="30"/>
          <w:szCs w:val="30"/>
          <w:lang w:eastAsia="zh-CN"/>
        </w:rPr>
        <w:t>这开启了在巴比伦70年的被掳生活，此后，为应验圣经预言，一群饱受惩戒和悔罪的犹太人余民分三波返回他们祖先的家园，最后一波发生在公元前432年（代下 36:22-23, 赛 44-45, 耶 25:1-14, 29:1ff）。</w:t>
      </w:r>
    </w:p>
    <w:p w14:paraId="4754FBEB">
      <w:pPr>
        <w:tabs>
          <w:tab w:val="left" w:pos="280"/>
        </w:tabs>
        <w:bidi w:val="0"/>
        <w:jc w:val="left"/>
        <w:rPr>
          <w:rFonts w:hint="eastAsia" w:eastAsia="宋体"/>
          <w:sz w:val="30"/>
          <w:szCs w:val="30"/>
          <w:lang w:eastAsia="zh-CN"/>
        </w:rPr>
      </w:pPr>
    </w:p>
    <w:p w14:paraId="5BBA11F2">
      <w:pPr>
        <w:tabs>
          <w:tab w:val="left" w:pos="280"/>
        </w:tabs>
        <w:bidi w:val="0"/>
        <w:jc w:val="left"/>
        <w:rPr>
          <w:rFonts w:hint="eastAsia" w:eastAsia="宋体"/>
          <w:sz w:val="30"/>
          <w:szCs w:val="30"/>
          <w:lang w:eastAsia="zh-CN"/>
        </w:rPr>
      </w:pPr>
      <w:r>
        <w:rPr>
          <w:rFonts w:hint="eastAsia" w:eastAsia="宋体"/>
          <w:sz w:val="30"/>
          <w:szCs w:val="30"/>
          <w:lang w:eastAsia="zh-CN"/>
        </w:rPr>
        <w:t>Very importantly, Moses himself, under the influence of the prophetic Spirit, spoke of this turn of events, and of a good deal more besides.</w:t>
      </w:r>
    </w:p>
    <w:p w14:paraId="445CA69C">
      <w:pPr>
        <w:tabs>
          <w:tab w:val="left" w:pos="280"/>
        </w:tabs>
        <w:bidi w:val="0"/>
        <w:jc w:val="left"/>
        <w:rPr>
          <w:rFonts w:hint="eastAsia" w:eastAsia="宋体"/>
          <w:sz w:val="30"/>
          <w:szCs w:val="30"/>
          <w:lang w:eastAsia="zh-CN"/>
        </w:rPr>
      </w:pPr>
      <w:r>
        <w:rPr>
          <w:rFonts w:hint="eastAsia" w:eastAsia="宋体"/>
          <w:sz w:val="30"/>
          <w:szCs w:val="30"/>
          <w:lang w:eastAsia="zh-CN"/>
        </w:rPr>
        <w:t>非常重要的是，摩西自己，在预言之灵的影响下，谈到了这一系列事件，以及更多的事情。</w:t>
      </w:r>
    </w:p>
    <w:p w14:paraId="1B351BB1">
      <w:pPr>
        <w:tabs>
          <w:tab w:val="left" w:pos="280"/>
        </w:tabs>
        <w:bidi w:val="0"/>
        <w:jc w:val="left"/>
        <w:rPr>
          <w:rFonts w:hint="eastAsia" w:eastAsia="宋体"/>
          <w:sz w:val="30"/>
          <w:szCs w:val="30"/>
          <w:lang w:eastAsia="zh-CN"/>
        </w:rPr>
      </w:pPr>
    </w:p>
    <w:p w14:paraId="0D636FE8">
      <w:pPr>
        <w:tabs>
          <w:tab w:val="left" w:pos="280"/>
        </w:tabs>
        <w:bidi w:val="0"/>
        <w:jc w:val="left"/>
        <w:rPr>
          <w:rFonts w:hint="eastAsia" w:eastAsia="宋体"/>
          <w:sz w:val="30"/>
          <w:szCs w:val="30"/>
          <w:lang w:eastAsia="zh-CN"/>
        </w:rPr>
      </w:pPr>
      <w:r>
        <w:rPr>
          <w:rFonts w:hint="eastAsia" w:eastAsia="宋体"/>
          <w:sz w:val="30"/>
          <w:szCs w:val="30"/>
          <w:lang w:eastAsia="zh-CN"/>
        </w:rPr>
        <w:t>In a farewell discourse delivered to Israel just prior to his death and their entrance into Canaan, he fully enunciated the rewards of obedience to the Law (Deut. 28:1-14), as well as the perils of disobedience.</w:t>
      </w:r>
    </w:p>
    <w:p w14:paraId="6779AB50">
      <w:pPr>
        <w:tabs>
          <w:tab w:val="left" w:pos="280"/>
        </w:tabs>
        <w:bidi w:val="0"/>
        <w:jc w:val="left"/>
        <w:rPr>
          <w:rFonts w:hint="eastAsia" w:eastAsia="宋体"/>
          <w:sz w:val="30"/>
          <w:szCs w:val="30"/>
          <w:lang w:eastAsia="zh-CN"/>
        </w:rPr>
      </w:pPr>
      <w:r>
        <w:rPr>
          <w:rFonts w:hint="eastAsia" w:eastAsia="宋体"/>
          <w:sz w:val="30"/>
          <w:szCs w:val="30"/>
          <w:lang w:eastAsia="zh-CN"/>
        </w:rPr>
        <w:t>在他去世和他们进入迦南之前，向以色列发表的告别讲论中，他充分阐述了顺服律法的奖赏（申 28:1-14），以及不顺服的危险。</w:t>
      </w:r>
    </w:p>
    <w:p w14:paraId="2A76AD1D">
      <w:pPr>
        <w:tabs>
          <w:tab w:val="left" w:pos="280"/>
        </w:tabs>
        <w:bidi w:val="0"/>
        <w:jc w:val="left"/>
        <w:rPr>
          <w:rFonts w:hint="eastAsia" w:eastAsia="宋体"/>
          <w:sz w:val="30"/>
          <w:szCs w:val="30"/>
          <w:lang w:eastAsia="zh-CN"/>
        </w:rPr>
      </w:pPr>
    </w:p>
    <w:p w14:paraId="0A14CD8E">
      <w:pPr>
        <w:tabs>
          <w:tab w:val="left" w:pos="280"/>
        </w:tabs>
        <w:bidi w:val="0"/>
        <w:jc w:val="left"/>
        <w:rPr>
          <w:rFonts w:hint="eastAsia" w:eastAsia="宋体"/>
          <w:sz w:val="30"/>
          <w:szCs w:val="30"/>
          <w:lang w:eastAsia="zh-CN"/>
        </w:rPr>
      </w:pPr>
      <w:r>
        <w:rPr>
          <w:rFonts w:hint="eastAsia" w:eastAsia="宋体"/>
          <w:sz w:val="30"/>
          <w:szCs w:val="30"/>
          <w:lang w:eastAsia="zh-CN"/>
        </w:rPr>
        <w:t>Prominent among them was exile from their new homeland (Deut. 28:15-68).</w:t>
      </w:r>
    </w:p>
    <w:p w14:paraId="45CF0D8A">
      <w:pPr>
        <w:tabs>
          <w:tab w:val="left" w:pos="280"/>
        </w:tabs>
        <w:bidi w:val="0"/>
        <w:jc w:val="left"/>
        <w:rPr>
          <w:rFonts w:hint="eastAsia" w:eastAsia="宋体"/>
          <w:sz w:val="30"/>
          <w:szCs w:val="30"/>
          <w:lang w:eastAsia="zh-CN"/>
        </w:rPr>
      </w:pPr>
      <w:r>
        <w:rPr>
          <w:rFonts w:hint="eastAsia" w:eastAsia="宋体"/>
          <w:sz w:val="30"/>
          <w:szCs w:val="30"/>
          <w:lang w:eastAsia="zh-CN"/>
        </w:rPr>
        <w:t>其中突出的是被逐出他们的新家园（申 28:15-68）。</w:t>
      </w:r>
    </w:p>
    <w:p w14:paraId="11AFD46A">
      <w:pPr>
        <w:tabs>
          <w:tab w:val="left" w:pos="280"/>
        </w:tabs>
        <w:bidi w:val="0"/>
        <w:jc w:val="left"/>
        <w:rPr>
          <w:rFonts w:hint="eastAsia" w:eastAsia="宋体"/>
          <w:sz w:val="30"/>
          <w:szCs w:val="30"/>
          <w:lang w:eastAsia="zh-CN"/>
        </w:rPr>
      </w:pPr>
    </w:p>
    <w:p w14:paraId="23F500AA">
      <w:pPr>
        <w:tabs>
          <w:tab w:val="left" w:pos="280"/>
        </w:tabs>
        <w:bidi w:val="0"/>
        <w:jc w:val="left"/>
        <w:rPr>
          <w:rFonts w:hint="eastAsia" w:eastAsia="宋体"/>
          <w:sz w:val="30"/>
          <w:szCs w:val="30"/>
          <w:lang w:eastAsia="zh-CN"/>
        </w:rPr>
      </w:pPr>
      <w:r>
        <w:rPr>
          <w:rFonts w:hint="eastAsia" w:eastAsia="宋体"/>
          <w:sz w:val="30"/>
          <w:szCs w:val="30"/>
          <w:lang w:eastAsia="zh-CN"/>
        </w:rPr>
        <w:t>In his discourse, Moses went on to lament Israel’s hardness of heart, a hardness that he predicted would lead to future idolatry, judgment, and expulsion from Canaan (Deut. 29:22-28).</w:t>
      </w:r>
    </w:p>
    <w:p w14:paraId="7EA71566">
      <w:pPr>
        <w:tabs>
          <w:tab w:val="left" w:pos="280"/>
        </w:tabs>
        <w:bidi w:val="0"/>
        <w:jc w:val="left"/>
        <w:rPr>
          <w:rFonts w:hint="eastAsia" w:eastAsia="宋体"/>
          <w:sz w:val="30"/>
          <w:szCs w:val="30"/>
          <w:lang w:eastAsia="zh-CN"/>
        </w:rPr>
      </w:pPr>
      <w:r>
        <w:rPr>
          <w:rFonts w:hint="eastAsia" w:eastAsia="宋体"/>
          <w:sz w:val="30"/>
          <w:szCs w:val="30"/>
          <w:lang w:eastAsia="zh-CN"/>
        </w:rPr>
        <w:t>在他的讲论中，摩西接着哀叹以色列的心硬，他预言这种心硬将导致未来的偶像崇拜、审判和被逐出迦南（申 29:22-28）。</w:t>
      </w:r>
    </w:p>
    <w:p w14:paraId="1B2A58EF">
      <w:pPr>
        <w:tabs>
          <w:tab w:val="left" w:pos="280"/>
        </w:tabs>
        <w:bidi w:val="0"/>
        <w:jc w:val="left"/>
        <w:rPr>
          <w:rFonts w:hint="eastAsia" w:eastAsia="宋体"/>
          <w:sz w:val="30"/>
          <w:szCs w:val="30"/>
          <w:lang w:eastAsia="zh-CN"/>
        </w:rPr>
      </w:pPr>
    </w:p>
    <w:p w14:paraId="5326462D">
      <w:pPr>
        <w:tabs>
          <w:tab w:val="left" w:pos="280"/>
        </w:tabs>
        <w:bidi w:val="0"/>
        <w:jc w:val="left"/>
        <w:rPr>
          <w:rFonts w:hint="eastAsia" w:eastAsia="宋体"/>
          <w:sz w:val="30"/>
          <w:szCs w:val="30"/>
          <w:lang w:eastAsia="zh-CN"/>
        </w:rPr>
      </w:pPr>
      <w:r>
        <w:rPr>
          <w:rFonts w:hint="eastAsia" w:eastAsia="宋体"/>
          <w:sz w:val="30"/>
          <w:szCs w:val="30"/>
          <w:lang w:eastAsia="zh-CN"/>
        </w:rPr>
        <w:t>However, in one of the Old Testament’s earliest and most important Kingdom prophecies, he also encouraged the LORD’s faithful saints with this expansive promise of return and restoration:</w:t>
      </w:r>
    </w:p>
    <w:p w14:paraId="3B4682D4">
      <w:pPr>
        <w:tabs>
          <w:tab w:val="left" w:pos="280"/>
        </w:tabs>
        <w:bidi w:val="0"/>
        <w:jc w:val="left"/>
        <w:rPr>
          <w:rFonts w:hint="eastAsia" w:eastAsia="宋体"/>
          <w:sz w:val="30"/>
          <w:szCs w:val="30"/>
          <w:lang w:eastAsia="zh-CN"/>
        </w:rPr>
      </w:pPr>
      <w:r>
        <w:rPr>
          <w:rFonts w:hint="eastAsia" w:eastAsia="宋体"/>
          <w:sz w:val="30"/>
          <w:szCs w:val="30"/>
          <w:lang w:eastAsia="zh-CN"/>
        </w:rPr>
        <w:t>然而，在旧约最早且最重要的国度预言之一中，他也用这个广阔的回归和恢复应许来鼓励主的忠信圣徒：</w:t>
      </w:r>
    </w:p>
    <w:p w14:paraId="52F8AD4C">
      <w:pPr>
        <w:tabs>
          <w:tab w:val="left" w:pos="280"/>
        </w:tabs>
        <w:bidi w:val="0"/>
        <w:jc w:val="left"/>
        <w:rPr>
          <w:rFonts w:hint="eastAsia" w:eastAsia="宋体"/>
          <w:sz w:val="30"/>
          <w:szCs w:val="30"/>
          <w:lang w:eastAsia="zh-CN"/>
        </w:rPr>
      </w:pPr>
    </w:p>
    <w:p w14:paraId="7922CABA">
      <w:pPr>
        <w:tabs>
          <w:tab w:val="left" w:pos="280"/>
        </w:tabs>
        <w:bidi w:val="0"/>
        <w:jc w:val="left"/>
        <w:rPr>
          <w:rFonts w:hint="eastAsia" w:eastAsia="宋体"/>
          <w:sz w:val="30"/>
          <w:szCs w:val="30"/>
          <w:lang w:eastAsia="zh-CN"/>
        </w:rPr>
      </w:pPr>
      <w:r>
        <w:rPr>
          <w:rFonts w:hint="eastAsia" w:eastAsia="宋体"/>
          <w:sz w:val="30"/>
          <w:szCs w:val="30"/>
          <w:lang w:eastAsia="zh-CN"/>
        </w:rPr>
        <w:t>Now it shall come to pass, when all these things come upon you, the blessing and the curse which I have set before you, and you call them to mind among all the nations where the LORD your God drives you, and you return to the LORD your God and obey His voice, according to all that I command you today, you and your children, with all your heart and with all your soul, that the LORD your God will bring you back from captivity, and have compassion on you, and gather you again from all the nations where the LORD your God has scattered you.</w:t>
      </w:r>
    </w:p>
    <w:p w14:paraId="3F047EF4">
      <w:pPr>
        <w:tabs>
          <w:tab w:val="left" w:pos="280"/>
        </w:tabs>
        <w:bidi w:val="0"/>
        <w:jc w:val="left"/>
        <w:rPr>
          <w:rFonts w:hint="eastAsia" w:eastAsia="宋体"/>
          <w:sz w:val="30"/>
          <w:szCs w:val="30"/>
          <w:lang w:eastAsia="zh-CN"/>
        </w:rPr>
      </w:pPr>
      <w:r>
        <w:rPr>
          <w:rFonts w:hint="eastAsia" w:eastAsia="宋体"/>
          <w:sz w:val="30"/>
          <w:szCs w:val="30"/>
          <w:lang w:eastAsia="zh-CN"/>
        </w:rPr>
        <w:t>日后你遭遇这一切事，就是我所陈明在你面前的福与祸，你在耶和华你上帝赶逐你到的万国中，必心里追念祝福和咒诅。你和你的子孙若尽心尽性归向耶和华你的上帝，照我今日所吩咐你的一切听从祂的话，那时，耶和华你的上帝必怜恤你，救回你这被掳的子民，耶和华你的上帝要再从分散你到的万民中，将你招聚回来。</w:t>
      </w:r>
    </w:p>
    <w:p w14:paraId="7EFE70A5">
      <w:pPr>
        <w:tabs>
          <w:tab w:val="left" w:pos="280"/>
        </w:tabs>
        <w:bidi w:val="0"/>
        <w:jc w:val="left"/>
        <w:rPr>
          <w:rFonts w:hint="eastAsia" w:eastAsia="宋体"/>
          <w:sz w:val="30"/>
          <w:szCs w:val="30"/>
          <w:lang w:eastAsia="zh-CN"/>
        </w:rPr>
      </w:pPr>
    </w:p>
    <w:p w14:paraId="3B95755C">
      <w:pPr>
        <w:tabs>
          <w:tab w:val="left" w:pos="280"/>
        </w:tabs>
        <w:bidi w:val="0"/>
        <w:jc w:val="left"/>
        <w:rPr>
          <w:rFonts w:hint="eastAsia" w:eastAsia="宋体"/>
          <w:sz w:val="30"/>
          <w:szCs w:val="30"/>
          <w:lang w:eastAsia="zh-CN"/>
        </w:rPr>
      </w:pPr>
      <w:r>
        <w:rPr>
          <w:rFonts w:hint="eastAsia" w:eastAsia="宋体"/>
          <w:sz w:val="30"/>
          <w:szCs w:val="30"/>
          <w:lang w:eastAsia="zh-CN"/>
        </w:rPr>
        <w:t>If any of you are driven out to the farthest parts under heaven, from there the LORD your God will gather you, and from there He will bring you.</w:t>
      </w:r>
    </w:p>
    <w:p w14:paraId="123A914E">
      <w:pPr>
        <w:tabs>
          <w:tab w:val="left" w:pos="280"/>
        </w:tabs>
        <w:bidi w:val="0"/>
        <w:jc w:val="left"/>
        <w:rPr>
          <w:rFonts w:hint="eastAsia" w:eastAsia="宋体"/>
          <w:sz w:val="30"/>
          <w:szCs w:val="30"/>
          <w:lang w:eastAsia="zh-CN"/>
        </w:rPr>
      </w:pPr>
      <w:r>
        <w:rPr>
          <w:rFonts w:hint="eastAsia" w:eastAsia="宋体"/>
          <w:sz w:val="30"/>
          <w:szCs w:val="30"/>
          <w:lang w:eastAsia="zh-CN"/>
        </w:rPr>
        <w:t>你被赶散的人，就是在天涯，耶和华你的上帝也必从那里将你招聚回来。</w:t>
      </w:r>
    </w:p>
    <w:p w14:paraId="2D5D1DC3">
      <w:pPr>
        <w:tabs>
          <w:tab w:val="left" w:pos="280"/>
        </w:tabs>
        <w:bidi w:val="0"/>
        <w:jc w:val="left"/>
        <w:rPr>
          <w:rFonts w:hint="eastAsia" w:eastAsia="宋体"/>
          <w:sz w:val="30"/>
          <w:szCs w:val="30"/>
          <w:lang w:eastAsia="zh-CN"/>
        </w:rPr>
      </w:pPr>
    </w:p>
    <w:p w14:paraId="59530908">
      <w:pPr>
        <w:tabs>
          <w:tab w:val="left" w:pos="280"/>
        </w:tabs>
        <w:bidi w:val="0"/>
        <w:jc w:val="left"/>
        <w:rPr>
          <w:rFonts w:hint="eastAsia" w:eastAsia="宋体"/>
          <w:sz w:val="30"/>
          <w:szCs w:val="30"/>
          <w:lang w:eastAsia="zh-CN"/>
        </w:rPr>
      </w:pPr>
      <w:r>
        <w:rPr>
          <w:rFonts w:hint="eastAsia" w:eastAsia="宋体"/>
          <w:sz w:val="30"/>
          <w:szCs w:val="30"/>
          <w:lang w:eastAsia="zh-CN"/>
        </w:rPr>
        <w:t>Then the LORD your God will bring you to the land that your fathers possessed, and you shall possess it.</w:t>
      </w:r>
    </w:p>
    <w:p w14:paraId="3DE746EC">
      <w:pPr>
        <w:tabs>
          <w:tab w:val="left" w:pos="280"/>
        </w:tabs>
        <w:bidi w:val="0"/>
        <w:jc w:val="left"/>
        <w:rPr>
          <w:rFonts w:hint="eastAsia" w:eastAsia="宋体"/>
          <w:sz w:val="30"/>
          <w:szCs w:val="30"/>
          <w:lang w:eastAsia="zh-CN"/>
        </w:rPr>
      </w:pPr>
      <w:r>
        <w:rPr>
          <w:rFonts w:hint="eastAsia" w:eastAsia="宋体"/>
          <w:sz w:val="30"/>
          <w:szCs w:val="30"/>
          <w:lang w:eastAsia="zh-CN"/>
        </w:rPr>
        <w:t>耶和华你的上帝必领你进入你列祖所得之地，使你可以得着。</w:t>
      </w:r>
    </w:p>
    <w:p w14:paraId="61EF9823">
      <w:pPr>
        <w:tabs>
          <w:tab w:val="left" w:pos="280"/>
        </w:tabs>
        <w:bidi w:val="0"/>
        <w:jc w:val="left"/>
        <w:rPr>
          <w:rFonts w:hint="eastAsia" w:eastAsia="宋体"/>
          <w:sz w:val="30"/>
          <w:szCs w:val="30"/>
          <w:lang w:eastAsia="zh-CN"/>
        </w:rPr>
      </w:pPr>
    </w:p>
    <w:p w14:paraId="7D632547">
      <w:pPr>
        <w:tabs>
          <w:tab w:val="left" w:pos="280"/>
        </w:tabs>
        <w:bidi w:val="0"/>
        <w:jc w:val="left"/>
        <w:rPr>
          <w:rFonts w:hint="eastAsia" w:eastAsia="宋体"/>
          <w:sz w:val="30"/>
          <w:szCs w:val="30"/>
          <w:lang w:eastAsia="zh-CN"/>
        </w:rPr>
      </w:pPr>
      <w:r>
        <w:rPr>
          <w:rFonts w:hint="eastAsia" w:eastAsia="宋体"/>
          <w:sz w:val="30"/>
          <w:szCs w:val="30"/>
          <w:lang w:eastAsia="zh-CN"/>
        </w:rPr>
        <w:t>He will prosper you and multiply you more than your fathers.</w:t>
      </w:r>
    </w:p>
    <w:p w14:paraId="171855CC">
      <w:pPr>
        <w:tabs>
          <w:tab w:val="left" w:pos="280"/>
        </w:tabs>
        <w:bidi w:val="0"/>
        <w:jc w:val="left"/>
        <w:rPr>
          <w:rFonts w:hint="eastAsia" w:eastAsia="宋体"/>
          <w:sz w:val="30"/>
          <w:szCs w:val="30"/>
          <w:lang w:eastAsia="zh-CN"/>
        </w:rPr>
      </w:pPr>
      <w:r>
        <w:rPr>
          <w:rFonts w:hint="eastAsia" w:eastAsia="宋体"/>
          <w:sz w:val="30"/>
          <w:szCs w:val="30"/>
          <w:lang w:eastAsia="zh-CN"/>
        </w:rPr>
        <w:t>祂必善待你，使你的人数比你列祖众多。</w:t>
      </w:r>
    </w:p>
    <w:p w14:paraId="6DFEA051">
      <w:pPr>
        <w:tabs>
          <w:tab w:val="left" w:pos="280"/>
        </w:tabs>
        <w:bidi w:val="0"/>
        <w:jc w:val="left"/>
        <w:rPr>
          <w:rFonts w:hint="eastAsia" w:eastAsia="宋体"/>
          <w:sz w:val="30"/>
          <w:szCs w:val="30"/>
          <w:lang w:eastAsia="zh-CN"/>
        </w:rPr>
      </w:pPr>
    </w:p>
    <w:p w14:paraId="44611291">
      <w:pPr>
        <w:tabs>
          <w:tab w:val="left" w:pos="280"/>
        </w:tabs>
        <w:bidi w:val="0"/>
        <w:jc w:val="left"/>
        <w:rPr>
          <w:rFonts w:hint="eastAsia" w:eastAsia="宋体"/>
          <w:sz w:val="30"/>
          <w:szCs w:val="30"/>
          <w:lang w:eastAsia="zh-CN"/>
        </w:rPr>
      </w:pPr>
      <w:r>
        <w:rPr>
          <w:rFonts w:hint="eastAsia" w:eastAsia="宋体"/>
          <w:sz w:val="30"/>
          <w:szCs w:val="30"/>
          <w:lang w:eastAsia="zh-CN"/>
        </w:rPr>
        <w:t>And the LORD your God will circumcise your heart, and the heart of your descendants, to love the LORD your God with all your heart and with all your soul, that you may live.</w:t>
      </w:r>
    </w:p>
    <w:p w14:paraId="2274A64F">
      <w:pPr>
        <w:tabs>
          <w:tab w:val="left" w:pos="280"/>
        </w:tabs>
        <w:bidi w:val="0"/>
        <w:jc w:val="left"/>
        <w:rPr>
          <w:rFonts w:hint="eastAsia" w:eastAsia="宋体"/>
          <w:sz w:val="30"/>
          <w:szCs w:val="30"/>
          <w:lang w:eastAsia="zh-CN"/>
        </w:rPr>
      </w:pPr>
      <w:r>
        <w:rPr>
          <w:rFonts w:hint="eastAsia" w:eastAsia="宋体"/>
          <w:sz w:val="30"/>
          <w:szCs w:val="30"/>
          <w:lang w:eastAsia="zh-CN"/>
        </w:rPr>
        <w:t>耶和华你上帝必将你心里和你后裔心里的污秽除掉，好叫你尽心尽性爱耶和华你的上帝，使你可以存活。</w:t>
      </w:r>
    </w:p>
    <w:p w14:paraId="1D7EBA8A">
      <w:pPr>
        <w:tabs>
          <w:tab w:val="left" w:pos="280"/>
        </w:tabs>
        <w:bidi w:val="0"/>
        <w:jc w:val="left"/>
        <w:rPr>
          <w:rFonts w:hint="eastAsia" w:eastAsia="宋体"/>
          <w:sz w:val="30"/>
          <w:szCs w:val="30"/>
          <w:lang w:eastAsia="zh-CN"/>
        </w:rPr>
      </w:pPr>
    </w:p>
    <w:p w14:paraId="2F9BA268">
      <w:pPr>
        <w:tabs>
          <w:tab w:val="left" w:pos="280"/>
        </w:tabs>
        <w:bidi w:val="0"/>
        <w:jc w:val="left"/>
        <w:rPr>
          <w:rFonts w:hint="eastAsia" w:eastAsia="宋体"/>
          <w:sz w:val="30"/>
          <w:szCs w:val="30"/>
          <w:lang w:eastAsia="zh-CN"/>
        </w:rPr>
      </w:pPr>
      <w:r>
        <w:rPr>
          <w:rFonts w:hint="eastAsia" w:eastAsia="宋体"/>
          <w:sz w:val="30"/>
          <w:szCs w:val="30"/>
          <w:lang w:eastAsia="zh-CN"/>
        </w:rPr>
        <w:t>Also, the LORD your God will put all these curses on your enemies and on those who hate you, who persecuted you.</w:t>
      </w:r>
    </w:p>
    <w:p w14:paraId="6B977AD6">
      <w:pPr>
        <w:tabs>
          <w:tab w:val="left" w:pos="280"/>
        </w:tabs>
        <w:bidi w:val="0"/>
        <w:jc w:val="left"/>
        <w:rPr>
          <w:rFonts w:hint="eastAsia" w:eastAsia="宋体"/>
          <w:sz w:val="30"/>
          <w:szCs w:val="30"/>
          <w:lang w:eastAsia="zh-CN"/>
        </w:rPr>
      </w:pPr>
      <w:r>
        <w:rPr>
          <w:rFonts w:hint="eastAsia" w:eastAsia="宋体"/>
          <w:sz w:val="30"/>
          <w:szCs w:val="30"/>
          <w:lang w:eastAsia="zh-CN"/>
        </w:rPr>
        <w:t>耶和华你的上帝必将这一切咒诅加在你仇敌和恨恶你、逼迫你的人身上。</w:t>
      </w:r>
    </w:p>
    <w:p w14:paraId="7C37BE05">
      <w:pPr>
        <w:tabs>
          <w:tab w:val="left" w:pos="280"/>
        </w:tabs>
        <w:bidi w:val="0"/>
        <w:jc w:val="left"/>
        <w:rPr>
          <w:rFonts w:hint="eastAsia" w:eastAsia="宋体"/>
          <w:sz w:val="30"/>
          <w:szCs w:val="30"/>
          <w:lang w:eastAsia="zh-CN"/>
        </w:rPr>
      </w:pPr>
    </w:p>
    <w:p w14:paraId="52524A07">
      <w:pPr>
        <w:tabs>
          <w:tab w:val="left" w:pos="280"/>
        </w:tabs>
        <w:bidi w:val="0"/>
        <w:jc w:val="left"/>
        <w:rPr>
          <w:rFonts w:hint="eastAsia" w:eastAsia="宋体"/>
          <w:sz w:val="30"/>
          <w:szCs w:val="30"/>
          <w:lang w:eastAsia="zh-CN"/>
        </w:rPr>
      </w:pPr>
      <w:r>
        <w:rPr>
          <w:rFonts w:hint="eastAsia" w:eastAsia="宋体"/>
          <w:sz w:val="30"/>
          <w:szCs w:val="30"/>
          <w:lang w:eastAsia="zh-CN"/>
        </w:rPr>
        <w:t>And you will again obey the voice of the LORD and do all His commandments which I command you today.</w:t>
      </w:r>
    </w:p>
    <w:p w14:paraId="3AA836F4">
      <w:pPr>
        <w:tabs>
          <w:tab w:val="left" w:pos="280"/>
        </w:tabs>
        <w:bidi w:val="0"/>
        <w:jc w:val="left"/>
        <w:rPr>
          <w:rFonts w:hint="eastAsia" w:eastAsia="宋体"/>
          <w:sz w:val="30"/>
          <w:szCs w:val="30"/>
          <w:lang w:eastAsia="zh-CN"/>
        </w:rPr>
      </w:pPr>
      <w:r>
        <w:rPr>
          <w:rFonts w:hint="eastAsia" w:eastAsia="宋体"/>
          <w:sz w:val="30"/>
          <w:szCs w:val="30"/>
          <w:lang w:eastAsia="zh-CN"/>
        </w:rPr>
        <w:t>你必归回，听从耶和华的话，遵行祂的一切诫命，就是我今日所吩咐你的。</w:t>
      </w:r>
    </w:p>
    <w:p w14:paraId="663257FD">
      <w:pPr>
        <w:tabs>
          <w:tab w:val="left" w:pos="280"/>
        </w:tabs>
        <w:bidi w:val="0"/>
        <w:jc w:val="left"/>
        <w:rPr>
          <w:rFonts w:hint="eastAsia" w:eastAsia="宋体"/>
          <w:sz w:val="30"/>
          <w:szCs w:val="30"/>
          <w:lang w:eastAsia="zh-CN"/>
        </w:rPr>
      </w:pPr>
    </w:p>
    <w:p w14:paraId="124DBA82">
      <w:pPr>
        <w:tabs>
          <w:tab w:val="left" w:pos="280"/>
        </w:tabs>
        <w:bidi w:val="0"/>
        <w:jc w:val="left"/>
        <w:rPr>
          <w:rFonts w:hint="eastAsia" w:eastAsia="宋体"/>
          <w:sz w:val="30"/>
          <w:szCs w:val="30"/>
          <w:lang w:eastAsia="zh-CN"/>
        </w:rPr>
      </w:pPr>
      <w:r>
        <w:rPr>
          <w:rFonts w:hint="eastAsia" w:eastAsia="宋体"/>
          <w:sz w:val="30"/>
          <w:szCs w:val="30"/>
          <w:lang w:eastAsia="zh-CN"/>
        </w:rPr>
        <w:t>The LORD your God will make you abound in all the work of your hand, in the fruit of your body, in the increase of your livestock, and in the produce of your land for good.</w:t>
      </w:r>
    </w:p>
    <w:p w14:paraId="7B8AACC4">
      <w:pPr>
        <w:tabs>
          <w:tab w:val="left" w:pos="280"/>
        </w:tabs>
        <w:bidi w:val="0"/>
        <w:jc w:val="left"/>
        <w:rPr>
          <w:rFonts w:hint="eastAsia" w:eastAsia="宋体"/>
          <w:sz w:val="30"/>
          <w:szCs w:val="30"/>
          <w:lang w:eastAsia="zh-CN"/>
        </w:rPr>
      </w:pPr>
      <w:r>
        <w:rPr>
          <w:rFonts w:hint="eastAsia" w:eastAsia="宋体"/>
          <w:sz w:val="30"/>
          <w:szCs w:val="30"/>
          <w:lang w:eastAsia="zh-CN"/>
        </w:rPr>
        <w:t>你若听从耶和华你上帝的话，谨守这律法书上所写的诫命、律例，又尽心尽性归向耶和华你的上帝，祂必使你手里所办的一切事，并你身所生的，牲畜所下的，地土所产的，都绰绰有余，因为耶和华必再喜悦你，降福与你，像从前喜悦你列祖一样。</w:t>
      </w:r>
    </w:p>
    <w:p w14:paraId="48F6EA26">
      <w:pPr>
        <w:tabs>
          <w:tab w:val="left" w:pos="280"/>
        </w:tabs>
        <w:bidi w:val="0"/>
        <w:jc w:val="left"/>
        <w:rPr>
          <w:rFonts w:hint="eastAsia" w:eastAsia="宋体"/>
          <w:sz w:val="30"/>
          <w:szCs w:val="30"/>
          <w:lang w:eastAsia="zh-CN"/>
        </w:rPr>
      </w:pPr>
    </w:p>
    <w:p w14:paraId="79648688">
      <w:pPr>
        <w:tabs>
          <w:tab w:val="left" w:pos="280"/>
        </w:tabs>
        <w:bidi w:val="0"/>
        <w:jc w:val="left"/>
        <w:rPr>
          <w:rFonts w:hint="eastAsia" w:eastAsia="宋体"/>
          <w:sz w:val="30"/>
          <w:szCs w:val="30"/>
          <w:lang w:eastAsia="zh-CN"/>
        </w:rPr>
      </w:pPr>
      <w:r>
        <w:rPr>
          <w:rFonts w:hint="eastAsia" w:eastAsia="宋体"/>
          <w:sz w:val="30"/>
          <w:szCs w:val="30"/>
          <w:lang w:eastAsia="zh-CN"/>
        </w:rPr>
        <w:t>For the LORD will again rejoice over you for good as He rejoiced over your fathers, if you obey the voice of the LORD your God, to keep His commandments and His statutes which are written in this Book of the Law, and if you turn to the LORD your God with all your heart and with all your soul.</w:t>
      </w:r>
    </w:p>
    <w:p w14:paraId="4E80F258">
      <w:pPr>
        <w:tabs>
          <w:tab w:val="left" w:pos="280"/>
        </w:tabs>
        <w:bidi w:val="0"/>
        <w:jc w:val="left"/>
        <w:rPr>
          <w:rFonts w:hint="eastAsia" w:eastAsia="宋体"/>
          <w:sz w:val="30"/>
          <w:szCs w:val="30"/>
          <w:lang w:eastAsia="zh-CN"/>
        </w:rPr>
      </w:pPr>
      <w:r>
        <w:rPr>
          <w:rFonts w:hint="eastAsia" w:eastAsia="宋体"/>
          <w:sz w:val="30"/>
          <w:szCs w:val="30"/>
          <w:lang w:eastAsia="zh-CN"/>
        </w:rPr>
        <w:t>因为耶和华必再喜悦你，降福与你，像从前喜悦你列祖一样，你若听从耶和华你上帝的话，谨守这律法书上所写的诫命、律例，又尽心尽性归向耶和华你的上帝。</w:t>
      </w:r>
    </w:p>
    <w:p w14:paraId="70EB5CA0">
      <w:pPr>
        <w:tabs>
          <w:tab w:val="left" w:pos="280"/>
        </w:tabs>
        <w:bidi w:val="0"/>
        <w:jc w:val="left"/>
        <w:rPr>
          <w:rFonts w:hint="eastAsia" w:eastAsia="宋体"/>
          <w:sz w:val="30"/>
          <w:szCs w:val="30"/>
          <w:lang w:eastAsia="zh-CN"/>
        </w:rPr>
      </w:pPr>
    </w:p>
    <w:p w14:paraId="2AC8B1C0">
      <w:pPr>
        <w:tabs>
          <w:tab w:val="left" w:pos="280"/>
        </w:tabs>
        <w:bidi w:val="0"/>
        <w:jc w:val="left"/>
        <w:rPr>
          <w:rFonts w:hint="eastAsia" w:eastAsia="宋体"/>
          <w:sz w:val="30"/>
          <w:szCs w:val="30"/>
          <w:lang w:eastAsia="zh-CN"/>
        </w:rPr>
      </w:pPr>
      <w:r>
        <w:rPr>
          <w:rFonts w:hint="eastAsia" w:eastAsia="宋体"/>
          <w:sz w:val="30"/>
          <w:szCs w:val="30"/>
          <w:lang w:eastAsia="zh-CN"/>
        </w:rPr>
        <w:t>—Deut. 30:1-10</w:t>
      </w:r>
    </w:p>
    <w:p w14:paraId="6A2E1D2F">
      <w:pPr>
        <w:tabs>
          <w:tab w:val="left" w:pos="280"/>
        </w:tabs>
        <w:bidi w:val="0"/>
        <w:jc w:val="left"/>
        <w:rPr>
          <w:rFonts w:hint="eastAsia" w:eastAsia="宋体"/>
          <w:sz w:val="30"/>
          <w:szCs w:val="30"/>
          <w:lang w:eastAsia="zh-CN"/>
        </w:rPr>
      </w:pPr>
      <w:r>
        <w:rPr>
          <w:rFonts w:hint="eastAsia" w:eastAsia="宋体"/>
          <w:sz w:val="30"/>
          <w:szCs w:val="30"/>
          <w:lang w:eastAsia="zh-CN"/>
        </w:rPr>
        <w:t>—申 30:1-10</w:t>
      </w:r>
    </w:p>
    <w:p w14:paraId="0E392532">
      <w:pPr>
        <w:tabs>
          <w:tab w:val="left" w:pos="280"/>
        </w:tabs>
        <w:bidi w:val="0"/>
        <w:jc w:val="left"/>
        <w:rPr>
          <w:rFonts w:hint="eastAsia" w:eastAsia="宋体"/>
          <w:sz w:val="30"/>
          <w:szCs w:val="30"/>
          <w:lang w:eastAsia="zh-CN"/>
        </w:rPr>
      </w:pPr>
    </w:p>
    <w:p w14:paraId="1057B720">
      <w:pPr>
        <w:tabs>
          <w:tab w:val="left" w:pos="280"/>
        </w:tabs>
        <w:bidi w:val="0"/>
        <w:jc w:val="left"/>
        <w:rPr>
          <w:rFonts w:hint="eastAsia" w:eastAsia="宋体"/>
          <w:sz w:val="30"/>
          <w:szCs w:val="30"/>
          <w:lang w:eastAsia="zh-CN"/>
        </w:rPr>
      </w:pPr>
      <w:r>
        <w:rPr>
          <w:rFonts w:hint="eastAsia" w:eastAsia="宋体"/>
          <w:sz w:val="30"/>
          <w:szCs w:val="30"/>
          <w:lang w:eastAsia="zh-CN"/>
        </w:rPr>
        <w:t>These pregnant words contain levels of meaning discernible only tothose who live in “the fullness of time”, to those who have actually entered into the Covenant and Kingdom of which Moses here mystically spoke.</w:t>
      </w:r>
    </w:p>
    <w:p w14:paraId="5D6CF2C5">
      <w:pPr>
        <w:tabs>
          <w:tab w:val="left" w:pos="280"/>
        </w:tabs>
        <w:bidi w:val="0"/>
        <w:jc w:val="left"/>
        <w:rPr>
          <w:rFonts w:hint="eastAsia" w:eastAsia="宋体"/>
          <w:sz w:val="30"/>
          <w:szCs w:val="30"/>
          <w:lang w:eastAsia="zh-CN"/>
        </w:rPr>
      </w:pPr>
      <w:r>
        <w:rPr>
          <w:rFonts w:hint="eastAsia" w:eastAsia="宋体"/>
          <w:sz w:val="30"/>
          <w:szCs w:val="30"/>
          <w:lang w:eastAsia="zh-CN"/>
        </w:rPr>
        <w:t>这些意味深长的话语包含了只有生活在“时候满足”的人，只有那些真正进入了摩西在此处奥秘地谈论的圣约和国度的人，才能辨别的多层含义。</w:t>
      </w:r>
    </w:p>
    <w:p w14:paraId="11BF03E3">
      <w:pPr>
        <w:tabs>
          <w:tab w:val="left" w:pos="280"/>
        </w:tabs>
        <w:bidi w:val="0"/>
        <w:jc w:val="left"/>
        <w:rPr>
          <w:rFonts w:hint="eastAsia" w:eastAsia="宋体"/>
          <w:sz w:val="30"/>
          <w:szCs w:val="30"/>
          <w:lang w:eastAsia="zh-CN"/>
        </w:rPr>
      </w:pPr>
    </w:p>
    <w:p w14:paraId="322A814C">
      <w:pPr>
        <w:tabs>
          <w:tab w:val="left" w:pos="280"/>
        </w:tabs>
        <w:bidi w:val="0"/>
        <w:jc w:val="left"/>
        <w:rPr>
          <w:rFonts w:hint="eastAsia" w:eastAsia="宋体"/>
          <w:sz w:val="30"/>
          <w:szCs w:val="30"/>
          <w:lang w:eastAsia="zh-CN"/>
        </w:rPr>
      </w:pPr>
      <w:r>
        <w:rPr>
          <w:rFonts w:hint="eastAsia" w:eastAsia="宋体"/>
          <w:sz w:val="30"/>
          <w:szCs w:val="30"/>
          <w:lang w:eastAsia="zh-CN"/>
        </w:rPr>
        <w:t>By way of explanation, three brief points may be made, with more on this subject in the pages ahead.</w:t>
      </w:r>
    </w:p>
    <w:p w14:paraId="5FE4B3D4">
      <w:pPr>
        <w:tabs>
          <w:tab w:val="left" w:pos="280"/>
        </w:tabs>
        <w:bidi w:val="0"/>
        <w:jc w:val="left"/>
        <w:rPr>
          <w:rFonts w:hint="eastAsia" w:eastAsia="宋体"/>
          <w:sz w:val="30"/>
          <w:szCs w:val="30"/>
          <w:lang w:eastAsia="zh-CN"/>
        </w:rPr>
      </w:pPr>
      <w:r>
        <w:rPr>
          <w:rFonts w:hint="eastAsia" w:eastAsia="宋体"/>
          <w:sz w:val="30"/>
          <w:szCs w:val="30"/>
          <w:lang w:eastAsia="zh-CN"/>
        </w:rPr>
        <w:t>作为解释，可以提出三点简要说明，关于这个主题，接下来的篇幅将有更多内容。</w:t>
      </w:r>
    </w:p>
    <w:p w14:paraId="06398DEC">
      <w:pPr>
        <w:tabs>
          <w:tab w:val="left" w:pos="280"/>
        </w:tabs>
        <w:bidi w:val="0"/>
        <w:jc w:val="left"/>
        <w:rPr>
          <w:rFonts w:hint="eastAsia" w:eastAsia="宋体"/>
          <w:sz w:val="30"/>
          <w:szCs w:val="30"/>
          <w:lang w:eastAsia="zh-CN"/>
        </w:rPr>
      </w:pPr>
    </w:p>
    <w:p w14:paraId="4607A772">
      <w:pPr>
        <w:tabs>
          <w:tab w:val="left" w:pos="280"/>
        </w:tabs>
        <w:bidi w:val="0"/>
        <w:jc w:val="left"/>
        <w:rPr>
          <w:rFonts w:hint="eastAsia" w:eastAsia="宋体"/>
          <w:sz w:val="30"/>
          <w:szCs w:val="30"/>
          <w:lang w:eastAsia="zh-CN"/>
        </w:rPr>
      </w:pPr>
      <w:r>
        <w:rPr>
          <w:rFonts w:hint="eastAsia" w:eastAsia="宋体"/>
          <w:sz w:val="30"/>
          <w:szCs w:val="30"/>
          <w:lang w:eastAsia="zh-CN"/>
        </w:rPr>
        <w:t>First, a close reading of our text makes it clear that Moses is not simply speaking of an historical return and restoration, such as the one experienced under Ezra and Nehemiah.</w:t>
      </w:r>
    </w:p>
    <w:p w14:paraId="6337DA0E">
      <w:pPr>
        <w:tabs>
          <w:tab w:val="left" w:pos="280"/>
        </w:tabs>
        <w:bidi w:val="0"/>
        <w:jc w:val="left"/>
        <w:rPr>
          <w:rFonts w:hint="eastAsia" w:eastAsia="宋体"/>
          <w:sz w:val="30"/>
          <w:szCs w:val="30"/>
          <w:lang w:eastAsia="zh-CN"/>
        </w:rPr>
      </w:pPr>
      <w:r>
        <w:rPr>
          <w:rFonts w:hint="eastAsia" w:eastAsia="宋体"/>
          <w:sz w:val="30"/>
          <w:szCs w:val="30"/>
          <w:lang w:eastAsia="zh-CN"/>
        </w:rPr>
        <w:t>首先，仔细阅读我们的经文可以清楚地看到，摩西并不仅仅是在谈论一次历史性的回归和复兴，比如在以斯拉和尼希米时期所经历的那样。</w:t>
      </w:r>
    </w:p>
    <w:p w14:paraId="21C3E631">
      <w:pPr>
        <w:tabs>
          <w:tab w:val="left" w:pos="280"/>
        </w:tabs>
        <w:bidi w:val="0"/>
        <w:jc w:val="left"/>
        <w:rPr>
          <w:rFonts w:hint="eastAsia" w:eastAsia="宋体"/>
          <w:sz w:val="30"/>
          <w:szCs w:val="30"/>
          <w:lang w:eastAsia="zh-CN"/>
        </w:rPr>
      </w:pPr>
    </w:p>
    <w:p w14:paraId="2D6EC922">
      <w:pPr>
        <w:tabs>
          <w:tab w:val="left" w:pos="280"/>
        </w:tabs>
        <w:bidi w:val="0"/>
        <w:jc w:val="left"/>
        <w:rPr>
          <w:rFonts w:hint="eastAsia" w:eastAsia="宋体"/>
          <w:sz w:val="30"/>
          <w:szCs w:val="30"/>
          <w:lang w:eastAsia="zh-CN"/>
        </w:rPr>
      </w:pPr>
      <w:r>
        <w:rPr>
          <w:rFonts w:hint="eastAsia" w:eastAsia="宋体"/>
          <w:sz w:val="30"/>
          <w:szCs w:val="30"/>
          <w:lang w:eastAsia="zh-CN"/>
        </w:rPr>
        <w:t>Yes, that is partly in view, but only in the foreground, and only as a type of something far greater.</w:t>
      </w:r>
    </w:p>
    <w:p w14:paraId="2A091C88">
      <w:pPr>
        <w:tabs>
          <w:tab w:val="left" w:pos="280"/>
        </w:tabs>
        <w:bidi w:val="0"/>
        <w:jc w:val="left"/>
        <w:rPr>
          <w:rFonts w:hint="eastAsia" w:eastAsia="宋体"/>
          <w:sz w:val="30"/>
          <w:szCs w:val="30"/>
          <w:lang w:eastAsia="zh-CN"/>
        </w:rPr>
      </w:pPr>
      <w:r>
        <w:rPr>
          <w:rFonts w:hint="eastAsia" w:eastAsia="宋体"/>
          <w:sz w:val="30"/>
          <w:szCs w:val="30"/>
          <w:lang w:eastAsia="zh-CN"/>
        </w:rPr>
        <w:t>是的，那部分是在考虑之中，但只是在前景中，并且只是作为某种更伟大之事的预表。</w:t>
      </w:r>
    </w:p>
    <w:p w14:paraId="2D7E1B5B">
      <w:pPr>
        <w:tabs>
          <w:tab w:val="left" w:pos="280"/>
        </w:tabs>
        <w:bidi w:val="0"/>
        <w:jc w:val="left"/>
        <w:rPr>
          <w:rFonts w:hint="eastAsia" w:eastAsia="宋体"/>
          <w:sz w:val="30"/>
          <w:szCs w:val="30"/>
          <w:lang w:eastAsia="zh-CN"/>
        </w:rPr>
      </w:pPr>
    </w:p>
    <w:p w14:paraId="3CD45F5D">
      <w:pPr>
        <w:tabs>
          <w:tab w:val="left" w:pos="280"/>
        </w:tabs>
        <w:bidi w:val="0"/>
        <w:jc w:val="left"/>
        <w:rPr>
          <w:rFonts w:hint="eastAsia" w:eastAsia="宋体"/>
          <w:sz w:val="30"/>
          <w:szCs w:val="30"/>
          <w:lang w:eastAsia="zh-CN"/>
        </w:rPr>
      </w:pPr>
      <w:r>
        <w:rPr>
          <w:rFonts w:hint="eastAsia" w:eastAsia="宋体"/>
          <w:sz w:val="30"/>
          <w:szCs w:val="30"/>
          <w:lang w:eastAsia="zh-CN"/>
        </w:rPr>
        <w:t>Rather, he is primarily speaking of a spiritual and eschatological return; a return that will occur, not through physical migration, but through the proclamation of the Gospel, resulting in a circumcision of human hearts, love for God, and (in the end) eternal restoration to the eschatological Promised Land—the new heavens and the new earth.</w:t>
      </w:r>
    </w:p>
    <w:p w14:paraId="38623C71">
      <w:pPr>
        <w:tabs>
          <w:tab w:val="left" w:pos="280"/>
        </w:tabs>
        <w:bidi w:val="0"/>
        <w:jc w:val="left"/>
        <w:rPr>
          <w:rFonts w:hint="eastAsia" w:eastAsia="宋体"/>
          <w:sz w:val="30"/>
          <w:szCs w:val="30"/>
          <w:lang w:eastAsia="zh-CN"/>
        </w:rPr>
      </w:pPr>
      <w:r>
        <w:rPr>
          <w:rFonts w:hint="eastAsia" w:eastAsia="宋体"/>
          <w:sz w:val="30"/>
          <w:szCs w:val="30"/>
          <w:lang w:eastAsia="zh-CN"/>
        </w:rPr>
        <w:t>相反，他主要是在谈论一个属灵的和末世论的回归；一个不是通过肉身的迁徙，而是通过福音的宣讲而发生的回归，其结果是人心的割礼，对上帝的爱，以及（最终）永恒地恢复到末世的应许之地——新天新地。</w:t>
      </w:r>
    </w:p>
    <w:p w14:paraId="6F7CFE76">
      <w:pPr>
        <w:tabs>
          <w:tab w:val="left" w:pos="280"/>
        </w:tabs>
        <w:bidi w:val="0"/>
        <w:jc w:val="left"/>
        <w:rPr>
          <w:rFonts w:hint="eastAsia" w:eastAsia="宋体"/>
          <w:sz w:val="30"/>
          <w:szCs w:val="30"/>
          <w:lang w:eastAsia="zh-CN"/>
        </w:rPr>
      </w:pPr>
    </w:p>
    <w:p w14:paraId="35D0E9F1">
      <w:pPr>
        <w:tabs>
          <w:tab w:val="left" w:pos="280"/>
        </w:tabs>
        <w:bidi w:val="0"/>
        <w:jc w:val="left"/>
        <w:rPr>
          <w:rFonts w:hint="eastAsia" w:eastAsia="宋体"/>
          <w:sz w:val="30"/>
          <w:szCs w:val="30"/>
          <w:lang w:eastAsia="zh-CN"/>
        </w:rPr>
      </w:pPr>
      <w:r>
        <w:rPr>
          <w:rFonts w:hint="eastAsia" w:eastAsia="宋体"/>
          <w:sz w:val="30"/>
          <w:szCs w:val="30"/>
          <w:lang w:eastAsia="zh-CN"/>
        </w:rPr>
        <w:t>In other words, here Moses is catching a glimpse of all the saints—both Jews and Gentiles—entering the Kingdom of God.</w:t>
      </w:r>
    </w:p>
    <w:p w14:paraId="61232285">
      <w:pPr>
        <w:tabs>
          <w:tab w:val="left" w:pos="280"/>
        </w:tabs>
        <w:bidi w:val="0"/>
        <w:jc w:val="left"/>
        <w:rPr>
          <w:rFonts w:hint="eastAsia" w:eastAsia="宋体"/>
          <w:sz w:val="30"/>
          <w:szCs w:val="30"/>
          <w:lang w:eastAsia="zh-CN"/>
        </w:rPr>
      </w:pPr>
      <w:r>
        <w:rPr>
          <w:rFonts w:hint="eastAsia" w:eastAsia="宋体"/>
          <w:sz w:val="30"/>
          <w:szCs w:val="30"/>
          <w:lang w:eastAsia="zh-CN"/>
        </w:rPr>
        <w:t>换句话说，在此摩西瞥见了所有圣徒——包括犹太人和外邦人——进入上帝之国的情景。</w:t>
      </w:r>
    </w:p>
    <w:p w14:paraId="16002726">
      <w:pPr>
        <w:tabs>
          <w:tab w:val="left" w:pos="280"/>
        </w:tabs>
        <w:bidi w:val="0"/>
        <w:jc w:val="left"/>
        <w:rPr>
          <w:rFonts w:hint="eastAsia" w:eastAsia="宋体"/>
          <w:sz w:val="30"/>
          <w:szCs w:val="30"/>
          <w:lang w:eastAsia="zh-CN"/>
        </w:rPr>
      </w:pPr>
    </w:p>
    <w:p w14:paraId="7CB382FA">
      <w:pPr>
        <w:tabs>
          <w:tab w:val="left" w:pos="280"/>
        </w:tabs>
        <w:bidi w:val="0"/>
        <w:jc w:val="left"/>
        <w:rPr>
          <w:rFonts w:hint="eastAsia" w:eastAsia="宋体"/>
          <w:sz w:val="30"/>
          <w:szCs w:val="30"/>
          <w:lang w:eastAsia="zh-CN"/>
        </w:rPr>
      </w:pPr>
      <w:r>
        <w:rPr>
          <w:rFonts w:hint="eastAsia" w:eastAsia="宋体"/>
          <w:sz w:val="30"/>
          <w:szCs w:val="30"/>
          <w:lang w:eastAsia="zh-CN"/>
        </w:rPr>
        <w:t>Secondly, these words (and others like them in Deut. 32) are prototypical.</w:t>
      </w:r>
    </w:p>
    <w:p w14:paraId="525E137B">
      <w:pPr>
        <w:tabs>
          <w:tab w:val="left" w:pos="280"/>
        </w:tabs>
        <w:bidi w:val="0"/>
        <w:jc w:val="left"/>
        <w:rPr>
          <w:rFonts w:hint="eastAsia" w:eastAsia="宋体"/>
          <w:sz w:val="30"/>
          <w:szCs w:val="30"/>
          <w:lang w:eastAsia="zh-CN"/>
        </w:rPr>
      </w:pPr>
      <w:r>
        <w:rPr>
          <w:rFonts w:hint="eastAsia" w:eastAsia="宋体"/>
          <w:sz w:val="30"/>
          <w:szCs w:val="30"/>
          <w:lang w:eastAsia="zh-CN"/>
        </w:rPr>
        <w:t>其次，这些话（以及申命记32章中类似的话）是原型性的。</w:t>
      </w:r>
    </w:p>
    <w:p w14:paraId="41D9DA9F">
      <w:pPr>
        <w:tabs>
          <w:tab w:val="left" w:pos="280"/>
        </w:tabs>
        <w:bidi w:val="0"/>
        <w:jc w:val="left"/>
        <w:rPr>
          <w:rFonts w:hint="eastAsia" w:eastAsia="宋体"/>
          <w:sz w:val="30"/>
          <w:szCs w:val="30"/>
          <w:lang w:eastAsia="zh-CN"/>
        </w:rPr>
      </w:pPr>
    </w:p>
    <w:p w14:paraId="3CCEFC88">
      <w:pPr>
        <w:tabs>
          <w:tab w:val="left" w:pos="280"/>
        </w:tabs>
        <w:bidi w:val="0"/>
        <w:jc w:val="left"/>
        <w:rPr>
          <w:rFonts w:hint="eastAsia" w:eastAsia="宋体"/>
          <w:sz w:val="30"/>
          <w:szCs w:val="30"/>
          <w:lang w:eastAsia="zh-CN"/>
        </w:rPr>
      </w:pPr>
      <w:r>
        <w:rPr>
          <w:rFonts w:hint="eastAsia" w:eastAsia="宋体"/>
          <w:sz w:val="30"/>
          <w:szCs w:val="30"/>
          <w:lang w:eastAsia="zh-CN"/>
        </w:rPr>
        <w:t>That is, they are the seed from which the mighty oak of all OTKP will grow; they are the foundation and framework upon which the entire edifice of OTKP will be built.</w:t>
      </w:r>
    </w:p>
    <w:p w14:paraId="140FB849">
      <w:pPr>
        <w:tabs>
          <w:tab w:val="left" w:pos="280"/>
        </w:tabs>
        <w:bidi w:val="0"/>
        <w:jc w:val="left"/>
        <w:rPr>
          <w:rFonts w:hint="eastAsia" w:eastAsia="宋体"/>
          <w:sz w:val="30"/>
          <w:szCs w:val="30"/>
          <w:lang w:eastAsia="zh-CN"/>
        </w:rPr>
      </w:pPr>
      <w:r>
        <w:rPr>
          <w:rFonts w:hint="eastAsia" w:eastAsia="宋体"/>
          <w:sz w:val="30"/>
          <w:szCs w:val="30"/>
          <w:lang w:eastAsia="zh-CN"/>
        </w:rPr>
        <w:t>也就是说，它们是所有旧约国度预言（OTKP）这棵参天大树将要生长的种子；它们是整个旧约国度预言（OTKP）大厦将要建立的基础和框架。</w:t>
      </w:r>
    </w:p>
    <w:p w14:paraId="1D0B5AF4">
      <w:pPr>
        <w:tabs>
          <w:tab w:val="left" w:pos="280"/>
        </w:tabs>
        <w:bidi w:val="0"/>
        <w:jc w:val="left"/>
        <w:rPr>
          <w:rFonts w:hint="eastAsia" w:eastAsia="宋体"/>
          <w:sz w:val="30"/>
          <w:szCs w:val="30"/>
          <w:lang w:eastAsia="zh-CN"/>
        </w:rPr>
      </w:pPr>
    </w:p>
    <w:p w14:paraId="50481EF6">
      <w:pPr>
        <w:tabs>
          <w:tab w:val="left" w:pos="280"/>
        </w:tabs>
        <w:bidi w:val="0"/>
        <w:jc w:val="left"/>
        <w:rPr>
          <w:rFonts w:hint="eastAsia" w:eastAsia="宋体"/>
          <w:sz w:val="30"/>
          <w:szCs w:val="30"/>
          <w:lang w:eastAsia="zh-CN"/>
        </w:rPr>
      </w:pPr>
      <w:r>
        <w:rPr>
          <w:rFonts w:hint="eastAsia" w:eastAsia="宋体"/>
          <w:sz w:val="30"/>
          <w:szCs w:val="30"/>
          <w:lang w:eastAsia="zh-CN"/>
        </w:rPr>
        <w:t>Here, at the beginning of ethnic Israel’s residence in the land, the divine promise is rudimentary.</w:t>
      </w:r>
    </w:p>
    <w:p w14:paraId="7E474C16">
      <w:pPr>
        <w:tabs>
          <w:tab w:val="left" w:pos="280"/>
        </w:tabs>
        <w:bidi w:val="0"/>
        <w:jc w:val="left"/>
        <w:rPr>
          <w:rFonts w:hint="eastAsia" w:eastAsia="宋体"/>
          <w:sz w:val="30"/>
          <w:szCs w:val="30"/>
          <w:lang w:eastAsia="zh-CN"/>
        </w:rPr>
      </w:pPr>
      <w:r>
        <w:rPr>
          <w:rFonts w:hint="eastAsia" w:eastAsia="宋体"/>
          <w:sz w:val="30"/>
          <w:szCs w:val="30"/>
          <w:lang w:eastAsia="zh-CN"/>
        </w:rPr>
        <w:t>在此，在以色列民族开始居住在那地时，神圣的应许是初步的。</w:t>
      </w:r>
    </w:p>
    <w:p w14:paraId="50CA5882">
      <w:pPr>
        <w:tabs>
          <w:tab w:val="left" w:pos="280"/>
        </w:tabs>
        <w:bidi w:val="0"/>
        <w:jc w:val="left"/>
        <w:rPr>
          <w:rFonts w:hint="eastAsia" w:eastAsia="宋体"/>
          <w:sz w:val="30"/>
          <w:szCs w:val="30"/>
          <w:lang w:eastAsia="zh-CN"/>
        </w:rPr>
      </w:pPr>
    </w:p>
    <w:p w14:paraId="0ADFE527">
      <w:pPr>
        <w:tabs>
          <w:tab w:val="left" w:pos="280"/>
        </w:tabs>
        <w:bidi w:val="0"/>
        <w:jc w:val="left"/>
        <w:rPr>
          <w:rFonts w:hint="eastAsia" w:eastAsia="宋体"/>
          <w:sz w:val="30"/>
          <w:szCs w:val="30"/>
          <w:lang w:eastAsia="zh-CN"/>
        </w:rPr>
      </w:pPr>
      <w:r>
        <w:rPr>
          <w:rFonts w:hint="eastAsia" w:eastAsia="宋体"/>
          <w:sz w:val="30"/>
          <w:szCs w:val="30"/>
          <w:lang w:eastAsia="zh-CN"/>
        </w:rPr>
        <w:t>Later—as their sins engulf them in judgment, as the faithful cry out for comfort, and as the time of restoration draws near—it will become more elaborate.</w:t>
      </w:r>
    </w:p>
    <w:p w14:paraId="13717BED">
      <w:pPr>
        <w:tabs>
          <w:tab w:val="left" w:pos="280"/>
        </w:tabs>
        <w:bidi w:val="0"/>
        <w:jc w:val="left"/>
        <w:rPr>
          <w:rFonts w:hint="eastAsia" w:eastAsia="宋体"/>
          <w:sz w:val="30"/>
          <w:szCs w:val="30"/>
          <w:lang w:eastAsia="zh-CN"/>
        </w:rPr>
      </w:pPr>
      <w:r>
        <w:rPr>
          <w:rFonts w:hint="eastAsia" w:eastAsia="宋体"/>
          <w:sz w:val="30"/>
          <w:szCs w:val="30"/>
          <w:lang w:eastAsia="zh-CN"/>
        </w:rPr>
        <w:t>后来——当他们的罪使他们陷入审判，当信实的人呼求安慰，当复兴的时刻临近时——它将变得更加详尽。</w:t>
      </w:r>
    </w:p>
    <w:p w14:paraId="003FCEE7">
      <w:pPr>
        <w:tabs>
          <w:tab w:val="left" w:pos="280"/>
        </w:tabs>
        <w:bidi w:val="0"/>
        <w:jc w:val="left"/>
        <w:rPr>
          <w:rFonts w:hint="eastAsia" w:eastAsia="宋体"/>
          <w:sz w:val="30"/>
          <w:szCs w:val="30"/>
          <w:lang w:eastAsia="zh-CN"/>
        </w:rPr>
      </w:pPr>
    </w:p>
    <w:p w14:paraId="1897B0B0">
      <w:pPr>
        <w:tabs>
          <w:tab w:val="left" w:pos="280"/>
        </w:tabs>
        <w:bidi w:val="0"/>
        <w:jc w:val="left"/>
        <w:rPr>
          <w:rFonts w:hint="eastAsia" w:eastAsia="宋体"/>
          <w:sz w:val="30"/>
          <w:szCs w:val="30"/>
          <w:lang w:eastAsia="zh-CN"/>
        </w:rPr>
      </w:pPr>
      <w:r>
        <w:rPr>
          <w:rFonts w:hint="eastAsia" w:eastAsia="宋体"/>
          <w:sz w:val="30"/>
          <w:szCs w:val="30"/>
          <w:lang w:eastAsia="zh-CN"/>
        </w:rPr>
        <w:t>In other words, as Salvation History progresses the writing prophets (whether pre-exilic, exilic, or post-exilic) will add crucial details: The coming restoration will involve a Messianic Prophet, Priest, and King; an atonement that he will make for his people; a New Covenant that will transform their hearts; an outpouring of the Holy Spirit; the forgiveness of sins; the spread of the King’s righteous reign; and, in the end, a resurrection of the dead, final judgment upon “Israel’s” enemies, new heavens and a new earth, and eternal life with the God of glory.</w:t>
      </w:r>
    </w:p>
    <w:p w14:paraId="158ACA03">
      <w:pPr>
        <w:tabs>
          <w:tab w:val="left" w:pos="280"/>
        </w:tabs>
        <w:bidi w:val="0"/>
        <w:jc w:val="left"/>
        <w:rPr>
          <w:rFonts w:hint="eastAsia" w:eastAsia="宋体"/>
          <w:sz w:val="30"/>
          <w:szCs w:val="30"/>
          <w:lang w:eastAsia="zh-CN"/>
        </w:rPr>
      </w:pPr>
      <w:r>
        <w:rPr>
          <w:rFonts w:hint="eastAsia" w:eastAsia="宋体"/>
          <w:sz w:val="30"/>
          <w:szCs w:val="30"/>
          <w:lang w:eastAsia="zh-CN"/>
        </w:rPr>
        <w:t>换句话说，随着救赎历史的进展，写作的先知们（无论是被掳前、被掳期间，还是被掳后）将增加关键的细节：将要来的复兴将涉及一位弥赛亚先知、祭司和君王；祂将为祂的子民所作的赎罪；一个将改变他们心灵的新约；圣灵的浇灌；罪的赦免；君王公义统治的扩展；以及，最终，死人复活，对“以色列”的仇敌进行最后审判，新天新地，以及与荣耀的上帝同享永生。</w:t>
      </w:r>
    </w:p>
    <w:p w14:paraId="2624514E">
      <w:pPr>
        <w:tabs>
          <w:tab w:val="left" w:pos="280"/>
        </w:tabs>
        <w:bidi w:val="0"/>
        <w:jc w:val="left"/>
        <w:rPr>
          <w:rFonts w:hint="eastAsia" w:eastAsia="宋体"/>
          <w:sz w:val="30"/>
          <w:szCs w:val="30"/>
          <w:lang w:eastAsia="zh-CN"/>
        </w:rPr>
      </w:pPr>
    </w:p>
    <w:p w14:paraId="664CCF12">
      <w:pPr>
        <w:tabs>
          <w:tab w:val="left" w:pos="280"/>
        </w:tabs>
        <w:bidi w:val="0"/>
        <w:jc w:val="left"/>
        <w:rPr>
          <w:rFonts w:hint="eastAsia" w:eastAsia="宋体"/>
          <w:sz w:val="30"/>
          <w:szCs w:val="30"/>
          <w:lang w:eastAsia="zh-CN"/>
        </w:rPr>
      </w:pPr>
      <w:r>
        <w:rPr>
          <w:rFonts w:hint="eastAsia" w:eastAsia="宋体"/>
          <w:sz w:val="30"/>
          <w:szCs w:val="30"/>
          <w:lang w:eastAsia="zh-CN"/>
        </w:rPr>
        <w:t>Thus, in his farewell discourse Moses sets forth the supreme motif of OTKP: exile and return.</w:t>
      </w:r>
    </w:p>
    <w:p w14:paraId="096BE1CC">
      <w:pPr>
        <w:tabs>
          <w:tab w:val="left" w:pos="280"/>
        </w:tabs>
        <w:bidi w:val="0"/>
        <w:jc w:val="left"/>
        <w:rPr>
          <w:rFonts w:hint="eastAsia" w:eastAsia="宋体"/>
          <w:sz w:val="30"/>
          <w:szCs w:val="30"/>
          <w:lang w:eastAsia="zh-CN"/>
        </w:rPr>
      </w:pPr>
      <w:r>
        <w:rPr>
          <w:rFonts w:hint="eastAsia" w:eastAsia="宋体"/>
          <w:sz w:val="30"/>
          <w:szCs w:val="30"/>
          <w:lang w:eastAsia="zh-CN"/>
        </w:rPr>
        <w:t>因此，摩西在他的告别讲论中，提出了旧约国度预言（OTKP）的最高主题：被掳与归回。</w:t>
      </w:r>
    </w:p>
    <w:p w14:paraId="2A8FF7A5">
      <w:pPr>
        <w:tabs>
          <w:tab w:val="left" w:pos="280"/>
        </w:tabs>
        <w:bidi w:val="0"/>
        <w:jc w:val="left"/>
        <w:rPr>
          <w:rFonts w:hint="eastAsia" w:eastAsia="宋体"/>
          <w:sz w:val="30"/>
          <w:szCs w:val="30"/>
          <w:lang w:eastAsia="zh-CN"/>
        </w:rPr>
      </w:pPr>
    </w:p>
    <w:p w14:paraId="558A356D">
      <w:pPr>
        <w:tabs>
          <w:tab w:val="left" w:pos="280"/>
        </w:tabs>
        <w:bidi w:val="0"/>
        <w:jc w:val="left"/>
        <w:rPr>
          <w:rFonts w:hint="eastAsia" w:eastAsia="宋体"/>
          <w:sz w:val="30"/>
          <w:szCs w:val="30"/>
          <w:lang w:eastAsia="zh-CN"/>
        </w:rPr>
      </w:pPr>
      <w:r>
        <w:rPr>
          <w:rFonts w:hint="eastAsia" w:eastAsia="宋体"/>
          <w:sz w:val="30"/>
          <w:szCs w:val="30"/>
          <w:lang w:eastAsia="zh-CN"/>
        </w:rPr>
        <w:t>And the return of which he and all the OT prophets ultimately spoke was the entrance of the Church (i.e., eschatological “Israel”) into the two-staged Kingdom of Christ (Isaiah 11:10-16, 56:6-8, 49:1-13, Jer. 23:1-8, 30-31, Ezek. 34, 36-37, Hos. 1:10-2:1).</w:t>
      </w:r>
    </w:p>
    <w:p w14:paraId="403BCAA6">
      <w:pPr>
        <w:tabs>
          <w:tab w:val="left" w:pos="280"/>
        </w:tabs>
        <w:bidi w:val="0"/>
        <w:jc w:val="left"/>
        <w:rPr>
          <w:rFonts w:hint="eastAsia" w:eastAsia="宋体"/>
          <w:sz w:val="30"/>
          <w:szCs w:val="30"/>
          <w:lang w:eastAsia="zh-CN"/>
        </w:rPr>
      </w:pPr>
      <w:r>
        <w:rPr>
          <w:rFonts w:hint="eastAsia" w:eastAsia="宋体"/>
          <w:sz w:val="30"/>
          <w:szCs w:val="30"/>
          <w:lang w:eastAsia="zh-CN"/>
        </w:rPr>
        <w:t>而他和所有旧约先知最终所谈论的归回，是教会（即末世的“以色列”）进入基督分两个阶段的国度（以赛亚书 11:10-16, 56:6-8, 49:1-13, 耶利米书 23:1-8, 30-31, 以西结书 34, 36-37, 何西阿书 1:10-2:1）。</w:t>
      </w:r>
    </w:p>
    <w:p w14:paraId="717D7815">
      <w:pPr>
        <w:tabs>
          <w:tab w:val="left" w:pos="280"/>
        </w:tabs>
        <w:bidi w:val="0"/>
        <w:jc w:val="left"/>
        <w:rPr>
          <w:rFonts w:hint="eastAsia" w:eastAsia="宋体"/>
          <w:sz w:val="30"/>
          <w:szCs w:val="30"/>
          <w:lang w:eastAsia="zh-CN"/>
        </w:rPr>
      </w:pPr>
    </w:p>
    <w:p w14:paraId="6AE584A8">
      <w:pPr>
        <w:tabs>
          <w:tab w:val="left" w:pos="280"/>
        </w:tabs>
        <w:bidi w:val="0"/>
        <w:jc w:val="left"/>
        <w:rPr>
          <w:rFonts w:hint="eastAsia" w:eastAsia="宋体"/>
          <w:sz w:val="30"/>
          <w:szCs w:val="30"/>
          <w:lang w:eastAsia="zh-CN"/>
        </w:rPr>
      </w:pPr>
      <w:r>
        <w:rPr>
          <w:rFonts w:hint="eastAsia" w:eastAsia="宋体"/>
          <w:sz w:val="30"/>
          <w:szCs w:val="30"/>
          <w:lang w:eastAsia="zh-CN"/>
        </w:rPr>
        <w:t>This brings us to our final point, namely that ethnic Israel’s exile and return—much like the other OT events we have been discussing—is rich with typological significance.</w:t>
      </w:r>
    </w:p>
    <w:p w14:paraId="0EA9FD5F">
      <w:pPr>
        <w:tabs>
          <w:tab w:val="left" w:pos="280"/>
        </w:tabs>
        <w:bidi w:val="0"/>
        <w:jc w:val="left"/>
        <w:rPr>
          <w:rFonts w:hint="eastAsia" w:eastAsia="宋体"/>
          <w:sz w:val="30"/>
          <w:szCs w:val="30"/>
          <w:lang w:eastAsia="zh-CN"/>
        </w:rPr>
      </w:pPr>
      <w:r>
        <w:rPr>
          <w:rFonts w:hint="eastAsia" w:eastAsia="宋体"/>
          <w:sz w:val="30"/>
          <w:szCs w:val="30"/>
          <w:lang w:eastAsia="zh-CN"/>
        </w:rPr>
        <w:t>这带我们到最后一点，即以色列民族的被掳与归回——很像我们一直在讨论的其他旧约事件——充满了预表性的意义。</w:t>
      </w:r>
    </w:p>
    <w:p w14:paraId="1C4A2CDF">
      <w:pPr>
        <w:tabs>
          <w:tab w:val="left" w:pos="280"/>
        </w:tabs>
        <w:bidi w:val="0"/>
        <w:jc w:val="left"/>
        <w:rPr>
          <w:rFonts w:hint="eastAsia" w:eastAsia="宋体"/>
          <w:sz w:val="30"/>
          <w:szCs w:val="30"/>
          <w:lang w:eastAsia="zh-CN"/>
        </w:rPr>
      </w:pPr>
    </w:p>
    <w:p w14:paraId="441A2B7D">
      <w:pPr>
        <w:tabs>
          <w:tab w:val="left" w:pos="280"/>
        </w:tabs>
        <w:bidi w:val="0"/>
        <w:jc w:val="left"/>
        <w:rPr>
          <w:rFonts w:hint="eastAsia" w:eastAsia="宋体"/>
          <w:sz w:val="30"/>
          <w:szCs w:val="30"/>
          <w:lang w:eastAsia="zh-CN"/>
        </w:rPr>
      </w:pPr>
      <w:r>
        <w:rPr>
          <w:rFonts w:hint="eastAsia" w:eastAsia="宋体"/>
          <w:sz w:val="30"/>
          <w:szCs w:val="30"/>
          <w:lang w:eastAsia="zh-CN"/>
        </w:rPr>
        <w:t>The NT helps us see it.</w:t>
      </w:r>
    </w:p>
    <w:p w14:paraId="3FB2D3E4">
      <w:pPr>
        <w:tabs>
          <w:tab w:val="left" w:pos="280"/>
        </w:tabs>
        <w:bidi w:val="0"/>
        <w:jc w:val="left"/>
        <w:rPr>
          <w:rFonts w:hint="eastAsia" w:eastAsia="宋体"/>
          <w:sz w:val="30"/>
          <w:szCs w:val="30"/>
          <w:lang w:eastAsia="zh-CN"/>
        </w:rPr>
      </w:pPr>
      <w:r>
        <w:rPr>
          <w:rFonts w:hint="eastAsia" w:eastAsia="宋体"/>
          <w:sz w:val="30"/>
          <w:szCs w:val="30"/>
          <w:lang w:eastAsia="zh-CN"/>
        </w:rPr>
        <w:t>新约帮助我们看到这一点。</w:t>
      </w:r>
    </w:p>
    <w:p w14:paraId="0D54AA21">
      <w:pPr>
        <w:tabs>
          <w:tab w:val="left" w:pos="280"/>
        </w:tabs>
        <w:bidi w:val="0"/>
        <w:jc w:val="left"/>
        <w:rPr>
          <w:rFonts w:hint="eastAsia" w:eastAsia="宋体"/>
          <w:sz w:val="30"/>
          <w:szCs w:val="30"/>
          <w:lang w:eastAsia="zh-CN"/>
        </w:rPr>
      </w:pPr>
    </w:p>
    <w:p w14:paraId="46D39810">
      <w:pPr>
        <w:tabs>
          <w:tab w:val="left" w:pos="280"/>
        </w:tabs>
        <w:bidi w:val="0"/>
        <w:jc w:val="left"/>
        <w:rPr>
          <w:rFonts w:hint="eastAsia" w:eastAsia="宋体"/>
          <w:sz w:val="30"/>
          <w:szCs w:val="30"/>
          <w:lang w:eastAsia="zh-CN"/>
        </w:rPr>
      </w:pPr>
      <w:r>
        <w:rPr>
          <w:rFonts w:hint="eastAsia" w:eastAsia="宋体"/>
          <w:sz w:val="30"/>
          <w:szCs w:val="30"/>
          <w:lang w:eastAsia="zh-CN"/>
        </w:rPr>
        <w:t>On the one hand, Israel’s expulsion from Canaan bespeaks a far greater expulsion: the expulsion of all mankind from Eden through the sin of Adam (Luke 4:6, Rom. 5:12ff, 8:18-25).</w:t>
      </w:r>
    </w:p>
    <w:p w14:paraId="68F06FF2">
      <w:pPr>
        <w:tabs>
          <w:tab w:val="left" w:pos="280"/>
        </w:tabs>
        <w:bidi w:val="0"/>
        <w:jc w:val="left"/>
        <w:rPr>
          <w:rFonts w:hint="eastAsia" w:eastAsia="宋体"/>
          <w:sz w:val="30"/>
          <w:szCs w:val="30"/>
          <w:lang w:eastAsia="zh-CN"/>
        </w:rPr>
      </w:pPr>
      <w:r>
        <w:rPr>
          <w:rFonts w:hint="eastAsia" w:eastAsia="宋体"/>
          <w:sz w:val="30"/>
          <w:szCs w:val="30"/>
          <w:lang w:eastAsia="zh-CN"/>
        </w:rPr>
        <w:t>一方面，以色列被逐出迦南，预示着一个远为更大的驱逐：全人类因亚当的罪而被逐出伊甸园（路 4:6, 罗 5:12ff, 8:18-25）。</w:t>
      </w:r>
    </w:p>
    <w:p w14:paraId="624D5A5F">
      <w:pPr>
        <w:tabs>
          <w:tab w:val="left" w:pos="280"/>
        </w:tabs>
        <w:bidi w:val="0"/>
        <w:jc w:val="left"/>
        <w:rPr>
          <w:rFonts w:hint="eastAsia" w:eastAsia="宋体"/>
          <w:sz w:val="30"/>
          <w:szCs w:val="30"/>
          <w:lang w:eastAsia="zh-CN"/>
        </w:rPr>
      </w:pPr>
    </w:p>
    <w:p w14:paraId="6126C838">
      <w:pPr>
        <w:tabs>
          <w:tab w:val="left" w:pos="280"/>
        </w:tabs>
        <w:bidi w:val="0"/>
        <w:jc w:val="left"/>
        <w:rPr>
          <w:rFonts w:hint="eastAsia" w:eastAsia="宋体"/>
          <w:sz w:val="30"/>
          <w:szCs w:val="30"/>
          <w:lang w:eastAsia="zh-CN"/>
        </w:rPr>
      </w:pPr>
      <w:r>
        <w:rPr>
          <w:rFonts w:hint="eastAsia" w:eastAsia="宋体"/>
          <w:sz w:val="30"/>
          <w:szCs w:val="30"/>
          <w:lang w:eastAsia="zh-CN"/>
        </w:rPr>
        <w:t>On the other, their return prefigures the saints’ restoration to Paradise, and to the God who will walk with us there—all because of the righteousness of Christ (Rom 5:12ff, Rev. 2:7).</w:t>
      </w:r>
    </w:p>
    <w:p w14:paraId="3515CC3A">
      <w:pPr>
        <w:tabs>
          <w:tab w:val="left" w:pos="280"/>
        </w:tabs>
        <w:bidi w:val="0"/>
        <w:jc w:val="left"/>
        <w:rPr>
          <w:rFonts w:hint="eastAsia" w:eastAsia="宋体"/>
          <w:sz w:val="30"/>
          <w:szCs w:val="30"/>
          <w:lang w:eastAsia="zh-CN"/>
        </w:rPr>
      </w:pPr>
      <w:r>
        <w:rPr>
          <w:rFonts w:hint="eastAsia" w:eastAsia="宋体"/>
          <w:sz w:val="30"/>
          <w:szCs w:val="30"/>
          <w:lang w:eastAsia="zh-CN"/>
        </w:rPr>
        <w:t>另一方面，他们的回归预表了圣徒恢复到乐园，并恢复到将在那里与我们同行的上帝面前——这一切都是因为基督的义（罗 5:12ff, 启 2:7）。</w:t>
      </w:r>
    </w:p>
    <w:p w14:paraId="2407207E">
      <w:pPr>
        <w:tabs>
          <w:tab w:val="left" w:pos="280"/>
        </w:tabs>
        <w:bidi w:val="0"/>
        <w:jc w:val="left"/>
        <w:rPr>
          <w:rFonts w:hint="eastAsia" w:eastAsia="宋体"/>
          <w:sz w:val="30"/>
          <w:szCs w:val="30"/>
          <w:lang w:eastAsia="zh-CN"/>
        </w:rPr>
      </w:pPr>
    </w:p>
    <w:p w14:paraId="4FC53AA9">
      <w:pPr>
        <w:tabs>
          <w:tab w:val="left" w:pos="280"/>
        </w:tabs>
        <w:bidi w:val="0"/>
        <w:jc w:val="left"/>
        <w:rPr>
          <w:rFonts w:hint="eastAsia" w:eastAsia="宋体"/>
          <w:sz w:val="30"/>
          <w:szCs w:val="30"/>
          <w:lang w:eastAsia="zh-CN"/>
        </w:rPr>
      </w:pPr>
      <w:r>
        <w:rPr>
          <w:rFonts w:hint="eastAsia" w:eastAsia="宋体"/>
          <w:sz w:val="30"/>
          <w:szCs w:val="30"/>
          <w:lang w:eastAsia="zh-CN"/>
        </w:rPr>
        <w:t>Or, to use a slightly different biblical metaphor, Israel’s captivity pictures the saints’ (pre-conversion) bondage to the Domain of Darkness, while Israel’s return pictures their liberating entrance into the Kingdom of God (Luke 4:18, Rom. 8:18-25, Gal. 5:1, Col. 1:13).</w:t>
      </w:r>
    </w:p>
    <w:p w14:paraId="64F0CCFE">
      <w:pPr>
        <w:tabs>
          <w:tab w:val="left" w:pos="280"/>
        </w:tabs>
        <w:bidi w:val="0"/>
        <w:jc w:val="left"/>
        <w:rPr>
          <w:rFonts w:hint="eastAsia" w:eastAsia="宋体"/>
          <w:sz w:val="30"/>
          <w:szCs w:val="30"/>
          <w:lang w:eastAsia="zh-CN"/>
        </w:rPr>
      </w:pPr>
      <w:r>
        <w:rPr>
          <w:rFonts w:hint="eastAsia" w:eastAsia="宋体"/>
          <w:sz w:val="30"/>
          <w:szCs w:val="30"/>
          <w:lang w:eastAsia="zh-CN"/>
        </w:rPr>
        <w:t>或者，用一个稍微不同的圣经比喻，以色列的被掳描绘了圣徒（归信前）被奴役于黑暗权势之下，而以色列的回归则描绘了他们解放性地进入上帝的国（路 4:18, 罗 8:18-25, 加 5:1, 西 1:13）。</w:t>
      </w:r>
    </w:p>
    <w:p w14:paraId="57204051">
      <w:pPr>
        <w:tabs>
          <w:tab w:val="left" w:pos="280"/>
        </w:tabs>
        <w:bidi w:val="0"/>
        <w:jc w:val="left"/>
        <w:rPr>
          <w:rFonts w:hint="eastAsia" w:eastAsia="宋体"/>
          <w:sz w:val="30"/>
          <w:szCs w:val="30"/>
          <w:lang w:eastAsia="zh-CN"/>
        </w:rPr>
      </w:pPr>
    </w:p>
    <w:p w14:paraId="16536E73">
      <w:pPr>
        <w:tabs>
          <w:tab w:val="left" w:pos="280"/>
        </w:tabs>
        <w:bidi w:val="0"/>
        <w:jc w:val="left"/>
        <w:rPr>
          <w:rFonts w:hint="eastAsia" w:eastAsia="宋体"/>
          <w:sz w:val="30"/>
          <w:szCs w:val="30"/>
          <w:lang w:eastAsia="zh-CN"/>
        </w:rPr>
      </w:pPr>
      <w:r>
        <w:rPr>
          <w:rFonts w:hint="eastAsia" w:eastAsia="宋体"/>
          <w:sz w:val="30"/>
          <w:szCs w:val="30"/>
          <w:lang w:eastAsia="zh-CN"/>
        </w:rPr>
        <w:t>Though Moses himself did not understand all these things, he—and the prophets who followed him— spoke of them, with much longing and curiosity, “in a mystery.”</w:t>
      </w:r>
    </w:p>
    <w:p w14:paraId="519C95CB">
      <w:pPr>
        <w:tabs>
          <w:tab w:val="left" w:pos="280"/>
        </w:tabs>
        <w:bidi w:val="0"/>
        <w:jc w:val="left"/>
        <w:rPr>
          <w:rFonts w:hint="eastAsia" w:eastAsia="宋体"/>
          <w:sz w:val="30"/>
          <w:szCs w:val="30"/>
          <w:lang w:eastAsia="zh-CN"/>
        </w:rPr>
      </w:pPr>
      <w:r>
        <w:rPr>
          <w:rFonts w:hint="eastAsia" w:eastAsia="宋体"/>
          <w:sz w:val="30"/>
          <w:szCs w:val="30"/>
          <w:lang w:eastAsia="zh-CN"/>
        </w:rPr>
        <w:t>尽管摩西自己并不完全理解所有这些事，他——以及跟随他的先知们——都怀着极大的渴望和好奇心，“在奥秘中”谈论它们。</w:t>
      </w:r>
    </w:p>
    <w:p w14:paraId="01A27E96">
      <w:pPr>
        <w:tabs>
          <w:tab w:val="left" w:pos="280"/>
        </w:tabs>
        <w:bidi w:val="0"/>
        <w:jc w:val="left"/>
        <w:rPr>
          <w:rFonts w:hint="eastAsia" w:eastAsia="宋体"/>
          <w:sz w:val="30"/>
          <w:szCs w:val="30"/>
          <w:lang w:eastAsia="zh-CN"/>
        </w:rPr>
      </w:pPr>
    </w:p>
    <w:p w14:paraId="3C25F875">
      <w:pPr>
        <w:tabs>
          <w:tab w:val="left" w:pos="280"/>
        </w:tabs>
        <w:bidi w:val="0"/>
        <w:jc w:val="left"/>
        <w:rPr>
          <w:rFonts w:hint="eastAsia" w:eastAsia="宋体"/>
          <w:sz w:val="30"/>
          <w:szCs w:val="30"/>
          <w:lang w:eastAsia="zh-CN"/>
        </w:rPr>
      </w:pPr>
      <w:r>
        <w:rPr>
          <w:rFonts w:hint="eastAsia" w:eastAsia="宋体"/>
          <w:sz w:val="30"/>
          <w:szCs w:val="30"/>
          <w:lang w:eastAsia="zh-CN"/>
        </w:rPr>
        <w:t>Conclusion</w:t>
      </w:r>
    </w:p>
    <w:p w14:paraId="2D154243">
      <w:pPr>
        <w:tabs>
          <w:tab w:val="left" w:pos="280"/>
        </w:tabs>
        <w:bidi w:val="0"/>
        <w:jc w:val="left"/>
        <w:rPr>
          <w:rFonts w:hint="eastAsia" w:eastAsia="宋体"/>
          <w:sz w:val="30"/>
          <w:szCs w:val="30"/>
          <w:lang w:eastAsia="zh-CN"/>
        </w:rPr>
      </w:pPr>
      <w:r>
        <w:rPr>
          <w:rFonts w:hint="eastAsia" w:eastAsia="宋体"/>
          <w:sz w:val="30"/>
          <w:szCs w:val="30"/>
          <w:lang w:eastAsia="zh-CN"/>
        </w:rPr>
        <w:t>结论</w:t>
      </w:r>
    </w:p>
    <w:p w14:paraId="43EADEC0">
      <w:pPr>
        <w:tabs>
          <w:tab w:val="left" w:pos="280"/>
        </w:tabs>
        <w:bidi w:val="0"/>
        <w:jc w:val="left"/>
        <w:rPr>
          <w:rFonts w:hint="eastAsia" w:eastAsia="宋体"/>
          <w:sz w:val="30"/>
          <w:szCs w:val="30"/>
          <w:lang w:eastAsia="zh-CN"/>
        </w:rPr>
      </w:pPr>
    </w:p>
    <w:p w14:paraId="63875DDB">
      <w:pPr>
        <w:tabs>
          <w:tab w:val="left" w:pos="280"/>
        </w:tabs>
        <w:bidi w:val="0"/>
        <w:jc w:val="left"/>
        <w:rPr>
          <w:rFonts w:hint="eastAsia" w:eastAsia="宋体"/>
          <w:sz w:val="30"/>
          <w:szCs w:val="30"/>
          <w:lang w:eastAsia="zh-CN"/>
        </w:rPr>
      </w:pPr>
      <w:r>
        <w:rPr>
          <w:rFonts w:hint="eastAsia" w:eastAsia="宋体"/>
          <w:sz w:val="30"/>
          <w:szCs w:val="30"/>
          <w:lang w:eastAsia="zh-CN"/>
        </w:rPr>
        <w:t>In our survey of the OT promise of the Kingdom, we have covered a lot of ground: some 4000 years of Salvation History, and four separate administrations of the Eternal Covenant!</w:t>
      </w:r>
    </w:p>
    <w:p w14:paraId="4F7FB524">
      <w:pPr>
        <w:tabs>
          <w:tab w:val="left" w:pos="280"/>
        </w:tabs>
        <w:bidi w:val="0"/>
        <w:jc w:val="left"/>
        <w:rPr>
          <w:rFonts w:hint="eastAsia" w:eastAsia="宋体"/>
          <w:sz w:val="30"/>
          <w:szCs w:val="30"/>
          <w:lang w:eastAsia="zh-CN"/>
        </w:rPr>
      </w:pPr>
      <w:r>
        <w:rPr>
          <w:rFonts w:hint="eastAsia" w:eastAsia="宋体"/>
          <w:sz w:val="30"/>
          <w:szCs w:val="30"/>
          <w:lang w:eastAsia="zh-CN"/>
        </w:rPr>
        <w:t>在我们对旧约国度应许的考察中，我们覆盖了广阔的领域：大约4000年的救赎历史，以及永恒之约的四次独立施行！</w:t>
      </w:r>
    </w:p>
    <w:p w14:paraId="2DFD0415">
      <w:pPr>
        <w:tabs>
          <w:tab w:val="left" w:pos="280"/>
        </w:tabs>
        <w:bidi w:val="0"/>
        <w:jc w:val="left"/>
        <w:rPr>
          <w:rFonts w:hint="eastAsia" w:eastAsia="宋体"/>
          <w:sz w:val="30"/>
          <w:szCs w:val="30"/>
          <w:lang w:eastAsia="zh-CN"/>
        </w:rPr>
      </w:pPr>
    </w:p>
    <w:p w14:paraId="46C26499">
      <w:pPr>
        <w:tabs>
          <w:tab w:val="left" w:pos="280"/>
        </w:tabs>
        <w:bidi w:val="0"/>
        <w:jc w:val="left"/>
        <w:rPr>
          <w:rFonts w:hint="eastAsia" w:eastAsia="宋体"/>
          <w:sz w:val="30"/>
          <w:szCs w:val="30"/>
          <w:lang w:eastAsia="zh-CN"/>
        </w:rPr>
      </w:pPr>
      <w:r>
        <w:rPr>
          <w:rFonts w:hint="eastAsia" w:eastAsia="宋体"/>
          <w:sz w:val="30"/>
          <w:szCs w:val="30"/>
          <w:lang w:eastAsia="zh-CN"/>
        </w:rPr>
        <w:t>I know it was a challenge; I hope it was a blessing.</w:t>
      </w:r>
    </w:p>
    <w:p w14:paraId="6C379C60">
      <w:pPr>
        <w:tabs>
          <w:tab w:val="left" w:pos="280"/>
        </w:tabs>
        <w:bidi w:val="0"/>
        <w:jc w:val="left"/>
        <w:rPr>
          <w:rFonts w:hint="eastAsia" w:eastAsia="宋体"/>
          <w:sz w:val="30"/>
          <w:szCs w:val="30"/>
          <w:lang w:eastAsia="zh-CN"/>
        </w:rPr>
      </w:pPr>
      <w:r>
        <w:rPr>
          <w:rFonts w:hint="eastAsia" w:eastAsia="宋体"/>
          <w:sz w:val="30"/>
          <w:szCs w:val="30"/>
          <w:lang w:eastAsia="zh-CN"/>
        </w:rPr>
        <w:t>我知道这是一个挑战；我希望它是一个祝福。</w:t>
      </w:r>
    </w:p>
    <w:p w14:paraId="74DCDDA2">
      <w:pPr>
        <w:tabs>
          <w:tab w:val="left" w:pos="280"/>
        </w:tabs>
        <w:bidi w:val="0"/>
        <w:jc w:val="left"/>
        <w:rPr>
          <w:rFonts w:hint="eastAsia" w:eastAsia="宋体"/>
          <w:sz w:val="30"/>
          <w:szCs w:val="30"/>
          <w:lang w:eastAsia="zh-CN"/>
        </w:rPr>
      </w:pPr>
    </w:p>
    <w:p w14:paraId="70EE1AB5">
      <w:pPr>
        <w:tabs>
          <w:tab w:val="left" w:pos="280"/>
        </w:tabs>
        <w:bidi w:val="0"/>
        <w:jc w:val="left"/>
        <w:rPr>
          <w:rFonts w:hint="eastAsia" w:eastAsia="宋体"/>
          <w:sz w:val="30"/>
          <w:szCs w:val="30"/>
          <w:lang w:eastAsia="zh-CN"/>
        </w:rPr>
      </w:pPr>
      <w:r>
        <w:rPr>
          <w:rFonts w:hint="eastAsia" w:eastAsia="宋体"/>
          <w:sz w:val="30"/>
          <w:szCs w:val="30"/>
          <w:lang w:eastAsia="zh-CN"/>
        </w:rPr>
        <w:t>Perhaps above all, we learned—or relearned—how to read the OT with NT eyes.</w:t>
      </w:r>
    </w:p>
    <w:p w14:paraId="09D0D37F">
      <w:pPr>
        <w:tabs>
          <w:tab w:val="left" w:pos="280"/>
        </w:tabs>
        <w:bidi w:val="0"/>
        <w:jc w:val="left"/>
        <w:rPr>
          <w:rFonts w:hint="eastAsia" w:eastAsia="宋体"/>
          <w:sz w:val="30"/>
          <w:szCs w:val="30"/>
          <w:lang w:eastAsia="zh-CN"/>
        </w:rPr>
      </w:pPr>
      <w:r>
        <w:rPr>
          <w:rFonts w:hint="eastAsia" w:eastAsia="宋体"/>
          <w:sz w:val="30"/>
          <w:szCs w:val="30"/>
          <w:lang w:eastAsia="zh-CN"/>
        </w:rPr>
        <w:t>或许最重要的是，我们学习了——或者重新学习了——如何用新约的眼光阅读旧约。</w:t>
      </w:r>
    </w:p>
    <w:p w14:paraId="68F68251">
      <w:pPr>
        <w:tabs>
          <w:tab w:val="left" w:pos="280"/>
        </w:tabs>
        <w:bidi w:val="0"/>
        <w:jc w:val="left"/>
        <w:rPr>
          <w:rFonts w:hint="eastAsia" w:eastAsia="宋体"/>
          <w:sz w:val="30"/>
          <w:szCs w:val="30"/>
          <w:lang w:eastAsia="zh-CN"/>
        </w:rPr>
      </w:pPr>
    </w:p>
    <w:p w14:paraId="65A168CC">
      <w:pPr>
        <w:tabs>
          <w:tab w:val="left" w:pos="280"/>
        </w:tabs>
        <w:bidi w:val="0"/>
        <w:jc w:val="left"/>
        <w:rPr>
          <w:rFonts w:hint="eastAsia" w:eastAsia="宋体"/>
          <w:sz w:val="30"/>
          <w:szCs w:val="30"/>
          <w:lang w:eastAsia="zh-CN"/>
        </w:rPr>
      </w:pPr>
      <w:r>
        <w:rPr>
          <w:rFonts w:hint="eastAsia" w:eastAsia="宋体"/>
          <w:sz w:val="30"/>
          <w:szCs w:val="30"/>
          <w:lang w:eastAsia="zh-CN"/>
        </w:rPr>
        <w:t>That is, we learned how to apply the NCH to OT Scripture; to look for Christ and the several elements of the Eternal Covenant on each and every page of the Law, the Writings, and the Prophets.</w:t>
      </w:r>
    </w:p>
    <w:p w14:paraId="4784A73A">
      <w:pPr>
        <w:tabs>
          <w:tab w:val="left" w:pos="280"/>
        </w:tabs>
        <w:bidi w:val="0"/>
        <w:jc w:val="left"/>
        <w:rPr>
          <w:rFonts w:hint="eastAsia" w:eastAsia="宋体"/>
          <w:sz w:val="30"/>
          <w:szCs w:val="30"/>
          <w:lang w:eastAsia="zh-CN"/>
        </w:rPr>
      </w:pPr>
      <w:r>
        <w:rPr>
          <w:rFonts w:hint="eastAsia" w:eastAsia="宋体"/>
          <w:sz w:val="30"/>
          <w:szCs w:val="30"/>
          <w:lang w:eastAsia="zh-CN"/>
        </w:rPr>
        <w:t>也就是说，我们学会了如何将新约释经学（NCH）应用于旧约圣经；在律法书、著作和先知书的每一页上寻找基督和永恒之约的几个要素。</w:t>
      </w:r>
    </w:p>
    <w:p w14:paraId="52E5A7C3">
      <w:pPr>
        <w:tabs>
          <w:tab w:val="left" w:pos="280"/>
        </w:tabs>
        <w:bidi w:val="0"/>
        <w:jc w:val="left"/>
        <w:rPr>
          <w:rFonts w:hint="eastAsia" w:eastAsia="宋体"/>
          <w:sz w:val="30"/>
          <w:szCs w:val="30"/>
          <w:lang w:eastAsia="zh-CN"/>
        </w:rPr>
      </w:pPr>
    </w:p>
    <w:p w14:paraId="16249F4D">
      <w:pPr>
        <w:tabs>
          <w:tab w:val="left" w:pos="280"/>
        </w:tabs>
        <w:bidi w:val="0"/>
        <w:jc w:val="left"/>
        <w:rPr>
          <w:rFonts w:hint="eastAsia" w:eastAsia="宋体"/>
          <w:sz w:val="30"/>
          <w:szCs w:val="30"/>
          <w:lang w:eastAsia="zh-CN"/>
        </w:rPr>
      </w:pPr>
      <w:r>
        <w:rPr>
          <w:rFonts w:hint="eastAsia" w:eastAsia="宋体"/>
          <w:sz w:val="30"/>
          <w:szCs w:val="30"/>
          <w:lang w:eastAsia="zh-CN"/>
        </w:rPr>
        <w:t>Though our journey through the Era of Promise and Preparation was brief, hopefully it was long enough for you to feel the golden Key of the Eternal Covenant turning powerfully in your hands, opening up the OT as never before, and disclosing the treasures of Christ deep within.</w:t>
      </w:r>
    </w:p>
    <w:p w14:paraId="0B8A9A05">
      <w:pPr>
        <w:tabs>
          <w:tab w:val="left" w:pos="280"/>
        </w:tabs>
        <w:bidi w:val="0"/>
        <w:jc w:val="left"/>
        <w:rPr>
          <w:rFonts w:hint="eastAsia" w:eastAsia="宋体"/>
          <w:sz w:val="30"/>
          <w:szCs w:val="30"/>
          <w:lang w:eastAsia="zh-CN"/>
        </w:rPr>
      </w:pPr>
      <w:r>
        <w:rPr>
          <w:rFonts w:hint="eastAsia" w:eastAsia="宋体"/>
          <w:sz w:val="30"/>
          <w:szCs w:val="30"/>
          <w:lang w:eastAsia="zh-CN"/>
        </w:rPr>
        <w:t>尽管我们穿越应许与预备时代的旅程是短暂的，但希望它足够长，让你能感受到永恒之约的金钥匙在你手中强有力地转动，前所未有地打开旧约，并揭示深藏其中的基督的宝藏。</w:t>
      </w:r>
    </w:p>
    <w:p w14:paraId="5032D320">
      <w:pPr>
        <w:tabs>
          <w:tab w:val="left" w:pos="280"/>
        </w:tabs>
        <w:bidi w:val="0"/>
        <w:jc w:val="left"/>
        <w:rPr>
          <w:rFonts w:hint="eastAsia" w:eastAsia="宋体"/>
          <w:sz w:val="30"/>
          <w:szCs w:val="30"/>
          <w:lang w:eastAsia="zh-CN"/>
        </w:rPr>
      </w:pPr>
    </w:p>
    <w:p w14:paraId="6C5B2FA9">
      <w:pPr>
        <w:tabs>
          <w:tab w:val="left" w:pos="280"/>
        </w:tabs>
        <w:bidi w:val="0"/>
        <w:jc w:val="left"/>
        <w:rPr>
          <w:rFonts w:hint="eastAsia" w:eastAsia="宋体"/>
          <w:sz w:val="30"/>
          <w:szCs w:val="30"/>
          <w:lang w:eastAsia="zh-CN"/>
        </w:rPr>
      </w:pPr>
      <w:r>
        <w:rPr>
          <w:rFonts w:hint="eastAsia" w:eastAsia="宋体"/>
          <w:sz w:val="30"/>
          <w:szCs w:val="30"/>
          <w:lang w:eastAsia="zh-CN"/>
        </w:rPr>
        <w:t>Beyond this, we have also acquired some important tools for grappling with the most vexing eschatological question of all: the nature and stages of the Kingdom of God.</w:t>
      </w:r>
    </w:p>
    <w:p w14:paraId="00C8D876">
      <w:pPr>
        <w:tabs>
          <w:tab w:val="left" w:pos="280"/>
        </w:tabs>
        <w:bidi w:val="0"/>
        <w:jc w:val="left"/>
        <w:rPr>
          <w:rFonts w:hint="eastAsia" w:eastAsia="宋体"/>
          <w:sz w:val="30"/>
          <w:szCs w:val="30"/>
          <w:lang w:eastAsia="zh-CN"/>
        </w:rPr>
      </w:pPr>
      <w:r>
        <w:rPr>
          <w:rFonts w:hint="eastAsia" w:eastAsia="宋体"/>
          <w:sz w:val="30"/>
          <w:szCs w:val="30"/>
          <w:lang w:eastAsia="zh-CN"/>
        </w:rPr>
        <w:t>除此之外，我们还获得了一些重要的工具，来处理所有末世论问题中最棘手的一个：上帝之国的性质和阶段。</w:t>
      </w:r>
    </w:p>
    <w:p w14:paraId="17E1C9A0">
      <w:pPr>
        <w:tabs>
          <w:tab w:val="left" w:pos="280"/>
        </w:tabs>
        <w:bidi w:val="0"/>
        <w:jc w:val="left"/>
        <w:rPr>
          <w:rFonts w:hint="eastAsia" w:eastAsia="宋体"/>
          <w:sz w:val="30"/>
          <w:szCs w:val="30"/>
          <w:lang w:eastAsia="zh-CN"/>
        </w:rPr>
      </w:pPr>
    </w:p>
    <w:p w14:paraId="073EE62D">
      <w:pPr>
        <w:tabs>
          <w:tab w:val="left" w:pos="280"/>
        </w:tabs>
        <w:bidi w:val="0"/>
        <w:jc w:val="left"/>
        <w:rPr>
          <w:rFonts w:hint="eastAsia" w:eastAsia="宋体"/>
          <w:sz w:val="30"/>
          <w:szCs w:val="30"/>
          <w:lang w:eastAsia="zh-CN"/>
        </w:rPr>
      </w:pPr>
      <w:r>
        <w:rPr>
          <w:rFonts w:hint="eastAsia" w:eastAsia="宋体"/>
          <w:sz w:val="30"/>
          <w:szCs w:val="30"/>
          <w:lang w:eastAsia="zh-CN"/>
        </w:rPr>
        <w:t>Concerning the former, we saw that in all four administrations of the Eternal Covenant, God was pleased to use richly typological events and institutions to picture what the Lord Jesus himself identified as the essence of the Kingdom: rescue from every enemy of the Domain of Darkness, and restoration to every spiritual and physical friend under the direct reign of God, all through the divine Person and redemptive Work of Christ.</w:t>
      </w:r>
    </w:p>
    <w:p w14:paraId="7135E0DC">
      <w:pPr>
        <w:tabs>
          <w:tab w:val="left" w:pos="280"/>
        </w:tabs>
        <w:bidi w:val="0"/>
        <w:jc w:val="left"/>
        <w:rPr>
          <w:rFonts w:hint="eastAsia" w:eastAsia="宋体"/>
          <w:sz w:val="30"/>
          <w:szCs w:val="30"/>
          <w:lang w:eastAsia="zh-CN"/>
        </w:rPr>
      </w:pPr>
      <w:r>
        <w:rPr>
          <w:rFonts w:hint="eastAsia" w:eastAsia="宋体"/>
          <w:sz w:val="30"/>
          <w:szCs w:val="30"/>
          <w:lang w:eastAsia="zh-CN"/>
        </w:rPr>
        <w:t>关于前者，我们看到，在永恒之约的所有四次施行中，上帝乐意使用丰富的预表性事件和制度来描绘主耶稣自己所确定的国度的本质：从黑暗权势的每一个仇敌中被拯救出来，并在上帝的直接统治下恢复到与每一个属灵和属肉体的友人的关系中，所有这一切都藉着基督神圣的位格和救赎的工作。</w:t>
      </w:r>
    </w:p>
    <w:p w14:paraId="12160658">
      <w:pPr>
        <w:tabs>
          <w:tab w:val="left" w:pos="280"/>
        </w:tabs>
        <w:bidi w:val="0"/>
        <w:jc w:val="left"/>
        <w:rPr>
          <w:rFonts w:hint="eastAsia" w:eastAsia="宋体"/>
          <w:sz w:val="30"/>
          <w:szCs w:val="30"/>
          <w:lang w:eastAsia="zh-CN"/>
        </w:rPr>
      </w:pPr>
    </w:p>
    <w:p w14:paraId="0159B997">
      <w:pPr>
        <w:tabs>
          <w:tab w:val="left" w:pos="280"/>
        </w:tabs>
        <w:bidi w:val="0"/>
        <w:jc w:val="left"/>
        <w:rPr>
          <w:rFonts w:hint="eastAsia" w:eastAsia="宋体"/>
          <w:sz w:val="30"/>
          <w:szCs w:val="30"/>
          <w:lang w:eastAsia="zh-CN"/>
        </w:rPr>
      </w:pPr>
      <w:r>
        <w:rPr>
          <w:rFonts w:hint="eastAsia" w:eastAsia="宋体"/>
          <w:sz w:val="30"/>
          <w:szCs w:val="30"/>
          <w:lang w:eastAsia="zh-CN"/>
        </w:rPr>
        <w:t>Concerning the latter, we have seen that in the various OT administrations of the Covenant, God does indeed seem repeatedly to depict the Kingdom as coming in two simple stages.</w:t>
      </w:r>
    </w:p>
    <w:p w14:paraId="54B0EF5B">
      <w:pPr>
        <w:tabs>
          <w:tab w:val="left" w:pos="280"/>
        </w:tabs>
        <w:bidi w:val="0"/>
        <w:jc w:val="left"/>
        <w:rPr>
          <w:rFonts w:hint="eastAsia" w:eastAsia="宋体"/>
          <w:sz w:val="30"/>
          <w:szCs w:val="30"/>
          <w:lang w:eastAsia="zh-CN"/>
        </w:rPr>
      </w:pPr>
      <w:r>
        <w:rPr>
          <w:rFonts w:hint="eastAsia" w:eastAsia="宋体"/>
          <w:sz w:val="30"/>
          <w:szCs w:val="30"/>
          <w:lang w:eastAsia="zh-CN"/>
        </w:rPr>
        <w:t>关于后者，我们已经看到，在旧约对约的各种施行中，上帝确实似乎反复地将国度描绘成以两个简单的阶段降临。</w:t>
      </w:r>
    </w:p>
    <w:p w14:paraId="66CE1AB0">
      <w:pPr>
        <w:tabs>
          <w:tab w:val="left" w:pos="280"/>
        </w:tabs>
        <w:bidi w:val="0"/>
        <w:jc w:val="left"/>
        <w:rPr>
          <w:rFonts w:hint="eastAsia" w:eastAsia="宋体"/>
          <w:sz w:val="30"/>
          <w:szCs w:val="30"/>
          <w:lang w:eastAsia="zh-CN"/>
        </w:rPr>
      </w:pPr>
    </w:p>
    <w:p w14:paraId="34CFC020">
      <w:pPr>
        <w:tabs>
          <w:tab w:val="left" w:pos="280"/>
        </w:tabs>
        <w:bidi w:val="0"/>
        <w:jc w:val="left"/>
        <w:rPr>
          <w:rFonts w:hint="eastAsia" w:eastAsia="宋体"/>
          <w:sz w:val="30"/>
          <w:szCs w:val="30"/>
          <w:lang w:eastAsia="zh-CN"/>
        </w:rPr>
      </w:pPr>
      <w:r>
        <w:rPr>
          <w:rFonts w:hint="eastAsia" w:eastAsia="宋体"/>
          <w:sz w:val="30"/>
          <w:szCs w:val="30"/>
          <w:lang w:eastAsia="zh-CN"/>
        </w:rPr>
        <w:t>Whether we think of the life experience of Adam, Noah, Abraham, or Moses and Israel, the pattern is always the same: First a (redemptive) call, then a (difficult) sojourn, and finally a (glorious) entering in.</w:t>
      </w:r>
    </w:p>
    <w:p w14:paraId="0F8DC272">
      <w:pPr>
        <w:tabs>
          <w:tab w:val="left" w:pos="280"/>
        </w:tabs>
        <w:bidi w:val="0"/>
        <w:jc w:val="left"/>
        <w:rPr>
          <w:rFonts w:hint="eastAsia" w:eastAsia="宋体"/>
          <w:sz w:val="30"/>
          <w:szCs w:val="30"/>
          <w:lang w:eastAsia="zh-CN"/>
        </w:rPr>
      </w:pPr>
      <w:r>
        <w:rPr>
          <w:rFonts w:hint="eastAsia" w:eastAsia="宋体"/>
          <w:sz w:val="30"/>
          <w:szCs w:val="30"/>
          <w:lang w:eastAsia="zh-CN"/>
        </w:rPr>
        <w:t>无论我们思考亚当、挪亚、亚伯拉罕，还是摩西和以色列的生命经历，模式总是一样的：首先是一个（救赎性的）呼召，然后是一个（艰难的）寄居，最后是一个（荣耀的）进入。</w:t>
      </w:r>
    </w:p>
    <w:p w14:paraId="52DC322F">
      <w:pPr>
        <w:tabs>
          <w:tab w:val="left" w:pos="280"/>
        </w:tabs>
        <w:bidi w:val="0"/>
        <w:jc w:val="left"/>
        <w:rPr>
          <w:rFonts w:hint="eastAsia" w:eastAsia="宋体"/>
          <w:sz w:val="30"/>
          <w:szCs w:val="30"/>
          <w:lang w:eastAsia="zh-CN"/>
        </w:rPr>
      </w:pPr>
    </w:p>
    <w:p w14:paraId="208AD425">
      <w:pPr>
        <w:tabs>
          <w:tab w:val="left" w:pos="280"/>
        </w:tabs>
        <w:bidi w:val="0"/>
        <w:jc w:val="left"/>
        <w:rPr>
          <w:rFonts w:hint="eastAsia" w:eastAsia="宋体"/>
          <w:sz w:val="30"/>
          <w:szCs w:val="30"/>
          <w:lang w:eastAsia="zh-CN"/>
        </w:rPr>
      </w:pPr>
      <w:r>
        <w:rPr>
          <w:rFonts w:hint="eastAsia" w:eastAsia="宋体"/>
          <w:sz w:val="30"/>
          <w:szCs w:val="30"/>
          <w:lang w:eastAsia="zh-CN"/>
        </w:rPr>
        <w:t>As we are about to see, this pattern conforms perfectly to NT teaching on the coming of the Kingdom: First Christ comes to redeem his people by means of his righteous life and atoning death; then, throughout the course of his heavenly reign, he leads them on a pilgrimage through the wilderness of this world, even as he continues to gather in his elect through the Church’s preaching of the Gospel; and finally he returns in glory to grant them all abundant entry into the eschatological Eden; into a brand new world washed of sin and evil; into the true and eternal Promised Land.</w:t>
      </w:r>
    </w:p>
    <w:p w14:paraId="26163FB4">
      <w:pPr>
        <w:tabs>
          <w:tab w:val="left" w:pos="280"/>
        </w:tabs>
        <w:bidi w:val="0"/>
        <w:jc w:val="left"/>
        <w:rPr>
          <w:rFonts w:hint="eastAsia" w:eastAsia="宋体"/>
          <w:sz w:val="30"/>
          <w:szCs w:val="30"/>
          <w:lang w:eastAsia="zh-CN"/>
        </w:rPr>
      </w:pPr>
      <w:r>
        <w:rPr>
          <w:rFonts w:hint="eastAsia" w:eastAsia="宋体"/>
          <w:sz w:val="30"/>
          <w:szCs w:val="30"/>
          <w:lang w:eastAsia="zh-CN"/>
        </w:rPr>
        <w:t>我们即将看到，这个模式与新约关于国度降临的教导完全一致：首先，基督藉着祂公义的生命和赎罪的死亡来救赎祂的子民；然后，在祂属天统治的整个过程中，祂带领他们在今世的旷野中行路，同时祂也继续藉着教会传讲福音来召聚祂的选民；最后，祂在荣耀中再来，赐给他们所有人丰盛地进入末世的伊甸园；进入一个洗净了罪恶的崭新世界；进入那真实永恒的应许之地。</w:t>
      </w:r>
    </w:p>
    <w:p w14:paraId="49A42E9B">
      <w:pPr>
        <w:tabs>
          <w:tab w:val="left" w:pos="280"/>
        </w:tabs>
        <w:bidi w:val="0"/>
        <w:jc w:val="left"/>
        <w:rPr>
          <w:rFonts w:hint="eastAsia" w:eastAsia="宋体"/>
          <w:sz w:val="30"/>
          <w:szCs w:val="30"/>
          <w:lang w:eastAsia="zh-CN"/>
        </w:rPr>
      </w:pPr>
    </w:p>
    <w:p w14:paraId="17C223E2">
      <w:pPr>
        <w:tabs>
          <w:tab w:val="left" w:pos="280"/>
        </w:tabs>
        <w:bidi w:val="0"/>
        <w:jc w:val="left"/>
        <w:rPr>
          <w:rFonts w:hint="eastAsia" w:eastAsia="宋体"/>
          <w:sz w:val="30"/>
          <w:szCs w:val="30"/>
          <w:lang w:eastAsia="zh-CN"/>
        </w:rPr>
      </w:pPr>
      <w:r>
        <w:rPr>
          <w:rFonts w:hint="eastAsia" w:eastAsia="宋体"/>
          <w:sz w:val="30"/>
          <w:szCs w:val="30"/>
          <w:lang w:eastAsia="zh-CN"/>
        </w:rPr>
        <w:t>So then, having made our way back to the beginning—indeed, back to a time before the beginning, when God formulated his purposes and plans for the cosmos—and having then made our way through the entire Era of Promise and Preparation, we are ready at last to find out if the NT really does teach, as classical Catholic and Protestant theology has almost always taught, that the one Kingdom of God enters history in two simple stages, and two only.</w:t>
      </w:r>
    </w:p>
    <w:p w14:paraId="7C94EEF8">
      <w:pPr>
        <w:tabs>
          <w:tab w:val="left" w:pos="280"/>
        </w:tabs>
        <w:bidi w:val="0"/>
        <w:jc w:val="left"/>
        <w:rPr>
          <w:rFonts w:hint="eastAsia" w:eastAsia="宋体"/>
          <w:sz w:val="30"/>
          <w:szCs w:val="30"/>
          <w:lang w:eastAsia="zh-CN"/>
        </w:rPr>
      </w:pPr>
      <w:r>
        <w:rPr>
          <w:rFonts w:hint="eastAsia" w:eastAsia="宋体"/>
          <w:sz w:val="30"/>
          <w:szCs w:val="30"/>
          <w:lang w:eastAsia="zh-CN"/>
        </w:rPr>
        <w:t>那么，既然我们已经回到了起初——实际上，回到了起初以前，当上帝为宇宙制定祂的旨意和计划的时候——并且既然我们已经走过了整个应许与预备的时代，我们终于准备好去发现，新约是否真的教导，像古典天主教和新教神学几乎总是教导的那样，那独一的上帝之国是以两个简单的阶段，而且仅仅是两个阶段，进入历史的。</w:t>
      </w:r>
    </w:p>
    <w:p w14:paraId="795917BA">
      <w:pPr>
        <w:tabs>
          <w:tab w:val="left" w:pos="280"/>
        </w:tabs>
        <w:bidi w:val="0"/>
        <w:jc w:val="left"/>
        <w:rPr>
          <w:rFonts w:hint="eastAsia" w:eastAsia="宋体"/>
          <w:sz w:val="30"/>
          <w:szCs w:val="30"/>
          <w:lang w:eastAsia="zh-CN"/>
        </w:rPr>
      </w:pPr>
    </w:p>
    <w:p w14:paraId="6F6443BD">
      <w:pPr>
        <w:tabs>
          <w:tab w:val="left" w:pos="280"/>
        </w:tabs>
        <w:bidi w:val="0"/>
        <w:jc w:val="left"/>
        <w:rPr>
          <w:rFonts w:hint="eastAsia" w:eastAsia="宋体"/>
          <w:sz w:val="30"/>
          <w:szCs w:val="30"/>
          <w:lang w:eastAsia="zh-CN"/>
        </w:rPr>
      </w:pPr>
      <w:r>
        <w:rPr>
          <w:rFonts w:hint="eastAsia" w:eastAsia="宋体"/>
          <w:sz w:val="30"/>
          <w:szCs w:val="30"/>
          <w:lang w:eastAsia="zh-CN"/>
        </w:rPr>
        <w:t>If we find that it does, we are home free.</w:t>
      </w:r>
    </w:p>
    <w:p w14:paraId="518852D5">
      <w:pPr>
        <w:tabs>
          <w:tab w:val="left" w:pos="280"/>
        </w:tabs>
        <w:bidi w:val="0"/>
        <w:jc w:val="left"/>
        <w:rPr>
          <w:rFonts w:hint="eastAsia" w:eastAsia="宋体"/>
          <w:sz w:val="30"/>
          <w:szCs w:val="30"/>
          <w:lang w:eastAsia="zh-CN"/>
        </w:rPr>
      </w:pPr>
      <w:r>
        <w:rPr>
          <w:rFonts w:hint="eastAsia" w:eastAsia="宋体"/>
          <w:sz w:val="30"/>
          <w:szCs w:val="30"/>
          <w:lang w:eastAsia="zh-CN"/>
        </w:rPr>
        <w:t>如果我们发现确实如此，我们就自由了。</w:t>
      </w:r>
    </w:p>
    <w:p w14:paraId="43E75C88">
      <w:pPr>
        <w:tabs>
          <w:tab w:val="left" w:pos="280"/>
        </w:tabs>
        <w:bidi w:val="0"/>
        <w:jc w:val="left"/>
        <w:rPr>
          <w:rFonts w:hint="eastAsia" w:eastAsia="宋体"/>
          <w:sz w:val="30"/>
          <w:szCs w:val="30"/>
          <w:lang w:eastAsia="zh-CN"/>
        </w:rPr>
      </w:pPr>
    </w:p>
    <w:p w14:paraId="08348A96">
      <w:pPr>
        <w:tabs>
          <w:tab w:val="left" w:pos="280"/>
        </w:tabs>
        <w:bidi w:val="0"/>
        <w:jc w:val="left"/>
        <w:rPr>
          <w:rFonts w:hint="eastAsia" w:eastAsia="宋体"/>
          <w:sz w:val="30"/>
          <w:szCs w:val="30"/>
          <w:lang w:eastAsia="zh-CN"/>
        </w:rPr>
      </w:pPr>
      <w:r>
        <w:rPr>
          <w:rFonts w:hint="eastAsia" w:eastAsia="宋体"/>
          <w:sz w:val="30"/>
          <w:szCs w:val="30"/>
          <w:lang w:eastAsia="zh-CN"/>
        </w:rPr>
        <w:t>For then we will also find something else, and something of inestimable value: that the Herald of the Kingdom has put still more keys into our hands; keys that finally resolve all our questions about OT Kingdom prophecy, the Millennium, and the Consummation; keys that therefore dissolve all the confusion and controversy presently swirling around the Great End Time Debate!</w:t>
      </w:r>
    </w:p>
    <w:p w14:paraId="5D90B134">
      <w:pPr>
        <w:tabs>
          <w:tab w:val="left" w:pos="280"/>
        </w:tabs>
        <w:bidi w:val="0"/>
        <w:jc w:val="left"/>
        <w:rPr>
          <w:rFonts w:hint="eastAsia" w:eastAsia="宋体"/>
          <w:sz w:val="30"/>
          <w:szCs w:val="30"/>
          <w:lang w:eastAsia="zh-CN"/>
        </w:rPr>
        <w:sectPr>
          <w:pgSz w:w="12240" w:h="15840"/>
          <w:pgMar w:top="1380" w:right="1440" w:bottom="280" w:left="1440" w:header="720" w:footer="720" w:gutter="0"/>
          <w:cols w:space="720" w:num="1"/>
        </w:sectPr>
      </w:pPr>
      <w:r>
        <w:rPr>
          <w:rFonts w:hint="eastAsia" w:eastAsia="宋体"/>
          <w:sz w:val="30"/>
          <w:szCs w:val="30"/>
          <w:lang w:eastAsia="zh-CN"/>
        </w:rPr>
        <w:t>因为那时我们还会发现别的东西，一件具有不可估量价值的东西：国度的先锋已将更多的钥匙放在我们手中；这些钥匙最终解决了我们所有关于旧约国度预言、千禧年和最终成全的问题；这些钥匙因此消除了目前围绕着伟大末世辩论的所有困惑和争议！</w:t>
      </w:r>
    </w:p>
    <w:p w14:paraId="66B034DD">
      <w:pPr>
        <w:pStyle w:val="9"/>
        <w:spacing w:before="0"/>
        <w:ind w:left="0"/>
        <w:jc w:val="left"/>
        <w:rPr>
          <w:sz w:val="17"/>
        </w:rPr>
      </w:pPr>
      <w:bookmarkStart w:id="25" w:name="_bookmark35"/>
      <w:bookmarkEnd w:id="25"/>
      <w:bookmarkStart w:id="26" w:name="Chapter 9: The Coming of the Kingdom"/>
      <w:bookmarkEnd w:id="26"/>
    </w:p>
    <w:p w14:paraId="71D70258">
      <w:pPr>
        <w:pStyle w:val="2"/>
        <w:bidi w:val="0"/>
        <w:rPr>
          <w:rFonts w:hint="eastAsia"/>
        </w:rPr>
      </w:pPr>
      <w:r>
        <w:rPr>
          <w:rFonts w:hint="eastAsia"/>
        </w:rPr>
        <w:t>Chapter 9</w:t>
      </w:r>
    </w:p>
    <w:p w14:paraId="4CA68FD6">
      <w:pPr>
        <w:pStyle w:val="2"/>
        <w:bidi w:val="0"/>
        <w:rPr>
          <w:rFonts w:hint="eastAsia"/>
        </w:rPr>
      </w:pPr>
      <w:r>
        <w:rPr>
          <w:rFonts w:hint="eastAsia"/>
        </w:rPr>
        <w:t>第九章</w:t>
      </w:r>
    </w:p>
    <w:p w14:paraId="6BAE9192">
      <w:pPr>
        <w:spacing w:before="8" w:line="249" w:lineRule="auto"/>
        <w:ind w:left="99" w:right="98" w:firstLine="450"/>
        <w:jc w:val="both"/>
        <w:rPr>
          <w:rFonts w:hint="eastAsia"/>
          <w:color w:val="231F20"/>
          <w:sz w:val="30"/>
        </w:rPr>
      </w:pPr>
    </w:p>
    <w:p w14:paraId="534DAA99">
      <w:pPr>
        <w:pStyle w:val="3"/>
        <w:bidi w:val="0"/>
        <w:rPr>
          <w:rFonts w:hint="eastAsia"/>
        </w:rPr>
      </w:pPr>
      <w:r>
        <w:rPr>
          <w:rFonts w:hint="eastAsia"/>
        </w:rPr>
        <w:t>The Coming of the Kingdom</w:t>
      </w:r>
    </w:p>
    <w:p w14:paraId="5E082985">
      <w:pPr>
        <w:pStyle w:val="3"/>
        <w:bidi w:val="0"/>
        <w:rPr>
          <w:rFonts w:hint="eastAsia"/>
        </w:rPr>
      </w:pPr>
      <w:r>
        <w:rPr>
          <w:rFonts w:hint="eastAsia"/>
        </w:rPr>
        <w:t>国度的降临</w:t>
      </w:r>
    </w:p>
    <w:p w14:paraId="6BB88EAC">
      <w:pPr>
        <w:spacing w:before="8" w:line="249" w:lineRule="auto"/>
        <w:ind w:left="99" w:right="98" w:firstLine="450"/>
        <w:jc w:val="both"/>
        <w:rPr>
          <w:rFonts w:hint="eastAsia"/>
          <w:color w:val="231F20"/>
          <w:sz w:val="30"/>
        </w:rPr>
      </w:pPr>
    </w:p>
    <w:p w14:paraId="7D548372">
      <w:pPr>
        <w:spacing w:before="8" w:line="249" w:lineRule="auto"/>
        <w:ind w:left="99" w:right="98" w:firstLine="450"/>
        <w:jc w:val="both"/>
        <w:rPr>
          <w:rFonts w:hint="eastAsia"/>
          <w:color w:val="231F20"/>
          <w:sz w:val="30"/>
        </w:rPr>
      </w:pPr>
      <w:r>
        <w:rPr>
          <w:rFonts w:hint="eastAsia"/>
          <w:color w:val="231F20"/>
          <w:sz w:val="30"/>
        </w:rPr>
        <w:t>EARLIER IN OUR journey, we heard the Herald of the Kingdom teach on the nature of the Kingdom.</w:t>
      </w:r>
    </w:p>
    <w:p w14:paraId="723D951D">
      <w:pPr>
        <w:spacing w:before="8" w:line="249" w:lineRule="auto"/>
        <w:ind w:left="99" w:right="98" w:firstLine="450"/>
        <w:jc w:val="both"/>
        <w:rPr>
          <w:rFonts w:hint="eastAsia"/>
          <w:color w:val="231F20"/>
          <w:sz w:val="30"/>
        </w:rPr>
      </w:pPr>
      <w:r>
        <w:rPr>
          <w:rFonts w:hint="eastAsia"/>
          <w:color w:val="231F20"/>
          <w:sz w:val="30"/>
        </w:rPr>
        <w:t>在我们旅程的早些时候，我们听到了国度的先锋教导国度的性质。</w:t>
      </w:r>
    </w:p>
    <w:p w14:paraId="68578244">
      <w:pPr>
        <w:spacing w:before="8" w:line="249" w:lineRule="auto"/>
        <w:ind w:left="99" w:right="98" w:firstLine="450"/>
        <w:jc w:val="both"/>
        <w:rPr>
          <w:rFonts w:hint="eastAsia"/>
          <w:color w:val="231F20"/>
          <w:sz w:val="30"/>
        </w:rPr>
      </w:pPr>
    </w:p>
    <w:p w14:paraId="5E8E1B44">
      <w:pPr>
        <w:spacing w:before="8" w:line="249" w:lineRule="auto"/>
        <w:ind w:left="99" w:right="98" w:firstLine="450"/>
        <w:jc w:val="both"/>
        <w:rPr>
          <w:rFonts w:hint="eastAsia"/>
          <w:color w:val="231F20"/>
          <w:sz w:val="30"/>
        </w:rPr>
      </w:pPr>
      <w:r>
        <w:rPr>
          <w:rFonts w:hint="eastAsia"/>
          <w:color w:val="231F20"/>
          <w:sz w:val="30"/>
        </w:rPr>
        <w:t>Now, after plumbing his answer to the biblical depths, we are ready to sit at his feet once again and hear him on the temporal structure of the Kingdom.</w:t>
      </w:r>
    </w:p>
    <w:p w14:paraId="6DC21B78">
      <w:pPr>
        <w:spacing w:before="8" w:line="249" w:lineRule="auto"/>
        <w:ind w:left="99" w:right="98" w:firstLine="450"/>
        <w:jc w:val="both"/>
        <w:rPr>
          <w:rFonts w:hint="eastAsia"/>
          <w:color w:val="231F20"/>
          <w:sz w:val="30"/>
        </w:rPr>
      </w:pPr>
      <w:r>
        <w:rPr>
          <w:rFonts w:hint="eastAsia"/>
          <w:color w:val="231F20"/>
          <w:sz w:val="30"/>
        </w:rPr>
        <w:t>现在，在探索祂答案的圣经深处之后，我们准备好再次坐在祂脚前，听祂讲论国度的时间结构。</w:t>
      </w:r>
    </w:p>
    <w:p w14:paraId="2AAA3AA0">
      <w:pPr>
        <w:spacing w:before="8" w:line="249" w:lineRule="auto"/>
        <w:ind w:left="99" w:right="98" w:firstLine="450"/>
        <w:jc w:val="both"/>
        <w:rPr>
          <w:rFonts w:hint="eastAsia"/>
          <w:color w:val="231F20"/>
          <w:sz w:val="30"/>
        </w:rPr>
      </w:pPr>
    </w:p>
    <w:p w14:paraId="0D786C7E">
      <w:pPr>
        <w:spacing w:before="8" w:line="249" w:lineRule="auto"/>
        <w:ind w:left="99" w:right="98" w:firstLine="450"/>
        <w:jc w:val="both"/>
        <w:rPr>
          <w:rFonts w:hint="eastAsia"/>
          <w:color w:val="231F20"/>
          <w:sz w:val="30"/>
        </w:rPr>
      </w:pPr>
      <w:r>
        <w:rPr>
          <w:rFonts w:hint="eastAsia"/>
          <w:color w:val="231F20"/>
          <w:sz w:val="30"/>
        </w:rPr>
        <w:t>That is, we want to learn how Jesus saw the coming of the Kingdom.</w:t>
      </w:r>
    </w:p>
    <w:p w14:paraId="659C67DD">
      <w:pPr>
        <w:spacing w:before="8" w:line="249" w:lineRule="auto"/>
        <w:ind w:left="99" w:right="98" w:firstLine="450"/>
        <w:jc w:val="both"/>
        <w:rPr>
          <w:rFonts w:hint="eastAsia"/>
          <w:color w:val="231F20"/>
          <w:sz w:val="30"/>
        </w:rPr>
      </w:pPr>
      <w:r>
        <w:rPr>
          <w:rFonts w:hint="eastAsia"/>
          <w:color w:val="231F20"/>
          <w:sz w:val="30"/>
        </w:rPr>
        <w:t>也就是说，我们想了解耶稣是如何看待国度的降临的。</w:t>
      </w:r>
    </w:p>
    <w:p w14:paraId="28F4BDD3">
      <w:pPr>
        <w:spacing w:before="8" w:line="249" w:lineRule="auto"/>
        <w:ind w:left="99" w:right="98" w:firstLine="450"/>
        <w:jc w:val="both"/>
        <w:rPr>
          <w:rFonts w:hint="eastAsia"/>
          <w:color w:val="231F20"/>
          <w:sz w:val="30"/>
        </w:rPr>
      </w:pPr>
    </w:p>
    <w:p w14:paraId="6A53D458">
      <w:pPr>
        <w:spacing w:before="8" w:line="249" w:lineRule="auto"/>
        <w:ind w:left="99" w:right="98" w:firstLine="450"/>
        <w:jc w:val="both"/>
        <w:rPr>
          <w:rFonts w:hint="eastAsia"/>
          <w:color w:val="231F20"/>
          <w:sz w:val="30"/>
        </w:rPr>
      </w:pPr>
      <w:r>
        <w:rPr>
          <w:rFonts w:hint="eastAsia"/>
          <w:color w:val="231F20"/>
          <w:sz w:val="30"/>
        </w:rPr>
        <w:t>Did he think of the Kingdom as being present in his earthly ministry, or as yet to come?</w:t>
      </w:r>
    </w:p>
    <w:p w14:paraId="51DBDFFE">
      <w:pPr>
        <w:spacing w:before="8" w:line="249" w:lineRule="auto"/>
        <w:ind w:left="99" w:right="98" w:firstLine="450"/>
        <w:jc w:val="both"/>
        <w:rPr>
          <w:rFonts w:hint="eastAsia"/>
          <w:color w:val="231F20"/>
          <w:sz w:val="30"/>
        </w:rPr>
      </w:pPr>
      <w:r>
        <w:rPr>
          <w:rFonts w:hint="eastAsia"/>
          <w:color w:val="231F20"/>
          <w:sz w:val="30"/>
        </w:rPr>
        <w:t>祂是认为国度在祂的在世事工中已经临在，还是尚未到来？</w:t>
      </w:r>
    </w:p>
    <w:p w14:paraId="67C35AA2">
      <w:pPr>
        <w:spacing w:before="8" w:line="249" w:lineRule="auto"/>
        <w:ind w:left="99" w:right="98" w:firstLine="450"/>
        <w:jc w:val="both"/>
        <w:rPr>
          <w:rFonts w:hint="eastAsia"/>
          <w:color w:val="231F20"/>
          <w:sz w:val="30"/>
        </w:rPr>
      </w:pPr>
    </w:p>
    <w:p w14:paraId="3E1C6C6F">
      <w:pPr>
        <w:spacing w:before="8" w:line="249" w:lineRule="auto"/>
        <w:ind w:left="99" w:right="98" w:firstLine="450"/>
        <w:jc w:val="both"/>
        <w:rPr>
          <w:rFonts w:hint="eastAsia"/>
          <w:color w:val="231F20"/>
          <w:sz w:val="30"/>
        </w:rPr>
      </w:pPr>
      <w:r>
        <w:rPr>
          <w:rFonts w:hint="eastAsia"/>
          <w:color w:val="231F20"/>
          <w:sz w:val="30"/>
        </w:rPr>
        <w:t>And if yet to come, did he see it as coming in stages?</w:t>
      </w:r>
    </w:p>
    <w:p w14:paraId="5337804C">
      <w:pPr>
        <w:spacing w:before="8" w:line="249" w:lineRule="auto"/>
        <w:ind w:left="99" w:right="98" w:firstLine="450"/>
        <w:jc w:val="both"/>
        <w:rPr>
          <w:rFonts w:hint="eastAsia"/>
          <w:color w:val="231F20"/>
          <w:sz w:val="30"/>
        </w:rPr>
      </w:pPr>
      <w:r>
        <w:rPr>
          <w:rFonts w:hint="eastAsia"/>
          <w:color w:val="231F20"/>
          <w:sz w:val="30"/>
        </w:rPr>
        <w:t>如果尚未到来，祂是否认为它是分阶段来临的？</w:t>
      </w:r>
    </w:p>
    <w:p w14:paraId="52378459">
      <w:pPr>
        <w:spacing w:before="8" w:line="249" w:lineRule="auto"/>
        <w:ind w:left="99" w:right="98" w:firstLine="450"/>
        <w:jc w:val="both"/>
        <w:rPr>
          <w:rFonts w:hint="eastAsia"/>
          <w:color w:val="231F20"/>
          <w:sz w:val="30"/>
        </w:rPr>
      </w:pPr>
    </w:p>
    <w:p w14:paraId="58C14317">
      <w:pPr>
        <w:spacing w:before="8" w:line="249" w:lineRule="auto"/>
        <w:ind w:left="99" w:right="98" w:firstLine="450"/>
        <w:jc w:val="both"/>
        <w:rPr>
          <w:rFonts w:hint="eastAsia"/>
          <w:color w:val="231F20"/>
          <w:sz w:val="30"/>
        </w:rPr>
      </w:pPr>
      <w:r>
        <w:rPr>
          <w:rFonts w:hint="eastAsia"/>
          <w:color w:val="231F20"/>
          <w:sz w:val="30"/>
        </w:rPr>
        <w:t>And if in stages, how many?</w:t>
      </w:r>
    </w:p>
    <w:p w14:paraId="2F77A106">
      <w:pPr>
        <w:spacing w:before="8" w:line="249" w:lineRule="auto"/>
        <w:ind w:left="99" w:right="98" w:firstLine="450"/>
        <w:jc w:val="both"/>
        <w:rPr>
          <w:rFonts w:hint="eastAsia"/>
          <w:color w:val="231F20"/>
          <w:sz w:val="30"/>
        </w:rPr>
      </w:pPr>
      <w:r>
        <w:rPr>
          <w:rFonts w:hint="eastAsia"/>
          <w:color w:val="231F20"/>
          <w:sz w:val="30"/>
        </w:rPr>
        <w:t>如果分阶段，有多少个阶段？</w:t>
      </w:r>
    </w:p>
    <w:p w14:paraId="3DC61A75">
      <w:pPr>
        <w:spacing w:before="8" w:line="249" w:lineRule="auto"/>
        <w:ind w:left="99" w:right="98" w:firstLine="450"/>
        <w:jc w:val="both"/>
        <w:rPr>
          <w:rFonts w:hint="eastAsia"/>
          <w:color w:val="231F20"/>
          <w:sz w:val="30"/>
        </w:rPr>
      </w:pPr>
    </w:p>
    <w:p w14:paraId="2632990D">
      <w:pPr>
        <w:spacing w:before="8" w:line="249" w:lineRule="auto"/>
        <w:ind w:left="99" w:right="98" w:firstLine="450"/>
        <w:jc w:val="both"/>
        <w:rPr>
          <w:rFonts w:hint="eastAsia"/>
          <w:color w:val="231F20"/>
          <w:sz w:val="30"/>
        </w:rPr>
      </w:pPr>
      <w:r>
        <w:rPr>
          <w:rFonts w:hint="eastAsia"/>
          <w:color w:val="231F20"/>
          <w:sz w:val="30"/>
        </w:rPr>
        <w:t>And if in many, what are the distinctive characteristics of each?</w:t>
      </w:r>
    </w:p>
    <w:p w14:paraId="36D08DA1">
      <w:pPr>
        <w:spacing w:before="8" w:line="249" w:lineRule="auto"/>
        <w:ind w:left="99" w:right="98" w:firstLine="450"/>
        <w:jc w:val="both"/>
        <w:rPr>
          <w:rFonts w:hint="eastAsia"/>
          <w:color w:val="231F20"/>
          <w:sz w:val="30"/>
        </w:rPr>
      </w:pPr>
      <w:r>
        <w:rPr>
          <w:rFonts w:hint="eastAsia"/>
          <w:color w:val="231F20"/>
          <w:sz w:val="30"/>
        </w:rPr>
        <w:t>如果有很多，每一个的独特特征是什么？</w:t>
      </w:r>
    </w:p>
    <w:p w14:paraId="1FC39CEF">
      <w:pPr>
        <w:spacing w:before="8" w:line="249" w:lineRule="auto"/>
        <w:ind w:left="99" w:right="98" w:firstLine="450"/>
        <w:jc w:val="both"/>
        <w:rPr>
          <w:rFonts w:hint="eastAsia"/>
          <w:color w:val="231F20"/>
          <w:sz w:val="30"/>
        </w:rPr>
      </w:pPr>
    </w:p>
    <w:p w14:paraId="4F5D7C98">
      <w:pPr>
        <w:spacing w:before="8" w:line="249" w:lineRule="auto"/>
        <w:ind w:left="99" w:right="98" w:firstLine="450"/>
        <w:jc w:val="both"/>
        <w:rPr>
          <w:rFonts w:hint="eastAsia"/>
          <w:color w:val="231F20"/>
          <w:sz w:val="30"/>
        </w:rPr>
      </w:pPr>
      <w:r>
        <w:rPr>
          <w:rFonts w:hint="eastAsia"/>
          <w:color w:val="231F20"/>
          <w:sz w:val="30"/>
        </w:rPr>
        <w:t>Along the way we have touched on these matters.</w:t>
      </w:r>
    </w:p>
    <w:p w14:paraId="528CFBF5">
      <w:pPr>
        <w:spacing w:before="8" w:line="249" w:lineRule="auto"/>
        <w:ind w:left="99" w:right="98" w:firstLine="450"/>
        <w:jc w:val="both"/>
        <w:rPr>
          <w:rFonts w:hint="eastAsia"/>
          <w:color w:val="231F20"/>
          <w:sz w:val="30"/>
        </w:rPr>
      </w:pPr>
      <w:r>
        <w:rPr>
          <w:rFonts w:hint="eastAsia"/>
          <w:color w:val="231F20"/>
          <w:sz w:val="30"/>
        </w:rPr>
        <w:t>一路上我们已经触及了这些问题。</w:t>
      </w:r>
    </w:p>
    <w:p w14:paraId="2FB1FCEE">
      <w:pPr>
        <w:spacing w:before="8" w:line="249" w:lineRule="auto"/>
        <w:ind w:left="99" w:right="98" w:firstLine="450"/>
        <w:jc w:val="both"/>
        <w:rPr>
          <w:rFonts w:hint="eastAsia"/>
          <w:color w:val="231F20"/>
          <w:sz w:val="30"/>
        </w:rPr>
      </w:pPr>
    </w:p>
    <w:p w14:paraId="5CA6664D">
      <w:pPr>
        <w:spacing w:before="8" w:line="249" w:lineRule="auto"/>
        <w:ind w:left="99" w:right="98" w:firstLine="450"/>
        <w:jc w:val="both"/>
        <w:rPr>
          <w:rFonts w:hint="eastAsia"/>
          <w:color w:val="231F20"/>
          <w:sz w:val="30"/>
        </w:rPr>
      </w:pPr>
      <w:r>
        <w:rPr>
          <w:rFonts w:hint="eastAsia"/>
          <w:color w:val="231F20"/>
          <w:sz w:val="30"/>
        </w:rPr>
        <w:t>In particular, I have suggested that Christ and his apostles understood the Kingdom as coming in two simple stages.</w:t>
      </w:r>
    </w:p>
    <w:p w14:paraId="6131CC8F">
      <w:pPr>
        <w:spacing w:before="8" w:line="249" w:lineRule="auto"/>
        <w:ind w:left="99" w:right="98" w:firstLine="450"/>
        <w:jc w:val="both"/>
        <w:rPr>
          <w:rFonts w:hint="eastAsia"/>
          <w:color w:val="231F20"/>
          <w:sz w:val="30"/>
        </w:rPr>
      </w:pPr>
      <w:r>
        <w:rPr>
          <w:rFonts w:hint="eastAsia"/>
          <w:color w:val="231F20"/>
          <w:sz w:val="30"/>
        </w:rPr>
        <w:t>特别是，我曾提出基督和祂的使徒们理解国度是以两个简单的阶段降临的。</w:t>
      </w:r>
    </w:p>
    <w:p w14:paraId="66B3F77B">
      <w:pPr>
        <w:spacing w:before="8" w:line="249" w:lineRule="auto"/>
        <w:ind w:left="99" w:right="98" w:firstLine="450"/>
        <w:jc w:val="both"/>
        <w:rPr>
          <w:rFonts w:hint="eastAsia"/>
          <w:color w:val="231F20"/>
          <w:sz w:val="30"/>
        </w:rPr>
      </w:pPr>
    </w:p>
    <w:p w14:paraId="3CEF7E9C">
      <w:pPr>
        <w:spacing w:before="8" w:line="249" w:lineRule="auto"/>
        <w:ind w:left="99" w:right="98" w:firstLine="450"/>
        <w:jc w:val="both"/>
        <w:rPr>
          <w:rFonts w:hint="eastAsia"/>
          <w:color w:val="231F20"/>
          <w:sz w:val="30"/>
        </w:rPr>
      </w:pPr>
      <w:r>
        <w:rPr>
          <w:rFonts w:hint="eastAsia"/>
          <w:color w:val="231F20"/>
          <w:sz w:val="30"/>
        </w:rPr>
        <w:t>Now, however, we must find out if this is so.</w:t>
      </w:r>
    </w:p>
    <w:p w14:paraId="49D4DD9A">
      <w:pPr>
        <w:spacing w:before="8" w:line="249" w:lineRule="auto"/>
        <w:ind w:left="99" w:right="98" w:firstLine="450"/>
        <w:jc w:val="both"/>
        <w:rPr>
          <w:rFonts w:hint="eastAsia"/>
          <w:color w:val="231F20"/>
          <w:sz w:val="30"/>
        </w:rPr>
      </w:pPr>
      <w:r>
        <w:rPr>
          <w:rFonts w:hint="eastAsia"/>
          <w:color w:val="231F20"/>
          <w:sz w:val="30"/>
        </w:rPr>
        <w:t>然而，现在我们必须弄清楚是否如此。</w:t>
      </w:r>
    </w:p>
    <w:p w14:paraId="3FBDC42E">
      <w:pPr>
        <w:spacing w:before="8" w:line="249" w:lineRule="auto"/>
        <w:ind w:left="99" w:right="98" w:firstLine="450"/>
        <w:jc w:val="both"/>
        <w:rPr>
          <w:rFonts w:hint="eastAsia"/>
          <w:color w:val="231F20"/>
          <w:sz w:val="30"/>
        </w:rPr>
      </w:pPr>
    </w:p>
    <w:p w14:paraId="3ABED284">
      <w:pPr>
        <w:spacing w:before="8" w:line="249" w:lineRule="auto"/>
        <w:ind w:left="99" w:right="98" w:firstLine="450"/>
        <w:jc w:val="both"/>
        <w:rPr>
          <w:rFonts w:hint="eastAsia"/>
          <w:color w:val="231F20"/>
          <w:sz w:val="30"/>
        </w:rPr>
      </w:pPr>
      <w:r>
        <w:rPr>
          <w:rFonts w:hint="eastAsia"/>
          <w:color w:val="231F20"/>
          <w:sz w:val="30"/>
        </w:rPr>
        <w:t>And as we begin our investigation, I would invite you to pay the closest possible attention, for unless I am very much mistaken, the question of the coming of the Kingdom is decisive for a proper understanding of biblical cosmic eschatology as whole.</w:t>
      </w:r>
    </w:p>
    <w:p w14:paraId="229EFF42">
      <w:pPr>
        <w:spacing w:before="8" w:line="249" w:lineRule="auto"/>
        <w:ind w:left="99" w:right="98" w:firstLine="450"/>
        <w:jc w:val="both"/>
        <w:rPr>
          <w:rFonts w:hint="eastAsia"/>
          <w:color w:val="231F20"/>
          <w:sz w:val="30"/>
        </w:rPr>
      </w:pPr>
      <w:r>
        <w:rPr>
          <w:rFonts w:hint="eastAsia"/>
          <w:color w:val="231F20"/>
          <w:sz w:val="30"/>
        </w:rPr>
        <w:t>当我们开始调查时，我邀请你尽可能密切地注意，因为除非我大错特错，否则国度降临的问题对于正确理解整个圣经宇宙末世论是决定性的。</w:t>
      </w:r>
    </w:p>
    <w:p w14:paraId="48526AB5">
      <w:pPr>
        <w:spacing w:before="8" w:line="249" w:lineRule="auto"/>
        <w:ind w:left="99" w:right="98" w:firstLine="450"/>
        <w:jc w:val="both"/>
        <w:rPr>
          <w:rFonts w:hint="eastAsia"/>
          <w:color w:val="231F20"/>
          <w:sz w:val="30"/>
        </w:rPr>
      </w:pPr>
    </w:p>
    <w:p w14:paraId="2184DE5B">
      <w:pPr>
        <w:spacing w:before="8" w:line="249" w:lineRule="auto"/>
        <w:ind w:left="99" w:right="98" w:firstLine="450"/>
        <w:jc w:val="both"/>
        <w:rPr>
          <w:rFonts w:hint="eastAsia"/>
          <w:color w:val="231F20"/>
          <w:sz w:val="30"/>
        </w:rPr>
      </w:pPr>
      <w:r>
        <w:rPr>
          <w:rFonts w:hint="eastAsia"/>
          <w:color w:val="231F20"/>
          <w:sz w:val="30"/>
        </w:rPr>
        <w:t>It is the one question whose answer will fling open the doors to all eschatological truth, and so determine the victor in the Great End Time Debate.</w:t>
      </w:r>
    </w:p>
    <w:p w14:paraId="1FECF291">
      <w:pPr>
        <w:spacing w:before="8" w:line="249" w:lineRule="auto"/>
        <w:ind w:left="99" w:right="98" w:firstLine="450"/>
        <w:jc w:val="both"/>
        <w:rPr>
          <w:rFonts w:hint="eastAsia"/>
          <w:color w:val="231F20"/>
          <w:sz w:val="30"/>
        </w:rPr>
      </w:pPr>
      <w:r>
        <w:rPr>
          <w:rFonts w:hint="eastAsia"/>
          <w:color w:val="231F20"/>
          <w:sz w:val="30"/>
        </w:rPr>
        <w:t>正是这个问题，其答案将为所有末世论真理敞开大门，从而决定伟大末世辩论的胜利者。</w:t>
      </w:r>
    </w:p>
    <w:p w14:paraId="10096966">
      <w:pPr>
        <w:spacing w:before="8" w:line="249" w:lineRule="auto"/>
        <w:ind w:left="99" w:right="98" w:firstLine="450"/>
        <w:jc w:val="both"/>
        <w:rPr>
          <w:rFonts w:hint="eastAsia"/>
          <w:color w:val="231F20"/>
          <w:sz w:val="30"/>
        </w:rPr>
      </w:pPr>
    </w:p>
    <w:p w14:paraId="18141020">
      <w:pPr>
        <w:spacing w:before="8" w:line="249" w:lineRule="auto"/>
        <w:ind w:left="99" w:right="98" w:firstLine="450"/>
        <w:jc w:val="both"/>
        <w:rPr>
          <w:rFonts w:hint="eastAsia"/>
          <w:color w:val="231F20"/>
          <w:sz w:val="30"/>
        </w:rPr>
      </w:pPr>
      <w:r>
        <w:rPr>
          <w:rFonts w:hint="eastAsia"/>
          <w:color w:val="231F20"/>
          <w:sz w:val="30"/>
        </w:rPr>
        <w:t>The Mysteries of the Kingdom of God</w:t>
      </w:r>
    </w:p>
    <w:p w14:paraId="517D4178">
      <w:pPr>
        <w:spacing w:before="8" w:line="249" w:lineRule="auto"/>
        <w:ind w:left="99" w:right="98" w:firstLine="450"/>
        <w:jc w:val="both"/>
        <w:rPr>
          <w:rFonts w:hint="eastAsia"/>
          <w:color w:val="231F20"/>
          <w:sz w:val="30"/>
        </w:rPr>
      </w:pPr>
      <w:r>
        <w:rPr>
          <w:rFonts w:hint="eastAsia"/>
          <w:color w:val="231F20"/>
          <w:sz w:val="30"/>
        </w:rPr>
        <w:t>上帝之国的奥秘</w:t>
      </w:r>
    </w:p>
    <w:p w14:paraId="65CCF469">
      <w:pPr>
        <w:spacing w:before="8" w:line="249" w:lineRule="auto"/>
        <w:ind w:left="99" w:right="98" w:firstLine="450"/>
        <w:jc w:val="both"/>
        <w:rPr>
          <w:rFonts w:hint="eastAsia"/>
          <w:color w:val="231F20"/>
          <w:sz w:val="30"/>
        </w:rPr>
      </w:pPr>
    </w:p>
    <w:p w14:paraId="647FCEC4">
      <w:pPr>
        <w:spacing w:before="8" w:line="249" w:lineRule="auto"/>
        <w:ind w:left="99" w:right="98" w:firstLine="450"/>
        <w:jc w:val="both"/>
        <w:rPr>
          <w:rFonts w:hint="eastAsia"/>
          <w:color w:val="231F20"/>
          <w:sz w:val="30"/>
        </w:rPr>
      </w:pPr>
      <w:r>
        <w:rPr>
          <w:rFonts w:hint="eastAsia"/>
          <w:color w:val="231F20"/>
          <w:sz w:val="30"/>
        </w:rPr>
        <w:t>(Mt. 13:1ff, Mark 4:1-34)</w:t>
      </w:r>
    </w:p>
    <w:p w14:paraId="43DF050C">
      <w:pPr>
        <w:spacing w:before="8" w:line="249" w:lineRule="auto"/>
        <w:ind w:left="99" w:right="98" w:firstLine="450"/>
        <w:jc w:val="both"/>
        <w:rPr>
          <w:rFonts w:hint="eastAsia"/>
          <w:color w:val="231F20"/>
          <w:sz w:val="30"/>
        </w:rPr>
      </w:pPr>
      <w:r>
        <w:rPr>
          <w:rFonts w:hint="eastAsia"/>
          <w:color w:val="231F20"/>
          <w:sz w:val="30"/>
        </w:rPr>
        <w:t>（太 13:1ff, 可 4:1-34）</w:t>
      </w:r>
    </w:p>
    <w:p w14:paraId="7E9EA9CB">
      <w:pPr>
        <w:spacing w:before="8" w:line="249" w:lineRule="auto"/>
        <w:ind w:left="99" w:right="98" w:firstLine="450"/>
        <w:jc w:val="both"/>
        <w:rPr>
          <w:rFonts w:hint="eastAsia"/>
          <w:color w:val="231F20"/>
          <w:sz w:val="30"/>
        </w:rPr>
      </w:pPr>
    </w:p>
    <w:p w14:paraId="5913F7FF">
      <w:pPr>
        <w:spacing w:before="8" w:line="249" w:lineRule="auto"/>
        <w:ind w:left="99" w:right="98" w:firstLine="450"/>
        <w:jc w:val="both"/>
        <w:rPr>
          <w:rFonts w:hint="eastAsia"/>
          <w:color w:val="231F20"/>
          <w:sz w:val="30"/>
        </w:rPr>
      </w:pPr>
      <w:r>
        <w:rPr>
          <w:rFonts w:hint="eastAsia"/>
          <w:color w:val="231F20"/>
          <w:sz w:val="30"/>
        </w:rPr>
        <w:t>We begin with what I regard as the single most important body of eschatological teaching in the entire NT: Jesus’ discourse on the mysteries of the Kingdom of God.</w:t>
      </w:r>
    </w:p>
    <w:p w14:paraId="7473E457">
      <w:pPr>
        <w:spacing w:before="8" w:line="249" w:lineRule="auto"/>
        <w:ind w:left="99" w:right="98" w:firstLine="450"/>
        <w:jc w:val="both"/>
        <w:rPr>
          <w:rFonts w:hint="eastAsia"/>
          <w:color w:val="231F20"/>
          <w:sz w:val="30"/>
        </w:rPr>
      </w:pPr>
      <w:r>
        <w:rPr>
          <w:rFonts w:hint="eastAsia"/>
          <w:color w:val="231F20"/>
          <w:sz w:val="30"/>
        </w:rPr>
        <w:t>我们从我所认为的整个新约中最重要的末世论教导开始：耶稣关于上帝之国奥秘的讲论。</w:t>
      </w:r>
    </w:p>
    <w:p w14:paraId="3F7A7B37">
      <w:pPr>
        <w:spacing w:before="8" w:line="249" w:lineRule="auto"/>
        <w:ind w:left="99" w:right="98" w:firstLine="450"/>
        <w:jc w:val="both"/>
        <w:rPr>
          <w:rFonts w:hint="eastAsia"/>
          <w:color w:val="231F20"/>
          <w:sz w:val="30"/>
        </w:rPr>
      </w:pPr>
    </w:p>
    <w:p w14:paraId="361B7FB3">
      <w:pPr>
        <w:spacing w:before="8" w:line="249" w:lineRule="auto"/>
        <w:ind w:left="99" w:right="98" w:firstLine="450"/>
        <w:jc w:val="both"/>
        <w:rPr>
          <w:rFonts w:hint="eastAsia"/>
          <w:color w:val="231F20"/>
          <w:sz w:val="30"/>
        </w:rPr>
      </w:pPr>
      <w:r>
        <w:rPr>
          <w:rFonts w:hint="eastAsia"/>
          <w:color w:val="231F20"/>
          <w:sz w:val="30"/>
        </w:rPr>
        <w:t>Its importance is evident from several key characteristics.</w:t>
      </w:r>
    </w:p>
    <w:p w14:paraId="083149B6">
      <w:pPr>
        <w:spacing w:before="8" w:line="249" w:lineRule="auto"/>
        <w:ind w:left="99" w:right="98" w:firstLine="450"/>
        <w:jc w:val="both"/>
        <w:rPr>
          <w:rFonts w:hint="eastAsia"/>
          <w:color w:val="231F20"/>
          <w:sz w:val="30"/>
        </w:rPr>
      </w:pPr>
      <w:r>
        <w:rPr>
          <w:rFonts w:hint="eastAsia"/>
          <w:color w:val="231F20"/>
          <w:sz w:val="30"/>
        </w:rPr>
        <w:t>其重要性从几个关键特征中显而易见。</w:t>
      </w:r>
    </w:p>
    <w:p w14:paraId="67614823">
      <w:pPr>
        <w:spacing w:before="8" w:line="249" w:lineRule="auto"/>
        <w:ind w:left="99" w:right="98" w:firstLine="450"/>
        <w:jc w:val="both"/>
        <w:rPr>
          <w:rFonts w:hint="eastAsia"/>
          <w:color w:val="231F20"/>
          <w:sz w:val="30"/>
        </w:rPr>
      </w:pPr>
    </w:p>
    <w:p w14:paraId="7FCFE1BB">
      <w:pPr>
        <w:spacing w:before="8" w:line="249" w:lineRule="auto"/>
        <w:ind w:left="99" w:right="98" w:firstLine="450"/>
        <w:jc w:val="both"/>
        <w:rPr>
          <w:rFonts w:hint="eastAsia"/>
          <w:color w:val="231F20"/>
          <w:sz w:val="30"/>
        </w:rPr>
      </w:pPr>
      <w:r>
        <w:rPr>
          <w:rFonts w:hint="eastAsia"/>
          <w:color w:val="231F20"/>
          <w:sz w:val="30"/>
        </w:rPr>
        <w:t>First, it is a didactic bloc of teaching: Here Christ is not simply referring to the Kingdom, but pointedly instructing his NT scribes as to its very nature and structure.</w:t>
      </w:r>
    </w:p>
    <w:p w14:paraId="0B76DEDF">
      <w:pPr>
        <w:spacing w:before="8" w:line="249" w:lineRule="auto"/>
        <w:ind w:left="99" w:right="98" w:firstLine="450"/>
        <w:jc w:val="both"/>
        <w:rPr>
          <w:rFonts w:hint="eastAsia"/>
          <w:color w:val="231F20"/>
          <w:sz w:val="30"/>
        </w:rPr>
      </w:pPr>
      <w:r>
        <w:rPr>
          <w:rFonts w:hint="eastAsia"/>
          <w:color w:val="231F20"/>
          <w:sz w:val="30"/>
        </w:rPr>
        <w:t>首先，这是一段教导性的教训：在此，基督不仅是提到国度，而是尖锐地教导祂的新约文士关于其本质和结构。</w:t>
      </w:r>
    </w:p>
    <w:p w14:paraId="4949D65A">
      <w:pPr>
        <w:spacing w:before="8" w:line="249" w:lineRule="auto"/>
        <w:ind w:left="99" w:right="98" w:firstLine="450"/>
        <w:jc w:val="both"/>
        <w:rPr>
          <w:rFonts w:hint="eastAsia"/>
          <w:color w:val="231F20"/>
          <w:sz w:val="30"/>
        </w:rPr>
      </w:pPr>
    </w:p>
    <w:p w14:paraId="7C237455">
      <w:pPr>
        <w:spacing w:before="8" w:line="249" w:lineRule="auto"/>
        <w:ind w:left="99" w:right="98" w:firstLine="450"/>
        <w:jc w:val="both"/>
        <w:rPr>
          <w:rFonts w:hint="eastAsia"/>
          <w:color w:val="231F20"/>
          <w:sz w:val="30"/>
        </w:rPr>
      </w:pPr>
      <w:r>
        <w:rPr>
          <w:rFonts w:hint="eastAsia"/>
          <w:color w:val="231F20"/>
          <w:sz w:val="30"/>
        </w:rPr>
        <w:t>Secondly, it is a lengthy bloc of teaching (the second of five such lengthy blocs found in Matthew’s gospel).</w:t>
      </w:r>
    </w:p>
    <w:p w14:paraId="231A5B23">
      <w:pPr>
        <w:spacing w:before="8" w:line="249" w:lineRule="auto"/>
        <w:ind w:left="99" w:right="98" w:firstLine="450"/>
        <w:jc w:val="both"/>
        <w:rPr>
          <w:rFonts w:hint="eastAsia"/>
          <w:color w:val="231F20"/>
          <w:sz w:val="30"/>
        </w:rPr>
      </w:pPr>
      <w:r>
        <w:rPr>
          <w:rFonts w:hint="eastAsia"/>
          <w:color w:val="231F20"/>
          <w:sz w:val="30"/>
        </w:rPr>
        <w:t>其次，这是一段长篇的教训（是马太福音中五段此类长篇教训的第二段）。</w:t>
      </w:r>
    </w:p>
    <w:p w14:paraId="1B6C0141">
      <w:pPr>
        <w:spacing w:before="8" w:line="249" w:lineRule="auto"/>
        <w:ind w:left="99" w:right="98" w:firstLine="450"/>
        <w:jc w:val="both"/>
        <w:rPr>
          <w:rFonts w:hint="eastAsia"/>
          <w:color w:val="231F20"/>
          <w:sz w:val="30"/>
        </w:rPr>
      </w:pPr>
    </w:p>
    <w:p w14:paraId="517D2002">
      <w:pPr>
        <w:spacing w:before="8" w:line="249" w:lineRule="auto"/>
        <w:ind w:left="99" w:right="98" w:firstLine="450"/>
        <w:jc w:val="both"/>
        <w:rPr>
          <w:rFonts w:hint="eastAsia"/>
          <w:color w:val="231F20"/>
          <w:sz w:val="30"/>
        </w:rPr>
      </w:pPr>
      <w:r>
        <w:rPr>
          <w:rFonts w:hint="eastAsia"/>
          <w:color w:val="231F20"/>
          <w:sz w:val="30"/>
        </w:rPr>
        <w:t>Thirdly, it is a focused bloc of teaching, devoted entirely to the theme of the Kingdom.</w:t>
      </w:r>
    </w:p>
    <w:p w14:paraId="62F0CC68">
      <w:pPr>
        <w:spacing w:before="8" w:line="249" w:lineRule="auto"/>
        <w:ind w:left="99" w:right="98" w:firstLine="450"/>
        <w:jc w:val="both"/>
        <w:rPr>
          <w:rFonts w:hint="eastAsia"/>
          <w:color w:val="231F20"/>
          <w:sz w:val="30"/>
        </w:rPr>
      </w:pPr>
      <w:r>
        <w:rPr>
          <w:rFonts w:hint="eastAsia"/>
          <w:color w:val="231F20"/>
          <w:sz w:val="30"/>
        </w:rPr>
        <w:t>第三，这是一段集中的教训，完全致力于国度这一主题。</w:t>
      </w:r>
    </w:p>
    <w:p w14:paraId="7C67FF46">
      <w:pPr>
        <w:spacing w:before="8" w:line="249" w:lineRule="auto"/>
        <w:ind w:left="99" w:right="98" w:firstLine="450"/>
        <w:jc w:val="both"/>
        <w:rPr>
          <w:rFonts w:hint="eastAsia"/>
          <w:color w:val="231F20"/>
          <w:sz w:val="30"/>
        </w:rPr>
      </w:pPr>
    </w:p>
    <w:p w14:paraId="7128AAFD">
      <w:pPr>
        <w:spacing w:before="8" w:line="249" w:lineRule="auto"/>
        <w:ind w:left="99" w:right="98" w:firstLine="450"/>
        <w:jc w:val="both"/>
        <w:rPr>
          <w:rFonts w:hint="eastAsia"/>
          <w:color w:val="231F20"/>
          <w:sz w:val="30"/>
        </w:rPr>
      </w:pPr>
      <w:r>
        <w:rPr>
          <w:rFonts w:hint="eastAsia"/>
          <w:color w:val="231F20"/>
          <w:sz w:val="30"/>
        </w:rPr>
        <w:t>Fourthly, it is a foundational bloc of teaching, clearly setting the stage for all further NT revelation about the Kingdom and the Consummation.</w:t>
      </w:r>
    </w:p>
    <w:p w14:paraId="546A2C4A">
      <w:pPr>
        <w:spacing w:before="8" w:line="249" w:lineRule="auto"/>
        <w:ind w:left="99" w:right="98" w:firstLine="450"/>
        <w:jc w:val="both"/>
        <w:rPr>
          <w:rFonts w:hint="eastAsia"/>
          <w:color w:val="231F20"/>
          <w:sz w:val="30"/>
        </w:rPr>
      </w:pPr>
      <w:r>
        <w:rPr>
          <w:rFonts w:hint="eastAsia"/>
          <w:color w:val="231F20"/>
          <w:sz w:val="30"/>
        </w:rPr>
        <w:t>第四，这是一段基础性的教训，清楚地为所有关于国度和最终成全的进一步新约启示奠定了基础。</w:t>
      </w:r>
    </w:p>
    <w:p w14:paraId="7BACB8C8">
      <w:pPr>
        <w:spacing w:before="8" w:line="249" w:lineRule="auto"/>
        <w:ind w:left="99" w:right="98" w:firstLine="450"/>
        <w:jc w:val="both"/>
        <w:rPr>
          <w:rFonts w:hint="eastAsia"/>
          <w:color w:val="231F20"/>
          <w:sz w:val="30"/>
        </w:rPr>
      </w:pPr>
    </w:p>
    <w:p w14:paraId="68026767">
      <w:pPr>
        <w:spacing w:before="8" w:line="249" w:lineRule="auto"/>
        <w:ind w:left="99" w:right="98" w:firstLine="450"/>
        <w:jc w:val="both"/>
        <w:rPr>
          <w:rFonts w:hint="eastAsia"/>
          <w:color w:val="231F20"/>
          <w:sz w:val="30"/>
        </w:rPr>
      </w:pPr>
      <w:r>
        <w:rPr>
          <w:rFonts w:hint="eastAsia"/>
          <w:color w:val="231F20"/>
          <w:sz w:val="30"/>
        </w:rPr>
        <w:t>And finally, it is a dominical bloc of teaching, flowing from the lips of the incarnate Christ himself, and therefore worthy of special attention.</w:t>
      </w:r>
    </w:p>
    <w:p w14:paraId="6D72EBBC">
      <w:pPr>
        <w:spacing w:before="8" w:line="249" w:lineRule="auto"/>
        <w:ind w:left="99" w:right="98" w:firstLine="450"/>
        <w:jc w:val="both"/>
        <w:rPr>
          <w:rFonts w:hint="eastAsia"/>
          <w:color w:val="231F20"/>
          <w:sz w:val="30"/>
        </w:rPr>
      </w:pPr>
      <w:r>
        <w:rPr>
          <w:rFonts w:hint="eastAsia"/>
          <w:color w:val="231F20"/>
          <w:sz w:val="30"/>
        </w:rPr>
        <w:t>最后，这是一段源于主的教训，出自道成肉身的基督亲口，因此值得特别关注。</w:t>
      </w:r>
    </w:p>
    <w:p w14:paraId="0D28EA0A">
      <w:pPr>
        <w:spacing w:before="8" w:line="249" w:lineRule="auto"/>
        <w:ind w:left="99" w:right="98" w:firstLine="450"/>
        <w:jc w:val="both"/>
        <w:rPr>
          <w:rFonts w:hint="eastAsia"/>
          <w:color w:val="231F20"/>
          <w:sz w:val="30"/>
        </w:rPr>
      </w:pPr>
    </w:p>
    <w:p w14:paraId="5FFD7FA6">
      <w:pPr>
        <w:spacing w:before="8" w:line="249" w:lineRule="auto"/>
        <w:ind w:left="99" w:right="98" w:firstLine="450"/>
        <w:jc w:val="both"/>
        <w:rPr>
          <w:rFonts w:hint="eastAsia"/>
          <w:color w:val="231F20"/>
          <w:sz w:val="30"/>
        </w:rPr>
      </w:pPr>
      <w:r>
        <w:rPr>
          <w:rFonts w:hint="eastAsia"/>
          <w:color w:val="231F20"/>
          <w:sz w:val="30"/>
        </w:rPr>
        <w:t>Here then we need to listen hard if ever we hope to arrive at a sound NT understanding of the Kingdom of God.</w:t>
      </w:r>
    </w:p>
    <w:p w14:paraId="088E2230">
      <w:pPr>
        <w:spacing w:before="8" w:line="249" w:lineRule="auto"/>
        <w:ind w:left="99" w:right="98" w:firstLine="450"/>
        <w:jc w:val="both"/>
        <w:rPr>
          <w:rFonts w:hint="eastAsia"/>
          <w:color w:val="231F20"/>
          <w:sz w:val="30"/>
        </w:rPr>
      </w:pPr>
      <w:r>
        <w:rPr>
          <w:rFonts w:hint="eastAsia"/>
          <w:color w:val="231F20"/>
          <w:sz w:val="30"/>
        </w:rPr>
        <w:t>那么，如果我们希望对上帝的国有健全的新约理解，我们就需要在此处仔细聆听。</w:t>
      </w:r>
    </w:p>
    <w:p w14:paraId="37DC8D96">
      <w:pPr>
        <w:spacing w:before="8" w:line="249" w:lineRule="auto"/>
        <w:ind w:left="99" w:right="98" w:firstLine="450"/>
        <w:jc w:val="both"/>
        <w:rPr>
          <w:rFonts w:hint="eastAsia"/>
          <w:color w:val="231F20"/>
          <w:sz w:val="30"/>
        </w:rPr>
      </w:pPr>
    </w:p>
    <w:p w14:paraId="191CA35E">
      <w:pPr>
        <w:spacing w:before="8" w:line="249" w:lineRule="auto"/>
        <w:ind w:left="99" w:right="98" w:firstLine="450"/>
        <w:jc w:val="both"/>
        <w:rPr>
          <w:rFonts w:hint="eastAsia"/>
          <w:color w:val="231F20"/>
          <w:sz w:val="30"/>
        </w:rPr>
      </w:pPr>
      <w:r>
        <w:rPr>
          <w:rFonts w:hint="eastAsia"/>
          <w:color w:val="231F20"/>
          <w:sz w:val="30"/>
        </w:rPr>
        <w:t>Much as I wish we could devote an entire chapter to these rich texts, limitations of time and space preclude it.</w:t>
      </w:r>
    </w:p>
    <w:p w14:paraId="7324EE8D">
      <w:pPr>
        <w:spacing w:before="8" w:line="249" w:lineRule="auto"/>
        <w:ind w:left="99" w:right="98" w:firstLine="450"/>
        <w:jc w:val="both"/>
        <w:rPr>
          <w:rFonts w:hint="eastAsia"/>
          <w:color w:val="231F20"/>
          <w:sz w:val="30"/>
        </w:rPr>
      </w:pPr>
      <w:r>
        <w:rPr>
          <w:rFonts w:hint="eastAsia"/>
          <w:color w:val="231F20"/>
          <w:sz w:val="30"/>
        </w:rPr>
        <w:t>尽管我非常希望我们能用一整章来探讨这些丰富的经文，但时间和空间的限制使之无法实现。</w:t>
      </w:r>
    </w:p>
    <w:p w14:paraId="29E9A643">
      <w:pPr>
        <w:spacing w:before="8" w:line="249" w:lineRule="auto"/>
        <w:ind w:left="99" w:right="98" w:firstLine="450"/>
        <w:jc w:val="both"/>
        <w:rPr>
          <w:rFonts w:hint="eastAsia"/>
          <w:color w:val="231F20"/>
          <w:sz w:val="30"/>
        </w:rPr>
      </w:pPr>
    </w:p>
    <w:p w14:paraId="764FBD65">
      <w:pPr>
        <w:spacing w:before="8" w:line="249" w:lineRule="auto"/>
        <w:ind w:left="99" w:right="98" w:firstLine="450"/>
        <w:jc w:val="both"/>
        <w:rPr>
          <w:rFonts w:hint="eastAsia"/>
          <w:color w:val="231F20"/>
          <w:sz w:val="30"/>
        </w:rPr>
      </w:pPr>
      <w:r>
        <w:rPr>
          <w:rFonts w:hint="eastAsia"/>
          <w:color w:val="231F20"/>
          <w:sz w:val="30"/>
        </w:rPr>
        <w:t>We can, however, get to the heart of things with a short survey.</w:t>
      </w:r>
    </w:p>
    <w:p w14:paraId="56E92A82">
      <w:pPr>
        <w:spacing w:before="8" w:line="249" w:lineRule="auto"/>
        <w:ind w:left="99" w:right="98" w:firstLine="450"/>
        <w:jc w:val="both"/>
        <w:rPr>
          <w:rFonts w:hint="eastAsia"/>
          <w:color w:val="231F20"/>
          <w:sz w:val="30"/>
        </w:rPr>
      </w:pPr>
      <w:r>
        <w:rPr>
          <w:rFonts w:hint="eastAsia"/>
          <w:color w:val="231F20"/>
          <w:sz w:val="30"/>
        </w:rPr>
        <w:t>然而，我们可以通过一个简短的考察来触及事物的核心。</w:t>
      </w:r>
    </w:p>
    <w:p w14:paraId="54006F80">
      <w:pPr>
        <w:spacing w:before="8" w:line="249" w:lineRule="auto"/>
        <w:ind w:left="99" w:right="98" w:firstLine="450"/>
        <w:jc w:val="both"/>
        <w:rPr>
          <w:rFonts w:hint="eastAsia"/>
          <w:color w:val="231F20"/>
          <w:sz w:val="30"/>
        </w:rPr>
      </w:pPr>
    </w:p>
    <w:p w14:paraId="45262CF0">
      <w:pPr>
        <w:spacing w:before="8" w:line="249" w:lineRule="auto"/>
        <w:ind w:left="99" w:right="98" w:firstLine="450"/>
        <w:jc w:val="both"/>
        <w:rPr>
          <w:rFonts w:hint="eastAsia"/>
          <w:color w:val="231F20"/>
          <w:sz w:val="30"/>
        </w:rPr>
      </w:pPr>
      <w:r>
        <w:rPr>
          <w:rFonts w:hint="eastAsia"/>
          <w:color w:val="231F20"/>
          <w:sz w:val="30"/>
        </w:rPr>
        <w:t>Therefore, in what follows I will briefly introduce Jesus’ teaching, take a close look at what I believe is the single most important parable of the Kingdom, give the gist of all the rest, and then conclude by summarizing the key mysteries of the Kingdom here unveiled.</w:t>
      </w:r>
    </w:p>
    <w:p w14:paraId="006A09D5">
      <w:pPr>
        <w:spacing w:before="8" w:line="249" w:lineRule="auto"/>
        <w:ind w:left="99" w:right="98" w:firstLine="450"/>
        <w:jc w:val="both"/>
        <w:rPr>
          <w:rFonts w:hint="eastAsia"/>
          <w:color w:val="231F20"/>
          <w:sz w:val="30"/>
        </w:rPr>
      </w:pPr>
      <w:r>
        <w:rPr>
          <w:rFonts w:hint="eastAsia"/>
          <w:color w:val="231F20"/>
          <w:sz w:val="30"/>
        </w:rPr>
        <w:t>因此，在接下来的内容中，我将简要介绍耶稣的教导，仔细审视我认为是关于国度的唯一最重要的比喻，给出其余所有比喻的要点，然后通过总结此处揭示的国度关键奥秘来作结。</w:t>
      </w:r>
    </w:p>
    <w:p w14:paraId="59C84946">
      <w:pPr>
        <w:spacing w:before="8" w:line="249" w:lineRule="auto"/>
        <w:ind w:left="99" w:right="98" w:firstLine="450"/>
        <w:jc w:val="both"/>
        <w:rPr>
          <w:rFonts w:hint="eastAsia"/>
          <w:color w:val="231F20"/>
          <w:sz w:val="30"/>
        </w:rPr>
      </w:pPr>
    </w:p>
    <w:p w14:paraId="5D417D4B">
      <w:pPr>
        <w:spacing w:before="8" w:line="249" w:lineRule="auto"/>
        <w:ind w:left="99" w:right="98" w:firstLine="450"/>
        <w:jc w:val="both"/>
        <w:rPr>
          <w:rFonts w:hint="eastAsia"/>
          <w:color w:val="231F20"/>
          <w:sz w:val="30"/>
        </w:rPr>
      </w:pPr>
      <w:r>
        <w:rPr>
          <w:rFonts w:hint="eastAsia"/>
          <w:color w:val="231F20"/>
          <w:sz w:val="30"/>
        </w:rPr>
        <w:t>Before plunging in, you may wish to read these passages once again.</w:t>
      </w:r>
    </w:p>
    <w:p w14:paraId="38F44DB7">
      <w:pPr>
        <w:spacing w:before="8" w:line="249" w:lineRule="auto"/>
        <w:ind w:left="99" w:right="98" w:firstLine="450"/>
        <w:jc w:val="both"/>
        <w:rPr>
          <w:rFonts w:hint="eastAsia"/>
          <w:color w:val="231F20"/>
          <w:sz w:val="30"/>
        </w:rPr>
      </w:pPr>
      <w:r>
        <w:rPr>
          <w:rFonts w:hint="eastAsia"/>
          <w:color w:val="231F20"/>
          <w:sz w:val="30"/>
        </w:rPr>
        <w:t>在投入之前，你可能希望再次阅读这些段落。</w:t>
      </w:r>
    </w:p>
    <w:p w14:paraId="147B9915">
      <w:pPr>
        <w:spacing w:before="8" w:line="249" w:lineRule="auto"/>
        <w:ind w:left="99" w:right="98" w:firstLine="450"/>
        <w:jc w:val="both"/>
        <w:rPr>
          <w:rFonts w:hint="eastAsia"/>
          <w:color w:val="231F20"/>
          <w:sz w:val="30"/>
        </w:rPr>
      </w:pPr>
    </w:p>
    <w:p w14:paraId="4388CFE9">
      <w:pPr>
        <w:spacing w:before="8" w:line="249" w:lineRule="auto"/>
        <w:ind w:left="99" w:right="98" w:firstLine="450"/>
        <w:jc w:val="both"/>
        <w:rPr>
          <w:rFonts w:hint="eastAsia"/>
          <w:color w:val="231F20"/>
          <w:sz w:val="30"/>
        </w:rPr>
      </w:pPr>
      <w:r>
        <w:rPr>
          <w:rFonts w:hint="eastAsia"/>
          <w:color w:val="231F20"/>
          <w:sz w:val="30"/>
        </w:rPr>
        <w:t>After that, please keep your Bible open, as we dig into these rewarding texts together.</w:t>
      </w:r>
    </w:p>
    <w:p w14:paraId="635E0DE3">
      <w:pPr>
        <w:spacing w:before="8" w:line="249" w:lineRule="auto"/>
        <w:ind w:left="99" w:right="98" w:firstLine="450"/>
        <w:jc w:val="both"/>
        <w:rPr>
          <w:rFonts w:hint="eastAsia"/>
          <w:color w:val="231F20"/>
          <w:sz w:val="30"/>
        </w:rPr>
      </w:pPr>
      <w:r>
        <w:rPr>
          <w:rFonts w:hint="eastAsia"/>
          <w:color w:val="231F20"/>
          <w:sz w:val="30"/>
        </w:rPr>
        <w:t>之后，请打开你的圣经，我们一起深入研究这些富有价值的经文。</w:t>
      </w:r>
    </w:p>
    <w:p w14:paraId="4849E71A">
      <w:pPr>
        <w:spacing w:before="8" w:line="249" w:lineRule="auto"/>
        <w:ind w:left="99" w:right="98" w:firstLine="450"/>
        <w:jc w:val="both"/>
        <w:rPr>
          <w:rFonts w:hint="eastAsia"/>
          <w:color w:val="231F20"/>
          <w:sz w:val="30"/>
        </w:rPr>
      </w:pPr>
    </w:p>
    <w:p w14:paraId="1E2E50AC">
      <w:pPr>
        <w:spacing w:before="8" w:line="249" w:lineRule="auto"/>
        <w:ind w:left="99" w:right="98" w:firstLine="450"/>
        <w:jc w:val="both"/>
        <w:rPr>
          <w:rFonts w:hint="eastAsia"/>
          <w:color w:val="231F20"/>
          <w:sz w:val="30"/>
        </w:rPr>
      </w:pPr>
      <w:r>
        <w:rPr>
          <w:rFonts w:hint="eastAsia"/>
          <w:color w:val="231F20"/>
          <w:sz w:val="30"/>
        </w:rPr>
        <w:t>Mysteries and Parables (Mt. 13:1-17, Mk. 4:10-12)</w:t>
      </w:r>
    </w:p>
    <w:p w14:paraId="72D34D01">
      <w:pPr>
        <w:spacing w:before="8" w:line="249" w:lineRule="auto"/>
        <w:ind w:left="99" w:right="98" w:firstLine="450"/>
        <w:jc w:val="both"/>
        <w:rPr>
          <w:rFonts w:hint="eastAsia"/>
          <w:color w:val="231F20"/>
          <w:sz w:val="30"/>
        </w:rPr>
      </w:pPr>
      <w:r>
        <w:rPr>
          <w:rFonts w:hint="eastAsia"/>
          <w:color w:val="231F20"/>
          <w:sz w:val="30"/>
        </w:rPr>
        <w:t>奥秘与比喻（太 13:1-17, 可 4:10-12）</w:t>
      </w:r>
    </w:p>
    <w:p w14:paraId="2C075BFE">
      <w:pPr>
        <w:spacing w:before="8" w:line="249" w:lineRule="auto"/>
        <w:ind w:left="99" w:right="98" w:firstLine="450"/>
        <w:jc w:val="both"/>
        <w:rPr>
          <w:rFonts w:hint="eastAsia"/>
          <w:color w:val="231F20"/>
          <w:sz w:val="30"/>
        </w:rPr>
      </w:pPr>
    </w:p>
    <w:p w14:paraId="2494A356">
      <w:pPr>
        <w:spacing w:before="8" w:line="249" w:lineRule="auto"/>
        <w:ind w:left="99" w:right="98" w:firstLine="450"/>
        <w:jc w:val="both"/>
        <w:rPr>
          <w:rFonts w:hint="eastAsia"/>
          <w:color w:val="231F20"/>
          <w:sz w:val="30"/>
        </w:rPr>
      </w:pPr>
      <w:r>
        <w:rPr>
          <w:rFonts w:hint="eastAsia"/>
          <w:color w:val="231F20"/>
          <w:sz w:val="30"/>
        </w:rPr>
        <w:t>The Lord’s instruction on the mysteries of the Kingdom began with his telling the assembled multitudes a parable, the Parable of the Sower (Mt. 4:1-9, Mk. 4:1-9).</w:t>
      </w:r>
    </w:p>
    <w:p w14:paraId="7018674E">
      <w:pPr>
        <w:spacing w:before="8" w:line="249" w:lineRule="auto"/>
        <w:ind w:left="99" w:right="98" w:firstLine="450"/>
        <w:jc w:val="both"/>
        <w:rPr>
          <w:rFonts w:hint="eastAsia"/>
          <w:color w:val="231F20"/>
          <w:sz w:val="30"/>
        </w:rPr>
      </w:pPr>
      <w:r>
        <w:rPr>
          <w:rFonts w:hint="eastAsia"/>
          <w:color w:val="231F20"/>
          <w:sz w:val="30"/>
        </w:rPr>
        <w:t>主关于国度奥秘的教导，始于祂对聚集的众人讲一个比喻，即撒种者的比喻（太 4:1-9, 可 4:1-9）。</w:t>
      </w:r>
    </w:p>
    <w:p w14:paraId="453BFFD0">
      <w:pPr>
        <w:spacing w:before="8" w:line="249" w:lineRule="auto"/>
        <w:ind w:left="99" w:right="98" w:firstLine="450"/>
        <w:jc w:val="both"/>
        <w:rPr>
          <w:rFonts w:hint="eastAsia"/>
          <w:color w:val="231F20"/>
          <w:sz w:val="30"/>
        </w:rPr>
      </w:pPr>
    </w:p>
    <w:p w14:paraId="46944409">
      <w:pPr>
        <w:spacing w:before="8" w:line="249" w:lineRule="auto"/>
        <w:ind w:left="99" w:right="98" w:firstLine="450"/>
        <w:jc w:val="both"/>
        <w:rPr>
          <w:rFonts w:hint="eastAsia"/>
          <w:color w:val="231F20"/>
          <w:sz w:val="30"/>
        </w:rPr>
      </w:pPr>
      <w:r>
        <w:rPr>
          <w:rFonts w:hint="eastAsia"/>
          <w:color w:val="231F20"/>
          <w:sz w:val="30"/>
        </w:rPr>
        <w:t>Since all alike were mystified as to its meaning, his disciples later came to him privately, asking him to explain the teaching, and also why he chose to clothe it in parabolic language.</w:t>
      </w:r>
    </w:p>
    <w:p w14:paraId="5C845690">
      <w:pPr>
        <w:spacing w:before="8" w:line="249" w:lineRule="auto"/>
        <w:ind w:left="99" w:right="98" w:firstLine="450"/>
        <w:jc w:val="both"/>
        <w:rPr>
          <w:rFonts w:hint="eastAsia"/>
          <w:color w:val="231F20"/>
          <w:sz w:val="30"/>
        </w:rPr>
      </w:pPr>
      <w:r>
        <w:rPr>
          <w:rFonts w:hint="eastAsia"/>
          <w:color w:val="231F20"/>
          <w:sz w:val="30"/>
        </w:rPr>
        <w:t>由于所有人都对其含义感到困惑，祂的门徒后来私下里来问祂，请祂解释这个教导，以及祂为什么选择用比喻的语言来包装它。</w:t>
      </w:r>
    </w:p>
    <w:p w14:paraId="28E9C73F">
      <w:pPr>
        <w:spacing w:before="8" w:line="249" w:lineRule="auto"/>
        <w:ind w:left="99" w:right="98" w:firstLine="450"/>
        <w:jc w:val="both"/>
        <w:rPr>
          <w:rFonts w:hint="eastAsia"/>
          <w:color w:val="231F20"/>
          <w:sz w:val="30"/>
        </w:rPr>
      </w:pPr>
    </w:p>
    <w:p w14:paraId="1A6B7138">
      <w:pPr>
        <w:spacing w:before="8" w:line="249" w:lineRule="auto"/>
        <w:ind w:left="99" w:right="98" w:firstLine="450"/>
        <w:jc w:val="both"/>
        <w:rPr>
          <w:rFonts w:hint="eastAsia"/>
          <w:color w:val="231F20"/>
          <w:sz w:val="30"/>
        </w:rPr>
      </w:pPr>
      <w:r>
        <w:rPr>
          <w:rFonts w:hint="eastAsia"/>
          <w:color w:val="231F20"/>
          <w:sz w:val="30"/>
        </w:rPr>
        <w:t>His response should be deeply affecting to all Christians: “To you it has been given to know the mysteries of the Kingdom of Heaven; but to them it has not been given” (Mt. 13:11).</w:t>
      </w:r>
    </w:p>
    <w:p w14:paraId="7E78D4BA">
      <w:pPr>
        <w:spacing w:before="8" w:line="249" w:lineRule="auto"/>
        <w:ind w:left="99" w:right="98" w:firstLine="450"/>
        <w:jc w:val="both"/>
        <w:rPr>
          <w:rFonts w:hint="eastAsia"/>
          <w:color w:val="231F20"/>
          <w:sz w:val="30"/>
        </w:rPr>
      </w:pPr>
      <w:r>
        <w:rPr>
          <w:rFonts w:hint="eastAsia"/>
          <w:color w:val="231F20"/>
          <w:sz w:val="30"/>
        </w:rPr>
        <w:t>祂的回答应该深深地触动所有基督徒：“天国的奥秘，只叫你们知道；不叫他们知道”（太 13:11）。</w:t>
      </w:r>
    </w:p>
    <w:p w14:paraId="704EE635">
      <w:pPr>
        <w:spacing w:before="8" w:line="249" w:lineRule="auto"/>
        <w:ind w:left="99" w:right="98" w:firstLine="450"/>
        <w:jc w:val="both"/>
        <w:rPr>
          <w:rFonts w:hint="eastAsia"/>
          <w:color w:val="231F20"/>
          <w:sz w:val="30"/>
        </w:rPr>
      </w:pPr>
    </w:p>
    <w:p w14:paraId="190FA464">
      <w:pPr>
        <w:spacing w:before="8" w:line="249" w:lineRule="auto"/>
        <w:ind w:left="99" w:right="98" w:firstLine="450"/>
        <w:jc w:val="both"/>
        <w:rPr>
          <w:rFonts w:hint="eastAsia"/>
          <w:color w:val="231F20"/>
          <w:sz w:val="30"/>
        </w:rPr>
      </w:pPr>
      <w:r>
        <w:rPr>
          <w:rFonts w:hint="eastAsia"/>
          <w:color w:val="231F20"/>
          <w:sz w:val="30"/>
        </w:rPr>
        <w:t>Since this brief word sets the stage for all that is to come, we do well to spend some time with it.</w:t>
      </w:r>
    </w:p>
    <w:p w14:paraId="5C4817D9">
      <w:pPr>
        <w:spacing w:before="8" w:line="249" w:lineRule="auto"/>
        <w:ind w:left="99" w:right="98" w:firstLine="450"/>
        <w:jc w:val="both"/>
        <w:rPr>
          <w:rFonts w:hint="eastAsia"/>
          <w:color w:val="231F20"/>
          <w:sz w:val="30"/>
        </w:rPr>
      </w:pPr>
      <w:r>
        <w:rPr>
          <w:rFonts w:hint="eastAsia"/>
          <w:color w:val="231F20"/>
          <w:sz w:val="30"/>
        </w:rPr>
        <w:t>由于这简短的话为接下来的一切奠定了基础，我们最好花些时间来研究它。</w:t>
      </w:r>
    </w:p>
    <w:p w14:paraId="41B97125">
      <w:pPr>
        <w:spacing w:before="8" w:line="249" w:lineRule="auto"/>
        <w:ind w:left="99" w:right="98" w:firstLine="450"/>
        <w:jc w:val="both"/>
        <w:rPr>
          <w:rFonts w:hint="eastAsia"/>
          <w:color w:val="231F20"/>
          <w:sz w:val="30"/>
        </w:rPr>
      </w:pPr>
    </w:p>
    <w:p w14:paraId="6A75C22F">
      <w:pPr>
        <w:spacing w:before="8" w:line="249" w:lineRule="auto"/>
        <w:ind w:left="99" w:right="98" w:firstLine="450"/>
        <w:jc w:val="both"/>
        <w:rPr>
          <w:rFonts w:hint="eastAsia"/>
          <w:color w:val="231F20"/>
          <w:sz w:val="30"/>
        </w:rPr>
      </w:pPr>
      <w:r>
        <w:rPr>
          <w:rFonts w:hint="eastAsia"/>
          <w:color w:val="231F20"/>
          <w:sz w:val="30"/>
        </w:rPr>
        <w:t>Two key points may be made.</w:t>
      </w:r>
    </w:p>
    <w:p w14:paraId="022C4090">
      <w:pPr>
        <w:spacing w:before="8" w:line="249" w:lineRule="auto"/>
        <w:ind w:left="99" w:right="98" w:firstLine="450"/>
        <w:jc w:val="both"/>
        <w:rPr>
          <w:rFonts w:hint="eastAsia"/>
          <w:color w:val="231F20"/>
          <w:sz w:val="30"/>
        </w:rPr>
      </w:pPr>
      <w:r>
        <w:rPr>
          <w:rFonts w:hint="eastAsia"/>
          <w:color w:val="231F20"/>
          <w:sz w:val="30"/>
        </w:rPr>
        <w:t>可以提出两个关键点。</w:t>
      </w:r>
    </w:p>
    <w:p w14:paraId="14513BCC">
      <w:pPr>
        <w:spacing w:before="8" w:line="249" w:lineRule="auto"/>
        <w:ind w:left="99" w:right="98" w:firstLine="450"/>
        <w:jc w:val="both"/>
        <w:rPr>
          <w:rFonts w:hint="eastAsia"/>
          <w:color w:val="231F20"/>
          <w:sz w:val="30"/>
        </w:rPr>
      </w:pPr>
    </w:p>
    <w:p w14:paraId="1112E79F">
      <w:pPr>
        <w:spacing w:before="8" w:line="249" w:lineRule="auto"/>
        <w:ind w:left="99" w:right="98" w:firstLine="450"/>
        <w:jc w:val="both"/>
        <w:rPr>
          <w:rFonts w:hint="eastAsia"/>
          <w:color w:val="231F20"/>
          <w:sz w:val="30"/>
        </w:rPr>
      </w:pPr>
      <w:r>
        <w:rPr>
          <w:rFonts w:hint="eastAsia"/>
          <w:color w:val="231F20"/>
          <w:sz w:val="30"/>
        </w:rPr>
        <w:t>First, in this special season of teaching on the Kingdom, Christ’s main purpose was to initiate his disciples into the “mysteries” of the Kingdom of heaven.</w:t>
      </w:r>
    </w:p>
    <w:p w14:paraId="7029EBAC">
      <w:pPr>
        <w:spacing w:before="8" w:line="249" w:lineRule="auto"/>
        <w:ind w:left="99" w:right="98" w:firstLine="450"/>
        <w:jc w:val="both"/>
        <w:rPr>
          <w:rFonts w:hint="eastAsia"/>
          <w:color w:val="231F20"/>
          <w:sz w:val="30"/>
        </w:rPr>
      </w:pPr>
      <w:r>
        <w:rPr>
          <w:rFonts w:hint="eastAsia"/>
          <w:color w:val="231F20"/>
          <w:sz w:val="30"/>
        </w:rPr>
        <w:t>首先，在这个关于国度的特殊教导季节里，基督的主要目的是将祂的门徒引入天国“奥秘”之中。</w:t>
      </w:r>
    </w:p>
    <w:p w14:paraId="0E09F358">
      <w:pPr>
        <w:spacing w:before="8" w:line="249" w:lineRule="auto"/>
        <w:ind w:left="99" w:right="98" w:firstLine="450"/>
        <w:jc w:val="both"/>
        <w:rPr>
          <w:rFonts w:hint="eastAsia"/>
          <w:color w:val="231F20"/>
          <w:sz w:val="30"/>
        </w:rPr>
      </w:pPr>
    </w:p>
    <w:p w14:paraId="007AFE07">
      <w:pPr>
        <w:spacing w:before="8" w:line="249" w:lineRule="auto"/>
        <w:ind w:left="99" w:right="98" w:firstLine="450"/>
        <w:jc w:val="both"/>
        <w:rPr>
          <w:rFonts w:hint="eastAsia"/>
          <w:color w:val="231F20"/>
          <w:sz w:val="30"/>
        </w:rPr>
      </w:pPr>
      <w:r>
        <w:rPr>
          <w:rFonts w:hint="eastAsia"/>
          <w:color w:val="231F20"/>
          <w:sz w:val="30"/>
        </w:rPr>
        <w:t>As we saw earlier, throughout the NT a mystery is defined as “an open secret,” a divine truth formerly hidden or veiled, but now brought out into the open by divine revelation.</w:t>
      </w:r>
    </w:p>
    <w:p w14:paraId="363EC0A2">
      <w:pPr>
        <w:spacing w:before="8" w:line="249" w:lineRule="auto"/>
        <w:ind w:left="99" w:right="98" w:firstLine="450"/>
        <w:jc w:val="both"/>
        <w:rPr>
          <w:rFonts w:hint="eastAsia"/>
          <w:color w:val="231F20"/>
          <w:sz w:val="30"/>
        </w:rPr>
      </w:pPr>
      <w:r>
        <w:rPr>
          <w:rFonts w:hint="eastAsia"/>
          <w:color w:val="231F20"/>
          <w:sz w:val="30"/>
        </w:rPr>
        <w:t>正如我们之前所见，在整个新约中，一个奥秘被定义为“一个公开的秘密”，一个先前被隐藏或蒙着帕子的神圣真理，但现在通过神圣的启示被公之于众。</w:t>
      </w:r>
    </w:p>
    <w:p w14:paraId="37B400B9">
      <w:pPr>
        <w:spacing w:before="8" w:line="249" w:lineRule="auto"/>
        <w:ind w:left="99" w:right="98" w:firstLine="450"/>
        <w:jc w:val="both"/>
        <w:rPr>
          <w:rFonts w:hint="eastAsia"/>
          <w:color w:val="231F20"/>
          <w:sz w:val="30"/>
        </w:rPr>
      </w:pPr>
    </w:p>
    <w:p w14:paraId="4F8FF33B">
      <w:pPr>
        <w:spacing w:before="8" w:line="249" w:lineRule="auto"/>
        <w:ind w:left="99" w:right="98" w:firstLine="450"/>
        <w:jc w:val="both"/>
        <w:rPr>
          <w:rFonts w:hint="eastAsia"/>
          <w:color w:val="231F20"/>
          <w:sz w:val="30"/>
        </w:rPr>
      </w:pPr>
      <w:r>
        <w:rPr>
          <w:rFonts w:hint="eastAsia"/>
          <w:color w:val="231F20"/>
          <w:sz w:val="30"/>
        </w:rPr>
        <w:t>Such is the case here.</w:t>
      </w:r>
    </w:p>
    <w:p w14:paraId="04964A1B">
      <w:pPr>
        <w:spacing w:before="8" w:line="249" w:lineRule="auto"/>
        <w:ind w:left="99" w:right="98" w:firstLine="450"/>
        <w:jc w:val="both"/>
        <w:rPr>
          <w:rFonts w:hint="eastAsia"/>
          <w:color w:val="231F20"/>
          <w:sz w:val="30"/>
        </w:rPr>
      </w:pPr>
      <w:r>
        <w:rPr>
          <w:rFonts w:hint="eastAsia"/>
          <w:color w:val="231F20"/>
          <w:sz w:val="30"/>
        </w:rPr>
        <w:t>此处正是如此。</w:t>
      </w:r>
    </w:p>
    <w:p w14:paraId="0F16B1DD">
      <w:pPr>
        <w:spacing w:before="8" w:line="249" w:lineRule="auto"/>
        <w:ind w:left="99" w:right="98" w:firstLine="450"/>
        <w:jc w:val="both"/>
        <w:rPr>
          <w:rFonts w:hint="eastAsia"/>
          <w:color w:val="231F20"/>
          <w:sz w:val="30"/>
        </w:rPr>
      </w:pPr>
    </w:p>
    <w:p w14:paraId="30DD946D">
      <w:pPr>
        <w:spacing w:before="8" w:line="249" w:lineRule="auto"/>
        <w:ind w:left="99" w:right="98" w:firstLine="450"/>
        <w:jc w:val="both"/>
        <w:rPr>
          <w:rFonts w:hint="eastAsia"/>
          <w:color w:val="231F20"/>
          <w:sz w:val="30"/>
        </w:rPr>
      </w:pPr>
      <w:r>
        <w:rPr>
          <w:rFonts w:hint="eastAsia"/>
          <w:color w:val="231F20"/>
          <w:sz w:val="30"/>
        </w:rPr>
        <w:t>As Matthew himself remarks, Jesus was “… uttering things kept secret from the foundation of the world” (Mt. 13:34-35).</w:t>
      </w:r>
    </w:p>
    <w:p w14:paraId="3F6FCB9A">
      <w:pPr>
        <w:spacing w:before="8" w:line="249" w:lineRule="auto"/>
        <w:ind w:left="99" w:right="98" w:firstLine="450"/>
        <w:jc w:val="both"/>
        <w:rPr>
          <w:rFonts w:hint="eastAsia"/>
          <w:color w:val="231F20"/>
          <w:sz w:val="30"/>
        </w:rPr>
      </w:pPr>
      <w:r>
        <w:rPr>
          <w:rFonts w:hint="eastAsia"/>
          <w:color w:val="231F20"/>
          <w:sz w:val="30"/>
        </w:rPr>
        <w:t>正如马太自己所评论的，耶稣是“……把创世以来所隐藏的事发明出来”（太 13:34-35）。</w:t>
      </w:r>
    </w:p>
    <w:p w14:paraId="7B59A4EB">
      <w:pPr>
        <w:spacing w:before="8" w:line="249" w:lineRule="auto"/>
        <w:ind w:left="99" w:right="98" w:firstLine="450"/>
        <w:jc w:val="both"/>
        <w:rPr>
          <w:rFonts w:hint="eastAsia"/>
          <w:color w:val="231F20"/>
          <w:sz w:val="30"/>
        </w:rPr>
      </w:pPr>
    </w:p>
    <w:p w14:paraId="0305CB55">
      <w:pPr>
        <w:spacing w:before="8" w:line="249" w:lineRule="auto"/>
        <w:ind w:left="99" w:right="98" w:firstLine="450"/>
        <w:jc w:val="both"/>
        <w:rPr>
          <w:rFonts w:hint="eastAsia"/>
          <w:color w:val="231F20"/>
          <w:sz w:val="30"/>
        </w:rPr>
      </w:pPr>
      <w:r>
        <w:rPr>
          <w:rFonts w:hint="eastAsia"/>
          <w:color w:val="231F20"/>
          <w:sz w:val="30"/>
        </w:rPr>
        <w:t>Thus, with respect to the truth of the Kingdom, Jesus knows his disciples are in the dark.</w:t>
      </w:r>
    </w:p>
    <w:p w14:paraId="645BC87B">
      <w:pPr>
        <w:spacing w:before="8" w:line="249" w:lineRule="auto"/>
        <w:ind w:left="99" w:right="98" w:firstLine="450"/>
        <w:jc w:val="both"/>
        <w:rPr>
          <w:rFonts w:hint="eastAsia"/>
          <w:color w:val="231F20"/>
          <w:sz w:val="30"/>
        </w:rPr>
      </w:pPr>
      <w:r>
        <w:rPr>
          <w:rFonts w:hint="eastAsia"/>
          <w:color w:val="231F20"/>
          <w:sz w:val="30"/>
        </w:rPr>
        <w:t>因此，关于国度的真理，耶稣知道祂的门徒们是在黑暗中。</w:t>
      </w:r>
    </w:p>
    <w:p w14:paraId="0CF3E862">
      <w:pPr>
        <w:spacing w:before="8" w:line="249" w:lineRule="auto"/>
        <w:ind w:left="99" w:right="98" w:firstLine="450"/>
        <w:jc w:val="both"/>
        <w:rPr>
          <w:rFonts w:hint="eastAsia"/>
          <w:color w:val="231F20"/>
          <w:sz w:val="30"/>
        </w:rPr>
      </w:pPr>
    </w:p>
    <w:p w14:paraId="7B6BFA0A">
      <w:pPr>
        <w:spacing w:before="8" w:line="249" w:lineRule="auto"/>
        <w:ind w:left="99" w:right="98" w:firstLine="450"/>
        <w:jc w:val="both"/>
        <w:rPr>
          <w:rFonts w:hint="eastAsia"/>
          <w:color w:val="231F20"/>
          <w:sz w:val="30"/>
        </w:rPr>
      </w:pPr>
      <w:r>
        <w:rPr>
          <w:rFonts w:hint="eastAsia"/>
          <w:color w:val="231F20"/>
          <w:sz w:val="30"/>
        </w:rPr>
        <w:t>Yes, from their youth they have read and heard about the Kingdom in their Scriptures, but they have not yet understood it.</w:t>
      </w:r>
    </w:p>
    <w:p w14:paraId="18116C67">
      <w:pPr>
        <w:spacing w:before="8" w:line="249" w:lineRule="auto"/>
        <w:ind w:left="99" w:right="98" w:firstLine="450"/>
        <w:jc w:val="both"/>
        <w:rPr>
          <w:rFonts w:hint="eastAsia"/>
          <w:color w:val="231F20"/>
          <w:sz w:val="30"/>
        </w:rPr>
      </w:pPr>
      <w:r>
        <w:rPr>
          <w:rFonts w:hint="eastAsia"/>
          <w:color w:val="231F20"/>
          <w:sz w:val="30"/>
        </w:rPr>
        <w:t>是的，他们从年轻时就在他们的圣经中读到和听到关于国度的事，但他们尚未理解它。</w:t>
      </w:r>
    </w:p>
    <w:p w14:paraId="59F3D82B">
      <w:pPr>
        <w:spacing w:before="8" w:line="249" w:lineRule="auto"/>
        <w:ind w:left="99" w:right="98" w:firstLine="450"/>
        <w:jc w:val="both"/>
        <w:rPr>
          <w:rFonts w:hint="eastAsia"/>
          <w:color w:val="231F20"/>
          <w:sz w:val="30"/>
        </w:rPr>
      </w:pPr>
    </w:p>
    <w:p w14:paraId="75489BCE">
      <w:pPr>
        <w:spacing w:before="8" w:line="249" w:lineRule="auto"/>
        <w:ind w:left="99" w:right="98" w:firstLine="450"/>
        <w:jc w:val="both"/>
        <w:rPr>
          <w:rFonts w:hint="eastAsia"/>
          <w:color w:val="231F20"/>
          <w:sz w:val="30"/>
        </w:rPr>
      </w:pPr>
      <w:r>
        <w:rPr>
          <w:rFonts w:hint="eastAsia"/>
          <w:color w:val="231F20"/>
          <w:sz w:val="30"/>
        </w:rPr>
        <w:t>Why?</w:t>
      </w:r>
    </w:p>
    <w:p w14:paraId="113DC53C">
      <w:pPr>
        <w:spacing w:before="8" w:line="249" w:lineRule="auto"/>
        <w:ind w:left="99" w:right="98" w:firstLine="450"/>
        <w:jc w:val="both"/>
        <w:rPr>
          <w:rFonts w:hint="eastAsia"/>
          <w:color w:val="231F20"/>
          <w:sz w:val="30"/>
        </w:rPr>
      </w:pPr>
      <w:r>
        <w:rPr>
          <w:rFonts w:hint="eastAsia"/>
          <w:color w:val="231F20"/>
          <w:sz w:val="30"/>
        </w:rPr>
        <w:t>为什么？</w:t>
      </w:r>
    </w:p>
    <w:p w14:paraId="13356240">
      <w:pPr>
        <w:spacing w:before="8" w:line="249" w:lineRule="auto"/>
        <w:ind w:left="99" w:right="98" w:firstLine="450"/>
        <w:jc w:val="both"/>
        <w:rPr>
          <w:rFonts w:hint="eastAsia"/>
          <w:color w:val="231F20"/>
          <w:sz w:val="30"/>
        </w:rPr>
      </w:pPr>
    </w:p>
    <w:p w14:paraId="6C274CD6">
      <w:pPr>
        <w:spacing w:before="8" w:line="249" w:lineRule="auto"/>
        <w:ind w:left="99" w:right="98" w:firstLine="450"/>
        <w:jc w:val="both"/>
        <w:rPr>
          <w:rFonts w:hint="eastAsia"/>
          <w:color w:val="231F20"/>
          <w:sz w:val="30"/>
        </w:rPr>
      </w:pPr>
      <w:r>
        <w:rPr>
          <w:rFonts w:hint="eastAsia"/>
          <w:color w:val="231F20"/>
          <w:sz w:val="30"/>
        </w:rPr>
        <w:t>Because they have not yet received certain special truths about the Kingdom; truths that will enable them to understand its nature and structure; truths that in due season will empower them to shout the good news of the Kingdom from the rooftops (Mark 4:21-23).</w:t>
      </w:r>
    </w:p>
    <w:p w14:paraId="0A7BB4A1">
      <w:pPr>
        <w:spacing w:before="8" w:line="249" w:lineRule="auto"/>
        <w:ind w:left="99" w:right="98" w:firstLine="450"/>
        <w:jc w:val="both"/>
        <w:rPr>
          <w:rFonts w:hint="eastAsia"/>
          <w:color w:val="231F20"/>
          <w:sz w:val="30"/>
        </w:rPr>
      </w:pPr>
      <w:r>
        <w:rPr>
          <w:rFonts w:hint="eastAsia"/>
          <w:color w:val="231F20"/>
          <w:sz w:val="30"/>
        </w:rPr>
        <w:t>因为他们尚未领受关于国度的某些特殊真理；这些真理将使他们能够理解其性质和结构；这些真理在适当的时候将使他们有能力在房顶上大声宣扬国度的福音（可 4:21-23）。</w:t>
      </w:r>
    </w:p>
    <w:p w14:paraId="4C9E60DD">
      <w:pPr>
        <w:spacing w:before="8" w:line="249" w:lineRule="auto"/>
        <w:ind w:left="99" w:right="98" w:firstLine="450"/>
        <w:jc w:val="both"/>
        <w:rPr>
          <w:rFonts w:hint="eastAsia"/>
          <w:color w:val="231F20"/>
          <w:sz w:val="30"/>
        </w:rPr>
      </w:pPr>
    </w:p>
    <w:p w14:paraId="6E9BB8D8">
      <w:pPr>
        <w:spacing w:before="8" w:line="249" w:lineRule="auto"/>
        <w:ind w:left="99" w:right="98" w:firstLine="450"/>
        <w:jc w:val="both"/>
        <w:rPr>
          <w:rFonts w:hint="eastAsia"/>
          <w:color w:val="231F20"/>
          <w:sz w:val="30"/>
        </w:rPr>
      </w:pPr>
      <w:r>
        <w:rPr>
          <w:rFonts w:hint="eastAsia"/>
          <w:color w:val="231F20"/>
          <w:sz w:val="30"/>
        </w:rPr>
        <w:t>But now, says Jesus, something great is happening.</w:t>
      </w:r>
    </w:p>
    <w:p w14:paraId="2015DF22">
      <w:pPr>
        <w:spacing w:before="8" w:line="249" w:lineRule="auto"/>
        <w:ind w:left="99" w:right="98" w:firstLine="450"/>
        <w:jc w:val="both"/>
        <w:rPr>
          <w:rFonts w:hint="eastAsia"/>
          <w:color w:val="231F20"/>
          <w:sz w:val="30"/>
        </w:rPr>
      </w:pPr>
      <w:r>
        <w:rPr>
          <w:rFonts w:hint="eastAsia"/>
          <w:color w:val="231F20"/>
          <w:sz w:val="30"/>
        </w:rPr>
        <w:t>但现在，耶稣说，一件伟大的事正在发生。</w:t>
      </w:r>
    </w:p>
    <w:p w14:paraId="759FB30F">
      <w:pPr>
        <w:spacing w:before="8" w:line="249" w:lineRule="auto"/>
        <w:ind w:left="99" w:right="98" w:firstLine="450"/>
        <w:jc w:val="both"/>
        <w:rPr>
          <w:rFonts w:hint="eastAsia"/>
          <w:color w:val="231F20"/>
          <w:sz w:val="30"/>
        </w:rPr>
      </w:pPr>
    </w:p>
    <w:p w14:paraId="3E2FF730">
      <w:pPr>
        <w:spacing w:before="8" w:line="249" w:lineRule="auto"/>
        <w:ind w:left="99" w:right="98" w:firstLine="450"/>
        <w:jc w:val="both"/>
        <w:rPr>
          <w:rFonts w:hint="eastAsia"/>
          <w:color w:val="231F20"/>
          <w:sz w:val="30"/>
        </w:rPr>
      </w:pPr>
      <w:r>
        <w:rPr>
          <w:rFonts w:hint="eastAsia"/>
          <w:color w:val="231F20"/>
          <w:sz w:val="30"/>
        </w:rPr>
        <w:t>Through his Messianic Son and Prophet, God the Father, at long last, is graciously giving these precious truths to his people.</w:t>
      </w:r>
    </w:p>
    <w:p w14:paraId="6BBE1536">
      <w:pPr>
        <w:spacing w:before="8" w:line="249" w:lineRule="auto"/>
        <w:ind w:left="99" w:right="98" w:firstLine="450"/>
        <w:jc w:val="both"/>
        <w:rPr>
          <w:rFonts w:hint="eastAsia"/>
          <w:color w:val="231F20"/>
          <w:sz w:val="30"/>
        </w:rPr>
      </w:pPr>
      <w:r>
        <w:rPr>
          <w:rFonts w:hint="eastAsia"/>
          <w:color w:val="231F20"/>
          <w:sz w:val="30"/>
        </w:rPr>
        <w:t>藉着祂弥赛亚的儿子和先知，父上帝终于恩慈地将这些宝贵的真理赐给祂的子民。</w:t>
      </w:r>
    </w:p>
    <w:p w14:paraId="506846FA">
      <w:pPr>
        <w:spacing w:before="8" w:line="249" w:lineRule="auto"/>
        <w:ind w:left="99" w:right="98" w:firstLine="450"/>
        <w:jc w:val="both"/>
        <w:rPr>
          <w:rFonts w:hint="eastAsia"/>
          <w:color w:val="231F20"/>
          <w:sz w:val="30"/>
        </w:rPr>
      </w:pPr>
    </w:p>
    <w:p w14:paraId="2270B006">
      <w:pPr>
        <w:spacing w:before="8" w:line="249" w:lineRule="auto"/>
        <w:ind w:left="99" w:right="98" w:firstLine="450"/>
        <w:jc w:val="both"/>
        <w:rPr>
          <w:rFonts w:hint="eastAsia"/>
          <w:color w:val="231F20"/>
          <w:sz w:val="30"/>
        </w:rPr>
      </w:pPr>
      <w:r>
        <w:rPr>
          <w:rFonts w:hint="eastAsia"/>
          <w:color w:val="231F20"/>
          <w:sz w:val="30"/>
        </w:rPr>
        <w:t>To them and them alone he is unveiling the mysteries of the Kingdom.</w:t>
      </w:r>
    </w:p>
    <w:p w14:paraId="4F4FAF63">
      <w:pPr>
        <w:spacing w:before="8" w:line="249" w:lineRule="auto"/>
        <w:ind w:left="99" w:right="98" w:firstLine="450"/>
        <w:jc w:val="both"/>
        <w:rPr>
          <w:rFonts w:hint="eastAsia"/>
          <w:color w:val="231F20"/>
          <w:sz w:val="30"/>
        </w:rPr>
      </w:pPr>
      <w:r>
        <w:rPr>
          <w:rFonts w:hint="eastAsia"/>
          <w:color w:val="231F20"/>
          <w:sz w:val="30"/>
        </w:rPr>
        <w:t>祂只向他们揭示国度的奥秘。</w:t>
      </w:r>
    </w:p>
    <w:p w14:paraId="4D8DEFB0">
      <w:pPr>
        <w:spacing w:before="8" w:line="249" w:lineRule="auto"/>
        <w:ind w:left="99" w:right="98" w:firstLine="450"/>
        <w:jc w:val="both"/>
        <w:rPr>
          <w:rFonts w:hint="eastAsia"/>
          <w:color w:val="231F20"/>
          <w:sz w:val="30"/>
        </w:rPr>
      </w:pPr>
    </w:p>
    <w:p w14:paraId="02336296">
      <w:pPr>
        <w:spacing w:before="8" w:line="249" w:lineRule="auto"/>
        <w:ind w:left="99" w:right="98" w:firstLine="450"/>
        <w:jc w:val="both"/>
        <w:rPr>
          <w:rFonts w:hint="eastAsia"/>
          <w:color w:val="231F20"/>
          <w:sz w:val="30"/>
        </w:rPr>
      </w:pPr>
      <w:r>
        <w:rPr>
          <w:rFonts w:hint="eastAsia"/>
          <w:color w:val="231F20"/>
          <w:sz w:val="30"/>
        </w:rPr>
        <w:t>Moreover, in doing so, he is also putting into their hands a set of keys, keys that will open up and unveil the true meaning of all OT Kingdom prophecy.</w:t>
      </w:r>
    </w:p>
    <w:p w14:paraId="7C214EAB">
      <w:pPr>
        <w:spacing w:before="8" w:line="249" w:lineRule="auto"/>
        <w:ind w:left="99" w:right="98" w:firstLine="450"/>
        <w:jc w:val="both"/>
        <w:rPr>
          <w:rFonts w:hint="eastAsia"/>
          <w:color w:val="231F20"/>
          <w:sz w:val="30"/>
        </w:rPr>
      </w:pPr>
      <w:r>
        <w:rPr>
          <w:rFonts w:hint="eastAsia"/>
          <w:color w:val="231F20"/>
          <w:sz w:val="30"/>
        </w:rPr>
        <w:t>此外，在这样做的同时，祂也将一套钥匙放在他们手中，这些钥匙将打开并揭示所有旧约国度预言的真正含义。</w:t>
      </w:r>
    </w:p>
    <w:p w14:paraId="42542651">
      <w:pPr>
        <w:spacing w:before="8" w:line="249" w:lineRule="auto"/>
        <w:ind w:left="99" w:right="98" w:firstLine="450"/>
        <w:jc w:val="both"/>
        <w:rPr>
          <w:rFonts w:hint="eastAsia"/>
          <w:color w:val="231F20"/>
          <w:sz w:val="30"/>
        </w:rPr>
      </w:pPr>
    </w:p>
    <w:p w14:paraId="25040BAD">
      <w:pPr>
        <w:spacing w:before="8" w:line="249" w:lineRule="auto"/>
        <w:ind w:left="99" w:right="98" w:firstLine="450"/>
        <w:jc w:val="both"/>
        <w:rPr>
          <w:rFonts w:hint="eastAsia"/>
          <w:color w:val="231F20"/>
          <w:sz w:val="30"/>
        </w:rPr>
      </w:pPr>
      <w:r>
        <w:rPr>
          <w:rFonts w:hint="eastAsia"/>
          <w:color w:val="231F20"/>
          <w:sz w:val="30"/>
        </w:rPr>
        <w:t>This brings us to our second point, namely that this precious set of keys is a gift of the sovereign God.</w:t>
      </w:r>
    </w:p>
    <w:p w14:paraId="6169DF32">
      <w:pPr>
        <w:spacing w:before="8" w:line="249" w:lineRule="auto"/>
        <w:ind w:left="99" w:right="98" w:firstLine="450"/>
        <w:jc w:val="both"/>
        <w:rPr>
          <w:rFonts w:hint="eastAsia"/>
          <w:color w:val="231F20"/>
          <w:sz w:val="30"/>
        </w:rPr>
      </w:pPr>
      <w:r>
        <w:rPr>
          <w:rFonts w:hint="eastAsia"/>
          <w:color w:val="231F20"/>
          <w:sz w:val="30"/>
        </w:rPr>
        <w:t>这带我们到第二点，即这套宝贵的钥匙是至高上帝的恩赐。</w:t>
      </w:r>
    </w:p>
    <w:p w14:paraId="5B1F30B2">
      <w:pPr>
        <w:spacing w:before="8" w:line="249" w:lineRule="auto"/>
        <w:ind w:left="99" w:right="98" w:firstLine="450"/>
        <w:jc w:val="both"/>
        <w:rPr>
          <w:rFonts w:hint="eastAsia"/>
          <w:color w:val="231F20"/>
          <w:sz w:val="30"/>
        </w:rPr>
      </w:pPr>
    </w:p>
    <w:p w14:paraId="29E50D9D">
      <w:pPr>
        <w:spacing w:before="8" w:line="249" w:lineRule="auto"/>
        <w:ind w:left="99" w:right="98" w:firstLine="450"/>
        <w:jc w:val="both"/>
        <w:rPr>
          <w:rFonts w:hint="eastAsia"/>
          <w:color w:val="231F20"/>
          <w:sz w:val="30"/>
        </w:rPr>
      </w:pPr>
      <w:r>
        <w:rPr>
          <w:rFonts w:hint="eastAsia"/>
          <w:color w:val="231F20"/>
          <w:sz w:val="30"/>
        </w:rPr>
        <w:t>In other words, for wise reasons he is pleased to give it to some and not to others.</w:t>
      </w:r>
    </w:p>
    <w:p w14:paraId="3F00953B">
      <w:pPr>
        <w:spacing w:before="8" w:line="249" w:lineRule="auto"/>
        <w:ind w:left="99" w:right="98" w:firstLine="450"/>
        <w:jc w:val="both"/>
        <w:rPr>
          <w:rFonts w:hint="eastAsia"/>
          <w:color w:val="231F20"/>
          <w:sz w:val="30"/>
        </w:rPr>
      </w:pPr>
      <w:r>
        <w:rPr>
          <w:rFonts w:hint="eastAsia"/>
          <w:color w:val="231F20"/>
          <w:sz w:val="30"/>
        </w:rPr>
        <w:t>换句话说，出于智慧的缘故，祂乐意将它赐给一些人，而不赐给另一些人。</w:t>
      </w:r>
    </w:p>
    <w:p w14:paraId="25ECA47B">
      <w:pPr>
        <w:spacing w:before="8" w:line="249" w:lineRule="auto"/>
        <w:ind w:left="99" w:right="98" w:firstLine="450"/>
        <w:jc w:val="both"/>
        <w:rPr>
          <w:rFonts w:hint="eastAsia"/>
          <w:color w:val="231F20"/>
          <w:sz w:val="30"/>
        </w:rPr>
      </w:pPr>
    </w:p>
    <w:p w14:paraId="16572043">
      <w:pPr>
        <w:spacing w:before="8" w:line="249" w:lineRule="auto"/>
        <w:ind w:left="99" w:right="98" w:firstLine="450"/>
        <w:jc w:val="both"/>
        <w:rPr>
          <w:rFonts w:hint="eastAsia"/>
          <w:color w:val="231F20"/>
          <w:sz w:val="30"/>
        </w:rPr>
      </w:pPr>
      <w:r>
        <w:rPr>
          <w:rFonts w:hint="eastAsia"/>
          <w:color w:val="231F20"/>
          <w:sz w:val="30"/>
        </w:rPr>
        <w:t>We see this in Jesus’ day, and we see it in our own.</w:t>
      </w:r>
    </w:p>
    <w:p w14:paraId="15EF2A74">
      <w:pPr>
        <w:spacing w:before="8" w:line="249" w:lineRule="auto"/>
        <w:ind w:left="99" w:right="98" w:firstLine="450"/>
        <w:jc w:val="both"/>
        <w:rPr>
          <w:rFonts w:hint="eastAsia"/>
          <w:color w:val="231F20"/>
          <w:sz w:val="30"/>
        </w:rPr>
      </w:pPr>
      <w:r>
        <w:rPr>
          <w:rFonts w:hint="eastAsia"/>
          <w:color w:val="231F20"/>
          <w:sz w:val="30"/>
        </w:rPr>
        <w:t>我们在耶稣的时代看到这一点，也在我们自己的时代看到这一点。</w:t>
      </w:r>
    </w:p>
    <w:p w14:paraId="3D8E598A">
      <w:pPr>
        <w:spacing w:before="8" w:line="249" w:lineRule="auto"/>
        <w:ind w:left="99" w:right="98" w:firstLine="450"/>
        <w:jc w:val="both"/>
        <w:rPr>
          <w:rFonts w:hint="eastAsia"/>
          <w:color w:val="231F20"/>
          <w:sz w:val="30"/>
        </w:rPr>
      </w:pPr>
    </w:p>
    <w:p w14:paraId="42D8636A">
      <w:pPr>
        <w:spacing w:before="8" w:line="249" w:lineRule="auto"/>
        <w:ind w:left="99" w:right="98" w:firstLine="450"/>
        <w:jc w:val="both"/>
        <w:rPr>
          <w:rFonts w:hint="eastAsia"/>
          <w:color w:val="231F20"/>
          <w:sz w:val="30"/>
        </w:rPr>
      </w:pPr>
      <w:r>
        <w:rPr>
          <w:rFonts w:hint="eastAsia"/>
          <w:color w:val="231F20"/>
          <w:sz w:val="30"/>
        </w:rPr>
        <w:t>In the days of the Lord’s flesh, God was pleased to give his Kingdom truths to Jesus’ disciples, but not to “those who (were) outside,” to the majority of Israelites (Mark 4:11).</w:t>
      </w:r>
    </w:p>
    <w:p w14:paraId="6C9752FC">
      <w:pPr>
        <w:spacing w:before="8" w:line="249" w:lineRule="auto"/>
        <w:ind w:left="99" w:right="98" w:firstLine="450"/>
        <w:jc w:val="both"/>
        <w:rPr>
          <w:rFonts w:hint="eastAsia"/>
          <w:color w:val="231F20"/>
          <w:sz w:val="30"/>
        </w:rPr>
      </w:pPr>
      <w:r>
        <w:rPr>
          <w:rFonts w:hint="eastAsia"/>
          <w:color w:val="231F20"/>
          <w:sz w:val="30"/>
        </w:rPr>
        <w:t>在主肉身的日子里，上帝乐意将祂国度的真理赐给耶稣的门徒，而不是给“外人”，即大多数以色列人（可 4:11）。</w:t>
      </w:r>
    </w:p>
    <w:p w14:paraId="6659D773">
      <w:pPr>
        <w:spacing w:before="8" w:line="249" w:lineRule="auto"/>
        <w:ind w:left="99" w:right="98" w:firstLine="450"/>
        <w:jc w:val="both"/>
        <w:rPr>
          <w:rFonts w:hint="eastAsia"/>
          <w:color w:val="231F20"/>
          <w:sz w:val="30"/>
        </w:rPr>
      </w:pPr>
    </w:p>
    <w:p w14:paraId="74CC5BF5">
      <w:pPr>
        <w:spacing w:before="8" w:line="249" w:lineRule="auto"/>
        <w:ind w:left="99" w:right="98" w:firstLine="450"/>
        <w:jc w:val="both"/>
        <w:rPr>
          <w:rFonts w:hint="eastAsia"/>
          <w:color w:val="231F20"/>
          <w:sz w:val="30"/>
        </w:rPr>
      </w:pPr>
      <w:r>
        <w:rPr>
          <w:rFonts w:hint="eastAsia"/>
          <w:color w:val="231F20"/>
          <w:sz w:val="30"/>
        </w:rPr>
        <w:t>True, he did, in one sense, give it to the outsiders.</w:t>
      </w:r>
    </w:p>
    <w:p w14:paraId="7894C23B">
      <w:pPr>
        <w:spacing w:before="8" w:line="249" w:lineRule="auto"/>
        <w:ind w:left="99" w:right="98" w:firstLine="450"/>
        <w:jc w:val="both"/>
        <w:rPr>
          <w:rFonts w:hint="eastAsia"/>
          <w:color w:val="231F20"/>
          <w:sz w:val="30"/>
        </w:rPr>
      </w:pPr>
      <w:r>
        <w:rPr>
          <w:rFonts w:hint="eastAsia"/>
          <w:color w:val="231F20"/>
          <w:sz w:val="30"/>
        </w:rPr>
        <w:t>诚然，在某种意义上，祂确实把它给了外人。</w:t>
      </w:r>
    </w:p>
    <w:p w14:paraId="6EBF9C5E">
      <w:pPr>
        <w:spacing w:before="8" w:line="249" w:lineRule="auto"/>
        <w:ind w:left="99" w:right="98" w:firstLine="450"/>
        <w:jc w:val="both"/>
        <w:rPr>
          <w:rFonts w:hint="eastAsia"/>
          <w:color w:val="231F20"/>
          <w:sz w:val="30"/>
        </w:rPr>
      </w:pPr>
    </w:p>
    <w:p w14:paraId="57DEE4B7">
      <w:pPr>
        <w:spacing w:before="8" w:line="249" w:lineRule="auto"/>
        <w:ind w:left="99" w:right="98" w:firstLine="450"/>
        <w:jc w:val="both"/>
        <w:rPr>
          <w:rFonts w:hint="eastAsia"/>
          <w:color w:val="231F20"/>
          <w:sz w:val="30"/>
        </w:rPr>
      </w:pPr>
      <w:r>
        <w:rPr>
          <w:rFonts w:hint="eastAsia"/>
          <w:color w:val="231F20"/>
          <w:sz w:val="30"/>
        </w:rPr>
        <w:t>But he gave it only in parables, and did so as a judgment and a testimony against them, because their hearts were dull, their ears deaf, and their eyes closed (Mt. 13:13-15, Mk. 4:10-12).</w:t>
      </w:r>
    </w:p>
    <w:p w14:paraId="500560FF">
      <w:pPr>
        <w:spacing w:before="8" w:line="249" w:lineRule="auto"/>
        <w:ind w:left="99" w:right="98" w:firstLine="450"/>
        <w:jc w:val="both"/>
        <w:rPr>
          <w:rFonts w:hint="eastAsia"/>
          <w:color w:val="231F20"/>
          <w:sz w:val="30"/>
        </w:rPr>
      </w:pPr>
      <w:r>
        <w:rPr>
          <w:rFonts w:hint="eastAsia"/>
          <w:color w:val="231F20"/>
          <w:sz w:val="30"/>
        </w:rPr>
        <w:t>但祂只用比喻给他们，并且这样做是作为对他们的审判和见证，因为他们心蒙了脂油，耳朵发沉，眼睛闭着（太 13:13-15, 可 4:10-12）。</w:t>
      </w:r>
    </w:p>
    <w:p w14:paraId="27BE531B">
      <w:pPr>
        <w:spacing w:before="8" w:line="249" w:lineRule="auto"/>
        <w:ind w:left="99" w:right="98" w:firstLine="450"/>
        <w:jc w:val="both"/>
        <w:rPr>
          <w:rFonts w:hint="eastAsia"/>
          <w:color w:val="231F20"/>
          <w:sz w:val="30"/>
        </w:rPr>
      </w:pPr>
    </w:p>
    <w:p w14:paraId="4E4B3A67">
      <w:pPr>
        <w:spacing w:before="8" w:line="249" w:lineRule="auto"/>
        <w:ind w:left="99" w:right="98" w:firstLine="450"/>
        <w:jc w:val="both"/>
        <w:rPr>
          <w:rFonts w:hint="eastAsia"/>
          <w:color w:val="231F20"/>
          <w:sz w:val="30"/>
        </w:rPr>
      </w:pPr>
      <w:r>
        <w:rPr>
          <w:rFonts w:hint="eastAsia"/>
          <w:color w:val="231F20"/>
          <w:sz w:val="30"/>
        </w:rPr>
        <w:t>However, in the case of the disciples—all whom Christ chose, all who followed him, all who humbled themselves to seek truth from his lips—he gave not only the parables, but also their meaning; a meaning they partially understood prior to his passion, but fully understood only after his exaltation (Mk. 4:10-12).</w:t>
      </w:r>
    </w:p>
    <w:p w14:paraId="1E5EBB7A">
      <w:pPr>
        <w:spacing w:before="8" w:line="249" w:lineRule="auto"/>
        <w:ind w:left="99" w:right="98" w:firstLine="450"/>
        <w:jc w:val="both"/>
        <w:rPr>
          <w:rFonts w:hint="eastAsia"/>
          <w:color w:val="231F20"/>
          <w:sz w:val="30"/>
        </w:rPr>
      </w:pPr>
      <w:r>
        <w:rPr>
          <w:rFonts w:hint="eastAsia"/>
          <w:color w:val="231F20"/>
          <w:sz w:val="30"/>
        </w:rPr>
        <w:t>然而，对于门徒——所有基督所拣选的、所有跟随祂的、所有谦卑自己从祂口中寻求真理的人——祂不仅给了比喻，也给了它们的含义；这个含义他们在祂受难前部分理解，但在祂被高举后才完全理解（可 4:10-12）。</w:t>
      </w:r>
    </w:p>
    <w:p w14:paraId="7EBEBA95">
      <w:pPr>
        <w:spacing w:before="8" w:line="249" w:lineRule="auto"/>
        <w:ind w:left="99" w:right="98" w:firstLine="450"/>
        <w:jc w:val="both"/>
        <w:rPr>
          <w:rFonts w:hint="eastAsia"/>
          <w:color w:val="231F20"/>
          <w:sz w:val="30"/>
        </w:rPr>
      </w:pPr>
    </w:p>
    <w:p w14:paraId="79C6DD11">
      <w:pPr>
        <w:spacing w:before="8" w:line="249" w:lineRule="auto"/>
        <w:ind w:left="99" w:right="98" w:firstLine="450"/>
        <w:jc w:val="both"/>
        <w:rPr>
          <w:rFonts w:hint="eastAsia"/>
          <w:color w:val="231F20"/>
          <w:sz w:val="30"/>
        </w:rPr>
      </w:pPr>
      <w:r>
        <w:rPr>
          <w:rFonts w:hint="eastAsia"/>
          <w:color w:val="231F20"/>
          <w:sz w:val="30"/>
        </w:rPr>
        <w:t>Importantly, it is much the same today.</w:t>
      </w:r>
    </w:p>
    <w:p w14:paraId="49B005B1">
      <w:pPr>
        <w:spacing w:before="8" w:line="249" w:lineRule="auto"/>
        <w:ind w:left="99" w:right="98" w:firstLine="450"/>
        <w:jc w:val="both"/>
        <w:rPr>
          <w:rFonts w:hint="eastAsia"/>
          <w:color w:val="231F20"/>
          <w:sz w:val="30"/>
        </w:rPr>
      </w:pPr>
      <w:r>
        <w:rPr>
          <w:rFonts w:hint="eastAsia"/>
          <w:color w:val="231F20"/>
          <w:sz w:val="30"/>
        </w:rPr>
        <w:t>重要的是，今天也大同小异。</w:t>
      </w:r>
    </w:p>
    <w:p w14:paraId="0B62AE2D">
      <w:pPr>
        <w:spacing w:before="8" w:line="249" w:lineRule="auto"/>
        <w:ind w:left="99" w:right="98" w:firstLine="450"/>
        <w:jc w:val="both"/>
        <w:rPr>
          <w:rFonts w:hint="eastAsia"/>
          <w:color w:val="231F20"/>
          <w:sz w:val="30"/>
        </w:rPr>
      </w:pPr>
    </w:p>
    <w:p w14:paraId="62120C04">
      <w:pPr>
        <w:spacing w:before="8" w:line="249" w:lineRule="auto"/>
        <w:ind w:left="99" w:right="98" w:firstLine="450"/>
        <w:jc w:val="both"/>
        <w:rPr>
          <w:rFonts w:hint="eastAsia"/>
          <w:color w:val="231F20"/>
          <w:sz w:val="30"/>
        </w:rPr>
      </w:pPr>
      <w:r>
        <w:rPr>
          <w:rFonts w:hint="eastAsia"/>
          <w:color w:val="231F20"/>
          <w:sz w:val="30"/>
        </w:rPr>
        <w:t>Though the NT canon is now complete; though Christ’s own interpretation of (many of) the parables is contained therein; and though his holy prophets and apostles have repeatedly instructed the world as to the true nature and structure of the Kingdom … still, all men everywhere remain in darkness unless and until God, by his Spirit, graciously grants them to understand these things.</w:t>
      </w:r>
    </w:p>
    <w:p w14:paraId="262FDB82">
      <w:pPr>
        <w:spacing w:before="8" w:line="249" w:lineRule="auto"/>
        <w:ind w:left="99" w:right="98" w:firstLine="450"/>
        <w:jc w:val="both"/>
        <w:rPr>
          <w:rFonts w:hint="eastAsia"/>
          <w:color w:val="231F20"/>
          <w:sz w:val="30"/>
        </w:rPr>
      </w:pPr>
      <w:r>
        <w:rPr>
          <w:rFonts w:hint="eastAsia"/>
          <w:color w:val="231F20"/>
          <w:sz w:val="30"/>
        </w:rPr>
        <w:t>尽管新约正典现已完成；尽管基督自己对（许多）比喻的解释包含其中；尽管祂的圣先知和使徒们已反复教导世界关于国度的真实性质和结构……然而，各处所有的人仍然在黑暗中，除非且直到上帝藉着祂的灵，恩慈地赐给他们理解这些事。</w:t>
      </w:r>
    </w:p>
    <w:p w14:paraId="4A101F68">
      <w:pPr>
        <w:spacing w:before="8" w:line="249" w:lineRule="auto"/>
        <w:ind w:left="99" w:right="98" w:firstLine="450"/>
        <w:jc w:val="both"/>
        <w:rPr>
          <w:rFonts w:hint="eastAsia"/>
          <w:color w:val="231F20"/>
          <w:sz w:val="30"/>
        </w:rPr>
      </w:pPr>
    </w:p>
    <w:p w14:paraId="7579EA8E">
      <w:pPr>
        <w:spacing w:before="8" w:line="249" w:lineRule="auto"/>
        <w:ind w:left="99" w:right="98" w:firstLine="450"/>
        <w:jc w:val="both"/>
        <w:rPr>
          <w:rFonts w:hint="eastAsia"/>
          <w:color w:val="231F20"/>
          <w:sz w:val="30"/>
        </w:rPr>
      </w:pPr>
      <w:r>
        <w:rPr>
          <w:rFonts w:hint="eastAsia"/>
          <w:color w:val="231F20"/>
          <w:sz w:val="30"/>
        </w:rPr>
        <w:t>Only thus shall the veil over their eyes be taken away; only thus shall the veil over the OT be taken away (2 Cor. 3:ff); and only thus shall they behold the saving truth about God’s heavenly Kingdom and his divine Messianic King (John 3:3f).</w:t>
      </w:r>
    </w:p>
    <w:p w14:paraId="2106F5B5">
      <w:pPr>
        <w:spacing w:before="8" w:line="249" w:lineRule="auto"/>
        <w:ind w:left="99" w:right="98" w:firstLine="450"/>
        <w:jc w:val="both"/>
        <w:rPr>
          <w:rFonts w:hint="eastAsia"/>
          <w:color w:val="231F20"/>
          <w:sz w:val="30"/>
        </w:rPr>
      </w:pPr>
      <w:r>
        <w:rPr>
          <w:rFonts w:hint="eastAsia"/>
          <w:color w:val="231F20"/>
          <w:sz w:val="30"/>
        </w:rPr>
        <w:t>唯有如此，他们眼上的帕子才能被挪去；唯有如此，旧约上的帕子才能被挪去（林后 3:ff）；唯有如此，他们才能看见关于上帝属天国度和祂神圣弥赛亚君王的救赎真理（约 3:3f）。</w:t>
      </w:r>
    </w:p>
    <w:p w14:paraId="443E5EF3">
      <w:pPr>
        <w:spacing w:before="8" w:line="249" w:lineRule="auto"/>
        <w:ind w:left="99" w:right="98" w:firstLine="450"/>
        <w:jc w:val="both"/>
        <w:rPr>
          <w:rFonts w:hint="eastAsia"/>
          <w:color w:val="231F20"/>
          <w:sz w:val="30"/>
        </w:rPr>
      </w:pPr>
    </w:p>
    <w:p w14:paraId="3775AE30">
      <w:pPr>
        <w:spacing w:before="8" w:line="249" w:lineRule="auto"/>
        <w:ind w:left="99" w:right="98" w:firstLine="450"/>
        <w:jc w:val="both"/>
        <w:rPr>
          <w:rFonts w:hint="eastAsia"/>
          <w:color w:val="231F20"/>
          <w:sz w:val="30"/>
        </w:rPr>
      </w:pPr>
      <w:r>
        <w:rPr>
          <w:rFonts w:hint="eastAsia"/>
          <w:color w:val="231F20"/>
          <w:sz w:val="30"/>
        </w:rPr>
        <w:t>It is for this reason that our Lord pronounces so great a blessing upon his disciples, saying:</w:t>
      </w:r>
    </w:p>
    <w:p w14:paraId="384F4107">
      <w:pPr>
        <w:spacing w:before="8" w:line="249" w:lineRule="auto"/>
        <w:ind w:left="99" w:right="98" w:firstLine="450"/>
        <w:jc w:val="both"/>
        <w:rPr>
          <w:rFonts w:hint="eastAsia"/>
          <w:color w:val="231F20"/>
          <w:sz w:val="30"/>
        </w:rPr>
      </w:pPr>
      <w:r>
        <w:rPr>
          <w:rFonts w:hint="eastAsia"/>
          <w:color w:val="231F20"/>
          <w:sz w:val="30"/>
        </w:rPr>
        <w:t>正是因此，我们的主才对祂的门徒宣告如此大的祝福，说：</w:t>
      </w:r>
    </w:p>
    <w:p w14:paraId="273E282E">
      <w:pPr>
        <w:spacing w:before="8" w:line="249" w:lineRule="auto"/>
        <w:ind w:left="99" w:right="98" w:firstLine="450"/>
        <w:jc w:val="both"/>
        <w:rPr>
          <w:rFonts w:hint="eastAsia"/>
          <w:color w:val="231F20"/>
          <w:sz w:val="30"/>
        </w:rPr>
      </w:pPr>
    </w:p>
    <w:p w14:paraId="0C795A70">
      <w:pPr>
        <w:spacing w:before="8" w:line="249" w:lineRule="auto"/>
        <w:ind w:left="99" w:right="98" w:firstLine="450"/>
        <w:jc w:val="both"/>
        <w:rPr>
          <w:rFonts w:hint="eastAsia"/>
          <w:color w:val="231F20"/>
          <w:sz w:val="30"/>
        </w:rPr>
      </w:pPr>
      <w:r>
        <w:rPr>
          <w:rFonts w:hint="eastAsia"/>
          <w:color w:val="231F20"/>
          <w:sz w:val="30"/>
        </w:rPr>
        <w:t>But blessed are your eyes, for they see; and your ears, for they hear.</w:t>
      </w:r>
    </w:p>
    <w:p w14:paraId="75FDD384">
      <w:pPr>
        <w:spacing w:before="8" w:line="249" w:lineRule="auto"/>
        <w:ind w:left="99" w:right="98" w:firstLine="450"/>
        <w:jc w:val="both"/>
        <w:rPr>
          <w:rFonts w:hint="eastAsia"/>
          <w:color w:val="231F20"/>
          <w:sz w:val="30"/>
        </w:rPr>
      </w:pPr>
      <w:r>
        <w:rPr>
          <w:rFonts w:hint="eastAsia"/>
          <w:color w:val="231F20"/>
          <w:sz w:val="30"/>
        </w:rPr>
        <w:t>但你们的眼睛是有福的，因为看见了；你们的耳朵也是有福的，因为听见了。</w:t>
      </w:r>
    </w:p>
    <w:p w14:paraId="7EE77D5E">
      <w:pPr>
        <w:spacing w:before="8" w:line="249" w:lineRule="auto"/>
        <w:ind w:left="99" w:right="98" w:firstLine="450"/>
        <w:jc w:val="both"/>
        <w:rPr>
          <w:rFonts w:hint="eastAsia"/>
          <w:color w:val="231F20"/>
          <w:sz w:val="30"/>
        </w:rPr>
      </w:pPr>
    </w:p>
    <w:p w14:paraId="524CF0B2">
      <w:pPr>
        <w:spacing w:before="8" w:line="249" w:lineRule="auto"/>
        <w:ind w:left="99" w:right="98" w:firstLine="450"/>
        <w:jc w:val="both"/>
        <w:rPr>
          <w:rFonts w:hint="eastAsia"/>
          <w:color w:val="231F20"/>
          <w:sz w:val="30"/>
        </w:rPr>
      </w:pPr>
      <w:r>
        <w:rPr>
          <w:rFonts w:hint="eastAsia"/>
          <w:color w:val="231F20"/>
          <w:sz w:val="30"/>
        </w:rPr>
        <w:t>For truly I say to you that many prophets and righteous men desired to see what you see, and did not see it, and to hear what you hear, and did not hear it.</w:t>
      </w:r>
    </w:p>
    <w:p w14:paraId="7589027A">
      <w:pPr>
        <w:spacing w:before="8" w:line="249" w:lineRule="auto"/>
        <w:ind w:left="99" w:right="98" w:firstLine="450"/>
        <w:jc w:val="both"/>
        <w:rPr>
          <w:rFonts w:hint="eastAsia"/>
          <w:color w:val="231F20"/>
          <w:sz w:val="30"/>
        </w:rPr>
      </w:pPr>
      <w:r>
        <w:rPr>
          <w:rFonts w:hint="eastAsia"/>
          <w:color w:val="231F20"/>
          <w:sz w:val="30"/>
        </w:rPr>
        <w:t>我实在告诉你们，从前有许多先知和义人，要看你们所看的，却没有看见；要听你们所听的，却没有听见。</w:t>
      </w:r>
    </w:p>
    <w:p w14:paraId="6EA5DF2A">
      <w:pPr>
        <w:spacing w:before="8" w:line="249" w:lineRule="auto"/>
        <w:ind w:left="99" w:right="98" w:firstLine="450"/>
        <w:jc w:val="both"/>
        <w:rPr>
          <w:rFonts w:hint="eastAsia"/>
          <w:color w:val="231F20"/>
          <w:sz w:val="30"/>
        </w:rPr>
      </w:pPr>
    </w:p>
    <w:p w14:paraId="6E4F42C8">
      <w:pPr>
        <w:spacing w:before="8" w:line="249" w:lineRule="auto"/>
        <w:ind w:left="99" w:right="98" w:firstLine="450"/>
        <w:jc w:val="both"/>
        <w:rPr>
          <w:rFonts w:hint="eastAsia"/>
          <w:color w:val="231F20"/>
          <w:sz w:val="30"/>
        </w:rPr>
      </w:pPr>
      <w:r>
        <w:rPr>
          <w:rFonts w:hint="eastAsia"/>
          <w:color w:val="231F20"/>
          <w:sz w:val="30"/>
        </w:rPr>
        <w:t>—Mt. 13:16-17</w:t>
      </w:r>
    </w:p>
    <w:p w14:paraId="5A2B0186">
      <w:pPr>
        <w:spacing w:before="8" w:line="249" w:lineRule="auto"/>
        <w:ind w:left="99" w:right="98" w:firstLine="450"/>
        <w:jc w:val="both"/>
        <w:rPr>
          <w:rFonts w:hint="eastAsia"/>
          <w:color w:val="231F20"/>
          <w:sz w:val="30"/>
        </w:rPr>
      </w:pPr>
      <w:r>
        <w:rPr>
          <w:rFonts w:hint="eastAsia"/>
          <w:color w:val="231F20"/>
          <w:sz w:val="30"/>
        </w:rPr>
        <w:t>—太 13:16-17</w:t>
      </w:r>
    </w:p>
    <w:p w14:paraId="28429D81">
      <w:pPr>
        <w:spacing w:before="8" w:line="249" w:lineRule="auto"/>
        <w:ind w:left="99" w:right="98" w:firstLine="450"/>
        <w:jc w:val="both"/>
        <w:rPr>
          <w:rFonts w:hint="eastAsia"/>
          <w:color w:val="231F20"/>
          <w:sz w:val="30"/>
        </w:rPr>
      </w:pPr>
    </w:p>
    <w:p w14:paraId="5041E610">
      <w:pPr>
        <w:spacing w:before="8" w:line="249" w:lineRule="auto"/>
        <w:ind w:left="99" w:right="98" w:firstLine="450"/>
        <w:jc w:val="both"/>
        <w:rPr>
          <w:rFonts w:hint="eastAsia"/>
          <w:color w:val="231F20"/>
          <w:sz w:val="30"/>
        </w:rPr>
      </w:pPr>
      <w:r>
        <w:rPr>
          <w:rFonts w:hint="eastAsia"/>
          <w:color w:val="231F20"/>
          <w:sz w:val="30"/>
        </w:rPr>
        <w:t>How is it that Jesus’ disciples become “scribes”—master teachers—of the Kingdom (Mt. 13:52)?</w:t>
      </w:r>
    </w:p>
    <w:p w14:paraId="350FA4B5">
      <w:pPr>
        <w:spacing w:before="8" w:line="249" w:lineRule="auto"/>
        <w:ind w:left="99" w:right="98" w:firstLine="450"/>
        <w:jc w:val="both"/>
        <w:rPr>
          <w:rFonts w:hint="eastAsia"/>
          <w:color w:val="231F20"/>
          <w:sz w:val="30"/>
        </w:rPr>
      </w:pPr>
      <w:r>
        <w:rPr>
          <w:rFonts w:hint="eastAsia"/>
          <w:color w:val="231F20"/>
          <w:sz w:val="30"/>
        </w:rPr>
        <w:t>耶稣的门徒是如何成为国度的“文士”——大师级的教师的呢（太 13:52）？</w:t>
      </w:r>
    </w:p>
    <w:p w14:paraId="2715F7B5">
      <w:pPr>
        <w:spacing w:before="8" w:line="249" w:lineRule="auto"/>
        <w:ind w:left="99" w:right="98" w:firstLine="450"/>
        <w:jc w:val="both"/>
        <w:rPr>
          <w:rFonts w:hint="eastAsia"/>
          <w:color w:val="231F20"/>
          <w:sz w:val="30"/>
        </w:rPr>
      </w:pPr>
    </w:p>
    <w:p w14:paraId="1B8EC3DB">
      <w:pPr>
        <w:spacing w:before="8" w:line="249" w:lineRule="auto"/>
        <w:ind w:left="99" w:right="98" w:firstLine="450"/>
        <w:jc w:val="both"/>
        <w:rPr>
          <w:rFonts w:hint="eastAsia"/>
          <w:color w:val="231F20"/>
          <w:sz w:val="30"/>
        </w:rPr>
      </w:pPr>
      <w:r>
        <w:rPr>
          <w:rFonts w:hint="eastAsia"/>
          <w:color w:val="231F20"/>
          <w:sz w:val="30"/>
        </w:rPr>
        <w:t>How is it that henceforth they surpass the OT prophets themselves in Kingdom wisdom and understanding?</w:t>
      </w:r>
    </w:p>
    <w:p w14:paraId="5A5D5A5A">
      <w:pPr>
        <w:spacing w:before="8" w:line="249" w:lineRule="auto"/>
        <w:ind w:left="99" w:right="98" w:firstLine="450"/>
        <w:jc w:val="both"/>
        <w:rPr>
          <w:rFonts w:hint="eastAsia"/>
          <w:color w:val="231F20"/>
          <w:sz w:val="30"/>
        </w:rPr>
      </w:pPr>
      <w:r>
        <w:rPr>
          <w:rFonts w:hint="eastAsia"/>
          <w:color w:val="231F20"/>
          <w:sz w:val="30"/>
        </w:rPr>
        <w:t>他们从此以后是如何在国度的智慧和理解上超越旧约先知们自己的呢？</w:t>
      </w:r>
    </w:p>
    <w:p w14:paraId="6906BB66">
      <w:pPr>
        <w:spacing w:before="8" w:line="249" w:lineRule="auto"/>
        <w:ind w:left="99" w:right="98" w:firstLine="450"/>
        <w:jc w:val="both"/>
        <w:rPr>
          <w:rFonts w:hint="eastAsia"/>
          <w:color w:val="231F20"/>
          <w:sz w:val="30"/>
        </w:rPr>
      </w:pPr>
    </w:p>
    <w:p w14:paraId="67FE0696">
      <w:pPr>
        <w:spacing w:before="8" w:line="249" w:lineRule="auto"/>
        <w:ind w:left="99" w:right="98" w:firstLine="450"/>
        <w:jc w:val="both"/>
        <w:rPr>
          <w:rFonts w:hint="eastAsia"/>
          <w:color w:val="231F20"/>
          <w:sz w:val="30"/>
        </w:rPr>
      </w:pPr>
      <w:r>
        <w:rPr>
          <w:rFonts w:hint="eastAsia"/>
          <w:color w:val="231F20"/>
          <w:sz w:val="30"/>
        </w:rPr>
        <w:t>How is it that they can bring out of their treasury things old and new, confidently opening up both OTKP and NT Kingdom teaching (Mt. 13:52)?</w:t>
      </w:r>
    </w:p>
    <w:p w14:paraId="25F2AD17">
      <w:pPr>
        <w:spacing w:before="8" w:line="249" w:lineRule="auto"/>
        <w:ind w:left="99" w:right="98" w:firstLine="450"/>
        <w:jc w:val="both"/>
        <w:rPr>
          <w:rFonts w:hint="eastAsia"/>
          <w:color w:val="231F20"/>
          <w:sz w:val="30"/>
        </w:rPr>
      </w:pPr>
      <w:r>
        <w:rPr>
          <w:rFonts w:hint="eastAsia"/>
          <w:color w:val="231F20"/>
          <w:sz w:val="30"/>
        </w:rPr>
        <w:t>他们是如何能从他们的库里拿出新旧的东西，自信地开启旧约国度预言（OTKP）和新约国度教导的呢（太 13:52）？</w:t>
      </w:r>
    </w:p>
    <w:p w14:paraId="09820F6B">
      <w:pPr>
        <w:spacing w:before="8" w:line="249" w:lineRule="auto"/>
        <w:ind w:left="99" w:right="98" w:firstLine="450"/>
        <w:jc w:val="both"/>
        <w:rPr>
          <w:rFonts w:hint="eastAsia"/>
          <w:color w:val="231F20"/>
          <w:sz w:val="30"/>
        </w:rPr>
      </w:pPr>
    </w:p>
    <w:p w14:paraId="129ABCE0">
      <w:pPr>
        <w:spacing w:before="8" w:line="249" w:lineRule="auto"/>
        <w:ind w:left="99" w:right="98" w:firstLine="450"/>
        <w:jc w:val="both"/>
        <w:rPr>
          <w:rFonts w:hint="eastAsia"/>
          <w:color w:val="231F20"/>
          <w:sz w:val="30"/>
        </w:rPr>
      </w:pPr>
      <w:r>
        <w:rPr>
          <w:rFonts w:hint="eastAsia"/>
          <w:color w:val="231F20"/>
          <w:sz w:val="30"/>
        </w:rPr>
        <w:t>It is because the gracious God has been pleased to open their eyes to see, and their ears to hear.</w:t>
      </w:r>
    </w:p>
    <w:p w14:paraId="05C74AA1">
      <w:pPr>
        <w:spacing w:before="8" w:line="249" w:lineRule="auto"/>
        <w:ind w:left="99" w:right="98" w:firstLine="450"/>
        <w:jc w:val="both"/>
        <w:rPr>
          <w:rFonts w:hint="eastAsia"/>
          <w:color w:val="231F20"/>
          <w:sz w:val="30"/>
        </w:rPr>
      </w:pPr>
      <w:r>
        <w:rPr>
          <w:rFonts w:hint="eastAsia"/>
          <w:color w:val="231F20"/>
          <w:sz w:val="30"/>
        </w:rPr>
        <w:t>这是因为恩慈的上帝乐意打开他们的眼睛去看，他们的耳朵去听。</w:t>
      </w:r>
    </w:p>
    <w:p w14:paraId="40EC62CE">
      <w:pPr>
        <w:spacing w:before="8" w:line="249" w:lineRule="auto"/>
        <w:ind w:left="99" w:right="98" w:firstLine="450"/>
        <w:jc w:val="both"/>
        <w:rPr>
          <w:rFonts w:hint="eastAsia"/>
          <w:color w:val="231F20"/>
          <w:sz w:val="30"/>
        </w:rPr>
      </w:pPr>
    </w:p>
    <w:p w14:paraId="63861D10">
      <w:pPr>
        <w:spacing w:before="8" w:line="249" w:lineRule="auto"/>
        <w:ind w:left="99" w:right="98" w:firstLine="450"/>
        <w:jc w:val="both"/>
        <w:rPr>
          <w:rFonts w:hint="eastAsia"/>
          <w:color w:val="231F20"/>
          <w:sz w:val="30"/>
        </w:rPr>
      </w:pPr>
      <w:r>
        <w:rPr>
          <w:rFonts w:hint="eastAsia"/>
          <w:color w:val="231F20"/>
          <w:sz w:val="30"/>
        </w:rPr>
        <w:t>This is quite practical for every modern seeker of Kingdom truth.</w:t>
      </w:r>
    </w:p>
    <w:p w14:paraId="4E1DA735">
      <w:pPr>
        <w:spacing w:before="8" w:line="249" w:lineRule="auto"/>
        <w:ind w:left="99" w:right="98" w:firstLine="450"/>
        <w:jc w:val="both"/>
        <w:rPr>
          <w:rFonts w:hint="eastAsia"/>
          <w:color w:val="231F20"/>
          <w:sz w:val="30"/>
        </w:rPr>
      </w:pPr>
      <w:r>
        <w:rPr>
          <w:rFonts w:hint="eastAsia"/>
          <w:color w:val="231F20"/>
          <w:sz w:val="30"/>
        </w:rPr>
        <w:t>这对每一位现代寻求国度真理的人来说都非常实用。</w:t>
      </w:r>
    </w:p>
    <w:p w14:paraId="2F1B8F05">
      <w:pPr>
        <w:spacing w:before="8" w:line="249" w:lineRule="auto"/>
        <w:ind w:left="99" w:right="98" w:firstLine="450"/>
        <w:jc w:val="both"/>
        <w:rPr>
          <w:rFonts w:hint="eastAsia"/>
          <w:color w:val="231F20"/>
          <w:sz w:val="30"/>
        </w:rPr>
      </w:pPr>
    </w:p>
    <w:p w14:paraId="1F12A321">
      <w:pPr>
        <w:spacing w:before="8" w:line="249" w:lineRule="auto"/>
        <w:ind w:left="99" w:right="98" w:firstLine="450"/>
        <w:jc w:val="both"/>
        <w:rPr>
          <w:rFonts w:hint="eastAsia"/>
          <w:color w:val="231F20"/>
          <w:sz w:val="30"/>
        </w:rPr>
      </w:pPr>
      <w:r>
        <w:rPr>
          <w:rFonts w:hint="eastAsia"/>
          <w:color w:val="231F20"/>
          <w:sz w:val="30"/>
        </w:rPr>
        <w:t>It means that we too must humble ourselves before the sovereign God, beseeching him for the heavenly light by which alone we can see and understand these great mysteries (Luke 24:45, Eph. 1:15f).</w:t>
      </w:r>
    </w:p>
    <w:p w14:paraId="13AAA11E">
      <w:pPr>
        <w:spacing w:before="8" w:line="249" w:lineRule="auto"/>
        <w:ind w:left="99" w:right="98" w:firstLine="450"/>
        <w:jc w:val="both"/>
        <w:rPr>
          <w:rFonts w:hint="eastAsia"/>
          <w:color w:val="231F20"/>
          <w:sz w:val="30"/>
        </w:rPr>
      </w:pPr>
      <w:r>
        <w:rPr>
          <w:rFonts w:hint="eastAsia"/>
          <w:color w:val="231F20"/>
          <w:sz w:val="30"/>
        </w:rPr>
        <w:t>这意味着我们也必须在至高的上帝面前谦卑自己，恳求祂赐下属天的光，唯有藉此我们才能看见和理解这些伟大的奥秘（路 24:45, 弗 1:15f）。</w:t>
      </w:r>
    </w:p>
    <w:p w14:paraId="28941852">
      <w:pPr>
        <w:spacing w:before="8" w:line="249" w:lineRule="auto"/>
        <w:ind w:left="99" w:right="98" w:firstLine="450"/>
        <w:jc w:val="both"/>
        <w:rPr>
          <w:rFonts w:hint="eastAsia"/>
          <w:color w:val="231F20"/>
          <w:sz w:val="30"/>
        </w:rPr>
      </w:pPr>
    </w:p>
    <w:p w14:paraId="6905A925">
      <w:pPr>
        <w:spacing w:before="8" w:line="249" w:lineRule="auto"/>
        <w:ind w:left="99" w:right="98" w:firstLine="450"/>
        <w:jc w:val="both"/>
        <w:rPr>
          <w:rFonts w:hint="eastAsia"/>
          <w:color w:val="231F20"/>
          <w:sz w:val="30"/>
        </w:rPr>
      </w:pPr>
      <w:r>
        <w:rPr>
          <w:rFonts w:hint="eastAsia"/>
          <w:color w:val="231F20"/>
          <w:sz w:val="30"/>
        </w:rPr>
        <w:t>Moreover, if and when we do receive this light, it is certain we must just as passionately thank him for so great a gift; a gift that might not have come to us, but did, because of the surpassing riches of his sovereign grace (Eph. 1:6-7, 2:7).</w:t>
      </w:r>
    </w:p>
    <w:p w14:paraId="00AFEE95">
      <w:pPr>
        <w:spacing w:before="8" w:line="249" w:lineRule="auto"/>
        <w:ind w:left="99" w:right="98" w:firstLine="450"/>
        <w:jc w:val="both"/>
        <w:rPr>
          <w:rFonts w:hint="eastAsia"/>
          <w:color w:val="231F20"/>
          <w:sz w:val="30"/>
        </w:rPr>
      </w:pPr>
      <w:r>
        <w:rPr>
          <w:rFonts w:hint="eastAsia"/>
          <w:color w:val="231F20"/>
          <w:sz w:val="30"/>
        </w:rPr>
        <w:t>此外，如果我们确实领受了这光，我们当然也必须同样热切地为如此大的恩赐感谢祂；这恩赐本可能不会临到我们，但却临到了，因为祂至高恩典那测不透的丰富（弗 1:6-7, 2:7）。</w:t>
      </w:r>
    </w:p>
    <w:p w14:paraId="6DA180A9">
      <w:pPr>
        <w:spacing w:before="8" w:line="249" w:lineRule="auto"/>
        <w:ind w:left="99" w:right="98" w:firstLine="450"/>
        <w:jc w:val="both"/>
        <w:rPr>
          <w:rFonts w:hint="eastAsia"/>
          <w:color w:val="231F20"/>
          <w:sz w:val="30"/>
        </w:rPr>
      </w:pPr>
    </w:p>
    <w:p w14:paraId="0E9ADCAB">
      <w:pPr>
        <w:spacing w:before="8" w:line="249" w:lineRule="auto"/>
        <w:ind w:left="99" w:right="98" w:firstLine="450"/>
        <w:jc w:val="both"/>
        <w:rPr>
          <w:rFonts w:hint="eastAsia"/>
          <w:color w:val="231F20"/>
          <w:sz w:val="30"/>
        </w:rPr>
      </w:pPr>
      <w:r>
        <w:rPr>
          <w:rFonts w:hint="eastAsia"/>
          <w:color w:val="231F20"/>
          <w:sz w:val="30"/>
        </w:rPr>
        <w:t>The Parable of the Wheat and the Tares (Mt. 13:24-30, 36-48)</w:t>
      </w:r>
    </w:p>
    <w:p w14:paraId="7890304C">
      <w:pPr>
        <w:spacing w:before="8" w:line="249" w:lineRule="auto"/>
        <w:ind w:left="99" w:right="98" w:firstLine="450"/>
        <w:jc w:val="both"/>
        <w:rPr>
          <w:rFonts w:hint="eastAsia"/>
          <w:color w:val="231F20"/>
          <w:sz w:val="30"/>
        </w:rPr>
      </w:pPr>
      <w:r>
        <w:rPr>
          <w:rFonts w:hint="eastAsia"/>
          <w:color w:val="231F20"/>
          <w:sz w:val="30"/>
        </w:rPr>
        <w:t>麦子和稗子的比喻（太 13:24-30, 36-48）</w:t>
      </w:r>
    </w:p>
    <w:p w14:paraId="19361BC5">
      <w:pPr>
        <w:spacing w:before="8" w:line="249" w:lineRule="auto"/>
        <w:ind w:left="99" w:right="98" w:firstLine="450"/>
        <w:jc w:val="both"/>
        <w:rPr>
          <w:rFonts w:hint="eastAsia"/>
          <w:color w:val="231F20"/>
          <w:sz w:val="30"/>
        </w:rPr>
      </w:pPr>
    </w:p>
    <w:p w14:paraId="7D7746FB">
      <w:pPr>
        <w:spacing w:before="8" w:line="249" w:lineRule="auto"/>
        <w:ind w:left="99" w:right="98" w:firstLine="450"/>
        <w:jc w:val="both"/>
        <w:rPr>
          <w:rFonts w:hint="eastAsia"/>
          <w:color w:val="231F20"/>
          <w:sz w:val="30"/>
        </w:rPr>
      </w:pPr>
      <w:r>
        <w:rPr>
          <w:rFonts w:hint="eastAsia"/>
          <w:color w:val="231F20"/>
          <w:sz w:val="30"/>
        </w:rPr>
        <w:t>In search of the mysteries of the Kingdom, we turn first to the Parable of the Wheat and the Tares.</w:t>
      </w:r>
    </w:p>
    <w:p w14:paraId="6656218E">
      <w:pPr>
        <w:spacing w:before="8" w:line="249" w:lineRule="auto"/>
        <w:ind w:left="99" w:right="98" w:firstLine="450"/>
        <w:jc w:val="both"/>
        <w:rPr>
          <w:rFonts w:hint="eastAsia"/>
          <w:color w:val="231F20"/>
          <w:sz w:val="30"/>
        </w:rPr>
      </w:pPr>
      <w:r>
        <w:rPr>
          <w:rFonts w:hint="eastAsia"/>
          <w:color w:val="231F20"/>
          <w:sz w:val="30"/>
        </w:rPr>
        <w:t>在寻找国度的奥秘时，我们首先转向麦子和稗子的比喻。</w:t>
      </w:r>
    </w:p>
    <w:p w14:paraId="567A62AC">
      <w:pPr>
        <w:spacing w:before="8" w:line="249" w:lineRule="auto"/>
        <w:ind w:left="99" w:right="98" w:firstLine="450"/>
        <w:jc w:val="both"/>
        <w:rPr>
          <w:rFonts w:hint="eastAsia"/>
          <w:color w:val="231F20"/>
          <w:sz w:val="30"/>
        </w:rPr>
      </w:pPr>
    </w:p>
    <w:p w14:paraId="7A858878">
      <w:pPr>
        <w:spacing w:before="8" w:line="249" w:lineRule="auto"/>
        <w:ind w:left="99" w:right="98" w:firstLine="450"/>
        <w:jc w:val="both"/>
        <w:rPr>
          <w:rFonts w:hint="eastAsia"/>
          <w:color w:val="231F20"/>
          <w:sz w:val="30"/>
        </w:rPr>
      </w:pPr>
      <w:r>
        <w:rPr>
          <w:rFonts w:hint="eastAsia"/>
          <w:color w:val="231F20"/>
          <w:sz w:val="30"/>
        </w:rPr>
        <w:t>It is one of two parables for which Matthew and Mark give us the Lord’s private interpretation.</w:t>
      </w:r>
    </w:p>
    <w:p w14:paraId="546EFD49">
      <w:pPr>
        <w:spacing w:before="8" w:line="249" w:lineRule="auto"/>
        <w:ind w:left="99" w:right="98" w:firstLine="450"/>
        <w:jc w:val="both"/>
        <w:rPr>
          <w:rFonts w:hint="eastAsia"/>
          <w:color w:val="231F20"/>
          <w:sz w:val="30"/>
        </w:rPr>
      </w:pPr>
      <w:r>
        <w:rPr>
          <w:rFonts w:hint="eastAsia"/>
          <w:color w:val="231F20"/>
          <w:sz w:val="30"/>
        </w:rPr>
        <w:t>这是马太和马可为我们提供了主私下解释的两个比喻之一。</w:t>
      </w:r>
    </w:p>
    <w:p w14:paraId="5B4FC440">
      <w:pPr>
        <w:spacing w:before="8" w:line="249" w:lineRule="auto"/>
        <w:ind w:left="99" w:right="98" w:firstLine="450"/>
        <w:jc w:val="both"/>
        <w:rPr>
          <w:rFonts w:hint="eastAsia"/>
          <w:color w:val="231F20"/>
          <w:sz w:val="30"/>
        </w:rPr>
      </w:pPr>
    </w:p>
    <w:p w14:paraId="7365035D">
      <w:pPr>
        <w:spacing w:before="8" w:line="249" w:lineRule="auto"/>
        <w:ind w:left="99" w:right="98" w:firstLine="450"/>
        <w:jc w:val="both"/>
        <w:rPr>
          <w:rFonts w:hint="eastAsia"/>
          <w:color w:val="231F20"/>
          <w:sz w:val="30"/>
        </w:rPr>
      </w:pPr>
      <w:r>
        <w:rPr>
          <w:rFonts w:hint="eastAsia"/>
          <w:color w:val="231F20"/>
          <w:sz w:val="30"/>
        </w:rPr>
        <w:t>The other, the Parable of the Sower and the Soils, deals largely with the nature of the Kingdom, especially in its first stage.</w:t>
      </w:r>
    </w:p>
    <w:p w14:paraId="204AAA75">
      <w:pPr>
        <w:spacing w:before="8" w:line="249" w:lineRule="auto"/>
        <w:ind w:left="99" w:right="98" w:firstLine="450"/>
        <w:jc w:val="both"/>
        <w:rPr>
          <w:rFonts w:hint="eastAsia"/>
          <w:color w:val="231F20"/>
          <w:sz w:val="30"/>
        </w:rPr>
      </w:pPr>
      <w:r>
        <w:rPr>
          <w:rFonts w:hint="eastAsia"/>
          <w:color w:val="231F20"/>
          <w:sz w:val="30"/>
        </w:rPr>
        <w:t>另一个，撒种者和土壤的比喻，主要涉及国度的性质，尤其是在其第一阶段。</w:t>
      </w:r>
    </w:p>
    <w:p w14:paraId="4C0C1316">
      <w:pPr>
        <w:spacing w:before="8" w:line="249" w:lineRule="auto"/>
        <w:ind w:left="99" w:right="98" w:firstLine="450"/>
        <w:jc w:val="both"/>
        <w:rPr>
          <w:rFonts w:hint="eastAsia"/>
          <w:color w:val="231F20"/>
          <w:sz w:val="30"/>
        </w:rPr>
      </w:pPr>
    </w:p>
    <w:p w14:paraId="54486081">
      <w:pPr>
        <w:spacing w:before="8" w:line="249" w:lineRule="auto"/>
        <w:ind w:left="99" w:right="98" w:firstLine="450"/>
        <w:jc w:val="both"/>
        <w:rPr>
          <w:rFonts w:hint="eastAsia"/>
          <w:color w:val="231F20"/>
          <w:sz w:val="30"/>
        </w:rPr>
      </w:pPr>
      <w:r>
        <w:rPr>
          <w:rFonts w:hint="eastAsia"/>
          <w:color w:val="231F20"/>
          <w:sz w:val="30"/>
        </w:rPr>
        <w:t>This one, however, deals not only with its nature, but also with its structure.</w:t>
      </w:r>
    </w:p>
    <w:p w14:paraId="05257554">
      <w:pPr>
        <w:spacing w:before="8" w:line="249" w:lineRule="auto"/>
        <w:ind w:left="99" w:right="98" w:firstLine="450"/>
        <w:jc w:val="both"/>
        <w:rPr>
          <w:rFonts w:hint="eastAsia"/>
          <w:color w:val="231F20"/>
          <w:sz w:val="30"/>
        </w:rPr>
      </w:pPr>
      <w:r>
        <w:rPr>
          <w:rFonts w:hint="eastAsia"/>
          <w:color w:val="231F20"/>
          <w:sz w:val="30"/>
        </w:rPr>
        <w:t>然而，这一个不仅涉及其性质，也涉及其结构。</w:t>
      </w:r>
    </w:p>
    <w:p w14:paraId="7646637C">
      <w:pPr>
        <w:spacing w:before="8" w:line="249" w:lineRule="auto"/>
        <w:ind w:left="99" w:right="98" w:firstLine="450"/>
        <w:jc w:val="both"/>
        <w:rPr>
          <w:rFonts w:hint="eastAsia"/>
          <w:color w:val="231F20"/>
          <w:sz w:val="30"/>
        </w:rPr>
      </w:pPr>
    </w:p>
    <w:p w14:paraId="2B9CE2CF">
      <w:pPr>
        <w:spacing w:before="8" w:line="249" w:lineRule="auto"/>
        <w:ind w:left="99" w:right="98" w:firstLine="450"/>
        <w:jc w:val="both"/>
        <w:rPr>
          <w:rFonts w:hint="eastAsia"/>
          <w:color w:val="231F20"/>
          <w:sz w:val="30"/>
        </w:rPr>
      </w:pPr>
      <w:r>
        <w:rPr>
          <w:rFonts w:hint="eastAsia"/>
          <w:color w:val="231F20"/>
          <w:sz w:val="30"/>
        </w:rPr>
        <w:t>Accordingly, Mathew devotes more attention to this particular parable than to any other.</w:t>
      </w:r>
    </w:p>
    <w:p w14:paraId="6607F469">
      <w:pPr>
        <w:spacing w:before="8" w:line="249" w:lineRule="auto"/>
        <w:ind w:left="99" w:right="98" w:firstLine="450"/>
        <w:jc w:val="both"/>
        <w:rPr>
          <w:rFonts w:hint="eastAsia"/>
          <w:color w:val="231F20"/>
          <w:sz w:val="30"/>
        </w:rPr>
      </w:pPr>
      <w:r>
        <w:rPr>
          <w:rFonts w:hint="eastAsia"/>
          <w:color w:val="231F20"/>
          <w:sz w:val="30"/>
        </w:rPr>
        <w:t>因此，马太对这个特定的比喻比对任何其他比喻都给予了更多的关注。</w:t>
      </w:r>
    </w:p>
    <w:p w14:paraId="5E20FB10">
      <w:pPr>
        <w:spacing w:before="8" w:line="249" w:lineRule="auto"/>
        <w:ind w:left="99" w:right="98" w:firstLine="450"/>
        <w:jc w:val="both"/>
        <w:rPr>
          <w:rFonts w:hint="eastAsia"/>
          <w:color w:val="231F20"/>
          <w:sz w:val="30"/>
        </w:rPr>
      </w:pPr>
    </w:p>
    <w:p w14:paraId="551FEEA8">
      <w:pPr>
        <w:spacing w:before="8" w:line="249" w:lineRule="auto"/>
        <w:ind w:left="99" w:right="98" w:firstLine="450"/>
        <w:jc w:val="both"/>
        <w:rPr>
          <w:rFonts w:hint="eastAsia"/>
          <w:color w:val="231F20"/>
          <w:sz w:val="30"/>
        </w:rPr>
      </w:pPr>
      <w:r>
        <w:rPr>
          <w:rFonts w:hint="eastAsia"/>
          <w:color w:val="231F20"/>
          <w:sz w:val="30"/>
        </w:rPr>
        <w:t>And this is fitting.</w:t>
      </w:r>
    </w:p>
    <w:p w14:paraId="22F07605">
      <w:pPr>
        <w:spacing w:before="8" w:line="249" w:lineRule="auto"/>
        <w:ind w:left="99" w:right="98" w:firstLine="450"/>
        <w:jc w:val="both"/>
        <w:rPr>
          <w:rFonts w:hint="eastAsia"/>
          <w:color w:val="231F20"/>
          <w:sz w:val="30"/>
        </w:rPr>
      </w:pPr>
      <w:r>
        <w:rPr>
          <w:rFonts w:hint="eastAsia"/>
          <w:color w:val="231F20"/>
          <w:sz w:val="30"/>
        </w:rPr>
        <w:t>而这是恰当的。</w:t>
      </w:r>
    </w:p>
    <w:p w14:paraId="7AF1877A">
      <w:pPr>
        <w:spacing w:before="8" w:line="249" w:lineRule="auto"/>
        <w:ind w:left="99" w:right="98" w:firstLine="450"/>
        <w:jc w:val="both"/>
        <w:rPr>
          <w:rFonts w:hint="eastAsia"/>
          <w:color w:val="231F20"/>
          <w:sz w:val="30"/>
        </w:rPr>
      </w:pPr>
    </w:p>
    <w:p w14:paraId="797A6DA5">
      <w:pPr>
        <w:spacing w:before="8" w:line="249" w:lineRule="auto"/>
        <w:ind w:left="99" w:right="98" w:firstLine="450"/>
        <w:jc w:val="both"/>
        <w:rPr>
          <w:rFonts w:hint="eastAsia"/>
          <w:color w:val="231F20"/>
          <w:sz w:val="30"/>
        </w:rPr>
      </w:pPr>
      <w:r>
        <w:rPr>
          <w:rFonts w:hint="eastAsia"/>
          <w:color w:val="231F20"/>
          <w:sz w:val="30"/>
        </w:rPr>
        <w:t>Yes, it is only a seminal teaching, and therefore requires some fleshing out.</w:t>
      </w:r>
    </w:p>
    <w:p w14:paraId="1BE512DC">
      <w:pPr>
        <w:spacing w:before="8" w:line="249" w:lineRule="auto"/>
        <w:ind w:left="99" w:right="98" w:firstLine="450"/>
        <w:jc w:val="both"/>
        <w:rPr>
          <w:rFonts w:hint="eastAsia"/>
          <w:color w:val="231F20"/>
          <w:sz w:val="30"/>
        </w:rPr>
      </w:pPr>
      <w:r>
        <w:rPr>
          <w:rFonts w:hint="eastAsia"/>
          <w:color w:val="231F20"/>
          <w:sz w:val="30"/>
        </w:rPr>
        <w:t>是的，它只是一个种子般的教导，因此需要一些充实。</w:t>
      </w:r>
    </w:p>
    <w:p w14:paraId="14108FC2">
      <w:pPr>
        <w:spacing w:before="8" w:line="249" w:lineRule="auto"/>
        <w:ind w:left="99" w:right="98" w:firstLine="450"/>
        <w:jc w:val="both"/>
        <w:rPr>
          <w:rFonts w:hint="eastAsia"/>
          <w:color w:val="231F20"/>
          <w:sz w:val="30"/>
        </w:rPr>
      </w:pPr>
    </w:p>
    <w:p w14:paraId="05961330">
      <w:pPr>
        <w:spacing w:before="8" w:line="249" w:lineRule="auto"/>
        <w:ind w:left="99" w:right="98" w:firstLine="450"/>
        <w:jc w:val="both"/>
        <w:rPr>
          <w:rFonts w:hint="eastAsia"/>
          <w:color w:val="231F20"/>
          <w:sz w:val="30"/>
        </w:rPr>
      </w:pPr>
      <w:r>
        <w:rPr>
          <w:rFonts w:hint="eastAsia"/>
          <w:color w:val="231F20"/>
          <w:sz w:val="30"/>
        </w:rPr>
        <w:t>But it is also an astonishingly substantial teaching, supplying, as it were, the very skeleton upon which the flesh of all NT eschatology will grow until the whole body reaches full stature.</w:t>
      </w:r>
    </w:p>
    <w:p w14:paraId="0F344F1C">
      <w:pPr>
        <w:spacing w:before="8" w:line="249" w:lineRule="auto"/>
        <w:ind w:left="99" w:right="98" w:firstLine="450"/>
        <w:jc w:val="both"/>
        <w:rPr>
          <w:rFonts w:hint="eastAsia"/>
          <w:color w:val="231F20"/>
          <w:sz w:val="30"/>
        </w:rPr>
      </w:pPr>
      <w:r>
        <w:rPr>
          <w:rFonts w:hint="eastAsia"/>
          <w:color w:val="231F20"/>
          <w:sz w:val="30"/>
        </w:rPr>
        <w:t>但它也是一个惊人地实质性的教导，可说，提供了整个新约末世论血肉赖以生长的骨架，直到整个身体长成。</w:t>
      </w:r>
    </w:p>
    <w:p w14:paraId="5771419E">
      <w:pPr>
        <w:spacing w:before="8" w:line="249" w:lineRule="auto"/>
        <w:ind w:left="99" w:right="98" w:firstLine="450"/>
        <w:jc w:val="both"/>
        <w:rPr>
          <w:rFonts w:hint="eastAsia"/>
          <w:color w:val="231F20"/>
          <w:sz w:val="30"/>
        </w:rPr>
      </w:pPr>
    </w:p>
    <w:p w14:paraId="3F52FBA2">
      <w:pPr>
        <w:spacing w:before="8" w:line="249" w:lineRule="auto"/>
        <w:ind w:left="99" w:right="98" w:firstLine="450"/>
        <w:jc w:val="both"/>
        <w:rPr>
          <w:rFonts w:hint="eastAsia"/>
          <w:color w:val="231F20"/>
          <w:sz w:val="30"/>
        </w:rPr>
      </w:pPr>
      <w:r>
        <w:rPr>
          <w:rFonts w:hint="eastAsia"/>
          <w:color w:val="231F20"/>
          <w:sz w:val="30"/>
        </w:rPr>
        <w:t>It is for these reasons that I regard it as the most important parable of all.</w:t>
      </w:r>
    </w:p>
    <w:p w14:paraId="2C1956EF">
      <w:pPr>
        <w:spacing w:before="8" w:line="249" w:lineRule="auto"/>
        <w:ind w:left="99" w:right="98" w:firstLine="450"/>
        <w:jc w:val="both"/>
        <w:rPr>
          <w:rFonts w:hint="eastAsia"/>
          <w:color w:val="231F20"/>
          <w:sz w:val="30"/>
        </w:rPr>
      </w:pPr>
      <w:r>
        <w:rPr>
          <w:rFonts w:hint="eastAsia"/>
          <w:color w:val="231F20"/>
          <w:sz w:val="30"/>
        </w:rPr>
        <w:t>正是由于这些原因，我视之为所有比喻中最重要的一个。</w:t>
      </w:r>
    </w:p>
    <w:p w14:paraId="58C595EC">
      <w:pPr>
        <w:spacing w:before="8" w:line="249" w:lineRule="auto"/>
        <w:ind w:left="99" w:right="98" w:firstLine="450"/>
        <w:jc w:val="both"/>
        <w:rPr>
          <w:rFonts w:hint="eastAsia"/>
          <w:color w:val="231F20"/>
          <w:sz w:val="30"/>
        </w:rPr>
      </w:pPr>
    </w:p>
    <w:p w14:paraId="165FC970">
      <w:pPr>
        <w:spacing w:before="8" w:line="249" w:lineRule="auto"/>
        <w:ind w:left="99" w:right="98" w:firstLine="450"/>
        <w:jc w:val="both"/>
        <w:rPr>
          <w:rFonts w:hint="eastAsia"/>
          <w:color w:val="231F20"/>
          <w:sz w:val="30"/>
        </w:rPr>
      </w:pPr>
      <w:r>
        <w:rPr>
          <w:rFonts w:hint="eastAsia"/>
          <w:color w:val="231F20"/>
          <w:sz w:val="30"/>
        </w:rPr>
        <w:t>As for its meaning, the Lord is almost punctilious about opening up the symbolism involved, obviously desiring his disciples fully to understand every word.</w:t>
      </w:r>
    </w:p>
    <w:p w14:paraId="0FFCB9D6">
      <w:pPr>
        <w:spacing w:before="8" w:line="249" w:lineRule="auto"/>
        <w:ind w:left="99" w:right="98" w:firstLine="450"/>
        <w:jc w:val="both"/>
        <w:rPr>
          <w:rFonts w:hint="eastAsia"/>
          <w:color w:val="231F20"/>
          <w:sz w:val="30"/>
        </w:rPr>
      </w:pPr>
      <w:r>
        <w:rPr>
          <w:rFonts w:hint="eastAsia"/>
          <w:color w:val="231F20"/>
          <w:sz w:val="30"/>
        </w:rPr>
        <w:t>至于其含义，主几乎是一丝不苟地揭示了其中涉及的象征意义，显然希望祂的门徒完全理解每一个词。</w:t>
      </w:r>
    </w:p>
    <w:p w14:paraId="0F8544D9">
      <w:pPr>
        <w:spacing w:before="8" w:line="249" w:lineRule="auto"/>
        <w:ind w:left="99" w:right="98" w:firstLine="450"/>
        <w:jc w:val="both"/>
        <w:rPr>
          <w:rFonts w:hint="eastAsia"/>
          <w:color w:val="231F20"/>
          <w:sz w:val="30"/>
        </w:rPr>
      </w:pPr>
    </w:p>
    <w:p w14:paraId="360E0A06">
      <w:pPr>
        <w:spacing w:before="8" w:line="249" w:lineRule="auto"/>
        <w:ind w:left="99" w:right="98" w:firstLine="450"/>
        <w:jc w:val="both"/>
        <w:rPr>
          <w:rFonts w:hint="eastAsia"/>
          <w:color w:val="231F20"/>
          <w:sz w:val="30"/>
        </w:rPr>
      </w:pPr>
      <w:r>
        <w:rPr>
          <w:rFonts w:hint="eastAsia"/>
          <w:color w:val="231F20"/>
          <w:sz w:val="30"/>
        </w:rPr>
        <w:t>This makes it a much-needed bastion of eschatological clarity.</w:t>
      </w:r>
    </w:p>
    <w:p w14:paraId="17B191FC">
      <w:pPr>
        <w:spacing w:before="8" w:line="249" w:lineRule="auto"/>
        <w:ind w:left="99" w:right="98" w:firstLine="450"/>
        <w:jc w:val="both"/>
        <w:rPr>
          <w:rFonts w:hint="eastAsia"/>
          <w:color w:val="231F20"/>
          <w:sz w:val="30"/>
        </w:rPr>
      </w:pPr>
      <w:r>
        <w:rPr>
          <w:rFonts w:hint="eastAsia"/>
          <w:color w:val="231F20"/>
          <w:sz w:val="30"/>
        </w:rPr>
        <w:t>这使它成为一个亟需的末世论清晰的堡垒。</w:t>
      </w:r>
    </w:p>
    <w:p w14:paraId="4A9DDB88">
      <w:pPr>
        <w:spacing w:before="8" w:line="249" w:lineRule="auto"/>
        <w:ind w:left="99" w:right="98" w:firstLine="450"/>
        <w:jc w:val="both"/>
        <w:rPr>
          <w:rFonts w:hint="eastAsia"/>
          <w:color w:val="231F20"/>
          <w:sz w:val="30"/>
        </w:rPr>
      </w:pPr>
    </w:p>
    <w:p w14:paraId="6570C3EF">
      <w:pPr>
        <w:spacing w:before="8" w:line="249" w:lineRule="auto"/>
        <w:ind w:left="99" w:right="98" w:firstLine="450"/>
        <w:jc w:val="both"/>
        <w:rPr>
          <w:rFonts w:hint="eastAsia"/>
          <w:color w:val="231F20"/>
          <w:sz w:val="30"/>
        </w:rPr>
      </w:pPr>
      <w:r>
        <w:rPr>
          <w:rFonts w:hint="eastAsia"/>
          <w:color w:val="231F20"/>
          <w:sz w:val="30"/>
        </w:rPr>
        <w:t>Accordingly, there is little need for me to comment at length on what he has already said so well.</w:t>
      </w:r>
    </w:p>
    <w:p w14:paraId="7250361C">
      <w:pPr>
        <w:spacing w:before="8" w:line="249" w:lineRule="auto"/>
        <w:ind w:left="99" w:right="98" w:firstLine="450"/>
        <w:jc w:val="both"/>
        <w:rPr>
          <w:rFonts w:hint="eastAsia"/>
          <w:color w:val="231F20"/>
          <w:sz w:val="30"/>
        </w:rPr>
      </w:pPr>
      <w:r>
        <w:rPr>
          <w:rFonts w:hint="eastAsia"/>
          <w:color w:val="231F20"/>
          <w:sz w:val="30"/>
        </w:rPr>
        <w:t>因此，我几乎没有必要对祂已经说得如此好的内容作长篇评论。</w:t>
      </w:r>
    </w:p>
    <w:p w14:paraId="03502D3C">
      <w:pPr>
        <w:spacing w:before="8" w:line="249" w:lineRule="auto"/>
        <w:ind w:left="99" w:right="98" w:firstLine="450"/>
        <w:jc w:val="both"/>
        <w:rPr>
          <w:rFonts w:hint="eastAsia"/>
          <w:color w:val="231F20"/>
          <w:sz w:val="30"/>
        </w:rPr>
      </w:pPr>
    </w:p>
    <w:p w14:paraId="61C790C4">
      <w:pPr>
        <w:spacing w:before="8" w:line="249" w:lineRule="auto"/>
        <w:ind w:left="99" w:right="98" w:firstLine="450"/>
        <w:jc w:val="both"/>
        <w:rPr>
          <w:rFonts w:hint="eastAsia"/>
          <w:color w:val="231F20"/>
          <w:sz w:val="30"/>
        </w:rPr>
      </w:pPr>
      <w:r>
        <w:rPr>
          <w:rFonts w:hint="eastAsia"/>
          <w:color w:val="231F20"/>
          <w:sz w:val="30"/>
        </w:rPr>
        <w:t>I do, however, want to comment on the rich eschatological implications of this text by pointing out several of the key mysteries it contains.</w:t>
      </w:r>
    </w:p>
    <w:p w14:paraId="61DDF809">
      <w:pPr>
        <w:spacing w:before="8" w:line="249" w:lineRule="auto"/>
        <w:ind w:left="99" w:right="98" w:firstLine="450"/>
        <w:jc w:val="both"/>
        <w:rPr>
          <w:rFonts w:hint="eastAsia"/>
          <w:color w:val="231F20"/>
          <w:sz w:val="30"/>
        </w:rPr>
      </w:pPr>
      <w:r>
        <w:rPr>
          <w:rFonts w:hint="eastAsia"/>
          <w:color w:val="231F20"/>
          <w:sz w:val="30"/>
        </w:rPr>
        <w:t>然而，我确实想通过指出这段经文包含的几个关键奥秘，来评论其丰富的末世论含义。</w:t>
      </w:r>
    </w:p>
    <w:p w14:paraId="09FB8BD4">
      <w:pPr>
        <w:spacing w:before="8" w:line="249" w:lineRule="auto"/>
        <w:ind w:left="99" w:right="98" w:firstLine="450"/>
        <w:jc w:val="both"/>
        <w:rPr>
          <w:rFonts w:hint="eastAsia"/>
          <w:color w:val="231F20"/>
          <w:sz w:val="30"/>
        </w:rPr>
      </w:pPr>
    </w:p>
    <w:p w14:paraId="5337F3A8">
      <w:pPr>
        <w:spacing w:before="8" w:line="249" w:lineRule="auto"/>
        <w:ind w:left="99" w:right="98" w:firstLine="450"/>
        <w:jc w:val="both"/>
        <w:rPr>
          <w:rFonts w:hint="eastAsia"/>
          <w:color w:val="231F20"/>
          <w:sz w:val="30"/>
        </w:rPr>
      </w:pPr>
      <w:r>
        <w:rPr>
          <w:rFonts w:hint="eastAsia"/>
          <w:color w:val="231F20"/>
          <w:sz w:val="30"/>
        </w:rPr>
        <w:t>1.The one Kingdom of God comes in two stages: The Kingdom of the Son, followed by the Kingdom of the Father.</w:t>
      </w:r>
    </w:p>
    <w:p w14:paraId="0B996CC6">
      <w:pPr>
        <w:spacing w:before="8" w:line="249" w:lineRule="auto"/>
        <w:ind w:left="99" w:right="98" w:firstLine="450"/>
        <w:jc w:val="both"/>
        <w:rPr>
          <w:rFonts w:hint="eastAsia"/>
          <w:color w:val="231F20"/>
          <w:sz w:val="30"/>
        </w:rPr>
      </w:pPr>
      <w:r>
        <w:rPr>
          <w:rFonts w:hint="eastAsia"/>
          <w:color w:val="231F20"/>
          <w:sz w:val="30"/>
        </w:rPr>
        <w:t>1.独一的上帝之国分两个阶段降临：圣子之国，随后是圣父之国。</w:t>
      </w:r>
    </w:p>
    <w:p w14:paraId="6531D027">
      <w:pPr>
        <w:spacing w:before="8" w:line="249" w:lineRule="auto"/>
        <w:ind w:left="99" w:right="98" w:firstLine="450"/>
        <w:jc w:val="both"/>
        <w:rPr>
          <w:rFonts w:hint="eastAsia"/>
          <w:color w:val="231F20"/>
          <w:sz w:val="30"/>
        </w:rPr>
      </w:pPr>
    </w:p>
    <w:p w14:paraId="47277BF9">
      <w:pPr>
        <w:spacing w:before="8" w:line="249" w:lineRule="auto"/>
        <w:ind w:left="99" w:right="98" w:firstLine="450"/>
        <w:jc w:val="both"/>
        <w:rPr>
          <w:rFonts w:hint="eastAsia"/>
          <w:color w:val="231F20"/>
          <w:sz w:val="30"/>
        </w:rPr>
      </w:pPr>
      <w:r>
        <w:rPr>
          <w:rFonts w:hint="eastAsia"/>
          <w:color w:val="231F20"/>
          <w:sz w:val="30"/>
        </w:rPr>
        <w:t>That there is but one Kingdom is clear from verse 38, where Jesus speaks of “the sons of the Kingdom.”</w:t>
      </w:r>
    </w:p>
    <w:p w14:paraId="7FEF9504">
      <w:pPr>
        <w:spacing w:before="8" w:line="249" w:lineRule="auto"/>
        <w:ind w:left="99" w:right="98" w:firstLine="450"/>
        <w:jc w:val="both"/>
        <w:rPr>
          <w:rFonts w:hint="eastAsia"/>
          <w:color w:val="231F20"/>
          <w:sz w:val="30"/>
        </w:rPr>
      </w:pPr>
      <w:r>
        <w:rPr>
          <w:rFonts w:hint="eastAsia"/>
          <w:color w:val="231F20"/>
          <w:sz w:val="30"/>
        </w:rPr>
        <w:t>只有一个国度，从第38节可以清楚地看到，耶稣在那里讲到“天国的子民”。</w:t>
      </w:r>
    </w:p>
    <w:p w14:paraId="181DB016">
      <w:pPr>
        <w:spacing w:before="8" w:line="249" w:lineRule="auto"/>
        <w:ind w:left="99" w:right="98" w:firstLine="450"/>
        <w:jc w:val="both"/>
        <w:rPr>
          <w:rFonts w:hint="eastAsia"/>
          <w:color w:val="231F20"/>
          <w:sz w:val="30"/>
        </w:rPr>
      </w:pPr>
    </w:p>
    <w:p w14:paraId="3F5E40EF">
      <w:pPr>
        <w:spacing w:before="8" w:line="249" w:lineRule="auto"/>
        <w:ind w:left="99" w:right="98" w:firstLine="450"/>
        <w:jc w:val="both"/>
        <w:rPr>
          <w:rFonts w:hint="eastAsia"/>
          <w:color w:val="231F20"/>
          <w:sz w:val="30"/>
        </w:rPr>
      </w:pPr>
      <w:r>
        <w:rPr>
          <w:rFonts w:hint="eastAsia"/>
          <w:color w:val="231F20"/>
          <w:sz w:val="30"/>
        </w:rPr>
        <w:t>As in verse 11, so here: the article is significant, revealing that in the end there is but a single Kingdom of God.</w:t>
      </w:r>
    </w:p>
    <w:p w14:paraId="67A7F6FD">
      <w:pPr>
        <w:spacing w:before="8" w:line="249" w:lineRule="auto"/>
        <w:ind w:left="99" w:right="98" w:firstLine="450"/>
        <w:jc w:val="both"/>
        <w:rPr>
          <w:rFonts w:hint="eastAsia"/>
          <w:color w:val="231F20"/>
          <w:sz w:val="30"/>
        </w:rPr>
      </w:pPr>
      <w:r>
        <w:rPr>
          <w:rFonts w:hint="eastAsia"/>
          <w:color w:val="231F20"/>
          <w:sz w:val="30"/>
        </w:rPr>
        <w:t>如同第11节一样，此处也是如此：冠词是重要的，揭示了最终只有一个上帝的国。</w:t>
      </w:r>
    </w:p>
    <w:p w14:paraId="47F14570">
      <w:pPr>
        <w:spacing w:before="8" w:line="249" w:lineRule="auto"/>
        <w:ind w:left="99" w:right="98" w:firstLine="450"/>
        <w:jc w:val="both"/>
        <w:rPr>
          <w:rFonts w:hint="eastAsia"/>
          <w:color w:val="231F20"/>
          <w:sz w:val="30"/>
        </w:rPr>
      </w:pPr>
    </w:p>
    <w:p w14:paraId="2F2541C0">
      <w:pPr>
        <w:spacing w:before="8" w:line="249" w:lineRule="auto"/>
        <w:ind w:left="99" w:right="98" w:firstLine="450"/>
        <w:jc w:val="both"/>
        <w:rPr>
          <w:rFonts w:hint="eastAsia"/>
          <w:color w:val="231F20"/>
          <w:sz w:val="30"/>
        </w:rPr>
      </w:pPr>
      <w:r>
        <w:rPr>
          <w:rFonts w:hint="eastAsia"/>
          <w:color w:val="231F20"/>
          <w:sz w:val="30"/>
        </w:rPr>
        <w:t>How then can Christ speak of two kingdoms: the Kingdom of the Son and the Kingdom of the Father?</w:t>
      </w:r>
    </w:p>
    <w:p w14:paraId="6A46FC43">
      <w:pPr>
        <w:spacing w:before="8" w:line="249" w:lineRule="auto"/>
        <w:ind w:left="99" w:right="98" w:firstLine="450"/>
        <w:jc w:val="both"/>
        <w:rPr>
          <w:rFonts w:hint="eastAsia"/>
          <w:color w:val="231F20"/>
          <w:sz w:val="30"/>
        </w:rPr>
      </w:pPr>
      <w:r>
        <w:rPr>
          <w:rFonts w:hint="eastAsia"/>
          <w:color w:val="231F20"/>
          <w:sz w:val="30"/>
        </w:rPr>
        <w:t>那么，基督怎能谈论两个国度：圣子之国和圣父之国呢？</w:t>
      </w:r>
    </w:p>
    <w:p w14:paraId="3C416E55">
      <w:pPr>
        <w:spacing w:before="8" w:line="249" w:lineRule="auto"/>
        <w:ind w:left="99" w:right="98" w:firstLine="450"/>
        <w:jc w:val="both"/>
        <w:rPr>
          <w:rFonts w:hint="eastAsia"/>
          <w:color w:val="231F20"/>
          <w:sz w:val="30"/>
        </w:rPr>
      </w:pPr>
    </w:p>
    <w:p w14:paraId="6C6BF38E">
      <w:pPr>
        <w:spacing w:before="8" w:line="249" w:lineRule="auto"/>
        <w:ind w:left="99" w:right="98" w:firstLine="450"/>
        <w:jc w:val="both"/>
        <w:rPr>
          <w:rFonts w:hint="eastAsia"/>
          <w:color w:val="231F20"/>
          <w:sz w:val="30"/>
        </w:rPr>
      </w:pPr>
      <w:r>
        <w:rPr>
          <w:rFonts w:hint="eastAsia"/>
          <w:color w:val="231F20"/>
          <w:sz w:val="30"/>
        </w:rPr>
        <w:t>The answer is simple: The two stages of the one Kingdom share a common essence.</w:t>
      </w:r>
    </w:p>
    <w:p w14:paraId="6E213685">
      <w:pPr>
        <w:spacing w:before="8" w:line="249" w:lineRule="auto"/>
        <w:ind w:left="99" w:right="98" w:firstLine="450"/>
        <w:jc w:val="both"/>
        <w:rPr>
          <w:rFonts w:hint="eastAsia"/>
          <w:color w:val="231F20"/>
          <w:sz w:val="30"/>
        </w:rPr>
      </w:pPr>
      <w:r>
        <w:rPr>
          <w:rFonts w:hint="eastAsia"/>
          <w:color w:val="231F20"/>
          <w:sz w:val="30"/>
        </w:rPr>
        <w:t>答案很简单：那独一国度的两个阶段共享一个共同的本质。</w:t>
      </w:r>
    </w:p>
    <w:p w14:paraId="3C38EE2C">
      <w:pPr>
        <w:spacing w:before="8" w:line="249" w:lineRule="auto"/>
        <w:ind w:left="99" w:right="98" w:firstLine="450"/>
        <w:jc w:val="both"/>
        <w:rPr>
          <w:rFonts w:hint="eastAsia"/>
          <w:color w:val="231F20"/>
          <w:sz w:val="30"/>
        </w:rPr>
      </w:pPr>
    </w:p>
    <w:p w14:paraId="685FF24A">
      <w:pPr>
        <w:spacing w:before="8" w:line="249" w:lineRule="auto"/>
        <w:ind w:left="99" w:right="98" w:firstLine="450"/>
        <w:jc w:val="both"/>
        <w:rPr>
          <w:rFonts w:hint="eastAsia"/>
          <w:color w:val="231F20"/>
          <w:sz w:val="30"/>
        </w:rPr>
      </w:pPr>
      <w:r>
        <w:rPr>
          <w:rFonts w:hint="eastAsia"/>
          <w:color w:val="231F20"/>
          <w:sz w:val="30"/>
        </w:rPr>
        <w:t>Both are spheres of redemption.</w:t>
      </w:r>
    </w:p>
    <w:p w14:paraId="01EB9780">
      <w:pPr>
        <w:spacing w:before="8" w:line="249" w:lineRule="auto"/>
        <w:ind w:left="99" w:right="98" w:firstLine="450"/>
        <w:jc w:val="both"/>
        <w:rPr>
          <w:rFonts w:hint="eastAsia"/>
          <w:color w:val="231F20"/>
          <w:sz w:val="30"/>
        </w:rPr>
      </w:pPr>
      <w:r>
        <w:rPr>
          <w:rFonts w:hint="eastAsia"/>
          <w:color w:val="231F20"/>
          <w:sz w:val="30"/>
        </w:rPr>
        <w:t>两者都是救赎的领域。</w:t>
      </w:r>
    </w:p>
    <w:p w14:paraId="41A20C20">
      <w:pPr>
        <w:spacing w:before="8" w:line="249" w:lineRule="auto"/>
        <w:ind w:left="99" w:right="98" w:firstLine="450"/>
        <w:jc w:val="both"/>
        <w:rPr>
          <w:rFonts w:hint="eastAsia"/>
          <w:color w:val="231F20"/>
          <w:sz w:val="30"/>
        </w:rPr>
      </w:pPr>
    </w:p>
    <w:p w14:paraId="693353DC">
      <w:pPr>
        <w:spacing w:before="8" w:line="249" w:lineRule="auto"/>
        <w:ind w:left="99" w:right="98" w:firstLine="450"/>
        <w:jc w:val="both"/>
        <w:rPr>
          <w:rFonts w:hint="eastAsia"/>
          <w:color w:val="231F20"/>
          <w:sz w:val="30"/>
        </w:rPr>
      </w:pPr>
      <w:r>
        <w:rPr>
          <w:rFonts w:hint="eastAsia"/>
          <w:color w:val="231F20"/>
          <w:sz w:val="30"/>
        </w:rPr>
        <w:t>Both are spheres of rescue and restoration.</w:t>
      </w:r>
    </w:p>
    <w:p w14:paraId="3E120B70">
      <w:pPr>
        <w:spacing w:before="8" w:line="249" w:lineRule="auto"/>
        <w:ind w:left="99" w:right="98" w:firstLine="450"/>
        <w:jc w:val="both"/>
        <w:rPr>
          <w:rFonts w:hint="eastAsia"/>
          <w:color w:val="231F20"/>
          <w:sz w:val="30"/>
        </w:rPr>
      </w:pPr>
      <w:r>
        <w:rPr>
          <w:rFonts w:hint="eastAsia"/>
          <w:color w:val="231F20"/>
          <w:sz w:val="30"/>
        </w:rPr>
        <w:t>两者都是拯救和恢复的领域。</w:t>
      </w:r>
    </w:p>
    <w:p w14:paraId="09C5C3E8">
      <w:pPr>
        <w:spacing w:before="8" w:line="249" w:lineRule="auto"/>
        <w:ind w:left="99" w:right="98" w:firstLine="450"/>
        <w:jc w:val="both"/>
        <w:rPr>
          <w:rFonts w:hint="eastAsia"/>
          <w:color w:val="231F20"/>
          <w:sz w:val="30"/>
        </w:rPr>
      </w:pPr>
    </w:p>
    <w:p w14:paraId="7C2358EE">
      <w:pPr>
        <w:spacing w:before="8" w:line="249" w:lineRule="auto"/>
        <w:ind w:left="99" w:right="98" w:firstLine="450"/>
        <w:jc w:val="both"/>
        <w:rPr>
          <w:rFonts w:hint="eastAsia"/>
          <w:color w:val="231F20"/>
          <w:sz w:val="30"/>
        </w:rPr>
      </w:pPr>
      <w:r>
        <w:rPr>
          <w:rFonts w:hint="eastAsia"/>
          <w:color w:val="231F20"/>
          <w:sz w:val="30"/>
        </w:rPr>
        <w:t>Both are spheres in which God is directly ruling over his redeemed children.</w:t>
      </w:r>
    </w:p>
    <w:p w14:paraId="05172B56">
      <w:pPr>
        <w:spacing w:before="8" w:line="249" w:lineRule="auto"/>
        <w:ind w:left="99" w:right="98" w:firstLine="450"/>
        <w:jc w:val="both"/>
        <w:rPr>
          <w:rFonts w:hint="eastAsia"/>
          <w:color w:val="231F20"/>
          <w:sz w:val="30"/>
        </w:rPr>
      </w:pPr>
      <w:r>
        <w:rPr>
          <w:rFonts w:hint="eastAsia"/>
          <w:color w:val="231F20"/>
          <w:sz w:val="30"/>
        </w:rPr>
        <w:t>两者都是上帝直接统治祂被赎儿女的领域。</w:t>
      </w:r>
    </w:p>
    <w:p w14:paraId="3FA7F56B">
      <w:pPr>
        <w:spacing w:before="8" w:line="249" w:lineRule="auto"/>
        <w:ind w:left="99" w:right="98" w:firstLine="450"/>
        <w:jc w:val="both"/>
        <w:rPr>
          <w:rFonts w:hint="eastAsia"/>
          <w:color w:val="231F20"/>
          <w:sz w:val="30"/>
        </w:rPr>
      </w:pPr>
    </w:p>
    <w:p w14:paraId="51068EFC">
      <w:pPr>
        <w:spacing w:before="8" w:line="249" w:lineRule="auto"/>
        <w:ind w:left="99" w:right="98" w:firstLine="450"/>
        <w:jc w:val="both"/>
        <w:rPr>
          <w:rFonts w:hint="eastAsia"/>
          <w:color w:val="231F20"/>
          <w:sz w:val="30"/>
        </w:rPr>
      </w:pPr>
      <w:r>
        <w:rPr>
          <w:rFonts w:hint="eastAsia"/>
          <w:color w:val="231F20"/>
          <w:sz w:val="30"/>
        </w:rPr>
        <w:t>As our study proceeds, we will discuss how the two spheres differ.</w:t>
      </w:r>
    </w:p>
    <w:p w14:paraId="10D04E98">
      <w:pPr>
        <w:spacing w:before="8" w:line="249" w:lineRule="auto"/>
        <w:ind w:left="99" w:right="98" w:firstLine="450"/>
        <w:jc w:val="both"/>
        <w:rPr>
          <w:rFonts w:hint="eastAsia"/>
          <w:color w:val="231F20"/>
          <w:sz w:val="30"/>
        </w:rPr>
      </w:pPr>
      <w:r>
        <w:rPr>
          <w:rFonts w:hint="eastAsia"/>
          <w:color w:val="231F20"/>
          <w:sz w:val="30"/>
        </w:rPr>
        <w:t>随着我们研究的进行，我们将讨论这两个领域有何不同。</w:t>
      </w:r>
    </w:p>
    <w:p w14:paraId="7E71EB82">
      <w:pPr>
        <w:spacing w:before="8" w:line="249" w:lineRule="auto"/>
        <w:ind w:left="99" w:right="98" w:firstLine="450"/>
        <w:jc w:val="both"/>
        <w:rPr>
          <w:rFonts w:hint="eastAsia"/>
          <w:color w:val="231F20"/>
          <w:sz w:val="30"/>
        </w:rPr>
      </w:pPr>
    </w:p>
    <w:p w14:paraId="62F108F9">
      <w:pPr>
        <w:spacing w:before="8" w:line="249" w:lineRule="auto"/>
        <w:ind w:left="99" w:right="98" w:firstLine="450"/>
        <w:jc w:val="both"/>
        <w:rPr>
          <w:rFonts w:hint="eastAsia"/>
          <w:color w:val="231F20"/>
          <w:sz w:val="30"/>
        </w:rPr>
      </w:pPr>
      <w:r>
        <w:rPr>
          <w:rFonts w:hint="eastAsia"/>
          <w:color w:val="231F20"/>
          <w:sz w:val="30"/>
        </w:rPr>
        <w:t>Here, however, the important point is that in essence the two Kingdoms are simply phases of the one Kingdom.</w:t>
      </w:r>
    </w:p>
    <w:p w14:paraId="2C399A90">
      <w:pPr>
        <w:spacing w:before="8" w:line="249" w:lineRule="auto"/>
        <w:ind w:left="99" w:right="98" w:firstLine="450"/>
        <w:jc w:val="both"/>
        <w:rPr>
          <w:rFonts w:hint="eastAsia"/>
          <w:color w:val="231F20"/>
          <w:sz w:val="30"/>
        </w:rPr>
      </w:pPr>
      <w:r>
        <w:rPr>
          <w:rFonts w:hint="eastAsia"/>
          <w:color w:val="231F20"/>
          <w:sz w:val="30"/>
        </w:rPr>
        <w:t>然而，此处重要的一点是，在本质上，这两个国度仅仅是那独一国度的不同阶段。</w:t>
      </w:r>
    </w:p>
    <w:p w14:paraId="75441745">
      <w:pPr>
        <w:spacing w:before="8" w:line="249" w:lineRule="auto"/>
        <w:ind w:left="99" w:right="98" w:firstLine="450"/>
        <w:jc w:val="both"/>
        <w:rPr>
          <w:rFonts w:hint="eastAsia"/>
          <w:color w:val="231F20"/>
          <w:sz w:val="30"/>
        </w:rPr>
      </w:pPr>
    </w:p>
    <w:p w14:paraId="5417D3F1">
      <w:pPr>
        <w:spacing w:before="8" w:line="249" w:lineRule="auto"/>
        <w:ind w:left="99" w:right="98" w:firstLine="450"/>
        <w:jc w:val="both"/>
        <w:rPr>
          <w:rFonts w:hint="eastAsia"/>
          <w:color w:val="231F20"/>
          <w:sz w:val="30"/>
        </w:rPr>
      </w:pPr>
      <w:r>
        <w:rPr>
          <w:rFonts w:hint="eastAsia"/>
          <w:color w:val="231F20"/>
          <w:sz w:val="30"/>
        </w:rPr>
        <w:t>This implies, of course, that in all essentials, the second phase of the Kingdom is the same as the first.</w:t>
      </w:r>
    </w:p>
    <w:p w14:paraId="0169A516">
      <w:pPr>
        <w:spacing w:before="8" w:line="249" w:lineRule="auto"/>
        <w:ind w:left="99" w:right="98" w:firstLine="450"/>
        <w:jc w:val="both"/>
        <w:rPr>
          <w:rFonts w:hint="eastAsia"/>
          <w:color w:val="231F20"/>
          <w:sz w:val="30"/>
        </w:rPr>
      </w:pPr>
      <w:r>
        <w:rPr>
          <w:rFonts w:hint="eastAsia"/>
          <w:color w:val="231F20"/>
          <w:sz w:val="30"/>
        </w:rPr>
        <w:t>这当然意味着，在所有本质上，国度的第二阶段与第一阶段是相同的。</w:t>
      </w:r>
    </w:p>
    <w:p w14:paraId="0DD40415">
      <w:pPr>
        <w:spacing w:before="8" w:line="249" w:lineRule="auto"/>
        <w:ind w:left="99" w:right="98" w:firstLine="450"/>
        <w:jc w:val="both"/>
        <w:rPr>
          <w:rFonts w:hint="eastAsia"/>
          <w:color w:val="231F20"/>
          <w:sz w:val="30"/>
        </w:rPr>
      </w:pPr>
    </w:p>
    <w:p w14:paraId="313574FB">
      <w:pPr>
        <w:spacing w:before="8" w:line="249" w:lineRule="auto"/>
        <w:ind w:left="99" w:right="98" w:firstLine="450"/>
        <w:jc w:val="both"/>
        <w:rPr>
          <w:rFonts w:hint="eastAsia"/>
          <w:color w:val="231F20"/>
          <w:sz w:val="30"/>
        </w:rPr>
      </w:pPr>
      <w:r>
        <w:rPr>
          <w:rFonts w:hint="eastAsia"/>
          <w:color w:val="231F20"/>
          <w:sz w:val="30"/>
        </w:rPr>
        <w:t>Though the phrase Kingdom of the Son occurs only once in the NT (Col. 1:13), the idea is pervasive.</w:t>
      </w:r>
    </w:p>
    <w:p w14:paraId="73B7C3E5">
      <w:pPr>
        <w:spacing w:before="8" w:line="249" w:lineRule="auto"/>
        <w:ind w:left="99" w:right="98" w:firstLine="450"/>
        <w:jc w:val="both"/>
        <w:rPr>
          <w:rFonts w:hint="eastAsia"/>
          <w:color w:val="231F20"/>
          <w:sz w:val="30"/>
        </w:rPr>
      </w:pPr>
      <w:r>
        <w:rPr>
          <w:rFonts w:hint="eastAsia"/>
          <w:color w:val="231F20"/>
          <w:sz w:val="30"/>
        </w:rPr>
        <w:t>尽管“圣子之国”这个短语在新约中只出现一次（西 1:13），但这个观念是普遍的。</w:t>
      </w:r>
    </w:p>
    <w:p w14:paraId="49CF100D">
      <w:pPr>
        <w:spacing w:before="8" w:line="249" w:lineRule="auto"/>
        <w:ind w:left="99" w:right="98" w:firstLine="450"/>
        <w:jc w:val="both"/>
        <w:rPr>
          <w:rFonts w:hint="eastAsia"/>
          <w:color w:val="231F20"/>
          <w:sz w:val="30"/>
        </w:rPr>
      </w:pPr>
    </w:p>
    <w:p w14:paraId="2AADC42E">
      <w:pPr>
        <w:spacing w:before="8" w:line="249" w:lineRule="auto"/>
        <w:ind w:left="99" w:right="98" w:firstLine="450"/>
        <w:jc w:val="both"/>
        <w:rPr>
          <w:rFonts w:hint="eastAsia"/>
          <w:color w:val="231F20"/>
          <w:sz w:val="30"/>
        </w:rPr>
      </w:pPr>
      <w:r>
        <w:rPr>
          <w:rFonts w:hint="eastAsia"/>
          <w:color w:val="231F20"/>
          <w:sz w:val="30"/>
        </w:rPr>
        <w:t>Here, it appears in verse 41, where Jesus states that at the end of the age he, the Son of Man, will send forth his angels to gather out of his Kingdom all things that offend.</w:t>
      </w:r>
    </w:p>
    <w:p w14:paraId="0798904E">
      <w:pPr>
        <w:spacing w:before="8" w:line="249" w:lineRule="auto"/>
        <w:ind w:left="99" w:right="98" w:firstLine="450"/>
        <w:jc w:val="both"/>
        <w:rPr>
          <w:rFonts w:hint="eastAsia"/>
          <w:color w:val="231F20"/>
          <w:sz w:val="30"/>
        </w:rPr>
      </w:pPr>
      <w:r>
        <w:rPr>
          <w:rFonts w:hint="eastAsia"/>
          <w:color w:val="231F20"/>
          <w:sz w:val="30"/>
        </w:rPr>
        <w:t>在此处，它出现在第41节，耶稣在那里说，在世代的末了，祂，人子，将差遣祂的使者，从祂的国里将一切叫人跌倒的事物聚集出来。</w:t>
      </w:r>
    </w:p>
    <w:p w14:paraId="498BA9D1">
      <w:pPr>
        <w:spacing w:before="8" w:line="249" w:lineRule="auto"/>
        <w:ind w:left="99" w:right="98" w:firstLine="450"/>
        <w:jc w:val="both"/>
        <w:rPr>
          <w:rFonts w:hint="eastAsia"/>
          <w:color w:val="231F20"/>
          <w:sz w:val="30"/>
        </w:rPr>
      </w:pPr>
    </w:p>
    <w:p w14:paraId="252FB15E">
      <w:pPr>
        <w:spacing w:before="8" w:line="249" w:lineRule="auto"/>
        <w:ind w:left="99" w:right="98" w:firstLine="450"/>
        <w:jc w:val="both"/>
        <w:rPr>
          <w:rFonts w:hint="eastAsia"/>
          <w:color w:val="231F20"/>
          <w:sz w:val="30"/>
        </w:rPr>
      </w:pPr>
      <w:r>
        <w:rPr>
          <w:rFonts w:hint="eastAsia"/>
          <w:color w:val="231F20"/>
          <w:sz w:val="30"/>
        </w:rPr>
        <w:t>In the pages ahead, we will have much to say about the characteristics of this (stage of the) Kingdom.</w:t>
      </w:r>
    </w:p>
    <w:p w14:paraId="525CE7AD">
      <w:pPr>
        <w:spacing w:before="8" w:line="249" w:lineRule="auto"/>
        <w:ind w:left="99" w:right="98" w:firstLine="450"/>
        <w:jc w:val="both"/>
        <w:rPr>
          <w:rFonts w:hint="eastAsia"/>
          <w:color w:val="231F20"/>
          <w:sz w:val="30"/>
        </w:rPr>
      </w:pPr>
      <w:r>
        <w:rPr>
          <w:rFonts w:hint="eastAsia"/>
          <w:color w:val="231F20"/>
          <w:sz w:val="30"/>
        </w:rPr>
        <w:t>在接下来的篇幅中，我们将有很多关于这个（阶段的）国度的特征要说。</w:t>
      </w:r>
    </w:p>
    <w:p w14:paraId="76CC13CD">
      <w:pPr>
        <w:spacing w:before="8" w:line="249" w:lineRule="auto"/>
        <w:ind w:left="99" w:right="98" w:firstLine="450"/>
        <w:jc w:val="both"/>
        <w:rPr>
          <w:rFonts w:hint="eastAsia"/>
          <w:color w:val="231F20"/>
          <w:sz w:val="30"/>
        </w:rPr>
      </w:pPr>
    </w:p>
    <w:p w14:paraId="73B8CAB3">
      <w:pPr>
        <w:spacing w:before="8" w:line="249" w:lineRule="auto"/>
        <w:ind w:left="99" w:right="98" w:firstLine="450"/>
        <w:jc w:val="both"/>
        <w:rPr>
          <w:rFonts w:hint="eastAsia"/>
          <w:color w:val="231F20"/>
          <w:sz w:val="30"/>
        </w:rPr>
      </w:pPr>
      <w:r>
        <w:rPr>
          <w:rFonts w:hint="eastAsia"/>
          <w:color w:val="231F20"/>
          <w:sz w:val="30"/>
        </w:rPr>
        <w:t>Yet even confining ourselves to the present parable, we learn much: it is growing (v. 30), it is temporary (vv. 30, 40), and it will endure until the end of the (present evil) age, when its righteous human subjects shall be rescued from wrath and from “all things that offend” (vv. 41-43).</w:t>
      </w:r>
    </w:p>
    <w:p w14:paraId="234F5D24">
      <w:pPr>
        <w:spacing w:before="8" w:line="249" w:lineRule="auto"/>
        <w:ind w:left="99" w:right="98" w:firstLine="450"/>
        <w:jc w:val="both"/>
        <w:rPr>
          <w:rFonts w:hint="eastAsia"/>
          <w:color w:val="231F20"/>
          <w:sz w:val="30"/>
        </w:rPr>
      </w:pPr>
      <w:r>
        <w:rPr>
          <w:rFonts w:hint="eastAsia"/>
          <w:color w:val="231F20"/>
          <w:sz w:val="30"/>
        </w:rPr>
        <w:t>然而，即使我们只局限于这个比喻，我们也能学到很多：它在成长（30节），它是暂时的（30, 40节），它将持续到（现今邪恶）世代的末了，那时其公义的人类子民将从忿怒和“一切叫人跌倒的事物”中被拯救出来（41-43节）。</w:t>
      </w:r>
    </w:p>
    <w:p w14:paraId="3E9DC18B">
      <w:pPr>
        <w:spacing w:before="8" w:line="249" w:lineRule="auto"/>
        <w:ind w:left="99" w:right="98" w:firstLine="450"/>
        <w:jc w:val="both"/>
        <w:rPr>
          <w:rFonts w:hint="eastAsia"/>
          <w:color w:val="231F20"/>
          <w:sz w:val="30"/>
        </w:rPr>
      </w:pPr>
    </w:p>
    <w:p w14:paraId="7FE8EF48">
      <w:pPr>
        <w:spacing w:before="8" w:line="249" w:lineRule="auto"/>
        <w:ind w:left="99" w:right="98" w:firstLine="450"/>
        <w:jc w:val="both"/>
        <w:rPr>
          <w:rFonts w:hint="eastAsia"/>
          <w:color w:val="231F20"/>
          <w:sz w:val="30"/>
        </w:rPr>
      </w:pPr>
      <w:r>
        <w:rPr>
          <w:rFonts w:hint="eastAsia"/>
          <w:color w:val="231F20"/>
          <w:sz w:val="30"/>
        </w:rPr>
        <w:t>As for the Kingdom of the Father, Jesus speaks of it here only glancingly.</w:t>
      </w:r>
    </w:p>
    <w:p w14:paraId="2528B73C">
      <w:pPr>
        <w:spacing w:before="8" w:line="249" w:lineRule="auto"/>
        <w:ind w:left="99" w:right="98" w:firstLine="450"/>
        <w:jc w:val="both"/>
        <w:rPr>
          <w:rFonts w:hint="eastAsia"/>
          <w:color w:val="231F20"/>
          <w:sz w:val="30"/>
        </w:rPr>
      </w:pPr>
      <w:r>
        <w:rPr>
          <w:rFonts w:hint="eastAsia"/>
          <w:color w:val="231F20"/>
          <w:sz w:val="30"/>
        </w:rPr>
        <w:t>至于圣父之国，耶稣在此处只是略微提及。</w:t>
      </w:r>
    </w:p>
    <w:p w14:paraId="7775B2CD">
      <w:pPr>
        <w:spacing w:before="8" w:line="249" w:lineRule="auto"/>
        <w:ind w:left="99" w:right="98" w:firstLine="450"/>
        <w:jc w:val="both"/>
        <w:rPr>
          <w:rFonts w:hint="eastAsia"/>
          <w:color w:val="231F20"/>
          <w:sz w:val="30"/>
        </w:rPr>
      </w:pPr>
    </w:p>
    <w:p w14:paraId="2A442786">
      <w:pPr>
        <w:spacing w:before="8" w:line="249" w:lineRule="auto"/>
        <w:ind w:left="99" w:right="98" w:firstLine="450"/>
        <w:jc w:val="both"/>
        <w:rPr>
          <w:rFonts w:hint="eastAsia"/>
          <w:color w:val="231F20"/>
          <w:sz w:val="30"/>
        </w:rPr>
      </w:pPr>
      <w:r>
        <w:rPr>
          <w:rFonts w:hint="eastAsia"/>
          <w:color w:val="231F20"/>
          <w:sz w:val="30"/>
        </w:rPr>
        <w:t>Nevertheless, even from his few words, it is clear enough that this (stage of the) Kingdom is co-extensive with the Age to Come, and is therefore eternal (v. 40).</w:t>
      </w:r>
    </w:p>
    <w:p w14:paraId="529B26DB">
      <w:pPr>
        <w:spacing w:before="8" w:line="249" w:lineRule="auto"/>
        <w:ind w:left="99" w:right="98" w:firstLine="450"/>
        <w:jc w:val="both"/>
        <w:rPr>
          <w:rFonts w:hint="eastAsia"/>
          <w:color w:val="231F20"/>
          <w:sz w:val="30"/>
        </w:rPr>
      </w:pPr>
      <w:r>
        <w:rPr>
          <w:rFonts w:hint="eastAsia"/>
          <w:color w:val="231F20"/>
          <w:sz w:val="30"/>
        </w:rPr>
        <w:t>然而，即使从祂寥寥数语中，也足以清楚地看到，这个（阶段的）国度与来世是共存的，因此是永恒的（40节）。</w:t>
      </w:r>
    </w:p>
    <w:p w14:paraId="7A547A51">
      <w:pPr>
        <w:spacing w:before="8" w:line="249" w:lineRule="auto"/>
        <w:ind w:left="99" w:right="98" w:firstLine="450"/>
        <w:jc w:val="both"/>
        <w:rPr>
          <w:rFonts w:hint="eastAsia"/>
          <w:color w:val="231F20"/>
          <w:sz w:val="30"/>
        </w:rPr>
      </w:pPr>
    </w:p>
    <w:p w14:paraId="794B53E2">
      <w:pPr>
        <w:spacing w:before="8" w:line="249" w:lineRule="auto"/>
        <w:ind w:left="99" w:right="98" w:firstLine="450"/>
        <w:jc w:val="both"/>
        <w:rPr>
          <w:rFonts w:hint="eastAsia"/>
          <w:color w:val="231F20"/>
          <w:sz w:val="30"/>
        </w:rPr>
      </w:pPr>
      <w:r>
        <w:rPr>
          <w:rFonts w:hint="eastAsia"/>
          <w:color w:val="231F20"/>
          <w:sz w:val="30"/>
        </w:rPr>
        <w:t>Moreover, in this Kingdom the Father clearly has supreme authority over the righteous subjects of his Son, who are now fully rescued from evil, and fully restored to the glory of God, so much so that they, like him, shine as the very sun in its strength (v. 43)!</w:t>
      </w:r>
    </w:p>
    <w:p w14:paraId="7087B3E0">
      <w:pPr>
        <w:spacing w:before="8" w:line="249" w:lineRule="auto"/>
        <w:ind w:left="99" w:right="98" w:firstLine="450"/>
        <w:jc w:val="both"/>
        <w:rPr>
          <w:rFonts w:hint="eastAsia"/>
          <w:color w:val="231F20"/>
          <w:sz w:val="30"/>
        </w:rPr>
      </w:pPr>
      <w:r>
        <w:rPr>
          <w:rFonts w:hint="eastAsia"/>
          <w:color w:val="231F20"/>
          <w:sz w:val="30"/>
        </w:rPr>
        <w:t>此外，在这个国度里，父显然对祂儿子的公义子民拥有至高无上的权柄，他们现在已完全从邪恶中被拯救出来，并完全恢复到上帝的荣耀中，以至于他们，像祂一样，像太阳在其力量中闪耀（43节）！</w:t>
      </w:r>
    </w:p>
    <w:p w14:paraId="0971D166">
      <w:pPr>
        <w:spacing w:before="8" w:line="249" w:lineRule="auto"/>
        <w:ind w:left="99" w:right="98" w:firstLine="450"/>
        <w:jc w:val="both"/>
        <w:rPr>
          <w:rFonts w:hint="eastAsia"/>
          <w:color w:val="231F20"/>
          <w:sz w:val="30"/>
        </w:rPr>
      </w:pPr>
    </w:p>
    <w:p w14:paraId="3E822997">
      <w:pPr>
        <w:spacing w:before="8" w:line="249" w:lineRule="auto"/>
        <w:ind w:left="99" w:right="98" w:firstLine="450"/>
        <w:jc w:val="both"/>
        <w:rPr>
          <w:rFonts w:hint="eastAsia"/>
          <w:color w:val="231F20"/>
          <w:sz w:val="30"/>
        </w:rPr>
      </w:pPr>
      <w:r>
        <w:rPr>
          <w:rFonts w:hint="eastAsia"/>
          <w:color w:val="231F20"/>
          <w:sz w:val="30"/>
        </w:rPr>
        <w:t>Important as this mystery is, it was not really too mysterious to the disciples.</w:t>
      </w:r>
    </w:p>
    <w:p w14:paraId="4DA9BC4A">
      <w:pPr>
        <w:spacing w:before="8" w:line="249" w:lineRule="auto"/>
        <w:ind w:left="99" w:right="98" w:firstLine="450"/>
        <w:jc w:val="both"/>
        <w:rPr>
          <w:rFonts w:hint="eastAsia"/>
          <w:color w:val="231F20"/>
          <w:sz w:val="30"/>
        </w:rPr>
      </w:pPr>
      <w:r>
        <w:rPr>
          <w:rFonts w:hint="eastAsia"/>
          <w:color w:val="231F20"/>
          <w:sz w:val="30"/>
        </w:rPr>
        <w:t>尽管这个奥秘很重要，但对门徒来说，它并非真的太神秘。</w:t>
      </w:r>
    </w:p>
    <w:p w14:paraId="522F9738">
      <w:pPr>
        <w:spacing w:before="8" w:line="249" w:lineRule="auto"/>
        <w:ind w:left="99" w:right="98" w:firstLine="450"/>
        <w:jc w:val="both"/>
        <w:rPr>
          <w:rFonts w:hint="eastAsia"/>
          <w:color w:val="231F20"/>
          <w:sz w:val="30"/>
        </w:rPr>
      </w:pPr>
    </w:p>
    <w:p w14:paraId="2FC1A8D9">
      <w:pPr>
        <w:spacing w:before="8" w:line="249" w:lineRule="auto"/>
        <w:ind w:left="99" w:right="98" w:firstLine="450"/>
        <w:jc w:val="both"/>
        <w:rPr>
          <w:rFonts w:hint="eastAsia"/>
          <w:color w:val="231F20"/>
          <w:sz w:val="30"/>
        </w:rPr>
      </w:pPr>
      <w:r>
        <w:rPr>
          <w:rFonts w:hint="eastAsia"/>
          <w:color w:val="231F20"/>
          <w:sz w:val="30"/>
        </w:rPr>
        <w:t>Having wrestled for centuries with the prophetic scriptures, most of the Jews of Jesus’ day thought of the Kingdom as coming in two stages.</w:t>
      </w:r>
    </w:p>
    <w:p w14:paraId="505318F1">
      <w:pPr>
        <w:spacing w:before="8" w:line="249" w:lineRule="auto"/>
        <w:ind w:left="99" w:right="98" w:firstLine="450"/>
        <w:jc w:val="both"/>
        <w:rPr>
          <w:rFonts w:hint="eastAsia"/>
          <w:color w:val="231F20"/>
          <w:sz w:val="30"/>
        </w:rPr>
      </w:pPr>
      <w:r>
        <w:rPr>
          <w:rFonts w:hint="eastAsia"/>
          <w:color w:val="231F20"/>
          <w:sz w:val="30"/>
        </w:rPr>
        <w:t>在与预言性经文搏斗了几个世纪之后，耶稣时代的大多数犹太人认为国度是分两个阶段降临的。</w:t>
      </w:r>
    </w:p>
    <w:p w14:paraId="16FB47A3">
      <w:pPr>
        <w:spacing w:before="8" w:line="249" w:lineRule="auto"/>
        <w:ind w:left="99" w:right="98" w:firstLine="450"/>
        <w:jc w:val="both"/>
        <w:rPr>
          <w:rFonts w:hint="eastAsia"/>
          <w:color w:val="231F20"/>
          <w:sz w:val="30"/>
        </w:rPr>
      </w:pPr>
    </w:p>
    <w:p w14:paraId="101C2099">
      <w:pPr>
        <w:spacing w:before="8" w:line="249" w:lineRule="auto"/>
        <w:ind w:left="99" w:right="98" w:firstLine="450"/>
        <w:jc w:val="both"/>
        <w:rPr>
          <w:rFonts w:hint="eastAsia"/>
          <w:color w:val="231F20"/>
          <w:sz w:val="30"/>
        </w:rPr>
      </w:pPr>
      <w:r>
        <w:rPr>
          <w:rFonts w:hint="eastAsia"/>
          <w:color w:val="231F20"/>
          <w:sz w:val="30"/>
        </w:rPr>
        <w:t>The first was usually called “the Days of the Messiah,” a period of unknown duration in which the LORD’s Messiah would lead Israel to military victory over their enemies, thereafter spearheading a worldwide revival of faith in Israel’s God.</w:t>
      </w:r>
    </w:p>
    <w:p w14:paraId="2D2B5F92">
      <w:pPr>
        <w:spacing w:before="8" w:line="249" w:lineRule="auto"/>
        <w:ind w:left="99" w:right="98" w:firstLine="450"/>
        <w:jc w:val="both"/>
        <w:rPr>
          <w:rFonts w:hint="eastAsia"/>
          <w:color w:val="231F20"/>
          <w:sz w:val="30"/>
        </w:rPr>
      </w:pPr>
      <w:r>
        <w:rPr>
          <w:rFonts w:hint="eastAsia"/>
          <w:color w:val="231F20"/>
          <w:sz w:val="30"/>
        </w:rPr>
        <w:t>第一个通常被称为“弥赛亚的日子”，这是一个未知持续时间的时期，主的弥赛亚将带领以色列在军事上战胜他们的敌人，此后带头推动全球对以色列上帝的信仰复兴。</w:t>
      </w:r>
    </w:p>
    <w:p w14:paraId="299DE811">
      <w:pPr>
        <w:spacing w:before="8" w:line="249" w:lineRule="auto"/>
        <w:ind w:left="99" w:right="98" w:firstLine="450"/>
        <w:jc w:val="both"/>
        <w:rPr>
          <w:rFonts w:hint="eastAsia"/>
          <w:color w:val="231F20"/>
          <w:sz w:val="30"/>
        </w:rPr>
      </w:pPr>
    </w:p>
    <w:p w14:paraId="01C2D5F5">
      <w:pPr>
        <w:spacing w:before="8" w:line="249" w:lineRule="auto"/>
        <w:ind w:left="99" w:right="98" w:firstLine="450"/>
        <w:jc w:val="both"/>
        <w:rPr>
          <w:rFonts w:hint="eastAsia"/>
          <w:color w:val="231F20"/>
          <w:sz w:val="30"/>
        </w:rPr>
      </w:pPr>
      <w:r>
        <w:rPr>
          <w:rFonts w:hint="eastAsia"/>
          <w:color w:val="231F20"/>
          <w:sz w:val="30"/>
        </w:rPr>
        <w:t>The second, which would be ushered in by the Day of the LORD (i.e., the Day of Judgment upon all nations), was called “the Age (or World) to Come.”</w:t>
      </w:r>
    </w:p>
    <w:p w14:paraId="39277B39">
      <w:pPr>
        <w:spacing w:before="8" w:line="249" w:lineRule="auto"/>
        <w:ind w:left="99" w:right="98" w:firstLine="450"/>
        <w:jc w:val="both"/>
        <w:rPr>
          <w:rFonts w:hint="eastAsia"/>
          <w:color w:val="231F20"/>
          <w:sz w:val="30"/>
        </w:rPr>
      </w:pPr>
      <w:r>
        <w:rPr>
          <w:rFonts w:hint="eastAsia"/>
          <w:color w:val="231F20"/>
          <w:sz w:val="30"/>
        </w:rPr>
        <w:t>第二个，将由主的日子（即对万国的审判日）所引入，被称为“来世（或未来的世界）”。</w:t>
      </w:r>
    </w:p>
    <w:p w14:paraId="4BAA81E6">
      <w:pPr>
        <w:spacing w:before="8" w:line="249" w:lineRule="auto"/>
        <w:ind w:left="99" w:right="98" w:firstLine="450"/>
        <w:jc w:val="both"/>
        <w:rPr>
          <w:rFonts w:hint="eastAsia"/>
          <w:color w:val="231F20"/>
          <w:sz w:val="30"/>
        </w:rPr>
      </w:pPr>
    </w:p>
    <w:p w14:paraId="3D3EAAFB">
      <w:pPr>
        <w:spacing w:before="8" w:line="249" w:lineRule="auto"/>
        <w:ind w:left="99" w:right="98" w:firstLine="450"/>
        <w:jc w:val="both"/>
        <w:rPr>
          <w:rFonts w:hint="eastAsia"/>
          <w:color w:val="231F20"/>
          <w:sz w:val="30"/>
        </w:rPr>
      </w:pPr>
      <w:r>
        <w:rPr>
          <w:rFonts w:hint="eastAsia"/>
          <w:color w:val="231F20"/>
          <w:sz w:val="30"/>
        </w:rPr>
        <w:t>This was the final state, the Kingdom in its full and final form.</w:t>
      </w:r>
    </w:p>
    <w:p w14:paraId="223970A4">
      <w:pPr>
        <w:spacing w:before="8" w:line="249" w:lineRule="auto"/>
        <w:ind w:left="99" w:right="98" w:firstLine="450"/>
        <w:jc w:val="both"/>
        <w:rPr>
          <w:rFonts w:hint="eastAsia"/>
          <w:color w:val="231F20"/>
          <w:sz w:val="30"/>
        </w:rPr>
      </w:pPr>
      <w:r>
        <w:rPr>
          <w:rFonts w:hint="eastAsia"/>
          <w:color w:val="231F20"/>
          <w:sz w:val="30"/>
        </w:rPr>
        <w:t>这是最终的状态，国度以其完整和最终的形式出现。</w:t>
      </w:r>
    </w:p>
    <w:p w14:paraId="24715FD4">
      <w:pPr>
        <w:spacing w:before="8" w:line="249" w:lineRule="auto"/>
        <w:ind w:left="99" w:right="98" w:firstLine="450"/>
        <w:jc w:val="both"/>
        <w:rPr>
          <w:rFonts w:hint="eastAsia"/>
          <w:color w:val="231F20"/>
          <w:sz w:val="30"/>
        </w:rPr>
      </w:pPr>
    </w:p>
    <w:p w14:paraId="4D0699F6">
      <w:pPr>
        <w:spacing w:before="8" w:line="249" w:lineRule="auto"/>
        <w:ind w:left="99" w:right="98" w:firstLine="450"/>
        <w:jc w:val="both"/>
        <w:rPr>
          <w:rFonts w:hint="eastAsia"/>
          <w:color w:val="231F20"/>
          <w:sz w:val="30"/>
        </w:rPr>
      </w:pPr>
      <w:r>
        <w:rPr>
          <w:rFonts w:hint="eastAsia"/>
          <w:color w:val="231F20"/>
          <w:sz w:val="30"/>
        </w:rPr>
        <w:t>Later we will discuss these ideas at length.</w:t>
      </w:r>
    </w:p>
    <w:p w14:paraId="3B8BB9EB">
      <w:pPr>
        <w:spacing w:before="8" w:line="249" w:lineRule="auto"/>
        <w:ind w:left="99" w:right="98" w:firstLine="450"/>
        <w:jc w:val="both"/>
        <w:rPr>
          <w:rFonts w:hint="eastAsia"/>
          <w:color w:val="231F20"/>
          <w:sz w:val="30"/>
        </w:rPr>
      </w:pPr>
      <w:r>
        <w:rPr>
          <w:rFonts w:hint="eastAsia"/>
          <w:color w:val="231F20"/>
          <w:sz w:val="30"/>
        </w:rPr>
        <w:t>稍后我们将详细讨论这些观念。</w:t>
      </w:r>
    </w:p>
    <w:p w14:paraId="06756935">
      <w:pPr>
        <w:spacing w:before="8" w:line="249" w:lineRule="auto"/>
        <w:ind w:left="99" w:right="98" w:firstLine="450"/>
        <w:jc w:val="both"/>
        <w:rPr>
          <w:rFonts w:hint="eastAsia"/>
          <w:color w:val="231F20"/>
          <w:sz w:val="30"/>
        </w:rPr>
      </w:pPr>
    </w:p>
    <w:p w14:paraId="21E0058D">
      <w:pPr>
        <w:spacing w:before="8" w:line="249" w:lineRule="auto"/>
        <w:ind w:left="99" w:right="98" w:firstLine="450"/>
        <w:jc w:val="both"/>
        <w:rPr>
          <w:rFonts w:hint="eastAsia"/>
          <w:color w:val="231F20"/>
          <w:sz w:val="30"/>
        </w:rPr>
      </w:pPr>
      <w:r>
        <w:rPr>
          <w:rFonts w:hint="eastAsia"/>
          <w:color w:val="231F20"/>
          <w:sz w:val="30"/>
        </w:rPr>
        <w:t>For the moment, I would simply stress that in giving his disciples the mysteries of the Kingdom, Jesus did indeed affirm a two-staged Kingdom of God.</w:t>
      </w:r>
    </w:p>
    <w:p w14:paraId="05F8655E">
      <w:pPr>
        <w:spacing w:before="8" w:line="249" w:lineRule="auto"/>
        <w:ind w:left="99" w:right="98" w:firstLine="450"/>
        <w:jc w:val="both"/>
        <w:rPr>
          <w:rFonts w:hint="eastAsia"/>
          <w:color w:val="231F20"/>
          <w:sz w:val="30"/>
        </w:rPr>
      </w:pPr>
      <w:r>
        <w:rPr>
          <w:rFonts w:hint="eastAsia"/>
          <w:color w:val="231F20"/>
          <w:sz w:val="30"/>
        </w:rPr>
        <w:t>就目前而言，我只想强调，在将国度的奥秘赐给祂的门徒时，耶稣确实肯定了一个分两个阶段的上帝之国。</w:t>
      </w:r>
    </w:p>
    <w:p w14:paraId="6201EFF6">
      <w:pPr>
        <w:spacing w:before="8" w:line="249" w:lineRule="auto"/>
        <w:ind w:left="99" w:right="98" w:firstLine="450"/>
        <w:jc w:val="both"/>
        <w:rPr>
          <w:rFonts w:hint="eastAsia"/>
          <w:color w:val="231F20"/>
          <w:sz w:val="30"/>
        </w:rPr>
      </w:pPr>
    </w:p>
    <w:p w14:paraId="4B4FBDD3">
      <w:pPr>
        <w:spacing w:before="8" w:line="249" w:lineRule="auto"/>
        <w:ind w:left="99" w:right="98" w:firstLine="450"/>
        <w:jc w:val="both"/>
        <w:rPr>
          <w:rFonts w:hint="eastAsia"/>
          <w:color w:val="231F20"/>
          <w:sz w:val="30"/>
        </w:rPr>
      </w:pPr>
      <w:r>
        <w:rPr>
          <w:rFonts w:hint="eastAsia"/>
          <w:color w:val="231F20"/>
          <w:sz w:val="30"/>
        </w:rPr>
        <w:t>However, as we are about to see, his view of the nature of its two stages was radically different from that of his Jewish contemporaries!</w:t>
      </w:r>
    </w:p>
    <w:p w14:paraId="095501BD">
      <w:pPr>
        <w:spacing w:before="8" w:line="249" w:lineRule="auto"/>
        <w:ind w:left="99" w:right="98" w:firstLine="450"/>
        <w:jc w:val="both"/>
        <w:rPr>
          <w:rFonts w:hint="eastAsia"/>
          <w:color w:val="231F20"/>
          <w:sz w:val="30"/>
        </w:rPr>
      </w:pPr>
      <w:r>
        <w:rPr>
          <w:rFonts w:hint="eastAsia"/>
          <w:color w:val="231F20"/>
          <w:sz w:val="30"/>
        </w:rPr>
        <w:t>然而，我们即将看到，祂对这两个阶段性质的看法，与祂同时代的犹太人截然不同！</w:t>
      </w:r>
    </w:p>
    <w:p w14:paraId="0165909B">
      <w:pPr>
        <w:spacing w:before="8" w:line="249" w:lineRule="auto"/>
        <w:ind w:left="99" w:right="98" w:firstLine="450"/>
        <w:jc w:val="both"/>
        <w:rPr>
          <w:rFonts w:hint="eastAsia"/>
          <w:color w:val="231F20"/>
          <w:sz w:val="30"/>
        </w:rPr>
      </w:pPr>
    </w:p>
    <w:p w14:paraId="4DCE6C5A">
      <w:pPr>
        <w:spacing w:before="8" w:line="249" w:lineRule="auto"/>
        <w:ind w:left="99" w:right="98" w:firstLine="450"/>
        <w:jc w:val="both"/>
        <w:rPr>
          <w:rFonts w:hint="eastAsia"/>
          <w:color w:val="231F20"/>
          <w:sz w:val="30"/>
        </w:rPr>
      </w:pPr>
      <w:r>
        <w:rPr>
          <w:rFonts w:hint="eastAsia"/>
          <w:color w:val="231F20"/>
          <w:sz w:val="30"/>
        </w:rPr>
        <w:t>2.During the first stage of the Kingdom, the Messianic Son of God reigns from heaven, not earth.</w:t>
      </w:r>
    </w:p>
    <w:p w14:paraId="39A2B6D7">
      <w:pPr>
        <w:spacing w:before="8" w:line="249" w:lineRule="auto"/>
        <w:ind w:left="99" w:right="98" w:firstLine="450"/>
        <w:jc w:val="both"/>
        <w:rPr>
          <w:rFonts w:hint="eastAsia"/>
          <w:color w:val="231F20"/>
          <w:sz w:val="30"/>
        </w:rPr>
      </w:pPr>
      <w:r>
        <w:rPr>
          <w:rFonts w:hint="eastAsia"/>
          <w:color w:val="231F20"/>
          <w:sz w:val="30"/>
        </w:rPr>
        <w:t>2.在国度的第一阶段，弥赛亚的圣子是从天上，而不是地上，施行统治。</w:t>
      </w:r>
    </w:p>
    <w:p w14:paraId="427D1BF5">
      <w:pPr>
        <w:spacing w:before="8" w:line="249" w:lineRule="auto"/>
        <w:ind w:left="99" w:right="98" w:firstLine="450"/>
        <w:jc w:val="both"/>
        <w:rPr>
          <w:rFonts w:hint="eastAsia"/>
          <w:color w:val="231F20"/>
          <w:sz w:val="30"/>
        </w:rPr>
      </w:pPr>
    </w:p>
    <w:p w14:paraId="61650AFB">
      <w:pPr>
        <w:spacing w:before="8" w:line="249" w:lineRule="auto"/>
        <w:ind w:left="99" w:right="98" w:firstLine="450"/>
        <w:jc w:val="both"/>
        <w:rPr>
          <w:rFonts w:hint="eastAsia"/>
          <w:color w:val="231F20"/>
          <w:sz w:val="30"/>
        </w:rPr>
      </w:pPr>
      <w:r>
        <w:rPr>
          <w:rFonts w:hint="eastAsia"/>
          <w:color w:val="231F20"/>
          <w:sz w:val="30"/>
        </w:rPr>
        <w:t>This is without doubt the most mysterious of the mysteries of the Kingdom!</w:t>
      </w:r>
    </w:p>
    <w:p w14:paraId="7FC2A4AC">
      <w:pPr>
        <w:spacing w:before="8" w:line="249" w:lineRule="auto"/>
        <w:ind w:left="99" w:right="98" w:firstLine="450"/>
        <w:jc w:val="both"/>
        <w:rPr>
          <w:rFonts w:hint="eastAsia"/>
          <w:color w:val="231F20"/>
          <w:sz w:val="30"/>
        </w:rPr>
      </w:pPr>
      <w:r>
        <w:rPr>
          <w:rFonts w:hint="eastAsia"/>
          <w:color w:val="231F20"/>
          <w:sz w:val="30"/>
        </w:rPr>
        <w:t>这无疑是国度奥秘中最神秘的一个！</w:t>
      </w:r>
    </w:p>
    <w:p w14:paraId="0D0FC827">
      <w:pPr>
        <w:spacing w:before="8" w:line="249" w:lineRule="auto"/>
        <w:ind w:left="99" w:right="98" w:firstLine="450"/>
        <w:jc w:val="both"/>
        <w:rPr>
          <w:rFonts w:hint="eastAsia"/>
          <w:color w:val="231F20"/>
          <w:sz w:val="30"/>
        </w:rPr>
      </w:pPr>
    </w:p>
    <w:p w14:paraId="5421E787">
      <w:pPr>
        <w:spacing w:before="8" w:line="249" w:lineRule="auto"/>
        <w:ind w:left="99" w:right="98" w:firstLine="450"/>
        <w:jc w:val="both"/>
        <w:rPr>
          <w:rFonts w:hint="eastAsia"/>
          <w:color w:val="231F20"/>
          <w:sz w:val="30"/>
        </w:rPr>
      </w:pPr>
      <w:r>
        <w:rPr>
          <w:rFonts w:hint="eastAsia"/>
          <w:color w:val="231F20"/>
          <w:sz w:val="30"/>
        </w:rPr>
        <w:t>Though the OT did indeed contain a few hints of a heavenly Messianic reign, the figurative and typological language of OTKP gave rise, naturally enough, to the expectation of an earthly Messianic reign centered in physical Jerusalem and Zion.</w:t>
      </w:r>
    </w:p>
    <w:p w14:paraId="2FA30B6A">
      <w:pPr>
        <w:spacing w:before="8" w:line="249" w:lineRule="auto"/>
        <w:ind w:left="99" w:right="98" w:firstLine="450"/>
        <w:jc w:val="both"/>
        <w:rPr>
          <w:rFonts w:hint="eastAsia"/>
          <w:color w:val="231F20"/>
          <w:sz w:val="30"/>
        </w:rPr>
      </w:pPr>
      <w:r>
        <w:rPr>
          <w:rFonts w:hint="eastAsia"/>
          <w:color w:val="231F20"/>
          <w:sz w:val="30"/>
        </w:rPr>
        <w:t>尽管旧约确实包含了一些关于属天弥赛亚统治的暗示，但旧约国度预言（OTKP）的比喻性和预表性语言，很自然地引起了对一个以肉身的耶路撒冷和锡安为中心的属地弥赛亚统治的期望。</w:t>
      </w:r>
    </w:p>
    <w:p w14:paraId="24F25A03">
      <w:pPr>
        <w:spacing w:before="8" w:line="249" w:lineRule="auto"/>
        <w:ind w:left="99" w:right="98" w:firstLine="450"/>
        <w:jc w:val="both"/>
        <w:rPr>
          <w:rFonts w:hint="eastAsia"/>
          <w:color w:val="231F20"/>
          <w:sz w:val="30"/>
        </w:rPr>
      </w:pPr>
    </w:p>
    <w:p w14:paraId="5254BFF3">
      <w:pPr>
        <w:spacing w:before="8" w:line="249" w:lineRule="auto"/>
        <w:ind w:left="99" w:right="98" w:firstLine="450"/>
        <w:jc w:val="both"/>
        <w:rPr>
          <w:rFonts w:hint="eastAsia"/>
          <w:color w:val="231F20"/>
          <w:sz w:val="30"/>
        </w:rPr>
      </w:pPr>
      <w:r>
        <w:rPr>
          <w:rFonts w:hint="eastAsia"/>
          <w:color w:val="231F20"/>
          <w:sz w:val="30"/>
        </w:rPr>
        <w:t>Indeed, so strong was this expectation, and so impenetrable the mystery that Jesus here begins to reveal, that the disciples were still expecting an earthly kingdom even after their Lord’s resurrection (Acts 1:6)!</w:t>
      </w:r>
    </w:p>
    <w:p w14:paraId="48D5B877">
      <w:pPr>
        <w:spacing w:before="8" w:line="249" w:lineRule="auto"/>
        <w:ind w:left="99" w:right="98" w:firstLine="450"/>
        <w:jc w:val="both"/>
        <w:rPr>
          <w:rFonts w:hint="eastAsia"/>
          <w:color w:val="231F20"/>
          <w:sz w:val="30"/>
        </w:rPr>
      </w:pPr>
      <w:r>
        <w:rPr>
          <w:rFonts w:hint="eastAsia"/>
          <w:color w:val="231F20"/>
          <w:sz w:val="30"/>
        </w:rPr>
        <w:t>事实上，这种期望如此强烈，而耶稣在此处开始揭示的奥秘又如此难以参透，以至于门徒们甚至在他们的主复活后，仍在期待一个属地的国度（徒 1:6）！</w:t>
      </w:r>
    </w:p>
    <w:p w14:paraId="44794C73">
      <w:pPr>
        <w:spacing w:before="8" w:line="249" w:lineRule="auto"/>
        <w:ind w:left="99" w:right="98" w:firstLine="450"/>
        <w:jc w:val="both"/>
        <w:rPr>
          <w:rFonts w:hint="eastAsia"/>
          <w:color w:val="231F20"/>
          <w:sz w:val="30"/>
        </w:rPr>
      </w:pPr>
    </w:p>
    <w:p w14:paraId="67F7F5BD">
      <w:pPr>
        <w:spacing w:before="8" w:line="249" w:lineRule="auto"/>
        <w:ind w:left="99" w:right="98" w:firstLine="450"/>
        <w:jc w:val="both"/>
        <w:rPr>
          <w:rFonts w:hint="eastAsia"/>
          <w:color w:val="231F20"/>
          <w:sz w:val="30"/>
        </w:rPr>
      </w:pPr>
      <w:r>
        <w:rPr>
          <w:rFonts w:hint="eastAsia"/>
          <w:color w:val="231F20"/>
          <w:sz w:val="30"/>
        </w:rPr>
        <w:t>It was, then, not until the coming of the Spirit that the heavenly Teacher fully opened their minds to see the truth about the purely spiritual reign of him to whom the Father had given all authority in heaven and on earth (John 16:13, Acts 2:22-36)!</w:t>
      </w:r>
    </w:p>
    <w:p w14:paraId="22588B79">
      <w:pPr>
        <w:spacing w:before="8" w:line="249" w:lineRule="auto"/>
        <w:ind w:left="99" w:right="98" w:firstLine="450"/>
        <w:jc w:val="both"/>
        <w:rPr>
          <w:rFonts w:hint="eastAsia"/>
          <w:color w:val="231F20"/>
          <w:sz w:val="30"/>
        </w:rPr>
      </w:pPr>
      <w:r>
        <w:rPr>
          <w:rFonts w:hint="eastAsia"/>
          <w:color w:val="231F20"/>
          <w:sz w:val="30"/>
        </w:rPr>
        <w:t>那么，直到圣灵降临，那位属天的教师才完全开启他们的心窍，使他们看到关于那位父已将天上地下所有权柄都赐给祂的、纯粹属灵统治的真理（约 16:13, 徒 2:22-36）！</w:t>
      </w:r>
    </w:p>
    <w:p w14:paraId="7C6C8EC1">
      <w:pPr>
        <w:spacing w:before="8" w:line="249" w:lineRule="auto"/>
        <w:ind w:left="99" w:right="98" w:firstLine="450"/>
        <w:jc w:val="both"/>
        <w:rPr>
          <w:rFonts w:hint="eastAsia"/>
          <w:color w:val="231F20"/>
          <w:sz w:val="30"/>
        </w:rPr>
      </w:pPr>
    </w:p>
    <w:p w14:paraId="38B943A9">
      <w:pPr>
        <w:spacing w:before="8" w:line="249" w:lineRule="auto"/>
        <w:ind w:left="99" w:right="98" w:firstLine="450"/>
        <w:jc w:val="both"/>
        <w:rPr>
          <w:rFonts w:hint="eastAsia"/>
          <w:color w:val="231F20"/>
          <w:sz w:val="30"/>
        </w:rPr>
      </w:pPr>
      <w:r>
        <w:rPr>
          <w:rFonts w:hint="eastAsia"/>
          <w:color w:val="231F20"/>
          <w:sz w:val="30"/>
        </w:rPr>
        <w:t>In our parable, Christ’s revelation of his soon-coming heavenly reign is given only in seed form.</w:t>
      </w:r>
    </w:p>
    <w:p w14:paraId="2A8C91C5">
      <w:pPr>
        <w:spacing w:before="8" w:line="249" w:lineRule="auto"/>
        <w:ind w:left="99" w:right="98" w:firstLine="450"/>
        <w:jc w:val="both"/>
        <w:rPr>
          <w:rFonts w:hint="eastAsia"/>
          <w:color w:val="231F20"/>
          <w:sz w:val="30"/>
        </w:rPr>
      </w:pPr>
      <w:r>
        <w:rPr>
          <w:rFonts w:hint="eastAsia"/>
          <w:color w:val="231F20"/>
          <w:sz w:val="30"/>
        </w:rPr>
        <w:t>在我们的比喻中，基督关于祂即将到来的属天统治的启示，只以种子的形式给出。</w:t>
      </w:r>
    </w:p>
    <w:p w14:paraId="3950DDFE">
      <w:pPr>
        <w:spacing w:before="8" w:line="249" w:lineRule="auto"/>
        <w:ind w:left="99" w:right="98" w:firstLine="450"/>
        <w:jc w:val="both"/>
        <w:rPr>
          <w:rFonts w:hint="eastAsia"/>
          <w:color w:val="231F20"/>
          <w:sz w:val="30"/>
        </w:rPr>
      </w:pPr>
    </w:p>
    <w:p w14:paraId="2F73EFF3">
      <w:pPr>
        <w:spacing w:before="8" w:line="249" w:lineRule="auto"/>
        <w:ind w:left="99" w:right="98" w:firstLine="450"/>
        <w:jc w:val="both"/>
        <w:rPr>
          <w:rFonts w:hint="eastAsia"/>
          <w:color w:val="231F20"/>
          <w:sz w:val="30"/>
        </w:rPr>
      </w:pPr>
      <w:r>
        <w:rPr>
          <w:rFonts w:hint="eastAsia"/>
          <w:color w:val="231F20"/>
          <w:sz w:val="30"/>
        </w:rPr>
        <w:t>Indeed, it would be difficult for us (not to mention the disciples) to spot it, were it not for a host of other NT texts that supplement and illuminate it, many of which we will discuss below.</w:t>
      </w:r>
    </w:p>
    <w:p w14:paraId="6174618E">
      <w:pPr>
        <w:spacing w:before="8" w:line="249" w:lineRule="auto"/>
        <w:ind w:left="99" w:right="98" w:firstLine="450"/>
        <w:jc w:val="both"/>
        <w:rPr>
          <w:rFonts w:hint="eastAsia"/>
          <w:color w:val="231F20"/>
          <w:sz w:val="30"/>
        </w:rPr>
      </w:pPr>
      <w:r>
        <w:rPr>
          <w:rFonts w:hint="eastAsia"/>
          <w:color w:val="231F20"/>
          <w:sz w:val="30"/>
        </w:rPr>
        <w:t>事实上，如果我们（更不用说门徒们）没有许多其他补充和阐明它的新约经文的帮助，我们将很难发现它，我们将在下面讨论其中许多经文。</w:t>
      </w:r>
    </w:p>
    <w:p w14:paraId="3937498E">
      <w:pPr>
        <w:spacing w:before="8" w:line="249" w:lineRule="auto"/>
        <w:ind w:left="99" w:right="98" w:firstLine="450"/>
        <w:jc w:val="both"/>
        <w:rPr>
          <w:rFonts w:hint="eastAsia"/>
          <w:color w:val="231F20"/>
          <w:sz w:val="30"/>
        </w:rPr>
      </w:pPr>
    </w:p>
    <w:p w14:paraId="5CE8369B">
      <w:pPr>
        <w:spacing w:before="8" w:line="249" w:lineRule="auto"/>
        <w:ind w:left="99" w:right="98" w:firstLine="450"/>
        <w:jc w:val="both"/>
        <w:rPr>
          <w:rFonts w:hint="eastAsia"/>
          <w:color w:val="231F20"/>
          <w:sz w:val="30"/>
        </w:rPr>
      </w:pPr>
      <w:r>
        <w:rPr>
          <w:rFonts w:hint="eastAsia"/>
          <w:color w:val="231F20"/>
          <w:sz w:val="30"/>
        </w:rPr>
        <w:t>Nevertheless, with the benefit of NT hindsight, we can see it here clearly enough.</w:t>
      </w:r>
    </w:p>
    <w:p w14:paraId="29F7CC12">
      <w:pPr>
        <w:spacing w:before="8" w:line="249" w:lineRule="auto"/>
        <w:ind w:left="99" w:right="98" w:firstLine="450"/>
        <w:jc w:val="both"/>
        <w:rPr>
          <w:rFonts w:hint="eastAsia"/>
          <w:color w:val="231F20"/>
          <w:sz w:val="30"/>
        </w:rPr>
      </w:pPr>
      <w:r>
        <w:rPr>
          <w:rFonts w:hint="eastAsia"/>
          <w:color w:val="231F20"/>
          <w:sz w:val="30"/>
        </w:rPr>
        <w:t>然而，借着新约的后见之明，我们在此处可以足够清楚地看到它。</w:t>
      </w:r>
    </w:p>
    <w:p w14:paraId="5D3DAB1D">
      <w:pPr>
        <w:spacing w:before="8" w:line="249" w:lineRule="auto"/>
        <w:ind w:left="99" w:right="98" w:firstLine="450"/>
        <w:jc w:val="both"/>
        <w:rPr>
          <w:rFonts w:hint="eastAsia"/>
          <w:color w:val="231F20"/>
          <w:sz w:val="30"/>
        </w:rPr>
      </w:pPr>
    </w:p>
    <w:p w14:paraId="3FD2B71A">
      <w:pPr>
        <w:spacing w:before="8" w:line="249" w:lineRule="auto"/>
        <w:ind w:left="99" w:right="98" w:firstLine="450"/>
        <w:jc w:val="both"/>
        <w:rPr>
          <w:rFonts w:hint="eastAsia"/>
          <w:color w:val="231F20"/>
          <w:sz w:val="30"/>
        </w:rPr>
      </w:pPr>
      <w:r>
        <w:rPr>
          <w:rFonts w:hint="eastAsia"/>
          <w:color w:val="231F20"/>
          <w:sz w:val="30"/>
        </w:rPr>
        <w:t>Our first glimpse of a distinctly heavenly reign comes in the fact that Jesus here refers to his kingdom as the kingdom of the Son of Man (v. 41).</w:t>
      </w:r>
    </w:p>
    <w:p w14:paraId="217C6C0D">
      <w:pPr>
        <w:spacing w:before="8" w:line="249" w:lineRule="auto"/>
        <w:ind w:left="99" w:right="98" w:firstLine="450"/>
        <w:jc w:val="both"/>
        <w:rPr>
          <w:rFonts w:hint="eastAsia"/>
          <w:color w:val="231F20"/>
          <w:sz w:val="30"/>
        </w:rPr>
      </w:pPr>
      <w:r>
        <w:rPr>
          <w:rFonts w:hint="eastAsia"/>
          <w:color w:val="231F20"/>
          <w:sz w:val="30"/>
        </w:rPr>
        <w:t>我们对一个明显属天统治的第一次瞥见，来自于耶稣在此处将祂的国度称为人子之国（41节）。</w:t>
      </w:r>
    </w:p>
    <w:p w14:paraId="216C2402">
      <w:pPr>
        <w:spacing w:before="8" w:line="249" w:lineRule="auto"/>
        <w:ind w:left="99" w:right="98" w:firstLine="450"/>
        <w:jc w:val="both"/>
        <w:rPr>
          <w:rFonts w:hint="eastAsia"/>
          <w:color w:val="231F20"/>
          <w:sz w:val="30"/>
        </w:rPr>
      </w:pPr>
    </w:p>
    <w:p w14:paraId="176DAC95">
      <w:pPr>
        <w:spacing w:before="8" w:line="249" w:lineRule="auto"/>
        <w:ind w:left="99" w:right="98" w:firstLine="450"/>
        <w:jc w:val="both"/>
        <w:rPr>
          <w:rFonts w:hint="eastAsia"/>
          <w:color w:val="231F20"/>
          <w:sz w:val="30"/>
        </w:rPr>
      </w:pPr>
      <w:r>
        <w:rPr>
          <w:rFonts w:hint="eastAsia"/>
          <w:color w:val="231F20"/>
          <w:sz w:val="30"/>
        </w:rPr>
        <w:t>This title was designed to remind the disciples of the Messianic figure of Daniel 7:13-15.</w:t>
      </w:r>
    </w:p>
    <w:p w14:paraId="191EA5DF">
      <w:pPr>
        <w:spacing w:before="8" w:line="249" w:lineRule="auto"/>
        <w:ind w:left="99" w:right="98" w:firstLine="450"/>
        <w:jc w:val="both"/>
        <w:rPr>
          <w:rFonts w:hint="eastAsia"/>
          <w:color w:val="231F20"/>
          <w:sz w:val="30"/>
        </w:rPr>
      </w:pPr>
      <w:r>
        <w:rPr>
          <w:rFonts w:hint="eastAsia"/>
          <w:color w:val="231F20"/>
          <w:sz w:val="30"/>
        </w:rPr>
        <w:t>这个称号旨在提醒门徒们但以理书 7:13-15 中的弥赛亚形象。</w:t>
      </w:r>
    </w:p>
    <w:p w14:paraId="338BB04E">
      <w:pPr>
        <w:spacing w:before="8" w:line="249" w:lineRule="auto"/>
        <w:ind w:left="99" w:right="98" w:firstLine="450"/>
        <w:jc w:val="both"/>
        <w:rPr>
          <w:rFonts w:hint="eastAsia"/>
          <w:color w:val="231F20"/>
          <w:sz w:val="30"/>
        </w:rPr>
      </w:pPr>
    </w:p>
    <w:p w14:paraId="3F116811">
      <w:pPr>
        <w:spacing w:before="8" w:line="249" w:lineRule="auto"/>
        <w:ind w:left="99" w:right="98" w:firstLine="450"/>
        <w:jc w:val="both"/>
        <w:rPr>
          <w:rFonts w:hint="eastAsia"/>
          <w:color w:val="231F20"/>
          <w:sz w:val="30"/>
        </w:rPr>
      </w:pPr>
      <w:r>
        <w:rPr>
          <w:rFonts w:hint="eastAsia"/>
          <w:color w:val="231F20"/>
          <w:sz w:val="30"/>
        </w:rPr>
        <w:t>As a close look at that passage will show, the Personage there celebrated is manifestly a heavenly being, ushered upon clouds of glory into the heavenly presence of the Ancient of Days, after which, in heaven, he receives from God dominion, glory, and a universal Kingdom.</w:t>
      </w:r>
    </w:p>
    <w:p w14:paraId="5B38304B">
      <w:pPr>
        <w:spacing w:before="8" w:line="249" w:lineRule="auto"/>
        <w:ind w:left="99" w:right="98" w:firstLine="450"/>
        <w:jc w:val="both"/>
        <w:rPr>
          <w:rFonts w:hint="eastAsia"/>
          <w:color w:val="231F20"/>
          <w:sz w:val="30"/>
        </w:rPr>
      </w:pPr>
      <w:r>
        <w:rPr>
          <w:rFonts w:hint="eastAsia"/>
          <w:color w:val="231F20"/>
          <w:sz w:val="30"/>
        </w:rPr>
        <w:t>仔细查看那段经文就会发现，那里所颂扬的人物显然是一个属天的存在，驾着荣耀的云彩被带入亘古常在者的属天临在中，此后，在天上，祂从上帝领受权柄、荣耀和一个普世的国度。</w:t>
      </w:r>
    </w:p>
    <w:p w14:paraId="3F8E80DD">
      <w:pPr>
        <w:spacing w:before="8" w:line="249" w:lineRule="auto"/>
        <w:ind w:left="99" w:right="98" w:firstLine="450"/>
        <w:jc w:val="both"/>
        <w:rPr>
          <w:rFonts w:hint="eastAsia"/>
          <w:color w:val="231F20"/>
          <w:sz w:val="30"/>
        </w:rPr>
      </w:pPr>
    </w:p>
    <w:p w14:paraId="584D8F7F">
      <w:pPr>
        <w:spacing w:before="8" w:line="249" w:lineRule="auto"/>
        <w:ind w:left="99" w:right="98" w:firstLine="450"/>
        <w:jc w:val="both"/>
        <w:rPr>
          <w:rFonts w:hint="eastAsia"/>
          <w:color w:val="231F20"/>
          <w:sz w:val="30"/>
        </w:rPr>
      </w:pPr>
      <w:r>
        <w:rPr>
          <w:rFonts w:hint="eastAsia"/>
          <w:color w:val="231F20"/>
          <w:sz w:val="30"/>
        </w:rPr>
        <w:t>Soon, Jesus himself will fulfill this prophecy (Acts 2:29-36).</w:t>
      </w:r>
    </w:p>
    <w:p w14:paraId="11C0D879">
      <w:pPr>
        <w:spacing w:before="8" w:line="249" w:lineRule="auto"/>
        <w:ind w:left="99" w:right="98" w:firstLine="450"/>
        <w:jc w:val="both"/>
        <w:rPr>
          <w:rFonts w:hint="eastAsia"/>
          <w:color w:val="231F20"/>
          <w:sz w:val="30"/>
        </w:rPr>
      </w:pPr>
      <w:r>
        <w:rPr>
          <w:rFonts w:hint="eastAsia"/>
          <w:color w:val="231F20"/>
          <w:sz w:val="30"/>
        </w:rPr>
        <w:t>不久，耶稣自己将应验这个预言（徒 2:29-36）。</w:t>
      </w:r>
    </w:p>
    <w:p w14:paraId="01425789">
      <w:pPr>
        <w:spacing w:before="8" w:line="249" w:lineRule="auto"/>
        <w:ind w:left="99" w:right="98" w:firstLine="450"/>
        <w:jc w:val="both"/>
        <w:rPr>
          <w:rFonts w:hint="eastAsia"/>
          <w:color w:val="231F20"/>
          <w:sz w:val="30"/>
        </w:rPr>
      </w:pPr>
    </w:p>
    <w:p w14:paraId="5D362CC0">
      <w:pPr>
        <w:spacing w:before="8" w:line="249" w:lineRule="auto"/>
        <w:ind w:left="99" w:right="98" w:firstLine="450"/>
        <w:jc w:val="both"/>
        <w:rPr>
          <w:rFonts w:hint="eastAsia"/>
          <w:color w:val="231F20"/>
          <w:sz w:val="30"/>
        </w:rPr>
      </w:pPr>
      <w:r>
        <w:rPr>
          <w:rFonts w:hint="eastAsia"/>
          <w:color w:val="231F20"/>
          <w:sz w:val="30"/>
        </w:rPr>
        <w:t>Therefore, in what is admittedly opaque language, he begins here to his prepare his disciples to understand his own forthcoming heavenly reign.</w:t>
      </w:r>
    </w:p>
    <w:p w14:paraId="7704A4B5">
      <w:pPr>
        <w:spacing w:before="8" w:line="249" w:lineRule="auto"/>
        <w:ind w:left="99" w:right="98" w:firstLine="450"/>
        <w:jc w:val="both"/>
        <w:rPr>
          <w:rFonts w:hint="eastAsia"/>
          <w:color w:val="231F20"/>
          <w:sz w:val="30"/>
        </w:rPr>
      </w:pPr>
      <w:r>
        <w:rPr>
          <w:rFonts w:hint="eastAsia"/>
          <w:color w:val="231F20"/>
          <w:sz w:val="30"/>
        </w:rPr>
        <w:t>因此，用一种公认是不透明的语言，祂在此处开始预备祂的门徒去理解祂自己即将到来的属天统治。</w:t>
      </w:r>
    </w:p>
    <w:p w14:paraId="59A839C0">
      <w:pPr>
        <w:spacing w:before="8" w:line="249" w:lineRule="auto"/>
        <w:ind w:left="99" w:right="98" w:firstLine="450"/>
        <w:jc w:val="both"/>
        <w:rPr>
          <w:rFonts w:hint="eastAsia"/>
          <w:color w:val="231F20"/>
          <w:sz w:val="30"/>
        </w:rPr>
      </w:pPr>
    </w:p>
    <w:p w14:paraId="2500252A">
      <w:pPr>
        <w:spacing w:before="8" w:line="249" w:lineRule="auto"/>
        <w:ind w:left="99" w:right="98" w:firstLine="450"/>
        <w:jc w:val="both"/>
        <w:rPr>
          <w:rFonts w:hint="eastAsia"/>
          <w:color w:val="231F20"/>
          <w:sz w:val="30"/>
        </w:rPr>
      </w:pPr>
      <w:r>
        <w:rPr>
          <w:rFonts w:hint="eastAsia"/>
          <w:color w:val="231F20"/>
          <w:sz w:val="30"/>
        </w:rPr>
        <w:t>The case for this truth is much strengthened when we read in v. 41 that at the end of the age the Son of Man will send forth his angels to effect a final separation of the wheat and the tares (v.30).</w:t>
      </w:r>
    </w:p>
    <w:p w14:paraId="5711E834">
      <w:pPr>
        <w:spacing w:before="8" w:line="249" w:lineRule="auto"/>
        <w:ind w:left="99" w:right="98" w:firstLine="450"/>
        <w:jc w:val="both"/>
        <w:rPr>
          <w:rFonts w:hint="eastAsia"/>
          <w:color w:val="231F20"/>
          <w:sz w:val="30"/>
        </w:rPr>
      </w:pPr>
      <w:r>
        <w:rPr>
          <w:rFonts w:hint="eastAsia"/>
          <w:color w:val="231F20"/>
          <w:sz w:val="30"/>
        </w:rPr>
        <w:t>当我们读到第41节，在世代的末了，人子将差遣祂的使者来完成麦子和稗子的最后分离（30节）时，这个真理的论据就大大加强了。</w:t>
      </w:r>
    </w:p>
    <w:p w14:paraId="057E3349">
      <w:pPr>
        <w:spacing w:before="8" w:line="249" w:lineRule="auto"/>
        <w:ind w:left="99" w:right="98" w:firstLine="450"/>
        <w:jc w:val="both"/>
        <w:rPr>
          <w:rFonts w:hint="eastAsia"/>
          <w:color w:val="231F20"/>
          <w:sz w:val="30"/>
        </w:rPr>
      </w:pPr>
    </w:p>
    <w:p w14:paraId="4CDEEC5E">
      <w:pPr>
        <w:spacing w:before="8" w:line="249" w:lineRule="auto"/>
        <w:ind w:left="99" w:right="98" w:firstLine="450"/>
        <w:jc w:val="both"/>
        <w:rPr>
          <w:rFonts w:hint="eastAsia"/>
          <w:color w:val="231F20"/>
          <w:sz w:val="30"/>
        </w:rPr>
      </w:pPr>
      <w:r>
        <w:rPr>
          <w:rFonts w:hint="eastAsia"/>
          <w:color w:val="231F20"/>
          <w:sz w:val="30"/>
        </w:rPr>
        <w:t>In the gospels alone there are quite a number of texts that make explicit what remains implicit here: At the end of the age the glorified Christ will descend from heaven with all his holy angels to accomplish the final Judgment of all sentient beings (Mt. 24:29-31, 25:31, 26:64; Mk. 8:38, 14:62).</w:t>
      </w:r>
    </w:p>
    <w:p w14:paraId="3330323F">
      <w:pPr>
        <w:spacing w:before="8" w:line="249" w:lineRule="auto"/>
        <w:ind w:left="99" w:right="98" w:firstLine="450"/>
        <w:jc w:val="both"/>
        <w:rPr>
          <w:rFonts w:hint="eastAsia"/>
          <w:color w:val="231F20"/>
          <w:sz w:val="30"/>
        </w:rPr>
      </w:pPr>
      <w:r>
        <w:rPr>
          <w:rFonts w:hint="eastAsia"/>
          <w:color w:val="231F20"/>
          <w:sz w:val="30"/>
        </w:rPr>
        <w:t>单在福音书中，就有相当多的经文明确了此处仍然含蓄的内容：在世代的末了，得荣耀的基督将与祂所有的圣天使从天降临，完成对所有有知觉的存在的最后审判（太 24:29-31, 25:31, 26:64; 可 8:38, 14:62）。</w:t>
      </w:r>
    </w:p>
    <w:p w14:paraId="5E5F57DF">
      <w:pPr>
        <w:spacing w:before="8" w:line="249" w:lineRule="auto"/>
        <w:ind w:left="99" w:right="98" w:firstLine="450"/>
        <w:jc w:val="both"/>
        <w:rPr>
          <w:rFonts w:hint="eastAsia"/>
          <w:color w:val="231F20"/>
          <w:sz w:val="30"/>
        </w:rPr>
      </w:pPr>
    </w:p>
    <w:p w14:paraId="6092365F">
      <w:pPr>
        <w:spacing w:before="8" w:line="249" w:lineRule="auto"/>
        <w:ind w:left="99" w:right="98" w:firstLine="450"/>
        <w:jc w:val="both"/>
        <w:rPr>
          <w:rFonts w:hint="eastAsia"/>
          <w:color w:val="231F20"/>
          <w:sz w:val="30"/>
        </w:rPr>
      </w:pPr>
      <w:r>
        <w:rPr>
          <w:rFonts w:hint="eastAsia"/>
          <w:color w:val="231F20"/>
          <w:sz w:val="30"/>
        </w:rPr>
        <w:t>And with this solemn truth the epistles and the Revelation agree (1 Thess. 3:13, 4:16, 2 Thess. 1:7, Jude 1:14, Rev. 19:11-16).</w:t>
      </w:r>
    </w:p>
    <w:p w14:paraId="6A314DA3">
      <w:pPr>
        <w:spacing w:before="8" w:line="249" w:lineRule="auto"/>
        <w:ind w:left="99" w:right="98" w:firstLine="450"/>
        <w:jc w:val="both"/>
        <w:rPr>
          <w:rFonts w:hint="eastAsia"/>
          <w:color w:val="231F20"/>
          <w:sz w:val="30"/>
        </w:rPr>
      </w:pPr>
      <w:r>
        <w:rPr>
          <w:rFonts w:hint="eastAsia"/>
          <w:color w:val="231F20"/>
          <w:sz w:val="30"/>
        </w:rPr>
        <w:t>书信和启示录也同意这个庄严的真理（帖前 3:13, 4:16, 帖后 1:7, 犹 1:14, 启 19:11-16）。</w:t>
      </w:r>
    </w:p>
    <w:p w14:paraId="7181BA6F">
      <w:pPr>
        <w:spacing w:before="8" w:line="249" w:lineRule="auto"/>
        <w:ind w:left="99" w:right="98" w:firstLine="450"/>
        <w:jc w:val="both"/>
        <w:rPr>
          <w:rFonts w:hint="eastAsia"/>
          <w:color w:val="231F20"/>
          <w:sz w:val="30"/>
        </w:rPr>
      </w:pPr>
    </w:p>
    <w:p w14:paraId="2E38DFB4">
      <w:pPr>
        <w:spacing w:before="8" w:line="249" w:lineRule="auto"/>
        <w:ind w:left="99" w:right="98" w:firstLine="450"/>
        <w:jc w:val="both"/>
        <w:rPr>
          <w:rFonts w:hint="eastAsia"/>
          <w:color w:val="231F20"/>
          <w:sz w:val="30"/>
        </w:rPr>
      </w:pPr>
      <w:r>
        <w:rPr>
          <w:rFonts w:hint="eastAsia"/>
          <w:color w:val="231F20"/>
          <w:sz w:val="30"/>
        </w:rPr>
        <w:t>It would be hard to overemphasize the importance of this particular mystery.</w:t>
      </w:r>
    </w:p>
    <w:p w14:paraId="602F7EA8">
      <w:pPr>
        <w:spacing w:before="8" w:line="249" w:lineRule="auto"/>
        <w:ind w:left="99" w:right="98" w:firstLine="450"/>
        <w:jc w:val="both"/>
        <w:rPr>
          <w:rFonts w:hint="eastAsia"/>
          <w:color w:val="231F20"/>
          <w:sz w:val="30"/>
        </w:rPr>
      </w:pPr>
      <w:r>
        <w:rPr>
          <w:rFonts w:hint="eastAsia"/>
          <w:color w:val="231F20"/>
          <w:sz w:val="30"/>
        </w:rPr>
        <w:t>这个特定奥秘的重要性，怎么强调都不过分。</w:t>
      </w:r>
    </w:p>
    <w:p w14:paraId="03662A7D">
      <w:pPr>
        <w:spacing w:before="8" w:line="249" w:lineRule="auto"/>
        <w:ind w:left="99" w:right="98" w:firstLine="450"/>
        <w:jc w:val="both"/>
        <w:rPr>
          <w:rFonts w:hint="eastAsia"/>
          <w:color w:val="231F20"/>
          <w:sz w:val="30"/>
        </w:rPr>
      </w:pPr>
    </w:p>
    <w:p w14:paraId="7EB507FC">
      <w:pPr>
        <w:spacing w:before="8" w:line="249" w:lineRule="auto"/>
        <w:ind w:left="99" w:right="98" w:firstLine="450"/>
        <w:jc w:val="both"/>
        <w:rPr>
          <w:rFonts w:hint="eastAsia"/>
          <w:color w:val="231F20"/>
          <w:sz w:val="30"/>
        </w:rPr>
      </w:pPr>
      <w:r>
        <w:rPr>
          <w:rFonts w:hint="eastAsia"/>
          <w:color w:val="231F20"/>
          <w:sz w:val="30"/>
        </w:rPr>
        <w:t>In one form or another, the Messiah’s heavenly reign pervades the entire NT.</w:t>
      </w:r>
    </w:p>
    <w:p w14:paraId="66AB53F9">
      <w:pPr>
        <w:spacing w:before="8" w:line="249" w:lineRule="auto"/>
        <w:ind w:left="99" w:right="98" w:firstLine="450"/>
        <w:jc w:val="both"/>
        <w:rPr>
          <w:rFonts w:hint="eastAsia"/>
          <w:color w:val="231F20"/>
          <w:sz w:val="30"/>
        </w:rPr>
      </w:pPr>
      <w:r>
        <w:rPr>
          <w:rFonts w:hint="eastAsia"/>
          <w:color w:val="231F20"/>
          <w:sz w:val="30"/>
        </w:rPr>
        <w:t>弥赛亚的属天统治，以这样或那样的形式，贯穿了整个新约。</w:t>
      </w:r>
    </w:p>
    <w:p w14:paraId="427619AE">
      <w:pPr>
        <w:spacing w:before="8" w:line="249" w:lineRule="auto"/>
        <w:ind w:left="99" w:right="98" w:firstLine="450"/>
        <w:jc w:val="both"/>
        <w:rPr>
          <w:rFonts w:hint="eastAsia"/>
          <w:color w:val="231F20"/>
          <w:sz w:val="30"/>
        </w:rPr>
      </w:pPr>
    </w:p>
    <w:p w14:paraId="5D20012B">
      <w:pPr>
        <w:spacing w:before="8" w:line="249" w:lineRule="auto"/>
        <w:ind w:left="99" w:right="98" w:firstLine="450"/>
        <w:jc w:val="both"/>
        <w:rPr>
          <w:rFonts w:hint="eastAsia"/>
          <w:color w:val="231F20"/>
          <w:sz w:val="30"/>
        </w:rPr>
      </w:pPr>
      <w:r>
        <w:rPr>
          <w:rFonts w:hint="eastAsia"/>
          <w:color w:val="231F20"/>
          <w:sz w:val="30"/>
        </w:rPr>
        <w:t>All the other parables presuppose and elaborate upon it.</w:t>
      </w:r>
    </w:p>
    <w:p w14:paraId="7CEAD682">
      <w:pPr>
        <w:spacing w:before="8" w:line="249" w:lineRule="auto"/>
        <w:ind w:left="99" w:right="98" w:firstLine="450"/>
        <w:jc w:val="both"/>
        <w:rPr>
          <w:rFonts w:hint="eastAsia"/>
          <w:color w:val="231F20"/>
          <w:sz w:val="30"/>
        </w:rPr>
      </w:pPr>
      <w:r>
        <w:rPr>
          <w:rFonts w:hint="eastAsia"/>
          <w:color w:val="231F20"/>
          <w:sz w:val="30"/>
        </w:rPr>
        <w:t>所有其他的比喻都预设并详细阐述了它。</w:t>
      </w:r>
    </w:p>
    <w:p w14:paraId="6C4B455A">
      <w:pPr>
        <w:spacing w:before="8" w:line="249" w:lineRule="auto"/>
        <w:ind w:left="99" w:right="98" w:firstLine="450"/>
        <w:jc w:val="both"/>
        <w:rPr>
          <w:rFonts w:hint="eastAsia"/>
          <w:color w:val="231F20"/>
          <w:sz w:val="30"/>
        </w:rPr>
      </w:pPr>
    </w:p>
    <w:p w14:paraId="4127C309">
      <w:pPr>
        <w:spacing w:before="8" w:line="249" w:lineRule="auto"/>
        <w:ind w:left="99" w:right="98" w:firstLine="450"/>
        <w:jc w:val="both"/>
        <w:rPr>
          <w:rFonts w:hint="eastAsia"/>
          <w:color w:val="231F20"/>
          <w:sz w:val="30"/>
        </w:rPr>
      </w:pPr>
      <w:r>
        <w:rPr>
          <w:rFonts w:hint="eastAsia"/>
          <w:color w:val="231F20"/>
          <w:sz w:val="30"/>
        </w:rPr>
        <w:t>Many gospel texts reference and illuminate it.</w:t>
      </w:r>
    </w:p>
    <w:p w14:paraId="41F046E5">
      <w:pPr>
        <w:spacing w:before="8" w:line="249" w:lineRule="auto"/>
        <w:ind w:left="99" w:right="98" w:firstLine="450"/>
        <w:jc w:val="both"/>
        <w:rPr>
          <w:rFonts w:hint="eastAsia"/>
          <w:color w:val="231F20"/>
          <w:sz w:val="30"/>
        </w:rPr>
      </w:pPr>
      <w:r>
        <w:rPr>
          <w:rFonts w:hint="eastAsia"/>
          <w:color w:val="231F20"/>
          <w:sz w:val="30"/>
        </w:rPr>
        <w:t>许多福音书经文都引用和阐明了它。</w:t>
      </w:r>
    </w:p>
    <w:p w14:paraId="52308D99">
      <w:pPr>
        <w:spacing w:before="8" w:line="249" w:lineRule="auto"/>
        <w:ind w:left="99" w:right="98" w:firstLine="450"/>
        <w:jc w:val="both"/>
        <w:rPr>
          <w:rFonts w:hint="eastAsia"/>
          <w:color w:val="231F20"/>
          <w:sz w:val="30"/>
        </w:rPr>
      </w:pPr>
    </w:p>
    <w:p w14:paraId="0B2D79CE">
      <w:pPr>
        <w:spacing w:before="8" w:line="249" w:lineRule="auto"/>
        <w:ind w:left="99" w:right="98" w:firstLine="450"/>
        <w:jc w:val="both"/>
        <w:rPr>
          <w:rFonts w:hint="eastAsia"/>
          <w:color w:val="231F20"/>
          <w:sz w:val="30"/>
        </w:rPr>
      </w:pPr>
      <w:r>
        <w:rPr>
          <w:rFonts w:hint="eastAsia"/>
          <w:color w:val="231F20"/>
          <w:sz w:val="30"/>
        </w:rPr>
        <w:t>It is first preached and celebrated in the book of Acts.</w:t>
      </w:r>
    </w:p>
    <w:p w14:paraId="384601D8">
      <w:pPr>
        <w:spacing w:before="8" w:line="249" w:lineRule="auto"/>
        <w:ind w:left="99" w:right="98" w:firstLine="450"/>
        <w:jc w:val="both"/>
        <w:rPr>
          <w:rFonts w:hint="eastAsia"/>
          <w:color w:val="231F20"/>
          <w:sz w:val="30"/>
        </w:rPr>
      </w:pPr>
      <w:r>
        <w:rPr>
          <w:rFonts w:hint="eastAsia"/>
          <w:color w:val="231F20"/>
          <w:sz w:val="30"/>
        </w:rPr>
        <w:t>它首先在使徒行传中被传讲和颂扬。</w:t>
      </w:r>
    </w:p>
    <w:p w14:paraId="3DF0CD71">
      <w:pPr>
        <w:spacing w:before="8" w:line="249" w:lineRule="auto"/>
        <w:ind w:left="99" w:right="98" w:firstLine="450"/>
        <w:jc w:val="both"/>
        <w:rPr>
          <w:rFonts w:hint="eastAsia"/>
          <w:color w:val="231F20"/>
          <w:sz w:val="30"/>
        </w:rPr>
      </w:pPr>
    </w:p>
    <w:p w14:paraId="489D65DD">
      <w:pPr>
        <w:spacing w:before="8" w:line="249" w:lineRule="auto"/>
        <w:ind w:left="99" w:right="98" w:firstLine="450"/>
        <w:jc w:val="both"/>
        <w:rPr>
          <w:rFonts w:hint="eastAsia"/>
          <w:color w:val="231F20"/>
          <w:sz w:val="30"/>
        </w:rPr>
      </w:pPr>
      <w:r>
        <w:rPr>
          <w:rFonts w:hint="eastAsia"/>
          <w:color w:val="231F20"/>
          <w:sz w:val="30"/>
        </w:rPr>
        <w:t>Whole blocs of the epistles plumb its hidden depths.</w:t>
      </w:r>
    </w:p>
    <w:p w14:paraId="1F82D634">
      <w:pPr>
        <w:spacing w:before="8" w:line="249" w:lineRule="auto"/>
        <w:ind w:left="99" w:right="98" w:firstLine="450"/>
        <w:jc w:val="both"/>
        <w:rPr>
          <w:rFonts w:hint="eastAsia"/>
          <w:color w:val="231F20"/>
          <w:sz w:val="30"/>
        </w:rPr>
      </w:pPr>
      <w:r>
        <w:rPr>
          <w:rFonts w:hint="eastAsia"/>
          <w:color w:val="231F20"/>
          <w:sz w:val="30"/>
        </w:rPr>
        <w:t>书信的整段整段都探究其隐藏的深处。</w:t>
      </w:r>
    </w:p>
    <w:p w14:paraId="20B25E27">
      <w:pPr>
        <w:spacing w:before="8" w:line="249" w:lineRule="auto"/>
        <w:ind w:left="99" w:right="98" w:firstLine="450"/>
        <w:jc w:val="both"/>
        <w:rPr>
          <w:rFonts w:hint="eastAsia"/>
          <w:color w:val="231F20"/>
          <w:sz w:val="30"/>
        </w:rPr>
      </w:pPr>
    </w:p>
    <w:p w14:paraId="74C91BD1">
      <w:pPr>
        <w:spacing w:before="8" w:line="249" w:lineRule="auto"/>
        <w:ind w:left="99" w:right="98" w:firstLine="450"/>
        <w:jc w:val="both"/>
        <w:rPr>
          <w:rFonts w:hint="eastAsia"/>
          <w:color w:val="231F20"/>
          <w:sz w:val="30"/>
        </w:rPr>
      </w:pPr>
      <w:r>
        <w:rPr>
          <w:rFonts w:hint="eastAsia"/>
          <w:color w:val="231F20"/>
          <w:sz w:val="30"/>
        </w:rPr>
        <w:t>The Revelation is structured around it.</w:t>
      </w:r>
    </w:p>
    <w:p w14:paraId="641B4B1F">
      <w:pPr>
        <w:spacing w:before="8" w:line="249" w:lineRule="auto"/>
        <w:ind w:left="99" w:right="98" w:firstLine="450"/>
        <w:jc w:val="both"/>
        <w:rPr>
          <w:rFonts w:hint="eastAsia"/>
          <w:color w:val="231F20"/>
          <w:sz w:val="30"/>
        </w:rPr>
      </w:pPr>
      <w:r>
        <w:rPr>
          <w:rFonts w:hint="eastAsia"/>
          <w:color w:val="231F20"/>
          <w:sz w:val="30"/>
        </w:rPr>
        <w:t>启示录是围绕它构建的。</w:t>
      </w:r>
    </w:p>
    <w:p w14:paraId="310FD537">
      <w:pPr>
        <w:spacing w:before="8" w:line="249" w:lineRule="auto"/>
        <w:ind w:left="99" w:right="98" w:firstLine="450"/>
        <w:jc w:val="both"/>
        <w:rPr>
          <w:rFonts w:hint="eastAsia"/>
          <w:color w:val="231F20"/>
          <w:sz w:val="30"/>
        </w:rPr>
      </w:pPr>
    </w:p>
    <w:p w14:paraId="1629E9DB">
      <w:pPr>
        <w:spacing w:before="8" w:line="249" w:lineRule="auto"/>
        <w:ind w:left="99" w:right="98" w:firstLine="450"/>
        <w:jc w:val="both"/>
        <w:rPr>
          <w:rFonts w:hint="eastAsia"/>
          <w:color w:val="231F20"/>
          <w:sz w:val="30"/>
        </w:rPr>
      </w:pPr>
      <w:r>
        <w:rPr>
          <w:rFonts w:hint="eastAsia"/>
          <w:color w:val="231F20"/>
          <w:sz w:val="30"/>
        </w:rPr>
        <w:t>Moreover, after finally coming to terms with it, the NT writers find it spoken of in the OT as well!</w:t>
      </w:r>
    </w:p>
    <w:p w14:paraId="5DD94F9E">
      <w:pPr>
        <w:spacing w:before="8" w:line="249" w:lineRule="auto"/>
        <w:ind w:left="99" w:right="98" w:firstLine="450"/>
        <w:jc w:val="both"/>
        <w:rPr>
          <w:rFonts w:hint="eastAsia"/>
          <w:color w:val="231F20"/>
          <w:sz w:val="30"/>
        </w:rPr>
      </w:pPr>
      <w:r>
        <w:rPr>
          <w:rFonts w:hint="eastAsia"/>
          <w:color w:val="231F20"/>
          <w:sz w:val="30"/>
        </w:rPr>
        <w:t>此外，在最终接受了它之后，新约作者们发现它在旧约中也被提及！</w:t>
      </w:r>
    </w:p>
    <w:p w14:paraId="17B7E73B">
      <w:pPr>
        <w:spacing w:before="8" w:line="249" w:lineRule="auto"/>
        <w:ind w:left="99" w:right="98" w:firstLine="450"/>
        <w:jc w:val="both"/>
        <w:rPr>
          <w:rFonts w:hint="eastAsia"/>
          <w:color w:val="231F20"/>
          <w:sz w:val="30"/>
        </w:rPr>
      </w:pPr>
    </w:p>
    <w:p w14:paraId="477B59D4">
      <w:pPr>
        <w:spacing w:before="8" w:line="249" w:lineRule="auto"/>
        <w:ind w:left="99" w:right="98" w:firstLine="450"/>
        <w:jc w:val="both"/>
        <w:rPr>
          <w:rFonts w:hint="eastAsia"/>
          <w:color w:val="231F20"/>
          <w:sz w:val="30"/>
        </w:rPr>
      </w:pPr>
      <w:r>
        <w:rPr>
          <w:rFonts w:hint="eastAsia"/>
          <w:color w:val="231F20"/>
          <w:sz w:val="30"/>
        </w:rPr>
        <w:t>Why does Christ’s heavenly reign loom so large in Biblical revelation?</w:t>
      </w:r>
    </w:p>
    <w:p w14:paraId="4255E9D1">
      <w:pPr>
        <w:spacing w:before="8" w:line="249" w:lineRule="auto"/>
        <w:ind w:left="99" w:right="98" w:firstLine="450"/>
        <w:jc w:val="both"/>
        <w:rPr>
          <w:rFonts w:hint="eastAsia"/>
          <w:color w:val="231F20"/>
          <w:sz w:val="30"/>
        </w:rPr>
      </w:pPr>
      <w:r>
        <w:rPr>
          <w:rFonts w:hint="eastAsia"/>
          <w:color w:val="231F20"/>
          <w:sz w:val="30"/>
        </w:rPr>
        <w:t>为什么基督的属天统治在圣经启示中如此重要？</w:t>
      </w:r>
    </w:p>
    <w:p w14:paraId="6F0315C4">
      <w:pPr>
        <w:spacing w:before="8" w:line="249" w:lineRule="auto"/>
        <w:ind w:left="99" w:right="98" w:firstLine="450"/>
        <w:jc w:val="both"/>
        <w:rPr>
          <w:rFonts w:hint="eastAsia"/>
          <w:color w:val="231F20"/>
          <w:sz w:val="30"/>
        </w:rPr>
      </w:pPr>
    </w:p>
    <w:p w14:paraId="32640401">
      <w:pPr>
        <w:spacing w:before="8" w:line="249" w:lineRule="auto"/>
        <w:ind w:left="99" w:right="98" w:firstLine="450"/>
        <w:jc w:val="both"/>
        <w:rPr>
          <w:rFonts w:hint="eastAsia"/>
          <w:color w:val="231F20"/>
          <w:sz w:val="30"/>
        </w:rPr>
      </w:pPr>
      <w:r>
        <w:rPr>
          <w:rFonts w:hint="eastAsia"/>
          <w:color w:val="231F20"/>
          <w:sz w:val="30"/>
        </w:rPr>
        <w:t>We learned the answer in our earlier discussion of the Eternal Covenant: It looms so large because it is so integral to God’s eternal purpose and plan.</w:t>
      </w:r>
    </w:p>
    <w:p w14:paraId="50D2CB62">
      <w:pPr>
        <w:spacing w:before="8" w:line="249" w:lineRule="auto"/>
        <w:ind w:left="99" w:right="98" w:firstLine="450"/>
        <w:jc w:val="both"/>
        <w:rPr>
          <w:rFonts w:hint="eastAsia"/>
          <w:color w:val="231F20"/>
          <w:sz w:val="30"/>
        </w:rPr>
      </w:pPr>
      <w:r>
        <w:rPr>
          <w:rFonts w:hint="eastAsia"/>
          <w:color w:val="231F20"/>
          <w:sz w:val="30"/>
        </w:rPr>
        <w:t>我们在之前对永恒之约的讨论中找到了答案：它如此重要，是因为它与上帝永恒的旨意和计划是如此不可分割。</w:t>
      </w:r>
    </w:p>
    <w:p w14:paraId="54B461BA">
      <w:pPr>
        <w:spacing w:before="8" w:line="249" w:lineRule="auto"/>
        <w:ind w:left="99" w:right="98" w:firstLine="450"/>
        <w:jc w:val="both"/>
        <w:rPr>
          <w:rFonts w:hint="eastAsia"/>
          <w:color w:val="231F20"/>
          <w:sz w:val="30"/>
        </w:rPr>
      </w:pPr>
    </w:p>
    <w:p w14:paraId="606B308A">
      <w:pPr>
        <w:spacing w:before="8" w:line="249" w:lineRule="auto"/>
        <w:ind w:left="99" w:right="98" w:firstLine="450"/>
        <w:jc w:val="both"/>
        <w:rPr>
          <w:rFonts w:hint="eastAsia"/>
          <w:color w:val="231F20"/>
          <w:sz w:val="30"/>
        </w:rPr>
      </w:pPr>
      <w:r>
        <w:rPr>
          <w:rFonts w:hint="eastAsia"/>
          <w:color w:val="231F20"/>
          <w:sz w:val="30"/>
        </w:rPr>
        <w:t>Think, for example, of God’s eternal purpose to honor his Son.</w:t>
      </w:r>
    </w:p>
    <w:p w14:paraId="74C1A160">
      <w:pPr>
        <w:spacing w:before="8" w:line="249" w:lineRule="auto"/>
        <w:ind w:left="99" w:right="98" w:firstLine="450"/>
        <w:jc w:val="both"/>
        <w:rPr>
          <w:rFonts w:hint="eastAsia"/>
          <w:color w:val="231F20"/>
          <w:sz w:val="30"/>
        </w:rPr>
      </w:pPr>
      <w:r>
        <w:rPr>
          <w:rFonts w:hint="eastAsia"/>
          <w:color w:val="231F20"/>
          <w:sz w:val="30"/>
        </w:rPr>
        <w:t>例如，想想上帝荣耀祂儿子的永恒旨意。</w:t>
      </w:r>
    </w:p>
    <w:p w14:paraId="1C048176">
      <w:pPr>
        <w:spacing w:before="8" w:line="249" w:lineRule="auto"/>
        <w:ind w:left="99" w:right="98" w:firstLine="450"/>
        <w:jc w:val="both"/>
        <w:rPr>
          <w:rFonts w:hint="eastAsia"/>
          <w:color w:val="231F20"/>
          <w:sz w:val="30"/>
        </w:rPr>
      </w:pPr>
    </w:p>
    <w:p w14:paraId="5EFA750C">
      <w:pPr>
        <w:spacing w:before="8" w:line="249" w:lineRule="auto"/>
        <w:ind w:left="99" w:right="98" w:firstLine="450"/>
        <w:jc w:val="both"/>
        <w:rPr>
          <w:rFonts w:hint="eastAsia"/>
          <w:color w:val="231F20"/>
          <w:sz w:val="30"/>
        </w:rPr>
      </w:pPr>
      <w:r>
        <w:rPr>
          <w:rFonts w:hint="eastAsia"/>
          <w:color w:val="231F20"/>
          <w:sz w:val="30"/>
        </w:rPr>
        <w:t>How better to accomplish this than to make him the Redeemer of a whole new world, raise him from dead, take him up into heaven, seat him at his own right hand, and then place the whole universe under his authority and control, thereby making him the High King of heaven and earth?</w:t>
      </w:r>
    </w:p>
    <w:p w14:paraId="3B3A6957">
      <w:pPr>
        <w:spacing w:before="8" w:line="249" w:lineRule="auto"/>
        <w:ind w:left="99" w:right="98" w:firstLine="450"/>
        <w:jc w:val="both"/>
        <w:rPr>
          <w:rFonts w:hint="eastAsia"/>
          <w:color w:val="231F20"/>
          <w:sz w:val="30"/>
        </w:rPr>
      </w:pPr>
      <w:r>
        <w:rPr>
          <w:rFonts w:hint="eastAsia"/>
          <w:color w:val="231F20"/>
          <w:sz w:val="30"/>
        </w:rPr>
        <w:t>有什么比使祂成为一个全新世界的救赎主，使祂从死里复活，将祂接到天上，让祂坐在自己右边，然后将整个宇宙置于祂的权柄和掌管之下，从而使祂成为天地至高的君王，更能成就这件事呢？</w:t>
      </w:r>
    </w:p>
    <w:p w14:paraId="12689F1F">
      <w:pPr>
        <w:spacing w:before="8" w:line="249" w:lineRule="auto"/>
        <w:ind w:left="99" w:right="98" w:firstLine="450"/>
        <w:jc w:val="both"/>
        <w:rPr>
          <w:rFonts w:hint="eastAsia"/>
          <w:color w:val="231F20"/>
          <w:sz w:val="30"/>
        </w:rPr>
      </w:pPr>
    </w:p>
    <w:p w14:paraId="404A7720">
      <w:pPr>
        <w:spacing w:before="8" w:line="249" w:lineRule="auto"/>
        <w:ind w:left="99" w:right="98" w:firstLine="450"/>
        <w:jc w:val="both"/>
        <w:rPr>
          <w:rFonts w:hint="eastAsia"/>
          <w:color w:val="231F20"/>
          <w:sz w:val="30"/>
        </w:rPr>
      </w:pPr>
      <w:r>
        <w:rPr>
          <w:rFonts w:hint="eastAsia"/>
          <w:color w:val="231F20"/>
          <w:sz w:val="30"/>
        </w:rPr>
        <w:t>Or again, think of God’s eternal plan: the heading up of all things in Christ, by which he means to achieve his eternal purpose.</w:t>
      </w:r>
    </w:p>
    <w:p w14:paraId="5FA3C851">
      <w:pPr>
        <w:spacing w:before="8" w:line="249" w:lineRule="auto"/>
        <w:ind w:left="99" w:right="98" w:firstLine="450"/>
        <w:jc w:val="both"/>
        <w:rPr>
          <w:rFonts w:hint="eastAsia"/>
          <w:color w:val="231F20"/>
          <w:sz w:val="30"/>
        </w:rPr>
      </w:pPr>
      <w:r>
        <w:rPr>
          <w:rFonts w:hint="eastAsia"/>
          <w:color w:val="231F20"/>
          <w:sz w:val="30"/>
        </w:rPr>
        <w:t>或者，再想想上帝的永恒计划：万有在基督里同归于一，祂意在藉此实现祂的永恒旨意。</w:t>
      </w:r>
    </w:p>
    <w:p w14:paraId="2D53474D">
      <w:pPr>
        <w:spacing w:before="8" w:line="249" w:lineRule="auto"/>
        <w:ind w:left="99" w:right="98" w:firstLine="450"/>
        <w:jc w:val="both"/>
        <w:rPr>
          <w:rFonts w:hint="eastAsia"/>
          <w:color w:val="231F20"/>
          <w:sz w:val="30"/>
        </w:rPr>
      </w:pPr>
    </w:p>
    <w:p w14:paraId="523EC1B2">
      <w:pPr>
        <w:spacing w:before="8" w:line="249" w:lineRule="auto"/>
        <w:ind w:left="99" w:right="98" w:firstLine="450"/>
        <w:jc w:val="both"/>
        <w:rPr>
          <w:rFonts w:hint="eastAsia"/>
          <w:color w:val="231F20"/>
          <w:sz w:val="30"/>
        </w:rPr>
      </w:pPr>
      <w:r>
        <w:rPr>
          <w:rFonts w:hint="eastAsia"/>
          <w:color w:val="231F20"/>
          <w:sz w:val="30"/>
        </w:rPr>
        <w:t>How better to accomplish this than by placing the Holy Spirit under Christ’s authority, so that Christ himself, by the Spirit, and through the preaching of the Church, might apply the redemption that he accomplished during the days of his humiliation; might gather God's chosen people under his wing, under his spiritual headship; and might lovingly prepare them for the Day of his return, when at last he will place all things in subjection to himself, thereby creating a new humanity, new heavens, and a new earth—all for the pleasure and glory of God the Father (Eph. 1:10, Phil. 2:11)!</w:t>
      </w:r>
    </w:p>
    <w:p w14:paraId="66AFF0F7">
      <w:pPr>
        <w:spacing w:before="8" w:line="249" w:lineRule="auto"/>
        <w:ind w:left="99" w:right="98" w:firstLine="450"/>
        <w:jc w:val="both"/>
        <w:rPr>
          <w:rFonts w:hint="eastAsia"/>
          <w:color w:val="231F20"/>
          <w:sz w:val="30"/>
        </w:rPr>
      </w:pPr>
      <w:r>
        <w:rPr>
          <w:rFonts w:hint="eastAsia"/>
          <w:color w:val="231F20"/>
          <w:sz w:val="30"/>
        </w:rPr>
        <w:t>有什么比将圣灵置于基督的权柄之下，以便基督自己，藉着圣灵，并通过教会的传讲，可以施行祂在降卑的日子里所成就的救赎；可以将上帝的选民聚集在祂的翅膀下，在祂的属灵元首地位之下；并可以慈爱地为他们预备祂再来的日子，那时祂终将使万物都服在祂脚下，从而创造一个新的人类、新天和新地——所有这一切都是为了父上帝的喜悦和荣耀（弗 1:10, 腓 2:11），更能成就这件事呢！</w:t>
      </w:r>
    </w:p>
    <w:p w14:paraId="3C76B418">
      <w:pPr>
        <w:spacing w:before="8" w:line="249" w:lineRule="auto"/>
        <w:ind w:left="99" w:right="98" w:firstLine="450"/>
        <w:jc w:val="both"/>
        <w:rPr>
          <w:rFonts w:hint="eastAsia"/>
          <w:color w:val="231F20"/>
          <w:sz w:val="30"/>
        </w:rPr>
      </w:pPr>
    </w:p>
    <w:p w14:paraId="0AFF2FE8">
      <w:pPr>
        <w:spacing w:before="8" w:line="249" w:lineRule="auto"/>
        <w:ind w:left="99" w:right="98" w:firstLine="450"/>
        <w:jc w:val="both"/>
        <w:rPr>
          <w:rFonts w:hint="eastAsia"/>
          <w:color w:val="231F20"/>
          <w:sz w:val="30"/>
        </w:rPr>
      </w:pPr>
      <w:r>
        <w:rPr>
          <w:rFonts w:hint="eastAsia"/>
          <w:color w:val="231F20"/>
          <w:sz w:val="30"/>
        </w:rPr>
        <w:t>Yes, the doctrine of Christ’s heavenly mediatorial reign is important, so important that it must rank as one of the two or three main keys to all biblical theology.</w:t>
      </w:r>
    </w:p>
    <w:p w14:paraId="1B467942">
      <w:pPr>
        <w:spacing w:before="8" w:line="249" w:lineRule="auto"/>
        <w:ind w:left="99" w:right="98" w:firstLine="450"/>
        <w:jc w:val="both"/>
        <w:rPr>
          <w:rFonts w:hint="eastAsia"/>
          <w:color w:val="231F20"/>
          <w:sz w:val="30"/>
        </w:rPr>
      </w:pPr>
      <w:r>
        <w:rPr>
          <w:rFonts w:hint="eastAsia"/>
          <w:color w:val="231F20"/>
          <w:sz w:val="30"/>
        </w:rPr>
        <w:t>是的，基督属天中保统治的教义是重要的，如此重要以至于它必须被列为所有圣经神学的两三个主要钥匙之一。</w:t>
      </w:r>
    </w:p>
    <w:p w14:paraId="3F5AD7D7">
      <w:pPr>
        <w:spacing w:before="8" w:line="249" w:lineRule="auto"/>
        <w:ind w:left="99" w:right="98" w:firstLine="450"/>
        <w:jc w:val="both"/>
        <w:rPr>
          <w:rFonts w:hint="eastAsia"/>
          <w:color w:val="231F20"/>
          <w:sz w:val="30"/>
        </w:rPr>
      </w:pPr>
    </w:p>
    <w:p w14:paraId="79DB65AD">
      <w:pPr>
        <w:spacing w:before="8" w:line="249" w:lineRule="auto"/>
        <w:ind w:left="99" w:right="98" w:firstLine="450"/>
        <w:jc w:val="both"/>
        <w:rPr>
          <w:rFonts w:hint="eastAsia"/>
          <w:color w:val="231F20"/>
          <w:sz w:val="30"/>
        </w:rPr>
      </w:pPr>
      <w:r>
        <w:rPr>
          <w:rFonts w:hint="eastAsia"/>
          <w:color w:val="231F20"/>
          <w:sz w:val="30"/>
        </w:rPr>
        <w:t>To neglect it is eschatological suicide.</w:t>
      </w:r>
    </w:p>
    <w:p w14:paraId="5E8264B7">
      <w:pPr>
        <w:spacing w:before="8" w:line="249" w:lineRule="auto"/>
        <w:ind w:left="99" w:right="98" w:firstLine="450"/>
        <w:jc w:val="both"/>
        <w:rPr>
          <w:rFonts w:hint="eastAsia"/>
          <w:color w:val="231F20"/>
          <w:sz w:val="30"/>
        </w:rPr>
      </w:pPr>
      <w:r>
        <w:rPr>
          <w:rFonts w:hint="eastAsia"/>
          <w:color w:val="231F20"/>
          <w:sz w:val="30"/>
        </w:rPr>
        <w:t>忽略它就是末世论上的自杀。</w:t>
      </w:r>
    </w:p>
    <w:p w14:paraId="70A73CBC">
      <w:pPr>
        <w:spacing w:before="8" w:line="249" w:lineRule="auto"/>
        <w:ind w:left="99" w:right="98" w:firstLine="450"/>
        <w:jc w:val="both"/>
        <w:rPr>
          <w:rFonts w:hint="eastAsia"/>
          <w:color w:val="231F20"/>
          <w:sz w:val="30"/>
        </w:rPr>
      </w:pPr>
    </w:p>
    <w:p w14:paraId="34A10D2F">
      <w:pPr>
        <w:spacing w:before="8" w:line="249" w:lineRule="auto"/>
        <w:ind w:left="99" w:right="98" w:firstLine="450"/>
        <w:jc w:val="both"/>
        <w:rPr>
          <w:rFonts w:hint="eastAsia"/>
          <w:color w:val="231F20"/>
          <w:sz w:val="30"/>
        </w:rPr>
      </w:pPr>
      <w:r>
        <w:rPr>
          <w:rFonts w:hint="eastAsia"/>
          <w:color w:val="231F20"/>
          <w:sz w:val="30"/>
        </w:rPr>
        <w:t>To understand it at its depths is to resolve once and for all the Great End Time Debate.</w:t>
      </w:r>
    </w:p>
    <w:p w14:paraId="24BDEA21">
      <w:pPr>
        <w:spacing w:before="8" w:line="249" w:lineRule="auto"/>
        <w:ind w:left="99" w:right="98" w:firstLine="450"/>
        <w:jc w:val="both"/>
        <w:rPr>
          <w:rFonts w:hint="eastAsia"/>
          <w:color w:val="231F20"/>
          <w:sz w:val="30"/>
        </w:rPr>
      </w:pPr>
      <w:r>
        <w:rPr>
          <w:rFonts w:hint="eastAsia"/>
          <w:color w:val="231F20"/>
          <w:sz w:val="30"/>
        </w:rPr>
        <w:t>深入理解它，就能一劳永逸地解决伟大的末世辩论。</w:t>
      </w:r>
    </w:p>
    <w:p w14:paraId="1EB22E81">
      <w:pPr>
        <w:spacing w:before="8" w:line="249" w:lineRule="auto"/>
        <w:ind w:left="99" w:right="98" w:firstLine="450"/>
        <w:jc w:val="both"/>
        <w:rPr>
          <w:rFonts w:hint="eastAsia"/>
          <w:color w:val="231F20"/>
          <w:sz w:val="30"/>
        </w:rPr>
      </w:pPr>
    </w:p>
    <w:p w14:paraId="3B35F77E">
      <w:pPr>
        <w:spacing w:before="8" w:line="249" w:lineRule="auto"/>
        <w:ind w:left="99" w:right="98" w:firstLine="450"/>
        <w:jc w:val="both"/>
        <w:rPr>
          <w:rFonts w:hint="eastAsia"/>
          <w:color w:val="231F20"/>
          <w:sz w:val="30"/>
        </w:rPr>
      </w:pPr>
      <w:r>
        <w:rPr>
          <w:rFonts w:hint="eastAsia"/>
          <w:color w:val="231F20"/>
          <w:sz w:val="30"/>
        </w:rPr>
        <w:t>3.During the days of the Messiah’s heavenly reign, the world will be a field of battle upon which two opposing kings, and two opposing kingdoms, vie for the souls of men.</w:t>
      </w:r>
    </w:p>
    <w:p w14:paraId="0B053A83">
      <w:pPr>
        <w:spacing w:before="8" w:line="249" w:lineRule="auto"/>
        <w:ind w:left="99" w:right="98" w:firstLine="450"/>
        <w:jc w:val="both"/>
        <w:rPr>
          <w:rFonts w:hint="eastAsia"/>
          <w:color w:val="231F20"/>
          <w:sz w:val="30"/>
        </w:rPr>
      </w:pPr>
      <w:r>
        <w:rPr>
          <w:rFonts w:hint="eastAsia"/>
          <w:color w:val="231F20"/>
          <w:sz w:val="30"/>
        </w:rPr>
        <w:t>3.在弥赛亚属天统治的日子里，世界将是一个战场，其上两个对立的君王和两个对立的国度，为争夺人的灵魂而竞争。</w:t>
      </w:r>
    </w:p>
    <w:p w14:paraId="6C964B26">
      <w:pPr>
        <w:spacing w:before="8" w:line="249" w:lineRule="auto"/>
        <w:ind w:left="99" w:right="98" w:firstLine="450"/>
        <w:jc w:val="both"/>
        <w:rPr>
          <w:rFonts w:hint="eastAsia"/>
          <w:color w:val="231F20"/>
          <w:sz w:val="30"/>
        </w:rPr>
      </w:pPr>
    </w:p>
    <w:p w14:paraId="7BD978D7">
      <w:pPr>
        <w:spacing w:before="8" w:line="249" w:lineRule="auto"/>
        <w:ind w:left="99" w:right="98" w:firstLine="450"/>
        <w:jc w:val="both"/>
        <w:rPr>
          <w:rFonts w:hint="eastAsia"/>
          <w:color w:val="231F20"/>
          <w:sz w:val="30"/>
        </w:rPr>
      </w:pPr>
      <w:r>
        <w:rPr>
          <w:rFonts w:hint="eastAsia"/>
          <w:color w:val="231F20"/>
          <w:sz w:val="30"/>
        </w:rPr>
        <w:t>In explaining this parable, Jesus spoke of two opposing kingdoms dwelling side by side in the world.</w:t>
      </w:r>
    </w:p>
    <w:p w14:paraId="3435AF37">
      <w:pPr>
        <w:spacing w:before="8" w:line="249" w:lineRule="auto"/>
        <w:ind w:left="99" w:right="98" w:firstLine="450"/>
        <w:jc w:val="both"/>
        <w:rPr>
          <w:rFonts w:hint="eastAsia"/>
          <w:color w:val="231F20"/>
          <w:sz w:val="30"/>
        </w:rPr>
      </w:pPr>
      <w:r>
        <w:rPr>
          <w:rFonts w:hint="eastAsia"/>
          <w:color w:val="231F20"/>
          <w:sz w:val="30"/>
        </w:rPr>
        <w:t>在解释这个比喻时，耶稣谈到了两个对立的国度在世上并存。</w:t>
      </w:r>
    </w:p>
    <w:p w14:paraId="240C8BFF">
      <w:pPr>
        <w:spacing w:before="8" w:line="249" w:lineRule="auto"/>
        <w:ind w:left="99" w:right="98" w:firstLine="450"/>
        <w:jc w:val="both"/>
        <w:rPr>
          <w:rFonts w:hint="eastAsia"/>
          <w:color w:val="231F20"/>
          <w:sz w:val="30"/>
        </w:rPr>
      </w:pPr>
    </w:p>
    <w:p w14:paraId="081DA5CB">
      <w:pPr>
        <w:spacing w:before="8" w:line="249" w:lineRule="auto"/>
        <w:ind w:left="99" w:right="98" w:firstLine="450"/>
        <w:jc w:val="both"/>
        <w:rPr>
          <w:rFonts w:hint="eastAsia"/>
          <w:color w:val="231F20"/>
          <w:sz w:val="30"/>
        </w:rPr>
      </w:pPr>
      <w:r>
        <w:rPr>
          <w:rFonts w:hint="eastAsia"/>
          <w:color w:val="231F20"/>
          <w:sz w:val="30"/>
        </w:rPr>
        <w:t>Such imagery would not have been too surprising for the disciples.</w:t>
      </w:r>
    </w:p>
    <w:p w14:paraId="4C6B51DF">
      <w:pPr>
        <w:spacing w:before="8" w:line="249" w:lineRule="auto"/>
        <w:ind w:left="99" w:right="98" w:firstLine="450"/>
        <w:jc w:val="both"/>
        <w:rPr>
          <w:rFonts w:hint="eastAsia"/>
          <w:color w:val="231F20"/>
          <w:sz w:val="30"/>
        </w:rPr>
      </w:pPr>
      <w:r>
        <w:rPr>
          <w:rFonts w:hint="eastAsia"/>
          <w:color w:val="231F20"/>
          <w:sz w:val="30"/>
        </w:rPr>
        <w:t>这样的意象对门徒来说不会太令人惊讶。</w:t>
      </w:r>
    </w:p>
    <w:p w14:paraId="59F292D2">
      <w:pPr>
        <w:spacing w:before="8" w:line="249" w:lineRule="auto"/>
        <w:ind w:left="99" w:right="98" w:firstLine="450"/>
        <w:jc w:val="both"/>
        <w:rPr>
          <w:rFonts w:hint="eastAsia"/>
          <w:color w:val="231F20"/>
          <w:sz w:val="30"/>
        </w:rPr>
      </w:pPr>
    </w:p>
    <w:p w14:paraId="60C17917">
      <w:pPr>
        <w:spacing w:before="8" w:line="249" w:lineRule="auto"/>
        <w:ind w:left="99" w:right="98" w:firstLine="450"/>
        <w:jc w:val="both"/>
        <w:rPr>
          <w:rFonts w:hint="eastAsia"/>
          <w:color w:val="231F20"/>
          <w:sz w:val="30"/>
        </w:rPr>
      </w:pPr>
      <w:r>
        <w:rPr>
          <w:rFonts w:hint="eastAsia"/>
          <w:color w:val="231F20"/>
          <w:sz w:val="30"/>
        </w:rPr>
        <w:t>After all, had not Abraham, Isaac, Jacob, Israel and all her kings dwelt in the Promised Land, surrounded by hostile enemies for centuries on end?</w:t>
      </w:r>
    </w:p>
    <w:p w14:paraId="5B8735BB">
      <w:pPr>
        <w:spacing w:before="8" w:line="249" w:lineRule="auto"/>
        <w:ind w:left="99" w:right="98" w:firstLine="450"/>
        <w:jc w:val="both"/>
        <w:rPr>
          <w:rFonts w:hint="eastAsia"/>
          <w:color w:val="231F20"/>
          <w:sz w:val="30"/>
        </w:rPr>
      </w:pPr>
      <w:r>
        <w:rPr>
          <w:rFonts w:hint="eastAsia"/>
          <w:color w:val="231F20"/>
          <w:sz w:val="30"/>
        </w:rPr>
        <w:t>毕竟，亚伯拉罕、以撒、雅各、以色列和她所有的君王，不都曾在应许之地居住，被敌对的仇敌包围了几个世纪吗？</w:t>
      </w:r>
    </w:p>
    <w:p w14:paraId="0ECC5B0B">
      <w:pPr>
        <w:spacing w:before="8" w:line="249" w:lineRule="auto"/>
        <w:ind w:left="99" w:right="98" w:firstLine="450"/>
        <w:jc w:val="both"/>
        <w:rPr>
          <w:rFonts w:hint="eastAsia"/>
          <w:color w:val="231F20"/>
          <w:sz w:val="30"/>
        </w:rPr>
      </w:pPr>
    </w:p>
    <w:p w14:paraId="40C1FE7F">
      <w:pPr>
        <w:spacing w:before="8" w:line="249" w:lineRule="auto"/>
        <w:ind w:left="99" w:right="98" w:firstLine="450"/>
        <w:jc w:val="both"/>
        <w:rPr>
          <w:rFonts w:hint="eastAsia"/>
          <w:color w:val="231F20"/>
          <w:sz w:val="30"/>
        </w:rPr>
      </w:pPr>
      <w:r>
        <w:rPr>
          <w:rFonts w:hint="eastAsia"/>
          <w:color w:val="231F20"/>
          <w:sz w:val="30"/>
        </w:rPr>
        <w:t>And even now, was not Israel occupied and oppressed by Roman governors and garrisons, whom most Jews viewed as willing (if unsuspecting) instruments of “the wicked one”?</w:t>
      </w:r>
    </w:p>
    <w:p w14:paraId="63DF8120">
      <w:pPr>
        <w:spacing w:before="8" w:line="249" w:lineRule="auto"/>
        <w:ind w:left="99" w:right="98" w:firstLine="450"/>
        <w:jc w:val="both"/>
        <w:rPr>
          <w:rFonts w:hint="eastAsia"/>
          <w:color w:val="231F20"/>
          <w:sz w:val="30"/>
        </w:rPr>
      </w:pPr>
      <w:r>
        <w:rPr>
          <w:rFonts w:hint="eastAsia"/>
          <w:color w:val="231F20"/>
          <w:sz w:val="30"/>
        </w:rPr>
        <w:t>即使是现在，以色列不也正被罗马总督和驻军占领和压迫吗？大多数犹太人视他们为“那恶者”甘愿（即使是不知情）的工具。</w:t>
      </w:r>
    </w:p>
    <w:p w14:paraId="264E0A8D">
      <w:pPr>
        <w:spacing w:before="8" w:line="249" w:lineRule="auto"/>
        <w:ind w:left="99" w:right="98" w:firstLine="450"/>
        <w:jc w:val="both"/>
        <w:rPr>
          <w:rFonts w:hint="eastAsia"/>
          <w:color w:val="231F20"/>
          <w:sz w:val="30"/>
        </w:rPr>
      </w:pPr>
    </w:p>
    <w:p w14:paraId="6C371065">
      <w:pPr>
        <w:spacing w:before="8" w:line="249" w:lineRule="auto"/>
        <w:ind w:left="99" w:right="98" w:firstLine="450"/>
        <w:jc w:val="both"/>
        <w:rPr>
          <w:rFonts w:hint="eastAsia"/>
          <w:color w:val="231F20"/>
          <w:sz w:val="30"/>
        </w:rPr>
      </w:pPr>
      <w:r>
        <w:rPr>
          <w:rFonts w:hint="eastAsia"/>
          <w:color w:val="231F20"/>
          <w:sz w:val="30"/>
        </w:rPr>
        <w:t>Surely then there was no great mystery here!</w:t>
      </w:r>
    </w:p>
    <w:p w14:paraId="6338F124">
      <w:pPr>
        <w:spacing w:before="8" w:line="249" w:lineRule="auto"/>
        <w:ind w:left="99" w:right="98" w:firstLine="450"/>
        <w:jc w:val="both"/>
        <w:rPr>
          <w:rFonts w:hint="eastAsia"/>
          <w:color w:val="231F20"/>
          <w:sz w:val="30"/>
        </w:rPr>
      </w:pPr>
      <w:r>
        <w:rPr>
          <w:rFonts w:hint="eastAsia"/>
          <w:color w:val="231F20"/>
          <w:sz w:val="30"/>
        </w:rPr>
        <w:t>那么，这里肯定没有多大的奥秘！</w:t>
      </w:r>
    </w:p>
    <w:p w14:paraId="0301BE02">
      <w:pPr>
        <w:spacing w:before="8" w:line="249" w:lineRule="auto"/>
        <w:ind w:left="99" w:right="98" w:firstLine="450"/>
        <w:jc w:val="both"/>
        <w:rPr>
          <w:rFonts w:hint="eastAsia"/>
          <w:color w:val="231F20"/>
          <w:sz w:val="30"/>
        </w:rPr>
      </w:pPr>
    </w:p>
    <w:p w14:paraId="6543F636">
      <w:pPr>
        <w:spacing w:before="8" w:line="249" w:lineRule="auto"/>
        <w:ind w:left="99" w:right="98" w:firstLine="450"/>
        <w:jc w:val="both"/>
        <w:rPr>
          <w:rFonts w:hint="eastAsia"/>
          <w:color w:val="231F20"/>
          <w:sz w:val="30"/>
        </w:rPr>
      </w:pPr>
      <w:r>
        <w:rPr>
          <w:rFonts w:hint="eastAsia"/>
          <w:color w:val="231F20"/>
          <w:sz w:val="30"/>
        </w:rPr>
        <w:t>But indeed there was.</w:t>
      </w:r>
    </w:p>
    <w:p w14:paraId="0454BE45">
      <w:pPr>
        <w:spacing w:before="8" w:line="249" w:lineRule="auto"/>
        <w:ind w:left="99" w:right="98" w:firstLine="450"/>
        <w:jc w:val="both"/>
        <w:rPr>
          <w:rFonts w:hint="eastAsia"/>
          <w:color w:val="231F20"/>
          <w:sz w:val="30"/>
        </w:rPr>
      </w:pPr>
      <w:r>
        <w:rPr>
          <w:rFonts w:hint="eastAsia"/>
          <w:color w:val="231F20"/>
          <w:sz w:val="30"/>
        </w:rPr>
        <w:t>但确实有。</w:t>
      </w:r>
    </w:p>
    <w:p w14:paraId="3FDF5B7E">
      <w:pPr>
        <w:spacing w:before="8" w:line="249" w:lineRule="auto"/>
        <w:ind w:left="99" w:right="98" w:firstLine="450"/>
        <w:jc w:val="both"/>
        <w:rPr>
          <w:rFonts w:hint="eastAsia"/>
          <w:color w:val="231F20"/>
          <w:sz w:val="30"/>
        </w:rPr>
      </w:pPr>
    </w:p>
    <w:p w14:paraId="01F0FC9A">
      <w:pPr>
        <w:spacing w:before="8" w:line="249" w:lineRule="auto"/>
        <w:ind w:left="99" w:right="98" w:firstLine="450"/>
        <w:jc w:val="both"/>
        <w:rPr>
          <w:rFonts w:hint="eastAsia"/>
          <w:color w:val="231F20"/>
          <w:sz w:val="30"/>
        </w:rPr>
      </w:pPr>
      <w:r>
        <w:rPr>
          <w:rFonts w:hint="eastAsia"/>
          <w:color w:val="231F20"/>
          <w:sz w:val="30"/>
        </w:rPr>
        <w:t>For in speaking as he did, Jesus had something far different in mind; something beyond his disciples’ wildest imagination; something profound, ultimate, and spiritual; something of which Israel’s physical warfare in the flesh was but a type and a shadow.</w:t>
      </w:r>
    </w:p>
    <w:p w14:paraId="60B59883">
      <w:pPr>
        <w:spacing w:before="8" w:line="249" w:lineRule="auto"/>
        <w:ind w:left="99" w:right="98" w:firstLine="450"/>
        <w:jc w:val="both"/>
        <w:rPr>
          <w:rFonts w:hint="eastAsia"/>
          <w:color w:val="231F20"/>
          <w:sz w:val="30"/>
        </w:rPr>
      </w:pPr>
      <w:r>
        <w:rPr>
          <w:rFonts w:hint="eastAsia"/>
          <w:color w:val="231F20"/>
          <w:sz w:val="30"/>
        </w:rPr>
        <w:t>因为当祂这样说的时候，耶稣心中所想的截然不同；是祂门徒们最狂野的想象也无法企及的；是深刻的、终极的、属灵的；是以色列肉身的属肉体争战不过是其预表和影像的东西。</w:t>
      </w:r>
    </w:p>
    <w:p w14:paraId="7E360CA1">
      <w:pPr>
        <w:spacing w:before="8" w:line="249" w:lineRule="auto"/>
        <w:ind w:left="99" w:right="98" w:firstLine="450"/>
        <w:jc w:val="both"/>
        <w:rPr>
          <w:rFonts w:hint="eastAsia"/>
          <w:color w:val="231F20"/>
          <w:sz w:val="30"/>
        </w:rPr>
      </w:pPr>
    </w:p>
    <w:p w14:paraId="05DAA27D">
      <w:pPr>
        <w:spacing w:before="8" w:line="249" w:lineRule="auto"/>
        <w:ind w:left="99" w:right="98" w:firstLine="450"/>
        <w:jc w:val="both"/>
        <w:rPr>
          <w:rFonts w:hint="eastAsia"/>
          <w:color w:val="231F20"/>
          <w:sz w:val="30"/>
        </w:rPr>
      </w:pPr>
      <w:r>
        <w:rPr>
          <w:rFonts w:hint="eastAsia"/>
          <w:color w:val="231F20"/>
          <w:sz w:val="30"/>
        </w:rPr>
        <w:t>What he had in mind—and what he here unveils in seed form—was nothing less than a whole new cosmological paradigm; a whole new way for God’s (NT) people to look at their experience in the earth; and a whole new way of thinking about the earthly consequences of his heavenly reign.</w:t>
      </w:r>
    </w:p>
    <w:p w14:paraId="48031723">
      <w:pPr>
        <w:spacing w:before="8" w:line="249" w:lineRule="auto"/>
        <w:ind w:left="99" w:right="98" w:firstLine="450"/>
        <w:jc w:val="both"/>
        <w:rPr>
          <w:rFonts w:hint="eastAsia"/>
          <w:color w:val="231F20"/>
          <w:sz w:val="30"/>
        </w:rPr>
      </w:pPr>
      <w:r>
        <w:rPr>
          <w:rFonts w:hint="eastAsia"/>
          <w:color w:val="231F20"/>
          <w:sz w:val="30"/>
        </w:rPr>
        <w:t>祂心中所想的——以及祂在此处以种子形式揭示的——无非是一个全新的宇宙范式；一个全新的方式，让上帝（新约）的子民看待他们在世上的经历；以及一个全新的思维方式，来思考祂属天统治的属世后果。</w:t>
      </w:r>
    </w:p>
    <w:p w14:paraId="54630D4B">
      <w:pPr>
        <w:spacing w:before="8" w:line="249" w:lineRule="auto"/>
        <w:ind w:left="99" w:right="98" w:firstLine="450"/>
        <w:jc w:val="both"/>
        <w:rPr>
          <w:rFonts w:hint="eastAsia"/>
          <w:color w:val="231F20"/>
          <w:sz w:val="30"/>
        </w:rPr>
      </w:pPr>
    </w:p>
    <w:p w14:paraId="26F2FB3D">
      <w:pPr>
        <w:spacing w:before="8" w:line="249" w:lineRule="auto"/>
        <w:ind w:left="99" w:right="98" w:firstLine="450"/>
        <w:jc w:val="both"/>
        <w:rPr>
          <w:rFonts w:hint="eastAsia"/>
          <w:color w:val="231F20"/>
          <w:sz w:val="30"/>
        </w:rPr>
      </w:pPr>
      <w:r>
        <w:rPr>
          <w:rFonts w:hint="eastAsia"/>
          <w:color w:val="231F20"/>
          <w:sz w:val="30"/>
        </w:rPr>
        <w:t>This new paradigm is the third mystery of the Kingdom, just cited above: From Pentecost until the Parousia, the world will be a field of battle upon which two opposing kings (Christ and Satan), and two opposing kingdoms (the realm of the world and the realm of the Church) do fierce battle for souls of men.</w:t>
      </w:r>
    </w:p>
    <w:p w14:paraId="270D623D">
      <w:pPr>
        <w:spacing w:before="8" w:line="249" w:lineRule="auto"/>
        <w:ind w:left="99" w:right="98" w:firstLine="450"/>
        <w:jc w:val="both"/>
        <w:rPr>
          <w:rFonts w:hint="eastAsia"/>
          <w:color w:val="231F20"/>
          <w:sz w:val="30"/>
        </w:rPr>
      </w:pPr>
      <w:r>
        <w:rPr>
          <w:rFonts w:hint="eastAsia"/>
          <w:color w:val="231F20"/>
          <w:sz w:val="30"/>
        </w:rPr>
        <w:t>这个新范式就是国度的第三个奥秘，正如上面所引述的：从五旬节到基督再来，世界将是一个战场，其上两个对立的君王（基督和撒但），以及两个对立的国度（世界的领域和教会的领域），为人的灵魂进行激烈的战斗。</w:t>
      </w:r>
    </w:p>
    <w:p w14:paraId="1A7D3717">
      <w:pPr>
        <w:spacing w:before="8" w:line="249" w:lineRule="auto"/>
        <w:ind w:left="99" w:right="98" w:firstLine="450"/>
        <w:jc w:val="both"/>
        <w:rPr>
          <w:rFonts w:hint="eastAsia"/>
          <w:color w:val="231F20"/>
          <w:sz w:val="30"/>
        </w:rPr>
      </w:pPr>
    </w:p>
    <w:p w14:paraId="2F90162F">
      <w:pPr>
        <w:spacing w:before="8" w:line="249" w:lineRule="auto"/>
        <w:ind w:left="99" w:right="98" w:firstLine="450"/>
        <w:jc w:val="both"/>
        <w:rPr>
          <w:rFonts w:hint="eastAsia"/>
          <w:color w:val="231F20"/>
          <w:sz w:val="30"/>
        </w:rPr>
      </w:pPr>
      <w:r>
        <w:rPr>
          <w:rFonts w:hint="eastAsia"/>
          <w:color w:val="231F20"/>
          <w:sz w:val="30"/>
        </w:rPr>
        <w:t>In chapter 6 we discussed these central NT truths at some length.</w:t>
      </w:r>
    </w:p>
    <w:p w14:paraId="61336424">
      <w:pPr>
        <w:spacing w:before="8" w:line="249" w:lineRule="auto"/>
        <w:ind w:left="99" w:right="98" w:firstLine="450"/>
        <w:jc w:val="both"/>
        <w:rPr>
          <w:rFonts w:hint="eastAsia"/>
          <w:color w:val="231F20"/>
          <w:sz w:val="30"/>
        </w:rPr>
      </w:pPr>
      <w:r>
        <w:rPr>
          <w:rFonts w:hint="eastAsia"/>
          <w:color w:val="231F20"/>
          <w:sz w:val="30"/>
        </w:rPr>
        <w:t>在第6章中，我们相当详细地讨论了这些核心的新约真理。</w:t>
      </w:r>
    </w:p>
    <w:p w14:paraId="2B2FC01C">
      <w:pPr>
        <w:spacing w:before="8" w:line="249" w:lineRule="auto"/>
        <w:ind w:left="99" w:right="98" w:firstLine="450"/>
        <w:jc w:val="both"/>
        <w:rPr>
          <w:rFonts w:hint="eastAsia"/>
          <w:color w:val="231F20"/>
          <w:sz w:val="30"/>
        </w:rPr>
      </w:pPr>
    </w:p>
    <w:p w14:paraId="4ED535B0">
      <w:pPr>
        <w:spacing w:before="8" w:line="249" w:lineRule="auto"/>
        <w:ind w:left="99" w:right="98" w:firstLine="450"/>
        <w:jc w:val="both"/>
        <w:rPr>
          <w:rFonts w:hint="eastAsia"/>
          <w:color w:val="231F20"/>
          <w:sz w:val="30"/>
        </w:rPr>
      </w:pPr>
      <w:r>
        <w:rPr>
          <w:rFonts w:hint="eastAsia"/>
          <w:color w:val="231F20"/>
          <w:sz w:val="30"/>
        </w:rPr>
        <w:t>In seed form, they all appear in this parable.</w:t>
      </w:r>
    </w:p>
    <w:p w14:paraId="6B4051C6">
      <w:pPr>
        <w:spacing w:before="8" w:line="249" w:lineRule="auto"/>
        <w:ind w:left="99" w:right="98" w:firstLine="450"/>
        <w:jc w:val="both"/>
        <w:rPr>
          <w:rFonts w:hint="eastAsia"/>
          <w:color w:val="231F20"/>
          <w:sz w:val="30"/>
        </w:rPr>
      </w:pPr>
      <w:r>
        <w:rPr>
          <w:rFonts w:hint="eastAsia"/>
          <w:color w:val="231F20"/>
          <w:sz w:val="30"/>
        </w:rPr>
        <w:t>以种子的形式，它们都出现在这个比喻中。</w:t>
      </w:r>
    </w:p>
    <w:p w14:paraId="4397C820">
      <w:pPr>
        <w:spacing w:before="8" w:line="249" w:lineRule="auto"/>
        <w:ind w:left="99" w:right="98" w:firstLine="450"/>
        <w:jc w:val="both"/>
        <w:rPr>
          <w:rFonts w:hint="eastAsia"/>
          <w:color w:val="231F20"/>
          <w:sz w:val="30"/>
        </w:rPr>
      </w:pPr>
    </w:p>
    <w:p w14:paraId="0605B5B8">
      <w:pPr>
        <w:spacing w:before="8" w:line="249" w:lineRule="auto"/>
        <w:ind w:left="99" w:right="98" w:firstLine="450"/>
        <w:jc w:val="both"/>
        <w:rPr>
          <w:rFonts w:hint="eastAsia"/>
          <w:color w:val="231F20"/>
          <w:sz w:val="30"/>
        </w:rPr>
      </w:pPr>
      <w:r>
        <w:rPr>
          <w:rFonts w:hint="eastAsia"/>
          <w:color w:val="231F20"/>
          <w:sz w:val="30"/>
        </w:rPr>
        <w:t>Here, Jesus is saying that the exalted Son of Man will soon pour out the Holy Spirit, send his Church into the world to preach the Gospel, and begin to bring his elect to faith, thereby planting them in the field of the world as a growing crop of wheat (vv. 25, 37-38).</w:t>
      </w:r>
    </w:p>
    <w:p w14:paraId="72F0A7D3">
      <w:pPr>
        <w:spacing w:before="8" w:line="249" w:lineRule="auto"/>
        <w:ind w:left="99" w:right="98" w:firstLine="450"/>
        <w:jc w:val="both"/>
        <w:rPr>
          <w:rFonts w:hint="eastAsia"/>
          <w:color w:val="231F20"/>
          <w:sz w:val="30"/>
        </w:rPr>
      </w:pPr>
      <w:r>
        <w:rPr>
          <w:rFonts w:hint="eastAsia"/>
          <w:color w:val="231F20"/>
          <w:sz w:val="30"/>
        </w:rPr>
        <w:t>在此，耶稣是说，被高举的人子将很快浇灌圣灵，差遣祂的教会进入世界传福音，并开始带领祂的选民归信，从而将他们作为不断生长的麦子庄稼，种植在世界的田地里（25, 37-38节）。</w:t>
      </w:r>
    </w:p>
    <w:p w14:paraId="61356663">
      <w:pPr>
        <w:spacing w:before="8" w:line="249" w:lineRule="auto"/>
        <w:ind w:left="99" w:right="98" w:firstLine="450"/>
        <w:jc w:val="both"/>
        <w:rPr>
          <w:rFonts w:hint="eastAsia"/>
          <w:color w:val="231F20"/>
          <w:sz w:val="30"/>
        </w:rPr>
      </w:pPr>
    </w:p>
    <w:p w14:paraId="2A53F187">
      <w:pPr>
        <w:spacing w:before="8" w:line="249" w:lineRule="auto"/>
        <w:ind w:left="99" w:right="98" w:firstLine="450"/>
        <w:jc w:val="both"/>
        <w:rPr>
          <w:rFonts w:hint="eastAsia"/>
          <w:color w:val="231F20"/>
          <w:sz w:val="30"/>
        </w:rPr>
      </w:pPr>
      <w:r>
        <w:rPr>
          <w:rFonts w:hint="eastAsia"/>
          <w:color w:val="231F20"/>
          <w:sz w:val="30"/>
        </w:rPr>
        <w:t>Meanwhile, the wicked one—the devil and Satan—will continually use false religions, philosophies, and ideologies to gain a following of his own, thereby planting them in the field of the world as a crop of tares (vv. 39-39).</w:t>
      </w:r>
    </w:p>
    <w:p w14:paraId="7EBCDEAF">
      <w:pPr>
        <w:spacing w:before="8" w:line="249" w:lineRule="auto"/>
        <w:ind w:left="99" w:right="98" w:firstLine="450"/>
        <w:jc w:val="both"/>
        <w:rPr>
          <w:rFonts w:hint="eastAsia"/>
          <w:color w:val="231F20"/>
          <w:sz w:val="30"/>
        </w:rPr>
      </w:pPr>
      <w:r>
        <w:rPr>
          <w:rFonts w:hint="eastAsia"/>
          <w:color w:val="231F20"/>
          <w:sz w:val="30"/>
        </w:rPr>
        <w:t>与此同时，那恶者——魔鬼和撒但——将不断利用虚假的宗教、哲学和意识形态来获得自己的追随者，从而将他们作为稗子的庄稼种植在世界的田地里（39节）。</w:t>
      </w:r>
    </w:p>
    <w:p w14:paraId="443DC171">
      <w:pPr>
        <w:spacing w:before="8" w:line="249" w:lineRule="auto"/>
        <w:ind w:left="99" w:right="98" w:firstLine="450"/>
        <w:jc w:val="both"/>
        <w:rPr>
          <w:rFonts w:hint="eastAsia"/>
          <w:color w:val="231F20"/>
          <w:sz w:val="30"/>
        </w:rPr>
      </w:pPr>
    </w:p>
    <w:p w14:paraId="0BCC60A7">
      <w:pPr>
        <w:spacing w:before="8" w:line="249" w:lineRule="auto"/>
        <w:ind w:left="99" w:right="98" w:firstLine="450"/>
        <w:jc w:val="both"/>
        <w:rPr>
          <w:rFonts w:hint="eastAsia"/>
          <w:color w:val="231F20"/>
          <w:sz w:val="30"/>
        </w:rPr>
      </w:pPr>
      <w:r>
        <w:rPr>
          <w:rFonts w:hint="eastAsia"/>
          <w:color w:val="231F20"/>
          <w:sz w:val="30"/>
        </w:rPr>
        <w:t>Though barely distinguishable physically, these two seeds have completely different and antithetical natures.</w:t>
      </w:r>
    </w:p>
    <w:p w14:paraId="2ED2910E">
      <w:pPr>
        <w:spacing w:before="8" w:line="249" w:lineRule="auto"/>
        <w:ind w:left="99" w:right="98" w:firstLine="450"/>
        <w:jc w:val="both"/>
        <w:rPr>
          <w:rFonts w:hint="eastAsia"/>
          <w:color w:val="231F20"/>
          <w:sz w:val="30"/>
        </w:rPr>
      </w:pPr>
      <w:r>
        <w:rPr>
          <w:rFonts w:hint="eastAsia"/>
          <w:color w:val="231F20"/>
          <w:sz w:val="30"/>
        </w:rPr>
        <w:t>尽管在肉体上几乎无法区分，但这两种种子具有完全不同且对立的性质。</w:t>
      </w:r>
    </w:p>
    <w:p w14:paraId="7DB29C68">
      <w:pPr>
        <w:spacing w:before="8" w:line="249" w:lineRule="auto"/>
        <w:ind w:left="99" w:right="98" w:firstLine="450"/>
        <w:jc w:val="both"/>
        <w:rPr>
          <w:rFonts w:hint="eastAsia"/>
          <w:color w:val="231F20"/>
          <w:sz w:val="30"/>
        </w:rPr>
      </w:pPr>
    </w:p>
    <w:p w14:paraId="7D8480CD">
      <w:pPr>
        <w:spacing w:before="8" w:line="249" w:lineRule="auto"/>
        <w:ind w:left="99" w:right="98" w:firstLine="450"/>
        <w:jc w:val="both"/>
        <w:rPr>
          <w:rFonts w:hint="eastAsia"/>
          <w:color w:val="231F20"/>
          <w:sz w:val="30"/>
        </w:rPr>
      </w:pPr>
      <w:r>
        <w:rPr>
          <w:rFonts w:hint="eastAsia"/>
          <w:color w:val="231F20"/>
          <w:sz w:val="30"/>
        </w:rPr>
        <w:t>Yet Christ forbears to judge the tares; indeed, for a season, he very much desires the two realms to interact.</w:t>
      </w:r>
    </w:p>
    <w:p w14:paraId="08122A59">
      <w:pPr>
        <w:spacing w:before="8" w:line="249" w:lineRule="auto"/>
        <w:ind w:left="99" w:right="98" w:firstLine="450"/>
        <w:jc w:val="both"/>
        <w:rPr>
          <w:rFonts w:hint="eastAsia"/>
          <w:color w:val="231F20"/>
          <w:sz w:val="30"/>
        </w:rPr>
      </w:pPr>
      <w:r>
        <w:rPr>
          <w:rFonts w:hint="eastAsia"/>
          <w:color w:val="231F20"/>
          <w:sz w:val="30"/>
        </w:rPr>
        <w:t>然而基督忍耐着不审判稗子；事实上，在一个时期内，祂非常希望这两个领域互动。</w:t>
      </w:r>
    </w:p>
    <w:p w14:paraId="7C8ABA84">
      <w:pPr>
        <w:spacing w:before="8" w:line="249" w:lineRule="auto"/>
        <w:ind w:left="99" w:right="98" w:firstLine="450"/>
        <w:jc w:val="both"/>
        <w:rPr>
          <w:rFonts w:hint="eastAsia"/>
          <w:color w:val="231F20"/>
          <w:sz w:val="30"/>
        </w:rPr>
      </w:pPr>
    </w:p>
    <w:p w14:paraId="7A8F7FE1">
      <w:pPr>
        <w:spacing w:before="8" w:line="249" w:lineRule="auto"/>
        <w:ind w:left="99" w:right="98" w:firstLine="450"/>
        <w:jc w:val="both"/>
        <w:rPr>
          <w:rFonts w:hint="eastAsia"/>
          <w:color w:val="231F20"/>
          <w:sz w:val="30"/>
        </w:rPr>
      </w:pPr>
      <w:r>
        <w:rPr>
          <w:rFonts w:hint="eastAsia"/>
          <w:color w:val="231F20"/>
          <w:sz w:val="30"/>
        </w:rPr>
        <w:t>In particular, he desires the growing crop of wheat to keep on carrying the Gospel to the tares, so that he himself—from heaven and by his Spirit—may put the tares to the test; may enter the Strong Man’s field and plunder his goods (Mt. 12:29); may give the tares a new wheat nature (Mt. 7:15-20, 2 Cor. 5:17); and may transfer them from the Domain of Darkness into his own Kingdom of light and love (Col. 1:13).</w:t>
      </w:r>
    </w:p>
    <w:p w14:paraId="5FDEC751">
      <w:pPr>
        <w:spacing w:before="8" w:line="249" w:lineRule="auto"/>
        <w:ind w:left="99" w:right="98" w:firstLine="450"/>
        <w:jc w:val="both"/>
        <w:rPr>
          <w:rFonts w:hint="eastAsia"/>
          <w:color w:val="231F20"/>
          <w:sz w:val="30"/>
        </w:rPr>
      </w:pPr>
      <w:r>
        <w:rPr>
          <w:rFonts w:hint="eastAsia"/>
          <w:color w:val="231F20"/>
          <w:sz w:val="30"/>
        </w:rPr>
        <w:t>特别是，祂希望不断生长的麦子庄稼继续将福音带给稗子，以便祂自己——从天上并藉着祂的灵——可以试验稗子；可以进入壮士的田地并抢夺他的家具（太 12:29）；可以赐给稗子一个新的麦子本性（太 7:15-20, 林后 5:17）；并将他们从黑暗的权势迁入祂自己光明和爱的国度（西 1:13）。</w:t>
      </w:r>
    </w:p>
    <w:p w14:paraId="2B387864">
      <w:pPr>
        <w:spacing w:before="8" w:line="249" w:lineRule="auto"/>
        <w:ind w:left="99" w:right="98" w:firstLine="450"/>
        <w:jc w:val="both"/>
        <w:rPr>
          <w:rFonts w:hint="eastAsia"/>
          <w:color w:val="231F20"/>
          <w:sz w:val="30"/>
        </w:rPr>
      </w:pPr>
    </w:p>
    <w:p w14:paraId="41D6C330">
      <w:pPr>
        <w:spacing w:before="8" w:line="249" w:lineRule="auto"/>
        <w:ind w:left="99" w:right="98" w:firstLine="450"/>
        <w:jc w:val="both"/>
        <w:rPr>
          <w:rFonts w:hint="eastAsia"/>
          <w:color w:val="231F20"/>
          <w:sz w:val="30"/>
        </w:rPr>
      </w:pPr>
      <w:r>
        <w:rPr>
          <w:rFonts w:hint="eastAsia"/>
          <w:color w:val="231F20"/>
          <w:sz w:val="30"/>
        </w:rPr>
        <w:t>In other words, in order to have the largest possible crop, the High King of Heaven has ordained a lengthy Era of Proclamation and Probation, during which the two crops (realms) will coexist, grow, and interact.</w:t>
      </w:r>
    </w:p>
    <w:p w14:paraId="6F22E9A5">
      <w:pPr>
        <w:spacing w:before="8" w:line="249" w:lineRule="auto"/>
        <w:ind w:left="99" w:right="98" w:firstLine="450"/>
        <w:jc w:val="both"/>
        <w:rPr>
          <w:rFonts w:hint="eastAsia"/>
          <w:color w:val="231F20"/>
          <w:sz w:val="30"/>
        </w:rPr>
      </w:pPr>
      <w:r>
        <w:rPr>
          <w:rFonts w:hint="eastAsia"/>
          <w:color w:val="231F20"/>
          <w:sz w:val="30"/>
        </w:rPr>
        <w:t>换句话说，为了获得尽可能大的收成，天上的至高君王已经命定了一个漫长的宣讲与察验的时代，在此期间，两种庄稼（领域）将共存、生长和互动。</w:t>
      </w:r>
    </w:p>
    <w:p w14:paraId="676F08FD">
      <w:pPr>
        <w:spacing w:before="8" w:line="249" w:lineRule="auto"/>
        <w:ind w:left="99" w:right="98" w:firstLine="450"/>
        <w:jc w:val="both"/>
        <w:rPr>
          <w:rFonts w:hint="eastAsia"/>
          <w:color w:val="231F20"/>
          <w:sz w:val="30"/>
        </w:rPr>
      </w:pPr>
    </w:p>
    <w:p w14:paraId="3F53233B">
      <w:pPr>
        <w:spacing w:before="8" w:line="249" w:lineRule="auto"/>
        <w:ind w:left="99" w:right="98" w:firstLine="450"/>
        <w:jc w:val="both"/>
        <w:rPr>
          <w:rFonts w:hint="eastAsia"/>
          <w:color w:val="231F20"/>
          <w:sz w:val="30"/>
        </w:rPr>
      </w:pPr>
      <w:r>
        <w:rPr>
          <w:rFonts w:hint="eastAsia"/>
          <w:color w:val="231F20"/>
          <w:sz w:val="30"/>
        </w:rPr>
        <w:t>However, at the end of the age there will indeed be a harvest: Christ will return to separate the wheat from the tares, and to transform the whole world into the glorious Kingdom of God.</w:t>
      </w:r>
    </w:p>
    <w:p w14:paraId="037E43FA">
      <w:pPr>
        <w:spacing w:before="8" w:line="249" w:lineRule="auto"/>
        <w:ind w:left="99" w:right="98" w:firstLine="450"/>
        <w:jc w:val="both"/>
        <w:rPr>
          <w:rFonts w:hint="eastAsia"/>
          <w:color w:val="231F20"/>
          <w:sz w:val="30"/>
        </w:rPr>
      </w:pPr>
      <w:r>
        <w:rPr>
          <w:rFonts w:hint="eastAsia"/>
          <w:color w:val="231F20"/>
          <w:sz w:val="30"/>
        </w:rPr>
        <w:t>然而，在世代的末了，确实会有一场收割：基督将再来，将麦子和稗子分开，并将整个世界转变为荣耀的上帝之国。</w:t>
      </w:r>
    </w:p>
    <w:p w14:paraId="1705A134">
      <w:pPr>
        <w:spacing w:before="8" w:line="249" w:lineRule="auto"/>
        <w:ind w:left="99" w:right="98" w:firstLine="450"/>
        <w:jc w:val="both"/>
        <w:rPr>
          <w:rFonts w:hint="eastAsia"/>
          <w:color w:val="231F20"/>
          <w:sz w:val="30"/>
        </w:rPr>
      </w:pPr>
    </w:p>
    <w:p w14:paraId="376022CC">
      <w:pPr>
        <w:spacing w:before="8" w:line="249" w:lineRule="auto"/>
        <w:ind w:left="99" w:right="98" w:firstLine="450"/>
        <w:jc w:val="both"/>
        <w:rPr>
          <w:rFonts w:hint="eastAsia"/>
          <w:color w:val="231F20"/>
          <w:sz w:val="30"/>
        </w:rPr>
      </w:pPr>
      <w:r>
        <w:rPr>
          <w:rFonts w:hint="eastAsia"/>
          <w:color w:val="231F20"/>
          <w:sz w:val="30"/>
        </w:rPr>
        <w:t>Then an Era of eternal Reward and Retribution will begin, wherein the righteous will shine forth like the sun in the Kingdom of the Father (vv. 40- 43).</w:t>
      </w:r>
    </w:p>
    <w:p w14:paraId="1D4C412E">
      <w:pPr>
        <w:spacing w:before="8" w:line="249" w:lineRule="auto"/>
        <w:ind w:left="99" w:right="98" w:firstLine="450"/>
        <w:jc w:val="both"/>
        <w:rPr>
          <w:rFonts w:hint="eastAsia"/>
          <w:color w:val="231F20"/>
          <w:sz w:val="30"/>
        </w:rPr>
      </w:pPr>
      <w:r>
        <w:rPr>
          <w:rFonts w:hint="eastAsia"/>
          <w:color w:val="231F20"/>
          <w:sz w:val="30"/>
        </w:rPr>
        <w:t>然后，一个永恒赏赐与报应的时代将开始，其中义人将在父的国里发出光来，像太阳一样（40-43节）。</w:t>
      </w:r>
    </w:p>
    <w:p w14:paraId="51219180">
      <w:pPr>
        <w:spacing w:before="8" w:line="249" w:lineRule="auto"/>
        <w:ind w:left="99" w:right="98" w:firstLine="450"/>
        <w:jc w:val="both"/>
        <w:rPr>
          <w:rFonts w:hint="eastAsia"/>
          <w:color w:val="231F20"/>
          <w:sz w:val="30"/>
        </w:rPr>
      </w:pPr>
    </w:p>
    <w:p w14:paraId="7BB3C463">
      <w:pPr>
        <w:spacing w:before="8" w:line="249" w:lineRule="auto"/>
        <w:ind w:left="99" w:right="98" w:firstLine="450"/>
        <w:jc w:val="both"/>
        <w:rPr>
          <w:rFonts w:hint="eastAsia"/>
          <w:color w:val="231F20"/>
          <w:sz w:val="30"/>
        </w:rPr>
      </w:pPr>
      <w:r>
        <w:rPr>
          <w:rFonts w:hint="eastAsia"/>
          <w:color w:val="231F20"/>
          <w:sz w:val="30"/>
        </w:rPr>
        <w:t>4.The</w:t>
      </w:r>
      <w:r>
        <w:rPr>
          <w:rFonts w:hint="eastAsia"/>
          <w:color w:val="231F20"/>
          <w:sz w:val="30"/>
        </w:rPr>
        <w:tab/>
      </w:r>
      <w:r>
        <w:rPr>
          <w:rFonts w:hint="eastAsia"/>
          <w:color w:val="231F20"/>
          <w:sz w:val="30"/>
        </w:rPr>
        <w:t>two</w:t>
      </w:r>
      <w:r>
        <w:rPr>
          <w:rFonts w:hint="eastAsia"/>
          <w:color w:val="231F20"/>
          <w:sz w:val="30"/>
        </w:rPr>
        <w:tab/>
      </w:r>
      <w:r>
        <w:rPr>
          <w:rFonts w:hint="eastAsia"/>
          <w:color w:val="231F20"/>
          <w:sz w:val="30"/>
        </w:rPr>
        <w:t>stages</w:t>
      </w:r>
      <w:r>
        <w:rPr>
          <w:rFonts w:hint="eastAsia"/>
          <w:color w:val="231F20"/>
          <w:sz w:val="30"/>
        </w:rPr>
        <w:tab/>
      </w:r>
      <w:r>
        <w:rPr>
          <w:rFonts w:hint="eastAsia"/>
          <w:color w:val="231F20"/>
          <w:sz w:val="30"/>
        </w:rPr>
        <w:t>of</w:t>
      </w:r>
      <w:r>
        <w:rPr>
          <w:rFonts w:hint="eastAsia"/>
          <w:color w:val="231F20"/>
          <w:sz w:val="30"/>
        </w:rPr>
        <w:tab/>
      </w:r>
      <w:r>
        <w:rPr>
          <w:rFonts w:hint="eastAsia"/>
          <w:color w:val="231F20"/>
          <w:sz w:val="30"/>
        </w:rPr>
        <w:t>the</w:t>
      </w:r>
      <w:r>
        <w:rPr>
          <w:rFonts w:hint="eastAsia"/>
          <w:color w:val="231F20"/>
          <w:sz w:val="30"/>
        </w:rPr>
        <w:tab/>
      </w:r>
      <w:r>
        <w:rPr>
          <w:rFonts w:hint="eastAsia"/>
          <w:color w:val="231F20"/>
          <w:sz w:val="30"/>
        </w:rPr>
        <w:t>Kingdom</w:t>
      </w:r>
      <w:r>
        <w:rPr>
          <w:rFonts w:hint="eastAsia"/>
          <w:color w:val="231F20"/>
          <w:sz w:val="30"/>
        </w:rPr>
        <w:tab/>
      </w:r>
      <w:r>
        <w:rPr>
          <w:rFonts w:hint="eastAsia"/>
          <w:color w:val="231F20"/>
          <w:sz w:val="30"/>
        </w:rPr>
        <w:t>are</w:t>
      </w:r>
      <w:r>
        <w:rPr>
          <w:rFonts w:hint="eastAsia"/>
          <w:color w:val="231F20"/>
          <w:sz w:val="30"/>
        </w:rPr>
        <w:tab/>
      </w:r>
      <w:r>
        <w:rPr>
          <w:rFonts w:hint="eastAsia"/>
          <w:color w:val="231F20"/>
          <w:sz w:val="30"/>
        </w:rPr>
        <w:t>separated</w:t>
      </w:r>
      <w:r>
        <w:rPr>
          <w:rFonts w:hint="eastAsia"/>
          <w:color w:val="231F20"/>
          <w:sz w:val="30"/>
        </w:rPr>
        <w:tab/>
      </w:r>
      <w:r>
        <w:rPr>
          <w:rFonts w:hint="eastAsia"/>
          <w:color w:val="231F20"/>
          <w:sz w:val="30"/>
        </w:rPr>
        <w:t>by</w:t>
      </w:r>
      <w:r>
        <w:rPr>
          <w:rFonts w:hint="eastAsia"/>
          <w:color w:val="231F20"/>
          <w:sz w:val="30"/>
        </w:rPr>
        <w:tab/>
      </w:r>
      <w:r>
        <w:rPr>
          <w:rFonts w:hint="eastAsia"/>
          <w:color w:val="231F20"/>
          <w:sz w:val="30"/>
        </w:rPr>
        <w:t>a</w:t>
      </w:r>
      <w:r>
        <w:rPr>
          <w:rFonts w:hint="eastAsia"/>
          <w:color w:val="231F20"/>
          <w:sz w:val="30"/>
        </w:rPr>
        <w:tab/>
      </w:r>
      <w:r>
        <w:rPr>
          <w:rFonts w:hint="eastAsia"/>
          <w:color w:val="231F20"/>
          <w:sz w:val="30"/>
        </w:rPr>
        <w:t>single Consummation at the Parousia of Christ.</w:t>
      </w:r>
    </w:p>
    <w:p w14:paraId="42E31C47">
      <w:pPr>
        <w:spacing w:before="8" w:line="249" w:lineRule="auto"/>
        <w:ind w:left="99" w:right="98" w:firstLine="450"/>
        <w:jc w:val="both"/>
        <w:rPr>
          <w:rFonts w:hint="eastAsia"/>
          <w:color w:val="231F20"/>
          <w:sz w:val="30"/>
        </w:rPr>
      </w:pPr>
      <w:r>
        <w:rPr>
          <w:rFonts w:hint="eastAsia"/>
          <w:color w:val="231F20"/>
          <w:sz w:val="30"/>
        </w:rPr>
        <w:t>4.国度的两个阶段由基督再来时的一次性最终成全所分隔。</w:t>
      </w:r>
    </w:p>
    <w:p w14:paraId="2A9ADB00">
      <w:pPr>
        <w:spacing w:before="8" w:line="249" w:lineRule="auto"/>
        <w:ind w:left="99" w:right="98" w:firstLine="450"/>
        <w:jc w:val="both"/>
        <w:rPr>
          <w:rFonts w:hint="eastAsia"/>
          <w:color w:val="231F20"/>
          <w:sz w:val="30"/>
        </w:rPr>
      </w:pPr>
    </w:p>
    <w:p w14:paraId="4BDF6DE6">
      <w:pPr>
        <w:spacing w:before="8" w:line="249" w:lineRule="auto"/>
        <w:ind w:left="99" w:right="98" w:firstLine="450"/>
        <w:jc w:val="both"/>
        <w:rPr>
          <w:rFonts w:hint="eastAsia"/>
          <w:color w:val="231F20"/>
          <w:sz w:val="30"/>
        </w:rPr>
      </w:pPr>
      <w:r>
        <w:rPr>
          <w:rFonts w:hint="eastAsia"/>
          <w:color w:val="231F20"/>
          <w:sz w:val="30"/>
        </w:rPr>
        <w:t>With all Israel, the disciples followed the OT prophets in looking for the Day  of  the  LORD;  the  Day  when  Yahweh,  Israel’s  God,  would supernaturally break into history, judge the nations, and usher in the Age to Come (Isaiah 2, 13, Joel 2, Zeph. 1, Mal. 4).</w:t>
      </w:r>
    </w:p>
    <w:p w14:paraId="74478C69">
      <w:pPr>
        <w:spacing w:before="8" w:line="249" w:lineRule="auto"/>
        <w:ind w:left="99" w:right="98" w:firstLine="450"/>
        <w:jc w:val="both"/>
        <w:rPr>
          <w:rFonts w:hint="eastAsia"/>
          <w:color w:val="231F20"/>
          <w:sz w:val="30"/>
        </w:rPr>
      </w:pPr>
      <w:r>
        <w:rPr>
          <w:rFonts w:hint="eastAsia"/>
          <w:color w:val="231F20"/>
          <w:sz w:val="30"/>
        </w:rPr>
        <w:t>与所有以色列人一样，门徒们跟随旧约先知们，期待着主的日子；那一天，雅威，以色列的上帝，将超自然地闯入历史，审判列国，并引入来世（以赛亚书 2, 13, 约珥书 2, 西番雅书 1, 玛拉基书 4）。</w:t>
      </w:r>
    </w:p>
    <w:p w14:paraId="00235502">
      <w:pPr>
        <w:spacing w:before="8" w:line="249" w:lineRule="auto"/>
        <w:ind w:left="99" w:right="98" w:firstLine="450"/>
        <w:jc w:val="both"/>
        <w:rPr>
          <w:rFonts w:hint="eastAsia"/>
          <w:color w:val="231F20"/>
          <w:sz w:val="30"/>
        </w:rPr>
      </w:pPr>
    </w:p>
    <w:p w14:paraId="35F96301">
      <w:pPr>
        <w:spacing w:before="8" w:line="249" w:lineRule="auto"/>
        <w:ind w:left="99" w:right="98" w:firstLine="450"/>
        <w:jc w:val="both"/>
        <w:rPr>
          <w:rFonts w:hint="eastAsia"/>
          <w:color w:val="231F20"/>
          <w:sz w:val="30"/>
        </w:rPr>
      </w:pPr>
      <w:r>
        <w:rPr>
          <w:rFonts w:hint="eastAsia"/>
          <w:color w:val="231F20"/>
          <w:sz w:val="30"/>
        </w:rPr>
        <w:t>In our parable, Jesus confirms this expectation, but also supplements it with at least three new mysteries; three fresh revelations about the true character of the Consummation and the Age to Come.</w:t>
      </w:r>
    </w:p>
    <w:p w14:paraId="4AB4D9F0">
      <w:pPr>
        <w:spacing w:before="8" w:line="249" w:lineRule="auto"/>
        <w:ind w:left="99" w:right="98" w:firstLine="450"/>
        <w:jc w:val="both"/>
        <w:rPr>
          <w:rFonts w:hint="eastAsia"/>
          <w:color w:val="231F20"/>
          <w:sz w:val="30"/>
        </w:rPr>
      </w:pPr>
      <w:r>
        <w:rPr>
          <w:rFonts w:hint="eastAsia"/>
          <w:color w:val="231F20"/>
          <w:sz w:val="30"/>
        </w:rPr>
        <w:t>在我们的比喻中，耶稣证实了这种期望，但同时也补充了至少三个新的奥秘；三个关于最终成全和来世真实特性的新启示。</w:t>
      </w:r>
    </w:p>
    <w:p w14:paraId="14B7DF74">
      <w:pPr>
        <w:spacing w:before="8" w:line="249" w:lineRule="auto"/>
        <w:ind w:left="99" w:right="98" w:firstLine="450"/>
        <w:jc w:val="both"/>
        <w:rPr>
          <w:rFonts w:hint="eastAsia"/>
          <w:color w:val="231F20"/>
          <w:sz w:val="30"/>
        </w:rPr>
      </w:pPr>
    </w:p>
    <w:p w14:paraId="156EB0BD">
      <w:pPr>
        <w:spacing w:before="8" w:line="249" w:lineRule="auto"/>
        <w:ind w:left="99" w:right="98" w:firstLine="450"/>
        <w:jc w:val="both"/>
        <w:rPr>
          <w:rFonts w:hint="eastAsia"/>
          <w:color w:val="231F20"/>
          <w:sz w:val="30"/>
        </w:rPr>
      </w:pPr>
      <w:r>
        <w:rPr>
          <w:rFonts w:hint="eastAsia"/>
          <w:color w:val="231F20"/>
          <w:sz w:val="30"/>
        </w:rPr>
        <w:t>First, we learn here that the Day of the LORD is actually the Day of the Son of Man; the Day of the Lord Jesus Christ (1 Cor. 5:5, 2 Cor. 1:14, Phil. 1:10, 16, 2 Peter 3:10).</w:t>
      </w:r>
    </w:p>
    <w:p w14:paraId="0DA16167">
      <w:pPr>
        <w:spacing w:before="8" w:line="249" w:lineRule="auto"/>
        <w:ind w:left="99" w:right="98" w:firstLine="450"/>
        <w:jc w:val="both"/>
        <w:rPr>
          <w:rFonts w:hint="eastAsia"/>
          <w:color w:val="231F20"/>
          <w:sz w:val="30"/>
        </w:rPr>
      </w:pPr>
      <w:r>
        <w:rPr>
          <w:rFonts w:hint="eastAsia"/>
          <w:color w:val="231F20"/>
          <w:sz w:val="30"/>
        </w:rPr>
        <w:t>首先，我们在此处了解到，主的日子实际上是人子的日子；是主耶稣基督的日子（林前 5:5, 林后 1:14, 腓 1:10, 16, 彼后 3:10）。</w:t>
      </w:r>
    </w:p>
    <w:p w14:paraId="5D5E1D4A">
      <w:pPr>
        <w:spacing w:before="8" w:line="249" w:lineRule="auto"/>
        <w:ind w:left="99" w:right="98" w:firstLine="450"/>
        <w:jc w:val="both"/>
        <w:rPr>
          <w:rFonts w:hint="eastAsia"/>
          <w:color w:val="231F20"/>
          <w:sz w:val="30"/>
        </w:rPr>
      </w:pPr>
    </w:p>
    <w:p w14:paraId="2ADD49F3">
      <w:pPr>
        <w:spacing w:before="8" w:line="249" w:lineRule="auto"/>
        <w:ind w:left="99" w:right="98" w:firstLine="450"/>
        <w:jc w:val="both"/>
        <w:rPr>
          <w:rFonts w:hint="eastAsia"/>
          <w:color w:val="231F20"/>
          <w:sz w:val="30"/>
        </w:rPr>
      </w:pPr>
      <w:r>
        <w:rPr>
          <w:rFonts w:hint="eastAsia"/>
          <w:color w:val="231F20"/>
          <w:sz w:val="30"/>
        </w:rPr>
        <w:t>In other words, Jesus here lays a foundation for one of the great “mysteries” of NT eschatology: namely, that it has pleased the Father to appoint his Messianic Son as the Agent of all the great eschatological acts and events that will bring Salvation History to its glorious, Christ-exalting close.</w:t>
      </w:r>
    </w:p>
    <w:p w14:paraId="0D0AE720">
      <w:pPr>
        <w:spacing w:before="8" w:line="249" w:lineRule="auto"/>
        <w:ind w:left="99" w:right="98" w:firstLine="450"/>
        <w:jc w:val="both"/>
        <w:rPr>
          <w:rFonts w:hint="eastAsia"/>
          <w:color w:val="231F20"/>
          <w:sz w:val="30"/>
        </w:rPr>
      </w:pPr>
      <w:r>
        <w:rPr>
          <w:rFonts w:hint="eastAsia"/>
          <w:color w:val="231F20"/>
          <w:sz w:val="30"/>
        </w:rPr>
        <w:t>换句话说，耶稣在此处为新约末世论的一个伟大“奥秘”奠定了基础：即，父乐意指定祂的弥赛亚儿子作为所有伟大的末世论作为和事件的执行者，这些作为和事件将使救赎历史达到其荣耀的、高举基督的终结。</w:t>
      </w:r>
    </w:p>
    <w:p w14:paraId="38EFEE61">
      <w:pPr>
        <w:spacing w:before="8" w:line="249" w:lineRule="auto"/>
        <w:ind w:left="99" w:right="98" w:firstLine="450"/>
        <w:jc w:val="both"/>
        <w:rPr>
          <w:rFonts w:hint="eastAsia"/>
          <w:color w:val="231F20"/>
          <w:sz w:val="30"/>
        </w:rPr>
      </w:pPr>
    </w:p>
    <w:p w14:paraId="436A7E19">
      <w:pPr>
        <w:spacing w:before="8" w:line="249" w:lineRule="auto"/>
        <w:ind w:left="99" w:right="98" w:firstLine="450"/>
        <w:jc w:val="both"/>
        <w:rPr>
          <w:rFonts w:hint="eastAsia"/>
          <w:color w:val="231F20"/>
          <w:sz w:val="30"/>
        </w:rPr>
      </w:pPr>
      <w:r>
        <w:rPr>
          <w:rFonts w:hint="eastAsia"/>
          <w:color w:val="231F20"/>
          <w:sz w:val="30"/>
        </w:rPr>
        <w:t>For example, here in vv. 41-42 we learn that Christ himself will execute final judgment upon all men and angels; and indeed that he himself will lift the curse from all nature, thereby casting out of his Kingdom all things that offend (Phil. 3:20-21).</w:t>
      </w:r>
    </w:p>
    <w:p w14:paraId="5BC9436E">
      <w:pPr>
        <w:spacing w:before="8" w:line="249" w:lineRule="auto"/>
        <w:ind w:left="99" w:right="98" w:firstLine="450"/>
        <w:jc w:val="both"/>
        <w:rPr>
          <w:rFonts w:hint="eastAsia"/>
          <w:color w:val="231F20"/>
          <w:sz w:val="30"/>
        </w:rPr>
      </w:pPr>
      <w:r>
        <w:rPr>
          <w:rFonts w:hint="eastAsia"/>
          <w:color w:val="231F20"/>
          <w:sz w:val="30"/>
        </w:rPr>
        <w:t>例如，在此处41-42节我们了解到，基督自己将对所有人和天使执行最后的审判；并且事实上，祂自己将从所有自然界中解除咒诅，从而从祂的国度中清除所有叫人跌倒的事物（腓 3:20-21）。</w:t>
      </w:r>
    </w:p>
    <w:p w14:paraId="26DAC459">
      <w:pPr>
        <w:spacing w:before="8" w:line="249" w:lineRule="auto"/>
        <w:ind w:left="99" w:right="98" w:firstLine="450"/>
        <w:jc w:val="both"/>
        <w:rPr>
          <w:rFonts w:hint="eastAsia"/>
          <w:color w:val="231F20"/>
          <w:sz w:val="30"/>
        </w:rPr>
      </w:pPr>
    </w:p>
    <w:p w14:paraId="00B6AEC3">
      <w:pPr>
        <w:spacing w:before="8" w:line="249" w:lineRule="auto"/>
        <w:ind w:left="99" w:right="98" w:firstLine="450"/>
        <w:jc w:val="both"/>
        <w:rPr>
          <w:rFonts w:hint="eastAsia"/>
          <w:color w:val="231F20"/>
          <w:sz w:val="30"/>
        </w:rPr>
      </w:pPr>
      <w:r>
        <w:rPr>
          <w:rFonts w:hint="eastAsia"/>
          <w:color w:val="231F20"/>
          <w:sz w:val="30"/>
        </w:rPr>
        <w:t>As we will see later, other NT texts flesh out this picture, portraying Christ as the divine-human Agent of the resurrection, the transformation of the living saints, and more.</w:t>
      </w:r>
    </w:p>
    <w:p w14:paraId="11FDBDF6">
      <w:pPr>
        <w:spacing w:before="8" w:line="249" w:lineRule="auto"/>
        <w:ind w:left="99" w:right="98" w:firstLine="450"/>
        <w:jc w:val="both"/>
        <w:rPr>
          <w:rFonts w:hint="eastAsia"/>
          <w:color w:val="231F20"/>
          <w:sz w:val="30"/>
        </w:rPr>
      </w:pPr>
      <w:r>
        <w:rPr>
          <w:rFonts w:hint="eastAsia"/>
          <w:color w:val="231F20"/>
          <w:sz w:val="30"/>
        </w:rPr>
        <w:t>我们稍后会看到，其他新约经文充实了这幅图画，将基督描绘成复活、活着圣徒的改变等等的神人执行者。</w:t>
      </w:r>
    </w:p>
    <w:p w14:paraId="6E2FFC32">
      <w:pPr>
        <w:spacing w:before="8" w:line="249" w:lineRule="auto"/>
        <w:ind w:left="99" w:right="98" w:firstLine="450"/>
        <w:jc w:val="both"/>
        <w:rPr>
          <w:rFonts w:hint="eastAsia"/>
          <w:color w:val="231F20"/>
          <w:sz w:val="30"/>
        </w:rPr>
      </w:pPr>
    </w:p>
    <w:p w14:paraId="2640B665">
      <w:pPr>
        <w:spacing w:before="8" w:line="249" w:lineRule="auto"/>
        <w:ind w:left="99" w:right="98" w:firstLine="450"/>
        <w:jc w:val="both"/>
        <w:rPr>
          <w:rFonts w:hint="eastAsia"/>
          <w:color w:val="231F20"/>
          <w:sz w:val="30"/>
        </w:rPr>
      </w:pPr>
      <w:r>
        <w:rPr>
          <w:rFonts w:hint="eastAsia"/>
          <w:color w:val="231F20"/>
          <w:sz w:val="30"/>
        </w:rPr>
        <w:t>Secondly, we see here that the Day of the LORD will occur at the Parousia of the High King of Heaven; at the close of his heavenly reign, when he descends from heaven in power and great glory to consummate Salvation History.</w:t>
      </w:r>
    </w:p>
    <w:p w14:paraId="100A4F4C">
      <w:pPr>
        <w:spacing w:before="8" w:line="249" w:lineRule="auto"/>
        <w:ind w:left="99" w:right="98" w:firstLine="450"/>
        <w:jc w:val="both"/>
        <w:rPr>
          <w:rFonts w:hint="eastAsia"/>
          <w:color w:val="231F20"/>
          <w:sz w:val="30"/>
        </w:rPr>
      </w:pPr>
      <w:r>
        <w:rPr>
          <w:rFonts w:hint="eastAsia"/>
          <w:color w:val="231F20"/>
          <w:sz w:val="30"/>
        </w:rPr>
        <w:t>其次，我们在此处看到，主的日子将在天上至高君王再来时发生；在祂属天统治结束时，当祂带着能力和极大的荣耀从天降临，以最终完成救赎历史时。</w:t>
      </w:r>
    </w:p>
    <w:p w14:paraId="599FA89F">
      <w:pPr>
        <w:spacing w:before="8" w:line="249" w:lineRule="auto"/>
        <w:ind w:left="99" w:right="98" w:firstLine="450"/>
        <w:jc w:val="both"/>
        <w:rPr>
          <w:rFonts w:hint="eastAsia"/>
          <w:color w:val="231F20"/>
          <w:sz w:val="30"/>
        </w:rPr>
      </w:pPr>
    </w:p>
    <w:p w14:paraId="5D230772">
      <w:pPr>
        <w:spacing w:before="8" w:line="249" w:lineRule="auto"/>
        <w:ind w:left="99" w:right="98" w:firstLine="450"/>
        <w:jc w:val="both"/>
        <w:rPr>
          <w:rFonts w:hint="eastAsia"/>
          <w:color w:val="231F20"/>
          <w:sz w:val="30"/>
        </w:rPr>
      </w:pPr>
      <w:r>
        <w:rPr>
          <w:rFonts w:hint="eastAsia"/>
          <w:color w:val="231F20"/>
          <w:sz w:val="30"/>
        </w:rPr>
        <w:t>Yes, in our present text there is only a hint of this mystery.</w:t>
      </w:r>
    </w:p>
    <w:p w14:paraId="1EB03B32">
      <w:pPr>
        <w:spacing w:before="8" w:line="249" w:lineRule="auto"/>
        <w:ind w:left="99" w:right="98" w:firstLine="450"/>
        <w:jc w:val="both"/>
        <w:rPr>
          <w:rFonts w:hint="eastAsia"/>
          <w:color w:val="231F20"/>
          <w:sz w:val="30"/>
        </w:rPr>
      </w:pPr>
      <w:r>
        <w:rPr>
          <w:rFonts w:hint="eastAsia"/>
          <w:color w:val="231F20"/>
          <w:sz w:val="30"/>
        </w:rPr>
        <w:t>是的，在我们当前的经文中，只有这个奥秘的一个暗示。</w:t>
      </w:r>
    </w:p>
    <w:p w14:paraId="698FF11D">
      <w:pPr>
        <w:spacing w:before="8" w:line="249" w:lineRule="auto"/>
        <w:ind w:left="99" w:right="98" w:firstLine="450"/>
        <w:jc w:val="both"/>
        <w:rPr>
          <w:rFonts w:hint="eastAsia"/>
          <w:color w:val="231F20"/>
          <w:sz w:val="30"/>
        </w:rPr>
      </w:pPr>
    </w:p>
    <w:p w14:paraId="38C8ACFB">
      <w:pPr>
        <w:spacing w:before="8" w:line="249" w:lineRule="auto"/>
        <w:ind w:left="99" w:right="98" w:firstLine="450"/>
        <w:jc w:val="both"/>
        <w:rPr>
          <w:rFonts w:hint="eastAsia"/>
          <w:color w:val="231F20"/>
          <w:sz w:val="30"/>
        </w:rPr>
      </w:pPr>
      <w:r>
        <w:rPr>
          <w:rFonts w:hint="eastAsia"/>
          <w:color w:val="231F20"/>
          <w:sz w:val="30"/>
        </w:rPr>
        <w:t>But as we have just seen, many other NT texts confirm this very scenario.</w:t>
      </w:r>
    </w:p>
    <w:p w14:paraId="3A1A5C98">
      <w:pPr>
        <w:spacing w:before="8" w:line="249" w:lineRule="auto"/>
        <w:ind w:left="99" w:right="98" w:firstLine="450"/>
        <w:jc w:val="both"/>
        <w:rPr>
          <w:rFonts w:hint="eastAsia"/>
          <w:color w:val="231F20"/>
          <w:sz w:val="30"/>
        </w:rPr>
      </w:pPr>
      <w:r>
        <w:rPr>
          <w:rFonts w:hint="eastAsia"/>
          <w:color w:val="231F20"/>
          <w:sz w:val="30"/>
        </w:rPr>
        <w:t>但正如我们刚才所见，许多其他新约经文证实了正是这个情景。</w:t>
      </w:r>
    </w:p>
    <w:p w14:paraId="7AD922C6">
      <w:pPr>
        <w:spacing w:before="8" w:line="249" w:lineRule="auto"/>
        <w:ind w:left="99" w:right="98" w:firstLine="450"/>
        <w:jc w:val="both"/>
        <w:rPr>
          <w:rFonts w:hint="eastAsia"/>
          <w:color w:val="231F20"/>
          <w:sz w:val="30"/>
        </w:rPr>
      </w:pPr>
    </w:p>
    <w:p w14:paraId="608EF191">
      <w:pPr>
        <w:spacing w:before="8" w:line="249" w:lineRule="auto"/>
        <w:ind w:left="99" w:right="98" w:firstLine="450"/>
        <w:jc w:val="both"/>
        <w:rPr>
          <w:rFonts w:hint="eastAsia"/>
          <w:color w:val="231F20"/>
          <w:sz w:val="30"/>
        </w:rPr>
      </w:pPr>
      <w:r>
        <w:rPr>
          <w:rFonts w:hint="eastAsia"/>
          <w:color w:val="231F20"/>
          <w:sz w:val="30"/>
        </w:rPr>
        <w:t>Finally, our text unveils a precious trinitarian truth, namely, that the Age to Come is, in fact, the Kingdom of the Father.</w:t>
      </w:r>
    </w:p>
    <w:p w14:paraId="762DEEBC">
      <w:pPr>
        <w:spacing w:before="8" w:line="249" w:lineRule="auto"/>
        <w:ind w:left="99" w:right="98" w:firstLine="450"/>
        <w:jc w:val="both"/>
        <w:rPr>
          <w:rFonts w:hint="eastAsia"/>
          <w:color w:val="231F20"/>
          <w:sz w:val="30"/>
        </w:rPr>
      </w:pPr>
      <w:r>
        <w:rPr>
          <w:rFonts w:hint="eastAsia"/>
          <w:color w:val="231F20"/>
          <w:sz w:val="30"/>
        </w:rPr>
        <w:t>最后，我们的经文揭示了一个宝贵的三一论真理，即，来世实际上是父的国度。</w:t>
      </w:r>
    </w:p>
    <w:p w14:paraId="05E8C3C0">
      <w:pPr>
        <w:spacing w:before="8" w:line="249" w:lineRule="auto"/>
        <w:ind w:left="99" w:right="98" w:firstLine="450"/>
        <w:jc w:val="both"/>
        <w:rPr>
          <w:rFonts w:hint="eastAsia"/>
          <w:color w:val="231F20"/>
          <w:sz w:val="30"/>
        </w:rPr>
      </w:pPr>
    </w:p>
    <w:p w14:paraId="172159F1">
      <w:pPr>
        <w:spacing w:before="8" w:line="249" w:lineRule="auto"/>
        <w:ind w:left="99" w:right="98" w:firstLine="450"/>
        <w:jc w:val="both"/>
        <w:rPr>
          <w:rFonts w:hint="eastAsia"/>
          <w:color w:val="231F20"/>
          <w:sz w:val="30"/>
        </w:rPr>
      </w:pPr>
      <w:r>
        <w:rPr>
          <w:rFonts w:hint="eastAsia"/>
          <w:color w:val="231F20"/>
          <w:sz w:val="30"/>
        </w:rPr>
        <w:t>Throughout the first stage of the Kingdom, the Father exalts and supremely honors the Son.</w:t>
      </w:r>
    </w:p>
    <w:p w14:paraId="0019E991">
      <w:pPr>
        <w:spacing w:before="8" w:line="249" w:lineRule="auto"/>
        <w:ind w:left="99" w:right="98" w:firstLine="450"/>
        <w:jc w:val="both"/>
        <w:rPr>
          <w:rFonts w:hint="eastAsia"/>
          <w:color w:val="231F20"/>
          <w:sz w:val="30"/>
        </w:rPr>
      </w:pPr>
      <w:r>
        <w:rPr>
          <w:rFonts w:hint="eastAsia"/>
          <w:color w:val="231F20"/>
          <w:sz w:val="30"/>
        </w:rPr>
        <w:t>在国度的第一阶段，父高举并至高地尊荣子。</w:t>
      </w:r>
    </w:p>
    <w:p w14:paraId="03C5075D">
      <w:pPr>
        <w:spacing w:before="8" w:line="249" w:lineRule="auto"/>
        <w:ind w:left="99" w:right="98" w:firstLine="450"/>
        <w:jc w:val="both"/>
        <w:rPr>
          <w:rFonts w:hint="eastAsia"/>
          <w:color w:val="231F20"/>
          <w:sz w:val="30"/>
        </w:rPr>
      </w:pPr>
    </w:p>
    <w:p w14:paraId="078573A0">
      <w:pPr>
        <w:spacing w:before="8" w:line="249" w:lineRule="auto"/>
        <w:ind w:left="99" w:right="98" w:firstLine="450"/>
        <w:jc w:val="both"/>
        <w:rPr>
          <w:rFonts w:hint="eastAsia"/>
          <w:color w:val="231F20"/>
          <w:sz w:val="30"/>
        </w:rPr>
      </w:pPr>
      <w:r>
        <w:rPr>
          <w:rFonts w:hint="eastAsia"/>
          <w:color w:val="231F20"/>
          <w:sz w:val="30"/>
        </w:rPr>
        <w:t>Then—in the second, final, and eternal stage of the Kingdom—it is the Son’s turn supremely to exalt the Father.</w:t>
      </w:r>
    </w:p>
    <w:p w14:paraId="72A3DDD9">
      <w:pPr>
        <w:spacing w:before="8" w:line="249" w:lineRule="auto"/>
        <w:ind w:left="99" w:right="98" w:firstLine="450"/>
        <w:jc w:val="both"/>
        <w:rPr>
          <w:rFonts w:hint="eastAsia"/>
          <w:color w:val="231F20"/>
          <w:sz w:val="30"/>
        </w:rPr>
      </w:pPr>
      <w:r>
        <w:rPr>
          <w:rFonts w:hint="eastAsia"/>
          <w:color w:val="231F20"/>
          <w:sz w:val="30"/>
        </w:rPr>
        <w:t>然后——在国度的第二、最终且永恒的阶段——轮到子至高地高举父。</w:t>
      </w:r>
    </w:p>
    <w:p w14:paraId="320C9A1D">
      <w:pPr>
        <w:spacing w:before="8" w:line="249" w:lineRule="auto"/>
        <w:ind w:left="99" w:right="98" w:firstLine="450"/>
        <w:jc w:val="both"/>
        <w:rPr>
          <w:rFonts w:hint="eastAsia"/>
          <w:color w:val="231F20"/>
          <w:sz w:val="30"/>
        </w:rPr>
      </w:pPr>
    </w:p>
    <w:p w14:paraId="2B5B6541">
      <w:pPr>
        <w:spacing w:before="8" w:line="249" w:lineRule="auto"/>
        <w:ind w:left="99" w:right="98" w:firstLine="450"/>
        <w:jc w:val="both"/>
        <w:rPr>
          <w:rFonts w:hint="eastAsia"/>
          <w:color w:val="231F20"/>
          <w:sz w:val="30"/>
        </w:rPr>
      </w:pPr>
      <w:r>
        <w:rPr>
          <w:rFonts w:hint="eastAsia"/>
          <w:color w:val="231F20"/>
          <w:sz w:val="30"/>
        </w:rPr>
        <w:t>Later we will go into this subject in greater depth.</w:t>
      </w:r>
    </w:p>
    <w:p w14:paraId="1B6BAF2C">
      <w:pPr>
        <w:spacing w:before="8" w:line="249" w:lineRule="auto"/>
        <w:ind w:left="99" w:right="98" w:firstLine="450"/>
        <w:jc w:val="both"/>
        <w:rPr>
          <w:rFonts w:hint="eastAsia"/>
          <w:color w:val="231F20"/>
          <w:sz w:val="30"/>
        </w:rPr>
      </w:pPr>
      <w:r>
        <w:rPr>
          <w:rFonts w:hint="eastAsia"/>
          <w:color w:val="231F20"/>
          <w:sz w:val="30"/>
        </w:rPr>
        <w:t>稍后我们将更深入地探讨这个主题。</w:t>
      </w:r>
    </w:p>
    <w:p w14:paraId="4BF18839">
      <w:pPr>
        <w:spacing w:before="8" w:line="249" w:lineRule="auto"/>
        <w:ind w:left="99" w:right="98" w:firstLine="450"/>
        <w:jc w:val="both"/>
        <w:rPr>
          <w:rFonts w:hint="eastAsia"/>
          <w:color w:val="231F20"/>
          <w:sz w:val="30"/>
        </w:rPr>
      </w:pPr>
    </w:p>
    <w:p w14:paraId="52F946BD">
      <w:pPr>
        <w:spacing w:before="8" w:line="249" w:lineRule="auto"/>
        <w:ind w:left="99" w:right="98" w:firstLine="450"/>
        <w:jc w:val="both"/>
        <w:rPr>
          <w:rFonts w:hint="eastAsia"/>
          <w:color w:val="231F20"/>
          <w:sz w:val="30"/>
        </w:rPr>
      </w:pPr>
      <w:r>
        <w:rPr>
          <w:rFonts w:hint="eastAsia"/>
          <w:color w:val="231F20"/>
          <w:sz w:val="30"/>
        </w:rPr>
        <w:t>Here it suffices to conclude by saying that in Jesus’ mind the NT mystery of the Holy Trinity obviously lies quite close to the heart of NT eschatology!</w:t>
      </w:r>
    </w:p>
    <w:p w14:paraId="07FF0AF7">
      <w:pPr>
        <w:spacing w:before="8" w:line="249" w:lineRule="auto"/>
        <w:ind w:left="99" w:right="98" w:firstLine="450"/>
        <w:jc w:val="both"/>
        <w:rPr>
          <w:rFonts w:hint="eastAsia"/>
          <w:color w:val="231F20"/>
          <w:sz w:val="30"/>
        </w:rPr>
      </w:pPr>
      <w:r>
        <w:rPr>
          <w:rFonts w:hint="eastAsia"/>
          <w:color w:val="231F20"/>
          <w:sz w:val="30"/>
        </w:rPr>
        <w:t>在此，足以得出结论说，在耶稣的心目中，新约中圣三一的奥秘显然与新约末世论的核心非常接近！</w:t>
      </w:r>
    </w:p>
    <w:p w14:paraId="4BE15ABC">
      <w:pPr>
        <w:spacing w:before="8" w:line="249" w:lineRule="auto"/>
        <w:ind w:left="99" w:right="98" w:firstLine="450"/>
        <w:jc w:val="both"/>
        <w:rPr>
          <w:rFonts w:hint="eastAsia"/>
          <w:color w:val="231F20"/>
          <w:sz w:val="30"/>
        </w:rPr>
      </w:pPr>
    </w:p>
    <w:p w14:paraId="0CD27782">
      <w:pPr>
        <w:spacing w:before="8" w:line="249" w:lineRule="auto"/>
        <w:ind w:left="99" w:right="98" w:firstLine="450"/>
        <w:jc w:val="both"/>
        <w:rPr>
          <w:rFonts w:hint="eastAsia"/>
          <w:color w:val="231F20"/>
          <w:sz w:val="30"/>
        </w:rPr>
      </w:pPr>
      <w:r>
        <w:rPr>
          <w:rFonts w:hint="eastAsia"/>
          <w:color w:val="231F20"/>
          <w:sz w:val="30"/>
        </w:rPr>
        <w:t>The Gist of the Other Parables of the Kingdom</w:t>
      </w:r>
    </w:p>
    <w:p w14:paraId="3A432BB1">
      <w:pPr>
        <w:spacing w:before="8" w:line="249" w:lineRule="auto"/>
        <w:ind w:left="99" w:right="98" w:firstLine="450"/>
        <w:jc w:val="both"/>
        <w:rPr>
          <w:rFonts w:hint="eastAsia"/>
          <w:color w:val="231F20"/>
          <w:sz w:val="30"/>
        </w:rPr>
      </w:pPr>
      <w:r>
        <w:rPr>
          <w:rFonts w:hint="eastAsia"/>
          <w:color w:val="231F20"/>
          <w:sz w:val="30"/>
        </w:rPr>
        <w:t>其他国度比喻的要点</w:t>
      </w:r>
    </w:p>
    <w:p w14:paraId="6FB1DF39">
      <w:pPr>
        <w:spacing w:before="8" w:line="249" w:lineRule="auto"/>
        <w:ind w:left="99" w:right="98" w:firstLine="450"/>
        <w:jc w:val="both"/>
        <w:rPr>
          <w:rFonts w:hint="eastAsia"/>
          <w:color w:val="231F20"/>
          <w:sz w:val="30"/>
        </w:rPr>
      </w:pPr>
    </w:p>
    <w:p w14:paraId="05217D7A">
      <w:pPr>
        <w:spacing w:before="8" w:line="249" w:lineRule="auto"/>
        <w:ind w:left="99" w:right="98" w:firstLine="450"/>
        <w:jc w:val="both"/>
        <w:rPr>
          <w:rFonts w:hint="eastAsia"/>
          <w:color w:val="231F20"/>
          <w:sz w:val="30"/>
        </w:rPr>
      </w:pPr>
      <w:r>
        <w:rPr>
          <w:rFonts w:hint="eastAsia"/>
          <w:color w:val="231F20"/>
          <w:sz w:val="30"/>
        </w:rPr>
        <w:t>To fully grasp the meaning of the Parable of the Wheat and the Tares is, I believe, to receive a precious key to all the rest.</w:t>
      </w:r>
    </w:p>
    <w:p w14:paraId="6B48BD61">
      <w:pPr>
        <w:spacing w:before="8" w:line="249" w:lineRule="auto"/>
        <w:ind w:left="99" w:right="98" w:firstLine="450"/>
        <w:jc w:val="both"/>
        <w:rPr>
          <w:rFonts w:hint="eastAsia"/>
          <w:color w:val="231F20"/>
          <w:sz w:val="30"/>
        </w:rPr>
      </w:pPr>
      <w:r>
        <w:rPr>
          <w:rFonts w:hint="eastAsia"/>
          <w:color w:val="231F20"/>
          <w:sz w:val="30"/>
        </w:rPr>
        <w:t>我认为，完全掌握麦子和稗子比喻的含义，就是领受了一把通往所有其他比喻的宝贵钥匙。</w:t>
      </w:r>
    </w:p>
    <w:p w14:paraId="39078E48">
      <w:pPr>
        <w:spacing w:before="8" w:line="249" w:lineRule="auto"/>
        <w:ind w:left="99" w:right="98" w:firstLine="450"/>
        <w:jc w:val="both"/>
        <w:rPr>
          <w:rFonts w:hint="eastAsia"/>
          <w:color w:val="231F20"/>
          <w:sz w:val="30"/>
        </w:rPr>
      </w:pPr>
    </w:p>
    <w:p w14:paraId="5BA871FE">
      <w:pPr>
        <w:spacing w:before="8" w:line="249" w:lineRule="auto"/>
        <w:ind w:left="99" w:right="98" w:firstLine="450"/>
        <w:jc w:val="both"/>
        <w:rPr>
          <w:rFonts w:hint="eastAsia"/>
          <w:color w:val="231F20"/>
          <w:sz w:val="30"/>
        </w:rPr>
      </w:pPr>
      <w:r>
        <w:rPr>
          <w:rFonts w:hint="eastAsia"/>
          <w:color w:val="231F20"/>
          <w:sz w:val="30"/>
        </w:rPr>
        <w:t>Let us therefore take that key in hand and look, ever so briefly, at the other parables of the Kingdom.</w:t>
      </w:r>
    </w:p>
    <w:p w14:paraId="7A08058B">
      <w:pPr>
        <w:spacing w:before="8" w:line="249" w:lineRule="auto"/>
        <w:ind w:left="99" w:right="98" w:firstLine="450"/>
        <w:jc w:val="both"/>
        <w:rPr>
          <w:rFonts w:hint="eastAsia"/>
          <w:color w:val="231F20"/>
          <w:sz w:val="30"/>
        </w:rPr>
      </w:pPr>
      <w:r>
        <w:rPr>
          <w:rFonts w:hint="eastAsia"/>
          <w:color w:val="231F20"/>
          <w:sz w:val="30"/>
        </w:rPr>
        <w:t>因此，让我们手持那把钥匙，极其简要地看看其他关于国度的比喻。</w:t>
      </w:r>
    </w:p>
    <w:p w14:paraId="7226511E">
      <w:pPr>
        <w:spacing w:before="8" w:line="249" w:lineRule="auto"/>
        <w:ind w:left="99" w:right="98" w:firstLine="450"/>
        <w:jc w:val="both"/>
        <w:rPr>
          <w:rFonts w:hint="eastAsia"/>
          <w:color w:val="231F20"/>
          <w:sz w:val="30"/>
        </w:rPr>
      </w:pPr>
    </w:p>
    <w:p w14:paraId="0D422307">
      <w:pPr>
        <w:spacing w:before="8" w:line="249" w:lineRule="auto"/>
        <w:ind w:left="99" w:right="98" w:firstLine="450"/>
        <w:jc w:val="both"/>
        <w:rPr>
          <w:rFonts w:hint="eastAsia"/>
          <w:color w:val="231F20"/>
          <w:sz w:val="30"/>
        </w:rPr>
      </w:pPr>
      <w:r>
        <w:rPr>
          <w:rFonts w:hint="eastAsia"/>
          <w:color w:val="231F20"/>
          <w:sz w:val="30"/>
        </w:rPr>
        <w:t>My goal here is simply to give the gist of each one.</w:t>
      </w:r>
    </w:p>
    <w:p w14:paraId="087E747B">
      <w:pPr>
        <w:spacing w:before="8" w:line="249" w:lineRule="auto"/>
        <w:ind w:left="99" w:right="98" w:firstLine="450"/>
        <w:jc w:val="both"/>
        <w:rPr>
          <w:rFonts w:hint="eastAsia"/>
          <w:color w:val="231F20"/>
          <w:sz w:val="30"/>
        </w:rPr>
      </w:pPr>
      <w:r>
        <w:rPr>
          <w:rFonts w:hint="eastAsia"/>
          <w:color w:val="231F20"/>
          <w:sz w:val="30"/>
        </w:rPr>
        <w:t>我在此的目标只是给出每一个比喻的要点。</w:t>
      </w:r>
    </w:p>
    <w:p w14:paraId="5C8787CB">
      <w:pPr>
        <w:spacing w:before="8" w:line="249" w:lineRule="auto"/>
        <w:ind w:left="99" w:right="98" w:firstLine="450"/>
        <w:jc w:val="both"/>
        <w:rPr>
          <w:rFonts w:hint="eastAsia"/>
          <w:color w:val="231F20"/>
          <w:sz w:val="30"/>
        </w:rPr>
      </w:pPr>
    </w:p>
    <w:p w14:paraId="7256424D">
      <w:pPr>
        <w:spacing w:before="8" w:line="249" w:lineRule="auto"/>
        <w:ind w:left="99" w:right="98" w:firstLine="450"/>
        <w:jc w:val="both"/>
        <w:rPr>
          <w:rFonts w:hint="eastAsia"/>
          <w:color w:val="231F20"/>
          <w:sz w:val="30"/>
        </w:rPr>
      </w:pPr>
      <w:r>
        <w:rPr>
          <w:rFonts w:hint="eastAsia"/>
          <w:color w:val="231F20"/>
          <w:sz w:val="30"/>
        </w:rPr>
        <w:t>Hopefully, these few remarks will move you to further meditation upon these precious eschatological gems.</w:t>
      </w:r>
    </w:p>
    <w:p w14:paraId="1F9A4542">
      <w:pPr>
        <w:spacing w:before="8" w:line="249" w:lineRule="auto"/>
        <w:ind w:left="99" w:right="98" w:firstLine="450"/>
        <w:jc w:val="both"/>
        <w:rPr>
          <w:rFonts w:hint="eastAsia"/>
          <w:color w:val="231F20"/>
          <w:sz w:val="30"/>
        </w:rPr>
      </w:pPr>
      <w:r>
        <w:rPr>
          <w:rFonts w:hint="eastAsia"/>
          <w:color w:val="231F20"/>
          <w:sz w:val="30"/>
        </w:rPr>
        <w:t>希望这几句评论能促使你进一步默想这些宝贵的末世论珍宝。</w:t>
      </w:r>
    </w:p>
    <w:p w14:paraId="4B9ADE44">
      <w:pPr>
        <w:spacing w:before="8" w:line="249" w:lineRule="auto"/>
        <w:ind w:left="99" w:right="98" w:firstLine="450"/>
        <w:jc w:val="both"/>
        <w:rPr>
          <w:rFonts w:hint="eastAsia"/>
          <w:color w:val="231F20"/>
          <w:sz w:val="30"/>
        </w:rPr>
      </w:pPr>
    </w:p>
    <w:p w14:paraId="659FA866">
      <w:pPr>
        <w:spacing w:before="8" w:line="249" w:lineRule="auto"/>
        <w:ind w:left="99" w:right="98" w:firstLine="450"/>
        <w:jc w:val="both"/>
        <w:rPr>
          <w:rFonts w:hint="eastAsia"/>
          <w:color w:val="231F20"/>
          <w:sz w:val="30"/>
        </w:rPr>
      </w:pPr>
      <w:r>
        <w:rPr>
          <w:rFonts w:hint="eastAsia"/>
          <w:color w:val="231F20"/>
          <w:sz w:val="30"/>
        </w:rPr>
        <w:t>The Parable of the Sower appears in all three synoptic gospels, a sign of its great importance (Mt. 13:1-9, 18-23; Mark 4:1-9, 13-20, Luke 8:4-15).</w:t>
      </w:r>
    </w:p>
    <w:p w14:paraId="4B68E02A">
      <w:pPr>
        <w:spacing w:before="8" w:line="249" w:lineRule="auto"/>
        <w:ind w:left="99" w:right="98" w:firstLine="450"/>
        <w:jc w:val="both"/>
        <w:rPr>
          <w:rFonts w:hint="eastAsia"/>
          <w:color w:val="231F20"/>
          <w:sz w:val="30"/>
        </w:rPr>
      </w:pPr>
      <w:r>
        <w:rPr>
          <w:rFonts w:hint="eastAsia"/>
          <w:color w:val="231F20"/>
          <w:sz w:val="30"/>
        </w:rPr>
        <w:t>撒种者的比喻出现在所有三本对观福音书中，这标志着其巨大的重要性（太 13:1-9, 18-23; 可 4:1-9, 13-20, 路 8:4-15）。</w:t>
      </w:r>
    </w:p>
    <w:p w14:paraId="4C8FBC1C">
      <w:pPr>
        <w:spacing w:before="8" w:line="249" w:lineRule="auto"/>
        <w:ind w:left="99" w:right="98" w:firstLine="450"/>
        <w:jc w:val="both"/>
        <w:rPr>
          <w:rFonts w:hint="eastAsia"/>
          <w:color w:val="231F20"/>
          <w:sz w:val="30"/>
        </w:rPr>
      </w:pPr>
    </w:p>
    <w:p w14:paraId="199B05D2">
      <w:pPr>
        <w:spacing w:before="8" w:line="249" w:lineRule="auto"/>
        <w:ind w:left="99" w:right="98" w:firstLine="450"/>
        <w:jc w:val="both"/>
        <w:rPr>
          <w:rFonts w:hint="eastAsia"/>
          <w:color w:val="231F20"/>
          <w:sz w:val="30"/>
        </w:rPr>
      </w:pPr>
      <w:r>
        <w:rPr>
          <w:rFonts w:hint="eastAsia"/>
          <w:color w:val="231F20"/>
          <w:sz w:val="30"/>
        </w:rPr>
        <w:t>Indeed, Jesus himself identifies it as crucial for a proper understanding of all the other parables (Mark 4:13).</w:t>
      </w:r>
    </w:p>
    <w:p w14:paraId="6366E523">
      <w:pPr>
        <w:spacing w:before="8" w:line="249" w:lineRule="auto"/>
        <w:ind w:left="99" w:right="98" w:firstLine="450"/>
        <w:jc w:val="both"/>
        <w:rPr>
          <w:rFonts w:hint="eastAsia"/>
          <w:color w:val="231F20"/>
          <w:sz w:val="30"/>
        </w:rPr>
      </w:pPr>
      <w:r>
        <w:rPr>
          <w:rFonts w:hint="eastAsia"/>
          <w:color w:val="231F20"/>
          <w:sz w:val="30"/>
        </w:rPr>
        <w:t>事实上，耶稣自己也指出它对于正确理解所有其他比喻至关重要（可 4:13）。</w:t>
      </w:r>
    </w:p>
    <w:p w14:paraId="3F1F8A72">
      <w:pPr>
        <w:spacing w:before="8" w:line="249" w:lineRule="auto"/>
        <w:ind w:left="99" w:right="98" w:firstLine="450"/>
        <w:jc w:val="both"/>
        <w:rPr>
          <w:rFonts w:hint="eastAsia"/>
          <w:color w:val="231F20"/>
          <w:sz w:val="30"/>
        </w:rPr>
      </w:pPr>
    </w:p>
    <w:p w14:paraId="7B3B3E28">
      <w:pPr>
        <w:spacing w:before="8" w:line="249" w:lineRule="auto"/>
        <w:ind w:left="99" w:right="98" w:firstLine="450"/>
        <w:jc w:val="both"/>
        <w:rPr>
          <w:rFonts w:hint="eastAsia"/>
          <w:color w:val="231F20"/>
          <w:sz w:val="30"/>
        </w:rPr>
      </w:pPr>
      <w:r>
        <w:rPr>
          <w:rFonts w:hint="eastAsia"/>
          <w:color w:val="231F20"/>
          <w:sz w:val="30"/>
        </w:rPr>
        <w:t>The great mystery unveiled here, and elaborated in the rest, is the distinctly spiritual character of the first stage of the Kingdom.</w:t>
      </w:r>
    </w:p>
    <w:p w14:paraId="4A472C49">
      <w:pPr>
        <w:spacing w:before="8" w:line="249" w:lineRule="auto"/>
        <w:ind w:left="99" w:right="98" w:firstLine="450"/>
        <w:jc w:val="both"/>
        <w:rPr>
          <w:rFonts w:hint="eastAsia"/>
          <w:color w:val="231F20"/>
          <w:sz w:val="30"/>
        </w:rPr>
      </w:pPr>
      <w:r>
        <w:rPr>
          <w:rFonts w:hint="eastAsia"/>
          <w:color w:val="231F20"/>
          <w:sz w:val="30"/>
        </w:rPr>
        <w:t>此处揭示并在其余部分详细阐述的伟大奥秘，是国度第一阶段独特的属灵特性。</w:t>
      </w:r>
    </w:p>
    <w:p w14:paraId="3633A3A1">
      <w:pPr>
        <w:spacing w:before="8" w:line="249" w:lineRule="auto"/>
        <w:ind w:left="99" w:right="98" w:firstLine="450"/>
        <w:jc w:val="both"/>
        <w:rPr>
          <w:rFonts w:hint="eastAsia"/>
          <w:color w:val="231F20"/>
          <w:sz w:val="30"/>
        </w:rPr>
      </w:pPr>
    </w:p>
    <w:p w14:paraId="5E0DB46D">
      <w:pPr>
        <w:spacing w:before="8" w:line="249" w:lineRule="auto"/>
        <w:ind w:left="99" w:right="98" w:firstLine="450"/>
        <w:jc w:val="both"/>
        <w:rPr>
          <w:rFonts w:hint="eastAsia"/>
          <w:color w:val="231F20"/>
          <w:sz w:val="30"/>
        </w:rPr>
      </w:pPr>
      <w:r>
        <w:rPr>
          <w:rFonts w:hint="eastAsia"/>
          <w:color w:val="231F20"/>
          <w:sz w:val="30"/>
        </w:rPr>
        <w:t>During the days of Christ’s heavenly reign, the Kingdom will not come with observation (Luke 17:20).</w:t>
      </w:r>
    </w:p>
    <w:p w14:paraId="208C818B">
      <w:pPr>
        <w:spacing w:before="8" w:line="249" w:lineRule="auto"/>
        <w:ind w:left="99" w:right="98" w:firstLine="450"/>
        <w:jc w:val="both"/>
        <w:rPr>
          <w:rFonts w:hint="eastAsia"/>
          <w:color w:val="231F20"/>
          <w:sz w:val="30"/>
        </w:rPr>
      </w:pPr>
      <w:r>
        <w:rPr>
          <w:rFonts w:hint="eastAsia"/>
          <w:color w:val="231F20"/>
          <w:sz w:val="30"/>
        </w:rPr>
        <w:t>在基督属天统治的日子里，国度的降临不是眼所能见的（路 17:20）。</w:t>
      </w:r>
    </w:p>
    <w:p w14:paraId="4B9D1B05">
      <w:pPr>
        <w:spacing w:before="8" w:line="249" w:lineRule="auto"/>
        <w:ind w:left="99" w:right="98" w:firstLine="450"/>
        <w:jc w:val="both"/>
        <w:rPr>
          <w:rFonts w:hint="eastAsia"/>
          <w:color w:val="231F20"/>
          <w:sz w:val="30"/>
        </w:rPr>
      </w:pPr>
    </w:p>
    <w:p w14:paraId="311AC197">
      <w:pPr>
        <w:spacing w:before="8" w:line="249" w:lineRule="auto"/>
        <w:ind w:left="99" w:right="98" w:firstLine="450"/>
        <w:jc w:val="both"/>
        <w:rPr>
          <w:rFonts w:hint="eastAsia"/>
          <w:color w:val="231F20"/>
          <w:sz w:val="30"/>
        </w:rPr>
      </w:pPr>
      <w:r>
        <w:rPr>
          <w:rFonts w:hint="eastAsia"/>
          <w:color w:val="231F20"/>
          <w:sz w:val="30"/>
        </w:rPr>
        <w:t>Rather, it will be purely spiritual, completely invisible, and therefore entered spiritually and invisibly.</w:t>
      </w:r>
    </w:p>
    <w:p w14:paraId="0DF9881A">
      <w:pPr>
        <w:spacing w:before="8" w:line="249" w:lineRule="auto"/>
        <w:ind w:left="99" w:right="98" w:firstLine="450"/>
        <w:jc w:val="both"/>
        <w:rPr>
          <w:rFonts w:hint="eastAsia"/>
          <w:color w:val="231F20"/>
          <w:sz w:val="30"/>
        </w:rPr>
      </w:pPr>
      <w:r>
        <w:rPr>
          <w:rFonts w:hint="eastAsia"/>
          <w:color w:val="231F20"/>
          <w:sz w:val="30"/>
        </w:rPr>
        <w:t>相反，它将是纯粹属灵的，完全不可见的，因此是属灵地、不可见地进入的。</w:t>
      </w:r>
    </w:p>
    <w:p w14:paraId="32A53BEC">
      <w:pPr>
        <w:spacing w:before="8" w:line="249" w:lineRule="auto"/>
        <w:ind w:left="99" w:right="98" w:firstLine="450"/>
        <w:jc w:val="both"/>
        <w:rPr>
          <w:rFonts w:hint="eastAsia"/>
          <w:color w:val="231F20"/>
          <w:sz w:val="30"/>
        </w:rPr>
      </w:pPr>
    </w:p>
    <w:p w14:paraId="18F35AA9">
      <w:pPr>
        <w:spacing w:before="8" w:line="249" w:lineRule="auto"/>
        <w:ind w:left="99" w:right="98" w:firstLine="450"/>
        <w:jc w:val="both"/>
        <w:rPr>
          <w:rFonts w:hint="eastAsia"/>
          <w:color w:val="231F20"/>
          <w:sz w:val="30"/>
        </w:rPr>
      </w:pPr>
      <w:r>
        <w:rPr>
          <w:rFonts w:hint="eastAsia"/>
          <w:color w:val="231F20"/>
          <w:sz w:val="30"/>
        </w:rPr>
        <w:t>How will this happen?</w:t>
      </w:r>
    </w:p>
    <w:p w14:paraId="2559C52C">
      <w:pPr>
        <w:spacing w:before="8" w:line="249" w:lineRule="auto"/>
        <w:ind w:left="99" w:right="98" w:firstLine="450"/>
        <w:jc w:val="both"/>
        <w:rPr>
          <w:rFonts w:hint="eastAsia"/>
          <w:color w:val="231F20"/>
          <w:sz w:val="30"/>
        </w:rPr>
      </w:pPr>
      <w:r>
        <w:rPr>
          <w:rFonts w:hint="eastAsia"/>
          <w:color w:val="231F20"/>
          <w:sz w:val="30"/>
        </w:rPr>
        <w:t>这将如何发生？</w:t>
      </w:r>
    </w:p>
    <w:p w14:paraId="43059451">
      <w:pPr>
        <w:spacing w:before="8" w:line="249" w:lineRule="auto"/>
        <w:ind w:left="99" w:right="98" w:firstLine="450"/>
        <w:jc w:val="both"/>
        <w:rPr>
          <w:rFonts w:hint="eastAsia"/>
          <w:color w:val="231F20"/>
          <w:sz w:val="30"/>
        </w:rPr>
      </w:pPr>
    </w:p>
    <w:p w14:paraId="041D6F88">
      <w:pPr>
        <w:spacing w:before="8" w:line="249" w:lineRule="auto"/>
        <w:ind w:left="99" w:right="98" w:firstLine="450"/>
        <w:jc w:val="both"/>
        <w:rPr>
          <w:rFonts w:hint="eastAsia"/>
          <w:color w:val="231F20"/>
          <w:sz w:val="30"/>
        </w:rPr>
      </w:pPr>
      <w:r>
        <w:rPr>
          <w:rFonts w:hint="eastAsia"/>
          <w:color w:val="231F20"/>
          <w:sz w:val="30"/>
        </w:rPr>
        <w:t>As we have already seen, it happens by hearing with faith.</w:t>
      </w:r>
    </w:p>
    <w:p w14:paraId="091D403E">
      <w:pPr>
        <w:spacing w:before="8" w:line="249" w:lineRule="auto"/>
        <w:ind w:left="99" w:right="98" w:firstLine="450"/>
        <w:jc w:val="both"/>
        <w:rPr>
          <w:rFonts w:hint="eastAsia"/>
          <w:color w:val="231F20"/>
          <w:sz w:val="30"/>
        </w:rPr>
      </w:pPr>
      <w:r>
        <w:rPr>
          <w:rFonts w:hint="eastAsia"/>
          <w:color w:val="231F20"/>
          <w:sz w:val="30"/>
        </w:rPr>
        <w:t>正如我们已经看到的，这是通过凭信心听道而发生的。</w:t>
      </w:r>
    </w:p>
    <w:p w14:paraId="202A2FA9">
      <w:pPr>
        <w:spacing w:before="8" w:line="249" w:lineRule="auto"/>
        <w:ind w:left="99" w:right="98" w:firstLine="450"/>
        <w:jc w:val="both"/>
        <w:rPr>
          <w:rFonts w:hint="eastAsia"/>
          <w:color w:val="231F20"/>
          <w:sz w:val="30"/>
        </w:rPr>
      </w:pPr>
    </w:p>
    <w:p w14:paraId="5E4BF0FC">
      <w:pPr>
        <w:spacing w:before="8" w:line="249" w:lineRule="auto"/>
        <w:ind w:left="99" w:right="98" w:firstLine="450"/>
        <w:jc w:val="both"/>
        <w:rPr>
          <w:rFonts w:hint="eastAsia"/>
          <w:color w:val="231F20"/>
          <w:sz w:val="30"/>
        </w:rPr>
      </w:pPr>
      <w:r>
        <w:rPr>
          <w:rFonts w:hint="eastAsia"/>
          <w:color w:val="231F20"/>
          <w:sz w:val="30"/>
        </w:rPr>
        <w:t>Christ, the heavenly Sower, will send his Spirit-led Church into the world to scatter the seed of the Word of God, the Gospel.</w:t>
      </w:r>
    </w:p>
    <w:p w14:paraId="5C198C4C">
      <w:pPr>
        <w:spacing w:before="8" w:line="249" w:lineRule="auto"/>
        <w:ind w:left="99" w:right="98" w:firstLine="450"/>
        <w:jc w:val="both"/>
        <w:rPr>
          <w:rFonts w:hint="eastAsia"/>
          <w:color w:val="231F20"/>
          <w:sz w:val="30"/>
        </w:rPr>
      </w:pPr>
      <w:r>
        <w:rPr>
          <w:rFonts w:hint="eastAsia"/>
          <w:color w:val="231F20"/>
          <w:sz w:val="30"/>
        </w:rPr>
        <w:t>基督，那位属天的撒种者，将差遣祂受圣灵引导的教会进入世界，去撒播上帝之道、即福音的种子。</w:t>
      </w:r>
    </w:p>
    <w:p w14:paraId="4BF51CE7">
      <w:pPr>
        <w:spacing w:before="8" w:line="249" w:lineRule="auto"/>
        <w:ind w:left="99" w:right="98" w:firstLine="450"/>
        <w:jc w:val="both"/>
        <w:rPr>
          <w:rFonts w:hint="eastAsia"/>
          <w:color w:val="231F20"/>
          <w:sz w:val="30"/>
        </w:rPr>
      </w:pPr>
    </w:p>
    <w:p w14:paraId="1D100A13">
      <w:pPr>
        <w:spacing w:before="8" w:line="249" w:lineRule="auto"/>
        <w:ind w:left="99" w:right="98" w:firstLine="450"/>
        <w:jc w:val="both"/>
        <w:rPr>
          <w:rFonts w:hint="eastAsia"/>
          <w:color w:val="231F20"/>
          <w:sz w:val="30"/>
        </w:rPr>
      </w:pPr>
      <w:r>
        <w:rPr>
          <w:rFonts w:hint="eastAsia"/>
          <w:color w:val="231F20"/>
          <w:sz w:val="30"/>
        </w:rPr>
        <w:t>Satan, the wicked one, will oppose her efforts, sometimes successfully (Mt. 3:15).</w:t>
      </w:r>
    </w:p>
    <w:p w14:paraId="75F1A6F3">
      <w:pPr>
        <w:spacing w:before="8" w:line="249" w:lineRule="auto"/>
        <w:ind w:left="99" w:right="98" w:firstLine="450"/>
        <w:jc w:val="both"/>
        <w:rPr>
          <w:rFonts w:hint="eastAsia"/>
          <w:color w:val="231F20"/>
          <w:sz w:val="30"/>
        </w:rPr>
      </w:pPr>
      <w:r>
        <w:rPr>
          <w:rFonts w:hint="eastAsia"/>
          <w:color w:val="231F20"/>
          <w:sz w:val="30"/>
        </w:rPr>
        <w:t>撒但，那恶者，将反对她的努力，有时还会成功（太 3:15）。</w:t>
      </w:r>
    </w:p>
    <w:p w14:paraId="642E3C46">
      <w:pPr>
        <w:spacing w:before="8" w:line="249" w:lineRule="auto"/>
        <w:ind w:left="99" w:right="98" w:firstLine="450"/>
        <w:jc w:val="both"/>
        <w:rPr>
          <w:rFonts w:hint="eastAsia"/>
          <w:color w:val="231F20"/>
          <w:sz w:val="30"/>
        </w:rPr>
      </w:pPr>
    </w:p>
    <w:p w14:paraId="114A3F1A">
      <w:pPr>
        <w:spacing w:before="8" w:line="249" w:lineRule="auto"/>
        <w:ind w:left="99" w:right="98" w:firstLine="450"/>
        <w:jc w:val="both"/>
        <w:rPr>
          <w:rFonts w:hint="eastAsia"/>
          <w:color w:val="231F20"/>
          <w:sz w:val="30"/>
        </w:rPr>
      </w:pPr>
      <w:r>
        <w:rPr>
          <w:rFonts w:hint="eastAsia"/>
          <w:color w:val="231F20"/>
          <w:sz w:val="30"/>
        </w:rPr>
        <w:t>Nevertheless, some seed will fall on good soil: the noble hearts of God’s elect, who, amidst much tribulation, will bring forth good spiritual fruit with perseverance.</w:t>
      </w:r>
    </w:p>
    <w:p w14:paraId="2E8792F7">
      <w:pPr>
        <w:spacing w:before="8" w:line="249" w:lineRule="auto"/>
        <w:ind w:left="99" w:right="98" w:firstLine="450"/>
        <w:jc w:val="both"/>
        <w:rPr>
          <w:rFonts w:hint="eastAsia"/>
          <w:color w:val="231F20"/>
          <w:sz w:val="30"/>
        </w:rPr>
      </w:pPr>
      <w:r>
        <w:rPr>
          <w:rFonts w:hint="eastAsia"/>
          <w:color w:val="231F20"/>
          <w:sz w:val="30"/>
        </w:rPr>
        <w:t>然而，有些种子会落在好土里：上帝选民高尚的心，他们在许多患难中，将凭着忍耐结出美好的属灵果实。</w:t>
      </w:r>
    </w:p>
    <w:p w14:paraId="03C235F9">
      <w:pPr>
        <w:spacing w:before="8" w:line="249" w:lineRule="auto"/>
        <w:ind w:left="99" w:right="98" w:firstLine="450"/>
        <w:jc w:val="both"/>
        <w:rPr>
          <w:rFonts w:hint="eastAsia"/>
          <w:color w:val="231F20"/>
          <w:sz w:val="30"/>
        </w:rPr>
      </w:pPr>
    </w:p>
    <w:p w14:paraId="71EF1686">
      <w:pPr>
        <w:spacing w:before="8" w:line="249" w:lineRule="auto"/>
        <w:ind w:left="99" w:right="98" w:firstLine="450"/>
        <w:jc w:val="both"/>
        <w:rPr>
          <w:rFonts w:hint="eastAsia"/>
          <w:color w:val="231F20"/>
          <w:sz w:val="30"/>
        </w:rPr>
      </w:pPr>
      <w:r>
        <w:rPr>
          <w:rFonts w:hint="eastAsia"/>
          <w:color w:val="231F20"/>
          <w:sz w:val="30"/>
        </w:rPr>
        <w:t>This parable is rich with instruction, warning, and encouragement.</w:t>
      </w:r>
    </w:p>
    <w:p w14:paraId="7F039F8F">
      <w:pPr>
        <w:spacing w:before="8" w:line="249" w:lineRule="auto"/>
        <w:ind w:left="99" w:right="98" w:firstLine="450"/>
        <w:jc w:val="both"/>
        <w:rPr>
          <w:rFonts w:hint="eastAsia"/>
          <w:color w:val="231F20"/>
          <w:sz w:val="30"/>
        </w:rPr>
      </w:pPr>
      <w:r>
        <w:rPr>
          <w:rFonts w:hint="eastAsia"/>
          <w:color w:val="231F20"/>
          <w:sz w:val="30"/>
        </w:rPr>
        <w:t>这个比喻充满了教导、警告和鼓励。</w:t>
      </w:r>
    </w:p>
    <w:p w14:paraId="4D66A090">
      <w:pPr>
        <w:spacing w:before="8" w:line="249" w:lineRule="auto"/>
        <w:ind w:left="99" w:right="98" w:firstLine="450"/>
        <w:jc w:val="both"/>
        <w:rPr>
          <w:rFonts w:hint="eastAsia"/>
          <w:color w:val="231F20"/>
          <w:sz w:val="30"/>
        </w:rPr>
      </w:pPr>
    </w:p>
    <w:p w14:paraId="7EA73C5A">
      <w:pPr>
        <w:spacing w:before="8" w:line="249" w:lineRule="auto"/>
        <w:ind w:left="99" w:right="98" w:firstLine="450"/>
        <w:jc w:val="both"/>
        <w:rPr>
          <w:rFonts w:hint="eastAsia"/>
          <w:color w:val="231F20"/>
          <w:sz w:val="30"/>
        </w:rPr>
      </w:pPr>
      <w:r>
        <w:rPr>
          <w:rFonts w:hint="eastAsia"/>
          <w:color w:val="231F20"/>
          <w:sz w:val="30"/>
        </w:rPr>
        <w:t>It teaches Christ’s pilgrim Church the centrality and indispensability of “the foolishness of preaching” for the advance of his Kingdom.</w:t>
      </w:r>
    </w:p>
    <w:p w14:paraId="376093BB">
      <w:pPr>
        <w:spacing w:before="8" w:line="249" w:lineRule="auto"/>
        <w:ind w:left="99" w:right="98" w:firstLine="450"/>
        <w:jc w:val="both"/>
        <w:rPr>
          <w:rFonts w:hint="eastAsia"/>
          <w:color w:val="231F20"/>
          <w:sz w:val="30"/>
        </w:rPr>
      </w:pPr>
      <w:r>
        <w:rPr>
          <w:rFonts w:hint="eastAsia"/>
          <w:color w:val="231F20"/>
          <w:sz w:val="30"/>
        </w:rPr>
        <w:t>它教导基督的行路客教会，“传道的愚拙”对于祂国度推进的中心性和不可或缺性。</w:t>
      </w:r>
    </w:p>
    <w:p w14:paraId="47A64C49">
      <w:pPr>
        <w:spacing w:before="8" w:line="249" w:lineRule="auto"/>
        <w:ind w:left="99" w:right="98" w:firstLine="450"/>
        <w:jc w:val="both"/>
        <w:rPr>
          <w:rFonts w:hint="eastAsia"/>
          <w:color w:val="231F20"/>
          <w:sz w:val="30"/>
        </w:rPr>
      </w:pPr>
    </w:p>
    <w:p w14:paraId="74DDAC90">
      <w:pPr>
        <w:spacing w:before="8" w:line="249" w:lineRule="auto"/>
        <w:ind w:left="99" w:right="98" w:firstLine="450"/>
        <w:jc w:val="both"/>
        <w:rPr>
          <w:rFonts w:hint="eastAsia"/>
          <w:color w:val="231F20"/>
          <w:sz w:val="30"/>
        </w:rPr>
      </w:pPr>
      <w:r>
        <w:rPr>
          <w:rFonts w:hint="eastAsia"/>
          <w:color w:val="231F20"/>
          <w:sz w:val="30"/>
        </w:rPr>
        <w:t>It prepares them for the hard fact that not all who hear the Gospel will believe or persevere.</w:t>
      </w:r>
    </w:p>
    <w:p w14:paraId="7F5E5AC5">
      <w:pPr>
        <w:spacing w:before="8" w:line="249" w:lineRule="auto"/>
        <w:ind w:left="99" w:right="98" w:firstLine="450"/>
        <w:jc w:val="both"/>
        <w:rPr>
          <w:rFonts w:hint="eastAsia"/>
          <w:color w:val="231F20"/>
          <w:sz w:val="30"/>
        </w:rPr>
      </w:pPr>
      <w:r>
        <w:rPr>
          <w:rFonts w:hint="eastAsia"/>
          <w:color w:val="231F20"/>
          <w:sz w:val="30"/>
        </w:rPr>
        <w:t>它预备他们面对一个严酷的事实，即并非所有听到福音的人都会相信或持守到底。</w:t>
      </w:r>
    </w:p>
    <w:p w14:paraId="6C8307CC">
      <w:pPr>
        <w:spacing w:before="8" w:line="249" w:lineRule="auto"/>
        <w:ind w:left="99" w:right="98" w:firstLine="450"/>
        <w:jc w:val="both"/>
        <w:rPr>
          <w:rFonts w:hint="eastAsia"/>
          <w:color w:val="231F20"/>
          <w:sz w:val="30"/>
        </w:rPr>
      </w:pPr>
    </w:p>
    <w:p w14:paraId="2651D0BC">
      <w:pPr>
        <w:spacing w:before="8" w:line="249" w:lineRule="auto"/>
        <w:ind w:left="99" w:right="98" w:firstLine="450"/>
        <w:jc w:val="both"/>
        <w:rPr>
          <w:rFonts w:hint="eastAsia"/>
          <w:color w:val="231F20"/>
          <w:sz w:val="30"/>
        </w:rPr>
      </w:pPr>
      <w:r>
        <w:rPr>
          <w:rFonts w:hint="eastAsia"/>
          <w:color w:val="231F20"/>
          <w:sz w:val="30"/>
        </w:rPr>
        <w:t>But it also assures them that some definitely will (John 17:17, Col. 1:3-6, 1 Peter 1:23).</w:t>
      </w:r>
    </w:p>
    <w:p w14:paraId="4393E097">
      <w:pPr>
        <w:spacing w:before="8" w:line="249" w:lineRule="auto"/>
        <w:ind w:left="99" w:right="98" w:firstLine="450"/>
        <w:jc w:val="both"/>
        <w:rPr>
          <w:rFonts w:hint="eastAsia"/>
          <w:color w:val="231F20"/>
          <w:sz w:val="30"/>
        </w:rPr>
      </w:pPr>
      <w:r>
        <w:rPr>
          <w:rFonts w:hint="eastAsia"/>
          <w:color w:val="231F20"/>
          <w:sz w:val="30"/>
        </w:rPr>
        <w:t>但它也向他们保证，肯定会有人会的（约 17:17, 西 1:3-6, 彼前 1:23）。</w:t>
      </w:r>
    </w:p>
    <w:p w14:paraId="0A991F86">
      <w:pPr>
        <w:spacing w:before="8" w:line="249" w:lineRule="auto"/>
        <w:ind w:left="99" w:right="98" w:firstLine="450"/>
        <w:jc w:val="both"/>
        <w:rPr>
          <w:rFonts w:hint="eastAsia"/>
          <w:color w:val="231F20"/>
          <w:sz w:val="30"/>
        </w:rPr>
      </w:pPr>
    </w:p>
    <w:p w14:paraId="1B983B06">
      <w:pPr>
        <w:spacing w:before="8" w:line="249" w:lineRule="auto"/>
        <w:ind w:left="99" w:right="98" w:firstLine="450"/>
        <w:jc w:val="both"/>
        <w:rPr>
          <w:rFonts w:hint="eastAsia"/>
          <w:color w:val="231F20"/>
          <w:sz w:val="30"/>
        </w:rPr>
      </w:pPr>
      <w:r>
        <w:rPr>
          <w:rFonts w:hint="eastAsia"/>
          <w:color w:val="231F20"/>
          <w:sz w:val="30"/>
        </w:rPr>
        <w:t>In a similar vein, the Parable of the Mustard Seed assures the saints of the infallible, worldwide growth of the High King’s earthly realm, the Church.</w:t>
      </w:r>
    </w:p>
    <w:p w14:paraId="1BD43704">
      <w:pPr>
        <w:spacing w:before="8" w:line="249" w:lineRule="auto"/>
        <w:ind w:left="99" w:right="98" w:firstLine="450"/>
        <w:jc w:val="both"/>
        <w:rPr>
          <w:rFonts w:hint="eastAsia"/>
          <w:color w:val="231F20"/>
          <w:sz w:val="30"/>
        </w:rPr>
      </w:pPr>
      <w:r>
        <w:rPr>
          <w:rFonts w:hint="eastAsia"/>
          <w:color w:val="231F20"/>
          <w:sz w:val="30"/>
        </w:rPr>
        <w:t>同样，芥菜种的比喻向圣徒们保证了天上至高君王属地领域，即教会，那万无一失的、遍及全球的成长。</w:t>
      </w:r>
    </w:p>
    <w:p w14:paraId="4597976C">
      <w:pPr>
        <w:spacing w:before="8" w:line="249" w:lineRule="auto"/>
        <w:ind w:left="99" w:right="98" w:firstLine="450"/>
        <w:jc w:val="both"/>
        <w:rPr>
          <w:rFonts w:hint="eastAsia"/>
          <w:color w:val="231F20"/>
          <w:sz w:val="30"/>
        </w:rPr>
      </w:pPr>
    </w:p>
    <w:p w14:paraId="7C6A880D">
      <w:pPr>
        <w:spacing w:before="8" w:line="249" w:lineRule="auto"/>
        <w:ind w:left="99" w:right="98" w:firstLine="450"/>
        <w:jc w:val="both"/>
        <w:rPr>
          <w:rFonts w:hint="eastAsia"/>
          <w:color w:val="231F20"/>
          <w:sz w:val="30"/>
        </w:rPr>
      </w:pPr>
      <w:r>
        <w:rPr>
          <w:rFonts w:hint="eastAsia"/>
          <w:color w:val="231F20"/>
          <w:sz w:val="30"/>
        </w:rPr>
        <w:t>Yes, it starts out very small, with the body of a single carpenter from Nazareth being planted, seed-like, into the depths of the earth.</w:t>
      </w:r>
    </w:p>
    <w:p w14:paraId="768EAD9D">
      <w:pPr>
        <w:spacing w:before="8" w:line="249" w:lineRule="auto"/>
        <w:ind w:left="99" w:right="98" w:firstLine="450"/>
        <w:jc w:val="both"/>
        <w:rPr>
          <w:rFonts w:hint="eastAsia"/>
          <w:color w:val="231F20"/>
          <w:sz w:val="30"/>
        </w:rPr>
      </w:pPr>
      <w:r>
        <w:rPr>
          <w:rFonts w:hint="eastAsia"/>
          <w:color w:val="231F20"/>
          <w:sz w:val="30"/>
        </w:rPr>
        <w:t>是的，它开始时非常小，只有一个拿撒勒木匠的身体，像种子一样被种入地深之处。</w:t>
      </w:r>
    </w:p>
    <w:p w14:paraId="56DE4BB0">
      <w:pPr>
        <w:spacing w:before="8" w:line="249" w:lineRule="auto"/>
        <w:ind w:left="99" w:right="98" w:firstLine="450"/>
        <w:jc w:val="both"/>
        <w:rPr>
          <w:rFonts w:hint="eastAsia"/>
          <w:color w:val="231F20"/>
          <w:sz w:val="30"/>
        </w:rPr>
      </w:pPr>
    </w:p>
    <w:p w14:paraId="57E38117">
      <w:pPr>
        <w:spacing w:before="8" w:line="249" w:lineRule="auto"/>
        <w:ind w:left="99" w:right="98" w:firstLine="450"/>
        <w:jc w:val="both"/>
        <w:rPr>
          <w:rFonts w:hint="eastAsia"/>
          <w:color w:val="231F20"/>
          <w:sz w:val="30"/>
        </w:rPr>
      </w:pPr>
      <w:r>
        <w:rPr>
          <w:rFonts w:hint="eastAsia"/>
          <w:color w:val="231F20"/>
          <w:sz w:val="30"/>
        </w:rPr>
        <w:t>But in the end it will sprout and grow to enormous size, extending its branches upward and outward to all nations, providing spiritual shelter and rest for untold multitudes the world around (Rev. 5:9).</w:t>
      </w:r>
    </w:p>
    <w:p w14:paraId="799A8911">
      <w:pPr>
        <w:spacing w:before="8" w:line="249" w:lineRule="auto"/>
        <w:ind w:left="99" w:right="98" w:firstLine="450"/>
        <w:jc w:val="both"/>
        <w:rPr>
          <w:rFonts w:hint="eastAsia"/>
          <w:color w:val="231F20"/>
          <w:sz w:val="30"/>
        </w:rPr>
      </w:pPr>
      <w:r>
        <w:rPr>
          <w:rFonts w:hint="eastAsia"/>
          <w:color w:val="231F20"/>
          <w:sz w:val="30"/>
        </w:rPr>
        <w:t>但最终它将发芽长大，长成巨大的规模，将其枝条向上向外伸向万国，为全世界无数的人提供属灵的庇护和安息（启 5:9）。</w:t>
      </w:r>
    </w:p>
    <w:p w14:paraId="04075F3D">
      <w:pPr>
        <w:spacing w:before="8" w:line="249" w:lineRule="auto"/>
        <w:ind w:left="99" w:right="98" w:firstLine="450"/>
        <w:jc w:val="both"/>
        <w:rPr>
          <w:rFonts w:hint="eastAsia"/>
          <w:color w:val="231F20"/>
          <w:sz w:val="30"/>
        </w:rPr>
      </w:pPr>
    </w:p>
    <w:p w14:paraId="2635E53B">
      <w:pPr>
        <w:spacing w:before="8" w:line="249" w:lineRule="auto"/>
        <w:ind w:left="99" w:right="98" w:firstLine="450"/>
        <w:jc w:val="both"/>
        <w:rPr>
          <w:rFonts w:hint="eastAsia"/>
          <w:color w:val="231F20"/>
          <w:sz w:val="30"/>
        </w:rPr>
      </w:pPr>
      <w:r>
        <w:rPr>
          <w:rFonts w:hint="eastAsia"/>
          <w:color w:val="231F20"/>
          <w:sz w:val="30"/>
        </w:rPr>
        <w:t>Thus, in parabolic imagery drawn from OT prophecy, the Lord affirms once again, “I will build my Church” (Ezek. 17:22-24, Mt. 16:18, John 10:16)!</w:t>
      </w:r>
    </w:p>
    <w:p w14:paraId="3DE31224">
      <w:pPr>
        <w:spacing w:before="8" w:line="249" w:lineRule="auto"/>
        <w:ind w:left="99" w:right="98" w:firstLine="450"/>
        <w:jc w:val="both"/>
        <w:rPr>
          <w:rFonts w:hint="eastAsia"/>
          <w:color w:val="231F20"/>
          <w:sz w:val="30"/>
        </w:rPr>
      </w:pPr>
      <w:r>
        <w:rPr>
          <w:rFonts w:hint="eastAsia"/>
          <w:color w:val="231F20"/>
          <w:sz w:val="30"/>
        </w:rPr>
        <w:t>因此，在取自旧约预言的比喻意象中，主再次肯定说：“我要建立我的教会”（结 17:22-24, 太 16:18, 约 10:16）！</w:t>
      </w:r>
    </w:p>
    <w:p w14:paraId="544B1BE8">
      <w:pPr>
        <w:spacing w:before="8" w:line="249" w:lineRule="auto"/>
        <w:ind w:left="99" w:right="98" w:firstLine="450"/>
        <w:jc w:val="both"/>
        <w:rPr>
          <w:rFonts w:hint="eastAsia"/>
          <w:color w:val="231F20"/>
          <w:sz w:val="30"/>
        </w:rPr>
      </w:pPr>
    </w:p>
    <w:p w14:paraId="5978BB58">
      <w:pPr>
        <w:spacing w:before="8" w:line="249" w:lineRule="auto"/>
        <w:ind w:left="99" w:right="98" w:firstLine="450"/>
        <w:jc w:val="both"/>
        <w:rPr>
          <w:rFonts w:hint="eastAsia"/>
          <w:color w:val="231F20"/>
          <w:sz w:val="30"/>
        </w:rPr>
      </w:pPr>
      <w:r>
        <w:rPr>
          <w:rFonts w:hint="eastAsia"/>
          <w:color w:val="231F20"/>
          <w:sz w:val="30"/>
        </w:rPr>
        <w:t>Much the same message is conveyed in the Parable of the Leaven.</w:t>
      </w:r>
    </w:p>
    <w:p w14:paraId="22B41E6D">
      <w:pPr>
        <w:spacing w:before="8" w:line="249" w:lineRule="auto"/>
        <w:ind w:left="99" w:right="98" w:firstLine="450"/>
        <w:jc w:val="both"/>
        <w:rPr>
          <w:rFonts w:hint="eastAsia"/>
          <w:color w:val="231F20"/>
          <w:sz w:val="30"/>
        </w:rPr>
      </w:pPr>
      <w:r>
        <w:rPr>
          <w:rFonts w:hint="eastAsia"/>
          <w:color w:val="231F20"/>
          <w:sz w:val="30"/>
        </w:rPr>
        <w:t>面酵的比喻传达了大致相同的信息。</w:t>
      </w:r>
    </w:p>
    <w:p w14:paraId="08D9E277">
      <w:pPr>
        <w:spacing w:before="8" w:line="249" w:lineRule="auto"/>
        <w:ind w:left="99" w:right="98" w:firstLine="450"/>
        <w:jc w:val="both"/>
        <w:rPr>
          <w:rFonts w:hint="eastAsia"/>
          <w:color w:val="231F20"/>
          <w:sz w:val="30"/>
        </w:rPr>
      </w:pPr>
    </w:p>
    <w:p w14:paraId="65AF336A">
      <w:pPr>
        <w:spacing w:before="8" w:line="249" w:lineRule="auto"/>
        <w:ind w:left="99" w:right="98" w:firstLine="450"/>
        <w:jc w:val="both"/>
        <w:rPr>
          <w:rFonts w:hint="eastAsia"/>
          <w:color w:val="231F20"/>
          <w:sz w:val="30"/>
        </w:rPr>
      </w:pPr>
      <w:r>
        <w:rPr>
          <w:rFonts w:hint="eastAsia"/>
          <w:color w:val="231F20"/>
          <w:sz w:val="30"/>
        </w:rPr>
        <w:t>Like yeast spreading through a lump of dough, Christ’s spiritual reign will infallibly push its way through the earth until it permeates the whole world (Mt. 13:33).</w:t>
      </w:r>
    </w:p>
    <w:p w14:paraId="15E5438A">
      <w:pPr>
        <w:spacing w:before="8" w:line="249" w:lineRule="auto"/>
        <w:ind w:left="99" w:right="98" w:firstLine="450"/>
        <w:jc w:val="both"/>
        <w:rPr>
          <w:rFonts w:hint="eastAsia"/>
          <w:color w:val="231F20"/>
          <w:sz w:val="30"/>
        </w:rPr>
      </w:pPr>
      <w:r>
        <w:rPr>
          <w:rFonts w:hint="eastAsia"/>
          <w:color w:val="231F20"/>
          <w:sz w:val="30"/>
        </w:rPr>
        <w:t>就像酵母在面团中扩散一样，基督的属灵统治将万无一失地在地上推进，直到它渗透到整个世界（太 13:33）。</w:t>
      </w:r>
    </w:p>
    <w:p w14:paraId="34165BCB">
      <w:pPr>
        <w:spacing w:before="8" w:line="249" w:lineRule="auto"/>
        <w:ind w:left="99" w:right="98" w:firstLine="450"/>
        <w:jc w:val="both"/>
        <w:rPr>
          <w:rFonts w:hint="eastAsia"/>
          <w:color w:val="231F20"/>
          <w:sz w:val="30"/>
        </w:rPr>
      </w:pPr>
    </w:p>
    <w:p w14:paraId="05B088BD">
      <w:pPr>
        <w:spacing w:before="8" w:line="249" w:lineRule="auto"/>
        <w:ind w:left="99" w:right="98" w:firstLine="450"/>
        <w:jc w:val="both"/>
        <w:rPr>
          <w:rFonts w:hint="eastAsia"/>
          <w:color w:val="231F20"/>
          <w:sz w:val="30"/>
        </w:rPr>
      </w:pPr>
      <w:r>
        <w:rPr>
          <w:rFonts w:hint="eastAsia"/>
          <w:color w:val="231F20"/>
          <w:sz w:val="30"/>
        </w:rPr>
        <w:t>Here, however, we meet a further nuance: Not only does the Kingdom spread infallibly, but also, like the workings of leaven, secretly and mysteriously.</w:t>
      </w:r>
    </w:p>
    <w:p w14:paraId="4E152AAC">
      <w:pPr>
        <w:spacing w:before="8" w:line="249" w:lineRule="auto"/>
        <w:ind w:left="99" w:right="98" w:firstLine="450"/>
        <w:jc w:val="both"/>
        <w:rPr>
          <w:rFonts w:hint="eastAsia"/>
          <w:color w:val="231F20"/>
          <w:sz w:val="30"/>
        </w:rPr>
      </w:pPr>
      <w:r>
        <w:rPr>
          <w:rFonts w:hint="eastAsia"/>
          <w:color w:val="231F20"/>
          <w:sz w:val="30"/>
        </w:rPr>
        <w:t>然而，在此我们遇到了一个更细微的差别：国度不仅万无一失地扩展，而且，像面酵的作用一样，是秘密和奥秘地扩展。</w:t>
      </w:r>
    </w:p>
    <w:p w14:paraId="43B878FD">
      <w:pPr>
        <w:spacing w:before="8" w:line="249" w:lineRule="auto"/>
        <w:ind w:left="99" w:right="98" w:firstLine="450"/>
        <w:jc w:val="both"/>
        <w:rPr>
          <w:rFonts w:hint="eastAsia"/>
          <w:color w:val="231F20"/>
          <w:sz w:val="30"/>
        </w:rPr>
      </w:pPr>
    </w:p>
    <w:p w14:paraId="20C17030">
      <w:pPr>
        <w:spacing w:before="8" w:line="249" w:lineRule="auto"/>
        <w:ind w:left="99" w:right="98" w:firstLine="450"/>
        <w:jc w:val="both"/>
        <w:rPr>
          <w:rFonts w:hint="eastAsia"/>
          <w:color w:val="231F20"/>
          <w:sz w:val="30"/>
        </w:rPr>
      </w:pPr>
      <w:r>
        <w:rPr>
          <w:rFonts w:hint="eastAsia"/>
          <w:color w:val="231F20"/>
          <w:sz w:val="30"/>
        </w:rPr>
        <w:t>On this score, the Parable of the Leaven is virtually identical with the Parable of the Growing Seed, found in Mark’s Gospel (Mark 4:26-29).</w:t>
      </w:r>
    </w:p>
    <w:p w14:paraId="06E3F8C3">
      <w:pPr>
        <w:spacing w:before="8" w:line="249" w:lineRule="auto"/>
        <w:ind w:left="99" w:right="98" w:firstLine="450"/>
        <w:jc w:val="both"/>
        <w:rPr>
          <w:rFonts w:hint="eastAsia"/>
          <w:color w:val="231F20"/>
          <w:sz w:val="30"/>
        </w:rPr>
      </w:pPr>
      <w:r>
        <w:rPr>
          <w:rFonts w:hint="eastAsia"/>
          <w:color w:val="231F20"/>
          <w:sz w:val="30"/>
        </w:rPr>
        <w:t>在这一点上，面酵的比喻与马可福音中发现的生长种子的比喻几乎是相同的（可 4:26-29）。</w:t>
      </w:r>
    </w:p>
    <w:p w14:paraId="5719A128">
      <w:pPr>
        <w:spacing w:before="8" w:line="249" w:lineRule="auto"/>
        <w:ind w:left="99" w:right="98" w:firstLine="450"/>
        <w:jc w:val="both"/>
        <w:rPr>
          <w:rFonts w:hint="eastAsia"/>
          <w:color w:val="231F20"/>
          <w:sz w:val="30"/>
        </w:rPr>
      </w:pPr>
    </w:p>
    <w:p w14:paraId="4E7D9F5B">
      <w:pPr>
        <w:spacing w:before="8" w:line="249" w:lineRule="auto"/>
        <w:ind w:left="99" w:right="98" w:firstLine="450"/>
        <w:jc w:val="both"/>
        <w:rPr>
          <w:rFonts w:hint="eastAsia"/>
          <w:color w:val="231F20"/>
          <w:sz w:val="30"/>
        </w:rPr>
      </w:pPr>
      <w:r>
        <w:rPr>
          <w:rFonts w:hint="eastAsia"/>
          <w:color w:val="231F20"/>
          <w:sz w:val="30"/>
        </w:rPr>
        <w:t>In both of them, Christ is emphasizing that, despite necessary human labors, his global community of faithful believers is not a creation of man, but of the Spirit of Truth, whom the world cannot receive because it neither sees him nor knows him (John 14:17).</w:t>
      </w:r>
    </w:p>
    <w:p w14:paraId="2E2AF3C9">
      <w:pPr>
        <w:spacing w:before="8" w:line="249" w:lineRule="auto"/>
        <w:ind w:left="99" w:right="98" w:firstLine="450"/>
        <w:jc w:val="both"/>
        <w:rPr>
          <w:rFonts w:hint="eastAsia"/>
          <w:color w:val="231F20"/>
          <w:sz w:val="30"/>
        </w:rPr>
      </w:pPr>
      <w:r>
        <w:rPr>
          <w:rFonts w:hint="eastAsia"/>
          <w:color w:val="231F20"/>
          <w:sz w:val="30"/>
        </w:rPr>
        <w:t>在这两个比喻中，基督都在强调，尽管需要人力的劳苦，祂那由忠信信徒组成的全球性群体，并非人的创造，而是真理之灵的创造，世人不能接受祂，因为既看不见祂，也不认识祂（约 14:17）。</w:t>
      </w:r>
    </w:p>
    <w:p w14:paraId="454CEBCD">
      <w:pPr>
        <w:spacing w:before="8" w:line="249" w:lineRule="auto"/>
        <w:ind w:left="99" w:right="98" w:firstLine="450"/>
        <w:jc w:val="both"/>
        <w:rPr>
          <w:rFonts w:hint="eastAsia"/>
          <w:color w:val="231F20"/>
          <w:sz w:val="30"/>
        </w:rPr>
      </w:pPr>
    </w:p>
    <w:p w14:paraId="69C655F1">
      <w:pPr>
        <w:spacing w:before="8" w:line="249" w:lineRule="auto"/>
        <w:ind w:left="99" w:right="98" w:firstLine="450"/>
        <w:jc w:val="both"/>
        <w:rPr>
          <w:rFonts w:hint="eastAsia"/>
          <w:color w:val="231F20"/>
          <w:sz w:val="30"/>
        </w:rPr>
      </w:pPr>
      <w:r>
        <w:rPr>
          <w:rFonts w:hint="eastAsia"/>
          <w:color w:val="231F20"/>
          <w:sz w:val="30"/>
        </w:rPr>
        <w:t>The saints are to take comfort and courage from this, faithfully scattering the seed of the Word, then trusting the sovereign Spirit to do his secret, mysterious, and infallible work in human hearts until the appointed Day of Harvest (Mark 4:29).</w:t>
      </w:r>
    </w:p>
    <w:p w14:paraId="2D2BBFF6">
      <w:pPr>
        <w:spacing w:before="8" w:line="249" w:lineRule="auto"/>
        <w:ind w:left="99" w:right="98" w:firstLine="450"/>
        <w:jc w:val="both"/>
        <w:rPr>
          <w:rFonts w:hint="eastAsia"/>
          <w:color w:val="231F20"/>
          <w:sz w:val="30"/>
        </w:rPr>
      </w:pPr>
      <w:r>
        <w:rPr>
          <w:rFonts w:hint="eastAsia"/>
          <w:color w:val="231F20"/>
          <w:sz w:val="30"/>
        </w:rPr>
        <w:t>圣徒们应从此得到安慰和勇气，忠心地撒播道的种子，然后信靠至高的圣灵在人心中做祂那秘密、奥秘且万无一失的工作，直到指定的收割之日（可 4:29）。</w:t>
      </w:r>
    </w:p>
    <w:p w14:paraId="66FF9E4A">
      <w:pPr>
        <w:spacing w:before="8" w:line="249" w:lineRule="auto"/>
        <w:ind w:left="99" w:right="98" w:firstLine="450"/>
        <w:jc w:val="both"/>
        <w:rPr>
          <w:rFonts w:hint="eastAsia"/>
          <w:color w:val="231F20"/>
          <w:sz w:val="30"/>
        </w:rPr>
      </w:pPr>
    </w:p>
    <w:p w14:paraId="68076DFD">
      <w:pPr>
        <w:spacing w:before="8" w:line="249" w:lineRule="auto"/>
        <w:ind w:left="99" w:right="98" w:firstLine="450"/>
        <w:jc w:val="both"/>
        <w:rPr>
          <w:rFonts w:hint="eastAsia"/>
          <w:color w:val="231F20"/>
          <w:sz w:val="30"/>
        </w:rPr>
      </w:pPr>
      <w:r>
        <w:rPr>
          <w:rFonts w:hint="eastAsia"/>
          <w:color w:val="231F20"/>
          <w:sz w:val="30"/>
        </w:rPr>
        <w:t>The parables of the Hidden Treasure (Mt. 13:44) and the Pearl of Great Price (45-46) are both designed to communicate the exceedingly great value of the Kingdom for those who find it; a value that will quite naturally be reflected in their willingness “to sell all”—to make every necessary earthly sacrifice—in order to receive and retain it.</w:t>
      </w:r>
    </w:p>
    <w:p w14:paraId="72EA2C80">
      <w:pPr>
        <w:spacing w:before="8" w:line="249" w:lineRule="auto"/>
        <w:ind w:left="99" w:right="98" w:firstLine="450"/>
        <w:jc w:val="both"/>
        <w:rPr>
          <w:rFonts w:hint="eastAsia"/>
          <w:color w:val="231F20"/>
          <w:sz w:val="30"/>
        </w:rPr>
      </w:pPr>
      <w:r>
        <w:rPr>
          <w:rFonts w:hint="eastAsia"/>
          <w:color w:val="231F20"/>
          <w:sz w:val="30"/>
        </w:rPr>
        <w:t>藏宝的比喻（太 13:44）和重价珠子的比喻（45-46）都旨在传达国度对于找到它的人所具有的极其巨大的价值；这种价值很自然地会反映在他们愿意“变卖一切”——作出一切必要的属世牺牲——以领受并持守它的意愿上。</w:t>
      </w:r>
    </w:p>
    <w:p w14:paraId="02F33E0B">
      <w:pPr>
        <w:spacing w:before="8" w:line="249" w:lineRule="auto"/>
        <w:ind w:left="99" w:right="98" w:firstLine="450"/>
        <w:jc w:val="both"/>
        <w:rPr>
          <w:rFonts w:hint="eastAsia"/>
          <w:color w:val="231F20"/>
          <w:sz w:val="30"/>
        </w:rPr>
      </w:pPr>
    </w:p>
    <w:p w14:paraId="36CA1AE3">
      <w:pPr>
        <w:spacing w:before="8" w:line="249" w:lineRule="auto"/>
        <w:ind w:left="99" w:right="98" w:firstLine="450"/>
        <w:jc w:val="both"/>
        <w:rPr>
          <w:rFonts w:hint="eastAsia"/>
          <w:color w:val="231F20"/>
          <w:sz w:val="30"/>
        </w:rPr>
      </w:pPr>
      <w:r>
        <w:rPr>
          <w:rFonts w:hint="eastAsia"/>
          <w:color w:val="231F20"/>
          <w:sz w:val="30"/>
        </w:rPr>
        <w:t>Note also, especially from the Parable of the Hidden Treasure, how Christ again portrays his Messianic Kingdom as being invisible; as being hidden in the earth, or tucked away like a rare book in the stalls of the great marketplace of ideas that is the world-system.</w:t>
      </w:r>
    </w:p>
    <w:p w14:paraId="2C9D8DF6">
      <w:pPr>
        <w:spacing w:before="8" w:line="249" w:lineRule="auto"/>
        <w:ind w:left="99" w:right="98" w:firstLine="450"/>
        <w:jc w:val="both"/>
        <w:rPr>
          <w:rFonts w:hint="eastAsia"/>
          <w:color w:val="231F20"/>
          <w:sz w:val="30"/>
        </w:rPr>
      </w:pPr>
      <w:r>
        <w:rPr>
          <w:rFonts w:hint="eastAsia"/>
          <w:color w:val="231F20"/>
          <w:sz w:val="30"/>
        </w:rPr>
        <w:t>还要注意，特别是从藏宝的比喻中，基督如何再次将祂的弥赛亚国度描绘成不可见的；如同隐藏在地下，或者像一本珍稀的书籍藏在作为世界体系的观念大市场的摊位中。</w:t>
      </w:r>
    </w:p>
    <w:p w14:paraId="7166DDAD">
      <w:pPr>
        <w:spacing w:before="8" w:line="249" w:lineRule="auto"/>
        <w:ind w:left="99" w:right="98" w:firstLine="450"/>
        <w:jc w:val="both"/>
        <w:rPr>
          <w:rFonts w:hint="eastAsia"/>
          <w:color w:val="231F20"/>
          <w:sz w:val="30"/>
        </w:rPr>
      </w:pPr>
    </w:p>
    <w:p w14:paraId="40308AB4">
      <w:pPr>
        <w:spacing w:before="8" w:line="249" w:lineRule="auto"/>
        <w:ind w:left="99" w:right="98" w:firstLine="450"/>
        <w:jc w:val="both"/>
        <w:rPr>
          <w:rFonts w:hint="eastAsia"/>
          <w:color w:val="231F20"/>
          <w:sz w:val="30"/>
        </w:rPr>
      </w:pPr>
      <w:r>
        <w:rPr>
          <w:rFonts w:hint="eastAsia"/>
          <w:color w:val="231F20"/>
          <w:sz w:val="30"/>
        </w:rPr>
        <w:t>Clearly, this Messianic Kingdom has nothing to do with mountains, cities, temples, priests, sacrifices, or any other institution of the Mosaic Law.</w:t>
      </w:r>
    </w:p>
    <w:p w14:paraId="481AE96F">
      <w:pPr>
        <w:spacing w:before="8" w:line="249" w:lineRule="auto"/>
        <w:ind w:left="99" w:right="98" w:firstLine="450"/>
        <w:jc w:val="both"/>
        <w:rPr>
          <w:rFonts w:hint="eastAsia"/>
          <w:color w:val="231F20"/>
          <w:sz w:val="30"/>
        </w:rPr>
      </w:pPr>
      <w:r>
        <w:rPr>
          <w:rFonts w:hint="eastAsia"/>
          <w:color w:val="231F20"/>
          <w:sz w:val="30"/>
        </w:rPr>
        <w:t>显然，这个弥赛亚国度与山、城、殿、祭司、献祭或摩西律法的任何其他制度都无关。</w:t>
      </w:r>
    </w:p>
    <w:p w14:paraId="327DE702">
      <w:pPr>
        <w:spacing w:before="8" w:line="249" w:lineRule="auto"/>
        <w:ind w:left="99" w:right="98" w:firstLine="450"/>
        <w:jc w:val="both"/>
        <w:rPr>
          <w:rFonts w:hint="eastAsia"/>
          <w:color w:val="231F20"/>
          <w:sz w:val="30"/>
        </w:rPr>
      </w:pPr>
    </w:p>
    <w:p w14:paraId="1D81009D">
      <w:pPr>
        <w:spacing w:before="8" w:line="249" w:lineRule="auto"/>
        <w:ind w:left="99" w:right="98" w:firstLine="450"/>
        <w:jc w:val="both"/>
        <w:rPr>
          <w:rFonts w:hint="eastAsia"/>
          <w:color w:val="231F20"/>
          <w:sz w:val="30"/>
        </w:rPr>
      </w:pPr>
      <w:r>
        <w:rPr>
          <w:rFonts w:hint="eastAsia"/>
          <w:color w:val="231F20"/>
          <w:sz w:val="30"/>
        </w:rPr>
        <w:t>Rather, it is an invisible realm of spiritual rescue and restoration; a realm that does not even appear on the radar screen of the world-system; yet a realm profoundly valued and cherished by all who, through God’s sovereign grace, have heard, seen, and entered in.</w:t>
      </w:r>
    </w:p>
    <w:p w14:paraId="4751CDCB">
      <w:pPr>
        <w:spacing w:before="8" w:line="249" w:lineRule="auto"/>
        <w:ind w:left="99" w:right="98" w:firstLine="450"/>
        <w:jc w:val="both"/>
        <w:rPr>
          <w:rFonts w:hint="eastAsia"/>
          <w:color w:val="231F20"/>
          <w:sz w:val="30"/>
        </w:rPr>
      </w:pPr>
      <w:r>
        <w:rPr>
          <w:rFonts w:hint="eastAsia"/>
          <w:color w:val="231F20"/>
          <w:sz w:val="30"/>
        </w:rPr>
        <w:t>相反，它是一个不可见的属灵拯救和恢复的领域；一个甚至不出现在世界体系雷达屏幕上的领域；然而，对于所有藉着上帝至高恩典听见、看见并进入的人来说，这是一个被深刻珍视和宝爱的领域。</w:t>
      </w:r>
    </w:p>
    <w:p w14:paraId="1AF56B84">
      <w:pPr>
        <w:spacing w:before="8" w:line="249" w:lineRule="auto"/>
        <w:ind w:left="99" w:right="98" w:firstLine="450"/>
        <w:jc w:val="both"/>
        <w:rPr>
          <w:rFonts w:hint="eastAsia"/>
          <w:color w:val="231F20"/>
          <w:sz w:val="30"/>
        </w:rPr>
      </w:pPr>
    </w:p>
    <w:p w14:paraId="704EFD43">
      <w:pPr>
        <w:spacing w:before="8" w:line="249" w:lineRule="auto"/>
        <w:ind w:left="99" w:right="98" w:firstLine="450"/>
        <w:jc w:val="both"/>
        <w:rPr>
          <w:rFonts w:hint="eastAsia"/>
          <w:color w:val="231F20"/>
          <w:sz w:val="30"/>
        </w:rPr>
      </w:pPr>
      <w:r>
        <w:rPr>
          <w:rFonts w:hint="eastAsia"/>
          <w:color w:val="231F20"/>
          <w:sz w:val="30"/>
        </w:rPr>
        <w:t>Finally, we have the Parable of the Dragnet.</w:t>
      </w:r>
    </w:p>
    <w:p w14:paraId="1D7C4928">
      <w:pPr>
        <w:spacing w:before="8" w:line="249" w:lineRule="auto"/>
        <w:ind w:left="99" w:right="98" w:firstLine="450"/>
        <w:jc w:val="both"/>
        <w:rPr>
          <w:rFonts w:hint="eastAsia"/>
          <w:color w:val="231F20"/>
          <w:sz w:val="30"/>
        </w:rPr>
      </w:pPr>
      <w:r>
        <w:rPr>
          <w:rFonts w:hint="eastAsia"/>
          <w:color w:val="231F20"/>
          <w:sz w:val="30"/>
        </w:rPr>
        <w:t>最后，我们有撒网的比喻。</w:t>
      </w:r>
    </w:p>
    <w:p w14:paraId="367B075B">
      <w:pPr>
        <w:spacing w:before="8" w:line="249" w:lineRule="auto"/>
        <w:ind w:left="99" w:right="98" w:firstLine="450"/>
        <w:jc w:val="both"/>
        <w:rPr>
          <w:rFonts w:hint="eastAsia"/>
          <w:color w:val="231F20"/>
          <w:sz w:val="30"/>
        </w:rPr>
      </w:pPr>
    </w:p>
    <w:p w14:paraId="37A87722">
      <w:pPr>
        <w:spacing w:before="8" w:line="249" w:lineRule="auto"/>
        <w:ind w:left="99" w:right="98" w:firstLine="450"/>
        <w:jc w:val="both"/>
        <w:rPr>
          <w:rFonts w:hint="eastAsia"/>
          <w:color w:val="231F20"/>
          <w:sz w:val="30"/>
        </w:rPr>
      </w:pPr>
      <w:r>
        <w:rPr>
          <w:rFonts w:hint="eastAsia"/>
          <w:color w:val="231F20"/>
          <w:sz w:val="30"/>
        </w:rPr>
        <w:t>This appears only in Matthew’s gospel, where, fittingly enough, it brings Jesus’ discourse on the mysteries of the Kingdom to a close (Mt. 13:47-50).</w:t>
      </w:r>
    </w:p>
    <w:p w14:paraId="2050A88B">
      <w:pPr>
        <w:spacing w:before="8" w:line="249" w:lineRule="auto"/>
        <w:ind w:left="99" w:right="98" w:firstLine="450"/>
        <w:jc w:val="both"/>
        <w:rPr>
          <w:rFonts w:hint="eastAsia"/>
          <w:color w:val="231F20"/>
          <w:sz w:val="30"/>
        </w:rPr>
      </w:pPr>
      <w:r>
        <w:rPr>
          <w:rFonts w:hint="eastAsia"/>
          <w:color w:val="231F20"/>
          <w:sz w:val="30"/>
        </w:rPr>
        <w:t>这只出现在马太福音中，在那里，恰如其分地，它结束了耶稣关于国度奥秘的讲论（太 13:47-50）。</w:t>
      </w:r>
    </w:p>
    <w:p w14:paraId="541F949C">
      <w:pPr>
        <w:spacing w:before="8" w:line="249" w:lineRule="auto"/>
        <w:ind w:left="99" w:right="98" w:firstLine="450"/>
        <w:jc w:val="both"/>
        <w:rPr>
          <w:rFonts w:hint="eastAsia"/>
          <w:color w:val="231F20"/>
          <w:sz w:val="30"/>
        </w:rPr>
      </w:pPr>
    </w:p>
    <w:p w14:paraId="04D28E5B">
      <w:pPr>
        <w:spacing w:before="8" w:line="249" w:lineRule="auto"/>
        <w:ind w:left="99" w:right="98" w:firstLine="450"/>
        <w:jc w:val="both"/>
        <w:rPr>
          <w:rFonts w:hint="eastAsia"/>
          <w:color w:val="231F20"/>
          <w:sz w:val="30"/>
        </w:rPr>
      </w:pPr>
      <w:r>
        <w:rPr>
          <w:rFonts w:hint="eastAsia"/>
          <w:color w:val="231F20"/>
          <w:sz w:val="30"/>
        </w:rPr>
        <w:t>It is one of three parables picturing the Last Judgment as a definitive separation, whether of wheat and tares (13:30), sheep and goats (25:31-46), or good fish and bad (13:49).</w:t>
      </w:r>
    </w:p>
    <w:p w14:paraId="59322A8B">
      <w:pPr>
        <w:spacing w:before="8" w:line="249" w:lineRule="auto"/>
        <w:ind w:left="99" w:right="98" w:firstLine="450"/>
        <w:jc w:val="both"/>
        <w:rPr>
          <w:rFonts w:hint="eastAsia"/>
          <w:color w:val="231F20"/>
          <w:sz w:val="30"/>
        </w:rPr>
      </w:pPr>
      <w:r>
        <w:rPr>
          <w:rFonts w:hint="eastAsia"/>
          <w:color w:val="231F20"/>
          <w:sz w:val="30"/>
        </w:rPr>
        <w:t>这是描绘最后审判为一次决定性分离的三个比喻之一，无论是麦子和稗子（13:30），绵羊和山羊（25:31-46），还是好鱼和坏鱼（13:49）。</w:t>
      </w:r>
    </w:p>
    <w:p w14:paraId="48AB79DA">
      <w:pPr>
        <w:spacing w:before="8" w:line="249" w:lineRule="auto"/>
        <w:ind w:left="99" w:right="98" w:firstLine="450"/>
        <w:jc w:val="both"/>
        <w:rPr>
          <w:rFonts w:hint="eastAsia"/>
          <w:color w:val="231F20"/>
          <w:sz w:val="30"/>
        </w:rPr>
      </w:pPr>
    </w:p>
    <w:p w14:paraId="4DDF40F7">
      <w:pPr>
        <w:spacing w:before="8" w:line="249" w:lineRule="auto"/>
        <w:ind w:left="99" w:right="98" w:firstLine="450"/>
        <w:jc w:val="both"/>
        <w:rPr>
          <w:rFonts w:hint="eastAsia"/>
          <w:color w:val="231F20"/>
          <w:sz w:val="30"/>
        </w:rPr>
      </w:pPr>
      <w:r>
        <w:rPr>
          <w:rFonts w:hint="eastAsia"/>
          <w:color w:val="231F20"/>
          <w:sz w:val="30"/>
        </w:rPr>
        <w:t>Here again Christ speaks of the holy angels.</w:t>
      </w:r>
    </w:p>
    <w:p w14:paraId="1484EBF4">
      <w:pPr>
        <w:spacing w:before="8" w:line="249" w:lineRule="auto"/>
        <w:ind w:left="99" w:right="98" w:firstLine="450"/>
        <w:jc w:val="both"/>
        <w:rPr>
          <w:rFonts w:hint="eastAsia"/>
          <w:color w:val="231F20"/>
          <w:sz w:val="30"/>
        </w:rPr>
      </w:pPr>
      <w:r>
        <w:rPr>
          <w:rFonts w:hint="eastAsia"/>
          <w:color w:val="231F20"/>
          <w:sz w:val="30"/>
        </w:rPr>
        <w:t>在此，基督再次谈到圣天使。</w:t>
      </w:r>
    </w:p>
    <w:p w14:paraId="60AEE49E">
      <w:pPr>
        <w:spacing w:before="8" w:line="249" w:lineRule="auto"/>
        <w:ind w:left="99" w:right="98" w:firstLine="450"/>
        <w:jc w:val="both"/>
        <w:rPr>
          <w:rFonts w:hint="eastAsia"/>
          <w:color w:val="231F20"/>
          <w:sz w:val="30"/>
        </w:rPr>
      </w:pPr>
    </w:p>
    <w:p w14:paraId="3D1710E4">
      <w:pPr>
        <w:spacing w:before="8" w:line="249" w:lineRule="auto"/>
        <w:ind w:left="99" w:right="98" w:firstLine="450"/>
        <w:jc w:val="both"/>
        <w:rPr>
          <w:rFonts w:hint="eastAsia"/>
          <w:color w:val="231F20"/>
          <w:sz w:val="30"/>
        </w:rPr>
      </w:pPr>
      <w:r>
        <w:rPr>
          <w:rFonts w:hint="eastAsia"/>
          <w:color w:val="231F20"/>
          <w:sz w:val="30"/>
        </w:rPr>
        <w:t>This time, however, we receive more truth about their mission in that Day.</w:t>
      </w:r>
    </w:p>
    <w:p w14:paraId="10B1E164">
      <w:pPr>
        <w:spacing w:before="8" w:line="249" w:lineRule="auto"/>
        <w:ind w:left="99" w:right="98" w:firstLine="450"/>
        <w:jc w:val="both"/>
        <w:rPr>
          <w:rFonts w:hint="eastAsia"/>
          <w:color w:val="231F20"/>
          <w:sz w:val="30"/>
        </w:rPr>
      </w:pPr>
      <w:r>
        <w:rPr>
          <w:rFonts w:hint="eastAsia"/>
          <w:color w:val="231F20"/>
          <w:sz w:val="30"/>
        </w:rPr>
        <w:t>然而，这一次，我们领受了更多关于他们在那日使命的真理。</w:t>
      </w:r>
    </w:p>
    <w:p w14:paraId="70DD29A7">
      <w:pPr>
        <w:spacing w:before="8" w:line="249" w:lineRule="auto"/>
        <w:ind w:left="99" w:right="98" w:firstLine="450"/>
        <w:jc w:val="both"/>
        <w:rPr>
          <w:rFonts w:hint="eastAsia"/>
          <w:color w:val="231F20"/>
          <w:sz w:val="30"/>
        </w:rPr>
      </w:pPr>
    </w:p>
    <w:p w14:paraId="5BFC35BA">
      <w:pPr>
        <w:spacing w:before="8" w:line="249" w:lineRule="auto"/>
        <w:ind w:left="99" w:right="98" w:firstLine="450"/>
        <w:jc w:val="both"/>
        <w:rPr>
          <w:rFonts w:hint="eastAsia"/>
          <w:color w:val="231F20"/>
          <w:sz w:val="30"/>
        </w:rPr>
      </w:pPr>
      <w:r>
        <w:rPr>
          <w:rFonts w:hint="eastAsia"/>
          <w:color w:val="231F20"/>
          <w:sz w:val="30"/>
        </w:rPr>
        <w:t>First, they will gather in both good and bad; then they will gather out (lit. throw away) the bad.</w:t>
      </w:r>
    </w:p>
    <w:p w14:paraId="6939750C">
      <w:pPr>
        <w:spacing w:before="8" w:line="249" w:lineRule="auto"/>
        <w:ind w:left="99" w:right="98" w:firstLine="450"/>
        <w:jc w:val="both"/>
        <w:rPr>
          <w:rFonts w:hint="eastAsia"/>
          <w:color w:val="231F20"/>
          <w:sz w:val="30"/>
        </w:rPr>
      </w:pPr>
      <w:r>
        <w:rPr>
          <w:rFonts w:hint="eastAsia"/>
          <w:color w:val="231F20"/>
          <w:sz w:val="30"/>
        </w:rPr>
        <w:t>首先，他们将把好坏都聚集起来；然后他们将把坏的聚集出来（字面意思：扔掉）。</w:t>
      </w:r>
    </w:p>
    <w:p w14:paraId="7B99CB7D">
      <w:pPr>
        <w:spacing w:before="8" w:line="249" w:lineRule="auto"/>
        <w:ind w:left="99" w:right="98" w:firstLine="450"/>
        <w:jc w:val="both"/>
        <w:rPr>
          <w:rFonts w:hint="eastAsia"/>
          <w:color w:val="231F20"/>
          <w:sz w:val="30"/>
        </w:rPr>
      </w:pPr>
    </w:p>
    <w:p w14:paraId="181E17BF">
      <w:pPr>
        <w:spacing w:before="8" w:line="249" w:lineRule="auto"/>
        <w:ind w:left="99" w:right="98" w:firstLine="450"/>
        <w:jc w:val="both"/>
        <w:rPr>
          <w:rFonts w:hint="eastAsia"/>
          <w:color w:val="231F20"/>
          <w:sz w:val="30"/>
        </w:rPr>
      </w:pPr>
      <w:r>
        <w:rPr>
          <w:rFonts w:hint="eastAsia"/>
          <w:color w:val="231F20"/>
          <w:sz w:val="30"/>
        </w:rPr>
        <w:t>Later we will examine a number of other NT texts that shed more light on this one eschatological “rapture” of the saved and the lost.</w:t>
      </w:r>
    </w:p>
    <w:p w14:paraId="182FB846">
      <w:pPr>
        <w:spacing w:before="8" w:line="249" w:lineRule="auto"/>
        <w:ind w:left="99" w:right="98" w:firstLine="450"/>
        <w:jc w:val="both"/>
        <w:rPr>
          <w:rFonts w:hint="eastAsia"/>
          <w:color w:val="231F20"/>
          <w:sz w:val="30"/>
        </w:rPr>
      </w:pPr>
      <w:r>
        <w:rPr>
          <w:rFonts w:hint="eastAsia"/>
          <w:color w:val="231F20"/>
          <w:sz w:val="30"/>
        </w:rPr>
        <w:t>稍后我们将查考一些其他新约经文，它们对这个关于得救者和失丧者的末世“被提”提供了更多的亮光。</w:t>
      </w:r>
    </w:p>
    <w:p w14:paraId="32EBBBA1">
      <w:pPr>
        <w:spacing w:before="8" w:line="249" w:lineRule="auto"/>
        <w:ind w:left="99" w:right="98" w:firstLine="450"/>
        <w:jc w:val="both"/>
        <w:rPr>
          <w:rFonts w:hint="eastAsia"/>
          <w:color w:val="231F20"/>
          <w:sz w:val="30"/>
        </w:rPr>
      </w:pPr>
    </w:p>
    <w:p w14:paraId="156CC02C">
      <w:pPr>
        <w:spacing w:before="8" w:line="249" w:lineRule="auto"/>
        <w:ind w:left="99" w:right="98" w:firstLine="450"/>
        <w:jc w:val="both"/>
        <w:rPr>
          <w:rFonts w:hint="eastAsia"/>
          <w:color w:val="231F20"/>
          <w:sz w:val="30"/>
        </w:rPr>
      </w:pPr>
      <w:r>
        <w:rPr>
          <w:rFonts w:hint="eastAsia"/>
          <w:color w:val="231F20"/>
          <w:sz w:val="30"/>
        </w:rPr>
        <w:t>Here, however, I would conclude by observing yet again that Christ clearly anticipates a single Consummation.</w:t>
      </w:r>
    </w:p>
    <w:p w14:paraId="5D61B3F9">
      <w:pPr>
        <w:spacing w:before="8" w:line="249" w:lineRule="auto"/>
        <w:ind w:left="99" w:right="98" w:firstLine="450"/>
        <w:jc w:val="both"/>
        <w:rPr>
          <w:rFonts w:hint="eastAsia"/>
          <w:color w:val="231F20"/>
          <w:sz w:val="30"/>
        </w:rPr>
      </w:pPr>
      <w:r>
        <w:rPr>
          <w:rFonts w:hint="eastAsia"/>
          <w:color w:val="231F20"/>
          <w:sz w:val="30"/>
        </w:rPr>
        <w:t>然而，在此，我愿再次总结说，基督清楚地预见了一个单一的最终成全。</w:t>
      </w:r>
    </w:p>
    <w:p w14:paraId="3DF91901">
      <w:pPr>
        <w:spacing w:before="8" w:line="249" w:lineRule="auto"/>
        <w:ind w:left="99" w:right="98" w:firstLine="450"/>
        <w:jc w:val="both"/>
        <w:rPr>
          <w:rFonts w:hint="eastAsia"/>
          <w:color w:val="231F20"/>
          <w:sz w:val="30"/>
        </w:rPr>
      </w:pPr>
    </w:p>
    <w:p w14:paraId="12685A90">
      <w:pPr>
        <w:spacing w:before="8" w:line="249" w:lineRule="auto"/>
        <w:ind w:left="99" w:right="98" w:firstLine="450"/>
        <w:jc w:val="both"/>
        <w:rPr>
          <w:rFonts w:hint="eastAsia"/>
          <w:color w:val="231F20"/>
          <w:sz w:val="30"/>
        </w:rPr>
      </w:pPr>
      <w:r>
        <w:rPr>
          <w:rFonts w:hint="eastAsia"/>
          <w:color w:val="231F20"/>
          <w:sz w:val="30"/>
        </w:rPr>
        <w:t>At the end of the age he will come again one final time (13:41).</w:t>
      </w:r>
    </w:p>
    <w:p w14:paraId="51E50D49">
      <w:pPr>
        <w:spacing w:before="8" w:line="249" w:lineRule="auto"/>
        <w:ind w:left="99" w:right="98" w:firstLine="450"/>
        <w:jc w:val="both"/>
        <w:rPr>
          <w:rFonts w:hint="eastAsia"/>
          <w:color w:val="231F20"/>
          <w:sz w:val="30"/>
        </w:rPr>
      </w:pPr>
      <w:r>
        <w:rPr>
          <w:rFonts w:hint="eastAsia"/>
          <w:color w:val="231F20"/>
          <w:sz w:val="30"/>
        </w:rPr>
        <w:t>在世代的末了，祂将最后一次再来（13:41）。</w:t>
      </w:r>
    </w:p>
    <w:p w14:paraId="39B11331">
      <w:pPr>
        <w:spacing w:before="8" w:line="249" w:lineRule="auto"/>
        <w:ind w:left="99" w:right="98" w:firstLine="450"/>
        <w:jc w:val="both"/>
        <w:rPr>
          <w:rFonts w:hint="eastAsia"/>
          <w:color w:val="231F20"/>
          <w:sz w:val="30"/>
        </w:rPr>
      </w:pPr>
    </w:p>
    <w:p w14:paraId="7FEE5A6E">
      <w:pPr>
        <w:spacing w:before="8" w:line="249" w:lineRule="auto"/>
        <w:ind w:left="99" w:right="98" w:firstLine="450"/>
        <w:jc w:val="both"/>
        <w:rPr>
          <w:rFonts w:hint="eastAsia"/>
          <w:color w:val="231F20"/>
          <w:sz w:val="30"/>
        </w:rPr>
      </w:pPr>
      <w:r>
        <w:rPr>
          <w:rFonts w:hint="eastAsia"/>
          <w:color w:val="231F20"/>
          <w:sz w:val="30"/>
        </w:rPr>
        <w:t>He will send forth his angels to assemble all men and all angels before him (Mt. 25:31-32, 2 Cor. 5:10).</w:t>
      </w:r>
    </w:p>
    <w:p w14:paraId="1B8FFF10">
      <w:pPr>
        <w:spacing w:before="8" w:line="249" w:lineRule="auto"/>
        <w:ind w:left="99" w:right="98" w:firstLine="450"/>
        <w:jc w:val="both"/>
        <w:rPr>
          <w:rFonts w:hint="eastAsia"/>
          <w:color w:val="231F20"/>
          <w:sz w:val="30"/>
        </w:rPr>
      </w:pPr>
      <w:r>
        <w:rPr>
          <w:rFonts w:hint="eastAsia"/>
          <w:color w:val="231F20"/>
          <w:sz w:val="30"/>
        </w:rPr>
        <w:t>祂将差遣祂的使者，将所有人和所有天使都聚集在祂面前（太 25:31-32, 林后 5:10）。</w:t>
      </w:r>
    </w:p>
    <w:p w14:paraId="53459938">
      <w:pPr>
        <w:spacing w:before="8" w:line="249" w:lineRule="auto"/>
        <w:ind w:left="99" w:right="98" w:firstLine="450"/>
        <w:jc w:val="both"/>
        <w:rPr>
          <w:rFonts w:hint="eastAsia"/>
          <w:color w:val="231F20"/>
          <w:sz w:val="30"/>
        </w:rPr>
      </w:pPr>
    </w:p>
    <w:p w14:paraId="56A56279">
      <w:pPr>
        <w:spacing w:before="8" w:line="249" w:lineRule="auto"/>
        <w:ind w:left="99" w:right="98" w:firstLine="450"/>
        <w:jc w:val="both"/>
        <w:rPr>
          <w:rFonts w:hint="eastAsia"/>
          <w:color w:val="231F20"/>
          <w:sz w:val="30"/>
        </w:rPr>
      </w:pPr>
      <w:r>
        <w:rPr>
          <w:rFonts w:hint="eastAsia"/>
          <w:color w:val="231F20"/>
          <w:sz w:val="30"/>
        </w:rPr>
        <w:t>He will turn away the wicked into hell (13:42, 50).</w:t>
      </w:r>
    </w:p>
    <w:p w14:paraId="283A618D">
      <w:pPr>
        <w:spacing w:before="8" w:line="249" w:lineRule="auto"/>
        <w:ind w:left="99" w:right="98" w:firstLine="450"/>
        <w:jc w:val="both"/>
        <w:rPr>
          <w:rFonts w:hint="eastAsia"/>
          <w:color w:val="231F20"/>
          <w:sz w:val="30"/>
        </w:rPr>
      </w:pPr>
      <w:r>
        <w:rPr>
          <w:rFonts w:hint="eastAsia"/>
          <w:color w:val="231F20"/>
          <w:sz w:val="30"/>
        </w:rPr>
        <w:t>祂将把恶人赶入地狱（13:42, 50）。</w:t>
      </w:r>
    </w:p>
    <w:p w14:paraId="1AA1D538">
      <w:pPr>
        <w:spacing w:before="8" w:line="249" w:lineRule="auto"/>
        <w:ind w:left="99" w:right="98" w:firstLine="450"/>
        <w:jc w:val="both"/>
        <w:rPr>
          <w:rFonts w:hint="eastAsia"/>
          <w:color w:val="231F20"/>
          <w:sz w:val="30"/>
        </w:rPr>
      </w:pPr>
    </w:p>
    <w:p w14:paraId="15C755F0">
      <w:pPr>
        <w:spacing w:before="8" w:line="249" w:lineRule="auto"/>
        <w:ind w:left="99" w:right="98" w:firstLine="450"/>
        <w:jc w:val="both"/>
        <w:rPr>
          <w:rFonts w:hint="eastAsia"/>
          <w:color w:val="231F20"/>
          <w:sz w:val="30"/>
        </w:rPr>
      </w:pPr>
      <w:r>
        <w:rPr>
          <w:rFonts w:hint="eastAsia"/>
          <w:color w:val="231F20"/>
          <w:sz w:val="30"/>
        </w:rPr>
        <w:t>And then, in a glorious new Age to Come, he will cause the righteous to shine forever in the eternal Kingdom of their Father (13:43).</w:t>
      </w:r>
    </w:p>
    <w:p w14:paraId="6D062B9C">
      <w:pPr>
        <w:spacing w:before="8" w:line="249" w:lineRule="auto"/>
        <w:ind w:left="99" w:right="98" w:firstLine="450"/>
        <w:jc w:val="both"/>
        <w:rPr>
          <w:rFonts w:hint="eastAsia"/>
          <w:color w:val="231F20"/>
          <w:sz w:val="30"/>
        </w:rPr>
      </w:pPr>
      <w:r>
        <w:rPr>
          <w:rFonts w:hint="eastAsia"/>
          <w:color w:val="231F20"/>
          <w:sz w:val="30"/>
        </w:rPr>
        <w:t>然后，在一个荣耀的新来世，祂将使义人在他们父的永恒国度里永远发光（13:43）。</w:t>
      </w:r>
    </w:p>
    <w:p w14:paraId="03748439">
      <w:pPr>
        <w:spacing w:before="8" w:line="249" w:lineRule="auto"/>
        <w:ind w:left="99" w:right="98" w:firstLine="450"/>
        <w:jc w:val="both"/>
        <w:rPr>
          <w:rFonts w:hint="eastAsia"/>
          <w:color w:val="231F20"/>
          <w:sz w:val="30"/>
        </w:rPr>
      </w:pPr>
    </w:p>
    <w:p w14:paraId="07CEEC6E">
      <w:pPr>
        <w:spacing w:before="8" w:line="249" w:lineRule="auto"/>
        <w:ind w:left="99" w:right="98" w:firstLine="450"/>
        <w:jc w:val="both"/>
        <w:rPr>
          <w:rFonts w:hint="eastAsia"/>
          <w:color w:val="231F20"/>
          <w:sz w:val="30"/>
        </w:rPr>
      </w:pPr>
      <w:r>
        <w:rPr>
          <w:rFonts w:hint="eastAsia"/>
          <w:color w:val="231F20"/>
          <w:sz w:val="30"/>
        </w:rPr>
        <w:t>A Summary of the Mysteries of the Kingdom</w:t>
      </w:r>
    </w:p>
    <w:p w14:paraId="6ECC0222">
      <w:pPr>
        <w:spacing w:before="8" w:line="249" w:lineRule="auto"/>
        <w:ind w:left="99" w:right="98" w:firstLine="450"/>
        <w:jc w:val="both"/>
        <w:rPr>
          <w:rFonts w:hint="eastAsia"/>
          <w:color w:val="231F20"/>
          <w:sz w:val="30"/>
        </w:rPr>
      </w:pPr>
      <w:r>
        <w:rPr>
          <w:rFonts w:hint="eastAsia"/>
          <w:color w:val="231F20"/>
          <w:sz w:val="30"/>
        </w:rPr>
        <w:t>国度奥秘的总结</w:t>
      </w:r>
    </w:p>
    <w:p w14:paraId="43CE68D2">
      <w:pPr>
        <w:spacing w:before="8" w:line="249" w:lineRule="auto"/>
        <w:ind w:left="99" w:right="98" w:firstLine="450"/>
        <w:jc w:val="both"/>
        <w:rPr>
          <w:rFonts w:hint="eastAsia"/>
          <w:color w:val="231F20"/>
          <w:sz w:val="30"/>
        </w:rPr>
      </w:pPr>
    </w:p>
    <w:p w14:paraId="3F8EC2A2">
      <w:pPr>
        <w:spacing w:before="8" w:line="249" w:lineRule="auto"/>
        <w:ind w:left="99" w:right="98" w:firstLine="450"/>
        <w:jc w:val="both"/>
        <w:rPr>
          <w:rFonts w:hint="eastAsia"/>
          <w:color w:val="231F20"/>
          <w:sz w:val="30"/>
        </w:rPr>
      </w:pPr>
      <w:r>
        <w:rPr>
          <w:rFonts w:hint="eastAsia"/>
          <w:color w:val="231F20"/>
          <w:sz w:val="30"/>
        </w:rPr>
        <w:t>We are seeking Jesus’ view of the coming of the Kingdom: how it enters and unfolds in Salvation History.</w:t>
      </w:r>
    </w:p>
    <w:p w14:paraId="483D23BB">
      <w:pPr>
        <w:spacing w:before="8" w:line="249" w:lineRule="auto"/>
        <w:ind w:left="99" w:right="98" w:firstLine="450"/>
        <w:jc w:val="both"/>
        <w:rPr>
          <w:rFonts w:hint="eastAsia"/>
          <w:color w:val="231F20"/>
          <w:sz w:val="30"/>
        </w:rPr>
      </w:pPr>
      <w:r>
        <w:rPr>
          <w:rFonts w:hint="eastAsia"/>
          <w:color w:val="231F20"/>
          <w:sz w:val="30"/>
        </w:rPr>
        <w:t>我们正在寻求耶稣对国度降临的看法：它如何进入并在救赎历史中展开。</w:t>
      </w:r>
    </w:p>
    <w:p w14:paraId="62E125AA">
      <w:pPr>
        <w:spacing w:before="8" w:line="249" w:lineRule="auto"/>
        <w:ind w:left="99" w:right="98" w:firstLine="450"/>
        <w:jc w:val="both"/>
        <w:rPr>
          <w:rFonts w:hint="eastAsia"/>
          <w:color w:val="231F20"/>
          <w:sz w:val="30"/>
        </w:rPr>
      </w:pPr>
    </w:p>
    <w:p w14:paraId="6F7A5414">
      <w:pPr>
        <w:spacing w:before="8" w:line="249" w:lineRule="auto"/>
        <w:ind w:left="99" w:right="98" w:firstLine="450"/>
        <w:jc w:val="both"/>
        <w:rPr>
          <w:rFonts w:hint="eastAsia"/>
          <w:color w:val="231F20"/>
          <w:sz w:val="30"/>
        </w:rPr>
      </w:pPr>
      <w:r>
        <w:rPr>
          <w:rFonts w:hint="eastAsia"/>
          <w:color w:val="231F20"/>
          <w:sz w:val="30"/>
        </w:rPr>
        <w:t>Our starting point has been his Discourse on the Mysteries of the Kingdom.</w:t>
      </w:r>
    </w:p>
    <w:p w14:paraId="378F67DF">
      <w:pPr>
        <w:spacing w:before="8" w:line="249" w:lineRule="auto"/>
        <w:ind w:left="99" w:right="98" w:firstLine="450"/>
        <w:jc w:val="both"/>
        <w:rPr>
          <w:rFonts w:hint="eastAsia"/>
          <w:color w:val="231F20"/>
          <w:sz w:val="30"/>
        </w:rPr>
      </w:pPr>
      <w:r>
        <w:rPr>
          <w:rFonts w:hint="eastAsia"/>
          <w:color w:val="231F20"/>
          <w:sz w:val="30"/>
        </w:rPr>
        <w:t>我们的出发点是祂关于国度奥秘的讲论。</w:t>
      </w:r>
    </w:p>
    <w:p w14:paraId="5F2190EB">
      <w:pPr>
        <w:spacing w:before="8" w:line="249" w:lineRule="auto"/>
        <w:ind w:left="99" w:right="98" w:firstLine="450"/>
        <w:jc w:val="both"/>
        <w:rPr>
          <w:rFonts w:hint="eastAsia"/>
          <w:color w:val="231F20"/>
          <w:sz w:val="30"/>
        </w:rPr>
      </w:pPr>
    </w:p>
    <w:p w14:paraId="03FD786C">
      <w:pPr>
        <w:spacing w:before="8" w:line="249" w:lineRule="auto"/>
        <w:ind w:left="99" w:right="98" w:firstLine="450"/>
        <w:jc w:val="both"/>
        <w:rPr>
          <w:rFonts w:hint="eastAsia"/>
          <w:color w:val="231F20"/>
          <w:sz w:val="30"/>
        </w:rPr>
      </w:pPr>
      <w:r>
        <w:rPr>
          <w:rFonts w:hint="eastAsia"/>
          <w:color w:val="231F20"/>
          <w:sz w:val="30"/>
        </w:rPr>
        <w:t>Though clothed in parabolic language, it is fabulously rich.</w:t>
      </w:r>
    </w:p>
    <w:p w14:paraId="6A26A5F6">
      <w:pPr>
        <w:spacing w:before="8" w:line="249" w:lineRule="auto"/>
        <w:ind w:left="99" w:right="98" w:firstLine="450"/>
        <w:jc w:val="both"/>
        <w:rPr>
          <w:rFonts w:hint="eastAsia"/>
          <w:color w:val="231F20"/>
          <w:sz w:val="30"/>
        </w:rPr>
      </w:pPr>
      <w:r>
        <w:rPr>
          <w:rFonts w:hint="eastAsia"/>
          <w:color w:val="231F20"/>
          <w:sz w:val="30"/>
        </w:rPr>
        <w:t>尽管用比喻的语言包装，它却是极其丰富的。</w:t>
      </w:r>
    </w:p>
    <w:p w14:paraId="45A006CB">
      <w:pPr>
        <w:spacing w:before="8" w:line="249" w:lineRule="auto"/>
        <w:ind w:left="99" w:right="98" w:firstLine="450"/>
        <w:jc w:val="both"/>
        <w:rPr>
          <w:rFonts w:hint="eastAsia"/>
          <w:color w:val="231F20"/>
          <w:sz w:val="30"/>
        </w:rPr>
      </w:pPr>
    </w:p>
    <w:p w14:paraId="3C631745">
      <w:pPr>
        <w:spacing w:before="8" w:line="249" w:lineRule="auto"/>
        <w:ind w:left="99" w:right="98" w:firstLine="450"/>
        <w:jc w:val="both"/>
        <w:rPr>
          <w:rFonts w:hint="eastAsia"/>
          <w:color w:val="231F20"/>
          <w:sz w:val="30"/>
        </w:rPr>
      </w:pPr>
      <w:r>
        <w:rPr>
          <w:rFonts w:hint="eastAsia"/>
          <w:color w:val="231F20"/>
          <w:sz w:val="30"/>
        </w:rPr>
        <w:t>Indeed, with a little assistance from later NT texts, we find that it actually contains the whole of Christ’s cosmic eschatology; that in seed form it actually unveils all the essential mysteries of the nature and temporal structure (or coming) of the Kingdom.</w:t>
      </w:r>
    </w:p>
    <w:p w14:paraId="338D2C44">
      <w:pPr>
        <w:spacing w:before="8" w:line="249" w:lineRule="auto"/>
        <w:ind w:left="99" w:right="98" w:firstLine="450"/>
        <w:jc w:val="both"/>
        <w:rPr>
          <w:rFonts w:hint="eastAsia"/>
          <w:color w:val="231F20"/>
          <w:sz w:val="30"/>
        </w:rPr>
      </w:pPr>
      <w:r>
        <w:rPr>
          <w:rFonts w:hint="eastAsia"/>
          <w:color w:val="231F20"/>
          <w:sz w:val="30"/>
        </w:rPr>
        <w:t>事实上，借助于后来新约经文的一点帮助，我们发现它实际上包含了基督整个的宇宙末世论；以种子的形式，它实际上揭示了国度的性质和时间结构（或降临）的所有基本奥秘。</w:t>
      </w:r>
    </w:p>
    <w:p w14:paraId="4E1A7E1A">
      <w:pPr>
        <w:spacing w:before="8" w:line="249" w:lineRule="auto"/>
        <w:ind w:left="99" w:right="98" w:firstLine="450"/>
        <w:jc w:val="both"/>
        <w:rPr>
          <w:rFonts w:hint="eastAsia"/>
          <w:color w:val="231F20"/>
          <w:sz w:val="30"/>
        </w:rPr>
      </w:pPr>
    </w:p>
    <w:p w14:paraId="7688A31E">
      <w:pPr>
        <w:spacing w:before="8" w:line="249" w:lineRule="auto"/>
        <w:ind w:left="99" w:right="98" w:firstLine="450"/>
        <w:jc w:val="both"/>
        <w:rPr>
          <w:rFonts w:hint="eastAsia"/>
          <w:color w:val="231F20"/>
          <w:sz w:val="30"/>
        </w:rPr>
      </w:pPr>
      <w:r>
        <w:rPr>
          <w:rFonts w:hint="eastAsia"/>
          <w:color w:val="231F20"/>
          <w:sz w:val="30"/>
        </w:rPr>
        <w:t>Let us summarize our findings so far.</w:t>
      </w:r>
    </w:p>
    <w:p w14:paraId="1956122D">
      <w:pPr>
        <w:spacing w:before="8" w:line="249" w:lineRule="auto"/>
        <w:ind w:left="99" w:right="98" w:firstLine="450"/>
        <w:jc w:val="both"/>
        <w:rPr>
          <w:rFonts w:hint="eastAsia"/>
          <w:color w:val="231F20"/>
          <w:sz w:val="30"/>
        </w:rPr>
      </w:pPr>
      <w:r>
        <w:rPr>
          <w:rFonts w:hint="eastAsia"/>
          <w:color w:val="231F20"/>
          <w:sz w:val="30"/>
        </w:rPr>
        <w:t>让我们总结一下我们到目前为止的发现。</w:t>
      </w:r>
    </w:p>
    <w:p w14:paraId="3569EF18">
      <w:pPr>
        <w:spacing w:before="8" w:line="249" w:lineRule="auto"/>
        <w:ind w:left="99" w:right="98" w:firstLine="450"/>
        <w:jc w:val="both"/>
        <w:rPr>
          <w:rFonts w:hint="eastAsia"/>
          <w:color w:val="231F20"/>
          <w:sz w:val="30"/>
        </w:rPr>
      </w:pPr>
    </w:p>
    <w:p w14:paraId="649E9DB3">
      <w:pPr>
        <w:spacing w:before="8" w:line="249" w:lineRule="auto"/>
        <w:ind w:left="99" w:right="98" w:firstLine="450"/>
        <w:jc w:val="both"/>
        <w:rPr>
          <w:rFonts w:hint="eastAsia"/>
          <w:color w:val="231F20"/>
          <w:sz w:val="30"/>
        </w:rPr>
      </w:pPr>
      <w:r>
        <w:rPr>
          <w:rFonts w:hint="eastAsia"/>
          <w:color w:val="231F20"/>
          <w:sz w:val="30"/>
        </w:rPr>
        <w:t>The fruit of God’s ongoing redemptive action in history, the Kingdom is essentially a spiritual sphere of divine rescue and restoration, a sphere in which the evil sons of Satan have been supernaturally transformed into the holy and righteous sons of God.</w:t>
      </w:r>
    </w:p>
    <w:p w14:paraId="2C3ED555">
      <w:pPr>
        <w:spacing w:before="8" w:line="249" w:lineRule="auto"/>
        <w:ind w:left="99" w:right="98" w:firstLine="450"/>
        <w:jc w:val="both"/>
        <w:rPr>
          <w:rFonts w:hint="eastAsia"/>
          <w:color w:val="231F20"/>
          <w:sz w:val="30"/>
        </w:rPr>
      </w:pPr>
      <w:r>
        <w:rPr>
          <w:rFonts w:hint="eastAsia"/>
          <w:color w:val="231F20"/>
          <w:sz w:val="30"/>
        </w:rPr>
        <w:t>作为上帝在历史中持续救赎行动的果实，国度本质上是一个神圣拯救和恢复的属灵领域，在这个领域里，撒但的邪恶之子被超自然地转变为上帝圣洁和公义的儿子。</w:t>
      </w:r>
    </w:p>
    <w:p w14:paraId="7E52ECAD">
      <w:pPr>
        <w:spacing w:before="8" w:line="249" w:lineRule="auto"/>
        <w:ind w:left="99" w:right="98" w:firstLine="450"/>
        <w:jc w:val="both"/>
        <w:rPr>
          <w:rFonts w:hint="eastAsia"/>
          <w:color w:val="231F20"/>
          <w:sz w:val="30"/>
        </w:rPr>
      </w:pPr>
    </w:p>
    <w:p w14:paraId="1071932F">
      <w:pPr>
        <w:spacing w:before="8" w:line="249" w:lineRule="auto"/>
        <w:ind w:left="99" w:right="98" w:firstLine="450"/>
        <w:jc w:val="both"/>
        <w:rPr>
          <w:rFonts w:hint="eastAsia"/>
          <w:color w:val="231F20"/>
          <w:sz w:val="30"/>
        </w:rPr>
      </w:pPr>
      <w:r>
        <w:rPr>
          <w:rFonts w:hint="eastAsia"/>
          <w:color w:val="231F20"/>
          <w:sz w:val="30"/>
        </w:rPr>
        <w:t>This one Kingdom comes in two stages, separated by a single Consummation at the Parousia of Christ at the end of the present evil age.</w:t>
      </w:r>
    </w:p>
    <w:p w14:paraId="198240ED">
      <w:pPr>
        <w:spacing w:before="8" w:line="249" w:lineRule="auto"/>
        <w:ind w:left="99" w:right="98" w:firstLine="450"/>
        <w:jc w:val="both"/>
        <w:rPr>
          <w:rFonts w:hint="eastAsia"/>
          <w:color w:val="231F20"/>
          <w:sz w:val="30"/>
        </w:rPr>
      </w:pPr>
      <w:r>
        <w:rPr>
          <w:rFonts w:hint="eastAsia"/>
          <w:color w:val="231F20"/>
          <w:sz w:val="30"/>
        </w:rPr>
        <w:t>这个独一的国度分两个阶段降临，由基督在现今邪恶世代末了再来时的一次性最终成全所分隔。</w:t>
      </w:r>
    </w:p>
    <w:p w14:paraId="463CEEE4">
      <w:pPr>
        <w:spacing w:before="8" w:line="249" w:lineRule="auto"/>
        <w:ind w:left="99" w:right="98" w:firstLine="450"/>
        <w:jc w:val="both"/>
        <w:rPr>
          <w:rFonts w:hint="eastAsia"/>
          <w:color w:val="231F20"/>
          <w:sz w:val="30"/>
        </w:rPr>
      </w:pPr>
    </w:p>
    <w:p w14:paraId="44CA2BD1">
      <w:pPr>
        <w:spacing w:before="8" w:line="249" w:lineRule="auto"/>
        <w:ind w:left="99" w:right="98" w:firstLine="450"/>
        <w:jc w:val="both"/>
        <w:rPr>
          <w:rFonts w:hint="eastAsia"/>
          <w:color w:val="231F20"/>
          <w:sz w:val="30"/>
        </w:rPr>
      </w:pPr>
      <w:r>
        <w:rPr>
          <w:rFonts w:hint="eastAsia"/>
          <w:color w:val="231F20"/>
          <w:sz w:val="30"/>
        </w:rPr>
        <w:t>The first stage is called the Kingdom of the Son.</w:t>
      </w:r>
    </w:p>
    <w:p w14:paraId="7D66A14B">
      <w:pPr>
        <w:spacing w:before="8" w:line="249" w:lineRule="auto"/>
        <w:ind w:left="99" w:right="98" w:firstLine="450"/>
        <w:jc w:val="both"/>
        <w:rPr>
          <w:rFonts w:hint="eastAsia"/>
          <w:color w:val="231F20"/>
          <w:sz w:val="30"/>
        </w:rPr>
      </w:pPr>
      <w:r>
        <w:rPr>
          <w:rFonts w:hint="eastAsia"/>
          <w:color w:val="231F20"/>
          <w:sz w:val="30"/>
        </w:rPr>
        <w:t>第一阶段被称为圣子之国。</w:t>
      </w:r>
    </w:p>
    <w:p w14:paraId="42779FEE">
      <w:pPr>
        <w:spacing w:before="8" w:line="249" w:lineRule="auto"/>
        <w:ind w:left="99" w:right="98" w:firstLine="450"/>
        <w:jc w:val="both"/>
        <w:rPr>
          <w:rFonts w:hint="eastAsia"/>
          <w:color w:val="231F20"/>
          <w:sz w:val="30"/>
        </w:rPr>
      </w:pPr>
    </w:p>
    <w:p w14:paraId="14144212">
      <w:pPr>
        <w:spacing w:before="8" w:line="249" w:lineRule="auto"/>
        <w:ind w:left="99" w:right="98" w:firstLine="450"/>
        <w:jc w:val="both"/>
        <w:rPr>
          <w:rFonts w:hint="eastAsia"/>
          <w:color w:val="231F20"/>
          <w:sz w:val="30"/>
        </w:rPr>
      </w:pPr>
      <w:r>
        <w:rPr>
          <w:rFonts w:hint="eastAsia"/>
          <w:color w:val="231F20"/>
          <w:sz w:val="30"/>
        </w:rPr>
        <w:t>During this time, the Messianic Son of God reigns from heaven, by the Spirit, over his earthly subjects.</w:t>
      </w:r>
    </w:p>
    <w:p w14:paraId="65EF889B">
      <w:pPr>
        <w:spacing w:before="8" w:line="249" w:lineRule="auto"/>
        <w:ind w:left="99" w:right="98" w:firstLine="450"/>
        <w:jc w:val="both"/>
        <w:rPr>
          <w:rFonts w:hint="eastAsia"/>
          <w:color w:val="231F20"/>
          <w:sz w:val="30"/>
        </w:rPr>
      </w:pPr>
      <w:r>
        <w:rPr>
          <w:rFonts w:hint="eastAsia"/>
          <w:color w:val="231F20"/>
          <w:sz w:val="30"/>
        </w:rPr>
        <w:t>在此期间，弥赛亚的圣子从天上，藉着圣灵，统治祂在地上的子民。</w:t>
      </w:r>
    </w:p>
    <w:p w14:paraId="0EF3117C">
      <w:pPr>
        <w:spacing w:before="8" w:line="249" w:lineRule="auto"/>
        <w:ind w:left="99" w:right="98" w:firstLine="450"/>
        <w:jc w:val="both"/>
        <w:rPr>
          <w:rFonts w:hint="eastAsia"/>
          <w:color w:val="231F20"/>
          <w:sz w:val="30"/>
        </w:rPr>
      </w:pPr>
    </w:p>
    <w:p w14:paraId="53351782">
      <w:pPr>
        <w:spacing w:before="8" w:line="249" w:lineRule="auto"/>
        <w:ind w:left="99" w:right="98" w:firstLine="450"/>
        <w:jc w:val="both"/>
        <w:rPr>
          <w:rFonts w:hint="eastAsia"/>
          <w:color w:val="231F20"/>
          <w:sz w:val="30"/>
        </w:rPr>
      </w:pPr>
      <w:r>
        <w:rPr>
          <w:rFonts w:hint="eastAsia"/>
          <w:color w:val="231F20"/>
          <w:sz w:val="30"/>
        </w:rPr>
        <w:t>His benevolent rule is spiritual, invisible, redemptive, infinitely valuable, and worthy of all self-sacrifice.</w:t>
      </w:r>
    </w:p>
    <w:p w14:paraId="2F5C137A">
      <w:pPr>
        <w:spacing w:before="8" w:line="249" w:lineRule="auto"/>
        <w:ind w:left="99" w:right="98" w:firstLine="450"/>
        <w:jc w:val="both"/>
        <w:rPr>
          <w:rFonts w:hint="eastAsia"/>
          <w:color w:val="231F20"/>
          <w:sz w:val="30"/>
        </w:rPr>
      </w:pPr>
      <w:r>
        <w:rPr>
          <w:rFonts w:hint="eastAsia"/>
          <w:color w:val="231F20"/>
          <w:sz w:val="30"/>
        </w:rPr>
        <w:t>祂仁慈的统治是属灵的、不可见的、救赎性的、无限宝贵的，并且值得一切的自我牺牲。</w:t>
      </w:r>
    </w:p>
    <w:p w14:paraId="53A29850">
      <w:pPr>
        <w:spacing w:before="8" w:line="249" w:lineRule="auto"/>
        <w:ind w:left="99" w:right="98" w:firstLine="450"/>
        <w:jc w:val="both"/>
        <w:rPr>
          <w:rFonts w:hint="eastAsia"/>
          <w:color w:val="231F20"/>
          <w:sz w:val="30"/>
        </w:rPr>
      </w:pPr>
    </w:p>
    <w:p w14:paraId="40861768">
      <w:pPr>
        <w:spacing w:before="8" w:line="249" w:lineRule="auto"/>
        <w:ind w:left="99" w:right="98" w:firstLine="450"/>
        <w:jc w:val="both"/>
        <w:rPr>
          <w:rFonts w:hint="eastAsia"/>
          <w:color w:val="231F20"/>
          <w:sz w:val="30"/>
        </w:rPr>
      </w:pPr>
      <w:r>
        <w:rPr>
          <w:rFonts w:hint="eastAsia"/>
          <w:color w:val="231F20"/>
          <w:sz w:val="30"/>
        </w:rPr>
        <w:t>Amidst perennial conflict with the kingdom of the evil one, it advances spiritually and invisibly by “the foolishness of the message preached.”</w:t>
      </w:r>
    </w:p>
    <w:p w14:paraId="7DAD01C1">
      <w:pPr>
        <w:spacing w:before="8" w:line="249" w:lineRule="auto"/>
        <w:ind w:left="99" w:right="98" w:firstLine="450"/>
        <w:jc w:val="both"/>
        <w:rPr>
          <w:rFonts w:hint="eastAsia"/>
          <w:color w:val="231F20"/>
          <w:sz w:val="30"/>
        </w:rPr>
      </w:pPr>
      <w:r>
        <w:rPr>
          <w:rFonts w:hint="eastAsia"/>
          <w:color w:val="231F20"/>
          <w:sz w:val="30"/>
        </w:rPr>
        <w:t>在与那恶者国度长期的冲突中，它藉着“所传信息的愚拙”，属灵地、不可见地推进。</w:t>
      </w:r>
    </w:p>
    <w:p w14:paraId="295B7D2A">
      <w:pPr>
        <w:spacing w:before="8" w:line="249" w:lineRule="auto"/>
        <w:ind w:left="99" w:right="98" w:firstLine="450"/>
        <w:jc w:val="both"/>
        <w:rPr>
          <w:rFonts w:hint="eastAsia"/>
          <w:color w:val="231F20"/>
          <w:sz w:val="30"/>
        </w:rPr>
      </w:pPr>
    </w:p>
    <w:p w14:paraId="304602B2">
      <w:pPr>
        <w:spacing w:before="8" w:line="249" w:lineRule="auto"/>
        <w:ind w:left="99" w:right="98" w:firstLine="450"/>
        <w:jc w:val="both"/>
        <w:rPr>
          <w:rFonts w:hint="eastAsia"/>
          <w:color w:val="231F20"/>
          <w:sz w:val="30"/>
        </w:rPr>
      </w:pPr>
      <w:r>
        <w:rPr>
          <w:rFonts w:hint="eastAsia"/>
          <w:color w:val="231F20"/>
          <w:sz w:val="30"/>
        </w:rPr>
        <w:t>For this reason, sinners enter it spiritually and invisibly by hearing the Gospel message with faith.</w:t>
      </w:r>
    </w:p>
    <w:p w14:paraId="0C33DC0F">
      <w:pPr>
        <w:spacing w:before="8" w:line="249" w:lineRule="auto"/>
        <w:ind w:left="99" w:right="98" w:firstLine="450"/>
        <w:jc w:val="both"/>
        <w:rPr>
          <w:rFonts w:hint="eastAsia"/>
          <w:color w:val="231F20"/>
          <w:sz w:val="30"/>
        </w:rPr>
      </w:pPr>
      <w:r>
        <w:rPr>
          <w:rFonts w:hint="eastAsia"/>
          <w:color w:val="231F20"/>
          <w:sz w:val="30"/>
        </w:rPr>
        <w:t>因此，罪人通过凭信心听福音信息，属灵地、不可见地进入它。</w:t>
      </w:r>
    </w:p>
    <w:p w14:paraId="58B4770D">
      <w:pPr>
        <w:spacing w:before="8" w:line="249" w:lineRule="auto"/>
        <w:ind w:left="99" w:right="98" w:firstLine="450"/>
        <w:jc w:val="both"/>
        <w:rPr>
          <w:rFonts w:hint="eastAsia"/>
          <w:color w:val="231F20"/>
          <w:sz w:val="30"/>
        </w:rPr>
      </w:pPr>
    </w:p>
    <w:p w14:paraId="054A3D10">
      <w:pPr>
        <w:spacing w:before="8" w:line="249" w:lineRule="auto"/>
        <w:ind w:left="99" w:right="98" w:firstLine="450"/>
        <w:jc w:val="both"/>
        <w:rPr>
          <w:rFonts w:hint="eastAsia"/>
          <w:color w:val="231F20"/>
          <w:sz w:val="30"/>
        </w:rPr>
      </w:pPr>
      <w:r>
        <w:rPr>
          <w:rFonts w:hint="eastAsia"/>
          <w:color w:val="231F20"/>
          <w:sz w:val="30"/>
        </w:rPr>
        <w:t>When at last the Kingdom of the Son has permeated the whole earth</w:t>
      </w:r>
    </w:p>
    <w:p w14:paraId="3A79D3D9">
      <w:pPr>
        <w:spacing w:before="8" w:line="249" w:lineRule="auto"/>
        <w:ind w:left="99" w:right="98" w:firstLine="450"/>
        <w:jc w:val="both"/>
        <w:rPr>
          <w:rFonts w:hint="eastAsia"/>
          <w:color w:val="231F20"/>
          <w:sz w:val="30"/>
        </w:rPr>
      </w:pPr>
      <w:r>
        <w:rPr>
          <w:rFonts w:hint="eastAsia"/>
          <w:color w:val="231F20"/>
          <w:sz w:val="30"/>
        </w:rPr>
        <w:t>当圣子之国最终渗透到整个地球时</w:t>
      </w:r>
    </w:p>
    <w:p w14:paraId="4034587E">
      <w:pPr>
        <w:spacing w:before="8" w:line="249" w:lineRule="auto"/>
        <w:ind w:left="99" w:right="98" w:firstLine="450"/>
        <w:jc w:val="both"/>
        <w:rPr>
          <w:rFonts w:hint="eastAsia"/>
          <w:color w:val="231F20"/>
          <w:sz w:val="30"/>
        </w:rPr>
      </w:pPr>
    </w:p>
    <w:p w14:paraId="52BBCF9A">
      <w:pPr>
        <w:spacing w:before="8" w:line="249" w:lineRule="auto"/>
        <w:ind w:left="99" w:right="98" w:firstLine="450"/>
        <w:jc w:val="both"/>
        <w:rPr>
          <w:rFonts w:hint="eastAsia"/>
          <w:color w:val="231F20"/>
          <w:sz w:val="30"/>
        </w:rPr>
      </w:pPr>
      <w:r>
        <w:rPr>
          <w:rFonts w:hint="eastAsia"/>
          <w:color w:val="231F20"/>
          <w:sz w:val="30"/>
        </w:rPr>
        <w:t>—when the Gospel has reached all nations, and a believing people has been gathered out of them—the end will come.</w:t>
      </w:r>
    </w:p>
    <w:p w14:paraId="3837C67A">
      <w:pPr>
        <w:spacing w:before="8" w:line="249" w:lineRule="auto"/>
        <w:ind w:left="99" w:right="98" w:firstLine="450"/>
        <w:jc w:val="both"/>
        <w:rPr>
          <w:rFonts w:hint="eastAsia"/>
          <w:color w:val="231F20"/>
          <w:sz w:val="30"/>
        </w:rPr>
      </w:pPr>
      <w:r>
        <w:rPr>
          <w:rFonts w:hint="eastAsia"/>
          <w:color w:val="231F20"/>
          <w:sz w:val="30"/>
        </w:rPr>
        <w:t>——当福音传遍万国，并有一群相信的子民从中被聚集出来时——末期就要来到。</w:t>
      </w:r>
    </w:p>
    <w:p w14:paraId="06C19371">
      <w:pPr>
        <w:spacing w:before="8" w:line="249" w:lineRule="auto"/>
        <w:ind w:left="99" w:right="98" w:firstLine="450"/>
        <w:jc w:val="both"/>
        <w:rPr>
          <w:rFonts w:hint="eastAsia"/>
          <w:color w:val="231F20"/>
          <w:sz w:val="30"/>
        </w:rPr>
      </w:pPr>
    </w:p>
    <w:p w14:paraId="35979508">
      <w:pPr>
        <w:spacing w:before="8" w:line="249" w:lineRule="auto"/>
        <w:ind w:left="99" w:right="98" w:firstLine="450"/>
        <w:jc w:val="both"/>
        <w:rPr>
          <w:rFonts w:hint="eastAsia"/>
          <w:color w:val="231F20"/>
          <w:sz w:val="30"/>
        </w:rPr>
      </w:pPr>
      <w:r>
        <w:rPr>
          <w:rFonts w:hint="eastAsia"/>
          <w:color w:val="231F20"/>
          <w:sz w:val="30"/>
        </w:rPr>
        <w:t>The High King of Heaven will descend to the earth in power and great glory to raise the dead, transform the living, judge the world in righteousness, send the wicked into hell, and cause the righteous to shine like the sun in the Kingdom of their Father.</w:t>
      </w:r>
    </w:p>
    <w:p w14:paraId="01F3D5A8">
      <w:pPr>
        <w:spacing w:before="8" w:line="249" w:lineRule="auto"/>
        <w:ind w:left="99" w:right="98" w:firstLine="450"/>
        <w:jc w:val="both"/>
        <w:rPr>
          <w:rFonts w:hint="eastAsia"/>
          <w:color w:val="231F20"/>
          <w:sz w:val="30"/>
        </w:rPr>
      </w:pPr>
      <w:r>
        <w:rPr>
          <w:rFonts w:hint="eastAsia"/>
          <w:color w:val="231F20"/>
          <w:sz w:val="30"/>
        </w:rPr>
        <w:t>天上的至高君王将带着能力和极大的荣耀降临到地上，使死人复活，改变活着的人，在公义中审判世界，将恶人送入地狱，并使义人在他们父的国里发出光来，像太阳一样。</w:t>
      </w:r>
    </w:p>
    <w:p w14:paraId="3A76DEFB">
      <w:pPr>
        <w:spacing w:before="8" w:line="249" w:lineRule="auto"/>
        <w:ind w:left="99" w:right="98" w:firstLine="450"/>
        <w:jc w:val="both"/>
        <w:rPr>
          <w:rFonts w:hint="eastAsia"/>
          <w:color w:val="231F20"/>
          <w:sz w:val="30"/>
        </w:rPr>
      </w:pPr>
    </w:p>
    <w:p w14:paraId="0218ED18">
      <w:pPr>
        <w:spacing w:before="8" w:line="249" w:lineRule="auto"/>
        <w:ind w:left="99" w:right="98" w:firstLine="450"/>
        <w:jc w:val="both"/>
        <w:rPr>
          <w:rFonts w:hint="eastAsia"/>
          <w:color w:val="231F20"/>
          <w:sz w:val="30"/>
        </w:rPr>
      </w:pPr>
      <w:r>
        <w:rPr>
          <w:rFonts w:hint="eastAsia"/>
          <w:color w:val="231F20"/>
          <w:sz w:val="30"/>
        </w:rPr>
        <w:t>The Kingdom of the Father is the second, last, and eternal stage of the Kingdom.</w:t>
      </w:r>
    </w:p>
    <w:p w14:paraId="08287F11">
      <w:pPr>
        <w:spacing w:before="8" w:line="249" w:lineRule="auto"/>
        <w:ind w:left="99" w:right="98" w:firstLine="450"/>
        <w:jc w:val="both"/>
        <w:rPr>
          <w:rFonts w:hint="eastAsia"/>
          <w:color w:val="231F20"/>
          <w:sz w:val="30"/>
        </w:rPr>
      </w:pPr>
      <w:r>
        <w:rPr>
          <w:rFonts w:hint="eastAsia"/>
          <w:color w:val="231F20"/>
          <w:sz w:val="30"/>
        </w:rPr>
        <w:t>父的国是国度的第二、最后且永恒的阶段。</w:t>
      </w:r>
    </w:p>
    <w:p w14:paraId="4E8269C3">
      <w:pPr>
        <w:spacing w:before="8" w:line="249" w:lineRule="auto"/>
        <w:ind w:left="99" w:right="98" w:firstLine="450"/>
        <w:jc w:val="both"/>
        <w:rPr>
          <w:rFonts w:hint="eastAsia"/>
          <w:color w:val="231F20"/>
          <w:sz w:val="30"/>
        </w:rPr>
      </w:pPr>
    </w:p>
    <w:p w14:paraId="4DDC345B">
      <w:pPr>
        <w:spacing w:before="8" w:line="249" w:lineRule="auto"/>
        <w:ind w:left="99" w:right="98" w:firstLine="450"/>
        <w:jc w:val="both"/>
        <w:rPr>
          <w:rFonts w:hint="eastAsia"/>
          <w:color w:val="231F20"/>
          <w:sz w:val="30"/>
        </w:rPr>
      </w:pPr>
      <w:r>
        <w:rPr>
          <w:rFonts w:hint="eastAsia"/>
          <w:color w:val="231F20"/>
          <w:sz w:val="30"/>
        </w:rPr>
        <w:t>Here God’s benevolent redemptive rule extends to the physical side of the creation, as well.</w:t>
      </w:r>
    </w:p>
    <w:p w14:paraId="6882C983">
      <w:pPr>
        <w:spacing w:before="8" w:line="249" w:lineRule="auto"/>
        <w:ind w:left="99" w:right="98" w:firstLine="450"/>
        <w:jc w:val="both"/>
        <w:rPr>
          <w:rFonts w:hint="eastAsia"/>
          <w:color w:val="231F20"/>
          <w:sz w:val="30"/>
        </w:rPr>
      </w:pPr>
      <w:r>
        <w:rPr>
          <w:rFonts w:hint="eastAsia"/>
          <w:color w:val="231F20"/>
          <w:sz w:val="30"/>
        </w:rPr>
        <w:t>在此，上帝仁慈的救赎统治也延伸到创造的物质层面。</w:t>
      </w:r>
    </w:p>
    <w:p w14:paraId="3226ED3F">
      <w:pPr>
        <w:spacing w:before="8" w:line="249" w:lineRule="auto"/>
        <w:ind w:left="99" w:right="98" w:firstLine="450"/>
        <w:jc w:val="both"/>
        <w:rPr>
          <w:rFonts w:hint="eastAsia"/>
          <w:color w:val="231F20"/>
          <w:sz w:val="30"/>
        </w:rPr>
      </w:pPr>
    </w:p>
    <w:p w14:paraId="34D619CC">
      <w:pPr>
        <w:spacing w:before="8" w:line="249" w:lineRule="auto"/>
        <w:ind w:left="99" w:right="98" w:firstLine="450"/>
        <w:jc w:val="both"/>
        <w:rPr>
          <w:rFonts w:hint="eastAsia"/>
          <w:color w:val="231F20"/>
          <w:sz w:val="30"/>
        </w:rPr>
      </w:pPr>
      <w:r>
        <w:rPr>
          <w:rFonts w:hint="eastAsia"/>
          <w:color w:val="231F20"/>
          <w:sz w:val="30"/>
        </w:rPr>
        <w:t>Here all things—both spiritual and physical—become perfectly whole.</w:t>
      </w:r>
    </w:p>
    <w:p w14:paraId="5F7AEA86">
      <w:pPr>
        <w:spacing w:before="8" w:line="249" w:lineRule="auto"/>
        <w:ind w:left="99" w:right="98" w:firstLine="450"/>
        <w:jc w:val="both"/>
        <w:rPr>
          <w:rFonts w:hint="eastAsia"/>
          <w:color w:val="231F20"/>
          <w:sz w:val="30"/>
        </w:rPr>
      </w:pPr>
      <w:r>
        <w:rPr>
          <w:rFonts w:hint="eastAsia"/>
          <w:color w:val="231F20"/>
          <w:sz w:val="30"/>
        </w:rPr>
        <w:t>在此，所有事物——无论是属灵的还是属物质的——都变得完全。</w:t>
      </w:r>
    </w:p>
    <w:p w14:paraId="59BFC7FA">
      <w:pPr>
        <w:spacing w:before="8" w:line="249" w:lineRule="auto"/>
        <w:ind w:left="99" w:right="98" w:firstLine="450"/>
        <w:jc w:val="both"/>
        <w:rPr>
          <w:rFonts w:hint="eastAsia"/>
          <w:color w:val="231F20"/>
          <w:sz w:val="30"/>
        </w:rPr>
      </w:pPr>
    </w:p>
    <w:p w14:paraId="2E46ACBC">
      <w:pPr>
        <w:spacing w:before="8" w:line="249" w:lineRule="auto"/>
        <w:ind w:left="99" w:right="98" w:firstLine="450"/>
        <w:jc w:val="both"/>
        <w:rPr>
          <w:rFonts w:hint="eastAsia"/>
          <w:color w:val="231F20"/>
          <w:sz w:val="30"/>
        </w:rPr>
      </w:pPr>
      <w:r>
        <w:rPr>
          <w:rFonts w:hint="eastAsia"/>
          <w:color w:val="231F20"/>
          <w:sz w:val="30"/>
        </w:rPr>
        <w:t>Here, all things are forever filled with the glory of God.</w:t>
      </w:r>
    </w:p>
    <w:p w14:paraId="24EE06C2">
      <w:pPr>
        <w:spacing w:before="8" w:line="249" w:lineRule="auto"/>
        <w:ind w:left="99" w:right="98" w:firstLine="450"/>
        <w:jc w:val="both"/>
        <w:rPr>
          <w:rFonts w:hint="eastAsia"/>
          <w:color w:val="231F20"/>
          <w:sz w:val="30"/>
        </w:rPr>
      </w:pPr>
      <w:r>
        <w:rPr>
          <w:rFonts w:hint="eastAsia"/>
          <w:color w:val="231F20"/>
          <w:sz w:val="30"/>
        </w:rPr>
        <w:t>在此，万物永远充满上帝的荣耀。</w:t>
      </w:r>
    </w:p>
    <w:p w14:paraId="6CCE8B1E">
      <w:pPr>
        <w:spacing w:before="8" w:line="249" w:lineRule="auto"/>
        <w:ind w:left="99" w:right="98" w:firstLine="450"/>
        <w:jc w:val="both"/>
        <w:rPr>
          <w:rFonts w:hint="eastAsia"/>
          <w:color w:val="231F20"/>
          <w:sz w:val="30"/>
        </w:rPr>
      </w:pPr>
    </w:p>
    <w:p w14:paraId="3FE960CC">
      <w:pPr>
        <w:spacing w:before="8" w:line="249" w:lineRule="auto"/>
        <w:ind w:left="99" w:right="98" w:firstLine="450"/>
        <w:jc w:val="both"/>
        <w:rPr>
          <w:rFonts w:hint="eastAsia"/>
          <w:color w:val="231F20"/>
          <w:sz w:val="30"/>
        </w:rPr>
      </w:pPr>
      <w:r>
        <w:rPr>
          <w:rFonts w:hint="eastAsia"/>
          <w:color w:val="231F20"/>
          <w:sz w:val="30"/>
        </w:rPr>
        <w:t>Crucial Confirming Texts</w:t>
      </w:r>
    </w:p>
    <w:p w14:paraId="2291AFB7">
      <w:pPr>
        <w:spacing w:before="8" w:line="249" w:lineRule="auto"/>
        <w:ind w:left="99" w:right="98" w:firstLine="450"/>
        <w:jc w:val="both"/>
        <w:rPr>
          <w:rFonts w:hint="eastAsia"/>
          <w:color w:val="231F20"/>
          <w:sz w:val="30"/>
        </w:rPr>
      </w:pPr>
      <w:r>
        <w:rPr>
          <w:rFonts w:hint="eastAsia"/>
          <w:color w:val="231F20"/>
          <w:sz w:val="30"/>
        </w:rPr>
        <w:t>关键的确证经文</w:t>
      </w:r>
    </w:p>
    <w:p w14:paraId="5B4DDCCA">
      <w:pPr>
        <w:spacing w:before="8" w:line="249" w:lineRule="auto"/>
        <w:ind w:left="99" w:right="98" w:firstLine="450"/>
        <w:jc w:val="both"/>
        <w:rPr>
          <w:rFonts w:hint="eastAsia"/>
          <w:color w:val="231F20"/>
          <w:sz w:val="30"/>
        </w:rPr>
      </w:pPr>
    </w:p>
    <w:p w14:paraId="1D78F620">
      <w:pPr>
        <w:spacing w:before="8" w:line="249" w:lineRule="auto"/>
        <w:ind w:left="99" w:right="98" w:firstLine="450"/>
        <w:jc w:val="both"/>
        <w:rPr>
          <w:rFonts w:hint="eastAsia"/>
          <w:color w:val="231F20"/>
          <w:sz w:val="30"/>
        </w:rPr>
      </w:pPr>
      <w:r>
        <w:rPr>
          <w:rFonts w:hint="eastAsia"/>
          <w:color w:val="231F20"/>
          <w:sz w:val="30"/>
        </w:rPr>
        <w:t>In our journey so far, I have repeatedly stated that a great many NT texts confirm the view of the Kingdom unveiled in the Lord’s Discourse on the Mysteries of the Kingdom.</w:t>
      </w:r>
    </w:p>
    <w:p w14:paraId="188FEB6C">
      <w:pPr>
        <w:spacing w:before="8" w:line="249" w:lineRule="auto"/>
        <w:ind w:left="99" w:right="98" w:firstLine="450"/>
        <w:jc w:val="both"/>
        <w:rPr>
          <w:rFonts w:hint="eastAsia"/>
          <w:color w:val="231F20"/>
          <w:sz w:val="30"/>
        </w:rPr>
      </w:pPr>
      <w:r>
        <w:rPr>
          <w:rFonts w:hint="eastAsia"/>
          <w:color w:val="231F20"/>
          <w:sz w:val="30"/>
        </w:rPr>
        <w:t>到目前为止，在我们的旅程中，我已反复声明，许多新约经文证实了主在关于国度奥秘的讲论中所揭示的国度观。</w:t>
      </w:r>
    </w:p>
    <w:p w14:paraId="31092F89">
      <w:pPr>
        <w:spacing w:before="8" w:line="249" w:lineRule="auto"/>
        <w:ind w:left="99" w:right="98" w:firstLine="450"/>
        <w:jc w:val="both"/>
        <w:rPr>
          <w:rFonts w:hint="eastAsia"/>
          <w:color w:val="231F20"/>
          <w:sz w:val="30"/>
        </w:rPr>
      </w:pPr>
    </w:p>
    <w:p w14:paraId="737E9BAA">
      <w:pPr>
        <w:spacing w:before="8" w:line="249" w:lineRule="auto"/>
        <w:ind w:left="99" w:right="98" w:firstLine="450"/>
        <w:jc w:val="both"/>
        <w:rPr>
          <w:rFonts w:hint="eastAsia"/>
          <w:color w:val="231F20"/>
          <w:sz w:val="30"/>
        </w:rPr>
      </w:pPr>
      <w:r>
        <w:rPr>
          <w:rFonts w:hint="eastAsia"/>
          <w:color w:val="231F20"/>
          <w:sz w:val="30"/>
        </w:rPr>
        <w:t>We have touched on a few already.</w:t>
      </w:r>
    </w:p>
    <w:p w14:paraId="463ECD41">
      <w:pPr>
        <w:spacing w:before="8" w:line="249" w:lineRule="auto"/>
        <w:ind w:left="99" w:right="98" w:firstLine="450"/>
        <w:jc w:val="both"/>
        <w:rPr>
          <w:rFonts w:hint="eastAsia"/>
          <w:color w:val="231F20"/>
          <w:sz w:val="30"/>
        </w:rPr>
      </w:pPr>
      <w:r>
        <w:rPr>
          <w:rFonts w:hint="eastAsia"/>
          <w:color w:val="231F20"/>
          <w:sz w:val="30"/>
        </w:rPr>
        <w:t>我们已经触及了一些。</w:t>
      </w:r>
    </w:p>
    <w:p w14:paraId="591C3D97">
      <w:pPr>
        <w:spacing w:before="8" w:line="249" w:lineRule="auto"/>
        <w:ind w:left="99" w:right="98" w:firstLine="450"/>
        <w:jc w:val="both"/>
        <w:rPr>
          <w:rFonts w:hint="eastAsia"/>
          <w:color w:val="231F20"/>
          <w:sz w:val="30"/>
        </w:rPr>
      </w:pPr>
    </w:p>
    <w:p w14:paraId="5426C3EF">
      <w:pPr>
        <w:spacing w:before="8" w:line="249" w:lineRule="auto"/>
        <w:ind w:left="99" w:right="98" w:firstLine="450"/>
        <w:jc w:val="both"/>
        <w:rPr>
          <w:rFonts w:hint="eastAsia"/>
          <w:color w:val="231F20"/>
          <w:sz w:val="30"/>
        </w:rPr>
      </w:pPr>
      <w:r>
        <w:rPr>
          <w:rFonts w:hint="eastAsia"/>
          <w:color w:val="231F20"/>
          <w:sz w:val="30"/>
        </w:rPr>
        <w:t>Now we must look more closely at some of the choicest.</w:t>
      </w:r>
    </w:p>
    <w:p w14:paraId="3CA183B2">
      <w:pPr>
        <w:spacing w:before="8" w:line="249" w:lineRule="auto"/>
        <w:ind w:left="99" w:right="98" w:firstLine="450"/>
        <w:jc w:val="both"/>
        <w:rPr>
          <w:rFonts w:hint="eastAsia"/>
          <w:color w:val="231F20"/>
          <w:sz w:val="30"/>
        </w:rPr>
      </w:pPr>
      <w:r>
        <w:rPr>
          <w:rFonts w:hint="eastAsia"/>
          <w:color w:val="231F20"/>
          <w:sz w:val="30"/>
        </w:rPr>
        <w:t>现在我们必须更仔细地看看其中一些精选的。</w:t>
      </w:r>
    </w:p>
    <w:p w14:paraId="37B477E1">
      <w:pPr>
        <w:spacing w:before="8" w:line="249" w:lineRule="auto"/>
        <w:ind w:left="99" w:right="98" w:firstLine="450"/>
        <w:jc w:val="both"/>
        <w:rPr>
          <w:rFonts w:hint="eastAsia"/>
          <w:color w:val="231F20"/>
          <w:sz w:val="30"/>
        </w:rPr>
      </w:pPr>
    </w:p>
    <w:p w14:paraId="1A8B8E01">
      <w:pPr>
        <w:spacing w:before="8" w:line="249" w:lineRule="auto"/>
        <w:ind w:left="99" w:right="98" w:firstLine="450"/>
        <w:jc w:val="both"/>
        <w:rPr>
          <w:rFonts w:hint="eastAsia"/>
          <w:color w:val="231F20"/>
          <w:sz w:val="30"/>
        </w:rPr>
      </w:pPr>
      <w:r>
        <w:rPr>
          <w:rFonts w:hint="eastAsia"/>
          <w:color w:val="231F20"/>
          <w:sz w:val="30"/>
        </w:rPr>
        <w:t>My strategy here will be to cite (but not reproduce) the text, and then make some brief observations.</w:t>
      </w:r>
    </w:p>
    <w:p w14:paraId="7E2B7617">
      <w:pPr>
        <w:spacing w:before="8" w:line="249" w:lineRule="auto"/>
        <w:ind w:left="99" w:right="98" w:firstLine="450"/>
        <w:jc w:val="both"/>
        <w:rPr>
          <w:rFonts w:hint="eastAsia"/>
          <w:color w:val="231F20"/>
          <w:sz w:val="30"/>
        </w:rPr>
      </w:pPr>
      <w:r>
        <w:rPr>
          <w:rFonts w:hint="eastAsia"/>
          <w:color w:val="231F20"/>
          <w:sz w:val="30"/>
        </w:rPr>
        <w:t>我在此的策略将是引用（但不复述）经文，然后作一些简短的观察。</w:t>
      </w:r>
    </w:p>
    <w:p w14:paraId="112AF0DB">
      <w:pPr>
        <w:spacing w:before="8" w:line="249" w:lineRule="auto"/>
        <w:ind w:left="99" w:right="98" w:firstLine="450"/>
        <w:jc w:val="both"/>
        <w:rPr>
          <w:rFonts w:hint="eastAsia"/>
          <w:color w:val="231F20"/>
          <w:sz w:val="30"/>
        </w:rPr>
      </w:pPr>
    </w:p>
    <w:p w14:paraId="76BB289F">
      <w:pPr>
        <w:spacing w:before="8" w:line="249" w:lineRule="auto"/>
        <w:ind w:left="99" w:right="98" w:firstLine="450"/>
        <w:jc w:val="both"/>
        <w:rPr>
          <w:rFonts w:hint="eastAsia"/>
          <w:color w:val="231F20"/>
          <w:sz w:val="30"/>
        </w:rPr>
      </w:pPr>
      <w:r>
        <w:rPr>
          <w:rFonts w:hint="eastAsia"/>
          <w:color w:val="231F20"/>
          <w:sz w:val="30"/>
        </w:rPr>
        <w:t>Please remember that my remarks will be limited to the topic at hand: the coming, or temporal structure, of the Kingdom.</w:t>
      </w:r>
    </w:p>
    <w:p w14:paraId="6BAFE2C6">
      <w:pPr>
        <w:spacing w:before="8" w:line="249" w:lineRule="auto"/>
        <w:ind w:left="99" w:right="98" w:firstLine="450"/>
        <w:jc w:val="both"/>
        <w:rPr>
          <w:rFonts w:hint="eastAsia"/>
          <w:color w:val="231F20"/>
          <w:sz w:val="30"/>
        </w:rPr>
      </w:pPr>
      <w:r>
        <w:rPr>
          <w:rFonts w:hint="eastAsia"/>
          <w:color w:val="231F20"/>
          <w:sz w:val="30"/>
        </w:rPr>
        <w:t>请记住，我的评论将仅限于当前的主题：国度的降临，或其时间结构。</w:t>
      </w:r>
    </w:p>
    <w:p w14:paraId="3369719D">
      <w:pPr>
        <w:spacing w:before="8" w:line="249" w:lineRule="auto"/>
        <w:ind w:left="99" w:right="98" w:firstLine="450"/>
        <w:jc w:val="both"/>
        <w:rPr>
          <w:rFonts w:hint="eastAsia"/>
          <w:color w:val="231F20"/>
          <w:sz w:val="30"/>
        </w:rPr>
      </w:pPr>
    </w:p>
    <w:p w14:paraId="2BABCDF4">
      <w:pPr>
        <w:spacing w:before="8" w:line="249" w:lineRule="auto"/>
        <w:ind w:left="99" w:right="98" w:firstLine="450"/>
        <w:jc w:val="both"/>
        <w:rPr>
          <w:rFonts w:hint="eastAsia"/>
          <w:color w:val="231F20"/>
          <w:sz w:val="30"/>
        </w:rPr>
      </w:pPr>
      <w:r>
        <w:rPr>
          <w:rFonts w:hint="eastAsia"/>
          <w:color w:val="231F20"/>
          <w:sz w:val="30"/>
        </w:rPr>
        <w:t>My goal is simply to show that all throughout the NT Christ and the apostles envision the Kingdom as coming in two stages only, with the spiritual Kingdom of the Son being separated from the spiritual and physical Kingdom of the Father by a single Consummation at the end of the present evil age.</w:t>
      </w:r>
    </w:p>
    <w:p w14:paraId="71E4D7F8">
      <w:pPr>
        <w:spacing w:before="8" w:line="249" w:lineRule="auto"/>
        <w:ind w:left="99" w:right="98" w:firstLine="450"/>
        <w:jc w:val="both"/>
        <w:rPr>
          <w:rFonts w:hint="eastAsia"/>
          <w:color w:val="231F20"/>
          <w:sz w:val="30"/>
        </w:rPr>
      </w:pPr>
      <w:r>
        <w:rPr>
          <w:rFonts w:hint="eastAsia"/>
          <w:color w:val="231F20"/>
          <w:sz w:val="30"/>
        </w:rPr>
        <w:t>我的目标只是要表明，在整个新约中，基督和使徒们都设想国度仅以两个阶段降临，即圣子的属灵国度与父的属灵和属物质的国度，由现今邪恶世代末了的一次性最终成全所分隔。</w:t>
      </w:r>
    </w:p>
    <w:p w14:paraId="68F31168">
      <w:pPr>
        <w:spacing w:before="8" w:line="249" w:lineRule="auto"/>
        <w:ind w:left="99" w:right="98" w:firstLine="450"/>
        <w:jc w:val="both"/>
        <w:rPr>
          <w:rFonts w:hint="eastAsia"/>
          <w:color w:val="231F20"/>
          <w:sz w:val="30"/>
        </w:rPr>
      </w:pPr>
    </w:p>
    <w:p w14:paraId="485A5FA0">
      <w:pPr>
        <w:spacing w:before="8" w:line="249" w:lineRule="auto"/>
        <w:ind w:left="99" w:right="98" w:firstLine="450"/>
        <w:jc w:val="both"/>
        <w:rPr>
          <w:rFonts w:hint="eastAsia"/>
          <w:color w:val="231F20"/>
          <w:sz w:val="30"/>
        </w:rPr>
      </w:pPr>
      <w:r>
        <w:rPr>
          <w:rFonts w:hint="eastAsia"/>
          <w:color w:val="231F20"/>
          <w:sz w:val="30"/>
        </w:rPr>
        <w:t>With this in mind, let us begin.</w:t>
      </w:r>
    </w:p>
    <w:p w14:paraId="375B4824">
      <w:pPr>
        <w:spacing w:before="8" w:line="249" w:lineRule="auto"/>
        <w:ind w:left="99" w:right="98" w:firstLine="450"/>
        <w:jc w:val="both"/>
        <w:rPr>
          <w:rFonts w:hint="eastAsia"/>
          <w:color w:val="231F20"/>
          <w:sz w:val="30"/>
        </w:rPr>
      </w:pPr>
      <w:r>
        <w:rPr>
          <w:rFonts w:hint="eastAsia"/>
          <w:color w:val="231F20"/>
          <w:sz w:val="30"/>
        </w:rPr>
        <w:t>怀着这个想法，让我们开始吧。</w:t>
      </w:r>
    </w:p>
    <w:p w14:paraId="58B4FD3D">
      <w:pPr>
        <w:spacing w:before="8" w:line="249" w:lineRule="auto"/>
        <w:ind w:left="99" w:right="98" w:firstLine="450"/>
        <w:jc w:val="both"/>
        <w:rPr>
          <w:rFonts w:hint="eastAsia"/>
          <w:color w:val="231F20"/>
          <w:sz w:val="30"/>
        </w:rPr>
      </w:pPr>
    </w:p>
    <w:p w14:paraId="67582E29">
      <w:pPr>
        <w:spacing w:before="8" w:line="249" w:lineRule="auto"/>
        <w:ind w:left="99" w:right="98" w:firstLine="450"/>
        <w:jc w:val="both"/>
        <w:rPr>
          <w:rFonts w:hint="eastAsia"/>
          <w:color w:val="231F20"/>
          <w:sz w:val="30"/>
        </w:rPr>
      </w:pPr>
      <w:r>
        <w:rPr>
          <w:rFonts w:hint="eastAsia"/>
          <w:color w:val="231F20"/>
          <w:sz w:val="30"/>
        </w:rPr>
        <w:t>The Parable of the Minas (Luke 19:11-27; cf. Mt. 25:14-30)</w:t>
      </w:r>
    </w:p>
    <w:p w14:paraId="0630CDA0">
      <w:pPr>
        <w:spacing w:before="8" w:line="249" w:lineRule="auto"/>
        <w:ind w:left="99" w:right="98" w:firstLine="450"/>
        <w:jc w:val="both"/>
        <w:rPr>
          <w:rFonts w:hint="eastAsia"/>
          <w:color w:val="231F20"/>
          <w:sz w:val="30"/>
        </w:rPr>
      </w:pPr>
      <w:r>
        <w:rPr>
          <w:rFonts w:hint="eastAsia"/>
          <w:color w:val="231F20"/>
          <w:sz w:val="30"/>
        </w:rPr>
        <w:t>弥拿的比喻（路 19:11-27; 参 太 25:14-30）</w:t>
      </w:r>
    </w:p>
    <w:p w14:paraId="6C3E5BD7">
      <w:pPr>
        <w:spacing w:before="8" w:line="249" w:lineRule="auto"/>
        <w:ind w:left="99" w:right="98" w:firstLine="450"/>
        <w:jc w:val="both"/>
        <w:rPr>
          <w:rFonts w:hint="eastAsia"/>
          <w:color w:val="231F20"/>
          <w:sz w:val="30"/>
        </w:rPr>
      </w:pPr>
    </w:p>
    <w:p w14:paraId="7DD44075">
      <w:pPr>
        <w:spacing w:before="8" w:line="249" w:lineRule="auto"/>
        <w:ind w:left="99" w:right="98" w:firstLine="450"/>
        <w:jc w:val="both"/>
        <w:rPr>
          <w:rFonts w:hint="eastAsia"/>
          <w:color w:val="231F20"/>
          <w:sz w:val="30"/>
        </w:rPr>
      </w:pPr>
      <w:r>
        <w:rPr>
          <w:rFonts w:hint="eastAsia"/>
          <w:color w:val="231F20"/>
          <w:sz w:val="30"/>
        </w:rPr>
        <w:t>The Lord spoke this parable to his disciples in anticipation of his imminent departure to heaven.</w:t>
      </w:r>
    </w:p>
    <w:p w14:paraId="6ED32745">
      <w:pPr>
        <w:spacing w:before="8" w:line="249" w:lineRule="auto"/>
        <w:ind w:left="99" w:right="98" w:firstLine="450"/>
        <w:jc w:val="both"/>
        <w:rPr>
          <w:rFonts w:hint="eastAsia"/>
          <w:color w:val="231F20"/>
          <w:sz w:val="30"/>
        </w:rPr>
      </w:pPr>
      <w:r>
        <w:rPr>
          <w:rFonts w:hint="eastAsia"/>
          <w:color w:val="231F20"/>
          <w:sz w:val="30"/>
        </w:rPr>
        <w:t>主对祂的门徒讲了这个比喻，是因预见到祂即将离世升天。</w:t>
      </w:r>
    </w:p>
    <w:p w14:paraId="46C691C6">
      <w:pPr>
        <w:spacing w:before="8" w:line="249" w:lineRule="auto"/>
        <w:ind w:left="99" w:right="98" w:firstLine="450"/>
        <w:jc w:val="both"/>
        <w:rPr>
          <w:rFonts w:hint="eastAsia"/>
          <w:color w:val="231F20"/>
          <w:sz w:val="30"/>
        </w:rPr>
      </w:pPr>
    </w:p>
    <w:p w14:paraId="0DDF6377">
      <w:pPr>
        <w:spacing w:before="8" w:line="249" w:lineRule="auto"/>
        <w:ind w:left="99" w:right="98" w:firstLine="450"/>
        <w:jc w:val="both"/>
        <w:rPr>
          <w:rFonts w:hint="eastAsia"/>
          <w:color w:val="231F20"/>
          <w:sz w:val="30"/>
        </w:rPr>
      </w:pPr>
      <w:r>
        <w:rPr>
          <w:rFonts w:hint="eastAsia"/>
          <w:color w:val="231F20"/>
          <w:sz w:val="30"/>
        </w:rPr>
        <w:t>His goal was to secure their faithfulness in Gospel ministry during the entire period of his coming physical absence.</w:t>
      </w:r>
    </w:p>
    <w:p w14:paraId="2B88813E">
      <w:pPr>
        <w:spacing w:before="8" w:line="249" w:lineRule="auto"/>
        <w:ind w:left="99" w:right="98" w:firstLine="450"/>
        <w:jc w:val="both"/>
        <w:rPr>
          <w:rFonts w:hint="eastAsia"/>
          <w:color w:val="231F20"/>
          <w:sz w:val="30"/>
        </w:rPr>
      </w:pPr>
      <w:r>
        <w:rPr>
          <w:rFonts w:hint="eastAsia"/>
          <w:color w:val="231F20"/>
          <w:sz w:val="30"/>
        </w:rPr>
        <w:t>祂的目标是在祂即将到来的肉身缺席的整个时期内，确保他们在福音事工上的忠心。</w:t>
      </w:r>
    </w:p>
    <w:p w14:paraId="26759FE0">
      <w:pPr>
        <w:spacing w:before="8" w:line="249" w:lineRule="auto"/>
        <w:ind w:left="99" w:right="98" w:firstLine="450"/>
        <w:jc w:val="both"/>
        <w:rPr>
          <w:rFonts w:hint="eastAsia"/>
          <w:color w:val="231F20"/>
          <w:sz w:val="30"/>
        </w:rPr>
      </w:pPr>
    </w:p>
    <w:p w14:paraId="35C097BD">
      <w:pPr>
        <w:spacing w:before="8" w:line="249" w:lineRule="auto"/>
        <w:ind w:left="99" w:right="98" w:firstLine="450"/>
        <w:jc w:val="both"/>
        <w:rPr>
          <w:rFonts w:hint="eastAsia"/>
          <w:color w:val="231F20"/>
          <w:sz w:val="30"/>
        </w:rPr>
      </w:pPr>
      <w:r>
        <w:rPr>
          <w:rFonts w:hint="eastAsia"/>
          <w:color w:val="231F20"/>
          <w:sz w:val="30"/>
        </w:rPr>
        <w:t>In Luke’s version, we read as follows:</w:t>
      </w:r>
    </w:p>
    <w:p w14:paraId="7B9FB42F">
      <w:pPr>
        <w:spacing w:before="8" w:line="249" w:lineRule="auto"/>
        <w:ind w:left="99" w:right="98" w:firstLine="450"/>
        <w:jc w:val="both"/>
        <w:rPr>
          <w:rFonts w:hint="eastAsia"/>
          <w:color w:val="231F20"/>
          <w:sz w:val="30"/>
        </w:rPr>
      </w:pPr>
      <w:r>
        <w:rPr>
          <w:rFonts w:hint="eastAsia"/>
          <w:color w:val="231F20"/>
          <w:sz w:val="30"/>
        </w:rPr>
        <w:t>在路加的版本中，我们读到如下内容：</w:t>
      </w:r>
    </w:p>
    <w:p w14:paraId="3115B4CE">
      <w:pPr>
        <w:spacing w:before="8" w:line="249" w:lineRule="auto"/>
        <w:ind w:left="99" w:right="98" w:firstLine="450"/>
        <w:jc w:val="both"/>
        <w:rPr>
          <w:rFonts w:hint="eastAsia"/>
          <w:color w:val="231F20"/>
          <w:sz w:val="30"/>
        </w:rPr>
      </w:pPr>
    </w:p>
    <w:p w14:paraId="76E42FCE">
      <w:pPr>
        <w:spacing w:before="8" w:line="249" w:lineRule="auto"/>
        <w:ind w:left="99" w:right="98" w:firstLine="450"/>
        <w:jc w:val="both"/>
        <w:rPr>
          <w:rFonts w:hint="eastAsia"/>
          <w:color w:val="231F20"/>
          <w:sz w:val="30"/>
        </w:rPr>
      </w:pPr>
      <w:r>
        <w:rPr>
          <w:rFonts w:hint="eastAsia"/>
          <w:color w:val="231F20"/>
          <w:sz w:val="30"/>
        </w:rPr>
        <w:t>He spoke another parable, because He was near Jerusalem, and because they thought the Kingdom of God would appear immediately.</w:t>
      </w:r>
    </w:p>
    <w:p w14:paraId="6D8875DD">
      <w:pPr>
        <w:spacing w:before="8" w:line="249" w:lineRule="auto"/>
        <w:ind w:left="99" w:right="98" w:firstLine="450"/>
        <w:jc w:val="both"/>
        <w:rPr>
          <w:rFonts w:hint="eastAsia"/>
          <w:color w:val="231F20"/>
          <w:sz w:val="30"/>
        </w:rPr>
      </w:pPr>
      <w:r>
        <w:rPr>
          <w:rFonts w:hint="eastAsia"/>
          <w:color w:val="231F20"/>
          <w:sz w:val="30"/>
        </w:rPr>
        <w:t>祂又讲了一个比喻，因为祂将近耶路撒冷，又因他们以为上帝的国快要显出来。</w:t>
      </w:r>
    </w:p>
    <w:p w14:paraId="772581FC">
      <w:pPr>
        <w:spacing w:before="8" w:line="249" w:lineRule="auto"/>
        <w:ind w:left="99" w:right="98" w:firstLine="450"/>
        <w:jc w:val="both"/>
        <w:rPr>
          <w:rFonts w:hint="eastAsia"/>
          <w:color w:val="231F20"/>
          <w:sz w:val="30"/>
        </w:rPr>
      </w:pPr>
    </w:p>
    <w:p w14:paraId="4879B3D7">
      <w:pPr>
        <w:spacing w:before="8" w:line="249" w:lineRule="auto"/>
        <w:ind w:left="99" w:right="98" w:firstLine="450"/>
        <w:jc w:val="both"/>
        <w:rPr>
          <w:rFonts w:hint="eastAsia"/>
          <w:color w:val="231F20"/>
          <w:sz w:val="30"/>
        </w:rPr>
      </w:pPr>
      <w:r>
        <w:rPr>
          <w:rFonts w:hint="eastAsia"/>
          <w:color w:val="231F20"/>
          <w:sz w:val="30"/>
        </w:rPr>
        <w:t>Therefore He said, “A certain nobleman went into a far country to receive for himself a Kingdom and to return.”</w:t>
      </w:r>
    </w:p>
    <w:p w14:paraId="0215538E">
      <w:pPr>
        <w:spacing w:before="8" w:line="249" w:lineRule="auto"/>
        <w:ind w:left="99" w:right="98" w:firstLine="450"/>
        <w:jc w:val="both"/>
        <w:rPr>
          <w:rFonts w:hint="eastAsia"/>
          <w:color w:val="231F20"/>
          <w:sz w:val="30"/>
        </w:rPr>
      </w:pPr>
      <w:r>
        <w:rPr>
          <w:rFonts w:hint="eastAsia"/>
          <w:color w:val="231F20"/>
          <w:sz w:val="30"/>
        </w:rPr>
        <w:t>所以祂说：“有一个贵胄往远方去，要得国回来。”</w:t>
      </w:r>
    </w:p>
    <w:p w14:paraId="190F752E">
      <w:pPr>
        <w:spacing w:before="8" w:line="249" w:lineRule="auto"/>
        <w:ind w:left="99" w:right="98" w:firstLine="450"/>
        <w:jc w:val="both"/>
        <w:rPr>
          <w:rFonts w:hint="eastAsia"/>
          <w:color w:val="231F20"/>
          <w:sz w:val="30"/>
        </w:rPr>
      </w:pPr>
    </w:p>
    <w:p w14:paraId="1D417112">
      <w:pPr>
        <w:spacing w:before="8" w:line="249" w:lineRule="auto"/>
        <w:ind w:left="99" w:right="98" w:firstLine="450"/>
        <w:jc w:val="both"/>
        <w:rPr>
          <w:rFonts w:hint="eastAsia"/>
          <w:color w:val="231F20"/>
          <w:sz w:val="30"/>
        </w:rPr>
      </w:pPr>
      <w:r>
        <w:rPr>
          <w:rFonts w:hint="eastAsia"/>
          <w:color w:val="231F20"/>
          <w:sz w:val="30"/>
        </w:rPr>
        <w:t>—Luke 19:12</w:t>
      </w:r>
    </w:p>
    <w:p w14:paraId="3E10937B">
      <w:pPr>
        <w:spacing w:before="8" w:line="249" w:lineRule="auto"/>
        <w:ind w:left="99" w:right="98" w:firstLine="450"/>
        <w:jc w:val="both"/>
        <w:rPr>
          <w:rFonts w:hint="eastAsia"/>
          <w:color w:val="231F20"/>
          <w:sz w:val="30"/>
        </w:rPr>
      </w:pPr>
      <w:r>
        <w:rPr>
          <w:rFonts w:hint="eastAsia"/>
          <w:color w:val="231F20"/>
          <w:sz w:val="30"/>
        </w:rPr>
        <w:t>—路 19:12</w:t>
      </w:r>
    </w:p>
    <w:p w14:paraId="15DF8924">
      <w:pPr>
        <w:spacing w:before="8" w:line="249" w:lineRule="auto"/>
        <w:ind w:left="99" w:right="98" w:firstLine="450"/>
        <w:jc w:val="both"/>
        <w:rPr>
          <w:rFonts w:hint="eastAsia"/>
          <w:color w:val="231F20"/>
          <w:sz w:val="30"/>
        </w:rPr>
      </w:pPr>
    </w:p>
    <w:p w14:paraId="366AA50A">
      <w:pPr>
        <w:spacing w:before="8" w:line="249" w:lineRule="auto"/>
        <w:ind w:left="99" w:right="98" w:firstLine="450"/>
        <w:jc w:val="both"/>
        <w:rPr>
          <w:rFonts w:hint="eastAsia"/>
          <w:color w:val="231F20"/>
          <w:sz w:val="30"/>
        </w:rPr>
      </w:pPr>
      <w:r>
        <w:rPr>
          <w:rFonts w:hint="eastAsia"/>
          <w:color w:val="231F20"/>
          <w:sz w:val="30"/>
        </w:rPr>
        <w:t>These introductory words provide an eschatological framework for the disciples’ thinking, a theological paradigm that will enable them to persevere in service throughout the long and difficult days ahead.</w:t>
      </w:r>
    </w:p>
    <w:p w14:paraId="5D9F7235">
      <w:pPr>
        <w:spacing w:before="8" w:line="249" w:lineRule="auto"/>
        <w:ind w:left="99" w:right="98" w:firstLine="450"/>
        <w:jc w:val="both"/>
        <w:rPr>
          <w:rFonts w:hint="eastAsia"/>
          <w:color w:val="231F20"/>
          <w:sz w:val="30"/>
        </w:rPr>
      </w:pPr>
      <w:r>
        <w:rPr>
          <w:rFonts w:hint="eastAsia"/>
          <w:color w:val="231F20"/>
          <w:sz w:val="30"/>
        </w:rPr>
        <w:t>这些介绍性的话语为门徒们的思想提供了一个末世论框架，一个神学范式，这将使他们能够在未来漫长而艰难的日子里持守服事。</w:t>
      </w:r>
    </w:p>
    <w:p w14:paraId="32FF54B1">
      <w:pPr>
        <w:spacing w:before="8" w:line="249" w:lineRule="auto"/>
        <w:ind w:left="99" w:right="98" w:firstLine="450"/>
        <w:jc w:val="both"/>
        <w:rPr>
          <w:rFonts w:hint="eastAsia"/>
          <w:color w:val="231F20"/>
          <w:sz w:val="30"/>
        </w:rPr>
      </w:pPr>
    </w:p>
    <w:p w14:paraId="3536B05F">
      <w:pPr>
        <w:spacing w:before="8" w:line="249" w:lineRule="auto"/>
        <w:ind w:left="99" w:right="98" w:firstLine="450"/>
        <w:jc w:val="both"/>
        <w:rPr>
          <w:rFonts w:hint="eastAsia"/>
          <w:color w:val="231F20"/>
          <w:sz w:val="30"/>
        </w:rPr>
      </w:pPr>
      <w:r>
        <w:rPr>
          <w:rFonts w:hint="eastAsia"/>
          <w:color w:val="231F20"/>
          <w:sz w:val="30"/>
        </w:rPr>
        <w:t>Each word is significant.</w:t>
      </w:r>
    </w:p>
    <w:p w14:paraId="70D53A40">
      <w:pPr>
        <w:spacing w:before="8" w:line="249" w:lineRule="auto"/>
        <w:ind w:left="99" w:right="98" w:firstLine="450"/>
        <w:jc w:val="both"/>
        <w:rPr>
          <w:rFonts w:hint="eastAsia"/>
          <w:color w:val="231F20"/>
          <w:sz w:val="30"/>
        </w:rPr>
      </w:pPr>
      <w:r>
        <w:rPr>
          <w:rFonts w:hint="eastAsia"/>
          <w:color w:val="231F20"/>
          <w:sz w:val="30"/>
        </w:rPr>
        <w:t>每个词都意义重大。</w:t>
      </w:r>
    </w:p>
    <w:p w14:paraId="13AE78AE">
      <w:pPr>
        <w:spacing w:before="8" w:line="249" w:lineRule="auto"/>
        <w:ind w:left="99" w:right="98" w:firstLine="450"/>
        <w:jc w:val="both"/>
        <w:rPr>
          <w:rFonts w:hint="eastAsia"/>
          <w:color w:val="231F20"/>
          <w:sz w:val="30"/>
        </w:rPr>
      </w:pPr>
    </w:p>
    <w:p w14:paraId="018C0519">
      <w:pPr>
        <w:spacing w:before="8" w:line="249" w:lineRule="auto"/>
        <w:ind w:left="99" w:right="98" w:firstLine="450"/>
        <w:jc w:val="both"/>
        <w:rPr>
          <w:rFonts w:hint="eastAsia"/>
          <w:color w:val="231F20"/>
          <w:sz w:val="30"/>
        </w:rPr>
      </w:pPr>
      <w:r>
        <w:rPr>
          <w:rFonts w:hint="eastAsia"/>
          <w:color w:val="231F20"/>
          <w:sz w:val="30"/>
        </w:rPr>
        <w:t>The nobleman is Christ.</w:t>
      </w:r>
    </w:p>
    <w:p w14:paraId="6D9D58F2">
      <w:pPr>
        <w:spacing w:before="8" w:line="249" w:lineRule="auto"/>
        <w:ind w:left="99" w:right="98" w:firstLine="450"/>
        <w:jc w:val="both"/>
        <w:rPr>
          <w:rFonts w:hint="eastAsia"/>
          <w:color w:val="231F20"/>
          <w:sz w:val="30"/>
        </w:rPr>
      </w:pPr>
      <w:r>
        <w:rPr>
          <w:rFonts w:hint="eastAsia"/>
          <w:color w:val="231F20"/>
          <w:sz w:val="30"/>
        </w:rPr>
        <w:t>贵胄是基督。</w:t>
      </w:r>
    </w:p>
    <w:p w14:paraId="7BA7B7BA">
      <w:pPr>
        <w:spacing w:before="8" w:line="249" w:lineRule="auto"/>
        <w:ind w:left="99" w:right="98" w:firstLine="450"/>
        <w:jc w:val="both"/>
        <w:rPr>
          <w:rFonts w:hint="eastAsia"/>
          <w:color w:val="231F20"/>
          <w:sz w:val="30"/>
        </w:rPr>
      </w:pPr>
    </w:p>
    <w:p w14:paraId="581A85C9">
      <w:pPr>
        <w:spacing w:before="8" w:line="249" w:lineRule="auto"/>
        <w:ind w:left="99" w:right="98" w:firstLine="450"/>
        <w:jc w:val="both"/>
        <w:rPr>
          <w:rFonts w:hint="eastAsia"/>
          <w:color w:val="231F20"/>
          <w:sz w:val="30"/>
        </w:rPr>
      </w:pPr>
      <w:r>
        <w:rPr>
          <w:rFonts w:hint="eastAsia"/>
          <w:color w:val="231F20"/>
          <w:sz w:val="30"/>
        </w:rPr>
        <w:t>The far country is heaven.</w:t>
      </w:r>
    </w:p>
    <w:p w14:paraId="39B4751C">
      <w:pPr>
        <w:spacing w:before="8" w:line="249" w:lineRule="auto"/>
        <w:ind w:left="99" w:right="98" w:firstLine="450"/>
        <w:jc w:val="both"/>
        <w:rPr>
          <w:rFonts w:hint="eastAsia"/>
          <w:color w:val="231F20"/>
          <w:sz w:val="30"/>
        </w:rPr>
      </w:pPr>
      <w:r>
        <w:rPr>
          <w:rFonts w:hint="eastAsia"/>
          <w:color w:val="231F20"/>
          <w:sz w:val="30"/>
        </w:rPr>
        <w:t>远方是天上。</w:t>
      </w:r>
    </w:p>
    <w:p w14:paraId="123C74FA">
      <w:pPr>
        <w:spacing w:before="8" w:line="249" w:lineRule="auto"/>
        <w:ind w:left="99" w:right="98" w:firstLine="450"/>
        <w:jc w:val="both"/>
        <w:rPr>
          <w:rFonts w:hint="eastAsia"/>
          <w:color w:val="231F20"/>
          <w:sz w:val="30"/>
        </w:rPr>
      </w:pPr>
    </w:p>
    <w:p w14:paraId="647EDB3A">
      <w:pPr>
        <w:spacing w:before="8" w:line="249" w:lineRule="auto"/>
        <w:ind w:left="99" w:right="98" w:firstLine="450"/>
        <w:jc w:val="both"/>
        <w:rPr>
          <w:rFonts w:hint="eastAsia"/>
          <w:color w:val="231F20"/>
          <w:sz w:val="30"/>
        </w:rPr>
      </w:pPr>
      <w:r>
        <w:rPr>
          <w:rFonts w:hint="eastAsia"/>
          <w:color w:val="231F20"/>
          <w:sz w:val="30"/>
        </w:rPr>
        <w:t>When he arrives there, he will receive for himself a Kingdom.</w:t>
      </w:r>
    </w:p>
    <w:p w14:paraId="59EA597C">
      <w:pPr>
        <w:spacing w:before="8" w:line="249" w:lineRule="auto"/>
        <w:ind w:left="99" w:right="98" w:firstLine="450"/>
        <w:jc w:val="both"/>
        <w:rPr>
          <w:rFonts w:hint="eastAsia"/>
          <w:color w:val="231F20"/>
          <w:sz w:val="30"/>
        </w:rPr>
      </w:pPr>
      <w:r>
        <w:rPr>
          <w:rFonts w:hint="eastAsia"/>
          <w:color w:val="231F20"/>
          <w:sz w:val="30"/>
        </w:rPr>
        <w:t>当祂到达那里时，祂将为自己得一个国。</w:t>
      </w:r>
    </w:p>
    <w:p w14:paraId="25501F64">
      <w:pPr>
        <w:spacing w:before="8" w:line="249" w:lineRule="auto"/>
        <w:ind w:left="99" w:right="98" w:firstLine="450"/>
        <w:jc w:val="both"/>
        <w:rPr>
          <w:rFonts w:hint="eastAsia"/>
          <w:color w:val="231F20"/>
          <w:sz w:val="30"/>
        </w:rPr>
      </w:pPr>
    </w:p>
    <w:p w14:paraId="3669E2F7">
      <w:pPr>
        <w:spacing w:before="8" w:line="249" w:lineRule="auto"/>
        <w:ind w:left="99" w:right="98" w:firstLine="450"/>
        <w:jc w:val="both"/>
        <w:rPr>
          <w:rFonts w:hint="eastAsia"/>
          <w:color w:val="231F20"/>
          <w:sz w:val="30"/>
        </w:rPr>
      </w:pPr>
      <w:r>
        <w:rPr>
          <w:rFonts w:hint="eastAsia"/>
          <w:color w:val="231F20"/>
          <w:sz w:val="30"/>
        </w:rPr>
        <w:t>This is the Messianic Kingdom that the disciples mistakenly thought was about to appear on earth, in Jerusalem.</w:t>
      </w:r>
    </w:p>
    <w:p w14:paraId="43687538">
      <w:pPr>
        <w:spacing w:before="8" w:line="249" w:lineRule="auto"/>
        <w:ind w:left="99" w:right="98" w:firstLine="450"/>
        <w:jc w:val="both"/>
        <w:rPr>
          <w:rFonts w:hint="eastAsia"/>
          <w:color w:val="231F20"/>
          <w:sz w:val="30"/>
        </w:rPr>
      </w:pPr>
      <w:r>
        <w:rPr>
          <w:rFonts w:hint="eastAsia"/>
          <w:color w:val="231F20"/>
          <w:sz w:val="30"/>
        </w:rPr>
        <w:t>这就是门徒们误以为即将在地上、在耶路撒冷显现的弥赛亚国度。</w:t>
      </w:r>
    </w:p>
    <w:p w14:paraId="2DC7B35E">
      <w:pPr>
        <w:spacing w:before="8" w:line="249" w:lineRule="auto"/>
        <w:ind w:left="99" w:right="98" w:firstLine="450"/>
        <w:jc w:val="both"/>
        <w:rPr>
          <w:rFonts w:hint="eastAsia"/>
          <w:color w:val="231F20"/>
          <w:sz w:val="30"/>
        </w:rPr>
      </w:pPr>
    </w:p>
    <w:p w14:paraId="6D4919DE">
      <w:pPr>
        <w:spacing w:before="8" w:line="249" w:lineRule="auto"/>
        <w:ind w:left="99" w:right="98" w:firstLine="450"/>
        <w:jc w:val="both"/>
        <w:rPr>
          <w:rFonts w:hint="eastAsia"/>
          <w:color w:val="231F20"/>
          <w:sz w:val="30"/>
        </w:rPr>
      </w:pPr>
      <w:r>
        <w:rPr>
          <w:rFonts w:hint="eastAsia"/>
          <w:color w:val="231F20"/>
          <w:sz w:val="30"/>
        </w:rPr>
        <w:t>But strange to tell, it is actually a heavenly Kingdom; a reward that God the Father will grant to his Messianic Son of Man; a core element of the great exaltation that God will bestow on him as a result of his humiliation, his arduous obedience to the point of death (Daniel 7:14, Mt. 28:18ff, Phil. 2:5f, Rev. 5:1f).</w:t>
      </w:r>
    </w:p>
    <w:p w14:paraId="0EAE44F5">
      <w:pPr>
        <w:spacing w:before="8" w:line="249" w:lineRule="auto"/>
        <w:ind w:left="99" w:right="98" w:firstLine="450"/>
        <w:jc w:val="both"/>
        <w:rPr>
          <w:rFonts w:hint="eastAsia"/>
          <w:color w:val="231F20"/>
          <w:sz w:val="30"/>
        </w:rPr>
      </w:pPr>
      <w:r>
        <w:rPr>
          <w:rFonts w:hint="eastAsia"/>
          <w:color w:val="231F20"/>
          <w:sz w:val="30"/>
        </w:rPr>
        <w:t>但说来也怪，它实际上是一个属天的国度；是父上帝将赐给祂弥赛亚人子的一个赏赐；是上帝因祂的降卑、祂顺服至死的艰辛而赐给祂的伟大高举的核心要素（但以理书 7:14, 太 28:18ff, 腓 2:5f, 启 5:1f）。</w:t>
      </w:r>
    </w:p>
    <w:p w14:paraId="57EF5E92">
      <w:pPr>
        <w:spacing w:before="8" w:line="249" w:lineRule="auto"/>
        <w:ind w:left="99" w:right="98" w:firstLine="450"/>
        <w:jc w:val="both"/>
        <w:rPr>
          <w:rFonts w:hint="eastAsia"/>
          <w:color w:val="231F20"/>
          <w:sz w:val="30"/>
        </w:rPr>
      </w:pPr>
    </w:p>
    <w:p w14:paraId="227FC977">
      <w:pPr>
        <w:spacing w:before="8" w:line="249" w:lineRule="auto"/>
        <w:ind w:left="99" w:right="98" w:firstLine="450"/>
        <w:jc w:val="both"/>
        <w:rPr>
          <w:rFonts w:hint="eastAsia"/>
          <w:color w:val="231F20"/>
          <w:sz w:val="30"/>
        </w:rPr>
      </w:pPr>
      <w:r>
        <w:rPr>
          <w:rFonts w:hint="eastAsia"/>
          <w:color w:val="231F20"/>
          <w:sz w:val="30"/>
        </w:rPr>
        <w:t>Importantly, the High King will remain in heaven for a long time.</w:t>
      </w:r>
    </w:p>
    <w:p w14:paraId="12C68B73">
      <w:pPr>
        <w:spacing w:before="8" w:line="249" w:lineRule="auto"/>
        <w:ind w:left="99" w:right="98" w:firstLine="450"/>
        <w:jc w:val="both"/>
        <w:rPr>
          <w:rFonts w:hint="eastAsia"/>
          <w:color w:val="231F20"/>
          <w:sz w:val="30"/>
        </w:rPr>
      </w:pPr>
      <w:r>
        <w:rPr>
          <w:rFonts w:hint="eastAsia"/>
          <w:color w:val="231F20"/>
          <w:sz w:val="30"/>
        </w:rPr>
        <w:t>重要的是，至高的君王将在天上停留很长一段时间。</w:t>
      </w:r>
    </w:p>
    <w:p w14:paraId="32595CCA">
      <w:pPr>
        <w:spacing w:before="8" w:line="249" w:lineRule="auto"/>
        <w:ind w:left="99" w:right="98" w:firstLine="450"/>
        <w:jc w:val="both"/>
        <w:rPr>
          <w:rFonts w:hint="eastAsia"/>
          <w:color w:val="231F20"/>
          <w:sz w:val="30"/>
        </w:rPr>
      </w:pPr>
    </w:p>
    <w:p w14:paraId="2073C332">
      <w:pPr>
        <w:spacing w:before="8" w:line="249" w:lineRule="auto"/>
        <w:ind w:left="99" w:right="98" w:firstLine="450"/>
        <w:jc w:val="both"/>
        <w:rPr>
          <w:rFonts w:hint="eastAsia"/>
          <w:color w:val="231F20"/>
          <w:sz w:val="30"/>
        </w:rPr>
      </w:pPr>
      <w:r>
        <w:rPr>
          <w:rFonts w:hint="eastAsia"/>
          <w:color w:val="231F20"/>
          <w:sz w:val="30"/>
        </w:rPr>
        <w:t>The Kingdom of God (in its fullness) will not appear immediately (Luke 19:11).</w:t>
      </w:r>
    </w:p>
    <w:p w14:paraId="3B8C662E">
      <w:pPr>
        <w:spacing w:before="8" w:line="249" w:lineRule="auto"/>
        <w:ind w:left="99" w:right="98" w:firstLine="450"/>
        <w:jc w:val="both"/>
        <w:rPr>
          <w:rFonts w:hint="eastAsia"/>
          <w:color w:val="231F20"/>
          <w:sz w:val="30"/>
        </w:rPr>
      </w:pPr>
      <w:r>
        <w:rPr>
          <w:rFonts w:hint="eastAsia"/>
          <w:color w:val="231F20"/>
          <w:sz w:val="30"/>
        </w:rPr>
        <w:t>上帝的国（在其完全中）不会立刻显现（路 19:11）。</w:t>
      </w:r>
    </w:p>
    <w:p w14:paraId="0C603FCA">
      <w:pPr>
        <w:spacing w:before="8" w:line="249" w:lineRule="auto"/>
        <w:ind w:left="99" w:right="98" w:firstLine="450"/>
        <w:jc w:val="both"/>
        <w:rPr>
          <w:rFonts w:hint="eastAsia"/>
          <w:color w:val="231F20"/>
          <w:sz w:val="30"/>
        </w:rPr>
      </w:pPr>
    </w:p>
    <w:p w14:paraId="14F6235E">
      <w:pPr>
        <w:spacing w:before="8" w:line="249" w:lineRule="auto"/>
        <w:ind w:left="99" w:right="98" w:firstLine="450"/>
        <w:jc w:val="both"/>
        <w:rPr>
          <w:rFonts w:hint="eastAsia"/>
          <w:color w:val="231F20"/>
          <w:sz w:val="30"/>
        </w:rPr>
      </w:pPr>
      <w:r>
        <w:rPr>
          <w:rFonts w:hint="eastAsia"/>
          <w:color w:val="231F20"/>
          <w:sz w:val="30"/>
        </w:rPr>
        <w:t>The High King will indeed return (Luke 19:12), but only after many days (Mt. 25:19).</w:t>
      </w:r>
    </w:p>
    <w:p w14:paraId="4F5A8A9A">
      <w:pPr>
        <w:spacing w:before="8" w:line="249" w:lineRule="auto"/>
        <w:ind w:left="99" w:right="98" w:firstLine="450"/>
        <w:jc w:val="both"/>
        <w:rPr>
          <w:rFonts w:hint="eastAsia"/>
          <w:color w:val="231F20"/>
          <w:sz w:val="30"/>
        </w:rPr>
      </w:pPr>
      <w:r>
        <w:rPr>
          <w:rFonts w:hint="eastAsia"/>
          <w:color w:val="231F20"/>
          <w:sz w:val="30"/>
        </w:rPr>
        <w:t>至高的君王确实会回来（路 19:12），但要过许多日子之后（太 25:19）。</w:t>
      </w:r>
    </w:p>
    <w:p w14:paraId="744AEB30">
      <w:pPr>
        <w:spacing w:before="8" w:line="249" w:lineRule="auto"/>
        <w:ind w:left="99" w:right="98" w:firstLine="450"/>
        <w:jc w:val="both"/>
        <w:rPr>
          <w:rFonts w:hint="eastAsia"/>
          <w:color w:val="231F20"/>
          <w:sz w:val="30"/>
        </w:rPr>
      </w:pPr>
    </w:p>
    <w:p w14:paraId="1A00EB0C">
      <w:pPr>
        <w:spacing w:before="8" w:line="249" w:lineRule="auto"/>
        <w:ind w:left="99" w:right="98" w:firstLine="450"/>
        <w:jc w:val="both"/>
        <w:rPr>
          <w:rFonts w:hint="eastAsia"/>
          <w:color w:val="231F20"/>
          <w:sz w:val="30"/>
        </w:rPr>
      </w:pPr>
      <w:r>
        <w:rPr>
          <w:rFonts w:hint="eastAsia"/>
          <w:color w:val="231F20"/>
          <w:sz w:val="30"/>
        </w:rPr>
        <w:t>Nevertheless, his coming is sure.</w:t>
      </w:r>
    </w:p>
    <w:p w14:paraId="7F7EA26E">
      <w:pPr>
        <w:spacing w:before="8" w:line="249" w:lineRule="auto"/>
        <w:ind w:left="99" w:right="98" w:firstLine="450"/>
        <w:jc w:val="both"/>
        <w:rPr>
          <w:rFonts w:hint="eastAsia"/>
          <w:color w:val="231F20"/>
          <w:sz w:val="30"/>
        </w:rPr>
      </w:pPr>
      <w:r>
        <w:rPr>
          <w:rFonts w:hint="eastAsia"/>
          <w:color w:val="231F20"/>
          <w:sz w:val="30"/>
        </w:rPr>
        <w:t>然而，祂的降临是确定的。</w:t>
      </w:r>
    </w:p>
    <w:p w14:paraId="0F52798B">
      <w:pPr>
        <w:spacing w:before="8" w:line="249" w:lineRule="auto"/>
        <w:ind w:left="99" w:right="98" w:firstLine="450"/>
        <w:jc w:val="both"/>
        <w:rPr>
          <w:rFonts w:hint="eastAsia"/>
          <w:color w:val="231F20"/>
          <w:sz w:val="30"/>
        </w:rPr>
      </w:pPr>
    </w:p>
    <w:p w14:paraId="32AEDB5C">
      <w:pPr>
        <w:spacing w:before="8" w:line="249" w:lineRule="auto"/>
        <w:ind w:left="99" w:right="98" w:firstLine="450"/>
        <w:jc w:val="both"/>
        <w:rPr>
          <w:rFonts w:hint="eastAsia"/>
          <w:color w:val="231F20"/>
          <w:sz w:val="30"/>
        </w:rPr>
      </w:pPr>
      <w:r>
        <w:rPr>
          <w:rFonts w:hint="eastAsia"/>
          <w:color w:val="231F20"/>
          <w:sz w:val="30"/>
        </w:rPr>
        <w:t>Therefore, the disciples must not lose heart or grow lazy.</w:t>
      </w:r>
    </w:p>
    <w:p w14:paraId="465D76A9">
      <w:pPr>
        <w:spacing w:before="8" w:line="249" w:lineRule="auto"/>
        <w:ind w:left="99" w:right="98" w:firstLine="450"/>
        <w:jc w:val="both"/>
        <w:rPr>
          <w:rFonts w:hint="eastAsia"/>
          <w:color w:val="231F20"/>
          <w:sz w:val="30"/>
        </w:rPr>
      </w:pPr>
      <w:r>
        <w:rPr>
          <w:rFonts w:hint="eastAsia"/>
          <w:color w:val="231F20"/>
          <w:sz w:val="30"/>
        </w:rPr>
        <w:t>因此，门徒们不可灰心或懒惰。</w:t>
      </w:r>
    </w:p>
    <w:p w14:paraId="3D92BEDC">
      <w:pPr>
        <w:spacing w:before="8" w:line="249" w:lineRule="auto"/>
        <w:ind w:left="99" w:right="98" w:firstLine="450"/>
        <w:jc w:val="both"/>
        <w:rPr>
          <w:rFonts w:hint="eastAsia"/>
          <w:color w:val="231F20"/>
          <w:sz w:val="30"/>
        </w:rPr>
      </w:pPr>
    </w:p>
    <w:p w14:paraId="1750B9CD">
      <w:pPr>
        <w:spacing w:before="8" w:line="249" w:lineRule="auto"/>
        <w:ind w:left="99" w:right="98" w:firstLine="450"/>
        <w:jc w:val="both"/>
        <w:rPr>
          <w:rFonts w:hint="eastAsia"/>
          <w:color w:val="231F20"/>
          <w:sz w:val="30"/>
        </w:rPr>
      </w:pPr>
      <w:r>
        <w:rPr>
          <w:rFonts w:hint="eastAsia"/>
          <w:color w:val="231F20"/>
          <w:sz w:val="30"/>
        </w:rPr>
        <w:t>For when the King does return, he will handsomely reward his faithful servants, but slay all the rebels who refused to have him reign over them (Luke 19:27).</w:t>
      </w:r>
    </w:p>
    <w:p w14:paraId="459E5E9B">
      <w:pPr>
        <w:spacing w:before="8" w:line="249" w:lineRule="auto"/>
        <w:ind w:left="99" w:right="98" w:firstLine="450"/>
        <w:jc w:val="both"/>
        <w:rPr>
          <w:rFonts w:hint="eastAsia"/>
          <w:color w:val="231F20"/>
          <w:sz w:val="30"/>
        </w:rPr>
      </w:pPr>
      <w:r>
        <w:rPr>
          <w:rFonts w:hint="eastAsia"/>
          <w:color w:val="231F20"/>
          <w:sz w:val="30"/>
        </w:rPr>
        <w:t>因为当王回来的时候，祂将丰厚地赏赐祂忠心的仆人，但要杀尽所有拒绝祂作王统治他们的叛逆者（路 19:27）。</w:t>
      </w:r>
    </w:p>
    <w:p w14:paraId="00B3C74C">
      <w:pPr>
        <w:spacing w:before="8" w:line="249" w:lineRule="auto"/>
        <w:ind w:left="99" w:right="98" w:firstLine="450"/>
        <w:jc w:val="both"/>
        <w:rPr>
          <w:rFonts w:hint="eastAsia"/>
          <w:color w:val="231F20"/>
          <w:sz w:val="30"/>
        </w:rPr>
      </w:pPr>
    </w:p>
    <w:p w14:paraId="1DFA430F">
      <w:pPr>
        <w:spacing w:before="8" w:line="249" w:lineRule="auto"/>
        <w:ind w:left="99" w:right="98" w:firstLine="450"/>
        <w:jc w:val="both"/>
        <w:rPr>
          <w:rFonts w:hint="eastAsia"/>
          <w:color w:val="231F20"/>
          <w:sz w:val="30"/>
        </w:rPr>
      </w:pPr>
      <w:r>
        <w:rPr>
          <w:rFonts w:hint="eastAsia"/>
          <w:color w:val="231F20"/>
          <w:sz w:val="30"/>
        </w:rPr>
        <w:t>The former will enter into the joy of their Lord (Mt. 25:21, 23); the latter will experience only weeping and gnashing of teeth (Mt. 25:30).</w:t>
      </w:r>
    </w:p>
    <w:p w14:paraId="65ECCBE5">
      <w:pPr>
        <w:spacing w:before="8" w:line="249" w:lineRule="auto"/>
        <w:ind w:left="99" w:right="98" w:firstLine="450"/>
        <w:jc w:val="both"/>
        <w:rPr>
          <w:rFonts w:hint="eastAsia"/>
          <w:color w:val="231F20"/>
          <w:sz w:val="30"/>
        </w:rPr>
      </w:pPr>
      <w:r>
        <w:rPr>
          <w:rFonts w:hint="eastAsia"/>
          <w:color w:val="231F20"/>
          <w:sz w:val="30"/>
        </w:rPr>
        <w:t>前者将进入他们主的快乐里（太 25:21, 23）；后者将只经历哀哭切齿（太 25:30）。</w:t>
      </w:r>
    </w:p>
    <w:p w14:paraId="09937CC1">
      <w:pPr>
        <w:spacing w:before="8" w:line="249" w:lineRule="auto"/>
        <w:ind w:left="99" w:right="98" w:firstLine="450"/>
        <w:jc w:val="both"/>
        <w:rPr>
          <w:rFonts w:hint="eastAsia"/>
          <w:color w:val="231F20"/>
          <w:sz w:val="30"/>
        </w:rPr>
      </w:pPr>
    </w:p>
    <w:p w14:paraId="63EAB118">
      <w:pPr>
        <w:spacing w:before="8" w:line="249" w:lineRule="auto"/>
        <w:ind w:left="99" w:right="98" w:firstLine="450"/>
        <w:jc w:val="both"/>
        <w:rPr>
          <w:rFonts w:hint="eastAsia"/>
          <w:color w:val="231F20"/>
          <w:sz w:val="30"/>
        </w:rPr>
      </w:pPr>
      <w:r>
        <w:rPr>
          <w:rFonts w:hint="eastAsia"/>
          <w:color w:val="231F20"/>
          <w:sz w:val="30"/>
        </w:rPr>
        <w:t>We have seen all this before, especially in the Parable of the Wheat and the Tares.</w:t>
      </w:r>
    </w:p>
    <w:p w14:paraId="3EA727FB">
      <w:pPr>
        <w:spacing w:before="8" w:line="249" w:lineRule="auto"/>
        <w:ind w:left="99" w:right="98" w:firstLine="450"/>
        <w:jc w:val="both"/>
        <w:rPr>
          <w:rFonts w:hint="eastAsia"/>
          <w:color w:val="231F20"/>
          <w:sz w:val="30"/>
        </w:rPr>
      </w:pPr>
      <w:r>
        <w:rPr>
          <w:rFonts w:hint="eastAsia"/>
          <w:color w:val="231F20"/>
          <w:sz w:val="30"/>
        </w:rPr>
        <w:t>我们以前都见过这一切，尤其是在麦子和稗子的比喻中。</w:t>
      </w:r>
    </w:p>
    <w:p w14:paraId="4343FC9F">
      <w:pPr>
        <w:spacing w:before="8" w:line="249" w:lineRule="auto"/>
        <w:ind w:left="99" w:right="98" w:firstLine="450"/>
        <w:jc w:val="both"/>
        <w:rPr>
          <w:rFonts w:hint="eastAsia"/>
          <w:color w:val="231F20"/>
          <w:sz w:val="30"/>
        </w:rPr>
      </w:pPr>
    </w:p>
    <w:p w14:paraId="7FD2EE40">
      <w:pPr>
        <w:spacing w:before="8" w:line="249" w:lineRule="auto"/>
        <w:ind w:left="99" w:right="98" w:firstLine="450"/>
        <w:jc w:val="both"/>
        <w:rPr>
          <w:rFonts w:hint="eastAsia"/>
          <w:color w:val="231F20"/>
          <w:sz w:val="30"/>
        </w:rPr>
      </w:pPr>
      <w:r>
        <w:rPr>
          <w:rFonts w:hint="eastAsia"/>
          <w:color w:val="231F20"/>
          <w:sz w:val="30"/>
        </w:rPr>
        <w:t>Here, Christ once again clearly affirms the central mystery of the Kingdom.</w:t>
      </w:r>
    </w:p>
    <w:p w14:paraId="542F3B9B">
      <w:pPr>
        <w:spacing w:before="8" w:line="249" w:lineRule="auto"/>
        <w:ind w:left="99" w:right="98" w:firstLine="450"/>
        <w:jc w:val="both"/>
        <w:rPr>
          <w:rFonts w:hint="eastAsia"/>
          <w:color w:val="231F20"/>
          <w:sz w:val="30"/>
        </w:rPr>
      </w:pPr>
      <w:r>
        <w:rPr>
          <w:rFonts w:hint="eastAsia"/>
          <w:color w:val="231F20"/>
          <w:sz w:val="30"/>
        </w:rPr>
        <w:t>在此，基督再次清楚地肯定了国度的中心奥秘。</w:t>
      </w:r>
    </w:p>
    <w:p w14:paraId="2065EBF5">
      <w:pPr>
        <w:spacing w:before="8" w:line="249" w:lineRule="auto"/>
        <w:ind w:left="99" w:right="98" w:firstLine="450"/>
        <w:jc w:val="both"/>
        <w:rPr>
          <w:rFonts w:hint="eastAsia"/>
          <w:color w:val="231F20"/>
          <w:sz w:val="30"/>
        </w:rPr>
      </w:pPr>
    </w:p>
    <w:p w14:paraId="7740A300">
      <w:pPr>
        <w:spacing w:before="8" w:line="249" w:lineRule="auto"/>
        <w:ind w:left="99" w:right="98" w:firstLine="450"/>
        <w:jc w:val="both"/>
        <w:rPr>
          <w:rFonts w:hint="eastAsia"/>
          <w:color w:val="231F20"/>
          <w:sz w:val="30"/>
        </w:rPr>
      </w:pPr>
      <w:r>
        <w:rPr>
          <w:rFonts w:hint="eastAsia"/>
          <w:color w:val="231F20"/>
          <w:sz w:val="30"/>
        </w:rPr>
        <w:t>The one Kingdom comes in two stages: a temporary heavenly reign, followed by an eternal earthly reign, the two being separated by a single Parousia when the High King descends from heaven to consummate all things in final reward and retribution.</w:t>
      </w:r>
    </w:p>
    <w:p w14:paraId="1BA37C06">
      <w:pPr>
        <w:spacing w:before="8" w:line="249" w:lineRule="auto"/>
        <w:ind w:left="99" w:right="98" w:firstLine="450"/>
        <w:jc w:val="both"/>
        <w:rPr>
          <w:rFonts w:hint="eastAsia"/>
          <w:color w:val="231F20"/>
          <w:sz w:val="30"/>
        </w:rPr>
      </w:pPr>
      <w:r>
        <w:rPr>
          <w:rFonts w:hint="eastAsia"/>
          <w:color w:val="231F20"/>
          <w:sz w:val="30"/>
        </w:rPr>
        <w:t>独一的国度分两个阶段降临：一个暂时的属天统治，随后是一个永恒的属地统治，两者由一次性的再来所分隔，那时至高的君王从天降临，以最终的赏赐和报应来成全万事。</w:t>
      </w:r>
    </w:p>
    <w:p w14:paraId="083460CA">
      <w:pPr>
        <w:spacing w:before="8" w:line="249" w:lineRule="auto"/>
        <w:ind w:left="99" w:right="98" w:firstLine="450"/>
        <w:jc w:val="both"/>
        <w:rPr>
          <w:rFonts w:hint="eastAsia"/>
          <w:color w:val="231F20"/>
          <w:sz w:val="30"/>
        </w:rPr>
      </w:pPr>
    </w:p>
    <w:p w14:paraId="36A393A9">
      <w:pPr>
        <w:spacing w:before="8" w:line="249" w:lineRule="auto"/>
        <w:ind w:left="99" w:right="98" w:firstLine="450"/>
        <w:jc w:val="both"/>
        <w:rPr>
          <w:rFonts w:hint="eastAsia"/>
          <w:color w:val="231F20"/>
          <w:sz w:val="30"/>
        </w:rPr>
      </w:pPr>
      <w:r>
        <w:rPr>
          <w:rFonts w:hint="eastAsia"/>
          <w:color w:val="231F20"/>
          <w:sz w:val="30"/>
        </w:rPr>
        <w:t>The Upper Room Discourse (John 13-17)</w:t>
      </w:r>
    </w:p>
    <w:p w14:paraId="6BD84E72">
      <w:pPr>
        <w:spacing w:before="8" w:line="249" w:lineRule="auto"/>
        <w:ind w:left="99" w:right="98" w:firstLine="450"/>
        <w:jc w:val="both"/>
        <w:rPr>
          <w:rFonts w:hint="eastAsia"/>
          <w:color w:val="231F20"/>
          <w:sz w:val="30"/>
        </w:rPr>
      </w:pPr>
      <w:r>
        <w:rPr>
          <w:rFonts w:hint="eastAsia"/>
          <w:color w:val="231F20"/>
          <w:sz w:val="30"/>
        </w:rPr>
        <w:t>楼上讲论（约 13-17）</w:t>
      </w:r>
    </w:p>
    <w:p w14:paraId="60A7C608">
      <w:pPr>
        <w:spacing w:before="8" w:line="249" w:lineRule="auto"/>
        <w:ind w:left="99" w:right="98" w:firstLine="450"/>
        <w:jc w:val="both"/>
        <w:rPr>
          <w:rFonts w:hint="eastAsia"/>
          <w:color w:val="231F20"/>
          <w:sz w:val="30"/>
        </w:rPr>
      </w:pPr>
    </w:p>
    <w:p w14:paraId="43919386">
      <w:pPr>
        <w:spacing w:before="8" w:line="249" w:lineRule="auto"/>
        <w:ind w:left="99" w:right="98" w:firstLine="450"/>
        <w:jc w:val="both"/>
        <w:rPr>
          <w:rFonts w:hint="eastAsia"/>
          <w:color w:val="231F20"/>
          <w:sz w:val="30"/>
        </w:rPr>
      </w:pPr>
      <w:r>
        <w:rPr>
          <w:rFonts w:hint="eastAsia"/>
          <w:color w:val="231F20"/>
          <w:sz w:val="30"/>
        </w:rPr>
        <w:t>Subtly, but quite substantially, Jesus’ thinking about the structure of the Kingdom is again on display in his Upper Room Discourse to the disciples.</w:t>
      </w:r>
    </w:p>
    <w:p w14:paraId="552DD306">
      <w:pPr>
        <w:spacing w:before="8" w:line="249" w:lineRule="auto"/>
        <w:ind w:left="99" w:right="98" w:firstLine="450"/>
        <w:jc w:val="both"/>
        <w:rPr>
          <w:rFonts w:hint="eastAsia"/>
          <w:color w:val="231F20"/>
          <w:sz w:val="30"/>
        </w:rPr>
      </w:pPr>
      <w:r>
        <w:rPr>
          <w:rFonts w:hint="eastAsia"/>
          <w:color w:val="231F20"/>
          <w:sz w:val="30"/>
        </w:rPr>
        <w:t>耶稣关于国度结构的思想，在祂对门徒的楼上讲论中再次 subtly 但相当实质性地展示出来。</w:t>
      </w:r>
    </w:p>
    <w:p w14:paraId="44A6C752">
      <w:pPr>
        <w:spacing w:before="8" w:line="249" w:lineRule="auto"/>
        <w:ind w:left="99" w:right="98" w:firstLine="450"/>
        <w:jc w:val="both"/>
        <w:rPr>
          <w:rFonts w:hint="eastAsia"/>
          <w:color w:val="231F20"/>
          <w:sz w:val="30"/>
        </w:rPr>
      </w:pPr>
    </w:p>
    <w:p w14:paraId="714B8258">
      <w:pPr>
        <w:spacing w:before="8" w:line="249" w:lineRule="auto"/>
        <w:ind w:left="99" w:right="98" w:firstLine="450"/>
        <w:jc w:val="both"/>
        <w:rPr>
          <w:rFonts w:hint="eastAsia"/>
          <w:color w:val="231F20"/>
          <w:sz w:val="30"/>
        </w:rPr>
      </w:pPr>
      <w:r>
        <w:rPr>
          <w:rFonts w:hint="eastAsia"/>
          <w:color w:val="231F20"/>
          <w:sz w:val="30"/>
        </w:rPr>
        <w:t>Notably, it fits in perfectly with all we have seen so far.</w:t>
      </w:r>
    </w:p>
    <w:p w14:paraId="2AEFDDD4">
      <w:pPr>
        <w:spacing w:before="8" w:line="249" w:lineRule="auto"/>
        <w:ind w:left="99" w:right="98" w:firstLine="450"/>
        <w:jc w:val="both"/>
        <w:rPr>
          <w:rFonts w:hint="eastAsia"/>
          <w:color w:val="231F20"/>
          <w:sz w:val="30"/>
        </w:rPr>
      </w:pPr>
      <w:r>
        <w:rPr>
          <w:rFonts w:hint="eastAsia"/>
          <w:color w:val="231F20"/>
          <w:sz w:val="30"/>
        </w:rPr>
        <w:t>值得注意的是，它与我们到目前为止所见的一切完全吻合。</w:t>
      </w:r>
    </w:p>
    <w:p w14:paraId="02113399">
      <w:pPr>
        <w:spacing w:before="8" w:line="249" w:lineRule="auto"/>
        <w:ind w:left="99" w:right="98" w:firstLine="450"/>
        <w:jc w:val="both"/>
        <w:rPr>
          <w:rFonts w:hint="eastAsia"/>
          <w:color w:val="231F20"/>
          <w:sz w:val="30"/>
        </w:rPr>
      </w:pPr>
    </w:p>
    <w:p w14:paraId="4AB17248">
      <w:pPr>
        <w:spacing w:before="8" w:line="249" w:lineRule="auto"/>
        <w:ind w:left="99" w:right="98" w:firstLine="450"/>
        <w:jc w:val="both"/>
        <w:rPr>
          <w:rFonts w:hint="eastAsia"/>
          <w:color w:val="231F20"/>
          <w:sz w:val="30"/>
        </w:rPr>
      </w:pPr>
      <w:r>
        <w:rPr>
          <w:rFonts w:hint="eastAsia"/>
          <w:color w:val="231F20"/>
          <w:sz w:val="30"/>
        </w:rPr>
        <w:t>His hour has come.</w:t>
      </w:r>
    </w:p>
    <w:p w14:paraId="19226AB2">
      <w:pPr>
        <w:spacing w:before="8" w:line="249" w:lineRule="auto"/>
        <w:ind w:left="99" w:right="98" w:firstLine="450"/>
        <w:jc w:val="both"/>
        <w:rPr>
          <w:rFonts w:hint="eastAsia"/>
          <w:color w:val="231F20"/>
          <w:sz w:val="30"/>
        </w:rPr>
      </w:pPr>
      <w:r>
        <w:rPr>
          <w:rFonts w:hint="eastAsia"/>
          <w:color w:val="231F20"/>
          <w:sz w:val="30"/>
        </w:rPr>
        <w:t>祂的时候到了。</w:t>
      </w:r>
    </w:p>
    <w:p w14:paraId="7894151E">
      <w:pPr>
        <w:spacing w:before="8" w:line="249" w:lineRule="auto"/>
        <w:ind w:left="99" w:right="98" w:firstLine="450"/>
        <w:jc w:val="both"/>
        <w:rPr>
          <w:rFonts w:hint="eastAsia"/>
          <w:color w:val="231F20"/>
          <w:sz w:val="30"/>
        </w:rPr>
      </w:pPr>
    </w:p>
    <w:p w14:paraId="6E47535B">
      <w:pPr>
        <w:spacing w:before="8" w:line="249" w:lineRule="auto"/>
        <w:ind w:left="99" w:right="98" w:firstLine="450"/>
        <w:jc w:val="both"/>
        <w:rPr>
          <w:rFonts w:hint="eastAsia"/>
          <w:color w:val="231F20"/>
          <w:sz w:val="30"/>
        </w:rPr>
      </w:pPr>
      <w:r>
        <w:rPr>
          <w:rFonts w:hint="eastAsia"/>
          <w:color w:val="231F20"/>
          <w:sz w:val="30"/>
        </w:rPr>
        <w:t>His earthly ministry—his humiliation—is nearly complete.</w:t>
      </w:r>
    </w:p>
    <w:p w14:paraId="20185061">
      <w:pPr>
        <w:spacing w:before="8" w:line="249" w:lineRule="auto"/>
        <w:ind w:left="99" w:right="98" w:firstLine="450"/>
        <w:jc w:val="both"/>
        <w:rPr>
          <w:rFonts w:hint="eastAsia"/>
          <w:color w:val="231F20"/>
          <w:sz w:val="30"/>
        </w:rPr>
      </w:pPr>
      <w:r>
        <w:rPr>
          <w:rFonts w:hint="eastAsia"/>
          <w:color w:val="231F20"/>
          <w:sz w:val="30"/>
        </w:rPr>
        <w:t>祂在世上的事工——祂的降卑——快要完成了。</w:t>
      </w:r>
    </w:p>
    <w:p w14:paraId="60E9AB3F">
      <w:pPr>
        <w:spacing w:before="8" w:line="249" w:lineRule="auto"/>
        <w:ind w:left="99" w:right="98" w:firstLine="450"/>
        <w:jc w:val="both"/>
        <w:rPr>
          <w:rFonts w:hint="eastAsia"/>
          <w:color w:val="231F20"/>
          <w:sz w:val="30"/>
        </w:rPr>
      </w:pPr>
    </w:p>
    <w:p w14:paraId="63B34081">
      <w:pPr>
        <w:spacing w:before="8" w:line="249" w:lineRule="auto"/>
        <w:ind w:left="99" w:right="98" w:firstLine="450"/>
        <w:jc w:val="both"/>
        <w:rPr>
          <w:rFonts w:hint="eastAsia"/>
          <w:color w:val="231F20"/>
          <w:sz w:val="30"/>
        </w:rPr>
      </w:pPr>
      <w:r>
        <w:rPr>
          <w:rFonts w:hint="eastAsia"/>
          <w:color w:val="231F20"/>
          <w:sz w:val="30"/>
        </w:rPr>
        <w:t>Only the Cross—the final earthly work of God’s great High Priest—remains (17:19).</w:t>
      </w:r>
    </w:p>
    <w:p w14:paraId="56C42BFF">
      <w:pPr>
        <w:spacing w:before="8" w:line="249" w:lineRule="auto"/>
        <w:ind w:left="99" w:right="98" w:firstLine="450"/>
        <w:jc w:val="both"/>
        <w:rPr>
          <w:rFonts w:hint="eastAsia"/>
          <w:color w:val="231F20"/>
          <w:sz w:val="30"/>
        </w:rPr>
      </w:pPr>
      <w:r>
        <w:rPr>
          <w:rFonts w:hint="eastAsia"/>
          <w:color w:val="231F20"/>
          <w:sz w:val="30"/>
        </w:rPr>
        <w:t>只剩下十字架——上帝伟大大祭司最后的在世工作——尚待完成（17:19）。</w:t>
      </w:r>
    </w:p>
    <w:p w14:paraId="07AFB207">
      <w:pPr>
        <w:spacing w:before="8" w:line="249" w:lineRule="auto"/>
        <w:ind w:left="99" w:right="98" w:firstLine="450"/>
        <w:jc w:val="both"/>
        <w:rPr>
          <w:rFonts w:hint="eastAsia"/>
          <w:color w:val="231F20"/>
          <w:sz w:val="30"/>
        </w:rPr>
      </w:pPr>
    </w:p>
    <w:p w14:paraId="3DD88FCB">
      <w:pPr>
        <w:spacing w:before="8" w:line="249" w:lineRule="auto"/>
        <w:ind w:left="99" w:right="98" w:firstLine="450"/>
        <w:jc w:val="both"/>
        <w:rPr>
          <w:rFonts w:hint="eastAsia"/>
          <w:color w:val="231F20"/>
          <w:sz w:val="30"/>
        </w:rPr>
      </w:pPr>
      <w:r>
        <w:rPr>
          <w:rFonts w:hint="eastAsia"/>
          <w:color w:val="231F20"/>
          <w:sz w:val="30"/>
        </w:rPr>
        <w:t>When it is accomplished, his exaltation will begin.</w:t>
      </w:r>
    </w:p>
    <w:p w14:paraId="0BA2DE64">
      <w:pPr>
        <w:spacing w:before="8" w:line="249" w:lineRule="auto"/>
        <w:ind w:left="99" w:right="98" w:firstLine="450"/>
        <w:jc w:val="both"/>
        <w:rPr>
          <w:rFonts w:hint="eastAsia"/>
          <w:color w:val="231F20"/>
          <w:sz w:val="30"/>
        </w:rPr>
      </w:pPr>
      <w:r>
        <w:rPr>
          <w:rFonts w:hint="eastAsia"/>
          <w:color w:val="231F20"/>
          <w:sz w:val="30"/>
        </w:rPr>
        <w:t>当它完成时，祂的高举将开始。</w:t>
      </w:r>
    </w:p>
    <w:p w14:paraId="55C43906">
      <w:pPr>
        <w:spacing w:before="8" w:line="249" w:lineRule="auto"/>
        <w:ind w:left="99" w:right="98" w:firstLine="450"/>
        <w:jc w:val="both"/>
        <w:rPr>
          <w:rFonts w:hint="eastAsia"/>
          <w:color w:val="231F20"/>
          <w:sz w:val="30"/>
        </w:rPr>
      </w:pPr>
    </w:p>
    <w:p w14:paraId="24E2AE23">
      <w:pPr>
        <w:spacing w:before="8" w:line="249" w:lineRule="auto"/>
        <w:ind w:left="99" w:right="98" w:firstLine="450"/>
        <w:jc w:val="both"/>
        <w:rPr>
          <w:rFonts w:hint="eastAsia"/>
          <w:color w:val="231F20"/>
          <w:sz w:val="30"/>
        </w:rPr>
      </w:pPr>
      <w:r>
        <w:rPr>
          <w:rFonts w:hint="eastAsia"/>
          <w:color w:val="231F20"/>
          <w:sz w:val="30"/>
        </w:rPr>
        <w:t>Following his resurrection, he will depart from this world to the Father who sent him, to his home in heaven above (13:1, 33,16:5).</w:t>
      </w:r>
    </w:p>
    <w:p w14:paraId="35548F10">
      <w:pPr>
        <w:spacing w:before="8" w:line="249" w:lineRule="auto"/>
        <w:ind w:left="99" w:right="98" w:firstLine="450"/>
        <w:jc w:val="both"/>
        <w:rPr>
          <w:rFonts w:hint="eastAsia"/>
          <w:color w:val="231F20"/>
          <w:sz w:val="30"/>
        </w:rPr>
      </w:pPr>
      <w:r>
        <w:rPr>
          <w:rFonts w:hint="eastAsia"/>
          <w:color w:val="231F20"/>
          <w:sz w:val="30"/>
        </w:rPr>
        <w:t>在祂复活之后，祂将离开这个世界，到差祂来的父那里去，到祂在天上的家去（13:1, 33, 16:5）。</w:t>
      </w:r>
    </w:p>
    <w:p w14:paraId="0C1AEF91">
      <w:pPr>
        <w:spacing w:before="8" w:line="249" w:lineRule="auto"/>
        <w:ind w:left="99" w:right="98" w:firstLine="450"/>
        <w:jc w:val="both"/>
        <w:rPr>
          <w:rFonts w:hint="eastAsia"/>
          <w:color w:val="231F20"/>
          <w:sz w:val="30"/>
        </w:rPr>
      </w:pPr>
    </w:p>
    <w:p w14:paraId="403B4799">
      <w:pPr>
        <w:spacing w:before="8" w:line="249" w:lineRule="auto"/>
        <w:ind w:left="99" w:right="98" w:firstLine="450"/>
        <w:jc w:val="both"/>
        <w:rPr>
          <w:rFonts w:hint="eastAsia"/>
          <w:color w:val="231F20"/>
          <w:sz w:val="30"/>
        </w:rPr>
      </w:pPr>
      <w:r>
        <w:rPr>
          <w:rFonts w:hint="eastAsia"/>
          <w:color w:val="231F20"/>
          <w:sz w:val="30"/>
        </w:rPr>
        <w:t>However, he will not enter heaven as he left it.</w:t>
      </w:r>
    </w:p>
    <w:p w14:paraId="00DCA173">
      <w:pPr>
        <w:spacing w:before="8" w:line="249" w:lineRule="auto"/>
        <w:ind w:left="99" w:right="98" w:firstLine="450"/>
        <w:jc w:val="both"/>
        <w:rPr>
          <w:rFonts w:hint="eastAsia"/>
          <w:color w:val="231F20"/>
          <w:sz w:val="30"/>
        </w:rPr>
      </w:pPr>
      <w:r>
        <w:rPr>
          <w:rFonts w:hint="eastAsia"/>
          <w:color w:val="231F20"/>
          <w:sz w:val="30"/>
        </w:rPr>
        <w:t>然而，祂进入天堂时将不同于祂离开时。</w:t>
      </w:r>
    </w:p>
    <w:p w14:paraId="385B0766">
      <w:pPr>
        <w:spacing w:before="8" w:line="249" w:lineRule="auto"/>
        <w:ind w:left="99" w:right="98" w:firstLine="450"/>
        <w:jc w:val="both"/>
        <w:rPr>
          <w:rFonts w:hint="eastAsia"/>
          <w:color w:val="231F20"/>
          <w:sz w:val="30"/>
        </w:rPr>
      </w:pPr>
    </w:p>
    <w:p w14:paraId="7DE9FBDC">
      <w:pPr>
        <w:spacing w:before="8" w:line="249" w:lineRule="auto"/>
        <w:ind w:left="99" w:right="98" w:firstLine="450"/>
        <w:jc w:val="both"/>
        <w:rPr>
          <w:rFonts w:hint="eastAsia"/>
          <w:color w:val="231F20"/>
          <w:sz w:val="30"/>
        </w:rPr>
      </w:pPr>
      <w:r>
        <w:rPr>
          <w:rFonts w:hint="eastAsia"/>
          <w:color w:val="231F20"/>
          <w:sz w:val="30"/>
        </w:rPr>
        <w:t>Rather, he will return home, not only as the Son of God, but also as the Son of Man; as the Messiah, God’s Spirit-anointed Prophet, Priest, and King.</w:t>
      </w:r>
    </w:p>
    <w:p w14:paraId="75175636">
      <w:pPr>
        <w:spacing w:before="8" w:line="249" w:lineRule="auto"/>
        <w:ind w:left="99" w:right="98" w:firstLine="450"/>
        <w:jc w:val="both"/>
        <w:rPr>
          <w:rFonts w:hint="eastAsia"/>
          <w:color w:val="231F20"/>
          <w:sz w:val="30"/>
        </w:rPr>
      </w:pPr>
      <w:r>
        <w:rPr>
          <w:rFonts w:hint="eastAsia"/>
          <w:color w:val="231F20"/>
          <w:sz w:val="30"/>
        </w:rPr>
        <w:t>相反，祂将回家，不仅是作为上帝的儿子，也作为人子；作为弥赛亚，上帝受圣灵膏抹的先知、祭司和君王。</w:t>
      </w:r>
    </w:p>
    <w:p w14:paraId="5FE71015">
      <w:pPr>
        <w:spacing w:before="8" w:line="249" w:lineRule="auto"/>
        <w:ind w:left="99" w:right="98" w:firstLine="450"/>
        <w:jc w:val="both"/>
        <w:rPr>
          <w:rFonts w:hint="eastAsia"/>
          <w:color w:val="231F20"/>
          <w:sz w:val="30"/>
        </w:rPr>
      </w:pPr>
    </w:p>
    <w:p w14:paraId="2CD174CA">
      <w:pPr>
        <w:spacing w:before="8" w:line="249" w:lineRule="auto"/>
        <w:ind w:left="99" w:right="98" w:firstLine="450"/>
        <w:jc w:val="both"/>
        <w:rPr>
          <w:rFonts w:hint="eastAsia"/>
          <w:color w:val="231F20"/>
          <w:sz w:val="30"/>
        </w:rPr>
      </w:pPr>
      <w:r>
        <w:rPr>
          <w:rFonts w:hint="eastAsia"/>
          <w:color w:val="231F20"/>
          <w:sz w:val="30"/>
        </w:rPr>
        <w:t>When he arrives, the Father will glorify him in heaven, even as he so faithfully glorified the Father on earth (17:1, 4).</w:t>
      </w:r>
    </w:p>
    <w:p w14:paraId="3CEE8B0D">
      <w:pPr>
        <w:spacing w:before="8" w:line="249" w:lineRule="auto"/>
        <w:ind w:left="99" w:right="98" w:firstLine="450"/>
        <w:jc w:val="both"/>
        <w:rPr>
          <w:rFonts w:hint="eastAsia"/>
          <w:color w:val="231F20"/>
          <w:sz w:val="30"/>
        </w:rPr>
      </w:pPr>
      <w:r>
        <w:rPr>
          <w:rFonts w:hint="eastAsia"/>
          <w:color w:val="231F20"/>
          <w:sz w:val="30"/>
        </w:rPr>
        <w:t>当祂到达时，父将在天上荣耀祂，正如祂在地上如此忠心地荣耀了父一样（17:1, 4）。</w:t>
      </w:r>
    </w:p>
    <w:p w14:paraId="24808E5A">
      <w:pPr>
        <w:spacing w:before="8" w:line="249" w:lineRule="auto"/>
        <w:ind w:left="99" w:right="98" w:firstLine="450"/>
        <w:jc w:val="both"/>
        <w:rPr>
          <w:rFonts w:hint="eastAsia"/>
          <w:color w:val="231F20"/>
          <w:sz w:val="30"/>
        </w:rPr>
      </w:pPr>
    </w:p>
    <w:p w14:paraId="5EC45081">
      <w:pPr>
        <w:spacing w:before="8" w:line="249" w:lineRule="auto"/>
        <w:ind w:left="99" w:right="98" w:firstLine="450"/>
        <w:jc w:val="both"/>
        <w:rPr>
          <w:rFonts w:hint="eastAsia"/>
          <w:color w:val="231F20"/>
          <w:sz w:val="30"/>
        </w:rPr>
      </w:pPr>
      <w:r>
        <w:rPr>
          <w:rFonts w:hint="eastAsia"/>
          <w:color w:val="231F20"/>
          <w:sz w:val="30"/>
        </w:rPr>
        <w:t>Indeed, the Father will place all things in his hand, giving him authority over all flesh (13:3, 17:2).</w:t>
      </w:r>
    </w:p>
    <w:p w14:paraId="753AF590">
      <w:pPr>
        <w:spacing w:before="8" w:line="249" w:lineRule="auto"/>
        <w:ind w:left="99" w:right="98" w:firstLine="450"/>
        <w:jc w:val="both"/>
        <w:rPr>
          <w:rFonts w:hint="eastAsia"/>
          <w:color w:val="231F20"/>
          <w:sz w:val="30"/>
        </w:rPr>
      </w:pPr>
      <w:r>
        <w:rPr>
          <w:rFonts w:hint="eastAsia"/>
          <w:color w:val="231F20"/>
          <w:sz w:val="30"/>
        </w:rPr>
        <w:t>的确，父将把万有都交在祂手里，赐给祂权柄管理凡有血气的（13:3, 17:2）。</w:t>
      </w:r>
    </w:p>
    <w:p w14:paraId="1DF5119B">
      <w:pPr>
        <w:spacing w:before="8" w:line="249" w:lineRule="auto"/>
        <w:ind w:left="99" w:right="98" w:firstLine="450"/>
        <w:jc w:val="both"/>
        <w:rPr>
          <w:rFonts w:hint="eastAsia"/>
          <w:color w:val="231F20"/>
          <w:sz w:val="30"/>
        </w:rPr>
      </w:pPr>
    </w:p>
    <w:p w14:paraId="0D312637">
      <w:pPr>
        <w:spacing w:before="8" w:line="249" w:lineRule="auto"/>
        <w:ind w:left="99" w:right="98" w:firstLine="450"/>
        <w:jc w:val="both"/>
        <w:rPr>
          <w:rFonts w:hint="eastAsia"/>
          <w:color w:val="231F20"/>
          <w:sz w:val="30"/>
        </w:rPr>
      </w:pPr>
      <w:r>
        <w:rPr>
          <w:rFonts w:hint="eastAsia"/>
          <w:color w:val="231F20"/>
          <w:sz w:val="30"/>
        </w:rPr>
        <w:t>With that mighty scepter in hand, he will therefore embark on the next stage of his redemptive work, sending the Holy Spirit down to his disciples on earth (14:15-18, 15:25, 16:7).</w:t>
      </w:r>
    </w:p>
    <w:p w14:paraId="755C3724">
      <w:pPr>
        <w:spacing w:before="8" w:line="249" w:lineRule="auto"/>
        <w:ind w:left="99" w:right="98" w:firstLine="450"/>
        <w:jc w:val="both"/>
        <w:rPr>
          <w:rFonts w:hint="eastAsia"/>
          <w:color w:val="231F20"/>
          <w:sz w:val="30"/>
        </w:rPr>
      </w:pPr>
      <w:r>
        <w:rPr>
          <w:rFonts w:hint="eastAsia"/>
          <w:color w:val="231F20"/>
          <w:sz w:val="30"/>
        </w:rPr>
        <w:t>因此，手持那大能的权杖，祂将开始祂救赎工作的下一阶段，将圣灵降到祂在地上的门徒身上（14:15-18, 15:25, 16:7）。</w:t>
      </w:r>
    </w:p>
    <w:p w14:paraId="0C77798C">
      <w:pPr>
        <w:spacing w:before="8" w:line="249" w:lineRule="auto"/>
        <w:ind w:left="99" w:right="98" w:firstLine="450"/>
        <w:jc w:val="both"/>
        <w:rPr>
          <w:rFonts w:hint="eastAsia"/>
          <w:color w:val="231F20"/>
          <w:sz w:val="30"/>
        </w:rPr>
      </w:pPr>
    </w:p>
    <w:p w14:paraId="4648E1ED">
      <w:pPr>
        <w:spacing w:before="8" w:line="249" w:lineRule="auto"/>
        <w:ind w:left="99" w:right="98" w:firstLine="450"/>
        <w:jc w:val="both"/>
        <w:rPr>
          <w:rFonts w:hint="eastAsia"/>
          <w:color w:val="231F20"/>
          <w:sz w:val="30"/>
        </w:rPr>
      </w:pPr>
      <w:r>
        <w:rPr>
          <w:rFonts w:hint="eastAsia"/>
          <w:color w:val="231F20"/>
          <w:sz w:val="30"/>
        </w:rPr>
        <w:t>By the Spirit, he will indwell them (14:19-24), sanctify them (15:1f), and empower them to bear witness to the truth of the Gospel (15:26-16:15).</w:t>
      </w:r>
    </w:p>
    <w:p w14:paraId="06E1CCE0">
      <w:pPr>
        <w:spacing w:before="8" w:line="249" w:lineRule="auto"/>
        <w:ind w:left="99" w:right="98" w:firstLine="450"/>
        <w:jc w:val="both"/>
        <w:rPr>
          <w:rFonts w:hint="eastAsia"/>
          <w:color w:val="231F20"/>
          <w:sz w:val="30"/>
        </w:rPr>
      </w:pPr>
      <w:r>
        <w:rPr>
          <w:rFonts w:hint="eastAsia"/>
          <w:color w:val="231F20"/>
          <w:sz w:val="30"/>
        </w:rPr>
        <w:t>藉着圣灵，祂将住在他们里面（14:19-24），使他们成圣（15:1f），并赐给他们能力为福音的真理作见证（15:26-16:15）。</w:t>
      </w:r>
    </w:p>
    <w:p w14:paraId="03909BD5">
      <w:pPr>
        <w:spacing w:before="8" w:line="249" w:lineRule="auto"/>
        <w:ind w:left="99" w:right="98" w:firstLine="450"/>
        <w:jc w:val="both"/>
        <w:rPr>
          <w:rFonts w:hint="eastAsia"/>
          <w:color w:val="231F20"/>
          <w:sz w:val="30"/>
        </w:rPr>
      </w:pPr>
    </w:p>
    <w:p w14:paraId="6414371B">
      <w:pPr>
        <w:spacing w:before="8" w:line="249" w:lineRule="auto"/>
        <w:ind w:left="99" w:right="98" w:firstLine="450"/>
        <w:jc w:val="both"/>
        <w:rPr>
          <w:rFonts w:hint="eastAsia"/>
          <w:color w:val="231F20"/>
          <w:sz w:val="30"/>
        </w:rPr>
      </w:pPr>
      <w:r>
        <w:rPr>
          <w:rFonts w:hint="eastAsia"/>
          <w:color w:val="231F20"/>
          <w:sz w:val="30"/>
        </w:rPr>
        <w:t>Moreover, as they do so, he himself, by that same Spirit, will bestow eternal life upon as many as the Father has given to him (17:2, 20).</w:t>
      </w:r>
    </w:p>
    <w:p w14:paraId="1AB93ECC">
      <w:pPr>
        <w:spacing w:before="8" w:line="249" w:lineRule="auto"/>
        <w:ind w:left="99" w:right="98" w:firstLine="450"/>
        <w:jc w:val="both"/>
        <w:rPr>
          <w:rFonts w:hint="eastAsia"/>
          <w:color w:val="231F20"/>
          <w:sz w:val="30"/>
        </w:rPr>
      </w:pPr>
      <w:r>
        <w:rPr>
          <w:rFonts w:hint="eastAsia"/>
          <w:color w:val="231F20"/>
          <w:sz w:val="30"/>
        </w:rPr>
        <w:t>此外，当他们这样做的时候，祂自己，藉着那同一位圣灵，将永生赐给父所赐给祂的那么多人（17:2, 20）。</w:t>
      </w:r>
    </w:p>
    <w:p w14:paraId="40859F5F">
      <w:pPr>
        <w:spacing w:before="8" w:line="249" w:lineRule="auto"/>
        <w:ind w:left="99" w:right="98" w:firstLine="450"/>
        <w:jc w:val="both"/>
        <w:rPr>
          <w:rFonts w:hint="eastAsia"/>
          <w:color w:val="231F20"/>
          <w:sz w:val="30"/>
        </w:rPr>
      </w:pPr>
    </w:p>
    <w:p w14:paraId="25AB67A8">
      <w:pPr>
        <w:spacing w:before="8" w:line="249" w:lineRule="auto"/>
        <w:ind w:left="99" w:right="98" w:firstLine="450"/>
        <w:jc w:val="both"/>
        <w:rPr>
          <w:rFonts w:hint="eastAsia"/>
          <w:color w:val="231F20"/>
          <w:sz w:val="30"/>
        </w:rPr>
      </w:pPr>
      <w:r>
        <w:rPr>
          <w:rFonts w:hint="eastAsia"/>
          <w:color w:val="231F20"/>
          <w:sz w:val="30"/>
        </w:rPr>
        <w:t>Here then is the saints’ manner of life in the entire forthcoming Era of Proclamation and Probation.</w:t>
      </w:r>
    </w:p>
    <w:p w14:paraId="0A81A6DA">
      <w:pPr>
        <w:spacing w:before="8" w:line="249" w:lineRule="auto"/>
        <w:ind w:left="99" w:right="98" w:firstLine="450"/>
        <w:jc w:val="both"/>
        <w:rPr>
          <w:rFonts w:hint="eastAsia"/>
          <w:color w:val="231F20"/>
          <w:sz w:val="30"/>
        </w:rPr>
      </w:pPr>
      <w:r>
        <w:rPr>
          <w:rFonts w:hint="eastAsia"/>
          <w:color w:val="231F20"/>
          <w:sz w:val="30"/>
        </w:rPr>
        <w:t>那么，这就是在即将到来的整个宣讲与察验时代中，圣徒们的生活方式。</w:t>
      </w:r>
    </w:p>
    <w:p w14:paraId="1C9FBFBC">
      <w:pPr>
        <w:spacing w:before="8" w:line="249" w:lineRule="auto"/>
        <w:ind w:left="99" w:right="98" w:firstLine="450"/>
        <w:jc w:val="both"/>
        <w:rPr>
          <w:rFonts w:hint="eastAsia"/>
          <w:color w:val="231F20"/>
          <w:sz w:val="30"/>
        </w:rPr>
      </w:pPr>
    </w:p>
    <w:p w14:paraId="4AF8C102">
      <w:pPr>
        <w:spacing w:before="8" w:line="249" w:lineRule="auto"/>
        <w:ind w:left="99" w:right="98" w:firstLine="450"/>
        <w:jc w:val="both"/>
        <w:rPr>
          <w:rFonts w:hint="eastAsia"/>
          <w:color w:val="231F20"/>
          <w:sz w:val="30"/>
        </w:rPr>
      </w:pPr>
      <w:r>
        <w:rPr>
          <w:rFonts w:hint="eastAsia"/>
          <w:color w:val="231F20"/>
          <w:sz w:val="30"/>
        </w:rPr>
        <w:t>Laying hold of these great provisions by prayer, obedience, and meditation upon God’s Word of Truth (14:21, 16:23- 28, 17:17), the High King’s disciples of every time and place will abide joyfully in him (15:1f), serve one another in love (13:1-17), and bravely endure inevitable persecution (15:18-25)—all the while eagerly waiting for their Lord’s return.</w:t>
      </w:r>
    </w:p>
    <w:p w14:paraId="2BF5F275">
      <w:pPr>
        <w:spacing w:before="8" w:line="249" w:lineRule="auto"/>
        <w:ind w:left="99" w:right="98" w:firstLine="450"/>
        <w:jc w:val="both"/>
        <w:rPr>
          <w:rFonts w:hint="eastAsia"/>
          <w:color w:val="231F20"/>
          <w:sz w:val="30"/>
        </w:rPr>
      </w:pPr>
      <w:r>
        <w:rPr>
          <w:rFonts w:hint="eastAsia"/>
          <w:color w:val="231F20"/>
          <w:sz w:val="30"/>
        </w:rPr>
        <w:t>至高君王在任何时代和地方的门徒，藉着祷告、顺服和默想上帝真理之道（14:21, 16:23-28, 17:17）来持守这些伟大的预备，将喜乐地住在祂里面（15:1f），在爱中彼此服事（13:1-17），并勇敢地忍受不可避免的逼迫（15:18-25）——同时热切地等待他们的主再来。</w:t>
      </w:r>
    </w:p>
    <w:p w14:paraId="6ADFEEDC">
      <w:pPr>
        <w:spacing w:before="8" w:line="249" w:lineRule="auto"/>
        <w:ind w:left="99" w:right="98" w:firstLine="450"/>
        <w:jc w:val="both"/>
        <w:rPr>
          <w:rFonts w:hint="eastAsia"/>
          <w:color w:val="231F20"/>
          <w:sz w:val="30"/>
        </w:rPr>
      </w:pPr>
    </w:p>
    <w:p w14:paraId="16D789C6">
      <w:pPr>
        <w:spacing w:before="8" w:line="249" w:lineRule="auto"/>
        <w:ind w:left="99" w:right="98" w:firstLine="450"/>
        <w:jc w:val="both"/>
        <w:rPr>
          <w:rFonts w:hint="eastAsia"/>
          <w:color w:val="231F20"/>
          <w:sz w:val="30"/>
        </w:rPr>
      </w:pPr>
      <w:r>
        <w:rPr>
          <w:rFonts w:hint="eastAsia"/>
          <w:color w:val="231F20"/>
          <w:sz w:val="30"/>
        </w:rPr>
        <w:t>And they will not be disappointed.</w:t>
      </w:r>
    </w:p>
    <w:p w14:paraId="3DF4CDEB">
      <w:pPr>
        <w:spacing w:before="8" w:line="249" w:lineRule="auto"/>
        <w:ind w:left="99" w:right="98" w:firstLine="450"/>
        <w:jc w:val="both"/>
        <w:rPr>
          <w:rFonts w:hint="eastAsia"/>
          <w:color w:val="231F20"/>
          <w:sz w:val="30"/>
        </w:rPr>
      </w:pPr>
      <w:r>
        <w:rPr>
          <w:rFonts w:hint="eastAsia"/>
          <w:color w:val="231F20"/>
          <w:sz w:val="30"/>
        </w:rPr>
        <w:t>他们不会失望。</w:t>
      </w:r>
    </w:p>
    <w:p w14:paraId="133F2A34">
      <w:pPr>
        <w:spacing w:before="8" w:line="249" w:lineRule="auto"/>
        <w:ind w:left="99" w:right="98" w:firstLine="450"/>
        <w:jc w:val="both"/>
        <w:rPr>
          <w:rFonts w:hint="eastAsia"/>
          <w:color w:val="231F20"/>
          <w:sz w:val="30"/>
        </w:rPr>
      </w:pPr>
    </w:p>
    <w:p w14:paraId="35C38E10">
      <w:pPr>
        <w:spacing w:before="8" w:line="249" w:lineRule="auto"/>
        <w:ind w:left="99" w:right="98" w:firstLine="450"/>
        <w:jc w:val="both"/>
        <w:rPr>
          <w:rFonts w:hint="eastAsia"/>
          <w:color w:val="231F20"/>
          <w:sz w:val="30"/>
        </w:rPr>
      </w:pPr>
      <w:r>
        <w:rPr>
          <w:rFonts w:hint="eastAsia"/>
          <w:color w:val="231F20"/>
          <w:sz w:val="30"/>
        </w:rPr>
        <w:t>For in that Day the heavenly King will be to them as a Bridegroom to his Bride: In a glorious new World to Come—an eternal dwelling place that he himself will prepare for his Beloved—he will receive her to himself, that where he is, she may be also (14:1-3).</w:t>
      </w:r>
    </w:p>
    <w:p w14:paraId="62986901">
      <w:pPr>
        <w:spacing w:before="8" w:line="249" w:lineRule="auto"/>
        <w:ind w:left="99" w:right="98" w:firstLine="450"/>
        <w:jc w:val="both"/>
        <w:rPr>
          <w:rFonts w:hint="eastAsia"/>
          <w:color w:val="231F20"/>
          <w:sz w:val="30"/>
        </w:rPr>
      </w:pPr>
      <w:r>
        <w:rPr>
          <w:rFonts w:hint="eastAsia"/>
          <w:color w:val="231F20"/>
          <w:sz w:val="30"/>
        </w:rPr>
        <w:t>因为在那日，天上的君王对他们将如新郎对祂的新妇：在一个荣耀的、将要来临的新世界里——一个祂亲自为祂的爱人预备的永恒住处——祂将接她到祂自己那里去，使祂在哪里，她也可以在那里（14:1-3）。</w:t>
      </w:r>
    </w:p>
    <w:p w14:paraId="60318948">
      <w:pPr>
        <w:spacing w:before="8" w:line="249" w:lineRule="auto"/>
        <w:ind w:left="99" w:right="98" w:firstLine="450"/>
        <w:jc w:val="both"/>
        <w:rPr>
          <w:rFonts w:hint="eastAsia"/>
          <w:color w:val="231F20"/>
          <w:sz w:val="30"/>
        </w:rPr>
      </w:pPr>
    </w:p>
    <w:p w14:paraId="185862A3">
      <w:pPr>
        <w:spacing w:before="8" w:line="249" w:lineRule="auto"/>
        <w:ind w:left="99" w:right="98" w:firstLine="450"/>
        <w:jc w:val="both"/>
        <w:rPr>
          <w:rFonts w:hint="eastAsia"/>
          <w:color w:val="231F20"/>
          <w:sz w:val="30"/>
        </w:rPr>
      </w:pPr>
      <w:r>
        <w:rPr>
          <w:rFonts w:hint="eastAsia"/>
          <w:color w:val="231F20"/>
          <w:sz w:val="30"/>
        </w:rPr>
        <w:t>The Early Sermons of the Apostle Peter (Acts 2:14-39, 3:11-26)</w:t>
      </w:r>
    </w:p>
    <w:p w14:paraId="7F4B9205">
      <w:pPr>
        <w:spacing w:before="8" w:line="249" w:lineRule="auto"/>
        <w:ind w:left="99" w:right="98" w:firstLine="450"/>
        <w:jc w:val="both"/>
        <w:rPr>
          <w:rFonts w:hint="eastAsia"/>
          <w:color w:val="231F20"/>
          <w:sz w:val="30"/>
        </w:rPr>
      </w:pPr>
      <w:r>
        <w:rPr>
          <w:rFonts w:hint="eastAsia"/>
          <w:color w:val="231F20"/>
          <w:sz w:val="30"/>
        </w:rPr>
        <w:t>使徒彼得早期的讲道（徒 2:14-39, 3:11-26）</w:t>
      </w:r>
    </w:p>
    <w:p w14:paraId="1E45978A">
      <w:pPr>
        <w:spacing w:before="8" w:line="249" w:lineRule="auto"/>
        <w:ind w:left="99" w:right="98" w:firstLine="450"/>
        <w:jc w:val="both"/>
        <w:rPr>
          <w:rFonts w:hint="eastAsia"/>
          <w:color w:val="231F20"/>
          <w:sz w:val="30"/>
        </w:rPr>
      </w:pPr>
    </w:p>
    <w:p w14:paraId="4E56A553">
      <w:pPr>
        <w:spacing w:before="8" w:line="249" w:lineRule="auto"/>
        <w:ind w:left="99" w:right="98" w:firstLine="450"/>
        <w:jc w:val="both"/>
        <w:rPr>
          <w:rFonts w:hint="eastAsia"/>
          <w:color w:val="231F20"/>
          <w:sz w:val="30"/>
        </w:rPr>
      </w:pPr>
      <w:r>
        <w:rPr>
          <w:rFonts w:hint="eastAsia"/>
          <w:color w:val="231F20"/>
          <w:sz w:val="30"/>
        </w:rPr>
        <w:t>As in Jesus’ Discourse on the Mysteries of the Kingdom, so here: Peter’s first two sermons to his Jewish brethren in Jerusalem give us the entire NT eschatology in a nutshell.</w:t>
      </w:r>
    </w:p>
    <w:p w14:paraId="57C6C690">
      <w:pPr>
        <w:spacing w:before="8" w:line="249" w:lineRule="auto"/>
        <w:ind w:left="99" w:right="98" w:firstLine="450"/>
        <w:jc w:val="both"/>
        <w:rPr>
          <w:rFonts w:hint="eastAsia"/>
          <w:color w:val="231F20"/>
          <w:sz w:val="30"/>
        </w:rPr>
      </w:pPr>
      <w:r>
        <w:rPr>
          <w:rFonts w:hint="eastAsia"/>
          <w:color w:val="231F20"/>
          <w:sz w:val="30"/>
        </w:rPr>
        <w:t>如同在耶稣关于国度奥秘的讲论中一样，此处也是如此：彼得对他在耶路撒冷的犹太弟兄的前两次讲道，简要地给了我们整个新约的末世论。</w:t>
      </w:r>
    </w:p>
    <w:p w14:paraId="55F53C80">
      <w:pPr>
        <w:spacing w:before="8" w:line="249" w:lineRule="auto"/>
        <w:ind w:left="99" w:right="98" w:firstLine="450"/>
        <w:jc w:val="both"/>
        <w:rPr>
          <w:rFonts w:hint="eastAsia"/>
          <w:color w:val="231F20"/>
          <w:sz w:val="30"/>
        </w:rPr>
      </w:pPr>
    </w:p>
    <w:p w14:paraId="4256AE2E">
      <w:pPr>
        <w:spacing w:before="8" w:line="249" w:lineRule="auto"/>
        <w:ind w:left="99" w:right="98" w:firstLine="450"/>
        <w:jc w:val="both"/>
        <w:rPr>
          <w:rFonts w:hint="eastAsia"/>
          <w:color w:val="231F20"/>
          <w:sz w:val="30"/>
        </w:rPr>
      </w:pPr>
      <w:r>
        <w:rPr>
          <w:rFonts w:hint="eastAsia"/>
          <w:color w:val="231F20"/>
          <w:sz w:val="30"/>
        </w:rPr>
        <w:t>The marvel is that he so clearly “gets it,” whereas only weeks before he most assuredly did not.</w:t>
      </w:r>
    </w:p>
    <w:p w14:paraId="76F13730">
      <w:pPr>
        <w:spacing w:before="8" w:line="249" w:lineRule="auto"/>
        <w:ind w:left="99" w:right="98" w:firstLine="450"/>
        <w:jc w:val="both"/>
        <w:rPr>
          <w:rFonts w:hint="eastAsia"/>
          <w:color w:val="231F20"/>
          <w:sz w:val="30"/>
        </w:rPr>
      </w:pPr>
      <w:r>
        <w:rPr>
          <w:rFonts w:hint="eastAsia"/>
          <w:color w:val="231F20"/>
          <w:sz w:val="30"/>
        </w:rPr>
        <w:t>令人惊奇的是，他如此清楚地“领会了”，而仅仅几周前，他肯定没有。</w:t>
      </w:r>
    </w:p>
    <w:p w14:paraId="5D3AD6DF">
      <w:pPr>
        <w:spacing w:before="8" w:line="249" w:lineRule="auto"/>
        <w:ind w:left="99" w:right="98" w:firstLine="450"/>
        <w:jc w:val="both"/>
        <w:rPr>
          <w:rFonts w:hint="eastAsia"/>
          <w:color w:val="231F20"/>
          <w:sz w:val="30"/>
        </w:rPr>
      </w:pPr>
    </w:p>
    <w:p w14:paraId="7651C29D">
      <w:pPr>
        <w:spacing w:before="8" w:line="249" w:lineRule="auto"/>
        <w:ind w:left="99" w:right="98" w:firstLine="450"/>
        <w:jc w:val="both"/>
        <w:rPr>
          <w:rFonts w:hint="eastAsia"/>
          <w:color w:val="231F20"/>
          <w:sz w:val="30"/>
        </w:rPr>
      </w:pPr>
      <w:r>
        <w:rPr>
          <w:rFonts w:hint="eastAsia"/>
          <w:color w:val="231F20"/>
          <w:sz w:val="30"/>
        </w:rPr>
        <w:t>Before, both he and his comrades were wondering if the risen Christ would immediately expel the Romans and restore the promised Davidic monarchy to national Israel (Acts 1:6-8).</w:t>
      </w:r>
    </w:p>
    <w:p w14:paraId="159F7DCA">
      <w:pPr>
        <w:spacing w:before="8" w:line="249" w:lineRule="auto"/>
        <w:ind w:left="99" w:right="98" w:firstLine="450"/>
        <w:jc w:val="both"/>
        <w:rPr>
          <w:rFonts w:hint="eastAsia"/>
          <w:color w:val="231F20"/>
          <w:sz w:val="30"/>
        </w:rPr>
      </w:pPr>
      <w:r>
        <w:rPr>
          <w:rFonts w:hint="eastAsia"/>
          <w:color w:val="231F20"/>
          <w:sz w:val="30"/>
        </w:rPr>
        <w:t>之前，他和他的同伴们都在想，复活的基督是否会立刻赶走罗马人，并为以色列国恢复应许的大卫王朝（徒 1:6-8）。</w:t>
      </w:r>
    </w:p>
    <w:p w14:paraId="31D50CB8">
      <w:pPr>
        <w:spacing w:before="8" w:line="249" w:lineRule="auto"/>
        <w:ind w:left="99" w:right="98" w:firstLine="450"/>
        <w:jc w:val="both"/>
        <w:rPr>
          <w:rFonts w:hint="eastAsia"/>
          <w:color w:val="231F20"/>
          <w:sz w:val="30"/>
        </w:rPr>
      </w:pPr>
    </w:p>
    <w:p w14:paraId="3F3356E8">
      <w:pPr>
        <w:spacing w:before="8" w:line="249" w:lineRule="auto"/>
        <w:ind w:left="99" w:right="98" w:firstLine="450"/>
        <w:jc w:val="both"/>
        <w:rPr>
          <w:rFonts w:hint="eastAsia"/>
          <w:color w:val="231F20"/>
          <w:sz w:val="30"/>
        </w:rPr>
      </w:pPr>
      <w:r>
        <w:rPr>
          <w:rFonts w:hint="eastAsia"/>
          <w:color w:val="231F20"/>
          <w:sz w:val="30"/>
        </w:rPr>
        <w:t>Now, however, his thinking has completely changed.</w:t>
      </w:r>
    </w:p>
    <w:p w14:paraId="4C0B55A4">
      <w:pPr>
        <w:spacing w:before="8" w:line="249" w:lineRule="auto"/>
        <w:ind w:left="99" w:right="98" w:firstLine="450"/>
        <w:jc w:val="both"/>
        <w:rPr>
          <w:rFonts w:hint="eastAsia"/>
          <w:color w:val="231F20"/>
          <w:sz w:val="30"/>
        </w:rPr>
      </w:pPr>
      <w:r>
        <w:rPr>
          <w:rFonts w:hint="eastAsia"/>
          <w:color w:val="231F20"/>
          <w:sz w:val="30"/>
        </w:rPr>
        <w:t>然而，现在，他的思想已经完全改变了。</w:t>
      </w:r>
    </w:p>
    <w:p w14:paraId="6E3A72AF">
      <w:pPr>
        <w:spacing w:before="8" w:line="249" w:lineRule="auto"/>
        <w:ind w:left="99" w:right="98" w:firstLine="450"/>
        <w:jc w:val="both"/>
        <w:rPr>
          <w:rFonts w:hint="eastAsia"/>
          <w:color w:val="231F20"/>
          <w:sz w:val="30"/>
        </w:rPr>
      </w:pPr>
    </w:p>
    <w:p w14:paraId="61C17C9A">
      <w:pPr>
        <w:spacing w:before="8" w:line="249" w:lineRule="auto"/>
        <w:ind w:left="99" w:right="98" w:firstLine="450"/>
        <w:jc w:val="both"/>
        <w:rPr>
          <w:rFonts w:hint="eastAsia"/>
          <w:color w:val="231F20"/>
          <w:sz w:val="30"/>
        </w:rPr>
      </w:pPr>
      <w:r>
        <w:rPr>
          <w:rFonts w:hint="eastAsia"/>
          <w:color w:val="231F20"/>
          <w:sz w:val="30"/>
        </w:rPr>
        <w:t>Now the Spirit has filled him, opened his understanding, and illumined the Scriptures.</w:t>
      </w:r>
    </w:p>
    <w:p w14:paraId="27154CBB">
      <w:pPr>
        <w:spacing w:before="8" w:line="249" w:lineRule="auto"/>
        <w:ind w:left="99" w:right="98" w:firstLine="450"/>
        <w:jc w:val="both"/>
        <w:rPr>
          <w:rFonts w:hint="eastAsia"/>
          <w:color w:val="231F20"/>
          <w:sz w:val="30"/>
        </w:rPr>
      </w:pPr>
      <w:r>
        <w:rPr>
          <w:rFonts w:hint="eastAsia"/>
          <w:color w:val="231F20"/>
          <w:sz w:val="30"/>
        </w:rPr>
        <w:t>现在圣灵充满了祂，开启了他的悟性，并光照了圣经。</w:t>
      </w:r>
    </w:p>
    <w:p w14:paraId="0F7E13E5">
      <w:pPr>
        <w:spacing w:before="8" w:line="249" w:lineRule="auto"/>
        <w:ind w:left="99" w:right="98" w:firstLine="450"/>
        <w:jc w:val="both"/>
        <w:rPr>
          <w:rFonts w:hint="eastAsia"/>
          <w:color w:val="231F20"/>
          <w:sz w:val="30"/>
        </w:rPr>
      </w:pPr>
    </w:p>
    <w:p w14:paraId="098BA1F6">
      <w:pPr>
        <w:spacing w:before="8" w:line="249" w:lineRule="auto"/>
        <w:ind w:left="99" w:right="98" w:firstLine="450"/>
        <w:jc w:val="both"/>
        <w:rPr>
          <w:rFonts w:hint="eastAsia"/>
          <w:color w:val="231F20"/>
          <w:sz w:val="30"/>
        </w:rPr>
      </w:pPr>
      <w:r>
        <w:rPr>
          <w:rFonts w:hint="eastAsia"/>
          <w:color w:val="231F20"/>
          <w:sz w:val="30"/>
        </w:rPr>
        <w:t>Now he understands, from those same Scriptures, that the Christ had first to suffer, and then to enter into his glory (Luke 24:26); that it was necessary for him to die, rise from the dead, and be exalted to God’s right hand in heaven, so that repentance and remission of sins could be preached in his name to all nations, beginning at Jerusalem (Luke 24:45-49).</w:t>
      </w:r>
    </w:p>
    <w:p w14:paraId="6AAFB05A">
      <w:pPr>
        <w:spacing w:before="8" w:line="249" w:lineRule="auto"/>
        <w:ind w:left="99" w:right="98" w:firstLine="450"/>
        <w:jc w:val="both"/>
        <w:rPr>
          <w:rFonts w:hint="eastAsia"/>
          <w:color w:val="231F20"/>
          <w:sz w:val="30"/>
        </w:rPr>
      </w:pPr>
      <w:r>
        <w:rPr>
          <w:rFonts w:hint="eastAsia"/>
          <w:color w:val="231F20"/>
          <w:sz w:val="30"/>
        </w:rPr>
        <w:t>现在他从那些同样的圣经中明白，基督必须先受苦，然后进入祂的荣耀（路 24:26）；祂必须死、从死里复活，并被高举到上帝在天上的右边，以便悔改和赦罪的道可以奉祂的名传给万国，从耶路撒冷起首（路 24:45-49）。</w:t>
      </w:r>
    </w:p>
    <w:p w14:paraId="0E29C096">
      <w:pPr>
        <w:spacing w:before="8" w:line="249" w:lineRule="auto"/>
        <w:ind w:left="99" w:right="98" w:firstLine="450"/>
        <w:jc w:val="both"/>
        <w:rPr>
          <w:rFonts w:hint="eastAsia"/>
          <w:color w:val="231F20"/>
          <w:sz w:val="30"/>
        </w:rPr>
      </w:pPr>
    </w:p>
    <w:p w14:paraId="480CF508">
      <w:pPr>
        <w:spacing w:before="8" w:line="249" w:lineRule="auto"/>
        <w:ind w:left="99" w:right="98" w:firstLine="450"/>
        <w:jc w:val="both"/>
        <w:rPr>
          <w:rFonts w:hint="eastAsia"/>
          <w:color w:val="231F20"/>
          <w:sz w:val="30"/>
        </w:rPr>
      </w:pPr>
      <w:r>
        <w:rPr>
          <w:rFonts w:hint="eastAsia"/>
          <w:color w:val="231F20"/>
          <w:sz w:val="30"/>
        </w:rPr>
        <w:t>In short, Peter now understands that the Messiah’s kingdom—the very Kingdom promised in all the OT scriptures—is heavenly in origin, spiritual in nature, and redemptive in purpose.</w:t>
      </w:r>
    </w:p>
    <w:p w14:paraId="1992F0BA">
      <w:pPr>
        <w:spacing w:before="8" w:line="249" w:lineRule="auto"/>
        <w:ind w:left="99" w:right="98" w:firstLine="450"/>
        <w:jc w:val="both"/>
        <w:rPr>
          <w:rFonts w:hint="eastAsia"/>
          <w:color w:val="231F20"/>
          <w:sz w:val="30"/>
        </w:rPr>
      </w:pPr>
      <w:r>
        <w:rPr>
          <w:rFonts w:hint="eastAsia"/>
          <w:color w:val="231F20"/>
          <w:sz w:val="30"/>
        </w:rPr>
        <w:t>简而言之，彼得现在明白，弥赛亚的国度——正是所有旧约圣经所应许的国度——其源头是属天的，性质是属灵的，目的是救赎的。</w:t>
      </w:r>
    </w:p>
    <w:p w14:paraId="759F5DE2">
      <w:pPr>
        <w:spacing w:before="8" w:line="249" w:lineRule="auto"/>
        <w:ind w:left="99" w:right="98" w:firstLine="450"/>
        <w:jc w:val="both"/>
        <w:rPr>
          <w:rFonts w:hint="eastAsia"/>
          <w:color w:val="231F20"/>
          <w:sz w:val="30"/>
        </w:rPr>
      </w:pPr>
    </w:p>
    <w:p w14:paraId="6B94D2F3">
      <w:pPr>
        <w:spacing w:before="8" w:line="249" w:lineRule="auto"/>
        <w:ind w:left="99" w:right="98" w:firstLine="450"/>
        <w:jc w:val="both"/>
        <w:rPr>
          <w:rFonts w:hint="eastAsia"/>
          <w:color w:val="231F20"/>
          <w:sz w:val="30"/>
        </w:rPr>
      </w:pPr>
      <w:r>
        <w:rPr>
          <w:rFonts w:hint="eastAsia"/>
          <w:color w:val="231F20"/>
          <w:sz w:val="30"/>
        </w:rPr>
        <w:t>It is exceedingly abundantly unlike anything that Israel could ever have asked or thought (Eph. 3:20).</w:t>
      </w:r>
    </w:p>
    <w:p w14:paraId="3E6B28CF">
      <w:pPr>
        <w:spacing w:before="8" w:line="249" w:lineRule="auto"/>
        <w:ind w:left="99" w:right="98" w:firstLine="450"/>
        <w:jc w:val="both"/>
        <w:rPr>
          <w:rFonts w:hint="eastAsia"/>
          <w:color w:val="231F20"/>
          <w:sz w:val="30"/>
        </w:rPr>
      </w:pPr>
      <w:r>
        <w:rPr>
          <w:rFonts w:hint="eastAsia"/>
          <w:color w:val="231F20"/>
          <w:sz w:val="30"/>
        </w:rPr>
        <w:t>它远远超过以色列所求所想的（弗 3:20）。</w:t>
      </w:r>
    </w:p>
    <w:p w14:paraId="67851EFE">
      <w:pPr>
        <w:spacing w:before="8" w:line="249" w:lineRule="auto"/>
        <w:ind w:left="99" w:right="98" w:firstLine="450"/>
        <w:jc w:val="both"/>
        <w:rPr>
          <w:rFonts w:hint="eastAsia"/>
          <w:color w:val="231F20"/>
          <w:sz w:val="30"/>
        </w:rPr>
      </w:pPr>
    </w:p>
    <w:p w14:paraId="17E930FB">
      <w:pPr>
        <w:spacing w:before="8" w:line="249" w:lineRule="auto"/>
        <w:ind w:left="99" w:right="98" w:firstLine="450"/>
        <w:jc w:val="both"/>
        <w:rPr>
          <w:rFonts w:hint="eastAsia"/>
          <w:color w:val="231F20"/>
          <w:sz w:val="30"/>
        </w:rPr>
      </w:pPr>
      <w:r>
        <w:rPr>
          <w:rFonts w:hint="eastAsia"/>
          <w:color w:val="231F20"/>
          <w:sz w:val="30"/>
        </w:rPr>
        <w:t>But let us pause to explore these things a little more closely.</w:t>
      </w:r>
    </w:p>
    <w:p w14:paraId="303CA8EA">
      <w:pPr>
        <w:spacing w:before="8" w:line="249" w:lineRule="auto"/>
        <w:ind w:left="99" w:right="98" w:firstLine="450"/>
        <w:jc w:val="both"/>
        <w:rPr>
          <w:rFonts w:hint="eastAsia"/>
          <w:color w:val="231F20"/>
          <w:sz w:val="30"/>
        </w:rPr>
      </w:pPr>
      <w:r>
        <w:rPr>
          <w:rFonts w:hint="eastAsia"/>
          <w:color w:val="231F20"/>
          <w:sz w:val="30"/>
        </w:rPr>
        <w:t>但让我们暂停一下，更仔细地探讨这些事情。</w:t>
      </w:r>
    </w:p>
    <w:p w14:paraId="4D682AF5">
      <w:pPr>
        <w:spacing w:before="8" w:line="249" w:lineRule="auto"/>
        <w:ind w:left="99" w:right="98" w:firstLine="450"/>
        <w:jc w:val="both"/>
        <w:rPr>
          <w:rFonts w:hint="eastAsia"/>
          <w:color w:val="231F20"/>
          <w:sz w:val="30"/>
        </w:rPr>
      </w:pPr>
    </w:p>
    <w:p w14:paraId="0608A777">
      <w:pPr>
        <w:spacing w:before="8" w:line="249" w:lineRule="auto"/>
        <w:ind w:left="99" w:right="98" w:firstLine="450"/>
        <w:jc w:val="both"/>
        <w:rPr>
          <w:rFonts w:hint="eastAsia"/>
          <w:color w:val="231F20"/>
          <w:sz w:val="30"/>
        </w:rPr>
      </w:pPr>
      <w:r>
        <w:rPr>
          <w:rFonts w:hint="eastAsia"/>
          <w:color w:val="231F20"/>
          <w:sz w:val="30"/>
        </w:rPr>
        <w:t>We will do so by taking a brief look at each of the two sermons.</w:t>
      </w:r>
    </w:p>
    <w:p w14:paraId="6177A743">
      <w:pPr>
        <w:spacing w:before="8" w:line="249" w:lineRule="auto"/>
        <w:ind w:left="99" w:right="98" w:firstLine="450"/>
        <w:jc w:val="both"/>
        <w:rPr>
          <w:rFonts w:hint="eastAsia"/>
          <w:color w:val="231F20"/>
          <w:sz w:val="30"/>
        </w:rPr>
      </w:pPr>
      <w:r>
        <w:rPr>
          <w:rFonts w:hint="eastAsia"/>
          <w:color w:val="231F20"/>
          <w:sz w:val="30"/>
        </w:rPr>
        <w:t>我们将通过简要地看看这两篇讲道来做到这一点。</w:t>
      </w:r>
    </w:p>
    <w:p w14:paraId="1D6F916A">
      <w:pPr>
        <w:spacing w:before="8" w:line="249" w:lineRule="auto"/>
        <w:ind w:left="99" w:right="98" w:firstLine="450"/>
        <w:jc w:val="both"/>
        <w:rPr>
          <w:rFonts w:hint="eastAsia"/>
          <w:color w:val="231F20"/>
          <w:sz w:val="30"/>
        </w:rPr>
      </w:pPr>
    </w:p>
    <w:p w14:paraId="75DB0568">
      <w:pPr>
        <w:spacing w:before="8" w:line="249" w:lineRule="auto"/>
        <w:ind w:left="99" w:right="98" w:firstLine="450"/>
        <w:jc w:val="both"/>
        <w:rPr>
          <w:rFonts w:hint="eastAsia"/>
          <w:color w:val="231F20"/>
          <w:sz w:val="30"/>
        </w:rPr>
      </w:pPr>
      <w:r>
        <w:rPr>
          <w:rFonts w:hint="eastAsia"/>
          <w:color w:val="231F20"/>
          <w:sz w:val="30"/>
        </w:rPr>
        <w:t>In the first, the focus is exclusively upon the mystery of the Messiah’s heavenly reign.</w:t>
      </w:r>
    </w:p>
    <w:p w14:paraId="21064172">
      <w:pPr>
        <w:spacing w:before="8" w:line="249" w:lineRule="auto"/>
        <w:ind w:left="99" w:right="98" w:firstLine="450"/>
        <w:jc w:val="both"/>
        <w:rPr>
          <w:rFonts w:hint="eastAsia"/>
          <w:color w:val="231F20"/>
          <w:sz w:val="30"/>
        </w:rPr>
      </w:pPr>
      <w:r>
        <w:rPr>
          <w:rFonts w:hint="eastAsia"/>
          <w:color w:val="231F20"/>
          <w:sz w:val="30"/>
        </w:rPr>
        <w:t>在第一篇中，焦点完全集中在弥赛亚属天统治的奥秘上。</w:t>
      </w:r>
    </w:p>
    <w:p w14:paraId="106790FE">
      <w:pPr>
        <w:spacing w:before="8" w:line="249" w:lineRule="auto"/>
        <w:ind w:left="99" w:right="98" w:firstLine="450"/>
        <w:jc w:val="both"/>
        <w:rPr>
          <w:rFonts w:hint="eastAsia"/>
          <w:color w:val="231F20"/>
          <w:sz w:val="30"/>
        </w:rPr>
      </w:pPr>
    </w:p>
    <w:p w14:paraId="5B556BB0">
      <w:pPr>
        <w:spacing w:before="8" w:line="249" w:lineRule="auto"/>
        <w:ind w:left="99" w:right="98" w:firstLine="450"/>
        <w:jc w:val="both"/>
        <w:rPr>
          <w:rFonts w:hint="eastAsia"/>
          <w:color w:val="231F20"/>
          <w:sz w:val="30"/>
        </w:rPr>
      </w:pPr>
      <w:r>
        <w:rPr>
          <w:rFonts w:hint="eastAsia"/>
          <w:color w:val="231F20"/>
          <w:sz w:val="30"/>
        </w:rPr>
        <w:t>In the second, Peter again speaks about this reign, but gives us further light on the Consummation that will occur at its end, when Christ returns from heaven to “restore all things.”</w:t>
      </w:r>
    </w:p>
    <w:p w14:paraId="530C8DA3">
      <w:pPr>
        <w:spacing w:before="8" w:line="249" w:lineRule="auto"/>
        <w:ind w:left="99" w:right="98" w:firstLine="450"/>
        <w:jc w:val="both"/>
        <w:rPr>
          <w:rFonts w:hint="eastAsia"/>
          <w:color w:val="231F20"/>
          <w:sz w:val="30"/>
        </w:rPr>
      </w:pPr>
      <w:r>
        <w:rPr>
          <w:rFonts w:hint="eastAsia"/>
          <w:color w:val="231F20"/>
          <w:sz w:val="30"/>
        </w:rPr>
        <w:t>在第二篇中，彼得再次谈到这个统治，但给了我们更多关于在其结束时将要发生的最终成全的亮光，那时基督将从天上再来“复兴万物”。</w:t>
      </w:r>
    </w:p>
    <w:p w14:paraId="6E468810">
      <w:pPr>
        <w:spacing w:before="8" w:line="249" w:lineRule="auto"/>
        <w:ind w:left="99" w:right="98" w:firstLine="450"/>
        <w:jc w:val="both"/>
        <w:rPr>
          <w:rFonts w:hint="eastAsia"/>
          <w:color w:val="231F20"/>
          <w:sz w:val="30"/>
        </w:rPr>
      </w:pPr>
    </w:p>
    <w:p w14:paraId="49AE8D2E">
      <w:pPr>
        <w:spacing w:before="8" w:line="249" w:lineRule="auto"/>
        <w:ind w:left="99" w:right="98" w:firstLine="450"/>
        <w:jc w:val="both"/>
        <w:rPr>
          <w:rFonts w:hint="eastAsia"/>
          <w:color w:val="231F20"/>
          <w:sz w:val="30"/>
        </w:rPr>
      </w:pPr>
      <w:r>
        <w:rPr>
          <w:rFonts w:hint="eastAsia"/>
          <w:color w:val="231F20"/>
          <w:sz w:val="30"/>
        </w:rPr>
        <w:t>Thus, between the two sermons, we do indeed behold again the nature and temporal structure of the Kingdom of God; the entire NT eschatology in a nutshell.</w:t>
      </w:r>
    </w:p>
    <w:p w14:paraId="6D281382">
      <w:pPr>
        <w:spacing w:before="8" w:line="249" w:lineRule="auto"/>
        <w:ind w:left="99" w:right="98" w:firstLine="450"/>
        <w:jc w:val="both"/>
        <w:rPr>
          <w:rFonts w:hint="eastAsia"/>
          <w:color w:val="231F20"/>
          <w:sz w:val="30"/>
        </w:rPr>
      </w:pPr>
      <w:r>
        <w:rPr>
          <w:rFonts w:hint="eastAsia"/>
          <w:color w:val="231F20"/>
          <w:sz w:val="30"/>
        </w:rPr>
        <w:t>因此，在这两篇讲道之间，我们确实再次看到了上帝之国的性质和时间结构；简而言之，就是整个新约的末世论。</w:t>
      </w:r>
    </w:p>
    <w:p w14:paraId="3740C09F">
      <w:pPr>
        <w:spacing w:before="8" w:line="249" w:lineRule="auto"/>
        <w:ind w:left="99" w:right="98" w:firstLine="450"/>
        <w:jc w:val="both"/>
        <w:rPr>
          <w:rFonts w:hint="eastAsia"/>
          <w:color w:val="231F20"/>
          <w:sz w:val="30"/>
        </w:rPr>
      </w:pPr>
    </w:p>
    <w:p w14:paraId="5893AA11">
      <w:pPr>
        <w:spacing w:before="8" w:line="249" w:lineRule="auto"/>
        <w:ind w:left="99" w:right="98" w:firstLine="450"/>
        <w:jc w:val="both"/>
        <w:rPr>
          <w:rFonts w:hint="eastAsia"/>
          <w:color w:val="231F20"/>
          <w:sz w:val="30"/>
        </w:rPr>
      </w:pPr>
      <w:r>
        <w:rPr>
          <w:rFonts w:hint="eastAsia"/>
          <w:color w:val="231F20"/>
          <w:sz w:val="30"/>
        </w:rPr>
        <w:t>1.The Sermon on the Day of Pentecost (Acts 2:14-39)</w:t>
      </w:r>
    </w:p>
    <w:p w14:paraId="655E9102">
      <w:pPr>
        <w:spacing w:before="8" w:line="249" w:lineRule="auto"/>
        <w:ind w:left="99" w:right="98" w:firstLine="450"/>
        <w:jc w:val="both"/>
        <w:rPr>
          <w:rFonts w:hint="eastAsia"/>
          <w:color w:val="231F20"/>
          <w:sz w:val="30"/>
        </w:rPr>
      </w:pPr>
      <w:r>
        <w:rPr>
          <w:rFonts w:hint="eastAsia"/>
          <w:color w:val="231F20"/>
          <w:sz w:val="30"/>
        </w:rPr>
        <w:t>1.五旬节的讲道（徒 2:14-39）</w:t>
      </w:r>
    </w:p>
    <w:p w14:paraId="57DCA676">
      <w:pPr>
        <w:spacing w:before="8" w:line="249" w:lineRule="auto"/>
        <w:ind w:left="99" w:right="98" w:firstLine="450"/>
        <w:jc w:val="both"/>
        <w:rPr>
          <w:rFonts w:hint="eastAsia"/>
          <w:color w:val="231F20"/>
          <w:sz w:val="30"/>
        </w:rPr>
      </w:pPr>
    </w:p>
    <w:p w14:paraId="3D9D422A">
      <w:pPr>
        <w:spacing w:before="8" w:line="249" w:lineRule="auto"/>
        <w:ind w:left="99" w:right="98" w:firstLine="450"/>
        <w:jc w:val="both"/>
        <w:rPr>
          <w:rFonts w:hint="eastAsia"/>
          <w:color w:val="231F20"/>
          <w:sz w:val="30"/>
        </w:rPr>
      </w:pPr>
      <w:r>
        <w:rPr>
          <w:rFonts w:hint="eastAsia"/>
          <w:color w:val="231F20"/>
          <w:sz w:val="30"/>
        </w:rPr>
        <w:t>This majestic sermon came in response to a question.</w:t>
      </w:r>
    </w:p>
    <w:p w14:paraId="44F34C10">
      <w:pPr>
        <w:spacing w:before="8" w:line="249" w:lineRule="auto"/>
        <w:ind w:left="99" w:right="98" w:firstLine="450"/>
        <w:jc w:val="both"/>
        <w:rPr>
          <w:rFonts w:hint="eastAsia"/>
          <w:color w:val="231F20"/>
          <w:sz w:val="30"/>
        </w:rPr>
      </w:pPr>
      <w:r>
        <w:rPr>
          <w:rFonts w:hint="eastAsia"/>
          <w:color w:val="231F20"/>
          <w:sz w:val="30"/>
        </w:rPr>
        <w:t>这篇庄严的讲道是对一个问题的回应。</w:t>
      </w:r>
    </w:p>
    <w:p w14:paraId="0C472388">
      <w:pPr>
        <w:spacing w:before="8" w:line="249" w:lineRule="auto"/>
        <w:ind w:left="99" w:right="98" w:firstLine="450"/>
        <w:jc w:val="both"/>
        <w:rPr>
          <w:rFonts w:hint="eastAsia"/>
          <w:color w:val="231F20"/>
          <w:sz w:val="30"/>
        </w:rPr>
      </w:pPr>
    </w:p>
    <w:p w14:paraId="72FBDADF">
      <w:pPr>
        <w:spacing w:before="8" w:line="249" w:lineRule="auto"/>
        <w:ind w:left="99" w:right="98" w:firstLine="450"/>
        <w:jc w:val="both"/>
        <w:rPr>
          <w:rFonts w:hint="eastAsia"/>
          <w:color w:val="231F20"/>
          <w:sz w:val="30"/>
        </w:rPr>
      </w:pPr>
      <w:r>
        <w:rPr>
          <w:rFonts w:hint="eastAsia"/>
          <w:color w:val="231F20"/>
          <w:sz w:val="30"/>
        </w:rPr>
        <w:t>Beholding the spiritual fireworks of Pentecost, the amazed and perplexed onlookers asked one another, “Whatever could this mean” (2:12)?</w:t>
      </w:r>
    </w:p>
    <w:p w14:paraId="25EE9E54">
      <w:pPr>
        <w:spacing w:before="8" w:line="249" w:lineRule="auto"/>
        <w:ind w:left="99" w:right="98" w:firstLine="450"/>
        <w:jc w:val="both"/>
        <w:rPr>
          <w:rFonts w:hint="eastAsia"/>
          <w:color w:val="231F20"/>
          <w:sz w:val="30"/>
        </w:rPr>
      </w:pPr>
      <w:r>
        <w:rPr>
          <w:rFonts w:hint="eastAsia"/>
          <w:color w:val="231F20"/>
          <w:sz w:val="30"/>
        </w:rPr>
        <w:t>看到五旬节的属灵烟火，惊奇和困惑的旁观者彼此问：“这到底是什么意思”（2:12）？</w:t>
      </w:r>
    </w:p>
    <w:p w14:paraId="04F9E6F5">
      <w:pPr>
        <w:spacing w:before="8" w:line="249" w:lineRule="auto"/>
        <w:ind w:left="99" w:right="98" w:firstLine="450"/>
        <w:jc w:val="both"/>
        <w:rPr>
          <w:rFonts w:hint="eastAsia"/>
          <w:color w:val="231F20"/>
          <w:sz w:val="30"/>
        </w:rPr>
      </w:pPr>
    </w:p>
    <w:p w14:paraId="359EC333">
      <w:pPr>
        <w:spacing w:before="8" w:line="249" w:lineRule="auto"/>
        <w:ind w:left="99" w:right="98" w:firstLine="450"/>
        <w:jc w:val="both"/>
        <w:rPr>
          <w:rFonts w:hint="eastAsia"/>
          <w:color w:val="231F20"/>
          <w:sz w:val="30"/>
        </w:rPr>
      </w:pPr>
      <w:r>
        <w:rPr>
          <w:rFonts w:hint="eastAsia"/>
          <w:color w:val="231F20"/>
          <w:sz w:val="30"/>
        </w:rPr>
        <w:t>Peter was well pleased to explain.</w:t>
      </w:r>
    </w:p>
    <w:p w14:paraId="6013E067">
      <w:pPr>
        <w:spacing w:before="8" w:line="249" w:lineRule="auto"/>
        <w:ind w:left="99" w:right="98" w:firstLine="450"/>
        <w:jc w:val="both"/>
        <w:rPr>
          <w:rFonts w:hint="eastAsia"/>
          <w:color w:val="231F20"/>
          <w:sz w:val="30"/>
        </w:rPr>
      </w:pPr>
      <w:r>
        <w:rPr>
          <w:rFonts w:hint="eastAsia"/>
          <w:color w:val="231F20"/>
          <w:sz w:val="30"/>
        </w:rPr>
        <w:t>彼得很高兴地解释。</w:t>
      </w:r>
    </w:p>
    <w:p w14:paraId="76776294">
      <w:pPr>
        <w:spacing w:before="8" w:line="249" w:lineRule="auto"/>
        <w:ind w:left="99" w:right="98" w:firstLine="450"/>
        <w:jc w:val="both"/>
        <w:rPr>
          <w:rFonts w:hint="eastAsia"/>
          <w:color w:val="231F20"/>
          <w:sz w:val="30"/>
        </w:rPr>
      </w:pPr>
    </w:p>
    <w:p w14:paraId="7504F920">
      <w:pPr>
        <w:spacing w:before="8" w:line="249" w:lineRule="auto"/>
        <w:ind w:left="99" w:right="98" w:firstLine="450"/>
        <w:jc w:val="both"/>
        <w:rPr>
          <w:rFonts w:hint="eastAsia"/>
          <w:color w:val="231F20"/>
          <w:sz w:val="30"/>
        </w:rPr>
      </w:pPr>
      <w:r>
        <w:rPr>
          <w:rFonts w:hint="eastAsia"/>
          <w:color w:val="231F20"/>
          <w:sz w:val="30"/>
        </w:rPr>
        <w:t>His answer was straightforward: “This is what was spoken of by the prophet Joel” (2:16).</w:t>
      </w:r>
    </w:p>
    <w:p w14:paraId="3C900406">
      <w:pPr>
        <w:spacing w:before="8" w:line="249" w:lineRule="auto"/>
        <w:ind w:left="99" w:right="98" w:firstLine="450"/>
        <w:jc w:val="both"/>
        <w:rPr>
          <w:rFonts w:hint="eastAsia"/>
          <w:color w:val="231F20"/>
          <w:sz w:val="30"/>
        </w:rPr>
      </w:pPr>
      <w:r>
        <w:rPr>
          <w:rFonts w:hint="eastAsia"/>
          <w:color w:val="231F20"/>
          <w:sz w:val="30"/>
        </w:rPr>
        <w:t>他的回答很直接：“这正是先知约珥所说的”（2:16）。</w:t>
      </w:r>
    </w:p>
    <w:p w14:paraId="6C119796">
      <w:pPr>
        <w:spacing w:before="8" w:line="249" w:lineRule="auto"/>
        <w:ind w:left="99" w:right="98" w:firstLine="450"/>
        <w:jc w:val="both"/>
        <w:rPr>
          <w:rFonts w:hint="eastAsia"/>
          <w:color w:val="231F20"/>
          <w:sz w:val="30"/>
        </w:rPr>
      </w:pPr>
    </w:p>
    <w:p w14:paraId="14371995">
      <w:pPr>
        <w:spacing w:before="8" w:line="249" w:lineRule="auto"/>
        <w:ind w:left="99" w:right="98" w:firstLine="450"/>
        <w:jc w:val="both"/>
        <w:rPr>
          <w:rFonts w:hint="eastAsia"/>
          <w:color w:val="231F20"/>
          <w:sz w:val="30"/>
        </w:rPr>
      </w:pPr>
      <w:r>
        <w:rPr>
          <w:rFonts w:hint="eastAsia"/>
          <w:color w:val="231F20"/>
          <w:sz w:val="30"/>
        </w:rPr>
        <w:t>In other words, his hearers were to understand that the events of Pentecost mark the onset of the last days: the days of the coming of the Kingdom; days of the Spirit outpoured; days of the saints prophesying; days of final judgment looming; and days when men may— and must—call upon the name of the Lord to be saved (Joel 2:28-32, Acts 2:14-21).</w:t>
      </w:r>
    </w:p>
    <w:p w14:paraId="6616154F">
      <w:pPr>
        <w:spacing w:before="8" w:line="249" w:lineRule="auto"/>
        <w:ind w:left="99" w:right="98" w:firstLine="450"/>
        <w:jc w:val="both"/>
        <w:rPr>
          <w:rFonts w:hint="eastAsia"/>
          <w:color w:val="231F20"/>
          <w:sz w:val="30"/>
        </w:rPr>
      </w:pPr>
      <w:r>
        <w:rPr>
          <w:rFonts w:hint="eastAsia"/>
          <w:color w:val="231F20"/>
          <w:sz w:val="30"/>
        </w:rPr>
        <w:t>换句话说，他的听众要明白，五旬节的事件标志着末日的开始：国度降临的日子；圣灵浇灌的日子；圣徒说预言的日子；最后审判临近的日子；以及人可以——也必须——求告主名得救的日子（珥 2:28-32, 徒 2:14-21）。</w:t>
      </w:r>
    </w:p>
    <w:p w14:paraId="4F5BAF53">
      <w:pPr>
        <w:spacing w:before="8" w:line="249" w:lineRule="auto"/>
        <w:ind w:left="99" w:right="98" w:firstLine="450"/>
        <w:jc w:val="both"/>
        <w:rPr>
          <w:rFonts w:hint="eastAsia"/>
          <w:color w:val="231F20"/>
          <w:sz w:val="30"/>
        </w:rPr>
      </w:pPr>
    </w:p>
    <w:p w14:paraId="354B32A1">
      <w:pPr>
        <w:spacing w:before="8" w:line="249" w:lineRule="auto"/>
        <w:ind w:left="99" w:right="98" w:firstLine="450"/>
        <w:jc w:val="both"/>
        <w:rPr>
          <w:rFonts w:hint="eastAsia"/>
          <w:color w:val="231F20"/>
          <w:sz w:val="30"/>
        </w:rPr>
      </w:pPr>
      <w:r>
        <w:rPr>
          <w:rFonts w:hint="eastAsia"/>
          <w:color w:val="231F20"/>
          <w:sz w:val="30"/>
        </w:rPr>
        <w:t>But what was not so straightforward—and what was so totally unexpected—was Peter’s explanation of how and why these events were occurring.</w:t>
      </w:r>
    </w:p>
    <w:p w14:paraId="0B5D971D">
      <w:pPr>
        <w:spacing w:before="8" w:line="249" w:lineRule="auto"/>
        <w:ind w:left="99" w:right="98" w:firstLine="450"/>
        <w:jc w:val="both"/>
        <w:rPr>
          <w:rFonts w:hint="eastAsia"/>
          <w:color w:val="231F20"/>
          <w:sz w:val="30"/>
        </w:rPr>
      </w:pPr>
      <w:r>
        <w:rPr>
          <w:rFonts w:hint="eastAsia"/>
          <w:color w:val="231F20"/>
          <w:sz w:val="30"/>
        </w:rPr>
        <w:t>但不那么直接——而且完全出乎意料的——是彼得对这些事件如何以及为何发生的解释。</w:t>
      </w:r>
    </w:p>
    <w:p w14:paraId="0EEE857E">
      <w:pPr>
        <w:spacing w:before="8" w:line="249" w:lineRule="auto"/>
        <w:ind w:left="99" w:right="98" w:firstLine="450"/>
        <w:jc w:val="both"/>
        <w:rPr>
          <w:rFonts w:hint="eastAsia"/>
          <w:color w:val="231F20"/>
          <w:sz w:val="30"/>
        </w:rPr>
      </w:pPr>
    </w:p>
    <w:p w14:paraId="0470B50E">
      <w:pPr>
        <w:spacing w:before="8" w:line="249" w:lineRule="auto"/>
        <w:ind w:left="99" w:right="98" w:firstLine="450"/>
        <w:jc w:val="both"/>
        <w:rPr>
          <w:rFonts w:hint="eastAsia"/>
          <w:color w:val="231F20"/>
          <w:sz w:val="30"/>
        </w:rPr>
      </w:pPr>
      <w:r>
        <w:rPr>
          <w:rFonts w:hint="eastAsia"/>
          <w:color w:val="231F20"/>
          <w:sz w:val="30"/>
        </w:rPr>
        <w:t>His discourse was actually quite lengthy, and had to be, since here, for the very first time, the apostle undertook to introduce his Jewish brethren to the great NT mysteries of the Person and Work of their Messiah.</w:t>
      </w:r>
    </w:p>
    <w:p w14:paraId="5BC4408E">
      <w:pPr>
        <w:spacing w:before="8" w:line="249" w:lineRule="auto"/>
        <w:ind w:left="99" w:right="98" w:firstLine="450"/>
        <w:jc w:val="both"/>
        <w:rPr>
          <w:rFonts w:hint="eastAsia"/>
          <w:color w:val="231F20"/>
          <w:sz w:val="30"/>
        </w:rPr>
      </w:pPr>
      <w:r>
        <w:rPr>
          <w:rFonts w:hint="eastAsia"/>
          <w:color w:val="231F20"/>
          <w:sz w:val="30"/>
        </w:rPr>
        <w:t>他的讲论实际上相当长，而且必须如此，因为在此处，使徒第一次着手向他的犹太弟兄们介绍他们弥赛亚位格和工作的伟大新约奥秘。</w:t>
      </w:r>
    </w:p>
    <w:p w14:paraId="76075617">
      <w:pPr>
        <w:spacing w:before="8" w:line="249" w:lineRule="auto"/>
        <w:ind w:left="99" w:right="98" w:firstLine="450"/>
        <w:jc w:val="both"/>
        <w:rPr>
          <w:rFonts w:hint="eastAsia"/>
          <w:color w:val="231F20"/>
          <w:sz w:val="30"/>
        </w:rPr>
      </w:pPr>
    </w:p>
    <w:p w14:paraId="5BA1EE15">
      <w:pPr>
        <w:spacing w:before="8" w:line="249" w:lineRule="auto"/>
        <w:ind w:left="99" w:right="98" w:firstLine="450"/>
        <w:jc w:val="both"/>
        <w:rPr>
          <w:rFonts w:hint="eastAsia"/>
          <w:color w:val="231F20"/>
          <w:sz w:val="30"/>
        </w:rPr>
      </w:pPr>
      <w:r>
        <w:rPr>
          <w:rFonts w:hint="eastAsia"/>
          <w:color w:val="231F20"/>
          <w:sz w:val="30"/>
        </w:rPr>
        <w:t>Let us follow him carefully as he does.</w:t>
      </w:r>
    </w:p>
    <w:p w14:paraId="10B7C10D">
      <w:pPr>
        <w:spacing w:before="8" w:line="249" w:lineRule="auto"/>
        <w:ind w:left="99" w:right="98" w:firstLine="450"/>
        <w:jc w:val="both"/>
        <w:rPr>
          <w:rFonts w:hint="eastAsia"/>
          <w:color w:val="231F20"/>
          <w:sz w:val="30"/>
        </w:rPr>
      </w:pPr>
      <w:r>
        <w:rPr>
          <w:rFonts w:hint="eastAsia"/>
          <w:color w:val="231F20"/>
          <w:sz w:val="30"/>
        </w:rPr>
        <w:t>让我们仔细地跟随他。</w:t>
      </w:r>
    </w:p>
    <w:p w14:paraId="7FD0F202">
      <w:pPr>
        <w:spacing w:before="8" w:line="249" w:lineRule="auto"/>
        <w:ind w:left="99" w:right="98" w:firstLine="450"/>
        <w:jc w:val="both"/>
        <w:rPr>
          <w:rFonts w:hint="eastAsia"/>
          <w:color w:val="231F20"/>
          <w:sz w:val="30"/>
        </w:rPr>
      </w:pPr>
    </w:p>
    <w:p w14:paraId="57E57F69">
      <w:pPr>
        <w:spacing w:before="8" w:line="249" w:lineRule="auto"/>
        <w:ind w:left="99" w:right="98" w:firstLine="450"/>
        <w:jc w:val="both"/>
        <w:rPr>
          <w:rFonts w:hint="eastAsia"/>
          <w:color w:val="231F20"/>
          <w:sz w:val="30"/>
        </w:rPr>
      </w:pPr>
      <w:r>
        <w:rPr>
          <w:rFonts w:hint="eastAsia"/>
          <w:color w:val="231F20"/>
          <w:sz w:val="30"/>
        </w:rPr>
        <w:t>Peter begins by pointing to Jesus’ miracles, explaining that God himself granted them by way of divine attestation, seeking to mark out Jesus of Nazareth as his Messiah; indeed, as the (Messianic) Prophet promised by Moses, the Prophet appointed by God to bring the light of his (redemptive) truth to all his people, both Jew and Gentile (Acts 2:22, 3:22-23).</w:t>
      </w:r>
    </w:p>
    <w:p w14:paraId="2DB5345E">
      <w:pPr>
        <w:spacing w:before="8" w:line="249" w:lineRule="auto"/>
        <w:ind w:left="99" w:right="98" w:firstLine="450"/>
        <w:jc w:val="both"/>
        <w:rPr>
          <w:rFonts w:hint="eastAsia"/>
          <w:color w:val="231F20"/>
          <w:sz w:val="30"/>
        </w:rPr>
      </w:pPr>
      <w:r>
        <w:rPr>
          <w:rFonts w:hint="eastAsia"/>
          <w:color w:val="231F20"/>
          <w:sz w:val="30"/>
        </w:rPr>
        <w:t>彼得开始时指向耶稣的神迹，解释说上帝自己藉着神圣的印证赐下它们，为要标明拿撒勒人耶稣是祂的弥赛亚；事实上，是摩西所应许的（弥赛亚的）先知，是上帝所立的先知，要将祂（救赎性）真理的光带给祂所有的子民，包括犹太人和外邦人（徒 2:22, 3:22-23）。</w:t>
      </w:r>
    </w:p>
    <w:p w14:paraId="378D3CF1">
      <w:pPr>
        <w:spacing w:before="8" w:line="249" w:lineRule="auto"/>
        <w:ind w:left="99" w:right="98" w:firstLine="450"/>
        <w:jc w:val="both"/>
        <w:rPr>
          <w:rFonts w:hint="eastAsia"/>
          <w:color w:val="231F20"/>
          <w:sz w:val="30"/>
        </w:rPr>
      </w:pPr>
    </w:p>
    <w:p w14:paraId="67746538">
      <w:pPr>
        <w:spacing w:before="8" w:line="249" w:lineRule="auto"/>
        <w:ind w:left="99" w:right="98" w:firstLine="450"/>
        <w:jc w:val="both"/>
        <w:rPr>
          <w:rFonts w:hint="eastAsia"/>
          <w:color w:val="231F20"/>
          <w:sz w:val="30"/>
        </w:rPr>
      </w:pPr>
      <w:r>
        <w:rPr>
          <w:rFonts w:hint="eastAsia"/>
          <w:color w:val="231F20"/>
          <w:sz w:val="30"/>
        </w:rPr>
        <w:t>Next he reminds them of Jesus’ death by crucifixion, affirming that it was indeed divinely foreknown and predestined to occur, yet a sin of unspeakable magnitude and gravity; a sin for which they themselves were personally responsible (2:23).</w:t>
      </w:r>
    </w:p>
    <w:p w14:paraId="0D475B7B">
      <w:pPr>
        <w:spacing w:before="8" w:line="249" w:lineRule="auto"/>
        <w:ind w:left="99" w:right="98" w:firstLine="450"/>
        <w:jc w:val="both"/>
        <w:rPr>
          <w:rFonts w:hint="eastAsia"/>
          <w:color w:val="231F20"/>
          <w:sz w:val="30"/>
        </w:rPr>
      </w:pPr>
      <w:r>
        <w:rPr>
          <w:rFonts w:hint="eastAsia"/>
          <w:color w:val="231F20"/>
          <w:sz w:val="30"/>
        </w:rPr>
        <w:t>接着，他提醒他们耶稣被钉十字架而死，申明这确实是神圣预知和预定要发生的，然而却是一个难以言喻的巨大和严重的罪；他们自己要为此罪负个人责任（2:23）。</w:t>
      </w:r>
    </w:p>
    <w:p w14:paraId="6A652BD5">
      <w:pPr>
        <w:spacing w:before="8" w:line="249" w:lineRule="auto"/>
        <w:ind w:left="99" w:right="98" w:firstLine="450"/>
        <w:jc w:val="both"/>
        <w:rPr>
          <w:rFonts w:hint="eastAsia"/>
          <w:color w:val="231F20"/>
          <w:sz w:val="30"/>
        </w:rPr>
      </w:pPr>
    </w:p>
    <w:p w14:paraId="2146FF19">
      <w:pPr>
        <w:spacing w:before="8" w:line="249" w:lineRule="auto"/>
        <w:ind w:left="99" w:right="98" w:firstLine="450"/>
        <w:jc w:val="both"/>
        <w:rPr>
          <w:rFonts w:hint="eastAsia"/>
          <w:color w:val="231F20"/>
          <w:sz w:val="30"/>
        </w:rPr>
      </w:pPr>
      <w:r>
        <w:rPr>
          <w:rFonts w:hint="eastAsia"/>
          <w:color w:val="231F20"/>
          <w:sz w:val="30"/>
        </w:rPr>
        <w:t>Here then, in seed form, Peter introduces the Messiah as Priest and Sacrifice for the people of God.</w:t>
      </w:r>
    </w:p>
    <w:p w14:paraId="2762BF51">
      <w:pPr>
        <w:spacing w:before="8" w:line="249" w:lineRule="auto"/>
        <w:ind w:left="99" w:right="98" w:firstLine="450"/>
        <w:jc w:val="both"/>
        <w:rPr>
          <w:rFonts w:hint="eastAsia"/>
          <w:color w:val="231F20"/>
          <w:sz w:val="30"/>
        </w:rPr>
      </w:pPr>
      <w:r>
        <w:rPr>
          <w:rFonts w:hint="eastAsia"/>
          <w:color w:val="231F20"/>
          <w:sz w:val="30"/>
        </w:rPr>
        <w:t>那么，在此处，彼得以种子的形式，介绍了弥赛亚是上帝子民的祭司和祭物。</w:t>
      </w:r>
    </w:p>
    <w:p w14:paraId="58FDEFB5">
      <w:pPr>
        <w:spacing w:before="8" w:line="249" w:lineRule="auto"/>
        <w:ind w:left="99" w:right="98" w:firstLine="450"/>
        <w:jc w:val="both"/>
        <w:rPr>
          <w:rFonts w:hint="eastAsia"/>
          <w:color w:val="231F20"/>
          <w:sz w:val="30"/>
        </w:rPr>
      </w:pPr>
    </w:p>
    <w:p w14:paraId="7A91C1A2">
      <w:pPr>
        <w:spacing w:before="8" w:line="249" w:lineRule="auto"/>
        <w:ind w:left="99" w:right="98" w:firstLine="450"/>
        <w:jc w:val="both"/>
        <w:rPr>
          <w:rFonts w:hint="eastAsia"/>
          <w:color w:val="231F20"/>
          <w:sz w:val="30"/>
        </w:rPr>
      </w:pPr>
      <w:r>
        <w:rPr>
          <w:rFonts w:hint="eastAsia"/>
          <w:color w:val="231F20"/>
          <w:sz w:val="30"/>
        </w:rPr>
        <w:t>Then, at considerable length, he speaks of the fact of Jesus’ resurrection.</w:t>
      </w:r>
    </w:p>
    <w:p w14:paraId="3C18191E">
      <w:pPr>
        <w:spacing w:before="8" w:line="249" w:lineRule="auto"/>
        <w:ind w:left="99" w:right="98" w:firstLine="450"/>
        <w:jc w:val="both"/>
        <w:rPr>
          <w:rFonts w:hint="eastAsia"/>
          <w:color w:val="231F20"/>
          <w:sz w:val="30"/>
        </w:rPr>
      </w:pPr>
      <w:r>
        <w:rPr>
          <w:rFonts w:hint="eastAsia"/>
          <w:color w:val="231F20"/>
          <w:sz w:val="30"/>
        </w:rPr>
        <w:t>然后，他相当详细地谈到了耶稣复活的事实。</w:t>
      </w:r>
    </w:p>
    <w:p w14:paraId="2D0B644D">
      <w:pPr>
        <w:spacing w:before="8" w:line="249" w:lineRule="auto"/>
        <w:ind w:left="99" w:right="98" w:firstLine="450"/>
        <w:jc w:val="both"/>
        <w:rPr>
          <w:rFonts w:hint="eastAsia"/>
          <w:color w:val="231F20"/>
          <w:sz w:val="30"/>
        </w:rPr>
      </w:pPr>
    </w:p>
    <w:p w14:paraId="74F341DA">
      <w:pPr>
        <w:spacing w:before="8" w:line="249" w:lineRule="auto"/>
        <w:ind w:left="99" w:right="98" w:firstLine="450"/>
        <w:jc w:val="both"/>
        <w:rPr>
          <w:rFonts w:hint="eastAsia"/>
          <w:color w:val="231F20"/>
          <w:sz w:val="30"/>
        </w:rPr>
      </w:pPr>
      <w:r>
        <w:rPr>
          <w:rFonts w:hint="eastAsia"/>
          <w:color w:val="231F20"/>
          <w:sz w:val="30"/>
        </w:rPr>
        <w:t>First, he shows that it too was in accordance with the prophetic Scriptures (Psalm 19:8-11).</w:t>
      </w:r>
    </w:p>
    <w:p w14:paraId="5515DB74">
      <w:pPr>
        <w:spacing w:before="8" w:line="249" w:lineRule="auto"/>
        <w:ind w:left="99" w:right="98" w:firstLine="450"/>
        <w:jc w:val="both"/>
        <w:rPr>
          <w:rFonts w:hint="eastAsia"/>
          <w:color w:val="231F20"/>
          <w:sz w:val="30"/>
        </w:rPr>
      </w:pPr>
      <w:r>
        <w:rPr>
          <w:rFonts w:hint="eastAsia"/>
          <w:color w:val="231F20"/>
          <w:sz w:val="30"/>
        </w:rPr>
        <w:t>首先，他表明这也符合预言性的圣经（诗篇 19:8-11）。</w:t>
      </w:r>
    </w:p>
    <w:p w14:paraId="5D9B5FF2">
      <w:pPr>
        <w:spacing w:before="8" w:line="249" w:lineRule="auto"/>
        <w:ind w:left="99" w:right="98" w:firstLine="450"/>
        <w:jc w:val="both"/>
        <w:rPr>
          <w:rFonts w:hint="eastAsia"/>
          <w:color w:val="231F20"/>
          <w:sz w:val="30"/>
        </w:rPr>
      </w:pPr>
    </w:p>
    <w:p w14:paraId="1AEE6FCD">
      <w:pPr>
        <w:spacing w:before="8" w:line="249" w:lineRule="auto"/>
        <w:ind w:left="99" w:right="98" w:firstLine="450"/>
        <w:jc w:val="both"/>
        <w:rPr>
          <w:rFonts w:hint="eastAsia"/>
          <w:color w:val="231F20"/>
          <w:sz w:val="30"/>
        </w:rPr>
      </w:pPr>
      <w:r>
        <w:rPr>
          <w:rFonts w:hint="eastAsia"/>
          <w:color w:val="231F20"/>
          <w:sz w:val="30"/>
        </w:rPr>
        <w:t>Then he explains that it had to occur, since God could not permit death—the penalty for sin—permanently to hold his Holy One in its grip (2:24-28).</w:t>
      </w:r>
    </w:p>
    <w:p w14:paraId="5A5A4294">
      <w:pPr>
        <w:spacing w:before="8" w:line="249" w:lineRule="auto"/>
        <w:ind w:left="99" w:right="98" w:firstLine="450"/>
        <w:jc w:val="both"/>
        <w:rPr>
          <w:rFonts w:hint="eastAsia"/>
          <w:color w:val="231F20"/>
          <w:sz w:val="30"/>
        </w:rPr>
      </w:pPr>
      <w:r>
        <w:rPr>
          <w:rFonts w:hint="eastAsia"/>
          <w:color w:val="231F20"/>
          <w:sz w:val="30"/>
        </w:rPr>
        <w:t>然后他解释说，这必须发生，因为上帝不能允许死亡——罪的刑罚——永久地将祂的圣者掌握在其中（2:24-28）。</w:t>
      </w:r>
    </w:p>
    <w:p w14:paraId="1791E2C0">
      <w:pPr>
        <w:spacing w:before="8" w:line="249" w:lineRule="auto"/>
        <w:ind w:left="99" w:right="98" w:firstLine="450"/>
        <w:jc w:val="both"/>
        <w:rPr>
          <w:rFonts w:hint="eastAsia"/>
          <w:color w:val="231F20"/>
          <w:sz w:val="30"/>
        </w:rPr>
      </w:pPr>
    </w:p>
    <w:p w14:paraId="65DE07B0">
      <w:pPr>
        <w:spacing w:before="8" w:line="249" w:lineRule="auto"/>
        <w:ind w:left="99" w:right="98" w:firstLine="450"/>
        <w:jc w:val="both"/>
        <w:rPr>
          <w:rFonts w:hint="eastAsia"/>
          <w:color w:val="231F20"/>
          <w:sz w:val="30"/>
        </w:rPr>
      </w:pPr>
      <w:r>
        <w:rPr>
          <w:rFonts w:hint="eastAsia"/>
          <w:color w:val="231F20"/>
          <w:sz w:val="30"/>
        </w:rPr>
        <w:t>Here the apostle unveils the perfect holiness— and, indeed, something of the divine nature—of Israel’s Messiah.</w:t>
      </w:r>
    </w:p>
    <w:p w14:paraId="0455901D">
      <w:pPr>
        <w:spacing w:before="8" w:line="249" w:lineRule="auto"/>
        <w:ind w:left="99" w:right="98" w:firstLine="450"/>
        <w:jc w:val="both"/>
        <w:rPr>
          <w:rFonts w:hint="eastAsia"/>
          <w:color w:val="231F20"/>
          <w:sz w:val="30"/>
        </w:rPr>
      </w:pPr>
      <w:r>
        <w:rPr>
          <w:rFonts w:hint="eastAsia"/>
          <w:color w:val="231F20"/>
          <w:sz w:val="30"/>
        </w:rPr>
        <w:t>在此，使徒揭示了以色列弥赛亚的完美圣洁——以及，事实上，祂神性的一部分。</w:t>
      </w:r>
    </w:p>
    <w:p w14:paraId="23851116">
      <w:pPr>
        <w:spacing w:before="8" w:line="249" w:lineRule="auto"/>
        <w:ind w:left="99" w:right="98" w:firstLine="450"/>
        <w:jc w:val="both"/>
        <w:rPr>
          <w:rFonts w:hint="eastAsia"/>
          <w:color w:val="231F20"/>
          <w:sz w:val="30"/>
        </w:rPr>
      </w:pPr>
    </w:p>
    <w:p w14:paraId="08B8C417">
      <w:pPr>
        <w:spacing w:before="8" w:line="249" w:lineRule="auto"/>
        <w:ind w:left="99" w:right="98" w:firstLine="450"/>
        <w:jc w:val="both"/>
        <w:rPr>
          <w:rFonts w:hint="eastAsia"/>
          <w:color w:val="231F20"/>
          <w:sz w:val="30"/>
        </w:rPr>
      </w:pPr>
      <w:r>
        <w:rPr>
          <w:rFonts w:hint="eastAsia"/>
          <w:color w:val="231F20"/>
          <w:sz w:val="30"/>
        </w:rPr>
        <w:t>In speaking further on this subject, Peter now unveils yet another reason for Jesus’ resurrection (2:29-32).</w:t>
      </w:r>
    </w:p>
    <w:p w14:paraId="40CCC8D7">
      <w:pPr>
        <w:spacing w:before="8" w:line="249" w:lineRule="auto"/>
        <w:ind w:left="99" w:right="98" w:firstLine="450"/>
        <w:jc w:val="both"/>
        <w:rPr>
          <w:rFonts w:hint="eastAsia"/>
          <w:color w:val="231F20"/>
          <w:sz w:val="30"/>
        </w:rPr>
      </w:pPr>
      <w:r>
        <w:rPr>
          <w:rFonts w:hint="eastAsia"/>
          <w:color w:val="231F20"/>
          <w:sz w:val="30"/>
        </w:rPr>
        <w:t>在进一步谈论这个主题时，彼得现在又揭示了耶稣复活的另一个原因（2:29-32）。</w:t>
      </w:r>
    </w:p>
    <w:p w14:paraId="71EB199A">
      <w:pPr>
        <w:spacing w:before="8" w:line="249" w:lineRule="auto"/>
        <w:ind w:left="99" w:right="98" w:firstLine="450"/>
        <w:jc w:val="both"/>
        <w:rPr>
          <w:rFonts w:hint="eastAsia"/>
          <w:color w:val="231F20"/>
          <w:sz w:val="30"/>
        </w:rPr>
      </w:pPr>
    </w:p>
    <w:p w14:paraId="19729354">
      <w:pPr>
        <w:spacing w:before="8" w:line="249" w:lineRule="auto"/>
        <w:ind w:left="99" w:right="98" w:firstLine="450"/>
        <w:jc w:val="both"/>
        <w:rPr>
          <w:rFonts w:hint="eastAsia"/>
          <w:color w:val="231F20"/>
          <w:sz w:val="30"/>
        </w:rPr>
      </w:pPr>
      <w:r>
        <w:rPr>
          <w:rFonts w:hint="eastAsia"/>
          <w:color w:val="231F20"/>
          <w:sz w:val="30"/>
        </w:rPr>
        <w:t>As all Israel well knew, in the writing prophets God had promised that of the fruit of David’s body he would raise up One to sit upon his throne; a latter-day King of the lineage of David who would rescue and restore Israel; in short, the Messiah himself.</w:t>
      </w:r>
    </w:p>
    <w:p w14:paraId="249FAA95">
      <w:pPr>
        <w:spacing w:before="8" w:line="249" w:lineRule="auto"/>
        <w:ind w:left="99" w:right="98" w:firstLine="450"/>
        <w:jc w:val="both"/>
        <w:rPr>
          <w:rFonts w:hint="eastAsia"/>
          <w:color w:val="231F20"/>
          <w:sz w:val="30"/>
        </w:rPr>
      </w:pPr>
      <w:r>
        <w:rPr>
          <w:rFonts w:hint="eastAsia"/>
          <w:color w:val="231F20"/>
          <w:sz w:val="30"/>
        </w:rPr>
        <w:t>正如所有以色列人都知道的，在写作的先知书中，上帝曾应许要从大卫的后裔中兴起一位，坐在祂的宝座上；一位末后的大卫谱系的君王，将要拯救和恢复以色列；简而言之，就是弥赛亚自己。</w:t>
      </w:r>
    </w:p>
    <w:p w14:paraId="449476EC">
      <w:pPr>
        <w:spacing w:before="8" w:line="249" w:lineRule="auto"/>
        <w:ind w:left="99" w:right="98" w:firstLine="450"/>
        <w:jc w:val="both"/>
        <w:rPr>
          <w:rFonts w:hint="eastAsia"/>
          <w:color w:val="231F20"/>
          <w:sz w:val="30"/>
        </w:rPr>
      </w:pPr>
    </w:p>
    <w:p w14:paraId="3436E2EA">
      <w:pPr>
        <w:spacing w:before="8" w:line="249" w:lineRule="auto"/>
        <w:ind w:left="99" w:right="98" w:firstLine="450"/>
        <w:jc w:val="both"/>
        <w:rPr>
          <w:rFonts w:hint="eastAsia"/>
          <w:color w:val="231F20"/>
          <w:sz w:val="30"/>
        </w:rPr>
      </w:pPr>
      <w:r>
        <w:rPr>
          <w:rFonts w:hint="eastAsia"/>
          <w:color w:val="231F20"/>
          <w:sz w:val="30"/>
        </w:rPr>
        <w:t>Peter declares that Jesus is that man.</w:t>
      </w:r>
    </w:p>
    <w:p w14:paraId="6A4695D3">
      <w:pPr>
        <w:spacing w:before="8" w:line="249" w:lineRule="auto"/>
        <w:ind w:left="99" w:right="98" w:firstLine="450"/>
        <w:jc w:val="both"/>
        <w:rPr>
          <w:rFonts w:hint="eastAsia"/>
          <w:color w:val="231F20"/>
          <w:sz w:val="30"/>
        </w:rPr>
      </w:pPr>
      <w:r>
        <w:rPr>
          <w:rFonts w:hint="eastAsia"/>
          <w:color w:val="231F20"/>
          <w:sz w:val="30"/>
        </w:rPr>
        <w:t>彼得宣告耶稣就是那人。</w:t>
      </w:r>
    </w:p>
    <w:p w14:paraId="3D423C1D">
      <w:pPr>
        <w:spacing w:before="8" w:line="249" w:lineRule="auto"/>
        <w:ind w:left="99" w:right="98" w:firstLine="450"/>
        <w:jc w:val="both"/>
        <w:rPr>
          <w:rFonts w:hint="eastAsia"/>
          <w:color w:val="231F20"/>
          <w:sz w:val="30"/>
        </w:rPr>
      </w:pPr>
    </w:p>
    <w:p w14:paraId="107AAAC4">
      <w:pPr>
        <w:spacing w:before="8" w:line="249" w:lineRule="auto"/>
        <w:ind w:left="99" w:right="98" w:firstLine="450"/>
        <w:jc w:val="both"/>
        <w:rPr>
          <w:rFonts w:hint="eastAsia"/>
          <w:color w:val="231F20"/>
          <w:sz w:val="30"/>
        </w:rPr>
      </w:pPr>
      <w:r>
        <w:rPr>
          <w:rFonts w:hint="eastAsia"/>
          <w:color w:val="231F20"/>
          <w:sz w:val="30"/>
        </w:rPr>
        <w:t>And for this very reason, God has not abandoned his soul to Hades, nor permitted his flesh to see corruption.</w:t>
      </w:r>
    </w:p>
    <w:p w14:paraId="2EC555A3">
      <w:pPr>
        <w:spacing w:before="8" w:line="249" w:lineRule="auto"/>
        <w:ind w:left="99" w:right="98" w:firstLine="450"/>
        <w:jc w:val="both"/>
        <w:rPr>
          <w:rFonts w:hint="eastAsia"/>
          <w:color w:val="231F20"/>
          <w:sz w:val="30"/>
        </w:rPr>
      </w:pPr>
      <w:r>
        <w:rPr>
          <w:rFonts w:hint="eastAsia"/>
          <w:color w:val="231F20"/>
          <w:sz w:val="30"/>
        </w:rPr>
        <w:t>正是因此，上帝没有撇下祂的灵魂在阴间，也不叫祂的肉身见朽坏。</w:t>
      </w:r>
    </w:p>
    <w:p w14:paraId="3A86F2F9">
      <w:pPr>
        <w:spacing w:before="8" w:line="249" w:lineRule="auto"/>
        <w:ind w:left="99" w:right="98" w:firstLine="450"/>
        <w:jc w:val="both"/>
        <w:rPr>
          <w:rFonts w:hint="eastAsia"/>
          <w:color w:val="231F20"/>
          <w:sz w:val="30"/>
        </w:rPr>
      </w:pPr>
    </w:p>
    <w:p w14:paraId="0CE9D036">
      <w:pPr>
        <w:spacing w:before="8" w:line="249" w:lineRule="auto"/>
        <w:ind w:left="99" w:right="98" w:firstLine="450"/>
        <w:jc w:val="both"/>
        <w:rPr>
          <w:rFonts w:hint="eastAsia"/>
          <w:color w:val="231F20"/>
          <w:sz w:val="30"/>
        </w:rPr>
      </w:pPr>
      <w:r>
        <w:rPr>
          <w:rFonts w:hint="eastAsia"/>
          <w:color w:val="231F20"/>
          <w:sz w:val="30"/>
        </w:rPr>
        <w:t>Rather, he has raised him from the dead.</w:t>
      </w:r>
    </w:p>
    <w:p w14:paraId="1F764F1D">
      <w:pPr>
        <w:spacing w:before="8" w:line="249" w:lineRule="auto"/>
        <w:ind w:left="99" w:right="98" w:firstLine="450"/>
        <w:jc w:val="both"/>
        <w:rPr>
          <w:rFonts w:hint="eastAsia"/>
          <w:color w:val="231F20"/>
          <w:sz w:val="30"/>
        </w:rPr>
      </w:pPr>
      <w:r>
        <w:rPr>
          <w:rFonts w:hint="eastAsia"/>
          <w:color w:val="231F20"/>
          <w:sz w:val="30"/>
        </w:rPr>
        <w:t>相反，祂已使祂从死里复活。</w:t>
      </w:r>
    </w:p>
    <w:p w14:paraId="158CBEC3">
      <w:pPr>
        <w:spacing w:before="8" w:line="249" w:lineRule="auto"/>
        <w:ind w:left="99" w:right="98" w:firstLine="450"/>
        <w:jc w:val="both"/>
        <w:rPr>
          <w:rFonts w:hint="eastAsia"/>
          <w:color w:val="231F20"/>
          <w:sz w:val="30"/>
        </w:rPr>
      </w:pPr>
    </w:p>
    <w:p w14:paraId="50B17BA7">
      <w:pPr>
        <w:spacing w:before="8" w:line="249" w:lineRule="auto"/>
        <w:ind w:left="99" w:right="98" w:firstLine="450"/>
        <w:jc w:val="both"/>
        <w:rPr>
          <w:rFonts w:hint="eastAsia"/>
          <w:color w:val="231F20"/>
          <w:sz w:val="30"/>
        </w:rPr>
      </w:pPr>
      <w:r>
        <w:rPr>
          <w:rFonts w:hint="eastAsia"/>
          <w:color w:val="231F20"/>
          <w:sz w:val="30"/>
        </w:rPr>
        <w:t>And he has raised him from the dead so that he could raise him up to heaven and seat him on David’s heavenly throne!</w:t>
      </w:r>
    </w:p>
    <w:p w14:paraId="7E8E4CEC">
      <w:pPr>
        <w:spacing w:before="8" w:line="249" w:lineRule="auto"/>
        <w:ind w:left="99" w:right="98" w:firstLine="450"/>
        <w:jc w:val="both"/>
        <w:rPr>
          <w:rFonts w:hint="eastAsia"/>
          <w:color w:val="231F20"/>
          <w:sz w:val="30"/>
        </w:rPr>
      </w:pPr>
      <w:r>
        <w:rPr>
          <w:rFonts w:hint="eastAsia"/>
          <w:color w:val="231F20"/>
          <w:sz w:val="30"/>
        </w:rPr>
        <w:t>祂使祂从死里复活，以便祂能将祂升到天上，让祂坐在大卫属天的宝座上！</w:t>
      </w:r>
    </w:p>
    <w:p w14:paraId="106ABB09">
      <w:pPr>
        <w:spacing w:before="8" w:line="249" w:lineRule="auto"/>
        <w:ind w:left="99" w:right="98" w:firstLine="450"/>
        <w:jc w:val="both"/>
        <w:rPr>
          <w:rFonts w:hint="eastAsia"/>
          <w:color w:val="231F20"/>
          <w:sz w:val="30"/>
        </w:rPr>
      </w:pPr>
    </w:p>
    <w:p w14:paraId="323E3365">
      <w:pPr>
        <w:spacing w:before="8" w:line="249" w:lineRule="auto"/>
        <w:ind w:left="99" w:right="98" w:firstLine="450"/>
        <w:jc w:val="both"/>
        <w:rPr>
          <w:rFonts w:hint="eastAsia"/>
          <w:color w:val="231F20"/>
          <w:sz w:val="30"/>
        </w:rPr>
      </w:pPr>
      <w:r>
        <w:rPr>
          <w:rFonts w:hint="eastAsia"/>
          <w:color w:val="231F20"/>
          <w:sz w:val="30"/>
        </w:rPr>
        <w:t>Here again we encounter the greatest eschatological mystery of the NT; the mystery that Jesus himself had spoken of in his parables and in the upper room.</w:t>
      </w:r>
    </w:p>
    <w:p w14:paraId="0FB5E123">
      <w:pPr>
        <w:spacing w:before="8" w:line="249" w:lineRule="auto"/>
        <w:ind w:left="99" w:right="98" w:firstLine="450"/>
        <w:jc w:val="both"/>
        <w:rPr>
          <w:rFonts w:hint="eastAsia"/>
          <w:color w:val="231F20"/>
          <w:sz w:val="30"/>
        </w:rPr>
      </w:pPr>
      <w:r>
        <w:rPr>
          <w:rFonts w:hint="eastAsia"/>
          <w:color w:val="231F20"/>
          <w:sz w:val="30"/>
        </w:rPr>
        <w:t>在此我们再次遇到新约中最伟大的末世论奥秘；就是耶稣自己在其比喻中和在楼上所说过的奥秘。</w:t>
      </w:r>
    </w:p>
    <w:p w14:paraId="114A1B73">
      <w:pPr>
        <w:spacing w:before="8" w:line="249" w:lineRule="auto"/>
        <w:ind w:left="99" w:right="98" w:firstLine="450"/>
        <w:jc w:val="both"/>
        <w:rPr>
          <w:rFonts w:hint="eastAsia"/>
          <w:color w:val="231F20"/>
          <w:sz w:val="30"/>
        </w:rPr>
      </w:pPr>
    </w:p>
    <w:p w14:paraId="2DBEAD62">
      <w:pPr>
        <w:spacing w:before="8" w:line="249" w:lineRule="auto"/>
        <w:ind w:left="99" w:right="98" w:firstLine="450"/>
        <w:jc w:val="both"/>
        <w:rPr>
          <w:rFonts w:hint="eastAsia"/>
          <w:color w:val="231F20"/>
          <w:sz w:val="30"/>
        </w:rPr>
      </w:pPr>
      <w:r>
        <w:rPr>
          <w:rFonts w:hint="eastAsia"/>
          <w:color w:val="231F20"/>
          <w:sz w:val="30"/>
        </w:rPr>
        <w:t>It is the mystery of the Messiah’s heavenly reign; the mystery that the Messiah does not rule on earth over Israel according to the flesh, but in heaven—and from heaven—over Israel according to the Spirit; over the New Covenant “Israel of God” (Gal. 6:16).</w:t>
      </w:r>
    </w:p>
    <w:p w14:paraId="17A92822">
      <w:pPr>
        <w:spacing w:before="8" w:line="249" w:lineRule="auto"/>
        <w:ind w:left="99" w:right="98" w:firstLine="450"/>
        <w:jc w:val="both"/>
        <w:rPr>
          <w:rFonts w:hint="eastAsia"/>
          <w:color w:val="231F20"/>
          <w:sz w:val="30"/>
        </w:rPr>
      </w:pPr>
      <w:r>
        <w:rPr>
          <w:rFonts w:hint="eastAsia"/>
          <w:color w:val="231F20"/>
          <w:sz w:val="30"/>
        </w:rPr>
        <w:t>这是弥赛亚属天统治的奥秘；是弥赛亚不是在地上按肉体统治以色列，而是在天上——并从天上——按圣灵统治以色列的奥秘；是统治新约的“上帝的以色列”（加 6:16）的奥秘。</w:t>
      </w:r>
    </w:p>
    <w:p w14:paraId="636993F9">
      <w:pPr>
        <w:spacing w:before="8" w:line="249" w:lineRule="auto"/>
        <w:ind w:left="99" w:right="98" w:firstLine="450"/>
        <w:jc w:val="both"/>
        <w:rPr>
          <w:rFonts w:hint="eastAsia"/>
          <w:color w:val="231F20"/>
          <w:sz w:val="30"/>
        </w:rPr>
      </w:pPr>
    </w:p>
    <w:p w14:paraId="74D68F2B">
      <w:pPr>
        <w:spacing w:before="8" w:line="249" w:lineRule="auto"/>
        <w:ind w:left="99" w:right="98" w:firstLine="450"/>
        <w:jc w:val="both"/>
        <w:rPr>
          <w:rFonts w:hint="eastAsia"/>
          <w:color w:val="231F20"/>
          <w:sz w:val="30"/>
        </w:rPr>
      </w:pPr>
      <w:r>
        <w:rPr>
          <w:rFonts w:hint="eastAsia"/>
          <w:color w:val="231F20"/>
          <w:sz w:val="30"/>
        </w:rPr>
        <w:t>Now Peter reaches the climax of his sermon.</w:t>
      </w:r>
    </w:p>
    <w:p w14:paraId="5BA3DB60">
      <w:pPr>
        <w:spacing w:before="8" w:line="249" w:lineRule="auto"/>
        <w:ind w:left="99" w:right="98" w:firstLine="450"/>
        <w:jc w:val="both"/>
        <w:rPr>
          <w:rFonts w:hint="eastAsia"/>
          <w:color w:val="231F20"/>
          <w:sz w:val="30"/>
        </w:rPr>
      </w:pPr>
      <w:r>
        <w:rPr>
          <w:rFonts w:hint="eastAsia"/>
          <w:color w:val="231F20"/>
          <w:sz w:val="30"/>
        </w:rPr>
        <w:t>现在彼得达到了他讲道的高潮。</w:t>
      </w:r>
    </w:p>
    <w:p w14:paraId="69F01654">
      <w:pPr>
        <w:spacing w:before="8" w:line="249" w:lineRule="auto"/>
        <w:ind w:left="99" w:right="98" w:firstLine="450"/>
        <w:jc w:val="both"/>
        <w:rPr>
          <w:rFonts w:hint="eastAsia"/>
          <w:color w:val="231F20"/>
          <w:sz w:val="30"/>
        </w:rPr>
      </w:pPr>
    </w:p>
    <w:p w14:paraId="5460D4B8">
      <w:pPr>
        <w:spacing w:before="8" w:line="249" w:lineRule="auto"/>
        <w:ind w:left="99" w:right="98" w:firstLine="450"/>
        <w:jc w:val="both"/>
        <w:rPr>
          <w:rFonts w:hint="eastAsia"/>
          <w:color w:val="231F20"/>
          <w:sz w:val="30"/>
        </w:rPr>
      </w:pPr>
      <w:r>
        <w:rPr>
          <w:rFonts w:hint="eastAsia"/>
          <w:color w:val="231F20"/>
          <w:sz w:val="30"/>
        </w:rPr>
        <w:t>In his grand peroration, he accomplishes two things: He fully answers their question about the meaning of the Pentecostal manifestations, and he does so by fully unveiling the (most unexpected) mystery of the Person and Work of Israel’s Messiah:</w:t>
      </w:r>
    </w:p>
    <w:p w14:paraId="3DA126FD">
      <w:pPr>
        <w:spacing w:before="8" w:line="249" w:lineRule="auto"/>
        <w:ind w:left="99" w:right="98" w:firstLine="450"/>
        <w:jc w:val="both"/>
        <w:rPr>
          <w:rFonts w:hint="eastAsia"/>
          <w:color w:val="231F20"/>
          <w:sz w:val="30"/>
        </w:rPr>
      </w:pPr>
      <w:r>
        <w:rPr>
          <w:rFonts w:hint="eastAsia"/>
          <w:color w:val="231F20"/>
          <w:sz w:val="30"/>
        </w:rPr>
        <w:t>在他宏大的结语中，他完成了两件事：他完全回答了他们关于五旬节显现意义的问题，并且他通过完全揭示以色列弥赛亚位格和工作的（最出乎意料的）奥秘来做到这一点：</w:t>
      </w:r>
    </w:p>
    <w:p w14:paraId="45563DFB">
      <w:pPr>
        <w:spacing w:before="8" w:line="249" w:lineRule="auto"/>
        <w:ind w:left="99" w:right="98" w:firstLine="450"/>
        <w:jc w:val="both"/>
        <w:rPr>
          <w:rFonts w:hint="eastAsia"/>
          <w:color w:val="231F20"/>
          <w:sz w:val="30"/>
        </w:rPr>
      </w:pPr>
    </w:p>
    <w:p w14:paraId="376EEF81">
      <w:pPr>
        <w:spacing w:before="8" w:line="249" w:lineRule="auto"/>
        <w:ind w:left="99" w:right="98" w:firstLine="450"/>
        <w:jc w:val="both"/>
        <w:rPr>
          <w:rFonts w:hint="eastAsia"/>
          <w:color w:val="231F20"/>
          <w:sz w:val="30"/>
        </w:rPr>
      </w:pPr>
      <w:r>
        <w:rPr>
          <w:rFonts w:hint="eastAsia"/>
          <w:color w:val="231F20"/>
          <w:sz w:val="30"/>
        </w:rPr>
        <w:t>Therefore, being exalted to the right hand of God, and having received from the Father the promise of the Holy Spirit, he has poured out this which you now see and hear.</w:t>
      </w:r>
    </w:p>
    <w:p w14:paraId="7E7F8F52">
      <w:pPr>
        <w:spacing w:before="8" w:line="249" w:lineRule="auto"/>
        <w:ind w:left="99" w:right="98" w:firstLine="450"/>
        <w:jc w:val="both"/>
        <w:rPr>
          <w:rFonts w:hint="eastAsia"/>
          <w:color w:val="231F20"/>
          <w:sz w:val="30"/>
        </w:rPr>
      </w:pPr>
      <w:r>
        <w:rPr>
          <w:rFonts w:hint="eastAsia"/>
          <w:color w:val="231F20"/>
          <w:sz w:val="30"/>
        </w:rPr>
        <w:t>所以，祂既被高举在上帝的右边，又从父受了所应许的圣灵，就把你们所看见所听见的，浇灌下来。</w:t>
      </w:r>
    </w:p>
    <w:p w14:paraId="069B505E">
      <w:pPr>
        <w:spacing w:before="8" w:line="249" w:lineRule="auto"/>
        <w:ind w:left="99" w:right="98" w:firstLine="450"/>
        <w:jc w:val="both"/>
        <w:rPr>
          <w:rFonts w:hint="eastAsia"/>
          <w:color w:val="231F20"/>
          <w:sz w:val="30"/>
        </w:rPr>
      </w:pPr>
    </w:p>
    <w:p w14:paraId="72165E24">
      <w:pPr>
        <w:spacing w:before="8" w:line="249" w:lineRule="auto"/>
        <w:ind w:left="99" w:right="98" w:firstLine="450"/>
        <w:jc w:val="both"/>
        <w:rPr>
          <w:rFonts w:hint="eastAsia"/>
          <w:color w:val="231F20"/>
          <w:sz w:val="30"/>
        </w:rPr>
      </w:pPr>
      <w:r>
        <w:rPr>
          <w:rFonts w:hint="eastAsia"/>
          <w:color w:val="231F20"/>
          <w:sz w:val="30"/>
        </w:rPr>
        <w:t>For David did not ascend into the heavens, but he himself says, “The LORD said to my Lord, ‘Sit at My right hand, till I make your enemies your footstool.’”</w:t>
      </w:r>
    </w:p>
    <w:p w14:paraId="04F0FBCA">
      <w:pPr>
        <w:spacing w:before="8" w:line="249" w:lineRule="auto"/>
        <w:ind w:left="99" w:right="98" w:firstLine="450"/>
        <w:jc w:val="both"/>
        <w:rPr>
          <w:rFonts w:hint="eastAsia"/>
          <w:color w:val="231F20"/>
          <w:sz w:val="30"/>
        </w:rPr>
      </w:pPr>
      <w:r>
        <w:rPr>
          <w:rFonts w:hint="eastAsia"/>
          <w:color w:val="231F20"/>
          <w:sz w:val="30"/>
        </w:rPr>
        <w:t>因为大卫并没有升到天上，但他自己说：“主对我主说，‘祢坐在我的右边，等我使祢仇敌作祢的脚凳。’”</w:t>
      </w:r>
    </w:p>
    <w:p w14:paraId="5DDBE374">
      <w:pPr>
        <w:spacing w:before="8" w:line="249" w:lineRule="auto"/>
        <w:ind w:left="99" w:right="98" w:firstLine="450"/>
        <w:jc w:val="both"/>
        <w:rPr>
          <w:rFonts w:hint="eastAsia"/>
          <w:color w:val="231F20"/>
          <w:sz w:val="30"/>
        </w:rPr>
      </w:pPr>
    </w:p>
    <w:p w14:paraId="4873E9D2">
      <w:pPr>
        <w:spacing w:before="8" w:line="249" w:lineRule="auto"/>
        <w:ind w:left="99" w:right="98" w:firstLine="450"/>
        <w:jc w:val="both"/>
        <w:rPr>
          <w:rFonts w:hint="eastAsia"/>
          <w:color w:val="231F20"/>
          <w:sz w:val="30"/>
        </w:rPr>
      </w:pPr>
      <w:r>
        <w:rPr>
          <w:rFonts w:hint="eastAsia"/>
          <w:color w:val="231F20"/>
          <w:sz w:val="30"/>
        </w:rPr>
        <w:t>Therefore, let all the house of Israel assuredly know that God has made this Jesus, whom you crucified, both Lord and Christ.</w:t>
      </w:r>
    </w:p>
    <w:p w14:paraId="32F33213">
      <w:pPr>
        <w:spacing w:before="8" w:line="249" w:lineRule="auto"/>
        <w:ind w:left="99" w:right="98" w:firstLine="450"/>
        <w:jc w:val="both"/>
        <w:rPr>
          <w:rFonts w:hint="eastAsia"/>
          <w:color w:val="231F20"/>
          <w:sz w:val="30"/>
        </w:rPr>
      </w:pPr>
      <w:r>
        <w:rPr>
          <w:rFonts w:hint="eastAsia"/>
          <w:color w:val="231F20"/>
          <w:sz w:val="30"/>
        </w:rPr>
        <w:t>所以，以色列全家当确实的知道，你们钉在十字架上的这位耶稣，上帝已经立祂为主，为基督了。</w:t>
      </w:r>
    </w:p>
    <w:p w14:paraId="4CEF6A2E">
      <w:pPr>
        <w:spacing w:before="8" w:line="249" w:lineRule="auto"/>
        <w:ind w:left="99" w:right="98" w:firstLine="450"/>
        <w:jc w:val="both"/>
        <w:rPr>
          <w:rFonts w:hint="eastAsia"/>
          <w:color w:val="231F20"/>
          <w:sz w:val="30"/>
        </w:rPr>
      </w:pPr>
    </w:p>
    <w:p w14:paraId="30DECF3E">
      <w:pPr>
        <w:spacing w:before="8" w:line="249" w:lineRule="auto"/>
        <w:ind w:left="99" w:right="98" w:firstLine="450"/>
        <w:jc w:val="both"/>
        <w:rPr>
          <w:rFonts w:hint="eastAsia"/>
          <w:color w:val="231F20"/>
          <w:sz w:val="30"/>
        </w:rPr>
      </w:pPr>
      <w:r>
        <w:rPr>
          <w:rFonts w:hint="eastAsia"/>
          <w:color w:val="231F20"/>
          <w:sz w:val="30"/>
        </w:rPr>
        <w:t>—Acts 2:32-36, 5:29-31</w:t>
      </w:r>
    </w:p>
    <w:p w14:paraId="7649122E">
      <w:pPr>
        <w:spacing w:before="8" w:line="249" w:lineRule="auto"/>
        <w:ind w:left="99" w:right="98" w:firstLine="450"/>
        <w:jc w:val="both"/>
        <w:rPr>
          <w:rFonts w:hint="eastAsia"/>
          <w:color w:val="231F20"/>
          <w:sz w:val="30"/>
        </w:rPr>
      </w:pPr>
      <w:r>
        <w:rPr>
          <w:rFonts w:hint="eastAsia"/>
          <w:color w:val="231F20"/>
          <w:sz w:val="30"/>
        </w:rPr>
        <w:t>—徒 2:32-36, 5:29-31</w:t>
      </w:r>
    </w:p>
    <w:p w14:paraId="289194C8">
      <w:pPr>
        <w:spacing w:before="8" w:line="249" w:lineRule="auto"/>
        <w:ind w:left="99" w:right="98" w:firstLine="450"/>
        <w:jc w:val="both"/>
        <w:rPr>
          <w:rFonts w:hint="eastAsia"/>
          <w:color w:val="231F20"/>
          <w:sz w:val="30"/>
        </w:rPr>
      </w:pPr>
    </w:p>
    <w:p w14:paraId="2C54D464">
      <w:pPr>
        <w:spacing w:before="8" w:line="249" w:lineRule="auto"/>
        <w:ind w:left="99" w:right="98" w:firstLine="450"/>
        <w:jc w:val="both"/>
        <w:rPr>
          <w:rFonts w:hint="eastAsia"/>
          <w:color w:val="231F20"/>
          <w:sz w:val="30"/>
        </w:rPr>
      </w:pPr>
      <w:r>
        <w:rPr>
          <w:rFonts w:hint="eastAsia"/>
          <w:color w:val="231F20"/>
          <w:sz w:val="30"/>
        </w:rPr>
        <w:t>In these inspiring final words, Peter’s great goal is to supply his audience with all the remaining NT truth they need to do exactly as Joel desired and foretold: call upon the name of the Lord and be saved (2:21).</w:t>
      </w:r>
    </w:p>
    <w:p w14:paraId="22140347">
      <w:pPr>
        <w:spacing w:before="8" w:line="249" w:lineRule="auto"/>
        <w:ind w:left="99" w:right="98" w:firstLine="450"/>
        <w:jc w:val="both"/>
        <w:rPr>
          <w:rFonts w:hint="eastAsia"/>
          <w:color w:val="231F20"/>
          <w:sz w:val="30"/>
        </w:rPr>
      </w:pPr>
      <w:r>
        <w:rPr>
          <w:rFonts w:hint="eastAsia"/>
          <w:color w:val="231F20"/>
          <w:sz w:val="30"/>
        </w:rPr>
        <w:t>在这些鼓舞人心的最后话语中，彼得的伟大目标是向他的听众提供他们所需要的所有剩余的新约真理，以便他们能完全按照约珥所渴望和预言的那样去做：求告主的名而得救（2:21）。</w:t>
      </w:r>
    </w:p>
    <w:p w14:paraId="057980C9">
      <w:pPr>
        <w:spacing w:before="8" w:line="249" w:lineRule="auto"/>
        <w:ind w:left="99" w:right="98" w:firstLine="450"/>
        <w:jc w:val="both"/>
        <w:rPr>
          <w:rFonts w:hint="eastAsia"/>
          <w:color w:val="231F20"/>
          <w:sz w:val="30"/>
        </w:rPr>
      </w:pPr>
    </w:p>
    <w:p w14:paraId="289D5A21">
      <w:pPr>
        <w:spacing w:before="8" w:line="249" w:lineRule="auto"/>
        <w:ind w:left="99" w:right="98" w:firstLine="450"/>
        <w:jc w:val="both"/>
        <w:rPr>
          <w:rFonts w:hint="eastAsia"/>
          <w:color w:val="231F20"/>
          <w:sz w:val="30"/>
        </w:rPr>
      </w:pPr>
      <w:r>
        <w:rPr>
          <w:rFonts w:hint="eastAsia"/>
          <w:color w:val="231F20"/>
          <w:sz w:val="30"/>
        </w:rPr>
        <w:t>But what exactly is “the name of the Lord”?</w:t>
      </w:r>
    </w:p>
    <w:p w14:paraId="683E8D01">
      <w:pPr>
        <w:spacing w:before="8" w:line="249" w:lineRule="auto"/>
        <w:ind w:left="99" w:right="98" w:firstLine="450"/>
        <w:jc w:val="both"/>
        <w:rPr>
          <w:rFonts w:hint="eastAsia"/>
          <w:color w:val="231F20"/>
          <w:sz w:val="30"/>
        </w:rPr>
      </w:pPr>
      <w:r>
        <w:rPr>
          <w:rFonts w:hint="eastAsia"/>
          <w:color w:val="231F20"/>
          <w:sz w:val="30"/>
        </w:rPr>
        <w:t>但“主的名”究竟是什么？</w:t>
      </w:r>
    </w:p>
    <w:p w14:paraId="64F62D88">
      <w:pPr>
        <w:spacing w:before="8" w:line="249" w:lineRule="auto"/>
        <w:ind w:left="99" w:right="98" w:firstLine="450"/>
        <w:jc w:val="both"/>
        <w:rPr>
          <w:rFonts w:hint="eastAsia"/>
          <w:color w:val="231F20"/>
          <w:sz w:val="30"/>
        </w:rPr>
      </w:pPr>
    </w:p>
    <w:p w14:paraId="0DB6A274">
      <w:pPr>
        <w:spacing w:before="8" w:line="249" w:lineRule="auto"/>
        <w:ind w:left="99" w:right="98" w:firstLine="450"/>
        <w:jc w:val="both"/>
        <w:rPr>
          <w:rFonts w:hint="eastAsia"/>
          <w:color w:val="231F20"/>
          <w:sz w:val="30"/>
        </w:rPr>
      </w:pPr>
      <w:r>
        <w:rPr>
          <w:rFonts w:hint="eastAsia"/>
          <w:color w:val="231F20"/>
          <w:sz w:val="30"/>
        </w:rPr>
        <w:t>Peter knows, and has already unveiled it.</w:t>
      </w:r>
    </w:p>
    <w:p w14:paraId="41379851">
      <w:pPr>
        <w:spacing w:before="8" w:line="249" w:lineRule="auto"/>
        <w:ind w:left="99" w:right="98" w:firstLine="450"/>
        <w:jc w:val="both"/>
        <w:rPr>
          <w:rFonts w:hint="eastAsia"/>
          <w:color w:val="231F20"/>
          <w:sz w:val="30"/>
        </w:rPr>
      </w:pPr>
      <w:r>
        <w:rPr>
          <w:rFonts w:hint="eastAsia"/>
          <w:color w:val="231F20"/>
          <w:sz w:val="30"/>
        </w:rPr>
        <w:t>彼得知道，并且已经揭示了它。</w:t>
      </w:r>
    </w:p>
    <w:p w14:paraId="59747D67">
      <w:pPr>
        <w:spacing w:before="8" w:line="249" w:lineRule="auto"/>
        <w:ind w:left="99" w:right="98" w:firstLine="450"/>
        <w:jc w:val="both"/>
        <w:rPr>
          <w:rFonts w:hint="eastAsia"/>
          <w:color w:val="231F20"/>
          <w:sz w:val="30"/>
        </w:rPr>
      </w:pPr>
    </w:p>
    <w:p w14:paraId="12EC8263">
      <w:pPr>
        <w:spacing w:before="8" w:line="249" w:lineRule="auto"/>
        <w:ind w:left="99" w:right="98" w:firstLine="450"/>
        <w:jc w:val="both"/>
        <w:rPr>
          <w:rFonts w:hint="eastAsia"/>
          <w:color w:val="231F20"/>
          <w:sz w:val="30"/>
        </w:rPr>
      </w:pPr>
      <w:r>
        <w:rPr>
          <w:rFonts w:hint="eastAsia"/>
          <w:color w:val="231F20"/>
          <w:sz w:val="30"/>
        </w:rPr>
        <w:t>He has told them that God bore witness to Jesus by various signs and wonders; that he foreordained and brought to pass his atoning death; and that in fulfillment of the prophetic Scriptures, he also raised him from the dead.</w:t>
      </w:r>
    </w:p>
    <w:p w14:paraId="53DC1727">
      <w:pPr>
        <w:spacing w:before="8" w:line="249" w:lineRule="auto"/>
        <w:ind w:left="99" w:right="98" w:firstLine="450"/>
        <w:jc w:val="both"/>
        <w:rPr>
          <w:rFonts w:hint="eastAsia"/>
          <w:color w:val="231F20"/>
          <w:sz w:val="30"/>
        </w:rPr>
      </w:pPr>
      <w:r>
        <w:rPr>
          <w:rFonts w:hint="eastAsia"/>
          <w:color w:val="231F20"/>
          <w:sz w:val="30"/>
        </w:rPr>
        <w:t>他已经告诉他们，上帝藉着各种神迹奇事为耶稣作见证；祂预定并成就了祂的赎罪之死；并且为应验预言性的圣经，祂也使祂从死里复活。</w:t>
      </w:r>
    </w:p>
    <w:p w14:paraId="383F5BD7">
      <w:pPr>
        <w:spacing w:before="8" w:line="249" w:lineRule="auto"/>
        <w:ind w:left="99" w:right="98" w:firstLine="450"/>
        <w:jc w:val="both"/>
        <w:rPr>
          <w:rFonts w:hint="eastAsia"/>
          <w:color w:val="231F20"/>
          <w:sz w:val="30"/>
        </w:rPr>
      </w:pPr>
    </w:p>
    <w:p w14:paraId="0A6B1E0A">
      <w:pPr>
        <w:spacing w:before="8" w:line="249" w:lineRule="auto"/>
        <w:ind w:left="99" w:right="98" w:firstLine="450"/>
        <w:jc w:val="both"/>
        <w:rPr>
          <w:rFonts w:hint="eastAsia"/>
          <w:color w:val="231F20"/>
          <w:sz w:val="30"/>
        </w:rPr>
      </w:pPr>
      <w:r>
        <w:rPr>
          <w:rFonts w:hint="eastAsia"/>
          <w:color w:val="231F20"/>
          <w:sz w:val="30"/>
        </w:rPr>
        <w:t>Now Peter sets the capstone.</w:t>
      </w:r>
    </w:p>
    <w:p w14:paraId="07EB4D7E">
      <w:pPr>
        <w:spacing w:before="8" w:line="249" w:lineRule="auto"/>
        <w:ind w:left="99" w:right="98" w:firstLine="450"/>
        <w:jc w:val="both"/>
        <w:rPr>
          <w:rFonts w:hint="eastAsia"/>
          <w:color w:val="231F20"/>
          <w:sz w:val="30"/>
        </w:rPr>
      </w:pPr>
      <w:r>
        <w:rPr>
          <w:rFonts w:hint="eastAsia"/>
          <w:color w:val="231F20"/>
          <w:sz w:val="30"/>
        </w:rPr>
        <w:t>现在彼得放上了顶石。</w:t>
      </w:r>
    </w:p>
    <w:p w14:paraId="64394569">
      <w:pPr>
        <w:spacing w:before="8" w:line="249" w:lineRule="auto"/>
        <w:ind w:left="99" w:right="98" w:firstLine="450"/>
        <w:jc w:val="both"/>
        <w:rPr>
          <w:rFonts w:hint="eastAsia"/>
          <w:color w:val="231F20"/>
          <w:sz w:val="30"/>
        </w:rPr>
      </w:pPr>
    </w:p>
    <w:p w14:paraId="4A8D497D">
      <w:pPr>
        <w:spacing w:before="8" w:line="249" w:lineRule="auto"/>
        <w:ind w:left="99" w:right="98" w:firstLine="450"/>
        <w:jc w:val="both"/>
        <w:rPr>
          <w:rFonts w:hint="eastAsia"/>
          <w:color w:val="231F20"/>
          <w:sz w:val="30"/>
        </w:rPr>
      </w:pPr>
      <w:r>
        <w:rPr>
          <w:rFonts w:hint="eastAsia"/>
          <w:color w:val="231F20"/>
          <w:sz w:val="30"/>
        </w:rPr>
        <w:t>He tells them that God has exalted Jesus to his own right hand.</w:t>
      </w:r>
    </w:p>
    <w:p w14:paraId="0D11B5EB">
      <w:pPr>
        <w:spacing w:before="8" w:line="249" w:lineRule="auto"/>
        <w:ind w:left="99" w:right="98" w:firstLine="450"/>
        <w:jc w:val="both"/>
        <w:rPr>
          <w:rFonts w:hint="eastAsia"/>
          <w:color w:val="231F20"/>
          <w:sz w:val="30"/>
        </w:rPr>
      </w:pPr>
      <w:r>
        <w:rPr>
          <w:rFonts w:hint="eastAsia"/>
          <w:color w:val="231F20"/>
          <w:sz w:val="30"/>
        </w:rPr>
        <w:t>他告诉他们，上帝已将耶稣高举到祂自己的右边。</w:t>
      </w:r>
    </w:p>
    <w:p w14:paraId="6ADF7134">
      <w:pPr>
        <w:spacing w:before="8" w:line="249" w:lineRule="auto"/>
        <w:ind w:left="99" w:right="98" w:firstLine="450"/>
        <w:jc w:val="both"/>
        <w:rPr>
          <w:rFonts w:hint="eastAsia"/>
          <w:color w:val="231F20"/>
          <w:sz w:val="30"/>
        </w:rPr>
      </w:pPr>
    </w:p>
    <w:p w14:paraId="396588D1">
      <w:pPr>
        <w:spacing w:before="8" w:line="249" w:lineRule="auto"/>
        <w:ind w:left="99" w:right="98" w:firstLine="450"/>
        <w:jc w:val="both"/>
        <w:rPr>
          <w:rFonts w:hint="eastAsia"/>
          <w:color w:val="231F20"/>
          <w:sz w:val="30"/>
        </w:rPr>
      </w:pPr>
      <w:r>
        <w:rPr>
          <w:rFonts w:hint="eastAsia"/>
          <w:color w:val="231F20"/>
          <w:sz w:val="30"/>
        </w:rPr>
        <w:t>As the text itself makes clear, this means far more than simply ascending into heaven.</w:t>
      </w:r>
    </w:p>
    <w:p w14:paraId="64853CE1">
      <w:pPr>
        <w:spacing w:before="8" w:line="249" w:lineRule="auto"/>
        <w:ind w:left="99" w:right="98" w:firstLine="450"/>
        <w:jc w:val="both"/>
        <w:rPr>
          <w:rFonts w:hint="eastAsia"/>
          <w:color w:val="231F20"/>
          <w:sz w:val="30"/>
        </w:rPr>
      </w:pPr>
      <w:r>
        <w:rPr>
          <w:rFonts w:hint="eastAsia"/>
          <w:color w:val="231F20"/>
          <w:sz w:val="30"/>
        </w:rPr>
        <w:t>正如经文本身所清楚表明的，这远不止是简单地升天。</w:t>
      </w:r>
    </w:p>
    <w:p w14:paraId="462ADAD5">
      <w:pPr>
        <w:spacing w:before="8" w:line="249" w:lineRule="auto"/>
        <w:ind w:left="99" w:right="98" w:firstLine="450"/>
        <w:jc w:val="both"/>
        <w:rPr>
          <w:rFonts w:hint="eastAsia"/>
          <w:color w:val="231F20"/>
          <w:sz w:val="30"/>
        </w:rPr>
      </w:pPr>
    </w:p>
    <w:p w14:paraId="38CD3D17">
      <w:pPr>
        <w:spacing w:before="8" w:line="249" w:lineRule="auto"/>
        <w:ind w:left="99" w:right="98" w:firstLine="450"/>
        <w:jc w:val="both"/>
        <w:rPr>
          <w:rFonts w:hint="eastAsia"/>
          <w:color w:val="231F20"/>
          <w:sz w:val="30"/>
        </w:rPr>
      </w:pPr>
      <w:r>
        <w:rPr>
          <w:rFonts w:hint="eastAsia"/>
          <w:color w:val="231F20"/>
          <w:sz w:val="30"/>
        </w:rPr>
        <w:t>Rather, it means ascending into heaven so as to sit down at God’s own right hand; so as to receive from him all authority in heaven and earth (Mt. 28:18f); so as to receive from him (authority over) the promised Holy Spirit; so as to pour out the Spirit on the nascent Church; so as to move the Church to preach the Good News of salvation, and thereby move sinners to call upon the name of Jesus for that salvation; so as to indwell the Church by the Spirit, and rule over her as her royal Head from heaven above; and so as to continue ruling until, on the Day of the Lord, he returns to put all his (remaining) enemies under his feet, just as OT prophecy had predicted (Psalm 110:1).</w:t>
      </w:r>
    </w:p>
    <w:p w14:paraId="35F31104">
      <w:pPr>
        <w:spacing w:before="8" w:line="249" w:lineRule="auto"/>
        <w:ind w:left="99" w:right="98" w:firstLine="450"/>
        <w:jc w:val="both"/>
        <w:rPr>
          <w:rFonts w:hint="eastAsia"/>
          <w:color w:val="231F20"/>
          <w:sz w:val="30"/>
        </w:rPr>
      </w:pPr>
      <w:r>
        <w:rPr>
          <w:rFonts w:hint="eastAsia"/>
          <w:color w:val="231F20"/>
          <w:sz w:val="30"/>
        </w:rPr>
        <w:t>相反，这意味着升天，以便坐在上帝自己的右边；以便从祂领受天上地下所有的权柄（太 28:18f）；以便从祂领受（管理）所应许的圣灵；以便将圣灵浇灌在初生的教会之上；以便感动教会传讲救恩的福音，从而感动罪人求告耶稣的名得那救恩；以便藉着圣灵住在教会里面，并从天上作她君尊的元首统治她；并以便继续统治，直到在主的日子，祂再来将祂所有（余下的）仇敌都放在祂脚下，正如旧约预言所预测的那样（诗篇 110:1）。</w:t>
      </w:r>
    </w:p>
    <w:p w14:paraId="7FE255F1">
      <w:pPr>
        <w:spacing w:before="8" w:line="249" w:lineRule="auto"/>
        <w:ind w:left="99" w:right="98" w:firstLine="450"/>
        <w:jc w:val="both"/>
        <w:rPr>
          <w:rFonts w:hint="eastAsia"/>
          <w:color w:val="231F20"/>
          <w:sz w:val="30"/>
        </w:rPr>
      </w:pPr>
    </w:p>
    <w:p w14:paraId="2A1F67D4">
      <w:pPr>
        <w:spacing w:before="8" w:line="249" w:lineRule="auto"/>
        <w:ind w:left="99" w:right="98" w:firstLine="450"/>
        <w:jc w:val="both"/>
        <w:rPr>
          <w:rFonts w:hint="eastAsia"/>
          <w:color w:val="231F20"/>
          <w:sz w:val="30"/>
        </w:rPr>
      </w:pPr>
      <w:r>
        <w:rPr>
          <w:rFonts w:hint="eastAsia"/>
          <w:color w:val="231F20"/>
          <w:sz w:val="30"/>
        </w:rPr>
        <w:t>In short, God has exalted this Jesus, whom they crucified, to be the divine-human Lord of the entire universe, and to be the Spirit-anointed Christ—the redeeming Prophet, Priest, Sacrifice, and King—of all his people.</w:t>
      </w:r>
    </w:p>
    <w:p w14:paraId="093E61A8">
      <w:pPr>
        <w:spacing w:before="8" w:line="249" w:lineRule="auto"/>
        <w:ind w:left="99" w:right="98" w:firstLine="450"/>
        <w:jc w:val="both"/>
        <w:rPr>
          <w:rFonts w:hint="eastAsia"/>
          <w:color w:val="231F20"/>
          <w:sz w:val="30"/>
        </w:rPr>
      </w:pPr>
      <w:r>
        <w:rPr>
          <w:rFonts w:hint="eastAsia"/>
          <w:color w:val="231F20"/>
          <w:sz w:val="30"/>
        </w:rPr>
        <w:t>简而言之，上帝已将这位他们钉在十字架上的耶稣高举，成为整个宇宙的神人主，并成为祂所有子民受圣灵膏抹的基督——即救赎的先知、祭司、祭物和君王。</w:t>
      </w:r>
    </w:p>
    <w:p w14:paraId="7E8F3C94">
      <w:pPr>
        <w:spacing w:before="8" w:line="249" w:lineRule="auto"/>
        <w:ind w:left="99" w:right="98" w:firstLine="450"/>
        <w:jc w:val="both"/>
        <w:rPr>
          <w:rFonts w:hint="eastAsia"/>
          <w:color w:val="231F20"/>
          <w:sz w:val="30"/>
        </w:rPr>
      </w:pPr>
    </w:p>
    <w:p w14:paraId="7003973F">
      <w:pPr>
        <w:spacing w:before="8" w:line="249" w:lineRule="auto"/>
        <w:ind w:left="99" w:right="98" w:firstLine="450"/>
        <w:jc w:val="both"/>
        <w:rPr>
          <w:rFonts w:hint="eastAsia"/>
          <w:color w:val="231F20"/>
          <w:sz w:val="30"/>
        </w:rPr>
      </w:pPr>
      <w:r>
        <w:rPr>
          <w:rFonts w:hint="eastAsia"/>
          <w:color w:val="231F20"/>
          <w:sz w:val="30"/>
        </w:rPr>
        <w:t>In his concluding remarks, Luke comments on the effect of Peter’s sermon, and it is well worth noting what he says (2:37-39).</w:t>
      </w:r>
    </w:p>
    <w:p w14:paraId="30797179">
      <w:pPr>
        <w:spacing w:before="8" w:line="249" w:lineRule="auto"/>
        <w:ind w:left="99" w:right="98" w:firstLine="450"/>
        <w:jc w:val="both"/>
        <w:rPr>
          <w:rFonts w:hint="eastAsia"/>
          <w:color w:val="231F20"/>
          <w:sz w:val="30"/>
        </w:rPr>
      </w:pPr>
      <w:r>
        <w:rPr>
          <w:rFonts w:hint="eastAsia"/>
          <w:color w:val="231F20"/>
          <w:sz w:val="30"/>
        </w:rPr>
        <w:t>在他的结论中，路加评论了彼得讲道的效果，他所说的值得注意（2:37-39）。</w:t>
      </w:r>
    </w:p>
    <w:p w14:paraId="5F83DC8D">
      <w:pPr>
        <w:spacing w:before="8" w:line="249" w:lineRule="auto"/>
        <w:ind w:left="99" w:right="98" w:firstLine="450"/>
        <w:jc w:val="both"/>
        <w:rPr>
          <w:rFonts w:hint="eastAsia"/>
          <w:color w:val="231F20"/>
          <w:sz w:val="30"/>
        </w:rPr>
      </w:pPr>
    </w:p>
    <w:p w14:paraId="53E4B34F">
      <w:pPr>
        <w:spacing w:before="8" w:line="249" w:lineRule="auto"/>
        <w:ind w:left="99" w:right="98" w:firstLine="450"/>
        <w:jc w:val="both"/>
        <w:rPr>
          <w:rFonts w:hint="eastAsia"/>
          <w:color w:val="231F20"/>
          <w:sz w:val="30"/>
        </w:rPr>
      </w:pPr>
      <w:r>
        <w:rPr>
          <w:rFonts w:hint="eastAsia"/>
          <w:color w:val="231F20"/>
          <w:sz w:val="30"/>
        </w:rPr>
        <w:t>Because the High King of heaven was much at work by the Holy Spirit, men were cut to the quick and cried out, asking what they must do to be saved.</w:t>
      </w:r>
    </w:p>
    <w:p w14:paraId="6162D854">
      <w:pPr>
        <w:spacing w:before="8" w:line="249" w:lineRule="auto"/>
        <w:ind w:left="99" w:right="98" w:firstLine="450"/>
        <w:jc w:val="both"/>
        <w:rPr>
          <w:rFonts w:hint="eastAsia"/>
          <w:color w:val="231F20"/>
          <w:sz w:val="30"/>
        </w:rPr>
      </w:pPr>
      <w:r>
        <w:rPr>
          <w:rFonts w:hint="eastAsia"/>
          <w:color w:val="231F20"/>
          <w:sz w:val="30"/>
        </w:rPr>
        <w:t>因为天上的至高君王藉着圣灵大大作工，人们心里觉得扎心，就大声呼喊，问他们当怎样行才可以得救。</w:t>
      </w:r>
    </w:p>
    <w:p w14:paraId="3A07DE95">
      <w:pPr>
        <w:spacing w:before="8" w:line="249" w:lineRule="auto"/>
        <w:ind w:left="99" w:right="98" w:firstLine="450"/>
        <w:jc w:val="both"/>
        <w:rPr>
          <w:rFonts w:hint="eastAsia"/>
          <w:color w:val="231F20"/>
          <w:sz w:val="30"/>
        </w:rPr>
      </w:pPr>
    </w:p>
    <w:p w14:paraId="732E05C9">
      <w:pPr>
        <w:spacing w:before="8" w:line="249" w:lineRule="auto"/>
        <w:ind w:left="99" w:right="98" w:firstLine="450"/>
        <w:jc w:val="both"/>
        <w:rPr>
          <w:rFonts w:hint="eastAsia"/>
          <w:color w:val="231F20"/>
          <w:sz w:val="30"/>
        </w:rPr>
      </w:pPr>
      <w:r>
        <w:rPr>
          <w:rFonts w:hint="eastAsia"/>
          <w:color w:val="231F20"/>
          <w:sz w:val="30"/>
        </w:rPr>
        <w:t>With the words of Joel still in mind, Peter directs them to the Lord Jesus, urging them to repent and be baptized in his name for the forgiveness of their sins and the full reception of the gift of the Holy Spirit.</w:t>
      </w:r>
    </w:p>
    <w:p w14:paraId="03EF03E6">
      <w:pPr>
        <w:spacing w:before="8" w:line="249" w:lineRule="auto"/>
        <w:ind w:left="99" w:right="98" w:firstLine="450"/>
        <w:jc w:val="both"/>
        <w:rPr>
          <w:rFonts w:hint="eastAsia"/>
          <w:color w:val="231F20"/>
          <w:sz w:val="30"/>
        </w:rPr>
      </w:pPr>
      <w:r>
        <w:rPr>
          <w:rFonts w:hint="eastAsia"/>
          <w:color w:val="231F20"/>
          <w:sz w:val="30"/>
        </w:rPr>
        <w:t>彼得心里还记着约珥的话，就引导他们归向主耶稣，敦促他们悔改，奉祂的名受洗，使他们的罪得赦，并领受所赐的圣灵。</w:t>
      </w:r>
    </w:p>
    <w:p w14:paraId="55D3E42E">
      <w:pPr>
        <w:spacing w:before="8" w:line="249" w:lineRule="auto"/>
        <w:ind w:left="99" w:right="98" w:firstLine="450"/>
        <w:jc w:val="both"/>
        <w:rPr>
          <w:rFonts w:hint="eastAsia"/>
          <w:color w:val="231F20"/>
          <w:sz w:val="30"/>
        </w:rPr>
      </w:pPr>
    </w:p>
    <w:p w14:paraId="1DCD341D">
      <w:pPr>
        <w:spacing w:before="8" w:line="249" w:lineRule="auto"/>
        <w:ind w:left="99" w:right="98" w:firstLine="450"/>
        <w:jc w:val="both"/>
        <w:rPr>
          <w:rFonts w:hint="eastAsia"/>
          <w:color w:val="231F20"/>
          <w:sz w:val="30"/>
        </w:rPr>
      </w:pPr>
      <w:r>
        <w:rPr>
          <w:rFonts w:hint="eastAsia"/>
          <w:color w:val="231F20"/>
          <w:sz w:val="30"/>
        </w:rPr>
        <w:t>Here again we see the distinctly redemptive and spiritual character of Christ’s kingdom: All who believe are rescued from the Domain of Darkness, transferred into the (spiritual) kingdom of God’s beloved Son, and restored to eternal life in the triune God (Col. 1:13).</w:t>
      </w:r>
    </w:p>
    <w:p w14:paraId="50937B11">
      <w:pPr>
        <w:spacing w:before="8" w:line="249" w:lineRule="auto"/>
        <w:ind w:left="99" w:right="98" w:firstLine="450"/>
        <w:jc w:val="both"/>
        <w:rPr>
          <w:rFonts w:hint="eastAsia"/>
          <w:color w:val="231F20"/>
          <w:sz w:val="30"/>
        </w:rPr>
      </w:pPr>
      <w:r>
        <w:rPr>
          <w:rFonts w:hint="eastAsia"/>
          <w:color w:val="231F20"/>
          <w:sz w:val="30"/>
        </w:rPr>
        <w:t>在此我们再次看到基督国度独特的救赎性和属灵性：所有相信的人都从黑暗的权势中被拯救出来，迁入上帝爱子（属灵）的国里，并在三一上帝里恢复到永生（西 1:13）。</w:t>
      </w:r>
    </w:p>
    <w:p w14:paraId="068DE985">
      <w:pPr>
        <w:spacing w:before="8" w:line="249" w:lineRule="auto"/>
        <w:ind w:left="99" w:right="98" w:firstLine="450"/>
        <w:jc w:val="both"/>
        <w:rPr>
          <w:rFonts w:hint="eastAsia"/>
          <w:color w:val="231F20"/>
          <w:sz w:val="30"/>
        </w:rPr>
      </w:pPr>
    </w:p>
    <w:p w14:paraId="474DB971">
      <w:pPr>
        <w:spacing w:before="8" w:line="249" w:lineRule="auto"/>
        <w:ind w:left="99" w:right="98" w:firstLine="450"/>
        <w:jc w:val="both"/>
        <w:rPr>
          <w:rFonts w:hint="eastAsia"/>
          <w:color w:val="231F20"/>
          <w:sz w:val="30"/>
        </w:rPr>
      </w:pPr>
      <w:r>
        <w:rPr>
          <w:rFonts w:hint="eastAsia"/>
          <w:color w:val="231F20"/>
          <w:sz w:val="30"/>
        </w:rPr>
        <w:t>Importantly, this precious promise is not only for Jews, but for Gentiles as well; for all who are far off, as many as the Lord God of Israel is pleased to call (2:39).</w:t>
      </w:r>
    </w:p>
    <w:p w14:paraId="4B09A1B6">
      <w:pPr>
        <w:spacing w:before="8" w:line="249" w:lineRule="auto"/>
        <w:ind w:left="99" w:right="98" w:firstLine="450"/>
        <w:jc w:val="both"/>
        <w:rPr>
          <w:rFonts w:hint="eastAsia"/>
          <w:color w:val="231F20"/>
          <w:sz w:val="30"/>
        </w:rPr>
      </w:pPr>
      <w:r>
        <w:rPr>
          <w:rFonts w:hint="eastAsia"/>
          <w:color w:val="231F20"/>
          <w:sz w:val="30"/>
        </w:rPr>
        <w:t>重要的是，这个宝贵的应许不仅是给犹太人的，也是给外邦人的；是给所有在远处的人，就是主以色列的上帝所召来的（2:39）。</w:t>
      </w:r>
    </w:p>
    <w:p w14:paraId="47E07538">
      <w:pPr>
        <w:spacing w:before="8" w:line="249" w:lineRule="auto"/>
        <w:ind w:left="99" w:right="98" w:firstLine="450"/>
        <w:jc w:val="both"/>
        <w:rPr>
          <w:rFonts w:hint="eastAsia"/>
          <w:color w:val="231F20"/>
          <w:sz w:val="30"/>
        </w:rPr>
      </w:pPr>
    </w:p>
    <w:p w14:paraId="30CD5034">
      <w:pPr>
        <w:spacing w:before="8" w:line="249" w:lineRule="auto"/>
        <w:ind w:left="99" w:right="98" w:firstLine="450"/>
        <w:jc w:val="both"/>
        <w:rPr>
          <w:rFonts w:hint="eastAsia"/>
          <w:color w:val="231F20"/>
          <w:sz w:val="30"/>
        </w:rPr>
      </w:pPr>
      <w:r>
        <w:rPr>
          <w:rFonts w:hint="eastAsia"/>
          <w:color w:val="231F20"/>
          <w:sz w:val="30"/>
        </w:rPr>
        <w:t>Well remembering his Master’s words about One Shepherd and one (new) Flock (John 10:16), Peter here speaks of the one new Israel of God, over which David’s Greater Son, seated upon his heavenly throne, will continue to rule until he comes again at the end of the age to restore all things (Acts 5:29-31).</w:t>
      </w:r>
    </w:p>
    <w:p w14:paraId="2AAE784D">
      <w:pPr>
        <w:spacing w:before="8" w:line="249" w:lineRule="auto"/>
        <w:ind w:left="99" w:right="98" w:firstLine="450"/>
        <w:jc w:val="both"/>
        <w:rPr>
          <w:rFonts w:hint="eastAsia"/>
          <w:color w:val="231F20"/>
          <w:sz w:val="30"/>
        </w:rPr>
      </w:pPr>
      <w:r>
        <w:rPr>
          <w:rFonts w:hint="eastAsia"/>
          <w:color w:val="231F20"/>
          <w:sz w:val="30"/>
        </w:rPr>
        <w:t>彼得清楚地记得他夫子关于一位牧人和一个（新）羊群的话（约 10:16），在此他谈到那独一的、新的上帝的以色列，大卫更伟大的子孙将坐在祂属天的宝座上，继续统治，直到祂在世代的末了再来复兴万物（徒 5:29-31）。</w:t>
      </w:r>
    </w:p>
    <w:p w14:paraId="44EF4488">
      <w:pPr>
        <w:spacing w:before="8" w:line="249" w:lineRule="auto"/>
        <w:ind w:left="99" w:right="98" w:firstLine="450"/>
        <w:jc w:val="both"/>
        <w:rPr>
          <w:rFonts w:hint="eastAsia"/>
          <w:color w:val="231F20"/>
          <w:sz w:val="30"/>
        </w:rPr>
      </w:pPr>
    </w:p>
    <w:p w14:paraId="565A0C6E">
      <w:pPr>
        <w:spacing w:before="8" w:line="249" w:lineRule="auto"/>
        <w:ind w:left="99" w:right="98" w:firstLine="450"/>
        <w:jc w:val="both"/>
        <w:rPr>
          <w:rFonts w:hint="eastAsia"/>
          <w:color w:val="231F20"/>
          <w:sz w:val="30"/>
        </w:rPr>
      </w:pPr>
      <w:r>
        <w:rPr>
          <w:rFonts w:hint="eastAsia"/>
          <w:color w:val="231F20"/>
          <w:sz w:val="30"/>
        </w:rPr>
        <w:t>2.The Sermon at Solomon’s Portico (Acts 3:11-26, 2 Peter 3)</w:t>
      </w:r>
    </w:p>
    <w:p w14:paraId="51D8928A">
      <w:pPr>
        <w:spacing w:before="8" w:line="249" w:lineRule="auto"/>
        <w:ind w:left="99" w:right="98" w:firstLine="450"/>
        <w:jc w:val="both"/>
        <w:rPr>
          <w:rFonts w:hint="eastAsia"/>
          <w:color w:val="231F20"/>
          <w:sz w:val="30"/>
        </w:rPr>
      </w:pPr>
      <w:r>
        <w:rPr>
          <w:rFonts w:hint="eastAsia"/>
          <w:color w:val="231F20"/>
          <w:sz w:val="30"/>
        </w:rPr>
        <w:t>2.在所罗门廊下的讲道（徒 3:11-26, 彼后 3）</w:t>
      </w:r>
    </w:p>
    <w:p w14:paraId="13746608">
      <w:pPr>
        <w:spacing w:before="8" w:line="249" w:lineRule="auto"/>
        <w:ind w:left="99" w:right="98" w:firstLine="450"/>
        <w:jc w:val="both"/>
        <w:rPr>
          <w:rFonts w:hint="eastAsia"/>
          <w:color w:val="231F20"/>
          <w:sz w:val="30"/>
        </w:rPr>
      </w:pPr>
    </w:p>
    <w:p w14:paraId="53A9D7F5">
      <w:pPr>
        <w:spacing w:before="8" w:line="249" w:lineRule="auto"/>
        <w:ind w:left="99" w:right="98" w:firstLine="450"/>
        <w:jc w:val="both"/>
        <w:rPr>
          <w:rFonts w:hint="eastAsia"/>
          <w:color w:val="231F20"/>
          <w:sz w:val="30"/>
        </w:rPr>
      </w:pPr>
      <w:r>
        <w:rPr>
          <w:rFonts w:hint="eastAsia"/>
          <w:color w:val="231F20"/>
          <w:sz w:val="30"/>
        </w:rPr>
        <w:t>In spirit, content, and purpose, this sermon is much like the one delivered on Pentecost.</w:t>
      </w:r>
    </w:p>
    <w:p w14:paraId="0F4AE175">
      <w:pPr>
        <w:spacing w:before="8" w:line="249" w:lineRule="auto"/>
        <w:ind w:left="99" w:right="98" w:firstLine="450"/>
        <w:jc w:val="both"/>
        <w:rPr>
          <w:rFonts w:hint="eastAsia"/>
          <w:color w:val="231F20"/>
          <w:sz w:val="30"/>
        </w:rPr>
      </w:pPr>
      <w:r>
        <w:rPr>
          <w:rFonts w:hint="eastAsia"/>
          <w:color w:val="231F20"/>
          <w:sz w:val="30"/>
        </w:rPr>
        <w:t>在精神、内容和目的上，这篇讲道与五旬节所讲的那篇非常相似。</w:t>
      </w:r>
    </w:p>
    <w:p w14:paraId="046E58BC">
      <w:pPr>
        <w:spacing w:before="8" w:line="249" w:lineRule="auto"/>
        <w:ind w:left="99" w:right="98" w:firstLine="450"/>
        <w:jc w:val="both"/>
        <w:rPr>
          <w:rFonts w:hint="eastAsia"/>
          <w:color w:val="231F20"/>
          <w:sz w:val="30"/>
        </w:rPr>
      </w:pPr>
    </w:p>
    <w:p w14:paraId="4D0856E5">
      <w:pPr>
        <w:spacing w:before="8" w:line="249" w:lineRule="auto"/>
        <w:ind w:left="99" w:right="98" w:firstLine="450"/>
        <w:jc w:val="both"/>
        <w:rPr>
          <w:rFonts w:hint="eastAsia"/>
          <w:color w:val="231F20"/>
          <w:sz w:val="30"/>
        </w:rPr>
      </w:pPr>
      <w:r>
        <w:rPr>
          <w:rFonts w:hint="eastAsia"/>
          <w:color w:val="231F20"/>
          <w:sz w:val="30"/>
        </w:rPr>
        <w:t>By supernatural gifts of faith and power, Christ, through Peter, has healed a lame man (3:1-10).</w:t>
      </w:r>
    </w:p>
    <w:p w14:paraId="0D5AA3C2">
      <w:pPr>
        <w:spacing w:before="8" w:line="249" w:lineRule="auto"/>
        <w:ind w:left="99" w:right="98" w:firstLine="450"/>
        <w:jc w:val="both"/>
        <w:rPr>
          <w:rFonts w:hint="eastAsia"/>
          <w:color w:val="231F20"/>
          <w:sz w:val="30"/>
        </w:rPr>
      </w:pPr>
      <w:r>
        <w:rPr>
          <w:rFonts w:hint="eastAsia"/>
          <w:color w:val="231F20"/>
          <w:sz w:val="30"/>
        </w:rPr>
        <w:t>藉着信和能力的超自然恩赐，基督通过彼得，医好了一个瘸腿的人（3:1-10）。</w:t>
      </w:r>
    </w:p>
    <w:p w14:paraId="332FD962">
      <w:pPr>
        <w:spacing w:before="8" w:line="249" w:lineRule="auto"/>
        <w:ind w:left="99" w:right="98" w:firstLine="450"/>
        <w:jc w:val="both"/>
        <w:rPr>
          <w:rFonts w:hint="eastAsia"/>
          <w:color w:val="231F20"/>
          <w:sz w:val="30"/>
        </w:rPr>
      </w:pPr>
    </w:p>
    <w:p w14:paraId="691A1F3E">
      <w:pPr>
        <w:spacing w:before="8" w:line="249" w:lineRule="auto"/>
        <w:ind w:left="99" w:right="98" w:firstLine="450"/>
        <w:jc w:val="both"/>
        <w:rPr>
          <w:rFonts w:hint="eastAsia"/>
          <w:color w:val="231F20"/>
          <w:sz w:val="30"/>
        </w:rPr>
      </w:pPr>
      <w:r>
        <w:rPr>
          <w:rFonts w:hint="eastAsia"/>
          <w:color w:val="231F20"/>
          <w:sz w:val="30"/>
        </w:rPr>
        <w:t>The amazed bystanders are inclined to look to Peter and John as the agents thereof, but Peter directs their attention instead to Jesus (3:11-12).</w:t>
      </w:r>
    </w:p>
    <w:p w14:paraId="6DE85F84">
      <w:pPr>
        <w:spacing w:before="8" w:line="249" w:lineRule="auto"/>
        <w:ind w:left="99" w:right="98" w:firstLine="450"/>
        <w:jc w:val="both"/>
        <w:rPr>
          <w:rFonts w:hint="eastAsia"/>
          <w:color w:val="231F20"/>
          <w:sz w:val="30"/>
        </w:rPr>
      </w:pPr>
      <w:r>
        <w:rPr>
          <w:rFonts w:hint="eastAsia"/>
          <w:color w:val="231F20"/>
          <w:sz w:val="30"/>
        </w:rPr>
        <w:t>惊奇的旁观者倾向于将彼得和约翰视为行这事的人，但彼得却将他们的注意力引向耶稣（3:11-12）。</w:t>
      </w:r>
    </w:p>
    <w:p w14:paraId="0E3A2704">
      <w:pPr>
        <w:spacing w:before="8" w:line="249" w:lineRule="auto"/>
        <w:ind w:left="99" w:right="98" w:firstLine="450"/>
        <w:jc w:val="both"/>
        <w:rPr>
          <w:rFonts w:hint="eastAsia"/>
          <w:color w:val="231F20"/>
          <w:sz w:val="30"/>
        </w:rPr>
      </w:pPr>
    </w:p>
    <w:p w14:paraId="5BCC61CE">
      <w:pPr>
        <w:spacing w:before="8" w:line="249" w:lineRule="auto"/>
        <w:ind w:left="99" w:right="98" w:firstLine="450"/>
        <w:jc w:val="both"/>
        <w:rPr>
          <w:rFonts w:hint="eastAsia"/>
          <w:color w:val="231F20"/>
          <w:sz w:val="30"/>
        </w:rPr>
      </w:pPr>
      <w:r>
        <w:rPr>
          <w:rFonts w:hint="eastAsia"/>
          <w:color w:val="231F20"/>
          <w:sz w:val="30"/>
        </w:rPr>
        <w:t>Even in the days of his flesh, God glorified him (13).</w:t>
      </w:r>
    </w:p>
    <w:p w14:paraId="33D024C7">
      <w:pPr>
        <w:spacing w:before="8" w:line="249" w:lineRule="auto"/>
        <w:ind w:left="99" w:right="98" w:firstLine="450"/>
        <w:jc w:val="both"/>
        <w:rPr>
          <w:rFonts w:hint="eastAsia"/>
          <w:color w:val="231F20"/>
          <w:sz w:val="30"/>
        </w:rPr>
      </w:pPr>
      <w:r>
        <w:rPr>
          <w:rFonts w:hint="eastAsia"/>
          <w:color w:val="231F20"/>
          <w:sz w:val="30"/>
        </w:rPr>
        <w:t>即使在祂肉身的日子里，上帝也荣耀了祂（13）。</w:t>
      </w:r>
    </w:p>
    <w:p w14:paraId="0D5761F2">
      <w:pPr>
        <w:spacing w:before="8" w:line="249" w:lineRule="auto"/>
        <w:ind w:left="99" w:right="98" w:firstLine="450"/>
        <w:jc w:val="both"/>
        <w:rPr>
          <w:rFonts w:hint="eastAsia"/>
          <w:color w:val="231F20"/>
          <w:sz w:val="30"/>
        </w:rPr>
      </w:pPr>
    </w:p>
    <w:p w14:paraId="37CD96BC">
      <w:pPr>
        <w:spacing w:before="8" w:line="249" w:lineRule="auto"/>
        <w:ind w:left="99" w:right="98" w:firstLine="450"/>
        <w:jc w:val="both"/>
        <w:rPr>
          <w:rFonts w:hint="eastAsia"/>
          <w:color w:val="231F20"/>
          <w:sz w:val="30"/>
        </w:rPr>
      </w:pPr>
      <w:r>
        <w:rPr>
          <w:rFonts w:hint="eastAsia"/>
          <w:color w:val="231F20"/>
          <w:sz w:val="30"/>
        </w:rPr>
        <w:t>Yet Israel denied him, delivering him up to Pilate and killing the very Prince of Life (14-15).</w:t>
      </w:r>
    </w:p>
    <w:p w14:paraId="506FB30E">
      <w:pPr>
        <w:spacing w:before="8" w:line="249" w:lineRule="auto"/>
        <w:ind w:left="99" w:right="98" w:firstLine="450"/>
        <w:jc w:val="both"/>
        <w:rPr>
          <w:rFonts w:hint="eastAsia"/>
          <w:color w:val="231F20"/>
          <w:sz w:val="30"/>
        </w:rPr>
      </w:pPr>
      <w:r>
        <w:rPr>
          <w:rFonts w:hint="eastAsia"/>
          <w:color w:val="231F20"/>
          <w:sz w:val="30"/>
        </w:rPr>
        <w:t>然而以色列弃绝了祂，将祂交给彼拉多，并杀了那生命的主（14-15）。</w:t>
      </w:r>
    </w:p>
    <w:p w14:paraId="0D5546F8">
      <w:pPr>
        <w:spacing w:before="8" w:line="249" w:lineRule="auto"/>
        <w:ind w:left="99" w:right="98" w:firstLine="450"/>
        <w:jc w:val="both"/>
        <w:rPr>
          <w:rFonts w:hint="eastAsia"/>
          <w:color w:val="231F20"/>
          <w:sz w:val="30"/>
        </w:rPr>
      </w:pPr>
    </w:p>
    <w:p w14:paraId="58792C35">
      <w:pPr>
        <w:spacing w:before="8" w:line="249" w:lineRule="auto"/>
        <w:ind w:left="99" w:right="98" w:firstLine="450"/>
        <w:jc w:val="both"/>
        <w:rPr>
          <w:rFonts w:hint="eastAsia"/>
          <w:color w:val="231F20"/>
          <w:sz w:val="30"/>
        </w:rPr>
      </w:pPr>
      <w:r>
        <w:rPr>
          <w:rFonts w:hint="eastAsia"/>
          <w:color w:val="231F20"/>
          <w:sz w:val="30"/>
        </w:rPr>
        <w:t>But God raised him from the dead, this Living One whose spiritual rule now gives life and perfect soundness even to the lame (16).</w:t>
      </w:r>
    </w:p>
    <w:p w14:paraId="0E7922A2">
      <w:pPr>
        <w:spacing w:before="8" w:line="249" w:lineRule="auto"/>
        <w:ind w:left="99" w:right="98" w:firstLine="450"/>
        <w:jc w:val="both"/>
        <w:rPr>
          <w:rFonts w:hint="eastAsia"/>
          <w:color w:val="231F20"/>
          <w:sz w:val="30"/>
        </w:rPr>
      </w:pPr>
      <w:r>
        <w:rPr>
          <w:rFonts w:hint="eastAsia"/>
          <w:color w:val="231F20"/>
          <w:sz w:val="30"/>
        </w:rPr>
        <w:t>但上帝叫祂从死里复活，这位活者，祂的属灵统治现在甚至能赐生命和完全的康健给瘸腿的（16）。</w:t>
      </w:r>
    </w:p>
    <w:p w14:paraId="5B58B1AD">
      <w:pPr>
        <w:spacing w:before="8" w:line="249" w:lineRule="auto"/>
        <w:ind w:left="99" w:right="98" w:firstLine="450"/>
        <w:jc w:val="both"/>
        <w:rPr>
          <w:rFonts w:hint="eastAsia"/>
          <w:color w:val="231F20"/>
          <w:sz w:val="30"/>
        </w:rPr>
      </w:pPr>
    </w:p>
    <w:p w14:paraId="46F6EC4A">
      <w:pPr>
        <w:spacing w:before="8" w:line="249" w:lineRule="auto"/>
        <w:ind w:left="99" w:right="98" w:firstLine="450"/>
        <w:jc w:val="both"/>
        <w:rPr>
          <w:rFonts w:hint="eastAsia"/>
          <w:color w:val="231F20"/>
          <w:sz w:val="30"/>
        </w:rPr>
      </w:pPr>
      <w:r>
        <w:rPr>
          <w:rFonts w:hint="eastAsia"/>
          <w:color w:val="231F20"/>
          <w:sz w:val="30"/>
        </w:rPr>
        <w:t>Yes, this Jesus is the Christ, who, according to God’s predetermined plan, suffered and rose again, all in fulfillment of the OT Scriptures (17-18).</w:t>
      </w:r>
    </w:p>
    <w:p w14:paraId="4E355A8C">
      <w:pPr>
        <w:spacing w:before="8" w:line="249" w:lineRule="auto"/>
        <w:ind w:left="99" w:right="98" w:firstLine="450"/>
        <w:jc w:val="both"/>
        <w:rPr>
          <w:rFonts w:hint="eastAsia"/>
          <w:color w:val="231F20"/>
          <w:sz w:val="30"/>
        </w:rPr>
      </w:pPr>
      <w:r>
        <w:rPr>
          <w:rFonts w:hint="eastAsia"/>
          <w:color w:val="231F20"/>
          <w:sz w:val="30"/>
        </w:rPr>
        <w:t>是的，这位耶稣就是基督，祂按照上帝预定的计划，受苦并复活，这一切都是为应验旧约圣经（17-18）。</w:t>
      </w:r>
    </w:p>
    <w:p w14:paraId="0ACA76BF">
      <w:pPr>
        <w:spacing w:before="8" w:line="249" w:lineRule="auto"/>
        <w:ind w:left="99" w:right="98" w:firstLine="450"/>
        <w:jc w:val="both"/>
        <w:rPr>
          <w:rFonts w:hint="eastAsia"/>
          <w:color w:val="231F20"/>
          <w:sz w:val="30"/>
        </w:rPr>
      </w:pPr>
    </w:p>
    <w:p w14:paraId="15BE4BE6">
      <w:pPr>
        <w:spacing w:before="8" w:line="249" w:lineRule="auto"/>
        <w:ind w:left="99" w:right="98" w:firstLine="450"/>
        <w:jc w:val="both"/>
        <w:rPr>
          <w:rFonts w:hint="eastAsia"/>
          <w:color w:val="231F20"/>
          <w:sz w:val="30"/>
        </w:rPr>
      </w:pPr>
      <w:r>
        <w:rPr>
          <w:rFonts w:hint="eastAsia"/>
          <w:color w:val="231F20"/>
          <w:sz w:val="30"/>
        </w:rPr>
        <w:t>At this point, Peter reaches his goal, and in doing so gives his audience further precious light on the Messiah and the course of his heavenly reign:</w:t>
      </w:r>
    </w:p>
    <w:p w14:paraId="6B8B8162">
      <w:pPr>
        <w:spacing w:before="8" w:line="249" w:lineRule="auto"/>
        <w:ind w:left="99" w:right="98" w:firstLine="450"/>
        <w:jc w:val="both"/>
        <w:rPr>
          <w:rFonts w:hint="eastAsia"/>
          <w:color w:val="231F20"/>
          <w:sz w:val="30"/>
        </w:rPr>
      </w:pPr>
      <w:r>
        <w:rPr>
          <w:rFonts w:hint="eastAsia"/>
          <w:color w:val="231F20"/>
          <w:sz w:val="30"/>
        </w:rPr>
        <w:t>此时，彼得达到了他的目标，并且在这样做的时候，给了他的听众更多关于弥赛亚和祂属天统治进程的宝贵亮光：</w:t>
      </w:r>
    </w:p>
    <w:p w14:paraId="24960EEA">
      <w:pPr>
        <w:spacing w:before="8" w:line="249" w:lineRule="auto"/>
        <w:ind w:left="99" w:right="98" w:firstLine="450"/>
        <w:jc w:val="both"/>
        <w:rPr>
          <w:rFonts w:hint="eastAsia"/>
          <w:color w:val="231F20"/>
          <w:sz w:val="30"/>
        </w:rPr>
      </w:pPr>
    </w:p>
    <w:p w14:paraId="1D3B1BD0">
      <w:pPr>
        <w:spacing w:before="8" w:line="249" w:lineRule="auto"/>
        <w:ind w:left="99" w:right="98" w:firstLine="450"/>
        <w:jc w:val="both"/>
        <w:rPr>
          <w:rFonts w:hint="eastAsia"/>
          <w:color w:val="231F20"/>
          <w:sz w:val="30"/>
        </w:rPr>
      </w:pPr>
      <w:r>
        <w:rPr>
          <w:rFonts w:hint="eastAsia"/>
          <w:color w:val="231F20"/>
          <w:sz w:val="30"/>
        </w:rPr>
        <w:t>Repent therefore and return, that your sins may be blotted out, so that times of refreshing may come from the presence of the Lord, and that he may send Jesus, the Christ appointed beforehand for you, whom heaven must receive until the times of the restoration of all things, about which God has spoken by the mouth of all his holy prophets since the world began.</w:t>
      </w:r>
    </w:p>
    <w:p w14:paraId="49DC345A">
      <w:pPr>
        <w:spacing w:before="8" w:line="249" w:lineRule="auto"/>
        <w:ind w:left="99" w:right="98" w:firstLine="450"/>
        <w:jc w:val="both"/>
        <w:rPr>
          <w:rFonts w:hint="eastAsia"/>
          <w:color w:val="231F20"/>
          <w:sz w:val="30"/>
        </w:rPr>
      </w:pPr>
      <w:r>
        <w:rPr>
          <w:rFonts w:hint="eastAsia"/>
          <w:color w:val="231F20"/>
          <w:sz w:val="30"/>
        </w:rPr>
        <w:t>所以，你们当悔改归正，使你们的罪得以涂抹，这样，那安舒的日子就必从主面前来到；主也必差遣所预定给你们的基督耶稣降临。天必留祂，等到万物复兴的时候，就是上帝从创世以来，藉着圣先知的口所说的。</w:t>
      </w:r>
    </w:p>
    <w:p w14:paraId="3B99193A">
      <w:pPr>
        <w:spacing w:before="8" w:line="249" w:lineRule="auto"/>
        <w:ind w:left="99" w:right="98" w:firstLine="450"/>
        <w:jc w:val="both"/>
        <w:rPr>
          <w:rFonts w:hint="eastAsia"/>
          <w:color w:val="231F20"/>
          <w:sz w:val="30"/>
        </w:rPr>
      </w:pPr>
    </w:p>
    <w:p w14:paraId="33005468">
      <w:pPr>
        <w:spacing w:before="8" w:line="249" w:lineRule="auto"/>
        <w:ind w:left="99" w:right="98" w:firstLine="450"/>
        <w:jc w:val="both"/>
        <w:rPr>
          <w:rFonts w:hint="eastAsia"/>
          <w:color w:val="231F20"/>
          <w:sz w:val="30"/>
        </w:rPr>
      </w:pPr>
      <w:r>
        <w:rPr>
          <w:rFonts w:hint="eastAsia"/>
          <w:color w:val="231F20"/>
          <w:sz w:val="30"/>
        </w:rPr>
        <w:t>—3:19-21</w:t>
      </w:r>
    </w:p>
    <w:p w14:paraId="3B201201">
      <w:pPr>
        <w:spacing w:before="8" w:line="249" w:lineRule="auto"/>
        <w:ind w:left="99" w:right="98" w:firstLine="450"/>
        <w:jc w:val="both"/>
        <w:rPr>
          <w:rFonts w:hint="eastAsia"/>
          <w:color w:val="231F20"/>
          <w:sz w:val="30"/>
        </w:rPr>
      </w:pPr>
      <w:r>
        <w:rPr>
          <w:rFonts w:hint="eastAsia"/>
          <w:color w:val="231F20"/>
          <w:sz w:val="30"/>
        </w:rPr>
        <w:t>—3:19-21</w:t>
      </w:r>
    </w:p>
    <w:p w14:paraId="4C574A83">
      <w:pPr>
        <w:spacing w:before="8" w:line="249" w:lineRule="auto"/>
        <w:ind w:left="99" w:right="98" w:firstLine="450"/>
        <w:jc w:val="both"/>
        <w:rPr>
          <w:rFonts w:hint="eastAsia"/>
          <w:color w:val="231F20"/>
          <w:sz w:val="30"/>
        </w:rPr>
      </w:pPr>
    </w:p>
    <w:p w14:paraId="6D7E33D4">
      <w:pPr>
        <w:spacing w:before="8" w:line="249" w:lineRule="auto"/>
        <w:ind w:left="99" w:right="98" w:firstLine="450"/>
        <w:jc w:val="both"/>
        <w:rPr>
          <w:rFonts w:hint="eastAsia"/>
          <w:color w:val="231F20"/>
          <w:sz w:val="30"/>
        </w:rPr>
      </w:pPr>
      <w:r>
        <w:rPr>
          <w:rFonts w:hint="eastAsia"/>
          <w:color w:val="231F20"/>
          <w:sz w:val="30"/>
        </w:rPr>
        <w:t>Once again Peter bids his Jewish brethren to look upward to Christ, penitently and believingly, so that they may enjoy forgiveness of sins and the gift of the Holy Spirit (2:38-39).</w:t>
      </w:r>
    </w:p>
    <w:p w14:paraId="0F2AC362">
      <w:pPr>
        <w:spacing w:before="8" w:line="249" w:lineRule="auto"/>
        <w:ind w:left="99" w:right="98" w:firstLine="450"/>
        <w:jc w:val="both"/>
        <w:rPr>
          <w:rFonts w:hint="eastAsia"/>
          <w:color w:val="231F20"/>
          <w:sz w:val="30"/>
        </w:rPr>
      </w:pPr>
      <w:r>
        <w:rPr>
          <w:rFonts w:hint="eastAsia"/>
          <w:color w:val="231F20"/>
          <w:sz w:val="30"/>
        </w:rPr>
        <w:t>彼得再次吩咐他的犹太弟兄们悔罪地、相信地仰望基督，以便他们可以享受罪的赦免和圣灵的恩赐（2:38-39）。</w:t>
      </w:r>
    </w:p>
    <w:p w14:paraId="4D795336">
      <w:pPr>
        <w:spacing w:before="8" w:line="249" w:lineRule="auto"/>
        <w:ind w:left="99" w:right="98" w:firstLine="450"/>
        <w:jc w:val="both"/>
        <w:rPr>
          <w:rFonts w:hint="eastAsia"/>
          <w:color w:val="231F20"/>
          <w:sz w:val="30"/>
        </w:rPr>
      </w:pPr>
    </w:p>
    <w:p w14:paraId="33341DA4">
      <w:pPr>
        <w:spacing w:before="8" w:line="249" w:lineRule="auto"/>
        <w:ind w:left="99" w:right="98" w:firstLine="450"/>
        <w:jc w:val="both"/>
        <w:rPr>
          <w:rFonts w:hint="eastAsia"/>
          <w:color w:val="231F20"/>
          <w:sz w:val="30"/>
        </w:rPr>
      </w:pPr>
      <w:r>
        <w:rPr>
          <w:rFonts w:hint="eastAsia"/>
          <w:color w:val="231F20"/>
          <w:sz w:val="30"/>
        </w:rPr>
        <w:t>Note, however, that in this sermon he speaks for the first time about the course and conclusion of the Messiah’s heavenly reign.</w:t>
      </w:r>
    </w:p>
    <w:p w14:paraId="3624E1C1">
      <w:pPr>
        <w:spacing w:before="8" w:line="249" w:lineRule="auto"/>
        <w:ind w:left="99" w:right="98" w:firstLine="450"/>
        <w:jc w:val="both"/>
        <w:rPr>
          <w:rFonts w:hint="eastAsia"/>
          <w:color w:val="231F20"/>
          <w:sz w:val="30"/>
        </w:rPr>
      </w:pPr>
      <w:r>
        <w:rPr>
          <w:rFonts w:hint="eastAsia"/>
          <w:color w:val="231F20"/>
          <w:sz w:val="30"/>
        </w:rPr>
        <w:t>然而，请注意，在这篇讲道中，他首次谈到了弥赛亚属天统治的进程和结局。</w:t>
      </w:r>
    </w:p>
    <w:p w14:paraId="43B67F80">
      <w:pPr>
        <w:spacing w:before="8" w:line="249" w:lineRule="auto"/>
        <w:ind w:left="99" w:right="98" w:firstLine="450"/>
        <w:jc w:val="both"/>
        <w:rPr>
          <w:rFonts w:hint="eastAsia"/>
          <w:color w:val="231F20"/>
          <w:sz w:val="30"/>
        </w:rPr>
      </w:pPr>
    </w:p>
    <w:p w14:paraId="6312F2A1">
      <w:pPr>
        <w:spacing w:before="8" w:line="249" w:lineRule="auto"/>
        <w:ind w:left="99" w:right="98" w:firstLine="450"/>
        <w:jc w:val="both"/>
        <w:rPr>
          <w:rFonts w:hint="eastAsia"/>
          <w:color w:val="231F20"/>
          <w:sz w:val="30"/>
        </w:rPr>
      </w:pPr>
      <w:r>
        <w:rPr>
          <w:rFonts w:hint="eastAsia"/>
          <w:color w:val="231F20"/>
          <w:sz w:val="30"/>
        </w:rPr>
        <w:t>So long as God is calling Jews and Gentiles to Christ (2:39, 3:25), heaven must “receive” him: hold him there, keep him there.</w:t>
      </w:r>
    </w:p>
    <w:p w14:paraId="2BA20BF0">
      <w:pPr>
        <w:spacing w:before="8" w:line="249" w:lineRule="auto"/>
        <w:ind w:left="99" w:right="98" w:firstLine="450"/>
        <w:jc w:val="both"/>
        <w:rPr>
          <w:rFonts w:hint="eastAsia"/>
          <w:color w:val="231F20"/>
          <w:sz w:val="30"/>
        </w:rPr>
      </w:pPr>
      <w:r>
        <w:rPr>
          <w:rFonts w:hint="eastAsia"/>
          <w:color w:val="231F20"/>
          <w:sz w:val="30"/>
        </w:rPr>
        <w:t>只要上帝还在呼召犹太人和外邦人归向基督（2:39, 3:25），天就必须“留”祂：把祂留在那里，保守祂在那里。</w:t>
      </w:r>
    </w:p>
    <w:p w14:paraId="66ADC99F">
      <w:pPr>
        <w:spacing w:before="8" w:line="249" w:lineRule="auto"/>
        <w:ind w:left="99" w:right="98" w:firstLine="450"/>
        <w:jc w:val="both"/>
        <w:rPr>
          <w:rFonts w:hint="eastAsia"/>
          <w:color w:val="231F20"/>
          <w:sz w:val="30"/>
        </w:rPr>
      </w:pPr>
    </w:p>
    <w:p w14:paraId="78DFBA70">
      <w:pPr>
        <w:spacing w:before="8" w:line="249" w:lineRule="auto"/>
        <w:ind w:left="99" w:right="98" w:firstLine="450"/>
        <w:jc w:val="both"/>
        <w:rPr>
          <w:rFonts w:hint="eastAsia"/>
          <w:color w:val="231F20"/>
          <w:sz w:val="30"/>
        </w:rPr>
      </w:pPr>
      <w:r>
        <w:rPr>
          <w:rFonts w:hint="eastAsia"/>
          <w:color w:val="231F20"/>
          <w:sz w:val="30"/>
        </w:rPr>
        <w:t>Happily, throughout this period of physical separation, the High King of Heaven will faithfully refresh his pilgrim people on earth with continuing visitations of his Spirit.</w:t>
      </w:r>
    </w:p>
    <w:p w14:paraId="2EB25BA0">
      <w:pPr>
        <w:spacing w:before="8" w:line="249" w:lineRule="auto"/>
        <w:ind w:left="99" w:right="98" w:firstLine="450"/>
        <w:jc w:val="both"/>
        <w:rPr>
          <w:rFonts w:hint="eastAsia"/>
          <w:color w:val="231F20"/>
          <w:sz w:val="30"/>
        </w:rPr>
      </w:pPr>
      <w:r>
        <w:rPr>
          <w:rFonts w:hint="eastAsia"/>
          <w:color w:val="231F20"/>
          <w:sz w:val="30"/>
        </w:rPr>
        <w:t>可喜的是，在这段肉身分离的时期，天上的至高君王将忠实地以祂圣灵的不断临在来更新祂在地上的行路客子民。</w:t>
      </w:r>
    </w:p>
    <w:p w14:paraId="58923686">
      <w:pPr>
        <w:spacing w:before="8" w:line="249" w:lineRule="auto"/>
        <w:ind w:left="99" w:right="98" w:firstLine="450"/>
        <w:jc w:val="both"/>
        <w:rPr>
          <w:rFonts w:hint="eastAsia"/>
          <w:color w:val="231F20"/>
          <w:sz w:val="30"/>
        </w:rPr>
      </w:pPr>
    </w:p>
    <w:p w14:paraId="461DC9EB">
      <w:pPr>
        <w:spacing w:before="8" w:line="249" w:lineRule="auto"/>
        <w:ind w:left="99" w:right="98" w:firstLine="450"/>
        <w:jc w:val="both"/>
        <w:rPr>
          <w:rFonts w:hint="eastAsia"/>
          <w:color w:val="231F20"/>
          <w:sz w:val="30"/>
        </w:rPr>
      </w:pPr>
      <w:r>
        <w:rPr>
          <w:rFonts w:hint="eastAsia"/>
          <w:color w:val="231F20"/>
          <w:sz w:val="30"/>
        </w:rPr>
        <w:t>When, however, the appointed time comes for the restoration of all things—a restoration spoken of by all the OT prophets—God will send him again to the earth.</w:t>
      </w:r>
    </w:p>
    <w:p w14:paraId="6FE36282">
      <w:pPr>
        <w:spacing w:before="8" w:line="249" w:lineRule="auto"/>
        <w:ind w:left="99" w:right="98" w:firstLine="450"/>
        <w:jc w:val="both"/>
        <w:rPr>
          <w:rFonts w:hint="eastAsia"/>
          <w:color w:val="231F20"/>
          <w:sz w:val="30"/>
        </w:rPr>
      </w:pPr>
      <w:r>
        <w:rPr>
          <w:rFonts w:hint="eastAsia"/>
          <w:color w:val="231F20"/>
          <w:sz w:val="30"/>
        </w:rPr>
        <w:t>然而，当指定的万物复兴的时候来到——一个所有旧约先知都曾谈及的复兴——上帝将再次差遣祂到地上。</w:t>
      </w:r>
    </w:p>
    <w:p w14:paraId="512B3EEF">
      <w:pPr>
        <w:spacing w:before="8" w:line="249" w:lineRule="auto"/>
        <w:ind w:left="99" w:right="98" w:firstLine="450"/>
        <w:jc w:val="both"/>
        <w:rPr>
          <w:rFonts w:hint="eastAsia"/>
          <w:color w:val="231F20"/>
          <w:sz w:val="30"/>
        </w:rPr>
      </w:pPr>
    </w:p>
    <w:p w14:paraId="58B601A1">
      <w:pPr>
        <w:spacing w:before="8" w:line="249" w:lineRule="auto"/>
        <w:ind w:left="99" w:right="98" w:firstLine="450"/>
        <w:jc w:val="both"/>
        <w:rPr>
          <w:rFonts w:hint="eastAsia"/>
          <w:color w:val="231F20"/>
          <w:sz w:val="30"/>
        </w:rPr>
      </w:pPr>
      <w:r>
        <w:rPr>
          <w:rFonts w:hint="eastAsia"/>
          <w:color w:val="231F20"/>
          <w:sz w:val="30"/>
        </w:rPr>
        <w:t>Why?</w:t>
      </w:r>
    </w:p>
    <w:p w14:paraId="638B134C">
      <w:pPr>
        <w:spacing w:before="8" w:line="249" w:lineRule="auto"/>
        <w:ind w:left="99" w:right="98" w:firstLine="450"/>
        <w:jc w:val="both"/>
        <w:rPr>
          <w:rFonts w:hint="eastAsia"/>
          <w:color w:val="231F20"/>
          <w:sz w:val="30"/>
        </w:rPr>
      </w:pPr>
      <w:r>
        <w:rPr>
          <w:rFonts w:hint="eastAsia"/>
          <w:color w:val="231F20"/>
          <w:sz w:val="30"/>
        </w:rPr>
        <w:t>为什么？</w:t>
      </w:r>
    </w:p>
    <w:p w14:paraId="3D344EB2">
      <w:pPr>
        <w:spacing w:before="8" w:line="249" w:lineRule="auto"/>
        <w:ind w:left="99" w:right="98" w:firstLine="450"/>
        <w:jc w:val="both"/>
        <w:rPr>
          <w:rFonts w:hint="eastAsia"/>
          <w:color w:val="231F20"/>
          <w:sz w:val="30"/>
        </w:rPr>
      </w:pPr>
    </w:p>
    <w:p w14:paraId="7661EFC9">
      <w:pPr>
        <w:spacing w:before="8" w:line="249" w:lineRule="auto"/>
        <w:ind w:left="99" w:right="98" w:firstLine="450"/>
        <w:jc w:val="both"/>
        <w:rPr>
          <w:rFonts w:hint="eastAsia"/>
          <w:color w:val="231F20"/>
          <w:sz w:val="30"/>
        </w:rPr>
      </w:pPr>
      <w:r>
        <w:rPr>
          <w:rFonts w:hint="eastAsia"/>
          <w:color w:val="231F20"/>
          <w:sz w:val="30"/>
        </w:rPr>
        <w:t>Later on, Peter will give the answer that here he has in mind: so that Christ himself may fulfill the great promise of the Covenant by creating new heavens and a new earth in which righteousness dwells (Isaiah 65:17, 66:22, Acts 1:11, 2 Peter 3:13, Rev. 21:1)!</w:t>
      </w:r>
    </w:p>
    <w:p w14:paraId="19C4E8B6">
      <w:pPr>
        <w:spacing w:before="8" w:line="249" w:lineRule="auto"/>
        <w:ind w:left="99" w:right="98" w:firstLine="450"/>
        <w:jc w:val="both"/>
        <w:rPr>
          <w:rFonts w:hint="eastAsia"/>
          <w:color w:val="231F20"/>
          <w:sz w:val="30"/>
        </w:rPr>
      </w:pPr>
      <w:r>
        <w:rPr>
          <w:rFonts w:hint="eastAsia"/>
          <w:color w:val="231F20"/>
          <w:sz w:val="30"/>
        </w:rPr>
        <w:t>稍后，彼得将给出他在此处心中的答案：以便基督自己可以藉着创造有义居在其中的新天新地，来应验圣约的伟大应许（以赛亚书 65:17, 66:22, 徒 1:11, 彼后 3:13, 启 21:1）！</w:t>
      </w:r>
    </w:p>
    <w:p w14:paraId="47919E03">
      <w:pPr>
        <w:spacing w:before="8" w:line="249" w:lineRule="auto"/>
        <w:ind w:left="99" w:right="98" w:firstLine="450"/>
        <w:jc w:val="both"/>
        <w:rPr>
          <w:rFonts w:hint="eastAsia"/>
          <w:color w:val="231F20"/>
          <w:sz w:val="30"/>
        </w:rPr>
      </w:pPr>
    </w:p>
    <w:p w14:paraId="7DA8EE6A">
      <w:pPr>
        <w:spacing w:before="8" w:line="249" w:lineRule="auto"/>
        <w:ind w:left="99" w:right="98" w:firstLine="450"/>
        <w:jc w:val="both"/>
        <w:rPr>
          <w:rFonts w:hint="eastAsia"/>
          <w:color w:val="231F20"/>
          <w:sz w:val="30"/>
        </w:rPr>
      </w:pPr>
      <w:r>
        <w:rPr>
          <w:rFonts w:hint="eastAsia"/>
          <w:color w:val="231F20"/>
          <w:sz w:val="30"/>
        </w:rPr>
        <w:t>Here, then, is Peter’s eschatology.</w:t>
      </w:r>
    </w:p>
    <w:p w14:paraId="464536F6">
      <w:pPr>
        <w:spacing w:before="8" w:line="249" w:lineRule="auto"/>
        <w:ind w:left="99" w:right="98" w:firstLine="450"/>
        <w:jc w:val="both"/>
        <w:rPr>
          <w:rFonts w:hint="eastAsia"/>
          <w:color w:val="231F20"/>
          <w:sz w:val="30"/>
        </w:rPr>
      </w:pPr>
      <w:r>
        <w:rPr>
          <w:rFonts w:hint="eastAsia"/>
          <w:color w:val="231F20"/>
          <w:sz w:val="30"/>
        </w:rPr>
        <w:t>那么，这就是彼得的末世论。</w:t>
      </w:r>
    </w:p>
    <w:p w14:paraId="7A010B17">
      <w:pPr>
        <w:spacing w:before="8" w:line="249" w:lineRule="auto"/>
        <w:ind w:left="99" w:right="98" w:firstLine="450"/>
        <w:jc w:val="both"/>
        <w:rPr>
          <w:rFonts w:hint="eastAsia"/>
          <w:color w:val="231F20"/>
          <w:sz w:val="30"/>
        </w:rPr>
      </w:pPr>
    </w:p>
    <w:p w14:paraId="7A0AE9F5">
      <w:pPr>
        <w:spacing w:before="8" w:line="249" w:lineRule="auto"/>
        <w:ind w:left="99" w:right="98" w:firstLine="450"/>
        <w:jc w:val="both"/>
        <w:rPr>
          <w:rFonts w:hint="eastAsia"/>
          <w:color w:val="231F20"/>
          <w:sz w:val="30"/>
        </w:rPr>
      </w:pPr>
      <w:r>
        <w:rPr>
          <w:rFonts w:hint="eastAsia"/>
          <w:color w:val="231F20"/>
          <w:sz w:val="30"/>
        </w:rPr>
        <w:t>Though in need of further fleshing out, it is quite clear and completely in line with his Master’s: The one Kingdom of God comes in two stages—a heavenly and an earthly—with the two being separated by a single Consummation at Christ’s coming again, when he will finally judge, redeem, rescue, and restore all things (1 Peter 1:3-9, 4:7, 2 Peter 3).</w:t>
      </w:r>
    </w:p>
    <w:p w14:paraId="765B4972">
      <w:pPr>
        <w:spacing w:before="8" w:line="249" w:lineRule="auto"/>
        <w:ind w:left="99" w:right="98" w:firstLine="450"/>
        <w:jc w:val="both"/>
        <w:rPr>
          <w:rFonts w:hint="eastAsia"/>
          <w:color w:val="231F20"/>
          <w:sz w:val="30"/>
        </w:rPr>
      </w:pPr>
      <w:r>
        <w:rPr>
          <w:rFonts w:hint="eastAsia"/>
          <w:color w:val="231F20"/>
          <w:sz w:val="30"/>
        </w:rPr>
        <w:t>尽管需要进一步充实，但它相当清楚，并且与他夫子的教导完全一致：独一的上帝之国分两个阶段降临——一个属天的和一个属地的——两者由基督再来时的一次性最终成全所分隔，那时祂将最终审判、救赎、拯救和恢复万物（彼前 1:3-9, 4:7, 彼后 3）。</w:t>
      </w:r>
    </w:p>
    <w:p w14:paraId="36711A5F">
      <w:pPr>
        <w:spacing w:before="8" w:line="249" w:lineRule="auto"/>
        <w:ind w:left="99" w:right="98" w:firstLine="450"/>
        <w:jc w:val="both"/>
        <w:rPr>
          <w:rFonts w:hint="eastAsia"/>
          <w:color w:val="231F20"/>
          <w:sz w:val="30"/>
        </w:rPr>
      </w:pPr>
    </w:p>
    <w:p w14:paraId="1042D3F5">
      <w:pPr>
        <w:spacing w:before="8" w:line="249" w:lineRule="auto"/>
        <w:ind w:left="99" w:right="98" w:firstLine="450"/>
        <w:jc w:val="both"/>
        <w:rPr>
          <w:rFonts w:hint="eastAsia"/>
          <w:color w:val="231F20"/>
          <w:sz w:val="30"/>
        </w:rPr>
      </w:pPr>
      <w:r>
        <w:rPr>
          <w:rFonts w:hint="eastAsia"/>
          <w:color w:val="231F20"/>
          <w:sz w:val="30"/>
        </w:rPr>
        <w:t>The remainder of the sermon contains two or three further points of eschatological interest.</w:t>
      </w:r>
    </w:p>
    <w:p w14:paraId="3CD1A377">
      <w:pPr>
        <w:spacing w:before="8" w:line="249" w:lineRule="auto"/>
        <w:ind w:left="99" w:right="98" w:firstLine="450"/>
        <w:jc w:val="both"/>
        <w:rPr>
          <w:rFonts w:hint="eastAsia"/>
          <w:color w:val="231F20"/>
          <w:sz w:val="30"/>
        </w:rPr>
      </w:pPr>
      <w:r>
        <w:rPr>
          <w:rFonts w:hint="eastAsia"/>
          <w:color w:val="231F20"/>
          <w:sz w:val="30"/>
        </w:rPr>
        <w:t>讲道的其余部分包含了另外两三个具有末世论意义的要点。</w:t>
      </w:r>
    </w:p>
    <w:p w14:paraId="780F3754">
      <w:pPr>
        <w:spacing w:before="8" w:line="249" w:lineRule="auto"/>
        <w:ind w:left="99" w:right="98" w:firstLine="450"/>
        <w:jc w:val="both"/>
        <w:rPr>
          <w:rFonts w:hint="eastAsia"/>
          <w:color w:val="231F20"/>
          <w:sz w:val="30"/>
        </w:rPr>
      </w:pPr>
    </w:p>
    <w:p w14:paraId="746B4CC9">
      <w:pPr>
        <w:spacing w:before="8" w:line="249" w:lineRule="auto"/>
        <w:ind w:left="99" w:right="98" w:firstLine="450"/>
        <w:jc w:val="both"/>
        <w:rPr>
          <w:rFonts w:hint="eastAsia"/>
          <w:color w:val="231F20"/>
          <w:sz w:val="30"/>
        </w:rPr>
      </w:pPr>
      <w:r>
        <w:rPr>
          <w:rFonts w:hint="eastAsia"/>
          <w:color w:val="231F20"/>
          <w:sz w:val="30"/>
        </w:rPr>
        <w:t>In verses 22-23, Peter identifies Jesus as the (eschatological) Prophet promised by Moses of old (Deut. 18:15).</w:t>
      </w:r>
    </w:p>
    <w:p w14:paraId="3D3F897E">
      <w:pPr>
        <w:spacing w:before="8" w:line="249" w:lineRule="auto"/>
        <w:ind w:left="99" w:right="98" w:firstLine="450"/>
        <w:jc w:val="both"/>
        <w:rPr>
          <w:rFonts w:hint="eastAsia"/>
          <w:color w:val="231F20"/>
          <w:sz w:val="30"/>
        </w:rPr>
      </w:pPr>
      <w:r>
        <w:rPr>
          <w:rFonts w:hint="eastAsia"/>
          <w:color w:val="231F20"/>
          <w:sz w:val="30"/>
        </w:rPr>
        <w:t>在第22-23节中，彼得将耶稣确定为古时摩西所应许的（末世的）先知（申 18:15）。</w:t>
      </w:r>
    </w:p>
    <w:p w14:paraId="2BA04887">
      <w:pPr>
        <w:spacing w:before="8" w:line="249" w:lineRule="auto"/>
        <w:ind w:left="99" w:right="98" w:firstLine="450"/>
        <w:jc w:val="both"/>
        <w:rPr>
          <w:rFonts w:hint="eastAsia"/>
          <w:color w:val="231F20"/>
          <w:sz w:val="30"/>
        </w:rPr>
      </w:pPr>
    </w:p>
    <w:p w14:paraId="10274170">
      <w:pPr>
        <w:spacing w:before="8" w:line="249" w:lineRule="auto"/>
        <w:ind w:left="99" w:right="98" w:firstLine="450"/>
        <w:jc w:val="both"/>
        <w:rPr>
          <w:rFonts w:hint="eastAsia"/>
          <w:color w:val="231F20"/>
          <w:sz w:val="30"/>
        </w:rPr>
      </w:pPr>
      <w:r>
        <w:rPr>
          <w:rFonts w:hint="eastAsia"/>
          <w:color w:val="231F20"/>
          <w:sz w:val="30"/>
        </w:rPr>
        <w:t>His point is that the entire OT prophetic institution finds its fulfillment in Christ, the Messianic Prophet of whom all former prophets were mere types and precursors.</w:t>
      </w:r>
    </w:p>
    <w:p w14:paraId="652BD8F7">
      <w:pPr>
        <w:spacing w:before="8" w:line="249" w:lineRule="auto"/>
        <w:ind w:left="99" w:right="98" w:firstLine="450"/>
        <w:jc w:val="both"/>
        <w:rPr>
          <w:rFonts w:hint="eastAsia"/>
          <w:color w:val="231F20"/>
          <w:sz w:val="30"/>
        </w:rPr>
      </w:pPr>
      <w:r>
        <w:rPr>
          <w:rFonts w:hint="eastAsia"/>
          <w:color w:val="231F20"/>
          <w:sz w:val="30"/>
        </w:rPr>
        <w:t>他的观点是，整个旧约的先知制度在基督里找到了它的成全，基督是弥赛亚的先知，所有以前的先知不过是祂的预表和先驱。</w:t>
      </w:r>
    </w:p>
    <w:p w14:paraId="54F860FB">
      <w:pPr>
        <w:spacing w:before="8" w:line="249" w:lineRule="auto"/>
        <w:ind w:left="99" w:right="98" w:firstLine="450"/>
        <w:jc w:val="both"/>
        <w:rPr>
          <w:rFonts w:hint="eastAsia"/>
          <w:color w:val="231F20"/>
          <w:sz w:val="30"/>
        </w:rPr>
      </w:pPr>
    </w:p>
    <w:p w14:paraId="72B3CFAE">
      <w:pPr>
        <w:spacing w:before="8" w:line="249" w:lineRule="auto"/>
        <w:ind w:left="99" w:right="98" w:firstLine="450"/>
        <w:jc w:val="both"/>
        <w:rPr>
          <w:rFonts w:hint="eastAsia"/>
          <w:color w:val="231F20"/>
          <w:sz w:val="30"/>
        </w:rPr>
      </w:pPr>
      <w:r>
        <w:rPr>
          <w:rFonts w:hint="eastAsia"/>
          <w:color w:val="231F20"/>
          <w:sz w:val="30"/>
        </w:rPr>
        <w:t>Very importantly, this Prophet is speaking right now, from heaven, through the Church, admonishing all men everywhere to repent, believe, and turn to him.</w:t>
      </w:r>
    </w:p>
    <w:p w14:paraId="79555A7A">
      <w:pPr>
        <w:spacing w:before="8" w:line="249" w:lineRule="auto"/>
        <w:ind w:left="99" w:right="98" w:firstLine="450"/>
        <w:jc w:val="both"/>
        <w:rPr>
          <w:rFonts w:hint="eastAsia"/>
          <w:color w:val="231F20"/>
          <w:sz w:val="30"/>
        </w:rPr>
      </w:pPr>
      <w:r>
        <w:rPr>
          <w:rFonts w:hint="eastAsia"/>
          <w:color w:val="231F20"/>
          <w:sz w:val="30"/>
        </w:rPr>
        <w:t>非常重要的是，这位先知现在正从天上，通过教会说话，劝诫各处所有的人悔改、相信并归向祂。</w:t>
      </w:r>
    </w:p>
    <w:p w14:paraId="7CCB0AF5">
      <w:pPr>
        <w:spacing w:before="8" w:line="249" w:lineRule="auto"/>
        <w:ind w:left="99" w:right="98" w:firstLine="450"/>
        <w:jc w:val="both"/>
        <w:rPr>
          <w:rFonts w:hint="eastAsia"/>
          <w:color w:val="231F20"/>
          <w:sz w:val="30"/>
        </w:rPr>
      </w:pPr>
    </w:p>
    <w:p w14:paraId="6A4FBC5C">
      <w:pPr>
        <w:spacing w:before="8" w:line="249" w:lineRule="auto"/>
        <w:ind w:left="99" w:right="98" w:firstLine="450"/>
        <w:jc w:val="both"/>
        <w:rPr>
          <w:rFonts w:hint="eastAsia"/>
          <w:color w:val="231F20"/>
          <w:sz w:val="30"/>
        </w:rPr>
      </w:pPr>
      <w:r>
        <w:rPr>
          <w:rFonts w:hint="eastAsia"/>
          <w:color w:val="231F20"/>
          <w:sz w:val="30"/>
        </w:rPr>
        <w:t>In other words, the High King of heaven is also the High Prophet of heaven, preaching his Gospel to all nations, and urging all to hear him, lest, at the Judgment, they should be “destroyed from among the people” (3:23).</w:t>
      </w:r>
    </w:p>
    <w:p w14:paraId="4CC1C78E">
      <w:pPr>
        <w:spacing w:before="8" w:line="249" w:lineRule="auto"/>
        <w:ind w:left="99" w:right="98" w:firstLine="450"/>
        <w:jc w:val="both"/>
        <w:rPr>
          <w:rFonts w:hint="eastAsia"/>
          <w:color w:val="231F20"/>
          <w:sz w:val="30"/>
        </w:rPr>
      </w:pPr>
      <w:r>
        <w:rPr>
          <w:rFonts w:hint="eastAsia"/>
          <w:color w:val="231F20"/>
          <w:sz w:val="30"/>
        </w:rPr>
        <w:t>换句话说，天上的至高君王也是天上的至高先知，向万国传讲祂的福音，并敦促所有人都听从祂，免得在审判时，他们被“从民中全然灭绝”（3:23）。</w:t>
      </w:r>
    </w:p>
    <w:p w14:paraId="0EC061C5">
      <w:pPr>
        <w:spacing w:before="8" w:line="249" w:lineRule="auto"/>
        <w:ind w:left="99" w:right="98" w:firstLine="450"/>
        <w:jc w:val="both"/>
        <w:rPr>
          <w:rFonts w:hint="eastAsia"/>
          <w:color w:val="231F20"/>
          <w:sz w:val="30"/>
        </w:rPr>
      </w:pPr>
    </w:p>
    <w:p w14:paraId="52A622C1">
      <w:pPr>
        <w:spacing w:before="8" w:line="249" w:lineRule="auto"/>
        <w:ind w:left="99" w:right="98" w:firstLine="450"/>
        <w:jc w:val="both"/>
        <w:rPr>
          <w:rFonts w:hint="eastAsia"/>
          <w:color w:val="231F20"/>
          <w:sz w:val="30"/>
        </w:rPr>
      </w:pPr>
      <w:r>
        <w:rPr>
          <w:rFonts w:hint="eastAsia"/>
          <w:color w:val="231F20"/>
          <w:sz w:val="30"/>
        </w:rPr>
        <w:t>Also, observe in verse 24 Peter’s confidence that all the prophets, from Samuel onwards, “foretold these days.”</w:t>
      </w:r>
    </w:p>
    <w:p w14:paraId="46DEB59A">
      <w:pPr>
        <w:spacing w:before="8" w:line="249" w:lineRule="auto"/>
        <w:ind w:left="99" w:right="98" w:firstLine="450"/>
        <w:jc w:val="both"/>
        <w:rPr>
          <w:rFonts w:hint="eastAsia"/>
          <w:color w:val="231F20"/>
          <w:sz w:val="30"/>
        </w:rPr>
      </w:pPr>
      <w:r>
        <w:rPr>
          <w:rFonts w:hint="eastAsia"/>
          <w:color w:val="231F20"/>
          <w:sz w:val="30"/>
        </w:rPr>
        <w:t>此外，请在第24节中观察彼得的信心，即所有从撒母耳以来的先知，“都预言了这些日子”。</w:t>
      </w:r>
    </w:p>
    <w:p w14:paraId="6D742A7E">
      <w:pPr>
        <w:spacing w:before="8" w:line="249" w:lineRule="auto"/>
        <w:ind w:left="99" w:right="98" w:firstLine="450"/>
        <w:jc w:val="both"/>
        <w:rPr>
          <w:rFonts w:hint="eastAsia"/>
          <w:color w:val="231F20"/>
          <w:sz w:val="30"/>
        </w:rPr>
      </w:pPr>
    </w:p>
    <w:p w14:paraId="0E17C8DF">
      <w:pPr>
        <w:spacing w:before="8" w:line="249" w:lineRule="auto"/>
        <w:ind w:left="99" w:right="98" w:firstLine="450"/>
        <w:jc w:val="both"/>
        <w:rPr>
          <w:rFonts w:hint="eastAsia"/>
          <w:color w:val="231F20"/>
          <w:sz w:val="30"/>
        </w:rPr>
      </w:pPr>
      <w:r>
        <w:rPr>
          <w:rFonts w:hint="eastAsia"/>
          <w:color w:val="231F20"/>
          <w:sz w:val="30"/>
        </w:rPr>
        <w:t>What days?</w:t>
      </w:r>
    </w:p>
    <w:p w14:paraId="0C3B5BAE">
      <w:pPr>
        <w:spacing w:before="8" w:line="249" w:lineRule="auto"/>
        <w:ind w:left="99" w:right="98" w:firstLine="450"/>
        <w:jc w:val="both"/>
        <w:rPr>
          <w:rFonts w:hint="eastAsia"/>
          <w:color w:val="231F20"/>
          <w:sz w:val="30"/>
        </w:rPr>
      </w:pPr>
      <w:r>
        <w:rPr>
          <w:rFonts w:hint="eastAsia"/>
          <w:color w:val="231F20"/>
          <w:sz w:val="30"/>
        </w:rPr>
        <w:t>什么日子？</w:t>
      </w:r>
    </w:p>
    <w:p w14:paraId="3DA5C63D">
      <w:pPr>
        <w:spacing w:before="8" w:line="249" w:lineRule="auto"/>
        <w:ind w:left="99" w:right="98" w:firstLine="450"/>
        <w:jc w:val="both"/>
        <w:rPr>
          <w:rFonts w:hint="eastAsia"/>
          <w:color w:val="231F20"/>
          <w:sz w:val="30"/>
        </w:rPr>
      </w:pPr>
    </w:p>
    <w:p w14:paraId="2BCFB35D">
      <w:pPr>
        <w:spacing w:before="8" w:line="249" w:lineRule="auto"/>
        <w:ind w:left="99" w:right="98" w:firstLine="450"/>
        <w:jc w:val="both"/>
        <w:rPr>
          <w:rFonts w:hint="eastAsia"/>
          <w:color w:val="231F20"/>
          <w:sz w:val="30"/>
        </w:rPr>
      </w:pPr>
      <w:r>
        <w:rPr>
          <w:rFonts w:hint="eastAsia"/>
          <w:color w:val="231F20"/>
          <w:sz w:val="30"/>
        </w:rPr>
        <w:t>The days of the High King of heaven; the days of the Messiah’s heavenly reign; and the days with which he will bring it to a close at his coming again.</w:t>
      </w:r>
    </w:p>
    <w:p w14:paraId="76424E08">
      <w:pPr>
        <w:spacing w:before="8" w:line="249" w:lineRule="auto"/>
        <w:ind w:left="99" w:right="98" w:firstLine="450"/>
        <w:jc w:val="both"/>
        <w:rPr>
          <w:rFonts w:hint="eastAsia"/>
          <w:color w:val="231F20"/>
          <w:sz w:val="30"/>
        </w:rPr>
      </w:pPr>
      <w:r>
        <w:rPr>
          <w:rFonts w:hint="eastAsia"/>
          <w:color w:val="231F20"/>
          <w:sz w:val="30"/>
        </w:rPr>
        <w:t>天上至高君王的日子；弥赛亚属天统治的日子；以及祂再来时将要结束这些日子的日子。</w:t>
      </w:r>
    </w:p>
    <w:p w14:paraId="66BABB7B">
      <w:pPr>
        <w:spacing w:before="8" w:line="249" w:lineRule="auto"/>
        <w:ind w:left="99" w:right="98" w:firstLine="450"/>
        <w:jc w:val="both"/>
        <w:rPr>
          <w:rFonts w:hint="eastAsia"/>
          <w:color w:val="231F20"/>
          <w:sz w:val="30"/>
        </w:rPr>
      </w:pPr>
    </w:p>
    <w:p w14:paraId="615515FC">
      <w:pPr>
        <w:spacing w:before="8" w:line="249" w:lineRule="auto"/>
        <w:ind w:left="99" w:right="98" w:firstLine="450"/>
        <w:jc w:val="both"/>
        <w:rPr>
          <w:rFonts w:hint="eastAsia"/>
          <w:color w:val="231F20"/>
          <w:sz w:val="30"/>
        </w:rPr>
      </w:pPr>
      <w:r>
        <w:rPr>
          <w:rFonts w:hint="eastAsia"/>
          <w:color w:val="231F20"/>
          <w:sz w:val="30"/>
        </w:rPr>
        <w:t>This point cannot be overemphasized.</w:t>
      </w:r>
    </w:p>
    <w:p w14:paraId="5AE3A34D">
      <w:pPr>
        <w:spacing w:before="8" w:line="249" w:lineRule="auto"/>
        <w:ind w:left="99" w:right="98" w:firstLine="450"/>
        <w:jc w:val="both"/>
        <w:rPr>
          <w:rFonts w:hint="eastAsia"/>
          <w:color w:val="231F20"/>
          <w:sz w:val="30"/>
        </w:rPr>
      </w:pPr>
      <w:r>
        <w:rPr>
          <w:rFonts w:hint="eastAsia"/>
          <w:color w:val="231F20"/>
          <w:sz w:val="30"/>
        </w:rPr>
        <w:t>这一点怎么强调都不过分。</w:t>
      </w:r>
    </w:p>
    <w:p w14:paraId="2D15786A">
      <w:pPr>
        <w:spacing w:before="8" w:line="249" w:lineRule="auto"/>
        <w:ind w:left="99" w:right="98" w:firstLine="450"/>
        <w:jc w:val="both"/>
        <w:rPr>
          <w:rFonts w:hint="eastAsia"/>
          <w:color w:val="231F20"/>
          <w:sz w:val="30"/>
        </w:rPr>
      </w:pPr>
    </w:p>
    <w:p w14:paraId="126CB4A7">
      <w:pPr>
        <w:spacing w:before="8" w:line="249" w:lineRule="auto"/>
        <w:ind w:left="99" w:right="98" w:firstLine="450"/>
        <w:jc w:val="both"/>
        <w:rPr>
          <w:rFonts w:hint="eastAsia"/>
          <w:color w:val="231F20"/>
          <w:sz w:val="30"/>
        </w:rPr>
      </w:pPr>
      <w:r>
        <w:rPr>
          <w:rFonts w:hint="eastAsia"/>
          <w:color w:val="231F20"/>
          <w:sz w:val="30"/>
        </w:rPr>
        <w:t>As for Peter, so for all the writing apostles: The sphere of fulfillment of all OTKP is the twofold Kingdom of God: the Kingdom of the Son, followed by he Kingdom of the Father; the Era of Proclamation and Probation, followed by the Era of Eternal Reward and Retribution.</w:t>
      </w:r>
    </w:p>
    <w:p w14:paraId="6D78F73E">
      <w:pPr>
        <w:spacing w:before="8" w:line="249" w:lineRule="auto"/>
        <w:ind w:left="99" w:right="98" w:firstLine="450"/>
        <w:jc w:val="both"/>
        <w:rPr>
          <w:rFonts w:hint="eastAsia"/>
          <w:color w:val="231F20"/>
          <w:sz w:val="30"/>
        </w:rPr>
      </w:pPr>
      <w:r>
        <w:rPr>
          <w:rFonts w:hint="eastAsia"/>
          <w:color w:val="231F20"/>
          <w:sz w:val="30"/>
        </w:rPr>
        <w:t>对彼得如此，对所有写作的使徒们也是如此：所有旧约国度预言（OTKP）的应验领域是双重的上帝之国：圣子之国，随后是父之国；宣讲与察验的时代，随后是永恒赏赐与报应的时代。</w:t>
      </w:r>
    </w:p>
    <w:p w14:paraId="53AA702E">
      <w:pPr>
        <w:spacing w:before="8" w:line="249" w:lineRule="auto"/>
        <w:ind w:left="99" w:right="98" w:firstLine="450"/>
        <w:jc w:val="both"/>
        <w:rPr>
          <w:rFonts w:hint="eastAsia"/>
          <w:color w:val="231F20"/>
          <w:sz w:val="30"/>
        </w:rPr>
      </w:pPr>
    </w:p>
    <w:p w14:paraId="5EDEC1CE">
      <w:pPr>
        <w:spacing w:before="8" w:line="249" w:lineRule="auto"/>
        <w:ind w:left="99" w:right="98" w:firstLine="450"/>
        <w:jc w:val="both"/>
        <w:rPr>
          <w:rFonts w:hint="eastAsia"/>
          <w:color w:val="231F20"/>
          <w:sz w:val="30"/>
        </w:rPr>
      </w:pPr>
      <w:r>
        <w:rPr>
          <w:rFonts w:hint="eastAsia"/>
          <w:color w:val="231F20"/>
          <w:sz w:val="30"/>
        </w:rPr>
        <w:t>Most assuredly, therefore, the OT prophets do not anticipate an ideal Mosaic theocracy in a future Millennium.</w:t>
      </w:r>
    </w:p>
    <w:p w14:paraId="664F4847">
      <w:pPr>
        <w:spacing w:before="8" w:line="249" w:lineRule="auto"/>
        <w:ind w:left="99" w:right="98" w:firstLine="450"/>
        <w:jc w:val="both"/>
        <w:rPr>
          <w:rFonts w:hint="eastAsia"/>
          <w:color w:val="231F20"/>
          <w:sz w:val="30"/>
        </w:rPr>
      </w:pPr>
      <w:r>
        <w:rPr>
          <w:rFonts w:hint="eastAsia"/>
          <w:color w:val="231F20"/>
          <w:sz w:val="30"/>
        </w:rPr>
        <w:t>因此，可以肯定地说，旧约先知们并未预见在未来的千禧年中会有一个理想的摩西式神权政体。</w:t>
      </w:r>
    </w:p>
    <w:p w14:paraId="3E8DDFA4">
      <w:pPr>
        <w:spacing w:before="8" w:line="249" w:lineRule="auto"/>
        <w:ind w:left="99" w:right="98" w:firstLine="450"/>
        <w:jc w:val="both"/>
        <w:rPr>
          <w:rFonts w:hint="eastAsia"/>
          <w:color w:val="231F20"/>
          <w:sz w:val="30"/>
        </w:rPr>
      </w:pPr>
    </w:p>
    <w:p w14:paraId="6501FEE7">
      <w:pPr>
        <w:spacing w:before="8" w:line="249" w:lineRule="auto"/>
        <w:ind w:left="99" w:right="98" w:firstLine="450"/>
        <w:jc w:val="both"/>
        <w:rPr>
          <w:rFonts w:hint="eastAsia"/>
          <w:color w:val="231F20"/>
          <w:sz w:val="30"/>
        </w:rPr>
      </w:pPr>
      <w:r>
        <w:rPr>
          <w:rFonts w:hint="eastAsia"/>
          <w:color w:val="231F20"/>
          <w:sz w:val="30"/>
        </w:rPr>
        <w:t>Finally, we note again from verses 25-26 that the subjects of Christ’s Kingdom are not Jews only, but Jews and Gentiles.</w:t>
      </w:r>
    </w:p>
    <w:p w14:paraId="0F7FACE0">
      <w:pPr>
        <w:spacing w:before="8" w:line="249" w:lineRule="auto"/>
        <w:ind w:left="99" w:right="98" w:firstLine="450"/>
        <w:jc w:val="both"/>
        <w:rPr>
          <w:rFonts w:hint="eastAsia"/>
          <w:color w:val="231F20"/>
          <w:sz w:val="30"/>
        </w:rPr>
      </w:pPr>
      <w:r>
        <w:rPr>
          <w:rFonts w:hint="eastAsia"/>
          <w:color w:val="231F20"/>
          <w:sz w:val="30"/>
        </w:rPr>
        <w:t>最后，我们再次从第25-26节注意到，基督国度的子民不仅是犹太人，也包括犹太人和外邦人。</w:t>
      </w:r>
    </w:p>
    <w:p w14:paraId="17BBB4A2">
      <w:pPr>
        <w:spacing w:before="8" w:line="249" w:lineRule="auto"/>
        <w:ind w:left="99" w:right="98" w:firstLine="450"/>
        <w:jc w:val="both"/>
        <w:rPr>
          <w:rFonts w:hint="eastAsia"/>
          <w:color w:val="231F20"/>
          <w:sz w:val="30"/>
        </w:rPr>
      </w:pPr>
    </w:p>
    <w:p w14:paraId="003ECEF5">
      <w:pPr>
        <w:spacing w:before="8" w:line="249" w:lineRule="auto"/>
        <w:ind w:left="99" w:right="98" w:firstLine="450"/>
        <w:jc w:val="both"/>
        <w:rPr>
          <w:rFonts w:hint="eastAsia"/>
          <w:color w:val="231F20"/>
          <w:sz w:val="30"/>
        </w:rPr>
      </w:pPr>
      <w:r>
        <w:rPr>
          <w:rFonts w:hint="eastAsia"/>
          <w:color w:val="231F20"/>
          <w:sz w:val="30"/>
        </w:rPr>
        <w:t>Yes, God sent Jesus to the Jews first, for the Jews a great privilege and a great responsibility (v. 26, Mt. 10:5-6, 15:24, Rom. 1:16).</w:t>
      </w:r>
    </w:p>
    <w:p w14:paraId="174FD5CB">
      <w:pPr>
        <w:spacing w:before="8" w:line="249" w:lineRule="auto"/>
        <w:ind w:left="99" w:right="98" w:firstLine="450"/>
        <w:jc w:val="both"/>
        <w:rPr>
          <w:rFonts w:hint="eastAsia"/>
          <w:color w:val="231F20"/>
          <w:sz w:val="30"/>
        </w:rPr>
      </w:pPr>
      <w:r>
        <w:rPr>
          <w:rFonts w:hint="eastAsia"/>
          <w:color w:val="231F20"/>
          <w:sz w:val="30"/>
        </w:rPr>
        <w:t>是的，上帝先差遣耶稣到犹太人那里，这对犹太人来说是一个极大的特权和极大的责任（26节, 太 10:5-6, 15:24, 罗 1:16）。</w:t>
      </w:r>
    </w:p>
    <w:p w14:paraId="676C85B8">
      <w:pPr>
        <w:spacing w:before="8" w:line="249" w:lineRule="auto"/>
        <w:ind w:left="99" w:right="98" w:firstLine="450"/>
        <w:jc w:val="both"/>
        <w:rPr>
          <w:rFonts w:hint="eastAsia"/>
          <w:color w:val="231F20"/>
          <w:sz w:val="30"/>
        </w:rPr>
      </w:pPr>
    </w:p>
    <w:p w14:paraId="5710AC96">
      <w:pPr>
        <w:spacing w:before="8" w:line="249" w:lineRule="auto"/>
        <w:ind w:left="99" w:right="98" w:firstLine="450"/>
        <w:jc w:val="both"/>
        <w:rPr>
          <w:rFonts w:hint="eastAsia"/>
          <w:color w:val="231F20"/>
          <w:sz w:val="30"/>
        </w:rPr>
      </w:pPr>
      <w:r>
        <w:rPr>
          <w:rFonts w:hint="eastAsia"/>
          <w:color w:val="231F20"/>
          <w:sz w:val="30"/>
        </w:rPr>
        <w:t>But from the very beginning he purposed and planned that in Abraham all the families of the earth should be blessed (v. 25, Gen. 22:18, 26:4, 28:140).</w:t>
      </w:r>
    </w:p>
    <w:p w14:paraId="36DF154C">
      <w:pPr>
        <w:spacing w:before="8" w:line="249" w:lineRule="auto"/>
        <w:ind w:left="99" w:right="98" w:firstLine="450"/>
        <w:jc w:val="both"/>
        <w:rPr>
          <w:rFonts w:hint="eastAsia"/>
          <w:color w:val="231F20"/>
          <w:sz w:val="30"/>
        </w:rPr>
      </w:pPr>
      <w:r>
        <w:rPr>
          <w:rFonts w:hint="eastAsia"/>
          <w:color w:val="231F20"/>
          <w:sz w:val="30"/>
        </w:rPr>
        <w:t>但从一开始，祂就定意并计划，在亚伯拉罕里，地上的万族都要得福（25节, 创 22:18, 26:4, 28:140）。</w:t>
      </w:r>
    </w:p>
    <w:p w14:paraId="5316FBC9">
      <w:pPr>
        <w:spacing w:before="8" w:line="249" w:lineRule="auto"/>
        <w:ind w:left="99" w:right="98" w:firstLine="450"/>
        <w:jc w:val="both"/>
        <w:rPr>
          <w:rFonts w:hint="eastAsia"/>
          <w:color w:val="231F20"/>
          <w:sz w:val="30"/>
        </w:rPr>
      </w:pPr>
    </w:p>
    <w:p w14:paraId="31E882CD">
      <w:pPr>
        <w:spacing w:before="8" w:line="249" w:lineRule="auto"/>
        <w:ind w:left="99" w:right="98" w:firstLine="450"/>
        <w:jc w:val="both"/>
        <w:rPr>
          <w:rFonts w:hint="eastAsia"/>
          <w:color w:val="231F20"/>
          <w:sz w:val="30"/>
        </w:rPr>
      </w:pPr>
      <w:r>
        <w:rPr>
          <w:rFonts w:hint="eastAsia"/>
          <w:color w:val="231F20"/>
          <w:sz w:val="30"/>
        </w:rPr>
        <w:t>Soon, Peter himself will watch them come to the Messiah (Acts 8, 10-11).</w:t>
      </w:r>
    </w:p>
    <w:p w14:paraId="080D371B">
      <w:pPr>
        <w:spacing w:before="8" w:line="249" w:lineRule="auto"/>
        <w:ind w:left="99" w:right="98" w:firstLine="450"/>
        <w:jc w:val="both"/>
        <w:rPr>
          <w:rFonts w:hint="eastAsia"/>
          <w:color w:val="231F20"/>
          <w:sz w:val="30"/>
        </w:rPr>
      </w:pPr>
      <w:r>
        <w:rPr>
          <w:rFonts w:hint="eastAsia"/>
          <w:color w:val="231F20"/>
          <w:sz w:val="30"/>
        </w:rPr>
        <w:t>不久，彼得自己将看到他们来到弥赛亚面前（徒 8, 10-11）。</w:t>
      </w:r>
    </w:p>
    <w:p w14:paraId="0D7140B1">
      <w:pPr>
        <w:spacing w:before="8" w:line="249" w:lineRule="auto"/>
        <w:ind w:left="99" w:right="98" w:firstLine="450"/>
        <w:jc w:val="both"/>
        <w:rPr>
          <w:rFonts w:hint="eastAsia"/>
          <w:color w:val="231F20"/>
          <w:sz w:val="30"/>
        </w:rPr>
      </w:pPr>
    </w:p>
    <w:p w14:paraId="638C3B77">
      <w:pPr>
        <w:spacing w:before="8" w:line="249" w:lineRule="auto"/>
        <w:ind w:left="99" w:right="98" w:firstLine="450"/>
        <w:jc w:val="both"/>
        <w:rPr>
          <w:rFonts w:hint="eastAsia"/>
          <w:color w:val="231F20"/>
          <w:sz w:val="30"/>
        </w:rPr>
      </w:pPr>
      <w:r>
        <w:rPr>
          <w:rFonts w:hint="eastAsia"/>
          <w:color w:val="231F20"/>
          <w:sz w:val="30"/>
        </w:rPr>
        <w:t>Indeed, soon he himself will be speaking of them as a chosen generation, a royal priesthood, a holy nation, and God’s own special people (1 Peter 2:10).</w:t>
      </w:r>
    </w:p>
    <w:p w14:paraId="66B1FF0D">
      <w:pPr>
        <w:spacing w:before="8" w:line="249" w:lineRule="auto"/>
        <w:ind w:left="99" w:right="98" w:firstLine="450"/>
        <w:jc w:val="both"/>
        <w:rPr>
          <w:rFonts w:hint="eastAsia"/>
          <w:color w:val="231F20"/>
          <w:sz w:val="30"/>
        </w:rPr>
      </w:pPr>
      <w:r>
        <w:rPr>
          <w:rFonts w:hint="eastAsia"/>
          <w:color w:val="231F20"/>
          <w:sz w:val="30"/>
        </w:rPr>
        <w:t>事实上，不久他自己将称他们为被拣选的族类，是有君尊的祭司，是圣洁的国度，是属上帝的子民（彼前 2:10）。</w:t>
      </w:r>
    </w:p>
    <w:p w14:paraId="44BCF2A4">
      <w:pPr>
        <w:spacing w:before="8" w:line="249" w:lineRule="auto"/>
        <w:ind w:left="99" w:right="98" w:firstLine="450"/>
        <w:jc w:val="both"/>
        <w:rPr>
          <w:rFonts w:hint="eastAsia"/>
          <w:color w:val="231F20"/>
          <w:sz w:val="30"/>
        </w:rPr>
      </w:pPr>
    </w:p>
    <w:p w14:paraId="07A186F2">
      <w:pPr>
        <w:spacing w:before="8" w:line="249" w:lineRule="auto"/>
        <w:ind w:left="99" w:right="98" w:firstLine="450"/>
        <w:jc w:val="both"/>
        <w:rPr>
          <w:rFonts w:hint="eastAsia"/>
          <w:color w:val="231F20"/>
          <w:sz w:val="30"/>
        </w:rPr>
      </w:pPr>
      <w:r>
        <w:rPr>
          <w:rFonts w:hint="eastAsia"/>
          <w:color w:val="231F20"/>
          <w:sz w:val="30"/>
        </w:rPr>
        <w:t>Dwelling as they do beneath the benevolent rule of David’s Greater Son, they—along with their elect Jewish brethren—constitute the very Israel of God (Gal. 6:16).</w:t>
      </w:r>
    </w:p>
    <w:p w14:paraId="4C7EEE1A">
      <w:pPr>
        <w:spacing w:before="8" w:line="249" w:lineRule="auto"/>
        <w:ind w:left="99" w:right="98" w:firstLine="450"/>
        <w:jc w:val="both"/>
        <w:rPr>
          <w:rFonts w:hint="eastAsia"/>
          <w:color w:val="231F20"/>
          <w:sz w:val="30"/>
        </w:rPr>
      </w:pPr>
      <w:r>
        <w:rPr>
          <w:rFonts w:hint="eastAsia"/>
          <w:color w:val="231F20"/>
          <w:sz w:val="30"/>
        </w:rPr>
        <w:t>他们与他们蒙拣选的犹太弟兄们一同居住在大卫更伟大子孙的仁慈统治之下，构成了真正的上帝的以色列（加 6:16）。</w:t>
      </w:r>
    </w:p>
    <w:p w14:paraId="33945EF4">
      <w:pPr>
        <w:spacing w:before="8" w:line="249" w:lineRule="auto"/>
        <w:ind w:left="99" w:right="98" w:firstLine="450"/>
        <w:jc w:val="both"/>
        <w:rPr>
          <w:rFonts w:hint="eastAsia"/>
          <w:color w:val="231F20"/>
          <w:sz w:val="30"/>
        </w:rPr>
      </w:pPr>
    </w:p>
    <w:p w14:paraId="2CF509C3">
      <w:pPr>
        <w:spacing w:before="8" w:line="249" w:lineRule="auto"/>
        <w:ind w:left="99" w:right="98" w:firstLine="450"/>
        <w:jc w:val="both"/>
        <w:rPr>
          <w:rFonts w:hint="eastAsia"/>
          <w:color w:val="231F20"/>
          <w:sz w:val="30"/>
        </w:rPr>
      </w:pPr>
      <w:r>
        <w:rPr>
          <w:rFonts w:hint="eastAsia"/>
          <w:color w:val="231F20"/>
          <w:sz w:val="30"/>
        </w:rPr>
        <w:t>Paul’s Teaching on the Two Stages of the Resurrection (1 Cor. 15:20-28)</w:t>
      </w:r>
    </w:p>
    <w:p w14:paraId="369C876D">
      <w:pPr>
        <w:spacing w:before="8" w:line="249" w:lineRule="auto"/>
        <w:ind w:left="99" w:right="98" w:firstLine="450"/>
        <w:jc w:val="both"/>
        <w:rPr>
          <w:rFonts w:hint="eastAsia"/>
          <w:color w:val="231F20"/>
          <w:sz w:val="30"/>
        </w:rPr>
      </w:pPr>
      <w:r>
        <w:rPr>
          <w:rFonts w:hint="eastAsia"/>
          <w:color w:val="231F20"/>
          <w:sz w:val="30"/>
        </w:rPr>
        <w:t>保罗关于复活两个阶段的教导（林前 15:20-28）</w:t>
      </w:r>
    </w:p>
    <w:p w14:paraId="72CEE662">
      <w:pPr>
        <w:spacing w:before="8" w:line="249" w:lineRule="auto"/>
        <w:ind w:left="99" w:right="98" w:firstLine="450"/>
        <w:jc w:val="both"/>
        <w:rPr>
          <w:rFonts w:hint="eastAsia"/>
          <w:color w:val="231F20"/>
          <w:sz w:val="30"/>
        </w:rPr>
      </w:pPr>
    </w:p>
    <w:p w14:paraId="60CDEC9E">
      <w:pPr>
        <w:spacing w:before="8" w:line="249" w:lineRule="auto"/>
        <w:ind w:left="99" w:right="98" w:firstLine="450"/>
        <w:jc w:val="both"/>
        <w:rPr>
          <w:rFonts w:hint="eastAsia"/>
          <w:color w:val="231F20"/>
          <w:sz w:val="30"/>
        </w:rPr>
      </w:pPr>
      <w:r>
        <w:rPr>
          <w:rFonts w:hint="eastAsia"/>
          <w:color w:val="231F20"/>
          <w:sz w:val="30"/>
        </w:rPr>
        <w:t>For clarity, conciseness, and comprehensiveness, this may well be the single most important NT passage dealing with the structure of the Kingdom of God.</w:t>
      </w:r>
    </w:p>
    <w:p w14:paraId="7C64D305">
      <w:pPr>
        <w:spacing w:before="8" w:line="249" w:lineRule="auto"/>
        <w:ind w:left="99" w:right="98" w:firstLine="450"/>
        <w:jc w:val="both"/>
        <w:rPr>
          <w:rFonts w:hint="eastAsia"/>
          <w:color w:val="231F20"/>
          <w:sz w:val="30"/>
        </w:rPr>
      </w:pPr>
      <w:r>
        <w:rPr>
          <w:rFonts w:hint="eastAsia"/>
          <w:color w:val="231F20"/>
          <w:sz w:val="30"/>
        </w:rPr>
        <w:t>就清晰度、简洁性和全面性而言，这很可能是处理上帝之国结构的唯一最重要的新约段落。</w:t>
      </w:r>
    </w:p>
    <w:p w14:paraId="594DB68D">
      <w:pPr>
        <w:spacing w:before="8" w:line="249" w:lineRule="auto"/>
        <w:ind w:left="99" w:right="98" w:firstLine="450"/>
        <w:jc w:val="both"/>
        <w:rPr>
          <w:rFonts w:hint="eastAsia"/>
          <w:color w:val="231F20"/>
          <w:sz w:val="30"/>
        </w:rPr>
      </w:pPr>
    </w:p>
    <w:p w14:paraId="23E459F8">
      <w:pPr>
        <w:spacing w:before="8" w:line="249" w:lineRule="auto"/>
        <w:ind w:left="99" w:right="98" w:firstLine="450"/>
        <w:jc w:val="both"/>
        <w:rPr>
          <w:rFonts w:hint="eastAsia"/>
          <w:color w:val="231F20"/>
          <w:sz w:val="30"/>
        </w:rPr>
      </w:pPr>
      <w:r>
        <w:rPr>
          <w:rFonts w:hint="eastAsia"/>
          <w:color w:val="231F20"/>
          <w:sz w:val="30"/>
        </w:rPr>
        <w:t>Many regard it as a bastion of amillennial eschatology, and also as the bane of every premillennial scheme.</w:t>
      </w:r>
    </w:p>
    <w:p w14:paraId="2F231238">
      <w:pPr>
        <w:spacing w:before="8" w:line="249" w:lineRule="auto"/>
        <w:ind w:left="99" w:right="98" w:firstLine="450"/>
        <w:jc w:val="both"/>
        <w:rPr>
          <w:rFonts w:hint="eastAsia"/>
          <w:color w:val="231F20"/>
          <w:sz w:val="30"/>
        </w:rPr>
      </w:pPr>
      <w:r>
        <w:rPr>
          <w:rFonts w:hint="eastAsia"/>
          <w:color w:val="231F20"/>
          <w:sz w:val="30"/>
        </w:rPr>
        <w:t>许多人视之为无千禧年派末世论的堡垒，也是每一种前千禧年派方案的祸根。</w:t>
      </w:r>
    </w:p>
    <w:p w14:paraId="0BCA6EDB">
      <w:pPr>
        <w:spacing w:before="8" w:line="249" w:lineRule="auto"/>
        <w:ind w:left="99" w:right="98" w:firstLine="450"/>
        <w:jc w:val="both"/>
        <w:rPr>
          <w:rFonts w:hint="eastAsia"/>
          <w:color w:val="231F20"/>
          <w:sz w:val="30"/>
        </w:rPr>
      </w:pPr>
    </w:p>
    <w:p w14:paraId="20B8F484">
      <w:pPr>
        <w:spacing w:before="8" w:line="249" w:lineRule="auto"/>
        <w:ind w:left="99" w:right="98" w:firstLine="450"/>
        <w:jc w:val="both"/>
        <w:rPr>
          <w:rFonts w:hint="eastAsia"/>
          <w:color w:val="231F20"/>
          <w:sz w:val="30"/>
        </w:rPr>
      </w:pPr>
      <w:r>
        <w:rPr>
          <w:rFonts w:hint="eastAsia"/>
          <w:color w:val="231F20"/>
          <w:sz w:val="30"/>
        </w:rPr>
        <w:t>For this reason, it merits close examination.</w:t>
      </w:r>
    </w:p>
    <w:p w14:paraId="3ACEB0C7">
      <w:pPr>
        <w:spacing w:before="8" w:line="249" w:lineRule="auto"/>
        <w:ind w:left="99" w:right="98" w:firstLine="450"/>
        <w:jc w:val="both"/>
        <w:rPr>
          <w:rFonts w:hint="eastAsia"/>
          <w:color w:val="231F20"/>
          <w:sz w:val="30"/>
        </w:rPr>
      </w:pPr>
      <w:r>
        <w:rPr>
          <w:rFonts w:hint="eastAsia"/>
          <w:color w:val="231F20"/>
          <w:sz w:val="30"/>
        </w:rPr>
        <w:t>因此，它值得仔细审查。</w:t>
      </w:r>
    </w:p>
    <w:p w14:paraId="4339D3CE">
      <w:pPr>
        <w:spacing w:before="8" w:line="249" w:lineRule="auto"/>
        <w:ind w:left="99" w:right="98" w:firstLine="450"/>
        <w:jc w:val="both"/>
        <w:rPr>
          <w:rFonts w:hint="eastAsia"/>
          <w:color w:val="231F20"/>
          <w:sz w:val="30"/>
        </w:rPr>
      </w:pPr>
    </w:p>
    <w:p w14:paraId="0FC4795E">
      <w:pPr>
        <w:spacing w:before="8" w:line="249" w:lineRule="auto"/>
        <w:ind w:left="99" w:right="98" w:firstLine="450"/>
        <w:jc w:val="both"/>
        <w:rPr>
          <w:rFonts w:hint="eastAsia"/>
          <w:color w:val="231F20"/>
          <w:sz w:val="30"/>
        </w:rPr>
      </w:pPr>
      <w:r>
        <w:rPr>
          <w:rFonts w:hint="eastAsia"/>
          <w:color w:val="231F20"/>
          <w:sz w:val="30"/>
        </w:rPr>
        <w:t>A few words about the context are in order.</w:t>
      </w:r>
    </w:p>
    <w:p w14:paraId="43055232">
      <w:pPr>
        <w:spacing w:before="8" w:line="249" w:lineRule="auto"/>
        <w:ind w:left="99" w:right="98" w:firstLine="450"/>
        <w:jc w:val="both"/>
        <w:rPr>
          <w:rFonts w:hint="eastAsia"/>
          <w:color w:val="231F20"/>
          <w:sz w:val="30"/>
        </w:rPr>
      </w:pPr>
      <w:r>
        <w:rPr>
          <w:rFonts w:hint="eastAsia"/>
          <w:color w:val="231F20"/>
          <w:sz w:val="30"/>
        </w:rPr>
        <w:t>有几句话关于上下文是必要的。</w:t>
      </w:r>
    </w:p>
    <w:p w14:paraId="53636281">
      <w:pPr>
        <w:spacing w:before="8" w:line="249" w:lineRule="auto"/>
        <w:ind w:left="99" w:right="98" w:firstLine="450"/>
        <w:jc w:val="both"/>
        <w:rPr>
          <w:rFonts w:hint="eastAsia"/>
          <w:color w:val="231F20"/>
          <w:sz w:val="30"/>
        </w:rPr>
      </w:pPr>
    </w:p>
    <w:p w14:paraId="7326099D">
      <w:pPr>
        <w:spacing w:before="8" w:line="249" w:lineRule="auto"/>
        <w:ind w:left="99" w:right="98" w:firstLine="450"/>
        <w:jc w:val="both"/>
        <w:rPr>
          <w:rFonts w:hint="eastAsia"/>
          <w:color w:val="231F20"/>
          <w:sz w:val="30"/>
        </w:rPr>
      </w:pPr>
      <w:r>
        <w:rPr>
          <w:rFonts w:hint="eastAsia"/>
          <w:color w:val="231F20"/>
          <w:sz w:val="30"/>
        </w:rPr>
        <w:t>Certain members of the Corinthian church have been denying the bodily resurrection of the dead (15:33-34).</w:t>
      </w:r>
    </w:p>
    <w:p w14:paraId="2CE9EABF">
      <w:pPr>
        <w:spacing w:before="8" w:line="249" w:lineRule="auto"/>
        <w:ind w:left="99" w:right="98" w:firstLine="450"/>
        <w:jc w:val="both"/>
        <w:rPr>
          <w:rFonts w:hint="eastAsia"/>
          <w:color w:val="231F20"/>
          <w:sz w:val="30"/>
        </w:rPr>
      </w:pPr>
      <w:r>
        <w:rPr>
          <w:rFonts w:hint="eastAsia"/>
          <w:color w:val="231F20"/>
          <w:sz w:val="30"/>
        </w:rPr>
        <w:t>哥林多教会的某些成员一直在否认死人身体的复活（15:33-34）。</w:t>
      </w:r>
    </w:p>
    <w:p w14:paraId="097320A7">
      <w:pPr>
        <w:spacing w:before="8" w:line="249" w:lineRule="auto"/>
        <w:ind w:left="99" w:right="98" w:firstLine="450"/>
        <w:jc w:val="both"/>
        <w:rPr>
          <w:rFonts w:hint="eastAsia"/>
          <w:color w:val="231F20"/>
          <w:sz w:val="30"/>
        </w:rPr>
      </w:pPr>
    </w:p>
    <w:p w14:paraId="13B862EF">
      <w:pPr>
        <w:spacing w:before="8" w:line="249" w:lineRule="auto"/>
        <w:ind w:left="99" w:right="98" w:firstLine="450"/>
        <w:jc w:val="both"/>
        <w:rPr>
          <w:rFonts w:hint="eastAsia"/>
          <w:color w:val="231F20"/>
          <w:sz w:val="30"/>
        </w:rPr>
      </w:pPr>
      <w:r>
        <w:rPr>
          <w:rFonts w:hint="eastAsia"/>
          <w:color w:val="231F20"/>
          <w:sz w:val="30"/>
        </w:rPr>
        <w:t>Realizing that this heretical tendency strikes at the very heart of the Gospel (15:1-11), Paul mounts a vigorous defense, exploring the resurrection from many different angles (15:12ff).</w:t>
      </w:r>
    </w:p>
    <w:p w14:paraId="25BFBB54">
      <w:pPr>
        <w:spacing w:before="8" w:line="249" w:lineRule="auto"/>
        <w:ind w:left="99" w:right="98" w:firstLine="450"/>
        <w:jc w:val="both"/>
        <w:rPr>
          <w:rFonts w:hint="eastAsia"/>
          <w:color w:val="231F20"/>
          <w:sz w:val="30"/>
        </w:rPr>
      </w:pPr>
      <w:r>
        <w:rPr>
          <w:rFonts w:hint="eastAsia"/>
          <w:color w:val="231F20"/>
          <w:sz w:val="30"/>
        </w:rPr>
        <w:t>保罗意识到这种异端倾向触及了福音的核心（15:1-11），他发起了有力的辩护，从许多不同的角度探讨了复活（15:12ff）。</w:t>
      </w:r>
    </w:p>
    <w:p w14:paraId="5AEC0554">
      <w:pPr>
        <w:spacing w:before="8" w:line="249" w:lineRule="auto"/>
        <w:ind w:left="99" w:right="98" w:firstLine="450"/>
        <w:jc w:val="both"/>
        <w:rPr>
          <w:rFonts w:hint="eastAsia"/>
          <w:color w:val="231F20"/>
          <w:sz w:val="30"/>
        </w:rPr>
      </w:pPr>
    </w:p>
    <w:p w14:paraId="778D8FD1">
      <w:pPr>
        <w:spacing w:before="8" w:line="249" w:lineRule="auto"/>
        <w:ind w:left="99" w:right="98" w:firstLine="450"/>
        <w:jc w:val="both"/>
        <w:rPr>
          <w:rFonts w:hint="eastAsia"/>
          <w:color w:val="231F20"/>
          <w:sz w:val="30"/>
        </w:rPr>
      </w:pPr>
      <w:r>
        <w:rPr>
          <w:rFonts w:hint="eastAsia"/>
          <w:color w:val="231F20"/>
          <w:sz w:val="30"/>
        </w:rPr>
        <w:t>In so doing, he is at pains to provide a chronological framework within which the saints at Corinth are to think about the resurrection.</w:t>
      </w:r>
    </w:p>
    <w:p w14:paraId="76282368">
      <w:pPr>
        <w:spacing w:before="8" w:line="249" w:lineRule="auto"/>
        <w:ind w:left="99" w:right="98" w:firstLine="450"/>
        <w:jc w:val="both"/>
        <w:rPr>
          <w:rFonts w:hint="eastAsia"/>
          <w:color w:val="231F20"/>
          <w:sz w:val="30"/>
        </w:rPr>
      </w:pPr>
      <w:r>
        <w:rPr>
          <w:rFonts w:hint="eastAsia"/>
          <w:color w:val="231F20"/>
          <w:sz w:val="30"/>
        </w:rPr>
        <w:t>在这样做的过程中，他煞费苦心地提供了一个时间框架，让哥林多的圣徒们可以在其中思考复活。</w:t>
      </w:r>
    </w:p>
    <w:p w14:paraId="7F0028C0">
      <w:pPr>
        <w:spacing w:before="8" w:line="249" w:lineRule="auto"/>
        <w:ind w:left="99" w:right="98" w:firstLine="450"/>
        <w:jc w:val="both"/>
        <w:rPr>
          <w:rFonts w:hint="eastAsia"/>
          <w:color w:val="231F20"/>
          <w:sz w:val="30"/>
        </w:rPr>
      </w:pPr>
    </w:p>
    <w:p w14:paraId="7AA3FB1F">
      <w:pPr>
        <w:spacing w:before="8" w:line="249" w:lineRule="auto"/>
        <w:ind w:left="99" w:right="98" w:firstLine="450"/>
        <w:jc w:val="both"/>
        <w:rPr>
          <w:rFonts w:hint="eastAsia"/>
          <w:color w:val="231F20"/>
          <w:sz w:val="30"/>
        </w:rPr>
      </w:pPr>
      <w:r>
        <w:rPr>
          <w:rFonts w:hint="eastAsia"/>
          <w:color w:val="231F20"/>
          <w:sz w:val="30"/>
        </w:rPr>
        <w:t>He does so in our text (15:20-28), after which he goes on to speak of other mysteries, including the nature of the resurrection body (15:35-49), the transformation and glorification of the living saints at Christ’s coming (15:50-53), and the glorious finality of Christ’s victory over death in that day (15:54-58).</w:t>
      </w:r>
    </w:p>
    <w:p w14:paraId="3D7652C4">
      <w:pPr>
        <w:spacing w:before="8" w:line="249" w:lineRule="auto"/>
        <w:ind w:left="99" w:right="98" w:firstLine="450"/>
        <w:jc w:val="both"/>
        <w:rPr>
          <w:rFonts w:hint="eastAsia"/>
          <w:color w:val="231F20"/>
          <w:sz w:val="30"/>
        </w:rPr>
      </w:pPr>
      <w:r>
        <w:rPr>
          <w:rFonts w:hint="eastAsia"/>
          <w:color w:val="231F20"/>
          <w:sz w:val="30"/>
        </w:rPr>
        <w:t>他在我们的经文（15:20-28）中这样做了，之后他继续谈论其他的奥秘，包括复活身体的性质（15:35-49），在基督降临时活着圣徒的改变和得荣耀（15:50-53），以及在那日基督战胜死亡的荣耀最终性（15:54-58）。</w:t>
      </w:r>
    </w:p>
    <w:p w14:paraId="2BF542BB">
      <w:pPr>
        <w:spacing w:before="8" w:line="249" w:lineRule="auto"/>
        <w:ind w:left="99" w:right="98" w:firstLine="450"/>
        <w:jc w:val="both"/>
        <w:rPr>
          <w:rFonts w:hint="eastAsia"/>
          <w:color w:val="231F20"/>
          <w:sz w:val="30"/>
        </w:rPr>
      </w:pPr>
    </w:p>
    <w:p w14:paraId="3376A981">
      <w:pPr>
        <w:spacing w:before="8" w:line="249" w:lineRule="auto"/>
        <w:ind w:left="99" w:right="98" w:firstLine="450"/>
        <w:jc w:val="both"/>
        <w:rPr>
          <w:rFonts w:hint="eastAsia"/>
          <w:color w:val="231F20"/>
          <w:sz w:val="30"/>
        </w:rPr>
      </w:pPr>
      <w:r>
        <w:rPr>
          <w:rFonts w:hint="eastAsia"/>
          <w:color w:val="231F20"/>
          <w:sz w:val="30"/>
        </w:rPr>
        <w:t>Thus, on the theme of the resurrection—and on the eschatological framework within which we are to contemplate it—there is no more important chapter in all of Scripture.</w:t>
      </w:r>
    </w:p>
    <w:p w14:paraId="783A0EC4">
      <w:pPr>
        <w:spacing w:before="8" w:line="249" w:lineRule="auto"/>
        <w:ind w:left="99" w:right="98" w:firstLine="450"/>
        <w:jc w:val="both"/>
        <w:rPr>
          <w:rFonts w:hint="eastAsia"/>
          <w:color w:val="231F20"/>
          <w:sz w:val="30"/>
        </w:rPr>
      </w:pPr>
      <w:r>
        <w:rPr>
          <w:rFonts w:hint="eastAsia"/>
          <w:color w:val="231F20"/>
          <w:sz w:val="30"/>
        </w:rPr>
        <w:t>因此，关于复活的主题——以及我们应在其下默想它的末世论框架——在所有圣经中没有比这更重要的一章了。</w:t>
      </w:r>
    </w:p>
    <w:p w14:paraId="0933436A">
      <w:pPr>
        <w:spacing w:before="8" w:line="249" w:lineRule="auto"/>
        <w:ind w:left="99" w:right="98" w:firstLine="450"/>
        <w:jc w:val="both"/>
        <w:rPr>
          <w:rFonts w:hint="eastAsia"/>
          <w:color w:val="231F20"/>
          <w:sz w:val="30"/>
        </w:rPr>
      </w:pPr>
    </w:p>
    <w:p w14:paraId="574AF12E">
      <w:pPr>
        <w:spacing w:before="8" w:line="249" w:lineRule="auto"/>
        <w:ind w:left="99" w:right="98" w:firstLine="450"/>
        <w:jc w:val="both"/>
        <w:rPr>
          <w:rFonts w:hint="eastAsia"/>
          <w:color w:val="231F20"/>
          <w:sz w:val="30"/>
        </w:rPr>
      </w:pPr>
      <w:r>
        <w:rPr>
          <w:rFonts w:hint="eastAsia"/>
          <w:color w:val="231F20"/>
          <w:sz w:val="30"/>
        </w:rPr>
        <w:t>Let us work our way through this passage step by step, focusing once again on the matter that concerns us most: the coming and structure of the Kingdom.</w:t>
      </w:r>
    </w:p>
    <w:p w14:paraId="35D43FE2">
      <w:pPr>
        <w:spacing w:before="8" w:line="249" w:lineRule="auto"/>
        <w:ind w:left="99" w:right="98" w:firstLine="450"/>
        <w:jc w:val="both"/>
        <w:rPr>
          <w:rFonts w:hint="eastAsia"/>
          <w:color w:val="231F20"/>
          <w:sz w:val="30"/>
        </w:rPr>
      </w:pPr>
      <w:r>
        <w:rPr>
          <w:rFonts w:hint="eastAsia"/>
          <w:color w:val="231F20"/>
          <w:sz w:val="30"/>
        </w:rPr>
        <w:t>让我们一步一步地研读这段经文，再次聚焦于我们最关心的问题：国度的降临和结构。</w:t>
      </w:r>
    </w:p>
    <w:p w14:paraId="79CA55B1">
      <w:pPr>
        <w:spacing w:before="8" w:line="249" w:lineRule="auto"/>
        <w:ind w:left="99" w:right="98" w:firstLine="450"/>
        <w:jc w:val="both"/>
        <w:rPr>
          <w:rFonts w:hint="eastAsia"/>
          <w:color w:val="231F20"/>
          <w:sz w:val="30"/>
        </w:rPr>
      </w:pPr>
    </w:p>
    <w:p w14:paraId="5C4EFF7C">
      <w:pPr>
        <w:spacing w:before="8" w:line="249" w:lineRule="auto"/>
        <w:ind w:left="99" w:right="98" w:firstLine="450"/>
        <w:jc w:val="both"/>
        <w:rPr>
          <w:rFonts w:hint="eastAsia"/>
          <w:color w:val="231F20"/>
          <w:sz w:val="30"/>
        </w:rPr>
      </w:pPr>
      <w:r>
        <w:rPr>
          <w:rFonts w:hint="eastAsia"/>
          <w:color w:val="231F20"/>
          <w:sz w:val="30"/>
        </w:rPr>
        <w:t>In verse 20, Paul identifies the risen Christ as “the firstfruits of those who have fallen asleep.”</w:t>
      </w:r>
    </w:p>
    <w:p w14:paraId="60062B5E">
      <w:pPr>
        <w:spacing w:before="8" w:line="249" w:lineRule="auto"/>
        <w:ind w:left="99" w:right="98" w:firstLine="450"/>
        <w:jc w:val="both"/>
        <w:rPr>
          <w:rFonts w:hint="eastAsia"/>
          <w:color w:val="231F20"/>
          <w:sz w:val="30"/>
        </w:rPr>
      </w:pPr>
      <w:r>
        <w:rPr>
          <w:rFonts w:hint="eastAsia"/>
          <w:color w:val="231F20"/>
          <w:sz w:val="30"/>
        </w:rPr>
        <w:t>在第20节中，保罗将复活的基督确定为“睡了之人初熟的果子”。</w:t>
      </w:r>
    </w:p>
    <w:p w14:paraId="33E75A7D">
      <w:pPr>
        <w:spacing w:before="8" w:line="249" w:lineRule="auto"/>
        <w:ind w:left="99" w:right="98" w:firstLine="450"/>
        <w:jc w:val="both"/>
        <w:rPr>
          <w:rFonts w:hint="eastAsia"/>
          <w:color w:val="231F20"/>
          <w:sz w:val="30"/>
        </w:rPr>
      </w:pPr>
    </w:p>
    <w:p w14:paraId="670A245F">
      <w:pPr>
        <w:spacing w:before="8" w:line="249" w:lineRule="auto"/>
        <w:ind w:left="99" w:right="98" w:firstLine="450"/>
        <w:jc w:val="both"/>
        <w:rPr>
          <w:rFonts w:hint="eastAsia"/>
          <w:color w:val="231F20"/>
          <w:sz w:val="30"/>
        </w:rPr>
      </w:pPr>
      <w:r>
        <w:rPr>
          <w:rFonts w:hint="eastAsia"/>
          <w:color w:val="231F20"/>
          <w:sz w:val="30"/>
        </w:rPr>
        <w:t>Just as Israel under the Law was to offer two harvest sacrifices to God, one at the beginning and one at the end of the harvest season, so here: Christ is the first of all God’s saints to rise from the dead, and the One whose own resurrection anticipates and guarantees the full harvest of resurrected saints at the end of the age (Leviticus 23:10f).</w:t>
      </w:r>
    </w:p>
    <w:p w14:paraId="3CA68549">
      <w:pPr>
        <w:spacing w:before="8" w:line="249" w:lineRule="auto"/>
        <w:ind w:left="99" w:right="98" w:firstLine="450"/>
        <w:jc w:val="both"/>
        <w:rPr>
          <w:rFonts w:hint="eastAsia"/>
          <w:color w:val="231F20"/>
          <w:sz w:val="30"/>
        </w:rPr>
      </w:pPr>
      <w:r>
        <w:rPr>
          <w:rFonts w:hint="eastAsia"/>
          <w:color w:val="231F20"/>
          <w:sz w:val="30"/>
        </w:rPr>
        <w:t>正如律法下的以色列要向神献上两次收割的祭物，一次在收割季节的开始，一次在结束，此处也是如此：基督是所有上帝圣徒中第一个从死里复活的，祂自己的复活预示并保证了在世代末了所有复活圣徒的完全收割（利未记 23:10f）。</w:t>
      </w:r>
    </w:p>
    <w:p w14:paraId="2BE7BB84">
      <w:pPr>
        <w:spacing w:before="8" w:line="249" w:lineRule="auto"/>
        <w:ind w:left="99" w:right="98" w:firstLine="450"/>
        <w:jc w:val="both"/>
        <w:rPr>
          <w:rFonts w:hint="eastAsia"/>
          <w:color w:val="231F20"/>
          <w:sz w:val="30"/>
        </w:rPr>
      </w:pPr>
    </w:p>
    <w:p w14:paraId="6EAECC98">
      <w:pPr>
        <w:spacing w:before="8" w:line="249" w:lineRule="auto"/>
        <w:ind w:left="99" w:right="98" w:firstLine="450"/>
        <w:jc w:val="both"/>
        <w:rPr>
          <w:rFonts w:hint="eastAsia"/>
          <w:color w:val="231F20"/>
          <w:sz w:val="30"/>
        </w:rPr>
      </w:pPr>
      <w:r>
        <w:rPr>
          <w:rFonts w:hint="eastAsia"/>
          <w:color w:val="231F20"/>
          <w:sz w:val="30"/>
        </w:rPr>
        <w:t>In verses 21-22 we learn why the saints’ resurrection is guaranteed: Just as surely as Adam’s sin was imputed to his children, with the result that they all died, so surely shall Christ’s righteousness (in virtue of the merits of his atoning death) be imputed to those who are his, with the result that they, like him, will certainly rise from the dead.</w:t>
      </w:r>
    </w:p>
    <w:p w14:paraId="6A7CFE7C">
      <w:pPr>
        <w:spacing w:before="8" w:line="249" w:lineRule="auto"/>
        <w:ind w:left="99" w:right="98" w:firstLine="450"/>
        <w:jc w:val="both"/>
        <w:rPr>
          <w:rFonts w:hint="eastAsia"/>
          <w:color w:val="231F20"/>
          <w:sz w:val="30"/>
        </w:rPr>
      </w:pPr>
      <w:r>
        <w:rPr>
          <w:rFonts w:hint="eastAsia"/>
          <w:color w:val="231F20"/>
          <w:sz w:val="30"/>
        </w:rPr>
        <w:t>在第21-22节中，我们了解到圣徒复活为何有保证：正如亚当的罪确实归算给了他的子孙，结果他们都死了，基督的义（凭着祂赎罪之死的功劳）也必确实归算给那些属祂的人，结果他们，像祂一样，也必从死里复活。</w:t>
      </w:r>
    </w:p>
    <w:p w14:paraId="01E9B338">
      <w:pPr>
        <w:spacing w:before="8" w:line="249" w:lineRule="auto"/>
        <w:ind w:left="99" w:right="98" w:firstLine="450"/>
        <w:jc w:val="both"/>
        <w:rPr>
          <w:rFonts w:hint="eastAsia"/>
          <w:color w:val="231F20"/>
          <w:sz w:val="30"/>
        </w:rPr>
      </w:pPr>
    </w:p>
    <w:p w14:paraId="6F69D96D">
      <w:pPr>
        <w:spacing w:before="8" w:line="249" w:lineRule="auto"/>
        <w:ind w:left="99" w:right="98" w:firstLine="450"/>
        <w:jc w:val="both"/>
        <w:rPr>
          <w:rFonts w:hint="eastAsia"/>
          <w:color w:val="231F20"/>
          <w:sz w:val="30"/>
        </w:rPr>
      </w:pPr>
      <w:r>
        <w:rPr>
          <w:rFonts w:hint="eastAsia"/>
          <w:color w:val="231F20"/>
          <w:sz w:val="30"/>
        </w:rPr>
        <w:t>As the Last Adam, Christ is Head over a whole new humanity; God will deal as faithfully with the Body as he did with its Head (Rom. 5:12ff)!</w:t>
      </w:r>
    </w:p>
    <w:p w14:paraId="0C9819A9">
      <w:pPr>
        <w:spacing w:before="8" w:line="249" w:lineRule="auto"/>
        <w:ind w:left="99" w:right="98" w:firstLine="450"/>
        <w:jc w:val="both"/>
        <w:rPr>
          <w:rFonts w:hint="eastAsia"/>
          <w:color w:val="231F20"/>
          <w:sz w:val="30"/>
        </w:rPr>
      </w:pPr>
      <w:r>
        <w:rPr>
          <w:rFonts w:hint="eastAsia"/>
          <w:color w:val="231F20"/>
          <w:sz w:val="30"/>
        </w:rPr>
        <w:t>作为末后的亚当，基督是全新人类的元首；上帝将像祂对待元首一样，忠实地对待身体（罗 5:12ff）！</w:t>
      </w:r>
    </w:p>
    <w:p w14:paraId="0660E584">
      <w:pPr>
        <w:spacing w:before="8" w:line="249" w:lineRule="auto"/>
        <w:ind w:left="99" w:right="98" w:firstLine="450"/>
        <w:jc w:val="both"/>
        <w:rPr>
          <w:rFonts w:hint="eastAsia"/>
          <w:color w:val="231F20"/>
          <w:sz w:val="30"/>
        </w:rPr>
      </w:pPr>
    </w:p>
    <w:p w14:paraId="20D08393">
      <w:pPr>
        <w:pStyle w:val="9"/>
        <w:spacing w:after="0"/>
        <w:rPr>
          <w:rFonts w:hint="eastAsia"/>
          <w:color w:val="231F20"/>
          <w:sz w:val="30"/>
        </w:rPr>
      </w:pPr>
      <w:r>
        <w:rPr>
          <w:rFonts w:hint="eastAsia"/>
          <w:color w:val="231F20"/>
          <w:sz w:val="30"/>
        </w:rPr>
        <w:t>In the crucial verses 23-24, Paul now elaborates, explaining the two simple stages in which the full resurrection harvest is to be brought in.</w:t>
      </w:r>
    </w:p>
    <w:p w14:paraId="0513BFFB">
      <w:pPr>
        <w:pStyle w:val="9"/>
        <w:spacing w:after="0"/>
        <w:rPr>
          <w:rFonts w:hint="eastAsia"/>
          <w:color w:val="231F20"/>
          <w:sz w:val="30"/>
        </w:rPr>
      </w:pPr>
      <w:r>
        <w:rPr>
          <w:rFonts w:hint="eastAsia"/>
          <w:color w:val="231F20"/>
          <w:sz w:val="30"/>
        </w:rPr>
        <w:t>在关键的23-24节中，保罗现在详细阐述，解释了完全的复活收成将要藉以成就的两个简单阶段。</w:t>
      </w:r>
    </w:p>
    <w:p w14:paraId="444A07B7">
      <w:pPr>
        <w:pStyle w:val="9"/>
        <w:spacing w:after="0"/>
        <w:rPr>
          <w:rFonts w:hint="eastAsia"/>
          <w:color w:val="231F20"/>
          <w:sz w:val="30"/>
        </w:rPr>
      </w:pPr>
    </w:p>
    <w:p w14:paraId="0B295DFA">
      <w:pPr>
        <w:pStyle w:val="9"/>
        <w:spacing w:after="0"/>
        <w:rPr>
          <w:rFonts w:hint="eastAsia"/>
          <w:color w:val="231F20"/>
          <w:sz w:val="30"/>
        </w:rPr>
      </w:pPr>
      <w:r>
        <w:rPr>
          <w:rFonts w:hint="eastAsia"/>
          <w:color w:val="231F20"/>
          <w:sz w:val="30"/>
        </w:rPr>
        <w:t>Three discrete events are involved, after which all the saints will have been glorified, and all Salvation History will have reached its ultimate goal.</w:t>
      </w:r>
    </w:p>
    <w:p w14:paraId="5A398CDE">
      <w:pPr>
        <w:pStyle w:val="9"/>
        <w:spacing w:after="0"/>
        <w:rPr>
          <w:rFonts w:hint="eastAsia"/>
          <w:color w:val="231F20"/>
          <w:sz w:val="30"/>
        </w:rPr>
      </w:pPr>
      <w:r>
        <w:rPr>
          <w:rFonts w:hint="eastAsia"/>
          <w:color w:val="231F20"/>
          <w:sz w:val="30"/>
        </w:rPr>
        <w:t>其中涉及三个独立的事件，此后所有圣徒都将得荣耀，整个救赎历史也将达到其终极目标。</w:t>
      </w:r>
    </w:p>
    <w:p w14:paraId="20AD9573">
      <w:pPr>
        <w:pStyle w:val="9"/>
        <w:spacing w:after="0"/>
        <w:rPr>
          <w:rFonts w:hint="eastAsia"/>
          <w:color w:val="231F20"/>
          <w:sz w:val="30"/>
        </w:rPr>
      </w:pPr>
    </w:p>
    <w:p w14:paraId="491174D8">
      <w:pPr>
        <w:pStyle w:val="9"/>
        <w:spacing w:after="0"/>
        <w:rPr>
          <w:rFonts w:hint="eastAsia"/>
          <w:color w:val="231F20"/>
          <w:sz w:val="30"/>
        </w:rPr>
      </w:pPr>
      <w:r>
        <w:rPr>
          <w:rFonts w:hint="eastAsia"/>
          <w:color w:val="231F20"/>
          <w:sz w:val="30"/>
        </w:rPr>
        <w:t>The first event is the resurrection of Christ himself, stage one of the harvest.</w:t>
      </w:r>
    </w:p>
    <w:p w14:paraId="449E2448">
      <w:pPr>
        <w:pStyle w:val="9"/>
        <w:spacing w:after="0"/>
        <w:rPr>
          <w:rFonts w:hint="eastAsia"/>
          <w:color w:val="231F20"/>
          <w:sz w:val="30"/>
        </w:rPr>
      </w:pPr>
      <w:r>
        <w:rPr>
          <w:rFonts w:hint="eastAsia"/>
          <w:color w:val="231F20"/>
          <w:sz w:val="30"/>
        </w:rPr>
        <w:t>第一个事件是基督自己的复活，即收成的第一阶段。</w:t>
      </w:r>
    </w:p>
    <w:p w14:paraId="29E504C9">
      <w:pPr>
        <w:pStyle w:val="9"/>
        <w:spacing w:after="0"/>
        <w:rPr>
          <w:rFonts w:hint="eastAsia"/>
          <w:color w:val="231F20"/>
          <w:sz w:val="30"/>
        </w:rPr>
      </w:pPr>
    </w:p>
    <w:p w14:paraId="5CE62A8D">
      <w:pPr>
        <w:pStyle w:val="9"/>
        <w:spacing w:after="0"/>
        <w:rPr>
          <w:rFonts w:hint="eastAsia"/>
          <w:color w:val="231F20"/>
          <w:sz w:val="30"/>
        </w:rPr>
      </w:pPr>
      <w:r>
        <w:rPr>
          <w:rFonts w:hint="eastAsia"/>
          <w:color w:val="231F20"/>
          <w:sz w:val="30"/>
        </w:rPr>
        <w:t>The second event is the resurrection of those who belong to Christ, stage two of the harvest—the stage that brings the harvest to completion.</w:t>
      </w:r>
    </w:p>
    <w:p w14:paraId="169C9DA0">
      <w:pPr>
        <w:pStyle w:val="9"/>
        <w:spacing w:after="0"/>
        <w:rPr>
          <w:rFonts w:hint="eastAsia"/>
          <w:color w:val="231F20"/>
          <w:sz w:val="30"/>
        </w:rPr>
      </w:pPr>
      <w:r>
        <w:rPr>
          <w:rFonts w:hint="eastAsia"/>
          <w:color w:val="231F20"/>
          <w:sz w:val="30"/>
        </w:rPr>
        <w:t>第二个事件是属基督之人的复活，即收成的第二阶段——这个阶段使收成得以完成。</w:t>
      </w:r>
    </w:p>
    <w:p w14:paraId="1900BF9E">
      <w:pPr>
        <w:pStyle w:val="9"/>
        <w:spacing w:after="0"/>
        <w:rPr>
          <w:rFonts w:hint="eastAsia"/>
          <w:color w:val="231F20"/>
          <w:sz w:val="30"/>
        </w:rPr>
      </w:pPr>
    </w:p>
    <w:p w14:paraId="6081C910">
      <w:pPr>
        <w:pStyle w:val="9"/>
        <w:spacing w:after="0"/>
        <w:rPr>
          <w:rFonts w:hint="eastAsia"/>
          <w:color w:val="231F20"/>
          <w:sz w:val="30"/>
        </w:rPr>
      </w:pPr>
      <w:r>
        <w:rPr>
          <w:rFonts w:hint="eastAsia"/>
          <w:color w:val="231F20"/>
          <w:sz w:val="30"/>
        </w:rPr>
        <w:t>Importantly, this occurs at Christ’s Parousia, when he also will change and glorify the living saints in the twinkling of an eye (15:50-52).</w:t>
      </w:r>
    </w:p>
    <w:p w14:paraId="03D6EDBE">
      <w:pPr>
        <w:pStyle w:val="9"/>
        <w:spacing w:after="0"/>
        <w:rPr>
          <w:rFonts w:hint="eastAsia"/>
          <w:color w:val="231F20"/>
          <w:sz w:val="30"/>
        </w:rPr>
      </w:pPr>
      <w:r>
        <w:rPr>
          <w:rFonts w:hint="eastAsia"/>
          <w:color w:val="231F20"/>
          <w:sz w:val="30"/>
        </w:rPr>
        <w:t>重要的是，这发生在基督再来的时候，那时祂也将在眨眼之间改变并荣耀活着的圣徒（15:50-52）。</w:t>
      </w:r>
    </w:p>
    <w:p w14:paraId="3BAC1A27">
      <w:pPr>
        <w:pStyle w:val="9"/>
        <w:spacing w:after="0"/>
        <w:rPr>
          <w:rFonts w:hint="eastAsia"/>
          <w:color w:val="231F20"/>
          <w:sz w:val="30"/>
        </w:rPr>
      </w:pPr>
    </w:p>
    <w:p w14:paraId="6CB73F33">
      <w:pPr>
        <w:pStyle w:val="9"/>
        <w:spacing w:after="0"/>
        <w:rPr>
          <w:rFonts w:hint="eastAsia"/>
          <w:color w:val="231F20"/>
          <w:sz w:val="30"/>
        </w:rPr>
      </w:pPr>
      <w:r>
        <w:rPr>
          <w:rFonts w:hint="eastAsia"/>
          <w:color w:val="231F20"/>
          <w:sz w:val="30"/>
        </w:rPr>
        <w:t>Then, because Christ has now gathered the full harvest of the redeemed to himself, the third and final event will occur.</w:t>
      </w:r>
    </w:p>
    <w:p w14:paraId="02312B53">
      <w:pPr>
        <w:pStyle w:val="9"/>
        <w:spacing w:after="0"/>
        <w:rPr>
          <w:rFonts w:hint="eastAsia"/>
          <w:color w:val="231F20"/>
          <w:sz w:val="30"/>
        </w:rPr>
      </w:pPr>
      <w:r>
        <w:rPr>
          <w:rFonts w:hint="eastAsia"/>
          <w:color w:val="231F20"/>
          <w:sz w:val="30"/>
        </w:rPr>
        <w:t>然后，因为基督现已将所有被赎者的全数收成聚集到祂自己这里，第三个也是最后一个事件将会发生。</w:t>
      </w:r>
    </w:p>
    <w:p w14:paraId="430BC2CD">
      <w:pPr>
        <w:pStyle w:val="9"/>
        <w:spacing w:after="0"/>
        <w:rPr>
          <w:rFonts w:hint="eastAsia"/>
          <w:color w:val="231F20"/>
          <w:sz w:val="30"/>
        </w:rPr>
      </w:pPr>
    </w:p>
    <w:p w14:paraId="19080057">
      <w:pPr>
        <w:pStyle w:val="9"/>
        <w:spacing w:after="0"/>
        <w:rPr>
          <w:rFonts w:hint="eastAsia"/>
          <w:color w:val="231F20"/>
          <w:sz w:val="30"/>
        </w:rPr>
      </w:pPr>
      <w:r>
        <w:rPr>
          <w:rFonts w:hint="eastAsia"/>
          <w:color w:val="231F20"/>
          <w:sz w:val="30"/>
        </w:rPr>
        <w:t>Paul calls this “the end” (15:24).</w:t>
      </w:r>
    </w:p>
    <w:p w14:paraId="07E718AC">
      <w:pPr>
        <w:pStyle w:val="9"/>
        <w:spacing w:after="0"/>
        <w:rPr>
          <w:rFonts w:hint="eastAsia"/>
          <w:color w:val="231F20"/>
          <w:sz w:val="30"/>
        </w:rPr>
      </w:pPr>
      <w:r>
        <w:rPr>
          <w:rFonts w:hint="eastAsia"/>
          <w:color w:val="231F20"/>
          <w:sz w:val="30"/>
        </w:rPr>
        <w:t>保罗称之为“末期”（15:24）。</w:t>
      </w:r>
    </w:p>
    <w:p w14:paraId="43EA433B">
      <w:pPr>
        <w:pStyle w:val="9"/>
        <w:spacing w:after="0"/>
        <w:rPr>
          <w:rFonts w:hint="eastAsia"/>
          <w:color w:val="231F20"/>
          <w:sz w:val="30"/>
        </w:rPr>
      </w:pPr>
    </w:p>
    <w:p w14:paraId="6F3148C3">
      <w:pPr>
        <w:pStyle w:val="9"/>
        <w:spacing w:after="0"/>
        <w:rPr>
          <w:rFonts w:hint="eastAsia"/>
          <w:color w:val="231F20"/>
          <w:sz w:val="30"/>
        </w:rPr>
      </w:pPr>
      <w:r>
        <w:rPr>
          <w:rFonts w:hint="eastAsia"/>
          <w:color w:val="231F20"/>
          <w:sz w:val="30"/>
        </w:rPr>
        <w:t>In our text, it involves two elements.</w:t>
      </w:r>
    </w:p>
    <w:p w14:paraId="65559EED">
      <w:pPr>
        <w:pStyle w:val="9"/>
        <w:spacing w:after="0"/>
        <w:rPr>
          <w:rFonts w:hint="eastAsia"/>
          <w:color w:val="231F20"/>
          <w:sz w:val="30"/>
        </w:rPr>
      </w:pPr>
      <w:r>
        <w:rPr>
          <w:rFonts w:hint="eastAsia"/>
          <w:color w:val="231F20"/>
          <w:sz w:val="30"/>
        </w:rPr>
        <w:t>在我们的经文中，它包含两个要素。</w:t>
      </w:r>
    </w:p>
    <w:p w14:paraId="60FF8D73">
      <w:pPr>
        <w:pStyle w:val="9"/>
        <w:spacing w:after="0"/>
        <w:rPr>
          <w:rFonts w:hint="eastAsia"/>
          <w:color w:val="231F20"/>
          <w:sz w:val="30"/>
        </w:rPr>
      </w:pPr>
    </w:p>
    <w:p w14:paraId="0A6B6C90">
      <w:pPr>
        <w:pStyle w:val="9"/>
        <w:spacing w:after="0"/>
        <w:rPr>
          <w:rFonts w:hint="eastAsia"/>
          <w:color w:val="231F20"/>
          <w:sz w:val="30"/>
        </w:rPr>
      </w:pPr>
      <w:r>
        <w:rPr>
          <w:rFonts w:hint="eastAsia"/>
          <w:color w:val="231F20"/>
          <w:sz w:val="30"/>
        </w:rPr>
        <w:t>First, Christ “puts an end to all rule and power and authority.”</w:t>
      </w:r>
    </w:p>
    <w:p w14:paraId="2CBD986E">
      <w:pPr>
        <w:pStyle w:val="9"/>
        <w:spacing w:after="0"/>
        <w:rPr>
          <w:rFonts w:hint="eastAsia"/>
          <w:color w:val="231F20"/>
          <w:sz w:val="30"/>
        </w:rPr>
      </w:pPr>
      <w:r>
        <w:rPr>
          <w:rFonts w:hint="eastAsia"/>
          <w:color w:val="231F20"/>
          <w:sz w:val="30"/>
        </w:rPr>
        <w:t>首先，基督“既将一切执政的、掌权的、有能的，都毁灭了”。</w:t>
      </w:r>
    </w:p>
    <w:p w14:paraId="7732A656">
      <w:pPr>
        <w:pStyle w:val="9"/>
        <w:spacing w:after="0"/>
        <w:rPr>
          <w:rFonts w:hint="eastAsia"/>
          <w:color w:val="231F20"/>
          <w:sz w:val="30"/>
        </w:rPr>
      </w:pPr>
    </w:p>
    <w:p w14:paraId="69DBA23E">
      <w:pPr>
        <w:pStyle w:val="9"/>
        <w:spacing w:after="0"/>
        <w:rPr>
          <w:rFonts w:hint="eastAsia"/>
          <w:color w:val="231F20"/>
          <w:sz w:val="30"/>
        </w:rPr>
      </w:pPr>
      <w:r>
        <w:rPr>
          <w:rFonts w:hint="eastAsia"/>
          <w:color w:val="231F20"/>
          <w:sz w:val="30"/>
        </w:rPr>
        <w:t>This is the final judgment, when all human and satanic foes are brought down and banished forever.</w:t>
      </w:r>
    </w:p>
    <w:p w14:paraId="257A91E3">
      <w:pPr>
        <w:pStyle w:val="9"/>
        <w:spacing w:after="0"/>
        <w:rPr>
          <w:rFonts w:hint="eastAsia"/>
          <w:color w:val="231F20"/>
          <w:sz w:val="30"/>
        </w:rPr>
      </w:pPr>
      <w:r>
        <w:rPr>
          <w:rFonts w:hint="eastAsia"/>
          <w:color w:val="231F20"/>
          <w:sz w:val="30"/>
        </w:rPr>
        <w:t>这就是最后的审判，那时所有属人的和属撒但的仇敌都被击败并永远被驱逐。</w:t>
      </w:r>
    </w:p>
    <w:p w14:paraId="56AC5DC8">
      <w:pPr>
        <w:pStyle w:val="9"/>
        <w:spacing w:after="0"/>
        <w:rPr>
          <w:rFonts w:hint="eastAsia"/>
          <w:color w:val="231F20"/>
          <w:sz w:val="30"/>
        </w:rPr>
      </w:pPr>
    </w:p>
    <w:p w14:paraId="748751CA">
      <w:pPr>
        <w:pStyle w:val="9"/>
        <w:spacing w:after="0"/>
        <w:rPr>
          <w:rFonts w:hint="eastAsia"/>
          <w:color w:val="231F20"/>
          <w:sz w:val="30"/>
        </w:rPr>
      </w:pPr>
      <w:r>
        <w:rPr>
          <w:rFonts w:hint="eastAsia"/>
          <w:color w:val="231F20"/>
          <w:sz w:val="30"/>
        </w:rPr>
        <w:t>Next, he delivers up the (completed) Kingdom to the Father.</w:t>
      </w:r>
    </w:p>
    <w:p w14:paraId="17EEB04B">
      <w:pPr>
        <w:pStyle w:val="9"/>
        <w:spacing w:after="0"/>
        <w:rPr>
          <w:rFonts w:hint="eastAsia"/>
          <w:color w:val="231F20"/>
          <w:sz w:val="30"/>
        </w:rPr>
      </w:pPr>
      <w:r>
        <w:rPr>
          <w:rFonts w:hint="eastAsia"/>
          <w:color w:val="231F20"/>
          <w:sz w:val="30"/>
        </w:rPr>
        <w:t>接着，祂将（已完成的）国度交与父。</w:t>
      </w:r>
    </w:p>
    <w:p w14:paraId="19D802A5">
      <w:pPr>
        <w:pStyle w:val="9"/>
        <w:spacing w:after="0"/>
        <w:rPr>
          <w:rFonts w:hint="eastAsia"/>
          <w:color w:val="231F20"/>
          <w:sz w:val="30"/>
        </w:rPr>
      </w:pPr>
    </w:p>
    <w:p w14:paraId="4A7122EF">
      <w:pPr>
        <w:pStyle w:val="9"/>
        <w:spacing w:after="0"/>
        <w:rPr>
          <w:rFonts w:hint="eastAsia"/>
          <w:color w:val="231F20"/>
          <w:sz w:val="30"/>
        </w:rPr>
      </w:pPr>
      <w:r>
        <w:rPr>
          <w:rFonts w:hint="eastAsia"/>
          <w:color w:val="231F20"/>
          <w:sz w:val="30"/>
        </w:rPr>
        <w:t>This is Christ’s Kingdom, the Kingdom of the Son.</w:t>
      </w:r>
    </w:p>
    <w:p w14:paraId="3A7B13BF">
      <w:pPr>
        <w:pStyle w:val="9"/>
        <w:spacing w:after="0"/>
        <w:rPr>
          <w:rFonts w:hint="eastAsia"/>
          <w:color w:val="231F20"/>
          <w:sz w:val="30"/>
        </w:rPr>
      </w:pPr>
      <w:r>
        <w:rPr>
          <w:rFonts w:hint="eastAsia"/>
          <w:color w:val="231F20"/>
          <w:sz w:val="30"/>
        </w:rPr>
        <w:t>这就是基督的国，圣子之国。</w:t>
      </w:r>
    </w:p>
    <w:p w14:paraId="64044D64">
      <w:pPr>
        <w:pStyle w:val="9"/>
        <w:spacing w:after="0"/>
        <w:rPr>
          <w:rFonts w:hint="eastAsia"/>
          <w:color w:val="231F20"/>
          <w:sz w:val="30"/>
        </w:rPr>
      </w:pPr>
    </w:p>
    <w:p w14:paraId="40709A50">
      <w:pPr>
        <w:pStyle w:val="9"/>
        <w:spacing w:after="0"/>
        <w:rPr>
          <w:rFonts w:hint="eastAsia"/>
          <w:color w:val="231F20"/>
          <w:sz w:val="30"/>
        </w:rPr>
      </w:pPr>
      <w:r>
        <w:rPr>
          <w:rFonts w:hint="eastAsia"/>
          <w:color w:val="231F20"/>
          <w:sz w:val="30"/>
        </w:rPr>
        <w:t>As we shall see in a moment, it includes not only his right to rule (i.e., the sovereignty delegated to him by the Father), but also the realm that he created by means of that rule: his resurrected and glorified saints, along with the beautiful new glorified world they are to inherit.</w:t>
      </w:r>
    </w:p>
    <w:p w14:paraId="0F2E35DA">
      <w:pPr>
        <w:pStyle w:val="9"/>
        <w:spacing w:after="0"/>
        <w:rPr>
          <w:rFonts w:hint="eastAsia"/>
          <w:color w:val="231F20"/>
          <w:sz w:val="30"/>
        </w:rPr>
      </w:pPr>
      <w:r>
        <w:rPr>
          <w:rFonts w:hint="eastAsia"/>
          <w:color w:val="231F20"/>
          <w:sz w:val="30"/>
        </w:rPr>
        <w:t>我们稍后会看到，它不仅包括祂统治的权柄（即父所授予祂的主权），也包括祂藉着那统治所创造的领域：祂复活得荣的圣徒，以及他们将要继承的美丽、崭新、得荣的世界。</w:t>
      </w:r>
    </w:p>
    <w:p w14:paraId="5459FBE9">
      <w:pPr>
        <w:pStyle w:val="9"/>
        <w:spacing w:after="0"/>
        <w:rPr>
          <w:rFonts w:hint="eastAsia"/>
          <w:color w:val="231F20"/>
          <w:sz w:val="30"/>
        </w:rPr>
      </w:pPr>
    </w:p>
    <w:p w14:paraId="73FA224D">
      <w:pPr>
        <w:pStyle w:val="9"/>
        <w:spacing w:after="0"/>
        <w:rPr>
          <w:rFonts w:hint="eastAsia"/>
          <w:color w:val="231F20"/>
          <w:sz w:val="30"/>
        </w:rPr>
      </w:pPr>
      <w:r>
        <w:rPr>
          <w:rFonts w:hint="eastAsia"/>
          <w:color w:val="231F20"/>
          <w:sz w:val="30"/>
        </w:rPr>
        <w:t>All this reminds us of Jesus’ own teaching in the Parable of the Wheat and the Tares, where he spoke of the Son of Man coming again and casting out of his Kingdom all things that offend, so that in the end the righteous may shine forth like the sun in the Kingdom of the Father (Mt. 13:41-43).</w:t>
      </w:r>
    </w:p>
    <w:p w14:paraId="72DFE6FD">
      <w:pPr>
        <w:pStyle w:val="9"/>
        <w:spacing w:after="0"/>
        <w:rPr>
          <w:rFonts w:hint="eastAsia"/>
          <w:color w:val="231F20"/>
          <w:sz w:val="30"/>
        </w:rPr>
      </w:pPr>
      <w:r>
        <w:rPr>
          <w:rFonts w:hint="eastAsia"/>
          <w:color w:val="231F20"/>
          <w:sz w:val="30"/>
        </w:rPr>
        <w:t>所有这一切都让我们想起耶稣自己在麦子和稗子比喻中的教导，祂在那里讲到人子再来，并从祂的国里将一切叫人跌倒的事物都丢出去，以致最终义人可以在父的国里发出光来，像太阳一样（太 13:41-43）。</w:t>
      </w:r>
    </w:p>
    <w:p w14:paraId="313722B8">
      <w:pPr>
        <w:pStyle w:val="9"/>
        <w:spacing w:after="0"/>
        <w:rPr>
          <w:rFonts w:hint="eastAsia"/>
          <w:color w:val="231F20"/>
          <w:sz w:val="30"/>
        </w:rPr>
      </w:pPr>
    </w:p>
    <w:p w14:paraId="1B0FAD59">
      <w:pPr>
        <w:pStyle w:val="9"/>
        <w:spacing w:after="0"/>
        <w:rPr>
          <w:rFonts w:hint="eastAsia"/>
          <w:color w:val="231F20"/>
          <w:sz w:val="30"/>
        </w:rPr>
      </w:pPr>
      <w:r>
        <w:rPr>
          <w:rFonts w:hint="eastAsia"/>
          <w:color w:val="231F20"/>
          <w:sz w:val="30"/>
        </w:rPr>
        <w:t>Mindful that this material is breaking new ground, and desiring that the Corinthians better understand the delivering up of the Kingdom to the Father, Paul now backtracks, and in verses 25-28 explains things in greater detail.</w:t>
      </w:r>
    </w:p>
    <w:p w14:paraId="31BD037D">
      <w:pPr>
        <w:pStyle w:val="9"/>
        <w:spacing w:after="0"/>
        <w:rPr>
          <w:rFonts w:hint="eastAsia"/>
          <w:color w:val="231F20"/>
          <w:sz w:val="30"/>
        </w:rPr>
      </w:pPr>
      <w:r>
        <w:rPr>
          <w:rFonts w:hint="eastAsia"/>
          <w:color w:val="231F20"/>
          <w:sz w:val="30"/>
        </w:rPr>
        <w:t>保罗意识到这些材料是开创性的，并希望哥林多人能更好地理解将国度交与父这件事，他现在回溯，在25-28节中更详细地解释了事情。</w:t>
      </w:r>
    </w:p>
    <w:p w14:paraId="5FA14781">
      <w:pPr>
        <w:pStyle w:val="9"/>
        <w:spacing w:after="0"/>
        <w:rPr>
          <w:rFonts w:hint="eastAsia"/>
          <w:color w:val="231F20"/>
          <w:sz w:val="30"/>
        </w:rPr>
      </w:pPr>
    </w:p>
    <w:p w14:paraId="459309A4">
      <w:pPr>
        <w:pStyle w:val="9"/>
        <w:spacing w:after="0"/>
        <w:rPr>
          <w:rFonts w:hint="eastAsia"/>
          <w:color w:val="231F20"/>
          <w:sz w:val="30"/>
        </w:rPr>
      </w:pPr>
      <w:r>
        <w:rPr>
          <w:rFonts w:hint="eastAsia"/>
          <w:color w:val="231F20"/>
          <w:sz w:val="30"/>
        </w:rPr>
        <w:t>Observe from what follows how brightly the classic structure of NT eschatology shines forth from this passage!</w:t>
      </w:r>
    </w:p>
    <w:p w14:paraId="1B4486B1">
      <w:pPr>
        <w:pStyle w:val="9"/>
        <w:spacing w:after="0"/>
        <w:rPr>
          <w:rFonts w:hint="eastAsia"/>
          <w:color w:val="231F20"/>
          <w:sz w:val="30"/>
        </w:rPr>
      </w:pPr>
      <w:r>
        <w:rPr>
          <w:rFonts w:hint="eastAsia"/>
          <w:color w:val="231F20"/>
          <w:sz w:val="30"/>
        </w:rPr>
        <w:t>请从接下来的内容中观察，新约末世论的经典结构如何从这段经文中明亮地闪耀出来！</w:t>
      </w:r>
    </w:p>
    <w:p w14:paraId="25F6499D">
      <w:pPr>
        <w:pStyle w:val="9"/>
        <w:spacing w:after="0"/>
        <w:rPr>
          <w:rFonts w:hint="eastAsia"/>
          <w:color w:val="231F20"/>
          <w:sz w:val="30"/>
        </w:rPr>
      </w:pPr>
    </w:p>
    <w:p w14:paraId="73D222BF">
      <w:pPr>
        <w:pStyle w:val="9"/>
        <w:spacing w:after="0"/>
        <w:rPr>
          <w:rFonts w:hint="eastAsia"/>
          <w:color w:val="231F20"/>
          <w:sz w:val="30"/>
        </w:rPr>
      </w:pPr>
      <w:r>
        <w:rPr>
          <w:rFonts w:hint="eastAsia"/>
          <w:color w:val="231F20"/>
          <w:sz w:val="30"/>
        </w:rPr>
        <w:t>In verse 25, Paul declares that Christ must reign till he has put all his enemies under his feet.</w:t>
      </w:r>
    </w:p>
    <w:p w14:paraId="761371C1">
      <w:pPr>
        <w:pStyle w:val="9"/>
        <w:spacing w:after="0"/>
        <w:rPr>
          <w:rFonts w:hint="eastAsia"/>
          <w:color w:val="231F20"/>
          <w:sz w:val="30"/>
        </w:rPr>
      </w:pPr>
      <w:r>
        <w:rPr>
          <w:rFonts w:hint="eastAsia"/>
          <w:color w:val="231F20"/>
          <w:sz w:val="30"/>
        </w:rPr>
        <w:t>在第25节中，保罗宣告基督必须作王，等祂把一切仇敌都放在祂的脚下。</w:t>
      </w:r>
    </w:p>
    <w:p w14:paraId="122587C6">
      <w:pPr>
        <w:pStyle w:val="9"/>
        <w:spacing w:after="0"/>
        <w:rPr>
          <w:rFonts w:hint="eastAsia"/>
          <w:color w:val="231F20"/>
          <w:sz w:val="30"/>
        </w:rPr>
      </w:pPr>
    </w:p>
    <w:p w14:paraId="188B4C4E">
      <w:pPr>
        <w:pStyle w:val="9"/>
        <w:spacing w:after="0"/>
        <w:rPr>
          <w:rFonts w:hint="eastAsia"/>
          <w:color w:val="231F20"/>
          <w:sz w:val="30"/>
        </w:rPr>
      </w:pPr>
      <w:r>
        <w:rPr>
          <w:rFonts w:hint="eastAsia"/>
          <w:color w:val="231F20"/>
          <w:sz w:val="30"/>
        </w:rPr>
        <w:t>As we learn from other NT Scriptures that cite Psalm 110, he has in view Christ’s heavenly reign, and not, as some assert, a future millennial reign subsequent to his Parousia (Acts 2:34f, Heb. 1:13, 10:13).</w:t>
      </w:r>
    </w:p>
    <w:p w14:paraId="42F4C99C">
      <w:pPr>
        <w:pStyle w:val="9"/>
        <w:spacing w:after="0"/>
        <w:rPr>
          <w:rFonts w:hint="eastAsia"/>
          <w:color w:val="231F20"/>
          <w:sz w:val="30"/>
        </w:rPr>
      </w:pPr>
      <w:r>
        <w:rPr>
          <w:rFonts w:hint="eastAsia"/>
          <w:color w:val="231F20"/>
          <w:sz w:val="30"/>
        </w:rPr>
        <w:t>我们从其他引用诗篇110篇的新约圣经中得知，祂所指的是基督属天的统治，而非像某些人所主张的，是祂再来之后未来的千禧年统治（徒 2:34f, 来 1:13, 10:13）。</w:t>
      </w:r>
    </w:p>
    <w:p w14:paraId="3B297549">
      <w:pPr>
        <w:pStyle w:val="9"/>
        <w:spacing w:after="0"/>
        <w:rPr>
          <w:rFonts w:hint="eastAsia"/>
          <w:color w:val="231F20"/>
          <w:sz w:val="30"/>
        </w:rPr>
      </w:pPr>
    </w:p>
    <w:p w14:paraId="16514AB8">
      <w:pPr>
        <w:pStyle w:val="9"/>
        <w:spacing w:after="0"/>
        <w:rPr>
          <w:rFonts w:hint="eastAsia"/>
          <w:color w:val="231F20"/>
          <w:sz w:val="30"/>
        </w:rPr>
      </w:pPr>
      <w:r>
        <w:rPr>
          <w:rFonts w:hint="eastAsia"/>
          <w:color w:val="231F20"/>
          <w:sz w:val="30"/>
        </w:rPr>
        <w:t>Throughout this period, Christ—from heaven, by the Spirit, through the preaching of the Gospel—will himself gather in his chosen people, turning former enemies into present friends by the miracle of regeneration.</w:t>
      </w:r>
    </w:p>
    <w:p w14:paraId="071B6B6E">
      <w:pPr>
        <w:pStyle w:val="9"/>
        <w:spacing w:after="0"/>
        <w:rPr>
          <w:rFonts w:hint="eastAsia"/>
          <w:color w:val="231F20"/>
          <w:sz w:val="30"/>
        </w:rPr>
      </w:pPr>
      <w:r>
        <w:rPr>
          <w:rFonts w:hint="eastAsia"/>
          <w:color w:val="231F20"/>
          <w:sz w:val="30"/>
        </w:rPr>
        <w:t>在整个这段时期，基督将亲自——从天上，藉着圣灵，通过福音的传讲——召聚祂的选民，藉着重生的神迹，将从前的仇敌变为现在的朋友。</w:t>
      </w:r>
    </w:p>
    <w:p w14:paraId="7B6DEECB">
      <w:pPr>
        <w:pStyle w:val="9"/>
        <w:spacing w:after="0"/>
        <w:rPr>
          <w:rFonts w:hint="eastAsia"/>
          <w:color w:val="231F20"/>
          <w:sz w:val="30"/>
        </w:rPr>
      </w:pPr>
    </w:p>
    <w:p w14:paraId="3B29D0AA">
      <w:pPr>
        <w:pStyle w:val="9"/>
        <w:spacing w:after="0"/>
        <w:rPr>
          <w:rFonts w:hint="eastAsia"/>
          <w:color w:val="231F20"/>
          <w:sz w:val="30"/>
        </w:rPr>
      </w:pPr>
      <w:r>
        <w:rPr>
          <w:rFonts w:hint="eastAsia"/>
          <w:color w:val="231F20"/>
          <w:sz w:val="30"/>
        </w:rPr>
        <w:t>At the same time, he will also judge his impenitent adversaries, placing them under foot in Hades.</w:t>
      </w:r>
    </w:p>
    <w:p w14:paraId="5DB24451">
      <w:pPr>
        <w:pStyle w:val="9"/>
        <w:spacing w:after="0"/>
        <w:rPr>
          <w:rFonts w:hint="eastAsia"/>
          <w:color w:val="231F20"/>
          <w:sz w:val="30"/>
        </w:rPr>
      </w:pPr>
      <w:r>
        <w:rPr>
          <w:rFonts w:hint="eastAsia"/>
          <w:color w:val="231F20"/>
          <w:sz w:val="30"/>
        </w:rPr>
        <w:t>同时，祂也将审判祂不悔改的敌人，将他们踩在脚下，置于阴间。</w:t>
      </w:r>
    </w:p>
    <w:p w14:paraId="3DBDEF1B">
      <w:pPr>
        <w:pStyle w:val="9"/>
        <w:spacing w:after="0"/>
        <w:rPr>
          <w:rFonts w:hint="eastAsia"/>
          <w:color w:val="231F20"/>
          <w:sz w:val="30"/>
        </w:rPr>
      </w:pPr>
    </w:p>
    <w:p w14:paraId="7B74B920">
      <w:pPr>
        <w:pStyle w:val="9"/>
        <w:spacing w:after="0"/>
        <w:rPr>
          <w:rFonts w:hint="eastAsia"/>
          <w:color w:val="231F20"/>
          <w:sz w:val="30"/>
        </w:rPr>
      </w:pPr>
      <w:r>
        <w:rPr>
          <w:rFonts w:hint="eastAsia"/>
          <w:color w:val="231F20"/>
          <w:sz w:val="30"/>
        </w:rPr>
        <w:t>And he will continue to do this until the Parousia, at which time he will finally destroy all remaining rule, authority, and power antithetical to his reign (15:24, Luke 19:27).</w:t>
      </w:r>
    </w:p>
    <w:p w14:paraId="04FA6581">
      <w:pPr>
        <w:pStyle w:val="9"/>
        <w:spacing w:after="0"/>
        <w:rPr>
          <w:rFonts w:hint="eastAsia"/>
          <w:color w:val="231F20"/>
          <w:sz w:val="30"/>
        </w:rPr>
      </w:pPr>
      <w:r>
        <w:rPr>
          <w:rFonts w:hint="eastAsia"/>
          <w:color w:val="231F20"/>
          <w:sz w:val="30"/>
        </w:rPr>
        <w:t>祂将继续这样做，直到基督再来，那时祂将最终毁灭所有与祂统治相敌对的余下的统治、权柄和能力（15:24, 路 19:27）。</w:t>
      </w:r>
    </w:p>
    <w:p w14:paraId="18F87874">
      <w:pPr>
        <w:pStyle w:val="9"/>
        <w:spacing w:after="0"/>
        <w:rPr>
          <w:rFonts w:hint="eastAsia"/>
          <w:color w:val="231F20"/>
          <w:sz w:val="30"/>
        </w:rPr>
      </w:pPr>
    </w:p>
    <w:p w14:paraId="1C331DEF">
      <w:pPr>
        <w:pStyle w:val="9"/>
        <w:spacing w:after="0"/>
        <w:rPr>
          <w:rFonts w:hint="eastAsia"/>
          <w:color w:val="231F20"/>
          <w:sz w:val="30"/>
        </w:rPr>
      </w:pPr>
      <w:r>
        <w:rPr>
          <w:rFonts w:hint="eastAsia"/>
          <w:color w:val="231F20"/>
          <w:sz w:val="30"/>
        </w:rPr>
        <w:t>This includes the last enemy, which is death itself (15:26), for God the Father has put all things—even death—beneath Christ’s feet (15:27, Psalm 8:6).</w:t>
      </w:r>
    </w:p>
    <w:p w14:paraId="49065C74">
      <w:pPr>
        <w:pStyle w:val="9"/>
        <w:spacing w:after="0"/>
        <w:rPr>
          <w:rFonts w:hint="eastAsia"/>
          <w:color w:val="231F20"/>
          <w:sz w:val="30"/>
        </w:rPr>
      </w:pPr>
      <w:r>
        <w:rPr>
          <w:rFonts w:hint="eastAsia"/>
          <w:color w:val="231F20"/>
          <w:sz w:val="30"/>
        </w:rPr>
        <w:t>这包括最后的仇敌，就是死自己（15:26），因为父上帝已将万物——甚至死亡——都放在基督的脚下（15:27, 诗篇 8:6）。</w:t>
      </w:r>
    </w:p>
    <w:p w14:paraId="1F30AB32">
      <w:pPr>
        <w:pStyle w:val="9"/>
        <w:spacing w:after="0"/>
        <w:rPr>
          <w:rFonts w:hint="eastAsia"/>
          <w:color w:val="231F20"/>
          <w:sz w:val="30"/>
        </w:rPr>
      </w:pPr>
    </w:p>
    <w:p w14:paraId="210DBCFA">
      <w:pPr>
        <w:pStyle w:val="9"/>
        <w:spacing w:after="0"/>
        <w:rPr>
          <w:rFonts w:hint="eastAsia"/>
          <w:color w:val="231F20"/>
          <w:sz w:val="30"/>
        </w:rPr>
      </w:pPr>
      <w:r>
        <w:rPr>
          <w:rFonts w:hint="eastAsia"/>
          <w:color w:val="231F20"/>
          <w:sz w:val="30"/>
        </w:rPr>
        <w:t>Please consider carefully: If Christ destroys the last enemy at his Parousia, how then shall other enemies arise in a millennium subsequent to it, as premillenarians assert?</w:t>
      </w:r>
    </w:p>
    <w:p w14:paraId="0D38F4DC">
      <w:pPr>
        <w:pStyle w:val="9"/>
        <w:spacing w:after="0"/>
        <w:rPr>
          <w:rFonts w:hint="eastAsia"/>
          <w:color w:val="231F20"/>
          <w:sz w:val="30"/>
        </w:rPr>
      </w:pPr>
      <w:r>
        <w:rPr>
          <w:rFonts w:hint="eastAsia"/>
          <w:color w:val="231F20"/>
          <w:sz w:val="30"/>
        </w:rPr>
        <w:t>请仔细思考：如果基督在祂再来时毁灭了最后的仇敌，那么，在前千禧年派所主张的、随之而来的千禧年中，又怎会有其他的仇敌兴起呢？</w:t>
      </w:r>
    </w:p>
    <w:p w14:paraId="3FF46B1C">
      <w:pPr>
        <w:pStyle w:val="9"/>
        <w:spacing w:after="0"/>
        <w:rPr>
          <w:rFonts w:hint="eastAsia"/>
          <w:color w:val="231F20"/>
          <w:sz w:val="30"/>
        </w:rPr>
      </w:pPr>
    </w:p>
    <w:p w14:paraId="2772EAAB">
      <w:pPr>
        <w:pStyle w:val="9"/>
        <w:spacing w:after="0"/>
        <w:rPr>
          <w:rFonts w:hint="eastAsia"/>
          <w:color w:val="231F20"/>
          <w:sz w:val="30"/>
        </w:rPr>
      </w:pPr>
      <w:r>
        <w:rPr>
          <w:rFonts w:hint="eastAsia"/>
          <w:color w:val="231F20"/>
          <w:sz w:val="30"/>
        </w:rPr>
        <w:t>In passing, we should note that the reference to Psalm 8 is quite significant (15:27, Psalm 8:6).</w:t>
      </w:r>
    </w:p>
    <w:p w14:paraId="02E9C301">
      <w:pPr>
        <w:pStyle w:val="9"/>
        <w:spacing w:after="0"/>
        <w:rPr>
          <w:rFonts w:hint="eastAsia"/>
          <w:color w:val="231F20"/>
          <w:sz w:val="30"/>
        </w:rPr>
      </w:pPr>
      <w:r>
        <w:rPr>
          <w:rFonts w:hint="eastAsia"/>
          <w:color w:val="231F20"/>
          <w:sz w:val="30"/>
        </w:rPr>
        <w:t>顺便提一下，我们应该注意到，引用诗篇第8篇是相当重要的（15:27, 诗篇 8:6）。</w:t>
      </w:r>
    </w:p>
    <w:p w14:paraId="5441E882">
      <w:pPr>
        <w:pStyle w:val="9"/>
        <w:spacing w:after="0"/>
        <w:rPr>
          <w:rFonts w:hint="eastAsia"/>
          <w:color w:val="231F20"/>
          <w:sz w:val="30"/>
        </w:rPr>
      </w:pPr>
    </w:p>
    <w:p w14:paraId="20B06935">
      <w:pPr>
        <w:pStyle w:val="9"/>
        <w:spacing w:after="0"/>
        <w:rPr>
          <w:rFonts w:hint="eastAsia"/>
          <w:color w:val="231F20"/>
          <w:sz w:val="30"/>
        </w:rPr>
      </w:pPr>
      <w:r>
        <w:rPr>
          <w:rFonts w:hint="eastAsia"/>
          <w:color w:val="231F20"/>
          <w:sz w:val="30"/>
        </w:rPr>
        <w:t>The Psalm itself is a cry of wonder and praise that God has exalted man so highly as to give him dominion over the work of his hands.</w:t>
      </w:r>
    </w:p>
    <w:p w14:paraId="6355BE26">
      <w:pPr>
        <w:pStyle w:val="9"/>
        <w:spacing w:after="0"/>
        <w:rPr>
          <w:rFonts w:hint="eastAsia"/>
          <w:color w:val="231F20"/>
          <w:sz w:val="30"/>
        </w:rPr>
      </w:pPr>
      <w:r>
        <w:rPr>
          <w:rFonts w:hint="eastAsia"/>
          <w:color w:val="231F20"/>
          <w:sz w:val="30"/>
        </w:rPr>
        <w:t>诗篇本身是对上帝如此高举人，以至于将祂手所造的都交给他管理的惊奇和赞美之声。</w:t>
      </w:r>
    </w:p>
    <w:p w14:paraId="31DDF60E">
      <w:pPr>
        <w:pStyle w:val="9"/>
        <w:spacing w:after="0"/>
        <w:rPr>
          <w:rFonts w:hint="eastAsia"/>
          <w:color w:val="231F20"/>
          <w:sz w:val="30"/>
        </w:rPr>
      </w:pPr>
    </w:p>
    <w:p w14:paraId="41371CC4">
      <w:pPr>
        <w:pStyle w:val="9"/>
        <w:spacing w:after="0"/>
        <w:rPr>
          <w:rFonts w:hint="eastAsia"/>
          <w:color w:val="231F20"/>
          <w:sz w:val="30"/>
        </w:rPr>
      </w:pPr>
      <w:r>
        <w:rPr>
          <w:rFonts w:hint="eastAsia"/>
          <w:color w:val="231F20"/>
          <w:sz w:val="30"/>
        </w:rPr>
        <w:t>However, lifting his eyes a little higher, the apostle finds here an ultimate reference to the divine-human Messiah (Eph. 1:22, Heb. 2:8).</w:t>
      </w:r>
    </w:p>
    <w:p w14:paraId="6CECB02E">
      <w:pPr>
        <w:pStyle w:val="9"/>
        <w:spacing w:after="0"/>
        <w:rPr>
          <w:rFonts w:hint="eastAsia"/>
          <w:color w:val="231F20"/>
          <w:sz w:val="30"/>
        </w:rPr>
      </w:pPr>
      <w:r>
        <w:rPr>
          <w:rFonts w:hint="eastAsia"/>
          <w:color w:val="231F20"/>
          <w:sz w:val="30"/>
        </w:rPr>
        <w:t>然而，使徒将眼光稍稍抬高，在此处找到了对神人弥赛亚的终极指涉（弗 1:22, 来 2:8）。</w:t>
      </w:r>
    </w:p>
    <w:p w14:paraId="557F5A79">
      <w:pPr>
        <w:pStyle w:val="9"/>
        <w:spacing w:after="0"/>
        <w:rPr>
          <w:rFonts w:hint="eastAsia"/>
          <w:color w:val="231F20"/>
          <w:sz w:val="30"/>
        </w:rPr>
      </w:pPr>
    </w:p>
    <w:p w14:paraId="1CF9FEB2">
      <w:pPr>
        <w:pStyle w:val="9"/>
        <w:spacing w:after="0"/>
        <w:rPr>
          <w:rFonts w:hint="eastAsia"/>
          <w:color w:val="231F20"/>
          <w:sz w:val="30"/>
        </w:rPr>
      </w:pPr>
      <w:r>
        <w:rPr>
          <w:rFonts w:hint="eastAsia"/>
          <w:color w:val="231F20"/>
          <w:sz w:val="30"/>
        </w:rPr>
        <w:t>As we saw earlier (and learned from Paul), in the beginning God purposed to make his Son the spiritual Head over all creation (Eph. 1:10, Col. 1:15-20).</w:t>
      </w:r>
    </w:p>
    <w:p w14:paraId="019D5535">
      <w:pPr>
        <w:pStyle w:val="9"/>
        <w:spacing w:after="0"/>
        <w:rPr>
          <w:rFonts w:hint="eastAsia"/>
          <w:color w:val="231F20"/>
          <w:sz w:val="30"/>
        </w:rPr>
      </w:pPr>
      <w:r>
        <w:rPr>
          <w:rFonts w:hint="eastAsia"/>
          <w:color w:val="231F20"/>
          <w:sz w:val="30"/>
        </w:rPr>
        <w:t>正如我们之前所见（并从保罗那里学到的），在起初，上帝定意要立祂的儿子为全创造的属灵元首（弗 1:10, 西 1:15-20）。</w:t>
      </w:r>
    </w:p>
    <w:p w14:paraId="5BDC468B">
      <w:pPr>
        <w:pStyle w:val="9"/>
        <w:spacing w:after="0"/>
        <w:rPr>
          <w:rFonts w:hint="eastAsia"/>
          <w:color w:val="231F20"/>
          <w:sz w:val="30"/>
        </w:rPr>
      </w:pPr>
    </w:p>
    <w:p w14:paraId="6AF75304">
      <w:pPr>
        <w:pStyle w:val="9"/>
        <w:spacing w:after="0"/>
        <w:rPr>
          <w:rFonts w:hint="eastAsia"/>
          <w:color w:val="231F20"/>
          <w:sz w:val="30"/>
        </w:rPr>
      </w:pPr>
      <w:r>
        <w:rPr>
          <w:rFonts w:hint="eastAsia"/>
          <w:color w:val="231F20"/>
          <w:sz w:val="30"/>
        </w:rPr>
        <w:t>When sin entered the equation, he then set about to fulfill that purpose by making the Son of God into the Son of Man; making him the divine-human Redeemer, under whose headship he would place a new humanity and a new creation.</w:t>
      </w:r>
    </w:p>
    <w:p w14:paraId="58B69A96">
      <w:pPr>
        <w:pStyle w:val="9"/>
        <w:spacing w:after="0"/>
        <w:rPr>
          <w:rFonts w:hint="eastAsia"/>
          <w:color w:val="231F20"/>
          <w:sz w:val="30"/>
        </w:rPr>
      </w:pPr>
      <w:r>
        <w:rPr>
          <w:rFonts w:hint="eastAsia"/>
          <w:color w:val="231F20"/>
          <w:sz w:val="30"/>
        </w:rPr>
        <w:t>当罪进入了这个等式，祂就开始着手实现那个旨意，将上帝之子变为人子；使祂成为神人救赎主，在祂的元首地位下，祂将安置一个新的人类和一个新的创造。</w:t>
      </w:r>
    </w:p>
    <w:p w14:paraId="446FD4C9">
      <w:pPr>
        <w:pStyle w:val="9"/>
        <w:spacing w:after="0"/>
        <w:rPr>
          <w:rFonts w:hint="eastAsia"/>
          <w:color w:val="231F20"/>
          <w:sz w:val="30"/>
        </w:rPr>
      </w:pPr>
    </w:p>
    <w:p w14:paraId="5FDCBD92">
      <w:pPr>
        <w:pStyle w:val="9"/>
        <w:spacing w:after="0"/>
        <w:rPr>
          <w:rFonts w:hint="eastAsia"/>
          <w:color w:val="231F20"/>
          <w:sz w:val="30"/>
        </w:rPr>
      </w:pPr>
      <w:r>
        <w:rPr>
          <w:rFonts w:hint="eastAsia"/>
          <w:color w:val="231F20"/>
          <w:sz w:val="30"/>
        </w:rPr>
        <w:t>Thus, in verse 27, Paul affirms that at Christ’s return God will fulfill his eternal purpose for his Son, placing all remaining enemies under his feet, and all remaining friends under his headship, with the result that all creation will be renewed, perfected, and glorified.</w:t>
      </w:r>
    </w:p>
    <w:p w14:paraId="72FF4A8E">
      <w:pPr>
        <w:pStyle w:val="9"/>
        <w:spacing w:after="0"/>
        <w:rPr>
          <w:rFonts w:hint="eastAsia"/>
          <w:color w:val="231F20"/>
          <w:sz w:val="30"/>
        </w:rPr>
      </w:pPr>
      <w:r>
        <w:rPr>
          <w:rFonts w:hint="eastAsia"/>
          <w:color w:val="231F20"/>
          <w:sz w:val="30"/>
        </w:rPr>
        <w:t>因此，在第27节中，保罗肯定说，在基督再来时，上帝将成就祂对祂儿子的永恒旨意，将所有余下的仇敌都放在祂脚下，将所有余下的朋友都置于祂的元首地位之下，结果是所有受造之物都将被更新、成全和得荣。</w:t>
      </w:r>
    </w:p>
    <w:p w14:paraId="6B163169">
      <w:pPr>
        <w:pStyle w:val="9"/>
        <w:spacing w:after="0"/>
        <w:rPr>
          <w:rFonts w:hint="eastAsia"/>
          <w:color w:val="231F20"/>
          <w:sz w:val="30"/>
        </w:rPr>
      </w:pPr>
    </w:p>
    <w:p w14:paraId="32E2ACC3">
      <w:pPr>
        <w:pStyle w:val="9"/>
        <w:spacing w:after="0"/>
        <w:rPr>
          <w:rFonts w:hint="eastAsia"/>
          <w:color w:val="231F20"/>
          <w:sz w:val="30"/>
        </w:rPr>
      </w:pPr>
      <w:r>
        <w:rPr>
          <w:rFonts w:hint="eastAsia"/>
          <w:color w:val="231F20"/>
          <w:sz w:val="30"/>
        </w:rPr>
        <w:t>There is, however, one exception: the Father himself.</w:t>
      </w:r>
    </w:p>
    <w:p w14:paraId="6D16C925">
      <w:pPr>
        <w:pStyle w:val="9"/>
        <w:spacing w:after="0"/>
        <w:rPr>
          <w:rFonts w:hint="eastAsia"/>
          <w:color w:val="231F20"/>
          <w:sz w:val="30"/>
        </w:rPr>
      </w:pPr>
      <w:r>
        <w:rPr>
          <w:rFonts w:hint="eastAsia"/>
          <w:color w:val="231F20"/>
          <w:sz w:val="30"/>
        </w:rPr>
        <w:t>然而，有一个例外：父自己。</w:t>
      </w:r>
    </w:p>
    <w:p w14:paraId="0098999D">
      <w:pPr>
        <w:pStyle w:val="9"/>
        <w:spacing w:after="0"/>
        <w:rPr>
          <w:rFonts w:hint="eastAsia"/>
          <w:color w:val="231F20"/>
          <w:sz w:val="30"/>
        </w:rPr>
      </w:pPr>
    </w:p>
    <w:p w14:paraId="6A64C823">
      <w:pPr>
        <w:pStyle w:val="9"/>
        <w:spacing w:after="0"/>
        <w:rPr>
          <w:rFonts w:hint="eastAsia"/>
          <w:color w:val="231F20"/>
          <w:sz w:val="30"/>
        </w:rPr>
      </w:pPr>
      <w:r>
        <w:rPr>
          <w:rFonts w:hint="eastAsia"/>
          <w:color w:val="231F20"/>
          <w:sz w:val="30"/>
        </w:rPr>
        <w:t>He cannot come under Christ’s authority, since it is by his supreme authority that Christ received the (heavenly) authority that he now has (15:27).</w:t>
      </w:r>
    </w:p>
    <w:p w14:paraId="7D7D6A96">
      <w:pPr>
        <w:pStyle w:val="9"/>
        <w:spacing w:after="0"/>
        <w:rPr>
          <w:rFonts w:hint="eastAsia"/>
          <w:color w:val="231F20"/>
          <w:sz w:val="30"/>
        </w:rPr>
      </w:pPr>
      <w:r>
        <w:rPr>
          <w:rFonts w:hint="eastAsia"/>
          <w:color w:val="231F20"/>
          <w:sz w:val="30"/>
        </w:rPr>
        <w:t>祂不能归于基督的权柄之下，因为基督现在所拥有的（属天的）权柄，正是藉着祂至高的权柄领受的（15:27）。</w:t>
      </w:r>
    </w:p>
    <w:p w14:paraId="5869692E">
      <w:pPr>
        <w:pStyle w:val="9"/>
        <w:spacing w:after="0"/>
        <w:rPr>
          <w:rFonts w:hint="eastAsia"/>
          <w:color w:val="231F20"/>
          <w:sz w:val="30"/>
        </w:rPr>
      </w:pPr>
    </w:p>
    <w:p w14:paraId="487CE3B5">
      <w:pPr>
        <w:pStyle w:val="9"/>
        <w:spacing w:after="0"/>
        <w:rPr>
          <w:rFonts w:hint="eastAsia"/>
          <w:color w:val="231F20"/>
          <w:sz w:val="30"/>
        </w:rPr>
      </w:pPr>
      <w:r>
        <w:rPr>
          <w:rFonts w:hint="eastAsia"/>
          <w:color w:val="231F20"/>
          <w:sz w:val="30"/>
        </w:rPr>
        <w:t>Accordingly, it is only fitting that in the end Christ should deliver up to the Father, not only his delegated sovereignty, but also all the (redeemed) things that the Father so lovingly delivered over to him, so that once again God (the Father) becomes the supreme authority over all (15:25).</w:t>
      </w:r>
    </w:p>
    <w:p w14:paraId="50B8BD9C">
      <w:pPr>
        <w:pStyle w:val="9"/>
        <w:spacing w:after="0"/>
        <w:rPr>
          <w:rFonts w:hint="eastAsia"/>
          <w:color w:val="231F20"/>
          <w:sz w:val="30"/>
        </w:rPr>
      </w:pPr>
      <w:r>
        <w:rPr>
          <w:rFonts w:hint="eastAsia"/>
          <w:color w:val="231F20"/>
          <w:sz w:val="30"/>
        </w:rPr>
        <w:t>因此，理当如此，最终基督应将祂所受的权柄，连同父慈爱地交托给祂的一切（被赎的）事物，都交与父，好叫上帝（父）再次成为万有的至高掌权者（15:25）。</w:t>
      </w:r>
    </w:p>
    <w:p w14:paraId="315CCA73">
      <w:pPr>
        <w:pStyle w:val="9"/>
        <w:spacing w:after="0"/>
        <w:rPr>
          <w:rFonts w:hint="eastAsia"/>
          <w:color w:val="231F20"/>
          <w:sz w:val="30"/>
        </w:rPr>
      </w:pPr>
    </w:p>
    <w:p w14:paraId="1A7453F1">
      <w:pPr>
        <w:pStyle w:val="9"/>
        <w:spacing w:after="0"/>
        <w:rPr>
          <w:rFonts w:hint="eastAsia"/>
          <w:color w:val="231F20"/>
          <w:sz w:val="30"/>
        </w:rPr>
      </w:pPr>
      <w:r>
        <w:rPr>
          <w:rFonts w:hint="eastAsia"/>
          <w:color w:val="231F20"/>
          <w:sz w:val="30"/>
        </w:rPr>
        <w:t>Note carefully from this amazing verse that Christ will deliver up all (redeemed) things to his Father.</w:t>
      </w:r>
    </w:p>
    <w:p w14:paraId="134AB180">
      <w:pPr>
        <w:pStyle w:val="9"/>
        <w:spacing w:after="0"/>
        <w:rPr>
          <w:rFonts w:hint="eastAsia"/>
          <w:color w:val="231F20"/>
          <w:sz w:val="30"/>
        </w:rPr>
      </w:pPr>
      <w:r>
        <w:rPr>
          <w:rFonts w:hint="eastAsia"/>
          <w:color w:val="231F20"/>
          <w:sz w:val="30"/>
        </w:rPr>
        <w:t>请从这节惊人的经文中仔细注意，基督将把所有（被赎的）事物都交与祂的父。</w:t>
      </w:r>
    </w:p>
    <w:p w14:paraId="5404CE1D">
      <w:pPr>
        <w:pStyle w:val="9"/>
        <w:spacing w:after="0"/>
        <w:rPr>
          <w:rFonts w:hint="eastAsia"/>
          <w:color w:val="231F20"/>
          <w:sz w:val="30"/>
        </w:rPr>
      </w:pPr>
    </w:p>
    <w:p w14:paraId="18E8D52F">
      <w:pPr>
        <w:pStyle w:val="9"/>
        <w:spacing w:after="0"/>
        <w:rPr>
          <w:rFonts w:hint="eastAsia"/>
          <w:color w:val="231F20"/>
          <w:sz w:val="30"/>
        </w:rPr>
      </w:pPr>
      <w:r>
        <w:rPr>
          <w:rFonts w:hint="eastAsia"/>
          <w:color w:val="231F20"/>
          <w:sz w:val="30"/>
        </w:rPr>
        <w:t>This is none other than the consummated Kingdom of the Son—a new glorified humanity and a new glorified universe—freely and lovingly surrendered up to the Father, so that in the eternal Kingdom of the Father, he may be in all and over all, supremely.</w:t>
      </w:r>
    </w:p>
    <w:p w14:paraId="5631797C">
      <w:pPr>
        <w:pStyle w:val="9"/>
        <w:spacing w:after="0"/>
        <w:rPr>
          <w:rFonts w:hint="eastAsia"/>
          <w:color w:val="231F20"/>
          <w:sz w:val="30"/>
        </w:rPr>
      </w:pPr>
      <w:r>
        <w:rPr>
          <w:rFonts w:hint="eastAsia"/>
          <w:color w:val="231F20"/>
          <w:sz w:val="30"/>
        </w:rPr>
        <w:t>这正是那最终成全的圣子之国——一个崭新得荣的人类和一个崭新得荣的宇宙——自由且慈爱地交与父，好叫在父的永恒国度里，祂可以在万有之中，又在万有之上，为至高者。</w:t>
      </w:r>
    </w:p>
    <w:p w14:paraId="46C1E6C0">
      <w:pPr>
        <w:pStyle w:val="9"/>
        <w:spacing w:after="0"/>
        <w:rPr>
          <w:rFonts w:hint="eastAsia"/>
          <w:color w:val="231F20"/>
          <w:sz w:val="30"/>
        </w:rPr>
      </w:pPr>
    </w:p>
    <w:p w14:paraId="52AC0E87">
      <w:pPr>
        <w:pStyle w:val="9"/>
        <w:spacing w:after="0"/>
        <w:rPr>
          <w:rFonts w:hint="eastAsia"/>
          <w:color w:val="231F20"/>
          <w:sz w:val="30"/>
        </w:rPr>
      </w:pPr>
      <w:r>
        <w:rPr>
          <w:rFonts w:hint="eastAsia"/>
          <w:color w:val="231F20"/>
          <w:sz w:val="30"/>
        </w:rPr>
        <w:t>Summing up, we have found that in this decisive NT text Paul once again represents the Kingdom as coming in two simple stages, separated by a single Parousia of Christ at the end of the age.</w:t>
      </w:r>
    </w:p>
    <w:p w14:paraId="5C017144">
      <w:pPr>
        <w:pStyle w:val="9"/>
        <w:spacing w:after="0"/>
        <w:rPr>
          <w:rFonts w:hint="eastAsia"/>
          <w:color w:val="231F20"/>
          <w:sz w:val="30"/>
        </w:rPr>
      </w:pPr>
      <w:r>
        <w:rPr>
          <w:rFonts w:hint="eastAsia"/>
          <w:color w:val="231F20"/>
          <w:sz w:val="30"/>
        </w:rPr>
        <w:t>总结来说，我们发现，在这段决定性的新约经文中，保罗再次将国度描绘成以两个简单的阶段降临，由世代末了基督的一次性再来所分隔。</w:t>
      </w:r>
    </w:p>
    <w:p w14:paraId="2B032D45">
      <w:pPr>
        <w:pStyle w:val="9"/>
        <w:spacing w:after="0"/>
        <w:rPr>
          <w:rFonts w:hint="eastAsia"/>
          <w:color w:val="231F20"/>
          <w:sz w:val="30"/>
        </w:rPr>
      </w:pPr>
    </w:p>
    <w:p w14:paraId="0AD9A031">
      <w:pPr>
        <w:pStyle w:val="9"/>
        <w:spacing w:after="0"/>
        <w:rPr>
          <w:rFonts w:hint="eastAsia"/>
          <w:color w:val="231F20"/>
          <w:sz w:val="30"/>
        </w:rPr>
      </w:pPr>
      <w:r>
        <w:rPr>
          <w:rFonts w:hint="eastAsia"/>
          <w:color w:val="231F20"/>
          <w:sz w:val="30"/>
        </w:rPr>
        <w:t>Moreover, we have seen that this single Parousia is closely associated with a single resurrection of the dead, a single transformation of the living saints, and a single judgment of Christ’s foes.</w:t>
      </w:r>
    </w:p>
    <w:p w14:paraId="2EB4F82D">
      <w:pPr>
        <w:pStyle w:val="9"/>
        <w:spacing w:after="0"/>
        <w:rPr>
          <w:rFonts w:hint="eastAsia"/>
          <w:color w:val="231F20"/>
          <w:sz w:val="30"/>
        </w:rPr>
      </w:pPr>
      <w:r>
        <w:rPr>
          <w:rFonts w:hint="eastAsia"/>
          <w:color w:val="231F20"/>
          <w:sz w:val="30"/>
        </w:rPr>
        <w:t>此外，我们已经看到，这次单一的再来与一次性的死人复活、一次性的活着的圣徒改变，以及一次性的对基督仇敌的审判密切相关。</w:t>
      </w:r>
    </w:p>
    <w:p w14:paraId="3E6B8AD7">
      <w:pPr>
        <w:pStyle w:val="9"/>
        <w:spacing w:after="0"/>
        <w:rPr>
          <w:rFonts w:hint="eastAsia"/>
          <w:color w:val="231F20"/>
          <w:sz w:val="30"/>
        </w:rPr>
      </w:pPr>
    </w:p>
    <w:p w14:paraId="319680AC">
      <w:pPr>
        <w:pStyle w:val="9"/>
        <w:spacing w:after="0"/>
        <w:rPr>
          <w:rFonts w:hint="eastAsia"/>
          <w:color w:val="231F20"/>
          <w:sz w:val="30"/>
        </w:rPr>
      </w:pPr>
      <w:r>
        <w:rPr>
          <w:rFonts w:hint="eastAsia"/>
          <w:color w:val="231F20"/>
          <w:sz w:val="30"/>
        </w:rPr>
        <w:t>The Parousia is therefore the hub, the fixed center around which all the other elements of the Consummation revolve.</w:t>
      </w:r>
    </w:p>
    <w:p w14:paraId="5DD9E253">
      <w:pPr>
        <w:pStyle w:val="9"/>
        <w:spacing w:after="0"/>
        <w:rPr>
          <w:rFonts w:hint="eastAsia"/>
          <w:color w:val="231F20"/>
          <w:sz w:val="30"/>
        </w:rPr>
      </w:pPr>
      <w:r>
        <w:rPr>
          <w:rFonts w:hint="eastAsia"/>
          <w:color w:val="231F20"/>
          <w:sz w:val="30"/>
        </w:rPr>
        <w:t>因此，基督的再来是枢纽，是所有其他最终成全要素围绕其旋转的固定中心。</w:t>
      </w:r>
    </w:p>
    <w:p w14:paraId="17B147F3">
      <w:pPr>
        <w:pStyle w:val="9"/>
        <w:spacing w:after="0"/>
        <w:rPr>
          <w:rFonts w:hint="eastAsia"/>
          <w:color w:val="231F20"/>
          <w:sz w:val="30"/>
        </w:rPr>
      </w:pPr>
    </w:p>
    <w:p w14:paraId="40B392A5">
      <w:pPr>
        <w:pStyle w:val="9"/>
        <w:spacing w:after="0"/>
        <w:rPr>
          <w:rFonts w:hint="eastAsia"/>
          <w:color w:val="231F20"/>
          <w:sz w:val="30"/>
        </w:rPr>
      </w:pPr>
      <w:r>
        <w:rPr>
          <w:rFonts w:hint="eastAsia"/>
          <w:color w:val="231F20"/>
          <w:sz w:val="30"/>
        </w:rPr>
        <w:t>For this reason, in 1 Corinthians 15 the classical Reformation eschatology finds an excellent friend indeed.1, 2, 3</w:t>
      </w:r>
    </w:p>
    <w:p w14:paraId="0EC510AF">
      <w:pPr>
        <w:pStyle w:val="9"/>
        <w:spacing w:after="0"/>
        <w:rPr>
          <w:rFonts w:hint="eastAsia"/>
          <w:color w:val="231F20"/>
          <w:sz w:val="30"/>
        </w:rPr>
      </w:pPr>
      <w:r>
        <w:rPr>
          <w:rFonts w:hint="eastAsia"/>
          <w:color w:val="231F20"/>
          <w:sz w:val="30"/>
        </w:rPr>
        <w:t>因此，在哥林多前书15章中，古典宗教改革的末世论确实找到了一个极好的朋友。1, 2, 3</w:t>
      </w:r>
    </w:p>
    <w:p w14:paraId="1E0081B8">
      <w:pPr>
        <w:pStyle w:val="9"/>
        <w:spacing w:after="0"/>
        <w:rPr>
          <w:rFonts w:hint="eastAsia"/>
          <w:color w:val="231F20"/>
          <w:sz w:val="30"/>
        </w:rPr>
      </w:pPr>
    </w:p>
    <w:p w14:paraId="61DB71A6">
      <w:pPr>
        <w:pStyle w:val="9"/>
        <w:spacing w:after="0"/>
        <w:rPr>
          <w:rFonts w:hint="eastAsia"/>
          <w:color w:val="231F20"/>
          <w:sz w:val="30"/>
        </w:rPr>
      </w:pPr>
      <w:r>
        <w:rPr>
          <w:rFonts w:hint="eastAsia"/>
          <w:color w:val="231F20"/>
          <w:sz w:val="30"/>
        </w:rPr>
        <w:t>Paul’s Prayer for the Ephesians (Eph. 1:15-23)</w:t>
      </w:r>
    </w:p>
    <w:p w14:paraId="7B965E07">
      <w:pPr>
        <w:pStyle w:val="9"/>
        <w:spacing w:after="0"/>
        <w:rPr>
          <w:rFonts w:hint="eastAsia"/>
          <w:color w:val="231F20"/>
          <w:sz w:val="30"/>
        </w:rPr>
      </w:pPr>
      <w:r>
        <w:rPr>
          <w:rFonts w:hint="eastAsia"/>
          <w:color w:val="231F20"/>
          <w:sz w:val="30"/>
        </w:rPr>
        <w:t>保罗为以弗所人的祷告（弗 1:15-23）</w:t>
      </w:r>
    </w:p>
    <w:p w14:paraId="41F280EF">
      <w:pPr>
        <w:pStyle w:val="9"/>
        <w:spacing w:after="0"/>
        <w:rPr>
          <w:rFonts w:hint="eastAsia"/>
          <w:color w:val="231F20"/>
          <w:sz w:val="30"/>
        </w:rPr>
      </w:pPr>
    </w:p>
    <w:p w14:paraId="69BB9E2B">
      <w:pPr>
        <w:pStyle w:val="9"/>
        <w:spacing w:after="0"/>
        <w:rPr>
          <w:rFonts w:hint="eastAsia"/>
          <w:color w:val="231F20"/>
          <w:sz w:val="30"/>
        </w:rPr>
      </w:pPr>
      <w:r>
        <w:rPr>
          <w:rFonts w:hint="eastAsia"/>
          <w:color w:val="231F20"/>
          <w:sz w:val="30"/>
        </w:rPr>
        <w:t>Paul’s letter to the Ephesians is an extended meditation upon the mystery of the Church, and upon its place in God’s redemptive purpose and plan for the universe.</w:t>
      </w:r>
    </w:p>
    <w:p w14:paraId="4966F492">
      <w:pPr>
        <w:pStyle w:val="9"/>
        <w:spacing w:after="0"/>
        <w:rPr>
          <w:rFonts w:hint="eastAsia"/>
          <w:color w:val="231F20"/>
          <w:sz w:val="30"/>
        </w:rPr>
      </w:pPr>
      <w:r>
        <w:rPr>
          <w:rFonts w:hint="eastAsia"/>
          <w:color w:val="231F20"/>
          <w:sz w:val="30"/>
        </w:rPr>
        <w:t>保罗写给以弗所人的信是对教会奥秘及其在上帝对宇宙的救赎旨意和计划中地位的延伸默想。</w:t>
      </w:r>
    </w:p>
    <w:p w14:paraId="29A641FA">
      <w:pPr>
        <w:pStyle w:val="9"/>
        <w:spacing w:after="0"/>
        <w:rPr>
          <w:rFonts w:hint="eastAsia"/>
          <w:color w:val="231F20"/>
          <w:sz w:val="30"/>
        </w:rPr>
      </w:pPr>
    </w:p>
    <w:p w14:paraId="3750966C">
      <w:pPr>
        <w:pStyle w:val="9"/>
        <w:spacing w:after="0"/>
        <w:rPr>
          <w:rFonts w:hint="eastAsia"/>
          <w:color w:val="231F20"/>
          <w:sz w:val="30"/>
        </w:rPr>
      </w:pPr>
      <w:r>
        <w:rPr>
          <w:rFonts w:hint="eastAsia"/>
          <w:color w:val="231F20"/>
          <w:sz w:val="30"/>
        </w:rPr>
        <w:t>To read it is to see immediately that the mystery of Christ’s heavenly reign lies at the heart of both; indeed, that it has always been one of the great goals of Salvation History, a goal that has finally been reached, and is presently being fulfilled, now that Jesus Christ is seated at the right hand of God.</w:t>
      </w:r>
    </w:p>
    <w:p w14:paraId="356D437A">
      <w:pPr>
        <w:pStyle w:val="9"/>
        <w:spacing w:after="0"/>
        <w:rPr>
          <w:rFonts w:hint="eastAsia"/>
          <w:color w:val="231F20"/>
          <w:sz w:val="30"/>
        </w:rPr>
      </w:pPr>
      <w:r>
        <w:rPr>
          <w:rFonts w:hint="eastAsia"/>
          <w:color w:val="231F20"/>
          <w:sz w:val="30"/>
        </w:rPr>
        <w:t>读它就会立刻看到，基督属天统治的奥秘是两者的核心；事实上，它一直是救赎历史的伟大目标之一，这个目标终于被达到，并且现在正在实现中，因为耶稣基督已坐在上帝的右边。</w:t>
      </w:r>
    </w:p>
    <w:p w14:paraId="66A30A93">
      <w:pPr>
        <w:pStyle w:val="9"/>
        <w:spacing w:after="0"/>
        <w:rPr>
          <w:rFonts w:hint="eastAsia"/>
          <w:color w:val="231F20"/>
          <w:sz w:val="30"/>
        </w:rPr>
      </w:pPr>
    </w:p>
    <w:p w14:paraId="0DA07363">
      <w:pPr>
        <w:pStyle w:val="9"/>
        <w:spacing w:after="0"/>
        <w:rPr>
          <w:rFonts w:hint="eastAsia"/>
          <w:color w:val="231F20"/>
          <w:sz w:val="30"/>
        </w:rPr>
      </w:pPr>
      <w:r>
        <w:rPr>
          <w:rFonts w:hint="eastAsia"/>
          <w:color w:val="231F20"/>
          <w:sz w:val="30"/>
        </w:rPr>
        <w:t>Our text—Paul’s majestic prayer for a spirit of wisdom and revelation in the knowledge of God and his purposes—throws considerable light on these things, supplying yet another NT confirmation of the centrality of the Messiah’s heavenly reign, and of the true structure of Salvation History.</w:t>
      </w:r>
    </w:p>
    <w:p w14:paraId="0840B068">
      <w:pPr>
        <w:pStyle w:val="9"/>
        <w:spacing w:after="0"/>
        <w:rPr>
          <w:rFonts w:hint="eastAsia"/>
          <w:color w:val="231F20"/>
          <w:sz w:val="30"/>
        </w:rPr>
      </w:pPr>
      <w:r>
        <w:rPr>
          <w:rFonts w:hint="eastAsia"/>
          <w:color w:val="231F20"/>
          <w:sz w:val="30"/>
        </w:rPr>
        <w:t>我们的经文——保罗为求得智慧和启示的灵，好真知道上帝和祂的旨意而作的庄严祷告——对这些事投下了相当的光，为弥赛亚属天统治的中心性以及救赎历史的真实结构，提供了又一个新约的确认。</w:t>
      </w:r>
    </w:p>
    <w:p w14:paraId="06B06198">
      <w:pPr>
        <w:pStyle w:val="9"/>
        <w:spacing w:after="0"/>
        <w:rPr>
          <w:rFonts w:hint="eastAsia"/>
          <w:color w:val="231F20"/>
          <w:sz w:val="30"/>
        </w:rPr>
      </w:pPr>
    </w:p>
    <w:p w14:paraId="361DC202">
      <w:pPr>
        <w:pStyle w:val="9"/>
        <w:spacing w:after="0"/>
        <w:rPr>
          <w:rFonts w:hint="eastAsia"/>
          <w:color w:val="231F20"/>
          <w:sz w:val="30"/>
        </w:rPr>
      </w:pPr>
      <w:r>
        <w:rPr>
          <w:rFonts w:hint="eastAsia"/>
          <w:color w:val="231F20"/>
          <w:sz w:val="30"/>
        </w:rPr>
        <w:t>In the preceding verses (1:3-14), Paul has laid a foundation, using a trinitarian framework to unveil the great mysteries of redemption, the core elements of the Eternal Covenant.</w:t>
      </w:r>
    </w:p>
    <w:p w14:paraId="6B6A87A8">
      <w:pPr>
        <w:pStyle w:val="9"/>
        <w:spacing w:after="0"/>
        <w:rPr>
          <w:rFonts w:hint="eastAsia"/>
          <w:color w:val="231F20"/>
          <w:sz w:val="30"/>
        </w:rPr>
      </w:pPr>
      <w:r>
        <w:rPr>
          <w:rFonts w:hint="eastAsia"/>
          <w:color w:val="231F20"/>
          <w:sz w:val="30"/>
        </w:rPr>
        <w:t>在前面的经文（1:3-14）中，保罗已经奠定了基础，使用了一个三一论的框架来揭示救赎的伟大奥秘，即永恒之约的核心要素。</w:t>
      </w:r>
    </w:p>
    <w:p w14:paraId="27AA8402">
      <w:pPr>
        <w:pStyle w:val="9"/>
        <w:spacing w:after="0"/>
        <w:rPr>
          <w:rFonts w:hint="eastAsia"/>
          <w:color w:val="231F20"/>
          <w:sz w:val="30"/>
        </w:rPr>
      </w:pPr>
    </w:p>
    <w:p w14:paraId="3DB15C00">
      <w:pPr>
        <w:pStyle w:val="9"/>
        <w:spacing w:after="0"/>
        <w:rPr>
          <w:rFonts w:hint="eastAsia"/>
          <w:color w:val="231F20"/>
          <w:sz w:val="30"/>
        </w:rPr>
      </w:pPr>
      <w:r>
        <w:rPr>
          <w:rFonts w:hint="eastAsia"/>
          <w:color w:val="231F20"/>
          <w:sz w:val="30"/>
        </w:rPr>
        <w:t>Before the foundation of the world, God the Father elected a people (to be) in Christ (1:3-6).</w:t>
      </w:r>
    </w:p>
    <w:p w14:paraId="6CC36971">
      <w:pPr>
        <w:pStyle w:val="9"/>
        <w:spacing w:after="0"/>
        <w:rPr>
          <w:rFonts w:hint="eastAsia"/>
          <w:color w:val="231F20"/>
          <w:sz w:val="30"/>
        </w:rPr>
      </w:pPr>
      <w:r>
        <w:rPr>
          <w:rFonts w:hint="eastAsia"/>
          <w:color w:val="231F20"/>
          <w:sz w:val="30"/>
        </w:rPr>
        <w:t>在创世以前，父上帝在基督里拣选了一群子民（1:3-6）。</w:t>
      </w:r>
    </w:p>
    <w:p w14:paraId="5D07A995">
      <w:pPr>
        <w:pStyle w:val="9"/>
        <w:spacing w:after="0"/>
        <w:rPr>
          <w:rFonts w:hint="eastAsia"/>
          <w:color w:val="231F20"/>
          <w:sz w:val="30"/>
        </w:rPr>
      </w:pPr>
    </w:p>
    <w:p w14:paraId="29FB8973">
      <w:pPr>
        <w:pStyle w:val="9"/>
        <w:spacing w:after="0"/>
        <w:rPr>
          <w:rFonts w:hint="eastAsia"/>
          <w:color w:val="231F20"/>
          <w:sz w:val="30"/>
        </w:rPr>
      </w:pPr>
      <w:r>
        <w:rPr>
          <w:rFonts w:hint="eastAsia"/>
          <w:color w:val="231F20"/>
          <w:sz w:val="30"/>
        </w:rPr>
        <w:t>In the fullness of time, God the Son came forth, taking on human flesh and making provision for their redemption through the shedding of his own blood (1:7).</w:t>
      </w:r>
    </w:p>
    <w:p w14:paraId="201E202E">
      <w:pPr>
        <w:pStyle w:val="9"/>
        <w:spacing w:after="0"/>
        <w:rPr>
          <w:rFonts w:hint="eastAsia"/>
          <w:color w:val="231F20"/>
          <w:sz w:val="30"/>
        </w:rPr>
      </w:pPr>
      <w:r>
        <w:rPr>
          <w:rFonts w:hint="eastAsia"/>
          <w:color w:val="231F20"/>
          <w:sz w:val="30"/>
        </w:rPr>
        <w:t>在时候满足的时候，圣子上帝降世，取了人的肉身，藉着流出祂自己的血为他们的救赎作了预备（1:7）。</w:t>
      </w:r>
    </w:p>
    <w:p w14:paraId="757FCCB8">
      <w:pPr>
        <w:pStyle w:val="9"/>
        <w:spacing w:after="0"/>
        <w:rPr>
          <w:rFonts w:hint="eastAsia"/>
          <w:color w:val="231F20"/>
          <w:sz w:val="30"/>
        </w:rPr>
      </w:pPr>
    </w:p>
    <w:p w14:paraId="1861D8D0">
      <w:pPr>
        <w:pStyle w:val="9"/>
        <w:spacing w:after="0"/>
        <w:rPr>
          <w:rFonts w:hint="eastAsia"/>
          <w:color w:val="231F20"/>
          <w:sz w:val="30"/>
        </w:rPr>
      </w:pPr>
      <w:r>
        <w:rPr>
          <w:rFonts w:hint="eastAsia"/>
          <w:color w:val="231F20"/>
          <w:sz w:val="30"/>
        </w:rPr>
        <w:t>Now, through the preaching of the Gospel, God the Holy Spirit is gathering this people in, sealing them for God’s own possession, and teaching them about the greatness of their inheritance in Christ (1:11, 13).</w:t>
      </w:r>
    </w:p>
    <w:p w14:paraId="3BEA77B0">
      <w:pPr>
        <w:pStyle w:val="9"/>
        <w:spacing w:after="0"/>
        <w:rPr>
          <w:rFonts w:hint="eastAsia"/>
          <w:color w:val="231F20"/>
          <w:sz w:val="30"/>
        </w:rPr>
      </w:pPr>
      <w:r>
        <w:rPr>
          <w:rFonts w:hint="eastAsia"/>
          <w:color w:val="231F20"/>
          <w:sz w:val="30"/>
        </w:rPr>
        <w:t>现在，藉着福音的传讲，圣灵上帝正在召聚这群子民，为他们盖印，归上帝自己为业，并教导他们关于他们在基督里基业的伟大（1:11, 13）。</w:t>
      </w:r>
    </w:p>
    <w:p w14:paraId="574065F7">
      <w:pPr>
        <w:pStyle w:val="9"/>
        <w:spacing w:after="0"/>
        <w:rPr>
          <w:rFonts w:hint="eastAsia"/>
          <w:color w:val="231F20"/>
          <w:sz w:val="30"/>
        </w:rPr>
      </w:pPr>
    </w:p>
    <w:p w14:paraId="5A2FD8D4">
      <w:pPr>
        <w:pStyle w:val="9"/>
        <w:spacing w:after="0"/>
        <w:rPr>
          <w:rFonts w:hint="eastAsia"/>
          <w:color w:val="231F20"/>
          <w:sz w:val="30"/>
        </w:rPr>
      </w:pPr>
      <w:r>
        <w:rPr>
          <w:rFonts w:hint="eastAsia"/>
          <w:color w:val="231F20"/>
          <w:sz w:val="30"/>
        </w:rPr>
        <w:t>In all of this, God is fulfilling his eternal purpose for his Son: the heading up of all things in Christ, the placing of all (redeemed) things beneath his direct and benevolent rule (1:10).</w:t>
      </w:r>
    </w:p>
    <w:p w14:paraId="46D12D43">
      <w:pPr>
        <w:pStyle w:val="9"/>
        <w:spacing w:after="0"/>
        <w:rPr>
          <w:rFonts w:hint="eastAsia"/>
          <w:color w:val="231F20"/>
          <w:sz w:val="30"/>
        </w:rPr>
      </w:pPr>
      <w:r>
        <w:rPr>
          <w:rFonts w:hint="eastAsia"/>
          <w:color w:val="231F20"/>
          <w:sz w:val="30"/>
        </w:rPr>
        <w:t>在所有这一切中，上帝正在成就祂对祂儿子的永恒旨意：使万有都在基督里同归于一，将所有（被赎的）事物都置于祂直接和仁慈的统治之下（1:10）。</w:t>
      </w:r>
    </w:p>
    <w:p w14:paraId="1FF1F4C6">
      <w:pPr>
        <w:pStyle w:val="9"/>
        <w:spacing w:after="0"/>
        <w:rPr>
          <w:rFonts w:hint="eastAsia"/>
          <w:color w:val="231F20"/>
          <w:sz w:val="30"/>
        </w:rPr>
      </w:pPr>
    </w:p>
    <w:p w14:paraId="08D2B982">
      <w:pPr>
        <w:pStyle w:val="9"/>
        <w:spacing w:after="0"/>
        <w:rPr>
          <w:rFonts w:hint="eastAsia"/>
          <w:color w:val="231F20"/>
          <w:sz w:val="30"/>
        </w:rPr>
      </w:pPr>
      <w:r>
        <w:rPr>
          <w:rFonts w:hint="eastAsia"/>
          <w:color w:val="231F20"/>
          <w:sz w:val="30"/>
        </w:rPr>
        <w:t>But there is more.</w:t>
      </w:r>
    </w:p>
    <w:p w14:paraId="17B49DFE">
      <w:pPr>
        <w:pStyle w:val="9"/>
        <w:spacing w:after="0"/>
        <w:rPr>
          <w:rFonts w:hint="eastAsia"/>
          <w:color w:val="231F20"/>
          <w:sz w:val="30"/>
        </w:rPr>
      </w:pPr>
      <w:r>
        <w:rPr>
          <w:rFonts w:hint="eastAsia"/>
          <w:color w:val="231F20"/>
          <w:sz w:val="30"/>
        </w:rPr>
        <w:t>但还有更多。</w:t>
      </w:r>
    </w:p>
    <w:p w14:paraId="2A115BFB">
      <w:pPr>
        <w:pStyle w:val="9"/>
        <w:spacing w:after="0"/>
        <w:rPr>
          <w:rFonts w:hint="eastAsia"/>
          <w:color w:val="231F20"/>
          <w:sz w:val="30"/>
        </w:rPr>
      </w:pPr>
    </w:p>
    <w:p w14:paraId="0EBF3F4E">
      <w:pPr>
        <w:pStyle w:val="9"/>
        <w:spacing w:after="0"/>
        <w:rPr>
          <w:rFonts w:hint="eastAsia"/>
          <w:color w:val="231F20"/>
          <w:sz w:val="30"/>
        </w:rPr>
      </w:pPr>
      <w:r>
        <w:rPr>
          <w:rFonts w:hint="eastAsia"/>
          <w:color w:val="231F20"/>
          <w:sz w:val="30"/>
        </w:rPr>
        <w:t>The full inheritance is yet to be received.</w:t>
      </w:r>
    </w:p>
    <w:p w14:paraId="144D95DF">
      <w:pPr>
        <w:pStyle w:val="9"/>
        <w:spacing w:after="0"/>
        <w:rPr>
          <w:rFonts w:hint="eastAsia"/>
          <w:color w:val="231F20"/>
          <w:sz w:val="30"/>
        </w:rPr>
      </w:pPr>
      <w:r>
        <w:rPr>
          <w:rFonts w:hint="eastAsia"/>
          <w:color w:val="231F20"/>
          <w:sz w:val="30"/>
        </w:rPr>
        <w:t>完全的基业尚待领受。</w:t>
      </w:r>
    </w:p>
    <w:p w14:paraId="2027A533">
      <w:pPr>
        <w:pStyle w:val="9"/>
        <w:spacing w:after="0"/>
        <w:rPr>
          <w:rFonts w:hint="eastAsia"/>
          <w:color w:val="231F20"/>
          <w:sz w:val="30"/>
        </w:rPr>
      </w:pPr>
    </w:p>
    <w:p w14:paraId="6903C920">
      <w:pPr>
        <w:pStyle w:val="9"/>
        <w:spacing w:after="0"/>
        <w:rPr>
          <w:rFonts w:hint="eastAsia"/>
          <w:color w:val="231F20"/>
          <w:sz w:val="30"/>
        </w:rPr>
      </w:pPr>
      <w:r>
        <w:rPr>
          <w:rFonts w:hint="eastAsia"/>
          <w:color w:val="231F20"/>
          <w:sz w:val="30"/>
        </w:rPr>
        <w:t>For when at last his Church is fully gathered in, Christ himself will return to complete the redemption of the purchased possession at the resurrection of the dead.</w:t>
      </w:r>
    </w:p>
    <w:p w14:paraId="5834D248">
      <w:pPr>
        <w:pStyle w:val="9"/>
        <w:spacing w:after="0"/>
        <w:rPr>
          <w:rFonts w:hint="eastAsia"/>
          <w:color w:val="231F20"/>
          <w:sz w:val="30"/>
        </w:rPr>
      </w:pPr>
      <w:r>
        <w:rPr>
          <w:rFonts w:hint="eastAsia"/>
          <w:color w:val="231F20"/>
          <w:sz w:val="30"/>
        </w:rPr>
        <w:t>因为当祂的教会最终完全被召聚时，基督自己将再来，在死人复活时完成那被买赎产业的救赎。</w:t>
      </w:r>
    </w:p>
    <w:p w14:paraId="2D8591EF">
      <w:pPr>
        <w:pStyle w:val="9"/>
        <w:spacing w:after="0"/>
        <w:rPr>
          <w:rFonts w:hint="eastAsia"/>
          <w:color w:val="231F20"/>
          <w:sz w:val="30"/>
        </w:rPr>
      </w:pPr>
    </w:p>
    <w:p w14:paraId="6008BFF6">
      <w:pPr>
        <w:pStyle w:val="9"/>
        <w:spacing w:after="0"/>
        <w:rPr>
          <w:rFonts w:hint="eastAsia"/>
          <w:color w:val="231F20"/>
          <w:sz w:val="30"/>
        </w:rPr>
      </w:pPr>
      <w:r>
        <w:rPr>
          <w:rFonts w:hint="eastAsia"/>
          <w:color w:val="231F20"/>
          <w:sz w:val="30"/>
        </w:rPr>
        <w:t>When he does, the curse will finally be lifted, and the whole creation will be delivered from its bondage to corruption into the freedom of the glory of the children of God (1:14, Rom. 8:18-21)!</w:t>
      </w:r>
    </w:p>
    <w:p w14:paraId="6E5D0410">
      <w:pPr>
        <w:pStyle w:val="9"/>
        <w:spacing w:after="0"/>
        <w:rPr>
          <w:rFonts w:hint="eastAsia"/>
          <w:color w:val="231F20"/>
          <w:sz w:val="30"/>
        </w:rPr>
      </w:pPr>
      <w:r>
        <w:rPr>
          <w:rFonts w:hint="eastAsia"/>
          <w:color w:val="231F20"/>
          <w:sz w:val="30"/>
        </w:rPr>
        <w:t>当祂这样做的时候，咒诅将最终被解除，整个受造之物将脱离败坏的辖制，得享上帝儿女荣耀的自由（1:14, 罗 8:18-21）！</w:t>
      </w:r>
    </w:p>
    <w:p w14:paraId="39ADEE9F">
      <w:pPr>
        <w:pStyle w:val="9"/>
        <w:spacing w:after="0"/>
        <w:rPr>
          <w:rFonts w:hint="eastAsia"/>
          <w:color w:val="231F20"/>
          <w:sz w:val="30"/>
        </w:rPr>
      </w:pPr>
    </w:p>
    <w:p w14:paraId="24B770FD">
      <w:pPr>
        <w:pStyle w:val="9"/>
        <w:spacing w:after="0"/>
        <w:rPr>
          <w:rFonts w:hint="eastAsia"/>
          <w:color w:val="231F20"/>
          <w:sz w:val="30"/>
        </w:rPr>
      </w:pPr>
      <w:r>
        <w:rPr>
          <w:rFonts w:hint="eastAsia"/>
          <w:color w:val="231F20"/>
          <w:sz w:val="30"/>
        </w:rPr>
        <w:t>With all of this as background, Paul’s prayer begins.</w:t>
      </w:r>
    </w:p>
    <w:p w14:paraId="0B01B459">
      <w:pPr>
        <w:pStyle w:val="9"/>
        <w:spacing w:after="0"/>
        <w:rPr>
          <w:rFonts w:hint="eastAsia"/>
          <w:color w:val="231F20"/>
          <w:sz w:val="30"/>
        </w:rPr>
      </w:pPr>
      <w:r>
        <w:rPr>
          <w:rFonts w:hint="eastAsia"/>
          <w:color w:val="231F20"/>
          <w:sz w:val="30"/>
        </w:rPr>
        <w:t>以所有这些为背景，保罗的祷告开始了。</w:t>
      </w:r>
    </w:p>
    <w:p w14:paraId="60D58484">
      <w:pPr>
        <w:pStyle w:val="9"/>
        <w:spacing w:after="0"/>
        <w:rPr>
          <w:rFonts w:hint="eastAsia"/>
          <w:color w:val="231F20"/>
          <w:sz w:val="30"/>
        </w:rPr>
      </w:pPr>
    </w:p>
    <w:p w14:paraId="28F83E8A">
      <w:pPr>
        <w:pStyle w:val="9"/>
        <w:spacing w:after="0"/>
        <w:rPr>
          <w:rFonts w:hint="eastAsia"/>
          <w:color w:val="231F20"/>
          <w:sz w:val="30"/>
        </w:rPr>
      </w:pPr>
      <w:r>
        <w:rPr>
          <w:rFonts w:hint="eastAsia"/>
          <w:color w:val="231F20"/>
          <w:sz w:val="30"/>
        </w:rPr>
        <w:t>He is deeply grateful for their faith (15-16), but he is also keenly aware of their need of further understanding, hope, and strength.</w:t>
      </w:r>
    </w:p>
    <w:p w14:paraId="1AD59B44">
      <w:pPr>
        <w:pStyle w:val="9"/>
        <w:spacing w:after="0"/>
        <w:rPr>
          <w:rFonts w:hint="eastAsia"/>
          <w:color w:val="231F20"/>
          <w:sz w:val="30"/>
        </w:rPr>
      </w:pPr>
      <w:r>
        <w:rPr>
          <w:rFonts w:hint="eastAsia"/>
          <w:color w:val="231F20"/>
          <w:sz w:val="30"/>
        </w:rPr>
        <w:t>祂为他们的信心深表感谢（15-16），但祂也敏锐地意识到他们需要进一步的理解、盼望和力量。</w:t>
      </w:r>
    </w:p>
    <w:p w14:paraId="6A359663">
      <w:pPr>
        <w:pStyle w:val="9"/>
        <w:spacing w:after="0"/>
        <w:rPr>
          <w:rFonts w:hint="eastAsia"/>
          <w:color w:val="231F20"/>
          <w:sz w:val="30"/>
        </w:rPr>
      </w:pPr>
    </w:p>
    <w:p w14:paraId="66A1D20F">
      <w:pPr>
        <w:pStyle w:val="9"/>
        <w:spacing w:after="0"/>
        <w:rPr>
          <w:rFonts w:hint="eastAsia"/>
          <w:color w:val="231F20"/>
          <w:sz w:val="30"/>
        </w:rPr>
      </w:pPr>
      <w:r>
        <w:rPr>
          <w:rFonts w:hint="eastAsia"/>
          <w:color w:val="231F20"/>
          <w:sz w:val="30"/>
        </w:rPr>
        <w:t>So he prays, asking that God will open the eyes of their hearts to see three things: the hope of their calling, the riches of the glory of God’s inheritance in the saints, and the exceeding greatness of his power—the very power that will one day cause them to inherit all he has promised (17-19).</w:t>
      </w:r>
    </w:p>
    <w:p w14:paraId="778866C7">
      <w:pPr>
        <w:pStyle w:val="9"/>
        <w:spacing w:after="0"/>
        <w:rPr>
          <w:rFonts w:hint="eastAsia"/>
          <w:color w:val="231F20"/>
          <w:sz w:val="30"/>
        </w:rPr>
      </w:pPr>
      <w:r>
        <w:rPr>
          <w:rFonts w:hint="eastAsia"/>
          <w:color w:val="231F20"/>
          <w:sz w:val="30"/>
        </w:rPr>
        <w:t>所以祂祷告，求上帝开启他们心中的眼睛，让他们能看见三件事：他们蒙召的盼望，上帝在圣徒中基业荣耀的丰富，以及祂能力的浩大——正是这能力，有一天将使他们继承祂所应许的一切（17-19）。</w:t>
      </w:r>
    </w:p>
    <w:p w14:paraId="2DBD6224">
      <w:pPr>
        <w:pStyle w:val="9"/>
        <w:spacing w:after="0"/>
        <w:rPr>
          <w:rFonts w:hint="eastAsia"/>
          <w:color w:val="231F20"/>
          <w:sz w:val="30"/>
        </w:rPr>
      </w:pPr>
    </w:p>
    <w:p w14:paraId="5042F440">
      <w:pPr>
        <w:pStyle w:val="9"/>
        <w:spacing w:after="0"/>
        <w:rPr>
          <w:rFonts w:hint="eastAsia"/>
          <w:color w:val="231F20"/>
          <w:sz w:val="30"/>
        </w:rPr>
      </w:pPr>
      <w:r>
        <w:rPr>
          <w:rFonts w:hint="eastAsia"/>
          <w:color w:val="231F20"/>
          <w:sz w:val="30"/>
        </w:rPr>
        <w:t>By way of conclusion, he illustrates that power.</w:t>
      </w:r>
    </w:p>
    <w:p w14:paraId="69E9F0BE">
      <w:pPr>
        <w:pStyle w:val="9"/>
        <w:spacing w:after="0"/>
        <w:rPr>
          <w:rFonts w:hint="eastAsia"/>
          <w:color w:val="231F20"/>
          <w:sz w:val="30"/>
        </w:rPr>
      </w:pPr>
      <w:r>
        <w:rPr>
          <w:rFonts w:hint="eastAsia"/>
          <w:color w:val="231F20"/>
          <w:sz w:val="30"/>
        </w:rPr>
        <w:t>作为结论，祂阐明了那能力。</w:t>
      </w:r>
    </w:p>
    <w:p w14:paraId="76208420">
      <w:pPr>
        <w:pStyle w:val="9"/>
        <w:spacing w:after="0"/>
        <w:rPr>
          <w:rFonts w:hint="eastAsia"/>
          <w:color w:val="231F20"/>
          <w:sz w:val="30"/>
        </w:rPr>
      </w:pPr>
    </w:p>
    <w:p w14:paraId="33936D43">
      <w:pPr>
        <w:pStyle w:val="9"/>
        <w:spacing w:after="0"/>
        <w:rPr>
          <w:rFonts w:hint="eastAsia"/>
          <w:color w:val="231F20"/>
          <w:sz w:val="30"/>
        </w:rPr>
      </w:pPr>
      <w:r>
        <w:rPr>
          <w:rFonts w:hint="eastAsia"/>
          <w:color w:val="231F20"/>
          <w:sz w:val="30"/>
        </w:rPr>
        <w:t>If ever they are inclined to doubt God’s ability to raise them from the dead or to recreate the universe, let them consider Christ: how God raised him from the dead, lifted him up into heaven, seated him at his own right hand, gave him authority and power over all men and all angels, placed the very cosmos itself “under his feet” (i.e., under his control), and—best of all—made him Head (or King) over his Church, and over all things pertaining to her welfare (20-23).</w:t>
      </w:r>
    </w:p>
    <w:p w14:paraId="39D0F266">
      <w:pPr>
        <w:pStyle w:val="9"/>
        <w:spacing w:after="0"/>
        <w:rPr>
          <w:rFonts w:hint="eastAsia"/>
          <w:color w:val="231F20"/>
          <w:sz w:val="30"/>
        </w:rPr>
      </w:pPr>
      <w:r>
        <w:rPr>
          <w:rFonts w:hint="eastAsia"/>
          <w:color w:val="231F20"/>
          <w:sz w:val="30"/>
        </w:rPr>
        <w:t>如果他们曾倾向于怀疑上帝使他们从死里复活或再造宇宙的能力，让他们思想基督：上帝如何使祂从死里复活，将祂接到天上，让祂坐在自己右边，赐给祂权柄和能力管理所有人和所有天使，将宇宙本身置于“祂的脚下”（即，在祂的掌管之下），并且——最好的是——立祂为祂教会的元首（或君王），并管理所有关乎她福祉的事（20-23）。</w:t>
      </w:r>
    </w:p>
    <w:p w14:paraId="40EADFB8">
      <w:pPr>
        <w:pStyle w:val="9"/>
        <w:spacing w:after="0"/>
        <w:rPr>
          <w:rFonts w:hint="eastAsia"/>
          <w:color w:val="231F20"/>
          <w:sz w:val="30"/>
        </w:rPr>
      </w:pPr>
    </w:p>
    <w:p w14:paraId="27856D8A">
      <w:pPr>
        <w:pStyle w:val="9"/>
        <w:spacing w:after="0"/>
        <w:rPr>
          <w:rFonts w:hint="eastAsia"/>
          <w:color w:val="231F20"/>
          <w:sz w:val="30"/>
        </w:rPr>
      </w:pPr>
      <w:r>
        <w:rPr>
          <w:rFonts w:hint="eastAsia"/>
          <w:color w:val="231F20"/>
          <w:sz w:val="30"/>
        </w:rPr>
        <w:t>Yes, in mighty power the High King of Heaven is ruling even now, and will continue to do so until his return, when at last the heading up of all things in Christ will be complete, and the glorious new Age to Come will begin (1:10, 21, 2:7).</w:t>
      </w:r>
    </w:p>
    <w:p w14:paraId="51BDCDFD">
      <w:pPr>
        <w:pStyle w:val="9"/>
        <w:spacing w:after="0"/>
        <w:rPr>
          <w:rFonts w:hint="eastAsia"/>
          <w:color w:val="231F20"/>
          <w:sz w:val="30"/>
        </w:rPr>
      </w:pPr>
      <w:r>
        <w:rPr>
          <w:rFonts w:hint="eastAsia"/>
          <w:color w:val="231F20"/>
          <w:sz w:val="30"/>
        </w:rPr>
        <w:t>是的，天上的至高君王现今正在大能中统治，并将继续如此，直到祂再来，那时万有在基督里同归于一的事将最终完成，荣耀的新来世将开始（1:10, 21, 2:7）。</w:t>
      </w:r>
    </w:p>
    <w:p w14:paraId="141CEA77">
      <w:pPr>
        <w:pStyle w:val="9"/>
        <w:spacing w:after="0"/>
        <w:rPr>
          <w:rFonts w:hint="eastAsia"/>
          <w:color w:val="231F20"/>
          <w:sz w:val="30"/>
        </w:rPr>
      </w:pPr>
    </w:p>
    <w:p w14:paraId="7F89779F">
      <w:pPr>
        <w:pStyle w:val="9"/>
        <w:spacing w:after="0"/>
        <w:rPr>
          <w:rFonts w:hint="eastAsia"/>
          <w:color w:val="231F20"/>
          <w:sz w:val="30"/>
        </w:rPr>
      </w:pPr>
      <w:r>
        <w:rPr>
          <w:rFonts w:hint="eastAsia"/>
          <w:color w:val="231F20"/>
          <w:sz w:val="30"/>
        </w:rPr>
        <w:t>Let all the saints take heart!</w:t>
      </w:r>
    </w:p>
    <w:p w14:paraId="0D5EDF81">
      <w:pPr>
        <w:pStyle w:val="9"/>
        <w:spacing w:after="0"/>
        <w:rPr>
          <w:rFonts w:hint="eastAsia"/>
          <w:color w:val="231F20"/>
          <w:sz w:val="30"/>
        </w:rPr>
      </w:pPr>
      <w:r>
        <w:rPr>
          <w:rFonts w:hint="eastAsia"/>
          <w:color w:val="231F20"/>
          <w:sz w:val="30"/>
        </w:rPr>
        <w:t>愿所有圣徒都得着鼓励！</w:t>
      </w:r>
    </w:p>
    <w:p w14:paraId="508BF787">
      <w:pPr>
        <w:pStyle w:val="9"/>
        <w:spacing w:after="0"/>
        <w:rPr>
          <w:rFonts w:hint="eastAsia"/>
          <w:color w:val="231F20"/>
          <w:sz w:val="30"/>
        </w:rPr>
      </w:pPr>
    </w:p>
    <w:p w14:paraId="0456088A">
      <w:pPr>
        <w:pStyle w:val="9"/>
        <w:spacing w:after="0"/>
        <w:rPr>
          <w:rFonts w:hint="eastAsia"/>
          <w:color w:val="231F20"/>
          <w:sz w:val="30"/>
        </w:rPr>
      </w:pPr>
      <w:r>
        <w:rPr>
          <w:rFonts w:hint="eastAsia"/>
          <w:color w:val="231F20"/>
          <w:sz w:val="30"/>
        </w:rPr>
        <w:t>Here, then, is a truly majestic portrait of the exaltation of Christ.</w:t>
      </w:r>
    </w:p>
    <w:p w14:paraId="3BCC9B97">
      <w:pPr>
        <w:pStyle w:val="9"/>
        <w:spacing w:after="0"/>
        <w:rPr>
          <w:rFonts w:hint="eastAsia"/>
          <w:color w:val="231F20"/>
          <w:sz w:val="30"/>
        </w:rPr>
      </w:pPr>
      <w:r>
        <w:rPr>
          <w:rFonts w:hint="eastAsia"/>
          <w:color w:val="231F20"/>
          <w:sz w:val="30"/>
        </w:rPr>
        <w:t>那么，这里是一幅真正庄严的基督高升的画像。</w:t>
      </w:r>
    </w:p>
    <w:p w14:paraId="59E566C8">
      <w:pPr>
        <w:pStyle w:val="9"/>
        <w:spacing w:after="0"/>
        <w:rPr>
          <w:rFonts w:hint="eastAsia"/>
          <w:color w:val="231F20"/>
          <w:sz w:val="30"/>
        </w:rPr>
      </w:pPr>
    </w:p>
    <w:p w14:paraId="7AC0D9E1">
      <w:pPr>
        <w:pStyle w:val="9"/>
        <w:spacing w:after="0"/>
        <w:rPr>
          <w:rFonts w:hint="eastAsia"/>
          <w:color w:val="231F20"/>
          <w:sz w:val="30"/>
        </w:rPr>
      </w:pPr>
      <w:r>
        <w:rPr>
          <w:rFonts w:hint="eastAsia"/>
          <w:color w:val="231F20"/>
          <w:sz w:val="30"/>
        </w:rPr>
        <w:t>Though the language of the Kingdom does not appear prominently, the idea of the Kingdom surely does.</w:t>
      </w:r>
    </w:p>
    <w:p w14:paraId="2C902168">
      <w:pPr>
        <w:pStyle w:val="9"/>
        <w:spacing w:after="0"/>
        <w:rPr>
          <w:rFonts w:hint="eastAsia"/>
          <w:color w:val="231F20"/>
          <w:sz w:val="30"/>
        </w:rPr>
      </w:pPr>
      <w:r>
        <w:rPr>
          <w:rFonts w:hint="eastAsia"/>
          <w:color w:val="231F20"/>
          <w:sz w:val="30"/>
        </w:rPr>
        <w:t>尽管国度的语言没有突出出现，但国度的观念肯定出现了。</w:t>
      </w:r>
    </w:p>
    <w:p w14:paraId="1C69098A">
      <w:pPr>
        <w:pStyle w:val="9"/>
        <w:spacing w:after="0"/>
        <w:rPr>
          <w:rFonts w:hint="eastAsia"/>
          <w:color w:val="231F20"/>
          <w:sz w:val="30"/>
        </w:rPr>
      </w:pPr>
    </w:p>
    <w:p w14:paraId="5936C38A">
      <w:pPr>
        <w:pStyle w:val="9"/>
        <w:spacing w:after="0"/>
        <w:rPr>
          <w:rFonts w:hint="eastAsia"/>
          <w:color w:val="231F20"/>
          <w:sz w:val="30"/>
        </w:rPr>
      </w:pPr>
      <w:r>
        <w:rPr>
          <w:rFonts w:hint="eastAsia"/>
          <w:color w:val="231F20"/>
          <w:sz w:val="30"/>
        </w:rPr>
        <w:t>It comes in two stages.</w:t>
      </w:r>
    </w:p>
    <w:p w14:paraId="1EEFB8E2">
      <w:pPr>
        <w:pStyle w:val="9"/>
        <w:spacing w:after="0"/>
        <w:rPr>
          <w:rFonts w:hint="eastAsia"/>
          <w:color w:val="231F20"/>
          <w:sz w:val="30"/>
        </w:rPr>
      </w:pPr>
      <w:r>
        <w:rPr>
          <w:rFonts w:hint="eastAsia"/>
          <w:color w:val="231F20"/>
          <w:sz w:val="30"/>
        </w:rPr>
        <w:t>它分两个阶段降临。</w:t>
      </w:r>
    </w:p>
    <w:p w14:paraId="1E70B59C">
      <w:pPr>
        <w:pStyle w:val="9"/>
        <w:spacing w:after="0"/>
        <w:rPr>
          <w:rFonts w:hint="eastAsia"/>
          <w:color w:val="231F20"/>
          <w:sz w:val="30"/>
        </w:rPr>
      </w:pPr>
    </w:p>
    <w:p w14:paraId="32E097E7">
      <w:pPr>
        <w:pStyle w:val="9"/>
        <w:spacing w:after="0"/>
        <w:rPr>
          <w:rFonts w:hint="eastAsia"/>
          <w:color w:val="231F20"/>
          <w:sz w:val="30"/>
        </w:rPr>
      </w:pPr>
      <w:r>
        <w:rPr>
          <w:rFonts w:hint="eastAsia"/>
          <w:color w:val="231F20"/>
          <w:sz w:val="30"/>
        </w:rPr>
        <w:t>The first is the Kingdom of the Son, during which time the Messiah rules over all—both the Church and the world—from heaven on high.</w:t>
      </w:r>
    </w:p>
    <w:p w14:paraId="08790332">
      <w:pPr>
        <w:pStyle w:val="9"/>
        <w:spacing w:after="0"/>
        <w:rPr>
          <w:rFonts w:hint="eastAsia"/>
          <w:color w:val="231F20"/>
          <w:sz w:val="30"/>
        </w:rPr>
      </w:pPr>
      <w:r>
        <w:rPr>
          <w:rFonts w:hint="eastAsia"/>
          <w:color w:val="231F20"/>
          <w:sz w:val="30"/>
        </w:rPr>
        <w:t>第一个是圣子之国，在此期间，弥赛亚从高天之上统治万有——包括教会和世界。</w:t>
      </w:r>
    </w:p>
    <w:p w14:paraId="1EE74BE8">
      <w:pPr>
        <w:pStyle w:val="9"/>
        <w:spacing w:after="0"/>
        <w:rPr>
          <w:rFonts w:hint="eastAsia"/>
          <w:color w:val="231F20"/>
          <w:sz w:val="30"/>
        </w:rPr>
      </w:pPr>
    </w:p>
    <w:p w14:paraId="7CAD5400">
      <w:pPr>
        <w:pStyle w:val="9"/>
        <w:spacing w:after="0"/>
        <w:rPr>
          <w:rFonts w:hint="eastAsia"/>
          <w:color w:val="231F20"/>
          <w:sz w:val="30"/>
        </w:rPr>
      </w:pPr>
      <w:r>
        <w:rPr>
          <w:rFonts w:hint="eastAsia"/>
          <w:color w:val="231F20"/>
          <w:sz w:val="30"/>
        </w:rPr>
        <w:t>The second is the Kingdom of the Father, the glorious Age to Come.</w:t>
      </w:r>
    </w:p>
    <w:p w14:paraId="65B8FE41">
      <w:pPr>
        <w:pStyle w:val="9"/>
        <w:spacing w:after="0"/>
        <w:rPr>
          <w:rFonts w:hint="eastAsia"/>
          <w:color w:val="231F20"/>
          <w:sz w:val="30"/>
        </w:rPr>
      </w:pPr>
      <w:r>
        <w:rPr>
          <w:rFonts w:hint="eastAsia"/>
          <w:color w:val="231F20"/>
          <w:sz w:val="30"/>
        </w:rPr>
        <w:t>第二个是父的国度，即荣耀的来世。</w:t>
      </w:r>
    </w:p>
    <w:p w14:paraId="491EDDD8">
      <w:pPr>
        <w:pStyle w:val="9"/>
        <w:spacing w:after="0"/>
        <w:rPr>
          <w:rFonts w:hint="eastAsia"/>
          <w:color w:val="231F20"/>
          <w:sz w:val="30"/>
        </w:rPr>
      </w:pPr>
    </w:p>
    <w:p w14:paraId="6B657592">
      <w:pPr>
        <w:pStyle w:val="9"/>
        <w:spacing w:after="0"/>
        <w:rPr>
          <w:rFonts w:hint="eastAsia"/>
          <w:color w:val="231F20"/>
          <w:sz w:val="30"/>
        </w:rPr>
      </w:pPr>
      <w:r>
        <w:rPr>
          <w:rFonts w:hint="eastAsia"/>
          <w:color w:val="231F20"/>
          <w:sz w:val="30"/>
        </w:rPr>
        <w:t>The partition between the two is the Parousia, when Christ himself will accomplish the full redemption of the purchased possession, to the praise of the glory of the triune God (1:12, 14).</w:t>
      </w:r>
    </w:p>
    <w:p w14:paraId="60049557">
      <w:pPr>
        <w:pStyle w:val="9"/>
        <w:spacing w:after="0"/>
        <w:rPr>
          <w:rFonts w:hint="eastAsia"/>
          <w:color w:val="231F20"/>
          <w:sz w:val="30"/>
        </w:rPr>
      </w:pPr>
      <w:r>
        <w:rPr>
          <w:rFonts w:hint="eastAsia"/>
          <w:color w:val="231F20"/>
          <w:sz w:val="30"/>
        </w:rPr>
        <w:t>两者之间的分隔是基督的再来，那时基督自己将完成那被买赎产业的完全救赎，使三一上帝的荣耀得着称赞（1:12, 14）。</w:t>
      </w:r>
    </w:p>
    <w:p w14:paraId="5AE99D05">
      <w:pPr>
        <w:pStyle w:val="9"/>
        <w:spacing w:after="0"/>
        <w:rPr>
          <w:rFonts w:hint="eastAsia"/>
          <w:color w:val="231F20"/>
          <w:sz w:val="30"/>
        </w:rPr>
      </w:pPr>
    </w:p>
    <w:p w14:paraId="1EF78159">
      <w:pPr>
        <w:pStyle w:val="9"/>
        <w:spacing w:after="0"/>
        <w:rPr>
          <w:rFonts w:hint="eastAsia"/>
          <w:color w:val="231F20"/>
          <w:sz w:val="30"/>
        </w:rPr>
      </w:pPr>
      <w:r>
        <w:rPr>
          <w:rFonts w:hint="eastAsia"/>
          <w:color w:val="231F20"/>
          <w:sz w:val="30"/>
        </w:rPr>
        <w:t>Paul’s Teaching on the saints’ Citizenship in Heaven (Phil. 3:20-21)</w:t>
      </w:r>
    </w:p>
    <w:p w14:paraId="20A987F0">
      <w:pPr>
        <w:pStyle w:val="9"/>
        <w:spacing w:after="0"/>
        <w:rPr>
          <w:rFonts w:hint="eastAsia"/>
          <w:color w:val="231F20"/>
          <w:sz w:val="30"/>
        </w:rPr>
      </w:pPr>
      <w:r>
        <w:rPr>
          <w:rFonts w:hint="eastAsia"/>
          <w:color w:val="231F20"/>
          <w:sz w:val="30"/>
        </w:rPr>
        <w:t>保罗关于圣徒天国公民身份的教导（腓 3:20-21）</w:t>
      </w:r>
    </w:p>
    <w:p w14:paraId="01E5761C">
      <w:pPr>
        <w:pStyle w:val="9"/>
        <w:spacing w:after="0"/>
        <w:rPr>
          <w:rFonts w:hint="eastAsia"/>
          <w:color w:val="231F20"/>
          <w:sz w:val="30"/>
        </w:rPr>
      </w:pPr>
    </w:p>
    <w:p w14:paraId="04971065">
      <w:pPr>
        <w:pStyle w:val="9"/>
        <w:spacing w:after="0"/>
        <w:rPr>
          <w:rFonts w:hint="eastAsia"/>
          <w:color w:val="231F20"/>
          <w:sz w:val="30"/>
        </w:rPr>
      </w:pPr>
      <w:r>
        <w:rPr>
          <w:rFonts w:hint="eastAsia"/>
          <w:color w:val="231F20"/>
          <w:sz w:val="30"/>
        </w:rPr>
        <w:t>Short as it is, this little passage packs an eschatological wallop.</w:t>
      </w:r>
    </w:p>
    <w:p w14:paraId="30513811">
      <w:pPr>
        <w:pStyle w:val="9"/>
        <w:spacing w:after="0"/>
        <w:rPr>
          <w:rFonts w:hint="eastAsia"/>
          <w:color w:val="231F20"/>
          <w:sz w:val="30"/>
        </w:rPr>
      </w:pPr>
      <w:r>
        <w:rPr>
          <w:rFonts w:hint="eastAsia"/>
          <w:color w:val="231F20"/>
          <w:sz w:val="30"/>
        </w:rPr>
        <w:t>虽然简短，这段经文却蕴含着巨大的末世论冲击力。</w:t>
      </w:r>
    </w:p>
    <w:p w14:paraId="1779F8CF">
      <w:pPr>
        <w:pStyle w:val="9"/>
        <w:spacing w:after="0"/>
        <w:rPr>
          <w:rFonts w:hint="eastAsia"/>
          <w:color w:val="231F20"/>
          <w:sz w:val="30"/>
        </w:rPr>
      </w:pPr>
    </w:p>
    <w:p w14:paraId="73F03657">
      <w:pPr>
        <w:pStyle w:val="9"/>
        <w:spacing w:after="0"/>
        <w:rPr>
          <w:rFonts w:hint="eastAsia"/>
          <w:color w:val="231F20"/>
          <w:sz w:val="30"/>
        </w:rPr>
      </w:pPr>
      <w:r>
        <w:rPr>
          <w:rFonts w:hint="eastAsia"/>
          <w:color w:val="231F20"/>
          <w:sz w:val="30"/>
        </w:rPr>
        <w:t>Paul is exhorting the Philippians to walk after the example of the godly, and not like those “who set their mind on earthly things,” whose end is destruction (3:17-19).</w:t>
      </w:r>
    </w:p>
    <w:p w14:paraId="54AB1D00">
      <w:pPr>
        <w:pStyle w:val="9"/>
        <w:spacing w:after="0"/>
        <w:rPr>
          <w:rFonts w:hint="eastAsia"/>
          <w:color w:val="231F20"/>
          <w:sz w:val="30"/>
        </w:rPr>
      </w:pPr>
      <w:r>
        <w:rPr>
          <w:rFonts w:hint="eastAsia"/>
          <w:color w:val="231F20"/>
          <w:sz w:val="30"/>
        </w:rPr>
        <w:t>保罗劝勉腓立比人要效法敬虔之人的榜样，而不要像那些“以地上的事为念”的人，他们的结局是沉沦（3:17-19）。</w:t>
      </w:r>
    </w:p>
    <w:p w14:paraId="27F03E50">
      <w:pPr>
        <w:pStyle w:val="9"/>
        <w:spacing w:after="0"/>
        <w:rPr>
          <w:rFonts w:hint="eastAsia"/>
          <w:color w:val="231F20"/>
          <w:sz w:val="30"/>
        </w:rPr>
      </w:pPr>
    </w:p>
    <w:p w14:paraId="42673F36">
      <w:pPr>
        <w:pStyle w:val="9"/>
        <w:spacing w:after="0"/>
        <w:rPr>
          <w:rFonts w:hint="eastAsia"/>
          <w:color w:val="231F20"/>
          <w:sz w:val="30"/>
        </w:rPr>
      </w:pPr>
      <w:r>
        <w:rPr>
          <w:rFonts w:hint="eastAsia"/>
          <w:color w:val="231F20"/>
          <w:sz w:val="30"/>
        </w:rPr>
        <w:t>Eager to secure their obedience, he therefore concludes by supplying the spiritual rationale for a holy life, a rationale that is full of eschatological truth and encouragement:</w:t>
      </w:r>
    </w:p>
    <w:p w14:paraId="5F81788F">
      <w:pPr>
        <w:pStyle w:val="9"/>
        <w:spacing w:after="0"/>
        <w:rPr>
          <w:rFonts w:hint="eastAsia"/>
          <w:color w:val="231F20"/>
          <w:sz w:val="30"/>
        </w:rPr>
      </w:pPr>
      <w:r>
        <w:rPr>
          <w:rFonts w:hint="eastAsia"/>
          <w:color w:val="231F20"/>
          <w:sz w:val="30"/>
        </w:rPr>
        <w:t>为要确保他们的顺服，祂因此通过提供一个圣洁生活的属灵理据来作结，这个理据充满了末世论的真理和鼓励：</w:t>
      </w:r>
    </w:p>
    <w:p w14:paraId="2FF27960">
      <w:pPr>
        <w:pStyle w:val="9"/>
        <w:spacing w:after="0"/>
        <w:rPr>
          <w:rFonts w:hint="eastAsia"/>
          <w:color w:val="231F20"/>
          <w:sz w:val="30"/>
        </w:rPr>
      </w:pPr>
    </w:p>
    <w:p w14:paraId="006E7BC3">
      <w:pPr>
        <w:pStyle w:val="9"/>
        <w:spacing w:after="0"/>
        <w:rPr>
          <w:rFonts w:hint="eastAsia"/>
          <w:color w:val="231F20"/>
          <w:sz w:val="30"/>
        </w:rPr>
      </w:pPr>
      <w:r>
        <w:rPr>
          <w:rFonts w:hint="eastAsia"/>
          <w:color w:val="231F20"/>
          <w:sz w:val="30"/>
        </w:rPr>
        <w:t>For our citizenship is in heaven, from which we also eagerly wait for a Savior, the Lord Jesus Christ, who will transform the body of our humiliation into conformity with the body of his glory, by the exertion of the power that he has even to subject all things to himself.</w:t>
      </w:r>
    </w:p>
    <w:p w14:paraId="603CDF9F">
      <w:pPr>
        <w:pStyle w:val="9"/>
        <w:spacing w:after="0"/>
        <w:rPr>
          <w:rFonts w:hint="eastAsia"/>
          <w:color w:val="231F20"/>
          <w:sz w:val="30"/>
        </w:rPr>
      </w:pPr>
      <w:r>
        <w:rPr>
          <w:rFonts w:hint="eastAsia"/>
          <w:color w:val="231F20"/>
          <w:sz w:val="30"/>
        </w:rPr>
        <w:t>我们却是天上的国民，并且等候救主，就是主耶稣基督，从天上降临。祂要按着那能叫万有归服自己的大能，将我们这卑贱的身体改变形状，和祂自己荣耀的身体相似。</w:t>
      </w:r>
    </w:p>
    <w:p w14:paraId="3DF5DE92">
      <w:pPr>
        <w:pStyle w:val="9"/>
        <w:spacing w:after="0"/>
        <w:rPr>
          <w:rFonts w:hint="eastAsia"/>
          <w:color w:val="231F20"/>
          <w:sz w:val="30"/>
        </w:rPr>
      </w:pPr>
    </w:p>
    <w:p w14:paraId="27D82CF0">
      <w:pPr>
        <w:pStyle w:val="9"/>
        <w:spacing w:after="0"/>
        <w:rPr>
          <w:rFonts w:hint="eastAsia"/>
          <w:color w:val="231F20"/>
          <w:sz w:val="30"/>
        </w:rPr>
      </w:pPr>
      <w:r>
        <w:rPr>
          <w:rFonts w:hint="eastAsia"/>
          <w:color w:val="231F20"/>
          <w:sz w:val="30"/>
        </w:rPr>
        <w:t>Keeping our theme of the Kingdom before us, let us briefly spotlight three important points reflected in this text.</w:t>
      </w:r>
    </w:p>
    <w:p w14:paraId="7360946D">
      <w:pPr>
        <w:pStyle w:val="9"/>
        <w:spacing w:after="0"/>
        <w:rPr>
          <w:rFonts w:hint="eastAsia"/>
          <w:color w:val="231F20"/>
          <w:sz w:val="30"/>
        </w:rPr>
      </w:pPr>
      <w:r>
        <w:rPr>
          <w:rFonts w:hint="eastAsia"/>
          <w:color w:val="231F20"/>
          <w:sz w:val="30"/>
        </w:rPr>
        <w:t>让我们将国度的主题放在面前，简要地聚焦于这段经文所反映的三个要点。</w:t>
      </w:r>
    </w:p>
    <w:p w14:paraId="574C1F5D">
      <w:pPr>
        <w:pStyle w:val="9"/>
        <w:spacing w:after="0"/>
        <w:rPr>
          <w:rFonts w:hint="eastAsia"/>
          <w:color w:val="231F20"/>
          <w:sz w:val="30"/>
        </w:rPr>
      </w:pPr>
    </w:p>
    <w:p w14:paraId="4243BBFA">
      <w:pPr>
        <w:pStyle w:val="9"/>
        <w:spacing w:after="0"/>
        <w:rPr>
          <w:rFonts w:hint="eastAsia"/>
          <w:color w:val="231F20"/>
          <w:sz w:val="30"/>
        </w:rPr>
      </w:pPr>
      <w:r>
        <w:rPr>
          <w:rFonts w:hint="eastAsia"/>
          <w:color w:val="231F20"/>
          <w:sz w:val="30"/>
        </w:rPr>
        <w:t>First, the saints are citizens of a heavenly Kingdom.</w:t>
      </w:r>
    </w:p>
    <w:p w14:paraId="30B0DCA7">
      <w:pPr>
        <w:pStyle w:val="9"/>
        <w:spacing w:after="0"/>
        <w:rPr>
          <w:rFonts w:hint="eastAsia"/>
          <w:color w:val="231F20"/>
          <w:sz w:val="30"/>
        </w:rPr>
      </w:pPr>
      <w:r>
        <w:rPr>
          <w:rFonts w:hint="eastAsia"/>
          <w:color w:val="231F20"/>
          <w:sz w:val="30"/>
        </w:rPr>
        <w:t>首先，圣徒是属天国度的公民。</w:t>
      </w:r>
    </w:p>
    <w:p w14:paraId="0ACB55A1">
      <w:pPr>
        <w:pStyle w:val="9"/>
        <w:spacing w:after="0"/>
        <w:rPr>
          <w:rFonts w:hint="eastAsia"/>
          <w:color w:val="231F20"/>
          <w:sz w:val="30"/>
        </w:rPr>
      </w:pPr>
    </w:p>
    <w:p w14:paraId="26F164AE">
      <w:pPr>
        <w:pStyle w:val="9"/>
        <w:spacing w:after="0"/>
        <w:rPr>
          <w:rFonts w:hint="eastAsia"/>
          <w:color w:val="231F20"/>
          <w:sz w:val="30"/>
        </w:rPr>
      </w:pPr>
      <w:r>
        <w:rPr>
          <w:rFonts w:hint="eastAsia"/>
          <w:color w:val="231F20"/>
          <w:sz w:val="30"/>
        </w:rPr>
        <w:t>As Paul taught in his letter to the Ephesians, God, by the miracle of regeneration, has brought the saints to life together with Christ, raised them up with him, and seated them with him in the heavenly places in Christ Jesus (Eph. 2:5-6; John 18:36).</w:t>
      </w:r>
    </w:p>
    <w:p w14:paraId="105B648A">
      <w:pPr>
        <w:pStyle w:val="9"/>
        <w:spacing w:after="0"/>
        <w:rPr>
          <w:rFonts w:hint="eastAsia"/>
          <w:color w:val="231F20"/>
          <w:sz w:val="30"/>
        </w:rPr>
      </w:pPr>
      <w:r>
        <w:rPr>
          <w:rFonts w:hint="eastAsia"/>
          <w:color w:val="231F20"/>
          <w:sz w:val="30"/>
        </w:rPr>
        <w:t>正如保罗在写给以弗所人的信中所教导的，上帝藉着重生的神迹，使圣徒与基督一同活过来，与祂一同复活，并与祂一同坐在基督耶稣里的天上（弗 2:5-6; 约 18:36）。</w:t>
      </w:r>
    </w:p>
    <w:p w14:paraId="3CB68BD9">
      <w:pPr>
        <w:pStyle w:val="9"/>
        <w:spacing w:after="0"/>
        <w:rPr>
          <w:rFonts w:hint="eastAsia"/>
          <w:color w:val="231F20"/>
          <w:sz w:val="30"/>
        </w:rPr>
      </w:pPr>
    </w:p>
    <w:p w14:paraId="1A4F6565">
      <w:pPr>
        <w:pStyle w:val="9"/>
        <w:spacing w:after="0"/>
        <w:rPr>
          <w:rFonts w:hint="eastAsia"/>
          <w:color w:val="231F20"/>
          <w:sz w:val="30"/>
        </w:rPr>
      </w:pPr>
      <w:r>
        <w:rPr>
          <w:rFonts w:hint="eastAsia"/>
          <w:color w:val="231F20"/>
          <w:sz w:val="30"/>
        </w:rPr>
        <w:t>Physically, they may be citizens of Rome, but spiritually they are subjects of the High King of Heaven, citizens of his heavenly realm who should live as such.</w:t>
      </w:r>
    </w:p>
    <w:p w14:paraId="62113873">
      <w:pPr>
        <w:pStyle w:val="9"/>
        <w:spacing w:after="0"/>
        <w:rPr>
          <w:rFonts w:hint="eastAsia"/>
          <w:color w:val="231F20"/>
          <w:sz w:val="30"/>
        </w:rPr>
      </w:pPr>
      <w:r>
        <w:rPr>
          <w:rFonts w:hint="eastAsia"/>
          <w:color w:val="231F20"/>
          <w:sz w:val="30"/>
        </w:rPr>
        <w:t>在肉体上，他们可能是罗马的公民，但在属灵上，他们是天上至高君王的子民，是祂属天领域的公民，他们应当如此生活。</w:t>
      </w:r>
    </w:p>
    <w:p w14:paraId="46E2E3CA">
      <w:pPr>
        <w:pStyle w:val="9"/>
        <w:spacing w:after="0"/>
        <w:rPr>
          <w:rFonts w:hint="eastAsia"/>
          <w:color w:val="231F20"/>
          <w:sz w:val="30"/>
        </w:rPr>
      </w:pPr>
    </w:p>
    <w:p w14:paraId="5A44BE43">
      <w:pPr>
        <w:pStyle w:val="9"/>
        <w:spacing w:after="0"/>
        <w:rPr>
          <w:rFonts w:hint="eastAsia"/>
          <w:color w:val="231F20"/>
          <w:sz w:val="30"/>
        </w:rPr>
      </w:pPr>
      <w:r>
        <w:rPr>
          <w:rFonts w:hint="eastAsia"/>
          <w:color w:val="231F20"/>
          <w:sz w:val="30"/>
        </w:rPr>
        <w:t>Here again we encounter the Messiah’s heavenly reign, the distinctly spiritual Kingdom of the Son.</w:t>
      </w:r>
    </w:p>
    <w:p w14:paraId="24BA8E6D">
      <w:pPr>
        <w:pStyle w:val="9"/>
        <w:spacing w:after="0"/>
        <w:rPr>
          <w:rFonts w:hint="eastAsia"/>
          <w:color w:val="231F20"/>
          <w:sz w:val="30"/>
        </w:rPr>
      </w:pPr>
      <w:r>
        <w:rPr>
          <w:rFonts w:hint="eastAsia"/>
          <w:color w:val="231F20"/>
          <w:sz w:val="30"/>
        </w:rPr>
        <w:t>在此我们再次遇到弥赛亚属天的统治，即圣子独特的属灵国度。</w:t>
      </w:r>
    </w:p>
    <w:p w14:paraId="3BC1F5BA">
      <w:pPr>
        <w:pStyle w:val="9"/>
        <w:spacing w:after="0"/>
        <w:rPr>
          <w:rFonts w:hint="eastAsia"/>
          <w:color w:val="231F20"/>
          <w:sz w:val="30"/>
        </w:rPr>
      </w:pPr>
    </w:p>
    <w:p w14:paraId="07C73DE3">
      <w:pPr>
        <w:pStyle w:val="9"/>
        <w:spacing w:after="0"/>
        <w:rPr>
          <w:rFonts w:hint="eastAsia"/>
          <w:color w:val="231F20"/>
          <w:sz w:val="30"/>
        </w:rPr>
      </w:pPr>
      <w:r>
        <w:rPr>
          <w:rFonts w:hint="eastAsia"/>
          <w:color w:val="231F20"/>
          <w:sz w:val="30"/>
        </w:rPr>
        <w:t>Secondly, the saints are eagerly awaiting the return of the Savior.</w:t>
      </w:r>
    </w:p>
    <w:p w14:paraId="0A19C17B">
      <w:pPr>
        <w:pStyle w:val="9"/>
        <w:spacing w:after="0"/>
        <w:rPr>
          <w:rFonts w:hint="eastAsia"/>
          <w:color w:val="231F20"/>
          <w:sz w:val="30"/>
        </w:rPr>
      </w:pPr>
      <w:r>
        <w:rPr>
          <w:rFonts w:hint="eastAsia"/>
          <w:color w:val="231F20"/>
          <w:sz w:val="30"/>
        </w:rPr>
        <w:t>其次，圣徒们热切地等候救主的再来。</w:t>
      </w:r>
    </w:p>
    <w:p w14:paraId="3E0D233B">
      <w:pPr>
        <w:pStyle w:val="9"/>
        <w:spacing w:after="0"/>
        <w:rPr>
          <w:rFonts w:hint="eastAsia"/>
          <w:color w:val="231F20"/>
          <w:sz w:val="30"/>
        </w:rPr>
      </w:pPr>
    </w:p>
    <w:p w14:paraId="2F96397E">
      <w:pPr>
        <w:pStyle w:val="9"/>
        <w:spacing w:after="0"/>
        <w:rPr>
          <w:rFonts w:hint="eastAsia"/>
          <w:color w:val="231F20"/>
          <w:sz w:val="30"/>
        </w:rPr>
      </w:pPr>
      <w:r>
        <w:rPr>
          <w:rFonts w:hint="eastAsia"/>
          <w:color w:val="231F20"/>
          <w:sz w:val="30"/>
        </w:rPr>
        <w:t>That is, they are looking forward to his Parousia, when the spiritual salvation they presently enjoy will be enlarged to include the physical side of creation, and in particular, their very bodies.</w:t>
      </w:r>
    </w:p>
    <w:p w14:paraId="3AB8BF95">
      <w:pPr>
        <w:pStyle w:val="9"/>
        <w:spacing w:after="0"/>
        <w:rPr>
          <w:rFonts w:hint="eastAsia"/>
          <w:color w:val="231F20"/>
          <w:sz w:val="30"/>
        </w:rPr>
      </w:pPr>
      <w:r>
        <w:rPr>
          <w:rFonts w:hint="eastAsia"/>
          <w:color w:val="231F20"/>
          <w:sz w:val="30"/>
        </w:rPr>
        <w:t>也就是说，他们期待着祂的再来，那时他们现在所享有的属灵救恩将被扩大，以包括创造的物质层面，特别是他们的身体。</w:t>
      </w:r>
    </w:p>
    <w:p w14:paraId="2FAEBD77">
      <w:pPr>
        <w:pStyle w:val="9"/>
        <w:spacing w:after="0"/>
        <w:rPr>
          <w:rFonts w:hint="eastAsia"/>
          <w:color w:val="231F20"/>
          <w:sz w:val="30"/>
        </w:rPr>
      </w:pPr>
    </w:p>
    <w:p w14:paraId="05C04181">
      <w:pPr>
        <w:pStyle w:val="9"/>
        <w:spacing w:after="0"/>
        <w:rPr>
          <w:rFonts w:hint="eastAsia"/>
          <w:color w:val="231F20"/>
          <w:sz w:val="30"/>
        </w:rPr>
      </w:pPr>
      <w:r>
        <w:rPr>
          <w:rFonts w:hint="eastAsia"/>
          <w:color w:val="231F20"/>
          <w:sz w:val="30"/>
        </w:rPr>
        <w:t>This brings us to our third and final point, namely, that at his coming, Christ himself will effect a complete transformation and glorification of the cosmos, thus bringing in the Kingdom of God in its full and eternal form.</w:t>
      </w:r>
    </w:p>
    <w:p w14:paraId="1BFAAE38">
      <w:pPr>
        <w:pStyle w:val="9"/>
        <w:spacing w:after="0"/>
        <w:rPr>
          <w:rFonts w:hint="eastAsia"/>
          <w:color w:val="231F20"/>
          <w:sz w:val="30"/>
        </w:rPr>
      </w:pPr>
      <w:r>
        <w:rPr>
          <w:rFonts w:hint="eastAsia"/>
          <w:color w:val="231F20"/>
          <w:sz w:val="30"/>
        </w:rPr>
        <w:t>这使我们来到第三个也是最后一个要点，即，在祂降临时，基督自己将实现宇宙的完全改变和得荣，从而以其完整和永恒的形式带入上帝的国。</w:t>
      </w:r>
    </w:p>
    <w:p w14:paraId="4F0B7217">
      <w:pPr>
        <w:pStyle w:val="9"/>
        <w:spacing w:after="0"/>
        <w:rPr>
          <w:rFonts w:hint="eastAsia"/>
          <w:color w:val="231F20"/>
          <w:sz w:val="30"/>
        </w:rPr>
      </w:pPr>
    </w:p>
    <w:p w14:paraId="53D9A8CA">
      <w:pPr>
        <w:pStyle w:val="9"/>
        <w:spacing w:after="0"/>
        <w:rPr>
          <w:rFonts w:hint="eastAsia"/>
          <w:color w:val="231F20"/>
          <w:sz w:val="30"/>
        </w:rPr>
      </w:pPr>
      <w:r>
        <w:rPr>
          <w:rFonts w:hint="eastAsia"/>
          <w:color w:val="231F20"/>
          <w:sz w:val="30"/>
        </w:rPr>
        <w:t>We see this in verse 21, where we learn that Christ, at his Parousia, will effect two majestic eschatological acts.</w:t>
      </w:r>
    </w:p>
    <w:p w14:paraId="29546860">
      <w:pPr>
        <w:pStyle w:val="9"/>
        <w:spacing w:after="0"/>
        <w:rPr>
          <w:rFonts w:hint="eastAsia"/>
          <w:color w:val="231F20"/>
          <w:sz w:val="30"/>
        </w:rPr>
      </w:pPr>
      <w:r>
        <w:rPr>
          <w:rFonts w:hint="eastAsia"/>
          <w:color w:val="231F20"/>
          <w:sz w:val="30"/>
        </w:rPr>
        <w:t>我们在第21节中看到这一点，我们得知基督在祂再来时，将施行两件庄严的末世论作为。</w:t>
      </w:r>
    </w:p>
    <w:p w14:paraId="095E1A6F">
      <w:pPr>
        <w:pStyle w:val="9"/>
        <w:spacing w:after="0"/>
        <w:rPr>
          <w:rFonts w:hint="eastAsia"/>
          <w:color w:val="231F20"/>
          <w:sz w:val="30"/>
        </w:rPr>
      </w:pPr>
    </w:p>
    <w:p w14:paraId="02A8B387">
      <w:pPr>
        <w:pStyle w:val="9"/>
        <w:spacing w:after="0"/>
        <w:rPr>
          <w:rFonts w:hint="eastAsia"/>
          <w:color w:val="231F20"/>
          <w:sz w:val="30"/>
        </w:rPr>
      </w:pPr>
      <w:r>
        <w:rPr>
          <w:rFonts w:hint="eastAsia"/>
          <w:color w:val="231F20"/>
          <w:sz w:val="30"/>
        </w:rPr>
        <w:t>First, he will conform the humiliated natural bodies of the saints to his own glorified body; that is, he will resurrect and glorify the dead saints, and transform and glorify the living.</w:t>
      </w:r>
    </w:p>
    <w:p w14:paraId="3A700DBC">
      <w:pPr>
        <w:pStyle w:val="9"/>
        <w:spacing w:after="0"/>
        <w:rPr>
          <w:rFonts w:hint="eastAsia"/>
          <w:color w:val="231F20"/>
          <w:sz w:val="30"/>
        </w:rPr>
      </w:pPr>
      <w:r>
        <w:rPr>
          <w:rFonts w:hint="eastAsia"/>
          <w:color w:val="231F20"/>
          <w:sz w:val="30"/>
        </w:rPr>
        <w:t>首先，祂将使圣徒卑贱的属血气的身体与祂自己得荣的身体相似；也就是说，祂将使死去的圣徒复活得荣，并改变和荣耀活着的圣徒。</w:t>
      </w:r>
    </w:p>
    <w:p w14:paraId="60A9BE3F">
      <w:pPr>
        <w:pStyle w:val="9"/>
        <w:spacing w:after="0"/>
        <w:rPr>
          <w:rFonts w:hint="eastAsia"/>
          <w:color w:val="231F20"/>
          <w:sz w:val="30"/>
        </w:rPr>
      </w:pPr>
    </w:p>
    <w:p w14:paraId="614DA4B9">
      <w:pPr>
        <w:pStyle w:val="9"/>
        <w:spacing w:after="0"/>
        <w:rPr>
          <w:rFonts w:hint="eastAsia"/>
          <w:color w:val="231F20"/>
          <w:sz w:val="30"/>
        </w:rPr>
      </w:pPr>
      <w:r>
        <w:rPr>
          <w:rFonts w:hint="eastAsia"/>
          <w:color w:val="231F20"/>
          <w:sz w:val="30"/>
        </w:rPr>
        <w:t>But secondly, he will also exercise that same power to “subject all things to himself.”</w:t>
      </w:r>
    </w:p>
    <w:p w14:paraId="7A255C91">
      <w:pPr>
        <w:pStyle w:val="9"/>
        <w:spacing w:after="0"/>
        <w:rPr>
          <w:rFonts w:hint="eastAsia"/>
          <w:color w:val="231F20"/>
          <w:sz w:val="30"/>
        </w:rPr>
      </w:pPr>
      <w:r>
        <w:rPr>
          <w:rFonts w:hint="eastAsia"/>
          <w:color w:val="231F20"/>
          <w:sz w:val="30"/>
        </w:rPr>
        <w:t>但其次，祂也将运用同样的能力，“叫万有服在自己脚下”。</w:t>
      </w:r>
    </w:p>
    <w:p w14:paraId="0E80089B">
      <w:pPr>
        <w:pStyle w:val="9"/>
        <w:spacing w:after="0"/>
        <w:rPr>
          <w:rFonts w:hint="eastAsia"/>
          <w:color w:val="231F20"/>
          <w:sz w:val="30"/>
        </w:rPr>
      </w:pPr>
    </w:p>
    <w:p w14:paraId="568F3DD3">
      <w:pPr>
        <w:pStyle w:val="9"/>
        <w:spacing w:after="0"/>
        <w:rPr>
          <w:rFonts w:hint="eastAsia"/>
          <w:color w:val="231F20"/>
          <w:sz w:val="30"/>
        </w:rPr>
      </w:pPr>
      <w:r>
        <w:rPr>
          <w:rFonts w:hint="eastAsia"/>
          <w:color w:val="231F20"/>
          <w:sz w:val="30"/>
        </w:rPr>
        <w:t>That is, he will banish every spiritual and physical enemy from the creation, and create a glorious new cosmos (Mt. 19:28, 1 Cor. 15:20-28, 50-58).</w:t>
      </w:r>
    </w:p>
    <w:p w14:paraId="04FE07F0">
      <w:pPr>
        <w:pStyle w:val="9"/>
        <w:spacing w:after="0"/>
        <w:rPr>
          <w:rFonts w:hint="eastAsia"/>
          <w:color w:val="231F20"/>
          <w:sz w:val="30"/>
        </w:rPr>
      </w:pPr>
      <w:r>
        <w:rPr>
          <w:rFonts w:hint="eastAsia"/>
          <w:color w:val="231F20"/>
          <w:sz w:val="30"/>
        </w:rPr>
        <w:t>也就是说，祂将从创造界中驱逐每一个属灵和属物质的仇敌，并创造一个荣耀的新宇宙（太 19:28, 林前 15:20-28, 50-58）。</w:t>
      </w:r>
    </w:p>
    <w:p w14:paraId="7D7513CF">
      <w:pPr>
        <w:pStyle w:val="9"/>
        <w:spacing w:after="0"/>
        <w:rPr>
          <w:rFonts w:hint="eastAsia"/>
          <w:color w:val="231F20"/>
          <w:sz w:val="30"/>
        </w:rPr>
      </w:pPr>
    </w:p>
    <w:p w14:paraId="0BBC7CDB">
      <w:pPr>
        <w:pStyle w:val="9"/>
        <w:spacing w:after="0"/>
        <w:rPr>
          <w:rFonts w:hint="eastAsia"/>
          <w:color w:val="231F20"/>
          <w:sz w:val="30"/>
        </w:rPr>
      </w:pPr>
      <w:r>
        <w:rPr>
          <w:rFonts w:hint="eastAsia"/>
          <w:color w:val="231F20"/>
          <w:sz w:val="30"/>
        </w:rPr>
        <w:t>Again we are reminded of the Parable of the Wheat and the Tares, wherein our Lord taught that at his return he would cast out of his Kingdom all things that offend: not only the wicked themselves, but also the physical pain, deformity, and brokenness that so terribly burden the natural world (Rom. 8:18-21).</w:t>
      </w:r>
    </w:p>
    <w:p w14:paraId="44BA6A8D">
      <w:pPr>
        <w:pStyle w:val="9"/>
        <w:spacing w:after="0"/>
        <w:rPr>
          <w:rFonts w:hint="eastAsia"/>
          <w:color w:val="231F20"/>
          <w:sz w:val="30"/>
        </w:rPr>
      </w:pPr>
      <w:r>
        <w:rPr>
          <w:rFonts w:hint="eastAsia"/>
          <w:color w:val="231F20"/>
          <w:sz w:val="30"/>
        </w:rPr>
        <w:t>我们再次想起麦子和稗子的比喻，我们的主在其中教导说，在祂再来时，祂将从祂的国里将一切叫人跌倒的事物都丢出去：不仅是恶人自己，也包括那如此可怕地重压自然界的肉体痛苦、残缺和破碎（罗 8:18-21）。</w:t>
      </w:r>
    </w:p>
    <w:p w14:paraId="59A8E830">
      <w:pPr>
        <w:pStyle w:val="9"/>
        <w:spacing w:after="0"/>
        <w:rPr>
          <w:rFonts w:hint="eastAsia"/>
          <w:color w:val="231F20"/>
          <w:sz w:val="30"/>
        </w:rPr>
      </w:pPr>
    </w:p>
    <w:p w14:paraId="24B77E65">
      <w:pPr>
        <w:pStyle w:val="9"/>
        <w:spacing w:after="0"/>
        <w:rPr>
          <w:rFonts w:hint="eastAsia"/>
          <w:color w:val="231F20"/>
          <w:sz w:val="30"/>
        </w:rPr>
      </w:pPr>
      <w:r>
        <w:rPr>
          <w:rFonts w:hint="eastAsia"/>
          <w:color w:val="231F20"/>
          <w:sz w:val="30"/>
        </w:rPr>
        <w:t>We conclude, then, that Paul, like his Master, envisioned the Kingdom as coming in two simple stages, separated by a single Parousia of Christ at the end of the age.</w:t>
      </w:r>
    </w:p>
    <w:p w14:paraId="301EE30A">
      <w:pPr>
        <w:pStyle w:val="9"/>
        <w:spacing w:after="0"/>
        <w:rPr>
          <w:rFonts w:hint="eastAsia"/>
          <w:color w:val="231F20"/>
          <w:sz w:val="30"/>
        </w:rPr>
      </w:pPr>
      <w:r>
        <w:rPr>
          <w:rFonts w:hint="eastAsia"/>
          <w:color w:val="231F20"/>
          <w:sz w:val="30"/>
        </w:rPr>
        <w:t>因此，我们得出结论，保罗，像他的夫子一样，设想国度是以两个简单的阶段降临，由世代末了基督的一次性再来所分隔。</w:t>
      </w:r>
    </w:p>
    <w:p w14:paraId="42A12A1B">
      <w:pPr>
        <w:pStyle w:val="9"/>
        <w:spacing w:after="0"/>
        <w:rPr>
          <w:rFonts w:hint="eastAsia"/>
          <w:color w:val="231F20"/>
          <w:sz w:val="30"/>
        </w:rPr>
      </w:pPr>
    </w:p>
    <w:p w14:paraId="52BC4DA6">
      <w:pPr>
        <w:pStyle w:val="9"/>
        <w:spacing w:after="0"/>
        <w:rPr>
          <w:rFonts w:hint="eastAsia"/>
          <w:color w:val="231F20"/>
          <w:sz w:val="30"/>
        </w:rPr>
      </w:pPr>
      <w:r>
        <w:rPr>
          <w:rFonts w:hint="eastAsia"/>
          <w:color w:val="231F20"/>
          <w:sz w:val="30"/>
        </w:rPr>
        <w:t>Eschatological Nuggets in Paul’s Letter to the Colossians (Col. 1:13-14, 3:1-4)</w:t>
      </w:r>
    </w:p>
    <w:p w14:paraId="22E092FA">
      <w:pPr>
        <w:pStyle w:val="9"/>
        <w:spacing w:after="0"/>
        <w:rPr>
          <w:rFonts w:hint="eastAsia"/>
          <w:color w:val="231F20"/>
          <w:sz w:val="30"/>
        </w:rPr>
      </w:pPr>
      <w:r>
        <w:rPr>
          <w:rFonts w:hint="eastAsia"/>
          <w:color w:val="231F20"/>
          <w:sz w:val="30"/>
        </w:rPr>
        <w:t>保罗致歌罗西人书信中的末世论金块（西 1:13-14, 3:1-4）</w:t>
      </w:r>
    </w:p>
    <w:p w14:paraId="305E8FBE">
      <w:pPr>
        <w:pStyle w:val="9"/>
        <w:spacing w:after="0"/>
        <w:rPr>
          <w:rFonts w:hint="eastAsia"/>
          <w:color w:val="231F20"/>
          <w:sz w:val="30"/>
        </w:rPr>
      </w:pPr>
    </w:p>
    <w:p w14:paraId="752E79CC">
      <w:pPr>
        <w:pStyle w:val="9"/>
        <w:spacing w:after="0"/>
        <w:rPr>
          <w:rFonts w:hint="eastAsia"/>
          <w:color w:val="231F20"/>
          <w:sz w:val="30"/>
        </w:rPr>
      </w:pPr>
      <w:r>
        <w:rPr>
          <w:rFonts w:hint="eastAsia"/>
          <w:color w:val="231F20"/>
          <w:sz w:val="30"/>
        </w:rPr>
        <w:t>Not surprisingly, the eschatological outlook of Paul’s letter to the Colossians is identical with that of his letters to the Corinthians, Ephesians, and Philippians.</w:t>
      </w:r>
    </w:p>
    <w:p w14:paraId="45E2FC3B">
      <w:pPr>
        <w:pStyle w:val="9"/>
        <w:spacing w:after="0"/>
        <w:rPr>
          <w:rFonts w:hint="eastAsia"/>
          <w:color w:val="231F20"/>
          <w:sz w:val="30"/>
        </w:rPr>
      </w:pPr>
      <w:r>
        <w:rPr>
          <w:rFonts w:hint="eastAsia"/>
          <w:color w:val="231F20"/>
          <w:sz w:val="30"/>
        </w:rPr>
        <w:t>不足为奇的是，保罗写给歌罗西人书信的末世论观点与他写给哥林多人、以弗所人和腓立比人书信的观点是相同的。</w:t>
      </w:r>
    </w:p>
    <w:p w14:paraId="12232774">
      <w:pPr>
        <w:pStyle w:val="9"/>
        <w:spacing w:after="0"/>
        <w:rPr>
          <w:rFonts w:hint="eastAsia"/>
          <w:color w:val="231F20"/>
          <w:sz w:val="30"/>
        </w:rPr>
      </w:pPr>
    </w:p>
    <w:p w14:paraId="6151DB1D">
      <w:pPr>
        <w:pStyle w:val="9"/>
        <w:spacing w:after="0"/>
        <w:rPr>
          <w:rFonts w:hint="eastAsia"/>
          <w:color w:val="231F20"/>
          <w:sz w:val="30"/>
        </w:rPr>
      </w:pPr>
      <w:r>
        <w:rPr>
          <w:rFonts w:hint="eastAsia"/>
          <w:color w:val="231F20"/>
          <w:sz w:val="30"/>
        </w:rPr>
        <w:t>It appears with special brilliance in two nuggets that are short enough to cite in their entirety.</w:t>
      </w:r>
    </w:p>
    <w:p w14:paraId="56A17AFD">
      <w:pPr>
        <w:pStyle w:val="9"/>
        <w:spacing w:after="0"/>
        <w:rPr>
          <w:rFonts w:hint="eastAsia"/>
          <w:color w:val="231F20"/>
          <w:sz w:val="30"/>
        </w:rPr>
      </w:pPr>
      <w:r>
        <w:rPr>
          <w:rFonts w:hint="eastAsia"/>
          <w:color w:val="231F20"/>
          <w:sz w:val="30"/>
        </w:rPr>
        <w:t>它在两个足够简短可以完整引用的金块中以特别的光彩出现。</w:t>
      </w:r>
    </w:p>
    <w:p w14:paraId="7AC41196">
      <w:pPr>
        <w:pStyle w:val="9"/>
        <w:spacing w:after="0"/>
        <w:rPr>
          <w:rFonts w:hint="eastAsia"/>
          <w:color w:val="231F20"/>
          <w:sz w:val="30"/>
        </w:rPr>
      </w:pPr>
    </w:p>
    <w:p w14:paraId="30406787">
      <w:pPr>
        <w:pStyle w:val="9"/>
        <w:spacing w:after="0"/>
        <w:rPr>
          <w:rFonts w:hint="eastAsia"/>
          <w:color w:val="231F20"/>
          <w:sz w:val="30"/>
        </w:rPr>
      </w:pPr>
      <w:r>
        <w:rPr>
          <w:rFonts w:hint="eastAsia"/>
          <w:color w:val="231F20"/>
          <w:sz w:val="30"/>
        </w:rPr>
        <w:t>The first is a familiar friend:</w:t>
      </w:r>
    </w:p>
    <w:p w14:paraId="547FAF2F">
      <w:pPr>
        <w:pStyle w:val="9"/>
        <w:spacing w:after="0"/>
        <w:rPr>
          <w:rFonts w:hint="eastAsia"/>
          <w:color w:val="231F20"/>
          <w:sz w:val="30"/>
        </w:rPr>
      </w:pPr>
      <w:r>
        <w:rPr>
          <w:rFonts w:hint="eastAsia"/>
          <w:color w:val="231F20"/>
          <w:sz w:val="30"/>
        </w:rPr>
        <w:t>第一个是熟悉的朋友：</w:t>
      </w:r>
    </w:p>
    <w:p w14:paraId="1273D108">
      <w:pPr>
        <w:pStyle w:val="9"/>
        <w:spacing w:after="0"/>
        <w:rPr>
          <w:rFonts w:hint="eastAsia"/>
          <w:color w:val="231F20"/>
          <w:sz w:val="30"/>
        </w:rPr>
      </w:pPr>
    </w:p>
    <w:p w14:paraId="2B2959CB">
      <w:pPr>
        <w:pStyle w:val="9"/>
        <w:spacing w:after="0"/>
        <w:rPr>
          <w:rFonts w:hint="eastAsia"/>
          <w:color w:val="231F20"/>
          <w:sz w:val="30"/>
        </w:rPr>
      </w:pPr>
      <w:r>
        <w:rPr>
          <w:rFonts w:hint="eastAsia"/>
          <w:color w:val="231F20"/>
          <w:sz w:val="30"/>
        </w:rPr>
        <w:t>He (the Father) has delivered us from the Domain of Darkness, and transferred us to the Kingdom of his beloved Son, in whom we have redemption, the forgiveness of sins.</w:t>
      </w:r>
    </w:p>
    <w:p w14:paraId="36487851">
      <w:pPr>
        <w:pStyle w:val="9"/>
        <w:spacing w:after="0"/>
        <w:rPr>
          <w:rFonts w:hint="eastAsia"/>
          <w:color w:val="231F20"/>
          <w:sz w:val="30"/>
        </w:rPr>
      </w:pPr>
      <w:r>
        <w:rPr>
          <w:rFonts w:hint="eastAsia"/>
          <w:color w:val="231F20"/>
          <w:sz w:val="30"/>
        </w:rPr>
        <w:t>祂（父）救了我们脱离黑暗的权势，把我们迁到祂爱子的国里；我们在祂里面得蒙救赎，罪过得以赦免。</w:t>
      </w:r>
    </w:p>
    <w:p w14:paraId="04D7438E">
      <w:pPr>
        <w:pStyle w:val="9"/>
        <w:spacing w:after="0"/>
        <w:rPr>
          <w:rFonts w:hint="eastAsia"/>
          <w:color w:val="231F20"/>
          <w:sz w:val="30"/>
        </w:rPr>
      </w:pPr>
    </w:p>
    <w:p w14:paraId="396C89E9">
      <w:pPr>
        <w:pStyle w:val="9"/>
        <w:spacing w:after="0"/>
        <w:rPr>
          <w:rFonts w:hint="eastAsia"/>
          <w:color w:val="231F20"/>
          <w:sz w:val="30"/>
        </w:rPr>
      </w:pPr>
      <w:r>
        <w:rPr>
          <w:rFonts w:hint="eastAsia"/>
          <w:color w:val="231F20"/>
          <w:sz w:val="30"/>
        </w:rPr>
        <w:t>—Col. 1:13-14</w:t>
      </w:r>
    </w:p>
    <w:p w14:paraId="780B4D6E">
      <w:pPr>
        <w:pStyle w:val="9"/>
        <w:spacing w:after="0"/>
        <w:rPr>
          <w:rFonts w:hint="eastAsia"/>
          <w:color w:val="231F20"/>
          <w:sz w:val="30"/>
        </w:rPr>
      </w:pPr>
      <w:r>
        <w:rPr>
          <w:rFonts w:hint="eastAsia"/>
          <w:color w:val="231F20"/>
          <w:sz w:val="30"/>
        </w:rPr>
        <w:t>—西 1:13-14</w:t>
      </w:r>
    </w:p>
    <w:p w14:paraId="4D66093C">
      <w:pPr>
        <w:pStyle w:val="9"/>
        <w:spacing w:after="0"/>
        <w:rPr>
          <w:rFonts w:hint="eastAsia"/>
          <w:color w:val="231F20"/>
          <w:sz w:val="30"/>
        </w:rPr>
      </w:pPr>
    </w:p>
    <w:p w14:paraId="7F30C090">
      <w:pPr>
        <w:pStyle w:val="9"/>
        <w:spacing w:after="0"/>
        <w:rPr>
          <w:rFonts w:hint="eastAsia"/>
          <w:color w:val="231F20"/>
          <w:sz w:val="30"/>
        </w:rPr>
      </w:pPr>
      <w:r>
        <w:rPr>
          <w:rFonts w:hint="eastAsia"/>
          <w:color w:val="231F20"/>
          <w:sz w:val="30"/>
        </w:rPr>
        <w:t>The second complements the first, and caps it off:</w:t>
      </w:r>
    </w:p>
    <w:p w14:paraId="13BCE6B7">
      <w:pPr>
        <w:pStyle w:val="9"/>
        <w:spacing w:after="0"/>
        <w:rPr>
          <w:rFonts w:hint="eastAsia"/>
          <w:color w:val="231F20"/>
          <w:sz w:val="30"/>
        </w:rPr>
      </w:pPr>
      <w:r>
        <w:rPr>
          <w:rFonts w:hint="eastAsia"/>
          <w:color w:val="231F20"/>
          <w:sz w:val="30"/>
        </w:rPr>
        <w:t>第二个补充了第一个，并为其画上句点：</w:t>
      </w:r>
    </w:p>
    <w:p w14:paraId="2CFB3CB4">
      <w:pPr>
        <w:pStyle w:val="9"/>
        <w:spacing w:after="0"/>
        <w:rPr>
          <w:rFonts w:hint="eastAsia"/>
          <w:color w:val="231F20"/>
          <w:sz w:val="30"/>
        </w:rPr>
      </w:pPr>
    </w:p>
    <w:p w14:paraId="3A27EE20">
      <w:pPr>
        <w:pStyle w:val="9"/>
        <w:spacing w:after="0"/>
        <w:rPr>
          <w:rFonts w:hint="eastAsia"/>
          <w:color w:val="231F20"/>
          <w:sz w:val="30"/>
        </w:rPr>
      </w:pPr>
      <w:r>
        <w:rPr>
          <w:rFonts w:hint="eastAsia"/>
          <w:color w:val="231F20"/>
          <w:sz w:val="30"/>
        </w:rPr>
        <w:t>If then you were raised with Christ, keep seeking the things that are above, where Christ is, seated at the right hand of God.</w:t>
      </w:r>
    </w:p>
    <w:p w14:paraId="0D4B0E8D">
      <w:pPr>
        <w:pStyle w:val="9"/>
        <w:spacing w:after="0"/>
        <w:rPr>
          <w:rFonts w:hint="eastAsia"/>
          <w:color w:val="231F20"/>
          <w:sz w:val="30"/>
        </w:rPr>
      </w:pPr>
      <w:r>
        <w:rPr>
          <w:rFonts w:hint="eastAsia"/>
          <w:color w:val="231F20"/>
          <w:sz w:val="30"/>
        </w:rPr>
        <w:t>所以，你们若真与基督一同复活，就当求在上面的事；那里有基督坐在上帝的右边。</w:t>
      </w:r>
    </w:p>
    <w:p w14:paraId="0EEDCA61">
      <w:pPr>
        <w:pStyle w:val="9"/>
        <w:spacing w:after="0"/>
        <w:rPr>
          <w:rFonts w:hint="eastAsia"/>
          <w:color w:val="231F20"/>
          <w:sz w:val="30"/>
        </w:rPr>
      </w:pPr>
    </w:p>
    <w:p w14:paraId="12940F8F">
      <w:pPr>
        <w:pStyle w:val="9"/>
        <w:spacing w:after="0"/>
        <w:rPr>
          <w:rFonts w:hint="eastAsia"/>
          <w:color w:val="231F20"/>
          <w:sz w:val="30"/>
        </w:rPr>
      </w:pPr>
      <w:r>
        <w:rPr>
          <w:rFonts w:hint="eastAsia"/>
          <w:color w:val="231F20"/>
          <w:sz w:val="30"/>
        </w:rPr>
        <w:t>Set your mind on things above, not on things on earth.</w:t>
      </w:r>
    </w:p>
    <w:p w14:paraId="0BD1C0A3">
      <w:pPr>
        <w:pStyle w:val="9"/>
        <w:spacing w:after="0"/>
        <w:rPr>
          <w:rFonts w:hint="eastAsia"/>
          <w:color w:val="231F20"/>
          <w:sz w:val="30"/>
        </w:rPr>
      </w:pPr>
      <w:r>
        <w:rPr>
          <w:rFonts w:hint="eastAsia"/>
          <w:color w:val="231F20"/>
          <w:sz w:val="30"/>
        </w:rPr>
        <w:t>你们要思念上面的事，不要思念地上的事。</w:t>
      </w:r>
    </w:p>
    <w:p w14:paraId="1BA86687">
      <w:pPr>
        <w:pStyle w:val="9"/>
        <w:spacing w:after="0"/>
        <w:rPr>
          <w:rFonts w:hint="eastAsia"/>
          <w:color w:val="231F20"/>
          <w:sz w:val="30"/>
        </w:rPr>
      </w:pPr>
    </w:p>
    <w:p w14:paraId="456E13DE">
      <w:pPr>
        <w:pStyle w:val="9"/>
        <w:spacing w:after="0"/>
        <w:rPr>
          <w:rFonts w:hint="eastAsia"/>
          <w:color w:val="231F20"/>
          <w:sz w:val="30"/>
        </w:rPr>
      </w:pPr>
      <w:r>
        <w:rPr>
          <w:rFonts w:hint="eastAsia"/>
          <w:color w:val="231F20"/>
          <w:sz w:val="30"/>
        </w:rPr>
        <w:t>For you died and your life is hidden with Christ in God.</w:t>
      </w:r>
    </w:p>
    <w:p w14:paraId="62FDE6E0">
      <w:pPr>
        <w:pStyle w:val="9"/>
        <w:spacing w:after="0"/>
        <w:rPr>
          <w:rFonts w:hint="eastAsia"/>
          <w:color w:val="231F20"/>
          <w:sz w:val="30"/>
        </w:rPr>
      </w:pPr>
      <w:r>
        <w:rPr>
          <w:rFonts w:hint="eastAsia"/>
          <w:color w:val="231F20"/>
          <w:sz w:val="30"/>
        </w:rPr>
        <w:t>因为你们已经死了，你们的生命与基督一同藏在上帝里面。</w:t>
      </w:r>
    </w:p>
    <w:p w14:paraId="673992C1">
      <w:pPr>
        <w:pStyle w:val="9"/>
        <w:spacing w:after="0"/>
        <w:rPr>
          <w:rFonts w:hint="eastAsia"/>
          <w:color w:val="231F20"/>
          <w:sz w:val="30"/>
        </w:rPr>
      </w:pPr>
    </w:p>
    <w:p w14:paraId="46D9E738">
      <w:pPr>
        <w:pStyle w:val="9"/>
        <w:spacing w:after="0"/>
        <w:rPr>
          <w:rFonts w:hint="eastAsia"/>
          <w:color w:val="231F20"/>
          <w:sz w:val="30"/>
        </w:rPr>
      </w:pPr>
      <w:r>
        <w:rPr>
          <w:rFonts w:hint="eastAsia"/>
          <w:color w:val="231F20"/>
          <w:sz w:val="30"/>
        </w:rPr>
        <w:t>When Christ, who is our life, is revealed, then you also will be revealed with Him in glory.</w:t>
      </w:r>
    </w:p>
    <w:p w14:paraId="40A8C614">
      <w:pPr>
        <w:pStyle w:val="9"/>
        <w:spacing w:after="0"/>
        <w:rPr>
          <w:rFonts w:hint="eastAsia"/>
          <w:color w:val="231F20"/>
          <w:sz w:val="30"/>
        </w:rPr>
      </w:pPr>
      <w:r>
        <w:rPr>
          <w:rFonts w:hint="eastAsia"/>
          <w:color w:val="231F20"/>
          <w:sz w:val="30"/>
        </w:rPr>
        <w:t>基督是我们的生命，祂显现的时候，你们也要与祂一同显现在荣耀里。</w:t>
      </w:r>
    </w:p>
    <w:p w14:paraId="37FC138F">
      <w:pPr>
        <w:pStyle w:val="9"/>
        <w:spacing w:after="0"/>
        <w:rPr>
          <w:rFonts w:hint="eastAsia"/>
          <w:color w:val="231F20"/>
          <w:sz w:val="30"/>
        </w:rPr>
      </w:pPr>
    </w:p>
    <w:p w14:paraId="43EE35BF">
      <w:pPr>
        <w:pStyle w:val="9"/>
        <w:spacing w:after="0"/>
        <w:rPr>
          <w:rFonts w:hint="eastAsia"/>
          <w:color w:val="231F20"/>
          <w:sz w:val="30"/>
        </w:rPr>
      </w:pPr>
      <w:r>
        <w:rPr>
          <w:rFonts w:hint="eastAsia"/>
          <w:color w:val="231F20"/>
          <w:sz w:val="30"/>
        </w:rPr>
        <w:t>—Col. 3:1-4</w:t>
      </w:r>
    </w:p>
    <w:p w14:paraId="5BCFCA38">
      <w:pPr>
        <w:pStyle w:val="9"/>
        <w:spacing w:after="0"/>
        <w:rPr>
          <w:rFonts w:hint="eastAsia"/>
          <w:color w:val="231F20"/>
          <w:sz w:val="30"/>
        </w:rPr>
      </w:pPr>
      <w:r>
        <w:rPr>
          <w:rFonts w:hint="eastAsia"/>
          <w:color w:val="231F20"/>
          <w:sz w:val="30"/>
        </w:rPr>
        <w:t>—西 3:1-4</w:t>
      </w:r>
    </w:p>
    <w:p w14:paraId="311D399B">
      <w:pPr>
        <w:pStyle w:val="9"/>
        <w:spacing w:after="0"/>
        <w:rPr>
          <w:rFonts w:hint="eastAsia"/>
          <w:color w:val="231F20"/>
          <w:sz w:val="30"/>
        </w:rPr>
      </w:pPr>
    </w:p>
    <w:p w14:paraId="61437671">
      <w:pPr>
        <w:pStyle w:val="9"/>
        <w:spacing w:after="0"/>
        <w:rPr>
          <w:rFonts w:hint="eastAsia"/>
          <w:color w:val="231F20"/>
          <w:sz w:val="30"/>
        </w:rPr>
      </w:pPr>
      <w:r>
        <w:rPr>
          <w:rFonts w:hint="eastAsia"/>
          <w:color w:val="231F20"/>
          <w:sz w:val="30"/>
        </w:rPr>
        <w:t>Here—and in the letter as a whole—we again find the classic NT eschatology.</w:t>
      </w:r>
    </w:p>
    <w:p w14:paraId="7C82B615">
      <w:pPr>
        <w:pStyle w:val="9"/>
        <w:spacing w:after="0"/>
        <w:rPr>
          <w:rFonts w:hint="eastAsia"/>
          <w:color w:val="231F20"/>
          <w:sz w:val="30"/>
        </w:rPr>
      </w:pPr>
      <w:r>
        <w:rPr>
          <w:rFonts w:hint="eastAsia"/>
          <w:color w:val="231F20"/>
          <w:sz w:val="30"/>
        </w:rPr>
        <w:t>在此——以及在整封信中——我们再次找到了经典的新约末世论。</w:t>
      </w:r>
    </w:p>
    <w:p w14:paraId="3C2A66AF">
      <w:pPr>
        <w:pStyle w:val="9"/>
        <w:spacing w:after="0"/>
        <w:rPr>
          <w:rFonts w:hint="eastAsia"/>
          <w:color w:val="231F20"/>
          <w:sz w:val="30"/>
        </w:rPr>
      </w:pPr>
    </w:p>
    <w:p w14:paraId="06E0E559">
      <w:pPr>
        <w:pStyle w:val="9"/>
        <w:spacing w:after="0"/>
        <w:rPr>
          <w:rFonts w:hint="eastAsia"/>
          <w:color w:val="231F20"/>
          <w:sz w:val="30"/>
        </w:rPr>
      </w:pPr>
      <w:r>
        <w:rPr>
          <w:rFonts w:hint="eastAsia"/>
          <w:color w:val="231F20"/>
          <w:sz w:val="30"/>
        </w:rPr>
        <w:t>Having chosen a people for his own possession, God the Father has sent forth his Son to live and to die for them, thereby providing a just basis for their redemption (2:14, 3:12).</w:t>
      </w:r>
    </w:p>
    <w:p w14:paraId="51C55275">
      <w:pPr>
        <w:pStyle w:val="9"/>
        <w:spacing w:after="0"/>
        <w:rPr>
          <w:rFonts w:hint="eastAsia"/>
          <w:color w:val="231F20"/>
          <w:sz w:val="30"/>
        </w:rPr>
      </w:pPr>
      <w:r>
        <w:rPr>
          <w:rFonts w:hint="eastAsia"/>
          <w:color w:val="231F20"/>
          <w:sz w:val="30"/>
        </w:rPr>
        <w:t>父上帝既拣选了一群子民归祂自己所有，就差遣祂的儿子为他们活，为他们死，从而为他们的救赎提供了公义的基础（2:14, 3:12）。</w:t>
      </w:r>
    </w:p>
    <w:p w14:paraId="7B6D7626">
      <w:pPr>
        <w:pStyle w:val="9"/>
        <w:spacing w:after="0"/>
        <w:rPr>
          <w:rFonts w:hint="eastAsia"/>
          <w:color w:val="231F20"/>
          <w:sz w:val="30"/>
        </w:rPr>
      </w:pPr>
    </w:p>
    <w:p w14:paraId="4AF670B9">
      <w:pPr>
        <w:pStyle w:val="9"/>
        <w:spacing w:after="0"/>
        <w:rPr>
          <w:rFonts w:hint="eastAsia"/>
          <w:color w:val="231F20"/>
          <w:sz w:val="30"/>
        </w:rPr>
      </w:pPr>
      <w:r>
        <w:rPr>
          <w:rFonts w:hint="eastAsia"/>
          <w:color w:val="231F20"/>
          <w:sz w:val="30"/>
        </w:rPr>
        <w:t>In fulfillment of his eternal purpose (1:16), he has also raised Christ from the dead, received him into heaven, and seated him at his own right hand, where he will henceforth serve as cosmic Head, not only over the Church (1:18), but also over all rule and authority, whether human or angelic (2:10).</w:t>
      </w:r>
    </w:p>
    <w:p w14:paraId="2C1F05C6">
      <w:pPr>
        <w:pStyle w:val="9"/>
        <w:spacing w:after="0"/>
        <w:rPr>
          <w:rFonts w:hint="eastAsia"/>
          <w:color w:val="231F20"/>
          <w:sz w:val="30"/>
        </w:rPr>
      </w:pPr>
      <w:r>
        <w:rPr>
          <w:rFonts w:hint="eastAsia"/>
          <w:color w:val="231F20"/>
          <w:sz w:val="30"/>
        </w:rPr>
        <w:t>为成就祂永恒的旨意（1:16），祂也使基督从死里复活，将祂接到天上，让祂坐在自己右边，祂将从此作宇宙的元首，不仅管理教会（1:18），也管理所有执政的、掌权的，无论是属人的还是属天使的（2:10）。</w:t>
      </w:r>
    </w:p>
    <w:p w14:paraId="5DE09CEF">
      <w:pPr>
        <w:pStyle w:val="9"/>
        <w:spacing w:after="0"/>
        <w:rPr>
          <w:rFonts w:hint="eastAsia"/>
          <w:color w:val="231F20"/>
          <w:sz w:val="30"/>
        </w:rPr>
      </w:pPr>
    </w:p>
    <w:p w14:paraId="5928255A">
      <w:pPr>
        <w:pStyle w:val="9"/>
        <w:spacing w:after="0"/>
        <w:rPr>
          <w:rFonts w:hint="eastAsia"/>
          <w:color w:val="231F20"/>
          <w:sz w:val="30"/>
        </w:rPr>
      </w:pPr>
      <w:r>
        <w:rPr>
          <w:rFonts w:hint="eastAsia"/>
          <w:color w:val="231F20"/>
          <w:sz w:val="30"/>
        </w:rPr>
        <w:t>In short, God has made the Lord Jesus to be High King of Heaven and Earth.</w:t>
      </w:r>
    </w:p>
    <w:p w14:paraId="4C31C9C1">
      <w:pPr>
        <w:pStyle w:val="9"/>
        <w:spacing w:after="0"/>
        <w:rPr>
          <w:rFonts w:hint="eastAsia"/>
          <w:color w:val="231F20"/>
          <w:sz w:val="30"/>
        </w:rPr>
      </w:pPr>
      <w:r>
        <w:rPr>
          <w:rFonts w:hint="eastAsia"/>
          <w:color w:val="231F20"/>
          <w:sz w:val="30"/>
        </w:rPr>
        <w:t>简而言之，上帝已立主耶稣为天地至高的君王。</w:t>
      </w:r>
    </w:p>
    <w:p w14:paraId="601E52C6">
      <w:pPr>
        <w:pStyle w:val="9"/>
        <w:spacing w:after="0"/>
        <w:rPr>
          <w:rFonts w:hint="eastAsia"/>
          <w:color w:val="231F20"/>
          <w:sz w:val="30"/>
        </w:rPr>
      </w:pPr>
    </w:p>
    <w:p w14:paraId="053E00DA">
      <w:pPr>
        <w:pStyle w:val="9"/>
        <w:spacing w:after="0"/>
        <w:rPr>
          <w:rFonts w:hint="eastAsia"/>
          <w:color w:val="231F20"/>
          <w:sz w:val="30"/>
        </w:rPr>
      </w:pPr>
      <w:r>
        <w:rPr>
          <w:rFonts w:hint="eastAsia"/>
          <w:color w:val="231F20"/>
          <w:sz w:val="30"/>
        </w:rPr>
        <w:t>In the exercise of this delegated cosmic sovereignty, Christ now sends forth the Spirit into the Church, and by that same Spirit sends forth the Church into the world, to proclaim “the word of the truth of the Gospel” (1:5).</w:t>
      </w:r>
    </w:p>
    <w:p w14:paraId="4A61043A">
      <w:pPr>
        <w:pStyle w:val="9"/>
        <w:spacing w:after="0"/>
        <w:rPr>
          <w:rFonts w:hint="eastAsia"/>
          <w:color w:val="231F20"/>
          <w:sz w:val="30"/>
        </w:rPr>
      </w:pPr>
      <w:r>
        <w:rPr>
          <w:rFonts w:hint="eastAsia"/>
          <w:color w:val="231F20"/>
          <w:sz w:val="30"/>
        </w:rPr>
        <w:t>在行使这个被授予的宇宙主权时，基督现在差遣圣灵进入教会，并藉着那同一位圣灵差遣教会进入世界，去宣讲“福音真理的道”（1:5）。</w:t>
      </w:r>
    </w:p>
    <w:p w14:paraId="17490812">
      <w:pPr>
        <w:pStyle w:val="9"/>
        <w:spacing w:after="0"/>
        <w:rPr>
          <w:rFonts w:hint="eastAsia"/>
          <w:color w:val="231F20"/>
          <w:sz w:val="30"/>
        </w:rPr>
      </w:pPr>
    </w:p>
    <w:p w14:paraId="36161F75">
      <w:pPr>
        <w:pStyle w:val="9"/>
        <w:spacing w:after="0"/>
        <w:rPr>
          <w:rFonts w:hint="eastAsia"/>
          <w:color w:val="231F20"/>
          <w:sz w:val="30"/>
        </w:rPr>
      </w:pPr>
      <w:r>
        <w:rPr>
          <w:rFonts w:hint="eastAsia"/>
          <w:color w:val="231F20"/>
          <w:sz w:val="30"/>
        </w:rPr>
        <w:t>As the Colossians—and all of God’s elect in all creation under heaven (1:23)—hear that word, God performs his miracle of regeneration, rescuing them (through faith and repentance) from Satan’s evil kingdom, and transferring them (through that same faith and repentance) into the spiritual Kingdom of his beloved Son (1:13).</w:t>
      </w:r>
    </w:p>
    <w:p w14:paraId="20360CA6">
      <w:pPr>
        <w:pStyle w:val="9"/>
        <w:spacing w:after="0"/>
        <w:rPr>
          <w:rFonts w:hint="eastAsia"/>
          <w:color w:val="231F20"/>
          <w:sz w:val="30"/>
        </w:rPr>
      </w:pPr>
      <w:r>
        <w:rPr>
          <w:rFonts w:hint="eastAsia"/>
          <w:color w:val="231F20"/>
          <w:sz w:val="30"/>
        </w:rPr>
        <w:t>当歌罗西人——以及天下所有受造之物中上帝所有的选民（1:23）——听到那道时，上帝施行祂重生的神迹，将他们（通过信心和悔改）从撒但邪恶的国度中拯救出来，并将他们（通过那同样的信心和悔改）迁入祂爱子的属灵国度（1:13）。</w:t>
      </w:r>
    </w:p>
    <w:p w14:paraId="762B38A3">
      <w:pPr>
        <w:pStyle w:val="9"/>
        <w:spacing w:after="0"/>
        <w:rPr>
          <w:rFonts w:hint="eastAsia"/>
          <w:color w:val="231F20"/>
          <w:sz w:val="30"/>
        </w:rPr>
      </w:pPr>
    </w:p>
    <w:p w14:paraId="0CCC148E">
      <w:pPr>
        <w:pStyle w:val="9"/>
        <w:spacing w:after="0"/>
        <w:rPr>
          <w:rFonts w:hint="eastAsia"/>
          <w:color w:val="231F20"/>
          <w:sz w:val="30"/>
        </w:rPr>
      </w:pPr>
      <w:r>
        <w:rPr>
          <w:rFonts w:hint="eastAsia"/>
          <w:color w:val="231F20"/>
          <w:sz w:val="30"/>
        </w:rPr>
        <w:t>Because of this gracious spiritual miracle, they come to life with Christ, rise with him, and sit down with him in the heavenly places (2:11-14, 3:1; Eph. 2:4-6).</w:t>
      </w:r>
    </w:p>
    <w:p w14:paraId="1721C5E2">
      <w:pPr>
        <w:pStyle w:val="9"/>
        <w:spacing w:after="0"/>
        <w:rPr>
          <w:rFonts w:hint="eastAsia"/>
          <w:color w:val="231F20"/>
          <w:sz w:val="30"/>
        </w:rPr>
      </w:pPr>
      <w:r>
        <w:rPr>
          <w:rFonts w:hint="eastAsia"/>
          <w:color w:val="231F20"/>
          <w:sz w:val="30"/>
        </w:rPr>
        <w:t>因为这个恩慈的属灵神迹，他们与基督一同活过来，与祂一同复活，并与祂一同坐在天上（2:11-14, 3:1; 弗 2:4-6）。</w:t>
      </w:r>
    </w:p>
    <w:p w14:paraId="08ED8CA4">
      <w:pPr>
        <w:pStyle w:val="9"/>
        <w:spacing w:after="0"/>
        <w:rPr>
          <w:rFonts w:hint="eastAsia"/>
          <w:color w:val="231F20"/>
          <w:sz w:val="30"/>
        </w:rPr>
      </w:pPr>
    </w:p>
    <w:p w14:paraId="75DEBCA3">
      <w:pPr>
        <w:pStyle w:val="9"/>
        <w:spacing w:after="0"/>
        <w:rPr>
          <w:rFonts w:hint="eastAsia"/>
          <w:color w:val="231F20"/>
          <w:sz w:val="30"/>
        </w:rPr>
      </w:pPr>
      <w:r>
        <w:rPr>
          <w:rFonts w:hint="eastAsia"/>
          <w:color w:val="231F20"/>
          <w:sz w:val="30"/>
        </w:rPr>
        <w:t>They now share in the Messiah’s triumphant heavenly reign.</w:t>
      </w:r>
    </w:p>
    <w:p w14:paraId="6B3895E5">
      <w:pPr>
        <w:pStyle w:val="9"/>
        <w:spacing w:after="0"/>
        <w:rPr>
          <w:rFonts w:hint="eastAsia"/>
          <w:color w:val="231F20"/>
          <w:sz w:val="30"/>
        </w:rPr>
      </w:pPr>
      <w:r>
        <w:rPr>
          <w:rFonts w:hint="eastAsia"/>
          <w:color w:val="231F20"/>
          <w:sz w:val="30"/>
        </w:rPr>
        <w:t>他们现在分享弥赛亚得胜的属天统治。</w:t>
      </w:r>
    </w:p>
    <w:p w14:paraId="21D9A894">
      <w:pPr>
        <w:pStyle w:val="9"/>
        <w:spacing w:after="0"/>
        <w:rPr>
          <w:rFonts w:hint="eastAsia"/>
          <w:color w:val="231F20"/>
          <w:sz w:val="30"/>
        </w:rPr>
      </w:pPr>
    </w:p>
    <w:p w14:paraId="204040A3">
      <w:pPr>
        <w:pStyle w:val="9"/>
        <w:spacing w:after="0"/>
        <w:rPr>
          <w:rFonts w:hint="eastAsia"/>
          <w:color w:val="231F20"/>
          <w:sz w:val="30"/>
        </w:rPr>
      </w:pPr>
      <w:r>
        <w:rPr>
          <w:rFonts w:hint="eastAsia"/>
          <w:color w:val="231F20"/>
          <w:sz w:val="30"/>
        </w:rPr>
        <w:t>This calls for holiness.</w:t>
      </w:r>
    </w:p>
    <w:p w14:paraId="3F54818A">
      <w:pPr>
        <w:pStyle w:val="9"/>
        <w:spacing w:after="0"/>
        <w:rPr>
          <w:rFonts w:hint="eastAsia"/>
          <w:color w:val="231F20"/>
          <w:sz w:val="30"/>
        </w:rPr>
      </w:pPr>
      <w:r>
        <w:rPr>
          <w:rFonts w:hint="eastAsia"/>
          <w:color w:val="231F20"/>
          <w:sz w:val="30"/>
        </w:rPr>
        <w:t>这要求圣洁。</w:t>
      </w:r>
    </w:p>
    <w:p w14:paraId="2F385773">
      <w:pPr>
        <w:pStyle w:val="9"/>
        <w:spacing w:after="0"/>
        <w:rPr>
          <w:rFonts w:hint="eastAsia"/>
          <w:color w:val="231F20"/>
          <w:sz w:val="30"/>
        </w:rPr>
      </w:pPr>
    </w:p>
    <w:p w14:paraId="0B3F3182">
      <w:pPr>
        <w:pStyle w:val="9"/>
        <w:spacing w:after="0"/>
        <w:rPr>
          <w:rFonts w:hint="eastAsia"/>
          <w:color w:val="231F20"/>
          <w:sz w:val="30"/>
        </w:rPr>
      </w:pPr>
      <w:r>
        <w:rPr>
          <w:rFonts w:hint="eastAsia"/>
          <w:color w:val="231F20"/>
          <w:sz w:val="30"/>
        </w:rPr>
        <w:t>Henceforth, their physical life on earth must reflect their spiritual life in heaven.</w:t>
      </w:r>
    </w:p>
    <w:p w14:paraId="3155B5EF">
      <w:pPr>
        <w:pStyle w:val="9"/>
        <w:spacing w:after="0"/>
        <w:rPr>
          <w:rFonts w:hint="eastAsia"/>
          <w:color w:val="231F20"/>
          <w:sz w:val="30"/>
        </w:rPr>
      </w:pPr>
      <w:r>
        <w:rPr>
          <w:rFonts w:hint="eastAsia"/>
          <w:color w:val="231F20"/>
          <w:sz w:val="30"/>
        </w:rPr>
        <w:t>从此以后，他们在世上的肉身生活必须反映他们在天上的属灵生活。</w:t>
      </w:r>
    </w:p>
    <w:p w14:paraId="1ACC6D88">
      <w:pPr>
        <w:pStyle w:val="9"/>
        <w:spacing w:after="0"/>
        <w:rPr>
          <w:rFonts w:hint="eastAsia"/>
          <w:color w:val="231F20"/>
          <w:sz w:val="30"/>
        </w:rPr>
      </w:pPr>
    </w:p>
    <w:p w14:paraId="1B26EE15">
      <w:pPr>
        <w:pStyle w:val="9"/>
        <w:spacing w:after="0"/>
        <w:rPr>
          <w:rFonts w:hint="eastAsia"/>
          <w:color w:val="231F20"/>
          <w:sz w:val="30"/>
        </w:rPr>
      </w:pPr>
      <w:r>
        <w:rPr>
          <w:rFonts w:hint="eastAsia"/>
          <w:color w:val="231F20"/>
          <w:sz w:val="30"/>
        </w:rPr>
        <w:t>Strengthened by prayer and biblical meditation, they must turn away from earthly things, and keep on seeking the things that are above, where Christ is seated at God’s right hand (3:1).</w:t>
      </w:r>
    </w:p>
    <w:p w14:paraId="75417B31">
      <w:pPr>
        <w:pStyle w:val="9"/>
        <w:spacing w:after="0"/>
        <w:rPr>
          <w:rFonts w:hint="eastAsia"/>
          <w:color w:val="231F20"/>
          <w:sz w:val="30"/>
        </w:rPr>
      </w:pPr>
      <w:r>
        <w:rPr>
          <w:rFonts w:hint="eastAsia"/>
          <w:color w:val="231F20"/>
          <w:sz w:val="30"/>
        </w:rPr>
        <w:t>藉着祷告和圣经默想得力，他们必须转离地上的事，并继续寻求上面的事，那里有基督坐在上帝的右边（3:1）。</w:t>
      </w:r>
    </w:p>
    <w:p w14:paraId="035E0C3D">
      <w:pPr>
        <w:pStyle w:val="9"/>
        <w:spacing w:after="0"/>
        <w:rPr>
          <w:rFonts w:hint="eastAsia"/>
          <w:color w:val="231F20"/>
          <w:sz w:val="30"/>
        </w:rPr>
      </w:pPr>
    </w:p>
    <w:p w14:paraId="47950172">
      <w:pPr>
        <w:pStyle w:val="9"/>
        <w:spacing w:after="0"/>
        <w:rPr>
          <w:rFonts w:hint="eastAsia"/>
          <w:color w:val="231F20"/>
          <w:sz w:val="30"/>
        </w:rPr>
      </w:pPr>
      <w:r>
        <w:rPr>
          <w:rFonts w:hint="eastAsia"/>
          <w:color w:val="231F20"/>
          <w:sz w:val="30"/>
        </w:rPr>
        <w:t>Thus shall they become fully pleasing to the Lord, bearing fruit in every good work, and increasing in the knowledge of God (1:10).</w:t>
      </w:r>
    </w:p>
    <w:p w14:paraId="1052110C">
      <w:pPr>
        <w:pStyle w:val="9"/>
        <w:spacing w:after="0"/>
        <w:rPr>
          <w:rFonts w:hint="eastAsia"/>
          <w:color w:val="231F20"/>
          <w:sz w:val="30"/>
        </w:rPr>
      </w:pPr>
      <w:r>
        <w:rPr>
          <w:rFonts w:hint="eastAsia"/>
          <w:color w:val="231F20"/>
          <w:sz w:val="30"/>
        </w:rPr>
        <w:t>这样，他们就必在各样善事上结果子，渐渐地多知道上帝，凡事蒙祂喜悦（1:10）。</w:t>
      </w:r>
    </w:p>
    <w:p w14:paraId="074E14FE">
      <w:pPr>
        <w:pStyle w:val="9"/>
        <w:spacing w:after="0"/>
        <w:rPr>
          <w:rFonts w:hint="eastAsia"/>
          <w:color w:val="231F20"/>
          <w:sz w:val="30"/>
        </w:rPr>
      </w:pPr>
    </w:p>
    <w:p w14:paraId="41551900">
      <w:pPr>
        <w:pStyle w:val="9"/>
        <w:spacing w:after="0"/>
        <w:rPr>
          <w:rFonts w:hint="eastAsia"/>
          <w:color w:val="231F20"/>
          <w:sz w:val="30"/>
        </w:rPr>
      </w:pPr>
      <w:r>
        <w:rPr>
          <w:rFonts w:hint="eastAsia"/>
          <w:color w:val="231F20"/>
          <w:sz w:val="30"/>
        </w:rPr>
        <w:t>Does the world scorn their preoccupation with spiritual things?</w:t>
      </w:r>
    </w:p>
    <w:p w14:paraId="1FD9BB3D">
      <w:pPr>
        <w:pStyle w:val="9"/>
        <w:spacing w:after="0"/>
        <w:rPr>
          <w:rFonts w:hint="eastAsia"/>
          <w:color w:val="231F20"/>
          <w:sz w:val="30"/>
        </w:rPr>
      </w:pPr>
      <w:r>
        <w:rPr>
          <w:rFonts w:hint="eastAsia"/>
          <w:color w:val="231F20"/>
          <w:sz w:val="30"/>
        </w:rPr>
        <w:t>世界是否藐视他们对属灵事物的专注？</w:t>
      </w:r>
    </w:p>
    <w:p w14:paraId="13B8BAEB">
      <w:pPr>
        <w:pStyle w:val="9"/>
        <w:spacing w:after="0"/>
        <w:rPr>
          <w:rFonts w:hint="eastAsia"/>
          <w:color w:val="231F20"/>
          <w:sz w:val="30"/>
        </w:rPr>
      </w:pPr>
    </w:p>
    <w:p w14:paraId="149B8325">
      <w:pPr>
        <w:pStyle w:val="9"/>
        <w:spacing w:after="0"/>
        <w:rPr>
          <w:rFonts w:hint="eastAsia"/>
          <w:color w:val="231F20"/>
          <w:sz w:val="30"/>
        </w:rPr>
      </w:pPr>
      <w:r>
        <w:rPr>
          <w:rFonts w:hint="eastAsia"/>
          <w:color w:val="231F20"/>
          <w:sz w:val="30"/>
        </w:rPr>
        <w:t>Does it scoff at an invisible King and an invisible Kingdom?</w:t>
      </w:r>
    </w:p>
    <w:p w14:paraId="3A6398C1">
      <w:pPr>
        <w:pStyle w:val="9"/>
        <w:spacing w:after="0"/>
        <w:rPr>
          <w:rFonts w:hint="eastAsia"/>
          <w:color w:val="231F20"/>
          <w:sz w:val="30"/>
        </w:rPr>
      </w:pPr>
      <w:r>
        <w:rPr>
          <w:rFonts w:hint="eastAsia"/>
          <w:color w:val="231F20"/>
          <w:sz w:val="30"/>
        </w:rPr>
        <w:t>它是否嘲笑一位不可见的君王和一个不可见的国度？</w:t>
      </w:r>
    </w:p>
    <w:p w14:paraId="10016947">
      <w:pPr>
        <w:pStyle w:val="9"/>
        <w:spacing w:after="0"/>
        <w:rPr>
          <w:rFonts w:hint="eastAsia"/>
          <w:color w:val="231F20"/>
          <w:sz w:val="30"/>
        </w:rPr>
      </w:pPr>
    </w:p>
    <w:p w14:paraId="58252AFA">
      <w:pPr>
        <w:pStyle w:val="9"/>
        <w:spacing w:after="0"/>
        <w:rPr>
          <w:rFonts w:hint="eastAsia"/>
          <w:color w:val="231F20"/>
          <w:sz w:val="30"/>
        </w:rPr>
      </w:pPr>
      <w:r>
        <w:rPr>
          <w:rFonts w:hint="eastAsia"/>
          <w:color w:val="231F20"/>
          <w:sz w:val="30"/>
        </w:rPr>
        <w:t>To be sure.</w:t>
      </w:r>
    </w:p>
    <w:p w14:paraId="1A1E1A26">
      <w:pPr>
        <w:pStyle w:val="9"/>
        <w:spacing w:after="0"/>
        <w:rPr>
          <w:rFonts w:hint="eastAsia"/>
          <w:color w:val="231F20"/>
          <w:sz w:val="30"/>
        </w:rPr>
      </w:pPr>
      <w:r>
        <w:rPr>
          <w:rFonts w:hint="eastAsia"/>
          <w:color w:val="231F20"/>
          <w:sz w:val="30"/>
        </w:rPr>
        <w:t>当然。</w:t>
      </w:r>
    </w:p>
    <w:p w14:paraId="101074DC">
      <w:pPr>
        <w:pStyle w:val="9"/>
        <w:spacing w:after="0"/>
        <w:rPr>
          <w:rFonts w:hint="eastAsia"/>
          <w:color w:val="231F20"/>
          <w:sz w:val="30"/>
        </w:rPr>
      </w:pPr>
    </w:p>
    <w:p w14:paraId="19528235">
      <w:pPr>
        <w:pStyle w:val="9"/>
        <w:spacing w:after="0"/>
        <w:rPr>
          <w:rFonts w:hint="eastAsia"/>
          <w:color w:val="231F20"/>
          <w:sz w:val="30"/>
        </w:rPr>
      </w:pPr>
      <w:r>
        <w:rPr>
          <w:rFonts w:hint="eastAsia"/>
          <w:color w:val="231F20"/>
          <w:sz w:val="30"/>
        </w:rPr>
        <w:t>But let the saints rest assured: One day soon, their faith—and their message—will be vindicated!</w:t>
      </w:r>
    </w:p>
    <w:p w14:paraId="0E222C38">
      <w:pPr>
        <w:pStyle w:val="9"/>
        <w:spacing w:after="0"/>
        <w:rPr>
          <w:rFonts w:hint="eastAsia"/>
          <w:color w:val="231F20"/>
          <w:sz w:val="30"/>
        </w:rPr>
      </w:pPr>
      <w:r>
        <w:rPr>
          <w:rFonts w:hint="eastAsia"/>
          <w:color w:val="231F20"/>
          <w:sz w:val="30"/>
        </w:rPr>
        <w:t>但愿圣徒们放心：不久的一天，他们的信心——以及他们的信息——将得到证实！</w:t>
      </w:r>
    </w:p>
    <w:p w14:paraId="3A475045">
      <w:pPr>
        <w:pStyle w:val="9"/>
        <w:spacing w:after="0"/>
        <w:rPr>
          <w:rFonts w:hint="eastAsia"/>
          <w:color w:val="231F20"/>
          <w:sz w:val="30"/>
        </w:rPr>
      </w:pPr>
    </w:p>
    <w:p w14:paraId="49ADEF9F">
      <w:pPr>
        <w:pStyle w:val="9"/>
        <w:spacing w:after="0"/>
        <w:rPr>
          <w:rFonts w:hint="eastAsia"/>
          <w:color w:val="231F20"/>
          <w:sz w:val="30"/>
        </w:rPr>
      </w:pPr>
      <w:r>
        <w:rPr>
          <w:rFonts w:hint="eastAsia"/>
          <w:color w:val="231F20"/>
          <w:sz w:val="30"/>
        </w:rPr>
        <w:t>At his coming, Christ will be revealed from heaven in power and glory.</w:t>
      </w:r>
    </w:p>
    <w:p w14:paraId="010CE37B">
      <w:pPr>
        <w:pStyle w:val="9"/>
        <w:spacing w:after="0"/>
        <w:rPr>
          <w:rFonts w:hint="eastAsia"/>
          <w:color w:val="231F20"/>
          <w:sz w:val="30"/>
        </w:rPr>
      </w:pPr>
      <w:r>
        <w:rPr>
          <w:rFonts w:hint="eastAsia"/>
          <w:color w:val="231F20"/>
          <w:sz w:val="30"/>
        </w:rPr>
        <w:t>在祂降临时，基督将带着能力和荣耀从天上显现。</w:t>
      </w:r>
    </w:p>
    <w:p w14:paraId="54A69B8B">
      <w:pPr>
        <w:pStyle w:val="9"/>
        <w:spacing w:after="0"/>
        <w:rPr>
          <w:rFonts w:hint="eastAsia"/>
          <w:color w:val="231F20"/>
          <w:sz w:val="30"/>
        </w:rPr>
      </w:pPr>
    </w:p>
    <w:p w14:paraId="365A8733">
      <w:pPr>
        <w:pStyle w:val="9"/>
        <w:spacing w:after="0"/>
        <w:rPr>
          <w:rFonts w:hint="eastAsia"/>
          <w:color w:val="231F20"/>
          <w:sz w:val="30"/>
        </w:rPr>
      </w:pPr>
      <w:r>
        <w:rPr>
          <w:rFonts w:hint="eastAsia"/>
          <w:color w:val="231F20"/>
          <w:sz w:val="30"/>
        </w:rPr>
        <w:t>When he is, they too—whether by resurrection or transformation—will be revealed with him in glory (3:4).</w:t>
      </w:r>
    </w:p>
    <w:p w14:paraId="586AAE9B">
      <w:pPr>
        <w:pStyle w:val="9"/>
        <w:spacing w:after="0"/>
        <w:rPr>
          <w:rFonts w:hint="eastAsia"/>
          <w:color w:val="231F20"/>
          <w:sz w:val="30"/>
        </w:rPr>
      </w:pPr>
      <w:r>
        <w:rPr>
          <w:rFonts w:hint="eastAsia"/>
          <w:color w:val="231F20"/>
          <w:sz w:val="30"/>
        </w:rPr>
        <w:t>当祂显现时，他们也——无论是藉着复活还是改变——将与祂一同在荣耀里显现（3:4）。</w:t>
      </w:r>
    </w:p>
    <w:p w14:paraId="5C7B7A68">
      <w:pPr>
        <w:pStyle w:val="9"/>
        <w:spacing w:after="0"/>
        <w:rPr>
          <w:rFonts w:hint="eastAsia"/>
          <w:color w:val="231F20"/>
          <w:sz w:val="30"/>
        </w:rPr>
      </w:pPr>
    </w:p>
    <w:p w14:paraId="3DD76AF2">
      <w:pPr>
        <w:pStyle w:val="9"/>
        <w:spacing w:after="0"/>
        <w:rPr>
          <w:rFonts w:hint="eastAsia"/>
          <w:color w:val="231F20"/>
          <w:sz w:val="30"/>
        </w:rPr>
      </w:pPr>
      <w:r>
        <w:rPr>
          <w:rFonts w:hint="eastAsia"/>
          <w:color w:val="231F20"/>
          <w:sz w:val="30"/>
        </w:rPr>
        <w:t>And when they are, the whole creation itself will be revealed in glory with them (Romans 8:18-21)!</w:t>
      </w:r>
    </w:p>
    <w:p w14:paraId="306AD6CE">
      <w:pPr>
        <w:pStyle w:val="9"/>
        <w:spacing w:after="0"/>
        <w:rPr>
          <w:rFonts w:hint="eastAsia"/>
          <w:color w:val="231F20"/>
          <w:sz w:val="30"/>
        </w:rPr>
      </w:pPr>
      <w:r>
        <w:rPr>
          <w:rFonts w:hint="eastAsia"/>
          <w:color w:val="231F20"/>
          <w:sz w:val="30"/>
        </w:rPr>
        <w:t>当他们显现时，整个受造之物本身也将与他们一同在荣耀里显现（罗马书 8:18-21）！</w:t>
      </w:r>
    </w:p>
    <w:p w14:paraId="746942A3">
      <w:pPr>
        <w:pStyle w:val="9"/>
        <w:spacing w:after="0"/>
        <w:rPr>
          <w:rFonts w:hint="eastAsia"/>
          <w:color w:val="231F20"/>
          <w:sz w:val="30"/>
        </w:rPr>
      </w:pPr>
    </w:p>
    <w:p w14:paraId="4D60294C">
      <w:pPr>
        <w:pStyle w:val="9"/>
        <w:spacing w:after="0"/>
        <w:rPr>
          <w:rFonts w:hint="eastAsia"/>
          <w:color w:val="231F20"/>
          <w:sz w:val="30"/>
        </w:rPr>
      </w:pPr>
      <w:r>
        <w:rPr>
          <w:rFonts w:hint="eastAsia"/>
          <w:color w:val="231F20"/>
          <w:sz w:val="30"/>
        </w:rPr>
        <w:t>As their Master himself had said, in that day, the righteous will shine forth like the sun (and like the Son) in the glorious, never-ending Kingdom of the Father.</w:t>
      </w:r>
    </w:p>
    <w:p w14:paraId="50429FA3">
      <w:pPr>
        <w:pStyle w:val="9"/>
        <w:spacing w:after="0"/>
        <w:rPr>
          <w:rFonts w:hint="eastAsia"/>
          <w:color w:val="231F20"/>
          <w:sz w:val="30"/>
        </w:rPr>
      </w:pPr>
      <w:r>
        <w:rPr>
          <w:rFonts w:hint="eastAsia"/>
          <w:color w:val="231F20"/>
          <w:sz w:val="30"/>
        </w:rPr>
        <w:t>正如他们的夫子自己所说，在那日，义人将在父那荣耀、永无止境的国度里发出光来，像太阳（也像圣子）一样。</w:t>
      </w:r>
    </w:p>
    <w:p w14:paraId="6BC9A548">
      <w:pPr>
        <w:pStyle w:val="9"/>
        <w:spacing w:after="0"/>
        <w:rPr>
          <w:rFonts w:hint="eastAsia"/>
          <w:color w:val="231F20"/>
          <w:sz w:val="30"/>
        </w:rPr>
      </w:pPr>
    </w:p>
    <w:p w14:paraId="2183DCC9">
      <w:pPr>
        <w:pStyle w:val="9"/>
        <w:spacing w:after="0"/>
        <w:rPr>
          <w:rFonts w:hint="eastAsia"/>
          <w:color w:val="231F20"/>
          <w:sz w:val="30"/>
        </w:rPr>
      </w:pPr>
      <w:r>
        <w:rPr>
          <w:rFonts w:hint="eastAsia"/>
          <w:color w:val="231F20"/>
          <w:sz w:val="30"/>
        </w:rPr>
        <w:t>The Writer to the Hebrews on the Heavenly Reign of God’s Royal High Priest (Heb. 1:1-5, 13)</w:t>
      </w:r>
    </w:p>
    <w:p w14:paraId="6CBCC986">
      <w:pPr>
        <w:pStyle w:val="9"/>
        <w:spacing w:after="0"/>
        <w:rPr>
          <w:rFonts w:hint="eastAsia"/>
          <w:color w:val="231F20"/>
          <w:sz w:val="30"/>
        </w:rPr>
      </w:pPr>
      <w:r>
        <w:rPr>
          <w:rFonts w:hint="eastAsia"/>
          <w:color w:val="231F20"/>
          <w:sz w:val="30"/>
        </w:rPr>
        <w:t>希伯来书作者论上帝君尊大祭司的属天统治（来 1:1-5, 13）</w:t>
      </w:r>
    </w:p>
    <w:p w14:paraId="18953B97">
      <w:pPr>
        <w:pStyle w:val="9"/>
        <w:spacing w:after="0"/>
        <w:rPr>
          <w:rFonts w:hint="eastAsia"/>
          <w:color w:val="231F20"/>
          <w:sz w:val="30"/>
        </w:rPr>
      </w:pPr>
    </w:p>
    <w:p w14:paraId="2915F337">
      <w:pPr>
        <w:pStyle w:val="9"/>
        <w:spacing w:after="0"/>
        <w:rPr>
          <w:rFonts w:hint="eastAsia"/>
          <w:color w:val="231F20"/>
          <w:sz w:val="30"/>
        </w:rPr>
      </w:pPr>
      <w:r>
        <w:rPr>
          <w:rFonts w:hint="eastAsia"/>
          <w:color w:val="231F20"/>
          <w:sz w:val="30"/>
        </w:rPr>
        <w:t>The anonymous author of the epistle to the Hebrews sought to warn, instruct, and encourage wavering Jewish Christians who, for various reasons, were tempted to return to Judaism.</w:t>
      </w:r>
    </w:p>
    <w:p w14:paraId="50326DA4">
      <w:pPr>
        <w:pStyle w:val="9"/>
        <w:spacing w:after="0"/>
        <w:rPr>
          <w:rFonts w:hint="eastAsia"/>
          <w:color w:val="231F20"/>
          <w:sz w:val="30"/>
        </w:rPr>
      </w:pPr>
      <w:r>
        <w:rPr>
          <w:rFonts w:hint="eastAsia"/>
          <w:color w:val="231F20"/>
          <w:sz w:val="30"/>
        </w:rPr>
        <w:t>希伯来书的匿名作者试图警告、教导和鼓励那些因各种原因而受诱惑要回归犹太教的摇摆不定的犹太基督徒。</w:t>
      </w:r>
    </w:p>
    <w:p w14:paraId="190DC39F">
      <w:pPr>
        <w:pStyle w:val="9"/>
        <w:spacing w:after="0"/>
        <w:rPr>
          <w:rFonts w:hint="eastAsia"/>
          <w:color w:val="231F20"/>
          <w:sz w:val="30"/>
        </w:rPr>
      </w:pPr>
    </w:p>
    <w:p w14:paraId="36211C27">
      <w:pPr>
        <w:pStyle w:val="9"/>
        <w:spacing w:after="0"/>
        <w:rPr>
          <w:rFonts w:hint="eastAsia"/>
          <w:color w:val="231F20"/>
          <w:sz w:val="30"/>
        </w:rPr>
      </w:pPr>
      <w:r>
        <w:rPr>
          <w:rFonts w:hint="eastAsia"/>
          <w:color w:val="231F20"/>
          <w:sz w:val="30"/>
        </w:rPr>
        <w:t>Recognizing that a rejection of Christ and the New Covenant would rob them of eternal salvation, he drew upon his vast knowledge of the OT to press home two relevant truths: 1) In and of itself, the OT service of worship, centered around the Tabernacle and the Temple, was altogether inadequate to make sinners right with God; 2) the OT service of worship was typological in nature, pointing forward to the Person and Work of Jesus Christ, who has now fulfilled it and therefore rendered it obsolete.</w:t>
      </w:r>
    </w:p>
    <w:p w14:paraId="68B95A47">
      <w:pPr>
        <w:pStyle w:val="9"/>
        <w:spacing w:after="0"/>
        <w:rPr>
          <w:rFonts w:hint="eastAsia"/>
          <w:color w:val="231F20"/>
          <w:sz w:val="30"/>
        </w:rPr>
      </w:pPr>
      <w:r>
        <w:rPr>
          <w:rFonts w:hint="eastAsia"/>
          <w:color w:val="231F20"/>
          <w:sz w:val="30"/>
        </w:rPr>
        <w:t>祂认识到，拒绝基督和新约将剥夺他们永恒的救恩，于是祂利用祂对旧约的广博知识，强调了两个相关的真理：1）旧约以会幕和圣殿为中心的敬拜事奉本身，完全不足以使罪人在上帝面前称义；2）旧约的敬拜事奉本质上是预表性的，指向耶稣基督的位格和工作，祂现在已经成全了它，因此使其过时了。</w:t>
      </w:r>
    </w:p>
    <w:p w14:paraId="1340E856">
      <w:pPr>
        <w:pStyle w:val="9"/>
        <w:spacing w:after="0"/>
        <w:rPr>
          <w:rFonts w:hint="eastAsia"/>
          <w:color w:val="231F20"/>
          <w:sz w:val="30"/>
        </w:rPr>
      </w:pPr>
    </w:p>
    <w:p w14:paraId="2F1BF46F">
      <w:pPr>
        <w:pStyle w:val="9"/>
        <w:spacing w:after="0"/>
        <w:rPr>
          <w:rFonts w:hint="eastAsia"/>
          <w:color w:val="231F20"/>
          <w:sz w:val="30"/>
        </w:rPr>
      </w:pPr>
      <w:r>
        <w:rPr>
          <w:rFonts w:hint="eastAsia"/>
          <w:color w:val="231F20"/>
          <w:sz w:val="30"/>
        </w:rPr>
        <w:t>Accordingly, to go back to Judaism is to go against the very flow of Salvation History; it is to repudiate the very Christ and the very Covenant towards which that history ever tended, and from which it ever borrowed whatever efficacy it had.</w:t>
      </w:r>
    </w:p>
    <w:p w14:paraId="54899060">
      <w:pPr>
        <w:pStyle w:val="9"/>
        <w:spacing w:after="0"/>
        <w:rPr>
          <w:rFonts w:hint="eastAsia"/>
          <w:color w:val="231F20"/>
          <w:sz w:val="30"/>
        </w:rPr>
      </w:pPr>
      <w:r>
        <w:rPr>
          <w:rFonts w:hint="eastAsia"/>
          <w:color w:val="231F20"/>
          <w:sz w:val="30"/>
        </w:rPr>
        <w:t>因此，回到犹太教就是逆救赎历史的潮流而行；就是否定那历史所一直趋向的、并从中借得其所有效力的基督和圣约。</w:t>
      </w:r>
    </w:p>
    <w:p w14:paraId="7FD2C099">
      <w:pPr>
        <w:pStyle w:val="9"/>
        <w:spacing w:after="0"/>
        <w:rPr>
          <w:rFonts w:hint="eastAsia"/>
          <w:color w:val="231F20"/>
          <w:sz w:val="30"/>
        </w:rPr>
      </w:pPr>
    </w:p>
    <w:p w14:paraId="156B7014">
      <w:pPr>
        <w:pStyle w:val="9"/>
        <w:spacing w:after="0"/>
        <w:rPr>
          <w:rFonts w:hint="eastAsia"/>
          <w:color w:val="231F20"/>
          <w:sz w:val="30"/>
        </w:rPr>
      </w:pPr>
      <w:r>
        <w:rPr>
          <w:rFonts w:hint="eastAsia"/>
          <w:color w:val="231F20"/>
          <w:sz w:val="30"/>
        </w:rPr>
        <w:t>In sum, now that Christ has come they should not go back, for now that Christ has come they cannot go back!</w:t>
      </w:r>
    </w:p>
    <w:p w14:paraId="71579C67">
      <w:pPr>
        <w:pStyle w:val="9"/>
        <w:spacing w:after="0"/>
        <w:rPr>
          <w:rFonts w:hint="eastAsia"/>
          <w:color w:val="231F20"/>
          <w:sz w:val="30"/>
        </w:rPr>
      </w:pPr>
      <w:r>
        <w:rPr>
          <w:rFonts w:hint="eastAsia"/>
          <w:color w:val="231F20"/>
          <w:sz w:val="30"/>
        </w:rPr>
        <w:t>总而言之，既然基督已经来了，他们就不应该回去，因为既然基督已经来了，他们就不能回去了！</w:t>
      </w:r>
    </w:p>
    <w:p w14:paraId="38FF91AE">
      <w:pPr>
        <w:pStyle w:val="9"/>
        <w:spacing w:after="0"/>
        <w:rPr>
          <w:rFonts w:hint="eastAsia"/>
          <w:color w:val="231F20"/>
          <w:sz w:val="30"/>
        </w:rPr>
      </w:pPr>
    </w:p>
    <w:p w14:paraId="18957F5D">
      <w:pPr>
        <w:pStyle w:val="9"/>
        <w:spacing w:after="0"/>
        <w:rPr>
          <w:rFonts w:hint="eastAsia"/>
          <w:color w:val="231F20"/>
          <w:sz w:val="30"/>
        </w:rPr>
      </w:pPr>
      <w:r>
        <w:rPr>
          <w:rFonts w:hint="eastAsia"/>
          <w:color w:val="231F20"/>
          <w:sz w:val="30"/>
        </w:rPr>
        <w:t>Very importantly, in making his case, the writer sheds a great deal of light on our theme: the heavenly mediatorial reign of Christ.</w:t>
      </w:r>
    </w:p>
    <w:p w14:paraId="567431E3">
      <w:pPr>
        <w:pStyle w:val="9"/>
        <w:spacing w:after="0"/>
        <w:rPr>
          <w:rFonts w:hint="eastAsia"/>
          <w:color w:val="231F20"/>
          <w:sz w:val="30"/>
        </w:rPr>
      </w:pPr>
      <w:r>
        <w:rPr>
          <w:rFonts w:hint="eastAsia"/>
          <w:color w:val="231F20"/>
          <w:sz w:val="30"/>
        </w:rPr>
        <w:t>非常重要的是，在陈述他的论点时，作者对我们的主题——基督属天的中保统治——投下了大量的光。</w:t>
      </w:r>
    </w:p>
    <w:p w14:paraId="6D1BD236">
      <w:pPr>
        <w:pStyle w:val="9"/>
        <w:spacing w:after="0"/>
        <w:rPr>
          <w:rFonts w:hint="eastAsia"/>
          <w:color w:val="231F20"/>
          <w:sz w:val="30"/>
        </w:rPr>
      </w:pPr>
    </w:p>
    <w:p w14:paraId="12CCFC57">
      <w:pPr>
        <w:pStyle w:val="9"/>
        <w:spacing w:after="0"/>
        <w:rPr>
          <w:rFonts w:hint="eastAsia"/>
          <w:color w:val="231F20"/>
          <w:sz w:val="30"/>
        </w:rPr>
      </w:pPr>
      <w:r>
        <w:rPr>
          <w:rFonts w:hint="eastAsia"/>
          <w:color w:val="231F20"/>
          <w:sz w:val="30"/>
        </w:rPr>
        <w:t>Here, however, the emphasis is less upon Christ’s Messianic Kingship, and more upon his Messianic Priesthood.</w:t>
      </w:r>
    </w:p>
    <w:p w14:paraId="2A679FC7">
      <w:pPr>
        <w:pStyle w:val="9"/>
        <w:spacing w:after="0"/>
        <w:rPr>
          <w:rFonts w:hint="eastAsia"/>
          <w:color w:val="231F20"/>
          <w:sz w:val="30"/>
        </w:rPr>
      </w:pPr>
      <w:r>
        <w:rPr>
          <w:rFonts w:hint="eastAsia"/>
          <w:color w:val="231F20"/>
          <w:sz w:val="30"/>
        </w:rPr>
        <w:t>然而，此处的重点较少在于基督的弥赛亚君王职分，而更多在于祂的弥赛亚祭司职分。</w:t>
      </w:r>
    </w:p>
    <w:p w14:paraId="1BB1CBF3">
      <w:pPr>
        <w:pStyle w:val="9"/>
        <w:spacing w:after="0"/>
        <w:rPr>
          <w:rFonts w:hint="eastAsia"/>
          <w:color w:val="231F20"/>
          <w:sz w:val="30"/>
        </w:rPr>
      </w:pPr>
    </w:p>
    <w:p w14:paraId="62497EE2">
      <w:pPr>
        <w:pStyle w:val="9"/>
        <w:spacing w:after="0"/>
        <w:rPr>
          <w:rFonts w:hint="eastAsia"/>
          <w:color w:val="231F20"/>
          <w:sz w:val="30"/>
        </w:rPr>
      </w:pPr>
      <w:r>
        <w:rPr>
          <w:rFonts w:hint="eastAsia"/>
          <w:color w:val="231F20"/>
          <w:sz w:val="30"/>
        </w:rPr>
        <w:t>Nevertheless, this extended treatise on the High Priest of Heaven is most useful to us, since it clearly displays the writer’s total eschatological outlook, the very same outlook we have discovered in our previous texts.</w:t>
      </w:r>
    </w:p>
    <w:p w14:paraId="596F30BD">
      <w:pPr>
        <w:pStyle w:val="9"/>
        <w:spacing w:after="0"/>
        <w:rPr>
          <w:rFonts w:hint="eastAsia"/>
          <w:color w:val="231F20"/>
          <w:sz w:val="30"/>
        </w:rPr>
      </w:pPr>
      <w:r>
        <w:rPr>
          <w:rFonts w:hint="eastAsia"/>
          <w:color w:val="231F20"/>
          <w:sz w:val="30"/>
        </w:rPr>
        <w:t>然而，这篇关于天上大祭司的长篇论述对我们极为有用，因为它清楚地展示了作者的整体末世论观点，正是我们在先前经文中发现的同一个观点。</w:t>
      </w:r>
    </w:p>
    <w:p w14:paraId="31759CDC">
      <w:pPr>
        <w:pStyle w:val="9"/>
        <w:spacing w:after="0"/>
        <w:rPr>
          <w:rFonts w:hint="eastAsia"/>
          <w:color w:val="231F20"/>
          <w:sz w:val="30"/>
        </w:rPr>
      </w:pPr>
    </w:p>
    <w:p w14:paraId="2A881E86">
      <w:pPr>
        <w:pStyle w:val="9"/>
        <w:spacing w:after="0"/>
        <w:rPr>
          <w:rFonts w:hint="eastAsia"/>
          <w:color w:val="231F20"/>
          <w:sz w:val="30"/>
        </w:rPr>
      </w:pPr>
      <w:r>
        <w:rPr>
          <w:rFonts w:hint="eastAsia"/>
          <w:color w:val="231F20"/>
          <w:sz w:val="30"/>
        </w:rPr>
        <w:t>In a highly condensed form, we encounter it at the outset, especially in the first five verses of chapter 1.</w:t>
      </w:r>
    </w:p>
    <w:p w14:paraId="00745438">
      <w:pPr>
        <w:pStyle w:val="9"/>
        <w:spacing w:after="0"/>
        <w:rPr>
          <w:rFonts w:hint="eastAsia"/>
          <w:color w:val="231F20"/>
          <w:sz w:val="30"/>
        </w:rPr>
      </w:pPr>
      <w:r>
        <w:rPr>
          <w:rFonts w:hint="eastAsia"/>
          <w:color w:val="231F20"/>
          <w:sz w:val="30"/>
        </w:rPr>
        <w:t>以一种高度浓缩的形式，我们在开头就遇到了它，尤其是在第1章的前五节经文中。</w:t>
      </w:r>
    </w:p>
    <w:p w14:paraId="195D7C10">
      <w:pPr>
        <w:pStyle w:val="9"/>
        <w:spacing w:after="0"/>
        <w:rPr>
          <w:rFonts w:hint="eastAsia"/>
          <w:color w:val="231F20"/>
          <w:sz w:val="30"/>
        </w:rPr>
      </w:pPr>
    </w:p>
    <w:p w14:paraId="3828B9EA">
      <w:pPr>
        <w:pStyle w:val="9"/>
        <w:spacing w:after="0"/>
        <w:rPr>
          <w:rFonts w:hint="eastAsia"/>
          <w:color w:val="231F20"/>
          <w:sz w:val="30"/>
        </w:rPr>
      </w:pPr>
      <w:r>
        <w:rPr>
          <w:rFonts w:hint="eastAsia"/>
          <w:color w:val="231F20"/>
          <w:sz w:val="30"/>
        </w:rPr>
        <w:t>Here the writer’s clear purpose is to display the deity of Christ, thereby sharply distinguishing him from the angels, with whom some of the Jewish Christians were apparently confusing him.</w:t>
      </w:r>
    </w:p>
    <w:p w14:paraId="3805A751">
      <w:pPr>
        <w:pStyle w:val="9"/>
        <w:spacing w:after="0"/>
        <w:rPr>
          <w:rFonts w:hint="eastAsia"/>
          <w:color w:val="231F20"/>
          <w:sz w:val="30"/>
        </w:rPr>
      </w:pPr>
      <w:r>
        <w:rPr>
          <w:rFonts w:hint="eastAsia"/>
          <w:color w:val="231F20"/>
          <w:sz w:val="30"/>
        </w:rPr>
        <w:t>在此，作者的明确目的是展示基督的神性，从而将祂与天使截然分开，一些犹太基督徒显然将祂与天使混淆了。</w:t>
      </w:r>
    </w:p>
    <w:p w14:paraId="3260345C">
      <w:pPr>
        <w:pStyle w:val="9"/>
        <w:spacing w:after="0"/>
        <w:rPr>
          <w:rFonts w:hint="eastAsia"/>
          <w:color w:val="231F20"/>
          <w:sz w:val="30"/>
        </w:rPr>
      </w:pPr>
    </w:p>
    <w:p w14:paraId="4925243C">
      <w:pPr>
        <w:pStyle w:val="9"/>
        <w:spacing w:after="0"/>
        <w:rPr>
          <w:rFonts w:hint="eastAsia"/>
          <w:color w:val="231F20"/>
          <w:sz w:val="30"/>
        </w:rPr>
      </w:pPr>
      <w:r>
        <w:rPr>
          <w:rFonts w:hint="eastAsia"/>
          <w:color w:val="231F20"/>
          <w:sz w:val="30"/>
        </w:rPr>
        <w:t>To this end, he identifies Christ as “the Son,” and the Son as the (co)-creator of the world (1:2), the sustainer of the world (1:3), and the express image of the Father’s person (1:3).</w:t>
      </w:r>
    </w:p>
    <w:p w14:paraId="53670669">
      <w:pPr>
        <w:pStyle w:val="9"/>
        <w:spacing w:after="0"/>
        <w:rPr>
          <w:rFonts w:hint="eastAsia"/>
          <w:color w:val="231F20"/>
          <w:sz w:val="30"/>
        </w:rPr>
      </w:pPr>
      <w:r>
        <w:rPr>
          <w:rFonts w:hint="eastAsia"/>
          <w:color w:val="231F20"/>
          <w:sz w:val="30"/>
        </w:rPr>
        <w:t>为此目的，祂将基督确定为“儿子”，并将儿子确定为世界的（共同）创造者（1:2），世界的维持者（1:3），以及父本体的真像（1:3）。</w:t>
      </w:r>
    </w:p>
    <w:p w14:paraId="39D1FDC3">
      <w:pPr>
        <w:pStyle w:val="9"/>
        <w:spacing w:after="0"/>
        <w:rPr>
          <w:rFonts w:hint="eastAsia"/>
          <w:color w:val="231F20"/>
          <w:sz w:val="30"/>
        </w:rPr>
      </w:pPr>
    </w:p>
    <w:p w14:paraId="51AFF170">
      <w:pPr>
        <w:pStyle w:val="9"/>
        <w:spacing w:after="0"/>
        <w:rPr>
          <w:rFonts w:hint="eastAsia"/>
          <w:color w:val="231F20"/>
          <w:sz w:val="30"/>
        </w:rPr>
      </w:pPr>
      <w:r>
        <w:rPr>
          <w:rFonts w:hint="eastAsia"/>
          <w:color w:val="231F20"/>
          <w:sz w:val="30"/>
        </w:rPr>
        <w:t>No angel here!</w:t>
      </w:r>
    </w:p>
    <w:p w14:paraId="497E59DD">
      <w:pPr>
        <w:pStyle w:val="9"/>
        <w:spacing w:after="0"/>
        <w:rPr>
          <w:rFonts w:hint="eastAsia"/>
          <w:color w:val="231F20"/>
          <w:sz w:val="30"/>
        </w:rPr>
      </w:pPr>
      <w:r>
        <w:rPr>
          <w:rFonts w:hint="eastAsia"/>
          <w:color w:val="231F20"/>
          <w:sz w:val="30"/>
        </w:rPr>
        <w:t>这里没有天使！</w:t>
      </w:r>
    </w:p>
    <w:p w14:paraId="341DE97A">
      <w:pPr>
        <w:pStyle w:val="9"/>
        <w:spacing w:after="0"/>
        <w:rPr>
          <w:rFonts w:hint="eastAsia"/>
          <w:color w:val="231F20"/>
          <w:sz w:val="30"/>
        </w:rPr>
      </w:pPr>
    </w:p>
    <w:p w14:paraId="0800BAA8">
      <w:pPr>
        <w:pStyle w:val="9"/>
        <w:spacing w:after="0"/>
        <w:rPr>
          <w:rFonts w:hint="eastAsia"/>
          <w:color w:val="231F20"/>
          <w:sz w:val="30"/>
        </w:rPr>
      </w:pPr>
      <w:r>
        <w:rPr>
          <w:rFonts w:hint="eastAsia"/>
          <w:color w:val="231F20"/>
          <w:sz w:val="30"/>
        </w:rPr>
        <w:t>Importantly, he also speaks of the Son as the heir of all things (1:2), the One by whom and for whom all things exist (2:9).</w:t>
      </w:r>
    </w:p>
    <w:p w14:paraId="691215AD">
      <w:pPr>
        <w:pStyle w:val="9"/>
        <w:spacing w:after="0"/>
        <w:rPr>
          <w:rFonts w:hint="eastAsia"/>
          <w:color w:val="231F20"/>
          <w:sz w:val="30"/>
        </w:rPr>
      </w:pPr>
      <w:r>
        <w:rPr>
          <w:rFonts w:hint="eastAsia"/>
          <w:color w:val="231F20"/>
          <w:sz w:val="30"/>
        </w:rPr>
        <w:t>重要的是，祂也谈到子是承受万有的（1:2），万有是藉着祂造的，也是为祂造的（2:9）。</w:t>
      </w:r>
    </w:p>
    <w:p w14:paraId="2AEECC73">
      <w:pPr>
        <w:pStyle w:val="9"/>
        <w:spacing w:after="0"/>
        <w:rPr>
          <w:rFonts w:hint="eastAsia"/>
          <w:color w:val="231F20"/>
          <w:sz w:val="30"/>
        </w:rPr>
      </w:pPr>
    </w:p>
    <w:p w14:paraId="52658282">
      <w:pPr>
        <w:pStyle w:val="9"/>
        <w:spacing w:after="0"/>
        <w:rPr>
          <w:rFonts w:hint="eastAsia"/>
          <w:color w:val="231F20"/>
          <w:sz w:val="30"/>
        </w:rPr>
      </w:pPr>
      <w:r>
        <w:rPr>
          <w:rFonts w:hint="eastAsia"/>
          <w:color w:val="231F20"/>
          <w:sz w:val="30"/>
        </w:rPr>
        <w:t>But how exactly does the Son inherit all things?</w:t>
      </w:r>
    </w:p>
    <w:p w14:paraId="27534D70">
      <w:pPr>
        <w:pStyle w:val="9"/>
        <w:spacing w:after="0"/>
        <w:rPr>
          <w:rFonts w:hint="eastAsia"/>
          <w:color w:val="231F20"/>
          <w:sz w:val="30"/>
        </w:rPr>
      </w:pPr>
      <w:r>
        <w:rPr>
          <w:rFonts w:hint="eastAsia"/>
          <w:color w:val="231F20"/>
          <w:sz w:val="30"/>
        </w:rPr>
        <w:t>但子究竟是如何承受万有的呢？</w:t>
      </w:r>
    </w:p>
    <w:p w14:paraId="40BDBC43">
      <w:pPr>
        <w:pStyle w:val="9"/>
        <w:spacing w:after="0"/>
        <w:rPr>
          <w:rFonts w:hint="eastAsia"/>
          <w:color w:val="231F20"/>
          <w:sz w:val="30"/>
        </w:rPr>
      </w:pPr>
    </w:p>
    <w:p w14:paraId="5AA5CAE0">
      <w:pPr>
        <w:pStyle w:val="9"/>
        <w:spacing w:after="0"/>
        <w:rPr>
          <w:rFonts w:hint="eastAsia"/>
          <w:color w:val="231F20"/>
          <w:sz w:val="30"/>
        </w:rPr>
      </w:pPr>
      <w:r>
        <w:rPr>
          <w:rFonts w:hint="eastAsia"/>
          <w:color w:val="231F20"/>
          <w:sz w:val="30"/>
        </w:rPr>
        <w:t>Our text addresses this as well: He becomes a man, purges the sins of God’s people, and sits down at the right hand of the Majesty on high (1:3).</w:t>
      </w:r>
    </w:p>
    <w:p w14:paraId="6F70F4BD">
      <w:pPr>
        <w:pStyle w:val="9"/>
        <w:spacing w:after="0"/>
        <w:rPr>
          <w:rFonts w:hint="eastAsia"/>
          <w:color w:val="231F20"/>
          <w:sz w:val="30"/>
        </w:rPr>
      </w:pPr>
      <w:r>
        <w:rPr>
          <w:rFonts w:hint="eastAsia"/>
          <w:color w:val="231F20"/>
          <w:sz w:val="30"/>
        </w:rPr>
        <w:t>我们的经文也谈到了这一点：祂成了人，洁净了上帝子民的罪，就坐在高天至大者的右边（1:3）。</w:t>
      </w:r>
    </w:p>
    <w:p w14:paraId="006A4576">
      <w:pPr>
        <w:pStyle w:val="9"/>
        <w:spacing w:after="0"/>
        <w:rPr>
          <w:rFonts w:hint="eastAsia"/>
          <w:color w:val="231F20"/>
          <w:sz w:val="30"/>
        </w:rPr>
      </w:pPr>
    </w:p>
    <w:p w14:paraId="706498D2">
      <w:pPr>
        <w:pStyle w:val="9"/>
        <w:spacing w:after="0"/>
        <w:rPr>
          <w:rFonts w:hint="eastAsia"/>
          <w:color w:val="231F20"/>
          <w:sz w:val="30"/>
        </w:rPr>
      </w:pPr>
      <w:r>
        <w:rPr>
          <w:rFonts w:hint="eastAsia"/>
          <w:color w:val="231F20"/>
          <w:sz w:val="30"/>
        </w:rPr>
        <w:t>Yes, in so doing, he inherits a more excellent name than the angels (1:4).</w:t>
      </w:r>
    </w:p>
    <w:p w14:paraId="435F21AE">
      <w:pPr>
        <w:pStyle w:val="9"/>
        <w:spacing w:after="0"/>
        <w:rPr>
          <w:rFonts w:hint="eastAsia"/>
          <w:color w:val="231F20"/>
          <w:sz w:val="30"/>
        </w:rPr>
      </w:pPr>
      <w:r>
        <w:rPr>
          <w:rFonts w:hint="eastAsia"/>
          <w:color w:val="231F20"/>
          <w:sz w:val="30"/>
        </w:rPr>
        <w:t>是的，在这样做的时候，祂所承受的名，比天使的名更尊贵（1:4）。</w:t>
      </w:r>
    </w:p>
    <w:p w14:paraId="5063342F">
      <w:pPr>
        <w:pStyle w:val="9"/>
        <w:spacing w:after="0"/>
        <w:rPr>
          <w:rFonts w:hint="eastAsia"/>
          <w:color w:val="231F20"/>
          <w:sz w:val="30"/>
        </w:rPr>
      </w:pPr>
    </w:p>
    <w:p w14:paraId="1732C4FA">
      <w:pPr>
        <w:pStyle w:val="9"/>
        <w:spacing w:after="0"/>
        <w:rPr>
          <w:rFonts w:hint="eastAsia"/>
          <w:color w:val="231F20"/>
          <w:sz w:val="30"/>
        </w:rPr>
      </w:pPr>
      <w:r>
        <w:rPr>
          <w:rFonts w:hint="eastAsia"/>
          <w:color w:val="231F20"/>
          <w:sz w:val="30"/>
        </w:rPr>
        <w:t>But he inherits that most excellent name because he inherits the universe as well!</w:t>
      </w:r>
    </w:p>
    <w:p w14:paraId="482DEE47">
      <w:pPr>
        <w:pStyle w:val="9"/>
        <w:spacing w:after="0"/>
        <w:rPr>
          <w:rFonts w:hint="eastAsia"/>
          <w:color w:val="231F20"/>
          <w:sz w:val="30"/>
        </w:rPr>
      </w:pPr>
      <w:r>
        <w:rPr>
          <w:rFonts w:hint="eastAsia"/>
          <w:color w:val="231F20"/>
          <w:sz w:val="30"/>
        </w:rPr>
        <w:t>但祂承受那最尊贵的名，是因为祂也承受了宇宙！</w:t>
      </w:r>
    </w:p>
    <w:p w14:paraId="1972CD99">
      <w:pPr>
        <w:pStyle w:val="9"/>
        <w:spacing w:after="0"/>
        <w:rPr>
          <w:rFonts w:hint="eastAsia"/>
          <w:color w:val="231F20"/>
          <w:sz w:val="30"/>
        </w:rPr>
      </w:pPr>
    </w:p>
    <w:p w14:paraId="6BEC78B9">
      <w:pPr>
        <w:pStyle w:val="9"/>
        <w:spacing w:after="0"/>
        <w:rPr>
          <w:rFonts w:hint="eastAsia"/>
          <w:color w:val="231F20"/>
          <w:sz w:val="30"/>
        </w:rPr>
      </w:pPr>
      <w:r>
        <w:rPr>
          <w:rFonts w:hint="eastAsia"/>
          <w:color w:val="231F20"/>
          <w:sz w:val="30"/>
        </w:rPr>
        <w:t>As our text implies, through the humiliation and exaltation of his divine-human Son, God has “begotten” the Messiah: He has fitted him for, and set him in, his great ministry as the High King (and Priest) of Heaven and Earth (1:5).</w:t>
      </w:r>
    </w:p>
    <w:p w14:paraId="4BB42F3D">
      <w:pPr>
        <w:pStyle w:val="9"/>
        <w:spacing w:after="0"/>
        <w:rPr>
          <w:rFonts w:hint="eastAsia"/>
          <w:color w:val="231F20"/>
          <w:sz w:val="30"/>
        </w:rPr>
      </w:pPr>
      <w:r>
        <w:rPr>
          <w:rFonts w:hint="eastAsia"/>
          <w:color w:val="231F20"/>
          <w:sz w:val="30"/>
        </w:rPr>
        <w:t>正如我们的经文所暗示的，藉着祂神人儿子的降卑与高升，上帝已经“生了”弥赛亚：祂已使祂适合并安置祂在祂作为天地至高君王（和祭司）的伟大职事中（1:5）。</w:t>
      </w:r>
    </w:p>
    <w:p w14:paraId="3262C3FF">
      <w:pPr>
        <w:pStyle w:val="9"/>
        <w:spacing w:after="0"/>
        <w:rPr>
          <w:rFonts w:hint="eastAsia"/>
          <w:color w:val="231F20"/>
          <w:sz w:val="30"/>
        </w:rPr>
      </w:pPr>
    </w:p>
    <w:p w14:paraId="4D338068">
      <w:pPr>
        <w:pStyle w:val="9"/>
        <w:spacing w:after="0"/>
        <w:rPr>
          <w:rFonts w:hint="eastAsia"/>
          <w:color w:val="231F20"/>
          <w:sz w:val="30"/>
        </w:rPr>
      </w:pPr>
      <w:r>
        <w:rPr>
          <w:rFonts w:hint="eastAsia"/>
          <w:color w:val="231F20"/>
          <w:sz w:val="30"/>
        </w:rPr>
        <w:t>In one form or another, his throne— his universal sovereignty—will endure forever (1:8).</w:t>
      </w:r>
    </w:p>
    <w:p w14:paraId="550A11D7">
      <w:pPr>
        <w:pStyle w:val="9"/>
        <w:spacing w:after="0"/>
        <w:rPr>
          <w:rFonts w:hint="eastAsia"/>
          <w:color w:val="231F20"/>
          <w:sz w:val="30"/>
        </w:rPr>
      </w:pPr>
      <w:r>
        <w:rPr>
          <w:rFonts w:hint="eastAsia"/>
          <w:color w:val="231F20"/>
          <w:sz w:val="30"/>
        </w:rPr>
        <w:t>以这样或那样的形式，祂的宝座——祂普世的主权——将存到永远（1:8）。</w:t>
      </w:r>
    </w:p>
    <w:p w14:paraId="268BCE6D">
      <w:pPr>
        <w:pStyle w:val="9"/>
        <w:spacing w:after="0"/>
        <w:rPr>
          <w:rFonts w:hint="eastAsia"/>
          <w:color w:val="231F20"/>
          <w:sz w:val="30"/>
        </w:rPr>
      </w:pPr>
    </w:p>
    <w:p w14:paraId="413204C9">
      <w:pPr>
        <w:pStyle w:val="9"/>
        <w:spacing w:after="0"/>
        <w:rPr>
          <w:rFonts w:hint="eastAsia"/>
          <w:color w:val="231F20"/>
          <w:sz w:val="30"/>
        </w:rPr>
      </w:pPr>
      <w:r>
        <w:rPr>
          <w:rFonts w:hint="eastAsia"/>
          <w:color w:val="231F20"/>
          <w:sz w:val="30"/>
        </w:rPr>
        <w:t>In the present stage of his rule, he will sit at God’s right hand until he makes all his (remaining) enemies a footstool for his feet (1:3; Psalm 110:1); until he himself comes again, and folds up both the heavens and the earth like a cloak, changing (i.e., glorifying) them once and for all (1:10-12).</w:t>
      </w:r>
    </w:p>
    <w:p w14:paraId="5300772E">
      <w:pPr>
        <w:pStyle w:val="9"/>
        <w:spacing w:after="0"/>
        <w:rPr>
          <w:rFonts w:hint="eastAsia"/>
          <w:color w:val="231F20"/>
          <w:sz w:val="30"/>
        </w:rPr>
      </w:pPr>
      <w:r>
        <w:rPr>
          <w:rFonts w:hint="eastAsia"/>
          <w:color w:val="231F20"/>
          <w:sz w:val="30"/>
        </w:rPr>
        <w:t>在祂统治的现阶段，祂将坐在上帝的右边，等祂使祂所有（余下的）仇敌都作祂的脚凳（1:3; 诗篇 110:1）；直到祂自己再来，并将天地都像外衣卷起来，一次性地改变（即荣耀）它们（1:10-12）。</w:t>
      </w:r>
    </w:p>
    <w:p w14:paraId="41923696">
      <w:pPr>
        <w:pStyle w:val="9"/>
        <w:spacing w:after="0"/>
        <w:rPr>
          <w:rFonts w:hint="eastAsia"/>
          <w:color w:val="231F20"/>
          <w:sz w:val="30"/>
        </w:rPr>
      </w:pPr>
    </w:p>
    <w:p w14:paraId="67D0BB6A">
      <w:pPr>
        <w:pStyle w:val="9"/>
        <w:spacing w:after="0"/>
        <w:rPr>
          <w:rFonts w:hint="eastAsia"/>
          <w:color w:val="231F20"/>
          <w:sz w:val="30"/>
        </w:rPr>
      </w:pPr>
      <w:r>
        <w:rPr>
          <w:rFonts w:hint="eastAsia"/>
          <w:color w:val="231F20"/>
          <w:sz w:val="30"/>
        </w:rPr>
        <w:t>Again, let no Christian think of this One as an angel!</w:t>
      </w:r>
    </w:p>
    <w:p w14:paraId="660AD837">
      <w:pPr>
        <w:pStyle w:val="9"/>
        <w:spacing w:after="0"/>
        <w:rPr>
          <w:rFonts w:hint="eastAsia"/>
          <w:color w:val="231F20"/>
          <w:sz w:val="30"/>
        </w:rPr>
      </w:pPr>
      <w:r>
        <w:rPr>
          <w:rFonts w:hint="eastAsia"/>
          <w:color w:val="231F20"/>
          <w:sz w:val="30"/>
        </w:rPr>
        <w:t>再次，愿没有基督徒将这位视为天使！</w:t>
      </w:r>
    </w:p>
    <w:p w14:paraId="28803D5B">
      <w:pPr>
        <w:pStyle w:val="9"/>
        <w:spacing w:after="0"/>
        <w:rPr>
          <w:rFonts w:hint="eastAsia"/>
          <w:color w:val="231F20"/>
          <w:sz w:val="30"/>
        </w:rPr>
      </w:pPr>
    </w:p>
    <w:p w14:paraId="5763A466">
      <w:pPr>
        <w:pStyle w:val="9"/>
        <w:spacing w:after="0"/>
        <w:rPr>
          <w:rFonts w:hint="eastAsia"/>
          <w:color w:val="231F20"/>
          <w:sz w:val="30"/>
        </w:rPr>
      </w:pPr>
      <w:r>
        <w:rPr>
          <w:rFonts w:hint="eastAsia"/>
          <w:color w:val="231F20"/>
          <w:sz w:val="30"/>
        </w:rPr>
        <w:t>Rather, let them worship him as the all- sovereign God-Man—and let the angels do so, as well (1:6)!</w:t>
      </w:r>
    </w:p>
    <w:p w14:paraId="62DEF0E1">
      <w:pPr>
        <w:pStyle w:val="9"/>
        <w:spacing w:after="0"/>
        <w:rPr>
          <w:rFonts w:hint="eastAsia"/>
          <w:color w:val="231F20"/>
          <w:sz w:val="30"/>
        </w:rPr>
      </w:pPr>
      <w:r>
        <w:rPr>
          <w:rFonts w:hint="eastAsia"/>
          <w:color w:val="231F20"/>
          <w:sz w:val="30"/>
        </w:rPr>
        <w:t>相反，让他们敬拜祂为全能的神人——也让天使们这样做（1:6）！</w:t>
      </w:r>
    </w:p>
    <w:p w14:paraId="00463206">
      <w:pPr>
        <w:pStyle w:val="9"/>
        <w:spacing w:after="0"/>
        <w:rPr>
          <w:rFonts w:hint="eastAsia"/>
          <w:color w:val="231F20"/>
          <w:sz w:val="30"/>
        </w:rPr>
      </w:pPr>
    </w:p>
    <w:p w14:paraId="03409DF6">
      <w:pPr>
        <w:pStyle w:val="9"/>
        <w:spacing w:after="0"/>
        <w:rPr>
          <w:rFonts w:hint="eastAsia"/>
          <w:color w:val="231F20"/>
          <w:sz w:val="30"/>
        </w:rPr>
      </w:pPr>
      <w:r>
        <w:rPr>
          <w:rFonts w:hint="eastAsia"/>
          <w:color w:val="231F20"/>
          <w:sz w:val="30"/>
        </w:rPr>
        <w:t>We find, then, that the standard NT eschatology—the simple two-staged view of the Kingdom—appears in the very first chapter of this epistle.</w:t>
      </w:r>
    </w:p>
    <w:p w14:paraId="48C3FF00">
      <w:pPr>
        <w:pStyle w:val="9"/>
        <w:spacing w:after="0"/>
        <w:rPr>
          <w:rFonts w:hint="eastAsia"/>
          <w:color w:val="231F20"/>
          <w:sz w:val="30"/>
        </w:rPr>
      </w:pPr>
      <w:r>
        <w:rPr>
          <w:rFonts w:hint="eastAsia"/>
          <w:color w:val="231F20"/>
          <w:sz w:val="30"/>
        </w:rPr>
        <w:t>因此，我们发现，标准的新约末世论——即国度分两个简单阶段的观点——出现在这封书信的第一章。</w:t>
      </w:r>
    </w:p>
    <w:p w14:paraId="733348B0">
      <w:pPr>
        <w:pStyle w:val="9"/>
        <w:spacing w:after="0"/>
        <w:rPr>
          <w:rFonts w:hint="eastAsia"/>
          <w:color w:val="231F20"/>
          <w:sz w:val="30"/>
        </w:rPr>
      </w:pPr>
    </w:p>
    <w:p w14:paraId="28B132DD">
      <w:pPr>
        <w:pStyle w:val="9"/>
        <w:spacing w:after="0"/>
        <w:rPr>
          <w:rFonts w:hint="eastAsia"/>
          <w:color w:val="231F20"/>
          <w:sz w:val="30"/>
        </w:rPr>
      </w:pPr>
      <w:r>
        <w:rPr>
          <w:rFonts w:hint="eastAsia"/>
          <w:color w:val="231F20"/>
          <w:sz w:val="30"/>
        </w:rPr>
        <w:t>Moreover, it appears repeatedly in the rest of the book.</w:t>
      </w:r>
    </w:p>
    <w:p w14:paraId="02959A71">
      <w:pPr>
        <w:pStyle w:val="9"/>
        <w:spacing w:after="0"/>
        <w:rPr>
          <w:rFonts w:hint="eastAsia"/>
          <w:color w:val="231F20"/>
          <w:sz w:val="30"/>
        </w:rPr>
      </w:pPr>
      <w:r>
        <w:rPr>
          <w:rFonts w:hint="eastAsia"/>
          <w:color w:val="231F20"/>
          <w:sz w:val="30"/>
        </w:rPr>
        <w:t>此外，它在本书的其余部分反复出现。</w:t>
      </w:r>
    </w:p>
    <w:p w14:paraId="3B580EC5">
      <w:pPr>
        <w:pStyle w:val="9"/>
        <w:spacing w:after="0"/>
        <w:rPr>
          <w:rFonts w:hint="eastAsia"/>
          <w:color w:val="231F20"/>
          <w:sz w:val="30"/>
        </w:rPr>
      </w:pPr>
    </w:p>
    <w:p w14:paraId="5E34F424">
      <w:pPr>
        <w:pStyle w:val="9"/>
        <w:spacing w:after="0"/>
        <w:rPr>
          <w:rFonts w:hint="eastAsia"/>
          <w:color w:val="231F20"/>
          <w:sz w:val="30"/>
        </w:rPr>
      </w:pPr>
      <w:r>
        <w:rPr>
          <w:rFonts w:hint="eastAsia"/>
          <w:color w:val="231F20"/>
          <w:sz w:val="30"/>
        </w:rPr>
        <w:t>A brief overview will make this important point clear.</w:t>
      </w:r>
    </w:p>
    <w:p w14:paraId="2889637D">
      <w:pPr>
        <w:pStyle w:val="9"/>
        <w:spacing w:after="0"/>
        <w:rPr>
          <w:rFonts w:hint="eastAsia"/>
          <w:color w:val="231F20"/>
          <w:sz w:val="30"/>
        </w:rPr>
      </w:pPr>
      <w:r>
        <w:rPr>
          <w:rFonts w:hint="eastAsia"/>
          <w:color w:val="231F20"/>
          <w:sz w:val="30"/>
        </w:rPr>
        <w:t>一个简要的概述将使这个要点清晰明了。</w:t>
      </w:r>
    </w:p>
    <w:p w14:paraId="290361A7">
      <w:pPr>
        <w:pStyle w:val="9"/>
        <w:spacing w:after="0"/>
        <w:rPr>
          <w:rFonts w:hint="eastAsia"/>
          <w:color w:val="231F20"/>
          <w:sz w:val="30"/>
        </w:rPr>
      </w:pPr>
    </w:p>
    <w:p w14:paraId="65F8ACEC">
      <w:pPr>
        <w:pStyle w:val="9"/>
        <w:spacing w:after="0"/>
        <w:rPr>
          <w:rFonts w:hint="eastAsia"/>
          <w:color w:val="231F20"/>
          <w:sz w:val="30"/>
        </w:rPr>
      </w:pPr>
      <w:r>
        <w:rPr>
          <w:rFonts w:hint="eastAsia"/>
          <w:color w:val="231F20"/>
          <w:sz w:val="30"/>
        </w:rPr>
        <w:t>As the writer makes his case for the superiority and finality of the New Covenant, he begins by showing that the incarnation of the holy Son of God was absolutely necessary for the salvation of sinful men (2:10-18, 10:5-10); that animal sacrifices—which were mere pictures of Christ—had no intrinsic power to redeem (10:1-4).</w:t>
      </w:r>
    </w:p>
    <w:p w14:paraId="49D6F28D">
      <w:pPr>
        <w:pStyle w:val="9"/>
        <w:spacing w:after="0"/>
        <w:rPr>
          <w:rFonts w:hint="eastAsia"/>
          <w:color w:val="231F20"/>
          <w:sz w:val="30"/>
        </w:rPr>
      </w:pPr>
      <w:r>
        <w:rPr>
          <w:rFonts w:hint="eastAsia"/>
          <w:color w:val="231F20"/>
          <w:sz w:val="30"/>
        </w:rPr>
        <w:t>当作者为新约的优越性和终极性辩护时，他首先表明，圣洁的上帝之子道成肉身对于有罪之人的救恩是绝对必要的（2:10-18, 10:5-10）；动物献祭——仅仅是基督的图画——本身并没有救赎的能力（10:1-4）。</w:t>
      </w:r>
    </w:p>
    <w:p w14:paraId="3EFA2981">
      <w:pPr>
        <w:pStyle w:val="9"/>
        <w:spacing w:after="0"/>
        <w:rPr>
          <w:rFonts w:hint="eastAsia"/>
          <w:color w:val="231F20"/>
          <w:sz w:val="30"/>
        </w:rPr>
      </w:pPr>
    </w:p>
    <w:p w14:paraId="4CC92DC7">
      <w:pPr>
        <w:pStyle w:val="9"/>
        <w:spacing w:after="0"/>
        <w:rPr>
          <w:rFonts w:hint="eastAsia"/>
          <w:color w:val="231F20"/>
          <w:sz w:val="30"/>
        </w:rPr>
      </w:pPr>
      <w:r>
        <w:rPr>
          <w:rFonts w:hint="eastAsia"/>
          <w:color w:val="231F20"/>
          <w:sz w:val="30"/>
        </w:rPr>
        <w:t>But to what purpose was this great sacrifice?</w:t>
      </w:r>
    </w:p>
    <w:p w14:paraId="4E3A322D">
      <w:pPr>
        <w:pStyle w:val="9"/>
        <w:spacing w:after="0"/>
        <w:rPr>
          <w:rFonts w:hint="eastAsia"/>
          <w:color w:val="231F20"/>
          <w:sz w:val="30"/>
        </w:rPr>
      </w:pPr>
      <w:r>
        <w:rPr>
          <w:rFonts w:hint="eastAsia"/>
          <w:color w:val="231F20"/>
          <w:sz w:val="30"/>
        </w:rPr>
        <w:t>但这个伟大的献祭目的何在？</w:t>
      </w:r>
    </w:p>
    <w:p w14:paraId="241871DD">
      <w:pPr>
        <w:pStyle w:val="9"/>
        <w:spacing w:after="0"/>
        <w:rPr>
          <w:rFonts w:hint="eastAsia"/>
          <w:color w:val="231F20"/>
          <w:sz w:val="30"/>
        </w:rPr>
      </w:pPr>
    </w:p>
    <w:p w14:paraId="21C5686A">
      <w:pPr>
        <w:pStyle w:val="9"/>
        <w:spacing w:after="0"/>
        <w:rPr>
          <w:rFonts w:hint="eastAsia"/>
          <w:color w:val="231F20"/>
          <w:sz w:val="30"/>
        </w:rPr>
      </w:pPr>
      <w:r>
        <w:rPr>
          <w:rFonts w:hint="eastAsia"/>
          <w:color w:val="231F20"/>
          <w:sz w:val="30"/>
        </w:rPr>
        <w:t>The answer must surprise and thrill every godly Jew: Christ died to give all God’s people direct, ongoing access to himself; to give them entrance, once and for all, into the Holy of Holies!</w:t>
      </w:r>
    </w:p>
    <w:p w14:paraId="419A6209">
      <w:pPr>
        <w:pStyle w:val="9"/>
        <w:spacing w:after="0"/>
        <w:rPr>
          <w:rFonts w:hint="eastAsia"/>
          <w:color w:val="231F20"/>
          <w:sz w:val="30"/>
        </w:rPr>
      </w:pPr>
      <w:r>
        <w:rPr>
          <w:rFonts w:hint="eastAsia"/>
          <w:color w:val="231F20"/>
          <w:sz w:val="30"/>
        </w:rPr>
        <w:t>答案必定让每一个敬虔的犹太人感到惊讶和激动：基督死，是为了让所有上帝的子民可以直接、持续地进到祂面前；是为了让他们可以一次性地进入至圣所！</w:t>
      </w:r>
    </w:p>
    <w:p w14:paraId="57E93DFF">
      <w:pPr>
        <w:pStyle w:val="9"/>
        <w:spacing w:after="0"/>
        <w:rPr>
          <w:rFonts w:hint="eastAsia"/>
          <w:color w:val="231F20"/>
          <w:sz w:val="30"/>
        </w:rPr>
      </w:pPr>
    </w:p>
    <w:p w14:paraId="5320E532">
      <w:pPr>
        <w:pStyle w:val="9"/>
        <w:spacing w:after="0"/>
        <w:rPr>
          <w:rFonts w:hint="eastAsia"/>
          <w:color w:val="231F20"/>
          <w:sz w:val="30"/>
        </w:rPr>
      </w:pPr>
      <w:r>
        <w:rPr>
          <w:rFonts w:hint="eastAsia"/>
          <w:color w:val="231F20"/>
          <w:sz w:val="30"/>
        </w:rPr>
        <w:t>How exactly can Christ grant this supreme blessing?</w:t>
      </w:r>
    </w:p>
    <w:p w14:paraId="7AE2DBF2">
      <w:pPr>
        <w:pStyle w:val="9"/>
        <w:spacing w:after="0"/>
        <w:rPr>
          <w:rFonts w:hint="eastAsia"/>
          <w:color w:val="231F20"/>
          <w:sz w:val="30"/>
        </w:rPr>
      </w:pPr>
      <w:r>
        <w:rPr>
          <w:rFonts w:hint="eastAsia"/>
          <w:color w:val="231F20"/>
          <w:sz w:val="30"/>
        </w:rPr>
        <w:t>基督究竟如何能赐予这至高的祝福呢？</w:t>
      </w:r>
    </w:p>
    <w:p w14:paraId="2F7CA131">
      <w:pPr>
        <w:pStyle w:val="9"/>
        <w:spacing w:after="0"/>
        <w:rPr>
          <w:rFonts w:hint="eastAsia"/>
          <w:color w:val="231F20"/>
          <w:sz w:val="30"/>
        </w:rPr>
      </w:pPr>
    </w:p>
    <w:p w14:paraId="77D74EE1">
      <w:pPr>
        <w:pStyle w:val="9"/>
        <w:spacing w:after="0"/>
        <w:rPr>
          <w:rFonts w:hint="eastAsia"/>
          <w:color w:val="231F20"/>
          <w:sz w:val="30"/>
        </w:rPr>
      </w:pPr>
      <w:r>
        <w:rPr>
          <w:rFonts w:hint="eastAsia"/>
          <w:color w:val="231F20"/>
          <w:sz w:val="30"/>
        </w:rPr>
        <w:t>First, by laying down his life as a sacrifice for sin, and then by entering heaven itself as the High King—and the eternal High Priest—of his people (2:17- 3:6, 4:1`4-5:11).</w:t>
      </w:r>
    </w:p>
    <w:p w14:paraId="31E03F00">
      <w:pPr>
        <w:pStyle w:val="9"/>
        <w:spacing w:after="0"/>
        <w:rPr>
          <w:rFonts w:hint="eastAsia"/>
          <w:color w:val="231F20"/>
          <w:sz w:val="30"/>
        </w:rPr>
      </w:pPr>
      <w:r>
        <w:rPr>
          <w:rFonts w:hint="eastAsia"/>
          <w:color w:val="231F20"/>
          <w:sz w:val="30"/>
        </w:rPr>
        <w:t>首先，藉着为罪舍命作祭物，然后藉着进入天上，作祂子民的至高君王——和永恒的大祭司（2:17-3:6, 4:14-5:11）。</w:t>
      </w:r>
    </w:p>
    <w:p w14:paraId="2FF071D2">
      <w:pPr>
        <w:pStyle w:val="9"/>
        <w:spacing w:after="0"/>
        <w:rPr>
          <w:rFonts w:hint="eastAsia"/>
          <w:color w:val="231F20"/>
          <w:sz w:val="30"/>
        </w:rPr>
      </w:pPr>
    </w:p>
    <w:p w14:paraId="1E04D6C3">
      <w:pPr>
        <w:pStyle w:val="9"/>
        <w:spacing w:after="0"/>
        <w:rPr>
          <w:rFonts w:hint="eastAsia"/>
          <w:color w:val="231F20"/>
          <w:sz w:val="30"/>
        </w:rPr>
      </w:pPr>
      <w:r>
        <w:rPr>
          <w:rFonts w:hint="eastAsia"/>
          <w:color w:val="231F20"/>
          <w:sz w:val="30"/>
        </w:rPr>
        <w:t>Fully adorned with the infinite merit of his own life and death, he now appears in the Presence of God for the saints (9:24).</w:t>
      </w:r>
    </w:p>
    <w:p w14:paraId="06115AC5">
      <w:pPr>
        <w:pStyle w:val="9"/>
        <w:spacing w:after="0"/>
        <w:rPr>
          <w:rFonts w:hint="eastAsia"/>
          <w:color w:val="231F20"/>
          <w:sz w:val="30"/>
        </w:rPr>
      </w:pPr>
      <w:r>
        <w:rPr>
          <w:rFonts w:hint="eastAsia"/>
          <w:color w:val="231F20"/>
          <w:sz w:val="30"/>
        </w:rPr>
        <w:t>祂满带着自己生命和死亡的无限功劳，现在在上帝面前为圣徒显现（9:24）。</w:t>
      </w:r>
    </w:p>
    <w:p w14:paraId="15992AD1">
      <w:pPr>
        <w:pStyle w:val="9"/>
        <w:spacing w:after="0"/>
        <w:rPr>
          <w:rFonts w:hint="eastAsia"/>
          <w:color w:val="231F20"/>
          <w:sz w:val="30"/>
        </w:rPr>
      </w:pPr>
    </w:p>
    <w:p w14:paraId="0C3AA43C">
      <w:pPr>
        <w:pStyle w:val="9"/>
        <w:spacing w:after="0"/>
        <w:rPr>
          <w:rFonts w:hint="eastAsia"/>
          <w:color w:val="231F20"/>
          <w:sz w:val="30"/>
        </w:rPr>
      </w:pPr>
      <w:r>
        <w:rPr>
          <w:rFonts w:hint="eastAsia"/>
          <w:color w:val="231F20"/>
          <w:sz w:val="30"/>
        </w:rPr>
        <w:t>And wonder of wonders, in doing so, he brings them in with him!</w:t>
      </w:r>
    </w:p>
    <w:p w14:paraId="47A2CAFD">
      <w:pPr>
        <w:pStyle w:val="9"/>
        <w:spacing w:after="0"/>
        <w:rPr>
          <w:rFonts w:hint="eastAsia"/>
          <w:color w:val="231F20"/>
          <w:sz w:val="30"/>
        </w:rPr>
      </w:pPr>
      <w:r>
        <w:rPr>
          <w:rFonts w:hint="eastAsia"/>
          <w:color w:val="231F20"/>
          <w:sz w:val="30"/>
        </w:rPr>
        <w:t>奇妙的是，在这样做的时候，祂也把他们带了进去！</w:t>
      </w:r>
    </w:p>
    <w:p w14:paraId="50CB89FB">
      <w:pPr>
        <w:pStyle w:val="9"/>
        <w:spacing w:after="0"/>
        <w:rPr>
          <w:rFonts w:hint="eastAsia"/>
          <w:color w:val="231F20"/>
          <w:sz w:val="30"/>
        </w:rPr>
      </w:pPr>
    </w:p>
    <w:p w14:paraId="33A08A56">
      <w:pPr>
        <w:pStyle w:val="9"/>
        <w:spacing w:after="0"/>
        <w:rPr>
          <w:rFonts w:hint="eastAsia"/>
          <w:color w:val="231F20"/>
          <w:sz w:val="30"/>
        </w:rPr>
      </w:pPr>
      <w:r>
        <w:rPr>
          <w:rFonts w:hint="eastAsia"/>
          <w:color w:val="231F20"/>
          <w:sz w:val="30"/>
        </w:rPr>
        <w:t>Henceforth, they may come boldly to the throne of grace (4:16).</w:t>
      </w:r>
    </w:p>
    <w:p w14:paraId="582AD7C0">
      <w:pPr>
        <w:pStyle w:val="9"/>
        <w:spacing w:after="0"/>
        <w:rPr>
          <w:rFonts w:hint="eastAsia"/>
          <w:color w:val="231F20"/>
          <w:sz w:val="30"/>
        </w:rPr>
      </w:pPr>
      <w:r>
        <w:rPr>
          <w:rFonts w:hint="eastAsia"/>
          <w:color w:val="231F20"/>
          <w:sz w:val="30"/>
        </w:rPr>
        <w:t>从此以后，他们可以坦然无惧地来到施恩的宝座前（4:16）。</w:t>
      </w:r>
    </w:p>
    <w:p w14:paraId="06571C7F">
      <w:pPr>
        <w:pStyle w:val="9"/>
        <w:spacing w:after="0"/>
        <w:rPr>
          <w:rFonts w:hint="eastAsia"/>
          <w:color w:val="231F20"/>
          <w:sz w:val="30"/>
        </w:rPr>
      </w:pPr>
    </w:p>
    <w:p w14:paraId="1E2023CD">
      <w:pPr>
        <w:pStyle w:val="9"/>
        <w:spacing w:after="0"/>
        <w:rPr>
          <w:rFonts w:hint="eastAsia"/>
          <w:color w:val="231F20"/>
          <w:sz w:val="30"/>
        </w:rPr>
      </w:pPr>
      <w:r>
        <w:rPr>
          <w:rFonts w:hint="eastAsia"/>
          <w:color w:val="231F20"/>
          <w:sz w:val="30"/>
        </w:rPr>
        <w:t>Henceforth, they may enter the Holiest of All by the blood of Jesus, drawing near with the full assurance of faith and a clear conscience (10:19-22).</w:t>
      </w:r>
    </w:p>
    <w:p w14:paraId="7F819333">
      <w:pPr>
        <w:pStyle w:val="9"/>
        <w:spacing w:after="0"/>
        <w:rPr>
          <w:rFonts w:hint="eastAsia"/>
          <w:color w:val="231F20"/>
          <w:sz w:val="30"/>
        </w:rPr>
      </w:pPr>
      <w:r>
        <w:rPr>
          <w:rFonts w:hint="eastAsia"/>
          <w:color w:val="231F20"/>
          <w:sz w:val="30"/>
        </w:rPr>
        <w:t>从此以后，他们可以藉着耶稣的血，坦然进入至圣所，满有信心地、良心无亏地近前来（10:19-22）。</w:t>
      </w:r>
    </w:p>
    <w:p w14:paraId="04F45C07">
      <w:pPr>
        <w:pStyle w:val="9"/>
        <w:spacing w:after="0"/>
        <w:rPr>
          <w:rFonts w:hint="eastAsia"/>
          <w:color w:val="231F20"/>
          <w:sz w:val="30"/>
        </w:rPr>
      </w:pPr>
    </w:p>
    <w:p w14:paraId="7EC69ED8">
      <w:pPr>
        <w:pStyle w:val="9"/>
        <w:spacing w:after="0"/>
        <w:rPr>
          <w:rFonts w:hint="eastAsia"/>
          <w:color w:val="231F20"/>
          <w:sz w:val="30"/>
        </w:rPr>
      </w:pPr>
      <w:r>
        <w:rPr>
          <w:rFonts w:hint="eastAsia"/>
          <w:color w:val="231F20"/>
          <w:sz w:val="30"/>
        </w:rPr>
        <w:t>Henceforth, they have come to the Zion that is above; they dwell in the Jerusalem that is above; they worship in the Temple that is above (8:2, 12:18-24).</w:t>
      </w:r>
    </w:p>
    <w:p w14:paraId="1ED86F6C">
      <w:pPr>
        <w:pStyle w:val="9"/>
        <w:spacing w:after="0"/>
        <w:rPr>
          <w:rFonts w:hint="eastAsia"/>
          <w:color w:val="231F20"/>
          <w:sz w:val="30"/>
        </w:rPr>
      </w:pPr>
      <w:r>
        <w:rPr>
          <w:rFonts w:hint="eastAsia"/>
          <w:color w:val="231F20"/>
          <w:sz w:val="30"/>
        </w:rPr>
        <w:t>从此以后，他们来到了天上的锡安；他们居住在天上的耶路撒冷；他们在天上的圣殿敬拜（8:2, 12:18-24）。</w:t>
      </w:r>
    </w:p>
    <w:p w14:paraId="39CFCF39">
      <w:pPr>
        <w:pStyle w:val="9"/>
        <w:spacing w:after="0"/>
        <w:rPr>
          <w:rFonts w:hint="eastAsia"/>
          <w:color w:val="231F20"/>
          <w:sz w:val="30"/>
        </w:rPr>
      </w:pPr>
    </w:p>
    <w:p w14:paraId="3653DC02">
      <w:pPr>
        <w:pStyle w:val="9"/>
        <w:spacing w:after="0"/>
        <w:rPr>
          <w:rFonts w:hint="eastAsia"/>
          <w:color w:val="231F20"/>
          <w:sz w:val="30"/>
        </w:rPr>
      </w:pPr>
      <w:r>
        <w:rPr>
          <w:rFonts w:hint="eastAsia"/>
          <w:color w:val="231F20"/>
          <w:sz w:val="30"/>
        </w:rPr>
        <w:t>But this is not the end of the Good News.</w:t>
      </w:r>
    </w:p>
    <w:p w14:paraId="243F7679">
      <w:pPr>
        <w:pStyle w:val="9"/>
        <w:spacing w:after="0"/>
        <w:rPr>
          <w:rFonts w:hint="eastAsia"/>
          <w:color w:val="231F20"/>
          <w:sz w:val="30"/>
        </w:rPr>
      </w:pPr>
      <w:r>
        <w:rPr>
          <w:rFonts w:hint="eastAsia"/>
          <w:color w:val="231F20"/>
          <w:sz w:val="30"/>
        </w:rPr>
        <w:t>但这不是福音的终结。</w:t>
      </w:r>
    </w:p>
    <w:p w14:paraId="476DA3A7">
      <w:pPr>
        <w:pStyle w:val="9"/>
        <w:spacing w:after="0"/>
        <w:rPr>
          <w:rFonts w:hint="eastAsia"/>
          <w:color w:val="231F20"/>
          <w:sz w:val="30"/>
        </w:rPr>
      </w:pPr>
    </w:p>
    <w:p w14:paraId="54B286EE">
      <w:pPr>
        <w:pStyle w:val="9"/>
        <w:spacing w:after="0"/>
        <w:rPr>
          <w:rFonts w:hint="eastAsia"/>
          <w:color w:val="231F20"/>
          <w:sz w:val="30"/>
        </w:rPr>
      </w:pPr>
      <w:r>
        <w:rPr>
          <w:rFonts w:hint="eastAsia"/>
          <w:color w:val="231F20"/>
          <w:sz w:val="30"/>
        </w:rPr>
        <w:t>For even as the pilgrim Church enjoys refreshing communion with God and Christ in heavenly places, she also eagerly anticipates a Day that is fast approaching (10:25); a Day when he who is destined to come, will come (10:37); the Day when God, through Christ, will once again shake not only the earth, but also the heavens (9:28, 12:26); the Day in which he will remove all that can be shaken, so that only what cannot be shaken will forever remain (12:27).</w:t>
      </w:r>
    </w:p>
    <w:p w14:paraId="3917FF8B">
      <w:pPr>
        <w:pStyle w:val="9"/>
        <w:spacing w:after="0"/>
        <w:rPr>
          <w:rFonts w:hint="eastAsia"/>
          <w:color w:val="231F20"/>
          <w:sz w:val="30"/>
        </w:rPr>
      </w:pPr>
      <w:r>
        <w:rPr>
          <w:rFonts w:hint="eastAsia"/>
          <w:color w:val="231F20"/>
          <w:sz w:val="30"/>
        </w:rPr>
        <w:t>因为即使行路的教会正在天上的地方享受与上帝和基督更新的交通，她也热切地期待着一个快要来临的日子（10:25）；一个命定要来者必来的日子（10:37）；那日，上帝将藉着基督，再次震动地，也震动天（9:28, 12:26）；那日，祂将挪去一切能被震动的，使那不能被震动的永远长存（12:27）。</w:t>
      </w:r>
    </w:p>
    <w:p w14:paraId="0FB6535D">
      <w:pPr>
        <w:pStyle w:val="9"/>
        <w:spacing w:after="0"/>
        <w:rPr>
          <w:rFonts w:hint="eastAsia"/>
          <w:color w:val="231F20"/>
          <w:sz w:val="30"/>
        </w:rPr>
      </w:pPr>
    </w:p>
    <w:p w14:paraId="50BA3A53">
      <w:pPr>
        <w:pStyle w:val="9"/>
        <w:spacing w:after="0"/>
        <w:rPr>
          <w:rFonts w:hint="eastAsia"/>
          <w:color w:val="231F20"/>
          <w:sz w:val="30"/>
        </w:rPr>
      </w:pPr>
      <w:r>
        <w:rPr>
          <w:rFonts w:hint="eastAsia"/>
          <w:color w:val="231F20"/>
          <w:sz w:val="30"/>
        </w:rPr>
        <w:t>On that Day, Abraham will enter the better country that he ever sought (11:16); Moses will receive the reward for which he gladly sacrificed the treasures of Egypt; and all the other saints, like God himself at the creation, will enter into their everlasting rest (3:7-4:10).</w:t>
      </w:r>
    </w:p>
    <w:p w14:paraId="7BCD0168">
      <w:pPr>
        <w:pStyle w:val="9"/>
        <w:spacing w:after="0"/>
        <w:rPr>
          <w:rFonts w:hint="eastAsia"/>
          <w:color w:val="231F20"/>
          <w:sz w:val="30"/>
        </w:rPr>
      </w:pPr>
      <w:r>
        <w:rPr>
          <w:rFonts w:hint="eastAsia"/>
          <w:color w:val="231F20"/>
          <w:sz w:val="30"/>
        </w:rPr>
        <w:t>在那日，亚伯拉罕将进入他一直所寻求的更美的家乡（11:16）；摩西将领受他甘愿为其牺牲埃及财宝的赏赐；而所有其他的圣徒，就像上帝自己在创造时一样，将进入他们永远的安息（3:7-4:10）。</w:t>
      </w:r>
    </w:p>
    <w:p w14:paraId="2EBEC672">
      <w:pPr>
        <w:pStyle w:val="9"/>
        <w:spacing w:after="0"/>
        <w:rPr>
          <w:rFonts w:hint="eastAsia"/>
          <w:color w:val="231F20"/>
          <w:sz w:val="30"/>
        </w:rPr>
      </w:pPr>
    </w:p>
    <w:p w14:paraId="37972732">
      <w:pPr>
        <w:pStyle w:val="9"/>
        <w:spacing w:after="0"/>
        <w:rPr>
          <w:rFonts w:hint="eastAsia"/>
          <w:color w:val="231F20"/>
          <w:sz w:val="30"/>
        </w:rPr>
      </w:pPr>
      <w:r>
        <w:rPr>
          <w:rFonts w:hint="eastAsia"/>
          <w:color w:val="231F20"/>
          <w:sz w:val="30"/>
        </w:rPr>
        <w:t>Thus, in Hebrews as well, we find that the one Kingdom comes in two stages—a “mysterious” heavenly stage, followed by a glorious earthly stage</w:t>
      </w:r>
    </w:p>
    <w:p w14:paraId="12E77D55">
      <w:pPr>
        <w:pStyle w:val="9"/>
        <w:spacing w:after="0"/>
        <w:rPr>
          <w:rFonts w:hint="eastAsia"/>
          <w:color w:val="231F20"/>
          <w:sz w:val="30"/>
        </w:rPr>
      </w:pPr>
      <w:r>
        <w:rPr>
          <w:rFonts w:hint="eastAsia"/>
          <w:color w:val="231F20"/>
          <w:sz w:val="30"/>
        </w:rPr>
        <w:t>—with the two of them separated by a single, all-consummating return of the High King of Heaven.</w:t>
      </w:r>
    </w:p>
    <w:p w14:paraId="158BAE52">
      <w:pPr>
        <w:pStyle w:val="9"/>
        <w:spacing w:after="0"/>
        <w:rPr>
          <w:rFonts w:hint="eastAsia"/>
          <w:color w:val="231F20"/>
          <w:sz w:val="30"/>
        </w:rPr>
      </w:pPr>
      <w:r>
        <w:rPr>
          <w:rFonts w:hint="eastAsia"/>
          <w:color w:val="231F20"/>
          <w:sz w:val="30"/>
        </w:rPr>
        <w:t>因此，在希伯来书中，我们也发现那独一的国度分两个阶段降临——一个“奥秘的”属天阶段，随后是一个荣耀的属地阶段——两者由天上至高君王的一次性、成全万事的再来所分隔。</w:t>
      </w:r>
    </w:p>
    <w:p w14:paraId="17C6C56E">
      <w:pPr>
        <w:pStyle w:val="9"/>
        <w:spacing w:after="0"/>
        <w:rPr>
          <w:rFonts w:hint="eastAsia"/>
          <w:color w:val="231F20"/>
          <w:sz w:val="30"/>
        </w:rPr>
      </w:pPr>
    </w:p>
    <w:p w14:paraId="43937A82">
      <w:pPr>
        <w:pStyle w:val="9"/>
        <w:spacing w:after="0"/>
        <w:rPr>
          <w:rFonts w:hint="eastAsia"/>
          <w:color w:val="231F20"/>
          <w:sz w:val="30"/>
        </w:rPr>
      </w:pPr>
      <w:r>
        <w:rPr>
          <w:rFonts w:hint="eastAsia"/>
          <w:color w:val="231F20"/>
          <w:sz w:val="30"/>
        </w:rPr>
        <w:t>John’s Vision of the Lamb Receiving and Unsealing the Testament of God (Revelation 5)</w:t>
      </w:r>
    </w:p>
    <w:p w14:paraId="18C1C40E">
      <w:pPr>
        <w:pStyle w:val="9"/>
        <w:spacing w:after="0"/>
        <w:rPr>
          <w:rFonts w:hint="eastAsia"/>
          <w:color w:val="231F20"/>
          <w:sz w:val="30"/>
        </w:rPr>
      </w:pPr>
      <w:r>
        <w:rPr>
          <w:rFonts w:hint="eastAsia"/>
          <w:color w:val="231F20"/>
          <w:sz w:val="30"/>
        </w:rPr>
        <w:t>约翰看见羔羊接受并揭开上帝遗命的异象（启示录 5）</w:t>
      </w:r>
    </w:p>
    <w:p w14:paraId="3AEDD571">
      <w:pPr>
        <w:pStyle w:val="9"/>
        <w:spacing w:after="0"/>
        <w:rPr>
          <w:rFonts w:hint="eastAsia"/>
          <w:color w:val="231F20"/>
          <w:sz w:val="30"/>
        </w:rPr>
      </w:pPr>
    </w:p>
    <w:p w14:paraId="2B6245F0">
      <w:pPr>
        <w:pStyle w:val="9"/>
        <w:spacing w:after="0"/>
        <w:rPr>
          <w:rFonts w:hint="eastAsia"/>
          <w:color w:val="231F20"/>
          <w:sz w:val="30"/>
        </w:rPr>
      </w:pPr>
      <w:r>
        <w:rPr>
          <w:rFonts w:hint="eastAsia"/>
          <w:color w:val="231F20"/>
          <w:sz w:val="30"/>
        </w:rPr>
        <w:t>Here I offer a teaser, but one well suited to wrapping up our survey of key NT texts dealing with the Kingdom.</w:t>
      </w:r>
    </w:p>
    <w:p w14:paraId="590CBF65">
      <w:pPr>
        <w:pStyle w:val="9"/>
        <w:spacing w:after="0"/>
        <w:rPr>
          <w:rFonts w:hint="eastAsia"/>
          <w:color w:val="231F20"/>
          <w:sz w:val="30"/>
        </w:rPr>
      </w:pPr>
      <w:r>
        <w:rPr>
          <w:rFonts w:hint="eastAsia"/>
          <w:color w:val="231F20"/>
          <w:sz w:val="30"/>
        </w:rPr>
        <w:t>在此我提供一个引子，但它很适合用来总结我们对处理国度问题的关键新约经文的考察。</w:t>
      </w:r>
    </w:p>
    <w:p w14:paraId="12659F99">
      <w:pPr>
        <w:pStyle w:val="9"/>
        <w:spacing w:after="0"/>
        <w:rPr>
          <w:rFonts w:hint="eastAsia"/>
          <w:color w:val="231F20"/>
          <w:sz w:val="30"/>
        </w:rPr>
      </w:pPr>
    </w:p>
    <w:p w14:paraId="08FE4FC8">
      <w:pPr>
        <w:pStyle w:val="9"/>
        <w:spacing w:after="0"/>
        <w:rPr>
          <w:rFonts w:hint="eastAsia"/>
          <w:color w:val="231F20"/>
          <w:sz w:val="30"/>
        </w:rPr>
      </w:pPr>
      <w:r>
        <w:rPr>
          <w:rFonts w:hint="eastAsia"/>
          <w:color w:val="231F20"/>
          <w:sz w:val="30"/>
        </w:rPr>
        <w:t>It is found, not in the Didactic NT, but in the Revelation.</w:t>
      </w:r>
    </w:p>
    <w:p w14:paraId="3A119367">
      <w:pPr>
        <w:pStyle w:val="9"/>
        <w:spacing w:after="0"/>
        <w:rPr>
          <w:rFonts w:hint="eastAsia"/>
          <w:color w:val="231F20"/>
          <w:sz w:val="30"/>
        </w:rPr>
      </w:pPr>
      <w:r>
        <w:rPr>
          <w:rFonts w:hint="eastAsia"/>
          <w:color w:val="231F20"/>
          <w:sz w:val="30"/>
        </w:rPr>
        <w:t>它不是在教导性的新约中找到的，而是在启示录中。</w:t>
      </w:r>
    </w:p>
    <w:p w14:paraId="65B5E31A">
      <w:pPr>
        <w:pStyle w:val="9"/>
        <w:spacing w:after="0"/>
        <w:rPr>
          <w:rFonts w:hint="eastAsia"/>
          <w:color w:val="231F20"/>
          <w:sz w:val="30"/>
        </w:rPr>
      </w:pPr>
    </w:p>
    <w:p w14:paraId="5406DFDA">
      <w:pPr>
        <w:pStyle w:val="9"/>
        <w:spacing w:after="0"/>
        <w:rPr>
          <w:rFonts w:hint="eastAsia"/>
          <w:color w:val="231F20"/>
          <w:sz w:val="30"/>
        </w:rPr>
      </w:pPr>
      <w:r>
        <w:rPr>
          <w:rFonts w:hint="eastAsia"/>
          <w:color w:val="231F20"/>
          <w:sz w:val="30"/>
        </w:rPr>
        <w:t>Later in we will look more closely at the astonishing structure of this book.</w:t>
      </w:r>
    </w:p>
    <w:p w14:paraId="1D6A4FF3">
      <w:pPr>
        <w:pStyle w:val="9"/>
        <w:spacing w:after="0"/>
        <w:rPr>
          <w:rFonts w:hint="eastAsia"/>
          <w:color w:val="231F20"/>
          <w:sz w:val="30"/>
        </w:rPr>
      </w:pPr>
      <w:r>
        <w:rPr>
          <w:rFonts w:hint="eastAsia"/>
          <w:color w:val="231F20"/>
          <w:sz w:val="30"/>
        </w:rPr>
        <w:t>稍后我们将更仔细地审视这本书惊人的结构。</w:t>
      </w:r>
    </w:p>
    <w:p w14:paraId="232A23CB">
      <w:pPr>
        <w:pStyle w:val="9"/>
        <w:spacing w:after="0"/>
        <w:rPr>
          <w:rFonts w:hint="eastAsia"/>
          <w:color w:val="231F20"/>
          <w:sz w:val="30"/>
        </w:rPr>
      </w:pPr>
    </w:p>
    <w:p w14:paraId="147AB50E">
      <w:pPr>
        <w:pStyle w:val="9"/>
        <w:spacing w:after="0"/>
        <w:rPr>
          <w:rFonts w:hint="eastAsia"/>
          <w:color w:val="231F20"/>
          <w:sz w:val="30"/>
        </w:rPr>
      </w:pPr>
      <w:r>
        <w:rPr>
          <w:rFonts w:hint="eastAsia"/>
          <w:color w:val="231F20"/>
          <w:sz w:val="30"/>
        </w:rPr>
        <w:t>As we do, we will see that chapters 4 and 5—John’s vision of the Sovereign Creator and Judge upon his throne, followed by his vision of the Sovereign Redeemer at the Father’s right hand—constitute the core, the theological center of gravity, of the entire prophecy.</w:t>
      </w:r>
    </w:p>
    <w:p w14:paraId="61130D56">
      <w:pPr>
        <w:pStyle w:val="9"/>
        <w:spacing w:after="0"/>
        <w:rPr>
          <w:rFonts w:hint="eastAsia"/>
          <w:color w:val="231F20"/>
          <w:sz w:val="30"/>
        </w:rPr>
      </w:pPr>
      <w:r>
        <w:rPr>
          <w:rFonts w:hint="eastAsia"/>
          <w:color w:val="231F20"/>
          <w:sz w:val="30"/>
        </w:rPr>
        <w:t>当我们这样做时，我们会看到第4章和第5章——约翰看见至高的创造主和审判者在祂的宝座上，随后看见至高的救赎主在父的右边——构成了整个预言的核心，即神学的重心。</w:t>
      </w:r>
    </w:p>
    <w:p w14:paraId="3A0F22CD">
      <w:pPr>
        <w:pStyle w:val="9"/>
        <w:spacing w:after="0"/>
        <w:rPr>
          <w:rFonts w:hint="eastAsia"/>
          <w:color w:val="231F20"/>
          <w:sz w:val="30"/>
        </w:rPr>
      </w:pPr>
    </w:p>
    <w:p w14:paraId="1B37E567">
      <w:pPr>
        <w:pStyle w:val="9"/>
        <w:spacing w:after="0"/>
        <w:rPr>
          <w:rFonts w:hint="eastAsia"/>
          <w:color w:val="231F20"/>
          <w:sz w:val="30"/>
        </w:rPr>
      </w:pPr>
      <w:r>
        <w:rPr>
          <w:rFonts w:hint="eastAsia"/>
          <w:color w:val="231F20"/>
          <w:sz w:val="30"/>
        </w:rPr>
        <w:t>In particular, chapter 4 establishes the dreadful fact that sinful man stands in desperate need of a Redeemer.</w:t>
      </w:r>
    </w:p>
    <w:p w14:paraId="2EA43D7B">
      <w:pPr>
        <w:pStyle w:val="9"/>
        <w:spacing w:after="0"/>
        <w:rPr>
          <w:rFonts w:hint="eastAsia"/>
          <w:color w:val="231F20"/>
          <w:sz w:val="30"/>
        </w:rPr>
      </w:pPr>
      <w:r>
        <w:rPr>
          <w:rFonts w:hint="eastAsia"/>
          <w:color w:val="231F20"/>
          <w:sz w:val="30"/>
        </w:rPr>
        <w:t>特别是，第4章确立了一个可怕的事实，即有罪的人类急需一位救赎主。</w:t>
      </w:r>
    </w:p>
    <w:p w14:paraId="56706266">
      <w:pPr>
        <w:pStyle w:val="9"/>
        <w:spacing w:after="0"/>
        <w:rPr>
          <w:rFonts w:hint="eastAsia"/>
          <w:color w:val="231F20"/>
          <w:sz w:val="30"/>
        </w:rPr>
      </w:pPr>
    </w:p>
    <w:p w14:paraId="5C15C149">
      <w:pPr>
        <w:pStyle w:val="9"/>
        <w:spacing w:after="0"/>
        <w:rPr>
          <w:rFonts w:hint="eastAsia"/>
          <w:color w:val="231F20"/>
          <w:sz w:val="30"/>
        </w:rPr>
      </w:pPr>
      <w:r>
        <w:rPr>
          <w:rFonts w:hint="eastAsia"/>
          <w:color w:val="231F20"/>
          <w:sz w:val="30"/>
        </w:rPr>
        <w:t>Chapter 5 establishes a corresponding—and very comforting—fact, namely that the holy God has graciously provided a Redeemer, One who now stands before him in heaven.</w:t>
      </w:r>
    </w:p>
    <w:p w14:paraId="23D7765C">
      <w:pPr>
        <w:pStyle w:val="9"/>
        <w:spacing w:after="0"/>
        <w:rPr>
          <w:rFonts w:hint="eastAsia"/>
          <w:color w:val="231F20"/>
          <w:sz w:val="30"/>
        </w:rPr>
      </w:pPr>
      <w:r>
        <w:rPr>
          <w:rFonts w:hint="eastAsia"/>
          <w:color w:val="231F20"/>
          <w:sz w:val="30"/>
        </w:rPr>
        <w:t>第5章确立了一个相应的——且非常令人安慰的——事实，即圣洁的上帝已恩慈地提供了一位救赎主，祂现在正站在天上的祂面前。</w:t>
      </w:r>
    </w:p>
    <w:p w14:paraId="5DFC8787">
      <w:pPr>
        <w:pStyle w:val="9"/>
        <w:spacing w:after="0"/>
        <w:rPr>
          <w:rFonts w:hint="eastAsia"/>
          <w:color w:val="231F20"/>
          <w:sz w:val="30"/>
        </w:rPr>
      </w:pPr>
    </w:p>
    <w:p w14:paraId="38B9473A">
      <w:pPr>
        <w:pStyle w:val="9"/>
        <w:spacing w:after="0"/>
        <w:rPr>
          <w:rFonts w:hint="eastAsia"/>
          <w:color w:val="231F20"/>
          <w:sz w:val="30"/>
        </w:rPr>
      </w:pPr>
      <w:r>
        <w:rPr>
          <w:rFonts w:hint="eastAsia"/>
          <w:color w:val="231F20"/>
          <w:sz w:val="30"/>
        </w:rPr>
        <w:t>Under deeply affecting imagery, all three of Christ’s offices are on display.</w:t>
      </w:r>
    </w:p>
    <w:p w14:paraId="34CC5ED8">
      <w:pPr>
        <w:pStyle w:val="9"/>
        <w:spacing w:after="0"/>
        <w:rPr>
          <w:rFonts w:hint="eastAsia"/>
          <w:color w:val="231F20"/>
          <w:sz w:val="30"/>
        </w:rPr>
      </w:pPr>
      <w:r>
        <w:rPr>
          <w:rFonts w:hint="eastAsia"/>
          <w:color w:val="231F20"/>
          <w:sz w:val="30"/>
        </w:rPr>
        <w:t>在深刻感人的意象下，基督的三个职分都展示出来。</w:t>
      </w:r>
    </w:p>
    <w:p w14:paraId="3FD47731">
      <w:pPr>
        <w:pStyle w:val="9"/>
        <w:spacing w:after="0"/>
        <w:rPr>
          <w:rFonts w:hint="eastAsia"/>
          <w:color w:val="231F20"/>
          <w:sz w:val="30"/>
        </w:rPr>
      </w:pPr>
    </w:p>
    <w:p w14:paraId="2BE000A6">
      <w:pPr>
        <w:pStyle w:val="9"/>
        <w:spacing w:after="0"/>
        <w:rPr>
          <w:rFonts w:hint="eastAsia"/>
          <w:color w:val="231F20"/>
          <w:sz w:val="30"/>
        </w:rPr>
      </w:pPr>
      <w:r>
        <w:rPr>
          <w:rFonts w:hint="eastAsia"/>
          <w:color w:val="231F20"/>
          <w:sz w:val="30"/>
        </w:rPr>
        <w:t>On the one hand, he stands as a Lamb: alive indeed, but with the marks of having been slain (5:6).</w:t>
      </w:r>
    </w:p>
    <w:p w14:paraId="02531A13">
      <w:pPr>
        <w:pStyle w:val="9"/>
        <w:spacing w:after="0"/>
        <w:rPr>
          <w:rFonts w:hint="eastAsia"/>
          <w:color w:val="231F20"/>
          <w:sz w:val="30"/>
        </w:rPr>
      </w:pPr>
      <w:r>
        <w:rPr>
          <w:rFonts w:hint="eastAsia"/>
          <w:color w:val="231F20"/>
          <w:sz w:val="30"/>
        </w:rPr>
        <w:t>一方面，祂像一只羔羊站立：确实活着，但带着曾被杀的印记（5:6）。</w:t>
      </w:r>
    </w:p>
    <w:p w14:paraId="74C24BE7">
      <w:pPr>
        <w:pStyle w:val="9"/>
        <w:spacing w:after="0"/>
        <w:rPr>
          <w:rFonts w:hint="eastAsia"/>
          <w:color w:val="231F20"/>
          <w:sz w:val="30"/>
        </w:rPr>
      </w:pPr>
    </w:p>
    <w:p w14:paraId="27BCFC23">
      <w:pPr>
        <w:pStyle w:val="9"/>
        <w:spacing w:after="0"/>
        <w:rPr>
          <w:rFonts w:hint="eastAsia"/>
          <w:color w:val="231F20"/>
          <w:sz w:val="30"/>
        </w:rPr>
      </w:pPr>
      <w:r>
        <w:rPr>
          <w:rFonts w:hint="eastAsia"/>
          <w:color w:val="231F20"/>
          <w:sz w:val="30"/>
        </w:rPr>
        <w:t>This is Christ as Priest and Sacrifice; as the High Priest of Heaven, whose work on earth was to secure the redemption of God’s people, and whose work in heaven is now to plead the merits thereof in their behalf (5:9-10).</w:t>
      </w:r>
    </w:p>
    <w:p w14:paraId="3FD86719">
      <w:pPr>
        <w:pStyle w:val="9"/>
        <w:spacing w:after="0"/>
        <w:rPr>
          <w:rFonts w:hint="eastAsia"/>
          <w:color w:val="231F20"/>
          <w:sz w:val="30"/>
        </w:rPr>
      </w:pPr>
      <w:r>
        <w:rPr>
          <w:rFonts w:hint="eastAsia"/>
          <w:color w:val="231F20"/>
          <w:sz w:val="30"/>
        </w:rPr>
        <w:t>这就是基督作为祭司和祭物；作为天上的大祭司，祂在地上的工作是确保上帝子民的救赎，而祂在天上的工作现在是为他们代求其功劳（5:9-10）。</w:t>
      </w:r>
    </w:p>
    <w:p w14:paraId="435DF7A0">
      <w:pPr>
        <w:pStyle w:val="9"/>
        <w:spacing w:after="0"/>
        <w:rPr>
          <w:rFonts w:hint="eastAsia"/>
          <w:color w:val="231F20"/>
          <w:sz w:val="30"/>
        </w:rPr>
      </w:pPr>
    </w:p>
    <w:p w14:paraId="251BC1D0">
      <w:pPr>
        <w:pStyle w:val="9"/>
        <w:spacing w:after="0"/>
        <w:rPr>
          <w:rFonts w:hint="eastAsia"/>
          <w:color w:val="231F20"/>
          <w:sz w:val="30"/>
        </w:rPr>
      </w:pPr>
      <w:r>
        <w:rPr>
          <w:rFonts w:hint="eastAsia"/>
          <w:color w:val="231F20"/>
          <w:sz w:val="30"/>
        </w:rPr>
        <w:t>On the other hand, he also stands before God as a Lamb having seven horns and seven eyes (which are the seven spirits of God sent out into all the earth) (5:6).</w:t>
      </w:r>
    </w:p>
    <w:p w14:paraId="0EB6C3BE">
      <w:pPr>
        <w:pStyle w:val="9"/>
        <w:spacing w:after="0"/>
        <w:rPr>
          <w:rFonts w:hint="eastAsia"/>
          <w:color w:val="231F20"/>
          <w:sz w:val="30"/>
        </w:rPr>
      </w:pPr>
      <w:r>
        <w:rPr>
          <w:rFonts w:hint="eastAsia"/>
          <w:color w:val="231F20"/>
          <w:sz w:val="30"/>
        </w:rPr>
        <w:t>另一方面，祂也像一只羔羊站在上帝面前，有七角七眼（就是上帝的七灵，奉差遣往普天下去的）（5:6）。</w:t>
      </w:r>
    </w:p>
    <w:p w14:paraId="31EADDAD">
      <w:pPr>
        <w:pStyle w:val="9"/>
        <w:spacing w:after="0"/>
        <w:rPr>
          <w:rFonts w:hint="eastAsia"/>
          <w:color w:val="231F20"/>
          <w:sz w:val="30"/>
        </w:rPr>
      </w:pPr>
    </w:p>
    <w:p w14:paraId="6406AF36">
      <w:pPr>
        <w:pStyle w:val="9"/>
        <w:spacing w:after="0"/>
        <w:rPr>
          <w:rFonts w:hint="eastAsia"/>
          <w:color w:val="231F20"/>
          <w:sz w:val="30"/>
        </w:rPr>
      </w:pPr>
      <w:r>
        <w:rPr>
          <w:rFonts w:hint="eastAsia"/>
          <w:color w:val="231F20"/>
          <w:sz w:val="30"/>
        </w:rPr>
        <w:t>This is Christ as royal High Priest; as the High King of Heaven, with all authority in heaven and earth; as sovereign Lord over the omnipotent Holy Spirit, sent forth from his throne above to apply the redemption that he (Christ) secured on earth for his people.</w:t>
      </w:r>
    </w:p>
    <w:p w14:paraId="384E6F48">
      <w:pPr>
        <w:pStyle w:val="9"/>
        <w:spacing w:after="0"/>
        <w:rPr>
          <w:rFonts w:hint="eastAsia"/>
          <w:color w:val="231F20"/>
          <w:sz w:val="30"/>
        </w:rPr>
      </w:pPr>
      <w:r>
        <w:rPr>
          <w:rFonts w:hint="eastAsia"/>
          <w:color w:val="231F20"/>
          <w:sz w:val="30"/>
        </w:rPr>
        <w:t>这就是基督作为君尊的大祭司；作为天上的至高君王，拥有天上地下所有的权柄；作为全能圣灵的至高主，从祂天上的宝座差遣出来，施行祂（基督）在地上为祂子民所成就的救赎。</w:t>
      </w:r>
    </w:p>
    <w:p w14:paraId="63D04E19">
      <w:pPr>
        <w:pStyle w:val="9"/>
        <w:spacing w:after="0"/>
        <w:rPr>
          <w:rFonts w:hint="eastAsia"/>
          <w:color w:val="231F20"/>
          <w:sz w:val="30"/>
        </w:rPr>
      </w:pPr>
    </w:p>
    <w:p w14:paraId="726CA6A6">
      <w:pPr>
        <w:pStyle w:val="9"/>
        <w:spacing w:after="0"/>
        <w:rPr>
          <w:rFonts w:hint="eastAsia"/>
          <w:color w:val="231F20"/>
          <w:sz w:val="30"/>
        </w:rPr>
      </w:pPr>
      <w:r>
        <w:rPr>
          <w:rFonts w:hint="eastAsia"/>
          <w:color w:val="231F20"/>
          <w:sz w:val="30"/>
        </w:rPr>
        <w:t>By the Spirit outpoured, the High Prophet of Heaven will teach his disciples the way of salvation (John 6:45).</w:t>
      </w:r>
    </w:p>
    <w:p w14:paraId="62B332BF">
      <w:pPr>
        <w:pStyle w:val="9"/>
        <w:spacing w:after="0"/>
        <w:rPr>
          <w:rFonts w:hint="eastAsia"/>
          <w:color w:val="231F20"/>
          <w:sz w:val="30"/>
        </w:rPr>
      </w:pPr>
      <w:r>
        <w:rPr>
          <w:rFonts w:hint="eastAsia"/>
          <w:color w:val="231F20"/>
          <w:sz w:val="30"/>
        </w:rPr>
        <w:t>藉着浇灌下来的圣灵，天上的至高先知将教导祂的门徒救恩的道路（约 6:45）。</w:t>
      </w:r>
    </w:p>
    <w:p w14:paraId="773E40DC">
      <w:pPr>
        <w:pStyle w:val="9"/>
        <w:spacing w:after="0"/>
        <w:rPr>
          <w:rFonts w:hint="eastAsia"/>
          <w:color w:val="231F20"/>
          <w:sz w:val="30"/>
        </w:rPr>
      </w:pPr>
    </w:p>
    <w:p w14:paraId="4B9F9CFD">
      <w:pPr>
        <w:pStyle w:val="9"/>
        <w:spacing w:after="0"/>
        <w:rPr>
          <w:rFonts w:hint="eastAsia"/>
          <w:color w:val="231F20"/>
          <w:sz w:val="30"/>
        </w:rPr>
      </w:pPr>
      <w:r>
        <w:rPr>
          <w:rFonts w:hint="eastAsia"/>
          <w:color w:val="231F20"/>
          <w:sz w:val="30"/>
        </w:rPr>
        <w:t>In order to communicate all this, the Revelation also gives us a powerful motif by which it depicts the High King’s redemptive work throughout the Era of Proclamation and Probation: He (Christ) will unseal the Father’s last will and testament (Rev. 5:1, 7-10, 6:1f, 8:1).</w:t>
      </w:r>
    </w:p>
    <w:p w14:paraId="4198CBA8">
      <w:pPr>
        <w:pStyle w:val="9"/>
        <w:spacing w:after="0"/>
        <w:rPr>
          <w:rFonts w:hint="eastAsia"/>
          <w:color w:val="231F20"/>
          <w:sz w:val="30"/>
        </w:rPr>
      </w:pPr>
      <w:r>
        <w:rPr>
          <w:rFonts w:hint="eastAsia"/>
          <w:color w:val="231F20"/>
          <w:sz w:val="30"/>
        </w:rPr>
        <w:t>为了传达这一切，启示录也给了我们一个强有力的主题，用以描绘至高君王在宣讲与察验时代中的救赎工作：祂（基督）将揭开父的最后遗嘱（启 5:1, 7-10, 6:1f, 8:1）。</w:t>
      </w:r>
    </w:p>
    <w:p w14:paraId="708CA519">
      <w:pPr>
        <w:pStyle w:val="9"/>
        <w:spacing w:after="0"/>
        <w:rPr>
          <w:rFonts w:hint="eastAsia"/>
          <w:color w:val="231F20"/>
          <w:sz w:val="30"/>
        </w:rPr>
      </w:pPr>
    </w:p>
    <w:p w14:paraId="1D888A27">
      <w:pPr>
        <w:pStyle w:val="9"/>
        <w:spacing w:after="0"/>
        <w:rPr>
          <w:rFonts w:hint="eastAsia"/>
          <w:color w:val="231F20"/>
          <w:sz w:val="30"/>
        </w:rPr>
      </w:pPr>
      <w:r>
        <w:rPr>
          <w:rFonts w:hint="eastAsia"/>
          <w:color w:val="231F20"/>
          <w:sz w:val="30"/>
        </w:rPr>
        <w:t>In other words, he will take all necessary judicial and redemptive steps in order to gather in his elect and prepare them for the grand unveiling of their eternal inheritance: the fullness of the promise of the Covenant, receivable only through the death of Christ.</w:t>
      </w:r>
    </w:p>
    <w:p w14:paraId="01D91B30">
      <w:pPr>
        <w:pStyle w:val="9"/>
        <w:spacing w:after="0"/>
        <w:rPr>
          <w:rFonts w:hint="eastAsia"/>
          <w:color w:val="231F20"/>
          <w:sz w:val="30"/>
        </w:rPr>
      </w:pPr>
      <w:r>
        <w:rPr>
          <w:rFonts w:hint="eastAsia"/>
          <w:color w:val="231F20"/>
          <w:sz w:val="30"/>
        </w:rPr>
        <w:t>换句话说，祂将采取一切必要的司法和救赎步骤，以便召聚祂的选民，并为他们预备他们永恒基业的宏大揭示：圣约应许的完全，唯有通过基督的死才能领受。</w:t>
      </w:r>
    </w:p>
    <w:p w14:paraId="72661F77">
      <w:pPr>
        <w:pStyle w:val="9"/>
        <w:spacing w:after="0"/>
        <w:rPr>
          <w:rFonts w:hint="eastAsia"/>
          <w:color w:val="231F20"/>
          <w:sz w:val="30"/>
        </w:rPr>
      </w:pPr>
    </w:p>
    <w:p w14:paraId="594DF98C">
      <w:pPr>
        <w:pStyle w:val="9"/>
        <w:spacing w:after="0"/>
        <w:rPr>
          <w:rFonts w:hint="eastAsia"/>
          <w:color w:val="231F20"/>
          <w:sz w:val="30"/>
        </w:rPr>
      </w:pPr>
      <w:r>
        <w:rPr>
          <w:rFonts w:hint="eastAsia"/>
          <w:color w:val="231F20"/>
          <w:sz w:val="30"/>
        </w:rPr>
        <w:t>As we will see later, John beholds this unveiling over and again, an unveiling that is set to occur at the Parousia, when the High King of Heaven descends to the earth, once and once only, to consummate all things in final judgment and final redemption; to bestow upon the saints their full inheritance, which is eternal life with their covenant-keeping God in the new heavens and the new earth.</w:t>
      </w:r>
    </w:p>
    <w:p w14:paraId="34F7A9B9">
      <w:pPr>
        <w:pStyle w:val="9"/>
        <w:spacing w:after="0"/>
        <w:rPr>
          <w:rFonts w:hint="eastAsia"/>
          <w:color w:val="231F20"/>
          <w:sz w:val="30"/>
        </w:rPr>
      </w:pPr>
      <w:r>
        <w:rPr>
          <w:rFonts w:hint="eastAsia"/>
          <w:color w:val="231F20"/>
          <w:sz w:val="30"/>
        </w:rPr>
        <w:t>我们稍后会看到，约翰一再看见这个揭示，这个揭示将在基督再来时发生，那时天上的至高君王将降临到地上，一次且仅有一次，以最终的审判和最终的救赎来成全万事；将他们完全的基业赐给圣徒，就是在新天新地里与他们守约的上帝同享永生。</w:t>
      </w:r>
    </w:p>
    <w:p w14:paraId="5A10F315">
      <w:pPr>
        <w:pStyle w:val="9"/>
        <w:spacing w:after="0"/>
        <w:rPr>
          <w:rFonts w:hint="eastAsia"/>
          <w:color w:val="231F20"/>
          <w:sz w:val="30"/>
        </w:rPr>
      </w:pPr>
    </w:p>
    <w:p w14:paraId="3254265A">
      <w:pPr>
        <w:pStyle w:val="9"/>
        <w:spacing w:after="0"/>
        <w:rPr>
          <w:rFonts w:hint="eastAsia"/>
          <w:color w:val="231F20"/>
          <w:sz w:val="30"/>
        </w:rPr>
      </w:pPr>
      <w:r>
        <w:rPr>
          <w:rFonts w:hint="eastAsia"/>
          <w:color w:val="231F20"/>
          <w:sz w:val="30"/>
        </w:rPr>
        <w:t>At the outset of our journey we saw that the Revelation is the one NT book upon which premillenarians base their distinctive eschatology, and by which they challenge the eschatological outlook uniformly appearing throughout the entire Didactic NT.</w:t>
      </w:r>
    </w:p>
    <w:p w14:paraId="7F58DB2F">
      <w:pPr>
        <w:pStyle w:val="9"/>
        <w:spacing w:after="0"/>
        <w:rPr>
          <w:rFonts w:hint="eastAsia"/>
          <w:color w:val="231F20"/>
          <w:sz w:val="30"/>
        </w:rPr>
      </w:pPr>
      <w:r>
        <w:rPr>
          <w:rFonts w:hint="eastAsia"/>
          <w:color w:val="231F20"/>
          <w:sz w:val="30"/>
        </w:rPr>
        <w:t>在我们旅程的开始，我们看到启示录是前千禧年派建立其独特末世论的唯一新约书卷，他们也藉此挑战在整个教导性新约中统一出现的末世论观点。</w:t>
      </w:r>
    </w:p>
    <w:p w14:paraId="12AC8D0D">
      <w:pPr>
        <w:pStyle w:val="9"/>
        <w:spacing w:after="0"/>
        <w:rPr>
          <w:rFonts w:hint="eastAsia"/>
          <w:color w:val="231F20"/>
          <w:sz w:val="30"/>
        </w:rPr>
      </w:pPr>
    </w:p>
    <w:p w14:paraId="5E721918">
      <w:pPr>
        <w:pStyle w:val="9"/>
        <w:spacing w:after="0"/>
        <w:rPr>
          <w:rFonts w:hint="eastAsia"/>
          <w:color w:val="231F20"/>
          <w:sz w:val="30"/>
        </w:rPr>
      </w:pPr>
      <w:r>
        <w:rPr>
          <w:rFonts w:hint="eastAsia"/>
          <w:color w:val="231F20"/>
          <w:sz w:val="30"/>
        </w:rPr>
        <w:t>However, in Part 4 of our study we will see that, far from overthrowing this outlook, the Revelation supplies what is arguably its single most extensive, intricate, beautiful, and powerful biblical confirmation!</w:t>
      </w:r>
    </w:p>
    <w:p w14:paraId="1FF3263E">
      <w:pPr>
        <w:pStyle w:val="9"/>
        <w:spacing w:after="0"/>
        <w:rPr>
          <w:rFonts w:hint="eastAsia"/>
          <w:color w:val="231F20"/>
          <w:sz w:val="30"/>
        </w:rPr>
      </w:pPr>
      <w:r>
        <w:rPr>
          <w:rFonts w:hint="eastAsia"/>
          <w:color w:val="231F20"/>
          <w:sz w:val="30"/>
        </w:rPr>
        <w:t>然而，在我们研究的第四部分，我们将看到，启示录远非推翻这个观点，反而提供了可以说是对其最广泛、最复杂、最美丽和最强大的圣经确认！</w:t>
      </w:r>
    </w:p>
    <w:p w14:paraId="16EF97F8">
      <w:pPr>
        <w:pStyle w:val="9"/>
        <w:spacing w:after="0"/>
        <w:rPr>
          <w:rFonts w:hint="eastAsia"/>
          <w:color w:val="231F20"/>
          <w:sz w:val="30"/>
        </w:rPr>
      </w:pPr>
    </w:p>
    <w:p w14:paraId="0585D9F2">
      <w:pPr>
        <w:pStyle w:val="9"/>
        <w:spacing w:after="0"/>
        <w:rPr>
          <w:rFonts w:hint="eastAsia"/>
          <w:color w:val="231F20"/>
          <w:sz w:val="30"/>
        </w:rPr>
      </w:pPr>
      <w:r>
        <w:rPr>
          <w:rFonts w:hint="eastAsia"/>
          <w:color w:val="231F20"/>
          <w:sz w:val="30"/>
        </w:rPr>
        <w:t>In short, we will find that the Revelation is a glorious capstone that crowns, once and for all, the temple of NT truth concerning the coming of the Kingdom, the true shape of biblical eschatology, and the winner in the Great End Time Debate.</w:t>
      </w:r>
    </w:p>
    <w:p w14:paraId="615D46C3">
      <w:pPr>
        <w:pStyle w:val="9"/>
        <w:spacing w:after="0"/>
        <w:rPr>
          <w:rFonts w:hint="eastAsia"/>
          <w:color w:val="231F20"/>
          <w:sz w:val="30"/>
        </w:rPr>
      </w:pPr>
      <w:r>
        <w:rPr>
          <w:rFonts w:hint="eastAsia"/>
          <w:color w:val="231F20"/>
          <w:sz w:val="30"/>
        </w:rPr>
        <w:t>简而言之，我们将发现，启示录是一块荣耀的顶石，它一次性地为关于国度降临、圣经末世论的真实形态以及伟大末世辩论胜利者的新约真理殿堂加冕。</w:t>
      </w:r>
    </w:p>
    <w:p w14:paraId="757EAE65">
      <w:pPr>
        <w:pStyle w:val="9"/>
        <w:spacing w:after="0"/>
        <w:rPr>
          <w:rFonts w:hint="eastAsia"/>
          <w:color w:val="231F20"/>
          <w:sz w:val="30"/>
        </w:rPr>
      </w:pPr>
    </w:p>
    <w:p w14:paraId="783B1FDF">
      <w:pPr>
        <w:pStyle w:val="9"/>
        <w:spacing w:after="0"/>
        <w:rPr>
          <w:rFonts w:hint="eastAsia"/>
          <w:color w:val="231F20"/>
          <w:sz w:val="30"/>
        </w:rPr>
      </w:pPr>
      <w:r>
        <w:rPr>
          <w:rFonts w:hint="eastAsia"/>
          <w:color w:val="231F20"/>
          <w:sz w:val="30"/>
        </w:rPr>
        <w:t>The Coming of the Kingdom</w:t>
      </w:r>
    </w:p>
    <w:p w14:paraId="25F6F9DB">
      <w:pPr>
        <w:pStyle w:val="9"/>
        <w:spacing w:after="0"/>
        <w:rPr>
          <w:rFonts w:hint="eastAsia"/>
          <w:color w:val="231F20"/>
          <w:sz w:val="30"/>
        </w:rPr>
      </w:pPr>
      <w:r>
        <w:rPr>
          <w:rFonts w:hint="eastAsia"/>
          <w:color w:val="231F20"/>
          <w:sz w:val="30"/>
        </w:rPr>
        <w:t>国度的降临</w:t>
      </w:r>
    </w:p>
    <w:p w14:paraId="0CA0161C">
      <w:pPr>
        <w:pStyle w:val="9"/>
        <w:spacing w:after="0"/>
        <w:rPr>
          <w:rFonts w:hint="eastAsia"/>
          <w:color w:val="231F20"/>
          <w:sz w:val="30"/>
        </w:rPr>
      </w:pPr>
    </w:p>
    <w:p w14:paraId="5FBF85E2">
      <w:pPr>
        <w:pStyle w:val="9"/>
        <w:spacing w:after="0"/>
        <w:rPr>
          <w:rFonts w:hint="eastAsia"/>
          <w:color w:val="231F20"/>
          <w:sz w:val="30"/>
        </w:rPr>
      </w:pPr>
      <w:r>
        <w:rPr>
          <w:rFonts w:hint="eastAsia"/>
          <w:color w:val="231F20"/>
          <w:sz w:val="30"/>
        </w:rPr>
        <w:t>It involves, I believe, three basic stages: (1) the earthly ministry of Christ, when the Kingdom is founded, (2) the heavenly reign of Christ, when the Kingdom is continually coming into the world, and (3) the Parousia of Christ, when the Kingdom is consummated.</w:t>
      </w:r>
    </w:p>
    <w:p w14:paraId="566F78AF">
      <w:pPr>
        <w:pStyle w:val="9"/>
        <w:spacing w:after="0"/>
        <w:rPr>
          <w:rFonts w:hint="eastAsia"/>
          <w:color w:val="231F20"/>
          <w:sz w:val="30"/>
        </w:rPr>
      </w:pPr>
      <w:r>
        <w:rPr>
          <w:rFonts w:hint="eastAsia"/>
          <w:color w:val="231F20"/>
          <w:sz w:val="30"/>
        </w:rPr>
        <w:t>我相信，它涉及三个基本阶段：（1）基督在地上的事工，那时国度被建立，（2）基督属天的统治，那时国度持续地进入世界，以及（3）基督的再来，那时国度得以最终成全。</w:t>
      </w:r>
    </w:p>
    <w:p w14:paraId="45CD0AD7">
      <w:pPr>
        <w:pStyle w:val="9"/>
        <w:spacing w:after="0"/>
        <w:rPr>
          <w:rFonts w:hint="eastAsia"/>
          <w:color w:val="231F20"/>
          <w:sz w:val="30"/>
        </w:rPr>
      </w:pPr>
    </w:p>
    <w:p w14:paraId="0003E93E">
      <w:pPr>
        <w:pStyle w:val="9"/>
        <w:spacing w:after="0"/>
        <w:rPr>
          <w:rFonts w:hint="eastAsia"/>
          <w:color w:val="231F20"/>
          <w:sz w:val="30"/>
        </w:rPr>
      </w:pPr>
      <w:r>
        <w:rPr>
          <w:rFonts w:hint="eastAsia"/>
          <w:color w:val="231F20"/>
          <w:sz w:val="30"/>
        </w:rPr>
        <w:t>Let us look briefly at each one.</w:t>
      </w:r>
    </w:p>
    <w:p w14:paraId="1058AC80">
      <w:pPr>
        <w:pStyle w:val="9"/>
        <w:spacing w:after="0"/>
        <w:rPr>
          <w:rFonts w:hint="eastAsia"/>
          <w:color w:val="231F20"/>
          <w:sz w:val="30"/>
        </w:rPr>
      </w:pPr>
      <w:r>
        <w:rPr>
          <w:rFonts w:hint="eastAsia"/>
          <w:color w:val="231F20"/>
          <w:sz w:val="30"/>
        </w:rPr>
        <w:t>让我们简要地看看每一个。</w:t>
      </w:r>
    </w:p>
    <w:p w14:paraId="6873D4B5">
      <w:pPr>
        <w:pStyle w:val="9"/>
        <w:spacing w:after="0"/>
        <w:rPr>
          <w:rFonts w:hint="eastAsia"/>
          <w:color w:val="231F20"/>
          <w:sz w:val="30"/>
        </w:rPr>
      </w:pPr>
    </w:p>
    <w:p w14:paraId="7B8D8188">
      <w:pPr>
        <w:pStyle w:val="9"/>
        <w:spacing w:after="0"/>
        <w:rPr>
          <w:rFonts w:hint="eastAsia"/>
          <w:color w:val="231F20"/>
          <w:sz w:val="30"/>
        </w:rPr>
      </w:pPr>
      <w:r>
        <w:rPr>
          <w:rFonts w:hint="eastAsia"/>
          <w:color w:val="231F20"/>
          <w:sz w:val="30"/>
        </w:rPr>
        <w:t>Earthly Ministry: The Kingdom Founded</w:t>
      </w:r>
    </w:p>
    <w:p w14:paraId="55FFAA7D">
      <w:pPr>
        <w:pStyle w:val="9"/>
        <w:spacing w:after="0"/>
        <w:rPr>
          <w:rFonts w:hint="eastAsia"/>
          <w:color w:val="231F20"/>
          <w:sz w:val="30"/>
        </w:rPr>
      </w:pPr>
      <w:r>
        <w:rPr>
          <w:rFonts w:hint="eastAsia"/>
          <w:color w:val="231F20"/>
          <w:sz w:val="30"/>
        </w:rPr>
        <w:t>在世事工：国度的建立</w:t>
      </w:r>
    </w:p>
    <w:p w14:paraId="34DDDD30">
      <w:pPr>
        <w:pStyle w:val="9"/>
        <w:spacing w:after="0"/>
        <w:rPr>
          <w:rFonts w:hint="eastAsia"/>
          <w:color w:val="231F20"/>
          <w:sz w:val="30"/>
        </w:rPr>
      </w:pPr>
    </w:p>
    <w:p w14:paraId="48F4CBB2">
      <w:pPr>
        <w:pStyle w:val="9"/>
        <w:spacing w:after="0"/>
        <w:rPr>
          <w:rFonts w:hint="eastAsia"/>
          <w:color w:val="231F20"/>
          <w:sz w:val="30"/>
        </w:rPr>
      </w:pPr>
      <w:r>
        <w:rPr>
          <w:rFonts w:hint="eastAsia"/>
          <w:color w:val="231F20"/>
          <w:sz w:val="30"/>
        </w:rPr>
        <w:t>By earthly ministry I mean the full scope of Christ’s work during the days of his flesh, from the moment of his incarnation to the moment of death and burial; in other words, the entire spectrum of events and activities proper to the humiliation of the Son of God.</w:t>
      </w:r>
    </w:p>
    <w:p w14:paraId="13305A18">
      <w:pPr>
        <w:pStyle w:val="9"/>
        <w:spacing w:after="0"/>
        <w:rPr>
          <w:rFonts w:hint="eastAsia"/>
          <w:color w:val="231F20"/>
          <w:sz w:val="30"/>
        </w:rPr>
      </w:pPr>
      <w:r>
        <w:rPr>
          <w:rFonts w:hint="eastAsia"/>
          <w:color w:val="231F20"/>
          <w:sz w:val="30"/>
        </w:rPr>
        <w:t>我所说的在世事工，是指基督在肉身的日子里工作的全部范围，从祂道成肉身的时刻到死亡和埋葬的时刻；换句话说，是上帝之子降卑所特有的全部事件和活动。</w:t>
      </w:r>
    </w:p>
    <w:p w14:paraId="6F397E44">
      <w:pPr>
        <w:pStyle w:val="9"/>
        <w:spacing w:after="0"/>
        <w:rPr>
          <w:rFonts w:hint="eastAsia"/>
          <w:color w:val="231F20"/>
          <w:sz w:val="30"/>
        </w:rPr>
      </w:pPr>
    </w:p>
    <w:p w14:paraId="6F93AFAB">
      <w:pPr>
        <w:pStyle w:val="9"/>
        <w:spacing w:after="0"/>
        <w:rPr>
          <w:rFonts w:hint="eastAsia"/>
          <w:color w:val="231F20"/>
          <w:sz w:val="30"/>
        </w:rPr>
      </w:pPr>
      <w:r>
        <w:rPr>
          <w:rFonts w:hint="eastAsia"/>
          <w:color w:val="231F20"/>
          <w:sz w:val="30"/>
        </w:rPr>
        <w:t>As we saw earlier, this humiliation was part and parcel of the Covenant of Redemption, into which the Son entered with the Father before the foundation of the world.</w:t>
      </w:r>
    </w:p>
    <w:p w14:paraId="229706FC">
      <w:pPr>
        <w:pStyle w:val="9"/>
        <w:spacing w:after="0"/>
        <w:rPr>
          <w:rFonts w:hint="eastAsia"/>
          <w:color w:val="231F20"/>
          <w:sz w:val="30"/>
        </w:rPr>
      </w:pPr>
      <w:r>
        <w:rPr>
          <w:rFonts w:hint="eastAsia"/>
          <w:color w:val="231F20"/>
          <w:sz w:val="30"/>
        </w:rPr>
        <w:t>正如我们之前所见，这次降卑是救赎之约的一部分，子在创世以前就与父一同进入了这个约。</w:t>
      </w:r>
    </w:p>
    <w:p w14:paraId="22144C06">
      <w:pPr>
        <w:pStyle w:val="9"/>
        <w:spacing w:after="0"/>
        <w:rPr>
          <w:rFonts w:hint="eastAsia"/>
          <w:color w:val="231F20"/>
          <w:sz w:val="30"/>
        </w:rPr>
      </w:pPr>
    </w:p>
    <w:p w14:paraId="2237D3C2">
      <w:pPr>
        <w:pStyle w:val="9"/>
        <w:spacing w:after="0"/>
        <w:rPr>
          <w:rFonts w:hint="eastAsia"/>
          <w:color w:val="231F20"/>
          <w:sz w:val="30"/>
        </w:rPr>
      </w:pPr>
      <w:r>
        <w:rPr>
          <w:rFonts w:hint="eastAsia"/>
          <w:color w:val="231F20"/>
          <w:sz w:val="30"/>
        </w:rPr>
        <w:t>In essence, its great purpose was to make provision for the promise of the Covenant of Grace; or, to use the biblically favored metaphor of the Kingdom, to lay a proper (legal) foundation for the coming, building up, and consummation of the Kingdom of God.</w:t>
      </w:r>
    </w:p>
    <w:p w14:paraId="2B8A65FE">
      <w:pPr>
        <w:pStyle w:val="9"/>
        <w:spacing w:after="0"/>
        <w:rPr>
          <w:rFonts w:hint="eastAsia"/>
          <w:color w:val="231F20"/>
          <w:sz w:val="30"/>
        </w:rPr>
      </w:pPr>
      <w:r>
        <w:rPr>
          <w:rFonts w:hint="eastAsia"/>
          <w:color w:val="231F20"/>
          <w:sz w:val="30"/>
        </w:rPr>
        <w:t>实质上，其伟大的目的是为恩典之约的应许作预备；或者，用圣经所偏爱的国度比喻来说，为上帝之国的降临、建立和最终成全奠定一个恰当的（合法的）基础。</w:t>
      </w:r>
    </w:p>
    <w:p w14:paraId="5D4B1AB0">
      <w:pPr>
        <w:pStyle w:val="9"/>
        <w:spacing w:after="0"/>
        <w:rPr>
          <w:rFonts w:hint="eastAsia"/>
          <w:color w:val="231F20"/>
          <w:sz w:val="30"/>
        </w:rPr>
      </w:pPr>
    </w:p>
    <w:p w14:paraId="0CC1D6EE">
      <w:pPr>
        <w:pStyle w:val="9"/>
        <w:spacing w:after="0"/>
        <w:rPr>
          <w:rFonts w:hint="eastAsia"/>
          <w:color w:val="231F20"/>
          <w:sz w:val="30"/>
        </w:rPr>
      </w:pPr>
      <w:r>
        <w:rPr>
          <w:rFonts w:hint="eastAsia"/>
          <w:color w:val="231F20"/>
          <w:sz w:val="30"/>
        </w:rPr>
        <w:t>We can get a better feel for all of this by touching very briefly on certain key aspects and events of the Lord’s earthly life.</w:t>
      </w:r>
    </w:p>
    <w:p w14:paraId="42A6CAB9">
      <w:pPr>
        <w:pStyle w:val="9"/>
        <w:spacing w:after="0"/>
        <w:rPr>
          <w:rFonts w:hint="eastAsia"/>
          <w:color w:val="231F20"/>
          <w:sz w:val="30"/>
        </w:rPr>
      </w:pPr>
      <w:r>
        <w:rPr>
          <w:rFonts w:hint="eastAsia"/>
          <w:color w:val="231F20"/>
          <w:sz w:val="30"/>
        </w:rPr>
        <w:t>我们可以通过非常简要地触及主在世生活的一些关键方面和事件，来更好地感受这一切。</w:t>
      </w:r>
    </w:p>
    <w:p w14:paraId="47B10711">
      <w:pPr>
        <w:pStyle w:val="9"/>
        <w:spacing w:after="0"/>
        <w:rPr>
          <w:rFonts w:hint="eastAsia"/>
          <w:color w:val="231F20"/>
          <w:sz w:val="30"/>
        </w:rPr>
      </w:pPr>
    </w:p>
    <w:p w14:paraId="56BADC79">
      <w:pPr>
        <w:pStyle w:val="9"/>
        <w:spacing w:after="0"/>
        <w:rPr>
          <w:rFonts w:hint="eastAsia"/>
          <w:color w:val="231F20"/>
          <w:sz w:val="30"/>
        </w:rPr>
      </w:pPr>
      <w:r>
        <w:rPr>
          <w:rFonts w:hint="eastAsia"/>
          <w:color w:val="231F20"/>
          <w:sz w:val="30"/>
        </w:rPr>
        <w:t>Everything begins, of course, with the incarnation of the Son of God as Jesus of Nazareth.</w:t>
      </w:r>
    </w:p>
    <w:p w14:paraId="7D9368AE">
      <w:pPr>
        <w:pStyle w:val="9"/>
        <w:spacing w:after="0"/>
        <w:rPr>
          <w:rFonts w:hint="eastAsia"/>
          <w:color w:val="231F20"/>
          <w:sz w:val="30"/>
        </w:rPr>
      </w:pPr>
      <w:r>
        <w:rPr>
          <w:rFonts w:hint="eastAsia"/>
          <w:color w:val="231F20"/>
          <w:sz w:val="30"/>
        </w:rPr>
        <w:t>当然，一切都始于上帝之子道成肉身，成为拿撒勒人耶稣。</w:t>
      </w:r>
    </w:p>
    <w:p w14:paraId="64AB9A74">
      <w:pPr>
        <w:pStyle w:val="9"/>
        <w:spacing w:after="0"/>
        <w:rPr>
          <w:rFonts w:hint="eastAsia"/>
          <w:color w:val="231F20"/>
          <w:sz w:val="30"/>
        </w:rPr>
      </w:pPr>
    </w:p>
    <w:p w14:paraId="4B9FAEC1">
      <w:pPr>
        <w:pStyle w:val="9"/>
        <w:spacing w:after="0"/>
        <w:rPr>
          <w:rFonts w:hint="eastAsia"/>
          <w:color w:val="231F20"/>
          <w:sz w:val="30"/>
        </w:rPr>
      </w:pPr>
      <w:r>
        <w:rPr>
          <w:rFonts w:hint="eastAsia"/>
          <w:color w:val="231F20"/>
          <w:sz w:val="30"/>
        </w:rPr>
        <w:t>Here, God the Father sends the Covenant Provision into the world as the Last Adam, the new Head of a new, elect humanity.</w:t>
      </w:r>
    </w:p>
    <w:p w14:paraId="3B83CFE9">
      <w:pPr>
        <w:pStyle w:val="9"/>
        <w:spacing w:after="0"/>
        <w:rPr>
          <w:rFonts w:hint="eastAsia"/>
          <w:color w:val="231F20"/>
          <w:sz w:val="30"/>
        </w:rPr>
      </w:pPr>
      <w:r>
        <w:rPr>
          <w:rFonts w:hint="eastAsia"/>
          <w:color w:val="231F20"/>
          <w:sz w:val="30"/>
        </w:rPr>
        <w:t>在此，父上帝差遣圣约的预备进入世界，作为末后的亚当，一个新的、蒙拣选的人类的新元首。</w:t>
      </w:r>
    </w:p>
    <w:p w14:paraId="6A796B96">
      <w:pPr>
        <w:pStyle w:val="9"/>
        <w:spacing w:after="0"/>
        <w:rPr>
          <w:rFonts w:hint="eastAsia"/>
          <w:color w:val="231F20"/>
          <w:sz w:val="30"/>
        </w:rPr>
      </w:pPr>
    </w:p>
    <w:p w14:paraId="1AD289F7">
      <w:pPr>
        <w:pStyle w:val="9"/>
        <w:spacing w:after="0"/>
        <w:rPr>
          <w:rFonts w:hint="eastAsia"/>
          <w:color w:val="231F20"/>
          <w:sz w:val="30"/>
        </w:rPr>
      </w:pPr>
      <w:r>
        <w:rPr>
          <w:rFonts w:hint="eastAsia"/>
          <w:color w:val="231F20"/>
          <w:sz w:val="30"/>
        </w:rPr>
        <w:t>Since he is destined to become the Messiah—the Spirit-anointed Prophet, Priest, and King of the people of God—Jesus’ birth is (as Zachariah, Simeon, Anna, and the Magi all well understood) the birth of a great King, the King of the coming Kingdom of God (Mt. 2:1-12, Luke 1:67-69, 2:25-38).</w:t>
      </w:r>
    </w:p>
    <w:p w14:paraId="6F169DFC">
      <w:pPr>
        <w:pStyle w:val="9"/>
        <w:spacing w:after="0"/>
        <w:rPr>
          <w:rFonts w:hint="eastAsia"/>
          <w:color w:val="231F20"/>
          <w:sz w:val="30"/>
        </w:rPr>
      </w:pPr>
      <w:r>
        <w:rPr>
          <w:rFonts w:hint="eastAsia"/>
          <w:color w:val="231F20"/>
          <w:sz w:val="30"/>
        </w:rPr>
        <w:t>由于祂注定要成为弥赛亚——上帝子民受圣灵膏抹的先知、祭司和君王——耶稣的诞生是（正如撒迦利亚、西面、亚拿和东方博士们都清楚理解的）一位伟大君王的诞生，即将来临的上帝之国的君王（太 2:1-12, 路 1:67-69, 2:25-38）。</w:t>
      </w:r>
    </w:p>
    <w:p w14:paraId="0F9E3088">
      <w:pPr>
        <w:pStyle w:val="9"/>
        <w:spacing w:after="0"/>
        <w:rPr>
          <w:rFonts w:hint="eastAsia"/>
          <w:color w:val="231F20"/>
          <w:sz w:val="30"/>
        </w:rPr>
      </w:pPr>
    </w:p>
    <w:p w14:paraId="0ACE0F8C">
      <w:pPr>
        <w:pStyle w:val="9"/>
        <w:spacing w:after="0"/>
        <w:rPr>
          <w:rFonts w:hint="eastAsia"/>
          <w:color w:val="231F20"/>
          <w:sz w:val="30"/>
        </w:rPr>
      </w:pPr>
      <w:r>
        <w:rPr>
          <w:rFonts w:hint="eastAsia"/>
          <w:color w:val="231F20"/>
          <w:sz w:val="30"/>
        </w:rPr>
        <w:t>Next is Jesus’ water baptism beneath the hands of John, at which time, in fulfillment of OT prophecy, God the Father anoints the Messiah with the Holy Spirit (Isaiah 42:1f, Mt. 3:13-17).</w:t>
      </w:r>
    </w:p>
    <w:p w14:paraId="01BDAF68">
      <w:pPr>
        <w:pStyle w:val="9"/>
        <w:spacing w:after="0"/>
        <w:rPr>
          <w:rFonts w:hint="eastAsia"/>
          <w:color w:val="231F20"/>
          <w:sz w:val="30"/>
        </w:rPr>
      </w:pPr>
      <w:r>
        <w:rPr>
          <w:rFonts w:hint="eastAsia"/>
          <w:color w:val="231F20"/>
          <w:sz w:val="30"/>
        </w:rPr>
        <w:t>接着是耶稣在约翰手下受水洗，那时，为应验旧约预言，父上帝用圣灵膏抹弥赛亚（以赛亚书 42:1f, 太 3:13-17）。</w:t>
      </w:r>
    </w:p>
    <w:p w14:paraId="6458EDF4">
      <w:pPr>
        <w:pStyle w:val="9"/>
        <w:spacing w:after="0"/>
        <w:rPr>
          <w:rFonts w:hint="eastAsia"/>
          <w:color w:val="231F20"/>
          <w:sz w:val="30"/>
        </w:rPr>
      </w:pPr>
    </w:p>
    <w:p w14:paraId="5CC92C36">
      <w:pPr>
        <w:pStyle w:val="9"/>
        <w:spacing w:after="0"/>
        <w:rPr>
          <w:rFonts w:hint="eastAsia"/>
          <w:color w:val="231F20"/>
          <w:sz w:val="30"/>
        </w:rPr>
      </w:pPr>
      <w:r>
        <w:rPr>
          <w:rFonts w:hint="eastAsia"/>
          <w:color w:val="231F20"/>
          <w:sz w:val="30"/>
        </w:rPr>
        <w:t>This too is in fulfillment of the Covenant of Redemption, since here the Father equips and empowers the Last Adam for every aspect of his earthly work.</w:t>
      </w:r>
    </w:p>
    <w:p w14:paraId="5A7BFE45">
      <w:pPr>
        <w:pStyle w:val="9"/>
        <w:spacing w:after="0"/>
        <w:rPr>
          <w:rFonts w:hint="eastAsia"/>
          <w:color w:val="231F20"/>
          <w:sz w:val="30"/>
        </w:rPr>
      </w:pPr>
      <w:r>
        <w:rPr>
          <w:rFonts w:hint="eastAsia"/>
          <w:color w:val="231F20"/>
          <w:sz w:val="30"/>
        </w:rPr>
        <w:t>这也应验了救赎之约，因为在此，父装备并赐能力给末后的亚当，使其能完成祂在世上的各方面工作。</w:t>
      </w:r>
    </w:p>
    <w:p w14:paraId="1EBC0C85">
      <w:pPr>
        <w:pStyle w:val="9"/>
        <w:spacing w:after="0"/>
        <w:rPr>
          <w:rFonts w:hint="eastAsia"/>
          <w:color w:val="231F20"/>
          <w:sz w:val="30"/>
        </w:rPr>
      </w:pPr>
    </w:p>
    <w:p w14:paraId="179BA68D">
      <w:pPr>
        <w:pStyle w:val="9"/>
        <w:spacing w:after="0"/>
        <w:rPr>
          <w:rFonts w:hint="eastAsia"/>
          <w:color w:val="231F20"/>
          <w:sz w:val="30"/>
        </w:rPr>
      </w:pPr>
      <w:r>
        <w:rPr>
          <w:rFonts w:hint="eastAsia"/>
          <w:color w:val="231F20"/>
          <w:sz w:val="30"/>
        </w:rPr>
        <w:t>Importantly, this anointing neither crowns Christ as King, nor launches his Messianic reign.</w:t>
      </w:r>
    </w:p>
    <w:p w14:paraId="406D7D78">
      <w:pPr>
        <w:pStyle w:val="9"/>
        <w:spacing w:after="0"/>
        <w:rPr>
          <w:rFonts w:hint="eastAsia"/>
          <w:color w:val="231F20"/>
          <w:sz w:val="30"/>
        </w:rPr>
      </w:pPr>
      <w:r>
        <w:rPr>
          <w:rFonts w:hint="eastAsia"/>
          <w:color w:val="231F20"/>
          <w:sz w:val="30"/>
        </w:rPr>
        <w:t>重要的是，这次膏抹既没有为基督加冕为王，也没有开启祂的弥赛亚统治。</w:t>
      </w:r>
    </w:p>
    <w:p w14:paraId="7D228F21">
      <w:pPr>
        <w:pStyle w:val="9"/>
        <w:spacing w:after="0"/>
        <w:rPr>
          <w:rFonts w:hint="eastAsia"/>
          <w:color w:val="231F20"/>
          <w:sz w:val="30"/>
        </w:rPr>
      </w:pPr>
    </w:p>
    <w:p w14:paraId="4EA4A32C">
      <w:pPr>
        <w:pStyle w:val="9"/>
        <w:spacing w:after="0"/>
        <w:rPr>
          <w:rFonts w:hint="eastAsia"/>
          <w:color w:val="231F20"/>
          <w:sz w:val="30"/>
        </w:rPr>
      </w:pPr>
      <w:r>
        <w:rPr>
          <w:rFonts w:hint="eastAsia"/>
          <w:color w:val="231F20"/>
          <w:sz w:val="30"/>
        </w:rPr>
        <w:t>Yes, from his birth he is already the Messianic King; but, as we shall see in a moment, the actual commencement of his reign awaits his exaltation.</w:t>
      </w:r>
    </w:p>
    <w:p w14:paraId="66E2C255">
      <w:pPr>
        <w:pStyle w:val="9"/>
        <w:spacing w:after="0"/>
        <w:rPr>
          <w:rFonts w:hint="eastAsia"/>
          <w:color w:val="231F20"/>
          <w:sz w:val="30"/>
        </w:rPr>
      </w:pPr>
      <w:r>
        <w:rPr>
          <w:rFonts w:hint="eastAsia"/>
          <w:color w:val="231F20"/>
          <w:sz w:val="30"/>
        </w:rPr>
        <w:t>是的，从祂出生起，祂就已经是弥赛亚君王了；但是，我们稍后会看到，祂统治的实际开始有待于祂的高升。</w:t>
      </w:r>
    </w:p>
    <w:p w14:paraId="03818F08">
      <w:pPr>
        <w:pStyle w:val="9"/>
        <w:spacing w:after="0"/>
        <w:rPr>
          <w:rFonts w:hint="eastAsia"/>
          <w:color w:val="231F20"/>
          <w:sz w:val="30"/>
        </w:rPr>
      </w:pPr>
    </w:p>
    <w:p w14:paraId="2A75F784">
      <w:pPr>
        <w:pStyle w:val="9"/>
        <w:spacing w:after="0"/>
        <w:rPr>
          <w:rFonts w:hint="eastAsia"/>
          <w:color w:val="231F20"/>
          <w:sz w:val="30"/>
        </w:rPr>
      </w:pPr>
      <w:r>
        <w:rPr>
          <w:rFonts w:hint="eastAsia"/>
          <w:color w:val="231F20"/>
          <w:sz w:val="30"/>
        </w:rPr>
        <w:t>So then, the anointing of the Spirit at the Jordan is meant to equip Christ to prepare a people for the eventual coming of his Kingdom, and also to lay a proper foundation for it.</w:t>
      </w:r>
    </w:p>
    <w:p w14:paraId="612E39A4">
      <w:pPr>
        <w:pStyle w:val="9"/>
        <w:spacing w:after="0"/>
        <w:rPr>
          <w:rFonts w:hint="eastAsia"/>
          <w:color w:val="231F20"/>
          <w:sz w:val="30"/>
        </w:rPr>
      </w:pPr>
      <w:r>
        <w:rPr>
          <w:rFonts w:hint="eastAsia"/>
          <w:color w:val="231F20"/>
          <w:sz w:val="30"/>
        </w:rPr>
        <w:t>那么，在约旦河受圣灵的膏抹，是为了装备基督去为一个民族预备祂国度的最终降临，并且也为它奠定一个恰当的基础。</w:t>
      </w:r>
    </w:p>
    <w:p w14:paraId="7BC4439A">
      <w:pPr>
        <w:pStyle w:val="9"/>
        <w:spacing w:after="0"/>
        <w:rPr>
          <w:rFonts w:hint="eastAsia"/>
          <w:color w:val="231F20"/>
          <w:sz w:val="30"/>
        </w:rPr>
      </w:pPr>
    </w:p>
    <w:p w14:paraId="2D4608CC">
      <w:pPr>
        <w:pStyle w:val="9"/>
        <w:spacing w:after="0"/>
        <w:rPr>
          <w:rFonts w:hint="eastAsia"/>
          <w:color w:val="231F20"/>
          <w:sz w:val="30"/>
        </w:rPr>
      </w:pPr>
      <w:r>
        <w:rPr>
          <w:rFonts w:hint="eastAsia"/>
          <w:color w:val="231F20"/>
          <w:sz w:val="30"/>
        </w:rPr>
        <w:t>This brings us to his three and a half years of ministry, wherein Jesus lived, taught, worked, and finally died as a sacrifice for the sins of his people.</w:t>
      </w:r>
    </w:p>
    <w:p w14:paraId="04C29F85">
      <w:pPr>
        <w:pStyle w:val="9"/>
        <w:spacing w:after="0"/>
        <w:rPr>
          <w:rFonts w:hint="eastAsia"/>
          <w:color w:val="231F20"/>
          <w:sz w:val="30"/>
        </w:rPr>
      </w:pPr>
      <w:r>
        <w:rPr>
          <w:rFonts w:hint="eastAsia"/>
          <w:color w:val="231F20"/>
          <w:sz w:val="30"/>
        </w:rPr>
        <w:t>这使我们来到祂三年半的事工，其中耶稣生活、教导、工作，并最终为祂子民的罪作为祭物而死。</w:t>
      </w:r>
    </w:p>
    <w:p w14:paraId="45C28BD9">
      <w:pPr>
        <w:pStyle w:val="9"/>
        <w:spacing w:after="0"/>
        <w:rPr>
          <w:rFonts w:hint="eastAsia"/>
          <w:color w:val="231F20"/>
          <w:sz w:val="30"/>
        </w:rPr>
      </w:pPr>
    </w:p>
    <w:p w14:paraId="235596F3">
      <w:pPr>
        <w:pStyle w:val="9"/>
        <w:spacing w:after="0"/>
        <w:rPr>
          <w:rFonts w:hint="eastAsia"/>
          <w:color w:val="231F20"/>
          <w:sz w:val="30"/>
        </w:rPr>
      </w:pPr>
      <w:r>
        <w:rPr>
          <w:rFonts w:hint="eastAsia"/>
          <w:color w:val="231F20"/>
          <w:sz w:val="30"/>
        </w:rPr>
        <w:t>If we stand back and survey these years from the point of view of the Covenant of Redemption, we behold their essential meaning quite clearly.</w:t>
      </w:r>
    </w:p>
    <w:p w14:paraId="0080AAD1">
      <w:pPr>
        <w:pStyle w:val="9"/>
        <w:spacing w:after="0"/>
        <w:rPr>
          <w:rFonts w:hint="eastAsia"/>
          <w:color w:val="231F20"/>
          <w:sz w:val="30"/>
        </w:rPr>
      </w:pPr>
      <w:r>
        <w:rPr>
          <w:rFonts w:hint="eastAsia"/>
          <w:color w:val="231F20"/>
          <w:sz w:val="30"/>
        </w:rPr>
        <w:t>如果我们退后一步，从救赎之约的角度来审视这些年，我们会非常清楚地看到它们的本质意义。</w:t>
      </w:r>
    </w:p>
    <w:p w14:paraId="5C7B44B7">
      <w:pPr>
        <w:pStyle w:val="9"/>
        <w:spacing w:after="0"/>
        <w:rPr>
          <w:rFonts w:hint="eastAsia"/>
          <w:color w:val="231F20"/>
          <w:sz w:val="30"/>
        </w:rPr>
      </w:pPr>
    </w:p>
    <w:p w14:paraId="3AE1983C">
      <w:pPr>
        <w:pStyle w:val="9"/>
        <w:spacing w:after="0"/>
        <w:rPr>
          <w:rFonts w:hint="eastAsia"/>
          <w:color w:val="231F20"/>
          <w:sz w:val="30"/>
        </w:rPr>
      </w:pPr>
      <w:r>
        <w:rPr>
          <w:rFonts w:hint="eastAsia"/>
          <w:color w:val="231F20"/>
          <w:sz w:val="30"/>
        </w:rPr>
        <w:t>They are the years in which the Last Adam fulfills all righteousness on behalf of his people; in which—by obeying the Father’s every command, passing his every test, and complying with his every precept in the Mosaic Law—he (Christ) fulfills the Covenant of Works, thereby earning the prize of eternal life for his own.</w:t>
      </w:r>
    </w:p>
    <w:p w14:paraId="15521AC4">
      <w:pPr>
        <w:pStyle w:val="9"/>
        <w:spacing w:after="0"/>
        <w:rPr>
          <w:rFonts w:hint="eastAsia"/>
          <w:color w:val="231F20"/>
          <w:sz w:val="30"/>
        </w:rPr>
      </w:pPr>
      <w:r>
        <w:rPr>
          <w:rFonts w:hint="eastAsia"/>
          <w:color w:val="231F20"/>
          <w:sz w:val="30"/>
        </w:rPr>
        <w:t>这些年是末后的亚当为祂的子民成全诸般义的岁月；在这些年中——通过顺服父的每一条命令，通过祂的每一次考验，并遵守祂在摩西律法中的每一条训诫——祂（基督）成全了行为之约，从而为祂自己的人赚得了永生的奖赏。</w:t>
      </w:r>
    </w:p>
    <w:p w14:paraId="446C5ABB">
      <w:pPr>
        <w:pStyle w:val="9"/>
        <w:spacing w:after="0"/>
        <w:rPr>
          <w:rFonts w:hint="eastAsia"/>
          <w:color w:val="231F20"/>
          <w:sz w:val="30"/>
        </w:rPr>
      </w:pPr>
    </w:p>
    <w:p w14:paraId="571197A4">
      <w:pPr>
        <w:pStyle w:val="9"/>
        <w:spacing w:after="0"/>
        <w:rPr>
          <w:rFonts w:hint="eastAsia"/>
          <w:color w:val="231F20"/>
          <w:sz w:val="30"/>
        </w:rPr>
      </w:pPr>
      <w:r>
        <w:rPr>
          <w:rFonts w:hint="eastAsia"/>
          <w:color w:val="231F20"/>
          <w:sz w:val="30"/>
        </w:rPr>
        <w:t>However, included in these works is the single greatest work of all: his atoning death, by which he satisfies God’s justice and propitiates his wrath, thus making the imputation of his righteousness possible, and the regeneration, justification, and reconciliation of his people sure (Romans 3:21-26, 4:1f, 5:1f, 8:29ff, 2 Cor. 5:21).</w:t>
      </w:r>
    </w:p>
    <w:p w14:paraId="2C8FAABE">
      <w:pPr>
        <w:pStyle w:val="9"/>
        <w:spacing w:after="0"/>
        <w:rPr>
          <w:rFonts w:hint="eastAsia"/>
          <w:color w:val="231F20"/>
          <w:sz w:val="30"/>
        </w:rPr>
      </w:pPr>
      <w:r>
        <w:rPr>
          <w:rFonts w:hint="eastAsia"/>
          <w:color w:val="231F20"/>
          <w:sz w:val="30"/>
        </w:rPr>
        <w:t>然而，在这些工作中，包含了一件最伟大的工作：祂的赎罪之死，藉此祂满足了上帝的公义，平息了祂的忿怒，从而使祂的义得以归算成为可能，并使祂子民的重生、称义和和好得以确立（罗马书 3:21-26, 4:1f, 5:1f, 8:29ff, 林后 5:21）。</w:t>
      </w:r>
    </w:p>
    <w:p w14:paraId="60370403">
      <w:pPr>
        <w:pStyle w:val="9"/>
        <w:spacing w:after="0"/>
        <w:rPr>
          <w:rFonts w:hint="eastAsia"/>
          <w:color w:val="231F20"/>
          <w:sz w:val="30"/>
        </w:rPr>
      </w:pPr>
    </w:p>
    <w:p w14:paraId="641AB8CF">
      <w:pPr>
        <w:pStyle w:val="9"/>
        <w:spacing w:after="0"/>
        <w:rPr>
          <w:rFonts w:hint="eastAsia"/>
          <w:color w:val="231F20"/>
          <w:sz w:val="30"/>
        </w:rPr>
      </w:pPr>
      <w:r>
        <w:rPr>
          <w:rFonts w:hint="eastAsia"/>
          <w:color w:val="231F20"/>
          <w:sz w:val="30"/>
        </w:rPr>
        <w:t>In sum, by his active and passive obedience throughout the days of his humiliation, Christ fulfills the Mosaic Law and renders it obsolete, introduces the New and Eternal Covenant, and secures its great promise: eternal life under God’s direct, benevolent rule.</w:t>
      </w:r>
    </w:p>
    <w:p w14:paraId="51C9FE43">
      <w:pPr>
        <w:pStyle w:val="9"/>
        <w:spacing w:after="0"/>
        <w:rPr>
          <w:rFonts w:hint="eastAsia"/>
          <w:color w:val="231F20"/>
          <w:sz w:val="30"/>
        </w:rPr>
      </w:pPr>
      <w:r>
        <w:rPr>
          <w:rFonts w:hint="eastAsia"/>
          <w:color w:val="231F20"/>
          <w:sz w:val="30"/>
        </w:rPr>
        <w:t>总而言之，藉着祂在降卑的日子里主动和被动的顺服，基督成全了摩西律法并使其作废，引入了新的和永恒的约，并确保了其伟大的应许：在上帝直接、仁慈的统治下的永生。</w:t>
      </w:r>
    </w:p>
    <w:p w14:paraId="21A05562">
      <w:pPr>
        <w:pStyle w:val="9"/>
        <w:spacing w:after="0"/>
        <w:rPr>
          <w:rFonts w:hint="eastAsia"/>
          <w:color w:val="231F20"/>
          <w:sz w:val="30"/>
        </w:rPr>
      </w:pPr>
    </w:p>
    <w:p w14:paraId="47BFBC56">
      <w:pPr>
        <w:pStyle w:val="9"/>
        <w:spacing w:after="0"/>
        <w:rPr>
          <w:rFonts w:hint="eastAsia"/>
          <w:color w:val="231F20"/>
          <w:sz w:val="30"/>
        </w:rPr>
      </w:pPr>
      <w:r>
        <w:rPr>
          <w:rFonts w:hint="eastAsia"/>
          <w:color w:val="231F20"/>
          <w:sz w:val="30"/>
        </w:rPr>
        <w:t>By all that he did in the days of his flesh, Jesus laid a perfect and eternally abiding foundation for the coming of the Kingdom of God.</w:t>
      </w:r>
    </w:p>
    <w:p w14:paraId="15F7D49B">
      <w:pPr>
        <w:pStyle w:val="9"/>
        <w:spacing w:after="0"/>
        <w:rPr>
          <w:rFonts w:hint="eastAsia"/>
          <w:color w:val="231F20"/>
          <w:sz w:val="30"/>
        </w:rPr>
      </w:pPr>
      <w:r>
        <w:rPr>
          <w:rFonts w:hint="eastAsia"/>
          <w:color w:val="231F20"/>
          <w:sz w:val="30"/>
        </w:rPr>
        <w:t>藉着祂在肉身的日子里所做的一切，耶稣为上帝之国的降临奠定了一个完美且永存的基础。</w:t>
      </w:r>
    </w:p>
    <w:p w14:paraId="7FE1060D">
      <w:pPr>
        <w:pStyle w:val="9"/>
        <w:spacing w:after="0"/>
        <w:rPr>
          <w:rFonts w:hint="eastAsia"/>
          <w:color w:val="231F20"/>
          <w:sz w:val="30"/>
        </w:rPr>
      </w:pPr>
    </w:p>
    <w:p w14:paraId="363E4A2C">
      <w:pPr>
        <w:pStyle w:val="9"/>
        <w:spacing w:after="0"/>
        <w:rPr>
          <w:rFonts w:hint="eastAsia"/>
          <w:color w:val="231F20"/>
          <w:sz w:val="30"/>
        </w:rPr>
      </w:pPr>
      <w:r>
        <w:rPr>
          <w:rFonts w:hint="eastAsia"/>
          <w:color w:val="231F20"/>
          <w:sz w:val="30"/>
        </w:rPr>
        <w:t>Not surprisingly, we therefore find this same Kingdom at the very heart of his earthly ministry.</w:t>
      </w:r>
    </w:p>
    <w:p w14:paraId="3AC4DFFA">
      <w:pPr>
        <w:pStyle w:val="9"/>
        <w:spacing w:after="0"/>
        <w:rPr>
          <w:rFonts w:hint="eastAsia"/>
          <w:color w:val="231F20"/>
          <w:sz w:val="30"/>
        </w:rPr>
      </w:pPr>
      <w:r>
        <w:rPr>
          <w:rFonts w:hint="eastAsia"/>
          <w:color w:val="231F20"/>
          <w:sz w:val="30"/>
        </w:rPr>
        <w:t>不足为奇的是，我们因此在祂在世事工的核心找到了同一个国度。</w:t>
      </w:r>
    </w:p>
    <w:p w14:paraId="44A5A530">
      <w:pPr>
        <w:pStyle w:val="9"/>
        <w:spacing w:after="0"/>
        <w:rPr>
          <w:rFonts w:hint="eastAsia"/>
          <w:color w:val="231F20"/>
          <w:sz w:val="30"/>
        </w:rPr>
      </w:pPr>
    </w:p>
    <w:p w14:paraId="0F41F50E">
      <w:pPr>
        <w:pStyle w:val="9"/>
        <w:spacing w:after="0"/>
        <w:rPr>
          <w:rFonts w:hint="eastAsia"/>
          <w:color w:val="231F20"/>
          <w:sz w:val="30"/>
        </w:rPr>
      </w:pPr>
      <w:r>
        <w:rPr>
          <w:rFonts w:hint="eastAsia"/>
          <w:color w:val="231F20"/>
          <w:sz w:val="30"/>
        </w:rPr>
        <w:t>We observe it in several different ways.</w:t>
      </w:r>
    </w:p>
    <w:p w14:paraId="3D18AE4A">
      <w:pPr>
        <w:pStyle w:val="9"/>
        <w:spacing w:after="0"/>
        <w:rPr>
          <w:rFonts w:hint="eastAsia"/>
          <w:color w:val="231F20"/>
          <w:sz w:val="30"/>
        </w:rPr>
      </w:pPr>
      <w:r>
        <w:rPr>
          <w:rFonts w:hint="eastAsia"/>
          <w:color w:val="231F20"/>
          <w:sz w:val="30"/>
        </w:rPr>
        <w:t>我们以几种不同的方式观察到它。</w:t>
      </w:r>
    </w:p>
    <w:p w14:paraId="57EBEC6E">
      <w:pPr>
        <w:pStyle w:val="9"/>
        <w:spacing w:after="0"/>
        <w:rPr>
          <w:rFonts w:hint="eastAsia"/>
          <w:color w:val="231F20"/>
          <w:sz w:val="30"/>
        </w:rPr>
      </w:pPr>
    </w:p>
    <w:p w14:paraId="40F51701">
      <w:pPr>
        <w:pStyle w:val="9"/>
        <w:spacing w:after="0"/>
        <w:rPr>
          <w:rFonts w:hint="eastAsia"/>
          <w:color w:val="231F20"/>
          <w:sz w:val="30"/>
        </w:rPr>
      </w:pPr>
      <w:r>
        <w:rPr>
          <w:rFonts w:hint="eastAsia"/>
          <w:color w:val="231F20"/>
          <w:sz w:val="30"/>
        </w:rPr>
        <w:t>As we have seen, he heralded the Kingdom, proclaiming to all Israel that it was at hand: near and drawing nearer by the moment, both temporally and spatially (Mt. 4:17, 10:7, Mark 1:15).4</w:t>
      </w:r>
    </w:p>
    <w:p w14:paraId="39C50FD6">
      <w:pPr>
        <w:pStyle w:val="9"/>
        <w:spacing w:after="0"/>
        <w:rPr>
          <w:rFonts w:hint="eastAsia"/>
          <w:color w:val="231F20"/>
          <w:sz w:val="30"/>
        </w:rPr>
      </w:pPr>
      <w:r>
        <w:rPr>
          <w:rFonts w:hint="eastAsia"/>
          <w:color w:val="231F20"/>
          <w:sz w:val="30"/>
        </w:rPr>
        <w:t>正如我们所见，祂宣告了国度，向全以色列宣称它近了：在时间和空间上都越来越近（太 4:17, 10:7, 可 1:15）。4</w:t>
      </w:r>
    </w:p>
    <w:p w14:paraId="097D89A4">
      <w:pPr>
        <w:pStyle w:val="9"/>
        <w:spacing w:after="0"/>
        <w:rPr>
          <w:rFonts w:hint="eastAsia"/>
          <w:color w:val="231F20"/>
          <w:sz w:val="30"/>
        </w:rPr>
      </w:pPr>
    </w:p>
    <w:p w14:paraId="016922B6">
      <w:pPr>
        <w:pStyle w:val="9"/>
        <w:spacing w:after="0"/>
        <w:rPr>
          <w:rFonts w:hint="eastAsia"/>
          <w:color w:val="231F20"/>
          <w:sz w:val="30"/>
        </w:rPr>
      </w:pPr>
      <w:r>
        <w:rPr>
          <w:rFonts w:hint="eastAsia"/>
          <w:color w:val="231F20"/>
          <w:sz w:val="30"/>
        </w:rPr>
        <w:t>He previewed the Kingdom, miraculously rescuing multitudes from various spiritual and physical afflictions, and also restoring them to a measure of the perfect wholeness that would characterize Kingdom life in its fullness (Mt. 9:35, 10:6-8, 12:28, 17:1f).</w:t>
      </w:r>
    </w:p>
    <w:p w14:paraId="1CD993F7">
      <w:pPr>
        <w:pStyle w:val="9"/>
        <w:spacing w:after="0"/>
        <w:rPr>
          <w:rFonts w:hint="eastAsia"/>
          <w:color w:val="231F20"/>
          <w:sz w:val="30"/>
        </w:rPr>
      </w:pPr>
      <w:r>
        <w:rPr>
          <w:rFonts w:hint="eastAsia"/>
          <w:color w:val="231F20"/>
          <w:sz w:val="30"/>
        </w:rPr>
        <w:t>祂预演了国度，奇迹般地将众人从各种属灵和属肉体的苦难中拯救出来，并恢复他们到一定程度的完全健康，这正是国度生活在其丰满中所特有的（太 9:35, 10:6-8, 12:28, 17:1f）。</w:t>
      </w:r>
    </w:p>
    <w:p w14:paraId="0D01B4B3">
      <w:pPr>
        <w:pStyle w:val="9"/>
        <w:spacing w:after="0"/>
        <w:rPr>
          <w:rFonts w:hint="eastAsia"/>
          <w:color w:val="231F20"/>
          <w:sz w:val="30"/>
        </w:rPr>
      </w:pPr>
    </w:p>
    <w:p w14:paraId="550B7D15">
      <w:pPr>
        <w:pStyle w:val="9"/>
        <w:spacing w:after="0"/>
        <w:rPr>
          <w:rFonts w:hint="eastAsia"/>
          <w:color w:val="231F20"/>
          <w:sz w:val="30"/>
        </w:rPr>
      </w:pPr>
      <w:r>
        <w:rPr>
          <w:rFonts w:hint="eastAsia"/>
          <w:color w:val="231F20"/>
          <w:sz w:val="30"/>
        </w:rPr>
        <w:t>He explained the Kingdom, introducing his disciples to the mysteries of its true nature and temporal structure; mysteries they would fully understand and enjoy only when, after Pentecost, the Kingdom had indeed come into the world, and they into the (first stage of the) Kingdom (Mt. 13:1ff, John 16:13, 1 Cor. 2:6f, Eph. 1:8-10).</w:t>
      </w:r>
    </w:p>
    <w:p w14:paraId="3BFAAC0C">
      <w:pPr>
        <w:pStyle w:val="9"/>
        <w:spacing w:after="0"/>
        <w:rPr>
          <w:rFonts w:hint="eastAsia"/>
          <w:color w:val="231F20"/>
          <w:sz w:val="30"/>
        </w:rPr>
      </w:pPr>
      <w:r>
        <w:rPr>
          <w:rFonts w:hint="eastAsia"/>
          <w:color w:val="231F20"/>
          <w:sz w:val="30"/>
        </w:rPr>
        <w:t>祂解释了国度，向祂的门徒介绍了其真实性质和时间结构的奥秘；这些奥秘他们只有在五旬节之后，当国度确实临到世界，而他们也进入了国度（的第一阶段）时，才能完全理解和享受（太 13:1ff, 约 16:13, 林前 2:6f, 弗 1:8-10）。</w:t>
      </w:r>
    </w:p>
    <w:p w14:paraId="4024F274">
      <w:pPr>
        <w:pStyle w:val="9"/>
        <w:spacing w:after="0"/>
        <w:rPr>
          <w:rFonts w:hint="eastAsia"/>
          <w:color w:val="231F20"/>
          <w:sz w:val="30"/>
        </w:rPr>
      </w:pPr>
    </w:p>
    <w:p w14:paraId="368C42CD">
      <w:pPr>
        <w:pStyle w:val="9"/>
        <w:spacing w:after="0"/>
        <w:rPr>
          <w:rFonts w:hint="eastAsia"/>
          <w:color w:val="231F20"/>
          <w:sz w:val="30"/>
        </w:rPr>
      </w:pPr>
      <w:r>
        <w:rPr>
          <w:rFonts w:hint="eastAsia"/>
          <w:color w:val="231F20"/>
          <w:sz w:val="30"/>
        </w:rPr>
        <w:t>And finally, he offered the Kingdom, directly and primarily to Jews, but also indirectly and secondarily to Gentiles (Mt. 10:6, 15:21-28, 21:1-23:38, John 4:1-42).</w:t>
      </w:r>
    </w:p>
    <w:p w14:paraId="34094B43">
      <w:pPr>
        <w:pStyle w:val="9"/>
        <w:spacing w:after="0"/>
        <w:rPr>
          <w:rFonts w:hint="eastAsia"/>
          <w:color w:val="231F20"/>
          <w:sz w:val="30"/>
        </w:rPr>
      </w:pPr>
      <w:r>
        <w:rPr>
          <w:rFonts w:hint="eastAsia"/>
          <w:color w:val="231F20"/>
          <w:sz w:val="30"/>
        </w:rPr>
        <w:t>最后，祂提供了国度，直接并主要向犹太人提供，但也间接并次要地向外邦人提供（太 10:6, 15:21-28, 21:1-23:38, 约 4:1-42）。</w:t>
      </w:r>
    </w:p>
    <w:p w14:paraId="78103549">
      <w:pPr>
        <w:pStyle w:val="9"/>
        <w:spacing w:after="0"/>
        <w:rPr>
          <w:rFonts w:hint="eastAsia"/>
          <w:color w:val="231F20"/>
          <w:sz w:val="30"/>
        </w:rPr>
      </w:pPr>
    </w:p>
    <w:p w14:paraId="5FA1068D">
      <w:pPr>
        <w:pStyle w:val="9"/>
        <w:spacing w:after="0"/>
        <w:rPr>
          <w:rFonts w:hint="eastAsia"/>
          <w:color w:val="231F20"/>
          <w:sz w:val="30"/>
        </w:rPr>
      </w:pPr>
      <w:r>
        <w:rPr>
          <w:rFonts w:hint="eastAsia"/>
          <w:color w:val="231F20"/>
          <w:sz w:val="30"/>
        </w:rPr>
        <w:t>Importantly, in making this offer Jesus never projected himself as a temporal king who, in the manner of his forefather David, would rise to the throne by military might (Mt. 12:14-21, John 6:15).</w:t>
      </w:r>
    </w:p>
    <w:p w14:paraId="36732627">
      <w:pPr>
        <w:pStyle w:val="9"/>
        <w:spacing w:after="0"/>
        <w:rPr>
          <w:rFonts w:hint="eastAsia"/>
          <w:color w:val="231F20"/>
          <w:sz w:val="30"/>
        </w:rPr>
      </w:pPr>
      <w:r>
        <w:rPr>
          <w:rFonts w:hint="eastAsia"/>
          <w:color w:val="231F20"/>
          <w:sz w:val="30"/>
        </w:rPr>
        <w:t>重要的是，在提出这个提议时，耶稣从未将自己描绘成一个属世的君王，会像祂的祖先大卫那样，通过军事力量登上宝座（太 12:14-21, 约 6:15）。</w:t>
      </w:r>
    </w:p>
    <w:p w14:paraId="053D2F21">
      <w:pPr>
        <w:pStyle w:val="9"/>
        <w:spacing w:after="0"/>
        <w:rPr>
          <w:rFonts w:hint="eastAsia"/>
          <w:color w:val="231F20"/>
          <w:sz w:val="30"/>
        </w:rPr>
      </w:pPr>
    </w:p>
    <w:p w14:paraId="7CD88B02">
      <w:pPr>
        <w:pStyle w:val="9"/>
        <w:spacing w:after="0"/>
        <w:rPr>
          <w:rFonts w:hint="eastAsia"/>
          <w:color w:val="231F20"/>
          <w:sz w:val="30"/>
        </w:rPr>
      </w:pPr>
      <w:r>
        <w:rPr>
          <w:rFonts w:hint="eastAsia"/>
          <w:color w:val="231F20"/>
          <w:sz w:val="30"/>
        </w:rPr>
        <w:t>Rather, he simply called upon Israel to repent of their sin and to follow him in faith (Mt. 8:22, 11:25-30, 16:24, 19:21, 23:37-39, John 6:29).</w:t>
      </w:r>
    </w:p>
    <w:p w14:paraId="147690DA">
      <w:pPr>
        <w:pStyle w:val="9"/>
        <w:spacing w:after="0"/>
        <w:rPr>
          <w:rFonts w:hint="eastAsia"/>
          <w:color w:val="231F20"/>
          <w:sz w:val="30"/>
        </w:rPr>
      </w:pPr>
      <w:r>
        <w:rPr>
          <w:rFonts w:hint="eastAsia"/>
          <w:color w:val="231F20"/>
          <w:sz w:val="30"/>
        </w:rPr>
        <w:t>相反，祂只是呼召以色列悔改他们的罪，并凭信心跟随祂（太 8:22, 11:25-30, 16:24, 19:21, 23:37-39, 约 6:29）。</w:t>
      </w:r>
    </w:p>
    <w:p w14:paraId="1C4E3B44">
      <w:pPr>
        <w:pStyle w:val="9"/>
        <w:spacing w:after="0"/>
        <w:rPr>
          <w:rFonts w:hint="eastAsia"/>
          <w:color w:val="231F20"/>
          <w:sz w:val="30"/>
        </w:rPr>
      </w:pPr>
    </w:p>
    <w:p w14:paraId="3E63BA09">
      <w:pPr>
        <w:pStyle w:val="9"/>
        <w:spacing w:after="0"/>
        <w:rPr>
          <w:rFonts w:hint="eastAsia"/>
          <w:color w:val="231F20"/>
          <w:sz w:val="30"/>
        </w:rPr>
      </w:pPr>
      <w:r>
        <w:rPr>
          <w:rFonts w:hint="eastAsia"/>
          <w:color w:val="231F20"/>
          <w:sz w:val="30"/>
        </w:rPr>
        <w:t>In other words, the Kingdom Jesus offered to Israel was always and only spiritual; it was always and only a direct, benevolent rule of God and Christ, in days ahead to be made possible by the completion of his redemptive work upon the Cross (Luke 17:20-21, John 6:3, 18:36).</w:t>
      </w:r>
    </w:p>
    <w:p w14:paraId="48A11084">
      <w:pPr>
        <w:pStyle w:val="9"/>
        <w:spacing w:after="0"/>
        <w:rPr>
          <w:rFonts w:hint="eastAsia"/>
          <w:color w:val="231F20"/>
          <w:sz w:val="30"/>
        </w:rPr>
      </w:pPr>
      <w:r>
        <w:rPr>
          <w:rFonts w:hint="eastAsia"/>
          <w:color w:val="231F20"/>
          <w:sz w:val="30"/>
        </w:rPr>
        <w:t>换句话说，耶稣向以色列提供的国度，始终且仅仅是属灵的；它始终且仅仅是上帝和基督直接、仁慈的统治，在未来的日子里，将因祂在十字架上救赎工作的完成而成为可能（路 17:20-21, 约 6:3, 18:36）。</w:t>
      </w:r>
    </w:p>
    <w:p w14:paraId="0D2EF03F">
      <w:pPr>
        <w:pStyle w:val="9"/>
        <w:spacing w:after="0"/>
        <w:rPr>
          <w:rFonts w:hint="eastAsia"/>
          <w:color w:val="231F20"/>
          <w:sz w:val="30"/>
        </w:rPr>
      </w:pPr>
    </w:p>
    <w:p w14:paraId="602504D7">
      <w:pPr>
        <w:pStyle w:val="9"/>
        <w:spacing w:after="0"/>
        <w:rPr>
          <w:rFonts w:hint="eastAsia"/>
          <w:color w:val="231F20"/>
          <w:sz w:val="30"/>
        </w:rPr>
      </w:pPr>
      <w:r>
        <w:rPr>
          <w:rFonts w:hint="eastAsia"/>
          <w:color w:val="231F20"/>
          <w:sz w:val="30"/>
        </w:rPr>
        <w:t>Here we meet one of the great mysteries of God’s redemptive purpose and plan: The spiritual Kingdom that Christ sincerely and urgently offered to the Jew first, but also to the Gentile, could not be entered until both Jew and Gentile had rejected both him and it.</w:t>
      </w:r>
    </w:p>
    <w:p w14:paraId="23DD129E">
      <w:pPr>
        <w:pStyle w:val="9"/>
        <w:spacing w:after="0"/>
        <w:rPr>
          <w:rFonts w:hint="eastAsia"/>
          <w:color w:val="231F20"/>
          <w:sz w:val="30"/>
        </w:rPr>
      </w:pPr>
      <w:r>
        <w:rPr>
          <w:rFonts w:hint="eastAsia"/>
          <w:color w:val="231F20"/>
          <w:sz w:val="30"/>
        </w:rPr>
        <w:t>在此我们遇到上帝救赎旨意和计划的伟大奥秘之一：基督真诚而迫切地首先向犹太人，也向外邦人提供的属灵国度，直到犹太人和外邦人都拒绝了祂和它之后，才能进入。</w:t>
      </w:r>
    </w:p>
    <w:p w14:paraId="027F3850">
      <w:pPr>
        <w:pStyle w:val="9"/>
        <w:spacing w:after="0"/>
        <w:rPr>
          <w:rFonts w:hint="eastAsia"/>
          <w:color w:val="231F20"/>
          <w:sz w:val="30"/>
        </w:rPr>
      </w:pPr>
    </w:p>
    <w:p w14:paraId="73096D1E">
      <w:pPr>
        <w:pStyle w:val="9"/>
        <w:spacing w:after="0"/>
        <w:rPr>
          <w:rFonts w:hint="eastAsia"/>
          <w:color w:val="231F20"/>
          <w:sz w:val="30"/>
        </w:rPr>
      </w:pPr>
      <w:r>
        <w:rPr>
          <w:rFonts w:hint="eastAsia"/>
          <w:color w:val="231F20"/>
          <w:sz w:val="30"/>
        </w:rPr>
        <w:t>Only upon the solid foundation of his righteous life and atoning death could the High King’s heavenly City of light and life arise in the earth, and its mighty gates swing open to all (Mt. 23:37-38, John 3:14-15, 12:31-34, Romans 11:33-36).</w:t>
      </w:r>
    </w:p>
    <w:p w14:paraId="728DE9CC">
      <w:pPr>
        <w:pStyle w:val="9"/>
        <w:spacing w:after="0"/>
        <w:rPr>
          <w:rFonts w:hint="eastAsia"/>
          <w:color w:val="231F20"/>
          <w:sz w:val="30"/>
        </w:rPr>
      </w:pPr>
      <w:r>
        <w:rPr>
          <w:rFonts w:hint="eastAsia"/>
          <w:color w:val="231F20"/>
          <w:sz w:val="30"/>
        </w:rPr>
        <w:t>唯有在祂公义的生命和赎罪的死亡这坚实的根基上，天上至高君王那光明与生命的城才能在地上兴起，其巨大的城门才能向所有人敞开（太 23:37-38, 约 3:14-15, 12:31-34, 罗马书 11:33-36）。</w:t>
      </w:r>
    </w:p>
    <w:p w14:paraId="57F04904">
      <w:pPr>
        <w:pStyle w:val="9"/>
        <w:spacing w:after="0"/>
        <w:rPr>
          <w:rFonts w:hint="eastAsia"/>
          <w:color w:val="231F20"/>
          <w:sz w:val="30"/>
        </w:rPr>
      </w:pPr>
    </w:p>
    <w:p w14:paraId="23B08560">
      <w:pPr>
        <w:pStyle w:val="9"/>
        <w:spacing w:after="0"/>
        <w:rPr>
          <w:rFonts w:hint="eastAsia"/>
          <w:color w:val="231F20"/>
          <w:sz w:val="30"/>
        </w:rPr>
      </w:pPr>
      <w:r>
        <w:rPr>
          <w:rFonts w:hint="eastAsia"/>
          <w:color w:val="231F20"/>
          <w:sz w:val="30"/>
        </w:rPr>
        <w:t>Heavenly Reign: The Kingdom Coming</w:t>
      </w:r>
    </w:p>
    <w:p w14:paraId="65483E47">
      <w:pPr>
        <w:pStyle w:val="9"/>
        <w:spacing w:after="0"/>
        <w:rPr>
          <w:rFonts w:hint="eastAsia"/>
          <w:color w:val="231F20"/>
          <w:sz w:val="30"/>
        </w:rPr>
      </w:pPr>
      <w:r>
        <w:rPr>
          <w:rFonts w:hint="eastAsia"/>
          <w:color w:val="231F20"/>
          <w:sz w:val="30"/>
        </w:rPr>
        <w:t>属天统治：国度的降临</w:t>
      </w:r>
    </w:p>
    <w:p w14:paraId="65F84F71">
      <w:pPr>
        <w:pStyle w:val="9"/>
        <w:spacing w:after="0"/>
        <w:rPr>
          <w:rFonts w:hint="eastAsia"/>
          <w:color w:val="231F20"/>
          <w:sz w:val="30"/>
        </w:rPr>
      </w:pPr>
    </w:p>
    <w:p w14:paraId="0E499E1D">
      <w:pPr>
        <w:pStyle w:val="9"/>
        <w:spacing w:after="0"/>
        <w:rPr>
          <w:rFonts w:hint="eastAsia"/>
          <w:color w:val="231F20"/>
          <w:sz w:val="30"/>
        </w:rPr>
      </w:pPr>
      <w:r>
        <w:rPr>
          <w:rFonts w:hint="eastAsia"/>
          <w:color w:val="231F20"/>
          <w:sz w:val="30"/>
        </w:rPr>
        <w:t>The coming of the Kingdom is part and parcel of the exaltation of the Last Adam, the divine/human Messiah, the eternal Prophet, Priest, and King of God’s people.</w:t>
      </w:r>
    </w:p>
    <w:p w14:paraId="4D363BFE">
      <w:pPr>
        <w:pStyle w:val="9"/>
        <w:spacing w:after="0"/>
        <w:rPr>
          <w:rFonts w:hint="eastAsia"/>
          <w:color w:val="231F20"/>
          <w:sz w:val="30"/>
        </w:rPr>
      </w:pPr>
      <w:r>
        <w:rPr>
          <w:rFonts w:hint="eastAsia"/>
          <w:color w:val="231F20"/>
          <w:sz w:val="30"/>
        </w:rPr>
        <w:t>国度的降临是末后的亚当，即神人弥赛亚，上帝子民永恒的先知、祭司和君王被高举的一部分。</w:t>
      </w:r>
    </w:p>
    <w:p w14:paraId="2B1EF487">
      <w:pPr>
        <w:pStyle w:val="9"/>
        <w:spacing w:after="0"/>
        <w:rPr>
          <w:rFonts w:hint="eastAsia"/>
          <w:color w:val="231F20"/>
          <w:sz w:val="30"/>
        </w:rPr>
      </w:pPr>
    </w:p>
    <w:p w14:paraId="0F5083DC">
      <w:pPr>
        <w:pStyle w:val="9"/>
        <w:spacing w:after="0"/>
        <w:rPr>
          <w:rFonts w:hint="eastAsia"/>
          <w:color w:val="231F20"/>
          <w:sz w:val="30"/>
        </w:rPr>
      </w:pPr>
      <w:r>
        <w:rPr>
          <w:rFonts w:hint="eastAsia"/>
          <w:color w:val="231F20"/>
          <w:sz w:val="30"/>
        </w:rPr>
        <w:t>As we saw earlier, this exaltation was a key element of the Covenant of Redemption, according to which God the Father, upon condition of his Son’s obedience unto death, would highly exalt him by means of his resurrection, ascension, session, heavenly reign, and Parousia.</w:t>
      </w:r>
    </w:p>
    <w:p w14:paraId="7D342F8B">
      <w:pPr>
        <w:pStyle w:val="9"/>
        <w:spacing w:after="0"/>
        <w:rPr>
          <w:rFonts w:hint="eastAsia"/>
          <w:color w:val="231F20"/>
          <w:sz w:val="30"/>
        </w:rPr>
      </w:pPr>
      <w:r>
        <w:rPr>
          <w:rFonts w:hint="eastAsia"/>
          <w:color w:val="231F20"/>
          <w:sz w:val="30"/>
        </w:rPr>
        <w:t>正如我们之前所见，这次高举是救赎之约的一个关键要素，根据该约，父上帝，以其子顺服至死为条件，将藉着祂的复活、升天、坐席、属天统治和再来，将祂高举。</w:t>
      </w:r>
    </w:p>
    <w:p w14:paraId="25422BB5">
      <w:pPr>
        <w:pStyle w:val="9"/>
        <w:spacing w:after="0"/>
        <w:rPr>
          <w:rFonts w:hint="eastAsia"/>
          <w:color w:val="231F20"/>
          <w:sz w:val="30"/>
        </w:rPr>
      </w:pPr>
    </w:p>
    <w:p w14:paraId="7BDE8CFF">
      <w:pPr>
        <w:pStyle w:val="9"/>
        <w:spacing w:after="0"/>
        <w:rPr>
          <w:rFonts w:hint="eastAsia"/>
          <w:color w:val="231F20"/>
          <w:sz w:val="30"/>
        </w:rPr>
      </w:pPr>
      <w:r>
        <w:rPr>
          <w:rFonts w:hint="eastAsia"/>
          <w:color w:val="231F20"/>
          <w:sz w:val="30"/>
        </w:rPr>
        <w:t>Again, it is through this great exaltation—and especially through Christ’s heavenly reign and Parousia—that God fulfills his eternal purpose for his Son, making him Head (or High King) over a new humanity and a new creation (Eph. 1:10, Col. 1:16-18, 2:19); it is through this exaltation that the saints experience the Promise of the Eternal Covenant; it is through this exaltation that the Kingdom of God actually comes into the world.</w:t>
      </w:r>
    </w:p>
    <w:p w14:paraId="57688959">
      <w:pPr>
        <w:pStyle w:val="9"/>
        <w:spacing w:after="0"/>
        <w:rPr>
          <w:rFonts w:hint="eastAsia"/>
          <w:color w:val="231F20"/>
          <w:sz w:val="30"/>
        </w:rPr>
      </w:pPr>
      <w:r>
        <w:rPr>
          <w:rFonts w:hint="eastAsia"/>
          <w:color w:val="231F20"/>
          <w:sz w:val="30"/>
        </w:rPr>
        <w:t>再者，正是通过这次伟大的高举——特别是通过基督的属天统治和再来——上帝成就了祂对祂儿子的永恒旨意，立祂为新人类和新创造的元首（或至高君王）（弗 1:10, 西 1:16-18, 2:19）；正是通过这次高举，圣徒们体验到永恒之约的应许；正是通过这次高举，上帝的国才真正降临到世上。</w:t>
      </w:r>
    </w:p>
    <w:p w14:paraId="44BD0751">
      <w:pPr>
        <w:pStyle w:val="9"/>
        <w:spacing w:after="0"/>
        <w:rPr>
          <w:rFonts w:hint="eastAsia"/>
          <w:color w:val="231F20"/>
          <w:sz w:val="30"/>
        </w:rPr>
      </w:pPr>
    </w:p>
    <w:p w14:paraId="5FF6C057">
      <w:pPr>
        <w:pStyle w:val="9"/>
        <w:spacing w:after="0"/>
        <w:rPr>
          <w:rFonts w:hint="eastAsia"/>
          <w:color w:val="231F20"/>
          <w:sz w:val="30"/>
        </w:rPr>
      </w:pPr>
      <w:r>
        <w:rPr>
          <w:rFonts w:hint="eastAsia"/>
          <w:color w:val="231F20"/>
          <w:sz w:val="30"/>
        </w:rPr>
        <w:t>The NT is quite clear in designating the Day of Pentecost as the beginning of the coming of the Kingdom.</w:t>
      </w:r>
    </w:p>
    <w:p w14:paraId="1A9AD8D0">
      <w:pPr>
        <w:pStyle w:val="9"/>
        <w:spacing w:after="0"/>
        <w:rPr>
          <w:rFonts w:hint="eastAsia"/>
          <w:color w:val="231F20"/>
          <w:sz w:val="30"/>
        </w:rPr>
      </w:pPr>
      <w:r>
        <w:rPr>
          <w:rFonts w:hint="eastAsia"/>
          <w:color w:val="231F20"/>
          <w:sz w:val="30"/>
        </w:rPr>
        <w:t>新约相当清楚地将五旬节指定为国度降临的开始。</w:t>
      </w:r>
    </w:p>
    <w:p w14:paraId="5B62E459">
      <w:pPr>
        <w:pStyle w:val="9"/>
        <w:spacing w:after="0"/>
        <w:rPr>
          <w:rFonts w:hint="eastAsia"/>
          <w:color w:val="231F20"/>
          <w:sz w:val="30"/>
        </w:rPr>
      </w:pPr>
    </w:p>
    <w:p w14:paraId="766E6B67">
      <w:pPr>
        <w:pStyle w:val="9"/>
        <w:spacing w:after="0"/>
        <w:rPr>
          <w:rFonts w:hint="eastAsia"/>
          <w:color w:val="231F20"/>
          <w:sz w:val="30"/>
        </w:rPr>
      </w:pPr>
      <w:r>
        <w:rPr>
          <w:rFonts w:hint="eastAsia"/>
          <w:color w:val="231F20"/>
          <w:sz w:val="30"/>
        </w:rPr>
        <w:t>As Jesus himself told Nicodemus, no one can see or enter the Kingdom unless he is born from above, born of the Spirit (John 3:3, 5).</w:t>
      </w:r>
    </w:p>
    <w:p w14:paraId="4D2DCCB7">
      <w:pPr>
        <w:pStyle w:val="9"/>
        <w:spacing w:after="0"/>
        <w:rPr>
          <w:rFonts w:hint="eastAsia"/>
          <w:color w:val="231F20"/>
          <w:sz w:val="30"/>
        </w:rPr>
      </w:pPr>
      <w:r>
        <w:rPr>
          <w:rFonts w:hint="eastAsia"/>
          <w:color w:val="231F20"/>
          <w:sz w:val="30"/>
        </w:rPr>
        <w:t>正如耶稣自己告诉尼哥底母的，人若不从上头生，不从圣灵生，就不能见也不能进上帝的国（约 3:3, 5）。</w:t>
      </w:r>
    </w:p>
    <w:p w14:paraId="603BFAE7">
      <w:pPr>
        <w:pStyle w:val="9"/>
        <w:spacing w:after="0"/>
        <w:rPr>
          <w:rFonts w:hint="eastAsia"/>
          <w:color w:val="231F20"/>
          <w:sz w:val="30"/>
        </w:rPr>
      </w:pPr>
    </w:p>
    <w:p w14:paraId="0F4A28C5">
      <w:pPr>
        <w:pStyle w:val="9"/>
        <w:spacing w:after="0"/>
        <w:rPr>
          <w:rFonts w:hint="eastAsia"/>
          <w:color w:val="231F20"/>
          <w:sz w:val="30"/>
        </w:rPr>
      </w:pPr>
      <w:r>
        <w:rPr>
          <w:rFonts w:hint="eastAsia"/>
          <w:color w:val="231F20"/>
          <w:sz w:val="30"/>
        </w:rPr>
        <w:t>But no one could receive the Spirit until Christ had been glorified (John 7:39, 17:1,5): until he had finished his redemptive work on earth (John 19:30), risen from the dead (Rom. 4:25), entered heaven as the High Priest and Advocate of his people (Rom. 8:34, Heb. 9:24, 1 John 2:1), removed the legal veil separating God the Judge from man the sinner (Mt 27:51, Heb. 6:19-20, 10:19-22), received the promised Holy Spirit from the Father (Acts 2:33), and poured out the same upon his own, as he did on the Day of Pentecost (Luke 24:49, Acts 2:33).</w:t>
      </w:r>
    </w:p>
    <w:p w14:paraId="0907BADD">
      <w:pPr>
        <w:pStyle w:val="9"/>
        <w:spacing w:after="0"/>
        <w:rPr>
          <w:rFonts w:hint="eastAsia"/>
          <w:color w:val="231F20"/>
          <w:sz w:val="30"/>
        </w:rPr>
      </w:pPr>
      <w:r>
        <w:rPr>
          <w:rFonts w:hint="eastAsia"/>
          <w:color w:val="231F20"/>
          <w:sz w:val="30"/>
        </w:rPr>
        <w:t>但没有人能领受圣灵，直到基督得了荣耀（约 7:39, 17:1,5）：直到祂完成了祂在世上的救赎工作（约 19:30），从死里复活（罗 4:25），作为祂子民的大祭司和中保进入天上（罗 8:34, 来 9:24, 约一 2:1），挪去了隔开审判者上帝和罪人之间的法理幔子（太 27:51, 来 6:19-20, 10:19-22），从父领受了所应许的圣灵（徒 2:33），并将之浇灌在祂自己的人身上，正如祂在五旬节所做的那样（路 24:49, 徒 2:33）。</w:t>
      </w:r>
    </w:p>
    <w:p w14:paraId="7332A48D">
      <w:pPr>
        <w:pStyle w:val="9"/>
        <w:spacing w:after="0"/>
        <w:rPr>
          <w:rFonts w:hint="eastAsia"/>
          <w:color w:val="231F20"/>
          <w:sz w:val="30"/>
        </w:rPr>
      </w:pPr>
    </w:p>
    <w:p w14:paraId="5CF0AC2B">
      <w:pPr>
        <w:pStyle w:val="9"/>
        <w:spacing w:after="0"/>
        <w:rPr>
          <w:rFonts w:hint="eastAsia"/>
          <w:color w:val="231F20"/>
          <w:sz w:val="30"/>
        </w:rPr>
      </w:pPr>
      <w:r>
        <w:rPr>
          <w:rFonts w:hint="eastAsia"/>
          <w:color w:val="231F20"/>
          <w:sz w:val="30"/>
        </w:rPr>
        <w:t>Therefore, Pentecost was, as Peter himself affirmed, the beginning: the beginning of the Church, the beginning of the Era of Proclamation and Probation (Acts 2:14-39), the beginning of Christ’s heavenly reign (Acts 2:36), and the beginning of the coming of the Kingdom into the world (Acts 11:15).</w:t>
      </w:r>
    </w:p>
    <w:p w14:paraId="5B0B026F">
      <w:pPr>
        <w:pStyle w:val="9"/>
        <w:spacing w:after="0"/>
        <w:rPr>
          <w:rFonts w:hint="eastAsia"/>
          <w:color w:val="231F20"/>
          <w:sz w:val="30"/>
        </w:rPr>
      </w:pPr>
      <w:r>
        <w:rPr>
          <w:rFonts w:hint="eastAsia"/>
          <w:color w:val="231F20"/>
          <w:sz w:val="30"/>
        </w:rPr>
        <w:t>因此，五旬节，正如彼得自己所肯定的，是开始：是教会的开始，是宣讲与察验时代的开始（徒 2:14-39），是基督属天统治的开始（徒 2:36），也是国度降临到世界的开始（徒 11:15）。</w:t>
      </w:r>
    </w:p>
    <w:p w14:paraId="1BD68D31">
      <w:pPr>
        <w:pStyle w:val="9"/>
        <w:spacing w:after="0"/>
        <w:rPr>
          <w:rFonts w:hint="eastAsia"/>
          <w:color w:val="231F20"/>
          <w:sz w:val="30"/>
        </w:rPr>
      </w:pPr>
    </w:p>
    <w:p w14:paraId="4421F156">
      <w:pPr>
        <w:pStyle w:val="9"/>
        <w:spacing w:after="0"/>
        <w:rPr>
          <w:rFonts w:hint="eastAsia"/>
          <w:color w:val="231F20"/>
          <w:sz w:val="30"/>
        </w:rPr>
      </w:pPr>
      <w:r>
        <w:rPr>
          <w:rFonts w:hint="eastAsia"/>
          <w:color w:val="231F20"/>
          <w:sz w:val="30"/>
        </w:rPr>
        <w:t>We receive a picturesque and dramatic confirmation of this important truth in Revelation 12:1-12.</w:t>
      </w:r>
    </w:p>
    <w:p w14:paraId="59413D8C">
      <w:pPr>
        <w:pStyle w:val="9"/>
        <w:spacing w:after="0"/>
        <w:rPr>
          <w:rFonts w:hint="eastAsia"/>
          <w:color w:val="231F20"/>
          <w:sz w:val="30"/>
        </w:rPr>
      </w:pPr>
      <w:r>
        <w:rPr>
          <w:rFonts w:hint="eastAsia"/>
          <w:color w:val="231F20"/>
          <w:sz w:val="30"/>
        </w:rPr>
        <w:t>我们在启示录 12:1-12 中得到了这个重要真理的一幅生动而戏剧性的确认。</w:t>
      </w:r>
    </w:p>
    <w:p w14:paraId="3C5E530C">
      <w:pPr>
        <w:pStyle w:val="9"/>
        <w:spacing w:after="0"/>
        <w:rPr>
          <w:rFonts w:hint="eastAsia"/>
          <w:color w:val="231F20"/>
          <w:sz w:val="30"/>
        </w:rPr>
      </w:pPr>
    </w:p>
    <w:p w14:paraId="5148ED9F">
      <w:pPr>
        <w:pStyle w:val="9"/>
        <w:spacing w:after="0"/>
        <w:rPr>
          <w:rFonts w:hint="eastAsia"/>
          <w:color w:val="231F20"/>
          <w:sz w:val="30"/>
        </w:rPr>
      </w:pPr>
      <w:r>
        <w:rPr>
          <w:rFonts w:hint="eastAsia"/>
          <w:color w:val="231F20"/>
          <w:sz w:val="30"/>
        </w:rPr>
        <w:t>In a vision, John beholds a Woman who gives birth to a Male Child who will one day act as a shepherd with a rod of iron towards all (disobedient) nations.</w:t>
      </w:r>
    </w:p>
    <w:p w14:paraId="08F91291">
      <w:pPr>
        <w:pStyle w:val="9"/>
        <w:spacing w:after="0"/>
        <w:rPr>
          <w:rFonts w:hint="eastAsia"/>
          <w:color w:val="231F20"/>
          <w:sz w:val="30"/>
        </w:rPr>
      </w:pPr>
      <w:r>
        <w:rPr>
          <w:rFonts w:hint="eastAsia"/>
          <w:color w:val="231F20"/>
          <w:sz w:val="30"/>
        </w:rPr>
        <w:t>在一个异象中，约翰看见一个妇人，生了一个男孩子，他将来要用铁杖辖管万国（悖逆的）。</w:t>
      </w:r>
    </w:p>
    <w:p w14:paraId="2A7DB8D3">
      <w:pPr>
        <w:pStyle w:val="9"/>
        <w:spacing w:after="0"/>
        <w:rPr>
          <w:rFonts w:hint="eastAsia"/>
          <w:color w:val="231F20"/>
          <w:sz w:val="30"/>
        </w:rPr>
      </w:pPr>
    </w:p>
    <w:p w14:paraId="28AFD4DD">
      <w:pPr>
        <w:pStyle w:val="9"/>
        <w:spacing w:after="0"/>
        <w:rPr>
          <w:rFonts w:hint="eastAsia"/>
          <w:color w:val="231F20"/>
          <w:sz w:val="30"/>
        </w:rPr>
      </w:pPr>
      <w:r>
        <w:rPr>
          <w:rFonts w:hint="eastAsia"/>
          <w:color w:val="231F20"/>
          <w:sz w:val="30"/>
        </w:rPr>
        <w:t>For now, however, he is caught up to God and his throne (12:5).</w:t>
      </w:r>
    </w:p>
    <w:p w14:paraId="6A478DCE">
      <w:pPr>
        <w:pStyle w:val="9"/>
        <w:spacing w:after="0"/>
        <w:rPr>
          <w:rFonts w:hint="eastAsia"/>
          <w:color w:val="231F20"/>
          <w:sz w:val="30"/>
        </w:rPr>
      </w:pPr>
      <w:r>
        <w:rPr>
          <w:rFonts w:hint="eastAsia"/>
          <w:color w:val="231F20"/>
          <w:sz w:val="30"/>
        </w:rPr>
        <w:t>然而，现在，祂被提到上帝和祂的宝座那里去了（12:5）。</w:t>
      </w:r>
    </w:p>
    <w:p w14:paraId="5AEEC770">
      <w:pPr>
        <w:pStyle w:val="9"/>
        <w:spacing w:after="0"/>
        <w:rPr>
          <w:rFonts w:hint="eastAsia"/>
          <w:color w:val="231F20"/>
          <w:sz w:val="30"/>
        </w:rPr>
      </w:pPr>
    </w:p>
    <w:p w14:paraId="19B54828">
      <w:pPr>
        <w:pStyle w:val="9"/>
        <w:spacing w:after="0"/>
        <w:rPr>
          <w:rFonts w:hint="eastAsia"/>
          <w:color w:val="231F20"/>
          <w:sz w:val="30"/>
        </w:rPr>
      </w:pPr>
      <w:r>
        <w:rPr>
          <w:rFonts w:hint="eastAsia"/>
          <w:color w:val="231F20"/>
          <w:sz w:val="30"/>
        </w:rPr>
        <w:t>As soon as he is, war breaks out in heaven between Michael (and his angels) and the Dragon (and his angels).</w:t>
      </w:r>
    </w:p>
    <w:p w14:paraId="32541860">
      <w:pPr>
        <w:pStyle w:val="9"/>
        <w:spacing w:after="0"/>
        <w:rPr>
          <w:rFonts w:hint="eastAsia"/>
          <w:color w:val="231F20"/>
          <w:sz w:val="30"/>
        </w:rPr>
      </w:pPr>
      <w:r>
        <w:rPr>
          <w:rFonts w:hint="eastAsia"/>
          <w:color w:val="231F20"/>
          <w:sz w:val="30"/>
        </w:rPr>
        <w:t>祂一被提上去，天上就有了争战，米迦勒（和他的使者）与龙（和它的使者）争战。</w:t>
      </w:r>
    </w:p>
    <w:p w14:paraId="4611BB6F">
      <w:pPr>
        <w:pStyle w:val="9"/>
        <w:spacing w:after="0"/>
        <w:rPr>
          <w:rFonts w:hint="eastAsia"/>
          <w:color w:val="231F20"/>
          <w:sz w:val="30"/>
        </w:rPr>
      </w:pPr>
    </w:p>
    <w:p w14:paraId="421FA5F0">
      <w:pPr>
        <w:pStyle w:val="9"/>
        <w:spacing w:after="0"/>
        <w:rPr>
          <w:rFonts w:hint="eastAsia"/>
          <w:color w:val="231F20"/>
          <w:sz w:val="30"/>
        </w:rPr>
      </w:pPr>
      <w:r>
        <w:rPr>
          <w:rFonts w:hint="eastAsia"/>
          <w:color w:val="231F20"/>
          <w:sz w:val="30"/>
        </w:rPr>
        <w:t>But the Dragon— who has hitherto successfully deceived the whole world—cannot prevail, and is cast down to the earth, along with his angels.</w:t>
      </w:r>
    </w:p>
    <w:p w14:paraId="6CD9AF3E">
      <w:pPr>
        <w:pStyle w:val="9"/>
        <w:spacing w:after="0"/>
        <w:rPr>
          <w:rFonts w:hint="eastAsia"/>
          <w:color w:val="231F20"/>
          <w:sz w:val="30"/>
        </w:rPr>
      </w:pPr>
      <w:r>
        <w:rPr>
          <w:rFonts w:hint="eastAsia"/>
          <w:color w:val="231F20"/>
          <w:sz w:val="30"/>
        </w:rPr>
        <w:t>但那龙——迄今为止成功地迷惑了全世界的——不能得胜，就被摔在地上，它的使者也一同被摔下去。</w:t>
      </w:r>
    </w:p>
    <w:p w14:paraId="005A10D6">
      <w:pPr>
        <w:pStyle w:val="9"/>
        <w:spacing w:after="0"/>
        <w:rPr>
          <w:rFonts w:hint="eastAsia"/>
          <w:color w:val="231F20"/>
          <w:sz w:val="30"/>
        </w:rPr>
      </w:pPr>
    </w:p>
    <w:p w14:paraId="5C0D8E87">
      <w:pPr>
        <w:pStyle w:val="9"/>
        <w:spacing w:after="0"/>
        <w:rPr>
          <w:rFonts w:hint="eastAsia"/>
          <w:color w:val="231F20"/>
          <w:sz w:val="30"/>
        </w:rPr>
      </w:pPr>
      <w:r>
        <w:rPr>
          <w:rFonts w:hint="eastAsia"/>
          <w:color w:val="231F20"/>
          <w:sz w:val="30"/>
        </w:rPr>
        <w:t>At this, John hears a loud voice in heaven, saying:</w:t>
      </w:r>
    </w:p>
    <w:p w14:paraId="5624F7C5">
      <w:pPr>
        <w:pStyle w:val="9"/>
        <w:spacing w:after="0"/>
        <w:rPr>
          <w:rFonts w:hint="eastAsia"/>
          <w:color w:val="231F20"/>
          <w:sz w:val="30"/>
        </w:rPr>
      </w:pPr>
      <w:r>
        <w:rPr>
          <w:rFonts w:hint="eastAsia"/>
          <w:color w:val="231F20"/>
          <w:sz w:val="30"/>
        </w:rPr>
        <w:t>这时，约翰听见在天上有大声音说：</w:t>
      </w:r>
    </w:p>
    <w:p w14:paraId="01C062DE">
      <w:pPr>
        <w:pStyle w:val="9"/>
        <w:spacing w:after="0"/>
        <w:rPr>
          <w:rFonts w:hint="eastAsia"/>
          <w:color w:val="231F20"/>
          <w:sz w:val="30"/>
        </w:rPr>
      </w:pPr>
    </w:p>
    <w:p w14:paraId="0167FC2D">
      <w:pPr>
        <w:pStyle w:val="9"/>
        <w:spacing w:after="0"/>
        <w:rPr>
          <w:rFonts w:hint="eastAsia"/>
          <w:color w:val="231F20"/>
          <w:sz w:val="30"/>
        </w:rPr>
      </w:pPr>
      <w:r>
        <w:rPr>
          <w:rFonts w:hint="eastAsia"/>
          <w:color w:val="231F20"/>
          <w:sz w:val="30"/>
        </w:rPr>
        <w:t>Now salvation and strength and the kingdom of our God and the power of His Christ have come, for the accuser of our brethren, who accused them before our God day and night, has been cast down.</w:t>
      </w:r>
    </w:p>
    <w:p w14:paraId="755104F7">
      <w:pPr>
        <w:pStyle w:val="9"/>
        <w:spacing w:after="0"/>
        <w:rPr>
          <w:rFonts w:hint="eastAsia"/>
          <w:color w:val="231F20"/>
          <w:sz w:val="30"/>
        </w:rPr>
      </w:pPr>
      <w:r>
        <w:rPr>
          <w:rFonts w:hint="eastAsia"/>
          <w:color w:val="231F20"/>
          <w:sz w:val="30"/>
        </w:rPr>
        <w:t>我上帝的救恩、能力、国度，并祂基督的权柄，现在都来到了！因为那在我们上帝面前昼夜控告我们弟兄的，已经被摔下去了。</w:t>
      </w:r>
    </w:p>
    <w:p w14:paraId="2C10241F">
      <w:pPr>
        <w:pStyle w:val="9"/>
        <w:spacing w:after="0"/>
        <w:rPr>
          <w:rFonts w:hint="eastAsia"/>
          <w:color w:val="231F20"/>
          <w:sz w:val="30"/>
        </w:rPr>
      </w:pPr>
    </w:p>
    <w:p w14:paraId="26650973">
      <w:pPr>
        <w:pStyle w:val="9"/>
        <w:spacing w:after="0"/>
        <w:rPr>
          <w:rFonts w:hint="eastAsia"/>
          <w:color w:val="231F20"/>
          <w:sz w:val="30"/>
        </w:rPr>
      </w:pPr>
      <w:r>
        <w:rPr>
          <w:rFonts w:hint="eastAsia"/>
          <w:color w:val="231F20"/>
          <w:sz w:val="30"/>
        </w:rPr>
        <w:t>—Rev. 12:10-12; John 12:31-32</w:t>
      </w:r>
    </w:p>
    <w:p w14:paraId="54323605">
      <w:pPr>
        <w:pStyle w:val="9"/>
        <w:spacing w:after="0"/>
        <w:rPr>
          <w:rFonts w:hint="eastAsia"/>
          <w:color w:val="231F20"/>
          <w:sz w:val="30"/>
        </w:rPr>
      </w:pPr>
      <w:r>
        <w:rPr>
          <w:rFonts w:hint="eastAsia"/>
          <w:color w:val="231F20"/>
          <w:sz w:val="30"/>
        </w:rPr>
        <w:t>—启 12:10-12; 约 12:31-32</w:t>
      </w:r>
    </w:p>
    <w:p w14:paraId="7DEEAE46">
      <w:pPr>
        <w:pStyle w:val="9"/>
        <w:spacing w:after="0"/>
        <w:rPr>
          <w:rFonts w:hint="eastAsia"/>
          <w:color w:val="231F20"/>
          <w:sz w:val="30"/>
        </w:rPr>
      </w:pPr>
    </w:p>
    <w:p w14:paraId="526654C5">
      <w:pPr>
        <w:pStyle w:val="9"/>
        <w:spacing w:after="0"/>
        <w:rPr>
          <w:rFonts w:hint="eastAsia"/>
          <w:color w:val="231F20"/>
          <w:sz w:val="30"/>
        </w:rPr>
      </w:pPr>
      <w:r>
        <w:rPr>
          <w:rFonts w:hint="eastAsia"/>
          <w:color w:val="231F20"/>
          <w:sz w:val="30"/>
        </w:rPr>
        <w:t>What a powerful picture this is!</w:t>
      </w:r>
    </w:p>
    <w:p w14:paraId="19F37B7D">
      <w:pPr>
        <w:pStyle w:val="9"/>
        <w:spacing w:after="0"/>
        <w:rPr>
          <w:rFonts w:hint="eastAsia"/>
          <w:color w:val="231F20"/>
          <w:sz w:val="30"/>
        </w:rPr>
      </w:pPr>
      <w:r>
        <w:rPr>
          <w:rFonts w:hint="eastAsia"/>
          <w:color w:val="231F20"/>
          <w:sz w:val="30"/>
        </w:rPr>
        <w:t>这是一幅多么有力的图画！</w:t>
      </w:r>
    </w:p>
    <w:p w14:paraId="0FBEDB37">
      <w:pPr>
        <w:pStyle w:val="9"/>
        <w:spacing w:after="0"/>
        <w:rPr>
          <w:rFonts w:hint="eastAsia"/>
          <w:color w:val="231F20"/>
          <w:sz w:val="30"/>
        </w:rPr>
      </w:pPr>
    </w:p>
    <w:p w14:paraId="467765D5">
      <w:pPr>
        <w:pStyle w:val="9"/>
        <w:spacing w:after="0"/>
        <w:rPr>
          <w:rFonts w:hint="eastAsia"/>
          <w:color w:val="231F20"/>
          <w:sz w:val="30"/>
        </w:rPr>
      </w:pPr>
      <w:r>
        <w:rPr>
          <w:rFonts w:hint="eastAsia"/>
          <w:color w:val="231F20"/>
          <w:sz w:val="30"/>
        </w:rPr>
        <w:t>Christ, as High Priest and Sacrifice, has entered heaven, removing every legal barrier to the redemptive rescue and restoration that is the essence of the Kingdom.</w:t>
      </w:r>
    </w:p>
    <w:p w14:paraId="060B1D8E">
      <w:pPr>
        <w:pStyle w:val="9"/>
        <w:spacing w:after="0"/>
        <w:rPr>
          <w:rFonts w:hint="eastAsia"/>
          <w:color w:val="231F20"/>
          <w:sz w:val="30"/>
        </w:rPr>
      </w:pPr>
      <w:r>
        <w:rPr>
          <w:rFonts w:hint="eastAsia"/>
          <w:color w:val="231F20"/>
          <w:sz w:val="30"/>
        </w:rPr>
        <w:t>基督，作为大祭司和祭物，已经进入天上，除去了通往救赎性拯救和恢复——即国度本质——的所有法理障碍。</w:t>
      </w:r>
    </w:p>
    <w:p w14:paraId="75D88F8F">
      <w:pPr>
        <w:pStyle w:val="9"/>
        <w:spacing w:after="0"/>
        <w:rPr>
          <w:rFonts w:hint="eastAsia"/>
          <w:color w:val="231F20"/>
          <w:sz w:val="30"/>
        </w:rPr>
      </w:pPr>
    </w:p>
    <w:p w14:paraId="2911F3C7">
      <w:pPr>
        <w:pStyle w:val="9"/>
        <w:spacing w:after="0"/>
        <w:rPr>
          <w:rFonts w:hint="eastAsia"/>
          <w:color w:val="231F20"/>
          <w:sz w:val="30"/>
        </w:rPr>
      </w:pPr>
      <w:r>
        <w:rPr>
          <w:rFonts w:hint="eastAsia"/>
          <w:color w:val="231F20"/>
          <w:sz w:val="30"/>
        </w:rPr>
        <w:t>Henceforth, Satan has no legal grounds upon which to accuse God’s people, or to hold them captive by means of his various deceptions.</w:t>
      </w:r>
    </w:p>
    <w:p w14:paraId="4544096D">
      <w:pPr>
        <w:pStyle w:val="9"/>
        <w:spacing w:after="0"/>
        <w:rPr>
          <w:rFonts w:hint="eastAsia"/>
          <w:color w:val="231F20"/>
          <w:sz w:val="30"/>
        </w:rPr>
      </w:pPr>
      <w:r>
        <w:rPr>
          <w:rFonts w:hint="eastAsia"/>
          <w:color w:val="231F20"/>
          <w:sz w:val="30"/>
        </w:rPr>
        <w:t>从此以后，撒但再没有合法的理由来控告上帝的子民，或通过他各种的欺骗来囚禁他们。</w:t>
      </w:r>
    </w:p>
    <w:p w14:paraId="70C84EA2">
      <w:pPr>
        <w:pStyle w:val="9"/>
        <w:spacing w:after="0"/>
        <w:rPr>
          <w:rFonts w:hint="eastAsia"/>
          <w:color w:val="231F20"/>
          <w:sz w:val="30"/>
        </w:rPr>
      </w:pPr>
    </w:p>
    <w:p w14:paraId="13B5C263">
      <w:pPr>
        <w:pStyle w:val="9"/>
        <w:spacing w:after="0"/>
        <w:rPr>
          <w:rFonts w:hint="eastAsia"/>
          <w:color w:val="231F20"/>
          <w:sz w:val="30"/>
        </w:rPr>
      </w:pPr>
      <w:r>
        <w:rPr>
          <w:rFonts w:hint="eastAsia"/>
          <w:color w:val="231F20"/>
          <w:sz w:val="30"/>
        </w:rPr>
        <w:t>Therefore, by the Spirit, Christ sends out his Church to preach this Good News; and by the same Spirit, he also enables his elect of every nation to believe it.</w:t>
      </w:r>
    </w:p>
    <w:p w14:paraId="1B694C9C">
      <w:pPr>
        <w:pStyle w:val="9"/>
        <w:spacing w:after="0"/>
        <w:rPr>
          <w:rFonts w:hint="eastAsia"/>
          <w:color w:val="231F20"/>
          <w:sz w:val="30"/>
        </w:rPr>
      </w:pPr>
      <w:r>
        <w:rPr>
          <w:rFonts w:hint="eastAsia"/>
          <w:color w:val="231F20"/>
          <w:sz w:val="30"/>
        </w:rPr>
        <w:t>因此，藉着圣灵，基督差遣祂的教会去传讲这福音；并藉着同一位圣灵，祂也使祂在各国的选民能够相信它。</w:t>
      </w:r>
    </w:p>
    <w:p w14:paraId="6D29008F">
      <w:pPr>
        <w:pStyle w:val="9"/>
        <w:spacing w:after="0"/>
        <w:rPr>
          <w:rFonts w:hint="eastAsia"/>
          <w:color w:val="231F20"/>
          <w:sz w:val="30"/>
        </w:rPr>
      </w:pPr>
    </w:p>
    <w:p w14:paraId="6E40E38B">
      <w:pPr>
        <w:pStyle w:val="9"/>
        <w:spacing w:after="0"/>
        <w:rPr>
          <w:rFonts w:hint="eastAsia"/>
          <w:color w:val="231F20"/>
          <w:sz w:val="30"/>
        </w:rPr>
      </w:pPr>
      <w:r>
        <w:rPr>
          <w:rFonts w:hint="eastAsia"/>
          <w:color w:val="231F20"/>
          <w:sz w:val="30"/>
        </w:rPr>
        <w:t>In other words, through the preaching of the Gospel, Christ lawfully rescues God’s people from every deceiving shackle of the Domain of Darkness, transfers them into the spiritual Kingdom of the Son, and restores them to eternal life in union with the triune God (Col. 1:13).</w:t>
      </w:r>
    </w:p>
    <w:p w14:paraId="6C2B3CB4">
      <w:pPr>
        <w:pStyle w:val="9"/>
        <w:spacing w:after="0"/>
        <w:rPr>
          <w:rFonts w:hint="eastAsia"/>
          <w:color w:val="231F20"/>
          <w:sz w:val="30"/>
        </w:rPr>
      </w:pPr>
      <w:r>
        <w:rPr>
          <w:rFonts w:hint="eastAsia"/>
          <w:color w:val="231F20"/>
          <w:sz w:val="30"/>
        </w:rPr>
        <w:t>换句话说，通过福音的传讲，基督合法地将上帝的子民从黑暗权势的每一个欺骗性枷锁中拯救出来，将他们迁入圣子的属灵国度，并恢复他们到与三一上帝联合的永生中（西 1:13）。</w:t>
      </w:r>
    </w:p>
    <w:p w14:paraId="6B0FF11D">
      <w:pPr>
        <w:pStyle w:val="9"/>
        <w:spacing w:after="0"/>
        <w:rPr>
          <w:rFonts w:hint="eastAsia"/>
          <w:color w:val="231F20"/>
          <w:sz w:val="30"/>
        </w:rPr>
      </w:pPr>
    </w:p>
    <w:p w14:paraId="4CE96C71">
      <w:pPr>
        <w:pStyle w:val="9"/>
        <w:spacing w:after="0"/>
        <w:rPr>
          <w:rFonts w:hint="eastAsia"/>
          <w:color w:val="231F20"/>
          <w:sz w:val="30"/>
        </w:rPr>
      </w:pPr>
      <w:r>
        <w:rPr>
          <w:rFonts w:hint="eastAsia"/>
          <w:color w:val="231F20"/>
          <w:sz w:val="30"/>
        </w:rPr>
        <w:t>As a result, ever since the Day of Pentecost the Kingdom of Satan has been continually falling, for which reason he rages in fury against the Church Militant, knowing that his time is short (Rev. 12:12- 17).</w:t>
      </w:r>
    </w:p>
    <w:p w14:paraId="54ECDB56">
      <w:pPr>
        <w:pStyle w:val="9"/>
        <w:spacing w:after="0"/>
        <w:rPr>
          <w:rFonts w:hint="eastAsia"/>
          <w:color w:val="231F20"/>
          <w:sz w:val="30"/>
        </w:rPr>
      </w:pPr>
      <w:r>
        <w:rPr>
          <w:rFonts w:hint="eastAsia"/>
          <w:color w:val="231F20"/>
          <w:sz w:val="30"/>
        </w:rPr>
        <w:t>结果，自从五旬节那天起，撒但的国度就不断地败落，因此他向争战的教会大发烈怒，因为知道自己的时候不多了（启 12:12-17）。</w:t>
      </w:r>
    </w:p>
    <w:p w14:paraId="4595A058">
      <w:pPr>
        <w:pStyle w:val="9"/>
        <w:spacing w:after="0"/>
        <w:rPr>
          <w:rFonts w:hint="eastAsia"/>
          <w:color w:val="231F20"/>
          <w:sz w:val="30"/>
        </w:rPr>
      </w:pPr>
    </w:p>
    <w:p w14:paraId="7E4835B3">
      <w:pPr>
        <w:pStyle w:val="9"/>
        <w:spacing w:after="0"/>
        <w:rPr>
          <w:rFonts w:hint="eastAsia"/>
          <w:color w:val="231F20"/>
          <w:sz w:val="30"/>
        </w:rPr>
      </w:pPr>
      <w:r>
        <w:rPr>
          <w:rFonts w:hint="eastAsia"/>
          <w:color w:val="231F20"/>
          <w:sz w:val="30"/>
        </w:rPr>
        <w:t>But the saints are not to fear.</w:t>
      </w:r>
    </w:p>
    <w:p w14:paraId="731BF330">
      <w:pPr>
        <w:pStyle w:val="9"/>
        <w:spacing w:after="0"/>
        <w:rPr>
          <w:rFonts w:hint="eastAsia"/>
          <w:color w:val="231F20"/>
          <w:sz w:val="30"/>
        </w:rPr>
      </w:pPr>
      <w:r>
        <w:rPr>
          <w:rFonts w:hint="eastAsia"/>
          <w:color w:val="231F20"/>
          <w:sz w:val="30"/>
        </w:rPr>
        <w:t>但圣徒们不必惧怕。</w:t>
      </w:r>
    </w:p>
    <w:p w14:paraId="730A8FD0">
      <w:pPr>
        <w:pStyle w:val="9"/>
        <w:spacing w:after="0"/>
        <w:rPr>
          <w:rFonts w:hint="eastAsia"/>
          <w:color w:val="231F20"/>
          <w:sz w:val="30"/>
        </w:rPr>
      </w:pPr>
    </w:p>
    <w:p w14:paraId="4EBABD2D">
      <w:pPr>
        <w:pStyle w:val="9"/>
        <w:spacing w:after="0"/>
        <w:rPr>
          <w:rFonts w:hint="eastAsia"/>
          <w:color w:val="231F20"/>
          <w:sz w:val="30"/>
        </w:rPr>
      </w:pPr>
      <w:r>
        <w:rPr>
          <w:rFonts w:hint="eastAsia"/>
          <w:color w:val="231F20"/>
          <w:sz w:val="30"/>
        </w:rPr>
        <w:t>Indeed, they are to rejoice!</w:t>
      </w:r>
    </w:p>
    <w:p w14:paraId="7C9F9937">
      <w:pPr>
        <w:pStyle w:val="9"/>
        <w:spacing w:after="0"/>
        <w:rPr>
          <w:rFonts w:hint="eastAsia"/>
          <w:color w:val="231F20"/>
          <w:sz w:val="30"/>
        </w:rPr>
      </w:pPr>
      <w:r>
        <w:rPr>
          <w:rFonts w:hint="eastAsia"/>
          <w:color w:val="231F20"/>
          <w:sz w:val="30"/>
        </w:rPr>
        <w:t>事实上，他们应当欢喜！</w:t>
      </w:r>
    </w:p>
    <w:p w14:paraId="2FAC9EF1">
      <w:pPr>
        <w:pStyle w:val="9"/>
        <w:spacing w:after="0"/>
        <w:rPr>
          <w:rFonts w:hint="eastAsia"/>
          <w:color w:val="231F20"/>
          <w:sz w:val="30"/>
        </w:rPr>
      </w:pPr>
    </w:p>
    <w:p w14:paraId="474CD056">
      <w:pPr>
        <w:pStyle w:val="9"/>
        <w:spacing w:after="0"/>
        <w:rPr>
          <w:rFonts w:hint="eastAsia"/>
          <w:color w:val="231F20"/>
          <w:sz w:val="30"/>
        </w:rPr>
      </w:pPr>
      <w:r>
        <w:rPr>
          <w:rFonts w:hint="eastAsia"/>
          <w:color w:val="231F20"/>
          <w:sz w:val="30"/>
        </w:rPr>
        <w:t>Because of their High Priest in heaven, the accuser cannot (successfully) condemn; and because of their High King in heaven, the tempter cannot retake and control.</w:t>
      </w:r>
    </w:p>
    <w:p w14:paraId="5D1B2AFD">
      <w:pPr>
        <w:pStyle w:val="9"/>
        <w:spacing w:after="0"/>
        <w:rPr>
          <w:rFonts w:hint="eastAsia"/>
          <w:color w:val="231F20"/>
          <w:sz w:val="30"/>
        </w:rPr>
      </w:pPr>
      <w:r>
        <w:rPr>
          <w:rFonts w:hint="eastAsia"/>
          <w:color w:val="231F20"/>
          <w:sz w:val="30"/>
        </w:rPr>
        <w:t>因为他们在天上有大祭司，控告者不能（成功地）定罪；又因为他们在天上有至高君王，试探者不能夺回和控制。</w:t>
      </w:r>
    </w:p>
    <w:p w14:paraId="7A892DC8">
      <w:pPr>
        <w:pStyle w:val="9"/>
        <w:spacing w:after="0"/>
        <w:rPr>
          <w:rFonts w:hint="eastAsia"/>
          <w:color w:val="231F20"/>
          <w:sz w:val="30"/>
        </w:rPr>
      </w:pPr>
    </w:p>
    <w:p w14:paraId="07884581">
      <w:pPr>
        <w:pStyle w:val="9"/>
        <w:spacing w:after="0"/>
        <w:rPr>
          <w:rFonts w:hint="eastAsia"/>
          <w:color w:val="231F20"/>
          <w:sz w:val="30"/>
        </w:rPr>
      </w:pPr>
      <w:r>
        <w:rPr>
          <w:rFonts w:hint="eastAsia"/>
          <w:color w:val="231F20"/>
          <w:sz w:val="30"/>
        </w:rPr>
        <w:t>Accordingly, throughout the Era of Proclamation and Probation, Christ will build his Church, and will keep his Church (Mt. 16:18, John 10:16, John 10:28-30).</w:t>
      </w:r>
    </w:p>
    <w:p w14:paraId="423EB443">
      <w:pPr>
        <w:pStyle w:val="9"/>
        <w:spacing w:after="0"/>
        <w:rPr>
          <w:rFonts w:hint="eastAsia"/>
          <w:color w:val="231F20"/>
          <w:sz w:val="30"/>
        </w:rPr>
      </w:pPr>
      <w:r>
        <w:rPr>
          <w:rFonts w:hint="eastAsia"/>
          <w:color w:val="231F20"/>
          <w:sz w:val="30"/>
        </w:rPr>
        <w:t>因此，在整个宣讲与察验的时代，基督将建立祂的教会，并将保守祂的教会（太 16:18, 约 10:16, 约 10:28-30）。</w:t>
      </w:r>
    </w:p>
    <w:p w14:paraId="4E35ACA4">
      <w:pPr>
        <w:pStyle w:val="9"/>
        <w:spacing w:after="0"/>
        <w:rPr>
          <w:rFonts w:hint="eastAsia"/>
          <w:color w:val="231F20"/>
          <w:sz w:val="30"/>
        </w:rPr>
      </w:pPr>
    </w:p>
    <w:p w14:paraId="39AB77F5">
      <w:pPr>
        <w:pStyle w:val="9"/>
        <w:spacing w:after="0"/>
        <w:rPr>
          <w:rFonts w:hint="eastAsia"/>
          <w:color w:val="231F20"/>
          <w:sz w:val="30"/>
        </w:rPr>
      </w:pPr>
      <w:r>
        <w:rPr>
          <w:rFonts w:hint="eastAsia"/>
          <w:color w:val="231F20"/>
          <w:sz w:val="30"/>
        </w:rPr>
        <w:t>The Kingdom of our God and the power of his Christ have come, and they will infallibly continue to come, until that happy Day when they come in glorious fullness at the High King’s return (Rev. 12:11, 14, 16).</w:t>
      </w:r>
    </w:p>
    <w:p w14:paraId="2C558902">
      <w:pPr>
        <w:pStyle w:val="9"/>
        <w:spacing w:after="0"/>
        <w:rPr>
          <w:rFonts w:hint="eastAsia"/>
          <w:color w:val="231F20"/>
          <w:sz w:val="30"/>
        </w:rPr>
      </w:pPr>
      <w:r>
        <w:rPr>
          <w:rFonts w:hint="eastAsia"/>
          <w:color w:val="231F20"/>
          <w:sz w:val="30"/>
        </w:rPr>
        <w:t>我们上帝的国度和祂基督的权柄已经来到，并且它们将万无一失地继续降临，直到那个快乐的日子，当它们在至高君王再来时以荣耀的丰满降临（启 12:11, 14, 16）。</w:t>
      </w:r>
    </w:p>
    <w:p w14:paraId="75B95E0C">
      <w:pPr>
        <w:pStyle w:val="9"/>
        <w:spacing w:after="0"/>
        <w:rPr>
          <w:rFonts w:hint="eastAsia"/>
          <w:color w:val="231F20"/>
          <w:sz w:val="30"/>
        </w:rPr>
      </w:pPr>
    </w:p>
    <w:p w14:paraId="6BAB602B">
      <w:pPr>
        <w:pStyle w:val="9"/>
        <w:spacing w:after="0"/>
        <w:rPr>
          <w:rFonts w:hint="eastAsia"/>
          <w:color w:val="231F20"/>
          <w:sz w:val="30"/>
        </w:rPr>
      </w:pPr>
      <w:r>
        <w:rPr>
          <w:rFonts w:hint="eastAsia"/>
          <w:color w:val="231F20"/>
          <w:sz w:val="30"/>
        </w:rPr>
        <w:t>Parousia: The Kingdom Consummated</w:t>
      </w:r>
    </w:p>
    <w:p w14:paraId="65A74AD5">
      <w:pPr>
        <w:pStyle w:val="9"/>
        <w:spacing w:after="0"/>
        <w:rPr>
          <w:rFonts w:hint="eastAsia"/>
          <w:color w:val="231F20"/>
          <w:sz w:val="30"/>
        </w:rPr>
      </w:pPr>
      <w:r>
        <w:rPr>
          <w:rFonts w:hint="eastAsia"/>
          <w:color w:val="231F20"/>
          <w:sz w:val="30"/>
        </w:rPr>
        <w:t>再来：国度的最终成全</w:t>
      </w:r>
    </w:p>
    <w:p w14:paraId="278F6F73">
      <w:pPr>
        <w:pStyle w:val="9"/>
        <w:spacing w:after="0"/>
        <w:rPr>
          <w:rFonts w:hint="eastAsia"/>
          <w:color w:val="231F20"/>
          <w:sz w:val="30"/>
        </w:rPr>
      </w:pPr>
    </w:p>
    <w:p w14:paraId="0563700A">
      <w:pPr>
        <w:pStyle w:val="9"/>
        <w:spacing w:after="0"/>
        <w:rPr>
          <w:rFonts w:hint="eastAsia"/>
          <w:color w:val="231F20"/>
          <w:sz w:val="30"/>
        </w:rPr>
      </w:pPr>
      <w:r>
        <w:rPr>
          <w:rFonts w:hint="eastAsia"/>
          <w:color w:val="231F20"/>
          <w:sz w:val="30"/>
        </w:rPr>
        <w:t>As we have seen in text after text, the third and final stage of the coming of the Kingdom is the Parousia: the return to earth of the glorified Lord Jesus Christ at the end of the present evil age, in order to raise the dead, transform the living, judge the world in righteousness, purge the present cosmos by fire, and create a glorious new world, the eternal home of the redeemed.</w:t>
      </w:r>
    </w:p>
    <w:p w14:paraId="2BC040BD">
      <w:pPr>
        <w:pStyle w:val="9"/>
        <w:spacing w:after="0"/>
        <w:rPr>
          <w:rFonts w:hint="eastAsia"/>
          <w:color w:val="231F20"/>
          <w:sz w:val="30"/>
        </w:rPr>
      </w:pPr>
      <w:r>
        <w:rPr>
          <w:rFonts w:hint="eastAsia"/>
          <w:color w:val="231F20"/>
          <w:sz w:val="30"/>
        </w:rPr>
        <w:t>正如我们在一段又一段的经文中所见，国度降临的第三个也是最后一个阶段是基督的再来：即在现今邪恶世代的末了，得荣耀的主耶稣基督回到地上，为要使死人复活，改变活着的人，在公义中审判世界，用火洁净现今的宇宙，并创造一个荣耀的新世界，即被赎者的永恒家园。</w:t>
      </w:r>
    </w:p>
    <w:p w14:paraId="1F93C487">
      <w:pPr>
        <w:pStyle w:val="9"/>
        <w:spacing w:after="0"/>
        <w:rPr>
          <w:rFonts w:hint="eastAsia"/>
          <w:color w:val="231F20"/>
          <w:sz w:val="30"/>
        </w:rPr>
      </w:pPr>
    </w:p>
    <w:p w14:paraId="4887287F">
      <w:pPr>
        <w:pStyle w:val="9"/>
        <w:spacing w:after="0"/>
        <w:rPr>
          <w:rFonts w:hint="eastAsia"/>
          <w:color w:val="231F20"/>
          <w:sz w:val="30"/>
        </w:rPr>
      </w:pPr>
      <w:r>
        <w:rPr>
          <w:rFonts w:hint="eastAsia"/>
          <w:color w:val="231F20"/>
          <w:sz w:val="30"/>
        </w:rPr>
        <w:t>Here, all of God’s purposes in the Covenant of Redemption and the Covenant of Grace are finally fulfilled.</w:t>
      </w:r>
    </w:p>
    <w:p w14:paraId="2CEC8CC6">
      <w:pPr>
        <w:pStyle w:val="9"/>
        <w:spacing w:after="0"/>
        <w:rPr>
          <w:rFonts w:hint="eastAsia"/>
          <w:color w:val="231F20"/>
          <w:sz w:val="30"/>
        </w:rPr>
      </w:pPr>
      <w:r>
        <w:rPr>
          <w:rFonts w:hint="eastAsia"/>
          <w:color w:val="231F20"/>
          <w:sz w:val="30"/>
        </w:rPr>
        <w:t>在此，上帝在救赎之约和恩典之约中的所有旨意都最终得以成就。</w:t>
      </w:r>
    </w:p>
    <w:p w14:paraId="7D545ADE">
      <w:pPr>
        <w:pStyle w:val="9"/>
        <w:spacing w:after="0"/>
        <w:rPr>
          <w:rFonts w:hint="eastAsia"/>
          <w:color w:val="231F20"/>
          <w:sz w:val="30"/>
        </w:rPr>
      </w:pPr>
    </w:p>
    <w:p w14:paraId="2DAA5C40">
      <w:pPr>
        <w:pStyle w:val="9"/>
        <w:spacing w:after="0"/>
        <w:rPr>
          <w:rFonts w:hint="eastAsia"/>
          <w:color w:val="231F20"/>
          <w:sz w:val="30"/>
        </w:rPr>
      </w:pPr>
      <w:r>
        <w:rPr>
          <w:rFonts w:hint="eastAsia"/>
          <w:color w:val="231F20"/>
          <w:sz w:val="30"/>
        </w:rPr>
        <w:t>Here the exalted Christ fully and finally places all (redeemed) things under his cosmic headship.</w:t>
      </w:r>
    </w:p>
    <w:p w14:paraId="5F3EE7F8">
      <w:pPr>
        <w:pStyle w:val="9"/>
        <w:spacing w:after="0"/>
        <w:rPr>
          <w:rFonts w:hint="eastAsia"/>
          <w:color w:val="231F20"/>
          <w:sz w:val="30"/>
        </w:rPr>
      </w:pPr>
      <w:r>
        <w:rPr>
          <w:rFonts w:hint="eastAsia"/>
          <w:color w:val="231F20"/>
          <w:sz w:val="30"/>
        </w:rPr>
        <w:t>在此，被高举的基督完全且最终地将所有（被赎的）事物都置于祂宇宙的元首地位之下。</w:t>
      </w:r>
    </w:p>
    <w:p w14:paraId="33F8A650">
      <w:pPr>
        <w:pStyle w:val="9"/>
        <w:spacing w:after="0"/>
        <w:rPr>
          <w:rFonts w:hint="eastAsia"/>
          <w:color w:val="231F20"/>
          <w:sz w:val="30"/>
        </w:rPr>
      </w:pPr>
    </w:p>
    <w:p w14:paraId="6838D3C0">
      <w:pPr>
        <w:pStyle w:val="9"/>
        <w:spacing w:after="0"/>
        <w:rPr>
          <w:rFonts w:hint="eastAsia"/>
          <w:color w:val="231F20"/>
          <w:sz w:val="30"/>
        </w:rPr>
      </w:pPr>
      <w:r>
        <w:rPr>
          <w:rFonts w:hint="eastAsia"/>
          <w:color w:val="231F20"/>
          <w:sz w:val="30"/>
        </w:rPr>
        <w:t>Here he fully and finally rescues those things from every spiritual and physical enemy.</w:t>
      </w:r>
    </w:p>
    <w:p w14:paraId="3A2A681C">
      <w:pPr>
        <w:pStyle w:val="9"/>
        <w:spacing w:after="0"/>
        <w:rPr>
          <w:rFonts w:hint="eastAsia"/>
          <w:color w:val="231F20"/>
          <w:sz w:val="30"/>
        </w:rPr>
      </w:pPr>
      <w:r>
        <w:rPr>
          <w:rFonts w:hint="eastAsia"/>
          <w:color w:val="231F20"/>
          <w:sz w:val="30"/>
        </w:rPr>
        <w:t>在此祂完全且最终地将那些事物从每一个属灵和属肉体的仇敌中拯救出来。</w:t>
      </w:r>
    </w:p>
    <w:p w14:paraId="01022608">
      <w:pPr>
        <w:pStyle w:val="9"/>
        <w:spacing w:after="0"/>
        <w:rPr>
          <w:rFonts w:hint="eastAsia"/>
          <w:color w:val="231F20"/>
          <w:sz w:val="30"/>
        </w:rPr>
      </w:pPr>
    </w:p>
    <w:p w14:paraId="1A9B7BEB">
      <w:pPr>
        <w:pStyle w:val="9"/>
        <w:spacing w:after="0"/>
        <w:rPr>
          <w:rFonts w:hint="eastAsia"/>
          <w:color w:val="231F20"/>
          <w:sz w:val="30"/>
        </w:rPr>
      </w:pPr>
      <w:r>
        <w:rPr>
          <w:rFonts w:hint="eastAsia"/>
          <w:color w:val="231F20"/>
          <w:sz w:val="30"/>
        </w:rPr>
        <w:t>And here he fully and finally restores them to every spiritual and physical blessing of the direct reign of God.</w:t>
      </w:r>
    </w:p>
    <w:p w14:paraId="0863873B">
      <w:pPr>
        <w:pStyle w:val="9"/>
        <w:spacing w:after="0"/>
        <w:rPr>
          <w:rFonts w:hint="eastAsia"/>
          <w:color w:val="231F20"/>
          <w:sz w:val="30"/>
        </w:rPr>
      </w:pPr>
      <w:r>
        <w:rPr>
          <w:rFonts w:hint="eastAsia"/>
          <w:color w:val="231F20"/>
          <w:sz w:val="30"/>
        </w:rPr>
        <w:t>在此祂完全且最终地将他们恢复到上帝直接统治的每一个属灵和属肉体的祝福中。</w:t>
      </w:r>
    </w:p>
    <w:p w14:paraId="6DB333ED">
      <w:pPr>
        <w:pStyle w:val="9"/>
        <w:spacing w:after="0"/>
        <w:rPr>
          <w:rFonts w:hint="eastAsia"/>
          <w:color w:val="231F20"/>
          <w:sz w:val="30"/>
        </w:rPr>
      </w:pPr>
    </w:p>
    <w:p w14:paraId="6258D08D">
      <w:pPr>
        <w:pStyle w:val="9"/>
        <w:spacing w:after="0"/>
        <w:rPr>
          <w:rFonts w:hint="eastAsia"/>
          <w:color w:val="231F20"/>
          <w:sz w:val="30"/>
        </w:rPr>
      </w:pPr>
      <w:r>
        <w:rPr>
          <w:rFonts w:hint="eastAsia"/>
          <w:color w:val="231F20"/>
          <w:sz w:val="30"/>
        </w:rPr>
        <w:t>In short, here Christ himself brings in the Kingdom in its full and final form, the form in which he is pleased to deliver it up to the Father, so that God—throughout the endless ages to come—may be all in all.</w:t>
      </w:r>
    </w:p>
    <w:p w14:paraId="7CFDB878">
      <w:pPr>
        <w:pStyle w:val="9"/>
        <w:spacing w:after="0"/>
        <w:rPr>
          <w:rFonts w:hint="eastAsia"/>
          <w:color w:val="231F20"/>
          <w:sz w:val="30"/>
        </w:rPr>
      </w:pPr>
      <w:r>
        <w:rPr>
          <w:rFonts w:hint="eastAsia"/>
          <w:color w:val="231F20"/>
          <w:sz w:val="30"/>
        </w:rPr>
        <w:t>简而言之，在此基督亲自以其完整和最终的形式带入国度，祂乐意将这种形式的国度交与父，好叫上帝——在将要来的无尽世代中——可以在万有之中，又在万有之上。</w:t>
      </w:r>
    </w:p>
    <w:p w14:paraId="181C52D0">
      <w:pPr>
        <w:pStyle w:val="9"/>
        <w:spacing w:after="0"/>
        <w:rPr>
          <w:rFonts w:hint="eastAsia"/>
          <w:color w:val="231F20"/>
          <w:sz w:val="30"/>
        </w:rPr>
      </w:pPr>
    </w:p>
    <w:p w14:paraId="539C73C2">
      <w:pPr>
        <w:pStyle w:val="9"/>
        <w:spacing w:after="0"/>
        <w:rPr>
          <w:rFonts w:hint="eastAsia"/>
          <w:color w:val="231F20"/>
          <w:sz w:val="30"/>
        </w:rPr>
      </w:pPr>
      <w:r>
        <w:rPr>
          <w:rFonts w:hint="eastAsia"/>
          <w:color w:val="231F20"/>
          <w:sz w:val="30"/>
        </w:rPr>
        <w:t>Conclusion</w:t>
      </w:r>
    </w:p>
    <w:p w14:paraId="01C1326D">
      <w:pPr>
        <w:pStyle w:val="9"/>
        <w:spacing w:after="0"/>
        <w:rPr>
          <w:rFonts w:hint="eastAsia"/>
          <w:color w:val="231F20"/>
          <w:sz w:val="30"/>
        </w:rPr>
      </w:pPr>
      <w:r>
        <w:rPr>
          <w:rFonts w:hint="eastAsia"/>
          <w:color w:val="231F20"/>
          <w:sz w:val="30"/>
        </w:rPr>
        <w:t>结论</w:t>
      </w:r>
    </w:p>
    <w:p w14:paraId="4A596103">
      <w:pPr>
        <w:pStyle w:val="9"/>
        <w:spacing w:after="0"/>
        <w:rPr>
          <w:rFonts w:hint="eastAsia"/>
          <w:color w:val="231F20"/>
          <w:sz w:val="30"/>
        </w:rPr>
      </w:pPr>
    </w:p>
    <w:p w14:paraId="605AFA8B">
      <w:pPr>
        <w:pStyle w:val="9"/>
        <w:spacing w:after="0"/>
        <w:rPr>
          <w:rFonts w:hint="eastAsia"/>
          <w:color w:val="231F20"/>
          <w:sz w:val="30"/>
        </w:rPr>
      </w:pPr>
      <w:r>
        <w:rPr>
          <w:rFonts w:hint="eastAsia"/>
          <w:color w:val="231F20"/>
          <w:sz w:val="30"/>
        </w:rPr>
        <w:t>Our theme in this chapter has been the coming of the Kingdom.</w:t>
      </w:r>
    </w:p>
    <w:p w14:paraId="5F05134E">
      <w:pPr>
        <w:pStyle w:val="9"/>
        <w:spacing w:after="0"/>
        <w:rPr>
          <w:rFonts w:hint="eastAsia"/>
          <w:color w:val="231F20"/>
          <w:sz w:val="30"/>
        </w:rPr>
      </w:pPr>
      <w:r>
        <w:rPr>
          <w:rFonts w:hint="eastAsia"/>
          <w:color w:val="231F20"/>
          <w:sz w:val="30"/>
        </w:rPr>
        <w:t>本章的主题是国度的降临。</w:t>
      </w:r>
    </w:p>
    <w:p w14:paraId="7589CCA1">
      <w:pPr>
        <w:pStyle w:val="9"/>
        <w:spacing w:after="0"/>
        <w:rPr>
          <w:rFonts w:hint="eastAsia"/>
          <w:color w:val="231F20"/>
          <w:sz w:val="30"/>
        </w:rPr>
      </w:pPr>
    </w:p>
    <w:p w14:paraId="41FE754C">
      <w:pPr>
        <w:pStyle w:val="9"/>
        <w:spacing w:after="0"/>
        <w:rPr>
          <w:rFonts w:hint="eastAsia"/>
          <w:color w:val="231F20"/>
          <w:sz w:val="30"/>
        </w:rPr>
      </w:pPr>
      <w:r>
        <w:rPr>
          <w:rFonts w:hint="eastAsia"/>
          <w:color w:val="231F20"/>
          <w:sz w:val="30"/>
        </w:rPr>
        <w:t>Earlier we saw that the OT did indeed speak truly of a coming Kingdom, yet in veiled, symbolic language.</w:t>
      </w:r>
    </w:p>
    <w:p w14:paraId="473B34B2">
      <w:pPr>
        <w:pStyle w:val="9"/>
        <w:spacing w:after="0"/>
        <w:rPr>
          <w:rFonts w:hint="eastAsia"/>
          <w:color w:val="231F20"/>
          <w:sz w:val="30"/>
        </w:rPr>
      </w:pPr>
      <w:r>
        <w:rPr>
          <w:rFonts w:hint="eastAsia"/>
          <w:color w:val="231F20"/>
          <w:sz w:val="30"/>
        </w:rPr>
        <w:t>之前我们看到，旧约确实真实地谈到了一个将要来临的国度，但却是用蒙着帕子的、象征性的语言。</w:t>
      </w:r>
    </w:p>
    <w:p w14:paraId="24479B40">
      <w:pPr>
        <w:pStyle w:val="9"/>
        <w:spacing w:after="0"/>
        <w:rPr>
          <w:rFonts w:hint="eastAsia"/>
          <w:color w:val="231F20"/>
          <w:sz w:val="30"/>
        </w:rPr>
      </w:pPr>
    </w:p>
    <w:p w14:paraId="07773D53">
      <w:pPr>
        <w:pStyle w:val="9"/>
        <w:spacing w:after="0"/>
        <w:rPr>
          <w:rFonts w:hint="eastAsia"/>
          <w:color w:val="231F20"/>
          <w:sz w:val="30"/>
        </w:rPr>
      </w:pPr>
      <w:r>
        <w:rPr>
          <w:rFonts w:hint="eastAsia"/>
          <w:color w:val="231F20"/>
          <w:sz w:val="30"/>
        </w:rPr>
        <w:t>In his Discourse on the Mysteries of the Kingdom, Jesus declares that the disciples cannot understand this language without the proper keys; and that the keys they need are none other than the mysteries that he himself is now placing in their hands.</w:t>
      </w:r>
    </w:p>
    <w:p w14:paraId="1487F837">
      <w:pPr>
        <w:pStyle w:val="9"/>
        <w:spacing w:after="0"/>
        <w:rPr>
          <w:rFonts w:hint="eastAsia"/>
          <w:color w:val="231F20"/>
          <w:sz w:val="30"/>
        </w:rPr>
      </w:pPr>
      <w:r>
        <w:rPr>
          <w:rFonts w:hint="eastAsia"/>
          <w:color w:val="231F20"/>
          <w:sz w:val="30"/>
        </w:rPr>
        <w:t>在祂关于国度奥秘的讲论中，耶稣宣告，门徒们若没有适当的钥匙，就无法理解这种语言；而他们所需要的钥匙，正是祂现在放在他们手中的奥秘。</w:t>
      </w:r>
    </w:p>
    <w:p w14:paraId="231BE1FC">
      <w:pPr>
        <w:pStyle w:val="9"/>
        <w:spacing w:after="0"/>
        <w:rPr>
          <w:rFonts w:hint="eastAsia"/>
          <w:color w:val="231F20"/>
          <w:sz w:val="30"/>
        </w:rPr>
      </w:pPr>
    </w:p>
    <w:p w14:paraId="6D3631E8">
      <w:pPr>
        <w:pStyle w:val="9"/>
        <w:spacing w:after="0"/>
        <w:rPr>
          <w:rFonts w:hint="eastAsia"/>
          <w:color w:val="231F20"/>
          <w:sz w:val="30"/>
        </w:rPr>
      </w:pPr>
      <w:r>
        <w:rPr>
          <w:rFonts w:hint="eastAsia"/>
          <w:color w:val="231F20"/>
          <w:sz w:val="30"/>
        </w:rPr>
        <w:t>These mysteries—repeatedly affirmed in the book of Acts, the epistles, and the Revelation—pertain both to the nature and structure of the Kingdom.</w:t>
      </w:r>
    </w:p>
    <w:p w14:paraId="25BBCA45">
      <w:pPr>
        <w:pStyle w:val="9"/>
        <w:spacing w:after="0"/>
        <w:rPr>
          <w:rFonts w:hint="eastAsia"/>
          <w:color w:val="231F20"/>
          <w:sz w:val="30"/>
        </w:rPr>
      </w:pPr>
      <w:r>
        <w:rPr>
          <w:rFonts w:hint="eastAsia"/>
          <w:color w:val="231F20"/>
          <w:sz w:val="30"/>
        </w:rPr>
        <w:t>这些奥秘——在使徒行传、书信和启示录中被反复肯定——既关系到国度的性质，也关系到其结构。</w:t>
      </w:r>
    </w:p>
    <w:p w14:paraId="49D60E52">
      <w:pPr>
        <w:pStyle w:val="9"/>
        <w:spacing w:after="0"/>
        <w:rPr>
          <w:rFonts w:hint="eastAsia"/>
          <w:color w:val="231F20"/>
          <w:sz w:val="30"/>
        </w:rPr>
      </w:pPr>
    </w:p>
    <w:p w14:paraId="7C2E4853">
      <w:pPr>
        <w:pStyle w:val="9"/>
        <w:spacing w:after="0"/>
        <w:rPr>
          <w:rFonts w:hint="eastAsia"/>
          <w:color w:val="231F20"/>
          <w:sz w:val="30"/>
        </w:rPr>
      </w:pPr>
      <w:r>
        <w:rPr>
          <w:rFonts w:hint="eastAsia"/>
          <w:color w:val="231F20"/>
          <w:sz w:val="30"/>
        </w:rPr>
        <w:t>As to its structure, we have seen that Jesus consistently represents the one Kingdom as coming in two stages: the Kingdom of the Son, followed by the Kingdom of the Father, the two being separated by one Parousia of Christ at the end of the present evil age.</w:t>
      </w:r>
    </w:p>
    <w:p w14:paraId="372252E1">
      <w:pPr>
        <w:pStyle w:val="9"/>
        <w:spacing w:after="0"/>
        <w:rPr>
          <w:rFonts w:hint="eastAsia"/>
          <w:color w:val="231F20"/>
          <w:sz w:val="30"/>
        </w:rPr>
      </w:pPr>
      <w:r>
        <w:rPr>
          <w:rFonts w:hint="eastAsia"/>
          <w:color w:val="231F20"/>
          <w:sz w:val="30"/>
        </w:rPr>
        <w:t>关于其结构，我们已经看到，耶稣一贯地将那独一的国度描绘成以两个阶段降临：圣子之国，随后是父之国，两者由现今邪恶世代末了基督的一次再来所分隔。</w:t>
      </w:r>
    </w:p>
    <w:p w14:paraId="0744265D">
      <w:pPr>
        <w:pStyle w:val="9"/>
        <w:spacing w:after="0"/>
        <w:rPr>
          <w:rFonts w:hint="eastAsia"/>
          <w:color w:val="231F20"/>
          <w:sz w:val="30"/>
        </w:rPr>
      </w:pPr>
    </w:p>
    <w:p w14:paraId="49094D89">
      <w:pPr>
        <w:pStyle w:val="9"/>
        <w:spacing w:after="0"/>
        <w:rPr>
          <w:rFonts w:hint="eastAsia"/>
          <w:color w:val="231F20"/>
          <w:sz w:val="30"/>
        </w:rPr>
      </w:pPr>
      <w:r>
        <w:rPr>
          <w:rFonts w:hint="eastAsia"/>
          <w:color w:val="231F20"/>
          <w:sz w:val="30"/>
        </w:rPr>
        <w:t>As to its nature, we have seen that in essence both stages of the Kingdom are the same: Both are spheres of redemption, in which God reigns directly over his blessed subjects in virtue of the work of the Redeemer, a Redeemer who rescues his subjects from every spiritual and physical enemy, and restores them to every spiritual and physical friend.</w:t>
      </w:r>
    </w:p>
    <w:p w14:paraId="0227F0ED">
      <w:pPr>
        <w:pStyle w:val="9"/>
        <w:spacing w:after="0"/>
        <w:rPr>
          <w:rFonts w:hint="eastAsia"/>
          <w:color w:val="231F20"/>
          <w:sz w:val="30"/>
        </w:rPr>
      </w:pPr>
      <w:r>
        <w:rPr>
          <w:rFonts w:hint="eastAsia"/>
          <w:color w:val="231F20"/>
          <w:sz w:val="30"/>
        </w:rPr>
        <w:t>关于其性质，我们已经看到，在本质上，国度的两个阶段是相同的：两者都是救赎的领域，其中上帝凭着救赎主的工作，直接统治祂蒙福的子民，这位救赎主将祂的子民从每一个属灵和属肉体的仇敌中拯救出来，并将他们恢复到与每一个属灵和属肉体的友人的关系中。</w:t>
      </w:r>
    </w:p>
    <w:p w14:paraId="60E97D15">
      <w:pPr>
        <w:pStyle w:val="9"/>
        <w:spacing w:after="0"/>
        <w:rPr>
          <w:rFonts w:hint="eastAsia"/>
          <w:color w:val="231F20"/>
          <w:sz w:val="30"/>
        </w:rPr>
      </w:pPr>
    </w:p>
    <w:p w14:paraId="1A6DA97E">
      <w:pPr>
        <w:pStyle w:val="9"/>
        <w:spacing w:after="0"/>
        <w:rPr>
          <w:rFonts w:hint="eastAsia"/>
          <w:color w:val="231F20"/>
          <w:sz w:val="30"/>
        </w:rPr>
      </w:pPr>
      <w:r>
        <w:rPr>
          <w:rFonts w:hint="eastAsia"/>
          <w:color w:val="231F20"/>
          <w:sz w:val="30"/>
        </w:rPr>
        <w:t>Nevertheless, there are significant differences between the two stages of the Kingdom, differences that are vital for a full and proper understanding of biblical eschatology.</w:t>
      </w:r>
    </w:p>
    <w:p w14:paraId="47FC079A">
      <w:pPr>
        <w:pStyle w:val="9"/>
        <w:spacing w:after="0"/>
        <w:rPr>
          <w:rFonts w:hint="eastAsia"/>
          <w:color w:val="231F20"/>
          <w:sz w:val="30"/>
        </w:rPr>
      </w:pPr>
      <w:r>
        <w:rPr>
          <w:rFonts w:hint="eastAsia"/>
          <w:color w:val="231F20"/>
          <w:sz w:val="30"/>
        </w:rPr>
        <w:t>然而，国度的两个阶段之间存在着显著的差异，这些差异对于全面和正确地理解圣经末世论至关重要。</w:t>
      </w:r>
    </w:p>
    <w:p w14:paraId="4873C993">
      <w:pPr>
        <w:pStyle w:val="9"/>
        <w:spacing w:after="0"/>
        <w:rPr>
          <w:rFonts w:hint="eastAsia"/>
          <w:color w:val="231F20"/>
          <w:sz w:val="30"/>
        </w:rPr>
      </w:pPr>
    </w:p>
    <w:p w14:paraId="0E221E31">
      <w:pPr>
        <w:pStyle w:val="9"/>
        <w:spacing w:after="0"/>
        <w:rPr>
          <w:rFonts w:hint="eastAsia"/>
          <w:color w:val="231F20"/>
          <w:sz w:val="30"/>
        </w:rPr>
      </w:pPr>
      <w:r>
        <w:rPr>
          <w:rFonts w:hint="eastAsia"/>
          <w:color w:val="231F20"/>
          <w:sz w:val="30"/>
        </w:rPr>
        <w:t>We do well to linger over them briefly.</w:t>
      </w:r>
    </w:p>
    <w:p w14:paraId="242BD4DF">
      <w:pPr>
        <w:pStyle w:val="9"/>
        <w:spacing w:after="0"/>
        <w:rPr>
          <w:rFonts w:hint="eastAsia"/>
          <w:color w:val="231F20"/>
          <w:sz w:val="30"/>
        </w:rPr>
      </w:pPr>
      <w:r>
        <w:rPr>
          <w:rFonts w:hint="eastAsia"/>
          <w:color w:val="231F20"/>
          <w:sz w:val="30"/>
        </w:rPr>
        <w:t>我们最好简要地在它们上面停留一下。</w:t>
      </w:r>
    </w:p>
    <w:p w14:paraId="11E1AB76">
      <w:pPr>
        <w:pStyle w:val="9"/>
        <w:spacing w:after="0"/>
        <w:rPr>
          <w:rFonts w:hint="eastAsia"/>
          <w:color w:val="231F20"/>
          <w:sz w:val="30"/>
        </w:rPr>
      </w:pPr>
    </w:p>
    <w:p w14:paraId="0FFEF770">
      <w:pPr>
        <w:pStyle w:val="9"/>
        <w:spacing w:after="0"/>
        <w:rPr>
          <w:rFonts w:hint="eastAsia"/>
          <w:color w:val="231F20"/>
          <w:sz w:val="30"/>
        </w:rPr>
      </w:pPr>
      <w:r>
        <w:rPr>
          <w:rFonts w:hint="eastAsia"/>
          <w:color w:val="231F20"/>
          <w:sz w:val="30"/>
        </w:rPr>
        <w:t>As for the Kingdom of the Son, it is temporary, extending from Pentecost to the Parousia.</w:t>
      </w:r>
    </w:p>
    <w:p w14:paraId="5769B55E">
      <w:pPr>
        <w:pStyle w:val="9"/>
        <w:spacing w:after="0"/>
        <w:rPr>
          <w:rFonts w:hint="eastAsia"/>
          <w:color w:val="231F20"/>
          <w:sz w:val="30"/>
        </w:rPr>
      </w:pPr>
      <w:r>
        <w:rPr>
          <w:rFonts w:hint="eastAsia"/>
          <w:color w:val="231F20"/>
          <w:sz w:val="30"/>
        </w:rPr>
        <w:t>至于圣子之国，它是暂时的，从五旬节延伸到基督再来。</w:t>
      </w:r>
    </w:p>
    <w:p w14:paraId="4B800A46">
      <w:pPr>
        <w:pStyle w:val="9"/>
        <w:spacing w:after="0"/>
        <w:rPr>
          <w:rFonts w:hint="eastAsia"/>
          <w:color w:val="231F20"/>
          <w:sz w:val="30"/>
        </w:rPr>
      </w:pPr>
    </w:p>
    <w:p w14:paraId="6DA5C92B">
      <w:pPr>
        <w:pStyle w:val="9"/>
        <w:spacing w:after="0"/>
        <w:rPr>
          <w:rFonts w:hint="eastAsia"/>
          <w:color w:val="231F20"/>
          <w:sz w:val="30"/>
        </w:rPr>
      </w:pPr>
      <w:r>
        <w:rPr>
          <w:rFonts w:hint="eastAsia"/>
          <w:color w:val="231F20"/>
          <w:sz w:val="30"/>
        </w:rPr>
        <w:t>It emanates from heaven, and in particular from the High King of Heaven, who is seated at the Father’s right hand.</w:t>
      </w:r>
    </w:p>
    <w:p w14:paraId="18F77DDD">
      <w:pPr>
        <w:pStyle w:val="9"/>
        <w:spacing w:after="0"/>
        <w:rPr>
          <w:rFonts w:hint="eastAsia"/>
          <w:color w:val="231F20"/>
          <w:sz w:val="30"/>
        </w:rPr>
      </w:pPr>
      <w:r>
        <w:rPr>
          <w:rFonts w:hint="eastAsia"/>
          <w:color w:val="231F20"/>
          <w:sz w:val="30"/>
        </w:rPr>
        <w:t>它源自天上，特别是源自坐在父右边的天上至高君王。</w:t>
      </w:r>
    </w:p>
    <w:p w14:paraId="15E99870">
      <w:pPr>
        <w:pStyle w:val="9"/>
        <w:spacing w:after="0"/>
        <w:rPr>
          <w:rFonts w:hint="eastAsia"/>
          <w:color w:val="231F20"/>
          <w:sz w:val="30"/>
        </w:rPr>
      </w:pPr>
    </w:p>
    <w:p w14:paraId="0C7977A2">
      <w:pPr>
        <w:pStyle w:val="9"/>
        <w:spacing w:after="0"/>
        <w:rPr>
          <w:rFonts w:hint="eastAsia"/>
          <w:color w:val="231F20"/>
          <w:sz w:val="30"/>
        </w:rPr>
      </w:pPr>
      <w:r>
        <w:rPr>
          <w:rFonts w:hint="eastAsia"/>
          <w:color w:val="231F20"/>
          <w:sz w:val="30"/>
        </w:rPr>
        <w:t>It is altogether invisible to the naked eye, being a creation of the Christ who himself is hidden in heaven, and who himself works secretly in men’s hearts by his Spirit, whom the world can neither see nor receive.</w:t>
      </w:r>
    </w:p>
    <w:p w14:paraId="3214DF83">
      <w:pPr>
        <w:pStyle w:val="9"/>
        <w:spacing w:after="0"/>
        <w:rPr>
          <w:rFonts w:hint="eastAsia"/>
          <w:color w:val="231F20"/>
          <w:sz w:val="30"/>
        </w:rPr>
      </w:pPr>
      <w:r>
        <w:rPr>
          <w:rFonts w:hint="eastAsia"/>
          <w:color w:val="231F20"/>
          <w:sz w:val="30"/>
        </w:rPr>
        <w:t>它对肉眼完全不可见，是基督的创造，基督自己隐藏在天上，祂自己也藉着祂的灵，在人心中秘密地工作，世人既看不见也不能接受祂的灵。</w:t>
      </w:r>
    </w:p>
    <w:p w14:paraId="0FD080A5">
      <w:pPr>
        <w:pStyle w:val="9"/>
        <w:spacing w:after="0"/>
        <w:rPr>
          <w:rFonts w:hint="eastAsia"/>
          <w:color w:val="231F20"/>
          <w:sz w:val="30"/>
        </w:rPr>
      </w:pPr>
    </w:p>
    <w:p w14:paraId="52E6FD40">
      <w:pPr>
        <w:pStyle w:val="9"/>
        <w:spacing w:after="0"/>
        <w:rPr>
          <w:rFonts w:hint="eastAsia"/>
          <w:color w:val="231F20"/>
          <w:sz w:val="30"/>
        </w:rPr>
      </w:pPr>
      <w:r>
        <w:rPr>
          <w:rFonts w:hint="eastAsia"/>
          <w:color w:val="231F20"/>
          <w:sz w:val="30"/>
        </w:rPr>
        <w:t>Infallibly, this Kingdom spreads abroad, advancing throughout the earth by the foolishness of preaching.</w:t>
      </w:r>
    </w:p>
    <w:p w14:paraId="39357338">
      <w:pPr>
        <w:pStyle w:val="9"/>
        <w:spacing w:after="0"/>
        <w:rPr>
          <w:rFonts w:hint="eastAsia"/>
          <w:color w:val="231F20"/>
          <w:sz w:val="30"/>
        </w:rPr>
      </w:pPr>
      <w:r>
        <w:rPr>
          <w:rFonts w:hint="eastAsia"/>
          <w:color w:val="231F20"/>
          <w:sz w:val="30"/>
        </w:rPr>
        <w:t>万无一失地，这个国度藉着传道的愚拙在地上广传和推进。</w:t>
      </w:r>
    </w:p>
    <w:p w14:paraId="57A51617">
      <w:pPr>
        <w:pStyle w:val="9"/>
        <w:spacing w:after="0"/>
        <w:rPr>
          <w:rFonts w:hint="eastAsia"/>
          <w:color w:val="231F20"/>
          <w:sz w:val="30"/>
        </w:rPr>
      </w:pPr>
    </w:p>
    <w:p w14:paraId="017BE4B7">
      <w:pPr>
        <w:pStyle w:val="9"/>
        <w:spacing w:after="0"/>
        <w:rPr>
          <w:rFonts w:hint="eastAsia"/>
          <w:color w:val="231F20"/>
          <w:sz w:val="30"/>
        </w:rPr>
      </w:pPr>
      <w:r>
        <w:rPr>
          <w:rFonts w:hint="eastAsia"/>
          <w:color w:val="231F20"/>
          <w:sz w:val="30"/>
        </w:rPr>
        <w:t>Miraculously, it grows to its appointed fullness, as the Spirit of God graciously bestows upon his people the gift of hearing with faith.</w:t>
      </w:r>
    </w:p>
    <w:p w14:paraId="1A1F8ABB">
      <w:pPr>
        <w:pStyle w:val="9"/>
        <w:spacing w:after="0"/>
        <w:rPr>
          <w:rFonts w:hint="eastAsia"/>
          <w:color w:val="231F20"/>
          <w:sz w:val="30"/>
        </w:rPr>
      </w:pPr>
      <w:r>
        <w:rPr>
          <w:rFonts w:hint="eastAsia"/>
          <w:color w:val="231F20"/>
          <w:sz w:val="30"/>
        </w:rPr>
        <w:t>奇迹般地，它成长到其指定的丰满程度，因为上帝的灵恩慈地将凭信心听道的恩赐赐给祂的子民。</w:t>
      </w:r>
    </w:p>
    <w:p w14:paraId="2D0C06F9">
      <w:pPr>
        <w:pStyle w:val="9"/>
        <w:spacing w:after="0"/>
        <w:rPr>
          <w:rFonts w:hint="eastAsia"/>
          <w:color w:val="231F20"/>
          <w:sz w:val="30"/>
        </w:rPr>
      </w:pPr>
    </w:p>
    <w:p w14:paraId="1E854D4B">
      <w:pPr>
        <w:pStyle w:val="9"/>
        <w:spacing w:after="0"/>
        <w:rPr>
          <w:rFonts w:hint="eastAsia"/>
          <w:color w:val="231F20"/>
          <w:sz w:val="30"/>
        </w:rPr>
      </w:pPr>
      <w:r>
        <w:rPr>
          <w:rFonts w:hint="eastAsia"/>
          <w:color w:val="231F20"/>
          <w:sz w:val="30"/>
        </w:rPr>
        <w:t>For the world, its days are days of probation, in which, beneath the preaching of the Gospel, men are tested concerning their love of the truth about God.</w:t>
      </w:r>
    </w:p>
    <w:p w14:paraId="7F21E638">
      <w:pPr>
        <w:pStyle w:val="9"/>
        <w:spacing w:after="0"/>
        <w:rPr>
          <w:rFonts w:hint="eastAsia"/>
          <w:color w:val="231F20"/>
          <w:sz w:val="30"/>
        </w:rPr>
      </w:pPr>
      <w:r>
        <w:rPr>
          <w:rFonts w:hint="eastAsia"/>
          <w:color w:val="231F20"/>
          <w:sz w:val="30"/>
        </w:rPr>
        <w:t>对于世界来说，它的日子是察验的日子，在福音的传讲下，人被试验他们对上帝真理的爱。</w:t>
      </w:r>
    </w:p>
    <w:p w14:paraId="291636BD">
      <w:pPr>
        <w:pStyle w:val="9"/>
        <w:spacing w:after="0"/>
        <w:rPr>
          <w:rFonts w:hint="eastAsia"/>
          <w:color w:val="231F20"/>
          <w:sz w:val="30"/>
        </w:rPr>
      </w:pPr>
    </w:p>
    <w:p w14:paraId="3D6CAFC0">
      <w:pPr>
        <w:pStyle w:val="9"/>
        <w:spacing w:after="0"/>
        <w:rPr>
          <w:rFonts w:hint="eastAsia"/>
          <w:color w:val="231F20"/>
          <w:sz w:val="30"/>
        </w:rPr>
      </w:pPr>
      <w:r>
        <w:rPr>
          <w:rFonts w:hint="eastAsia"/>
          <w:color w:val="231F20"/>
          <w:sz w:val="30"/>
        </w:rPr>
        <w:t>For the Church, its days are days of opposition, struggle, and humiliation.</w:t>
      </w:r>
    </w:p>
    <w:p w14:paraId="3EB74403">
      <w:pPr>
        <w:pStyle w:val="9"/>
        <w:spacing w:after="0"/>
        <w:rPr>
          <w:rFonts w:hint="eastAsia"/>
          <w:color w:val="231F20"/>
          <w:sz w:val="30"/>
        </w:rPr>
      </w:pPr>
      <w:r>
        <w:rPr>
          <w:rFonts w:hint="eastAsia"/>
          <w:color w:val="231F20"/>
          <w:sz w:val="30"/>
        </w:rPr>
        <w:t>对于教会来说，它的日子是反对、挣扎和降卑的日子。</w:t>
      </w:r>
    </w:p>
    <w:p w14:paraId="47FAD60A">
      <w:pPr>
        <w:pStyle w:val="9"/>
        <w:spacing w:after="0"/>
        <w:rPr>
          <w:rFonts w:hint="eastAsia"/>
          <w:color w:val="231F20"/>
          <w:sz w:val="30"/>
        </w:rPr>
      </w:pPr>
    </w:p>
    <w:p w14:paraId="58CDB808">
      <w:pPr>
        <w:pStyle w:val="9"/>
        <w:spacing w:after="0"/>
        <w:rPr>
          <w:rFonts w:hint="eastAsia"/>
          <w:color w:val="231F20"/>
          <w:sz w:val="30"/>
        </w:rPr>
      </w:pPr>
      <w:r>
        <w:rPr>
          <w:rFonts w:hint="eastAsia"/>
          <w:color w:val="231F20"/>
          <w:sz w:val="30"/>
        </w:rPr>
        <w:t>Yet they are also days of hope, as the saints, following in the footsteps of their persecuted Master, make their pilgrim way through the wilderness of this world to the Land of Promise waiting up ahead.</w:t>
      </w:r>
    </w:p>
    <w:p w14:paraId="373645B7">
      <w:pPr>
        <w:pStyle w:val="9"/>
        <w:spacing w:after="0"/>
        <w:rPr>
          <w:rFonts w:hint="eastAsia"/>
          <w:color w:val="231F20"/>
          <w:sz w:val="30"/>
        </w:rPr>
      </w:pPr>
      <w:r>
        <w:rPr>
          <w:rFonts w:hint="eastAsia"/>
          <w:color w:val="231F20"/>
          <w:sz w:val="30"/>
        </w:rPr>
        <w:t>然而，它们也是盼望的日子，圣徒们跟随着他们受逼迫的夫子的脚踪，穿过今世的旷野，走向前方等候的应许之地。</w:t>
      </w:r>
    </w:p>
    <w:p w14:paraId="2281C83A">
      <w:pPr>
        <w:pStyle w:val="9"/>
        <w:spacing w:after="0"/>
        <w:rPr>
          <w:rFonts w:hint="eastAsia"/>
          <w:color w:val="231F20"/>
          <w:sz w:val="30"/>
        </w:rPr>
      </w:pPr>
    </w:p>
    <w:p w14:paraId="50DF49CE">
      <w:pPr>
        <w:pStyle w:val="9"/>
        <w:spacing w:after="0"/>
        <w:rPr>
          <w:rFonts w:hint="eastAsia"/>
          <w:color w:val="231F20"/>
          <w:sz w:val="30"/>
        </w:rPr>
      </w:pPr>
      <w:r>
        <w:rPr>
          <w:rFonts w:hint="eastAsia"/>
          <w:color w:val="231F20"/>
          <w:sz w:val="30"/>
        </w:rPr>
        <w:t>When, however, Christ returns in power to consummate all things by the full spectrum of his great eschatological acts, he will usher in a Kingdom that is identical in essence, yet different in many particulars.</w:t>
      </w:r>
    </w:p>
    <w:p w14:paraId="3D84F530">
      <w:pPr>
        <w:pStyle w:val="9"/>
        <w:spacing w:after="0"/>
        <w:rPr>
          <w:rFonts w:hint="eastAsia"/>
          <w:color w:val="231F20"/>
          <w:sz w:val="30"/>
        </w:rPr>
      </w:pPr>
      <w:r>
        <w:rPr>
          <w:rFonts w:hint="eastAsia"/>
          <w:color w:val="231F20"/>
          <w:sz w:val="30"/>
        </w:rPr>
        <w:t>然而，当基督带着能力再来，藉着祂全部伟大的末世论作为来成全万事时，祂将引入一个在本质上相同，但在许多细节上不同的国度。</w:t>
      </w:r>
    </w:p>
    <w:p w14:paraId="7202201D">
      <w:pPr>
        <w:pStyle w:val="9"/>
        <w:spacing w:after="0"/>
        <w:rPr>
          <w:rFonts w:hint="eastAsia"/>
          <w:color w:val="231F20"/>
          <w:sz w:val="30"/>
        </w:rPr>
      </w:pPr>
    </w:p>
    <w:p w14:paraId="3F490EA4">
      <w:pPr>
        <w:pStyle w:val="9"/>
        <w:spacing w:after="0"/>
        <w:rPr>
          <w:rFonts w:hint="eastAsia"/>
          <w:color w:val="231F20"/>
          <w:sz w:val="30"/>
        </w:rPr>
      </w:pPr>
      <w:r>
        <w:rPr>
          <w:rFonts w:hint="eastAsia"/>
          <w:color w:val="231F20"/>
          <w:sz w:val="30"/>
        </w:rPr>
        <w:t>It is the Kingdom of the Father.</w:t>
      </w:r>
    </w:p>
    <w:p w14:paraId="01BFEE7D">
      <w:pPr>
        <w:pStyle w:val="9"/>
        <w:spacing w:after="0"/>
        <w:rPr>
          <w:rFonts w:hint="eastAsia"/>
          <w:color w:val="231F20"/>
          <w:sz w:val="30"/>
        </w:rPr>
      </w:pPr>
      <w:r>
        <w:rPr>
          <w:rFonts w:hint="eastAsia"/>
          <w:color w:val="231F20"/>
          <w:sz w:val="30"/>
        </w:rPr>
        <w:t>这是父的国度。</w:t>
      </w:r>
    </w:p>
    <w:p w14:paraId="4005974D">
      <w:pPr>
        <w:pStyle w:val="9"/>
        <w:spacing w:after="0"/>
        <w:rPr>
          <w:rFonts w:hint="eastAsia"/>
          <w:color w:val="231F20"/>
          <w:sz w:val="30"/>
        </w:rPr>
      </w:pPr>
    </w:p>
    <w:p w14:paraId="34C20EC6">
      <w:pPr>
        <w:pStyle w:val="9"/>
        <w:spacing w:after="0"/>
        <w:rPr>
          <w:rFonts w:hint="eastAsia"/>
          <w:color w:val="231F20"/>
          <w:sz w:val="30"/>
        </w:rPr>
      </w:pPr>
      <w:r>
        <w:rPr>
          <w:rFonts w:hint="eastAsia"/>
          <w:color w:val="231F20"/>
          <w:sz w:val="30"/>
        </w:rPr>
        <w:t>Here, the divine reign is no longer partial, but complete; no longer temporary, but permanent.</w:t>
      </w:r>
    </w:p>
    <w:p w14:paraId="5E4F7FF4">
      <w:pPr>
        <w:pStyle w:val="9"/>
        <w:spacing w:after="0"/>
        <w:rPr>
          <w:rFonts w:hint="eastAsia"/>
          <w:color w:val="231F20"/>
          <w:sz w:val="30"/>
        </w:rPr>
      </w:pPr>
      <w:r>
        <w:rPr>
          <w:rFonts w:hint="eastAsia"/>
          <w:color w:val="231F20"/>
          <w:sz w:val="30"/>
        </w:rPr>
        <w:t>在此，神圣的统治不再是局部的，而是完全的；不再是暂时的，而是永久的。</w:t>
      </w:r>
    </w:p>
    <w:p w14:paraId="53D09B79">
      <w:pPr>
        <w:pStyle w:val="9"/>
        <w:spacing w:after="0"/>
        <w:rPr>
          <w:rFonts w:hint="eastAsia"/>
          <w:color w:val="231F20"/>
          <w:sz w:val="30"/>
        </w:rPr>
      </w:pPr>
    </w:p>
    <w:p w14:paraId="076AA40F">
      <w:pPr>
        <w:pStyle w:val="9"/>
        <w:spacing w:after="0"/>
        <w:rPr>
          <w:rFonts w:hint="eastAsia"/>
          <w:color w:val="231F20"/>
          <w:sz w:val="30"/>
        </w:rPr>
      </w:pPr>
      <w:r>
        <w:rPr>
          <w:rFonts w:hint="eastAsia"/>
          <w:color w:val="231F20"/>
          <w:sz w:val="30"/>
        </w:rPr>
        <w:t>Here it no longer emanates from heaven above, for here heaven has descended to earth, so that earth and heaven are one.</w:t>
      </w:r>
    </w:p>
    <w:p w14:paraId="5377B3D3">
      <w:pPr>
        <w:pStyle w:val="9"/>
        <w:spacing w:after="0"/>
        <w:rPr>
          <w:rFonts w:hint="eastAsia"/>
          <w:color w:val="231F20"/>
          <w:sz w:val="30"/>
        </w:rPr>
      </w:pPr>
      <w:r>
        <w:rPr>
          <w:rFonts w:hint="eastAsia"/>
          <w:color w:val="231F20"/>
          <w:sz w:val="30"/>
        </w:rPr>
        <w:t>在此它不再源自天之上，因为在此天已降临到地，以致天地合一。</w:t>
      </w:r>
    </w:p>
    <w:p w14:paraId="5D95B982">
      <w:pPr>
        <w:pStyle w:val="9"/>
        <w:spacing w:after="0"/>
        <w:rPr>
          <w:rFonts w:hint="eastAsia"/>
          <w:color w:val="231F20"/>
          <w:sz w:val="30"/>
        </w:rPr>
      </w:pPr>
    </w:p>
    <w:p w14:paraId="54FE073F">
      <w:pPr>
        <w:pStyle w:val="9"/>
        <w:spacing w:after="0"/>
        <w:rPr>
          <w:rFonts w:hint="eastAsia"/>
          <w:color w:val="231F20"/>
          <w:sz w:val="30"/>
        </w:rPr>
      </w:pPr>
      <w:r>
        <w:rPr>
          <w:rFonts w:hint="eastAsia"/>
          <w:color w:val="231F20"/>
          <w:sz w:val="30"/>
        </w:rPr>
        <w:t>Here the Kingdom is no longer spiritual only, but spiritual and physical, extending not only to the saints’ bodies, but also to the new and glorified world in which they will live.</w:t>
      </w:r>
    </w:p>
    <w:p w14:paraId="28EC0416">
      <w:pPr>
        <w:pStyle w:val="9"/>
        <w:spacing w:after="0"/>
        <w:rPr>
          <w:rFonts w:hint="eastAsia"/>
          <w:color w:val="231F20"/>
          <w:sz w:val="30"/>
        </w:rPr>
      </w:pPr>
      <w:r>
        <w:rPr>
          <w:rFonts w:hint="eastAsia"/>
          <w:color w:val="231F20"/>
          <w:sz w:val="30"/>
        </w:rPr>
        <w:t>在此，国度不再只是属灵的，而是属灵的和属物质的，不仅延伸到圣徒的身体，也延伸到他们将要生活在其中的新的、得荣的世界。</w:t>
      </w:r>
    </w:p>
    <w:p w14:paraId="5BC57D70">
      <w:pPr>
        <w:pStyle w:val="9"/>
        <w:spacing w:after="0"/>
        <w:rPr>
          <w:rFonts w:hint="eastAsia"/>
          <w:color w:val="231F20"/>
          <w:sz w:val="30"/>
        </w:rPr>
      </w:pPr>
    </w:p>
    <w:p w14:paraId="32E19675">
      <w:pPr>
        <w:pStyle w:val="9"/>
        <w:spacing w:after="0"/>
        <w:rPr>
          <w:rFonts w:hint="eastAsia"/>
          <w:color w:val="231F20"/>
          <w:sz w:val="30"/>
        </w:rPr>
      </w:pPr>
      <w:r>
        <w:rPr>
          <w:rFonts w:hint="eastAsia"/>
          <w:color w:val="231F20"/>
          <w:sz w:val="30"/>
        </w:rPr>
        <w:t>Here the Kingdom is no longer invisible, but fully manifest, for here the pure in heart see God.</w:t>
      </w:r>
    </w:p>
    <w:p w14:paraId="3FE049BB">
      <w:pPr>
        <w:pStyle w:val="9"/>
        <w:spacing w:after="0"/>
        <w:rPr>
          <w:rFonts w:hint="eastAsia"/>
          <w:color w:val="231F20"/>
          <w:sz w:val="30"/>
        </w:rPr>
      </w:pPr>
      <w:r>
        <w:rPr>
          <w:rFonts w:hint="eastAsia"/>
          <w:color w:val="231F20"/>
          <w:sz w:val="30"/>
        </w:rPr>
        <w:t>在此，国度不再是不可见的，而是完全显现的，因为在此清心的人得见上帝。</w:t>
      </w:r>
    </w:p>
    <w:p w14:paraId="2687B87C">
      <w:pPr>
        <w:pStyle w:val="9"/>
        <w:spacing w:after="0"/>
        <w:rPr>
          <w:rFonts w:hint="eastAsia"/>
          <w:color w:val="231F20"/>
          <w:sz w:val="30"/>
        </w:rPr>
      </w:pPr>
    </w:p>
    <w:p w14:paraId="6B7EEB50">
      <w:pPr>
        <w:pStyle w:val="9"/>
        <w:spacing w:after="0"/>
        <w:rPr>
          <w:rFonts w:hint="eastAsia"/>
          <w:color w:val="231F20"/>
          <w:sz w:val="30"/>
        </w:rPr>
      </w:pPr>
      <w:r>
        <w:rPr>
          <w:rFonts w:hint="eastAsia"/>
          <w:color w:val="231F20"/>
          <w:sz w:val="30"/>
        </w:rPr>
        <w:t>Here it is no longer growing, but full-grown, for the harvest of the earth has been reaped, once and for all.</w:t>
      </w:r>
    </w:p>
    <w:p w14:paraId="16353B10">
      <w:pPr>
        <w:pStyle w:val="9"/>
        <w:spacing w:after="0"/>
        <w:rPr>
          <w:rFonts w:hint="eastAsia"/>
          <w:color w:val="231F20"/>
          <w:sz w:val="30"/>
        </w:rPr>
      </w:pPr>
      <w:r>
        <w:rPr>
          <w:rFonts w:hint="eastAsia"/>
          <w:color w:val="231F20"/>
          <w:sz w:val="30"/>
        </w:rPr>
        <w:t>在此，它不再是生长的，而是长成的，因为地上的庄稼已经一次性地收割了。</w:t>
      </w:r>
    </w:p>
    <w:p w14:paraId="49E65761">
      <w:pPr>
        <w:pStyle w:val="9"/>
        <w:spacing w:after="0"/>
        <w:rPr>
          <w:rFonts w:hint="eastAsia"/>
          <w:color w:val="231F20"/>
          <w:sz w:val="30"/>
        </w:rPr>
      </w:pPr>
    </w:p>
    <w:p w14:paraId="1BE48CA2">
      <w:pPr>
        <w:pStyle w:val="9"/>
        <w:spacing w:after="0"/>
        <w:rPr>
          <w:rFonts w:hint="eastAsia"/>
          <w:color w:val="231F20"/>
          <w:sz w:val="30"/>
        </w:rPr>
      </w:pPr>
      <w:r>
        <w:rPr>
          <w:rFonts w:hint="eastAsia"/>
          <w:color w:val="231F20"/>
          <w:sz w:val="30"/>
        </w:rPr>
        <w:t>Here, there is no longer a brief season of proclamation and testing, but an eternal season of reward or retribution.</w:t>
      </w:r>
    </w:p>
    <w:p w14:paraId="5DEF6917">
      <w:pPr>
        <w:pStyle w:val="9"/>
        <w:spacing w:after="0"/>
        <w:rPr>
          <w:rFonts w:hint="eastAsia"/>
          <w:color w:val="231F20"/>
          <w:sz w:val="30"/>
        </w:rPr>
      </w:pPr>
      <w:r>
        <w:rPr>
          <w:rFonts w:hint="eastAsia"/>
          <w:color w:val="231F20"/>
          <w:sz w:val="30"/>
        </w:rPr>
        <w:t>在此，不再有短暂的宣讲和试验季节，而是永恒的赏赐或报应季节。</w:t>
      </w:r>
    </w:p>
    <w:p w14:paraId="4A9F86EC">
      <w:pPr>
        <w:pStyle w:val="9"/>
        <w:spacing w:after="0"/>
        <w:rPr>
          <w:rFonts w:hint="eastAsia"/>
          <w:color w:val="231F20"/>
          <w:sz w:val="30"/>
        </w:rPr>
      </w:pPr>
    </w:p>
    <w:p w14:paraId="4AE4DD91">
      <w:pPr>
        <w:pStyle w:val="9"/>
        <w:spacing w:after="0"/>
        <w:rPr>
          <w:rFonts w:hint="eastAsia"/>
          <w:color w:val="231F20"/>
          <w:sz w:val="30"/>
        </w:rPr>
      </w:pPr>
      <w:r>
        <w:rPr>
          <w:rFonts w:hint="eastAsia"/>
          <w:color w:val="231F20"/>
          <w:sz w:val="30"/>
        </w:rPr>
        <w:t>And here there is no longer a short night of struggle and humiliation, but an endless day of rest and glory for all who have believed, served, and overcome.</w:t>
      </w:r>
    </w:p>
    <w:p w14:paraId="2A4705E4">
      <w:pPr>
        <w:pStyle w:val="9"/>
        <w:spacing w:after="0"/>
        <w:rPr>
          <w:rFonts w:hint="eastAsia"/>
          <w:color w:val="231F20"/>
          <w:sz w:val="30"/>
        </w:rPr>
      </w:pPr>
      <w:r>
        <w:rPr>
          <w:rFonts w:hint="eastAsia"/>
          <w:color w:val="231F20"/>
          <w:sz w:val="30"/>
        </w:rPr>
        <w:t>在此，不再有短暂的挣扎和降卑之夜，而是为所有相信、服事和得胜的人预备的无尽的安息和荣耀之日。</w:t>
      </w:r>
    </w:p>
    <w:p w14:paraId="159CA0C1">
      <w:pPr>
        <w:pStyle w:val="9"/>
        <w:spacing w:after="0"/>
        <w:rPr>
          <w:rFonts w:hint="eastAsia"/>
          <w:color w:val="231F20"/>
          <w:sz w:val="30"/>
        </w:rPr>
      </w:pPr>
    </w:p>
    <w:p w14:paraId="15036331">
      <w:pPr>
        <w:pStyle w:val="9"/>
        <w:spacing w:after="0"/>
        <w:rPr>
          <w:rFonts w:hint="eastAsia"/>
          <w:color w:val="231F20"/>
          <w:sz w:val="30"/>
        </w:rPr>
      </w:pPr>
      <w:r>
        <w:rPr>
          <w:rFonts w:hint="eastAsia"/>
          <w:color w:val="231F20"/>
          <w:sz w:val="30"/>
        </w:rPr>
        <w:t>Now, if indeed we are reading Christ and his apostles correctly—if indeed the contents of this long chapter give us “true truth” about the nature and coming of the Kingdom of God—then it is clear we have reached a very special moment in our journey.</w:t>
      </w:r>
    </w:p>
    <w:p w14:paraId="30BEA46B">
      <w:pPr>
        <w:pStyle w:val="9"/>
        <w:spacing w:after="0"/>
        <w:rPr>
          <w:rFonts w:hint="eastAsia"/>
          <w:color w:val="231F20"/>
          <w:sz w:val="30"/>
        </w:rPr>
      </w:pPr>
      <w:r>
        <w:rPr>
          <w:rFonts w:hint="eastAsia"/>
          <w:color w:val="231F20"/>
          <w:sz w:val="30"/>
        </w:rPr>
        <w:t>现在，如果我们确实正确地理解了基督和祂的使徒们——如果这长篇章节的内容确实给了我们关于上帝之国性质和降临的“真实真理”——那么很明显，我们在我们的旅程中已经到达了一个非常特殊的时刻。</w:t>
      </w:r>
    </w:p>
    <w:p w14:paraId="5FE6427F">
      <w:pPr>
        <w:pStyle w:val="9"/>
        <w:spacing w:after="0"/>
        <w:rPr>
          <w:rFonts w:hint="eastAsia"/>
          <w:color w:val="231F20"/>
          <w:sz w:val="30"/>
        </w:rPr>
      </w:pPr>
    </w:p>
    <w:p w14:paraId="7BC53C80">
      <w:pPr>
        <w:pStyle w:val="9"/>
        <w:spacing w:after="0"/>
        <w:rPr>
          <w:rFonts w:hint="eastAsia"/>
          <w:color w:val="231F20"/>
          <w:sz w:val="30"/>
        </w:rPr>
      </w:pPr>
      <w:r>
        <w:rPr>
          <w:rFonts w:hint="eastAsia"/>
          <w:color w:val="231F20"/>
          <w:sz w:val="30"/>
        </w:rPr>
        <w:t>For having received from our Teacher such precious keys as these, what is there to prevent us from using them to meet head on one of greatest challenges of biblical eschatology?</w:t>
      </w:r>
    </w:p>
    <w:p w14:paraId="79C40303">
      <w:pPr>
        <w:pStyle w:val="9"/>
        <w:spacing w:after="0"/>
        <w:rPr>
          <w:rFonts w:hint="eastAsia"/>
          <w:color w:val="231F20"/>
          <w:sz w:val="30"/>
        </w:rPr>
      </w:pPr>
      <w:r>
        <w:rPr>
          <w:rFonts w:hint="eastAsia"/>
          <w:color w:val="231F20"/>
          <w:sz w:val="30"/>
        </w:rPr>
        <w:t>因为既从我们的教师领受了如此宝贵的钥匙，有什么能阻止我们用它们来正面应对圣经末世论最大的挑战之一呢？</w:t>
      </w:r>
    </w:p>
    <w:p w14:paraId="6FA4DFC0">
      <w:pPr>
        <w:pStyle w:val="9"/>
        <w:spacing w:after="0"/>
        <w:rPr>
          <w:rFonts w:hint="eastAsia"/>
          <w:color w:val="231F20"/>
          <w:sz w:val="30"/>
        </w:rPr>
      </w:pPr>
    </w:p>
    <w:p w14:paraId="2324E8CD">
      <w:pPr>
        <w:pStyle w:val="9"/>
        <w:spacing w:after="0"/>
        <w:rPr>
          <w:rFonts w:hint="eastAsia"/>
          <w:color w:val="231F20"/>
          <w:sz w:val="30"/>
        </w:rPr>
      </w:pPr>
      <w:r>
        <w:rPr>
          <w:rFonts w:hint="eastAsia"/>
          <w:color w:val="231F20"/>
          <w:sz w:val="30"/>
        </w:rPr>
        <w:t>What is there to prevent us from using all we have learned to draw up a biblically sound Timeline of Salvation History, a Timeline that not only displays its true chronological structure, but its heart and soul as well?</w:t>
      </w:r>
    </w:p>
    <w:p w14:paraId="10C7DF94">
      <w:pPr>
        <w:pStyle w:val="9"/>
        <w:spacing w:after="0"/>
        <w:rPr>
          <w:rFonts w:hint="eastAsia"/>
          <w:color w:val="231F20"/>
          <w:sz w:val="30"/>
        </w:rPr>
      </w:pPr>
      <w:r>
        <w:rPr>
          <w:rFonts w:hint="eastAsia"/>
          <w:color w:val="231F20"/>
          <w:sz w:val="30"/>
        </w:rPr>
        <w:t>有什么能阻止我们用我们所学到的一切来绘制一个符合圣经的救赎历史时间线，一个不仅展示其真实时间结构，也展示其核心和灵魂的时间线呢？</w:t>
      </w:r>
    </w:p>
    <w:p w14:paraId="7BC56423">
      <w:pPr>
        <w:pStyle w:val="9"/>
        <w:spacing w:after="0"/>
        <w:rPr>
          <w:rFonts w:hint="eastAsia"/>
          <w:color w:val="231F20"/>
          <w:sz w:val="30"/>
        </w:rPr>
      </w:pPr>
    </w:p>
    <w:p w14:paraId="019B8B2F">
      <w:pPr>
        <w:pStyle w:val="9"/>
        <w:spacing w:after="0"/>
        <w:rPr>
          <w:rFonts w:hint="eastAsia"/>
          <w:color w:val="231F20"/>
          <w:sz w:val="30"/>
        </w:rPr>
      </w:pPr>
      <w:r>
        <w:rPr>
          <w:rFonts w:hint="eastAsia"/>
          <w:color w:val="231F20"/>
          <w:sz w:val="30"/>
        </w:rPr>
        <w:t>Sound interesting?</w:t>
      </w:r>
    </w:p>
    <w:p w14:paraId="1C113B78">
      <w:pPr>
        <w:pStyle w:val="9"/>
        <w:spacing w:after="0"/>
        <w:rPr>
          <w:rFonts w:hint="eastAsia"/>
          <w:color w:val="231F20"/>
          <w:sz w:val="30"/>
        </w:rPr>
      </w:pPr>
      <w:r>
        <w:rPr>
          <w:rFonts w:hint="eastAsia"/>
          <w:color w:val="231F20"/>
          <w:sz w:val="30"/>
        </w:rPr>
        <w:t>听起来有趣吗？</w:t>
      </w:r>
    </w:p>
    <w:p w14:paraId="57723F96">
      <w:pPr>
        <w:pStyle w:val="9"/>
        <w:spacing w:after="0"/>
        <w:rPr>
          <w:rFonts w:hint="eastAsia"/>
          <w:color w:val="231F20"/>
          <w:sz w:val="30"/>
        </w:rPr>
      </w:pPr>
    </w:p>
    <w:p w14:paraId="2DF004BF">
      <w:pPr>
        <w:pStyle w:val="9"/>
        <w:spacing w:after="0"/>
        <w:rPr>
          <w:rFonts w:hint="eastAsia"/>
          <w:color w:val="231F20"/>
          <w:sz w:val="30"/>
        </w:rPr>
      </w:pPr>
      <w:r>
        <w:rPr>
          <w:rFonts w:hint="eastAsia"/>
          <w:color w:val="231F20"/>
          <w:sz w:val="30"/>
        </w:rPr>
        <w:t>If so, please meet me in chapter 10!</w:t>
      </w:r>
    </w:p>
    <w:p w14:paraId="3DDB634A">
      <w:pPr>
        <w:pStyle w:val="9"/>
        <w:spacing w:after="0"/>
        <w:sectPr>
          <w:pgSz w:w="12240" w:h="15840"/>
          <w:pgMar w:top="1380" w:right="1440" w:bottom="280" w:left="1440" w:header="720" w:footer="720" w:gutter="0"/>
          <w:cols w:space="720" w:num="1"/>
        </w:sectPr>
      </w:pPr>
      <w:r>
        <w:rPr>
          <w:rFonts w:hint="eastAsia"/>
          <w:color w:val="231F20"/>
          <w:sz w:val="30"/>
        </w:rPr>
        <w:t>如果是，请在第10章与我相会！</w:t>
      </w:r>
    </w:p>
    <w:p w14:paraId="6E881DBD">
      <w:pPr>
        <w:pStyle w:val="2"/>
        <w:bidi w:val="0"/>
        <w:rPr>
          <w:rFonts w:hint="eastAsia"/>
        </w:rPr>
      </w:pPr>
      <w:bookmarkStart w:id="27" w:name="_bookmark38"/>
      <w:bookmarkEnd w:id="27"/>
      <w:bookmarkStart w:id="28" w:name="Chapter 10: Salvation History:A Journey "/>
      <w:bookmarkEnd w:id="28"/>
      <w:r>
        <w:rPr>
          <w:rFonts w:hint="eastAsia"/>
        </w:rPr>
        <w:t>Chapter 10</w:t>
      </w:r>
    </w:p>
    <w:p w14:paraId="65D69DEB">
      <w:pPr>
        <w:pStyle w:val="2"/>
        <w:bidi w:val="0"/>
        <w:rPr>
          <w:rFonts w:hint="eastAsia"/>
        </w:rPr>
      </w:pPr>
      <w:r>
        <w:rPr>
          <w:rFonts w:hint="eastAsia"/>
        </w:rPr>
        <w:t>第十章</w:t>
      </w:r>
    </w:p>
    <w:p w14:paraId="4CEBEDDB">
      <w:pPr>
        <w:pStyle w:val="9"/>
        <w:spacing w:before="8"/>
        <w:ind w:left="0"/>
        <w:jc w:val="left"/>
        <w:rPr>
          <w:rFonts w:hint="eastAsia"/>
          <w:b/>
          <w:sz w:val="30"/>
          <w:szCs w:val="30"/>
        </w:rPr>
      </w:pPr>
    </w:p>
    <w:p w14:paraId="4018CA39">
      <w:pPr>
        <w:pStyle w:val="3"/>
        <w:bidi w:val="0"/>
        <w:rPr>
          <w:rFonts w:hint="eastAsia"/>
        </w:rPr>
      </w:pPr>
      <w:r>
        <w:rPr>
          <w:rFonts w:hint="eastAsia"/>
        </w:rPr>
        <w:t>Salvation History:</w:t>
      </w:r>
    </w:p>
    <w:p w14:paraId="0D4CE133">
      <w:pPr>
        <w:pStyle w:val="3"/>
        <w:bidi w:val="0"/>
        <w:rPr>
          <w:rFonts w:hint="eastAsia"/>
        </w:rPr>
      </w:pPr>
      <w:r>
        <w:rPr>
          <w:rFonts w:hint="eastAsia"/>
        </w:rPr>
        <w:t>救赎历史：</w:t>
      </w:r>
    </w:p>
    <w:p w14:paraId="042235E2">
      <w:pPr>
        <w:pStyle w:val="9"/>
        <w:spacing w:before="8"/>
        <w:ind w:left="0"/>
        <w:jc w:val="left"/>
        <w:rPr>
          <w:rFonts w:hint="eastAsia"/>
          <w:b/>
          <w:sz w:val="30"/>
          <w:szCs w:val="30"/>
        </w:rPr>
      </w:pPr>
    </w:p>
    <w:p w14:paraId="0CC37A1C">
      <w:pPr>
        <w:pStyle w:val="9"/>
        <w:spacing w:before="8"/>
        <w:ind w:left="0"/>
        <w:jc w:val="left"/>
        <w:rPr>
          <w:rFonts w:hint="eastAsia"/>
          <w:b w:val="0"/>
          <w:bCs/>
          <w:sz w:val="30"/>
          <w:szCs w:val="30"/>
        </w:rPr>
      </w:pPr>
      <w:r>
        <w:rPr>
          <w:rFonts w:hint="eastAsia"/>
          <w:b w:val="0"/>
          <w:bCs/>
          <w:sz w:val="30"/>
          <w:szCs w:val="30"/>
        </w:rPr>
        <w:t>A Journey to the Kingdom</w:t>
      </w:r>
    </w:p>
    <w:p w14:paraId="18DF2829">
      <w:pPr>
        <w:pStyle w:val="9"/>
        <w:spacing w:before="8"/>
        <w:ind w:left="0"/>
        <w:jc w:val="left"/>
        <w:rPr>
          <w:rFonts w:hint="eastAsia"/>
          <w:b w:val="0"/>
          <w:bCs/>
          <w:sz w:val="30"/>
          <w:szCs w:val="30"/>
        </w:rPr>
      </w:pPr>
      <w:r>
        <w:rPr>
          <w:rFonts w:hint="eastAsia"/>
          <w:b w:val="0"/>
          <w:bCs/>
          <w:sz w:val="30"/>
          <w:szCs w:val="30"/>
        </w:rPr>
        <w:t>一趟通往国度的旅程</w:t>
      </w:r>
    </w:p>
    <w:p w14:paraId="5DF89C69">
      <w:pPr>
        <w:pStyle w:val="9"/>
        <w:spacing w:before="8"/>
        <w:ind w:left="0"/>
        <w:jc w:val="left"/>
        <w:rPr>
          <w:rFonts w:hint="eastAsia"/>
          <w:b w:val="0"/>
          <w:bCs/>
          <w:sz w:val="30"/>
          <w:szCs w:val="30"/>
        </w:rPr>
      </w:pPr>
    </w:p>
    <w:p w14:paraId="6D126D87">
      <w:pPr>
        <w:pStyle w:val="9"/>
        <w:spacing w:before="8"/>
        <w:ind w:left="0"/>
        <w:jc w:val="left"/>
        <w:rPr>
          <w:rFonts w:hint="eastAsia"/>
          <w:b w:val="0"/>
          <w:bCs/>
          <w:sz w:val="30"/>
          <w:szCs w:val="30"/>
        </w:rPr>
      </w:pPr>
      <w:r>
        <w:rPr>
          <w:rFonts w:hint="eastAsia"/>
          <w:b w:val="0"/>
          <w:bCs/>
          <w:sz w:val="30"/>
          <w:szCs w:val="30"/>
        </w:rPr>
        <w:t>MY PURPOSE IN this chapter is to help you visualize and better understand the nature and course of Salvation History.</w:t>
      </w:r>
    </w:p>
    <w:p w14:paraId="4880B638">
      <w:pPr>
        <w:pStyle w:val="9"/>
        <w:spacing w:before="8"/>
        <w:ind w:left="0"/>
        <w:jc w:val="left"/>
        <w:rPr>
          <w:rFonts w:hint="eastAsia"/>
          <w:b w:val="0"/>
          <w:bCs/>
          <w:sz w:val="30"/>
          <w:szCs w:val="30"/>
        </w:rPr>
      </w:pPr>
      <w:r>
        <w:rPr>
          <w:rFonts w:hint="eastAsia"/>
          <w:b w:val="0"/>
          <w:bCs/>
          <w:sz w:val="30"/>
          <w:szCs w:val="30"/>
        </w:rPr>
        <w:t>我在本章的目的是帮助你形象化并更好地理解救赎历史的性质和进程。</w:t>
      </w:r>
    </w:p>
    <w:p w14:paraId="2204C0A1">
      <w:pPr>
        <w:pStyle w:val="9"/>
        <w:spacing w:before="8"/>
        <w:ind w:left="0"/>
        <w:jc w:val="left"/>
        <w:rPr>
          <w:rFonts w:hint="eastAsia"/>
          <w:b w:val="0"/>
          <w:bCs/>
          <w:sz w:val="30"/>
          <w:szCs w:val="30"/>
        </w:rPr>
      </w:pPr>
    </w:p>
    <w:p w14:paraId="5DAE32F4">
      <w:pPr>
        <w:pStyle w:val="9"/>
        <w:spacing w:before="8"/>
        <w:ind w:left="0"/>
        <w:jc w:val="left"/>
        <w:rPr>
          <w:rFonts w:hint="eastAsia"/>
          <w:b w:val="0"/>
          <w:bCs/>
          <w:sz w:val="30"/>
          <w:szCs w:val="30"/>
        </w:rPr>
      </w:pPr>
      <w:r>
        <w:rPr>
          <w:rFonts w:hint="eastAsia"/>
          <w:b w:val="0"/>
          <w:bCs/>
          <w:sz w:val="30"/>
          <w:szCs w:val="30"/>
        </w:rPr>
        <w:t>To this end, I have worked up four different timeline s.</w:t>
      </w:r>
    </w:p>
    <w:p w14:paraId="3D24B8F7">
      <w:pPr>
        <w:pStyle w:val="9"/>
        <w:spacing w:before="8"/>
        <w:ind w:left="0"/>
        <w:jc w:val="left"/>
        <w:rPr>
          <w:rFonts w:hint="eastAsia"/>
          <w:b w:val="0"/>
          <w:bCs/>
          <w:sz w:val="30"/>
          <w:szCs w:val="30"/>
        </w:rPr>
      </w:pPr>
      <w:r>
        <w:rPr>
          <w:rFonts w:hint="eastAsia"/>
          <w:b w:val="0"/>
          <w:bCs/>
          <w:sz w:val="30"/>
          <w:szCs w:val="30"/>
        </w:rPr>
        <w:t>为此，我制作了四个不同的时间线。</w:t>
      </w:r>
    </w:p>
    <w:p w14:paraId="0B744ABE">
      <w:pPr>
        <w:pStyle w:val="9"/>
        <w:spacing w:before="8"/>
        <w:ind w:left="0"/>
        <w:jc w:val="left"/>
        <w:rPr>
          <w:rFonts w:hint="eastAsia"/>
          <w:b w:val="0"/>
          <w:bCs/>
          <w:sz w:val="30"/>
          <w:szCs w:val="30"/>
        </w:rPr>
      </w:pPr>
    </w:p>
    <w:p w14:paraId="6608C814">
      <w:pPr>
        <w:pStyle w:val="9"/>
        <w:spacing w:before="8"/>
        <w:ind w:left="0"/>
        <w:jc w:val="left"/>
        <w:rPr>
          <w:rFonts w:hint="eastAsia"/>
          <w:b w:val="0"/>
          <w:bCs/>
          <w:sz w:val="30"/>
          <w:szCs w:val="30"/>
        </w:rPr>
      </w:pPr>
      <w:r>
        <w:rPr>
          <w:rFonts w:hint="eastAsia"/>
          <w:b w:val="0"/>
          <w:bCs/>
          <w:sz w:val="30"/>
          <w:szCs w:val="30"/>
        </w:rPr>
        <w:t>Though they all cover the same temporal span, each depicts Salvation History from a slightly different angle, using slightly different biblical terms and concepts.</w:t>
      </w:r>
    </w:p>
    <w:p w14:paraId="4EE687D5">
      <w:pPr>
        <w:pStyle w:val="9"/>
        <w:spacing w:before="8"/>
        <w:ind w:left="0"/>
        <w:jc w:val="left"/>
        <w:rPr>
          <w:rFonts w:hint="eastAsia"/>
          <w:b w:val="0"/>
          <w:bCs/>
          <w:sz w:val="30"/>
          <w:szCs w:val="30"/>
        </w:rPr>
      </w:pPr>
      <w:r>
        <w:rPr>
          <w:rFonts w:hint="eastAsia"/>
          <w:b w:val="0"/>
          <w:bCs/>
          <w:sz w:val="30"/>
          <w:szCs w:val="30"/>
        </w:rPr>
        <w:t>虽然它们都涵盖了相同的时间跨度，但每一个都使用稍有不同的圣经术语和概念，从一个稍有不同的角度来描绘救赎历史。</w:t>
      </w:r>
    </w:p>
    <w:p w14:paraId="32195108">
      <w:pPr>
        <w:pStyle w:val="9"/>
        <w:spacing w:before="8"/>
        <w:ind w:left="0"/>
        <w:jc w:val="left"/>
        <w:rPr>
          <w:rFonts w:hint="eastAsia"/>
          <w:b w:val="0"/>
          <w:bCs/>
          <w:sz w:val="30"/>
          <w:szCs w:val="30"/>
        </w:rPr>
      </w:pPr>
    </w:p>
    <w:p w14:paraId="67537A9B">
      <w:pPr>
        <w:pStyle w:val="9"/>
        <w:spacing w:before="8"/>
        <w:ind w:left="0"/>
        <w:jc w:val="left"/>
        <w:rPr>
          <w:rFonts w:hint="eastAsia"/>
          <w:b w:val="0"/>
          <w:bCs/>
          <w:sz w:val="30"/>
          <w:szCs w:val="30"/>
        </w:rPr>
      </w:pPr>
      <w:r>
        <w:rPr>
          <w:rFonts w:hint="eastAsia"/>
          <w:b w:val="0"/>
          <w:bCs/>
          <w:sz w:val="30"/>
          <w:szCs w:val="30"/>
        </w:rPr>
        <w:t>In the fifth, I simply consolidate material from the other four, in order to achieve the richest possible representation of the heart, soul, and structure of Salvation History.</w:t>
      </w:r>
    </w:p>
    <w:p w14:paraId="59FE2FC9">
      <w:pPr>
        <w:pStyle w:val="9"/>
        <w:spacing w:before="8"/>
        <w:ind w:left="0"/>
        <w:jc w:val="left"/>
        <w:rPr>
          <w:rFonts w:hint="eastAsia"/>
          <w:b w:val="0"/>
          <w:bCs/>
          <w:sz w:val="30"/>
          <w:szCs w:val="30"/>
        </w:rPr>
      </w:pPr>
      <w:r>
        <w:rPr>
          <w:rFonts w:hint="eastAsia"/>
          <w:b w:val="0"/>
          <w:bCs/>
          <w:sz w:val="30"/>
          <w:szCs w:val="30"/>
        </w:rPr>
        <w:t>在第五个时间线中，我只是将前四个的材料整合起来，以便对救赎历史的核心、灵魂和结构作出最丰富的呈现。</w:t>
      </w:r>
    </w:p>
    <w:p w14:paraId="196CEB28">
      <w:pPr>
        <w:pStyle w:val="9"/>
        <w:spacing w:before="8"/>
        <w:ind w:left="0"/>
        <w:jc w:val="left"/>
        <w:rPr>
          <w:rFonts w:hint="eastAsia"/>
          <w:b w:val="0"/>
          <w:bCs/>
          <w:sz w:val="30"/>
          <w:szCs w:val="30"/>
        </w:rPr>
      </w:pPr>
    </w:p>
    <w:p w14:paraId="618BA974">
      <w:pPr>
        <w:pStyle w:val="9"/>
        <w:spacing w:before="8"/>
        <w:ind w:left="0"/>
        <w:jc w:val="left"/>
        <w:rPr>
          <w:rFonts w:hint="eastAsia"/>
          <w:b w:val="0"/>
          <w:bCs/>
          <w:sz w:val="30"/>
          <w:szCs w:val="30"/>
        </w:rPr>
      </w:pPr>
      <w:r>
        <w:rPr>
          <w:rFonts w:hint="eastAsia"/>
          <w:b w:val="0"/>
          <w:bCs/>
          <w:sz w:val="30"/>
          <w:szCs w:val="30"/>
        </w:rPr>
        <w:t>1.The Three Ages of Cosmic History</w:t>
      </w:r>
    </w:p>
    <w:p w14:paraId="5EBC78F0">
      <w:pPr>
        <w:pStyle w:val="9"/>
        <w:spacing w:before="8"/>
        <w:ind w:left="0"/>
        <w:jc w:val="left"/>
        <w:rPr>
          <w:rFonts w:hint="eastAsia"/>
          <w:b w:val="0"/>
          <w:bCs/>
          <w:sz w:val="30"/>
          <w:szCs w:val="30"/>
        </w:rPr>
      </w:pPr>
      <w:r>
        <w:rPr>
          <w:rFonts w:hint="eastAsia"/>
          <w:b w:val="0"/>
          <w:bCs/>
          <w:sz w:val="30"/>
          <w:szCs w:val="30"/>
        </w:rPr>
        <w:t>1. 宇宙历史的三个时代</w:t>
      </w:r>
    </w:p>
    <w:p w14:paraId="2E19DB95">
      <w:pPr>
        <w:pStyle w:val="9"/>
        <w:spacing w:before="8"/>
        <w:ind w:left="0"/>
        <w:jc w:val="left"/>
        <w:rPr>
          <w:rFonts w:hint="eastAsia"/>
          <w:b w:val="0"/>
          <w:bCs/>
          <w:sz w:val="30"/>
          <w:szCs w:val="30"/>
        </w:rPr>
      </w:pPr>
    </w:p>
    <w:p w14:paraId="059134D1">
      <w:pPr>
        <w:pStyle w:val="9"/>
        <w:spacing w:before="8"/>
        <w:ind w:left="0"/>
        <w:jc w:val="left"/>
        <w:rPr>
          <w:b w:val="0"/>
          <w:bCs/>
          <w:sz w:val="8"/>
        </w:rPr>
      </w:pPr>
    </w:p>
    <w:p w14:paraId="4E1ED7D6">
      <w:pPr>
        <w:pStyle w:val="9"/>
        <w:spacing w:before="8"/>
        <w:ind w:left="0"/>
        <w:jc w:val="left"/>
        <w:rPr>
          <w:b w:val="0"/>
          <w:bCs/>
          <w:sz w:val="8"/>
        </w:rPr>
      </w:pPr>
    </w:p>
    <w:p w14:paraId="4B643FCA">
      <w:pPr>
        <w:pStyle w:val="9"/>
        <w:spacing w:before="8"/>
        <w:ind w:left="0"/>
        <w:jc w:val="left"/>
        <w:rPr>
          <w:b w:val="0"/>
          <w:bCs/>
          <w:sz w:val="8"/>
        </w:rPr>
      </w:pPr>
      <w:r>
        <w:rPr>
          <w:b w:val="0"/>
          <w:bCs/>
          <w:sz w:val="8"/>
        </w:rPr>
        <w:drawing>
          <wp:anchor distT="0" distB="0" distL="0" distR="0" simplePos="0" relativeHeight="251664384" behindDoc="1" locked="0" layoutInCell="1" allowOverlap="1">
            <wp:simplePos x="0" y="0"/>
            <wp:positionH relativeFrom="page">
              <wp:posOffset>2369820</wp:posOffset>
            </wp:positionH>
            <wp:positionV relativeFrom="paragraph">
              <wp:posOffset>78740</wp:posOffset>
            </wp:positionV>
            <wp:extent cx="3049905" cy="1243330"/>
            <wp:effectExtent l="0" t="0" r="0" b="0"/>
            <wp:wrapTopAndBottom/>
            <wp:docPr id="70" name="Image 70"/>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21" cstate="print"/>
                    <a:stretch>
                      <a:fillRect/>
                    </a:stretch>
                  </pic:blipFill>
                  <pic:spPr>
                    <a:xfrm>
                      <a:off x="0" y="0"/>
                      <a:ext cx="3050004" cy="1243584"/>
                    </a:xfrm>
                    <a:prstGeom prst="rect">
                      <a:avLst/>
                    </a:prstGeom>
                  </pic:spPr>
                </pic:pic>
              </a:graphicData>
            </a:graphic>
          </wp:anchor>
        </w:drawing>
      </w:r>
    </w:p>
    <w:p w14:paraId="0F46BE5D">
      <w:pPr>
        <w:pStyle w:val="9"/>
        <w:spacing w:before="52"/>
        <w:ind w:left="0"/>
        <w:jc w:val="left"/>
        <w:rPr>
          <w:rFonts w:hint="eastAsia" w:eastAsia="宋体"/>
          <w:b/>
          <w:sz w:val="33"/>
          <w:lang w:eastAsia="zh-CN"/>
        </w:rPr>
      </w:pPr>
      <w:r>
        <w:rPr>
          <w:rFonts w:hint="eastAsia" w:eastAsia="宋体"/>
          <w:b/>
          <w:sz w:val="33"/>
          <w:lang w:eastAsia="zh-CN"/>
        </w:rPr>
        <w:drawing>
          <wp:inline distT="0" distB="0" distL="114300" distR="114300">
            <wp:extent cx="5059680" cy="2072640"/>
            <wp:effectExtent l="0" t="0" r="0" b="0"/>
            <wp:docPr id="4" name="图片 4" descr="62c49f189ce720909d2b446aee2d4e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2c49f189ce720909d2b446aee2d4e09"/>
                    <pic:cNvPicPr>
                      <a:picLocks noChangeAspect="1"/>
                    </pic:cNvPicPr>
                  </pic:nvPicPr>
                  <pic:blipFill>
                    <a:blip r:embed="rId22"/>
                    <a:stretch>
                      <a:fillRect/>
                    </a:stretch>
                  </pic:blipFill>
                  <pic:spPr>
                    <a:xfrm>
                      <a:off x="0" y="0"/>
                      <a:ext cx="5059680" cy="2072640"/>
                    </a:xfrm>
                    <a:prstGeom prst="rect">
                      <a:avLst/>
                    </a:prstGeom>
                  </pic:spPr>
                </pic:pic>
              </a:graphicData>
            </a:graphic>
          </wp:inline>
        </w:drawing>
      </w:r>
    </w:p>
    <w:p w14:paraId="2106AF1E">
      <w:pPr>
        <w:pStyle w:val="9"/>
        <w:spacing w:before="8"/>
        <w:ind w:left="0"/>
        <w:jc w:val="left"/>
        <w:rPr>
          <w:rFonts w:hint="eastAsia"/>
          <w:color w:val="231F20"/>
        </w:rPr>
      </w:pPr>
      <w:r>
        <w:rPr>
          <w:rFonts w:hint="eastAsia"/>
          <w:color w:val="231F20"/>
        </w:rPr>
        <w:t>This Timeline gives the simplest, most fundamental biblical representation of Cosmic History.</w:t>
      </w:r>
    </w:p>
    <w:p w14:paraId="6712C341">
      <w:pPr>
        <w:pStyle w:val="9"/>
        <w:spacing w:before="8"/>
        <w:ind w:left="0"/>
        <w:jc w:val="left"/>
        <w:rPr>
          <w:rFonts w:hint="eastAsia"/>
          <w:color w:val="231F20"/>
        </w:rPr>
      </w:pPr>
      <w:r>
        <w:rPr>
          <w:rFonts w:hint="eastAsia"/>
          <w:color w:val="231F20"/>
        </w:rPr>
        <w:t>这条时间线给出了宇宙历史最简单、最基本的圣经表述。</w:t>
      </w:r>
    </w:p>
    <w:p w14:paraId="0EC729B7">
      <w:pPr>
        <w:pStyle w:val="9"/>
        <w:spacing w:before="8"/>
        <w:ind w:left="0"/>
        <w:jc w:val="left"/>
        <w:rPr>
          <w:rFonts w:hint="eastAsia"/>
          <w:color w:val="231F20"/>
        </w:rPr>
      </w:pPr>
    </w:p>
    <w:p w14:paraId="2AED5DBA">
      <w:pPr>
        <w:pStyle w:val="9"/>
        <w:spacing w:before="8"/>
        <w:ind w:left="0"/>
        <w:jc w:val="left"/>
        <w:rPr>
          <w:rFonts w:hint="eastAsia"/>
          <w:color w:val="231F20"/>
        </w:rPr>
      </w:pPr>
      <w:r>
        <w:rPr>
          <w:rFonts w:hint="eastAsia"/>
          <w:color w:val="231F20"/>
        </w:rPr>
        <w:t>It is based largely upon NT teaching, where we repeatedly find Christ and the apostles speaking of this history in terms of two vast and fundamental ages, this age and the age to come (Greek, aion).</w:t>
      </w:r>
    </w:p>
    <w:p w14:paraId="2A02837A">
      <w:pPr>
        <w:pStyle w:val="9"/>
        <w:spacing w:before="8"/>
        <w:ind w:left="0"/>
        <w:jc w:val="left"/>
        <w:rPr>
          <w:rFonts w:hint="eastAsia"/>
          <w:color w:val="231F20"/>
        </w:rPr>
      </w:pPr>
      <w:r>
        <w:rPr>
          <w:rFonts w:hint="eastAsia"/>
          <w:color w:val="231F20"/>
        </w:rPr>
        <w:t>它主要基于新约的教导，我们反复发现基督和使徒们用两个广阔而基本的时代，即今世和来世（希腊文，aion），来谈论这段历史。</w:t>
      </w:r>
    </w:p>
    <w:p w14:paraId="308FDB4E">
      <w:pPr>
        <w:pStyle w:val="9"/>
        <w:spacing w:before="8"/>
        <w:ind w:left="0"/>
        <w:jc w:val="left"/>
        <w:rPr>
          <w:rFonts w:hint="eastAsia"/>
          <w:color w:val="231F20"/>
        </w:rPr>
      </w:pPr>
    </w:p>
    <w:p w14:paraId="2B913AB8">
      <w:pPr>
        <w:pStyle w:val="9"/>
        <w:spacing w:before="8"/>
        <w:ind w:left="0"/>
        <w:jc w:val="left"/>
        <w:rPr>
          <w:rFonts w:hint="eastAsia"/>
          <w:color w:val="231F20"/>
        </w:rPr>
      </w:pPr>
      <w:r>
        <w:rPr>
          <w:rFonts w:hint="eastAsia"/>
          <w:color w:val="231F20"/>
        </w:rPr>
        <w:t>For example, Jesus declares that blasphemy against the Holy Spirit will not be forgiven, “… either in this age, or in the age to come” (Mt. 12:32).</w:t>
      </w:r>
    </w:p>
    <w:p w14:paraId="7535EAB2">
      <w:pPr>
        <w:pStyle w:val="9"/>
        <w:spacing w:before="8"/>
        <w:ind w:left="0"/>
        <w:jc w:val="left"/>
        <w:rPr>
          <w:rFonts w:hint="eastAsia"/>
          <w:color w:val="231F20"/>
        </w:rPr>
      </w:pPr>
      <w:r>
        <w:rPr>
          <w:rFonts w:hint="eastAsia"/>
          <w:color w:val="231F20"/>
        </w:rPr>
        <w:t>例如，耶稣宣告亵渎圣灵的罪，“……今世来世总不得赦免”（太 12:32）。</w:t>
      </w:r>
    </w:p>
    <w:p w14:paraId="41F3D21A">
      <w:pPr>
        <w:pStyle w:val="9"/>
        <w:spacing w:before="8"/>
        <w:ind w:left="0"/>
        <w:jc w:val="left"/>
        <w:rPr>
          <w:rFonts w:hint="eastAsia"/>
          <w:color w:val="231F20"/>
        </w:rPr>
      </w:pPr>
    </w:p>
    <w:p w14:paraId="54C4D134">
      <w:pPr>
        <w:pStyle w:val="9"/>
        <w:spacing w:before="8"/>
        <w:ind w:left="0"/>
        <w:jc w:val="left"/>
        <w:rPr>
          <w:rFonts w:hint="eastAsia"/>
          <w:color w:val="231F20"/>
        </w:rPr>
      </w:pPr>
      <w:r>
        <w:rPr>
          <w:rFonts w:hint="eastAsia"/>
          <w:color w:val="231F20"/>
        </w:rPr>
        <w:t>Again, he says of those who willingly sacrifice everything for him and the Gospel that “in this time” they will receive many temporal blessings, “… and in the age to come, eternal life” (Mark 10:30).</w:t>
      </w:r>
    </w:p>
    <w:p w14:paraId="61FD59D9">
      <w:pPr>
        <w:pStyle w:val="9"/>
        <w:spacing w:before="8"/>
        <w:ind w:left="0"/>
        <w:jc w:val="left"/>
        <w:rPr>
          <w:rFonts w:hint="eastAsia"/>
          <w:color w:val="231F20"/>
        </w:rPr>
      </w:pPr>
      <w:r>
        <w:rPr>
          <w:rFonts w:hint="eastAsia"/>
          <w:color w:val="231F20"/>
        </w:rPr>
        <w:t>祂又论到那些为祂和福音甘愿牺牲一切的人说，他们“在今世”要得许多属世的福分，“……在来世必得永生”（可 10:30）。</w:t>
      </w:r>
    </w:p>
    <w:p w14:paraId="50B04D8F">
      <w:pPr>
        <w:pStyle w:val="9"/>
        <w:spacing w:before="8"/>
        <w:ind w:left="0"/>
        <w:jc w:val="left"/>
        <w:rPr>
          <w:rFonts w:hint="eastAsia"/>
          <w:color w:val="231F20"/>
        </w:rPr>
      </w:pPr>
    </w:p>
    <w:p w14:paraId="272DF207">
      <w:pPr>
        <w:pStyle w:val="9"/>
        <w:spacing w:before="8"/>
        <w:ind w:left="0"/>
        <w:jc w:val="left"/>
        <w:rPr>
          <w:rFonts w:hint="eastAsia"/>
          <w:color w:val="231F20"/>
        </w:rPr>
      </w:pPr>
      <w:r>
        <w:rPr>
          <w:rFonts w:hint="eastAsia"/>
          <w:color w:val="231F20"/>
        </w:rPr>
        <w:t>And again, speaking of the resurrection of the dead, he says that “the sons of this age” marry and are given in marriage, but that “those who are counted worthy to attain that age” will neither marry nor be given in marriage, since they are like the angels, being sons of the resurrection and sons of God (Luke 20:35-36).</w:t>
      </w:r>
    </w:p>
    <w:p w14:paraId="1C70923A">
      <w:pPr>
        <w:pStyle w:val="9"/>
        <w:spacing w:before="8"/>
        <w:ind w:left="0"/>
        <w:jc w:val="left"/>
        <w:rPr>
          <w:rFonts w:hint="eastAsia"/>
          <w:color w:val="231F20"/>
        </w:rPr>
      </w:pPr>
      <w:r>
        <w:rPr>
          <w:rFonts w:hint="eastAsia"/>
          <w:color w:val="231F20"/>
        </w:rPr>
        <w:t>祂又论到死人复活说，“这世代的儿女”又娶又嫁，但那“算为配得那世代”的人也不娶也不嫁，因为他们像天使一样，是复活的儿女，也是上帝的儿女（路 20:35-36）。</w:t>
      </w:r>
    </w:p>
    <w:p w14:paraId="3AB1E2EA">
      <w:pPr>
        <w:pStyle w:val="9"/>
        <w:spacing w:before="8"/>
        <w:ind w:left="0"/>
        <w:jc w:val="left"/>
        <w:rPr>
          <w:rFonts w:hint="eastAsia"/>
          <w:color w:val="231F20"/>
        </w:rPr>
      </w:pPr>
    </w:p>
    <w:p w14:paraId="1B0B1DD3">
      <w:pPr>
        <w:pStyle w:val="9"/>
        <w:spacing w:before="8"/>
        <w:ind w:left="0"/>
        <w:jc w:val="left"/>
        <w:rPr>
          <w:rFonts w:hint="eastAsia"/>
          <w:color w:val="231F20"/>
        </w:rPr>
      </w:pPr>
      <w:r>
        <w:rPr>
          <w:rFonts w:hint="eastAsia"/>
          <w:color w:val="231F20"/>
        </w:rPr>
        <w:t>From these passages, it is quite clear that the Age (or World) to Come is the final state, the ultimate goal towards which Salvation History is tending.</w:t>
      </w:r>
    </w:p>
    <w:p w14:paraId="415A0D97">
      <w:pPr>
        <w:pStyle w:val="9"/>
        <w:spacing w:before="8"/>
        <w:ind w:left="0"/>
        <w:jc w:val="left"/>
        <w:rPr>
          <w:rFonts w:hint="eastAsia"/>
          <w:color w:val="231F20"/>
        </w:rPr>
      </w:pPr>
      <w:r>
        <w:rPr>
          <w:rFonts w:hint="eastAsia"/>
          <w:color w:val="231F20"/>
        </w:rPr>
        <w:t>从这些经文中，可以很清楚地看到，来世（或未来的世界）是最终的状态，是救赎历史所趋向的终极目标。</w:t>
      </w:r>
    </w:p>
    <w:p w14:paraId="05FAFA98">
      <w:pPr>
        <w:pStyle w:val="9"/>
        <w:spacing w:before="8"/>
        <w:ind w:left="0"/>
        <w:jc w:val="left"/>
        <w:rPr>
          <w:rFonts w:hint="eastAsia"/>
          <w:color w:val="231F20"/>
        </w:rPr>
      </w:pPr>
    </w:p>
    <w:p w14:paraId="3D6D1102">
      <w:pPr>
        <w:pStyle w:val="9"/>
        <w:spacing w:before="8"/>
        <w:ind w:left="0"/>
        <w:jc w:val="left"/>
        <w:rPr>
          <w:rFonts w:hint="eastAsia"/>
          <w:color w:val="231F20"/>
        </w:rPr>
      </w:pPr>
      <w:r>
        <w:rPr>
          <w:rFonts w:hint="eastAsia"/>
          <w:color w:val="231F20"/>
        </w:rPr>
        <w:t>Inaugurated by the resurrection (Acts 26:6-7, Phil. 3:8-11), it is the eternal age of the new heavens and the new earth, wherein the glorified saints receive their full reward for lives well lived, and shine like the sun in its strength in the Kingdom of their Father.</w:t>
      </w:r>
    </w:p>
    <w:p w14:paraId="49FCA1DE">
      <w:pPr>
        <w:pStyle w:val="9"/>
        <w:spacing w:before="8"/>
        <w:ind w:left="0"/>
        <w:jc w:val="left"/>
        <w:rPr>
          <w:rFonts w:hint="eastAsia"/>
          <w:color w:val="231F20"/>
        </w:rPr>
      </w:pPr>
      <w:r>
        <w:rPr>
          <w:rFonts w:hint="eastAsia"/>
          <w:color w:val="231F20"/>
        </w:rPr>
        <w:t>它由复活所开启（徒 26:6-7, 腓 3:8-11），是新天新地的永恒时代，其中得荣耀的圣徒为他们过得好的生活领受完全的赏赐，并在他们父的国里像太阳在其力量中闪耀。</w:t>
      </w:r>
    </w:p>
    <w:p w14:paraId="33FC65A8">
      <w:pPr>
        <w:pStyle w:val="9"/>
        <w:spacing w:before="8"/>
        <w:ind w:left="0"/>
        <w:jc w:val="left"/>
        <w:rPr>
          <w:rFonts w:hint="eastAsia"/>
          <w:color w:val="231F20"/>
        </w:rPr>
      </w:pPr>
    </w:p>
    <w:p w14:paraId="030DBADD">
      <w:pPr>
        <w:pStyle w:val="9"/>
        <w:spacing w:before="8"/>
        <w:ind w:left="0"/>
        <w:jc w:val="left"/>
        <w:rPr>
          <w:rFonts w:hint="eastAsia"/>
          <w:color w:val="231F20"/>
        </w:rPr>
      </w:pPr>
      <w:r>
        <w:rPr>
          <w:rFonts w:hint="eastAsia"/>
          <w:color w:val="231F20"/>
        </w:rPr>
        <w:t>But what of “this age”?</w:t>
      </w:r>
    </w:p>
    <w:p w14:paraId="4698B01E">
      <w:pPr>
        <w:pStyle w:val="9"/>
        <w:spacing w:before="8"/>
        <w:ind w:left="0"/>
        <w:jc w:val="left"/>
        <w:rPr>
          <w:rFonts w:hint="eastAsia"/>
          <w:color w:val="231F20"/>
        </w:rPr>
      </w:pPr>
      <w:r>
        <w:rPr>
          <w:rFonts w:hint="eastAsia"/>
          <w:color w:val="231F20"/>
        </w:rPr>
        <w:t>但“今世”又如何呢？</w:t>
      </w:r>
    </w:p>
    <w:p w14:paraId="1B936F7A">
      <w:pPr>
        <w:pStyle w:val="9"/>
        <w:spacing w:before="8"/>
        <w:ind w:left="0"/>
        <w:jc w:val="left"/>
        <w:rPr>
          <w:rFonts w:hint="eastAsia"/>
          <w:color w:val="231F20"/>
        </w:rPr>
      </w:pPr>
    </w:p>
    <w:p w14:paraId="231727A9">
      <w:pPr>
        <w:pStyle w:val="9"/>
        <w:spacing w:before="8"/>
        <w:ind w:left="0"/>
        <w:jc w:val="left"/>
        <w:rPr>
          <w:rFonts w:hint="eastAsia"/>
          <w:color w:val="231F20"/>
        </w:rPr>
      </w:pPr>
      <w:r>
        <w:rPr>
          <w:rFonts w:hint="eastAsia"/>
          <w:color w:val="231F20"/>
        </w:rPr>
        <w:t>When does it begin, and how long does it last.</w:t>
      </w:r>
    </w:p>
    <w:p w14:paraId="7A9D5A61">
      <w:pPr>
        <w:pStyle w:val="9"/>
        <w:spacing w:before="8"/>
        <w:ind w:left="0"/>
        <w:jc w:val="left"/>
        <w:rPr>
          <w:rFonts w:hint="eastAsia"/>
          <w:color w:val="231F20"/>
        </w:rPr>
      </w:pPr>
      <w:r>
        <w:rPr>
          <w:rFonts w:hint="eastAsia"/>
          <w:color w:val="231F20"/>
        </w:rPr>
        <w:t>它何时开始，又持续多久。</w:t>
      </w:r>
    </w:p>
    <w:p w14:paraId="28B07205">
      <w:pPr>
        <w:pStyle w:val="9"/>
        <w:spacing w:before="8"/>
        <w:ind w:left="0"/>
        <w:jc w:val="left"/>
        <w:rPr>
          <w:rFonts w:hint="eastAsia"/>
          <w:color w:val="231F20"/>
        </w:rPr>
      </w:pPr>
    </w:p>
    <w:p w14:paraId="6531ED47">
      <w:pPr>
        <w:pStyle w:val="9"/>
        <w:spacing w:before="8"/>
        <w:ind w:left="0"/>
        <w:jc w:val="left"/>
        <w:rPr>
          <w:rFonts w:hint="eastAsia"/>
          <w:color w:val="231F20"/>
        </w:rPr>
      </w:pPr>
      <w:r>
        <w:rPr>
          <w:rFonts w:hint="eastAsia"/>
          <w:color w:val="231F20"/>
        </w:rPr>
        <w:t>The texts cited above show that it definitely includes the Era of Proclamation, wherein the saints now toil for the advance of the Kingdom.</w:t>
      </w:r>
    </w:p>
    <w:p w14:paraId="5F2D6CE0">
      <w:pPr>
        <w:pStyle w:val="9"/>
        <w:spacing w:before="8"/>
        <w:ind w:left="0"/>
        <w:jc w:val="left"/>
        <w:rPr>
          <w:rFonts w:hint="eastAsia"/>
          <w:color w:val="231F20"/>
        </w:rPr>
      </w:pPr>
      <w:r>
        <w:rPr>
          <w:rFonts w:hint="eastAsia"/>
          <w:color w:val="231F20"/>
        </w:rPr>
        <w:t>上面引用的经文表明，它肯定包括宣讲的时代，圣徒们现在正为国度的推进而劳苦。</w:t>
      </w:r>
    </w:p>
    <w:p w14:paraId="7A54C148">
      <w:pPr>
        <w:pStyle w:val="9"/>
        <w:spacing w:before="8"/>
        <w:ind w:left="0"/>
        <w:jc w:val="left"/>
        <w:rPr>
          <w:rFonts w:hint="eastAsia"/>
          <w:color w:val="231F20"/>
        </w:rPr>
      </w:pPr>
    </w:p>
    <w:p w14:paraId="3EFFFAA5">
      <w:pPr>
        <w:pStyle w:val="9"/>
        <w:spacing w:before="8"/>
        <w:ind w:left="0"/>
        <w:jc w:val="left"/>
        <w:rPr>
          <w:rFonts w:hint="eastAsia"/>
          <w:color w:val="231F20"/>
        </w:rPr>
      </w:pPr>
      <w:r>
        <w:rPr>
          <w:rFonts w:hint="eastAsia"/>
          <w:color w:val="231F20"/>
        </w:rPr>
        <w:t>Indeed, from Luke 20:35-36, one could argue that it goes all the way back to the beginning, when God created man and woman, and instituted marriage.</w:t>
      </w:r>
    </w:p>
    <w:p w14:paraId="25B81E4A">
      <w:pPr>
        <w:pStyle w:val="9"/>
        <w:spacing w:before="8"/>
        <w:ind w:left="0"/>
        <w:jc w:val="left"/>
        <w:rPr>
          <w:rFonts w:hint="eastAsia"/>
          <w:color w:val="231F20"/>
        </w:rPr>
      </w:pPr>
      <w:r>
        <w:rPr>
          <w:rFonts w:hint="eastAsia"/>
          <w:color w:val="231F20"/>
        </w:rPr>
        <w:t>事实上，从路加福音 20:35-36 可以论证，它可以一直追溯到起初，那时上帝创造了男人和女人，并设立了婚姻。</w:t>
      </w:r>
    </w:p>
    <w:p w14:paraId="20ABF99A">
      <w:pPr>
        <w:pStyle w:val="9"/>
        <w:spacing w:before="8"/>
        <w:ind w:left="0"/>
        <w:jc w:val="left"/>
        <w:rPr>
          <w:rFonts w:hint="eastAsia"/>
          <w:color w:val="231F20"/>
        </w:rPr>
      </w:pPr>
    </w:p>
    <w:p w14:paraId="2A60E588">
      <w:pPr>
        <w:pStyle w:val="9"/>
        <w:spacing w:before="8"/>
        <w:ind w:left="0"/>
        <w:jc w:val="left"/>
        <w:rPr>
          <w:rFonts w:hint="eastAsia"/>
          <w:color w:val="231F20"/>
        </w:rPr>
      </w:pPr>
      <w:r>
        <w:rPr>
          <w:rFonts w:hint="eastAsia"/>
          <w:color w:val="231F20"/>
        </w:rPr>
        <w:t>However, other NT texts supply the final solution.</w:t>
      </w:r>
    </w:p>
    <w:p w14:paraId="30C5152F">
      <w:pPr>
        <w:pStyle w:val="9"/>
        <w:spacing w:before="8"/>
        <w:ind w:left="0"/>
        <w:jc w:val="left"/>
        <w:rPr>
          <w:rFonts w:hint="eastAsia"/>
          <w:color w:val="231F20"/>
        </w:rPr>
      </w:pPr>
      <w:r>
        <w:rPr>
          <w:rFonts w:hint="eastAsia"/>
          <w:color w:val="231F20"/>
        </w:rPr>
        <w:t>然而，其他新约经文提供了最终的解答。</w:t>
      </w:r>
    </w:p>
    <w:p w14:paraId="0D4E7B0D">
      <w:pPr>
        <w:pStyle w:val="9"/>
        <w:spacing w:before="8"/>
        <w:ind w:left="0"/>
        <w:jc w:val="left"/>
        <w:rPr>
          <w:rFonts w:hint="eastAsia"/>
          <w:color w:val="231F20"/>
        </w:rPr>
      </w:pPr>
    </w:p>
    <w:p w14:paraId="44D35DE9">
      <w:pPr>
        <w:pStyle w:val="9"/>
        <w:spacing w:before="8"/>
        <w:ind w:left="0"/>
        <w:jc w:val="left"/>
        <w:rPr>
          <w:rFonts w:hint="eastAsia"/>
          <w:color w:val="231F20"/>
        </w:rPr>
      </w:pPr>
      <w:r>
        <w:rPr>
          <w:rFonts w:hint="eastAsia"/>
          <w:color w:val="231F20"/>
        </w:rPr>
        <w:t>Chief among them is Galatians 1:4, where Paul declares that Christ gave himself for our sins,“… that he might deliver us from this present evil age.”</w:t>
      </w:r>
    </w:p>
    <w:p w14:paraId="7F590B52">
      <w:pPr>
        <w:pStyle w:val="9"/>
        <w:spacing w:before="8"/>
        <w:ind w:left="0"/>
        <w:jc w:val="left"/>
        <w:rPr>
          <w:rFonts w:hint="eastAsia"/>
          <w:color w:val="231F20"/>
        </w:rPr>
      </w:pPr>
      <w:r>
        <w:rPr>
          <w:rFonts w:hint="eastAsia"/>
          <w:color w:val="231F20"/>
        </w:rPr>
        <w:t>其中最主要的是加拉太书 1:4，保罗在那里宣告基督为我们的罪舍己，“……要救我们脱离这现今邪恶的世代。”</w:t>
      </w:r>
    </w:p>
    <w:p w14:paraId="29767996">
      <w:pPr>
        <w:pStyle w:val="9"/>
        <w:spacing w:before="8"/>
        <w:ind w:left="0"/>
        <w:jc w:val="left"/>
        <w:rPr>
          <w:rFonts w:hint="eastAsia"/>
          <w:color w:val="231F20"/>
        </w:rPr>
      </w:pPr>
    </w:p>
    <w:p w14:paraId="08F98BB1">
      <w:pPr>
        <w:pStyle w:val="9"/>
        <w:spacing w:before="8"/>
        <w:ind w:left="0"/>
        <w:jc w:val="left"/>
        <w:rPr>
          <w:rFonts w:hint="eastAsia"/>
          <w:color w:val="231F20"/>
        </w:rPr>
      </w:pPr>
      <w:r>
        <w:rPr>
          <w:rFonts w:hint="eastAsia"/>
          <w:color w:val="231F20"/>
        </w:rPr>
        <w:t>Obviously, for Paul the salient characteristic of “this age” is that it is evil.</w:t>
      </w:r>
    </w:p>
    <w:p w14:paraId="7F5EECD3">
      <w:pPr>
        <w:pStyle w:val="9"/>
        <w:spacing w:before="8"/>
        <w:ind w:left="0"/>
        <w:jc w:val="left"/>
        <w:rPr>
          <w:rFonts w:hint="eastAsia"/>
          <w:color w:val="231F20"/>
        </w:rPr>
      </w:pPr>
      <w:r>
        <w:rPr>
          <w:rFonts w:hint="eastAsia"/>
          <w:color w:val="231F20"/>
        </w:rPr>
        <w:t>显然，对保罗来说，“今世”的显著特征是它是邪恶的。</w:t>
      </w:r>
    </w:p>
    <w:p w14:paraId="09F240E4">
      <w:pPr>
        <w:pStyle w:val="9"/>
        <w:spacing w:before="8"/>
        <w:ind w:left="0"/>
        <w:jc w:val="left"/>
        <w:rPr>
          <w:rFonts w:hint="eastAsia"/>
          <w:color w:val="231F20"/>
        </w:rPr>
      </w:pPr>
    </w:p>
    <w:p w14:paraId="3D0FC686">
      <w:pPr>
        <w:pStyle w:val="9"/>
        <w:spacing w:before="8"/>
        <w:ind w:left="0"/>
        <w:jc w:val="left"/>
        <w:rPr>
          <w:rFonts w:hint="eastAsia"/>
          <w:color w:val="231F20"/>
        </w:rPr>
      </w:pPr>
      <w:r>
        <w:rPr>
          <w:rFonts w:hint="eastAsia"/>
          <w:color w:val="231F20"/>
        </w:rPr>
        <w:t>This in turn implies that it must have begun at the Fall.</w:t>
      </w:r>
    </w:p>
    <w:p w14:paraId="2068B81F">
      <w:pPr>
        <w:pStyle w:val="9"/>
        <w:spacing w:before="8"/>
        <w:ind w:left="0"/>
        <w:jc w:val="left"/>
        <w:rPr>
          <w:rFonts w:hint="eastAsia"/>
          <w:color w:val="231F20"/>
        </w:rPr>
      </w:pPr>
      <w:r>
        <w:rPr>
          <w:rFonts w:hint="eastAsia"/>
          <w:color w:val="231F20"/>
        </w:rPr>
        <w:t>这反过来又意味着它必定始于堕落之时。</w:t>
      </w:r>
    </w:p>
    <w:p w14:paraId="2D0D387F">
      <w:pPr>
        <w:pStyle w:val="9"/>
        <w:spacing w:before="8"/>
        <w:ind w:left="0"/>
        <w:jc w:val="left"/>
        <w:rPr>
          <w:rFonts w:hint="eastAsia"/>
          <w:color w:val="231F20"/>
        </w:rPr>
      </w:pPr>
    </w:p>
    <w:p w14:paraId="423F99D4">
      <w:pPr>
        <w:pStyle w:val="9"/>
        <w:spacing w:before="8"/>
        <w:ind w:left="0"/>
        <w:jc w:val="left"/>
        <w:rPr>
          <w:rFonts w:hint="eastAsia"/>
          <w:color w:val="231F20"/>
        </w:rPr>
      </w:pPr>
      <w:r>
        <w:rPr>
          <w:rFonts w:hint="eastAsia"/>
          <w:color w:val="231F20"/>
        </w:rPr>
        <w:t>As we will see below, other NT texts confirm this view.</w:t>
      </w:r>
    </w:p>
    <w:p w14:paraId="1499C04D">
      <w:pPr>
        <w:pStyle w:val="9"/>
        <w:spacing w:before="8"/>
        <w:ind w:left="0"/>
        <w:jc w:val="left"/>
        <w:rPr>
          <w:rFonts w:hint="eastAsia"/>
          <w:color w:val="231F20"/>
        </w:rPr>
      </w:pPr>
      <w:r>
        <w:rPr>
          <w:rFonts w:hint="eastAsia"/>
          <w:color w:val="231F20"/>
        </w:rPr>
        <w:t>我们将在下面看到，其他新约经文证实了这一观点。</w:t>
      </w:r>
    </w:p>
    <w:p w14:paraId="739C4A5D">
      <w:pPr>
        <w:pStyle w:val="9"/>
        <w:spacing w:before="8"/>
        <w:ind w:left="0"/>
        <w:jc w:val="left"/>
        <w:rPr>
          <w:rFonts w:hint="eastAsia"/>
          <w:color w:val="231F20"/>
        </w:rPr>
      </w:pPr>
    </w:p>
    <w:p w14:paraId="185BA515">
      <w:pPr>
        <w:pStyle w:val="9"/>
        <w:spacing w:before="8"/>
        <w:ind w:left="0"/>
        <w:jc w:val="left"/>
        <w:rPr>
          <w:rFonts w:hint="eastAsia"/>
          <w:color w:val="231F20"/>
        </w:rPr>
      </w:pPr>
      <w:r>
        <w:rPr>
          <w:rFonts w:hint="eastAsia"/>
          <w:color w:val="231F20"/>
        </w:rPr>
        <w:t>Adopting, then, the biblical paradigm of successive ages, we may divide cosmic history into three distinct stages.</w:t>
      </w:r>
    </w:p>
    <w:p w14:paraId="4432B435">
      <w:pPr>
        <w:pStyle w:val="9"/>
        <w:spacing w:before="8"/>
        <w:ind w:left="0"/>
        <w:jc w:val="left"/>
        <w:rPr>
          <w:rFonts w:hint="eastAsia"/>
          <w:color w:val="231F20"/>
        </w:rPr>
      </w:pPr>
      <w:r>
        <w:rPr>
          <w:rFonts w:hint="eastAsia"/>
          <w:color w:val="231F20"/>
        </w:rPr>
        <w:t>那么，采纳圣经中世代相继的范式，我们可以将宇宙历史分为三个不同的阶段。</w:t>
      </w:r>
    </w:p>
    <w:p w14:paraId="59267C46">
      <w:pPr>
        <w:pStyle w:val="9"/>
        <w:spacing w:before="8"/>
        <w:ind w:left="0"/>
        <w:jc w:val="left"/>
        <w:rPr>
          <w:rFonts w:hint="eastAsia"/>
          <w:color w:val="231F20"/>
        </w:rPr>
      </w:pPr>
    </w:p>
    <w:p w14:paraId="0023142B">
      <w:pPr>
        <w:pStyle w:val="9"/>
        <w:spacing w:before="8"/>
        <w:ind w:left="0"/>
        <w:jc w:val="left"/>
        <w:rPr>
          <w:rFonts w:hint="eastAsia"/>
          <w:color w:val="231F20"/>
        </w:rPr>
      </w:pPr>
      <w:r>
        <w:rPr>
          <w:rFonts w:hint="eastAsia"/>
          <w:color w:val="231F20"/>
        </w:rPr>
        <w:t>The first was a very brief age of innocence.</w:t>
      </w:r>
    </w:p>
    <w:p w14:paraId="2AF0D101">
      <w:pPr>
        <w:pStyle w:val="9"/>
        <w:spacing w:before="8"/>
        <w:ind w:left="0"/>
        <w:jc w:val="left"/>
        <w:rPr>
          <w:rFonts w:hint="eastAsia"/>
          <w:color w:val="231F20"/>
        </w:rPr>
      </w:pPr>
      <w:r>
        <w:rPr>
          <w:rFonts w:hint="eastAsia"/>
          <w:color w:val="231F20"/>
        </w:rPr>
        <w:t>第一个是一个非常短暂的无罪时代。</w:t>
      </w:r>
    </w:p>
    <w:p w14:paraId="03EA8DB3">
      <w:pPr>
        <w:pStyle w:val="9"/>
        <w:spacing w:before="8"/>
        <w:ind w:left="0"/>
        <w:jc w:val="left"/>
        <w:rPr>
          <w:rFonts w:hint="eastAsia"/>
          <w:color w:val="231F20"/>
        </w:rPr>
      </w:pPr>
    </w:p>
    <w:p w14:paraId="65C8300B">
      <w:pPr>
        <w:pStyle w:val="9"/>
        <w:spacing w:before="8"/>
        <w:ind w:left="0"/>
        <w:jc w:val="left"/>
        <w:rPr>
          <w:rFonts w:hint="eastAsia"/>
          <w:color w:val="231F20"/>
        </w:rPr>
      </w:pPr>
      <w:r>
        <w:rPr>
          <w:rFonts w:hint="eastAsia"/>
          <w:color w:val="231F20"/>
        </w:rPr>
        <w:t>Spanning the time between God’s creation of the universe and Adam’s fall, it was essentially a season of divine testing.</w:t>
      </w:r>
    </w:p>
    <w:p w14:paraId="731841FA">
      <w:pPr>
        <w:pStyle w:val="9"/>
        <w:spacing w:before="8"/>
        <w:ind w:left="0"/>
        <w:jc w:val="left"/>
        <w:rPr>
          <w:rFonts w:hint="eastAsia"/>
          <w:color w:val="231F20"/>
        </w:rPr>
      </w:pPr>
      <w:r>
        <w:rPr>
          <w:rFonts w:hint="eastAsia"/>
          <w:color w:val="231F20"/>
        </w:rPr>
        <w:t>它跨越了从上帝创造宇宙到亚当堕落之间的时间，本质上是一个神圣察验的时期。</w:t>
      </w:r>
    </w:p>
    <w:p w14:paraId="6D708853">
      <w:pPr>
        <w:pStyle w:val="9"/>
        <w:spacing w:before="8"/>
        <w:ind w:left="0"/>
        <w:jc w:val="left"/>
        <w:rPr>
          <w:rFonts w:hint="eastAsia"/>
          <w:color w:val="231F20"/>
        </w:rPr>
      </w:pPr>
    </w:p>
    <w:p w14:paraId="2CCCC8E4">
      <w:pPr>
        <w:pStyle w:val="9"/>
        <w:spacing w:before="8"/>
        <w:ind w:left="0"/>
        <w:jc w:val="left"/>
        <w:rPr>
          <w:rFonts w:hint="eastAsia"/>
          <w:color w:val="231F20"/>
        </w:rPr>
      </w:pPr>
      <w:r>
        <w:rPr>
          <w:rFonts w:hint="eastAsia"/>
          <w:color w:val="231F20"/>
        </w:rPr>
        <w:t>The second is the present evil age.</w:t>
      </w:r>
    </w:p>
    <w:p w14:paraId="632EDE08">
      <w:pPr>
        <w:pStyle w:val="9"/>
        <w:spacing w:before="8"/>
        <w:ind w:left="0"/>
        <w:jc w:val="left"/>
        <w:rPr>
          <w:rFonts w:hint="eastAsia"/>
          <w:color w:val="231F20"/>
        </w:rPr>
      </w:pPr>
      <w:r>
        <w:rPr>
          <w:rFonts w:hint="eastAsia"/>
          <w:color w:val="231F20"/>
        </w:rPr>
        <w:t>第二个是现今邪恶的世代。</w:t>
      </w:r>
    </w:p>
    <w:p w14:paraId="00614047">
      <w:pPr>
        <w:pStyle w:val="9"/>
        <w:spacing w:before="8"/>
        <w:ind w:left="0"/>
        <w:jc w:val="left"/>
        <w:rPr>
          <w:rFonts w:hint="eastAsia"/>
          <w:color w:val="231F20"/>
        </w:rPr>
      </w:pPr>
    </w:p>
    <w:p w14:paraId="5C098F79">
      <w:pPr>
        <w:pStyle w:val="9"/>
        <w:spacing w:before="8"/>
        <w:ind w:left="0"/>
        <w:jc w:val="left"/>
        <w:rPr>
          <w:rFonts w:hint="eastAsia"/>
          <w:color w:val="231F20"/>
        </w:rPr>
      </w:pPr>
      <w:r>
        <w:rPr>
          <w:rFonts w:hint="eastAsia"/>
          <w:color w:val="231F20"/>
        </w:rPr>
        <w:t>It began with Adam’s fall, has already lasted some 6,000 years, and will continue until the Parousia (Titus 2:12f).</w:t>
      </w:r>
    </w:p>
    <w:p w14:paraId="0F910172">
      <w:pPr>
        <w:pStyle w:val="9"/>
        <w:spacing w:before="8"/>
        <w:ind w:left="0"/>
        <w:jc w:val="left"/>
        <w:rPr>
          <w:rFonts w:hint="eastAsia"/>
          <w:color w:val="231F20"/>
        </w:rPr>
      </w:pPr>
      <w:r>
        <w:rPr>
          <w:rFonts w:hint="eastAsia"/>
          <w:color w:val="231F20"/>
        </w:rPr>
        <w:t>它始于亚当的堕落，已经持续了大约6,000年，并将持续到基督再来（多 2:12f）。</w:t>
      </w:r>
    </w:p>
    <w:p w14:paraId="5A1197EB">
      <w:pPr>
        <w:pStyle w:val="9"/>
        <w:spacing w:before="8"/>
        <w:ind w:left="0"/>
        <w:jc w:val="left"/>
        <w:rPr>
          <w:rFonts w:hint="eastAsia"/>
          <w:color w:val="231F20"/>
        </w:rPr>
      </w:pPr>
    </w:p>
    <w:p w14:paraId="1426778E">
      <w:pPr>
        <w:pStyle w:val="9"/>
        <w:spacing w:before="8"/>
        <w:ind w:left="0"/>
        <w:jc w:val="left"/>
        <w:rPr>
          <w:rFonts w:hint="eastAsia"/>
          <w:color w:val="231F20"/>
        </w:rPr>
      </w:pPr>
      <w:r>
        <w:rPr>
          <w:rFonts w:hint="eastAsia"/>
          <w:color w:val="231F20"/>
        </w:rPr>
        <w:t>As we have seen, throughout this lengthy era God has been about his redemptive work, especially since the first coming of Christ, which inaugurated the spread of the Kingdom to all nations.</w:t>
      </w:r>
    </w:p>
    <w:p w14:paraId="6551276F">
      <w:pPr>
        <w:pStyle w:val="9"/>
        <w:spacing w:before="8"/>
        <w:ind w:left="0"/>
        <w:jc w:val="left"/>
        <w:rPr>
          <w:rFonts w:hint="eastAsia"/>
          <w:color w:val="231F20"/>
        </w:rPr>
      </w:pPr>
      <w:r>
        <w:rPr>
          <w:rFonts w:hint="eastAsia"/>
          <w:color w:val="231F20"/>
        </w:rPr>
        <w:t>我们已经看到，在整个这个漫长的时代中，上帝一直在进行祂的救赎工作，尤其是在基督第一次降临之后，这开启了国度向万国的扩展。</w:t>
      </w:r>
    </w:p>
    <w:p w14:paraId="27B035E5">
      <w:pPr>
        <w:pStyle w:val="9"/>
        <w:spacing w:before="8"/>
        <w:ind w:left="0"/>
        <w:jc w:val="left"/>
        <w:rPr>
          <w:rFonts w:hint="eastAsia"/>
          <w:color w:val="231F20"/>
        </w:rPr>
      </w:pPr>
    </w:p>
    <w:p w14:paraId="09FA69A6">
      <w:pPr>
        <w:pStyle w:val="9"/>
        <w:spacing w:before="8"/>
        <w:ind w:left="0"/>
        <w:jc w:val="left"/>
        <w:rPr>
          <w:rFonts w:hint="eastAsia"/>
          <w:color w:val="231F20"/>
        </w:rPr>
      </w:pPr>
      <w:r>
        <w:rPr>
          <w:rFonts w:hint="eastAsia"/>
          <w:color w:val="231F20"/>
        </w:rPr>
        <w:t>Nevertheless, according to the NT, this age has been, and will remain, fundamentally evil, since the bulk of humanity remains dominated by “the god of this age” (Satan) and “the rulers of the darkness of this age” (2 Cor. 4:4, Eph. 6:12).</w:t>
      </w:r>
    </w:p>
    <w:p w14:paraId="13F2C52B">
      <w:pPr>
        <w:pStyle w:val="9"/>
        <w:spacing w:before="8"/>
        <w:ind w:left="0"/>
        <w:jc w:val="left"/>
        <w:rPr>
          <w:rFonts w:hint="eastAsia"/>
          <w:color w:val="231F20"/>
        </w:rPr>
      </w:pPr>
      <w:r>
        <w:rPr>
          <w:rFonts w:hint="eastAsia"/>
          <w:color w:val="231F20"/>
        </w:rPr>
        <w:t>然而，根据新约，这个世代过去是，并且将继续是，根本上邪恶的，因为大部分人类仍然被“这世代的神”（撒但）和“管辖这幽暗世界的”（林后 4:4, 弗 6:12）所统治。</w:t>
      </w:r>
    </w:p>
    <w:p w14:paraId="566D6D22">
      <w:pPr>
        <w:pStyle w:val="9"/>
        <w:spacing w:before="8"/>
        <w:ind w:left="0"/>
        <w:jc w:val="left"/>
        <w:rPr>
          <w:rFonts w:hint="eastAsia"/>
          <w:color w:val="231F20"/>
        </w:rPr>
      </w:pPr>
    </w:p>
    <w:p w14:paraId="2DF62653">
      <w:pPr>
        <w:pStyle w:val="9"/>
        <w:spacing w:before="8"/>
        <w:ind w:left="0"/>
        <w:jc w:val="left"/>
        <w:rPr>
          <w:rFonts w:hint="eastAsia"/>
          <w:color w:val="231F20"/>
        </w:rPr>
      </w:pPr>
      <w:r>
        <w:rPr>
          <w:rFonts w:hint="eastAsia"/>
          <w:color w:val="231F20"/>
        </w:rPr>
        <w:t>However, in the Gospel, God gives believers hope, a hope that will be fully realized in the Age to Come.</w:t>
      </w:r>
    </w:p>
    <w:p w14:paraId="53B09FC9">
      <w:pPr>
        <w:pStyle w:val="9"/>
        <w:spacing w:before="8"/>
        <w:ind w:left="0"/>
        <w:jc w:val="left"/>
        <w:rPr>
          <w:rFonts w:hint="eastAsia"/>
          <w:color w:val="231F20"/>
        </w:rPr>
      </w:pPr>
      <w:r>
        <w:rPr>
          <w:rFonts w:hint="eastAsia"/>
          <w:color w:val="231F20"/>
        </w:rPr>
        <w:t>然而，在福音中，上帝赐给信徒盼望，这个盼望将在来世完全实现。</w:t>
      </w:r>
    </w:p>
    <w:p w14:paraId="4C7AE526">
      <w:pPr>
        <w:pStyle w:val="9"/>
        <w:spacing w:before="8"/>
        <w:ind w:left="0"/>
        <w:jc w:val="left"/>
        <w:rPr>
          <w:rFonts w:hint="eastAsia"/>
          <w:color w:val="231F20"/>
        </w:rPr>
      </w:pPr>
    </w:p>
    <w:p w14:paraId="0617891F">
      <w:pPr>
        <w:pStyle w:val="9"/>
        <w:spacing w:before="8"/>
        <w:ind w:left="0"/>
        <w:jc w:val="left"/>
        <w:rPr>
          <w:rFonts w:hint="eastAsia"/>
          <w:color w:val="231F20"/>
        </w:rPr>
      </w:pPr>
      <w:r>
        <w:rPr>
          <w:rFonts w:hint="eastAsia"/>
          <w:color w:val="231F20"/>
        </w:rPr>
        <w:t>Beginning at the Parousia, it will extend throughout eternity future.</w:t>
      </w:r>
    </w:p>
    <w:p w14:paraId="644332D1">
      <w:pPr>
        <w:pStyle w:val="9"/>
        <w:spacing w:before="8"/>
        <w:ind w:left="0"/>
        <w:jc w:val="left"/>
        <w:rPr>
          <w:rFonts w:hint="eastAsia"/>
          <w:color w:val="231F20"/>
        </w:rPr>
      </w:pPr>
      <w:r>
        <w:rPr>
          <w:rFonts w:hint="eastAsia"/>
          <w:color w:val="231F20"/>
        </w:rPr>
        <w:t>它始于基督再来，并将延伸至永恒的未来。</w:t>
      </w:r>
    </w:p>
    <w:p w14:paraId="5C9EADE7">
      <w:pPr>
        <w:pStyle w:val="9"/>
        <w:spacing w:before="8"/>
        <w:ind w:left="0"/>
        <w:jc w:val="left"/>
        <w:rPr>
          <w:rFonts w:hint="eastAsia"/>
          <w:color w:val="231F20"/>
        </w:rPr>
      </w:pPr>
    </w:p>
    <w:p w14:paraId="7F8C0855">
      <w:pPr>
        <w:pStyle w:val="9"/>
        <w:spacing w:before="8"/>
        <w:ind w:left="0"/>
        <w:jc w:val="left"/>
        <w:rPr>
          <w:rFonts w:hint="eastAsia"/>
          <w:color w:val="231F20"/>
        </w:rPr>
      </w:pPr>
      <w:r>
        <w:rPr>
          <w:rFonts w:hint="eastAsia"/>
          <w:color w:val="231F20"/>
        </w:rPr>
        <w:t>As we just saw, it is the age of eternal life; the age in which the Kingdom appears in its full and final form.</w:t>
      </w:r>
    </w:p>
    <w:p w14:paraId="160E19BE">
      <w:pPr>
        <w:pStyle w:val="9"/>
        <w:spacing w:before="8"/>
        <w:ind w:left="0"/>
        <w:jc w:val="left"/>
        <w:rPr>
          <w:rFonts w:hint="eastAsia"/>
          <w:color w:val="231F20"/>
        </w:rPr>
      </w:pPr>
      <w:r>
        <w:rPr>
          <w:rFonts w:hint="eastAsia"/>
          <w:color w:val="231F20"/>
        </w:rPr>
        <w:t>正如我们刚才所见，这是永生的时代；是国度以其完整和最终形式显现的时代。</w:t>
      </w:r>
    </w:p>
    <w:p w14:paraId="3C0A580F">
      <w:pPr>
        <w:pStyle w:val="9"/>
        <w:spacing w:before="8"/>
        <w:ind w:left="0"/>
        <w:jc w:val="left"/>
        <w:rPr>
          <w:rFonts w:hint="eastAsia"/>
          <w:color w:val="231F20"/>
        </w:rPr>
      </w:pPr>
    </w:p>
    <w:p w14:paraId="5D36C4E8">
      <w:pPr>
        <w:pStyle w:val="9"/>
        <w:spacing w:before="8"/>
        <w:ind w:left="0"/>
        <w:jc w:val="left"/>
        <w:rPr>
          <w:rFonts w:hint="eastAsia"/>
          <w:color w:val="231F20"/>
        </w:rPr>
      </w:pPr>
      <w:r>
        <w:rPr>
          <w:rFonts w:hint="eastAsia"/>
          <w:color w:val="231F20"/>
        </w:rPr>
        <w:t>Jesus and his apostles exhort all who hear the Gospel to turn to Christ, abide in him, and live for him, so that they may attain the resurrection of the righteous, and the eternal glories of the Age to Come (Luke 20:34-36, John 6:44, 54, 11:25-26, Phil. 3:8-11).</w:t>
      </w:r>
    </w:p>
    <w:p w14:paraId="6CF76373">
      <w:pPr>
        <w:pStyle w:val="9"/>
        <w:spacing w:before="8"/>
        <w:ind w:left="0"/>
        <w:jc w:val="left"/>
        <w:rPr>
          <w:rFonts w:hint="eastAsia"/>
          <w:color w:val="231F20"/>
        </w:rPr>
      </w:pPr>
      <w:r>
        <w:rPr>
          <w:rFonts w:hint="eastAsia"/>
          <w:color w:val="231F20"/>
        </w:rPr>
        <w:t>耶稣和祂的使徒们劝勉所有听到福音的人归向基督，住在祂里面，并为祂而活，以便他们可以得着义人的复活，以及来世永恒的荣耀（路 20:34-36, 约 6:44, 54, 11:25-26, 腓 3:8-11）。</w:t>
      </w:r>
    </w:p>
    <w:p w14:paraId="7A9585BA">
      <w:pPr>
        <w:pStyle w:val="9"/>
        <w:spacing w:before="8"/>
        <w:ind w:left="0"/>
        <w:jc w:val="left"/>
        <w:rPr>
          <w:rFonts w:hint="eastAsia"/>
          <w:color w:val="231F20"/>
        </w:rPr>
      </w:pPr>
    </w:p>
    <w:p w14:paraId="0D38E372">
      <w:pPr>
        <w:pStyle w:val="9"/>
        <w:spacing w:before="8"/>
        <w:ind w:left="0"/>
        <w:jc w:val="left"/>
        <w:rPr>
          <w:rFonts w:hint="eastAsia"/>
          <w:color w:val="231F20"/>
        </w:rPr>
      </w:pPr>
      <w:r>
        <w:rPr>
          <w:rFonts w:hint="eastAsia"/>
          <w:color w:val="231F20"/>
        </w:rPr>
        <w:t>2.Salvation History:</w:t>
      </w:r>
    </w:p>
    <w:p w14:paraId="3666040C">
      <w:pPr>
        <w:pStyle w:val="9"/>
        <w:spacing w:before="8"/>
        <w:ind w:left="0"/>
        <w:jc w:val="left"/>
        <w:rPr>
          <w:rFonts w:hint="eastAsia"/>
          <w:color w:val="231F20"/>
        </w:rPr>
      </w:pPr>
      <w:r>
        <w:rPr>
          <w:rFonts w:hint="eastAsia"/>
          <w:color w:val="231F20"/>
        </w:rPr>
        <w:t>2. 救赎历史：</w:t>
      </w:r>
    </w:p>
    <w:p w14:paraId="22A53912">
      <w:pPr>
        <w:pStyle w:val="9"/>
        <w:spacing w:before="8"/>
        <w:ind w:left="0"/>
        <w:jc w:val="left"/>
        <w:rPr>
          <w:rFonts w:hint="eastAsia"/>
          <w:color w:val="231F20"/>
        </w:rPr>
      </w:pPr>
    </w:p>
    <w:p w14:paraId="5D753169">
      <w:pPr>
        <w:pStyle w:val="9"/>
        <w:spacing w:before="8"/>
        <w:ind w:left="0"/>
        <w:jc w:val="left"/>
        <w:rPr>
          <w:rFonts w:hint="eastAsia"/>
          <w:color w:val="231F20"/>
        </w:rPr>
      </w:pPr>
      <w:r>
        <w:rPr>
          <w:rFonts w:hint="eastAsia"/>
          <w:color w:val="231F20"/>
        </w:rPr>
        <w:t>Successive Administrations of the Eternal Covenant</w:t>
      </w:r>
    </w:p>
    <w:p w14:paraId="36F034D9">
      <w:pPr>
        <w:pStyle w:val="9"/>
        <w:spacing w:before="8"/>
        <w:ind w:left="0"/>
        <w:jc w:val="left"/>
        <w:rPr>
          <w:rFonts w:hint="eastAsia"/>
          <w:color w:val="231F20"/>
        </w:rPr>
      </w:pPr>
      <w:r>
        <w:rPr>
          <w:rFonts w:hint="eastAsia"/>
          <w:color w:val="231F20"/>
        </w:rPr>
        <w:t>永恒之约的相继施行</w:t>
      </w:r>
    </w:p>
    <w:p w14:paraId="35696089">
      <w:pPr>
        <w:pStyle w:val="9"/>
        <w:spacing w:before="8"/>
        <w:ind w:left="0"/>
        <w:jc w:val="left"/>
        <w:rPr>
          <w:rFonts w:hint="eastAsia"/>
          <w:color w:val="231F20"/>
        </w:rPr>
      </w:pPr>
    </w:p>
    <w:p w14:paraId="0E527637">
      <w:pPr>
        <w:pStyle w:val="9"/>
        <w:spacing w:before="8"/>
        <w:ind w:left="0"/>
        <w:jc w:val="left"/>
        <w:rPr>
          <w:rFonts w:hint="eastAsia"/>
          <w:color w:val="231F20"/>
        </w:rPr>
      </w:pPr>
    </w:p>
    <w:p w14:paraId="6EBED238">
      <w:pPr>
        <w:pStyle w:val="9"/>
        <w:spacing w:before="8"/>
        <w:ind w:left="0"/>
        <w:jc w:val="left"/>
        <w:rPr>
          <w:rFonts w:hint="eastAsia"/>
          <w:color w:val="231F20"/>
        </w:rPr>
      </w:pPr>
      <w:r>
        <w:rPr>
          <w:b/>
          <w:sz w:val="13"/>
        </w:rPr>
        <w:drawing>
          <wp:anchor distT="0" distB="0" distL="0" distR="0" simplePos="0" relativeHeight="251664384" behindDoc="1" locked="0" layoutInCell="1" allowOverlap="1">
            <wp:simplePos x="0" y="0"/>
            <wp:positionH relativeFrom="page">
              <wp:posOffset>1204595</wp:posOffset>
            </wp:positionH>
            <wp:positionV relativeFrom="paragraph">
              <wp:posOffset>-12065</wp:posOffset>
            </wp:positionV>
            <wp:extent cx="4929505" cy="2618740"/>
            <wp:effectExtent l="0" t="0" r="8255" b="2540"/>
            <wp:wrapTopAndBottom/>
            <wp:docPr id="71" name="Image 71"/>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23" cstate="print"/>
                    <a:stretch>
                      <a:fillRect/>
                    </a:stretch>
                  </pic:blipFill>
                  <pic:spPr>
                    <a:xfrm>
                      <a:off x="0" y="0"/>
                      <a:ext cx="4929505" cy="2618740"/>
                    </a:xfrm>
                    <a:prstGeom prst="rect">
                      <a:avLst/>
                    </a:prstGeom>
                  </pic:spPr>
                </pic:pic>
              </a:graphicData>
            </a:graphic>
          </wp:anchor>
        </w:drawing>
      </w:r>
    </w:p>
    <w:p w14:paraId="58368AC3">
      <w:pPr>
        <w:pStyle w:val="9"/>
        <w:spacing w:before="8"/>
        <w:ind w:left="0"/>
        <w:jc w:val="left"/>
        <w:rPr>
          <w:rFonts w:hint="eastAsia"/>
          <w:color w:val="231F20"/>
        </w:rPr>
      </w:pPr>
      <w:r>
        <w:rPr>
          <w:rFonts w:hint="eastAsia" w:eastAsia="宋体"/>
          <w:b/>
          <w:sz w:val="33"/>
          <w:lang w:eastAsia="zh-CN"/>
        </w:rPr>
        <w:drawing>
          <wp:inline distT="0" distB="0" distL="114300" distR="114300">
            <wp:extent cx="5120640" cy="2926080"/>
            <wp:effectExtent l="0" t="0" r="0" b="0"/>
            <wp:docPr id="5" name="图片 5" descr="2253b09165bb4e362ffc364dd478f4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253b09165bb4e362ffc364dd478f4a6"/>
                    <pic:cNvPicPr>
                      <a:picLocks noChangeAspect="1"/>
                    </pic:cNvPicPr>
                  </pic:nvPicPr>
                  <pic:blipFill>
                    <a:blip r:embed="rId24"/>
                    <a:stretch>
                      <a:fillRect/>
                    </a:stretch>
                  </pic:blipFill>
                  <pic:spPr>
                    <a:xfrm>
                      <a:off x="0" y="0"/>
                      <a:ext cx="5120640" cy="2926080"/>
                    </a:xfrm>
                    <a:prstGeom prst="rect">
                      <a:avLst/>
                    </a:prstGeom>
                  </pic:spPr>
                </pic:pic>
              </a:graphicData>
            </a:graphic>
          </wp:inline>
        </w:drawing>
      </w:r>
    </w:p>
    <w:p w14:paraId="1835BA1F">
      <w:pPr>
        <w:pStyle w:val="9"/>
        <w:spacing w:before="88"/>
        <w:ind w:left="0"/>
        <w:jc w:val="left"/>
        <w:rPr>
          <w:rFonts w:hint="eastAsia" w:eastAsia="宋体"/>
          <w:b/>
          <w:sz w:val="33"/>
          <w:lang w:eastAsia="zh-CN"/>
        </w:rPr>
      </w:pPr>
    </w:p>
    <w:p w14:paraId="5DF78B24">
      <w:pPr>
        <w:pStyle w:val="9"/>
        <w:spacing w:before="88"/>
        <w:ind w:left="0"/>
        <w:jc w:val="left"/>
        <w:rPr>
          <w:rFonts w:hint="eastAsia" w:eastAsia="宋体"/>
          <w:b/>
          <w:sz w:val="33"/>
          <w:lang w:eastAsia="zh-CN"/>
        </w:rPr>
      </w:pPr>
    </w:p>
    <w:p w14:paraId="0D01E794">
      <w:pPr>
        <w:pStyle w:val="9"/>
        <w:spacing w:before="88"/>
        <w:ind w:left="0"/>
        <w:jc w:val="left"/>
        <w:rPr>
          <w:rFonts w:hint="eastAsia" w:eastAsia="宋体"/>
          <w:b/>
          <w:sz w:val="33"/>
          <w:lang w:eastAsia="zh-CN"/>
        </w:rPr>
      </w:pPr>
    </w:p>
    <w:p w14:paraId="4D1FD0DA">
      <w:pPr>
        <w:pStyle w:val="9"/>
        <w:spacing w:before="18" w:line="249" w:lineRule="auto"/>
        <w:ind w:right="99" w:firstLine="450"/>
        <w:rPr>
          <w:rFonts w:hint="eastAsia"/>
          <w:color w:val="231F20"/>
        </w:rPr>
      </w:pPr>
      <w:r>
        <w:rPr>
          <w:rFonts w:hint="eastAsia"/>
          <w:color w:val="231F20"/>
        </w:rPr>
        <w:t>This Timeline is based on the material we covered in chapter 7.</w:t>
      </w:r>
    </w:p>
    <w:p w14:paraId="34919AC4">
      <w:pPr>
        <w:pStyle w:val="9"/>
        <w:spacing w:before="18" w:line="249" w:lineRule="auto"/>
        <w:ind w:right="99" w:firstLine="450"/>
        <w:rPr>
          <w:rFonts w:hint="eastAsia"/>
          <w:color w:val="231F20"/>
        </w:rPr>
      </w:pPr>
      <w:r>
        <w:rPr>
          <w:rFonts w:hint="eastAsia"/>
          <w:color w:val="231F20"/>
        </w:rPr>
        <w:t>这条时间线基于我们在第七章所涵盖的材料。</w:t>
      </w:r>
    </w:p>
    <w:p w14:paraId="4CD5B24D">
      <w:pPr>
        <w:pStyle w:val="9"/>
        <w:spacing w:before="18" w:line="249" w:lineRule="auto"/>
        <w:ind w:right="99" w:firstLine="450"/>
        <w:rPr>
          <w:rFonts w:hint="eastAsia"/>
          <w:color w:val="231F20"/>
        </w:rPr>
      </w:pPr>
    </w:p>
    <w:p w14:paraId="33A2F0C4">
      <w:pPr>
        <w:pStyle w:val="9"/>
        <w:spacing w:before="18" w:line="249" w:lineRule="auto"/>
        <w:ind w:right="99" w:firstLine="450"/>
        <w:rPr>
          <w:rFonts w:hint="eastAsia"/>
          <w:color w:val="231F20"/>
        </w:rPr>
      </w:pPr>
      <w:r>
        <w:rPr>
          <w:rFonts w:hint="eastAsia"/>
          <w:color w:val="231F20"/>
        </w:rPr>
        <w:t>It is designed to portray Salvation History in terms of its inmost essence: the Eternal Covenant, and the successive administrations thereof in time and space.</w:t>
      </w:r>
    </w:p>
    <w:p w14:paraId="6434DB1A">
      <w:pPr>
        <w:pStyle w:val="9"/>
        <w:spacing w:before="18" w:line="249" w:lineRule="auto"/>
        <w:ind w:right="99" w:firstLine="450"/>
        <w:rPr>
          <w:rFonts w:hint="eastAsia"/>
          <w:color w:val="231F20"/>
        </w:rPr>
      </w:pPr>
      <w:r>
        <w:rPr>
          <w:rFonts w:hint="eastAsia"/>
          <w:color w:val="231F20"/>
        </w:rPr>
        <w:t>它旨在以救赎历史最内在的本质来描绘它：即永恒之约，及其在时间和空间中的相继施行。</w:t>
      </w:r>
    </w:p>
    <w:p w14:paraId="770BE8DF">
      <w:pPr>
        <w:pStyle w:val="9"/>
        <w:spacing w:before="18" w:line="249" w:lineRule="auto"/>
        <w:ind w:right="99" w:firstLine="450"/>
        <w:rPr>
          <w:rFonts w:hint="eastAsia"/>
          <w:color w:val="231F20"/>
        </w:rPr>
      </w:pPr>
    </w:p>
    <w:p w14:paraId="49ABA121">
      <w:pPr>
        <w:pStyle w:val="9"/>
        <w:spacing w:before="18" w:line="249" w:lineRule="auto"/>
        <w:ind w:right="99" w:firstLine="450"/>
        <w:rPr>
          <w:rFonts w:hint="eastAsia"/>
          <w:color w:val="231F20"/>
        </w:rPr>
      </w:pPr>
      <w:r>
        <w:rPr>
          <w:rFonts w:hint="eastAsia"/>
          <w:color w:val="231F20"/>
        </w:rPr>
        <w:t>As we will see in a moment, it is both easy and fascinating to depict Salvation History in terms of the (coming of the) Kingdom of God.</w:t>
      </w:r>
    </w:p>
    <w:p w14:paraId="66B27FD9">
      <w:pPr>
        <w:pStyle w:val="9"/>
        <w:spacing w:before="18" w:line="249" w:lineRule="auto"/>
        <w:ind w:right="99" w:firstLine="450"/>
        <w:rPr>
          <w:rFonts w:hint="eastAsia"/>
          <w:color w:val="231F20"/>
        </w:rPr>
      </w:pPr>
      <w:r>
        <w:rPr>
          <w:rFonts w:hint="eastAsia"/>
          <w:color w:val="231F20"/>
        </w:rPr>
        <w:t>我们马上就会看到，用上帝之国（的降临）来描绘救赎历史，既简单又引人入胜。</w:t>
      </w:r>
    </w:p>
    <w:p w14:paraId="2301A468">
      <w:pPr>
        <w:pStyle w:val="9"/>
        <w:spacing w:before="18" w:line="249" w:lineRule="auto"/>
        <w:ind w:right="99" w:firstLine="450"/>
        <w:rPr>
          <w:rFonts w:hint="eastAsia"/>
          <w:color w:val="231F20"/>
        </w:rPr>
      </w:pPr>
    </w:p>
    <w:p w14:paraId="2390A7CE">
      <w:pPr>
        <w:pStyle w:val="9"/>
        <w:spacing w:before="18" w:line="249" w:lineRule="auto"/>
        <w:ind w:right="99" w:firstLine="450"/>
        <w:rPr>
          <w:rFonts w:hint="eastAsia"/>
          <w:color w:val="231F20"/>
        </w:rPr>
      </w:pPr>
      <w:r>
        <w:rPr>
          <w:rFonts w:hint="eastAsia"/>
          <w:color w:val="231F20"/>
        </w:rPr>
        <w:t>But to do so—and to leave matters there—is indeed to behold the body, but to miss the heart and soul that animates the body.</w:t>
      </w:r>
    </w:p>
    <w:p w14:paraId="36BAFEEA">
      <w:pPr>
        <w:pStyle w:val="9"/>
        <w:spacing w:before="18" w:line="249" w:lineRule="auto"/>
        <w:ind w:right="99" w:firstLine="450"/>
        <w:rPr>
          <w:rFonts w:hint="eastAsia"/>
          <w:color w:val="231F20"/>
        </w:rPr>
      </w:pPr>
      <w:r>
        <w:rPr>
          <w:rFonts w:hint="eastAsia"/>
          <w:color w:val="231F20"/>
        </w:rPr>
        <w:t>但若只这样做——就此打住——就真的是只见其形，未见其使身体有生命的灵魂和心脏了。</w:t>
      </w:r>
    </w:p>
    <w:p w14:paraId="73E28D64">
      <w:pPr>
        <w:pStyle w:val="9"/>
        <w:spacing w:before="18" w:line="249" w:lineRule="auto"/>
        <w:ind w:right="99" w:firstLine="450"/>
        <w:rPr>
          <w:rFonts w:hint="eastAsia"/>
          <w:color w:val="231F20"/>
        </w:rPr>
      </w:pPr>
    </w:p>
    <w:p w14:paraId="09ECE73C">
      <w:pPr>
        <w:pStyle w:val="9"/>
        <w:spacing w:before="18" w:line="249" w:lineRule="auto"/>
        <w:ind w:right="99" w:firstLine="450"/>
        <w:rPr>
          <w:rFonts w:hint="eastAsia"/>
          <w:color w:val="231F20"/>
        </w:rPr>
      </w:pPr>
      <w:r>
        <w:rPr>
          <w:rFonts w:hint="eastAsia"/>
          <w:color w:val="231F20"/>
        </w:rPr>
        <w:t>What, after all, is the Kingdom?</w:t>
      </w:r>
    </w:p>
    <w:p w14:paraId="261B78FB">
      <w:pPr>
        <w:pStyle w:val="9"/>
        <w:spacing w:before="18" w:line="249" w:lineRule="auto"/>
        <w:ind w:right="99" w:firstLine="450"/>
        <w:rPr>
          <w:rFonts w:hint="eastAsia"/>
          <w:color w:val="231F20"/>
        </w:rPr>
      </w:pPr>
      <w:r>
        <w:rPr>
          <w:rFonts w:hint="eastAsia"/>
          <w:color w:val="231F20"/>
        </w:rPr>
        <w:t>毕竟，国度是什么呢？</w:t>
      </w:r>
    </w:p>
    <w:p w14:paraId="393DD4F2">
      <w:pPr>
        <w:pStyle w:val="9"/>
        <w:spacing w:before="18" w:line="249" w:lineRule="auto"/>
        <w:ind w:right="99" w:firstLine="450"/>
        <w:rPr>
          <w:rFonts w:hint="eastAsia"/>
          <w:color w:val="231F20"/>
        </w:rPr>
      </w:pPr>
    </w:p>
    <w:p w14:paraId="62B07C8B">
      <w:pPr>
        <w:pStyle w:val="9"/>
        <w:spacing w:before="18" w:line="249" w:lineRule="auto"/>
        <w:ind w:right="99" w:firstLine="450"/>
        <w:rPr>
          <w:rFonts w:hint="eastAsia"/>
          <w:color w:val="231F20"/>
        </w:rPr>
      </w:pPr>
      <w:r>
        <w:rPr>
          <w:rFonts w:hint="eastAsia"/>
          <w:color w:val="231F20"/>
        </w:rPr>
        <w:t>Is it not simply the Promise of the Eternal Covenant of Grace, a Promise made possible to the Parties of the Covenant (and the citizens of the Kingdom) by the Provision of the Covenant, who is Christ?</w:t>
      </w:r>
    </w:p>
    <w:p w14:paraId="37C41050">
      <w:pPr>
        <w:pStyle w:val="9"/>
        <w:spacing w:before="18" w:line="249" w:lineRule="auto"/>
        <w:ind w:right="99" w:firstLine="450"/>
        <w:rPr>
          <w:rFonts w:hint="eastAsia"/>
          <w:color w:val="231F20"/>
        </w:rPr>
      </w:pPr>
      <w:r>
        <w:rPr>
          <w:rFonts w:hint="eastAsia"/>
          <w:color w:val="231F20"/>
        </w:rPr>
        <w:t>难道它不就是永恒恩典之约的应许，一个由基督，即圣约的预备，使之成为可能，赐给圣约的立约方（和国度的公民）的应许吗？</w:t>
      </w:r>
    </w:p>
    <w:p w14:paraId="2D7DA89F">
      <w:pPr>
        <w:pStyle w:val="9"/>
        <w:spacing w:before="18" w:line="249" w:lineRule="auto"/>
        <w:ind w:right="99" w:firstLine="450"/>
        <w:rPr>
          <w:rFonts w:hint="eastAsia"/>
          <w:color w:val="231F20"/>
        </w:rPr>
      </w:pPr>
    </w:p>
    <w:p w14:paraId="2CD062E1">
      <w:pPr>
        <w:pStyle w:val="9"/>
        <w:spacing w:before="18" w:line="249" w:lineRule="auto"/>
        <w:ind w:right="99" w:firstLine="450"/>
        <w:rPr>
          <w:rFonts w:hint="eastAsia"/>
          <w:color w:val="231F20"/>
        </w:rPr>
      </w:pPr>
      <w:r>
        <w:rPr>
          <w:rFonts w:hint="eastAsia"/>
          <w:color w:val="231F20"/>
        </w:rPr>
        <w:t>So then, above all else, let us be sure to understand and enjoy Salvation History from the inside out, from the heart, from the point of view of the (successive administrations of the) Eternal Covenant.</w:t>
      </w:r>
    </w:p>
    <w:p w14:paraId="10C03B90">
      <w:pPr>
        <w:pStyle w:val="9"/>
        <w:spacing w:before="18" w:line="249" w:lineRule="auto"/>
        <w:ind w:right="99" w:firstLine="450"/>
        <w:rPr>
          <w:rFonts w:hint="eastAsia"/>
          <w:color w:val="231F20"/>
        </w:rPr>
      </w:pPr>
      <w:r>
        <w:rPr>
          <w:rFonts w:hint="eastAsia"/>
          <w:color w:val="231F20"/>
        </w:rPr>
        <w:t>那么，最重要的是，让我们务必从内到外，从心底，从（永恒之约的相继施行）的角度来理解和享受救赎历史。</w:t>
      </w:r>
    </w:p>
    <w:p w14:paraId="6F84C397">
      <w:pPr>
        <w:pStyle w:val="9"/>
        <w:spacing w:before="18" w:line="249" w:lineRule="auto"/>
        <w:ind w:right="99" w:firstLine="450"/>
        <w:rPr>
          <w:rFonts w:hint="eastAsia"/>
          <w:color w:val="231F20"/>
        </w:rPr>
      </w:pPr>
    </w:p>
    <w:p w14:paraId="2705629F">
      <w:pPr>
        <w:pStyle w:val="9"/>
        <w:spacing w:before="18" w:line="249" w:lineRule="auto"/>
        <w:ind w:right="99" w:firstLine="450"/>
        <w:rPr>
          <w:rFonts w:hint="eastAsia"/>
          <w:color w:val="231F20"/>
        </w:rPr>
      </w:pPr>
      <w:r>
        <w:rPr>
          <w:rFonts w:hint="eastAsia"/>
          <w:color w:val="231F20"/>
        </w:rPr>
        <w:t>Having already discussed the various elements of this timeline , I will not again delve into them here.</w:t>
      </w:r>
    </w:p>
    <w:p w14:paraId="0A885D0C">
      <w:pPr>
        <w:pStyle w:val="9"/>
        <w:spacing w:before="18" w:line="249" w:lineRule="auto"/>
        <w:ind w:right="99" w:firstLine="450"/>
        <w:rPr>
          <w:rFonts w:hint="eastAsia"/>
          <w:color w:val="231F20"/>
        </w:rPr>
      </w:pPr>
      <w:r>
        <w:rPr>
          <w:rFonts w:hint="eastAsia"/>
          <w:color w:val="231F20"/>
        </w:rPr>
        <w:t>既然我们已经讨论过这个时间线的各个要素，我将不再在此处深入探讨它们。</w:t>
      </w:r>
    </w:p>
    <w:p w14:paraId="369C27FA">
      <w:pPr>
        <w:pStyle w:val="9"/>
        <w:spacing w:before="18" w:line="249" w:lineRule="auto"/>
        <w:ind w:right="99" w:firstLine="450"/>
        <w:rPr>
          <w:rFonts w:hint="eastAsia"/>
          <w:color w:val="231F20"/>
        </w:rPr>
      </w:pPr>
    </w:p>
    <w:p w14:paraId="528B3537">
      <w:pPr>
        <w:pStyle w:val="9"/>
        <w:spacing w:before="18" w:line="249" w:lineRule="auto"/>
        <w:ind w:right="99" w:firstLine="450"/>
        <w:rPr>
          <w:rFonts w:hint="eastAsia"/>
          <w:color w:val="231F20"/>
        </w:rPr>
      </w:pPr>
      <w:r>
        <w:rPr>
          <w:rFonts w:hint="eastAsia"/>
          <w:color w:val="231F20"/>
        </w:rPr>
        <w:t>I will, however, offer a brief review so as to give the sense of the diagram.</w:t>
      </w:r>
    </w:p>
    <w:p w14:paraId="1F7F8D7C">
      <w:pPr>
        <w:pStyle w:val="9"/>
        <w:spacing w:before="18" w:line="249" w:lineRule="auto"/>
        <w:ind w:right="99" w:firstLine="450"/>
        <w:rPr>
          <w:rFonts w:hint="eastAsia"/>
          <w:color w:val="231F20"/>
        </w:rPr>
      </w:pPr>
      <w:r>
        <w:rPr>
          <w:rFonts w:hint="eastAsia"/>
          <w:color w:val="231F20"/>
        </w:rPr>
        <w:t>然而，我将提供一个简要的回顾，以帮助理解这个图示。</w:t>
      </w:r>
    </w:p>
    <w:p w14:paraId="2E82698B">
      <w:pPr>
        <w:pStyle w:val="9"/>
        <w:spacing w:before="18" w:line="249" w:lineRule="auto"/>
        <w:ind w:right="99" w:firstLine="450"/>
        <w:rPr>
          <w:rFonts w:hint="eastAsia"/>
          <w:color w:val="231F20"/>
        </w:rPr>
      </w:pPr>
    </w:p>
    <w:p w14:paraId="39EA6816">
      <w:pPr>
        <w:pStyle w:val="9"/>
        <w:spacing w:before="18" w:line="249" w:lineRule="auto"/>
        <w:ind w:right="99" w:firstLine="450"/>
        <w:rPr>
          <w:rFonts w:hint="eastAsia"/>
          <w:color w:val="231F20"/>
        </w:rPr>
      </w:pPr>
      <w:r>
        <w:rPr>
          <w:rFonts w:hint="eastAsia"/>
          <w:color w:val="231F20"/>
        </w:rPr>
        <w:t>The Eternal Covenant</w:t>
      </w:r>
    </w:p>
    <w:p w14:paraId="02A6DB6E">
      <w:pPr>
        <w:pStyle w:val="9"/>
        <w:spacing w:before="18" w:line="249" w:lineRule="auto"/>
        <w:ind w:right="99" w:firstLine="450"/>
        <w:rPr>
          <w:rFonts w:hint="eastAsia"/>
          <w:color w:val="231F20"/>
        </w:rPr>
      </w:pPr>
      <w:r>
        <w:rPr>
          <w:rFonts w:hint="eastAsia"/>
          <w:color w:val="231F20"/>
        </w:rPr>
        <w:t>永恒之约</w:t>
      </w:r>
    </w:p>
    <w:p w14:paraId="04537ACD">
      <w:pPr>
        <w:pStyle w:val="9"/>
        <w:spacing w:before="18" w:line="249" w:lineRule="auto"/>
        <w:ind w:right="99" w:firstLine="450"/>
        <w:rPr>
          <w:rFonts w:hint="eastAsia"/>
          <w:color w:val="231F20"/>
        </w:rPr>
      </w:pPr>
    </w:p>
    <w:p w14:paraId="10E3E80E">
      <w:pPr>
        <w:pStyle w:val="9"/>
        <w:spacing w:before="18" w:line="249" w:lineRule="auto"/>
        <w:ind w:right="99" w:firstLine="450"/>
        <w:rPr>
          <w:rFonts w:hint="eastAsia"/>
          <w:color w:val="231F20"/>
        </w:rPr>
      </w:pPr>
      <w:r>
        <w:rPr>
          <w:rFonts w:hint="eastAsia"/>
          <w:color w:val="231F20"/>
        </w:rPr>
        <w:t>As our Timeline indicates, the Eternal Covenant was planned in eternity past; it lay hidden in God even before the foundation of the world.</w:t>
      </w:r>
    </w:p>
    <w:p w14:paraId="3663A9BF">
      <w:pPr>
        <w:pStyle w:val="9"/>
        <w:spacing w:before="18" w:line="249" w:lineRule="auto"/>
        <w:ind w:right="99" w:firstLine="450"/>
        <w:rPr>
          <w:rFonts w:hint="eastAsia"/>
          <w:color w:val="231F20"/>
        </w:rPr>
      </w:pPr>
      <w:r>
        <w:rPr>
          <w:rFonts w:hint="eastAsia"/>
          <w:color w:val="231F20"/>
        </w:rPr>
        <w:t>正如我们的时间线所示，永恒之约是在永恒的过去计划好的；它在创世以前就隐藏在上帝里面。</w:t>
      </w:r>
    </w:p>
    <w:p w14:paraId="77E9BA31">
      <w:pPr>
        <w:pStyle w:val="9"/>
        <w:spacing w:before="18" w:line="249" w:lineRule="auto"/>
        <w:ind w:right="99" w:firstLine="450"/>
        <w:rPr>
          <w:rFonts w:hint="eastAsia"/>
          <w:color w:val="231F20"/>
        </w:rPr>
      </w:pPr>
    </w:p>
    <w:p w14:paraId="51C45203">
      <w:pPr>
        <w:pStyle w:val="9"/>
        <w:spacing w:before="18" w:line="249" w:lineRule="auto"/>
        <w:ind w:right="99" w:firstLine="450"/>
        <w:rPr>
          <w:rFonts w:hint="eastAsia"/>
          <w:color w:val="231F20"/>
        </w:rPr>
      </w:pPr>
      <w:r>
        <w:rPr>
          <w:rFonts w:hint="eastAsia"/>
          <w:color w:val="231F20"/>
        </w:rPr>
        <w:t>It is the greatest of all NT mysteries: the one redemptive arrangement by which God the Father, for the greater glory of himself and his Son, purposes to redeem a chosen people for eternal life with him in his glorious Kingdom.</w:t>
      </w:r>
    </w:p>
    <w:p w14:paraId="483DCF7C">
      <w:pPr>
        <w:pStyle w:val="9"/>
        <w:spacing w:before="18" w:line="249" w:lineRule="auto"/>
        <w:ind w:right="99" w:firstLine="450"/>
        <w:rPr>
          <w:rFonts w:hint="eastAsia"/>
          <w:color w:val="231F20"/>
        </w:rPr>
      </w:pPr>
      <w:r>
        <w:rPr>
          <w:rFonts w:hint="eastAsia"/>
          <w:color w:val="231F20"/>
        </w:rPr>
        <w:t>它是所有新约奥秘中最伟大的：是父上帝为了祂自己和祂儿子的更大荣耀，定意要藉以救赎一群被拣选的子民，使他们在祂荣耀的国度里与祂同享永生的唯一救赎安排。</w:t>
      </w:r>
    </w:p>
    <w:p w14:paraId="1287F222">
      <w:pPr>
        <w:pStyle w:val="9"/>
        <w:spacing w:before="18" w:line="249" w:lineRule="auto"/>
        <w:ind w:right="99" w:firstLine="450"/>
        <w:rPr>
          <w:rFonts w:hint="eastAsia"/>
          <w:color w:val="231F20"/>
        </w:rPr>
      </w:pPr>
    </w:p>
    <w:p w14:paraId="1C025BCE">
      <w:pPr>
        <w:pStyle w:val="9"/>
        <w:spacing w:before="18" w:line="249" w:lineRule="auto"/>
        <w:ind w:right="99" w:firstLine="450"/>
        <w:rPr>
          <w:rFonts w:hint="eastAsia"/>
          <w:color w:val="231F20"/>
        </w:rPr>
      </w:pPr>
      <w:r>
        <w:rPr>
          <w:rFonts w:hint="eastAsia"/>
          <w:color w:val="231F20"/>
        </w:rPr>
        <w:t>This is a two-sided Covenant.</w:t>
      </w:r>
    </w:p>
    <w:p w14:paraId="28FFD6FF">
      <w:pPr>
        <w:pStyle w:val="9"/>
        <w:spacing w:before="18" w:line="249" w:lineRule="auto"/>
        <w:ind w:right="99" w:firstLine="450"/>
        <w:rPr>
          <w:rFonts w:hint="eastAsia"/>
          <w:color w:val="231F20"/>
        </w:rPr>
      </w:pPr>
      <w:r>
        <w:rPr>
          <w:rFonts w:hint="eastAsia"/>
          <w:color w:val="231F20"/>
        </w:rPr>
        <w:t>这是一个双面的约。</w:t>
      </w:r>
    </w:p>
    <w:p w14:paraId="6BEF4CF9">
      <w:pPr>
        <w:pStyle w:val="9"/>
        <w:spacing w:before="18" w:line="249" w:lineRule="auto"/>
        <w:ind w:right="99" w:firstLine="450"/>
        <w:rPr>
          <w:rFonts w:hint="eastAsia"/>
          <w:color w:val="231F20"/>
        </w:rPr>
      </w:pPr>
    </w:p>
    <w:p w14:paraId="0BDBFD5F">
      <w:pPr>
        <w:pStyle w:val="9"/>
        <w:spacing w:before="18" w:line="249" w:lineRule="auto"/>
        <w:ind w:right="99" w:firstLine="450"/>
        <w:rPr>
          <w:rFonts w:hint="eastAsia"/>
          <w:color w:val="231F20"/>
        </w:rPr>
      </w:pPr>
      <w:r>
        <w:rPr>
          <w:rFonts w:hint="eastAsia"/>
          <w:color w:val="231F20"/>
        </w:rPr>
        <w:t>In the first side—the Covenant of Redemption—the Father and Son agree that by his incarnation the Son will become the Last Adam.</w:t>
      </w:r>
    </w:p>
    <w:p w14:paraId="554EC757">
      <w:pPr>
        <w:pStyle w:val="9"/>
        <w:spacing w:before="18" w:line="249" w:lineRule="auto"/>
        <w:ind w:right="99" w:firstLine="450"/>
        <w:rPr>
          <w:rFonts w:hint="eastAsia"/>
          <w:color w:val="231F20"/>
        </w:rPr>
      </w:pPr>
      <w:r>
        <w:rPr>
          <w:rFonts w:hint="eastAsia"/>
          <w:color w:val="231F20"/>
        </w:rPr>
        <w:t>在第一方面——救赎之约——父与子同意，子将藉着祂的道成肉身成为末后的亚当。</w:t>
      </w:r>
    </w:p>
    <w:p w14:paraId="50696747">
      <w:pPr>
        <w:pStyle w:val="9"/>
        <w:spacing w:before="18" w:line="249" w:lineRule="auto"/>
        <w:ind w:right="99" w:firstLine="450"/>
        <w:rPr>
          <w:rFonts w:hint="eastAsia"/>
          <w:color w:val="231F20"/>
        </w:rPr>
      </w:pPr>
    </w:p>
    <w:p w14:paraId="5EACC793">
      <w:pPr>
        <w:pStyle w:val="9"/>
        <w:spacing w:before="18" w:line="249" w:lineRule="auto"/>
        <w:ind w:right="99" w:firstLine="450"/>
        <w:rPr>
          <w:rFonts w:hint="eastAsia"/>
          <w:color w:val="231F20"/>
        </w:rPr>
      </w:pPr>
      <w:r>
        <w:rPr>
          <w:rFonts w:hint="eastAsia"/>
          <w:color w:val="231F20"/>
        </w:rPr>
        <w:t>His twofold mission will be to do what the First Adam failed to do (i.e., fulfill the Covenant of Works), and to undo what the first Adam had done (i.e., subject the race to a Domain of Darkness).</w:t>
      </w:r>
    </w:p>
    <w:p w14:paraId="3CBCE27D">
      <w:pPr>
        <w:pStyle w:val="9"/>
        <w:spacing w:before="18" w:line="249" w:lineRule="auto"/>
        <w:ind w:right="99" w:firstLine="450"/>
        <w:rPr>
          <w:rFonts w:hint="eastAsia"/>
          <w:color w:val="231F20"/>
        </w:rPr>
      </w:pPr>
      <w:r>
        <w:rPr>
          <w:rFonts w:hint="eastAsia"/>
          <w:color w:val="231F20"/>
        </w:rPr>
        <w:t>祂的双重使命将是做首先的亚当没有做到的事（即，成全行为之约），并撤销首先的亚当所做的事（即，使人类屈服于黑暗的权势之下）。</w:t>
      </w:r>
    </w:p>
    <w:p w14:paraId="693C9640">
      <w:pPr>
        <w:pStyle w:val="9"/>
        <w:spacing w:before="18" w:line="249" w:lineRule="auto"/>
        <w:ind w:right="99" w:firstLine="450"/>
        <w:rPr>
          <w:rFonts w:hint="eastAsia"/>
          <w:color w:val="231F20"/>
        </w:rPr>
      </w:pPr>
    </w:p>
    <w:p w14:paraId="5BABB3A5">
      <w:pPr>
        <w:pStyle w:val="9"/>
        <w:spacing w:before="18" w:line="249" w:lineRule="auto"/>
        <w:ind w:right="99" w:firstLine="450"/>
        <w:rPr>
          <w:rFonts w:hint="eastAsia"/>
          <w:color w:val="231F20"/>
        </w:rPr>
      </w:pPr>
      <w:r>
        <w:rPr>
          <w:rFonts w:hint="eastAsia"/>
          <w:color w:val="231F20"/>
        </w:rPr>
        <w:t>Since this redemptive mission will involve a profound humiliation on the part of the Son, the Father also covenants highly to exalt him as Head over all, vesting him with all authority in heaven and earth, so that he himself may apply and consummate the redemption that he secured at so great a cost.</w:t>
      </w:r>
    </w:p>
    <w:p w14:paraId="12E34928">
      <w:pPr>
        <w:pStyle w:val="9"/>
        <w:spacing w:before="18" w:line="249" w:lineRule="auto"/>
        <w:ind w:right="99" w:firstLine="450"/>
        <w:rPr>
          <w:rFonts w:hint="eastAsia"/>
          <w:color w:val="231F20"/>
        </w:rPr>
      </w:pPr>
      <w:r>
        <w:rPr>
          <w:rFonts w:hint="eastAsia"/>
          <w:color w:val="231F20"/>
        </w:rPr>
        <w:t>由于这个救赎使命将涉及子的深刻降卑，父也立约要高举祂作万有之首，授予祂天上地下所有的权柄，以便祂自己可以施行并成全祂以如此大的代价所获得的救赎。</w:t>
      </w:r>
    </w:p>
    <w:p w14:paraId="76D7410A">
      <w:pPr>
        <w:pStyle w:val="9"/>
        <w:spacing w:before="18" w:line="249" w:lineRule="auto"/>
        <w:ind w:right="99" w:firstLine="450"/>
        <w:rPr>
          <w:rFonts w:hint="eastAsia"/>
          <w:color w:val="231F20"/>
        </w:rPr>
      </w:pPr>
    </w:p>
    <w:p w14:paraId="28D47A8A">
      <w:pPr>
        <w:pStyle w:val="9"/>
        <w:spacing w:before="18" w:line="249" w:lineRule="auto"/>
        <w:ind w:right="99" w:firstLine="450"/>
        <w:rPr>
          <w:rFonts w:hint="eastAsia"/>
          <w:color w:val="231F20"/>
        </w:rPr>
      </w:pPr>
      <w:r>
        <w:rPr>
          <w:rFonts w:hint="eastAsia"/>
          <w:color w:val="231F20"/>
        </w:rPr>
        <w:t>In the second side—the Covenant of Grace—the Father purposes graciously to enter history, time and time again, to interface with sinful men, offer them the redemption that is found in Christ, and unfailingly draw his elect into a covenant of life, the eternal life found in his Son and offered to man in Eden.</w:t>
      </w:r>
    </w:p>
    <w:p w14:paraId="612BC42D">
      <w:pPr>
        <w:pStyle w:val="9"/>
        <w:spacing w:before="18" w:line="249" w:lineRule="auto"/>
        <w:ind w:right="99" w:firstLine="450"/>
        <w:rPr>
          <w:rFonts w:hint="eastAsia"/>
          <w:color w:val="231F20"/>
        </w:rPr>
      </w:pPr>
      <w:r>
        <w:rPr>
          <w:rFonts w:hint="eastAsia"/>
          <w:color w:val="231F20"/>
        </w:rPr>
        <w:t>在第二方面——恩典之约——父定意要恩慈地进入历史，一次又一次地与有罪的世人交往，向他们提供在基督里的救赎，并万无一失地将祂的选民带入一个生命的约，即在祂儿子里找到并在伊甸园提供给人的永生。</w:t>
      </w:r>
    </w:p>
    <w:p w14:paraId="11F83638">
      <w:pPr>
        <w:pStyle w:val="9"/>
        <w:spacing w:before="18" w:line="249" w:lineRule="auto"/>
        <w:ind w:right="99" w:firstLine="450"/>
        <w:rPr>
          <w:rFonts w:hint="eastAsia"/>
          <w:color w:val="231F20"/>
        </w:rPr>
      </w:pPr>
    </w:p>
    <w:p w14:paraId="463D7937">
      <w:pPr>
        <w:pStyle w:val="9"/>
        <w:spacing w:before="18" w:line="249" w:lineRule="auto"/>
        <w:ind w:right="99" w:firstLine="450"/>
        <w:rPr>
          <w:rFonts w:hint="eastAsia"/>
          <w:color w:val="231F20"/>
        </w:rPr>
      </w:pPr>
      <w:r>
        <w:rPr>
          <w:rFonts w:hint="eastAsia"/>
          <w:color w:val="231F20"/>
        </w:rPr>
        <w:t>In speaking of the several administrations of the Eternal Covenant, our Timeline primarily has in view the Covenant of Grace.</w:t>
      </w:r>
    </w:p>
    <w:p w14:paraId="04AA31F8">
      <w:pPr>
        <w:pStyle w:val="9"/>
        <w:spacing w:before="18" w:line="249" w:lineRule="auto"/>
        <w:ind w:right="99" w:firstLine="450"/>
        <w:rPr>
          <w:rFonts w:hint="eastAsia"/>
          <w:color w:val="231F20"/>
        </w:rPr>
      </w:pPr>
      <w:r>
        <w:rPr>
          <w:rFonts w:hint="eastAsia"/>
          <w:color w:val="231F20"/>
        </w:rPr>
        <w:t>在谈论永恒之约的几次施行时，我们的时间线主要着眼于恩典之约。</w:t>
      </w:r>
    </w:p>
    <w:p w14:paraId="77AE98AA">
      <w:pPr>
        <w:pStyle w:val="9"/>
        <w:spacing w:before="18" w:line="249" w:lineRule="auto"/>
        <w:ind w:right="99" w:firstLine="450"/>
        <w:rPr>
          <w:rFonts w:hint="eastAsia"/>
          <w:color w:val="231F20"/>
        </w:rPr>
      </w:pPr>
    </w:p>
    <w:p w14:paraId="47544074">
      <w:pPr>
        <w:pStyle w:val="9"/>
        <w:spacing w:before="18" w:line="249" w:lineRule="auto"/>
        <w:ind w:right="99" w:firstLine="450"/>
        <w:rPr>
          <w:rFonts w:hint="eastAsia"/>
          <w:color w:val="231F20"/>
        </w:rPr>
      </w:pPr>
      <w:r>
        <w:rPr>
          <w:rFonts w:hint="eastAsia"/>
          <w:color w:val="231F20"/>
        </w:rPr>
        <w:t>The Covenant of Works</w:t>
      </w:r>
    </w:p>
    <w:p w14:paraId="30BB7F92">
      <w:pPr>
        <w:pStyle w:val="9"/>
        <w:spacing w:before="18" w:line="249" w:lineRule="auto"/>
        <w:ind w:right="99" w:firstLine="450"/>
        <w:rPr>
          <w:rFonts w:hint="eastAsia"/>
          <w:color w:val="231F20"/>
        </w:rPr>
      </w:pPr>
      <w:r>
        <w:rPr>
          <w:rFonts w:hint="eastAsia"/>
          <w:color w:val="231F20"/>
        </w:rPr>
        <w:t>行为之约</w:t>
      </w:r>
    </w:p>
    <w:p w14:paraId="47443B48">
      <w:pPr>
        <w:pStyle w:val="9"/>
        <w:spacing w:before="18" w:line="249" w:lineRule="auto"/>
        <w:ind w:right="99" w:firstLine="450"/>
        <w:rPr>
          <w:rFonts w:hint="eastAsia"/>
          <w:color w:val="231F20"/>
        </w:rPr>
      </w:pPr>
    </w:p>
    <w:p w14:paraId="35ADA3C5">
      <w:pPr>
        <w:pStyle w:val="9"/>
        <w:spacing w:before="18" w:line="249" w:lineRule="auto"/>
        <w:ind w:right="99" w:firstLine="450"/>
        <w:rPr>
          <w:rFonts w:hint="eastAsia"/>
          <w:color w:val="231F20"/>
        </w:rPr>
      </w:pPr>
      <w:r>
        <w:rPr>
          <w:rFonts w:hint="eastAsia"/>
          <w:color w:val="231F20"/>
        </w:rPr>
        <w:t>Between the Creation and the Fall, Adam—and the entire family of man that he represented—dwelt in Eden under a Covenant of Works.</w:t>
      </w:r>
    </w:p>
    <w:p w14:paraId="706D0325">
      <w:pPr>
        <w:pStyle w:val="9"/>
        <w:spacing w:before="18" w:line="249" w:lineRule="auto"/>
        <w:ind w:right="99" w:firstLine="450"/>
        <w:rPr>
          <w:rFonts w:hint="eastAsia"/>
          <w:color w:val="231F20"/>
        </w:rPr>
      </w:pPr>
      <w:r>
        <w:rPr>
          <w:rFonts w:hint="eastAsia"/>
          <w:color w:val="231F20"/>
        </w:rPr>
        <w:t>在创造与堕落之间，亚当——以及他所代表的全人类——在伊甸园中生活在行为之约之下。</w:t>
      </w:r>
    </w:p>
    <w:p w14:paraId="09167FA2">
      <w:pPr>
        <w:pStyle w:val="9"/>
        <w:spacing w:before="18" w:line="249" w:lineRule="auto"/>
        <w:ind w:right="99" w:firstLine="450"/>
        <w:rPr>
          <w:rFonts w:hint="eastAsia"/>
          <w:color w:val="231F20"/>
        </w:rPr>
      </w:pPr>
    </w:p>
    <w:p w14:paraId="2D068EF3">
      <w:pPr>
        <w:pStyle w:val="9"/>
        <w:spacing w:before="18" w:line="249" w:lineRule="auto"/>
        <w:ind w:right="99" w:firstLine="450"/>
        <w:rPr>
          <w:rFonts w:hint="eastAsia"/>
          <w:color w:val="231F20"/>
        </w:rPr>
      </w:pPr>
      <w:r>
        <w:rPr>
          <w:rFonts w:hint="eastAsia"/>
          <w:color w:val="231F20"/>
        </w:rPr>
        <w:t>With the benefit of biblical hindsight, we can see the terms of this temporary probation quite clearly.</w:t>
      </w:r>
    </w:p>
    <w:p w14:paraId="099C2D6F">
      <w:pPr>
        <w:pStyle w:val="9"/>
        <w:spacing w:before="18" w:line="249" w:lineRule="auto"/>
        <w:ind w:right="99" w:firstLine="450"/>
        <w:rPr>
          <w:rFonts w:hint="eastAsia"/>
          <w:color w:val="231F20"/>
        </w:rPr>
      </w:pPr>
      <w:r>
        <w:rPr>
          <w:rFonts w:hint="eastAsia"/>
          <w:color w:val="231F20"/>
        </w:rPr>
        <w:t>借着圣经的后见之明，我们可以相当清楚地看到这次临时察验的条款。</w:t>
      </w:r>
    </w:p>
    <w:p w14:paraId="46441716">
      <w:pPr>
        <w:pStyle w:val="9"/>
        <w:spacing w:before="18" w:line="249" w:lineRule="auto"/>
        <w:ind w:right="99" w:firstLine="450"/>
        <w:rPr>
          <w:rFonts w:hint="eastAsia"/>
          <w:color w:val="231F20"/>
        </w:rPr>
      </w:pPr>
    </w:p>
    <w:p w14:paraId="1B35BBE6">
      <w:pPr>
        <w:pStyle w:val="9"/>
        <w:spacing w:before="18" w:line="249" w:lineRule="auto"/>
        <w:ind w:right="99" w:firstLine="450"/>
        <w:rPr>
          <w:rFonts w:hint="eastAsia"/>
          <w:color w:val="231F20"/>
        </w:rPr>
      </w:pPr>
      <w:r>
        <w:rPr>
          <w:rFonts w:hint="eastAsia"/>
          <w:color w:val="231F20"/>
        </w:rPr>
        <w:t>Negatively, Adam had only to obey God’s word by refusing to eat of the Tree of the Knowledge of Good and Evil.</w:t>
      </w:r>
    </w:p>
    <w:p w14:paraId="27A75B49">
      <w:pPr>
        <w:pStyle w:val="9"/>
        <w:spacing w:before="18" w:line="249" w:lineRule="auto"/>
        <w:ind w:right="99" w:firstLine="450"/>
        <w:rPr>
          <w:rFonts w:hint="eastAsia"/>
          <w:color w:val="231F20"/>
        </w:rPr>
      </w:pPr>
      <w:r>
        <w:rPr>
          <w:rFonts w:hint="eastAsia"/>
          <w:color w:val="231F20"/>
        </w:rPr>
        <w:t>负面上，亚当只需顺服上帝的话，不吃分别善恶树上的果子。</w:t>
      </w:r>
    </w:p>
    <w:p w14:paraId="70305E9F">
      <w:pPr>
        <w:pStyle w:val="9"/>
        <w:spacing w:before="18" w:line="249" w:lineRule="auto"/>
        <w:ind w:right="99" w:firstLine="450"/>
        <w:rPr>
          <w:rFonts w:hint="eastAsia"/>
          <w:color w:val="231F20"/>
        </w:rPr>
      </w:pPr>
    </w:p>
    <w:p w14:paraId="2265C1AF">
      <w:pPr>
        <w:pStyle w:val="9"/>
        <w:spacing w:before="18" w:line="249" w:lineRule="auto"/>
        <w:ind w:right="99" w:firstLine="450"/>
        <w:rPr>
          <w:rFonts w:hint="eastAsia"/>
          <w:color w:val="231F20"/>
        </w:rPr>
      </w:pPr>
      <w:r>
        <w:rPr>
          <w:rFonts w:hint="eastAsia"/>
          <w:color w:val="231F20"/>
        </w:rPr>
        <w:t>Positively, he had only to eat from the Tree of Life, thereby entering into eternal communion with the Triune God and beginning his walk through history beneath the divine headship of the Son.</w:t>
      </w:r>
    </w:p>
    <w:p w14:paraId="19AD7480">
      <w:pPr>
        <w:pStyle w:val="9"/>
        <w:spacing w:before="18" w:line="249" w:lineRule="auto"/>
        <w:ind w:right="99" w:firstLine="450"/>
        <w:rPr>
          <w:rFonts w:hint="eastAsia"/>
          <w:color w:val="231F20"/>
        </w:rPr>
      </w:pPr>
      <w:r>
        <w:rPr>
          <w:rFonts w:hint="eastAsia"/>
          <w:color w:val="231F20"/>
        </w:rPr>
        <w:t>正面地，他只需吃生命树上的果子，从而进入与三一上帝永恒的交通，并在子的神圣元首地位之下开始他在历史中的行走。</w:t>
      </w:r>
    </w:p>
    <w:p w14:paraId="127359F9">
      <w:pPr>
        <w:pStyle w:val="9"/>
        <w:spacing w:before="18" w:line="249" w:lineRule="auto"/>
        <w:ind w:right="99" w:firstLine="450"/>
        <w:rPr>
          <w:rFonts w:hint="eastAsia"/>
          <w:color w:val="231F20"/>
        </w:rPr>
      </w:pPr>
    </w:p>
    <w:p w14:paraId="5BEA584D">
      <w:pPr>
        <w:pStyle w:val="9"/>
        <w:spacing w:before="18" w:line="249" w:lineRule="auto"/>
        <w:ind w:right="99" w:firstLine="450"/>
        <w:rPr>
          <w:rFonts w:hint="eastAsia"/>
          <w:color w:val="231F20"/>
        </w:rPr>
      </w:pPr>
      <w:r>
        <w:rPr>
          <w:rFonts w:hint="eastAsia"/>
          <w:color w:val="231F20"/>
        </w:rPr>
        <w:t>His sin, however, plunged him (and his family and his world) into complete captivity to a host of deadly physical and spiritual enemies, thereby cutting off all access to the Tree of Life.</w:t>
      </w:r>
    </w:p>
    <w:p w14:paraId="73E13D99">
      <w:pPr>
        <w:pStyle w:val="9"/>
        <w:spacing w:before="18" w:line="249" w:lineRule="auto"/>
        <w:ind w:right="99" w:firstLine="450"/>
        <w:rPr>
          <w:rFonts w:hint="eastAsia"/>
          <w:color w:val="231F20"/>
        </w:rPr>
      </w:pPr>
      <w:r>
        <w:rPr>
          <w:rFonts w:hint="eastAsia"/>
          <w:color w:val="231F20"/>
        </w:rPr>
        <w:t>然而，他的罪将他（以及他的家庭和他的世界）完全掳于一群致命的属肉体和属灵的仇敌之下，从而切断了通往生命树的一切途径。</w:t>
      </w:r>
    </w:p>
    <w:p w14:paraId="1CDA30E8">
      <w:pPr>
        <w:pStyle w:val="9"/>
        <w:spacing w:before="18" w:line="249" w:lineRule="auto"/>
        <w:ind w:right="99" w:firstLine="450"/>
        <w:rPr>
          <w:rFonts w:hint="eastAsia"/>
          <w:color w:val="231F20"/>
        </w:rPr>
      </w:pPr>
    </w:p>
    <w:p w14:paraId="0CEA0CB2">
      <w:pPr>
        <w:pStyle w:val="9"/>
        <w:spacing w:before="18" w:line="249" w:lineRule="auto"/>
        <w:ind w:right="99" w:firstLine="450"/>
        <w:rPr>
          <w:rFonts w:hint="eastAsia"/>
          <w:color w:val="231F20"/>
        </w:rPr>
      </w:pPr>
      <w:r>
        <w:rPr>
          <w:rFonts w:hint="eastAsia"/>
          <w:color w:val="231F20"/>
        </w:rPr>
        <w:t>Henceforth, there was but one hope for Adam and his kin: that God, in mercy and grace, would supply another, better Adam, who could undo what the first Adam had done, and do what he failed to do; who could rescue a believing people from the Domain of Darkness, and restore them to all the blessings of the direct rule he offered them in Eden; who could redeem them; who could bring them into the Kingdom of God.</w:t>
      </w:r>
    </w:p>
    <w:p w14:paraId="5B2CD23F">
      <w:pPr>
        <w:pStyle w:val="9"/>
        <w:spacing w:before="18" w:line="249" w:lineRule="auto"/>
        <w:ind w:right="99" w:firstLine="450"/>
        <w:rPr>
          <w:rFonts w:hint="eastAsia"/>
          <w:color w:val="231F20"/>
        </w:rPr>
      </w:pPr>
      <w:r>
        <w:rPr>
          <w:rFonts w:hint="eastAsia"/>
          <w:color w:val="231F20"/>
        </w:rPr>
        <w:t>从此以后，亚当和他的亲族只有一个盼望：上帝在怜悯和恩典中，会提供另一个更美的亚当，祂能撤销首先的亚当所做的，并做到他没有做到的；祂能从黑暗的权势中拯救一群相信的子民，并将他们恢复到祂在伊甸园所提供给他们的直接统治的所有祝福中；祂能救赎他们；祂能将他们带入上帝的国。</w:t>
      </w:r>
    </w:p>
    <w:p w14:paraId="65FB1FC3">
      <w:pPr>
        <w:pStyle w:val="9"/>
        <w:spacing w:before="18" w:line="249" w:lineRule="auto"/>
        <w:ind w:right="99" w:firstLine="450"/>
        <w:rPr>
          <w:rFonts w:hint="eastAsia"/>
          <w:color w:val="231F20"/>
        </w:rPr>
      </w:pPr>
    </w:p>
    <w:p w14:paraId="4ADE171A">
      <w:pPr>
        <w:pStyle w:val="9"/>
        <w:spacing w:before="18" w:line="249" w:lineRule="auto"/>
        <w:ind w:right="99" w:firstLine="450"/>
        <w:rPr>
          <w:rFonts w:hint="eastAsia"/>
          <w:color w:val="231F20"/>
        </w:rPr>
      </w:pPr>
      <w:r>
        <w:rPr>
          <w:rFonts w:hint="eastAsia"/>
          <w:color w:val="231F20"/>
        </w:rPr>
        <w:t>The Era of Promise and Preparation</w:t>
      </w:r>
    </w:p>
    <w:p w14:paraId="2290BB38">
      <w:pPr>
        <w:pStyle w:val="9"/>
        <w:spacing w:before="18" w:line="249" w:lineRule="auto"/>
        <w:ind w:right="99" w:firstLine="450"/>
        <w:rPr>
          <w:rFonts w:hint="eastAsia"/>
          <w:color w:val="231F20"/>
        </w:rPr>
      </w:pPr>
      <w:r>
        <w:rPr>
          <w:rFonts w:hint="eastAsia"/>
          <w:color w:val="231F20"/>
        </w:rPr>
        <w:t>应许与预备的时代</w:t>
      </w:r>
    </w:p>
    <w:p w14:paraId="2DC5BD57">
      <w:pPr>
        <w:pStyle w:val="9"/>
        <w:spacing w:before="18" w:line="249" w:lineRule="auto"/>
        <w:ind w:right="99" w:firstLine="450"/>
        <w:rPr>
          <w:rFonts w:hint="eastAsia"/>
          <w:color w:val="231F20"/>
        </w:rPr>
      </w:pPr>
    </w:p>
    <w:p w14:paraId="4A055432">
      <w:pPr>
        <w:pStyle w:val="9"/>
        <w:spacing w:before="18" w:line="249" w:lineRule="auto"/>
        <w:ind w:right="99" w:firstLine="450"/>
        <w:rPr>
          <w:rFonts w:hint="eastAsia"/>
          <w:color w:val="231F20"/>
        </w:rPr>
      </w:pPr>
      <w:r>
        <w:rPr>
          <w:rFonts w:hint="eastAsia"/>
          <w:color w:val="231F20"/>
        </w:rPr>
        <w:t>Next on our Timeline comes the long Era of Promise and Preparation.</w:t>
      </w:r>
    </w:p>
    <w:p w14:paraId="254FBE7A">
      <w:pPr>
        <w:pStyle w:val="9"/>
        <w:spacing w:before="18" w:line="249" w:lineRule="auto"/>
        <w:ind w:right="99" w:firstLine="450"/>
        <w:rPr>
          <w:rFonts w:hint="eastAsia"/>
          <w:color w:val="231F20"/>
        </w:rPr>
      </w:pPr>
      <w:r>
        <w:rPr>
          <w:rFonts w:hint="eastAsia"/>
          <w:color w:val="231F20"/>
        </w:rPr>
        <w:t>接下来在我们的时间线上是漫长的应许与预备的时代。</w:t>
      </w:r>
    </w:p>
    <w:p w14:paraId="05D82B20">
      <w:pPr>
        <w:pStyle w:val="9"/>
        <w:spacing w:before="18" w:line="249" w:lineRule="auto"/>
        <w:ind w:right="99" w:firstLine="450"/>
        <w:rPr>
          <w:rFonts w:hint="eastAsia"/>
          <w:color w:val="231F20"/>
        </w:rPr>
      </w:pPr>
    </w:p>
    <w:p w14:paraId="23C5130C">
      <w:pPr>
        <w:pStyle w:val="9"/>
        <w:spacing w:before="18" w:line="249" w:lineRule="auto"/>
        <w:ind w:right="99" w:firstLine="450"/>
        <w:rPr>
          <w:rFonts w:hint="eastAsia"/>
          <w:color w:val="231F20"/>
        </w:rPr>
      </w:pPr>
      <w:r>
        <w:rPr>
          <w:rFonts w:hint="eastAsia"/>
          <w:color w:val="231F20"/>
        </w:rPr>
        <w:t>Stretching from the Fall to the first advent of the Last Adam, it is a season some 4,000 years long, during which God specially administered the Covenant of Grace on four separate occasions: to Adam, Noah, Abraham, and Moses/Israel.</w:t>
      </w:r>
    </w:p>
    <w:p w14:paraId="2BA5A5DD">
      <w:pPr>
        <w:pStyle w:val="9"/>
        <w:spacing w:before="18" w:line="249" w:lineRule="auto"/>
        <w:ind w:right="99" w:firstLine="450"/>
        <w:rPr>
          <w:rFonts w:hint="eastAsia"/>
          <w:color w:val="231F20"/>
        </w:rPr>
      </w:pPr>
      <w:r>
        <w:rPr>
          <w:rFonts w:hint="eastAsia"/>
          <w:color w:val="231F20"/>
        </w:rPr>
        <w:t>从堕落到末后的亚当第一次降临，这是一个长达约4000年的时期，在此期间，上帝特别地在四个不同的场合施行了恩典之约：向亚当、挪亚、亚伯拉罕和摩西/以色列。</w:t>
      </w:r>
    </w:p>
    <w:p w14:paraId="08956AD1">
      <w:pPr>
        <w:pStyle w:val="9"/>
        <w:spacing w:before="18" w:line="249" w:lineRule="auto"/>
        <w:ind w:right="99" w:firstLine="450"/>
        <w:rPr>
          <w:rFonts w:hint="eastAsia"/>
          <w:color w:val="231F20"/>
        </w:rPr>
      </w:pPr>
    </w:p>
    <w:p w14:paraId="1A43D10E">
      <w:pPr>
        <w:pStyle w:val="9"/>
        <w:spacing w:before="18" w:line="249" w:lineRule="auto"/>
        <w:ind w:right="99" w:firstLine="450"/>
        <w:rPr>
          <w:rFonts w:hint="eastAsia"/>
          <w:color w:val="231F20"/>
        </w:rPr>
      </w:pPr>
      <w:r>
        <w:rPr>
          <w:rFonts w:hint="eastAsia"/>
          <w:color w:val="231F20"/>
        </w:rPr>
        <w:t>Importantly, in all four cases the administrations were veiled.</w:t>
      </w:r>
    </w:p>
    <w:p w14:paraId="07BE935D">
      <w:pPr>
        <w:pStyle w:val="9"/>
        <w:spacing w:before="18" w:line="249" w:lineRule="auto"/>
        <w:ind w:right="99" w:firstLine="450"/>
        <w:rPr>
          <w:rFonts w:hint="eastAsia"/>
          <w:color w:val="231F20"/>
        </w:rPr>
      </w:pPr>
      <w:r>
        <w:rPr>
          <w:rFonts w:hint="eastAsia"/>
          <w:color w:val="231F20"/>
        </w:rPr>
        <w:t>重要的是，在所有四种情况下，施行都是蒙着帕子的。</w:t>
      </w:r>
    </w:p>
    <w:p w14:paraId="50188FE8">
      <w:pPr>
        <w:pStyle w:val="9"/>
        <w:spacing w:before="18" w:line="249" w:lineRule="auto"/>
        <w:ind w:right="99" w:firstLine="450"/>
        <w:rPr>
          <w:rFonts w:hint="eastAsia"/>
          <w:color w:val="231F20"/>
        </w:rPr>
      </w:pPr>
    </w:p>
    <w:p w14:paraId="6AC54479">
      <w:pPr>
        <w:pStyle w:val="9"/>
        <w:spacing w:before="18" w:line="249" w:lineRule="auto"/>
        <w:ind w:right="99" w:firstLine="450"/>
        <w:rPr>
          <w:rFonts w:hint="eastAsia"/>
          <w:color w:val="231F20"/>
        </w:rPr>
      </w:pPr>
      <w:r>
        <w:rPr>
          <w:rFonts w:hint="eastAsia"/>
          <w:color w:val="231F20"/>
        </w:rPr>
        <w:t>That is, the several elements of the Covenant were not revealed as they are in and of themselves, but rather under a wide of variety types and shadows.</w:t>
      </w:r>
    </w:p>
    <w:p w14:paraId="73FE0F6D">
      <w:pPr>
        <w:pStyle w:val="9"/>
        <w:spacing w:before="18" w:line="249" w:lineRule="auto"/>
        <w:ind w:right="99" w:firstLine="450"/>
        <w:rPr>
          <w:rFonts w:hint="eastAsia"/>
          <w:color w:val="231F20"/>
        </w:rPr>
      </w:pPr>
      <w:r>
        <w:rPr>
          <w:rFonts w:hint="eastAsia"/>
          <w:color w:val="231F20"/>
        </w:rPr>
        <w:t>也就是说，约的几个要素不是以其本身的面貌被启示出来，而是在各种预表和影像之下。</w:t>
      </w:r>
    </w:p>
    <w:p w14:paraId="174B1AD3">
      <w:pPr>
        <w:pStyle w:val="9"/>
        <w:spacing w:before="18" w:line="249" w:lineRule="auto"/>
        <w:ind w:right="99" w:firstLine="450"/>
        <w:rPr>
          <w:rFonts w:hint="eastAsia"/>
          <w:color w:val="231F20"/>
        </w:rPr>
      </w:pPr>
    </w:p>
    <w:p w14:paraId="562D5008">
      <w:pPr>
        <w:pStyle w:val="9"/>
        <w:spacing w:before="18" w:line="249" w:lineRule="auto"/>
        <w:ind w:right="99" w:firstLine="450"/>
        <w:rPr>
          <w:rFonts w:hint="eastAsia"/>
          <w:color w:val="231F20"/>
        </w:rPr>
      </w:pPr>
      <w:r>
        <w:rPr>
          <w:rFonts w:hint="eastAsia"/>
          <w:color w:val="231F20"/>
        </w:rPr>
        <w:t>Accordingly, all the OT administrations of the Covenant had a promissory character: They looked ahead to something greater, more enduring, and more substantial; something of which they themselves were merely passing shadows; something that the NT writers call the Mystery of God, and the New Covenant; something that we are calling the Covenant of Grace and the Gospel.</w:t>
      </w:r>
    </w:p>
    <w:p w14:paraId="27F4E6B3">
      <w:pPr>
        <w:pStyle w:val="9"/>
        <w:spacing w:before="18" w:line="249" w:lineRule="auto"/>
        <w:ind w:right="99" w:firstLine="450"/>
        <w:rPr>
          <w:rFonts w:hint="eastAsia"/>
          <w:color w:val="231F20"/>
        </w:rPr>
      </w:pPr>
      <w:r>
        <w:rPr>
          <w:rFonts w:hint="eastAsia"/>
          <w:color w:val="231F20"/>
        </w:rPr>
        <w:t>因此，所有旧约对约的施行都具有应许的性质：它们展望着更伟大、更持久、更实质的东西；它们自己不过是转瞬即逝的影像；新约作者称之为上帝的奥秘和新约；我们称之为恩典之约和福音。</w:t>
      </w:r>
    </w:p>
    <w:p w14:paraId="6123F100">
      <w:pPr>
        <w:pStyle w:val="9"/>
        <w:spacing w:before="18" w:line="249" w:lineRule="auto"/>
        <w:ind w:right="99" w:firstLine="450"/>
        <w:rPr>
          <w:rFonts w:hint="eastAsia"/>
          <w:color w:val="231F20"/>
        </w:rPr>
      </w:pPr>
    </w:p>
    <w:p w14:paraId="7961F557">
      <w:pPr>
        <w:pStyle w:val="9"/>
        <w:spacing w:before="18" w:line="249" w:lineRule="auto"/>
        <w:ind w:right="99" w:firstLine="450"/>
        <w:rPr>
          <w:rFonts w:hint="eastAsia"/>
          <w:color w:val="231F20"/>
        </w:rPr>
      </w:pPr>
      <w:r>
        <w:rPr>
          <w:rFonts w:hint="eastAsia"/>
          <w:color w:val="231F20"/>
        </w:rPr>
        <w:t>The promissory character of this Era is especially visible in the phenomenon of OT Kingdom prophecy, a body of divine revelation predicting the advent of a coming King and a coming Kingdom, by which a new world of God’s own making will be redeemed and re-created.</w:t>
      </w:r>
    </w:p>
    <w:p w14:paraId="5F7F0E02">
      <w:pPr>
        <w:pStyle w:val="9"/>
        <w:spacing w:before="18" w:line="249" w:lineRule="auto"/>
        <w:ind w:right="99" w:firstLine="450"/>
        <w:rPr>
          <w:rFonts w:hint="eastAsia"/>
          <w:color w:val="231F20"/>
        </w:rPr>
      </w:pPr>
      <w:r>
        <w:rPr>
          <w:rFonts w:hint="eastAsia"/>
          <w:color w:val="231F20"/>
        </w:rPr>
        <w:t>这个时代的应许性质在旧约国度预言的现象中尤为明显，这是一套神圣的启示，预言一位将要来临的君王和一个将要来临的国度，藉此，一个由上帝亲手创造的新世界将被救赎和再造。</w:t>
      </w:r>
    </w:p>
    <w:p w14:paraId="676D29DD">
      <w:pPr>
        <w:pStyle w:val="9"/>
        <w:spacing w:before="18" w:line="249" w:lineRule="auto"/>
        <w:ind w:right="99" w:firstLine="450"/>
        <w:rPr>
          <w:rFonts w:hint="eastAsia"/>
          <w:color w:val="231F20"/>
        </w:rPr>
      </w:pPr>
    </w:p>
    <w:p w14:paraId="020D4F30">
      <w:pPr>
        <w:pStyle w:val="9"/>
        <w:spacing w:before="18" w:line="249" w:lineRule="auto"/>
        <w:ind w:right="99" w:firstLine="450"/>
        <w:rPr>
          <w:rFonts w:hint="eastAsia"/>
          <w:color w:val="231F20"/>
        </w:rPr>
      </w:pPr>
      <w:r>
        <w:rPr>
          <w:rFonts w:hint="eastAsia"/>
          <w:color w:val="231F20"/>
        </w:rPr>
        <w:t>As we have seen, many of these prophecies employ imagery drawn from the institutions of the Mosaic Law (e.g., Israel, Canaan, Jerusalem, the Temple, Priests, Sacrifices, Feasts, etc.) in order to picture the coming Kingdom, and to awaken hope in the coming King.</w:t>
      </w:r>
    </w:p>
    <w:p w14:paraId="662D3D42">
      <w:pPr>
        <w:pStyle w:val="9"/>
        <w:spacing w:before="18" w:line="249" w:lineRule="auto"/>
        <w:ind w:right="99" w:firstLine="450"/>
        <w:rPr>
          <w:rFonts w:hint="eastAsia"/>
          <w:color w:val="231F20"/>
        </w:rPr>
      </w:pPr>
      <w:r>
        <w:rPr>
          <w:rFonts w:hint="eastAsia"/>
          <w:color w:val="231F20"/>
        </w:rPr>
        <w:t>我们已经看到，这些预言中有许多采用了源自摩西律法制度的意象（例如，以色列、迦南、耶路撒冷、圣殿、祭司、献祭、节期等），以便描绘将要来临的国度，并唤起对将要来临的君王的盼望。</w:t>
      </w:r>
    </w:p>
    <w:p w14:paraId="3F448D24">
      <w:pPr>
        <w:pStyle w:val="9"/>
        <w:spacing w:before="18" w:line="249" w:lineRule="auto"/>
        <w:ind w:right="99" w:firstLine="450"/>
        <w:rPr>
          <w:rFonts w:hint="eastAsia"/>
          <w:color w:val="231F20"/>
        </w:rPr>
      </w:pPr>
    </w:p>
    <w:p w14:paraId="62C2B967">
      <w:pPr>
        <w:pStyle w:val="9"/>
        <w:spacing w:before="18" w:line="249" w:lineRule="auto"/>
        <w:ind w:right="99" w:firstLine="450"/>
        <w:rPr>
          <w:rFonts w:hint="eastAsia"/>
          <w:color w:val="231F20"/>
        </w:rPr>
      </w:pPr>
      <w:r>
        <w:rPr>
          <w:rFonts w:hint="eastAsia"/>
          <w:color w:val="231F20"/>
        </w:rPr>
        <w:t>Others, however, associate the Kingdom with a New Covenant; with new institutions and new blessings; with things that eye has not seen, that ear has not heard, and that have not even entered into the hearts of men—until the days of Christ and the Gospel (1 Cor. 2:9-10).</w:t>
      </w:r>
    </w:p>
    <w:p w14:paraId="10473E2B">
      <w:pPr>
        <w:pStyle w:val="9"/>
        <w:spacing w:before="18" w:line="249" w:lineRule="auto"/>
        <w:ind w:right="99" w:firstLine="450"/>
        <w:rPr>
          <w:rFonts w:hint="eastAsia"/>
          <w:color w:val="231F20"/>
        </w:rPr>
      </w:pPr>
      <w:r>
        <w:rPr>
          <w:rFonts w:hint="eastAsia"/>
          <w:color w:val="231F20"/>
        </w:rPr>
        <w:t>然而，其他的则将国度与一个新约联系起来；与新的制度和新的祝福联系起来；与眼睛未曾看见，耳朵未曾听见，人心也未曾想到的事物联系起来——直到基督和福音的日子（林前 2:9-10）。</w:t>
      </w:r>
    </w:p>
    <w:p w14:paraId="6C83E357">
      <w:pPr>
        <w:pStyle w:val="9"/>
        <w:spacing w:before="18" w:line="249" w:lineRule="auto"/>
        <w:ind w:right="99" w:firstLine="450"/>
        <w:rPr>
          <w:rFonts w:hint="eastAsia"/>
          <w:color w:val="231F20"/>
        </w:rPr>
      </w:pPr>
    </w:p>
    <w:p w14:paraId="3065F11C">
      <w:pPr>
        <w:pStyle w:val="9"/>
        <w:spacing w:before="18" w:line="249" w:lineRule="auto"/>
        <w:ind w:right="99" w:firstLine="450"/>
        <w:rPr>
          <w:rFonts w:hint="eastAsia"/>
          <w:color w:val="231F20"/>
        </w:rPr>
      </w:pPr>
      <w:r>
        <w:rPr>
          <w:rFonts w:hint="eastAsia"/>
          <w:color w:val="231F20"/>
        </w:rPr>
        <w:t>For this reason, the OT itself hints at what the NT explicitly affirms: OT Kingdom prophecy uses typological language, rooted in the typical institutions of the Law, to represent the substantial and eternal verities of the Covenant of Grace.</w:t>
      </w:r>
    </w:p>
    <w:p w14:paraId="29B799B6">
      <w:pPr>
        <w:pStyle w:val="9"/>
        <w:spacing w:before="18" w:line="249" w:lineRule="auto"/>
        <w:ind w:right="99" w:firstLine="450"/>
        <w:rPr>
          <w:rFonts w:hint="eastAsia"/>
          <w:color w:val="231F20"/>
        </w:rPr>
      </w:pPr>
      <w:r>
        <w:rPr>
          <w:rFonts w:hint="eastAsia"/>
          <w:color w:val="231F20"/>
        </w:rPr>
        <w:t>因此，旧约本身暗示了新约明确肯定的事：旧约国度预言使用预表性语言，根植于律法的典型制度，来代表恩典之约的实质和永恒真理。</w:t>
      </w:r>
    </w:p>
    <w:p w14:paraId="00A8519D">
      <w:pPr>
        <w:pStyle w:val="9"/>
        <w:spacing w:before="18" w:line="249" w:lineRule="auto"/>
        <w:ind w:right="99" w:firstLine="450"/>
        <w:rPr>
          <w:rFonts w:hint="eastAsia"/>
          <w:color w:val="231F20"/>
        </w:rPr>
      </w:pPr>
    </w:p>
    <w:p w14:paraId="3EEDB1FC">
      <w:pPr>
        <w:pStyle w:val="9"/>
        <w:spacing w:before="18" w:line="249" w:lineRule="auto"/>
        <w:ind w:right="99" w:firstLine="450"/>
        <w:rPr>
          <w:rFonts w:hint="eastAsia"/>
          <w:color w:val="231F20"/>
        </w:rPr>
      </w:pPr>
      <w:r>
        <w:rPr>
          <w:rFonts w:hint="eastAsia"/>
          <w:color w:val="231F20"/>
        </w:rPr>
        <w:t>More on this in the next chapter.</w:t>
      </w:r>
    </w:p>
    <w:p w14:paraId="117FCA5B">
      <w:pPr>
        <w:pStyle w:val="9"/>
        <w:spacing w:before="18" w:line="249" w:lineRule="auto"/>
        <w:ind w:right="99" w:firstLine="450"/>
        <w:rPr>
          <w:rFonts w:hint="eastAsia"/>
          <w:color w:val="231F20"/>
        </w:rPr>
      </w:pPr>
      <w:r>
        <w:rPr>
          <w:rFonts w:hint="eastAsia"/>
          <w:color w:val="231F20"/>
        </w:rPr>
        <w:t>关于这一点，下一章将有更多内容。</w:t>
      </w:r>
    </w:p>
    <w:p w14:paraId="098626E8">
      <w:pPr>
        <w:pStyle w:val="9"/>
        <w:spacing w:before="18" w:line="249" w:lineRule="auto"/>
        <w:ind w:right="99" w:firstLine="450"/>
        <w:rPr>
          <w:rFonts w:hint="eastAsia"/>
          <w:color w:val="231F20"/>
        </w:rPr>
      </w:pPr>
    </w:p>
    <w:p w14:paraId="3BBB6652">
      <w:pPr>
        <w:pStyle w:val="9"/>
        <w:spacing w:before="18" w:line="249" w:lineRule="auto"/>
        <w:ind w:right="99" w:firstLine="450"/>
        <w:rPr>
          <w:rFonts w:hint="eastAsia"/>
          <w:color w:val="231F20"/>
        </w:rPr>
      </w:pPr>
      <w:r>
        <w:rPr>
          <w:rFonts w:hint="eastAsia"/>
          <w:color w:val="231F20"/>
        </w:rPr>
        <w:t>Did the OT saints actually enter the Eternal Covenant?</w:t>
      </w:r>
    </w:p>
    <w:p w14:paraId="4ED56E79">
      <w:pPr>
        <w:pStyle w:val="9"/>
        <w:spacing w:before="18" w:line="249" w:lineRule="auto"/>
        <w:ind w:right="99" w:firstLine="450"/>
        <w:rPr>
          <w:rFonts w:hint="eastAsia"/>
          <w:color w:val="231F20"/>
        </w:rPr>
      </w:pPr>
      <w:r>
        <w:rPr>
          <w:rFonts w:hint="eastAsia"/>
          <w:color w:val="231F20"/>
        </w:rPr>
        <w:t>旧约圣徒们真的进入了永恒之约吗？</w:t>
      </w:r>
    </w:p>
    <w:p w14:paraId="04850F46">
      <w:pPr>
        <w:pStyle w:val="9"/>
        <w:spacing w:before="18" w:line="249" w:lineRule="auto"/>
        <w:ind w:right="99" w:firstLine="450"/>
        <w:rPr>
          <w:rFonts w:hint="eastAsia"/>
          <w:color w:val="231F20"/>
        </w:rPr>
      </w:pPr>
    </w:p>
    <w:p w14:paraId="7BFA580F">
      <w:pPr>
        <w:pStyle w:val="9"/>
        <w:spacing w:before="18" w:line="249" w:lineRule="auto"/>
        <w:ind w:right="99" w:firstLine="450"/>
        <w:rPr>
          <w:rFonts w:hint="eastAsia"/>
          <w:color w:val="231F20"/>
        </w:rPr>
      </w:pPr>
      <w:r>
        <w:rPr>
          <w:rFonts w:hint="eastAsia"/>
          <w:color w:val="231F20"/>
        </w:rPr>
        <w:t>Yes and no.</w:t>
      </w:r>
    </w:p>
    <w:p w14:paraId="27FD6BDC">
      <w:pPr>
        <w:pStyle w:val="9"/>
        <w:spacing w:before="18" w:line="249" w:lineRule="auto"/>
        <w:ind w:right="99" w:firstLine="450"/>
        <w:rPr>
          <w:rFonts w:hint="eastAsia"/>
          <w:color w:val="231F20"/>
        </w:rPr>
      </w:pPr>
      <w:r>
        <w:rPr>
          <w:rFonts w:hint="eastAsia"/>
          <w:color w:val="231F20"/>
        </w:rPr>
        <w:t>是，也不是。</w:t>
      </w:r>
    </w:p>
    <w:p w14:paraId="4E3F53DA">
      <w:pPr>
        <w:pStyle w:val="9"/>
        <w:spacing w:before="18" w:line="249" w:lineRule="auto"/>
        <w:ind w:right="99" w:firstLine="450"/>
        <w:rPr>
          <w:rFonts w:hint="eastAsia"/>
          <w:color w:val="231F20"/>
        </w:rPr>
      </w:pPr>
    </w:p>
    <w:p w14:paraId="1A67EB07">
      <w:pPr>
        <w:pStyle w:val="9"/>
        <w:spacing w:before="18" w:line="249" w:lineRule="auto"/>
        <w:ind w:right="99" w:firstLine="450"/>
        <w:rPr>
          <w:rFonts w:hint="eastAsia"/>
          <w:color w:val="231F20"/>
        </w:rPr>
      </w:pPr>
      <w:r>
        <w:rPr>
          <w:rFonts w:hint="eastAsia"/>
          <w:color w:val="231F20"/>
        </w:rPr>
        <w:t>Their sincere faith (the proviso of the covenant) in priests and sacrifices (types of the provision of the covenant), or in the promised Messiah himself, was certainly reckoned to them as righteousness.</w:t>
      </w:r>
    </w:p>
    <w:p w14:paraId="0B903512">
      <w:pPr>
        <w:pStyle w:val="9"/>
        <w:spacing w:before="18" w:line="249" w:lineRule="auto"/>
        <w:ind w:right="99" w:firstLine="450"/>
        <w:rPr>
          <w:rFonts w:hint="eastAsia"/>
          <w:color w:val="231F20"/>
        </w:rPr>
      </w:pPr>
      <w:r>
        <w:rPr>
          <w:rFonts w:hint="eastAsia"/>
          <w:color w:val="231F20"/>
        </w:rPr>
        <w:t>他们对祭司和献祭（圣约预备的预表），或对所应许的弥赛亚本身的真诚信心（圣约的附带条件），当然被算为他们的义。</w:t>
      </w:r>
    </w:p>
    <w:p w14:paraId="04A3A4FA">
      <w:pPr>
        <w:pStyle w:val="9"/>
        <w:spacing w:before="18" w:line="249" w:lineRule="auto"/>
        <w:ind w:right="99" w:firstLine="450"/>
        <w:rPr>
          <w:rFonts w:hint="eastAsia"/>
          <w:color w:val="231F20"/>
        </w:rPr>
      </w:pPr>
    </w:p>
    <w:p w14:paraId="427D92DE">
      <w:pPr>
        <w:pStyle w:val="9"/>
        <w:spacing w:before="18" w:line="249" w:lineRule="auto"/>
        <w:ind w:right="99" w:firstLine="450"/>
        <w:rPr>
          <w:rFonts w:hint="eastAsia"/>
          <w:color w:val="231F20"/>
        </w:rPr>
      </w:pPr>
      <w:r>
        <w:rPr>
          <w:rFonts w:hint="eastAsia"/>
          <w:color w:val="231F20"/>
        </w:rPr>
        <w:t>Moreover, on the basis of that faith—and the holy life that necessarily flowed from it—they enjoyed many divine blessings, both spiritual and physical.</w:t>
      </w:r>
    </w:p>
    <w:p w14:paraId="33F750E2">
      <w:pPr>
        <w:pStyle w:val="9"/>
        <w:spacing w:before="18" w:line="249" w:lineRule="auto"/>
        <w:ind w:right="99" w:firstLine="450"/>
        <w:rPr>
          <w:rFonts w:hint="eastAsia"/>
          <w:color w:val="231F20"/>
        </w:rPr>
      </w:pPr>
      <w:r>
        <w:rPr>
          <w:rFonts w:hint="eastAsia"/>
          <w:color w:val="231F20"/>
        </w:rPr>
        <w:t>此外，基于那信心——以及必然从中流出的圣洁生活——他们享受了许多神圣的祝福，既有属灵的，也有属物质的。</w:t>
      </w:r>
    </w:p>
    <w:p w14:paraId="2CC16C2F">
      <w:pPr>
        <w:pStyle w:val="9"/>
        <w:spacing w:before="18" w:line="249" w:lineRule="auto"/>
        <w:ind w:right="99" w:firstLine="450"/>
        <w:rPr>
          <w:rFonts w:hint="eastAsia"/>
          <w:color w:val="231F20"/>
        </w:rPr>
      </w:pPr>
    </w:p>
    <w:p w14:paraId="4EEF634E">
      <w:pPr>
        <w:pStyle w:val="9"/>
        <w:spacing w:before="18" w:line="249" w:lineRule="auto"/>
        <w:ind w:right="99" w:firstLine="450"/>
        <w:rPr>
          <w:rFonts w:hint="eastAsia"/>
          <w:color w:val="231F20"/>
        </w:rPr>
      </w:pPr>
      <w:r>
        <w:rPr>
          <w:rFonts w:hint="eastAsia"/>
          <w:color w:val="231F20"/>
        </w:rPr>
        <w:t>Nevertheless, whatever blessings they experienced under the Law were strictly derivative, borrowed, as it were, from the greater reality yet to come (Rom. 3:21-26, Heb. 9, 10).</w:t>
      </w:r>
    </w:p>
    <w:p w14:paraId="3753F1A9">
      <w:pPr>
        <w:pStyle w:val="9"/>
        <w:spacing w:before="18" w:line="249" w:lineRule="auto"/>
        <w:ind w:right="99" w:firstLine="450"/>
        <w:rPr>
          <w:rFonts w:hint="eastAsia"/>
          <w:color w:val="231F20"/>
        </w:rPr>
      </w:pPr>
      <w:r>
        <w:rPr>
          <w:rFonts w:hint="eastAsia"/>
          <w:color w:val="231F20"/>
        </w:rPr>
        <w:t>然而，无论他们在律法下经历了什么祝福，都严格地是衍生的，可说，是从将要来临的更伟大的现实中借来的（罗 3:21-26, 来 9, 10）。</w:t>
      </w:r>
    </w:p>
    <w:p w14:paraId="00F75129">
      <w:pPr>
        <w:pStyle w:val="9"/>
        <w:spacing w:before="18" w:line="249" w:lineRule="auto"/>
        <w:ind w:right="99" w:firstLine="450"/>
        <w:rPr>
          <w:rFonts w:hint="eastAsia"/>
          <w:color w:val="231F20"/>
        </w:rPr>
      </w:pPr>
    </w:p>
    <w:p w14:paraId="27319CDF">
      <w:pPr>
        <w:pStyle w:val="9"/>
        <w:spacing w:before="18" w:line="249" w:lineRule="auto"/>
        <w:ind w:right="99" w:firstLine="450"/>
        <w:rPr>
          <w:rFonts w:hint="eastAsia"/>
          <w:color w:val="231F20"/>
        </w:rPr>
      </w:pPr>
      <w:r>
        <w:rPr>
          <w:rFonts w:hint="eastAsia"/>
          <w:color w:val="231F20"/>
        </w:rPr>
        <w:t>And indeed, for this very reason, they were not as fulsome as the blessings actually introduced by that reality.</w:t>
      </w:r>
    </w:p>
    <w:p w14:paraId="1831D4B9">
      <w:pPr>
        <w:pStyle w:val="9"/>
        <w:spacing w:before="18" w:line="249" w:lineRule="auto"/>
        <w:ind w:right="99" w:firstLine="450"/>
        <w:rPr>
          <w:rFonts w:hint="eastAsia"/>
          <w:color w:val="231F20"/>
        </w:rPr>
      </w:pPr>
      <w:r>
        <w:rPr>
          <w:rFonts w:hint="eastAsia"/>
          <w:color w:val="231F20"/>
        </w:rPr>
        <w:t>事实上，正是因此，它们不如那现实实际引入的祝福那么丰满。</w:t>
      </w:r>
    </w:p>
    <w:p w14:paraId="7BE71F77">
      <w:pPr>
        <w:pStyle w:val="9"/>
        <w:spacing w:before="18" w:line="249" w:lineRule="auto"/>
        <w:ind w:right="99" w:firstLine="450"/>
        <w:rPr>
          <w:rFonts w:hint="eastAsia"/>
          <w:color w:val="231F20"/>
        </w:rPr>
      </w:pPr>
    </w:p>
    <w:p w14:paraId="63CDB531">
      <w:pPr>
        <w:pStyle w:val="9"/>
        <w:spacing w:before="18" w:line="249" w:lineRule="auto"/>
        <w:ind w:right="99" w:firstLine="450"/>
        <w:rPr>
          <w:rFonts w:hint="eastAsia"/>
          <w:color w:val="231F20"/>
        </w:rPr>
      </w:pPr>
      <w:r>
        <w:rPr>
          <w:rFonts w:hint="eastAsia"/>
          <w:color w:val="231F20"/>
        </w:rPr>
        <w:t>This is why our Lord did not hesitate to say, even of so great a prophet as John the Baptist, that he who is least in the Kingdom of God is greater than he (Mt. 11:11).</w:t>
      </w:r>
    </w:p>
    <w:p w14:paraId="77B1E807">
      <w:pPr>
        <w:pStyle w:val="9"/>
        <w:spacing w:before="18" w:line="249" w:lineRule="auto"/>
        <w:ind w:right="99" w:firstLine="450"/>
        <w:rPr>
          <w:rFonts w:hint="eastAsia"/>
          <w:color w:val="231F20"/>
        </w:rPr>
      </w:pPr>
      <w:r>
        <w:rPr>
          <w:rFonts w:hint="eastAsia"/>
          <w:color w:val="231F20"/>
        </w:rPr>
        <w:t>这就是为什么我们的主毫不犹豫地说，即使是像施洗约翰这样伟大的先知，在上帝的国里最小的也比他大（太 11:11）。</w:t>
      </w:r>
    </w:p>
    <w:p w14:paraId="0921FE9E">
      <w:pPr>
        <w:pStyle w:val="9"/>
        <w:spacing w:before="18" w:line="249" w:lineRule="auto"/>
        <w:ind w:right="99" w:firstLine="450"/>
        <w:rPr>
          <w:rFonts w:hint="eastAsia"/>
          <w:color w:val="231F20"/>
        </w:rPr>
      </w:pPr>
    </w:p>
    <w:p w14:paraId="06EAEFCA">
      <w:pPr>
        <w:pStyle w:val="9"/>
        <w:spacing w:before="18" w:line="249" w:lineRule="auto"/>
        <w:ind w:right="99" w:firstLine="450"/>
        <w:rPr>
          <w:rFonts w:hint="eastAsia"/>
          <w:color w:val="231F20"/>
        </w:rPr>
      </w:pPr>
      <w:r>
        <w:rPr>
          <w:rFonts w:hint="eastAsia"/>
          <w:color w:val="231F20"/>
        </w:rPr>
        <w:t>As for the disciples prior to Pentecost, so for the OT saints: The Spirit was with them, but not yet in them; for the Spirit had not yet been given, for Christ had not yet been glorified (John 7:39, 14:17).</w:t>
      </w:r>
    </w:p>
    <w:p w14:paraId="33F5A46A">
      <w:pPr>
        <w:pStyle w:val="9"/>
        <w:spacing w:before="18" w:line="249" w:lineRule="auto"/>
        <w:ind w:right="99" w:firstLine="450"/>
        <w:rPr>
          <w:rFonts w:hint="eastAsia"/>
          <w:color w:val="231F20"/>
        </w:rPr>
      </w:pPr>
      <w:r>
        <w:rPr>
          <w:rFonts w:hint="eastAsia"/>
          <w:color w:val="231F20"/>
        </w:rPr>
        <w:t>对于五旬节之前的门徒如此，对于旧约圣徒也是如此：圣灵与他们同在，但尚未在他们里面；因为那时还没有赐下圣灵来，因为基督还没有得着荣耀（约 7:39, 14:17）。</w:t>
      </w:r>
    </w:p>
    <w:p w14:paraId="2973A5E0">
      <w:pPr>
        <w:pStyle w:val="9"/>
        <w:spacing w:before="18" w:line="249" w:lineRule="auto"/>
        <w:ind w:right="99" w:firstLine="450"/>
        <w:rPr>
          <w:rFonts w:hint="eastAsia"/>
          <w:color w:val="231F20"/>
        </w:rPr>
      </w:pPr>
    </w:p>
    <w:p w14:paraId="58BDE55D">
      <w:pPr>
        <w:pStyle w:val="9"/>
        <w:spacing w:before="18" w:line="249" w:lineRule="auto"/>
        <w:ind w:right="99" w:firstLine="450"/>
        <w:rPr>
          <w:rFonts w:hint="eastAsia"/>
          <w:color w:val="231F20"/>
        </w:rPr>
      </w:pPr>
      <w:r>
        <w:rPr>
          <w:rFonts w:hint="eastAsia"/>
          <w:color w:val="231F20"/>
        </w:rPr>
        <w:t>The writer to Hebrews said much the same, declaring of the OT saints:</w:t>
      </w:r>
    </w:p>
    <w:p w14:paraId="7834F9DD">
      <w:pPr>
        <w:pStyle w:val="9"/>
        <w:spacing w:before="18" w:line="249" w:lineRule="auto"/>
        <w:ind w:right="99" w:firstLine="450"/>
        <w:rPr>
          <w:rFonts w:hint="eastAsia"/>
          <w:color w:val="231F20"/>
        </w:rPr>
      </w:pPr>
      <w:r>
        <w:rPr>
          <w:rFonts w:hint="eastAsia"/>
          <w:color w:val="231F20"/>
        </w:rPr>
        <w:t>希伯来书的作者也说了类似的话，论到旧约的圣徒们：</w:t>
      </w:r>
    </w:p>
    <w:p w14:paraId="0CAA4D7A">
      <w:pPr>
        <w:pStyle w:val="9"/>
        <w:spacing w:before="18" w:line="249" w:lineRule="auto"/>
        <w:ind w:right="99" w:firstLine="450"/>
        <w:rPr>
          <w:rFonts w:hint="eastAsia"/>
          <w:color w:val="231F20"/>
        </w:rPr>
      </w:pPr>
    </w:p>
    <w:p w14:paraId="2E923743">
      <w:pPr>
        <w:pStyle w:val="9"/>
        <w:spacing w:before="18" w:line="249" w:lineRule="auto"/>
        <w:ind w:right="99" w:firstLine="450"/>
        <w:rPr>
          <w:rFonts w:hint="eastAsia"/>
          <w:color w:val="231F20"/>
        </w:rPr>
      </w:pPr>
      <w:r>
        <w:rPr>
          <w:rFonts w:hint="eastAsia"/>
          <w:color w:val="231F20"/>
        </w:rPr>
        <w:t>All these, having obtained a good testimony through faith, did not receive the promise, God having provided something better for us, so that they should not be made perfect apart from us.</w:t>
      </w:r>
    </w:p>
    <w:p w14:paraId="65C9D5C3">
      <w:pPr>
        <w:pStyle w:val="9"/>
        <w:spacing w:before="18" w:line="249" w:lineRule="auto"/>
        <w:ind w:right="99" w:firstLine="450"/>
        <w:rPr>
          <w:rFonts w:hint="eastAsia"/>
          <w:color w:val="231F20"/>
        </w:rPr>
      </w:pPr>
      <w:r>
        <w:rPr>
          <w:rFonts w:hint="eastAsia"/>
          <w:color w:val="231F20"/>
        </w:rPr>
        <w:t>这些人都是因信得了美好的证据，却仍未得着所应许的；因为上帝给我们预备了更美的事，叫他们若不与我们同得，就不能完全。</w:t>
      </w:r>
    </w:p>
    <w:p w14:paraId="2B3403A2">
      <w:pPr>
        <w:pStyle w:val="9"/>
        <w:spacing w:before="18" w:line="249" w:lineRule="auto"/>
        <w:ind w:right="99" w:firstLine="450"/>
        <w:rPr>
          <w:rFonts w:hint="eastAsia"/>
          <w:color w:val="231F20"/>
        </w:rPr>
      </w:pPr>
    </w:p>
    <w:p w14:paraId="3E81C3C3">
      <w:pPr>
        <w:pStyle w:val="9"/>
        <w:spacing w:before="18" w:line="249" w:lineRule="auto"/>
        <w:ind w:right="99" w:firstLine="450"/>
        <w:rPr>
          <w:rFonts w:hint="eastAsia"/>
          <w:color w:val="231F20"/>
        </w:rPr>
      </w:pPr>
      <w:r>
        <w:rPr>
          <w:rFonts w:hint="eastAsia"/>
          <w:color w:val="231F20"/>
        </w:rPr>
        <w:t>—Heb. 11:39-40</w:t>
      </w:r>
    </w:p>
    <w:p w14:paraId="72AA6A97">
      <w:pPr>
        <w:pStyle w:val="9"/>
        <w:spacing w:before="18" w:line="249" w:lineRule="auto"/>
        <w:ind w:right="99" w:firstLine="450"/>
        <w:rPr>
          <w:rFonts w:hint="eastAsia"/>
          <w:color w:val="231F20"/>
        </w:rPr>
      </w:pPr>
      <w:r>
        <w:rPr>
          <w:rFonts w:hint="eastAsia"/>
          <w:color w:val="231F20"/>
        </w:rPr>
        <w:t>—来 11:39-40</w:t>
      </w:r>
    </w:p>
    <w:p w14:paraId="1CD83979">
      <w:pPr>
        <w:pStyle w:val="9"/>
        <w:spacing w:before="18" w:line="249" w:lineRule="auto"/>
        <w:ind w:right="99" w:firstLine="450"/>
        <w:rPr>
          <w:rFonts w:hint="eastAsia"/>
          <w:color w:val="231F20"/>
        </w:rPr>
      </w:pPr>
    </w:p>
    <w:p w14:paraId="387AE333">
      <w:pPr>
        <w:pStyle w:val="9"/>
        <w:spacing w:before="18" w:line="249" w:lineRule="auto"/>
        <w:ind w:right="99" w:firstLine="450"/>
        <w:rPr>
          <w:rFonts w:hint="eastAsia"/>
          <w:color w:val="231F20"/>
        </w:rPr>
      </w:pPr>
      <w:r>
        <w:rPr>
          <w:rFonts w:hint="eastAsia"/>
          <w:color w:val="231F20"/>
        </w:rPr>
        <w:t>So then, living faithfully in a land of shadows, the saints of the OT Era of Promise and Preparation did indeed enter into the Light.</w:t>
      </w:r>
    </w:p>
    <w:p w14:paraId="702DE218">
      <w:pPr>
        <w:pStyle w:val="9"/>
        <w:spacing w:before="18" w:line="249" w:lineRule="auto"/>
        <w:ind w:right="99" w:firstLine="450"/>
        <w:rPr>
          <w:rFonts w:hint="eastAsia"/>
          <w:color w:val="231F20"/>
        </w:rPr>
      </w:pPr>
      <w:r>
        <w:rPr>
          <w:rFonts w:hint="eastAsia"/>
          <w:color w:val="231F20"/>
        </w:rPr>
        <w:t>那么，生活在影像之地，旧约应许与预备时代的圣徒们，确实忠信地进入了光中。</w:t>
      </w:r>
    </w:p>
    <w:p w14:paraId="62BE310F">
      <w:pPr>
        <w:pStyle w:val="9"/>
        <w:spacing w:before="18" w:line="249" w:lineRule="auto"/>
        <w:ind w:right="99" w:firstLine="450"/>
        <w:rPr>
          <w:rFonts w:hint="eastAsia"/>
          <w:color w:val="231F20"/>
        </w:rPr>
      </w:pPr>
    </w:p>
    <w:p w14:paraId="36C5B3BD">
      <w:pPr>
        <w:pStyle w:val="9"/>
        <w:spacing w:before="18" w:line="249" w:lineRule="auto"/>
        <w:ind w:right="99" w:firstLine="450"/>
        <w:rPr>
          <w:rFonts w:hint="eastAsia"/>
          <w:color w:val="231F20"/>
        </w:rPr>
      </w:pPr>
      <w:r>
        <w:rPr>
          <w:rFonts w:hint="eastAsia"/>
          <w:color w:val="231F20"/>
        </w:rPr>
        <w:t>But when the Light himself finally entered the world, the shadows were fulfilled … and forever passed away (John 1:17).</w:t>
      </w:r>
    </w:p>
    <w:p w14:paraId="2D9EE61A">
      <w:pPr>
        <w:pStyle w:val="9"/>
        <w:spacing w:before="18" w:line="249" w:lineRule="auto"/>
        <w:ind w:right="99" w:firstLine="450"/>
        <w:rPr>
          <w:rFonts w:hint="eastAsia"/>
          <w:color w:val="231F20"/>
        </w:rPr>
      </w:pPr>
      <w:r>
        <w:rPr>
          <w:rFonts w:hint="eastAsia"/>
          <w:color w:val="231F20"/>
        </w:rPr>
        <w:t>但当光自己最终进入世界时，影像就被成全了……并永远地过去了（约 1:17）。</w:t>
      </w:r>
    </w:p>
    <w:p w14:paraId="0D1014B7">
      <w:pPr>
        <w:pStyle w:val="9"/>
        <w:spacing w:before="18" w:line="249" w:lineRule="auto"/>
        <w:ind w:right="99" w:firstLine="450"/>
        <w:rPr>
          <w:rFonts w:hint="eastAsia"/>
          <w:color w:val="231F20"/>
        </w:rPr>
      </w:pPr>
    </w:p>
    <w:p w14:paraId="79C8AC8A">
      <w:pPr>
        <w:pStyle w:val="9"/>
        <w:spacing w:before="18" w:line="249" w:lineRule="auto"/>
        <w:ind w:right="99" w:firstLine="450"/>
        <w:rPr>
          <w:rFonts w:hint="eastAsia"/>
          <w:color w:val="231F20"/>
        </w:rPr>
      </w:pPr>
      <w:r>
        <w:rPr>
          <w:rFonts w:hint="eastAsia"/>
          <w:color w:val="231F20"/>
        </w:rPr>
        <w:t>The Era of Fulfillment</w:t>
      </w:r>
    </w:p>
    <w:p w14:paraId="79C46165">
      <w:pPr>
        <w:pStyle w:val="9"/>
        <w:spacing w:before="18" w:line="249" w:lineRule="auto"/>
        <w:ind w:right="99" w:firstLine="450"/>
        <w:rPr>
          <w:rFonts w:hint="eastAsia"/>
          <w:color w:val="231F20"/>
        </w:rPr>
      </w:pPr>
      <w:r>
        <w:rPr>
          <w:rFonts w:hint="eastAsia"/>
          <w:color w:val="231F20"/>
        </w:rPr>
        <w:t>成全的时代</w:t>
      </w:r>
    </w:p>
    <w:p w14:paraId="31D5FFEF">
      <w:pPr>
        <w:pStyle w:val="9"/>
        <w:spacing w:before="18" w:line="249" w:lineRule="auto"/>
        <w:ind w:right="99" w:firstLine="450"/>
        <w:rPr>
          <w:rFonts w:hint="eastAsia"/>
          <w:color w:val="231F20"/>
        </w:rPr>
      </w:pPr>
    </w:p>
    <w:p w14:paraId="71A77260">
      <w:pPr>
        <w:pStyle w:val="9"/>
        <w:spacing w:before="18" w:line="249" w:lineRule="auto"/>
        <w:ind w:right="99" w:firstLine="450"/>
        <w:rPr>
          <w:rFonts w:hint="eastAsia"/>
          <w:color w:val="231F20"/>
        </w:rPr>
      </w:pPr>
      <w:r>
        <w:rPr>
          <w:rFonts w:hint="eastAsia"/>
          <w:color w:val="231F20"/>
        </w:rPr>
        <w:t>Finally, we have the Era of Fulfillment.</w:t>
      </w:r>
    </w:p>
    <w:p w14:paraId="37DEF607">
      <w:pPr>
        <w:pStyle w:val="9"/>
        <w:spacing w:before="18" w:line="249" w:lineRule="auto"/>
        <w:ind w:right="99" w:firstLine="450"/>
        <w:rPr>
          <w:rFonts w:hint="eastAsia"/>
          <w:color w:val="231F20"/>
        </w:rPr>
      </w:pPr>
      <w:r>
        <w:rPr>
          <w:rFonts w:hint="eastAsia"/>
          <w:color w:val="231F20"/>
        </w:rPr>
        <w:t>最后，我们有成全的时代。</w:t>
      </w:r>
    </w:p>
    <w:p w14:paraId="3E94068F">
      <w:pPr>
        <w:pStyle w:val="9"/>
        <w:spacing w:before="18" w:line="249" w:lineRule="auto"/>
        <w:ind w:right="99" w:firstLine="450"/>
        <w:rPr>
          <w:rFonts w:hint="eastAsia"/>
          <w:color w:val="231F20"/>
        </w:rPr>
      </w:pPr>
    </w:p>
    <w:p w14:paraId="43FDCB3F">
      <w:pPr>
        <w:pStyle w:val="9"/>
        <w:spacing w:before="18" w:line="249" w:lineRule="auto"/>
        <w:ind w:right="99" w:firstLine="450"/>
        <w:rPr>
          <w:rFonts w:hint="eastAsia"/>
          <w:color w:val="231F20"/>
        </w:rPr>
      </w:pPr>
      <w:r>
        <w:rPr>
          <w:rFonts w:hint="eastAsia"/>
          <w:color w:val="231F20"/>
        </w:rPr>
        <w:t>Its essential characteristic is that here God administers the Eternal Covenant as it is in itself, exactly as he planned it before the foundation of the world.</w:t>
      </w:r>
    </w:p>
    <w:p w14:paraId="1F326176">
      <w:pPr>
        <w:pStyle w:val="9"/>
        <w:spacing w:before="18" w:line="249" w:lineRule="auto"/>
        <w:ind w:right="99" w:firstLine="450"/>
        <w:rPr>
          <w:rFonts w:hint="eastAsia"/>
          <w:color w:val="231F20"/>
        </w:rPr>
      </w:pPr>
      <w:r>
        <w:rPr>
          <w:rFonts w:hint="eastAsia"/>
          <w:color w:val="231F20"/>
        </w:rPr>
        <w:t>其基本特征是，在此上帝施行永恒之约本身，完全如祂在创世以前所计划的那样。</w:t>
      </w:r>
    </w:p>
    <w:p w14:paraId="50E05A63">
      <w:pPr>
        <w:pStyle w:val="9"/>
        <w:spacing w:before="18" w:line="249" w:lineRule="auto"/>
        <w:ind w:right="99" w:firstLine="450"/>
        <w:rPr>
          <w:rFonts w:hint="eastAsia"/>
          <w:color w:val="231F20"/>
        </w:rPr>
      </w:pPr>
    </w:p>
    <w:p w14:paraId="7971372E">
      <w:pPr>
        <w:pStyle w:val="9"/>
        <w:spacing w:before="18" w:line="249" w:lineRule="auto"/>
        <w:ind w:right="99" w:firstLine="450"/>
        <w:rPr>
          <w:rFonts w:hint="eastAsia"/>
          <w:color w:val="231F20"/>
        </w:rPr>
      </w:pPr>
      <w:r>
        <w:rPr>
          <w:rFonts w:hint="eastAsia"/>
          <w:color w:val="231F20"/>
        </w:rPr>
        <w:t>In other words, here he unveils Christ and the Covenant in the sight of all nations.</w:t>
      </w:r>
    </w:p>
    <w:p w14:paraId="7731C442">
      <w:pPr>
        <w:pStyle w:val="9"/>
        <w:spacing w:before="18" w:line="249" w:lineRule="auto"/>
        <w:ind w:right="99" w:firstLine="450"/>
        <w:rPr>
          <w:rFonts w:hint="eastAsia"/>
          <w:color w:val="231F20"/>
        </w:rPr>
      </w:pPr>
      <w:r>
        <w:rPr>
          <w:rFonts w:hint="eastAsia"/>
          <w:color w:val="231F20"/>
        </w:rPr>
        <w:t>换句话说，在此祂在万国眼前揭示基督和圣约。</w:t>
      </w:r>
    </w:p>
    <w:p w14:paraId="21421B92">
      <w:pPr>
        <w:pStyle w:val="9"/>
        <w:spacing w:before="18" w:line="249" w:lineRule="auto"/>
        <w:ind w:right="99" w:firstLine="450"/>
        <w:rPr>
          <w:rFonts w:hint="eastAsia"/>
          <w:color w:val="231F20"/>
        </w:rPr>
      </w:pPr>
    </w:p>
    <w:p w14:paraId="7BE7EE8C">
      <w:pPr>
        <w:pStyle w:val="9"/>
        <w:spacing w:before="18" w:line="249" w:lineRule="auto"/>
        <w:ind w:right="99" w:firstLine="450"/>
        <w:rPr>
          <w:rFonts w:hint="eastAsia"/>
          <w:color w:val="231F20"/>
        </w:rPr>
      </w:pPr>
      <w:r>
        <w:rPr>
          <w:rFonts w:hint="eastAsia"/>
          <w:color w:val="231F20"/>
        </w:rPr>
        <w:t>As the Timeline shows, this era unfolds in two stages.</w:t>
      </w:r>
    </w:p>
    <w:p w14:paraId="0F832573">
      <w:pPr>
        <w:pStyle w:val="9"/>
        <w:spacing w:before="18" w:line="249" w:lineRule="auto"/>
        <w:ind w:right="99" w:firstLine="450"/>
        <w:rPr>
          <w:rFonts w:hint="eastAsia"/>
          <w:color w:val="231F20"/>
        </w:rPr>
      </w:pPr>
      <w:r>
        <w:rPr>
          <w:rFonts w:hint="eastAsia"/>
          <w:color w:val="231F20"/>
        </w:rPr>
        <w:t>如时间线所示，这个时代分两个阶段展开。</w:t>
      </w:r>
    </w:p>
    <w:p w14:paraId="13B859C2">
      <w:pPr>
        <w:pStyle w:val="9"/>
        <w:spacing w:before="18" w:line="249" w:lineRule="auto"/>
        <w:ind w:right="99" w:firstLine="450"/>
        <w:rPr>
          <w:rFonts w:hint="eastAsia"/>
          <w:color w:val="231F20"/>
        </w:rPr>
      </w:pPr>
    </w:p>
    <w:p w14:paraId="233F6050">
      <w:pPr>
        <w:pStyle w:val="9"/>
        <w:spacing w:before="18" w:line="249" w:lineRule="auto"/>
        <w:ind w:right="99" w:firstLine="450"/>
        <w:rPr>
          <w:rFonts w:hint="eastAsia"/>
          <w:color w:val="231F20"/>
        </w:rPr>
      </w:pPr>
      <w:r>
        <w:rPr>
          <w:rFonts w:hint="eastAsia"/>
          <w:color w:val="231F20"/>
        </w:rPr>
        <w:t>The first may be called the Era of Proclamation and Probation.</w:t>
      </w:r>
    </w:p>
    <w:p w14:paraId="060721AF">
      <w:pPr>
        <w:pStyle w:val="9"/>
        <w:spacing w:before="18" w:line="249" w:lineRule="auto"/>
        <w:ind w:right="99" w:firstLine="450"/>
        <w:rPr>
          <w:rFonts w:hint="eastAsia"/>
          <w:color w:val="231F20"/>
        </w:rPr>
      </w:pPr>
      <w:r>
        <w:rPr>
          <w:rFonts w:hint="eastAsia"/>
          <w:color w:val="231F20"/>
        </w:rPr>
        <w:t>第一个可称为宣讲与察验的时代。</w:t>
      </w:r>
    </w:p>
    <w:p w14:paraId="7DDE5E32">
      <w:pPr>
        <w:pStyle w:val="9"/>
        <w:spacing w:before="18" w:line="249" w:lineRule="auto"/>
        <w:ind w:right="99" w:firstLine="450"/>
        <w:rPr>
          <w:rFonts w:hint="eastAsia"/>
          <w:color w:val="231F20"/>
        </w:rPr>
      </w:pPr>
    </w:p>
    <w:p w14:paraId="4F5C823A">
      <w:pPr>
        <w:pStyle w:val="9"/>
        <w:spacing w:before="18" w:line="249" w:lineRule="auto"/>
        <w:ind w:right="99" w:firstLine="450"/>
        <w:rPr>
          <w:rFonts w:hint="eastAsia"/>
          <w:color w:val="231F20"/>
        </w:rPr>
      </w:pPr>
      <w:r>
        <w:rPr>
          <w:rFonts w:hint="eastAsia"/>
          <w:color w:val="231F20"/>
        </w:rPr>
        <w:t>At its beginning, the provision of the Covenant—the divine/human Messiah, the Redeemer, the Last Adam—enters the world.</w:t>
      </w:r>
    </w:p>
    <w:p w14:paraId="3C6F1143">
      <w:pPr>
        <w:pStyle w:val="9"/>
        <w:spacing w:before="18" w:line="249" w:lineRule="auto"/>
        <w:ind w:right="99" w:firstLine="450"/>
        <w:rPr>
          <w:rFonts w:hint="eastAsia"/>
          <w:color w:val="231F20"/>
        </w:rPr>
      </w:pPr>
      <w:r>
        <w:rPr>
          <w:rFonts w:hint="eastAsia"/>
          <w:color w:val="231F20"/>
        </w:rPr>
        <w:t>在其开始时，圣约的预备——即神人弥赛亚，救赎主，末后的亚当——进入世界。</w:t>
      </w:r>
    </w:p>
    <w:p w14:paraId="4943D225">
      <w:pPr>
        <w:pStyle w:val="9"/>
        <w:spacing w:before="18" w:line="249" w:lineRule="auto"/>
        <w:ind w:right="99" w:firstLine="450"/>
        <w:rPr>
          <w:rFonts w:hint="eastAsia"/>
          <w:color w:val="231F20"/>
        </w:rPr>
      </w:pPr>
    </w:p>
    <w:p w14:paraId="668D3E17">
      <w:pPr>
        <w:pStyle w:val="9"/>
        <w:spacing w:before="18" w:line="249" w:lineRule="auto"/>
        <w:ind w:right="99" w:firstLine="450"/>
        <w:rPr>
          <w:rFonts w:hint="eastAsia"/>
          <w:color w:val="231F20"/>
        </w:rPr>
      </w:pPr>
      <w:r>
        <w:rPr>
          <w:rFonts w:hint="eastAsia"/>
          <w:color w:val="231F20"/>
        </w:rPr>
        <w:t>By his righteous life and atoning death (i.e., by his humiliation) he makes lawful provision for the enjoyment of all the Covenant blessings.</w:t>
      </w:r>
    </w:p>
    <w:p w14:paraId="27B88910">
      <w:pPr>
        <w:pStyle w:val="9"/>
        <w:spacing w:before="18" w:line="249" w:lineRule="auto"/>
        <w:ind w:right="99" w:firstLine="450"/>
        <w:rPr>
          <w:rFonts w:hint="eastAsia"/>
          <w:color w:val="231F20"/>
        </w:rPr>
      </w:pPr>
      <w:r>
        <w:rPr>
          <w:rFonts w:hint="eastAsia"/>
          <w:color w:val="231F20"/>
        </w:rPr>
        <w:t>藉着祂公义的生命和赎罪的死亡（即，藉着祂的降卑），祂为享受所有圣约的祝福作了合法的预备。</w:t>
      </w:r>
    </w:p>
    <w:p w14:paraId="50882B2B">
      <w:pPr>
        <w:pStyle w:val="9"/>
        <w:spacing w:before="18" w:line="249" w:lineRule="auto"/>
        <w:ind w:right="99" w:firstLine="450"/>
        <w:rPr>
          <w:rFonts w:hint="eastAsia"/>
          <w:color w:val="231F20"/>
        </w:rPr>
      </w:pPr>
    </w:p>
    <w:p w14:paraId="5F5D403A">
      <w:pPr>
        <w:pStyle w:val="9"/>
        <w:spacing w:before="18" w:line="249" w:lineRule="auto"/>
        <w:ind w:right="99" w:firstLine="450"/>
        <w:rPr>
          <w:rFonts w:hint="eastAsia"/>
          <w:color w:val="231F20"/>
        </w:rPr>
      </w:pPr>
      <w:r>
        <w:rPr>
          <w:rFonts w:hint="eastAsia"/>
          <w:color w:val="231F20"/>
        </w:rPr>
        <w:t>Throughout the remainder of this season, the exalted Christ, seated in heaven at God’s right hand, applies the redemption that he purchased through his work on earth.</w:t>
      </w:r>
    </w:p>
    <w:p w14:paraId="33BF4F5E">
      <w:pPr>
        <w:pStyle w:val="9"/>
        <w:spacing w:before="18" w:line="249" w:lineRule="auto"/>
        <w:ind w:right="99" w:firstLine="450"/>
        <w:rPr>
          <w:rFonts w:hint="eastAsia"/>
          <w:color w:val="231F20"/>
        </w:rPr>
      </w:pPr>
      <w:r>
        <w:rPr>
          <w:rFonts w:hint="eastAsia"/>
          <w:color w:val="231F20"/>
        </w:rPr>
        <w:t>在这个时期的其余时间里，被高举的基督，坐在天上的上帝右边，施行祂藉着在世上的工作所买赎的救恩。</w:t>
      </w:r>
    </w:p>
    <w:p w14:paraId="5298D7CB">
      <w:pPr>
        <w:pStyle w:val="9"/>
        <w:spacing w:before="18" w:line="249" w:lineRule="auto"/>
        <w:ind w:right="99" w:firstLine="450"/>
        <w:rPr>
          <w:rFonts w:hint="eastAsia"/>
          <w:color w:val="231F20"/>
        </w:rPr>
      </w:pPr>
    </w:p>
    <w:p w14:paraId="76871715">
      <w:pPr>
        <w:pStyle w:val="9"/>
        <w:spacing w:before="18" w:line="249" w:lineRule="auto"/>
        <w:ind w:right="99" w:firstLine="450"/>
        <w:rPr>
          <w:rFonts w:hint="eastAsia"/>
          <w:color w:val="231F20"/>
        </w:rPr>
      </w:pPr>
      <w:r>
        <w:rPr>
          <w:rFonts w:hint="eastAsia"/>
          <w:color w:val="231F20"/>
        </w:rPr>
        <w:t>This involves both proclamation and probation.</w:t>
      </w:r>
    </w:p>
    <w:p w14:paraId="54F33090">
      <w:pPr>
        <w:pStyle w:val="9"/>
        <w:spacing w:before="18" w:line="249" w:lineRule="auto"/>
        <w:ind w:right="99" w:firstLine="450"/>
        <w:rPr>
          <w:rFonts w:hint="eastAsia"/>
          <w:color w:val="231F20"/>
        </w:rPr>
      </w:pPr>
      <w:r>
        <w:rPr>
          <w:rFonts w:hint="eastAsia"/>
          <w:color w:val="231F20"/>
        </w:rPr>
        <w:t>这既涉及宣讲，也涉及察验。</w:t>
      </w:r>
    </w:p>
    <w:p w14:paraId="3609E269">
      <w:pPr>
        <w:pStyle w:val="9"/>
        <w:spacing w:before="18" w:line="249" w:lineRule="auto"/>
        <w:ind w:right="99" w:firstLine="450"/>
        <w:rPr>
          <w:rFonts w:hint="eastAsia"/>
          <w:color w:val="231F20"/>
        </w:rPr>
      </w:pPr>
    </w:p>
    <w:p w14:paraId="70C58B4C">
      <w:pPr>
        <w:pStyle w:val="9"/>
        <w:spacing w:before="18" w:line="249" w:lineRule="auto"/>
        <w:ind w:right="99" w:firstLine="450"/>
        <w:rPr>
          <w:rFonts w:hint="eastAsia"/>
          <w:color w:val="231F20"/>
        </w:rPr>
      </w:pPr>
      <w:r>
        <w:rPr>
          <w:rFonts w:hint="eastAsia"/>
          <w:color w:val="231F20"/>
        </w:rPr>
        <w:t>In particular, he continually sends forth both the Spirit and the Church into the world, to preach the Gospel; to proclaim the promise of the Covenant (i.e., eternal life), the provision of the Covenant (i.e., Christ, his Person and Work), the proviso of the Covenant (i.e., faith in Christ), and the penalty for spurning the Covenant (i.e., eternal punishment).</w:t>
      </w:r>
    </w:p>
    <w:p w14:paraId="7E84509C">
      <w:pPr>
        <w:pStyle w:val="9"/>
        <w:spacing w:before="18" w:line="249" w:lineRule="auto"/>
        <w:ind w:right="99" w:firstLine="450"/>
        <w:rPr>
          <w:rFonts w:hint="eastAsia"/>
          <w:color w:val="231F20"/>
        </w:rPr>
      </w:pPr>
      <w:r>
        <w:rPr>
          <w:rFonts w:hint="eastAsia"/>
          <w:color w:val="231F20"/>
        </w:rPr>
        <w:t>特别是，祂不断地差遣圣灵和教会进入世界，去传福音；去宣讲圣约的应许（即永生），圣约的预备（即基督，祂的位格和工作），圣约的附带条件（即信靠基督），以及藐视圣约的刑罚（即永刑）。</w:t>
      </w:r>
    </w:p>
    <w:p w14:paraId="2E4C0BE9">
      <w:pPr>
        <w:pStyle w:val="9"/>
        <w:spacing w:before="18" w:line="249" w:lineRule="auto"/>
        <w:ind w:right="99" w:firstLine="450"/>
        <w:rPr>
          <w:rFonts w:hint="eastAsia"/>
          <w:color w:val="231F20"/>
        </w:rPr>
      </w:pPr>
    </w:p>
    <w:p w14:paraId="7BB4BB07">
      <w:pPr>
        <w:pStyle w:val="9"/>
        <w:spacing w:before="18" w:line="249" w:lineRule="auto"/>
        <w:ind w:right="99" w:firstLine="450"/>
        <w:rPr>
          <w:rFonts w:hint="eastAsia"/>
          <w:color w:val="231F20"/>
        </w:rPr>
      </w:pPr>
      <w:r>
        <w:rPr>
          <w:rFonts w:hint="eastAsia"/>
          <w:color w:val="231F20"/>
        </w:rPr>
        <w:t>In this process, all who hear are put on probation, all are tested with respect to their love of the truth about God; and in this process, all of God’s elect are drawn to Christ, rescued from the Domain of Darkness, and restored to the manifold blessings of his direct rule.</w:t>
      </w:r>
    </w:p>
    <w:p w14:paraId="085E2FE3">
      <w:pPr>
        <w:pStyle w:val="9"/>
        <w:spacing w:before="18" w:line="249" w:lineRule="auto"/>
        <w:ind w:right="99" w:firstLine="450"/>
        <w:rPr>
          <w:rFonts w:hint="eastAsia"/>
          <w:color w:val="231F20"/>
        </w:rPr>
      </w:pPr>
      <w:r>
        <w:rPr>
          <w:rFonts w:hint="eastAsia"/>
          <w:color w:val="231F20"/>
        </w:rPr>
        <w:t>在这个过程中，所有听到的人都受到察验，所有人都被试验他们对上帝真理的爱；在这个过程中，所有上帝的选民都被引到基督那里，从黑暗的权势中被拯救出来，并恢复到祂直接统治的多重祝福中。</w:t>
      </w:r>
    </w:p>
    <w:p w14:paraId="2E60CAC6">
      <w:pPr>
        <w:pStyle w:val="9"/>
        <w:spacing w:before="18" w:line="249" w:lineRule="auto"/>
        <w:ind w:right="99" w:firstLine="450"/>
        <w:rPr>
          <w:rFonts w:hint="eastAsia"/>
          <w:color w:val="231F20"/>
        </w:rPr>
      </w:pPr>
    </w:p>
    <w:p w14:paraId="388608E3">
      <w:pPr>
        <w:pStyle w:val="9"/>
        <w:spacing w:before="18" w:line="249" w:lineRule="auto"/>
        <w:ind w:right="99" w:firstLine="450"/>
        <w:rPr>
          <w:rFonts w:hint="eastAsia"/>
          <w:color w:val="231F20"/>
        </w:rPr>
      </w:pPr>
      <w:r>
        <w:rPr>
          <w:rFonts w:hint="eastAsia"/>
          <w:color w:val="231F20"/>
        </w:rPr>
        <w:t>Thus, the parties of the Covenant (i.e., God and his elect) are fully reconciled, with the result that both enjoy together all the blessings of the promise of the Covenant, which is eternal life.</w:t>
      </w:r>
    </w:p>
    <w:p w14:paraId="63AB11AC">
      <w:pPr>
        <w:pStyle w:val="9"/>
        <w:spacing w:before="18" w:line="249" w:lineRule="auto"/>
        <w:ind w:right="99" w:firstLine="450"/>
        <w:rPr>
          <w:rFonts w:hint="eastAsia"/>
          <w:color w:val="231F20"/>
        </w:rPr>
      </w:pPr>
      <w:r>
        <w:rPr>
          <w:rFonts w:hint="eastAsia"/>
          <w:color w:val="231F20"/>
        </w:rPr>
        <w:t>因此，圣约的立约方（即上帝和祂的选民）完全和好，结果是双方一同享受圣约应许的所有祝福，就是永生。</w:t>
      </w:r>
    </w:p>
    <w:p w14:paraId="1028A2C5">
      <w:pPr>
        <w:pStyle w:val="9"/>
        <w:spacing w:before="18" w:line="249" w:lineRule="auto"/>
        <w:ind w:right="99" w:firstLine="450"/>
        <w:rPr>
          <w:rFonts w:hint="eastAsia"/>
          <w:color w:val="231F20"/>
        </w:rPr>
      </w:pPr>
    </w:p>
    <w:p w14:paraId="7FAAC092">
      <w:pPr>
        <w:pStyle w:val="9"/>
        <w:spacing w:before="18" w:line="249" w:lineRule="auto"/>
        <w:ind w:right="99" w:firstLine="450"/>
        <w:rPr>
          <w:rFonts w:hint="eastAsia"/>
          <w:color w:val="231F20"/>
        </w:rPr>
      </w:pPr>
      <w:r>
        <w:rPr>
          <w:rFonts w:hint="eastAsia"/>
          <w:color w:val="231F20"/>
        </w:rPr>
        <w:t>The second stage of the Era of Fulfillment begins at the Parousia, when Christ himself returns to earth to consummate all things in final judgment and final redemption.</w:t>
      </w:r>
    </w:p>
    <w:p w14:paraId="54181AD9">
      <w:pPr>
        <w:pStyle w:val="9"/>
        <w:spacing w:before="18" w:line="249" w:lineRule="auto"/>
        <w:ind w:right="99" w:firstLine="450"/>
        <w:rPr>
          <w:rFonts w:hint="eastAsia"/>
          <w:color w:val="231F20"/>
        </w:rPr>
      </w:pPr>
      <w:r>
        <w:rPr>
          <w:rFonts w:hint="eastAsia"/>
          <w:color w:val="231F20"/>
        </w:rPr>
        <w:t>成全时代的第二个阶段始于基督再来，那时基督自己回到地上，在最后的审判和最后的救赎中成全万事。</w:t>
      </w:r>
    </w:p>
    <w:p w14:paraId="5F43C24A">
      <w:pPr>
        <w:pStyle w:val="9"/>
        <w:spacing w:before="18" w:line="249" w:lineRule="auto"/>
        <w:ind w:right="99" w:firstLine="450"/>
        <w:rPr>
          <w:rFonts w:hint="eastAsia"/>
          <w:color w:val="231F20"/>
        </w:rPr>
      </w:pPr>
    </w:p>
    <w:p w14:paraId="4CD53F9D">
      <w:pPr>
        <w:pStyle w:val="9"/>
        <w:spacing w:before="18" w:line="249" w:lineRule="auto"/>
        <w:ind w:right="99" w:firstLine="450"/>
        <w:rPr>
          <w:rFonts w:hint="eastAsia"/>
          <w:color w:val="231F20"/>
        </w:rPr>
      </w:pPr>
      <w:r>
        <w:rPr>
          <w:rFonts w:hint="eastAsia"/>
          <w:color w:val="231F20"/>
        </w:rPr>
        <w:t>Accordingly, this may be called the Era of Reward and Retribution.</w:t>
      </w:r>
    </w:p>
    <w:p w14:paraId="4B76E066">
      <w:pPr>
        <w:pStyle w:val="9"/>
        <w:spacing w:before="18" w:line="249" w:lineRule="auto"/>
        <w:ind w:right="99" w:firstLine="450"/>
        <w:rPr>
          <w:rFonts w:hint="eastAsia"/>
          <w:color w:val="231F20"/>
        </w:rPr>
      </w:pPr>
      <w:r>
        <w:rPr>
          <w:rFonts w:hint="eastAsia"/>
          <w:color w:val="231F20"/>
        </w:rPr>
        <w:t>因此，这可称为赏赐与报应的时代。</w:t>
      </w:r>
    </w:p>
    <w:p w14:paraId="5157FB75">
      <w:pPr>
        <w:pStyle w:val="9"/>
        <w:spacing w:before="18" w:line="249" w:lineRule="auto"/>
        <w:ind w:right="99" w:firstLine="450"/>
        <w:rPr>
          <w:rFonts w:hint="eastAsia"/>
          <w:color w:val="231F20"/>
        </w:rPr>
      </w:pPr>
    </w:p>
    <w:p w14:paraId="1D60421F">
      <w:pPr>
        <w:pStyle w:val="9"/>
        <w:spacing w:before="18" w:line="249" w:lineRule="auto"/>
        <w:ind w:right="99" w:firstLine="450"/>
        <w:rPr>
          <w:rFonts w:hint="eastAsia"/>
          <w:color w:val="231F20"/>
        </w:rPr>
      </w:pPr>
      <w:r>
        <w:rPr>
          <w:rFonts w:hint="eastAsia"/>
          <w:color w:val="231F20"/>
        </w:rPr>
        <w:t>It is eternal, being comprised of endless “ages to come” (Eph. 2:7).</w:t>
      </w:r>
    </w:p>
    <w:p w14:paraId="3D505FA9">
      <w:pPr>
        <w:pStyle w:val="9"/>
        <w:spacing w:before="18" w:line="249" w:lineRule="auto"/>
        <w:ind w:right="99" w:firstLine="450"/>
        <w:rPr>
          <w:rFonts w:hint="eastAsia"/>
          <w:color w:val="231F20"/>
        </w:rPr>
      </w:pPr>
      <w:r>
        <w:rPr>
          <w:rFonts w:hint="eastAsia"/>
          <w:color w:val="231F20"/>
        </w:rPr>
        <w:t>它是永恒的，由无尽的“来世”组成（弗 2:7）。</w:t>
      </w:r>
    </w:p>
    <w:p w14:paraId="19F6321E">
      <w:pPr>
        <w:pStyle w:val="9"/>
        <w:spacing w:before="18" w:line="249" w:lineRule="auto"/>
        <w:ind w:right="99" w:firstLine="450"/>
        <w:rPr>
          <w:rFonts w:hint="eastAsia"/>
          <w:color w:val="231F20"/>
        </w:rPr>
      </w:pPr>
    </w:p>
    <w:p w14:paraId="602E0B3B">
      <w:pPr>
        <w:pStyle w:val="9"/>
        <w:spacing w:before="18" w:line="249" w:lineRule="auto"/>
        <w:ind w:right="99" w:firstLine="450"/>
        <w:rPr>
          <w:rFonts w:hint="eastAsia"/>
          <w:color w:val="231F20"/>
        </w:rPr>
      </w:pPr>
      <w:r>
        <w:rPr>
          <w:rFonts w:hint="eastAsia"/>
          <w:color w:val="231F20"/>
        </w:rPr>
        <w:t>Here the several elements of the Covenant are fully and finally unveiled.</w:t>
      </w:r>
    </w:p>
    <w:p w14:paraId="28F7DB12">
      <w:pPr>
        <w:pStyle w:val="9"/>
        <w:spacing w:before="18" w:line="249" w:lineRule="auto"/>
        <w:ind w:right="99" w:firstLine="450"/>
        <w:rPr>
          <w:rFonts w:hint="eastAsia"/>
          <w:color w:val="231F20"/>
        </w:rPr>
      </w:pPr>
      <w:r>
        <w:rPr>
          <w:rFonts w:hint="eastAsia"/>
          <w:color w:val="231F20"/>
        </w:rPr>
        <w:t>在此，圣约的几个要素完全且最终地被揭示出来。</w:t>
      </w:r>
    </w:p>
    <w:p w14:paraId="6F39A85F">
      <w:pPr>
        <w:pStyle w:val="9"/>
        <w:spacing w:before="18" w:line="249" w:lineRule="auto"/>
        <w:ind w:right="99" w:firstLine="450"/>
        <w:rPr>
          <w:rFonts w:hint="eastAsia"/>
          <w:color w:val="231F20"/>
        </w:rPr>
      </w:pPr>
    </w:p>
    <w:p w14:paraId="1C1E985E">
      <w:pPr>
        <w:pStyle w:val="9"/>
        <w:spacing w:before="18" w:line="249" w:lineRule="auto"/>
        <w:ind w:right="99" w:firstLine="450"/>
        <w:rPr>
          <w:rFonts w:hint="eastAsia"/>
          <w:color w:val="231F20"/>
        </w:rPr>
      </w:pPr>
      <w:r>
        <w:rPr>
          <w:rFonts w:hint="eastAsia"/>
          <w:color w:val="231F20"/>
        </w:rPr>
        <w:t>For unbelieving sinners, the penalty for spurning the Covenant will be displayed in Gehenna, or the Lake of Fire.</w:t>
      </w:r>
    </w:p>
    <w:p w14:paraId="31D07364">
      <w:pPr>
        <w:pStyle w:val="9"/>
        <w:spacing w:before="18" w:line="249" w:lineRule="auto"/>
        <w:ind w:right="99" w:firstLine="450"/>
        <w:rPr>
          <w:rFonts w:hint="eastAsia"/>
          <w:color w:val="231F20"/>
        </w:rPr>
      </w:pPr>
      <w:r>
        <w:rPr>
          <w:rFonts w:hint="eastAsia"/>
          <w:color w:val="231F20"/>
        </w:rPr>
        <w:t>对于不信的罪人，藐视圣约的刑罚将在地狱或火湖中显现。</w:t>
      </w:r>
    </w:p>
    <w:p w14:paraId="1A384241">
      <w:pPr>
        <w:pStyle w:val="9"/>
        <w:spacing w:before="18" w:line="249" w:lineRule="auto"/>
        <w:ind w:right="99" w:firstLine="450"/>
        <w:rPr>
          <w:rFonts w:hint="eastAsia"/>
          <w:color w:val="231F20"/>
        </w:rPr>
      </w:pPr>
    </w:p>
    <w:p w14:paraId="77FDD0A2">
      <w:pPr>
        <w:pStyle w:val="9"/>
        <w:spacing w:before="18" w:line="249" w:lineRule="auto"/>
        <w:ind w:right="99" w:firstLine="450"/>
        <w:rPr>
          <w:rFonts w:hint="eastAsia"/>
          <w:color w:val="231F20"/>
        </w:rPr>
      </w:pPr>
      <w:r>
        <w:rPr>
          <w:rFonts w:hint="eastAsia"/>
          <w:color w:val="231F20"/>
        </w:rPr>
        <w:t>As for the saints, the promise of the Covenant will be displayed in new heavens and a new earth.</w:t>
      </w:r>
    </w:p>
    <w:p w14:paraId="37C013E6">
      <w:pPr>
        <w:pStyle w:val="9"/>
        <w:spacing w:before="18" w:line="249" w:lineRule="auto"/>
        <w:ind w:right="99" w:firstLine="450"/>
        <w:rPr>
          <w:rFonts w:hint="eastAsia"/>
          <w:color w:val="231F20"/>
        </w:rPr>
      </w:pPr>
      <w:r>
        <w:rPr>
          <w:rFonts w:hint="eastAsia"/>
          <w:color w:val="231F20"/>
        </w:rPr>
        <w:t>至于圣徒们，圣约的应许将在新天新地中显现。</w:t>
      </w:r>
    </w:p>
    <w:p w14:paraId="501E5204">
      <w:pPr>
        <w:pStyle w:val="9"/>
        <w:spacing w:before="18" w:line="249" w:lineRule="auto"/>
        <w:ind w:right="99" w:firstLine="450"/>
        <w:rPr>
          <w:rFonts w:hint="eastAsia"/>
          <w:color w:val="231F20"/>
        </w:rPr>
      </w:pPr>
    </w:p>
    <w:p w14:paraId="53CE48B6">
      <w:pPr>
        <w:pStyle w:val="9"/>
        <w:spacing w:before="18" w:line="249" w:lineRule="auto"/>
        <w:ind w:right="99" w:firstLine="450"/>
        <w:rPr>
          <w:rFonts w:hint="eastAsia"/>
          <w:color w:val="231F20"/>
        </w:rPr>
      </w:pPr>
      <w:r>
        <w:rPr>
          <w:rFonts w:hint="eastAsia"/>
          <w:color w:val="231F20"/>
        </w:rPr>
        <w:t>There they no longer behold God and Christ by faith, but by sight.</w:t>
      </w:r>
    </w:p>
    <w:p w14:paraId="3224F311">
      <w:pPr>
        <w:pStyle w:val="9"/>
        <w:spacing w:before="18" w:line="249" w:lineRule="auto"/>
        <w:ind w:right="99" w:firstLine="450"/>
        <w:rPr>
          <w:rFonts w:hint="eastAsia"/>
          <w:color w:val="231F20"/>
        </w:rPr>
      </w:pPr>
      <w:r>
        <w:rPr>
          <w:rFonts w:hint="eastAsia"/>
          <w:color w:val="231F20"/>
        </w:rPr>
        <w:t>在那里，他们不再是凭着信心，而是凭着眼见看见上帝和基督。</w:t>
      </w:r>
    </w:p>
    <w:p w14:paraId="4B9C92C8">
      <w:pPr>
        <w:pStyle w:val="9"/>
        <w:spacing w:before="18" w:line="249" w:lineRule="auto"/>
        <w:ind w:right="99" w:firstLine="450"/>
        <w:rPr>
          <w:rFonts w:hint="eastAsia"/>
          <w:color w:val="231F20"/>
        </w:rPr>
      </w:pPr>
    </w:p>
    <w:p w14:paraId="0CBD4009">
      <w:pPr>
        <w:pStyle w:val="9"/>
        <w:spacing w:before="18" w:line="249" w:lineRule="auto"/>
        <w:ind w:right="99" w:firstLine="450"/>
        <w:rPr>
          <w:rFonts w:hint="eastAsia"/>
          <w:color w:val="231F20"/>
        </w:rPr>
      </w:pPr>
      <w:r>
        <w:rPr>
          <w:rFonts w:hint="eastAsia"/>
          <w:color w:val="231F20"/>
        </w:rPr>
        <w:t>There, the Covenant blessings are no longer partial, but complete.</w:t>
      </w:r>
    </w:p>
    <w:p w14:paraId="55F1A379">
      <w:pPr>
        <w:pStyle w:val="9"/>
        <w:spacing w:before="18" w:line="249" w:lineRule="auto"/>
        <w:ind w:right="99" w:firstLine="450"/>
        <w:rPr>
          <w:rFonts w:hint="eastAsia"/>
          <w:color w:val="231F20"/>
        </w:rPr>
      </w:pPr>
      <w:r>
        <w:rPr>
          <w:rFonts w:hint="eastAsia"/>
          <w:color w:val="231F20"/>
        </w:rPr>
        <w:t>在那里，圣约的祝福不再是局部的，而是完全的。</w:t>
      </w:r>
    </w:p>
    <w:p w14:paraId="1E468991">
      <w:pPr>
        <w:pStyle w:val="9"/>
        <w:spacing w:before="18" w:line="249" w:lineRule="auto"/>
        <w:ind w:right="99" w:firstLine="450"/>
        <w:rPr>
          <w:rFonts w:hint="eastAsia"/>
          <w:color w:val="231F20"/>
        </w:rPr>
      </w:pPr>
    </w:p>
    <w:p w14:paraId="06F632BD">
      <w:pPr>
        <w:pStyle w:val="9"/>
        <w:spacing w:before="18" w:line="249" w:lineRule="auto"/>
        <w:ind w:right="99" w:firstLine="450"/>
        <w:rPr>
          <w:rFonts w:hint="eastAsia"/>
          <w:color w:val="231F20"/>
        </w:rPr>
      </w:pPr>
      <w:r>
        <w:rPr>
          <w:rFonts w:hint="eastAsia"/>
          <w:color w:val="231F20"/>
        </w:rPr>
        <w:t>There, the blessings are no longer simply spiritual, but also physical.</w:t>
      </w:r>
    </w:p>
    <w:p w14:paraId="717B7D71">
      <w:pPr>
        <w:pStyle w:val="9"/>
        <w:spacing w:before="18" w:line="249" w:lineRule="auto"/>
        <w:ind w:right="99" w:firstLine="450"/>
        <w:rPr>
          <w:rFonts w:hint="eastAsia"/>
          <w:color w:val="231F20"/>
        </w:rPr>
      </w:pPr>
      <w:r>
        <w:rPr>
          <w:rFonts w:hint="eastAsia"/>
          <w:color w:val="231F20"/>
        </w:rPr>
        <w:t>在那里，祝福不再仅仅是属灵的，也是属物质的。</w:t>
      </w:r>
    </w:p>
    <w:p w14:paraId="531183EB">
      <w:pPr>
        <w:pStyle w:val="9"/>
        <w:spacing w:before="18" w:line="249" w:lineRule="auto"/>
        <w:ind w:right="99" w:firstLine="450"/>
        <w:rPr>
          <w:rFonts w:hint="eastAsia"/>
          <w:color w:val="231F20"/>
        </w:rPr>
      </w:pPr>
    </w:p>
    <w:p w14:paraId="4EAB2EC2">
      <w:pPr>
        <w:pStyle w:val="9"/>
        <w:spacing w:before="18" w:line="249" w:lineRule="auto"/>
        <w:ind w:right="99" w:firstLine="450"/>
        <w:rPr>
          <w:rFonts w:hint="eastAsia"/>
          <w:color w:val="231F20"/>
        </w:rPr>
      </w:pPr>
      <w:r>
        <w:rPr>
          <w:rFonts w:hint="eastAsia"/>
          <w:color w:val="231F20"/>
        </w:rPr>
        <w:t>In short, there the great, age-old promise of the Eternal Covenant is fully fulfilled: God is with his people, and they with him, in unimaginable purity, intimacy, and perfection, world without end.</w:t>
      </w:r>
    </w:p>
    <w:p w14:paraId="2A950F04">
      <w:pPr>
        <w:pStyle w:val="9"/>
        <w:spacing w:before="18" w:line="249" w:lineRule="auto"/>
        <w:ind w:right="99" w:firstLine="450"/>
        <w:rPr>
          <w:rFonts w:hint="eastAsia"/>
          <w:color w:val="231F20"/>
        </w:rPr>
      </w:pPr>
      <w:r>
        <w:rPr>
          <w:rFonts w:hint="eastAsia"/>
          <w:color w:val="231F20"/>
        </w:rPr>
        <w:t>简而言之，在那里，永恒之约那伟大而古老的应许完全得以实现：上帝与祂的子民同在，他们也与祂同在，在难以想象的纯洁、亲密和完美中，直到永远。</w:t>
      </w:r>
    </w:p>
    <w:p w14:paraId="04C4C7BE">
      <w:pPr>
        <w:pStyle w:val="9"/>
        <w:spacing w:before="18" w:line="249" w:lineRule="auto"/>
        <w:ind w:right="99" w:firstLine="450"/>
        <w:rPr>
          <w:rFonts w:hint="eastAsia"/>
          <w:color w:val="231F20"/>
        </w:rPr>
      </w:pPr>
    </w:p>
    <w:p w14:paraId="6F491BE7">
      <w:pPr>
        <w:pStyle w:val="9"/>
        <w:spacing w:before="18" w:line="249" w:lineRule="auto"/>
        <w:ind w:right="99" w:firstLine="450"/>
        <w:rPr>
          <w:rFonts w:hint="eastAsia"/>
          <w:color w:val="231F20"/>
        </w:rPr>
      </w:pPr>
      <w:r>
        <w:rPr>
          <w:rFonts w:hint="eastAsia"/>
          <w:color w:val="231F20"/>
        </w:rPr>
        <w:t>Amen.</w:t>
      </w:r>
    </w:p>
    <w:p w14:paraId="78171EC6">
      <w:pPr>
        <w:pStyle w:val="9"/>
        <w:spacing w:before="18" w:line="249" w:lineRule="auto"/>
        <w:ind w:right="99" w:firstLine="450"/>
        <w:rPr>
          <w:rFonts w:hint="eastAsia"/>
          <w:color w:val="231F20"/>
        </w:rPr>
      </w:pPr>
      <w:r>
        <w:rPr>
          <w:rFonts w:hint="eastAsia"/>
          <w:color w:val="231F20"/>
        </w:rPr>
        <w:t>阿们。</w:t>
      </w:r>
    </w:p>
    <w:p w14:paraId="7CEA424D">
      <w:pPr>
        <w:pStyle w:val="9"/>
        <w:spacing w:before="18" w:line="249" w:lineRule="auto"/>
        <w:ind w:right="99" w:firstLine="450"/>
        <w:rPr>
          <w:rFonts w:hint="eastAsia"/>
          <w:color w:val="231F20"/>
        </w:rPr>
      </w:pPr>
    </w:p>
    <w:p w14:paraId="76A2FABD">
      <w:pPr>
        <w:pStyle w:val="9"/>
        <w:spacing w:before="18" w:line="249" w:lineRule="auto"/>
        <w:ind w:right="99" w:firstLine="450"/>
        <w:rPr>
          <w:rFonts w:hint="eastAsia"/>
          <w:color w:val="231F20"/>
        </w:rPr>
      </w:pPr>
      <w:r>
        <w:rPr>
          <w:rFonts w:hint="eastAsia"/>
          <w:color w:val="231F20"/>
        </w:rPr>
        <w:t>Again, we have called this the Era of Fulfillment, because here every OT promise, type, shadow, and predictive prophecy is at last fulfilled.</w:t>
      </w:r>
    </w:p>
    <w:p w14:paraId="6562F1C5">
      <w:pPr>
        <w:pStyle w:val="9"/>
        <w:spacing w:before="18" w:line="249" w:lineRule="auto"/>
        <w:ind w:right="99" w:firstLine="450"/>
        <w:rPr>
          <w:rFonts w:hint="eastAsia"/>
          <w:color w:val="231F20"/>
        </w:rPr>
      </w:pPr>
      <w:r>
        <w:rPr>
          <w:rFonts w:hint="eastAsia"/>
          <w:color w:val="231F20"/>
        </w:rPr>
        <w:t>再者，我们称之为成全的时代，因为在此，旧约的每一个应许、预表、影像和预言性预言最终都得以成全。</w:t>
      </w:r>
    </w:p>
    <w:p w14:paraId="3BB8E24A">
      <w:pPr>
        <w:pStyle w:val="9"/>
        <w:spacing w:before="18" w:line="249" w:lineRule="auto"/>
        <w:ind w:right="99" w:firstLine="450"/>
        <w:rPr>
          <w:rFonts w:hint="eastAsia"/>
          <w:color w:val="231F20"/>
        </w:rPr>
      </w:pPr>
    </w:p>
    <w:p w14:paraId="31A4A090">
      <w:pPr>
        <w:pStyle w:val="9"/>
        <w:spacing w:before="18" w:line="249" w:lineRule="auto"/>
        <w:ind w:right="99" w:firstLine="450"/>
        <w:rPr>
          <w:rFonts w:hint="eastAsia"/>
          <w:color w:val="231F20"/>
        </w:rPr>
      </w:pPr>
      <w:r>
        <w:rPr>
          <w:rFonts w:hint="eastAsia"/>
          <w:color w:val="231F20"/>
        </w:rPr>
        <w:t>In other words, every OT promise, type, shadow, and predictive prophecy was actually speaking of the elements and stages of the Eternal Covenant, so that when the Covenant was actually revealed, men could, at long last, understand what they actually meant.</w:t>
      </w:r>
    </w:p>
    <w:p w14:paraId="293F546C">
      <w:pPr>
        <w:pStyle w:val="9"/>
        <w:spacing w:before="18" w:line="249" w:lineRule="auto"/>
        <w:ind w:right="99" w:firstLine="450"/>
        <w:rPr>
          <w:rFonts w:hint="eastAsia"/>
          <w:color w:val="231F20"/>
        </w:rPr>
      </w:pPr>
      <w:r>
        <w:rPr>
          <w:rFonts w:hint="eastAsia"/>
          <w:color w:val="231F20"/>
        </w:rPr>
        <w:t>换句话说，旧约的每一个应许、预表、影像和预言性预言实际上都在谈论永恒之约的要素和阶段，因此当约实际被揭示时，人们终于可以理解它们的真正含义。</w:t>
      </w:r>
    </w:p>
    <w:p w14:paraId="32731E14">
      <w:pPr>
        <w:pStyle w:val="9"/>
        <w:spacing w:before="18" w:line="249" w:lineRule="auto"/>
        <w:ind w:right="99" w:firstLine="450"/>
        <w:rPr>
          <w:rFonts w:hint="eastAsia"/>
          <w:color w:val="231F20"/>
        </w:rPr>
      </w:pPr>
    </w:p>
    <w:p w14:paraId="7EF01051">
      <w:pPr>
        <w:pStyle w:val="9"/>
        <w:spacing w:before="18" w:line="249" w:lineRule="auto"/>
        <w:ind w:right="99" w:firstLine="450"/>
        <w:rPr>
          <w:rFonts w:hint="eastAsia"/>
          <w:color w:val="231F20"/>
        </w:rPr>
      </w:pPr>
      <w:r>
        <w:rPr>
          <w:rFonts w:hint="eastAsia"/>
          <w:color w:val="231F20"/>
        </w:rPr>
        <w:t>Therefore, to receive all this truth from our Master is indeed to receive a Master Key that opens up the OT in general, and OTKP in particular.</w:t>
      </w:r>
    </w:p>
    <w:p w14:paraId="049F4B2C">
      <w:pPr>
        <w:pStyle w:val="9"/>
        <w:spacing w:before="18" w:line="249" w:lineRule="auto"/>
        <w:ind w:right="99" w:firstLine="450"/>
        <w:rPr>
          <w:rFonts w:hint="eastAsia"/>
          <w:color w:val="231F20"/>
        </w:rPr>
      </w:pPr>
      <w:r>
        <w:rPr>
          <w:rFonts w:hint="eastAsia"/>
          <w:color w:val="231F20"/>
        </w:rPr>
        <w:t>因此，从我们的夫子领受所有这些真理，确实是领受了一把总钥匙，它打开了整个旧约，特别是旧约国度预言（OTKP）。</w:t>
      </w:r>
    </w:p>
    <w:p w14:paraId="780F58B6">
      <w:pPr>
        <w:pStyle w:val="9"/>
        <w:spacing w:before="18" w:line="249" w:lineRule="auto"/>
        <w:ind w:right="99" w:firstLine="450"/>
        <w:rPr>
          <w:rFonts w:hint="eastAsia"/>
          <w:color w:val="231F20"/>
        </w:rPr>
      </w:pPr>
    </w:p>
    <w:p w14:paraId="5B40274F">
      <w:pPr>
        <w:pStyle w:val="9"/>
        <w:spacing w:before="18" w:line="249" w:lineRule="auto"/>
        <w:ind w:right="99" w:firstLine="450"/>
        <w:rPr>
          <w:rFonts w:hint="eastAsia"/>
          <w:color w:val="231F20"/>
        </w:rPr>
      </w:pPr>
      <w:r>
        <w:rPr>
          <w:rFonts w:hint="eastAsia"/>
          <w:color w:val="231F20"/>
        </w:rPr>
        <w:t>3.The Coming of the Kingdom</w:t>
      </w:r>
    </w:p>
    <w:p w14:paraId="5ED20FA9">
      <w:pPr>
        <w:pStyle w:val="9"/>
        <w:spacing w:before="18" w:line="249" w:lineRule="auto"/>
        <w:ind w:right="99" w:firstLine="450"/>
      </w:pPr>
      <w:r>
        <w:rPr>
          <w:rFonts w:hint="eastAsia"/>
          <w:color w:val="231F20"/>
        </w:rPr>
        <w:t>3.国度的降临</w:t>
      </w:r>
    </w:p>
    <w:p w14:paraId="150AEFA4">
      <w:pPr>
        <w:pStyle w:val="6"/>
        <w:spacing w:after="0" w:line="240" w:lineRule="auto"/>
        <w:jc w:val="left"/>
        <w:sectPr>
          <w:pgSz w:w="12240" w:h="15840"/>
          <w:pgMar w:top="1380" w:right="1440" w:bottom="280" w:left="1440" w:header="720" w:footer="720" w:gutter="0"/>
          <w:cols w:space="720" w:num="1"/>
        </w:sectPr>
      </w:pPr>
      <w:bookmarkStart w:id="29" w:name="_bookmark41"/>
      <w:bookmarkEnd w:id="29"/>
    </w:p>
    <w:p w14:paraId="6E0D7AC7">
      <w:pPr>
        <w:pStyle w:val="9"/>
        <w:spacing w:before="0"/>
        <w:ind w:left="2307"/>
        <w:jc w:val="left"/>
        <w:rPr>
          <w:rFonts w:hint="eastAsia" w:eastAsia="宋体"/>
          <w:sz w:val="20"/>
          <w:lang w:eastAsia="zh-CN"/>
        </w:rPr>
      </w:pPr>
      <w:r>
        <w:rPr>
          <w:sz w:val="20"/>
        </w:rPr>
        <w:drawing>
          <wp:inline distT="0" distB="0" distL="0" distR="0">
            <wp:extent cx="3046730" cy="1938020"/>
            <wp:effectExtent l="0" t="0" r="0" b="0"/>
            <wp:docPr id="72" name="Image 72"/>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25" cstate="print"/>
                    <a:stretch>
                      <a:fillRect/>
                    </a:stretch>
                  </pic:blipFill>
                  <pic:spPr>
                    <a:xfrm>
                      <a:off x="0" y="0"/>
                      <a:ext cx="3046923" cy="1938527"/>
                    </a:xfrm>
                    <a:prstGeom prst="rect">
                      <a:avLst/>
                    </a:prstGeom>
                  </pic:spPr>
                </pic:pic>
              </a:graphicData>
            </a:graphic>
          </wp:inline>
        </w:drawing>
      </w:r>
      <w:r>
        <w:rPr>
          <w:rFonts w:hint="eastAsia" w:eastAsia="宋体"/>
          <w:sz w:val="20"/>
          <w:lang w:eastAsia="zh-CN"/>
        </w:rPr>
        <w:drawing>
          <wp:inline distT="0" distB="0" distL="114300" distR="114300">
            <wp:extent cx="5059680" cy="3230880"/>
            <wp:effectExtent l="0" t="0" r="0" b="0"/>
            <wp:docPr id="6" name="图片 6" descr="e33a38f5c58eb51fe2edcf54df4add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33a38f5c58eb51fe2edcf54df4add96"/>
                    <pic:cNvPicPr>
                      <a:picLocks noChangeAspect="1"/>
                    </pic:cNvPicPr>
                  </pic:nvPicPr>
                  <pic:blipFill>
                    <a:blip r:embed="rId26"/>
                    <a:stretch>
                      <a:fillRect/>
                    </a:stretch>
                  </pic:blipFill>
                  <pic:spPr>
                    <a:xfrm>
                      <a:off x="0" y="0"/>
                      <a:ext cx="5059680" cy="3230880"/>
                    </a:xfrm>
                    <a:prstGeom prst="rect">
                      <a:avLst/>
                    </a:prstGeom>
                  </pic:spPr>
                </pic:pic>
              </a:graphicData>
            </a:graphic>
          </wp:inline>
        </w:drawing>
      </w:r>
    </w:p>
    <w:p w14:paraId="2B8E521F">
      <w:pPr>
        <w:pStyle w:val="9"/>
        <w:spacing w:before="11" w:line="249" w:lineRule="auto"/>
        <w:ind w:right="103" w:firstLine="450"/>
        <w:rPr>
          <w:rFonts w:hint="eastAsia"/>
          <w:color w:val="231F20"/>
        </w:rPr>
      </w:pPr>
      <w:r>
        <w:rPr>
          <w:rFonts w:hint="eastAsia"/>
          <w:color w:val="231F20"/>
        </w:rPr>
        <w:t>How do we know that the Era of Fulfillment is comprised of two stages, and two only?</w:t>
      </w:r>
    </w:p>
    <w:p w14:paraId="052FA896">
      <w:pPr>
        <w:pStyle w:val="9"/>
        <w:spacing w:before="11" w:line="249" w:lineRule="auto"/>
        <w:ind w:right="103" w:firstLine="450"/>
        <w:rPr>
          <w:rFonts w:hint="eastAsia"/>
          <w:color w:val="231F20"/>
        </w:rPr>
      </w:pPr>
      <w:r>
        <w:rPr>
          <w:rFonts w:hint="eastAsia"/>
          <w:color w:val="231F20"/>
        </w:rPr>
        <w:t>我们如何知道成全的时代仅由两个阶段组成，且只有两个？</w:t>
      </w:r>
    </w:p>
    <w:p w14:paraId="32D40E0F">
      <w:pPr>
        <w:pStyle w:val="9"/>
        <w:spacing w:before="11" w:line="249" w:lineRule="auto"/>
        <w:ind w:right="103" w:firstLine="450"/>
        <w:rPr>
          <w:rFonts w:hint="eastAsia"/>
          <w:color w:val="231F20"/>
        </w:rPr>
      </w:pPr>
    </w:p>
    <w:p w14:paraId="45DE5F1B">
      <w:pPr>
        <w:pStyle w:val="9"/>
        <w:spacing w:before="11" w:line="249" w:lineRule="auto"/>
        <w:ind w:right="103" w:firstLine="450"/>
        <w:rPr>
          <w:rFonts w:hint="eastAsia"/>
          <w:color w:val="231F20"/>
        </w:rPr>
      </w:pPr>
      <w:r>
        <w:rPr>
          <w:rFonts w:hint="eastAsia"/>
          <w:color w:val="231F20"/>
        </w:rPr>
        <w:t>We know it because of NT teaching on the coming of the Kingdom, teaching we examined in chapter 9. I have sought to picture our conclusions here.</w:t>
      </w:r>
    </w:p>
    <w:p w14:paraId="511CBADE">
      <w:pPr>
        <w:pStyle w:val="9"/>
        <w:spacing w:before="11" w:line="249" w:lineRule="auto"/>
        <w:ind w:right="103" w:firstLine="450"/>
        <w:rPr>
          <w:rFonts w:hint="eastAsia"/>
          <w:color w:val="231F20"/>
        </w:rPr>
      </w:pPr>
      <w:r>
        <w:rPr>
          <w:rFonts w:hint="eastAsia"/>
          <w:color w:val="231F20"/>
        </w:rPr>
        <w:t>我们知道这一点，是因为新约关于国度降临的教导，我们已在第九章中加以考察。我试图在此处图示我们的结论。</w:t>
      </w:r>
    </w:p>
    <w:p w14:paraId="044EEB10">
      <w:pPr>
        <w:pStyle w:val="9"/>
        <w:spacing w:before="11" w:line="249" w:lineRule="auto"/>
        <w:ind w:right="103" w:firstLine="450"/>
        <w:rPr>
          <w:rFonts w:hint="eastAsia"/>
          <w:color w:val="231F20"/>
        </w:rPr>
      </w:pPr>
    </w:p>
    <w:p w14:paraId="269FE526">
      <w:pPr>
        <w:pStyle w:val="9"/>
        <w:spacing w:before="11" w:line="249" w:lineRule="auto"/>
        <w:ind w:right="103" w:firstLine="450"/>
        <w:rPr>
          <w:rFonts w:hint="eastAsia"/>
          <w:color w:val="231F20"/>
        </w:rPr>
      </w:pPr>
      <w:r>
        <w:rPr>
          <w:rFonts w:hint="eastAsia"/>
          <w:color w:val="231F20"/>
        </w:rPr>
        <w:t>Since we have already discussed these matters at some length, the diagram is, I think, self-explanatory.</w:t>
      </w:r>
    </w:p>
    <w:p w14:paraId="74A3C0B6">
      <w:pPr>
        <w:pStyle w:val="9"/>
        <w:spacing w:before="11" w:line="249" w:lineRule="auto"/>
        <w:ind w:right="103" w:firstLine="450"/>
        <w:rPr>
          <w:rFonts w:hint="eastAsia"/>
          <w:color w:val="231F20"/>
        </w:rPr>
      </w:pPr>
      <w:r>
        <w:rPr>
          <w:rFonts w:hint="eastAsia"/>
          <w:color w:val="231F20"/>
        </w:rPr>
        <w:t>由于我们已对这些问题作了相当长的讨论，我认为这个图示是不言自明的。</w:t>
      </w:r>
    </w:p>
    <w:p w14:paraId="389AA9DC">
      <w:pPr>
        <w:pStyle w:val="9"/>
        <w:spacing w:before="11" w:line="249" w:lineRule="auto"/>
        <w:ind w:right="103" w:firstLine="450"/>
        <w:rPr>
          <w:rFonts w:hint="eastAsia"/>
          <w:color w:val="231F20"/>
        </w:rPr>
      </w:pPr>
    </w:p>
    <w:p w14:paraId="594BE56E">
      <w:pPr>
        <w:pStyle w:val="9"/>
        <w:spacing w:before="11" w:line="249" w:lineRule="auto"/>
        <w:ind w:right="103" w:firstLine="450"/>
        <w:rPr>
          <w:rFonts w:hint="eastAsia"/>
          <w:color w:val="231F20"/>
        </w:rPr>
      </w:pPr>
      <w:r>
        <w:rPr>
          <w:rFonts w:hint="eastAsia"/>
          <w:color w:val="231F20"/>
        </w:rPr>
        <w:t>However, on one key point, a few further remarks are in order.</w:t>
      </w:r>
    </w:p>
    <w:p w14:paraId="4497EE02">
      <w:pPr>
        <w:pStyle w:val="9"/>
        <w:spacing w:before="11" w:line="249" w:lineRule="auto"/>
        <w:ind w:right="103" w:firstLine="450"/>
        <w:rPr>
          <w:rFonts w:hint="eastAsia"/>
          <w:color w:val="231F20"/>
        </w:rPr>
      </w:pPr>
      <w:r>
        <w:rPr>
          <w:rFonts w:hint="eastAsia"/>
          <w:color w:val="231F20"/>
        </w:rPr>
        <w:t>然而，在一个关键点上，有必要作一些进一步的评论。</w:t>
      </w:r>
    </w:p>
    <w:p w14:paraId="06B6005F">
      <w:pPr>
        <w:pStyle w:val="9"/>
        <w:spacing w:before="11" w:line="249" w:lineRule="auto"/>
        <w:ind w:right="103" w:firstLine="450"/>
        <w:rPr>
          <w:rFonts w:hint="eastAsia"/>
          <w:color w:val="231F20"/>
        </w:rPr>
      </w:pPr>
    </w:p>
    <w:p w14:paraId="66465B83">
      <w:pPr>
        <w:pStyle w:val="9"/>
        <w:spacing w:before="11" w:line="249" w:lineRule="auto"/>
        <w:ind w:right="103" w:firstLine="450"/>
        <w:rPr>
          <w:rFonts w:hint="eastAsia"/>
          <w:color w:val="231F20"/>
        </w:rPr>
      </w:pPr>
      <w:r>
        <w:rPr>
          <w:rFonts w:hint="eastAsia"/>
          <w:color w:val="231F20"/>
        </w:rPr>
        <w:t>The shaded rectangle in our Timeline represents the first stage of the Kingdom, the Kingdom of the Son.</w:t>
      </w:r>
    </w:p>
    <w:p w14:paraId="533B246C">
      <w:pPr>
        <w:pStyle w:val="9"/>
        <w:spacing w:before="11" w:line="249" w:lineRule="auto"/>
        <w:ind w:right="103" w:firstLine="450"/>
        <w:rPr>
          <w:rFonts w:hint="eastAsia"/>
          <w:color w:val="231F20"/>
        </w:rPr>
      </w:pPr>
      <w:r>
        <w:rPr>
          <w:rFonts w:hint="eastAsia"/>
          <w:color w:val="231F20"/>
        </w:rPr>
        <w:t>我们时间线中的阴影矩形代表国度的第一阶段，即圣子之国。</w:t>
      </w:r>
    </w:p>
    <w:p w14:paraId="273875A1">
      <w:pPr>
        <w:pStyle w:val="9"/>
        <w:spacing w:before="11" w:line="249" w:lineRule="auto"/>
        <w:ind w:right="103" w:firstLine="450"/>
        <w:rPr>
          <w:rFonts w:hint="eastAsia"/>
          <w:color w:val="231F20"/>
        </w:rPr>
      </w:pPr>
    </w:p>
    <w:p w14:paraId="6C7E0890">
      <w:pPr>
        <w:pStyle w:val="9"/>
        <w:spacing w:before="11" w:line="249" w:lineRule="auto"/>
        <w:ind w:right="103" w:firstLine="450"/>
        <w:rPr>
          <w:rFonts w:hint="eastAsia"/>
          <w:color w:val="231F20"/>
        </w:rPr>
      </w:pPr>
      <w:r>
        <w:rPr>
          <w:rFonts w:hint="eastAsia"/>
          <w:color w:val="231F20"/>
        </w:rPr>
        <w:t>But as the verbiage indicates, it also represents the last days.</w:t>
      </w:r>
    </w:p>
    <w:p w14:paraId="02104E56">
      <w:pPr>
        <w:pStyle w:val="9"/>
        <w:spacing w:before="11" w:line="249" w:lineRule="auto"/>
        <w:ind w:right="103" w:firstLine="450"/>
        <w:rPr>
          <w:rFonts w:hint="eastAsia"/>
          <w:color w:val="231F20"/>
        </w:rPr>
      </w:pPr>
      <w:r>
        <w:rPr>
          <w:rFonts w:hint="eastAsia"/>
          <w:color w:val="231F20"/>
        </w:rPr>
        <w:t>但正如措辞所示，它也代表了末后的日子。</w:t>
      </w:r>
    </w:p>
    <w:p w14:paraId="642A6F6D">
      <w:pPr>
        <w:pStyle w:val="9"/>
        <w:spacing w:before="11" w:line="249" w:lineRule="auto"/>
        <w:ind w:right="103" w:firstLine="450"/>
        <w:rPr>
          <w:rFonts w:hint="eastAsia"/>
          <w:color w:val="231F20"/>
        </w:rPr>
      </w:pPr>
    </w:p>
    <w:p w14:paraId="3BB8809B">
      <w:pPr>
        <w:pStyle w:val="9"/>
        <w:spacing w:before="11" w:line="249" w:lineRule="auto"/>
        <w:ind w:right="103" w:firstLine="450"/>
        <w:rPr>
          <w:rFonts w:hint="eastAsia"/>
          <w:color w:val="231F20"/>
        </w:rPr>
      </w:pPr>
      <w:r>
        <w:rPr>
          <w:rFonts w:hint="eastAsia"/>
          <w:color w:val="231F20"/>
        </w:rPr>
        <w:t>What exactly are the last days, and how can our diagram help us better to understand them?</w:t>
      </w:r>
    </w:p>
    <w:p w14:paraId="36D6D8CA">
      <w:pPr>
        <w:pStyle w:val="9"/>
        <w:spacing w:before="11" w:line="249" w:lineRule="auto"/>
        <w:ind w:right="103" w:firstLine="450"/>
        <w:rPr>
          <w:rFonts w:hint="eastAsia"/>
          <w:color w:val="231F20"/>
        </w:rPr>
      </w:pPr>
      <w:r>
        <w:rPr>
          <w:rFonts w:hint="eastAsia"/>
          <w:color w:val="231F20"/>
        </w:rPr>
        <w:t>末后的日子究竟是什么，我们的图示如何能帮助我们更好地理解它们？</w:t>
      </w:r>
    </w:p>
    <w:p w14:paraId="133CF42F">
      <w:pPr>
        <w:pStyle w:val="9"/>
        <w:spacing w:before="11" w:line="249" w:lineRule="auto"/>
        <w:ind w:right="103" w:firstLine="450"/>
        <w:rPr>
          <w:rFonts w:hint="eastAsia"/>
          <w:color w:val="231F20"/>
        </w:rPr>
      </w:pPr>
    </w:p>
    <w:p w14:paraId="5BEC5267">
      <w:pPr>
        <w:pStyle w:val="9"/>
        <w:spacing w:before="11" w:line="249" w:lineRule="auto"/>
        <w:ind w:right="103" w:firstLine="450"/>
        <w:rPr>
          <w:rFonts w:hint="eastAsia"/>
          <w:color w:val="231F20"/>
        </w:rPr>
      </w:pPr>
      <w:r>
        <w:rPr>
          <w:rFonts w:hint="eastAsia"/>
          <w:color w:val="231F20"/>
        </w:rPr>
        <w:t>As we saw earlier, this rich eschatological expression first appears in the OT, where we find the prophets speaking of an appointed season when God will break into history and enter into sharp, protracted, but ultimately triumphant conflict with the kingdoms of this world, and with their invisible spiritual ruler, the devil (Isaiah 2:2, 27:1f, Ezek. 38-89, Dan. 2:28, Hos. 3:5, Joel 2:28).</w:t>
      </w:r>
    </w:p>
    <w:p w14:paraId="730D3EEA">
      <w:pPr>
        <w:pStyle w:val="9"/>
        <w:spacing w:before="11" w:line="249" w:lineRule="auto"/>
        <w:ind w:right="103" w:firstLine="450"/>
        <w:rPr>
          <w:rFonts w:hint="eastAsia"/>
          <w:color w:val="231F20"/>
        </w:rPr>
      </w:pPr>
      <w:r>
        <w:rPr>
          <w:rFonts w:hint="eastAsia"/>
          <w:color w:val="231F20"/>
        </w:rPr>
        <w:t>正如我们之前所见，这个丰富的末世论表达首先出现在旧约中，我们在那里发现先知们谈到一个指定的季节，届时上帝将闯入历史，并与这世界的国度，以及它们不可见的属灵统治者，即魔鬼，进入激烈、持久但最终胜利的冲突（以赛亚书 2:2, 27:1f, 以西结书 38-89, 但以理书 2:28, 何西阿书 3:5, 约珥书 2:28）。</w:t>
      </w:r>
    </w:p>
    <w:p w14:paraId="3A1C080D">
      <w:pPr>
        <w:pStyle w:val="9"/>
        <w:spacing w:before="11" w:line="249" w:lineRule="auto"/>
        <w:ind w:right="103" w:firstLine="450"/>
        <w:rPr>
          <w:rFonts w:hint="eastAsia"/>
          <w:color w:val="231F20"/>
        </w:rPr>
      </w:pPr>
    </w:p>
    <w:p w14:paraId="4B2A8A32">
      <w:pPr>
        <w:pStyle w:val="9"/>
        <w:spacing w:before="11" w:line="249" w:lineRule="auto"/>
        <w:ind w:right="103" w:firstLine="450"/>
        <w:rPr>
          <w:rFonts w:hint="eastAsia"/>
          <w:color w:val="231F20"/>
        </w:rPr>
      </w:pPr>
      <w:r>
        <w:rPr>
          <w:rFonts w:hint="eastAsia"/>
          <w:color w:val="231F20"/>
        </w:rPr>
        <w:t>Importantly, these same prophecies also assure us that the last days are none other than the Days of the Messiah, the anointed Agent through whom God will bring his redemptive purposes to pass (Psalm 2, 110, Ezek. 36-39, Micah 2:13).</w:t>
      </w:r>
    </w:p>
    <w:p w14:paraId="24DCA46D">
      <w:pPr>
        <w:pStyle w:val="9"/>
        <w:spacing w:before="11" w:line="249" w:lineRule="auto"/>
        <w:ind w:right="103" w:firstLine="450"/>
        <w:rPr>
          <w:rFonts w:hint="eastAsia"/>
          <w:color w:val="231F20"/>
        </w:rPr>
      </w:pPr>
      <w:r>
        <w:rPr>
          <w:rFonts w:hint="eastAsia"/>
          <w:color w:val="231F20"/>
        </w:rPr>
        <w:t>重要的是，这些同样的预言也向我们保证，末后的日子正是弥赛亚的日子，是上帝藉以实现祂救赎旨意的受膏执行者（诗篇 2, 110, 以西结书 36-39, 弥迦书 2:13）。</w:t>
      </w:r>
    </w:p>
    <w:p w14:paraId="6C6DE8A9">
      <w:pPr>
        <w:pStyle w:val="9"/>
        <w:spacing w:before="11" w:line="249" w:lineRule="auto"/>
        <w:ind w:right="103" w:firstLine="450"/>
        <w:rPr>
          <w:rFonts w:hint="eastAsia"/>
          <w:color w:val="231F20"/>
        </w:rPr>
      </w:pPr>
    </w:p>
    <w:p w14:paraId="0B2FA30E">
      <w:pPr>
        <w:pStyle w:val="9"/>
        <w:spacing w:before="11" w:line="249" w:lineRule="auto"/>
        <w:ind w:right="103" w:firstLine="450"/>
        <w:rPr>
          <w:rFonts w:hint="eastAsia"/>
          <w:color w:val="231F20"/>
        </w:rPr>
      </w:pPr>
      <w:r>
        <w:rPr>
          <w:rFonts w:hint="eastAsia"/>
          <w:color w:val="231F20"/>
        </w:rPr>
        <w:t>In the NT, all of this is fleshed out and clarified.</w:t>
      </w:r>
    </w:p>
    <w:p w14:paraId="04E4DD01">
      <w:pPr>
        <w:pStyle w:val="9"/>
        <w:spacing w:before="11" w:line="249" w:lineRule="auto"/>
        <w:ind w:right="103" w:firstLine="450"/>
        <w:rPr>
          <w:rFonts w:hint="eastAsia"/>
          <w:color w:val="231F20"/>
        </w:rPr>
      </w:pPr>
      <w:r>
        <w:rPr>
          <w:rFonts w:hint="eastAsia"/>
          <w:color w:val="231F20"/>
        </w:rPr>
        <w:t>在新约中，所有这一切都得到了充实和澄清。</w:t>
      </w:r>
    </w:p>
    <w:p w14:paraId="432EBD49">
      <w:pPr>
        <w:pStyle w:val="9"/>
        <w:spacing w:before="11" w:line="249" w:lineRule="auto"/>
        <w:ind w:right="103" w:firstLine="450"/>
        <w:rPr>
          <w:rFonts w:hint="eastAsia"/>
          <w:color w:val="231F20"/>
        </w:rPr>
      </w:pPr>
    </w:p>
    <w:p w14:paraId="5B6BD910">
      <w:pPr>
        <w:pStyle w:val="9"/>
        <w:spacing w:before="11" w:line="249" w:lineRule="auto"/>
        <w:ind w:right="103" w:firstLine="450"/>
        <w:rPr>
          <w:rFonts w:hint="eastAsia"/>
          <w:color w:val="231F20"/>
        </w:rPr>
      </w:pPr>
      <w:r>
        <w:rPr>
          <w:rFonts w:hint="eastAsia"/>
          <w:color w:val="231F20"/>
        </w:rPr>
        <w:t>There we learn that the last days began with the first advent of the Messiah, when God spoke to us in his Son (Heb. 1:2); and also when, through his (exalted) Son, he poured out the long-promised Holy Spirit upon his eager servants in Jerusalem (Acts 2:14-39).</w:t>
      </w:r>
    </w:p>
    <w:p w14:paraId="538CA272">
      <w:pPr>
        <w:pStyle w:val="9"/>
        <w:spacing w:before="11" w:line="249" w:lineRule="auto"/>
        <w:ind w:right="103" w:firstLine="450"/>
        <w:rPr>
          <w:rFonts w:hint="eastAsia"/>
          <w:color w:val="231F20"/>
        </w:rPr>
      </w:pPr>
      <w:r>
        <w:rPr>
          <w:rFonts w:hint="eastAsia"/>
          <w:color w:val="231F20"/>
        </w:rPr>
        <w:t>我们在那里了解到，末后的日子始于弥赛亚的第一次降临，那时上帝在祂的儿子里向我们说话（来 1:2）；也始于当祂藉着祂（被高举）的儿子，将长久应许的圣灵浇灌在祂在耶路撒冷热切的仆人身上时（徒 2:14-39）。</w:t>
      </w:r>
    </w:p>
    <w:p w14:paraId="6EBF93F2">
      <w:pPr>
        <w:pStyle w:val="9"/>
        <w:spacing w:before="11" w:line="249" w:lineRule="auto"/>
        <w:ind w:right="103" w:firstLine="450"/>
        <w:rPr>
          <w:rFonts w:hint="eastAsia"/>
          <w:color w:val="231F20"/>
        </w:rPr>
      </w:pPr>
    </w:p>
    <w:p w14:paraId="1F6CAF95">
      <w:pPr>
        <w:pStyle w:val="9"/>
        <w:spacing w:before="11" w:line="249" w:lineRule="auto"/>
        <w:ind w:right="103" w:firstLine="450"/>
        <w:rPr>
          <w:rFonts w:hint="eastAsia"/>
          <w:color w:val="231F20"/>
        </w:rPr>
      </w:pPr>
      <w:r>
        <w:rPr>
          <w:rFonts w:hint="eastAsia"/>
          <w:color w:val="231F20"/>
        </w:rPr>
        <w:t>But why did Christ pour out the Spirit?</w:t>
      </w:r>
    </w:p>
    <w:p w14:paraId="24449C50">
      <w:pPr>
        <w:pStyle w:val="9"/>
        <w:spacing w:before="11" w:line="249" w:lineRule="auto"/>
        <w:ind w:right="103" w:firstLine="450"/>
        <w:rPr>
          <w:rFonts w:hint="eastAsia"/>
          <w:color w:val="231F20"/>
        </w:rPr>
      </w:pPr>
      <w:r>
        <w:rPr>
          <w:rFonts w:hint="eastAsia"/>
          <w:color w:val="231F20"/>
        </w:rPr>
        <w:t>但基督为何浇灌圣灵呢？</w:t>
      </w:r>
    </w:p>
    <w:p w14:paraId="46C9C5DC">
      <w:pPr>
        <w:pStyle w:val="9"/>
        <w:spacing w:before="11" w:line="249" w:lineRule="auto"/>
        <w:ind w:right="103" w:firstLine="450"/>
        <w:rPr>
          <w:rFonts w:hint="eastAsia"/>
          <w:color w:val="231F20"/>
        </w:rPr>
      </w:pPr>
    </w:p>
    <w:p w14:paraId="53FE7A6D">
      <w:pPr>
        <w:pStyle w:val="9"/>
        <w:spacing w:before="11" w:line="249" w:lineRule="auto"/>
        <w:ind w:right="103" w:firstLine="450"/>
        <w:rPr>
          <w:rFonts w:hint="eastAsia"/>
          <w:color w:val="231F20"/>
        </w:rPr>
      </w:pPr>
      <w:r>
        <w:rPr>
          <w:rFonts w:hint="eastAsia"/>
          <w:color w:val="231F20"/>
        </w:rPr>
        <w:t>We have heard the answer many times: So that he might bring the Gospel—the good news of the Eternal Covenant—to all nations; so that they might hear, consider, and respond; so that he himself might apply the redemption that he purchased on earth; so that he might transfer a believing people from the Domain of Darkness into his own spiritual kingdom of light and life (Mt. 13:36-43, Luke 19:11:f, Acts 2:14-39, 1 Cor. 15:20f, Titus 2:14).</w:t>
      </w:r>
    </w:p>
    <w:p w14:paraId="3171F59C">
      <w:pPr>
        <w:pStyle w:val="9"/>
        <w:spacing w:before="11" w:line="249" w:lineRule="auto"/>
        <w:ind w:right="103" w:firstLine="450"/>
        <w:rPr>
          <w:rFonts w:hint="eastAsia"/>
          <w:color w:val="231F20"/>
        </w:rPr>
      </w:pPr>
      <w:r>
        <w:rPr>
          <w:rFonts w:hint="eastAsia"/>
          <w:color w:val="231F20"/>
        </w:rPr>
        <w:t>我们已经听过答案许多次了：为要使祂可以将福音——永恒之约的好消息——传给万国；使他们可以听见、思想并回应；使祂自己可以施行祂在地上所买赎的救恩；使祂可以将一群相信的子民从黑暗的权势迁入祂自己光明和生命的属灵国度（太 13:36-43, 路 19:11:f, 徒 2:14-39, 林前 15:20f, 多 2:14）。</w:t>
      </w:r>
    </w:p>
    <w:p w14:paraId="1778AC3C">
      <w:pPr>
        <w:pStyle w:val="9"/>
        <w:spacing w:before="11" w:line="249" w:lineRule="auto"/>
        <w:ind w:right="103" w:firstLine="450"/>
        <w:rPr>
          <w:rFonts w:hint="eastAsia"/>
          <w:color w:val="231F20"/>
        </w:rPr>
      </w:pPr>
    </w:p>
    <w:p w14:paraId="22075F9B">
      <w:pPr>
        <w:pStyle w:val="9"/>
        <w:spacing w:before="11" w:line="249" w:lineRule="auto"/>
        <w:ind w:right="103" w:firstLine="450"/>
        <w:rPr>
          <w:rFonts w:hint="eastAsia"/>
          <w:color w:val="231F20"/>
        </w:rPr>
      </w:pPr>
      <w:r>
        <w:rPr>
          <w:rFonts w:hint="eastAsia"/>
          <w:color w:val="231F20"/>
        </w:rPr>
        <w:t>In sum, the last days are clearly co-extensive with the Kingdom of the Son, the lengthy Era of Proclamation and Probation in which, through the evangelistic ministry of his Church, Christ’s heavenly rule reaches down into the hearts of men, even as it overspreads the entire earth (Mt. 25:19, Luke 19:12, 2 Pet. 3:1- 9).1</w:t>
      </w:r>
    </w:p>
    <w:p w14:paraId="303FA16A">
      <w:pPr>
        <w:pStyle w:val="9"/>
        <w:spacing w:before="11" w:line="249" w:lineRule="auto"/>
        <w:ind w:right="103" w:firstLine="450"/>
        <w:rPr>
          <w:rFonts w:hint="eastAsia"/>
          <w:color w:val="231F20"/>
        </w:rPr>
      </w:pPr>
      <w:r>
        <w:rPr>
          <w:rFonts w:hint="eastAsia"/>
          <w:color w:val="231F20"/>
        </w:rPr>
        <w:t>总而言之，末后的日子显然与圣子之国，即漫长的宣讲与察验的时代共存，在此时代中，藉着祂教会的福音事工，基督属天的统治深入人心，并遍及全地（太 25:19, 路 19:12, 彼后 3:1-9）。1</w:t>
      </w:r>
    </w:p>
    <w:p w14:paraId="3D693524">
      <w:pPr>
        <w:pStyle w:val="9"/>
        <w:spacing w:before="11" w:line="249" w:lineRule="auto"/>
        <w:ind w:right="103" w:firstLine="450"/>
        <w:rPr>
          <w:rFonts w:hint="eastAsia"/>
          <w:color w:val="231F20"/>
        </w:rPr>
      </w:pPr>
    </w:p>
    <w:p w14:paraId="0D25E111">
      <w:pPr>
        <w:pStyle w:val="9"/>
        <w:spacing w:before="11" w:line="249" w:lineRule="auto"/>
        <w:ind w:right="103" w:firstLine="450"/>
        <w:rPr>
          <w:rFonts w:hint="eastAsia"/>
          <w:color w:val="231F20"/>
        </w:rPr>
      </w:pPr>
      <w:r>
        <w:rPr>
          <w:rFonts w:hint="eastAsia"/>
          <w:color w:val="231F20"/>
        </w:rPr>
        <w:t>Here is why the last days are called last.</w:t>
      </w:r>
    </w:p>
    <w:p w14:paraId="756E0319">
      <w:pPr>
        <w:pStyle w:val="9"/>
        <w:spacing w:before="11" w:line="249" w:lineRule="auto"/>
        <w:ind w:right="103" w:firstLine="450"/>
        <w:rPr>
          <w:rFonts w:hint="eastAsia"/>
          <w:color w:val="231F20"/>
        </w:rPr>
      </w:pPr>
      <w:r>
        <w:rPr>
          <w:rFonts w:hint="eastAsia"/>
          <w:color w:val="231F20"/>
        </w:rPr>
        <w:t>这就是为什么末后的日子被称为“末后”。</w:t>
      </w:r>
    </w:p>
    <w:p w14:paraId="5A75E47D">
      <w:pPr>
        <w:pStyle w:val="9"/>
        <w:spacing w:before="11" w:line="249" w:lineRule="auto"/>
        <w:ind w:right="103" w:firstLine="450"/>
        <w:rPr>
          <w:rFonts w:hint="eastAsia"/>
          <w:color w:val="231F20"/>
        </w:rPr>
      </w:pPr>
    </w:p>
    <w:p w14:paraId="17F37A5D">
      <w:pPr>
        <w:pStyle w:val="9"/>
        <w:spacing w:before="11" w:line="249" w:lineRule="auto"/>
        <w:ind w:right="103" w:firstLine="450"/>
        <w:rPr>
          <w:rFonts w:hint="eastAsia"/>
          <w:color w:val="231F20"/>
        </w:rPr>
      </w:pPr>
      <w:r>
        <w:rPr>
          <w:rFonts w:hint="eastAsia"/>
          <w:color w:val="231F20"/>
        </w:rPr>
        <w:t>Because of Christ’s ongoing redemptive work, the present evil age is being invaded by “the powers of the age to come” (Heb. 6:6).</w:t>
      </w:r>
    </w:p>
    <w:p w14:paraId="42C8A91E">
      <w:pPr>
        <w:pStyle w:val="9"/>
        <w:spacing w:before="11" w:line="249" w:lineRule="auto"/>
        <w:ind w:right="103" w:firstLine="450"/>
        <w:rPr>
          <w:rFonts w:hint="eastAsia"/>
          <w:color w:val="231F20"/>
        </w:rPr>
      </w:pPr>
      <w:r>
        <w:rPr>
          <w:rFonts w:hint="eastAsia"/>
          <w:color w:val="231F20"/>
        </w:rPr>
        <w:t>因为基督持续的救赎工作，现今邪恶的世代正被“来世的权能”所入侵（来 6:6）。</w:t>
      </w:r>
    </w:p>
    <w:p w14:paraId="6A3A505F">
      <w:pPr>
        <w:pStyle w:val="9"/>
        <w:spacing w:before="11" w:line="249" w:lineRule="auto"/>
        <w:ind w:right="103" w:firstLine="450"/>
        <w:rPr>
          <w:rFonts w:hint="eastAsia"/>
          <w:color w:val="231F20"/>
        </w:rPr>
      </w:pPr>
    </w:p>
    <w:p w14:paraId="1F4D94F1">
      <w:pPr>
        <w:pStyle w:val="9"/>
        <w:spacing w:before="11" w:line="249" w:lineRule="auto"/>
        <w:ind w:right="103" w:firstLine="450"/>
        <w:rPr>
          <w:rFonts w:hint="eastAsia"/>
          <w:color w:val="231F20"/>
        </w:rPr>
      </w:pPr>
      <w:r>
        <w:rPr>
          <w:rFonts w:hint="eastAsia"/>
          <w:color w:val="231F20"/>
        </w:rPr>
        <w:t>This explains the shading in our timeline , which is designed to portray the intermingling of light and darkness that characterizes this particular season of Salvation History.</w:t>
      </w:r>
    </w:p>
    <w:p w14:paraId="59646502">
      <w:pPr>
        <w:pStyle w:val="9"/>
        <w:spacing w:before="11" w:line="249" w:lineRule="auto"/>
        <w:ind w:right="103" w:firstLine="450"/>
        <w:rPr>
          <w:rFonts w:hint="eastAsia"/>
          <w:color w:val="231F20"/>
        </w:rPr>
      </w:pPr>
      <w:r>
        <w:rPr>
          <w:rFonts w:hint="eastAsia"/>
          <w:color w:val="231F20"/>
        </w:rPr>
        <w:t>这解释了我们时间线中的阴影部分，其设计是为了描绘光明与黑暗的交织，这是救赎历史这个特定季节的特征。</w:t>
      </w:r>
    </w:p>
    <w:p w14:paraId="32ECC4C0">
      <w:pPr>
        <w:pStyle w:val="9"/>
        <w:spacing w:before="11" w:line="249" w:lineRule="auto"/>
        <w:ind w:right="103" w:firstLine="450"/>
        <w:rPr>
          <w:rFonts w:hint="eastAsia"/>
          <w:color w:val="231F20"/>
        </w:rPr>
      </w:pPr>
    </w:p>
    <w:p w14:paraId="1B243B1B">
      <w:pPr>
        <w:pStyle w:val="9"/>
        <w:spacing w:before="11" w:line="249" w:lineRule="auto"/>
        <w:ind w:right="103" w:firstLine="450"/>
        <w:rPr>
          <w:rFonts w:hint="eastAsia"/>
          <w:color w:val="231F20"/>
        </w:rPr>
      </w:pPr>
      <w:r>
        <w:rPr>
          <w:rFonts w:hint="eastAsia"/>
          <w:color w:val="231F20"/>
        </w:rPr>
        <w:t>As a result of this intermingling, the present evil age is coming to an end.</w:t>
      </w:r>
    </w:p>
    <w:p w14:paraId="5CE467E1">
      <w:pPr>
        <w:pStyle w:val="9"/>
        <w:spacing w:before="11" w:line="249" w:lineRule="auto"/>
        <w:ind w:right="103" w:firstLine="450"/>
        <w:rPr>
          <w:rFonts w:hint="eastAsia"/>
          <w:color w:val="231F20"/>
        </w:rPr>
      </w:pPr>
      <w:r>
        <w:rPr>
          <w:rFonts w:hint="eastAsia"/>
          <w:color w:val="231F20"/>
        </w:rPr>
        <w:t>由于这种交织，现今邪恶的世代正在走向终结。</w:t>
      </w:r>
    </w:p>
    <w:p w14:paraId="2948604F">
      <w:pPr>
        <w:pStyle w:val="9"/>
        <w:spacing w:before="11" w:line="249" w:lineRule="auto"/>
        <w:ind w:right="103" w:firstLine="450"/>
        <w:rPr>
          <w:rFonts w:hint="eastAsia"/>
          <w:color w:val="231F20"/>
        </w:rPr>
      </w:pPr>
    </w:p>
    <w:p w14:paraId="5EFE2E84">
      <w:pPr>
        <w:pStyle w:val="9"/>
        <w:spacing w:before="11" w:line="249" w:lineRule="auto"/>
        <w:ind w:right="103" w:firstLine="450"/>
        <w:rPr>
          <w:rFonts w:hint="eastAsia"/>
          <w:color w:val="231F20"/>
        </w:rPr>
      </w:pPr>
      <w:r>
        <w:rPr>
          <w:rFonts w:hint="eastAsia"/>
          <w:color w:val="231F20"/>
        </w:rPr>
        <w:t>Yes, since the very beginning, the seed of the Serpent and the seed of the Woman have been at enmity with one another.</w:t>
      </w:r>
    </w:p>
    <w:p w14:paraId="2A4EE886">
      <w:pPr>
        <w:pStyle w:val="9"/>
        <w:spacing w:before="11" w:line="249" w:lineRule="auto"/>
        <w:ind w:right="103" w:firstLine="450"/>
        <w:rPr>
          <w:rFonts w:hint="eastAsia"/>
          <w:color w:val="231F20"/>
        </w:rPr>
      </w:pPr>
      <w:r>
        <w:rPr>
          <w:rFonts w:hint="eastAsia"/>
          <w:color w:val="231F20"/>
        </w:rPr>
        <w:t>是的，从一开始，蛇的后裔和女人的后裔就彼此为仇。</w:t>
      </w:r>
    </w:p>
    <w:p w14:paraId="3093CAD5">
      <w:pPr>
        <w:pStyle w:val="9"/>
        <w:spacing w:before="11" w:line="249" w:lineRule="auto"/>
        <w:ind w:right="103" w:firstLine="450"/>
        <w:rPr>
          <w:rFonts w:hint="eastAsia"/>
          <w:color w:val="231F20"/>
        </w:rPr>
      </w:pPr>
    </w:p>
    <w:p w14:paraId="4292E52F">
      <w:pPr>
        <w:pStyle w:val="9"/>
        <w:spacing w:before="11" w:line="249" w:lineRule="auto"/>
        <w:ind w:right="103" w:firstLine="450"/>
        <w:rPr>
          <w:rFonts w:hint="eastAsia"/>
          <w:color w:val="231F20"/>
        </w:rPr>
      </w:pPr>
      <w:r>
        <w:rPr>
          <w:rFonts w:hint="eastAsia"/>
          <w:color w:val="231F20"/>
        </w:rPr>
        <w:t>Now, however, through his humiliation, Christ has exploded the legal foundation of Satan’s global kingdom.</w:t>
      </w:r>
    </w:p>
    <w:p w14:paraId="0C32FC47">
      <w:pPr>
        <w:pStyle w:val="9"/>
        <w:spacing w:before="11" w:line="249" w:lineRule="auto"/>
        <w:ind w:right="103" w:firstLine="450"/>
        <w:rPr>
          <w:rFonts w:hint="eastAsia"/>
          <w:color w:val="231F20"/>
        </w:rPr>
      </w:pPr>
      <w:r>
        <w:rPr>
          <w:rFonts w:hint="eastAsia"/>
          <w:color w:val="231F20"/>
        </w:rPr>
        <w:t>然而，现在，藉着祂的降卑，基督已经摧毁了撒但全球国度的法理根基。</w:t>
      </w:r>
    </w:p>
    <w:p w14:paraId="31E97918">
      <w:pPr>
        <w:pStyle w:val="9"/>
        <w:spacing w:before="11" w:line="249" w:lineRule="auto"/>
        <w:ind w:right="103" w:firstLine="450"/>
        <w:rPr>
          <w:rFonts w:hint="eastAsia"/>
          <w:color w:val="231F20"/>
        </w:rPr>
      </w:pPr>
    </w:p>
    <w:p w14:paraId="64E3A98F">
      <w:pPr>
        <w:pStyle w:val="9"/>
        <w:spacing w:before="11" w:line="249" w:lineRule="auto"/>
        <w:ind w:right="103" w:firstLine="450"/>
        <w:rPr>
          <w:rFonts w:hint="eastAsia"/>
          <w:color w:val="231F20"/>
        </w:rPr>
      </w:pPr>
      <w:r>
        <w:rPr>
          <w:rFonts w:hint="eastAsia"/>
          <w:color w:val="231F20"/>
        </w:rPr>
        <w:t>And now, by his exaltation, he is actively plundering his goods: the very souls of men (Mt. 12:29, John 12:20-32, Acts 26:17-18, Col. 1:13, Eph. 6:10-20, Titus 2:13- 14, Rev. 12).</w:t>
      </w:r>
    </w:p>
    <w:p w14:paraId="5E0EA6AB">
      <w:pPr>
        <w:pStyle w:val="9"/>
        <w:spacing w:before="11" w:line="249" w:lineRule="auto"/>
        <w:ind w:right="103" w:firstLine="450"/>
        <w:rPr>
          <w:rFonts w:hint="eastAsia"/>
          <w:color w:val="231F20"/>
        </w:rPr>
      </w:pPr>
      <w:r>
        <w:rPr>
          <w:rFonts w:hint="eastAsia"/>
          <w:color w:val="231F20"/>
        </w:rPr>
        <w:t>现在，藉着祂的高升，祂正在积极地抢夺他的财物：就是人的灵魂（太 12:29, 约 12:20-32, 徒 26:17-18, 西 1:13, 弗 6:10-20, 多 2:13-14, 启 12）。</w:t>
      </w:r>
    </w:p>
    <w:p w14:paraId="239D5B49">
      <w:pPr>
        <w:pStyle w:val="9"/>
        <w:spacing w:before="11" w:line="249" w:lineRule="auto"/>
        <w:ind w:right="103" w:firstLine="450"/>
        <w:rPr>
          <w:rFonts w:hint="eastAsia"/>
          <w:color w:val="231F20"/>
        </w:rPr>
      </w:pPr>
    </w:p>
    <w:p w14:paraId="3055FC1E">
      <w:pPr>
        <w:pStyle w:val="9"/>
        <w:spacing w:before="11" w:line="249" w:lineRule="auto"/>
        <w:ind w:right="103" w:firstLine="450"/>
        <w:rPr>
          <w:rFonts w:hint="eastAsia"/>
          <w:color w:val="231F20"/>
        </w:rPr>
      </w:pPr>
      <w:r>
        <w:rPr>
          <w:rFonts w:hint="eastAsia"/>
          <w:color w:val="231F20"/>
        </w:rPr>
        <w:t>So again, the advent of the last days spells big trouble for Satan.</w:t>
      </w:r>
    </w:p>
    <w:p w14:paraId="672EF52F">
      <w:pPr>
        <w:pStyle w:val="9"/>
        <w:spacing w:before="11" w:line="249" w:lineRule="auto"/>
        <w:ind w:right="103" w:firstLine="450"/>
        <w:rPr>
          <w:rFonts w:hint="eastAsia"/>
          <w:color w:val="231F20"/>
        </w:rPr>
      </w:pPr>
      <w:r>
        <w:rPr>
          <w:rFonts w:hint="eastAsia"/>
          <w:color w:val="231F20"/>
        </w:rPr>
        <w:t>所以，再者，末后日子的来临对撒但来说意味着大麻烦。</w:t>
      </w:r>
    </w:p>
    <w:p w14:paraId="71BBB992">
      <w:pPr>
        <w:pStyle w:val="9"/>
        <w:spacing w:before="11" w:line="249" w:lineRule="auto"/>
        <w:ind w:right="103" w:firstLine="450"/>
        <w:rPr>
          <w:rFonts w:hint="eastAsia"/>
          <w:color w:val="231F20"/>
        </w:rPr>
      </w:pPr>
    </w:p>
    <w:p w14:paraId="7406B51A">
      <w:pPr>
        <w:pStyle w:val="9"/>
        <w:spacing w:before="11" w:line="249" w:lineRule="auto"/>
        <w:ind w:right="103" w:firstLine="450"/>
        <w:rPr>
          <w:rFonts w:hint="eastAsia"/>
          <w:color w:val="231F20"/>
        </w:rPr>
      </w:pPr>
      <w:r>
        <w:rPr>
          <w:rFonts w:hint="eastAsia"/>
          <w:color w:val="231F20"/>
        </w:rPr>
        <w:t>But it also spells considerable trouble for the Church, which henceforth is the target of Satan’s desperation, fury, and cunning (Rev. 12).</w:t>
      </w:r>
    </w:p>
    <w:p w14:paraId="4756E866">
      <w:pPr>
        <w:pStyle w:val="9"/>
        <w:spacing w:before="11" w:line="249" w:lineRule="auto"/>
        <w:ind w:right="103" w:firstLine="450"/>
        <w:rPr>
          <w:rFonts w:hint="eastAsia"/>
          <w:color w:val="231F20"/>
        </w:rPr>
      </w:pPr>
      <w:r>
        <w:rPr>
          <w:rFonts w:hint="eastAsia"/>
          <w:color w:val="231F20"/>
        </w:rPr>
        <w:t>但它也给教会带来了相当大的麻烦，教会从此成为撒但绝望、愤怒和狡猾的目标（启 12）。</w:t>
      </w:r>
    </w:p>
    <w:p w14:paraId="54430130">
      <w:pPr>
        <w:pStyle w:val="9"/>
        <w:spacing w:before="11" w:line="249" w:lineRule="auto"/>
        <w:ind w:right="103" w:firstLine="450"/>
        <w:rPr>
          <w:rFonts w:hint="eastAsia"/>
          <w:color w:val="231F20"/>
        </w:rPr>
      </w:pPr>
    </w:p>
    <w:p w14:paraId="4BC514CD">
      <w:pPr>
        <w:pStyle w:val="9"/>
        <w:spacing w:before="11" w:line="249" w:lineRule="auto"/>
        <w:ind w:right="103" w:firstLine="450"/>
        <w:rPr>
          <w:rFonts w:hint="eastAsia"/>
          <w:color w:val="231F20"/>
        </w:rPr>
      </w:pPr>
      <w:r>
        <w:rPr>
          <w:rFonts w:hint="eastAsia"/>
          <w:color w:val="231F20"/>
        </w:rPr>
        <w:t>Accordingly, for the saints the last days are days of unavoidable conflict, peril, and difficulty (2 Tim. 3:1f, 2 Pet. 3:3).</w:t>
      </w:r>
    </w:p>
    <w:p w14:paraId="33E16FAB">
      <w:pPr>
        <w:pStyle w:val="9"/>
        <w:spacing w:before="11" w:line="249" w:lineRule="auto"/>
        <w:ind w:right="103" w:firstLine="450"/>
        <w:rPr>
          <w:rFonts w:hint="eastAsia"/>
          <w:color w:val="231F20"/>
        </w:rPr>
      </w:pPr>
      <w:r>
        <w:rPr>
          <w:rFonts w:hint="eastAsia"/>
          <w:color w:val="231F20"/>
        </w:rPr>
        <w:t>因此，对圣徒来说，末后的日子是不可避免的冲突、危险和困难的日子（提后 3:1f, 彼后 3:3）。</w:t>
      </w:r>
    </w:p>
    <w:p w14:paraId="2674B476">
      <w:pPr>
        <w:pStyle w:val="9"/>
        <w:spacing w:before="11" w:line="249" w:lineRule="auto"/>
        <w:ind w:right="103" w:firstLine="450"/>
        <w:rPr>
          <w:rFonts w:hint="eastAsia"/>
          <w:color w:val="231F20"/>
        </w:rPr>
      </w:pPr>
    </w:p>
    <w:p w14:paraId="00EA30D9">
      <w:pPr>
        <w:pStyle w:val="9"/>
        <w:spacing w:before="11" w:line="249" w:lineRule="auto"/>
        <w:ind w:right="103" w:firstLine="450"/>
        <w:rPr>
          <w:rFonts w:hint="eastAsia"/>
          <w:color w:val="231F20"/>
        </w:rPr>
      </w:pPr>
      <w:r>
        <w:rPr>
          <w:rFonts w:hint="eastAsia"/>
          <w:color w:val="231F20"/>
        </w:rPr>
        <w:t>In the mystical language of the Revelation, they are days of “great tribulation” (Rev. 7:14).</w:t>
      </w:r>
    </w:p>
    <w:p w14:paraId="31C9E3FD">
      <w:pPr>
        <w:pStyle w:val="9"/>
        <w:spacing w:before="11" w:line="249" w:lineRule="auto"/>
        <w:ind w:right="103" w:firstLine="450"/>
        <w:rPr>
          <w:rFonts w:hint="eastAsia"/>
          <w:color w:val="231F20"/>
        </w:rPr>
      </w:pPr>
      <w:r>
        <w:rPr>
          <w:rFonts w:hint="eastAsia"/>
          <w:color w:val="231F20"/>
        </w:rPr>
        <w:t>用启示录的奥秘语言来说，它们是“大患难”的日子（启 7:14）。</w:t>
      </w:r>
    </w:p>
    <w:p w14:paraId="7169B8EE">
      <w:pPr>
        <w:pStyle w:val="9"/>
        <w:spacing w:before="11" w:line="249" w:lineRule="auto"/>
        <w:ind w:right="103" w:firstLine="450"/>
        <w:rPr>
          <w:rFonts w:hint="eastAsia"/>
          <w:color w:val="231F20"/>
        </w:rPr>
      </w:pPr>
    </w:p>
    <w:p w14:paraId="149B6F44">
      <w:pPr>
        <w:pStyle w:val="9"/>
        <w:spacing w:before="11" w:line="249" w:lineRule="auto"/>
        <w:ind w:right="103" w:firstLine="450"/>
        <w:rPr>
          <w:rFonts w:hint="eastAsia"/>
          <w:color w:val="231F20"/>
        </w:rPr>
      </w:pPr>
      <w:r>
        <w:rPr>
          <w:rFonts w:hint="eastAsia"/>
          <w:color w:val="231F20"/>
        </w:rPr>
        <w:t>But the holy army can take heart: Their King is in complete control of this war, its outcome is certain, and the Day of its end—the Last of the Last Days—is soon to come (Rev. 3:11, 22:7, 12, 20).</w:t>
      </w:r>
    </w:p>
    <w:p w14:paraId="00F97B48">
      <w:pPr>
        <w:pStyle w:val="9"/>
        <w:spacing w:before="11" w:line="249" w:lineRule="auto"/>
        <w:ind w:right="103" w:firstLine="450"/>
        <w:rPr>
          <w:rFonts w:hint="eastAsia"/>
          <w:color w:val="231F20"/>
        </w:rPr>
      </w:pPr>
      <w:r>
        <w:rPr>
          <w:rFonts w:hint="eastAsia"/>
          <w:color w:val="231F20"/>
        </w:rPr>
        <w:t>但圣军可以放心：他们的王完全掌控这场战争，其结局是确定的，而其结束之日——末后之日的最后——快要来了（启 3:11, 22:7, 12, 20）。</w:t>
      </w:r>
    </w:p>
    <w:p w14:paraId="50ECB4AE">
      <w:pPr>
        <w:pStyle w:val="9"/>
        <w:spacing w:before="11" w:line="249" w:lineRule="auto"/>
        <w:ind w:right="103" w:firstLine="450"/>
        <w:rPr>
          <w:rFonts w:hint="eastAsia"/>
          <w:color w:val="231F20"/>
        </w:rPr>
      </w:pPr>
    </w:p>
    <w:p w14:paraId="0C008CE1">
      <w:pPr>
        <w:pStyle w:val="9"/>
        <w:spacing w:before="11" w:line="249" w:lineRule="auto"/>
        <w:ind w:right="103" w:firstLine="450"/>
        <w:rPr>
          <w:rFonts w:hint="eastAsia"/>
          <w:color w:val="231F20"/>
        </w:rPr>
      </w:pPr>
      <w:r>
        <w:rPr>
          <w:rFonts w:hint="eastAsia"/>
          <w:color w:val="231F20"/>
        </w:rPr>
        <w:t>Oh yes, one final thought: The last days are also “the thousand years” of Revelation 20.</w:t>
      </w:r>
    </w:p>
    <w:p w14:paraId="3346742C">
      <w:pPr>
        <w:pStyle w:val="9"/>
        <w:spacing w:before="11" w:line="249" w:lineRule="auto"/>
        <w:ind w:right="103" w:firstLine="450"/>
        <w:rPr>
          <w:rFonts w:hint="eastAsia"/>
          <w:color w:val="231F20"/>
        </w:rPr>
      </w:pPr>
      <w:r>
        <w:rPr>
          <w:rFonts w:hint="eastAsia"/>
          <w:color w:val="231F20"/>
        </w:rPr>
        <w:t>哦，是的，最后一个想法：末后的日子也是启示录20章的“一千年”。</w:t>
      </w:r>
    </w:p>
    <w:p w14:paraId="3AF6B897">
      <w:pPr>
        <w:pStyle w:val="9"/>
        <w:spacing w:before="11" w:line="249" w:lineRule="auto"/>
        <w:ind w:right="103" w:firstLine="450"/>
        <w:rPr>
          <w:rFonts w:hint="eastAsia"/>
          <w:color w:val="231F20"/>
        </w:rPr>
      </w:pPr>
    </w:p>
    <w:p w14:paraId="0225023F">
      <w:pPr>
        <w:pStyle w:val="9"/>
        <w:spacing w:before="11" w:line="249" w:lineRule="auto"/>
        <w:ind w:right="103" w:firstLine="450"/>
        <w:rPr>
          <w:rFonts w:hint="eastAsia"/>
          <w:color w:val="231F20"/>
        </w:rPr>
      </w:pPr>
      <w:r>
        <w:rPr>
          <w:rFonts w:hint="eastAsia"/>
          <w:color w:val="231F20"/>
        </w:rPr>
        <w:t>But since that is a most challenging and controversial thought, I will wait to develop it at length in Part 4.</w:t>
      </w:r>
    </w:p>
    <w:p w14:paraId="28728FD9">
      <w:pPr>
        <w:pStyle w:val="9"/>
        <w:spacing w:before="11" w:line="249" w:lineRule="auto"/>
        <w:ind w:right="103" w:firstLine="450"/>
        <w:rPr>
          <w:rFonts w:hint="eastAsia"/>
          <w:color w:val="231F20"/>
        </w:rPr>
      </w:pPr>
      <w:r>
        <w:rPr>
          <w:rFonts w:hint="eastAsia"/>
          <w:color w:val="231F20"/>
        </w:rPr>
        <w:t>但由于这是一个极具挑战性和争议性的想法，我将等到第四部分再作详细阐述。</w:t>
      </w:r>
    </w:p>
    <w:p w14:paraId="5F0835DB">
      <w:pPr>
        <w:pStyle w:val="9"/>
        <w:spacing w:before="11" w:line="249" w:lineRule="auto"/>
        <w:ind w:right="103" w:firstLine="450"/>
        <w:rPr>
          <w:rFonts w:hint="eastAsia"/>
          <w:color w:val="231F20"/>
        </w:rPr>
      </w:pPr>
    </w:p>
    <w:p w14:paraId="2AF76B38">
      <w:pPr>
        <w:pStyle w:val="9"/>
        <w:spacing w:before="11" w:line="249" w:lineRule="auto"/>
        <w:ind w:right="103" w:firstLine="450"/>
        <w:rPr>
          <w:rFonts w:hint="eastAsia"/>
          <w:color w:val="231F20"/>
        </w:rPr>
      </w:pPr>
      <w:r>
        <w:rPr>
          <w:rFonts w:hint="eastAsia"/>
          <w:color w:val="231F20"/>
        </w:rPr>
        <w:t>4.The Clash of the Kingdoms</w:t>
      </w:r>
    </w:p>
    <w:p w14:paraId="3B4D00CB">
      <w:pPr>
        <w:pStyle w:val="9"/>
        <w:spacing w:before="11" w:line="249" w:lineRule="auto"/>
        <w:ind w:right="103" w:firstLine="450"/>
      </w:pPr>
      <w:r>
        <w:rPr>
          <w:rFonts w:hint="eastAsia"/>
          <w:color w:val="231F20"/>
        </w:rPr>
        <w:t>4.国度间的冲突</w:t>
      </w:r>
    </w:p>
    <w:p w14:paraId="06192BD6">
      <w:pPr>
        <w:pStyle w:val="9"/>
        <w:spacing w:before="231"/>
        <w:ind w:left="0"/>
        <w:jc w:val="left"/>
      </w:pPr>
    </w:p>
    <w:p w14:paraId="347AA697">
      <w:pPr>
        <w:pStyle w:val="6"/>
        <w:spacing w:after="0" w:line="240" w:lineRule="auto"/>
        <w:jc w:val="left"/>
        <w:sectPr>
          <w:pgSz w:w="12240" w:h="15840"/>
          <w:pgMar w:top="1380" w:right="1440" w:bottom="280" w:left="1440" w:header="720" w:footer="720" w:gutter="0"/>
          <w:cols w:space="720" w:num="1"/>
        </w:sectPr>
      </w:pPr>
      <w:bookmarkStart w:id="30" w:name="_bookmark43"/>
      <w:bookmarkEnd w:id="30"/>
    </w:p>
    <w:p w14:paraId="21DB950A">
      <w:pPr>
        <w:pStyle w:val="9"/>
        <w:spacing w:before="0"/>
        <w:ind w:left="2370"/>
        <w:jc w:val="left"/>
        <w:rPr>
          <w:rFonts w:hint="eastAsia" w:eastAsia="宋体"/>
          <w:sz w:val="20"/>
          <w:lang w:eastAsia="zh-CN"/>
        </w:rPr>
      </w:pPr>
      <w:r>
        <w:rPr>
          <w:sz w:val="20"/>
        </w:rPr>
        <w:drawing>
          <wp:inline distT="0" distB="0" distL="0" distR="0">
            <wp:extent cx="2957830" cy="1531620"/>
            <wp:effectExtent l="0" t="0" r="0" b="0"/>
            <wp:docPr id="73" name="Image 73"/>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27" cstate="print"/>
                    <a:stretch>
                      <a:fillRect/>
                    </a:stretch>
                  </pic:blipFill>
                  <pic:spPr>
                    <a:xfrm>
                      <a:off x="0" y="0"/>
                      <a:ext cx="2957941" cy="1531620"/>
                    </a:xfrm>
                    <a:prstGeom prst="rect">
                      <a:avLst/>
                    </a:prstGeom>
                  </pic:spPr>
                </pic:pic>
              </a:graphicData>
            </a:graphic>
          </wp:inline>
        </w:drawing>
      </w:r>
      <w:r>
        <w:rPr>
          <w:rFonts w:hint="eastAsia" w:eastAsia="宋体"/>
          <w:sz w:val="20"/>
          <w:lang w:eastAsia="zh-CN"/>
        </w:rPr>
        <w:drawing>
          <wp:inline distT="0" distB="0" distL="114300" distR="114300">
            <wp:extent cx="4914900" cy="2552700"/>
            <wp:effectExtent l="0" t="0" r="7620" b="7620"/>
            <wp:docPr id="7" name="图片 7" descr="c842fb282b95b4bebfd4b077eec499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842fb282b95b4bebfd4b077eec499ae"/>
                    <pic:cNvPicPr>
                      <a:picLocks noChangeAspect="1"/>
                    </pic:cNvPicPr>
                  </pic:nvPicPr>
                  <pic:blipFill>
                    <a:blip r:embed="rId28"/>
                    <a:stretch>
                      <a:fillRect/>
                    </a:stretch>
                  </pic:blipFill>
                  <pic:spPr>
                    <a:xfrm>
                      <a:off x="0" y="0"/>
                      <a:ext cx="4914900" cy="2552700"/>
                    </a:xfrm>
                    <a:prstGeom prst="rect">
                      <a:avLst/>
                    </a:prstGeom>
                  </pic:spPr>
                </pic:pic>
              </a:graphicData>
            </a:graphic>
          </wp:inline>
        </w:drawing>
      </w:r>
    </w:p>
    <w:p w14:paraId="4F7F8883">
      <w:pPr>
        <w:pStyle w:val="9"/>
        <w:spacing w:before="82"/>
        <w:ind w:left="0"/>
        <w:jc w:val="left"/>
        <w:rPr>
          <w:b/>
        </w:rPr>
      </w:pPr>
    </w:p>
    <w:p w14:paraId="61932A05">
      <w:pPr>
        <w:pStyle w:val="9"/>
        <w:spacing w:before="14" w:line="249" w:lineRule="auto"/>
        <w:ind w:right="97" w:firstLine="450"/>
        <w:rPr>
          <w:rFonts w:hint="eastAsia"/>
          <w:color w:val="231F20"/>
        </w:rPr>
      </w:pPr>
      <w:r>
        <w:rPr>
          <w:rFonts w:hint="eastAsia"/>
          <w:color w:val="231F20"/>
        </w:rPr>
        <w:t>This Timeline captures the behind-the-scenes drama of Salvation History, a drama that is best cast as a clash of two kingdoms.</w:t>
      </w:r>
    </w:p>
    <w:p w14:paraId="5B96538A">
      <w:pPr>
        <w:pStyle w:val="9"/>
        <w:spacing w:before="14" w:line="249" w:lineRule="auto"/>
        <w:ind w:right="97" w:firstLine="450"/>
        <w:rPr>
          <w:rFonts w:hint="eastAsia"/>
          <w:color w:val="231F20"/>
        </w:rPr>
      </w:pPr>
      <w:r>
        <w:rPr>
          <w:rFonts w:hint="eastAsia"/>
          <w:color w:val="231F20"/>
        </w:rPr>
        <w:t>这条时间线捕捉了救赎历史的幕后戏剧，这场戏剧最好被描述为两个国度的冲突。</w:t>
      </w:r>
    </w:p>
    <w:p w14:paraId="09098083">
      <w:pPr>
        <w:pStyle w:val="9"/>
        <w:spacing w:before="14" w:line="249" w:lineRule="auto"/>
        <w:ind w:right="97" w:firstLine="450"/>
        <w:rPr>
          <w:rFonts w:hint="eastAsia"/>
          <w:color w:val="231F20"/>
        </w:rPr>
      </w:pPr>
    </w:p>
    <w:p w14:paraId="7C9859C9">
      <w:pPr>
        <w:pStyle w:val="9"/>
        <w:spacing w:before="14" w:line="249" w:lineRule="auto"/>
        <w:ind w:right="97" w:firstLine="450"/>
        <w:rPr>
          <w:rFonts w:hint="eastAsia"/>
          <w:color w:val="231F20"/>
        </w:rPr>
      </w:pPr>
      <w:r>
        <w:rPr>
          <w:rFonts w:hint="eastAsia"/>
          <w:color w:val="231F20"/>
        </w:rPr>
        <w:t>Let us take a moment to examine them both.</w:t>
      </w:r>
    </w:p>
    <w:p w14:paraId="69794872">
      <w:pPr>
        <w:pStyle w:val="9"/>
        <w:spacing w:before="14" w:line="249" w:lineRule="auto"/>
        <w:ind w:right="97" w:firstLine="450"/>
        <w:rPr>
          <w:rFonts w:hint="eastAsia"/>
          <w:color w:val="231F20"/>
        </w:rPr>
      </w:pPr>
      <w:r>
        <w:rPr>
          <w:rFonts w:hint="eastAsia"/>
          <w:color w:val="231F20"/>
        </w:rPr>
        <w:t>让我们花点时间来审视它们俩。</w:t>
      </w:r>
    </w:p>
    <w:p w14:paraId="575EEEE9">
      <w:pPr>
        <w:pStyle w:val="9"/>
        <w:spacing w:before="14" w:line="249" w:lineRule="auto"/>
        <w:ind w:right="97" w:firstLine="450"/>
        <w:rPr>
          <w:rFonts w:hint="eastAsia"/>
          <w:color w:val="231F20"/>
        </w:rPr>
      </w:pPr>
    </w:p>
    <w:p w14:paraId="37DCD838">
      <w:pPr>
        <w:pStyle w:val="9"/>
        <w:spacing w:before="14" w:line="249" w:lineRule="auto"/>
        <w:ind w:right="97" w:firstLine="450"/>
        <w:rPr>
          <w:rFonts w:hint="eastAsia"/>
          <w:color w:val="231F20"/>
        </w:rPr>
      </w:pPr>
      <w:r>
        <w:rPr>
          <w:rFonts w:hint="eastAsia"/>
          <w:color w:val="231F20"/>
        </w:rPr>
        <w:t>On the one hand, there is the kingdom of Satan.</w:t>
      </w:r>
    </w:p>
    <w:p w14:paraId="5088623F">
      <w:pPr>
        <w:pStyle w:val="9"/>
        <w:spacing w:before="14" w:line="249" w:lineRule="auto"/>
        <w:ind w:right="97" w:firstLine="450"/>
        <w:rPr>
          <w:rFonts w:hint="eastAsia"/>
          <w:color w:val="231F20"/>
        </w:rPr>
      </w:pPr>
      <w:r>
        <w:rPr>
          <w:rFonts w:hint="eastAsia"/>
          <w:color w:val="231F20"/>
        </w:rPr>
        <w:t>一方面，有撒但的国度。</w:t>
      </w:r>
    </w:p>
    <w:p w14:paraId="496F86A3">
      <w:pPr>
        <w:pStyle w:val="9"/>
        <w:spacing w:before="14" w:line="249" w:lineRule="auto"/>
        <w:ind w:right="97" w:firstLine="450"/>
        <w:rPr>
          <w:rFonts w:hint="eastAsia"/>
          <w:color w:val="231F20"/>
        </w:rPr>
      </w:pPr>
    </w:p>
    <w:p w14:paraId="670B037F">
      <w:pPr>
        <w:pStyle w:val="9"/>
        <w:spacing w:before="14" w:line="249" w:lineRule="auto"/>
        <w:ind w:right="97" w:firstLine="450"/>
        <w:rPr>
          <w:rFonts w:hint="eastAsia"/>
          <w:color w:val="231F20"/>
        </w:rPr>
      </w:pPr>
      <w:r>
        <w:rPr>
          <w:rFonts w:hint="eastAsia"/>
          <w:color w:val="231F20"/>
        </w:rPr>
        <w:t>As we learned earlier, it was founded at the Fall, when Adam effectively surrendered the family of man into the hand of God’s adversary (Mt. 4:8-11).</w:t>
      </w:r>
    </w:p>
    <w:p w14:paraId="7B0B3D3E">
      <w:pPr>
        <w:pStyle w:val="9"/>
        <w:spacing w:before="14" w:line="249" w:lineRule="auto"/>
        <w:ind w:right="97" w:firstLine="450"/>
        <w:rPr>
          <w:rFonts w:hint="eastAsia"/>
          <w:color w:val="231F20"/>
        </w:rPr>
      </w:pPr>
      <w:r>
        <w:rPr>
          <w:rFonts w:hint="eastAsia"/>
          <w:color w:val="231F20"/>
        </w:rPr>
        <w:t>正如我们之前所学到的，它建立于堕落之时，那时亚当实际上将人类的家庭交在了上帝的对头手中（太 4:8-11）。</w:t>
      </w:r>
    </w:p>
    <w:p w14:paraId="5E4CD79C">
      <w:pPr>
        <w:pStyle w:val="9"/>
        <w:spacing w:before="14" w:line="249" w:lineRule="auto"/>
        <w:ind w:right="97" w:firstLine="450"/>
        <w:rPr>
          <w:rFonts w:hint="eastAsia"/>
          <w:color w:val="231F20"/>
        </w:rPr>
      </w:pPr>
    </w:p>
    <w:p w14:paraId="09660568">
      <w:pPr>
        <w:pStyle w:val="9"/>
        <w:spacing w:before="14" w:line="249" w:lineRule="auto"/>
        <w:ind w:right="97" w:firstLine="450"/>
        <w:rPr>
          <w:rFonts w:hint="eastAsia"/>
          <w:color w:val="231F20"/>
        </w:rPr>
      </w:pPr>
      <w:r>
        <w:rPr>
          <w:rFonts w:hint="eastAsia"/>
          <w:color w:val="231F20"/>
        </w:rPr>
        <w:t>Prior to Christ’s advent, Satan’s kingdom flourished worldwide, though throughout this period—and especially in Israel—God preserved a redeemed remnant of humanity beneath his own (limited) spiritual rule (Ex. 19:6, Isaiah 14:12-21).</w:t>
      </w:r>
    </w:p>
    <w:p w14:paraId="545BF069">
      <w:pPr>
        <w:pStyle w:val="9"/>
        <w:spacing w:before="14" w:line="249" w:lineRule="auto"/>
        <w:ind w:right="97" w:firstLine="450"/>
        <w:rPr>
          <w:rFonts w:hint="eastAsia"/>
          <w:color w:val="231F20"/>
        </w:rPr>
      </w:pPr>
      <w:r>
        <w:rPr>
          <w:rFonts w:hint="eastAsia"/>
          <w:color w:val="231F20"/>
        </w:rPr>
        <w:t>在基督降临之前，撒但的国度在全球范围内繁盛，尽管在整个这段时期——特别是在以色列——上帝在祂自己（有限的）属灵统治下，保守了一群被赎的人类余民（出 19:6, 以赛亚书 14:12-21）。</w:t>
      </w:r>
    </w:p>
    <w:p w14:paraId="0984ED04">
      <w:pPr>
        <w:pStyle w:val="9"/>
        <w:spacing w:before="14" w:line="249" w:lineRule="auto"/>
        <w:ind w:right="97" w:firstLine="450"/>
        <w:rPr>
          <w:rFonts w:hint="eastAsia"/>
          <w:color w:val="231F20"/>
        </w:rPr>
      </w:pPr>
    </w:p>
    <w:p w14:paraId="73C277D9">
      <w:pPr>
        <w:pStyle w:val="9"/>
        <w:spacing w:before="14" w:line="249" w:lineRule="auto"/>
        <w:ind w:right="97" w:firstLine="450"/>
        <w:rPr>
          <w:rFonts w:hint="eastAsia"/>
          <w:color w:val="231F20"/>
        </w:rPr>
      </w:pPr>
      <w:r>
        <w:rPr>
          <w:rFonts w:hint="eastAsia"/>
          <w:color w:val="231F20"/>
        </w:rPr>
        <w:t>Now, however, Christ has come, lived, died, and been exalted to God’s right hand.</w:t>
      </w:r>
    </w:p>
    <w:p w14:paraId="097EECF3">
      <w:pPr>
        <w:pStyle w:val="9"/>
        <w:spacing w:before="14" w:line="249" w:lineRule="auto"/>
        <w:ind w:right="97" w:firstLine="450"/>
        <w:rPr>
          <w:rFonts w:hint="eastAsia"/>
          <w:color w:val="231F20"/>
        </w:rPr>
      </w:pPr>
      <w:r>
        <w:rPr>
          <w:rFonts w:hint="eastAsia"/>
          <w:color w:val="231F20"/>
        </w:rPr>
        <w:t>然而，现在，基督已经来了，活了，死了，并被高举到上帝的右边。</w:t>
      </w:r>
    </w:p>
    <w:p w14:paraId="270620C7">
      <w:pPr>
        <w:pStyle w:val="9"/>
        <w:spacing w:before="14" w:line="249" w:lineRule="auto"/>
        <w:ind w:right="97" w:firstLine="450"/>
        <w:rPr>
          <w:rFonts w:hint="eastAsia"/>
          <w:color w:val="231F20"/>
        </w:rPr>
      </w:pPr>
    </w:p>
    <w:p w14:paraId="69B2870F">
      <w:pPr>
        <w:pStyle w:val="9"/>
        <w:spacing w:before="14" w:line="249" w:lineRule="auto"/>
        <w:ind w:right="97" w:firstLine="450"/>
        <w:rPr>
          <w:rFonts w:hint="eastAsia"/>
          <w:color w:val="231F20"/>
        </w:rPr>
      </w:pPr>
      <w:r>
        <w:rPr>
          <w:rFonts w:hint="eastAsia"/>
          <w:color w:val="231F20"/>
        </w:rPr>
        <w:t>As a result, Satan’s kingdom is falling.</w:t>
      </w:r>
    </w:p>
    <w:p w14:paraId="1BD4E74D">
      <w:pPr>
        <w:pStyle w:val="9"/>
        <w:spacing w:before="14" w:line="249" w:lineRule="auto"/>
        <w:ind w:right="97" w:firstLine="450"/>
        <w:rPr>
          <w:rFonts w:hint="eastAsia"/>
          <w:color w:val="231F20"/>
        </w:rPr>
      </w:pPr>
      <w:r>
        <w:rPr>
          <w:rFonts w:hint="eastAsia"/>
          <w:color w:val="231F20"/>
        </w:rPr>
        <w:t>结果，撒但的国度正在败落。</w:t>
      </w:r>
    </w:p>
    <w:p w14:paraId="5BD770D9">
      <w:pPr>
        <w:pStyle w:val="9"/>
        <w:spacing w:before="14" w:line="249" w:lineRule="auto"/>
        <w:ind w:right="97" w:firstLine="450"/>
        <w:rPr>
          <w:rFonts w:hint="eastAsia"/>
          <w:color w:val="231F20"/>
        </w:rPr>
      </w:pPr>
    </w:p>
    <w:p w14:paraId="7B338050">
      <w:pPr>
        <w:pStyle w:val="9"/>
        <w:spacing w:before="14" w:line="249" w:lineRule="auto"/>
        <w:ind w:right="97" w:firstLine="450"/>
        <w:rPr>
          <w:rFonts w:hint="eastAsia"/>
          <w:color w:val="231F20"/>
        </w:rPr>
      </w:pPr>
      <w:r>
        <w:rPr>
          <w:rFonts w:hint="eastAsia"/>
          <w:color w:val="231F20"/>
        </w:rPr>
        <w:t>Again, this happens as the Gospel goes forth into the world, and as multitudes of believers from every tribe, tongue, people, and nation are transferred from the Domain of Darkness into the spiritual Kingdom of Christ (Luke 10:18, John 12:31, Col. 1:13, Rev. 7:9f, 12:7-12, 14:6).</w:t>
      </w:r>
    </w:p>
    <w:p w14:paraId="6067766B">
      <w:pPr>
        <w:pStyle w:val="9"/>
        <w:spacing w:before="14" w:line="249" w:lineRule="auto"/>
        <w:ind w:right="97" w:firstLine="450"/>
        <w:rPr>
          <w:rFonts w:hint="eastAsia"/>
          <w:color w:val="231F20"/>
        </w:rPr>
      </w:pPr>
      <w:r>
        <w:rPr>
          <w:rFonts w:hint="eastAsia"/>
          <w:color w:val="231F20"/>
        </w:rPr>
        <w:t>再者，这是随着福音传遍世界而发生的，并且随着来自各支派、各方言、各民族、各国的众多信徒从黑暗的权势迁入基督的属灵国度而发生（路 10:18, 约 12:31, 西 1:13, 启 7:9f, 12:7-12, 14:6）。</w:t>
      </w:r>
    </w:p>
    <w:p w14:paraId="5C37B67A">
      <w:pPr>
        <w:pStyle w:val="9"/>
        <w:spacing w:before="14" w:line="249" w:lineRule="auto"/>
        <w:ind w:right="97" w:firstLine="450"/>
        <w:rPr>
          <w:rFonts w:hint="eastAsia"/>
          <w:color w:val="231F20"/>
        </w:rPr>
      </w:pPr>
    </w:p>
    <w:p w14:paraId="364CCDB4">
      <w:pPr>
        <w:pStyle w:val="9"/>
        <w:spacing w:before="14" w:line="249" w:lineRule="auto"/>
        <w:ind w:right="97" w:firstLine="450"/>
        <w:rPr>
          <w:rFonts w:hint="eastAsia"/>
          <w:color w:val="231F20"/>
        </w:rPr>
      </w:pPr>
      <w:r>
        <w:rPr>
          <w:rFonts w:hint="eastAsia"/>
          <w:color w:val="231F20"/>
        </w:rPr>
        <w:t>Satan’s fall will be complete on the last Day, when Christ, at his Parousia, casts him into the Lake of Fire.</w:t>
      </w:r>
    </w:p>
    <w:p w14:paraId="645971FB">
      <w:pPr>
        <w:pStyle w:val="9"/>
        <w:spacing w:before="14" w:line="249" w:lineRule="auto"/>
        <w:ind w:right="97" w:firstLine="450"/>
        <w:rPr>
          <w:rFonts w:hint="eastAsia"/>
          <w:color w:val="231F20"/>
        </w:rPr>
      </w:pPr>
      <w:r>
        <w:rPr>
          <w:rFonts w:hint="eastAsia"/>
          <w:color w:val="231F20"/>
        </w:rPr>
        <w:t>撒但的败落将在末日完成，那时基督在祂再来时将他投入火湖。</w:t>
      </w:r>
    </w:p>
    <w:p w14:paraId="7285E994">
      <w:pPr>
        <w:pStyle w:val="9"/>
        <w:spacing w:before="14" w:line="249" w:lineRule="auto"/>
        <w:ind w:right="97" w:firstLine="450"/>
        <w:rPr>
          <w:rFonts w:hint="eastAsia"/>
          <w:color w:val="231F20"/>
        </w:rPr>
      </w:pPr>
    </w:p>
    <w:p w14:paraId="52AAF626">
      <w:pPr>
        <w:pStyle w:val="9"/>
        <w:spacing w:before="14" w:line="249" w:lineRule="auto"/>
        <w:ind w:right="97" w:firstLine="450"/>
        <w:rPr>
          <w:rFonts w:hint="eastAsia"/>
          <w:color w:val="231F20"/>
        </w:rPr>
      </w:pPr>
      <w:r>
        <w:rPr>
          <w:rFonts w:hint="eastAsia"/>
          <w:color w:val="231F20"/>
        </w:rPr>
        <w:t>At this point, his kingdom is finished forever (Rev. 11:15, 12:12, 20:10).</w:t>
      </w:r>
    </w:p>
    <w:p w14:paraId="35765C79">
      <w:pPr>
        <w:pStyle w:val="9"/>
        <w:spacing w:before="14" w:line="249" w:lineRule="auto"/>
        <w:ind w:right="97" w:firstLine="450"/>
        <w:rPr>
          <w:rFonts w:hint="eastAsia"/>
          <w:color w:val="231F20"/>
        </w:rPr>
      </w:pPr>
      <w:r>
        <w:rPr>
          <w:rFonts w:hint="eastAsia"/>
          <w:color w:val="231F20"/>
        </w:rPr>
        <w:t>此时，他的国度就永远结束了（启 11:15, 12:12, 20:10）。</w:t>
      </w:r>
    </w:p>
    <w:p w14:paraId="0CFF1081">
      <w:pPr>
        <w:pStyle w:val="9"/>
        <w:spacing w:before="14" w:line="249" w:lineRule="auto"/>
        <w:ind w:right="97" w:firstLine="450"/>
        <w:rPr>
          <w:rFonts w:hint="eastAsia"/>
          <w:color w:val="231F20"/>
        </w:rPr>
      </w:pPr>
    </w:p>
    <w:p w14:paraId="5A7A52BB">
      <w:pPr>
        <w:pStyle w:val="9"/>
        <w:spacing w:before="14" w:line="249" w:lineRule="auto"/>
        <w:ind w:right="97" w:firstLine="450"/>
        <w:rPr>
          <w:rFonts w:hint="eastAsia"/>
          <w:color w:val="231F20"/>
        </w:rPr>
      </w:pPr>
      <w:r>
        <w:rPr>
          <w:rFonts w:hint="eastAsia"/>
          <w:color w:val="231F20"/>
        </w:rPr>
        <w:t>Locked in mortal combat with Satan’s Domain of Darkness is the Kingdom of God.</w:t>
      </w:r>
    </w:p>
    <w:p w14:paraId="3DB350BF">
      <w:pPr>
        <w:pStyle w:val="9"/>
        <w:spacing w:before="14" w:line="249" w:lineRule="auto"/>
        <w:ind w:right="97" w:firstLine="450"/>
        <w:rPr>
          <w:rFonts w:hint="eastAsia"/>
          <w:color w:val="231F20"/>
        </w:rPr>
      </w:pPr>
      <w:r>
        <w:rPr>
          <w:rFonts w:hint="eastAsia"/>
          <w:color w:val="231F20"/>
        </w:rPr>
        <w:t>与撒但的黑暗权势进行殊死搏斗的是上帝的国。</w:t>
      </w:r>
    </w:p>
    <w:p w14:paraId="61B8F702">
      <w:pPr>
        <w:pStyle w:val="9"/>
        <w:spacing w:before="14" w:line="249" w:lineRule="auto"/>
        <w:ind w:right="97" w:firstLine="450"/>
        <w:rPr>
          <w:rFonts w:hint="eastAsia"/>
          <w:color w:val="231F20"/>
        </w:rPr>
      </w:pPr>
    </w:p>
    <w:p w14:paraId="0BB63D44">
      <w:pPr>
        <w:pStyle w:val="9"/>
        <w:spacing w:before="14" w:line="249" w:lineRule="auto"/>
        <w:ind w:right="97" w:firstLine="450"/>
        <w:rPr>
          <w:rFonts w:hint="eastAsia"/>
          <w:color w:val="231F20"/>
        </w:rPr>
      </w:pPr>
      <w:r>
        <w:rPr>
          <w:rFonts w:hint="eastAsia"/>
          <w:color w:val="231F20"/>
        </w:rPr>
        <w:t>As we saw earlier, in OT times this future redemptive reign was foreshadowed in all administrations of the Eternal Covenant, but especially in the covenant with ethnic Israel, a people whom God himself called “a kingdom of priests and a holy nation” (Ex. 19:6).</w:t>
      </w:r>
    </w:p>
    <w:p w14:paraId="65721583">
      <w:pPr>
        <w:pStyle w:val="9"/>
        <w:spacing w:before="14" w:line="249" w:lineRule="auto"/>
        <w:ind w:right="97" w:firstLine="450"/>
        <w:rPr>
          <w:rFonts w:hint="eastAsia"/>
          <w:color w:val="231F20"/>
        </w:rPr>
      </w:pPr>
      <w:r>
        <w:rPr>
          <w:rFonts w:hint="eastAsia"/>
          <w:color w:val="231F20"/>
        </w:rPr>
        <w:t>正如我们之前所见，在旧约时代，这个未来的救赎统治在永恒之约的所有施行中都得到了预示，但特别是在与以色列民族的约中，上帝亲自称这个民族为“祭司的国度和圣洁的国民”（出 19:6）。</w:t>
      </w:r>
    </w:p>
    <w:p w14:paraId="4946037C">
      <w:pPr>
        <w:pStyle w:val="9"/>
        <w:spacing w:before="14" w:line="249" w:lineRule="auto"/>
        <w:ind w:right="97" w:firstLine="450"/>
        <w:rPr>
          <w:rFonts w:hint="eastAsia"/>
          <w:color w:val="231F20"/>
        </w:rPr>
      </w:pPr>
    </w:p>
    <w:p w14:paraId="3CC09670">
      <w:pPr>
        <w:pStyle w:val="9"/>
        <w:spacing w:before="14" w:line="249" w:lineRule="auto"/>
        <w:ind w:right="97" w:firstLine="450"/>
        <w:rPr>
          <w:rFonts w:hint="eastAsia"/>
          <w:color w:val="231F20"/>
        </w:rPr>
      </w:pPr>
      <w:r>
        <w:rPr>
          <w:rFonts w:hint="eastAsia"/>
          <w:color w:val="231F20"/>
        </w:rPr>
        <w:t>Though God, in those days, did not reside permanently in the hearts of his people, he did dwell in their midst, governing them through various laws and institutions, and visiting them by his Spirit.</w:t>
      </w:r>
    </w:p>
    <w:p w14:paraId="37E62E57">
      <w:pPr>
        <w:pStyle w:val="9"/>
        <w:spacing w:before="14" w:line="249" w:lineRule="auto"/>
        <w:ind w:right="97" w:firstLine="450"/>
        <w:rPr>
          <w:rFonts w:hint="eastAsia"/>
          <w:color w:val="231F20"/>
        </w:rPr>
      </w:pPr>
      <w:r>
        <w:rPr>
          <w:rFonts w:hint="eastAsia"/>
          <w:color w:val="231F20"/>
        </w:rPr>
        <w:t>尽管上帝在那些日子里并未永久地居住在祂子民的心中，祂却住在他们中间，通过各种律法和制度来管理他们，并藉着祂的灵来眷顾他们。</w:t>
      </w:r>
    </w:p>
    <w:p w14:paraId="21DBAA79">
      <w:pPr>
        <w:pStyle w:val="9"/>
        <w:spacing w:before="14" w:line="249" w:lineRule="auto"/>
        <w:ind w:right="97" w:firstLine="450"/>
        <w:rPr>
          <w:rFonts w:hint="eastAsia"/>
          <w:color w:val="231F20"/>
        </w:rPr>
      </w:pPr>
    </w:p>
    <w:p w14:paraId="7BAC4E5A">
      <w:pPr>
        <w:pStyle w:val="9"/>
        <w:spacing w:before="14" w:line="249" w:lineRule="auto"/>
        <w:ind w:right="97" w:firstLine="450"/>
        <w:rPr>
          <w:rFonts w:hint="eastAsia"/>
          <w:color w:val="231F20"/>
        </w:rPr>
      </w:pPr>
      <w:r>
        <w:rPr>
          <w:rFonts w:hint="eastAsia"/>
          <w:color w:val="231F20"/>
        </w:rPr>
        <w:t>In this way, the Israelite theocracy prefigured God’s coming spiritual rule, and also the chosen people who would be blessed to live beneath it (Num. 35:34, Jer. 31:31f, Ezek. 36:22- 32, Joel 2:28).</w:t>
      </w:r>
    </w:p>
    <w:p w14:paraId="2DA09179">
      <w:pPr>
        <w:pStyle w:val="9"/>
        <w:spacing w:before="14" w:line="249" w:lineRule="auto"/>
        <w:ind w:right="97" w:firstLine="450"/>
        <w:rPr>
          <w:rFonts w:hint="eastAsia"/>
          <w:color w:val="231F20"/>
        </w:rPr>
      </w:pPr>
      <w:r>
        <w:rPr>
          <w:rFonts w:hint="eastAsia"/>
          <w:color w:val="231F20"/>
        </w:rPr>
        <w:t>通过这种方式，以色列的神权政体预表了上帝将要来临的属灵统治，也预表了将要蒙福生活在其下的选民（民 35:34, 耶 31:31f, 结 36:22-32, 珥 2:28）。</w:t>
      </w:r>
    </w:p>
    <w:p w14:paraId="43D6CBBC">
      <w:pPr>
        <w:pStyle w:val="9"/>
        <w:spacing w:before="14" w:line="249" w:lineRule="auto"/>
        <w:ind w:right="97" w:firstLine="450"/>
        <w:rPr>
          <w:rFonts w:hint="eastAsia"/>
          <w:color w:val="231F20"/>
        </w:rPr>
      </w:pPr>
    </w:p>
    <w:p w14:paraId="3E995BE2">
      <w:pPr>
        <w:pStyle w:val="9"/>
        <w:spacing w:before="14" w:line="249" w:lineRule="auto"/>
        <w:ind w:right="97" w:firstLine="450"/>
        <w:rPr>
          <w:rFonts w:hint="eastAsia"/>
          <w:color w:val="231F20"/>
        </w:rPr>
      </w:pPr>
      <w:r>
        <w:rPr>
          <w:rFonts w:hint="eastAsia"/>
          <w:color w:val="231F20"/>
        </w:rPr>
        <w:t>And again, it was during this era that the OT prophets—with ever-increasing frequency, specificity, and zeal—began to promise a coming Kingdom of God.</w:t>
      </w:r>
    </w:p>
    <w:p w14:paraId="473E4D39">
      <w:pPr>
        <w:pStyle w:val="9"/>
        <w:spacing w:before="14" w:line="249" w:lineRule="auto"/>
        <w:ind w:right="97" w:firstLine="450"/>
        <w:rPr>
          <w:rFonts w:hint="eastAsia"/>
          <w:color w:val="231F20"/>
        </w:rPr>
      </w:pPr>
      <w:r>
        <w:rPr>
          <w:rFonts w:hint="eastAsia"/>
          <w:color w:val="231F20"/>
        </w:rPr>
        <w:t>再者，正是在这个时代，旧约的先知们——以不断增加的频率、具体性和热忱——开始应许一个将要来临的上帝之国。</w:t>
      </w:r>
    </w:p>
    <w:p w14:paraId="2A75CC6B">
      <w:pPr>
        <w:pStyle w:val="9"/>
        <w:spacing w:before="14" w:line="249" w:lineRule="auto"/>
        <w:ind w:right="97" w:firstLine="450"/>
        <w:rPr>
          <w:rFonts w:hint="eastAsia"/>
          <w:color w:val="231F20"/>
        </w:rPr>
      </w:pPr>
    </w:p>
    <w:p w14:paraId="61A6C4B0">
      <w:pPr>
        <w:pStyle w:val="9"/>
        <w:spacing w:before="14" w:line="249" w:lineRule="auto"/>
        <w:ind w:right="97" w:firstLine="450"/>
        <w:rPr>
          <w:rFonts w:hint="eastAsia"/>
          <w:color w:val="231F20"/>
        </w:rPr>
      </w:pPr>
      <w:r>
        <w:rPr>
          <w:rFonts w:hint="eastAsia"/>
          <w:color w:val="231F20"/>
        </w:rPr>
        <w:t>In NT times, that promise is fulfilled.</w:t>
      </w:r>
    </w:p>
    <w:p w14:paraId="62742134">
      <w:pPr>
        <w:pStyle w:val="9"/>
        <w:spacing w:before="14" w:line="249" w:lineRule="auto"/>
        <w:ind w:right="97" w:firstLine="450"/>
        <w:rPr>
          <w:rFonts w:hint="eastAsia"/>
          <w:color w:val="231F20"/>
        </w:rPr>
      </w:pPr>
      <w:r>
        <w:rPr>
          <w:rFonts w:hint="eastAsia"/>
          <w:color w:val="231F20"/>
        </w:rPr>
        <w:t>在新约时代，那个应许得以实现。</w:t>
      </w:r>
    </w:p>
    <w:p w14:paraId="71C1A350">
      <w:pPr>
        <w:pStyle w:val="9"/>
        <w:spacing w:before="14" w:line="249" w:lineRule="auto"/>
        <w:ind w:right="97" w:firstLine="450"/>
        <w:rPr>
          <w:rFonts w:hint="eastAsia"/>
          <w:color w:val="231F20"/>
        </w:rPr>
      </w:pPr>
    </w:p>
    <w:p w14:paraId="6439B673">
      <w:pPr>
        <w:pStyle w:val="9"/>
        <w:spacing w:before="14" w:line="249" w:lineRule="auto"/>
        <w:ind w:right="97" w:firstLine="450"/>
        <w:rPr>
          <w:rFonts w:hint="eastAsia"/>
          <w:color w:val="231F20"/>
        </w:rPr>
      </w:pPr>
      <w:r>
        <w:rPr>
          <w:rFonts w:hint="eastAsia"/>
          <w:color w:val="231F20"/>
        </w:rPr>
        <w:t>On the Day of Pentecost the exalted Christ pours out the Holy Spirit, with the result that the Kingdom has come at last (John 7:39, Acts 2:14f, Rev. 12:10).</w:t>
      </w:r>
    </w:p>
    <w:p w14:paraId="1FAC5FAB">
      <w:pPr>
        <w:pStyle w:val="9"/>
        <w:spacing w:before="14" w:line="249" w:lineRule="auto"/>
        <w:ind w:right="97" w:firstLine="450"/>
        <w:rPr>
          <w:rFonts w:hint="eastAsia"/>
          <w:color w:val="231F20"/>
        </w:rPr>
      </w:pPr>
      <w:r>
        <w:rPr>
          <w:rFonts w:hint="eastAsia"/>
          <w:color w:val="231F20"/>
        </w:rPr>
        <w:t>在五旬节那天，被高举的基督浇灌圣灵，结果是国度终于降临了（约 7:39, 徒 2:14f, 启 12:10）。</w:t>
      </w:r>
    </w:p>
    <w:p w14:paraId="201DBC58">
      <w:pPr>
        <w:pStyle w:val="9"/>
        <w:spacing w:before="14" w:line="249" w:lineRule="auto"/>
        <w:ind w:right="97" w:firstLine="450"/>
        <w:rPr>
          <w:rFonts w:hint="eastAsia"/>
          <w:color w:val="231F20"/>
        </w:rPr>
      </w:pPr>
    </w:p>
    <w:p w14:paraId="56894C76">
      <w:pPr>
        <w:pStyle w:val="9"/>
        <w:spacing w:before="14" w:line="249" w:lineRule="auto"/>
        <w:ind w:right="97" w:firstLine="450"/>
        <w:rPr>
          <w:rFonts w:hint="eastAsia"/>
          <w:color w:val="231F20"/>
        </w:rPr>
      </w:pPr>
      <w:r>
        <w:rPr>
          <w:rFonts w:hint="eastAsia"/>
          <w:color w:val="231F20"/>
        </w:rPr>
        <w:t>We have seen, however, that it does not appear all at once, but rather in two stages.</w:t>
      </w:r>
    </w:p>
    <w:p w14:paraId="2EF352E6">
      <w:pPr>
        <w:pStyle w:val="9"/>
        <w:spacing w:before="14" w:line="249" w:lineRule="auto"/>
        <w:ind w:right="97" w:firstLine="450"/>
        <w:rPr>
          <w:rFonts w:hint="eastAsia"/>
          <w:color w:val="231F20"/>
        </w:rPr>
      </w:pPr>
      <w:r>
        <w:rPr>
          <w:rFonts w:hint="eastAsia"/>
          <w:color w:val="231F20"/>
        </w:rPr>
        <w:t>然而，我们已经看到，它并非一次性地出现，而是分两个阶段出现。</w:t>
      </w:r>
    </w:p>
    <w:p w14:paraId="67B745B8">
      <w:pPr>
        <w:pStyle w:val="9"/>
        <w:spacing w:before="14" w:line="249" w:lineRule="auto"/>
        <w:ind w:right="97" w:firstLine="450"/>
        <w:rPr>
          <w:rFonts w:hint="eastAsia"/>
          <w:color w:val="231F20"/>
        </w:rPr>
      </w:pPr>
    </w:p>
    <w:p w14:paraId="556875EF">
      <w:pPr>
        <w:pStyle w:val="9"/>
        <w:spacing w:before="14" w:line="249" w:lineRule="auto"/>
        <w:ind w:right="97" w:firstLine="450"/>
        <w:rPr>
          <w:rFonts w:hint="eastAsia"/>
          <w:color w:val="231F20"/>
        </w:rPr>
      </w:pPr>
      <w:r>
        <w:rPr>
          <w:rFonts w:hint="eastAsia"/>
          <w:color w:val="231F20"/>
        </w:rPr>
        <w:t>First there is the Kingdom of the Son, in which the exalted Christ reigns invisibly, by the Spirit, through faith, over the hearts of his redeemed people in heaven and on earth (Mt. 13:36-43, Luke 19:11f).</w:t>
      </w:r>
    </w:p>
    <w:p w14:paraId="772EE0D0">
      <w:pPr>
        <w:pStyle w:val="9"/>
        <w:spacing w:before="14" w:line="249" w:lineRule="auto"/>
        <w:ind w:right="97" w:firstLine="450"/>
        <w:rPr>
          <w:rFonts w:hint="eastAsia"/>
          <w:color w:val="231F20"/>
        </w:rPr>
      </w:pPr>
      <w:r>
        <w:rPr>
          <w:rFonts w:hint="eastAsia"/>
          <w:color w:val="231F20"/>
        </w:rPr>
        <w:t>首先是圣子之国，其中被高举的基督藉着圣灵，凭着信心，在天上和地上无形地统治祂被赎子民的心（太 13:36-43, 路 19:11f）。</w:t>
      </w:r>
    </w:p>
    <w:p w14:paraId="1C65550A">
      <w:pPr>
        <w:pStyle w:val="9"/>
        <w:spacing w:before="14" w:line="249" w:lineRule="auto"/>
        <w:ind w:right="97" w:firstLine="450"/>
        <w:rPr>
          <w:rFonts w:hint="eastAsia"/>
          <w:color w:val="231F20"/>
        </w:rPr>
      </w:pPr>
    </w:p>
    <w:p w14:paraId="79D8543A">
      <w:pPr>
        <w:pStyle w:val="9"/>
        <w:spacing w:before="14" w:line="249" w:lineRule="auto"/>
        <w:ind w:right="97" w:firstLine="450"/>
        <w:rPr>
          <w:rFonts w:hint="eastAsia"/>
          <w:color w:val="231F20"/>
        </w:rPr>
      </w:pPr>
      <w:r>
        <w:rPr>
          <w:rFonts w:hint="eastAsia"/>
          <w:color w:val="231F20"/>
        </w:rPr>
        <w:t>This partial reign continues until the Parousia when, in fulfillment of God’s redemptive plan, Christ transforms and glorifies all (redeemed) things, thereby inaugurating the second and final stage of the Kingdom, the eternal Kingdom of the Father (1 Cor. 15:20-28).</w:t>
      </w:r>
    </w:p>
    <w:p w14:paraId="79B94175">
      <w:pPr>
        <w:pStyle w:val="9"/>
        <w:spacing w:before="14" w:line="249" w:lineRule="auto"/>
        <w:ind w:right="97" w:firstLine="450"/>
        <w:rPr>
          <w:rFonts w:hint="eastAsia"/>
          <w:color w:val="231F20"/>
        </w:rPr>
      </w:pPr>
      <w:r>
        <w:rPr>
          <w:rFonts w:hint="eastAsia"/>
          <w:color w:val="231F20"/>
        </w:rPr>
        <w:t>这种部分的统治将持续到基督再来的时候，那时，为成全上帝的救赎计划，基督将改变并荣耀所有（被赎的）事物，从而开启国度的第二个也是最后一个阶段，即永恒的父之国（林前 15:20-28）。</w:t>
      </w:r>
    </w:p>
    <w:p w14:paraId="1BF1FA16">
      <w:pPr>
        <w:pStyle w:val="9"/>
        <w:spacing w:before="14" w:line="249" w:lineRule="auto"/>
        <w:ind w:right="97" w:firstLine="450"/>
        <w:rPr>
          <w:rFonts w:hint="eastAsia"/>
          <w:color w:val="231F20"/>
        </w:rPr>
      </w:pPr>
    </w:p>
    <w:p w14:paraId="1BCC7A4B">
      <w:pPr>
        <w:pStyle w:val="9"/>
        <w:spacing w:before="14" w:line="249" w:lineRule="auto"/>
        <w:ind w:right="97" w:firstLine="450"/>
        <w:rPr>
          <w:rFonts w:hint="eastAsia"/>
          <w:color w:val="231F20"/>
        </w:rPr>
      </w:pPr>
      <w:r>
        <w:rPr>
          <w:rFonts w:hint="eastAsia"/>
          <w:color w:val="231F20"/>
        </w:rPr>
        <w:t>This representation of Salvation History speaks probingly to saints and seekers alike.</w:t>
      </w:r>
    </w:p>
    <w:p w14:paraId="1B9241DD">
      <w:pPr>
        <w:pStyle w:val="9"/>
        <w:spacing w:before="14" w:line="249" w:lineRule="auto"/>
        <w:ind w:right="97" w:firstLine="450"/>
        <w:rPr>
          <w:rFonts w:hint="eastAsia"/>
          <w:color w:val="231F20"/>
        </w:rPr>
      </w:pPr>
      <w:r>
        <w:rPr>
          <w:rFonts w:hint="eastAsia"/>
          <w:color w:val="231F20"/>
        </w:rPr>
        <w:t>这种对救赎历史的表述，对圣徒和寻求者都具有深刻的启示性。</w:t>
      </w:r>
    </w:p>
    <w:p w14:paraId="20248753">
      <w:pPr>
        <w:pStyle w:val="9"/>
        <w:spacing w:before="14" w:line="249" w:lineRule="auto"/>
        <w:ind w:right="97" w:firstLine="450"/>
        <w:rPr>
          <w:rFonts w:hint="eastAsia"/>
          <w:color w:val="231F20"/>
        </w:rPr>
      </w:pPr>
    </w:p>
    <w:p w14:paraId="6CDA3059">
      <w:pPr>
        <w:pStyle w:val="9"/>
        <w:spacing w:before="14" w:line="249" w:lineRule="auto"/>
        <w:ind w:right="97" w:firstLine="450"/>
        <w:rPr>
          <w:rFonts w:hint="eastAsia"/>
          <w:color w:val="231F20"/>
        </w:rPr>
      </w:pPr>
      <w:r>
        <w:rPr>
          <w:rFonts w:hint="eastAsia"/>
          <w:color w:val="231F20"/>
        </w:rPr>
        <w:t>Despite occasional appearances to the contrary—and despite our fervent wishes that things might be otherwise—the vast plain of human history is, and will remain, a spiritual battlefield, all the way to the Consummation.</w:t>
      </w:r>
    </w:p>
    <w:p w14:paraId="00639227">
      <w:pPr>
        <w:pStyle w:val="9"/>
        <w:spacing w:before="14" w:line="249" w:lineRule="auto"/>
        <w:ind w:right="97" w:firstLine="450"/>
        <w:rPr>
          <w:rFonts w:hint="eastAsia"/>
          <w:color w:val="231F20"/>
        </w:rPr>
      </w:pPr>
      <w:r>
        <w:rPr>
          <w:rFonts w:hint="eastAsia"/>
          <w:color w:val="231F20"/>
        </w:rPr>
        <w:t>尽管偶尔有相反的表象——尽管我们热切地希望事情会有所不同——人类历史的广阔平原是，并且将继续是一个属灵的战场，一直到最终的成全。</w:t>
      </w:r>
    </w:p>
    <w:p w14:paraId="308100DB">
      <w:pPr>
        <w:pStyle w:val="9"/>
        <w:spacing w:before="14" w:line="249" w:lineRule="auto"/>
        <w:ind w:right="97" w:firstLine="450"/>
        <w:rPr>
          <w:rFonts w:hint="eastAsia"/>
          <w:color w:val="231F20"/>
        </w:rPr>
      </w:pPr>
    </w:p>
    <w:p w14:paraId="18F0D8B6">
      <w:pPr>
        <w:pStyle w:val="9"/>
        <w:spacing w:before="14" w:line="249" w:lineRule="auto"/>
        <w:ind w:right="97" w:firstLine="450"/>
        <w:rPr>
          <w:rFonts w:hint="eastAsia"/>
          <w:color w:val="231F20"/>
        </w:rPr>
      </w:pPr>
      <w:r>
        <w:rPr>
          <w:rFonts w:hint="eastAsia"/>
          <w:color w:val="231F20"/>
        </w:rPr>
        <w:t>By divine decree, our world is a cosmic arena in which two spiritual kings and two spiritual kingdoms are destined to clash.</w:t>
      </w:r>
    </w:p>
    <w:p w14:paraId="2907E27A">
      <w:pPr>
        <w:pStyle w:val="9"/>
        <w:spacing w:before="14" w:line="249" w:lineRule="auto"/>
        <w:ind w:right="97" w:firstLine="450"/>
        <w:rPr>
          <w:rFonts w:hint="eastAsia"/>
          <w:color w:val="231F20"/>
        </w:rPr>
      </w:pPr>
      <w:r>
        <w:rPr>
          <w:rFonts w:hint="eastAsia"/>
          <w:color w:val="231F20"/>
        </w:rPr>
        <w:t>根据神圣的谕旨，我们的世界是一个宇宙的竞技场，其中两个属灵的君王和两个属灵的国度注定要冲突。</w:t>
      </w:r>
    </w:p>
    <w:p w14:paraId="533C399C">
      <w:pPr>
        <w:pStyle w:val="9"/>
        <w:spacing w:before="14" w:line="249" w:lineRule="auto"/>
        <w:ind w:right="97" w:firstLine="450"/>
        <w:rPr>
          <w:rFonts w:hint="eastAsia"/>
          <w:color w:val="231F20"/>
        </w:rPr>
      </w:pPr>
    </w:p>
    <w:p w14:paraId="3D28AA4A">
      <w:pPr>
        <w:pStyle w:val="9"/>
        <w:spacing w:before="14" w:line="249" w:lineRule="auto"/>
        <w:ind w:right="97" w:firstLine="450"/>
        <w:rPr>
          <w:rFonts w:hint="eastAsia"/>
          <w:color w:val="231F20"/>
        </w:rPr>
      </w:pPr>
      <w:r>
        <w:rPr>
          <w:rFonts w:hint="eastAsia"/>
          <w:color w:val="231F20"/>
        </w:rPr>
        <w:t>From the point of view of God’s sovereignty, the end is not in doubt.</w:t>
      </w:r>
    </w:p>
    <w:p w14:paraId="4E4CCE6C">
      <w:pPr>
        <w:pStyle w:val="9"/>
        <w:spacing w:before="14" w:line="249" w:lineRule="auto"/>
        <w:ind w:right="97" w:firstLine="450"/>
        <w:rPr>
          <w:rFonts w:hint="eastAsia"/>
          <w:color w:val="231F20"/>
        </w:rPr>
      </w:pPr>
      <w:r>
        <w:rPr>
          <w:rFonts w:hint="eastAsia"/>
          <w:color w:val="231F20"/>
        </w:rPr>
        <w:t>从上帝主权的角度来看，结局是毫无疑问的。</w:t>
      </w:r>
    </w:p>
    <w:p w14:paraId="55A4F500">
      <w:pPr>
        <w:pStyle w:val="9"/>
        <w:spacing w:before="14" w:line="249" w:lineRule="auto"/>
        <w:ind w:right="97" w:firstLine="450"/>
        <w:rPr>
          <w:rFonts w:hint="eastAsia"/>
          <w:color w:val="231F20"/>
        </w:rPr>
      </w:pPr>
    </w:p>
    <w:p w14:paraId="7ECA0FA6">
      <w:pPr>
        <w:pStyle w:val="9"/>
        <w:spacing w:before="14" w:line="249" w:lineRule="auto"/>
        <w:ind w:right="97" w:firstLine="450"/>
        <w:rPr>
          <w:rFonts w:hint="eastAsia"/>
          <w:color w:val="231F20"/>
        </w:rPr>
      </w:pPr>
      <w:r>
        <w:rPr>
          <w:rFonts w:hint="eastAsia"/>
          <w:color w:val="231F20"/>
        </w:rPr>
        <w:t>But from the point of view of the test of life, each man—each saint and each seeker—has an inescapable decision to make: Which king is he going to serve, and in whose army is he going to fight?</w:t>
      </w:r>
    </w:p>
    <w:p w14:paraId="032EAD2C">
      <w:pPr>
        <w:pStyle w:val="9"/>
        <w:spacing w:before="14" w:line="249" w:lineRule="auto"/>
        <w:ind w:right="97" w:firstLine="450"/>
        <w:rPr>
          <w:rFonts w:hint="eastAsia"/>
          <w:color w:val="231F20"/>
        </w:rPr>
      </w:pPr>
      <w:r>
        <w:rPr>
          <w:rFonts w:hint="eastAsia"/>
          <w:color w:val="231F20"/>
        </w:rPr>
        <w:t>但从生命考验的角度来看，每一个人——每一个圣徒和每一个寻求者——都必须作出一个不可避免的决定：他要服事哪一位君王，他要在哪支军队中战斗？</w:t>
      </w:r>
    </w:p>
    <w:p w14:paraId="3A49C316">
      <w:pPr>
        <w:pStyle w:val="9"/>
        <w:spacing w:before="14" w:line="249" w:lineRule="auto"/>
        <w:ind w:right="97" w:firstLine="450"/>
        <w:rPr>
          <w:rFonts w:hint="eastAsia"/>
          <w:color w:val="231F20"/>
        </w:rPr>
      </w:pPr>
    </w:p>
    <w:p w14:paraId="20CB88EC">
      <w:pPr>
        <w:pStyle w:val="9"/>
        <w:spacing w:before="14" w:line="249" w:lineRule="auto"/>
        <w:ind w:right="97" w:firstLine="450"/>
        <w:rPr>
          <w:rFonts w:hint="eastAsia"/>
          <w:color w:val="231F20"/>
        </w:rPr>
      </w:pPr>
      <w:r>
        <w:rPr>
          <w:rFonts w:hint="eastAsia"/>
          <w:color w:val="231F20"/>
        </w:rPr>
        <w:t>5.Salvation History: A Journey to the Kingdom</w:t>
      </w:r>
    </w:p>
    <w:p w14:paraId="346B7A02">
      <w:pPr>
        <w:pStyle w:val="9"/>
        <w:spacing w:before="14" w:line="249" w:lineRule="auto"/>
        <w:ind w:right="97" w:firstLine="450"/>
      </w:pPr>
      <w:r>
        <w:rPr>
          <w:rFonts w:hint="eastAsia"/>
          <w:color w:val="231F20"/>
        </w:rPr>
        <w:t>5.救赎历史：一趟通往国度的旅程</w:t>
      </w:r>
    </w:p>
    <w:p w14:paraId="7512E527">
      <w:pPr>
        <w:pStyle w:val="9"/>
        <w:spacing w:before="7"/>
        <w:ind w:left="0"/>
        <w:jc w:val="left"/>
        <w:rPr>
          <w:b/>
          <w:sz w:val="8"/>
        </w:rPr>
      </w:pPr>
      <w:bookmarkStart w:id="31" w:name="_bookmark44"/>
      <w:bookmarkEnd w:id="31"/>
      <w:r>
        <w:rPr>
          <w:b/>
          <w:sz w:val="8"/>
        </w:rPr>
        <w:drawing>
          <wp:anchor distT="0" distB="0" distL="0" distR="0" simplePos="0" relativeHeight="251665408" behindDoc="1" locked="0" layoutInCell="1" allowOverlap="1">
            <wp:simplePos x="0" y="0"/>
            <wp:positionH relativeFrom="page">
              <wp:posOffset>2437765</wp:posOffset>
            </wp:positionH>
            <wp:positionV relativeFrom="paragraph">
              <wp:posOffset>78105</wp:posOffset>
            </wp:positionV>
            <wp:extent cx="2912110" cy="1408430"/>
            <wp:effectExtent l="0" t="0" r="0" b="0"/>
            <wp:wrapTopAndBottom/>
            <wp:docPr id="74" name="Image 74"/>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29" cstate="print"/>
                    <a:stretch>
                      <a:fillRect/>
                    </a:stretch>
                  </pic:blipFill>
                  <pic:spPr>
                    <a:xfrm>
                      <a:off x="0" y="0"/>
                      <a:ext cx="2912146" cy="1408176"/>
                    </a:xfrm>
                    <a:prstGeom prst="rect">
                      <a:avLst/>
                    </a:prstGeom>
                  </pic:spPr>
                </pic:pic>
              </a:graphicData>
            </a:graphic>
          </wp:anchor>
        </w:drawing>
      </w:r>
    </w:p>
    <w:p w14:paraId="64CD2428">
      <w:pPr>
        <w:pStyle w:val="9"/>
        <w:spacing w:before="47"/>
        <w:ind w:left="0"/>
        <w:jc w:val="left"/>
        <w:rPr>
          <w:rFonts w:hint="eastAsia" w:eastAsia="宋体"/>
          <w:b/>
          <w:sz w:val="33"/>
          <w:lang w:eastAsia="zh-CN"/>
        </w:rPr>
      </w:pPr>
      <w:r>
        <w:rPr>
          <w:rFonts w:hint="eastAsia" w:eastAsia="宋体"/>
          <w:b/>
          <w:sz w:val="33"/>
          <w:lang w:eastAsia="zh-CN"/>
        </w:rPr>
        <w:drawing>
          <wp:inline distT="0" distB="0" distL="114300" distR="114300">
            <wp:extent cx="4838700" cy="2346960"/>
            <wp:effectExtent l="0" t="0" r="7620" b="0"/>
            <wp:docPr id="8" name="图片 8" descr="b8b34b4cc8b20cf4e857aa63d8ecb8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b8b34b4cc8b20cf4e857aa63d8ecb8ab"/>
                    <pic:cNvPicPr>
                      <a:picLocks noChangeAspect="1"/>
                    </pic:cNvPicPr>
                  </pic:nvPicPr>
                  <pic:blipFill>
                    <a:blip r:embed="rId30"/>
                    <a:stretch>
                      <a:fillRect/>
                    </a:stretch>
                  </pic:blipFill>
                  <pic:spPr>
                    <a:xfrm>
                      <a:off x="0" y="0"/>
                      <a:ext cx="4838700" cy="2346960"/>
                    </a:xfrm>
                    <a:prstGeom prst="rect">
                      <a:avLst/>
                    </a:prstGeom>
                  </pic:spPr>
                </pic:pic>
              </a:graphicData>
            </a:graphic>
          </wp:inline>
        </w:drawing>
      </w:r>
    </w:p>
    <w:p w14:paraId="61879281">
      <w:pPr>
        <w:pStyle w:val="9"/>
        <w:spacing w:after="0" w:line="249" w:lineRule="auto"/>
        <w:rPr>
          <w:rFonts w:hint="eastAsia"/>
          <w:color w:val="231F20"/>
        </w:rPr>
      </w:pPr>
      <w:r>
        <w:rPr>
          <w:rFonts w:hint="eastAsia"/>
          <w:color w:val="231F20"/>
        </w:rPr>
        <w:t>In this timeline , I have attempted to consolidate most of the material pictured in the preceding diagrams.</w:t>
      </w:r>
    </w:p>
    <w:p w14:paraId="64928FB6">
      <w:pPr>
        <w:pStyle w:val="9"/>
        <w:spacing w:after="0" w:line="249" w:lineRule="auto"/>
        <w:rPr>
          <w:rFonts w:hint="eastAsia"/>
          <w:color w:val="231F20"/>
        </w:rPr>
      </w:pPr>
      <w:r>
        <w:rPr>
          <w:rFonts w:hint="eastAsia"/>
          <w:color w:val="231F20"/>
        </w:rPr>
        <w:t>在这条时间线中，我试图将前面图示中所描绘的大部分材料整合起来。</w:t>
      </w:r>
    </w:p>
    <w:p w14:paraId="0B1F7FE7">
      <w:pPr>
        <w:pStyle w:val="9"/>
        <w:spacing w:after="0" w:line="249" w:lineRule="auto"/>
        <w:rPr>
          <w:rFonts w:hint="eastAsia"/>
          <w:color w:val="231F20"/>
        </w:rPr>
      </w:pPr>
    </w:p>
    <w:p w14:paraId="3BDAF880">
      <w:pPr>
        <w:pStyle w:val="9"/>
        <w:spacing w:after="0" w:line="249" w:lineRule="auto"/>
        <w:rPr>
          <w:rFonts w:hint="eastAsia"/>
          <w:color w:val="231F20"/>
        </w:rPr>
      </w:pPr>
      <w:r>
        <w:rPr>
          <w:rFonts w:hint="eastAsia"/>
          <w:color w:val="231F20"/>
        </w:rPr>
        <w:t>For this reason, it too is fairly self- explanatory.</w:t>
      </w:r>
    </w:p>
    <w:p w14:paraId="1CF77C3F">
      <w:pPr>
        <w:pStyle w:val="9"/>
        <w:spacing w:after="0" w:line="249" w:lineRule="auto"/>
        <w:rPr>
          <w:rFonts w:hint="eastAsia"/>
          <w:color w:val="231F20"/>
        </w:rPr>
      </w:pPr>
      <w:r>
        <w:rPr>
          <w:rFonts w:hint="eastAsia"/>
          <w:color w:val="231F20"/>
        </w:rPr>
        <w:t>因此，它也相当不言自明。</w:t>
      </w:r>
    </w:p>
    <w:p w14:paraId="22DB54BC">
      <w:pPr>
        <w:pStyle w:val="9"/>
        <w:spacing w:after="0" w:line="249" w:lineRule="auto"/>
        <w:rPr>
          <w:rFonts w:hint="eastAsia"/>
          <w:color w:val="231F20"/>
        </w:rPr>
      </w:pPr>
    </w:p>
    <w:p w14:paraId="5A14E1A0">
      <w:pPr>
        <w:pStyle w:val="9"/>
        <w:spacing w:after="0" w:line="249" w:lineRule="auto"/>
        <w:rPr>
          <w:rFonts w:hint="eastAsia"/>
          <w:color w:val="231F20"/>
        </w:rPr>
      </w:pPr>
      <w:r>
        <w:rPr>
          <w:rFonts w:hint="eastAsia"/>
          <w:color w:val="231F20"/>
        </w:rPr>
        <w:t>We do well, however, to note again from this Timeline the close correlation between the progressive revelation of the Eternal Covenant and the progressive revelation of the Kingdom.</w:t>
      </w:r>
    </w:p>
    <w:p w14:paraId="2D573AB6">
      <w:pPr>
        <w:pStyle w:val="9"/>
        <w:spacing w:after="0" w:line="249" w:lineRule="auto"/>
        <w:rPr>
          <w:rFonts w:hint="eastAsia"/>
          <w:color w:val="231F20"/>
        </w:rPr>
      </w:pPr>
      <w:r>
        <w:rPr>
          <w:rFonts w:hint="eastAsia"/>
          <w:color w:val="231F20"/>
        </w:rPr>
        <w:t>然而，我们最好再次从这条时间线中注意到永恒之约的渐进启示与国度的渐进启示之间的密切关联。</w:t>
      </w:r>
    </w:p>
    <w:p w14:paraId="3EFC418D">
      <w:pPr>
        <w:pStyle w:val="9"/>
        <w:spacing w:after="0" w:line="249" w:lineRule="auto"/>
        <w:rPr>
          <w:rFonts w:hint="eastAsia"/>
          <w:color w:val="231F20"/>
        </w:rPr>
      </w:pPr>
    </w:p>
    <w:p w14:paraId="08EF5C96">
      <w:pPr>
        <w:pStyle w:val="9"/>
        <w:spacing w:after="0" w:line="249" w:lineRule="auto"/>
        <w:rPr>
          <w:rFonts w:hint="eastAsia"/>
          <w:color w:val="231F20"/>
        </w:rPr>
      </w:pPr>
      <w:r>
        <w:rPr>
          <w:rFonts w:hint="eastAsia"/>
          <w:color w:val="231F20"/>
        </w:rPr>
        <w:t>We see, for example, that in the Era of Promise and Preparation there is a veiled revelation of the several elements of the Covenant.</w:t>
      </w:r>
    </w:p>
    <w:p w14:paraId="0DC2C9BE">
      <w:pPr>
        <w:pStyle w:val="9"/>
        <w:spacing w:after="0" w:line="249" w:lineRule="auto"/>
        <w:rPr>
          <w:rFonts w:hint="eastAsia"/>
          <w:color w:val="231F20"/>
        </w:rPr>
      </w:pPr>
      <w:r>
        <w:rPr>
          <w:rFonts w:hint="eastAsia"/>
          <w:color w:val="231F20"/>
        </w:rPr>
        <w:t>例如，我们看到，在应许与预备的时代，有对圣约几个要素的蒙着帕子的启示。</w:t>
      </w:r>
    </w:p>
    <w:p w14:paraId="76CC7CC0">
      <w:pPr>
        <w:pStyle w:val="9"/>
        <w:spacing w:after="0" w:line="249" w:lineRule="auto"/>
        <w:rPr>
          <w:rFonts w:hint="eastAsia"/>
          <w:color w:val="231F20"/>
        </w:rPr>
      </w:pPr>
    </w:p>
    <w:p w14:paraId="0B249360">
      <w:pPr>
        <w:pStyle w:val="9"/>
        <w:spacing w:after="0" w:line="249" w:lineRule="auto"/>
        <w:rPr>
          <w:rFonts w:hint="eastAsia"/>
          <w:color w:val="231F20"/>
        </w:rPr>
      </w:pPr>
      <w:r>
        <w:rPr>
          <w:rFonts w:hint="eastAsia"/>
          <w:color w:val="231F20"/>
        </w:rPr>
        <w:t>But for this very reason, there is also a veiled revelation of the coming Kingdom, since the Kingdom is, in essence, the Promise of the Covenant: eternal life beneath the direct reign of God, a reign introduced by the redemptive rescue and restoration of Christ, who is the Provision of the Covenant and the King of the Kingdom!</w:t>
      </w:r>
    </w:p>
    <w:p w14:paraId="60124A7E">
      <w:pPr>
        <w:pStyle w:val="9"/>
        <w:spacing w:after="0" w:line="249" w:lineRule="auto"/>
        <w:rPr>
          <w:rFonts w:hint="eastAsia"/>
          <w:color w:val="231F20"/>
        </w:rPr>
      </w:pPr>
      <w:r>
        <w:rPr>
          <w:rFonts w:hint="eastAsia"/>
          <w:color w:val="231F20"/>
        </w:rPr>
        <w:t>但正是因此，也有对将要来临的国度的蒙着帕子的启示，因为国度，在本质上，是圣约的应许：在上帝直接统治下的永生，一个由基督的救赎性拯救和恢复所引入的统治，祂是圣约的预备，也是国度的君王！</w:t>
      </w:r>
    </w:p>
    <w:p w14:paraId="7523634C">
      <w:pPr>
        <w:pStyle w:val="9"/>
        <w:spacing w:after="0" w:line="249" w:lineRule="auto"/>
        <w:rPr>
          <w:rFonts w:hint="eastAsia"/>
          <w:color w:val="231F20"/>
        </w:rPr>
      </w:pPr>
    </w:p>
    <w:p w14:paraId="159937D2">
      <w:pPr>
        <w:pStyle w:val="9"/>
        <w:spacing w:after="0" w:line="249" w:lineRule="auto"/>
        <w:rPr>
          <w:rFonts w:hint="eastAsia"/>
          <w:color w:val="231F20"/>
        </w:rPr>
      </w:pPr>
      <w:r>
        <w:rPr>
          <w:rFonts w:hint="eastAsia"/>
          <w:color w:val="231F20"/>
        </w:rPr>
        <w:t>Again, in the Era of Proclamation and Probation, the Covenant has been unveiled, but only to the eye of faith.</w:t>
      </w:r>
    </w:p>
    <w:p w14:paraId="5593773A">
      <w:pPr>
        <w:pStyle w:val="9"/>
        <w:spacing w:after="0" w:line="249" w:lineRule="auto"/>
        <w:rPr>
          <w:rFonts w:hint="eastAsia"/>
          <w:color w:val="231F20"/>
        </w:rPr>
      </w:pPr>
      <w:r>
        <w:rPr>
          <w:rFonts w:hint="eastAsia"/>
          <w:color w:val="231F20"/>
        </w:rPr>
        <w:t>再者，在宣讲与察验的时代，圣约已被揭示，但只向信心的眼睛揭示。</w:t>
      </w:r>
    </w:p>
    <w:p w14:paraId="312D0D83">
      <w:pPr>
        <w:pStyle w:val="9"/>
        <w:spacing w:after="0" w:line="249" w:lineRule="auto"/>
        <w:rPr>
          <w:rFonts w:hint="eastAsia"/>
          <w:color w:val="231F20"/>
        </w:rPr>
      </w:pPr>
    </w:p>
    <w:p w14:paraId="4CF20480">
      <w:pPr>
        <w:pStyle w:val="9"/>
        <w:spacing w:after="0" w:line="249" w:lineRule="auto"/>
        <w:rPr>
          <w:rFonts w:hint="eastAsia"/>
          <w:color w:val="231F20"/>
        </w:rPr>
      </w:pPr>
      <w:r>
        <w:rPr>
          <w:rFonts w:hint="eastAsia"/>
          <w:color w:val="231F20"/>
        </w:rPr>
        <w:t>Likewise, the Kingdom of the Son has been unveiled, but only to the eye of faith.</w:t>
      </w:r>
    </w:p>
    <w:p w14:paraId="01238341">
      <w:pPr>
        <w:pStyle w:val="9"/>
        <w:spacing w:after="0" w:line="249" w:lineRule="auto"/>
        <w:rPr>
          <w:rFonts w:hint="eastAsia"/>
          <w:color w:val="231F20"/>
        </w:rPr>
      </w:pPr>
      <w:r>
        <w:rPr>
          <w:rFonts w:hint="eastAsia"/>
          <w:color w:val="231F20"/>
        </w:rPr>
        <w:t>同样，圣子之国已被揭示，但只向信心的眼睛揭示。</w:t>
      </w:r>
    </w:p>
    <w:p w14:paraId="53831012">
      <w:pPr>
        <w:pStyle w:val="9"/>
        <w:spacing w:after="0" w:line="249" w:lineRule="auto"/>
        <w:rPr>
          <w:rFonts w:hint="eastAsia"/>
          <w:color w:val="231F20"/>
        </w:rPr>
      </w:pPr>
    </w:p>
    <w:p w14:paraId="1ED4B411">
      <w:pPr>
        <w:pStyle w:val="9"/>
        <w:spacing w:after="0" w:line="249" w:lineRule="auto"/>
        <w:rPr>
          <w:rFonts w:hint="eastAsia"/>
          <w:color w:val="231F20"/>
        </w:rPr>
      </w:pPr>
      <w:r>
        <w:rPr>
          <w:rFonts w:hint="eastAsia"/>
          <w:color w:val="231F20"/>
        </w:rPr>
        <w:t>The same parallelism holds true for the Era of Reward and Retribution.</w:t>
      </w:r>
    </w:p>
    <w:p w14:paraId="4A72867B">
      <w:pPr>
        <w:pStyle w:val="9"/>
        <w:spacing w:after="0" w:line="249" w:lineRule="auto"/>
        <w:rPr>
          <w:rFonts w:hint="eastAsia"/>
          <w:color w:val="231F20"/>
        </w:rPr>
      </w:pPr>
      <w:r>
        <w:rPr>
          <w:rFonts w:hint="eastAsia"/>
          <w:color w:val="231F20"/>
        </w:rPr>
        <w:t>同样的平行关系也适用于赏赐与报应的时代。</w:t>
      </w:r>
    </w:p>
    <w:p w14:paraId="0308E6A0">
      <w:pPr>
        <w:pStyle w:val="9"/>
        <w:spacing w:after="0" w:line="249" w:lineRule="auto"/>
        <w:rPr>
          <w:rFonts w:hint="eastAsia"/>
          <w:color w:val="231F20"/>
        </w:rPr>
      </w:pPr>
    </w:p>
    <w:p w14:paraId="02DBB12F">
      <w:pPr>
        <w:pStyle w:val="9"/>
        <w:spacing w:after="0" w:line="249" w:lineRule="auto"/>
        <w:rPr>
          <w:rFonts w:hint="eastAsia"/>
          <w:color w:val="231F20"/>
        </w:rPr>
      </w:pPr>
      <w:r>
        <w:rPr>
          <w:rFonts w:hint="eastAsia"/>
          <w:color w:val="231F20"/>
        </w:rPr>
        <w:t>Here, the elements of the Covenant are all unveiled, in glory, to human sight.</w:t>
      </w:r>
    </w:p>
    <w:p w14:paraId="1B46941D">
      <w:pPr>
        <w:pStyle w:val="9"/>
        <w:spacing w:after="0" w:line="249" w:lineRule="auto"/>
        <w:rPr>
          <w:rFonts w:hint="eastAsia"/>
          <w:color w:val="231F20"/>
        </w:rPr>
      </w:pPr>
      <w:r>
        <w:rPr>
          <w:rFonts w:hint="eastAsia"/>
          <w:color w:val="231F20"/>
        </w:rPr>
        <w:t>在此，圣约的要素都在荣耀中，向人的眼目完全揭示。</w:t>
      </w:r>
    </w:p>
    <w:p w14:paraId="7A24EC97">
      <w:pPr>
        <w:pStyle w:val="9"/>
        <w:spacing w:after="0" w:line="249" w:lineRule="auto"/>
        <w:rPr>
          <w:rFonts w:hint="eastAsia"/>
          <w:color w:val="231F20"/>
        </w:rPr>
      </w:pPr>
    </w:p>
    <w:p w14:paraId="693FE1E8">
      <w:pPr>
        <w:pStyle w:val="9"/>
        <w:spacing w:after="0" w:line="249" w:lineRule="auto"/>
        <w:rPr>
          <w:rFonts w:hint="eastAsia"/>
          <w:color w:val="231F20"/>
        </w:rPr>
      </w:pPr>
      <w:r>
        <w:rPr>
          <w:rFonts w:hint="eastAsia"/>
          <w:color w:val="231F20"/>
        </w:rPr>
        <w:t>Likewise, in the Kingdom of the Father, all things—including God and Christ themselves—will be unveiled, in glory, to the wondering eyes of the glorified saints.</w:t>
      </w:r>
    </w:p>
    <w:p w14:paraId="1A52B438">
      <w:pPr>
        <w:pStyle w:val="9"/>
        <w:spacing w:after="0" w:line="249" w:lineRule="auto"/>
        <w:rPr>
          <w:rFonts w:hint="eastAsia"/>
          <w:color w:val="231F20"/>
        </w:rPr>
      </w:pPr>
      <w:r>
        <w:rPr>
          <w:rFonts w:hint="eastAsia"/>
          <w:color w:val="231F20"/>
        </w:rPr>
        <w:t>同样，在父的国度里，万物——包括上帝和基督自己——都将在荣耀中，向得荣耀圣徒们惊奇的眼目揭示出来。</w:t>
      </w:r>
    </w:p>
    <w:p w14:paraId="30BC65A2">
      <w:pPr>
        <w:pStyle w:val="9"/>
        <w:spacing w:after="0" w:line="249" w:lineRule="auto"/>
        <w:rPr>
          <w:rFonts w:hint="eastAsia"/>
          <w:color w:val="231F20"/>
        </w:rPr>
      </w:pPr>
    </w:p>
    <w:p w14:paraId="1E04AD0E">
      <w:pPr>
        <w:pStyle w:val="9"/>
        <w:spacing w:after="0" w:line="249" w:lineRule="auto"/>
        <w:rPr>
          <w:rFonts w:hint="eastAsia"/>
          <w:color w:val="231F20"/>
        </w:rPr>
      </w:pPr>
      <w:r>
        <w:rPr>
          <w:rFonts w:hint="eastAsia"/>
          <w:color w:val="231F20"/>
        </w:rPr>
        <w:t>We see, then, that Salvation History is indeed a great journey, a journey to the Kingdom of God, wherein there is a full unveiling of the Eternal Covenant of God, wherein there is a full unveiling of the glory of God, wherein we find the theme of the eternal worship of the saints.</w:t>
      </w:r>
    </w:p>
    <w:p w14:paraId="513B4735">
      <w:pPr>
        <w:pStyle w:val="9"/>
        <w:spacing w:after="0" w:line="249" w:lineRule="auto"/>
        <w:sectPr>
          <w:pgSz w:w="12240" w:h="15840"/>
          <w:pgMar w:top="1380" w:right="1440" w:bottom="280" w:left="1440" w:header="720" w:footer="720" w:gutter="0"/>
          <w:cols w:space="720" w:num="1"/>
        </w:sectPr>
      </w:pPr>
      <w:r>
        <w:rPr>
          <w:rFonts w:hint="eastAsia"/>
          <w:color w:val="231F20"/>
        </w:rPr>
        <w:t>因此，我们看到，救赎历史确实是一趟伟大的旅程，一趟通往上帝之国的旅程，在其中，有对上帝永恒之约的完全揭示，在其中，有对上帝荣耀的完全揭示，在其中，我们找到了圣徒永恒敬拜的主题。</w:t>
      </w:r>
    </w:p>
    <w:p w14:paraId="305934B9">
      <w:pPr>
        <w:bidi w:val="0"/>
      </w:pPr>
      <w:bookmarkStart w:id="32" w:name="_bookmark45"/>
      <w:bookmarkEnd w:id="32"/>
      <w:bookmarkStart w:id="33" w:name="Chapter 11: These are the Keys!"/>
      <w:bookmarkEnd w:id="33"/>
    </w:p>
    <w:p w14:paraId="1A8D140B">
      <w:pPr>
        <w:pStyle w:val="2"/>
        <w:bidi w:val="0"/>
        <w:rPr>
          <w:rFonts w:hint="eastAsia"/>
        </w:rPr>
      </w:pPr>
      <w:r>
        <w:rPr>
          <w:rFonts w:hint="eastAsia"/>
        </w:rPr>
        <w:t>Chapter 11</w:t>
      </w:r>
    </w:p>
    <w:p w14:paraId="2AAB40D6">
      <w:pPr>
        <w:pStyle w:val="2"/>
        <w:bidi w:val="0"/>
        <w:rPr>
          <w:rFonts w:hint="eastAsia"/>
        </w:rPr>
      </w:pPr>
      <w:r>
        <w:rPr>
          <w:rFonts w:hint="eastAsia"/>
        </w:rPr>
        <w:t>第十一章</w:t>
      </w:r>
    </w:p>
    <w:p w14:paraId="197C5E94">
      <w:pPr>
        <w:pStyle w:val="9"/>
        <w:spacing w:after="0" w:line="249" w:lineRule="auto"/>
        <w:rPr>
          <w:rFonts w:hint="eastAsia"/>
        </w:rPr>
      </w:pPr>
    </w:p>
    <w:p w14:paraId="0CC29323">
      <w:pPr>
        <w:pStyle w:val="3"/>
        <w:bidi w:val="0"/>
        <w:rPr>
          <w:rFonts w:hint="eastAsia"/>
        </w:rPr>
      </w:pPr>
      <w:r>
        <w:rPr>
          <w:rFonts w:hint="eastAsia"/>
        </w:rPr>
        <w:t>These are the Keys!</w:t>
      </w:r>
    </w:p>
    <w:p w14:paraId="5CE035D1">
      <w:pPr>
        <w:pStyle w:val="3"/>
        <w:bidi w:val="0"/>
        <w:rPr>
          <w:rFonts w:hint="eastAsia"/>
        </w:rPr>
      </w:pPr>
      <w:r>
        <w:rPr>
          <w:rFonts w:hint="eastAsia"/>
        </w:rPr>
        <w:t>这就是钥匙！</w:t>
      </w:r>
    </w:p>
    <w:p w14:paraId="0E1D76C1">
      <w:pPr>
        <w:pStyle w:val="9"/>
        <w:spacing w:after="0" w:line="249" w:lineRule="auto"/>
        <w:rPr>
          <w:rFonts w:hint="eastAsia"/>
        </w:rPr>
      </w:pPr>
    </w:p>
    <w:p w14:paraId="4DABDB5B">
      <w:pPr>
        <w:pStyle w:val="9"/>
        <w:spacing w:after="0" w:line="249" w:lineRule="auto"/>
        <w:rPr>
          <w:rFonts w:hint="eastAsia"/>
        </w:rPr>
      </w:pPr>
      <w:r>
        <w:rPr>
          <w:rFonts w:hint="eastAsia"/>
        </w:rPr>
        <w:t>WE HAVE COMPLETED Part 2 of our journey to a sound biblical eschatology.</w:t>
      </w:r>
    </w:p>
    <w:p w14:paraId="0AE26978">
      <w:pPr>
        <w:pStyle w:val="9"/>
        <w:spacing w:after="0" w:line="249" w:lineRule="auto"/>
        <w:rPr>
          <w:rFonts w:hint="eastAsia"/>
        </w:rPr>
      </w:pPr>
      <w:r>
        <w:rPr>
          <w:rFonts w:hint="eastAsia"/>
        </w:rPr>
        <w:t>我们已经完成了通往健全圣经末世论之旅的第二部分。</w:t>
      </w:r>
    </w:p>
    <w:p w14:paraId="244CB09B">
      <w:pPr>
        <w:pStyle w:val="9"/>
        <w:spacing w:after="0" w:line="249" w:lineRule="auto"/>
        <w:rPr>
          <w:rFonts w:hint="eastAsia"/>
        </w:rPr>
      </w:pPr>
    </w:p>
    <w:p w14:paraId="55A4C3F6">
      <w:pPr>
        <w:pStyle w:val="9"/>
        <w:spacing w:after="0" w:line="249" w:lineRule="auto"/>
        <w:rPr>
          <w:rFonts w:hint="eastAsia"/>
        </w:rPr>
      </w:pPr>
      <w:r>
        <w:rPr>
          <w:rFonts w:hint="eastAsia"/>
        </w:rPr>
        <w:t>With Christ and the apostles at our side, we approached the first and most intractable issue of the Great End Time Debate; the tallest, thickest, and most forbidding door blocking our entry to full assurance about the true shape of Salvation History: the biblical doctrine of the Kingdom of God.</w:t>
      </w:r>
    </w:p>
    <w:p w14:paraId="7710BE42">
      <w:pPr>
        <w:pStyle w:val="9"/>
        <w:spacing w:after="0" w:line="249" w:lineRule="auto"/>
        <w:rPr>
          <w:rFonts w:hint="eastAsia"/>
        </w:rPr>
      </w:pPr>
      <w:r>
        <w:rPr>
          <w:rFonts w:hint="eastAsia"/>
        </w:rPr>
        <w:t>在基督和使徒们的陪伴下，我们处理了伟大末世辩论中第一个也是最棘手的问题；那最高、最厚、最令人望而生畏的门，阻碍我们进入对救赎历史真实形态的完全确信：即圣经中关于上帝之国的教义。</w:t>
      </w:r>
    </w:p>
    <w:p w14:paraId="0FF401C3">
      <w:pPr>
        <w:pStyle w:val="9"/>
        <w:spacing w:after="0" w:line="249" w:lineRule="auto"/>
        <w:rPr>
          <w:rFonts w:hint="eastAsia"/>
        </w:rPr>
      </w:pPr>
    </w:p>
    <w:p w14:paraId="2F841910">
      <w:pPr>
        <w:pStyle w:val="9"/>
        <w:spacing w:after="0" w:line="249" w:lineRule="auto"/>
        <w:rPr>
          <w:rFonts w:hint="eastAsia"/>
        </w:rPr>
      </w:pPr>
      <w:r>
        <w:rPr>
          <w:rFonts w:hint="eastAsia"/>
        </w:rPr>
        <w:t>Knowing, however, that our Lord had the keys, and knowing that a diligent application of NT truth to this or any other problem of eschatology would secure for us the admission we desired, we were not intimidated.</w:t>
      </w:r>
    </w:p>
    <w:p w14:paraId="1B4CE7F2">
      <w:pPr>
        <w:pStyle w:val="9"/>
        <w:spacing w:after="0" w:line="249" w:lineRule="auto"/>
        <w:rPr>
          <w:rFonts w:hint="eastAsia"/>
        </w:rPr>
      </w:pPr>
      <w:r>
        <w:rPr>
          <w:rFonts w:hint="eastAsia"/>
        </w:rPr>
        <w:t>然而，知道我们的主拥有钥匙，并且知道将新约真理勤奋地应用于这个或任何其他末世论问题，将为我们确保我们所渴望的进入，我们并未被吓倒。</w:t>
      </w:r>
    </w:p>
    <w:p w14:paraId="5267E4DB">
      <w:pPr>
        <w:pStyle w:val="9"/>
        <w:spacing w:after="0" w:line="249" w:lineRule="auto"/>
        <w:rPr>
          <w:rFonts w:hint="eastAsia"/>
        </w:rPr>
      </w:pPr>
    </w:p>
    <w:p w14:paraId="6765204A">
      <w:pPr>
        <w:pStyle w:val="9"/>
        <w:spacing w:after="0" w:line="249" w:lineRule="auto"/>
        <w:rPr>
          <w:rFonts w:hint="eastAsia"/>
        </w:rPr>
      </w:pPr>
      <w:r>
        <w:rPr>
          <w:rFonts w:hint="eastAsia"/>
        </w:rPr>
        <w:t>Nor have we been disappointed.</w:t>
      </w:r>
    </w:p>
    <w:p w14:paraId="23CF0A3C">
      <w:pPr>
        <w:pStyle w:val="9"/>
        <w:spacing w:after="0" w:line="249" w:lineRule="auto"/>
        <w:rPr>
          <w:rFonts w:hint="eastAsia"/>
        </w:rPr>
      </w:pPr>
      <w:r>
        <w:rPr>
          <w:rFonts w:hint="eastAsia"/>
        </w:rPr>
        <w:t>我们也没有失望。</w:t>
      </w:r>
    </w:p>
    <w:p w14:paraId="2BA2197A">
      <w:pPr>
        <w:pStyle w:val="9"/>
        <w:spacing w:after="0" w:line="249" w:lineRule="auto"/>
        <w:rPr>
          <w:rFonts w:hint="eastAsia"/>
        </w:rPr>
      </w:pPr>
    </w:p>
    <w:p w14:paraId="2EA65534">
      <w:pPr>
        <w:pStyle w:val="9"/>
        <w:spacing w:after="0" w:line="249" w:lineRule="auto"/>
        <w:rPr>
          <w:rFonts w:hint="eastAsia"/>
        </w:rPr>
      </w:pPr>
      <w:r>
        <w:rPr>
          <w:rFonts w:hint="eastAsia"/>
        </w:rPr>
        <w:t>Anchoring to the NT, we knocked, and having thus anchored we watched the door fling open wide, casting a flood of precious light upon true truth about the Kingdom of God.</w:t>
      </w:r>
    </w:p>
    <w:p w14:paraId="04750680">
      <w:pPr>
        <w:pStyle w:val="9"/>
        <w:spacing w:after="0" w:line="249" w:lineRule="auto"/>
        <w:rPr>
          <w:rFonts w:hint="eastAsia"/>
        </w:rPr>
      </w:pPr>
      <w:r>
        <w:rPr>
          <w:rFonts w:hint="eastAsia"/>
        </w:rPr>
        <w:t>我们立足于新约，叩门，并且在这样立足之后，我们看着那门大开，将宝贵的光芒倾泻在关于上帝之国的真实真理之上。</w:t>
      </w:r>
    </w:p>
    <w:p w14:paraId="082C0662">
      <w:pPr>
        <w:pStyle w:val="9"/>
        <w:spacing w:after="0" w:line="249" w:lineRule="auto"/>
        <w:rPr>
          <w:rFonts w:hint="eastAsia"/>
        </w:rPr>
      </w:pPr>
    </w:p>
    <w:p w14:paraId="2B33EF0D">
      <w:pPr>
        <w:pStyle w:val="9"/>
        <w:spacing w:after="0" w:line="249" w:lineRule="auto"/>
        <w:rPr>
          <w:rFonts w:hint="eastAsia"/>
        </w:rPr>
      </w:pPr>
      <w:r>
        <w:rPr>
          <w:rFonts w:hint="eastAsia"/>
        </w:rPr>
        <w:t>Now that we have completed this leg of the journey, I would invite you to look in your hand.</w:t>
      </w:r>
    </w:p>
    <w:p w14:paraId="03D7AF75">
      <w:pPr>
        <w:pStyle w:val="9"/>
        <w:spacing w:after="0" w:line="249" w:lineRule="auto"/>
        <w:rPr>
          <w:rFonts w:hint="eastAsia"/>
        </w:rPr>
      </w:pPr>
      <w:r>
        <w:rPr>
          <w:rFonts w:hint="eastAsia"/>
        </w:rPr>
        <w:t>现在我们已经完成了这趟旅程的这一段，我邀请你看看你的手。</w:t>
      </w:r>
    </w:p>
    <w:p w14:paraId="68A74D75">
      <w:pPr>
        <w:pStyle w:val="9"/>
        <w:spacing w:after="0" w:line="249" w:lineRule="auto"/>
        <w:rPr>
          <w:rFonts w:hint="eastAsia"/>
        </w:rPr>
      </w:pPr>
    </w:p>
    <w:p w14:paraId="2AE1C1C4">
      <w:pPr>
        <w:pStyle w:val="9"/>
        <w:spacing w:after="0" w:line="249" w:lineRule="auto"/>
        <w:rPr>
          <w:rFonts w:hint="eastAsia"/>
        </w:rPr>
      </w:pPr>
      <w:r>
        <w:rPr>
          <w:rFonts w:hint="eastAsia"/>
        </w:rPr>
        <w:t>Do you see them there?</w:t>
      </w:r>
    </w:p>
    <w:p w14:paraId="44A61904">
      <w:pPr>
        <w:pStyle w:val="9"/>
        <w:spacing w:after="0" w:line="249" w:lineRule="auto"/>
        <w:rPr>
          <w:rFonts w:hint="eastAsia"/>
        </w:rPr>
      </w:pPr>
      <w:r>
        <w:rPr>
          <w:rFonts w:hint="eastAsia"/>
        </w:rPr>
        <w:t>你看到它们在那里吗？</w:t>
      </w:r>
    </w:p>
    <w:p w14:paraId="5D28DEEB">
      <w:pPr>
        <w:pStyle w:val="9"/>
        <w:spacing w:after="0" w:line="249" w:lineRule="auto"/>
        <w:rPr>
          <w:rFonts w:hint="eastAsia"/>
        </w:rPr>
      </w:pPr>
    </w:p>
    <w:p w14:paraId="14476E40">
      <w:pPr>
        <w:pStyle w:val="9"/>
        <w:spacing w:after="0" w:line="249" w:lineRule="auto"/>
        <w:rPr>
          <w:rFonts w:hint="eastAsia"/>
        </w:rPr>
      </w:pPr>
      <w:r>
        <w:rPr>
          <w:rFonts w:hint="eastAsia"/>
        </w:rPr>
        <w:t>Do you see how valuable they are?</w:t>
      </w:r>
    </w:p>
    <w:p w14:paraId="5F335482">
      <w:pPr>
        <w:pStyle w:val="9"/>
        <w:spacing w:after="0" w:line="249" w:lineRule="auto"/>
        <w:rPr>
          <w:rFonts w:hint="eastAsia"/>
        </w:rPr>
      </w:pPr>
      <w:r>
        <w:rPr>
          <w:rFonts w:hint="eastAsia"/>
        </w:rPr>
        <w:t>你看到它们有多宝贵吗？</w:t>
      </w:r>
    </w:p>
    <w:p w14:paraId="23919F89">
      <w:pPr>
        <w:pStyle w:val="9"/>
        <w:spacing w:after="0" w:line="249" w:lineRule="auto"/>
        <w:rPr>
          <w:rFonts w:hint="eastAsia"/>
        </w:rPr>
      </w:pPr>
    </w:p>
    <w:p w14:paraId="446BEC08">
      <w:pPr>
        <w:pStyle w:val="9"/>
        <w:spacing w:after="0" w:line="249" w:lineRule="auto"/>
        <w:rPr>
          <w:rFonts w:hint="eastAsia"/>
        </w:rPr>
      </w:pPr>
      <w:r>
        <w:rPr>
          <w:rFonts w:hint="eastAsia"/>
        </w:rPr>
        <w:t>Do you feel their weight and power—these four golden keys that Christ has so graciously given us?</w:t>
      </w:r>
    </w:p>
    <w:p w14:paraId="3D88315B">
      <w:pPr>
        <w:pStyle w:val="9"/>
        <w:spacing w:after="0" w:line="249" w:lineRule="auto"/>
        <w:rPr>
          <w:rFonts w:hint="eastAsia"/>
        </w:rPr>
      </w:pPr>
      <w:r>
        <w:rPr>
          <w:rFonts w:hint="eastAsia"/>
        </w:rPr>
        <w:t>你感受到它们的重量和力量吗——这四把基督如此恩慈地赐给我们的金钥匙？</w:t>
      </w:r>
    </w:p>
    <w:p w14:paraId="2EC203E2">
      <w:pPr>
        <w:pStyle w:val="9"/>
        <w:spacing w:after="0" w:line="249" w:lineRule="auto"/>
        <w:rPr>
          <w:rFonts w:hint="eastAsia"/>
        </w:rPr>
      </w:pPr>
    </w:p>
    <w:p w14:paraId="01E70116">
      <w:pPr>
        <w:pStyle w:val="9"/>
        <w:spacing w:after="0" w:line="249" w:lineRule="auto"/>
        <w:rPr>
          <w:rFonts w:hint="eastAsia"/>
        </w:rPr>
      </w:pPr>
      <w:r>
        <w:rPr>
          <w:rFonts w:hint="eastAsia"/>
        </w:rPr>
        <w:t>He had them all along.</w:t>
      </w:r>
    </w:p>
    <w:p w14:paraId="4375642F">
      <w:pPr>
        <w:pStyle w:val="9"/>
        <w:spacing w:after="0" w:line="249" w:lineRule="auto"/>
        <w:rPr>
          <w:rFonts w:hint="eastAsia"/>
        </w:rPr>
      </w:pPr>
      <w:r>
        <w:rPr>
          <w:rFonts w:hint="eastAsia"/>
        </w:rPr>
        <w:t>祂一直都拥有它们。</w:t>
      </w:r>
    </w:p>
    <w:p w14:paraId="6F955C14">
      <w:pPr>
        <w:pStyle w:val="9"/>
        <w:spacing w:after="0" w:line="249" w:lineRule="auto"/>
        <w:rPr>
          <w:rFonts w:hint="eastAsia"/>
        </w:rPr>
      </w:pPr>
    </w:p>
    <w:p w14:paraId="12FD5368">
      <w:pPr>
        <w:pStyle w:val="9"/>
        <w:spacing w:after="0" w:line="249" w:lineRule="auto"/>
        <w:rPr>
          <w:rFonts w:hint="eastAsia"/>
        </w:rPr>
      </w:pPr>
      <w:r>
        <w:rPr>
          <w:rFonts w:hint="eastAsia"/>
        </w:rPr>
        <w:t>And because, in our search for truth about the Kingdom, we turned first to him—to the One Teacher come from God—we now find them in our custody.</w:t>
      </w:r>
    </w:p>
    <w:p w14:paraId="0E6958A5">
      <w:pPr>
        <w:pStyle w:val="9"/>
        <w:spacing w:after="0" w:line="249" w:lineRule="auto"/>
        <w:rPr>
          <w:rFonts w:hint="eastAsia"/>
        </w:rPr>
      </w:pPr>
      <w:r>
        <w:rPr>
          <w:rFonts w:hint="eastAsia"/>
        </w:rPr>
        <w:t>并且因为，在我们寻求关于国度的真理时，我们首先转向了祂——那位从上帝来的独一教师——我们现在发现它们在我们的保管之中。</w:t>
      </w:r>
    </w:p>
    <w:p w14:paraId="7F986B04">
      <w:pPr>
        <w:pStyle w:val="9"/>
        <w:spacing w:after="0" w:line="249" w:lineRule="auto"/>
        <w:rPr>
          <w:rFonts w:hint="eastAsia"/>
        </w:rPr>
      </w:pPr>
    </w:p>
    <w:p w14:paraId="365C015D">
      <w:pPr>
        <w:pStyle w:val="9"/>
        <w:spacing w:after="0" w:line="249" w:lineRule="auto"/>
        <w:rPr>
          <w:rFonts w:hint="eastAsia"/>
        </w:rPr>
      </w:pPr>
      <w:r>
        <w:rPr>
          <w:rFonts w:hint="eastAsia"/>
        </w:rPr>
        <w:t>These are the keys!</w:t>
      </w:r>
    </w:p>
    <w:p w14:paraId="51780F80">
      <w:pPr>
        <w:pStyle w:val="9"/>
        <w:spacing w:after="0" w:line="249" w:lineRule="auto"/>
        <w:rPr>
          <w:rFonts w:hint="eastAsia"/>
        </w:rPr>
      </w:pPr>
      <w:r>
        <w:rPr>
          <w:rFonts w:hint="eastAsia"/>
        </w:rPr>
        <w:t>这就是钥匙！</w:t>
      </w:r>
    </w:p>
    <w:p w14:paraId="2F73592A">
      <w:pPr>
        <w:pStyle w:val="9"/>
        <w:spacing w:after="0" w:line="249" w:lineRule="auto"/>
        <w:rPr>
          <w:rFonts w:hint="eastAsia"/>
        </w:rPr>
      </w:pPr>
    </w:p>
    <w:p w14:paraId="7FB94E69">
      <w:pPr>
        <w:pStyle w:val="9"/>
        <w:spacing w:after="0" w:line="249" w:lineRule="auto"/>
        <w:rPr>
          <w:rFonts w:hint="eastAsia"/>
        </w:rPr>
      </w:pPr>
      <w:r>
        <w:rPr>
          <w:rFonts w:hint="eastAsia"/>
        </w:rPr>
        <w:t>These are the four great truths that open all doors and solve all problems; that enable us to grasp both the nature and structure of Salvation History, and so to resolve each and every issue of the Great End Time Debate.</w:t>
      </w:r>
    </w:p>
    <w:p w14:paraId="0877B8E0">
      <w:pPr>
        <w:pStyle w:val="9"/>
        <w:spacing w:after="0" w:line="249" w:lineRule="auto"/>
        <w:rPr>
          <w:rFonts w:hint="eastAsia"/>
        </w:rPr>
      </w:pPr>
      <w:r>
        <w:rPr>
          <w:rFonts w:hint="eastAsia"/>
        </w:rPr>
        <w:t>这就是那四条伟大的真理，它们打开所有的门，解决所有的问题；使我们能够掌握救赎历史的性质和结构，从而解决伟大末世辩论的每一个问题。</w:t>
      </w:r>
    </w:p>
    <w:p w14:paraId="551B5182">
      <w:pPr>
        <w:pStyle w:val="9"/>
        <w:spacing w:after="0" w:line="249" w:lineRule="auto"/>
        <w:rPr>
          <w:rFonts w:hint="eastAsia"/>
        </w:rPr>
      </w:pPr>
    </w:p>
    <w:p w14:paraId="5A329756">
      <w:pPr>
        <w:pStyle w:val="9"/>
        <w:spacing w:after="0" w:line="249" w:lineRule="auto"/>
        <w:rPr>
          <w:rFonts w:hint="eastAsia"/>
        </w:rPr>
      </w:pPr>
      <w:r>
        <w:rPr>
          <w:rFonts w:hint="eastAsia"/>
        </w:rPr>
        <w:t>But what exactly are these keys?</w:t>
      </w:r>
    </w:p>
    <w:p w14:paraId="5AB1C71B">
      <w:pPr>
        <w:pStyle w:val="9"/>
        <w:spacing w:after="0" w:line="249" w:lineRule="auto"/>
        <w:rPr>
          <w:rFonts w:hint="eastAsia"/>
        </w:rPr>
      </w:pPr>
      <w:r>
        <w:rPr>
          <w:rFonts w:hint="eastAsia"/>
        </w:rPr>
        <w:t>但这些钥匙究竟是什么呢？</w:t>
      </w:r>
    </w:p>
    <w:p w14:paraId="40907EA9">
      <w:pPr>
        <w:pStyle w:val="9"/>
        <w:spacing w:after="0" w:line="249" w:lineRule="auto"/>
        <w:rPr>
          <w:rFonts w:hint="eastAsia"/>
        </w:rPr>
      </w:pPr>
    </w:p>
    <w:p w14:paraId="4590FDA4">
      <w:pPr>
        <w:pStyle w:val="9"/>
        <w:spacing w:after="0" w:line="249" w:lineRule="auto"/>
        <w:rPr>
          <w:rFonts w:hint="eastAsia"/>
        </w:rPr>
      </w:pPr>
      <w:r>
        <w:rPr>
          <w:rFonts w:hint="eastAsia"/>
        </w:rPr>
        <w:t>Before embarking on the next leg of our journey, it will serve us well to review them one final time.</w:t>
      </w:r>
    </w:p>
    <w:p w14:paraId="0373D26C">
      <w:pPr>
        <w:pStyle w:val="9"/>
        <w:spacing w:after="0" w:line="249" w:lineRule="auto"/>
        <w:rPr>
          <w:rFonts w:hint="eastAsia"/>
        </w:rPr>
      </w:pPr>
      <w:r>
        <w:rPr>
          <w:rFonts w:hint="eastAsia"/>
        </w:rPr>
        <w:t>在开始我们旅程的下一段之前，最后一次回顾它们将对我们大有裨益。</w:t>
      </w:r>
    </w:p>
    <w:p w14:paraId="2ECD168A">
      <w:pPr>
        <w:pStyle w:val="9"/>
        <w:spacing w:after="0" w:line="249" w:lineRule="auto"/>
        <w:rPr>
          <w:rFonts w:hint="eastAsia"/>
        </w:rPr>
      </w:pPr>
    </w:p>
    <w:p w14:paraId="64E70E56">
      <w:pPr>
        <w:pStyle w:val="9"/>
        <w:spacing w:after="0" w:line="249" w:lineRule="auto"/>
        <w:rPr>
          <w:rFonts w:hint="eastAsia"/>
        </w:rPr>
      </w:pPr>
      <w:r>
        <w:rPr>
          <w:rFonts w:hint="eastAsia"/>
        </w:rPr>
        <w:t>Key # 1: NT Teaching About the Nature of the Kingdom</w:t>
      </w:r>
    </w:p>
    <w:p w14:paraId="75F80D28">
      <w:pPr>
        <w:pStyle w:val="9"/>
        <w:spacing w:after="0" w:line="249" w:lineRule="auto"/>
        <w:rPr>
          <w:rFonts w:hint="eastAsia"/>
        </w:rPr>
      </w:pPr>
      <w:r>
        <w:rPr>
          <w:rFonts w:hint="eastAsia"/>
        </w:rPr>
        <w:t>钥匙 # 1：新约关于国度性质的教导</w:t>
      </w:r>
    </w:p>
    <w:p w14:paraId="49464F21">
      <w:pPr>
        <w:pStyle w:val="9"/>
        <w:spacing w:after="0" w:line="249" w:lineRule="auto"/>
        <w:rPr>
          <w:rFonts w:hint="eastAsia"/>
        </w:rPr>
      </w:pPr>
    </w:p>
    <w:p w14:paraId="4457AFEE">
      <w:pPr>
        <w:pStyle w:val="9"/>
        <w:spacing w:after="0" w:line="249" w:lineRule="auto"/>
        <w:rPr>
          <w:rFonts w:hint="eastAsia"/>
        </w:rPr>
      </w:pPr>
      <w:r>
        <w:rPr>
          <w:rFonts w:hint="eastAsia"/>
        </w:rPr>
        <w:t>This was our focus in chapters 5 and 6. There we learned that, contrary to Jewish expectation, our Lord did not view the Kingdom of God as an eternal Mosaic theocracy.</w:t>
      </w:r>
    </w:p>
    <w:p w14:paraId="5762712E">
      <w:pPr>
        <w:pStyle w:val="9"/>
        <w:spacing w:after="0" w:line="249" w:lineRule="auto"/>
        <w:rPr>
          <w:rFonts w:hint="eastAsia"/>
        </w:rPr>
      </w:pPr>
      <w:r>
        <w:rPr>
          <w:rFonts w:hint="eastAsia"/>
        </w:rPr>
        <w:t>这是我们在第五章和第六章的重点。在那里我们了解到，与犹太人的期望相反，我们的主并未将上帝的国视为一个永恒的摩西式神权政体。</w:t>
      </w:r>
    </w:p>
    <w:p w14:paraId="3CE0DCA6">
      <w:pPr>
        <w:pStyle w:val="9"/>
        <w:spacing w:after="0" w:line="249" w:lineRule="auto"/>
        <w:rPr>
          <w:rFonts w:hint="eastAsia"/>
        </w:rPr>
      </w:pPr>
    </w:p>
    <w:p w14:paraId="1D4D4F6D">
      <w:pPr>
        <w:pStyle w:val="9"/>
        <w:spacing w:after="0" w:line="249" w:lineRule="auto"/>
        <w:rPr>
          <w:rFonts w:hint="eastAsia"/>
        </w:rPr>
      </w:pPr>
      <w:r>
        <w:rPr>
          <w:rFonts w:hint="eastAsia"/>
        </w:rPr>
        <w:t>Rather, he viewed it as something quite unexpected, something “mysterious.”</w:t>
      </w:r>
    </w:p>
    <w:p w14:paraId="06F6040D">
      <w:pPr>
        <w:pStyle w:val="9"/>
        <w:spacing w:after="0" w:line="249" w:lineRule="auto"/>
        <w:rPr>
          <w:rFonts w:hint="eastAsia"/>
        </w:rPr>
      </w:pPr>
      <w:r>
        <w:rPr>
          <w:rFonts w:hint="eastAsia"/>
        </w:rPr>
        <w:t>相反，祂视之为某种相当出人意料的东西，某种“奥秘的”东西。</w:t>
      </w:r>
    </w:p>
    <w:p w14:paraId="42974D3E">
      <w:pPr>
        <w:pStyle w:val="9"/>
        <w:spacing w:after="0" w:line="249" w:lineRule="auto"/>
        <w:rPr>
          <w:rFonts w:hint="eastAsia"/>
        </w:rPr>
      </w:pPr>
    </w:p>
    <w:p w14:paraId="50535EA9">
      <w:pPr>
        <w:pStyle w:val="9"/>
        <w:spacing w:after="0" w:line="249" w:lineRule="auto"/>
        <w:rPr>
          <w:rFonts w:hint="eastAsia"/>
        </w:rPr>
      </w:pPr>
      <w:r>
        <w:rPr>
          <w:rFonts w:hint="eastAsia"/>
        </w:rPr>
        <w:t>He viewed it as a direct spiritual reign of God the Father, through the Son, by the Holy Spirit, with all the spiritual and physical blessedness that such a reign necessarily implies.</w:t>
      </w:r>
    </w:p>
    <w:p w14:paraId="0D36BF93">
      <w:pPr>
        <w:pStyle w:val="9"/>
        <w:spacing w:after="0" w:line="249" w:lineRule="auto"/>
        <w:rPr>
          <w:rFonts w:hint="eastAsia"/>
        </w:rPr>
      </w:pPr>
      <w:r>
        <w:rPr>
          <w:rFonts w:hint="eastAsia"/>
        </w:rPr>
        <w:t>祂视之为父上帝通过圣子、藉着圣灵的直接属灵统治，以及这种统治必然蕴含的所有属灵和属物质的福分。</w:t>
      </w:r>
    </w:p>
    <w:p w14:paraId="19736198">
      <w:pPr>
        <w:pStyle w:val="9"/>
        <w:spacing w:after="0" w:line="249" w:lineRule="auto"/>
        <w:rPr>
          <w:rFonts w:hint="eastAsia"/>
        </w:rPr>
      </w:pPr>
    </w:p>
    <w:p w14:paraId="69C4B9CC">
      <w:pPr>
        <w:pStyle w:val="9"/>
        <w:spacing w:after="0" w:line="249" w:lineRule="auto"/>
        <w:rPr>
          <w:rFonts w:hint="eastAsia"/>
        </w:rPr>
      </w:pPr>
      <w:r>
        <w:rPr>
          <w:rFonts w:hint="eastAsia"/>
        </w:rPr>
        <w:t>In search of a better understanding of this reign, we traveled back to the beginning.</w:t>
      </w:r>
    </w:p>
    <w:p w14:paraId="1ED49AFF">
      <w:pPr>
        <w:pStyle w:val="9"/>
        <w:spacing w:after="0" w:line="249" w:lineRule="auto"/>
        <w:rPr>
          <w:rFonts w:hint="eastAsia"/>
        </w:rPr>
      </w:pPr>
      <w:r>
        <w:rPr>
          <w:rFonts w:hint="eastAsia"/>
        </w:rPr>
        <w:t>为了更好地理解这个统治，我们回到了起初。</w:t>
      </w:r>
    </w:p>
    <w:p w14:paraId="35D8D0F1">
      <w:pPr>
        <w:pStyle w:val="9"/>
        <w:spacing w:after="0" w:line="249" w:lineRule="auto"/>
        <w:rPr>
          <w:rFonts w:hint="eastAsia"/>
        </w:rPr>
      </w:pPr>
    </w:p>
    <w:p w14:paraId="5467BA9E">
      <w:pPr>
        <w:pStyle w:val="9"/>
        <w:spacing w:after="0" w:line="249" w:lineRule="auto"/>
        <w:rPr>
          <w:rFonts w:hint="eastAsia"/>
        </w:rPr>
      </w:pPr>
      <w:r>
        <w:rPr>
          <w:rFonts w:hint="eastAsia"/>
        </w:rPr>
        <w:t>There, in God’s “very good” creation, and especially in Eden, we caught our first glimpse of the Kingdom.</w:t>
      </w:r>
    </w:p>
    <w:p w14:paraId="66544956">
      <w:pPr>
        <w:pStyle w:val="9"/>
        <w:spacing w:after="0" w:line="249" w:lineRule="auto"/>
        <w:rPr>
          <w:rFonts w:hint="eastAsia"/>
        </w:rPr>
      </w:pPr>
      <w:r>
        <w:rPr>
          <w:rFonts w:hint="eastAsia"/>
        </w:rPr>
        <w:t>在那里，在上帝“甚好”的创造中，特别是在伊甸园中，我们第一次瞥见了国度。</w:t>
      </w:r>
    </w:p>
    <w:p w14:paraId="23A01C63">
      <w:pPr>
        <w:pStyle w:val="9"/>
        <w:spacing w:after="0" w:line="249" w:lineRule="auto"/>
        <w:rPr>
          <w:rFonts w:hint="eastAsia"/>
        </w:rPr>
      </w:pPr>
    </w:p>
    <w:p w14:paraId="7D457E37">
      <w:pPr>
        <w:pStyle w:val="9"/>
        <w:spacing w:after="0" w:line="249" w:lineRule="auto"/>
        <w:rPr>
          <w:rFonts w:hint="eastAsia"/>
        </w:rPr>
      </w:pPr>
      <w:r>
        <w:rPr>
          <w:rFonts w:hint="eastAsia"/>
        </w:rPr>
        <w:t>We also saw that at the Tree of (Eternal) Life God offered the Kingdom in fullness to Adam, our head, and through him to the entire family of man.</w:t>
      </w:r>
    </w:p>
    <w:p w14:paraId="544CFD9D">
      <w:pPr>
        <w:pStyle w:val="9"/>
        <w:spacing w:after="0" w:line="249" w:lineRule="auto"/>
        <w:rPr>
          <w:rFonts w:hint="eastAsia"/>
        </w:rPr>
      </w:pPr>
      <w:r>
        <w:rPr>
          <w:rFonts w:hint="eastAsia"/>
        </w:rPr>
        <w:t>我们也看到，在（永）生命树那里，上帝将完全的国度提供给了我们的元首亚当，并通过他提供给了全人类。</w:t>
      </w:r>
    </w:p>
    <w:p w14:paraId="436FE338">
      <w:pPr>
        <w:pStyle w:val="9"/>
        <w:spacing w:after="0" w:line="249" w:lineRule="auto"/>
        <w:rPr>
          <w:rFonts w:hint="eastAsia"/>
        </w:rPr>
      </w:pPr>
    </w:p>
    <w:p w14:paraId="0A87F955">
      <w:pPr>
        <w:pStyle w:val="9"/>
        <w:spacing w:after="0" w:line="249" w:lineRule="auto"/>
        <w:rPr>
          <w:rFonts w:hint="eastAsia"/>
        </w:rPr>
      </w:pPr>
      <w:r>
        <w:rPr>
          <w:rFonts w:hint="eastAsia"/>
        </w:rPr>
        <w:t>Finally, we saw that that at the Fall Adam forfeited this Kingdom, subjecting himself, his family, and his world to a kind of anti-kingdom; to a dreadful Domain of Darkness made up of a host of deadly spiritual and physical enemies, the most terrible of which was the wrath of God himself.</w:t>
      </w:r>
    </w:p>
    <w:p w14:paraId="5E61B35E">
      <w:pPr>
        <w:pStyle w:val="9"/>
        <w:spacing w:after="0" w:line="249" w:lineRule="auto"/>
        <w:rPr>
          <w:rFonts w:hint="eastAsia"/>
        </w:rPr>
      </w:pPr>
      <w:r>
        <w:rPr>
          <w:rFonts w:hint="eastAsia"/>
        </w:rPr>
        <w:t>最后，我们看到在堕落时，亚当丧失了这个国度，使他自己、他的家庭和他的世界屈服于一种反国度；一个由一群致命的属灵和属物质的仇敌组成的可怕的黑暗权势，其中最可怕的是上帝自己的忿怒。</w:t>
      </w:r>
    </w:p>
    <w:p w14:paraId="0DC6A65D">
      <w:pPr>
        <w:pStyle w:val="9"/>
        <w:spacing w:after="0" w:line="249" w:lineRule="auto"/>
        <w:rPr>
          <w:rFonts w:hint="eastAsia"/>
        </w:rPr>
      </w:pPr>
    </w:p>
    <w:p w14:paraId="224C026B">
      <w:pPr>
        <w:pStyle w:val="9"/>
        <w:spacing w:after="0" w:line="249" w:lineRule="auto"/>
        <w:rPr>
          <w:rFonts w:hint="eastAsia"/>
        </w:rPr>
      </w:pPr>
      <w:r>
        <w:rPr>
          <w:rFonts w:hint="eastAsia"/>
        </w:rPr>
        <w:t>But this was not the end of the story.</w:t>
      </w:r>
    </w:p>
    <w:p w14:paraId="601DB8DC">
      <w:pPr>
        <w:pStyle w:val="9"/>
        <w:spacing w:after="0" w:line="249" w:lineRule="auto"/>
        <w:rPr>
          <w:rFonts w:hint="eastAsia"/>
        </w:rPr>
      </w:pPr>
      <w:r>
        <w:rPr>
          <w:rFonts w:hint="eastAsia"/>
        </w:rPr>
        <w:t>但故事并未就此结束。</w:t>
      </w:r>
    </w:p>
    <w:p w14:paraId="7B0C7170">
      <w:pPr>
        <w:pStyle w:val="9"/>
        <w:spacing w:after="0" w:line="249" w:lineRule="auto"/>
        <w:rPr>
          <w:rFonts w:hint="eastAsia"/>
        </w:rPr>
      </w:pPr>
    </w:p>
    <w:p w14:paraId="479DD16D">
      <w:pPr>
        <w:pStyle w:val="9"/>
        <w:spacing w:after="0" w:line="249" w:lineRule="auto"/>
        <w:rPr>
          <w:rFonts w:hint="eastAsia"/>
        </w:rPr>
      </w:pPr>
      <w:r>
        <w:rPr>
          <w:rFonts w:hint="eastAsia"/>
        </w:rPr>
        <w:t>The wise, loving, and mighty God would not permit his purposes to be frustrated, whether for his Son, his people, his world, or his own glory.</w:t>
      </w:r>
    </w:p>
    <w:p w14:paraId="7BDBEA11">
      <w:pPr>
        <w:pStyle w:val="9"/>
        <w:spacing w:after="0" w:line="249" w:lineRule="auto"/>
        <w:rPr>
          <w:rFonts w:hint="eastAsia"/>
        </w:rPr>
      </w:pPr>
      <w:r>
        <w:rPr>
          <w:rFonts w:hint="eastAsia"/>
        </w:rPr>
        <w:t>智慧、慈爱且大能的上帝不会允许祂的旨意受挫，无论是为祂的儿子、祂的子民、祂的世界，还是为祂自己的荣耀。</w:t>
      </w:r>
    </w:p>
    <w:p w14:paraId="2F07B7D8">
      <w:pPr>
        <w:pStyle w:val="9"/>
        <w:spacing w:after="0" w:line="249" w:lineRule="auto"/>
        <w:rPr>
          <w:rFonts w:hint="eastAsia"/>
        </w:rPr>
      </w:pPr>
    </w:p>
    <w:p w14:paraId="2E354357">
      <w:pPr>
        <w:pStyle w:val="9"/>
        <w:spacing w:after="0" w:line="249" w:lineRule="auto"/>
        <w:rPr>
          <w:rFonts w:hint="eastAsia"/>
        </w:rPr>
      </w:pPr>
      <w:r>
        <w:rPr>
          <w:rFonts w:hint="eastAsia"/>
        </w:rPr>
        <w:t>Accordingly, in the fullness of time he sent his Son into the world, through whose redemptive work he would indeed bring in the Kingdom that he had planned from all eternity and promised all throughout OT times.</w:t>
      </w:r>
    </w:p>
    <w:p w14:paraId="38276267">
      <w:pPr>
        <w:pStyle w:val="9"/>
        <w:spacing w:after="0" w:line="249" w:lineRule="auto"/>
        <w:rPr>
          <w:rFonts w:hint="eastAsia"/>
        </w:rPr>
      </w:pPr>
      <w:r>
        <w:rPr>
          <w:rFonts w:hint="eastAsia"/>
        </w:rPr>
        <w:t>因此，在时候满足的时候，祂差遣祂的儿子进入世界，藉着祂的救赎工作，祂确实会带入祂从永恒就已计划并贯穿整个旧约时代所应许的国度。</w:t>
      </w:r>
    </w:p>
    <w:p w14:paraId="56505B7E">
      <w:pPr>
        <w:pStyle w:val="9"/>
        <w:spacing w:after="0" w:line="249" w:lineRule="auto"/>
        <w:rPr>
          <w:rFonts w:hint="eastAsia"/>
        </w:rPr>
      </w:pPr>
    </w:p>
    <w:p w14:paraId="1C9038B6">
      <w:pPr>
        <w:pStyle w:val="9"/>
        <w:spacing w:after="0" w:line="249" w:lineRule="auto"/>
        <w:rPr>
          <w:rFonts w:hint="eastAsia"/>
        </w:rPr>
      </w:pPr>
      <w:r>
        <w:rPr>
          <w:rFonts w:hint="eastAsia"/>
        </w:rPr>
        <w:t>Therefore, the Kingdom that Jesus heralded, manifested, and founded by his total work on earth was—and is— a distinctly redemptive Kingdom.</w:t>
      </w:r>
    </w:p>
    <w:p w14:paraId="1E02AA9A">
      <w:pPr>
        <w:pStyle w:val="9"/>
        <w:spacing w:after="0" w:line="249" w:lineRule="auto"/>
        <w:rPr>
          <w:rFonts w:hint="eastAsia"/>
        </w:rPr>
      </w:pPr>
      <w:r>
        <w:rPr>
          <w:rFonts w:hint="eastAsia"/>
        </w:rPr>
        <w:t>因此，耶稣藉着祂在世上的全部工作所宣告、彰显和建立的国度，过去是——现在也是——一个独特的救赎性国度。</w:t>
      </w:r>
    </w:p>
    <w:p w14:paraId="08D63899">
      <w:pPr>
        <w:pStyle w:val="9"/>
        <w:spacing w:after="0" w:line="249" w:lineRule="auto"/>
        <w:rPr>
          <w:rFonts w:hint="eastAsia"/>
        </w:rPr>
      </w:pPr>
    </w:p>
    <w:p w14:paraId="0C96460D">
      <w:pPr>
        <w:pStyle w:val="9"/>
        <w:spacing w:after="0" w:line="249" w:lineRule="auto"/>
        <w:rPr>
          <w:rFonts w:hint="eastAsia"/>
        </w:rPr>
      </w:pPr>
      <w:r>
        <w:rPr>
          <w:rFonts w:hint="eastAsia"/>
        </w:rPr>
        <w:t>It is none other than the Kingdom offered to mankind in Eden, forfeited at the Fall, but now regained by the redemptive work of Christ.</w:t>
      </w:r>
    </w:p>
    <w:p w14:paraId="29C9738E">
      <w:pPr>
        <w:pStyle w:val="9"/>
        <w:spacing w:after="0" w:line="249" w:lineRule="auto"/>
        <w:rPr>
          <w:rFonts w:hint="eastAsia"/>
        </w:rPr>
      </w:pPr>
      <w:r>
        <w:rPr>
          <w:rFonts w:hint="eastAsia"/>
        </w:rPr>
        <w:t>它正是那在伊甸园提供给人类，在堕落时丧失，但现在藉着基督的救赎工作重新获得的国度。</w:t>
      </w:r>
    </w:p>
    <w:p w14:paraId="45CF00BA">
      <w:pPr>
        <w:pStyle w:val="9"/>
        <w:spacing w:after="0" w:line="249" w:lineRule="auto"/>
        <w:rPr>
          <w:rFonts w:hint="eastAsia"/>
        </w:rPr>
      </w:pPr>
    </w:p>
    <w:p w14:paraId="0A953970">
      <w:pPr>
        <w:pStyle w:val="9"/>
        <w:spacing w:after="0" w:line="249" w:lineRule="auto"/>
        <w:rPr>
          <w:rFonts w:hint="eastAsia"/>
        </w:rPr>
      </w:pPr>
      <w:r>
        <w:rPr>
          <w:rFonts w:hint="eastAsia"/>
        </w:rPr>
        <w:t>As such, it involves two great gifts, gifts that correspond to sinful man’s two great needs: rescue from every spiritual and physical enemy of the Domain of Darkness, and restoration to every spiritual and physical friend enjoyed in Eden and promised in fullness at the tree of life.</w:t>
      </w:r>
    </w:p>
    <w:p w14:paraId="5B0F779A">
      <w:pPr>
        <w:pStyle w:val="9"/>
        <w:spacing w:after="0" w:line="249" w:lineRule="auto"/>
        <w:rPr>
          <w:rFonts w:hint="eastAsia"/>
        </w:rPr>
      </w:pPr>
      <w:r>
        <w:rPr>
          <w:rFonts w:hint="eastAsia"/>
        </w:rPr>
        <w:t>因此，它涉及两个伟大的恩赐，这两个恩赐对应于有罪之人的两个巨大需要：从黑暗权势的每一个属灵和属物质的仇敌中被拯救出来，并恢复到在伊甸园享有并在生命树那里应许的完全的每一个属灵和属物质的朋友。</w:t>
      </w:r>
    </w:p>
    <w:p w14:paraId="0A604336">
      <w:pPr>
        <w:pStyle w:val="9"/>
        <w:spacing w:after="0" w:line="249" w:lineRule="auto"/>
        <w:rPr>
          <w:rFonts w:hint="eastAsia"/>
        </w:rPr>
      </w:pPr>
    </w:p>
    <w:p w14:paraId="1024F068">
      <w:pPr>
        <w:pStyle w:val="9"/>
        <w:spacing w:after="0" w:line="249" w:lineRule="auto"/>
        <w:rPr>
          <w:rFonts w:hint="eastAsia"/>
        </w:rPr>
      </w:pPr>
      <w:r>
        <w:rPr>
          <w:rFonts w:hint="eastAsia"/>
        </w:rPr>
        <w:t>Here, then, is the deep NT idea of the nature of the Kingdom of God.</w:t>
      </w:r>
    </w:p>
    <w:p w14:paraId="5B7F02E7">
      <w:pPr>
        <w:pStyle w:val="9"/>
        <w:spacing w:after="0" w:line="249" w:lineRule="auto"/>
        <w:rPr>
          <w:rFonts w:hint="eastAsia"/>
        </w:rPr>
      </w:pPr>
      <w:r>
        <w:rPr>
          <w:rFonts w:hint="eastAsia"/>
        </w:rPr>
        <w:t>那么，这就是关于上帝之国性质的深刻新约观念。</w:t>
      </w:r>
    </w:p>
    <w:p w14:paraId="10539269">
      <w:pPr>
        <w:pStyle w:val="9"/>
        <w:spacing w:after="0" w:line="249" w:lineRule="auto"/>
        <w:rPr>
          <w:rFonts w:hint="eastAsia"/>
        </w:rPr>
      </w:pPr>
    </w:p>
    <w:p w14:paraId="55AFF277">
      <w:pPr>
        <w:pStyle w:val="9"/>
        <w:spacing w:after="0" w:line="249" w:lineRule="auto"/>
        <w:rPr>
          <w:rFonts w:hint="eastAsia"/>
        </w:rPr>
      </w:pPr>
      <w:r>
        <w:rPr>
          <w:rFonts w:hint="eastAsia"/>
        </w:rPr>
        <w:t>The Kingdom was never meant to be an eternal Mosaic theocracy, though the Mosaic theocracy was indeed meant to be a picture of the Kingdom.</w:t>
      </w:r>
    </w:p>
    <w:p w14:paraId="264943CC">
      <w:pPr>
        <w:pStyle w:val="9"/>
        <w:spacing w:after="0" w:line="249" w:lineRule="auto"/>
        <w:rPr>
          <w:rFonts w:hint="eastAsia"/>
        </w:rPr>
      </w:pPr>
      <w:r>
        <w:rPr>
          <w:rFonts w:hint="eastAsia"/>
        </w:rPr>
        <w:t>国度从来不是要成为一个永恒的摩西式神权政体，尽管摩西式神权政体确实意在成为国度的一幅图画。</w:t>
      </w:r>
    </w:p>
    <w:p w14:paraId="48119B09">
      <w:pPr>
        <w:pStyle w:val="9"/>
        <w:spacing w:after="0" w:line="249" w:lineRule="auto"/>
        <w:rPr>
          <w:rFonts w:hint="eastAsia"/>
        </w:rPr>
      </w:pPr>
    </w:p>
    <w:p w14:paraId="7950CE3E">
      <w:pPr>
        <w:pStyle w:val="9"/>
        <w:spacing w:after="0" w:line="249" w:lineRule="auto"/>
        <w:rPr>
          <w:rFonts w:hint="eastAsia"/>
        </w:rPr>
      </w:pPr>
      <w:r>
        <w:rPr>
          <w:rFonts w:hint="eastAsia"/>
        </w:rPr>
        <w:t>Rather, it is, and always will be, a sphere of spiritual and physical wholeness and blessing; a sphere entered by God-given faith in Christ, through whom the saints are transferred, once and for all, from the Domain of Darkness into the Kingdom of God and his Beloved Son.</w:t>
      </w:r>
    </w:p>
    <w:p w14:paraId="32707128">
      <w:pPr>
        <w:pStyle w:val="9"/>
        <w:spacing w:after="0" w:line="249" w:lineRule="auto"/>
        <w:rPr>
          <w:rFonts w:hint="eastAsia"/>
        </w:rPr>
      </w:pPr>
      <w:r>
        <w:rPr>
          <w:rFonts w:hint="eastAsia"/>
        </w:rPr>
        <w:t>相反，它现在是，并且永远将是，一个属灵和属物质的完全和祝福的领域；一个通过上帝所赐的对基督的信心而进入的领域，藉着基督，圣徒们被一次性地从黑暗的权势迁入上帝和祂爱子的国度。</w:t>
      </w:r>
    </w:p>
    <w:p w14:paraId="37527750">
      <w:pPr>
        <w:pStyle w:val="9"/>
        <w:spacing w:after="0" w:line="249" w:lineRule="auto"/>
        <w:rPr>
          <w:rFonts w:hint="eastAsia"/>
        </w:rPr>
      </w:pPr>
    </w:p>
    <w:p w14:paraId="53DB4292">
      <w:pPr>
        <w:pStyle w:val="9"/>
        <w:spacing w:after="0" w:line="249" w:lineRule="auto"/>
        <w:rPr>
          <w:rFonts w:hint="eastAsia"/>
        </w:rPr>
      </w:pPr>
      <w:r>
        <w:rPr>
          <w:rFonts w:hint="eastAsia"/>
        </w:rPr>
        <w:t>Key # 2: NT Teaching About the Structure of the Kingdom</w:t>
      </w:r>
    </w:p>
    <w:p w14:paraId="07F3AC8C">
      <w:pPr>
        <w:pStyle w:val="9"/>
        <w:spacing w:after="0" w:line="249" w:lineRule="auto"/>
        <w:rPr>
          <w:rFonts w:hint="eastAsia"/>
        </w:rPr>
      </w:pPr>
      <w:r>
        <w:rPr>
          <w:rFonts w:hint="eastAsia"/>
        </w:rPr>
        <w:t>钥匙 # 2：新约关于国度结构的教导</w:t>
      </w:r>
    </w:p>
    <w:p w14:paraId="34958813">
      <w:pPr>
        <w:pStyle w:val="9"/>
        <w:spacing w:after="0" w:line="249" w:lineRule="auto"/>
        <w:rPr>
          <w:rFonts w:hint="eastAsia"/>
        </w:rPr>
      </w:pPr>
    </w:p>
    <w:p w14:paraId="559CE8A5">
      <w:pPr>
        <w:pStyle w:val="9"/>
        <w:spacing w:after="0" w:line="249" w:lineRule="auto"/>
        <w:rPr>
          <w:rFonts w:hint="eastAsia"/>
        </w:rPr>
      </w:pPr>
      <w:r>
        <w:rPr>
          <w:rFonts w:hint="eastAsia"/>
        </w:rPr>
        <w:t>This was our theme in chapters 9 and 10.</w:t>
      </w:r>
    </w:p>
    <w:p w14:paraId="696CFBB0">
      <w:pPr>
        <w:pStyle w:val="9"/>
        <w:spacing w:after="0" w:line="249" w:lineRule="auto"/>
        <w:rPr>
          <w:rFonts w:hint="eastAsia"/>
        </w:rPr>
      </w:pPr>
      <w:r>
        <w:rPr>
          <w:rFonts w:hint="eastAsia"/>
        </w:rPr>
        <w:t>这是我们在第九章和第十章的主题。</w:t>
      </w:r>
    </w:p>
    <w:p w14:paraId="70A4C5E7">
      <w:pPr>
        <w:pStyle w:val="9"/>
        <w:spacing w:after="0" w:line="249" w:lineRule="auto"/>
        <w:rPr>
          <w:rFonts w:hint="eastAsia"/>
        </w:rPr>
      </w:pPr>
    </w:p>
    <w:p w14:paraId="30C91AB7">
      <w:pPr>
        <w:pStyle w:val="9"/>
        <w:spacing w:after="0" w:line="249" w:lineRule="auto"/>
        <w:rPr>
          <w:rFonts w:hint="eastAsia"/>
        </w:rPr>
      </w:pPr>
      <w:r>
        <w:rPr>
          <w:rFonts w:hint="eastAsia"/>
        </w:rPr>
        <w:t>Looking first at Christ’s foundational teaching on the Mysteries of the Kingdom, and then at a host of confirming texts found in the book of Acts, the epistles, and the Revelation, we determined that the one Kingdom of God enters history in two simples stages; stages that are separated by a single Consummation at the coming again of Christ in glory at the end of the present evil age.</w:t>
      </w:r>
    </w:p>
    <w:p w14:paraId="5E8ED208">
      <w:pPr>
        <w:pStyle w:val="9"/>
        <w:spacing w:after="0" w:line="249" w:lineRule="auto"/>
        <w:rPr>
          <w:rFonts w:hint="eastAsia"/>
        </w:rPr>
      </w:pPr>
      <w:r>
        <w:rPr>
          <w:rFonts w:hint="eastAsia"/>
        </w:rPr>
        <w:t>首先考察基督关于国度奥秘的基础性教导，然后考察在使徒行传、书信和启示录中发现的大量确证经文，我们确定那独一的上帝之国是以两个简单的阶段进入历史的；这两个阶段由现今邪恶世代末了基督在荣耀中再来时的一次性最终成全所分隔。</w:t>
      </w:r>
    </w:p>
    <w:p w14:paraId="42D6D4C4">
      <w:pPr>
        <w:pStyle w:val="9"/>
        <w:spacing w:after="0" w:line="249" w:lineRule="auto"/>
        <w:rPr>
          <w:rFonts w:hint="eastAsia"/>
        </w:rPr>
      </w:pPr>
    </w:p>
    <w:p w14:paraId="2464F900">
      <w:pPr>
        <w:pStyle w:val="9"/>
        <w:spacing w:after="0" w:line="249" w:lineRule="auto"/>
        <w:rPr>
          <w:rFonts w:hint="eastAsia"/>
        </w:rPr>
      </w:pPr>
      <w:r>
        <w:rPr>
          <w:rFonts w:hint="eastAsia"/>
        </w:rPr>
        <w:t>The first stage we called the Kingdom of the Son.</w:t>
      </w:r>
    </w:p>
    <w:p w14:paraId="4D9ACD04">
      <w:pPr>
        <w:pStyle w:val="9"/>
        <w:spacing w:after="0" w:line="249" w:lineRule="auto"/>
        <w:rPr>
          <w:rFonts w:hint="eastAsia"/>
        </w:rPr>
      </w:pPr>
      <w:r>
        <w:rPr>
          <w:rFonts w:hint="eastAsia"/>
        </w:rPr>
        <w:t>第一阶段我们称之为圣子之国。</w:t>
      </w:r>
    </w:p>
    <w:p w14:paraId="21F55B6B">
      <w:pPr>
        <w:pStyle w:val="9"/>
        <w:spacing w:after="0" w:line="249" w:lineRule="auto"/>
        <w:rPr>
          <w:rFonts w:hint="eastAsia"/>
        </w:rPr>
      </w:pPr>
    </w:p>
    <w:p w14:paraId="7722F13F">
      <w:pPr>
        <w:pStyle w:val="9"/>
        <w:spacing w:after="0" w:line="249" w:lineRule="auto"/>
        <w:rPr>
          <w:rFonts w:hint="eastAsia"/>
        </w:rPr>
      </w:pPr>
      <w:r>
        <w:rPr>
          <w:rFonts w:hint="eastAsia"/>
        </w:rPr>
        <w:t>Many indeed are the NT “mysteries” that describe it.</w:t>
      </w:r>
    </w:p>
    <w:p w14:paraId="244E2F4A">
      <w:pPr>
        <w:pStyle w:val="9"/>
        <w:spacing w:after="0" w:line="249" w:lineRule="auto"/>
        <w:rPr>
          <w:rFonts w:hint="eastAsia"/>
        </w:rPr>
      </w:pPr>
      <w:r>
        <w:rPr>
          <w:rFonts w:hint="eastAsia"/>
        </w:rPr>
        <w:t>确实有很多新约的“奥秘”描述它。</w:t>
      </w:r>
    </w:p>
    <w:p w14:paraId="7A9FDC1C">
      <w:pPr>
        <w:pStyle w:val="9"/>
        <w:spacing w:after="0" w:line="249" w:lineRule="auto"/>
        <w:rPr>
          <w:rFonts w:hint="eastAsia"/>
        </w:rPr>
      </w:pPr>
    </w:p>
    <w:p w14:paraId="42A1FC6C">
      <w:pPr>
        <w:pStyle w:val="9"/>
        <w:spacing w:after="0" w:line="249" w:lineRule="auto"/>
        <w:rPr>
          <w:rFonts w:hint="eastAsia"/>
        </w:rPr>
      </w:pPr>
      <w:r>
        <w:rPr>
          <w:rFonts w:hint="eastAsia"/>
        </w:rPr>
        <w:t>It is, in essence, an invisible and spiritual reign.</w:t>
      </w:r>
    </w:p>
    <w:p w14:paraId="3FAF0A3B">
      <w:pPr>
        <w:pStyle w:val="9"/>
        <w:spacing w:after="0" w:line="249" w:lineRule="auto"/>
        <w:rPr>
          <w:rFonts w:hint="eastAsia"/>
        </w:rPr>
      </w:pPr>
      <w:r>
        <w:rPr>
          <w:rFonts w:hint="eastAsia"/>
        </w:rPr>
        <w:t>实质上，这是一个不可见的、属灵的统治。</w:t>
      </w:r>
    </w:p>
    <w:p w14:paraId="459F06C8">
      <w:pPr>
        <w:pStyle w:val="9"/>
        <w:spacing w:after="0" w:line="249" w:lineRule="auto"/>
        <w:rPr>
          <w:rFonts w:hint="eastAsia"/>
        </w:rPr>
      </w:pPr>
    </w:p>
    <w:p w14:paraId="1571BE8D">
      <w:pPr>
        <w:pStyle w:val="9"/>
        <w:spacing w:after="0" w:line="249" w:lineRule="auto"/>
        <w:rPr>
          <w:rFonts w:hint="eastAsia"/>
        </w:rPr>
      </w:pPr>
      <w:r>
        <w:rPr>
          <w:rFonts w:hint="eastAsia"/>
        </w:rPr>
        <w:t>It was founded by Christ’s redemptive work on earth, by his humiliation.</w:t>
      </w:r>
    </w:p>
    <w:p w14:paraId="64935FA5">
      <w:pPr>
        <w:pStyle w:val="9"/>
        <w:spacing w:after="0" w:line="249" w:lineRule="auto"/>
        <w:rPr>
          <w:rFonts w:hint="eastAsia"/>
        </w:rPr>
      </w:pPr>
      <w:r>
        <w:rPr>
          <w:rFonts w:hint="eastAsia"/>
        </w:rPr>
        <w:t>它由基督在世上的救赎工作，由祂的降卑所建立。</w:t>
      </w:r>
    </w:p>
    <w:p w14:paraId="4C7565E2">
      <w:pPr>
        <w:pStyle w:val="9"/>
        <w:spacing w:after="0" w:line="249" w:lineRule="auto"/>
        <w:rPr>
          <w:rFonts w:hint="eastAsia"/>
        </w:rPr>
      </w:pPr>
    </w:p>
    <w:p w14:paraId="20F49B6D">
      <w:pPr>
        <w:pStyle w:val="9"/>
        <w:spacing w:after="0" w:line="249" w:lineRule="auto"/>
        <w:rPr>
          <w:rFonts w:hint="eastAsia"/>
        </w:rPr>
      </w:pPr>
      <w:r>
        <w:rPr>
          <w:rFonts w:hint="eastAsia"/>
        </w:rPr>
        <w:t>It flourishes by his redemptive work in heaven, and is a central element of his exaltation.</w:t>
      </w:r>
    </w:p>
    <w:p w14:paraId="33CAA3E2">
      <w:pPr>
        <w:pStyle w:val="9"/>
        <w:spacing w:after="0" w:line="249" w:lineRule="auto"/>
        <w:rPr>
          <w:rFonts w:hint="eastAsia"/>
        </w:rPr>
      </w:pPr>
      <w:r>
        <w:rPr>
          <w:rFonts w:hint="eastAsia"/>
        </w:rPr>
        <w:t>它因祂在天上的救赎工作而兴旺，是祂被高举的一个核心要素。</w:t>
      </w:r>
    </w:p>
    <w:p w14:paraId="519F8DC8">
      <w:pPr>
        <w:pStyle w:val="9"/>
        <w:spacing w:after="0" w:line="249" w:lineRule="auto"/>
        <w:rPr>
          <w:rFonts w:hint="eastAsia"/>
        </w:rPr>
      </w:pPr>
    </w:p>
    <w:p w14:paraId="65853540">
      <w:pPr>
        <w:pStyle w:val="9"/>
        <w:spacing w:after="0" w:line="249" w:lineRule="auto"/>
        <w:rPr>
          <w:rFonts w:hint="eastAsia"/>
        </w:rPr>
      </w:pPr>
      <w:r>
        <w:rPr>
          <w:rFonts w:hint="eastAsia"/>
        </w:rPr>
        <w:t>It began on the Day of Pentecost, and will draw to a close at the Parousia.</w:t>
      </w:r>
    </w:p>
    <w:p w14:paraId="1D6A774F">
      <w:pPr>
        <w:pStyle w:val="9"/>
        <w:spacing w:after="0" w:line="249" w:lineRule="auto"/>
        <w:rPr>
          <w:rFonts w:hint="eastAsia"/>
        </w:rPr>
      </w:pPr>
      <w:r>
        <w:rPr>
          <w:rFonts w:hint="eastAsia"/>
        </w:rPr>
        <w:t>它始于五旬节，并将在基督再来时结束。</w:t>
      </w:r>
    </w:p>
    <w:p w14:paraId="52C7823D">
      <w:pPr>
        <w:pStyle w:val="9"/>
        <w:spacing w:after="0" w:line="249" w:lineRule="auto"/>
        <w:rPr>
          <w:rFonts w:hint="eastAsia"/>
        </w:rPr>
      </w:pPr>
    </w:p>
    <w:p w14:paraId="3ED6802D">
      <w:pPr>
        <w:pStyle w:val="9"/>
        <w:spacing w:after="0" w:line="249" w:lineRule="auto"/>
        <w:rPr>
          <w:rFonts w:hint="eastAsia"/>
        </w:rPr>
      </w:pPr>
      <w:r>
        <w:rPr>
          <w:rFonts w:hint="eastAsia"/>
        </w:rPr>
        <w:t>Throughout this time, it emanates from above, from the High King of Heaven who is seated at the Father’s right hand, having all authority in heaven and earth.</w:t>
      </w:r>
    </w:p>
    <w:p w14:paraId="5E5BE4FC">
      <w:pPr>
        <w:pStyle w:val="9"/>
        <w:spacing w:after="0" w:line="249" w:lineRule="auto"/>
        <w:rPr>
          <w:rFonts w:hint="eastAsia"/>
        </w:rPr>
      </w:pPr>
      <w:r>
        <w:rPr>
          <w:rFonts w:hint="eastAsia"/>
        </w:rPr>
        <w:t>在此期间，它源自天上，源自坐在父右边的天上至高君王，祂拥有天上地下所有的权柄。</w:t>
      </w:r>
    </w:p>
    <w:p w14:paraId="253F91C7">
      <w:pPr>
        <w:pStyle w:val="9"/>
        <w:spacing w:after="0" w:line="249" w:lineRule="auto"/>
        <w:rPr>
          <w:rFonts w:hint="eastAsia"/>
        </w:rPr>
      </w:pPr>
    </w:p>
    <w:p w14:paraId="34EE7AC2">
      <w:pPr>
        <w:pStyle w:val="9"/>
        <w:spacing w:after="0" w:line="249" w:lineRule="auto"/>
        <w:rPr>
          <w:rFonts w:hint="eastAsia"/>
        </w:rPr>
      </w:pPr>
      <w:r>
        <w:rPr>
          <w:rFonts w:hint="eastAsia"/>
        </w:rPr>
        <w:t>Its central purpose is the application of the redemption that Christ accomplished for his people.</w:t>
      </w:r>
    </w:p>
    <w:p w14:paraId="3E048844">
      <w:pPr>
        <w:pStyle w:val="9"/>
        <w:spacing w:after="0" w:line="249" w:lineRule="auto"/>
        <w:rPr>
          <w:rFonts w:hint="eastAsia"/>
        </w:rPr>
      </w:pPr>
      <w:r>
        <w:rPr>
          <w:rFonts w:hint="eastAsia"/>
        </w:rPr>
        <w:t>其中心目的是施行基督为祂子民所成就的救赎。</w:t>
      </w:r>
    </w:p>
    <w:p w14:paraId="5433C433">
      <w:pPr>
        <w:pStyle w:val="9"/>
        <w:spacing w:after="0" w:line="249" w:lineRule="auto"/>
        <w:rPr>
          <w:rFonts w:hint="eastAsia"/>
        </w:rPr>
      </w:pPr>
    </w:p>
    <w:p w14:paraId="03B1C1CD">
      <w:pPr>
        <w:pStyle w:val="9"/>
        <w:spacing w:after="0" w:line="249" w:lineRule="auto"/>
        <w:rPr>
          <w:rFonts w:hint="eastAsia"/>
        </w:rPr>
      </w:pPr>
      <w:r>
        <w:rPr>
          <w:rFonts w:hint="eastAsia"/>
        </w:rPr>
        <w:t>Therefore, it is co- extensive with what we called the Era of Proclamation and Probation; an era in which the exalted Christ, by the Spirit, and through the Church, sends out the word of the truth of the Gospel to all nations.</w:t>
      </w:r>
    </w:p>
    <w:p w14:paraId="5308BD7F">
      <w:pPr>
        <w:pStyle w:val="9"/>
        <w:spacing w:after="0" w:line="249" w:lineRule="auto"/>
        <w:rPr>
          <w:rFonts w:hint="eastAsia"/>
        </w:rPr>
      </w:pPr>
      <w:r>
        <w:rPr>
          <w:rFonts w:hint="eastAsia"/>
        </w:rPr>
        <w:t>因此，它与我们所称的宣讲与察验的时代共存；在这个时代中，被高举的基督，藉着圣灵，并通过教会，将福音真理的道传给万国。</w:t>
      </w:r>
    </w:p>
    <w:p w14:paraId="46564E9F">
      <w:pPr>
        <w:pStyle w:val="9"/>
        <w:spacing w:after="0" w:line="249" w:lineRule="auto"/>
        <w:rPr>
          <w:rFonts w:hint="eastAsia"/>
        </w:rPr>
      </w:pPr>
    </w:p>
    <w:p w14:paraId="129C3553">
      <w:pPr>
        <w:pStyle w:val="9"/>
        <w:spacing w:after="0" w:line="249" w:lineRule="auto"/>
        <w:rPr>
          <w:rFonts w:hint="eastAsia"/>
        </w:rPr>
      </w:pPr>
      <w:r>
        <w:rPr>
          <w:rFonts w:hint="eastAsia"/>
        </w:rPr>
        <w:t>In this process, God puts men’s love of the truth to the test.</w:t>
      </w:r>
    </w:p>
    <w:p w14:paraId="0E1799C8">
      <w:pPr>
        <w:pStyle w:val="9"/>
        <w:spacing w:after="0" w:line="249" w:lineRule="auto"/>
        <w:rPr>
          <w:rFonts w:hint="eastAsia"/>
        </w:rPr>
      </w:pPr>
      <w:r>
        <w:rPr>
          <w:rFonts w:hint="eastAsia"/>
        </w:rPr>
        <w:t>在这个过程中，上帝试验人对真理的爱。</w:t>
      </w:r>
    </w:p>
    <w:p w14:paraId="3C9EA100">
      <w:pPr>
        <w:pStyle w:val="9"/>
        <w:spacing w:after="0" w:line="249" w:lineRule="auto"/>
        <w:rPr>
          <w:rFonts w:hint="eastAsia"/>
        </w:rPr>
      </w:pPr>
    </w:p>
    <w:p w14:paraId="395A11B6">
      <w:pPr>
        <w:pStyle w:val="9"/>
        <w:spacing w:after="0" w:line="249" w:lineRule="auto"/>
        <w:rPr>
          <w:rFonts w:hint="eastAsia"/>
        </w:rPr>
      </w:pPr>
      <w:r>
        <w:rPr>
          <w:rFonts w:hint="eastAsia"/>
        </w:rPr>
        <w:t>In this process, he gathers his chosen people, transferring all who believe from the Domain of Darkness into the spiritual Kingdom of his dear Son.</w:t>
      </w:r>
    </w:p>
    <w:p w14:paraId="4114F076">
      <w:pPr>
        <w:pStyle w:val="9"/>
        <w:spacing w:after="0" w:line="249" w:lineRule="auto"/>
        <w:rPr>
          <w:rFonts w:hint="eastAsia"/>
        </w:rPr>
      </w:pPr>
      <w:r>
        <w:rPr>
          <w:rFonts w:hint="eastAsia"/>
        </w:rPr>
        <w:t>在这个过程中，祂召聚祂的选民，将所有相信的人从黑暗的权势迁入祂爱子的属灵国度。</w:t>
      </w:r>
    </w:p>
    <w:p w14:paraId="70145E78">
      <w:pPr>
        <w:pStyle w:val="9"/>
        <w:spacing w:after="0" w:line="249" w:lineRule="auto"/>
        <w:rPr>
          <w:rFonts w:hint="eastAsia"/>
        </w:rPr>
      </w:pPr>
    </w:p>
    <w:p w14:paraId="4ECE3CE8">
      <w:pPr>
        <w:pStyle w:val="9"/>
        <w:spacing w:after="0" w:line="249" w:lineRule="auto"/>
        <w:rPr>
          <w:rFonts w:hint="eastAsia"/>
        </w:rPr>
      </w:pPr>
      <w:r>
        <w:rPr>
          <w:rFonts w:hint="eastAsia"/>
        </w:rPr>
        <w:t>Thus does Christ’s invisible Kingdom grow—infallibly—until, like leaven in a lump of dough, it pervades the whole earth; until he himself returns at the end of the age to separate the wheat from the tares, and to gather the full-grown crop of wheat into his barn.</w:t>
      </w:r>
    </w:p>
    <w:p w14:paraId="440C3F06">
      <w:pPr>
        <w:pStyle w:val="9"/>
        <w:spacing w:after="0" w:line="249" w:lineRule="auto"/>
        <w:rPr>
          <w:rFonts w:hint="eastAsia"/>
        </w:rPr>
      </w:pPr>
      <w:r>
        <w:rPr>
          <w:rFonts w:hint="eastAsia"/>
        </w:rPr>
        <w:t>如此，基督不可见的国度——万无一失地——成长，直到像面酵在面团中一样，渗透到整个地球；直到祂自己在世代的末了再来，将麦子和稗子分开，并将长成的麦子庄稼收进祂的仓里。</w:t>
      </w:r>
    </w:p>
    <w:p w14:paraId="3C56F366">
      <w:pPr>
        <w:pStyle w:val="9"/>
        <w:spacing w:after="0" w:line="249" w:lineRule="auto"/>
        <w:rPr>
          <w:rFonts w:hint="eastAsia"/>
        </w:rPr>
      </w:pPr>
    </w:p>
    <w:p w14:paraId="32A80803">
      <w:pPr>
        <w:pStyle w:val="9"/>
        <w:spacing w:after="0" w:line="249" w:lineRule="auto"/>
        <w:rPr>
          <w:rFonts w:hint="eastAsia"/>
        </w:rPr>
      </w:pPr>
      <w:r>
        <w:rPr>
          <w:rFonts w:hint="eastAsia"/>
        </w:rPr>
        <w:t>The Parousia of Christ is, then, the great transitional event; the one eschatological hinge upon which the Kingdom of the Son and the present evil age swing into the Kingdom of the Father and the eternal Age to Come.</w:t>
      </w:r>
    </w:p>
    <w:p w14:paraId="4804CBBD">
      <w:pPr>
        <w:pStyle w:val="9"/>
        <w:spacing w:after="0" w:line="249" w:lineRule="auto"/>
        <w:rPr>
          <w:rFonts w:hint="eastAsia"/>
        </w:rPr>
      </w:pPr>
      <w:r>
        <w:rPr>
          <w:rFonts w:hint="eastAsia"/>
        </w:rPr>
        <w:t>那么，基督的再来是伟大的过渡事件；是那独一的末世论枢纽，圣子之国和现今邪恶的世代藉此转入父之国和永恒的来世。</w:t>
      </w:r>
    </w:p>
    <w:p w14:paraId="6574428E">
      <w:pPr>
        <w:pStyle w:val="9"/>
        <w:spacing w:after="0" w:line="249" w:lineRule="auto"/>
        <w:rPr>
          <w:rFonts w:hint="eastAsia"/>
        </w:rPr>
      </w:pPr>
    </w:p>
    <w:p w14:paraId="3CC6A434">
      <w:pPr>
        <w:pStyle w:val="9"/>
        <w:spacing w:after="0" w:line="249" w:lineRule="auto"/>
        <w:rPr>
          <w:rFonts w:hint="eastAsia"/>
        </w:rPr>
      </w:pPr>
      <w:r>
        <w:rPr>
          <w:rFonts w:hint="eastAsia"/>
        </w:rPr>
        <w:t>At his return in glory, Christ himself will be the Agent of all the great eschatological acts by which the Father’s purpose and plan will be consummated.</w:t>
      </w:r>
    </w:p>
    <w:p w14:paraId="6A5A4DB5">
      <w:pPr>
        <w:pStyle w:val="9"/>
        <w:spacing w:after="0" w:line="249" w:lineRule="auto"/>
        <w:rPr>
          <w:rFonts w:hint="eastAsia"/>
        </w:rPr>
      </w:pPr>
      <w:r>
        <w:rPr>
          <w:rFonts w:hint="eastAsia"/>
        </w:rPr>
        <w:t>在祂荣耀中再来时，基督自己将是所有伟大末世论作为的执行者，父的旨意和计划将藉此得以成全。</w:t>
      </w:r>
    </w:p>
    <w:p w14:paraId="55499E78">
      <w:pPr>
        <w:pStyle w:val="9"/>
        <w:spacing w:after="0" w:line="249" w:lineRule="auto"/>
        <w:rPr>
          <w:rFonts w:hint="eastAsia"/>
        </w:rPr>
      </w:pPr>
    </w:p>
    <w:p w14:paraId="4FF0F832">
      <w:pPr>
        <w:pStyle w:val="9"/>
        <w:spacing w:after="0" w:line="249" w:lineRule="auto"/>
        <w:rPr>
          <w:rFonts w:hint="eastAsia"/>
        </w:rPr>
      </w:pPr>
      <w:r>
        <w:rPr>
          <w:rFonts w:hint="eastAsia"/>
        </w:rPr>
        <w:t>These will include a single resurrection of the dead, a single transformation of the living saints, a single judgment, a single destruction of the present heavens and earth by fire, and a single “restoration of all things,” by which Christ will create new heavens and a new earth, the everlasting home of the redeemed.</w:t>
      </w:r>
    </w:p>
    <w:p w14:paraId="4C7249B0">
      <w:pPr>
        <w:pStyle w:val="9"/>
        <w:spacing w:after="0" w:line="249" w:lineRule="auto"/>
        <w:rPr>
          <w:rFonts w:hint="eastAsia"/>
        </w:rPr>
      </w:pPr>
      <w:r>
        <w:rPr>
          <w:rFonts w:hint="eastAsia"/>
        </w:rPr>
        <w:t>这些将包括一次性的死人复活，一次性的活着的圣徒改变，一次性的审判，一次性的用火毁灭现今的天地，以及一次性的“万物复兴”，藉此基督将创造新天新地，即被赎者的永恒家园。</w:t>
      </w:r>
    </w:p>
    <w:p w14:paraId="371269EA">
      <w:pPr>
        <w:pStyle w:val="9"/>
        <w:spacing w:after="0" w:line="249" w:lineRule="auto"/>
        <w:rPr>
          <w:rFonts w:hint="eastAsia"/>
        </w:rPr>
      </w:pPr>
    </w:p>
    <w:p w14:paraId="1091091E">
      <w:pPr>
        <w:pStyle w:val="9"/>
        <w:spacing w:after="0" w:line="249" w:lineRule="auto"/>
        <w:rPr>
          <w:rFonts w:hint="eastAsia"/>
        </w:rPr>
      </w:pPr>
      <w:r>
        <w:rPr>
          <w:rFonts w:hint="eastAsia"/>
        </w:rPr>
        <w:t>Then, when the all-triumphant Christ has delivered up his fully redeemed and glorified world to his Father, the everlasting Kingdom of the Father (and the Son) will begin.</w:t>
      </w:r>
    </w:p>
    <w:p w14:paraId="49394C93">
      <w:pPr>
        <w:pStyle w:val="9"/>
        <w:spacing w:after="0" w:line="249" w:lineRule="auto"/>
        <w:rPr>
          <w:rFonts w:hint="eastAsia"/>
        </w:rPr>
      </w:pPr>
      <w:r>
        <w:rPr>
          <w:rFonts w:hint="eastAsia"/>
        </w:rPr>
        <w:t>然后，当全胜的基督将祂完全被赎和得荣的世界交与祂的父时，父（和子）的永恒国度将开始。</w:t>
      </w:r>
    </w:p>
    <w:p w14:paraId="1A77B662">
      <w:pPr>
        <w:pStyle w:val="9"/>
        <w:spacing w:after="0" w:line="249" w:lineRule="auto"/>
        <w:rPr>
          <w:rFonts w:hint="eastAsia"/>
        </w:rPr>
      </w:pPr>
    </w:p>
    <w:p w14:paraId="7CC44039">
      <w:pPr>
        <w:pStyle w:val="9"/>
        <w:spacing w:after="0" w:line="249" w:lineRule="auto"/>
        <w:rPr>
          <w:rFonts w:hint="eastAsia"/>
        </w:rPr>
      </w:pPr>
      <w:r>
        <w:rPr>
          <w:rFonts w:hint="eastAsia"/>
        </w:rPr>
        <w:t>Here the reign of God is physical, as well as spiritual.</w:t>
      </w:r>
    </w:p>
    <w:p w14:paraId="7DAE82AF">
      <w:pPr>
        <w:pStyle w:val="9"/>
        <w:spacing w:after="0" w:line="249" w:lineRule="auto"/>
        <w:rPr>
          <w:rFonts w:hint="eastAsia"/>
        </w:rPr>
      </w:pPr>
      <w:r>
        <w:rPr>
          <w:rFonts w:hint="eastAsia"/>
        </w:rPr>
        <w:t>在此，上帝的统治是物质的，也是属灵的。</w:t>
      </w:r>
    </w:p>
    <w:p w14:paraId="1956582A">
      <w:pPr>
        <w:pStyle w:val="9"/>
        <w:spacing w:after="0" w:line="249" w:lineRule="auto"/>
        <w:rPr>
          <w:rFonts w:hint="eastAsia"/>
        </w:rPr>
      </w:pPr>
    </w:p>
    <w:p w14:paraId="66894FEE">
      <w:pPr>
        <w:pStyle w:val="9"/>
        <w:spacing w:after="0" w:line="249" w:lineRule="auto"/>
        <w:rPr>
          <w:rFonts w:hint="eastAsia"/>
        </w:rPr>
      </w:pPr>
      <w:r>
        <w:rPr>
          <w:rFonts w:hint="eastAsia"/>
        </w:rPr>
        <w:t>Here it is perfect, and no longer partial.</w:t>
      </w:r>
    </w:p>
    <w:p w14:paraId="27E43511">
      <w:pPr>
        <w:pStyle w:val="9"/>
        <w:spacing w:after="0" w:line="249" w:lineRule="auto"/>
        <w:rPr>
          <w:rFonts w:hint="eastAsia"/>
        </w:rPr>
      </w:pPr>
      <w:r>
        <w:rPr>
          <w:rFonts w:hint="eastAsia"/>
        </w:rPr>
        <w:t>在此它是完美的，不再是局部的。</w:t>
      </w:r>
    </w:p>
    <w:p w14:paraId="26F7EE38">
      <w:pPr>
        <w:pStyle w:val="9"/>
        <w:spacing w:after="0" w:line="249" w:lineRule="auto"/>
        <w:rPr>
          <w:rFonts w:hint="eastAsia"/>
        </w:rPr>
      </w:pPr>
    </w:p>
    <w:p w14:paraId="4817CC0B">
      <w:pPr>
        <w:pStyle w:val="9"/>
        <w:spacing w:after="0" w:line="249" w:lineRule="auto"/>
        <w:rPr>
          <w:rFonts w:hint="eastAsia"/>
        </w:rPr>
      </w:pPr>
      <w:r>
        <w:rPr>
          <w:rFonts w:hint="eastAsia"/>
        </w:rPr>
        <w:t>Here the saints walk by sight, and no longer by faith.</w:t>
      </w:r>
    </w:p>
    <w:p w14:paraId="06D82DCD">
      <w:pPr>
        <w:pStyle w:val="9"/>
        <w:spacing w:after="0" w:line="249" w:lineRule="auto"/>
        <w:rPr>
          <w:rFonts w:hint="eastAsia"/>
        </w:rPr>
      </w:pPr>
      <w:r>
        <w:rPr>
          <w:rFonts w:hint="eastAsia"/>
        </w:rPr>
        <w:t>在此圣徒们凭眼见行事，不再凭信心。</w:t>
      </w:r>
    </w:p>
    <w:p w14:paraId="2C31E72E">
      <w:pPr>
        <w:pStyle w:val="9"/>
        <w:spacing w:after="0" w:line="249" w:lineRule="auto"/>
        <w:rPr>
          <w:rFonts w:hint="eastAsia"/>
        </w:rPr>
      </w:pPr>
    </w:p>
    <w:p w14:paraId="03DC8DB1">
      <w:pPr>
        <w:pStyle w:val="9"/>
        <w:spacing w:after="0" w:line="249" w:lineRule="auto"/>
        <w:rPr>
          <w:rFonts w:hint="eastAsia"/>
        </w:rPr>
      </w:pPr>
      <w:r>
        <w:rPr>
          <w:rFonts w:hint="eastAsia"/>
        </w:rPr>
        <w:t>Here heaven and earth are one, and no longer separated by a veil of sin or judgment.</w:t>
      </w:r>
    </w:p>
    <w:p w14:paraId="5E10C2F0">
      <w:pPr>
        <w:pStyle w:val="9"/>
        <w:spacing w:after="0" w:line="249" w:lineRule="auto"/>
        <w:rPr>
          <w:rFonts w:hint="eastAsia"/>
        </w:rPr>
      </w:pPr>
      <w:r>
        <w:rPr>
          <w:rFonts w:hint="eastAsia"/>
        </w:rPr>
        <w:t>在此天地合一，不再被罪或审判的幔子所隔开。</w:t>
      </w:r>
    </w:p>
    <w:p w14:paraId="2C97C976">
      <w:pPr>
        <w:pStyle w:val="9"/>
        <w:spacing w:after="0" w:line="249" w:lineRule="auto"/>
        <w:rPr>
          <w:rFonts w:hint="eastAsia"/>
        </w:rPr>
      </w:pPr>
    </w:p>
    <w:p w14:paraId="1DE0F905">
      <w:pPr>
        <w:pStyle w:val="9"/>
        <w:spacing w:after="0" w:line="249" w:lineRule="auto"/>
        <w:rPr>
          <w:rFonts w:hint="eastAsia"/>
        </w:rPr>
      </w:pPr>
      <w:r>
        <w:rPr>
          <w:rFonts w:hint="eastAsia"/>
        </w:rPr>
        <w:t>Here, in a single unending Day illuminated by the glory of God himself, the promise of the Eternal Covenant will be fulfilled.</w:t>
      </w:r>
    </w:p>
    <w:p w14:paraId="5A26BB7E">
      <w:pPr>
        <w:pStyle w:val="9"/>
        <w:spacing w:after="0" w:line="249" w:lineRule="auto"/>
        <w:rPr>
          <w:rFonts w:hint="eastAsia"/>
        </w:rPr>
      </w:pPr>
      <w:r>
        <w:rPr>
          <w:rFonts w:hint="eastAsia"/>
        </w:rPr>
        <w:t>在此，在一个由上帝自己荣耀所照亮的、单一无尽的日子里，永恒之约的应许将得以实现。</w:t>
      </w:r>
    </w:p>
    <w:p w14:paraId="287C4457">
      <w:pPr>
        <w:pStyle w:val="9"/>
        <w:spacing w:after="0" w:line="249" w:lineRule="auto"/>
        <w:rPr>
          <w:rFonts w:hint="eastAsia"/>
        </w:rPr>
      </w:pPr>
    </w:p>
    <w:p w14:paraId="0338CCFF">
      <w:pPr>
        <w:pStyle w:val="9"/>
        <w:spacing w:after="0" w:line="249" w:lineRule="auto"/>
        <w:rPr>
          <w:rFonts w:hint="eastAsia"/>
        </w:rPr>
      </w:pPr>
      <w:r>
        <w:rPr>
          <w:rFonts w:hint="eastAsia"/>
        </w:rPr>
        <w:t>The saints will be God’s people, and he will be their God: fully, finally, and forevermore.</w:t>
      </w:r>
    </w:p>
    <w:p w14:paraId="5533C4A3">
      <w:pPr>
        <w:pStyle w:val="9"/>
        <w:spacing w:after="0" w:line="249" w:lineRule="auto"/>
        <w:rPr>
          <w:rFonts w:hint="eastAsia"/>
        </w:rPr>
      </w:pPr>
      <w:r>
        <w:rPr>
          <w:rFonts w:hint="eastAsia"/>
        </w:rPr>
        <w:t>圣徒们将作上帝的子民，祂将作他们的上帝：完全地、最终地、直到永远。</w:t>
      </w:r>
    </w:p>
    <w:p w14:paraId="46A5BAAB">
      <w:pPr>
        <w:pStyle w:val="9"/>
        <w:spacing w:after="0" w:line="249" w:lineRule="auto"/>
        <w:rPr>
          <w:rFonts w:hint="eastAsia"/>
        </w:rPr>
      </w:pPr>
    </w:p>
    <w:p w14:paraId="3B3E169C">
      <w:pPr>
        <w:pStyle w:val="9"/>
        <w:spacing w:after="0" w:line="249" w:lineRule="auto"/>
        <w:rPr>
          <w:rFonts w:hint="eastAsia"/>
        </w:rPr>
      </w:pPr>
      <w:r>
        <w:rPr>
          <w:rFonts w:hint="eastAsia"/>
        </w:rPr>
        <w:t>Key #3: NT Teaching about the Covenant and the Kingdom</w:t>
      </w:r>
    </w:p>
    <w:p w14:paraId="29133D56">
      <w:pPr>
        <w:pStyle w:val="9"/>
        <w:spacing w:after="0" w:line="249" w:lineRule="auto"/>
        <w:rPr>
          <w:rFonts w:hint="eastAsia"/>
        </w:rPr>
      </w:pPr>
      <w:r>
        <w:rPr>
          <w:rFonts w:hint="eastAsia"/>
        </w:rPr>
        <w:t>钥匙 #3：新约关于圣约和国度的教导</w:t>
      </w:r>
    </w:p>
    <w:p w14:paraId="66385736">
      <w:pPr>
        <w:pStyle w:val="9"/>
        <w:spacing w:after="0" w:line="249" w:lineRule="auto"/>
        <w:rPr>
          <w:rFonts w:hint="eastAsia"/>
        </w:rPr>
      </w:pPr>
    </w:p>
    <w:p w14:paraId="5FCE2DF8">
      <w:pPr>
        <w:pStyle w:val="9"/>
        <w:spacing w:after="0" w:line="249" w:lineRule="auto"/>
        <w:rPr>
          <w:rFonts w:hint="eastAsia"/>
        </w:rPr>
      </w:pPr>
      <w:r>
        <w:rPr>
          <w:rFonts w:hint="eastAsia"/>
        </w:rPr>
        <w:t>We first touched on this crucially important theme in chapter 5, where we saw that Christ closely associated the Kingdom with a New Covenant; a Covenant that he himself was introducing; a Covenant that would bring new, abiding institutions, and new, abiding spiritual blessings; a Covenant that was indeed foreshadowed and predicted in the Old, but would soon fulfill the Old, replace it, and render it forever obsolete.</w:t>
      </w:r>
    </w:p>
    <w:p w14:paraId="1D734157">
      <w:pPr>
        <w:pStyle w:val="9"/>
        <w:spacing w:after="0" w:line="249" w:lineRule="auto"/>
        <w:rPr>
          <w:rFonts w:hint="eastAsia"/>
        </w:rPr>
      </w:pPr>
      <w:r>
        <w:rPr>
          <w:rFonts w:hint="eastAsia"/>
        </w:rPr>
        <w:t>我们首先在第五章触及了这个至关重要的主题，在那里我们看到基督将国度与一个新约紧密联系在一起；一个祂亲自引入的约；一个将带来新的、持久的制度和新的、持久的属灵祝福的约；一个确实在旧约中被预示和预言，但很快将成全旧约、取代它并使其永远过时的约。</w:t>
      </w:r>
    </w:p>
    <w:p w14:paraId="7760FCBF">
      <w:pPr>
        <w:pStyle w:val="9"/>
        <w:spacing w:after="0" w:line="249" w:lineRule="auto"/>
        <w:rPr>
          <w:rFonts w:hint="eastAsia"/>
        </w:rPr>
      </w:pPr>
    </w:p>
    <w:p w14:paraId="5F73E360">
      <w:pPr>
        <w:pStyle w:val="9"/>
        <w:spacing w:after="0" w:line="249" w:lineRule="auto"/>
        <w:rPr>
          <w:rFonts w:hint="eastAsia"/>
        </w:rPr>
      </w:pPr>
      <w:r>
        <w:rPr>
          <w:rFonts w:hint="eastAsia"/>
        </w:rPr>
        <w:t>Seeing, then, that this New Covenant was of such tremendous eschatological importance, we devoted chapters 7 and 8 to investigating it thoroughly.</w:t>
      </w:r>
    </w:p>
    <w:p w14:paraId="240106B9">
      <w:pPr>
        <w:pStyle w:val="9"/>
        <w:spacing w:after="0" w:line="249" w:lineRule="auto"/>
        <w:rPr>
          <w:rFonts w:hint="eastAsia"/>
        </w:rPr>
      </w:pPr>
      <w:r>
        <w:rPr>
          <w:rFonts w:hint="eastAsia"/>
        </w:rPr>
        <w:t>因此，看到这个新约具有如此巨大的末世论重要性，我们用了第七章和第八章来彻底地研究它。</w:t>
      </w:r>
    </w:p>
    <w:p w14:paraId="194CFD75">
      <w:pPr>
        <w:pStyle w:val="9"/>
        <w:spacing w:after="0" w:line="249" w:lineRule="auto"/>
        <w:rPr>
          <w:rFonts w:hint="eastAsia"/>
        </w:rPr>
      </w:pPr>
    </w:p>
    <w:p w14:paraId="23D86ABA">
      <w:pPr>
        <w:pStyle w:val="9"/>
        <w:spacing w:after="0" w:line="249" w:lineRule="auto"/>
        <w:rPr>
          <w:rFonts w:hint="eastAsia"/>
        </w:rPr>
      </w:pPr>
      <w:r>
        <w:rPr>
          <w:rFonts w:hint="eastAsia"/>
        </w:rPr>
        <w:t>Leaning heavily upon the NT epistles, we discovered three fundamental truths about this, the very heart of Salvation History.</w:t>
      </w:r>
    </w:p>
    <w:p w14:paraId="1E91F7FD">
      <w:pPr>
        <w:pStyle w:val="9"/>
        <w:spacing w:after="0" w:line="249" w:lineRule="auto"/>
        <w:rPr>
          <w:rFonts w:hint="eastAsia"/>
        </w:rPr>
      </w:pPr>
      <w:r>
        <w:rPr>
          <w:rFonts w:hint="eastAsia"/>
        </w:rPr>
        <w:t>我们大量地倚靠新约书信，发现了关于这个救赎历史核心的三个基本真理。</w:t>
      </w:r>
    </w:p>
    <w:p w14:paraId="75A9C522">
      <w:pPr>
        <w:pStyle w:val="9"/>
        <w:spacing w:after="0" w:line="249" w:lineRule="auto"/>
        <w:rPr>
          <w:rFonts w:hint="eastAsia"/>
        </w:rPr>
      </w:pPr>
    </w:p>
    <w:p w14:paraId="31A243B7">
      <w:pPr>
        <w:pStyle w:val="9"/>
        <w:spacing w:after="0" w:line="249" w:lineRule="auto"/>
        <w:rPr>
          <w:rFonts w:hint="eastAsia"/>
        </w:rPr>
      </w:pPr>
      <w:r>
        <w:rPr>
          <w:rFonts w:hint="eastAsia"/>
        </w:rPr>
        <w:t>First, the New Covenant is the Eternal Covenant.</w:t>
      </w:r>
    </w:p>
    <w:p w14:paraId="5F33283D">
      <w:pPr>
        <w:pStyle w:val="9"/>
        <w:spacing w:after="0" w:line="249" w:lineRule="auto"/>
        <w:rPr>
          <w:rFonts w:hint="eastAsia"/>
        </w:rPr>
      </w:pPr>
      <w:r>
        <w:rPr>
          <w:rFonts w:hint="eastAsia"/>
        </w:rPr>
        <w:t>首先，新约是永恒之约。</w:t>
      </w:r>
    </w:p>
    <w:p w14:paraId="23E2D134">
      <w:pPr>
        <w:pStyle w:val="9"/>
        <w:spacing w:after="0" w:line="249" w:lineRule="auto"/>
        <w:rPr>
          <w:rFonts w:hint="eastAsia"/>
        </w:rPr>
      </w:pPr>
    </w:p>
    <w:p w14:paraId="7BADB228">
      <w:pPr>
        <w:pStyle w:val="9"/>
        <w:spacing w:after="0" w:line="249" w:lineRule="auto"/>
        <w:rPr>
          <w:rFonts w:hint="eastAsia"/>
        </w:rPr>
      </w:pPr>
      <w:r>
        <w:rPr>
          <w:rFonts w:hint="eastAsia"/>
        </w:rPr>
        <w:t>That is, the New Covenant that Christ introduced by means of his work on earth was none other than the great mystery of God: the one Christ-centered Plan of Salvation, formulated before the foundation of the world.</w:t>
      </w:r>
    </w:p>
    <w:p w14:paraId="26DCD732">
      <w:pPr>
        <w:pStyle w:val="9"/>
        <w:spacing w:after="0" w:line="249" w:lineRule="auto"/>
        <w:rPr>
          <w:rFonts w:hint="eastAsia"/>
        </w:rPr>
      </w:pPr>
      <w:r>
        <w:rPr>
          <w:rFonts w:hint="eastAsia"/>
        </w:rPr>
        <w:t>也就是说，基督藉着祂在世上的工作所引入的新约，正是上帝伟大的奥秘：那独一的、以基督为中心的救恩计划，是在创世以前就制定的。</w:t>
      </w:r>
    </w:p>
    <w:p w14:paraId="75D11699">
      <w:pPr>
        <w:pStyle w:val="9"/>
        <w:spacing w:after="0" w:line="249" w:lineRule="auto"/>
        <w:rPr>
          <w:rFonts w:hint="eastAsia"/>
        </w:rPr>
      </w:pPr>
    </w:p>
    <w:p w14:paraId="2239EEE1">
      <w:pPr>
        <w:pStyle w:val="9"/>
        <w:spacing w:after="0" w:line="249" w:lineRule="auto"/>
        <w:rPr>
          <w:rFonts w:hint="eastAsia"/>
        </w:rPr>
      </w:pPr>
      <w:r>
        <w:rPr>
          <w:rFonts w:hint="eastAsia"/>
        </w:rPr>
        <w:t>Again, it was the heart and soul of all Salvation History.</w:t>
      </w:r>
    </w:p>
    <w:p w14:paraId="0BFC0E34">
      <w:pPr>
        <w:pStyle w:val="9"/>
        <w:spacing w:after="0" w:line="249" w:lineRule="auto"/>
        <w:rPr>
          <w:rFonts w:hint="eastAsia"/>
        </w:rPr>
      </w:pPr>
      <w:r>
        <w:rPr>
          <w:rFonts w:hint="eastAsia"/>
        </w:rPr>
        <w:t>再者，它是所有救赎历史的核心和灵魂。</w:t>
      </w:r>
    </w:p>
    <w:p w14:paraId="364383E8">
      <w:pPr>
        <w:pStyle w:val="9"/>
        <w:spacing w:after="0" w:line="249" w:lineRule="auto"/>
        <w:rPr>
          <w:rFonts w:hint="eastAsia"/>
        </w:rPr>
      </w:pPr>
    </w:p>
    <w:p w14:paraId="715004C8">
      <w:pPr>
        <w:pStyle w:val="9"/>
        <w:spacing w:after="0" w:line="249" w:lineRule="auto"/>
        <w:rPr>
          <w:rFonts w:hint="eastAsia"/>
        </w:rPr>
      </w:pPr>
      <w:r>
        <w:rPr>
          <w:rFonts w:hint="eastAsia"/>
        </w:rPr>
        <w:t>We saw that this Covenant is two-sided, being comprised of a Covenant of Redemption between the Father and the Son, and a Covenant of Grace between God and his believing people.</w:t>
      </w:r>
    </w:p>
    <w:p w14:paraId="03ABE3F6">
      <w:pPr>
        <w:pStyle w:val="9"/>
        <w:spacing w:after="0" w:line="249" w:lineRule="auto"/>
        <w:rPr>
          <w:rFonts w:hint="eastAsia"/>
        </w:rPr>
      </w:pPr>
      <w:r>
        <w:rPr>
          <w:rFonts w:hint="eastAsia"/>
        </w:rPr>
        <w:t>我们看到这个约是双面的，由父与子之间的救赎之约，以及上帝与祂相信的子民之间的恩典之约组成。</w:t>
      </w:r>
    </w:p>
    <w:p w14:paraId="161653E6">
      <w:pPr>
        <w:pStyle w:val="9"/>
        <w:spacing w:after="0" w:line="249" w:lineRule="auto"/>
        <w:rPr>
          <w:rFonts w:hint="eastAsia"/>
        </w:rPr>
      </w:pPr>
    </w:p>
    <w:p w14:paraId="5A43B04F">
      <w:pPr>
        <w:pStyle w:val="9"/>
        <w:spacing w:after="0" w:line="249" w:lineRule="auto"/>
        <w:rPr>
          <w:rFonts w:hint="eastAsia"/>
        </w:rPr>
      </w:pPr>
      <w:r>
        <w:rPr>
          <w:rFonts w:hint="eastAsia"/>
        </w:rPr>
        <w:t>Having studied the elements of each in some detail, we realized that the Kingdom of God is none other than the Promise of the Eternal Covenant.</w:t>
      </w:r>
    </w:p>
    <w:p w14:paraId="5B00AEC0">
      <w:pPr>
        <w:pStyle w:val="9"/>
        <w:spacing w:after="0" w:line="249" w:lineRule="auto"/>
        <w:rPr>
          <w:rFonts w:hint="eastAsia"/>
        </w:rPr>
      </w:pPr>
      <w:r>
        <w:rPr>
          <w:rFonts w:hint="eastAsia"/>
        </w:rPr>
        <w:t>在详细研究了每一个的要素之后，我们意识到上帝的国正是永恒之约的应许。</w:t>
      </w:r>
    </w:p>
    <w:p w14:paraId="0055FE30">
      <w:pPr>
        <w:pStyle w:val="9"/>
        <w:spacing w:after="0" w:line="249" w:lineRule="auto"/>
        <w:rPr>
          <w:rFonts w:hint="eastAsia"/>
        </w:rPr>
      </w:pPr>
    </w:p>
    <w:p w14:paraId="1396A80C">
      <w:pPr>
        <w:pStyle w:val="9"/>
        <w:spacing w:after="0" w:line="249" w:lineRule="auto"/>
        <w:rPr>
          <w:rFonts w:hint="eastAsia"/>
        </w:rPr>
      </w:pPr>
      <w:r>
        <w:rPr>
          <w:rFonts w:hint="eastAsia"/>
        </w:rPr>
        <w:t>With respect to the Covenant of Redemption, it is the Promise of the Father to his Son; namely, that in virtue of his obedience unto all humiliation, God will highly exalt him, making him “… Head (and King) over all things to the Church” (Eph. 1:22).</w:t>
      </w:r>
    </w:p>
    <w:p w14:paraId="7492A82C">
      <w:pPr>
        <w:pStyle w:val="9"/>
        <w:spacing w:after="0" w:line="249" w:lineRule="auto"/>
        <w:rPr>
          <w:rFonts w:hint="eastAsia"/>
        </w:rPr>
      </w:pPr>
      <w:r>
        <w:rPr>
          <w:rFonts w:hint="eastAsia"/>
        </w:rPr>
        <w:t>关于救赎之约，它是父对祂儿子的应许；即，凭着祂顺服至一切降卑，上帝将高举祂，使祂“……为教会作万有之首（和君王）”（弗 1:22）。</w:t>
      </w:r>
    </w:p>
    <w:p w14:paraId="17E796C0">
      <w:pPr>
        <w:pStyle w:val="9"/>
        <w:spacing w:after="0" w:line="249" w:lineRule="auto"/>
        <w:rPr>
          <w:rFonts w:hint="eastAsia"/>
        </w:rPr>
      </w:pPr>
    </w:p>
    <w:p w14:paraId="58D16DE9">
      <w:pPr>
        <w:pStyle w:val="9"/>
        <w:spacing w:after="0" w:line="249" w:lineRule="auto"/>
        <w:rPr>
          <w:rFonts w:hint="eastAsia"/>
        </w:rPr>
      </w:pPr>
      <w:r>
        <w:rPr>
          <w:rFonts w:hint="eastAsia"/>
        </w:rPr>
        <w:t>With respect to the Covenant of Grace, it is the direct reign of God through Christ, offered in Eden to the first Adam (and his kin) in the Covenant of Works, forfeited by the first Adam through his great transgression, but regained for God’s people by the Last Adam through his perfect obedience in life and death (Rom. 5:12ff).</w:t>
      </w:r>
    </w:p>
    <w:p w14:paraId="2E291E37">
      <w:pPr>
        <w:pStyle w:val="9"/>
        <w:spacing w:after="0" w:line="249" w:lineRule="auto"/>
        <w:rPr>
          <w:rFonts w:hint="eastAsia"/>
        </w:rPr>
      </w:pPr>
      <w:r>
        <w:rPr>
          <w:rFonts w:hint="eastAsia"/>
        </w:rPr>
        <w:t>关于恩典之约，它是上帝通过基督的直接统治，在伊甸园中通过行为之约提供给首先的亚当（和他的亲族），被首先的亚当因他的大过犯而丧失，但由末后的亚当通过祂在生与死中的完美顺服为上帝的子民重新获得（罗 5:12ff）。</w:t>
      </w:r>
    </w:p>
    <w:p w14:paraId="202F0DF9">
      <w:pPr>
        <w:pStyle w:val="9"/>
        <w:spacing w:after="0" w:line="249" w:lineRule="auto"/>
        <w:rPr>
          <w:rFonts w:hint="eastAsia"/>
        </w:rPr>
      </w:pPr>
    </w:p>
    <w:p w14:paraId="27D370AB">
      <w:pPr>
        <w:pStyle w:val="9"/>
        <w:spacing w:after="0" w:line="249" w:lineRule="auto"/>
        <w:rPr>
          <w:rFonts w:hint="eastAsia"/>
        </w:rPr>
      </w:pPr>
      <w:r>
        <w:rPr>
          <w:rFonts w:hint="eastAsia"/>
        </w:rPr>
        <w:t>Therefore, because the Promise of the Eternal Covenant and the Kingdom of God are one and the same, there is an indissoluble connection between the divine administration of the Covenant of Grace in history, and the coming of the Kingdom of God.</w:t>
      </w:r>
    </w:p>
    <w:p w14:paraId="6C4C856F">
      <w:pPr>
        <w:pStyle w:val="9"/>
        <w:spacing w:after="0" w:line="249" w:lineRule="auto"/>
        <w:rPr>
          <w:rFonts w:hint="eastAsia"/>
        </w:rPr>
      </w:pPr>
      <w:r>
        <w:rPr>
          <w:rFonts w:hint="eastAsia"/>
        </w:rPr>
        <w:t>因此，因为永恒之约的应许与上帝的国是同一回事，所以在历史中神圣地施行恩典之约与上帝之国的降临之间，存在着不可分割的联系。</w:t>
      </w:r>
    </w:p>
    <w:p w14:paraId="68D44AE1">
      <w:pPr>
        <w:pStyle w:val="9"/>
        <w:spacing w:after="0" w:line="249" w:lineRule="auto"/>
        <w:rPr>
          <w:rFonts w:hint="eastAsia"/>
        </w:rPr>
      </w:pPr>
    </w:p>
    <w:p w14:paraId="58F75A59">
      <w:pPr>
        <w:pStyle w:val="9"/>
        <w:spacing w:after="0" w:line="249" w:lineRule="auto"/>
        <w:rPr>
          <w:rFonts w:hint="eastAsia"/>
        </w:rPr>
      </w:pPr>
      <w:r>
        <w:rPr>
          <w:rFonts w:hint="eastAsia"/>
        </w:rPr>
        <w:t>Secondly, Salvation History is properly conceived as a progressive administration of the one Eternal Covenant.</w:t>
      </w:r>
    </w:p>
    <w:p w14:paraId="059F8F2B">
      <w:pPr>
        <w:pStyle w:val="9"/>
        <w:spacing w:after="0" w:line="249" w:lineRule="auto"/>
        <w:rPr>
          <w:rFonts w:hint="eastAsia"/>
        </w:rPr>
      </w:pPr>
      <w:r>
        <w:rPr>
          <w:rFonts w:hint="eastAsia"/>
        </w:rPr>
        <w:t>其次，救赎历史被恰当地理解为那独一永恒之约的渐进施行。</w:t>
      </w:r>
    </w:p>
    <w:p w14:paraId="5732EA42">
      <w:pPr>
        <w:pStyle w:val="9"/>
        <w:spacing w:after="0" w:line="249" w:lineRule="auto"/>
        <w:rPr>
          <w:rFonts w:hint="eastAsia"/>
        </w:rPr>
      </w:pPr>
    </w:p>
    <w:p w14:paraId="75764E93">
      <w:pPr>
        <w:pStyle w:val="9"/>
        <w:spacing w:after="0" w:line="249" w:lineRule="auto"/>
        <w:rPr>
          <w:rFonts w:hint="eastAsia"/>
        </w:rPr>
      </w:pPr>
      <w:r>
        <w:rPr>
          <w:rFonts w:hint="eastAsia"/>
        </w:rPr>
        <w:t>Our survey of God’s actions in biblical history clearly revealed a God with a goal.</w:t>
      </w:r>
    </w:p>
    <w:p w14:paraId="47771A81">
      <w:pPr>
        <w:pStyle w:val="9"/>
        <w:spacing w:after="0" w:line="249" w:lineRule="auto"/>
        <w:rPr>
          <w:rFonts w:hint="eastAsia"/>
        </w:rPr>
      </w:pPr>
      <w:r>
        <w:rPr>
          <w:rFonts w:hint="eastAsia"/>
        </w:rPr>
        <w:t>我们对上帝在圣经历史中作为的考察，清楚地揭示了一位有目标的上帝。</w:t>
      </w:r>
    </w:p>
    <w:p w14:paraId="41ABBE5F">
      <w:pPr>
        <w:pStyle w:val="9"/>
        <w:spacing w:after="0" w:line="249" w:lineRule="auto"/>
        <w:rPr>
          <w:rFonts w:hint="eastAsia"/>
        </w:rPr>
      </w:pPr>
    </w:p>
    <w:p w14:paraId="1D52B820">
      <w:pPr>
        <w:pStyle w:val="9"/>
        <w:spacing w:after="0" w:line="249" w:lineRule="auto"/>
        <w:rPr>
          <w:rFonts w:hint="eastAsia"/>
        </w:rPr>
      </w:pPr>
      <w:r>
        <w:rPr>
          <w:rFonts w:hint="eastAsia"/>
        </w:rPr>
        <w:t>Throughout OT times, he had a plan, formulated in eternity past: the Eternal Covenant.</w:t>
      </w:r>
    </w:p>
    <w:p w14:paraId="1B628F37">
      <w:pPr>
        <w:pStyle w:val="9"/>
        <w:spacing w:after="0" w:line="249" w:lineRule="auto"/>
        <w:rPr>
          <w:rFonts w:hint="eastAsia"/>
        </w:rPr>
      </w:pPr>
      <w:r>
        <w:rPr>
          <w:rFonts w:hint="eastAsia"/>
        </w:rPr>
        <w:t>在整个旧约时代，祂有一个在永恒过去制定的计划：永恒之约。</w:t>
      </w:r>
    </w:p>
    <w:p w14:paraId="37ADE7AE">
      <w:pPr>
        <w:pStyle w:val="9"/>
        <w:spacing w:after="0" w:line="249" w:lineRule="auto"/>
        <w:rPr>
          <w:rFonts w:hint="eastAsia"/>
        </w:rPr>
      </w:pPr>
    </w:p>
    <w:p w14:paraId="081324AC">
      <w:pPr>
        <w:pStyle w:val="9"/>
        <w:spacing w:after="0" w:line="249" w:lineRule="auto"/>
        <w:rPr>
          <w:rFonts w:hint="eastAsia"/>
        </w:rPr>
      </w:pPr>
      <w:r>
        <w:rPr>
          <w:rFonts w:hint="eastAsia"/>
        </w:rPr>
        <w:t>He was eager to manifest that plan, to unveil it as it really is in the (twofold ) Era of Fulfillment.</w:t>
      </w:r>
    </w:p>
    <w:p w14:paraId="3AE49A0D">
      <w:pPr>
        <w:pStyle w:val="9"/>
        <w:spacing w:after="0" w:line="249" w:lineRule="auto"/>
        <w:rPr>
          <w:rFonts w:hint="eastAsia"/>
        </w:rPr>
      </w:pPr>
      <w:r>
        <w:rPr>
          <w:rFonts w:hint="eastAsia"/>
        </w:rPr>
        <w:t>祂渴望彰显那个计划，在（双重的）成全时代中揭示其真面目。</w:t>
      </w:r>
    </w:p>
    <w:p w14:paraId="5F390D1D">
      <w:pPr>
        <w:pStyle w:val="9"/>
        <w:spacing w:after="0" w:line="249" w:lineRule="auto"/>
        <w:rPr>
          <w:rFonts w:hint="eastAsia"/>
        </w:rPr>
      </w:pPr>
    </w:p>
    <w:p w14:paraId="28A6DB2F">
      <w:pPr>
        <w:pStyle w:val="9"/>
        <w:spacing w:after="0" w:line="249" w:lineRule="auto"/>
        <w:rPr>
          <w:rFonts w:hint="eastAsia"/>
        </w:rPr>
      </w:pPr>
      <w:r>
        <w:rPr>
          <w:rFonts w:hint="eastAsia"/>
        </w:rPr>
        <w:t>In other words, God was eager for history to reach the fullness of time, the last days, the appointed season in which he would send his Son into the world in order to manifest —both in Scripture and historical experience—the true parties, provision, promise, proviso, and penalty of the Eternal Covenant.</w:t>
      </w:r>
    </w:p>
    <w:p w14:paraId="6AD17244">
      <w:pPr>
        <w:pStyle w:val="9"/>
        <w:spacing w:after="0" w:line="249" w:lineRule="auto"/>
        <w:rPr>
          <w:rFonts w:hint="eastAsia"/>
        </w:rPr>
      </w:pPr>
      <w:r>
        <w:rPr>
          <w:rFonts w:hint="eastAsia"/>
        </w:rPr>
        <w:t>换句话说，上帝渴望历史达到时候满足，即末后的日子，指定的季节，届时祂将差遣祂的儿子进入世界，以便——在圣经和历史经验中——彰显永恒之约的真正立约方、预备、应许、附带条件和刑罚。</w:t>
      </w:r>
    </w:p>
    <w:p w14:paraId="73060D11">
      <w:pPr>
        <w:pStyle w:val="9"/>
        <w:spacing w:after="0" w:line="249" w:lineRule="auto"/>
        <w:rPr>
          <w:rFonts w:hint="eastAsia"/>
        </w:rPr>
      </w:pPr>
    </w:p>
    <w:p w14:paraId="254E6608">
      <w:pPr>
        <w:pStyle w:val="9"/>
        <w:spacing w:after="0" w:line="249" w:lineRule="auto"/>
        <w:rPr>
          <w:rFonts w:hint="eastAsia"/>
        </w:rPr>
      </w:pPr>
      <w:r>
        <w:rPr>
          <w:rFonts w:hint="eastAsia"/>
        </w:rPr>
        <w:t>Here, then, is the great goal of Salvation History.</w:t>
      </w:r>
    </w:p>
    <w:p w14:paraId="45B346A3">
      <w:pPr>
        <w:pStyle w:val="9"/>
        <w:spacing w:after="0" w:line="249" w:lineRule="auto"/>
        <w:rPr>
          <w:rFonts w:hint="eastAsia"/>
        </w:rPr>
      </w:pPr>
      <w:r>
        <w:rPr>
          <w:rFonts w:hint="eastAsia"/>
        </w:rPr>
        <w:t>那么，这就是救赎历史的伟大目标。</w:t>
      </w:r>
    </w:p>
    <w:p w14:paraId="1086EB26">
      <w:pPr>
        <w:pStyle w:val="9"/>
        <w:spacing w:after="0" w:line="249" w:lineRule="auto"/>
        <w:rPr>
          <w:rFonts w:hint="eastAsia"/>
        </w:rPr>
      </w:pPr>
    </w:p>
    <w:p w14:paraId="21C42D3D">
      <w:pPr>
        <w:pStyle w:val="9"/>
        <w:spacing w:after="0" w:line="249" w:lineRule="auto"/>
        <w:rPr>
          <w:rFonts w:hint="eastAsia"/>
        </w:rPr>
      </w:pPr>
      <w:r>
        <w:rPr>
          <w:rFonts w:hint="eastAsia"/>
        </w:rPr>
        <w:t>However, for wise reasons, God determined to reach that goal progressively, in stages.</w:t>
      </w:r>
    </w:p>
    <w:p w14:paraId="75F82174">
      <w:pPr>
        <w:pStyle w:val="9"/>
        <w:spacing w:after="0" w:line="249" w:lineRule="auto"/>
        <w:rPr>
          <w:rFonts w:hint="eastAsia"/>
        </w:rPr>
      </w:pPr>
      <w:r>
        <w:rPr>
          <w:rFonts w:hint="eastAsia"/>
        </w:rPr>
        <w:t>然而，出于智慧的缘故，上帝决定分阶段、逐步地达到那个目标。</w:t>
      </w:r>
    </w:p>
    <w:p w14:paraId="5B357030">
      <w:pPr>
        <w:pStyle w:val="9"/>
        <w:spacing w:after="0" w:line="249" w:lineRule="auto"/>
        <w:rPr>
          <w:rFonts w:hint="eastAsia"/>
        </w:rPr>
      </w:pPr>
    </w:p>
    <w:p w14:paraId="4B460D10">
      <w:pPr>
        <w:pStyle w:val="9"/>
        <w:spacing w:after="0" w:line="249" w:lineRule="auto"/>
        <w:rPr>
          <w:rFonts w:hint="eastAsia"/>
        </w:rPr>
      </w:pPr>
      <w:r>
        <w:rPr>
          <w:rFonts w:hint="eastAsia"/>
        </w:rPr>
        <w:t>More particularly, he determined to reach it by a series of administrations of the Eternal Covenant.</w:t>
      </w:r>
    </w:p>
    <w:p w14:paraId="0C140B29">
      <w:pPr>
        <w:pStyle w:val="9"/>
        <w:spacing w:after="0" w:line="249" w:lineRule="auto"/>
        <w:rPr>
          <w:rFonts w:hint="eastAsia"/>
        </w:rPr>
      </w:pPr>
      <w:r>
        <w:rPr>
          <w:rFonts w:hint="eastAsia"/>
        </w:rPr>
        <w:t>更具体地说，祂决定通过一系列对永恒之约的施行来达到它。</w:t>
      </w:r>
    </w:p>
    <w:p w14:paraId="5D8935E7">
      <w:pPr>
        <w:pStyle w:val="9"/>
        <w:spacing w:after="0" w:line="249" w:lineRule="auto"/>
        <w:rPr>
          <w:rFonts w:hint="eastAsia"/>
        </w:rPr>
      </w:pPr>
    </w:p>
    <w:p w14:paraId="4B9D7130">
      <w:pPr>
        <w:pStyle w:val="9"/>
        <w:spacing w:after="0" w:line="249" w:lineRule="auto"/>
        <w:rPr>
          <w:rFonts w:hint="eastAsia"/>
        </w:rPr>
      </w:pPr>
      <w:r>
        <w:rPr>
          <w:rFonts w:hint="eastAsia"/>
        </w:rPr>
        <w:t>There are six of them, each of which affected (or will affect) the generations of men subsequent to them: the administrations to Adam, Noah, Abraham, Moses/Israel, the Church in the Era of Proclamation and Probation, and the Church at the Parousia, when Christ administers the Promise of the Covenant in fullness to his people and their world.</w:t>
      </w:r>
    </w:p>
    <w:p w14:paraId="04EFBB4B">
      <w:pPr>
        <w:pStyle w:val="9"/>
        <w:spacing w:after="0" w:line="249" w:lineRule="auto"/>
        <w:rPr>
          <w:rFonts w:hint="eastAsia"/>
        </w:rPr>
      </w:pPr>
      <w:r>
        <w:rPr>
          <w:rFonts w:hint="eastAsia"/>
        </w:rPr>
        <w:t>共有六次，每一次都影响了（或将影响）其后的世世代代：向亚当、挪亚、亚伯拉罕、摩西/以色列的施行，在宣讲与察验时代向教会的施行，以及在基督再来时，当基督将圣约的应许完全地施行给祂的子民和他们的世界时，向教会的施行。</w:t>
      </w:r>
    </w:p>
    <w:p w14:paraId="5717F081">
      <w:pPr>
        <w:pStyle w:val="9"/>
        <w:spacing w:after="0" w:line="249" w:lineRule="auto"/>
        <w:rPr>
          <w:rFonts w:hint="eastAsia"/>
        </w:rPr>
      </w:pPr>
    </w:p>
    <w:p w14:paraId="04BF91DC">
      <w:pPr>
        <w:pStyle w:val="9"/>
        <w:spacing w:after="0" w:line="249" w:lineRule="auto"/>
        <w:rPr>
          <w:rFonts w:hint="eastAsia"/>
        </w:rPr>
      </w:pPr>
      <w:r>
        <w:rPr>
          <w:rFonts w:hint="eastAsia"/>
        </w:rPr>
        <w:t>The biblical revelation of these serial administrations gives us Salvation History as a whole; it unveils what might be called the Body of Salvation History.</w:t>
      </w:r>
    </w:p>
    <w:p w14:paraId="344C53C1">
      <w:pPr>
        <w:pStyle w:val="9"/>
        <w:spacing w:after="0" w:line="249" w:lineRule="auto"/>
        <w:rPr>
          <w:rFonts w:hint="eastAsia"/>
        </w:rPr>
      </w:pPr>
      <w:r>
        <w:rPr>
          <w:rFonts w:hint="eastAsia"/>
        </w:rPr>
        <w:t>这些相继施行的圣经启示，给了我们救赎历史的全貌；它揭示了可称为救赎历史的身体。</w:t>
      </w:r>
    </w:p>
    <w:p w14:paraId="2036417D">
      <w:pPr>
        <w:pStyle w:val="9"/>
        <w:spacing w:after="0" w:line="249" w:lineRule="auto"/>
        <w:rPr>
          <w:rFonts w:hint="eastAsia"/>
        </w:rPr>
      </w:pPr>
    </w:p>
    <w:p w14:paraId="299DC861">
      <w:pPr>
        <w:pStyle w:val="9"/>
        <w:spacing w:after="0" w:line="249" w:lineRule="auto"/>
        <w:rPr>
          <w:rFonts w:hint="eastAsia"/>
        </w:rPr>
      </w:pPr>
      <w:r>
        <w:rPr>
          <w:rFonts w:hint="eastAsia"/>
        </w:rPr>
        <w:t>The heart of the Body is the Eternal Covenant itself; the skeleton is the six administrations of the Covenant; the flesh is all who have ever encountered and responded to the Covenant, whether in faith or unbelief, obedience or rebellion.</w:t>
      </w:r>
    </w:p>
    <w:p w14:paraId="44AD6F90">
      <w:pPr>
        <w:pStyle w:val="9"/>
        <w:spacing w:after="0" w:line="249" w:lineRule="auto"/>
        <w:rPr>
          <w:rFonts w:hint="eastAsia"/>
        </w:rPr>
      </w:pPr>
      <w:r>
        <w:rPr>
          <w:rFonts w:hint="eastAsia"/>
        </w:rPr>
        <w:t>身体的心脏是永恒之约本身；骨架是约的六次施行；血肉是所有曾遇见并回应约的人，无论是以信心还是不信，顺服还是悖逆。</w:t>
      </w:r>
    </w:p>
    <w:p w14:paraId="4DCF0625">
      <w:pPr>
        <w:pStyle w:val="9"/>
        <w:spacing w:after="0" w:line="249" w:lineRule="auto"/>
        <w:rPr>
          <w:rFonts w:hint="eastAsia"/>
        </w:rPr>
      </w:pPr>
    </w:p>
    <w:p w14:paraId="49F79316">
      <w:pPr>
        <w:pStyle w:val="9"/>
        <w:spacing w:after="0" w:line="249" w:lineRule="auto"/>
        <w:rPr>
          <w:rFonts w:hint="eastAsia"/>
        </w:rPr>
      </w:pPr>
      <w:r>
        <w:rPr>
          <w:rFonts w:hint="eastAsia"/>
        </w:rPr>
        <w:t>Thirdly, the several administrations of the Covenant fall into two broad categories.</w:t>
      </w:r>
    </w:p>
    <w:p w14:paraId="157185C2">
      <w:pPr>
        <w:pStyle w:val="9"/>
        <w:spacing w:after="0" w:line="249" w:lineRule="auto"/>
        <w:rPr>
          <w:rFonts w:hint="eastAsia"/>
        </w:rPr>
      </w:pPr>
      <w:r>
        <w:rPr>
          <w:rFonts w:hint="eastAsia"/>
        </w:rPr>
        <w:t>第三，约的几次施行可分为两大类。</w:t>
      </w:r>
    </w:p>
    <w:p w14:paraId="531F36E4">
      <w:pPr>
        <w:pStyle w:val="9"/>
        <w:spacing w:after="0" w:line="249" w:lineRule="auto"/>
        <w:rPr>
          <w:rFonts w:hint="eastAsia"/>
        </w:rPr>
      </w:pPr>
    </w:p>
    <w:p w14:paraId="7A0840B4">
      <w:pPr>
        <w:pStyle w:val="9"/>
        <w:spacing w:after="0" w:line="249" w:lineRule="auto"/>
        <w:rPr>
          <w:rFonts w:hint="eastAsia"/>
        </w:rPr>
      </w:pPr>
      <w:r>
        <w:rPr>
          <w:rFonts w:hint="eastAsia"/>
        </w:rPr>
        <w:t>On the one hand, there are four administrations that occur prior to the coming of Christ: the covenants with Adam, Noah, Abraham, and Moses/Israel.</w:t>
      </w:r>
    </w:p>
    <w:p w14:paraId="53183698">
      <w:pPr>
        <w:pStyle w:val="9"/>
        <w:spacing w:after="0" w:line="249" w:lineRule="auto"/>
        <w:rPr>
          <w:rFonts w:hint="eastAsia"/>
        </w:rPr>
      </w:pPr>
      <w:r>
        <w:rPr>
          <w:rFonts w:hint="eastAsia"/>
        </w:rPr>
        <w:t>一方面，有四次施行发生在基督降临之前：与亚当、挪亚、亚伯拉罕和摩西/以色列所立的约。</w:t>
      </w:r>
    </w:p>
    <w:p w14:paraId="501F230E">
      <w:pPr>
        <w:pStyle w:val="9"/>
        <w:spacing w:after="0" w:line="249" w:lineRule="auto"/>
        <w:rPr>
          <w:rFonts w:hint="eastAsia"/>
        </w:rPr>
      </w:pPr>
    </w:p>
    <w:p w14:paraId="408079FC">
      <w:pPr>
        <w:pStyle w:val="9"/>
        <w:spacing w:after="0" w:line="249" w:lineRule="auto"/>
        <w:rPr>
          <w:rFonts w:hint="eastAsia"/>
        </w:rPr>
      </w:pPr>
      <w:r>
        <w:rPr>
          <w:rFonts w:hint="eastAsia"/>
        </w:rPr>
        <w:t>These belong to the Era of Promise and Preparation.</w:t>
      </w:r>
    </w:p>
    <w:p w14:paraId="5880E94D">
      <w:pPr>
        <w:pStyle w:val="9"/>
        <w:spacing w:after="0" w:line="249" w:lineRule="auto"/>
        <w:rPr>
          <w:rFonts w:hint="eastAsia"/>
        </w:rPr>
      </w:pPr>
      <w:r>
        <w:rPr>
          <w:rFonts w:hint="eastAsia"/>
        </w:rPr>
        <w:t>这些属于应许与预备的时代。</w:t>
      </w:r>
    </w:p>
    <w:p w14:paraId="7BF71FF6">
      <w:pPr>
        <w:pStyle w:val="9"/>
        <w:spacing w:after="0" w:line="249" w:lineRule="auto"/>
        <w:rPr>
          <w:rFonts w:hint="eastAsia"/>
        </w:rPr>
      </w:pPr>
    </w:p>
    <w:p w14:paraId="38FEAD8A">
      <w:pPr>
        <w:pStyle w:val="9"/>
        <w:spacing w:after="0" w:line="249" w:lineRule="auto"/>
        <w:rPr>
          <w:rFonts w:hint="eastAsia"/>
        </w:rPr>
      </w:pPr>
      <w:r>
        <w:rPr>
          <w:rFonts w:hint="eastAsia"/>
        </w:rPr>
        <w:t>Here the several elements of the Covenant were not (fully) revealed as they are in and of themselves.</w:t>
      </w:r>
    </w:p>
    <w:p w14:paraId="57BB3ACA">
      <w:pPr>
        <w:pStyle w:val="9"/>
        <w:spacing w:after="0" w:line="249" w:lineRule="auto"/>
        <w:rPr>
          <w:rFonts w:hint="eastAsia"/>
        </w:rPr>
      </w:pPr>
      <w:r>
        <w:rPr>
          <w:rFonts w:hint="eastAsia"/>
        </w:rPr>
        <w:t>在此，约的几个要素并未（完全）以其本身的面貌被启示出来。</w:t>
      </w:r>
    </w:p>
    <w:p w14:paraId="5029FB2A">
      <w:pPr>
        <w:pStyle w:val="9"/>
        <w:spacing w:after="0" w:line="249" w:lineRule="auto"/>
        <w:rPr>
          <w:rFonts w:hint="eastAsia"/>
        </w:rPr>
      </w:pPr>
    </w:p>
    <w:p w14:paraId="27144796">
      <w:pPr>
        <w:pStyle w:val="9"/>
        <w:spacing w:after="0" w:line="249" w:lineRule="auto"/>
        <w:rPr>
          <w:rFonts w:hint="eastAsia"/>
        </w:rPr>
      </w:pPr>
      <w:r>
        <w:rPr>
          <w:rFonts w:hint="eastAsia"/>
        </w:rPr>
        <w:t>Rather, they were revealed under types and shadows; under a vast network of physical persons, places, things, events, and institutions that all point mystically to the “substance” that will fulfill them: the things of Christ and the Covenant (Col. 2:17).</w:t>
      </w:r>
    </w:p>
    <w:p w14:paraId="57A3B73F">
      <w:pPr>
        <w:pStyle w:val="9"/>
        <w:spacing w:after="0" w:line="249" w:lineRule="auto"/>
        <w:rPr>
          <w:rFonts w:hint="eastAsia"/>
        </w:rPr>
      </w:pPr>
      <w:r>
        <w:rPr>
          <w:rFonts w:hint="eastAsia"/>
        </w:rPr>
        <w:t>相反，它们是在预表和影像之下被启示的；在一个由属物质的人物、地点、事物、事件和制度组成的巨大网络之下，所有这些都奥秘地指向将要成全它们的“实体”：即基督和圣约的事物（西 2:17）。</w:t>
      </w:r>
    </w:p>
    <w:p w14:paraId="25FB5C54">
      <w:pPr>
        <w:pStyle w:val="9"/>
        <w:spacing w:after="0" w:line="249" w:lineRule="auto"/>
        <w:rPr>
          <w:rFonts w:hint="eastAsia"/>
        </w:rPr>
      </w:pPr>
    </w:p>
    <w:p w14:paraId="362FCCC7">
      <w:pPr>
        <w:pStyle w:val="9"/>
        <w:spacing w:after="0" w:line="249" w:lineRule="auto"/>
        <w:rPr>
          <w:rFonts w:hint="eastAsia"/>
        </w:rPr>
      </w:pPr>
      <w:r>
        <w:rPr>
          <w:rFonts w:hint="eastAsia"/>
        </w:rPr>
        <w:t>They are also revealed in various predictive prophecies, prophecies that regularly draw upon the physical types and shadows of OT times in order to point ahead to the spiritual blessings of NT times.</w:t>
      </w:r>
    </w:p>
    <w:p w14:paraId="3009CFF3">
      <w:pPr>
        <w:pStyle w:val="9"/>
        <w:spacing w:after="0" w:line="249" w:lineRule="auto"/>
        <w:rPr>
          <w:rFonts w:hint="eastAsia"/>
        </w:rPr>
      </w:pPr>
      <w:r>
        <w:rPr>
          <w:rFonts w:hint="eastAsia"/>
        </w:rPr>
        <w:t>它们也在各种预言性预言中被启示出来，这些预言经常借鉴旧约时代的物质预表和影像，以指向新约时代的属灵祝福。</w:t>
      </w:r>
    </w:p>
    <w:p w14:paraId="2E8EE892">
      <w:pPr>
        <w:pStyle w:val="9"/>
        <w:spacing w:after="0" w:line="249" w:lineRule="auto"/>
        <w:rPr>
          <w:rFonts w:hint="eastAsia"/>
        </w:rPr>
      </w:pPr>
    </w:p>
    <w:p w14:paraId="333EBD63">
      <w:pPr>
        <w:pStyle w:val="9"/>
        <w:spacing w:after="0" w:line="249" w:lineRule="auto"/>
        <w:rPr>
          <w:rFonts w:hint="eastAsia"/>
        </w:rPr>
      </w:pPr>
      <w:r>
        <w:rPr>
          <w:rFonts w:hint="eastAsia"/>
        </w:rPr>
        <w:t>This is why all OT history was promissory and preparatory.</w:t>
      </w:r>
    </w:p>
    <w:p w14:paraId="63815B27">
      <w:pPr>
        <w:pStyle w:val="9"/>
        <w:spacing w:after="0" w:line="249" w:lineRule="auto"/>
        <w:rPr>
          <w:rFonts w:hint="eastAsia"/>
        </w:rPr>
      </w:pPr>
      <w:r>
        <w:rPr>
          <w:rFonts w:hint="eastAsia"/>
        </w:rPr>
        <w:t>这就是为什么所有旧约历史都是应许性和预备性的。</w:t>
      </w:r>
    </w:p>
    <w:p w14:paraId="2689052B">
      <w:pPr>
        <w:pStyle w:val="9"/>
        <w:spacing w:after="0" w:line="249" w:lineRule="auto"/>
        <w:rPr>
          <w:rFonts w:hint="eastAsia"/>
        </w:rPr>
      </w:pPr>
    </w:p>
    <w:p w14:paraId="0316F9CA">
      <w:pPr>
        <w:pStyle w:val="9"/>
        <w:spacing w:after="0" w:line="249" w:lineRule="auto"/>
        <w:rPr>
          <w:rFonts w:hint="eastAsia"/>
        </w:rPr>
      </w:pPr>
      <w:r>
        <w:rPr>
          <w:rFonts w:hint="eastAsia"/>
        </w:rPr>
        <w:t>It was ever looking forward to that which would fulfill it: the coming of Christ and the manifold Promise of the Eternal Covenant, the Kingdom of God.</w:t>
      </w:r>
    </w:p>
    <w:p w14:paraId="0FDD6B00">
      <w:pPr>
        <w:pStyle w:val="9"/>
        <w:spacing w:after="0" w:line="249" w:lineRule="auto"/>
        <w:rPr>
          <w:rFonts w:hint="eastAsia"/>
        </w:rPr>
      </w:pPr>
      <w:r>
        <w:rPr>
          <w:rFonts w:hint="eastAsia"/>
        </w:rPr>
        <w:t>它总是展望着将要成全它的事：基督的降临和永恒之约的多重应许，即上帝的国。</w:t>
      </w:r>
    </w:p>
    <w:p w14:paraId="398F07DD">
      <w:pPr>
        <w:pStyle w:val="9"/>
        <w:spacing w:after="0" w:line="249" w:lineRule="auto"/>
        <w:rPr>
          <w:rFonts w:hint="eastAsia"/>
        </w:rPr>
      </w:pPr>
    </w:p>
    <w:p w14:paraId="66A8BD20">
      <w:pPr>
        <w:pStyle w:val="9"/>
        <w:spacing w:after="0" w:line="249" w:lineRule="auto"/>
        <w:rPr>
          <w:rFonts w:hint="eastAsia"/>
        </w:rPr>
      </w:pPr>
      <w:r>
        <w:rPr>
          <w:rFonts w:hint="eastAsia"/>
        </w:rPr>
        <w:t>On the other hand, we have the two administrations of the Covenant that occur at—and subsequent to—the two comings of Christ.</w:t>
      </w:r>
    </w:p>
    <w:p w14:paraId="32C66180">
      <w:pPr>
        <w:pStyle w:val="9"/>
        <w:spacing w:after="0" w:line="249" w:lineRule="auto"/>
        <w:rPr>
          <w:rFonts w:hint="eastAsia"/>
        </w:rPr>
      </w:pPr>
      <w:r>
        <w:rPr>
          <w:rFonts w:hint="eastAsia"/>
        </w:rPr>
        <w:t>另一方面，我们有在基督两次降临时——以及之后——发生的两次圣约施行。</w:t>
      </w:r>
    </w:p>
    <w:p w14:paraId="0F1CA5EF">
      <w:pPr>
        <w:pStyle w:val="9"/>
        <w:spacing w:after="0" w:line="249" w:lineRule="auto"/>
        <w:rPr>
          <w:rFonts w:hint="eastAsia"/>
        </w:rPr>
      </w:pPr>
    </w:p>
    <w:p w14:paraId="5A2AB67C">
      <w:pPr>
        <w:pStyle w:val="9"/>
        <w:spacing w:after="0" w:line="249" w:lineRule="auto"/>
        <w:rPr>
          <w:rFonts w:hint="eastAsia"/>
        </w:rPr>
      </w:pPr>
      <w:r>
        <w:rPr>
          <w:rFonts w:hint="eastAsia"/>
        </w:rPr>
        <w:t>These belong to the Era of Fulfillment.</w:t>
      </w:r>
    </w:p>
    <w:p w14:paraId="09DD0893">
      <w:pPr>
        <w:pStyle w:val="9"/>
        <w:spacing w:after="0" w:line="249" w:lineRule="auto"/>
        <w:rPr>
          <w:rFonts w:hint="eastAsia"/>
        </w:rPr>
      </w:pPr>
      <w:r>
        <w:rPr>
          <w:rFonts w:hint="eastAsia"/>
        </w:rPr>
        <w:t>这些属于成全的时代。</w:t>
      </w:r>
    </w:p>
    <w:p w14:paraId="7F6E9940">
      <w:pPr>
        <w:pStyle w:val="9"/>
        <w:spacing w:after="0" w:line="249" w:lineRule="auto"/>
        <w:rPr>
          <w:rFonts w:hint="eastAsia"/>
        </w:rPr>
      </w:pPr>
    </w:p>
    <w:p w14:paraId="1A707F8B">
      <w:pPr>
        <w:pStyle w:val="9"/>
        <w:spacing w:after="0" w:line="249" w:lineRule="auto"/>
        <w:rPr>
          <w:rFonts w:hint="eastAsia"/>
        </w:rPr>
      </w:pPr>
      <w:r>
        <w:rPr>
          <w:rFonts w:hint="eastAsia"/>
        </w:rPr>
        <w:t>As we have seen, this Era is twofold .</w:t>
      </w:r>
    </w:p>
    <w:p w14:paraId="3C4DF60A">
      <w:pPr>
        <w:pStyle w:val="9"/>
        <w:spacing w:after="0" w:line="249" w:lineRule="auto"/>
        <w:rPr>
          <w:rFonts w:hint="eastAsia"/>
        </w:rPr>
      </w:pPr>
      <w:r>
        <w:rPr>
          <w:rFonts w:hint="eastAsia"/>
        </w:rPr>
        <w:t>我们已经看到，这个时代是双重的。</w:t>
      </w:r>
    </w:p>
    <w:p w14:paraId="3D5C99BC">
      <w:pPr>
        <w:pStyle w:val="9"/>
        <w:spacing w:after="0" w:line="249" w:lineRule="auto"/>
        <w:rPr>
          <w:rFonts w:hint="eastAsia"/>
        </w:rPr>
      </w:pPr>
    </w:p>
    <w:p w14:paraId="0DAC14BA">
      <w:pPr>
        <w:pStyle w:val="9"/>
        <w:spacing w:after="0" w:line="249" w:lineRule="auto"/>
        <w:rPr>
          <w:rFonts w:hint="eastAsia"/>
        </w:rPr>
      </w:pPr>
      <w:r>
        <w:rPr>
          <w:rFonts w:hint="eastAsia"/>
        </w:rPr>
        <w:t>In the Era of Proclamation and Probation, the Promise of the Covenant is partially administered by the High Prophet, Priest, and King of Heaven, who does so by the Spirit and through the evangelistic ministry of his Church.</w:t>
      </w:r>
    </w:p>
    <w:p w14:paraId="1370C929">
      <w:pPr>
        <w:pStyle w:val="9"/>
        <w:spacing w:after="0" w:line="249" w:lineRule="auto"/>
        <w:rPr>
          <w:rFonts w:hint="eastAsia"/>
        </w:rPr>
      </w:pPr>
      <w:r>
        <w:rPr>
          <w:rFonts w:hint="eastAsia"/>
        </w:rPr>
        <w:t>在宣讲与察验的时代，圣约的应许由天上的至高先知、祭司和君王部分地施行，祂是藉着圣灵并通过祂教会的福音事工来这样做的。</w:t>
      </w:r>
    </w:p>
    <w:p w14:paraId="24E55D84">
      <w:pPr>
        <w:pStyle w:val="9"/>
        <w:spacing w:after="0" w:line="249" w:lineRule="auto"/>
        <w:rPr>
          <w:rFonts w:hint="eastAsia"/>
        </w:rPr>
      </w:pPr>
    </w:p>
    <w:p w14:paraId="340D3C43">
      <w:pPr>
        <w:pStyle w:val="9"/>
        <w:spacing w:after="0" w:line="249" w:lineRule="auto"/>
        <w:rPr>
          <w:rFonts w:hint="eastAsia"/>
        </w:rPr>
      </w:pPr>
      <w:r>
        <w:rPr>
          <w:rFonts w:hint="eastAsia"/>
        </w:rPr>
        <w:t>At the Parousia—and thereafter in the eternal Kingdom of the Father—the Promise of the Covenant is administered in fullness, as Christ welcomes his resurrected, transformed, and glorified Bride to the new heavens and the new earth, the eternal home of the redeemed.</w:t>
      </w:r>
    </w:p>
    <w:p w14:paraId="6969A24B">
      <w:pPr>
        <w:pStyle w:val="9"/>
        <w:spacing w:after="0" w:line="249" w:lineRule="auto"/>
        <w:rPr>
          <w:rFonts w:hint="eastAsia"/>
        </w:rPr>
      </w:pPr>
      <w:r>
        <w:rPr>
          <w:rFonts w:hint="eastAsia"/>
        </w:rPr>
        <w:t>在基督再来时——以及此后在父的永恒国度里——圣约的应许将完全地施行，那时基督将欢迎祂复活、改变和得荣的新妇来到新天新地，即被赎者的永恒家园。</w:t>
      </w:r>
    </w:p>
    <w:p w14:paraId="2241E6F4">
      <w:pPr>
        <w:pStyle w:val="9"/>
        <w:spacing w:after="0" w:line="249" w:lineRule="auto"/>
        <w:rPr>
          <w:rFonts w:hint="eastAsia"/>
        </w:rPr>
      </w:pPr>
    </w:p>
    <w:p w14:paraId="471A3173">
      <w:pPr>
        <w:pStyle w:val="9"/>
        <w:spacing w:after="0" w:line="249" w:lineRule="auto"/>
        <w:rPr>
          <w:rFonts w:hint="eastAsia"/>
        </w:rPr>
      </w:pPr>
      <w:r>
        <w:rPr>
          <w:rFonts w:hint="eastAsia"/>
        </w:rPr>
        <w:t>Key # 4: The New Covenant Hermeneutic</w:t>
      </w:r>
    </w:p>
    <w:p w14:paraId="514DB339">
      <w:pPr>
        <w:pStyle w:val="9"/>
        <w:spacing w:after="0" w:line="249" w:lineRule="auto"/>
        <w:rPr>
          <w:rFonts w:hint="eastAsia"/>
        </w:rPr>
      </w:pPr>
      <w:r>
        <w:rPr>
          <w:rFonts w:hint="eastAsia"/>
        </w:rPr>
        <w:t>钥匙 # 4：新约释经学</w:t>
      </w:r>
    </w:p>
    <w:p w14:paraId="1768EA82">
      <w:pPr>
        <w:pStyle w:val="9"/>
        <w:spacing w:after="0" w:line="249" w:lineRule="auto"/>
        <w:rPr>
          <w:rFonts w:hint="eastAsia"/>
        </w:rPr>
      </w:pPr>
    </w:p>
    <w:p w14:paraId="4AA2DD43">
      <w:pPr>
        <w:pStyle w:val="9"/>
        <w:spacing w:after="0" w:line="249" w:lineRule="auto"/>
        <w:rPr>
          <w:rFonts w:hint="eastAsia"/>
        </w:rPr>
      </w:pPr>
      <w:r>
        <w:rPr>
          <w:rFonts w:hint="eastAsia"/>
        </w:rPr>
        <w:t>This brings us to our fourth and final key, and to a truth of special importance for our study.</w:t>
      </w:r>
    </w:p>
    <w:p w14:paraId="7106A24C">
      <w:pPr>
        <w:pStyle w:val="9"/>
        <w:spacing w:after="0" w:line="249" w:lineRule="auto"/>
        <w:rPr>
          <w:rFonts w:hint="eastAsia"/>
        </w:rPr>
      </w:pPr>
      <w:r>
        <w:rPr>
          <w:rFonts w:hint="eastAsia"/>
        </w:rPr>
        <w:t>这带我们到第四个也是最后一个钥匙，以及一个对我们的研究特别重要的真理。</w:t>
      </w:r>
    </w:p>
    <w:p w14:paraId="74E84EB1">
      <w:pPr>
        <w:pStyle w:val="9"/>
        <w:spacing w:after="0" w:line="249" w:lineRule="auto"/>
        <w:rPr>
          <w:rFonts w:hint="eastAsia"/>
        </w:rPr>
      </w:pPr>
    </w:p>
    <w:p w14:paraId="43B2FC05">
      <w:pPr>
        <w:pStyle w:val="9"/>
        <w:spacing w:after="0" w:line="249" w:lineRule="auto"/>
        <w:rPr>
          <w:rFonts w:hint="eastAsia"/>
        </w:rPr>
      </w:pPr>
      <w:r>
        <w:rPr>
          <w:rFonts w:hint="eastAsia"/>
        </w:rPr>
        <w:t>As we have just seen, the NT divides Salvation History into two broad categories: one in which the administrations of the Covenant come by way of Promise (OT), and another in which they come by way of Fulfillment (NT).</w:t>
      </w:r>
    </w:p>
    <w:p w14:paraId="3B805DC8">
      <w:pPr>
        <w:pStyle w:val="9"/>
        <w:spacing w:after="0" w:line="249" w:lineRule="auto"/>
        <w:rPr>
          <w:rFonts w:hint="eastAsia"/>
        </w:rPr>
      </w:pPr>
      <w:r>
        <w:rPr>
          <w:rFonts w:hint="eastAsia"/>
        </w:rPr>
        <w:t>正如我们刚才所见，新约将救赎历史分为两大类：一类是约的施行以应许的方式出现（旧约），另一类是以成全的方式出现（新约）。</w:t>
      </w:r>
    </w:p>
    <w:p w14:paraId="7BEEA982">
      <w:pPr>
        <w:pStyle w:val="9"/>
        <w:spacing w:after="0" w:line="249" w:lineRule="auto"/>
        <w:rPr>
          <w:rFonts w:hint="eastAsia"/>
        </w:rPr>
      </w:pPr>
    </w:p>
    <w:p w14:paraId="77471AAA">
      <w:pPr>
        <w:pStyle w:val="9"/>
        <w:spacing w:after="0" w:line="249" w:lineRule="auto"/>
        <w:rPr>
          <w:rFonts w:hint="eastAsia"/>
        </w:rPr>
      </w:pPr>
      <w:r>
        <w:rPr>
          <w:rFonts w:hint="eastAsia"/>
        </w:rPr>
        <w:t>Since, however, the OT administrations of the Covenant were veiled beneath types and shadows, the biblical motif of Promise and Fulfillment requires and creates something of extraordinary eschatological importance, a New Covenant Hermeneutic; a new, covenantally aware method for interpreting the OT in general, and OTKP in particular.</w:t>
      </w:r>
    </w:p>
    <w:p w14:paraId="1EBA45C6">
      <w:pPr>
        <w:pStyle w:val="9"/>
        <w:spacing w:after="0" w:line="249" w:lineRule="auto"/>
        <w:rPr>
          <w:rFonts w:hint="eastAsia"/>
        </w:rPr>
      </w:pPr>
      <w:r>
        <w:rPr>
          <w:rFonts w:hint="eastAsia"/>
        </w:rPr>
        <w:t>然而，由于旧约对约的施行被预表和影像所遮盖，圣经中应许与成全的主题要求并创造了一种具有非凡末世论重要性的东西，即一种新约释经学；一种新的、具有圣约意识的、用于解释整个旧约，特别是旧约国度预言（OTKP）的方法。</w:t>
      </w:r>
    </w:p>
    <w:p w14:paraId="0ACFB377">
      <w:pPr>
        <w:pStyle w:val="9"/>
        <w:spacing w:after="0" w:line="249" w:lineRule="auto"/>
        <w:rPr>
          <w:rFonts w:hint="eastAsia"/>
        </w:rPr>
      </w:pPr>
    </w:p>
    <w:p w14:paraId="2C70E057">
      <w:pPr>
        <w:pStyle w:val="9"/>
        <w:spacing w:after="0" w:line="249" w:lineRule="auto"/>
        <w:rPr>
          <w:rFonts w:hint="eastAsia"/>
        </w:rPr>
      </w:pPr>
      <w:r>
        <w:rPr>
          <w:rFonts w:hint="eastAsia"/>
        </w:rPr>
        <w:t>We first encountered this fascinating subject in chapter 4, where we discussed the biblical phenomenon of Progressive Revelation.</w:t>
      </w:r>
    </w:p>
    <w:p w14:paraId="0396AD42">
      <w:pPr>
        <w:pStyle w:val="9"/>
        <w:spacing w:after="0" w:line="249" w:lineRule="auto"/>
        <w:rPr>
          <w:rFonts w:hint="eastAsia"/>
        </w:rPr>
      </w:pPr>
      <w:r>
        <w:rPr>
          <w:rFonts w:hint="eastAsia"/>
        </w:rPr>
        <w:t>我们首次在第四章遇到这个引人入胜的主题，我们在那里讨论了圣经中渐进启示的现象。</w:t>
      </w:r>
    </w:p>
    <w:p w14:paraId="0E34482D">
      <w:pPr>
        <w:pStyle w:val="9"/>
        <w:spacing w:after="0" w:line="249" w:lineRule="auto"/>
        <w:rPr>
          <w:rFonts w:hint="eastAsia"/>
        </w:rPr>
      </w:pPr>
    </w:p>
    <w:p w14:paraId="025FC010">
      <w:pPr>
        <w:pStyle w:val="9"/>
        <w:spacing w:after="0" w:line="249" w:lineRule="auto"/>
        <w:rPr>
          <w:rFonts w:hint="eastAsia"/>
        </w:rPr>
      </w:pPr>
      <w:r>
        <w:rPr>
          <w:rFonts w:hint="eastAsia"/>
        </w:rPr>
        <w:t>We encountered it again in chapter 5, where we learned that the Kingdom Christ proclaimed was closely associated with a New Covenant; a New Covenant that fulfilled the Old, rendered it obsolete, and opened up its (formerly) hidden spiritual meaning.</w:t>
      </w:r>
    </w:p>
    <w:p w14:paraId="4274CDFC">
      <w:pPr>
        <w:pStyle w:val="9"/>
        <w:spacing w:after="0" w:line="249" w:lineRule="auto"/>
        <w:rPr>
          <w:rFonts w:hint="eastAsia"/>
        </w:rPr>
      </w:pPr>
      <w:r>
        <w:rPr>
          <w:rFonts w:hint="eastAsia"/>
        </w:rPr>
        <w:t>我们再次在第五章遇到它，在那里我们了解到基督所宣告的国度与一个新约紧密相关；一个成全了旧约，使其过时，并开启其（先前）隐藏的属灵意义的新约。</w:t>
      </w:r>
    </w:p>
    <w:p w14:paraId="02E99C9A">
      <w:pPr>
        <w:pStyle w:val="9"/>
        <w:spacing w:after="0" w:line="249" w:lineRule="auto"/>
        <w:rPr>
          <w:rFonts w:hint="eastAsia"/>
        </w:rPr>
      </w:pPr>
    </w:p>
    <w:p w14:paraId="2FC5A4C6">
      <w:pPr>
        <w:pStyle w:val="9"/>
        <w:spacing w:after="0" w:line="249" w:lineRule="auto"/>
        <w:rPr>
          <w:rFonts w:hint="eastAsia"/>
        </w:rPr>
      </w:pPr>
      <w:r>
        <w:rPr>
          <w:rFonts w:hint="eastAsia"/>
        </w:rPr>
        <w:t>Then, in chapter 7 we sat at the feet of Christ’s apostles, who explained all things; who unveiled the heart of Salvation History (i.e., the Eternal Covenant), its dynamic (i.e., the successive administrations of the Covenant), its basic twofold structure (i.e., an Era of Promise and Preparation, followed by an Era of Fulfillment), and the “mysterious” relationship between the Old and New Covenant administrations (i.e., that, per Augustine, the Old Covenant is the New concealed, and the New Covenant is the Old revealed).</w:t>
      </w:r>
    </w:p>
    <w:p w14:paraId="284F5C21">
      <w:pPr>
        <w:pStyle w:val="9"/>
        <w:spacing w:after="0" w:line="249" w:lineRule="auto"/>
        <w:rPr>
          <w:rFonts w:hint="eastAsia"/>
        </w:rPr>
      </w:pPr>
      <w:r>
        <w:rPr>
          <w:rFonts w:hint="eastAsia"/>
        </w:rPr>
        <w:t>然后，在第七章，我们坐在基督的使徒们脚前，他们解释了一切；他们揭示了救赎历史的核心（即永恒之约），其动力（即约的相继施行），其基本的双重结构（即一个应许与预备的时代，随后是一个成全的时代），以及旧约和新约施行之间的“奥秘”关系（即，根据奥古斯丁的说法，旧约是隐藏的新约，新约是揭示的旧约）。</w:t>
      </w:r>
    </w:p>
    <w:p w14:paraId="72D6F72D">
      <w:pPr>
        <w:pStyle w:val="9"/>
        <w:spacing w:after="0" w:line="249" w:lineRule="auto"/>
        <w:rPr>
          <w:rFonts w:hint="eastAsia"/>
        </w:rPr>
      </w:pPr>
    </w:p>
    <w:p w14:paraId="3BEB4BBE">
      <w:pPr>
        <w:pStyle w:val="9"/>
        <w:spacing w:after="0" w:line="249" w:lineRule="auto"/>
        <w:rPr>
          <w:rFonts w:hint="eastAsia"/>
        </w:rPr>
      </w:pPr>
      <w:r>
        <w:rPr>
          <w:rFonts w:hint="eastAsia"/>
        </w:rPr>
        <w:t>In all this, we finally understood the deep NT rationale for the NCH, the NT method of OT interpretation taught and practiced by Christ and the apostles.</w:t>
      </w:r>
    </w:p>
    <w:p w14:paraId="58590B4B">
      <w:pPr>
        <w:pStyle w:val="9"/>
        <w:spacing w:after="0" w:line="249" w:lineRule="auto"/>
        <w:rPr>
          <w:rFonts w:hint="eastAsia"/>
        </w:rPr>
      </w:pPr>
      <w:r>
        <w:rPr>
          <w:rFonts w:hint="eastAsia"/>
        </w:rPr>
        <w:t>在所有这一切中，我们终于理解了新约释经学（NCH）的深刻新约理据，即基督和使徒们所教导和实践的新约旧约解释法。</w:t>
      </w:r>
    </w:p>
    <w:p w14:paraId="030260F3">
      <w:pPr>
        <w:pStyle w:val="9"/>
        <w:spacing w:after="0" w:line="249" w:lineRule="auto"/>
        <w:rPr>
          <w:rFonts w:hint="eastAsia"/>
        </w:rPr>
      </w:pPr>
    </w:p>
    <w:p w14:paraId="0E8E345F">
      <w:pPr>
        <w:pStyle w:val="9"/>
        <w:spacing w:after="0" w:line="249" w:lineRule="auto"/>
        <w:rPr>
          <w:rFonts w:hint="eastAsia"/>
        </w:rPr>
      </w:pPr>
      <w:r>
        <w:rPr>
          <w:rFonts w:hint="eastAsia"/>
        </w:rPr>
        <w:t>In chapter 8, we began to put this method to work.</w:t>
      </w:r>
    </w:p>
    <w:p w14:paraId="60715E08">
      <w:pPr>
        <w:pStyle w:val="9"/>
        <w:spacing w:after="0" w:line="249" w:lineRule="auto"/>
        <w:rPr>
          <w:rFonts w:hint="eastAsia"/>
        </w:rPr>
      </w:pPr>
      <w:r>
        <w:rPr>
          <w:rFonts w:hint="eastAsia"/>
        </w:rPr>
        <w:t>在第八章中，我们开始运用这个方法。</w:t>
      </w:r>
    </w:p>
    <w:p w14:paraId="02AD227B">
      <w:pPr>
        <w:pStyle w:val="9"/>
        <w:spacing w:after="0" w:line="249" w:lineRule="auto"/>
        <w:rPr>
          <w:rFonts w:hint="eastAsia"/>
        </w:rPr>
      </w:pPr>
    </w:p>
    <w:p w14:paraId="6E35A0C1">
      <w:pPr>
        <w:pStyle w:val="9"/>
        <w:spacing w:after="0" w:line="249" w:lineRule="auto"/>
        <w:rPr>
          <w:rFonts w:hint="eastAsia"/>
        </w:rPr>
      </w:pPr>
      <w:r>
        <w:rPr>
          <w:rFonts w:hint="eastAsia"/>
        </w:rPr>
        <w:t>Carefully surveying God’s redemptive interactions with Adam, Noah, Abraham, and Moses/Israel, we discovered the elements of the Eternal Covenant—and therefore the idea of the Kingdom—everywhere, hidden away like jewels in the underbrush, glimmering beneath an astonishingly rich, complex, beautiful, and powerful body of types and shadows.</w:t>
      </w:r>
    </w:p>
    <w:p w14:paraId="3B5FFD3C">
      <w:pPr>
        <w:pStyle w:val="9"/>
        <w:spacing w:after="0" w:line="249" w:lineRule="auto"/>
        <w:rPr>
          <w:rFonts w:hint="eastAsia"/>
        </w:rPr>
      </w:pPr>
      <w:r>
        <w:rPr>
          <w:rFonts w:hint="eastAsia"/>
        </w:rPr>
        <w:t>仔细考察上帝与亚当、挪亚、亚伯拉罕和摩西/以色列的救赎性交往，我们到处都发现了永恒之约的要素——因此也发现了国度的观念——它们像宝石一样隐藏在灌木丛中，在一系列惊人地丰富、复杂、美丽且有力的预表和影像之下闪烁。</w:t>
      </w:r>
    </w:p>
    <w:p w14:paraId="1EFA1001">
      <w:pPr>
        <w:pStyle w:val="9"/>
        <w:spacing w:after="0" w:line="249" w:lineRule="auto"/>
        <w:rPr>
          <w:rFonts w:hint="eastAsia"/>
        </w:rPr>
      </w:pPr>
    </w:p>
    <w:p w14:paraId="6CB2DA5C">
      <w:pPr>
        <w:pStyle w:val="9"/>
        <w:spacing w:after="0" w:line="249" w:lineRule="auto"/>
        <w:rPr>
          <w:rFonts w:hint="eastAsia"/>
        </w:rPr>
      </w:pPr>
      <w:r>
        <w:rPr>
          <w:rFonts w:hint="eastAsia"/>
        </w:rPr>
        <w:t>This helped us to see the promissory character of OT revelation, its orientation towards the future.</w:t>
      </w:r>
    </w:p>
    <w:p w14:paraId="2FB609A7">
      <w:pPr>
        <w:pStyle w:val="9"/>
        <w:spacing w:after="0" w:line="249" w:lineRule="auto"/>
        <w:rPr>
          <w:rFonts w:hint="eastAsia"/>
        </w:rPr>
      </w:pPr>
      <w:r>
        <w:rPr>
          <w:rFonts w:hint="eastAsia"/>
        </w:rPr>
        <w:t>这帮助我们看到了旧约启示的应许性，其面向未来的取向。</w:t>
      </w:r>
    </w:p>
    <w:p w14:paraId="6B11CE2C">
      <w:pPr>
        <w:pStyle w:val="9"/>
        <w:spacing w:after="0" w:line="249" w:lineRule="auto"/>
        <w:rPr>
          <w:rFonts w:hint="eastAsia"/>
        </w:rPr>
      </w:pPr>
    </w:p>
    <w:p w14:paraId="6188199B">
      <w:pPr>
        <w:pStyle w:val="9"/>
        <w:spacing w:after="0" w:line="249" w:lineRule="auto"/>
        <w:rPr>
          <w:rFonts w:hint="eastAsia"/>
        </w:rPr>
      </w:pPr>
      <w:r>
        <w:rPr>
          <w:rFonts w:hint="eastAsia"/>
        </w:rPr>
        <w:t>It helped us to see the mysterious character of OT revelation, its veiling under types and shadows.</w:t>
      </w:r>
    </w:p>
    <w:p w14:paraId="468A3529">
      <w:pPr>
        <w:pStyle w:val="9"/>
        <w:spacing w:after="0" w:line="249" w:lineRule="auto"/>
        <w:rPr>
          <w:rFonts w:hint="eastAsia"/>
        </w:rPr>
      </w:pPr>
      <w:r>
        <w:rPr>
          <w:rFonts w:hint="eastAsia"/>
        </w:rPr>
        <w:t>它帮助我们看到了旧约启示的奥秘性，其在预表和影像下的遮盖。</w:t>
      </w:r>
    </w:p>
    <w:p w14:paraId="2E95C21A">
      <w:pPr>
        <w:pStyle w:val="9"/>
        <w:spacing w:after="0" w:line="249" w:lineRule="auto"/>
        <w:rPr>
          <w:rFonts w:hint="eastAsia"/>
        </w:rPr>
      </w:pPr>
    </w:p>
    <w:p w14:paraId="625324AA">
      <w:pPr>
        <w:pStyle w:val="9"/>
        <w:spacing w:after="0" w:line="249" w:lineRule="auto"/>
        <w:rPr>
          <w:rFonts w:hint="eastAsia"/>
        </w:rPr>
      </w:pPr>
      <w:r>
        <w:rPr>
          <w:rFonts w:hint="eastAsia"/>
        </w:rPr>
        <w:t>It helped us to see the christological and covenantal character of OT revelation, its rootedness in the one Eternal Covenant that has Christ for its living center.</w:t>
      </w:r>
    </w:p>
    <w:p w14:paraId="53DB554F">
      <w:pPr>
        <w:pStyle w:val="9"/>
        <w:spacing w:after="0" w:line="249" w:lineRule="auto"/>
        <w:rPr>
          <w:rFonts w:hint="eastAsia"/>
        </w:rPr>
      </w:pPr>
      <w:r>
        <w:rPr>
          <w:rFonts w:hint="eastAsia"/>
        </w:rPr>
        <w:t>它帮助我们看到了旧约启示的基督论和圣约性，其根植于以基督为活的中心的独一永恒之约。</w:t>
      </w:r>
    </w:p>
    <w:p w14:paraId="01AB0207">
      <w:pPr>
        <w:pStyle w:val="9"/>
        <w:spacing w:after="0" w:line="249" w:lineRule="auto"/>
        <w:rPr>
          <w:rFonts w:hint="eastAsia"/>
        </w:rPr>
      </w:pPr>
    </w:p>
    <w:p w14:paraId="66FA7A6B">
      <w:pPr>
        <w:pStyle w:val="9"/>
        <w:spacing w:after="0" w:line="249" w:lineRule="auto"/>
        <w:rPr>
          <w:rFonts w:hint="eastAsia"/>
        </w:rPr>
      </w:pPr>
      <w:r>
        <w:rPr>
          <w:rFonts w:hint="eastAsia"/>
        </w:rPr>
        <w:t>Finally, it helped us to see the purpose of God in creating this vast body of mystical OT revelation; his desire to use it, in the fullness of time, as a powerful witness to Christ and the Covenant, thereby engendering and confirming a reasonable and adoring faith in his chosen people as they go forth to bring the Gospel to the nations.</w:t>
      </w:r>
    </w:p>
    <w:p w14:paraId="6D9B3856">
      <w:pPr>
        <w:pStyle w:val="9"/>
        <w:spacing w:after="0" w:line="249" w:lineRule="auto"/>
        <w:rPr>
          <w:rFonts w:hint="eastAsia"/>
        </w:rPr>
      </w:pPr>
      <w:r>
        <w:rPr>
          <w:rFonts w:hint="eastAsia"/>
        </w:rPr>
        <w:t>最后，它帮助我们看到了上帝创造这大量奥秘的旧约启示的目的；祂渴望在时候满足的时候，用它作为对基督和圣约有力的见证，从而在祂所拣选的子民中产生并坚固一种理性的、敬拜的信心，当他们出去将福音传给万国时。</w:t>
      </w:r>
    </w:p>
    <w:p w14:paraId="74E0788D">
      <w:pPr>
        <w:pStyle w:val="9"/>
        <w:spacing w:after="0" w:line="249" w:lineRule="auto"/>
        <w:rPr>
          <w:rFonts w:hint="eastAsia"/>
        </w:rPr>
      </w:pPr>
    </w:p>
    <w:p w14:paraId="0883D011">
      <w:pPr>
        <w:pStyle w:val="9"/>
        <w:spacing w:after="0" w:line="249" w:lineRule="auto"/>
        <w:rPr>
          <w:rFonts w:hint="eastAsia"/>
        </w:rPr>
      </w:pPr>
      <w:r>
        <w:rPr>
          <w:rFonts w:hint="eastAsia"/>
        </w:rPr>
        <w:t>The NCH is one of Christ’s most precious gifts to the Church.</w:t>
      </w:r>
    </w:p>
    <w:p w14:paraId="69CED0D7">
      <w:pPr>
        <w:pStyle w:val="9"/>
        <w:spacing w:after="0" w:line="249" w:lineRule="auto"/>
        <w:rPr>
          <w:rFonts w:hint="eastAsia"/>
        </w:rPr>
      </w:pPr>
      <w:r>
        <w:rPr>
          <w:rFonts w:hint="eastAsia"/>
        </w:rPr>
        <w:t>新约释经学（NCH）是基督赐给教会最宝贵的恩赐之一。</w:t>
      </w:r>
    </w:p>
    <w:p w14:paraId="081A4E54">
      <w:pPr>
        <w:pStyle w:val="9"/>
        <w:spacing w:after="0" w:line="249" w:lineRule="auto"/>
        <w:rPr>
          <w:rFonts w:hint="eastAsia"/>
        </w:rPr>
      </w:pPr>
    </w:p>
    <w:p w14:paraId="4F39FB05">
      <w:pPr>
        <w:pStyle w:val="9"/>
        <w:spacing w:after="0" w:line="249" w:lineRule="auto"/>
        <w:rPr>
          <w:rFonts w:hint="eastAsia"/>
        </w:rPr>
      </w:pPr>
      <w:r>
        <w:rPr>
          <w:rFonts w:hint="eastAsia"/>
        </w:rPr>
        <w:t>Without it, she cannot understand the OT in general and OTKP in particular.</w:t>
      </w:r>
    </w:p>
    <w:p w14:paraId="01F83A44">
      <w:pPr>
        <w:pStyle w:val="9"/>
        <w:spacing w:after="0" w:line="249" w:lineRule="auto"/>
        <w:rPr>
          <w:rFonts w:hint="eastAsia"/>
        </w:rPr>
      </w:pPr>
      <w:r>
        <w:rPr>
          <w:rFonts w:hint="eastAsia"/>
        </w:rPr>
        <w:t>没有它，她无法理解整个旧约，特别是旧约国度预言（OTKP）。</w:t>
      </w:r>
    </w:p>
    <w:p w14:paraId="52E58A68">
      <w:pPr>
        <w:pStyle w:val="9"/>
        <w:spacing w:after="0" w:line="249" w:lineRule="auto"/>
        <w:rPr>
          <w:rFonts w:hint="eastAsia"/>
        </w:rPr>
      </w:pPr>
    </w:p>
    <w:p w14:paraId="410B81C3">
      <w:pPr>
        <w:pStyle w:val="9"/>
        <w:spacing w:after="0" w:line="249" w:lineRule="auto"/>
        <w:rPr>
          <w:rFonts w:hint="eastAsia"/>
        </w:rPr>
      </w:pPr>
      <w:r>
        <w:rPr>
          <w:rFonts w:hint="eastAsia"/>
        </w:rPr>
        <w:t>However, with it a feast of fat things is suddenly spread before our wondering eyes, and the Great End Time Debate is fully resolved once and for all.</w:t>
      </w:r>
    </w:p>
    <w:p w14:paraId="017E9253">
      <w:pPr>
        <w:pStyle w:val="9"/>
        <w:spacing w:after="0" w:line="249" w:lineRule="auto"/>
        <w:rPr>
          <w:rFonts w:hint="eastAsia"/>
        </w:rPr>
      </w:pPr>
      <w:r>
        <w:rPr>
          <w:rFonts w:hint="eastAsia"/>
        </w:rPr>
        <w:t>然而，有了它，一场丰盛的筵席突然在我们惊奇的眼前展开，伟大的末世辩论也一劳永逸地完全解决了。</w:t>
      </w:r>
    </w:p>
    <w:p w14:paraId="16AE7EF4">
      <w:pPr>
        <w:pStyle w:val="9"/>
        <w:spacing w:after="0" w:line="249" w:lineRule="auto"/>
        <w:rPr>
          <w:rFonts w:hint="eastAsia"/>
        </w:rPr>
      </w:pPr>
    </w:p>
    <w:p w14:paraId="6942FD0B">
      <w:pPr>
        <w:pStyle w:val="9"/>
        <w:spacing w:after="0" w:line="249" w:lineRule="auto"/>
        <w:rPr>
          <w:rFonts w:hint="eastAsia"/>
        </w:rPr>
      </w:pPr>
      <w:r>
        <w:rPr>
          <w:rFonts w:hint="eastAsia"/>
        </w:rPr>
        <w:t>Inserting the Keys!</w:t>
      </w:r>
    </w:p>
    <w:p w14:paraId="547F7B5F">
      <w:pPr>
        <w:pStyle w:val="9"/>
        <w:spacing w:after="0" w:line="249" w:lineRule="auto"/>
        <w:rPr>
          <w:rFonts w:hint="eastAsia"/>
        </w:rPr>
      </w:pPr>
      <w:r>
        <w:rPr>
          <w:rFonts w:hint="eastAsia"/>
        </w:rPr>
        <w:t>插入钥匙！</w:t>
      </w:r>
    </w:p>
    <w:p w14:paraId="0D1467AB">
      <w:pPr>
        <w:pStyle w:val="9"/>
        <w:spacing w:after="0" w:line="249" w:lineRule="auto"/>
        <w:rPr>
          <w:rFonts w:hint="eastAsia"/>
        </w:rPr>
      </w:pPr>
    </w:p>
    <w:p w14:paraId="0CACE1C4">
      <w:pPr>
        <w:pStyle w:val="9"/>
        <w:spacing w:after="0" w:line="249" w:lineRule="auto"/>
        <w:rPr>
          <w:rFonts w:hint="eastAsia"/>
        </w:rPr>
      </w:pPr>
      <w:r>
        <w:rPr>
          <w:rFonts w:hint="eastAsia"/>
        </w:rPr>
        <w:t>I want to close this short chapter as I began, affirming the great value of all we have discovered in Part 2 of our study.</w:t>
      </w:r>
    </w:p>
    <w:p w14:paraId="1A295777">
      <w:pPr>
        <w:pStyle w:val="9"/>
        <w:spacing w:after="0" w:line="249" w:lineRule="auto"/>
        <w:rPr>
          <w:rFonts w:hint="eastAsia"/>
        </w:rPr>
      </w:pPr>
      <w:r>
        <w:rPr>
          <w:rFonts w:hint="eastAsia"/>
        </w:rPr>
        <w:t>我想像我开始时一样结束这个简短的章节，肯定我们在第二部分研究中发现的一切的巨大价值。</w:t>
      </w:r>
    </w:p>
    <w:p w14:paraId="5F5FCA4A">
      <w:pPr>
        <w:pStyle w:val="9"/>
        <w:spacing w:after="0" w:line="249" w:lineRule="auto"/>
        <w:rPr>
          <w:rFonts w:hint="eastAsia"/>
        </w:rPr>
      </w:pPr>
    </w:p>
    <w:p w14:paraId="2D8F1714">
      <w:pPr>
        <w:pStyle w:val="9"/>
        <w:spacing w:after="0" w:line="249" w:lineRule="auto"/>
        <w:rPr>
          <w:rFonts w:hint="eastAsia"/>
        </w:rPr>
      </w:pPr>
      <w:r>
        <w:rPr>
          <w:rFonts w:hint="eastAsia"/>
        </w:rPr>
        <w:t>We set out to scale the most challenging eschatological mountain of all: the nature and structure of the Kingdom of God.</w:t>
      </w:r>
    </w:p>
    <w:p w14:paraId="462A389B">
      <w:pPr>
        <w:pStyle w:val="9"/>
        <w:spacing w:after="0" w:line="249" w:lineRule="auto"/>
        <w:rPr>
          <w:rFonts w:hint="eastAsia"/>
        </w:rPr>
      </w:pPr>
      <w:r>
        <w:rPr>
          <w:rFonts w:hint="eastAsia"/>
        </w:rPr>
        <w:t>我们着手攀登所有末世论山峰中最具挑战性的一座：上帝之国的性质和结构。</w:t>
      </w:r>
    </w:p>
    <w:p w14:paraId="669682A0">
      <w:pPr>
        <w:pStyle w:val="9"/>
        <w:spacing w:after="0" w:line="249" w:lineRule="auto"/>
        <w:rPr>
          <w:rFonts w:hint="eastAsia"/>
        </w:rPr>
      </w:pPr>
    </w:p>
    <w:p w14:paraId="6D3A32A9">
      <w:pPr>
        <w:pStyle w:val="9"/>
        <w:spacing w:after="0" w:line="249" w:lineRule="auto"/>
        <w:rPr>
          <w:rFonts w:hint="eastAsia"/>
        </w:rPr>
      </w:pPr>
      <w:r>
        <w:rPr>
          <w:rFonts w:hint="eastAsia"/>
        </w:rPr>
        <w:t>But when at last we reached our goal, we found—to our amazement and delight—that in a very real sense we had already reached the end of our journey!</w:t>
      </w:r>
    </w:p>
    <w:p w14:paraId="40C05615">
      <w:pPr>
        <w:pStyle w:val="9"/>
        <w:spacing w:after="0" w:line="249" w:lineRule="auto"/>
        <w:rPr>
          <w:rFonts w:hint="eastAsia"/>
        </w:rPr>
      </w:pPr>
      <w:r>
        <w:rPr>
          <w:rFonts w:hint="eastAsia"/>
        </w:rPr>
        <w:t>但当我们最终达到目标时，我们惊奇而欣喜地发现——在非常真实的意义上，我们已经到达了旅程的终点！</w:t>
      </w:r>
    </w:p>
    <w:p w14:paraId="28EB9EEB">
      <w:pPr>
        <w:pStyle w:val="9"/>
        <w:spacing w:after="0" w:line="249" w:lineRule="auto"/>
        <w:rPr>
          <w:rFonts w:hint="eastAsia"/>
        </w:rPr>
      </w:pPr>
    </w:p>
    <w:p w14:paraId="3E10D0C0">
      <w:pPr>
        <w:pStyle w:val="9"/>
        <w:spacing w:after="0" w:line="249" w:lineRule="auto"/>
        <w:rPr>
          <w:rFonts w:hint="eastAsia"/>
        </w:rPr>
      </w:pPr>
      <w:r>
        <w:rPr>
          <w:rFonts w:hint="eastAsia"/>
        </w:rPr>
        <w:t>That is, in thinking with Christ about the Kingdom, we discovered four keys; but in discovering the four keys, we somehow came upon the Holy Grail of Cosmic Eschatology itself: the one true picture of Salvation History.</w:t>
      </w:r>
    </w:p>
    <w:p w14:paraId="026B7B3C">
      <w:pPr>
        <w:pStyle w:val="9"/>
        <w:spacing w:after="0" w:line="249" w:lineRule="auto"/>
        <w:rPr>
          <w:rFonts w:hint="eastAsia"/>
        </w:rPr>
      </w:pPr>
      <w:r>
        <w:rPr>
          <w:rFonts w:hint="eastAsia"/>
        </w:rPr>
        <w:t>也就是说，在与基督一同思考国度时，我们发现了四把钥匙；但在发现这四把钥匙时，我们不知怎地竟找到了宇宙末世论本身的圣杯：那幅救赎历史的唯一真实图画。</w:t>
      </w:r>
    </w:p>
    <w:p w14:paraId="526BD671">
      <w:pPr>
        <w:pStyle w:val="9"/>
        <w:spacing w:after="0" w:line="249" w:lineRule="auto"/>
        <w:rPr>
          <w:rFonts w:hint="eastAsia"/>
        </w:rPr>
      </w:pPr>
    </w:p>
    <w:p w14:paraId="28FA9965">
      <w:pPr>
        <w:pStyle w:val="9"/>
        <w:spacing w:after="0" w:line="249" w:lineRule="auto"/>
        <w:rPr>
          <w:rFonts w:hint="eastAsia"/>
        </w:rPr>
      </w:pPr>
      <w:r>
        <w:rPr>
          <w:rFonts w:hint="eastAsia"/>
        </w:rPr>
        <w:t>Moreover, we beheld not only the structure of Salvation History—the stages and sequences involved—but its Christ-centered heart and soul, as well.</w:t>
      </w:r>
    </w:p>
    <w:p w14:paraId="080199ED">
      <w:pPr>
        <w:pStyle w:val="9"/>
        <w:spacing w:after="0" w:line="249" w:lineRule="auto"/>
        <w:rPr>
          <w:rFonts w:hint="eastAsia"/>
        </w:rPr>
      </w:pPr>
      <w:r>
        <w:rPr>
          <w:rFonts w:hint="eastAsia"/>
        </w:rPr>
        <w:t>此外，我们不仅看到了救赎历史的结构——所涉及的阶段和顺序——也看到了其以基督为中心的核心和灵魂。</w:t>
      </w:r>
    </w:p>
    <w:p w14:paraId="793F984F">
      <w:pPr>
        <w:pStyle w:val="9"/>
        <w:spacing w:after="0" w:line="249" w:lineRule="auto"/>
        <w:rPr>
          <w:rFonts w:hint="eastAsia"/>
        </w:rPr>
      </w:pPr>
    </w:p>
    <w:p w14:paraId="7783823B">
      <w:pPr>
        <w:pStyle w:val="9"/>
        <w:spacing w:after="0" w:line="249" w:lineRule="auto"/>
        <w:rPr>
          <w:rFonts w:hint="eastAsia"/>
        </w:rPr>
      </w:pPr>
      <w:r>
        <w:rPr>
          <w:rFonts w:hint="eastAsia"/>
        </w:rPr>
        <w:t>What a boon!</w:t>
      </w:r>
    </w:p>
    <w:p w14:paraId="7679DDEF">
      <w:pPr>
        <w:pStyle w:val="9"/>
        <w:spacing w:after="0" w:line="249" w:lineRule="auto"/>
        <w:rPr>
          <w:rFonts w:hint="eastAsia"/>
        </w:rPr>
      </w:pPr>
      <w:r>
        <w:rPr>
          <w:rFonts w:hint="eastAsia"/>
        </w:rPr>
        <w:t>多么大的恩惠！</w:t>
      </w:r>
    </w:p>
    <w:p w14:paraId="130BF604">
      <w:pPr>
        <w:pStyle w:val="9"/>
        <w:spacing w:after="0" w:line="249" w:lineRule="auto"/>
        <w:rPr>
          <w:rFonts w:hint="eastAsia"/>
        </w:rPr>
      </w:pPr>
    </w:p>
    <w:p w14:paraId="6D67ED16">
      <w:pPr>
        <w:pStyle w:val="9"/>
        <w:spacing w:after="0" w:line="249" w:lineRule="auto"/>
        <w:rPr>
          <w:rFonts w:hint="eastAsia"/>
        </w:rPr>
      </w:pPr>
      <w:r>
        <w:rPr>
          <w:rFonts w:hint="eastAsia"/>
        </w:rPr>
        <w:t>For now—having arrived at this rich NT understanding of the Covenant, the Kingdom, and the nature and shape of Salvation history</w:t>
      </w:r>
    </w:p>
    <w:p w14:paraId="149A309D">
      <w:pPr>
        <w:pStyle w:val="9"/>
        <w:spacing w:after="0" w:line="249" w:lineRule="auto"/>
        <w:rPr>
          <w:rFonts w:hint="eastAsia"/>
        </w:rPr>
      </w:pPr>
      <w:r>
        <w:rPr>
          <w:rFonts w:hint="eastAsia"/>
        </w:rPr>
        <w:t>—we hold in our hand the keys to every other flashpoint of eschatological controversy, as well.</w:t>
      </w:r>
    </w:p>
    <w:p w14:paraId="64FEBFCA">
      <w:pPr>
        <w:pStyle w:val="9"/>
        <w:spacing w:after="0" w:line="249" w:lineRule="auto"/>
        <w:rPr>
          <w:rFonts w:hint="eastAsia"/>
        </w:rPr>
      </w:pPr>
      <w:r>
        <w:rPr>
          <w:rFonts w:hint="eastAsia"/>
        </w:rPr>
        <w:t>因为现在——既然已经对圣约、国度以及救赎历史的性质和形态有了如此丰富的新约理解——我们也掌握了解决每一个其他末世论争议爆发点的钥匙。</w:t>
      </w:r>
    </w:p>
    <w:p w14:paraId="6D2E4291">
      <w:pPr>
        <w:pStyle w:val="9"/>
        <w:spacing w:after="0" w:line="249" w:lineRule="auto"/>
        <w:rPr>
          <w:rFonts w:hint="eastAsia"/>
        </w:rPr>
      </w:pPr>
    </w:p>
    <w:p w14:paraId="0D4F8CE8">
      <w:pPr>
        <w:pStyle w:val="9"/>
        <w:spacing w:after="0" w:line="249" w:lineRule="auto"/>
        <w:rPr>
          <w:rFonts w:hint="eastAsia"/>
        </w:rPr>
      </w:pPr>
      <w:r>
        <w:rPr>
          <w:rFonts w:hint="eastAsia"/>
        </w:rPr>
        <w:t>Consider: Simply by looking at the timelines found in Chapter 10—and simply by thinking through their implications—we can see immediately that we must not interpret OTKP literally; instead, we must interpret it covenantally, christologically, typologically, and eschatologically.</w:t>
      </w:r>
    </w:p>
    <w:p w14:paraId="7B79C31A">
      <w:pPr>
        <w:pStyle w:val="9"/>
        <w:spacing w:after="0" w:line="249" w:lineRule="auto"/>
        <w:rPr>
          <w:rFonts w:hint="eastAsia"/>
        </w:rPr>
      </w:pPr>
      <w:r>
        <w:rPr>
          <w:rFonts w:hint="eastAsia"/>
        </w:rPr>
        <w:t>请思考：仅仅通过查看第十章中的时间线——并仅仅通过思考其含义——我们就能立刻看到，我们绝不能字面地解释旧约国度预言（OTKP）；相反，我们必须以圣约、基督论、预表论和末世论的方式来解释它。</w:t>
      </w:r>
    </w:p>
    <w:p w14:paraId="28CEC205">
      <w:pPr>
        <w:pStyle w:val="9"/>
        <w:spacing w:after="0" w:line="249" w:lineRule="auto"/>
        <w:rPr>
          <w:rFonts w:hint="eastAsia"/>
        </w:rPr>
      </w:pPr>
    </w:p>
    <w:p w14:paraId="3D76F3C3">
      <w:pPr>
        <w:pStyle w:val="9"/>
        <w:spacing w:after="0" w:line="249" w:lineRule="auto"/>
        <w:rPr>
          <w:rFonts w:hint="eastAsia"/>
        </w:rPr>
      </w:pPr>
      <w:r>
        <w:rPr>
          <w:rFonts w:hint="eastAsia"/>
        </w:rPr>
        <w:t>Similarly, we can see immediately that there will be no third stage of the Kingdom, and therefore no future thousand year reign of Christ on the earth.</w:t>
      </w:r>
    </w:p>
    <w:p w14:paraId="453A726C">
      <w:pPr>
        <w:pStyle w:val="9"/>
        <w:spacing w:after="0" w:line="249" w:lineRule="auto"/>
        <w:rPr>
          <w:rFonts w:hint="eastAsia"/>
        </w:rPr>
      </w:pPr>
      <w:r>
        <w:rPr>
          <w:rFonts w:hint="eastAsia"/>
        </w:rPr>
        <w:t>同样，我们可以立刻看到，国度不会有第三个阶段，因此也不会有基督在地上未来一千年的统治。</w:t>
      </w:r>
    </w:p>
    <w:p w14:paraId="130E1F2C">
      <w:pPr>
        <w:pStyle w:val="9"/>
        <w:spacing w:after="0" w:line="249" w:lineRule="auto"/>
        <w:rPr>
          <w:rFonts w:hint="eastAsia"/>
        </w:rPr>
      </w:pPr>
    </w:p>
    <w:p w14:paraId="0BEB3365">
      <w:pPr>
        <w:pStyle w:val="9"/>
        <w:spacing w:after="0" w:line="249" w:lineRule="auto"/>
        <w:rPr>
          <w:rFonts w:hint="eastAsia"/>
        </w:rPr>
      </w:pPr>
      <w:r>
        <w:rPr>
          <w:rFonts w:hint="eastAsia"/>
        </w:rPr>
        <w:t>And we can see immediately that the Consummation is a single, multi-faceted (and therefore most glorious) event, centered on the Parousia of Christ at the end of the present evil age.</w:t>
      </w:r>
    </w:p>
    <w:p w14:paraId="3C3B37FC">
      <w:pPr>
        <w:pStyle w:val="9"/>
        <w:spacing w:after="0" w:line="249" w:lineRule="auto"/>
        <w:rPr>
          <w:rFonts w:hint="eastAsia"/>
        </w:rPr>
      </w:pPr>
      <w:r>
        <w:rPr>
          <w:rFonts w:hint="eastAsia"/>
        </w:rPr>
        <w:t>我们也可以立刻看到，最终的成全是一个单一的、多方面的（因此是最荣耀的）事件，集中在现今邪恶世代末了基督的再来。</w:t>
      </w:r>
    </w:p>
    <w:p w14:paraId="55E532C1">
      <w:pPr>
        <w:pStyle w:val="9"/>
        <w:spacing w:after="0" w:line="249" w:lineRule="auto"/>
        <w:rPr>
          <w:rFonts w:hint="eastAsia"/>
        </w:rPr>
      </w:pPr>
    </w:p>
    <w:p w14:paraId="52D50510">
      <w:pPr>
        <w:pStyle w:val="9"/>
        <w:spacing w:after="0" w:line="249" w:lineRule="auto"/>
        <w:rPr>
          <w:rFonts w:hint="eastAsia"/>
        </w:rPr>
      </w:pPr>
      <w:r>
        <w:rPr>
          <w:rFonts w:hint="eastAsia"/>
        </w:rPr>
        <w:t>So again, by giving us four golden keys and one true picture of Salvation History, the High Prophet of Heaven has implicitly resolved for us all the core issues of the End Time Debate.</w:t>
      </w:r>
    </w:p>
    <w:p w14:paraId="737C3527">
      <w:pPr>
        <w:pStyle w:val="9"/>
        <w:spacing w:after="0" w:line="249" w:lineRule="auto"/>
        <w:rPr>
          <w:rFonts w:hint="eastAsia"/>
        </w:rPr>
      </w:pPr>
      <w:r>
        <w:rPr>
          <w:rFonts w:hint="eastAsia"/>
        </w:rPr>
        <w:t>所以，再者，藉着赐给我们四把金钥匙和一幅救赎历史的真实图画，天上的至高先知已经含蓄地为我们解决了末世辩论的所有核心问题。</w:t>
      </w:r>
    </w:p>
    <w:p w14:paraId="444B356E">
      <w:pPr>
        <w:pStyle w:val="9"/>
        <w:spacing w:after="0" w:line="249" w:lineRule="auto"/>
        <w:rPr>
          <w:rFonts w:hint="eastAsia"/>
        </w:rPr>
      </w:pPr>
    </w:p>
    <w:p w14:paraId="5DA2D1E1">
      <w:pPr>
        <w:pStyle w:val="9"/>
        <w:spacing w:after="0" w:line="249" w:lineRule="auto"/>
        <w:rPr>
          <w:rFonts w:hint="eastAsia"/>
        </w:rPr>
      </w:pPr>
      <w:r>
        <w:rPr>
          <w:rFonts w:hint="eastAsia"/>
        </w:rPr>
        <w:t>Is our journey therefore over?</w:t>
      </w:r>
    </w:p>
    <w:p w14:paraId="1437DFDC">
      <w:pPr>
        <w:pStyle w:val="9"/>
        <w:spacing w:after="0" w:line="249" w:lineRule="auto"/>
        <w:rPr>
          <w:rFonts w:hint="eastAsia"/>
        </w:rPr>
      </w:pPr>
      <w:r>
        <w:rPr>
          <w:rFonts w:hint="eastAsia"/>
        </w:rPr>
        <w:t>那么，我们的旅程结束了吗？</w:t>
      </w:r>
    </w:p>
    <w:p w14:paraId="578E416F">
      <w:pPr>
        <w:pStyle w:val="9"/>
        <w:spacing w:after="0" w:line="249" w:lineRule="auto"/>
        <w:rPr>
          <w:rFonts w:hint="eastAsia"/>
        </w:rPr>
      </w:pPr>
    </w:p>
    <w:p w14:paraId="34EEE990">
      <w:pPr>
        <w:pStyle w:val="9"/>
        <w:spacing w:after="0" w:line="249" w:lineRule="auto"/>
        <w:rPr>
          <w:rFonts w:hint="eastAsia"/>
        </w:rPr>
      </w:pPr>
      <w:r>
        <w:rPr>
          <w:rFonts w:hint="eastAsia"/>
        </w:rPr>
        <w:t>No, it is not.</w:t>
      </w:r>
    </w:p>
    <w:p w14:paraId="583A0F61">
      <w:pPr>
        <w:pStyle w:val="9"/>
        <w:spacing w:after="0" w:line="249" w:lineRule="auto"/>
        <w:rPr>
          <w:rFonts w:hint="eastAsia"/>
        </w:rPr>
      </w:pPr>
      <w:r>
        <w:rPr>
          <w:rFonts w:hint="eastAsia"/>
        </w:rPr>
        <w:t>不，还没有。</w:t>
      </w:r>
    </w:p>
    <w:p w14:paraId="01C6C417">
      <w:pPr>
        <w:pStyle w:val="9"/>
        <w:spacing w:after="0" w:line="249" w:lineRule="auto"/>
        <w:rPr>
          <w:rFonts w:hint="eastAsia"/>
        </w:rPr>
      </w:pPr>
    </w:p>
    <w:p w14:paraId="526E2E35">
      <w:pPr>
        <w:pStyle w:val="9"/>
        <w:spacing w:after="0" w:line="249" w:lineRule="auto"/>
        <w:rPr>
          <w:rFonts w:hint="eastAsia"/>
        </w:rPr>
      </w:pPr>
      <w:r>
        <w:rPr>
          <w:rFonts w:hint="eastAsia"/>
        </w:rPr>
        <w:t>For though we have now arrived at a clear Timeline of Salvation History, it still remains deliberately to insert these precious keys into each of the three great flashpoints of eschatological controversy.</w:t>
      </w:r>
    </w:p>
    <w:p w14:paraId="4A71A8B5">
      <w:pPr>
        <w:pStyle w:val="9"/>
        <w:spacing w:after="0" w:line="249" w:lineRule="auto"/>
        <w:rPr>
          <w:rFonts w:hint="eastAsia"/>
        </w:rPr>
      </w:pPr>
      <w:r>
        <w:rPr>
          <w:rFonts w:hint="eastAsia"/>
        </w:rPr>
        <w:t>因为尽管我们现在已经有了一条清晰的救赎历史时间线，但仍然需要有意识地将这些宝贵的钥匙插入到末世论争议的三个主要爆发点中的每一个。</w:t>
      </w:r>
    </w:p>
    <w:p w14:paraId="329475C2">
      <w:pPr>
        <w:pStyle w:val="9"/>
        <w:spacing w:after="0" w:line="249" w:lineRule="auto"/>
        <w:rPr>
          <w:rFonts w:hint="eastAsia"/>
        </w:rPr>
      </w:pPr>
    </w:p>
    <w:p w14:paraId="0EF74820">
      <w:pPr>
        <w:pStyle w:val="9"/>
        <w:spacing w:after="0" w:line="249" w:lineRule="auto"/>
        <w:rPr>
          <w:rFonts w:hint="eastAsia"/>
        </w:rPr>
      </w:pPr>
      <w:r>
        <w:rPr>
          <w:rFonts w:hint="eastAsia"/>
        </w:rPr>
        <w:t>How shall we interpret the many OTKP’s that have confused and divided the Church for many years?</w:t>
      </w:r>
    </w:p>
    <w:p w14:paraId="79798C46">
      <w:pPr>
        <w:pStyle w:val="9"/>
        <w:spacing w:after="0" w:line="249" w:lineRule="auto"/>
        <w:rPr>
          <w:rFonts w:hint="eastAsia"/>
        </w:rPr>
      </w:pPr>
      <w:r>
        <w:rPr>
          <w:rFonts w:hint="eastAsia"/>
        </w:rPr>
        <w:t>我们应如何解释那些多年来困扰和分裂教会的众多旧约国度预言（OTKP）？</w:t>
      </w:r>
    </w:p>
    <w:p w14:paraId="33AAF4FC">
      <w:pPr>
        <w:pStyle w:val="9"/>
        <w:spacing w:after="0" w:line="249" w:lineRule="auto"/>
        <w:rPr>
          <w:rFonts w:hint="eastAsia"/>
        </w:rPr>
      </w:pPr>
    </w:p>
    <w:p w14:paraId="6CB3DCFD">
      <w:pPr>
        <w:pStyle w:val="9"/>
        <w:spacing w:after="0" w:line="249" w:lineRule="auto"/>
        <w:rPr>
          <w:rFonts w:hint="eastAsia"/>
        </w:rPr>
      </w:pPr>
      <w:r>
        <w:rPr>
          <w:rFonts w:hint="eastAsia"/>
        </w:rPr>
        <w:t>How shall we understand that most controversial of all biblical chapters, Revelation 20?</w:t>
      </w:r>
    </w:p>
    <w:p w14:paraId="140A2BE1">
      <w:pPr>
        <w:pStyle w:val="9"/>
        <w:spacing w:after="0" w:line="249" w:lineRule="auto"/>
        <w:rPr>
          <w:rFonts w:hint="eastAsia"/>
        </w:rPr>
      </w:pPr>
      <w:r>
        <w:rPr>
          <w:rFonts w:hint="eastAsia"/>
        </w:rPr>
        <w:t>我们应如何理解所有圣经章节中最具争议的启示录20章？</w:t>
      </w:r>
    </w:p>
    <w:p w14:paraId="6E3A6EC8">
      <w:pPr>
        <w:pStyle w:val="9"/>
        <w:spacing w:after="0" w:line="249" w:lineRule="auto"/>
        <w:rPr>
          <w:rFonts w:hint="eastAsia"/>
        </w:rPr>
      </w:pPr>
    </w:p>
    <w:p w14:paraId="66C00E27">
      <w:pPr>
        <w:pStyle w:val="9"/>
        <w:spacing w:after="0" w:line="249" w:lineRule="auto"/>
        <w:rPr>
          <w:rFonts w:hint="eastAsia"/>
        </w:rPr>
      </w:pPr>
      <w:r>
        <w:rPr>
          <w:rFonts w:hint="eastAsia"/>
        </w:rPr>
        <w:t>How, drawing upon all of Scripture—OT as well as New—shall we arrive at a clear, detailed picture the Consummation?</w:t>
      </w:r>
    </w:p>
    <w:p w14:paraId="4215463D">
      <w:pPr>
        <w:pStyle w:val="9"/>
        <w:spacing w:after="0" w:line="249" w:lineRule="auto"/>
        <w:rPr>
          <w:rFonts w:hint="eastAsia"/>
        </w:rPr>
      </w:pPr>
      <w:r>
        <w:rPr>
          <w:rFonts w:hint="eastAsia"/>
        </w:rPr>
        <w:t>我们如何能，借鉴所有圣经——旧约以及新约——得出一个清晰、详细的最终成全图景？</w:t>
      </w:r>
    </w:p>
    <w:p w14:paraId="331811FD">
      <w:pPr>
        <w:pStyle w:val="9"/>
        <w:spacing w:after="0" w:line="249" w:lineRule="auto"/>
        <w:rPr>
          <w:rFonts w:hint="eastAsia"/>
        </w:rPr>
      </w:pPr>
    </w:p>
    <w:p w14:paraId="462CBF75">
      <w:pPr>
        <w:pStyle w:val="9"/>
        <w:spacing w:after="0" w:line="249" w:lineRule="auto"/>
        <w:rPr>
          <w:rFonts w:hint="eastAsia"/>
        </w:rPr>
      </w:pPr>
      <w:r>
        <w:rPr>
          <w:rFonts w:hint="eastAsia"/>
        </w:rPr>
        <w:t>There is one simple answer to all three questions: We must insert the keys!</w:t>
      </w:r>
    </w:p>
    <w:p w14:paraId="6E56B43F">
      <w:pPr>
        <w:pStyle w:val="9"/>
        <w:spacing w:after="0" w:line="249" w:lineRule="auto"/>
        <w:rPr>
          <w:rFonts w:hint="eastAsia"/>
        </w:rPr>
      </w:pPr>
      <w:r>
        <w:rPr>
          <w:rFonts w:hint="eastAsia"/>
        </w:rPr>
        <w:t>对于这三个问题，只有一个简单的答案：我们必须插入钥匙！</w:t>
      </w:r>
    </w:p>
    <w:p w14:paraId="09B99E49">
      <w:pPr>
        <w:pStyle w:val="9"/>
        <w:spacing w:after="0" w:line="249" w:lineRule="auto"/>
        <w:rPr>
          <w:rFonts w:hint="eastAsia"/>
        </w:rPr>
      </w:pPr>
    </w:p>
    <w:p w14:paraId="6CCB91D2">
      <w:pPr>
        <w:pStyle w:val="9"/>
        <w:spacing w:after="0" w:line="249" w:lineRule="auto"/>
        <w:rPr>
          <w:rFonts w:hint="eastAsia"/>
        </w:rPr>
      </w:pPr>
      <w:r>
        <w:rPr>
          <w:rFonts w:hint="eastAsia"/>
        </w:rPr>
        <w:t>Here, then, are our marching orders for Parts 3, 4, and 5.</w:t>
      </w:r>
    </w:p>
    <w:p w14:paraId="2D7836F8">
      <w:pPr>
        <w:pStyle w:val="9"/>
        <w:spacing w:after="0" w:line="249" w:lineRule="auto"/>
        <w:rPr>
          <w:rFonts w:hint="eastAsia"/>
        </w:rPr>
      </w:pPr>
      <w:r>
        <w:rPr>
          <w:rFonts w:hint="eastAsia"/>
        </w:rPr>
        <w:t>那么，这就是我们第三、四、五部分的行动指令。</w:t>
      </w:r>
    </w:p>
    <w:p w14:paraId="6EBA42D3">
      <w:pPr>
        <w:pStyle w:val="9"/>
        <w:spacing w:after="0" w:line="249" w:lineRule="auto"/>
        <w:rPr>
          <w:rFonts w:hint="eastAsia"/>
        </w:rPr>
      </w:pPr>
    </w:p>
    <w:p w14:paraId="5B7FFEE8">
      <w:pPr>
        <w:pStyle w:val="9"/>
        <w:spacing w:after="0" w:line="249" w:lineRule="auto"/>
        <w:rPr>
          <w:rFonts w:hint="eastAsia"/>
        </w:rPr>
      </w:pPr>
      <w:r>
        <w:rPr>
          <w:rFonts w:hint="eastAsia"/>
        </w:rPr>
        <w:t>And please note: Though our journey is far from over, it is all downhill from here!</w:t>
      </w:r>
    </w:p>
    <w:p w14:paraId="20F46ADE">
      <w:pPr>
        <w:pStyle w:val="9"/>
        <w:spacing w:after="0" w:line="249" w:lineRule="auto"/>
        <w:rPr>
          <w:rFonts w:hint="eastAsia"/>
        </w:rPr>
      </w:pPr>
      <w:r>
        <w:rPr>
          <w:rFonts w:hint="eastAsia"/>
        </w:rPr>
        <w:t>请注意：尽管我们的旅程远未结束，但从这里开始都是下坡路了！</w:t>
      </w:r>
    </w:p>
    <w:p w14:paraId="49855DAD">
      <w:pPr>
        <w:pStyle w:val="9"/>
        <w:spacing w:after="0" w:line="249" w:lineRule="auto"/>
        <w:rPr>
          <w:rFonts w:hint="eastAsia"/>
        </w:rPr>
      </w:pPr>
    </w:p>
    <w:p w14:paraId="7FCE47B0">
      <w:pPr>
        <w:pStyle w:val="9"/>
        <w:spacing w:after="0" w:line="249" w:lineRule="auto"/>
        <w:rPr>
          <w:rFonts w:hint="eastAsia"/>
        </w:rPr>
      </w:pPr>
      <w:r>
        <w:rPr>
          <w:rFonts w:hint="eastAsia"/>
        </w:rPr>
        <w:t>Therefore, let us head out and head home!</w:t>
      </w:r>
    </w:p>
    <w:p w14:paraId="12995620">
      <w:pPr>
        <w:pStyle w:val="9"/>
        <w:spacing w:after="0" w:line="249" w:lineRule="auto"/>
        <w:sectPr>
          <w:pgSz w:w="12240" w:h="15840"/>
          <w:pgMar w:top="1380" w:right="1440" w:bottom="280" w:left="1440" w:header="720" w:footer="720" w:gutter="0"/>
          <w:cols w:space="720" w:num="1"/>
        </w:sectPr>
      </w:pPr>
      <w:r>
        <w:rPr>
          <w:rFonts w:hint="eastAsia"/>
        </w:rPr>
        <w:t>因此，让我们出发回家吧！</w:t>
      </w:r>
    </w:p>
    <w:p w14:paraId="3DC3AC48">
      <w:pPr>
        <w:pStyle w:val="9"/>
        <w:spacing w:before="288"/>
        <w:ind w:left="0"/>
        <w:jc w:val="left"/>
        <w:rPr>
          <w:sz w:val="50"/>
        </w:rPr>
      </w:pPr>
    </w:p>
    <w:p w14:paraId="0A5225E2">
      <w:pPr>
        <w:spacing w:before="0"/>
        <w:ind w:left="2" w:right="2" w:firstLine="0"/>
        <w:jc w:val="center"/>
        <w:rPr>
          <w:b/>
          <w:sz w:val="50"/>
        </w:rPr>
      </w:pPr>
      <w:bookmarkStart w:id="34" w:name="Part 3: Understanding Old Testament King"/>
      <w:bookmarkEnd w:id="34"/>
      <w:bookmarkStart w:id="35" w:name="_bookmark46"/>
      <w:bookmarkEnd w:id="35"/>
      <w:r>
        <w:rPr>
          <w:b/>
          <w:color w:val="231F20"/>
          <w:sz w:val="50"/>
        </w:rPr>
        <w:t>Part</w:t>
      </w:r>
      <w:r>
        <w:rPr>
          <w:b/>
          <w:color w:val="231F20"/>
          <w:spacing w:val="-4"/>
          <w:sz w:val="50"/>
        </w:rPr>
        <w:t xml:space="preserve"> </w:t>
      </w:r>
      <w:r>
        <w:rPr>
          <w:b/>
          <w:color w:val="231F20"/>
          <w:spacing w:val="-10"/>
          <w:sz w:val="50"/>
        </w:rPr>
        <w:t>3</w:t>
      </w:r>
    </w:p>
    <w:p w14:paraId="05E76CEB">
      <w:pPr>
        <w:pStyle w:val="2"/>
      </w:pPr>
      <w:r>
        <w:rPr>
          <w:color w:val="231F20"/>
          <w:spacing w:val="-2"/>
        </w:rPr>
        <w:t>Understanding</w:t>
      </w:r>
    </w:p>
    <w:p w14:paraId="66EC4BF4">
      <w:pPr>
        <w:spacing w:before="30"/>
        <w:ind w:left="2" w:right="2" w:firstLine="0"/>
        <w:jc w:val="center"/>
        <w:rPr>
          <w:sz w:val="60"/>
        </w:rPr>
      </w:pPr>
      <w:r>
        <w:rPr>
          <w:color w:val="231F20"/>
          <w:sz w:val="60"/>
        </w:rPr>
        <w:t>Old</w:t>
      </w:r>
      <w:r>
        <w:rPr>
          <w:color w:val="231F20"/>
          <w:spacing w:val="-14"/>
          <w:sz w:val="60"/>
        </w:rPr>
        <w:t xml:space="preserve"> </w:t>
      </w:r>
      <w:r>
        <w:rPr>
          <w:color w:val="231F20"/>
          <w:sz w:val="60"/>
        </w:rPr>
        <w:t>Testament</w:t>
      </w:r>
      <w:r>
        <w:rPr>
          <w:color w:val="231F20"/>
          <w:spacing w:val="-14"/>
          <w:sz w:val="60"/>
        </w:rPr>
        <w:t xml:space="preserve"> </w:t>
      </w:r>
      <w:r>
        <w:rPr>
          <w:color w:val="231F20"/>
          <w:sz w:val="60"/>
        </w:rPr>
        <w:t>Kingdom</w:t>
      </w:r>
      <w:r>
        <w:rPr>
          <w:color w:val="231F20"/>
          <w:spacing w:val="-14"/>
          <w:sz w:val="60"/>
        </w:rPr>
        <w:t xml:space="preserve"> </w:t>
      </w:r>
      <w:r>
        <w:rPr>
          <w:color w:val="231F20"/>
          <w:spacing w:val="-2"/>
          <w:sz w:val="60"/>
        </w:rPr>
        <w:t>Prophecy</w:t>
      </w:r>
    </w:p>
    <w:p w14:paraId="149B1724">
      <w:pPr>
        <w:spacing w:after="0"/>
        <w:jc w:val="center"/>
        <w:rPr>
          <w:sz w:val="60"/>
        </w:rPr>
        <w:sectPr>
          <w:pgSz w:w="12240" w:h="15840"/>
          <w:pgMar w:top="1820" w:right="1440" w:bottom="280" w:left="1440" w:header="720" w:footer="720" w:gutter="0"/>
          <w:cols w:space="720" w:num="1"/>
        </w:sectPr>
      </w:pPr>
    </w:p>
    <w:p w14:paraId="5D450AFF">
      <w:pPr>
        <w:pStyle w:val="9"/>
        <w:spacing w:before="11"/>
        <w:ind w:left="0"/>
        <w:jc w:val="left"/>
        <w:rPr>
          <w:sz w:val="15"/>
        </w:rPr>
      </w:pPr>
      <w:bookmarkStart w:id="36" w:name="Chapter 12: The Nature and Stages of the"/>
      <w:bookmarkEnd w:id="36"/>
      <w:bookmarkStart w:id="37" w:name="_bookmark47"/>
      <w:bookmarkEnd w:id="37"/>
    </w:p>
    <w:p w14:paraId="4804F02C">
      <w:pPr>
        <w:pStyle w:val="2"/>
        <w:bidi w:val="0"/>
        <w:rPr>
          <w:rFonts w:hint="eastAsia"/>
        </w:rPr>
      </w:pPr>
      <w:r>
        <w:rPr>
          <w:rFonts w:hint="eastAsia"/>
        </w:rPr>
        <w:t>Part 3</w:t>
      </w:r>
    </w:p>
    <w:p w14:paraId="41818BD6">
      <w:pPr>
        <w:pStyle w:val="2"/>
        <w:bidi w:val="0"/>
        <w:rPr>
          <w:rFonts w:hint="eastAsia"/>
        </w:rPr>
      </w:pPr>
      <w:r>
        <w:rPr>
          <w:rFonts w:hint="eastAsia"/>
        </w:rPr>
        <w:t>Understanding</w:t>
      </w:r>
    </w:p>
    <w:p w14:paraId="4F776DE3">
      <w:pPr>
        <w:pStyle w:val="2"/>
        <w:bidi w:val="0"/>
        <w:rPr>
          <w:rFonts w:hint="eastAsia"/>
        </w:rPr>
      </w:pPr>
      <w:r>
        <w:rPr>
          <w:rFonts w:hint="eastAsia"/>
        </w:rPr>
        <w:t>Old Testament Kingdom Prophecy</w:t>
      </w:r>
    </w:p>
    <w:p w14:paraId="2DE9E80A">
      <w:pPr>
        <w:pStyle w:val="2"/>
        <w:bidi w:val="0"/>
        <w:rPr>
          <w:rFonts w:hint="eastAsia"/>
        </w:rPr>
      </w:pPr>
      <w:r>
        <w:rPr>
          <w:rFonts w:hint="eastAsia"/>
        </w:rPr>
        <w:t>第三部分</w:t>
      </w:r>
    </w:p>
    <w:p w14:paraId="0BD16141">
      <w:pPr>
        <w:pStyle w:val="2"/>
        <w:bidi w:val="0"/>
        <w:rPr>
          <w:rFonts w:hint="eastAsia"/>
        </w:rPr>
      </w:pPr>
      <w:r>
        <w:rPr>
          <w:rFonts w:hint="eastAsia"/>
        </w:rPr>
        <w:t>理解</w:t>
      </w:r>
    </w:p>
    <w:p w14:paraId="778B32BC">
      <w:pPr>
        <w:pStyle w:val="2"/>
        <w:bidi w:val="0"/>
        <w:rPr>
          <w:rFonts w:hint="eastAsia"/>
        </w:rPr>
      </w:pPr>
      <w:r>
        <w:rPr>
          <w:rFonts w:hint="eastAsia"/>
        </w:rPr>
        <w:t>旧约的国度预言</w:t>
      </w:r>
    </w:p>
    <w:p w14:paraId="533A77DB">
      <w:pPr>
        <w:pStyle w:val="9"/>
        <w:spacing w:before="11"/>
        <w:ind w:left="0"/>
        <w:jc w:val="left"/>
        <w:rPr>
          <w:rFonts w:hint="eastAsia"/>
          <w:sz w:val="30"/>
          <w:szCs w:val="30"/>
        </w:rPr>
      </w:pPr>
    </w:p>
    <w:p w14:paraId="2C6F7640">
      <w:pPr>
        <w:pStyle w:val="2"/>
        <w:bidi w:val="0"/>
        <w:rPr>
          <w:rFonts w:hint="eastAsia"/>
        </w:rPr>
      </w:pPr>
      <w:r>
        <w:rPr>
          <w:rFonts w:hint="eastAsia"/>
        </w:rPr>
        <w:t>Chapter 12</w:t>
      </w:r>
    </w:p>
    <w:p w14:paraId="2A2E0314">
      <w:pPr>
        <w:pStyle w:val="2"/>
        <w:bidi w:val="0"/>
        <w:rPr>
          <w:rFonts w:hint="eastAsia"/>
        </w:rPr>
      </w:pPr>
      <w:r>
        <w:rPr>
          <w:rFonts w:hint="eastAsia"/>
        </w:rPr>
        <w:t>第12章</w:t>
      </w:r>
    </w:p>
    <w:p w14:paraId="1EE10458">
      <w:pPr>
        <w:pStyle w:val="9"/>
        <w:spacing w:before="11"/>
        <w:ind w:left="0"/>
        <w:jc w:val="left"/>
        <w:rPr>
          <w:rFonts w:hint="eastAsia"/>
          <w:sz w:val="30"/>
          <w:szCs w:val="30"/>
        </w:rPr>
      </w:pPr>
    </w:p>
    <w:p w14:paraId="7F05AF1D">
      <w:pPr>
        <w:pStyle w:val="3"/>
        <w:bidi w:val="0"/>
        <w:rPr>
          <w:rFonts w:hint="eastAsia"/>
        </w:rPr>
      </w:pPr>
      <w:r>
        <w:rPr>
          <w:rFonts w:hint="eastAsia"/>
        </w:rPr>
        <w:t>The Nature and Stages of the Kingdom in Old Testament Prophecy</w:t>
      </w:r>
    </w:p>
    <w:p w14:paraId="7BCB330C">
      <w:pPr>
        <w:pStyle w:val="3"/>
        <w:bidi w:val="0"/>
        <w:rPr>
          <w:rFonts w:hint="eastAsia"/>
        </w:rPr>
      </w:pPr>
      <w:r>
        <w:rPr>
          <w:rFonts w:hint="eastAsia"/>
        </w:rPr>
        <w:t>旧约预言中国度的性质与阶段</w:t>
      </w:r>
    </w:p>
    <w:p w14:paraId="42665036">
      <w:pPr>
        <w:pStyle w:val="9"/>
        <w:spacing w:before="11"/>
        <w:ind w:left="0"/>
        <w:jc w:val="left"/>
        <w:rPr>
          <w:rFonts w:hint="eastAsia"/>
          <w:sz w:val="30"/>
          <w:szCs w:val="30"/>
        </w:rPr>
      </w:pPr>
    </w:p>
    <w:p w14:paraId="6039FAE9">
      <w:pPr>
        <w:pStyle w:val="9"/>
        <w:spacing w:before="11"/>
        <w:ind w:left="0"/>
        <w:jc w:val="left"/>
        <w:rPr>
          <w:rFonts w:hint="eastAsia"/>
          <w:sz w:val="30"/>
          <w:szCs w:val="30"/>
        </w:rPr>
      </w:pPr>
      <w:r>
        <w:rPr>
          <w:rFonts w:hint="eastAsia"/>
          <w:sz w:val="30"/>
          <w:szCs w:val="30"/>
        </w:rPr>
        <w:t>OUR GOAL IN Part 3 of our journey is to address the vexed question of the proper interpretation of OT Kingdom prophecy.</w:t>
      </w:r>
    </w:p>
    <w:p w14:paraId="613EF85B">
      <w:pPr>
        <w:pStyle w:val="9"/>
        <w:spacing w:before="11"/>
        <w:ind w:left="0"/>
        <w:jc w:val="left"/>
        <w:rPr>
          <w:rFonts w:hint="eastAsia"/>
          <w:sz w:val="30"/>
          <w:szCs w:val="30"/>
        </w:rPr>
      </w:pPr>
      <w:r>
        <w:rPr>
          <w:rFonts w:hint="eastAsia"/>
          <w:sz w:val="30"/>
          <w:szCs w:val="30"/>
        </w:rPr>
        <w:t>在我们旅程的第三部分，我们的目标是处理解释旧约国度预言这一棘手问题。</w:t>
      </w:r>
    </w:p>
    <w:p w14:paraId="12D2E6B0">
      <w:pPr>
        <w:pStyle w:val="9"/>
        <w:spacing w:before="11"/>
        <w:ind w:left="0"/>
        <w:jc w:val="left"/>
        <w:rPr>
          <w:rFonts w:hint="eastAsia"/>
          <w:sz w:val="30"/>
          <w:szCs w:val="30"/>
        </w:rPr>
      </w:pPr>
    </w:p>
    <w:p w14:paraId="45AE274A">
      <w:pPr>
        <w:pStyle w:val="9"/>
        <w:spacing w:before="11"/>
        <w:ind w:left="0"/>
        <w:jc w:val="left"/>
        <w:rPr>
          <w:rFonts w:hint="eastAsia"/>
          <w:sz w:val="30"/>
          <w:szCs w:val="30"/>
        </w:rPr>
      </w:pPr>
      <w:r>
        <w:rPr>
          <w:rFonts w:hint="eastAsia"/>
          <w:sz w:val="30"/>
          <w:szCs w:val="30"/>
        </w:rPr>
        <w:t>We have seen that premillenarians favor a basically literal approach, an approach that requires a three-staged Kingdom and a future return to (certain institutions of) the Mosaic Law.</w:t>
      </w:r>
    </w:p>
    <w:p w14:paraId="4B370D03">
      <w:pPr>
        <w:pStyle w:val="9"/>
        <w:spacing w:before="11"/>
        <w:ind w:left="0"/>
        <w:jc w:val="left"/>
        <w:rPr>
          <w:rFonts w:hint="eastAsia"/>
          <w:sz w:val="30"/>
          <w:szCs w:val="30"/>
        </w:rPr>
      </w:pPr>
      <w:r>
        <w:rPr>
          <w:rFonts w:hint="eastAsia"/>
          <w:sz w:val="30"/>
          <w:szCs w:val="30"/>
        </w:rPr>
        <w:t>我们已经看到，前千禧年派支持一种基本上是字面的方法，这种方法要求一个三阶段的国度，以及未来要回归摩西律法（的某些制度）。</w:t>
      </w:r>
    </w:p>
    <w:p w14:paraId="2CBD4BAF">
      <w:pPr>
        <w:pStyle w:val="9"/>
        <w:spacing w:before="11"/>
        <w:ind w:left="0"/>
        <w:jc w:val="left"/>
        <w:rPr>
          <w:rFonts w:hint="eastAsia"/>
          <w:sz w:val="30"/>
          <w:szCs w:val="30"/>
        </w:rPr>
      </w:pPr>
    </w:p>
    <w:p w14:paraId="47123BAF">
      <w:pPr>
        <w:pStyle w:val="9"/>
        <w:spacing w:before="11"/>
        <w:ind w:left="0"/>
        <w:jc w:val="left"/>
        <w:rPr>
          <w:rFonts w:hint="eastAsia"/>
          <w:sz w:val="30"/>
          <w:szCs w:val="30"/>
        </w:rPr>
      </w:pPr>
      <w:r>
        <w:rPr>
          <w:rFonts w:hint="eastAsia"/>
          <w:sz w:val="30"/>
          <w:szCs w:val="30"/>
        </w:rPr>
        <w:t>However, in examining NT Kingdom theology, we realized that Christ and the apostles do not sanction this view; that their instruction concerning the (spiritual) nature and (twofold ) structure of the Kingdom implicitly rules out the premillennial understanding of OTKP.</w:t>
      </w:r>
    </w:p>
    <w:p w14:paraId="62F789AB">
      <w:pPr>
        <w:pStyle w:val="9"/>
        <w:spacing w:before="11"/>
        <w:ind w:left="0"/>
        <w:jc w:val="left"/>
        <w:rPr>
          <w:rFonts w:hint="eastAsia"/>
          <w:sz w:val="30"/>
          <w:szCs w:val="30"/>
        </w:rPr>
      </w:pPr>
      <w:r>
        <w:rPr>
          <w:rFonts w:hint="eastAsia"/>
          <w:sz w:val="30"/>
          <w:szCs w:val="30"/>
        </w:rPr>
        <w:t>然而，在审视新约的国度神学时，我们认识到基督和使徒们并不认可这种观点；他们关于国度（属灵）性质和（双重）结构的教导，已经含蓄地排除了前千禧年派对旧约国度预言的理解。</w:t>
      </w:r>
    </w:p>
    <w:p w14:paraId="6D4FFA31">
      <w:pPr>
        <w:pStyle w:val="9"/>
        <w:spacing w:before="11"/>
        <w:ind w:left="0"/>
        <w:jc w:val="left"/>
        <w:rPr>
          <w:rFonts w:hint="eastAsia"/>
          <w:sz w:val="30"/>
          <w:szCs w:val="30"/>
        </w:rPr>
      </w:pPr>
    </w:p>
    <w:p w14:paraId="1413059B">
      <w:pPr>
        <w:pStyle w:val="9"/>
        <w:spacing w:before="11"/>
        <w:ind w:left="0"/>
        <w:jc w:val="left"/>
        <w:rPr>
          <w:rFonts w:hint="eastAsia"/>
          <w:sz w:val="30"/>
          <w:szCs w:val="30"/>
        </w:rPr>
      </w:pPr>
      <w:r>
        <w:rPr>
          <w:rFonts w:hint="eastAsia"/>
          <w:sz w:val="30"/>
          <w:szCs w:val="30"/>
        </w:rPr>
        <w:t>Nevertheless, an obvious and important question remains: How exactly would the Teacher have us interpret OTKP?</w:t>
      </w:r>
    </w:p>
    <w:p w14:paraId="675B43C3">
      <w:pPr>
        <w:pStyle w:val="9"/>
        <w:spacing w:before="11"/>
        <w:ind w:left="0"/>
        <w:jc w:val="left"/>
        <w:rPr>
          <w:rFonts w:hint="eastAsia"/>
          <w:sz w:val="30"/>
          <w:szCs w:val="30"/>
        </w:rPr>
      </w:pPr>
      <w:r>
        <w:rPr>
          <w:rFonts w:hint="eastAsia"/>
          <w:sz w:val="30"/>
          <w:szCs w:val="30"/>
        </w:rPr>
        <w:t>尽管如此，一个显而易见且重要的问题依然存在：那位教师究竟要我们如何解释旧约国度预言？</w:t>
      </w:r>
    </w:p>
    <w:p w14:paraId="6B3578B9">
      <w:pPr>
        <w:pStyle w:val="9"/>
        <w:spacing w:before="11"/>
        <w:ind w:left="0"/>
        <w:jc w:val="left"/>
        <w:rPr>
          <w:rFonts w:hint="eastAsia"/>
          <w:sz w:val="30"/>
          <w:szCs w:val="30"/>
        </w:rPr>
      </w:pPr>
    </w:p>
    <w:p w14:paraId="71D4B23C">
      <w:pPr>
        <w:pStyle w:val="9"/>
        <w:spacing w:before="11"/>
        <w:ind w:left="0"/>
        <w:jc w:val="left"/>
        <w:rPr>
          <w:rFonts w:hint="eastAsia"/>
          <w:sz w:val="30"/>
          <w:szCs w:val="30"/>
        </w:rPr>
      </w:pPr>
      <w:r>
        <w:rPr>
          <w:rFonts w:hint="eastAsia"/>
          <w:sz w:val="30"/>
          <w:szCs w:val="30"/>
        </w:rPr>
        <w:t>In particular, what specific NT principles would he have us bring to these texts, so that we might arrive— confidently and in complete unity—at the full meaning intended by the Spirit of God?</w:t>
      </w:r>
    </w:p>
    <w:p w14:paraId="6C11462C">
      <w:pPr>
        <w:pStyle w:val="9"/>
        <w:spacing w:before="11"/>
        <w:ind w:left="0"/>
        <w:jc w:val="left"/>
        <w:rPr>
          <w:rFonts w:hint="eastAsia"/>
          <w:sz w:val="30"/>
          <w:szCs w:val="30"/>
        </w:rPr>
      </w:pPr>
      <w:r>
        <w:rPr>
          <w:rFonts w:hint="eastAsia"/>
          <w:sz w:val="30"/>
          <w:szCs w:val="30"/>
        </w:rPr>
        <w:t>特别是，祂要我们运用哪些具体的新约原则来解读这些经文，以便我们能够——满怀信心地、完全合一地——达到圣灵所要启示的全部意义？</w:t>
      </w:r>
    </w:p>
    <w:p w14:paraId="128BF41C">
      <w:pPr>
        <w:pStyle w:val="9"/>
        <w:spacing w:before="11"/>
        <w:ind w:left="0"/>
        <w:jc w:val="left"/>
        <w:rPr>
          <w:rFonts w:hint="eastAsia"/>
          <w:sz w:val="30"/>
          <w:szCs w:val="30"/>
        </w:rPr>
      </w:pPr>
    </w:p>
    <w:p w14:paraId="49CEBFA1">
      <w:pPr>
        <w:pStyle w:val="9"/>
        <w:spacing w:before="11"/>
        <w:ind w:left="0"/>
        <w:jc w:val="left"/>
        <w:rPr>
          <w:rFonts w:hint="eastAsia"/>
          <w:sz w:val="30"/>
          <w:szCs w:val="30"/>
        </w:rPr>
      </w:pPr>
      <w:r>
        <w:rPr>
          <w:rFonts w:hint="eastAsia"/>
          <w:sz w:val="30"/>
          <w:szCs w:val="30"/>
        </w:rPr>
        <w:t>In our journey thus far, we have touched on these principles.</w:t>
      </w:r>
    </w:p>
    <w:p w14:paraId="060CD15A">
      <w:pPr>
        <w:pStyle w:val="9"/>
        <w:spacing w:before="11"/>
        <w:ind w:left="0"/>
        <w:jc w:val="left"/>
        <w:rPr>
          <w:rFonts w:hint="eastAsia"/>
          <w:sz w:val="30"/>
          <w:szCs w:val="30"/>
        </w:rPr>
      </w:pPr>
      <w:r>
        <w:rPr>
          <w:rFonts w:hint="eastAsia"/>
          <w:sz w:val="30"/>
          <w:szCs w:val="30"/>
        </w:rPr>
        <w:t>在我们迄今的旅程中，我们已经触及了这些原则。</w:t>
      </w:r>
    </w:p>
    <w:p w14:paraId="31A081B6">
      <w:pPr>
        <w:pStyle w:val="9"/>
        <w:spacing w:before="11"/>
        <w:ind w:left="0"/>
        <w:jc w:val="left"/>
        <w:rPr>
          <w:rFonts w:hint="eastAsia"/>
          <w:sz w:val="30"/>
          <w:szCs w:val="30"/>
        </w:rPr>
      </w:pPr>
    </w:p>
    <w:p w14:paraId="447D45DE">
      <w:pPr>
        <w:pStyle w:val="9"/>
        <w:spacing w:before="11"/>
        <w:ind w:left="0"/>
        <w:jc w:val="left"/>
        <w:rPr>
          <w:rFonts w:hint="eastAsia"/>
          <w:sz w:val="30"/>
          <w:szCs w:val="30"/>
        </w:rPr>
      </w:pPr>
      <w:r>
        <w:rPr>
          <w:rFonts w:hint="eastAsia"/>
          <w:sz w:val="30"/>
          <w:szCs w:val="30"/>
        </w:rPr>
        <w:t>Our goal in Part 3 of the journey is to plumb them to the depths.</w:t>
      </w:r>
    </w:p>
    <w:p w14:paraId="2DA24046">
      <w:pPr>
        <w:pStyle w:val="9"/>
        <w:spacing w:before="11"/>
        <w:ind w:left="0"/>
        <w:jc w:val="left"/>
        <w:rPr>
          <w:rFonts w:hint="eastAsia"/>
          <w:sz w:val="30"/>
          <w:szCs w:val="30"/>
        </w:rPr>
      </w:pPr>
      <w:r>
        <w:rPr>
          <w:rFonts w:hint="eastAsia"/>
          <w:sz w:val="30"/>
          <w:szCs w:val="30"/>
        </w:rPr>
        <w:t>在旅程的第三部分，我们的目标是深入探究它们。</w:t>
      </w:r>
    </w:p>
    <w:p w14:paraId="7AB414CF">
      <w:pPr>
        <w:pStyle w:val="9"/>
        <w:spacing w:before="11"/>
        <w:ind w:left="0"/>
        <w:jc w:val="left"/>
        <w:rPr>
          <w:rFonts w:hint="eastAsia"/>
          <w:sz w:val="30"/>
          <w:szCs w:val="30"/>
        </w:rPr>
      </w:pPr>
    </w:p>
    <w:p w14:paraId="6E9A8B83">
      <w:pPr>
        <w:pStyle w:val="9"/>
        <w:spacing w:before="11"/>
        <w:ind w:left="0"/>
        <w:jc w:val="left"/>
        <w:rPr>
          <w:rFonts w:hint="eastAsia"/>
          <w:sz w:val="30"/>
          <w:szCs w:val="30"/>
        </w:rPr>
      </w:pPr>
      <w:r>
        <w:rPr>
          <w:rFonts w:hint="eastAsia"/>
          <w:sz w:val="30"/>
          <w:szCs w:val="30"/>
        </w:rPr>
        <w:t>Three fundamental steps will be involved.</w:t>
      </w:r>
    </w:p>
    <w:p w14:paraId="2567A908">
      <w:pPr>
        <w:pStyle w:val="9"/>
        <w:spacing w:before="11"/>
        <w:ind w:left="0"/>
        <w:jc w:val="left"/>
        <w:rPr>
          <w:rFonts w:hint="eastAsia"/>
          <w:sz w:val="30"/>
          <w:szCs w:val="30"/>
        </w:rPr>
      </w:pPr>
      <w:r>
        <w:rPr>
          <w:rFonts w:hint="eastAsia"/>
          <w:sz w:val="30"/>
          <w:szCs w:val="30"/>
        </w:rPr>
        <w:t>这将涉及三个基本步骤。</w:t>
      </w:r>
    </w:p>
    <w:p w14:paraId="67168957">
      <w:pPr>
        <w:pStyle w:val="9"/>
        <w:spacing w:before="11"/>
        <w:ind w:left="0"/>
        <w:jc w:val="left"/>
        <w:rPr>
          <w:rFonts w:hint="eastAsia"/>
          <w:sz w:val="30"/>
          <w:szCs w:val="30"/>
        </w:rPr>
      </w:pPr>
    </w:p>
    <w:p w14:paraId="500CFEBA">
      <w:pPr>
        <w:pStyle w:val="9"/>
        <w:spacing w:before="11"/>
        <w:ind w:left="0"/>
        <w:jc w:val="left"/>
        <w:rPr>
          <w:rFonts w:hint="eastAsia"/>
          <w:sz w:val="30"/>
          <w:szCs w:val="30"/>
        </w:rPr>
      </w:pPr>
      <w:r>
        <w:rPr>
          <w:rFonts w:hint="eastAsia"/>
          <w:sz w:val="30"/>
          <w:szCs w:val="30"/>
        </w:rPr>
        <w:t>To begin with, here in chapter 12 we will get better acquainted with the object of our study: the great body of OT Kingdom prophecy.</w:t>
      </w:r>
    </w:p>
    <w:p w14:paraId="70B92430">
      <w:pPr>
        <w:pStyle w:val="9"/>
        <w:spacing w:before="11"/>
        <w:ind w:left="0"/>
        <w:jc w:val="left"/>
        <w:rPr>
          <w:rFonts w:hint="eastAsia"/>
          <w:sz w:val="30"/>
          <w:szCs w:val="30"/>
        </w:rPr>
      </w:pPr>
      <w:r>
        <w:rPr>
          <w:rFonts w:hint="eastAsia"/>
          <w:sz w:val="30"/>
          <w:szCs w:val="30"/>
        </w:rPr>
        <w:t>首先，在第12章，我们将更好地熟悉我们研究的对象：旧约国度预言的庞大体系。</w:t>
      </w:r>
    </w:p>
    <w:p w14:paraId="3A6089AA">
      <w:pPr>
        <w:pStyle w:val="9"/>
        <w:spacing w:before="11"/>
        <w:ind w:left="0"/>
        <w:jc w:val="left"/>
        <w:rPr>
          <w:rFonts w:hint="eastAsia"/>
          <w:sz w:val="30"/>
          <w:szCs w:val="30"/>
        </w:rPr>
      </w:pPr>
    </w:p>
    <w:p w14:paraId="77DE686C">
      <w:pPr>
        <w:pStyle w:val="9"/>
        <w:spacing w:before="11"/>
        <w:ind w:left="0"/>
        <w:jc w:val="left"/>
        <w:rPr>
          <w:rFonts w:hint="eastAsia"/>
          <w:sz w:val="30"/>
          <w:szCs w:val="30"/>
        </w:rPr>
      </w:pPr>
      <w:r>
        <w:rPr>
          <w:rFonts w:hint="eastAsia"/>
          <w:sz w:val="30"/>
          <w:szCs w:val="30"/>
        </w:rPr>
        <w:t>Our approach will be twofold .</w:t>
      </w:r>
    </w:p>
    <w:p w14:paraId="10390693">
      <w:pPr>
        <w:pStyle w:val="9"/>
        <w:spacing w:before="11"/>
        <w:ind w:left="0"/>
        <w:jc w:val="left"/>
        <w:rPr>
          <w:rFonts w:hint="eastAsia"/>
          <w:sz w:val="30"/>
          <w:szCs w:val="30"/>
        </w:rPr>
      </w:pPr>
      <w:r>
        <w:rPr>
          <w:rFonts w:hint="eastAsia"/>
          <w:sz w:val="30"/>
          <w:szCs w:val="30"/>
        </w:rPr>
        <w:t>我们的方法将是双重的。</w:t>
      </w:r>
    </w:p>
    <w:p w14:paraId="06D50982">
      <w:pPr>
        <w:pStyle w:val="9"/>
        <w:spacing w:before="11"/>
        <w:ind w:left="0"/>
        <w:jc w:val="left"/>
        <w:rPr>
          <w:rFonts w:hint="eastAsia"/>
          <w:sz w:val="30"/>
          <w:szCs w:val="30"/>
        </w:rPr>
      </w:pPr>
    </w:p>
    <w:p w14:paraId="5154FA6B">
      <w:pPr>
        <w:pStyle w:val="9"/>
        <w:spacing w:before="11"/>
        <w:ind w:left="0"/>
        <w:jc w:val="left"/>
        <w:rPr>
          <w:rFonts w:hint="eastAsia"/>
          <w:sz w:val="30"/>
          <w:szCs w:val="30"/>
        </w:rPr>
      </w:pPr>
      <w:r>
        <w:rPr>
          <w:rFonts w:hint="eastAsia"/>
          <w:sz w:val="30"/>
          <w:szCs w:val="30"/>
        </w:rPr>
        <w:t>On the one hand, we will examine the nature of the Kingdom as the OT prophets represented it.</w:t>
      </w:r>
    </w:p>
    <w:p w14:paraId="1F15331B">
      <w:pPr>
        <w:pStyle w:val="9"/>
        <w:spacing w:before="11"/>
        <w:ind w:left="0"/>
        <w:jc w:val="left"/>
        <w:rPr>
          <w:rFonts w:hint="eastAsia"/>
          <w:sz w:val="30"/>
          <w:szCs w:val="30"/>
        </w:rPr>
      </w:pPr>
      <w:r>
        <w:rPr>
          <w:rFonts w:hint="eastAsia"/>
          <w:sz w:val="30"/>
          <w:szCs w:val="30"/>
        </w:rPr>
        <w:t>一方面，我们将考察旧约先知所呈现的国度的性质。</w:t>
      </w:r>
    </w:p>
    <w:p w14:paraId="5D121CA2">
      <w:pPr>
        <w:pStyle w:val="9"/>
        <w:spacing w:before="11"/>
        <w:ind w:left="0"/>
        <w:jc w:val="left"/>
        <w:rPr>
          <w:rFonts w:hint="eastAsia"/>
          <w:sz w:val="30"/>
          <w:szCs w:val="30"/>
        </w:rPr>
      </w:pPr>
    </w:p>
    <w:p w14:paraId="6F39FC4A">
      <w:pPr>
        <w:pStyle w:val="9"/>
        <w:spacing w:before="11"/>
        <w:ind w:left="0"/>
        <w:jc w:val="left"/>
        <w:rPr>
          <w:rFonts w:hint="eastAsia"/>
          <w:sz w:val="30"/>
          <w:szCs w:val="30"/>
        </w:rPr>
      </w:pPr>
      <w:r>
        <w:rPr>
          <w:rFonts w:hint="eastAsia"/>
          <w:sz w:val="30"/>
          <w:szCs w:val="30"/>
        </w:rPr>
        <w:t>Among other things, this will require a closer look at what we called the Representative Idea of the Kingdom, as well as certain anomalies—certain “odd” characteristics of OTKP—that hint at the necessity of a non-literal, covenantal, and typological interpretation.</w:t>
      </w:r>
    </w:p>
    <w:p w14:paraId="4F7F2B65">
      <w:pPr>
        <w:pStyle w:val="9"/>
        <w:spacing w:before="11"/>
        <w:ind w:left="0"/>
        <w:jc w:val="left"/>
        <w:rPr>
          <w:rFonts w:hint="eastAsia"/>
          <w:sz w:val="30"/>
          <w:szCs w:val="30"/>
        </w:rPr>
      </w:pPr>
      <w:r>
        <w:rPr>
          <w:rFonts w:hint="eastAsia"/>
          <w:sz w:val="30"/>
          <w:szCs w:val="30"/>
        </w:rPr>
        <w:t>这其中，将需要更仔细地审视我们所称的国度的代表性观念，以及旧约国度预言的某些反常之处——某些“奇特”的特征——这些特征暗示了进行非字面、基于圣约和预表性解释的必要性。</w:t>
      </w:r>
    </w:p>
    <w:p w14:paraId="5D9CA0D9">
      <w:pPr>
        <w:pStyle w:val="9"/>
        <w:spacing w:before="11"/>
        <w:ind w:left="0"/>
        <w:jc w:val="left"/>
        <w:rPr>
          <w:rFonts w:hint="eastAsia"/>
          <w:sz w:val="30"/>
          <w:szCs w:val="30"/>
        </w:rPr>
      </w:pPr>
    </w:p>
    <w:p w14:paraId="3434C47E">
      <w:pPr>
        <w:pStyle w:val="9"/>
        <w:spacing w:before="11"/>
        <w:ind w:left="0"/>
        <w:jc w:val="left"/>
        <w:rPr>
          <w:rFonts w:hint="eastAsia"/>
          <w:sz w:val="30"/>
          <w:szCs w:val="30"/>
        </w:rPr>
      </w:pPr>
      <w:r>
        <w:rPr>
          <w:rFonts w:hint="eastAsia"/>
          <w:sz w:val="30"/>
          <w:szCs w:val="30"/>
        </w:rPr>
        <w:t>On the other hand, we will also examine the coming of the Kingdom: the stages in which it appears, and the key persons and events that introduce those stages.</w:t>
      </w:r>
    </w:p>
    <w:p w14:paraId="581BAB77">
      <w:pPr>
        <w:pStyle w:val="9"/>
        <w:spacing w:before="11"/>
        <w:ind w:left="0"/>
        <w:jc w:val="left"/>
        <w:rPr>
          <w:rFonts w:hint="eastAsia"/>
          <w:sz w:val="30"/>
          <w:szCs w:val="30"/>
        </w:rPr>
      </w:pPr>
      <w:r>
        <w:rPr>
          <w:rFonts w:hint="eastAsia"/>
          <w:sz w:val="30"/>
          <w:szCs w:val="30"/>
        </w:rPr>
        <w:t>另一方面，我们也将考察国度的降临：它显现的各个阶段，以及引入这些阶段的关键人物和事件。</w:t>
      </w:r>
    </w:p>
    <w:p w14:paraId="1701C997">
      <w:pPr>
        <w:pStyle w:val="9"/>
        <w:spacing w:before="11"/>
        <w:ind w:left="0"/>
        <w:jc w:val="left"/>
        <w:rPr>
          <w:rFonts w:hint="eastAsia"/>
          <w:sz w:val="30"/>
          <w:szCs w:val="30"/>
        </w:rPr>
      </w:pPr>
    </w:p>
    <w:p w14:paraId="1377A226">
      <w:pPr>
        <w:pStyle w:val="9"/>
        <w:spacing w:before="11"/>
        <w:ind w:left="0"/>
        <w:jc w:val="left"/>
        <w:rPr>
          <w:rFonts w:hint="eastAsia"/>
          <w:sz w:val="30"/>
          <w:szCs w:val="30"/>
        </w:rPr>
      </w:pPr>
      <w:r>
        <w:rPr>
          <w:rFonts w:hint="eastAsia"/>
          <w:sz w:val="30"/>
          <w:szCs w:val="30"/>
        </w:rPr>
        <w:t>Along the way, we will see that certain characteristics of OTKP make this task exceedingly difficult; but also that in speaking as enigmatically as he did, God had his reasons; that he was purposely setting the stage for his Son to enter the world in the last days, and to grant us a much-needed, far clearer, and definitive revelation of the nature and coming of the Kingdom.</w:t>
      </w:r>
    </w:p>
    <w:p w14:paraId="1DD3A946">
      <w:pPr>
        <w:pStyle w:val="9"/>
        <w:spacing w:before="11"/>
        <w:ind w:left="0"/>
        <w:jc w:val="left"/>
        <w:rPr>
          <w:rFonts w:hint="eastAsia"/>
          <w:sz w:val="30"/>
          <w:szCs w:val="30"/>
        </w:rPr>
      </w:pPr>
      <w:r>
        <w:rPr>
          <w:rFonts w:hint="eastAsia"/>
          <w:sz w:val="30"/>
          <w:szCs w:val="30"/>
        </w:rPr>
        <w:t>在此过程中，我们将看到旧约国度预言的某些特征使这项任务变得异常困难；但同时也会看到，上帝以如此奥秘的方式说话是有祂的理由的；祂是特意为祂的儿子在末后的日子进入世界搭建舞台，并赐给我们一个我们极其需要的、远为清晰和确定的关于国度性质与降临的启示。</w:t>
      </w:r>
    </w:p>
    <w:p w14:paraId="0620865B">
      <w:pPr>
        <w:pStyle w:val="9"/>
        <w:spacing w:before="11"/>
        <w:ind w:left="0"/>
        <w:jc w:val="left"/>
        <w:rPr>
          <w:rFonts w:hint="eastAsia"/>
          <w:sz w:val="30"/>
          <w:szCs w:val="30"/>
        </w:rPr>
      </w:pPr>
    </w:p>
    <w:p w14:paraId="0662DF26">
      <w:pPr>
        <w:pStyle w:val="9"/>
        <w:spacing w:before="11"/>
        <w:ind w:left="0"/>
        <w:jc w:val="left"/>
        <w:rPr>
          <w:rFonts w:hint="eastAsia"/>
          <w:sz w:val="30"/>
          <w:szCs w:val="30"/>
        </w:rPr>
      </w:pPr>
      <w:r>
        <w:rPr>
          <w:rFonts w:hint="eastAsia"/>
          <w:sz w:val="30"/>
          <w:szCs w:val="30"/>
        </w:rPr>
        <w:t>In chapters 13 and 14 we will return to the NT itself, drawing upon all we have learned in Part 2 to discern and set forth a comprehensive list of NT principles by which we may confidently interpret OTKP.</w:t>
      </w:r>
    </w:p>
    <w:p w14:paraId="7935EDEF">
      <w:pPr>
        <w:pStyle w:val="9"/>
        <w:spacing w:before="11"/>
        <w:ind w:left="0"/>
        <w:jc w:val="left"/>
        <w:rPr>
          <w:rFonts w:hint="eastAsia"/>
          <w:sz w:val="30"/>
          <w:szCs w:val="30"/>
        </w:rPr>
      </w:pPr>
      <w:r>
        <w:rPr>
          <w:rFonts w:hint="eastAsia"/>
          <w:sz w:val="30"/>
          <w:szCs w:val="30"/>
        </w:rPr>
        <w:t>在第13章和第14章，我们将回到新约本身，借鉴我们在第二部分所学到的一切，来辨明并提出一个新约原则的完整清单，借此我们可以满怀信心地解释旧约国度预言（OTKP）。</w:t>
      </w:r>
    </w:p>
    <w:p w14:paraId="7D53A715">
      <w:pPr>
        <w:pStyle w:val="9"/>
        <w:spacing w:before="11"/>
        <w:ind w:left="0"/>
        <w:jc w:val="left"/>
        <w:rPr>
          <w:rFonts w:hint="eastAsia"/>
          <w:sz w:val="30"/>
          <w:szCs w:val="30"/>
        </w:rPr>
      </w:pPr>
    </w:p>
    <w:p w14:paraId="11DC3B51">
      <w:pPr>
        <w:pStyle w:val="9"/>
        <w:spacing w:before="11"/>
        <w:ind w:left="0"/>
        <w:jc w:val="left"/>
        <w:rPr>
          <w:rFonts w:hint="eastAsia"/>
          <w:sz w:val="30"/>
          <w:szCs w:val="30"/>
        </w:rPr>
      </w:pPr>
      <w:r>
        <w:rPr>
          <w:rFonts w:hint="eastAsia"/>
          <w:sz w:val="30"/>
          <w:szCs w:val="30"/>
        </w:rPr>
        <w:t>In other words, we will seek to develop a detailed New Covenant Hermeneutic for the proper interpretation of OTKP.</w:t>
      </w:r>
    </w:p>
    <w:p w14:paraId="1AB9565F">
      <w:pPr>
        <w:pStyle w:val="9"/>
        <w:spacing w:before="11"/>
        <w:ind w:left="0"/>
        <w:jc w:val="left"/>
        <w:rPr>
          <w:rFonts w:hint="eastAsia"/>
          <w:sz w:val="30"/>
          <w:szCs w:val="30"/>
        </w:rPr>
      </w:pPr>
      <w:r>
        <w:rPr>
          <w:rFonts w:hint="eastAsia"/>
          <w:sz w:val="30"/>
          <w:szCs w:val="30"/>
        </w:rPr>
        <w:t>换句话说，我们将寻求为正确解释旧约国度预言（OTKP）而发展出一套详细的新约解释学（New Covenant Hermeneutic）。</w:t>
      </w:r>
    </w:p>
    <w:p w14:paraId="4139ED52">
      <w:pPr>
        <w:pStyle w:val="9"/>
        <w:spacing w:before="11"/>
        <w:ind w:left="0"/>
        <w:jc w:val="left"/>
        <w:rPr>
          <w:rFonts w:hint="eastAsia"/>
          <w:sz w:val="30"/>
          <w:szCs w:val="30"/>
        </w:rPr>
      </w:pPr>
    </w:p>
    <w:p w14:paraId="3A197B0A">
      <w:pPr>
        <w:pStyle w:val="9"/>
        <w:spacing w:before="11"/>
        <w:ind w:left="0"/>
        <w:jc w:val="left"/>
        <w:rPr>
          <w:rFonts w:hint="eastAsia"/>
          <w:sz w:val="30"/>
          <w:szCs w:val="30"/>
        </w:rPr>
      </w:pPr>
      <w:r>
        <w:rPr>
          <w:rFonts w:hint="eastAsia"/>
          <w:sz w:val="30"/>
          <w:szCs w:val="30"/>
        </w:rPr>
        <w:t>Here we will also carefully consider how Christ and the apostles actually applied these principles in their own handling of specific OT texts.</w:t>
      </w:r>
    </w:p>
    <w:p w14:paraId="4484ADCD">
      <w:pPr>
        <w:pStyle w:val="9"/>
        <w:spacing w:before="11"/>
        <w:ind w:left="0"/>
        <w:jc w:val="left"/>
        <w:rPr>
          <w:rFonts w:hint="eastAsia"/>
          <w:sz w:val="30"/>
          <w:szCs w:val="30"/>
        </w:rPr>
      </w:pPr>
      <w:r>
        <w:rPr>
          <w:rFonts w:hint="eastAsia"/>
          <w:sz w:val="30"/>
          <w:szCs w:val="30"/>
        </w:rPr>
        <w:t>在此，我们还将仔细思考基督和使徒们在他们自己处理具体旧约经文时，是如何实际应用这些原则的。</w:t>
      </w:r>
    </w:p>
    <w:p w14:paraId="1668B187">
      <w:pPr>
        <w:pStyle w:val="9"/>
        <w:spacing w:before="11"/>
        <w:ind w:left="0"/>
        <w:jc w:val="left"/>
        <w:rPr>
          <w:rFonts w:hint="eastAsia"/>
          <w:sz w:val="30"/>
          <w:szCs w:val="30"/>
        </w:rPr>
      </w:pPr>
    </w:p>
    <w:p w14:paraId="539CDB0C">
      <w:pPr>
        <w:pStyle w:val="9"/>
        <w:spacing w:before="11"/>
        <w:ind w:left="0"/>
        <w:jc w:val="left"/>
        <w:rPr>
          <w:rFonts w:hint="eastAsia"/>
          <w:sz w:val="30"/>
          <w:szCs w:val="30"/>
        </w:rPr>
      </w:pPr>
      <w:r>
        <w:rPr>
          <w:rFonts w:hint="eastAsia"/>
          <w:sz w:val="30"/>
          <w:szCs w:val="30"/>
        </w:rPr>
        <w:t>Finally, in chapters 15-18 we will settle down to enjoy the rich fruit of our labors.</w:t>
      </w:r>
    </w:p>
    <w:p w14:paraId="45E1A745">
      <w:pPr>
        <w:pStyle w:val="9"/>
        <w:spacing w:before="11"/>
        <w:ind w:left="0"/>
        <w:jc w:val="left"/>
        <w:rPr>
          <w:rFonts w:hint="eastAsia"/>
          <w:sz w:val="30"/>
          <w:szCs w:val="30"/>
        </w:rPr>
      </w:pPr>
      <w:r>
        <w:rPr>
          <w:rFonts w:hint="eastAsia"/>
          <w:sz w:val="30"/>
          <w:szCs w:val="30"/>
        </w:rPr>
        <w:t>最后，在第15-18章，我们将安下心来享受我们劳动的丰硕成果。</w:t>
      </w:r>
    </w:p>
    <w:p w14:paraId="71EDBDB3">
      <w:pPr>
        <w:pStyle w:val="9"/>
        <w:spacing w:before="11"/>
        <w:ind w:left="0"/>
        <w:jc w:val="left"/>
        <w:rPr>
          <w:rFonts w:hint="eastAsia"/>
          <w:sz w:val="30"/>
          <w:szCs w:val="30"/>
        </w:rPr>
      </w:pPr>
    </w:p>
    <w:p w14:paraId="72FF9B93">
      <w:pPr>
        <w:pStyle w:val="9"/>
        <w:spacing w:before="11"/>
        <w:ind w:left="0"/>
        <w:jc w:val="left"/>
        <w:rPr>
          <w:rFonts w:hint="eastAsia"/>
          <w:sz w:val="30"/>
          <w:szCs w:val="30"/>
        </w:rPr>
      </w:pPr>
      <w:r>
        <w:rPr>
          <w:rFonts w:hint="eastAsia"/>
          <w:sz w:val="30"/>
          <w:szCs w:val="30"/>
        </w:rPr>
        <w:t>With Christ and the apostles again at our side—and with the NCH firmly in hand—we will visit a largish number of specific OT prophecies, and watch them open up like flowers in full bloom before our eyes.</w:t>
      </w:r>
    </w:p>
    <w:p w14:paraId="1E341D5E">
      <w:pPr>
        <w:pStyle w:val="9"/>
        <w:spacing w:before="11"/>
        <w:ind w:left="0"/>
        <w:jc w:val="left"/>
        <w:rPr>
          <w:rFonts w:hint="eastAsia"/>
          <w:sz w:val="30"/>
          <w:szCs w:val="30"/>
        </w:rPr>
      </w:pPr>
      <w:r>
        <w:rPr>
          <w:rFonts w:hint="eastAsia"/>
          <w:sz w:val="30"/>
          <w:szCs w:val="30"/>
        </w:rPr>
        <w:t>当基督和使徒们再次与我们同在——并且我们手中牢牢掌握着新约解释学（NCH）时——我们将探访大量具体的旧约预言，并看着它们像盛开的花朵一样在我们眼前绽放。</w:t>
      </w:r>
    </w:p>
    <w:p w14:paraId="5C6623E7">
      <w:pPr>
        <w:pStyle w:val="9"/>
        <w:spacing w:before="11"/>
        <w:ind w:left="0"/>
        <w:jc w:val="left"/>
        <w:rPr>
          <w:rFonts w:hint="eastAsia"/>
          <w:sz w:val="30"/>
          <w:szCs w:val="30"/>
        </w:rPr>
      </w:pPr>
    </w:p>
    <w:p w14:paraId="66F1258F">
      <w:pPr>
        <w:pStyle w:val="9"/>
        <w:spacing w:before="11"/>
        <w:ind w:left="0"/>
        <w:jc w:val="left"/>
        <w:rPr>
          <w:rFonts w:hint="eastAsia"/>
          <w:sz w:val="30"/>
          <w:szCs w:val="30"/>
        </w:rPr>
      </w:pPr>
      <w:r>
        <w:rPr>
          <w:rFonts w:hint="eastAsia"/>
          <w:sz w:val="30"/>
          <w:szCs w:val="30"/>
        </w:rPr>
        <w:t>Importantly, my goal in this chapter will be to tackle some of the more difficult Kingdom prophecies, prophecies that are currently bastions of premillennial faith, but that beneath the light of the NCH can be seen actually to confirm amillennial eschatology.</w:t>
      </w:r>
    </w:p>
    <w:p w14:paraId="60056FBF">
      <w:pPr>
        <w:pStyle w:val="9"/>
        <w:spacing w:before="11"/>
        <w:ind w:left="0"/>
        <w:jc w:val="left"/>
        <w:rPr>
          <w:rFonts w:hint="eastAsia"/>
          <w:sz w:val="30"/>
          <w:szCs w:val="30"/>
        </w:rPr>
      </w:pPr>
      <w:r>
        <w:rPr>
          <w:rFonts w:hint="eastAsia"/>
          <w:sz w:val="30"/>
          <w:szCs w:val="30"/>
        </w:rPr>
        <w:t>重要的是，我在本章的目标是处理一些更难的国度预言，这些预言目前是前千禧年派信仰的堡垒，但在新约解释学（NCH）的光照下，可以看出它们实际上证实了无千禧年派的末世论。</w:t>
      </w:r>
    </w:p>
    <w:p w14:paraId="7D42CA06">
      <w:pPr>
        <w:pStyle w:val="9"/>
        <w:spacing w:before="11"/>
        <w:ind w:left="0"/>
        <w:jc w:val="left"/>
        <w:rPr>
          <w:rFonts w:hint="eastAsia"/>
          <w:sz w:val="30"/>
          <w:szCs w:val="30"/>
        </w:rPr>
      </w:pPr>
    </w:p>
    <w:p w14:paraId="74403E6A">
      <w:pPr>
        <w:pStyle w:val="9"/>
        <w:spacing w:before="11"/>
        <w:ind w:left="0"/>
        <w:jc w:val="left"/>
        <w:rPr>
          <w:rFonts w:hint="eastAsia"/>
          <w:sz w:val="30"/>
          <w:szCs w:val="30"/>
        </w:rPr>
      </w:pPr>
      <w:r>
        <w:rPr>
          <w:rFonts w:hint="eastAsia"/>
          <w:sz w:val="30"/>
          <w:szCs w:val="30"/>
        </w:rPr>
        <w:t>In other words, we will see that OTKP speaks powerfully to Christians, especially to those who understand that even now, as well as in the Age to Come, they are the privileged citizens of the Kingdom of God.</w:t>
      </w:r>
    </w:p>
    <w:p w14:paraId="46F46CAC">
      <w:pPr>
        <w:pStyle w:val="9"/>
        <w:spacing w:before="11"/>
        <w:ind w:left="0"/>
        <w:jc w:val="left"/>
        <w:rPr>
          <w:rFonts w:hint="eastAsia"/>
          <w:sz w:val="30"/>
          <w:szCs w:val="30"/>
        </w:rPr>
      </w:pPr>
      <w:r>
        <w:rPr>
          <w:rFonts w:hint="eastAsia"/>
          <w:sz w:val="30"/>
          <w:szCs w:val="30"/>
        </w:rPr>
        <w:t>换句话说，我们将看到旧约国度预言（OTKP）有力地向基督徒说话，特别是向那些明白自己即使在现今，以及在未来的世代，都是上帝的国度中享有特权的公民的人。</w:t>
      </w:r>
    </w:p>
    <w:p w14:paraId="637D3B0B">
      <w:pPr>
        <w:pStyle w:val="9"/>
        <w:spacing w:before="11"/>
        <w:ind w:left="0"/>
        <w:jc w:val="left"/>
        <w:rPr>
          <w:rFonts w:hint="eastAsia"/>
          <w:sz w:val="30"/>
          <w:szCs w:val="30"/>
        </w:rPr>
      </w:pPr>
    </w:p>
    <w:p w14:paraId="326ABD96">
      <w:pPr>
        <w:pStyle w:val="9"/>
        <w:spacing w:before="11"/>
        <w:ind w:left="0"/>
        <w:jc w:val="left"/>
        <w:rPr>
          <w:rFonts w:hint="eastAsia"/>
          <w:sz w:val="30"/>
          <w:szCs w:val="30"/>
        </w:rPr>
      </w:pPr>
      <w:r>
        <w:rPr>
          <w:rFonts w:hint="eastAsia"/>
          <w:sz w:val="30"/>
          <w:szCs w:val="30"/>
        </w:rPr>
        <w:t>In sum, my goal in Part 3 is to place some very special tools in your hands—and some very special illustrations before your eyes—so that when you have completed this stage of our journey, you will be able to enter, understand, and enjoy the world of OTKP as never before!</w:t>
      </w:r>
    </w:p>
    <w:p w14:paraId="075ED651">
      <w:pPr>
        <w:pStyle w:val="9"/>
        <w:spacing w:before="11"/>
        <w:ind w:left="0"/>
        <w:jc w:val="left"/>
        <w:rPr>
          <w:rFonts w:hint="eastAsia"/>
          <w:sz w:val="30"/>
          <w:szCs w:val="30"/>
        </w:rPr>
      </w:pPr>
      <w:r>
        <w:rPr>
          <w:rFonts w:hint="eastAsia"/>
          <w:sz w:val="30"/>
          <w:szCs w:val="30"/>
        </w:rPr>
        <w:t>总而言之，我在第三部分的目标是把一些非常特别的工具放在你们手中——以及一些非常特别的例证呈现在你们眼前——以便当你们完成我们旅程的这个阶段时，你们将能够前所未有地进入、理解和享受旧约国度预言（OTKP）的世界！</w:t>
      </w:r>
    </w:p>
    <w:p w14:paraId="7820F16A">
      <w:pPr>
        <w:pStyle w:val="9"/>
        <w:spacing w:before="11"/>
        <w:ind w:left="0"/>
        <w:jc w:val="left"/>
        <w:rPr>
          <w:rFonts w:hint="eastAsia"/>
          <w:sz w:val="30"/>
          <w:szCs w:val="30"/>
        </w:rPr>
      </w:pPr>
    </w:p>
    <w:p w14:paraId="61B454BD">
      <w:pPr>
        <w:pStyle w:val="9"/>
        <w:spacing w:before="11"/>
        <w:ind w:left="0"/>
        <w:jc w:val="left"/>
        <w:rPr>
          <w:rFonts w:hint="eastAsia"/>
          <w:sz w:val="30"/>
          <w:szCs w:val="30"/>
        </w:rPr>
      </w:pPr>
      <w:r>
        <w:rPr>
          <w:rFonts w:hint="eastAsia"/>
          <w:sz w:val="30"/>
          <w:szCs w:val="30"/>
        </w:rPr>
        <w:t>The Nature of the Kingdom As Portrayed by the OT Prophets</w:t>
      </w:r>
    </w:p>
    <w:p w14:paraId="69ABBA07">
      <w:pPr>
        <w:pStyle w:val="9"/>
        <w:spacing w:before="11"/>
        <w:ind w:left="0"/>
        <w:jc w:val="left"/>
        <w:rPr>
          <w:rFonts w:hint="eastAsia"/>
          <w:sz w:val="30"/>
          <w:szCs w:val="30"/>
        </w:rPr>
      </w:pPr>
      <w:r>
        <w:rPr>
          <w:rFonts w:hint="eastAsia"/>
          <w:sz w:val="30"/>
          <w:szCs w:val="30"/>
        </w:rPr>
        <w:t>旧约先知所描绘的国度性质</w:t>
      </w:r>
    </w:p>
    <w:p w14:paraId="32BD8390">
      <w:pPr>
        <w:pStyle w:val="9"/>
        <w:spacing w:before="11"/>
        <w:ind w:left="0"/>
        <w:jc w:val="left"/>
        <w:rPr>
          <w:rFonts w:hint="eastAsia"/>
          <w:sz w:val="30"/>
          <w:szCs w:val="30"/>
        </w:rPr>
      </w:pPr>
    </w:p>
    <w:p w14:paraId="4A4714AE">
      <w:pPr>
        <w:pStyle w:val="9"/>
        <w:spacing w:before="11"/>
        <w:ind w:left="0"/>
        <w:jc w:val="left"/>
        <w:rPr>
          <w:rFonts w:hint="eastAsia"/>
          <w:sz w:val="30"/>
          <w:szCs w:val="30"/>
        </w:rPr>
      </w:pPr>
      <w:r>
        <w:rPr>
          <w:rFonts w:hint="eastAsia"/>
          <w:sz w:val="30"/>
          <w:szCs w:val="30"/>
        </w:rPr>
        <w:t>In this section we will take a closer look at what I have called the Representative OT Idea of the Kingdom of God.</w:t>
      </w:r>
    </w:p>
    <w:p w14:paraId="6B09BC33">
      <w:pPr>
        <w:pStyle w:val="9"/>
        <w:spacing w:before="11"/>
        <w:ind w:left="0"/>
        <w:jc w:val="left"/>
        <w:rPr>
          <w:rFonts w:hint="eastAsia"/>
          <w:sz w:val="30"/>
          <w:szCs w:val="30"/>
        </w:rPr>
      </w:pPr>
      <w:r>
        <w:rPr>
          <w:rFonts w:hint="eastAsia"/>
          <w:sz w:val="30"/>
          <w:szCs w:val="30"/>
        </w:rPr>
        <w:t>在本节中，我们将更仔细地审视我所称的旧约关于上帝之国的代表性观念。</w:t>
      </w:r>
    </w:p>
    <w:p w14:paraId="3DF02E25">
      <w:pPr>
        <w:pStyle w:val="9"/>
        <w:spacing w:before="11"/>
        <w:ind w:left="0"/>
        <w:jc w:val="left"/>
        <w:rPr>
          <w:rFonts w:hint="eastAsia"/>
          <w:sz w:val="30"/>
          <w:szCs w:val="30"/>
        </w:rPr>
      </w:pPr>
    </w:p>
    <w:p w14:paraId="0B524E0F">
      <w:pPr>
        <w:pStyle w:val="9"/>
        <w:spacing w:before="11"/>
        <w:ind w:left="0"/>
        <w:jc w:val="left"/>
        <w:rPr>
          <w:rFonts w:hint="eastAsia"/>
          <w:sz w:val="30"/>
          <w:szCs w:val="30"/>
        </w:rPr>
      </w:pPr>
      <w:r>
        <w:rPr>
          <w:rFonts w:hint="eastAsia"/>
          <w:sz w:val="30"/>
          <w:szCs w:val="30"/>
        </w:rPr>
        <w:t>However, before plunging in, two introductory remarks are in order.</w:t>
      </w:r>
    </w:p>
    <w:p w14:paraId="2968C26C">
      <w:pPr>
        <w:pStyle w:val="9"/>
        <w:spacing w:before="11"/>
        <w:ind w:left="0"/>
        <w:jc w:val="left"/>
        <w:rPr>
          <w:rFonts w:hint="eastAsia"/>
          <w:sz w:val="30"/>
          <w:szCs w:val="30"/>
        </w:rPr>
      </w:pPr>
      <w:r>
        <w:rPr>
          <w:rFonts w:hint="eastAsia"/>
          <w:sz w:val="30"/>
          <w:szCs w:val="30"/>
        </w:rPr>
        <w:t>然而，在深入探讨之前，有两点介绍性的话需要说明。</w:t>
      </w:r>
    </w:p>
    <w:p w14:paraId="476BBFEF">
      <w:pPr>
        <w:pStyle w:val="9"/>
        <w:spacing w:before="11"/>
        <w:ind w:left="0"/>
        <w:jc w:val="left"/>
        <w:rPr>
          <w:rFonts w:hint="eastAsia"/>
          <w:sz w:val="30"/>
          <w:szCs w:val="30"/>
        </w:rPr>
      </w:pPr>
    </w:p>
    <w:p w14:paraId="03E8F98E">
      <w:pPr>
        <w:pStyle w:val="9"/>
        <w:spacing w:before="11"/>
        <w:ind w:left="0"/>
        <w:jc w:val="left"/>
        <w:rPr>
          <w:rFonts w:hint="eastAsia"/>
          <w:sz w:val="30"/>
          <w:szCs w:val="30"/>
        </w:rPr>
      </w:pPr>
      <w:r>
        <w:rPr>
          <w:rFonts w:hint="eastAsia"/>
          <w:sz w:val="30"/>
          <w:szCs w:val="30"/>
        </w:rPr>
        <w:t>First, let us recall again that the enormous body of OTKP arose out of the Law.</w:t>
      </w:r>
    </w:p>
    <w:p w14:paraId="5BD64B32">
      <w:pPr>
        <w:pStyle w:val="9"/>
        <w:spacing w:before="11"/>
        <w:ind w:left="0"/>
        <w:jc w:val="left"/>
        <w:rPr>
          <w:rFonts w:hint="eastAsia"/>
          <w:sz w:val="30"/>
          <w:szCs w:val="30"/>
        </w:rPr>
      </w:pPr>
      <w:r>
        <w:rPr>
          <w:rFonts w:hint="eastAsia"/>
          <w:sz w:val="30"/>
          <w:szCs w:val="30"/>
        </w:rPr>
        <w:t>首先，让我们再次回顾，旧约国度预言（OTKP）的庞大体系源于律法。</w:t>
      </w:r>
    </w:p>
    <w:p w14:paraId="1C1307FD">
      <w:pPr>
        <w:pStyle w:val="9"/>
        <w:spacing w:before="11"/>
        <w:ind w:left="0"/>
        <w:jc w:val="left"/>
        <w:rPr>
          <w:rFonts w:hint="eastAsia"/>
          <w:sz w:val="30"/>
          <w:szCs w:val="30"/>
        </w:rPr>
      </w:pPr>
    </w:p>
    <w:p w14:paraId="724129DA">
      <w:pPr>
        <w:pStyle w:val="9"/>
        <w:spacing w:before="11"/>
        <w:ind w:left="0"/>
        <w:jc w:val="left"/>
        <w:rPr>
          <w:rFonts w:hint="eastAsia"/>
          <w:sz w:val="30"/>
          <w:szCs w:val="30"/>
        </w:rPr>
      </w:pPr>
      <w:r>
        <w:rPr>
          <w:rFonts w:hint="eastAsia"/>
          <w:sz w:val="30"/>
          <w:szCs w:val="30"/>
        </w:rPr>
        <w:t>That is, it was based upon, and flowed from, the Israelite constitution, the Torah.</w:t>
      </w:r>
    </w:p>
    <w:p w14:paraId="641E2302">
      <w:pPr>
        <w:pStyle w:val="9"/>
        <w:spacing w:before="11"/>
        <w:ind w:left="0"/>
        <w:jc w:val="left"/>
        <w:rPr>
          <w:rFonts w:hint="eastAsia"/>
          <w:sz w:val="30"/>
          <w:szCs w:val="30"/>
        </w:rPr>
      </w:pPr>
      <w:r>
        <w:rPr>
          <w:rFonts w:hint="eastAsia"/>
          <w:sz w:val="30"/>
          <w:szCs w:val="30"/>
        </w:rPr>
        <w:t>也就是说，它建立在并源自以色列的宪法，即《妥拉》。</w:t>
      </w:r>
    </w:p>
    <w:p w14:paraId="5E1E5E32">
      <w:pPr>
        <w:pStyle w:val="9"/>
        <w:spacing w:before="11"/>
        <w:ind w:left="0"/>
        <w:jc w:val="left"/>
        <w:rPr>
          <w:rFonts w:hint="eastAsia"/>
          <w:sz w:val="30"/>
          <w:szCs w:val="30"/>
        </w:rPr>
      </w:pPr>
    </w:p>
    <w:p w14:paraId="257B56C2">
      <w:pPr>
        <w:pStyle w:val="9"/>
        <w:spacing w:before="11"/>
        <w:ind w:left="0"/>
        <w:jc w:val="left"/>
        <w:rPr>
          <w:rFonts w:hint="eastAsia"/>
          <w:sz w:val="30"/>
          <w:szCs w:val="30"/>
        </w:rPr>
      </w:pPr>
      <w:r>
        <w:rPr>
          <w:rFonts w:hint="eastAsia"/>
          <w:sz w:val="30"/>
          <w:szCs w:val="30"/>
        </w:rPr>
        <w:t>In particular, OTKP was a highly detailed elaboration of the original promise of God, first given through Moses, to the effect that Israel—the nation over which God then reigned as king—would indeed wander into sin, fall victim to the covenant curses, and go into exile.</w:t>
      </w:r>
    </w:p>
    <w:p w14:paraId="2FD26F8C">
      <w:pPr>
        <w:pStyle w:val="9"/>
        <w:spacing w:before="11"/>
        <w:ind w:left="0"/>
        <w:jc w:val="left"/>
        <w:rPr>
          <w:rFonts w:hint="eastAsia"/>
          <w:sz w:val="30"/>
          <w:szCs w:val="30"/>
        </w:rPr>
      </w:pPr>
      <w:r>
        <w:rPr>
          <w:rFonts w:hint="eastAsia"/>
          <w:sz w:val="30"/>
          <w:szCs w:val="30"/>
        </w:rPr>
        <w:t>特别是，旧约国度预言（OTKP）是上帝最初应许的一个高度详细的阐述，这应许首先通过摩西赐下，大意是说，以色列——上帝当时作为君王统治的国家——确实会偏离正道陷入罪中，遭受圣约的咒诅，并被掳到异地。</w:t>
      </w:r>
    </w:p>
    <w:p w14:paraId="3AFA798F">
      <w:pPr>
        <w:pStyle w:val="9"/>
        <w:spacing w:before="11"/>
        <w:ind w:left="0"/>
        <w:jc w:val="left"/>
        <w:rPr>
          <w:rFonts w:hint="eastAsia"/>
          <w:sz w:val="30"/>
          <w:szCs w:val="30"/>
        </w:rPr>
      </w:pPr>
    </w:p>
    <w:p w14:paraId="61399241">
      <w:pPr>
        <w:pStyle w:val="9"/>
        <w:spacing w:before="11"/>
        <w:ind w:left="0"/>
        <w:jc w:val="left"/>
        <w:rPr>
          <w:rFonts w:hint="eastAsia"/>
          <w:sz w:val="30"/>
          <w:szCs w:val="30"/>
        </w:rPr>
      </w:pPr>
      <w:r>
        <w:rPr>
          <w:rFonts w:hint="eastAsia"/>
          <w:sz w:val="30"/>
          <w:szCs w:val="30"/>
        </w:rPr>
        <w:t>Nevertheless, because of his steadfast covenant love and mercy, God, in “the latter-day s,” would graciously grant his people repentance, rescue, restoration, and eternal blessedness in the Promised Land (Lev. 26, Deut. 30, 32).</w:t>
      </w:r>
    </w:p>
    <w:p w14:paraId="2FA7B5B9">
      <w:pPr>
        <w:pStyle w:val="9"/>
        <w:spacing w:before="11"/>
        <w:ind w:left="0"/>
        <w:jc w:val="left"/>
        <w:rPr>
          <w:rFonts w:hint="eastAsia"/>
          <w:sz w:val="30"/>
          <w:szCs w:val="30"/>
        </w:rPr>
      </w:pPr>
      <w:r>
        <w:rPr>
          <w:rFonts w:hint="eastAsia"/>
          <w:sz w:val="30"/>
          <w:szCs w:val="30"/>
        </w:rPr>
        <w:t>然而，因着祂坚定不移的圣约之爱与怜悯，上帝在“末后的日子”里，会恩慈地将悔改、拯救、复兴和在应许之地的永恒福乐赐给祂的子民（利未记26章，申命记30章，32章）。</w:t>
      </w:r>
    </w:p>
    <w:p w14:paraId="20766B60">
      <w:pPr>
        <w:pStyle w:val="9"/>
        <w:spacing w:before="11"/>
        <w:ind w:left="0"/>
        <w:jc w:val="left"/>
        <w:rPr>
          <w:rFonts w:hint="eastAsia"/>
          <w:sz w:val="30"/>
          <w:szCs w:val="30"/>
        </w:rPr>
      </w:pPr>
    </w:p>
    <w:p w14:paraId="7B477A4C">
      <w:pPr>
        <w:pStyle w:val="9"/>
        <w:spacing w:before="11"/>
        <w:ind w:left="0"/>
        <w:jc w:val="left"/>
        <w:rPr>
          <w:rFonts w:hint="eastAsia"/>
          <w:sz w:val="30"/>
          <w:szCs w:val="30"/>
        </w:rPr>
      </w:pPr>
      <w:r>
        <w:rPr>
          <w:rFonts w:hint="eastAsia"/>
          <w:sz w:val="30"/>
          <w:szCs w:val="30"/>
        </w:rPr>
        <w:t>As we saw earlier, these early predictions and promises constitute the framework for all OTKP.</w:t>
      </w:r>
    </w:p>
    <w:p w14:paraId="13CC338E">
      <w:pPr>
        <w:pStyle w:val="9"/>
        <w:spacing w:before="11"/>
        <w:ind w:left="0"/>
        <w:jc w:val="left"/>
        <w:rPr>
          <w:rFonts w:hint="eastAsia"/>
          <w:sz w:val="30"/>
          <w:szCs w:val="30"/>
        </w:rPr>
      </w:pPr>
      <w:r>
        <w:rPr>
          <w:rFonts w:hint="eastAsia"/>
          <w:sz w:val="30"/>
          <w:szCs w:val="30"/>
        </w:rPr>
        <w:t>正如我们之前所见，这些早期的预言和应许构成了所有旧约国度预言（OTKP）的框架。</w:t>
      </w:r>
    </w:p>
    <w:p w14:paraId="3020F23C">
      <w:pPr>
        <w:pStyle w:val="9"/>
        <w:spacing w:before="11"/>
        <w:ind w:left="0"/>
        <w:jc w:val="left"/>
        <w:rPr>
          <w:rFonts w:hint="eastAsia"/>
          <w:sz w:val="30"/>
          <w:szCs w:val="30"/>
        </w:rPr>
      </w:pPr>
    </w:p>
    <w:p w14:paraId="6FA4BC15">
      <w:pPr>
        <w:pStyle w:val="9"/>
        <w:spacing w:before="11"/>
        <w:ind w:left="0"/>
        <w:jc w:val="left"/>
        <w:rPr>
          <w:rFonts w:hint="eastAsia"/>
          <w:sz w:val="30"/>
          <w:szCs w:val="30"/>
        </w:rPr>
      </w:pPr>
      <w:r>
        <w:rPr>
          <w:rFonts w:hint="eastAsia"/>
          <w:sz w:val="30"/>
          <w:szCs w:val="30"/>
        </w:rPr>
        <w:t>Later OT prophecies would add more details to this portrait, but, unlike NT revelation, these prophecies would not alter it in any fundamental way.</w:t>
      </w:r>
    </w:p>
    <w:p w14:paraId="5C81CAA9">
      <w:pPr>
        <w:pStyle w:val="9"/>
        <w:spacing w:before="11"/>
        <w:ind w:left="0"/>
        <w:jc w:val="left"/>
        <w:rPr>
          <w:rFonts w:hint="eastAsia"/>
          <w:sz w:val="30"/>
          <w:szCs w:val="30"/>
        </w:rPr>
      </w:pPr>
      <w:r>
        <w:rPr>
          <w:rFonts w:hint="eastAsia"/>
          <w:sz w:val="30"/>
          <w:szCs w:val="30"/>
        </w:rPr>
        <w:t>后来的旧约预言会为这幅图景增添更多细节，但是，与新约的启示不同，这些预言不会在任何根本方式上改变它。</w:t>
      </w:r>
    </w:p>
    <w:p w14:paraId="2D0A389C">
      <w:pPr>
        <w:pStyle w:val="9"/>
        <w:spacing w:before="11"/>
        <w:ind w:left="0"/>
        <w:jc w:val="left"/>
        <w:rPr>
          <w:rFonts w:hint="eastAsia"/>
          <w:sz w:val="30"/>
          <w:szCs w:val="30"/>
        </w:rPr>
      </w:pPr>
    </w:p>
    <w:p w14:paraId="08781928">
      <w:pPr>
        <w:pStyle w:val="9"/>
        <w:spacing w:before="11"/>
        <w:ind w:left="0"/>
        <w:jc w:val="left"/>
        <w:rPr>
          <w:rFonts w:hint="eastAsia"/>
          <w:sz w:val="30"/>
          <w:szCs w:val="30"/>
        </w:rPr>
      </w:pPr>
      <w:r>
        <w:rPr>
          <w:rFonts w:hint="eastAsia"/>
          <w:sz w:val="30"/>
          <w:szCs w:val="30"/>
        </w:rPr>
        <w:t>Secondly, the massive body of OTKP appeared in the days of the Law.</w:t>
      </w:r>
    </w:p>
    <w:p w14:paraId="78E28393">
      <w:pPr>
        <w:pStyle w:val="9"/>
        <w:spacing w:before="11"/>
        <w:ind w:left="0"/>
        <w:jc w:val="left"/>
        <w:rPr>
          <w:rFonts w:hint="eastAsia"/>
          <w:sz w:val="30"/>
          <w:szCs w:val="30"/>
        </w:rPr>
      </w:pPr>
      <w:r>
        <w:rPr>
          <w:rFonts w:hint="eastAsia"/>
          <w:sz w:val="30"/>
          <w:szCs w:val="30"/>
        </w:rPr>
        <w:t>其次，旧约国度预言（OTKP）的庞大体系出现在律法时代。</w:t>
      </w:r>
    </w:p>
    <w:p w14:paraId="52690E2A">
      <w:pPr>
        <w:pStyle w:val="9"/>
        <w:spacing w:before="11"/>
        <w:ind w:left="0"/>
        <w:jc w:val="left"/>
        <w:rPr>
          <w:rFonts w:hint="eastAsia"/>
          <w:sz w:val="30"/>
          <w:szCs w:val="30"/>
        </w:rPr>
      </w:pPr>
    </w:p>
    <w:p w14:paraId="4B5D2AC3">
      <w:pPr>
        <w:pStyle w:val="9"/>
        <w:spacing w:before="11"/>
        <w:ind w:left="0"/>
        <w:jc w:val="left"/>
        <w:rPr>
          <w:rFonts w:hint="eastAsia"/>
          <w:sz w:val="30"/>
          <w:szCs w:val="30"/>
        </w:rPr>
      </w:pPr>
      <w:r>
        <w:rPr>
          <w:rFonts w:hint="eastAsia"/>
          <w:sz w:val="30"/>
          <w:szCs w:val="30"/>
        </w:rPr>
        <w:t>Yes, Adam, Noah, and Abraham give us OT pictures of the Kingdom; but it was only Moses and the writing prophets who gave us explicit predictions of an eschatological Kingdom.</w:t>
      </w:r>
    </w:p>
    <w:p w14:paraId="592E9E74">
      <w:pPr>
        <w:pStyle w:val="9"/>
        <w:spacing w:before="11"/>
        <w:ind w:left="0"/>
        <w:jc w:val="left"/>
        <w:rPr>
          <w:rFonts w:hint="eastAsia"/>
          <w:sz w:val="30"/>
          <w:szCs w:val="30"/>
        </w:rPr>
      </w:pPr>
      <w:r>
        <w:rPr>
          <w:rFonts w:hint="eastAsia"/>
          <w:sz w:val="30"/>
          <w:szCs w:val="30"/>
        </w:rPr>
        <w:t>是的，亚当、挪亚和亚伯拉罕给我们提供了旧约中关于国度的图景；但只有摩西和写作先知给了我们关于末世国度的明确预言。</w:t>
      </w:r>
    </w:p>
    <w:p w14:paraId="2009B4EF">
      <w:pPr>
        <w:pStyle w:val="9"/>
        <w:spacing w:before="11"/>
        <w:ind w:left="0"/>
        <w:jc w:val="left"/>
        <w:rPr>
          <w:rFonts w:hint="eastAsia"/>
          <w:sz w:val="30"/>
          <w:szCs w:val="30"/>
        </w:rPr>
      </w:pPr>
    </w:p>
    <w:p w14:paraId="28C65D44">
      <w:pPr>
        <w:pStyle w:val="9"/>
        <w:spacing w:before="11"/>
        <w:ind w:left="0"/>
        <w:jc w:val="left"/>
        <w:rPr>
          <w:rFonts w:hint="eastAsia"/>
          <w:sz w:val="30"/>
          <w:szCs w:val="30"/>
        </w:rPr>
      </w:pPr>
      <w:r>
        <w:rPr>
          <w:rFonts w:hint="eastAsia"/>
          <w:sz w:val="30"/>
          <w:szCs w:val="30"/>
        </w:rPr>
        <w:t>Moreover, God not only gave OTKP through men who lived under the Law, but also to men who lived under the Law.</w:t>
      </w:r>
    </w:p>
    <w:p w14:paraId="02981005">
      <w:pPr>
        <w:pStyle w:val="9"/>
        <w:spacing w:before="11"/>
        <w:ind w:left="0"/>
        <w:jc w:val="left"/>
        <w:rPr>
          <w:rFonts w:hint="eastAsia"/>
          <w:sz w:val="30"/>
          <w:szCs w:val="30"/>
        </w:rPr>
      </w:pPr>
      <w:r>
        <w:rPr>
          <w:rFonts w:hint="eastAsia"/>
          <w:sz w:val="30"/>
          <w:szCs w:val="30"/>
        </w:rPr>
        <w:t>此外，上帝不仅通过生活在律法之下的人赐下旧约国度预言（OTKP），也赐给生活在律法之下的人。</w:t>
      </w:r>
    </w:p>
    <w:p w14:paraId="31F15252">
      <w:pPr>
        <w:pStyle w:val="9"/>
        <w:spacing w:before="11"/>
        <w:ind w:left="0"/>
        <w:jc w:val="left"/>
        <w:rPr>
          <w:rFonts w:hint="eastAsia"/>
          <w:sz w:val="30"/>
          <w:szCs w:val="30"/>
        </w:rPr>
      </w:pPr>
    </w:p>
    <w:p w14:paraId="78A8AD7C">
      <w:pPr>
        <w:pStyle w:val="9"/>
        <w:spacing w:before="11"/>
        <w:ind w:left="0"/>
        <w:jc w:val="left"/>
        <w:rPr>
          <w:rFonts w:hint="eastAsia"/>
          <w:sz w:val="30"/>
          <w:szCs w:val="30"/>
        </w:rPr>
      </w:pPr>
      <w:r>
        <w:rPr>
          <w:rFonts w:hint="eastAsia"/>
          <w:sz w:val="30"/>
          <w:szCs w:val="30"/>
        </w:rPr>
        <w:t>The Law was, as it were, the lingua franca of the time; the common tongue of that unique portion of the Era of Promise and Preparation in which God was pleased to grant explicit promises of his coming eschatological rule.</w:t>
      </w:r>
    </w:p>
    <w:p w14:paraId="712528CF">
      <w:pPr>
        <w:pStyle w:val="9"/>
        <w:spacing w:before="11"/>
        <w:ind w:left="0"/>
        <w:jc w:val="left"/>
        <w:rPr>
          <w:rFonts w:hint="eastAsia"/>
          <w:sz w:val="30"/>
          <w:szCs w:val="30"/>
        </w:rPr>
      </w:pPr>
      <w:r>
        <w:rPr>
          <w:rFonts w:hint="eastAsia"/>
          <w:sz w:val="30"/>
          <w:szCs w:val="30"/>
        </w:rPr>
        <w:t>律法，可以说是当时的一种通用语；是在那个应许与预备时代的独特时期里的共同语言，上帝乐意在那个时期赐下关于祂将要来临的末世统治的明确应许。</w:t>
      </w:r>
    </w:p>
    <w:p w14:paraId="19B5D667">
      <w:pPr>
        <w:pStyle w:val="9"/>
        <w:spacing w:before="11"/>
        <w:ind w:left="0"/>
        <w:jc w:val="left"/>
        <w:rPr>
          <w:rFonts w:hint="eastAsia"/>
          <w:sz w:val="30"/>
          <w:szCs w:val="30"/>
        </w:rPr>
      </w:pPr>
    </w:p>
    <w:p w14:paraId="2CC86EFE">
      <w:pPr>
        <w:pStyle w:val="9"/>
        <w:spacing w:before="11"/>
        <w:ind w:left="0"/>
        <w:jc w:val="left"/>
        <w:rPr>
          <w:rFonts w:hint="eastAsia"/>
          <w:sz w:val="30"/>
          <w:szCs w:val="30"/>
        </w:rPr>
      </w:pPr>
      <w:r>
        <w:rPr>
          <w:rFonts w:hint="eastAsia"/>
          <w:sz w:val="30"/>
          <w:szCs w:val="30"/>
        </w:rPr>
        <w:t>It is hardly surprising, then, that he clothed those promises in the language and imagery of the Mosaic Law.</w:t>
      </w:r>
    </w:p>
    <w:p w14:paraId="52B5278B">
      <w:pPr>
        <w:pStyle w:val="9"/>
        <w:spacing w:before="11"/>
        <w:ind w:left="0"/>
        <w:jc w:val="left"/>
        <w:rPr>
          <w:rFonts w:hint="eastAsia"/>
          <w:sz w:val="30"/>
          <w:szCs w:val="30"/>
        </w:rPr>
      </w:pPr>
      <w:r>
        <w:rPr>
          <w:rFonts w:hint="eastAsia"/>
          <w:sz w:val="30"/>
          <w:szCs w:val="30"/>
        </w:rPr>
        <w:t>因此，祂用摩西律法的语言和意象来包装那些应许，也就不足为奇了。</w:t>
      </w:r>
    </w:p>
    <w:p w14:paraId="03BCCD77">
      <w:pPr>
        <w:pStyle w:val="9"/>
        <w:spacing w:before="11"/>
        <w:ind w:left="0"/>
        <w:jc w:val="left"/>
        <w:rPr>
          <w:rFonts w:hint="eastAsia"/>
          <w:sz w:val="30"/>
          <w:szCs w:val="30"/>
        </w:rPr>
      </w:pPr>
    </w:p>
    <w:p w14:paraId="517FF7BA">
      <w:pPr>
        <w:pStyle w:val="9"/>
        <w:spacing w:before="11"/>
        <w:ind w:left="0"/>
        <w:jc w:val="left"/>
        <w:rPr>
          <w:rFonts w:hint="eastAsia"/>
          <w:sz w:val="30"/>
          <w:szCs w:val="30"/>
        </w:rPr>
      </w:pPr>
      <w:r>
        <w:rPr>
          <w:rFonts w:hint="eastAsia"/>
          <w:sz w:val="30"/>
          <w:szCs w:val="30"/>
        </w:rPr>
        <w:t>These two points are extremely important.</w:t>
      </w:r>
    </w:p>
    <w:p w14:paraId="76819911">
      <w:pPr>
        <w:pStyle w:val="9"/>
        <w:spacing w:before="11"/>
        <w:ind w:left="0"/>
        <w:jc w:val="left"/>
        <w:rPr>
          <w:rFonts w:hint="eastAsia"/>
          <w:sz w:val="30"/>
          <w:szCs w:val="30"/>
        </w:rPr>
      </w:pPr>
      <w:r>
        <w:rPr>
          <w:rFonts w:hint="eastAsia"/>
          <w:sz w:val="30"/>
          <w:szCs w:val="30"/>
        </w:rPr>
        <w:t>这两点极为重要。</w:t>
      </w:r>
    </w:p>
    <w:p w14:paraId="114EFC3D">
      <w:pPr>
        <w:pStyle w:val="9"/>
        <w:spacing w:before="11"/>
        <w:ind w:left="0"/>
        <w:jc w:val="left"/>
        <w:rPr>
          <w:rFonts w:hint="eastAsia"/>
          <w:sz w:val="30"/>
          <w:szCs w:val="30"/>
        </w:rPr>
      </w:pPr>
    </w:p>
    <w:p w14:paraId="25E3D805">
      <w:pPr>
        <w:pStyle w:val="9"/>
        <w:spacing w:before="11"/>
        <w:ind w:left="0"/>
        <w:jc w:val="left"/>
        <w:rPr>
          <w:rFonts w:hint="eastAsia"/>
          <w:sz w:val="30"/>
          <w:szCs w:val="30"/>
        </w:rPr>
      </w:pPr>
      <w:r>
        <w:rPr>
          <w:rFonts w:hint="eastAsia"/>
          <w:sz w:val="30"/>
          <w:szCs w:val="30"/>
        </w:rPr>
        <w:t>Indeed, they pave the way for a statement of our thesis in the chapters ahead.</w:t>
      </w:r>
    </w:p>
    <w:p w14:paraId="310340A9">
      <w:pPr>
        <w:pStyle w:val="9"/>
        <w:spacing w:before="11"/>
        <w:ind w:left="0"/>
        <w:jc w:val="left"/>
        <w:rPr>
          <w:rFonts w:hint="eastAsia"/>
          <w:sz w:val="30"/>
          <w:szCs w:val="30"/>
        </w:rPr>
      </w:pPr>
      <w:r>
        <w:rPr>
          <w:rFonts w:hint="eastAsia"/>
          <w:sz w:val="30"/>
          <w:szCs w:val="30"/>
        </w:rPr>
        <w:t>事实上，它们为我们在接下来几章中陈述我们的论点铺平了道路。</w:t>
      </w:r>
    </w:p>
    <w:p w14:paraId="4451C661">
      <w:pPr>
        <w:pStyle w:val="9"/>
        <w:spacing w:before="11"/>
        <w:ind w:left="0"/>
        <w:jc w:val="left"/>
        <w:rPr>
          <w:rFonts w:hint="eastAsia"/>
          <w:sz w:val="30"/>
          <w:szCs w:val="30"/>
        </w:rPr>
      </w:pPr>
    </w:p>
    <w:p w14:paraId="0B8C28C0">
      <w:pPr>
        <w:pStyle w:val="9"/>
        <w:spacing w:before="11"/>
        <w:ind w:left="0"/>
        <w:jc w:val="left"/>
        <w:rPr>
          <w:rFonts w:hint="eastAsia"/>
          <w:sz w:val="30"/>
          <w:szCs w:val="30"/>
        </w:rPr>
      </w:pPr>
      <w:r>
        <w:rPr>
          <w:rFonts w:hint="eastAsia"/>
          <w:sz w:val="30"/>
          <w:szCs w:val="30"/>
        </w:rPr>
        <w:t>It is this: In essence, OTKP is God’s promise of the future, twofold , redemptive reign of God through Christ, clothed in the language and imagery of the Mosaic Law, and also of world conditions that existed in the days of the Law.</w:t>
      </w:r>
    </w:p>
    <w:p w14:paraId="1854CDE5">
      <w:pPr>
        <w:pStyle w:val="9"/>
        <w:spacing w:before="11"/>
        <w:ind w:left="0"/>
        <w:jc w:val="left"/>
        <w:rPr>
          <w:rFonts w:hint="eastAsia"/>
          <w:sz w:val="30"/>
          <w:szCs w:val="30"/>
        </w:rPr>
      </w:pPr>
      <w:r>
        <w:rPr>
          <w:rFonts w:hint="eastAsia"/>
          <w:sz w:val="30"/>
          <w:szCs w:val="30"/>
        </w:rPr>
        <w:t>即是：本质上，旧约国度预言（OTKP）是上帝关于未来、双重、救赎性的、通过基督施行的上帝之统治的应许，它被包装在摩西律法的语言和意象中，也包装在律法时代存在的世界状况中。</w:t>
      </w:r>
    </w:p>
    <w:p w14:paraId="7A7DBCC9">
      <w:pPr>
        <w:pStyle w:val="9"/>
        <w:spacing w:before="11"/>
        <w:ind w:left="0"/>
        <w:jc w:val="left"/>
        <w:rPr>
          <w:rFonts w:hint="eastAsia"/>
          <w:sz w:val="30"/>
          <w:szCs w:val="30"/>
        </w:rPr>
      </w:pPr>
    </w:p>
    <w:p w14:paraId="75473676">
      <w:pPr>
        <w:pStyle w:val="9"/>
        <w:spacing w:before="11"/>
        <w:ind w:left="0"/>
        <w:jc w:val="left"/>
        <w:rPr>
          <w:rFonts w:hint="eastAsia"/>
          <w:sz w:val="30"/>
          <w:szCs w:val="30"/>
        </w:rPr>
      </w:pPr>
      <w:r>
        <w:rPr>
          <w:rFonts w:hint="eastAsia"/>
          <w:sz w:val="30"/>
          <w:szCs w:val="30"/>
        </w:rPr>
        <w:t>In other words, OTKP is “covenantally conditioned,” and therefore typological and christological at its heart.</w:t>
      </w:r>
    </w:p>
    <w:p w14:paraId="5641CDD8">
      <w:pPr>
        <w:pStyle w:val="9"/>
        <w:spacing w:before="11"/>
        <w:ind w:left="0"/>
        <w:jc w:val="left"/>
        <w:rPr>
          <w:rFonts w:hint="eastAsia"/>
          <w:sz w:val="30"/>
          <w:szCs w:val="30"/>
        </w:rPr>
      </w:pPr>
      <w:r>
        <w:rPr>
          <w:rFonts w:hint="eastAsia"/>
          <w:sz w:val="30"/>
          <w:szCs w:val="30"/>
        </w:rPr>
        <w:t>换句话说，旧约国度预言（OTKP）是“受圣约制约的”，因此其核心是预表性的和基督论的。</w:t>
      </w:r>
    </w:p>
    <w:p w14:paraId="6F1B146C">
      <w:pPr>
        <w:pStyle w:val="9"/>
        <w:spacing w:before="11"/>
        <w:ind w:left="0"/>
        <w:jc w:val="left"/>
        <w:rPr>
          <w:rFonts w:hint="eastAsia"/>
          <w:sz w:val="30"/>
          <w:szCs w:val="30"/>
        </w:rPr>
      </w:pPr>
    </w:p>
    <w:p w14:paraId="024FCD36">
      <w:pPr>
        <w:pStyle w:val="9"/>
        <w:spacing w:before="11"/>
        <w:ind w:left="0"/>
        <w:jc w:val="left"/>
        <w:rPr>
          <w:rFonts w:hint="eastAsia"/>
          <w:sz w:val="30"/>
          <w:szCs w:val="30"/>
        </w:rPr>
      </w:pPr>
      <w:r>
        <w:rPr>
          <w:rFonts w:hint="eastAsia"/>
          <w:sz w:val="30"/>
          <w:szCs w:val="30"/>
        </w:rPr>
        <w:t>“But why,” you may ask, “would God do such a thing?</w:t>
      </w:r>
    </w:p>
    <w:p w14:paraId="4177564C">
      <w:pPr>
        <w:pStyle w:val="9"/>
        <w:spacing w:before="11"/>
        <w:ind w:left="0"/>
        <w:jc w:val="left"/>
        <w:rPr>
          <w:rFonts w:hint="eastAsia"/>
          <w:sz w:val="30"/>
          <w:szCs w:val="30"/>
        </w:rPr>
      </w:pPr>
      <w:r>
        <w:rPr>
          <w:rFonts w:hint="eastAsia"/>
          <w:sz w:val="30"/>
          <w:szCs w:val="30"/>
        </w:rPr>
        <w:t>“但是为什么，”你可能会问，“上帝会做这样的事？</w:t>
      </w:r>
    </w:p>
    <w:p w14:paraId="5C61D6BD">
      <w:pPr>
        <w:pStyle w:val="9"/>
        <w:spacing w:before="11"/>
        <w:ind w:left="0"/>
        <w:jc w:val="left"/>
        <w:rPr>
          <w:rFonts w:hint="eastAsia"/>
          <w:sz w:val="30"/>
          <w:szCs w:val="30"/>
        </w:rPr>
      </w:pPr>
    </w:p>
    <w:p w14:paraId="3ABB4AFB">
      <w:pPr>
        <w:pStyle w:val="9"/>
        <w:spacing w:before="11"/>
        <w:ind w:left="0"/>
        <w:jc w:val="left"/>
        <w:rPr>
          <w:rFonts w:hint="eastAsia"/>
          <w:sz w:val="30"/>
          <w:szCs w:val="30"/>
        </w:rPr>
      </w:pPr>
      <w:r>
        <w:rPr>
          <w:rFonts w:hint="eastAsia"/>
          <w:sz w:val="30"/>
          <w:szCs w:val="30"/>
        </w:rPr>
        <w:t>Why would he not speak plainly?</w:t>
      </w:r>
    </w:p>
    <w:p w14:paraId="636F44B4">
      <w:pPr>
        <w:pStyle w:val="9"/>
        <w:spacing w:before="11"/>
        <w:ind w:left="0"/>
        <w:jc w:val="left"/>
        <w:rPr>
          <w:rFonts w:hint="eastAsia"/>
          <w:sz w:val="30"/>
          <w:szCs w:val="30"/>
        </w:rPr>
      </w:pPr>
      <w:r>
        <w:rPr>
          <w:rFonts w:hint="eastAsia"/>
          <w:sz w:val="30"/>
          <w:szCs w:val="30"/>
        </w:rPr>
        <w:t>祂为什么不直截了当地说？</w:t>
      </w:r>
    </w:p>
    <w:p w14:paraId="02219D20">
      <w:pPr>
        <w:pStyle w:val="9"/>
        <w:spacing w:before="11"/>
        <w:ind w:left="0"/>
        <w:jc w:val="left"/>
        <w:rPr>
          <w:rFonts w:hint="eastAsia"/>
          <w:sz w:val="30"/>
          <w:szCs w:val="30"/>
        </w:rPr>
      </w:pPr>
    </w:p>
    <w:p w14:paraId="6FA6D2AE">
      <w:pPr>
        <w:pStyle w:val="9"/>
        <w:spacing w:before="11"/>
        <w:ind w:left="0"/>
        <w:jc w:val="left"/>
        <w:rPr>
          <w:rFonts w:hint="eastAsia"/>
          <w:sz w:val="30"/>
          <w:szCs w:val="30"/>
        </w:rPr>
      </w:pPr>
      <w:r>
        <w:rPr>
          <w:rFonts w:hint="eastAsia"/>
          <w:sz w:val="30"/>
          <w:szCs w:val="30"/>
        </w:rPr>
        <w:t>Why would he expose himself to charges of deceiving his OT people?</w:t>
      </w:r>
    </w:p>
    <w:p w14:paraId="05A61373">
      <w:pPr>
        <w:pStyle w:val="9"/>
        <w:spacing w:before="11"/>
        <w:ind w:left="0"/>
        <w:jc w:val="left"/>
        <w:rPr>
          <w:rFonts w:hint="eastAsia"/>
          <w:sz w:val="30"/>
          <w:szCs w:val="30"/>
        </w:rPr>
      </w:pPr>
      <w:r>
        <w:rPr>
          <w:rFonts w:hint="eastAsia"/>
          <w:sz w:val="30"/>
          <w:szCs w:val="30"/>
        </w:rPr>
        <w:t>祂为什么要让自己面临欺骗祂旧约子民的指控？</w:t>
      </w:r>
    </w:p>
    <w:p w14:paraId="173A3727">
      <w:pPr>
        <w:pStyle w:val="9"/>
        <w:spacing w:before="11"/>
        <w:ind w:left="0"/>
        <w:jc w:val="left"/>
        <w:rPr>
          <w:rFonts w:hint="eastAsia"/>
          <w:sz w:val="30"/>
          <w:szCs w:val="30"/>
        </w:rPr>
      </w:pPr>
    </w:p>
    <w:p w14:paraId="2855AA03">
      <w:pPr>
        <w:pStyle w:val="9"/>
        <w:spacing w:before="11"/>
        <w:ind w:left="0"/>
        <w:jc w:val="left"/>
        <w:rPr>
          <w:rFonts w:hint="eastAsia"/>
          <w:sz w:val="30"/>
          <w:szCs w:val="30"/>
        </w:rPr>
      </w:pPr>
      <w:r>
        <w:rPr>
          <w:rFonts w:hint="eastAsia"/>
          <w:sz w:val="30"/>
          <w:szCs w:val="30"/>
        </w:rPr>
        <w:t>Why would he risk confusing his NT people, as indeed many of them clearly have been?</w:t>
      </w:r>
    </w:p>
    <w:p w14:paraId="6211BDE6">
      <w:pPr>
        <w:pStyle w:val="9"/>
        <w:spacing w:before="11"/>
        <w:ind w:left="0"/>
        <w:jc w:val="left"/>
        <w:rPr>
          <w:rFonts w:hint="eastAsia"/>
          <w:sz w:val="30"/>
          <w:szCs w:val="30"/>
        </w:rPr>
      </w:pPr>
      <w:r>
        <w:rPr>
          <w:rFonts w:hint="eastAsia"/>
          <w:sz w:val="30"/>
          <w:szCs w:val="30"/>
        </w:rPr>
        <w:t>祂为什么要冒着混淆祂新约子民的风险，而事实上他们中许多人显然已经被混淆了？</w:t>
      </w:r>
    </w:p>
    <w:p w14:paraId="7F247099">
      <w:pPr>
        <w:pStyle w:val="9"/>
        <w:spacing w:before="11"/>
        <w:ind w:left="0"/>
        <w:jc w:val="left"/>
        <w:rPr>
          <w:rFonts w:hint="eastAsia"/>
          <w:sz w:val="30"/>
          <w:szCs w:val="30"/>
        </w:rPr>
      </w:pPr>
    </w:p>
    <w:p w14:paraId="06DFE690">
      <w:pPr>
        <w:pStyle w:val="9"/>
        <w:spacing w:before="11"/>
        <w:ind w:left="0"/>
        <w:jc w:val="left"/>
        <w:rPr>
          <w:rFonts w:hint="eastAsia"/>
          <w:sz w:val="30"/>
          <w:szCs w:val="30"/>
        </w:rPr>
      </w:pPr>
      <w:r>
        <w:rPr>
          <w:rFonts w:hint="eastAsia"/>
          <w:sz w:val="30"/>
          <w:szCs w:val="30"/>
        </w:rPr>
        <w:t>Why would he not simply say what he meant, instead of ‘mystically’ meaning what he said?”</w:t>
      </w:r>
    </w:p>
    <w:p w14:paraId="3947F885">
      <w:pPr>
        <w:pStyle w:val="9"/>
        <w:spacing w:before="11"/>
        <w:ind w:left="0"/>
        <w:jc w:val="left"/>
        <w:rPr>
          <w:rFonts w:hint="eastAsia"/>
          <w:sz w:val="30"/>
          <w:szCs w:val="30"/>
        </w:rPr>
      </w:pPr>
      <w:r>
        <w:rPr>
          <w:rFonts w:hint="eastAsia"/>
          <w:sz w:val="30"/>
          <w:szCs w:val="30"/>
        </w:rPr>
        <w:t>祂为什么不直接说出祂的意思，而不是用‘神秘地’意指祂所说的话？”</w:t>
      </w:r>
    </w:p>
    <w:p w14:paraId="1706E73D">
      <w:pPr>
        <w:pStyle w:val="9"/>
        <w:spacing w:before="11"/>
        <w:ind w:left="0"/>
        <w:jc w:val="left"/>
        <w:rPr>
          <w:rFonts w:hint="eastAsia"/>
          <w:sz w:val="30"/>
          <w:szCs w:val="30"/>
        </w:rPr>
      </w:pPr>
    </w:p>
    <w:p w14:paraId="76118808">
      <w:pPr>
        <w:pStyle w:val="9"/>
        <w:spacing w:before="11"/>
        <w:ind w:left="0"/>
        <w:jc w:val="left"/>
        <w:rPr>
          <w:rFonts w:hint="eastAsia"/>
          <w:sz w:val="30"/>
          <w:szCs w:val="30"/>
        </w:rPr>
      </w:pPr>
      <w:r>
        <w:rPr>
          <w:rFonts w:hint="eastAsia"/>
          <w:sz w:val="30"/>
          <w:szCs w:val="30"/>
        </w:rPr>
        <w:t>These are all excellent questions, questions that we will address in due time.</w:t>
      </w:r>
    </w:p>
    <w:p w14:paraId="5C5DC9C4">
      <w:pPr>
        <w:pStyle w:val="9"/>
        <w:spacing w:before="11"/>
        <w:ind w:left="0"/>
        <w:jc w:val="left"/>
        <w:rPr>
          <w:rFonts w:hint="eastAsia"/>
          <w:sz w:val="30"/>
          <w:szCs w:val="30"/>
        </w:rPr>
      </w:pPr>
      <w:r>
        <w:rPr>
          <w:rFonts w:hint="eastAsia"/>
          <w:sz w:val="30"/>
          <w:szCs w:val="30"/>
        </w:rPr>
        <w:t>这些都是极好的问题，我们将在适当的时候加以解答。</w:t>
      </w:r>
    </w:p>
    <w:p w14:paraId="33CF37DD">
      <w:pPr>
        <w:pStyle w:val="9"/>
        <w:spacing w:before="11"/>
        <w:ind w:left="0"/>
        <w:jc w:val="left"/>
        <w:rPr>
          <w:rFonts w:hint="eastAsia"/>
          <w:sz w:val="30"/>
          <w:szCs w:val="30"/>
        </w:rPr>
      </w:pPr>
    </w:p>
    <w:p w14:paraId="206D39E8">
      <w:pPr>
        <w:pStyle w:val="9"/>
        <w:spacing w:before="11"/>
        <w:ind w:left="0"/>
        <w:jc w:val="left"/>
        <w:rPr>
          <w:rFonts w:hint="eastAsia"/>
          <w:sz w:val="30"/>
          <w:szCs w:val="30"/>
        </w:rPr>
      </w:pPr>
      <w:r>
        <w:rPr>
          <w:rFonts w:hint="eastAsia"/>
          <w:sz w:val="30"/>
          <w:szCs w:val="30"/>
        </w:rPr>
        <w:t>First, however, we must become convinced that in OTKP God has indeed clothed NT truth in OT language.</w:t>
      </w:r>
    </w:p>
    <w:p w14:paraId="7AD77B87">
      <w:pPr>
        <w:pStyle w:val="9"/>
        <w:spacing w:before="11"/>
        <w:ind w:left="0"/>
        <w:jc w:val="left"/>
        <w:rPr>
          <w:rFonts w:hint="eastAsia"/>
          <w:sz w:val="30"/>
          <w:szCs w:val="30"/>
        </w:rPr>
      </w:pPr>
      <w:r>
        <w:rPr>
          <w:rFonts w:hint="eastAsia"/>
          <w:sz w:val="30"/>
          <w:szCs w:val="30"/>
        </w:rPr>
        <w:t>然而，首先，我们必须确信，在旧约国度预言（OTKP）中，上帝确实用旧约的语言包装了新约的真理。</w:t>
      </w:r>
    </w:p>
    <w:p w14:paraId="0564D0B2">
      <w:pPr>
        <w:pStyle w:val="9"/>
        <w:spacing w:before="11"/>
        <w:ind w:left="0"/>
        <w:jc w:val="left"/>
        <w:rPr>
          <w:rFonts w:hint="eastAsia"/>
          <w:sz w:val="30"/>
          <w:szCs w:val="30"/>
        </w:rPr>
      </w:pPr>
    </w:p>
    <w:p w14:paraId="2CA3CD44">
      <w:pPr>
        <w:pStyle w:val="9"/>
        <w:spacing w:before="11"/>
        <w:ind w:left="0"/>
        <w:jc w:val="left"/>
        <w:rPr>
          <w:rFonts w:hint="eastAsia"/>
          <w:sz w:val="30"/>
          <w:szCs w:val="30"/>
        </w:rPr>
      </w:pPr>
      <w:r>
        <w:rPr>
          <w:rFonts w:hint="eastAsia"/>
          <w:sz w:val="30"/>
          <w:szCs w:val="30"/>
        </w:rPr>
        <w:t>Once we are thoroughly satisfied on this point, we can then go on to ask why he did what he did.</w:t>
      </w:r>
    </w:p>
    <w:p w14:paraId="783AE663">
      <w:pPr>
        <w:pStyle w:val="9"/>
        <w:spacing w:before="11"/>
        <w:ind w:left="0"/>
        <w:jc w:val="left"/>
        <w:rPr>
          <w:rFonts w:hint="eastAsia"/>
          <w:sz w:val="30"/>
          <w:szCs w:val="30"/>
        </w:rPr>
      </w:pPr>
      <w:r>
        <w:rPr>
          <w:rFonts w:hint="eastAsia"/>
          <w:sz w:val="30"/>
          <w:szCs w:val="30"/>
        </w:rPr>
        <w:t>一旦我们对这一点完全满意，我们就可以接着去问祂为什么这么做。</w:t>
      </w:r>
    </w:p>
    <w:p w14:paraId="5E1C652E">
      <w:pPr>
        <w:pStyle w:val="9"/>
        <w:spacing w:before="11"/>
        <w:ind w:left="0"/>
        <w:jc w:val="left"/>
        <w:rPr>
          <w:rFonts w:hint="eastAsia"/>
          <w:sz w:val="30"/>
          <w:szCs w:val="30"/>
        </w:rPr>
      </w:pPr>
    </w:p>
    <w:p w14:paraId="140B32E5">
      <w:pPr>
        <w:pStyle w:val="9"/>
        <w:spacing w:before="11"/>
        <w:ind w:left="0"/>
        <w:jc w:val="left"/>
        <w:rPr>
          <w:rFonts w:hint="eastAsia"/>
          <w:sz w:val="30"/>
          <w:szCs w:val="30"/>
        </w:rPr>
      </w:pPr>
      <w:r>
        <w:rPr>
          <w:rFonts w:hint="eastAsia"/>
          <w:sz w:val="30"/>
          <w:szCs w:val="30"/>
        </w:rPr>
        <w:t>Let us begin, then, by taking a closer look at the Representative Idea of the Kingdom.</w:t>
      </w:r>
    </w:p>
    <w:p w14:paraId="6F29EDF4">
      <w:pPr>
        <w:pStyle w:val="9"/>
        <w:spacing w:before="11"/>
        <w:ind w:left="0"/>
        <w:jc w:val="left"/>
        <w:rPr>
          <w:rFonts w:hint="eastAsia"/>
          <w:sz w:val="30"/>
          <w:szCs w:val="30"/>
        </w:rPr>
      </w:pPr>
      <w:r>
        <w:rPr>
          <w:rFonts w:hint="eastAsia"/>
          <w:sz w:val="30"/>
          <w:szCs w:val="30"/>
        </w:rPr>
        <w:t>那么，让我们开始，通过更仔细地审视国度的代表性观念。</w:t>
      </w:r>
    </w:p>
    <w:p w14:paraId="2AFF2DD2">
      <w:pPr>
        <w:pStyle w:val="9"/>
        <w:spacing w:before="11"/>
        <w:ind w:left="0"/>
        <w:jc w:val="left"/>
        <w:rPr>
          <w:rFonts w:hint="eastAsia"/>
          <w:sz w:val="30"/>
          <w:szCs w:val="30"/>
        </w:rPr>
      </w:pPr>
    </w:p>
    <w:p w14:paraId="7F300FEF">
      <w:pPr>
        <w:pStyle w:val="9"/>
        <w:spacing w:before="11"/>
        <w:ind w:left="0"/>
        <w:jc w:val="left"/>
        <w:rPr>
          <w:rFonts w:hint="eastAsia"/>
          <w:sz w:val="30"/>
          <w:szCs w:val="30"/>
        </w:rPr>
      </w:pPr>
      <w:r>
        <w:rPr>
          <w:rFonts w:hint="eastAsia"/>
          <w:sz w:val="30"/>
          <w:szCs w:val="30"/>
        </w:rPr>
        <w:t>The Representative OT Idea of the Kingdom</w:t>
      </w:r>
    </w:p>
    <w:p w14:paraId="4A35C77B">
      <w:pPr>
        <w:pStyle w:val="9"/>
        <w:spacing w:before="11"/>
        <w:ind w:left="0"/>
        <w:jc w:val="left"/>
        <w:rPr>
          <w:rFonts w:hint="eastAsia"/>
          <w:sz w:val="30"/>
          <w:szCs w:val="30"/>
        </w:rPr>
      </w:pPr>
      <w:r>
        <w:rPr>
          <w:rFonts w:hint="eastAsia"/>
          <w:sz w:val="30"/>
          <w:szCs w:val="30"/>
        </w:rPr>
        <w:t>旧约国度的代表性观念</w:t>
      </w:r>
    </w:p>
    <w:p w14:paraId="33B92923">
      <w:pPr>
        <w:pStyle w:val="9"/>
        <w:spacing w:before="11"/>
        <w:ind w:left="0"/>
        <w:jc w:val="left"/>
        <w:rPr>
          <w:rFonts w:hint="eastAsia"/>
          <w:sz w:val="30"/>
          <w:szCs w:val="30"/>
        </w:rPr>
      </w:pPr>
    </w:p>
    <w:p w14:paraId="7B2F986E">
      <w:pPr>
        <w:pStyle w:val="9"/>
        <w:spacing w:before="11"/>
        <w:ind w:left="0"/>
        <w:jc w:val="left"/>
        <w:rPr>
          <w:rFonts w:hint="eastAsia"/>
          <w:sz w:val="30"/>
          <w:szCs w:val="30"/>
        </w:rPr>
      </w:pPr>
      <w:r>
        <w:rPr>
          <w:rFonts w:hint="eastAsia"/>
          <w:sz w:val="30"/>
          <w:szCs w:val="30"/>
        </w:rPr>
        <w:t>By my rough count, there are approximately 150 OT prophecies of the coming Kingdom of God.1 As we saw earlier, a straightforward, literal interpretation of most (but not all) of them yields the following picture: The coming Kingdom will be an eternal, universal theocracy, mediated by ethnic Israel and her Messiah, administered in accordance with the Mosaic Law, and set in a spiritually and physically redeemed cosmos.</w:t>
      </w:r>
    </w:p>
    <w:p w14:paraId="410E73A2">
      <w:pPr>
        <w:pStyle w:val="9"/>
        <w:spacing w:before="11"/>
        <w:ind w:left="0"/>
        <w:jc w:val="left"/>
        <w:rPr>
          <w:rFonts w:hint="eastAsia"/>
          <w:sz w:val="30"/>
          <w:szCs w:val="30"/>
        </w:rPr>
      </w:pPr>
      <w:r>
        <w:rPr>
          <w:rFonts w:hint="eastAsia"/>
          <w:sz w:val="30"/>
          <w:szCs w:val="30"/>
        </w:rPr>
        <w:t>根据我的粗略统计，大约有150处旧约预言提到上帝将要降临的国度。1 正如我们之前所见，对其中大部分（但非全部）预言进行直接的、字面的解释，会得出以下图景：将要降临的国度将是一个永恒的、普世的神权政体，由以色列民族及其弥赛亚作中介，按照摩西律法进行管理，并设立在一个在属灵上和物质上都得到救赎的宇宙中。</w:t>
      </w:r>
    </w:p>
    <w:p w14:paraId="5B28DF54">
      <w:pPr>
        <w:pStyle w:val="9"/>
        <w:spacing w:before="11"/>
        <w:ind w:left="0"/>
        <w:jc w:val="left"/>
        <w:rPr>
          <w:rFonts w:hint="eastAsia"/>
          <w:sz w:val="30"/>
          <w:szCs w:val="30"/>
        </w:rPr>
      </w:pPr>
    </w:p>
    <w:p w14:paraId="2A3590F0">
      <w:pPr>
        <w:pStyle w:val="9"/>
        <w:spacing w:before="11"/>
        <w:ind w:left="0"/>
        <w:jc w:val="left"/>
        <w:rPr>
          <w:rFonts w:hint="eastAsia"/>
          <w:sz w:val="30"/>
          <w:szCs w:val="30"/>
        </w:rPr>
      </w:pPr>
      <w:r>
        <w:rPr>
          <w:rFonts w:hint="eastAsia"/>
          <w:sz w:val="30"/>
          <w:szCs w:val="30"/>
        </w:rPr>
        <w:t>In what follows, we will look briefly—and critically—at each element of this definition.</w:t>
      </w:r>
    </w:p>
    <w:p w14:paraId="45731C97">
      <w:pPr>
        <w:pStyle w:val="9"/>
        <w:spacing w:before="11"/>
        <w:ind w:left="0"/>
        <w:jc w:val="left"/>
        <w:rPr>
          <w:rFonts w:hint="eastAsia"/>
          <w:sz w:val="30"/>
          <w:szCs w:val="30"/>
        </w:rPr>
      </w:pPr>
      <w:r>
        <w:rPr>
          <w:rFonts w:hint="eastAsia"/>
          <w:sz w:val="30"/>
          <w:szCs w:val="30"/>
        </w:rPr>
        <w:t>在下文中，我们将简要地——并带有批判性地——审视这一定义的每一个要素。</w:t>
      </w:r>
    </w:p>
    <w:p w14:paraId="0738D7A4">
      <w:pPr>
        <w:pStyle w:val="9"/>
        <w:spacing w:before="11"/>
        <w:ind w:left="0"/>
        <w:jc w:val="left"/>
        <w:rPr>
          <w:rFonts w:hint="eastAsia"/>
          <w:sz w:val="30"/>
          <w:szCs w:val="30"/>
        </w:rPr>
      </w:pPr>
    </w:p>
    <w:p w14:paraId="161B7A59">
      <w:pPr>
        <w:pStyle w:val="9"/>
        <w:spacing w:before="11"/>
        <w:ind w:left="0"/>
        <w:jc w:val="left"/>
        <w:rPr>
          <w:rFonts w:hint="eastAsia"/>
          <w:sz w:val="30"/>
          <w:szCs w:val="30"/>
        </w:rPr>
      </w:pPr>
      <w:r>
        <w:rPr>
          <w:rFonts w:hint="eastAsia"/>
          <w:sz w:val="30"/>
          <w:szCs w:val="30"/>
        </w:rPr>
        <w:t>We’ll begin by citing a number of texts that give rise to the element under discussion.</w:t>
      </w:r>
    </w:p>
    <w:p w14:paraId="78678583">
      <w:pPr>
        <w:pStyle w:val="9"/>
        <w:spacing w:before="11"/>
        <w:ind w:left="0"/>
        <w:jc w:val="left"/>
        <w:rPr>
          <w:rFonts w:hint="eastAsia"/>
          <w:sz w:val="30"/>
          <w:szCs w:val="30"/>
        </w:rPr>
      </w:pPr>
      <w:r>
        <w:rPr>
          <w:rFonts w:hint="eastAsia"/>
          <w:sz w:val="30"/>
          <w:szCs w:val="30"/>
        </w:rPr>
        <w:t>我们将首先引用一些产生所讨论要素的经文。</w:t>
      </w:r>
    </w:p>
    <w:p w14:paraId="0AD67DFB">
      <w:pPr>
        <w:pStyle w:val="9"/>
        <w:spacing w:before="11"/>
        <w:ind w:left="0"/>
        <w:jc w:val="left"/>
        <w:rPr>
          <w:rFonts w:hint="eastAsia"/>
          <w:sz w:val="30"/>
          <w:szCs w:val="30"/>
        </w:rPr>
      </w:pPr>
    </w:p>
    <w:p w14:paraId="438F4A57">
      <w:pPr>
        <w:pStyle w:val="9"/>
        <w:spacing w:before="11"/>
        <w:ind w:left="0"/>
        <w:jc w:val="left"/>
        <w:rPr>
          <w:rFonts w:hint="eastAsia"/>
          <w:sz w:val="30"/>
          <w:szCs w:val="30"/>
        </w:rPr>
      </w:pPr>
      <w:r>
        <w:rPr>
          <w:rFonts w:hint="eastAsia"/>
          <w:sz w:val="30"/>
          <w:szCs w:val="30"/>
        </w:rPr>
        <w:t>Then we will pause to consider various (OT) phenomena that discourage a strictly literal interpretation, and that therefore raise serious doubts about the standard premillennial view.</w:t>
      </w:r>
    </w:p>
    <w:p w14:paraId="6AF8BF45">
      <w:pPr>
        <w:pStyle w:val="9"/>
        <w:spacing w:before="11"/>
        <w:ind w:left="0"/>
        <w:jc w:val="left"/>
        <w:rPr>
          <w:rFonts w:hint="eastAsia"/>
          <w:sz w:val="30"/>
          <w:szCs w:val="30"/>
        </w:rPr>
      </w:pPr>
      <w:r>
        <w:rPr>
          <w:rFonts w:hint="eastAsia"/>
          <w:sz w:val="30"/>
          <w:szCs w:val="30"/>
        </w:rPr>
        <w:t>然后，我们将暂停下来，思考各种（旧约）现象，这些现象不支持严格的字面解释，因此对标准的前千禧年派观点提出了严重的质疑。</w:t>
      </w:r>
    </w:p>
    <w:p w14:paraId="3228DC8C">
      <w:pPr>
        <w:pStyle w:val="9"/>
        <w:spacing w:before="11"/>
        <w:ind w:left="0"/>
        <w:jc w:val="left"/>
        <w:rPr>
          <w:rFonts w:hint="eastAsia"/>
          <w:sz w:val="30"/>
          <w:szCs w:val="30"/>
        </w:rPr>
      </w:pPr>
    </w:p>
    <w:p w14:paraId="41F50AF0">
      <w:pPr>
        <w:pStyle w:val="9"/>
        <w:spacing w:before="11"/>
        <w:ind w:left="0"/>
        <w:jc w:val="left"/>
        <w:rPr>
          <w:rFonts w:hint="eastAsia"/>
          <w:sz w:val="30"/>
          <w:szCs w:val="30"/>
        </w:rPr>
      </w:pPr>
      <w:r>
        <w:rPr>
          <w:rFonts w:hint="eastAsia"/>
          <w:sz w:val="30"/>
          <w:szCs w:val="30"/>
        </w:rPr>
        <w:t>Finally, we’ll begin to employ the NCH in order to suggest viable NT interpretations.</w:t>
      </w:r>
    </w:p>
    <w:p w14:paraId="3558FA21">
      <w:pPr>
        <w:pStyle w:val="9"/>
        <w:spacing w:before="11"/>
        <w:ind w:left="0"/>
        <w:jc w:val="left"/>
        <w:rPr>
          <w:rFonts w:hint="eastAsia"/>
          <w:sz w:val="30"/>
          <w:szCs w:val="30"/>
        </w:rPr>
      </w:pPr>
      <w:r>
        <w:rPr>
          <w:rFonts w:hint="eastAsia"/>
          <w:sz w:val="30"/>
          <w:szCs w:val="30"/>
        </w:rPr>
        <w:t>最后，我们将开始运用新约解释学（NCH），以提出可行的新约解释。</w:t>
      </w:r>
    </w:p>
    <w:p w14:paraId="7D55D16B">
      <w:pPr>
        <w:pStyle w:val="9"/>
        <w:spacing w:before="11"/>
        <w:ind w:left="0"/>
        <w:jc w:val="left"/>
        <w:rPr>
          <w:rFonts w:hint="eastAsia"/>
          <w:sz w:val="30"/>
          <w:szCs w:val="30"/>
        </w:rPr>
      </w:pPr>
    </w:p>
    <w:p w14:paraId="3DECC60C">
      <w:pPr>
        <w:pStyle w:val="9"/>
        <w:spacing w:before="11"/>
        <w:ind w:left="0"/>
        <w:jc w:val="left"/>
        <w:rPr>
          <w:rFonts w:hint="eastAsia"/>
          <w:sz w:val="30"/>
          <w:szCs w:val="30"/>
        </w:rPr>
      </w:pPr>
      <w:r>
        <w:rPr>
          <w:rFonts w:hint="eastAsia"/>
          <w:sz w:val="30"/>
          <w:szCs w:val="30"/>
        </w:rPr>
        <w:t>Eternal</w:t>
      </w:r>
    </w:p>
    <w:p w14:paraId="05DCB160">
      <w:pPr>
        <w:pStyle w:val="9"/>
        <w:spacing w:before="11"/>
        <w:ind w:left="0"/>
        <w:jc w:val="left"/>
        <w:rPr>
          <w:rFonts w:hint="eastAsia"/>
          <w:sz w:val="30"/>
          <w:szCs w:val="30"/>
        </w:rPr>
      </w:pPr>
      <w:r>
        <w:rPr>
          <w:rFonts w:hint="eastAsia"/>
          <w:sz w:val="30"/>
          <w:szCs w:val="30"/>
        </w:rPr>
        <w:t>永恒</w:t>
      </w:r>
    </w:p>
    <w:p w14:paraId="6FFBB343">
      <w:pPr>
        <w:pStyle w:val="9"/>
        <w:spacing w:before="11"/>
        <w:ind w:left="0"/>
        <w:jc w:val="left"/>
        <w:rPr>
          <w:rFonts w:hint="eastAsia"/>
          <w:sz w:val="30"/>
          <w:szCs w:val="30"/>
        </w:rPr>
      </w:pPr>
    </w:p>
    <w:p w14:paraId="7BFDBDF7">
      <w:pPr>
        <w:pStyle w:val="9"/>
        <w:spacing w:before="11"/>
        <w:ind w:left="0"/>
        <w:jc w:val="left"/>
        <w:rPr>
          <w:rFonts w:hint="eastAsia"/>
          <w:sz w:val="30"/>
          <w:szCs w:val="30"/>
        </w:rPr>
      </w:pPr>
      <w:r>
        <w:rPr>
          <w:rFonts w:hint="eastAsia"/>
          <w:sz w:val="30"/>
          <w:szCs w:val="30"/>
        </w:rPr>
        <w:t>Whether explicitly or implicitly, all OTKP portrays returning, eschatological Israel as dwelling in her homeland forever.</w:t>
      </w:r>
    </w:p>
    <w:p w14:paraId="11BC2653">
      <w:pPr>
        <w:pStyle w:val="9"/>
        <w:spacing w:before="11"/>
        <w:ind w:left="0"/>
        <w:jc w:val="left"/>
        <w:rPr>
          <w:rFonts w:hint="eastAsia"/>
          <w:sz w:val="30"/>
          <w:szCs w:val="30"/>
        </w:rPr>
      </w:pPr>
      <w:r>
        <w:rPr>
          <w:rFonts w:hint="eastAsia"/>
          <w:sz w:val="30"/>
          <w:szCs w:val="30"/>
        </w:rPr>
        <w:t>无论是明确地还是含蓄地，所有的旧约国度预言（OTKP）都描绘了回归的、末世的以色列将永远居住在她的故土。</w:t>
      </w:r>
    </w:p>
    <w:p w14:paraId="6305C1C3">
      <w:pPr>
        <w:pStyle w:val="9"/>
        <w:spacing w:before="11"/>
        <w:ind w:left="0"/>
        <w:jc w:val="left"/>
        <w:rPr>
          <w:rFonts w:hint="eastAsia"/>
          <w:sz w:val="30"/>
          <w:szCs w:val="30"/>
        </w:rPr>
      </w:pPr>
    </w:p>
    <w:p w14:paraId="35C42D20">
      <w:pPr>
        <w:pStyle w:val="9"/>
        <w:spacing w:before="11"/>
        <w:ind w:left="0"/>
        <w:jc w:val="left"/>
        <w:rPr>
          <w:rFonts w:hint="eastAsia"/>
          <w:sz w:val="30"/>
          <w:szCs w:val="30"/>
        </w:rPr>
      </w:pPr>
      <w:r>
        <w:rPr>
          <w:rFonts w:hint="eastAsia"/>
          <w:sz w:val="30"/>
          <w:szCs w:val="30"/>
        </w:rPr>
        <w:t>Through Amos God promises that he will replant his people in the land, and that they shall never again be pulled up from it (Amos 9:11-15).</w:t>
      </w:r>
    </w:p>
    <w:p w14:paraId="3275C52E">
      <w:pPr>
        <w:pStyle w:val="9"/>
        <w:spacing w:before="11"/>
        <w:ind w:left="0"/>
        <w:jc w:val="left"/>
        <w:rPr>
          <w:rFonts w:hint="eastAsia"/>
          <w:sz w:val="30"/>
          <w:szCs w:val="30"/>
        </w:rPr>
      </w:pPr>
      <w:r>
        <w:rPr>
          <w:rFonts w:hint="eastAsia"/>
          <w:sz w:val="30"/>
          <w:szCs w:val="30"/>
        </w:rPr>
        <w:t>通过阿摩司，上帝应许祂将把祂的子民重新栽种在这片土地上，他们将永不再被拔出（阿摩司书 9:11-15）。</w:t>
      </w:r>
    </w:p>
    <w:p w14:paraId="1F2A9F16">
      <w:pPr>
        <w:pStyle w:val="9"/>
        <w:spacing w:before="11"/>
        <w:ind w:left="0"/>
        <w:jc w:val="left"/>
        <w:rPr>
          <w:rFonts w:hint="eastAsia"/>
          <w:sz w:val="30"/>
          <w:szCs w:val="30"/>
        </w:rPr>
      </w:pPr>
    </w:p>
    <w:p w14:paraId="791601BA">
      <w:pPr>
        <w:pStyle w:val="9"/>
        <w:spacing w:before="11"/>
        <w:ind w:left="0"/>
        <w:jc w:val="left"/>
        <w:rPr>
          <w:rFonts w:hint="eastAsia"/>
          <w:sz w:val="30"/>
          <w:szCs w:val="30"/>
        </w:rPr>
      </w:pPr>
      <w:r>
        <w:rPr>
          <w:rFonts w:hint="eastAsia"/>
          <w:sz w:val="30"/>
          <w:szCs w:val="30"/>
        </w:rPr>
        <w:t>Joel declares that Israel will never again be put to shame, and that Jerusalem will be inhabited forever (Joel 2:18-27, 3:20).</w:t>
      </w:r>
    </w:p>
    <w:p w14:paraId="24300E82">
      <w:pPr>
        <w:pStyle w:val="9"/>
        <w:spacing w:before="11"/>
        <w:ind w:left="0"/>
        <w:jc w:val="left"/>
        <w:rPr>
          <w:rFonts w:hint="eastAsia"/>
          <w:sz w:val="30"/>
          <w:szCs w:val="30"/>
        </w:rPr>
      </w:pPr>
      <w:r>
        <w:rPr>
          <w:rFonts w:hint="eastAsia"/>
          <w:sz w:val="30"/>
          <w:szCs w:val="30"/>
        </w:rPr>
        <w:t>约珥宣告以色列将永不再受羞辱，耶路撒冷将永远有人居住（约珥书 2:18-27, 3:20）。</w:t>
      </w:r>
    </w:p>
    <w:p w14:paraId="625063B6">
      <w:pPr>
        <w:pStyle w:val="9"/>
        <w:spacing w:before="11"/>
        <w:ind w:left="0"/>
        <w:jc w:val="left"/>
        <w:rPr>
          <w:rFonts w:hint="eastAsia"/>
          <w:sz w:val="30"/>
          <w:szCs w:val="30"/>
        </w:rPr>
      </w:pPr>
    </w:p>
    <w:p w14:paraId="76B6D1BC">
      <w:pPr>
        <w:pStyle w:val="9"/>
        <w:spacing w:before="11"/>
        <w:ind w:left="0"/>
        <w:jc w:val="left"/>
        <w:rPr>
          <w:rFonts w:hint="eastAsia"/>
          <w:sz w:val="30"/>
          <w:szCs w:val="30"/>
        </w:rPr>
      </w:pPr>
      <w:r>
        <w:rPr>
          <w:rFonts w:hint="eastAsia"/>
          <w:sz w:val="30"/>
          <w:szCs w:val="30"/>
        </w:rPr>
        <w:t>Concerning the coming Messiah, Isaiah says that of the increase of his government and peace there shall be no end (Isaiah 9:6-7).</w:t>
      </w:r>
    </w:p>
    <w:p w14:paraId="6FE98821">
      <w:pPr>
        <w:pStyle w:val="9"/>
        <w:spacing w:before="11"/>
        <w:ind w:left="0"/>
        <w:jc w:val="left"/>
        <w:rPr>
          <w:rFonts w:hint="eastAsia"/>
          <w:sz w:val="30"/>
          <w:szCs w:val="30"/>
        </w:rPr>
      </w:pPr>
      <w:r>
        <w:rPr>
          <w:rFonts w:hint="eastAsia"/>
          <w:sz w:val="30"/>
          <w:szCs w:val="30"/>
        </w:rPr>
        <w:t>关于将要来临的弥赛亚，以赛亚说祂的政权与平安必加增无穷，永无穷尽（以赛亚书 9:6-7）。</w:t>
      </w:r>
    </w:p>
    <w:p w14:paraId="724020D9">
      <w:pPr>
        <w:pStyle w:val="9"/>
        <w:spacing w:before="11"/>
        <w:ind w:left="0"/>
        <w:jc w:val="left"/>
        <w:rPr>
          <w:rFonts w:hint="eastAsia"/>
          <w:sz w:val="30"/>
          <w:szCs w:val="30"/>
        </w:rPr>
      </w:pPr>
    </w:p>
    <w:p w14:paraId="259E9CDD">
      <w:pPr>
        <w:pStyle w:val="9"/>
        <w:spacing w:before="11"/>
        <w:ind w:left="0"/>
        <w:jc w:val="left"/>
        <w:rPr>
          <w:rFonts w:hint="eastAsia"/>
          <w:sz w:val="30"/>
          <w:szCs w:val="30"/>
        </w:rPr>
      </w:pPr>
      <w:r>
        <w:rPr>
          <w:rFonts w:hint="eastAsia"/>
          <w:sz w:val="30"/>
          <w:szCs w:val="30"/>
        </w:rPr>
        <w:t>When the ransomed of the Lord return to their land, everlasting joy shall be upon their heads (Isaiah 35:10, 61:7).</w:t>
      </w:r>
    </w:p>
    <w:p w14:paraId="753F4839">
      <w:pPr>
        <w:pStyle w:val="9"/>
        <w:spacing w:before="11"/>
        <w:ind w:left="0"/>
        <w:jc w:val="left"/>
        <w:rPr>
          <w:rFonts w:hint="eastAsia"/>
          <w:sz w:val="30"/>
          <w:szCs w:val="30"/>
        </w:rPr>
      </w:pPr>
      <w:r>
        <w:rPr>
          <w:rFonts w:hint="eastAsia"/>
          <w:sz w:val="30"/>
          <w:szCs w:val="30"/>
        </w:rPr>
        <w:t>当耶和华的赎民回归他们的土地时，永远的喜乐将归到他们头上（以赛亚书 35:10, 61:7）。</w:t>
      </w:r>
    </w:p>
    <w:p w14:paraId="7789BC4F">
      <w:pPr>
        <w:pStyle w:val="9"/>
        <w:spacing w:before="11"/>
        <w:ind w:left="0"/>
        <w:jc w:val="left"/>
        <w:rPr>
          <w:rFonts w:hint="eastAsia"/>
          <w:sz w:val="30"/>
          <w:szCs w:val="30"/>
        </w:rPr>
      </w:pPr>
    </w:p>
    <w:p w14:paraId="642BB6E4">
      <w:pPr>
        <w:pStyle w:val="9"/>
        <w:spacing w:before="11"/>
        <w:ind w:left="0"/>
        <w:jc w:val="left"/>
        <w:rPr>
          <w:rFonts w:hint="eastAsia"/>
          <w:sz w:val="30"/>
          <w:szCs w:val="30"/>
        </w:rPr>
      </w:pPr>
      <w:r>
        <w:rPr>
          <w:rFonts w:hint="eastAsia"/>
          <w:sz w:val="30"/>
          <w:szCs w:val="30"/>
        </w:rPr>
        <w:t>When God renews the heavens and the earth, Israel will be glad and rejoice forever in what he creates (Isaiah 65:17).</w:t>
      </w:r>
    </w:p>
    <w:p w14:paraId="42F6822C">
      <w:pPr>
        <w:pStyle w:val="9"/>
        <w:spacing w:before="11"/>
        <w:ind w:left="0"/>
        <w:jc w:val="left"/>
        <w:rPr>
          <w:rFonts w:hint="eastAsia"/>
          <w:sz w:val="30"/>
          <w:szCs w:val="30"/>
        </w:rPr>
      </w:pPr>
      <w:r>
        <w:rPr>
          <w:rFonts w:hint="eastAsia"/>
          <w:sz w:val="30"/>
          <w:szCs w:val="30"/>
        </w:rPr>
        <w:t>当上帝更新天和地时，以色列将因祂所创造的而永远欢喜快乐（以赛亚书 65:17）。</w:t>
      </w:r>
    </w:p>
    <w:p w14:paraId="06F45E4A">
      <w:pPr>
        <w:pStyle w:val="9"/>
        <w:spacing w:before="11"/>
        <w:ind w:left="0"/>
        <w:jc w:val="left"/>
        <w:rPr>
          <w:rFonts w:hint="eastAsia"/>
          <w:sz w:val="30"/>
          <w:szCs w:val="30"/>
        </w:rPr>
      </w:pPr>
    </w:p>
    <w:p w14:paraId="7451C4FC">
      <w:pPr>
        <w:pStyle w:val="9"/>
        <w:spacing w:before="11"/>
        <w:ind w:left="0"/>
        <w:jc w:val="left"/>
        <w:rPr>
          <w:rFonts w:hint="eastAsia"/>
          <w:sz w:val="30"/>
          <w:szCs w:val="30"/>
        </w:rPr>
      </w:pPr>
      <w:r>
        <w:rPr>
          <w:rFonts w:hint="eastAsia"/>
          <w:sz w:val="30"/>
          <w:szCs w:val="30"/>
        </w:rPr>
        <w:t>Ezekiel promises that in the latter-day s the mountains of Israel will no more devour men or bereave God’s nation of her children (36:13-15); that Israel will dwell in their homeland forever; that God’s servant David will be their Prince forever; and that God will set his sanctuary in their midst forever (Ezek. 37:15-28, 43:7,9).</w:t>
      </w:r>
    </w:p>
    <w:p w14:paraId="3DC8C1B8">
      <w:pPr>
        <w:pStyle w:val="9"/>
        <w:spacing w:before="11"/>
        <w:ind w:left="0"/>
        <w:jc w:val="left"/>
        <w:rPr>
          <w:rFonts w:hint="eastAsia"/>
          <w:sz w:val="30"/>
          <w:szCs w:val="30"/>
        </w:rPr>
      </w:pPr>
      <w:r>
        <w:rPr>
          <w:rFonts w:hint="eastAsia"/>
          <w:sz w:val="30"/>
          <w:szCs w:val="30"/>
        </w:rPr>
        <w:t>以西结应许，在末后的日子里，以色列的群山将不再吞吃人，也不再使上帝的国民丧失儿女（36:13-15）；以色列将永远居住在他们的故土；上帝的仆人大卫将永远作他们的王；上帝将永远把祂的圣所在他们中间设立（以西结书 37:15-28, 43:7,9）。</w:t>
      </w:r>
    </w:p>
    <w:p w14:paraId="5C47E369">
      <w:pPr>
        <w:pStyle w:val="9"/>
        <w:spacing w:before="11"/>
        <w:ind w:left="0"/>
        <w:jc w:val="left"/>
        <w:rPr>
          <w:rFonts w:hint="eastAsia"/>
          <w:sz w:val="30"/>
          <w:szCs w:val="30"/>
        </w:rPr>
      </w:pPr>
    </w:p>
    <w:p w14:paraId="39F6B9EC">
      <w:pPr>
        <w:pStyle w:val="9"/>
        <w:spacing w:before="11"/>
        <w:ind w:left="0"/>
        <w:jc w:val="left"/>
        <w:rPr>
          <w:rFonts w:hint="eastAsia"/>
          <w:sz w:val="30"/>
          <w:szCs w:val="30"/>
        </w:rPr>
      </w:pPr>
      <w:r>
        <w:rPr>
          <w:rFonts w:hint="eastAsia"/>
          <w:sz w:val="30"/>
          <w:szCs w:val="30"/>
        </w:rPr>
        <w:t>Again, these texts only make explicit what is implicit in all OTKP: In the days of Israel’s return from captivity, God will make her redemption complete.</w:t>
      </w:r>
    </w:p>
    <w:p w14:paraId="0198E1FA">
      <w:pPr>
        <w:pStyle w:val="9"/>
        <w:spacing w:before="11"/>
        <w:ind w:left="0"/>
        <w:jc w:val="left"/>
        <w:rPr>
          <w:rFonts w:hint="eastAsia"/>
          <w:sz w:val="30"/>
          <w:szCs w:val="30"/>
        </w:rPr>
      </w:pPr>
      <w:r>
        <w:rPr>
          <w:rFonts w:hint="eastAsia"/>
          <w:sz w:val="30"/>
          <w:szCs w:val="30"/>
        </w:rPr>
        <w:t>再次强调，这些经文只是明确表达了所有旧约国度预言（OTKP）中所隐含的：在以色列从被掳之地回归的日子里，上帝将使她的救赎得以完全。</w:t>
      </w:r>
    </w:p>
    <w:p w14:paraId="15B7E181">
      <w:pPr>
        <w:pStyle w:val="9"/>
        <w:spacing w:before="11"/>
        <w:ind w:left="0"/>
        <w:jc w:val="left"/>
        <w:rPr>
          <w:rFonts w:hint="eastAsia"/>
          <w:sz w:val="30"/>
          <w:szCs w:val="30"/>
        </w:rPr>
      </w:pPr>
    </w:p>
    <w:p w14:paraId="0FC9675D">
      <w:pPr>
        <w:pStyle w:val="9"/>
        <w:spacing w:before="11"/>
        <w:ind w:left="0"/>
        <w:jc w:val="left"/>
        <w:rPr>
          <w:rFonts w:hint="eastAsia"/>
          <w:sz w:val="30"/>
          <w:szCs w:val="30"/>
        </w:rPr>
      </w:pPr>
      <w:r>
        <w:rPr>
          <w:rFonts w:hint="eastAsia"/>
          <w:sz w:val="30"/>
          <w:szCs w:val="30"/>
        </w:rPr>
        <w:t>Fully rescued from all her enemies, and fully restored to all the blessings of the covenant, she will dwell eternally with the LORD and his Messiah in the Promised Land (Obadiah 1:21, Micah 4:1-8).</w:t>
      </w:r>
    </w:p>
    <w:p w14:paraId="6D354CE8">
      <w:pPr>
        <w:pStyle w:val="9"/>
        <w:spacing w:before="11"/>
        <w:ind w:left="0"/>
        <w:jc w:val="left"/>
        <w:rPr>
          <w:rFonts w:hint="eastAsia"/>
          <w:sz w:val="30"/>
          <w:szCs w:val="30"/>
        </w:rPr>
      </w:pPr>
      <w:r>
        <w:rPr>
          <w:rFonts w:hint="eastAsia"/>
          <w:sz w:val="30"/>
          <w:szCs w:val="30"/>
        </w:rPr>
        <w:t>从她所有的仇敌中被完全拯救出来，并完全恢复到圣约的所有祝福中，她将与耶和华和祂的弥赛亚在应许之地永远同住（俄巴底亚书 1:21, 弥迦书 4:1-8）。</w:t>
      </w:r>
    </w:p>
    <w:p w14:paraId="65129EA6">
      <w:pPr>
        <w:pStyle w:val="9"/>
        <w:spacing w:before="11"/>
        <w:ind w:left="0"/>
        <w:jc w:val="left"/>
        <w:rPr>
          <w:rFonts w:hint="eastAsia"/>
          <w:sz w:val="30"/>
          <w:szCs w:val="30"/>
        </w:rPr>
      </w:pPr>
    </w:p>
    <w:p w14:paraId="19F15B93">
      <w:pPr>
        <w:pStyle w:val="9"/>
        <w:spacing w:before="11"/>
        <w:ind w:left="0"/>
        <w:jc w:val="left"/>
        <w:rPr>
          <w:rFonts w:hint="eastAsia"/>
          <w:sz w:val="30"/>
          <w:szCs w:val="30"/>
        </w:rPr>
      </w:pPr>
      <w:r>
        <w:rPr>
          <w:rFonts w:hint="eastAsia"/>
          <w:sz w:val="30"/>
          <w:szCs w:val="30"/>
        </w:rPr>
        <w:t>Now it is obvious that the temporal perspective of these texts does not support premillennialism.</w:t>
      </w:r>
    </w:p>
    <w:p w14:paraId="16346AB3">
      <w:pPr>
        <w:pStyle w:val="9"/>
        <w:spacing w:before="11"/>
        <w:ind w:left="0"/>
        <w:jc w:val="left"/>
        <w:rPr>
          <w:rFonts w:hint="eastAsia"/>
          <w:sz w:val="30"/>
          <w:szCs w:val="30"/>
        </w:rPr>
      </w:pPr>
      <w:r>
        <w:rPr>
          <w:rFonts w:hint="eastAsia"/>
          <w:sz w:val="30"/>
          <w:szCs w:val="30"/>
        </w:rPr>
        <w:t>现在，很明显，这些经文的时间观念并不支持前千禧年主义。</w:t>
      </w:r>
    </w:p>
    <w:p w14:paraId="0D8706AD">
      <w:pPr>
        <w:pStyle w:val="9"/>
        <w:spacing w:before="11"/>
        <w:ind w:left="0"/>
        <w:jc w:val="left"/>
        <w:rPr>
          <w:rFonts w:hint="eastAsia"/>
          <w:sz w:val="30"/>
          <w:szCs w:val="30"/>
        </w:rPr>
      </w:pPr>
    </w:p>
    <w:p w14:paraId="222926F7">
      <w:pPr>
        <w:pStyle w:val="9"/>
        <w:spacing w:before="11"/>
        <w:ind w:left="0"/>
        <w:jc w:val="left"/>
        <w:rPr>
          <w:rFonts w:hint="eastAsia"/>
          <w:sz w:val="30"/>
          <w:szCs w:val="30"/>
        </w:rPr>
      </w:pPr>
      <w:r>
        <w:rPr>
          <w:rFonts w:hint="eastAsia"/>
          <w:sz w:val="30"/>
          <w:szCs w:val="30"/>
        </w:rPr>
        <w:t>They say nothing at all of a temporary thousand year reign of God or Christ.</w:t>
      </w:r>
    </w:p>
    <w:p w14:paraId="61C27C13">
      <w:pPr>
        <w:pStyle w:val="9"/>
        <w:spacing w:before="11"/>
        <w:ind w:left="0"/>
        <w:jc w:val="left"/>
        <w:rPr>
          <w:rFonts w:hint="eastAsia"/>
          <w:sz w:val="30"/>
          <w:szCs w:val="30"/>
        </w:rPr>
      </w:pPr>
      <w:r>
        <w:rPr>
          <w:rFonts w:hint="eastAsia"/>
          <w:sz w:val="30"/>
          <w:szCs w:val="30"/>
        </w:rPr>
        <w:t>它们完全没有提到上帝或基督暂时的千年统治。</w:t>
      </w:r>
    </w:p>
    <w:p w14:paraId="6F80E209">
      <w:pPr>
        <w:pStyle w:val="9"/>
        <w:spacing w:before="11"/>
        <w:ind w:left="0"/>
        <w:jc w:val="left"/>
        <w:rPr>
          <w:rFonts w:hint="eastAsia"/>
          <w:sz w:val="30"/>
          <w:szCs w:val="30"/>
        </w:rPr>
      </w:pPr>
    </w:p>
    <w:p w14:paraId="5BB254E5">
      <w:pPr>
        <w:pStyle w:val="9"/>
        <w:spacing w:before="11"/>
        <w:ind w:left="0"/>
        <w:jc w:val="left"/>
        <w:rPr>
          <w:rFonts w:hint="eastAsia"/>
          <w:sz w:val="30"/>
          <w:szCs w:val="30"/>
        </w:rPr>
      </w:pPr>
      <w:r>
        <w:rPr>
          <w:rFonts w:hint="eastAsia"/>
          <w:sz w:val="30"/>
          <w:szCs w:val="30"/>
        </w:rPr>
        <w:t>Rather, they explicitly picture the eternal blessedness of the people of God.</w:t>
      </w:r>
    </w:p>
    <w:p w14:paraId="61B097E6">
      <w:pPr>
        <w:pStyle w:val="9"/>
        <w:spacing w:before="11"/>
        <w:ind w:left="0"/>
        <w:jc w:val="left"/>
        <w:rPr>
          <w:rFonts w:hint="eastAsia"/>
          <w:sz w:val="30"/>
          <w:szCs w:val="30"/>
        </w:rPr>
      </w:pPr>
      <w:r>
        <w:rPr>
          <w:rFonts w:hint="eastAsia"/>
          <w:sz w:val="30"/>
          <w:szCs w:val="30"/>
        </w:rPr>
        <w:t>相反，它们明确地描绘了上帝子民永恒的福乐。</w:t>
      </w:r>
    </w:p>
    <w:p w14:paraId="44E7E678">
      <w:pPr>
        <w:pStyle w:val="9"/>
        <w:spacing w:before="11"/>
        <w:ind w:left="0"/>
        <w:jc w:val="left"/>
        <w:rPr>
          <w:rFonts w:hint="eastAsia"/>
          <w:sz w:val="30"/>
          <w:szCs w:val="30"/>
        </w:rPr>
      </w:pPr>
    </w:p>
    <w:p w14:paraId="3F84B0E1">
      <w:pPr>
        <w:pStyle w:val="9"/>
        <w:spacing w:before="11"/>
        <w:ind w:left="0"/>
        <w:jc w:val="left"/>
        <w:rPr>
          <w:rFonts w:hint="eastAsia"/>
          <w:sz w:val="30"/>
          <w:szCs w:val="30"/>
        </w:rPr>
      </w:pPr>
      <w:r>
        <w:rPr>
          <w:rFonts w:hint="eastAsia"/>
          <w:sz w:val="30"/>
          <w:szCs w:val="30"/>
        </w:rPr>
        <w:t>Does this create a problem for the NT interpreter?</w:t>
      </w:r>
    </w:p>
    <w:p w14:paraId="5FC5E5EA">
      <w:pPr>
        <w:pStyle w:val="9"/>
        <w:spacing w:before="11"/>
        <w:ind w:left="0"/>
        <w:jc w:val="left"/>
        <w:rPr>
          <w:rFonts w:hint="eastAsia"/>
          <w:sz w:val="30"/>
          <w:szCs w:val="30"/>
        </w:rPr>
      </w:pPr>
      <w:r>
        <w:rPr>
          <w:rFonts w:hint="eastAsia"/>
          <w:sz w:val="30"/>
          <w:szCs w:val="30"/>
        </w:rPr>
        <w:t>这对新约的解释者会造成问题吗？</w:t>
      </w:r>
    </w:p>
    <w:p w14:paraId="6EF493BB">
      <w:pPr>
        <w:pStyle w:val="9"/>
        <w:spacing w:before="11"/>
        <w:ind w:left="0"/>
        <w:jc w:val="left"/>
        <w:rPr>
          <w:rFonts w:hint="eastAsia"/>
          <w:sz w:val="30"/>
          <w:szCs w:val="30"/>
        </w:rPr>
      </w:pPr>
    </w:p>
    <w:p w14:paraId="7B215F57">
      <w:pPr>
        <w:pStyle w:val="9"/>
        <w:spacing w:before="11"/>
        <w:ind w:left="0"/>
        <w:jc w:val="left"/>
        <w:rPr>
          <w:rFonts w:hint="eastAsia"/>
          <w:sz w:val="30"/>
          <w:szCs w:val="30"/>
        </w:rPr>
      </w:pPr>
      <w:r>
        <w:rPr>
          <w:rFonts w:hint="eastAsia"/>
          <w:sz w:val="30"/>
          <w:szCs w:val="30"/>
        </w:rPr>
        <w:t>It could, but only if he insists on reading the texts literally, rather than typologically; only if he is not willing to consider that here the prophets give us NT truth clothed in OT language and imagery; only if he refuses to let “Israel” dwelling eternally in the Promised Land be a “mysterious” type of God’s Church—comprised of Jew and Gentile—living with him forever in his twofold Kingdom.</w:t>
      </w:r>
    </w:p>
    <w:p w14:paraId="15CF8EE4">
      <w:pPr>
        <w:pStyle w:val="9"/>
        <w:spacing w:before="11"/>
        <w:ind w:left="0"/>
        <w:jc w:val="left"/>
        <w:rPr>
          <w:rFonts w:hint="eastAsia"/>
          <w:sz w:val="30"/>
          <w:szCs w:val="30"/>
        </w:rPr>
      </w:pPr>
      <w:r>
        <w:rPr>
          <w:rFonts w:hint="eastAsia"/>
          <w:sz w:val="30"/>
          <w:szCs w:val="30"/>
        </w:rPr>
        <w:t>可能会，但前提是他坚持要字面地而非预表性地解读这些经文；前提是他不愿意考虑这里的先知是用旧约的语言和意象来给我们新约的真理；前提是他拒绝让永远居住在应许之地的“以色列”成为一个“奥秘的”预表，预表上帝的教会——由犹太人和外邦人组成——在祂双重的国度里永远与祂同住。</w:t>
      </w:r>
    </w:p>
    <w:p w14:paraId="0DE307B4">
      <w:pPr>
        <w:pStyle w:val="9"/>
        <w:spacing w:before="11"/>
        <w:ind w:left="0"/>
        <w:jc w:val="left"/>
        <w:rPr>
          <w:rFonts w:hint="eastAsia"/>
          <w:sz w:val="30"/>
          <w:szCs w:val="30"/>
        </w:rPr>
      </w:pPr>
    </w:p>
    <w:p w14:paraId="5E1CF91F">
      <w:pPr>
        <w:pStyle w:val="9"/>
        <w:spacing w:before="11"/>
        <w:ind w:left="0"/>
        <w:jc w:val="left"/>
        <w:rPr>
          <w:rFonts w:hint="eastAsia"/>
          <w:sz w:val="30"/>
          <w:szCs w:val="30"/>
        </w:rPr>
      </w:pPr>
      <w:r>
        <w:rPr>
          <w:rFonts w:hint="eastAsia"/>
          <w:sz w:val="30"/>
          <w:szCs w:val="30"/>
        </w:rPr>
        <w:t>Universal</w:t>
      </w:r>
    </w:p>
    <w:p w14:paraId="4948A1C7">
      <w:pPr>
        <w:pStyle w:val="9"/>
        <w:spacing w:before="11"/>
        <w:ind w:left="0"/>
        <w:jc w:val="left"/>
        <w:rPr>
          <w:rFonts w:hint="eastAsia"/>
          <w:sz w:val="30"/>
          <w:szCs w:val="30"/>
        </w:rPr>
      </w:pPr>
      <w:r>
        <w:rPr>
          <w:rFonts w:hint="eastAsia"/>
          <w:sz w:val="30"/>
          <w:szCs w:val="30"/>
        </w:rPr>
        <w:t>普世性</w:t>
      </w:r>
    </w:p>
    <w:p w14:paraId="4ED8F7D6">
      <w:pPr>
        <w:pStyle w:val="9"/>
        <w:spacing w:before="11"/>
        <w:ind w:left="0"/>
        <w:jc w:val="left"/>
        <w:rPr>
          <w:rFonts w:hint="eastAsia"/>
          <w:sz w:val="30"/>
          <w:szCs w:val="30"/>
        </w:rPr>
      </w:pPr>
    </w:p>
    <w:p w14:paraId="3A58B5EA">
      <w:pPr>
        <w:pStyle w:val="9"/>
        <w:spacing w:before="11"/>
        <w:ind w:left="0"/>
        <w:jc w:val="left"/>
        <w:rPr>
          <w:rFonts w:hint="eastAsia"/>
          <w:sz w:val="30"/>
          <w:szCs w:val="30"/>
        </w:rPr>
      </w:pPr>
      <w:r>
        <w:rPr>
          <w:rFonts w:hint="eastAsia"/>
          <w:sz w:val="30"/>
          <w:szCs w:val="30"/>
        </w:rPr>
        <w:t>A great many OTKP’s depict the coming Kingdom as being universal: as including not only Jews, but also Gentiles converted from their idolatry to a vital faith in the LORD, the Creator of heaven and earth.</w:t>
      </w:r>
    </w:p>
    <w:p w14:paraId="3DF94ED2">
      <w:pPr>
        <w:pStyle w:val="9"/>
        <w:spacing w:before="11"/>
        <w:ind w:left="0"/>
        <w:jc w:val="left"/>
        <w:rPr>
          <w:rFonts w:hint="eastAsia"/>
          <w:sz w:val="30"/>
          <w:szCs w:val="30"/>
        </w:rPr>
      </w:pPr>
      <w:r>
        <w:rPr>
          <w:rFonts w:hint="eastAsia"/>
          <w:sz w:val="30"/>
          <w:szCs w:val="30"/>
        </w:rPr>
        <w:t>许多旧约国度预言（OTKP）将即将到来的国度描绘为普世性的：不仅包括犹太人，也包括从偶像崇拜中归正、对耶和华——天地的创造主——怀有活泼信心的外邦人。</w:t>
      </w:r>
    </w:p>
    <w:p w14:paraId="3E8A0448">
      <w:pPr>
        <w:pStyle w:val="9"/>
        <w:spacing w:before="11"/>
        <w:ind w:left="0"/>
        <w:jc w:val="left"/>
        <w:rPr>
          <w:rFonts w:hint="eastAsia"/>
          <w:sz w:val="30"/>
          <w:szCs w:val="30"/>
        </w:rPr>
      </w:pPr>
    </w:p>
    <w:p w14:paraId="0581954A">
      <w:pPr>
        <w:pStyle w:val="9"/>
        <w:spacing w:before="11"/>
        <w:ind w:left="0"/>
        <w:jc w:val="left"/>
        <w:rPr>
          <w:rFonts w:hint="eastAsia"/>
          <w:sz w:val="30"/>
          <w:szCs w:val="30"/>
        </w:rPr>
      </w:pPr>
      <w:r>
        <w:rPr>
          <w:rFonts w:hint="eastAsia"/>
          <w:sz w:val="30"/>
          <w:szCs w:val="30"/>
        </w:rPr>
        <w:t>This characteristic has its roots in the Abrahamic covenant, wherein God declared that through Abraham’s seed all the nations of the earth would one day be blessed (Gen. 22:18).</w:t>
      </w:r>
    </w:p>
    <w:p w14:paraId="55EDCD91">
      <w:pPr>
        <w:pStyle w:val="9"/>
        <w:spacing w:before="11"/>
        <w:ind w:left="0"/>
        <w:jc w:val="left"/>
        <w:rPr>
          <w:rFonts w:hint="eastAsia"/>
          <w:sz w:val="30"/>
          <w:szCs w:val="30"/>
        </w:rPr>
      </w:pPr>
      <w:r>
        <w:rPr>
          <w:rFonts w:hint="eastAsia"/>
          <w:sz w:val="30"/>
          <w:szCs w:val="30"/>
        </w:rPr>
        <w:t>这一特征根植于亚伯拉罕之约，其中上帝宣告，地上的万国都必因亚伯拉罕的后裔得福（创世记 22:18）。</w:t>
      </w:r>
    </w:p>
    <w:p w14:paraId="7938E4B9">
      <w:pPr>
        <w:pStyle w:val="9"/>
        <w:spacing w:before="11"/>
        <w:ind w:left="0"/>
        <w:jc w:val="left"/>
        <w:rPr>
          <w:rFonts w:hint="eastAsia"/>
          <w:sz w:val="30"/>
          <w:szCs w:val="30"/>
        </w:rPr>
      </w:pPr>
    </w:p>
    <w:p w14:paraId="44246BEE">
      <w:pPr>
        <w:pStyle w:val="9"/>
        <w:spacing w:before="11"/>
        <w:ind w:left="0"/>
        <w:jc w:val="left"/>
        <w:rPr>
          <w:rFonts w:hint="eastAsia"/>
          <w:sz w:val="30"/>
          <w:szCs w:val="30"/>
        </w:rPr>
      </w:pPr>
      <w:r>
        <w:rPr>
          <w:rFonts w:hint="eastAsia"/>
          <w:sz w:val="30"/>
          <w:szCs w:val="30"/>
        </w:rPr>
        <w:t>Moreover, it is grounded in the Law itself, where, despite stern warnings against contamination by pagan depravity, God himself makes explicit provision for the participation of believing Gentiles in the covenant community (Exodus 12:48, 22:21, Lev. 19:33-34, 23:22, 24:22, Num. 15:14-16, Deut. 10:18-19, 24:14f).</w:t>
      </w:r>
    </w:p>
    <w:p w14:paraId="5D4B55B2">
      <w:pPr>
        <w:pStyle w:val="9"/>
        <w:spacing w:before="11"/>
        <w:ind w:left="0"/>
        <w:jc w:val="left"/>
        <w:rPr>
          <w:rFonts w:hint="eastAsia"/>
          <w:sz w:val="30"/>
          <w:szCs w:val="30"/>
        </w:rPr>
      </w:pPr>
      <w:r>
        <w:rPr>
          <w:rFonts w:hint="eastAsia"/>
          <w:sz w:val="30"/>
          <w:szCs w:val="30"/>
        </w:rPr>
        <w:t>此外，它也植根于律法本身，在律法中，尽管有严厉的警告，防备被异教的堕落所污染，但上帝亲自明确规定了信主的外邦人可以参与圣约团体（出埃及记 12:48, 22:21, 利未记 19:33-34, 23:22, 24:22, 民数记 15:14-16, 申命记 10:18-19, 24:14及后文）。</w:t>
      </w:r>
    </w:p>
    <w:p w14:paraId="49607D14">
      <w:pPr>
        <w:pStyle w:val="9"/>
        <w:spacing w:before="11"/>
        <w:ind w:left="0"/>
        <w:jc w:val="left"/>
        <w:rPr>
          <w:rFonts w:hint="eastAsia"/>
          <w:sz w:val="30"/>
          <w:szCs w:val="30"/>
        </w:rPr>
      </w:pPr>
    </w:p>
    <w:p w14:paraId="6E8CB442">
      <w:pPr>
        <w:pStyle w:val="9"/>
        <w:spacing w:before="11"/>
        <w:ind w:left="0"/>
        <w:jc w:val="left"/>
        <w:rPr>
          <w:rFonts w:hint="eastAsia"/>
          <w:sz w:val="30"/>
          <w:szCs w:val="30"/>
        </w:rPr>
      </w:pPr>
      <w:r>
        <w:rPr>
          <w:rFonts w:hint="eastAsia"/>
          <w:sz w:val="30"/>
          <w:szCs w:val="30"/>
        </w:rPr>
        <w:t>Subsequent OTKP’s offering the hope of eternal life to Gentile nations all bear the stamp of these ancient legal texts.</w:t>
      </w:r>
    </w:p>
    <w:p w14:paraId="0FFD1FF9">
      <w:pPr>
        <w:pStyle w:val="9"/>
        <w:spacing w:before="11"/>
        <w:ind w:left="0"/>
        <w:jc w:val="left"/>
        <w:rPr>
          <w:rFonts w:hint="eastAsia"/>
          <w:sz w:val="30"/>
          <w:szCs w:val="30"/>
        </w:rPr>
      </w:pPr>
      <w:r>
        <w:rPr>
          <w:rFonts w:hint="eastAsia"/>
          <w:sz w:val="30"/>
          <w:szCs w:val="30"/>
        </w:rPr>
        <w:t>后来向外邦国家提供永生盼望的旧约国度预言（OTKP）都带有这些古老律法文本的印记。</w:t>
      </w:r>
    </w:p>
    <w:p w14:paraId="54954F24">
      <w:pPr>
        <w:pStyle w:val="9"/>
        <w:spacing w:before="11"/>
        <w:ind w:left="0"/>
        <w:jc w:val="left"/>
        <w:rPr>
          <w:rFonts w:hint="eastAsia"/>
          <w:sz w:val="30"/>
          <w:szCs w:val="30"/>
        </w:rPr>
      </w:pPr>
    </w:p>
    <w:p w14:paraId="713D29B8">
      <w:pPr>
        <w:pStyle w:val="9"/>
        <w:spacing w:before="11"/>
        <w:ind w:left="0"/>
        <w:jc w:val="left"/>
        <w:rPr>
          <w:rFonts w:hint="eastAsia"/>
          <w:sz w:val="30"/>
          <w:szCs w:val="30"/>
        </w:rPr>
      </w:pPr>
      <w:r>
        <w:rPr>
          <w:rFonts w:hint="eastAsia"/>
          <w:sz w:val="30"/>
          <w:szCs w:val="30"/>
        </w:rPr>
        <w:t>OT prophecies of the universality of the Kingdom are numerous and pervasive.</w:t>
      </w:r>
    </w:p>
    <w:p w14:paraId="77F77EA4">
      <w:pPr>
        <w:pStyle w:val="9"/>
        <w:spacing w:before="11"/>
        <w:ind w:left="0"/>
        <w:jc w:val="left"/>
        <w:rPr>
          <w:rFonts w:hint="eastAsia"/>
          <w:sz w:val="30"/>
          <w:szCs w:val="30"/>
        </w:rPr>
      </w:pPr>
      <w:r>
        <w:rPr>
          <w:rFonts w:hint="eastAsia"/>
          <w:sz w:val="30"/>
          <w:szCs w:val="30"/>
        </w:rPr>
        <w:t>关于国度普世性的旧约预言数量众多且普遍。</w:t>
      </w:r>
    </w:p>
    <w:p w14:paraId="332F7E34">
      <w:pPr>
        <w:pStyle w:val="9"/>
        <w:spacing w:before="11"/>
        <w:ind w:left="0"/>
        <w:jc w:val="left"/>
        <w:rPr>
          <w:rFonts w:hint="eastAsia"/>
          <w:sz w:val="30"/>
          <w:szCs w:val="30"/>
        </w:rPr>
      </w:pPr>
    </w:p>
    <w:p w14:paraId="2F21FAC2">
      <w:pPr>
        <w:pStyle w:val="9"/>
        <w:spacing w:before="11"/>
        <w:ind w:left="0"/>
        <w:jc w:val="left"/>
        <w:rPr>
          <w:rFonts w:hint="eastAsia"/>
          <w:sz w:val="30"/>
          <w:szCs w:val="30"/>
        </w:rPr>
      </w:pPr>
      <w:r>
        <w:rPr>
          <w:rFonts w:hint="eastAsia"/>
          <w:sz w:val="30"/>
          <w:szCs w:val="30"/>
        </w:rPr>
        <w:t>As far back as the Song of Moses, we hear God, amidst dreadful warnings of final judgment against Israel’s foes, urging the Gentiles to rejoice with his people (Deut. 32:43; Rom. 15:10).</w:t>
      </w:r>
    </w:p>
    <w:p w14:paraId="5BB1F78D">
      <w:pPr>
        <w:pStyle w:val="9"/>
        <w:spacing w:before="11"/>
        <w:ind w:left="0"/>
        <w:jc w:val="left"/>
        <w:rPr>
          <w:rFonts w:hint="eastAsia"/>
          <w:sz w:val="30"/>
          <w:szCs w:val="30"/>
        </w:rPr>
      </w:pPr>
      <w:r>
        <w:rPr>
          <w:rFonts w:hint="eastAsia"/>
          <w:sz w:val="30"/>
          <w:szCs w:val="30"/>
        </w:rPr>
        <w:t>早在摩西之歌中，我们就听到上帝在对以色列仇敌发出最后审判的可怕警告中，敦促外邦人与祂的子民一同欢喜（申命记 32:43；罗马书 15:10）。</w:t>
      </w:r>
    </w:p>
    <w:p w14:paraId="298AFB73">
      <w:pPr>
        <w:pStyle w:val="9"/>
        <w:spacing w:before="11"/>
        <w:ind w:left="0"/>
        <w:jc w:val="left"/>
        <w:rPr>
          <w:rFonts w:hint="eastAsia"/>
          <w:sz w:val="30"/>
          <w:szCs w:val="30"/>
        </w:rPr>
      </w:pPr>
    </w:p>
    <w:p w14:paraId="19B61DCE">
      <w:pPr>
        <w:pStyle w:val="9"/>
        <w:spacing w:before="11"/>
        <w:ind w:left="0"/>
        <w:jc w:val="left"/>
        <w:rPr>
          <w:rFonts w:hint="eastAsia"/>
          <w:sz w:val="30"/>
          <w:szCs w:val="30"/>
        </w:rPr>
      </w:pPr>
      <w:r>
        <w:rPr>
          <w:rFonts w:hint="eastAsia"/>
          <w:sz w:val="30"/>
          <w:szCs w:val="30"/>
        </w:rPr>
        <w:t>The Psalmists declare that all the ends of the earth will remember (their Maker and Redeemer) and turn to the LORD; and all the families of the nations will worship before him (Psalm 22:27; Psalms 72, 89, 96).</w:t>
      </w:r>
    </w:p>
    <w:p w14:paraId="01CFD823">
      <w:pPr>
        <w:pStyle w:val="9"/>
        <w:spacing w:before="11"/>
        <w:ind w:left="0"/>
        <w:jc w:val="left"/>
        <w:rPr>
          <w:rFonts w:hint="eastAsia"/>
          <w:sz w:val="30"/>
          <w:szCs w:val="30"/>
        </w:rPr>
      </w:pPr>
      <w:r>
        <w:rPr>
          <w:rFonts w:hint="eastAsia"/>
          <w:sz w:val="30"/>
          <w:szCs w:val="30"/>
        </w:rPr>
        <w:t>诗篇作者宣告，地的四极都要想念（他们的创造主和救赎主）耶和华，并且归顺祂；列国的万族都要在祂面前敬拜（诗篇 22:27；诗篇 72, 89, 96）。</w:t>
      </w:r>
    </w:p>
    <w:p w14:paraId="3C366311">
      <w:pPr>
        <w:pStyle w:val="9"/>
        <w:spacing w:before="11"/>
        <w:ind w:left="0"/>
        <w:jc w:val="left"/>
        <w:rPr>
          <w:rFonts w:hint="eastAsia"/>
          <w:sz w:val="30"/>
          <w:szCs w:val="30"/>
        </w:rPr>
      </w:pPr>
    </w:p>
    <w:p w14:paraId="589CA0FB">
      <w:pPr>
        <w:pStyle w:val="9"/>
        <w:spacing w:before="11"/>
        <w:ind w:left="0"/>
        <w:jc w:val="left"/>
        <w:rPr>
          <w:rFonts w:hint="eastAsia"/>
          <w:sz w:val="30"/>
          <w:szCs w:val="30"/>
        </w:rPr>
      </w:pPr>
      <w:r>
        <w:rPr>
          <w:rFonts w:hint="eastAsia"/>
          <w:sz w:val="30"/>
          <w:szCs w:val="30"/>
        </w:rPr>
        <w:t>Isaiah promises that in the days of Israel’s Messiah the nations will resort to the Root of Jesse; that the peoples will rally to him as to a banner flying in the wind (Isaiah 11:10, 42:1-4, 49:1-7); that aliens will attach themselves to Jacob when the LORD restores them to the land (14:1-2); that Egypt and Assyria will be reckoned among God’s people (19:16-24); that upon his holy Mountain he will prepare a feast of fat things for all peoples (25:6-9); that the nations will come to the light of Zion (60:1ff); that they will build up its walls and beautify its sanctuary, so that Jerusalem will be an everlasting pride, a joy from generation to generation (65:17ff).</w:t>
      </w:r>
    </w:p>
    <w:p w14:paraId="58C06F12">
      <w:pPr>
        <w:pStyle w:val="9"/>
        <w:spacing w:before="11"/>
        <w:ind w:left="0"/>
        <w:jc w:val="left"/>
        <w:rPr>
          <w:rFonts w:hint="eastAsia"/>
          <w:sz w:val="30"/>
          <w:szCs w:val="30"/>
        </w:rPr>
      </w:pPr>
      <w:r>
        <w:rPr>
          <w:rFonts w:hint="eastAsia"/>
          <w:sz w:val="30"/>
          <w:szCs w:val="30"/>
        </w:rPr>
        <w:t>以赛亚应许，在以色列弥赛亚的日子里，列国必寻求耶西的根；万民必归向祂，如同一面在风中飘扬的旌旗（以赛亚书 11:10, 42:1-4, 49:1-7）；当耶和华使他们归回本地时，外人必与雅各联合（14:1-2）；埃及和亚述将被算为上帝的子民（19:16-24）；在祂的圣山上，祂必为万民摆设肥甘的筵席（25:6-9）；列国必来就锡安的光（60:1及后文）；他们必修造锡安的城墙，并美化其圣所，使耶路撒冷成为永远的骄傲，世世代代的喜乐（65:17及后文）。</w:t>
      </w:r>
    </w:p>
    <w:p w14:paraId="439FF955">
      <w:pPr>
        <w:pStyle w:val="9"/>
        <w:spacing w:before="11"/>
        <w:ind w:left="0"/>
        <w:jc w:val="left"/>
        <w:rPr>
          <w:rFonts w:hint="eastAsia"/>
          <w:sz w:val="30"/>
          <w:szCs w:val="30"/>
        </w:rPr>
      </w:pPr>
    </w:p>
    <w:p w14:paraId="20D37171">
      <w:pPr>
        <w:pStyle w:val="9"/>
        <w:spacing w:before="11"/>
        <w:ind w:left="0"/>
        <w:jc w:val="left"/>
        <w:rPr>
          <w:rFonts w:hint="eastAsia"/>
          <w:sz w:val="30"/>
          <w:szCs w:val="30"/>
        </w:rPr>
      </w:pPr>
      <w:r>
        <w:rPr>
          <w:rFonts w:hint="eastAsia"/>
          <w:sz w:val="30"/>
          <w:szCs w:val="30"/>
        </w:rPr>
        <w:t>Likewise, Micah foresees the nations flowing to the Mountain of the House of the LORD (Micah 4:1-5).</w:t>
      </w:r>
    </w:p>
    <w:p w14:paraId="3E3B0353">
      <w:pPr>
        <w:pStyle w:val="9"/>
        <w:spacing w:before="11"/>
        <w:ind w:left="0"/>
        <w:jc w:val="left"/>
        <w:rPr>
          <w:rFonts w:hint="eastAsia"/>
          <w:sz w:val="30"/>
          <w:szCs w:val="30"/>
        </w:rPr>
      </w:pPr>
      <w:r>
        <w:rPr>
          <w:rFonts w:hint="eastAsia"/>
          <w:sz w:val="30"/>
          <w:szCs w:val="30"/>
        </w:rPr>
        <w:t>同样地，弥迦预见到万民将流归耶和华殿的山（弥迦书 4:1-5）。</w:t>
      </w:r>
    </w:p>
    <w:p w14:paraId="65E87392">
      <w:pPr>
        <w:pStyle w:val="9"/>
        <w:spacing w:before="11"/>
        <w:ind w:left="0"/>
        <w:jc w:val="left"/>
        <w:rPr>
          <w:rFonts w:hint="eastAsia"/>
          <w:sz w:val="30"/>
          <w:szCs w:val="30"/>
        </w:rPr>
      </w:pPr>
    </w:p>
    <w:p w14:paraId="671E3977">
      <w:pPr>
        <w:pStyle w:val="9"/>
        <w:spacing w:before="11"/>
        <w:ind w:left="0"/>
        <w:jc w:val="left"/>
        <w:rPr>
          <w:rFonts w:hint="eastAsia"/>
          <w:sz w:val="30"/>
          <w:szCs w:val="30"/>
        </w:rPr>
      </w:pPr>
      <w:r>
        <w:rPr>
          <w:rFonts w:hint="eastAsia"/>
          <w:sz w:val="30"/>
          <w:szCs w:val="30"/>
        </w:rPr>
        <w:t>Jeremiah, another pre-exilic prophet, agrees, promising that in that Day men shall call Jerusalem the Throne of the LORD, and that all nations will be gathered to it (Jer. 3:16-17; 12:14-17).</w:t>
      </w:r>
    </w:p>
    <w:p w14:paraId="3297B4C4">
      <w:pPr>
        <w:pStyle w:val="9"/>
        <w:spacing w:before="11"/>
        <w:ind w:left="0"/>
        <w:jc w:val="left"/>
        <w:rPr>
          <w:rFonts w:hint="eastAsia"/>
          <w:sz w:val="30"/>
          <w:szCs w:val="30"/>
        </w:rPr>
      </w:pPr>
      <w:r>
        <w:rPr>
          <w:rFonts w:hint="eastAsia"/>
          <w:sz w:val="30"/>
          <w:szCs w:val="30"/>
        </w:rPr>
        <w:t>另一位被掳前的先知耶利米也同意，应许说在那些日子，人必称耶路撒冷为耶和华的宝座，万国必都聚集到那里（耶利米书 3:16-17；12:14-17）。</w:t>
      </w:r>
    </w:p>
    <w:p w14:paraId="283BBA08">
      <w:pPr>
        <w:pStyle w:val="9"/>
        <w:spacing w:before="11"/>
        <w:ind w:left="0"/>
        <w:jc w:val="left"/>
        <w:rPr>
          <w:rFonts w:hint="eastAsia"/>
          <w:sz w:val="30"/>
          <w:szCs w:val="30"/>
        </w:rPr>
      </w:pPr>
    </w:p>
    <w:p w14:paraId="28A59674">
      <w:pPr>
        <w:pStyle w:val="9"/>
        <w:spacing w:before="11"/>
        <w:ind w:left="0"/>
        <w:jc w:val="left"/>
        <w:rPr>
          <w:rFonts w:hint="eastAsia"/>
          <w:sz w:val="30"/>
          <w:szCs w:val="30"/>
        </w:rPr>
      </w:pPr>
      <w:r>
        <w:rPr>
          <w:rFonts w:hint="eastAsia"/>
          <w:sz w:val="30"/>
          <w:szCs w:val="30"/>
        </w:rPr>
        <w:t>Zephaniah announces that God will purify the speech of the peoples, so that all may call on the name of the LORD and serve him shoulder to shoulder (Zeph. 3:9).</w:t>
      </w:r>
    </w:p>
    <w:p w14:paraId="09C49D1B">
      <w:pPr>
        <w:pStyle w:val="9"/>
        <w:spacing w:before="11"/>
        <w:ind w:left="0"/>
        <w:jc w:val="left"/>
        <w:rPr>
          <w:rFonts w:hint="eastAsia"/>
          <w:sz w:val="30"/>
          <w:szCs w:val="30"/>
        </w:rPr>
      </w:pPr>
      <w:r>
        <w:rPr>
          <w:rFonts w:hint="eastAsia"/>
          <w:sz w:val="30"/>
          <w:szCs w:val="30"/>
        </w:rPr>
        <w:t>西番雅宣告，上帝要使万民的口音清洁，好叫他们都求告耶和华的名，同心合意地事奉祂（西番雅书 3:9）。</w:t>
      </w:r>
    </w:p>
    <w:p w14:paraId="46F2DB41">
      <w:pPr>
        <w:pStyle w:val="9"/>
        <w:spacing w:before="11"/>
        <w:ind w:left="0"/>
        <w:jc w:val="left"/>
        <w:rPr>
          <w:rFonts w:hint="eastAsia"/>
          <w:sz w:val="30"/>
          <w:szCs w:val="30"/>
        </w:rPr>
      </w:pPr>
    </w:p>
    <w:p w14:paraId="79FF9132">
      <w:pPr>
        <w:pStyle w:val="9"/>
        <w:spacing w:before="11"/>
        <w:ind w:left="0"/>
        <w:jc w:val="left"/>
        <w:rPr>
          <w:rFonts w:hint="eastAsia"/>
          <w:sz w:val="30"/>
          <w:szCs w:val="30"/>
        </w:rPr>
      </w:pPr>
      <w:r>
        <w:rPr>
          <w:rFonts w:hint="eastAsia"/>
          <w:sz w:val="30"/>
          <w:szCs w:val="30"/>
        </w:rPr>
        <w:t>According to Zechariah, many peoples and mighty nations will come to seek the LORD of hosts in Jerusalem, there to entreat his favor (Zech. 8:23; 2:1-13).</w:t>
      </w:r>
    </w:p>
    <w:p w14:paraId="2A265AA9">
      <w:pPr>
        <w:pStyle w:val="9"/>
        <w:spacing w:before="11"/>
        <w:ind w:left="0"/>
        <w:jc w:val="left"/>
        <w:rPr>
          <w:rFonts w:hint="eastAsia"/>
          <w:sz w:val="30"/>
          <w:szCs w:val="30"/>
        </w:rPr>
      </w:pPr>
      <w:r>
        <w:rPr>
          <w:rFonts w:hint="eastAsia"/>
          <w:sz w:val="30"/>
          <w:szCs w:val="30"/>
        </w:rPr>
        <w:t>根据撒迦利亚的记载，许多民族和强大的国家将来到耶路撒冷寻求万军之耶和华，在那里恳求祂的恩惠（撒迦利亚书 8:23；2:1-13）。</w:t>
      </w:r>
    </w:p>
    <w:p w14:paraId="01FE3933">
      <w:pPr>
        <w:pStyle w:val="9"/>
        <w:spacing w:before="11"/>
        <w:ind w:left="0"/>
        <w:jc w:val="left"/>
        <w:rPr>
          <w:rFonts w:hint="eastAsia"/>
          <w:sz w:val="30"/>
          <w:szCs w:val="30"/>
        </w:rPr>
      </w:pPr>
    </w:p>
    <w:p w14:paraId="23DDD520">
      <w:pPr>
        <w:pStyle w:val="9"/>
        <w:spacing w:before="11"/>
        <w:ind w:left="0"/>
        <w:jc w:val="left"/>
        <w:rPr>
          <w:rFonts w:hint="eastAsia"/>
          <w:sz w:val="30"/>
          <w:szCs w:val="30"/>
        </w:rPr>
      </w:pPr>
      <w:r>
        <w:rPr>
          <w:rFonts w:hint="eastAsia"/>
          <w:sz w:val="30"/>
          <w:szCs w:val="30"/>
        </w:rPr>
        <w:t>When they do, says Haggai, they will bring with them the wealth of the nations, and so fill God’s house with glory (Haggai 2:7, NAS).</w:t>
      </w:r>
    </w:p>
    <w:p w14:paraId="2E619A0B">
      <w:pPr>
        <w:pStyle w:val="9"/>
        <w:spacing w:before="11"/>
        <w:ind w:left="0"/>
        <w:jc w:val="left"/>
        <w:rPr>
          <w:rFonts w:hint="eastAsia"/>
          <w:sz w:val="30"/>
          <w:szCs w:val="30"/>
        </w:rPr>
      </w:pPr>
      <w:r>
        <w:rPr>
          <w:rFonts w:hint="eastAsia"/>
          <w:sz w:val="30"/>
          <w:szCs w:val="30"/>
        </w:rPr>
        <w:t>哈该说，当他们这样做时，他们会带来列国的财宝，从而使上帝的殿充满荣耀（哈该书 2:7，新美国标准版圣经）。</w:t>
      </w:r>
    </w:p>
    <w:p w14:paraId="4D2B5EEC">
      <w:pPr>
        <w:pStyle w:val="9"/>
        <w:spacing w:before="11"/>
        <w:ind w:left="0"/>
        <w:jc w:val="left"/>
        <w:rPr>
          <w:rFonts w:hint="eastAsia"/>
          <w:sz w:val="30"/>
          <w:szCs w:val="30"/>
        </w:rPr>
      </w:pPr>
    </w:p>
    <w:p w14:paraId="3653A783">
      <w:pPr>
        <w:pStyle w:val="9"/>
        <w:spacing w:before="11"/>
        <w:ind w:left="0"/>
        <w:jc w:val="left"/>
        <w:rPr>
          <w:rFonts w:hint="eastAsia"/>
          <w:sz w:val="30"/>
          <w:szCs w:val="30"/>
        </w:rPr>
      </w:pPr>
      <w:r>
        <w:rPr>
          <w:rFonts w:hint="eastAsia"/>
          <w:sz w:val="30"/>
          <w:szCs w:val="30"/>
        </w:rPr>
        <w:t>In these and many other such texts, the OT prophets picture Jew and Gentile dwelling together in peace in an eternal global Kingdom, united by a common faith in the LORD, and a common enjoyment of his redemptive work through Israel’s Messiah.</w:t>
      </w:r>
    </w:p>
    <w:p w14:paraId="0389252B">
      <w:pPr>
        <w:pStyle w:val="9"/>
        <w:spacing w:before="11"/>
        <w:ind w:left="0"/>
        <w:jc w:val="left"/>
        <w:rPr>
          <w:rFonts w:hint="eastAsia"/>
          <w:sz w:val="30"/>
          <w:szCs w:val="30"/>
        </w:rPr>
      </w:pPr>
      <w:r>
        <w:rPr>
          <w:rFonts w:hint="eastAsia"/>
          <w:sz w:val="30"/>
          <w:szCs w:val="30"/>
        </w:rPr>
        <w:t>在这些以及许多其他类似的经文中，旧约先知描绘了犹太人和外邦人在一个永恒的全球国度中和平共处，因着对耶和华的共同信仰，以及共同享受祂通过以色列的弥赛亚所成就的救赎之工而联合。</w:t>
      </w:r>
    </w:p>
    <w:p w14:paraId="2E150C8F">
      <w:pPr>
        <w:pStyle w:val="9"/>
        <w:spacing w:before="11"/>
        <w:ind w:left="0"/>
        <w:jc w:val="left"/>
        <w:rPr>
          <w:rFonts w:hint="eastAsia"/>
          <w:sz w:val="30"/>
          <w:szCs w:val="30"/>
        </w:rPr>
      </w:pPr>
    </w:p>
    <w:p w14:paraId="601AD07E">
      <w:pPr>
        <w:pStyle w:val="9"/>
        <w:spacing w:before="11"/>
        <w:ind w:left="0"/>
        <w:jc w:val="left"/>
        <w:rPr>
          <w:rFonts w:hint="eastAsia"/>
          <w:sz w:val="30"/>
          <w:szCs w:val="30"/>
        </w:rPr>
      </w:pPr>
      <w:r>
        <w:rPr>
          <w:rFonts w:hint="eastAsia"/>
          <w:sz w:val="30"/>
          <w:szCs w:val="30"/>
        </w:rPr>
        <w:t>But while this is indeed the representative picture of the Kingdom, it is important to note that the OT prophets give us other pictures as well; pictures that raise serious hermeneutical problems.</w:t>
      </w:r>
    </w:p>
    <w:p w14:paraId="6B9AC47F">
      <w:pPr>
        <w:pStyle w:val="9"/>
        <w:spacing w:before="11"/>
        <w:ind w:left="0"/>
        <w:jc w:val="left"/>
        <w:rPr>
          <w:rFonts w:hint="eastAsia"/>
          <w:sz w:val="30"/>
          <w:szCs w:val="30"/>
        </w:rPr>
      </w:pPr>
      <w:r>
        <w:rPr>
          <w:rFonts w:hint="eastAsia"/>
          <w:sz w:val="30"/>
          <w:szCs w:val="30"/>
        </w:rPr>
        <w:t>然而，尽管这确实是国度的代表性图景，但重要的是要注意到，旧约先知也给了我们其他的图景；这些图景引发了严重的解释学问题。</w:t>
      </w:r>
    </w:p>
    <w:p w14:paraId="093BD3AB">
      <w:pPr>
        <w:pStyle w:val="9"/>
        <w:spacing w:before="11"/>
        <w:ind w:left="0"/>
        <w:jc w:val="left"/>
        <w:rPr>
          <w:rFonts w:hint="eastAsia"/>
          <w:sz w:val="30"/>
          <w:szCs w:val="30"/>
        </w:rPr>
      </w:pPr>
    </w:p>
    <w:p w14:paraId="077EFA79">
      <w:pPr>
        <w:pStyle w:val="9"/>
        <w:spacing w:before="11"/>
        <w:ind w:left="0"/>
        <w:jc w:val="left"/>
        <w:rPr>
          <w:rFonts w:hint="eastAsia"/>
          <w:sz w:val="30"/>
          <w:szCs w:val="30"/>
        </w:rPr>
      </w:pPr>
      <w:r>
        <w:rPr>
          <w:rFonts w:hint="eastAsia"/>
          <w:sz w:val="30"/>
          <w:szCs w:val="30"/>
        </w:rPr>
        <w:t>For example, some of the prophets say little or nothing at all about the conversion of the Gentiles, offering instead a purely nationalistic picture of the Kingdom, rather than a global one.</w:t>
      </w:r>
    </w:p>
    <w:p w14:paraId="3047005F">
      <w:pPr>
        <w:pStyle w:val="9"/>
        <w:spacing w:before="11"/>
        <w:ind w:left="0"/>
        <w:jc w:val="left"/>
        <w:rPr>
          <w:rFonts w:hint="eastAsia"/>
          <w:sz w:val="30"/>
          <w:szCs w:val="30"/>
        </w:rPr>
      </w:pPr>
      <w:r>
        <w:rPr>
          <w:rFonts w:hint="eastAsia"/>
          <w:sz w:val="30"/>
          <w:szCs w:val="30"/>
        </w:rPr>
        <w:t>例如，一些先知很少或根本没有提及外邦人的归信，而是提供了一个纯粹民族主义而非全球性的国度图景。</w:t>
      </w:r>
    </w:p>
    <w:p w14:paraId="0EB4AA35">
      <w:pPr>
        <w:pStyle w:val="9"/>
        <w:spacing w:before="11"/>
        <w:ind w:left="0"/>
        <w:jc w:val="left"/>
        <w:rPr>
          <w:rFonts w:hint="eastAsia"/>
          <w:sz w:val="30"/>
          <w:szCs w:val="30"/>
        </w:rPr>
      </w:pPr>
    </w:p>
    <w:p w14:paraId="27B6A254">
      <w:pPr>
        <w:pStyle w:val="9"/>
        <w:spacing w:before="11"/>
        <w:ind w:left="0"/>
        <w:jc w:val="left"/>
        <w:rPr>
          <w:rFonts w:hint="eastAsia"/>
          <w:sz w:val="30"/>
          <w:szCs w:val="30"/>
        </w:rPr>
      </w:pPr>
      <w:r>
        <w:rPr>
          <w:rFonts w:hint="eastAsia"/>
          <w:sz w:val="30"/>
          <w:szCs w:val="30"/>
        </w:rPr>
        <w:t>Here, the Kingdom is more or less identical with Israel restored to her homeland and fully enjoying the covenant blessings of her God.</w:t>
      </w:r>
    </w:p>
    <w:p w14:paraId="03728688">
      <w:pPr>
        <w:pStyle w:val="9"/>
        <w:spacing w:before="11"/>
        <w:ind w:left="0"/>
        <w:jc w:val="left"/>
        <w:rPr>
          <w:rFonts w:hint="eastAsia"/>
          <w:sz w:val="30"/>
          <w:szCs w:val="30"/>
        </w:rPr>
      </w:pPr>
      <w:r>
        <w:rPr>
          <w:rFonts w:hint="eastAsia"/>
          <w:sz w:val="30"/>
          <w:szCs w:val="30"/>
        </w:rPr>
        <w:t>在这里，国度或多或少等同于以色列回归故土并充分享受她上帝的圣约祝福。</w:t>
      </w:r>
    </w:p>
    <w:p w14:paraId="4B2E0727">
      <w:pPr>
        <w:pStyle w:val="9"/>
        <w:spacing w:before="11"/>
        <w:ind w:left="0"/>
        <w:jc w:val="left"/>
        <w:rPr>
          <w:rFonts w:hint="eastAsia"/>
          <w:sz w:val="30"/>
          <w:szCs w:val="30"/>
        </w:rPr>
      </w:pPr>
    </w:p>
    <w:p w14:paraId="6F3FBF12">
      <w:pPr>
        <w:pStyle w:val="9"/>
        <w:spacing w:before="11"/>
        <w:ind w:left="0"/>
        <w:jc w:val="left"/>
        <w:rPr>
          <w:rFonts w:hint="eastAsia"/>
          <w:sz w:val="30"/>
          <w:szCs w:val="30"/>
        </w:rPr>
      </w:pPr>
      <w:r>
        <w:rPr>
          <w:rFonts w:hint="eastAsia"/>
          <w:sz w:val="30"/>
          <w:szCs w:val="30"/>
        </w:rPr>
        <w:t>Amos portrays the Kingdom in just this way, mentioning the Gentiles only as defeated and occupied foes, subjects of the resurrected dynasty of David (Amos 9:11-15).</w:t>
      </w:r>
    </w:p>
    <w:p w14:paraId="7BB821F1">
      <w:pPr>
        <w:pStyle w:val="9"/>
        <w:spacing w:before="11"/>
        <w:ind w:left="0"/>
        <w:jc w:val="left"/>
        <w:rPr>
          <w:rFonts w:hint="eastAsia"/>
          <w:sz w:val="30"/>
          <w:szCs w:val="30"/>
        </w:rPr>
      </w:pPr>
      <w:r>
        <w:rPr>
          <w:rFonts w:hint="eastAsia"/>
          <w:sz w:val="30"/>
          <w:szCs w:val="30"/>
        </w:rPr>
        <w:t>阿摩司正是以这种方式描绘国度，只把外邦人提及为被击败和被占领的敌人，是大卫复兴王朝的臣民（阿摩司书 9:11-15）。</w:t>
      </w:r>
    </w:p>
    <w:p w14:paraId="270A82A3">
      <w:pPr>
        <w:pStyle w:val="9"/>
        <w:spacing w:before="11"/>
        <w:ind w:left="0"/>
        <w:jc w:val="left"/>
        <w:rPr>
          <w:rFonts w:hint="eastAsia"/>
          <w:sz w:val="30"/>
          <w:szCs w:val="30"/>
        </w:rPr>
      </w:pPr>
    </w:p>
    <w:p w14:paraId="7EE49478">
      <w:pPr>
        <w:pStyle w:val="9"/>
        <w:spacing w:before="11"/>
        <w:ind w:left="0"/>
        <w:jc w:val="left"/>
        <w:rPr>
          <w:rFonts w:hint="eastAsia"/>
          <w:sz w:val="30"/>
          <w:szCs w:val="30"/>
        </w:rPr>
      </w:pPr>
      <w:r>
        <w:rPr>
          <w:rFonts w:hint="eastAsia"/>
          <w:sz w:val="30"/>
          <w:szCs w:val="30"/>
        </w:rPr>
        <w:t>In Hosea’s five Kingdom prophecies, he does not mention the conversion of the Gentiles once, but instead depicts the Kingdom in terms of a second Exodus of captive Israel and Judah, who, under David their King, will live in holiness, peace, and prosperity in the land (Hosea 1:10-11, 2:14-23, 3:5, 11:10-11, 14:4-7).2</w:t>
      </w:r>
    </w:p>
    <w:p w14:paraId="3B5BDFBB">
      <w:pPr>
        <w:pStyle w:val="9"/>
        <w:spacing w:before="11"/>
        <w:ind w:left="0"/>
        <w:jc w:val="left"/>
        <w:rPr>
          <w:rFonts w:hint="eastAsia"/>
          <w:sz w:val="30"/>
          <w:szCs w:val="30"/>
        </w:rPr>
      </w:pPr>
      <w:r>
        <w:rPr>
          <w:rFonts w:hint="eastAsia"/>
          <w:sz w:val="30"/>
          <w:szCs w:val="30"/>
        </w:rPr>
        <w:t>在何西阿的五处国度预言中，他一次也没有提到外邦人的归信，而是将国度描绘成被掳的以色列和犹大的第二次出埃及，他们在他们的王大卫的带领下，将在那片土地上过着圣洁、和平与繁荣的生活（何西阿书 1:10-11, 2:14-23, 3:5, 11:10-11, 14:4-7）。2</w:t>
      </w:r>
    </w:p>
    <w:p w14:paraId="0DD2E7D7">
      <w:pPr>
        <w:pStyle w:val="9"/>
        <w:spacing w:before="11"/>
        <w:ind w:left="0"/>
        <w:jc w:val="left"/>
        <w:rPr>
          <w:rFonts w:hint="eastAsia"/>
          <w:sz w:val="30"/>
          <w:szCs w:val="30"/>
        </w:rPr>
      </w:pPr>
    </w:p>
    <w:p w14:paraId="15F31174">
      <w:pPr>
        <w:pStyle w:val="9"/>
        <w:spacing w:before="11"/>
        <w:ind w:left="0"/>
        <w:jc w:val="left"/>
        <w:rPr>
          <w:rFonts w:hint="eastAsia"/>
          <w:sz w:val="30"/>
          <w:szCs w:val="30"/>
        </w:rPr>
      </w:pPr>
      <w:r>
        <w:rPr>
          <w:rFonts w:hint="eastAsia"/>
          <w:sz w:val="30"/>
          <w:szCs w:val="30"/>
        </w:rPr>
        <w:t>As for Ezekiel, he does indeed affirm that the surrounding nations will recognize the hand of the LORD in Israel’s restoration to Canaan (36:36, 37:28).</w:t>
      </w:r>
    </w:p>
    <w:p w14:paraId="1826EE70">
      <w:pPr>
        <w:pStyle w:val="9"/>
        <w:spacing w:before="11"/>
        <w:ind w:left="0"/>
        <w:jc w:val="left"/>
        <w:rPr>
          <w:rFonts w:hint="eastAsia"/>
          <w:sz w:val="30"/>
          <w:szCs w:val="30"/>
        </w:rPr>
      </w:pPr>
      <w:r>
        <w:rPr>
          <w:rFonts w:hint="eastAsia"/>
          <w:sz w:val="30"/>
          <w:szCs w:val="30"/>
        </w:rPr>
        <w:t>至于以西结，他确实确认周边的列国将承认以色列复兴归回迦南地是耶和华的手所做的（36:36, 37:28）。</w:t>
      </w:r>
    </w:p>
    <w:p w14:paraId="3E01C28E">
      <w:pPr>
        <w:pStyle w:val="9"/>
        <w:spacing w:before="11"/>
        <w:ind w:left="0"/>
        <w:jc w:val="left"/>
        <w:rPr>
          <w:rFonts w:hint="eastAsia"/>
          <w:sz w:val="30"/>
          <w:szCs w:val="30"/>
        </w:rPr>
      </w:pPr>
    </w:p>
    <w:p w14:paraId="34721EEB">
      <w:pPr>
        <w:pStyle w:val="9"/>
        <w:spacing w:before="11"/>
        <w:ind w:left="0"/>
        <w:jc w:val="left"/>
        <w:rPr>
          <w:rFonts w:hint="eastAsia"/>
          <w:sz w:val="30"/>
          <w:szCs w:val="30"/>
        </w:rPr>
      </w:pPr>
      <w:r>
        <w:rPr>
          <w:rFonts w:hint="eastAsia"/>
          <w:sz w:val="30"/>
          <w:szCs w:val="30"/>
        </w:rPr>
        <w:t>Nevertheless, it is God’s people alone who will enjoy the gift of the Spirit and the blessedness of life under David their King (Ezek. 36, 37).</w:t>
      </w:r>
    </w:p>
    <w:p w14:paraId="132CD062">
      <w:pPr>
        <w:pStyle w:val="9"/>
        <w:spacing w:before="11"/>
        <w:ind w:left="0"/>
        <w:jc w:val="left"/>
        <w:rPr>
          <w:rFonts w:hint="eastAsia"/>
          <w:sz w:val="30"/>
          <w:szCs w:val="30"/>
        </w:rPr>
      </w:pPr>
      <w:r>
        <w:rPr>
          <w:rFonts w:hint="eastAsia"/>
          <w:sz w:val="30"/>
          <w:szCs w:val="30"/>
        </w:rPr>
        <w:t>然而，唯有上帝的子民才能享受圣灵的恩赐和在他们的王大卫治理下的生活之福乐（以西结书 36, 37章）。</w:t>
      </w:r>
    </w:p>
    <w:p w14:paraId="715DA71C">
      <w:pPr>
        <w:pStyle w:val="9"/>
        <w:spacing w:before="11"/>
        <w:ind w:left="0"/>
        <w:jc w:val="left"/>
        <w:rPr>
          <w:rFonts w:hint="eastAsia"/>
          <w:sz w:val="30"/>
          <w:szCs w:val="30"/>
        </w:rPr>
      </w:pPr>
    </w:p>
    <w:p w14:paraId="5F104DC9">
      <w:pPr>
        <w:pStyle w:val="9"/>
        <w:spacing w:before="11"/>
        <w:ind w:left="0"/>
        <w:jc w:val="left"/>
        <w:rPr>
          <w:rFonts w:hint="eastAsia"/>
          <w:sz w:val="30"/>
          <w:szCs w:val="30"/>
        </w:rPr>
      </w:pPr>
      <w:r>
        <w:rPr>
          <w:rFonts w:hint="eastAsia"/>
          <w:sz w:val="30"/>
          <w:szCs w:val="30"/>
        </w:rPr>
        <w:t>In other Kingdom prophecies we come upon a still different picture of Israel’s relation to the Gentiles.</w:t>
      </w:r>
    </w:p>
    <w:p w14:paraId="5E2D904A">
      <w:pPr>
        <w:pStyle w:val="9"/>
        <w:spacing w:before="11"/>
        <w:ind w:left="0"/>
        <w:jc w:val="left"/>
        <w:rPr>
          <w:rFonts w:hint="eastAsia"/>
          <w:sz w:val="30"/>
          <w:szCs w:val="30"/>
        </w:rPr>
      </w:pPr>
      <w:r>
        <w:rPr>
          <w:rFonts w:hint="eastAsia"/>
          <w:sz w:val="30"/>
          <w:szCs w:val="30"/>
        </w:rPr>
        <w:t>在其他的国度预言中，我们看到了一个关于以色列与外邦人关系的更不相同的图景。</w:t>
      </w:r>
    </w:p>
    <w:p w14:paraId="7F0F113E">
      <w:pPr>
        <w:pStyle w:val="9"/>
        <w:spacing w:before="11"/>
        <w:ind w:left="0"/>
        <w:jc w:val="left"/>
        <w:rPr>
          <w:rFonts w:hint="eastAsia"/>
          <w:sz w:val="30"/>
          <w:szCs w:val="30"/>
        </w:rPr>
      </w:pPr>
    </w:p>
    <w:p w14:paraId="1F374638">
      <w:pPr>
        <w:pStyle w:val="9"/>
        <w:spacing w:before="11"/>
        <w:ind w:left="0"/>
        <w:jc w:val="left"/>
        <w:rPr>
          <w:rFonts w:hint="eastAsia"/>
          <w:sz w:val="30"/>
          <w:szCs w:val="30"/>
        </w:rPr>
      </w:pPr>
      <w:r>
        <w:rPr>
          <w:rFonts w:hint="eastAsia"/>
          <w:sz w:val="30"/>
          <w:szCs w:val="30"/>
        </w:rPr>
        <w:t>Here too restored Israel is dwelling in the land, but now the surrounding nations—all presumed to be hostile—have been destroyed!</w:t>
      </w:r>
    </w:p>
    <w:p w14:paraId="1BE9CC15">
      <w:pPr>
        <w:pStyle w:val="9"/>
        <w:spacing w:before="11"/>
        <w:ind w:left="0"/>
        <w:jc w:val="left"/>
        <w:rPr>
          <w:rFonts w:hint="eastAsia"/>
          <w:sz w:val="30"/>
          <w:szCs w:val="30"/>
        </w:rPr>
      </w:pPr>
      <w:r>
        <w:rPr>
          <w:rFonts w:hint="eastAsia"/>
          <w:sz w:val="30"/>
          <w:szCs w:val="30"/>
        </w:rPr>
        <w:t>在这里，复兴的以色列也居住在这片土地上，但现在周边的列国——全都被假定为敌对的——已经被摧毁了！</w:t>
      </w:r>
    </w:p>
    <w:p w14:paraId="7EDA7D8B">
      <w:pPr>
        <w:pStyle w:val="9"/>
        <w:spacing w:before="11"/>
        <w:ind w:left="0"/>
        <w:jc w:val="left"/>
        <w:rPr>
          <w:rFonts w:hint="eastAsia"/>
          <w:sz w:val="30"/>
          <w:szCs w:val="30"/>
        </w:rPr>
      </w:pPr>
    </w:p>
    <w:p w14:paraId="459B4873">
      <w:pPr>
        <w:pStyle w:val="9"/>
        <w:spacing w:before="11"/>
        <w:ind w:left="0"/>
        <w:jc w:val="left"/>
        <w:rPr>
          <w:rFonts w:hint="eastAsia"/>
          <w:sz w:val="30"/>
          <w:szCs w:val="30"/>
        </w:rPr>
      </w:pPr>
      <w:r>
        <w:rPr>
          <w:rFonts w:hint="eastAsia"/>
          <w:sz w:val="30"/>
          <w:szCs w:val="30"/>
        </w:rPr>
        <w:t>Such is the case with Obadiah, in whose great Kingdom prophecy we find Edom and “all the nations” drinking down God’s judgment in the Day of the LORD.</w:t>
      </w:r>
    </w:p>
    <w:p w14:paraId="61D2BE53">
      <w:pPr>
        <w:pStyle w:val="9"/>
        <w:spacing w:before="11"/>
        <w:ind w:left="0"/>
        <w:jc w:val="left"/>
        <w:rPr>
          <w:rFonts w:hint="eastAsia"/>
          <w:sz w:val="30"/>
          <w:szCs w:val="30"/>
        </w:rPr>
      </w:pPr>
      <w:r>
        <w:rPr>
          <w:rFonts w:hint="eastAsia"/>
          <w:sz w:val="30"/>
          <w:szCs w:val="30"/>
        </w:rPr>
        <w:t>俄巴底亚书就是这种情况，在他伟大的国度预言中，我们发现以东和“所有列国”在耶和华的日子里喝下上帝的审判。</w:t>
      </w:r>
    </w:p>
    <w:p w14:paraId="35FE2893">
      <w:pPr>
        <w:pStyle w:val="9"/>
        <w:spacing w:before="11"/>
        <w:ind w:left="0"/>
        <w:jc w:val="left"/>
        <w:rPr>
          <w:rFonts w:hint="eastAsia"/>
          <w:sz w:val="30"/>
          <w:szCs w:val="30"/>
        </w:rPr>
      </w:pPr>
    </w:p>
    <w:p w14:paraId="007450D5">
      <w:pPr>
        <w:pStyle w:val="9"/>
        <w:spacing w:before="11"/>
        <w:ind w:left="0"/>
        <w:jc w:val="left"/>
        <w:rPr>
          <w:rFonts w:hint="eastAsia"/>
          <w:sz w:val="30"/>
          <w:szCs w:val="30"/>
        </w:rPr>
      </w:pPr>
      <w:r>
        <w:rPr>
          <w:rFonts w:hint="eastAsia"/>
          <w:sz w:val="30"/>
          <w:szCs w:val="30"/>
        </w:rPr>
        <w:t>Jacob, on the other hand, enjoys deliverance on Mount Zion, and goes on to “possess his possessions”— including the territory of his defeated foes—in the eternal Kingdom (vv. 15- 21).</w:t>
      </w:r>
    </w:p>
    <w:p w14:paraId="11594B28">
      <w:pPr>
        <w:pStyle w:val="9"/>
        <w:spacing w:before="11"/>
        <w:ind w:left="0"/>
        <w:jc w:val="left"/>
        <w:rPr>
          <w:rFonts w:hint="eastAsia"/>
          <w:sz w:val="30"/>
          <w:szCs w:val="30"/>
        </w:rPr>
      </w:pPr>
      <w:r>
        <w:rPr>
          <w:rFonts w:hint="eastAsia"/>
          <w:sz w:val="30"/>
          <w:szCs w:val="30"/>
        </w:rPr>
        <w:t>另一方面，雅各在锡安山享受拯救，并继续在永恒的国度中“得他所当得的产业”——包括他被击败的仇敌的领土（15-21节）。</w:t>
      </w:r>
    </w:p>
    <w:p w14:paraId="0BB8F159">
      <w:pPr>
        <w:pStyle w:val="9"/>
        <w:spacing w:before="11"/>
        <w:ind w:left="0"/>
        <w:jc w:val="left"/>
        <w:rPr>
          <w:rFonts w:hint="eastAsia"/>
          <w:sz w:val="30"/>
          <w:szCs w:val="30"/>
        </w:rPr>
      </w:pPr>
    </w:p>
    <w:p w14:paraId="231E5C9D">
      <w:pPr>
        <w:pStyle w:val="9"/>
        <w:spacing w:before="11"/>
        <w:ind w:left="0"/>
        <w:jc w:val="left"/>
        <w:rPr>
          <w:rFonts w:hint="eastAsia"/>
          <w:sz w:val="30"/>
          <w:szCs w:val="30"/>
        </w:rPr>
      </w:pPr>
      <w:r>
        <w:rPr>
          <w:rFonts w:hint="eastAsia"/>
          <w:sz w:val="30"/>
          <w:szCs w:val="30"/>
        </w:rPr>
        <w:t>The situation is much the same in Joel’s final Kingdom prophecy, where we learn that in the end all nations will gather themselves against a fully restored Israel.</w:t>
      </w:r>
    </w:p>
    <w:p w14:paraId="4D57B690">
      <w:pPr>
        <w:pStyle w:val="9"/>
        <w:spacing w:before="11"/>
        <w:ind w:left="0"/>
        <w:jc w:val="left"/>
        <w:rPr>
          <w:rFonts w:hint="eastAsia"/>
          <w:sz w:val="30"/>
          <w:szCs w:val="30"/>
        </w:rPr>
      </w:pPr>
      <w:r>
        <w:rPr>
          <w:rFonts w:hint="eastAsia"/>
          <w:sz w:val="30"/>
          <w:szCs w:val="30"/>
        </w:rPr>
        <w:t>在约珥最后的国度预言中，情况也大体相同，我们得知最终所有国家都将聚集起来对抗一个完全复兴的以色列。</w:t>
      </w:r>
    </w:p>
    <w:p w14:paraId="14289FDE">
      <w:pPr>
        <w:pStyle w:val="9"/>
        <w:spacing w:before="11"/>
        <w:ind w:left="0"/>
        <w:jc w:val="left"/>
        <w:rPr>
          <w:rFonts w:hint="eastAsia"/>
          <w:sz w:val="30"/>
          <w:szCs w:val="30"/>
        </w:rPr>
      </w:pPr>
    </w:p>
    <w:p w14:paraId="5C2492C6">
      <w:pPr>
        <w:pStyle w:val="9"/>
        <w:spacing w:before="11"/>
        <w:ind w:left="0"/>
        <w:jc w:val="left"/>
        <w:rPr>
          <w:rFonts w:hint="eastAsia"/>
          <w:sz w:val="30"/>
          <w:szCs w:val="30"/>
        </w:rPr>
      </w:pPr>
      <w:r>
        <w:rPr>
          <w:rFonts w:hint="eastAsia"/>
          <w:sz w:val="30"/>
          <w:szCs w:val="30"/>
        </w:rPr>
        <w:t>However, when they do, the LORD will roar from Zion and utter his voice from Jerusalem.</w:t>
      </w:r>
    </w:p>
    <w:p w14:paraId="4C792448">
      <w:pPr>
        <w:pStyle w:val="9"/>
        <w:spacing w:before="11"/>
        <w:ind w:left="0"/>
        <w:jc w:val="left"/>
        <w:rPr>
          <w:rFonts w:hint="eastAsia"/>
          <w:sz w:val="30"/>
          <w:szCs w:val="30"/>
        </w:rPr>
      </w:pPr>
      <w:r>
        <w:rPr>
          <w:rFonts w:hint="eastAsia"/>
          <w:sz w:val="30"/>
          <w:szCs w:val="30"/>
        </w:rPr>
        <w:t>然而，当他们这样做时，耶和华必从锡安吼叫，从耶路撒冷发声。</w:t>
      </w:r>
    </w:p>
    <w:p w14:paraId="75C5C0B1">
      <w:pPr>
        <w:pStyle w:val="9"/>
        <w:spacing w:before="11"/>
        <w:ind w:left="0"/>
        <w:jc w:val="left"/>
        <w:rPr>
          <w:rFonts w:hint="eastAsia"/>
          <w:sz w:val="30"/>
          <w:szCs w:val="30"/>
        </w:rPr>
      </w:pPr>
    </w:p>
    <w:p w14:paraId="1E22DF53">
      <w:pPr>
        <w:pStyle w:val="9"/>
        <w:spacing w:before="11"/>
        <w:ind w:left="0"/>
        <w:jc w:val="left"/>
        <w:rPr>
          <w:rFonts w:hint="eastAsia"/>
          <w:sz w:val="30"/>
          <w:szCs w:val="30"/>
        </w:rPr>
      </w:pPr>
      <w:r>
        <w:rPr>
          <w:rFonts w:hint="eastAsia"/>
          <w:sz w:val="30"/>
          <w:szCs w:val="30"/>
        </w:rPr>
        <w:t>In that Day, Israel’s enemies will perish in the Valley of Decision, but the LORD will be a refuge for his people.</w:t>
      </w:r>
    </w:p>
    <w:p w14:paraId="66DE8A0A">
      <w:pPr>
        <w:pStyle w:val="9"/>
        <w:spacing w:before="11"/>
        <w:ind w:left="0"/>
        <w:jc w:val="left"/>
        <w:rPr>
          <w:rFonts w:hint="eastAsia"/>
          <w:sz w:val="30"/>
          <w:szCs w:val="30"/>
        </w:rPr>
      </w:pPr>
      <w:r>
        <w:rPr>
          <w:rFonts w:hint="eastAsia"/>
          <w:sz w:val="30"/>
          <w:szCs w:val="30"/>
        </w:rPr>
        <w:t>在那日，以色列的仇敌将在断定谷中灭亡，但耶和华将作祂子民的避难所。</w:t>
      </w:r>
    </w:p>
    <w:p w14:paraId="2A9F0956">
      <w:pPr>
        <w:pStyle w:val="9"/>
        <w:spacing w:before="11"/>
        <w:ind w:left="0"/>
        <w:jc w:val="left"/>
        <w:rPr>
          <w:rFonts w:hint="eastAsia"/>
          <w:sz w:val="30"/>
          <w:szCs w:val="30"/>
        </w:rPr>
      </w:pPr>
    </w:p>
    <w:p w14:paraId="1FE558DA">
      <w:pPr>
        <w:pStyle w:val="9"/>
        <w:spacing w:before="11"/>
        <w:ind w:left="0"/>
        <w:jc w:val="left"/>
        <w:rPr>
          <w:rFonts w:hint="eastAsia"/>
          <w:sz w:val="30"/>
          <w:szCs w:val="30"/>
        </w:rPr>
      </w:pPr>
      <w:r>
        <w:rPr>
          <w:rFonts w:hint="eastAsia"/>
          <w:sz w:val="30"/>
          <w:szCs w:val="30"/>
        </w:rPr>
        <w:t>And thereafter, Egypt and Edom will be a perpetual waste; whereas Judah and Jerusalem will abide forever in a land of Edenic peace and bounty, a land where the mountains drip with sweet wine and the hills flow with milk (Joel 3:9-21; cf. Zech. 12:1-9).</w:t>
      </w:r>
    </w:p>
    <w:p w14:paraId="05F2805B">
      <w:pPr>
        <w:pStyle w:val="9"/>
        <w:spacing w:before="11"/>
        <w:ind w:left="0"/>
        <w:jc w:val="left"/>
        <w:rPr>
          <w:rFonts w:hint="eastAsia"/>
          <w:sz w:val="30"/>
          <w:szCs w:val="30"/>
        </w:rPr>
      </w:pPr>
      <w:r>
        <w:rPr>
          <w:rFonts w:hint="eastAsia"/>
          <w:sz w:val="30"/>
          <w:szCs w:val="30"/>
        </w:rPr>
        <w:t>此后，埃及和以东将永远荒凉；而犹大和耶路撒冷将永远居住在一片充满伊甸园般和平与丰饶的土地上，那里的山要滴下甜酒，小山要流出奶（约珥书 3:9-21；参看 撒迦利亚书 12:1-9）。</w:t>
      </w:r>
    </w:p>
    <w:p w14:paraId="19E5BB7C">
      <w:pPr>
        <w:pStyle w:val="9"/>
        <w:spacing w:before="11"/>
        <w:ind w:left="0"/>
        <w:jc w:val="left"/>
        <w:rPr>
          <w:rFonts w:hint="eastAsia"/>
          <w:sz w:val="30"/>
          <w:szCs w:val="30"/>
        </w:rPr>
      </w:pPr>
    </w:p>
    <w:p w14:paraId="21F59AF5">
      <w:pPr>
        <w:pStyle w:val="9"/>
        <w:spacing w:before="11"/>
        <w:ind w:left="0"/>
        <w:jc w:val="left"/>
        <w:rPr>
          <w:rFonts w:hint="eastAsia"/>
          <w:sz w:val="30"/>
          <w:szCs w:val="30"/>
        </w:rPr>
      </w:pPr>
      <w:r>
        <w:rPr>
          <w:rFonts w:hint="eastAsia"/>
          <w:sz w:val="30"/>
          <w:szCs w:val="30"/>
        </w:rPr>
        <w:t>What are we to make of these things?</w:t>
      </w:r>
    </w:p>
    <w:p w14:paraId="24DFBF8E">
      <w:pPr>
        <w:pStyle w:val="9"/>
        <w:spacing w:before="11"/>
        <w:ind w:left="0"/>
        <w:jc w:val="left"/>
        <w:rPr>
          <w:rFonts w:hint="eastAsia"/>
          <w:sz w:val="30"/>
          <w:szCs w:val="30"/>
        </w:rPr>
      </w:pPr>
      <w:r>
        <w:rPr>
          <w:rFonts w:hint="eastAsia"/>
          <w:sz w:val="30"/>
          <w:szCs w:val="30"/>
        </w:rPr>
        <w:t>我们该如何理解这些事呢？</w:t>
      </w:r>
    </w:p>
    <w:p w14:paraId="695CBADD">
      <w:pPr>
        <w:pStyle w:val="9"/>
        <w:spacing w:before="11"/>
        <w:ind w:left="0"/>
        <w:jc w:val="left"/>
        <w:rPr>
          <w:rFonts w:hint="eastAsia"/>
          <w:sz w:val="30"/>
          <w:szCs w:val="30"/>
        </w:rPr>
      </w:pPr>
    </w:p>
    <w:p w14:paraId="591A1CF1">
      <w:pPr>
        <w:pStyle w:val="9"/>
        <w:spacing w:before="11"/>
        <w:ind w:left="0"/>
        <w:jc w:val="left"/>
        <w:rPr>
          <w:rFonts w:hint="eastAsia"/>
          <w:sz w:val="30"/>
          <w:szCs w:val="30"/>
        </w:rPr>
      </w:pPr>
      <w:r>
        <w:rPr>
          <w:rFonts w:hint="eastAsia"/>
          <w:sz w:val="30"/>
          <w:szCs w:val="30"/>
        </w:rPr>
        <w:t>How shall we reconcile these competing pictures of Israel’s relation to the Gentiles?</w:t>
      </w:r>
    </w:p>
    <w:p w14:paraId="01C7E15C">
      <w:pPr>
        <w:pStyle w:val="9"/>
        <w:spacing w:before="11"/>
        <w:ind w:left="0"/>
        <w:jc w:val="left"/>
        <w:rPr>
          <w:rFonts w:hint="eastAsia"/>
          <w:sz w:val="30"/>
          <w:szCs w:val="30"/>
        </w:rPr>
      </w:pPr>
      <w:r>
        <w:rPr>
          <w:rFonts w:hint="eastAsia"/>
          <w:sz w:val="30"/>
          <w:szCs w:val="30"/>
        </w:rPr>
        <w:t>我们该如何调和这些关于以色列与外邦人关系的相互竞争的图景呢？</w:t>
      </w:r>
    </w:p>
    <w:p w14:paraId="747FE83A">
      <w:pPr>
        <w:pStyle w:val="9"/>
        <w:spacing w:before="11"/>
        <w:ind w:left="0"/>
        <w:jc w:val="left"/>
        <w:rPr>
          <w:rFonts w:hint="eastAsia"/>
          <w:sz w:val="30"/>
          <w:szCs w:val="30"/>
        </w:rPr>
      </w:pPr>
    </w:p>
    <w:p w14:paraId="5014A564">
      <w:pPr>
        <w:pStyle w:val="9"/>
        <w:spacing w:before="11"/>
        <w:ind w:left="0"/>
        <w:jc w:val="left"/>
        <w:rPr>
          <w:rFonts w:hint="eastAsia"/>
          <w:sz w:val="30"/>
          <w:szCs w:val="30"/>
        </w:rPr>
      </w:pPr>
      <w:r>
        <w:rPr>
          <w:rFonts w:hint="eastAsia"/>
          <w:sz w:val="30"/>
          <w:szCs w:val="30"/>
        </w:rPr>
        <w:t>As we have seen, the premillennial solution is no solution at all, since in each of these three portraits the situation envisioned is fully eschatological; it is ultimate and eternal.</w:t>
      </w:r>
    </w:p>
    <w:p w14:paraId="62150AB3">
      <w:pPr>
        <w:pStyle w:val="9"/>
        <w:spacing w:before="11"/>
        <w:ind w:left="0"/>
        <w:jc w:val="left"/>
        <w:rPr>
          <w:rFonts w:hint="eastAsia"/>
          <w:sz w:val="30"/>
          <w:szCs w:val="30"/>
        </w:rPr>
      </w:pPr>
      <w:r>
        <w:rPr>
          <w:rFonts w:hint="eastAsia"/>
          <w:sz w:val="30"/>
          <w:szCs w:val="30"/>
        </w:rPr>
        <w:t>正如我们所见，前千禧年派的解决方案根本不是解决方案，因为在这三种描绘中，所设想的情景都是完全末世性的；它是最终的和永恒的。</w:t>
      </w:r>
    </w:p>
    <w:p w14:paraId="31AD4E49">
      <w:pPr>
        <w:pStyle w:val="9"/>
        <w:spacing w:before="11"/>
        <w:ind w:left="0"/>
        <w:jc w:val="left"/>
        <w:rPr>
          <w:rFonts w:hint="eastAsia"/>
          <w:sz w:val="30"/>
          <w:szCs w:val="30"/>
        </w:rPr>
      </w:pPr>
    </w:p>
    <w:p w14:paraId="7062F5C7">
      <w:pPr>
        <w:pStyle w:val="9"/>
        <w:spacing w:before="11"/>
        <w:ind w:left="0"/>
        <w:jc w:val="left"/>
        <w:rPr>
          <w:rFonts w:hint="eastAsia"/>
          <w:sz w:val="30"/>
          <w:szCs w:val="30"/>
        </w:rPr>
      </w:pPr>
      <w:r>
        <w:rPr>
          <w:rFonts w:hint="eastAsia"/>
          <w:sz w:val="30"/>
          <w:szCs w:val="30"/>
        </w:rPr>
        <w:t>There is, however, a way of escape.</w:t>
      </w:r>
    </w:p>
    <w:p w14:paraId="5CAEE5D5">
      <w:pPr>
        <w:pStyle w:val="9"/>
        <w:spacing w:before="11"/>
        <w:ind w:left="0"/>
        <w:jc w:val="left"/>
        <w:rPr>
          <w:rFonts w:hint="eastAsia"/>
          <w:sz w:val="30"/>
          <w:szCs w:val="30"/>
        </w:rPr>
      </w:pPr>
      <w:r>
        <w:rPr>
          <w:rFonts w:hint="eastAsia"/>
          <w:sz w:val="30"/>
          <w:szCs w:val="30"/>
        </w:rPr>
        <w:t>然而，有一条出路。</w:t>
      </w:r>
    </w:p>
    <w:p w14:paraId="14314F32">
      <w:pPr>
        <w:pStyle w:val="9"/>
        <w:spacing w:before="11"/>
        <w:ind w:left="0"/>
        <w:jc w:val="left"/>
        <w:rPr>
          <w:rFonts w:hint="eastAsia"/>
          <w:sz w:val="30"/>
          <w:szCs w:val="30"/>
        </w:rPr>
      </w:pPr>
    </w:p>
    <w:p w14:paraId="7C83AEB7">
      <w:pPr>
        <w:pStyle w:val="9"/>
        <w:spacing w:before="11"/>
        <w:ind w:left="0"/>
        <w:jc w:val="left"/>
        <w:rPr>
          <w:rFonts w:hint="eastAsia"/>
          <w:sz w:val="30"/>
          <w:szCs w:val="30"/>
        </w:rPr>
      </w:pPr>
      <w:r>
        <w:rPr>
          <w:rFonts w:hint="eastAsia"/>
          <w:sz w:val="30"/>
          <w:szCs w:val="30"/>
        </w:rPr>
        <w:t>What if we did not read the prophecies literally?</w:t>
      </w:r>
    </w:p>
    <w:p w14:paraId="5553BA41">
      <w:pPr>
        <w:pStyle w:val="9"/>
        <w:spacing w:before="11"/>
        <w:ind w:left="0"/>
        <w:jc w:val="left"/>
        <w:rPr>
          <w:rFonts w:hint="eastAsia"/>
          <w:sz w:val="30"/>
          <w:szCs w:val="30"/>
        </w:rPr>
      </w:pPr>
      <w:r>
        <w:rPr>
          <w:rFonts w:hint="eastAsia"/>
          <w:sz w:val="30"/>
          <w:szCs w:val="30"/>
        </w:rPr>
        <w:t>如果我们不按字面意思来解读这些预言会怎样？</w:t>
      </w:r>
    </w:p>
    <w:p w14:paraId="1C0B1571">
      <w:pPr>
        <w:pStyle w:val="9"/>
        <w:spacing w:before="11"/>
        <w:ind w:left="0"/>
        <w:jc w:val="left"/>
        <w:rPr>
          <w:rFonts w:hint="eastAsia"/>
          <w:sz w:val="30"/>
          <w:szCs w:val="30"/>
        </w:rPr>
      </w:pPr>
    </w:p>
    <w:p w14:paraId="5E352A07">
      <w:pPr>
        <w:pStyle w:val="9"/>
        <w:spacing w:before="11"/>
        <w:ind w:left="0"/>
        <w:jc w:val="left"/>
        <w:rPr>
          <w:rFonts w:hint="eastAsia"/>
          <w:sz w:val="30"/>
          <w:szCs w:val="30"/>
        </w:rPr>
      </w:pPr>
      <w:r>
        <w:rPr>
          <w:rFonts w:hint="eastAsia"/>
          <w:sz w:val="30"/>
          <w:szCs w:val="30"/>
        </w:rPr>
        <w:t>What if we did not read them as prerecorded history?</w:t>
      </w:r>
    </w:p>
    <w:p w14:paraId="7999B2AB">
      <w:pPr>
        <w:pStyle w:val="9"/>
        <w:spacing w:before="11"/>
        <w:ind w:left="0"/>
        <w:jc w:val="left"/>
        <w:rPr>
          <w:rFonts w:hint="eastAsia"/>
          <w:sz w:val="30"/>
          <w:szCs w:val="30"/>
        </w:rPr>
      </w:pPr>
      <w:r>
        <w:rPr>
          <w:rFonts w:hint="eastAsia"/>
          <w:sz w:val="30"/>
          <w:szCs w:val="30"/>
        </w:rPr>
        <w:t>如果我们不把它们当作预先记录的历史来读会怎样？</w:t>
      </w:r>
    </w:p>
    <w:p w14:paraId="0343B4D8">
      <w:pPr>
        <w:pStyle w:val="9"/>
        <w:spacing w:before="11"/>
        <w:ind w:left="0"/>
        <w:jc w:val="left"/>
        <w:rPr>
          <w:rFonts w:hint="eastAsia"/>
          <w:sz w:val="30"/>
          <w:szCs w:val="30"/>
        </w:rPr>
      </w:pPr>
    </w:p>
    <w:p w14:paraId="7E6973A9">
      <w:pPr>
        <w:pStyle w:val="9"/>
        <w:spacing w:before="11"/>
        <w:ind w:left="0"/>
        <w:jc w:val="left"/>
        <w:rPr>
          <w:rFonts w:hint="eastAsia"/>
          <w:sz w:val="30"/>
          <w:szCs w:val="30"/>
        </w:rPr>
      </w:pPr>
      <w:r>
        <w:rPr>
          <w:rFonts w:hint="eastAsia"/>
          <w:sz w:val="30"/>
          <w:szCs w:val="30"/>
        </w:rPr>
        <w:t>What if we read them as prophetic “snapshots” of the twofold Kingdom of Christ?</w:t>
      </w:r>
    </w:p>
    <w:p w14:paraId="13D35F8A">
      <w:pPr>
        <w:pStyle w:val="9"/>
        <w:spacing w:before="11"/>
        <w:ind w:left="0"/>
        <w:jc w:val="left"/>
        <w:rPr>
          <w:rFonts w:hint="eastAsia"/>
          <w:sz w:val="30"/>
          <w:szCs w:val="30"/>
        </w:rPr>
      </w:pPr>
      <w:r>
        <w:rPr>
          <w:rFonts w:hint="eastAsia"/>
          <w:sz w:val="30"/>
          <w:szCs w:val="30"/>
        </w:rPr>
        <w:t>如果我们把它们读作基督双重国度的预言性“快照”会怎样？</w:t>
      </w:r>
    </w:p>
    <w:p w14:paraId="688ACD37">
      <w:pPr>
        <w:pStyle w:val="9"/>
        <w:spacing w:before="11"/>
        <w:ind w:left="0"/>
        <w:jc w:val="left"/>
        <w:rPr>
          <w:rFonts w:hint="eastAsia"/>
          <w:sz w:val="30"/>
          <w:szCs w:val="30"/>
        </w:rPr>
      </w:pPr>
    </w:p>
    <w:p w14:paraId="778EC1BF">
      <w:pPr>
        <w:pStyle w:val="9"/>
        <w:spacing w:before="11"/>
        <w:ind w:left="0"/>
        <w:jc w:val="left"/>
        <w:rPr>
          <w:rFonts w:hint="eastAsia"/>
          <w:sz w:val="30"/>
          <w:szCs w:val="30"/>
        </w:rPr>
      </w:pPr>
      <w:r>
        <w:rPr>
          <w:rFonts w:hint="eastAsia"/>
          <w:sz w:val="30"/>
          <w:szCs w:val="30"/>
        </w:rPr>
        <w:t>In that case, it would be fairly easy to see the different meanings intended by the prophetic Spirit, and thereby to resolve the apparent contradictions.</w:t>
      </w:r>
    </w:p>
    <w:p w14:paraId="412273AC">
      <w:pPr>
        <w:pStyle w:val="9"/>
        <w:spacing w:before="11"/>
        <w:ind w:left="0"/>
        <w:jc w:val="left"/>
        <w:rPr>
          <w:rFonts w:hint="eastAsia"/>
          <w:sz w:val="30"/>
          <w:szCs w:val="30"/>
        </w:rPr>
      </w:pPr>
      <w:r>
        <w:rPr>
          <w:rFonts w:hint="eastAsia"/>
          <w:sz w:val="30"/>
          <w:szCs w:val="30"/>
        </w:rPr>
        <w:t>那样的话，就相当容易看出预言之灵所意指的不同含义，从而解决这些明显的矛盾。</w:t>
      </w:r>
    </w:p>
    <w:p w14:paraId="10CE8DDA">
      <w:pPr>
        <w:pStyle w:val="9"/>
        <w:spacing w:before="11"/>
        <w:ind w:left="0"/>
        <w:jc w:val="left"/>
        <w:rPr>
          <w:rFonts w:hint="eastAsia"/>
          <w:sz w:val="30"/>
          <w:szCs w:val="30"/>
        </w:rPr>
      </w:pPr>
    </w:p>
    <w:p w14:paraId="3D8DD3E3">
      <w:pPr>
        <w:pStyle w:val="9"/>
        <w:spacing w:before="11"/>
        <w:ind w:left="0"/>
        <w:jc w:val="left"/>
        <w:rPr>
          <w:rFonts w:hint="eastAsia"/>
          <w:sz w:val="30"/>
          <w:szCs w:val="30"/>
        </w:rPr>
      </w:pPr>
      <w:r>
        <w:rPr>
          <w:rFonts w:hint="eastAsia"/>
          <w:sz w:val="30"/>
          <w:szCs w:val="30"/>
        </w:rPr>
        <w:t>For example, OTKP’s that depict the Kingdom globally—i.e., under the imagery of Jew and Gentile united in a common, worldwide faith in the LORD—would be understood to picture the universality of the New (and Eternal) Covenant; the inclusion of formerly alienated Gentiles in “the commonwealth of Israel” and “the blessing of Abraham,” all through the redemptive work of Christ (Gal. 3:14, Eph. 2:11-13).</w:t>
      </w:r>
    </w:p>
    <w:p w14:paraId="623F6FD1">
      <w:pPr>
        <w:pStyle w:val="9"/>
        <w:spacing w:before="11"/>
        <w:ind w:left="0"/>
        <w:jc w:val="left"/>
        <w:rPr>
          <w:rFonts w:hint="eastAsia"/>
          <w:sz w:val="30"/>
          <w:szCs w:val="30"/>
        </w:rPr>
      </w:pPr>
      <w:r>
        <w:rPr>
          <w:rFonts w:hint="eastAsia"/>
          <w:sz w:val="30"/>
          <w:szCs w:val="30"/>
        </w:rPr>
        <w:t>例如，那些在全球范围内描绘国度的旧约国度预言（OTKP）——即，在犹太人和外邦人因对耶和华共同的、世界性的信仰而联合的意象下——将被理解为描绘新（且永恒）圣约的普世性；即曾经疏远的外邦人被纳入“以色列国民”和“亚伯拉罕的福”中，这一切都通过基督的救赎之工实现（加拉太书 3:14，以弗所书 2:11-13）。</w:t>
      </w:r>
    </w:p>
    <w:p w14:paraId="6E6C41C3">
      <w:pPr>
        <w:pStyle w:val="9"/>
        <w:spacing w:before="11"/>
        <w:ind w:left="0"/>
        <w:jc w:val="left"/>
        <w:rPr>
          <w:rFonts w:hint="eastAsia"/>
          <w:sz w:val="30"/>
          <w:szCs w:val="30"/>
        </w:rPr>
      </w:pPr>
    </w:p>
    <w:p w14:paraId="04445317">
      <w:pPr>
        <w:pStyle w:val="9"/>
        <w:spacing w:before="11"/>
        <w:ind w:left="0"/>
        <w:jc w:val="left"/>
        <w:rPr>
          <w:rFonts w:hint="eastAsia"/>
          <w:sz w:val="30"/>
          <w:szCs w:val="30"/>
        </w:rPr>
      </w:pPr>
      <w:r>
        <w:rPr>
          <w:rFonts w:hint="eastAsia"/>
          <w:sz w:val="30"/>
          <w:szCs w:val="30"/>
        </w:rPr>
        <w:t>On the other hand, OTKP’s that depict the Kingdom ethnically or nationalistically—i.e., under the imagery of Israel dwelling alone in the land, triumphant over all her foes—could be said to picture the people (or parties) of the New Covenant: Christ’s Church, “the Israel of God” (Gal. 6:16), “the holy nation” (1 Peter 2:9), and “the one new man” comprised both of Jew and Gentile (Eph. 2:15), all living with God forever in the “land,” whether in the Zion (and Jerusalem) above (Gal. 4:26, Heb. 12:22), or, after Christ’s return, the new heavens and the new earth.</w:t>
      </w:r>
    </w:p>
    <w:p w14:paraId="3256B57B">
      <w:pPr>
        <w:pStyle w:val="9"/>
        <w:spacing w:before="11"/>
        <w:ind w:left="0"/>
        <w:jc w:val="left"/>
        <w:rPr>
          <w:rFonts w:hint="eastAsia"/>
          <w:sz w:val="30"/>
          <w:szCs w:val="30"/>
        </w:rPr>
      </w:pPr>
      <w:r>
        <w:rPr>
          <w:rFonts w:hint="eastAsia"/>
          <w:sz w:val="30"/>
          <w:szCs w:val="30"/>
        </w:rPr>
        <w:t>另一方面，那些在民族或国家层面上描绘国度的旧约国度预言（OTKP）——即，在以色列独自居住在那片土地上，战胜所有仇敌的意象下——可以说是在描绘新约的子民（或群体）：基督的教会，“上帝的以色列”（加拉太书 6:16），“圣洁的国度”（彼得前书 2:9），以及由犹太人和外邦人组成的“一个新人”（以弗所书 2:15），他们都永远与上帝同住在“那地”，无论是在天上的锡安（和耶路撒冷）（加拉太书 4:26，希伯来书 12:22），或是在基督再来之后的新天新地。</w:t>
      </w:r>
    </w:p>
    <w:p w14:paraId="73E425EC">
      <w:pPr>
        <w:pStyle w:val="9"/>
        <w:spacing w:before="11"/>
        <w:ind w:left="0"/>
        <w:jc w:val="left"/>
        <w:rPr>
          <w:rFonts w:hint="eastAsia"/>
          <w:sz w:val="30"/>
          <w:szCs w:val="30"/>
        </w:rPr>
      </w:pPr>
    </w:p>
    <w:p w14:paraId="0F0E43C2">
      <w:pPr>
        <w:pStyle w:val="9"/>
        <w:spacing w:before="11"/>
        <w:ind w:left="0"/>
        <w:jc w:val="left"/>
        <w:rPr>
          <w:rFonts w:hint="eastAsia"/>
          <w:sz w:val="30"/>
          <w:szCs w:val="30"/>
        </w:rPr>
      </w:pPr>
      <w:r>
        <w:rPr>
          <w:rFonts w:hint="eastAsia"/>
          <w:sz w:val="30"/>
          <w:szCs w:val="30"/>
        </w:rPr>
        <w:t>Such an approach rescues us from the maddening task of trying to arrange and harmonize the disparate events described in these OTKP’s.</w:t>
      </w:r>
    </w:p>
    <w:p w14:paraId="1354A075">
      <w:pPr>
        <w:pStyle w:val="9"/>
        <w:spacing w:before="11"/>
        <w:ind w:left="0"/>
        <w:jc w:val="left"/>
        <w:rPr>
          <w:rFonts w:hint="eastAsia"/>
          <w:sz w:val="30"/>
          <w:szCs w:val="30"/>
        </w:rPr>
      </w:pPr>
      <w:r>
        <w:rPr>
          <w:rFonts w:hint="eastAsia"/>
          <w:sz w:val="30"/>
          <w:szCs w:val="30"/>
        </w:rPr>
        <w:t>这样的方法将我们从试图安排和协调这些旧约国度预言（OTKP）中所描述的零散事件这一令人发疯的任务中解救出来。</w:t>
      </w:r>
    </w:p>
    <w:p w14:paraId="407B7356">
      <w:pPr>
        <w:pStyle w:val="9"/>
        <w:spacing w:before="11"/>
        <w:ind w:left="0"/>
        <w:jc w:val="left"/>
        <w:rPr>
          <w:rFonts w:hint="eastAsia"/>
          <w:sz w:val="30"/>
          <w:szCs w:val="30"/>
        </w:rPr>
      </w:pPr>
    </w:p>
    <w:p w14:paraId="10D34764">
      <w:pPr>
        <w:pStyle w:val="9"/>
        <w:spacing w:before="11"/>
        <w:ind w:left="0"/>
        <w:jc w:val="left"/>
        <w:rPr>
          <w:rFonts w:hint="eastAsia"/>
          <w:sz w:val="30"/>
          <w:szCs w:val="30"/>
        </w:rPr>
      </w:pPr>
      <w:r>
        <w:rPr>
          <w:rFonts w:hint="eastAsia"/>
          <w:sz w:val="30"/>
          <w:szCs w:val="30"/>
        </w:rPr>
        <w:t>Moreover, since their sphere of fulfillment is now understood to be Christ’s Church, Christians can henceforth see themselves in all such prophecies.</w:t>
      </w:r>
    </w:p>
    <w:p w14:paraId="177E4473">
      <w:pPr>
        <w:pStyle w:val="9"/>
        <w:spacing w:before="11"/>
        <w:ind w:left="0"/>
        <w:jc w:val="left"/>
        <w:rPr>
          <w:rFonts w:hint="eastAsia"/>
          <w:sz w:val="30"/>
          <w:szCs w:val="30"/>
        </w:rPr>
      </w:pPr>
      <w:r>
        <w:rPr>
          <w:rFonts w:hint="eastAsia"/>
          <w:sz w:val="30"/>
          <w:szCs w:val="30"/>
        </w:rPr>
        <w:t>此外，既然它们的应验范畴现在被理解为基督的教会，基督徒从此便可以在所有这些预言中看到自己。</w:t>
      </w:r>
    </w:p>
    <w:p w14:paraId="02CA63A1">
      <w:pPr>
        <w:pStyle w:val="9"/>
        <w:spacing w:before="11"/>
        <w:ind w:left="0"/>
        <w:jc w:val="left"/>
        <w:rPr>
          <w:rFonts w:hint="eastAsia"/>
          <w:sz w:val="30"/>
          <w:szCs w:val="30"/>
        </w:rPr>
      </w:pPr>
    </w:p>
    <w:p w14:paraId="0EF58BB9">
      <w:pPr>
        <w:pStyle w:val="9"/>
        <w:spacing w:before="11"/>
        <w:ind w:left="0"/>
        <w:jc w:val="left"/>
        <w:rPr>
          <w:rFonts w:hint="eastAsia"/>
          <w:sz w:val="30"/>
          <w:szCs w:val="30"/>
        </w:rPr>
      </w:pPr>
      <w:r>
        <w:rPr>
          <w:rFonts w:hint="eastAsia"/>
          <w:sz w:val="30"/>
          <w:szCs w:val="30"/>
        </w:rPr>
        <w:t>And in that they can greatly rejoice—especially if they happen to be Gentiles!</w:t>
      </w:r>
    </w:p>
    <w:p w14:paraId="30F6832A">
      <w:pPr>
        <w:pStyle w:val="9"/>
        <w:spacing w:before="11"/>
        <w:ind w:left="0"/>
        <w:jc w:val="left"/>
        <w:rPr>
          <w:rFonts w:hint="eastAsia"/>
          <w:sz w:val="30"/>
          <w:szCs w:val="30"/>
        </w:rPr>
      </w:pPr>
      <w:r>
        <w:rPr>
          <w:rFonts w:hint="eastAsia"/>
          <w:sz w:val="30"/>
          <w:szCs w:val="30"/>
        </w:rPr>
        <w:t>为此他们可以大大欢喜——特别是如果他们恰好是外邦人！</w:t>
      </w:r>
    </w:p>
    <w:p w14:paraId="591904D6">
      <w:pPr>
        <w:pStyle w:val="9"/>
        <w:spacing w:before="11"/>
        <w:ind w:left="0"/>
        <w:jc w:val="left"/>
        <w:rPr>
          <w:rFonts w:hint="eastAsia"/>
          <w:sz w:val="30"/>
          <w:szCs w:val="30"/>
        </w:rPr>
      </w:pPr>
    </w:p>
    <w:p w14:paraId="5F1006BC">
      <w:pPr>
        <w:pStyle w:val="9"/>
        <w:spacing w:before="11"/>
        <w:ind w:left="0"/>
        <w:jc w:val="left"/>
        <w:rPr>
          <w:rFonts w:hint="eastAsia"/>
          <w:sz w:val="30"/>
          <w:szCs w:val="30"/>
        </w:rPr>
      </w:pPr>
      <w:r>
        <w:rPr>
          <w:rFonts w:hint="eastAsia"/>
          <w:sz w:val="30"/>
          <w:szCs w:val="30"/>
        </w:rPr>
        <w:t>Theocracy</w:t>
      </w:r>
    </w:p>
    <w:p w14:paraId="6B0C041E">
      <w:pPr>
        <w:pStyle w:val="9"/>
        <w:spacing w:before="11"/>
        <w:ind w:left="0"/>
        <w:jc w:val="left"/>
        <w:rPr>
          <w:rFonts w:hint="eastAsia"/>
          <w:sz w:val="30"/>
          <w:szCs w:val="30"/>
        </w:rPr>
      </w:pPr>
      <w:r>
        <w:rPr>
          <w:rFonts w:hint="eastAsia"/>
          <w:sz w:val="30"/>
          <w:szCs w:val="30"/>
        </w:rPr>
        <w:t>神权政体</w:t>
      </w:r>
    </w:p>
    <w:p w14:paraId="48699D7E">
      <w:pPr>
        <w:pStyle w:val="9"/>
        <w:spacing w:before="11"/>
        <w:ind w:left="0"/>
        <w:jc w:val="left"/>
        <w:rPr>
          <w:rFonts w:hint="eastAsia"/>
          <w:sz w:val="30"/>
          <w:szCs w:val="30"/>
        </w:rPr>
      </w:pPr>
    </w:p>
    <w:p w14:paraId="2FD9EE45">
      <w:pPr>
        <w:pStyle w:val="9"/>
        <w:spacing w:before="11"/>
        <w:ind w:left="0"/>
        <w:jc w:val="left"/>
        <w:rPr>
          <w:rFonts w:hint="eastAsia"/>
          <w:sz w:val="30"/>
          <w:szCs w:val="30"/>
        </w:rPr>
      </w:pPr>
      <w:r>
        <w:rPr>
          <w:rFonts w:hint="eastAsia"/>
          <w:sz w:val="30"/>
          <w:szCs w:val="30"/>
        </w:rPr>
        <w:t>We may define a theocracy as a people or nation over which God rules, usually through human mediators such as priests, prophets, or divinely appointed kings.</w:t>
      </w:r>
    </w:p>
    <w:p w14:paraId="7DF0C019">
      <w:pPr>
        <w:pStyle w:val="9"/>
        <w:spacing w:before="11"/>
        <w:ind w:left="0"/>
        <w:jc w:val="left"/>
        <w:rPr>
          <w:rFonts w:hint="eastAsia"/>
          <w:sz w:val="30"/>
          <w:szCs w:val="30"/>
        </w:rPr>
      </w:pPr>
      <w:r>
        <w:rPr>
          <w:rFonts w:hint="eastAsia"/>
          <w:sz w:val="30"/>
          <w:szCs w:val="30"/>
        </w:rPr>
        <w:t>我们可以将神权政体定义为一个由上帝统治的民族或国家，通常通过人类中介，如祭司、先知或神所任命的君王来进行统治。</w:t>
      </w:r>
    </w:p>
    <w:p w14:paraId="73AEEE17">
      <w:pPr>
        <w:pStyle w:val="9"/>
        <w:spacing w:before="11"/>
        <w:ind w:left="0"/>
        <w:jc w:val="left"/>
        <w:rPr>
          <w:rFonts w:hint="eastAsia"/>
          <w:sz w:val="30"/>
          <w:szCs w:val="30"/>
        </w:rPr>
      </w:pPr>
    </w:p>
    <w:p w14:paraId="4B24384D">
      <w:pPr>
        <w:pStyle w:val="9"/>
        <w:spacing w:before="11"/>
        <w:ind w:left="0"/>
        <w:jc w:val="left"/>
        <w:rPr>
          <w:rFonts w:hint="eastAsia"/>
          <w:sz w:val="30"/>
          <w:szCs w:val="30"/>
        </w:rPr>
      </w:pPr>
      <w:r>
        <w:rPr>
          <w:rFonts w:hint="eastAsia"/>
          <w:sz w:val="30"/>
          <w:szCs w:val="30"/>
        </w:rPr>
        <w:t>In the pages ahead we will encounter a great many OTKP’s that represent the Kingdom in this manner: as a spiritually renovated world order over which God rules through appointed (Israelite) mediators, in accordance with the precepts of the Mosaic Law.</w:t>
      </w:r>
    </w:p>
    <w:p w14:paraId="6BDDC8FC">
      <w:pPr>
        <w:pStyle w:val="9"/>
        <w:spacing w:before="11"/>
        <w:ind w:left="0"/>
        <w:jc w:val="left"/>
        <w:rPr>
          <w:rFonts w:hint="eastAsia"/>
          <w:sz w:val="30"/>
          <w:szCs w:val="30"/>
        </w:rPr>
      </w:pPr>
      <w:r>
        <w:rPr>
          <w:rFonts w:hint="eastAsia"/>
          <w:sz w:val="30"/>
          <w:szCs w:val="30"/>
        </w:rPr>
        <w:t>在接下来的篇幅中，我们将遇到大量以这种方式呈现国度的旧约国度预言（OTKP）：即一个属灵上更新的世界秩序，上帝通过指定的（以色列）中介，依据摩西律法的训诫进行统治。</w:t>
      </w:r>
    </w:p>
    <w:p w14:paraId="6E604479">
      <w:pPr>
        <w:pStyle w:val="9"/>
        <w:spacing w:before="11"/>
        <w:ind w:left="0"/>
        <w:jc w:val="left"/>
        <w:rPr>
          <w:rFonts w:hint="eastAsia"/>
          <w:sz w:val="30"/>
          <w:szCs w:val="30"/>
        </w:rPr>
      </w:pPr>
    </w:p>
    <w:p w14:paraId="2B38AC11">
      <w:pPr>
        <w:pStyle w:val="9"/>
        <w:spacing w:before="11"/>
        <w:ind w:left="0"/>
        <w:jc w:val="left"/>
        <w:rPr>
          <w:rFonts w:hint="eastAsia"/>
          <w:sz w:val="30"/>
          <w:szCs w:val="30"/>
        </w:rPr>
      </w:pPr>
      <w:r>
        <w:rPr>
          <w:rFonts w:hint="eastAsia"/>
          <w:sz w:val="30"/>
          <w:szCs w:val="30"/>
        </w:rPr>
        <w:t>Undeniably, this notion of a global Mosaic theocracy belongs essentially to the representative OT idea of the Kingdom, and therefore figures prominently in premillennial visions of the future.</w:t>
      </w:r>
    </w:p>
    <w:p w14:paraId="48BED546">
      <w:pPr>
        <w:pStyle w:val="9"/>
        <w:spacing w:before="11"/>
        <w:ind w:left="0"/>
        <w:jc w:val="left"/>
        <w:rPr>
          <w:rFonts w:hint="eastAsia"/>
          <w:sz w:val="30"/>
          <w:szCs w:val="30"/>
        </w:rPr>
      </w:pPr>
      <w:r>
        <w:rPr>
          <w:rFonts w:hint="eastAsia"/>
          <w:sz w:val="30"/>
          <w:szCs w:val="30"/>
        </w:rPr>
        <w:t>不可否认，这种全球性摩西神权政体的概念本质上属于旧约国度的代表性观念，因此在前千禧年派的未来愿景中占据显著位置。</w:t>
      </w:r>
    </w:p>
    <w:p w14:paraId="577D7168">
      <w:pPr>
        <w:pStyle w:val="9"/>
        <w:spacing w:before="11"/>
        <w:ind w:left="0"/>
        <w:jc w:val="left"/>
        <w:rPr>
          <w:rFonts w:hint="eastAsia"/>
          <w:sz w:val="30"/>
          <w:szCs w:val="30"/>
        </w:rPr>
      </w:pPr>
    </w:p>
    <w:p w14:paraId="03357468">
      <w:pPr>
        <w:pStyle w:val="9"/>
        <w:spacing w:before="11"/>
        <w:ind w:left="0"/>
        <w:jc w:val="left"/>
        <w:rPr>
          <w:rFonts w:hint="eastAsia"/>
          <w:sz w:val="30"/>
          <w:szCs w:val="30"/>
        </w:rPr>
      </w:pPr>
      <w:r>
        <w:rPr>
          <w:rFonts w:hint="eastAsia"/>
          <w:sz w:val="30"/>
          <w:szCs w:val="30"/>
        </w:rPr>
        <w:t>Nevertheless, we have just seen that quite a number of OTKP’s do not foresee a global theocracy, but instead depict eschatological Israel dwelling by herself with God and her Messianic King in a spiritually and physically renewed homeland.</w:t>
      </w:r>
    </w:p>
    <w:p w14:paraId="27D3490D">
      <w:pPr>
        <w:pStyle w:val="9"/>
        <w:spacing w:before="11"/>
        <w:ind w:left="0"/>
        <w:jc w:val="left"/>
        <w:rPr>
          <w:rFonts w:hint="eastAsia"/>
          <w:sz w:val="30"/>
          <w:szCs w:val="30"/>
        </w:rPr>
      </w:pPr>
      <w:r>
        <w:rPr>
          <w:rFonts w:hint="eastAsia"/>
          <w:sz w:val="30"/>
          <w:szCs w:val="30"/>
        </w:rPr>
        <w:t>然而，我们刚刚看到，相当多的旧约国度预言（OTKP）并未预见一个全球性的神权政体，而是描绘了末世的以色列独自与上帝和她的弥赛亚君王，在一个属灵上和物质上都更新了的家园中同住。</w:t>
      </w:r>
    </w:p>
    <w:p w14:paraId="65D6F9A0">
      <w:pPr>
        <w:pStyle w:val="9"/>
        <w:spacing w:before="11"/>
        <w:ind w:left="0"/>
        <w:jc w:val="left"/>
        <w:rPr>
          <w:rFonts w:hint="eastAsia"/>
          <w:sz w:val="30"/>
          <w:szCs w:val="30"/>
        </w:rPr>
      </w:pPr>
    </w:p>
    <w:p w14:paraId="5915744C">
      <w:pPr>
        <w:pStyle w:val="9"/>
        <w:spacing w:before="11"/>
        <w:ind w:left="0"/>
        <w:jc w:val="left"/>
        <w:rPr>
          <w:rFonts w:hint="eastAsia"/>
          <w:sz w:val="30"/>
          <w:szCs w:val="30"/>
        </w:rPr>
      </w:pPr>
      <w:r>
        <w:rPr>
          <w:rFonts w:hint="eastAsia"/>
          <w:sz w:val="30"/>
          <w:szCs w:val="30"/>
        </w:rPr>
        <w:t>Moreover, we shall soon see that still other OTKP’s—as well as explicit NT teachings—raise grave questions about how literally we are to interpret OT prophecies of a coming theocratic Kingdom.</w:t>
      </w:r>
    </w:p>
    <w:p w14:paraId="71F48FB3">
      <w:pPr>
        <w:pStyle w:val="9"/>
        <w:spacing w:before="11"/>
        <w:ind w:left="0"/>
        <w:jc w:val="left"/>
        <w:rPr>
          <w:rFonts w:hint="eastAsia"/>
          <w:sz w:val="30"/>
          <w:szCs w:val="30"/>
        </w:rPr>
      </w:pPr>
      <w:r>
        <w:rPr>
          <w:rFonts w:hint="eastAsia"/>
          <w:sz w:val="30"/>
          <w:szCs w:val="30"/>
        </w:rPr>
        <w:t>此外，我们很快就会看到，其他一些旧约国度预言（OTKP）——以及明确的新约教导——对我们应该如何字面地解释关于即将来临的神权政体国度的旧约预言提出了严重的问题。</w:t>
      </w:r>
    </w:p>
    <w:p w14:paraId="0A1FCA78">
      <w:pPr>
        <w:pStyle w:val="9"/>
        <w:spacing w:before="11"/>
        <w:ind w:left="0"/>
        <w:jc w:val="left"/>
        <w:rPr>
          <w:rFonts w:hint="eastAsia"/>
          <w:sz w:val="30"/>
          <w:szCs w:val="30"/>
        </w:rPr>
      </w:pPr>
    </w:p>
    <w:p w14:paraId="6CABE8D6">
      <w:pPr>
        <w:pStyle w:val="9"/>
        <w:spacing w:before="11"/>
        <w:ind w:left="0"/>
        <w:jc w:val="left"/>
        <w:rPr>
          <w:rFonts w:hint="eastAsia"/>
          <w:sz w:val="30"/>
          <w:szCs w:val="30"/>
        </w:rPr>
      </w:pPr>
      <w:r>
        <w:rPr>
          <w:rFonts w:hint="eastAsia"/>
          <w:sz w:val="30"/>
          <w:szCs w:val="30"/>
        </w:rPr>
        <w:t>Mediated by Ethnic Israel</w:t>
      </w:r>
    </w:p>
    <w:p w14:paraId="63369819">
      <w:pPr>
        <w:pStyle w:val="9"/>
        <w:spacing w:before="11"/>
        <w:ind w:left="0"/>
        <w:jc w:val="left"/>
        <w:rPr>
          <w:rFonts w:hint="eastAsia"/>
          <w:sz w:val="30"/>
          <w:szCs w:val="30"/>
        </w:rPr>
      </w:pPr>
      <w:r>
        <w:rPr>
          <w:rFonts w:hint="eastAsia"/>
          <w:sz w:val="30"/>
          <w:szCs w:val="30"/>
        </w:rPr>
        <w:t>由以色列民族作中介</w:t>
      </w:r>
    </w:p>
    <w:p w14:paraId="6145DA6E">
      <w:pPr>
        <w:pStyle w:val="9"/>
        <w:spacing w:before="11"/>
        <w:ind w:left="0"/>
        <w:jc w:val="left"/>
        <w:rPr>
          <w:rFonts w:hint="eastAsia"/>
          <w:sz w:val="30"/>
          <w:szCs w:val="30"/>
        </w:rPr>
      </w:pPr>
    </w:p>
    <w:p w14:paraId="48C3C9D0">
      <w:pPr>
        <w:pStyle w:val="9"/>
        <w:spacing w:before="11"/>
        <w:ind w:left="0"/>
        <w:jc w:val="left"/>
        <w:rPr>
          <w:rFonts w:hint="eastAsia"/>
          <w:sz w:val="30"/>
          <w:szCs w:val="30"/>
        </w:rPr>
      </w:pPr>
      <w:r>
        <w:rPr>
          <w:rFonts w:hint="eastAsia"/>
          <w:sz w:val="30"/>
          <w:szCs w:val="30"/>
        </w:rPr>
        <w:t>When God gave the Law to Israel, he also gave them a mission.</w:t>
      </w:r>
    </w:p>
    <w:p w14:paraId="45EA4D37">
      <w:pPr>
        <w:pStyle w:val="9"/>
        <w:spacing w:before="11"/>
        <w:ind w:left="0"/>
        <w:jc w:val="left"/>
        <w:rPr>
          <w:rFonts w:hint="eastAsia"/>
          <w:sz w:val="30"/>
          <w:szCs w:val="30"/>
        </w:rPr>
      </w:pPr>
      <w:r>
        <w:rPr>
          <w:rFonts w:hint="eastAsia"/>
          <w:sz w:val="30"/>
          <w:szCs w:val="30"/>
        </w:rPr>
        <w:t>当上帝将律法赐给以色列时，祂也给了他们一个使命。</w:t>
      </w:r>
    </w:p>
    <w:p w14:paraId="6FFC45F7">
      <w:pPr>
        <w:pStyle w:val="9"/>
        <w:spacing w:before="11"/>
        <w:ind w:left="0"/>
        <w:jc w:val="left"/>
        <w:rPr>
          <w:rFonts w:hint="eastAsia"/>
          <w:sz w:val="30"/>
          <w:szCs w:val="30"/>
        </w:rPr>
      </w:pPr>
    </w:p>
    <w:p w14:paraId="069F44E3">
      <w:pPr>
        <w:pStyle w:val="9"/>
        <w:spacing w:before="11"/>
        <w:ind w:left="0"/>
        <w:jc w:val="left"/>
        <w:rPr>
          <w:rFonts w:hint="eastAsia"/>
          <w:sz w:val="30"/>
          <w:szCs w:val="30"/>
        </w:rPr>
      </w:pPr>
      <w:r>
        <w:rPr>
          <w:rFonts w:hint="eastAsia"/>
          <w:sz w:val="30"/>
          <w:szCs w:val="30"/>
        </w:rPr>
        <w:t>Yes, they were a chosen nation (Deut. 7:7-8), his special treasure among (or above) all peoples (Deut. 10:15).</w:t>
      </w:r>
    </w:p>
    <w:p w14:paraId="67FA1C89">
      <w:pPr>
        <w:pStyle w:val="9"/>
        <w:spacing w:before="11"/>
        <w:ind w:left="0"/>
        <w:jc w:val="left"/>
        <w:rPr>
          <w:rFonts w:hint="eastAsia"/>
          <w:sz w:val="30"/>
          <w:szCs w:val="30"/>
        </w:rPr>
      </w:pPr>
      <w:r>
        <w:rPr>
          <w:rFonts w:hint="eastAsia"/>
          <w:sz w:val="30"/>
          <w:szCs w:val="30"/>
        </w:rPr>
        <w:t>是的，他们是一个被拣选的民族（申命记 7:7-8），是祂在万民中（或之上）的独特珍宝（申命记 10:15）。</w:t>
      </w:r>
    </w:p>
    <w:p w14:paraId="3D23B3B8">
      <w:pPr>
        <w:pStyle w:val="9"/>
        <w:spacing w:before="11"/>
        <w:ind w:left="0"/>
        <w:jc w:val="left"/>
        <w:rPr>
          <w:rFonts w:hint="eastAsia"/>
          <w:sz w:val="30"/>
          <w:szCs w:val="30"/>
        </w:rPr>
      </w:pPr>
    </w:p>
    <w:p w14:paraId="24A1126D">
      <w:pPr>
        <w:pStyle w:val="9"/>
        <w:spacing w:before="11"/>
        <w:ind w:left="0"/>
        <w:jc w:val="left"/>
        <w:rPr>
          <w:rFonts w:hint="eastAsia"/>
          <w:sz w:val="30"/>
          <w:szCs w:val="30"/>
        </w:rPr>
      </w:pPr>
      <w:r>
        <w:rPr>
          <w:rFonts w:hint="eastAsia"/>
          <w:sz w:val="30"/>
          <w:szCs w:val="30"/>
        </w:rPr>
        <w:t>But with this privilege came a responsibility: They were to be a holy nation before the face of all nations.</w:t>
      </w:r>
    </w:p>
    <w:p w14:paraId="5CCCAA36">
      <w:pPr>
        <w:pStyle w:val="9"/>
        <w:spacing w:before="11"/>
        <w:ind w:left="0"/>
        <w:jc w:val="left"/>
        <w:rPr>
          <w:rFonts w:hint="eastAsia"/>
          <w:sz w:val="30"/>
          <w:szCs w:val="30"/>
        </w:rPr>
      </w:pPr>
      <w:r>
        <w:rPr>
          <w:rFonts w:hint="eastAsia"/>
          <w:sz w:val="30"/>
          <w:szCs w:val="30"/>
        </w:rPr>
        <w:t>但伴随这份特权而来的是一份责任：他们要在万国面前成为一个圣洁的国度。</w:t>
      </w:r>
    </w:p>
    <w:p w14:paraId="75D8FD9F">
      <w:pPr>
        <w:pStyle w:val="9"/>
        <w:spacing w:before="11"/>
        <w:ind w:left="0"/>
        <w:jc w:val="left"/>
        <w:rPr>
          <w:rFonts w:hint="eastAsia"/>
          <w:sz w:val="30"/>
          <w:szCs w:val="30"/>
        </w:rPr>
      </w:pPr>
    </w:p>
    <w:p w14:paraId="6516000C">
      <w:pPr>
        <w:pStyle w:val="9"/>
        <w:spacing w:before="11"/>
        <w:ind w:left="0"/>
        <w:jc w:val="left"/>
        <w:rPr>
          <w:rFonts w:hint="eastAsia"/>
          <w:sz w:val="30"/>
          <w:szCs w:val="30"/>
        </w:rPr>
      </w:pPr>
      <w:r>
        <w:rPr>
          <w:rFonts w:hint="eastAsia"/>
          <w:sz w:val="30"/>
          <w:szCs w:val="30"/>
        </w:rPr>
        <w:t>This belonged to the very essence of the Mosaic covenant: God would give Israel his Law, Israel would obey it, God would bless Israel, the surrounding nations would see him blessing Israel, and the surrounding nations would be drawn to the LORD.</w:t>
      </w:r>
    </w:p>
    <w:p w14:paraId="0C52C704">
      <w:pPr>
        <w:pStyle w:val="9"/>
        <w:spacing w:before="11"/>
        <w:ind w:left="0"/>
        <w:jc w:val="left"/>
        <w:rPr>
          <w:rFonts w:hint="eastAsia"/>
          <w:sz w:val="30"/>
          <w:szCs w:val="30"/>
        </w:rPr>
      </w:pPr>
      <w:r>
        <w:rPr>
          <w:rFonts w:hint="eastAsia"/>
          <w:sz w:val="30"/>
          <w:szCs w:val="30"/>
        </w:rPr>
        <w:t>这属于摩西之约的精髓：上帝将把祂的律法赐给以色列，以色列将遵守它，上帝将祝福以色列，周边的列国将看到祂祝福以色列，而周边的列国将被吸引归向耶和华。</w:t>
      </w:r>
    </w:p>
    <w:p w14:paraId="5385E63D">
      <w:pPr>
        <w:pStyle w:val="9"/>
        <w:spacing w:before="11"/>
        <w:ind w:left="0"/>
        <w:jc w:val="left"/>
        <w:rPr>
          <w:rFonts w:hint="eastAsia"/>
          <w:sz w:val="30"/>
          <w:szCs w:val="30"/>
        </w:rPr>
      </w:pPr>
    </w:p>
    <w:p w14:paraId="5C39C31A">
      <w:pPr>
        <w:pStyle w:val="9"/>
        <w:spacing w:before="11"/>
        <w:ind w:left="0"/>
        <w:jc w:val="left"/>
        <w:rPr>
          <w:rFonts w:hint="eastAsia"/>
          <w:sz w:val="30"/>
          <w:szCs w:val="30"/>
        </w:rPr>
      </w:pPr>
      <w:r>
        <w:rPr>
          <w:rFonts w:hint="eastAsia"/>
          <w:sz w:val="30"/>
          <w:szCs w:val="30"/>
        </w:rPr>
        <w:t>In this matter, Moses was explicit:</w:t>
      </w:r>
    </w:p>
    <w:p w14:paraId="5F5A0FDE">
      <w:pPr>
        <w:pStyle w:val="9"/>
        <w:spacing w:before="11"/>
        <w:ind w:left="0"/>
        <w:jc w:val="left"/>
        <w:rPr>
          <w:rFonts w:hint="eastAsia"/>
          <w:sz w:val="30"/>
          <w:szCs w:val="30"/>
        </w:rPr>
      </w:pPr>
      <w:r>
        <w:rPr>
          <w:rFonts w:hint="eastAsia"/>
          <w:sz w:val="30"/>
          <w:szCs w:val="30"/>
        </w:rPr>
        <w:t>在这件事上，摩西说得很明确：</w:t>
      </w:r>
    </w:p>
    <w:p w14:paraId="3D16DF57">
      <w:pPr>
        <w:pStyle w:val="9"/>
        <w:spacing w:before="11"/>
        <w:ind w:left="0"/>
        <w:jc w:val="left"/>
        <w:rPr>
          <w:rFonts w:hint="eastAsia"/>
          <w:sz w:val="30"/>
          <w:szCs w:val="30"/>
        </w:rPr>
      </w:pPr>
    </w:p>
    <w:p w14:paraId="3D38A8A2">
      <w:pPr>
        <w:pStyle w:val="9"/>
        <w:spacing w:before="11"/>
        <w:ind w:left="0"/>
        <w:jc w:val="left"/>
        <w:rPr>
          <w:rFonts w:hint="eastAsia"/>
          <w:sz w:val="30"/>
          <w:szCs w:val="30"/>
        </w:rPr>
      </w:pPr>
      <w:r>
        <w:rPr>
          <w:rFonts w:hint="eastAsia"/>
          <w:sz w:val="30"/>
          <w:szCs w:val="30"/>
        </w:rPr>
        <w:t>So keep and practice (these statutes and judgments), for this is your wisdom and your understanding in the sight of the peoples, who will hear all these statutes and say, “Surely this great nation is a wise and understanding people!”</w:t>
      </w:r>
    </w:p>
    <w:p w14:paraId="166C2193">
      <w:pPr>
        <w:pStyle w:val="9"/>
        <w:spacing w:before="11"/>
        <w:ind w:left="0"/>
        <w:jc w:val="left"/>
        <w:rPr>
          <w:rFonts w:hint="eastAsia"/>
          <w:sz w:val="30"/>
          <w:szCs w:val="30"/>
        </w:rPr>
      </w:pPr>
      <w:r>
        <w:rPr>
          <w:rFonts w:hint="eastAsia"/>
          <w:sz w:val="30"/>
          <w:szCs w:val="30"/>
        </w:rPr>
        <w:t>所以你们要谨守遵行（这些律例典章），这就是你们在万民眼前的智慧、聪明。他们听见这一切律例，必说：“这大国的人真是有智慧，有聪明！”</w:t>
      </w:r>
    </w:p>
    <w:p w14:paraId="59D68112">
      <w:pPr>
        <w:pStyle w:val="9"/>
        <w:spacing w:before="11"/>
        <w:ind w:left="0"/>
        <w:jc w:val="left"/>
        <w:rPr>
          <w:rFonts w:hint="eastAsia"/>
          <w:sz w:val="30"/>
          <w:szCs w:val="30"/>
        </w:rPr>
      </w:pPr>
    </w:p>
    <w:p w14:paraId="283F2A7F">
      <w:pPr>
        <w:pStyle w:val="9"/>
        <w:spacing w:before="11"/>
        <w:ind w:left="0"/>
        <w:jc w:val="left"/>
        <w:rPr>
          <w:rFonts w:hint="eastAsia"/>
          <w:sz w:val="30"/>
          <w:szCs w:val="30"/>
        </w:rPr>
      </w:pPr>
      <w:r>
        <w:rPr>
          <w:rFonts w:hint="eastAsia"/>
          <w:sz w:val="30"/>
          <w:szCs w:val="30"/>
        </w:rPr>
        <w:t>—Deut. 4:6; 28:10</w:t>
      </w:r>
    </w:p>
    <w:p w14:paraId="4AC1DF82">
      <w:pPr>
        <w:pStyle w:val="9"/>
        <w:spacing w:before="11"/>
        <w:ind w:left="0"/>
        <w:jc w:val="left"/>
        <w:rPr>
          <w:rFonts w:hint="eastAsia"/>
          <w:sz w:val="30"/>
          <w:szCs w:val="30"/>
        </w:rPr>
      </w:pPr>
      <w:r>
        <w:rPr>
          <w:rFonts w:hint="eastAsia"/>
          <w:sz w:val="30"/>
          <w:szCs w:val="30"/>
        </w:rPr>
        <w:t>——申命记 4:6；28:10</w:t>
      </w:r>
    </w:p>
    <w:p w14:paraId="2204C8C0">
      <w:pPr>
        <w:pStyle w:val="9"/>
        <w:spacing w:before="11"/>
        <w:ind w:left="0"/>
        <w:jc w:val="left"/>
        <w:rPr>
          <w:rFonts w:hint="eastAsia"/>
          <w:sz w:val="30"/>
          <w:szCs w:val="30"/>
        </w:rPr>
      </w:pPr>
    </w:p>
    <w:p w14:paraId="38D33150">
      <w:pPr>
        <w:pStyle w:val="9"/>
        <w:spacing w:before="11"/>
        <w:ind w:left="0"/>
        <w:jc w:val="left"/>
        <w:rPr>
          <w:rFonts w:hint="eastAsia"/>
          <w:sz w:val="30"/>
          <w:szCs w:val="30"/>
        </w:rPr>
      </w:pPr>
      <w:r>
        <w:rPr>
          <w:rFonts w:hint="eastAsia"/>
          <w:sz w:val="30"/>
          <w:szCs w:val="30"/>
        </w:rPr>
        <w:t>Here we discover one of the central purposes of Israel’s election.</w:t>
      </w:r>
    </w:p>
    <w:p w14:paraId="0E63D4F5">
      <w:pPr>
        <w:pStyle w:val="9"/>
        <w:spacing w:before="11"/>
        <w:ind w:left="0"/>
        <w:jc w:val="left"/>
        <w:rPr>
          <w:rFonts w:hint="eastAsia"/>
          <w:sz w:val="30"/>
          <w:szCs w:val="30"/>
        </w:rPr>
      </w:pPr>
      <w:r>
        <w:rPr>
          <w:rFonts w:hint="eastAsia"/>
          <w:sz w:val="30"/>
          <w:szCs w:val="30"/>
        </w:rPr>
        <w:t>在这里，我们发现了以色列被拣选的中心目的之一。</w:t>
      </w:r>
    </w:p>
    <w:p w14:paraId="465F9BE0">
      <w:pPr>
        <w:pStyle w:val="9"/>
        <w:spacing w:before="11"/>
        <w:ind w:left="0"/>
        <w:jc w:val="left"/>
        <w:rPr>
          <w:rFonts w:hint="eastAsia"/>
          <w:sz w:val="30"/>
          <w:szCs w:val="30"/>
        </w:rPr>
      </w:pPr>
    </w:p>
    <w:p w14:paraId="348E111B">
      <w:pPr>
        <w:pStyle w:val="9"/>
        <w:spacing w:before="11"/>
        <w:ind w:left="0"/>
        <w:jc w:val="left"/>
        <w:rPr>
          <w:rFonts w:hint="eastAsia"/>
          <w:sz w:val="30"/>
          <w:szCs w:val="30"/>
        </w:rPr>
      </w:pPr>
      <w:r>
        <w:rPr>
          <w:rFonts w:hint="eastAsia"/>
          <w:sz w:val="30"/>
          <w:szCs w:val="30"/>
        </w:rPr>
        <w:t>Yes, God was eager to make Israel the head and not the tail (Deut. 28:13).</w:t>
      </w:r>
    </w:p>
    <w:p w14:paraId="5356333D">
      <w:pPr>
        <w:pStyle w:val="9"/>
        <w:spacing w:before="11"/>
        <w:ind w:left="0"/>
        <w:jc w:val="left"/>
        <w:rPr>
          <w:rFonts w:hint="eastAsia"/>
          <w:sz w:val="30"/>
          <w:szCs w:val="30"/>
        </w:rPr>
      </w:pPr>
      <w:r>
        <w:rPr>
          <w:rFonts w:hint="eastAsia"/>
          <w:sz w:val="30"/>
          <w:szCs w:val="30"/>
        </w:rPr>
        <w:t>是的，上帝渴望使以色列作首不作尾（申命记 28:13）。</w:t>
      </w:r>
    </w:p>
    <w:p w14:paraId="442E487C">
      <w:pPr>
        <w:pStyle w:val="9"/>
        <w:spacing w:before="11"/>
        <w:ind w:left="0"/>
        <w:jc w:val="left"/>
        <w:rPr>
          <w:rFonts w:hint="eastAsia"/>
          <w:sz w:val="30"/>
          <w:szCs w:val="30"/>
        </w:rPr>
      </w:pPr>
    </w:p>
    <w:p w14:paraId="48A295D8">
      <w:pPr>
        <w:pStyle w:val="9"/>
        <w:spacing w:before="11"/>
        <w:ind w:left="0"/>
        <w:jc w:val="left"/>
        <w:rPr>
          <w:rFonts w:hint="eastAsia"/>
          <w:sz w:val="30"/>
          <w:szCs w:val="30"/>
        </w:rPr>
      </w:pPr>
      <w:r>
        <w:rPr>
          <w:rFonts w:hint="eastAsia"/>
          <w:sz w:val="30"/>
          <w:szCs w:val="30"/>
        </w:rPr>
        <w:t>He was eager to set his people high above all other nations for praise, fame, and honor (Deut. 26:19).</w:t>
      </w:r>
    </w:p>
    <w:p w14:paraId="59E0A964">
      <w:pPr>
        <w:pStyle w:val="9"/>
        <w:spacing w:before="11"/>
        <w:ind w:left="0"/>
        <w:jc w:val="left"/>
        <w:rPr>
          <w:rFonts w:hint="eastAsia"/>
          <w:sz w:val="30"/>
          <w:szCs w:val="30"/>
        </w:rPr>
      </w:pPr>
      <w:r>
        <w:rPr>
          <w:rFonts w:hint="eastAsia"/>
          <w:sz w:val="30"/>
          <w:szCs w:val="30"/>
        </w:rPr>
        <w:t>祂渴望将祂的子民高举在万国之上，使他们得称赞、美名、尊荣（申命记 26:19）。</w:t>
      </w:r>
    </w:p>
    <w:p w14:paraId="11BDA7D7">
      <w:pPr>
        <w:pStyle w:val="9"/>
        <w:spacing w:before="11"/>
        <w:ind w:left="0"/>
        <w:jc w:val="left"/>
        <w:rPr>
          <w:rFonts w:hint="eastAsia"/>
          <w:sz w:val="30"/>
          <w:szCs w:val="30"/>
        </w:rPr>
      </w:pPr>
    </w:p>
    <w:p w14:paraId="30C86CF6">
      <w:pPr>
        <w:pStyle w:val="9"/>
        <w:spacing w:before="11"/>
        <w:ind w:left="0"/>
        <w:jc w:val="left"/>
        <w:rPr>
          <w:rFonts w:hint="eastAsia"/>
          <w:sz w:val="30"/>
          <w:szCs w:val="30"/>
        </w:rPr>
      </w:pPr>
      <w:r>
        <w:rPr>
          <w:rFonts w:hint="eastAsia"/>
          <w:sz w:val="30"/>
          <w:szCs w:val="30"/>
        </w:rPr>
        <w:t>Indeed, he was eager for Israel to rule over many surrounding nations (Deut. 15:6, 28:7).</w:t>
      </w:r>
    </w:p>
    <w:p w14:paraId="141A4F59">
      <w:pPr>
        <w:pStyle w:val="9"/>
        <w:spacing w:before="11"/>
        <w:ind w:left="0"/>
        <w:jc w:val="left"/>
        <w:rPr>
          <w:rFonts w:hint="eastAsia"/>
          <w:sz w:val="30"/>
          <w:szCs w:val="30"/>
        </w:rPr>
      </w:pPr>
      <w:r>
        <w:rPr>
          <w:rFonts w:hint="eastAsia"/>
          <w:sz w:val="30"/>
          <w:szCs w:val="30"/>
        </w:rPr>
        <w:t>的确，祂渴望以色列能管辖许多周边的国家（申命记 15:6, 28:7）。</w:t>
      </w:r>
    </w:p>
    <w:p w14:paraId="7878E607">
      <w:pPr>
        <w:pStyle w:val="9"/>
        <w:spacing w:before="11"/>
        <w:ind w:left="0"/>
        <w:jc w:val="left"/>
        <w:rPr>
          <w:rFonts w:hint="eastAsia"/>
          <w:sz w:val="30"/>
          <w:szCs w:val="30"/>
        </w:rPr>
      </w:pPr>
    </w:p>
    <w:p w14:paraId="24ADFED1">
      <w:pPr>
        <w:pStyle w:val="9"/>
        <w:spacing w:before="11"/>
        <w:ind w:left="0"/>
        <w:jc w:val="left"/>
        <w:rPr>
          <w:rFonts w:hint="eastAsia"/>
          <w:sz w:val="30"/>
          <w:szCs w:val="30"/>
        </w:rPr>
      </w:pPr>
      <w:r>
        <w:rPr>
          <w:rFonts w:hint="eastAsia"/>
          <w:sz w:val="30"/>
          <w:szCs w:val="30"/>
        </w:rPr>
        <w:t>But why?</w:t>
      </w:r>
    </w:p>
    <w:p w14:paraId="1149755B">
      <w:pPr>
        <w:pStyle w:val="9"/>
        <w:spacing w:before="11"/>
        <w:ind w:left="0"/>
        <w:jc w:val="left"/>
        <w:rPr>
          <w:rFonts w:hint="eastAsia"/>
          <w:sz w:val="30"/>
          <w:szCs w:val="30"/>
        </w:rPr>
      </w:pPr>
      <w:r>
        <w:rPr>
          <w:rFonts w:hint="eastAsia"/>
          <w:sz w:val="30"/>
          <w:szCs w:val="30"/>
        </w:rPr>
        <w:t>但为什么呢？</w:t>
      </w:r>
    </w:p>
    <w:p w14:paraId="73FA487C">
      <w:pPr>
        <w:pStyle w:val="9"/>
        <w:spacing w:before="11"/>
        <w:ind w:left="0"/>
        <w:jc w:val="left"/>
        <w:rPr>
          <w:rFonts w:hint="eastAsia"/>
          <w:sz w:val="30"/>
          <w:szCs w:val="30"/>
        </w:rPr>
      </w:pPr>
    </w:p>
    <w:p w14:paraId="15DC5747">
      <w:pPr>
        <w:pStyle w:val="9"/>
        <w:spacing w:before="11"/>
        <w:ind w:left="0"/>
        <w:jc w:val="left"/>
        <w:rPr>
          <w:rFonts w:hint="eastAsia"/>
          <w:sz w:val="30"/>
          <w:szCs w:val="30"/>
        </w:rPr>
      </w:pPr>
      <w:r>
        <w:rPr>
          <w:rFonts w:hint="eastAsia"/>
          <w:sz w:val="30"/>
          <w:szCs w:val="30"/>
        </w:rPr>
        <w:t>Moses has given us the answer: so that through Israel’s greatness he might provoke the nations to jealousy; so that ten men from the nations of every language might grasp the garment of a Jew, saying, “Let us go with you, for we have heard that God is with you” (Zech. 8:23).</w:t>
      </w:r>
    </w:p>
    <w:p w14:paraId="4C7185E9">
      <w:pPr>
        <w:pStyle w:val="9"/>
        <w:spacing w:before="11"/>
        <w:ind w:left="0"/>
        <w:jc w:val="left"/>
        <w:rPr>
          <w:rFonts w:hint="eastAsia"/>
          <w:sz w:val="30"/>
          <w:szCs w:val="30"/>
        </w:rPr>
      </w:pPr>
      <w:r>
        <w:rPr>
          <w:rFonts w:hint="eastAsia"/>
          <w:sz w:val="30"/>
          <w:szCs w:val="30"/>
        </w:rPr>
        <w:t>摩西给了我们答案：为要借着以色列的伟大，激动列国嫉妒；为要使十个不同语言国家的人抓住一个犹太人的衣襟，说：“我们要与你们同去，因为我们听说上帝与你们同在”（撒迦利亚书 8:23）。</w:t>
      </w:r>
    </w:p>
    <w:p w14:paraId="09055B56">
      <w:pPr>
        <w:pStyle w:val="9"/>
        <w:spacing w:before="11"/>
        <w:ind w:left="0"/>
        <w:jc w:val="left"/>
        <w:rPr>
          <w:rFonts w:hint="eastAsia"/>
          <w:sz w:val="30"/>
          <w:szCs w:val="30"/>
        </w:rPr>
      </w:pPr>
    </w:p>
    <w:p w14:paraId="3D2FA6DC">
      <w:pPr>
        <w:pStyle w:val="9"/>
        <w:spacing w:before="11"/>
        <w:ind w:left="0"/>
        <w:jc w:val="left"/>
        <w:rPr>
          <w:rFonts w:hint="eastAsia"/>
          <w:sz w:val="30"/>
          <w:szCs w:val="30"/>
        </w:rPr>
      </w:pPr>
      <w:r>
        <w:rPr>
          <w:rFonts w:hint="eastAsia"/>
          <w:sz w:val="30"/>
          <w:szCs w:val="30"/>
        </w:rPr>
        <w:t>In giving Israel his Law, God declared them to be a kingdom of priests (Exodus 19:6).</w:t>
      </w:r>
    </w:p>
    <w:p w14:paraId="164FA585">
      <w:pPr>
        <w:pStyle w:val="9"/>
        <w:spacing w:before="11"/>
        <w:ind w:left="0"/>
        <w:jc w:val="left"/>
        <w:rPr>
          <w:rFonts w:hint="eastAsia"/>
          <w:sz w:val="30"/>
          <w:szCs w:val="30"/>
        </w:rPr>
      </w:pPr>
      <w:r>
        <w:rPr>
          <w:rFonts w:hint="eastAsia"/>
          <w:sz w:val="30"/>
          <w:szCs w:val="30"/>
        </w:rPr>
        <w:t>在将祂的律法赐予以色列时，上帝宣告他们为祭司的国度（出埃及记 19:6）。</w:t>
      </w:r>
    </w:p>
    <w:p w14:paraId="64A726FC">
      <w:pPr>
        <w:pStyle w:val="9"/>
        <w:spacing w:before="11"/>
        <w:ind w:left="0"/>
        <w:jc w:val="left"/>
        <w:rPr>
          <w:rFonts w:hint="eastAsia"/>
          <w:sz w:val="30"/>
          <w:szCs w:val="30"/>
        </w:rPr>
      </w:pPr>
    </w:p>
    <w:p w14:paraId="0F019367">
      <w:pPr>
        <w:pStyle w:val="9"/>
        <w:spacing w:before="11"/>
        <w:ind w:left="0"/>
        <w:jc w:val="left"/>
        <w:rPr>
          <w:rFonts w:hint="eastAsia"/>
          <w:sz w:val="30"/>
          <w:szCs w:val="30"/>
        </w:rPr>
      </w:pPr>
      <w:r>
        <w:rPr>
          <w:rFonts w:hint="eastAsia"/>
          <w:sz w:val="30"/>
          <w:szCs w:val="30"/>
        </w:rPr>
        <w:t>Now we understand what he meant: Through their life of public worship, obedience, and blessing, Israel —God’s priestly nation—was to mediate the knowledge of God to all other nations.</w:t>
      </w:r>
    </w:p>
    <w:p w14:paraId="39897007">
      <w:pPr>
        <w:pStyle w:val="9"/>
        <w:spacing w:before="11"/>
        <w:ind w:left="0"/>
        <w:jc w:val="left"/>
        <w:rPr>
          <w:rFonts w:hint="eastAsia"/>
          <w:sz w:val="30"/>
          <w:szCs w:val="30"/>
        </w:rPr>
      </w:pPr>
      <w:r>
        <w:rPr>
          <w:rFonts w:hint="eastAsia"/>
          <w:sz w:val="30"/>
          <w:szCs w:val="30"/>
        </w:rPr>
        <w:t>现在我们明白祂的意思了：通过他们公开敬拜、顺服和蒙福的生活，以色列——上帝的祭司国度——要将关于上帝的知识传递给所有其他国家。</w:t>
      </w:r>
    </w:p>
    <w:p w14:paraId="3179C21A">
      <w:pPr>
        <w:pStyle w:val="9"/>
        <w:spacing w:before="11"/>
        <w:ind w:left="0"/>
        <w:jc w:val="left"/>
        <w:rPr>
          <w:rFonts w:hint="eastAsia"/>
          <w:sz w:val="30"/>
          <w:szCs w:val="30"/>
        </w:rPr>
      </w:pPr>
    </w:p>
    <w:p w14:paraId="19DDB007">
      <w:pPr>
        <w:pStyle w:val="9"/>
        <w:spacing w:before="11"/>
        <w:ind w:left="0"/>
        <w:jc w:val="left"/>
        <w:rPr>
          <w:rFonts w:hint="eastAsia"/>
          <w:sz w:val="30"/>
          <w:szCs w:val="30"/>
        </w:rPr>
      </w:pPr>
      <w:r>
        <w:rPr>
          <w:rFonts w:hint="eastAsia"/>
          <w:sz w:val="30"/>
          <w:szCs w:val="30"/>
        </w:rPr>
        <w:t>This premise permeates OTKP.</w:t>
      </w:r>
    </w:p>
    <w:p w14:paraId="29DD68F5">
      <w:pPr>
        <w:pStyle w:val="9"/>
        <w:spacing w:before="11"/>
        <w:ind w:left="0"/>
        <w:jc w:val="left"/>
        <w:rPr>
          <w:rFonts w:hint="eastAsia"/>
          <w:sz w:val="30"/>
          <w:szCs w:val="30"/>
        </w:rPr>
      </w:pPr>
      <w:r>
        <w:rPr>
          <w:rFonts w:hint="eastAsia"/>
          <w:sz w:val="30"/>
          <w:szCs w:val="30"/>
        </w:rPr>
        <w:t>这个前提贯穿了旧约国度预言（OTKP）。</w:t>
      </w:r>
    </w:p>
    <w:p w14:paraId="69CC210B">
      <w:pPr>
        <w:pStyle w:val="9"/>
        <w:spacing w:before="11"/>
        <w:ind w:left="0"/>
        <w:jc w:val="left"/>
        <w:rPr>
          <w:rFonts w:hint="eastAsia"/>
          <w:sz w:val="30"/>
          <w:szCs w:val="30"/>
        </w:rPr>
      </w:pPr>
    </w:p>
    <w:p w14:paraId="1D940AA8">
      <w:pPr>
        <w:pStyle w:val="9"/>
        <w:spacing w:before="11"/>
        <w:ind w:left="0"/>
        <w:jc w:val="left"/>
        <w:rPr>
          <w:rFonts w:hint="eastAsia"/>
          <w:sz w:val="30"/>
          <w:szCs w:val="30"/>
        </w:rPr>
      </w:pPr>
      <w:r>
        <w:rPr>
          <w:rFonts w:hint="eastAsia"/>
          <w:sz w:val="30"/>
          <w:szCs w:val="30"/>
        </w:rPr>
        <w:t>Yes, divided Israel has wandered into sin, fallen under judgment, and gone into exile.</w:t>
      </w:r>
    </w:p>
    <w:p w14:paraId="05FD9A35">
      <w:pPr>
        <w:pStyle w:val="9"/>
        <w:spacing w:before="11"/>
        <w:ind w:left="0"/>
        <w:jc w:val="left"/>
        <w:rPr>
          <w:rFonts w:hint="eastAsia"/>
          <w:sz w:val="30"/>
          <w:szCs w:val="30"/>
        </w:rPr>
      </w:pPr>
      <w:r>
        <w:rPr>
          <w:rFonts w:hint="eastAsia"/>
          <w:sz w:val="30"/>
          <w:szCs w:val="30"/>
        </w:rPr>
        <w:t>是的，分裂的以色列已经偏离陷入罪中，受到审判，并被掳到异地。</w:t>
      </w:r>
    </w:p>
    <w:p w14:paraId="23B435D6">
      <w:pPr>
        <w:pStyle w:val="9"/>
        <w:spacing w:before="11"/>
        <w:ind w:left="0"/>
        <w:jc w:val="left"/>
        <w:rPr>
          <w:rFonts w:hint="eastAsia"/>
          <w:sz w:val="30"/>
          <w:szCs w:val="30"/>
        </w:rPr>
      </w:pPr>
    </w:p>
    <w:p w14:paraId="287C31BB">
      <w:pPr>
        <w:pStyle w:val="9"/>
        <w:spacing w:before="11"/>
        <w:ind w:left="0"/>
        <w:jc w:val="left"/>
        <w:rPr>
          <w:rFonts w:hint="eastAsia"/>
          <w:sz w:val="30"/>
          <w:szCs w:val="30"/>
        </w:rPr>
      </w:pPr>
      <w:r>
        <w:rPr>
          <w:rFonts w:hint="eastAsia"/>
          <w:sz w:val="30"/>
          <w:szCs w:val="30"/>
        </w:rPr>
        <w:t>And yes, she has failed in her mission to the nations.</w:t>
      </w:r>
    </w:p>
    <w:p w14:paraId="5736C727">
      <w:pPr>
        <w:pStyle w:val="9"/>
        <w:spacing w:before="11"/>
        <w:ind w:left="0"/>
        <w:jc w:val="left"/>
        <w:rPr>
          <w:rFonts w:hint="eastAsia"/>
          <w:sz w:val="30"/>
          <w:szCs w:val="30"/>
        </w:rPr>
      </w:pPr>
      <w:r>
        <w:rPr>
          <w:rFonts w:hint="eastAsia"/>
          <w:sz w:val="30"/>
          <w:szCs w:val="30"/>
        </w:rPr>
        <w:t>是的，她对列国的使命失败了。</w:t>
      </w:r>
    </w:p>
    <w:p w14:paraId="4503C2DF">
      <w:pPr>
        <w:pStyle w:val="9"/>
        <w:spacing w:before="11"/>
        <w:ind w:left="0"/>
        <w:jc w:val="left"/>
        <w:rPr>
          <w:rFonts w:hint="eastAsia"/>
          <w:sz w:val="30"/>
          <w:szCs w:val="30"/>
        </w:rPr>
      </w:pPr>
    </w:p>
    <w:p w14:paraId="15FBD1CC">
      <w:pPr>
        <w:pStyle w:val="9"/>
        <w:spacing w:before="11"/>
        <w:ind w:left="0"/>
        <w:jc w:val="left"/>
        <w:rPr>
          <w:rFonts w:hint="eastAsia"/>
          <w:sz w:val="30"/>
          <w:szCs w:val="30"/>
        </w:rPr>
      </w:pPr>
      <w:r>
        <w:rPr>
          <w:rFonts w:hint="eastAsia"/>
          <w:sz w:val="30"/>
          <w:szCs w:val="30"/>
        </w:rPr>
        <w:t>But God is not done with her.</w:t>
      </w:r>
    </w:p>
    <w:p w14:paraId="6C921632">
      <w:pPr>
        <w:pStyle w:val="9"/>
        <w:spacing w:before="11"/>
        <w:ind w:left="0"/>
        <w:jc w:val="left"/>
        <w:rPr>
          <w:rFonts w:hint="eastAsia"/>
          <w:sz w:val="30"/>
          <w:szCs w:val="30"/>
        </w:rPr>
      </w:pPr>
      <w:r>
        <w:rPr>
          <w:rFonts w:hint="eastAsia"/>
          <w:sz w:val="30"/>
          <w:szCs w:val="30"/>
        </w:rPr>
        <w:t>但上帝对她的工作还没有完成。</w:t>
      </w:r>
    </w:p>
    <w:p w14:paraId="4E70D069">
      <w:pPr>
        <w:pStyle w:val="9"/>
        <w:spacing w:before="11"/>
        <w:ind w:left="0"/>
        <w:jc w:val="left"/>
        <w:rPr>
          <w:rFonts w:hint="eastAsia"/>
          <w:sz w:val="30"/>
          <w:szCs w:val="30"/>
        </w:rPr>
      </w:pPr>
    </w:p>
    <w:p w14:paraId="46E5CA72">
      <w:pPr>
        <w:pStyle w:val="9"/>
        <w:spacing w:before="11"/>
        <w:ind w:left="0"/>
        <w:jc w:val="left"/>
        <w:rPr>
          <w:rFonts w:hint="eastAsia"/>
          <w:sz w:val="30"/>
          <w:szCs w:val="30"/>
        </w:rPr>
      </w:pPr>
      <w:r>
        <w:rPr>
          <w:rFonts w:hint="eastAsia"/>
          <w:sz w:val="30"/>
          <w:szCs w:val="30"/>
        </w:rPr>
        <w:t>For in the latter- day s, he will again remember his covenant mercies and restore his people: to their homeland, to their (Davidic) king, to a life of holiness in the Spirit, and to their former glory.</w:t>
      </w:r>
    </w:p>
    <w:p w14:paraId="6E67E6CD">
      <w:pPr>
        <w:pStyle w:val="9"/>
        <w:spacing w:before="11"/>
        <w:ind w:left="0"/>
        <w:jc w:val="left"/>
        <w:rPr>
          <w:rFonts w:hint="eastAsia"/>
          <w:sz w:val="30"/>
          <w:szCs w:val="30"/>
        </w:rPr>
      </w:pPr>
      <w:r>
        <w:rPr>
          <w:rFonts w:hint="eastAsia"/>
          <w:sz w:val="30"/>
          <w:szCs w:val="30"/>
        </w:rPr>
        <w:t>因为在末后的日子，祂将再次记念祂的圣约怜悯，并复兴祂的子民：回到他们的故土，回到他们（大卫家）的君王那里，过上在圣灵里圣洁的生活，并恢复他们昔日的荣耀。</w:t>
      </w:r>
    </w:p>
    <w:p w14:paraId="43334171">
      <w:pPr>
        <w:pStyle w:val="9"/>
        <w:spacing w:before="11"/>
        <w:ind w:left="0"/>
        <w:jc w:val="left"/>
        <w:rPr>
          <w:rFonts w:hint="eastAsia"/>
          <w:sz w:val="30"/>
          <w:szCs w:val="30"/>
        </w:rPr>
      </w:pPr>
    </w:p>
    <w:p w14:paraId="7B02C9D7">
      <w:pPr>
        <w:pStyle w:val="9"/>
        <w:spacing w:before="11"/>
        <w:ind w:left="0"/>
        <w:jc w:val="left"/>
        <w:rPr>
          <w:rFonts w:hint="eastAsia"/>
          <w:sz w:val="30"/>
          <w:szCs w:val="30"/>
        </w:rPr>
      </w:pPr>
      <w:r>
        <w:rPr>
          <w:rFonts w:hint="eastAsia"/>
          <w:sz w:val="30"/>
          <w:szCs w:val="30"/>
        </w:rPr>
        <w:t>Therefore, in those days Israel will also fulfill her mission: She will mediate the knowledge—and the rule (or Kingdom)—of God to the nations.</w:t>
      </w:r>
    </w:p>
    <w:p w14:paraId="25E0D204">
      <w:pPr>
        <w:pStyle w:val="9"/>
        <w:spacing w:before="11"/>
        <w:ind w:left="0"/>
        <w:jc w:val="left"/>
        <w:rPr>
          <w:rFonts w:hint="eastAsia"/>
          <w:sz w:val="30"/>
          <w:szCs w:val="30"/>
        </w:rPr>
      </w:pPr>
      <w:r>
        <w:rPr>
          <w:rFonts w:hint="eastAsia"/>
          <w:sz w:val="30"/>
          <w:szCs w:val="30"/>
        </w:rPr>
        <w:t>因此，在那些日子里，以色列也将完成她的使命：她将向上帝的知识——以及祂的统治（或国度）——传递给列国。</w:t>
      </w:r>
    </w:p>
    <w:p w14:paraId="21F841BB">
      <w:pPr>
        <w:pStyle w:val="9"/>
        <w:spacing w:before="11"/>
        <w:ind w:left="0"/>
        <w:jc w:val="left"/>
        <w:rPr>
          <w:rFonts w:hint="eastAsia"/>
          <w:sz w:val="30"/>
          <w:szCs w:val="30"/>
        </w:rPr>
      </w:pPr>
    </w:p>
    <w:p w14:paraId="3EADF18B">
      <w:pPr>
        <w:pStyle w:val="9"/>
        <w:spacing w:before="11"/>
        <w:ind w:left="0"/>
        <w:jc w:val="left"/>
        <w:rPr>
          <w:rFonts w:hint="eastAsia"/>
          <w:sz w:val="30"/>
          <w:szCs w:val="30"/>
        </w:rPr>
      </w:pPr>
      <w:r>
        <w:rPr>
          <w:rFonts w:hint="eastAsia"/>
          <w:sz w:val="30"/>
          <w:szCs w:val="30"/>
        </w:rPr>
        <w:t>The OT prophets offered this rich hope under a wide variety of imagery, and none more profusely than Isaiah.</w:t>
      </w:r>
    </w:p>
    <w:p w14:paraId="417E58E5">
      <w:pPr>
        <w:pStyle w:val="9"/>
        <w:spacing w:before="11"/>
        <w:ind w:left="0"/>
        <w:jc w:val="left"/>
        <w:rPr>
          <w:rFonts w:hint="eastAsia"/>
          <w:sz w:val="30"/>
          <w:szCs w:val="30"/>
        </w:rPr>
      </w:pPr>
      <w:r>
        <w:rPr>
          <w:rFonts w:hint="eastAsia"/>
          <w:sz w:val="30"/>
          <w:szCs w:val="30"/>
        </w:rPr>
        <w:t>旧约先知用各种各样的意象来提供这个丰富的盼望，其中没有谁比以赛亚更丰富。</w:t>
      </w:r>
    </w:p>
    <w:p w14:paraId="6E0AD037">
      <w:pPr>
        <w:pStyle w:val="9"/>
        <w:spacing w:before="11"/>
        <w:ind w:left="0"/>
        <w:jc w:val="left"/>
        <w:rPr>
          <w:rFonts w:hint="eastAsia"/>
          <w:sz w:val="30"/>
          <w:szCs w:val="30"/>
        </w:rPr>
      </w:pPr>
    </w:p>
    <w:p w14:paraId="55165351">
      <w:pPr>
        <w:pStyle w:val="9"/>
        <w:spacing w:before="11"/>
        <w:ind w:left="0"/>
        <w:jc w:val="left"/>
        <w:rPr>
          <w:rFonts w:hint="eastAsia"/>
          <w:sz w:val="30"/>
          <w:szCs w:val="30"/>
        </w:rPr>
      </w:pPr>
      <w:r>
        <w:rPr>
          <w:rFonts w:hint="eastAsia"/>
          <w:sz w:val="30"/>
          <w:szCs w:val="30"/>
        </w:rPr>
        <w:t>In the days of the Kingdom, he said, Israel will joyously draw water from the springs of salvation, exhorting one another to make known the deeds of the LORD among the peoples (12:3-6).</w:t>
      </w:r>
    </w:p>
    <w:p w14:paraId="45B34554">
      <w:pPr>
        <w:pStyle w:val="9"/>
        <w:spacing w:before="11"/>
        <w:ind w:left="0"/>
        <w:jc w:val="left"/>
        <w:rPr>
          <w:rFonts w:hint="eastAsia"/>
          <w:sz w:val="30"/>
          <w:szCs w:val="30"/>
        </w:rPr>
      </w:pPr>
      <w:r>
        <w:rPr>
          <w:rFonts w:hint="eastAsia"/>
          <w:sz w:val="30"/>
          <w:szCs w:val="30"/>
        </w:rPr>
        <w:t>他说，在国度的日子里，以色列将欢然从救恩的泉源取水，彼此劝勉，在万民中传扬耶和华的作为（12:3-6）。</w:t>
      </w:r>
    </w:p>
    <w:p w14:paraId="01E4BA7F">
      <w:pPr>
        <w:pStyle w:val="9"/>
        <w:spacing w:before="11"/>
        <w:ind w:left="0"/>
        <w:jc w:val="left"/>
        <w:rPr>
          <w:rFonts w:hint="eastAsia"/>
          <w:sz w:val="30"/>
          <w:szCs w:val="30"/>
        </w:rPr>
      </w:pPr>
    </w:p>
    <w:p w14:paraId="44D1BE99">
      <w:pPr>
        <w:pStyle w:val="9"/>
        <w:spacing w:before="11"/>
        <w:ind w:left="0"/>
        <w:jc w:val="left"/>
        <w:rPr>
          <w:rFonts w:hint="eastAsia"/>
          <w:sz w:val="30"/>
          <w:szCs w:val="30"/>
        </w:rPr>
      </w:pPr>
      <w:r>
        <w:rPr>
          <w:rFonts w:hint="eastAsia"/>
          <w:sz w:val="30"/>
          <w:szCs w:val="30"/>
        </w:rPr>
        <w:t>When the glory of the LORD appears over Zion, the nations will come to her light, and kings to the brightness of her rising (60:3).</w:t>
      </w:r>
    </w:p>
    <w:p w14:paraId="3B88D2B7">
      <w:pPr>
        <w:pStyle w:val="9"/>
        <w:spacing w:before="11"/>
        <w:ind w:left="0"/>
        <w:jc w:val="left"/>
        <w:rPr>
          <w:rFonts w:hint="eastAsia"/>
          <w:sz w:val="30"/>
          <w:szCs w:val="30"/>
        </w:rPr>
      </w:pPr>
      <w:r>
        <w:rPr>
          <w:rFonts w:hint="eastAsia"/>
          <w:sz w:val="30"/>
          <w:szCs w:val="30"/>
        </w:rPr>
        <w:t>当耶和华的荣耀显现在锡安之上时，列国要来就她的光，君王要来就她发现的光辉（60:3）。</w:t>
      </w:r>
    </w:p>
    <w:p w14:paraId="7F042D79">
      <w:pPr>
        <w:pStyle w:val="9"/>
        <w:spacing w:before="11"/>
        <w:ind w:left="0"/>
        <w:jc w:val="left"/>
        <w:rPr>
          <w:rFonts w:hint="eastAsia"/>
          <w:sz w:val="30"/>
          <w:szCs w:val="30"/>
        </w:rPr>
      </w:pPr>
    </w:p>
    <w:p w14:paraId="2C15CB55">
      <w:pPr>
        <w:pStyle w:val="9"/>
        <w:spacing w:before="11"/>
        <w:ind w:left="0"/>
        <w:jc w:val="left"/>
        <w:rPr>
          <w:rFonts w:hint="eastAsia"/>
          <w:sz w:val="30"/>
          <w:szCs w:val="30"/>
        </w:rPr>
      </w:pPr>
      <w:r>
        <w:rPr>
          <w:rFonts w:hint="eastAsia"/>
          <w:sz w:val="30"/>
          <w:szCs w:val="30"/>
        </w:rPr>
        <w:t>Because of Zion’s glory, the flocks of Kedar and the rams of Nebaioth will go up with acceptance on God’s altar (60:7).</w:t>
      </w:r>
    </w:p>
    <w:p w14:paraId="6A210CAD">
      <w:pPr>
        <w:pStyle w:val="9"/>
        <w:spacing w:before="11"/>
        <w:ind w:left="0"/>
        <w:jc w:val="left"/>
        <w:rPr>
          <w:rFonts w:hint="eastAsia"/>
          <w:sz w:val="30"/>
          <w:szCs w:val="30"/>
        </w:rPr>
      </w:pPr>
      <w:r>
        <w:rPr>
          <w:rFonts w:hint="eastAsia"/>
          <w:sz w:val="30"/>
          <w:szCs w:val="30"/>
        </w:rPr>
        <w:t>因锡安的荣耀，基达的羊群和尼拜约的公羊必蒙悦纳献在上帝的坛上（60:7）。</w:t>
      </w:r>
    </w:p>
    <w:p w14:paraId="6E94049A">
      <w:pPr>
        <w:pStyle w:val="9"/>
        <w:spacing w:before="11"/>
        <w:ind w:left="0"/>
        <w:jc w:val="left"/>
        <w:rPr>
          <w:rFonts w:hint="eastAsia"/>
          <w:sz w:val="30"/>
          <w:szCs w:val="30"/>
        </w:rPr>
      </w:pPr>
    </w:p>
    <w:p w14:paraId="69DB52E4">
      <w:pPr>
        <w:pStyle w:val="9"/>
        <w:spacing w:before="11"/>
        <w:ind w:left="0"/>
        <w:jc w:val="left"/>
        <w:rPr>
          <w:rFonts w:hint="eastAsia"/>
          <w:sz w:val="30"/>
          <w:szCs w:val="30"/>
        </w:rPr>
      </w:pPr>
      <w:r>
        <w:rPr>
          <w:rFonts w:hint="eastAsia"/>
          <w:sz w:val="30"/>
          <w:szCs w:val="30"/>
        </w:rPr>
        <w:t>The ships of Tarshish will bring Zion’s (Gentile) sons from afar, and their silver and gold with them (60:9).</w:t>
      </w:r>
    </w:p>
    <w:p w14:paraId="1CF8D72B">
      <w:pPr>
        <w:pStyle w:val="9"/>
        <w:spacing w:before="11"/>
        <w:ind w:left="0"/>
        <w:jc w:val="left"/>
        <w:rPr>
          <w:rFonts w:hint="eastAsia"/>
          <w:sz w:val="30"/>
          <w:szCs w:val="30"/>
        </w:rPr>
      </w:pPr>
      <w:r>
        <w:rPr>
          <w:rFonts w:hint="eastAsia"/>
          <w:sz w:val="30"/>
          <w:szCs w:val="30"/>
        </w:rPr>
        <w:t>他施的船只将从远方带来锡安的（外邦）众子，连同他们的金银（60:9）。</w:t>
      </w:r>
    </w:p>
    <w:p w14:paraId="14AA49CC">
      <w:pPr>
        <w:pStyle w:val="9"/>
        <w:spacing w:before="11"/>
        <w:ind w:left="0"/>
        <w:jc w:val="left"/>
        <w:rPr>
          <w:rFonts w:hint="eastAsia"/>
          <w:sz w:val="30"/>
          <w:szCs w:val="30"/>
        </w:rPr>
      </w:pPr>
    </w:p>
    <w:p w14:paraId="7260FAD4">
      <w:pPr>
        <w:pStyle w:val="9"/>
        <w:spacing w:before="11"/>
        <w:ind w:left="0"/>
        <w:jc w:val="left"/>
        <w:rPr>
          <w:rFonts w:hint="eastAsia"/>
          <w:sz w:val="30"/>
          <w:szCs w:val="30"/>
        </w:rPr>
      </w:pPr>
      <w:r>
        <w:rPr>
          <w:rFonts w:hint="eastAsia"/>
          <w:sz w:val="30"/>
          <w:szCs w:val="30"/>
        </w:rPr>
        <w:t>Indeed, many foreigners will come and build up Zion’s walls, and the nation that will not serve her will perish (60:10, 12).</w:t>
      </w:r>
    </w:p>
    <w:p w14:paraId="4B63E3DD">
      <w:pPr>
        <w:pStyle w:val="9"/>
        <w:spacing w:before="11"/>
        <w:ind w:left="0"/>
        <w:jc w:val="left"/>
        <w:rPr>
          <w:rFonts w:hint="eastAsia"/>
          <w:sz w:val="30"/>
          <w:szCs w:val="30"/>
        </w:rPr>
      </w:pPr>
      <w:r>
        <w:rPr>
          <w:rFonts w:hint="eastAsia"/>
          <w:sz w:val="30"/>
          <w:szCs w:val="30"/>
        </w:rPr>
        <w:t>的确，许多外邦人将要来修筑锡安的城墙，那不事奉她的国民必灭亡（60:10, 12）。</w:t>
      </w:r>
    </w:p>
    <w:p w14:paraId="5AA70713">
      <w:pPr>
        <w:pStyle w:val="9"/>
        <w:spacing w:before="11"/>
        <w:ind w:left="0"/>
        <w:jc w:val="left"/>
        <w:rPr>
          <w:rFonts w:hint="eastAsia"/>
          <w:sz w:val="30"/>
          <w:szCs w:val="30"/>
        </w:rPr>
      </w:pPr>
    </w:p>
    <w:p w14:paraId="590947D5">
      <w:pPr>
        <w:pStyle w:val="9"/>
        <w:spacing w:before="11"/>
        <w:ind w:left="0"/>
        <w:jc w:val="left"/>
        <w:rPr>
          <w:rFonts w:hint="eastAsia"/>
          <w:sz w:val="30"/>
          <w:szCs w:val="30"/>
        </w:rPr>
      </w:pPr>
      <w:r>
        <w:rPr>
          <w:rFonts w:hint="eastAsia"/>
          <w:sz w:val="30"/>
          <w:szCs w:val="30"/>
        </w:rPr>
        <w:t>Strangers will pasture Israel’s flocks, and foreigners will be their vinedressers; but Israel herself will be called the priest of the LORD, the minister of her God (Isaiah 61:6).</w:t>
      </w:r>
    </w:p>
    <w:p w14:paraId="3BF76C61">
      <w:pPr>
        <w:pStyle w:val="9"/>
        <w:spacing w:before="11"/>
        <w:ind w:left="0"/>
        <w:jc w:val="left"/>
        <w:rPr>
          <w:rFonts w:hint="eastAsia"/>
          <w:sz w:val="30"/>
          <w:szCs w:val="30"/>
        </w:rPr>
      </w:pPr>
      <w:r>
        <w:rPr>
          <w:rFonts w:hint="eastAsia"/>
          <w:sz w:val="30"/>
          <w:szCs w:val="30"/>
        </w:rPr>
        <w:t>外人必牧放以色列的羊群，外邦人必作他们的农夫和修理葡萄园的；但以色列自己必称为耶和华的祭司，她上帝的仆役（以赛亚书 61:6）。</w:t>
      </w:r>
    </w:p>
    <w:p w14:paraId="5291CB6E">
      <w:pPr>
        <w:pStyle w:val="9"/>
        <w:spacing w:before="11"/>
        <w:ind w:left="0"/>
        <w:jc w:val="left"/>
        <w:rPr>
          <w:rFonts w:hint="eastAsia"/>
          <w:sz w:val="30"/>
          <w:szCs w:val="30"/>
        </w:rPr>
      </w:pPr>
    </w:p>
    <w:p w14:paraId="1DB288FD">
      <w:pPr>
        <w:pStyle w:val="9"/>
        <w:spacing w:before="11"/>
        <w:ind w:left="0"/>
        <w:jc w:val="left"/>
        <w:rPr>
          <w:rFonts w:hint="eastAsia"/>
          <w:sz w:val="30"/>
          <w:szCs w:val="30"/>
        </w:rPr>
      </w:pPr>
      <w:r>
        <w:rPr>
          <w:rFonts w:hint="eastAsia"/>
          <w:sz w:val="30"/>
          <w:szCs w:val="30"/>
        </w:rPr>
        <w:t>Zion’s far-flung sons and daughters will be known among the nations, and her seed amidst the peoples: All who see them will recognize them as the offspring whom the LORD has blessed (61:9).</w:t>
      </w:r>
    </w:p>
    <w:p w14:paraId="780B60AB">
      <w:pPr>
        <w:pStyle w:val="9"/>
        <w:spacing w:before="11"/>
        <w:ind w:left="0"/>
        <w:jc w:val="left"/>
        <w:rPr>
          <w:rFonts w:hint="eastAsia"/>
          <w:sz w:val="30"/>
          <w:szCs w:val="30"/>
        </w:rPr>
      </w:pPr>
      <w:r>
        <w:rPr>
          <w:rFonts w:hint="eastAsia"/>
          <w:sz w:val="30"/>
          <w:szCs w:val="30"/>
        </w:rPr>
        <w:t>锡安散居远方的儿女将在列国中被人认识，她的后裔在万民中也是如此：凡看见他们的，都必认出他们是蒙耶和华赐福的后裔（61:9）。</w:t>
      </w:r>
    </w:p>
    <w:p w14:paraId="5FD7F8FC">
      <w:pPr>
        <w:pStyle w:val="9"/>
        <w:spacing w:before="11"/>
        <w:ind w:left="0"/>
        <w:jc w:val="left"/>
        <w:rPr>
          <w:rFonts w:hint="eastAsia"/>
          <w:sz w:val="30"/>
          <w:szCs w:val="30"/>
        </w:rPr>
      </w:pPr>
    </w:p>
    <w:p w14:paraId="5F7DAF61">
      <w:pPr>
        <w:pStyle w:val="9"/>
        <w:spacing w:before="11"/>
        <w:ind w:left="0"/>
        <w:jc w:val="left"/>
        <w:rPr>
          <w:rFonts w:hint="eastAsia"/>
          <w:sz w:val="30"/>
          <w:szCs w:val="30"/>
        </w:rPr>
      </w:pPr>
      <w:r>
        <w:rPr>
          <w:rFonts w:hint="eastAsia"/>
          <w:sz w:val="30"/>
          <w:szCs w:val="30"/>
        </w:rPr>
        <w:t>Indeed, in those days God will no longer wait for the nations to come to Zion, but will send the restored remnant of his people to distant lands: to Tarshish, Put, Lud, Meshech, Rosh, Tubal, and Javan—to all who have neither heard of his fame nor seen his glory.</w:t>
      </w:r>
    </w:p>
    <w:p w14:paraId="42786CF3">
      <w:pPr>
        <w:pStyle w:val="9"/>
        <w:spacing w:before="11"/>
        <w:ind w:left="0"/>
        <w:jc w:val="left"/>
        <w:rPr>
          <w:rFonts w:hint="eastAsia"/>
          <w:sz w:val="30"/>
          <w:szCs w:val="30"/>
        </w:rPr>
      </w:pPr>
      <w:r>
        <w:rPr>
          <w:rFonts w:hint="eastAsia"/>
          <w:sz w:val="30"/>
          <w:szCs w:val="30"/>
        </w:rPr>
        <w:t>的确，在那些日子，上帝将不再等待列国来到锡安，而是要差遣祂子民中被复兴的余民到遥远的土地去：到他施、普特、路德、米设、罗施、土巴和雅完——到所有未曾听过祂名声、也未曾见过祂荣耀的人那里去。</w:t>
      </w:r>
    </w:p>
    <w:p w14:paraId="35AD21B5">
      <w:pPr>
        <w:pStyle w:val="9"/>
        <w:spacing w:before="11"/>
        <w:ind w:left="0"/>
        <w:jc w:val="left"/>
        <w:rPr>
          <w:rFonts w:hint="eastAsia"/>
          <w:sz w:val="30"/>
          <w:szCs w:val="30"/>
        </w:rPr>
      </w:pPr>
    </w:p>
    <w:p w14:paraId="11A6B5F6">
      <w:pPr>
        <w:pStyle w:val="9"/>
        <w:spacing w:before="11"/>
        <w:ind w:left="0"/>
        <w:jc w:val="left"/>
        <w:rPr>
          <w:rFonts w:hint="eastAsia"/>
          <w:sz w:val="30"/>
          <w:szCs w:val="30"/>
        </w:rPr>
      </w:pPr>
      <w:r>
        <w:rPr>
          <w:rFonts w:hint="eastAsia"/>
          <w:sz w:val="30"/>
          <w:szCs w:val="30"/>
        </w:rPr>
        <w:t>And they will bring their new Gentile brethren back to Zion, and into the house of the LORD, where he will take some of them for priests and Levites (66:18-21)!</w:t>
      </w:r>
    </w:p>
    <w:p w14:paraId="78769E18">
      <w:pPr>
        <w:pStyle w:val="9"/>
        <w:spacing w:before="11"/>
        <w:ind w:left="0"/>
        <w:jc w:val="left"/>
        <w:rPr>
          <w:rFonts w:hint="eastAsia"/>
          <w:sz w:val="30"/>
          <w:szCs w:val="30"/>
        </w:rPr>
      </w:pPr>
      <w:r>
        <w:rPr>
          <w:rFonts w:hint="eastAsia"/>
          <w:sz w:val="30"/>
          <w:szCs w:val="30"/>
        </w:rPr>
        <w:t>他们将把他们新信主的外邦弟兄带回锡安，带进耶和华的殿中，祂将从他们中间拣选一些人作祭司和利未人（66:18-21）！</w:t>
      </w:r>
    </w:p>
    <w:p w14:paraId="638C7DDB">
      <w:pPr>
        <w:pStyle w:val="9"/>
        <w:spacing w:before="11"/>
        <w:ind w:left="0"/>
        <w:jc w:val="left"/>
        <w:rPr>
          <w:rFonts w:hint="eastAsia"/>
          <w:sz w:val="30"/>
          <w:szCs w:val="30"/>
        </w:rPr>
      </w:pPr>
    </w:p>
    <w:p w14:paraId="3F0B8999">
      <w:pPr>
        <w:pStyle w:val="9"/>
        <w:spacing w:before="11"/>
        <w:ind w:left="0"/>
        <w:jc w:val="left"/>
        <w:rPr>
          <w:rFonts w:hint="eastAsia"/>
          <w:sz w:val="30"/>
          <w:szCs w:val="30"/>
        </w:rPr>
      </w:pPr>
      <w:r>
        <w:rPr>
          <w:rFonts w:hint="eastAsia"/>
          <w:sz w:val="30"/>
          <w:szCs w:val="30"/>
        </w:rPr>
        <w:t>Now, how are we to interpret these prophecies, wherein eschatological Israel appears as the head and not the tail; as a holy nation and a Kingdom of priests; as a chosen nation mediating God’s truth and blessing to all nations?</w:t>
      </w:r>
    </w:p>
    <w:p w14:paraId="017E8299">
      <w:pPr>
        <w:pStyle w:val="9"/>
        <w:spacing w:before="11"/>
        <w:ind w:left="0"/>
        <w:jc w:val="left"/>
        <w:rPr>
          <w:rFonts w:hint="eastAsia"/>
          <w:sz w:val="30"/>
          <w:szCs w:val="30"/>
        </w:rPr>
      </w:pPr>
      <w:r>
        <w:rPr>
          <w:rFonts w:hint="eastAsia"/>
          <w:sz w:val="30"/>
          <w:szCs w:val="30"/>
        </w:rPr>
        <w:t>那么，我们该如何解释这些预言呢？在这些预言中，末世的以色列显现为首不为尾；为一个圣洁的国度和祭司的国度；为一个被拣选的国度，将上帝的真理和祝福传递给万国？</w:t>
      </w:r>
    </w:p>
    <w:p w14:paraId="0A6178CA">
      <w:pPr>
        <w:pStyle w:val="9"/>
        <w:spacing w:before="11"/>
        <w:ind w:left="0"/>
        <w:jc w:val="left"/>
        <w:rPr>
          <w:rFonts w:hint="eastAsia"/>
          <w:sz w:val="30"/>
          <w:szCs w:val="30"/>
        </w:rPr>
      </w:pPr>
    </w:p>
    <w:p w14:paraId="50ABCA3C">
      <w:pPr>
        <w:pStyle w:val="9"/>
        <w:spacing w:before="11"/>
        <w:ind w:left="0"/>
        <w:jc w:val="left"/>
        <w:rPr>
          <w:rFonts w:hint="eastAsia"/>
          <w:sz w:val="30"/>
          <w:szCs w:val="30"/>
        </w:rPr>
      </w:pPr>
      <w:r>
        <w:rPr>
          <w:rFonts w:hint="eastAsia"/>
          <w:sz w:val="30"/>
          <w:szCs w:val="30"/>
        </w:rPr>
        <w:t>The literalist response of our premillennial brothers is clearly impossible, unless we are prepared to grant that in a future millennium God will resurrect such extinct nations as Tarshish, Put, Lud, Meshech, Rosh, Tubal, and Javan; and that for a thousand years he will be sending Jewish evangelists to Assyria (Isaiah 19:25), Moab (Jer. 48:7), Ammon (Jer. 49:6), and Elam (Jer. 49:39)!</w:t>
      </w:r>
    </w:p>
    <w:p w14:paraId="04C17091">
      <w:pPr>
        <w:pStyle w:val="9"/>
        <w:spacing w:before="11"/>
        <w:ind w:left="0"/>
        <w:jc w:val="left"/>
        <w:rPr>
          <w:rFonts w:hint="eastAsia"/>
          <w:sz w:val="30"/>
          <w:szCs w:val="30"/>
        </w:rPr>
      </w:pPr>
      <w:r>
        <w:rPr>
          <w:rFonts w:hint="eastAsia"/>
          <w:sz w:val="30"/>
          <w:szCs w:val="30"/>
        </w:rPr>
        <w:t>我们前千禧年派弟兄们的字面主义回应显然是不可能的，除非我们准备承认，在未来的千禧年中，上帝将复活像他施、普特、路德、米设、罗施、土巴和雅完这样已经灭绝的国家；并且在一千年里，祂将派遣犹太传道人到亚述（以赛亚书 19:25）、摩押（耶利米书 48:7）、亚扪（耶利米书 49:6）和以拦（耶利米书 49:39）去！</w:t>
      </w:r>
    </w:p>
    <w:p w14:paraId="6F6F5372">
      <w:pPr>
        <w:pStyle w:val="9"/>
        <w:spacing w:before="11"/>
        <w:ind w:left="0"/>
        <w:jc w:val="left"/>
        <w:rPr>
          <w:rFonts w:hint="eastAsia"/>
          <w:sz w:val="30"/>
          <w:szCs w:val="30"/>
        </w:rPr>
      </w:pPr>
    </w:p>
    <w:p w14:paraId="6F77106C">
      <w:pPr>
        <w:pStyle w:val="9"/>
        <w:spacing w:before="11"/>
        <w:ind w:left="0"/>
        <w:jc w:val="left"/>
        <w:rPr>
          <w:rFonts w:hint="eastAsia"/>
          <w:sz w:val="30"/>
          <w:szCs w:val="30"/>
        </w:rPr>
      </w:pPr>
      <w:r>
        <w:rPr>
          <w:rFonts w:hint="eastAsia"/>
          <w:sz w:val="30"/>
          <w:szCs w:val="30"/>
        </w:rPr>
        <w:t>No, the NT solution is far simpler, and far more engaging to the Christian interpreter.</w:t>
      </w:r>
    </w:p>
    <w:p w14:paraId="7E298538">
      <w:pPr>
        <w:pStyle w:val="9"/>
        <w:spacing w:before="11"/>
        <w:ind w:left="0"/>
        <w:jc w:val="left"/>
        <w:rPr>
          <w:rFonts w:hint="eastAsia"/>
          <w:sz w:val="30"/>
          <w:szCs w:val="30"/>
        </w:rPr>
      </w:pPr>
      <w:r>
        <w:rPr>
          <w:rFonts w:hint="eastAsia"/>
          <w:sz w:val="30"/>
          <w:szCs w:val="30"/>
        </w:rPr>
        <w:t>不，新约的解决方案要简单得多，对基督徒解释者也更具吸引力。</w:t>
      </w:r>
    </w:p>
    <w:p w14:paraId="4D683EEA">
      <w:pPr>
        <w:pStyle w:val="9"/>
        <w:spacing w:before="11"/>
        <w:ind w:left="0"/>
        <w:jc w:val="left"/>
        <w:rPr>
          <w:rFonts w:hint="eastAsia"/>
          <w:sz w:val="30"/>
          <w:szCs w:val="30"/>
        </w:rPr>
      </w:pPr>
    </w:p>
    <w:p w14:paraId="6502FCE3">
      <w:pPr>
        <w:pStyle w:val="9"/>
        <w:spacing w:before="11"/>
        <w:ind w:left="0"/>
        <w:jc w:val="left"/>
        <w:rPr>
          <w:rFonts w:hint="eastAsia"/>
          <w:sz w:val="30"/>
          <w:szCs w:val="30"/>
        </w:rPr>
      </w:pPr>
      <w:r>
        <w:rPr>
          <w:rFonts w:hint="eastAsia"/>
          <w:sz w:val="30"/>
          <w:szCs w:val="30"/>
        </w:rPr>
        <w:t>In all these majestic prophecies, God is speaking of his NT Israel, his NT Zion, his NT Temple, and his NT priesthood.</w:t>
      </w:r>
    </w:p>
    <w:p w14:paraId="3F3C5594">
      <w:pPr>
        <w:pStyle w:val="9"/>
        <w:spacing w:before="11"/>
        <w:ind w:left="0"/>
        <w:jc w:val="left"/>
        <w:rPr>
          <w:rFonts w:hint="eastAsia"/>
          <w:sz w:val="30"/>
          <w:szCs w:val="30"/>
        </w:rPr>
      </w:pPr>
      <w:r>
        <w:rPr>
          <w:rFonts w:hint="eastAsia"/>
          <w:sz w:val="30"/>
          <w:szCs w:val="30"/>
        </w:rPr>
        <w:t>在所有这些宏伟的预言中，上帝说的是祂新约的以色列，祂新约的锡安，祂新约的圣殿，和祂新约的祭司职分。</w:t>
      </w:r>
    </w:p>
    <w:p w14:paraId="2E61614A">
      <w:pPr>
        <w:pStyle w:val="9"/>
        <w:spacing w:before="11"/>
        <w:ind w:left="0"/>
        <w:jc w:val="left"/>
        <w:rPr>
          <w:rFonts w:hint="eastAsia"/>
          <w:sz w:val="30"/>
          <w:szCs w:val="30"/>
        </w:rPr>
      </w:pPr>
    </w:p>
    <w:p w14:paraId="5EDED852">
      <w:pPr>
        <w:pStyle w:val="9"/>
        <w:spacing w:before="11"/>
        <w:ind w:left="0"/>
        <w:jc w:val="left"/>
        <w:rPr>
          <w:rFonts w:hint="eastAsia"/>
          <w:sz w:val="30"/>
          <w:szCs w:val="30"/>
        </w:rPr>
      </w:pPr>
      <w:r>
        <w:rPr>
          <w:rFonts w:hint="eastAsia"/>
          <w:sz w:val="30"/>
          <w:szCs w:val="30"/>
        </w:rPr>
        <w:t>He is speaking of Christ’s Church.</w:t>
      </w:r>
    </w:p>
    <w:p w14:paraId="489D11CE">
      <w:pPr>
        <w:pStyle w:val="9"/>
        <w:spacing w:before="11"/>
        <w:ind w:left="0"/>
        <w:jc w:val="left"/>
        <w:rPr>
          <w:rFonts w:hint="eastAsia"/>
          <w:sz w:val="30"/>
          <w:szCs w:val="30"/>
        </w:rPr>
      </w:pPr>
      <w:r>
        <w:rPr>
          <w:rFonts w:hint="eastAsia"/>
          <w:sz w:val="30"/>
          <w:szCs w:val="30"/>
        </w:rPr>
        <w:t>祂说的是基督的教会。</w:t>
      </w:r>
    </w:p>
    <w:p w14:paraId="356BE29C">
      <w:pPr>
        <w:pStyle w:val="9"/>
        <w:spacing w:before="11"/>
        <w:ind w:left="0"/>
        <w:jc w:val="left"/>
        <w:rPr>
          <w:rFonts w:hint="eastAsia"/>
          <w:sz w:val="30"/>
          <w:szCs w:val="30"/>
        </w:rPr>
      </w:pPr>
    </w:p>
    <w:p w14:paraId="38D3C2DB">
      <w:pPr>
        <w:pStyle w:val="9"/>
        <w:spacing w:before="11"/>
        <w:ind w:left="0"/>
        <w:jc w:val="left"/>
        <w:rPr>
          <w:rFonts w:hint="eastAsia"/>
          <w:sz w:val="30"/>
          <w:szCs w:val="30"/>
        </w:rPr>
      </w:pPr>
      <w:r>
        <w:rPr>
          <w:rFonts w:hint="eastAsia"/>
          <w:sz w:val="30"/>
          <w:szCs w:val="30"/>
        </w:rPr>
        <w:t>In language and imagery that the OT saints could relate to, he is saying that in the last days the New Covenant people of God will fulfill ethnic Israel’s priestly mission to the nations.</w:t>
      </w:r>
    </w:p>
    <w:p w14:paraId="0EB60321">
      <w:pPr>
        <w:pStyle w:val="9"/>
        <w:spacing w:before="11"/>
        <w:ind w:left="0"/>
        <w:jc w:val="left"/>
        <w:rPr>
          <w:rFonts w:hint="eastAsia"/>
          <w:sz w:val="30"/>
          <w:szCs w:val="30"/>
        </w:rPr>
      </w:pPr>
      <w:r>
        <w:rPr>
          <w:rFonts w:hint="eastAsia"/>
          <w:sz w:val="30"/>
          <w:szCs w:val="30"/>
        </w:rPr>
        <w:t>祂用旧约圣徒能够理解的语言和意象，说在末后的日子里，上帝的新约子民将完成以色列民族对列国的祭司使命。</w:t>
      </w:r>
    </w:p>
    <w:p w14:paraId="2A9A5F2F">
      <w:pPr>
        <w:pStyle w:val="9"/>
        <w:spacing w:before="11"/>
        <w:ind w:left="0"/>
        <w:jc w:val="left"/>
        <w:rPr>
          <w:rFonts w:hint="eastAsia"/>
          <w:sz w:val="30"/>
          <w:szCs w:val="30"/>
        </w:rPr>
      </w:pPr>
    </w:p>
    <w:p w14:paraId="1F5A9771">
      <w:pPr>
        <w:pStyle w:val="9"/>
        <w:spacing w:before="11"/>
        <w:ind w:left="0"/>
        <w:jc w:val="left"/>
        <w:rPr>
          <w:rFonts w:hint="eastAsia"/>
          <w:sz w:val="30"/>
          <w:szCs w:val="30"/>
        </w:rPr>
      </w:pPr>
      <w:r>
        <w:rPr>
          <w:rFonts w:hint="eastAsia"/>
          <w:sz w:val="30"/>
          <w:szCs w:val="30"/>
        </w:rPr>
        <w:t>Like Zion of old, she will be a glorious city set upon a hill—and a Temple as well—to which God will draw believers from every nation (Mt. 5:14, Eph. 2:19-22).</w:t>
      </w:r>
    </w:p>
    <w:p w14:paraId="4AFB4630">
      <w:pPr>
        <w:pStyle w:val="9"/>
        <w:spacing w:before="11"/>
        <w:ind w:left="0"/>
        <w:jc w:val="left"/>
        <w:rPr>
          <w:rFonts w:hint="eastAsia"/>
          <w:sz w:val="30"/>
          <w:szCs w:val="30"/>
        </w:rPr>
      </w:pPr>
      <w:r>
        <w:rPr>
          <w:rFonts w:hint="eastAsia"/>
          <w:sz w:val="30"/>
          <w:szCs w:val="30"/>
        </w:rPr>
        <w:t>就像古时的锡安一样，她将是一座建在山上的荣耀之城——也是一座圣殿——上帝将吸引来自各国的信徒到这里来（马太福音 5:14，以弗所书 2:19-22）。</w:t>
      </w:r>
    </w:p>
    <w:p w14:paraId="6C867303">
      <w:pPr>
        <w:pStyle w:val="9"/>
        <w:spacing w:before="11"/>
        <w:ind w:left="0"/>
        <w:jc w:val="left"/>
        <w:rPr>
          <w:rFonts w:hint="eastAsia"/>
          <w:sz w:val="30"/>
          <w:szCs w:val="30"/>
        </w:rPr>
      </w:pPr>
    </w:p>
    <w:p w14:paraId="6A36CA98">
      <w:pPr>
        <w:pStyle w:val="9"/>
        <w:spacing w:before="11"/>
        <w:ind w:left="0"/>
        <w:jc w:val="left"/>
        <w:rPr>
          <w:rFonts w:hint="eastAsia"/>
          <w:sz w:val="30"/>
          <w:szCs w:val="30"/>
        </w:rPr>
      </w:pPr>
      <w:r>
        <w:rPr>
          <w:rFonts w:hint="eastAsia"/>
          <w:sz w:val="30"/>
          <w:szCs w:val="30"/>
        </w:rPr>
        <w:t>Like Levi of old, she will be a priestly people, a messenger of the LORD of hosts, from whose mouth the peoples will indeed seek instruction (Mal. 2:7, 1 Peter 2:5, 9).</w:t>
      </w:r>
    </w:p>
    <w:p w14:paraId="27C55F7B">
      <w:pPr>
        <w:pStyle w:val="9"/>
        <w:spacing w:before="11"/>
        <w:ind w:left="0"/>
        <w:jc w:val="left"/>
        <w:rPr>
          <w:rFonts w:hint="eastAsia"/>
          <w:sz w:val="30"/>
          <w:szCs w:val="30"/>
        </w:rPr>
      </w:pPr>
      <w:r>
        <w:rPr>
          <w:rFonts w:hint="eastAsia"/>
          <w:sz w:val="30"/>
          <w:szCs w:val="30"/>
        </w:rPr>
        <w:t>就像古时的利未一样，她将是一个祭司的民族，是万军之耶和华的使者，万民确实会从她的口中寻求训诲（玛拉基书 2:7，彼得前书 2:5, 9）。</w:t>
      </w:r>
    </w:p>
    <w:p w14:paraId="6F585513">
      <w:pPr>
        <w:pStyle w:val="9"/>
        <w:spacing w:before="11"/>
        <w:ind w:left="0"/>
        <w:jc w:val="left"/>
        <w:rPr>
          <w:rFonts w:hint="eastAsia"/>
          <w:sz w:val="30"/>
          <w:szCs w:val="30"/>
        </w:rPr>
      </w:pPr>
    </w:p>
    <w:p w14:paraId="117F77CE">
      <w:pPr>
        <w:pStyle w:val="9"/>
        <w:spacing w:before="11"/>
        <w:ind w:left="0"/>
        <w:jc w:val="left"/>
        <w:rPr>
          <w:rFonts w:hint="eastAsia"/>
          <w:sz w:val="30"/>
          <w:szCs w:val="30"/>
        </w:rPr>
      </w:pPr>
      <w:r>
        <w:rPr>
          <w:rFonts w:hint="eastAsia"/>
          <w:sz w:val="30"/>
          <w:szCs w:val="30"/>
        </w:rPr>
        <w:t>Therefore, how beautiful upon the mountains will be the feet of those NT priests who bring the good news of the Gospel to foreign lands (Isaiah 52:7, Mt. 28:18f, Rom. 10:15)!</w:t>
      </w:r>
    </w:p>
    <w:p w14:paraId="257F9F4C">
      <w:pPr>
        <w:pStyle w:val="9"/>
        <w:spacing w:before="11"/>
        <w:ind w:left="0"/>
        <w:jc w:val="left"/>
        <w:rPr>
          <w:rFonts w:hint="eastAsia"/>
          <w:sz w:val="30"/>
          <w:szCs w:val="30"/>
        </w:rPr>
      </w:pPr>
      <w:r>
        <w:rPr>
          <w:rFonts w:hint="eastAsia"/>
          <w:sz w:val="30"/>
          <w:szCs w:val="30"/>
        </w:rPr>
        <w:t>因此，那些将福音的好消息带到异国他乡的新约祭司，他们的脚踪在山上何等佳美（以赛亚书 52:7，马太福音 28:18及后文，罗马书 10:15）！</w:t>
      </w:r>
    </w:p>
    <w:p w14:paraId="4B3364BC">
      <w:pPr>
        <w:pStyle w:val="9"/>
        <w:spacing w:before="11"/>
        <w:ind w:left="0"/>
        <w:jc w:val="left"/>
        <w:rPr>
          <w:rFonts w:hint="eastAsia"/>
          <w:sz w:val="30"/>
          <w:szCs w:val="30"/>
        </w:rPr>
      </w:pPr>
    </w:p>
    <w:p w14:paraId="1AD89FEE">
      <w:pPr>
        <w:pStyle w:val="9"/>
        <w:spacing w:before="11"/>
        <w:ind w:left="0"/>
        <w:jc w:val="left"/>
        <w:rPr>
          <w:rFonts w:hint="eastAsia"/>
          <w:sz w:val="30"/>
          <w:szCs w:val="30"/>
        </w:rPr>
      </w:pPr>
      <w:r>
        <w:rPr>
          <w:rFonts w:hint="eastAsia"/>
          <w:sz w:val="30"/>
          <w:szCs w:val="30"/>
        </w:rPr>
        <w:t>We conclude, then, that OTKP’s portraying Israel as the mediator of God’s redemptive reign have a double fulfillment, both elements of which pertain to Christ’s Church and her mission in the present Era of Proclamation.</w:t>
      </w:r>
    </w:p>
    <w:p w14:paraId="78101AE5">
      <w:pPr>
        <w:pStyle w:val="9"/>
        <w:spacing w:before="11"/>
        <w:ind w:left="0"/>
        <w:jc w:val="left"/>
        <w:rPr>
          <w:rFonts w:hint="eastAsia"/>
          <w:sz w:val="30"/>
          <w:szCs w:val="30"/>
        </w:rPr>
      </w:pPr>
      <w:r>
        <w:rPr>
          <w:rFonts w:hint="eastAsia"/>
          <w:sz w:val="30"/>
          <w:szCs w:val="30"/>
        </w:rPr>
        <w:t>因此，我们得出结论，描绘以色列作为上帝救赎统治中介的旧约国度预言（OTKP）有双重应验，其两个要素都与基督的教会及其在当前宣讲时代的使命有关。</w:t>
      </w:r>
    </w:p>
    <w:p w14:paraId="2C49F631">
      <w:pPr>
        <w:pStyle w:val="9"/>
        <w:spacing w:before="11"/>
        <w:ind w:left="0"/>
        <w:jc w:val="left"/>
        <w:rPr>
          <w:rFonts w:hint="eastAsia"/>
          <w:sz w:val="30"/>
          <w:szCs w:val="30"/>
        </w:rPr>
      </w:pPr>
    </w:p>
    <w:p w14:paraId="00FC167D">
      <w:pPr>
        <w:pStyle w:val="9"/>
        <w:spacing w:before="11"/>
        <w:ind w:left="0"/>
        <w:jc w:val="left"/>
        <w:rPr>
          <w:rFonts w:hint="eastAsia"/>
          <w:sz w:val="30"/>
          <w:szCs w:val="30"/>
        </w:rPr>
      </w:pPr>
      <w:r>
        <w:rPr>
          <w:rFonts w:hint="eastAsia"/>
          <w:sz w:val="30"/>
          <w:szCs w:val="30"/>
        </w:rPr>
        <w:t>More narrowly, they depict the Jewish NT remnant—Peter, John, Paul, and all their Jewish successors—triumphantly carrying the Gospel to the Gentiles (Acts 10, 17).</w:t>
      </w:r>
    </w:p>
    <w:p w14:paraId="78B54BB6">
      <w:pPr>
        <w:pStyle w:val="9"/>
        <w:spacing w:before="11"/>
        <w:ind w:left="0"/>
        <w:jc w:val="left"/>
        <w:rPr>
          <w:rFonts w:hint="eastAsia"/>
          <w:sz w:val="30"/>
          <w:szCs w:val="30"/>
        </w:rPr>
      </w:pPr>
      <w:r>
        <w:rPr>
          <w:rFonts w:hint="eastAsia"/>
          <w:sz w:val="30"/>
          <w:szCs w:val="30"/>
        </w:rPr>
        <w:t>更狭义地说，它们描绘了新约的犹太余民——彼得、约翰、保罗以及他们所有的犹太继承人——胜利地将福音传给外邦人（使徒行传 10, 17章）。</w:t>
      </w:r>
    </w:p>
    <w:p w14:paraId="09195836">
      <w:pPr>
        <w:pStyle w:val="9"/>
        <w:spacing w:before="11"/>
        <w:ind w:left="0"/>
        <w:jc w:val="left"/>
        <w:rPr>
          <w:rFonts w:hint="eastAsia"/>
          <w:sz w:val="30"/>
          <w:szCs w:val="30"/>
        </w:rPr>
      </w:pPr>
    </w:p>
    <w:p w14:paraId="56E9F3AD">
      <w:pPr>
        <w:pStyle w:val="9"/>
        <w:spacing w:before="11"/>
        <w:ind w:left="0"/>
        <w:jc w:val="left"/>
        <w:rPr>
          <w:rFonts w:hint="eastAsia"/>
          <w:sz w:val="30"/>
          <w:szCs w:val="30"/>
        </w:rPr>
      </w:pPr>
      <w:r>
        <w:rPr>
          <w:rFonts w:hint="eastAsia"/>
          <w:sz w:val="30"/>
          <w:szCs w:val="30"/>
        </w:rPr>
        <w:t>More broadly, they depict the Church as a whole—both Jew and Gentile—carrying the Gospel to unbelievers everywhere; mediating to men of every tribe, tongue, people, and nation the truth, knowledge, and blessing of God offered to them in Christ.</w:t>
      </w:r>
    </w:p>
    <w:p w14:paraId="5F05B592">
      <w:pPr>
        <w:pStyle w:val="9"/>
        <w:spacing w:before="11"/>
        <w:ind w:left="0"/>
        <w:jc w:val="left"/>
        <w:rPr>
          <w:rFonts w:hint="eastAsia"/>
          <w:sz w:val="30"/>
          <w:szCs w:val="30"/>
        </w:rPr>
      </w:pPr>
      <w:r>
        <w:rPr>
          <w:rFonts w:hint="eastAsia"/>
          <w:sz w:val="30"/>
          <w:szCs w:val="30"/>
        </w:rPr>
        <w:t>更广义地说，它们描绘了整个教会——包括犹太人和外邦人——将福音传给各处的不信者；将上帝在基督里提供给他们的真理、知识和祝福，传递给各族、各方、各民、各国的人。</w:t>
      </w:r>
    </w:p>
    <w:p w14:paraId="44C399D8">
      <w:pPr>
        <w:pStyle w:val="9"/>
        <w:spacing w:before="11"/>
        <w:ind w:left="0"/>
        <w:jc w:val="left"/>
        <w:rPr>
          <w:rFonts w:hint="eastAsia"/>
          <w:sz w:val="30"/>
          <w:szCs w:val="30"/>
        </w:rPr>
      </w:pPr>
    </w:p>
    <w:p w14:paraId="09893911">
      <w:pPr>
        <w:pStyle w:val="9"/>
        <w:spacing w:before="11"/>
        <w:ind w:left="0"/>
        <w:jc w:val="left"/>
        <w:rPr>
          <w:rFonts w:hint="eastAsia"/>
          <w:sz w:val="30"/>
          <w:szCs w:val="30"/>
        </w:rPr>
      </w:pPr>
      <w:r>
        <w:rPr>
          <w:rFonts w:hint="eastAsia"/>
          <w:sz w:val="30"/>
          <w:szCs w:val="30"/>
        </w:rPr>
        <w:t>It is, then, in Christ, in the Church, and in the Gospel that the “Israel” of OTKP mediates the Kingdom of God to the nations.</w:t>
      </w:r>
    </w:p>
    <w:p w14:paraId="4E78656B">
      <w:pPr>
        <w:pStyle w:val="9"/>
        <w:spacing w:before="11"/>
        <w:ind w:left="0"/>
        <w:jc w:val="left"/>
        <w:rPr>
          <w:rFonts w:hint="eastAsia"/>
          <w:sz w:val="30"/>
          <w:szCs w:val="30"/>
        </w:rPr>
      </w:pPr>
      <w:r>
        <w:rPr>
          <w:rFonts w:hint="eastAsia"/>
          <w:sz w:val="30"/>
          <w:szCs w:val="30"/>
        </w:rPr>
        <w:t>因此，旧约国度预言（OTKP）中的“以色列”是在基督里，在教会里，在福音里，将上帝的国度传递给列国。</w:t>
      </w:r>
    </w:p>
    <w:p w14:paraId="1706F064">
      <w:pPr>
        <w:pStyle w:val="9"/>
        <w:spacing w:before="11"/>
        <w:ind w:left="0"/>
        <w:jc w:val="left"/>
        <w:rPr>
          <w:rFonts w:hint="eastAsia"/>
          <w:sz w:val="30"/>
          <w:szCs w:val="30"/>
        </w:rPr>
      </w:pPr>
    </w:p>
    <w:p w14:paraId="197B0353">
      <w:pPr>
        <w:pStyle w:val="9"/>
        <w:spacing w:before="11"/>
        <w:ind w:left="0"/>
        <w:jc w:val="left"/>
        <w:rPr>
          <w:rFonts w:hint="eastAsia"/>
          <w:sz w:val="30"/>
          <w:szCs w:val="30"/>
        </w:rPr>
      </w:pPr>
      <w:r>
        <w:rPr>
          <w:rFonts w:hint="eastAsia"/>
          <w:sz w:val="30"/>
          <w:szCs w:val="30"/>
        </w:rPr>
        <w:t>And Her Messiah</w:t>
      </w:r>
    </w:p>
    <w:p w14:paraId="1F098D06">
      <w:pPr>
        <w:pStyle w:val="9"/>
        <w:spacing w:before="11"/>
        <w:ind w:left="0"/>
        <w:jc w:val="left"/>
        <w:rPr>
          <w:rFonts w:hint="eastAsia"/>
          <w:sz w:val="30"/>
          <w:szCs w:val="30"/>
        </w:rPr>
      </w:pPr>
      <w:r>
        <w:rPr>
          <w:rFonts w:hint="eastAsia"/>
          <w:sz w:val="30"/>
          <w:szCs w:val="30"/>
        </w:rPr>
        <w:t>和她的弥赛亚</w:t>
      </w:r>
    </w:p>
    <w:p w14:paraId="231E8AAC">
      <w:pPr>
        <w:pStyle w:val="9"/>
        <w:spacing w:before="11"/>
        <w:ind w:left="0"/>
        <w:jc w:val="left"/>
        <w:rPr>
          <w:rFonts w:hint="eastAsia"/>
          <w:sz w:val="30"/>
          <w:szCs w:val="30"/>
        </w:rPr>
      </w:pPr>
    </w:p>
    <w:p w14:paraId="06961C16">
      <w:pPr>
        <w:pStyle w:val="9"/>
        <w:spacing w:before="11"/>
        <w:ind w:left="0"/>
        <w:jc w:val="left"/>
        <w:rPr>
          <w:rFonts w:hint="eastAsia"/>
          <w:sz w:val="30"/>
          <w:szCs w:val="30"/>
        </w:rPr>
      </w:pPr>
      <w:r>
        <w:rPr>
          <w:rFonts w:hint="eastAsia"/>
          <w:sz w:val="30"/>
          <w:szCs w:val="30"/>
        </w:rPr>
        <w:t>According to a great many OTKP’s, God will institute, administer, enlarge, and preserve his coming Kingdom through the Messiah, a Spirit- anointed descendant of king David, under whose wise, just, and powerful reign he (God) will deliver Israel from all her enemies, restore her to all the covenant blessings, and enable her to fulfill her priestly vocation by extending the rule of the LORD to the nations.</w:t>
      </w:r>
    </w:p>
    <w:p w14:paraId="5BCA9EA6">
      <w:pPr>
        <w:pStyle w:val="9"/>
        <w:spacing w:before="11"/>
        <w:ind w:left="0"/>
        <w:jc w:val="left"/>
        <w:rPr>
          <w:rFonts w:hint="eastAsia"/>
          <w:sz w:val="30"/>
          <w:szCs w:val="30"/>
        </w:rPr>
      </w:pPr>
      <w:r>
        <w:rPr>
          <w:rFonts w:hint="eastAsia"/>
          <w:sz w:val="30"/>
          <w:szCs w:val="30"/>
        </w:rPr>
        <w:t>根据大量旧约国度预言（OTKP），上帝将通过弥赛亚来建立、管理、扩展和保守祂将要降临的国度。弥赛亚是一位被圣灵膏抹的大卫王的后裔，在祂智慧、公义和强有力的统治下，祂（上帝）将拯救以色列脱离她所有的仇敌，使她恢复所有的圣约祝福，并使她能够通过将耶和华的统治扩展到列国来履行她的祭司职分。</w:t>
      </w:r>
    </w:p>
    <w:p w14:paraId="3AD4CD47">
      <w:pPr>
        <w:pStyle w:val="9"/>
        <w:spacing w:before="11"/>
        <w:ind w:left="0"/>
        <w:jc w:val="left"/>
        <w:rPr>
          <w:rFonts w:hint="eastAsia"/>
          <w:sz w:val="30"/>
          <w:szCs w:val="30"/>
        </w:rPr>
      </w:pPr>
    </w:p>
    <w:p w14:paraId="7A6CA9F5">
      <w:pPr>
        <w:pStyle w:val="9"/>
        <w:spacing w:before="11"/>
        <w:ind w:left="0"/>
        <w:jc w:val="left"/>
        <w:rPr>
          <w:rFonts w:hint="eastAsia"/>
          <w:sz w:val="30"/>
          <w:szCs w:val="30"/>
        </w:rPr>
      </w:pPr>
      <w:r>
        <w:rPr>
          <w:rFonts w:hint="eastAsia"/>
          <w:sz w:val="30"/>
          <w:szCs w:val="30"/>
        </w:rPr>
        <w:t>In short, God will mediate his universal reign through his Anointed.</w:t>
      </w:r>
    </w:p>
    <w:p w14:paraId="43C13F4B">
      <w:pPr>
        <w:pStyle w:val="9"/>
        <w:spacing w:before="11"/>
        <w:ind w:left="0"/>
        <w:jc w:val="left"/>
        <w:rPr>
          <w:rFonts w:hint="eastAsia"/>
          <w:sz w:val="30"/>
          <w:szCs w:val="30"/>
        </w:rPr>
      </w:pPr>
      <w:r>
        <w:rPr>
          <w:rFonts w:hint="eastAsia"/>
          <w:sz w:val="30"/>
          <w:szCs w:val="30"/>
        </w:rPr>
        <w:t>简而言之，上帝将通过祂的受膏者来施行祂普世的统治。</w:t>
      </w:r>
    </w:p>
    <w:p w14:paraId="725EC7D7">
      <w:pPr>
        <w:pStyle w:val="9"/>
        <w:spacing w:before="11"/>
        <w:ind w:left="0"/>
        <w:jc w:val="left"/>
        <w:rPr>
          <w:rFonts w:hint="eastAsia"/>
          <w:sz w:val="30"/>
          <w:szCs w:val="30"/>
        </w:rPr>
      </w:pPr>
    </w:p>
    <w:p w14:paraId="43ACF65A">
      <w:pPr>
        <w:pStyle w:val="9"/>
        <w:spacing w:before="11"/>
        <w:ind w:left="0"/>
        <w:jc w:val="left"/>
        <w:rPr>
          <w:rFonts w:hint="eastAsia"/>
          <w:sz w:val="30"/>
          <w:szCs w:val="30"/>
        </w:rPr>
      </w:pPr>
      <w:r>
        <w:rPr>
          <w:rFonts w:hint="eastAsia"/>
          <w:sz w:val="30"/>
          <w:szCs w:val="30"/>
        </w:rPr>
        <w:t>This is the Representative OT idea of the Person and Work of the Messiah.</w:t>
      </w:r>
    </w:p>
    <w:p w14:paraId="28A5F119">
      <w:pPr>
        <w:pStyle w:val="9"/>
        <w:spacing w:before="11"/>
        <w:ind w:left="0"/>
        <w:jc w:val="left"/>
        <w:rPr>
          <w:rFonts w:hint="eastAsia"/>
          <w:sz w:val="30"/>
          <w:szCs w:val="30"/>
        </w:rPr>
      </w:pPr>
      <w:r>
        <w:rPr>
          <w:rFonts w:hint="eastAsia"/>
          <w:sz w:val="30"/>
          <w:szCs w:val="30"/>
        </w:rPr>
        <w:t>这就是旧约中关于弥赛亚位格和工作的代表性观念。</w:t>
      </w:r>
    </w:p>
    <w:p w14:paraId="5CF52ECF">
      <w:pPr>
        <w:pStyle w:val="9"/>
        <w:spacing w:before="11"/>
        <w:ind w:left="0"/>
        <w:jc w:val="left"/>
        <w:rPr>
          <w:rFonts w:hint="eastAsia"/>
          <w:sz w:val="30"/>
          <w:szCs w:val="30"/>
        </w:rPr>
      </w:pPr>
    </w:p>
    <w:p w14:paraId="7C7641DF">
      <w:pPr>
        <w:pStyle w:val="9"/>
        <w:spacing w:before="11"/>
        <w:ind w:left="0"/>
        <w:jc w:val="left"/>
        <w:rPr>
          <w:rFonts w:hint="eastAsia"/>
          <w:sz w:val="30"/>
          <w:szCs w:val="30"/>
        </w:rPr>
      </w:pPr>
      <w:r>
        <w:rPr>
          <w:rFonts w:hint="eastAsia"/>
          <w:sz w:val="30"/>
          <w:szCs w:val="30"/>
        </w:rPr>
        <w:t>Importantly, the headwaters of this particular stream of Kingdom prophecy are found in 2 Samuel 7:1-17, where we read of God’s covenant with king David (cf. Psalm 89).</w:t>
      </w:r>
    </w:p>
    <w:p w14:paraId="705E4F9C">
      <w:pPr>
        <w:pStyle w:val="9"/>
        <w:spacing w:before="11"/>
        <w:ind w:left="0"/>
        <w:jc w:val="left"/>
        <w:rPr>
          <w:rFonts w:hint="eastAsia"/>
          <w:sz w:val="30"/>
          <w:szCs w:val="30"/>
        </w:rPr>
      </w:pPr>
      <w:r>
        <w:rPr>
          <w:rFonts w:hint="eastAsia"/>
          <w:sz w:val="30"/>
          <w:szCs w:val="30"/>
        </w:rPr>
        <w:t>重要的是，这一特定国度预言流派的源头见于撒母耳记下 7:1-17，在那里我们读到上帝与大卫王所立的约（参看 诗篇 89篇）。</w:t>
      </w:r>
    </w:p>
    <w:p w14:paraId="413FCB35">
      <w:pPr>
        <w:pStyle w:val="9"/>
        <w:spacing w:before="11"/>
        <w:ind w:left="0"/>
        <w:jc w:val="left"/>
        <w:rPr>
          <w:rFonts w:hint="eastAsia"/>
          <w:sz w:val="30"/>
          <w:szCs w:val="30"/>
        </w:rPr>
      </w:pPr>
    </w:p>
    <w:p w14:paraId="7F459928">
      <w:pPr>
        <w:pStyle w:val="9"/>
        <w:spacing w:before="11"/>
        <w:ind w:left="0"/>
        <w:jc w:val="left"/>
        <w:rPr>
          <w:rFonts w:hint="eastAsia"/>
          <w:sz w:val="30"/>
          <w:szCs w:val="30"/>
        </w:rPr>
      </w:pPr>
      <w:r>
        <w:rPr>
          <w:rFonts w:hint="eastAsia"/>
          <w:sz w:val="30"/>
          <w:szCs w:val="30"/>
        </w:rPr>
        <w:t>Speaking not only of Solomon, but also— and primarily—of David’s greater Son (the Messiah), God promises that he will establish his Kingdom and his house (dynasty) forever.</w:t>
      </w:r>
    </w:p>
    <w:p w14:paraId="17DB669E">
      <w:pPr>
        <w:pStyle w:val="9"/>
        <w:spacing w:before="11"/>
        <w:ind w:left="0"/>
        <w:jc w:val="left"/>
        <w:rPr>
          <w:rFonts w:hint="eastAsia"/>
          <w:sz w:val="30"/>
          <w:szCs w:val="30"/>
        </w:rPr>
      </w:pPr>
      <w:r>
        <w:rPr>
          <w:rFonts w:hint="eastAsia"/>
          <w:sz w:val="30"/>
          <w:szCs w:val="30"/>
        </w:rPr>
        <w:t>上帝不仅论到所罗门，也——并且主要是——论到大卫更伟大的子孙（弥赛亚），应许祂将永远建立祂的国度和祂的家（王朝）。</w:t>
      </w:r>
    </w:p>
    <w:p w14:paraId="13747488">
      <w:pPr>
        <w:pStyle w:val="9"/>
        <w:spacing w:before="11"/>
        <w:ind w:left="0"/>
        <w:jc w:val="left"/>
        <w:rPr>
          <w:rFonts w:hint="eastAsia"/>
          <w:sz w:val="30"/>
          <w:szCs w:val="30"/>
        </w:rPr>
      </w:pPr>
    </w:p>
    <w:p w14:paraId="4B148FB2">
      <w:pPr>
        <w:pStyle w:val="9"/>
        <w:spacing w:before="11"/>
        <w:ind w:left="0"/>
        <w:jc w:val="left"/>
        <w:rPr>
          <w:rFonts w:hint="eastAsia"/>
          <w:sz w:val="30"/>
          <w:szCs w:val="30"/>
        </w:rPr>
      </w:pPr>
      <w:r>
        <w:rPr>
          <w:rFonts w:hint="eastAsia"/>
          <w:sz w:val="30"/>
          <w:szCs w:val="30"/>
        </w:rPr>
        <w:t>Moreover, in those days he (the Messiah) will build a Temple for God’s name, give Israel rest from all her enemies, and plant them once and for all in their land, so that they will “move no more.”3</w:t>
      </w:r>
    </w:p>
    <w:p w14:paraId="3C824698">
      <w:pPr>
        <w:pStyle w:val="9"/>
        <w:spacing w:before="11"/>
        <w:ind w:left="0"/>
        <w:jc w:val="left"/>
        <w:rPr>
          <w:rFonts w:hint="eastAsia"/>
          <w:sz w:val="30"/>
          <w:szCs w:val="30"/>
        </w:rPr>
      </w:pPr>
      <w:r>
        <w:rPr>
          <w:rFonts w:hint="eastAsia"/>
          <w:sz w:val="30"/>
          <w:szCs w:val="30"/>
        </w:rPr>
        <w:t>此外，在那些日子，祂（弥赛亚）将为上帝的名建造一座圣殿，使以色列安息，脱离她所有的仇敌，并将他们一劳永逸地栽种在他们的土地上，使他们“不再迁移”。3</w:t>
      </w:r>
    </w:p>
    <w:p w14:paraId="0A9BE42F">
      <w:pPr>
        <w:pStyle w:val="9"/>
        <w:spacing w:before="11"/>
        <w:ind w:left="0"/>
        <w:jc w:val="left"/>
        <w:rPr>
          <w:rFonts w:hint="eastAsia"/>
          <w:sz w:val="30"/>
          <w:szCs w:val="30"/>
        </w:rPr>
      </w:pPr>
    </w:p>
    <w:p w14:paraId="0C867D6A">
      <w:pPr>
        <w:pStyle w:val="9"/>
        <w:spacing w:before="11"/>
        <w:ind w:left="0"/>
        <w:jc w:val="left"/>
        <w:rPr>
          <w:rFonts w:hint="eastAsia"/>
          <w:sz w:val="30"/>
          <w:szCs w:val="30"/>
        </w:rPr>
      </w:pPr>
      <w:r>
        <w:rPr>
          <w:rFonts w:hint="eastAsia"/>
          <w:sz w:val="30"/>
          <w:szCs w:val="30"/>
        </w:rPr>
        <w:t>Most (but not all) subsequent Messianic prophecies build upon this prototype, the main addition being predictions of the universality of the Messiah’s future Kingdom.</w:t>
      </w:r>
    </w:p>
    <w:p w14:paraId="25A4668F">
      <w:pPr>
        <w:pStyle w:val="9"/>
        <w:spacing w:before="11"/>
        <w:ind w:left="0"/>
        <w:jc w:val="left"/>
        <w:rPr>
          <w:rFonts w:hint="eastAsia"/>
          <w:sz w:val="30"/>
          <w:szCs w:val="30"/>
        </w:rPr>
      </w:pPr>
      <w:r>
        <w:rPr>
          <w:rFonts w:hint="eastAsia"/>
          <w:sz w:val="30"/>
          <w:szCs w:val="30"/>
        </w:rPr>
        <w:t>大多数（但非全部）后来的弥赛亚预言都建立在这个原型之上，主要增加的是对弥赛亚未来国度普世性的预言。</w:t>
      </w:r>
    </w:p>
    <w:p w14:paraId="47293F3B">
      <w:pPr>
        <w:pStyle w:val="9"/>
        <w:spacing w:before="11"/>
        <w:ind w:left="0"/>
        <w:jc w:val="left"/>
        <w:rPr>
          <w:rFonts w:hint="eastAsia"/>
          <w:sz w:val="30"/>
          <w:szCs w:val="30"/>
        </w:rPr>
      </w:pPr>
    </w:p>
    <w:p w14:paraId="62CB2F06">
      <w:pPr>
        <w:pStyle w:val="9"/>
        <w:spacing w:before="11"/>
        <w:ind w:left="0"/>
        <w:jc w:val="left"/>
        <w:rPr>
          <w:rFonts w:hint="eastAsia"/>
          <w:sz w:val="30"/>
          <w:szCs w:val="30"/>
        </w:rPr>
      </w:pPr>
      <w:r>
        <w:rPr>
          <w:rFonts w:hint="eastAsia"/>
          <w:sz w:val="30"/>
          <w:szCs w:val="30"/>
        </w:rPr>
        <w:t>Broadly speaking, the picture is this: After he delivers his people from captivity and exile, God will raise up a chosen Son of David (Isaiah 9:6-7, Jer. 30:9, Hosea 3:5, Ezek. 34:23-24).</w:t>
      </w:r>
    </w:p>
    <w:p w14:paraId="069BF39C">
      <w:pPr>
        <w:pStyle w:val="9"/>
        <w:spacing w:before="11"/>
        <w:ind w:left="0"/>
        <w:jc w:val="left"/>
        <w:rPr>
          <w:rFonts w:hint="eastAsia"/>
          <w:sz w:val="30"/>
          <w:szCs w:val="30"/>
        </w:rPr>
      </w:pPr>
      <w:r>
        <w:rPr>
          <w:rFonts w:hint="eastAsia"/>
          <w:sz w:val="30"/>
          <w:szCs w:val="30"/>
        </w:rPr>
        <w:t>概括地说，图景是这样的：在祂将祂的子民从被掳和流亡中拯救出来之后，上帝将兴起一位被拣选的大卫之子（以赛亚书 9:6-7, 耶利米书 30:9, 何西阿书 3:5, 以西结书 34:23-24）。</w:t>
      </w:r>
    </w:p>
    <w:p w14:paraId="2AE0D703">
      <w:pPr>
        <w:pStyle w:val="9"/>
        <w:spacing w:before="11"/>
        <w:ind w:left="0"/>
        <w:jc w:val="left"/>
        <w:rPr>
          <w:rFonts w:hint="eastAsia"/>
          <w:sz w:val="30"/>
          <w:szCs w:val="30"/>
        </w:rPr>
      </w:pPr>
    </w:p>
    <w:p w14:paraId="35DB38DF">
      <w:pPr>
        <w:pStyle w:val="9"/>
        <w:spacing w:before="11"/>
        <w:ind w:left="0"/>
        <w:jc w:val="left"/>
        <w:rPr>
          <w:rFonts w:hint="eastAsia"/>
          <w:sz w:val="30"/>
          <w:szCs w:val="30"/>
        </w:rPr>
      </w:pPr>
      <w:r>
        <w:rPr>
          <w:rFonts w:hint="eastAsia"/>
          <w:sz w:val="30"/>
          <w:szCs w:val="30"/>
        </w:rPr>
        <w:t>Born in Bethlehem, and therefore of the tribe of Judah (Micah 5:2), he will be a mighty warrior king, commanding the fierce loyalty of his followers, just as David did in former times (Psalm 110:3, Micah 5:5-7, Zech. 9:9-17).</w:t>
      </w:r>
    </w:p>
    <w:p w14:paraId="5E256A16">
      <w:pPr>
        <w:pStyle w:val="9"/>
        <w:spacing w:before="11"/>
        <w:ind w:left="0"/>
        <w:jc w:val="left"/>
        <w:rPr>
          <w:rFonts w:hint="eastAsia"/>
          <w:sz w:val="30"/>
          <w:szCs w:val="30"/>
        </w:rPr>
      </w:pPr>
      <w:r>
        <w:rPr>
          <w:rFonts w:hint="eastAsia"/>
          <w:sz w:val="30"/>
          <w:szCs w:val="30"/>
        </w:rPr>
        <w:t>祂生于伯利恒，因此出自犹大支派（弥迦书 5:2），祂将是一位大能的战士君王，赢得祂追随者们强烈的忠诚，就像古时的大卫一样（诗篇 110:3, 弥迦书 5:5-7, 撒迦利亚书 9:9-17）。</w:t>
      </w:r>
    </w:p>
    <w:p w14:paraId="7DA24000">
      <w:pPr>
        <w:pStyle w:val="9"/>
        <w:spacing w:before="11"/>
        <w:ind w:left="0"/>
        <w:jc w:val="left"/>
        <w:rPr>
          <w:rFonts w:hint="eastAsia"/>
          <w:sz w:val="30"/>
          <w:szCs w:val="30"/>
        </w:rPr>
      </w:pPr>
    </w:p>
    <w:p w14:paraId="123A29CB">
      <w:pPr>
        <w:pStyle w:val="9"/>
        <w:spacing w:before="11"/>
        <w:ind w:left="0"/>
        <w:jc w:val="left"/>
        <w:rPr>
          <w:rFonts w:hint="eastAsia"/>
          <w:sz w:val="30"/>
          <w:szCs w:val="30"/>
        </w:rPr>
      </w:pPr>
      <w:r>
        <w:rPr>
          <w:rFonts w:hint="eastAsia"/>
          <w:sz w:val="30"/>
          <w:szCs w:val="30"/>
        </w:rPr>
        <w:t>Under his leadership, Israel and Judah (Ephraim and Joseph) will be joined together as one, just as they were in the glory days of the united monarchy (Jer. 23:6, Ezek. 37:24-25).</w:t>
      </w:r>
    </w:p>
    <w:p w14:paraId="2F66E5A5">
      <w:pPr>
        <w:pStyle w:val="9"/>
        <w:spacing w:before="11"/>
        <w:ind w:left="0"/>
        <w:jc w:val="left"/>
        <w:rPr>
          <w:rFonts w:hint="eastAsia"/>
          <w:sz w:val="30"/>
          <w:szCs w:val="30"/>
        </w:rPr>
      </w:pPr>
      <w:r>
        <w:rPr>
          <w:rFonts w:hint="eastAsia"/>
          <w:sz w:val="30"/>
          <w:szCs w:val="30"/>
        </w:rPr>
        <w:t>在祂的领导下，以色列和犹大（以法莲和约瑟）将联合为一，就像他们在统一王国辉煌的日子里一样（耶利米书 23:6, 以西结书 37:24-25）。</w:t>
      </w:r>
    </w:p>
    <w:p w14:paraId="0293AAD5">
      <w:pPr>
        <w:pStyle w:val="9"/>
        <w:spacing w:before="11"/>
        <w:ind w:left="0"/>
        <w:jc w:val="left"/>
        <w:rPr>
          <w:rFonts w:hint="eastAsia"/>
          <w:sz w:val="30"/>
          <w:szCs w:val="30"/>
        </w:rPr>
      </w:pPr>
    </w:p>
    <w:p w14:paraId="2FD1134A">
      <w:pPr>
        <w:pStyle w:val="9"/>
        <w:spacing w:before="11"/>
        <w:ind w:left="0"/>
        <w:jc w:val="left"/>
        <w:rPr>
          <w:rFonts w:hint="eastAsia"/>
          <w:sz w:val="30"/>
          <w:szCs w:val="30"/>
        </w:rPr>
      </w:pPr>
      <w:r>
        <w:rPr>
          <w:rFonts w:hint="eastAsia"/>
          <w:sz w:val="30"/>
          <w:szCs w:val="30"/>
        </w:rPr>
        <w:t>He will secure his people and his land against all enemies (Psalm 2:5, 9, 12, Isaiah 9:2-7, Jer. 23:1-7, Micah 5:1-9).</w:t>
      </w:r>
    </w:p>
    <w:p w14:paraId="28A3B8EF">
      <w:pPr>
        <w:pStyle w:val="9"/>
        <w:spacing w:before="11"/>
        <w:ind w:left="0"/>
        <w:jc w:val="left"/>
        <w:rPr>
          <w:rFonts w:hint="eastAsia"/>
          <w:sz w:val="30"/>
          <w:szCs w:val="30"/>
        </w:rPr>
      </w:pPr>
      <w:r>
        <w:rPr>
          <w:rFonts w:hint="eastAsia"/>
          <w:sz w:val="30"/>
          <w:szCs w:val="30"/>
        </w:rPr>
        <w:t>祂将保卫祂的子民和祂的土地，抵御所有仇敌（诗篇 2:5, 9, 12, 以赛亚书 9:2-7, 耶利米书 23:1-7, 弥迦书 5:1-9）。</w:t>
      </w:r>
    </w:p>
    <w:p w14:paraId="5017B14E">
      <w:pPr>
        <w:pStyle w:val="9"/>
        <w:spacing w:before="11"/>
        <w:ind w:left="0"/>
        <w:jc w:val="left"/>
        <w:rPr>
          <w:rFonts w:hint="eastAsia"/>
          <w:sz w:val="30"/>
          <w:szCs w:val="30"/>
        </w:rPr>
      </w:pPr>
    </w:p>
    <w:p w14:paraId="23E2ED5A">
      <w:pPr>
        <w:pStyle w:val="9"/>
        <w:spacing w:before="11"/>
        <w:ind w:left="0"/>
        <w:jc w:val="left"/>
        <w:rPr>
          <w:rFonts w:hint="eastAsia"/>
          <w:sz w:val="30"/>
          <w:szCs w:val="30"/>
        </w:rPr>
      </w:pPr>
      <w:r>
        <w:rPr>
          <w:rFonts w:hint="eastAsia"/>
          <w:sz w:val="30"/>
          <w:szCs w:val="30"/>
        </w:rPr>
        <w:t>In his days, God will also send the Holy Spirit, thereby giving his people a heart to obey him; therefore, there will be showers of (covenant) blessings (Isaiah 4:2-6, Jer. 30:9, 18-22, Ezek. 34:23-31).</w:t>
      </w:r>
    </w:p>
    <w:p w14:paraId="322689EB">
      <w:pPr>
        <w:pStyle w:val="9"/>
        <w:spacing w:before="11"/>
        <w:ind w:left="0"/>
        <w:jc w:val="left"/>
        <w:rPr>
          <w:rFonts w:hint="eastAsia"/>
          <w:sz w:val="30"/>
          <w:szCs w:val="30"/>
        </w:rPr>
      </w:pPr>
      <w:r>
        <w:rPr>
          <w:rFonts w:hint="eastAsia"/>
          <w:sz w:val="30"/>
          <w:szCs w:val="30"/>
        </w:rPr>
        <w:t>在祂的日子里，上帝也会差遣圣灵，从而赐给祂的子民一颗顺服祂的心；因此，将有（圣约的）福气如雨降下（以赛亚书 4:2-6, 耶利米书 30:9, 18-22, 以西结书 34:23-31）。</w:t>
      </w:r>
    </w:p>
    <w:p w14:paraId="48BFA84E">
      <w:pPr>
        <w:pStyle w:val="9"/>
        <w:spacing w:before="11"/>
        <w:ind w:left="0"/>
        <w:jc w:val="left"/>
        <w:rPr>
          <w:rFonts w:hint="eastAsia"/>
          <w:sz w:val="30"/>
          <w:szCs w:val="30"/>
        </w:rPr>
      </w:pPr>
    </w:p>
    <w:p w14:paraId="6DF12AF4">
      <w:pPr>
        <w:pStyle w:val="9"/>
        <w:spacing w:before="11"/>
        <w:ind w:left="0"/>
        <w:jc w:val="left"/>
        <w:rPr>
          <w:rFonts w:hint="eastAsia"/>
          <w:sz w:val="30"/>
          <w:szCs w:val="30"/>
        </w:rPr>
      </w:pPr>
      <w:r>
        <w:rPr>
          <w:rFonts w:hint="eastAsia"/>
          <w:sz w:val="30"/>
          <w:szCs w:val="30"/>
        </w:rPr>
        <w:t>Moreover, the Messiah’s dominion —and the LORD’s as well—will spread from sea to sea, from the River to the ends of the earth (Psalms 2:8, 72:8, 17, Micah 5:4, Zech. 9:10).</w:t>
      </w:r>
    </w:p>
    <w:p w14:paraId="766219CC">
      <w:pPr>
        <w:pStyle w:val="9"/>
        <w:spacing w:before="11"/>
        <w:ind w:left="0"/>
        <w:jc w:val="left"/>
        <w:rPr>
          <w:rFonts w:hint="eastAsia"/>
          <w:sz w:val="30"/>
          <w:szCs w:val="30"/>
        </w:rPr>
      </w:pPr>
      <w:r>
        <w:rPr>
          <w:rFonts w:hint="eastAsia"/>
          <w:sz w:val="30"/>
          <w:szCs w:val="30"/>
        </w:rPr>
        <w:t>此外，弥赛亚的统治权——以及耶和华的统治权——将从这海到那海，从大河到地极（诗篇 2:8, 72:8, 17, 弥迦书 5:4, 撒迦利亚书 9:10）。</w:t>
      </w:r>
    </w:p>
    <w:p w14:paraId="7B19B9F2">
      <w:pPr>
        <w:pStyle w:val="9"/>
        <w:spacing w:before="11"/>
        <w:ind w:left="0"/>
        <w:jc w:val="left"/>
        <w:rPr>
          <w:rFonts w:hint="eastAsia"/>
          <w:sz w:val="30"/>
          <w:szCs w:val="30"/>
        </w:rPr>
      </w:pPr>
    </w:p>
    <w:p w14:paraId="1E797311">
      <w:pPr>
        <w:pStyle w:val="9"/>
        <w:spacing w:before="11"/>
        <w:ind w:left="0"/>
        <w:jc w:val="left"/>
        <w:rPr>
          <w:rFonts w:hint="eastAsia"/>
          <w:sz w:val="30"/>
          <w:szCs w:val="30"/>
        </w:rPr>
      </w:pPr>
      <w:r>
        <w:rPr>
          <w:rFonts w:hint="eastAsia"/>
          <w:sz w:val="30"/>
          <w:szCs w:val="30"/>
        </w:rPr>
        <w:t>In those days, he will punish the wicked and rebellious (Psalm 2:9, Isaiah 11:4), rescue the oppressed (Psalm 72:4, 12-14, Isaiah 11:4), maintain the cause of the poor (Isaiah 11:4), and establish justice throughout the earth (Isaiah 9:7, 42:1-4).</w:t>
      </w:r>
    </w:p>
    <w:p w14:paraId="529C472F">
      <w:pPr>
        <w:pStyle w:val="9"/>
        <w:spacing w:before="11"/>
        <w:ind w:left="0"/>
        <w:jc w:val="left"/>
        <w:rPr>
          <w:rFonts w:hint="eastAsia"/>
          <w:sz w:val="30"/>
          <w:szCs w:val="30"/>
        </w:rPr>
      </w:pPr>
      <w:r>
        <w:rPr>
          <w:rFonts w:hint="eastAsia"/>
          <w:sz w:val="30"/>
          <w:szCs w:val="30"/>
        </w:rPr>
        <w:t>在那些日子，祂将惩罚恶人和悖逆者（诗篇 2:9, 以赛亚书 11:4），拯救受压迫者（诗篇 72:4, 12-14, 以赛亚书 11:4），维护穷人的权益（以赛亚书 11:4），并在全地建立公义（以赛亚书 9:7, 42:1-4）。</w:t>
      </w:r>
    </w:p>
    <w:p w14:paraId="6E5896E1">
      <w:pPr>
        <w:pStyle w:val="9"/>
        <w:spacing w:before="11"/>
        <w:ind w:left="0"/>
        <w:jc w:val="left"/>
        <w:rPr>
          <w:rFonts w:hint="eastAsia"/>
          <w:sz w:val="30"/>
          <w:szCs w:val="30"/>
        </w:rPr>
      </w:pPr>
    </w:p>
    <w:p w14:paraId="40C617FD">
      <w:pPr>
        <w:pStyle w:val="9"/>
        <w:spacing w:before="11"/>
        <w:ind w:left="0"/>
        <w:jc w:val="left"/>
        <w:rPr>
          <w:rFonts w:hint="eastAsia"/>
          <w:sz w:val="30"/>
          <w:szCs w:val="30"/>
        </w:rPr>
      </w:pPr>
      <w:r>
        <w:rPr>
          <w:rFonts w:hint="eastAsia"/>
          <w:sz w:val="30"/>
          <w:szCs w:val="30"/>
        </w:rPr>
        <w:t>Both man and nature will enjoy peace, prosperity, and the presence and glory of God (Psalm 72:3, 16, Isaiah 9:7, 11:6-9, Amos 9:11-18, Micah 5:4).</w:t>
      </w:r>
    </w:p>
    <w:p w14:paraId="6AE47330">
      <w:pPr>
        <w:pStyle w:val="9"/>
        <w:spacing w:before="11"/>
        <w:ind w:left="0"/>
        <w:jc w:val="left"/>
        <w:rPr>
          <w:rFonts w:hint="eastAsia"/>
          <w:sz w:val="30"/>
          <w:szCs w:val="30"/>
        </w:rPr>
      </w:pPr>
      <w:r>
        <w:rPr>
          <w:rFonts w:hint="eastAsia"/>
          <w:sz w:val="30"/>
          <w:szCs w:val="30"/>
        </w:rPr>
        <w:t>人类和自然界都将享受和平、繁荣，以及上帝的同在和荣耀（诗篇 72:3, 16, 以赛亚书 9:7, 11:6-9, 阿摩司书 9:11-18, 弥迦书 5:4）。</w:t>
      </w:r>
    </w:p>
    <w:p w14:paraId="14D8B22F">
      <w:pPr>
        <w:pStyle w:val="9"/>
        <w:spacing w:before="11"/>
        <w:ind w:left="0"/>
        <w:jc w:val="left"/>
        <w:rPr>
          <w:rFonts w:hint="eastAsia"/>
          <w:sz w:val="30"/>
          <w:szCs w:val="30"/>
        </w:rPr>
      </w:pPr>
    </w:p>
    <w:p w14:paraId="5285D099">
      <w:pPr>
        <w:pStyle w:val="9"/>
        <w:spacing w:before="11"/>
        <w:ind w:left="0"/>
        <w:jc w:val="left"/>
        <w:rPr>
          <w:rFonts w:hint="eastAsia"/>
          <w:sz w:val="30"/>
          <w:szCs w:val="30"/>
        </w:rPr>
      </w:pPr>
      <w:r>
        <w:rPr>
          <w:rFonts w:hint="eastAsia"/>
          <w:sz w:val="30"/>
          <w:szCs w:val="30"/>
        </w:rPr>
        <w:t>For all these reasons, men will praise God’s anointed King every day, and his name will be great to the ends of the earth (Psalm 72:11, 15, Micah 5:4).</w:t>
      </w:r>
    </w:p>
    <w:p w14:paraId="60CE1188">
      <w:pPr>
        <w:pStyle w:val="9"/>
        <w:spacing w:before="11"/>
        <w:ind w:left="0"/>
        <w:jc w:val="left"/>
        <w:rPr>
          <w:rFonts w:hint="eastAsia"/>
          <w:sz w:val="30"/>
          <w:szCs w:val="30"/>
        </w:rPr>
      </w:pPr>
      <w:r>
        <w:rPr>
          <w:rFonts w:hint="eastAsia"/>
          <w:sz w:val="30"/>
          <w:szCs w:val="30"/>
        </w:rPr>
        <w:t>因着所有这些原因，人们将每日赞美上帝所膏的君王，祂的名将传到地极，为大（诗篇 72:11, 15, 弥迦书 5:4）。</w:t>
      </w:r>
    </w:p>
    <w:p w14:paraId="7FD875EA">
      <w:pPr>
        <w:pStyle w:val="9"/>
        <w:spacing w:before="11"/>
        <w:ind w:left="0"/>
        <w:jc w:val="left"/>
        <w:rPr>
          <w:rFonts w:hint="eastAsia"/>
          <w:sz w:val="30"/>
          <w:szCs w:val="30"/>
        </w:rPr>
      </w:pPr>
    </w:p>
    <w:p w14:paraId="644A15EF">
      <w:pPr>
        <w:pStyle w:val="9"/>
        <w:spacing w:before="11"/>
        <w:ind w:left="0"/>
        <w:jc w:val="left"/>
        <w:rPr>
          <w:rFonts w:hint="eastAsia"/>
          <w:sz w:val="30"/>
          <w:szCs w:val="30"/>
        </w:rPr>
      </w:pPr>
      <w:r>
        <w:rPr>
          <w:rFonts w:hint="eastAsia"/>
          <w:sz w:val="30"/>
          <w:szCs w:val="30"/>
        </w:rPr>
        <w:t>Again, this is the Representative, or customary, OT idea of the Messiah and his reign.</w:t>
      </w:r>
    </w:p>
    <w:p w14:paraId="0338285F">
      <w:pPr>
        <w:pStyle w:val="9"/>
        <w:spacing w:before="11"/>
        <w:ind w:left="0"/>
        <w:jc w:val="left"/>
        <w:rPr>
          <w:rFonts w:hint="eastAsia"/>
          <w:sz w:val="30"/>
          <w:szCs w:val="30"/>
        </w:rPr>
      </w:pPr>
      <w:r>
        <w:rPr>
          <w:rFonts w:hint="eastAsia"/>
          <w:sz w:val="30"/>
          <w:szCs w:val="30"/>
        </w:rPr>
        <w:t>再次，这是旧约中关于弥赛亚和祂统治的代表性或惯常的观念。</w:t>
      </w:r>
    </w:p>
    <w:p w14:paraId="7C8DA981">
      <w:pPr>
        <w:pStyle w:val="9"/>
        <w:spacing w:before="11"/>
        <w:ind w:left="0"/>
        <w:jc w:val="left"/>
        <w:rPr>
          <w:rFonts w:hint="eastAsia"/>
          <w:sz w:val="30"/>
          <w:szCs w:val="30"/>
        </w:rPr>
      </w:pPr>
    </w:p>
    <w:p w14:paraId="17AD7D98">
      <w:pPr>
        <w:pStyle w:val="9"/>
        <w:spacing w:before="11"/>
        <w:ind w:left="0"/>
        <w:jc w:val="left"/>
        <w:rPr>
          <w:rFonts w:hint="eastAsia"/>
          <w:sz w:val="30"/>
          <w:szCs w:val="30"/>
        </w:rPr>
      </w:pPr>
      <w:r>
        <w:rPr>
          <w:rFonts w:hint="eastAsia"/>
          <w:sz w:val="30"/>
          <w:szCs w:val="30"/>
        </w:rPr>
        <w:t>If, however, we carefully examine the complete body of Messianic prophecy, we discover a number of fascinating anomalies, anomalies that press upon us the urgency of turning to the NT for a more perfect understanding of this crucial stream of OT revelation.</w:t>
      </w:r>
    </w:p>
    <w:p w14:paraId="64289CB1">
      <w:pPr>
        <w:pStyle w:val="9"/>
        <w:spacing w:before="11"/>
        <w:ind w:left="0"/>
        <w:jc w:val="left"/>
        <w:rPr>
          <w:rFonts w:hint="eastAsia"/>
          <w:sz w:val="30"/>
          <w:szCs w:val="30"/>
        </w:rPr>
      </w:pPr>
      <w:r>
        <w:rPr>
          <w:rFonts w:hint="eastAsia"/>
          <w:sz w:val="30"/>
          <w:szCs w:val="30"/>
        </w:rPr>
        <w:t>然而，如果我们仔细审视全部的弥赛亚预言，我们会发现一些引人入胜的反常之处，这些反常之处迫使我们认识到，为了更完美地理解旧约启示中这一关键流派，我们迫切需要转向新约。</w:t>
      </w:r>
    </w:p>
    <w:p w14:paraId="09C5D028">
      <w:pPr>
        <w:pStyle w:val="9"/>
        <w:spacing w:before="11"/>
        <w:ind w:left="0"/>
        <w:jc w:val="left"/>
        <w:rPr>
          <w:rFonts w:hint="eastAsia"/>
          <w:sz w:val="30"/>
          <w:szCs w:val="30"/>
        </w:rPr>
      </w:pPr>
    </w:p>
    <w:p w14:paraId="63A1BFAA">
      <w:pPr>
        <w:pStyle w:val="9"/>
        <w:spacing w:before="11"/>
        <w:ind w:left="0"/>
        <w:jc w:val="left"/>
        <w:rPr>
          <w:rFonts w:hint="eastAsia"/>
          <w:sz w:val="30"/>
          <w:szCs w:val="30"/>
        </w:rPr>
      </w:pPr>
      <w:r>
        <w:rPr>
          <w:rFonts w:hint="eastAsia"/>
          <w:sz w:val="30"/>
          <w:szCs w:val="30"/>
        </w:rPr>
        <w:t>Of first importance are the anomalous texts describing the person of the Messiah.</w:t>
      </w:r>
    </w:p>
    <w:p w14:paraId="008191E6">
      <w:pPr>
        <w:pStyle w:val="9"/>
        <w:spacing w:before="11"/>
        <w:ind w:left="0"/>
        <w:jc w:val="left"/>
        <w:rPr>
          <w:rFonts w:hint="eastAsia"/>
          <w:sz w:val="30"/>
          <w:szCs w:val="30"/>
        </w:rPr>
      </w:pPr>
      <w:r>
        <w:rPr>
          <w:rFonts w:hint="eastAsia"/>
          <w:sz w:val="30"/>
          <w:szCs w:val="30"/>
        </w:rPr>
        <w:t>首先重要的是描述弥赛亚位格的反常经文。</w:t>
      </w:r>
    </w:p>
    <w:p w14:paraId="78238A6B">
      <w:pPr>
        <w:pStyle w:val="9"/>
        <w:spacing w:before="11"/>
        <w:ind w:left="0"/>
        <w:jc w:val="left"/>
        <w:rPr>
          <w:rFonts w:hint="eastAsia"/>
          <w:sz w:val="30"/>
          <w:szCs w:val="30"/>
        </w:rPr>
      </w:pPr>
    </w:p>
    <w:p w14:paraId="6F502B4C">
      <w:pPr>
        <w:pStyle w:val="9"/>
        <w:spacing w:before="11"/>
        <w:ind w:left="0"/>
        <w:jc w:val="left"/>
        <w:rPr>
          <w:rFonts w:hint="eastAsia"/>
          <w:sz w:val="30"/>
          <w:szCs w:val="30"/>
        </w:rPr>
      </w:pPr>
      <w:r>
        <w:rPr>
          <w:rFonts w:hint="eastAsia"/>
          <w:sz w:val="30"/>
          <w:szCs w:val="30"/>
        </w:rPr>
        <w:t>In these, we learn that he is not only a human being, but also—in a way that requires further (NT) explanation—a divine being.</w:t>
      </w:r>
    </w:p>
    <w:p w14:paraId="61326D99">
      <w:pPr>
        <w:pStyle w:val="9"/>
        <w:spacing w:before="11"/>
        <w:ind w:left="0"/>
        <w:jc w:val="left"/>
        <w:rPr>
          <w:rFonts w:hint="eastAsia"/>
          <w:sz w:val="30"/>
          <w:szCs w:val="30"/>
        </w:rPr>
      </w:pPr>
      <w:r>
        <w:rPr>
          <w:rFonts w:hint="eastAsia"/>
          <w:sz w:val="30"/>
          <w:szCs w:val="30"/>
        </w:rPr>
        <w:t>在这些经文中，我们得知祂不仅是一个人，而且——以一种需要进一步（新约）解释的方式——也是一个神圣的存在。</w:t>
      </w:r>
    </w:p>
    <w:p w14:paraId="6FA86476">
      <w:pPr>
        <w:pStyle w:val="9"/>
        <w:spacing w:before="11"/>
        <w:ind w:left="0"/>
        <w:jc w:val="left"/>
        <w:rPr>
          <w:rFonts w:hint="eastAsia"/>
          <w:sz w:val="30"/>
          <w:szCs w:val="30"/>
        </w:rPr>
      </w:pPr>
    </w:p>
    <w:p w14:paraId="3C885394">
      <w:pPr>
        <w:pStyle w:val="9"/>
        <w:spacing w:before="11"/>
        <w:ind w:left="0"/>
        <w:jc w:val="left"/>
        <w:rPr>
          <w:rFonts w:hint="eastAsia"/>
          <w:sz w:val="30"/>
          <w:szCs w:val="30"/>
        </w:rPr>
      </w:pPr>
      <w:r>
        <w:rPr>
          <w:rFonts w:hint="eastAsia"/>
          <w:sz w:val="30"/>
          <w:szCs w:val="30"/>
        </w:rPr>
        <w:t>Thus, David, speaking by the Spirit, calls him his Adonai, or Lord (Psalm 110:1, Mark 12:36).</w:t>
      </w:r>
    </w:p>
    <w:p w14:paraId="6B63D752">
      <w:pPr>
        <w:pStyle w:val="9"/>
        <w:spacing w:before="11"/>
        <w:ind w:left="0"/>
        <w:jc w:val="left"/>
        <w:rPr>
          <w:rFonts w:hint="eastAsia"/>
          <w:sz w:val="30"/>
          <w:szCs w:val="30"/>
        </w:rPr>
      </w:pPr>
      <w:r>
        <w:rPr>
          <w:rFonts w:hint="eastAsia"/>
          <w:sz w:val="30"/>
          <w:szCs w:val="30"/>
        </w:rPr>
        <w:t>因此，大卫被圣灵感动，称祂为他的阿多奈（Adonai），即主（诗篇 110:1, 马可福音 12:36）。</w:t>
      </w:r>
    </w:p>
    <w:p w14:paraId="0A657B49">
      <w:pPr>
        <w:pStyle w:val="9"/>
        <w:spacing w:before="11"/>
        <w:ind w:left="0"/>
        <w:jc w:val="left"/>
        <w:rPr>
          <w:rFonts w:hint="eastAsia"/>
          <w:sz w:val="30"/>
          <w:szCs w:val="30"/>
        </w:rPr>
      </w:pPr>
    </w:p>
    <w:p w14:paraId="23F44D6F">
      <w:pPr>
        <w:pStyle w:val="9"/>
        <w:spacing w:before="11"/>
        <w:ind w:left="0"/>
        <w:jc w:val="left"/>
        <w:rPr>
          <w:rFonts w:hint="eastAsia"/>
          <w:sz w:val="30"/>
          <w:szCs w:val="30"/>
        </w:rPr>
      </w:pPr>
      <w:r>
        <w:rPr>
          <w:rFonts w:hint="eastAsia"/>
          <w:sz w:val="30"/>
          <w:szCs w:val="30"/>
        </w:rPr>
        <w:t>Isaiah refers to him as the Mighty God and the Everlasting Father (Isaiah 9:7).</w:t>
      </w:r>
    </w:p>
    <w:p w14:paraId="01623B75">
      <w:pPr>
        <w:pStyle w:val="9"/>
        <w:spacing w:before="11"/>
        <w:ind w:left="0"/>
        <w:jc w:val="left"/>
        <w:rPr>
          <w:rFonts w:hint="eastAsia"/>
          <w:sz w:val="30"/>
          <w:szCs w:val="30"/>
        </w:rPr>
      </w:pPr>
      <w:r>
        <w:rPr>
          <w:rFonts w:hint="eastAsia"/>
          <w:sz w:val="30"/>
          <w:szCs w:val="30"/>
        </w:rPr>
        <w:t>以赛亚称祂为全能的上帝和永在的父（以赛亚书 9:7）。</w:t>
      </w:r>
    </w:p>
    <w:p w14:paraId="34F787B9">
      <w:pPr>
        <w:pStyle w:val="9"/>
        <w:spacing w:before="11"/>
        <w:ind w:left="0"/>
        <w:jc w:val="left"/>
        <w:rPr>
          <w:rFonts w:hint="eastAsia"/>
          <w:sz w:val="30"/>
          <w:szCs w:val="30"/>
        </w:rPr>
      </w:pPr>
    </w:p>
    <w:p w14:paraId="6B5E0A80">
      <w:pPr>
        <w:pStyle w:val="9"/>
        <w:spacing w:before="11"/>
        <w:ind w:left="0"/>
        <w:jc w:val="left"/>
        <w:rPr>
          <w:rFonts w:hint="eastAsia"/>
          <w:sz w:val="30"/>
          <w:szCs w:val="30"/>
        </w:rPr>
      </w:pPr>
      <w:r>
        <w:rPr>
          <w:rFonts w:hint="eastAsia"/>
          <w:sz w:val="30"/>
          <w:szCs w:val="30"/>
        </w:rPr>
        <w:t>In two other passages with definite Messianic overtones, he also calls him Immanuel, or God With Us (Isaiah 7:14, 8:8).</w:t>
      </w:r>
    </w:p>
    <w:p w14:paraId="6D381FEF">
      <w:pPr>
        <w:pStyle w:val="9"/>
        <w:spacing w:before="11"/>
        <w:ind w:left="0"/>
        <w:jc w:val="left"/>
        <w:rPr>
          <w:rFonts w:hint="eastAsia"/>
          <w:sz w:val="30"/>
          <w:szCs w:val="30"/>
        </w:rPr>
      </w:pPr>
      <w:r>
        <w:rPr>
          <w:rFonts w:hint="eastAsia"/>
          <w:sz w:val="30"/>
          <w:szCs w:val="30"/>
        </w:rPr>
        <w:t>在另外两段带有明确弥赛亚色彩的经文中，他也称祂为以马内利，即上帝与我们同在（以赛亚书 7:14, 8:8）。</w:t>
      </w:r>
    </w:p>
    <w:p w14:paraId="7254AAE4">
      <w:pPr>
        <w:pStyle w:val="9"/>
        <w:spacing w:before="11"/>
        <w:ind w:left="0"/>
        <w:jc w:val="left"/>
        <w:rPr>
          <w:rFonts w:hint="eastAsia"/>
          <w:sz w:val="30"/>
          <w:szCs w:val="30"/>
        </w:rPr>
      </w:pPr>
    </w:p>
    <w:p w14:paraId="06079146">
      <w:pPr>
        <w:pStyle w:val="9"/>
        <w:spacing w:before="11"/>
        <w:ind w:left="0"/>
        <w:jc w:val="left"/>
        <w:rPr>
          <w:rFonts w:hint="eastAsia"/>
          <w:sz w:val="30"/>
          <w:szCs w:val="30"/>
        </w:rPr>
      </w:pPr>
      <w:r>
        <w:rPr>
          <w:rFonts w:hint="eastAsia"/>
          <w:sz w:val="30"/>
          <w:szCs w:val="30"/>
        </w:rPr>
        <w:t>In two prophecies that tell us much about the Messiah’s redemptive work, Jeremiah declares that men will call him Yahweh-Tsidkenu: the LORD- Our-Righteousness (Jer. 23:6, 33:16).</w:t>
      </w:r>
    </w:p>
    <w:p w14:paraId="30C9584C">
      <w:pPr>
        <w:pStyle w:val="9"/>
        <w:spacing w:before="11"/>
        <w:ind w:left="0"/>
        <w:jc w:val="left"/>
        <w:rPr>
          <w:rFonts w:hint="eastAsia"/>
          <w:sz w:val="30"/>
          <w:szCs w:val="30"/>
        </w:rPr>
      </w:pPr>
      <w:r>
        <w:rPr>
          <w:rFonts w:hint="eastAsia"/>
          <w:sz w:val="30"/>
          <w:szCs w:val="30"/>
        </w:rPr>
        <w:t>在两处告诉我们许多关于弥赛亚救赎工作的预言中，耶利米宣告人要称祂为耶和华齐根努（Yahweh-Tsidkenu）：耶和华—我们的—义（耶利米书 23:6, 33:16）。</w:t>
      </w:r>
    </w:p>
    <w:p w14:paraId="221F7BA8">
      <w:pPr>
        <w:pStyle w:val="9"/>
        <w:spacing w:before="11"/>
        <w:ind w:left="0"/>
        <w:jc w:val="left"/>
        <w:rPr>
          <w:rFonts w:hint="eastAsia"/>
          <w:sz w:val="30"/>
          <w:szCs w:val="30"/>
        </w:rPr>
      </w:pPr>
    </w:p>
    <w:p w14:paraId="0525B71B">
      <w:pPr>
        <w:pStyle w:val="9"/>
        <w:spacing w:before="11"/>
        <w:ind w:left="0"/>
        <w:jc w:val="left"/>
        <w:rPr>
          <w:rFonts w:hint="eastAsia"/>
          <w:sz w:val="30"/>
          <w:szCs w:val="30"/>
        </w:rPr>
      </w:pPr>
      <w:r>
        <w:rPr>
          <w:rFonts w:hint="eastAsia"/>
          <w:sz w:val="30"/>
          <w:szCs w:val="30"/>
        </w:rPr>
        <w:t>Daniel, referring to the Messiah as One like a Son of Man, depicts him as a heavenly being (Dan. 7:13).</w:t>
      </w:r>
    </w:p>
    <w:p w14:paraId="50CBDF44">
      <w:pPr>
        <w:pStyle w:val="9"/>
        <w:spacing w:before="11"/>
        <w:ind w:left="0"/>
        <w:jc w:val="left"/>
        <w:rPr>
          <w:rFonts w:hint="eastAsia"/>
          <w:sz w:val="30"/>
          <w:szCs w:val="30"/>
        </w:rPr>
      </w:pPr>
      <w:r>
        <w:rPr>
          <w:rFonts w:hint="eastAsia"/>
          <w:sz w:val="30"/>
          <w:szCs w:val="30"/>
        </w:rPr>
        <w:t>但以理将弥赛亚称为一位像人子的，描绘祂为一个属天的存在（但以理书 7:13）。</w:t>
      </w:r>
    </w:p>
    <w:p w14:paraId="6B0605DB">
      <w:pPr>
        <w:pStyle w:val="9"/>
        <w:spacing w:before="11"/>
        <w:ind w:left="0"/>
        <w:jc w:val="left"/>
        <w:rPr>
          <w:rFonts w:hint="eastAsia"/>
          <w:sz w:val="30"/>
          <w:szCs w:val="30"/>
        </w:rPr>
      </w:pPr>
    </w:p>
    <w:p w14:paraId="487EECE8">
      <w:pPr>
        <w:pStyle w:val="9"/>
        <w:spacing w:before="11"/>
        <w:ind w:left="0"/>
        <w:jc w:val="left"/>
        <w:rPr>
          <w:rFonts w:hint="eastAsia"/>
          <w:sz w:val="30"/>
          <w:szCs w:val="30"/>
        </w:rPr>
      </w:pPr>
      <w:r>
        <w:rPr>
          <w:rFonts w:hint="eastAsia"/>
          <w:sz w:val="30"/>
          <w:szCs w:val="30"/>
        </w:rPr>
        <w:t>The Messiah’s deity is also reflected in his eternity: He will rule till the moon is no more (Psalm 72:7); of the increase of his government and of peace there will be no end (Isaiah 9:7); he will be Israel’s Prince forever (Ezekiel 37:25); his dominion will be an everlasting dominion (Daniel 7:14); his goings forth (i.e., to reveal himself in OT times by way of Christophany) are from of old, even from everlasting (or, from ancient days) (Micah 5:2).</w:t>
      </w:r>
    </w:p>
    <w:p w14:paraId="37A21A3A">
      <w:pPr>
        <w:pStyle w:val="9"/>
        <w:spacing w:before="11"/>
        <w:ind w:left="0"/>
        <w:jc w:val="left"/>
        <w:rPr>
          <w:rFonts w:hint="eastAsia"/>
          <w:sz w:val="30"/>
          <w:szCs w:val="30"/>
        </w:rPr>
      </w:pPr>
      <w:r>
        <w:rPr>
          <w:rFonts w:hint="eastAsia"/>
          <w:sz w:val="30"/>
          <w:szCs w:val="30"/>
        </w:rPr>
        <w:t>弥赛亚的神性也反映在祂的永恒性上：祂将统治直到月亮不在（诗篇 72:7）；祂的政权与平安必加增无穷，没有穷尽（以赛亚书 9:7）；祂将永远作以色列的王（以西结书 37:25）；祂的权柄是永远的权柄（但以理书 7:14）；祂的根源（即，通过基督显现在旧约时代启示自己）从亘古，从太初就有（或，从古时就有）（弥迦书 5:2）。</w:t>
      </w:r>
    </w:p>
    <w:p w14:paraId="19118FC8">
      <w:pPr>
        <w:pStyle w:val="9"/>
        <w:spacing w:before="11"/>
        <w:ind w:left="0"/>
        <w:jc w:val="left"/>
        <w:rPr>
          <w:rFonts w:hint="eastAsia"/>
          <w:sz w:val="30"/>
          <w:szCs w:val="30"/>
        </w:rPr>
      </w:pPr>
    </w:p>
    <w:p w14:paraId="30D3F793">
      <w:pPr>
        <w:pStyle w:val="9"/>
        <w:spacing w:before="11"/>
        <w:ind w:left="0"/>
        <w:jc w:val="left"/>
        <w:rPr>
          <w:rFonts w:hint="eastAsia"/>
          <w:sz w:val="30"/>
          <w:szCs w:val="30"/>
        </w:rPr>
      </w:pPr>
      <w:r>
        <w:rPr>
          <w:rFonts w:hint="eastAsia"/>
          <w:sz w:val="30"/>
          <w:szCs w:val="30"/>
        </w:rPr>
        <w:t>Small wonder, then, that all peoples, nations, and languages will serve and worship him (Psalm 72:9-11, Daniel 7:14)!</w:t>
      </w:r>
    </w:p>
    <w:p w14:paraId="5A3EEA89">
      <w:pPr>
        <w:pStyle w:val="9"/>
        <w:spacing w:before="11"/>
        <w:ind w:left="0"/>
        <w:jc w:val="left"/>
        <w:rPr>
          <w:rFonts w:hint="eastAsia"/>
          <w:sz w:val="30"/>
          <w:szCs w:val="30"/>
        </w:rPr>
      </w:pPr>
      <w:r>
        <w:rPr>
          <w:rFonts w:hint="eastAsia"/>
          <w:sz w:val="30"/>
          <w:szCs w:val="30"/>
        </w:rPr>
        <w:t>因此，万民、万国、万语都将事奉和敬拜祂，也就不足为奇了（诗篇 72:9-11, 但以理书 7:14）！</w:t>
      </w:r>
    </w:p>
    <w:p w14:paraId="003938A3">
      <w:pPr>
        <w:pStyle w:val="9"/>
        <w:spacing w:before="11"/>
        <w:ind w:left="0"/>
        <w:jc w:val="left"/>
        <w:rPr>
          <w:rFonts w:hint="eastAsia"/>
          <w:sz w:val="30"/>
          <w:szCs w:val="30"/>
        </w:rPr>
      </w:pPr>
    </w:p>
    <w:p w14:paraId="02AE4282">
      <w:pPr>
        <w:pStyle w:val="9"/>
        <w:spacing w:before="11"/>
        <w:ind w:left="0"/>
        <w:jc w:val="left"/>
        <w:rPr>
          <w:rFonts w:hint="eastAsia"/>
          <w:sz w:val="30"/>
          <w:szCs w:val="30"/>
        </w:rPr>
      </w:pPr>
      <w:r>
        <w:rPr>
          <w:rFonts w:hint="eastAsia"/>
          <w:sz w:val="30"/>
          <w:szCs w:val="30"/>
        </w:rPr>
        <w:t>Secondly, we have anomalous texts concerning the Work of the Messiah.</w:t>
      </w:r>
    </w:p>
    <w:p w14:paraId="68C57BFB">
      <w:pPr>
        <w:pStyle w:val="9"/>
        <w:spacing w:before="11"/>
        <w:ind w:left="0"/>
        <w:jc w:val="left"/>
        <w:rPr>
          <w:rFonts w:hint="eastAsia"/>
          <w:sz w:val="30"/>
          <w:szCs w:val="30"/>
        </w:rPr>
      </w:pPr>
      <w:r>
        <w:rPr>
          <w:rFonts w:hint="eastAsia"/>
          <w:sz w:val="30"/>
          <w:szCs w:val="30"/>
        </w:rPr>
        <w:t>其次，我们有关于弥赛亚工作的反常经文。</w:t>
      </w:r>
    </w:p>
    <w:p w14:paraId="5E689F14">
      <w:pPr>
        <w:pStyle w:val="9"/>
        <w:spacing w:before="11"/>
        <w:ind w:left="0"/>
        <w:jc w:val="left"/>
        <w:rPr>
          <w:rFonts w:hint="eastAsia"/>
          <w:sz w:val="30"/>
          <w:szCs w:val="30"/>
        </w:rPr>
      </w:pPr>
    </w:p>
    <w:p w14:paraId="05065410">
      <w:pPr>
        <w:pStyle w:val="9"/>
        <w:spacing w:before="11"/>
        <w:ind w:left="0"/>
        <w:jc w:val="left"/>
        <w:rPr>
          <w:rFonts w:hint="eastAsia"/>
          <w:sz w:val="30"/>
          <w:szCs w:val="30"/>
        </w:rPr>
      </w:pPr>
      <w:r>
        <w:rPr>
          <w:rFonts w:hint="eastAsia"/>
          <w:sz w:val="30"/>
          <w:szCs w:val="30"/>
        </w:rPr>
        <w:t>In these, we learn that he will be something unprecedented in Israel: not simply a king, but a prophet and a priest, as well.</w:t>
      </w:r>
    </w:p>
    <w:p w14:paraId="1B2B0377">
      <w:pPr>
        <w:pStyle w:val="9"/>
        <w:spacing w:before="11"/>
        <w:ind w:left="0"/>
        <w:jc w:val="left"/>
        <w:rPr>
          <w:rFonts w:hint="eastAsia"/>
          <w:sz w:val="30"/>
          <w:szCs w:val="30"/>
        </w:rPr>
      </w:pPr>
      <w:r>
        <w:rPr>
          <w:rFonts w:hint="eastAsia"/>
          <w:sz w:val="30"/>
          <w:szCs w:val="30"/>
        </w:rPr>
        <w:t>在这些经文中，我们得知祂将成为以色列中前所未有的人物：不仅是一位君王，也是一位先知和一位祭司。</w:t>
      </w:r>
    </w:p>
    <w:p w14:paraId="63B2B734">
      <w:pPr>
        <w:pStyle w:val="9"/>
        <w:spacing w:before="11"/>
        <w:ind w:left="0"/>
        <w:jc w:val="left"/>
        <w:rPr>
          <w:rFonts w:hint="eastAsia"/>
          <w:sz w:val="30"/>
          <w:szCs w:val="30"/>
        </w:rPr>
      </w:pPr>
    </w:p>
    <w:p w14:paraId="46F97E46">
      <w:pPr>
        <w:pStyle w:val="9"/>
        <w:spacing w:before="11"/>
        <w:ind w:left="0"/>
        <w:jc w:val="left"/>
        <w:rPr>
          <w:rFonts w:hint="eastAsia"/>
          <w:sz w:val="30"/>
          <w:szCs w:val="30"/>
        </w:rPr>
      </w:pPr>
      <w:r>
        <w:rPr>
          <w:rFonts w:hint="eastAsia"/>
          <w:sz w:val="30"/>
          <w:szCs w:val="30"/>
        </w:rPr>
        <w:t>Regarding his prophetic mantle, Moses himself hinted at it in the Law, indicating that in the last days God would raise up a supreme Prophet (Deut. 18:15, Acts 3:22).</w:t>
      </w:r>
    </w:p>
    <w:p w14:paraId="688F16F7">
      <w:pPr>
        <w:pStyle w:val="9"/>
        <w:spacing w:before="11"/>
        <w:ind w:left="0"/>
        <w:jc w:val="left"/>
        <w:rPr>
          <w:rFonts w:hint="eastAsia"/>
          <w:sz w:val="30"/>
          <w:szCs w:val="30"/>
        </w:rPr>
      </w:pPr>
      <w:r>
        <w:rPr>
          <w:rFonts w:hint="eastAsia"/>
          <w:sz w:val="30"/>
          <w:szCs w:val="30"/>
        </w:rPr>
        <w:t>关于祂的先知职分，摩西自己在律法中就有所暗示，指出在末后的日子上帝将兴起一位至高的先知（申命记 18:15, 使徒行传 3:22）。</w:t>
      </w:r>
    </w:p>
    <w:p w14:paraId="230BBA29">
      <w:pPr>
        <w:pStyle w:val="9"/>
        <w:spacing w:before="11"/>
        <w:ind w:left="0"/>
        <w:jc w:val="left"/>
        <w:rPr>
          <w:rFonts w:hint="eastAsia"/>
          <w:sz w:val="30"/>
          <w:szCs w:val="30"/>
        </w:rPr>
      </w:pPr>
    </w:p>
    <w:p w14:paraId="35FB34A1">
      <w:pPr>
        <w:pStyle w:val="9"/>
        <w:spacing w:before="11"/>
        <w:ind w:left="0"/>
        <w:jc w:val="left"/>
        <w:rPr>
          <w:rFonts w:hint="eastAsia"/>
          <w:sz w:val="30"/>
          <w:szCs w:val="30"/>
        </w:rPr>
      </w:pPr>
      <w:r>
        <w:rPr>
          <w:rFonts w:hint="eastAsia"/>
          <w:sz w:val="30"/>
          <w:szCs w:val="30"/>
        </w:rPr>
        <w:t>Isaiah confirms our suspicions, characterizing the Messiah as one who will bring the light of God’s saving truth not only to Israel, but also to the nations (Isaiah 9:1-2, 49:5-6).</w:t>
      </w:r>
    </w:p>
    <w:p w14:paraId="25C77484">
      <w:pPr>
        <w:pStyle w:val="9"/>
        <w:spacing w:before="11"/>
        <w:ind w:left="0"/>
        <w:jc w:val="left"/>
        <w:rPr>
          <w:rFonts w:hint="eastAsia"/>
          <w:sz w:val="30"/>
          <w:szCs w:val="30"/>
        </w:rPr>
      </w:pPr>
      <w:r>
        <w:rPr>
          <w:rFonts w:hint="eastAsia"/>
          <w:sz w:val="30"/>
          <w:szCs w:val="30"/>
        </w:rPr>
        <w:t>以赛亚证实了我们的猜测，将弥赛亚描绘为一位不仅要将上帝拯救真理之光带给以色列，也要带给列国的人（以赛亚书 9:1-2, 49:5-6）。</w:t>
      </w:r>
    </w:p>
    <w:p w14:paraId="2A6C1BBD">
      <w:pPr>
        <w:pStyle w:val="9"/>
        <w:spacing w:before="11"/>
        <w:ind w:left="0"/>
        <w:jc w:val="left"/>
        <w:rPr>
          <w:rFonts w:hint="eastAsia"/>
          <w:sz w:val="30"/>
          <w:szCs w:val="30"/>
        </w:rPr>
      </w:pPr>
    </w:p>
    <w:p w14:paraId="4870D624">
      <w:pPr>
        <w:pStyle w:val="9"/>
        <w:spacing w:before="11"/>
        <w:ind w:left="0"/>
        <w:jc w:val="left"/>
        <w:rPr>
          <w:rFonts w:hint="eastAsia"/>
          <w:sz w:val="30"/>
          <w:szCs w:val="30"/>
        </w:rPr>
      </w:pPr>
      <w:r>
        <w:rPr>
          <w:rFonts w:hint="eastAsia"/>
          <w:sz w:val="30"/>
          <w:szCs w:val="30"/>
        </w:rPr>
        <w:t>As to his priestly mantle, the OT testimony is quite prolific.</w:t>
      </w:r>
    </w:p>
    <w:p w14:paraId="26E093E2">
      <w:pPr>
        <w:pStyle w:val="9"/>
        <w:spacing w:before="11"/>
        <w:ind w:left="0"/>
        <w:jc w:val="left"/>
        <w:rPr>
          <w:rFonts w:hint="eastAsia"/>
          <w:sz w:val="30"/>
          <w:szCs w:val="30"/>
        </w:rPr>
      </w:pPr>
      <w:r>
        <w:rPr>
          <w:rFonts w:hint="eastAsia"/>
          <w:sz w:val="30"/>
          <w:szCs w:val="30"/>
        </w:rPr>
        <w:t>至于祂的祭司职分，旧约的见证相当丰富。</w:t>
      </w:r>
    </w:p>
    <w:p w14:paraId="4C8AB0B4">
      <w:pPr>
        <w:pStyle w:val="9"/>
        <w:spacing w:before="11"/>
        <w:ind w:left="0"/>
        <w:jc w:val="left"/>
        <w:rPr>
          <w:rFonts w:hint="eastAsia"/>
          <w:sz w:val="30"/>
          <w:szCs w:val="30"/>
        </w:rPr>
      </w:pPr>
    </w:p>
    <w:p w14:paraId="52332476">
      <w:pPr>
        <w:pStyle w:val="9"/>
        <w:spacing w:before="11"/>
        <w:ind w:left="0"/>
        <w:jc w:val="left"/>
        <w:rPr>
          <w:rFonts w:hint="eastAsia"/>
          <w:sz w:val="30"/>
          <w:szCs w:val="30"/>
        </w:rPr>
      </w:pPr>
      <w:r>
        <w:rPr>
          <w:rFonts w:hint="eastAsia"/>
          <w:sz w:val="30"/>
          <w:szCs w:val="30"/>
        </w:rPr>
        <w:t>The royal Messiah will also be a priest forever according to the order of Melchizedek (Psalm 110:2, 4).</w:t>
      </w:r>
    </w:p>
    <w:p w14:paraId="75601FEE">
      <w:pPr>
        <w:pStyle w:val="9"/>
        <w:spacing w:before="11"/>
        <w:ind w:left="0"/>
        <w:jc w:val="left"/>
        <w:rPr>
          <w:rFonts w:hint="eastAsia"/>
          <w:sz w:val="30"/>
          <w:szCs w:val="30"/>
        </w:rPr>
      </w:pPr>
      <w:r>
        <w:rPr>
          <w:rFonts w:hint="eastAsia"/>
          <w:sz w:val="30"/>
          <w:szCs w:val="30"/>
        </w:rPr>
        <w:t>这位君尊的弥赛亚也将是照着麦基洗德的等次永远为祭司（诗篇 110:2, 4）。</w:t>
      </w:r>
    </w:p>
    <w:p w14:paraId="6360FBA9">
      <w:pPr>
        <w:pStyle w:val="9"/>
        <w:spacing w:before="11"/>
        <w:ind w:left="0"/>
        <w:jc w:val="left"/>
        <w:rPr>
          <w:rFonts w:hint="eastAsia"/>
          <w:sz w:val="30"/>
          <w:szCs w:val="30"/>
        </w:rPr>
      </w:pPr>
    </w:p>
    <w:p w14:paraId="5E91D578">
      <w:pPr>
        <w:pStyle w:val="9"/>
        <w:spacing w:before="11"/>
        <w:ind w:left="0"/>
        <w:jc w:val="left"/>
        <w:rPr>
          <w:rFonts w:hint="eastAsia"/>
          <w:sz w:val="30"/>
          <w:szCs w:val="30"/>
        </w:rPr>
      </w:pPr>
      <w:r>
        <w:rPr>
          <w:rFonts w:hint="eastAsia"/>
          <w:sz w:val="30"/>
          <w:szCs w:val="30"/>
        </w:rPr>
        <w:t>He will sit as a priest upon his throne, so that the counsel of peace (i.e., harmony) will be between both offices (Zech. 6:12-13, NIV).</w:t>
      </w:r>
    </w:p>
    <w:p w14:paraId="72D3AF18">
      <w:pPr>
        <w:pStyle w:val="9"/>
        <w:spacing w:before="11"/>
        <w:ind w:left="0"/>
        <w:jc w:val="left"/>
        <w:rPr>
          <w:rFonts w:hint="eastAsia"/>
          <w:sz w:val="30"/>
          <w:szCs w:val="30"/>
        </w:rPr>
      </w:pPr>
      <w:r>
        <w:rPr>
          <w:rFonts w:hint="eastAsia"/>
          <w:sz w:val="30"/>
          <w:szCs w:val="30"/>
        </w:rPr>
        <w:t>祂要坐在宝座上作祭司，使两职之间筹定和平（即和谐）（撒迦利亚书 6:12-13，新国际版圣经）。</w:t>
      </w:r>
    </w:p>
    <w:p w14:paraId="069F3165">
      <w:pPr>
        <w:pStyle w:val="9"/>
        <w:spacing w:before="11"/>
        <w:ind w:left="0"/>
        <w:jc w:val="left"/>
        <w:rPr>
          <w:rFonts w:hint="eastAsia"/>
          <w:sz w:val="30"/>
          <w:szCs w:val="30"/>
        </w:rPr>
      </w:pPr>
    </w:p>
    <w:p w14:paraId="34933E49">
      <w:pPr>
        <w:pStyle w:val="9"/>
        <w:spacing w:before="11"/>
        <w:ind w:left="0"/>
        <w:jc w:val="left"/>
        <w:rPr>
          <w:rFonts w:hint="eastAsia"/>
          <w:sz w:val="30"/>
          <w:szCs w:val="30"/>
        </w:rPr>
      </w:pPr>
      <w:r>
        <w:rPr>
          <w:rFonts w:hint="eastAsia"/>
          <w:sz w:val="30"/>
          <w:szCs w:val="30"/>
        </w:rPr>
        <w:t>In the exercise of his priestly functions, he will remove the iniquity of the land of God’s people in one day (Zech. 3:1-10).</w:t>
      </w:r>
    </w:p>
    <w:p w14:paraId="3C9AEC66">
      <w:pPr>
        <w:pStyle w:val="9"/>
        <w:spacing w:before="11"/>
        <w:ind w:left="0"/>
        <w:jc w:val="left"/>
        <w:rPr>
          <w:rFonts w:hint="eastAsia"/>
          <w:sz w:val="30"/>
          <w:szCs w:val="30"/>
        </w:rPr>
      </w:pPr>
      <w:r>
        <w:rPr>
          <w:rFonts w:hint="eastAsia"/>
          <w:sz w:val="30"/>
          <w:szCs w:val="30"/>
        </w:rPr>
        <w:t>在祂履行祭司职能时，祂将在一天之内除去上帝子民之地的罪孽（撒迦利亚书 3:1-10）。</w:t>
      </w:r>
    </w:p>
    <w:p w14:paraId="30A4EE6F">
      <w:pPr>
        <w:pStyle w:val="9"/>
        <w:spacing w:before="11"/>
        <w:ind w:left="0"/>
        <w:jc w:val="left"/>
        <w:rPr>
          <w:rFonts w:hint="eastAsia"/>
          <w:sz w:val="30"/>
          <w:szCs w:val="30"/>
        </w:rPr>
      </w:pPr>
    </w:p>
    <w:p w14:paraId="41CBA908">
      <w:pPr>
        <w:pStyle w:val="9"/>
        <w:spacing w:before="11"/>
        <w:ind w:left="0"/>
        <w:jc w:val="left"/>
        <w:rPr>
          <w:rFonts w:hint="eastAsia"/>
          <w:sz w:val="30"/>
          <w:szCs w:val="30"/>
        </w:rPr>
      </w:pPr>
      <w:r>
        <w:rPr>
          <w:rFonts w:hint="eastAsia"/>
          <w:sz w:val="30"/>
          <w:szCs w:val="30"/>
        </w:rPr>
        <w:t>In this connection, chapter 53 of the book of Isaiah is of special importance.</w:t>
      </w:r>
    </w:p>
    <w:p w14:paraId="640B7BE5">
      <w:pPr>
        <w:pStyle w:val="9"/>
        <w:spacing w:before="11"/>
        <w:ind w:left="0"/>
        <w:jc w:val="left"/>
        <w:rPr>
          <w:rFonts w:hint="eastAsia"/>
          <w:sz w:val="30"/>
          <w:szCs w:val="30"/>
        </w:rPr>
      </w:pPr>
      <w:r>
        <w:rPr>
          <w:rFonts w:hint="eastAsia"/>
          <w:sz w:val="30"/>
          <w:szCs w:val="30"/>
        </w:rPr>
        <w:t>在这方面，以赛亚书第53章具有特殊的重要性。</w:t>
      </w:r>
    </w:p>
    <w:p w14:paraId="4E78D5DF">
      <w:pPr>
        <w:pStyle w:val="9"/>
        <w:spacing w:before="11"/>
        <w:ind w:left="0"/>
        <w:jc w:val="left"/>
        <w:rPr>
          <w:rFonts w:hint="eastAsia"/>
          <w:sz w:val="30"/>
          <w:szCs w:val="30"/>
        </w:rPr>
      </w:pPr>
    </w:p>
    <w:p w14:paraId="368883D5">
      <w:pPr>
        <w:pStyle w:val="9"/>
        <w:spacing w:before="11"/>
        <w:ind w:left="0"/>
        <w:jc w:val="left"/>
        <w:rPr>
          <w:rFonts w:hint="eastAsia"/>
          <w:sz w:val="30"/>
          <w:szCs w:val="30"/>
        </w:rPr>
      </w:pPr>
      <w:r>
        <w:rPr>
          <w:rFonts w:hint="eastAsia"/>
          <w:sz w:val="30"/>
          <w:szCs w:val="30"/>
        </w:rPr>
        <w:t>In a passage saturated with priestly ideas and imagery, the prophet here declares that in fulfillment of his ministry, God's Anointed Servant will offer the ultimate sacrifice—his own life—in order to provide atonement for the sins of his people:</w:t>
      </w:r>
    </w:p>
    <w:p w14:paraId="48430869">
      <w:pPr>
        <w:pStyle w:val="9"/>
        <w:spacing w:before="11"/>
        <w:ind w:left="0"/>
        <w:jc w:val="left"/>
        <w:rPr>
          <w:rFonts w:hint="eastAsia"/>
          <w:sz w:val="30"/>
          <w:szCs w:val="30"/>
        </w:rPr>
      </w:pPr>
      <w:r>
        <w:rPr>
          <w:rFonts w:hint="eastAsia"/>
          <w:sz w:val="30"/>
          <w:szCs w:val="30"/>
        </w:rPr>
        <w:t>在这段充满祭司观念和意象的经文中，先知宣告，为完成祂的职事，上帝的受膏仆人将献上最终的祭物——祂自己的生命——为祂子民的罪提供赎罪：</w:t>
      </w:r>
    </w:p>
    <w:p w14:paraId="22C1CC4A">
      <w:pPr>
        <w:pStyle w:val="9"/>
        <w:spacing w:before="11"/>
        <w:ind w:left="0"/>
        <w:jc w:val="left"/>
        <w:rPr>
          <w:rFonts w:hint="eastAsia"/>
          <w:sz w:val="30"/>
          <w:szCs w:val="30"/>
        </w:rPr>
      </w:pPr>
    </w:p>
    <w:p w14:paraId="635ED3B7">
      <w:pPr>
        <w:pStyle w:val="9"/>
        <w:spacing w:before="11"/>
        <w:ind w:left="0"/>
        <w:jc w:val="left"/>
        <w:rPr>
          <w:rFonts w:hint="eastAsia"/>
          <w:sz w:val="30"/>
          <w:szCs w:val="30"/>
        </w:rPr>
      </w:pPr>
      <w:r>
        <w:rPr>
          <w:rFonts w:hint="eastAsia"/>
          <w:sz w:val="30"/>
          <w:szCs w:val="30"/>
        </w:rPr>
        <w:t>Surely he has borne our griefs and carried our sorrows; yet we esteemed him stricken, smitten by God and afflicted.</w:t>
      </w:r>
    </w:p>
    <w:p w14:paraId="1B4E432B">
      <w:pPr>
        <w:pStyle w:val="9"/>
        <w:spacing w:before="11"/>
        <w:ind w:left="0"/>
        <w:jc w:val="left"/>
        <w:rPr>
          <w:rFonts w:hint="eastAsia"/>
          <w:sz w:val="30"/>
          <w:szCs w:val="30"/>
        </w:rPr>
      </w:pPr>
      <w:r>
        <w:rPr>
          <w:rFonts w:hint="eastAsia"/>
          <w:sz w:val="30"/>
          <w:szCs w:val="30"/>
        </w:rPr>
        <w:t>祂诚然担当我们的忧患，背负我们的痛苦；我们却以为祂受责罚，被上帝击打苦待了。</w:t>
      </w:r>
    </w:p>
    <w:p w14:paraId="2550F742">
      <w:pPr>
        <w:pStyle w:val="9"/>
        <w:spacing w:before="11"/>
        <w:ind w:left="0"/>
        <w:jc w:val="left"/>
        <w:rPr>
          <w:rFonts w:hint="eastAsia"/>
          <w:sz w:val="30"/>
          <w:szCs w:val="30"/>
        </w:rPr>
      </w:pPr>
    </w:p>
    <w:p w14:paraId="37E50176">
      <w:pPr>
        <w:pStyle w:val="9"/>
        <w:spacing w:before="11"/>
        <w:ind w:left="0"/>
        <w:jc w:val="left"/>
        <w:rPr>
          <w:rFonts w:hint="eastAsia"/>
          <w:sz w:val="30"/>
          <w:szCs w:val="30"/>
        </w:rPr>
      </w:pPr>
      <w:r>
        <w:rPr>
          <w:rFonts w:hint="eastAsia"/>
          <w:sz w:val="30"/>
          <w:szCs w:val="30"/>
        </w:rPr>
        <w:t>But he was wounded for our transgressions, he was bruised for our iniquities; the punishment for our peace was upon him, and by his stripes we are healed.</w:t>
      </w:r>
    </w:p>
    <w:p w14:paraId="7ABDCD43">
      <w:pPr>
        <w:pStyle w:val="9"/>
        <w:spacing w:before="11"/>
        <w:ind w:left="0"/>
        <w:jc w:val="left"/>
        <w:rPr>
          <w:rFonts w:hint="eastAsia"/>
          <w:sz w:val="30"/>
          <w:szCs w:val="30"/>
        </w:rPr>
      </w:pPr>
      <w:r>
        <w:rPr>
          <w:rFonts w:hint="eastAsia"/>
          <w:sz w:val="30"/>
          <w:szCs w:val="30"/>
        </w:rPr>
        <w:t>哪知祂为我们的过犯受害，为我们的罪孽压伤。因祂受的刑罚，我们得平安；因祂受的鞭伤，我们得医治。</w:t>
      </w:r>
    </w:p>
    <w:p w14:paraId="3475ADA2">
      <w:pPr>
        <w:pStyle w:val="9"/>
        <w:spacing w:before="11"/>
        <w:ind w:left="0"/>
        <w:jc w:val="left"/>
        <w:rPr>
          <w:rFonts w:hint="eastAsia"/>
          <w:sz w:val="30"/>
          <w:szCs w:val="30"/>
        </w:rPr>
      </w:pPr>
    </w:p>
    <w:p w14:paraId="32521121">
      <w:pPr>
        <w:pStyle w:val="9"/>
        <w:spacing w:before="11"/>
        <w:ind w:left="0"/>
        <w:jc w:val="left"/>
        <w:rPr>
          <w:rFonts w:hint="eastAsia"/>
          <w:sz w:val="30"/>
          <w:szCs w:val="30"/>
        </w:rPr>
      </w:pPr>
      <w:r>
        <w:rPr>
          <w:rFonts w:hint="eastAsia"/>
          <w:sz w:val="30"/>
          <w:szCs w:val="30"/>
        </w:rPr>
        <w:t>All we like sheep have gone astray; we have turned every one to his own way; and the LORD has laid on him the iniquity of us all.</w:t>
      </w:r>
    </w:p>
    <w:p w14:paraId="0C7B99ED">
      <w:pPr>
        <w:pStyle w:val="9"/>
        <w:spacing w:before="11"/>
        <w:ind w:left="0"/>
        <w:jc w:val="left"/>
        <w:rPr>
          <w:rFonts w:hint="eastAsia"/>
          <w:sz w:val="30"/>
          <w:szCs w:val="30"/>
        </w:rPr>
      </w:pPr>
      <w:r>
        <w:rPr>
          <w:rFonts w:hint="eastAsia"/>
          <w:sz w:val="30"/>
          <w:szCs w:val="30"/>
        </w:rPr>
        <w:t>我们都如羊走迷，各人偏行己路；耶和华使我们众人的罪孽都归在祂身上。</w:t>
      </w:r>
    </w:p>
    <w:p w14:paraId="21D4D12D">
      <w:pPr>
        <w:pStyle w:val="9"/>
        <w:spacing w:before="11"/>
        <w:ind w:left="0"/>
        <w:jc w:val="left"/>
        <w:rPr>
          <w:rFonts w:hint="eastAsia"/>
          <w:sz w:val="30"/>
          <w:szCs w:val="30"/>
        </w:rPr>
      </w:pPr>
    </w:p>
    <w:p w14:paraId="54AF102B">
      <w:pPr>
        <w:pStyle w:val="9"/>
        <w:spacing w:before="11"/>
        <w:ind w:left="0"/>
        <w:jc w:val="left"/>
        <w:rPr>
          <w:rFonts w:hint="eastAsia"/>
          <w:sz w:val="30"/>
          <w:szCs w:val="30"/>
        </w:rPr>
      </w:pPr>
      <w:r>
        <w:rPr>
          <w:rFonts w:hint="eastAsia"/>
          <w:sz w:val="30"/>
          <w:szCs w:val="30"/>
        </w:rPr>
        <w:t>—Isaiah 53:4-6</w:t>
      </w:r>
    </w:p>
    <w:p w14:paraId="36C32385">
      <w:pPr>
        <w:pStyle w:val="9"/>
        <w:spacing w:before="11"/>
        <w:ind w:left="0"/>
        <w:jc w:val="left"/>
        <w:rPr>
          <w:rFonts w:hint="eastAsia"/>
          <w:sz w:val="30"/>
          <w:szCs w:val="30"/>
        </w:rPr>
      </w:pPr>
      <w:r>
        <w:rPr>
          <w:rFonts w:hint="eastAsia"/>
          <w:sz w:val="30"/>
          <w:szCs w:val="30"/>
        </w:rPr>
        <w:t>——以赛亚书 53:4-6</w:t>
      </w:r>
    </w:p>
    <w:p w14:paraId="79DA0161">
      <w:pPr>
        <w:pStyle w:val="9"/>
        <w:spacing w:before="11"/>
        <w:ind w:left="0"/>
        <w:jc w:val="left"/>
        <w:rPr>
          <w:rFonts w:hint="eastAsia"/>
          <w:sz w:val="30"/>
          <w:szCs w:val="30"/>
        </w:rPr>
      </w:pPr>
    </w:p>
    <w:p w14:paraId="70F1094A">
      <w:pPr>
        <w:pStyle w:val="9"/>
        <w:spacing w:before="11"/>
        <w:ind w:left="0"/>
        <w:jc w:val="left"/>
        <w:rPr>
          <w:rFonts w:hint="eastAsia"/>
          <w:sz w:val="30"/>
          <w:szCs w:val="30"/>
        </w:rPr>
      </w:pPr>
      <w:r>
        <w:rPr>
          <w:rFonts w:hint="eastAsia"/>
          <w:sz w:val="30"/>
          <w:szCs w:val="30"/>
        </w:rPr>
        <w:t>Very importantly, in thus describing the Messiah’s priestly work, Isaiah goes on to affirm what we just learned from David and Zechariah: As a consequence of the Messiah’s obedience unto death, God will exalt him to be a King.</w:t>
      </w:r>
    </w:p>
    <w:p w14:paraId="7070DE9A">
      <w:pPr>
        <w:pStyle w:val="9"/>
        <w:spacing w:before="11"/>
        <w:ind w:left="0"/>
        <w:jc w:val="left"/>
        <w:rPr>
          <w:rFonts w:hint="eastAsia"/>
          <w:sz w:val="30"/>
          <w:szCs w:val="30"/>
        </w:rPr>
      </w:pPr>
      <w:r>
        <w:rPr>
          <w:rFonts w:hint="eastAsia"/>
          <w:sz w:val="30"/>
          <w:szCs w:val="30"/>
        </w:rPr>
        <w:t>非常重要的是，在如此描述弥赛亚的祭司工作时，以赛亚接着肯定了我们刚刚从大卫和撒迦利亚那里学到的：由于弥赛亚顺服至死，上帝将高举祂为王。</w:t>
      </w:r>
    </w:p>
    <w:p w14:paraId="3F3DBE4C">
      <w:pPr>
        <w:pStyle w:val="9"/>
        <w:spacing w:before="11"/>
        <w:ind w:left="0"/>
        <w:jc w:val="left"/>
        <w:rPr>
          <w:rFonts w:hint="eastAsia"/>
          <w:sz w:val="30"/>
          <w:szCs w:val="30"/>
        </w:rPr>
      </w:pPr>
    </w:p>
    <w:p w14:paraId="12E0FB55">
      <w:pPr>
        <w:pStyle w:val="9"/>
        <w:spacing w:before="11"/>
        <w:ind w:left="0"/>
        <w:jc w:val="left"/>
        <w:rPr>
          <w:rFonts w:hint="eastAsia"/>
          <w:sz w:val="30"/>
          <w:szCs w:val="30"/>
        </w:rPr>
      </w:pPr>
      <w:r>
        <w:rPr>
          <w:rFonts w:hint="eastAsia"/>
          <w:sz w:val="30"/>
          <w:szCs w:val="30"/>
        </w:rPr>
        <w:t>By his knowledge My righteous servant will justify many, for he will bear their iniquities.</w:t>
      </w:r>
    </w:p>
    <w:p w14:paraId="7CD5C19C">
      <w:pPr>
        <w:pStyle w:val="9"/>
        <w:spacing w:before="11"/>
        <w:ind w:left="0"/>
        <w:jc w:val="left"/>
        <w:rPr>
          <w:rFonts w:hint="eastAsia"/>
          <w:sz w:val="30"/>
          <w:szCs w:val="30"/>
        </w:rPr>
      </w:pPr>
      <w:r>
        <w:rPr>
          <w:rFonts w:hint="eastAsia"/>
          <w:sz w:val="30"/>
          <w:szCs w:val="30"/>
        </w:rPr>
        <w:t>我的义仆必凭祂的知识使许多人得称为义，并且祂要担当他们的罪孽。</w:t>
      </w:r>
    </w:p>
    <w:p w14:paraId="783918A5">
      <w:pPr>
        <w:pStyle w:val="9"/>
        <w:spacing w:before="11"/>
        <w:ind w:left="0"/>
        <w:jc w:val="left"/>
        <w:rPr>
          <w:rFonts w:hint="eastAsia"/>
          <w:sz w:val="30"/>
          <w:szCs w:val="30"/>
        </w:rPr>
      </w:pPr>
    </w:p>
    <w:p w14:paraId="16A9D411">
      <w:pPr>
        <w:pStyle w:val="9"/>
        <w:spacing w:before="11"/>
        <w:ind w:left="0"/>
        <w:jc w:val="left"/>
        <w:rPr>
          <w:rFonts w:hint="eastAsia"/>
          <w:sz w:val="30"/>
          <w:szCs w:val="30"/>
        </w:rPr>
      </w:pPr>
      <w:r>
        <w:rPr>
          <w:rFonts w:hint="eastAsia"/>
          <w:sz w:val="30"/>
          <w:szCs w:val="30"/>
        </w:rPr>
        <w:t>Therefore I will divide him a portion with the great, and he will divide the spoil with the strong, because he poured out his soul unto death, and was numbered with the transgressors, and bore the sin of many, and made intercession for the transgressors.</w:t>
      </w:r>
    </w:p>
    <w:p w14:paraId="033A9592">
      <w:pPr>
        <w:pStyle w:val="9"/>
        <w:spacing w:before="11"/>
        <w:ind w:left="0"/>
        <w:jc w:val="left"/>
        <w:rPr>
          <w:rFonts w:hint="eastAsia"/>
          <w:sz w:val="30"/>
          <w:szCs w:val="30"/>
        </w:rPr>
      </w:pPr>
      <w:r>
        <w:rPr>
          <w:rFonts w:hint="eastAsia"/>
          <w:sz w:val="30"/>
          <w:szCs w:val="30"/>
        </w:rPr>
        <w:t>所以，我要使祂与位大的同分，与强盛的均分掳物，因为祂将命倾倒，以致于死，又被列在罪犯之中。祂却担当多人的罪，又为罪犯代求。</w:t>
      </w:r>
    </w:p>
    <w:p w14:paraId="2F988F3C">
      <w:pPr>
        <w:pStyle w:val="9"/>
        <w:spacing w:before="11"/>
        <w:ind w:left="0"/>
        <w:jc w:val="left"/>
        <w:rPr>
          <w:rFonts w:hint="eastAsia"/>
          <w:sz w:val="30"/>
          <w:szCs w:val="30"/>
        </w:rPr>
      </w:pPr>
    </w:p>
    <w:p w14:paraId="2C5FEC33">
      <w:pPr>
        <w:pStyle w:val="9"/>
        <w:spacing w:before="11"/>
        <w:ind w:left="0"/>
        <w:jc w:val="left"/>
        <w:rPr>
          <w:rFonts w:hint="eastAsia"/>
          <w:sz w:val="30"/>
          <w:szCs w:val="30"/>
        </w:rPr>
      </w:pPr>
      <w:r>
        <w:rPr>
          <w:rFonts w:hint="eastAsia"/>
          <w:sz w:val="30"/>
          <w:szCs w:val="30"/>
        </w:rPr>
        <w:t>—Isaiah 53:11-12</w:t>
      </w:r>
    </w:p>
    <w:p w14:paraId="3C1F14A2">
      <w:pPr>
        <w:pStyle w:val="9"/>
        <w:spacing w:before="11"/>
        <w:ind w:left="0"/>
        <w:jc w:val="left"/>
        <w:rPr>
          <w:rFonts w:hint="eastAsia"/>
          <w:sz w:val="30"/>
          <w:szCs w:val="30"/>
        </w:rPr>
      </w:pPr>
      <w:r>
        <w:rPr>
          <w:rFonts w:hint="eastAsia"/>
          <w:sz w:val="30"/>
          <w:szCs w:val="30"/>
        </w:rPr>
        <w:t>——以赛亚书 53:11-12</w:t>
      </w:r>
    </w:p>
    <w:p w14:paraId="74BF9A6C">
      <w:pPr>
        <w:pStyle w:val="9"/>
        <w:spacing w:before="11"/>
        <w:ind w:left="0"/>
        <w:jc w:val="left"/>
        <w:rPr>
          <w:rFonts w:hint="eastAsia"/>
          <w:sz w:val="30"/>
          <w:szCs w:val="30"/>
        </w:rPr>
      </w:pPr>
    </w:p>
    <w:p w14:paraId="7E7545ED">
      <w:pPr>
        <w:pStyle w:val="9"/>
        <w:spacing w:before="11"/>
        <w:ind w:left="0"/>
        <w:jc w:val="left"/>
        <w:rPr>
          <w:rFonts w:hint="eastAsia"/>
          <w:sz w:val="30"/>
          <w:szCs w:val="30"/>
        </w:rPr>
      </w:pPr>
      <w:r>
        <w:rPr>
          <w:rFonts w:hint="eastAsia"/>
          <w:sz w:val="30"/>
          <w:szCs w:val="30"/>
        </w:rPr>
        <w:t>Because the Representative Idea of the Messiah had so thoroughly captured the imagination of the Jews of Jesus’ day, they had little or no expectation of this, his priestly work.</w:t>
      </w:r>
    </w:p>
    <w:p w14:paraId="67930797">
      <w:pPr>
        <w:pStyle w:val="9"/>
        <w:spacing w:before="11"/>
        <w:ind w:left="0"/>
        <w:jc w:val="left"/>
        <w:rPr>
          <w:rFonts w:hint="eastAsia"/>
          <w:sz w:val="30"/>
          <w:szCs w:val="30"/>
        </w:rPr>
      </w:pPr>
      <w:r>
        <w:rPr>
          <w:rFonts w:hint="eastAsia"/>
          <w:sz w:val="30"/>
          <w:szCs w:val="30"/>
        </w:rPr>
        <w:t>因为弥赛亚的代表性观念已经如此彻底地占据了耶稣时代犹太人的想象，他们对祂的祭司工作几乎没有任何期望。</w:t>
      </w:r>
    </w:p>
    <w:p w14:paraId="040C7BAB">
      <w:pPr>
        <w:pStyle w:val="9"/>
        <w:spacing w:before="11"/>
        <w:ind w:left="0"/>
        <w:jc w:val="left"/>
        <w:rPr>
          <w:rFonts w:hint="eastAsia"/>
          <w:sz w:val="30"/>
          <w:szCs w:val="30"/>
        </w:rPr>
      </w:pPr>
    </w:p>
    <w:p w14:paraId="2E25D075">
      <w:pPr>
        <w:pStyle w:val="9"/>
        <w:spacing w:before="11"/>
        <w:ind w:left="0"/>
        <w:jc w:val="left"/>
        <w:rPr>
          <w:rFonts w:hint="eastAsia"/>
          <w:sz w:val="30"/>
          <w:szCs w:val="30"/>
        </w:rPr>
      </w:pPr>
      <w:r>
        <w:rPr>
          <w:rFonts w:hint="eastAsia"/>
          <w:sz w:val="30"/>
          <w:szCs w:val="30"/>
        </w:rPr>
        <w:t>More or less exclusively, they looked for a national deliverer like king David of old.</w:t>
      </w:r>
    </w:p>
    <w:p w14:paraId="74705906">
      <w:pPr>
        <w:pStyle w:val="9"/>
        <w:spacing w:before="11"/>
        <w:ind w:left="0"/>
        <w:jc w:val="left"/>
        <w:rPr>
          <w:rFonts w:hint="eastAsia"/>
          <w:sz w:val="30"/>
          <w:szCs w:val="30"/>
        </w:rPr>
      </w:pPr>
      <w:r>
        <w:rPr>
          <w:rFonts w:hint="eastAsia"/>
          <w:sz w:val="30"/>
          <w:szCs w:val="30"/>
        </w:rPr>
        <w:t>他们或多或少地只期待一位像古时大卫王那样的民族拯救者。</w:t>
      </w:r>
    </w:p>
    <w:p w14:paraId="691627F5">
      <w:pPr>
        <w:pStyle w:val="9"/>
        <w:spacing w:before="11"/>
        <w:ind w:left="0"/>
        <w:jc w:val="left"/>
        <w:rPr>
          <w:rFonts w:hint="eastAsia"/>
          <w:sz w:val="30"/>
          <w:szCs w:val="30"/>
        </w:rPr>
      </w:pPr>
    </w:p>
    <w:p w14:paraId="5E0993DB">
      <w:pPr>
        <w:pStyle w:val="9"/>
        <w:spacing w:before="11"/>
        <w:ind w:left="0"/>
        <w:jc w:val="left"/>
        <w:rPr>
          <w:rFonts w:hint="eastAsia"/>
          <w:sz w:val="30"/>
          <w:szCs w:val="30"/>
        </w:rPr>
      </w:pPr>
      <w:r>
        <w:rPr>
          <w:rFonts w:hint="eastAsia"/>
          <w:sz w:val="30"/>
          <w:szCs w:val="30"/>
        </w:rPr>
        <w:t>Only the actual death and resurrection of Christ—along with the apostolic proclamation of their meaning—could awaken an interest in, or make sense of, the Messiah’s role as the eternal High Priest of his people.</w:t>
      </w:r>
    </w:p>
    <w:p w14:paraId="3231BAFA">
      <w:pPr>
        <w:pStyle w:val="9"/>
        <w:spacing w:before="11"/>
        <w:ind w:left="0"/>
        <w:jc w:val="left"/>
        <w:rPr>
          <w:rFonts w:hint="eastAsia"/>
          <w:sz w:val="30"/>
          <w:szCs w:val="30"/>
        </w:rPr>
      </w:pPr>
      <w:r>
        <w:rPr>
          <w:rFonts w:hint="eastAsia"/>
          <w:sz w:val="30"/>
          <w:szCs w:val="30"/>
        </w:rPr>
        <w:t>唯有基督实际的死亡和复活——以及使徒们对其意义的宣告——才能唤起人们对弥赛亚作为祂子民永恒大祭司角色的兴趣，或使之有意义。</w:t>
      </w:r>
    </w:p>
    <w:p w14:paraId="0F6AAB95">
      <w:pPr>
        <w:pStyle w:val="9"/>
        <w:spacing w:before="11"/>
        <w:ind w:left="0"/>
        <w:jc w:val="left"/>
        <w:rPr>
          <w:rFonts w:hint="eastAsia"/>
          <w:sz w:val="30"/>
          <w:szCs w:val="30"/>
        </w:rPr>
      </w:pPr>
    </w:p>
    <w:p w14:paraId="6F9E8090">
      <w:pPr>
        <w:pStyle w:val="9"/>
        <w:spacing w:before="11"/>
        <w:ind w:left="0"/>
        <w:jc w:val="left"/>
        <w:rPr>
          <w:rFonts w:hint="eastAsia"/>
          <w:sz w:val="30"/>
          <w:szCs w:val="30"/>
        </w:rPr>
      </w:pPr>
      <w:r>
        <w:rPr>
          <w:rFonts w:hint="eastAsia"/>
          <w:sz w:val="30"/>
          <w:szCs w:val="30"/>
        </w:rPr>
        <w:t>When, however, that interest was truly awakened, they soon saw exactly what we have seen in previous chapters: Apart from his priestly work, the Messiah’s reign as High King of Heaven would be impossible.</w:t>
      </w:r>
    </w:p>
    <w:p w14:paraId="24CA639B">
      <w:pPr>
        <w:pStyle w:val="9"/>
        <w:spacing w:before="11"/>
        <w:ind w:left="0"/>
        <w:jc w:val="left"/>
        <w:rPr>
          <w:rFonts w:hint="eastAsia"/>
          <w:sz w:val="30"/>
          <w:szCs w:val="30"/>
        </w:rPr>
      </w:pPr>
      <w:r>
        <w:rPr>
          <w:rFonts w:hint="eastAsia"/>
          <w:sz w:val="30"/>
          <w:szCs w:val="30"/>
        </w:rPr>
        <w:t>然而，当这种兴趣真正被唤起时，他们很快就看到了我们在前几章所看到的确切内容：没有祂的祭司工作，弥赛亚作为天上至高君王的统治是不可能的。</w:t>
      </w:r>
    </w:p>
    <w:p w14:paraId="0D49C73A">
      <w:pPr>
        <w:pStyle w:val="9"/>
        <w:spacing w:before="11"/>
        <w:ind w:left="0"/>
        <w:jc w:val="left"/>
        <w:rPr>
          <w:rFonts w:hint="eastAsia"/>
          <w:sz w:val="30"/>
          <w:szCs w:val="30"/>
        </w:rPr>
      </w:pPr>
    </w:p>
    <w:p w14:paraId="6A08602B">
      <w:pPr>
        <w:pStyle w:val="9"/>
        <w:spacing w:before="11"/>
        <w:ind w:left="0"/>
        <w:jc w:val="left"/>
        <w:rPr>
          <w:rFonts w:hint="eastAsia"/>
          <w:sz w:val="30"/>
          <w:szCs w:val="30"/>
        </w:rPr>
      </w:pPr>
      <w:r>
        <w:rPr>
          <w:rFonts w:hint="eastAsia"/>
          <w:sz w:val="30"/>
          <w:szCs w:val="30"/>
        </w:rPr>
        <w:t>Thirdly, we have anomalous texts dealing with the people of the Messiah.</w:t>
      </w:r>
    </w:p>
    <w:p w14:paraId="4B9C7E20">
      <w:pPr>
        <w:pStyle w:val="9"/>
        <w:spacing w:before="11"/>
        <w:ind w:left="0"/>
        <w:jc w:val="left"/>
        <w:rPr>
          <w:rFonts w:hint="eastAsia"/>
          <w:sz w:val="30"/>
          <w:szCs w:val="30"/>
        </w:rPr>
      </w:pPr>
      <w:r>
        <w:rPr>
          <w:rFonts w:hint="eastAsia"/>
          <w:sz w:val="30"/>
          <w:szCs w:val="30"/>
        </w:rPr>
        <w:t>第三，我们有涉及弥赛亚子民的反常经文。</w:t>
      </w:r>
    </w:p>
    <w:p w14:paraId="4D7730D9">
      <w:pPr>
        <w:pStyle w:val="9"/>
        <w:spacing w:before="11"/>
        <w:ind w:left="0"/>
        <w:jc w:val="left"/>
        <w:rPr>
          <w:rFonts w:hint="eastAsia"/>
          <w:sz w:val="30"/>
          <w:szCs w:val="30"/>
        </w:rPr>
      </w:pPr>
    </w:p>
    <w:p w14:paraId="60A8BF57">
      <w:pPr>
        <w:pStyle w:val="9"/>
        <w:spacing w:before="11"/>
        <w:ind w:left="0"/>
        <w:jc w:val="left"/>
        <w:rPr>
          <w:rFonts w:hint="eastAsia"/>
          <w:sz w:val="30"/>
          <w:szCs w:val="30"/>
        </w:rPr>
      </w:pPr>
      <w:r>
        <w:rPr>
          <w:rFonts w:hint="eastAsia"/>
          <w:sz w:val="30"/>
          <w:szCs w:val="30"/>
        </w:rPr>
        <w:t>As a rule, the prophets foresee the Messiah reigning over the Gentiles.</w:t>
      </w:r>
    </w:p>
    <w:p w14:paraId="01946B1F">
      <w:pPr>
        <w:pStyle w:val="9"/>
        <w:spacing w:before="11"/>
        <w:ind w:left="0"/>
        <w:jc w:val="left"/>
        <w:rPr>
          <w:rFonts w:hint="eastAsia"/>
          <w:sz w:val="30"/>
          <w:szCs w:val="30"/>
        </w:rPr>
      </w:pPr>
      <w:r>
        <w:rPr>
          <w:rFonts w:hint="eastAsia"/>
          <w:sz w:val="30"/>
          <w:szCs w:val="30"/>
        </w:rPr>
        <w:t>通常情况下，先知们预见到弥赛亚将统治外邦人。</w:t>
      </w:r>
    </w:p>
    <w:p w14:paraId="39F2BB09">
      <w:pPr>
        <w:pStyle w:val="9"/>
        <w:spacing w:before="11"/>
        <w:ind w:left="0"/>
        <w:jc w:val="left"/>
        <w:rPr>
          <w:rFonts w:hint="eastAsia"/>
          <w:sz w:val="30"/>
          <w:szCs w:val="30"/>
        </w:rPr>
      </w:pPr>
    </w:p>
    <w:p w14:paraId="17D64408">
      <w:pPr>
        <w:pStyle w:val="9"/>
        <w:spacing w:before="11"/>
        <w:ind w:left="0"/>
        <w:jc w:val="left"/>
        <w:rPr>
          <w:rFonts w:hint="eastAsia"/>
          <w:sz w:val="30"/>
          <w:szCs w:val="30"/>
        </w:rPr>
      </w:pPr>
      <w:r>
        <w:rPr>
          <w:rFonts w:hint="eastAsia"/>
          <w:sz w:val="30"/>
          <w:szCs w:val="30"/>
        </w:rPr>
        <w:t>However, as we saw above, there are a number of texts in which the Gentiles are not mentioned at all, or are foreseen as having been judged and destroyed.</w:t>
      </w:r>
    </w:p>
    <w:p w14:paraId="3D5DAB0E">
      <w:pPr>
        <w:pStyle w:val="9"/>
        <w:spacing w:before="11"/>
        <w:ind w:left="0"/>
        <w:jc w:val="left"/>
        <w:rPr>
          <w:rFonts w:hint="eastAsia"/>
          <w:sz w:val="30"/>
          <w:szCs w:val="30"/>
        </w:rPr>
      </w:pPr>
      <w:r>
        <w:rPr>
          <w:rFonts w:hint="eastAsia"/>
          <w:sz w:val="30"/>
          <w:szCs w:val="30"/>
        </w:rPr>
        <w:t>然而，正如我们上面所见，有一些经文根本没有提到外邦人，或者预见他们已被审判和毁灭。</w:t>
      </w:r>
    </w:p>
    <w:p w14:paraId="5566993E">
      <w:pPr>
        <w:pStyle w:val="9"/>
        <w:spacing w:before="11"/>
        <w:ind w:left="0"/>
        <w:jc w:val="left"/>
        <w:rPr>
          <w:rFonts w:hint="eastAsia"/>
          <w:sz w:val="30"/>
          <w:szCs w:val="30"/>
        </w:rPr>
      </w:pPr>
    </w:p>
    <w:p w14:paraId="02882C47">
      <w:pPr>
        <w:pStyle w:val="9"/>
        <w:spacing w:before="11"/>
        <w:ind w:left="0"/>
        <w:jc w:val="left"/>
        <w:rPr>
          <w:rFonts w:hint="eastAsia"/>
          <w:sz w:val="30"/>
          <w:szCs w:val="30"/>
        </w:rPr>
      </w:pPr>
      <w:r>
        <w:rPr>
          <w:rFonts w:hint="eastAsia"/>
          <w:sz w:val="30"/>
          <w:szCs w:val="30"/>
        </w:rPr>
        <w:t>Here, the Messiah reigns over Israel alone.</w:t>
      </w:r>
    </w:p>
    <w:p w14:paraId="4981AF44">
      <w:pPr>
        <w:pStyle w:val="9"/>
        <w:spacing w:before="11"/>
        <w:ind w:left="0"/>
        <w:jc w:val="left"/>
        <w:rPr>
          <w:rFonts w:hint="eastAsia"/>
          <w:sz w:val="30"/>
          <w:szCs w:val="30"/>
        </w:rPr>
      </w:pPr>
      <w:r>
        <w:rPr>
          <w:rFonts w:hint="eastAsia"/>
          <w:sz w:val="30"/>
          <w:szCs w:val="30"/>
        </w:rPr>
        <w:t>在这里，弥赛亚只统治以色列。</w:t>
      </w:r>
    </w:p>
    <w:p w14:paraId="11E791F0">
      <w:pPr>
        <w:pStyle w:val="9"/>
        <w:spacing w:before="11"/>
        <w:ind w:left="0"/>
        <w:jc w:val="left"/>
        <w:rPr>
          <w:rFonts w:hint="eastAsia"/>
          <w:sz w:val="30"/>
          <w:szCs w:val="30"/>
        </w:rPr>
      </w:pPr>
    </w:p>
    <w:p w14:paraId="786D2670">
      <w:pPr>
        <w:pStyle w:val="9"/>
        <w:spacing w:before="11"/>
        <w:ind w:left="0"/>
        <w:jc w:val="left"/>
        <w:rPr>
          <w:rFonts w:hint="eastAsia"/>
          <w:sz w:val="30"/>
          <w:szCs w:val="30"/>
        </w:rPr>
      </w:pPr>
      <w:r>
        <w:rPr>
          <w:rFonts w:hint="eastAsia"/>
          <w:sz w:val="30"/>
          <w:szCs w:val="30"/>
        </w:rPr>
        <w:t>Also, it is very important to note that while most OTKP’s represent the Messiah’s own people as enthusiastically loving and serving him, others, mysteriously enough, predict that they will disbelieve, oppress, despise, abhor, and forsake him (Isaiah 49:7, 53:1, 3, 7-8).</w:t>
      </w:r>
    </w:p>
    <w:p w14:paraId="7135F575">
      <w:pPr>
        <w:pStyle w:val="9"/>
        <w:spacing w:before="11"/>
        <w:ind w:left="0"/>
        <w:jc w:val="left"/>
        <w:rPr>
          <w:rFonts w:hint="eastAsia"/>
          <w:sz w:val="30"/>
          <w:szCs w:val="30"/>
        </w:rPr>
      </w:pPr>
      <w:r>
        <w:rPr>
          <w:rFonts w:hint="eastAsia"/>
          <w:sz w:val="30"/>
          <w:szCs w:val="30"/>
        </w:rPr>
        <w:t>此外，非常重要的是要注意到，虽然大多数旧约国度预言（OTKP）将弥赛亚自己的子民描绘成热情地爱戴和事奉祂，但其他一些预言却神秘地预言他们将不信、压迫、藐视、憎恶和离弃祂（以赛亚书 49:7, 53:1, 3, 7-8）。</w:t>
      </w:r>
    </w:p>
    <w:p w14:paraId="44A458A4">
      <w:pPr>
        <w:pStyle w:val="9"/>
        <w:spacing w:before="11"/>
        <w:ind w:left="0"/>
        <w:jc w:val="left"/>
        <w:rPr>
          <w:rFonts w:hint="eastAsia"/>
          <w:sz w:val="30"/>
          <w:szCs w:val="30"/>
        </w:rPr>
      </w:pPr>
    </w:p>
    <w:p w14:paraId="15FAB650">
      <w:pPr>
        <w:pStyle w:val="9"/>
        <w:spacing w:before="11"/>
        <w:ind w:left="0"/>
        <w:jc w:val="left"/>
        <w:rPr>
          <w:rFonts w:hint="eastAsia"/>
          <w:sz w:val="30"/>
          <w:szCs w:val="30"/>
        </w:rPr>
      </w:pPr>
      <w:r>
        <w:rPr>
          <w:rFonts w:hint="eastAsia"/>
          <w:sz w:val="30"/>
          <w:szCs w:val="30"/>
        </w:rPr>
        <w:t>Similarly, while most OTKP’s portray the Messiah as happily ruling over a nation bathed in God’s covenant blessings, Zechariah ominously predicts that God will awaken a sword against his own (Messianic) Companion and Shepherd, and that two thirds of his flock will be cut off and perish (Zech. 13:7-9).</w:t>
      </w:r>
    </w:p>
    <w:p w14:paraId="0CB32C1C">
      <w:pPr>
        <w:pStyle w:val="9"/>
        <w:spacing w:before="11"/>
        <w:ind w:left="0"/>
        <w:jc w:val="left"/>
        <w:rPr>
          <w:rFonts w:hint="eastAsia"/>
          <w:sz w:val="30"/>
          <w:szCs w:val="30"/>
        </w:rPr>
      </w:pPr>
      <w:r>
        <w:rPr>
          <w:rFonts w:hint="eastAsia"/>
          <w:sz w:val="30"/>
          <w:szCs w:val="30"/>
        </w:rPr>
        <w:t>同样，虽然大多数旧约国度预言（OTKP）描绘弥赛亚快乐地统治着一个沐浴在上帝圣约祝福中的国家，但撒迦利亚却不祥地预言，上帝将唤醒一把刀攻击祂自己的（弥赛亚）同伴和牧人，祂的羊群中三分之二将被剪除和灭亡（撒迦利亚书 13:7-9）。</w:t>
      </w:r>
    </w:p>
    <w:p w14:paraId="5914915A">
      <w:pPr>
        <w:pStyle w:val="9"/>
        <w:spacing w:before="11"/>
        <w:ind w:left="0"/>
        <w:jc w:val="left"/>
        <w:rPr>
          <w:rFonts w:hint="eastAsia"/>
          <w:sz w:val="30"/>
          <w:szCs w:val="30"/>
        </w:rPr>
      </w:pPr>
    </w:p>
    <w:p w14:paraId="40D8AB0E">
      <w:pPr>
        <w:pStyle w:val="9"/>
        <w:spacing w:before="11"/>
        <w:ind w:left="0"/>
        <w:jc w:val="left"/>
        <w:rPr>
          <w:rFonts w:hint="eastAsia"/>
          <w:sz w:val="30"/>
          <w:szCs w:val="30"/>
        </w:rPr>
      </w:pPr>
      <w:r>
        <w:rPr>
          <w:rFonts w:hint="eastAsia"/>
          <w:sz w:val="30"/>
          <w:szCs w:val="30"/>
        </w:rPr>
        <w:t>Fourthly, we have a few OTKP’s in which it is not the eschatological David himself who rules over the Kingdom, but rather a resurrected Davidic dynasty and a restored Levitical priesthood (Jer. 33:19-22, cf. Amos 9:11-15).</w:t>
      </w:r>
    </w:p>
    <w:p w14:paraId="741CA3CF">
      <w:pPr>
        <w:pStyle w:val="9"/>
        <w:spacing w:before="11"/>
        <w:ind w:left="0"/>
        <w:jc w:val="left"/>
        <w:rPr>
          <w:rFonts w:hint="eastAsia"/>
          <w:sz w:val="30"/>
          <w:szCs w:val="30"/>
        </w:rPr>
      </w:pPr>
      <w:r>
        <w:rPr>
          <w:rFonts w:hint="eastAsia"/>
          <w:sz w:val="30"/>
          <w:szCs w:val="30"/>
        </w:rPr>
        <w:t>第四，我们有少数旧约国度预言（OTKP），其中不是末世的大卫亲自统治国度，而是一个复兴的大卫王朝和恢复的利未祭司职分（耶利米书 33:19-22，参看 阿摩司书 9:11-15）。</w:t>
      </w:r>
    </w:p>
    <w:p w14:paraId="1F58494F">
      <w:pPr>
        <w:pStyle w:val="9"/>
        <w:spacing w:before="11"/>
        <w:ind w:left="0"/>
        <w:jc w:val="left"/>
        <w:rPr>
          <w:rFonts w:hint="eastAsia"/>
          <w:sz w:val="30"/>
          <w:szCs w:val="30"/>
        </w:rPr>
      </w:pPr>
    </w:p>
    <w:p w14:paraId="712055E5">
      <w:pPr>
        <w:pStyle w:val="9"/>
        <w:spacing w:before="11"/>
        <w:ind w:left="0"/>
        <w:jc w:val="left"/>
        <w:rPr>
          <w:rFonts w:hint="eastAsia"/>
          <w:sz w:val="30"/>
          <w:szCs w:val="30"/>
        </w:rPr>
      </w:pPr>
      <w:r>
        <w:rPr>
          <w:rFonts w:hint="eastAsia"/>
          <w:sz w:val="30"/>
          <w:szCs w:val="30"/>
        </w:rPr>
        <w:t>Here, the Messiah appears to be neither divine nor eternal.</w:t>
      </w:r>
    </w:p>
    <w:p w14:paraId="5B31B4D0">
      <w:pPr>
        <w:pStyle w:val="9"/>
        <w:spacing w:before="11"/>
        <w:ind w:left="0"/>
        <w:jc w:val="left"/>
        <w:rPr>
          <w:rFonts w:hint="eastAsia"/>
          <w:sz w:val="30"/>
          <w:szCs w:val="30"/>
        </w:rPr>
      </w:pPr>
      <w:r>
        <w:rPr>
          <w:rFonts w:hint="eastAsia"/>
          <w:sz w:val="30"/>
          <w:szCs w:val="30"/>
        </w:rPr>
        <w:t>在这里，弥赛亚似乎既非神圣也非永恒。</w:t>
      </w:r>
    </w:p>
    <w:p w14:paraId="28444830">
      <w:pPr>
        <w:pStyle w:val="9"/>
        <w:spacing w:before="11"/>
        <w:ind w:left="0"/>
        <w:jc w:val="left"/>
        <w:rPr>
          <w:rFonts w:hint="eastAsia"/>
          <w:sz w:val="30"/>
          <w:szCs w:val="30"/>
        </w:rPr>
      </w:pPr>
    </w:p>
    <w:p w14:paraId="49575761">
      <w:pPr>
        <w:pStyle w:val="9"/>
        <w:spacing w:before="11"/>
        <w:ind w:left="0"/>
        <w:jc w:val="left"/>
        <w:rPr>
          <w:rFonts w:hint="eastAsia"/>
          <w:sz w:val="30"/>
          <w:szCs w:val="30"/>
        </w:rPr>
      </w:pPr>
      <w:r>
        <w:rPr>
          <w:rFonts w:hint="eastAsia"/>
          <w:sz w:val="30"/>
          <w:szCs w:val="30"/>
        </w:rPr>
        <w:t>His eternal reign is strictly through an eternal seed.</w:t>
      </w:r>
    </w:p>
    <w:p w14:paraId="2D54F375">
      <w:pPr>
        <w:pStyle w:val="9"/>
        <w:spacing w:before="11"/>
        <w:ind w:left="0"/>
        <w:jc w:val="left"/>
        <w:rPr>
          <w:rFonts w:hint="eastAsia"/>
          <w:sz w:val="30"/>
          <w:szCs w:val="30"/>
        </w:rPr>
      </w:pPr>
      <w:r>
        <w:rPr>
          <w:rFonts w:hint="eastAsia"/>
          <w:sz w:val="30"/>
          <w:szCs w:val="30"/>
        </w:rPr>
        <w:t>祂的永恒统治严格地是通过一个永恒的后裔实现的。</w:t>
      </w:r>
    </w:p>
    <w:p w14:paraId="748E000E">
      <w:pPr>
        <w:pStyle w:val="9"/>
        <w:spacing w:before="11"/>
        <w:ind w:left="0"/>
        <w:jc w:val="left"/>
        <w:rPr>
          <w:rFonts w:hint="eastAsia"/>
          <w:sz w:val="30"/>
          <w:szCs w:val="30"/>
        </w:rPr>
      </w:pPr>
    </w:p>
    <w:p w14:paraId="03F631D8">
      <w:pPr>
        <w:pStyle w:val="9"/>
        <w:spacing w:before="11"/>
        <w:ind w:left="0"/>
        <w:jc w:val="left"/>
        <w:rPr>
          <w:rFonts w:hint="eastAsia"/>
          <w:sz w:val="30"/>
          <w:szCs w:val="30"/>
        </w:rPr>
      </w:pPr>
      <w:r>
        <w:rPr>
          <w:rFonts w:hint="eastAsia"/>
          <w:sz w:val="30"/>
          <w:szCs w:val="30"/>
        </w:rPr>
        <w:t>Finally, concerning the career of the Messiah, we have seen that most OTKP’s envision him as arising in Israel after their return from exile.</w:t>
      </w:r>
    </w:p>
    <w:p w14:paraId="5B4EA5FD">
      <w:pPr>
        <w:pStyle w:val="9"/>
        <w:spacing w:before="11"/>
        <w:ind w:left="0"/>
        <w:jc w:val="left"/>
        <w:rPr>
          <w:rFonts w:hint="eastAsia"/>
          <w:sz w:val="30"/>
          <w:szCs w:val="30"/>
        </w:rPr>
      </w:pPr>
      <w:r>
        <w:rPr>
          <w:rFonts w:hint="eastAsia"/>
          <w:sz w:val="30"/>
          <w:szCs w:val="30"/>
        </w:rPr>
        <w:t>最后，关于弥赛亚的生涯，我们已经看到大多数旧约国度预言（OTKP）设想祂在以色列人从被掳之地归回后兴起。</w:t>
      </w:r>
    </w:p>
    <w:p w14:paraId="1D1BDE67">
      <w:pPr>
        <w:pStyle w:val="9"/>
        <w:spacing w:before="11"/>
        <w:ind w:left="0"/>
        <w:jc w:val="left"/>
        <w:rPr>
          <w:rFonts w:hint="eastAsia"/>
          <w:sz w:val="30"/>
          <w:szCs w:val="30"/>
        </w:rPr>
      </w:pPr>
    </w:p>
    <w:p w14:paraId="4A96FE7F">
      <w:pPr>
        <w:pStyle w:val="9"/>
        <w:spacing w:before="11"/>
        <w:ind w:left="0"/>
        <w:jc w:val="left"/>
        <w:rPr>
          <w:rFonts w:hint="eastAsia"/>
          <w:sz w:val="30"/>
          <w:szCs w:val="30"/>
        </w:rPr>
      </w:pPr>
      <w:r>
        <w:rPr>
          <w:rFonts w:hint="eastAsia"/>
          <w:sz w:val="30"/>
          <w:szCs w:val="30"/>
        </w:rPr>
        <w:t>However, Micah 2:12-13, puzzlingly enough, seems to have him leading Israel out of captivity and back into her homeland.</w:t>
      </w:r>
    </w:p>
    <w:p w14:paraId="6E7D7F6C">
      <w:pPr>
        <w:pStyle w:val="9"/>
        <w:spacing w:before="11"/>
        <w:ind w:left="0"/>
        <w:jc w:val="left"/>
        <w:rPr>
          <w:rFonts w:hint="eastAsia"/>
          <w:sz w:val="30"/>
          <w:szCs w:val="30"/>
        </w:rPr>
      </w:pPr>
      <w:r>
        <w:rPr>
          <w:rFonts w:hint="eastAsia"/>
          <w:sz w:val="30"/>
          <w:szCs w:val="30"/>
        </w:rPr>
        <w:t>然而，令人困惑的是，弥迦书 2:12-13 似乎是祂带领以色列人出被掳之地，回到他们的故土。</w:t>
      </w:r>
    </w:p>
    <w:p w14:paraId="44BFEAAF">
      <w:pPr>
        <w:pStyle w:val="9"/>
        <w:spacing w:before="11"/>
        <w:ind w:left="0"/>
        <w:jc w:val="left"/>
        <w:rPr>
          <w:rFonts w:hint="eastAsia"/>
          <w:sz w:val="30"/>
          <w:szCs w:val="30"/>
        </w:rPr>
      </w:pPr>
    </w:p>
    <w:p w14:paraId="3D52E969">
      <w:pPr>
        <w:pStyle w:val="9"/>
        <w:spacing w:before="11"/>
        <w:ind w:left="0"/>
        <w:jc w:val="left"/>
        <w:rPr>
          <w:rFonts w:hint="eastAsia"/>
          <w:sz w:val="30"/>
          <w:szCs w:val="30"/>
        </w:rPr>
      </w:pPr>
      <w:r>
        <w:rPr>
          <w:rFonts w:hint="eastAsia"/>
          <w:sz w:val="30"/>
          <w:szCs w:val="30"/>
        </w:rPr>
        <w:t>The same is true of Hosea 1:11, which portrays the “one leader” of a unified Israel as bringing the victorious nation “up from the land,” presumably the land of their captors.</w:t>
      </w:r>
    </w:p>
    <w:p w14:paraId="26F11E92">
      <w:pPr>
        <w:pStyle w:val="9"/>
        <w:spacing w:before="11"/>
        <w:ind w:left="0"/>
        <w:jc w:val="left"/>
        <w:rPr>
          <w:rFonts w:hint="eastAsia"/>
          <w:sz w:val="30"/>
          <w:szCs w:val="30"/>
        </w:rPr>
      </w:pPr>
      <w:r>
        <w:rPr>
          <w:rFonts w:hint="eastAsia"/>
          <w:sz w:val="30"/>
          <w:szCs w:val="30"/>
        </w:rPr>
        <w:t>何西阿书 1:11 也是如此，它将一个统一的以色列的“一位领袖”描绘为带领得胜的国家“从那地上去”，大概是指他们被掳之地。</w:t>
      </w:r>
    </w:p>
    <w:p w14:paraId="440EFEA4">
      <w:pPr>
        <w:pStyle w:val="9"/>
        <w:spacing w:before="11"/>
        <w:ind w:left="0"/>
        <w:jc w:val="left"/>
        <w:rPr>
          <w:rFonts w:hint="eastAsia"/>
          <w:sz w:val="30"/>
          <w:szCs w:val="30"/>
        </w:rPr>
      </w:pPr>
    </w:p>
    <w:p w14:paraId="15C0C886">
      <w:pPr>
        <w:pStyle w:val="9"/>
        <w:spacing w:before="11"/>
        <w:ind w:left="0"/>
        <w:jc w:val="left"/>
        <w:rPr>
          <w:rFonts w:hint="eastAsia"/>
          <w:sz w:val="30"/>
          <w:szCs w:val="30"/>
        </w:rPr>
      </w:pPr>
      <w:r>
        <w:rPr>
          <w:rFonts w:hint="eastAsia"/>
          <w:sz w:val="30"/>
          <w:szCs w:val="30"/>
        </w:rPr>
        <w:t>How can we make sense of all these anomalies?</w:t>
      </w:r>
    </w:p>
    <w:p w14:paraId="57C4F31A">
      <w:pPr>
        <w:pStyle w:val="9"/>
        <w:spacing w:before="11"/>
        <w:ind w:left="0"/>
        <w:jc w:val="left"/>
        <w:rPr>
          <w:rFonts w:hint="eastAsia"/>
          <w:sz w:val="30"/>
          <w:szCs w:val="30"/>
        </w:rPr>
      </w:pPr>
      <w:r>
        <w:rPr>
          <w:rFonts w:hint="eastAsia"/>
          <w:sz w:val="30"/>
          <w:szCs w:val="30"/>
        </w:rPr>
        <w:t>我们如何能理解所有这些反常之处？</w:t>
      </w:r>
    </w:p>
    <w:p w14:paraId="13DFD263">
      <w:pPr>
        <w:pStyle w:val="9"/>
        <w:spacing w:before="11"/>
        <w:ind w:left="0"/>
        <w:jc w:val="left"/>
        <w:rPr>
          <w:rFonts w:hint="eastAsia"/>
          <w:sz w:val="30"/>
          <w:szCs w:val="30"/>
        </w:rPr>
      </w:pPr>
    </w:p>
    <w:p w14:paraId="5BEC173F">
      <w:pPr>
        <w:pStyle w:val="9"/>
        <w:spacing w:before="11"/>
        <w:ind w:left="0"/>
        <w:jc w:val="left"/>
        <w:rPr>
          <w:rFonts w:hint="eastAsia"/>
          <w:sz w:val="30"/>
          <w:szCs w:val="30"/>
        </w:rPr>
      </w:pPr>
      <w:r>
        <w:rPr>
          <w:rFonts w:hint="eastAsia"/>
          <w:sz w:val="30"/>
          <w:szCs w:val="30"/>
        </w:rPr>
        <w:t>How are we to reconcile these apparent contradictions?</w:t>
      </w:r>
    </w:p>
    <w:p w14:paraId="2B28F356">
      <w:pPr>
        <w:pStyle w:val="9"/>
        <w:spacing w:before="11"/>
        <w:ind w:left="0"/>
        <w:jc w:val="left"/>
        <w:rPr>
          <w:rFonts w:hint="eastAsia"/>
          <w:sz w:val="30"/>
          <w:szCs w:val="30"/>
        </w:rPr>
      </w:pPr>
      <w:r>
        <w:rPr>
          <w:rFonts w:hint="eastAsia"/>
          <w:sz w:val="30"/>
          <w:szCs w:val="30"/>
        </w:rPr>
        <w:t>我们如何调和这些明显的矛盾？</w:t>
      </w:r>
    </w:p>
    <w:p w14:paraId="2B8E38FD">
      <w:pPr>
        <w:pStyle w:val="9"/>
        <w:spacing w:before="11"/>
        <w:ind w:left="0"/>
        <w:jc w:val="left"/>
        <w:rPr>
          <w:rFonts w:hint="eastAsia"/>
          <w:sz w:val="30"/>
          <w:szCs w:val="30"/>
        </w:rPr>
      </w:pPr>
    </w:p>
    <w:p w14:paraId="0BD53E4C">
      <w:pPr>
        <w:pStyle w:val="9"/>
        <w:spacing w:before="11"/>
        <w:ind w:left="0"/>
        <w:jc w:val="left"/>
        <w:rPr>
          <w:rFonts w:hint="eastAsia"/>
          <w:sz w:val="30"/>
          <w:szCs w:val="30"/>
        </w:rPr>
      </w:pPr>
      <w:r>
        <w:rPr>
          <w:rFonts w:hint="eastAsia"/>
          <w:sz w:val="30"/>
          <w:szCs w:val="30"/>
        </w:rPr>
        <w:t>The answer, I trust, is clear.</w:t>
      </w:r>
    </w:p>
    <w:p w14:paraId="05A378FD">
      <w:pPr>
        <w:pStyle w:val="9"/>
        <w:spacing w:before="11"/>
        <w:ind w:left="0"/>
        <w:jc w:val="left"/>
        <w:rPr>
          <w:rFonts w:hint="eastAsia"/>
          <w:sz w:val="30"/>
          <w:szCs w:val="30"/>
        </w:rPr>
      </w:pPr>
      <w:r>
        <w:rPr>
          <w:rFonts w:hint="eastAsia"/>
          <w:sz w:val="30"/>
          <w:szCs w:val="30"/>
        </w:rPr>
        <w:t>我相信，答案是清楚的。</w:t>
      </w:r>
    </w:p>
    <w:p w14:paraId="6F61306C">
      <w:pPr>
        <w:pStyle w:val="9"/>
        <w:spacing w:before="11"/>
        <w:ind w:left="0"/>
        <w:jc w:val="left"/>
        <w:rPr>
          <w:rFonts w:hint="eastAsia"/>
          <w:sz w:val="30"/>
          <w:szCs w:val="30"/>
        </w:rPr>
      </w:pPr>
    </w:p>
    <w:p w14:paraId="63DFBA3A">
      <w:pPr>
        <w:pStyle w:val="9"/>
        <w:spacing w:before="11"/>
        <w:ind w:left="0"/>
        <w:jc w:val="left"/>
        <w:rPr>
          <w:rFonts w:hint="eastAsia"/>
          <w:sz w:val="30"/>
          <w:szCs w:val="30"/>
        </w:rPr>
      </w:pPr>
      <w:r>
        <w:rPr>
          <w:rFonts w:hint="eastAsia"/>
          <w:sz w:val="30"/>
          <w:szCs w:val="30"/>
        </w:rPr>
        <w:t>On pain of endless confusion and controversy, we cannot adopt the literalism of our premillennial brethren.</w:t>
      </w:r>
    </w:p>
    <w:p w14:paraId="18A1F197">
      <w:pPr>
        <w:pStyle w:val="9"/>
        <w:spacing w:before="11"/>
        <w:ind w:left="0"/>
        <w:jc w:val="left"/>
        <w:rPr>
          <w:rFonts w:hint="eastAsia"/>
          <w:sz w:val="30"/>
          <w:szCs w:val="30"/>
        </w:rPr>
      </w:pPr>
      <w:r>
        <w:rPr>
          <w:rFonts w:hint="eastAsia"/>
          <w:sz w:val="30"/>
          <w:szCs w:val="30"/>
        </w:rPr>
        <w:t>为了避免无休止的困惑和争议，我们不能采纳我们前千禧年派弟兄们的字面主义。</w:t>
      </w:r>
    </w:p>
    <w:p w14:paraId="0A8C49CE">
      <w:pPr>
        <w:pStyle w:val="9"/>
        <w:spacing w:before="11"/>
        <w:ind w:left="0"/>
        <w:jc w:val="left"/>
        <w:rPr>
          <w:rFonts w:hint="eastAsia"/>
          <w:sz w:val="30"/>
          <w:szCs w:val="30"/>
        </w:rPr>
      </w:pPr>
    </w:p>
    <w:p w14:paraId="4A08D45B">
      <w:pPr>
        <w:pStyle w:val="9"/>
        <w:spacing w:before="11"/>
        <w:ind w:left="0"/>
        <w:jc w:val="left"/>
        <w:rPr>
          <w:rFonts w:hint="eastAsia"/>
          <w:sz w:val="30"/>
          <w:szCs w:val="30"/>
        </w:rPr>
      </w:pPr>
      <w:r>
        <w:rPr>
          <w:rFonts w:hint="eastAsia"/>
          <w:sz w:val="30"/>
          <w:szCs w:val="30"/>
        </w:rPr>
        <w:t>Rather, we must look to the NT—and to the NCH—to explain and harmonize all.</w:t>
      </w:r>
    </w:p>
    <w:p w14:paraId="3825950A">
      <w:pPr>
        <w:pStyle w:val="9"/>
        <w:spacing w:before="11"/>
        <w:ind w:left="0"/>
        <w:jc w:val="left"/>
        <w:rPr>
          <w:rFonts w:hint="eastAsia"/>
          <w:sz w:val="30"/>
          <w:szCs w:val="30"/>
        </w:rPr>
      </w:pPr>
      <w:r>
        <w:rPr>
          <w:rFonts w:hint="eastAsia"/>
          <w:sz w:val="30"/>
          <w:szCs w:val="30"/>
        </w:rPr>
        <w:t>相反，我们必须求助于新约——以及新约解释学（NCH）——来解释和协调一切。</w:t>
      </w:r>
    </w:p>
    <w:p w14:paraId="1A0DFC12">
      <w:pPr>
        <w:pStyle w:val="9"/>
        <w:spacing w:before="11"/>
        <w:ind w:left="0"/>
        <w:jc w:val="left"/>
        <w:rPr>
          <w:rFonts w:hint="eastAsia"/>
          <w:sz w:val="30"/>
          <w:szCs w:val="30"/>
        </w:rPr>
      </w:pPr>
    </w:p>
    <w:p w14:paraId="609A81A8">
      <w:pPr>
        <w:pStyle w:val="9"/>
        <w:spacing w:before="11"/>
        <w:ind w:left="0"/>
        <w:jc w:val="left"/>
        <w:rPr>
          <w:rFonts w:hint="eastAsia"/>
          <w:sz w:val="30"/>
          <w:szCs w:val="30"/>
        </w:rPr>
      </w:pPr>
      <w:r>
        <w:rPr>
          <w:rFonts w:hint="eastAsia"/>
          <w:sz w:val="30"/>
          <w:szCs w:val="30"/>
        </w:rPr>
        <w:t>For example, concerning the manifold work of the Messiah, we have seen that the NT gives us a richly detailed picture of how Jesus Christ did fill, does fill, and eternally will fill all three of his offices; how his priestly work on earth lays the foundation for his kingly work in heaven; and how his prophetic work (by which he gave us the NT) enables us to understand them both.</w:t>
      </w:r>
    </w:p>
    <w:p w14:paraId="2FF5FD74">
      <w:pPr>
        <w:pStyle w:val="9"/>
        <w:spacing w:before="11"/>
        <w:ind w:left="0"/>
        <w:jc w:val="left"/>
        <w:rPr>
          <w:rFonts w:hint="eastAsia"/>
          <w:sz w:val="30"/>
          <w:szCs w:val="30"/>
        </w:rPr>
      </w:pPr>
      <w:r>
        <w:rPr>
          <w:rFonts w:hint="eastAsia"/>
          <w:sz w:val="30"/>
          <w:szCs w:val="30"/>
        </w:rPr>
        <w:t>例如，关于弥赛亚多方面的工作，我们已经看到新约给了我们一幅极其详细的图画，展示了耶稣基督如何过去、现在以及将来永远地担当祂的三个职分；祂在世上的祭司工作如何为祂在天上的君王工作奠定基础；以及祂的先知工作（祂借此给了我们新约）如何使我们能够理解这两者。</w:t>
      </w:r>
    </w:p>
    <w:p w14:paraId="6CA6A12E">
      <w:pPr>
        <w:pStyle w:val="9"/>
        <w:spacing w:before="11"/>
        <w:ind w:left="0"/>
        <w:jc w:val="left"/>
        <w:rPr>
          <w:rFonts w:hint="eastAsia"/>
          <w:sz w:val="30"/>
          <w:szCs w:val="30"/>
        </w:rPr>
      </w:pPr>
    </w:p>
    <w:p w14:paraId="5EB35C0F">
      <w:pPr>
        <w:pStyle w:val="9"/>
        <w:spacing w:before="11"/>
        <w:ind w:left="0"/>
        <w:jc w:val="left"/>
        <w:rPr>
          <w:rFonts w:hint="eastAsia"/>
          <w:sz w:val="30"/>
          <w:szCs w:val="30"/>
        </w:rPr>
      </w:pPr>
      <w:r>
        <w:rPr>
          <w:rFonts w:hint="eastAsia"/>
          <w:sz w:val="30"/>
          <w:szCs w:val="30"/>
        </w:rPr>
        <w:t>Once we do, there can be no question of a literal fulfillment of the Representative OT Idea of the Kingdom in a future millennium.</w:t>
      </w:r>
    </w:p>
    <w:p w14:paraId="48F430B4">
      <w:pPr>
        <w:pStyle w:val="9"/>
        <w:spacing w:before="11"/>
        <w:ind w:left="0"/>
        <w:jc w:val="left"/>
        <w:rPr>
          <w:rFonts w:hint="eastAsia"/>
          <w:sz w:val="30"/>
          <w:szCs w:val="30"/>
        </w:rPr>
      </w:pPr>
      <w:r>
        <w:rPr>
          <w:rFonts w:hint="eastAsia"/>
          <w:sz w:val="30"/>
          <w:szCs w:val="30"/>
        </w:rPr>
        <w:t>一旦我们这样做了，就毫无疑问，旧约国度的代表性观念不可能在未来的千禧年中字面应验。</w:t>
      </w:r>
    </w:p>
    <w:p w14:paraId="16D8FD99">
      <w:pPr>
        <w:pStyle w:val="9"/>
        <w:spacing w:before="11"/>
        <w:ind w:left="0"/>
        <w:jc w:val="left"/>
        <w:rPr>
          <w:rFonts w:hint="eastAsia"/>
          <w:sz w:val="30"/>
          <w:szCs w:val="30"/>
        </w:rPr>
      </w:pPr>
    </w:p>
    <w:p w14:paraId="7BDFE2D0">
      <w:pPr>
        <w:pStyle w:val="9"/>
        <w:spacing w:before="11"/>
        <w:ind w:left="0"/>
        <w:jc w:val="left"/>
        <w:rPr>
          <w:rFonts w:hint="eastAsia"/>
          <w:sz w:val="30"/>
          <w:szCs w:val="30"/>
        </w:rPr>
      </w:pPr>
      <w:r>
        <w:rPr>
          <w:rFonts w:hint="eastAsia"/>
          <w:sz w:val="30"/>
          <w:szCs w:val="30"/>
        </w:rPr>
        <w:t>What of the anomalous OTKP’s portraying the Messiah as ruling only over Israel in her homeland?</w:t>
      </w:r>
    </w:p>
    <w:p w14:paraId="1BACA71E">
      <w:pPr>
        <w:pStyle w:val="9"/>
        <w:spacing w:before="11"/>
        <w:ind w:left="0"/>
        <w:jc w:val="left"/>
        <w:rPr>
          <w:rFonts w:hint="eastAsia"/>
          <w:sz w:val="30"/>
          <w:szCs w:val="30"/>
        </w:rPr>
      </w:pPr>
      <w:r>
        <w:rPr>
          <w:rFonts w:hint="eastAsia"/>
          <w:sz w:val="30"/>
          <w:szCs w:val="30"/>
        </w:rPr>
        <w:t>那些描绘弥赛亚只在以色列故土统治以色列的反常旧约国度预言（OTKP）又如何呢？</w:t>
      </w:r>
    </w:p>
    <w:p w14:paraId="60B91945">
      <w:pPr>
        <w:pStyle w:val="9"/>
        <w:spacing w:before="11"/>
        <w:ind w:left="0"/>
        <w:jc w:val="left"/>
        <w:rPr>
          <w:rFonts w:hint="eastAsia"/>
          <w:sz w:val="30"/>
          <w:szCs w:val="30"/>
        </w:rPr>
      </w:pPr>
    </w:p>
    <w:p w14:paraId="0076DAF2">
      <w:pPr>
        <w:pStyle w:val="9"/>
        <w:spacing w:before="11"/>
        <w:ind w:left="0"/>
        <w:jc w:val="left"/>
        <w:rPr>
          <w:rFonts w:hint="eastAsia"/>
          <w:sz w:val="30"/>
          <w:szCs w:val="30"/>
        </w:rPr>
      </w:pPr>
      <w:r>
        <w:rPr>
          <w:rFonts w:hint="eastAsia"/>
          <w:sz w:val="30"/>
          <w:szCs w:val="30"/>
        </w:rPr>
        <w:t>Applying the NCH, we see immediately that these are simply OT pictures of Christ ruling over his (universal) Church, both now and in the new heavens and the new earth.</w:t>
      </w:r>
    </w:p>
    <w:p w14:paraId="40214B09">
      <w:pPr>
        <w:pStyle w:val="9"/>
        <w:spacing w:before="11"/>
        <w:ind w:left="0"/>
        <w:jc w:val="left"/>
        <w:rPr>
          <w:rFonts w:hint="eastAsia"/>
          <w:sz w:val="30"/>
          <w:szCs w:val="30"/>
        </w:rPr>
      </w:pPr>
      <w:r>
        <w:rPr>
          <w:rFonts w:hint="eastAsia"/>
          <w:sz w:val="30"/>
          <w:szCs w:val="30"/>
        </w:rPr>
        <w:t>应用新约解释学（NCH），我们立刻看到这些只是基督统治祂（普世）教会的旧约图景，无论是在现今还是在新天新地中。</w:t>
      </w:r>
    </w:p>
    <w:p w14:paraId="45D921AF">
      <w:pPr>
        <w:pStyle w:val="9"/>
        <w:spacing w:before="11"/>
        <w:ind w:left="0"/>
        <w:jc w:val="left"/>
        <w:rPr>
          <w:rFonts w:hint="eastAsia"/>
          <w:sz w:val="30"/>
          <w:szCs w:val="30"/>
        </w:rPr>
      </w:pPr>
    </w:p>
    <w:p w14:paraId="1A586D02">
      <w:pPr>
        <w:pStyle w:val="9"/>
        <w:spacing w:before="11"/>
        <w:ind w:left="0"/>
        <w:jc w:val="left"/>
        <w:rPr>
          <w:rFonts w:hint="eastAsia"/>
          <w:sz w:val="30"/>
          <w:szCs w:val="30"/>
        </w:rPr>
      </w:pPr>
      <w:r>
        <w:rPr>
          <w:rFonts w:hint="eastAsia"/>
          <w:sz w:val="30"/>
          <w:szCs w:val="30"/>
        </w:rPr>
        <w:t>They focus on the unity of God’s coming eschatological Nation, rather than on the ethnic diversity of its constituency.</w:t>
      </w:r>
    </w:p>
    <w:p w14:paraId="563B109D">
      <w:pPr>
        <w:pStyle w:val="9"/>
        <w:spacing w:before="11"/>
        <w:ind w:left="0"/>
        <w:jc w:val="left"/>
        <w:rPr>
          <w:rFonts w:hint="eastAsia"/>
          <w:sz w:val="30"/>
          <w:szCs w:val="30"/>
        </w:rPr>
      </w:pPr>
      <w:r>
        <w:rPr>
          <w:rFonts w:hint="eastAsia"/>
          <w:sz w:val="30"/>
          <w:szCs w:val="30"/>
        </w:rPr>
        <w:t>它们关注的是上帝将要来临的末世国度的统一性，而不是其成员的民族多样性。</w:t>
      </w:r>
    </w:p>
    <w:p w14:paraId="0D3CE421">
      <w:pPr>
        <w:pStyle w:val="9"/>
        <w:spacing w:before="11"/>
        <w:ind w:left="0"/>
        <w:jc w:val="left"/>
        <w:rPr>
          <w:rFonts w:hint="eastAsia"/>
          <w:sz w:val="30"/>
          <w:szCs w:val="30"/>
        </w:rPr>
      </w:pPr>
    </w:p>
    <w:p w14:paraId="46A86EAD">
      <w:pPr>
        <w:pStyle w:val="9"/>
        <w:spacing w:before="11"/>
        <w:ind w:left="0"/>
        <w:jc w:val="left"/>
        <w:rPr>
          <w:rFonts w:hint="eastAsia"/>
          <w:sz w:val="30"/>
          <w:szCs w:val="30"/>
        </w:rPr>
      </w:pPr>
      <w:r>
        <w:rPr>
          <w:rFonts w:hint="eastAsia"/>
          <w:sz w:val="30"/>
          <w:szCs w:val="30"/>
        </w:rPr>
        <w:t>Again, why do some OTKP’s have the eschatological David himself ruling forever, while others envision only a perpetual Davidic dynasty and Levitical priesthood?</w:t>
      </w:r>
    </w:p>
    <w:p w14:paraId="1A14A08F">
      <w:pPr>
        <w:pStyle w:val="9"/>
        <w:spacing w:before="11"/>
        <w:ind w:left="0"/>
        <w:jc w:val="left"/>
        <w:rPr>
          <w:rFonts w:hint="eastAsia"/>
          <w:sz w:val="30"/>
          <w:szCs w:val="30"/>
        </w:rPr>
      </w:pPr>
      <w:r>
        <w:rPr>
          <w:rFonts w:hint="eastAsia"/>
          <w:sz w:val="30"/>
          <w:szCs w:val="30"/>
        </w:rPr>
        <w:t>再次，为什么一些旧约国度预言（OTKP）说末世的大卫亲自永远统治，而另一些只设想一个永续的大卫王朝和利未祭司职分？</w:t>
      </w:r>
    </w:p>
    <w:p w14:paraId="02E21AA8">
      <w:pPr>
        <w:pStyle w:val="9"/>
        <w:spacing w:before="11"/>
        <w:ind w:left="0"/>
        <w:jc w:val="left"/>
        <w:rPr>
          <w:rFonts w:hint="eastAsia"/>
          <w:sz w:val="30"/>
          <w:szCs w:val="30"/>
        </w:rPr>
      </w:pPr>
    </w:p>
    <w:p w14:paraId="1A684623">
      <w:pPr>
        <w:pStyle w:val="9"/>
        <w:spacing w:before="11"/>
        <w:ind w:left="0"/>
        <w:jc w:val="left"/>
        <w:rPr>
          <w:rFonts w:hint="eastAsia"/>
          <w:sz w:val="30"/>
          <w:szCs w:val="30"/>
        </w:rPr>
      </w:pPr>
      <w:r>
        <w:rPr>
          <w:rFonts w:hint="eastAsia"/>
          <w:sz w:val="30"/>
          <w:szCs w:val="30"/>
        </w:rPr>
        <w:t>With help from the NCH, the answer is easy: The former focus on the divine Head of the Kingdom, the exalted Lord Jesus Christ; the latter focus on his Body—the Church—and upon the fact that it is indeed a royal priesthood that will forever reign in life through Christ and with Christ (Rom. 5:17, 1 Peter 2:9, Rev. 20:4-6).</w:t>
      </w:r>
    </w:p>
    <w:p w14:paraId="77F49A3D">
      <w:pPr>
        <w:pStyle w:val="9"/>
        <w:spacing w:before="11"/>
        <w:ind w:left="0"/>
        <w:jc w:val="left"/>
        <w:rPr>
          <w:rFonts w:hint="eastAsia"/>
          <w:sz w:val="30"/>
          <w:szCs w:val="30"/>
        </w:rPr>
      </w:pPr>
      <w:r>
        <w:rPr>
          <w:rFonts w:hint="eastAsia"/>
          <w:sz w:val="30"/>
          <w:szCs w:val="30"/>
        </w:rPr>
        <w:t>借助于新约解释学（NCH），答案很简单：前者关注的是国度的神圣元首，即被高举的主耶稣基督；后者关注的是祂的身体——教会——以及它确实是一个君尊的祭司体系，将通过基督并与基督一同在生命中永远作王这一事实（罗马书 5:17, 彼得前书 2:9, 启示录 20:4-6）。</w:t>
      </w:r>
    </w:p>
    <w:p w14:paraId="6484E722">
      <w:pPr>
        <w:pStyle w:val="9"/>
        <w:spacing w:before="11"/>
        <w:ind w:left="0"/>
        <w:jc w:val="left"/>
        <w:rPr>
          <w:rFonts w:hint="eastAsia"/>
          <w:sz w:val="30"/>
          <w:szCs w:val="30"/>
        </w:rPr>
      </w:pPr>
    </w:p>
    <w:p w14:paraId="70CA7A3F">
      <w:pPr>
        <w:pStyle w:val="9"/>
        <w:spacing w:before="11"/>
        <w:ind w:left="0"/>
        <w:jc w:val="left"/>
        <w:rPr>
          <w:rFonts w:hint="eastAsia"/>
          <w:sz w:val="30"/>
          <w:szCs w:val="30"/>
        </w:rPr>
      </w:pPr>
      <w:r>
        <w:rPr>
          <w:rFonts w:hint="eastAsia"/>
          <w:sz w:val="30"/>
          <w:szCs w:val="30"/>
        </w:rPr>
        <w:t>Or again, how can the same prophet have the Messiah born in Bethlehem (Micah 5:2), yet also portray him leading captive Israel out of Babylon (Micah 2:12-13)?</w:t>
      </w:r>
    </w:p>
    <w:p w14:paraId="524AC555">
      <w:pPr>
        <w:pStyle w:val="9"/>
        <w:spacing w:before="11"/>
        <w:ind w:left="0"/>
        <w:jc w:val="left"/>
        <w:rPr>
          <w:rFonts w:hint="eastAsia"/>
          <w:sz w:val="30"/>
          <w:szCs w:val="30"/>
        </w:rPr>
      </w:pPr>
      <w:r>
        <w:rPr>
          <w:rFonts w:hint="eastAsia"/>
          <w:sz w:val="30"/>
          <w:szCs w:val="30"/>
        </w:rPr>
        <w:t>再或者，同一个先知怎么能既说弥赛亚生于伯利恒（弥迦书 5:2），又描绘祂带领被掳的以色列人出巴比伦（弥迦书 2:12-13）？</w:t>
      </w:r>
    </w:p>
    <w:p w14:paraId="4CC7F026">
      <w:pPr>
        <w:pStyle w:val="9"/>
        <w:spacing w:before="11"/>
        <w:ind w:left="0"/>
        <w:jc w:val="left"/>
        <w:rPr>
          <w:rFonts w:hint="eastAsia"/>
          <w:sz w:val="30"/>
          <w:szCs w:val="30"/>
        </w:rPr>
      </w:pPr>
    </w:p>
    <w:p w14:paraId="1965DB0B">
      <w:pPr>
        <w:pStyle w:val="9"/>
        <w:spacing w:before="11"/>
        <w:ind w:left="0"/>
        <w:jc w:val="left"/>
        <w:rPr>
          <w:rFonts w:hint="eastAsia"/>
          <w:sz w:val="30"/>
          <w:szCs w:val="30"/>
        </w:rPr>
      </w:pPr>
      <w:r>
        <w:rPr>
          <w:rFonts w:hint="eastAsia"/>
          <w:sz w:val="30"/>
          <w:szCs w:val="30"/>
        </w:rPr>
        <w:t>Here again the NCH dispels the mystery, affirming that the Messiah was indeed born in Bethlehem, so that afterwards, having accomplished his great redemptive work, he could lead spiritual Israel out of her captivity to spiritual Babylon—the Domain of Darkness—and back into her true homeland: the living God himself (Rev. 18:4).</w:t>
      </w:r>
    </w:p>
    <w:p w14:paraId="0FEE9365">
      <w:pPr>
        <w:pStyle w:val="9"/>
        <w:spacing w:before="11"/>
        <w:ind w:left="0"/>
        <w:jc w:val="left"/>
        <w:rPr>
          <w:rFonts w:hint="eastAsia"/>
          <w:sz w:val="30"/>
          <w:szCs w:val="30"/>
        </w:rPr>
      </w:pPr>
      <w:r>
        <w:rPr>
          <w:rFonts w:hint="eastAsia"/>
          <w:sz w:val="30"/>
          <w:szCs w:val="30"/>
        </w:rPr>
        <w:t>这里，新约解释学（NCH）再次驱散了奥秘，确认弥赛亚确实生于伯利恒，以便之后，在完成了祂伟大的救赎工作后，祂可以带领属灵的以色列脱离她对属灵巴比伦——黑暗权势——的捆绑，回到她真正的家园：永生的上帝自己（启示录 18:4）。</w:t>
      </w:r>
    </w:p>
    <w:p w14:paraId="373A41DB">
      <w:pPr>
        <w:pStyle w:val="9"/>
        <w:spacing w:before="11"/>
        <w:ind w:left="0"/>
        <w:jc w:val="left"/>
        <w:rPr>
          <w:rFonts w:hint="eastAsia"/>
          <w:sz w:val="30"/>
          <w:szCs w:val="30"/>
        </w:rPr>
      </w:pPr>
    </w:p>
    <w:p w14:paraId="38F56E60">
      <w:pPr>
        <w:pStyle w:val="9"/>
        <w:spacing w:before="11"/>
        <w:ind w:left="0"/>
        <w:jc w:val="left"/>
        <w:rPr>
          <w:rFonts w:hint="eastAsia"/>
          <w:sz w:val="30"/>
          <w:szCs w:val="30"/>
        </w:rPr>
      </w:pPr>
      <w:r>
        <w:rPr>
          <w:rFonts w:hint="eastAsia"/>
          <w:sz w:val="30"/>
          <w:szCs w:val="30"/>
        </w:rPr>
        <w:t>Along these lines much more could be said, and in chapters 15-18 I will try to say it.</w:t>
      </w:r>
    </w:p>
    <w:p w14:paraId="768C3CCD">
      <w:pPr>
        <w:pStyle w:val="9"/>
        <w:spacing w:before="11"/>
        <w:ind w:left="0"/>
        <w:jc w:val="left"/>
        <w:rPr>
          <w:rFonts w:hint="eastAsia"/>
          <w:sz w:val="30"/>
          <w:szCs w:val="30"/>
        </w:rPr>
      </w:pPr>
      <w:r>
        <w:rPr>
          <w:rFonts w:hint="eastAsia"/>
          <w:sz w:val="30"/>
          <w:szCs w:val="30"/>
        </w:rPr>
        <w:t>沿着这些思路还有很多可以说的，在第15-18章我会努力去说。</w:t>
      </w:r>
    </w:p>
    <w:p w14:paraId="23D8E78C">
      <w:pPr>
        <w:pStyle w:val="9"/>
        <w:spacing w:before="11"/>
        <w:ind w:left="0"/>
        <w:jc w:val="left"/>
        <w:rPr>
          <w:rFonts w:hint="eastAsia"/>
          <w:sz w:val="30"/>
          <w:szCs w:val="30"/>
        </w:rPr>
      </w:pPr>
    </w:p>
    <w:p w14:paraId="611AB331">
      <w:pPr>
        <w:pStyle w:val="9"/>
        <w:spacing w:before="11"/>
        <w:ind w:left="0"/>
        <w:jc w:val="left"/>
        <w:rPr>
          <w:rFonts w:hint="eastAsia"/>
          <w:sz w:val="30"/>
          <w:szCs w:val="30"/>
        </w:rPr>
      </w:pPr>
      <w:r>
        <w:rPr>
          <w:rFonts w:hint="eastAsia"/>
          <w:sz w:val="30"/>
          <w:szCs w:val="30"/>
        </w:rPr>
        <w:t>I hope, however, that these preliminary examples give you a feel for how marvelously the NCH resolves all anomalies; how it rescues tortured minds from the wrack of prophetic literalism, from trying to imagine what cannot be imagined, and to harmonize what cannot be harmonized.</w:t>
      </w:r>
    </w:p>
    <w:p w14:paraId="339136D3">
      <w:pPr>
        <w:pStyle w:val="9"/>
        <w:spacing w:before="11"/>
        <w:ind w:left="0"/>
        <w:jc w:val="left"/>
        <w:rPr>
          <w:rFonts w:hint="eastAsia"/>
          <w:sz w:val="30"/>
          <w:szCs w:val="30"/>
        </w:rPr>
      </w:pPr>
      <w:r>
        <w:rPr>
          <w:rFonts w:hint="eastAsia"/>
          <w:sz w:val="30"/>
          <w:szCs w:val="30"/>
        </w:rPr>
        <w:t>然而，我希望这些初步的例子能让你感受到新约解释学（NCH）是如何奇妙地解决所有反常之处的；它如何将备受折磨的头脑从预言字面主义的折磨中解救出来，从试图想象无法想象之事，以及协调无法协调之事中解救出来。</w:t>
      </w:r>
    </w:p>
    <w:p w14:paraId="0D05C032">
      <w:pPr>
        <w:pStyle w:val="9"/>
        <w:spacing w:before="11"/>
        <w:ind w:left="0"/>
        <w:jc w:val="left"/>
        <w:rPr>
          <w:rFonts w:hint="eastAsia"/>
          <w:sz w:val="30"/>
          <w:szCs w:val="30"/>
        </w:rPr>
      </w:pPr>
    </w:p>
    <w:p w14:paraId="515AC1D3">
      <w:pPr>
        <w:pStyle w:val="9"/>
        <w:spacing w:before="11"/>
        <w:ind w:left="0"/>
        <w:jc w:val="left"/>
        <w:rPr>
          <w:rFonts w:hint="eastAsia"/>
          <w:sz w:val="30"/>
          <w:szCs w:val="30"/>
        </w:rPr>
      </w:pPr>
      <w:r>
        <w:rPr>
          <w:rFonts w:hint="eastAsia"/>
          <w:sz w:val="30"/>
          <w:szCs w:val="30"/>
        </w:rPr>
        <w:t>In these preliminary examples I hope you can see how the NCH brings OTKP to life, because it brings OTKP into our lives: into our real-life Christian experience of the Kingdom of God.</w:t>
      </w:r>
    </w:p>
    <w:p w14:paraId="15C04404">
      <w:pPr>
        <w:pStyle w:val="9"/>
        <w:spacing w:before="11"/>
        <w:ind w:left="0"/>
        <w:jc w:val="left"/>
        <w:rPr>
          <w:rFonts w:hint="eastAsia"/>
          <w:sz w:val="30"/>
          <w:szCs w:val="30"/>
        </w:rPr>
      </w:pPr>
      <w:r>
        <w:rPr>
          <w:rFonts w:hint="eastAsia"/>
          <w:sz w:val="30"/>
          <w:szCs w:val="30"/>
        </w:rPr>
        <w:t>在这些初步的例子中，我希望你能看到新约解释学（NCH）如何使旧约国度预言（OTKP）活起来，因为它将旧约国度预言带入我们的生活：带入我们对上帝之国真实的基督徒经历中。</w:t>
      </w:r>
    </w:p>
    <w:p w14:paraId="189FC475">
      <w:pPr>
        <w:pStyle w:val="9"/>
        <w:spacing w:before="11"/>
        <w:ind w:left="0"/>
        <w:jc w:val="left"/>
        <w:rPr>
          <w:rFonts w:hint="eastAsia"/>
          <w:sz w:val="30"/>
          <w:szCs w:val="30"/>
        </w:rPr>
      </w:pPr>
    </w:p>
    <w:p w14:paraId="0C3138A2">
      <w:pPr>
        <w:pStyle w:val="9"/>
        <w:spacing w:before="11"/>
        <w:ind w:left="0"/>
        <w:jc w:val="left"/>
        <w:rPr>
          <w:rFonts w:hint="eastAsia"/>
          <w:sz w:val="30"/>
          <w:szCs w:val="30"/>
        </w:rPr>
      </w:pPr>
      <w:r>
        <w:rPr>
          <w:rFonts w:hint="eastAsia"/>
          <w:sz w:val="30"/>
          <w:szCs w:val="30"/>
        </w:rPr>
        <w:t>In Accordance with the Mosaic Law</w:t>
      </w:r>
    </w:p>
    <w:p w14:paraId="33EA74B4">
      <w:pPr>
        <w:pStyle w:val="9"/>
        <w:spacing w:before="11"/>
        <w:ind w:left="0"/>
        <w:jc w:val="left"/>
        <w:rPr>
          <w:rFonts w:hint="eastAsia"/>
          <w:sz w:val="30"/>
          <w:szCs w:val="30"/>
        </w:rPr>
      </w:pPr>
      <w:r>
        <w:rPr>
          <w:rFonts w:hint="eastAsia"/>
          <w:sz w:val="30"/>
          <w:szCs w:val="30"/>
        </w:rPr>
        <w:t>遵照摩西律法</w:t>
      </w:r>
    </w:p>
    <w:p w14:paraId="0B13F9C0">
      <w:pPr>
        <w:pStyle w:val="9"/>
        <w:spacing w:before="11"/>
        <w:ind w:left="0"/>
        <w:jc w:val="left"/>
        <w:rPr>
          <w:rFonts w:hint="eastAsia"/>
          <w:sz w:val="30"/>
          <w:szCs w:val="30"/>
        </w:rPr>
      </w:pPr>
    </w:p>
    <w:p w14:paraId="1824D714">
      <w:pPr>
        <w:pStyle w:val="9"/>
        <w:spacing w:before="11"/>
        <w:ind w:left="0"/>
        <w:jc w:val="left"/>
        <w:rPr>
          <w:rFonts w:hint="eastAsia"/>
          <w:sz w:val="30"/>
          <w:szCs w:val="30"/>
        </w:rPr>
      </w:pPr>
      <w:r>
        <w:rPr>
          <w:rFonts w:hint="eastAsia"/>
          <w:sz w:val="30"/>
          <w:szCs w:val="30"/>
        </w:rPr>
        <w:t>Earlier we touched on one of the most striking, troubling, and controversial aspects of OTKP, namely that in the vast majority of cases it pictures God and the Messiah as eternally governing the Kingdom in accordance with the various ordinances of the Mosaic Law.</w:t>
      </w:r>
    </w:p>
    <w:p w14:paraId="034CA15F">
      <w:pPr>
        <w:pStyle w:val="9"/>
        <w:spacing w:before="11"/>
        <w:ind w:left="0"/>
        <w:jc w:val="left"/>
        <w:rPr>
          <w:rFonts w:hint="eastAsia"/>
          <w:sz w:val="30"/>
          <w:szCs w:val="30"/>
        </w:rPr>
      </w:pPr>
      <w:r>
        <w:rPr>
          <w:rFonts w:hint="eastAsia"/>
          <w:sz w:val="30"/>
          <w:szCs w:val="30"/>
        </w:rPr>
        <w:t>早些时候，我们触及了旧约国度预言（OTKP）最引人注目、最令人困扰、也最具争议的方面之一，即在绝大多数情况下，它描绘上帝和弥赛亚将永远按照摩西律法的各种条例来治理国度。</w:t>
      </w:r>
    </w:p>
    <w:p w14:paraId="20A3910A">
      <w:pPr>
        <w:pStyle w:val="9"/>
        <w:spacing w:before="11"/>
        <w:ind w:left="0"/>
        <w:jc w:val="left"/>
        <w:rPr>
          <w:rFonts w:hint="eastAsia"/>
          <w:sz w:val="30"/>
          <w:szCs w:val="30"/>
        </w:rPr>
      </w:pPr>
    </w:p>
    <w:p w14:paraId="56258FB6">
      <w:pPr>
        <w:pStyle w:val="9"/>
        <w:spacing w:before="11"/>
        <w:ind w:left="0"/>
        <w:jc w:val="left"/>
        <w:rPr>
          <w:rFonts w:hint="eastAsia"/>
          <w:sz w:val="30"/>
          <w:szCs w:val="30"/>
        </w:rPr>
      </w:pPr>
      <w:r>
        <w:rPr>
          <w:rFonts w:hint="eastAsia"/>
          <w:sz w:val="30"/>
          <w:szCs w:val="30"/>
        </w:rPr>
        <w:t>In particular, these prophecies envision the perpetuity of the morals of the Law, the offices of the Law (e.g., prophets, priests, and kings), and the ceremonies of the Law (e.g., temple worship in Jerusalem).</w:t>
      </w:r>
    </w:p>
    <w:p w14:paraId="2CDF2C2E">
      <w:pPr>
        <w:pStyle w:val="9"/>
        <w:spacing w:before="11"/>
        <w:ind w:left="0"/>
        <w:jc w:val="left"/>
        <w:rPr>
          <w:rFonts w:hint="eastAsia"/>
          <w:sz w:val="30"/>
          <w:szCs w:val="30"/>
        </w:rPr>
      </w:pPr>
      <w:r>
        <w:rPr>
          <w:rFonts w:hint="eastAsia"/>
          <w:sz w:val="30"/>
          <w:szCs w:val="30"/>
        </w:rPr>
        <w:t>特别是，这些预言设想了律法的道德、律法的职分（例如，先知、祭司和君王）以及律法的仪式（例如，在耶路撒冷的圣殿敬拜）的永恒性。</w:t>
      </w:r>
    </w:p>
    <w:p w14:paraId="7A205EA3">
      <w:pPr>
        <w:pStyle w:val="9"/>
        <w:spacing w:before="11"/>
        <w:ind w:left="0"/>
        <w:jc w:val="left"/>
        <w:rPr>
          <w:rFonts w:hint="eastAsia"/>
          <w:sz w:val="30"/>
          <w:szCs w:val="30"/>
        </w:rPr>
      </w:pPr>
    </w:p>
    <w:p w14:paraId="3F94415A">
      <w:pPr>
        <w:pStyle w:val="9"/>
        <w:spacing w:before="11"/>
        <w:ind w:left="0"/>
        <w:jc w:val="left"/>
        <w:rPr>
          <w:rFonts w:hint="eastAsia"/>
          <w:sz w:val="30"/>
          <w:szCs w:val="30"/>
        </w:rPr>
      </w:pPr>
      <w:r>
        <w:rPr>
          <w:rFonts w:hint="eastAsia"/>
          <w:sz w:val="30"/>
          <w:szCs w:val="30"/>
        </w:rPr>
        <w:t>And again, they envision the Gentiles as well as the Jews living under the Law, so that the Kingdom is, in effect, an eternal, global, Mosaic theocracy.</w:t>
      </w:r>
    </w:p>
    <w:p w14:paraId="128F39BA">
      <w:pPr>
        <w:pStyle w:val="9"/>
        <w:spacing w:before="11"/>
        <w:ind w:left="0"/>
        <w:jc w:val="left"/>
        <w:rPr>
          <w:rFonts w:hint="eastAsia"/>
          <w:sz w:val="30"/>
          <w:szCs w:val="30"/>
        </w:rPr>
      </w:pPr>
      <w:r>
        <w:rPr>
          <w:rFonts w:hint="eastAsia"/>
          <w:sz w:val="30"/>
          <w:szCs w:val="30"/>
        </w:rPr>
        <w:t>再次，它们设想外邦人和犹太人一样生活在律法之下，因此，国度实际上是一个永恒的、全球性的、摩西式的神权政体。</w:t>
      </w:r>
    </w:p>
    <w:p w14:paraId="39574C9C">
      <w:pPr>
        <w:pStyle w:val="9"/>
        <w:spacing w:before="11"/>
        <w:ind w:left="0"/>
        <w:jc w:val="left"/>
        <w:rPr>
          <w:rFonts w:hint="eastAsia"/>
          <w:sz w:val="30"/>
          <w:szCs w:val="30"/>
        </w:rPr>
      </w:pPr>
    </w:p>
    <w:p w14:paraId="48B2DD37">
      <w:pPr>
        <w:pStyle w:val="9"/>
        <w:spacing w:before="11"/>
        <w:ind w:left="0"/>
        <w:jc w:val="left"/>
        <w:rPr>
          <w:rFonts w:hint="eastAsia"/>
          <w:sz w:val="30"/>
          <w:szCs w:val="30"/>
        </w:rPr>
      </w:pPr>
      <w:r>
        <w:rPr>
          <w:rFonts w:hint="eastAsia"/>
          <w:sz w:val="30"/>
          <w:szCs w:val="30"/>
        </w:rPr>
        <w:t>Let us get a feel for this thread of OTKP by looking at a number of illustrative texts.</w:t>
      </w:r>
    </w:p>
    <w:p w14:paraId="51D598A3">
      <w:pPr>
        <w:pStyle w:val="9"/>
        <w:spacing w:before="11"/>
        <w:ind w:left="0"/>
        <w:jc w:val="left"/>
        <w:rPr>
          <w:rFonts w:hint="eastAsia"/>
          <w:sz w:val="30"/>
          <w:szCs w:val="30"/>
        </w:rPr>
      </w:pPr>
      <w:r>
        <w:rPr>
          <w:rFonts w:hint="eastAsia"/>
          <w:sz w:val="30"/>
          <w:szCs w:val="30"/>
        </w:rPr>
        <w:t>让我们通过看一些例证性经文来感受一下旧约国度预言（OTKP）的这一线索。</w:t>
      </w:r>
    </w:p>
    <w:p w14:paraId="04DDD749">
      <w:pPr>
        <w:pStyle w:val="9"/>
        <w:spacing w:before="11"/>
        <w:ind w:left="0"/>
        <w:jc w:val="left"/>
        <w:rPr>
          <w:rFonts w:hint="eastAsia"/>
          <w:sz w:val="30"/>
          <w:szCs w:val="30"/>
        </w:rPr>
      </w:pPr>
    </w:p>
    <w:p w14:paraId="58DDCD4B">
      <w:pPr>
        <w:pStyle w:val="9"/>
        <w:spacing w:before="11"/>
        <w:ind w:left="0"/>
        <w:jc w:val="left"/>
        <w:rPr>
          <w:rFonts w:hint="eastAsia"/>
          <w:sz w:val="30"/>
          <w:szCs w:val="30"/>
        </w:rPr>
      </w:pPr>
      <w:r>
        <w:rPr>
          <w:rFonts w:hint="eastAsia"/>
          <w:sz w:val="30"/>
          <w:szCs w:val="30"/>
        </w:rPr>
        <w:t>As we have already seen, in the days of the Kingdom the Law will go forth from Zion, and the word of the LORD from Jerusalem (Micah 4:2).</w:t>
      </w:r>
    </w:p>
    <w:p w14:paraId="29694EF3">
      <w:pPr>
        <w:pStyle w:val="9"/>
        <w:spacing w:before="11"/>
        <w:ind w:left="0"/>
        <w:jc w:val="left"/>
        <w:rPr>
          <w:rFonts w:hint="eastAsia"/>
          <w:sz w:val="30"/>
          <w:szCs w:val="30"/>
        </w:rPr>
      </w:pPr>
      <w:r>
        <w:rPr>
          <w:rFonts w:hint="eastAsia"/>
          <w:sz w:val="30"/>
          <w:szCs w:val="30"/>
        </w:rPr>
        <w:t>正如我们已经看到的，在国度的日子里，训诲必出于锡安，耶和华的言语必出于耶路撒冷（弥迦书 4:2）。</w:t>
      </w:r>
    </w:p>
    <w:p w14:paraId="1A9D234D">
      <w:pPr>
        <w:pStyle w:val="9"/>
        <w:spacing w:before="11"/>
        <w:ind w:left="0"/>
        <w:jc w:val="left"/>
        <w:rPr>
          <w:rFonts w:hint="eastAsia"/>
          <w:sz w:val="30"/>
          <w:szCs w:val="30"/>
        </w:rPr>
      </w:pPr>
    </w:p>
    <w:p w14:paraId="501FF3C6">
      <w:pPr>
        <w:pStyle w:val="9"/>
        <w:spacing w:before="11"/>
        <w:ind w:left="0"/>
        <w:jc w:val="left"/>
        <w:rPr>
          <w:rFonts w:hint="eastAsia"/>
          <w:sz w:val="30"/>
          <w:szCs w:val="30"/>
        </w:rPr>
      </w:pPr>
      <w:r>
        <w:rPr>
          <w:rFonts w:hint="eastAsia"/>
          <w:sz w:val="30"/>
          <w:szCs w:val="30"/>
        </w:rPr>
        <w:t>The coastlands will wait for the Messiah’s law (Isaiah 42:4).</w:t>
      </w:r>
    </w:p>
    <w:p w14:paraId="7489FCFB">
      <w:pPr>
        <w:pStyle w:val="9"/>
        <w:spacing w:before="11"/>
        <w:ind w:left="0"/>
        <w:jc w:val="left"/>
        <w:rPr>
          <w:rFonts w:hint="eastAsia"/>
          <w:sz w:val="30"/>
          <w:szCs w:val="30"/>
        </w:rPr>
      </w:pPr>
      <w:r>
        <w:rPr>
          <w:rFonts w:hint="eastAsia"/>
          <w:sz w:val="30"/>
          <w:szCs w:val="30"/>
        </w:rPr>
        <w:t>海岛都等候弥赛亚的训诲（以赛亚书 42:4）。</w:t>
      </w:r>
    </w:p>
    <w:p w14:paraId="3F765580">
      <w:pPr>
        <w:pStyle w:val="9"/>
        <w:spacing w:before="11"/>
        <w:ind w:left="0"/>
        <w:jc w:val="left"/>
        <w:rPr>
          <w:rFonts w:hint="eastAsia"/>
          <w:sz w:val="30"/>
          <w:szCs w:val="30"/>
        </w:rPr>
      </w:pPr>
    </w:p>
    <w:p w14:paraId="31668831">
      <w:pPr>
        <w:pStyle w:val="9"/>
        <w:spacing w:before="11"/>
        <w:ind w:left="0"/>
        <w:jc w:val="left"/>
        <w:rPr>
          <w:rFonts w:hint="eastAsia"/>
          <w:sz w:val="30"/>
          <w:szCs w:val="30"/>
        </w:rPr>
      </w:pPr>
      <w:r>
        <w:rPr>
          <w:rFonts w:hint="eastAsia"/>
          <w:sz w:val="30"/>
          <w:szCs w:val="30"/>
        </w:rPr>
        <w:t>Israel, under David’s Greater Son, will keep all God’s ordinances and statutes, and will faithfully observe them (Ezek. 37:24).</w:t>
      </w:r>
    </w:p>
    <w:p w14:paraId="0DE532CA">
      <w:pPr>
        <w:pStyle w:val="9"/>
        <w:spacing w:before="11"/>
        <w:ind w:left="0"/>
        <w:jc w:val="left"/>
        <w:rPr>
          <w:rFonts w:hint="eastAsia"/>
          <w:sz w:val="30"/>
          <w:szCs w:val="30"/>
        </w:rPr>
      </w:pPr>
      <w:r>
        <w:rPr>
          <w:rFonts w:hint="eastAsia"/>
          <w:sz w:val="30"/>
          <w:szCs w:val="30"/>
        </w:rPr>
        <w:t>以色列，在大卫更伟大的子孙治理下，将谨守遵行上帝的一切典章律例，并忠实地遵守它们（以西结书 37:24）。</w:t>
      </w:r>
    </w:p>
    <w:p w14:paraId="679F5A03">
      <w:pPr>
        <w:pStyle w:val="9"/>
        <w:spacing w:before="11"/>
        <w:ind w:left="0"/>
        <w:jc w:val="left"/>
        <w:rPr>
          <w:rFonts w:hint="eastAsia"/>
          <w:sz w:val="30"/>
          <w:szCs w:val="30"/>
        </w:rPr>
      </w:pPr>
    </w:p>
    <w:p w14:paraId="3A48FF3E">
      <w:pPr>
        <w:pStyle w:val="9"/>
        <w:spacing w:before="11"/>
        <w:ind w:left="0"/>
        <w:jc w:val="left"/>
        <w:rPr>
          <w:rFonts w:hint="eastAsia"/>
          <w:sz w:val="30"/>
          <w:szCs w:val="30"/>
        </w:rPr>
      </w:pPr>
      <w:r>
        <w:rPr>
          <w:rFonts w:hint="eastAsia"/>
          <w:sz w:val="30"/>
          <w:szCs w:val="30"/>
        </w:rPr>
        <w:t>All God’s sons and daughters will prophesy (Joel 2:28).</w:t>
      </w:r>
    </w:p>
    <w:p w14:paraId="0D613EA3">
      <w:pPr>
        <w:pStyle w:val="9"/>
        <w:spacing w:before="11"/>
        <w:ind w:left="0"/>
        <w:jc w:val="left"/>
        <w:rPr>
          <w:rFonts w:hint="eastAsia"/>
          <w:sz w:val="30"/>
          <w:szCs w:val="30"/>
        </w:rPr>
      </w:pPr>
      <w:r>
        <w:rPr>
          <w:rFonts w:hint="eastAsia"/>
          <w:sz w:val="30"/>
          <w:szCs w:val="30"/>
        </w:rPr>
        <w:t>上帝所有的儿女都要说预言（约珥书 2:28）。</w:t>
      </w:r>
    </w:p>
    <w:p w14:paraId="35FB6E05">
      <w:pPr>
        <w:pStyle w:val="9"/>
        <w:spacing w:before="11"/>
        <w:ind w:left="0"/>
        <w:jc w:val="left"/>
        <w:rPr>
          <w:rFonts w:hint="eastAsia"/>
          <w:sz w:val="30"/>
          <w:szCs w:val="30"/>
        </w:rPr>
      </w:pPr>
    </w:p>
    <w:p w14:paraId="33DC1DAD">
      <w:pPr>
        <w:pStyle w:val="9"/>
        <w:spacing w:before="11"/>
        <w:ind w:left="0"/>
        <w:jc w:val="left"/>
        <w:rPr>
          <w:rFonts w:hint="eastAsia"/>
          <w:sz w:val="30"/>
          <w:szCs w:val="30"/>
        </w:rPr>
      </w:pPr>
      <w:r>
        <w:rPr>
          <w:rFonts w:hint="eastAsia"/>
          <w:sz w:val="30"/>
          <w:szCs w:val="30"/>
        </w:rPr>
        <w:t>God will never break his covenant with the purified Levitical priesthood (Jer. 33:14-26, Mal. 3:3).</w:t>
      </w:r>
    </w:p>
    <w:p w14:paraId="04A88C69">
      <w:pPr>
        <w:pStyle w:val="9"/>
        <w:spacing w:before="11"/>
        <w:ind w:left="0"/>
        <w:jc w:val="left"/>
        <w:rPr>
          <w:rFonts w:hint="eastAsia"/>
          <w:sz w:val="30"/>
          <w:szCs w:val="30"/>
        </w:rPr>
      </w:pPr>
      <w:r>
        <w:rPr>
          <w:rFonts w:hint="eastAsia"/>
          <w:sz w:val="30"/>
          <w:szCs w:val="30"/>
        </w:rPr>
        <w:t>上帝永不废弃祂与被洁净的利未祭司职分所立的约（耶利米书 33:14-26，玛拉基书 3:3）。</w:t>
      </w:r>
    </w:p>
    <w:p w14:paraId="69DACECD">
      <w:pPr>
        <w:pStyle w:val="9"/>
        <w:spacing w:before="11"/>
        <w:ind w:left="0"/>
        <w:jc w:val="left"/>
        <w:rPr>
          <w:rFonts w:hint="eastAsia"/>
          <w:sz w:val="30"/>
          <w:szCs w:val="30"/>
        </w:rPr>
      </w:pPr>
    </w:p>
    <w:p w14:paraId="7E76A072">
      <w:pPr>
        <w:pStyle w:val="9"/>
        <w:spacing w:before="11"/>
        <w:ind w:left="0"/>
        <w:jc w:val="left"/>
        <w:rPr>
          <w:rFonts w:hint="eastAsia"/>
          <w:sz w:val="30"/>
          <w:szCs w:val="30"/>
        </w:rPr>
      </w:pPr>
      <w:r>
        <w:rPr>
          <w:rFonts w:hint="eastAsia"/>
          <w:sz w:val="30"/>
          <w:szCs w:val="30"/>
        </w:rPr>
        <w:t>He will install his Messianic King—and/or a Messianic dynasty—in Zion (Psalm 2:6, Jer. 33:26).</w:t>
      </w:r>
    </w:p>
    <w:p w14:paraId="0851C3A2">
      <w:pPr>
        <w:pStyle w:val="9"/>
        <w:spacing w:before="11"/>
        <w:ind w:left="0"/>
        <w:jc w:val="left"/>
        <w:rPr>
          <w:rFonts w:hint="eastAsia"/>
          <w:sz w:val="30"/>
          <w:szCs w:val="30"/>
        </w:rPr>
      </w:pPr>
      <w:r>
        <w:rPr>
          <w:rFonts w:hint="eastAsia"/>
          <w:sz w:val="30"/>
          <w:szCs w:val="30"/>
        </w:rPr>
        <w:t>祂将在锡安设立祂的弥赛亚君王——和/或一个弥赛亚王朝（诗篇 2:6, 耶利米书 33:26）。</w:t>
      </w:r>
    </w:p>
    <w:p w14:paraId="6081847F">
      <w:pPr>
        <w:pStyle w:val="9"/>
        <w:spacing w:before="11"/>
        <w:ind w:left="0"/>
        <w:jc w:val="left"/>
        <w:rPr>
          <w:rFonts w:hint="eastAsia"/>
          <w:sz w:val="30"/>
          <w:szCs w:val="30"/>
        </w:rPr>
      </w:pPr>
    </w:p>
    <w:p w14:paraId="22E51E99">
      <w:pPr>
        <w:pStyle w:val="9"/>
        <w:spacing w:before="11"/>
        <w:ind w:left="0"/>
        <w:jc w:val="left"/>
        <w:rPr>
          <w:rFonts w:hint="eastAsia"/>
          <w:sz w:val="30"/>
          <w:szCs w:val="30"/>
        </w:rPr>
      </w:pPr>
      <w:r>
        <w:rPr>
          <w:rFonts w:hint="eastAsia"/>
          <w:sz w:val="30"/>
          <w:szCs w:val="30"/>
        </w:rPr>
        <w:t>Then all nations will resort to God’s holy mountain (Isaiah 25:6f, 56:7), to Zion (Isaiah 60:1-16), and to Jerusalem (Zech. 8:22-23).</w:t>
      </w:r>
    </w:p>
    <w:p w14:paraId="0D27D93D">
      <w:pPr>
        <w:pStyle w:val="9"/>
        <w:spacing w:before="11"/>
        <w:ind w:left="0"/>
        <w:jc w:val="left"/>
        <w:rPr>
          <w:rFonts w:hint="eastAsia"/>
          <w:sz w:val="30"/>
          <w:szCs w:val="30"/>
        </w:rPr>
      </w:pPr>
      <w:r>
        <w:rPr>
          <w:rFonts w:hint="eastAsia"/>
          <w:sz w:val="30"/>
          <w:szCs w:val="30"/>
        </w:rPr>
        <w:t>那时，万国都必归向上帝的圣山（以赛亚书 25:6及后文, 56:7），归向锡安（以赛亚书 60:1-16），归向耶路撒冷（撒迦利亚书 8:22-23）。</w:t>
      </w:r>
    </w:p>
    <w:p w14:paraId="6C43880F">
      <w:pPr>
        <w:pStyle w:val="9"/>
        <w:spacing w:before="11"/>
        <w:ind w:left="0"/>
        <w:jc w:val="left"/>
        <w:rPr>
          <w:rFonts w:hint="eastAsia"/>
          <w:sz w:val="30"/>
          <w:szCs w:val="30"/>
        </w:rPr>
      </w:pPr>
    </w:p>
    <w:p w14:paraId="30BF10D3">
      <w:pPr>
        <w:pStyle w:val="9"/>
        <w:spacing w:before="11"/>
        <w:ind w:left="0"/>
        <w:jc w:val="left"/>
        <w:rPr>
          <w:rFonts w:hint="eastAsia"/>
          <w:sz w:val="30"/>
          <w:szCs w:val="30"/>
        </w:rPr>
      </w:pPr>
      <w:r>
        <w:rPr>
          <w:rFonts w:hint="eastAsia"/>
          <w:sz w:val="30"/>
          <w:szCs w:val="30"/>
        </w:rPr>
        <w:t>There they will worship him in his Temple (Isaiah 2:1-5, Haggai 2:7-9).</w:t>
      </w:r>
    </w:p>
    <w:p w14:paraId="53CFAF69">
      <w:pPr>
        <w:pStyle w:val="9"/>
        <w:spacing w:before="11"/>
        <w:ind w:left="0"/>
        <w:jc w:val="left"/>
        <w:rPr>
          <w:rFonts w:hint="eastAsia"/>
          <w:sz w:val="30"/>
          <w:szCs w:val="30"/>
        </w:rPr>
      </w:pPr>
      <w:r>
        <w:rPr>
          <w:rFonts w:hint="eastAsia"/>
          <w:sz w:val="30"/>
          <w:szCs w:val="30"/>
        </w:rPr>
        <w:t>在那里，他们将在祂的殿中敬拜祂（以赛亚书 2:1-5, 哈该书 2:7-9）。</w:t>
      </w:r>
    </w:p>
    <w:p w14:paraId="19196D71">
      <w:pPr>
        <w:pStyle w:val="9"/>
        <w:spacing w:before="11"/>
        <w:ind w:left="0"/>
        <w:jc w:val="left"/>
        <w:rPr>
          <w:rFonts w:hint="eastAsia"/>
          <w:sz w:val="30"/>
          <w:szCs w:val="30"/>
        </w:rPr>
      </w:pPr>
    </w:p>
    <w:p w14:paraId="323C6F33">
      <w:pPr>
        <w:pStyle w:val="9"/>
        <w:spacing w:before="11"/>
        <w:ind w:left="0"/>
        <w:jc w:val="left"/>
        <w:rPr>
          <w:rFonts w:hint="eastAsia"/>
          <w:sz w:val="30"/>
          <w:szCs w:val="30"/>
        </w:rPr>
      </w:pPr>
      <w:r>
        <w:rPr>
          <w:rFonts w:hint="eastAsia"/>
          <w:sz w:val="30"/>
          <w:szCs w:val="30"/>
        </w:rPr>
        <w:t>There he will make them glad in his House of Prayer (Isaiah 56:7).</w:t>
      </w:r>
    </w:p>
    <w:p w14:paraId="40DD6BB2">
      <w:pPr>
        <w:pStyle w:val="9"/>
        <w:spacing w:before="11"/>
        <w:ind w:left="0"/>
        <w:jc w:val="left"/>
        <w:rPr>
          <w:rFonts w:hint="eastAsia"/>
          <w:sz w:val="30"/>
          <w:szCs w:val="30"/>
        </w:rPr>
      </w:pPr>
      <w:r>
        <w:rPr>
          <w:rFonts w:hint="eastAsia"/>
          <w:sz w:val="30"/>
          <w:szCs w:val="30"/>
        </w:rPr>
        <w:t>在那里，祂要使他们在祂祷告的殿中喜乐（以赛亚书 56:7）。</w:t>
      </w:r>
    </w:p>
    <w:p w14:paraId="31F12CEE">
      <w:pPr>
        <w:pStyle w:val="9"/>
        <w:spacing w:before="11"/>
        <w:ind w:left="0"/>
        <w:jc w:val="left"/>
        <w:rPr>
          <w:rFonts w:hint="eastAsia"/>
          <w:sz w:val="30"/>
          <w:szCs w:val="30"/>
        </w:rPr>
      </w:pPr>
    </w:p>
    <w:p w14:paraId="4789B3BD">
      <w:pPr>
        <w:pStyle w:val="9"/>
        <w:spacing w:before="11"/>
        <w:ind w:left="0"/>
        <w:jc w:val="left"/>
        <w:rPr>
          <w:rFonts w:hint="eastAsia"/>
          <w:sz w:val="30"/>
          <w:szCs w:val="30"/>
        </w:rPr>
      </w:pPr>
      <w:r>
        <w:rPr>
          <w:rFonts w:hint="eastAsia"/>
          <w:sz w:val="30"/>
          <w:szCs w:val="30"/>
        </w:rPr>
        <w:t>And there he will dwell in the midst of the children of Israel forever (Ezek. 43:7).</w:t>
      </w:r>
    </w:p>
    <w:p w14:paraId="265BC5FE">
      <w:pPr>
        <w:pStyle w:val="9"/>
        <w:spacing w:before="11"/>
        <w:ind w:left="0"/>
        <w:jc w:val="left"/>
        <w:rPr>
          <w:rFonts w:hint="eastAsia"/>
          <w:sz w:val="30"/>
          <w:szCs w:val="30"/>
        </w:rPr>
      </w:pPr>
      <w:r>
        <w:rPr>
          <w:rFonts w:hint="eastAsia"/>
          <w:sz w:val="30"/>
          <w:szCs w:val="30"/>
        </w:rPr>
        <w:t>在那里，祂要永远住在以色列人中间（以西结书 43:7）。</w:t>
      </w:r>
    </w:p>
    <w:p w14:paraId="1741847F">
      <w:pPr>
        <w:pStyle w:val="9"/>
        <w:spacing w:before="11"/>
        <w:ind w:left="0"/>
        <w:jc w:val="left"/>
        <w:rPr>
          <w:rFonts w:hint="eastAsia"/>
          <w:sz w:val="30"/>
          <w:szCs w:val="30"/>
        </w:rPr>
      </w:pPr>
    </w:p>
    <w:p w14:paraId="3BF65F1E">
      <w:pPr>
        <w:pStyle w:val="9"/>
        <w:spacing w:before="11"/>
        <w:ind w:left="0"/>
        <w:jc w:val="left"/>
        <w:rPr>
          <w:rFonts w:hint="eastAsia"/>
          <w:sz w:val="30"/>
          <w:szCs w:val="30"/>
        </w:rPr>
      </w:pPr>
      <w:r>
        <w:rPr>
          <w:rFonts w:hint="eastAsia"/>
          <w:sz w:val="30"/>
          <w:szCs w:val="30"/>
        </w:rPr>
        <w:t>In righteousness, his priests will continually (Heb., all the days) offer burnt sacrifices and peace offerings upon God’s altar (Jer. 33:18, Ezek. 43:18-27, Mal. 3:3).</w:t>
      </w:r>
    </w:p>
    <w:p w14:paraId="14CEACF0">
      <w:pPr>
        <w:pStyle w:val="9"/>
        <w:spacing w:before="11"/>
        <w:ind w:left="0"/>
        <w:jc w:val="left"/>
        <w:rPr>
          <w:rFonts w:hint="eastAsia"/>
          <w:sz w:val="30"/>
          <w:szCs w:val="30"/>
        </w:rPr>
      </w:pPr>
      <w:r>
        <w:rPr>
          <w:rFonts w:hint="eastAsia"/>
          <w:sz w:val="30"/>
          <w:szCs w:val="30"/>
        </w:rPr>
        <w:t>在公义中，祂的祭司们将在上帝的坛上不断地（希伯来文：所有的日子）献上燔祭和平安祭（耶利米书 33:18, 以西结书 43:18-27, 玛拉基书 3:3）。</w:t>
      </w:r>
    </w:p>
    <w:p w14:paraId="2C0F62A3">
      <w:pPr>
        <w:pStyle w:val="9"/>
        <w:spacing w:before="11"/>
        <w:ind w:left="0"/>
        <w:jc w:val="left"/>
        <w:rPr>
          <w:rFonts w:hint="eastAsia"/>
          <w:sz w:val="30"/>
          <w:szCs w:val="30"/>
        </w:rPr>
      </w:pPr>
    </w:p>
    <w:p w14:paraId="0B37798F">
      <w:pPr>
        <w:pStyle w:val="9"/>
        <w:spacing w:before="11"/>
        <w:ind w:left="0"/>
        <w:jc w:val="left"/>
        <w:rPr>
          <w:rFonts w:hint="eastAsia"/>
          <w:sz w:val="30"/>
          <w:szCs w:val="30"/>
        </w:rPr>
      </w:pPr>
      <w:r>
        <w:rPr>
          <w:rFonts w:hint="eastAsia"/>
          <w:sz w:val="30"/>
          <w:szCs w:val="30"/>
        </w:rPr>
        <w:t>So too will the Egyptians, as they worship the LORD in their own land (Isaiah 19:19-25).</w:t>
      </w:r>
    </w:p>
    <w:p w14:paraId="5D98BC82">
      <w:pPr>
        <w:pStyle w:val="9"/>
        <w:spacing w:before="11"/>
        <w:ind w:left="0"/>
        <w:jc w:val="left"/>
        <w:rPr>
          <w:rFonts w:hint="eastAsia"/>
          <w:sz w:val="30"/>
          <w:szCs w:val="30"/>
        </w:rPr>
      </w:pPr>
      <w:r>
        <w:rPr>
          <w:rFonts w:hint="eastAsia"/>
          <w:sz w:val="30"/>
          <w:szCs w:val="30"/>
        </w:rPr>
        <w:t>埃及人也必如此，他们在自己的土地上敬拜耶和华（以赛亚书 19:19-25）。</w:t>
      </w:r>
    </w:p>
    <w:p w14:paraId="4A715F67">
      <w:pPr>
        <w:pStyle w:val="9"/>
        <w:spacing w:before="11"/>
        <w:ind w:left="0"/>
        <w:jc w:val="left"/>
        <w:rPr>
          <w:rFonts w:hint="eastAsia"/>
          <w:sz w:val="30"/>
          <w:szCs w:val="30"/>
        </w:rPr>
      </w:pPr>
    </w:p>
    <w:p w14:paraId="6E0B13A2">
      <w:pPr>
        <w:pStyle w:val="9"/>
        <w:spacing w:before="11"/>
        <w:ind w:left="0"/>
        <w:jc w:val="left"/>
        <w:rPr>
          <w:rFonts w:hint="eastAsia"/>
          <w:sz w:val="30"/>
          <w:szCs w:val="30"/>
        </w:rPr>
      </w:pPr>
      <w:r>
        <w:rPr>
          <w:rFonts w:hint="eastAsia"/>
          <w:sz w:val="30"/>
          <w:szCs w:val="30"/>
        </w:rPr>
        <w:t>Indeed, in every place men will offer incense to God’s Name, as well as grain offerings that are pure (Mal. 1:11).</w:t>
      </w:r>
    </w:p>
    <w:p w14:paraId="6A07D0CB">
      <w:pPr>
        <w:pStyle w:val="9"/>
        <w:spacing w:before="11"/>
        <w:ind w:left="0"/>
        <w:jc w:val="left"/>
        <w:rPr>
          <w:rFonts w:hint="eastAsia"/>
          <w:sz w:val="30"/>
          <w:szCs w:val="30"/>
        </w:rPr>
      </w:pPr>
      <w:r>
        <w:rPr>
          <w:rFonts w:hint="eastAsia"/>
          <w:sz w:val="30"/>
          <w:szCs w:val="30"/>
        </w:rPr>
        <w:t>的确，在各处，人必向祂的名烧香，献洁净的供物（玛拉基书 1:11）。</w:t>
      </w:r>
    </w:p>
    <w:p w14:paraId="07A43F2F">
      <w:pPr>
        <w:pStyle w:val="9"/>
        <w:spacing w:before="11"/>
        <w:ind w:left="0"/>
        <w:jc w:val="left"/>
        <w:rPr>
          <w:rFonts w:hint="eastAsia"/>
          <w:sz w:val="30"/>
          <w:szCs w:val="30"/>
        </w:rPr>
      </w:pPr>
    </w:p>
    <w:p w14:paraId="5AE63D78">
      <w:pPr>
        <w:pStyle w:val="9"/>
        <w:spacing w:before="11"/>
        <w:ind w:left="0"/>
        <w:jc w:val="left"/>
        <w:rPr>
          <w:rFonts w:hint="eastAsia"/>
          <w:sz w:val="30"/>
          <w:szCs w:val="30"/>
        </w:rPr>
      </w:pPr>
      <w:r>
        <w:rPr>
          <w:rFonts w:hint="eastAsia"/>
          <w:sz w:val="30"/>
          <w:szCs w:val="30"/>
        </w:rPr>
        <w:t>Vows will be performed (Isaiah 19:21), pilgrimages made (Zech. 14:16), regular fasts observed (Zech. 8:19), and annual Feasts celebrated (Isaiah 33:16-24, Ezek. 45:17, Nahum 1:15, Zech. 14:16-18).</w:t>
      </w:r>
    </w:p>
    <w:p w14:paraId="764B65C6">
      <w:pPr>
        <w:pStyle w:val="9"/>
        <w:spacing w:before="11"/>
        <w:ind w:left="0"/>
        <w:jc w:val="left"/>
        <w:rPr>
          <w:rFonts w:hint="eastAsia"/>
          <w:sz w:val="30"/>
          <w:szCs w:val="30"/>
        </w:rPr>
      </w:pPr>
      <w:r>
        <w:rPr>
          <w:rFonts w:hint="eastAsia"/>
          <w:sz w:val="30"/>
          <w:szCs w:val="30"/>
        </w:rPr>
        <w:t>所许的愿必偿还（以赛亚书 19:21），必有朝圣之行（撒迦利亚书 14:16），定期的禁食必遵守（撒迦利亚书 8:19），每年的节期必庆祝（以赛亚书 33:16-24, 以西结书 45:17, 那鸿书 1:15, 撒迦利亚书 14:16-18）。</w:t>
      </w:r>
    </w:p>
    <w:p w14:paraId="5CADB144">
      <w:pPr>
        <w:pStyle w:val="9"/>
        <w:spacing w:before="11"/>
        <w:ind w:left="0"/>
        <w:jc w:val="left"/>
        <w:rPr>
          <w:rFonts w:hint="eastAsia"/>
          <w:sz w:val="30"/>
          <w:szCs w:val="30"/>
        </w:rPr>
      </w:pPr>
    </w:p>
    <w:p w14:paraId="010CE240">
      <w:pPr>
        <w:pStyle w:val="9"/>
        <w:spacing w:before="11"/>
        <w:ind w:left="0"/>
        <w:jc w:val="left"/>
        <w:rPr>
          <w:rFonts w:hint="eastAsia"/>
          <w:sz w:val="30"/>
          <w:szCs w:val="30"/>
        </w:rPr>
      </w:pPr>
      <w:r>
        <w:rPr>
          <w:rFonts w:hint="eastAsia"/>
          <w:sz w:val="30"/>
          <w:szCs w:val="30"/>
        </w:rPr>
        <w:t>From new moon to new moon, and from Sabbath to Sabbath, all flesh will come and bow down to the LORD, for as long as the new heavens and the new earth shall endure (Isaiah 56:1- 8, 66:22-24, Ezek. 45:17).</w:t>
      </w:r>
    </w:p>
    <w:p w14:paraId="1CD42FE1">
      <w:pPr>
        <w:pStyle w:val="9"/>
        <w:spacing w:before="11"/>
        <w:ind w:left="0"/>
        <w:jc w:val="left"/>
        <w:rPr>
          <w:rFonts w:hint="eastAsia"/>
          <w:sz w:val="30"/>
          <w:szCs w:val="30"/>
        </w:rPr>
      </w:pPr>
      <w:r>
        <w:rPr>
          <w:rFonts w:hint="eastAsia"/>
          <w:sz w:val="30"/>
          <w:szCs w:val="30"/>
        </w:rPr>
        <w:t>每逢月朔，每逢安息日，凡有血气的都必来在耶和华面前下拜，直到新天新地长存的时候（以赛亚书 56:1-8, 66:22-24, 以西结书 45:17）。</w:t>
      </w:r>
    </w:p>
    <w:p w14:paraId="03006EC5">
      <w:pPr>
        <w:pStyle w:val="9"/>
        <w:spacing w:before="11"/>
        <w:ind w:left="0"/>
        <w:jc w:val="left"/>
        <w:rPr>
          <w:rFonts w:hint="eastAsia"/>
          <w:sz w:val="30"/>
          <w:szCs w:val="30"/>
        </w:rPr>
      </w:pPr>
    </w:p>
    <w:p w14:paraId="7D6F3E5F">
      <w:pPr>
        <w:pStyle w:val="9"/>
        <w:spacing w:before="11"/>
        <w:ind w:left="0"/>
        <w:jc w:val="left"/>
        <w:rPr>
          <w:rFonts w:hint="eastAsia"/>
          <w:sz w:val="30"/>
          <w:szCs w:val="30"/>
        </w:rPr>
      </w:pPr>
      <w:r>
        <w:rPr>
          <w:rFonts w:hint="eastAsia"/>
          <w:sz w:val="30"/>
          <w:szCs w:val="30"/>
        </w:rPr>
        <w:t>Such texts teach us that OTKP’s envisioning the perpetuity of the Mosaic Law are numerous and, in some cases, highly detailed (e.g., Ezek. 40-48).</w:t>
      </w:r>
    </w:p>
    <w:p w14:paraId="02B419DC">
      <w:pPr>
        <w:pStyle w:val="9"/>
        <w:spacing w:before="11"/>
        <w:ind w:left="0"/>
        <w:jc w:val="left"/>
        <w:rPr>
          <w:rFonts w:hint="eastAsia"/>
          <w:sz w:val="30"/>
          <w:szCs w:val="30"/>
        </w:rPr>
      </w:pPr>
      <w:r>
        <w:rPr>
          <w:rFonts w:hint="eastAsia"/>
          <w:sz w:val="30"/>
          <w:szCs w:val="30"/>
        </w:rPr>
        <w:t>这些经文教导我们，设想摩西律法永存的旧约国度预言（OTKP）数量众多，并且在某些情况下，非常详细（例如，以西结书 40-48章）。</w:t>
      </w:r>
    </w:p>
    <w:p w14:paraId="44FCE886">
      <w:pPr>
        <w:pStyle w:val="9"/>
        <w:spacing w:before="11"/>
        <w:ind w:left="0"/>
        <w:jc w:val="left"/>
        <w:rPr>
          <w:rFonts w:hint="eastAsia"/>
          <w:sz w:val="30"/>
          <w:szCs w:val="30"/>
        </w:rPr>
      </w:pPr>
    </w:p>
    <w:p w14:paraId="364270ED">
      <w:pPr>
        <w:pStyle w:val="9"/>
        <w:spacing w:before="11"/>
        <w:ind w:left="0"/>
        <w:jc w:val="left"/>
        <w:rPr>
          <w:rFonts w:hint="eastAsia"/>
          <w:sz w:val="30"/>
          <w:szCs w:val="30"/>
        </w:rPr>
      </w:pPr>
      <w:r>
        <w:rPr>
          <w:rFonts w:hint="eastAsia"/>
          <w:sz w:val="30"/>
          <w:szCs w:val="30"/>
        </w:rPr>
        <w:t>Naturally enough, this has inclined many interpreters—both Jewish and premillennial—to receive them literally.</w:t>
      </w:r>
    </w:p>
    <w:p w14:paraId="4D924314">
      <w:pPr>
        <w:pStyle w:val="9"/>
        <w:spacing w:before="11"/>
        <w:ind w:left="0"/>
        <w:jc w:val="left"/>
        <w:rPr>
          <w:rFonts w:hint="eastAsia"/>
          <w:sz w:val="30"/>
          <w:szCs w:val="30"/>
        </w:rPr>
      </w:pPr>
      <w:r>
        <w:rPr>
          <w:rFonts w:hint="eastAsia"/>
          <w:sz w:val="30"/>
          <w:szCs w:val="30"/>
        </w:rPr>
        <w:t>很自然地，这使得许多解释者——无论是犹太人还是前千禧年派——都倾向于按字面意思接受它们。</w:t>
      </w:r>
    </w:p>
    <w:p w14:paraId="22BB0523">
      <w:pPr>
        <w:pStyle w:val="9"/>
        <w:spacing w:before="11"/>
        <w:ind w:left="0"/>
        <w:jc w:val="left"/>
        <w:rPr>
          <w:rFonts w:hint="eastAsia"/>
          <w:sz w:val="30"/>
          <w:szCs w:val="30"/>
        </w:rPr>
      </w:pPr>
    </w:p>
    <w:p w14:paraId="61B3745A">
      <w:pPr>
        <w:pStyle w:val="9"/>
        <w:spacing w:before="11"/>
        <w:ind w:left="0"/>
        <w:jc w:val="left"/>
        <w:rPr>
          <w:rFonts w:hint="eastAsia"/>
          <w:sz w:val="30"/>
          <w:szCs w:val="30"/>
        </w:rPr>
      </w:pPr>
      <w:r>
        <w:rPr>
          <w:rFonts w:hint="eastAsia"/>
          <w:sz w:val="30"/>
          <w:szCs w:val="30"/>
        </w:rPr>
        <w:t>However, for a great many reasons, this is highly problematic, especially for Christians saturated in the NT.</w:t>
      </w:r>
    </w:p>
    <w:p w14:paraId="05C8B723">
      <w:pPr>
        <w:pStyle w:val="9"/>
        <w:spacing w:before="11"/>
        <w:ind w:left="0"/>
        <w:jc w:val="left"/>
        <w:rPr>
          <w:rFonts w:hint="eastAsia"/>
          <w:sz w:val="30"/>
          <w:szCs w:val="30"/>
        </w:rPr>
      </w:pPr>
      <w:r>
        <w:rPr>
          <w:rFonts w:hint="eastAsia"/>
          <w:sz w:val="30"/>
          <w:szCs w:val="30"/>
        </w:rPr>
        <w:t>然而，由于许多原因，这是非常有问题的，特别是对于沉浸在新约中的基督徒而言。</w:t>
      </w:r>
    </w:p>
    <w:p w14:paraId="1E9B9FE7">
      <w:pPr>
        <w:pStyle w:val="9"/>
        <w:spacing w:before="11"/>
        <w:ind w:left="0"/>
        <w:jc w:val="left"/>
        <w:rPr>
          <w:rFonts w:hint="eastAsia"/>
          <w:sz w:val="30"/>
          <w:szCs w:val="30"/>
        </w:rPr>
      </w:pPr>
    </w:p>
    <w:p w14:paraId="58088C0D">
      <w:pPr>
        <w:pStyle w:val="9"/>
        <w:spacing w:before="11"/>
        <w:ind w:left="0"/>
        <w:jc w:val="left"/>
        <w:rPr>
          <w:rFonts w:hint="eastAsia"/>
          <w:sz w:val="30"/>
          <w:szCs w:val="30"/>
        </w:rPr>
      </w:pPr>
      <w:r>
        <w:rPr>
          <w:rFonts w:hint="eastAsia"/>
          <w:sz w:val="30"/>
          <w:szCs w:val="30"/>
        </w:rPr>
        <w:t>Let us take a moment to see why, and why the biblical data as a whole persistently invite us to take a figurative, covenantal, and typological approach.</w:t>
      </w:r>
    </w:p>
    <w:p w14:paraId="3BC6E121">
      <w:pPr>
        <w:pStyle w:val="9"/>
        <w:spacing w:before="11"/>
        <w:ind w:left="0"/>
        <w:jc w:val="left"/>
        <w:rPr>
          <w:rFonts w:hint="eastAsia"/>
          <w:sz w:val="30"/>
          <w:szCs w:val="30"/>
        </w:rPr>
      </w:pPr>
      <w:r>
        <w:rPr>
          <w:rFonts w:hint="eastAsia"/>
          <w:sz w:val="30"/>
          <w:szCs w:val="30"/>
        </w:rPr>
        <w:t>让我们花点时间看看为什么，以及为什么圣经的整体数据持续地邀请我们采取一种象征性的、基于圣约的和预表性的方法。</w:t>
      </w:r>
    </w:p>
    <w:p w14:paraId="76A344E8">
      <w:pPr>
        <w:pStyle w:val="9"/>
        <w:spacing w:before="11"/>
        <w:ind w:left="0"/>
        <w:jc w:val="left"/>
        <w:rPr>
          <w:rFonts w:hint="eastAsia"/>
          <w:sz w:val="30"/>
          <w:szCs w:val="30"/>
        </w:rPr>
      </w:pPr>
    </w:p>
    <w:p w14:paraId="021CF0C3">
      <w:pPr>
        <w:pStyle w:val="9"/>
        <w:spacing w:before="11"/>
        <w:ind w:left="0"/>
        <w:jc w:val="left"/>
        <w:rPr>
          <w:rFonts w:hint="eastAsia"/>
          <w:sz w:val="30"/>
          <w:szCs w:val="30"/>
        </w:rPr>
      </w:pPr>
      <w:r>
        <w:rPr>
          <w:rFonts w:hint="eastAsia"/>
          <w:sz w:val="30"/>
          <w:szCs w:val="30"/>
        </w:rPr>
        <w:t>We begin by stating the obvious: Here, premillennialism offers us no help whatsoever, since there is not a single OT prophecy limiting the coming rule of the Mosaic Law to a thousand years.</w:t>
      </w:r>
    </w:p>
    <w:p w14:paraId="60919139">
      <w:pPr>
        <w:pStyle w:val="9"/>
        <w:spacing w:before="11"/>
        <w:ind w:left="0"/>
        <w:jc w:val="left"/>
        <w:rPr>
          <w:rFonts w:hint="eastAsia"/>
          <w:sz w:val="30"/>
          <w:szCs w:val="30"/>
        </w:rPr>
      </w:pPr>
      <w:r>
        <w:rPr>
          <w:rFonts w:hint="eastAsia"/>
          <w:sz w:val="30"/>
          <w:szCs w:val="30"/>
        </w:rPr>
        <w:t>我们从陈述一个显而易见的事实开始：在这里，前千禧年主义对我们毫无帮助，因为没有一处旧约预言将即将到来的摩西律法的统治限定在一千年。</w:t>
      </w:r>
    </w:p>
    <w:p w14:paraId="29F38A0B">
      <w:pPr>
        <w:pStyle w:val="9"/>
        <w:spacing w:before="11"/>
        <w:ind w:left="0"/>
        <w:jc w:val="left"/>
        <w:rPr>
          <w:rFonts w:hint="eastAsia"/>
          <w:sz w:val="30"/>
          <w:szCs w:val="30"/>
        </w:rPr>
      </w:pPr>
    </w:p>
    <w:p w14:paraId="583C53FC">
      <w:pPr>
        <w:pStyle w:val="9"/>
        <w:spacing w:before="11"/>
        <w:ind w:left="0"/>
        <w:jc w:val="left"/>
        <w:rPr>
          <w:rFonts w:hint="eastAsia"/>
          <w:sz w:val="30"/>
          <w:szCs w:val="30"/>
        </w:rPr>
      </w:pPr>
      <w:r>
        <w:rPr>
          <w:rFonts w:hint="eastAsia"/>
          <w:sz w:val="30"/>
          <w:szCs w:val="30"/>
        </w:rPr>
        <w:t>On the contrary, many texts state—and all the others imply—that this rule will be eternal; that Israel alone, or Israel and the nations, will live under the Mosaic ordinances forever (Psalm 132:14, Isaiah 25:5-8, Jer. 33:18, Ezek. 43:7, Joel 3:18-21).</w:t>
      </w:r>
    </w:p>
    <w:p w14:paraId="5222BB0F">
      <w:pPr>
        <w:pStyle w:val="9"/>
        <w:spacing w:before="11"/>
        <w:ind w:left="0"/>
        <w:jc w:val="left"/>
        <w:rPr>
          <w:rFonts w:hint="eastAsia"/>
          <w:sz w:val="30"/>
          <w:szCs w:val="30"/>
        </w:rPr>
      </w:pPr>
      <w:r>
        <w:rPr>
          <w:rFonts w:hint="eastAsia"/>
          <w:sz w:val="30"/>
          <w:szCs w:val="30"/>
        </w:rPr>
        <w:t>相反，许多经文声明——而所有其他经文则暗示——这个统治将是永恒的；以色列独自，或以色列与列国，将永远生活在摩西的条例之下（诗篇 132:14, 以赛亚书 25:5-8, 耶利米书 33:18, 以西结书 43:7, 约珥书 3:18-21）。</w:t>
      </w:r>
    </w:p>
    <w:p w14:paraId="4B0404A2">
      <w:pPr>
        <w:pStyle w:val="9"/>
        <w:spacing w:before="11"/>
        <w:ind w:left="0"/>
        <w:jc w:val="left"/>
        <w:rPr>
          <w:rFonts w:hint="eastAsia"/>
          <w:sz w:val="30"/>
          <w:szCs w:val="30"/>
        </w:rPr>
      </w:pPr>
    </w:p>
    <w:p w14:paraId="0978AEAC">
      <w:pPr>
        <w:pStyle w:val="9"/>
        <w:spacing w:before="11"/>
        <w:ind w:left="0"/>
        <w:jc w:val="left"/>
        <w:rPr>
          <w:rFonts w:hint="eastAsia"/>
          <w:sz w:val="30"/>
          <w:szCs w:val="30"/>
        </w:rPr>
      </w:pPr>
      <w:r>
        <w:rPr>
          <w:rFonts w:hint="eastAsia"/>
          <w:sz w:val="30"/>
          <w:szCs w:val="30"/>
        </w:rPr>
        <w:t>We must, then, find a better solution than the one offered by our premillennarian brothers.</w:t>
      </w:r>
    </w:p>
    <w:p w14:paraId="4830E388">
      <w:pPr>
        <w:pStyle w:val="9"/>
        <w:spacing w:before="11"/>
        <w:ind w:left="0"/>
        <w:jc w:val="left"/>
        <w:rPr>
          <w:rFonts w:hint="eastAsia"/>
          <w:sz w:val="30"/>
          <w:szCs w:val="30"/>
        </w:rPr>
      </w:pPr>
      <w:r>
        <w:rPr>
          <w:rFonts w:hint="eastAsia"/>
          <w:sz w:val="30"/>
          <w:szCs w:val="30"/>
        </w:rPr>
        <w:t>因此，我们必须找到一个比我们前千禧年派弟兄们提供的更好的解决方案。</w:t>
      </w:r>
    </w:p>
    <w:p w14:paraId="402ABD7E">
      <w:pPr>
        <w:pStyle w:val="9"/>
        <w:spacing w:before="11"/>
        <w:ind w:left="0"/>
        <w:jc w:val="left"/>
        <w:rPr>
          <w:rFonts w:hint="eastAsia"/>
          <w:sz w:val="30"/>
          <w:szCs w:val="30"/>
        </w:rPr>
      </w:pPr>
    </w:p>
    <w:p w14:paraId="1FC7D98E">
      <w:pPr>
        <w:pStyle w:val="9"/>
        <w:spacing w:before="11"/>
        <w:ind w:left="0"/>
        <w:jc w:val="left"/>
        <w:rPr>
          <w:rFonts w:hint="eastAsia"/>
          <w:sz w:val="30"/>
          <w:szCs w:val="30"/>
        </w:rPr>
      </w:pPr>
      <w:r>
        <w:rPr>
          <w:rFonts w:hint="eastAsia"/>
          <w:sz w:val="30"/>
          <w:szCs w:val="30"/>
        </w:rPr>
        <w:t>Secondly, these prophecies, taken at face value, are not internally consistent.</w:t>
      </w:r>
    </w:p>
    <w:p w14:paraId="4C8AC928">
      <w:pPr>
        <w:pStyle w:val="9"/>
        <w:spacing w:before="11"/>
        <w:ind w:left="0"/>
        <w:jc w:val="left"/>
        <w:rPr>
          <w:rFonts w:hint="eastAsia"/>
          <w:sz w:val="30"/>
          <w:szCs w:val="30"/>
        </w:rPr>
      </w:pPr>
      <w:r>
        <w:rPr>
          <w:rFonts w:hint="eastAsia"/>
          <w:sz w:val="30"/>
          <w:szCs w:val="30"/>
        </w:rPr>
        <w:t>其次，这些预言，从字面上看，内部并不一致。</w:t>
      </w:r>
    </w:p>
    <w:p w14:paraId="592B7577">
      <w:pPr>
        <w:pStyle w:val="9"/>
        <w:spacing w:before="11"/>
        <w:ind w:left="0"/>
        <w:jc w:val="left"/>
        <w:rPr>
          <w:rFonts w:hint="eastAsia"/>
          <w:sz w:val="30"/>
          <w:szCs w:val="30"/>
        </w:rPr>
      </w:pPr>
    </w:p>
    <w:p w14:paraId="285502FE">
      <w:pPr>
        <w:pStyle w:val="9"/>
        <w:spacing w:before="11"/>
        <w:ind w:left="0"/>
        <w:jc w:val="left"/>
        <w:rPr>
          <w:rFonts w:hint="eastAsia"/>
          <w:sz w:val="30"/>
          <w:szCs w:val="30"/>
        </w:rPr>
      </w:pPr>
      <w:r>
        <w:rPr>
          <w:rFonts w:hint="eastAsia"/>
          <w:sz w:val="30"/>
          <w:szCs w:val="30"/>
        </w:rPr>
        <w:t>That is, in a number of cases, specific predictions contradict one another, or the Mosaic Law itself.</w:t>
      </w:r>
    </w:p>
    <w:p w14:paraId="7BEA8C75">
      <w:pPr>
        <w:pStyle w:val="9"/>
        <w:spacing w:before="11"/>
        <w:ind w:left="0"/>
        <w:jc w:val="left"/>
        <w:rPr>
          <w:rFonts w:hint="eastAsia"/>
          <w:sz w:val="30"/>
          <w:szCs w:val="30"/>
        </w:rPr>
      </w:pPr>
      <w:r>
        <w:rPr>
          <w:rFonts w:hint="eastAsia"/>
          <w:sz w:val="30"/>
          <w:szCs w:val="30"/>
        </w:rPr>
        <w:t>也就是说，在一些情况下，具体的预言相互矛盾，或与摩西律法本身相矛盾。</w:t>
      </w:r>
    </w:p>
    <w:p w14:paraId="712E0886">
      <w:pPr>
        <w:pStyle w:val="9"/>
        <w:spacing w:before="11"/>
        <w:ind w:left="0"/>
        <w:jc w:val="left"/>
        <w:rPr>
          <w:rFonts w:hint="eastAsia"/>
          <w:sz w:val="30"/>
          <w:szCs w:val="30"/>
        </w:rPr>
      </w:pPr>
    </w:p>
    <w:p w14:paraId="56106E59">
      <w:pPr>
        <w:pStyle w:val="9"/>
        <w:spacing w:before="11"/>
        <w:ind w:left="0"/>
        <w:jc w:val="left"/>
        <w:rPr>
          <w:rFonts w:hint="eastAsia"/>
          <w:sz w:val="30"/>
          <w:szCs w:val="30"/>
        </w:rPr>
      </w:pPr>
      <w:r>
        <w:rPr>
          <w:rFonts w:hint="eastAsia"/>
          <w:sz w:val="30"/>
          <w:szCs w:val="30"/>
        </w:rPr>
        <w:t>For example, concerning the eschatological priesthood, Malachi declares—with the Mosaic Law—that the tribe of Levi will fill it (Mal. 3:3).</w:t>
      </w:r>
    </w:p>
    <w:p w14:paraId="079BED67">
      <w:pPr>
        <w:pStyle w:val="9"/>
        <w:spacing w:before="11"/>
        <w:ind w:left="0"/>
        <w:jc w:val="left"/>
        <w:rPr>
          <w:rFonts w:hint="eastAsia"/>
          <w:sz w:val="30"/>
          <w:szCs w:val="30"/>
        </w:rPr>
      </w:pPr>
      <w:r>
        <w:rPr>
          <w:rFonts w:hint="eastAsia"/>
          <w:sz w:val="30"/>
          <w:szCs w:val="30"/>
        </w:rPr>
        <w:t>例如，关于末世的祭司职分，玛拉基——与摩西律法一致——宣告利未支派将担任此职（玛拉基书 3:3）。</w:t>
      </w:r>
    </w:p>
    <w:p w14:paraId="6CC8FC11">
      <w:pPr>
        <w:pStyle w:val="9"/>
        <w:spacing w:before="11"/>
        <w:ind w:left="0"/>
        <w:jc w:val="left"/>
        <w:rPr>
          <w:rFonts w:hint="eastAsia"/>
          <w:sz w:val="30"/>
          <w:szCs w:val="30"/>
        </w:rPr>
      </w:pPr>
    </w:p>
    <w:p w14:paraId="0106DB6E">
      <w:pPr>
        <w:pStyle w:val="9"/>
        <w:spacing w:before="11"/>
        <w:ind w:left="0"/>
        <w:jc w:val="left"/>
        <w:rPr>
          <w:rFonts w:hint="eastAsia"/>
          <w:sz w:val="30"/>
          <w:szCs w:val="30"/>
        </w:rPr>
      </w:pPr>
      <w:r>
        <w:rPr>
          <w:rFonts w:hint="eastAsia"/>
          <w:sz w:val="30"/>
          <w:szCs w:val="30"/>
        </w:rPr>
        <w:t>However, Ezekiel says that God will disbar most of the Levites from drawing near to him, his holy things, and his holy place.</w:t>
      </w:r>
    </w:p>
    <w:p w14:paraId="3FD27310">
      <w:pPr>
        <w:pStyle w:val="9"/>
        <w:spacing w:before="11"/>
        <w:ind w:left="0"/>
        <w:jc w:val="left"/>
        <w:rPr>
          <w:rFonts w:hint="eastAsia"/>
          <w:sz w:val="30"/>
          <w:szCs w:val="30"/>
        </w:rPr>
      </w:pPr>
      <w:r>
        <w:rPr>
          <w:rFonts w:hint="eastAsia"/>
          <w:sz w:val="30"/>
          <w:szCs w:val="30"/>
        </w:rPr>
        <w:t>然而，以西结说上帝将禁止大多数利未人亲近祂、祂的圣物和祂的圣所。</w:t>
      </w:r>
    </w:p>
    <w:p w14:paraId="56715083">
      <w:pPr>
        <w:pStyle w:val="9"/>
        <w:spacing w:before="11"/>
        <w:ind w:left="0"/>
        <w:jc w:val="left"/>
        <w:rPr>
          <w:rFonts w:hint="eastAsia"/>
          <w:sz w:val="30"/>
          <w:szCs w:val="30"/>
        </w:rPr>
      </w:pPr>
    </w:p>
    <w:p w14:paraId="52BB9FD6">
      <w:pPr>
        <w:pStyle w:val="9"/>
        <w:spacing w:before="11"/>
        <w:ind w:left="0"/>
        <w:jc w:val="left"/>
        <w:rPr>
          <w:rFonts w:hint="eastAsia"/>
          <w:sz w:val="30"/>
          <w:szCs w:val="30"/>
        </w:rPr>
      </w:pPr>
      <w:r>
        <w:rPr>
          <w:rFonts w:hint="eastAsia"/>
          <w:sz w:val="30"/>
          <w:szCs w:val="30"/>
        </w:rPr>
        <w:t>Only the faithful Zadokites will enjoy this privilege (Ezek. 44:10-16).</w:t>
      </w:r>
    </w:p>
    <w:p w14:paraId="34FDE445">
      <w:pPr>
        <w:pStyle w:val="9"/>
        <w:spacing w:before="11"/>
        <w:ind w:left="0"/>
        <w:jc w:val="left"/>
        <w:rPr>
          <w:rFonts w:hint="eastAsia"/>
          <w:sz w:val="30"/>
          <w:szCs w:val="30"/>
        </w:rPr>
      </w:pPr>
      <w:r>
        <w:rPr>
          <w:rFonts w:hint="eastAsia"/>
          <w:sz w:val="30"/>
          <w:szCs w:val="30"/>
        </w:rPr>
        <w:t>只有忠心的撒督后裔才能享有这个特权（以西结书 44:10-16）。</w:t>
      </w:r>
    </w:p>
    <w:p w14:paraId="2711CB35">
      <w:pPr>
        <w:pStyle w:val="9"/>
        <w:spacing w:before="11"/>
        <w:ind w:left="0"/>
        <w:jc w:val="left"/>
        <w:rPr>
          <w:rFonts w:hint="eastAsia"/>
          <w:sz w:val="30"/>
          <w:szCs w:val="30"/>
        </w:rPr>
      </w:pPr>
    </w:p>
    <w:p w14:paraId="44763909">
      <w:pPr>
        <w:pStyle w:val="9"/>
        <w:spacing w:before="11"/>
        <w:ind w:left="0"/>
        <w:jc w:val="left"/>
        <w:rPr>
          <w:rFonts w:hint="eastAsia"/>
          <w:sz w:val="30"/>
          <w:szCs w:val="30"/>
        </w:rPr>
      </w:pPr>
      <w:r>
        <w:rPr>
          <w:rFonts w:hint="eastAsia"/>
          <w:sz w:val="30"/>
          <w:szCs w:val="30"/>
        </w:rPr>
        <w:t>Meanwhile, Isaiah promises, contrary to the Law, that in the days of the Kingdom all Israelites will be called priests; indeed, that God will even admit Gentiles to the priesthood (Isaiah 61:61, 66:21).</w:t>
      </w:r>
    </w:p>
    <w:p w14:paraId="24DFF107">
      <w:pPr>
        <w:pStyle w:val="9"/>
        <w:spacing w:before="11"/>
        <w:ind w:left="0"/>
        <w:jc w:val="left"/>
        <w:rPr>
          <w:rFonts w:hint="eastAsia"/>
          <w:sz w:val="30"/>
          <w:szCs w:val="30"/>
        </w:rPr>
      </w:pPr>
      <w:r>
        <w:rPr>
          <w:rFonts w:hint="eastAsia"/>
          <w:sz w:val="30"/>
          <w:szCs w:val="30"/>
        </w:rPr>
        <w:t>与此同时，以赛亚应许，与律法相反，在国度的日子里，所有以色列人都将被称为祭司；实际上，上帝甚至会接纳外邦人进入祭司职分（以赛亚书 61:6, 66:21）。</w:t>
      </w:r>
    </w:p>
    <w:p w14:paraId="39ECDCBA">
      <w:pPr>
        <w:pStyle w:val="9"/>
        <w:spacing w:before="11"/>
        <w:ind w:left="0"/>
        <w:jc w:val="left"/>
        <w:rPr>
          <w:rFonts w:hint="eastAsia"/>
          <w:sz w:val="30"/>
          <w:szCs w:val="30"/>
        </w:rPr>
      </w:pPr>
    </w:p>
    <w:p w14:paraId="0A5DB0AF">
      <w:pPr>
        <w:pStyle w:val="9"/>
        <w:spacing w:before="11"/>
        <w:ind w:left="0"/>
        <w:jc w:val="left"/>
        <w:rPr>
          <w:rFonts w:hint="eastAsia"/>
          <w:sz w:val="30"/>
          <w:szCs w:val="30"/>
        </w:rPr>
      </w:pPr>
      <w:r>
        <w:rPr>
          <w:rFonts w:hint="eastAsia"/>
          <w:sz w:val="30"/>
          <w:szCs w:val="30"/>
        </w:rPr>
        <w:t>Taken literally, it is hard to reconcile these statements.</w:t>
      </w:r>
    </w:p>
    <w:p w14:paraId="357D2F46">
      <w:pPr>
        <w:pStyle w:val="9"/>
        <w:spacing w:before="11"/>
        <w:ind w:left="0"/>
        <w:jc w:val="left"/>
        <w:rPr>
          <w:rFonts w:hint="eastAsia"/>
          <w:sz w:val="30"/>
          <w:szCs w:val="30"/>
        </w:rPr>
      </w:pPr>
      <w:r>
        <w:rPr>
          <w:rFonts w:hint="eastAsia"/>
          <w:sz w:val="30"/>
          <w:szCs w:val="30"/>
        </w:rPr>
        <w:t>按字面意思理解，很难调和这些陈述。</w:t>
      </w:r>
    </w:p>
    <w:p w14:paraId="4C65E925">
      <w:pPr>
        <w:pStyle w:val="9"/>
        <w:spacing w:before="11"/>
        <w:ind w:left="0"/>
        <w:jc w:val="left"/>
        <w:rPr>
          <w:rFonts w:hint="eastAsia"/>
          <w:sz w:val="30"/>
          <w:szCs w:val="30"/>
        </w:rPr>
      </w:pPr>
    </w:p>
    <w:p w14:paraId="44151F98">
      <w:pPr>
        <w:pStyle w:val="9"/>
        <w:spacing w:before="11"/>
        <w:ind w:left="0"/>
        <w:jc w:val="left"/>
        <w:rPr>
          <w:rFonts w:hint="eastAsia"/>
          <w:sz w:val="30"/>
          <w:szCs w:val="30"/>
        </w:rPr>
      </w:pPr>
      <w:r>
        <w:rPr>
          <w:rFonts w:hint="eastAsia"/>
          <w:sz w:val="30"/>
          <w:szCs w:val="30"/>
        </w:rPr>
        <w:t>Taken figuratively and covenantally, it is easy to see the way of escape: The Spirit is using OT language to speak of our Great High Priest (Ezek. 44:10-16), and also of the royal priesthood that he will create under the New Covenant, a priesthood in which all of God’s people—both Jew and Gentile—are privileged to participate (Isaiah 61:61, 66:21, 1 Peter 2:9).</w:t>
      </w:r>
    </w:p>
    <w:p w14:paraId="3CED6923">
      <w:pPr>
        <w:pStyle w:val="9"/>
        <w:spacing w:before="11"/>
        <w:ind w:left="0"/>
        <w:jc w:val="left"/>
        <w:rPr>
          <w:rFonts w:hint="eastAsia"/>
          <w:sz w:val="30"/>
          <w:szCs w:val="30"/>
        </w:rPr>
      </w:pPr>
      <w:r>
        <w:rPr>
          <w:rFonts w:hint="eastAsia"/>
          <w:sz w:val="30"/>
          <w:szCs w:val="30"/>
        </w:rPr>
        <w:t>从象征性和圣约的角度来看，就很容易找到出路：圣灵正在使用旧约的语言来讲述我们伟大的大祭司（以西结书 44:10-16），以及祂将在新约下创造的君尊祭司体系，在这个祭司体系中，上帝所有的子民——无论是犹太人还是外邦人——都有幸参与（以赛亚书 61:6, 66:21, 彼得前书 2:9）。</w:t>
      </w:r>
    </w:p>
    <w:p w14:paraId="34B4ACFB">
      <w:pPr>
        <w:pStyle w:val="9"/>
        <w:spacing w:before="11"/>
        <w:ind w:left="0"/>
        <w:jc w:val="left"/>
        <w:rPr>
          <w:rFonts w:hint="eastAsia"/>
          <w:sz w:val="30"/>
          <w:szCs w:val="30"/>
        </w:rPr>
      </w:pPr>
    </w:p>
    <w:p w14:paraId="2E2E8CB0">
      <w:pPr>
        <w:pStyle w:val="9"/>
        <w:spacing w:before="11"/>
        <w:ind w:left="0"/>
        <w:jc w:val="left"/>
        <w:rPr>
          <w:rFonts w:hint="eastAsia"/>
          <w:sz w:val="30"/>
          <w:szCs w:val="30"/>
        </w:rPr>
      </w:pPr>
      <w:r>
        <w:rPr>
          <w:rFonts w:hint="eastAsia"/>
          <w:sz w:val="30"/>
          <w:szCs w:val="30"/>
        </w:rPr>
        <w:t>Again, Jeremiah tells us that after Israel’s restoration men will make no mention of the (hidden, destroyed, or confiscated) Ark of the Lord; indeed, that it will not even come to mind, nor will anyone try to make it again (Jer. 3:17).</w:t>
      </w:r>
    </w:p>
    <w:p w14:paraId="2840A5FB">
      <w:pPr>
        <w:pStyle w:val="9"/>
        <w:spacing w:before="11"/>
        <w:ind w:left="0"/>
        <w:jc w:val="left"/>
        <w:rPr>
          <w:rFonts w:hint="eastAsia"/>
          <w:sz w:val="30"/>
          <w:szCs w:val="30"/>
        </w:rPr>
      </w:pPr>
      <w:r>
        <w:rPr>
          <w:rFonts w:hint="eastAsia"/>
          <w:sz w:val="30"/>
          <w:szCs w:val="30"/>
        </w:rPr>
        <w:t>再次，耶利米告诉我们，在以色列复兴之后，人们将不再提及耶和华的约柜（无论是隐藏的、被毁的还是被没收的）；实际上，它甚至不会再被想起，也没有人会试图再造一个（耶利米书 3:17）。</w:t>
      </w:r>
    </w:p>
    <w:p w14:paraId="3DF0DAE5">
      <w:pPr>
        <w:pStyle w:val="9"/>
        <w:spacing w:before="11"/>
        <w:ind w:left="0"/>
        <w:jc w:val="left"/>
        <w:rPr>
          <w:rFonts w:hint="eastAsia"/>
          <w:sz w:val="30"/>
          <w:szCs w:val="30"/>
        </w:rPr>
      </w:pPr>
    </w:p>
    <w:p w14:paraId="245A2542">
      <w:pPr>
        <w:pStyle w:val="9"/>
        <w:spacing w:before="11"/>
        <w:ind w:left="0"/>
        <w:jc w:val="left"/>
        <w:rPr>
          <w:rFonts w:hint="eastAsia"/>
          <w:sz w:val="30"/>
          <w:szCs w:val="30"/>
        </w:rPr>
      </w:pPr>
      <w:r>
        <w:rPr>
          <w:rFonts w:hint="eastAsia"/>
          <w:sz w:val="30"/>
          <w:szCs w:val="30"/>
        </w:rPr>
        <w:t>Here is a truly dramatic departure from the ceremonial Law, according to which the Ark of the Covenant was the holiest object in the Holiest of All; the very heart of the Tabernacle and Temple, before which the High Priest must appear annually, on the Day of Atonement, so that Israel may be forgiven her sins!</w:t>
      </w:r>
    </w:p>
    <w:p w14:paraId="3599A54D">
      <w:pPr>
        <w:pStyle w:val="9"/>
        <w:spacing w:before="11"/>
        <w:ind w:left="0"/>
        <w:jc w:val="left"/>
        <w:rPr>
          <w:rFonts w:hint="eastAsia"/>
          <w:sz w:val="30"/>
          <w:szCs w:val="30"/>
        </w:rPr>
      </w:pPr>
      <w:r>
        <w:rPr>
          <w:rFonts w:hint="eastAsia"/>
          <w:sz w:val="30"/>
          <w:szCs w:val="30"/>
        </w:rPr>
        <w:t>这是一个与礼仪律法真正戏剧性的偏离，根据礼仪律法，约柜是至圣所中最神圣的物件；是会幕和圣殿的核心，大祭司必须每年在赎罪日显现在它面前，以便以色列的罪可以得赦免！</w:t>
      </w:r>
    </w:p>
    <w:p w14:paraId="2BDEC07C">
      <w:pPr>
        <w:pStyle w:val="9"/>
        <w:spacing w:before="11"/>
        <w:ind w:left="0"/>
        <w:jc w:val="left"/>
        <w:rPr>
          <w:rFonts w:hint="eastAsia"/>
          <w:sz w:val="30"/>
          <w:szCs w:val="30"/>
        </w:rPr>
      </w:pPr>
    </w:p>
    <w:p w14:paraId="77430BED">
      <w:pPr>
        <w:pStyle w:val="9"/>
        <w:spacing w:before="11"/>
        <w:ind w:left="0"/>
        <w:jc w:val="left"/>
        <w:rPr>
          <w:rFonts w:hint="eastAsia"/>
          <w:sz w:val="30"/>
          <w:szCs w:val="30"/>
        </w:rPr>
      </w:pPr>
      <w:r>
        <w:rPr>
          <w:rFonts w:hint="eastAsia"/>
          <w:sz w:val="30"/>
          <w:szCs w:val="30"/>
        </w:rPr>
        <w:t>Thus, the development Jeremiah envisions is completely at odds with the customary idea of the perpetuity of the ceremonial Law.</w:t>
      </w:r>
    </w:p>
    <w:p w14:paraId="448E338B">
      <w:pPr>
        <w:pStyle w:val="9"/>
        <w:spacing w:before="11"/>
        <w:ind w:left="0"/>
        <w:jc w:val="left"/>
        <w:rPr>
          <w:rFonts w:hint="eastAsia"/>
          <w:sz w:val="30"/>
          <w:szCs w:val="30"/>
        </w:rPr>
      </w:pPr>
      <w:r>
        <w:rPr>
          <w:rFonts w:hint="eastAsia"/>
          <w:sz w:val="30"/>
          <w:szCs w:val="30"/>
        </w:rPr>
        <w:t>因此，耶利米所设想的发展与礼仪律法永存的惯常观念完全不符。</w:t>
      </w:r>
    </w:p>
    <w:p w14:paraId="53171A13">
      <w:pPr>
        <w:pStyle w:val="9"/>
        <w:spacing w:before="11"/>
        <w:ind w:left="0"/>
        <w:jc w:val="left"/>
        <w:rPr>
          <w:rFonts w:hint="eastAsia"/>
          <w:sz w:val="30"/>
          <w:szCs w:val="30"/>
        </w:rPr>
      </w:pPr>
    </w:p>
    <w:p w14:paraId="506F4D49">
      <w:pPr>
        <w:pStyle w:val="9"/>
        <w:spacing w:before="11"/>
        <w:ind w:left="0"/>
        <w:jc w:val="left"/>
        <w:rPr>
          <w:rFonts w:hint="eastAsia"/>
          <w:sz w:val="30"/>
          <w:szCs w:val="30"/>
        </w:rPr>
      </w:pPr>
      <w:r>
        <w:rPr>
          <w:rFonts w:hint="eastAsia"/>
          <w:sz w:val="30"/>
          <w:szCs w:val="30"/>
        </w:rPr>
        <w:t>If, however, we view these days as the days of the New Covenant, then immediately the prophecy makes perfect sense, since in NT times the typology of the Ark is fulfilled in Christ (Heb. 9:1-28).</w:t>
      </w:r>
    </w:p>
    <w:p w14:paraId="0573CB47">
      <w:pPr>
        <w:pStyle w:val="9"/>
        <w:spacing w:before="11"/>
        <w:ind w:left="0"/>
        <w:jc w:val="left"/>
        <w:rPr>
          <w:rFonts w:hint="eastAsia"/>
          <w:sz w:val="30"/>
          <w:szCs w:val="30"/>
        </w:rPr>
      </w:pPr>
      <w:r>
        <w:rPr>
          <w:rFonts w:hint="eastAsia"/>
          <w:sz w:val="30"/>
          <w:szCs w:val="30"/>
        </w:rPr>
        <w:t>然而，如果我们将这些日子视为新约的日子，那么这个预言立刻就完全说得通了，因为在新约时代，约柜的预表在基督里得到了应验（希伯来书 9:1-28）。</w:t>
      </w:r>
    </w:p>
    <w:p w14:paraId="45A46C6C">
      <w:pPr>
        <w:pStyle w:val="9"/>
        <w:spacing w:before="11"/>
        <w:ind w:left="0"/>
        <w:jc w:val="left"/>
        <w:rPr>
          <w:rFonts w:hint="eastAsia"/>
          <w:sz w:val="30"/>
          <w:szCs w:val="30"/>
        </w:rPr>
      </w:pPr>
    </w:p>
    <w:p w14:paraId="2FCC73FB">
      <w:pPr>
        <w:pStyle w:val="9"/>
        <w:spacing w:before="11"/>
        <w:ind w:left="0"/>
        <w:jc w:val="left"/>
        <w:rPr>
          <w:rFonts w:hint="eastAsia"/>
          <w:sz w:val="30"/>
          <w:szCs w:val="30"/>
        </w:rPr>
      </w:pPr>
      <w:r>
        <w:rPr>
          <w:rFonts w:hint="eastAsia"/>
          <w:sz w:val="30"/>
          <w:szCs w:val="30"/>
        </w:rPr>
        <w:t>Importantly, Jeremiah himself hints at just such a change in God’s covenant dealings, since in the days of the Kingdom it is no longer the Ark, but Jerusalem itself (i.e., the City of God, the Church, the custodian of the message of atonement and reconciliation) that will be his throne, the Meeting-Place to which God himself will gather the (elect of all) nations (Exodus 25:22, 30:6, 36, Jer. 3:17).</w:t>
      </w:r>
    </w:p>
    <w:p w14:paraId="5AB9B68B">
      <w:pPr>
        <w:pStyle w:val="9"/>
        <w:spacing w:before="11"/>
        <w:ind w:left="0"/>
        <w:jc w:val="left"/>
        <w:rPr>
          <w:rFonts w:hint="eastAsia"/>
          <w:sz w:val="30"/>
          <w:szCs w:val="30"/>
        </w:rPr>
      </w:pPr>
      <w:r>
        <w:rPr>
          <w:rFonts w:hint="eastAsia"/>
          <w:sz w:val="30"/>
          <w:szCs w:val="30"/>
        </w:rPr>
        <w:t>重要的是，耶利米自己也暗示了上帝圣约交往中的这样一种变化，因为在国度的日子里，不再是约柜，而是耶路撒冷本身（即上帝之城，教会，赎罪与和好信息的保管者）将成为祂的宝座，是上帝自己将聚集（所有）列国选民的会幕（出埃及记 25:22, 30:6, 36, 耶利米书 3:17）。</w:t>
      </w:r>
    </w:p>
    <w:p w14:paraId="7F59CC6E">
      <w:pPr>
        <w:pStyle w:val="9"/>
        <w:spacing w:before="11"/>
        <w:ind w:left="0"/>
        <w:jc w:val="left"/>
        <w:rPr>
          <w:rFonts w:hint="eastAsia"/>
          <w:sz w:val="30"/>
          <w:szCs w:val="30"/>
        </w:rPr>
      </w:pPr>
    </w:p>
    <w:p w14:paraId="5AC39891">
      <w:pPr>
        <w:pStyle w:val="9"/>
        <w:spacing w:before="11"/>
        <w:ind w:left="0"/>
        <w:jc w:val="left"/>
        <w:rPr>
          <w:rFonts w:hint="eastAsia"/>
          <w:sz w:val="30"/>
          <w:szCs w:val="30"/>
        </w:rPr>
      </w:pPr>
      <w:r>
        <w:rPr>
          <w:rFonts w:hint="eastAsia"/>
          <w:sz w:val="30"/>
          <w:szCs w:val="30"/>
        </w:rPr>
        <w:t>Again, Isaiah tells us that “in that day” there will be an altar to the LORD in Egypt, that God will make himself known to the Egyptians, and that they will even worship him with sacrifice and offering (19:19-25).</w:t>
      </w:r>
    </w:p>
    <w:p w14:paraId="351D60FE">
      <w:pPr>
        <w:pStyle w:val="9"/>
        <w:spacing w:before="11"/>
        <w:ind w:left="0"/>
        <w:jc w:val="left"/>
        <w:rPr>
          <w:rFonts w:hint="eastAsia"/>
          <w:sz w:val="30"/>
          <w:szCs w:val="30"/>
        </w:rPr>
      </w:pPr>
      <w:r>
        <w:rPr>
          <w:rFonts w:hint="eastAsia"/>
          <w:sz w:val="30"/>
          <w:szCs w:val="30"/>
        </w:rPr>
        <w:t>再次，以赛亚告诉我们，“当那日”在埃及地必有为耶和华筑的一座坛，上帝必使自己被埃及人所认识，他们甚至要用祭物和供物敬拜祂（19:19-25）。</w:t>
      </w:r>
    </w:p>
    <w:p w14:paraId="66244D92">
      <w:pPr>
        <w:pStyle w:val="9"/>
        <w:spacing w:before="11"/>
        <w:ind w:left="0"/>
        <w:jc w:val="left"/>
        <w:rPr>
          <w:rFonts w:hint="eastAsia"/>
          <w:sz w:val="30"/>
          <w:szCs w:val="30"/>
        </w:rPr>
      </w:pPr>
    </w:p>
    <w:p w14:paraId="4266B73E">
      <w:pPr>
        <w:pStyle w:val="9"/>
        <w:spacing w:before="11"/>
        <w:ind w:left="0"/>
        <w:jc w:val="left"/>
        <w:rPr>
          <w:rFonts w:hint="eastAsia"/>
          <w:sz w:val="30"/>
          <w:szCs w:val="30"/>
        </w:rPr>
      </w:pPr>
      <w:r>
        <w:rPr>
          <w:rFonts w:hint="eastAsia"/>
          <w:sz w:val="30"/>
          <w:szCs w:val="30"/>
        </w:rPr>
        <w:t>Here we meet a further departure from the Mosaic Law, according to which God required that all Israelites and all foreigners worship him only in the place of his choosing, a place in the land, a place to which they must make a pilgrimage at least three times a year (Deut. 12:1-14).</w:t>
      </w:r>
    </w:p>
    <w:p w14:paraId="7D064627">
      <w:pPr>
        <w:pStyle w:val="9"/>
        <w:spacing w:before="11"/>
        <w:ind w:left="0"/>
        <w:jc w:val="left"/>
        <w:rPr>
          <w:rFonts w:hint="eastAsia"/>
          <w:sz w:val="30"/>
          <w:szCs w:val="30"/>
        </w:rPr>
      </w:pPr>
      <w:r>
        <w:rPr>
          <w:rFonts w:hint="eastAsia"/>
          <w:sz w:val="30"/>
          <w:szCs w:val="30"/>
        </w:rPr>
        <w:t>在这里我们遇到了与摩西律法的又一次偏离，根据摩西律法，上帝要求所有以色列人和所有外邦人只能在祂所选择的地方敬拜祂，一个在那片土地上的地方，一个他们每年必须至少朝圣三次的地方（申命记 12:1-14）。</w:t>
      </w:r>
    </w:p>
    <w:p w14:paraId="618B96F1">
      <w:pPr>
        <w:pStyle w:val="9"/>
        <w:spacing w:before="11"/>
        <w:ind w:left="0"/>
        <w:jc w:val="left"/>
        <w:rPr>
          <w:rFonts w:hint="eastAsia"/>
          <w:sz w:val="30"/>
          <w:szCs w:val="30"/>
        </w:rPr>
      </w:pPr>
    </w:p>
    <w:p w14:paraId="3B23610B">
      <w:pPr>
        <w:pStyle w:val="9"/>
        <w:spacing w:before="11"/>
        <w:ind w:left="0"/>
        <w:jc w:val="left"/>
        <w:rPr>
          <w:rFonts w:hint="eastAsia"/>
          <w:sz w:val="30"/>
          <w:szCs w:val="30"/>
        </w:rPr>
      </w:pPr>
      <w:r>
        <w:rPr>
          <w:rFonts w:hint="eastAsia"/>
          <w:sz w:val="30"/>
          <w:szCs w:val="30"/>
        </w:rPr>
        <w:t>If, however, we interpret the passage figuratively, the contradiction disappears, since under the New Covenant believers worship not in this mountain, nor in Jerusalem, but in spirit and in truth, offering spiritual sacrifices acceptable to God through the Lord Jesus Christ.</w:t>
      </w:r>
    </w:p>
    <w:p w14:paraId="3FAFF8E7">
      <w:pPr>
        <w:pStyle w:val="9"/>
        <w:spacing w:before="11"/>
        <w:ind w:left="0"/>
        <w:jc w:val="left"/>
        <w:rPr>
          <w:rFonts w:hint="eastAsia"/>
          <w:sz w:val="30"/>
          <w:szCs w:val="30"/>
        </w:rPr>
      </w:pPr>
      <w:r>
        <w:rPr>
          <w:rFonts w:hint="eastAsia"/>
          <w:sz w:val="30"/>
          <w:szCs w:val="30"/>
        </w:rPr>
        <w:t>然而，如果我们象征性地解释这段经文，矛盾就消失了，因为在新约之下，信徒敬拜不在于这座山，也不在耶路撒冷，而是在心灵和诚实里，通过主耶稣基督献上上帝所悦纳的属灵祭物。</w:t>
      </w:r>
    </w:p>
    <w:p w14:paraId="48361C85">
      <w:pPr>
        <w:pStyle w:val="9"/>
        <w:spacing w:before="11"/>
        <w:ind w:left="0"/>
        <w:jc w:val="left"/>
        <w:rPr>
          <w:rFonts w:hint="eastAsia"/>
          <w:sz w:val="30"/>
          <w:szCs w:val="30"/>
        </w:rPr>
      </w:pPr>
    </w:p>
    <w:p w14:paraId="4A8D0392">
      <w:pPr>
        <w:pStyle w:val="9"/>
        <w:spacing w:before="11"/>
        <w:ind w:left="0"/>
        <w:jc w:val="left"/>
        <w:rPr>
          <w:rFonts w:hint="eastAsia"/>
          <w:sz w:val="30"/>
          <w:szCs w:val="30"/>
        </w:rPr>
      </w:pPr>
      <w:r>
        <w:rPr>
          <w:rFonts w:hint="eastAsia"/>
          <w:sz w:val="30"/>
          <w:szCs w:val="30"/>
        </w:rPr>
        <w:t>This brings us to our third point, namely that these OTKP’s themselves hint at a figurative and spiritual fulfillment, rather than a literal.</w:t>
      </w:r>
    </w:p>
    <w:p w14:paraId="66192A29">
      <w:pPr>
        <w:pStyle w:val="9"/>
        <w:spacing w:before="11"/>
        <w:ind w:left="0"/>
        <w:jc w:val="left"/>
        <w:rPr>
          <w:rFonts w:hint="eastAsia"/>
          <w:sz w:val="30"/>
          <w:szCs w:val="30"/>
        </w:rPr>
      </w:pPr>
      <w:r>
        <w:rPr>
          <w:rFonts w:hint="eastAsia"/>
          <w:sz w:val="30"/>
          <w:szCs w:val="30"/>
        </w:rPr>
        <w:t>这就引出了我们的第三点，即这些旧约国度预言（OTKP）本身就暗示了一种象征性和属灵的应验，而非字面上的应验。</w:t>
      </w:r>
    </w:p>
    <w:p w14:paraId="1AC60B86">
      <w:pPr>
        <w:pStyle w:val="9"/>
        <w:spacing w:before="11"/>
        <w:ind w:left="0"/>
        <w:jc w:val="left"/>
        <w:rPr>
          <w:rFonts w:hint="eastAsia"/>
          <w:sz w:val="30"/>
          <w:szCs w:val="30"/>
        </w:rPr>
      </w:pPr>
    </w:p>
    <w:p w14:paraId="0975993F">
      <w:pPr>
        <w:pStyle w:val="9"/>
        <w:spacing w:before="11"/>
        <w:ind w:left="0"/>
        <w:jc w:val="left"/>
        <w:rPr>
          <w:rFonts w:hint="eastAsia"/>
          <w:sz w:val="30"/>
          <w:szCs w:val="30"/>
        </w:rPr>
      </w:pPr>
      <w:r>
        <w:rPr>
          <w:rFonts w:hint="eastAsia"/>
          <w:sz w:val="30"/>
          <w:szCs w:val="30"/>
        </w:rPr>
        <w:t>For example, Joel tells us that in the days of the Kingdom a spring will flow out from the house of the Lord (3:18).</w:t>
      </w:r>
    </w:p>
    <w:p w14:paraId="066F44D6">
      <w:pPr>
        <w:pStyle w:val="9"/>
        <w:spacing w:before="11"/>
        <w:ind w:left="0"/>
        <w:jc w:val="left"/>
        <w:rPr>
          <w:rFonts w:hint="eastAsia"/>
          <w:sz w:val="30"/>
          <w:szCs w:val="30"/>
        </w:rPr>
      </w:pPr>
      <w:r>
        <w:rPr>
          <w:rFonts w:hint="eastAsia"/>
          <w:sz w:val="30"/>
          <w:szCs w:val="30"/>
        </w:rPr>
        <w:t>例如，约珥告诉我们，在国度的日子里，必有泉源从耶和华的殿中流出（3:18）。</w:t>
      </w:r>
    </w:p>
    <w:p w14:paraId="3BC75369">
      <w:pPr>
        <w:pStyle w:val="9"/>
        <w:spacing w:before="11"/>
        <w:ind w:left="0"/>
        <w:jc w:val="left"/>
        <w:rPr>
          <w:rFonts w:hint="eastAsia"/>
          <w:sz w:val="30"/>
          <w:szCs w:val="30"/>
        </w:rPr>
      </w:pPr>
    </w:p>
    <w:p w14:paraId="693D2EDE">
      <w:pPr>
        <w:pStyle w:val="9"/>
        <w:spacing w:before="11"/>
        <w:ind w:left="0"/>
        <w:jc w:val="left"/>
        <w:rPr>
          <w:rFonts w:hint="eastAsia"/>
          <w:sz w:val="30"/>
          <w:szCs w:val="30"/>
        </w:rPr>
      </w:pPr>
      <w:r>
        <w:rPr>
          <w:rFonts w:hint="eastAsia"/>
          <w:sz w:val="30"/>
          <w:szCs w:val="30"/>
        </w:rPr>
        <w:t>Ezekiel agrees, adding, mysteriously enough, that it begins as a mere trickle, but somehow turns into a mighty river that heals the Dead Sea and brings life to everything it touches (47:1- 12)!</w:t>
      </w:r>
    </w:p>
    <w:p w14:paraId="3D9D441E">
      <w:pPr>
        <w:pStyle w:val="9"/>
        <w:spacing w:before="11"/>
        <w:ind w:left="0"/>
        <w:jc w:val="left"/>
        <w:rPr>
          <w:rFonts w:hint="eastAsia"/>
          <w:sz w:val="30"/>
          <w:szCs w:val="30"/>
        </w:rPr>
      </w:pPr>
      <w:r>
        <w:rPr>
          <w:rFonts w:hint="eastAsia"/>
          <w:sz w:val="30"/>
          <w:szCs w:val="30"/>
        </w:rPr>
        <w:t>以西结同意，并神秘地补充说，它起初只是一股涓涓细流，但不知何故变成了一条大河，医治了死海，并给它所触及的一切带来生命（47:1-12）！</w:t>
      </w:r>
    </w:p>
    <w:p w14:paraId="727B8DA3">
      <w:pPr>
        <w:pStyle w:val="9"/>
        <w:spacing w:before="11"/>
        <w:ind w:left="0"/>
        <w:jc w:val="left"/>
        <w:rPr>
          <w:rFonts w:hint="eastAsia"/>
          <w:sz w:val="30"/>
          <w:szCs w:val="30"/>
        </w:rPr>
      </w:pPr>
    </w:p>
    <w:p w14:paraId="0E2CF66A">
      <w:pPr>
        <w:pStyle w:val="9"/>
        <w:spacing w:before="11"/>
        <w:ind w:left="0"/>
        <w:jc w:val="left"/>
        <w:rPr>
          <w:rFonts w:hint="eastAsia"/>
          <w:sz w:val="30"/>
          <w:szCs w:val="30"/>
        </w:rPr>
      </w:pPr>
      <w:r>
        <w:rPr>
          <w:rFonts w:hint="eastAsia"/>
          <w:sz w:val="30"/>
          <w:szCs w:val="30"/>
        </w:rPr>
        <w:t>Finally, Zechariah makes his own contribution, affirming that the torrent of living waters emanating from Jerusalem will heal the Western Sea, as well (Zech. 14:8).</w:t>
      </w:r>
    </w:p>
    <w:p w14:paraId="47BA39E3">
      <w:pPr>
        <w:pStyle w:val="9"/>
        <w:spacing w:before="11"/>
        <w:ind w:left="0"/>
        <w:jc w:val="left"/>
        <w:rPr>
          <w:rFonts w:hint="eastAsia"/>
          <w:sz w:val="30"/>
          <w:szCs w:val="30"/>
        </w:rPr>
      </w:pPr>
      <w:r>
        <w:rPr>
          <w:rFonts w:hint="eastAsia"/>
          <w:sz w:val="30"/>
          <w:szCs w:val="30"/>
        </w:rPr>
        <w:t>最后，撒迦利亚也作出了自己的贡献，确认从耶路撒冷涌出的活水洪流也将医治西海（撒迦利亚书 14:8）。</w:t>
      </w:r>
    </w:p>
    <w:p w14:paraId="15217609">
      <w:pPr>
        <w:pStyle w:val="9"/>
        <w:spacing w:before="11"/>
        <w:ind w:left="0"/>
        <w:jc w:val="left"/>
        <w:rPr>
          <w:rFonts w:hint="eastAsia"/>
          <w:sz w:val="30"/>
          <w:szCs w:val="30"/>
        </w:rPr>
      </w:pPr>
    </w:p>
    <w:p w14:paraId="0EEE3C87">
      <w:pPr>
        <w:pStyle w:val="9"/>
        <w:spacing w:before="11"/>
        <w:ind w:left="0"/>
        <w:jc w:val="left"/>
        <w:rPr>
          <w:rFonts w:hint="eastAsia"/>
          <w:sz w:val="30"/>
          <w:szCs w:val="30"/>
        </w:rPr>
      </w:pPr>
      <w:r>
        <w:rPr>
          <w:rFonts w:hint="eastAsia"/>
          <w:sz w:val="30"/>
          <w:szCs w:val="30"/>
        </w:rPr>
        <w:t>Do not these beautiful pictures call to mind the rivers of living water that Jesus spoke of; the healing streams of the Spirit that flow down to us from the crucified and risen One, now seated in the Jerusalem (and Eden) above (John 7:38-39, Acts 2:33, Gal. 4:26)?</w:t>
      </w:r>
    </w:p>
    <w:p w14:paraId="02325659">
      <w:pPr>
        <w:pStyle w:val="9"/>
        <w:spacing w:before="11"/>
        <w:ind w:left="0"/>
        <w:jc w:val="left"/>
        <w:rPr>
          <w:rFonts w:hint="eastAsia"/>
          <w:sz w:val="30"/>
          <w:szCs w:val="30"/>
        </w:rPr>
      </w:pPr>
      <w:r>
        <w:rPr>
          <w:rFonts w:hint="eastAsia"/>
          <w:sz w:val="30"/>
          <w:szCs w:val="30"/>
        </w:rPr>
        <w:t>这些美丽的图景难道不让我们想起耶稣所说的活水江河吗？那从被钉十字架并复活的那位，现今坐在天上耶路撒冷（和伊甸园）中流向我们的圣灵的医治之流（约翰福音 7:38-39, 使徒行传 2:33, 加拉太书 4:26）？</w:t>
      </w:r>
    </w:p>
    <w:p w14:paraId="75A7F2D2">
      <w:pPr>
        <w:pStyle w:val="9"/>
        <w:spacing w:before="11"/>
        <w:ind w:left="0"/>
        <w:jc w:val="left"/>
        <w:rPr>
          <w:rFonts w:hint="eastAsia"/>
          <w:sz w:val="30"/>
          <w:szCs w:val="30"/>
        </w:rPr>
      </w:pPr>
    </w:p>
    <w:p w14:paraId="203B5C91">
      <w:pPr>
        <w:pStyle w:val="9"/>
        <w:spacing w:before="11"/>
        <w:ind w:left="0"/>
        <w:jc w:val="left"/>
        <w:rPr>
          <w:rFonts w:hint="eastAsia"/>
          <w:sz w:val="30"/>
          <w:szCs w:val="30"/>
        </w:rPr>
      </w:pPr>
      <w:r>
        <w:rPr>
          <w:rFonts w:hint="eastAsia"/>
          <w:sz w:val="30"/>
          <w:szCs w:val="30"/>
        </w:rPr>
        <w:t>And is not such a spiritual interpretation far more plausible and edifying than the literal one?</w:t>
      </w:r>
    </w:p>
    <w:p w14:paraId="459CA12E">
      <w:pPr>
        <w:pStyle w:val="9"/>
        <w:spacing w:before="11"/>
        <w:ind w:left="0"/>
        <w:jc w:val="left"/>
        <w:rPr>
          <w:rFonts w:hint="eastAsia"/>
          <w:sz w:val="30"/>
          <w:szCs w:val="30"/>
        </w:rPr>
      </w:pPr>
      <w:r>
        <w:rPr>
          <w:rFonts w:hint="eastAsia"/>
          <w:sz w:val="30"/>
          <w:szCs w:val="30"/>
        </w:rPr>
        <w:t>这样的属灵解释难道不比字面的解释更合理、更有造就性吗？</w:t>
      </w:r>
    </w:p>
    <w:p w14:paraId="589A3FE9">
      <w:pPr>
        <w:pStyle w:val="9"/>
        <w:spacing w:before="11"/>
        <w:ind w:left="0"/>
        <w:jc w:val="left"/>
        <w:rPr>
          <w:rFonts w:hint="eastAsia"/>
          <w:sz w:val="30"/>
          <w:szCs w:val="30"/>
        </w:rPr>
      </w:pPr>
    </w:p>
    <w:p w14:paraId="2BAE28ED">
      <w:pPr>
        <w:pStyle w:val="9"/>
        <w:spacing w:before="11"/>
        <w:ind w:left="0"/>
        <w:jc w:val="left"/>
        <w:rPr>
          <w:rFonts w:hint="eastAsia"/>
          <w:sz w:val="30"/>
          <w:szCs w:val="30"/>
        </w:rPr>
      </w:pPr>
      <w:r>
        <w:rPr>
          <w:rFonts w:hint="eastAsia"/>
          <w:sz w:val="30"/>
          <w:szCs w:val="30"/>
        </w:rPr>
        <w:t>Another example concerns the eschatological temple.</w:t>
      </w:r>
    </w:p>
    <w:p w14:paraId="7D8F1C85">
      <w:pPr>
        <w:pStyle w:val="9"/>
        <w:spacing w:before="11"/>
        <w:ind w:left="0"/>
        <w:jc w:val="left"/>
        <w:rPr>
          <w:rFonts w:hint="eastAsia"/>
          <w:sz w:val="30"/>
          <w:szCs w:val="30"/>
        </w:rPr>
      </w:pPr>
      <w:r>
        <w:rPr>
          <w:rFonts w:hint="eastAsia"/>
          <w:sz w:val="30"/>
          <w:szCs w:val="30"/>
        </w:rPr>
        <w:t>另一个例子是关于末世的圣殿。</w:t>
      </w:r>
    </w:p>
    <w:p w14:paraId="3CE9D05F">
      <w:pPr>
        <w:pStyle w:val="9"/>
        <w:spacing w:before="11"/>
        <w:ind w:left="0"/>
        <w:jc w:val="left"/>
        <w:rPr>
          <w:rFonts w:hint="eastAsia"/>
          <w:sz w:val="30"/>
          <w:szCs w:val="30"/>
        </w:rPr>
      </w:pPr>
    </w:p>
    <w:p w14:paraId="5EEA5072">
      <w:pPr>
        <w:pStyle w:val="9"/>
        <w:spacing w:before="11"/>
        <w:ind w:left="0"/>
        <w:jc w:val="left"/>
        <w:rPr>
          <w:rFonts w:hint="eastAsia"/>
          <w:sz w:val="30"/>
          <w:szCs w:val="30"/>
        </w:rPr>
      </w:pPr>
      <w:r>
        <w:rPr>
          <w:rFonts w:hint="eastAsia"/>
          <w:sz w:val="30"/>
          <w:szCs w:val="30"/>
        </w:rPr>
        <w:t>Next to Ezekiel, no prophet speaks of it more extensively than Isaiah.</w:t>
      </w:r>
    </w:p>
    <w:p w14:paraId="378D8615">
      <w:pPr>
        <w:pStyle w:val="9"/>
        <w:spacing w:before="11"/>
        <w:ind w:left="0"/>
        <w:jc w:val="left"/>
        <w:rPr>
          <w:rFonts w:hint="eastAsia"/>
          <w:sz w:val="30"/>
          <w:szCs w:val="30"/>
        </w:rPr>
      </w:pPr>
      <w:r>
        <w:rPr>
          <w:rFonts w:hint="eastAsia"/>
          <w:sz w:val="30"/>
          <w:szCs w:val="30"/>
        </w:rPr>
        <w:t>除了以西结，没有哪位先知比以赛亚更广泛地论及它。</w:t>
      </w:r>
    </w:p>
    <w:p w14:paraId="6615B201">
      <w:pPr>
        <w:pStyle w:val="9"/>
        <w:spacing w:before="11"/>
        <w:ind w:left="0"/>
        <w:jc w:val="left"/>
        <w:rPr>
          <w:rFonts w:hint="eastAsia"/>
          <w:sz w:val="30"/>
          <w:szCs w:val="30"/>
        </w:rPr>
      </w:pPr>
    </w:p>
    <w:p w14:paraId="65E22E5C">
      <w:pPr>
        <w:pStyle w:val="9"/>
        <w:spacing w:before="11"/>
        <w:ind w:left="0"/>
        <w:jc w:val="left"/>
        <w:rPr>
          <w:rFonts w:hint="eastAsia"/>
          <w:sz w:val="30"/>
          <w:szCs w:val="30"/>
        </w:rPr>
      </w:pPr>
      <w:r>
        <w:rPr>
          <w:rFonts w:hint="eastAsia"/>
          <w:sz w:val="30"/>
          <w:szCs w:val="30"/>
        </w:rPr>
        <w:t>Yet as he reached the end of his course, he received this startling word for God’s people:</w:t>
      </w:r>
    </w:p>
    <w:p w14:paraId="57CE2D7D">
      <w:pPr>
        <w:pStyle w:val="9"/>
        <w:spacing w:before="11"/>
        <w:ind w:left="0"/>
        <w:jc w:val="left"/>
        <w:rPr>
          <w:rFonts w:hint="eastAsia"/>
          <w:sz w:val="30"/>
          <w:szCs w:val="30"/>
        </w:rPr>
      </w:pPr>
      <w:r>
        <w:rPr>
          <w:rFonts w:hint="eastAsia"/>
          <w:sz w:val="30"/>
          <w:szCs w:val="30"/>
        </w:rPr>
        <w:t>然而，当他即将走完他的历程时，他为上帝的子民领受了这句令人震惊的话语：</w:t>
      </w:r>
    </w:p>
    <w:p w14:paraId="61D9D749">
      <w:pPr>
        <w:pStyle w:val="9"/>
        <w:spacing w:before="11"/>
        <w:ind w:left="0"/>
        <w:jc w:val="left"/>
        <w:rPr>
          <w:rFonts w:hint="eastAsia"/>
          <w:sz w:val="30"/>
          <w:szCs w:val="30"/>
        </w:rPr>
      </w:pPr>
    </w:p>
    <w:p w14:paraId="32CD9139">
      <w:pPr>
        <w:pStyle w:val="9"/>
        <w:spacing w:before="11"/>
        <w:ind w:left="0"/>
        <w:jc w:val="left"/>
        <w:rPr>
          <w:rFonts w:hint="eastAsia"/>
          <w:sz w:val="30"/>
          <w:szCs w:val="30"/>
        </w:rPr>
      </w:pPr>
      <w:r>
        <w:rPr>
          <w:rFonts w:hint="eastAsia"/>
          <w:sz w:val="30"/>
          <w:szCs w:val="30"/>
        </w:rPr>
        <w:t>Thus says the LORD, “Heaven is My throne, and the earth is My footstool.</w:t>
      </w:r>
    </w:p>
    <w:p w14:paraId="5D9E896A">
      <w:pPr>
        <w:pStyle w:val="9"/>
        <w:spacing w:before="11"/>
        <w:ind w:left="0"/>
        <w:jc w:val="left"/>
        <w:rPr>
          <w:rFonts w:hint="eastAsia"/>
          <w:sz w:val="30"/>
          <w:szCs w:val="30"/>
        </w:rPr>
      </w:pPr>
      <w:r>
        <w:rPr>
          <w:rFonts w:hint="eastAsia"/>
          <w:sz w:val="30"/>
          <w:szCs w:val="30"/>
        </w:rPr>
        <w:t>耶和华如此说：“天是我的座位，地是我的脚凳。</w:t>
      </w:r>
    </w:p>
    <w:p w14:paraId="644A07E3">
      <w:pPr>
        <w:pStyle w:val="9"/>
        <w:spacing w:before="11"/>
        <w:ind w:left="0"/>
        <w:jc w:val="left"/>
        <w:rPr>
          <w:rFonts w:hint="eastAsia"/>
          <w:sz w:val="30"/>
          <w:szCs w:val="30"/>
        </w:rPr>
      </w:pPr>
    </w:p>
    <w:p w14:paraId="49850FA4">
      <w:pPr>
        <w:pStyle w:val="9"/>
        <w:spacing w:before="11"/>
        <w:ind w:left="0"/>
        <w:jc w:val="left"/>
        <w:rPr>
          <w:rFonts w:hint="eastAsia"/>
          <w:sz w:val="30"/>
          <w:szCs w:val="30"/>
        </w:rPr>
      </w:pPr>
      <w:r>
        <w:rPr>
          <w:rFonts w:hint="eastAsia"/>
          <w:sz w:val="30"/>
          <w:szCs w:val="30"/>
        </w:rPr>
        <w:t>Where then is a house you could build for Me?</w:t>
      </w:r>
    </w:p>
    <w:p w14:paraId="6384AB4D">
      <w:pPr>
        <w:pStyle w:val="9"/>
        <w:spacing w:before="11"/>
        <w:ind w:left="0"/>
        <w:jc w:val="left"/>
        <w:rPr>
          <w:rFonts w:hint="eastAsia"/>
          <w:sz w:val="30"/>
          <w:szCs w:val="30"/>
        </w:rPr>
      </w:pPr>
      <w:r>
        <w:rPr>
          <w:rFonts w:hint="eastAsia"/>
          <w:sz w:val="30"/>
          <w:szCs w:val="30"/>
        </w:rPr>
        <w:t>你们要为我造何等的殿宇呢？</w:t>
      </w:r>
    </w:p>
    <w:p w14:paraId="254621F1">
      <w:pPr>
        <w:pStyle w:val="9"/>
        <w:spacing w:before="11"/>
        <w:ind w:left="0"/>
        <w:jc w:val="left"/>
        <w:rPr>
          <w:rFonts w:hint="eastAsia"/>
          <w:sz w:val="30"/>
          <w:szCs w:val="30"/>
        </w:rPr>
      </w:pPr>
    </w:p>
    <w:p w14:paraId="5557B32C">
      <w:pPr>
        <w:pStyle w:val="9"/>
        <w:spacing w:before="11"/>
        <w:ind w:left="0"/>
        <w:jc w:val="left"/>
        <w:rPr>
          <w:rFonts w:hint="eastAsia"/>
          <w:sz w:val="30"/>
          <w:szCs w:val="30"/>
        </w:rPr>
      </w:pPr>
      <w:r>
        <w:rPr>
          <w:rFonts w:hint="eastAsia"/>
          <w:sz w:val="30"/>
          <w:szCs w:val="30"/>
        </w:rPr>
        <w:t>And where is a place that I may rest?</w:t>
      </w:r>
    </w:p>
    <w:p w14:paraId="0A55CEF5">
      <w:pPr>
        <w:pStyle w:val="9"/>
        <w:spacing w:before="11"/>
        <w:ind w:left="0"/>
        <w:jc w:val="left"/>
        <w:rPr>
          <w:rFonts w:hint="eastAsia"/>
          <w:sz w:val="30"/>
          <w:szCs w:val="30"/>
        </w:rPr>
      </w:pPr>
      <w:r>
        <w:rPr>
          <w:rFonts w:hint="eastAsia"/>
          <w:sz w:val="30"/>
          <w:szCs w:val="30"/>
        </w:rPr>
        <w:t>哪里是我安息的地方呢？</w:t>
      </w:r>
    </w:p>
    <w:p w14:paraId="34389AFC">
      <w:pPr>
        <w:pStyle w:val="9"/>
        <w:spacing w:before="11"/>
        <w:ind w:left="0"/>
        <w:jc w:val="left"/>
        <w:rPr>
          <w:rFonts w:hint="eastAsia"/>
          <w:sz w:val="30"/>
          <w:szCs w:val="30"/>
        </w:rPr>
      </w:pPr>
    </w:p>
    <w:p w14:paraId="43C90487">
      <w:pPr>
        <w:pStyle w:val="9"/>
        <w:spacing w:before="11"/>
        <w:ind w:left="0"/>
        <w:jc w:val="left"/>
        <w:rPr>
          <w:rFonts w:hint="eastAsia"/>
          <w:sz w:val="30"/>
          <w:szCs w:val="30"/>
        </w:rPr>
      </w:pPr>
      <w:r>
        <w:rPr>
          <w:rFonts w:hint="eastAsia"/>
          <w:sz w:val="30"/>
          <w:szCs w:val="30"/>
        </w:rPr>
        <w:t>For my hand made all these things, and thus all these things came to be.</w:t>
      </w:r>
    </w:p>
    <w:p w14:paraId="65D5E99E">
      <w:pPr>
        <w:pStyle w:val="9"/>
        <w:spacing w:before="11"/>
        <w:ind w:left="0"/>
        <w:jc w:val="left"/>
        <w:rPr>
          <w:rFonts w:hint="eastAsia"/>
          <w:sz w:val="30"/>
          <w:szCs w:val="30"/>
        </w:rPr>
      </w:pPr>
      <w:r>
        <w:rPr>
          <w:rFonts w:hint="eastAsia"/>
          <w:sz w:val="30"/>
          <w:szCs w:val="30"/>
        </w:rPr>
        <w:t>我手所造的这一切都存在了。</w:t>
      </w:r>
    </w:p>
    <w:p w14:paraId="2C3D8A03">
      <w:pPr>
        <w:pStyle w:val="9"/>
        <w:spacing w:before="11"/>
        <w:ind w:left="0"/>
        <w:jc w:val="left"/>
        <w:rPr>
          <w:rFonts w:hint="eastAsia"/>
          <w:sz w:val="30"/>
          <w:szCs w:val="30"/>
        </w:rPr>
      </w:pPr>
    </w:p>
    <w:p w14:paraId="3CEA4005">
      <w:pPr>
        <w:pStyle w:val="9"/>
        <w:spacing w:before="11"/>
        <w:ind w:left="0"/>
        <w:jc w:val="left"/>
        <w:rPr>
          <w:rFonts w:hint="eastAsia"/>
          <w:sz w:val="30"/>
          <w:szCs w:val="30"/>
        </w:rPr>
      </w:pPr>
      <w:r>
        <w:rPr>
          <w:rFonts w:hint="eastAsia"/>
          <w:sz w:val="30"/>
          <w:szCs w:val="30"/>
        </w:rPr>
        <w:t>But to this one I will look: to him who is humble and contrite of spirit, and who trembles at my word.”</w:t>
      </w:r>
    </w:p>
    <w:p w14:paraId="5343E3F5">
      <w:pPr>
        <w:pStyle w:val="9"/>
        <w:spacing w:before="11"/>
        <w:ind w:left="0"/>
        <w:jc w:val="left"/>
        <w:rPr>
          <w:rFonts w:hint="eastAsia"/>
          <w:sz w:val="30"/>
          <w:szCs w:val="30"/>
        </w:rPr>
      </w:pPr>
      <w:r>
        <w:rPr>
          <w:rFonts w:hint="eastAsia"/>
          <w:sz w:val="30"/>
          <w:szCs w:val="30"/>
        </w:rPr>
        <w:t>但我所看顾的，就是虚心痛悔、因我话而战兢的人。”</w:t>
      </w:r>
    </w:p>
    <w:p w14:paraId="3114AED7">
      <w:pPr>
        <w:pStyle w:val="9"/>
        <w:spacing w:before="11"/>
        <w:ind w:left="0"/>
        <w:jc w:val="left"/>
        <w:rPr>
          <w:rFonts w:hint="eastAsia"/>
          <w:sz w:val="30"/>
          <w:szCs w:val="30"/>
        </w:rPr>
      </w:pPr>
    </w:p>
    <w:p w14:paraId="5FA7D2AE">
      <w:pPr>
        <w:pStyle w:val="9"/>
        <w:spacing w:before="11"/>
        <w:ind w:left="0"/>
        <w:jc w:val="left"/>
        <w:rPr>
          <w:rFonts w:hint="eastAsia"/>
          <w:sz w:val="30"/>
          <w:szCs w:val="30"/>
        </w:rPr>
      </w:pPr>
      <w:r>
        <w:rPr>
          <w:rFonts w:hint="eastAsia"/>
          <w:sz w:val="30"/>
          <w:szCs w:val="30"/>
        </w:rPr>
        <w:t>—Isaiah 66:1-2</w:t>
      </w:r>
    </w:p>
    <w:p w14:paraId="0F600A12">
      <w:pPr>
        <w:pStyle w:val="9"/>
        <w:spacing w:before="11"/>
        <w:ind w:left="0"/>
        <w:jc w:val="left"/>
        <w:rPr>
          <w:rFonts w:hint="eastAsia"/>
          <w:sz w:val="30"/>
          <w:szCs w:val="30"/>
        </w:rPr>
      </w:pPr>
      <w:r>
        <w:rPr>
          <w:rFonts w:hint="eastAsia"/>
          <w:sz w:val="30"/>
          <w:szCs w:val="30"/>
        </w:rPr>
        <w:t>——以赛亚书 66:1-2</w:t>
      </w:r>
    </w:p>
    <w:p w14:paraId="3542C235">
      <w:pPr>
        <w:pStyle w:val="9"/>
        <w:spacing w:before="11"/>
        <w:ind w:left="0"/>
        <w:jc w:val="left"/>
        <w:rPr>
          <w:rFonts w:hint="eastAsia"/>
          <w:sz w:val="30"/>
          <w:szCs w:val="30"/>
        </w:rPr>
      </w:pPr>
    </w:p>
    <w:p w14:paraId="71288071">
      <w:pPr>
        <w:pStyle w:val="9"/>
        <w:spacing w:before="11"/>
        <w:ind w:left="0"/>
        <w:jc w:val="left"/>
        <w:rPr>
          <w:rFonts w:hint="eastAsia"/>
          <w:sz w:val="30"/>
          <w:szCs w:val="30"/>
        </w:rPr>
      </w:pPr>
      <w:r>
        <w:rPr>
          <w:rFonts w:hint="eastAsia"/>
          <w:sz w:val="30"/>
          <w:szCs w:val="30"/>
        </w:rPr>
        <w:t>The LORD’s rhetorical questions speak volumes.</w:t>
      </w:r>
    </w:p>
    <w:p w14:paraId="0208E72C">
      <w:pPr>
        <w:pStyle w:val="9"/>
        <w:spacing w:before="11"/>
        <w:ind w:left="0"/>
        <w:jc w:val="left"/>
        <w:rPr>
          <w:rFonts w:hint="eastAsia"/>
          <w:sz w:val="30"/>
          <w:szCs w:val="30"/>
        </w:rPr>
      </w:pPr>
      <w:r>
        <w:rPr>
          <w:rFonts w:hint="eastAsia"/>
          <w:sz w:val="30"/>
          <w:szCs w:val="30"/>
        </w:rPr>
        <w:t>耶和华的反问意味深长。</w:t>
      </w:r>
    </w:p>
    <w:p w14:paraId="1F705406">
      <w:pPr>
        <w:pStyle w:val="9"/>
        <w:spacing w:before="11"/>
        <w:ind w:left="0"/>
        <w:jc w:val="left"/>
        <w:rPr>
          <w:rFonts w:hint="eastAsia"/>
          <w:sz w:val="30"/>
          <w:szCs w:val="30"/>
        </w:rPr>
      </w:pPr>
    </w:p>
    <w:p w14:paraId="3B16965F">
      <w:pPr>
        <w:pStyle w:val="9"/>
        <w:spacing w:before="11"/>
        <w:ind w:left="0"/>
        <w:jc w:val="left"/>
        <w:rPr>
          <w:rFonts w:hint="eastAsia"/>
          <w:sz w:val="30"/>
          <w:szCs w:val="30"/>
        </w:rPr>
      </w:pPr>
      <w:r>
        <w:rPr>
          <w:rFonts w:hint="eastAsia"/>
          <w:sz w:val="30"/>
          <w:szCs w:val="30"/>
        </w:rPr>
        <w:t>Seeing that the Creator is infinitely vaster than his creation, how could a mere man-made temple ever house him?</w:t>
      </w:r>
    </w:p>
    <w:p w14:paraId="3158E95C">
      <w:pPr>
        <w:pStyle w:val="9"/>
        <w:spacing w:before="11"/>
        <w:ind w:left="0"/>
        <w:jc w:val="left"/>
        <w:rPr>
          <w:rFonts w:hint="eastAsia"/>
          <w:sz w:val="30"/>
          <w:szCs w:val="30"/>
        </w:rPr>
      </w:pPr>
      <w:r>
        <w:rPr>
          <w:rFonts w:hint="eastAsia"/>
          <w:sz w:val="30"/>
          <w:szCs w:val="30"/>
        </w:rPr>
        <w:t>既然创造主比祂的创造物要无限广阔，一个区区人手所造的殿宇又怎能容纳祂呢？</w:t>
      </w:r>
    </w:p>
    <w:p w14:paraId="09BFB368">
      <w:pPr>
        <w:pStyle w:val="9"/>
        <w:spacing w:before="11"/>
        <w:ind w:left="0"/>
        <w:jc w:val="left"/>
        <w:rPr>
          <w:rFonts w:hint="eastAsia"/>
          <w:sz w:val="30"/>
          <w:szCs w:val="30"/>
        </w:rPr>
      </w:pPr>
    </w:p>
    <w:p w14:paraId="28F6991C">
      <w:pPr>
        <w:pStyle w:val="9"/>
        <w:spacing w:before="11"/>
        <w:ind w:left="0"/>
        <w:jc w:val="left"/>
        <w:rPr>
          <w:rFonts w:hint="eastAsia"/>
          <w:sz w:val="30"/>
          <w:szCs w:val="30"/>
        </w:rPr>
      </w:pPr>
      <w:r>
        <w:rPr>
          <w:rFonts w:hint="eastAsia"/>
          <w:sz w:val="30"/>
          <w:szCs w:val="30"/>
        </w:rPr>
        <w:t>Moreover, as he said to David, so he (obliquely) says to Isaiah: It is not man who will build him a house, but he himself who will build his own house, and will do so in the hearts of all who are humble and contrite in spirit; of all who tremble at his word of salvation in the Gospel (2 Sam. 7:11, Acts 2:37, 16:30, Eph. 2:22).</w:t>
      </w:r>
    </w:p>
    <w:p w14:paraId="462BD357">
      <w:pPr>
        <w:pStyle w:val="9"/>
        <w:spacing w:before="11"/>
        <w:ind w:left="0"/>
        <w:jc w:val="left"/>
        <w:rPr>
          <w:rFonts w:hint="eastAsia"/>
          <w:sz w:val="30"/>
          <w:szCs w:val="30"/>
        </w:rPr>
      </w:pPr>
      <w:r>
        <w:rPr>
          <w:rFonts w:hint="eastAsia"/>
          <w:sz w:val="30"/>
          <w:szCs w:val="30"/>
        </w:rPr>
        <w:t>此外，正如祂对大卫所说，祂也（间接地）对以赛亚说：不是人要为祂建造殿宇，而是祂自己要建造自己的殿宇，并要在所有虚心痛悔的人心中这样做；在所有因祂在福音中救恩的话语而战兢的人心中这样做（撒母耳记下 7:11, 使徒行传 2:37, 16:30, 以弗所书 2:22）。</w:t>
      </w:r>
    </w:p>
    <w:p w14:paraId="18EF3BC2">
      <w:pPr>
        <w:pStyle w:val="9"/>
        <w:spacing w:before="11"/>
        <w:ind w:left="0"/>
        <w:jc w:val="left"/>
        <w:rPr>
          <w:rFonts w:hint="eastAsia"/>
          <w:sz w:val="30"/>
          <w:szCs w:val="30"/>
        </w:rPr>
      </w:pPr>
    </w:p>
    <w:p w14:paraId="27E47773">
      <w:pPr>
        <w:pStyle w:val="9"/>
        <w:spacing w:before="11"/>
        <w:ind w:left="0"/>
        <w:jc w:val="left"/>
        <w:rPr>
          <w:rFonts w:hint="eastAsia"/>
          <w:sz w:val="30"/>
          <w:szCs w:val="30"/>
        </w:rPr>
      </w:pPr>
      <w:r>
        <w:rPr>
          <w:rFonts w:hint="eastAsia"/>
          <w:sz w:val="30"/>
          <w:szCs w:val="30"/>
        </w:rPr>
        <w:t>These are the ones he will bring to his Holy Mountain (Heb. 12:22); who will rejoice as living stones in his House of Prayer (Isaiah 56:7, 1 Peter 2:5); who are holy vessels in the House of the LORD (Zech. 14:20-21); who are the Temple around which he will encamp, lest at any time an oppressor should pass through again (Zech. 9:8).</w:t>
      </w:r>
    </w:p>
    <w:p w14:paraId="0C4B430D">
      <w:pPr>
        <w:pStyle w:val="9"/>
        <w:spacing w:before="11"/>
        <w:ind w:left="0"/>
        <w:jc w:val="left"/>
        <w:rPr>
          <w:rFonts w:hint="eastAsia"/>
          <w:sz w:val="30"/>
          <w:szCs w:val="30"/>
        </w:rPr>
      </w:pPr>
      <w:r>
        <w:rPr>
          <w:rFonts w:hint="eastAsia"/>
          <w:sz w:val="30"/>
          <w:szCs w:val="30"/>
        </w:rPr>
        <w:t>这些人是祂要带到祂的圣山上的（希伯来书 12:22）；他们将在祂祷告的殿中作为活石而欢喜（以赛亚书 56:7, 彼得前书 2:5）；他们是耶和华殿中的圣洁器皿（撒迦利亚书 14:20-21）；他们是祂要围绕安营的圣殿，免得有压迫者再从其中经过（撒迦利亚书 9:8）。</w:t>
      </w:r>
    </w:p>
    <w:p w14:paraId="22C03B0B">
      <w:pPr>
        <w:pStyle w:val="9"/>
        <w:spacing w:before="11"/>
        <w:ind w:left="0"/>
        <w:jc w:val="left"/>
        <w:rPr>
          <w:rFonts w:hint="eastAsia"/>
          <w:sz w:val="30"/>
          <w:szCs w:val="30"/>
        </w:rPr>
      </w:pPr>
    </w:p>
    <w:p w14:paraId="078CFCB6">
      <w:pPr>
        <w:pStyle w:val="9"/>
        <w:spacing w:before="11"/>
        <w:ind w:left="0"/>
        <w:jc w:val="left"/>
        <w:rPr>
          <w:rFonts w:hint="eastAsia"/>
          <w:sz w:val="30"/>
          <w:szCs w:val="30"/>
        </w:rPr>
      </w:pPr>
      <w:r>
        <w:rPr>
          <w:rFonts w:hint="eastAsia"/>
          <w:sz w:val="30"/>
          <w:szCs w:val="30"/>
        </w:rPr>
        <w:t>Finally, we have a number of biblical texts, found both in the corpus of OTKP and in the NT, to the effect that the Mosaic Covenant will not last forever, but instead will be supplanted by another covenant that fulfills it and renders it obsolete.</w:t>
      </w:r>
    </w:p>
    <w:p w14:paraId="2FBE6CA5">
      <w:pPr>
        <w:pStyle w:val="9"/>
        <w:spacing w:before="11"/>
        <w:ind w:left="0"/>
        <w:jc w:val="left"/>
        <w:rPr>
          <w:rFonts w:hint="eastAsia"/>
          <w:sz w:val="30"/>
          <w:szCs w:val="30"/>
        </w:rPr>
      </w:pPr>
      <w:r>
        <w:rPr>
          <w:rFonts w:hint="eastAsia"/>
          <w:sz w:val="30"/>
          <w:szCs w:val="30"/>
        </w:rPr>
        <w:t>最后，我们有一些圣经经文，无论是在旧约国度预言（OTKP）的文集中还是在新约中，都表明摩西之约不会永远持续，而是将被另一个约所取代，这个新约成全了旧约并使其过时。</w:t>
      </w:r>
    </w:p>
    <w:p w14:paraId="7CC14A27">
      <w:pPr>
        <w:pStyle w:val="9"/>
        <w:spacing w:before="11"/>
        <w:ind w:left="0"/>
        <w:jc w:val="left"/>
        <w:rPr>
          <w:rFonts w:hint="eastAsia"/>
          <w:sz w:val="30"/>
          <w:szCs w:val="30"/>
        </w:rPr>
      </w:pPr>
    </w:p>
    <w:p w14:paraId="39C2B798">
      <w:pPr>
        <w:pStyle w:val="9"/>
        <w:spacing w:before="11"/>
        <w:ind w:left="0"/>
        <w:jc w:val="left"/>
        <w:rPr>
          <w:rFonts w:hint="eastAsia"/>
          <w:sz w:val="30"/>
          <w:szCs w:val="30"/>
        </w:rPr>
      </w:pPr>
      <w:r>
        <w:rPr>
          <w:rFonts w:hint="eastAsia"/>
          <w:sz w:val="30"/>
          <w:szCs w:val="30"/>
        </w:rPr>
        <w:t>With respect to the OT testimony, Jer. 31:31-34 is decisive, as indeed the NT is faithful to point out (Heb. 8:8-12).</w:t>
      </w:r>
    </w:p>
    <w:p w14:paraId="750DA379">
      <w:pPr>
        <w:pStyle w:val="9"/>
        <w:spacing w:before="11"/>
        <w:ind w:left="0"/>
        <w:jc w:val="left"/>
        <w:rPr>
          <w:rFonts w:hint="eastAsia"/>
          <w:sz w:val="30"/>
          <w:szCs w:val="30"/>
        </w:rPr>
      </w:pPr>
      <w:r>
        <w:rPr>
          <w:rFonts w:hint="eastAsia"/>
          <w:sz w:val="30"/>
          <w:szCs w:val="30"/>
        </w:rPr>
        <w:t>关于旧约的见证，耶利米书 31:31-34 是决定性的，正如新约忠实地指出的那样（希伯来书 8:8-12）。</w:t>
      </w:r>
    </w:p>
    <w:p w14:paraId="3DE590A3">
      <w:pPr>
        <w:pStyle w:val="9"/>
        <w:spacing w:before="11"/>
        <w:ind w:left="0"/>
        <w:jc w:val="left"/>
        <w:rPr>
          <w:rFonts w:hint="eastAsia"/>
          <w:sz w:val="30"/>
          <w:szCs w:val="30"/>
        </w:rPr>
      </w:pPr>
    </w:p>
    <w:p w14:paraId="71182024">
      <w:pPr>
        <w:pStyle w:val="9"/>
        <w:spacing w:before="11"/>
        <w:ind w:left="0"/>
        <w:jc w:val="left"/>
        <w:rPr>
          <w:rFonts w:hint="eastAsia"/>
          <w:sz w:val="30"/>
          <w:szCs w:val="30"/>
        </w:rPr>
      </w:pPr>
      <w:r>
        <w:rPr>
          <w:rFonts w:hint="eastAsia"/>
          <w:sz w:val="30"/>
          <w:szCs w:val="30"/>
        </w:rPr>
        <w:t>In that text, Jeremiah explicitly states that the New Covenant—in a number of important ways—is unlike the old: God will write it on the heart, and not on clay tablets (v. 33); under it, all will know God, and not just some (v. 34); under it, God will put away sin once and for all, not periodically (v. 34).</w:t>
      </w:r>
    </w:p>
    <w:p w14:paraId="1C0DE695">
      <w:pPr>
        <w:pStyle w:val="9"/>
        <w:spacing w:before="11"/>
        <w:ind w:left="0"/>
        <w:jc w:val="left"/>
        <w:rPr>
          <w:rFonts w:hint="eastAsia"/>
          <w:sz w:val="30"/>
          <w:szCs w:val="30"/>
        </w:rPr>
      </w:pPr>
      <w:r>
        <w:rPr>
          <w:rFonts w:hint="eastAsia"/>
          <w:sz w:val="30"/>
          <w:szCs w:val="30"/>
        </w:rPr>
        <w:t>在那段经文中，耶利米明确指出，新约——在许多重要方面——与旧约不同：上帝要将它写在心上，而不是写在泥版上（33节）；在新约下，所有人都将认识上帝，而不仅仅是部分人（34节）；在新约下，上帝将一次性地除去罪，而不是周期性地除去（34节）。</w:t>
      </w:r>
    </w:p>
    <w:p w14:paraId="291A6F82">
      <w:pPr>
        <w:pStyle w:val="9"/>
        <w:spacing w:before="11"/>
        <w:ind w:left="0"/>
        <w:jc w:val="left"/>
        <w:rPr>
          <w:rFonts w:hint="eastAsia"/>
          <w:sz w:val="30"/>
          <w:szCs w:val="30"/>
        </w:rPr>
      </w:pPr>
    </w:p>
    <w:p w14:paraId="2AFC29C5">
      <w:pPr>
        <w:pStyle w:val="9"/>
        <w:spacing w:before="11"/>
        <w:ind w:left="0"/>
        <w:jc w:val="left"/>
        <w:rPr>
          <w:rFonts w:hint="eastAsia"/>
          <w:sz w:val="30"/>
          <w:szCs w:val="30"/>
        </w:rPr>
      </w:pPr>
      <w:r>
        <w:rPr>
          <w:rFonts w:hint="eastAsia"/>
          <w:sz w:val="30"/>
          <w:szCs w:val="30"/>
        </w:rPr>
        <w:t>In short, because this covenant will succeed in doing, once and for all, what the Law could not do, it is the covenant that will endure forever (Jer. 32:36- 44, 50:4-5).</w:t>
      </w:r>
    </w:p>
    <w:p w14:paraId="3A6088EA">
      <w:pPr>
        <w:pStyle w:val="9"/>
        <w:spacing w:before="11"/>
        <w:ind w:left="0"/>
        <w:jc w:val="left"/>
        <w:rPr>
          <w:rFonts w:hint="eastAsia"/>
          <w:sz w:val="30"/>
          <w:szCs w:val="30"/>
        </w:rPr>
      </w:pPr>
      <w:r>
        <w:rPr>
          <w:rFonts w:hint="eastAsia"/>
          <w:sz w:val="30"/>
          <w:szCs w:val="30"/>
        </w:rPr>
        <w:t>简而言之，因为这个约将一次性地成功做到律法所不能做的事，所以它才是将永远存留的约（耶利米书 32:36-44, 50:4-5）。</w:t>
      </w:r>
    </w:p>
    <w:p w14:paraId="11C19B7F">
      <w:pPr>
        <w:pStyle w:val="9"/>
        <w:spacing w:before="11"/>
        <w:ind w:left="0"/>
        <w:jc w:val="left"/>
        <w:rPr>
          <w:rFonts w:hint="eastAsia"/>
          <w:sz w:val="30"/>
          <w:szCs w:val="30"/>
        </w:rPr>
      </w:pPr>
    </w:p>
    <w:p w14:paraId="3663F54B">
      <w:pPr>
        <w:pStyle w:val="9"/>
        <w:spacing w:before="11"/>
        <w:ind w:left="0"/>
        <w:jc w:val="left"/>
        <w:rPr>
          <w:rFonts w:hint="eastAsia"/>
          <w:sz w:val="30"/>
          <w:szCs w:val="30"/>
        </w:rPr>
      </w:pPr>
      <w:r>
        <w:rPr>
          <w:rFonts w:hint="eastAsia"/>
          <w:sz w:val="30"/>
          <w:szCs w:val="30"/>
        </w:rPr>
        <w:t>Importantly, other OT texts allude to a New Covenant, as well.</w:t>
      </w:r>
    </w:p>
    <w:p w14:paraId="73699B33">
      <w:pPr>
        <w:pStyle w:val="9"/>
        <w:spacing w:before="11"/>
        <w:ind w:left="0"/>
        <w:jc w:val="left"/>
        <w:rPr>
          <w:rFonts w:hint="eastAsia"/>
          <w:sz w:val="30"/>
          <w:szCs w:val="30"/>
        </w:rPr>
      </w:pPr>
      <w:r>
        <w:rPr>
          <w:rFonts w:hint="eastAsia"/>
          <w:sz w:val="30"/>
          <w:szCs w:val="30"/>
        </w:rPr>
        <w:t>重要的是，其他旧约经文也提到了新约。</w:t>
      </w:r>
    </w:p>
    <w:p w14:paraId="7C275D14">
      <w:pPr>
        <w:pStyle w:val="9"/>
        <w:spacing w:before="11"/>
        <w:ind w:left="0"/>
        <w:jc w:val="left"/>
        <w:rPr>
          <w:rFonts w:hint="eastAsia"/>
          <w:sz w:val="30"/>
          <w:szCs w:val="30"/>
        </w:rPr>
      </w:pPr>
    </w:p>
    <w:p w14:paraId="46B032BB">
      <w:pPr>
        <w:pStyle w:val="9"/>
        <w:spacing w:before="11"/>
        <w:ind w:left="0"/>
        <w:jc w:val="left"/>
        <w:rPr>
          <w:rFonts w:hint="eastAsia"/>
          <w:sz w:val="30"/>
          <w:szCs w:val="30"/>
        </w:rPr>
      </w:pPr>
      <w:r>
        <w:rPr>
          <w:rFonts w:hint="eastAsia"/>
          <w:sz w:val="30"/>
          <w:szCs w:val="30"/>
        </w:rPr>
        <w:t>Isaiah says of the coming Servant of the LORD that God will give him as a covenant to the people, as a light to the nations (42:6, 49:5-13).</w:t>
      </w:r>
    </w:p>
    <w:p w14:paraId="0A3B26A7">
      <w:pPr>
        <w:pStyle w:val="9"/>
        <w:spacing w:before="11"/>
        <w:ind w:left="0"/>
        <w:jc w:val="left"/>
        <w:rPr>
          <w:rFonts w:hint="eastAsia"/>
          <w:sz w:val="30"/>
          <w:szCs w:val="30"/>
        </w:rPr>
      </w:pPr>
      <w:r>
        <w:rPr>
          <w:rFonts w:hint="eastAsia"/>
          <w:sz w:val="30"/>
          <w:szCs w:val="30"/>
        </w:rPr>
        <w:t>以赛亚论到将要来的耶和华的仆人时说，上帝要使祂作众民的约，作列国的光（42:6, 49:5-13）。</w:t>
      </w:r>
    </w:p>
    <w:p w14:paraId="7DC53F08">
      <w:pPr>
        <w:pStyle w:val="9"/>
        <w:spacing w:before="11"/>
        <w:ind w:left="0"/>
        <w:jc w:val="left"/>
        <w:rPr>
          <w:rFonts w:hint="eastAsia"/>
          <w:sz w:val="30"/>
          <w:szCs w:val="30"/>
        </w:rPr>
      </w:pPr>
    </w:p>
    <w:p w14:paraId="30D6476B">
      <w:pPr>
        <w:pStyle w:val="9"/>
        <w:spacing w:before="11"/>
        <w:ind w:left="0"/>
        <w:jc w:val="left"/>
        <w:rPr>
          <w:rFonts w:hint="eastAsia"/>
          <w:sz w:val="30"/>
          <w:szCs w:val="30"/>
        </w:rPr>
      </w:pPr>
      <w:r>
        <w:rPr>
          <w:rFonts w:hint="eastAsia"/>
          <w:sz w:val="30"/>
          <w:szCs w:val="30"/>
        </w:rPr>
        <w:t>Also, God invites those who hunger and thirst to come to him, so that he can make an everlasting covenant with them: It is as sure and eternal as the one he made with David; it is a covenant by which they can eat, drink, and be satisfied forever (55:1-5, 61:8).</w:t>
      </w:r>
    </w:p>
    <w:p w14:paraId="6E0D82E8">
      <w:pPr>
        <w:pStyle w:val="9"/>
        <w:spacing w:before="11"/>
        <w:ind w:left="0"/>
        <w:jc w:val="left"/>
        <w:rPr>
          <w:rFonts w:hint="eastAsia"/>
          <w:sz w:val="30"/>
          <w:szCs w:val="30"/>
        </w:rPr>
      </w:pPr>
      <w:r>
        <w:rPr>
          <w:rFonts w:hint="eastAsia"/>
          <w:sz w:val="30"/>
          <w:szCs w:val="30"/>
        </w:rPr>
        <w:t>此外，上帝邀请那些饥渴的人到祂这里来，以便祂可以与他们立一个永约：这个约像祂与大卫所立的约一样确实和永恒；这是一个他们可以借此吃、喝并永远满足的约（55:1-5, 61:8）。</w:t>
      </w:r>
    </w:p>
    <w:p w14:paraId="09E58AB4">
      <w:pPr>
        <w:pStyle w:val="9"/>
        <w:spacing w:before="11"/>
        <w:ind w:left="0"/>
        <w:jc w:val="left"/>
        <w:rPr>
          <w:rFonts w:hint="eastAsia"/>
          <w:sz w:val="30"/>
          <w:szCs w:val="30"/>
        </w:rPr>
      </w:pPr>
    </w:p>
    <w:p w14:paraId="2FA4B5F0">
      <w:pPr>
        <w:pStyle w:val="9"/>
        <w:spacing w:before="11"/>
        <w:ind w:left="0"/>
        <w:jc w:val="left"/>
        <w:rPr>
          <w:rFonts w:hint="eastAsia"/>
          <w:sz w:val="30"/>
          <w:szCs w:val="30"/>
        </w:rPr>
      </w:pPr>
      <w:r>
        <w:rPr>
          <w:rFonts w:hint="eastAsia"/>
          <w:sz w:val="30"/>
          <w:szCs w:val="30"/>
        </w:rPr>
        <w:t>Ezekiel follows suit, predicting that when God remembers his Old Covenant with wayward Israel, he will graciously draw them back again into an everlasting covenant (Ezek. 16:60).</w:t>
      </w:r>
    </w:p>
    <w:p w14:paraId="0B2A4B9F">
      <w:pPr>
        <w:pStyle w:val="9"/>
        <w:spacing w:before="11"/>
        <w:ind w:left="0"/>
        <w:jc w:val="left"/>
        <w:rPr>
          <w:rFonts w:hint="eastAsia"/>
          <w:sz w:val="30"/>
          <w:szCs w:val="30"/>
        </w:rPr>
      </w:pPr>
      <w:r>
        <w:rPr>
          <w:rFonts w:hint="eastAsia"/>
          <w:sz w:val="30"/>
          <w:szCs w:val="30"/>
        </w:rPr>
        <w:t>以西结紧随其后，预言当上帝记念祂与悖逆的以色列所立的旧约时，祂将恩慈地将他们再次引回到一个永约中（以西结书 16:60）。</w:t>
      </w:r>
    </w:p>
    <w:p w14:paraId="681DA71C">
      <w:pPr>
        <w:pStyle w:val="9"/>
        <w:spacing w:before="11"/>
        <w:ind w:left="0"/>
        <w:jc w:val="left"/>
        <w:rPr>
          <w:rFonts w:hint="eastAsia"/>
          <w:sz w:val="30"/>
          <w:szCs w:val="30"/>
        </w:rPr>
      </w:pPr>
    </w:p>
    <w:p w14:paraId="1536F3CA">
      <w:pPr>
        <w:pStyle w:val="9"/>
        <w:spacing w:before="11"/>
        <w:ind w:left="0"/>
        <w:jc w:val="left"/>
        <w:rPr>
          <w:rFonts w:hint="eastAsia"/>
          <w:sz w:val="30"/>
          <w:szCs w:val="30"/>
        </w:rPr>
      </w:pPr>
      <w:r>
        <w:rPr>
          <w:rFonts w:hint="eastAsia"/>
          <w:sz w:val="30"/>
          <w:szCs w:val="30"/>
        </w:rPr>
        <w:t>Elsewhere, he elaborates, declaring that God—with a mighty hand, an outstretched arm, and wrath poured out—will bring his people out of the nations where he scattered them, cause them to pass under the rod, and bring them into the bond of the covenant, with the result that God will reign as King over them in their eternal homeland (Ezek. 20:33-44).</w:t>
      </w:r>
    </w:p>
    <w:p w14:paraId="457EACF7">
      <w:pPr>
        <w:pStyle w:val="9"/>
        <w:spacing w:before="11"/>
        <w:ind w:left="0"/>
        <w:jc w:val="left"/>
        <w:rPr>
          <w:rFonts w:hint="eastAsia"/>
          <w:sz w:val="30"/>
          <w:szCs w:val="30"/>
        </w:rPr>
      </w:pPr>
      <w:r>
        <w:rPr>
          <w:rFonts w:hint="eastAsia"/>
          <w:sz w:val="30"/>
          <w:szCs w:val="30"/>
        </w:rPr>
        <w:t>在别处，他详细阐述，宣告上帝——用大能的手、伸出来的膀臂和倾倒的忿怒——将把祂的子民从祂分散他们去的列国中领出来，使他们从杖下经过，并领他们进入约的约束中，结果是上帝将在他们永恒的家园中作王统治他们（以西结书 20:33-44）。</w:t>
      </w:r>
    </w:p>
    <w:p w14:paraId="3F224000">
      <w:pPr>
        <w:pStyle w:val="9"/>
        <w:spacing w:before="11"/>
        <w:ind w:left="0"/>
        <w:jc w:val="left"/>
        <w:rPr>
          <w:rFonts w:hint="eastAsia"/>
          <w:sz w:val="30"/>
          <w:szCs w:val="30"/>
        </w:rPr>
      </w:pPr>
    </w:p>
    <w:p w14:paraId="7FE89043">
      <w:pPr>
        <w:pStyle w:val="9"/>
        <w:spacing w:before="11"/>
        <w:ind w:left="0"/>
        <w:jc w:val="left"/>
        <w:rPr>
          <w:rFonts w:hint="eastAsia"/>
          <w:sz w:val="30"/>
          <w:szCs w:val="30"/>
        </w:rPr>
      </w:pPr>
      <w:r>
        <w:rPr>
          <w:rFonts w:hint="eastAsia"/>
          <w:sz w:val="30"/>
          <w:szCs w:val="30"/>
        </w:rPr>
        <w:t>What a picture of the Christian’s redemption!</w:t>
      </w:r>
    </w:p>
    <w:p w14:paraId="0AA9AB2C">
      <w:pPr>
        <w:pStyle w:val="9"/>
        <w:spacing w:before="11"/>
        <w:ind w:left="0"/>
        <w:jc w:val="left"/>
        <w:rPr>
          <w:rFonts w:hint="eastAsia"/>
          <w:sz w:val="30"/>
          <w:szCs w:val="30"/>
        </w:rPr>
      </w:pPr>
      <w:r>
        <w:rPr>
          <w:rFonts w:hint="eastAsia"/>
          <w:sz w:val="30"/>
          <w:szCs w:val="30"/>
        </w:rPr>
        <w:t>这真是基督徒救赎的一幅图景！</w:t>
      </w:r>
    </w:p>
    <w:p w14:paraId="0A54A054">
      <w:pPr>
        <w:pStyle w:val="9"/>
        <w:spacing w:before="11"/>
        <w:ind w:left="0"/>
        <w:jc w:val="left"/>
        <w:rPr>
          <w:rFonts w:hint="eastAsia"/>
          <w:sz w:val="30"/>
          <w:szCs w:val="30"/>
        </w:rPr>
      </w:pPr>
    </w:p>
    <w:p w14:paraId="062030A3">
      <w:pPr>
        <w:pStyle w:val="9"/>
        <w:spacing w:before="11"/>
        <w:ind w:left="0"/>
        <w:jc w:val="left"/>
        <w:rPr>
          <w:rFonts w:hint="eastAsia"/>
          <w:sz w:val="30"/>
          <w:szCs w:val="30"/>
        </w:rPr>
      </w:pPr>
      <w:r>
        <w:rPr>
          <w:rFonts w:hint="eastAsia"/>
          <w:sz w:val="30"/>
          <w:szCs w:val="30"/>
        </w:rPr>
        <w:t>The mighty God—stretching out his arm to give us Christ—pours out his wrath on his own Son, so that he (God) might graciously cause his people to pass beneath the rod of conviction, into the bond of the New and Eternal Covenant, and so into Immanuel’s land, where they live with their Royal Prince, both now and in the endless age to come (Ezek. 37:24-28)!</w:t>
      </w:r>
    </w:p>
    <w:p w14:paraId="275DADBE">
      <w:pPr>
        <w:pStyle w:val="9"/>
        <w:spacing w:before="11"/>
        <w:ind w:left="0"/>
        <w:jc w:val="left"/>
        <w:rPr>
          <w:rFonts w:hint="eastAsia"/>
          <w:sz w:val="30"/>
          <w:szCs w:val="30"/>
        </w:rPr>
      </w:pPr>
      <w:r>
        <w:rPr>
          <w:rFonts w:hint="eastAsia"/>
          <w:sz w:val="30"/>
          <w:szCs w:val="30"/>
        </w:rPr>
        <w:t>全能的上帝——伸出祂的臂膀赐给我们基督——将祂的忿怒倾倒在祂自己的儿子身上，好使祂（上帝）能恩慈地让祂的子民经过定罪的杖下，进入新的永恒之约的约束中，从而进入以马内利之地，在那里他们与他们的君尊王子同住，无论现在还是在无尽的未来时代（以西结书 37:24-28）！</w:t>
      </w:r>
    </w:p>
    <w:p w14:paraId="0B0A96DF">
      <w:pPr>
        <w:pStyle w:val="9"/>
        <w:spacing w:before="11"/>
        <w:ind w:left="0"/>
        <w:jc w:val="left"/>
        <w:rPr>
          <w:rFonts w:hint="eastAsia"/>
          <w:sz w:val="30"/>
          <w:szCs w:val="30"/>
        </w:rPr>
      </w:pPr>
    </w:p>
    <w:p w14:paraId="584C2492">
      <w:pPr>
        <w:pStyle w:val="9"/>
        <w:spacing w:before="11"/>
        <w:ind w:left="0"/>
        <w:jc w:val="left"/>
        <w:rPr>
          <w:rFonts w:hint="eastAsia"/>
          <w:sz w:val="30"/>
          <w:szCs w:val="30"/>
        </w:rPr>
      </w:pPr>
      <w:r>
        <w:rPr>
          <w:rFonts w:hint="eastAsia"/>
          <w:sz w:val="30"/>
          <w:szCs w:val="30"/>
        </w:rPr>
        <w:t>As for NT testimony on this subject, we have already heard Christ teach us that the New Covenant fulfills the old, and so renders it obsolete, like an old wineskin or an old garment (Mt. 5:17, 9:16-17, etc.).</w:t>
      </w:r>
    </w:p>
    <w:p w14:paraId="173AB011">
      <w:pPr>
        <w:pStyle w:val="9"/>
        <w:spacing w:before="11"/>
        <w:ind w:left="0"/>
        <w:jc w:val="left"/>
        <w:rPr>
          <w:rFonts w:hint="eastAsia"/>
          <w:sz w:val="30"/>
          <w:szCs w:val="30"/>
        </w:rPr>
      </w:pPr>
      <w:r>
        <w:rPr>
          <w:rFonts w:hint="eastAsia"/>
          <w:sz w:val="30"/>
          <w:szCs w:val="30"/>
        </w:rPr>
        <w:t>至于新约关于这个主题的见证，我们已经听过基督教导我们，新约成全了旧约，因此使它过时，就像旧皮袋或旧衣服一样（马太福音 5:17, 9:16-17等）。</w:t>
      </w:r>
    </w:p>
    <w:p w14:paraId="0EA0DF56">
      <w:pPr>
        <w:pStyle w:val="9"/>
        <w:spacing w:before="11"/>
        <w:ind w:left="0"/>
        <w:jc w:val="left"/>
        <w:rPr>
          <w:rFonts w:hint="eastAsia"/>
          <w:sz w:val="30"/>
          <w:szCs w:val="30"/>
        </w:rPr>
      </w:pPr>
    </w:p>
    <w:p w14:paraId="73B6FACD">
      <w:pPr>
        <w:pStyle w:val="9"/>
        <w:spacing w:before="11"/>
        <w:ind w:left="0"/>
        <w:jc w:val="left"/>
        <w:rPr>
          <w:rFonts w:hint="eastAsia"/>
          <w:sz w:val="30"/>
          <w:szCs w:val="30"/>
        </w:rPr>
      </w:pPr>
      <w:r>
        <w:rPr>
          <w:rFonts w:hint="eastAsia"/>
          <w:sz w:val="30"/>
          <w:szCs w:val="30"/>
        </w:rPr>
        <w:t>As we shall see later, this is precisely the teaching of his apostles, who explicitly state that the things of Christ and the Eternal Covenant are the substantial body, of which the things of Moses and the Old Covenant were mere foreshadowings (Col. 2:17).</w:t>
      </w:r>
    </w:p>
    <w:p w14:paraId="76220E02">
      <w:pPr>
        <w:pStyle w:val="9"/>
        <w:spacing w:before="11"/>
        <w:ind w:left="0"/>
        <w:jc w:val="left"/>
        <w:rPr>
          <w:rFonts w:hint="eastAsia"/>
          <w:sz w:val="30"/>
          <w:szCs w:val="30"/>
        </w:rPr>
      </w:pPr>
      <w:r>
        <w:rPr>
          <w:rFonts w:hint="eastAsia"/>
          <w:sz w:val="30"/>
          <w:szCs w:val="30"/>
        </w:rPr>
        <w:t>正如我们稍后将看到的，这正是祂使徒们的教导，他们明确指出，基督和永恒之约的事物是实体，而摩西和旧约的事物仅仅是影儿（歌罗西书 2:17）。</w:t>
      </w:r>
    </w:p>
    <w:p w14:paraId="4993786F">
      <w:pPr>
        <w:pStyle w:val="9"/>
        <w:spacing w:before="11"/>
        <w:ind w:left="0"/>
        <w:jc w:val="left"/>
        <w:rPr>
          <w:rFonts w:hint="eastAsia"/>
          <w:sz w:val="30"/>
          <w:szCs w:val="30"/>
        </w:rPr>
      </w:pPr>
    </w:p>
    <w:p w14:paraId="300A2778">
      <w:pPr>
        <w:pStyle w:val="9"/>
        <w:spacing w:before="11"/>
        <w:ind w:left="0"/>
        <w:jc w:val="left"/>
        <w:rPr>
          <w:rFonts w:hint="eastAsia"/>
          <w:sz w:val="30"/>
          <w:szCs w:val="30"/>
        </w:rPr>
      </w:pPr>
      <w:r>
        <w:rPr>
          <w:rFonts w:hint="eastAsia"/>
          <w:sz w:val="30"/>
          <w:szCs w:val="30"/>
        </w:rPr>
        <w:t>In other words, the things of the New Covenant, being the things of the Eternal Covenant itself, are permanent; whereas the things of Old Covenant, being only preparatory and promissory, are temporary and therefore destined to pass away (Heb. 8:13).</w:t>
      </w:r>
    </w:p>
    <w:p w14:paraId="74A3797E">
      <w:pPr>
        <w:pStyle w:val="9"/>
        <w:spacing w:before="11"/>
        <w:ind w:left="0"/>
        <w:jc w:val="left"/>
        <w:rPr>
          <w:rFonts w:hint="eastAsia"/>
          <w:sz w:val="30"/>
          <w:szCs w:val="30"/>
        </w:rPr>
      </w:pPr>
      <w:r>
        <w:rPr>
          <w:rFonts w:hint="eastAsia"/>
          <w:sz w:val="30"/>
          <w:szCs w:val="30"/>
        </w:rPr>
        <w:t>换句话说，新约的事物，作为永恒之约本身的事物，是永久的；而旧约的事物，仅仅是预备性和应许性的，是暂时的，因此注定要过去（希伯来书 8:13）。</w:t>
      </w:r>
    </w:p>
    <w:p w14:paraId="5446880A">
      <w:pPr>
        <w:pStyle w:val="9"/>
        <w:spacing w:before="11"/>
        <w:ind w:left="0"/>
        <w:jc w:val="left"/>
        <w:rPr>
          <w:rFonts w:hint="eastAsia"/>
          <w:sz w:val="30"/>
          <w:szCs w:val="30"/>
        </w:rPr>
      </w:pPr>
    </w:p>
    <w:p w14:paraId="1EB4A064">
      <w:pPr>
        <w:pStyle w:val="9"/>
        <w:spacing w:before="11"/>
        <w:ind w:left="0"/>
        <w:jc w:val="left"/>
        <w:rPr>
          <w:rFonts w:hint="eastAsia"/>
          <w:sz w:val="30"/>
          <w:szCs w:val="30"/>
        </w:rPr>
      </w:pPr>
      <w:r>
        <w:rPr>
          <w:rFonts w:hint="eastAsia"/>
          <w:sz w:val="30"/>
          <w:szCs w:val="30"/>
        </w:rPr>
        <w:t>Thus, in Christ, God has abolished the Mosaic Law.</w:t>
      </w:r>
    </w:p>
    <w:p w14:paraId="488AF975">
      <w:pPr>
        <w:pStyle w:val="9"/>
        <w:spacing w:before="11"/>
        <w:ind w:left="0"/>
        <w:jc w:val="left"/>
        <w:rPr>
          <w:rFonts w:hint="eastAsia"/>
          <w:sz w:val="30"/>
          <w:szCs w:val="30"/>
        </w:rPr>
      </w:pPr>
      <w:r>
        <w:rPr>
          <w:rFonts w:hint="eastAsia"/>
          <w:sz w:val="30"/>
          <w:szCs w:val="30"/>
        </w:rPr>
        <w:t>因此，在基督里，上帝已经废除了摩西律法。</w:t>
      </w:r>
    </w:p>
    <w:p w14:paraId="02E76FFF">
      <w:pPr>
        <w:pStyle w:val="9"/>
        <w:spacing w:before="11"/>
        <w:ind w:left="0"/>
        <w:jc w:val="left"/>
        <w:rPr>
          <w:rFonts w:hint="eastAsia"/>
          <w:sz w:val="30"/>
          <w:szCs w:val="30"/>
        </w:rPr>
      </w:pPr>
    </w:p>
    <w:p w14:paraId="01DB679C">
      <w:pPr>
        <w:pStyle w:val="9"/>
        <w:spacing w:before="11"/>
        <w:ind w:left="0"/>
        <w:jc w:val="left"/>
        <w:rPr>
          <w:rFonts w:hint="eastAsia"/>
          <w:sz w:val="30"/>
          <w:szCs w:val="30"/>
        </w:rPr>
      </w:pPr>
      <w:r>
        <w:rPr>
          <w:rFonts w:hint="eastAsia"/>
          <w:sz w:val="30"/>
          <w:szCs w:val="30"/>
        </w:rPr>
        <w:t>But since the advent of the New Covenant rules out a return to the Old (Mosaic) Covenant, OTKP’s that seem to promise the perpetuity of the Law must be interpreted figuratively, covenantally, and typologically, in terms of Christ.</w:t>
      </w:r>
    </w:p>
    <w:p w14:paraId="6B641B71">
      <w:pPr>
        <w:pStyle w:val="9"/>
        <w:spacing w:before="11"/>
        <w:ind w:left="0"/>
        <w:jc w:val="left"/>
        <w:rPr>
          <w:rFonts w:hint="eastAsia"/>
          <w:sz w:val="30"/>
          <w:szCs w:val="30"/>
        </w:rPr>
      </w:pPr>
      <w:r>
        <w:rPr>
          <w:rFonts w:hint="eastAsia"/>
          <w:sz w:val="30"/>
          <w:szCs w:val="30"/>
        </w:rPr>
        <w:t>但既然新约的来临排除了回归旧（摩西）约的可能性，那些似乎应许律法永存的旧约国度预言（OTKP）就必须在基督的框架内，以象征性、圣约性和预表性的方式来解释。</w:t>
      </w:r>
    </w:p>
    <w:p w14:paraId="4BAA4875">
      <w:pPr>
        <w:pStyle w:val="9"/>
        <w:spacing w:before="11"/>
        <w:ind w:left="0"/>
        <w:jc w:val="left"/>
        <w:rPr>
          <w:rFonts w:hint="eastAsia"/>
          <w:sz w:val="30"/>
          <w:szCs w:val="30"/>
        </w:rPr>
      </w:pPr>
    </w:p>
    <w:p w14:paraId="753BA89D">
      <w:pPr>
        <w:pStyle w:val="9"/>
        <w:spacing w:before="11"/>
        <w:ind w:left="0"/>
        <w:jc w:val="left"/>
        <w:rPr>
          <w:rFonts w:hint="eastAsia"/>
          <w:sz w:val="30"/>
          <w:szCs w:val="30"/>
        </w:rPr>
      </w:pPr>
      <w:r>
        <w:rPr>
          <w:rFonts w:hint="eastAsia"/>
          <w:sz w:val="30"/>
          <w:szCs w:val="30"/>
        </w:rPr>
        <w:t>Unlike Orthodox Judaism or Christian premillennialism, this is precisely the approach of the classic amillennial eschatology, an approach that preserves the unity of Scripture, even as it offers us rich insight into the meaning of OTKP, and fully resolves the problem of the apparent perpetuity of the Mosaic Law.</w:t>
      </w:r>
    </w:p>
    <w:p w14:paraId="4473251B">
      <w:pPr>
        <w:pStyle w:val="9"/>
        <w:spacing w:before="11"/>
        <w:ind w:left="0"/>
        <w:jc w:val="left"/>
        <w:rPr>
          <w:rFonts w:hint="eastAsia"/>
          <w:sz w:val="30"/>
          <w:szCs w:val="30"/>
        </w:rPr>
      </w:pPr>
      <w:r>
        <w:rPr>
          <w:rFonts w:hint="eastAsia"/>
          <w:sz w:val="30"/>
          <w:szCs w:val="30"/>
        </w:rPr>
        <w:t>与正统犹太教或基督教前千禧年主义不同，这正是古典无千禧年派末世论的方法，这种方法既维护了圣经的统一性，又为我们提供了对旧约国度预言（OTKP）意义的丰富洞见，并完全解决了摩西律法表面上永存的问题。</w:t>
      </w:r>
    </w:p>
    <w:p w14:paraId="3E0C833C">
      <w:pPr>
        <w:pStyle w:val="9"/>
        <w:spacing w:before="11"/>
        <w:ind w:left="0"/>
        <w:jc w:val="left"/>
        <w:rPr>
          <w:rFonts w:hint="eastAsia"/>
          <w:sz w:val="30"/>
          <w:szCs w:val="30"/>
        </w:rPr>
      </w:pPr>
    </w:p>
    <w:p w14:paraId="66548E52">
      <w:pPr>
        <w:pStyle w:val="9"/>
        <w:spacing w:before="11"/>
        <w:ind w:left="0"/>
        <w:jc w:val="left"/>
        <w:rPr>
          <w:rFonts w:hint="eastAsia"/>
          <w:sz w:val="30"/>
          <w:szCs w:val="30"/>
        </w:rPr>
      </w:pPr>
      <w:r>
        <w:rPr>
          <w:rFonts w:hint="eastAsia"/>
          <w:sz w:val="30"/>
          <w:szCs w:val="30"/>
        </w:rPr>
        <w:t>Set in a Spiritually and Physically Redeemed Cosmos</w:t>
      </w:r>
    </w:p>
    <w:p w14:paraId="5496DD7F">
      <w:pPr>
        <w:pStyle w:val="9"/>
        <w:spacing w:before="11"/>
        <w:ind w:left="0"/>
        <w:jc w:val="left"/>
        <w:rPr>
          <w:rFonts w:hint="eastAsia"/>
          <w:sz w:val="30"/>
          <w:szCs w:val="30"/>
        </w:rPr>
      </w:pPr>
      <w:r>
        <w:rPr>
          <w:rFonts w:hint="eastAsia"/>
          <w:sz w:val="30"/>
          <w:szCs w:val="30"/>
        </w:rPr>
        <w:t>设立于一个属灵和物质上都得到救赎的宇宙中</w:t>
      </w:r>
    </w:p>
    <w:p w14:paraId="59FAE61C">
      <w:pPr>
        <w:pStyle w:val="9"/>
        <w:spacing w:before="11"/>
        <w:ind w:left="0"/>
        <w:jc w:val="left"/>
        <w:rPr>
          <w:rFonts w:hint="eastAsia"/>
          <w:sz w:val="30"/>
          <w:szCs w:val="30"/>
        </w:rPr>
      </w:pPr>
    </w:p>
    <w:p w14:paraId="2FB56C73">
      <w:pPr>
        <w:pStyle w:val="9"/>
        <w:spacing w:before="11"/>
        <w:ind w:left="0"/>
        <w:jc w:val="left"/>
        <w:rPr>
          <w:rFonts w:hint="eastAsia"/>
          <w:sz w:val="30"/>
          <w:szCs w:val="30"/>
        </w:rPr>
      </w:pPr>
      <w:r>
        <w:rPr>
          <w:rFonts w:hint="eastAsia"/>
          <w:sz w:val="30"/>
          <w:szCs w:val="30"/>
        </w:rPr>
        <w:t>The great purpose of OTKP is to give ultimate hope.</w:t>
      </w:r>
    </w:p>
    <w:p w14:paraId="61CFF779">
      <w:pPr>
        <w:pStyle w:val="9"/>
        <w:spacing w:before="11"/>
        <w:ind w:left="0"/>
        <w:jc w:val="left"/>
        <w:rPr>
          <w:rFonts w:hint="eastAsia"/>
          <w:sz w:val="30"/>
          <w:szCs w:val="30"/>
        </w:rPr>
      </w:pPr>
      <w:r>
        <w:rPr>
          <w:rFonts w:hint="eastAsia"/>
          <w:sz w:val="30"/>
          <w:szCs w:val="30"/>
        </w:rPr>
        <w:t>旧约国度预言（OTKP）的伟大目的是给予终极的盼望。</w:t>
      </w:r>
    </w:p>
    <w:p w14:paraId="318249AE">
      <w:pPr>
        <w:pStyle w:val="9"/>
        <w:spacing w:before="11"/>
        <w:ind w:left="0"/>
        <w:jc w:val="left"/>
        <w:rPr>
          <w:rFonts w:hint="eastAsia"/>
          <w:sz w:val="30"/>
          <w:szCs w:val="30"/>
        </w:rPr>
      </w:pPr>
    </w:p>
    <w:p w14:paraId="2EBAAE71">
      <w:pPr>
        <w:pStyle w:val="9"/>
        <w:spacing w:before="11"/>
        <w:ind w:left="0"/>
        <w:jc w:val="left"/>
        <w:rPr>
          <w:rFonts w:hint="eastAsia"/>
          <w:sz w:val="30"/>
          <w:szCs w:val="30"/>
        </w:rPr>
      </w:pPr>
      <w:r>
        <w:rPr>
          <w:rFonts w:hint="eastAsia"/>
          <w:sz w:val="30"/>
          <w:szCs w:val="30"/>
        </w:rPr>
        <w:t>It is to say that when God brings in his Kingdom, he will do far more than rescue his people from captivity, or restore them to their homeland.</w:t>
      </w:r>
    </w:p>
    <w:p w14:paraId="54EF4632">
      <w:pPr>
        <w:pStyle w:val="9"/>
        <w:spacing w:before="11"/>
        <w:ind w:left="0"/>
        <w:jc w:val="left"/>
        <w:rPr>
          <w:rFonts w:hint="eastAsia"/>
          <w:sz w:val="30"/>
          <w:szCs w:val="30"/>
        </w:rPr>
      </w:pPr>
      <w:r>
        <w:rPr>
          <w:rFonts w:hint="eastAsia"/>
          <w:sz w:val="30"/>
          <w:szCs w:val="30"/>
        </w:rPr>
        <w:t>它是要说，当上帝带来祂的国度时，祂所做的将远不止于将祂的子民从被掳中拯救出来，或使他们回到自己的家园。</w:t>
      </w:r>
    </w:p>
    <w:p w14:paraId="0AF57C15">
      <w:pPr>
        <w:pStyle w:val="9"/>
        <w:spacing w:before="11"/>
        <w:ind w:left="0"/>
        <w:jc w:val="left"/>
        <w:rPr>
          <w:rFonts w:hint="eastAsia"/>
          <w:sz w:val="30"/>
          <w:szCs w:val="30"/>
        </w:rPr>
      </w:pPr>
    </w:p>
    <w:p w14:paraId="332F2017">
      <w:pPr>
        <w:pStyle w:val="9"/>
        <w:spacing w:before="11"/>
        <w:ind w:left="0"/>
        <w:jc w:val="left"/>
        <w:rPr>
          <w:rFonts w:hint="eastAsia"/>
          <w:sz w:val="30"/>
          <w:szCs w:val="30"/>
        </w:rPr>
      </w:pPr>
      <w:r>
        <w:rPr>
          <w:rFonts w:hint="eastAsia"/>
          <w:sz w:val="30"/>
          <w:szCs w:val="30"/>
        </w:rPr>
        <w:t>Rather, he will rescue them from every enemy (both spiritual and physical), and restore them to every friend (both spiritual and physical).</w:t>
      </w:r>
    </w:p>
    <w:p w14:paraId="4FF30940">
      <w:pPr>
        <w:pStyle w:val="9"/>
        <w:spacing w:before="11"/>
        <w:ind w:left="0"/>
        <w:jc w:val="left"/>
        <w:rPr>
          <w:rFonts w:hint="eastAsia"/>
          <w:sz w:val="30"/>
          <w:szCs w:val="30"/>
        </w:rPr>
      </w:pPr>
      <w:r>
        <w:rPr>
          <w:rFonts w:hint="eastAsia"/>
          <w:sz w:val="30"/>
          <w:szCs w:val="30"/>
        </w:rPr>
        <w:t>而是，祂将把他们从每一个仇敌（无论是属灵的还是物质的）中拯救出来，并将他们恢复到每一个朋友（无论是属灵的还是物质的）那里。</w:t>
      </w:r>
    </w:p>
    <w:p w14:paraId="0E8BEF05">
      <w:pPr>
        <w:pStyle w:val="9"/>
        <w:spacing w:before="11"/>
        <w:ind w:left="0"/>
        <w:jc w:val="left"/>
        <w:rPr>
          <w:rFonts w:hint="eastAsia"/>
          <w:sz w:val="30"/>
          <w:szCs w:val="30"/>
        </w:rPr>
      </w:pPr>
    </w:p>
    <w:p w14:paraId="088C9790">
      <w:pPr>
        <w:pStyle w:val="9"/>
        <w:spacing w:before="11"/>
        <w:ind w:left="0"/>
        <w:jc w:val="left"/>
        <w:rPr>
          <w:rFonts w:hint="eastAsia"/>
          <w:sz w:val="30"/>
          <w:szCs w:val="30"/>
        </w:rPr>
      </w:pPr>
      <w:r>
        <w:rPr>
          <w:rFonts w:hint="eastAsia"/>
          <w:sz w:val="30"/>
          <w:szCs w:val="30"/>
        </w:rPr>
        <w:t>In other words, in the days of the Kingdom God will redeem his people, his land, and his entire creation from every effect of sin, thereby paving the way for his direct reign over the cosmos, the very presence of his glory, and all the eternal blessings that these will bring.</w:t>
      </w:r>
    </w:p>
    <w:p w14:paraId="4CFFFEF4">
      <w:pPr>
        <w:pStyle w:val="9"/>
        <w:spacing w:before="11"/>
        <w:ind w:left="0"/>
        <w:jc w:val="left"/>
        <w:rPr>
          <w:rFonts w:hint="eastAsia"/>
          <w:sz w:val="30"/>
          <w:szCs w:val="30"/>
        </w:rPr>
      </w:pPr>
      <w:r>
        <w:rPr>
          <w:rFonts w:hint="eastAsia"/>
          <w:sz w:val="30"/>
          <w:szCs w:val="30"/>
        </w:rPr>
        <w:t>换句话说，在国度的日子里，上帝将救赎祂的子民、祂的土地和祂整个的创造物脱离罪的一切影响，从而为祂直接统治宇宙、祂荣耀的亲身同在，以及这些将带来的所有永恒祝福铺平道路。</w:t>
      </w:r>
    </w:p>
    <w:p w14:paraId="740B6FFE">
      <w:pPr>
        <w:pStyle w:val="9"/>
        <w:spacing w:before="11"/>
        <w:ind w:left="0"/>
        <w:jc w:val="left"/>
        <w:rPr>
          <w:rFonts w:hint="eastAsia"/>
          <w:sz w:val="30"/>
          <w:szCs w:val="30"/>
        </w:rPr>
      </w:pPr>
    </w:p>
    <w:p w14:paraId="01F3047A">
      <w:pPr>
        <w:pStyle w:val="9"/>
        <w:spacing w:before="11"/>
        <w:ind w:left="0"/>
        <w:jc w:val="left"/>
        <w:rPr>
          <w:rFonts w:hint="eastAsia"/>
          <w:sz w:val="30"/>
          <w:szCs w:val="30"/>
        </w:rPr>
      </w:pPr>
      <w:r>
        <w:rPr>
          <w:rFonts w:hint="eastAsia"/>
          <w:sz w:val="30"/>
          <w:szCs w:val="30"/>
        </w:rPr>
        <w:t>To get a feel for this, let us consider a particularly rich OTKP found in Hosea.</w:t>
      </w:r>
    </w:p>
    <w:p w14:paraId="7CDAF5F6">
      <w:pPr>
        <w:pStyle w:val="9"/>
        <w:spacing w:before="11"/>
        <w:ind w:left="0"/>
        <w:jc w:val="left"/>
        <w:rPr>
          <w:rFonts w:hint="eastAsia"/>
          <w:sz w:val="30"/>
          <w:szCs w:val="30"/>
        </w:rPr>
      </w:pPr>
      <w:r>
        <w:rPr>
          <w:rFonts w:hint="eastAsia"/>
          <w:sz w:val="30"/>
          <w:szCs w:val="30"/>
        </w:rPr>
        <w:t>为了对此有所感受，让我们思考一下何西阿书中一个特别丰富的旧约国度预言（OTKP）。</w:t>
      </w:r>
    </w:p>
    <w:p w14:paraId="38234208">
      <w:pPr>
        <w:pStyle w:val="9"/>
        <w:spacing w:before="11"/>
        <w:ind w:left="0"/>
        <w:jc w:val="left"/>
        <w:rPr>
          <w:rFonts w:hint="eastAsia"/>
          <w:sz w:val="30"/>
          <w:szCs w:val="30"/>
        </w:rPr>
      </w:pPr>
    </w:p>
    <w:p w14:paraId="4D34186C">
      <w:pPr>
        <w:pStyle w:val="9"/>
        <w:spacing w:before="11"/>
        <w:ind w:left="0"/>
        <w:jc w:val="left"/>
        <w:rPr>
          <w:rFonts w:hint="eastAsia"/>
          <w:sz w:val="30"/>
          <w:szCs w:val="30"/>
        </w:rPr>
      </w:pPr>
      <w:r>
        <w:rPr>
          <w:rFonts w:hint="eastAsia"/>
          <w:sz w:val="30"/>
          <w:szCs w:val="30"/>
        </w:rPr>
        <w:t>Speaking of Israel’s latter-day restoration, God says:</w:t>
      </w:r>
    </w:p>
    <w:p w14:paraId="24C1AE4D">
      <w:pPr>
        <w:pStyle w:val="9"/>
        <w:spacing w:before="11"/>
        <w:ind w:left="0"/>
        <w:jc w:val="left"/>
        <w:rPr>
          <w:rFonts w:hint="eastAsia"/>
          <w:sz w:val="30"/>
          <w:szCs w:val="30"/>
        </w:rPr>
      </w:pPr>
      <w:r>
        <w:rPr>
          <w:rFonts w:hint="eastAsia"/>
          <w:sz w:val="30"/>
          <w:szCs w:val="30"/>
        </w:rPr>
        <w:t>论到以色列末后的复兴，上帝说：</w:t>
      </w:r>
    </w:p>
    <w:p w14:paraId="6F176605">
      <w:pPr>
        <w:pStyle w:val="9"/>
        <w:spacing w:before="11"/>
        <w:ind w:left="0"/>
        <w:jc w:val="left"/>
        <w:rPr>
          <w:rFonts w:hint="eastAsia"/>
          <w:sz w:val="30"/>
          <w:szCs w:val="30"/>
        </w:rPr>
      </w:pPr>
    </w:p>
    <w:p w14:paraId="0A512023">
      <w:pPr>
        <w:pStyle w:val="9"/>
        <w:spacing w:before="11"/>
        <w:ind w:left="0"/>
        <w:jc w:val="left"/>
        <w:rPr>
          <w:rFonts w:hint="eastAsia"/>
          <w:sz w:val="30"/>
          <w:szCs w:val="30"/>
        </w:rPr>
      </w:pPr>
      <w:r>
        <w:rPr>
          <w:rFonts w:hint="eastAsia"/>
          <w:sz w:val="30"/>
          <w:szCs w:val="30"/>
        </w:rPr>
        <w:t>“Therefore, behold, I will allure her, bring her into the wilderness, and speak kindly to her.</w:t>
      </w:r>
    </w:p>
    <w:p w14:paraId="6DB4053D">
      <w:pPr>
        <w:pStyle w:val="9"/>
        <w:spacing w:before="11"/>
        <w:ind w:left="0"/>
        <w:jc w:val="left"/>
        <w:rPr>
          <w:rFonts w:hint="eastAsia"/>
          <w:sz w:val="30"/>
          <w:szCs w:val="30"/>
        </w:rPr>
      </w:pPr>
      <w:r>
        <w:rPr>
          <w:rFonts w:hint="eastAsia"/>
          <w:sz w:val="30"/>
          <w:szCs w:val="30"/>
        </w:rPr>
        <w:t>“后来我必劝导她，领她到旷野，对她说安慰的话。</w:t>
      </w:r>
    </w:p>
    <w:p w14:paraId="4C713C7D">
      <w:pPr>
        <w:pStyle w:val="9"/>
        <w:spacing w:before="11"/>
        <w:ind w:left="0"/>
        <w:jc w:val="left"/>
        <w:rPr>
          <w:rFonts w:hint="eastAsia"/>
          <w:sz w:val="30"/>
          <w:szCs w:val="30"/>
        </w:rPr>
      </w:pPr>
    </w:p>
    <w:p w14:paraId="165A206B">
      <w:pPr>
        <w:pStyle w:val="9"/>
        <w:spacing w:before="11"/>
        <w:ind w:left="0"/>
        <w:jc w:val="left"/>
        <w:rPr>
          <w:rFonts w:hint="eastAsia"/>
          <w:sz w:val="30"/>
          <w:szCs w:val="30"/>
        </w:rPr>
      </w:pPr>
      <w:r>
        <w:rPr>
          <w:rFonts w:hint="eastAsia"/>
          <w:sz w:val="30"/>
          <w:szCs w:val="30"/>
        </w:rPr>
        <w:t>Then I will give her her vineyards from there, and the Valley of Achor as a door of hope.</w:t>
      </w:r>
    </w:p>
    <w:p w14:paraId="200F3497">
      <w:pPr>
        <w:pStyle w:val="9"/>
        <w:spacing w:before="11"/>
        <w:ind w:left="0"/>
        <w:jc w:val="left"/>
        <w:rPr>
          <w:rFonts w:hint="eastAsia"/>
          <w:sz w:val="30"/>
          <w:szCs w:val="30"/>
        </w:rPr>
      </w:pPr>
      <w:r>
        <w:rPr>
          <w:rFonts w:hint="eastAsia"/>
          <w:sz w:val="30"/>
          <w:szCs w:val="30"/>
        </w:rPr>
        <w:t>她从那里出来，我必赐她葡萄园，又赐她亚割谷作为指望的门。</w:t>
      </w:r>
    </w:p>
    <w:p w14:paraId="6478074D">
      <w:pPr>
        <w:pStyle w:val="9"/>
        <w:spacing w:before="11"/>
        <w:ind w:left="0"/>
        <w:jc w:val="left"/>
        <w:rPr>
          <w:rFonts w:hint="eastAsia"/>
          <w:sz w:val="30"/>
          <w:szCs w:val="30"/>
        </w:rPr>
      </w:pPr>
    </w:p>
    <w:p w14:paraId="2AEEB7D5">
      <w:pPr>
        <w:pStyle w:val="9"/>
        <w:spacing w:before="11"/>
        <w:ind w:left="0"/>
        <w:jc w:val="left"/>
        <w:rPr>
          <w:rFonts w:hint="eastAsia"/>
          <w:sz w:val="30"/>
          <w:szCs w:val="30"/>
        </w:rPr>
      </w:pPr>
      <w:r>
        <w:rPr>
          <w:rFonts w:hint="eastAsia"/>
          <w:sz w:val="30"/>
          <w:szCs w:val="30"/>
        </w:rPr>
        <w:t>And she will sing there as in the days of her youth, as in the day when she came up from the land of Egypt.</w:t>
      </w:r>
    </w:p>
    <w:p w14:paraId="1EE8EEC0">
      <w:pPr>
        <w:pStyle w:val="9"/>
        <w:spacing w:before="11"/>
        <w:ind w:left="0"/>
        <w:jc w:val="left"/>
        <w:rPr>
          <w:rFonts w:hint="eastAsia"/>
          <w:sz w:val="30"/>
          <w:szCs w:val="30"/>
        </w:rPr>
      </w:pPr>
      <w:r>
        <w:rPr>
          <w:rFonts w:hint="eastAsia"/>
          <w:sz w:val="30"/>
          <w:szCs w:val="30"/>
        </w:rPr>
        <w:t>她必在那里应声，与幼年的日子一样，与从埃及地上来的时候相同。</w:t>
      </w:r>
    </w:p>
    <w:p w14:paraId="3ED6964C">
      <w:pPr>
        <w:pStyle w:val="9"/>
        <w:spacing w:before="11"/>
        <w:ind w:left="0"/>
        <w:jc w:val="left"/>
        <w:rPr>
          <w:rFonts w:hint="eastAsia"/>
          <w:sz w:val="30"/>
          <w:szCs w:val="30"/>
        </w:rPr>
      </w:pPr>
    </w:p>
    <w:p w14:paraId="12F464DC">
      <w:pPr>
        <w:pStyle w:val="9"/>
        <w:spacing w:before="11"/>
        <w:ind w:left="0"/>
        <w:jc w:val="left"/>
        <w:rPr>
          <w:rFonts w:hint="eastAsia"/>
          <w:sz w:val="30"/>
          <w:szCs w:val="30"/>
        </w:rPr>
      </w:pPr>
      <w:r>
        <w:rPr>
          <w:rFonts w:hint="eastAsia"/>
          <w:sz w:val="30"/>
          <w:szCs w:val="30"/>
        </w:rPr>
        <w:t>And it will come about in that day,” declares the LORD, “that you will call me Ishi (i.e., my Husband), and will no longer call me Baali (i.e., my Master, or Baal).</w:t>
      </w:r>
    </w:p>
    <w:p w14:paraId="7C6C3819">
      <w:pPr>
        <w:pStyle w:val="9"/>
        <w:spacing w:before="11"/>
        <w:ind w:left="0"/>
        <w:jc w:val="left"/>
        <w:rPr>
          <w:rFonts w:hint="eastAsia"/>
          <w:sz w:val="30"/>
          <w:szCs w:val="30"/>
        </w:rPr>
      </w:pPr>
      <w:r>
        <w:rPr>
          <w:rFonts w:hint="eastAsia"/>
          <w:sz w:val="30"/>
          <w:szCs w:val="30"/>
        </w:rPr>
        <w:t>耶和华说：“那日你必称呼我伊施（就是我丈夫的意思），不再称呼我巴力（就是我主人的意思，或巴力）。</w:t>
      </w:r>
    </w:p>
    <w:p w14:paraId="58ECFA21">
      <w:pPr>
        <w:pStyle w:val="9"/>
        <w:spacing w:before="11"/>
        <w:ind w:left="0"/>
        <w:jc w:val="left"/>
        <w:rPr>
          <w:rFonts w:hint="eastAsia"/>
          <w:sz w:val="30"/>
          <w:szCs w:val="30"/>
        </w:rPr>
      </w:pPr>
    </w:p>
    <w:p w14:paraId="282C9BA0">
      <w:pPr>
        <w:pStyle w:val="9"/>
        <w:spacing w:before="11"/>
        <w:ind w:left="0"/>
        <w:jc w:val="left"/>
        <w:rPr>
          <w:rFonts w:hint="eastAsia"/>
          <w:sz w:val="30"/>
          <w:szCs w:val="30"/>
        </w:rPr>
      </w:pPr>
      <w:r>
        <w:rPr>
          <w:rFonts w:hint="eastAsia"/>
          <w:sz w:val="30"/>
          <w:szCs w:val="30"/>
        </w:rPr>
        <w:t>For I will remove the names of the Baals from her mouth, so that they will be mentioned by their names no more.</w:t>
      </w:r>
    </w:p>
    <w:p w14:paraId="3C0CF1DF">
      <w:pPr>
        <w:pStyle w:val="9"/>
        <w:spacing w:before="11"/>
        <w:ind w:left="0"/>
        <w:jc w:val="left"/>
        <w:rPr>
          <w:rFonts w:hint="eastAsia"/>
          <w:sz w:val="30"/>
          <w:szCs w:val="30"/>
        </w:rPr>
      </w:pPr>
      <w:r>
        <w:rPr>
          <w:rFonts w:hint="eastAsia"/>
          <w:sz w:val="30"/>
          <w:szCs w:val="30"/>
        </w:rPr>
        <w:t>因为我必从她口中除掉诸巴力的名号，这名号不再被人提起。</w:t>
      </w:r>
    </w:p>
    <w:p w14:paraId="60B72AF8">
      <w:pPr>
        <w:pStyle w:val="9"/>
        <w:spacing w:before="11"/>
        <w:ind w:left="0"/>
        <w:jc w:val="left"/>
        <w:rPr>
          <w:rFonts w:hint="eastAsia"/>
          <w:sz w:val="30"/>
          <w:szCs w:val="30"/>
        </w:rPr>
      </w:pPr>
    </w:p>
    <w:p w14:paraId="2924C5CB">
      <w:pPr>
        <w:pStyle w:val="9"/>
        <w:spacing w:before="11"/>
        <w:ind w:left="0"/>
        <w:jc w:val="left"/>
        <w:rPr>
          <w:rFonts w:hint="eastAsia"/>
          <w:sz w:val="30"/>
          <w:szCs w:val="30"/>
        </w:rPr>
      </w:pPr>
      <w:r>
        <w:rPr>
          <w:rFonts w:hint="eastAsia"/>
          <w:sz w:val="30"/>
          <w:szCs w:val="30"/>
        </w:rPr>
        <w:t>In that day I will also make a covenant for them with the beasts of the field, the birds of the sky, and the creeping things of the ground.</w:t>
      </w:r>
    </w:p>
    <w:p w14:paraId="4B78A12D">
      <w:pPr>
        <w:pStyle w:val="9"/>
        <w:spacing w:before="11"/>
        <w:ind w:left="0"/>
        <w:jc w:val="left"/>
        <w:rPr>
          <w:rFonts w:hint="eastAsia"/>
          <w:sz w:val="30"/>
          <w:szCs w:val="30"/>
        </w:rPr>
      </w:pPr>
      <w:r>
        <w:rPr>
          <w:rFonts w:hint="eastAsia"/>
          <w:sz w:val="30"/>
          <w:szCs w:val="30"/>
        </w:rPr>
        <w:t>当那日，我必为他们与田野的走兽、空中的飞鸟、并地上的昆虫立约。</w:t>
      </w:r>
    </w:p>
    <w:p w14:paraId="400EDA5E">
      <w:pPr>
        <w:pStyle w:val="9"/>
        <w:spacing w:before="11"/>
        <w:ind w:left="0"/>
        <w:jc w:val="left"/>
        <w:rPr>
          <w:rFonts w:hint="eastAsia"/>
          <w:sz w:val="30"/>
          <w:szCs w:val="30"/>
        </w:rPr>
      </w:pPr>
    </w:p>
    <w:p w14:paraId="1DF80645">
      <w:pPr>
        <w:pStyle w:val="9"/>
        <w:spacing w:before="11"/>
        <w:ind w:left="0"/>
        <w:jc w:val="left"/>
        <w:rPr>
          <w:rFonts w:hint="eastAsia"/>
          <w:sz w:val="30"/>
          <w:szCs w:val="30"/>
        </w:rPr>
      </w:pPr>
      <w:r>
        <w:rPr>
          <w:rFonts w:hint="eastAsia"/>
          <w:sz w:val="30"/>
          <w:szCs w:val="30"/>
        </w:rPr>
        <w:t>And I will abolish the bow, the sword, and war from the land, and will make them lie down in safety.</w:t>
      </w:r>
    </w:p>
    <w:p w14:paraId="382D6D45">
      <w:pPr>
        <w:pStyle w:val="9"/>
        <w:spacing w:before="11"/>
        <w:ind w:left="0"/>
        <w:jc w:val="left"/>
        <w:rPr>
          <w:rFonts w:hint="eastAsia"/>
          <w:sz w:val="30"/>
          <w:szCs w:val="30"/>
        </w:rPr>
      </w:pPr>
      <w:r>
        <w:rPr>
          <w:rFonts w:hint="eastAsia"/>
          <w:sz w:val="30"/>
          <w:szCs w:val="30"/>
        </w:rPr>
        <w:t>又必在国中折断弓刀，止息争战，使他们安然躺卧。</w:t>
      </w:r>
    </w:p>
    <w:p w14:paraId="2B0B7558">
      <w:pPr>
        <w:pStyle w:val="9"/>
        <w:spacing w:before="11"/>
        <w:ind w:left="0"/>
        <w:jc w:val="left"/>
        <w:rPr>
          <w:rFonts w:hint="eastAsia"/>
          <w:sz w:val="30"/>
          <w:szCs w:val="30"/>
        </w:rPr>
      </w:pPr>
    </w:p>
    <w:p w14:paraId="261A36C0">
      <w:pPr>
        <w:pStyle w:val="9"/>
        <w:spacing w:before="11"/>
        <w:ind w:left="0"/>
        <w:jc w:val="left"/>
        <w:rPr>
          <w:rFonts w:hint="eastAsia"/>
          <w:sz w:val="30"/>
          <w:szCs w:val="30"/>
        </w:rPr>
      </w:pPr>
      <w:r>
        <w:rPr>
          <w:rFonts w:hint="eastAsia"/>
          <w:sz w:val="30"/>
          <w:szCs w:val="30"/>
        </w:rPr>
        <w:t>And I will betroth you to Me forever.</w:t>
      </w:r>
    </w:p>
    <w:p w14:paraId="627CD209">
      <w:pPr>
        <w:pStyle w:val="9"/>
        <w:spacing w:before="11"/>
        <w:ind w:left="0"/>
        <w:jc w:val="left"/>
        <w:rPr>
          <w:rFonts w:hint="eastAsia"/>
          <w:sz w:val="30"/>
          <w:szCs w:val="30"/>
        </w:rPr>
      </w:pPr>
      <w:r>
        <w:rPr>
          <w:rFonts w:hint="eastAsia"/>
          <w:sz w:val="30"/>
          <w:szCs w:val="30"/>
        </w:rPr>
        <w:t>我必聘你永远归我为妻。</w:t>
      </w:r>
    </w:p>
    <w:p w14:paraId="170EC16A">
      <w:pPr>
        <w:pStyle w:val="9"/>
        <w:spacing w:before="11"/>
        <w:ind w:left="0"/>
        <w:jc w:val="left"/>
        <w:rPr>
          <w:rFonts w:hint="eastAsia"/>
          <w:sz w:val="30"/>
          <w:szCs w:val="30"/>
        </w:rPr>
      </w:pPr>
    </w:p>
    <w:p w14:paraId="79695AB0">
      <w:pPr>
        <w:pStyle w:val="9"/>
        <w:spacing w:before="11"/>
        <w:ind w:left="0"/>
        <w:jc w:val="left"/>
        <w:rPr>
          <w:rFonts w:hint="eastAsia"/>
          <w:sz w:val="30"/>
          <w:szCs w:val="30"/>
        </w:rPr>
      </w:pPr>
      <w:r>
        <w:rPr>
          <w:rFonts w:hint="eastAsia"/>
          <w:sz w:val="30"/>
          <w:szCs w:val="30"/>
        </w:rPr>
        <w:t>Yes, I will betroth you to Me in righteousness and justice, in lovingkindness and in compassion.</w:t>
      </w:r>
    </w:p>
    <w:p w14:paraId="430B42FA">
      <w:pPr>
        <w:pStyle w:val="9"/>
        <w:spacing w:before="11"/>
        <w:ind w:left="0"/>
        <w:jc w:val="left"/>
        <w:rPr>
          <w:rFonts w:hint="eastAsia"/>
          <w:sz w:val="30"/>
          <w:szCs w:val="30"/>
        </w:rPr>
      </w:pPr>
      <w:r>
        <w:rPr>
          <w:rFonts w:hint="eastAsia"/>
          <w:sz w:val="30"/>
          <w:szCs w:val="30"/>
        </w:rPr>
        <w:t>以公义、公平、慈爱、怜悯聘你归我。</w:t>
      </w:r>
    </w:p>
    <w:p w14:paraId="0044D000">
      <w:pPr>
        <w:pStyle w:val="9"/>
        <w:spacing w:before="11"/>
        <w:ind w:left="0"/>
        <w:jc w:val="left"/>
        <w:rPr>
          <w:rFonts w:hint="eastAsia"/>
          <w:sz w:val="30"/>
          <w:szCs w:val="30"/>
        </w:rPr>
      </w:pPr>
    </w:p>
    <w:p w14:paraId="7493220C">
      <w:pPr>
        <w:pStyle w:val="9"/>
        <w:spacing w:before="11"/>
        <w:ind w:left="0"/>
        <w:jc w:val="left"/>
        <w:rPr>
          <w:rFonts w:hint="eastAsia"/>
          <w:sz w:val="30"/>
          <w:szCs w:val="30"/>
        </w:rPr>
      </w:pPr>
      <w:r>
        <w:rPr>
          <w:rFonts w:hint="eastAsia"/>
          <w:sz w:val="30"/>
          <w:szCs w:val="30"/>
        </w:rPr>
        <w:t>And I will betroth you to Me in faithfulness.</w:t>
      </w:r>
    </w:p>
    <w:p w14:paraId="7815C2F8">
      <w:pPr>
        <w:pStyle w:val="9"/>
        <w:spacing w:before="11"/>
        <w:ind w:left="0"/>
        <w:jc w:val="left"/>
        <w:rPr>
          <w:rFonts w:hint="eastAsia"/>
          <w:sz w:val="30"/>
          <w:szCs w:val="30"/>
        </w:rPr>
      </w:pPr>
      <w:r>
        <w:rPr>
          <w:rFonts w:hint="eastAsia"/>
          <w:sz w:val="30"/>
          <w:szCs w:val="30"/>
        </w:rPr>
        <w:t>也以诚实聘你归我。</w:t>
      </w:r>
    </w:p>
    <w:p w14:paraId="10884C57">
      <w:pPr>
        <w:pStyle w:val="9"/>
        <w:spacing w:before="11"/>
        <w:ind w:left="0"/>
        <w:jc w:val="left"/>
        <w:rPr>
          <w:rFonts w:hint="eastAsia"/>
          <w:sz w:val="30"/>
          <w:szCs w:val="30"/>
        </w:rPr>
      </w:pPr>
    </w:p>
    <w:p w14:paraId="18320C95">
      <w:pPr>
        <w:pStyle w:val="9"/>
        <w:spacing w:before="11"/>
        <w:ind w:left="0"/>
        <w:jc w:val="left"/>
        <w:rPr>
          <w:rFonts w:hint="eastAsia"/>
          <w:sz w:val="30"/>
          <w:szCs w:val="30"/>
        </w:rPr>
      </w:pPr>
      <w:r>
        <w:rPr>
          <w:rFonts w:hint="eastAsia"/>
          <w:sz w:val="30"/>
          <w:szCs w:val="30"/>
        </w:rPr>
        <w:t>Then you will know the LORD.</w:t>
      </w:r>
    </w:p>
    <w:p w14:paraId="771CC803">
      <w:pPr>
        <w:pStyle w:val="9"/>
        <w:spacing w:before="11"/>
        <w:ind w:left="0"/>
        <w:jc w:val="left"/>
        <w:rPr>
          <w:rFonts w:hint="eastAsia"/>
          <w:sz w:val="30"/>
          <w:szCs w:val="30"/>
        </w:rPr>
      </w:pPr>
      <w:r>
        <w:rPr>
          <w:rFonts w:hint="eastAsia"/>
          <w:sz w:val="30"/>
          <w:szCs w:val="30"/>
        </w:rPr>
        <w:t>你就必认识耶和华。</w:t>
      </w:r>
    </w:p>
    <w:p w14:paraId="5E266808">
      <w:pPr>
        <w:pStyle w:val="9"/>
        <w:spacing w:before="11"/>
        <w:ind w:left="0"/>
        <w:jc w:val="left"/>
        <w:rPr>
          <w:rFonts w:hint="eastAsia"/>
          <w:sz w:val="30"/>
          <w:szCs w:val="30"/>
        </w:rPr>
      </w:pPr>
    </w:p>
    <w:p w14:paraId="4702E609">
      <w:pPr>
        <w:pStyle w:val="9"/>
        <w:spacing w:before="11"/>
        <w:ind w:left="0"/>
        <w:jc w:val="left"/>
        <w:rPr>
          <w:rFonts w:hint="eastAsia"/>
          <w:sz w:val="30"/>
          <w:szCs w:val="30"/>
        </w:rPr>
      </w:pPr>
      <w:r>
        <w:rPr>
          <w:rFonts w:hint="eastAsia"/>
          <w:sz w:val="30"/>
          <w:szCs w:val="30"/>
        </w:rPr>
        <w:t>And it will come about in that day that I will respond,” says the LORD.</w:t>
      </w:r>
    </w:p>
    <w:p w14:paraId="1B46C2DA">
      <w:pPr>
        <w:pStyle w:val="9"/>
        <w:spacing w:before="11"/>
        <w:ind w:left="0"/>
        <w:jc w:val="left"/>
        <w:rPr>
          <w:rFonts w:hint="eastAsia"/>
          <w:sz w:val="30"/>
          <w:szCs w:val="30"/>
        </w:rPr>
      </w:pPr>
      <w:r>
        <w:rPr>
          <w:rFonts w:hint="eastAsia"/>
          <w:sz w:val="30"/>
          <w:szCs w:val="30"/>
        </w:rPr>
        <w:t>耶和华说：“那日我必应允。</w:t>
      </w:r>
    </w:p>
    <w:p w14:paraId="20938575">
      <w:pPr>
        <w:pStyle w:val="9"/>
        <w:spacing w:before="11"/>
        <w:ind w:left="0"/>
        <w:jc w:val="left"/>
        <w:rPr>
          <w:rFonts w:hint="eastAsia"/>
          <w:sz w:val="30"/>
          <w:szCs w:val="30"/>
        </w:rPr>
      </w:pPr>
    </w:p>
    <w:p w14:paraId="6D696001">
      <w:pPr>
        <w:pStyle w:val="9"/>
        <w:spacing w:before="11"/>
        <w:ind w:left="0"/>
        <w:jc w:val="left"/>
        <w:rPr>
          <w:rFonts w:hint="eastAsia"/>
          <w:sz w:val="30"/>
          <w:szCs w:val="30"/>
        </w:rPr>
      </w:pPr>
      <w:r>
        <w:rPr>
          <w:rFonts w:hint="eastAsia"/>
          <w:sz w:val="30"/>
          <w:szCs w:val="30"/>
        </w:rPr>
        <w:t>“I will respond to the heavens, and they will respond to the earth, and the earth will respond to the grain, to the new wine, and to the oil, and they will respond to Jezreel (lit., God sows).</w:t>
      </w:r>
    </w:p>
    <w:p w14:paraId="28BF3316">
      <w:pPr>
        <w:pStyle w:val="9"/>
        <w:spacing w:before="11"/>
        <w:ind w:left="0"/>
        <w:jc w:val="left"/>
        <w:rPr>
          <w:rFonts w:hint="eastAsia"/>
          <w:sz w:val="30"/>
          <w:szCs w:val="30"/>
        </w:rPr>
      </w:pPr>
      <w:r>
        <w:rPr>
          <w:rFonts w:hint="eastAsia"/>
          <w:sz w:val="30"/>
          <w:szCs w:val="30"/>
        </w:rPr>
        <w:t>我必应允天，天必应允地，地必应允五谷、新酒和油，这些必应允耶斯列（字面意思：上帝播种）。</w:t>
      </w:r>
    </w:p>
    <w:p w14:paraId="05B55F2C">
      <w:pPr>
        <w:pStyle w:val="9"/>
        <w:spacing w:before="11"/>
        <w:ind w:left="0"/>
        <w:jc w:val="left"/>
        <w:rPr>
          <w:rFonts w:hint="eastAsia"/>
          <w:sz w:val="30"/>
          <w:szCs w:val="30"/>
        </w:rPr>
      </w:pPr>
    </w:p>
    <w:p w14:paraId="6F435E39">
      <w:pPr>
        <w:pStyle w:val="9"/>
        <w:spacing w:before="11"/>
        <w:ind w:left="0"/>
        <w:jc w:val="left"/>
        <w:rPr>
          <w:rFonts w:hint="eastAsia"/>
          <w:sz w:val="30"/>
          <w:szCs w:val="30"/>
        </w:rPr>
      </w:pPr>
      <w:r>
        <w:rPr>
          <w:rFonts w:hint="eastAsia"/>
          <w:sz w:val="30"/>
          <w:szCs w:val="30"/>
        </w:rPr>
        <w:t>And I will sow her for Myself in the land.</w:t>
      </w:r>
    </w:p>
    <w:p w14:paraId="77F8F9AF">
      <w:pPr>
        <w:pStyle w:val="9"/>
        <w:spacing w:before="11"/>
        <w:ind w:left="0"/>
        <w:jc w:val="left"/>
        <w:rPr>
          <w:rFonts w:hint="eastAsia"/>
          <w:sz w:val="30"/>
          <w:szCs w:val="30"/>
        </w:rPr>
      </w:pPr>
      <w:r>
        <w:rPr>
          <w:rFonts w:hint="eastAsia"/>
          <w:sz w:val="30"/>
          <w:szCs w:val="30"/>
        </w:rPr>
        <w:t>我必将她为自己栽种在这地。</w:t>
      </w:r>
    </w:p>
    <w:p w14:paraId="58371BD6">
      <w:pPr>
        <w:pStyle w:val="9"/>
        <w:spacing w:before="11"/>
        <w:ind w:left="0"/>
        <w:jc w:val="left"/>
        <w:rPr>
          <w:rFonts w:hint="eastAsia"/>
          <w:sz w:val="30"/>
          <w:szCs w:val="30"/>
        </w:rPr>
      </w:pPr>
    </w:p>
    <w:p w14:paraId="5F0E7F7A">
      <w:pPr>
        <w:pStyle w:val="9"/>
        <w:spacing w:before="11"/>
        <w:ind w:left="0"/>
        <w:jc w:val="left"/>
        <w:rPr>
          <w:rFonts w:hint="eastAsia"/>
          <w:sz w:val="30"/>
          <w:szCs w:val="30"/>
        </w:rPr>
      </w:pPr>
      <w:r>
        <w:rPr>
          <w:rFonts w:hint="eastAsia"/>
          <w:sz w:val="30"/>
          <w:szCs w:val="30"/>
        </w:rPr>
        <w:t>I will also have compassion on her who had not obtained compassion, and I will say to those who were not my people, ‘You are My people!’</w:t>
      </w:r>
    </w:p>
    <w:p w14:paraId="07BDAED7">
      <w:pPr>
        <w:pStyle w:val="9"/>
        <w:spacing w:before="11"/>
        <w:ind w:left="0"/>
        <w:jc w:val="left"/>
        <w:rPr>
          <w:rFonts w:hint="eastAsia"/>
          <w:sz w:val="30"/>
          <w:szCs w:val="30"/>
        </w:rPr>
      </w:pPr>
      <w:r>
        <w:rPr>
          <w:rFonts w:hint="eastAsia"/>
          <w:sz w:val="30"/>
          <w:szCs w:val="30"/>
        </w:rPr>
        <w:t>也必怜恤那不蒙怜恤的，对那非我民的说：‘你是我的民！’</w:t>
      </w:r>
    </w:p>
    <w:p w14:paraId="4C55ECB1">
      <w:pPr>
        <w:pStyle w:val="9"/>
        <w:spacing w:before="11"/>
        <w:ind w:left="0"/>
        <w:jc w:val="left"/>
        <w:rPr>
          <w:rFonts w:hint="eastAsia"/>
          <w:sz w:val="30"/>
          <w:szCs w:val="30"/>
        </w:rPr>
      </w:pPr>
    </w:p>
    <w:p w14:paraId="6F8F0CD8">
      <w:pPr>
        <w:pStyle w:val="9"/>
        <w:spacing w:before="11"/>
        <w:ind w:left="0"/>
        <w:jc w:val="left"/>
        <w:rPr>
          <w:rFonts w:hint="eastAsia"/>
          <w:sz w:val="30"/>
          <w:szCs w:val="30"/>
        </w:rPr>
      </w:pPr>
      <w:r>
        <w:rPr>
          <w:rFonts w:hint="eastAsia"/>
          <w:sz w:val="30"/>
          <w:szCs w:val="30"/>
        </w:rPr>
        <w:t>and they will say, ‘You are my God.’”</w:t>
      </w:r>
    </w:p>
    <w:p w14:paraId="0E5D2A97">
      <w:pPr>
        <w:pStyle w:val="9"/>
        <w:spacing w:before="11"/>
        <w:ind w:left="0"/>
        <w:jc w:val="left"/>
        <w:rPr>
          <w:rFonts w:hint="eastAsia"/>
          <w:sz w:val="30"/>
          <w:szCs w:val="30"/>
        </w:rPr>
      </w:pPr>
      <w:r>
        <w:rPr>
          <w:rFonts w:hint="eastAsia"/>
          <w:sz w:val="30"/>
          <w:szCs w:val="30"/>
        </w:rPr>
        <w:t>他们必说：‘你是我的上帝。’”</w:t>
      </w:r>
    </w:p>
    <w:p w14:paraId="6985DB9C">
      <w:pPr>
        <w:pStyle w:val="9"/>
        <w:spacing w:before="11"/>
        <w:ind w:left="0"/>
        <w:jc w:val="left"/>
        <w:rPr>
          <w:rFonts w:hint="eastAsia"/>
          <w:sz w:val="30"/>
          <w:szCs w:val="30"/>
        </w:rPr>
      </w:pPr>
    </w:p>
    <w:p w14:paraId="7F3DF92C">
      <w:pPr>
        <w:pStyle w:val="9"/>
        <w:spacing w:before="11"/>
        <w:ind w:left="0"/>
        <w:jc w:val="left"/>
        <w:rPr>
          <w:rFonts w:hint="eastAsia"/>
          <w:sz w:val="30"/>
          <w:szCs w:val="30"/>
        </w:rPr>
      </w:pPr>
      <w:r>
        <w:rPr>
          <w:rFonts w:hint="eastAsia"/>
          <w:sz w:val="30"/>
          <w:szCs w:val="30"/>
        </w:rPr>
        <w:t>—Hosea 2:14-23</w:t>
      </w:r>
    </w:p>
    <w:p w14:paraId="10F938B6">
      <w:pPr>
        <w:pStyle w:val="9"/>
        <w:spacing w:before="11"/>
        <w:ind w:left="0"/>
        <w:jc w:val="left"/>
        <w:rPr>
          <w:rFonts w:hint="eastAsia"/>
          <w:sz w:val="30"/>
          <w:szCs w:val="30"/>
        </w:rPr>
      </w:pPr>
      <w:r>
        <w:rPr>
          <w:rFonts w:hint="eastAsia"/>
          <w:sz w:val="30"/>
          <w:szCs w:val="30"/>
        </w:rPr>
        <w:t>——何西阿书 2:14-23</w:t>
      </w:r>
    </w:p>
    <w:p w14:paraId="0D3E8E67">
      <w:pPr>
        <w:pStyle w:val="9"/>
        <w:spacing w:before="11"/>
        <w:ind w:left="0"/>
        <w:jc w:val="left"/>
        <w:rPr>
          <w:rFonts w:hint="eastAsia"/>
          <w:sz w:val="30"/>
          <w:szCs w:val="30"/>
        </w:rPr>
      </w:pPr>
    </w:p>
    <w:p w14:paraId="0386355F">
      <w:pPr>
        <w:pStyle w:val="9"/>
        <w:spacing w:before="11"/>
        <w:ind w:left="0"/>
        <w:jc w:val="left"/>
        <w:rPr>
          <w:rFonts w:hint="eastAsia"/>
          <w:sz w:val="30"/>
          <w:szCs w:val="30"/>
        </w:rPr>
      </w:pPr>
      <w:r>
        <w:rPr>
          <w:rFonts w:hint="eastAsia"/>
          <w:sz w:val="30"/>
          <w:szCs w:val="30"/>
        </w:rPr>
        <w:t>Now it is clear that this prophecy is fully eschatological.</w:t>
      </w:r>
    </w:p>
    <w:p w14:paraId="01E6C68A">
      <w:pPr>
        <w:pStyle w:val="9"/>
        <w:spacing w:before="11"/>
        <w:ind w:left="0"/>
        <w:jc w:val="left"/>
        <w:rPr>
          <w:rFonts w:hint="eastAsia"/>
          <w:sz w:val="30"/>
          <w:szCs w:val="30"/>
        </w:rPr>
      </w:pPr>
      <w:r>
        <w:rPr>
          <w:rFonts w:hint="eastAsia"/>
          <w:sz w:val="30"/>
          <w:szCs w:val="30"/>
        </w:rPr>
        <w:t>现在很清楚，这个预言是完全末世性的。</w:t>
      </w:r>
    </w:p>
    <w:p w14:paraId="7A4F383A">
      <w:pPr>
        <w:pStyle w:val="9"/>
        <w:spacing w:before="11"/>
        <w:ind w:left="0"/>
        <w:jc w:val="left"/>
        <w:rPr>
          <w:rFonts w:hint="eastAsia"/>
          <w:sz w:val="30"/>
          <w:szCs w:val="30"/>
        </w:rPr>
      </w:pPr>
    </w:p>
    <w:p w14:paraId="6695C3D6">
      <w:pPr>
        <w:pStyle w:val="9"/>
        <w:spacing w:before="11"/>
        <w:ind w:left="0"/>
        <w:jc w:val="left"/>
        <w:rPr>
          <w:rFonts w:hint="eastAsia"/>
          <w:sz w:val="30"/>
          <w:szCs w:val="30"/>
        </w:rPr>
      </w:pPr>
      <w:r>
        <w:rPr>
          <w:rFonts w:hint="eastAsia"/>
          <w:sz w:val="30"/>
          <w:szCs w:val="30"/>
        </w:rPr>
        <w:t>That is, it envisions the eternal (and not millennial) blessedness of God’s covenant people subsequent to the great redemptive act by which he will bring in the Kingdom (v. 19).</w:t>
      </w:r>
    </w:p>
    <w:p w14:paraId="6D163342">
      <w:pPr>
        <w:pStyle w:val="9"/>
        <w:spacing w:before="11"/>
        <w:ind w:left="0"/>
        <w:jc w:val="left"/>
        <w:rPr>
          <w:rFonts w:hint="eastAsia"/>
          <w:sz w:val="30"/>
          <w:szCs w:val="30"/>
        </w:rPr>
      </w:pPr>
      <w:r>
        <w:rPr>
          <w:rFonts w:hint="eastAsia"/>
          <w:sz w:val="30"/>
          <w:szCs w:val="30"/>
        </w:rPr>
        <w:t>也就是说，它设想了在祂借以引入国度的伟大救赎行动之后，上帝圣约子民永恒的（而非千禧年的）福乐（19节）。</w:t>
      </w:r>
    </w:p>
    <w:p w14:paraId="5295F0B0">
      <w:pPr>
        <w:pStyle w:val="9"/>
        <w:spacing w:before="11"/>
        <w:ind w:left="0"/>
        <w:jc w:val="left"/>
        <w:rPr>
          <w:rFonts w:hint="eastAsia"/>
          <w:sz w:val="30"/>
          <w:szCs w:val="30"/>
        </w:rPr>
      </w:pPr>
    </w:p>
    <w:p w14:paraId="18D02021">
      <w:pPr>
        <w:pStyle w:val="9"/>
        <w:spacing w:before="11"/>
        <w:ind w:left="0"/>
        <w:jc w:val="left"/>
        <w:rPr>
          <w:rFonts w:hint="eastAsia"/>
          <w:sz w:val="30"/>
          <w:szCs w:val="30"/>
        </w:rPr>
      </w:pPr>
      <w:r>
        <w:rPr>
          <w:rFonts w:hint="eastAsia"/>
          <w:sz w:val="30"/>
          <w:szCs w:val="30"/>
        </w:rPr>
        <w:t>Accordingly, it invites the Christian interpreter to find here a “covenantally conditioned” picture of the life of the Church in the eternal Kingdom instituted by Christ, and especially in the new heavens and the new earth.</w:t>
      </w:r>
    </w:p>
    <w:p w14:paraId="2FB1D19A">
      <w:pPr>
        <w:pStyle w:val="9"/>
        <w:spacing w:before="11"/>
        <w:ind w:left="0"/>
        <w:jc w:val="left"/>
        <w:rPr>
          <w:rFonts w:hint="eastAsia"/>
          <w:sz w:val="30"/>
          <w:szCs w:val="30"/>
        </w:rPr>
      </w:pPr>
      <w:r>
        <w:rPr>
          <w:rFonts w:hint="eastAsia"/>
          <w:sz w:val="30"/>
          <w:szCs w:val="30"/>
        </w:rPr>
        <w:t>因此，它邀请基督徒解释者在这里找到一幅“受圣约制约”的图景，描绘教会在基督所建立的永恒国度中的生活，尤其是在新天新地中的生活。</w:t>
      </w:r>
    </w:p>
    <w:p w14:paraId="5B389B0A">
      <w:pPr>
        <w:pStyle w:val="9"/>
        <w:spacing w:before="11"/>
        <w:ind w:left="0"/>
        <w:jc w:val="left"/>
        <w:rPr>
          <w:rFonts w:hint="eastAsia"/>
          <w:sz w:val="30"/>
          <w:szCs w:val="30"/>
        </w:rPr>
      </w:pPr>
    </w:p>
    <w:p w14:paraId="52E0F8AB">
      <w:pPr>
        <w:pStyle w:val="9"/>
        <w:spacing w:before="11"/>
        <w:ind w:left="0"/>
        <w:jc w:val="left"/>
        <w:rPr>
          <w:rFonts w:hint="eastAsia"/>
          <w:sz w:val="30"/>
          <w:szCs w:val="30"/>
        </w:rPr>
      </w:pPr>
      <w:r>
        <w:rPr>
          <w:rFonts w:hint="eastAsia"/>
          <w:sz w:val="30"/>
          <w:szCs w:val="30"/>
        </w:rPr>
        <w:t>Concerning the picture itself, like most OTKP’s, its imagery is largely controlled by the prototypical Kingdom prophecies laid down in the Mosaic Law (Lev. 26:40-45, Deut. 30:1-10).</w:t>
      </w:r>
    </w:p>
    <w:p w14:paraId="6D99E963">
      <w:pPr>
        <w:pStyle w:val="9"/>
        <w:spacing w:before="11"/>
        <w:ind w:left="0"/>
        <w:jc w:val="left"/>
        <w:rPr>
          <w:rFonts w:hint="eastAsia"/>
          <w:sz w:val="30"/>
          <w:szCs w:val="30"/>
        </w:rPr>
      </w:pPr>
      <w:r>
        <w:rPr>
          <w:rFonts w:hint="eastAsia"/>
          <w:sz w:val="30"/>
          <w:szCs w:val="30"/>
        </w:rPr>
        <w:t>关于这幅图景本身，像大多数旧约国度预言（OTKP）一样，它的意象在很大程度上受到摩西律法中奠定的国度预言原型的控制（利未记 26:40-45，申命记 30:1-10）。</w:t>
      </w:r>
    </w:p>
    <w:p w14:paraId="0EC97993">
      <w:pPr>
        <w:pStyle w:val="9"/>
        <w:spacing w:before="11"/>
        <w:ind w:left="0"/>
        <w:jc w:val="left"/>
        <w:rPr>
          <w:rFonts w:hint="eastAsia"/>
          <w:sz w:val="30"/>
          <w:szCs w:val="30"/>
        </w:rPr>
      </w:pPr>
    </w:p>
    <w:p w14:paraId="4E53D445">
      <w:pPr>
        <w:pStyle w:val="9"/>
        <w:spacing w:before="11"/>
        <w:ind w:left="0"/>
        <w:jc w:val="left"/>
        <w:rPr>
          <w:rFonts w:hint="eastAsia"/>
          <w:sz w:val="30"/>
          <w:szCs w:val="30"/>
        </w:rPr>
      </w:pPr>
      <w:r>
        <w:rPr>
          <w:rFonts w:hint="eastAsia"/>
          <w:sz w:val="30"/>
          <w:szCs w:val="30"/>
        </w:rPr>
        <w:t>As predicted, Israel has sinned, fallen under the covenant curses, and gone away into captivity.</w:t>
      </w:r>
    </w:p>
    <w:p w14:paraId="7B46BA58">
      <w:pPr>
        <w:pStyle w:val="9"/>
        <w:spacing w:before="11"/>
        <w:ind w:left="0"/>
        <w:jc w:val="left"/>
        <w:rPr>
          <w:rFonts w:hint="eastAsia"/>
          <w:sz w:val="30"/>
          <w:szCs w:val="30"/>
        </w:rPr>
      </w:pPr>
      <w:r>
        <w:rPr>
          <w:rFonts w:hint="eastAsia"/>
          <w:sz w:val="30"/>
          <w:szCs w:val="30"/>
        </w:rPr>
        <w:t>正如所预言的，以色列已经犯了罪，落入了圣约的咒诅之下，并被掳到异地。</w:t>
      </w:r>
    </w:p>
    <w:p w14:paraId="4258CA5A">
      <w:pPr>
        <w:pStyle w:val="9"/>
        <w:spacing w:before="11"/>
        <w:ind w:left="0"/>
        <w:jc w:val="left"/>
        <w:rPr>
          <w:rFonts w:hint="eastAsia"/>
          <w:sz w:val="30"/>
          <w:szCs w:val="30"/>
        </w:rPr>
      </w:pPr>
    </w:p>
    <w:p w14:paraId="1EB8F3DC">
      <w:pPr>
        <w:pStyle w:val="9"/>
        <w:spacing w:before="11"/>
        <w:ind w:left="0"/>
        <w:jc w:val="left"/>
        <w:rPr>
          <w:rFonts w:hint="eastAsia"/>
          <w:sz w:val="30"/>
          <w:szCs w:val="30"/>
        </w:rPr>
      </w:pPr>
      <w:r>
        <w:rPr>
          <w:rFonts w:hint="eastAsia"/>
          <w:sz w:val="30"/>
          <w:szCs w:val="30"/>
        </w:rPr>
        <w:t>But as promised, the covenant-keeping LORD is faithful (v. 20).</w:t>
      </w:r>
    </w:p>
    <w:p w14:paraId="623BD7EB">
      <w:pPr>
        <w:pStyle w:val="9"/>
        <w:spacing w:before="11"/>
        <w:ind w:left="0"/>
        <w:jc w:val="left"/>
        <w:rPr>
          <w:rFonts w:hint="eastAsia"/>
          <w:sz w:val="30"/>
          <w:szCs w:val="30"/>
        </w:rPr>
      </w:pPr>
      <w:r>
        <w:rPr>
          <w:rFonts w:hint="eastAsia"/>
          <w:sz w:val="30"/>
          <w:szCs w:val="30"/>
        </w:rPr>
        <w:t>但正如所应许的，守约的耶和华是信实的（20节）。</w:t>
      </w:r>
    </w:p>
    <w:p w14:paraId="6AB288F7">
      <w:pPr>
        <w:pStyle w:val="9"/>
        <w:spacing w:before="11"/>
        <w:ind w:left="0"/>
        <w:jc w:val="left"/>
        <w:rPr>
          <w:rFonts w:hint="eastAsia"/>
          <w:sz w:val="30"/>
          <w:szCs w:val="30"/>
        </w:rPr>
      </w:pPr>
    </w:p>
    <w:p w14:paraId="27547FEB">
      <w:pPr>
        <w:pStyle w:val="9"/>
        <w:spacing w:before="11"/>
        <w:ind w:left="0"/>
        <w:jc w:val="left"/>
        <w:rPr>
          <w:rFonts w:hint="eastAsia"/>
          <w:sz w:val="30"/>
          <w:szCs w:val="30"/>
        </w:rPr>
      </w:pPr>
      <w:r>
        <w:rPr>
          <w:rFonts w:hint="eastAsia"/>
          <w:sz w:val="30"/>
          <w:szCs w:val="30"/>
        </w:rPr>
        <w:t>Therefore, a second Exodus is coming (vv. 14-15); and not only a second Exodus, but an ultimate exodus.</w:t>
      </w:r>
    </w:p>
    <w:p w14:paraId="43FD98C5">
      <w:pPr>
        <w:pStyle w:val="9"/>
        <w:spacing w:before="11"/>
        <w:ind w:left="0"/>
        <w:jc w:val="left"/>
        <w:rPr>
          <w:rFonts w:hint="eastAsia"/>
          <w:sz w:val="30"/>
          <w:szCs w:val="30"/>
        </w:rPr>
      </w:pPr>
      <w:r>
        <w:rPr>
          <w:rFonts w:hint="eastAsia"/>
          <w:sz w:val="30"/>
          <w:szCs w:val="30"/>
        </w:rPr>
        <w:t>因此，第二次出埃及即将到来（14-15节）；而且不仅是第二次出埃及，更是一次终极的出埃及。</w:t>
      </w:r>
    </w:p>
    <w:p w14:paraId="133D3144">
      <w:pPr>
        <w:pStyle w:val="9"/>
        <w:spacing w:before="11"/>
        <w:ind w:left="0"/>
        <w:jc w:val="left"/>
        <w:rPr>
          <w:rFonts w:hint="eastAsia"/>
          <w:sz w:val="30"/>
          <w:szCs w:val="30"/>
        </w:rPr>
      </w:pPr>
    </w:p>
    <w:p w14:paraId="34C89F41">
      <w:pPr>
        <w:pStyle w:val="9"/>
        <w:spacing w:before="11"/>
        <w:ind w:left="0"/>
        <w:jc w:val="left"/>
        <w:rPr>
          <w:rFonts w:hint="eastAsia"/>
          <w:sz w:val="30"/>
          <w:szCs w:val="30"/>
        </w:rPr>
      </w:pPr>
      <w:r>
        <w:rPr>
          <w:rFonts w:hint="eastAsia"/>
          <w:sz w:val="30"/>
          <w:szCs w:val="30"/>
        </w:rPr>
        <w:t>Once again, God will draw Israel into the wilderness (v. 14).</w:t>
      </w:r>
    </w:p>
    <w:p w14:paraId="2C403A89">
      <w:pPr>
        <w:pStyle w:val="9"/>
        <w:spacing w:before="11"/>
        <w:ind w:left="0"/>
        <w:jc w:val="left"/>
        <w:rPr>
          <w:rFonts w:hint="eastAsia"/>
          <w:sz w:val="30"/>
          <w:szCs w:val="30"/>
        </w:rPr>
      </w:pPr>
      <w:r>
        <w:rPr>
          <w:rFonts w:hint="eastAsia"/>
          <w:sz w:val="30"/>
          <w:szCs w:val="30"/>
        </w:rPr>
        <w:t>上帝将再次将以色列引到旷野（14节）。</w:t>
      </w:r>
    </w:p>
    <w:p w14:paraId="3B8E0C31">
      <w:pPr>
        <w:pStyle w:val="9"/>
        <w:spacing w:before="11"/>
        <w:ind w:left="0"/>
        <w:jc w:val="left"/>
        <w:rPr>
          <w:rFonts w:hint="eastAsia"/>
          <w:sz w:val="30"/>
          <w:szCs w:val="30"/>
        </w:rPr>
      </w:pPr>
    </w:p>
    <w:p w14:paraId="4BDDD2E7">
      <w:pPr>
        <w:pStyle w:val="9"/>
        <w:spacing w:before="11"/>
        <w:ind w:left="0"/>
        <w:jc w:val="left"/>
        <w:rPr>
          <w:rFonts w:hint="eastAsia"/>
          <w:sz w:val="30"/>
          <w:szCs w:val="30"/>
        </w:rPr>
      </w:pPr>
      <w:r>
        <w:rPr>
          <w:rFonts w:hint="eastAsia"/>
          <w:sz w:val="30"/>
          <w:szCs w:val="30"/>
        </w:rPr>
        <w:t>Once again he will enter into covenant with her there (vv. 19-20).</w:t>
      </w:r>
    </w:p>
    <w:p w14:paraId="53710137">
      <w:pPr>
        <w:pStyle w:val="9"/>
        <w:spacing w:before="11"/>
        <w:ind w:left="0"/>
        <w:jc w:val="left"/>
        <w:rPr>
          <w:rFonts w:hint="eastAsia"/>
          <w:sz w:val="30"/>
          <w:szCs w:val="30"/>
        </w:rPr>
      </w:pPr>
      <w:r>
        <w:rPr>
          <w:rFonts w:hint="eastAsia"/>
          <w:sz w:val="30"/>
          <w:szCs w:val="30"/>
        </w:rPr>
        <w:t>祂将再次在那里与她立约（19-20节）。</w:t>
      </w:r>
    </w:p>
    <w:p w14:paraId="1D01A797">
      <w:pPr>
        <w:pStyle w:val="9"/>
        <w:spacing w:before="11"/>
        <w:ind w:left="0"/>
        <w:jc w:val="left"/>
        <w:rPr>
          <w:rFonts w:hint="eastAsia"/>
          <w:sz w:val="30"/>
          <w:szCs w:val="30"/>
        </w:rPr>
      </w:pPr>
    </w:p>
    <w:p w14:paraId="08721662">
      <w:pPr>
        <w:pStyle w:val="9"/>
        <w:spacing w:before="11"/>
        <w:ind w:left="0"/>
        <w:jc w:val="left"/>
        <w:rPr>
          <w:rFonts w:hint="eastAsia"/>
          <w:sz w:val="30"/>
          <w:szCs w:val="30"/>
        </w:rPr>
      </w:pPr>
      <w:r>
        <w:rPr>
          <w:rFonts w:hint="eastAsia"/>
          <w:sz w:val="30"/>
          <w:szCs w:val="30"/>
        </w:rPr>
        <w:t>Once again he will bring her into the Promised Land (vv. 15, 23).</w:t>
      </w:r>
    </w:p>
    <w:p w14:paraId="75550AD0">
      <w:pPr>
        <w:pStyle w:val="9"/>
        <w:spacing w:before="11"/>
        <w:ind w:left="0"/>
        <w:jc w:val="left"/>
        <w:rPr>
          <w:rFonts w:hint="eastAsia"/>
          <w:sz w:val="30"/>
          <w:szCs w:val="30"/>
        </w:rPr>
      </w:pPr>
      <w:r>
        <w:rPr>
          <w:rFonts w:hint="eastAsia"/>
          <w:sz w:val="30"/>
          <w:szCs w:val="30"/>
        </w:rPr>
        <w:t>祂将再次将她带入应许之地（15, 23节）。</w:t>
      </w:r>
    </w:p>
    <w:p w14:paraId="2106D75B">
      <w:pPr>
        <w:pStyle w:val="9"/>
        <w:spacing w:before="11"/>
        <w:ind w:left="0"/>
        <w:jc w:val="left"/>
        <w:rPr>
          <w:rFonts w:hint="eastAsia"/>
          <w:sz w:val="30"/>
          <w:szCs w:val="30"/>
        </w:rPr>
      </w:pPr>
    </w:p>
    <w:p w14:paraId="756FCE15">
      <w:pPr>
        <w:pStyle w:val="9"/>
        <w:spacing w:before="11"/>
        <w:ind w:left="0"/>
        <w:jc w:val="left"/>
        <w:rPr>
          <w:rFonts w:hint="eastAsia"/>
          <w:sz w:val="30"/>
          <w:szCs w:val="30"/>
        </w:rPr>
      </w:pPr>
      <w:r>
        <w:rPr>
          <w:rFonts w:hint="eastAsia"/>
          <w:sz w:val="30"/>
          <w:szCs w:val="30"/>
        </w:rPr>
        <w:t>This time, however, the covenant will be new and definitive: an eternal marriage, an everlasting spiritual union (v. 16).</w:t>
      </w:r>
    </w:p>
    <w:p w14:paraId="68D3F1EE">
      <w:pPr>
        <w:pStyle w:val="9"/>
        <w:spacing w:before="11"/>
        <w:ind w:left="0"/>
        <w:jc w:val="left"/>
        <w:rPr>
          <w:rFonts w:hint="eastAsia"/>
          <w:sz w:val="30"/>
          <w:szCs w:val="30"/>
        </w:rPr>
      </w:pPr>
      <w:r>
        <w:rPr>
          <w:rFonts w:hint="eastAsia"/>
          <w:sz w:val="30"/>
          <w:szCs w:val="30"/>
        </w:rPr>
        <w:t>然而，这一次，这个约将是新的和确定的：一个永恒的婚姻，一个永恒的属灵联合（16节）。</w:t>
      </w:r>
    </w:p>
    <w:p w14:paraId="0F68F80E">
      <w:pPr>
        <w:pStyle w:val="9"/>
        <w:spacing w:before="11"/>
        <w:ind w:left="0"/>
        <w:jc w:val="left"/>
        <w:rPr>
          <w:rFonts w:hint="eastAsia"/>
          <w:sz w:val="30"/>
          <w:szCs w:val="30"/>
        </w:rPr>
      </w:pPr>
    </w:p>
    <w:p w14:paraId="56A6B7CC">
      <w:pPr>
        <w:pStyle w:val="9"/>
        <w:spacing w:before="11"/>
        <w:ind w:left="0"/>
        <w:jc w:val="left"/>
        <w:rPr>
          <w:rFonts w:hint="eastAsia"/>
          <w:sz w:val="30"/>
          <w:szCs w:val="30"/>
        </w:rPr>
      </w:pPr>
      <w:r>
        <w:rPr>
          <w:rFonts w:hint="eastAsia"/>
          <w:sz w:val="30"/>
          <w:szCs w:val="30"/>
        </w:rPr>
        <w:t>Therefore, Israel will come to know the LORD (v. 20).</w:t>
      </w:r>
    </w:p>
    <w:p w14:paraId="75417E67">
      <w:pPr>
        <w:pStyle w:val="9"/>
        <w:spacing w:before="11"/>
        <w:ind w:left="0"/>
        <w:jc w:val="left"/>
        <w:rPr>
          <w:rFonts w:hint="eastAsia"/>
          <w:sz w:val="30"/>
          <w:szCs w:val="30"/>
        </w:rPr>
      </w:pPr>
      <w:r>
        <w:rPr>
          <w:rFonts w:hint="eastAsia"/>
          <w:sz w:val="30"/>
          <w:szCs w:val="30"/>
        </w:rPr>
        <w:t>因此，以色列将认识耶和华（20节）。</w:t>
      </w:r>
    </w:p>
    <w:p w14:paraId="54551626">
      <w:pPr>
        <w:pStyle w:val="9"/>
        <w:spacing w:before="11"/>
        <w:ind w:left="0"/>
        <w:jc w:val="left"/>
        <w:rPr>
          <w:rFonts w:hint="eastAsia"/>
          <w:sz w:val="30"/>
          <w:szCs w:val="30"/>
        </w:rPr>
      </w:pPr>
    </w:p>
    <w:p w14:paraId="1C6EC080">
      <w:pPr>
        <w:pStyle w:val="9"/>
        <w:spacing w:before="11"/>
        <w:ind w:left="0"/>
        <w:jc w:val="left"/>
        <w:rPr>
          <w:rFonts w:hint="eastAsia"/>
          <w:sz w:val="30"/>
          <w:szCs w:val="30"/>
        </w:rPr>
      </w:pPr>
      <w:r>
        <w:rPr>
          <w:rFonts w:hint="eastAsia"/>
          <w:sz w:val="30"/>
          <w:szCs w:val="30"/>
        </w:rPr>
        <w:t>Therefore, she will be faithful to her divine husband, not even remembering, let alone mentioning, the names of the Baals she formerly served (v. 17).</w:t>
      </w:r>
    </w:p>
    <w:p w14:paraId="25BA073A">
      <w:pPr>
        <w:pStyle w:val="9"/>
        <w:spacing w:before="11"/>
        <w:ind w:left="0"/>
        <w:jc w:val="left"/>
        <w:rPr>
          <w:rFonts w:hint="eastAsia"/>
          <w:sz w:val="30"/>
          <w:szCs w:val="30"/>
        </w:rPr>
      </w:pPr>
      <w:r>
        <w:rPr>
          <w:rFonts w:hint="eastAsia"/>
          <w:sz w:val="30"/>
          <w:szCs w:val="30"/>
        </w:rPr>
        <w:t>因此，她将忠于她神圣的丈夫，甚至不记得，更不用说提及，她以前所事奉的巴力的名字（17节）。</w:t>
      </w:r>
    </w:p>
    <w:p w14:paraId="6435FE3E">
      <w:pPr>
        <w:pStyle w:val="9"/>
        <w:spacing w:before="11"/>
        <w:ind w:left="0"/>
        <w:jc w:val="left"/>
        <w:rPr>
          <w:rFonts w:hint="eastAsia"/>
          <w:sz w:val="30"/>
          <w:szCs w:val="30"/>
        </w:rPr>
      </w:pPr>
    </w:p>
    <w:p w14:paraId="78A18FCA">
      <w:pPr>
        <w:pStyle w:val="9"/>
        <w:spacing w:before="11"/>
        <w:ind w:left="0"/>
        <w:jc w:val="left"/>
        <w:rPr>
          <w:rFonts w:hint="eastAsia"/>
          <w:sz w:val="30"/>
          <w:szCs w:val="30"/>
        </w:rPr>
      </w:pPr>
      <w:r>
        <w:rPr>
          <w:rFonts w:hint="eastAsia"/>
          <w:sz w:val="30"/>
          <w:szCs w:val="30"/>
        </w:rPr>
        <w:t>And therefore she will experience the covenant blessings.</w:t>
      </w:r>
    </w:p>
    <w:p w14:paraId="021EECBD">
      <w:pPr>
        <w:pStyle w:val="9"/>
        <w:spacing w:before="11"/>
        <w:ind w:left="0"/>
        <w:jc w:val="left"/>
        <w:rPr>
          <w:rFonts w:hint="eastAsia"/>
          <w:sz w:val="30"/>
          <w:szCs w:val="30"/>
        </w:rPr>
      </w:pPr>
      <w:r>
        <w:rPr>
          <w:rFonts w:hint="eastAsia"/>
          <w:sz w:val="30"/>
          <w:szCs w:val="30"/>
        </w:rPr>
        <w:t>因此她将经历圣约的祝福。</w:t>
      </w:r>
    </w:p>
    <w:p w14:paraId="236527B8">
      <w:pPr>
        <w:pStyle w:val="9"/>
        <w:spacing w:before="11"/>
        <w:ind w:left="0"/>
        <w:jc w:val="left"/>
        <w:rPr>
          <w:rFonts w:hint="eastAsia"/>
          <w:sz w:val="30"/>
          <w:szCs w:val="30"/>
        </w:rPr>
      </w:pPr>
    </w:p>
    <w:p w14:paraId="45B5B968">
      <w:pPr>
        <w:pStyle w:val="9"/>
        <w:spacing w:before="11"/>
        <w:ind w:left="0"/>
        <w:jc w:val="left"/>
        <w:rPr>
          <w:rFonts w:hint="eastAsia"/>
          <w:sz w:val="30"/>
          <w:szCs w:val="30"/>
        </w:rPr>
      </w:pPr>
      <w:r>
        <w:rPr>
          <w:rFonts w:hint="eastAsia"/>
          <w:sz w:val="30"/>
          <w:szCs w:val="30"/>
        </w:rPr>
        <w:t>The beasts, birds, and creeping things will never again prey upon her (v. 18).</w:t>
      </w:r>
    </w:p>
    <w:p w14:paraId="443ACC1B">
      <w:pPr>
        <w:pStyle w:val="9"/>
        <w:spacing w:before="11"/>
        <w:ind w:left="0"/>
        <w:jc w:val="left"/>
        <w:rPr>
          <w:rFonts w:hint="eastAsia"/>
          <w:sz w:val="30"/>
          <w:szCs w:val="30"/>
        </w:rPr>
      </w:pPr>
      <w:r>
        <w:rPr>
          <w:rFonts w:hint="eastAsia"/>
          <w:sz w:val="30"/>
          <w:szCs w:val="30"/>
        </w:rPr>
        <w:t>走兽、飞鸟和爬行动物将永不再捕食她（18节）。</w:t>
      </w:r>
    </w:p>
    <w:p w14:paraId="786FA35C">
      <w:pPr>
        <w:pStyle w:val="9"/>
        <w:spacing w:before="11"/>
        <w:ind w:left="0"/>
        <w:jc w:val="left"/>
        <w:rPr>
          <w:rFonts w:hint="eastAsia"/>
          <w:sz w:val="30"/>
          <w:szCs w:val="30"/>
        </w:rPr>
      </w:pPr>
    </w:p>
    <w:p w14:paraId="4C34A7F6">
      <w:pPr>
        <w:pStyle w:val="9"/>
        <w:spacing w:before="11"/>
        <w:ind w:left="0"/>
        <w:jc w:val="left"/>
        <w:rPr>
          <w:rFonts w:hint="eastAsia"/>
          <w:sz w:val="30"/>
          <w:szCs w:val="30"/>
        </w:rPr>
      </w:pPr>
      <w:r>
        <w:rPr>
          <w:rFonts w:hint="eastAsia"/>
          <w:sz w:val="30"/>
          <w:szCs w:val="30"/>
        </w:rPr>
        <w:t>The bow, the sword, and the agonies of war will never again strike her land (v. 18).</w:t>
      </w:r>
    </w:p>
    <w:p w14:paraId="0140FCFD">
      <w:pPr>
        <w:pStyle w:val="9"/>
        <w:spacing w:before="11"/>
        <w:ind w:left="0"/>
        <w:jc w:val="left"/>
        <w:rPr>
          <w:rFonts w:hint="eastAsia"/>
          <w:sz w:val="30"/>
          <w:szCs w:val="30"/>
        </w:rPr>
      </w:pPr>
      <w:r>
        <w:rPr>
          <w:rFonts w:hint="eastAsia"/>
          <w:sz w:val="30"/>
          <w:szCs w:val="30"/>
        </w:rPr>
        <w:t>弓、刀和战争的苦难将永不再打击她的土地（18节）。</w:t>
      </w:r>
    </w:p>
    <w:p w14:paraId="45657569">
      <w:pPr>
        <w:pStyle w:val="9"/>
        <w:spacing w:before="11"/>
        <w:ind w:left="0"/>
        <w:jc w:val="left"/>
        <w:rPr>
          <w:rFonts w:hint="eastAsia"/>
          <w:sz w:val="30"/>
          <w:szCs w:val="30"/>
        </w:rPr>
      </w:pPr>
    </w:p>
    <w:p w14:paraId="3E7FF526">
      <w:pPr>
        <w:pStyle w:val="9"/>
        <w:spacing w:before="11"/>
        <w:ind w:left="0"/>
        <w:jc w:val="left"/>
        <w:rPr>
          <w:rFonts w:hint="eastAsia"/>
          <w:sz w:val="30"/>
          <w:szCs w:val="30"/>
        </w:rPr>
      </w:pPr>
      <w:r>
        <w:rPr>
          <w:rFonts w:hint="eastAsia"/>
          <w:sz w:val="30"/>
          <w:szCs w:val="30"/>
        </w:rPr>
        <w:t>The rains will always fall, the land will ever produce, and the grain, the oil, and the new wine will continually abound (vv. 21-22).</w:t>
      </w:r>
    </w:p>
    <w:p w14:paraId="283F20DD">
      <w:pPr>
        <w:pStyle w:val="9"/>
        <w:spacing w:before="11"/>
        <w:ind w:left="0"/>
        <w:jc w:val="left"/>
        <w:rPr>
          <w:rFonts w:hint="eastAsia"/>
          <w:sz w:val="30"/>
          <w:szCs w:val="30"/>
        </w:rPr>
      </w:pPr>
      <w:r>
        <w:rPr>
          <w:rFonts w:hint="eastAsia"/>
          <w:sz w:val="30"/>
          <w:szCs w:val="30"/>
        </w:rPr>
        <w:t>雨水将永远降下，土地将永远出产，五谷、油和新酒将不断丰盛（21-22节）。</w:t>
      </w:r>
    </w:p>
    <w:p w14:paraId="046D704E">
      <w:pPr>
        <w:pStyle w:val="9"/>
        <w:spacing w:before="11"/>
        <w:ind w:left="0"/>
        <w:jc w:val="left"/>
        <w:rPr>
          <w:rFonts w:hint="eastAsia"/>
          <w:sz w:val="30"/>
          <w:szCs w:val="30"/>
        </w:rPr>
      </w:pPr>
    </w:p>
    <w:p w14:paraId="23E167C0">
      <w:pPr>
        <w:pStyle w:val="9"/>
        <w:spacing w:before="11"/>
        <w:ind w:left="0"/>
        <w:jc w:val="left"/>
        <w:rPr>
          <w:rFonts w:hint="eastAsia"/>
          <w:sz w:val="30"/>
          <w:szCs w:val="30"/>
        </w:rPr>
      </w:pPr>
      <w:r>
        <w:rPr>
          <w:rFonts w:hint="eastAsia"/>
          <w:sz w:val="30"/>
          <w:szCs w:val="30"/>
        </w:rPr>
        <w:t>Yes, in glorious fullness all the blessings of the covenant will be hers, for in glorious fullness the all-encompassing promise of the covenant will be fulfilled at last: Israel will become God’s people, and he will become their God, in spirit and truth (v. 23).</w:t>
      </w:r>
    </w:p>
    <w:p w14:paraId="1A86495B">
      <w:pPr>
        <w:pStyle w:val="9"/>
        <w:spacing w:before="11"/>
        <w:ind w:left="0"/>
        <w:jc w:val="left"/>
        <w:rPr>
          <w:rFonts w:hint="eastAsia"/>
          <w:sz w:val="30"/>
          <w:szCs w:val="30"/>
        </w:rPr>
      </w:pPr>
      <w:r>
        <w:rPr>
          <w:rFonts w:hint="eastAsia"/>
          <w:sz w:val="30"/>
          <w:szCs w:val="30"/>
        </w:rPr>
        <w:t>是的，在荣耀的丰满中，圣约的所有祝福都将归她所有，因为在荣耀的丰满中，圣约包罗万象的应许最终将得以实现：以色列将成为上帝的子民，祂将成为他们的上帝，在心灵和诚实里（23节）。</w:t>
      </w:r>
    </w:p>
    <w:p w14:paraId="04A8F00D">
      <w:pPr>
        <w:pStyle w:val="9"/>
        <w:spacing w:before="11"/>
        <w:ind w:left="0"/>
        <w:jc w:val="left"/>
        <w:rPr>
          <w:rFonts w:hint="eastAsia"/>
          <w:sz w:val="30"/>
          <w:szCs w:val="30"/>
        </w:rPr>
      </w:pPr>
    </w:p>
    <w:p w14:paraId="1818A4DA">
      <w:pPr>
        <w:pStyle w:val="9"/>
        <w:spacing w:before="11"/>
        <w:ind w:left="0"/>
        <w:jc w:val="left"/>
        <w:rPr>
          <w:rFonts w:hint="eastAsia"/>
          <w:sz w:val="30"/>
          <w:szCs w:val="30"/>
        </w:rPr>
      </w:pPr>
      <w:r>
        <w:rPr>
          <w:rFonts w:hint="eastAsia"/>
          <w:sz w:val="30"/>
          <w:szCs w:val="30"/>
        </w:rPr>
        <w:t>Like its prototypes in the Law, Hosea’s prophecy is not exhaustive: It does not mention every aspect or element of the cosmic redemption to come.</w:t>
      </w:r>
    </w:p>
    <w:p w14:paraId="34482763">
      <w:pPr>
        <w:pStyle w:val="9"/>
        <w:spacing w:before="11"/>
        <w:ind w:left="0"/>
        <w:jc w:val="left"/>
        <w:rPr>
          <w:rFonts w:hint="eastAsia"/>
          <w:sz w:val="30"/>
          <w:szCs w:val="30"/>
        </w:rPr>
      </w:pPr>
      <w:r>
        <w:rPr>
          <w:rFonts w:hint="eastAsia"/>
          <w:sz w:val="30"/>
          <w:szCs w:val="30"/>
        </w:rPr>
        <w:t>像它在律法中的原型一样，何西阿的预言并非详尽无遗：它没有提到将要来临的宇宙救赎的每一个方面或要素。</w:t>
      </w:r>
    </w:p>
    <w:p w14:paraId="0CAF04BE">
      <w:pPr>
        <w:pStyle w:val="9"/>
        <w:spacing w:before="11"/>
        <w:ind w:left="0"/>
        <w:jc w:val="left"/>
        <w:rPr>
          <w:rFonts w:hint="eastAsia"/>
          <w:sz w:val="30"/>
          <w:szCs w:val="30"/>
        </w:rPr>
      </w:pPr>
    </w:p>
    <w:p w14:paraId="35DCE855">
      <w:pPr>
        <w:pStyle w:val="9"/>
        <w:spacing w:before="11"/>
        <w:ind w:left="0"/>
        <w:jc w:val="left"/>
        <w:rPr>
          <w:rFonts w:hint="eastAsia"/>
          <w:sz w:val="30"/>
          <w:szCs w:val="30"/>
        </w:rPr>
      </w:pPr>
      <w:r>
        <w:rPr>
          <w:rFonts w:hint="eastAsia"/>
          <w:sz w:val="30"/>
          <w:szCs w:val="30"/>
        </w:rPr>
        <w:t>Nevertheless, it is representative.</w:t>
      </w:r>
    </w:p>
    <w:p w14:paraId="55351D40">
      <w:pPr>
        <w:pStyle w:val="9"/>
        <w:spacing w:before="11"/>
        <w:ind w:left="0"/>
        <w:jc w:val="left"/>
        <w:rPr>
          <w:rFonts w:hint="eastAsia"/>
          <w:sz w:val="30"/>
          <w:szCs w:val="30"/>
        </w:rPr>
      </w:pPr>
      <w:r>
        <w:rPr>
          <w:rFonts w:hint="eastAsia"/>
          <w:sz w:val="30"/>
          <w:szCs w:val="30"/>
        </w:rPr>
        <w:t>然而，它是具有代表性的。</w:t>
      </w:r>
    </w:p>
    <w:p w14:paraId="7B118F60">
      <w:pPr>
        <w:pStyle w:val="9"/>
        <w:spacing w:before="11"/>
        <w:ind w:left="0"/>
        <w:jc w:val="left"/>
        <w:rPr>
          <w:rFonts w:hint="eastAsia"/>
          <w:sz w:val="30"/>
          <w:szCs w:val="30"/>
        </w:rPr>
      </w:pPr>
    </w:p>
    <w:p w14:paraId="7C940080">
      <w:pPr>
        <w:pStyle w:val="9"/>
        <w:spacing w:before="11"/>
        <w:ind w:left="0"/>
        <w:jc w:val="left"/>
        <w:rPr>
          <w:rFonts w:hint="eastAsia"/>
          <w:sz w:val="30"/>
          <w:szCs w:val="30"/>
        </w:rPr>
      </w:pPr>
      <w:r>
        <w:rPr>
          <w:rFonts w:hint="eastAsia"/>
          <w:sz w:val="30"/>
          <w:szCs w:val="30"/>
        </w:rPr>
        <w:t>Like the other OTKP’s, it conforms —and contributes—to the overall picture of the Kingdom, a Kingdom that is decidedly redemptive in character.</w:t>
      </w:r>
    </w:p>
    <w:p w14:paraId="3CFA9FF2">
      <w:pPr>
        <w:pStyle w:val="9"/>
        <w:spacing w:before="11"/>
        <w:ind w:left="0"/>
        <w:jc w:val="left"/>
        <w:rPr>
          <w:rFonts w:hint="eastAsia"/>
          <w:sz w:val="30"/>
          <w:szCs w:val="30"/>
        </w:rPr>
      </w:pPr>
      <w:r>
        <w:rPr>
          <w:rFonts w:hint="eastAsia"/>
          <w:sz w:val="30"/>
          <w:szCs w:val="30"/>
        </w:rPr>
        <w:t>像其他的旧约国度预言（OTKP）一样，它符合——并且贡献于——国度的整体图景，这个国度在性质上是明确救赎性的。</w:t>
      </w:r>
    </w:p>
    <w:p w14:paraId="6E6FDA83">
      <w:pPr>
        <w:pStyle w:val="9"/>
        <w:spacing w:before="11"/>
        <w:ind w:left="0"/>
        <w:jc w:val="left"/>
        <w:rPr>
          <w:rFonts w:hint="eastAsia"/>
          <w:sz w:val="30"/>
          <w:szCs w:val="30"/>
        </w:rPr>
      </w:pPr>
    </w:p>
    <w:p w14:paraId="0B9A4718">
      <w:pPr>
        <w:pStyle w:val="9"/>
        <w:spacing w:before="11"/>
        <w:ind w:left="0"/>
        <w:jc w:val="left"/>
        <w:rPr>
          <w:rFonts w:hint="eastAsia"/>
          <w:sz w:val="30"/>
          <w:szCs w:val="30"/>
        </w:rPr>
      </w:pPr>
      <w:r>
        <w:rPr>
          <w:rFonts w:hint="eastAsia"/>
          <w:sz w:val="30"/>
          <w:szCs w:val="30"/>
        </w:rPr>
        <w:t>For again, the great majority of OTKP’s consistently tell us that in the last days God will act, the Messiah will come, atonement will be provided (Deut 32:43, Isaiah 53:11, Ezek. 16:60-63, Zech. 3:9, 5:5-11), forgiveness will be secured (Isaiah 27:9, Jer. 31:34, Micah 7:8-20), and the Spirit will be outpoured (Isaiah 44:1-5, Ezek. 36:27, 37:14, Joel 2:28-32)—all with a view to the rescue of God’s people and his creation from every spiritual and physical enemy, and to their eternal restoration to every spiritual and physical friend.</w:t>
      </w:r>
    </w:p>
    <w:p w14:paraId="582BA3FE">
      <w:pPr>
        <w:pStyle w:val="9"/>
        <w:spacing w:before="11"/>
        <w:ind w:left="0"/>
        <w:jc w:val="left"/>
        <w:rPr>
          <w:rFonts w:hint="eastAsia"/>
          <w:sz w:val="30"/>
          <w:szCs w:val="30"/>
        </w:rPr>
      </w:pPr>
      <w:r>
        <w:rPr>
          <w:rFonts w:hint="eastAsia"/>
          <w:sz w:val="30"/>
          <w:szCs w:val="30"/>
        </w:rPr>
        <w:t>因为，再次强调，绝大多数旧约国度预言（OTKP）一致地告诉我们，在末后的日子，上帝将要行动，弥赛亚将要来临，赎罪将被提供（申命记 32:43, 以赛亚书 53:11, 以西结书 16:60-63, 撒迦利亚书 3:9, 5:5-11），饶恕将被确保（以赛亚书 27:9, 耶利米书 31:34, 弥迦书 7:8-20），圣灵将被浇灌（以赛亚书 44:1-5, 以西结书 36:27, 37:14, 约珥书 2:28-32）——所有这一切都是为了将上帝的子民和祂的创造物从每一个属灵和物质的仇敌中拯救出来，并将他们永远恢复到每一个属灵和物质的朋友那里。</w:t>
      </w:r>
    </w:p>
    <w:p w14:paraId="04A1A527">
      <w:pPr>
        <w:pStyle w:val="9"/>
        <w:spacing w:before="11"/>
        <w:ind w:left="0"/>
        <w:jc w:val="left"/>
        <w:rPr>
          <w:rFonts w:hint="eastAsia"/>
          <w:sz w:val="30"/>
          <w:szCs w:val="30"/>
        </w:rPr>
      </w:pPr>
    </w:p>
    <w:p w14:paraId="644DDB57">
      <w:pPr>
        <w:pStyle w:val="9"/>
        <w:spacing w:before="11"/>
        <w:ind w:left="0"/>
        <w:jc w:val="left"/>
        <w:rPr>
          <w:rFonts w:hint="eastAsia"/>
          <w:sz w:val="30"/>
          <w:szCs w:val="30"/>
        </w:rPr>
      </w:pPr>
      <w:r>
        <w:rPr>
          <w:rFonts w:hint="eastAsia"/>
          <w:sz w:val="30"/>
          <w:szCs w:val="30"/>
        </w:rPr>
        <w:t>A brief survey of the abundant data reveals the magnitude of the cosmic redemption envisioned by the prophets.</w:t>
      </w:r>
    </w:p>
    <w:p w14:paraId="1C4D6559">
      <w:pPr>
        <w:pStyle w:val="9"/>
        <w:spacing w:before="11"/>
        <w:ind w:left="0"/>
        <w:jc w:val="left"/>
        <w:rPr>
          <w:rFonts w:hint="eastAsia"/>
          <w:sz w:val="30"/>
          <w:szCs w:val="30"/>
        </w:rPr>
      </w:pPr>
      <w:r>
        <w:rPr>
          <w:rFonts w:hint="eastAsia"/>
          <w:sz w:val="30"/>
          <w:szCs w:val="30"/>
        </w:rPr>
        <w:t>对丰富数据的简要考察揭示了先知们所设想的宇宙救赎的宏大规模。</w:t>
      </w:r>
    </w:p>
    <w:p w14:paraId="7EBECF93">
      <w:pPr>
        <w:pStyle w:val="9"/>
        <w:spacing w:before="11"/>
        <w:ind w:left="0"/>
        <w:jc w:val="left"/>
        <w:rPr>
          <w:rFonts w:hint="eastAsia"/>
          <w:sz w:val="30"/>
          <w:szCs w:val="30"/>
        </w:rPr>
      </w:pPr>
    </w:p>
    <w:p w14:paraId="7537B917">
      <w:pPr>
        <w:pStyle w:val="9"/>
        <w:spacing w:before="11"/>
        <w:ind w:left="0"/>
        <w:jc w:val="left"/>
        <w:rPr>
          <w:rFonts w:hint="eastAsia"/>
          <w:sz w:val="30"/>
          <w:szCs w:val="30"/>
        </w:rPr>
      </w:pPr>
      <w:r>
        <w:rPr>
          <w:rFonts w:hint="eastAsia"/>
          <w:sz w:val="30"/>
          <w:szCs w:val="30"/>
        </w:rPr>
        <w:t>The citizens of God’s coming Kingdom will be rescued from wrath (Isaiah 27:2f, 54:8-9), condemnation (Micah 7:8-20), fear (Isaiah 43:1, 55:14), their sinful heart of stone (Ezek. 11:19, 36:26), uncleanness (Zech. 13:1), foolishness (Isaiah 35:8), shame (Isaiah 5:4, 61:7, Ezek. 34:29), sorrow (Isaiah 25:6-9, 61:1-3, 65:19), Satan’s attacks and accusations (Isaiah 27:1, Zech. 3:2), human oppressors (Isaiah 54:14, Jer. 23:1-7, Ezek. 34:27), war (Isaiah 9:1-6, 11:10-16, Micah 4:1-5, Joel 3:1f), animal violence and predation (Isaiah 11:1-9, Ezek. 34:25), natural disasters (Isaiah 4:2-6, 65:23), poverty (Psalm 72:4, 12-14), sickness (Ezek. 34:16), and death itself (Psalm 22:9, Isaiah 25:6-9, 26:19, Ezek. 37:12-14).</w:t>
      </w:r>
    </w:p>
    <w:p w14:paraId="310A54CF">
      <w:pPr>
        <w:pStyle w:val="9"/>
        <w:spacing w:before="11"/>
        <w:ind w:left="0"/>
        <w:jc w:val="left"/>
        <w:rPr>
          <w:rFonts w:hint="eastAsia"/>
          <w:sz w:val="30"/>
          <w:szCs w:val="30"/>
        </w:rPr>
      </w:pPr>
      <w:r>
        <w:rPr>
          <w:rFonts w:hint="eastAsia"/>
          <w:sz w:val="30"/>
          <w:szCs w:val="30"/>
        </w:rPr>
        <w:t>上帝将要来临的国度的公民将被拯救脱离忿怒（以赛亚书 27:2及后文, 54:8-9）、定罪（弥迦书 7:8-20）、恐惧（以赛亚书 43:1, 55:14）、他们有罪的石心（以西结书 11:19, 36:26）、污秽（撒迦利亚书 13:1）、愚昧（以赛亚书 35:8）、羞耻（以赛亚书 5:4, 61:7, 以西结书 34:29）、悲哀（以赛亚书 25:6-9, 61:1-3, 65:19）、撒但的攻击和控告（以赛亚书 27:1, 撒迦利亚书 3:2）、人类压迫者（以赛亚书 54:14, 耶利米书 23:1-7, 以西结书 34:27）、战争（以赛亚书 9:1-6, 11:10-16, 弥迦书 4:1-5, 约珥书 3:1及后文）、动物暴力和捕食（以赛亚书 11:1-9, 以西结书 34:25）、自然灾害（以赛亚书 4:2-6, 65:23）、贫穷（诗篇 72:4, 12-14）、疾病（以西结书 34:16），以及死亡本身（诗篇 22:9, 以赛亚书 25:6-9, 26:19, 以西结书 37:12-14）。</w:t>
      </w:r>
    </w:p>
    <w:p w14:paraId="385A2BEB">
      <w:pPr>
        <w:pStyle w:val="9"/>
        <w:spacing w:before="11"/>
        <w:ind w:left="0"/>
        <w:jc w:val="left"/>
        <w:rPr>
          <w:rFonts w:hint="eastAsia"/>
          <w:sz w:val="30"/>
          <w:szCs w:val="30"/>
        </w:rPr>
      </w:pPr>
    </w:p>
    <w:p w14:paraId="4A4A215C">
      <w:pPr>
        <w:pStyle w:val="9"/>
        <w:spacing w:before="11"/>
        <w:ind w:left="0"/>
        <w:jc w:val="left"/>
        <w:rPr>
          <w:rFonts w:hint="eastAsia"/>
          <w:sz w:val="30"/>
          <w:szCs w:val="30"/>
        </w:rPr>
      </w:pPr>
      <w:r>
        <w:rPr>
          <w:rFonts w:hint="eastAsia"/>
          <w:sz w:val="30"/>
          <w:szCs w:val="30"/>
        </w:rPr>
        <w:t>On the other hand, they will be restored to divine favor (Isaiah 60:10, Zech. 11:17), forgiveness of sins (Isaiah 40:2, 43:25, 44:22), divine sonship (Isaiah 43:6-7, 56:5, Hos. 1:10), a heart of flesh (Ezek. 36:26), the fear of the</w:t>
      </w:r>
      <w:r>
        <w:rPr>
          <w:rFonts w:hint="eastAsia"/>
          <w:sz w:val="30"/>
          <w:szCs w:val="30"/>
        </w:rPr>
        <w:tab/>
      </w:r>
      <w:r>
        <w:rPr>
          <w:rFonts w:hint="eastAsia"/>
          <w:sz w:val="30"/>
          <w:szCs w:val="30"/>
        </w:rPr>
        <w:t>LORD</w:t>
      </w:r>
      <w:r>
        <w:rPr>
          <w:rFonts w:hint="eastAsia"/>
          <w:sz w:val="30"/>
          <w:szCs w:val="30"/>
        </w:rPr>
        <w:tab/>
      </w:r>
      <w:r>
        <w:rPr>
          <w:rFonts w:hint="eastAsia"/>
          <w:sz w:val="30"/>
          <w:szCs w:val="30"/>
        </w:rPr>
        <w:t>(Hos.</w:t>
      </w:r>
      <w:r>
        <w:rPr>
          <w:rFonts w:hint="eastAsia"/>
          <w:sz w:val="30"/>
          <w:szCs w:val="30"/>
        </w:rPr>
        <w:tab/>
      </w:r>
      <w:r>
        <w:rPr>
          <w:rFonts w:hint="eastAsia"/>
          <w:sz w:val="30"/>
          <w:szCs w:val="30"/>
        </w:rPr>
        <w:t>3:5,</w:t>
      </w:r>
      <w:r>
        <w:rPr>
          <w:rFonts w:hint="eastAsia"/>
          <w:sz w:val="30"/>
          <w:szCs w:val="30"/>
        </w:rPr>
        <w:tab/>
      </w:r>
      <w:r>
        <w:rPr>
          <w:rFonts w:hint="eastAsia"/>
          <w:sz w:val="30"/>
          <w:szCs w:val="30"/>
        </w:rPr>
        <w:t>11:10),</w:t>
      </w:r>
      <w:r>
        <w:rPr>
          <w:rFonts w:hint="eastAsia"/>
          <w:sz w:val="30"/>
          <w:szCs w:val="30"/>
        </w:rPr>
        <w:tab/>
      </w:r>
      <w:r>
        <w:rPr>
          <w:rFonts w:hint="eastAsia"/>
          <w:sz w:val="30"/>
          <w:szCs w:val="30"/>
        </w:rPr>
        <w:t>penitence</w:t>
      </w:r>
      <w:r>
        <w:rPr>
          <w:rFonts w:hint="eastAsia"/>
          <w:sz w:val="30"/>
          <w:szCs w:val="30"/>
        </w:rPr>
        <w:tab/>
      </w:r>
      <w:r>
        <w:rPr>
          <w:rFonts w:hint="eastAsia"/>
          <w:sz w:val="30"/>
          <w:szCs w:val="30"/>
        </w:rPr>
        <w:t>(Jer.</w:t>
      </w:r>
      <w:r>
        <w:rPr>
          <w:rFonts w:hint="eastAsia"/>
          <w:sz w:val="30"/>
          <w:szCs w:val="30"/>
        </w:rPr>
        <w:tab/>
      </w:r>
      <w:r>
        <w:rPr>
          <w:rFonts w:hint="eastAsia"/>
          <w:sz w:val="30"/>
          <w:szCs w:val="30"/>
        </w:rPr>
        <w:t>31:9,</w:t>
      </w:r>
      <w:r>
        <w:rPr>
          <w:rFonts w:hint="eastAsia"/>
          <w:sz w:val="30"/>
          <w:szCs w:val="30"/>
        </w:rPr>
        <w:tab/>
      </w:r>
      <w:r>
        <w:rPr>
          <w:rFonts w:hint="eastAsia"/>
          <w:sz w:val="30"/>
          <w:szCs w:val="30"/>
        </w:rPr>
        <w:t>Zech.</w:t>
      </w:r>
      <w:r>
        <w:rPr>
          <w:rFonts w:hint="eastAsia"/>
          <w:sz w:val="30"/>
          <w:szCs w:val="30"/>
        </w:rPr>
        <w:tab/>
      </w:r>
      <w:r>
        <w:rPr>
          <w:rFonts w:hint="eastAsia"/>
          <w:sz w:val="30"/>
          <w:szCs w:val="30"/>
        </w:rPr>
        <w:t>12:10-13), obedience (Jer. 31:33, Ezek. 36:27), faithfulness (Isaiah 1:26), holiness (Isaiah 35:8, 52:1, Zech. 14:20-21, Mal. 3:3), joy (Isaiah 12:3, 35:10, Jer. 33:10, Zeph. 3:14-20), peace (Isaiah 9:1-7, 11:10-16, Micah 5:5, Nahum 1:15, Zeph. 3:9-13), unity (Isaiah 19:18, 24, 33:16-24, Jer. 3:11-18, Ezek. 37:15f, Hosea 1:11), righteousness (Psalm 72, Isaiah 1:26, 9:1-7, 42:1-4), reproductive fruitfulness (Isaiah 49:19-21, 54:1-3, Ezek. 36:38, Zech. 10:10), prosperity (Psalm 22:27-31, Jer. 32:42, Ezek. 36:22-37, Amos 9:11- 18, Joel 2:18-27, Zech. 2:1-13, 8:12, 9:17), health (Jer. 30:17, 33:6, Hos. 6:1), longevity (Isaiah 65:20-22, Zech. 8:4), a new and transformed physical world (Isaiah 35:1f, 41:18-20, 43:19-21, 65:17, 25, Ezek.47:1-12, Zech. 14:1-8), eternal life in new resurrection bodies (Isaiah 25:6-8, 26:19, Dan. 12:2, Hosea 13:14), and everlasting enjoyment of the presence and glory of God (Isaiah 4:2-6, 33:16-24, 35:2, 40:1f, 43:7, 66:18, Ezek. 43:4-5, Hab. 2:14, Zech. 2:5).</w:t>
      </w:r>
    </w:p>
    <w:p w14:paraId="354CB339">
      <w:pPr>
        <w:pStyle w:val="9"/>
        <w:spacing w:before="11"/>
        <w:ind w:left="0"/>
        <w:jc w:val="left"/>
        <w:rPr>
          <w:rFonts w:hint="eastAsia"/>
          <w:sz w:val="30"/>
          <w:szCs w:val="30"/>
        </w:rPr>
      </w:pPr>
      <w:r>
        <w:rPr>
          <w:rFonts w:hint="eastAsia"/>
          <w:sz w:val="30"/>
          <w:szCs w:val="30"/>
        </w:rPr>
        <w:t>另一方面，他们将恢复到蒙神恩宠（以赛亚书 60:10, 撒迦利亚书 11:17）、罪得赦免（以赛亚书 40:2, 43:25, 44:22）、神圣的儿子名分（以赛亚书 43:6-7, 56:5, 何西阿书 1:10）、肉心（以西结书 36:26）、敬畏耶和华（何西阿书 3:5, 11:10）、悔罪（耶利米书 31:9, 撒迦利亚书 12:10-13）、顺服（耶利米书 31:33, 以西结书 36:27）、信实（以赛亚书 1:26）、圣洁（以赛亚书 35:8, 52:1, 撒迦利亚书 14:20-21, 玛拉基书 3:3）、喜乐（以赛亚书 12:3, 35:10, 耶利米书 33:10, 西番雅书 3:14-20）、和平（以赛亚书 9:1-7, 11:10-16, 弥迦书 5:5, 那鸿书 1:15, 西番雅书 3:9-13）、合一（以赛亚书 19:18, 24, 33:16-24, 耶利米书 3:11-18, 以西结书 37:15及后文, 何西阿书 1:11）、公义（诗篇 72, 以赛亚书 1:26, 9:1-7, 42:1-4）、生养众多（以赛亚书 49:19-21, 54:1-3, 以西结书 36:38, 撒迦利亚书 10:10）、繁荣（诗篇 22:27-31, 耶利米书 32:42, 以西结书 36:22-37, 阿摩司书 9:11-18, 约珥书 2:18-27, 撒迦利亚书 2:1-13, 8:12, 9:17）、健康（耶利米书 30:17, 33:6, 何西阿书 6:1）、长寿（以赛亚书 65:20-22, 撒迦利亚书 8:4）、一个全新且被改变的物质世界（以赛亚书 35:1及后文, 41:18-20, 43:19-21, 65:17, 25, 以西结书 47:1-12, 撒迦利亚书 14:1-8）、在新的复活身体里得永生（以赛亚书 25:6-8, 26:19, 但以理书 12:2, 何西阿书 13:14），以及永远享受上帝的同在和荣耀（以赛亚书 4:2-6, 33:16-24, 35:2, 40:1及后文, 43:7, 66:18, 以西结书 43:4-5, 哈巴谷书 2:14, 撒迦利亚书 2:5）。</w:t>
      </w:r>
    </w:p>
    <w:p w14:paraId="1578D558">
      <w:pPr>
        <w:pStyle w:val="9"/>
        <w:spacing w:before="11"/>
        <w:ind w:left="0"/>
        <w:jc w:val="left"/>
        <w:rPr>
          <w:rFonts w:hint="eastAsia"/>
          <w:sz w:val="30"/>
          <w:szCs w:val="30"/>
        </w:rPr>
      </w:pPr>
    </w:p>
    <w:p w14:paraId="7385BC5D">
      <w:pPr>
        <w:pStyle w:val="9"/>
        <w:spacing w:before="11"/>
        <w:ind w:left="0"/>
        <w:jc w:val="left"/>
        <w:rPr>
          <w:rFonts w:hint="eastAsia"/>
          <w:sz w:val="30"/>
          <w:szCs w:val="30"/>
        </w:rPr>
      </w:pPr>
      <w:r>
        <w:rPr>
          <w:rFonts w:hint="eastAsia"/>
          <w:sz w:val="30"/>
          <w:szCs w:val="30"/>
        </w:rPr>
        <w:t>If we consider these OTKP’s in the aggregate, it is clear that they are designed to convey one thing: the idea of absolute cosmic redemption.</w:t>
      </w:r>
    </w:p>
    <w:p w14:paraId="5C768469">
      <w:pPr>
        <w:pStyle w:val="9"/>
        <w:spacing w:before="11"/>
        <w:ind w:left="0"/>
        <w:jc w:val="left"/>
        <w:rPr>
          <w:rFonts w:hint="eastAsia"/>
          <w:sz w:val="30"/>
          <w:szCs w:val="30"/>
        </w:rPr>
      </w:pPr>
      <w:r>
        <w:rPr>
          <w:rFonts w:hint="eastAsia"/>
          <w:sz w:val="30"/>
          <w:szCs w:val="30"/>
        </w:rPr>
        <w:t>如果我们将这些旧约国度预言（OTKP）综合起来看，很明显它们旨在传达一件事：绝对的宇宙救赎的观念。</w:t>
      </w:r>
    </w:p>
    <w:p w14:paraId="7C44AFBC">
      <w:pPr>
        <w:pStyle w:val="9"/>
        <w:spacing w:before="11"/>
        <w:ind w:left="0"/>
        <w:jc w:val="left"/>
        <w:rPr>
          <w:rFonts w:hint="eastAsia"/>
          <w:sz w:val="30"/>
          <w:szCs w:val="30"/>
        </w:rPr>
      </w:pPr>
    </w:p>
    <w:p w14:paraId="0291A078">
      <w:pPr>
        <w:pStyle w:val="9"/>
        <w:spacing w:before="11"/>
        <w:ind w:left="0"/>
        <w:jc w:val="left"/>
        <w:rPr>
          <w:rFonts w:hint="eastAsia"/>
          <w:sz w:val="30"/>
          <w:szCs w:val="30"/>
        </w:rPr>
      </w:pPr>
      <w:r>
        <w:rPr>
          <w:rFonts w:hint="eastAsia"/>
          <w:sz w:val="30"/>
          <w:szCs w:val="30"/>
        </w:rPr>
        <w:t>We see this from their scope, which takes in Israel and the nations, man and nature, the spiritual as well as the physical.</w:t>
      </w:r>
    </w:p>
    <w:p w14:paraId="4C83E003">
      <w:pPr>
        <w:pStyle w:val="9"/>
        <w:spacing w:before="11"/>
        <w:ind w:left="0"/>
        <w:jc w:val="left"/>
        <w:rPr>
          <w:rFonts w:hint="eastAsia"/>
          <w:sz w:val="30"/>
          <w:szCs w:val="30"/>
        </w:rPr>
      </w:pPr>
      <w:r>
        <w:rPr>
          <w:rFonts w:hint="eastAsia"/>
          <w:sz w:val="30"/>
          <w:szCs w:val="30"/>
        </w:rPr>
        <w:t>我们从它们的范围中看到这一点，它涵盖了以色列和列国，人类和自然，属灵以及物质的层面。</w:t>
      </w:r>
    </w:p>
    <w:p w14:paraId="10C13FB1">
      <w:pPr>
        <w:pStyle w:val="9"/>
        <w:spacing w:before="11"/>
        <w:ind w:left="0"/>
        <w:jc w:val="left"/>
        <w:rPr>
          <w:rFonts w:hint="eastAsia"/>
          <w:sz w:val="30"/>
          <w:szCs w:val="30"/>
        </w:rPr>
      </w:pPr>
    </w:p>
    <w:p w14:paraId="37D113F7">
      <w:pPr>
        <w:pStyle w:val="9"/>
        <w:spacing w:before="11"/>
        <w:ind w:left="0"/>
        <w:jc w:val="left"/>
        <w:rPr>
          <w:rFonts w:hint="eastAsia"/>
          <w:sz w:val="30"/>
          <w:szCs w:val="30"/>
        </w:rPr>
      </w:pPr>
      <w:r>
        <w:rPr>
          <w:rFonts w:hint="eastAsia"/>
          <w:sz w:val="30"/>
          <w:szCs w:val="30"/>
        </w:rPr>
        <w:t>We also see it in their finality; in the fact that they manifestly speak of ultimate and eternal blessings, blessings that reflect and accord with the greatest blessing of all: the reentry of the sovereign God of glory into full, intimate communion with his people and his creation.</w:t>
      </w:r>
    </w:p>
    <w:p w14:paraId="14474236">
      <w:pPr>
        <w:pStyle w:val="9"/>
        <w:spacing w:before="11"/>
        <w:ind w:left="0"/>
        <w:jc w:val="left"/>
        <w:rPr>
          <w:rFonts w:hint="eastAsia"/>
          <w:sz w:val="30"/>
          <w:szCs w:val="30"/>
        </w:rPr>
      </w:pPr>
      <w:r>
        <w:rPr>
          <w:rFonts w:hint="eastAsia"/>
          <w:sz w:val="30"/>
          <w:szCs w:val="30"/>
        </w:rPr>
        <w:t>我们也在它们的终极性中看到这一点；即它们显然谈论的是终极和永恒的祝福，这些祝福反映并符合所有祝福中最大的祝福：荣耀的主权上帝重新进入与祂的子民和祂的创造物完全、亲密的交通之中。</w:t>
      </w:r>
    </w:p>
    <w:p w14:paraId="64EBE2B3">
      <w:pPr>
        <w:pStyle w:val="9"/>
        <w:spacing w:before="11"/>
        <w:ind w:left="0"/>
        <w:jc w:val="left"/>
        <w:rPr>
          <w:rFonts w:hint="eastAsia"/>
          <w:sz w:val="30"/>
          <w:szCs w:val="30"/>
        </w:rPr>
      </w:pPr>
    </w:p>
    <w:p w14:paraId="10CEDE88">
      <w:pPr>
        <w:pStyle w:val="9"/>
        <w:spacing w:before="11"/>
        <w:ind w:left="0"/>
        <w:jc w:val="left"/>
        <w:rPr>
          <w:rFonts w:hint="eastAsia"/>
          <w:sz w:val="30"/>
          <w:szCs w:val="30"/>
        </w:rPr>
      </w:pPr>
      <w:r>
        <w:rPr>
          <w:rFonts w:hint="eastAsia"/>
          <w:sz w:val="30"/>
          <w:szCs w:val="30"/>
        </w:rPr>
        <w:t>Moreover, some of these prophecies speak explicitly of absolute redemption.</w:t>
      </w:r>
    </w:p>
    <w:p w14:paraId="19682D04">
      <w:pPr>
        <w:pStyle w:val="9"/>
        <w:spacing w:before="11"/>
        <w:ind w:left="0"/>
        <w:jc w:val="left"/>
        <w:rPr>
          <w:rFonts w:hint="eastAsia"/>
          <w:sz w:val="30"/>
          <w:szCs w:val="30"/>
        </w:rPr>
      </w:pPr>
      <w:r>
        <w:rPr>
          <w:rFonts w:hint="eastAsia"/>
          <w:sz w:val="30"/>
          <w:szCs w:val="30"/>
        </w:rPr>
        <w:t>此外，其中一些预言明确地谈到了绝对的救赎。</w:t>
      </w:r>
    </w:p>
    <w:p w14:paraId="3CF52A6D">
      <w:pPr>
        <w:pStyle w:val="9"/>
        <w:spacing w:before="11"/>
        <w:ind w:left="0"/>
        <w:jc w:val="left"/>
        <w:rPr>
          <w:rFonts w:hint="eastAsia"/>
          <w:sz w:val="30"/>
          <w:szCs w:val="30"/>
        </w:rPr>
      </w:pPr>
    </w:p>
    <w:p w14:paraId="1FDA01D1">
      <w:pPr>
        <w:pStyle w:val="9"/>
        <w:spacing w:before="11"/>
        <w:ind w:left="0"/>
        <w:jc w:val="left"/>
        <w:rPr>
          <w:rFonts w:hint="eastAsia"/>
          <w:sz w:val="30"/>
          <w:szCs w:val="30"/>
        </w:rPr>
      </w:pPr>
      <w:r>
        <w:rPr>
          <w:rFonts w:hint="eastAsia"/>
          <w:sz w:val="30"/>
          <w:szCs w:val="30"/>
        </w:rPr>
        <w:t>Isaiah, for example, tells us that in the days of the Kingdom God will make the wilderness of Zion like Eden, and her desert like the Garden of the LORD (Isaiah 51:3).</w:t>
      </w:r>
    </w:p>
    <w:p w14:paraId="3CE6CAC4">
      <w:pPr>
        <w:pStyle w:val="9"/>
        <w:spacing w:before="11"/>
        <w:ind w:left="0"/>
        <w:jc w:val="left"/>
        <w:rPr>
          <w:rFonts w:hint="eastAsia"/>
          <w:sz w:val="30"/>
          <w:szCs w:val="30"/>
        </w:rPr>
      </w:pPr>
      <w:r>
        <w:rPr>
          <w:rFonts w:hint="eastAsia"/>
          <w:sz w:val="30"/>
          <w:szCs w:val="30"/>
        </w:rPr>
        <w:t>例如，以赛亚告诉我们，在国度的日子里，上帝要使锡安的旷野像伊甸，使其沙漠像耶和华的园囿（以赛亚书 51:3）。</w:t>
      </w:r>
    </w:p>
    <w:p w14:paraId="6785A146">
      <w:pPr>
        <w:pStyle w:val="9"/>
        <w:spacing w:before="11"/>
        <w:ind w:left="0"/>
        <w:jc w:val="left"/>
        <w:rPr>
          <w:rFonts w:hint="eastAsia"/>
          <w:sz w:val="30"/>
          <w:szCs w:val="30"/>
        </w:rPr>
      </w:pPr>
    </w:p>
    <w:p w14:paraId="1A2391E5">
      <w:pPr>
        <w:pStyle w:val="9"/>
        <w:spacing w:before="11"/>
        <w:ind w:left="0"/>
        <w:jc w:val="left"/>
        <w:rPr>
          <w:rFonts w:hint="eastAsia"/>
          <w:sz w:val="30"/>
          <w:szCs w:val="30"/>
        </w:rPr>
      </w:pPr>
      <w:r>
        <w:rPr>
          <w:rFonts w:hint="eastAsia"/>
          <w:sz w:val="30"/>
          <w:szCs w:val="30"/>
        </w:rPr>
        <w:t>Similarly, Ezekiel declares that when God restores Israel, her neighbors will see and testify that the land which was formerly desolate has now become like the Garden of Eden; and that the wasted, desolate, and ruined cities are now fortified and inhabited (Ezek. 36:35).</w:t>
      </w:r>
    </w:p>
    <w:p w14:paraId="1AE07E8C">
      <w:pPr>
        <w:pStyle w:val="9"/>
        <w:spacing w:before="11"/>
        <w:ind w:left="0"/>
        <w:jc w:val="left"/>
        <w:rPr>
          <w:rFonts w:hint="eastAsia"/>
          <w:sz w:val="30"/>
          <w:szCs w:val="30"/>
        </w:rPr>
      </w:pPr>
      <w:r>
        <w:rPr>
          <w:rFonts w:hint="eastAsia"/>
          <w:sz w:val="30"/>
          <w:szCs w:val="30"/>
        </w:rPr>
        <w:t>同样，以西结宣告，当上帝复兴以色列时，她的邻国将看到并见证，那片先前荒凉的土地如今已变得像伊甸园一样；那些被毁坏、荒凉和败坏的城邑如今也已坚固并有人居住（以西结书 36:35）。</w:t>
      </w:r>
    </w:p>
    <w:p w14:paraId="7F0B28B2">
      <w:pPr>
        <w:pStyle w:val="9"/>
        <w:spacing w:before="11"/>
        <w:ind w:left="0"/>
        <w:jc w:val="left"/>
        <w:rPr>
          <w:rFonts w:hint="eastAsia"/>
          <w:sz w:val="30"/>
          <w:szCs w:val="30"/>
        </w:rPr>
      </w:pPr>
    </w:p>
    <w:p w14:paraId="4D883148">
      <w:pPr>
        <w:pStyle w:val="9"/>
        <w:spacing w:before="11"/>
        <w:ind w:left="0"/>
        <w:jc w:val="left"/>
        <w:rPr>
          <w:rFonts w:hint="eastAsia"/>
          <w:sz w:val="30"/>
          <w:szCs w:val="30"/>
        </w:rPr>
      </w:pPr>
      <w:r>
        <w:rPr>
          <w:rFonts w:hint="eastAsia"/>
          <w:sz w:val="30"/>
          <w:szCs w:val="30"/>
        </w:rPr>
        <w:t>In conjunction with related predictions of the eschatological destruction of Satan and his kingdom (Isaiah 14:3-20, Ezek. 28:12-19), these two prophecies clearly intend to affirm that “in that day” the great and prototypical promise of Genesis 3:15 will at last be fulfilled: The Serpent and his seed will be completely crushed, the evil fruits of their work altogether rolled back, and Paradise forever regained.</w:t>
      </w:r>
    </w:p>
    <w:p w14:paraId="0DB18B2C">
      <w:pPr>
        <w:pStyle w:val="9"/>
        <w:spacing w:before="11"/>
        <w:ind w:left="0"/>
        <w:jc w:val="left"/>
        <w:rPr>
          <w:rFonts w:hint="eastAsia"/>
          <w:sz w:val="30"/>
          <w:szCs w:val="30"/>
        </w:rPr>
      </w:pPr>
      <w:r>
        <w:rPr>
          <w:rFonts w:hint="eastAsia"/>
          <w:sz w:val="30"/>
          <w:szCs w:val="30"/>
        </w:rPr>
        <w:t>与相关的关于末世时撒但及其国度被毁灭的预言（以赛亚书 14:3-20, 以西结书 28:12-19）相结合，这两处预言清楚地意在确认，“在那日”，创世记 3:15 的伟大且具原型意义的应许终将实现：蛇和它的后裔将被彻底粉碎，他们邪恶工作的果实将完全被消除，乐园将永远被重获。</w:t>
      </w:r>
    </w:p>
    <w:p w14:paraId="16ADE17B">
      <w:pPr>
        <w:pStyle w:val="9"/>
        <w:spacing w:before="11"/>
        <w:ind w:left="0"/>
        <w:jc w:val="left"/>
        <w:rPr>
          <w:rFonts w:hint="eastAsia"/>
          <w:sz w:val="30"/>
          <w:szCs w:val="30"/>
        </w:rPr>
      </w:pPr>
    </w:p>
    <w:p w14:paraId="60D79AC9">
      <w:pPr>
        <w:pStyle w:val="9"/>
        <w:spacing w:before="11"/>
        <w:ind w:left="0"/>
        <w:jc w:val="left"/>
        <w:rPr>
          <w:rFonts w:hint="eastAsia"/>
          <w:sz w:val="30"/>
          <w:szCs w:val="30"/>
        </w:rPr>
      </w:pPr>
      <w:r>
        <w:rPr>
          <w:rFonts w:hint="eastAsia"/>
          <w:sz w:val="30"/>
          <w:szCs w:val="30"/>
        </w:rPr>
        <w:t>In short, absolute cosmic redemption will come.</w:t>
      </w:r>
    </w:p>
    <w:p w14:paraId="79A87DD0">
      <w:pPr>
        <w:pStyle w:val="9"/>
        <w:spacing w:before="11"/>
        <w:ind w:left="0"/>
        <w:jc w:val="left"/>
        <w:rPr>
          <w:rFonts w:hint="eastAsia"/>
          <w:sz w:val="30"/>
          <w:szCs w:val="30"/>
        </w:rPr>
      </w:pPr>
      <w:r>
        <w:rPr>
          <w:rFonts w:hint="eastAsia"/>
          <w:sz w:val="30"/>
          <w:szCs w:val="30"/>
        </w:rPr>
        <w:t>简而言之，绝对的宇宙救赎将会来临。</w:t>
      </w:r>
    </w:p>
    <w:p w14:paraId="525C8BF5">
      <w:pPr>
        <w:pStyle w:val="9"/>
        <w:spacing w:before="11"/>
        <w:ind w:left="0"/>
        <w:jc w:val="left"/>
        <w:rPr>
          <w:rFonts w:hint="eastAsia"/>
          <w:sz w:val="30"/>
          <w:szCs w:val="30"/>
        </w:rPr>
      </w:pPr>
    </w:p>
    <w:p w14:paraId="5564433A">
      <w:pPr>
        <w:pStyle w:val="9"/>
        <w:spacing w:before="11"/>
        <w:ind w:left="0"/>
        <w:jc w:val="left"/>
        <w:rPr>
          <w:rFonts w:hint="eastAsia"/>
          <w:sz w:val="30"/>
          <w:szCs w:val="30"/>
        </w:rPr>
      </w:pPr>
      <w:r>
        <w:rPr>
          <w:rFonts w:hint="eastAsia"/>
          <w:sz w:val="30"/>
          <w:szCs w:val="30"/>
        </w:rPr>
        <w:t>Nevertheless, a careful scrutiny of its precise details warns us against receiving this stream of OTKP too literally; against thinking that the representative OT idea of a rescued and restored cosmos is meant to picture the world to come as it actually will be; against thinking that here we are not seeing through a glass darkly.</w:t>
      </w:r>
    </w:p>
    <w:p w14:paraId="497F6049">
      <w:pPr>
        <w:pStyle w:val="9"/>
        <w:spacing w:before="11"/>
        <w:ind w:left="0"/>
        <w:jc w:val="left"/>
        <w:rPr>
          <w:rFonts w:hint="eastAsia"/>
          <w:sz w:val="30"/>
          <w:szCs w:val="30"/>
        </w:rPr>
      </w:pPr>
      <w:r>
        <w:rPr>
          <w:rFonts w:hint="eastAsia"/>
          <w:sz w:val="30"/>
          <w:szCs w:val="30"/>
        </w:rPr>
        <w:t>然而，对其精确细节的仔细审视警告我们，不要过于字面地接受这一系列的旧约国度预言（OTKP）；不要认为关于一个被拯救和恢复的宇宙的代表性旧约观念意在描绘未来世界实际的样子；不要认为我们在这里不是透过模糊的镜子观看。</w:t>
      </w:r>
    </w:p>
    <w:p w14:paraId="0440F44B">
      <w:pPr>
        <w:pStyle w:val="9"/>
        <w:spacing w:before="11"/>
        <w:ind w:left="0"/>
        <w:jc w:val="left"/>
        <w:rPr>
          <w:rFonts w:hint="eastAsia"/>
          <w:sz w:val="30"/>
          <w:szCs w:val="30"/>
        </w:rPr>
      </w:pPr>
    </w:p>
    <w:p w14:paraId="5DE09AAD">
      <w:pPr>
        <w:pStyle w:val="9"/>
        <w:spacing w:before="11"/>
        <w:ind w:left="0"/>
        <w:jc w:val="left"/>
        <w:rPr>
          <w:rFonts w:hint="eastAsia"/>
          <w:sz w:val="30"/>
          <w:szCs w:val="30"/>
        </w:rPr>
      </w:pPr>
      <w:r>
        <w:rPr>
          <w:rFonts w:hint="eastAsia"/>
          <w:sz w:val="30"/>
          <w:szCs w:val="30"/>
        </w:rPr>
        <w:t>In part, we arrive at this conclusion from still more apparent contradictions.</w:t>
      </w:r>
    </w:p>
    <w:p w14:paraId="461DB8E4">
      <w:pPr>
        <w:pStyle w:val="9"/>
        <w:spacing w:before="11"/>
        <w:ind w:left="0"/>
        <w:jc w:val="left"/>
        <w:rPr>
          <w:rFonts w:hint="eastAsia"/>
          <w:sz w:val="30"/>
          <w:szCs w:val="30"/>
        </w:rPr>
      </w:pPr>
      <w:r>
        <w:rPr>
          <w:rFonts w:hint="eastAsia"/>
          <w:sz w:val="30"/>
          <w:szCs w:val="30"/>
        </w:rPr>
        <w:t>部分地，我们是通过更多明显的矛盾得出这个结论的。</w:t>
      </w:r>
    </w:p>
    <w:p w14:paraId="61DFD867">
      <w:pPr>
        <w:pStyle w:val="9"/>
        <w:spacing w:before="11"/>
        <w:ind w:left="0"/>
        <w:jc w:val="left"/>
        <w:rPr>
          <w:rFonts w:hint="eastAsia"/>
          <w:sz w:val="30"/>
          <w:szCs w:val="30"/>
        </w:rPr>
      </w:pPr>
    </w:p>
    <w:p w14:paraId="42F77B61">
      <w:pPr>
        <w:pStyle w:val="9"/>
        <w:spacing w:before="11"/>
        <w:ind w:left="0"/>
        <w:jc w:val="left"/>
        <w:rPr>
          <w:rFonts w:hint="eastAsia"/>
          <w:sz w:val="30"/>
          <w:szCs w:val="30"/>
        </w:rPr>
      </w:pPr>
      <w:r>
        <w:rPr>
          <w:rFonts w:hint="eastAsia"/>
          <w:sz w:val="30"/>
          <w:szCs w:val="30"/>
        </w:rPr>
        <w:t>Let us briefly consider just a few.</w:t>
      </w:r>
    </w:p>
    <w:p w14:paraId="06254369">
      <w:pPr>
        <w:pStyle w:val="9"/>
        <w:spacing w:before="11"/>
        <w:ind w:left="0"/>
        <w:jc w:val="left"/>
        <w:rPr>
          <w:rFonts w:hint="eastAsia"/>
          <w:sz w:val="30"/>
          <w:szCs w:val="30"/>
        </w:rPr>
      </w:pPr>
      <w:r>
        <w:rPr>
          <w:rFonts w:hint="eastAsia"/>
          <w:sz w:val="30"/>
          <w:szCs w:val="30"/>
        </w:rPr>
        <w:t>让我们简要地思考几个例子。</w:t>
      </w:r>
    </w:p>
    <w:p w14:paraId="25341C74">
      <w:pPr>
        <w:pStyle w:val="9"/>
        <w:spacing w:before="11"/>
        <w:ind w:left="0"/>
        <w:jc w:val="left"/>
        <w:rPr>
          <w:rFonts w:hint="eastAsia"/>
          <w:sz w:val="30"/>
          <w:szCs w:val="30"/>
        </w:rPr>
      </w:pPr>
    </w:p>
    <w:p w14:paraId="2C5C0E4D">
      <w:pPr>
        <w:pStyle w:val="9"/>
        <w:spacing w:before="11"/>
        <w:ind w:left="0"/>
        <w:jc w:val="left"/>
        <w:rPr>
          <w:rFonts w:hint="eastAsia"/>
          <w:sz w:val="30"/>
          <w:szCs w:val="30"/>
        </w:rPr>
      </w:pPr>
      <w:r>
        <w:rPr>
          <w:rFonts w:hint="eastAsia"/>
          <w:sz w:val="30"/>
          <w:szCs w:val="30"/>
        </w:rPr>
        <w:t>Over and again the prophets tell us that in the days of the Kingdom all men and all nations will worship the LORD (Psalm 22:27, 66:4, Dan. 7:27, Zeph. 2:7).</w:t>
      </w:r>
    </w:p>
    <w:p w14:paraId="5286371A">
      <w:pPr>
        <w:pStyle w:val="9"/>
        <w:spacing w:before="11"/>
        <w:ind w:left="0"/>
        <w:jc w:val="left"/>
        <w:rPr>
          <w:rFonts w:hint="eastAsia"/>
          <w:sz w:val="30"/>
          <w:szCs w:val="30"/>
        </w:rPr>
      </w:pPr>
      <w:r>
        <w:rPr>
          <w:rFonts w:hint="eastAsia"/>
          <w:sz w:val="30"/>
          <w:szCs w:val="30"/>
        </w:rPr>
        <w:t>先知们一再告诉我们，在国度的日子里，所有的人和所有的国家都将敬拜耶和华（诗篇 22:27, 66:4, 但以理书 7:27, 西番雅书 2:7）。</w:t>
      </w:r>
    </w:p>
    <w:p w14:paraId="189C06A0">
      <w:pPr>
        <w:pStyle w:val="9"/>
        <w:spacing w:before="11"/>
        <w:ind w:left="0"/>
        <w:jc w:val="left"/>
        <w:rPr>
          <w:rFonts w:hint="eastAsia"/>
          <w:sz w:val="30"/>
          <w:szCs w:val="30"/>
        </w:rPr>
      </w:pPr>
    </w:p>
    <w:p w14:paraId="0C3908B4">
      <w:pPr>
        <w:pStyle w:val="9"/>
        <w:spacing w:before="11"/>
        <w:ind w:left="0"/>
        <w:jc w:val="left"/>
        <w:rPr>
          <w:rFonts w:hint="eastAsia"/>
          <w:sz w:val="30"/>
          <w:szCs w:val="30"/>
        </w:rPr>
      </w:pPr>
      <w:r>
        <w:rPr>
          <w:rFonts w:hint="eastAsia"/>
          <w:sz w:val="30"/>
          <w:szCs w:val="30"/>
        </w:rPr>
        <w:t>Yet Zechariah forewarns us that Egypt and other rebellious nations will refuse to go up from year to year to Jerusalem to worship the LORD of hosts and to keep the Feast of Tabernacles, for which sin they will be sorely judged (Zech. 14:16-19).</w:t>
      </w:r>
    </w:p>
    <w:p w14:paraId="57125CAE">
      <w:pPr>
        <w:pStyle w:val="9"/>
        <w:spacing w:before="11"/>
        <w:ind w:left="0"/>
        <w:jc w:val="left"/>
        <w:rPr>
          <w:rFonts w:hint="eastAsia"/>
          <w:sz w:val="30"/>
          <w:szCs w:val="30"/>
        </w:rPr>
      </w:pPr>
      <w:r>
        <w:rPr>
          <w:rFonts w:hint="eastAsia"/>
          <w:sz w:val="30"/>
          <w:szCs w:val="30"/>
        </w:rPr>
        <w:t>然而，撒迦利亚预先警告我们，埃及和其他叛逆的国家将拒绝年年上耶路撒冷去敬拜万军之耶和华和守住棚节，他们将因此罪受到严厉的审判（撒迦利亚书 14:16-19）。</w:t>
      </w:r>
    </w:p>
    <w:p w14:paraId="799C7CC9">
      <w:pPr>
        <w:pStyle w:val="9"/>
        <w:spacing w:before="11"/>
        <w:ind w:left="0"/>
        <w:jc w:val="left"/>
        <w:rPr>
          <w:rFonts w:hint="eastAsia"/>
          <w:sz w:val="30"/>
          <w:szCs w:val="30"/>
        </w:rPr>
      </w:pPr>
    </w:p>
    <w:p w14:paraId="48043A2A">
      <w:pPr>
        <w:pStyle w:val="9"/>
        <w:spacing w:before="11"/>
        <w:ind w:left="0"/>
        <w:jc w:val="left"/>
        <w:rPr>
          <w:rFonts w:hint="eastAsia"/>
          <w:sz w:val="30"/>
          <w:szCs w:val="30"/>
        </w:rPr>
      </w:pPr>
      <w:r>
        <w:rPr>
          <w:rFonts w:hint="eastAsia"/>
          <w:sz w:val="30"/>
          <w:szCs w:val="30"/>
        </w:rPr>
        <w:t>Note carefully: There is nothing here about a millennium.</w:t>
      </w:r>
    </w:p>
    <w:p w14:paraId="01422097">
      <w:pPr>
        <w:pStyle w:val="9"/>
        <w:spacing w:before="11"/>
        <w:ind w:left="0"/>
        <w:jc w:val="left"/>
        <w:rPr>
          <w:rFonts w:hint="eastAsia"/>
          <w:sz w:val="30"/>
          <w:szCs w:val="30"/>
        </w:rPr>
      </w:pPr>
      <w:r>
        <w:rPr>
          <w:rFonts w:hint="eastAsia"/>
          <w:sz w:val="30"/>
          <w:szCs w:val="30"/>
        </w:rPr>
        <w:t>请仔细注意：这里没有任何关于千禧年的内容。</w:t>
      </w:r>
    </w:p>
    <w:p w14:paraId="1345E90C">
      <w:pPr>
        <w:pStyle w:val="9"/>
        <w:spacing w:before="11"/>
        <w:ind w:left="0"/>
        <w:jc w:val="left"/>
        <w:rPr>
          <w:rFonts w:hint="eastAsia"/>
          <w:sz w:val="30"/>
          <w:szCs w:val="30"/>
        </w:rPr>
      </w:pPr>
    </w:p>
    <w:p w14:paraId="4499325D">
      <w:pPr>
        <w:pStyle w:val="9"/>
        <w:spacing w:before="11"/>
        <w:ind w:left="0"/>
        <w:jc w:val="left"/>
        <w:rPr>
          <w:rFonts w:hint="eastAsia"/>
          <w:sz w:val="30"/>
          <w:szCs w:val="30"/>
        </w:rPr>
      </w:pPr>
      <w:r>
        <w:rPr>
          <w:rFonts w:hint="eastAsia"/>
          <w:sz w:val="30"/>
          <w:szCs w:val="30"/>
        </w:rPr>
        <w:t>The prophet is clearly speaking of the eternal Kingdom.</w:t>
      </w:r>
    </w:p>
    <w:p w14:paraId="6CF7D2CC">
      <w:pPr>
        <w:pStyle w:val="9"/>
        <w:spacing w:before="11"/>
        <w:ind w:left="0"/>
        <w:jc w:val="left"/>
        <w:rPr>
          <w:rFonts w:hint="eastAsia"/>
          <w:sz w:val="30"/>
          <w:szCs w:val="30"/>
        </w:rPr>
      </w:pPr>
      <w:r>
        <w:rPr>
          <w:rFonts w:hint="eastAsia"/>
          <w:sz w:val="30"/>
          <w:szCs w:val="30"/>
        </w:rPr>
        <w:t>先知显然是在谈论永恒的国度。</w:t>
      </w:r>
    </w:p>
    <w:p w14:paraId="41C10206">
      <w:pPr>
        <w:pStyle w:val="9"/>
        <w:spacing w:before="11"/>
        <w:ind w:left="0"/>
        <w:jc w:val="left"/>
        <w:rPr>
          <w:rFonts w:hint="eastAsia"/>
          <w:sz w:val="30"/>
          <w:szCs w:val="30"/>
        </w:rPr>
      </w:pPr>
    </w:p>
    <w:p w14:paraId="29860171">
      <w:pPr>
        <w:pStyle w:val="9"/>
        <w:spacing w:before="11"/>
        <w:ind w:left="0"/>
        <w:jc w:val="left"/>
        <w:rPr>
          <w:rFonts w:hint="eastAsia"/>
          <w:sz w:val="30"/>
          <w:szCs w:val="30"/>
        </w:rPr>
      </w:pPr>
      <w:r>
        <w:rPr>
          <w:rFonts w:hint="eastAsia"/>
          <w:sz w:val="30"/>
          <w:szCs w:val="30"/>
        </w:rPr>
        <w:t>How then shall we understand this apparent blot upon the face of a world redeemed once and for all?</w:t>
      </w:r>
    </w:p>
    <w:p w14:paraId="29ED3A53">
      <w:pPr>
        <w:pStyle w:val="9"/>
        <w:spacing w:before="11"/>
        <w:ind w:left="0"/>
        <w:jc w:val="left"/>
        <w:rPr>
          <w:rFonts w:hint="eastAsia"/>
          <w:sz w:val="30"/>
          <w:szCs w:val="30"/>
        </w:rPr>
      </w:pPr>
      <w:r>
        <w:rPr>
          <w:rFonts w:hint="eastAsia"/>
          <w:sz w:val="30"/>
          <w:szCs w:val="30"/>
        </w:rPr>
        <w:t>那么，我们该如何理解这个在一个一次性被救赎的世界表面上出现的明显污点呢？</w:t>
      </w:r>
    </w:p>
    <w:p w14:paraId="02C2A132">
      <w:pPr>
        <w:pStyle w:val="9"/>
        <w:spacing w:before="11"/>
        <w:ind w:left="0"/>
        <w:jc w:val="left"/>
        <w:rPr>
          <w:rFonts w:hint="eastAsia"/>
          <w:sz w:val="30"/>
          <w:szCs w:val="30"/>
        </w:rPr>
      </w:pPr>
    </w:p>
    <w:p w14:paraId="18C00F20">
      <w:pPr>
        <w:pStyle w:val="9"/>
        <w:spacing w:before="11"/>
        <w:ind w:left="0"/>
        <w:jc w:val="left"/>
        <w:rPr>
          <w:rFonts w:hint="eastAsia"/>
          <w:sz w:val="30"/>
          <w:szCs w:val="30"/>
        </w:rPr>
      </w:pPr>
      <w:r>
        <w:rPr>
          <w:rFonts w:hint="eastAsia"/>
          <w:sz w:val="30"/>
          <w:szCs w:val="30"/>
        </w:rPr>
        <w:t>Again, any number of OTKP’s teach that in Kingdom times nation will not lift up sword against nation (Isaiah 2:4); that instead they will beat their swords into plowshares (Micah 4:3); that of the increase of the Messiah’s government and of peace there shall be no end (Isaiah 9:6); and that no foreign enemy will ever again invade Israel’s homeland (Joel 3:17, Ezek. 34:28).</w:t>
      </w:r>
    </w:p>
    <w:p w14:paraId="22817E60">
      <w:pPr>
        <w:pStyle w:val="9"/>
        <w:spacing w:before="11"/>
        <w:ind w:left="0"/>
        <w:jc w:val="left"/>
        <w:rPr>
          <w:rFonts w:hint="eastAsia"/>
          <w:sz w:val="30"/>
          <w:szCs w:val="30"/>
        </w:rPr>
      </w:pPr>
      <w:r>
        <w:rPr>
          <w:rFonts w:hint="eastAsia"/>
          <w:sz w:val="30"/>
          <w:szCs w:val="30"/>
        </w:rPr>
        <w:t>再次，许多旧约国度预言（OTKP）教导说，在国度时期，国不举刀攻击国（以赛亚书 2:4）；相反，他们要将刀打成犁头（弥迦书 4:3）；弥赛亚的政权与平安必加增无穷，没有穷尽（以赛亚书 9:6）；再也没有外敌会入侵以色列的家园（约珥书 3:17, 以西结书 34:28）。</w:t>
      </w:r>
    </w:p>
    <w:p w14:paraId="3B9B6699">
      <w:pPr>
        <w:pStyle w:val="9"/>
        <w:spacing w:before="11"/>
        <w:ind w:left="0"/>
        <w:jc w:val="left"/>
        <w:rPr>
          <w:rFonts w:hint="eastAsia"/>
          <w:sz w:val="30"/>
          <w:szCs w:val="30"/>
        </w:rPr>
      </w:pPr>
    </w:p>
    <w:p w14:paraId="705941A2">
      <w:pPr>
        <w:pStyle w:val="9"/>
        <w:spacing w:before="11"/>
        <w:ind w:left="0"/>
        <w:jc w:val="left"/>
        <w:rPr>
          <w:rFonts w:hint="eastAsia"/>
          <w:sz w:val="30"/>
          <w:szCs w:val="30"/>
        </w:rPr>
      </w:pPr>
      <w:r>
        <w:rPr>
          <w:rFonts w:hint="eastAsia"/>
          <w:sz w:val="30"/>
          <w:szCs w:val="30"/>
        </w:rPr>
        <w:t>Yet Micah, fully expecting eschatological Assyria to attack Israel and tread in her palaces, promises that in those days the Messiah and his armies will thoroughly repulse the enemy, carrying the battle to the very entrances of the land of Nimrod (Micah 5:5-6).</w:t>
      </w:r>
    </w:p>
    <w:p w14:paraId="7A6C635A">
      <w:pPr>
        <w:pStyle w:val="9"/>
        <w:spacing w:before="11"/>
        <w:ind w:left="0"/>
        <w:jc w:val="left"/>
        <w:rPr>
          <w:rFonts w:hint="eastAsia"/>
          <w:sz w:val="30"/>
          <w:szCs w:val="30"/>
        </w:rPr>
      </w:pPr>
      <w:r>
        <w:rPr>
          <w:rFonts w:hint="eastAsia"/>
          <w:sz w:val="30"/>
          <w:szCs w:val="30"/>
        </w:rPr>
        <w:t>然而，弥迦完全预料到末世的亚述会攻击以色列并践踏她的宫殿，他应许说在那些日子里，弥赛亚和祂的军队将彻底击退敌人，将战火带到宁录之地的入口处（弥迦书 5:5-6）。</w:t>
      </w:r>
    </w:p>
    <w:p w14:paraId="1CFCBAD2">
      <w:pPr>
        <w:pStyle w:val="9"/>
        <w:spacing w:before="11"/>
        <w:ind w:left="0"/>
        <w:jc w:val="left"/>
        <w:rPr>
          <w:rFonts w:hint="eastAsia"/>
          <w:sz w:val="30"/>
          <w:szCs w:val="30"/>
        </w:rPr>
      </w:pPr>
    </w:p>
    <w:p w14:paraId="247BC113">
      <w:pPr>
        <w:pStyle w:val="9"/>
        <w:spacing w:before="11"/>
        <w:ind w:left="0"/>
        <w:jc w:val="left"/>
        <w:rPr>
          <w:rFonts w:hint="eastAsia"/>
          <w:sz w:val="30"/>
          <w:szCs w:val="30"/>
        </w:rPr>
      </w:pPr>
      <w:r>
        <w:rPr>
          <w:rFonts w:hint="eastAsia"/>
          <w:sz w:val="30"/>
          <w:szCs w:val="30"/>
        </w:rPr>
        <w:t>All of these prophecies pertain to the one Kingdom.</w:t>
      </w:r>
    </w:p>
    <w:p w14:paraId="7F4B65E8">
      <w:pPr>
        <w:pStyle w:val="9"/>
        <w:spacing w:before="11"/>
        <w:ind w:left="0"/>
        <w:jc w:val="left"/>
        <w:rPr>
          <w:rFonts w:hint="eastAsia"/>
          <w:sz w:val="30"/>
          <w:szCs w:val="30"/>
        </w:rPr>
      </w:pPr>
      <w:r>
        <w:rPr>
          <w:rFonts w:hint="eastAsia"/>
          <w:sz w:val="30"/>
          <w:szCs w:val="30"/>
        </w:rPr>
        <w:t>所有这些预言都关乎同一个国度。</w:t>
      </w:r>
    </w:p>
    <w:p w14:paraId="0C639F5B">
      <w:pPr>
        <w:pStyle w:val="9"/>
        <w:spacing w:before="11"/>
        <w:ind w:left="0"/>
        <w:jc w:val="left"/>
        <w:rPr>
          <w:rFonts w:hint="eastAsia"/>
          <w:sz w:val="30"/>
          <w:szCs w:val="30"/>
        </w:rPr>
      </w:pPr>
    </w:p>
    <w:p w14:paraId="087E4C30">
      <w:pPr>
        <w:pStyle w:val="9"/>
        <w:spacing w:before="11"/>
        <w:ind w:left="0"/>
        <w:jc w:val="left"/>
        <w:rPr>
          <w:rFonts w:hint="eastAsia"/>
          <w:sz w:val="30"/>
          <w:szCs w:val="30"/>
        </w:rPr>
      </w:pPr>
      <w:r>
        <w:rPr>
          <w:rFonts w:hint="eastAsia"/>
          <w:sz w:val="30"/>
          <w:szCs w:val="30"/>
        </w:rPr>
        <w:t>How shall we reconcile them?</w:t>
      </w:r>
    </w:p>
    <w:p w14:paraId="09590447">
      <w:pPr>
        <w:pStyle w:val="9"/>
        <w:spacing w:before="11"/>
        <w:ind w:left="0"/>
        <w:jc w:val="left"/>
        <w:rPr>
          <w:rFonts w:hint="eastAsia"/>
          <w:sz w:val="30"/>
          <w:szCs w:val="30"/>
        </w:rPr>
      </w:pPr>
      <w:r>
        <w:rPr>
          <w:rFonts w:hint="eastAsia"/>
          <w:sz w:val="30"/>
          <w:szCs w:val="30"/>
        </w:rPr>
        <w:t>我们该如何调和它们？</w:t>
      </w:r>
    </w:p>
    <w:p w14:paraId="03A10BB9">
      <w:pPr>
        <w:pStyle w:val="9"/>
        <w:spacing w:before="11"/>
        <w:ind w:left="0"/>
        <w:jc w:val="left"/>
        <w:rPr>
          <w:rFonts w:hint="eastAsia"/>
          <w:sz w:val="30"/>
          <w:szCs w:val="30"/>
        </w:rPr>
      </w:pPr>
    </w:p>
    <w:p w14:paraId="249449DA">
      <w:pPr>
        <w:pStyle w:val="9"/>
        <w:spacing w:before="11"/>
        <w:ind w:left="0"/>
        <w:jc w:val="left"/>
        <w:rPr>
          <w:rFonts w:hint="eastAsia"/>
          <w:sz w:val="30"/>
          <w:szCs w:val="30"/>
        </w:rPr>
      </w:pPr>
      <w:r>
        <w:rPr>
          <w:rFonts w:hint="eastAsia"/>
          <w:sz w:val="30"/>
          <w:szCs w:val="30"/>
        </w:rPr>
        <w:t>Again, Isaiah tells us that in the new and eternal world God will create, no youth will die before his hundredth birthday, and that the man who fails to reach one hundred will be thought accursed (Isaiah 65:17-20).</w:t>
      </w:r>
    </w:p>
    <w:p w14:paraId="37A35794">
      <w:pPr>
        <w:pStyle w:val="9"/>
        <w:spacing w:before="11"/>
        <w:ind w:left="0"/>
        <w:jc w:val="left"/>
        <w:rPr>
          <w:rFonts w:hint="eastAsia"/>
          <w:sz w:val="30"/>
          <w:szCs w:val="30"/>
        </w:rPr>
      </w:pPr>
      <w:r>
        <w:rPr>
          <w:rFonts w:hint="eastAsia"/>
          <w:sz w:val="30"/>
          <w:szCs w:val="30"/>
        </w:rPr>
        <w:t>再次，以赛亚告诉我们，在上帝将创造的新的永恒世界里，没有少年人在百岁前死亡，而没有活到一百岁的人将被视为受咒诅的（以赛亚书 65:17-20）。</w:t>
      </w:r>
    </w:p>
    <w:p w14:paraId="7E59C219">
      <w:pPr>
        <w:pStyle w:val="9"/>
        <w:spacing w:before="11"/>
        <w:ind w:left="0"/>
        <w:jc w:val="left"/>
        <w:rPr>
          <w:rFonts w:hint="eastAsia"/>
          <w:sz w:val="30"/>
          <w:szCs w:val="30"/>
        </w:rPr>
      </w:pPr>
    </w:p>
    <w:p w14:paraId="463F37E7">
      <w:pPr>
        <w:pStyle w:val="9"/>
        <w:spacing w:before="11"/>
        <w:ind w:left="0"/>
        <w:jc w:val="left"/>
        <w:rPr>
          <w:rFonts w:hint="eastAsia"/>
          <w:sz w:val="30"/>
          <w:szCs w:val="30"/>
        </w:rPr>
      </w:pPr>
      <w:r>
        <w:rPr>
          <w:rFonts w:hint="eastAsia"/>
          <w:sz w:val="30"/>
          <w:szCs w:val="30"/>
        </w:rPr>
        <w:t>Likewise, Zechariah envisions old men and old women sitting in the streets of Jerusalem, their staffs in hand, watching children at play (Zech. 8:4).</w:t>
      </w:r>
    </w:p>
    <w:p w14:paraId="6874687D">
      <w:pPr>
        <w:pStyle w:val="9"/>
        <w:spacing w:before="11"/>
        <w:ind w:left="0"/>
        <w:jc w:val="left"/>
        <w:rPr>
          <w:rFonts w:hint="eastAsia"/>
          <w:sz w:val="30"/>
          <w:szCs w:val="30"/>
        </w:rPr>
      </w:pPr>
      <w:r>
        <w:rPr>
          <w:rFonts w:hint="eastAsia"/>
          <w:sz w:val="30"/>
          <w:szCs w:val="30"/>
        </w:rPr>
        <w:t>同样，撒迦利亚设想老年男女坐在耶路撒冷的街上，手持拐杖，看着孩子们玩耍（撒迦利亚书 8:4）。</w:t>
      </w:r>
    </w:p>
    <w:p w14:paraId="08C90107">
      <w:pPr>
        <w:pStyle w:val="9"/>
        <w:spacing w:before="11"/>
        <w:ind w:left="0"/>
        <w:jc w:val="left"/>
        <w:rPr>
          <w:rFonts w:hint="eastAsia"/>
          <w:sz w:val="30"/>
          <w:szCs w:val="30"/>
        </w:rPr>
      </w:pPr>
    </w:p>
    <w:p w14:paraId="34D72E4F">
      <w:pPr>
        <w:pStyle w:val="9"/>
        <w:spacing w:before="11"/>
        <w:ind w:left="0"/>
        <w:jc w:val="left"/>
        <w:rPr>
          <w:rFonts w:hint="eastAsia"/>
          <w:sz w:val="30"/>
          <w:szCs w:val="30"/>
        </w:rPr>
      </w:pPr>
      <w:r>
        <w:rPr>
          <w:rFonts w:hint="eastAsia"/>
          <w:sz w:val="30"/>
          <w:szCs w:val="30"/>
        </w:rPr>
        <w:t>It certainly appears, then, that old age and death will remain to mar the Kingdom.</w:t>
      </w:r>
    </w:p>
    <w:p w14:paraId="380DA2AF">
      <w:pPr>
        <w:pStyle w:val="9"/>
        <w:spacing w:before="11"/>
        <w:ind w:left="0"/>
        <w:jc w:val="left"/>
        <w:rPr>
          <w:rFonts w:hint="eastAsia"/>
          <w:sz w:val="30"/>
          <w:szCs w:val="30"/>
        </w:rPr>
      </w:pPr>
      <w:r>
        <w:rPr>
          <w:rFonts w:hint="eastAsia"/>
          <w:sz w:val="30"/>
          <w:szCs w:val="30"/>
        </w:rPr>
        <w:t>因此，看起来老年和死亡仍将玷污这个国度。</w:t>
      </w:r>
    </w:p>
    <w:p w14:paraId="24FC1A70">
      <w:pPr>
        <w:pStyle w:val="9"/>
        <w:spacing w:before="11"/>
        <w:ind w:left="0"/>
        <w:jc w:val="left"/>
        <w:rPr>
          <w:rFonts w:hint="eastAsia"/>
          <w:sz w:val="30"/>
          <w:szCs w:val="30"/>
        </w:rPr>
      </w:pPr>
    </w:p>
    <w:p w14:paraId="704FE550">
      <w:pPr>
        <w:pStyle w:val="9"/>
        <w:spacing w:before="11"/>
        <w:ind w:left="0"/>
        <w:jc w:val="left"/>
        <w:rPr>
          <w:rFonts w:hint="eastAsia"/>
          <w:sz w:val="30"/>
          <w:szCs w:val="30"/>
        </w:rPr>
      </w:pPr>
      <w:r>
        <w:rPr>
          <w:rFonts w:hint="eastAsia"/>
          <w:sz w:val="30"/>
          <w:szCs w:val="30"/>
        </w:rPr>
        <w:t>Yet elsewhere God tells us that he will swallow up death forever, and that he himself will be the destruction of the grave (Isaiah 25:8, 26:19, Hosea 13:14, NKJV).</w:t>
      </w:r>
    </w:p>
    <w:p w14:paraId="20AFF392">
      <w:pPr>
        <w:pStyle w:val="9"/>
        <w:spacing w:before="11"/>
        <w:ind w:left="0"/>
        <w:jc w:val="left"/>
        <w:rPr>
          <w:rFonts w:hint="eastAsia"/>
          <w:sz w:val="30"/>
          <w:szCs w:val="30"/>
        </w:rPr>
      </w:pPr>
      <w:r>
        <w:rPr>
          <w:rFonts w:hint="eastAsia"/>
          <w:sz w:val="30"/>
          <w:szCs w:val="30"/>
        </w:rPr>
        <w:t>然而，在别处上帝告诉我们，祂将永远吞灭死亡，祂自己将是坟墓的毁灭（以赛亚书 25:8, 26:19, 何西阿书 13:14，新英王钦定本）。</w:t>
      </w:r>
    </w:p>
    <w:p w14:paraId="445FEBDF">
      <w:pPr>
        <w:pStyle w:val="9"/>
        <w:spacing w:before="11"/>
        <w:ind w:left="0"/>
        <w:jc w:val="left"/>
        <w:rPr>
          <w:rFonts w:hint="eastAsia"/>
          <w:sz w:val="30"/>
          <w:szCs w:val="30"/>
        </w:rPr>
      </w:pPr>
    </w:p>
    <w:p w14:paraId="3D9DCE85">
      <w:pPr>
        <w:pStyle w:val="9"/>
        <w:spacing w:before="11"/>
        <w:ind w:left="0"/>
        <w:jc w:val="left"/>
        <w:rPr>
          <w:rFonts w:hint="eastAsia"/>
          <w:sz w:val="30"/>
          <w:szCs w:val="30"/>
        </w:rPr>
      </w:pPr>
      <w:r>
        <w:rPr>
          <w:rFonts w:hint="eastAsia"/>
          <w:sz w:val="30"/>
          <w:szCs w:val="30"/>
        </w:rPr>
        <w:t>And what of the luminaries: the sun, moon, and stars?</w:t>
      </w:r>
    </w:p>
    <w:p w14:paraId="2FD8A26A">
      <w:pPr>
        <w:pStyle w:val="9"/>
        <w:spacing w:before="11"/>
        <w:ind w:left="0"/>
        <w:jc w:val="left"/>
        <w:rPr>
          <w:rFonts w:hint="eastAsia"/>
          <w:sz w:val="30"/>
          <w:szCs w:val="30"/>
        </w:rPr>
      </w:pPr>
      <w:r>
        <w:rPr>
          <w:rFonts w:hint="eastAsia"/>
          <w:sz w:val="30"/>
          <w:szCs w:val="30"/>
        </w:rPr>
        <w:t>那么发光体呢：太阳、月亮和星星？</w:t>
      </w:r>
    </w:p>
    <w:p w14:paraId="21F38B89">
      <w:pPr>
        <w:pStyle w:val="9"/>
        <w:spacing w:before="11"/>
        <w:ind w:left="0"/>
        <w:jc w:val="left"/>
        <w:rPr>
          <w:rFonts w:hint="eastAsia"/>
          <w:sz w:val="30"/>
          <w:szCs w:val="30"/>
        </w:rPr>
      </w:pPr>
    </w:p>
    <w:p w14:paraId="7476F5AC">
      <w:pPr>
        <w:pStyle w:val="9"/>
        <w:spacing w:before="11"/>
        <w:ind w:left="0"/>
        <w:jc w:val="left"/>
        <w:rPr>
          <w:rFonts w:hint="eastAsia"/>
          <w:sz w:val="30"/>
          <w:szCs w:val="30"/>
        </w:rPr>
      </w:pPr>
      <w:r>
        <w:rPr>
          <w:rFonts w:hint="eastAsia"/>
          <w:sz w:val="30"/>
          <w:szCs w:val="30"/>
        </w:rPr>
        <w:t>Isaiah predicts that they will dissolve: The sky will be rolled up like a scroll and its whole host will fall down, as leaves fall from a vine, or as fruit from a fig tree (Isaiah 34:4).</w:t>
      </w:r>
    </w:p>
    <w:p w14:paraId="57269FDB">
      <w:pPr>
        <w:pStyle w:val="9"/>
        <w:spacing w:before="11"/>
        <w:ind w:left="0"/>
        <w:jc w:val="left"/>
        <w:rPr>
          <w:rFonts w:hint="eastAsia"/>
          <w:sz w:val="30"/>
          <w:szCs w:val="30"/>
        </w:rPr>
      </w:pPr>
      <w:r>
        <w:rPr>
          <w:rFonts w:hint="eastAsia"/>
          <w:sz w:val="30"/>
          <w:szCs w:val="30"/>
        </w:rPr>
        <w:t>以赛亚预言它们将消融：天要像书卷一样被卷起，其上的万象都要坠落，如同叶子从葡萄树上落下，或果子从无花果树上落下（以赛亚书 34:4）。</w:t>
      </w:r>
    </w:p>
    <w:p w14:paraId="4FDA3897">
      <w:pPr>
        <w:pStyle w:val="9"/>
        <w:spacing w:before="11"/>
        <w:ind w:left="0"/>
        <w:jc w:val="left"/>
        <w:rPr>
          <w:rFonts w:hint="eastAsia"/>
          <w:sz w:val="30"/>
          <w:szCs w:val="30"/>
        </w:rPr>
      </w:pPr>
    </w:p>
    <w:p w14:paraId="04885AE9">
      <w:pPr>
        <w:pStyle w:val="9"/>
        <w:spacing w:before="11"/>
        <w:ind w:left="0"/>
        <w:jc w:val="left"/>
        <w:rPr>
          <w:rFonts w:hint="eastAsia"/>
          <w:sz w:val="30"/>
          <w:szCs w:val="30"/>
        </w:rPr>
      </w:pPr>
      <w:r>
        <w:rPr>
          <w:rFonts w:hint="eastAsia"/>
          <w:sz w:val="30"/>
          <w:szCs w:val="30"/>
        </w:rPr>
        <w:t>Yet the very same prophet also tells us that in the days of the new heavens and the new earth, all flesh will come to worship before the LORD from one New Moon to another, and from one Sabbath to another (Isaiah 66:22-23)!</w:t>
      </w:r>
    </w:p>
    <w:p w14:paraId="2877C3C7">
      <w:pPr>
        <w:pStyle w:val="9"/>
        <w:spacing w:before="11"/>
        <w:ind w:left="0"/>
        <w:jc w:val="left"/>
        <w:rPr>
          <w:rFonts w:hint="eastAsia"/>
          <w:sz w:val="30"/>
          <w:szCs w:val="30"/>
        </w:rPr>
      </w:pPr>
      <w:r>
        <w:rPr>
          <w:rFonts w:hint="eastAsia"/>
          <w:sz w:val="30"/>
          <w:szCs w:val="30"/>
        </w:rPr>
        <w:t>然而，同一位先知也告诉我们，在新天新地的日子里，凡有血气的，必从一个新月到另一个新月，从一个安息日到另一个安息日，都来在耶和华面前敬拜（以赛亚书 66:22-23）！</w:t>
      </w:r>
    </w:p>
    <w:p w14:paraId="4C626138">
      <w:pPr>
        <w:pStyle w:val="9"/>
        <w:spacing w:before="11"/>
        <w:ind w:left="0"/>
        <w:jc w:val="left"/>
        <w:rPr>
          <w:rFonts w:hint="eastAsia"/>
          <w:sz w:val="30"/>
          <w:szCs w:val="30"/>
        </w:rPr>
      </w:pPr>
    </w:p>
    <w:p w14:paraId="4396E171">
      <w:pPr>
        <w:pStyle w:val="9"/>
        <w:spacing w:before="11"/>
        <w:ind w:left="0"/>
        <w:jc w:val="left"/>
        <w:rPr>
          <w:rFonts w:hint="eastAsia"/>
          <w:sz w:val="30"/>
          <w:szCs w:val="30"/>
        </w:rPr>
      </w:pPr>
      <w:r>
        <w:rPr>
          <w:rFonts w:hint="eastAsia"/>
          <w:sz w:val="30"/>
          <w:szCs w:val="30"/>
        </w:rPr>
        <w:t>So then, which passage gives a true picture of the astronomical realities of the Kingdom?</w:t>
      </w:r>
    </w:p>
    <w:p w14:paraId="41541DF8">
      <w:pPr>
        <w:pStyle w:val="9"/>
        <w:spacing w:before="11"/>
        <w:ind w:left="0"/>
        <w:jc w:val="left"/>
        <w:rPr>
          <w:rFonts w:hint="eastAsia"/>
          <w:sz w:val="30"/>
          <w:szCs w:val="30"/>
        </w:rPr>
      </w:pPr>
      <w:r>
        <w:rPr>
          <w:rFonts w:hint="eastAsia"/>
          <w:sz w:val="30"/>
          <w:szCs w:val="30"/>
        </w:rPr>
        <w:t>那么，哪段经文给出了国度天文学现实的真实图景呢？</w:t>
      </w:r>
    </w:p>
    <w:p w14:paraId="46ACA24A">
      <w:pPr>
        <w:pStyle w:val="9"/>
        <w:spacing w:before="11"/>
        <w:ind w:left="0"/>
        <w:jc w:val="left"/>
        <w:rPr>
          <w:rFonts w:hint="eastAsia"/>
          <w:sz w:val="30"/>
          <w:szCs w:val="30"/>
        </w:rPr>
      </w:pPr>
    </w:p>
    <w:p w14:paraId="3973B566">
      <w:pPr>
        <w:pStyle w:val="9"/>
        <w:spacing w:before="11"/>
        <w:ind w:left="0"/>
        <w:jc w:val="left"/>
        <w:rPr>
          <w:rFonts w:hint="eastAsia"/>
          <w:sz w:val="30"/>
          <w:szCs w:val="30"/>
        </w:rPr>
      </w:pPr>
      <w:r>
        <w:rPr>
          <w:rFonts w:hint="eastAsia"/>
          <w:sz w:val="30"/>
          <w:szCs w:val="30"/>
        </w:rPr>
        <w:t>Importantly, there are also a number of apparent contradictions between OT and NT representations of the Kingdom.</w:t>
      </w:r>
    </w:p>
    <w:p w14:paraId="24D81814">
      <w:pPr>
        <w:pStyle w:val="9"/>
        <w:spacing w:before="11"/>
        <w:ind w:left="0"/>
        <w:jc w:val="left"/>
        <w:rPr>
          <w:rFonts w:hint="eastAsia"/>
          <w:sz w:val="30"/>
          <w:szCs w:val="30"/>
        </w:rPr>
      </w:pPr>
      <w:r>
        <w:rPr>
          <w:rFonts w:hint="eastAsia"/>
          <w:sz w:val="30"/>
          <w:szCs w:val="30"/>
        </w:rPr>
        <w:t>重要的是，旧约和新约对国度的表述之间也存在一些明显的矛盾。</w:t>
      </w:r>
    </w:p>
    <w:p w14:paraId="6F9D0524">
      <w:pPr>
        <w:pStyle w:val="9"/>
        <w:spacing w:before="11"/>
        <w:ind w:left="0"/>
        <w:jc w:val="left"/>
        <w:rPr>
          <w:rFonts w:hint="eastAsia"/>
          <w:sz w:val="30"/>
          <w:szCs w:val="30"/>
        </w:rPr>
      </w:pPr>
    </w:p>
    <w:p w14:paraId="07312C68">
      <w:pPr>
        <w:pStyle w:val="9"/>
        <w:spacing w:before="11"/>
        <w:ind w:left="0"/>
        <w:jc w:val="left"/>
        <w:rPr>
          <w:rFonts w:hint="eastAsia"/>
          <w:sz w:val="30"/>
          <w:szCs w:val="30"/>
        </w:rPr>
      </w:pPr>
      <w:r>
        <w:rPr>
          <w:rFonts w:hint="eastAsia"/>
          <w:sz w:val="30"/>
          <w:szCs w:val="30"/>
        </w:rPr>
        <w:t>Jeremiah, for example, promises that in eschatological Jerusalem there shall again be heard the joyful voice of the bride and the bridegroom (Jer. 33:10-11).</w:t>
      </w:r>
    </w:p>
    <w:p w14:paraId="414DEE39">
      <w:pPr>
        <w:pStyle w:val="9"/>
        <w:spacing w:before="11"/>
        <w:ind w:left="0"/>
        <w:jc w:val="left"/>
        <w:rPr>
          <w:rFonts w:hint="eastAsia"/>
          <w:sz w:val="30"/>
          <w:szCs w:val="30"/>
        </w:rPr>
      </w:pPr>
      <w:r>
        <w:rPr>
          <w:rFonts w:hint="eastAsia"/>
          <w:sz w:val="30"/>
          <w:szCs w:val="30"/>
        </w:rPr>
        <w:t>例如，耶利米应许说，在末世的耶路撒冷，将再次听到新郎和新妇的欢喜声音（耶利米书 33:10-11）。</w:t>
      </w:r>
    </w:p>
    <w:p w14:paraId="6068BAAC">
      <w:pPr>
        <w:pStyle w:val="9"/>
        <w:spacing w:before="11"/>
        <w:ind w:left="0"/>
        <w:jc w:val="left"/>
        <w:rPr>
          <w:rFonts w:hint="eastAsia"/>
          <w:sz w:val="30"/>
          <w:szCs w:val="30"/>
        </w:rPr>
      </w:pPr>
    </w:p>
    <w:p w14:paraId="7A7EBD97">
      <w:pPr>
        <w:pStyle w:val="9"/>
        <w:spacing w:before="11"/>
        <w:ind w:left="0"/>
        <w:jc w:val="left"/>
        <w:rPr>
          <w:rFonts w:hint="eastAsia"/>
          <w:sz w:val="30"/>
          <w:szCs w:val="30"/>
        </w:rPr>
      </w:pPr>
      <w:r>
        <w:rPr>
          <w:rFonts w:hint="eastAsia"/>
          <w:sz w:val="30"/>
          <w:szCs w:val="30"/>
        </w:rPr>
        <w:t>Yet our Lord taught that those who are counted worthy to attain to the resurrection and the Age to Come will neither marry nor be given in marriage (Mt. 22:30).</w:t>
      </w:r>
    </w:p>
    <w:p w14:paraId="76A939B3">
      <w:pPr>
        <w:pStyle w:val="9"/>
        <w:spacing w:before="11"/>
        <w:ind w:left="0"/>
        <w:jc w:val="left"/>
        <w:rPr>
          <w:rFonts w:hint="eastAsia"/>
          <w:sz w:val="30"/>
          <w:szCs w:val="30"/>
        </w:rPr>
      </w:pPr>
      <w:r>
        <w:rPr>
          <w:rFonts w:hint="eastAsia"/>
          <w:sz w:val="30"/>
          <w:szCs w:val="30"/>
        </w:rPr>
        <w:t>然而，我们的主却教导说，那些被算为配得复活和来世的人，既不娶也不嫁（马太福音 22:30）。</w:t>
      </w:r>
    </w:p>
    <w:p w14:paraId="383C8C05">
      <w:pPr>
        <w:pStyle w:val="9"/>
        <w:spacing w:before="11"/>
        <w:ind w:left="0"/>
        <w:jc w:val="left"/>
        <w:rPr>
          <w:rFonts w:hint="eastAsia"/>
          <w:sz w:val="30"/>
          <w:szCs w:val="30"/>
        </w:rPr>
      </w:pPr>
    </w:p>
    <w:p w14:paraId="44314B07">
      <w:pPr>
        <w:pStyle w:val="9"/>
        <w:spacing w:before="11"/>
        <w:ind w:left="0"/>
        <w:jc w:val="left"/>
        <w:rPr>
          <w:rFonts w:hint="eastAsia"/>
          <w:sz w:val="30"/>
          <w:szCs w:val="30"/>
        </w:rPr>
      </w:pPr>
      <w:r>
        <w:rPr>
          <w:rFonts w:hint="eastAsia"/>
          <w:sz w:val="30"/>
          <w:szCs w:val="30"/>
        </w:rPr>
        <w:t>Similarly, we have seen that both Isaiah and Zechariah anticipate the presence of children in the Kingdom, and (we must presume) the procreative act by which they continually will be conceived (Isaiah 11:6-9, Zech. 8:5).</w:t>
      </w:r>
    </w:p>
    <w:p w14:paraId="6DE4CA60">
      <w:pPr>
        <w:pStyle w:val="9"/>
        <w:spacing w:before="11"/>
        <w:ind w:left="0"/>
        <w:jc w:val="left"/>
        <w:rPr>
          <w:rFonts w:hint="eastAsia"/>
          <w:sz w:val="30"/>
          <w:szCs w:val="30"/>
        </w:rPr>
      </w:pPr>
      <w:r>
        <w:rPr>
          <w:rFonts w:hint="eastAsia"/>
          <w:sz w:val="30"/>
          <w:szCs w:val="30"/>
        </w:rPr>
        <w:t>同样，我们已经看到以赛亚和撒迦利亚都预料到国度中会有孩子，并且（我们必须推断）他们将通过持续的生育行为被孕育出来（以赛亚书 11:6-9, 撒迦利亚书 8:5）。</w:t>
      </w:r>
    </w:p>
    <w:p w14:paraId="31685008">
      <w:pPr>
        <w:pStyle w:val="9"/>
        <w:spacing w:before="11"/>
        <w:ind w:left="0"/>
        <w:jc w:val="left"/>
        <w:rPr>
          <w:rFonts w:hint="eastAsia"/>
          <w:sz w:val="30"/>
          <w:szCs w:val="30"/>
        </w:rPr>
      </w:pPr>
    </w:p>
    <w:p w14:paraId="01AA8B88">
      <w:pPr>
        <w:pStyle w:val="9"/>
        <w:spacing w:before="11"/>
        <w:ind w:left="0"/>
        <w:jc w:val="left"/>
        <w:rPr>
          <w:rFonts w:hint="eastAsia"/>
          <w:sz w:val="30"/>
          <w:szCs w:val="30"/>
        </w:rPr>
      </w:pPr>
      <w:r>
        <w:rPr>
          <w:rFonts w:hint="eastAsia"/>
          <w:sz w:val="30"/>
          <w:szCs w:val="30"/>
        </w:rPr>
        <w:t>Yet Jesus says that in the world to come human beings will be like the angels, who appear to be without gender, and who certainly do not marry or procreate (Mark 12:25).</w:t>
      </w:r>
    </w:p>
    <w:p w14:paraId="73D02035">
      <w:pPr>
        <w:pStyle w:val="9"/>
        <w:spacing w:before="11"/>
        <w:ind w:left="0"/>
        <w:jc w:val="left"/>
        <w:rPr>
          <w:rFonts w:hint="eastAsia"/>
          <w:sz w:val="30"/>
          <w:szCs w:val="30"/>
        </w:rPr>
      </w:pPr>
      <w:r>
        <w:rPr>
          <w:rFonts w:hint="eastAsia"/>
          <w:sz w:val="30"/>
          <w:szCs w:val="30"/>
        </w:rPr>
        <w:t>然而耶稣说，在将来的世界里，人类将像天使一样，他们似乎没有性别，当然也不嫁娶或生育（马可福音 12:25）。</w:t>
      </w:r>
    </w:p>
    <w:p w14:paraId="2F1F2DD0">
      <w:pPr>
        <w:pStyle w:val="9"/>
        <w:spacing w:before="11"/>
        <w:ind w:left="0"/>
        <w:jc w:val="left"/>
        <w:rPr>
          <w:rFonts w:hint="eastAsia"/>
          <w:sz w:val="30"/>
          <w:szCs w:val="30"/>
        </w:rPr>
      </w:pPr>
    </w:p>
    <w:p w14:paraId="3CD78CBA">
      <w:pPr>
        <w:pStyle w:val="9"/>
        <w:spacing w:before="11"/>
        <w:ind w:left="0"/>
        <w:jc w:val="left"/>
        <w:rPr>
          <w:rFonts w:hint="eastAsia"/>
          <w:sz w:val="30"/>
          <w:szCs w:val="30"/>
        </w:rPr>
      </w:pPr>
      <w:r>
        <w:rPr>
          <w:rFonts w:hint="eastAsia"/>
          <w:sz w:val="30"/>
          <w:szCs w:val="30"/>
        </w:rPr>
        <w:t>Finally, we saw earlier that both Ezekiel and Zechariah speak of the presence—and healing—of the Dead Sea and the Great Sea (i.e., the Mediterranean) in the days of the eternal Kingdom (Ezek. 47:1-12, Zech. 14:8).</w:t>
      </w:r>
    </w:p>
    <w:p w14:paraId="18259549">
      <w:pPr>
        <w:pStyle w:val="9"/>
        <w:spacing w:before="11"/>
        <w:ind w:left="0"/>
        <w:jc w:val="left"/>
        <w:rPr>
          <w:rFonts w:hint="eastAsia"/>
          <w:sz w:val="30"/>
          <w:szCs w:val="30"/>
        </w:rPr>
      </w:pPr>
      <w:r>
        <w:rPr>
          <w:rFonts w:hint="eastAsia"/>
          <w:sz w:val="30"/>
          <w:szCs w:val="30"/>
        </w:rPr>
        <w:t>最后，我们早些时候看到，以西结和撒迦利亚都谈到在永恒国度的日子里，死海和大海（即地中海）的存在——以及被医治（以西结书 47:1-12, 撒迦利亚书 14:8）。</w:t>
      </w:r>
    </w:p>
    <w:p w14:paraId="3D693C0B">
      <w:pPr>
        <w:pStyle w:val="9"/>
        <w:spacing w:before="11"/>
        <w:ind w:left="0"/>
        <w:jc w:val="left"/>
        <w:rPr>
          <w:rFonts w:hint="eastAsia"/>
          <w:sz w:val="30"/>
          <w:szCs w:val="30"/>
        </w:rPr>
      </w:pPr>
    </w:p>
    <w:p w14:paraId="709A0BBF">
      <w:pPr>
        <w:pStyle w:val="9"/>
        <w:spacing w:before="11"/>
        <w:ind w:left="0"/>
        <w:jc w:val="left"/>
        <w:rPr>
          <w:rFonts w:hint="eastAsia"/>
          <w:sz w:val="30"/>
          <w:szCs w:val="30"/>
        </w:rPr>
      </w:pPr>
      <w:r>
        <w:rPr>
          <w:rFonts w:hint="eastAsia"/>
          <w:sz w:val="30"/>
          <w:szCs w:val="30"/>
        </w:rPr>
        <w:t>Yet the apostle John, in his final vision of the completed Kingdom, assures us that there will be no seas at all (Rev. 21:1).</w:t>
      </w:r>
    </w:p>
    <w:p w14:paraId="780451AF">
      <w:pPr>
        <w:pStyle w:val="9"/>
        <w:spacing w:before="11"/>
        <w:ind w:left="0"/>
        <w:jc w:val="left"/>
        <w:rPr>
          <w:rFonts w:hint="eastAsia"/>
          <w:sz w:val="30"/>
          <w:szCs w:val="30"/>
        </w:rPr>
      </w:pPr>
      <w:r>
        <w:rPr>
          <w:rFonts w:hint="eastAsia"/>
          <w:sz w:val="30"/>
          <w:szCs w:val="30"/>
        </w:rPr>
        <w:t>然而使徒约翰，在他对已完成国度的最后异象中，向我们保证将根本没有海（启示录 21:1）。</w:t>
      </w:r>
    </w:p>
    <w:p w14:paraId="04555029">
      <w:pPr>
        <w:pStyle w:val="9"/>
        <w:spacing w:before="11"/>
        <w:ind w:left="0"/>
        <w:jc w:val="left"/>
        <w:rPr>
          <w:rFonts w:hint="eastAsia"/>
          <w:sz w:val="30"/>
          <w:szCs w:val="30"/>
        </w:rPr>
      </w:pPr>
    </w:p>
    <w:p w14:paraId="301F0710">
      <w:pPr>
        <w:pStyle w:val="9"/>
        <w:spacing w:before="11"/>
        <w:ind w:left="0"/>
        <w:jc w:val="left"/>
        <w:rPr>
          <w:rFonts w:hint="eastAsia"/>
          <w:sz w:val="30"/>
          <w:szCs w:val="30"/>
        </w:rPr>
      </w:pPr>
      <w:r>
        <w:rPr>
          <w:rFonts w:hint="eastAsia"/>
          <w:sz w:val="30"/>
          <w:szCs w:val="30"/>
        </w:rPr>
        <w:t>So once again we are forced to ask ourselves: How shall we resolve these apparent contradictions?</w:t>
      </w:r>
    </w:p>
    <w:p w14:paraId="25D6F2B0">
      <w:pPr>
        <w:pStyle w:val="9"/>
        <w:spacing w:before="11"/>
        <w:ind w:left="0"/>
        <w:jc w:val="left"/>
        <w:rPr>
          <w:rFonts w:hint="eastAsia"/>
          <w:sz w:val="30"/>
          <w:szCs w:val="30"/>
        </w:rPr>
      </w:pPr>
      <w:r>
        <w:rPr>
          <w:rFonts w:hint="eastAsia"/>
          <w:sz w:val="30"/>
          <w:szCs w:val="30"/>
        </w:rPr>
        <w:t>所以我们再次被迫问自己：我们该如何解决这些明显的矛盾？</w:t>
      </w:r>
    </w:p>
    <w:p w14:paraId="2A9F881A">
      <w:pPr>
        <w:pStyle w:val="9"/>
        <w:spacing w:before="11"/>
        <w:ind w:left="0"/>
        <w:jc w:val="left"/>
        <w:rPr>
          <w:rFonts w:hint="eastAsia"/>
          <w:sz w:val="30"/>
          <w:szCs w:val="30"/>
        </w:rPr>
      </w:pPr>
    </w:p>
    <w:p w14:paraId="56A638A1">
      <w:pPr>
        <w:pStyle w:val="9"/>
        <w:spacing w:before="11"/>
        <w:ind w:left="0"/>
        <w:jc w:val="left"/>
        <w:rPr>
          <w:rFonts w:hint="eastAsia"/>
          <w:sz w:val="30"/>
          <w:szCs w:val="30"/>
        </w:rPr>
      </w:pPr>
      <w:r>
        <w:rPr>
          <w:rFonts w:hint="eastAsia"/>
          <w:sz w:val="30"/>
          <w:szCs w:val="30"/>
        </w:rPr>
        <w:t>The premillennial solution, as we have repeatedly seen, offers no help at all, since the OT prophets never speak of a limited, thousand year stage of the Kingdom; to the contrary, they consistently state or assume that the very Kingdom they are heralding will last forever.</w:t>
      </w:r>
    </w:p>
    <w:p w14:paraId="3B2966B5">
      <w:pPr>
        <w:pStyle w:val="9"/>
        <w:spacing w:before="11"/>
        <w:ind w:left="0"/>
        <w:jc w:val="left"/>
        <w:rPr>
          <w:rFonts w:hint="eastAsia"/>
          <w:sz w:val="30"/>
          <w:szCs w:val="30"/>
        </w:rPr>
      </w:pPr>
      <w:r>
        <w:rPr>
          <w:rFonts w:hint="eastAsia"/>
          <w:sz w:val="30"/>
          <w:szCs w:val="30"/>
        </w:rPr>
        <w:t>前千禧年派的解决方案，正如我们反复看到的，根本没有提供任何帮助，因为旧约先知从未谈及国度有限的、千年的阶段；相反，他们一致地声明或假设他们所预告的那个国度将永远持续。</w:t>
      </w:r>
    </w:p>
    <w:p w14:paraId="62163ADF">
      <w:pPr>
        <w:pStyle w:val="9"/>
        <w:spacing w:before="11"/>
        <w:ind w:left="0"/>
        <w:jc w:val="left"/>
        <w:rPr>
          <w:rFonts w:hint="eastAsia"/>
          <w:sz w:val="30"/>
          <w:szCs w:val="30"/>
        </w:rPr>
      </w:pPr>
    </w:p>
    <w:p w14:paraId="538915A0">
      <w:pPr>
        <w:pStyle w:val="9"/>
        <w:spacing w:before="11"/>
        <w:ind w:left="0"/>
        <w:jc w:val="left"/>
        <w:rPr>
          <w:rFonts w:hint="eastAsia"/>
          <w:sz w:val="30"/>
          <w:szCs w:val="30"/>
        </w:rPr>
      </w:pPr>
      <w:r>
        <w:rPr>
          <w:rFonts w:hint="eastAsia"/>
          <w:sz w:val="30"/>
          <w:szCs w:val="30"/>
        </w:rPr>
        <w:t>Accordingly, there is really only one viable solution; a solution that concurs with NT teaching about progressive revelation and the unfolding “mystery” of the Kingdom of God; a solution that therefore preserves the unity, divine inspiration, and inerrancy of the Bible.</w:t>
      </w:r>
    </w:p>
    <w:p w14:paraId="2E47B865">
      <w:pPr>
        <w:pStyle w:val="9"/>
        <w:spacing w:before="11"/>
        <w:ind w:left="0"/>
        <w:jc w:val="left"/>
        <w:rPr>
          <w:rFonts w:hint="eastAsia"/>
          <w:sz w:val="30"/>
          <w:szCs w:val="30"/>
        </w:rPr>
      </w:pPr>
      <w:r>
        <w:rPr>
          <w:rFonts w:hint="eastAsia"/>
          <w:sz w:val="30"/>
          <w:szCs w:val="30"/>
        </w:rPr>
        <w:t>因此，实际上只有一个可行的解决方案；一个与新约关于渐进启示和上帝之国“奥秘”展开的教导相一致的解决方案；一个因此能维护圣经的统一性、神圣启示和无误性的解决方案。</w:t>
      </w:r>
    </w:p>
    <w:p w14:paraId="08203C72">
      <w:pPr>
        <w:pStyle w:val="9"/>
        <w:spacing w:before="11"/>
        <w:ind w:left="0"/>
        <w:jc w:val="left"/>
        <w:rPr>
          <w:rFonts w:hint="eastAsia"/>
          <w:sz w:val="30"/>
          <w:szCs w:val="30"/>
        </w:rPr>
      </w:pPr>
    </w:p>
    <w:p w14:paraId="445C58BB">
      <w:pPr>
        <w:pStyle w:val="9"/>
        <w:spacing w:before="11"/>
        <w:ind w:left="0"/>
        <w:jc w:val="left"/>
        <w:rPr>
          <w:rFonts w:hint="eastAsia"/>
          <w:sz w:val="30"/>
          <w:szCs w:val="30"/>
        </w:rPr>
      </w:pPr>
      <w:r>
        <w:rPr>
          <w:rFonts w:hint="eastAsia"/>
          <w:sz w:val="30"/>
          <w:szCs w:val="30"/>
        </w:rPr>
        <w:t>And it is this: ALL of these OTKP’s are “covenantally conditioned.”</w:t>
      </w:r>
    </w:p>
    <w:p w14:paraId="7A6DD732">
      <w:pPr>
        <w:pStyle w:val="9"/>
        <w:spacing w:before="11"/>
        <w:ind w:left="0"/>
        <w:jc w:val="left"/>
        <w:rPr>
          <w:rFonts w:hint="eastAsia"/>
          <w:sz w:val="30"/>
          <w:szCs w:val="30"/>
        </w:rPr>
      </w:pPr>
      <w:r>
        <w:rPr>
          <w:rFonts w:hint="eastAsia"/>
          <w:sz w:val="30"/>
          <w:szCs w:val="30"/>
        </w:rPr>
        <w:t>它就是：所有这些旧约国度预言（OTKP）都是“受圣约制约的”。</w:t>
      </w:r>
    </w:p>
    <w:p w14:paraId="271179BB">
      <w:pPr>
        <w:pStyle w:val="9"/>
        <w:spacing w:before="11"/>
        <w:ind w:left="0"/>
        <w:jc w:val="left"/>
        <w:rPr>
          <w:rFonts w:hint="eastAsia"/>
          <w:sz w:val="30"/>
          <w:szCs w:val="30"/>
        </w:rPr>
      </w:pPr>
    </w:p>
    <w:p w14:paraId="76347746">
      <w:pPr>
        <w:pStyle w:val="9"/>
        <w:spacing w:before="11"/>
        <w:ind w:left="0"/>
        <w:jc w:val="left"/>
        <w:rPr>
          <w:rFonts w:hint="eastAsia"/>
          <w:sz w:val="30"/>
          <w:szCs w:val="30"/>
        </w:rPr>
      </w:pPr>
      <w:r>
        <w:rPr>
          <w:rFonts w:hint="eastAsia"/>
          <w:sz w:val="30"/>
          <w:szCs w:val="30"/>
        </w:rPr>
        <w:t>By divine inspiration, they use the language and imagery of the Old Covenant (i.e., the Mosaic Law) to speak “mysteriously” of New Covenant realities.</w:t>
      </w:r>
    </w:p>
    <w:p w14:paraId="1878BD45">
      <w:pPr>
        <w:pStyle w:val="9"/>
        <w:spacing w:before="11"/>
        <w:ind w:left="0"/>
        <w:jc w:val="left"/>
        <w:rPr>
          <w:rFonts w:hint="eastAsia"/>
          <w:sz w:val="30"/>
          <w:szCs w:val="30"/>
        </w:rPr>
      </w:pPr>
      <w:r>
        <w:rPr>
          <w:rFonts w:hint="eastAsia"/>
          <w:sz w:val="30"/>
          <w:szCs w:val="30"/>
        </w:rPr>
        <w:t>通过神的启示，它们使用旧约（即摩西律法）的语言和意象来“神秘地”讲述新约的现实。</w:t>
      </w:r>
    </w:p>
    <w:p w14:paraId="2D28A489">
      <w:pPr>
        <w:pStyle w:val="9"/>
        <w:spacing w:before="11"/>
        <w:ind w:left="0"/>
        <w:jc w:val="left"/>
        <w:rPr>
          <w:rFonts w:hint="eastAsia"/>
          <w:sz w:val="30"/>
          <w:szCs w:val="30"/>
        </w:rPr>
      </w:pPr>
    </w:p>
    <w:p w14:paraId="722AF7DA">
      <w:pPr>
        <w:pStyle w:val="9"/>
        <w:spacing w:before="11"/>
        <w:ind w:left="0"/>
        <w:jc w:val="left"/>
        <w:rPr>
          <w:rFonts w:hint="eastAsia"/>
          <w:sz w:val="30"/>
          <w:szCs w:val="30"/>
        </w:rPr>
      </w:pPr>
      <w:r>
        <w:rPr>
          <w:rFonts w:hint="eastAsia"/>
          <w:sz w:val="30"/>
          <w:szCs w:val="30"/>
        </w:rPr>
        <w:t>In particular, they use distinctly Mosaic images of blessing (Lev. 26:3-13, Deut. 28:1-14) and cursing (Lev. 26:14-39, Deut. 28:15-68) to depict—in a more or less figurative manner—the spiritual and physical conditions pertaining to the twofold Kingdom of God introduced by Christ and the New Covenant.</w:t>
      </w:r>
    </w:p>
    <w:p w14:paraId="3AE1F620">
      <w:pPr>
        <w:pStyle w:val="9"/>
        <w:spacing w:before="11"/>
        <w:ind w:left="0"/>
        <w:jc w:val="left"/>
        <w:rPr>
          <w:rFonts w:hint="eastAsia"/>
          <w:sz w:val="30"/>
          <w:szCs w:val="30"/>
        </w:rPr>
      </w:pPr>
      <w:r>
        <w:rPr>
          <w:rFonts w:hint="eastAsia"/>
          <w:sz w:val="30"/>
          <w:szCs w:val="30"/>
        </w:rPr>
        <w:t>特别是，它们使用明显摩西式的祝福（利未记 26:3-13，申命记 28:1-14）和咒诅（利未记 26:14-39，申命记 28:15-68）的意象，以或多或少象征性的方式，来描绘与基督和新约所引入的上帝双重国度有关的属灵和物质状况。</w:t>
      </w:r>
    </w:p>
    <w:p w14:paraId="757E26B5">
      <w:pPr>
        <w:pStyle w:val="9"/>
        <w:spacing w:before="11"/>
        <w:ind w:left="0"/>
        <w:jc w:val="left"/>
        <w:rPr>
          <w:rFonts w:hint="eastAsia"/>
          <w:sz w:val="30"/>
          <w:szCs w:val="30"/>
        </w:rPr>
      </w:pPr>
    </w:p>
    <w:p w14:paraId="692A0773">
      <w:pPr>
        <w:pStyle w:val="9"/>
        <w:spacing w:before="11"/>
        <w:ind w:left="0"/>
        <w:jc w:val="left"/>
        <w:rPr>
          <w:rFonts w:hint="eastAsia"/>
          <w:sz w:val="30"/>
          <w:szCs w:val="30"/>
        </w:rPr>
      </w:pPr>
      <w:r>
        <w:rPr>
          <w:rFonts w:hint="eastAsia"/>
          <w:sz w:val="30"/>
          <w:szCs w:val="30"/>
        </w:rPr>
        <w:t>If, then, we will simply use the key of NT revelation to open up the “mysteries” of OTKP, we will not only find that we understand the true meaning of those prophecies, but also that the apparent contradictions immediately disappear.</w:t>
      </w:r>
    </w:p>
    <w:p w14:paraId="0707E969">
      <w:pPr>
        <w:pStyle w:val="9"/>
        <w:spacing w:before="11"/>
        <w:ind w:left="0"/>
        <w:jc w:val="left"/>
        <w:rPr>
          <w:rFonts w:hint="eastAsia"/>
          <w:sz w:val="30"/>
          <w:szCs w:val="30"/>
        </w:rPr>
      </w:pPr>
      <w:r>
        <w:rPr>
          <w:rFonts w:hint="eastAsia"/>
          <w:sz w:val="30"/>
          <w:szCs w:val="30"/>
        </w:rPr>
        <w:t>那么，如果我们只用新约启示这把钥匙来解开旧约国度预言（OTKP）的“奥秘”，我们不仅会发现我们理解了那些预言的真正含义，而且那些明显的矛盾也会立即消失。</w:t>
      </w:r>
    </w:p>
    <w:p w14:paraId="4E99CABA">
      <w:pPr>
        <w:pStyle w:val="9"/>
        <w:spacing w:before="11"/>
        <w:ind w:left="0"/>
        <w:jc w:val="left"/>
        <w:rPr>
          <w:rFonts w:hint="eastAsia"/>
          <w:sz w:val="30"/>
          <w:szCs w:val="30"/>
        </w:rPr>
      </w:pPr>
    </w:p>
    <w:p w14:paraId="4D4BAFF9">
      <w:pPr>
        <w:pStyle w:val="9"/>
        <w:spacing w:before="11"/>
        <w:ind w:left="0"/>
        <w:jc w:val="left"/>
        <w:rPr>
          <w:rFonts w:hint="eastAsia"/>
          <w:sz w:val="30"/>
          <w:szCs w:val="30"/>
        </w:rPr>
      </w:pPr>
      <w:r>
        <w:rPr>
          <w:rFonts w:hint="eastAsia"/>
          <w:sz w:val="30"/>
          <w:szCs w:val="30"/>
        </w:rPr>
        <w:t>In the pages ahead, we will consider this approach to OTKP in greater depth.</w:t>
      </w:r>
    </w:p>
    <w:p w14:paraId="5D37F6C7">
      <w:pPr>
        <w:pStyle w:val="9"/>
        <w:spacing w:before="11"/>
        <w:ind w:left="0"/>
        <w:jc w:val="left"/>
        <w:rPr>
          <w:rFonts w:hint="eastAsia"/>
          <w:sz w:val="30"/>
          <w:szCs w:val="30"/>
        </w:rPr>
      </w:pPr>
      <w:r>
        <w:rPr>
          <w:rFonts w:hint="eastAsia"/>
          <w:sz w:val="30"/>
          <w:szCs w:val="30"/>
        </w:rPr>
        <w:t>在接下来的篇幅中，我们将更深入地思考这种解释旧约国度预言（OTKP）的方法。</w:t>
      </w:r>
    </w:p>
    <w:p w14:paraId="720B5F6E">
      <w:pPr>
        <w:pStyle w:val="9"/>
        <w:spacing w:before="11"/>
        <w:ind w:left="0"/>
        <w:jc w:val="left"/>
        <w:rPr>
          <w:rFonts w:hint="eastAsia"/>
          <w:sz w:val="30"/>
          <w:szCs w:val="30"/>
        </w:rPr>
      </w:pPr>
    </w:p>
    <w:p w14:paraId="2CFDD8EB">
      <w:pPr>
        <w:pStyle w:val="9"/>
        <w:spacing w:before="11"/>
        <w:ind w:left="0"/>
        <w:jc w:val="left"/>
        <w:rPr>
          <w:rFonts w:hint="eastAsia"/>
          <w:sz w:val="30"/>
          <w:szCs w:val="30"/>
        </w:rPr>
      </w:pPr>
      <w:r>
        <w:rPr>
          <w:rFonts w:hint="eastAsia"/>
          <w:sz w:val="30"/>
          <w:szCs w:val="30"/>
        </w:rPr>
        <w:t>However, in order to get a feel for how effectively this hermeneutic works to solve these kinds of problems, let us pause for a moment to discuss three examples.</w:t>
      </w:r>
    </w:p>
    <w:p w14:paraId="097D49A5">
      <w:pPr>
        <w:pStyle w:val="9"/>
        <w:spacing w:before="11"/>
        <w:ind w:left="0"/>
        <w:jc w:val="left"/>
        <w:rPr>
          <w:sz w:val="30"/>
          <w:szCs w:val="30"/>
        </w:rPr>
      </w:pPr>
      <w:r>
        <w:rPr>
          <w:rFonts w:hint="eastAsia"/>
          <w:sz w:val="30"/>
          <w:szCs w:val="30"/>
        </w:rPr>
        <w:t>然而，为了感受这种解释学在解决这类问题上的有效性，让我们暂停片刻来讨论三个例子。</w:t>
      </w:r>
    </w:p>
    <w:p w14:paraId="2B29EF34">
      <w:pPr>
        <w:pStyle w:val="9"/>
        <w:spacing w:before="11"/>
        <w:ind w:left="0"/>
        <w:jc w:val="left"/>
        <w:rPr>
          <w:sz w:val="15"/>
        </w:rPr>
      </w:pPr>
    </w:p>
    <w:p w14:paraId="1B052DE8">
      <w:pPr>
        <w:pStyle w:val="9"/>
        <w:spacing w:before="11"/>
        <w:ind w:left="0"/>
        <w:jc w:val="left"/>
        <w:rPr>
          <w:sz w:val="15"/>
        </w:rPr>
      </w:pPr>
    </w:p>
    <w:p w14:paraId="2338689D">
      <w:pPr>
        <w:pStyle w:val="9"/>
        <w:spacing w:after="0" w:line="249" w:lineRule="auto"/>
        <w:rPr>
          <w:rFonts w:hint="eastAsia"/>
          <w:color w:val="231F20"/>
        </w:rPr>
      </w:pPr>
      <w:r>
        <w:rPr>
          <w:rFonts w:hint="eastAsia"/>
          <w:color w:val="231F20"/>
        </w:rPr>
        <w:t>Will there be Marriage in the Kingdom?</w:t>
      </w:r>
    </w:p>
    <w:p w14:paraId="28ABE35B">
      <w:pPr>
        <w:pStyle w:val="9"/>
        <w:spacing w:after="0" w:line="249" w:lineRule="auto"/>
        <w:rPr>
          <w:rFonts w:hint="eastAsia"/>
          <w:color w:val="231F20"/>
        </w:rPr>
      </w:pPr>
      <w:r>
        <w:rPr>
          <w:rFonts w:hint="eastAsia"/>
          <w:color w:val="231F20"/>
        </w:rPr>
        <w:t>国度里会有婚姻吗？</w:t>
      </w:r>
    </w:p>
    <w:p w14:paraId="2F806731">
      <w:pPr>
        <w:pStyle w:val="9"/>
        <w:spacing w:after="0" w:line="249" w:lineRule="auto"/>
        <w:rPr>
          <w:rFonts w:hint="eastAsia"/>
          <w:color w:val="231F20"/>
        </w:rPr>
      </w:pPr>
    </w:p>
    <w:p w14:paraId="27C25F74">
      <w:pPr>
        <w:pStyle w:val="9"/>
        <w:spacing w:after="0" w:line="249" w:lineRule="auto"/>
        <w:rPr>
          <w:rFonts w:hint="eastAsia"/>
          <w:color w:val="231F20"/>
        </w:rPr>
      </w:pPr>
      <w:r>
        <w:rPr>
          <w:rFonts w:hint="eastAsia"/>
          <w:color w:val="231F20"/>
        </w:rPr>
        <w:t>Will there be marriage in the Kingdom of God?</w:t>
      </w:r>
    </w:p>
    <w:p w14:paraId="03CE7A0E">
      <w:pPr>
        <w:pStyle w:val="9"/>
        <w:spacing w:after="0" w:line="249" w:lineRule="auto"/>
        <w:rPr>
          <w:rFonts w:hint="eastAsia"/>
          <w:color w:val="231F20"/>
        </w:rPr>
      </w:pPr>
      <w:r>
        <w:rPr>
          <w:rFonts w:hint="eastAsia"/>
          <w:color w:val="231F20"/>
        </w:rPr>
        <w:t>在上帝的国度里会有婚姻吗？</w:t>
      </w:r>
    </w:p>
    <w:p w14:paraId="07D3B745">
      <w:pPr>
        <w:pStyle w:val="9"/>
        <w:spacing w:after="0" w:line="249" w:lineRule="auto"/>
        <w:rPr>
          <w:rFonts w:hint="eastAsia"/>
          <w:color w:val="231F20"/>
        </w:rPr>
      </w:pPr>
    </w:p>
    <w:p w14:paraId="1726E211">
      <w:pPr>
        <w:pStyle w:val="9"/>
        <w:spacing w:after="0" w:line="249" w:lineRule="auto"/>
        <w:rPr>
          <w:rFonts w:hint="eastAsia"/>
          <w:color w:val="231F20"/>
        </w:rPr>
      </w:pPr>
      <w:r>
        <w:rPr>
          <w:rFonts w:hint="eastAsia"/>
          <w:color w:val="231F20"/>
        </w:rPr>
        <w:t>We have just seen that with respect to the second, completed stage of the Kingdom, the NT rules this out.</w:t>
      </w:r>
    </w:p>
    <w:p w14:paraId="1227EB9C">
      <w:pPr>
        <w:pStyle w:val="9"/>
        <w:spacing w:after="0" w:line="249" w:lineRule="auto"/>
        <w:rPr>
          <w:rFonts w:hint="eastAsia"/>
          <w:color w:val="231F20"/>
        </w:rPr>
      </w:pPr>
      <w:r>
        <w:rPr>
          <w:rFonts w:hint="eastAsia"/>
          <w:color w:val="231F20"/>
        </w:rPr>
        <w:t>我们刚刚看到，关于国度的第二个、即已完成的阶段，新约排除了这种可能性。</w:t>
      </w:r>
    </w:p>
    <w:p w14:paraId="0BF2E900">
      <w:pPr>
        <w:pStyle w:val="9"/>
        <w:spacing w:after="0" w:line="249" w:lineRule="auto"/>
        <w:rPr>
          <w:rFonts w:hint="eastAsia"/>
          <w:color w:val="231F20"/>
        </w:rPr>
      </w:pPr>
    </w:p>
    <w:p w14:paraId="09D91287">
      <w:pPr>
        <w:pStyle w:val="9"/>
        <w:spacing w:after="0" w:line="249" w:lineRule="auto"/>
        <w:rPr>
          <w:rFonts w:hint="eastAsia"/>
          <w:color w:val="231F20"/>
        </w:rPr>
      </w:pPr>
      <w:r>
        <w:rPr>
          <w:rFonts w:hint="eastAsia"/>
          <w:color w:val="231F20"/>
        </w:rPr>
        <w:t>How then are we to interpret OT texts that seem to teach the contrary?</w:t>
      </w:r>
    </w:p>
    <w:p w14:paraId="43624277">
      <w:pPr>
        <w:pStyle w:val="9"/>
        <w:spacing w:after="0" w:line="249" w:lineRule="auto"/>
        <w:rPr>
          <w:rFonts w:hint="eastAsia"/>
          <w:color w:val="231F20"/>
        </w:rPr>
      </w:pPr>
      <w:r>
        <w:rPr>
          <w:rFonts w:hint="eastAsia"/>
          <w:color w:val="231F20"/>
        </w:rPr>
        <w:t>那么，我们该如何解释那些似乎教导相反观点的旧约经文呢？</w:t>
      </w:r>
    </w:p>
    <w:p w14:paraId="34ACC70F">
      <w:pPr>
        <w:pStyle w:val="9"/>
        <w:spacing w:after="0" w:line="249" w:lineRule="auto"/>
        <w:rPr>
          <w:rFonts w:hint="eastAsia"/>
          <w:color w:val="231F20"/>
        </w:rPr>
      </w:pPr>
    </w:p>
    <w:p w14:paraId="049D5A45">
      <w:pPr>
        <w:pStyle w:val="9"/>
        <w:spacing w:after="0" w:line="249" w:lineRule="auto"/>
        <w:rPr>
          <w:rFonts w:hint="eastAsia"/>
          <w:color w:val="231F20"/>
        </w:rPr>
      </w:pPr>
      <w:r>
        <w:rPr>
          <w:rFonts w:hint="eastAsia"/>
          <w:color w:val="231F20"/>
        </w:rPr>
        <w:t>A brief look at some of the relevant passages will serve to illumine the fruitfulness of the NCH for solving this problem.</w:t>
      </w:r>
    </w:p>
    <w:p w14:paraId="1CD872B2">
      <w:pPr>
        <w:pStyle w:val="9"/>
        <w:spacing w:after="0" w:line="249" w:lineRule="auto"/>
        <w:rPr>
          <w:rFonts w:hint="eastAsia"/>
          <w:color w:val="231F20"/>
        </w:rPr>
      </w:pPr>
      <w:r>
        <w:rPr>
          <w:rFonts w:hint="eastAsia"/>
          <w:color w:val="231F20"/>
        </w:rPr>
        <w:t>简要地看一下一些相关经文，将有助于阐明新约解释学（NCH）在解决这个问题上的丰硕成果。</w:t>
      </w:r>
    </w:p>
    <w:p w14:paraId="32C55230">
      <w:pPr>
        <w:pStyle w:val="9"/>
        <w:spacing w:after="0" w:line="249" w:lineRule="auto"/>
        <w:rPr>
          <w:rFonts w:hint="eastAsia"/>
          <w:color w:val="231F20"/>
        </w:rPr>
      </w:pPr>
    </w:p>
    <w:p w14:paraId="4C9EE04A">
      <w:pPr>
        <w:pStyle w:val="9"/>
        <w:spacing w:after="0" w:line="249" w:lineRule="auto"/>
        <w:rPr>
          <w:rFonts w:hint="eastAsia"/>
          <w:color w:val="231F20"/>
        </w:rPr>
      </w:pPr>
      <w:r>
        <w:rPr>
          <w:rFonts w:hint="eastAsia"/>
          <w:color w:val="231F20"/>
        </w:rPr>
        <w:t>Jeremiah 33:10-11 reads:</w:t>
      </w:r>
    </w:p>
    <w:p w14:paraId="08E1E208">
      <w:pPr>
        <w:pStyle w:val="9"/>
        <w:spacing w:after="0" w:line="249" w:lineRule="auto"/>
        <w:rPr>
          <w:rFonts w:hint="eastAsia"/>
          <w:color w:val="231F20"/>
        </w:rPr>
      </w:pPr>
      <w:r>
        <w:rPr>
          <w:rFonts w:hint="eastAsia"/>
          <w:color w:val="231F20"/>
        </w:rPr>
        <w:t>耶利米书 33:10-11 记载：</w:t>
      </w:r>
    </w:p>
    <w:p w14:paraId="67BB5157">
      <w:pPr>
        <w:pStyle w:val="9"/>
        <w:spacing w:after="0" w:line="249" w:lineRule="auto"/>
        <w:rPr>
          <w:rFonts w:hint="eastAsia"/>
          <w:color w:val="231F20"/>
        </w:rPr>
      </w:pPr>
    </w:p>
    <w:p w14:paraId="37801B0D">
      <w:pPr>
        <w:pStyle w:val="9"/>
        <w:spacing w:after="0" w:line="249" w:lineRule="auto"/>
        <w:rPr>
          <w:rFonts w:hint="eastAsia"/>
          <w:color w:val="231F20"/>
        </w:rPr>
      </w:pPr>
      <w:r>
        <w:rPr>
          <w:rFonts w:hint="eastAsia"/>
          <w:color w:val="231F20"/>
        </w:rPr>
        <w:t>Thus says the LORD: “Yet again there shall be heard in this place, of which you say, ‘It is a waste, without man and without beast,’ —that is, in the cities of Judah and in the streets of Jerusalem that are desolate, without man and without inhabitant and without beast—the voice of joy and the voice of gladness; the voice of the bridegroom and the voice of the bride; the voice of those who say, ‘Give thanks to the LORD of hosts, for the LORD is good, for his lovingkindness is everlasting’, and of those who bring a thank offering into the house of the LORD.</w:t>
      </w:r>
    </w:p>
    <w:p w14:paraId="7059EE1B">
      <w:pPr>
        <w:pStyle w:val="9"/>
        <w:spacing w:after="0" w:line="249" w:lineRule="auto"/>
        <w:rPr>
          <w:rFonts w:hint="eastAsia"/>
          <w:color w:val="231F20"/>
        </w:rPr>
      </w:pPr>
      <w:r>
        <w:rPr>
          <w:rFonts w:hint="eastAsia"/>
          <w:color w:val="231F20"/>
        </w:rPr>
        <w:t>耶和华如此说：“你们论这地方，说是荒废无人民无牲畜的，但在这里，就是在荒凉无人民无居民无牲畜的犹大城邑和耶路撒冷街上，必再听见有欢喜和快乐的声音、新郎和新妇的声音，并听见有人说：‘当称谢万军之耶和华，因耶和华本为善，祂的慈爱永远长存！’又有奉感谢祭到耶和华殿中之人的声音。</w:t>
      </w:r>
    </w:p>
    <w:p w14:paraId="0541E76C">
      <w:pPr>
        <w:pStyle w:val="9"/>
        <w:spacing w:after="0" w:line="249" w:lineRule="auto"/>
        <w:rPr>
          <w:rFonts w:hint="eastAsia"/>
          <w:color w:val="231F20"/>
        </w:rPr>
      </w:pPr>
    </w:p>
    <w:p w14:paraId="0376E02E">
      <w:pPr>
        <w:pStyle w:val="9"/>
        <w:spacing w:after="0" w:line="249" w:lineRule="auto"/>
        <w:rPr>
          <w:rFonts w:hint="eastAsia"/>
          <w:color w:val="231F20"/>
        </w:rPr>
      </w:pPr>
      <w:r>
        <w:rPr>
          <w:rFonts w:hint="eastAsia"/>
          <w:color w:val="231F20"/>
        </w:rPr>
        <w:t>For I will restore the fortunes of the land as they were at first,” says the LORD.</w:t>
      </w:r>
    </w:p>
    <w:p w14:paraId="1F269C82">
      <w:pPr>
        <w:pStyle w:val="9"/>
        <w:spacing w:after="0" w:line="249" w:lineRule="auto"/>
        <w:rPr>
          <w:rFonts w:hint="eastAsia"/>
          <w:color w:val="231F20"/>
        </w:rPr>
      </w:pPr>
      <w:r>
        <w:rPr>
          <w:rFonts w:hint="eastAsia"/>
          <w:color w:val="231F20"/>
        </w:rPr>
        <w:t>因为我必使这地被掳的人归回，和起初一样。”这是耶和华说的。</w:t>
      </w:r>
    </w:p>
    <w:p w14:paraId="49CCB48A">
      <w:pPr>
        <w:pStyle w:val="9"/>
        <w:spacing w:after="0" w:line="249" w:lineRule="auto"/>
        <w:rPr>
          <w:rFonts w:hint="eastAsia"/>
          <w:color w:val="231F20"/>
        </w:rPr>
      </w:pPr>
    </w:p>
    <w:p w14:paraId="5C109B97">
      <w:pPr>
        <w:pStyle w:val="9"/>
        <w:spacing w:after="0" w:line="249" w:lineRule="auto"/>
        <w:rPr>
          <w:rFonts w:hint="eastAsia"/>
          <w:color w:val="231F20"/>
        </w:rPr>
      </w:pPr>
      <w:r>
        <w:rPr>
          <w:rFonts w:hint="eastAsia"/>
          <w:color w:val="231F20"/>
        </w:rPr>
        <w:t>That this is an OTKP is clear from the larger context, in which God promises ultimate eschatological blessings to his restored people: the advent of the Righteous Branch of David (v. 15), cleansing and pardon (v. 8), health and healing (v. 6), the perpetuity of the Davidic dynasty and Levitical  priesthood  (vv.  21-22),  and  fear  and  trembling  among  the observant nations, who marvel at all the well-being God will grant to Jerusalem (v. 9).</w:t>
      </w:r>
    </w:p>
    <w:p w14:paraId="3F3CA052">
      <w:pPr>
        <w:pStyle w:val="9"/>
        <w:spacing w:after="0" w:line="249" w:lineRule="auto"/>
        <w:rPr>
          <w:rFonts w:hint="eastAsia"/>
          <w:color w:val="231F20"/>
        </w:rPr>
      </w:pPr>
      <w:r>
        <w:rPr>
          <w:rFonts w:hint="eastAsia"/>
          <w:color w:val="231F20"/>
        </w:rPr>
        <w:t>从更大的上下文中可以清楚地看出这是一个旧约国度预言（OTKP），在其中上帝应许赐给祂复兴的子民终极的末世祝福：大卫公义苗裔的降临（15节）、洁净和赦免（8节）、健康和医治（6节）、大卫王朝和利未祭司职分的永恒性（21-22节），以及在旁观的列国中引起的恐惧和战兢，他们惊叹于上帝将要赐给耶路撒冷的一切福祉（9节）。</w:t>
      </w:r>
    </w:p>
    <w:p w14:paraId="4FC6D701">
      <w:pPr>
        <w:pStyle w:val="9"/>
        <w:spacing w:after="0" w:line="249" w:lineRule="auto"/>
        <w:rPr>
          <w:rFonts w:hint="eastAsia"/>
          <w:color w:val="231F20"/>
        </w:rPr>
      </w:pPr>
    </w:p>
    <w:p w14:paraId="0C2F0E3D">
      <w:pPr>
        <w:pStyle w:val="9"/>
        <w:spacing w:after="0" w:line="249" w:lineRule="auto"/>
        <w:rPr>
          <w:rFonts w:hint="eastAsia"/>
          <w:color w:val="231F20"/>
        </w:rPr>
      </w:pPr>
      <w:r>
        <w:rPr>
          <w:rFonts w:hint="eastAsia"/>
          <w:color w:val="231F20"/>
        </w:rPr>
        <w:t>How then are we to interpret this passage?</w:t>
      </w:r>
    </w:p>
    <w:p w14:paraId="043FEEA6">
      <w:pPr>
        <w:pStyle w:val="9"/>
        <w:spacing w:after="0" w:line="249" w:lineRule="auto"/>
        <w:rPr>
          <w:rFonts w:hint="eastAsia"/>
          <w:color w:val="231F20"/>
        </w:rPr>
      </w:pPr>
      <w:r>
        <w:rPr>
          <w:rFonts w:hint="eastAsia"/>
          <w:color w:val="231F20"/>
        </w:rPr>
        <w:t>那么，我们该如何解释这段经文呢？</w:t>
      </w:r>
    </w:p>
    <w:p w14:paraId="1244104A">
      <w:pPr>
        <w:pStyle w:val="9"/>
        <w:spacing w:after="0" w:line="249" w:lineRule="auto"/>
        <w:rPr>
          <w:rFonts w:hint="eastAsia"/>
          <w:color w:val="231F20"/>
        </w:rPr>
      </w:pPr>
    </w:p>
    <w:p w14:paraId="48812551">
      <w:pPr>
        <w:pStyle w:val="9"/>
        <w:spacing w:after="0" w:line="249" w:lineRule="auto"/>
        <w:rPr>
          <w:rFonts w:hint="eastAsia"/>
          <w:color w:val="231F20"/>
        </w:rPr>
      </w:pPr>
      <w:r>
        <w:rPr>
          <w:rFonts w:hint="eastAsia"/>
          <w:color w:val="231F20"/>
        </w:rPr>
        <w:t>Applying the NCH, we begin by recognizing that the promise is fulfilled in the twofold Kingdom that Christ instituted by the New Covenant.</w:t>
      </w:r>
    </w:p>
    <w:p w14:paraId="41EC9949">
      <w:pPr>
        <w:pStyle w:val="9"/>
        <w:spacing w:after="0" w:line="249" w:lineRule="auto"/>
        <w:rPr>
          <w:rFonts w:hint="eastAsia"/>
          <w:color w:val="231F20"/>
        </w:rPr>
      </w:pPr>
      <w:r>
        <w:rPr>
          <w:rFonts w:hint="eastAsia"/>
          <w:color w:val="231F20"/>
        </w:rPr>
        <w:t>应用新约解释学（NCH），我们首先要认识到，这个应许是在基督藉着新约所建立的双重国度中应验的。</w:t>
      </w:r>
    </w:p>
    <w:p w14:paraId="29F33745">
      <w:pPr>
        <w:pStyle w:val="9"/>
        <w:spacing w:after="0" w:line="249" w:lineRule="auto"/>
        <w:rPr>
          <w:rFonts w:hint="eastAsia"/>
          <w:color w:val="231F20"/>
        </w:rPr>
      </w:pPr>
    </w:p>
    <w:p w14:paraId="30FA6C77">
      <w:pPr>
        <w:pStyle w:val="9"/>
        <w:spacing w:after="0" w:line="249" w:lineRule="auto"/>
        <w:rPr>
          <w:rFonts w:hint="eastAsia"/>
          <w:color w:val="231F20"/>
        </w:rPr>
      </w:pPr>
      <w:r>
        <w:rPr>
          <w:rFonts w:hint="eastAsia"/>
          <w:color w:val="231F20"/>
        </w:rPr>
        <w:t>This means it is fulfilled in the Church, which is the New Covenant community, the eschatological Israel of God.</w:t>
      </w:r>
    </w:p>
    <w:p w14:paraId="1BC90E97">
      <w:pPr>
        <w:pStyle w:val="9"/>
        <w:spacing w:after="0" w:line="249" w:lineRule="auto"/>
        <w:rPr>
          <w:rFonts w:hint="eastAsia"/>
          <w:color w:val="231F20"/>
        </w:rPr>
      </w:pPr>
      <w:r>
        <w:rPr>
          <w:rFonts w:hint="eastAsia"/>
          <w:color w:val="231F20"/>
        </w:rPr>
        <w:t>这意味着它在教会中应验，教会是新约的群体，是上帝末世的以色列。</w:t>
      </w:r>
    </w:p>
    <w:p w14:paraId="251F0984">
      <w:pPr>
        <w:pStyle w:val="9"/>
        <w:spacing w:after="0" w:line="249" w:lineRule="auto"/>
        <w:rPr>
          <w:rFonts w:hint="eastAsia"/>
          <w:color w:val="231F20"/>
        </w:rPr>
      </w:pPr>
    </w:p>
    <w:p w14:paraId="636123EB">
      <w:pPr>
        <w:pStyle w:val="9"/>
        <w:spacing w:after="0" w:line="249" w:lineRule="auto"/>
        <w:rPr>
          <w:rFonts w:hint="eastAsia"/>
          <w:color w:val="231F20"/>
        </w:rPr>
      </w:pPr>
      <w:r>
        <w:rPr>
          <w:rFonts w:hint="eastAsia"/>
          <w:color w:val="231F20"/>
        </w:rPr>
        <w:t>During stage one of the Kingdom—the Era of (Gospel) Proclamation and Probation—God first draws an elect remnant of Jews to Christ, thereby creating a spiritual Bride for his Son (the heavenly Bridegroom), and also a spiritual City for himself: the Jerusalem of God, where he will dwell with his people forever.</w:t>
      </w:r>
    </w:p>
    <w:p w14:paraId="5A8C6131">
      <w:pPr>
        <w:pStyle w:val="9"/>
        <w:spacing w:after="0" w:line="249" w:lineRule="auto"/>
        <w:rPr>
          <w:rFonts w:hint="eastAsia"/>
          <w:color w:val="231F20"/>
        </w:rPr>
      </w:pPr>
      <w:r>
        <w:rPr>
          <w:rFonts w:hint="eastAsia"/>
          <w:color w:val="231F20"/>
        </w:rPr>
        <w:t>在国度的第一阶段——即（福音）宣讲和验证的时代——上帝首先吸引一群蒙拣选的犹太余民归向基督，从而为祂的儿子（属天的新郎）创造一位属灵的新妇，也为祂自己创造一座属灵的城：上帝的耶路撒冷，祂将永远与祂的子民同住。</w:t>
      </w:r>
    </w:p>
    <w:p w14:paraId="55F0965C">
      <w:pPr>
        <w:pStyle w:val="9"/>
        <w:spacing w:after="0" w:line="249" w:lineRule="auto"/>
        <w:rPr>
          <w:rFonts w:hint="eastAsia"/>
          <w:color w:val="231F20"/>
        </w:rPr>
      </w:pPr>
    </w:p>
    <w:p w14:paraId="2D1C56F4">
      <w:pPr>
        <w:pStyle w:val="9"/>
        <w:spacing w:after="0" w:line="249" w:lineRule="auto"/>
        <w:rPr>
          <w:rFonts w:hint="eastAsia"/>
          <w:color w:val="231F20"/>
        </w:rPr>
      </w:pPr>
      <w:r>
        <w:rPr>
          <w:rFonts w:hint="eastAsia"/>
          <w:color w:val="231F20"/>
        </w:rPr>
        <w:t>In time, the “nations” of elect Gentiles begin to behold the health, beauty, and joy of the Bride, and so respond to the Gospel themselves, thereby becoming part of the growing Bride and the growing City of the LORD.</w:t>
      </w:r>
    </w:p>
    <w:p w14:paraId="38ED5353">
      <w:pPr>
        <w:pStyle w:val="9"/>
        <w:spacing w:after="0" w:line="249" w:lineRule="auto"/>
        <w:rPr>
          <w:rFonts w:hint="eastAsia"/>
          <w:color w:val="231F20"/>
        </w:rPr>
      </w:pPr>
      <w:r>
        <w:rPr>
          <w:rFonts w:hint="eastAsia"/>
          <w:color w:val="231F20"/>
        </w:rPr>
        <w:t>随着时间的推移，蒙拣选的外邦“列国”开始看到新妇的健康、美丽和喜乐，于是他们自己也回应福音，从而成为成长中的新妇和成长中的耶和华之城的一部分。</w:t>
      </w:r>
    </w:p>
    <w:p w14:paraId="3AF1F8E5">
      <w:pPr>
        <w:pStyle w:val="9"/>
        <w:spacing w:after="0" w:line="249" w:lineRule="auto"/>
        <w:rPr>
          <w:rFonts w:hint="eastAsia"/>
          <w:color w:val="231F20"/>
        </w:rPr>
      </w:pPr>
    </w:p>
    <w:p w14:paraId="617D2E84">
      <w:pPr>
        <w:pStyle w:val="9"/>
        <w:spacing w:after="0" w:line="249" w:lineRule="auto"/>
        <w:rPr>
          <w:rFonts w:hint="eastAsia"/>
          <w:color w:val="231F20"/>
        </w:rPr>
      </w:pPr>
      <w:r>
        <w:rPr>
          <w:rFonts w:hint="eastAsia"/>
          <w:color w:val="231F20"/>
        </w:rPr>
        <w:t>In still more time, these Gentile converts provoke to jealously the “nations” of elect unbelievers (i.e., spiritual Gentiles), so that more and more people are married to the high King of Heaven, thereby making their way into the Jerusalem above.</w:t>
      </w:r>
    </w:p>
    <w:p w14:paraId="466B1623">
      <w:pPr>
        <w:pStyle w:val="9"/>
        <w:spacing w:after="0" w:line="249" w:lineRule="auto"/>
        <w:rPr>
          <w:rFonts w:hint="eastAsia"/>
          <w:color w:val="231F20"/>
        </w:rPr>
      </w:pPr>
      <w:r>
        <w:rPr>
          <w:rFonts w:hint="eastAsia"/>
          <w:color w:val="231F20"/>
        </w:rPr>
        <w:t>再过些时候，这些归信的外邦人会激动那些蒙拣选的不信者（即属灵的外邦人）“列国”的嫉妒，以致越来越多的人与天上的至高君王成婚，从而进入天上的耶路撒冷。</w:t>
      </w:r>
    </w:p>
    <w:p w14:paraId="28DD5D99">
      <w:pPr>
        <w:pStyle w:val="9"/>
        <w:spacing w:after="0" w:line="249" w:lineRule="auto"/>
        <w:rPr>
          <w:rFonts w:hint="eastAsia"/>
          <w:color w:val="231F20"/>
        </w:rPr>
      </w:pPr>
    </w:p>
    <w:p w14:paraId="3FF1211B">
      <w:pPr>
        <w:pStyle w:val="9"/>
        <w:spacing w:after="0" w:line="249" w:lineRule="auto"/>
        <w:rPr>
          <w:rFonts w:hint="eastAsia"/>
          <w:color w:val="231F20"/>
        </w:rPr>
      </w:pPr>
      <w:r>
        <w:rPr>
          <w:rFonts w:hint="eastAsia"/>
          <w:color w:val="231F20"/>
        </w:rPr>
        <w:t>And so the process will continue—right up to the Day of the Lord’s return—as men and women everywhere hear the sound of joy and gladness emanating from Christ’s Church; the voice of the Bride and the Bridegroom speaking endearing words of love one to another; the praises of the heavenly Bride and the heavenly City, giving thanks to God for the goodness and lovingkindness everlastingly granted to them in Christ.</w:t>
      </w:r>
    </w:p>
    <w:p w14:paraId="0CA7F0BC">
      <w:pPr>
        <w:pStyle w:val="9"/>
        <w:spacing w:after="0" w:line="249" w:lineRule="auto"/>
        <w:rPr>
          <w:rFonts w:hint="eastAsia"/>
          <w:color w:val="231F20"/>
        </w:rPr>
      </w:pPr>
      <w:r>
        <w:rPr>
          <w:rFonts w:hint="eastAsia"/>
          <w:color w:val="231F20"/>
        </w:rPr>
        <w:t>这个过程将一直持续——直到主再来的那日——因为各处的人们都听到了从基督的教会发出的喜乐和欢欣的声音；听到了新妇与新郎彼此诉说爱意的话语；听到了属天的新妇和属天的圣城发出的赞美，为着在基督里永远赐给他们的良善和慈爱而感谢上帝。</w:t>
      </w:r>
    </w:p>
    <w:p w14:paraId="6BF4CC3F">
      <w:pPr>
        <w:pStyle w:val="9"/>
        <w:spacing w:after="0" w:line="249" w:lineRule="auto"/>
        <w:rPr>
          <w:rFonts w:hint="eastAsia"/>
          <w:color w:val="231F20"/>
        </w:rPr>
      </w:pPr>
    </w:p>
    <w:p w14:paraId="3618775D">
      <w:pPr>
        <w:pStyle w:val="9"/>
        <w:spacing w:after="0" w:line="249" w:lineRule="auto"/>
        <w:rPr>
          <w:rFonts w:hint="eastAsia"/>
          <w:color w:val="231F20"/>
        </w:rPr>
      </w:pPr>
      <w:r>
        <w:rPr>
          <w:rFonts w:hint="eastAsia"/>
          <w:color w:val="231F20"/>
        </w:rPr>
        <w:t>But even this is not all.</w:t>
      </w:r>
    </w:p>
    <w:p w14:paraId="4DFB34E3">
      <w:pPr>
        <w:pStyle w:val="9"/>
        <w:spacing w:after="0" w:line="249" w:lineRule="auto"/>
        <w:rPr>
          <w:rFonts w:hint="eastAsia"/>
          <w:color w:val="231F20"/>
        </w:rPr>
      </w:pPr>
      <w:r>
        <w:rPr>
          <w:rFonts w:hint="eastAsia"/>
          <w:color w:val="231F20"/>
        </w:rPr>
        <w:t>但即便如此，这还不是全部。</w:t>
      </w:r>
    </w:p>
    <w:p w14:paraId="5C1B9728">
      <w:pPr>
        <w:pStyle w:val="9"/>
        <w:spacing w:after="0" w:line="249" w:lineRule="auto"/>
        <w:rPr>
          <w:rFonts w:hint="eastAsia"/>
          <w:color w:val="231F20"/>
        </w:rPr>
      </w:pPr>
    </w:p>
    <w:p w14:paraId="70AF23F4">
      <w:pPr>
        <w:pStyle w:val="9"/>
        <w:spacing w:after="0" w:line="249" w:lineRule="auto"/>
        <w:rPr>
          <w:rFonts w:hint="eastAsia"/>
          <w:color w:val="231F20"/>
        </w:rPr>
      </w:pPr>
      <w:r>
        <w:rPr>
          <w:rFonts w:hint="eastAsia"/>
          <w:color w:val="231F20"/>
        </w:rPr>
        <w:t>God will perfect all this joy, praise, and wholeness when the second stage of the Kingdom appears; when, having sent his Son to consummate the saints’ redemption in a new heaven and a new earth, he restores once and for all the fortunes of the “land” (i.e., the whole earth), so that it will be as it was in the beginning, as in the Garden of Eden itself.</w:t>
      </w:r>
    </w:p>
    <w:p w14:paraId="3DDFFF63">
      <w:pPr>
        <w:pStyle w:val="9"/>
        <w:spacing w:after="0" w:line="249" w:lineRule="auto"/>
        <w:rPr>
          <w:rFonts w:hint="eastAsia"/>
          <w:color w:val="231F20"/>
        </w:rPr>
      </w:pPr>
      <w:r>
        <w:rPr>
          <w:rFonts w:hint="eastAsia"/>
          <w:color w:val="231F20"/>
        </w:rPr>
        <w:t>当国度的第二阶段出现时，上帝将使这一切的喜乐、赞美和完全得以成全；那时，祂差遣祂的儿子在新天新地中成全圣徒的救赎，祂将一劳永逸地恢复“这地”（即整个地球）的福气，使其恢复到起初的光景，就像在伊甸园中一样。</w:t>
      </w:r>
    </w:p>
    <w:p w14:paraId="18330455">
      <w:pPr>
        <w:pStyle w:val="9"/>
        <w:spacing w:after="0" w:line="249" w:lineRule="auto"/>
        <w:rPr>
          <w:rFonts w:hint="eastAsia"/>
          <w:color w:val="231F20"/>
        </w:rPr>
      </w:pPr>
    </w:p>
    <w:p w14:paraId="0E87AF45">
      <w:pPr>
        <w:pStyle w:val="9"/>
        <w:spacing w:after="0" w:line="249" w:lineRule="auto"/>
        <w:rPr>
          <w:rFonts w:hint="eastAsia"/>
          <w:color w:val="231F20"/>
        </w:rPr>
      </w:pPr>
      <w:r>
        <w:rPr>
          <w:rFonts w:hint="eastAsia"/>
          <w:color w:val="231F20"/>
        </w:rPr>
        <w:t>So then, will there be marriage in the Kingdom?</w:t>
      </w:r>
    </w:p>
    <w:p w14:paraId="616A5C72">
      <w:pPr>
        <w:pStyle w:val="9"/>
        <w:spacing w:after="0" w:line="249" w:lineRule="auto"/>
        <w:rPr>
          <w:rFonts w:hint="eastAsia"/>
          <w:color w:val="231F20"/>
        </w:rPr>
      </w:pPr>
      <w:r>
        <w:rPr>
          <w:rFonts w:hint="eastAsia"/>
          <w:color w:val="231F20"/>
        </w:rPr>
        <w:t>那么，国度里会有婚姻吗？</w:t>
      </w:r>
    </w:p>
    <w:p w14:paraId="0E4825DC">
      <w:pPr>
        <w:pStyle w:val="9"/>
        <w:spacing w:after="0" w:line="249" w:lineRule="auto"/>
        <w:rPr>
          <w:rFonts w:hint="eastAsia"/>
          <w:color w:val="231F20"/>
        </w:rPr>
      </w:pPr>
    </w:p>
    <w:p w14:paraId="42E98134">
      <w:pPr>
        <w:pStyle w:val="9"/>
        <w:spacing w:after="0" w:line="249" w:lineRule="auto"/>
        <w:rPr>
          <w:rFonts w:hint="eastAsia"/>
          <w:color w:val="231F20"/>
        </w:rPr>
      </w:pPr>
      <w:r>
        <w:rPr>
          <w:rFonts w:hint="eastAsia"/>
          <w:color w:val="231F20"/>
        </w:rPr>
        <w:t>Yes indeed!</w:t>
      </w:r>
    </w:p>
    <w:p w14:paraId="2CDDEC34">
      <w:pPr>
        <w:pStyle w:val="9"/>
        <w:spacing w:after="0" w:line="249" w:lineRule="auto"/>
        <w:rPr>
          <w:rFonts w:hint="eastAsia"/>
          <w:color w:val="231F20"/>
        </w:rPr>
      </w:pPr>
      <w:r>
        <w:rPr>
          <w:rFonts w:hint="eastAsia"/>
          <w:color w:val="231F20"/>
        </w:rPr>
        <w:t>是的，确实有！</w:t>
      </w:r>
    </w:p>
    <w:p w14:paraId="0E06871D">
      <w:pPr>
        <w:pStyle w:val="9"/>
        <w:spacing w:after="0" w:line="249" w:lineRule="auto"/>
        <w:rPr>
          <w:rFonts w:hint="eastAsia"/>
          <w:color w:val="231F20"/>
        </w:rPr>
      </w:pPr>
    </w:p>
    <w:p w14:paraId="44797251">
      <w:pPr>
        <w:pStyle w:val="9"/>
        <w:spacing w:after="0" w:line="249" w:lineRule="auto"/>
        <w:rPr>
          <w:rFonts w:hint="eastAsia"/>
          <w:color w:val="231F20"/>
        </w:rPr>
      </w:pPr>
      <w:r>
        <w:rPr>
          <w:rFonts w:hint="eastAsia"/>
          <w:color w:val="231F20"/>
        </w:rPr>
        <w:t>In the first stage of the Kingdom, it will be both spiritual and physical: spiritual, in that it is between Christ and the Church; physical, in that it is between Christian men and women, who understand that their marriage is a picture and a celebration of the eternal marriage of Christ and his Bride.</w:t>
      </w:r>
    </w:p>
    <w:p w14:paraId="0A756C16">
      <w:pPr>
        <w:pStyle w:val="9"/>
        <w:spacing w:after="0" w:line="249" w:lineRule="auto"/>
        <w:rPr>
          <w:rFonts w:hint="eastAsia"/>
          <w:color w:val="231F20"/>
        </w:rPr>
      </w:pPr>
      <w:r>
        <w:rPr>
          <w:rFonts w:hint="eastAsia"/>
          <w:color w:val="231F20"/>
        </w:rPr>
        <w:t>在国度的第一阶段，它既是属灵的也是物质的：属灵的，因为是在基督和教会之间；物质的，因为是在基督徒男女之间，他们明白自己的婚姻是基督与祂新妇永恒婚姻的一幅图画和一种庆贺。</w:t>
      </w:r>
    </w:p>
    <w:p w14:paraId="287BA388">
      <w:pPr>
        <w:pStyle w:val="9"/>
        <w:spacing w:after="0" w:line="249" w:lineRule="auto"/>
        <w:rPr>
          <w:rFonts w:hint="eastAsia"/>
          <w:color w:val="231F20"/>
        </w:rPr>
      </w:pPr>
    </w:p>
    <w:p w14:paraId="6EC24529">
      <w:pPr>
        <w:pStyle w:val="9"/>
        <w:spacing w:after="0" w:line="249" w:lineRule="auto"/>
        <w:rPr>
          <w:rFonts w:hint="eastAsia"/>
          <w:color w:val="231F20"/>
        </w:rPr>
      </w:pPr>
      <w:r>
        <w:rPr>
          <w:rFonts w:hint="eastAsia"/>
          <w:color w:val="231F20"/>
        </w:rPr>
        <w:t>However, in the second stage of the Kingdom it will be spiritual only, since, at the Marriage Supper of the Lamb (Rev. 19:9), God will perfect the union of Christ and his Bride, with the result that physical marriage—a mere type and shadow of things to come—will be done away with at last, through the resurrection and glorification of the eternal Body of Christ.</w:t>
      </w:r>
    </w:p>
    <w:p w14:paraId="5295BFD8">
      <w:pPr>
        <w:pStyle w:val="9"/>
        <w:spacing w:after="0" w:line="249" w:lineRule="auto"/>
        <w:rPr>
          <w:rFonts w:hint="eastAsia"/>
          <w:color w:val="231F20"/>
        </w:rPr>
      </w:pPr>
      <w:r>
        <w:rPr>
          <w:rFonts w:hint="eastAsia"/>
          <w:color w:val="231F20"/>
        </w:rPr>
        <w:t>然而，在国度的第二阶段，它将只是属灵的，因为在羔羊的婚宴上（启示录 19:9），上帝将使基督与祂新妇的联合得以完全，结果是物质的婚姻——仅仅是未来之事物的预表和影儿——将最终通过基督永恒身体的复活和得荣而被废除。</w:t>
      </w:r>
    </w:p>
    <w:p w14:paraId="70641499">
      <w:pPr>
        <w:pStyle w:val="9"/>
        <w:spacing w:after="0" w:line="249" w:lineRule="auto"/>
        <w:rPr>
          <w:rFonts w:hint="eastAsia"/>
          <w:color w:val="231F20"/>
        </w:rPr>
      </w:pPr>
    </w:p>
    <w:p w14:paraId="6BA7D1E2">
      <w:pPr>
        <w:pStyle w:val="9"/>
        <w:spacing w:after="0" w:line="249" w:lineRule="auto"/>
        <w:rPr>
          <w:rFonts w:hint="eastAsia"/>
          <w:color w:val="231F20"/>
        </w:rPr>
      </w:pPr>
      <w:r>
        <w:rPr>
          <w:rFonts w:hint="eastAsia"/>
          <w:color w:val="231F20"/>
        </w:rPr>
        <w:t>Will there be Children in the Kingdom?</w:t>
      </w:r>
    </w:p>
    <w:p w14:paraId="68D30E4F">
      <w:pPr>
        <w:pStyle w:val="9"/>
        <w:spacing w:after="0" w:line="249" w:lineRule="auto"/>
        <w:rPr>
          <w:rFonts w:hint="eastAsia"/>
          <w:color w:val="231F20"/>
        </w:rPr>
      </w:pPr>
      <w:r>
        <w:rPr>
          <w:rFonts w:hint="eastAsia"/>
          <w:color w:val="231F20"/>
        </w:rPr>
        <w:t>国度里会有孩童吗？</w:t>
      </w:r>
    </w:p>
    <w:p w14:paraId="5A4BF928">
      <w:pPr>
        <w:pStyle w:val="9"/>
        <w:spacing w:after="0" w:line="249" w:lineRule="auto"/>
        <w:rPr>
          <w:rFonts w:hint="eastAsia"/>
          <w:color w:val="231F20"/>
        </w:rPr>
      </w:pPr>
    </w:p>
    <w:p w14:paraId="113A9634">
      <w:pPr>
        <w:pStyle w:val="9"/>
        <w:spacing w:after="0" w:line="249" w:lineRule="auto"/>
        <w:rPr>
          <w:rFonts w:hint="eastAsia"/>
          <w:color w:val="231F20"/>
        </w:rPr>
      </w:pPr>
      <w:r>
        <w:rPr>
          <w:rFonts w:hint="eastAsia"/>
          <w:color w:val="231F20"/>
        </w:rPr>
        <w:t>What of children?</w:t>
      </w:r>
    </w:p>
    <w:p w14:paraId="7740F907">
      <w:pPr>
        <w:pStyle w:val="9"/>
        <w:spacing w:after="0" w:line="249" w:lineRule="auto"/>
        <w:rPr>
          <w:rFonts w:hint="eastAsia"/>
          <w:color w:val="231F20"/>
        </w:rPr>
      </w:pPr>
      <w:r>
        <w:rPr>
          <w:rFonts w:hint="eastAsia"/>
          <w:color w:val="231F20"/>
        </w:rPr>
        <w:t>那么孩童呢？</w:t>
      </w:r>
    </w:p>
    <w:p w14:paraId="745832E1">
      <w:pPr>
        <w:pStyle w:val="9"/>
        <w:spacing w:after="0" w:line="249" w:lineRule="auto"/>
        <w:rPr>
          <w:rFonts w:hint="eastAsia"/>
          <w:color w:val="231F20"/>
        </w:rPr>
      </w:pPr>
    </w:p>
    <w:p w14:paraId="33F5CD8E">
      <w:pPr>
        <w:pStyle w:val="9"/>
        <w:spacing w:after="0" w:line="249" w:lineRule="auto"/>
        <w:rPr>
          <w:rFonts w:hint="eastAsia"/>
          <w:color w:val="231F20"/>
        </w:rPr>
      </w:pPr>
      <w:r>
        <w:rPr>
          <w:rFonts w:hint="eastAsia"/>
          <w:color w:val="231F20"/>
        </w:rPr>
        <w:t>If, as the NT teaches, there will be neither marriage nor procreation in the completed Kingdom, how shall we understand Isaiah when he says that in those days the nursing child will play by the hole of the cobra, and the weaned child will put his hand on the viper’s den (11:6- 9)?</w:t>
      </w:r>
    </w:p>
    <w:p w14:paraId="6E889E90">
      <w:pPr>
        <w:pStyle w:val="9"/>
        <w:spacing w:after="0" w:line="249" w:lineRule="auto"/>
        <w:rPr>
          <w:rFonts w:hint="eastAsia"/>
          <w:color w:val="231F20"/>
        </w:rPr>
      </w:pPr>
      <w:r>
        <w:rPr>
          <w:rFonts w:hint="eastAsia"/>
          <w:color w:val="231F20"/>
        </w:rPr>
        <w:t>如果，如新约所教导的，在已完成的国度中既没有婚姻也没有生育，我们该如何理解以赛亚所说的，在那些日子里，吃奶的孩子必玩耍在虺蛇的洞口，断奶的婴儿必按手在毒蛇的穴上（11:6-9）呢？</w:t>
      </w:r>
    </w:p>
    <w:p w14:paraId="4E5E6950">
      <w:pPr>
        <w:pStyle w:val="9"/>
        <w:spacing w:after="0" w:line="249" w:lineRule="auto"/>
        <w:rPr>
          <w:rFonts w:hint="eastAsia"/>
          <w:color w:val="231F20"/>
        </w:rPr>
      </w:pPr>
    </w:p>
    <w:p w14:paraId="3A3B729C">
      <w:pPr>
        <w:pStyle w:val="9"/>
        <w:spacing w:after="0" w:line="249" w:lineRule="auto"/>
        <w:rPr>
          <w:rFonts w:hint="eastAsia"/>
          <w:color w:val="231F20"/>
        </w:rPr>
      </w:pPr>
      <w:r>
        <w:rPr>
          <w:rFonts w:hint="eastAsia"/>
          <w:color w:val="231F20"/>
        </w:rPr>
        <w:t>Also, how shall we read Zechariah, when he says that in eschatological Jerusalem the city will be filled with boys and girls playing in the streets (Zech. 8:5)?</w:t>
      </w:r>
    </w:p>
    <w:p w14:paraId="3EE9BD4D">
      <w:pPr>
        <w:pStyle w:val="9"/>
        <w:spacing w:after="0" w:line="249" w:lineRule="auto"/>
        <w:rPr>
          <w:rFonts w:hint="eastAsia"/>
          <w:color w:val="231F20"/>
        </w:rPr>
      </w:pPr>
      <w:r>
        <w:rPr>
          <w:rFonts w:hint="eastAsia"/>
          <w:color w:val="231F20"/>
        </w:rPr>
        <w:t>还有，我们该如何解读撒迦利亚所说的，在末世的耶路撒冷，城中将充满男孩女孩在街上玩耍（撒迦利亚书 8:5）呢？</w:t>
      </w:r>
    </w:p>
    <w:p w14:paraId="63905086">
      <w:pPr>
        <w:pStyle w:val="9"/>
        <w:spacing w:after="0" w:line="249" w:lineRule="auto"/>
        <w:rPr>
          <w:rFonts w:hint="eastAsia"/>
          <w:color w:val="231F20"/>
        </w:rPr>
      </w:pPr>
    </w:p>
    <w:p w14:paraId="15F6069A">
      <w:pPr>
        <w:pStyle w:val="9"/>
        <w:spacing w:after="0" w:line="249" w:lineRule="auto"/>
        <w:rPr>
          <w:rFonts w:hint="eastAsia"/>
          <w:color w:val="231F20"/>
        </w:rPr>
      </w:pPr>
      <w:r>
        <w:rPr>
          <w:rFonts w:hint="eastAsia"/>
          <w:color w:val="231F20"/>
        </w:rPr>
        <w:t>Applying the NCH yet again, we find that the solution is not difficult at all.</w:t>
      </w:r>
    </w:p>
    <w:p w14:paraId="5C704894">
      <w:pPr>
        <w:pStyle w:val="9"/>
        <w:spacing w:after="0" w:line="249" w:lineRule="auto"/>
        <w:rPr>
          <w:rFonts w:hint="eastAsia"/>
          <w:color w:val="231F20"/>
        </w:rPr>
      </w:pPr>
      <w:r>
        <w:rPr>
          <w:rFonts w:hint="eastAsia"/>
          <w:color w:val="231F20"/>
        </w:rPr>
        <w:t>再次应用新约解释学（NCH），我们发现解决方案一点也不难。</w:t>
      </w:r>
    </w:p>
    <w:p w14:paraId="6B92A9AA">
      <w:pPr>
        <w:pStyle w:val="9"/>
        <w:spacing w:after="0" w:line="249" w:lineRule="auto"/>
        <w:rPr>
          <w:rFonts w:hint="eastAsia"/>
          <w:color w:val="231F20"/>
        </w:rPr>
      </w:pPr>
    </w:p>
    <w:p w14:paraId="3408B852">
      <w:pPr>
        <w:pStyle w:val="9"/>
        <w:spacing w:after="0" w:line="249" w:lineRule="auto"/>
        <w:rPr>
          <w:rFonts w:hint="eastAsia"/>
          <w:color w:val="231F20"/>
        </w:rPr>
      </w:pPr>
      <w:r>
        <w:rPr>
          <w:rFonts w:hint="eastAsia"/>
          <w:color w:val="231F20"/>
        </w:rPr>
        <w:t>Knowing that the prophets are speaking “in a mystery” of Christ’s Church in the twofold Kingdom, we understand immediately that they are using OT images of divine blessing to describe the everlasting joys of God’s NT people.</w:t>
      </w:r>
    </w:p>
    <w:p w14:paraId="2ECAC649">
      <w:pPr>
        <w:pStyle w:val="9"/>
        <w:spacing w:after="0" w:line="249" w:lineRule="auto"/>
        <w:rPr>
          <w:rFonts w:hint="eastAsia"/>
          <w:color w:val="231F20"/>
        </w:rPr>
      </w:pPr>
      <w:r>
        <w:rPr>
          <w:rFonts w:hint="eastAsia"/>
          <w:color w:val="231F20"/>
        </w:rPr>
        <w:t>知道先知们是在“奥秘中”讲述基督在双重国度中的教会，我们立刻明白他们是在使用旧约中神圣祝福的意象来描述上帝新约子民永恒的喜乐。</w:t>
      </w:r>
    </w:p>
    <w:p w14:paraId="57F01934">
      <w:pPr>
        <w:pStyle w:val="9"/>
        <w:spacing w:after="0" w:line="249" w:lineRule="auto"/>
        <w:rPr>
          <w:rFonts w:hint="eastAsia"/>
          <w:color w:val="231F20"/>
        </w:rPr>
      </w:pPr>
    </w:p>
    <w:p w14:paraId="0478023D">
      <w:pPr>
        <w:pStyle w:val="9"/>
        <w:spacing w:after="0" w:line="249" w:lineRule="auto"/>
        <w:rPr>
          <w:rFonts w:hint="eastAsia"/>
          <w:color w:val="231F20"/>
        </w:rPr>
      </w:pPr>
      <w:r>
        <w:rPr>
          <w:rFonts w:hint="eastAsia"/>
          <w:color w:val="231F20"/>
        </w:rPr>
        <w:t>Therefore, Isaiah is not telling us that in the eschaton literal children will play by literal holes of literal cobras.</w:t>
      </w:r>
    </w:p>
    <w:p w14:paraId="0C0DA41A">
      <w:pPr>
        <w:pStyle w:val="9"/>
        <w:spacing w:after="0" w:line="249" w:lineRule="auto"/>
        <w:rPr>
          <w:rFonts w:hint="eastAsia"/>
          <w:color w:val="231F20"/>
        </w:rPr>
      </w:pPr>
      <w:r>
        <w:rPr>
          <w:rFonts w:hint="eastAsia"/>
          <w:color w:val="231F20"/>
        </w:rPr>
        <w:t>因此，以赛亚并不是在告诉我们，在末世时期，字面意义上的孩童会在字面意义上的眼镜蛇的字面意义上的洞旁玩耍。</w:t>
      </w:r>
    </w:p>
    <w:p w14:paraId="4FDC8975">
      <w:pPr>
        <w:pStyle w:val="9"/>
        <w:spacing w:after="0" w:line="249" w:lineRule="auto"/>
        <w:rPr>
          <w:rFonts w:hint="eastAsia"/>
          <w:color w:val="231F20"/>
        </w:rPr>
      </w:pPr>
    </w:p>
    <w:p w14:paraId="093D3E09">
      <w:pPr>
        <w:pStyle w:val="9"/>
        <w:spacing w:after="0" w:line="249" w:lineRule="auto"/>
        <w:rPr>
          <w:rFonts w:hint="eastAsia"/>
          <w:color w:val="231F20"/>
        </w:rPr>
      </w:pPr>
      <w:r>
        <w:rPr>
          <w:rFonts w:hint="eastAsia"/>
          <w:color w:val="231F20"/>
        </w:rPr>
        <w:t>No, he is saying, with the Mosaic Law, that in those days God will “rid the land of evil beasts” (Lev. 26:6); that his eschatological people—whom the NT repeatedly refers to as little children (Mt. 8:13, John 1:12, 21:5, Rom. 8:16, 1 John 2:1, 3:18)—will live and play in a world full of Edenic benignity; a world free of all danger, in which all former enemies will have been transformed into eternal friends (Rom. 8:18-21).</w:t>
      </w:r>
    </w:p>
    <w:p w14:paraId="4BFE9A63">
      <w:pPr>
        <w:pStyle w:val="9"/>
        <w:spacing w:after="0" w:line="249" w:lineRule="auto"/>
        <w:rPr>
          <w:rFonts w:hint="eastAsia"/>
          <w:color w:val="231F20"/>
        </w:rPr>
      </w:pPr>
      <w:r>
        <w:rPr>
          <w:rFonts w:hint="eastAsia"/>
          <w:color w:val="231F20"/>
        </w:rPr>
        <w:t>不，他是与摩西律法一同说，在那些日子，上帝将“使恶兽从境内断绝”（利未记 26:6）；祂的末世子民——新约反复称他们为小孩子（马太福音 8:13, 约翰福音 1:12, 21:5, 罗马书 8:16, 约翰一书 2:1, 3:18）——将生活和玩耍在一个充满伊甸园般仁慈的世界里；一个没有任何危险的世界，在其中所有从前的仇敌都将转变为永恒的朋友（罗马书 8:18-21）。</w:t>
      </w:r>
    </w:p>
    <w:p w14:paraId="3CC4B258">
      <w:pPr>
        <w:pStyle w:val="9"/>
        <w:spacing w:after="0" w:line="249" w:lineRule="auto"/>
        <w:rPr>
          <w:rFonts w:hint="eastAsia"/>
          <w:color w:val="231F20"/>
        </w:rPr>
      </w:pPr>
    </w:p>
    <w:p w14:paraId="59A773AC">
      <w:pPr>
        <w:pStyle w:val="9"/>
        <w:spacing w:after="0" w:line="249" w:lineRule="auto"/>
        <w:rPr>
          <w:rFonts w:hint="eastAsia"/>
          <w:color w:val="231F20"/>
        </w:rPr>
      </w:pPr>
      <w:r>
        <w:rPr>
          <w:rFonts w:hint="eastAsia"/>
          <w:color w:val="231F20"/>
        </w:rPr>
        <w:t>Likewise, Zechariah is not saying that literal old men and women will watch literal boys and girls at play in the new heavens and the new earth (though in the present stage of the Kingdom, you will indeed find many such seniors in Christian homes, schools, and churches).</w:t>
      </w:r>
    </w:p>
    <w:p w14:paraId="349C32B6">
      <w:pPr>
        <w:pStyle w:val="9"/>
        <w:spacing w:after="0" w:line="249" w:lineRule="auto"/>
        <w:rPr>
          <w:rFonts w:hint="eastAsia"/>
          <w:color w:val="231F20"/>
        </w:rPr>
      </w:pPr>
      <w:r>
        <w:rPr>
          <w:rFonts w:hint="eastAsia"/>
          <w:color w:val="231F20"/>
        </w:rPr>
        <w:t>同样，撒迦利亚并不是说，在新天新地里，字面意义上的老年男女会观看字面意义上的男孩女孩玩耍（虽然在国度的现阶段，你确实会在基督徒的家庭、学校和教会中找到许多这样的长者）。</w:t>
      </w:r>
    </w:p>
    <w:p w14:paraId="3BD86D16">
      <w:pPr>
        <w:pStyle w:val="9"/>
        <w:spacing w:after="0" w:line="249" w:lineRule="auto"/>
        <w:rPr>
          <w:rFonts w:hint="eastAsia"/>
          <w:color w:val="231F20"/>
        </w:rPr>
      </w:pPr>
    </w:p>
    <w:p w14:paraId="0BCD5927">
      <w:pPr>
        <w:pStyle w:val="9"/>
        <w:spacing w:after="0" w:line="249" w:lineRule="auto"/>
        <w:rPr>
          <w:rFonts w:hint="eastAsia"/>
          <w:color w:val="231F20"/>
        </w:rPr>
      </w:pPr>
      <w:r>
        <w:rPr>
          <w:rFonts w:hint="eastAsia"/>
          <w:color w:val="231F20"/>
        </w:rPr>
        <w:t>No, he is saying, with the Law, that in the last days God will bless his NT people with great longevity  (Exodus  20:12,  Deut.  5:33,  6:2,  11:8-9),  and  with  great fruitfulness (Gen. 1:28, 9:1, 17:6, Exodus 1:7, Lev. 26:9, Deut. 7:14).</w:t>
      </w:r>
    </w:p>
    <w:p w14:paraId="571844C7">
      <w:pPr>
        <w:pStyle w:val="9"/>
        <w:spacing w:after="0" w:line="249" w:lineRule="auto"/>
        <w:rPr>
          <w:rFonts w:hint="eastAsia"/>
          <w:color w:val="231F20"/>
        </w:rPr>
      </w:pPr>
      <w:r>
        <w:rPr>
          <w:rFonts w:hint="eastAsia"/>
          <w:color w:val="231F20"/>
        </w:rPr>
        <w:t>不，他是与律法一同说，在末后的日子，上帝将赐福祂的新约子民长寿（出埃及记 20:12, 申命记 5:33, 6:2, 11:8-9），和丰盛的果实（创世记 1:28, 9:1, 17:6, 出埃及记 1:7, 利未记 26:9, 申命记 7:14）。</w:t>
      </w:r>
    </w:p>
    <w:p w14:paraId="178EBCE1">
      <w:pPr>
        <w:pStyle w:val="9"/>
        <w:spacing w:after="0" w:line="249" w:lineRule="auto"/>
        <w:rPr>
          <w:rFonts w:hint="eastAsia"/>
          <w:color w:val="231F20"/>
        </w:rPr>
      </w:pPr>
    </w:p>
    <w:p w14:paraId="5F864B8E">
      <w:pPr>
        <w:pStyle w:val="9"/>
        <w:spacing w:after="0" w:line="249" w:lineRule="auto"/>
        <w:rPr>
          <w:rFonts w:hint="eastAsia"/>
          <w:color w:val="231F20"/>
        </w:rPr>
      </w:pPr>
      <w:r>
        <w:rPr>
          <w:rFonts w:hint="eastAsia"/>
          <w:color w:val="231F20"/>
        </w:rPr>
        <w:t>In other words, he will bless them with eternal life, and with all the childlike joy and spiritual fruitfulness that must characterize the people who receive it (John 15:8, Gal. 5:22f, 1 Peter 1:8).</w:t>
      </w:r>
    </w:p>
    <w:p w14:paraId="7A463205">
      <w:pPr>
        <w:pStyle w:val="9"/>
        <w:spacing w:after="0" w:line="249" w:lineRule="auto"/>
        <w:rPr>
          <w:rFonts w:hint="eastAsia"/>
          <w:color w:val="231F20"/>
        </w:rPr>
      </w:pPr>
      <w:r>
        <w:rPr>
          <w:rFonts w:hint="eastAsia"/>
          <w:color w:val="231F20"/>
        </w:rPr>
        <w:t>换句话说，祂将赐福他们永生，以及所有领受永生之人所必须具备的孩童般的喜乐和属灵的丰盛（约翰福音 15:8, 加拉太书 5:22及后文, 彼得前书 1:8）。</w:t>
      </w:r>
    </w:p>
    <w:p w14:paraId="2C566346">
      <w:pPr>
        <w:pStyle w:val="9"/>
        <w:spacing w:after="0" w:line="249" w:lineRule="auto"/>
        <w:rPr>
          <w:rFonts w:hint="eastAsia"/>
          <w:color w:val="231F20"/>
        </w:rPr>
      </w:pPr>
    </w:p>
    <w:p w14:paraId="3A6B15B2">
      <w:pPr>
        <w:pStyle w:val="9"/>
        <w:spacing w:after="0" w:line="249" w:lineRule="auto"/>
        <w:rPr>
          <w:rFonts w:hint="eastAsia"/>
          <w:color w:val="231F20"/>
        </w:rPr>
      </w:pPr>
      <w:r>
        <w:rPr>
          <w:rFonts w:hint="eastAsia"/>
          <w:color w:val="231F20"/>
        </w:rPr>
        <w:t>Will there be Death in the Kingdom?</w:t>
      </w:r>
    </w:p>
    <w:p w14:paraId="7932A4DD">
      <w:pPr>
        <w:pStyle w:val="9"/>
        <w:spacing w:after="0" w:line="249" w:lineRule="auto"/>
        <w:rPr>
          <w:rFonts w:hint="eastAsia"/>
          <w:color w:val="231F20"/>
        </w:rPr>
      </w:pPr>
      <w:r>
        <w:rPr>
          <w:rFonts w:hint="eastAsia"/>
          <w:color w:val="231F20"/>
        </w:rPr>
        <w:t>国度里会有死亡吗？</w:t>
      </w:r>
    </w:p>
    <w:p w14:paraId="2C83F8D1">
      <w:pPr>
        <w:pStyle w:val="9"/>
        <w:spacing w:after="0" w:line="249" w:lineRule="auto"/>
        <w:rPr>
          <w:rFonts w:hint="eastAsia"/>
          <w:color w:val="231F20"/>
        </w:rPr>
      </w:pPr>
    </w:p>
    <w:p w14:paraId="0F803A8A">
      <w:pPr>
        <w:pStyle w:val="9"/>
        <w:spacing w:after="0" w:line="249" w:lineRule="auto"/>
        <w:rPr>
          <w:rFonts w:hint="eastAsia"/>
          <w:color w:val="231F20"/>
        </w:rPr>
      </w:pPr>
      <w:r>
        <w:rPr>
          <w:rFonts w:hint="eastAsia"/>
          <w:color w:val="231F20"/>
        </w:rPr>
        <w:t>Turning now to our final apparent contradiction, we ask: Will there be death in the Kingdom?</w:t>
      </w:r>
    </w:p>
    <w:p w14:paraId="0ADFDDB9">
      <w:pPr>
        <w:pStyle w:val="9"/>
        <w:spacing w:after="0" w:line="249" w:lineRule="auto"/>
        <w:rPr>
          <w:rFonts w:hint="eastAsia"/>
          <w:color w:val="231F20"/>
        </w:rPr>
      </w:pPr>
      <w:r>
        <w:rPr>
          <w:rFonts w:hint="eastAsia"/>
          <w:color w:val="231F20"/>
        </w:rPr>
        <w:t>现在转向我们最后一个明显的矛盾，我们问：国度里会有死亡吗？</w:t>
      </w:r>
    </w:p>
    <w:p w14:paraId="308B1D62">
      <w:pPr>
        <w:pStyle w:val="9"/>
        <w:spacing w:after="0" w:line="249" w:lineRule="auto"/>
        <w:rPr>
          <w:rFonts w:hint="eastAsia"/>
          <w:color w:val="231F20"/>
        </w:rPr>
      </w:pPr>
    </w:p>
    <w:p w14:paraId="092E85D9">
      <w:pPr>
        <w:pStyle w:val="9"/>
        <w:spacing w:after="0" w:line="249" w:lineRule="auto"/>
        <w:rPr>
          <w:rFonts w:hint="eastAsia"/>
          <w:color w:val="231F20"/>
        </w:rPr>
      </w:pPr>
      <w:r>
        <w:rPr>
          <w:rFonts w:hint="eastAsia"/>
          <w:color w:val="231F20"/>
        </w:rPr>
        <w:t>The NT—our final court of appeal—answers decisively.</w:t>
      </w:r>
    </w:p>
    <w:p w14:paraId="27407327">
      <w:pPr>
        <w:pStyle w:val="9"/>
        <w:spacing w:after="0" w:line="249" w:lineRule="auto"/>
        <w:rPr>
          <w:rFonts w:hint="eastAsia"/>
          <w:color w:val="231F20"/>
        </w:rPr>
      </w:pPr>
      <w:r>
        <w:rPr>
          <w:rFonts w:hint="eastAsia"/>
          <w:color w:val="231F20"/>
        </w:rPr>
        <w:t>新约——我们最终的上诉法庭——给出了决定性的答案。</w:t>
      </w:r>
    </w:p>
    <w:p w14:paraId="02A68F36">
      <w:pPr>
        <w:pStyle w:val="9"/>
        <w:spacing w:after="0" w:line="249" w:lineRule="auto"/>
        <w:rPr>
          <w:rFonts w:hint="eastAsia"/>
          <w:color w:val="231F20"/>
        </w:rPr>
      </w:pPr>
    </w:p>
    <w:p w14:paraId="773801A0">
      <w:pPr>
        <w:pStyle w:val="9"/>
        <w:spacing w:after="0" w:line="249" w:lineRule="auto"/>
        <w:rPr>
          <w:rFonts w:hint="eastAsia"/>
          <w:color w:val="231F20"/>
        </w:rPr>
      </w:pPr>
      <w:r>
        <w:rPr>
          <w:rFonts w:hint="eastAsia"/>
          <w:color w:val="231F20"/>
        </w:rPr>
        <w:t>Jesus said, “He who believes in me, though he may die, yet shall he live.</w:t>
      </w:r>
    </w:p>
    <w:p w14:paraId="20ABBCE5">
      <w:pPr>
        <w:pStyle w:val="9"/>
        <w:spacing w:after="0" w:line="249" w:lineRule="auto"/>
        <w:rPr>
          <w:rFonts w:hint="eastAsia"/>
          <w:color w:val="231F20"/>
        </w:rPr>
      </w:pPr>
      <w:r>
        <w:rPr>
          <w:rFonts w:hint="eastAsia"/>
          <w:color w:val="231F20"/>
        </w:rPr>
        <w:t>耶稣说：“信我的人，虽然死了，也必复活。</w:t>
      </w:r>
    </w:p>
    <w:p w14:paraId="10154B45">
      <w:pPr>
        <w:pStyle w:val="9"/>
        <w:spacing w:after="0" w:line="249" w:lineRule="auto"/>
        <w:rPr>
          <w:rFonts w:hint="eastAsia"/>
          <w:color w:val="231F20"/>
        </w:rPr>
      </w:pPr>
    </w:p>
    <w:p w14:paraId="0AC6A88D">
      <w:pPr>
        <w:pStyle w:val="9"/>
        <w:spacing w:after="0" w:line="249" w:lineRule="auto"/>
        <w:rPr>
          <w:rFonts w:hint="eastAsia"/>
          <w:color w:val="231F20"/>
        </w:rPr>
      </w:pPr>
      <w:r>
        <w:rPr>
          <w:rFonts w:hint="eastAsia"/>
          <w:color w:val="231F20"/>
        </w:rPr>
        <w:t>And whoever lives and believes in me shall never die” (John 11:25- 26).</w:t>
      </w:r>
    </w:p>
    <w:p w14:paraId="27DC8713">
      <w:pPr>
        <w:pStyle w:val="9"/>
        <w:spacing w:after="0" w:line="249" w:lineRule="auto"/>
        <w:rPr>
          <w:rFonts w:hint="eastAsia"/>
          <w:color w:val="231F20"/>
        </w:rPr>
      </w:pPr>
      <w:r>
        <w:rPr>
          <w:rFonts w:hint="eastAsia"/>
          <w:color w:val="231F20"/>
        </w:rPr>
        <w:t>凡活着信我的人，必永远不死”（约翰福音 11:25-26）。</w:t>
      </w:r>
    </w:p>
    <w:p w14:paraId="22C06B10">
      <w:pPr>
        <w:pStyle w:val="9"/>
        <w:spacing w:after="0" w:line="249" w:lineRule="auto"/>
        <w:rPr>
          <w:rFonts w:hint="eastAsia"/>
          <w:color w:val="231F20"/>
        </w:rPr>
      </w:pPr>
    </w:p>
    <w:p w14:paraId="39557016">
      <w:pPr>
        <w:pStyle w:val="9"/>
        <w:spacing w:after="0" w:line="249" w:lineRule="auto"/>
        <w:rPr>
          <w:rFonts w:hint="eastAsia"/>
          <w:color w:val="231F20"/>
        </w:rPr>
      </w:pPr>
      <w:r>
        <w:rPr>
          <w:rFonts w:hint="eastAsia"/>
          <w:color w:val="231F20"/>
        </w:rPr>
        <w:t>Here is the NT view in a nutshell: Spiritually, a saint never dies, never experiences separation from God under punishment in hell.</w:t>
      </w:r>
    </w:p>
    <w:p w14:paraId="090D426F">
      <w:pPr>
        <w:pStyle w:val="9"/>
        <w:spacing w:after="0" w:line="249" w:lineRule="auto"/>
        <w:rPr>
          <w:rFonts w:hint="eastAsia"/>
          <w:color w:val="231F20"/>
        </w:rPr>
      </w:pPr>
      <w:r>
        <w:rPr>
          <w:rFonts w:hint="eastAsia"/>
          <w:color w:val="231F20"/>
        </w:rPr>
        <w:t>这就是新约观点的简述：在属灵上，一个圣徒永远不会死，永远不会经历在地狱的刑罚下与上帝的分离。</w:t>
      </w:r>
    </w:p>
    <w:p w14:paraId="2AAB45F5">
      <w:pPr>
        <w:pStyle w:val="9"/>
        <w:spacing w:after="0" w:line="249" w:lineRule="auto"/>
        <w:rPr>
          <w:rFonts w:hint="eastAsia"/>
          <w:color w:val="231F20"/>
        </w:rPr>
      </w:pPr>
    </w:p>
    <w:p w14:paraId="2D028293">
      <w:pPr>
        <w:pStyle w:val="9"/>
        <w:spacing w:after="0" w:line="249" w:lineRule="auto"/>
        <w:rPr>
          <w:rFonts w:hint="eastAsia"/>
          <w:color w:val="231F20"/>
        </w:rPr>
      </w:pPr>
      <w:r>
        <w:rPr>
          <w:rFonts w:hint="eastAsia"/>
          <w:color w:val="231F20"/>
        </w:rPr>
        <w:t>Physically, he may indeed die, but only in the first stage of the Kingdom.</w:t>
      </w:r>
    </w:p>
    <w:p w14:paraId="0F927954">
      <w:pPr>
        <w:pStyle w:val="9"/>
        <w:spacing w:after="0" w:line="249" w:lineRule="auto"/>
        <w:rPr>
          <w:rFonts w:hint="eastAsia"/>
          <w:color w:val="231F20"/>
        </w:rPr>
      </w:pPr>
      <w:r>
        <w:rPr>
          <w:rFonts w:hint="eastAsia"/>
          <w:color w:val="231F20"/>
        </w:rPr>
        <w:t>在肉体上，他确实可能会死，但只在国度的第一阶段。</w:t>
      </w:r>
    </w:p>
    <w:p w14:paraId="01A45302">
      <w:pPr>
        <w:pStyle w:val="9"/>
        <w:spacing w:after="0" w:line="249" w:lineRule="auto"/>
        <w:rPr>
          <w:rFonts w:hint="eastAsia"/>
          <w:color w:val="231F20"/>
        </w:rPr>
      </w:pPr>
    </w:p>
    <w:p w14:paraId="5C4C5BA1">
      <w:pPr>
        <w:pStyle w:val="9"/>
        <w:spacing w:after="0" w:line="249" w:lineRule="auto"/>
        <w:rPr>
          <w:rFonts w:hint="eastAsia"/>
          <w:color w:val="231F20"/>
        </w:rPr>
      </w:pPr>
      <w:r>
        <w:rPr>
          <w:rFonts w:hint="eastAsia"/>
          <w:color w:val="231F20"/>
        </w:rPr>
        <w:t>For after the resurrection—when the second stage of the Kingdom begins—he will have become a son of the resurrection; a son like Christ and the holy angels; a son who therefore can never die again (Luke 20:34-38).</w:t>
      </w:r>
    </w:p>
    <w:p w14:paraId="79A1D553">
      <w:pPr>
        <w:pStyle w:val="9"/>
        <w:spacing w:after="0" w:line="249" w:lineRule="auto"/>
        <w:rPr>
          <w:rFonts w:hint="eastAsia"/>
          <w:color w:val="231F20"/>
        </w:rPr>
      </w:pPr>
      <w:r>
        <w:rPr>
          <w:rFonts w:hint="eastAsia"/>
          <w:color w:val="231F20"/>
        </w:rPr>
        <w:t>因为在复活之后——当国度的第二阶段开始时——他将成为复活之子；一个像基督和圣天使一样的儿子；一个因此再也不会死的儿子（路加福音 20:34-38）。</w:t>
      </w:r>
    </w:p>
    <w:p w14:paraId="1F78A342">
      <w:pPr>
        <w:pStyle w:val="9"/>
        <w:spacing w:after="0" w:line="249" w:lineRule="auto"/>
        <w:rPr>
          <w:rFonts w:hint="eastAsia"/>
          <w:color w:val="231F20"/>
        </w:rPr>
      </w:pPr>
    </w:p>
    <w:p w14:paraId="259195E7">
      <w:pPr>
        <w:pStyle w:val="9"/>
        <w:spacing w:after="0" w:line="249" w:lineRule="auto"/>
        <w:rPr>
          <w:rFonts w:hint="eastAsia"/>
          <w:color w:val="231F20"/>
        </w:rPr>
      </w:pPr>
      <w:r>
        <w:rPr>
          <w:rFonts w:hint="eastAsia"/>
          <w:color w:val="231F20"/>
        </w:rPr>
        <w:t>All of this accords perfectly with Isaiah 25:6-9, a truly glorious OTKP in which the prophet promises that in the last days, on Mt. Zion, God will do three wonderful things: He will prepare a lavish banquet for all peoples, he will swallow up death for all time, and he will remove the reproach of his people from the whole earth.</w:t>
      </w:r>
    </w:p>
    <w:p w14:paraId="72C31D20">
      <w:pPr>
        <w:pStyle w:val="9"/>
        <w:spacing w:after="0" w:line="249" w:lineRule="auto"/>
        <w:rPr>
          <w:rFonts w:hint="eastAsia"/>
          <w:color w:val="231F20"/>
        </w:rPr>
      </w:pPr>
      <w:r>
        <w:rPr>
          <w:rFonts w:hint="eastAsia"/>
          <w:color w:val="231F20"/>
        </w:rPr>
        <w:t>所有这一切都与以赛亚书 25:6-9 完全一致，那是一段真正荣耀的旧约国度预言（OTKP），其中先知应许在末后的日子，在锡安山上，上帝将做三件奇妙的事：祂将为万民预备丰盛的筵席，祂将永远吞灭死亡，祂将从全地除去祂子民的羞辱。</w:t>
      </w:r>
    </w:p>
    <w:p w14:paraId="4ED43FFF">
      <w:pPr>
        <w:pStyle w:val="9"/>
        <w:spacing w:after="0" w:line="249" w:lineRule="auto"/>
        <w:rPr>
          <w:rFonts w:hint="eastAsia"/>
          <w:color w:val="231F20"/>
        </w:rPr>
      </w:pPr>
    </w:p>
    <w:p w14:paraId="649E9E2B">
      <w:pPr>
        <w:pStyle w:val="9"/>
        <w:spacing w:after="0" w:line="249" w:lineRule="auto"/>
        <w:rPr>
          <w:rFonts w:hint="eastAsia"/>
          <w:color w:val="231F20"/>
        </w:rPr>
      </w:pPr>
      <w:r>
        <w:rPr>
          <w:rFonts w:hint="eastAsia"/>
          <w:color w:val="231F20"/>
        </w:rPr>
        <w:t>What exactly is he saying here?</w:t>
      </w:r>
    </w:p>
    <w:p w14:paraId="1D8559D5">
      <w:pPr>
        <w:pStyle w:val="9"/>
        <w:spacing w:after="0" w:line="249" w:lineRule="auto"/>
        <w:rPr>
          <w:rFonts w:hint="eastAsia"/>
          <w:color w:val="231F20"/>
        </w:rPr>
      </w:pPr>
      <w:r>
        <w:rPr>
          <w:rFonts w:hint="eastAsia"/>
          <w:color w:val="231F20"/>
        </w:rPr>
        <w:t>他在这里到底在说什么？</w:t>
      </w:r>
    </w:p>
    <w:p w14:paraId="52DD5507">
      <w:pPr>
        <w:pStyle w:val="9"/>
        <w:spacing w:after="0" w:line="249" w:lineRule="auto"/>
        <w:rPr>
          <w:rFonts w:hint="eastAsia"/>
          <w:color w:val="231F20"/>
        </w:rPr>
      </w:pPr>
    </w:p>
    <w:p w14:paraId="37131791">
      <w:pPr>
        <w:pStyle w:val="9"/>
        <w:spacing w:after="0" w:line="249" w:lineRule="auto"/>
        <w:rPr>
          <w:rFonts w:hint="eastAsia"/>
          <w:color w:val="231F20"/>
        </w:rPr>
      </w:pPr>
      <w:r>
        <w:rPr>
          <w:rFonts w:hint="eastAsia"/>
          <w:color w:val="231F20"/>
        </w:rPr>
        <w:t>With its emphasis upon Mt. Zion, this prophecy is obviously “covenantally conditioned.”</w:t>
      </w:r>
    </w:p>
    <w:p w14:paraId="2B4167F6">
      <w:pPr>
        <w:pStyle w:val="9"/>
        <w:spacing w:after="0" w:line="249" w:lineRule="auto"/>
        <w:rPr>
          <w:rFonts w:hint="eastAsia"/>
          <w:color w:val="231F20"/>
        </w:rPr>
      </w:pPr>
      <w:r>
        <w:rPr>
          <w:rFonts w:hint="eastAsia"/>
          <w:color w:val="231F20"/>
        </w:rPr>
        <w:t>由于它强调锡安山，这个预言显然是“受圣约制约的”。</w:t>
      </w:r>
    </w:p>
    <w:p w14:paraId="4225C599">
      <w:pPr>
        <w:pStyle w:val="9"/>
        <w:spacing w:after="0" w:line="249" w:lineRule="auto"/>
        <w:rPr>
          <w:rFonts w:hint="eastAsia"/>
          <w:color w:val="231F20"/>
        </w:rPr>
      </w:pPr>
    </w:p>
    <w:p w14:paraId="5779CDEF">
      <w:pPr>
        <w:pStyle w:val="9"/>
        <w:spacing w:after="0" w:line="249" w:lineRule="auto"/>
        <w:rPr>
          <w:rFonts w:hint="eastAsia"/>
          <w:color w:val="231F20"/>
        </w:rPr>
      </w:pPr>
      <w:r>
        <w:rPr>
          <w:rFonts w:hint="eastAsia"/>
          <w:color w:val="231F20"/>
        </w:rPr>
        <w:t>That is, it is giving us NT truth under OT imagery.</w:t>
      </w:r>
    </w:p>
    <w:p w14:paraId="389EB561">
      <w:pPr>
        <w:pStyle w:val="9"/>
        <w:spacing w:after="0" w:line="249" w:lineRule="auto"/>
        <w:rPr>
          <w:rFonts w:hint="eastAsia"/>
          <w:color w:val="231F20"/>
        </w:rPr>
      </w:pPr>
      <w:r>
        <w:rPr>
          <w:rFonts w:hint="eastAsia"/>
          <w:color w:val="231F20"/>
        </w:rPr>
        <w:t>也就是说，它是在旧约的意象下给我们新约的真理。</w:t>
      </w:r>
    </w:p>
    <w:p w14:paraId="7FC8A684">
      <w:pPr>
        <w:pStyle w:val="9"/>
        <w:spacing w:after="0" w:line="249" w:lineRule="auto"/>
        <w:rPr>
          <w:rFonts w:hint="eastAsia"/>
          <w:color w:val="231F20"/>
        </w:rPr>
      </w:pPr>
    </w:p>
    <w:p w14:paraId="3CCDAB99">
      <w:pPr>
        <w:pStyle w:val="9"/>
        <w:spacing w:after="0" w:line="249" w:lineRule="auto"/>
        <w:rPr>
          <w:rFonts w:hint="eastAsia"/>
          <w:color w:val="231F20"/>
        </w:rPr>
      </w:pPr>
      <w:r>
        <w:rPr>
          <w:rFonts w:hint="eastAsia"/>
          <w:color w:val="231F20"/>
        </w:rPr>
        <w:t>Nevertheless, here, as opposed to elsewhere in the canon of OTKP, the NT truth about death pours quite forcefully through the veil.</w:t>
      </w:r>
    </w:p>
    <w:p w14:paraId="0F20125C">
      <w:pPr>
        <w:pStyle w:val="9"/>
        <w:spacing w:after="0" w:line="249" w:lineRule="auto"/>
        <w:rPr>
          <w:rFonts w:hint="eastAsia"/>
          <w:color w:val="231F20"/>
        </w:rPr>
      </w:pPr>
      <w:r>
        <w:rPr>
          <w:rFonts w:hint="eastAsia"/>
          <w:color w:val="231F20"/>
        </w:rPr>
        <w:t>然而，在这里，与旧约国度预言（OTKP）正典中的其他地方相反，关于死亡的新约真理相当有力地穿透了幔子。</w:t>
      </w:r>
    </w:p>
    <w:p w14:paraId="4F0EB9AB">
      <w:pPr>
        <w:pStyle w:val="9"/>
        <w:spacing w:after="0" w:line="249" w:lineRule="auto"/>
        <w:rPr>
          <w:rFonts w:hint="eastAsia"/>
          <w:color w:val="231F20"/>
        </w:rPr>
      </w:pPr>
    </w:p>
    <w:p w14:paraId="59FDBFF2">
      <w:pPr>
        <w:pStyle w:val="9"/>
        <w:spacing w:after="0" w:line="249" w:lineRule="auto"/>
        <w:rPr>
          <w:rFonts w:hint="eastAsia"/>
          <w:color w:val="231F20"/>
        </w:rPr>
      </w:pPr>
      <w:r>
        <w:rPr>
          <w:rFonts w:hint="eastAsia"/>
          <w:color w:val="231F20"/>
        </w:rPr>
        <w:t>Christ, the Author of eternal life, will die on Mt. Zion, and so, on that mountain, prepare a feast of fat things—both spiritual and physical—for his NT people.</w:t>
      </w:r>
    </w:p>
    <w:p w14:paraId="62AAEAD7">
      <w:pPr>
        <w:pStyle w:val="9"/>
        <w:spacing w:after="0" w:line="249" w:lineRule="auto"/>
        <w:rPr>
          <w:rFonts w:hint="eastAsia"/>
          <w:color w:val="231F20"/>
        </w:rPr>
      </w:pPr>
      <w:r>
        <w:rPr>
          <w:rFonts w:hint="eastAsia"/>
          <w:color w:val="231F20"/>
        </w:rPr>
        <w:t>基督，永生之源，将在锡安山死去，因此，在那座山上，为祂的新约子民预备了一场丰盛的筵席——既有属灵的也有物质的。</w:t>
      </w:r>
    </w:p>
    <w:p w14:paraId="7B62EA55">
      <w:pPr>
        <w:pStyle w:val="9"/>
        <w:spacing w:after="0" w:line="249" w:lineRule="auto"/>
        <w:rPr>
          <w:rFonts w:hint="eastAsia"/>
          <w:color w:val="231F20"/>
        </w:rPr>
      </w:pPr>
    </w:p>
    <w:p w14:paraId="76D68F08">
      <w:pPr>
        <w:pStyle w:val="9"/>
        <w:spacing w:after="0" w:line="249" w:lineRule="auto"/>
        <w:rPr>
          <w:rFonts w:hint="eastAsia"/>
          <w:color w:val="231F20"/>
        </w:rPr>
      </w:pPr>
      <w:r>
        <w:rPr>
          <w:rFonts w:hint="eastAsia"/>
          <w:color w:val="231F20"/>
        </w:rPr>
        <w:t>And though, in the first stage of the Kingdom, they may indeed die physically, spiritually speaking death has indeed been swallowed up forever.</w:t>
      </w:r>
    </w:p>
    <w:p w14:paraId="59BF33E6">
      <w:pPr>
        <w:pStyle w:val="9"/>
        <w:spacing w:after="0" w:line="249" w:lineRule="auto"/>
        <w:rPr>
          <w:rFonts w:hint="eastAsia"/>
          <w:color w:val="231F20"/>
        </w:rPr>
      </w:pPr>
      <w:r>
        <w:rPr>
          <w:rFonts w:hint="eastAsia"/>
          <w:color w:val="231F20"/>
        </w:rPr>
        <w:t>而且，虽然在国度的第一阶段，他们确实可能会在肉体上死亡，但在属灵的意义上，死亡确实已经被永远吞灭了。</w:t>
      </w:r>
    </w:p>
    <w:p w14:paraId="1F5C963B">
      <w:pPr>
        <w:pStyle w:val="9"/>
        <w:spacing w:after="0" w:line="249" w:lineRule="auto"/>
        <w:rPr>
          <w:rFonts w:hint="eastAsia"/>
          <w:color w:val="231F20"/>
        </w:rPr>
      </w:pPr>
    </w:p>
    <w:p w14:paraId="0CA905F2">
      <w:pPr>
        <w:pStyle w:val="9"/>
        <w:spacing w:after="0" w:line="249" w:lineRule="auto"/>
        <w:rPr>
          <w:rFonts w:hint="eastAsia"/>
          <w:color w:val="231F20"/>
        </w:rPr>
      </w:pPr>
      <w:r>
        <w:rPr>
          <w:rFonts w:hint="eastAsia"/>
          <w:color w:val="231F20"/>
        </w:rPr>
        <w:t>Moreover, when Christ returns, he will create new heavens and a new earth: the Holy Mountain of the LORD, the chosen place of his dwelling (Isaiah 11:9).</w:t>
      </w:r>
    </w:p>
    <w:p w14:paraId="55EEED9A">
      <w:pPr>
        <w:pStyle w:val="9"/>
        <w:spacing w:after="0" w:line="249" w:lineRule="auto"/>
        <w:rPr>
          <w:rFonts w:hint="eastAsia"/>
          <w:color w:val="231F20"/>
        </w:rPr>
      </w:pPr>
      <w:r>
        <w:rPr>
          <w:rFonts w:hint="eastAsia"/>
          <w:color w:val="231F20"/>
        </w:rPr>
        <w:t>此外，当基督再来时，祂将创造新天新地：耶和华的圣山，祂所拣选的居所（以赛亚书 11:9）。</w:t>
      </w:r>
    </w:p>
    <w:p w14:paraId="411C0C0F">
      <w:pPr>
        <w:pStyle w:val="9"/>
        <w:spacing w:after="0" w:line="249" w:lineRule="auto"/>
        <w:rPr>
          <w:rFonts w:hint="eastAsia"/>
          <w:color w:val="231F20"/>
        </w:rPr>
      </w:pPr>
    </w:p>
    <w:p w14:paraId="3E31E578">
      <w:pPr>
        <w:pStyle w:val="9"/>
        <w:spacing w:after="0" w:line="249" w:lineRule="auto"/>
        <w:rPr>
          <w:rFonts w:hint="eastAsia"/>
          <w:color w:val="231F20"/>
        </w:rPr>
      </w:pPr>
      <w:r>
        <w:rPr>
          <w:rFonts w:hint="eastAsia"/>
          <w:color w:val="231F20"/>
        </w:rPr>
        <w:t>And in that place, physical death will also be swallowed up for all time, with the result that the most shameful reproach of man’s sin—death itself—will be forever removed.</w:t>
      </w:r>
    </w:p>
    <w:p w14:paraId="7693D40C">
      <w:pPr>
        <w:pStyle w:val="9"/>
        <w:spacing w:after="0" w:line="249" w:lineRule="auto"/>
        <w:rPr>
          <w:rFonts w:hint="eastAsia"/>
          <w:color w:val="231F20"/>
        </w:rPr>
      </w:pPr>
      <w:r>
        <w:rPr>
          <w:rFonts w:hint="eastAsia"/>
          <w:color w:val="231F20"/>
        </w:rPr>
        <w:t>在那个地方，肉体的死亡也将被永远吞灭，结果是人类罪最可耻的羞辱——死亡本身——将永远被除去。</w:t>
      </w:r>
    </w:p>
    <w:p w14:paraId="0FEAFDC3">
      <w:pPr>
        <w:pStyle w:val="9"/>
        <w:spacing w:after="0" w:line="249" w:lineRule="auto"/>
        <w:rPr>
          <w:rFonts w:hint="eastAsia"/>
          <w:color w:val="231F20"/>
        </w:rPr>
      </w:pPr>
    </w:p>
    <w:p w14:paraId="033FC402">
      <w:pPr>
        <w:pStyle w:val="9"/>
        <w:spacing w:after="0" w:line="249" w:lineRule="auto"/>
        <w:rPr>
          <w:rFonts w:hint="eastAsia"/>
          <w:color w:val="231F20"/>
        </w:rPr>
      </w:pPr>
      <w:r>
        <w:rPr>
          <w:rFonts w:hint="eastAsia"/>
          <w:color w:val="231F20"/>
        </w:rPr>
        <w:t>What, however, are we to do with Isaiah 65:17-20, where the prophet tells us that in the new and eternal world that God will create (vv. 17-18) no youth will die before his hundredth birthday, and the man who fails to reach a hundred years will be thought accursed?</w:t>
      </w:r>
    </w:p>
    <w:p w14:paraId="27F271E6">
      <w:pPr>
        <w:pStyle w:val="9"/>
        <w:spacing w:after="0" w:line="249" w:lineRule="auto"/>
        <w:rPr>
          <w:rFonts w:hint="eastAsia"/>
          <w:color w:val="231F20"/>
        </w:rPr>
      </w:pPr>
      <w:r>
        <w:rPr>
          <w:rFonts w:hint="eastAsia"/>
          <w:color w:val="231F20"/>
        </w:rPr>
        <w:t>然而，我们该如何处理以赛亚书 65:17-20呢？在那里，先知告诉我们，在上帝将要创造的新的永恒世界里（17-18节），没有少年人在百岁前死亡，而没有活到一百岁的人将被视为受咒诅的。</w:t>
      </w:r>
    </w:p>
    <w:p w14:paraId="63D892A2">
      <w:pPr>
        <w:pStyle w:val="9"/>
        <w:spacing w:after="0" w:line="249" w:lineRule="auto"/>
        <w:rPr>
          <w:rFonts w:hint="eastAsia"/>
          <w:color w:val="231F20"/>
        </w:rPr>
      </w:pPr>
    </w:p>
    <w:p w14:paraId="4916CF79">
      <w:pPr>
        <w:pStyle w:val="9"/>
        <w:spacing w:after="0" w:line="249" w:lineRule="auto"/>
        <w:rPr>
          <w:rFonts w:hint="eastAsia"/>
          <w:color w:val="231F20"/>
        </w:rPr>
      </w:pPr>
      <w:r>
        <w:rPr>
          <w:rFonts w:hint="eastAsia"/>
          <w:color w:val="231F20"/>
        </w:rPr>
        <w:t>Will there be death in the Kingdom after all?</w:t>
      </w:r>
    </w:p>
    <w:p w14:paraId="308B7E97">
      <w:pPr>
        <w:pStyle w:val="9"/>
        <w:spacing w:after="0" w:line="249" w:lineRule="auto"/>
        <w:rPr>
          <w:rFonts w:hint="eastAsia"/>
          <w:color w:val="231F20"/>
        </w:rPr>
      </w:pPr>
      <w:r>
        <w:rPr>
          <w:rFonts w:hint="eastAsia"/>
          <w:color w:val="231F20"/>
        </w:rPr>
        <w:t>国度里终究还会有死亡吗？</w:t>
      </w:r>
    </w:p>
    <w:p w14:paraId="7C8934AD">
      <w:pPr>
        <w:pStyle w:val="9"/>
        <w:spacing w:after="0" w:line="249" w:lineRule="auto"/>
        <w:rPr>
          <w:rFonts w:hint="eastAsia"/>
          <w:color w:val="231F20"/>
        </w:rPr>
      </w:pPr>
    </w:p>
    <w:p w14:paraId="1A988401">
      <w:pPr>
        <w:pStyle w:val="9"/>
        <w:spacing w:after="0" w:line="249" w:lineRule="auto"/>
        <w:rPr>
          <w:rFonts w:hint="eastAsia"/>
          <w:color w:val="231F20"/>
        </w:rPr>
      </w:pPr>
      <w:r>
        <w:rPr>
          <w:rFonts w:hint="eastAsia"/>
          <w:color w:val="231F20"/>
        </w:rPr>
        <w:t>With the help of the NCH, the solution presents itself immediately: Here again the Spirit has used OT imagery to convey NT truth.</w:t>
      </w:r>
    </w:p>
    <w:p w14:paraId="3C4DAD02">
      <w:pPr>
        <w:pStyle w:val="9"/>
        <w:spacing w:after="0" w:line="249" w:lineRule="auto"/>
        <w:rPr>
          <w:rFonts w:hint="eastAsia"/>
          <w:color w:val="231F20"/>
        </w:rPr>
      </w:pPr>
      <w:r>
        <w:rPr>
          <w:rFonts w:hint="eastAsia"/>
          <w:color w:val="231F20"/>
        </w:rPr>
        <w:t>在新约解释学（NCH）的帮助下，解决方案立刻显现：圣灵再次使用旧约的意象来传达新约的真理。</w:t>
      </w:r>
    </w:p>
    <w:p w14:paraId="3FAF83E0">
      <w:pPr>
        <w:pStyle w:val="9"/>
        <w:spacing w:after="0" w:line="249" w:lineRule="auto"/>
        <w:rPr>
          <w:rFonts w:hint="eastAsia"/>
          <w:color w:val="231F20"/>
        </w:rPr>
      </w:pPr>
    </w:p>
    <w:p w14:paraId="641558C2">
      <w:pPr>
        <w:pStyle w:val="9"/>
        <w:spacing w:after="0" w:line="249" w:lineRule="auto"/>
        <w:rPr>
          <w:rFonts w:hint="eastAsia"/>
          <w:color w:val="231F20"/>
        </w:rPr>
      </w:pPr>
      <w:r>
        <w:rPr>
          <w:rFonts w:hint="eastAsia"/>
          <w:color w:val="231F20"/>
        </w:rPr>
        <w:t>As we just saw, in the Law great longevity is a mark of covenant faithfulness and blessing (Exodus 20:12, Deut. 5:33, 6:2, 11:8-9).</w:t>
      </w:r>
    </w:p>
    <w:p w14:paraId="4FA04610">
      <w:pPr>
        <w:pStyle w:val="9"/>
        <w:spacing w:after="0" w:line="249" w:lineRule="auto"/>
        <w:rPr>
          <w:rFonts w:hint="eastAsia"/>
          <w:color w:val="231F20"/>
        </w:rPr>
      </w:pPr>
      <w:r>
        <w:rPr>
          <w:rFonts w:hint="eastAsia"/>
          <w:color w:val="231F20"/>
        </w:rPr>
        <w:t>正如我们刚刚看到的，在律法中，长寿是圣约信实和祝福的标志（出埃及记 20:12, 申命记 5:33, 6:2, 11:8-9）。</w:t>
      </w:r>
    </w:p>
    <w:p w14:paraId="1D44AB94">
      <w:pPr>
        <w:pStyle w:val="9"/>
        <w:spacing w:after="0" w:line="249" w:lineRule="auto"/>
        <w:rPr>
          <w:rFonts w:hint="eastAsia"/>
          <w:color w:val="231F20"/>
        </w:rPr>
      </w:pPr>
    </w:p>
    <w:p w14:paraId="290F9086">
      <w:pPr>
        <w:pStyle w:val="9"/>
        <w:spacing w:after="0" w:line="249" w:lineRule="auto"/>
        <w:rPr>
          <w:rFonts w:hint="eastAsia"/>
          <w:color w:val="231F20"/>
        </w:rPr>
      </w:pPr>
      <w:r>
        <w:rPr>
          <w:rFonts w:hint="eastAsia"/>
          <w:color w:val="231F20"/>
        </w:rPr>
        <w:t>Indeed, it is a type and shadow of the one and only blessing of the Covenant of Grace: eternal life.</w:t>
      </w:r>
    </w:p>
    <w:p w14:paraId="106E3EA2">
      <w:pPr>
        <w:pStyle w:val="9"/>
        <w:spacing w:after="0" w:line="249" w:lineRule="auto"/>
        <w:rPr>
          <w:rFonts w:hint="eastAsia"/>
          <w:color w:val="231F20"/>
        </w:rPr>
      </w:pPr>
      <w:r>
        <w:rPr>
          <w:rFonts w:hint="eastAsia"/>
          <w:color w:val="231F20"/>
        </w:rPr>
        <w:t>实际上，它是恩典之约唯一祝福的预表和影儿：永生。</w:t>
      </w:r>
    </w:p>
    <w:p w14:paraId="590603D7">
      <w:pPr>
        <w:pStyle w:val="9"/>
        <w:spacing w:after="0" w:line="249" w:lineRule="auto"/>
        <w:rPr>
          <w:rFonts w:hint="eastAsia"/>
          <w:color w:val="231F20"/>
        </w:rPr>
      </w:pPr>
    </w:p>
    <w:p w14:paraId="76EDA285">
      <w:pPr>
        <w:pStyle w:val="9"/>
        <w:spacing w:after="0" w:line="249" w:lineRule="auto"/>
        <w:rPr>
          <w:rFonts w:hint="eastAsia"/>
          <w:color w:val="231F20"/>
        </w:rPr>
      </w:pPr>
      <w:r>
        <w:rPr>
          <w:rFonts w:hint="eastAsia"/>
          <w:color w:val="231F20"/>
        </w:rPr>
        <w:t>Therefore, under OT imagery drawn from the Mosaic Law, Isaiah is saying here that in the days of the Kingdom God’s people will fully inherit the blessed promise of the eternal covenant.</w:t>
      </w:r>
    </w:p>
    <w:p w14:paraId="3E0DF310">
      <w:pPr>
        <w:pStyle w:val="9"/>
        <w:spacing w:after="0" w:line="249" w:lineRule="auto"/>
        <w:rPr>
          <w:rFonts w:hint="eastAsia"/>
          <w:color w:val="231F20"/>
        </w:rPr>
      </w:pPr>
      <w:r>
        <w:rPr>
          <w:rFonts w:hint="eastAsia"/>
          <w:color w:val="231F20"/>
        </w:rPr>
        <w:t>因此，以赛亚在这里是用取自摩西律法的旧约意象说，在国度的日子里，上帝的子民将完全继承永恒之约的蒙福应许。</w:t>
      </w:r>
    </w:p>
    <w:p w14:paraId="21986952">
      <w:pPr>
        <w:pStyle w:val="9"/>
        <w:spacing w:after="0" w:line="249" w:lineRule="auto"/>
        <w:rPr>
          <w:rFonts w:hint="eastAsia"/>
          <w:color w:val="231F20"/>
        </w:rPr>
      </w:pPr>
    </w:p>
    <w:p w14:paraId="259728CA">
      <w:pPr>
        <w:pStyle w:val="9"/>
        <w:spacing w:after="0" w:line="249" w:lineRule="auto"/>
        <w:rPr>
          <w:rFonts w:hint="eastAsia"/>
          <w:color w:val="231F20"/>
        </w:rPr>
      </w:pPr>
      <w:r>
        <w:rPr>
          <w:rFonts w:hint="eastAsia"/>
          <w:color w:val="231F20"/>
        </w:rPr>
        <w:t>Together with their God, they will live for a very long time—as in, forever.</w:t>
      </w:r>
    </w:p>
    <w:p w14:paraId="0361676B">
      <w:pPr>
        <w:pStyle w:val="9"/>
        <w:spacing w:after="0" w:line="249" w:lineRule="auto"/>
        <w:rPr>
          <w:rFonts w:hint="eastAsia"/>
          <w:color w:val="231F20"/>
        </w:rPr>
      </w:pPr>
      <w:r>
        <w:rPr>
          <w:rFonts w:hint="eastAsia"/>
          <w:color w:val="231F20"/>
        </w:rPr>
        <w:t>他们将与他们的上帝一同生活很长很长的时间——也就是说，永远。</w:t>
      </w:r>
    </w:p>
    <w:p w14:paraId="1C8BA35D">
      <w:pPr>
        <w:pStyle w:val="9"/>
        <w:spacing w:after="0" w:line="249" w:lineRule="auto"/>
        <w:rPr>
          <w:rFonts w:hint="eastAsia"/>
          <w:color w:val="231F20"/>
        </w:rPr>
      </w:pPr>
    </w:p>
    <w:p w14:paraId="0DF2C3FE">
      <w:pPr>
        <w:pStyle w:val="9"/>
        <w:spacing w:after="0" w:line="249" w:lineRule="auto"/>
        <w:rPr>
          <w:rFonts w:hint="eastAsia"/>
          <w:color w:val="231F20"/>
        </w:rPr>
      </w:pPr>
      <w:r>
        <w:rPr>
          <w:rFonts w:hint="eastAsia"/>
          <w:color w:val="231F20"/>
        </w:rPr>
        <w:t>Summary</w:t>
      </w:r>
    </w:p>
    <w:p w14:paraId="3975A1E0">
      <w:pPr>
        <w:pStyle w:val="9"/>
        <w:spacing w:after="0" w:line="249" w:lineRule="auto"/>
        <w:rPr>
          <w:rFonts w:hint="eastAsia"/>
          <w:color w:val="231F20"/>
        </w:rPr>
      </w:pPr>
      <w:r>
        <w:rPr>
          <w:rFonts w:hint="eastAsia"/>
          <w:color w:val="231F20"/>
        </w:rPr>
        <w:t>总结</w:t>
      </w:r>
    </w:p>
    <w:p w14:paraId="03C2DF0B">
      <w:pPr>
        <w:pStyle w:val="9"/>
        <w:spacing w:after="0" w:line="249" w:lineRule="auto"/>
        <w:rPr>
          <w:rFonts w:hint="eastAsia"/>
          <w:color w:val="231F20"/>
        </w:rPr>
      </w:pPr>
    </w:p>
    <w:p w14:paraId="2401A5A4">
      <w:pPr>
        <w:pStyle w:val="9"/>
        <w:spacing w:after="0" w:line="249" w:lineRule="auto"/>
        <w:rPr>
          <w:rFonts w:hint="eastAsia"/>
          <w:color w:val="231F20"/>
        </w:rPr>
      </w:pPr>
      <w:r>
        <w:rPr>
          <w:rFonts w:hint="eastAsia"/>
          <w:color w:val="231F20"/>
        </w:rPr>
        <w:t>Thus far we have seen that the great bulk of OTKP’s yield a fairly uniform picture of the nature of the coming Kingdom of God; that it appears to be an eternal, universal theocracy, mediated by ethnic Israel and her Messiah, administered in accordance with the Mosaic Law, and set in a spiritually and physically redeemed cosmos.</w:t>
      </w:r>
    </w:p>
    <w:p w14:paraId="04B10273">
      <w:pPr>
        <w:pStyle w:val="9"/>
        <w:spacing w:after="0" w:line="249" w:lineRule="auto"/>
        <w:rPr>
          <w:rFonts w:hint="eastAsia"/>
          <w:color w:val="231F20"/>
        </w:rPr>
      </w:pPr>
      <w:r>
        <w:rPr>
          <w:rFonts w:hint="eastAsia"/>
          <w:color w:val="231F20"/>
        </w:rPr>
        <w:t>到目前为止，我们已经看到，大量的旧约国度预言（OTKP）对即将到来的上帝之国的性质给出了一个相当统一的图景；它似乎是一个永恒的、普世的神权政体，由以色列民族及其弥赛亚作中介，按照摩西律法进行管理，并设立在一个在属灵上和物质上都得到救赎的宇宙中。</w:t>
      </w:r>
    </w:p>
    <w:p w14:paraId="2704BCAD">
      <w:pPr>
        <w:pStyle w:val="9"/>
        <w:spacing w:after="0" w:line="249" w:lineRule="auto"/>
        <w:rPr>
          <w:rFonts w:hint="eastAsia"/>
          <w:color w:val="231F20"/>
        </w:rPr>
      </w:pPr>
    </w:p>
    <w:p w14:paraId="212BFF9C">
      <w:pPr>
        <w:pStyle w:val="9"/>
        <w:spacing w:after="0" w:line="249" w:lineRule="auto"/>
        <w:rPr>
          <w:rFonts w:hint="eastAsia"/>
          <w:color w:val="231F20"/>
        </w:rPr>
      </w:pPr>
      <w:r>
        <w:rPr>
          <w:rFonts w:hint="eastAsia"/>
          <w:color w:val="231F20"/>
        </w:rPr>
        <w:t>However, we have also seen that a close inspection of OTKP uncovers various phenomena that warn us against taking the Representative Idea of the Kingdom too literally.</w:t>
      </w:r>
    </w:p>
    <w:p w14:paraId="14B2A2B7">
      <w:pPr>
        <w:pStyle w:val="9"/>
        <w:spacing w:after="0" w:line="249" w:lineRule="auto"/>
        <w:rPr>
          <w:rFonts w:hint="eastAsia"/>
          <w:color w:val="231F20"/>
        </w:rPr>
      </w:pPr>
      <w:r>
        <w:rPr>
          <w:rFonts w:hint="eastAsia"/>
          <w:color w:val="231F20"/>
        </w:rPr>
        <w:t>然而，我们也看到，对旧约国度预言（OTKP）的仔细审视揭示了各种现象，警告我们不要过于字面地理解国度的代表性观念。</w:t>
      </w:r>
    </w:p>
    <w:p w14:paraId="4809AD1C">
      <w:pPr>
        <w:pStyle w:val="9"/>
        <w:spacing w:after="0" w:line="249" w:lineRule="auto"/>
        <w:rPr>
          <w:rFonts w:hint="eastAsia"/>
          <w:color w:val="231F20"/>
        </w:rPr>
      </w:pPr>
    </w:p>
    <w:p w14:paraId="13AD1D3B">
      <w:pPr>
        <w:pStyle w:val="9"/>
        <w:spacing w:after="0" w:line="249" w:lineRule="auto"/>
        <w:rPr>
          <w:rFonts w:hint="eastAsia"/>
          <w:color w:val="231F20"/>
        </w:rPr>
      </w:pPr>
      <w:r>
        <w:rPr>
          <w:rFonts w:hint="eastAsia"/>
          <w:color w:val="231F20"/>
        </w:rPr>
        <w:t>These phenomena include many apparent contradictions among the OTKP’s themselves; numerous prophecies that positively beg for a spiritual interpretation; and miscellaneous OTKP’s that associate the Kingdom with a new covenant that will fulfill and supercede the old.</w:t>
      </w:r>
    </w:p>
    <w:p w14:paraId="491F18C8">
      <w:pPr>
        <w:pStyle w:val="9"/>
        <w:spacing w:after="0" w:line="249" w:lineRule="auto"/>
        <w:rPr>
          <w:rFonts w:hint="eastAsia"/>
          <w:color w:val="231F20"/>
        </w:rPr>
      </w:pPr>
      <w:r>
        <w:rPr>
          <w:rFonts w:hint="eastAsia"/>
          <w:color w:val="231F20"/>
        </w:rPr>
        <w:t>这些现象包括旧约国度预言（OTKP）本身之间的许多明显矛盾；许多确实需要属灵解释的预言；以及各种将国度与一个将成全并取代旧约的新约联系起来的旧约国度预言。</w:t>
      </w:r>
    </w:p>
    <w:p w14:paraId="7AF480E4">
      <w:pPr>
        <w:pStyle w:val="9"/>
        <w:spacing w:after="0" w:line="249" w:lineRule="auto"/>
        <w:rPr>
          <w:rFonts w:hint="eastAsia"/>
          <w:color w:val="231F20"/>
        </w:rPr>
      </w:pPr>
    </w:p>
    <w:p w14:paraId="0D1B674B">
      <w:pPr>
        <w:pStyle w:val="9"/>
        <w:spacing w:after="0" w:line="249" w:lineRule="auto"/>
        <w:rPr>
          <w:rFonts w:hint="eastAsia"/>
          <w:color w:val="231F20"/>
        </w:rPr>
      </w:pPr>
      <w:r>
        <w:rPr>
          <w:rFonts w:hint="eastAsia"/>
          <w:color w:val="231F20"/>
        </w:rPr>
        <w:t>Moreover, we have repeatedly noted that premillennialism—which argues for a literal fulfillment of the Representative Idea in a future, millennial stage of the Kingdom—completely fails to resolve these problems.</w:t>
      </w:r>
    </w:p>
    <w:p w14:paraId="7289AA7B">
      <w:pPr>
        <w:pStyle w:val="9"/>
        <w:spacing w:after="0" w:line="249" w:lineRule="auto"/>
        <w:rPr>
          <w:rFonts w:hint="eastAsia"/>
          <w:color w:val="231F20"/>
        </w:rPr>
      </w:pPr>
      <w:r>
        <w:rPr>
          <w:rFonts w:hint="eastAsia"/>
          <w:color w:val="231F20"/>
        </w:rPr>
        <w:t>此外，我们一再指出，前千禧年主义——主张在未来千禧年阶段对代表性观念进行字面应验——完全无法解决这些问题。</w:t>
      </w:r>
    </w:p>
    <w:p w14:paraId="3AB2BC33">
      <w:pPr>
        <w:pStyle w:val="9"/>
        <w:spacing w:after="0" w:line="249" w:lineRule="auto"/>
        <w:rPr>
          <w:rFonts w:hint="eastAsia"/>
          <w:color w:val="231F20"/>
        </w:rPr>
      </w:pPr>
    </w:p>
    <w:p w14:paraId="6CE0E4B9">
      <w:pPr>
        <w:pStyle w:val="9"/>
        <w:spacing w:after="0" w:line="249" w:lineRule="auto"/>
        <w:rPr>
          <w:rFonts w:hint="eastAsia"/>
          <w:color w:val="231F20"/>
        </w:rPr>
      </w:pPr>
      <w:r>
        <w:rPr>
          <w:rFonts w:hint="eastAsia"/>
          <w:color w:val="231F20"/>
        </w:rPr>
        <w:t>This is because OTKP says nothing about a temporary, one thousand year stage of the Kingdom, but instead represents the theocratic Kingdom as existing forever.</w:t>
      </w:r>
    </w:p>
    <w:p w14:paraId="3567B815">
      <w:pPr>
        <w:pStyle w:val="9"/>
        <w:spacing w:after="0" w:line="249" w:lineRule="auto"/>
        <w:rPr>
          <w:rFonts w:hint="eastAsia"/>
          <w:color w:val="231F20"/>
        </w:rPr>
      </w:pPr>
      <w:r>
        <w:rPr>
          <w:rFonts w:hint="eastAsia"/>
          <w:color w:val="231F20"/>
        </w:rPr>
        <w:t>这是因为旧约国度预言（OTKP）没有提到一个暂时的、一千年的国度阶段，而是将神权政体的国度描绘为永远存在。</w:t>
      </w:r>
    </w:p>
    <w:p w14:paraId="7351D7D6">
      <w:pPr>
        <w:pStyle w:val="9"/>
        <w:spacing w:after="0" w:line="249" w:lineRule="auto"/>
        <w:rPr>
          <w:rFonts w:hint="eastAsia"/>
          <w:color w:val="231F20"/>
        </w:rPr>
      </w:pPr>
    </w:p>
    <w:p w14:paraId="73586128">
      <w:pPr>
        <w:pStyle w:val="9"/>
        <w:spacing w:after="0" w:line="249" w:lineRule="auto"/>
        <w:rPr>
          <w:rFonts w:hint="eastAsia"/>
          <w:color w:val="231F20"/>
        </w:rPr>
      </w:pPr>
      <w:r>
        <w:rPr>
          <w:rFonts w:hint="eastAsia"/>
          <w:color w:val="231F20"/>
        </w:rPr>
        <w:t>Also, premillennialism entangles the biblical interpreter in scandalous anachronisms, since it requires the resurrection of ancient peoples, nations, and living conditions long departed from the stage of history.</w:t>
      </w:r>
    </w:p>
    <w:p w14:paraId="6BD5B852">
      <w:pPr>
        <w:pStyle w:val="9"/>
        <w:spacing w:after="0" w:line="249" w:lineRule="auto"/>
        <w:rPr>
          <w:rFonts w:hint="eastAsia"/>
          <w:color w:val="231F20"/>
        </w:rPr>
      </w:pPr>
      <w:r>
        <w:rPr>
          <w:rFonts w:hint="eastAsia"/>
          <w:color w:val="231F20"/>
        </w:rPr>
        <w:t>此外，前千禧年主义使圣经解释者陷入了可耻的时代错乱之中，因为它要求复活早已从历史舞台上消失的古代民族、国家和生活条件。</w:t>
      </w:r>
    </w:p>
    <w:p w14:paraId="41CC5ADD">
      <w:pPr>
        <w:pStyle w:val="9"/>
        <w:spacing w:after="0" w:line="249" w:lineRule="auto"/>
        <w:rPr>
          <w:rFonts w:hint="eastAsia"/>
          <w:color w:val="231F20"/>
        </w:rPr>
      </w:pPr>
    </w:p>
    <w:p w14:paraId="3AEB715A">
      <w:pPr>
        <w:pStyle w:val="9"/>
        <w:spacing w:after="0" w:line="249" w:lineRule="auto"/>
        <w:rPr>
          <w:rFonts w:hint="eastAsia"/>
          <w:color w:val="231F20"/>
        </w:rPr>
      </w:pPr>
      <w:r>
        <w:rPr>
          <w:rFonts w:hint="eastAsia"/>
          <w:color w:val="231F20"/>
        </w:rPr>
        <w:t>However, the most powerful witness against premillennialism— and in favor of a more figurative interpretive approach—comes from the NT itself, whose teaching on the (spiritual) nature and (two-staged) structure of the Kingdom completely rules out the premillennial scheme, as does its outspoken declaration of the supremacy, finality, and eternity of the New Covenant.</w:t>
      </w:r>
    </w:p>
    <w:p w14:paraId="3B135C52">
      <w:pPr>
        <w:pStyle w:val="9"/>
        <w:spacing w:after="0" w:line="249" w:lineRule="auto"/>
        <w:rPr>
          <w:rFonts w:hint="eastAsia"/>
          <w:color w:val="231F20"/>
        </w:rPr>
      </w:pPr>
      <w:r>
        <w:rPr>
          <w:rFonts w:hint="eastAsia"/>
          <w:color w:val="231F20"/>
        </w:rPr>
        <w:t>然而，反对前千禧年主义、并支持更具象征性解释方法的最有力见证，来自新约本身，其关于国度（属灵）性质和（两阶段）结构的教导完全排除了前千禧年派的方案，其对新约至高性、终极性和永恒性的坦率宣告也是如此。</w:t>
      </w:r>
    </w:p>
    <w:p w14:paraId="174C1E7F">
      <w:pPr>
        <w:pStyle w:val="9"/>
        <w:spacing w:after="0" w:line="249" w:lineRule="auto"/>
        <w:rPr>
          <w:rFonts w:hint="eastAsia"/>
          <w:color w:val="231F20"/>
        </w:rPr>
      </w:pPr>
    </w:p>
    <w:p w14:paraId="4F5BBE5B">
      <w:pPr>
        <w:pStyle w:val="9"/>
        <w:spacing w:after="0" w:line="249" w:lineRule="auto"/>
        <w:rPr>
          <w:rFonts w:hint="eastAsia"/>
          <w:color w:val="231F20"/>
        </w:rPr>
      </w:pPr>
      <w:r>
        <w:rPr>
          <w:rFonts w:hint="eastAsia"/>
          <w:color w:val="231F20"/>
        </w:rPr>
        <w:t>We conclude, then, that both the Old and New Testaments invite us to interpret OTKP figuratively, in terms of the twofold Kingdom introduced by Christ under the New and Eternal Covenant.</w:t>
      </w:r>
    </w:p>
    <w:p w14:paraId="1A347132">
      <w:pPr>
        <w:pStyle w:val="9"/>
        <w:spacing w:after="0" w:line="249" w:lineRule="auto"/>
        <w:rPr>
          <w:rFonts w:hint="eastAsia"/>
          <w:color w:val="231F20"/>
        </w:rPr>
      </w:pPr>
      <w:r>
        <w:rPr>
          <w:rFonts w:hint="eastAsia"/>
          <w:color w:val="231F20"/>
        </w:rPr>
        <w:t>因此，我们得出结论，旧约和新约都邀请我们以象征性的方式来解释旧约国度预言（OTKP），即在基督于新的永恒之约下引入的双重国度的框架内来解释。</w:t>
      </w:r>
    </w:p>
    <w:p w14:paraId="4570254E">
      <w:pPr>
        <w:pStyle w:val="9"/>
        <w:spacing w:after="0" w:line="249" w:lineRule="auto"/>
        <w:rPr>
          <w:rFonts w:hint="eastAsia"/>
          <w:color w:val="231F20"/>
        </w:rPr>
      </w:pPr>
    </w:p>
    <w:p w14:paraId="5C08D452">
      <w:pPr>
        <w:pStyle w:val="9"/>
        <w:spacing w:after="0" w:line="249" w:lineRule="auto"/>
        <w:rPr>
          <w:rFonts w:hint="eastAsia"/>
          <w:color w:val="231F20"/>
        </w:rPr>
      </w:pPr>
      <w:r>
        <w:rPr>
          <w:rFonts w:hint="eastAsia"/>
          <w:color w:val="231F20"/>
        </w:rPr>
        <w:t>The Coming (or Stages) of the Kingdom As Portrayed by the OT Prophets</w:t>
      </w:r>
    </w:p>
    <w:p w14:paraId="309C3DB4">
      <w:pPr>
        <w:pStyle w:val="9"/>
        <w:spacing w:after="0" w:line="249" w:lineRule="auto"/>
        <w:rPr>
          <w:rFonts w:hint="eastAsia"/>
          <w:color w:val="231F20"/>
        </w:rPr>
      </w:pPr>
      <w:r>
        <w:rPr>
          <w:rFonts w:hint="eastAsia"/>
          <w:color w:val="231F20"/>
        </w:rPr>
        <w:t>旧约先知所描绘的国度的来临（或阶段）</w:t>
      </w:r>
    </w:p>
    <w:p w14:paraId="7D442C86">
      <w:pPr>
        <w:pStyle w:val="9"/>
        <w:spacing w:after="0" w:line="249" w:lineRule="auto"/>
        <w:rPr>
          <w:rFonts w:hint="eastAsia"/>
          <w:color w:val="231F20"/>
        </w:rPr>
      </w:pPr>
    </w:p>
    <w:p w14:paraId="697B500E">
      <w:pPr>
        <w:pStyle w:val="9"/>
        <w:spacing w:after="0" w:line="249" w:lineRule="auto"/>
        <w:rPr>
          <w:rFonts w:hint="eastAsia"/>
          <w:color w:val="231F20"/>
        </w:rPr>
      </w:pPr>
      <w:r>
        <w:rPr>
          <w:rFonts w:hint="eastAsia"/>
          <w:color w:val="231F20"/>
        </w:rPr>
        <w:t>In our discussion of the nature of the Kingdom in OTKP we have touched more than once upon the closely related idea of its coming; of the sequence of redemptive acts by which, according to the OT prophets, God will bring in the new and everlasting World to Come.</w:t>
      </w:r>
    </w:p>
    <w:p w14:paraId="2846D15F">
      <w:pPr>
        <w:pStyle w:val="9"/>
        <w:spacing w:after="0" w:line="249" w:lineRule="auto"/>
        <w:rPr>
          <w:rFonts w:hint="eastAsia"/>
          <w:color w:val="231F20"/>
        </w:rPr>
      </w:pPr>
      <w:r>
        <w:rPr>
          <w:rFonts w:hint="eastAsia"/>
          <w:color w:val="231F20"/>
        </w:rPr>
        <w:t>在我们讨论旧约国度预言（OTKP）中国度性质时，我们不止一次地触及了与其密切相关的国度来临的观念；即根据旧约先知的说法，上帝将藉以带来新的永恒世界的救赎行动序列。</w:t>
      </w:r>
    </w:p>
    <w:p w14:paraId="6EF6DFEA">
      <w:pPr>
        <w:pStyle w:val="9"/>
        <w:spacing w:after="0" w:line="249" w:lineRule="auto"/>
        <w:rPr>
          <w:rFonts w:hint="eastAsia"/>
          <w:color w:val="231F20"/>
        </w:rPr>
      </w:pPr>
    </w:p>
    <w:p w14:paraId="309C8834">
      <w:pPr>
        <w:pStyle w:val="9"/>
        <w:spacing w:after="0" w:line="249" w:lineRule="auto"/>
        <w:rPr>
          <w:rFonts w:hint="eastAsia"/>
          <w:color w:val="231F20"/>
        </w:rPr>
      </w:pPr>
      <w:r>
        <w:rPr>
          <w:rFonts w:hint="eastAsia"/>
          <w:color w:val="231F20"/>
        </w:rPr>
        <w:t>Let us take a few moments to summarize our findings on this subject, and to explore it a little further.</w:t>
      </w:r>
    </w:p>
    <w:p w14:paraId="5D5EA4C8">
      <w:pPr>
        <w:pStyle w:val="9"/>
        <w:spacing w:after="0" w:line="249" w:lineRule="auto"/>
        <w:rPr>
          <w:rFonts w:hint="eastAsia"/>
          <w:color w:val="231F20"/>
        </w:rPr>
      </w:pPr>
      <w:r>
        <w:rPr>
          <w:rFonts w:hint="eastAsia"/>
          <w:color w:val="231F20"/>
        </w:rPr>
        <w:t>让我们花点时间总结一下我们在这个主题上的发现，并进一步探讨它。</w:t>
      </w:r>
    </w:p>
    <w:p w14:paraId="7EEDC3EB">
      <w:pPr>
        <w:pStyle w:val="9"/>
        <w:spacing w:after="0" w:line="249" w:lineRule="auto"/>
        <w:rPr>
          <w:rFonts w:hint="eastAsia"/>
          <w:color w:val="231F20"/>
        </w:rPr>
      </w:pPr>
    </w:p>
    <w:p w14:paraId="6D0B0E90">
      <w:pPr>
        <w:pStyle w:val="9"/>
        <w:spacing w:after="0" w:line="249" w:lineRule="auto"/>
        <w:rPr>
          <w:rFonts w:hint="eastAsia"/>
          <w:color w:val="231F20"/>
        </w:rPr>
      </w:pPr>
      <w:r>
        <w:rPr>
          <w:rFonts w:hint="eastAsia"/>
          <w:color w:val="231F20"/>
        </w:rPr>
        <w:t>Though no two interpreters are likely to agree on the exact details, most would concur that there is indeed a Representative OT Idea of the coming of the Kingdom.</w:t>
      </w:r>
    </w:p>
    <w:p w14:paraId="6CEFA689">
      <w:pPr>
        <w:pStyle w:val="9"/>
        <w:spacing w:after="0" w:line="249" w:lineRule="auto"/>
        <w:rPr>
          <w:rFonts w:hint="eastAsia"/>
          <w:color w:val="231F20"/>
        </w:rPr>
      </w:pPr>
      <w:r>
        <w:rPr>
          <w:rFonts w:hint="eastAsia"/>
          <w:color w:val="231F20"/>
        </w:rPr>
        <w:t>虽然没有两个解释者可能会在确切细节上达成一致，但大多数人会同意，确实存在一个关于国度来临的代表性旧约观念。</w:t>
      </w:r>
    </w:p>
    <w:p w14:paraId="10F8E084">
      <w:pPr>
        <w:pStyle w:val="9"/>
        <w:spacing w:after="0" w:line="249" w:lineRule="auto"/>
        <w:rPr>
          <w:rFonts w:hint="eastAsia"/>
          <w:color w:val="231F20"/>
        </w:rPr>
      </w:pPr>
    </w:p>
    <w:p w14:paraId="5B1E63CE">
      <w:pPr>
        <w:pStyle w:val="9"/>
        <w:spacing w:after="0" w:line="249" w:lineRule="auto"/>
        <w:rPr>
          <w:rFonts w:hint="eastAsia"/>
          <w:color w:val="231F20"/>
        </w:rPr>
      </w:pPr>
      <w:r>
        <w:rPr>
          <w:rFonts w:hint="eastAsia"/>
          <w:color w:val="231F20"/>
        </w:rPr>
        <w:t>As we have seen, it is first set forth in the proto-typical prophecies of the Kingdom found in the Law itself (Lev. 26, Deut. 30, 32).</w:t>
      </w:r>
    </w:p>
    <w:p w14:paraId="773881D8">
      <w:pPr>
        <w:pStyle w:val="9"/>
        <w:spacing w:after="0" w:line="249" w:lineRule="auto"/>
        <w:rPr>
          <w:rFonts w:hint="eastAsia"/>
          <w:color w:val="231F20"/>
        </w:rPr>
      </w:pPr>
      <w:r>
        <w:rPr>
          <w:rFonts w:hint="eastAsia"/>
          <w:color w:val="231F20"/>
        </w:rPr>
        <w:t>正如我们所见，它首先在律法本身中发现的国度原型预言中被阐明（利未记 26章，申命记 30章，32章）。</w:t>
      </w:r>
    </w:p>
    <w:p w14:paraId="6B17FAF7">
      <w:pPr>
        <w:pStyle w:val="9"/>
        <w:spacing w:after="0" w:line="249" w:lineRule="auto"/>
        <w:rPr>
          <w:rFonts w:hint="eastAsia"/>
          <w:color w:val="231F20"/>
        </w:rPr>
      </w:pPr>
    </w:p>
    <w:p w14:paraId="32499D0F">
      <w:pPr>
        <w:pStyle w:val="9"/>
        <w:spacing w:after="0" w:line="249" w:lineRule="auto"/>
        <w:rPr>
          <w:rFonts w:hint="eastAsia"/>
          <w:color w:val="231F20"/>
        </w:rPr>
      </w:pPr>
      <w:r>
        <w:rPr>
          <w:rFonts w:hint="eastAsia"/>
          <w:color w:val="231F20"/>
        </w:rPr>
        <w:t>According to this idea, God, in the latter-day s, will grant Israel repentance, rescue her from captivity, return her to the land, and restore her forever to all the blessings of the covenant.</w:t>
      </w:r>
    </w:p>
    <w:p w14:paraId="2AE16D03">
      <w:pPr>
        <w:pStyle w:val="9"/>
        <w:spacing w:after="0" w:line="249" w:lineRule="auto"/>
        <w:rPr>
          <w:rFonts w:hint="eastAsia"/>
          <w:color w:val="231F20"/>
        </w:rPr>
      </w:pPr>
      <w:r>
        <w:rPr>
          <w:rFonts w:hint="eastAsia"/>
          <w:color w:val="231F20"/>
        </w:rPr>
        <w:t>根据这个观念，上帝将在末后的日子里，赐予以色列悔改，将她从被掳中拯救出来，使她归回本地，并永远将她恢复到圣约的所有祝福中。</w:t>
      </w:r>
    </w:p>
    <w:p w14:paraId="4575D195">
      <w:pPr>
        <w:pStyle w:val="9"/>
        <w:spacing w:after="0" w:line="249" w:lineRule="auto"/>
        <w:rPr>
          <w:rFonts w:hint="eastAsia"/>
          <w:color w:val="231F20"/>
        </w:rPr>
      </w:pPr>
    </w:p>
    <w:p w14:paraId="295B2CCE">
      <w:pPr>
        <w:pStyle w:val="9"/>
        <w:spacing w:after="0" w:line="249" w:lineRule="auto"/>
        <w:rPr>
          <w:rFonts w:hint="eastAsia"/>
          <w:color w:val="231F20"/>
        </w:rPr>
      </w:pPr>
      <w:r>
        <w:rPr>
          <w:rFonts w:hint="eastAsia"/>
          <w:color w:val="231F20"/>
        </w:rPr>
        <w:t>Here is the framework for the OT revelation of the coming of the Kingdom, a framework upon which the writing prophets of later times would build extensively.</w:t>
      </w:r>
    </w:p>
    <w:p w14:paraId="113578DB">
      <w:pPr>
        <w:pStyle w:val="9"/>
        <w:spacing w:after="0" w:line="249" w:lineRule="auto"/>
        <w:rPr>
          <w:rFonts w:hint="eastAsia"/>
          <w:color w:val="231F20"/>
        </w:rPr>
      </w:pPr>
      <w:r>
        <w:rPr>
          <w:rFonts w:hint="eastAsia"/>
          <w:color w:val="231F20"/>
        </w:rPr>
        <w:t>这就是旧约关于国度来临启示的框架，后来时代的写作先知们将在此框架上进行广泛的构建。</w:t>
      </w:r>
    </w:p>
    <w:p w14:paraId="10F0F468">
      <w:pPr>
        <w:pStyle w:val="9"/>
        <w:spacing w:after="0" w:line="249" w:lineRule="auto"/>
        <w:rPr>
          <w:rFonts w:hint="eastAsia"/>
          <w:color w:val="231F20"/>
        </w:rPr>
      </w:pPr>
    </w:p>
    <w:p w14:paraId="25DA5727">
      <w:pPr>
        <w:pStyle w:val="9"/>
        <w:spacing w:after="0" w:line="249" w:lineRule="auto"/>
        <w:rPr>
          <w:rFonts w:hint="eastAsia"/>
          <w:color w:val="231F20"/>
        </w:rPr>
      </w:pPr>
      <w:r>
        <w:rPr>
          <w:rFonts w:hint="eastAsia"/>
          <w:color w:val="231F20"/>
        </w:rPr>
        <w:t>The completed structure—appearing with special clarity in the Major Prophets (Isaiah, Jeremiah, Ezekiel, and Daniel)—includes, I would argue, five basic elements; five fundamental stages by which God would bring in his Kingdom.</w:t>
      </w:r>
    </w:p>
    <w:p w14:paraId="43AF97DB">
      <w:pPr>
        <w:pStyle w:val="9"/>
        <w:spacing w:after="0" w:line="249" w:lineRule="auto"/>
        <w:rPr>
          <w:rFonts w:hint="eastAsia"/>
          <w:color w:val="231F20"/>
        </w:rPr>
      </w:pPr>
      <w:r>
        <w:rPr>
          <w:rFonts w:hint="eastAsia"/>
          <w:color w:val="231F20"/>
        </w:rPr>
        <w:t>这个完成的结构——在主要先知书（以赛亚书、耶利米书、以西结书和但以理书）中特别清晰地出现——我认为，包括五个基本要素；上帝将藉以引入祂国度的五个基本阶段。</w:t>
      </w:r>
    </w:p>
    <w:p w14:paraId="0B45B8C4">
      <w:pPr>
        <w:pStyle w:val="9"/>
        <w:spacing w:after="0" w:line="249" w:lineRule="auto"/>
        <w:rPr>
          <w:rFonts w:hint="eastAsia"/>
          <w:color w:val="231F20"/>
        </w:rPr>
      </w:pPr>
    </w:p>
    <w:p w14:paraId="48EDDB61">
      <w:pPr>
        <w:pStyle w:val="9"/>
        <w:spacing w:after="0" w:line="249" w:lineRule="auto"/>
        <w:rPr>
          <w:rFonts w:hint="eastAsia"/>
          <w:color w:val="231F20"/>
        </w:rPr>
      </w:pPr>
      <w:r>
        <w:rPr>
          <w:rFonts w:hint="eastAsia"/>
          <w:color w:val="231F20"/>
        </w:rPr>
        <w:t>However, in reading about them below, I would urge you always to remember that this is only the representative idea; that it gives the gist of most OTKP’s, but not all; that, in fact, a number of OTKP’s omit one or more of these elements altogether, and in some cases even appear to contradict them.</w:t>
      </w:r>
    </w:p>
    <w:p w14:paraId="230BA9FD">
      <w:pPr>
        <w:pStyle w:val="9"/>
        <w:spacing w:after="0" w:line="249" w:lineRule="auto"/>
        <w:rPr>
          <w:rFonts w:hint="eastAsia"/>
          <w:color w:val="231F20"/>
        </w:rPr>
      </w:pPr>
      <w:r>
        <w:rPr>
          <w:rFonts w:hint="eastAsia"/>
          <w:color w:val="231F20"/>
        </w:rPr>
        <w:t>然而，在阅读以下内容时，我敦促你始终记住，这只是代表性的观念；它给出了大多数旧约国度预言（OTKP）的要点，但并非全部；事实上，一些旧约国度预言完全省略了这些要素中的一个或多个，在某些情况下甚至似乎与之相矛盾。</w:t>
      </w:r>
    </w:p>
    <w:p w14:paraId="79F52117">
      <w:pPr>
        <w:pStyle w:val="9"/>
        <w:spacing w:after="0" w:line="249" w:lineRule="auto"/>
        <w:rPr>
          <w:rFonts w:hint="eastAsia"/>
          <w:color w:val="231F20"/>
        </w:rPr>
      </w:pPr>
    </w:p>
    <w:p w14:paraId="028D8FA3">
      <w:pPr>
        <w:pStyle w:val="9"/>
        <w:spacing w:after="0" w:line="249" w:lineRule="auto"/>
        <w:rPr>
          <w:rFonts w:hint="eastAsia"/>
          <w:color w:val="231F20"/>
        </w:rPr>
      </w:pPr>
      <w:r>
        <w:rPr>
          <w:rFonts w:hint="eastAsia"/>
          <w:color w:val="231F20"/>
        </w:rPr>
        <w:t>But none of this is by accident.</w:t>
      </w:r>
    </w:p>
    <w:p w14:paraId="24181D0A">
      <w:pPr>
        <w:pStyle w:val="9"/>
        <w:spacing w:after="0" w:line="249" w:lineRule="auto"/>
        <w:rPr>
          <w:rFonts w:hint="eastAsia"/>
          <w:color w:val="231F20"/>
        </w:rPr>
      </w:pPr>
      <w:r>
        <w:rPr>
          <w:rFonts w:hint="eastAsia"/>
          <w:color w:val="231F20"/>
        </w:rPr>
        <w:t>但这一切都不是偶然的。</w:t>
      </w:r>
    </w:p>
    <w:p w14:paraId="568AB7B5">
      <w:pPr>
        <w:pStyle w:val="9"/>
        <w:spacing w:after="0" w:line="249" w:lineRule="auto"/>
        <w:rPr>
          <w:rFonts w:hint="eastAsia"/>
          <w:color w:val="231F20"/>
        </w:rPr>
      </w:pPr>
    </w:p>
    <w:p w14:paraId="5874E388">
      <w:pPr>
        <w:pStyle w:val="9"/>
        <w:spacing w:after="0" w:line="249" w:lineRule="auto"/>
        <w:rPr>
          <w:rFonts w:hint="eastAsia"/>
          <w:color w:val="231F20"/>
        </w:rPr>
      </w:pPr>
      <w:r>
        <w:rPr>
          <w:rFonts w:hint="eastAsia"/>
          <w:color w:val="231F20"/>
        </w:rPr>
        <w:t>For as with OTKP’s of the nature of the Kingdom, so here: Apparently conflicting pictures of the coming of the Kingdom signal the presence of mystery, and therefore of our need for a key—for a fuller, clearer revelation—by which that mystery may be opened up; by which we may finally know, in truth, exactly how the Kingdom will come.</w:t>
      </w:r>
    </w:p>
    <w:p w14:paraId="00A87704">
      <w:pPr>
        <w:pStyle w:val="9"/>
        <w:spacing w:after="0" w:line="249" w:lineRule="auto"/>
        <w:rPr>
          <w:rFonts w:hint="eastAsia"/>
          <w:color w:val="231F20"/>
        </w:rPr>
      </w:pPr>
      <w:r>
        <w:rPr>
          <w:rFonts w:hint="eastAsia"/>
          <w:color w:val="231F20"/>
        </w:rPr>
        <w:t>因为就像关于国度性质的旧约国度预言（OTKP）一样，这里也是如此：关于国度来临的明显冲突的图景，预示着奥秘的存在，因此也预示着我们需要一把钥匙——一个更完整、更清晰的启示——藉此可以解开那个奥秘；藉此我们可以最终在真理中确切地知道，国度将如何来临。</w:t>
      </w:r>
    </w:p>
    <w:p w14:paraId="03DF68D8">
      <w:pPr>
        <w:pStyle w:val="9"/>
        <w:spacing w:after="0" w:line="249" w:lineRule="auto"/>
        <w:rPr>
          <w:rFonts w:hint="eastAsia"/>
          <w:color w:val="231F20"/>
        </w:rPr>
      </w:pPr>
    </w:p>
    <w:p w14:paraId="793502DD">
      <w:pPr>
        <w:pStyle w:val="9"/>
        <w:spacing w:after="0" w:line="249" w:lineRule="auto"/>
        <w:rPr>
          <w:rFonts w:hint="eastAsia"/>
          <w:color w:val="231F20"/>
        </w:rPr>
      </w:pPr>
      <w:r>
        <w:rPr>
          <w:rFonts w:hint="eastAsia"/>
          <w:color w:val="231F20"/>
        </w:rPr>
        <w:t>The Restoration</w:t>
      </w:r>
    </w:p>
    <w:p w14:paraId="3B4BA9A4">
      <w:pPr>
        <w:pStyle w:val="9"/>
        <w:spacing w:after="0" w:line="249" w:lineRule="auto"/>
        <w:rPr>
          <w:rFonts w:hint="eastAsia"/>
          <w:color w:val="231F20"/>
        </w:rPr>
      </w:pPr>
      <w:r>
        <w:rPr>
          <w:rFonts w:hint="eastAsia"/>
          <w:color w:val="231F20"/>
        </w:rPr>
        <w:t>复兴</w:t>
      </w:r>
    </w:p>
    <w:p w14:paraId="3F454256">
      <w:pPr>
        <w:pStyle w:val="9"/>
        <w:spacing w:after="0" w:line="249" w:lineRule="auto"/>
        <w:rPr>
          <w:rFonts w:hint="eastAsia"/>
          <w:color w:val="231F20"/>
        </w:rPr>
      </w:pPr>
    </w:p>
    <w:p w14:paraId="5DF842AB">
      <w:pPr>
        <w:pStyle w:val="9"/>
        <w:spacing w:after="0" w:line="249" w:lineRule="auto"/>
        <w:rPr>
          <w:rFonts w:hint="eastAsia"/>
          <w:color w:val="231F20"/>
        </w:rPr>
      </w:pPr>
      <w:r>
        <w:rPr>
          <w:rFonts w:hint="eastAsia"/>
          <w:color w:val="231F20"/>
        </w:rPr>
        <w:t>The first stage in the coming of the Kingdom is the restoration.</w:t>
      </w:r>
    </w:p>
    <w:p w14:paraId="2045D37D">
      <w:pPr>
        <w:pStyle w:val="9"/>
        <w:spacing w:after="0" w:line="249" w:lineRule="auto"/>
        <w:rPr>
          <w:rFonts w:hint="eastAsia"/>
          <w:color w:val="231F20"/>
        </w:rPr>
      </w:pPr>
      <w:r>
        <w:rPr>
          <w:rFonts w:hint="eastAsia"/>
          <w:color w:val="231F20"/>
        </w:rPr>
        <w:t>国度来临的第一个阶段是复兴。</w:t>
      </w:r>
    </w:p>
    <w:p w14:paraId="0B1F0CCB">
      <w:pPr>
        <w:pStyle w:val="9"/>
        <w:spacing w:after="0" w:line="249" w:lineRule="auto"/>
        <w:rPr>
          <w:rFonts w:hint="eastAsia"/>
          <w:color w:val="231F20"/>
        </w:rPr>
      </w:pPr>
    </w:p>
    <w:p w14:paraId="4E0807CA">
      <w:pPr>
        <w:pStyle w:val="9"/>
        <w:spacing w:after="0" w:line="249" w:lineRule="auto"/>
        <w:rPr>
          <w:rFonts w:hint="eastAsia"/>
          <w:color w:val="231F20"/>
        </w:rPr>
      </w:pPr>
      <w:r>
        <w:rPr>
          <w:rFonts w:hint="eastAsia"/>
          <w:color w:val="231F20"/>
        </w:rPr>
        <w:t>More particularly, it is penitent Israel’s rescue from captivity—whether to Assyria, Babylon, or “the nations” at large—and her return to the Promised Land (Isaiah 43:1f, Jer. 3:11-18, 30:1f, 50:1f, Ezek. 34:11f, Hos. 1:10-11, Micah 2:12-13, 5:1-6).</w:t>
      </w:r>
    </w:p>
    <w:p w14:paraId="56148BA2">
      <w:pPr>
        <w:pStyle w:val="9"/>
        <w:spacing w:after="0" w:line="249" w:lineRule="auto"/>
        <w:rPr>
          <w:rFonts w:hint="eastAsia"/>
          <w:color w:val="231F20"/>
        </w:rPr>
      </w:pPr>
      <w:r>
        <w:rPr>
          <w:rFonts w:hint="eastAsia"/>
          <w:color w:val="231F20"/>
        </w:rPr>
        <w:t>更具体地说，它是悔改的以色列从被掳中得拯救——无论是被掳到亚述、巴比伦，还是广义上的“列国”——并归回到应许之地（以赛亚书 43:1及后文, 耶利米书 3:11-18, 30:1及后文, 50:1及后文, 以西结书 34:11及后文, 何西阿书 1:10-11, 弥迦书 2:12-13, 5:1-6）。</w:t>
      </w:r>
    </w:p>
    <w:p w14:paraId="43E5CD64">
      <w:pPr>
        <w:pStyle w:val="9"/>
        <w:spacing w:after="0" w:line="249" w:lineRule="auto"/>
        <w:rPr>
          <w:rFonts w:hint="eastAsia"/>
          <w:color w:val="231F20"/>
        </w:rPr>
      </w:pPr>
    </w:p>
    <w:p w14:paraId="10582E02">
      <w:pPr>
        <w:pStyle w:val="9"/>
        <w:spacing w:after="0" w:line="249" w:lineRule="auto"/>
        <w:rPr>
          <w:rFonts w:hint="eastAsia"/>
          <w:color w:val="231F20"/>
        </w:rPr>
      </w:pPr>
      <w:r>
        <w:rPr>
          <w:rFonts w:hint="eastAsia"/>
          <w:color w:val="231F20"/>
        </w:rPr>
        <w:t>In many of these prophecies, we find that ethnic Israel’s restoration from Babylon is clearly in the foreground.</w:t>
      </w:r>
    </w:p>
    <w:p w14:paraId="4774FD65">
      <w:pPr>
        <w:pStyle w:val="9"/>
        <w:spacing w:after="0" w:line="249" w:lineRule="auto"/>
        <w:rPr>
          <w:rFonts w:hint="eastAsia"/>
          <w:color w:val="231F20"/>
        </w:rPr>
      </w:pPr>
      <w:r>
        <w:rPr>
          <w:rFonts w:hint="eastAsia"/>
          <w:color w:val="231F20"/>
        </w:rPr>
        <w:t>在许多这些预言中，我们发现以色列民族从巴比伦的复兴显然是前景。</w:t>
      </w:r>
    </w:p>
    <w:p w14:paraId="2C657E7A">
      <w:pPr>
        <w:pStyle w:val="9"/>
        <w:spacing w:after="0" w:line="249" w:lineRule="auto"/>
        <w:rPr>
          <w:rFonts w:hint="eastAsia"/>
          <w:color w:val="231F20"/>
        </w:rPr>
      </w:pPr>
    </w:p>
    <w:p w14:paraId="6348A45C">
      <w:pPr>
        <w:pStyle w:val="9"/>
        <w:spacing w:after="0" w:line="249" w:lineRule="auto"/>
        <w:rPr>
          <w:rFonts w:hint="eastAsia"/>
          <w:color w:val="231F20"/>
        </w:rPr>
      </w:pPr>
      <w:r>
        <w:rPr>
          <w:rFonts w:hint="eastAsia"/>
          <w:color w:val="231F20"/>
        </w:rPr>
        <w:t>However, with eyes schooled in the NT, we cannot help but see something else—and something far greater—looming up in the background: the spiritual rescue and restoration of eschatological Israel—the Church—from all the nations wherein they have been held captive to the Domain of Darkness.</w:t>
      </w:r>
    </w:p>
    <w:p w14:paraId="4A346E8B">
      <w:pPr>
        <w:pStyle w:val="9"/>
        <w:spacing w:after="0" w:line="249" w:lineRule="auto"/>
        <w:rPr>
          <w:rFonts w:hint="eastAsia"/>
          <w:color w:val="231F20"/>
        </w:rPr>
      </w:pPr>
      <w:r>
        <w:rPr>
          <w:rFonts w:hint="eastAsia"/>
          <w:color w:val="231F20"/>
        </w:rPr>
        <w:t>然而，用受过新约教导的眼光来看，我们不禁在背景中看到另一件——而且是远为伟大的——事情正在显现：末世的以色列——教会——从所有他们被掳于黑暗权势的列国中得到属灵的拯救和复兴。</w:t>
      </w:r>
    </w:p>
    <w:p w14:paraId="1BAA70BB">
      <w:pPr>
        <w:pStyle w:val="9"/>
        <w:spacing w:after="0" w:line="249" w:lineRule="auto"/>
        <w:rPr>
          <w:rFonts w:hint="eastAsia"/>
          <w:color w:val="231F20"/>
        </w:rPr>
      </w:pPr>
    </w:p>
    <w:p w14:paraId="6E374ED2">
      <w:pPr>
        <w:pStyle w:val="9"/>
        <w:spacing w:after="0" w:line="249" w:lineRule="auto"/>
        <w:rPr>
          <w:rFonts w:hint="eastAsia"/>
          <w:color w:val="231F20"/>
        </w:rPr>
      </w:pPr>
      <w:r>
        <w:rPr>
          <w:rFonts w:hint="eastAsia"/>
          <w:color w:val="231F20"/>
        </w:rPr>
        <w:t>Did not God have in mind this very thing when, speaking to “Israel” through Isaiah, he said:</w:t>
      </w:r>
    </w:p>
    <w:p w14:paraId="2B02D245">
      <w:pPr>
        <w:pStyle w:val="9"/>
        <w:spacing w:after="0" w:line="249" w:lineRule="auto"/>
        <w:rPr>
          <w:rFonts w:hint="eastAsia"/>
          <w:color w:val="231F20"/>
        </w:rPr>
      </w:pPr>
      <w:r>
        <w:rPr>
          <w:rFonts w:hint="eastAsia"/>
          <w:color w:val="231F20"/>
        </w:rPr>
        <w:t>当上帝通过以赛亚对“以色列”说话时，祂心中想的岂不正是这件事吗？祂说：</w:t>
      </w:r>
    </w:p>
    <w:p w14:paraId="35363CB7">
      <w:pPr>
        <w:pStyle w:val="9"/>
        <w:spacing w:after="0" w:line="249" w:lineRule="auto"/>
        <w:rPr>
          <w:rFonts w:hint="eastAsia"/>
          <w:color w:val="231F20"/>
        </w:rPr>
      </w:pPr>
    </w:p>
    <w:p w14:paraId="21B5C7B6">
      <w:pPr>
        <w:pStyle w:val="9"/>
        <w:spacing w:after="0" w:line="249" w:lineRule="auto"/>
        <w:rPr>
          <w:rFonts w:hint="eastAsia"/>
          <w:color w:val="231F20"/>
        </w:rPr>
      </w:pPr>
      <w:r>
        <w:rPr>
          <w:rFonts w:hint="eastAsia"/>
          <w:color w:val="231F20"/>
        </w:rPr>
        <w:t>Do not fear, for I am with you; I will bring your offspring from the east and gather you from the west.</w:t>
      </w:r>
    </w:p>
    <w:p w14:paraId="1AC182A5">
      <w:pPr>
        <w:pStyle w:val="9"/>
        <w:spacing w:after="0" w:line="249" w:lineRule="auto"/>
        <w:rPr>
          <w:rFonts w:hint="eastAsia"/>
          <w:color w:val="231F20"/>
        </w:rPr>
      </w:pPr>
      <w:r>
        <w:rPr>
          <w:rFonts w:hint="eastAsia"/>
          <w:color w:val="231F20"/>
        </w:rPr>
        <w:t>你不要害怕，因为我与你同在；我必领你的后裔从东方来，又从西方招聚你。</w:t>
      </w:r>
    </w:p>
    <w:p w14:paraId="61497F06">
      <w:pPr>
        <w:pStyle w:val="9"/>
        <w:spacing w:after="0" w:line="249" w:lineRule="auto"/>
        <w:rPr>
          <w:rFonts w:hint="eastAsia"/>
          <w:color w:val="231F20"/>
        </w:rPr>
      </w:pPr>
    </w:p>
    <w:p w14:paraId="3F2DC7D8">
      <w:pPr>
        <w:pStyle w:val="9"/>
        <w:spacing w:after="0" w:line="249" w:lineRule="auto"/>
        <w:rPr>
          <w:rFonts w:hint="eastAsia"/>
          <w:color w:val="231F20"/>
        </w:rPr>
      </w:pPr>
      <w:r>
        <w:rPr>
          <w:rFonts w:hint="eastAsia"/>
          <w:color w:val="231F20"/>
        </w:rPr>
        <w:t>I will say to the north, “Give them up!”</w:t>
      </w:r>
    </w:p>
    <w:p w14:paraId="6BD4D2F1">
      <w:pPr>
        <w:pStyle w:val="9"/>
        <w:spacing w:after="0" w:line="249" w:lineRule="auto"/>
        <w:rPr>
          <w:rFonts w:hint="eastAsia"/>
          <w:color w:val="231F20"/>
        </w:rPr>
      </w:pPr>
      <w:r>
        <w:rPr>
          <w:rFonts w:hint="eastAsia"/>
          <w:color w:val="231F20"/>
        </w:rPr>
        <w:t>我要对北方说：“交出来！”</w:t>
      </w:r>
    </w:p>
    <w:p w14:paraId="22BD8C2B">
      <w:pPr>
        <w:pStyle w:val="9"/>
        <w:spacing w:after="0" w:line="249" w:lineRule="auto"/>
        <w:rPr>
          <w:rFonts w:hint="eastAsia"/>
          <w:color w:val="231F20"/>
        </w:rPr>
      </w:pPr>
    </w:p>
    <w:p w14:paraId="056C32E9">
      <w:pPr>
        <w:pStyle w:val="9"/>
        <w:spacing w:after="0" w:line="249" w:lineRule="auto"/>
        <w:rPr>
          <w:rFonts w:hint="eastAsia"/>
          <w:color w:val="231F20"/>
        </w:rPr>
      </w:pPr>
      <w:r>
        <w:rPr>
          <w:rFonts w:hint="eastAsia"/>
          <w:color w:val="231F20"/>
        </w:rPr>
        <w:t>and to the south, “Do not hold them back!”</w:t>
      </w:r>
    </w:p>
    <w:p w14:paraId="13C5FF1F">
      <w:pPr>
        <w:pStyle w:val="9"/>
        <w:spacing w:after="0" w:line="249" w:lineRule="auto"/>
        <w:rPr>
          <w:rFonts w:hint="eastAsia"/>
          <w:color w:val="231F20"/>
        </w:rPr>
      </w:pPr>
      <w:r>
        <w:rPr>
          <w:rFonts w:hint="eastAsia"/>
          <w:color w:val="231F20"/>
        </w:rPr>
        <w:t>对南方说：“不要拘留！”</w:t>
      </w:r>
    </w:p>
    <w:p w14:paraId="50E7B671">
      <w:pPr>
        <w:pStyle w:val="9"/>
        <w:spacing w:after="0" w:line="249" w:lineRule="auto"/>
        <w:rPr>
          <w:rFonts w:hint="eastAsia"/>
          <w:color w:val="231F20"/>
        </w:rPr>
      </w:pPr>
    </w:p>
    <w:p w14:paraId="66C175BC">
      <w:pPr>
        <w:pStyle w:val="9"/>
        <w:spacing w:after="0" w:line="249" w:lineRule="auto"/>
        <w:rPr>
          <w:rFonts w:hint="eastAsia"/>
          <w:color w:val="231F20"/>
        </w:rPr>
      </w:pPr>
      <w:r>
        <w:rPr>
          <w:rFonts w:hint="eastAsia"/>
          <w:color w:val="231F20"/>
        </w:rPr>
        <w:t>Bring My sons from afar, and My daughters from the ends of the earth, every one who is called by My name, and whom I have I have created for My glory; whom I have formed, and whom I have made.</w:t>
      </w:r>
    </w:p>
    <w:p w14:paraId="34C50EB2">
      <w:pPr>
        <w:pStyle w:val="9"/>
        <w:spacing w:after="0" w:line="249" w:lineRule="auto"/>
        <w:rPr>
          <w:rFonts w:hint="eastAsia"/>
          <w:color w:val="231F20"/>
        </w:rPr>
      </w:pPr>
      <w:r>
        <w:rPr>
          <w:rFonts w:hint="eastAsia"/>
          <w:color w:val="231F20"/>
        </w:rPr>
        <w:t>将我的众子从远方带来，将我的众女从地极领回，就是凡称为我名下的人，是我为自己的荣耀所创造的，是我所作成，所造作的。</w:t>
      </w:r>
    </w:p>
    <w:p w14:paraId="11E9C363">
      <w:pPr>
        <w:pStyle w:val="9"/>
        <w:spacing w:after="0" w:line="249" w:lineRule="auto"/>
        <w:rPr>
          <w:rFonts w:hint="eastAsia"/>
          <w:color w:val="231F20"/>
        </w:rPr>
      </w:pPr>
    </w:p>
    <w:p w14:paraId="13CEBAD1">
      <w:pPr>
        <w:pStyle w:val="9"/>
        <w:spacing w:after="0" w:line="249" w:lineRule="auto"/>
        <w:rPr>
          <w:rFonts w:hint="eastAsia"/>
          <w:color w:val="231F20"/>
        </w:rPr>
      </w:pPr>
      <w:r>
        <w:rPr>
          <w:rFonts w:hint="eastAsia"/>
          <w:color w:val="231F20"/>
        </w:rPr>
        <w:t>—Isaiah 43:5-7</w:t>
      </w:r>
    </w:p>
    <w:p w14:paraId="45B994A6">
      <w:pPr>
        <w:pStyle w:val="9"/>
        <w:spacing w:after="0" w:line="249" w:lineRule="auto"/>
        <w:rPr>
          <w:rFonts w:hint="eastAsia"/>
          <w:color w:val="231F20"/>
        </w:rPr>
      </w:pPr>
      <w:r>
        <w:rPr>
          <w:rFonts w:hint="eastAsia"/>
          <w:color w:val="231F20"/>
        </w:rPr>
        <w:t>——以赛亚书 43:5-7</w:t>
      </w:r>
    </w:p>
    <w:p w14:paraId="6E67619C">
      <w:pPr>
        <w:pStyle w:val="9"/>
        <w:spacing w:after="0" w:line="249" w:lineRule="auto"/>
        <w:rPr>
          <w:rFonts w:hint="eastAsia"/>
          <w:color w:val="231F20"/>
        </w:rPr>
      </w:pPr>
    </w:p>
    <w:p w14:paraId="10F20120">
      <w:pPr>
        <w:pStyle w:val="9"/>
        <w:spacing w:after="0" w:line="249" w:lineRule="auto"/>
        <w:rPr>
          <w:rFonts w:hint="eastAsia"/>
          <w:color w:val="231F20"/>
        </w:rPr>
      </w:pPr>
      <w:r>
        <w:rPr>
          <w:rFonts w:hint="eastAsia"/>
          <w:color w:val="231F20"/>
        </w:rPr>
        <w:t>Yes, reading these amazing words, every believer in Christ should rejoice and praise the Lord, whether Jew or Gentile!</w:t>
      </w:r>
    </w:p>
    <w:p w14:paraId="529FDA55">
      <w:pPr>
        <w:pStyle w:val="9"/>
        <w:spacing w:after="0" w:line="249" w:lineRule="auto"/>
        <w:rPr>
          <w:rFonts w:hint="eastAsia"/>
          <w:color w:val="231F20"/>
        </w:rPr>
      </w:pPr>
      <w:r>
        <w:rPr>
          <w:rFonts w:hint="eastAsia"/>
          <w:color w:val="231F20"/>
        </w:rPr>
        <w:t>是的，读到这些奇妙的话语，每一个在基督里的信徒，无论是犹太人还是外邦人，都应该欢喜赞美主！</w:t>
      </w:r>
    </w:p>
    <w:p w14:paraId="5B0EF409">
      <w:pPr>
        <w:pStyle w:val="9"/>
        <w:spacing w:after="0" w:line="249" w:lineRule="auto"/>
        <w:rPr>
          <w:rFonts w:hint="eastAsia"/>
          <w:color w:val="231F20"/>
        </w:rPr>
      </w:pPr>
    </w:p>
    <w:p w14:paraId="797F2B1C">
      <w:pPr>
        <w:pStyle w:val="9"/>
        <w:spacing w:after="0" w:line="249" w:lineRule="auto"/>
        <w:rPr>
          <w:rFonts w:hint="eastAsia"/>
          <w:color w:val="231F20"/>
        </w:rPr>
      </w:pPr>
      <w:r>
        <w:rPr>
          <w:rFonts w:hint="eastAsia"/>
          <w:color w:val="231F20"/>
        </w:rPr>
        <w:t>The Days of the Messiah</w:t>
      </w:r>
    </w:p>
    <w:p w14:paraId="5AA3D637">
      <w:pPr>
        <w:pStyle w:val="9"/>
        <w:spacing w:after="0" w:line="249" w:lineRule="auto"/>
        <w:rPr>
          <w:rFonts w:hint="eastAsia"/>
          <w:color w:val="231F20"/>
        </w:rPr>
      </w:pPr>
      <w:r>
        <w:rPr>
          <w:rFonts w:hint="eastAsia"/>
          <w:color w:val="231F20"/>
        </w:rPr>
        <w:t>弥赛亚的日子</w:t>
      </w:r>
    </w:p>
    <w:p w14:paraId="52483D2E">
      <w:pPr>
        <w:pStyle w:val="9"/>
        <w:spacing w:after="0" w:line="249" w:lineRule="auto"/>
        <w:rPr>
          <w:rFonts w:hint="eastAsia"/>
          <w:color w:val="231F20"/>
        </w:rPr>
      </w:pPr>
    </w:p>
    <w:p w14:paraId="088E1029">
      <w:pPr>
        <w:pStyle w:val="9"/>
        <w:spacing w:after="0" w:line="249" w:lineRule="auto"/>
        <w:rPr>
          <w:rFonts w:hint="eastAsia"/>
          <w:color w:val="231F20"/>
        </w:rPr>
      </w:pPr>
      <w:r>
        <w:rPr>
          <w:rFonts w:hint="eastAsia"/>
          <w:color w:val="231F20"/>
        </w:rPr>
        <w:t>The second stage of the coming of the Kingdom may be called The Days of the Messiah.</w:t>
      </w:r>
    </w:p>
    <w:p w14:paraId="68F21547">
      <w:pPr>
        <w:pStyle w:val="9"/>
        <w:spacing w:after="0" w:line="249" w:lineRule="auto"/>
        <w:rPr>
          <w:rFonts w:hint="eastAsia"/>
          <w:color w:val="231F20"/>
        </w:rPr>
      </w:pPr>
      <w:r>
        <w:rPr>
          <w:rFonts w:hint="eastAsia"/>
          <w:color w:val="231F20"/>
        </w:rPr>
        <w:t>国度来临的第二个阶段可称为“弥赛亚的日子”。</w:t>
      </w:r>
    </w:p>
    <w:p w14:paraId="4251CC35">
      <w:pPr>
        <w:pStyle w:val="9"/>
        <w:spacing w:after="0" w:line="249" w:lineRule="auto"/>
        <w:rPr>
          <w:rFonts w:hint="eastAsia"/>
          <w:color w:val="231F20"/>
        </w:rPr>
      </w:pPr>
    </w:p>
    <w:p w14:paraId="663EEAAD">
      <w:pPr>
        <w:pStyle w:val="9"/>
        <w:spacing w:after="0" w:line="249" w:lineRule="auto"/>
        <w:rPr>
          <w:rFonts w:hint="eastAsia"/>
          <w:color w:val="231F20"/>
        </w:rPr>
      </w:pPr>
      <w:r>
        <w:rPr>
          <w:rFonts w:hint="eastAsia"/>
          <w:color w:val="231F20"/>
        </w:rPr>
        <w:t>This eschatological expression arose during the inter- testamental period, and is still in use today among Orthodox Jews.</w:t>
      </w:r>
    </w:p>
    <w:p w14:paraId="57468368">
      <w:pPr>
        <w:pStyle w:val="9"/>
        <w:spacing w:after="0" w:line="249" w:lineRule="auto"/>
        <w:rPr>
          <w:rFonts w:hint="eastAsia"/>
          <w:color w:val="231F20"/>
        </w:rPr>
      </w:pPr>
      <w:r>
        <w:rPr>
          <w:rFonts w:hint="eastAsia"/>
          <w:color w:val="231F20"/>
        </w:rPr>
        <w:t>这个末世论的表达方式出现在两约之间时期，至今仍在正统犹太教徒中使用。</w:t>
      </w:r>
    </w:p>
    <w:p w14:paraId="2558B152">
      <w:pPr>
        <w:pStyle w:val="9"/>
        <w:spacing w:after="0" w:line="249" w:lineRule="auto"/>
        <w:rPr>
          <w:rFonts w:hint="eastAsia"/>
          <w:color w:val="231F20"/>
        </w:rPr>
      </w:pPr>
    </w:p>
    <w:p w14:paraId="29D5A16D">
      <w:pPr>
        <w:pStyle w:val="9"/>
        <w:spacing w:after="0" w:line="249" w:lineRule="auto"/>
        <w:rPr>
          <w:rFonts w:hint="eastAsia"/>
          <w:color w:val="231F20"/>
        </w:rPr>
      </w:pPr>
      <w:r>
        <w:rPr>
          <w:rFonts w:hint="eastAsia"/>
          <w:color w:val="231F20"/>
        </w:rPr>
        <w:t>It refers to the temporary season between the Messiah’s (first) coming to (restored) Israel, and the Day of the LORD (i.e., the Last Judgment).</w:t>
      </w:r>
    </w:p>
    <w:p w14:paraId="0223BE96">
      <w:pPr>
        <w:pStyle w:val="9"/>
        <w:spacing w:after="0" w:line="249" w:lineRule="auto"/>
        <w:rPr>
          <w:rFonts w:hint="eastAsia"/>
          <w:color w:val="231F20"/>
        </w:rPr>
      </w:pPr>
      <w:r>
        <w:rPr>
          <w:rFonts w:hint="eastAsia"/>
          <w:color w:val="231F20"/>
        </w:rPr>
        <w:t>它指的是弥赛亚（第一次）来到（复兴的）以色列，与耶和华的日子（即最后的审判）之间的暂时时期。</w:t>
      </w:r>
    </w:p>
    <w:p w14:paraId="46108AF5">
      <w:pPr>
        <w:pStyle w:val="9"/>
        <w:spacing w:after="0" w:line="249" w:lineRule="auto"/>
        <w:rPr>
          <w:rFonts w:hint="eastAsia"/>
          <w:color w:val="231F20"/>
        </w:rPr>
      </w:pPr>
    </w:p>
    <w:p w14:paraId="78A1F384">
      <w:pPr>
        <w:pStyle w:val="9"/>
        <w:spacing w:after="0" w:line="249" w:lineRule="auto"/>
        <w:rPr>
          <w:rFonts w:hint="eastAsia"/>
          <w:color w:val="231F20"/>
        </w:rPr>
      </w:pPr>
      <w:r>
        <w:rPr>
          <w:rFonts w:hint="eastAsia"/>
          <w:color w:val="231F20"/>
        </w:rPr>
        <w:t>Here, the Kingdom has indeed arrived, yet not in the fullness that the world will enjoy after the Day of the LORD, when he brings in the Age to Come.</w:t>
      </w:r>
    </w:p>
    <w:p w14:paraId="3013A262">
      <w:pPr>
        <w:pStyle w:val="9"/>
        <w:spacing w:after="0" w:line="249" w:lineRule="auto"/>
        <w:rPr>
          <w:rFonts w:hint="eastAsia"/>
          <w:color w:val="231F20"/>
        </w:rPr>
      </w:pPr>
      <w:r>
        <w:rPr>
          <w:rFonts w:hint="eastAsia"/>
          <w:color w:val="231F20"/>
        </w:rPr>
        <w:t>在这里，国度确实已经降临，但尚未达到世界在耶和华的日子之后，当祂带来未来世代时将享有的丰满程度。</w:t>
      </w:r>
    </w:p>
    <w:p w14:paraId="2267B748">
      <w:pPr>
        <w:pStyle w:val="9"/>
        <w:spacing w:after="0" w:line="249" w:lineRule="auto"/>
        <w:rPr>
          <w:rFonts w:hint="eastAsia"/>
          <w:color w:val="231F20"/>
        </w:rPr>
      </w:pPr>
    </w:p>
    <w:p w14:paraId="4E00CC6D">
      <w:pPr>
        <w:pStyle w:val="9"/>
        <w:spacing w:after="0" w:line="249" w:lineRule="auto"/>
        <w:rPr>
          <w:rFonts w:hint="eastAsia"/>
          <w:color w:val="231F20"/>
        </w:rPr>
      </w:pPr>
      <w:r>
        <w:rPr>
          <w:rFonts w:hint="eastAsia"/>
          <w:color w:val="231F20"/>
        </w:rPr>
        <w:t>Earlier, we discussed the elements of the OT idea of the Days of the Messiah in some detail.</w:t>
      </w:r>
    </w:p>
    <w:p w14:paraId="7B2E8D68">
      <w:pPr>
        <w:pStyle w:val="9"/>
        <w:spacing w:after="0" w:line="249" w:lineRule="auto"/>
        <w:rPr>
          <w:rFonts w:hint="eastAsia"/>
          <w:color w:val="231F20"/>
        </w:rPr>
      </w:pPr>
      <w:r>
        <w:rPr>
          <w:rFonts w:hint="eastAsia"/>
          <w:color w:val="231F20"/>
        </w:rPr>
        <w:t>早些时候，我们详细讨论了旧约中“弥赛亚的日子”这一观念的要素。</w:t>
      </w:r>
    </w:p>
    <w:p w14:paraId="129FF625">
      <w:pPr>
        <w:pStyle w:val="9"/>
        <w:spacing w:after="0" w:line="249" w:lineRule="auto"/>
        <w:rPr>
          <w:rFonts w:hint="eastAsia"/>
          <w:color w:val="231F20"/>
        </w:rPr>
      </w:pPr>
    </w:p>
    <w:p w14:paraId="1AC2E3B8">
      <w:pPr>
        <w:pStyle w:val="9"/>
        <w:spacing w:after="0" w:line="249" w:lineRule="auto"/>
        <w:rPr>
          <w:rFonts w:hint="eastAsia"/>
          <w:color w:val="231F20"/>
        </w:rPr>
      </w:pPr>
      <w:r>
        <w:rPr>
          <w:rFonts w:hint="eastAsia"/>
          <w:color w:val="231F20"/>
        </w:rPr>
        <w:t>By way of brief review, in those days the Messiah will be born in Bethlehem, gain a following, restore the throne of David, and secure his people and his land against all enemies.</w:t>
      </w:r>
    </w:p>
    <w:p w14:paraId="0B44C4D2">
      <w:pPr>
        <w:pStyle w:val="9"/>
        <w:spacing w:after="0" w:line="249" w:lineRule="auto"/>
        <w:rPr>
          <w:rFonts w:hint="eastAsia"/>
          <w:color w:val="231F20"/>
        </w:rPr>
      </w:pPr>
      <w:r>
        <w:rPr>
          <w:rFonts w:hint="eastAsia"/>
          <w:color w:val="231F20"/>
        </w:rPr>
        <w:t>简要回顾一下，在那些日子里，弥赛亚将生于伯利恒，获得追随者，恢复大卫的宝座，并保卫祂的子民和祂的土地，抵御所有仇敌。</w:t>
      </w:r>
    </w:p>
    <w:p w14:paraId="7B2B0DC7">
      <w:pPr>
        <w:pStyle w:val="9"/>
        <w:spacing w:after="0" w:line="249" w:lineRule="auto"/>
        <w:rPr>
          <w:rFonts w:hint="eastAsia"/>
          <w:color w:val="231F20"/>
        </w:rPr>
      </w:pPr>
    </w:p>
    <w:p w14:paraId="359B7688">
      <w:pPr>
        <w:pStyle w:val="9"/>
        <w:spacing w:after="0" w:line="249" w:lineRule="auto"/>
        <w:rPr>
          <w:rFonts w:hint="eastAsia"/>
          <w:color w:val="231F20"/>
        </w:rPr>
      </w:pPr>
      <w:r>
        <w:rPr>
          <w:rFonts w:hint="eastAsia"/>
          <w:color w:val="231F20"/>
        </w:rPr>
        <w:t>At that time, God will make atonement for his people’s sins, grant forgiveness, pour out the Holy Spirit, and transform stony hearts.</w:t>
      </w:r>
    </w:p>
    <w:p w14:paraId="164374BC">
      <w:pPr>
        <w:pStyle w:val="9"/>
        <w:spacing w:after="0" w:line="249" w:lineRule="auto"/>
        <w:rPr>
          <w:rFonts w:hint="eastAsia"/>
          <w:color w:val="231F20"/>
        </w:rPr>
      </w:pPr>
      <w:r>
        <w:rPr>
          <w:rFonts w:hint="eastAsia"/>
          <w:color w:val="231F20"/>
        </w:rPr>
        <w:t>那时，上帝将为祂子民的罪行赎罪，赐予赦免，浇灌圣灵，并转化石心。</w:t>
      </w:r>
    </w:p>
    <w:p w14:paraId="1A392ECD">
      <w:pPr>
        <w:pStyle w:val="9"/>
        <w:spacing w:after="0" w:line="249" w:lineRule="auto"/>
        <w:rPr>
          <w:rFonts w:hint="eastAsia"/>
          <w:color w:val="231F20"/>
        </w:rPr>
      </w:pPr>
    </w:p>
    <w:p w14:paraId="49779C7E">
      <w:pPr>
        <w:pStyle w:val="9"/>
        <w:spacing w:after="0" w:line="249" w:lineRule="auto"/>
        <w:rPr>
          <w:rFonts w:hint="eastAsia"/>
          <w:color w:val="231F20"/>
        </w:rPr>
      </w:pPr>
      <w:r>
        <w:rPr>
          <w:rFonts w:hint="eastAsia"/>
          <w:color w:val="231F20"/>
        </w:rPr>
        <w:t>Seeing all this, many Gentile nations will be provoked to jealousy, foreswear their idolatrous religions, and turn to the one true and living God.</w:t>
      </w:r>
    </w:p>
    <w:p w14:paraId="0AEEB744">
      <w:pPr>
        <w:pStyle w:val="9"/>
        <w:spacing w:after="0" w:line="249" w:lineRule="auto"/>
        <w:rPr>
          <w:rFonts w:hint="eastAsia"/>
          <w:color w:val="231F20"/>
        </w:rPr>
      </w:pPr>
      <w:r>
        <w:rPr>
          <w:rFonts w:hint="eastAsia"/>
          <w:color w:val="231F20"/>
        </w:rPr>
        <w:t>看到这一切，许多外邦国家将被激动嫉妒，放弃他们的偶像崇拜宗教，并转向独一又真又活的上帝。</w:t>
      </w:r>
    </w:p>
    <w:p w14:paraId="58CB5E10">
      <w:pPr>
        <w:pStyle w:val="9"/>
        <w:spacing w:after="0" w:line="249" w:lineRule="auto"/>
        <w:rPr>
          <w:rFonts w:hint="eastAsia"/>
          <w:color w:val="231F20"/>
        </w:rPr>
      </w:pPr>
    </w:p>
    <w:p w14:paraId="6CBC3591">
      <w:pPr>
        <w:pStyle w:val="9"/>
        <w:spacing w:after="0" w:line="249" w:lineRule="auto"/>
        <w:rPr>
          <w:rFonts w:hint="eastAsia"/>
          <w:color w:val="231F20"/>
        </w:rPr>
      </w:pPr>
      <w:r>
        <w:rPr>
          <w:rFonts w:hint="eastAsia"/>
          <w:color w:val="231F20"/>
        </w:rPr>
        <w:t>As a result, the Messiah’s dominion —and his vital faith in the LORD—will spread from sea to sea.</w:t>
      </w:r>
    </w:p>
    <w:p w14:paraId="321520B3">
      <w:pPr>
        <w:pStyle w:val="9"/>
        <w:spacing w:after="0" w:line="249" w:lineRule="auto"/>
        <w:rPr>
          <w:rFonts w:hint="eastAsia"/>
          <w:color w:val="231F20"/>
        </w:rPr>
      </w:pPr>
      <w:r>
        <w:rPr>
          <w:rFonts w:hint="eastAsia"/>
          <w:color w:val="231F20"/>
        </w:rPr>
        <w:t>结果，弥赛亚的统治权——以及祂对耶和华活泼的信心——将从这海传到那海。</w:t>
      </w:r>
    </w:p>
    <w:p w14:paraId="0F2A7923">
      <w:pPr>
        <w:pStyle w:val="9"/>
        <w:spacing w:after="0" w:line="249" w:lineRule="auto"/>
        <w:rPr>
          <w:rFonts w:hint="eastAsia"/>
          <w:color w:val="231F20"/>
        </w:rPr>
      </w:pPr>
    </w:p>
    <w:p w14:paraId="62D9F8C5">
      <w:pPr>
        <w:pStyle w:val="9"/>
        <w:spacing w:after="0" w:line="249" w:lineRule="auto"/>
        <w:rPr>
          <w:rFonts w:hint="eastAsia"/>
          <w:color w:val="231F20"/>
        </w:rPr>
      </w:pPr>
      <w:r>
        <w:rPr>
          <w:rFonts w:hint="eastAsia"/>
          <w:color w:val="231F20"/>
        </w:rPr>
        <w:t>His blessed reign will be marked by universal peace, justice, prosperity, and the presence and glory of God.</w:t>
      </w:r>
    </w:p>
    <w:p w14:paraId="1FF6E141">
      <w:pPr>
        <w:pStyle w:val="9"/>
        <w:spacing w:after="0" w:line="249" w:lineRule="auto"/>
        <w:rPr>
          <w:rFonts w:hint="eastAsia"/>
          <w:color w:val="231F20"/>
        </w:rPr>
      </w:pPr>
      <w:r>
        <w:rPr>
          <w:rFonts w:hint="eastAsia"/>
          <w:color w:val="231F20"/>
        </w:rPr>
        <w:t>祂蒙福的统治将以普世的和平、公义、繁荣以及上帝的同在和荣耀为标志。</w:t>
      </w:r>
    </w:p>
    <w:p w14:paraId="5ED0B78D">
      <w:pPr>
        <w:pStyle w:val="9"/>
        <w:spacing w:after="0" w:line="249" w:lineRule="auto"/>
        <w:rPr>
          <w:rFonts w:hint="eastAsia"/>
          <w:color w:val="231F20"/>
        </w:rPr>
      </w:pPr>
    </w:p>
    <w:p w14:paraId="29F92A16">
      <w:pPr>
        <w:pStyle w:val="9"/>
        <w:spacing w:after="0" w:line="249" w:lineRule="auto"/>
        <w:rPr>
          <w:rFonts w:hint="eastAsia"/>
          <w:color w:val="231F20"/>
        </w:rPr>
      </w:pPr>
      <w:r>
        <w:rPr>
          <w:rFonts w:hint="eastAsia"/>
          <w:color w:val="231F20"/>
        </w:rPr>
        <w:t>Again, this is the representative, or customary, idea of the Days of the Messiah.</w:t>
      </w:r>
    </w:p>
    <w:p w14:paraId="4927053D">
      <w:pPr>
        <w:pStyle w:val="9"/>
        <w:spacing w:after="0" w:line="249" w:lineRule="auto"/>
        <w:rPr>
          <w:rFonts w:hint="eastAsia"/>
          <w:color w:val="231F20"/>
        </w:rPr>
      </w:pPr>
      <w:r>
        <w:rPr>
          <w:rFonts w:hint="eastAsia"/>
          <w:color w:val="231F20"/>
        </w:rPr>
        <w:t>再次强调，这是关于“弥赛亚的日子”的代表性或惯常的观念。</w:t>
      </w:r>
    </w:p>
    <w:p w14:paraId="4A9F939F">
      <w:pPr>
        <w:pStyle w:val="9"/>
        <w:spacing w:after="0" w:line="249" w:lineRule="auto"/>
        <w:rPr>
          <w:rFonts w:hint="eastAsia"/>
          <w:color w:val="231F20"/>
        </w:rPr>
      </w:pPr>
    </w:p>
    <w:p w14:paraId="5A6E4411">
      <w:pPr>
        <w:pStyle w:val="9"/>
        <w:spacing w:after="0" w:line="249" w:lineRule="auto"/>
        <w:rPr>
          <w:rFonts w:hint="eastAsia"/>
          <w:color w:val="231F20"/>
        </w:rPr>
      </w:pPr>
      <w:r>
        <w:rPr>
          <w:rFonts w:hint="eastAsia"/>
          <w:color w:val="231F20"/>
        </w:rPr>
        <w:t>We have seen, however, that a considerable number of OTKP’s raise questions about—and even cast shadows over—this happy picture.</w:t>
      </w:r>
    </w:p>
    <w:p w14:paraId="06D8E048">
      <w:pPr>
        <w:pStyle w:val="9"/>
        <w:spacing w:after="0" w:line="249" w:lineRule="auto"/>
        <w:rPr>
          <w:rFonts w:hint="eastAsia"/>
          <w:color w:val="231F20"/>
        </w:rPr>
      </w:pPr>
      <w:r>
        <w:rPr>
          <w:rFonts w:hint="eastAsia"/>
          <w:color w:val="231F20"/>
        </w:rPr>
        <w:t>然而，我们已经看到，相当数量的旧约国度预言（OTKP）对这幅快乐的图景提出了疑问——甚至投下了阴影。</w:t>
      </w:r>
    </w:p>
    <w:p w14:paraId="04F12CD4">
      <w:pPr>
        <w:pStyle w:val="9"/>
        <w:spacing w:after="0" w:line="249" w:lineRule="auto"/>
        <w:rPr>
          <w:rFonts w:hint="eastAsia"/>
          <w:color w:val="231F20"/>
        </w:rPr>
      </w:pPr>
    </w:p>
    <w:p w14:paraId="7739317C">
      <w:pPr>
        <w:pStyle w:val="9"/>
        <w:spacing w:after="0" w:line="249" w:lineRule="auto"/>
        <w:rPr>
          <w:rFonts w:hint="eastAsia"/>
          <w:color w:val="231F20"/>
        </w:rPr>
      </w:pPr>
      <w:r>
        <w:rPr>
          <w:rFonts w:hint="eastAsia"/>
          <w:color w:val="231F20"/>
        </w:rPr>
        <w:t>They seem, for example, to affirm that God alone will bring in the Kingdom, or that Israel alone will enjoy it, or that Israel will reject her Messiah, or that an everlasting Davidic dynasty will rule over the nation (rather than the greater David himself).</w:t>
      </w:r>
    </w:p>
    <w:p w14:paraId="1972FC0B">
      <w:pPr>
        <w:pStyle w:val="9"/>
        <w:spacing w:after="0" w:line="249" w:lineRule="auto"/>
        <w:rPr>
          <w:rFonts w:hint="eastAsia"/>
          <w:color w:val="231F20"/>
        </w:rPr>
      </w:pPr>
      <w:r>
        <w:rPr>
          <w:rFonts w:hint="eastAsia"/>
          <w:color w:val="231F20"/>
        </w:rPr>
        <w:t>例如，它们似乎断言，唯有上帝能带来国度，或者唯有以色列能享受它，或者以色列将拒绝她的弥赛亚，或者一个永恒的大卫王朝将统治这个国家（而不是更伟大的大卫自己）。</w:t>
      </w:r>
    </w:p>
    <w:p w14:paraId="0EFDEE49">
      <w:pPr>
        <w:pStyle w:val="9"/>
        <w:spacing w:after="0" w:line="249" w:lineRule="auto"/>
        <w:rPr>
          <w:rFonts w:hint="eastAsia"/>
          <w:color w:val="231F20"/>
        </w:rPr>
      </w:pPr>
    </w:p>
    <w:p w14:paraId="0655D2CE">
      <w:pPr>
        <w:pStyle w:val="9"/>
        <w:spacing w:after="0" w:line="249" w:lineRule="auto"/>
        <w:rPr>
          <w:rFonts w:hint="eastAsia"/>
          <w:color w:val="231F20"/>
        </w:rPr>
      </w:pPr>
      <w:r>
        <w:rPr>
          <w:rFonts w:hint="eastAsia"/>
          <w:color w:val="231F20"/>
        </w:rPr>
        <w:t>Anomalies like these warn us that OTKP is a minefield through which the biblical interpreter must walk with extreme care; that the Days of the Messiah may in fact be far different from the representative (and Orthodox Jewish and premillennial) ideas; and that to receive the true picture, we need to sit down at the feet of the Messiah himself, just as we did in chapter 9!</w:t>
      </w:r>
    </w:p>
    <w:p w14:paraId="2D6ADE5E">
      <w:pPr>
        <w:pStyle w:val="9"/>
        <w:spacing w:after="0" w:line="249" w:lineRule="auto"/>
        <w:rPr>
          <w:rFonts w:hint="eastAsia"/>
          <w:color w:val="231F20"/>
        </w:rPr>
      </w:pPr>
      <w:r>
        <w:rPr>
          <w:rFonts w:hint="eastAsia"/>
          <w:color w:val="231F20"/>
        </w:rPr>
        <w:t>像这样的反常之处警告我们，旧约国度预言（OTKP）是一个雷区，圣经解释者必须极其小心地行走其间；“弥赛亚的日子”实际上可能与代表性的（以及正统犹太教和前千禧年派的）观念大相径庭；为了获得真实的图景，我们需要坐在弥赛亚自己的脚前，就像我们在第9章所做的那样！</w:t>
      </w:r>
    </w:p>
    <w:p w14:paraId="33A90337">
      <w:pPr>
        <w:pStyle w:val="9"/>
        <w:spacing w:after="0" w:line="249" w:lineRule="auto"/>
        <w:rPr>
          <w:rFonts w:hint="eastAsia"/>
          <w:color w:val="231F20"/>
        </w:rPr>
      </w:pPr>
    </w:p>
    <w:p w14:paraId="6B2A6F5B">
      <w:pPr>
        <w:pStyle w:val="9"/>
        <w:spacing w:after="0" w:line="249" w:lineRule="auto"/>
        <w:rPr>
          <w:rFonts w:hint="eastAsia"/>
          <w:color w:val="231F20"/>
        </w:rPr>
      </w:pPr>
      <w:r>
        <w:rPr>
          <w:rFonts w:hint="eastAsia"/>
          <w:color w:val="231F20"/>
        </w:rPr>
        <w:t>The Last Battle</w:t>
      </w:r>
    </w:p>
    <w:p w14:paraId="66B08A35">
      <w:pPr>
        <w:pStyle w:val="9"/>
        <w:spacing w:after="0" w:line="249" w:lineRule="auto"/>
        <w:rPr>
          <w:rFonts w:hint="eastAsia"/>
          <w:color w:val="231F20"/>
        </w:rPr>
      </w:pPr>
      <w:r>
        <w:rPr>
          <w:rFonts w:hint="eastAsia"/>
          <w:color w:val="231F20"/>
        </w:rPr>
        <w:t>最后的战役</w:t>
      </w:r>
    </w:p>
    <w:p w14:paraId="75D3546E">
      <w:pPr>
        <w:pStyle w:val="9"/>
        <w:spacing w:after="0" w:line="249" w:lineRule="auto"/>
        <w:rPr>
          <w:rFonts w:hint="eastAsia"/>
          <w:color w:val="231F20"/>
        </w:rPr>
      </w:pPr>
    </w:p>
    <w:p w14:paraId="765EA476">
      <w:pPr>
        <w:pStyle w:val="9"/>
        <w:spacing w:after="0" w:line="249" w:lineRule="auto"/>
        <w:rPr>
          <w:rFonts w:hint="eastAsia"/>
          <w:color w:val="231F20"/>
        </w:rPr>
      </w:pPr>
      <w:r>
        <w:rPr>
          <w:rFonts w:hint="eastAsia"/>
          <w:color w:val="231F20"/>
        </w:rPr>
        <w:t>The third stage in the coming of the Kingdom is The Last Battle.</w:t>
      </w:r>
    </w:p>
    <w:p w14:paraId="17F181E4">
      <w:pPr>
        <w:pStyle w:val="9"/>
        <w:spacing w:after="0" w:line="249" w:lineRule="auto"/>
        <w:rPr>
          <w:rFonts w:hint="eastAsia"/>
          <w:color w:val="231F20"/>
        </w:rPr>
      </w:pPr>
      <w:r>
        <w:rPr>
          <w:rFonts w:hint="eastAsia"/>
          <w:color w:val="231F20"/>
        </w:rPr>
        <w:t>国度来临的第三个阶段是“最后的战役”。</w:t>
      </w:r>
    </w:p>
    <w:p w14:paraId="36864D75">
      <w:pPr>
        <w:pStyle w:val="9"/>
        <w:spacing w:after="0" w:line="249" w:lineRule="auto"/>
        <w:rPr>
          <w:rFonts w:hint="eastAsia"/>
          <w:color w:val="231F20"/>
        </w:rPr>
      </w:pPr>
    </w:p>
    <w:p w14:paraId="3ED00CE7">
      <w:pPr>
        <w:pStyle w:val="9"/>
        <w:spacing w:after="0" w:line="249" w:lineRule="auto"/>
        <w:rPr>
          <w:rFonts w:hint="eastAsia"/>
          <w:color w:val="231F20"/>
        </w:rPr>
      </w:pPr>
      <w:r>
        <w:rPr>
          <w:rFonts w:hint="eastAsia"/>
          <w:color w:val="231F20"/>
        </w:rPr>
        <w:t>I refer to it as a “stage,” not because this solemn historical event will be of any appreciable duration, but because it looms so large, both in OT and NT prophecy; because, in the unfolding of God’s redemptive plan, it is a discrete, dramatic, challenging, and very nearly climactic event for which God’s people must be fully prepared.</w:t>
      </w:r>
    </w:p>
    <w:p w14:paraId="24E847E6">
      <w:pPr>
        <w:pStyle w:val="9"/>
        <w:spacing w:after="0" w:line="249" w:lineRule="auto"/>
        <w:rPr>
          <w:rFonts w:hint="eastAsia"/>
          <w:color w:val="231F20"/>
        </w:rPr>
      </w:pPr>
      <w:r>
        <w:rPr>
          <w:rFonts w:hint="eastAsia"/>
          <w:color w:val="231F20"/>
        </w:rPr>
        <w:t>我称之为一个“阶段”，不是因为这个庄严的历史事件会有任何可观的持续时间，而是因为它在旧约和新约的预言中都显得如此重要；因为在上帝救赎计划的展开中，它是一个独立的、戏剧性的、具有挑战性的，并且几乎是高潮的事件，上帝的子民必须为此做好充分的准备。</w:t>
      </w:r>
    </w:p>
    <w:p w14:paraId="3827232E">
      <w:pPr>
        <w:pStyle w:val="9"/>
        <w:spacing w:after="0" w:line="249" w:lineRule="auto"/>
        <w:rPr>
          <w:rFonts w:hint="eastAsia"/>
          <w:color w:val="231F20"/>
        </w:rPr>
      </w:pPr>
    </w:p>
    <w:p w14:paraId="7EE40B03">
      <w:pPr>
        <w:pStyle w:val="9"/>
        <w:spacing w:after="0" w:line="249" w:lineRule="auto"/>
        <w:rPr>
          <w:rFonts w:hint="eastAsia"/>
          <w:color w:val="231F20"/>
        </w:rPr>
      </w:pPr>
      <w:r>
        <w:rPr>
          <w:rFonts w:hint="eastAsia"/>
          <w:color w:val="231F20"/>
        </w:rPr>
        <w:t>At least five OT prophets speak of the Last Battle, some more than once: Ezekiel (38-39), Daniel (7:1-28, 9:26-27, 11:36-12:17), Joel (3:1-17), Micah (4:11-5:1), and Zechariah (12:9, 14:1-3).</w:t>
      </w:r>
    </w:p>
    <w:p w14:paraId="4F6D2D57">
      <w:pPr>
        <w:pStyle w:val="9"/>
        <w:spacing w:after="0" w:line="249" w:lineRule="auto"/>
        <w:rPr>
          <w:rFonts w:hint="eastAsia"/>
          <w:color w:val="231F20"/>
        </w:rPr>
      </w:pPr>
      <w:r>
        <w:rPr>
          <w:rFonts w:hint="eastAsia"/>
          <w:color w:val="231F20"/>
        </w:rPr>
        <w:t>至少有五位旧约先知谈到最后的战役，有些不止一次：以西结（38-39章）、但以理（7:1-28, 9:26-27, 11:36-12:17）、约珥（3:1-17）、弥迦（4:11-5:1）和撒迦利亚（12:9, 14:1-3）。</w:t>
      </w:r>
    </w:p>
    <w:p w14:paraId="4A48CBFB">
      <w:pPr>
        <w:pStyle w:val="9"/>
        <w:spacing w:after="0" w:line="249" w:lineRule="auto"/>
        <w:rPr>
          <w:rFonts w:hint="eastAsia"/>
          <w:color w:val="231F20"/>
        </w:rPr>
      </w:pPr>
    </w:p>
    <w:p w14:paraId="6929E83C">
      <w:pPr>
        <w:pStyle w:val="9"/>
        <w:spacing w:after="0" w:line="249" w:lineRule="auto"/>
        <w:rPr>
          <w:rFonts w:hint="eastAsia"/>
          <w:color w:val="231F20"/>
        </w:rPr>
      </w:pPr>
      <w:r>
        <w:rPr>
          <w:rFonts w:hint="eastAsia"/>
          <w:color w:val="231F20"/>
        </w:rPr>
        <w:t>A careful reading of these passages creates a strong impression that the prophets are indeed speaking of the same eschatological event: a final, decisive clash between Israel and the hostile nations that surround her.</w:t>
      </w:r>
    </w:p>
    <w:p w14:paraId="70FB29F8">
      <w:pPr>
        <w:pStyle w:val="9"/>
        <w:spacing w:after="0" w:line="249" w:lineRule="auto"/>
        <w:rPr>
          <w:rFonts w:hint="eastAsia"/>
          <w:color w:val="231F20"/>
        </w:rPr>
      </w:pPr>
      <w:r>
        <w:rPr>
          <w:rFonts w:hint="eastAsia"/>
          <w:color w:val="231F20"/>
        </w:rPr>
        <w:t>仔细阅读这些经文会给人留下一个强烈的印象，即先知们确实在谈论同一个末世事件：以色列与她周围的敌对国家之间的一场最终的、决定性的冲突。</w:t>
      </w:r>
    </w:p>
    <w:p w14:paraId="67F51AEC">
      <w:pPr>
        <w:pStyle w:val="9"/>
        <w:spacing w:after="0" w:line="249" w:lineRule="auto"/>
        <w:rPr>
          <w:rFonts w:hint="eastAsia"/>
          <w:color w:val="231F20"/>
        </w:rPr>
      </w:pPr>
    </w:p>
    <w:p w14:paraId="25E21DD0">
      <w:pPr>
        <w:pStyle w:val="9"/>
        <w:spacing w:after="0" w:line="249" w:lineRule="auto"/>
        <w:rPr>
          <w:rFonts w:hint="eastAsia"/>
          <w:color w:val="231F20"/>
        </w:rPr>
      </w:pPr>
      <w:r>
        <w:rPr>
          <w:rFonts w:hint="eastAsia"/>
          <w:color w:val="231F20"/>
        </w:rPr>
        <w:t>Notably, the points of agreement in these texts are both numerous and concrete: Israel, rescued from captivity, is now restored to her homeland, dwelling in peace.</w:t>
      </w:r>
    </w:p>
    <w:p w14:paraId="33B65152">
      <w:pPr>
        <w:pStyle w:val="9"/>
        <w:spacing w:after="0" w:line="249" w:lineRule="auto"/>
        <w:rPr>
          <w:rFonts w:hint="eastAsia"/>
          <w:color w:val="231F20"/>
        </w:rPr>
      </w:pPr>
      <w:r>
        <w:rPr>
          <w:rFonts w:hint="eastAsia"/>
          <w:color w:val="231F20"/>
        </w:rPr>
        <w:t>值得注意的是，这些经文中的共同点既多又具体：以色列从被掳中得拯救，现已复兴归回故土，安然居住。</w:t>
      </w:r>
    </w:p>
    <w:p w14:paraId="27EC2025">
      <w:pPr>
        <w:pStyle w:val="9"/>
        <w:spacing w:after="0" w:line="249" w:lineRule="auto"/>
        <w:rPr>
          <w:rFonts w:hint="eastAsia"/>
          <w:color w:val="231F20"/>
        </w:rPr>
      </w:pPr>
    </w:p>
    <w:p w14:paraId="432BBBCF">
      <w:pPr>
        <w:pStyle w:val="9"/>
        <w:spacing w:after="0" w:line="249" w:lineRule="auto"/>
        <w:rPr>
          <w:rFonts w:hint="eastAsia"/>
          <w:color w:val="231F20"/>
        </w:rPr>
      </w:pPr>
      <w:r>
        <w:rPr>
          <w:rFonts w:hint="eastAsia"/>
          <w:color w:val="231F20"/>
        </w:rPr>
        <w:t>But God— eager to display his truth, power, and glory to the whole earth—has something further in store: By the secret workings of his providence, he will sovereignly bring down from the north a great confederacy of hostile nations against his people.</w:t>
      </w:r>
    </w:p>
    <w:p w14:paraId="0D7AF34C">
      <w:pPr>
        <w:pStyle w:val="9"/>
        <w:spacing w:after="0" w:line="249" w:lineRule="auto"/>
        <w:rPr>
          <w:rFonts w:hint="eastAsia"/>
          <w:color w:val="231F20"/>
        </w:rPr>
      </w:pPr>
      <w:r>
        <w:rPr>
          <w:rFonts w:hint="eastAsia"/>
          <w:color w:val="231F20"/>
        </w:rPr>
        <w:t>但上帝——渴望向全地彰显祂的真理、能力和荣耀——还有进一步的计划：通过祂护理的奥秘运作，祂将主权性地从北方带来一个由敌对国家组成的巨大联盟来攻击祂的子民。</w:t>
      </w:r>
    </w:p>
    <w:p w14:paraId="04930F95">
      <w:pPr>
        <w:pStyle w:val="9"/>
        <w:spacing w:after="0" w:line="249" w:lineRule="auto"/>
        <w:rPr>
          <w:rFonts w:hint="eastAsia"/>
          <w:color w:val="231F20"/>
        </w:rPr>
      </w:pPr>
    </w:p>
    <w:p w14:paraId="0D2AA0AB">
      <w:pPr>
        <w:pStyle w:val="9"/>
        <w:spacing w:after="0" w:line="249" w:lineRule="auto"/>
        <w:rPr>
          <w:rFonts w:hint="eastAsia"/>
          <w:color w:val="231F20"/>
        </w:rPr>
      </w:pPr>
      <w:r>
        <w:rPr>
          <w:rFonts w:hint="eastAsia"/>
          <w:color w:val="231F20"/>
        </w:rPr>
        <w:t>When they attack, Israel will fight and suffer intensely, yet only for a little while.</w:t>
      </w:r>
    </w:p>
    <w:p w14:paraId="625090D1">
      <w:pPr>
        <w:pStyle w:val="9"/>
        <w:spacing w:after="0" w:line="249" w:lineRule="auto"/>
        <w:rPr>
          <w:rFonts w:hint="eastAsia"/>
          <w:color w:val="231F20"/>
        </w:rPr>
      </w:pPr>
      <w:r>
        <w:rPr>
          <w:rFonts w:hint="eastAsia"/>
          <w:color w:val="231F20"/>
        </w:rPr>
        <w:t>当他们攻击时，以色列将战斗并遭受剧烈的痛苦，但只是短暂的一段时间。</w:t>
      </w:r>
    </w:p>
    <w:p w14:paraId="1F7C873E">
      <w:pPr>
        <w:pStyle w:val="9"/>
        <w:spacing w:after="0" w:line="249" w:lineRule="auto"/>
        <w:rPr>
          <w:rFonts w:hint="eastAsia"/>
          <w:color w:val="231F20"/>
        </w:rPr>
      </w:pPr>
    </w:p>
    <w:p w14:paraId="76AAB532">
      <w:pPr>
        <w:pStyle w:val="9"/>
        <w:spacing w:after="0" w:line="249" w:lineRule="auto"/>
        <w:rPr>
          <w:rFonts w:hint="eastAsia"/>
          <w:color w:val="231F20"/>
        </w:rPr>
      </w:pPr>
      <w:r>
        <w:rPr>
          <w:rFonts w:hint="eastAsia"/>
          <w:color w:val="231F20"/>
        </w:rPr>
        <w:t>For God, again according to plan, will rise quickly to their defense, intervene supernaturally, destroy their enemies, and rescue his beloved people once and for all.</w:t>
      </w:r>
    </w:p>
    <w:p w14:paraId="48273B6B">
      <w:pPr>
        <w:pStyle w:val="9"/>
        <w:spacing w:after="0" w:line="249" w:lineRule="auto"/>
        <w:rPr>
          <w:rFonts w:hint="eastAsia"/>
          <w:color w:val="231F20"/>
        </w:rPr>
      </w:pPr>
      <w:r>
        <w:rPr>
          <w:rFonts w:hint="eastAsia"/>
          <w:color w:val="231F20"/>
        </w:rPr>
        <w:t>因为上帝，再次按计划，将迅速起来保卫他们，超自然地介入，摧毁他们的敌人，并一劳永逸地拯救祂所爱的子民。</w:t>
      </w:r>
    </w:p>
    <w:p w14:paraId="4EE65DDA">
      <w:pPr>
        <w:pStyle w:val="9"/>
        <w:spacing w:after="0" w:line="249" w:lineRule="auto"/>
        <w:rPr>
          <w:rFonts w:hint="eastAsia"/>
          <w:color w:val="231F20"/>
        </w:rPr>
      </w:pPr>
    </w:p>
    <w:p w14:paraId="14966A9E">
      <w:pPr>
        <w:pStyle w:val="9"/>
        <w:spacing w:after="0" w:line="249" w:lineRule="auto"/>
        <w:rPr>
          <w:rFonts w:hint="eastAsia"/>
          <w:color w:val="231F20"/>
        </w:rPr>
      </w:pPr>
      <w:r>
        <w:rPr>
          <w:rFonts w:hint="eastAsia"/>
          <w:color w:val="231F20"/>
        </w:rPr>
        <w:t>In short, in the Last Battle and the Day of the LORD, God will bring to pass the final scenes of Salvation History, after which he will usher in his completed Kingdom and the glories of the World to Come.</w:t>
      </w:r>
    </w:p>
    <w:p w14:paraId="0019AA26">
      <w:pPr>
        <w:pStyle w:val="9"/>
        <w:spacing w:after="0" w:line="249" w:lineRule="auto"/>
        <w:rPr>
          <w:rFonts w:hint="eastAsia"/>
          <w:color w:val="231F20"/>
        </w:rPr>
      </w:pPr>
      <w:r>
        <w:rPr>
          <w:rFonts w:hint="eastAsia"/>
          <w:color w:val="231F20"/>
        </w:rPr>
        <w:t>简而言之，在最后的战役和耶和华的日子里，上帝将使救赎历史的最后场景得以实现，之后祂将引入祂完全的国度和未来世界的荣耀。</w:t>
      </w:r>
    </w:p>
    <w:p w14:paraId="0510065A">
      <w:pPr>
        <w:pStyle w:val="9"/>
        <w:spacing w:after="0" w:line="249" w:lineRule="auto"/>
        <w:rPr>
          <w:rFonts w:hint="eastAsia"/>
          <w:color w:val="231F20"/>
        </w:rPr>
      </w:pPr>
    </w:p>
    <w:p w14:paraId="7FBFB067">
      <w:pPr>
        <w:pStyle w:val="9"/>
        <w:spacing w:after="0" w:line="249" w:lineRule="auto"/>
        <w:rPr>
          <w:rFonts w:hint="eastAsia"/>
          <w:color w:val="231F20"/>
        </w:rPr>
      </w:pPr>
      <w:r>
        <w:rPr>
          <w:rFonts w:hint="eastAsia"/>
          <w:color w:val="231F20"/>
        </w:rPr>
        <w:t>And yet, upon closer inspection of these prophecies, we discover something both interesting and significant: Though they clearly speak of the same event, they differ in a number of important details.</w:t>
      </w:r>
    </w:p>
    <w:p w14:paraId="6652791A">
      <w:pPr>
        <w:pStyle w:val="9"/>
        <w:spacing w:after="0" w:line="249" w:lineRule="auto"/>
        <w:rPr>
          <w:rFonts w:hint="eastAsia"/>
          <w:color w:val="231F20"/>
        </w:rPr>
      </w:pPr>
      <w:r>
        <w:rPr>
          <w:rFonts w:hint="eastAsia"/>
          <w:color w:val="231F20"/>
        </w:rPr>
        <w:t>然而，在更仔细地审视这些预言时，我们发现了一些既有趣又重要的事情：虽然它们显然在谈论同一事件，但在许多重要细节上却有所不同。</w:t>
      </w:r>
    </w:p>
    <w:p w14:paraId="29AAA2F6">
      <w:pPr>
        <w:pStyle w:val="9"/>
        <w:spacing w:after="0" w:line="249" w:lineRule="auto"/>
        <w:rPr>
          <w:rFonts w:hint="eastAsia"/>
          <w:color w:val="231F20"/>
        </w:rPr>
      </w:pPr>
    </w:p>
    <w:p w14:paraId="77DA21E9">
      <w:pPr>
        <w:pStyle w:val="9"/>
        <w:spacing w:after="0" w:line="249" w:lineRule="auto"/>
        <w:rPr>
          <w:rFonts w:hint="eastAsia"/>
          <w:color w:val="231F20"/>
        </w:rPr>
      </w:pPr>
      <w:r>
        <w:rPr>
          <w:rFonts w:hint="eastAsia"/>
          <w:color w:val="231F20"/>
        </w:rPr>
        <w:t>Indeed, at certain points they seem actually to contradict one another.</w:t>
      </w:r>
    </w:p>
    <w:p w14:paraId="09095692">
      <w:pPr>
        <w:pStyle w:val="9"/>
        <w:spacing w:after="0" w:line="249" w:lineRule="auto"/>
        <w:rPr>
          <w:rFonts w:hint="eastAsia"/>
          <w:color w:val="231F20"/>
        </w:rPr>
      </w:pPr>
      <w:r>
        <w:rPr>
          <w:rFonts w:hint="eastAsia"/>
          <w:color w:val="231F20"/>
        </w:rPr>
        <w:t>实际上，在某些地方它们似乎真的相互矛盾。</w:t>
      </w:r>
    </w:p>
    <w:p w14:paraId="7C42107A">
      <w:pPr>
        <w:pStyle w:val="9"/>
        <w:spacing w:after="0" w:line="249" w:lineRule="auto"/>
        <w:rPr>
          <w:rFonts w:hint="eastAsia"/>
          <w:color w:val="231F20"/>
        </w:rPr>
      </w:pPr>
    </w:p>
    <w:p w14:paraId="58B86556">
      <w:pPr>
        <w:pStyle w:val="9"/>
        <w:spacing w:after="0" w:line="249" w:lineRule="auto"/>
        <w:rPr>
          <w:rFonts w:hint="eastAsia"/>
          <w:color w:val="231F20"/>
        </w:rPr>
      </w:pPr>
      <w:r>
        <w:rPr>
          <w:rFonts w:hint="eastAsia"/>
          <w:color w:val="231F20"/>
        </w:rPr>
        <w:t>Let us look briefly at some of the difficulties, and then pause to consider their meaning.</w:t>
      </w:r>
    </w:p>
    <w:p w14:paraId="7E34B86F">
      <w:pPr>
        <w:pStyle w:val="9"/>
        <w:spacing w:after="0" w:line="249" w:lineRule="auto"/>
        <w:rPr>
          <w:rFonts w:hint="eastAsia"/>
          <w:color w:val="231F20"/>
        </w:rPr>
      </w:pPr>
      <w:r>
        <w:rPr>
          <w:rFonts w:hint="eastAsia"/>
          <w:color w:val="231F20"/>
        </w:rPr>
        <w:t>让我们简要地看一下一些困难之处，然后暂停思考它们的意义。</w:t>
      </w:r>
    </w:p>
    <w:p w14:paraId="32E89C16">
      <w:pPr>
        <w:pStyle w:val="9"/>
        <w:spacing w:after="0" w:line="249" w:lineRule="auto"/>
        <w:rPr>
          <w:rFonts w:hint="eastAsia"/>
          <w:color w:val="231F20"/>
        </w:rPr>
      </w:pPr>
    </w:p>
    <w:p w14:paraId="2B3F44EC">
      <w:pPr>
        <w:pStyle w:val="9"/>
        <w:spacing w:after="0" w:line="249" w:lineRule="auto"/>
        <w:rPr>
          <w:rFonts w:hint="eastAsia"/>
          <w:color w:val="231F20"/>
        </w:rPr>
      </w:pPr>
      <w:r>
        <w:rPr>
          <w:rFonts w:hint="eastAsia"/>
          <w:color w:val="231F20"/>
        </w:rPr>
        <w:t>In Daniel’s prophecy, the invading and occupying power is Rome (Daniel 7).</w:t>
      </w:r>
    </w:p>
    <w:p w14:paraId="776A1F3F">
      <w:pPr>
        <w:pStyle w:val="9"/>
        <w:spacing w:after="0" w:line="249" w:lineRule="auto"/>
        <w:rPr>
          <w:rFonts w:hint="eastAsia"/>
          <w:color w:val="231F20"/>
        </w:rPr>
      </w:pPr>
      <w:r>
        <w:rPr>
          <w:rFonts w:hint="eastAsia"/>
          <w:color w:val="231F20"/>
        </w:rPr>
        <w:t>在但以理的预言中，入侵和占领的势力是罗马（但以理书 7章）。</w:t>
      </w:r>
    </w:p>
    <w:p w14:paraId="7A6708C2">
      <w:pPr>
        <w:pStyle w:val="9"/>
        <w:spacing w:after="0" w:line="249" w:lineRule="auto"/>
        <w:rPr>
          <w:rFonts w:hint="eastAsia"/>
          <w:color w:val="231F20"/>
        </w:rPr>
      </w:pPr>
    </w:p>
    <w:p w14:paraId="0F8D1EF9">
      <w:pPr>
        <w:pStyle w:val="9"/>
        <w:spacing w:after="0" w:line="249" w:lineRule="auto"/>
        <w:rPr>
          <w:rFonts w:hint="eastAsia"/>
          <w:color w:val="231F20"/>
        </w:rPr>
      </w:pPr>
      <w:r>
        <w:rPr>
          <w:rFonts w:hint="eastAsia"/>
          <w:color w:val="231F20"/>
        </w:rPr>
        <w:t>In Ezekiel’s, however, the leader of the hostile confederacy is Gog, chief prince of Meshech and Tubal, both of which are small northern tribes that long ago dwelt in modern Turkey.</w:t>
      </w:r>
    </w:p>
    <w:p w14:paraId="1FE88E87">
      <w:pPr>
        <w:pStyle w:val="9"/>
        <w:spacing w:after="0" w:line="249" w:lineRule="auto"/>
        <w:rPr>
          <w:rFonts w:hint="eastAsia"/>
          <w:color w:val="231F20"/>
        </w:rPr>
      </w:pPr>
      <w:r>
        <w:rPr>
          <w:rFonts w:hint="eastAsia"/>
          <w:color w:val="231F20"/>
        </w:rPr>
        <w:t>然而，在以西结的预言中，敌对联盟的领袖是歌革，是米设和土巴的大君，这两个都是很久以前居住在现代土耳其的小北方部落。</w:t>
      </w:r>
    </w:p>
    <w:p w14:paraId="0250540A">
      <w:pPr>
        <w:pStyle w:val="9"/>
        <w:spacing w:after="0" w:line="249" w:lineRule="auto"/>
        <w:rPr>
          <w:rFonts w:hint="eastAsia"/>
          <w:color w:val="231F20"/>
        </w:rPr>
      </w:pPr>
    </w:p>
    <w:p w14:paraId="00522D71">
      <w:pPr>
        <w:pStyle w:val="9"/>
        <w:spacing w:after="0" w:line="249" w:lineRule="auto"/>
        <w:rPr>
          <w:rFonts w:hint="eastAsia"/>
          <w:color w:val="231F20"/>
        </w:rPr>
      </w:pPr>
      <w:r>
        <w:rPr>
          <w:rFonts w:hint="eastAsia"/>
          <w:color w:val="231F20"/>
        </w:rPr>
        <w:t>In the other prophecies, no leader or country of origin is designated.</w:t>
      </w:r>
    </w:p>
    <w:p w14:paraId="32E429BD">
      <w:pPr>
        <w:pStyle w:val="9"/>
        <w:spacing w:after="0" w:line="249" w:lineRule="auto"/>
        <w:rPr>
          <w:rFonts w:hint="eastAsia"/>
          <w:color w:val="231F20"/>
        </w:rPr>
      </w:pPr>
      <w:r>
        <w:rPr>
          <w:rFonts w:hint="eastAsia"/>
          <w:color w:val="231F20"/>
        </w:rPr>
        <w:t>在其他预言中，没有指定领袖或原籍国。</w:t>
      </w:r>
    </w:p>
    <w:p w14:paraId="199D3CE7">
      <w:pPr>
        <w:pStyle w:val="9"/>
        <w:spacing w:after="0" w:line="249" w:lineRule="auto"/>
        <w:rPr>
          <w:rFonts w:hint="eastAsia"/>
          <w:color w:val="231F20"/>
        </w:rPr>
      </w:pPr>
    </w:p>
    <w:p w14:paraId="048E422C">
      <w:pPr>
        <w:pStyle w:val="9"/>
        <w:spacing w:after="0" w:line="249" w:lineRule="auto"/>
        <w:rPr>
          <w:rFonts w:hint="eastAsia"/>
          <w:color w:val="231F20"/>
        </w:rPr>
      </w:pPr>
      <w:r>
        <w:rPr>
          <w:rFonts w:hint="eastAsia"/>
          <w:color w:val="231F20"/>
        </w:rPr>
        <w:t>Joel and Zechariah explicitly declare that all the nations will come up against Israel.</w:t>
      </w:r>
    </w:p>
    <w:p w14:paraId="1B79A1E6">
      <w:pPr>
        <w:pStyle w:val="9"/>
        <w:spacing w:after="0" w:line="249" w:lineRule="auto"/>
        <w:rPr>
          <w:rFonts w:hint="eastAsia"/>
          <w:color w:val="231F20"/>
        </w:rPr>
      </w:pPr>
      <w:r>
        <w:rPr>
          <w:rFonts w:hint="eastAsia"/>
          <w:color w:val="231F20"/>
        </w:rPr>
        <w:t>约珥和撒迦利亚明确宣告，所有国家都将起来攻击以色列。</w:t>
      </w:r>
    </w:p>
    <w:p w14:paraId="75BCC5E8">
      <w:pPr>
        <w:pStyle w:val="9"/>
        <w:spacing w:after="0" w:line="249" w:lineRule="auto"/>
        <w:rPr>
          <w:rFonts w:hint="eastAsia"/>
          <w:color w:val="231F20"/>
        </w:rPr>
      </w:pPr>
    </w:p>
    <w:p w14:paraId="7F94C205">
      <w:pPr>
        <w:pStyle w:val="9"/>
        <w:spacing w:after="0" w:line="249" w:lineRule="auto"/>
        <w:rPr>
          <w:rFonts w:hint="eastAsia"/>
          <w:color w:val="231F20"/>
        </w:rPr>
      </w:pPr>
      <w:r>
        <w:rPr>
          <w:rFonts w:hint="eastAsia"/>
          <w:color w:val="231F20"/>
        </w:rPr>
        <w:t>However, the other prophecies simply say many.</w:t>
      </w:r>
    </w:p>
    <w:p w14:paraId="7F44BA7C">
      <w:pPr>
        <w:pStyle w:val="9"/>
        <w:spacing w:after="0" w:line="249" w:lineRule="auto"/>
        <w:rPr>
          <w:rFonts w:hint="eastAsia"/>
          <w:color w:val="231F20"/>
        </w:rPr>
      </w:pPr>
      <w:r>
        <w:rPr>
          <w:rFonts w:hint="eastAsia"/>
          <w:color w:val="231F20"/>
        </w:rPr>
        <w:t>然而，其他预言只说许多。</w:t>
      </w:r>
    </w:p>
    <w:p w14:paraId="2B0ED483">
      <w:pPr>
        <w:pStyle w:val="9"/>
        <w:spacing w:after="0" w:line="249" w:lineRule="auto"/>
        <w:rPr>
          <w:rFonts w:hint="eastAsia"/>
          <w:color w:val="231F20"/>
        </w:rPr>
      </w:pPr>
    </w:p>
    <w:p w14:paraId="15D8DF55">
      <w:pPr>
        <w:pStyle w:val="9"/>
        <w:spacing w:after="0" w:line="249" w:lineRule="auto"/>
        <w:rPr>
          <w:rFonts w:hint="eastAsia"/>
          <w:color w:val="231F20"/>
        </w:rPr>
      </w:pPr>
      <w:r>
        <w:rPr>
          <w:rFonts w:hint="eastAsia"/>
          <w:color w:val="231F20"/>
        </w:rPr>
        <w:t>Daniel points to an individual king who will spearhead the last battle, representing him apocalyptically (i.e., by means of eschatological symbols) as a little horn uttering great boasts (7:8).</w:t>
      </w:r>
    </w:p>
    <w:p w14:paraId="188A66CC">
      <w:pPr>
        <w:pStyle w:val="9"/>
        <w:spacing w:after="0" w:line="249" w:lineRule="auto"/>
        <w:rPr>
          <w:rFonts w:hint="eastAsia"/>
          <w:color w:val="231F20"/>
        </w:rPr>
      </w:pPr>
      <w:r>
        <w:rPr>
          <w:rFonts w:hint="eastAsia"/>
          <w:color w:val="231F20"/>
        </w:rPr>
        <w:t>但以理指出一位个别的君王将领导最后的战役，以启示文学的方式（即，通过末世论的象征）将他描绘成一个说大话的小角（7:8）。</w:t>
      </w:r>
    </w:p>
    <w:p w14:paraId="3D5B7F64">
      <w:pPr>
        <w:pStyle w:val="9"/>
        <w:spacing w:after="0" w:line="249" w:lineRule="auto"/>
        <w:rPr>
          <w:rFonts w:hint="eastAsia"/>
          <w:color w:val="231F20"/>
        </w:rPr>
      </w:pPr>
    </w:p>
    <w:p w14:paraId="189BAFF7">
      <w:pPr>
        <w:pStyle w:val="9"/>
        <w:spacing w:after="0" w:line="249" w:lineRule="auto"/>
        <w:rPr>
          <w:rFonts w:hint="eastAsia"/>
          <w:color w:val="231F20"/>
        </w:rPr>
      </w:pPr>
      <w:r>
        <w:rPr>
          <w:rFonts w:hint="eastAsia"/>
          <w:color w:val="231F20"/>
        </w:rPr>
        <w:t>Likewise, Ezekiel anticipates a single human leader—Gog—riding at the head of Persia, Cush, Put, Gomer, and Beth-togarmah—“many nations.”</w:t>
      </w:r>
    </w:p>
    <w:p w14:paraId="2263F695">
      <w:pPr>
        <w:pStyle w:val="9"/>
        <w:spacing w:after="0" w:line="249" w:lineRule="auto"/>
        <w:rPr>
          <w:rFonts w:hint="eastAsia"/>
          <w:color w:val="231F20"/>
        </w:rPr>
      </w:pPr>
      <w:r>
        <w:rPr>
          <w:rFonts w:hint="eastAsia"/>
          <w:color w:val="231F20"/>
        </w:rPr>
        <w:t>同样，以西结预料到一位单独的人类领袖——歌革——骑在波斯、古实、弗、歌篾和陀迦玛——“许多国家”的前头。</w:t>
      </w:r>
    </w:p>
    <w:p w14:paraId="69CCC104">
      <w:pPr>
        <w:pStyle w:val="9"/>
        <w:spacing w:after="0" w:line="249" w:lineRule="auto"/>
        <w:rPr>
          <w:rFonts w:hint="eastAsia"/>
          <w:color w:val="231F20"/>
        </w:rPr>
      </w:pPr>
    </w:p>
    <w:p w14:paraId="428E52F3">
      <w:pPr>
        <w:pStyle w:val="9"/>
        <w:spacing w:after="0" w:line="249" w:lineRule="auto"/>
        <w:rPr>
          <w:rFonts w:hint="eastAsia"/>
          <w:color w:val="231F20"/>
        </w:rPr>
      </w:pPr>
      <w:r>
        <w:rPr>
          <w:rFonts w:hint="eastAsia"/>
          <w:color w:val="231F20"/>
        </w:rPr>
        <w:t>However, Joel, Micah, and Zechariah say nothing at all about an individual leader.</w:t>
      </w:r>
    </w:p>
    <w:p w14:paraId="3FEDAA22">
      <w:pPr>
        <w:pStyle w:val="9"/>
        <w:spacing w:after="0" w:line="249" w:lineRule="auto"/>
        <w:rPr>
          <w:rFonts w:hint="eastAsia"/>
          <w:color w:val="231F20"/>
        </w:rPr>
      </w:pPr>
      <w:r>
        <w:rPr>
          <w:rFonts w:hint="eastAsia"/>
          <w:color w:val="231F20"/>
        </w:rPr>
        <w:t>然而，约珥、弥迦和撒迦利亚完全没有提到个别的领袖。</w:t>
      </w:r>
    </w:p>
    <w:p w14:paraId="4B20A43E">
      <w:pPr>
        <w:pStyle w:val="9"/>
        <w:spacing w:after="0" w:line="249" w:lineRule="auto"/>
        <w:rPr>
          <w:rFonts w:hint="eastAsia"/>
          <w:color w:val="231F20"/>
        </w:rPr>
      </w:pPr>
    </w:p>
    <w:p w14:paraId="6DCF74B0">
      <w:pPr>
        <w:pStyle w:val="9"/>
        <w:spacing w:after="0" w:line="249" w:lineRule="auto"/>
        <w:rPr>
          <w:rFonts w:hint="eastAsia"/>
          <w:color w:val="231F20"/>
        </w:rPr>
      </w:pPr>
      <w:r>
        <w:rPr>
          <w:rFonts w:hint="eastAsia"/>
          <w:color w:val="231F20"/>
        </w:rPr>
        <w:t>Daniel’s prophecy of the Last Battle gives the impression of a fairly long occupation—“a time, times, and a half a time”—marked by struggle, loss, and the suppression of religious observances (7:25).</w:t>
      </w:r>
    </w:p>
    <w:p w14:paraId="210FFEE5">
      <w:pPr>
        <w:pStyle w:val="9"/>
        <w:spacing w:after="0" w:line="249" w:lineRule="auto"/>
        <w:rPr>
          <w:rFonts w:hint="eastAsia"/>
          <w:color w:val="231F20"/>
        </w:rPr>
      </w:pPr>
      <w:r>
        <w:rPr>
          <w:rFonts w:hint="eastAsia"/>
          <w:color w:val="231F20"/>
        </w:rPr>
        <w:t>但以理关于最后战役的预言给人一种相当长的占领时期的印象——“一载、二载、半载”——其特点是挣扎、损失和宗教仪式的压制（7:25）。</w:t>
      </w:r>
    </w:p>
    <w:p w14:paraId="4FD63824">
      <w:pPr>
        <w:pStyle w:val="9"/>
        <w:spacing w:after="0" w:line="249" w:lineRule="auto"/>
        <w:rPr>
          <w:rFonts w:hint="eastAsia"/>
          <w:color w:val="231F20"/>
        </w:rPr>
      </w:pPr>
    </w:p>
    <w:p w14:paraId="36703163">
      <w:pPr>
        <w:pStyle w:val="9"/>
        <w:spacing w:after="0" w:line="249" w:lineRule="auto"/>
        <w:rPr>
          <w:rFonts w:hint="eastAsia"/>
          <w:color w:val="231F20"/>
        </w:rPr>
      </w:pPr>
      <w:r>
        <w:rPr>
          <w:rFonts w:hint="eastAsia"/>
          <w:color w:val="231F20"/>
        </w:rPr>
        <w:t>Similarly, Zechariah foresees a quite devastating assault, in which half of the city of Jerusalem is pillaged or taken captive (14:1-3).</w:t>
      </w:r>
    </w:p>
    <w:p w14:paraId="06B00EF2">
      <w:pPr>
        <w:pStyle w:val="9"/>
        <w:spacing w:after="0" w:line="249" w:lineRule="auto"/>
        <w:rPr>
          <w:rFonts w:hint="eastAsia"/>
          <w:color w:val="231F20"/>
        </w:rPr>
      </w:pPr>
      <w:r>
        <w:rPr>
          <w:rFonts w:hint="eastAsia"/>
          <w:color w:val="231F20"/>
        </w:rPr>
        <w:t>同样，撒迦利亚预见到一次相当毁灭性的攻击，其中耶路撒冷城的一半被抢掠或被掳去（14:1-3）。</w:t>
      </w:r>
    </w:p>
    <w:p w14:paraId="4B5AF12C">
      <w:pPr>
        <w:pStyle w:val="9"/>
        <w:spacing w:after="0" w:line="249" w:lineRule="auto"/>
        <w:rPr>
          <w:rFonts w:hint="eastAsia"/>
          <w:color w:val="231F20"/>
        </w:rPr>
      </w:pPr>
    </w:p>
    <w:p w14:paraId="052BB42C">
      <w:pPr>
        <w:pStyle w:val="9"/>
        <w:spacing w:after="0" w:line="249" w:lineRule="auto"/>
        <w:rPr>
          <w:rFonts w:hint="eastAsia"/>
          <w:color w:val="231F20"/>
        </w:rPr>
      </w:pPr>
      <w:r>
        <w:rPr>
          <w:rFonts w:hint="eastAsia"/>
          <w:color w:val="231F20"/>
        </w:rPr>
        <w:t>However, the other prophets say little or nothing of Israel’s agony, and seem to anticipate a more or less immediate deliverance at the hand of God.</w:t>
      </w:r>
    </w:p>
    <w:p w14:paraId="79B37C04">
      <w:pPr>
        <w:pStyle w:val="9"/>
        <w:spacing w:after="0" w:line="249" w:lineRule="auto"/>
        <w:rPr>
          <w:rFonts w:hint="eastAsia"/>
          <w:color w:val="231F20"/>
        </w:rPr>
      </w:pPr>
      <w:r>
        <w:rPr>
          <w:rFonts w:hint="eastAsia"/>
          <w:color w:val="231F20"/>
        </w:rPr>
        <w:t>然而，其他先知很少或根本没有提到以色列的痛苦，并且似乎预料到上帝会或多或少立即施行拯救。</w:t>
      </w:r>
    </w:p>
    <w:p w14:paraId="0D268DDB">
      <w:pPr>
        <w:pStyle w:val="9"/>
        <w:spacing w:after="0" w:line="249" w:lineRule="auto"/>
        <w:rPr>
          <w:rFonts w:hint="eastAsia"/>
          <w:color w:val="231F20"/>
        </w:rPr>
      </w:pPr>
    </w:p>
    <w:p w14:paraId="40B2EC86">
      <w:pPr>
        <w:pStyle w:val="9"/>
        <w:spacing w:after="0" w:line="249" w:lineRule="auto"/>
        <w:rPr>
          <w:rFonts w:hint="eastAsia"/>
          <w:color w:val="231F20"/>
        </w:rPr>
      </w:pPr>
      <w:r>
        <w:rPr>
          <w:rFonts w:hint="eastAsia"/>
          <w:color w:val="231F20"/>
        </w:rPr>
        <w:t>As to the exact location of the Last Battle, Joel places it in the Valley of Jehoshaphat (3:12) and the Valley of Decision (3:14).</w:t>
      </w:r>
    </w:p>
    <w:p w14:paraId="4DCB8BD6">
      <w:pPr>
        <w:pStyle w:val="9"/>
        <w:spacing w:after="0" w:line="249" w:lineRule="auto"/>
        <w:rPr>
          <w:rFonts w:hint="eastAsia"/>
          <w:color w:val="231F20"/>
        </w:rPr>
      </w:pPr>
      <w:r>
        <w:rPr>
          <w:rFonts w:hint="eastAsia"/>
          <w:color w:val="231F20"/>
        </w:rPr>
        <w:t>至于最后战役的确切地点，约珥将其定在约沙法谷（3:12）和断定谷（3:14）。</w:t>
      </w:r>
    </w:p>
    <w:p w14:paraId="1F6D20D2">
      <w:pPr>
        <w:pStyle w:val="9"/>
        <w:spacing w:after="0" w:line="249" w:lineRule="auto"/>
        <w:rPr>
          <w:rFonts w:hint="eastAsia"/>
          <w:color w:val="231F20"/>
        </w:rPr>
      </w:pPr>
    </w:p>
    <w:p w14:paraId="048E7036">
      <w:pPr>
        <w:pStyle w:val="9"/>
        <w:spacing w:after="0" w:line="249" w:lineRule="auto"/>
        <w:rPr>
          <w:rFonts w:hint="eastAsia"/>
          <w:color w:val="231F20"/>
        </w:rPr>
      </w:pPr>
      <w:r>
        <w:rPr>
          <w:rFonts w:hint="eastAsia"/>
          <w:color w:val="231F20"/>
        </w:rPr>
        <w:t>In Daniel’s prophecies, mention is repeatedly made of the Glorious Land (8:9, 11:16, 11:41).</w:t>
      </w:r>
    </w:p>
    <w:p w14:paraId="59F09910">
      <w:pPr>
        <w:pStyle w:val="9"/>
        <w:spacing w:after="0" w:line="249" w:lineRule="auto"/>
        <w:rPr>
          <w:rFonts w:hint="eastAsia"/>
          <w:color w:val="231F20"/>
        </w:rPr>
      </w:pPr>
      <w:r>
        <w:rPr>
          <w:rFonts w:hint="eastAsia"/>
          <w:color w:val="231F20"/>
        </w:rPr>
        <w:t>在但以理的预言中，一再提到荣美之地（8:9, 11:16, 11:41）。</w:t>
      </w:r>
    </w:p>
    <w:p w14:paraId="1D83025C">
      <w:pPr>
        <w:pStyle w:val="9"/>
        <w:spacing w:after="0" w:line="249" w:lineRule="auto"/>
        <w:rPr>
          <w:rFonts w:hint="eastAsia"/>
          <w:color w:val="231F20"/>
        </w:rPr>
      </w:pPr>
    </w:p>
    <w:p w14:paraId="784D6D18">
      <w:pPr>
        <w:pStyle w:val="9"/>
        <w:spacing w:after="0" w:line="249" w:lineRule="auto"/>
        <w:rPr>
          <w:rFonts w:hint="eastAsia"/>
          <w:color w:val="231F20"/>
        </w:rPr>
      </w:pPr>
      <w:r>
        <w:rPr>
          <w:rFonts w:hint="eastAsia"/>
          <w:color w:val="231F20"/>
        </w:rPr>
        <w:t>For Ezekiel, the great conflict will occur on “the mountains of Israel” (38:8, 39:2, 4).</w:t>
      </w:r>
    </w:p>
    <w:p w14:paraId="42860915">
      <w:pPr>
        <w:pStyle w:val="9"/>
        <w:spacing w:after="0" w:line="249" w:lineRule="auto"/>
        <w:rPr>
          <w:rFonts w:hint="eastAsia"/>
          <w:color w:val="231F20"/>
        </w:rPr>
      </w:pPr>
      <w:r>
        <w:rPr>
          <w:rFonts w:hint="eastAsia"/>
          <w:color w:val="231F20"/>
        </w:rPr>
        <w:t>对以西结来说，这场大冲突将发生在“以色列的群山”上（38:8, 39:2, 4）。</w:t>
      </w:r>
    </w:p>
    <w:p w14:paraId="23321776">
      <w:pPr>
        <w:pStyle w:val="9"/>
        <w:spacing w:after="0" w:line="249" w:lineRule="auto"/>
        <w:rPr>
          <w:rFonts w:hint="eastAsia"/>
          <w:color w:val="231F20"/>
        </w:rPr>
      </w:pPr>
    </w:p>
    <w:p w14:paraId="13A8894A">
      <w:pPr>
        <w:pStyle w:val="9"/>
        <w:spacing w:after="0" w:line="249" w:lineRule="auto"/>
        <w:rPr>
          <w:rFonts w:hint="eastAsia"/>
          <w:color w:val="231F20"/>
        </w:rPr>
      </w:pPr>
      <w:r>
        <w:rPr>
          <w:rFonts w:hint="eastAsia"/>
          <w:color w:val="231F20"/>
        </w:rPr>
        <w:t>Meanwhile, Zechariah situates the war at the very gates of Jerusalem, the beloved city of God, a city that will become an injurious stone to all who try to lift it, and a cup full of strong drink that will send the nations reeling (12:9, 14:1f).</w:t>
      </w:r>
    </w:p>
    <w:p w14:paraId="6F8EEF3E">
      <w:pPr>
        <w:pStyle w:val="9"/>
        <w:spacing w:after="0" w:line="249" w:lineRule="auto"/>
        <w:rPr>
          <w:rFonts w:hint="eastAsia"/>
          <w:color w:val="231F20"/>
        </w:rPr>
      </w:pPr>
      <w:r>
        <w:rPr>
          <w:rFonts w:hint="eastAsia"/>
          <w:color w:val="231F20"/>
        </w:rPr>
        <w:t>与此同时，撒迦利亚将战争定位在耶路撒冷的城门口，即上帝所爱的城，这座城将成为所有试图举起它之人的绊脚石，以及一杯使列国摇晃的烈酒（12:9, 14:1及后文）。</w:t>
      </w:r>
    </w:p>
    <w:p w14:paraId="69623290">
      <w:pPr>
        <w:pStyle w:val="9"/>
        <w:spacing w:after="0" w:line="249" w:lineRule="auto"/>
        <w:rPr>
          <w:rFonts w:hint="eastAsia"/>
          <w:color w:val="231F20"/>
        </w:rPr>
      </w:pPr>
    </w:p>
    <w:p w14:paraId="6E846CDE">
      <w:pPr>
        <w:pStyle w:val="9"/>
        <w:spacing w:after="0" w:line="249" w:lineRule="auto"/>
        <w:rPr>
          <w:rFonts w:hint="eastAsia"/>
          <w:color w:val="231F20"/>
        </w:rPr>
      </w:pPr>
      <w:r>
        <w:rPr>
          <w:rFonts w:hint="eastAsia"/>
          <w:color w:val="231F20"/>
        </w:rPr>
        <w:t>Micah (4:13), Daniel (7:25), and Zechariah (12:6, 14:14) envision the saints as fighting back against their opponents—in Micah and Zechariah’s case, victoriously.</w:t>
      </w:r>
    </w:p>
    <w:p w14:paraId="694BD052">
      <w:pPr>
        <w:pStyle w:val="9"/>
        <w:spacing w:after="0" w:line="249" w:lineRule="auto"/>
        <w:rPr>
          <w:rFonts w:hint="eastAsia"/>
          <w:color w:val="231F20"/>
        </w:rPr>
      </w:pPr>
      <w:r>
        <w:rPr>
          <w:rFonts w:hint="eastAsia"/>
          <w:color w:val="231F20"/>
        </w:rPr>
        <w:t>弥迦（4:13）、但以理（7:25）和撒迦利亚（12:6, 14:14）设想圣徒们会反击他们的对手——在弥迦和撒迦利亚的例子中，是胜利地反击。</w:t>
      </w:r>
    </w:p>
    <w:p w14:paraId="7C932869">
      <w:pPr>
        <w:pStyle w:val="9"/>
        <w:spacing w:after="0" w:line="249" w:lineRule="auto"/>
        <w:rPr>
          <w:rFonts w:hint="eastAsia"/>
          <w:color w:val="231F20"/>
        </w:rPr>
      </w:pPr>
    </w:p>
    <w:p w14:paraId="73B6E97F">
      <w:pPr>
        <w:pStyle w:val="9"/>
        <w:spacing w:after="0" w:line="249" w:lineRule="auto"/>
        <w:rPr>
          <w:rFonts w:hint="eastAsia"/>
          <w:color w:val="231F20"/>
        </w:rPr>
      </w:pPr>
      <w:r>
        <w:rPr>
          <w:rFonts w:hint="eastAsia"/>
          <w:color w:val="231F20"/>
        </w:rPr>
        <w:t>Meanwhile, the other prophets depict God himself as the heavenly warrior who fights triumphantly against his foes.</w:t>
      </w:r>
    </w:p>
    <w:p w14:paraId="39EA7AD3">
      <w:pPr>
        <w:pStyle w:val="9"/>
        <w:spacing w:after="0" w:line="249" w:lineRule="auto"/>
        <w:rPr>
          <w:rFonts w:hint="eastAsia"/>
          <w:color w:val="231F20"/>
        </w:rPr>
      </w:pPr>
      <w:r>
        <w:rPr>
          <w:rFonts w:hint="eastAsia"/>
          <w:color w:val="231F20"/>
        </w:rPr>
        <w:t>与此同时，其他先知则将上帝自己描绘成属天的战士，祂胜利地与祂的仇敌作战。</w:t>
      </w:r>
    </w:p>
    <w:p w14:paraId="2C12F4A3">
      <w:pPr>
        <w:pStyle w:val="9"/>
        <w:spacing w:after="0" w:line="249" w:lineRule="auto"/>
        <w:rPr>
          <w:rFonts w:hint="eastAsia"/>
          <w:color w:val="231F20"/>
        </w:rPr>
      </w:pPr>
    </w:p>
    <w:p w14:paraId="28A26FDC">
      <w:pPr>
        <w:pStyle w:val="9"/>
        <w:spacing w:after="0" w:line="249" w:lineRule="auto"/>
        <w:rPr>
          <w:rFonts w:hint="eastAsia"/>
          <w:color w:val="231F20"/>
        </w:rPr>
      </w:pPr>
      <w:r>
        <w:rPr>
          <w:rFonts w:hint="eastAsia"/>
          <w:color w:val="231F20"/>
        </w:rPr>
        <w:t>Finally, the portrayal of God’s eschatological intervention differs rather sharply from prophet to prophet.</w:t>
      </w:r>
    </w:p>
    <w:p w14:paraId="0C838E4C">
      <w:pPr>
        <w:pStyle w:val="9"/>
        <w:spacing w:after="0" w:line="249" w:lineRule="auto"/>
        <w:rPr>
          <w:rFonts w:hint="eastAsia"/>
          <w:color w:val="231F20"/>
        </w:rPr>
      </w:pPr>
      <w:r>
        <w:rPr>
          <w:rFonts w:hint="eastAsia"/>
          <w:color w:val="231F20"/>
        </w:rPr>
        <w:t>最后，对上帝末世干预的描绘在不同先知之间差异相当大。</w:t>
      </w:r>
    </w:p>
    <w:p w14:paraId="4CAD74F9">
      <w:pPr>
        <w:pStyle w:val="9"/>
        <w:spacing w:after="0" w:line="249" w:lineRule="auto"/>
        <w:rPr>
          <w:rFonts w:hint="eastAsia"/>
          <w:color w:val="231F20"/>
        </w:rPr>
      </w:pPr>
    </w:p>
    <w:p w14:paraId="6D0244B4">
      <w:pPr>
        <w:pStyle w:val="9"/>
        <w:spacing w:after="0" w:line="249" w:lineRule="auto"/>
        <w:rPr>
          <w:rFonts w:hint="eastAsia"/>
          <w:color w:val="231F20"/>
        </w:rPr>
      </w:pPr>
      <w:r>
        <w:rPr>
          <w:rFonts w:hint="eastAsia"/>
          <w:color w:val="231F20"/>
        </w:rPr>
        <w:t>In Joel, the sun and moon grow dark, and God shakes the heavens and the earth (3:15).</w:t>
      </w:r>
    </w:p>
    <w:p w14:paraId="5879E24D">
      <w:pPr>
        <w:pStyle w:val="9"/>
        <w:spacing w:after="0" w:line="249" w:lineRule="auto"/>
        <w:rPr>
          <w:rFonts w:hint="eastAsia"/>
          <w:color w:val="231F20"/>
        </w:rPr>
      </w:pPr>
      <w:r>
        <w:rPr>
          <w:rFonts w:hint="eastAsia"/>
          <w:color w:val="231F20"/>
        </w:rPr>
        <w:t>在约珥书中，日月昏暗，上帝震动天地（3:15）。</w:t>
      </w:r>
    </w:p>
    <w:p w14:paraId="2D909833">
      <w:pPr>
        <w:pStyle w:val="9"/>
        <w:spacing w:after="0" w:line="249" w:lineRule="auto"/>
        <w:rPr>
          <w:rFonts w:hint="eastAsia"/>
          <w:color w:val="231F20"/>
        </w:rPr>
      </w:pPr>
    </w:p>
    <w:p w14:paraId="7C459080">
      <w:pPr>
        <w:pStyle w:val="9"/>
        <w:spacing w:after="0" w:line="249" w:lineRule="auto"/>
        <w:rPr>
          <w:rFonts w:hint="eastAsia"/>
          <w:color w:val="231F20"/>
        </w:rPr>
      </w:pPr>
      <w:r>
        <w:rPr>
          <w:rFonts w:hint="eastAsia"/>
          <w:color w:val="231F20"/>
        </w:rPr>
        <w:t>Micah, on the other hand, looks for no such cosmic disturbances: God simply favors and strengthens the daughter of Zion, who goes on to thresh her enemies and plunder their treasures (4:13).</w:t>
      </w:r>
    </w:p>
    <w:p w14:paraId="761A54FC">
      <w:pPr>
        <w:pStyle w:val="9"/>
        <w:spacing w:after="0" w:line="249" w:lineRule="auto"/>
        <w:rPr>
          <w:rFonts w:hint="eastAsia"/>
          <w:color w:val="231F20"/>
        </w:rPr>
      </w:pPr>
      <w:r>
        <w:rPr>
          <w:rFonts w:hint="eastAsia"/>
          <w:color w:val="231F20"/>
        </w:rPr>
        <w:t>另一方面，弥迦则不期望有这样的宇宙骚动：上帝只是恩待并加力给锡安的女子，她接着就打场她的仇敌并掠夺他们的财宝（4:13）。</w:t>
      </w:r>
    </w:p>
    <w:p w14:paraId="193264C0">
      <w:pPr>
        <w:pStyle w:val="9"/>
        <w:spacing w:after="0" w:line="249" w:lineRule="auto"/>
        <w:rPr>
          <w:rFonts w:hint="eastAsia"/>
          <w:color w:val="231F20"/>
        </w:rPr>
      </w:pPr>
    </w:p>
    <w:p w14:paraId="3EE8A33C">
      <w:pPr>
        <w:pStyle w:val="9"/>
        <w:spacing w:after="0" w:line="249" w:lineRule="auto"/>
        <w:rPr>
          <w:rFonts w:hint="eastAsia"/>
          <w:color w:val="231F20"/>
        </w:rPr>
      </w:pPr>
      <w:r>
        <w:rPr>
          <w:rFonts w:hint="eastAsia"/>
          <w:color w:val="231F20"/>
        </w:rPr>
        <w:t>Zechariah tells us that the LORD himself will fight against the nations massed at the gates of Jerusalem, even as he transforms the Mount of Olives into a valley, a way of escape for his people (14:3-5).</w:t>
      </w:r>
    </w:p>
    <w:p w14:paraId="78B47266">
      <w:pPr>
        <w:pStyle w:val="9"/>
        <w:spacing w:after="0" w:line="249" w:lineRule="auto"/>
        <w:rPr>
          <w:rFonts w:hint="eastAsia"/>
          <w:color w:val="231F20"/>
        </w:rPr>
      </w:pPr>
      <w:r>
        <w:rPr>
          <w:rFonts w:hint="eastAsia"/>
          <w:color w:val="231F20"/>
        </w:rPr>
        <w:t>撒迦利亚告诉我们，耶和华自己将与集结在耶路撒冷城门的列国作战，同时祂将橄榄山变为一个山谷，为祂的子民开辟一条逃生之路（14:3-5）。</w:t>
      </w:r>
    </w:p>
    <w:p w14:paraId="3D88036C">
      <w:pPr>
        <w:pStyle w:val="9"/>
        <w:spacing w:after="0" w:line="249" w:lineRule="auto"/>
        <w:rPr>
          <w:rFonts w:hint="eastAsia"/>
          <w:color w:val="231F20"/>
        </w:rPr>
      </w:pPr>
    </w:p>
    <w:p w14:paraId="3502BACE">
      <w:pPr>
        <w:pStyle w:val="9"/>
        <w:spacing w:after="0" w:line="249" w:lineRule="auto"/>
        <w:rPr>
          <w:rFonts w:hint="eastAsia"/>
          <w:color w:val="231F20"/>
        </w:rPr>
      </w:pPr>
      <w:r>
        <w:rPr>
          <w:rFonts w:hint="eastAsia"/>
          <w:color w:val="231F20"/>
        </w:rPr>
        <w:t>But in Ezekiel, the hand of the LORD waxes mightier still, shaking not only the land of Israel, but also the whole earth (yet not the heavens, as in Haggai 2:6), throwing down the mountains, and entering into judgment against Gog and his troops by means of plague, blood, torrential rain, hailstones, fire, and burning sulfur (38:22).</w:t>
      </w:r>
    </w:p>
    <w:p w14:paraId="3442DFAB">
      <w:pPr>
        <w:pStyle w:val="9"/>
        <w:spacing w:after="0" w:line="249" w:lineRule="auto"/>
        <w:rPr>
          <w:rFonts w:hint="eastAsia"/>
          <w:color w:val="231F20"/>
        </w:rPr>
      </w:pPr>
      <w:r>
        <w:rPr>
          <w:rFonts w:hint="eastAsia"/>
          <w:color w:val="231F20"/>
        </w:rPr>
        <w:t>但在以西结书中，耶和华的手变得更加强大，不仅震动以色列地，也震动全地（但不像哈该书 2:6 中那样震动诸天），推倒山岭，并用瘟疫、血、暴雨、冰雹、火和燃烧的硫磺来审判歌革和他的军队（38:22）。</w:t>
      </w:r>
    </w:p>
    <w:p w14:paraId="6A1B5545">
      <w:pPr>
        <w:pStyle w:val="9"/>
        <w:spacing w:after="0" w:line="249" w:lineRule="auto"/>
        <w:rPr>
          <w:rFonts w:hint="eastAsia"/>
          <w:color w:val="231F20"/>
        </w:rPr>
      </w:pPr>
    </w:p>
    <w:p w14:paraId="0B42BAAF">
      <w:pPr>
        <w:pStyle w:val="9"/>
        <w:spacing w:after="0" w:line="249" w:lineRule="auto"/>
        <w:rPr>
          <w:rFonts w:hint="eastAsia"/>
          <w:color w:val="231F20"/>
        </w:rPr>
      </w:pPr>
      <w:r>
        <w:rPr>
          <w:rFonts w:hint="eastAsia"/>
          <w:color w:val="231F20"/>
        </w:rPr>
        <w:t>Moreover, after all this, he will give the dead bodies of his enemies to the birds of the air and the beasts of the field, even as Israel takes seven years to burn their weapons and bury the remains of their dead (39:9-20).</w:t>
      </w:r>
    </w:p>
    <w:p w14:paraId="777F6032">
      <w:pPr>
        <w:pStyle w:val="9"/>
        <w:spacing w:after="0" w:line="249" w:lineRule="auto"/>
        <w:rPr>
          <w:rFonts w:hint="eastAsia"/>
          <w:color w:val="231F20"/>
        </w:rPr>
      </w:pPr>
      <w:r>
        <w:rPr>
          <w:rFonts w:hint="eastAsia"/>
          <w:color w:val="231F20"/>
        </w:rPr>
        <w:t>此外，在这之后，祂将把祂仇敌的尸体给空中的飞鸟和田野的走兽，同时以色列要花七年时间来焚烧他们的兵器并埋葬他们死者的遗骸（39:9-20）。</w:t>
      </w:r>
    </w:p>
    <w:p w14:paraId="2D0000A9">
      <w:pPr>
        <w:pStyle w:val="9"/>
        <w:spacing w:after="0" w:line="249" w:lineRule="auto"/>
        <w:rPr>
          <w:rFonts w:hint="eastAsia"/>
          <w:color w:val="231F20"/>
        </w:rPr>
      </w:pPr>
    </w:p>
    <w:p w14:paraId="4654D744">
      <w:pPr>
        <w:pStyle w:val="9"/>
        <w:spacing w:after="0" w:line="249" w:lineRule="auto"/>
        <w:rPr>
          <w:rFonts w:hint="eastAsia"/>
          <w:color w:val="231F20"/>
        </w:rPr>
      </w:pPr>
      <w:r>
        <w:rPr>
          <w:rFonts w:hint="eastAsia"/>
          <w:color w:val="231F20"/>
        </w:rPr>
        <w:t>So once again we must ask: What are we to make of all these differences, discrepancies, and apparent contradictions?</w:t>
      </w:r>
    </w:p>
    <w:p w14:paraId="5636CAFF">
      <w:pPr>
        <w:pStyle w:val="9"/>
        <w:spacing w:after="0" w:line="249" w:lineRule="auto"/>
        <w:rPr>
          <w:rFonts w:hint="eastAsia"/>
          <w:color w:val="231F20"/>
        </w:rPr>
      </w:pPr>
      <w:r>
        <w:rPr>
          <w:rFonts w:hint="eastAsia"/>
          <w:color w:val="231F20"/>
        </w:rPr>
        <w:t>所以我们必须再次问：我们该如何理解所有这些差异、出入和明显的矛盾呢？</w:t>
      </w:r>
    </w:p>
    <w:p w14:paraId="70AA3625">
      <w:pPr>
        <w:pStyle w:val="9"/>
        <w:spacing w:after="0" w:line="249" w:lineRule="auto"/>
        <w:rPr>
          <w:rFonts w:hint="eastAsia"/>
          <w:color w:val="231F20"/>
        </w:rPr>
      </w:pPr>
    </w:p>
    <w:p w14:paraId="1177B9D7">
      <w:pPr>
        <w:pStyle w:val="9"/>
        <w:spacing w:after="0" w:line="249" w:lineRule="auto"/>
        <w:rPr>
          <w:rFonts w:hint="eastAsia"/>
          <w:color w:val="231F20"/>
        </w:rPr>
      </w:pPr>
      <w:r>
        <w:rPr>
          <w:rFonts w:hint="eastAsia"/>
          <w:color w:val="231F20"/>
        </w:rPr>
        <w:t>Certainly (the literalism of) premillennialism is of no help, seeing that it places the Last Battle at the beginning of the Millennium (rather than the eternal Age to Come), looks for a second Last Battle at the end of the Millennium, plunges us into all sorts of anachronisms, and makes the contradictions in these prophecies real rather than apparent, thereby undermining the integrity and authority of Scripture.</w:t>
      </w:r>
    </w:p>
    <w:p w14:paraId="084206D3">
      <w:pPr>
        <w:pStyle w:val="9"/>
        <w:spacing w:after="0" w:line="249" w:lineRule="auto"/>
        <w:rPr>
          <w:rFonts w:hint="eastAsia"/>
          <w:color w:val="231F20"/>
        </w:rPr>
      </w:pPr>
      <w:r>
        <w:rPr>
          <w:rFonts w:hint="eastAsia"/>
          <w:color w:val="231F20"/>
        </w:rPr>
        <w:t>当然，（前千禧年主义的）字面主义毫无帮助，因为它将最后的战役放在千禧年的开始（而不是永恒的未来世代），在千禧年结束时又寻找第二次最后的战役，使我们陷入各种时代错乱，并使这些预言中的矛盾成为真实的而非表面的，从而破坏了圣经的完整性和权威性。</w:t>
      </w:r>
    </w:p>
    <w:p w14:paraId="0D13B136">
      <w:pPr>
        <w:pStyle w:val="9"/>
        <w:spacing w:after="0" w:line="249" w:lineRule="auto"/>
        <w:rPr>
          <w:rFonts w:hint="eastAsia"/>
          <w:color w:val="231F20"/>
        </w:rPr>
      </w:pPr>
    </w:p>
    <w:p w14:paraId="7413B447">
      <w:pPr>
        <w:pStyle w:val="9"/>
        <w:spacing w:after="0" w:line="249" w:lineRule="auto"/>
        <w:rPr>
          <w:rFonts w:hint="eastAsia"/>
          <w:color w:val="231F20"/>
        </w:rPr>
      </w:pPr>
      <w:r>
        <w:rPr>
          <w:rFonts w:hint="eastAsia"/>
          <w:color w:val="231F20"/>
        </w:rPr>
        <w:t>No, the best solution, as we have seen over and again, is the NT solution.</w:t>
      </w:r>
    </w:p>
    <w:p w14:paraId="5CC4E850">
      <w:pPr>
        <w:pStyle w:val="9"/>
        <w:spacing w:after="0" w:line="249" w:lineRule="auto"/>
        <w:rPr>
          <w:rFonts w:hint="eastAsia"/>
          <w:color w:val="231F20"/>
        </w:rPr>
      </w:pPr>
      <w:r>
        <w:rPr>
          <w:rFonts w:hint="eastAsia"/>
          <w:color w:val="231F20"/>
        </w:rPr>
        <w:t>不，最好的解决方案，正如我们一再看到的，是新约的解决方案。</w:t>
      </w:r>
    </w:p>
    <w:p w14:paraId="701CFE9C">
      <w:pPr>
        <w:pStyle w:val="9"/>
        <w:spacing w:after="0" w:line="249" w:lineRule="auto"/>
        <w:rPr>
          <w:rFonts w:hint="eastAsia"/>
          <w:color w:val="231F20"/>
        </w:rPr>
      </w:pPr>
    </w:p>
    <w:p w14:paraId="75EF21D7">
      <w:pPr>
        <w:pStyle w:val="9"/>
        <w:spacing w:after="0" w:line="249" w:lineRule="auto"/>
        <w:rPr>
          <w:rFonts w:hint="eastAsia"/>
          <w:color w:val="231F20"/>
        </w:rPr>
      </w:pPr>
      <w:r>
        <w:rPr>
          <w:rFonts w:hint="eastAsia"/>
          <w:color w:val="231F20"/>
        </w:rPr>
        <w:t>It is to recognize that these prophecies do indeed speak of the same eschatological event, but that they are “covenantally conditioned;” that they use OT ideas and images to convey NT truth; that we must therefore turn to the NT itself to receive a true picture of the time, place, nature, and participants of the Last Battle; and that we must receive this picture as the God-given key that opens up the true meaning of these powerful OTKP’s symbolizing the final clash between Christ and Satan, the Church and the world.</w:t>
      </w:r>
    </w:p>
    <w:p w14:paraId="211DA6D0">
      <w:pPr>
        <w:pStyle w:val="9"/>
        <w:spacing w:after="0" w:line="249" w:lineRule="auto"/>
        <w:rPr>
          <w:rFonts w:hint="eastAsia"/>
          <w:color w:val="231F20"/>
        </w:rPr>
      </w:pPr>
      <w:r>
        <w:rPr>
          <w:rFonts w:hint="eastAsia"/>
          <w:color w:val="231F20"/>
        </w:rPr>
        <w:t>即是承认这些预言确实在谈论同一个末世事件，但它们是“受圣约制约的”；它们使用旧约的观念和意象来传达新约的真理；因此我们必须转向新约本身，以获得关于最后战役的时间、地点、性质和参与者的真实图景；我们必须将这幅图景作为上帝赐予的钥匙，来解开这些象征着基督与撒但、教会与世界之间最后冲突的强大旧约国度预言（OTKP）的真正意义。</w:t>
      </w:r>
    </w:p>
    <w:p w14:paraId="3988DBB2">
      <w:pPr>
        <w:pStyle w:val="9"/>
        <w:spacing w:after="0" w:line="249" w:lineRule="auto"/>
        <w:rPr>
          <w:rFonts w:hint="eastAsia"/>
          <w:color w:val="231F20"/>
        </w:rPr>
      </w:pPr>
    </w:p>
    <w:p w14:paraId="6EA18791">
      <w:pPr>
        <w:pStyle w:val="9"/>
        <w:spacing w:after="0" w:line="249" w:lineRule="auto"/>
        <w:rPr>
          <w:rFonts w:hint="eastAsia"/>
          <w:color w:val="231F20"/>
        </w:rPr>
      </w:pPr>
      <w:r>
        <w:rPr>
          <w:rFonts w:hint="eastAsia"/>
          <w:color w:val="231F20"/>
        </w:rPr>
        <w:t>In the pages ahead, we will do this very thing.</w:t>
      </w:r>
    </w:p>
    <w:p w14:paraId="06B02B7C">
      <w:pPr>
        <w:pStyle w:val="9"/>
        <w:spacing w:after="0" w:line="249" w:lineRule="auto"/>
        <w:rPr>
          <w:rFonts w:hint="eastAsia"/>
          <w:color w:val="231F20"/>
        </w:rPr>
      </w:pPr>
      <w:r>
        <w:rPr>
          <w:rFonts w:hint="eastAsia"/>
          <w:color w:val="231F20"/>
        </w:rPr>
        <w:t>在接下来的篇幅中，我们将要做的正是这件事。</w:t>
      </w:r>
    </w:p>
    <w:p w14:paraId="42571E82">
      <w:pPr>
        <w:pStyle w:val="9"/>
        <w:spacing w:after="0" w:line="249" w:lineRule="auto"/>
        <w:rPr>
          <w:rFonts w:hint="eastAsia"/>
          <w:color w:val="231F20"/>
        </w:rPr>
      </w:pPr>
    </w:p>
    <w:p w14:paraId="2668D35A">
      <w:pPr>
        <w:pStyle w:val="9"/>
        <w:spacing w:after="0" w:line="249" w:lineRule="auto"/>
        <w:rPr>
          <w:rFonts w:hint="eastAsia"/>
          <w:color w:val="231F20"/>
        </w:rPr>
      </w:pPr>
      <w:r>
        <w:rPr>
          <w:rFonts w:hint="eastAsia"/>
          <w:color w:val="231F20"/>
        </w:rPr>
        <w:t>The Day of the LORD</w:t>
      </w:r>
    </w:p>
    <w:p w14:paraId="1B6D6A59">
      <w:pPr>
        <w:pStyle w:val="9"/>
        <w:spacing w:after="0" w:line="249" w:lineRule="auto"/>
        <w:rPr>
          <w:rFonts w:hint="eastAsia"/>
          <w:color w:val="231F20"/>
        </w:rPr>
      </w:pPr>
      <w:r>
        <w:rPr>
          <w:rFonts w:hint="eastAsia"/>
          <w:color w:val="231F20"/>
        </w:rPr>
        <w:t>耶和华的日子</w:t>
      </w:r>
    </w:p>
    <w:p w14:paraId="6CDB3407">
      <w:pPr>
        <w:pStyle w:val="9"/>
        <w:spacing w:after="0" w:line="249" w:lineRule="auto"/>
        <w:rPr>
          <w:rFonts w:hint="eastAsia"/>
          <w:color w:val="231F20"/>
        </w:rPr>
      </w:pPr>
    </w:p>
    <w:p w14:paraId="1905872F">
      <w:pPr>
        <w:pStyle w:val="9"/>
        <w:spacing w:after="0" w:line="249" w:lineRule="auto"/>
        <w:rPr>
          <w:rFonts w:hint="eastAsia"/>
          <w:color w:val="231F20"/>
        </w:rPr>
      </w:pPr>
      <w:r>
        <w:rPr>
          <w:rFonts w:hint="eastAsia"/>
          <w:color w:val="231F20"/>
        </w:rPr>
        <w:t>Following close on the heels of the Last Battle is the fourth OT stage of the coming of the Kingdom, the Day of the LORD.</w:t>
      </w:r>
    </w:p>
    <w:p w14:paraId="2770FDFE">
      <w:pPr>
        <w:pStyle w:val="9"/>
        <w:spacing w:after="0" w:line="249" w:lineRule="auto"/>
        <w:rPr>
          <w:rFonts w:hint="eastAsia"/>
          <w:color w:val="231F20"/>
        </w:rPr>
      </w:pPr>
      <w:r>
        <w:rPr>
          <w:rFonts w:hint="eastAsia"/>
          <w:color w:val="231F20"/>
        </w:rPr>
        <w:t>紧随最后战役之后的是国度来临的第四个旧约阶段，即耶和华的日子。</w:t>
      </w:r>
    </w:p>
    <w:p w14:paraId="436D0FB5">
      <w:pPr>
        <w:pStyle w:val="9"/>
        <w:spacing w:after="0" w:line="249" w:lineRule="auto"/>
        <w:rPr>
          <w:rFonts w:hint="eastAsia"/>
          <w:color w:val="231F20"/>
        </w:rPr>
      </w:pPr>
    </w:p>
    <w:p w14:paraId="7EE8D391">
      <w:pPr>
        <w:pStyle w:val="9"/>
        <w:spacing w:after="0" w:line="249" w:lineRule="auto"/>
        <w:rPr>
          <w:rFonts w:hint="eastAsia"/>
          <w:color w:val="231F20"/>
        </w:rPr>
      </w:pPr>
      <w:r>
        <w:rPr>
          <w:rFonts w:hint="eastAsia"/>
          <w:color w:val="231F20"/>
        </w:rPr>
        <w:t>Based upon a close reading of the relevant OT texts, we may define it as a final, supernatural visitation of God, both in judgment and redemption, upon the entire fallen world; a visitation in which he eradicates all his enemies, vindicates his people, and introduces the manifold blessings of the World or Kingdom to Come.</w:t>
      </w:r>
    </w:p>
    <w:p w14:paraId="53EA23EF">
      <w:pPr>
        <w:pStyle w:val="9"/>
        <w:spacing w:after="0" w:line="249" w:lineRule="auto"/>
        <w:rPr>
          <w:rFonts w:hint="eastAsia"/>
          <w:color w:val="231F20"/>
        </w:rPr>
      </w:pPr>
      <w:r>
        <w:rPr>
          <w:rFonts w:hint="eastAsia"/>
          <w:color w:val="231F20"/>
        </w:rPr>
        <w:t>根据对相关旧约经文的仔细研读，我们可以将其定义为上帝对整个堕落世界的一次最终的、超自然的临到，既有审判也有救赎；在这次临到中，祂根除祂所有的仇敌，为祂的子民伸冤，并引入未来世界或国度的多重祝福。</w:t>
      </w:r>
    </w:p>
    <w:p w14:paraId="6CB71BFF">
      <w:pPr>
        <w:pStyle w:val="9"/>
        <w:spacing w:after="0" w:line="249" w:lineRule="auto"/>
        <w:rPr>
          <w:rFonts w:hint="eastAsia"/>
          <w:color w:val="231F20"/>
        </w:rPr>
      </w:pPr>
    </w:p>
    <w:p w14:paraId="48E26834">
      <w:pPr>
        <w:pStyle w:val="9"/>
        <w:spacing w:after="0" w:line="249" w:lineRule="auto"/>
        <w:rPr>
          <w:rFonts w:hint="eastAsia"/>
          <w:color w:val="231F20"/>
        </w:rPr>
      </w:pPr>
      <w:r>
        <w:rPr>
          <w:rFonts w:hint="eastAsia"/>
          <w:color w:val="231F20"/>
        </w:rPr>
        <w:t>By way of illustration, let us consider a short prophecy from Malachi, found at the very end of the Old Testament:</w:t>
      </w:r>
    </w:p>
    <w:p w14:paraId="3DD0E6F7">
      <w:pPr>
        <w:pStyle w:val="9"/>
        <w:spacing w:after="0" w:line="249" w:lineRule="auto"/>
        <w:rPr>
          <w:rFonts w:hint="eastAsia"/>
          <w:color w:val="231F20"/>
        </w:rPr>
      </w:pPr>
      <w:r>
        <w:rPr>
          <w:rFonts w:hint="eastAsia"/>
          <w:color w:val="231F20"/>
        </w:rPr>
        <w:t>为了说明这一点，让我们思考一段来自玛拉基书的简短预言，它位于旧约的最后：</w:t>
      </w:r>
    </w:p>
    <w:p w14:paraId="458949E3">
      <w:pPr>
        <w:pStyle w:val="9"/>
        <w:spacing w:after="0" w:line="249" w:lineRule="auto"/>
        <w:rPr>
          <w:rFonts w:hint="eastAsia"/>
          <w:color w:val="231F20"/>
        </w:rPr>
      </w:pPr>
    </w:p>
    <w:p w14:paraId="1BA2DC16">
      <w:pPr>
        <w:pStyle w:val="9"/>
        <w:spacing w:after="0" w:line="249" w:lineRule="auto"/>
        <w:rPr>
          <w:rFonts w:hint="eastAsia"/>
          <w:color w:val="231F20"/>
        </w:rPr>
      </w:pPr>
      <w:r>
        <w:rPr>
          <w:rFonts w:hint="eastAsia"/>
          <w:color w:val="231F20"/>
        </w:rPr>
        <w:t>“For behold, the Day is coming, burning like a furnace, and all the arrogant and every evildoer will be chaff; and the Day that is coming will set them ablaze,” says the LORD of hosts, “so that it will leave them neither root nor branch.</w:t>
      </w:r>
    </w:p>
    <w:p w14:paraId="6E88B450">
      <w:pPr>
        <w:pStyle w:val="9"/>
        <w:spacing w:after="0" w:line="249" w:lineRule="auto"/>
        <w:rPr>
          <w:rFonts w:hint="eastAsia"/>
          <w:color w:val="231F20"/>
        </w:rPr>
      </w:pPr>
      <w:r>
        <w:rPr>
          <w:rFonts w:hint="eastAsia"/>
          <w:color w:val="231F20"/>
        </w:rPr>
        <w:t>万军之耶和华说：“看哪，那日临近，势如烧着的火炉，凡狂傲的和行恶的都必如碎秸；那要来的日子必将他们烧尽，连根带枝都不得存留。</w:t>
      </w:r>
    </w:p>
    <w:p w14:paraId="6A143EB6">
      <w:pPr>
        <w:pStyle w:val="9"/>
        <w:spacing w:after="0" w:line="249" w:lineRule="auto"/>
        <w:rPr>
          <w:rFonts w:hint="eastAsia"/>
          <w:color w:val="231F20"/>
        </w:rPr>
      </w:pPr>
    </w:p>
    <w:p w14:paraId="15751AAA">
      <w:pPr>
        <w:pStyle w:val="9"/>
        <w:spacing w:after="0" w:line="249" w:lineRule="auto"/>
        <w:rPr>
          <w:rFonts w:hint="eastAsia"/>
          <w:color w:val="231F20"/>
        </w:rPr>
      </w:pPr>
      <w:r>
        <w:rPr>
          <w:rFonts w:hint="eastAsia"/>
          <w:color w:val="231F20"/>
        </w:rPr>
        <w:t>But as for you who fear My name, the Sun of Righteousness will rise with healing in its (or, his) wings; and you will go forth and skip about like calves from the stall.</w:t>
      </w:r>
    </w:p>
    <w:p w14:paraId="23FF85B1">
      <w:pPr>
        <w:pStyle w:val="9"/>
        <w:spacing w:after="0" w:line="249" w:lineRule="auto"/>
        <w:rPr>
          <w:rFonts w:hint="eastAsia"/>
          <w:color w:val="231F20"/>
        </w:rPr>
      </w:pPr>
      <w:r>
        <w:rPr>
          <w:rFonts w:hint="eastAsia"/>
          <w:color w:val="231F20"/>
        </w:rPr>
        <w:t>但向你们敬畏我名的人，必有公义的日头出现，其翅膀（或作：祂的翅膀）有医治之能；你们必出来跳跃如圈里的肥犊。</w:t>
      </w:r>
    </w:p>
    <w:p w14:paraId="1549F24C">
      <w:pPr>
        <w:pStyle w:val="9"/>
        <w:spacing w:after="0" w:line="249" w:lineRule="auto"/>
        <w:rPr>
          <w:rFonts w:hint="eastAsia"/>
          <w:color w:val="231F20"/>
        </w:rPr>
      </w:pPr>
    </w:p>
    <w:p w14:paraId="0D204574">
      <w:pPr>
        <w:pStyle w:val="9"/>
        <w:spacing w:after="0" w:line="249" w:lineRule="auto"/>
        <w:rPr>
          <w:rFonts w:hint="eastAsia"/>
          <w:color w:val="231F20"/>
        </w:rPr>
      </w:pPr>
      <w:r>
        <w:rPr>
          <w:rFonts w:hint="eastAsia"/>
          <w:color w:val="231F20"/>
        </w:rPr>
        <w:t>And you will tread down the wicked, for they shall be ashes under the soles of your feet on the Day which I am preparing,” says the LORD of hosts.</w:t>
      </w:r>
    </w:p>
    <w:p w14:paraId="44F4BEF1">
      <w:pPr>
        <w:pStyle w:val="9"/>
        <w:spacing w:after="0" w:line="249" w:lineRule="auto"/>
        <w:rPr>
          <w:rFonts w:hint="eastAsia"/>
          <w:color w:val="231F20"/>
        </w:rPr>
      </w:pPr>
      <w:r>
        <w:rPr>
          <w:rFonts w:hint="eastAsia"/>
          <w:color w:val="231F20"/>
        </w:rPr>
        <w:t>你们必践踏恶人，因为在我所预备的日子，他们必在你们脚掌之下成为灰尘。”这是万军之耶和华说的。</w:t>
      </w:r>
    </w:p>
    <w:p w14:paraId="48225A36">
      <w:pPr>
        <w:pStyle w:val="9"/>
        <w:spacing w:after="0" w:line="249" w:lineRule="auto"/>
        <w:rPr>
          <w:rFonts w:hint="eastAsia"/>
          <w:color w:val="231F20"/>
        </w:rPr>
      </w:pPr>
    </w:p>
    <w:p w14:paraId="3F3176FD">
      <w:pPr>
        <w:pStyle w:val="9"/>
        <w:spacing w:after="0" w:line="249" w:lineRule="auto"/>
        <w:rPr>
          <w:rFonts w:hint="eastAsia"/>
          <w:color w:val="231F20"/>
        </w:rPr>
      </w:pPr>
      <w:r>
        <w:rPr>
          <w:rFonts w:hint="eastAsia"/>
          <w:color w:val="231F20"/>
        </w:rPr>
        <w:t>—Mal. 4:1-3</w:t>
      </w:r>
    </w:p>
    <w:p w14:paraId="00F24A7E">
      <w:pPr>
        <w:pStyle w:val="9"/>
        <w:spacing w:after="0" w:line="249" w:lineRule="auto"/>
        <w:rPr>
          <w:rFonts w:hint="eastAsia"/>
          <w:color w:val="231F20"/>
        </w:rPr>
      </w:pPr>
      <w:r>
        <w:rPr>
          <w:rFonts w:hint="eastAsia"/>
          <w:color w:val="231F20"/>
        </w:rPr>
        <w:t>——玛拉基书 4:1-3</w:t>
      </w:r>
    </w:p>
    <w:p w14:paraId="5A57F38E">
      <w:pPr>
        <w:pStyle w:val="9"/>
        <w:spacing w:after="0" w:line="249" w:lineRule="auto"/>
        <w:rPr>
          <w:rFonts w:hint="eastAsia"/>
          <w:color w:val="231F20"/>
        </w:rPr>
      </w:pPr>
    </w:p>
    <w:p w14:paraId="2A8729B1">
      <w:pPr>
        <w:pStyle w:val="9"/>
        <w:spacing w:after="0" w:line="249" w:lineRule="auto"/>
        <w:rPr>
          <w:rFonts w:hint="eastAsia"/>
          <w:color w:val="231F20"/>
        </w:rPr>
      </w:pPr>
      <w:r>
        <w:rPr>
          <w:rFonts w:hint="eastAsia"/>
          <w:color w:val="231F20"/>
        </w:rPr>
        <w:t>Importantly, OTKP’s like this arise from, and elaborate upon, the prototypical Kingdom prophecies found in the Mosaic Law.</w:t>
      </w:r>
    </w:p>
    <w:p w14:paraId="365DB85C">
      <w:pPr>
        <w:pStyle w:val="9"/>
        <w:spacing w:after="0" w:line="249" w:lineRule="auto"/>
        <w:rPr>
          <w:rFonts w:hint="eastAsia"/>
          <w:color w:val="231F20"/>
        </w:rPr>
      </w:pPr>
      <w:r>
        <w:rPr>
          <w:rFonts w:hint="eastAsia"/>
          <w:color w:val="231F20"/>
        </w:rPr>
        <w:t>重要的是，像这样的旧约国度预言（OTKP）源于并详细阐述了在摩西律法中发现的国度原型预言。</w:t>
      </w:r>
    </w:p>
    <w:p w14:paraId="763B7A6C">
      <w:pPr>
        <w:pStyle w:val="9"/>
        <w:spacing w:after="0" w:line="249" w:lineRule="auto"/>
        <w:rPr>
          <w:rFonts w:hint="eastAsia"/>
          <w:color w:val="231F20"/>
        </w:rPr>
      </w:pPr>
    </w:p>
    <w:p w14:paraId="528A2D96">
      <w:pPr>
        <w:pStyle w:val="9"/>
        <w:spacing w:after="0" w:line="249" w:lineRule="auto"/>
        <w:rPr>
          <w:rFonts w:hint="eastAsia"/>
          <w:color w:val="231F20"/>
        </w:rPr>
      </w:pPr>
      <w:r>
        <w:rPr>
          <w:rFonts w:hint="eastAsia"/>
          <w:color w:val="231F20"/>
        </w:rPr>
        <w:t>For example, in a prophecy of Israel’s eschatological restoration to the Promised Land, Moses wrote, “And the LORD your God will inflict all these curses on your enemies, and on those who hate you, who persecuted you” (Deut. 30:7).</w:t>
      </w:r>
    </w:p>
    <w:p w14:paraId="476B8D95">
      <w:pPr>
        <w:pStyle w:val="9"/>
        <w:spacing w:after="0" w:line="249" w:lineRule="auto"/>
        <w:rPr>
          <w:rFonts w:hint="eastAsia"/>
          <w:color w:val="231F20"/>
        </w:rPr>
      </w:pPr>
      <w:r>
        <w:rPr>
          <w:rFonts w:hint="eastAsia"/>
          <w:color w:val="231F20"/>
        </w:rPr>
        <w:t>例如，在一段关于以色列末世复兴归回应许之地的预言中，摩西写道：“耶和华你的上帝必将这一切咒诅加在你仇敌和恨恶你、逼迫你的人身上”（申命记 30:7）。</w:t>
      </w:r>
    </w:p>
    <w:p w14:paraId="03F10ED8">
      <w:pPr>
        <w:pStyle w:val="9"/>
        <w:spacing w:after="0" w:line="249" w:lineRule="auto"/>
        <w:rPr>
          <w:rFonts w:hint="eastAsia"/>
          <w:color w:val="231F20"/>
        </w:rPr>
      </w:pPr>
    </w:p>
    <w:p w14:paraId="64CD47F9">
      <w:pPr>
        <w:pStyle w:val="9"/>
        <w:spacing w:after="0" w:line="249" w:lineRule="auto"/>
        <w:rPr>
          <w:rFonts w:hint="eastAsia"/>
          <w:color w:val="231F20"/>
        </w:rPr>
      </w:pPr>
      <w:r>
        <w:rPr>
          <w:rFonts w:hint="eastAsia"/>
          <w:color w:val="231F20"/>
        </w:rPr>
        <w:t>Likewise, in the Song of Moses we first hear God lamenting Israel’s future apostasy, judgment, and exile (Deut. 32:1-31).</w:t>
      </w:r>
    </w:p>
    <w:p w14:paraId="2B565B68">
      <w:pPr>
        <w:pStyle w:val="9"/>
        <w:spacing w:after="0" w:line="249" w:lineRule="auto"/>
        <w:rPr>
          <w:rFonts w:hint="eastAsia"/>
          <w:color w:val="231F20"/>
        </w:rPr>
      </w:pPr>
      <w:r>
        <w:rPr>
          <w:rFonts w:hint="eastAsia"/>
          <w:color w:val="231F20"/>
        </w:rPr>
        <w:t>同样，在摩西之歌中，我们首先听到上帝哀叹以色列未来的背道、审判和流亡（申命记 32:1-31）。</w:t>
      </w:r>
    </w:p>
    <w:p w14:paraId="30E6354B">
      <w:pPr>
        <w:pStyle w:val="9"/>
        <w:spacing w:after="0" w:line="249" w:lineRule="auto"/>
        <w:rPr>
          <w:rFonts w:hint="eastAsia"/>
          <w:color w:val="231F20"/>
        </w:rPr>
      </w:pPr>
    </w:p>
    <w:p w14:paraId="401DCF47">
      <w:pPr>
        <w:pStyle w:val="9"/>
        <w:spacing w:after="0" w:line="249" w:lineRule="auto"/>
        <w:rPr>
          <w:rFonts w:hint="eastAsia"/>
          <w:color w:val="231F20"/>
        </w:rPr>
      </w:pPr>
      <w:r>
        <w:rPr>
          <w:rFonts w:hint="eastAsia"/>
          <w:color w:val="231F20"/>
        </w:rPr>
        <w:t>Nevertheless, as the Song nears its climax, we also hear him promising that he will yet have compassion on his people (v.36), make atonement for them and their land (v. 43), and rise up in wrath against their enemies:</w:t>
      </w:r>
    </w:p>
    <w:p w14:paraId="047CC494">
      <w:pPr>
        <w:pStyle w:val="9"/>
        <w:spacing w:after="0" w:line="249" w:lineRule="auto"/>
        <w:rPr>
          <w:rFonts w:hint="eastAsia"/>
          <w:color w:val="231F20"/>
        </w:rPr>
      </w:pPr>
      <w:r>
        <w:rPr>
          <w:rFonts w:hint="eastAsia"/>
          <w:color w:val="231F20"/>
        </w:rPr>
        <w:t>然而，随着这首歌接近高潮，我们也听到祂应许祂仍要怜恤祂的子民（36节），为他们和他们的地赎罪（43节），并忿怒地兴起攻击他们的仇敌：</w:t>
      </w:r>
    </w:p>
    <w:p w14:paraId="6FFD8564">
      <w:pPr>
        <w:pStyle w:val="9"/>
        <w:spacing w:after="0" w:line="249" w:lineRule="auto"/>
        <w:rPr>
          <w:rFonts w:hint="eastAsia"/>
          <w:color w:val="231F20"/>
        </w:rPr>
      </w:pPr>
    </w:p>
    <w:p w14:paraId="50A0642D">
      <w:pPr>
        <w:pStyle w:val="9"/>
        <w:spacing w:after="0" w:line="249" w:lineRule="auto"/>
        <w:rPr>
          <w:rFonts w:hint="eastAsia"/>
          <w:color w:val="231F20"/>
        </w:rPr>
      </w:pPr>
      <w:r>
        <w:rPr>
          <w:rFonts w:hint="eastAsia"/>
          <w:color w:val="231F20"/>
        </w:rPr>
        <w:t>“Is it not laid up in store with Me, sealed up in My treasuries?</w:t>
      </w:r>
    </w:p>
    <w:p w14:paraId="40C84F95">
      <w:pPr>
        <w:pStyle w:val="9"/>
        <w:spacing w:after="0" w:line="249" w:lineRule="auto"/>
        <w:rPr>
          <w:rFonts w:hint="eastAsia"/>
          <w:color w:val="231F20"/>
        </w:rPr>
      </w:pPr>
      <w:r>
        <w:rPr>
          <w:rFonts w:hint="eastAsia"/>
          <w:color w:val="231F20"/>
        </w:rPr>
        <w:t>“这不都积蓄在我这里，封锁在我府库中吗？</w:t>
      </w:r>
    </w:p>
    <w:p w14:paraId="5CCE42DA">
      <w:pPr>
        <w:pStyle w:val="9"/>
        <w:spacing w:after="0" w:line="249" w:lineRule="auto"/>
        <w:rPr>
          <w:rFonts w:hint="eastAsia"/>
          <w:color w:val="231F20"/>
        </w:rPr>
      </w:pPr>
    </w:p>
    <w:p w14:paraId="11B627A2">
      <w:pPr>
        <w:pStyle w:val="9"/>
        <w:spacing w:after="0" w:line="249" w:lineRule="auto"/>
        <w:rPr>
          <w:rFonts w:hint="eastAsia"/>
          <w:color w:val="231F20"/>
        </w:rPr>
      </w:pPr>
      <w:r>
        <w:rPr>
          <w:rFonts w:hint="eastAsia"/>
          <w:color w:val="231F20"/>
        </w:rPr>
        <w:t>Vengeance is Mine, and retribution.</w:t>
      </w:r>
    </w:p>
    <w:p w14:paraId="15D41481">
      <w:pPr>
        <w:pStyle w:val="9"/>
        <w:spacing w:after="0" w:line="249" w:lineRule="auto"/>
        <w:rPr>
          <w:rFonts w:hint="eastAsia"/>
          <w:color w:val="231F20"/>
        </w:rPr>
      </w:pPr>
      <w:r>
        <w:rPr>
          <w:rFonts w:hint="eastAsia"/>
          <w:color w:val="231F20"/>
        </w:rPr>
        <w:t>伸冤报应在我。</w:t>
      </w:r>
    </w:p>
    <w:p w14:paraId="4927F0B6">
      <w:pPr>
        <w:pStyle w:val="9"/>
        <w:spacing w:after="0" w:line="249" w:lineRule="auto"/>
        <w:rPr>
          <w:rFonts w:hint="eastAsia"/>
          <w:color w:val="231F20"/>
        </w:rPr>
      </w:pPr>
    </w:p>
    <w:p w14:paraId="1D74BFE9">
      <w:pPr>
        <w:pStyle w:val="9"/>
        <w:spacing w:after="0" w:line="249" w:lineRule="auto"/>
        <w:rPr>
          <w:rFonts w:hint="eastAsia"/>
          <w:color w:val="231F20"/>
        </w:rPr>
      </w:pPr>
      <w:r>
        <w:rPr>
          <w:rFonts w:hint="eastAsia"/>
          <w:color w:val="231F20"/>
        </w:rPr>
        <w:t>In due time their foot will slip; for the Day of their calamity is near, and the impending things are hastening upon them … Indeed, I lift up My hand to heaven and say, ‘As I live forever, if I sharpen My flashing sword, and My hand takes hold on justice, I will render vengeance on My adversaries, and I will repay those who hate Me.</w:t>
      </w:r>
    </w:p>
    <w:p w14:paraId="6B9A782B">
      <w:pPr>
        <w:pStyle w:val="9"/>
        <w:spacing w:after="0" w:line="249" w:lineRule="auto"/>
        <w:rPr>
          <w:rFonts w:hint="eastAsia"/>
          <w:color w:val="231F20"/>
        </w:rPr>
      </w:pPr>
      <w:r>
        <w:rPr>
          <w:rFonts w:hint="eastAsia"/>
          <w:color w:val="231F20"/>
        </w:rPr>
        <w:t>他们失脚的时候，近了；因为他们遭难的日子临近，那要临到他们身上的事，必速速来到……我向天举手说：‘我凭我的永生起誓，我若磨我闪亮的刀，我的手掌握审判，我必报复我的敌人，报应那些恨我的人。</w:t>
      </w:r>
    </w:p>
    <w:p w14:paraId="13DC85FB">
      <w:pPr>
        <w:pStyle w:val="9"/>
        <w:spacing w:after="0" w:line="249" w:lineRule="auto"/>
        <w:rPr>
          <w:rFonts w:hint="eastAsia"/>
          <w:color w:val="231F20"/>
        </w:rPr>
      </w:pPr>
    </w:p>
    <w:p w14:paraId="469A962C">
      <w:pPr>
        <w:pStyle w:val="9"/>
        <w:spacing w:after="0" w:line="249" w:lineRule="auto"/>
        <w:rPr>
          <w:rFonts w:hint="eastAsia"/>
          <w:color w:val="231F20"/>
        </w:rPr>
      </w:pPr>
      <w:r>
        <w:rPr>
          <w:rFonts w:hint="eastAsia"/>
          <w:color w:val="231F20"/>
        </w:rPr>
        <w:t>I will make My arrows drunk with blood, and My sword will devour flesh; drunk with the blood of the slain and the captives, blood from the long-haired heads of the enemy.’”</w:t>
      </w:r>
    </w:p>
    <w:p w14:paraId="1E06F02C">
      <w:pPr>
        <w:pStyle w:val="9"/>
        <w:spacing w:after="0" w:line="249" w:lineRule="auto"/>
        <w:rPr>
          <w:rFonts w:hint="eastAsia"/>
          <w:color w:val="231F20"/>
        </w:rPr>
      </w:pPr>
      <w:r>
        <w:rPr>
          <w:rFonts w:hint="eastAsia"/>
          <w:color w:val="231F20"/>
        </w:rPr>
        <w:t>我要使我的箭饮血饮醉，我的刀要吃肉；就是被杀被掳之人的血，和仇敌长发首领的血。’”</w:t>
      </w:r>
    </w:p>
    <w:p w14:paraId="2186A2C0">
      <w:pPr>
        <w:pStyle w:val="9"/>
        <w:spacing w:after="0" w:line="249" w:lineRule="auto"/>
        <w:rPr>
          <w:rFonts w:hint="eastAsia"/>
          <w:color w:val="231F20"/>
        </w:rPr>
      </w:pPr>
    </w:p>
    <w:p w14:paraId="4C75D1F6">
      <w:pPr>
        <w:pStyle w:val="9"/>
        <w:spacing w:after="0" w:line="249" w:lineRule="auto"/>
        <w:rPr>
          <w:rFonts w:hint="eastAsia"/>
          <w:color w:val="231F20"/>
        </w:rPr>
      </w:pPr>
      <w:r>
        <w:rPr>
          <w:rFonts w:hint="eastAsia"/>
          <w:color w:val="231F20"/>
        </w:rPr>
        <w:t>—Deut. 32:34-35, 40-42</w:t>
      </w:r>
    </w:p>
    <w:p w14:paraId="3CB57D04">
      <w:pPr>
        <w:pStyle w:val="9"/>
        <w:spacing w:after="0" w:line="249" w:lineRule="auto"/>
        <w:rPr>
          <w:rFonts w:hint="eastAsia"/>
          <w:color w:val="231F20"/>
        </w:rPr>
      </w:pPr>
      <w:r>
        <w:rPr>
          <w:rFonts w:hint="eastAsia"/>
          <w:color w:val="231F20"/>
        </w:rPr>
        <w:t>——申命记 32:34-35, 40-42</w:t>
      </w:r>
    </w:p>
    <w:p w14:paraId="41299535">
      <w:pPr>
        <w:pStyle w:val="9"/>
        <w:spacing w:after="0" w:line="249" w:lineRule="auto"/>
        <w:rPr>
          <w:rFonts w:hint="eastAsia"/>
          <w:color w:val="231F20"/>
        </w:rPr>
      </w:pPr>
    </w:p>
    <w:p w14:paraId="37B02B42">
      <w:pPr>
        <w:pStyle w:val="9"/>
        <w:spacing w:after="0" w:line="249" w:lineRule="auto"/>
        <w:rPr>
          <w:rFonts w:hint="eastAsia"/>
          <w:color w:val="231F20"/>
        </w:rPr>
      </w:pPr>
      <w:r>
        <w:rPr>
          <w:rFonts w:hint="eastAsia"/>
          <w:color w:val="231F20"/>
        </w:rPr>
        <w:t>Here, in seed form, is the Day of the LORD, spoken of by all the OT prophets.</w:t>
      </w:r>
    </w:p>
    <w:p w14:paraId="2790EBE2">
      <w:pPr>
        <w:pStyle w:val="9"/>
        <w:spacing w:after="0" w:line="249" w:lineRule="auto"/>
        <w:rPr>
          <w:rFonts w:hint="eastAsia"/>
          <w:color w:val="231F20"/>
        </w:rPr>
      </w:pPr>
      <w:r>
        <w:rPr>
          <w:rFonts w:hint="eastAsia"/>
          <w:color w:val="231F20"/>
        </w:rPr>
        <w:t>这里，以种子的形式，是所有旧约先知所说的耶和华的日子。</w:t>
      </w:r>
    </w:p>
    <w:p w14:paraId="7818FD1B">
      <w:pPr>
        <w:pStyle w:val="9"/>
        <w:spacing w:after="0" w:line="249" w:lineRule="auto"/>
        <w:rPr>
          <w:rFonts w:hint="eastAsia"/>
          <w:color w:val="231F20"/>
        </w:rPr>
      </w:pPr>
    </w:p>
    <w:p w14:paraId="358D3B13">
      <w:pPr>
        <w:pStyle w:val="9"/>
        <w:spacing w:after="0" w:line="249" w:lineRule="auto"/>
        <w:rPr>
          <w:rFonts w:hint="eastAsia"/>
          <w:color w:val="231F20"/>
        </w:rPr>
      </w:pPr>
      <w:r>
        <w:rPr>
          <w:rFonts w:hint="eastAsia"/>
          <w:color w:val="231F20"/>
        </w:rPr>
        <w:t>Accordingly, the Christian interpreter must ever bear in mind that just as Israel, their Law, their land, their exile, and their restoration all typify larger eschatological realities, so too do the various prophecies of the Day of the LORD given under the Law.</w:t>
      </w:r>
    </w:p>
    <w:p w14:paraId="6F155685">
      <w:pPr>
        <w:pStyle w:val="9"/>
        <w:spacing w:after="0" w:line="249" w:lineRule="auto"/>
        <w:rPr>
          <w:rFonts w:hint="eastAsia"/>
          <w:color w:val="231F20"/>
        </w:rPr>
      </w:pPr>
      <w:r>
        <w:rPr>
          <w:rFonts w:hint="eastAsia"/>
          <w:color w:val="231F20"/>
        </w:rPr>
        <w:t>因此，基督徒解释者必须时刻记住，正如以色列、他们的律法、他们的土地、他们的流亡和他们的复兴都预表着更大的末世现实一样，在律法下给出的关于耶和华的日子的各种预言也是如此。</w:t>
      </w:r>
    </w:p>
    <w:p w14:paraId="1783753E">
      <w:pPr>
        <w:pStyle w:val="9"/>
        <w:spacing w:after="0" w:line="249" w:lineRule="auto"/>
        <w:rPr>
          <w:rFonts w:hint="eastAsia"/>
          <w:color w:val="231F20"/>
        </w:rPr>
      </w:pPr>
    </w:p>
    <w:p w14:paraId="3D8E00F2">
      <w:pPr>
        <w:pStyle w:val="9"/>
        <w:spacing w:after="0" w:line="249" w:lineRule="auto"/>
        <w:rPr>
          <w:rFonts w:hint="eastAsia"/>
          <w:color w:val="231F20"/>
        </w:rPr>
      </w:pPr>
      <w:r>
        <w:rPr>
          <w:rFonts w:hint="eastAsia"/>
          <w:color w:val="231F20"/>
        </w:rPr>
        <w:t>All of them are “covenantally conditioned” and must therefore be interpreted as such with a view to their true fulfillment in NT times.</w:t>
      </w:r>
    </w:p>
    <w:p w14:paraId="15C50BB3">
      <w:pPr>
        <w:pStyle w:val="9"/>
        <w:spacing w:after="0" w:line="249" w:lineRule="auto"/>
        <w:rPr>
          <w:rFonts w:hint="eastAsia"/>
          <w:color w:val="231F20"/>
        </w:rPr>
      </w:pPr>
      <w:r>
        <w:rPr>
          <w:rFonts w:hint="eastAsia"/>
          <w:color w:val="231F20"/>
        </w:rPr>
        <w:t>所有这些都是“受圣约制约的”，因此必须如此解释，以期它们在新约时代得到真正的应验。</w:t>
      </w:r>
    </w:p>
    <w:p w14:paraId="5BB40F55">
      <w:pPr>
        <w:pStyle w:val="9"/>
        <w:spacing w:after="0" w:line="249" w:lineRule="auto"/>
        <w:rPr>
          <w:rFonts w:hint="eastAsia"/>
          <w:color w:val="231F20"/>
        </w:rPr>
      </w:pPr>
    </w:p>
    <w:p w14:paraId="30509AD4">
      <w:pPr>
        <w:pStyle w:val="9"/>
        <w:spacing w:after="0" w:line="249" w:lineRule="auto"/>
        <w:rPr>
          <w:rFonts w:hint="eastAsia"/>
          <w:color w:val="231F20"/>
        </w:rPr>
      </w:pPr>
      <w:r>
        <w:rPr>
          <w:rFonts w:hint="eastAsia"/>
          <w:color w:val="231F20"/>
        </w:rPr>
        <w:t>With this as background, let us briefly survey three interesting and important characteristics of OTKP’s of the Day of the LORD.</w:t>
      </w:r>
    </w:p>
    <w:p w14:paraId="13CC58D4">
      <w:pPr>
        <w:pStyle w:val="9"/>
        <w:spacing w:after="0" w:line="249" w:lineRule="auto"/>
        <w:rPr>
          <w:rFonts w:hint="eastAsia"/>
          <w:color w:val="231F20"/>
        </w:rPr>
      </w:pPr>
      <w:r>
        <w:rPr>
          <w:rFonts w:hint="eastAsia"/>
          <w:color w:val="231F20"/>
        </w:rPr>
        <w:t>以此为背景，让我们简要地考察一下关于耶和华的日子的旧约国度预言（OTKP）的三个有趣且重要的特征。</w:t>
      </w:r>
    </w:p>
    <w:p w14:paraId="616D707D">
      <w:pPr>
        <w:pStyle w:val="9"/>
        <w:spacing w:after="0" w:line="249" w:lineRule="auto"/>
        <w:rPr>
          <w:rFonts w:hint="eastAsia"/>
          <w:color w:val="231F20"/>
        </w:rPr>
      </w:pPr>
    </w:p>
    <w:p w14:paraId="04C6E053">
      <w:pPr>
        <w:pStyle w:val="9"/>
        <w:spacing w:after="0" w:line="249" w:lineRule="auto"/>
        <w:rPr>
          <w:rFonts w:hint="eastAsia"/>
          <w:color w:val="231F20"/>
        </w:rPr>
      </w:pPr>
      <w:r>
        <w:rPr>
          <w:rFonts w:hint="eastAsia"/>
          <w:color w:val="231F20"/>
        </w:rPr>
        <w:t>First, a great many of these prophecies display a fascinating biblical phenomenon called prophetic perspective or prophetic blending.</w:t>
      </w:r>
    </w:p>
    <w:p w14:paraId="557C3A38">
      <w:pPr>
        <w:pStyle w:val="9"/>
        <w:spacing w:after="0" w:line="249" w:lineRule="auto"/>
        <w:rPr>
          <w:rFonts w:hint="eastAsia"/>
          <w:color w:val="231F20"/>
        </w:rPr>
      </w:pPr>
      <w:r>
        <w:rPr>
          <w:rFonts w:hint="eastAsia"/>
          <w:color w:val="231F20"/>
        </w:rPr>
        <w:t>首先，许多这些预言展示了一个引人入胜的圣经现象，称为预言视角或预言融合。</w:t>
      </w:r>
    </w:p>
    <w:p w14:paraId="786846CA">
      <w:pPr>
        <w:pStyle w:val="9"/>
        <w:spacing w:after="0" w:line="249" w:lineRule="auto"/>
        <w:rPr>
          <w:rFonts w:hint="eastAsia"/>
          <w:color w:val="231F20"/>
        </w:rPr>
      </w:pPr>
    </w:p>
    <w:p w14:paraId="633D08B3">
      <w:pPr>
        <w:pStyle w:val="9"/>
        <w:spacing w:after="0" w:line="249" w:lineRule="auto"/>
        <w:rPr>
          <w:rFonts w:hint="eastAsia"/>
          <w:color w:val="231F20"/>
        </w:rPr>
      </w:pPr>
      <w:r>
        <w:rPr>
          <w:rFonts w:hint="eastAsia"/>
          <w:color w:val="231F20"/>
        </w:rPr>
        <w:t>The idea here is that in delivering a single prophecy of coming judgment and/or restoration, the prophets sometimes spoke simultaneously of two (or even three) similar but historically separate events; of events near and far, local and universal, preliminary and eschatological.</w:t>
      </w:r>
    </w:p>
    <w:p w14:paraId="48DB97A9">
      <w:pPr>
        <w:pStyle w:val="9"/>
        <w:spacing w:after="0" w:line="249" w:lineRule="auto"/>
        <w:rPr>
          <w:rFonts w:hint="eastAsia"/>
          <w:color w:val="231F20"/>
        </w:rPr>
      </w:pPr>
      <w:r>
        <w:rPr>
          <w:rFonts w:hint="eastAsia"/>
          <w:color w:val="231F20"/>
        </w:rPr>
        <w:t>这里的观念是，在传达一个关于将要来临的审判和/或复兴的单一预言时，先知们有时会同时谈论两个（甚至三个）相似但历史上分离的事件；即近与远、局部与普世、初步与末世的事件。</w:t>
      </w:r>
    </w:p>
    <w:p w14:paraId="381D8E9A">
      <w:pPr>
        <w:pStyle w:val="9"/>
        <w:spacing w:after="0" w:line="249" w:lineRule="auto"/>
        <w:rPr>
          <w:rFonts w:hint="eastAsia"/>
          <w:color w:val="231F20"/>
        </w:rPr>
      </w:pPr>
    </w:p>
    <w:p w14:paraId="2CE948B6">
      <w:pPr>
        <w:pStyle w:val="9"/>
        <w:spacing w:after="0" w:line="249" w:lineRule="auto"/>
        <w:rPr>
          <w:rFonts w:hint="eastAsia"/>
          <w:color w:val="231F20"/>
        </w:rPr>
      </w:pPr>
      <w:r>
        <w:rPr>
          <w:rFonts w:hint="eastAsia"/>
          <w:color w:val="231F20"/>
        </w:rPr>
        <w:t>It is as if they are looking through the eyepiece of a telescope at two separate mountain ranges, one in the foreground, and the other in the background: They seem to be seeing one range, when in fact they are seeing and describing two.4</w:t>
      </w:r>
    </w:p>
    <w:p w14:paraId="48B5328B">
      <w:pPr>
        <w:pStyle w:val="9"/>
        <w:spacing w:after="0" w:line="249" w:lineRule="auto"/>
        <w:rPr>
          <w:rFonts w:hint="eastAsia"/>
          <w:color w:val="231F20"/>
        </w:rPr>
      </w:pPr>
      <w:r>
        <w:rPr>
          <w:rFonts w:hint="eastAsia"/>
          <w:color w:val="231F20"/>
        </w:rPr>
        <w:t>就好像他们正透过望远镜的目镜观看两个独立的山脉，一个在前景，另一个在背景：他们似乎只看到一个山脉，而实际上他们看到并描述的是两个。4</w:t>
      </w:r>
    </w:p>
    <w:p w14:paraId="1278A616">
      <w:pPr>
        <w:pStyle w:val="9"/>
        <w:spacing w:after="0" w:line="249" w:lineRule="auto"/>
        <w:rPr>
          <w:rFonts w:hint="eastAsia"/>
          <w:color w:val="231F20"/>
        </w:rPr>
      </w:pPr>
    </w:p>
    <w:p w14:paraId="35B6685E">
      <w:pPr>
        <w:pStyle w:val="9"/>
        <w:spacing w:after="0" w:line="249" w:lineRule="auto"/>
        <w:rPr>
          <w:rFonts w:hint="eastAsia"/>
          <w:color w:val="231F20"/>
        </w:rPr>
      </w:pPr>
      <w:r>
        <w:rPr>
          <w:rFonts w:hint="eastAsia"/>
          <w:color w:val="231F20"/>
        </w:rPr>
        <w:t>Examples of this phenomenon abound.</w:t>
      </w:r>
    </w:p>
    <w:p w14:paraId="48BAB8A7">
      <w:pPr>
        <w:pStyle w:val="9"/>
        <w:spacing w:after="0" w:line="249" w:lineRule="auto"/>
        <w:rPr>
          <w:rFonts w:hint="eastAsia"/>
          <w:color w:val="231F20"/>
        </w:rPr>
      </w:pPr>
      <w:r>
        <w:rPr>
          <w:rFonts w:hint="eastAsia"/>
          <w:color w:val="231F20"/>
        </w:rPr>
        <w:t>这种现象的例子比比皆是。</w:t>
      </w:r>
    </w:p>
    <w:p w14:paraId="1199C0BE">
      <w:pPr>
        <w:pStyle w:val="9"/>
        <w:spacing w:after="0" w:line="249" w:lineRule="auto"/>
        <w:rPr>
          <w:rFonts w:hint="eastAsia"/>
          <w:color w:val="231F20"/>
        </w:rPr>
      </w:pPr>
    </w:p>
    <w:p w14:paraId="01809C15">
      <w:pPr>
        <w:pStyle w:val="9"/>
        <w:spacing w:after="0" w:line="249" w:lineRule="auto"/>
        <w:rPr>
          <w:rFonts w:hint="eastAsia"/>
          <w:color w:val="231F20"/>
        </w:rPr>
      </w:pPr>
      <w:r>
        <w:rPr>
          <w:rFonts w:hint="eastAsia"/>
          <w:color w:val="231F20"/>
        </w:rPr>
        <w:t>In Isaiah 13 the prophet explicitly speaks of the Day of the LORD upon Israel’s archenemy, Babylon (vv. 2-5, 14-22).</w:t>
      </w:r>
    </w:p>
    <w:p w14:paraId="3C6C62B1">
      <w:pPr>
        <w:pStyle w:val="9"/>
        <w:spacing w:after="0" w:line="249" w:lineRule="auto"/>
        <w:rPr>
          <w:rFonts w:hint="eastAsia"/>
          <w:color w:val="231F20"/>
        </w:rPr>
      </w:pPr>
      <w:r>
        <w:rPr>
          <w:rFonts w:hint="eastAsia"/>
          <w:color w:val="231F20"/>
        </w:rPr>
        <w:t>在以赛亚书13章，先知明确地谈到耶和华的日子临到以色列的头号大敌巴比伦（2-5, 14-22节）。</w:t>
      </w:r>
    </w:p>
    <w:p w14:paraId="6A25FAE3">
      <w:pPr>
        <w:pStyle w:val="9"/>
        <w:spacing w:after="0" w:line="249" w:lineRule="auto"/>
        <w:rPr>
          <w:rFonts w:hint="eastAsia"/>
          <w:color w:val="231F20"/>
        </w:rPr>
      </w:pPr>
    </w:p>
    <w:p w14:paraId="30E1CB9E">
      <w:pPr>
        <w:pStyle w:val="9"/>
        <w:spacing w:after="0" w:line="249" w:lineRule="auto"/>
        <w:rPr>
          <w:rFonts w:hint="eastAsia"/>
          <w:color w:val="231F20"/>
        </w:rPr>
      </w:pPr>
      <w:r>
        <w:rPr>
          <w:rFonts w:hint="eastAsia"/>
          <w:color w:val="231F20"/>
        </w:rPr>
        <w:t>Yet right in the middle of his discourse, we suddenly find him addressing the whole earth (vv. 6-13).</w:t>
      </w:r>
    </w:p>
    <w:p w14:paraId="0392937E">
      <w:pPr>
        <w:pStyle w:val="9"/>
        <w:spacing w:after="0" w:line="249" w:lineRule="auto"/>
        <w:rPr>
          <w:rFonts w:hint="eastAsia"/>
          <w:color w:val="231F20"/>
        </w:rPr>
      </w:pPr>
      <w:r>
        <w:rPr>
          <w:rFonts w:hint="eastAsia"/>
          <w:color w:val="231F20"/>
        </w:rPr>
        <w:t>然而，就在他论述的中间，我们突然发现他在对全地说话（6-13节）。</w:t>
      </w:r>
    </w:p>
    <w:p w14:paraId="190FCC02">
      <w:pPr>
        <w:pStyle w:val="9"/>
        <w:spacing w:after="0" w:line="249" w:lineRule="auto"/>
        <w:rPr>
          <w:rFonts w:hint="eastAsia"/>
          <w:color w:val="231F20"/>
        </w:rPr>
      </w:pPr>
    </w:p>
    <w:p w14:paraId="2E2C54CD">
      <w:pPr>
        <w:pStyle w:val="9"/>
        <w:spacing w:after="0" w:line="249" w:lineRule="auto"/>
        <w:rPr>
          <w:rFonts w:hint="eastAsia"/>
          <w:color w:val="231F20"/>
        </w:rPr>
      </w:pPr>
      <w:r>
        <w:rPr>
          <w:rFonts w:hint="eastAsia"/>
          <w:color w:val="231F20"/>
        </w:rPr>
        <w:t>In Jeremiah 25:30- 32, the seer begins by pronouncing God’s judgment upon his own fold (i.e., Israel), but immediately goes further, declaring that he will also “enter into judgment with all flesh.”</w:t>
      </w:r>
    </w:p>
    <w:p w14:paraId="1F45691B">
      <w:pPr>
        <w:pStyle w:val="9"/>
        <w:spacing w:after="0" w:line="249" w:lineRule="auto"/>
        <w:rPr>
          <w:rFonts w:hint="eastAsia"/>
          <w:color w:val="231F20"/>
        </w:rPr>
      </w:pPr>
      <w:r>
        <w:rPr>
          <w:rFonts w:hint="eastAsia"/>
          <w:color w:val="231F20"/>
        </w:rPr>
        <w:t>在耶利米书25:30-32，先见开始宣告上帝对祂自己羊圈（即以色列）的审判，但立即更进一步，宣告祂也将“与凡有血气的争辩”。</w:t>
      </w:r>
    </w:p>
    <w:p w14:paraId="4E474291">
      <w:pPr>
        <w:pStyle w:val="9"/>
        <w:spacing w:after="0" w:line="249" w:lineRule="auto"/>
        <w:rPr>
          <w:rFonts w:hint="eastAsia"/>
          <w:color w:val="231F20"/>
        </w:rPr>
      </w:pPr>
    </w:p>
    <w:p w14:paraId="4F31BD02">
      <w:pPr>
        <w:pStyle w:val="9"/>
        <w:spacing w:after="0" w:line="249" w:lineRule="auto"/>
        <w:rPr>
          <w:rFonts w:hint="eastAsia"/>
          <w:color w:val="231F20"/>
        </w:rPr>
      </w:pPr>
      <w:r>
        <w:rPr>
          <w:rFonts w:hint="eastAsia"/>
          <w:color w:val="231F20"/>
        </w:rPr>
        <w:t>Similarly, Zephaniah speaks not only of a Day of the LORD against Judah (1:4-6), but also of a Day of the LORD against “all the inhabitants of the earth” (1:2, 14-18).</w:t>
      </w:r>
    </w:p>
    <w:p w14:paraId="6592073E">
      <w:pPr>
        <w:pStyle w:val="9"/>
        <w:spacing w:after="0" w:line="249" w:lineRule="auto"/>
        <w:rPr>
          <w:rFonts w:hint="eastAsia"/>
          <w:color w:val="231F20"/>
        </w:rPr>
      </w:pPr>
      <w:r>
        <w:rPr>
          <w:rFonts w:hint="eastAsia"/>
          <w:color w:val="231F20"/>
        </w:rPr>
        <w:t>同样，西番雅不仅谈到耶和华的日子临到犹大（1:4-6），也谈到耶和华的日子临到“地上所有的居民”（1:2, 14-18）。</w:t>
      </w:r>
    </w:p>
    <w:p w14:paraId="146BF70C">
      <w:pPr>
        <w:pStyle w:val="9"/>
        <w:spacing w:after="0" w:line="249" w:lineRule="auto"/>
        <w:rPr>
          <w:rFonts w:hint="eastAsia"/>
          <w:color w:val="231F20"/>
        </w:rPr>
      </w:pPr>
    </w:p>
    <w:p w14:paraId="7FB760A8">
      <w:pPr>
        <w:pStyle w:val="9"/>
        <w:spacing w:after="0" w:line="249" w:lineRule="auto"/>
        <w:rPr>
          <w:rFonts w:hint="eastAsia"/>
          <w:color w:val="231F20"/>
        </w:rPr>
      </w:pPr>
      <w:r>
        <w:rPr>
          <w:rFonts w:hint="eastAsia"/>
          <w:color w:val="231F20"/>
        </w:rPr>
        <w:t>In Obadiah 15-20 we learn that the Day of the LORD is drawing near, not only upon Edom—the nation in the foreground of this prophecy—but also upon “all nations” (v. 16).</w:t>
      </w:r>
    </w:p>
    <w:p w14:paraId="3FEEC287">
      <w:pPr>
        <w:pStyle w:val="9"/>
        <w:spacing w:after="0" w:line="249" w:lineRule="auto"/>
        <w:rPr>
          <w:rFonts w:hint="eastAsia"/>
          <w:color w:val="231F20"/>
        </w:rPr>
      </w:pPr>
      <w:r>
        <w:rPr>
          <w:rFonts w:hint="eastAsia"/>
          <w:color w:val="231F20"/>
        </w:rPr>
        <w:t>在俄巴底亚书15-20节，我们得知耶和华的日子临近，不仅临到以东——这个预言前景中的国家——也临到“所有国家”（16节）。</w:t>
      </w:r>
    </w:p>
    <w:p w14:paraId="509EF8F4">
      <w:pPr>
        <w:pStyle w:val="9"/>
        <w:spacing w:after="0" w:line="249" w:lineRule="auto"/>
        <w:rPr>
          <w:rFonts w:hint="eastAsia"/>
          <w:color w:val="231F20"/>
        </w:rPr>
      </w:pPr>
    </w:p>
    <w:p w14:paraId="1DF73C92">
      <w:pPr>
        <w:pStyle w:val="9"/>
        <w:spacing w:after="0" w:line="249" w:lineRule="auto"/>
        <w:rPr>
          <w:rFonts w:hint="eastAsia"/>
          <w:color w:val="231F20"/>
        </w:rPr>
      </w:pPr>
      <w:r>
        <w:rPr>
          <w:rFonts w:hint="eastAsia"/>
          <w:color w:val="231F20"/>
        </w:rPr>
        <w:t>Some of those nations are explicitly mentioned in verses 19-20: Corporately, they typify all the (eschatological) enemies of God’s people.</w:t>
      </w:r>
    </w:p>
    <w:p w14:paraId="0CDA881F">
      <w:pPr>
        <w:pStyle w:val="9"/>
        <w:spacing w:after="0" w:line="249" w:lineRule="auto"/>
        <w:rPr>
          <w:rFonts w:hint="eastAsia"/>
          <w:color w:val="231F20"/>
        </w:rPr>
      </w:pPr>
      <w:r>
        <w:rPr>
          <w:rFonts w:hint="eastAsia"/>
          <w:color w:val="231F20"/>
        </w:rPr>
        <w:t>其中一些国家在19-20节被明确提及：作为一个整体，它们预表着上帝子民所有（末世的）仇敌。</w:t>
      </w:r>
    </w:p>
    <w:p w14:paraId="5C1EBE8E">
      <w:pPr>
        <w:pStyle w:val="9"/>
        <w:spacing w:after="0" w:line="249" w:lineRule="auto"/>
        <w:rPr>
          <w:rFonts w:hint="eastAsia"/>
          <w:color w:val="231F20"/>
        </w:rPr>
      </w:pPr>
    </w:p>
    <w:p w14:paraId="6D892960">
      <w:pPr>
        <w:pStyle w:val="9"/>
        <w:spacing w:after="0" w:line="249" w:lineRule="auto"/>
        <w:rPr>
          <w:rFonts w:hint="eastAsia"/>
          <w:color w:val="231F20"/>
        </w:rPr>
      </w:pPr>
      <w:r>
        <w:rPr>
          <w:rFonts w:hint="eastAsia"/>
          <w:color w:val="231F20"/>
        </w:rPr>
        <w:t>As for Nahum, while speaking of God’s wrath against Nineveh (i.e., Assyria), he suddenly lifts his eyes to the farthest margin of history and glimpses the Day of the LORD against all his adversaries, thus indicating (to the NT interpreter) that in God’s sight the city of Nineveh typifies the City of Man: the fallen and impenitent world system, the Domain of Darkness, doomed to final destruction (1:2-8, Rev. 14:1ff).</w:t>
      </w:r>
    </w:p>
    <w:p w14:paraId="0FE30B8A">
      <w:pPr>
        <w:pStyle w:val="9"/>
        <w:spacing w:after="0" w:line="249" w:lineRule="auto"/>
        <w:rPr>
          <w:rFonts w:hint="eastAsia"/>
          <w:color w:val="231F20"/>
        </w:rPr>
      </w:pPr>
      <w:r>
        <w:rPr>
          <w:rFonts w:hint="eastAsia"/>
          <w:color w:val="231F20"/>
        </w:rPr>
        <w:t>至于那鸿，在谈论上帝对尼尼微（即亚述）的忿怒时，他突然将目光投向历史的最远边缘，瞥见了耶和华的日子临到祂所有的敌人，从而（对新约解释者）表明，在上帝看来，尼尼微城预表着人之城：即堕落和不悔改的世界体系，黑暗的权势，注定要最终毁灭（1:2-8, 启示录 14:1及后文）。</w:t>
      </w:r>
    </w:p>
    <w:p w14:paraId="11429824">
      <w:pPr>
        <w:pStyle w:val="9"/>
        <w:spacing w:after="0" w:line="249" w:lineRule="auto"/>
        <w:rPr>
          <w:rFonts w:hint="eastAsia"/>
          <w:color w:val="231F20"/>
        </w:rPr>
      </w:pPr>
    </w:p>
    <w:p w14:paraId="17BE4519">
      <w:pPr>
        <w:pStyle w:val="9"/>
        <w:spacing w:after="0" w:line="249" w:lineRule="auto"/>
        <w:rPr>
          <w:rFonts w:hint="eastAsia"/>
          <w:color w:val="231F20"/>
        </w:rPr>
      </w:pPr>
      <w:r>
        <w:rPr>
          <w:rFonts w:hint="eastAsia"/>
          <w:color w:val="231F20"/>
        </w:rPr>
        <w:t>Such prophetic blending is not universal.</w:t>
      </w:r>
    </w:p>
    <w:p w14:paraId="37FD1ACD">
      <w:pPr>
        <w:pStyle w:val="9"/>
        <w:spacing w:after="0" w:line="249" w:lineRule="auto"/>
        <w:rPr>
          <w:rFonts w:hint="eastAsia"/>
          <w:color w:val="231F20"/>
        </w:rPr>
      </w:pPr>
      <w:r>
        <w:rPr>
          <w:rFonts w:hint="eastAsia"/>
          <w:color w:val="231F20"/>
        </w:rPr>
        <w:t>这种预言的融合并非普遍。</w:t>
      </w:r>
    </w:p>
    <w:p w14:paraId="5667C384">
      <w:pPr>
        <w:pStyle w:val="9"/>
        <w:spacing w:after="0" w:line="249" w:lineRule="auto"/>
        <w:rPr>
          <w:rFonts w:hint="eastAsia"/>
          <w:color w:val="231F20"/>
        </w:rPr>
      </w:pPr>
    </w:p>
    <w:p w14:paraId="19E9A982">
      <w:pPr>
        <w:pStyle w:val="9"/>
        <w:spacing w:after="0" w:line="249" w:lineRule="auto"/>
        <w:rPr>
          <w:rFonts w:hint="eastAsia"/>
          <w:color w:val="231F20"/>
        </w:rPr>
      </w:pPr>
      <w:r>
        <w:rPr>
          <w:rFonts w:hint="eastAsia"/>
          <w:color w:val="231F20"/>
        </w:rPr>
        <w:t>A few OT prophecies of the Day of the LORD have only local judgments in view, though in context even these may be seen as presupposing and foreshadowing something far greater (Joel 1:15, 2:2, 11; Amos 5:18-20).</w:t>
      </w:r>
    </w:p>
    <w:p w14:paraId="43DAE65C">
      <w:pPr>
        <w:pStyle w:val="9"/>
        <w:spacing w:after="0" w:line="249" w:lineRule="auto"/>
        <w:rPr>
          <w:rFonts w:hint="eastAsia"/>
          <w:color w:val="231F20"/>
        </w:rPr>
      </w:pPr>
      <w:r>
        <w:rPr>
          <w:rFonts w:hint="eastAsia"/>
          <w:color w:val="231F20"/>
        </w:rPr>
        <w:t>一些关于耶和华的日子的旧约预言只着眼于局部的审判，尽管在上下文中，即使是这些也可以被看作是预设并预示着远为更大事物的（约珥书 1:15, 2:2, 11；阿摩司书 5:18-20）。</w:t>
      </w:r>
    </w:p>
    <w:p w14:paraId="71B5F5E0">
      <w:pPr>
        <w:pStyle w:val="9"/>
        <w:spacing w:after="0" w:line="249" w:lineRule="auto"/>
        <w:rPr>
          <w:rFonts w:hint="eastAsia"/>
          <w:color w:val="231F20"/>
        </w:rPr>
      </w:pPr>
    </w:p>
    <w:p w14:paraId="00F78A7F">
      <w:pPr>
        <w:pStyle w:val="9"/>
        <w:spacing w:after="0" w:line="249" w:lineRule="auto"/>
        <w:rPr>
          <w:rFonts w:hint="eastAsia"/>
          <w:color w:val="231F20"/>
        </w:rPr>
      </w:pPr>
      <w:r>
        <w:rPr>
          <w:rFonts w:hint="eastAsia"/>
          <w:color w:val="231F20"/>
        </w:rPr>
        <w:t>Meanwhile, others seem only to have the eschatological Day in view (Psalm 96:4-13, Isaiah 2:12-22, Haggai 2:20-23, Zech. 12:1-9, 14-18, Mal. 4:1-3).</w:t>
      </w:r>
    </w:p>
    <w:p w14:paraId="67911BBD">
      <w:pPr>
        <w:pStyle w:val="9"/>
        <w:spacing w:after="0" w:line="249" w:lineRule="auto"/>
        <w:rPr>
          <w:rFonts w:hint="eastAsia"/>
          <w:color w:val="231F20"/>
        </w:rPr>
      </w:pPr>
      <w:r>
        <w:rPr>
          <w:rFonts w:hint="eastAsia"/>
          <w:color w:val="231F20"/>
        </w:rPr>
        <w:t>与此同时，另一些似乎只着眼于末世的日子（诗篇 96:4-13, 以赛亚书 2:12-22, 哈该书 2:20-23, 撒迦利亚书 12:1-9, 14-18, 玛拉基书 4:1-3）。</w:t>
      </w:r>
    </w:p>
    <w:p w14:paraId="60BF0565">
      <w:pPr>
        <w:pStyle w:val="9"/>
        <w:spacing w:after="0" w:line="249" w:lineRule="auto"/>
        <w:rPr>
          <w:rFonts w:hint="eastAsia"/>
          <w:color w:val="231F20"/>
        </w:rPr>
      </w:pPr>
    </w:p>
    <w:p w14:paraId="00889275">
      <w:pPr>
        <w:pStyle w:val="9"/>
        <w:spacing w:after="0" w:line="249" w:lineRule="auto"/>
        <w:rPr>
          <w:rFonts w:hint="eastAsia"/>
          <w:color w:val="231F20"/>
        </w:rPr>
      </w:pPr>
      <w:r>
        <w:rPr>
          <w:rFonts w:hint="eastAsia"/>
          <w:color w:val="231F20"/>
        </w:rPr>
        <w:t>But no matter where we turn, it soon becomes clear that every prophecy of the Day of the LORD reflects a common OT conviction and a common OT hope: God has appointed a Day in which he will judge the world in righteousness, after which he will bring in his glorious, eternal reign (Acts 17:31).</w:t>
      </w:r>
    </w:p>
    <w:p w14:paraId="7FACAB3C">
      <w:pPr>
        <w:pStyle w:val="9"/>
        <w:spacing w:after="0" w:line="249" w:lineRule="auto"/>
        <w:rPr>
          <w:rFonts w:hint="eastAsia"/>
          <w:color w:val="231F20"/>
        </w:rPr>
      </w:pPr>
      <w:r>
        <w:rPr>
          <w:rFonts w:hint="eastAsia"/>
          <w:color w:val="231F20"/>
        </w:rPr>
        <w:t>但无论我们转向何处，很快就清楚了，每一个关于耶和华的日子的预言都反映了一个共同的旧约信念和一个共同的旧约盼望：上帝已经定了一个日子，祂要按公义审判世界，之后祂将带来祂荣耀的、永恒的统治（使徒行传 17:31）。</w:t>
      </w:r>
    </w:p>
    <w:p w14:paraId="1FA32304">
      <w:pPr>
        <w:pStyle w:val="9"/>
        <w:spacing w:after="0" w:line="249" w:lineRule="auto"/>
        <w:rPr>
          <w:rFonts w:hint="eastAsia"/>
          <w:color w:val="231F20"/>
        </w:rPr>
      </w:pPr>
    </w:p>
    <w:p w14:paraId="2FB371CF">
      <w:pPr>
        <w:pStyle w:val="9"/>
        <w:spacing w:after="0" w:line="249" w:lineRule="auto"/>
        <w:rPr>
          <w:rFonts w:hint="eastAsia"/>
          <w:color w:val="231F20"/>
        </w:rPr>
      </w:pPr>
      <w:r>
        <w:rPr>
          <w:rFonts w:hint="eastAsia"/>
          <w:color w:val="231F20"/>
        </w:rPr>
        <w:t>This brings us to our second point: Not only do these prophecies blend the local and universal, the near and far, but they also blend judgment and redemption.</w:t>
      </w:r>
    </w:p>
    <w:p w14:paraId="3BE672A1">
      <w:pPr>
        <w:pStyle w:val="9"/>
        <w:spacing w:after="0" w:line="249" w:lineRule="auto"/>
        <w:rPr>
          <w:rFonts w:hint="eastAsia"/>
          <w:color w:val="231F20"/>
        </w:rPr>
      </w:pPr>
      <w:r>
        <w:rPr>
          <w:rFonts w:hint="eastAsia"/>
          <w:color w:val="231F20"/>
        </w:rPr>
        <w:t>这就引出了我们的第二点：这些预言不仅融合了局部与普世、近与远，它们也融合了审判与救赎。</w:t>
      </w:r>
    </w:p>
    <w:p w14:paraId="739FD61A">
      <w:pPr>
        <w:pStyle w:val="9"/>
        <w:spacing w:after="0" w:line="249" w:lineRule="auto"/>
        <w:rPr>
          <w:rFonts w:hint="eastAsia"/>
          <w:color w:val="231F20"/>
        </w:rPr>
      </w:pPr>
    </w:p>
    <w:p w14:paraId="2A361DA2">
      <w:pPr>
        <w:pStyle w:val="9"/>
        <w:spacing w:after="0" w:line="249" w:lineRule="auto"/>
        <w:rPr>
          <w:rFonts w:hint="eastAsia"/>
          <w:color w:val="231F20"/>
        </w:rPr>
      </w:pPr>
      <w:r>
        <w:rPr>
          <w:rFonts w:hint="eastAsia"/>
          <w:color w:val="231F20"/>
        </w:rPr>
        <w:t>Yes, the accent often falls upon judgment—indeed, an occasional prophecy speaks almost exclusively of judgment (e.g., Isaiah 13) —with the result that down through the years the Church has come to speak (and sing) of the Dies Irae, or the Day of (the LORD’s) Wrath.</w:t>
      </w:r>
    </w:p>
    <w:p w14:paraId="6E86B3F3">
      <w:pPr>
        <w:pStyle w:val="9"/>
        <w:spacing w:after="0" w:line="249" w:lineRule="auto"/>
        <w:rPr>
          <w:rFonts w:hint="eastAsia"/>
          <w:color w:val="231F20"/>
        </w:rPr>
      </w:pPr>
      <w:r>
        <w:rPr>
          <w:rFonts w:hint="eastAsia"/>
          <w:color w:val="231F20"/>
        </w:rPr>
        <w:t>是的，重点常常落在审判上——实际上，偶尔有预言几乎只谈论审判（例如，以赛亚书 13章）——结果是多年来教会开始谈论（和歌唱）“愤怒之日”，即（耶和华的）忿怒之日。</w:t>
      </w:r>
    </w:p>
    <w:p w14:paraId="74917838">
      <w:pPr>
        <w:pStyle w:val="9"/>
        <w:spacing w:after="0" w:line="249" w:lineRule="auto"/>
        <w:rPr>
          <w:rFonts w:hint="eastAsia"/>
          <w:color w:val="231F20"/>
        </w:rPr>
      </w:pPr>
    </w:p>
    <w:p w14:paraId="234D23E2">
      <w:pPr>
        <w:pStyle w:val="9"/>
        <w:spacing w:after="0" w:line="249" w:lineRule="auto"/>
        <w:rPr>
          <w:rFonts w:hint="eastAsia"/>
          <w:color w:val="231F20"/>
        </w:rPr>
      </w:pPr>
      <w:r>
        <w:rPr>
          <w:rFonts w:hint="eastAsia"/>
          <w:color w:val="231F20"/>
        </w:rPr>
        <w:t>Nevertheless, upon closer inspection one finds that these prophecies almost always include a strong element of redemption.</w:t>
      </w:r>
    </w:p>
    <w:p w14:paraId="65F98AAE">
      <w:pPr>
        <w:pStyle w:val="9"/>
        <w:spacing w:after="0" w:line="249" w:lineRule="auto"/>
        <w:rPr>
          <w:rFonts w:hint="eastAsia"/>
          <w:color w:val="231F20"/>
        </w:rPr>
      </w:pPr>
      <w:r>
        <w:rPr>
          <w:rFonts w:hint="eastAsia"/>
          <w:color w:val="231F20"/>
        </w:rPr>
        <w:t>然而，经过更仔细的审视，人们发现这些预言几乎总是包含强烈的救赎元素。</w:t>
      </w:r>
    </w:p>
    <w:p w14:paraId="3C1B10A2">
      <w:pPr>
        <w:pStyle w:val="9"/>
        <w:spacing w:after="0" w:line="249" w:lineRule="auto"/>
        <w:rPr>
          <w:rFonts w:hint="eastAsia"/>
          <w:color w:val="231F20"/>
        </w:rPr>
      </w:pPr>
    </w:p>
    <w:p w14:paraId="7EAF97CF">
      <w:pPr>
        <w:pStyle w:val="9"/>
        <w:spacing w:after="0" w:line="249" w:lineRule="auto"/>
        <w:rPr>
          <w:rFonts w:hint="eastAsia"/>
          <w:color w:val="231F20"/>
        </w:rPr>
      </w:pPr>
      <w:r>
        <w:rPr>
          <w:rFonts w:hint="eastAsia"/>
          <w:color w:val="231F20"/>
        </w:rPr>
        <w:t>We saw this in the OTKP’s found in the Law, cited above.</w:t>
      </w:r>
    </w:p>
    <w:p w14:paraId="696ED6A4">
      <w:pPr>
        <w:pStyle w:val="9"/>
        <w:spacing w:after="0" w:line="249" w:lineRule="auto"/>
        <w:rPr>
          <w:rFonts w:hint="eastAsia"/>
          <w:color w:val="231F20"/>
        </w:rPr>
      </w:pPr>
      <w:r>
        <w:rPr>
          <w:rFonts w:hint="eastAsia"/>
          <w:color w:val="231F20"/>
        </w:rPr>
        <w:t>我们在上面引用的律法中的旧约国度预言（OTKP）中看到了这一点。</w:t>
      </w:r>
    </w:p>
    <w:p w14:paraId="5C36CDD0">
      <w:pPr>
        <w:pStyle w:val="9"/>
        <w:spacing w:after="0" w:line="249" w:lineRule="auto"/>
        <w:rPr>
          <w:rFonts w:hint="eastAsia"/>
          <w:color w:val="231F20"/>
        </w:rPr>
      </w:pPr>
    </w:p>
    <w:p w14:paraId="51093D88">
      <w:pPr>
        <w:pStyle w:val="9"/>
        <w:spacing w:after="0" w:line="249" w:lineRule="auto"/>
        <w:rPr>
          <w:rFonts w:hint="eastAsia"/>
          <w:color w:val="231F20"/>
        </w:rPr>
      </w:pPr>
      <w:r>
        <w:rPr>
          <w:rFonts w:hint="eastAsia"/>
          <w:color w:val="231F20"/>
        </w:rPr>
        <w:t>We saw it in Malachi 4.</w:t>
      </w:r>
    </w:p>
    <w:p w14:paraId="1C0B49DF">
      <w:pPr>
        <w:pStyle w:val="9"/>
        <w:spacing w:after="0" w:line="249" w:lineRule="auto"/>
        <w:rPr>
          <w:rFonts w:hint="eastAsia"/>
          <w:color w:val="231F20"/>
        </w:rPr>
      </w:pPr>
      <w:r>
        <w:rPr>
          <w:rFonts w:hint="eastAsia"/>
          <w:color w:val="231F20"/>
        </w:rPr>
        <w:t>我们在玛拉基书第4章看到了这一点。</w:t>
      </w:r>
    </w:p>
    <w:p w14:paraId="27CC7CA7">
      <w:pPr>
        <w:pStyle w:val="9"/>
        <w:spacing w:after="0" w:line="249" w:lineRule="auto"/>
        <w:rPr>
          <w:rFonts w:hint="eastAsia"/>
          <w:color w:val="231F20"/>
        </w:rPr>
      </w:pPr>
    </w:p>
    <w:p w14:paraId="5187D6AD">
      <w:pPr>
        <w:pStyle w:val="9"/>
        <w:spacing w:after="0" w:line="249" w:lineRule="auto"/>
        <w:rPr>
          <w:rFonts w:hint="eastAsia"/>
          <w:color w:val="231F20"/>
        </w:rPr>
      </w:pPr>
      <w:r>
        <w:rPr>
          <w:rFonts w:hint="eastAsia"/>
          <w:color w:val="231F20"/>
        </w:rPr>
        <w:t>We saw it in our discussion of the Last Battle.</w:t>
      </w:r>
    </w:p>
    <w:p w14:paraId="25FA4D07">
      <w:pPr>
        <w:pStyle w:val="9"/>
        <w:spacing w:after="0" w:line="249" w:lineRule="auto"/>
        <w:rPr>
          <w:rFonts w:hint="eastAsia"/>
          <w:color w:val="231F20"/>
        </w:rPr>
      </w:pPr>
      <w:r>
        <w:rPr>
          <w:rFonts w:hint="eastAsia"/>
          <w:color w:val="231F20"/>
        </w:rPr>
        <w:t>我们在对最后战役的讨论中看到了这一点。</w:t>
      </w:r>
    </w:p>
    <w:p w14:paraId="6C330549">
      <w:pPr>
        <w:pStyle w:val="9"/>
        <w:spacing w:after="0" w:line="249" w:lineRule="auto"/>
        <w:rPr>
          <w:rFonts w:hint="eastAsia"/>
          <w:color w:val="231F20"/>
        </w:rPr>
      </w:pPr>
    </w:p>
    <w:p w14:paraId="59FDF5C2">
      <w:pPr>
        <w:pStyle w:val="9"/>
        <w:spacing w:after="0" w:line="249" w:lineRule="auto"/>
        <w:rPr>
          <w:rFonts w:hint="eastAsia"/>
          <w:color w:val="231F20"/>
        </w:rPr>
      </w:pPr>
      <w:r>
        <w:rPr>
          <w:rFonts w:hint="eastAsia"/>
          <w:color w:val="231F20"/>
        </w:rPr>
        <w:t>Indeed, everywhere we look, the Day of the LORD is never the last word, but is always and essentially transitional: It is the final Judgment that leads to the final Redemption; to the final rescue and restoration of God’s people and their world (Isaiah 2:1-22, Ezek. 38-39, Joel 2:28-32, 3:12-17, Obadiah 15-21, Nahum 1:12-15, Zeph. 2:4-11, 3:8- 13, Zech. 12:1-9).</w:t>
      </w:r>
    </w:p>
    <w:p w14:paraId="27F50FBF">
      <w:pPr>
        <w:pStyle w:val="9"/>
        <w:spacing w:after="0" w:line="249" w:lineRule="auto"/>
        <w:rPr>
          <w:rFonts w:hint="eastAsia"/>
          <w:color w:val="231F20"/>
        </w:rPr>
      </w:pPr>
      <w:r>
        <w:rPr>
          <w:rFonts w:hint="eastAsia"/>
          <w:color w:val="231F20"/>
        </w:rPr>
        <w:t>的确，无论我们看向何处，耶和华的日子从来都不是最后的话语，而始终是、并且本质上是过渡性的：它是引向最终救赎的最终审判；引向上帝子民及其世界的最终拯救和复兴（以赛亚书 2:1-22, 以西结书 38-39章, 约珥书 2:28-32, 3:12-17, 俄巴底亚书 15-21, 那鸿书 1:12-15, 西番雅书 2:4-11, 3:8-13, 撒迦利亚书 12:1-9）。</w:t>
      </w:r>
    </w:p>
    <w:p w14:paraId="362477FE">
      <w:pPr>
        <w:pStyle w:val="9"/>
        <w:spacing w:after="0" w:line="249" w:lineRule="auto"/>
        <w:rPr>
          <w:rFonts w:hint="eastAsia"/>
          <w:color w:val="231F20"/>
        </w:rPr>
      </w:pPr>
    </w:p>
    <w:p w14:paraId="04ED7F4A">
      <w:pPr>
        <w:pStyle w:val="9"/>
        <w:spacing w:after="0" w:line="249" w:lineRule="auto"/>
        <w:rPr>
          <w:rFonts w:hint="eastAsia"/>
          <w:color w:val="231F20"/>
        </w:rPr>
      </w:pPr>
      <w:r>
        <w:rPr>
          <w:rFonts w:hint="eastAsia"/>
          <w:color w:val="231F20"/>
        </w:rPr>
        <w:t>In short, it is the penultimate stage in the coming of the Kingdom, the stage that ushers in the Kingdom in its fullness.</w:t>
      </w:r>
    </w:p>
    <w:p w14:paraId="66DB9777">
      <w:pPr>
        <w:pStyle w:val="9"/>
        <w:spacing w:after="0" w:line="249" w:lineRule="auto"/>
        <w:rPr>
          <w:rFonts w:hint="eastAsia"/>
          <w:color w:val="231F20"/>
        </w:rPr>
      </w:pPr>
      <w:r>
        <w:rPr>
          <w:rFonts w:hint="eastAsia"/>
          <w:color w:val="231F20"/>
        </w:rPr>
        <w:t>简而言之，它是国度来临的倒数第二个阶段，是引领国度进入其丰满的阶段。</w:t>
      </w:r>
    </w:p>
    <w:p w14:paraId="118AAD26">
      <w:pPr>
        <w:pStyle w:val="9"/>
        <w:spacing w:after="0" w:line="249" w:lineRule="auto"/>
        <w:rPr>
          <w:rFonts w:hint="eastAsia"/>
          <w:color w:val="231F20"/>
        </w:rPr>
      </w:pPr>
    </w:p>
    <w:p w14:paraId="11E3819A">
      <w:pPr>
        <w:pStyle w:val="9"/>
        <w:spacing w:after="0" w:line="249" w:lineRule="auto"/>
        <w:rPr>
          <w:rFonts w:hint="eastAsia"/>
          <w:color w:val="231F20"/>
        </w:rPr>
      </w:pPr>
      <w:r>
        <w:rPr>
          <w:rFonts w:hint="eastAsia"/>
          <w:color w:val="231F20"/>
        </w:rPr>
        <w:t>Finally, we also note that while most prophecies of the Day of the LORD envision Yahweh as the Agent of final judgment and redemption, not a few at least hint that he will do so through the Messiah.</w:t>
      </w:r>
    </w:p>
    <w:p w14:paraId="4B5D280E">
      <w:pPr>
        <w:pStyle w:val="9"/>
        <w:spacing w:after="0" w:line="249" w:lineRule="auto"/>
        <w:rPr>
          <w:rFonts w:hint="eastAsia"/>
          <w:color w:val="231F20"/>
        </w:rPr>
      </w:pPr>
      <w:r>
        <w:rPr>
          <w:rFonts w:hint="eastAsia"/>
          <w:color w:val="231F20"/>
        </w:rPr>
        <w:t>最后，我们也注意到，虽然大多数关于耶和华的日子的预言都将耶和华设想为最终审判和救赎的执行者，但有不少预言至少暗示祂将通过弥赛亚来完成。</w:t>
      </w:r>
    </w:p>
    <w:p w14:paraId="3ACCF455">
      <w:pPr>
        <w:pStyle w:val="9"/>
        <w:spacing w:after="0" w:line="249" w:lineRule="auto"/>
        <w:rPr>
          <w:rFonts w:hint="eastAsia"/>
          <w:color w:val="231F20"/>
        </w:rPr>
      </w:pPr>
    </w:p>
    <w:p w14:paraId="1EB11D1B">
      <w:pPr>
        <w:pStyle w:val="9"/>
        <w:spacing w:after="0" w:line="249" w:lineRule="auto"/>
        <w:rPr>
          <w:rFonts w:hint="eastAsia"/>
          <w:color w:val="231F20"/>
        </w:rPr>
      </w:pPr>
      <w:r>
        <w:rPr>
          <w:rFonts w:hint="eastAsia"/>
          <w:color w:val="231F20"/>
        </w:rPr>
        <w:t>Psalm 2, for example, speaks of the Messianic Son who will shatter the (rebellious) nations like potters' ware (Psalm 2:7-12).</w:t>
      </w:r>
    </w:p>
    <w:p w14:paraId="0BB1FAE7">
      <w:pPr>
        <w:pStyle w:val="9"/>
        <w:spacing w:after="0" w:line="249" w:lineRule="auto"/>
        <w:rPr>
          <w:rFonts w:hint="eastAsia"/>
          <w:color w:val="231F20"/>
        </w:rPr>
      </w:pPr>
      <w:r>
        <w:rPr>
          <w:rFonts w:hint="eastAsia"/>
          <w:color w:val="231F20"/>
        </w:rPr>
        <w:t>例如，诗篇第2篇谈到弥赛亚之子将像陶器的瓦器一样打碎（悖逆的）列国（诗篇 2:7-12）。</w:t>
      </w:r>
    </w:p>
    <w:p w14:paraId="58CAE4F3">
      <w:pPr>
        <w:pStyle w:val="9"/>
        <w:spacing w:after="0" w:line="249" w:lineRule="auto"/>
        <w:rPr>
          <w:rFonts w:hint="eastAsia"/>
          <w:color w:val="231F20"/>
        </w:rPr>
      </w:pPr>
    </w:p>
    <w:p w14:paraId="4E29AFF8">
      <w:pPr>
        <w:pStyle w:val="9"/>
        <w:spacing w:after="0" w:line="249" w:lineRule="auto"/>
        <w:rPr>
          <w:rFonts w:hint="eastAsia"/>
          <w:color w:val="231F20"/>
        </w:rPr>
      </w:pPr>
      <w:r>
        <w:rPr>
          <w:rFonts w:hint="eastAsia"/>
          <w:color w:val="231F20"/>
        </w:rPr>
        <w:t>Psalm 110 declares that the LORD will send forth the scepter of his Messianic Priest-King out of Zion, and that through him he will shatter kings on the Day of his wrath, and execute judgment among the nations (Psalm 110:2, 5-6).</w:t>
      </w:r>
    </w:p>
    <w:p w14:paraId="6ADC9621">
      <w:pPr>
        <w:pStyle w:val="9"/>
        <w:spacing w:after="0" w:line="249" w:lineRule="auto"/>
        <w:rPr>
          <w:rFonts w:hint="eastAsia"/>
          <w:color w:val="231F20"/>
        </w:rPr>
      </w:pPr>
      <w:r>
        <w:rPr>
          <w:rFonts w:hint="eastAsia"/>
          <w:color w:val="231F20"/>
        </w:rPr>
        <w:t>诗篇 110 篇宣告，耶和华将从锡安伸出祂弥赛亚祭司君王的权杖，通过祂，祂将在祂忿怒的日子击碎君王，并在列国中施行审判（诗篇 110:2, 5-6）。</w:t>
      </w:r>
    </w:p>
    <w:p w14:paraId="061C1855">
      <w:pPr>
        <w:pStyle w:val="9"/>
        <w:spacing w:after="0" w:line="249" w:lineRule="auto"/>
        <w:rPr>
          <w:rFonts w:hint="eastAsia"/>
          <w:color w:val="231F20"/>
        </w:rPr>
      </w:pPr>
    </w:p>
    <w:p w14:paraId="73BF05DC">
      <w:pPr>
        <w:pStyle w:val="9"/>
        <w:spacing w:after="0" w:line="249" w:lineRule="auto"/>
        <w:rPr>
          <w:rFonts w:hint="eastAsia"/>
          <w:color w:val="231F20"/>
        </w:rPr>
      </w:pPr>
      <w:r>
        <w:rPr>
          <w:rFonts w:hint="eastAsia"/>
          <w:color w:val="231F20"/>
        </w:rPr>
        <w:t>Isaiah, speaking of the universal reign of the Messiah, predicts that he will strike the earth with the rod of his mouth (11:4, 2 Thess. 2:8).</w:t>
      </w:r>
    </w:p>
    <w:p w14:paraId="1D12409B">
      <w:pPr>
        <w:pStyle w:val="9"/>
        <w:spacing w:after="0" w:line="249" w:lineRule="auto"/>
        <w:rPr>
          <w:rFonts w:hint="eastAsia"/>
          <w:color w:val="231F20"/>
        </w:rPr>
      </w:pPr>
      <w:r>
        <w:rPr>
          <w:rFonts w:hint="eastAsia"/>
          <w:color w:val="231F20"/>
        </w:rPr>
        <w:t>以赛亚在谈到弥赛亚的普世统治时，预言祂将用祂口中的杖击打世界（11:4，帖撒罗尼迦后书 2:8）。</w:t>
      </w:r>
    </w:p>
    <w:p w14:paraId="3985DDCD">
      <w:pPr>
        <w:pStyle w:val="9"/>
        <w:spacing w:after="0" w:line="249" w:lineRule="auto"/>
        <w:rPr>
          <w:rFonts w:hint="eastAsia"/>
          <w:color w:val="231F20"/>
        </w:rPr>
      </w:pPr>
    </w:p>
    <w:p w14:paraId="6B72E938">
      <w:pPr>
        <w:pStyle w:val="9"/>
        <w:spacing w:after="0" w:line="249" w:lineRule="auto"/>
        <w:rPr>
          <w:rFonts w:hint="eastAsia"/>
          <w:color w:val="231F20"/>
        </w:rPr>
      </w:pPr>
      <w:r>
        <w:rPr>
          <w:rFonts w:hint="eastAsia"/>
          <w:color w:val="231F20"/>
        </w:rPr>
        <w:t>Daniel closely associates the everlasting dominion of the heavenly Son of Man with the final destruction of all earthly empires (Dan. 7:9-14, cf., 2:44-45).</w:t>
      </w:r>
    </w:p>
    <w:p w14:paraId="504938AA">
      <w:pPr>
        <w:pStyle w:val="9"/>
        <w:spacing w:after="0" w:line="249" w:lineRule="auto"/>
        <w:rPr>
          <w:rFonts w:hint="eastAsia"/>
          <w:color w:val="231F20"/>
        </w:rPr>
      </w:pPr>
      <w:r>
        <w:rPr>
          <w:rFonts w:hint="eastAsia"/>
          <w:color w:val="231F20"/>
        </w:rPr>
        <w:t>但以理将属天人子的永恒统治与所有地上帝国的最终毁灭紧密联系在一起（但以理书 7:9-14，参看 2:44-45）。</w:t>
      </w:r>
    </w:p>
    <w:p w14:paraId="17F7C50E">
      <w:pPr>
        <w:pStyle w:val="9"/>
        <w:spacing w:after="0" w:line="249" w:lineRule="auto"/>
        <w:rPr>
          <w:rFonts w:hint="eastAsia"/>
          <w:color w:val="231F20"/>
        </w:rPr>
      </w:pPr>
    </w:p>
    <w:p w14:paraId="6DDF396D">
      <w:pPr>
        <w:pStyle w:val="9"/>
        <w:spacing w:after="0" w:line="249" w:lineRule="auto"/>
        <w:rPr>
          <w:rFonts w:hint="eastAsia"/>
          <w:color w:val="231F20"/>
        </w:rPr>
      </w:pPr>
      <w:r>
        <w:rPr>
          <w:rFonts w:hint="eastAsia"/>
          <w:color w:val="231F20"/>
        </w:rPr>
        <w:t>Habakkuk, in his majestic vision of the devastation of eschatological Babylon and the final deliverance of God’s people, does not explicitly mention the Messiah, but he does indeed speak of One who seems to descend from above, whose glory covers the very heavens, filling the (redeemed) earth with praise (Hab. 3:1-15, Mt. 24:27).</w:t>
      </w:r>
    </w:p>
    <w:p w14:paraId="7DBE98B4">
      <w:pPr>
        <w:pStyle w:val="9"/>
        <w:spacing w:after="0" w:line="249" w:lineRule="auto"/>
        <w:rPr>
          <w:rFonts w:hint="eastAsia"/>
          <w:color w:val="231F20"/>
        </w:rPr>
      </w:pPr>
      <w:r>
        <w:rPr>
          <w:rFonts w:hint="eastAsia"/>
          <w:color w:val="231F20"/>
        </w:rPr>
        <w:t>哈巴谷在他关于末世巴比伦被毁灭和上帝子民最终得拯救的宏伟异象中，没有明确提到弥赛亚，但他确实谈到一位似乎从天而降者，祂的荣耀遮盖诸天，使（被救赎的）全地充满赞美（哈巴谷书 3:1-15，马太福音 24:27）。</w:t>
      </w:r>
    </w:p>
    <w:p w14:paraId="52D0E3BF">
      <w:pPr>
        <w:pStyle w:val="9"/>
        <w:spacing w:after="0" w:line="249" w:lineRule="auto"/>
        <w:rPr>
          <w:rFonts w:hint="eastAsia"/>
          <w:color w:val="231F20"/>
        </w:rPr>
      </w:pPr>
    </w:p>
    <w:p w14:paraId="6872FF07">
      <w:pPr>
        <w:pStyle w:val="9"/>
        <w:spacing w:after="0" w:line="249" w:lineRule="auto"/>
        <w:rPr>
          <w:rFonts w:hint="eastAsia"/>
          <w:color w:val="231F20"/>
        </w:rPr>
      </w:pPr>
      <w:r>
        <w:rPr>
          <w:rFonts w:hint="eastAsia"/>
          <w:color w:val="231F20"/>
        </w:rPr>
        <w:t>And what student of the NT can fail to hear the voice of Christ in this astonishing prophecy of Isaiah?</w:t>
      </w:r>
    </w:p>
    <w:p w14:paraId="6CECB009">
      <w:pPr>
        <w:pStyle w:val="9"/>
        <w:spacing w:after="0" w:line="249" w:lineRule="auto"/>
        <w:rPr>
          <w:rFonts w:hint="eastAsia"/>
          <w:color w:val="231F20"/>
        </w:rPr>
      </w:pPr>
      <w:r>
        <w:rPr>
          <w:rFonts w:hint="eastAsia"/>
          <w:color w:val="231F20"/>
        </w:rPr>
        <w:t>又有哪位新约的学生能听不出以赛亚这段惊人预言中基督的声音呢？</w:t>
      </w:r>
    </w:p>
    <w:p w14:paraId="0C52A075">
      <w:pPr>
        <w:pStyle w:val="9"/>
        <w:spacing w:after="0" w:line="249" w:lineRule="auto"/>
        <w:rPr>
          <w:rFonts w:hint="eastAsia"/>
          <w:color w:val="231F20"/>
        </w:rPr>
      </w:pPr>
    </w:p>
    <w:p w14:paraId="6FCFA92C">
      <w:pPr>
        <w:pStyle w:val="9"/>
        <w:spacing w:after="0" w:line="249" w:lineRule="auto"/>
        <w:rPr>
          <w:rFonts w:hint="eastAsia"/>
          <w:color w:val="231F20"/>
        </w:rPr>
      </w:pPr>
      <w:r>
        <w:rPr>
          <w:rFonts w:hint="eastAsia"/>
          <w:color w:val="231F20"/>
        </w:rPr>
        <w:t>“Who is this who comes from Edom, in crimsoned garments from Bozrah; he who is splendid in his apparel, marching in the greatness of his strength?”</w:t>
      </w:r>
    </w:p>
    <w:p w14:paraId="6C340A10">
      <w:pPr>
        <w:pStyle w:val="9"/>
        <w:spacing w:after="0" w:line="249" w:lineRule="auto"/>
        <w:rPr>
          <w:rFonts w:hint="eastAsia"/>
          <w:color w:val="231F20"/>
        </w:rPr>
      </w:pPr>
      <w:r>
        <w:rPr>
          <w:rFonts w:hint="eastAsia"/>
          <w:color w:val="231F20"/>
        </w:rPr>
        <w:t>“这从以东来，穿红色衣服，从波斯拉来，这衣裳华美，能力广大，大步行走的是谁呢？”</w:t>
      </w:r>
    </w:p>
    <w:p w14:paraId="47979E63">
      <w:pPr>
        <w:pStyle w:val="9"/>
        <w:spacing w:after="0" w:line="249" w:lineRule="auto"/>
        <w:rPr>
          <w:rFonts w:hint="eastAsia"/>
          <w:color w:val="231F20"/>
        </w:rPr>
      </w:pPr>
    </w:p>
    <w:p w14:paraId="1985F9A3">
      <w:pPr>
        <w:pStyle w:val="9"/>
        <w:spacing w:after="0" w:line="249" w:lineRule="auto"/>
        <w:rPr>
          <w:rFonts w:hint="eastAsia"/>
          <w:color w:val="231F20"/>
        </w:rPr>
      </w:pPr>
      <w:r>
        <w:rPr>
          <w:rFonts w:hint="eastAsia"/>
          <w:color w:val="231F20"/>
        </w:rPr>
        <w:t>“It is I, speaking in righteousness, mighty to save!”</w:t>
      </w:r>
    </w:p>
    <w:p w14:paraId="7B893BAA">
      <w:pPr>
        <w:pStyle w:val="9"/>
        <w:spacing w:after="0" w:line="249" w:lineRule="auto"/>
        <w:rPr>
          <w:rFonts w:hint="eastAsia"/>
          <w:color w:val="231F20"/>
        </w:rPr>
      </w:pPr>
      <w:r>
        <w:rPr>
          <w:rFonts w:hint="eastAsia"/>
          <w:color w:val="231F20"/>
        </w:rPr>
        <w:t>“就是我，是凭公义说话，以大能施行拯救的！”</w:t>
      </w:r>
    </w:p>
    <w:p w14:paraId="479171EB">
      <w:pPr>
        <w:pStyle w:val="9"/>
        <w:spacing w:after="0" w:line="249" w:lineRule="auto"/>
        <w:rPr>
          <w:rFonts w:hint="eastAsia"/>
          <w:color w:val="231F20"/>
        </w:rPr>
      </w:pPr>
    </w:p>
    <w:p w14:paraId="212F6D63">
      <w:pPr>
        <w:pStyle w:val="9"/>
        <w:spacing w:after="0" w:line="249" w:lineRule="auto"/>
        <w:rPr>
          <w:rFonts w:hint="eastAsia"/>
          <w:color w:val="231F20"/>
        </w:rPr>
      </w:pPr>
      <w:r>
        <w:rPr>
          <w:rFonts w:hint="eastAsia"/>
          <w:color w:val="231F20"/>
        </w:rPr>
        <w:t>“Why is your apparel red, and your garments like his who treads in the winepress?”</w:t>
      </w:r>
    </w:p>
    <w:p w14:paraId="3E661BC2">
      <w:pPr>
        <w:pStyle w:val="9"/>
        <w:spacing w:after="0" w:line="249" w:lineRule="auto"/>
        <w:rPr>
          <w:rFonts w:hint="eastAsia"/>
          <w:color w:val="231F20"/>
        </w:rPr>
      </w:pPr>
      <w:r>
        <w:rPr>
          <w:rFonts w:hint="eastAsia"/>
          <w:color w:val="231F20"/>
        </w:rPr>
        <w:t>“你的装扮为何有红色，你的衣服为何像踹酒榨的呢？”</w:t>
      </w:r>
    </w:p>
    <w:p w14:paraId="6FF003FA">
      <w:pPr>
        <w:pStyle w:val="9"/>
        <w:spacing w:after="0" w:line="249" w:lineRule="auto"/>
        <w:rPr>
          <w:rFonts w:hint="eastAsia"/>
          <w:color w:val="231F20"/>
        </w:rPr>
      </w:pPr>
    </w:p>
    <w:p w14:paraId="2322A5D2">
      <w:pPr>
        <w:pStyle w:val="9"/>
        <w:spacing w:after="0" w:line="249" w:lineRule="auto"/>
        <w:rPr>
          <w:rFonts w:hint="eastAsia"/>
          <w:color w:val="231F20"/>
        </w:rPr>
      </w:pPr>
      <w:r>
        <w:rPr>
          <w:rFonts w:hint="eastAsia"/>
          <w:color w:val="231F20"/>
        </w:rPr>
        <w:t>“I have trodden the winepress alone, and from the peoples no one was with me; I trod them in my anger, and trampled them in my wrath; their lifeblood spattered my garments, and stained all my apparel.</w:t>
      </w:r>
    </w:p>
    <w:p w14:paraId="43F0B9DE">
      <w:pPr>
        <w:pStyle w:val="9"/>
        <w:spacing w:after="0" w:line="249" w:lineRule="auto"/>
        <w:rPr>
          <w:rFonts w:hint="eastAsia"/>
          <w:color w:val="231F20"/>
        </w:rPr>
      </w:pPr>
      <w:r>
        <w:rPr>
          <w:rFonts w:hint="eastAsia"/>
          <w:color w:val="231F20"/>
        </w:rPr>
        <w:t>“我独自踹酒榨，众民中无一人与我同在；我发怒将他们踹下，发烈怒将他们践踏；他们的血溅在我衣服上，并且污染了我一切的衣裳。</w:t>
      </w:r>
    </w:p>
    <w:p w14:paraId="60A82F0A">
      <w:pPr>
        <w:pStyle w:val="9"/>
        <w:spacing w:after="0" w:line="249" w:lineRule="auto"/>
        <w:rPr>
          <w:rFonts w:hint="eastAsia"/>
          <w:color w:val="231F20"/>
        </w:rPr>
      </w:pPr>
    </w:p>
    <w:p w14:paraId="318E4914">
      <w:pPr>
        <w:pStyle w:val="9"/>
        <w:spacing w:after="0" w:line="249" w:lineRule="auto"/>
        <w:rPr>
          <w:rFonts w:hint="eastAsia"/>
          <w:color w:val="231F20"/>
        </w:rPr>
      </w:pPr>
      <w:r>
        <w:rPr>
          <w:rFonts w:hint="eastAsia"/>
          <w:color w:val="231F20"/>
        </w:rPr>
        <w:t>For the day of vengeance was in my heart, and my year of redemption had come.</w:t>
      </w:r>
    </w:p>
    <w:p w14:paraId="1D09367B">
      <w:pPr>
        <w:pStyle w:val="9"/>
        <w:spacing w:after="0" w:line="249" w:lineRule="auto"/>
        <w:rPr>
          <w:rFonts w:hint="eastAsia"/>
          <w:color w:val="231F20"/>
        </w:rPr>
      </w:pPr>
      <w:r>
        <w:rPr>
          <w:rFonts w:hint="eastAsia"/>
          <w:color w:val="231F20"/>
        </w:rPr>
        <w:t>因为报仇之日在我心中，救赎我民之年已经来到。</w:t>
      </w:r>
    </w:p>
    <w:p w14:paraId="2136C600">
      <w:pPr>
        <w:pStyle w:val="9"/>
        <w:spacing w:after="0" w:line="249" w:lineRule="auto"/>
        <w:rPr>
          <w:rFonts w:hint="eastAsia"/>
          <w:color w:val="231F20"/>
        </w:rPr>
      </w:pPr>
    </w:p>
    <w:p w14:paraId="13F42EF4">
      <w:pPr>
        <w:pStyle w:val="9"/>
        <w:spacing w:after="0" w:line="249" w:lineRule="auto"/>
        <w:rPr>
          <w:rFonts w:hint="eastAsia"/>
          <w:color w:val="231F20"/>
        </w:rPr>
      </w:pPr>
      <w:r>
        <w:rPr>
          <w:rFonts w:hint="eastAsia"/>
          <w:color w:val="231F20"/>
        </w:rPr>
        <w:t>I looked, but there was none to help; I was appalled, but there was none to uphold; so my own arm brought me salvation, and my wrath upheld me.</w:t>
      </w:r>
    </w:p>
    <w:p w14:paraId="2DC8347C">
      <w:pPr>
        <w:pStyle w:val="9"/>
        <w:spacing w:after="0" w:line="249" w:lineRule="auto"/>
        <w:rPr>
          <w:rFonts w:hint="eastAsia"/>
          <w:color w:val="231F20"/>
        </w:rPr>
      </w:pPr>
      <w:r>
        <w:rPr>
          <w:rFonts w:hint="eastAsia"/>
          <w:color w:val="231F20"/>
        </w:rPr>
        <w:t>我观看，见无人帮助；我诧异，没有人扶持；所以，我自己的膀臂为我施行拯救，我的烈怒将我扶持。</w:t>
      </w:r>
    </w:p>
    <w:p w14:paraId="25F1127D">
      <w:pPr>
        <w:pStyle w:val="9"/>
        <w:spacing w:after="0" w:line="249" w:lineRule="auto"/>
        <w:rPr>
          <w:rFonts w:hint="eastAsia"/>
          <w:color w:val="231F20"/>
        </w:rPr>
      </w:pPr>
    </w:p>
    <w:p w14:paraId="23AEBA7E">
      <w:pPr>
        <w:pStyle w:val="9"/>
        <w:spacing w:after="0" w:line="249" w:lineRule="auto"/>
        <w:rPr>
          <w:rFonts w:hint="eastAsia"/>
          <w:color w:val="231F20"/>
        </w:rPr>
      </w:pPr>
      <w:r>
        <w:rPr>
          <w:rFonts w:hint="eastAsia"/>
          <w:color w:val="231F20"/>
        </w:rPr>
        <w:t>I trampled down the peoples in my anger; I made them drunk in my wrath, and I poured out their lifeblood on the earth.”</w:t>
      </w:r>
    </w:p>
    <w:p w14:paraId="12EB7FD2">
      <w:pPr>
        <w:pStyle w:val="9"/>
        <w:spacing w:after="0" w:line="249" w:lineRule="auto"/>
        <w:rPr>
          <w:rFonts w:hint="eastAsia"/>
          <w:color w:val="231F20"/>
        </w:rPr>
      </w:pPr>
      <w:r>
        <w:rPr>
          <w:rFonts w:hint="eastAsia"/>
          <w:color w:val="231F20"/>
        </w:rPr>
        <w:t>我发怒，将众民践踏，发烈怒，使他们沉醉，又将他们的血倒在地上。”</w:t>
      </w:r>
    </w:p>
    <w:p w14:paraId="7E74B849">
      <w:pPr>
        <w:pStyle w:val="9"/>
        <w:spacing w:after="0" w:line="249" w:lineRule="auto"/>
        <w:rPr>
          <w:rFonts w:hint="eastAsia"/>
          <w:color w:val="231F20"/>
        </w:rPr>
      </w:pPr>
    </w:p>
    <w:p w14:paraId="701CCDB8">
      <w:pPr>
        <w:pStyle w:val="9"/>
        <w:spacing w:after="0" w:line="249" w:lineRule="auto"/>
        <w:rPr>
          <w:rFonts w:hint="eastAsia"/>
          <w:color w:val="231F20"/>
        </w:rPr>
      </w:pPr>
      <w:r>
        <w:rPr>
          <w:rFonts w:hint="eastAsia"/>
          <w:color w:val="231F20"/>
        </w:rPr>
        <w:t>—Isaiah 63:1-6 (ESV)</w:t>
      </w:r>
    </w:p>
    <w:p w14:paraId="08FC2084">
      <w:pPr>
        <w:pStyle w:val="9"/>
        <w:spacing w:after="0" w:line="249" w:lineRule="auto"/>
        <w:rPr>
          <w:rFonts w:hint="eastAsia"/>
          <w:color w:val="231F20"/>
        </w:rPr>
      </w:pPr>
      <w:r>
        <w:rPr>
          <w:rFonts w:hint="eastAsia"/>
          <w:color w:val="231F20"/>
        </w:rPr>
        <w:t>——以赛亚书 63:1-6 (英文标准版)</w:t>
      </w:r>
    </w:p>
    <w:p w14:paraId="49E8762B">
      <w:pPr>
        <w:pStyle w:val="9"/>
        <w:spacing w:after="0" w:line="249" w:lineRule="auto"/>
        <w:rPr>
          <w:rFonts w:hint="eastAsia"/>
          <w:color w:val="231F20"/>
        </w:rPr>
      </w:pPr>
    </w:p>
    <w:p w14:paraId="754C458D">
      <w:pPr>
        <w:pStyle w:val="9"/>
        <w:spacing w:after="0" w:line="249" w:lineRule="auto"/>
        <w:rPr>
          <w:rFonts w:hint="eastAsia"/>
          <w:color w:val="231F20"/>
        </w:rPr>
      </w:pPr>
      <w:r>
        <w:rPr>
          <w:rFonts w:hint="eastAsia"/>
          <w:color w:val="231F20"/>
        </w:rPr>
        <w:t>Like all the rest, this prophecy of the Day of the LORD is covenantally conditioned, using OT language to convey NT truth.</w:t>
      </w:r>
    </w:p>
    <w:p w14:paraId="21ABE6E0">
      <w:pPr>
        <w:pStyle w:val="9"/>
        <w:spacing w:after="0" w:line="249" w:lineRule="auto"/>
        <w:rPr>
          <w:rFonts w:hint="eastAsia"/>
          <w:color w:val="231F20"/>
        </w:rPr>
      </w:pPr>
      <w:r>
        <w:rPr>
          <w:rFonts w:hint="eastAsia"/>
          <w:color w:val="231F20"/>
        </w:rPr>
        <w:t>像所有其他预言一样，这个关于耶和华的日子的预言是受圣约制约的，它使用旧约的语言来传达新约的真理。</w:t>
      </w:r>
    </w:p>
    <w:p w14:paraId="2EF2928A">
      <w:pPr>
        <w:pStyle w:val="9"/>
        <w:spacing w:after="0" w:line="249" w:lineRule="auto"/>
        <w:rPr>
          <w:rFonts w:hint="eastAsia"/>
          <w:color w:val="231F20"/>
        </w:rPr>
      </w:pPr>
    </w:p>
    <w:p w14:paraId="058F0ED2">
      <w:pPr>
        <w:pStyle w:val="9"/>
        <w:spacing w:after="0" w:line="249" w:lineRule="auto"/>
        <w:rPr>
          <w:rFonts w:hint="eastAsia"/>
          <w:color w:val="231F20"/>
        </w:rPr>
      </w:pPr>
      <w:r>
        <w:rPr>
          <w:rFonts w:hint="eastAsia"/>
          <w:color w:val="231F20"/>
        </w:rPr>
        <w:t>In particular, it represents the divine Judge and Redeemer as passing through Edom— Israel’s proud and inveterately hostile neighbor—in order to liberate his people once and for all in the eschatological Year of Jubilee (Lev. 25).</w:t>
      </w:r>
    </w:p>
    <w:p w14:paraId="035DDFBF">
      <w:pPr>
        <w:pStyle w:val="9"/>
        <w:spacing w:after="0" w:line="249" w:lineRule="auto"/>
        <w:rPr>
          <w:rFonts w:hint="eastAsia"/>
          <w:color w:val="231F20"/>
        </w:rPr>
      </w:pPr>
      <w:r>
        <w:rPr>
          <w:rFonts w:hint="eastAsia"/>
          <w:color w:val="231F20"/>
        </w:rPr>
        <w:t>特别是，它将神圣的审判者和救赎主描绘为经过以东——以色列骄傲且根深蒂固的敌对邻邦——以便在末世的禧年中一劳永逸地解放祂的子民（利未记 25章）。</w:t>
      </w:r>
    </w:p>
    <w:p w14:paraId="19D95214">
      <w:pPr>
        <w:pStyle w:val="9"/>
        <w:spacing w:after="0" w:line="249" w:lineRule="auto"/>
        <w:rPr>
          <w:rFonts w:hint="eastAsia"/>
          <w:color w:val="231F20"/>
        </w:rPr>
      </w:pPr>
    </w:p>
    <w:p w14:paraId="775C3547">
      <w:pPr>
        <w:pStyle w:val="9"/>
        <w:spacing w:after="0" w:line="249" w:lineRule="auto"/>
        <w:rPr>
          <w:rFonts w:hint="eastAsia"/>
          <w:color w:val="231F20"/>
        </w:rPr>
      </w:pPr>
      <w:r>
        <w:rPr>
          <w:rFonts w:hint="eastAsia"/>
          <w:color w:val="231F20"/>
        </w:rPr>
        <w:t>The NT, looking beyond the conditioning, unveils the true meaning: The Redeemer/Judge is the Lord Jesus Christ at his Parousia, descending from heaven in power and glory, mighty to save his beleaguered but trusting saints, and ready to judge all the proud and hostile nations that, like Edom of old, have not only rejected his heavenly rule, but are now also persecuting his earthly people (Mt. 24:29-31, 25:31ff, 2 Thess. 1, Rev. 19:13).</w:t>
      </w:r>
    </w:p>
    <w:p w14:paraId="080A89AD">
      <w:pPr>
        <w:pStyle w:val="9"/>
        <w:spacing w:after="0" w:line="249" w:lineRule="auto"/>
        <w:rPr>
          <w:rFonts w:hint="eastAsia"/>
          <w:color w:val="231F20"/>
        </w:rPr>
      </w:pPr>
      <w:r>
        <w:rPr>
          <w:rFonts w:hint="eastAsia"/>
          <w:color w:val="231F20"/>
        </w:rPr>
        <w:t>新约，超越了这种制约，揭示了真正的意义：这位救赎者/审判者是主耶稣基督在祂的第二次降临时，带着能力和荣耀从天而降，大能拯救祂被围困但信靠的圣徒，并准备审判所有骄傲和敌对的国家，这些国家就像古时的以东一样，不仅拒绝了祂属天的统治，现在还在逼迫祂属地的子民（马太福音 24:29-31, 25:31及后文, 帖撒罗尼迦后书 1章, 启示录 19:13）。</w:t>
      </w:r>
    </w:p>
    <w:p w14:paraId="57600F5B">
      <w:pPr>
        <w:pStyle w:val="9"/>
        <w:spacing w:after="0" w:line="249" w:lineRule="auto"/>
        <w:rPr>
          <w:rFonts w:hint="eastAsia"/>
          <w:color w:val="231F20"/>
        </w:rPr>
      </w:pPr>
    </w:p>
    <w:p w14:paraId="3AB8A04D">
      <w:pPr>
        <w:pStyle w:val="9"/>
        <w:spacing w:after="0" w:line="249" w:lineRule="auto"/>
        <w:rPr>
          <w:rFonts w:hint="eastAsia"/>
          <w:color w:val="231F20"/>
        </w:rPr>
      </w:pPr>
      <w:r>
        <w:rPr>
          <w:rFonts w:hint="eastAsia"/>
          <w:color w:val="231F20"/>
        </w:rPr>
        <w:t>We conclude, then, that OT prophecies of the Day of the LORD pave the way for the NT revelation of the Day of the Lord Jesus Christ (Mt. 24:36, Luke 17:31f, 1 Cor. 5:5, 2 Cor. 1:14, Phil. 1:10, 2:16, 2 Thess. 2:2).</w:t>
      </w:r>
    </w:p>
    <w:p w14:paraId="5ED9E4E9">
      <w:pPr>
        <w:pStyle w:val="9"/>
        <w:spacing w:after="0" w:line="249" w:lineRule="auto"/>
        <w:rPr>
          <w:rFonts w:hint="eastAsia"/>
          <w:color w:val="231F20"/>
        </w:rPr>
      </w:pPr>
      <w:r>
        <w:rPr>
          <w:rFonts w:hint="eastAsia"/>
          <w:color w:val="231F20"/>
        </w:rPr>
        <w:t>因此，我们得出结论，旧约关于耶和华的日子的预言，为新约关于主耶稣基督的日子的启示铺平了道路（马太福音 24:36, 路加福音 17:31及后文, 哥林多前书 5:5, 哥林多后书 1:14, 腓立比书 1:10, 2:16, 帖撒罗尼迦后书 2:2）。</w:t>
      </w:r>
    </w:p>
    <w:p w14:paraId="4A540744">
      <w:pPr>
        <w:pStyle w:val="9"/>
        <w:spacing w:after="0" w:line="249" w:lineRule="auto"/>
        <w:rPr>
          <w:rFonts w:hint="eastAsia"/>
          <w:color w:val="231F20"/>
        </w:rPr>
      </w:pPr>
    </w:p>
    <w:p w14:paraId="28C8CDDA">
      <w:pPr>
        <w:pStyle w:val="9"/>
        <w:spacing w:after="0" w:line="249" w:lineRule="auto"/>
        <w:rPr>
          <w:rFonts w:hint="eastAsia"/>
          <w:color w:val="231F20"/>
        </w:rPr>
      </w:pPr>
      <w:r>
        <w:rPr>
          <w:rFonts w:hint="eastAsia"/>
          <w:color w:val="231F20"/>
        </w:rPr>
        <w:t>Kneeling reverently at the feet of Christ, these prophecies bear solemn, majestic, joyful, and “mysterious” witness to the (second) coming of the High King of Heaven.</w:t>
      </w:r>
    </w:p>
    <w:p w14:paraId="41269F15">
      <w:pPr>
        <w:pStyle w:val="9"/>
        <w:spacing w:after="0" w:line="249" w:lineRule="auto"/>
        <w:rPr>
          <w:rFonts w:hint="eastAsia"/>
          <w:color w:val="231F20"/>
        </w:rPr>
      </w:pPr>
      <w:r>
        <w:rPr>
          <w:rFonts w:hint="eastAsia"/>
          <w:color w:val="231F20"/>
        </w:rPr>
        <w:t>这些预言恭敬地跪在基督脚前，为天上至高君王的（第二次）降临作了庄严、宏伟、喜乐和“奥秘”的见证。</w:t>
      </w:r>
    </w:p>
    <w:p w14:paraId="05D80253">
      <w:pPr>
        <w:pStyle w:val="9"/>
        <w:spacing w:after="0" w:line="249" w:lineRule="auto"/>
        <w:rPr>
          <w:rFonts w:hint="eastAsia"/>
          <w:color w:val="231F20"/>
        </w:rPr>
      </w:pPr>
    </w:p>
    <w:p w14:paraId="3D81AA30">
      <w:pPr>
        <w:pStyle w:val="9"/>
        <w:spacing w:after="0" w:line="249" w:lineRule="auto"/>
        <w:rPr>
          <w:rFonts w:hint="eastAsia"/>
          <w:color w:val="231F20"/>
        </w:rPr>
      </w:pPr>
      <w:r>
        <w:rPr>
          <w:rFonts w:hint="eastAsia"/>
          <w:color w:val="231F20"/>
        </w:rPr>
        <w:t>The World to Come</w:t>
      </w:r>
    </w:p>
    <w:p w14:paraId="00E972D8">
      <w:pPr>
        <w:pStyle w:val="9"/>
        <w:spacing w:after="0" w:line="249" w:lineRule="auto"/>
        <w:rPr>
          <w:rFonts w:hint="eastAsia"/>
          <w:color w:val="231F20"/>
        </w:rPr>
      </w:pPr>
      <w:r>
        <w:rPr>
          <w:rFonts w:hint="eastAsia"/>
          <w:color w:val="231F20"/>
        </w:rPr>
        <w:t>未来的世界</w:t>
      </w:r>
    </w:p>
    <w:p w14:paraId="4B3A5C30">
      <w:pPr>
        <w:pStyle w:val="9"/>
        <w:spacing w:after="0" w:line="249" w:lineRule="auto"/>
        <w:rPr>
          <w:rFonts w:hint="eastAsia"/>
          <w:color w:val="231F20"/>
        </w:rPr>
      </w:pPr>
    </w:p>
    <w:p w14:paraId="31279114">
      <w:pPr>
        <w:pStyle w:val="9"/>
        <w:spacing w:after="0" w:line="249" w:lineRule="auto"/>
        <w:rPr>
          <w:rFonts w:hint="eastAsia"/>
          <w:color w:val="231F20"/>
        </w:rPr>
      </w:pPr>
      <w:r>
        <w:rPr>
          <w:rFonts w:hint="eastAsia"/>
          <w:color w:val="231F20"/>
        </w:rPr>
        <w:t>The fifth and final stage of the coming of the Kingdom is The World to Come.</w:t>
      </w:r>
    </w:p>
    <w:p w14:paraId="6C2F8AB7">
      <w:pPr>
        <w:pStyle w:val="9"/>
        <w:spacing w:after="0" w:line="249" w:lineRule="auto"/>
        <w:rPr>
          <w:rFonts w:hint="eastAsia"/>
          <w:color w:val="231F20"/>
        </w:rPr>
      </w:pPr>
      <w:r>
        <w:rPr>
          <w:rFonts w:hint="eastAsia"/>
          <w:color w:val="231F20"/>
        </w:rPr>
        <w:t>国度来临的第五个也是最后一个阶段是“未来的世界”。</w:t>
      </w:r>
    </w:p>
    <w:p w14:paraId="715D50AF">
      <w:pPr>
        <w:pStyle w:val="9"/>
        <w:spacing w:after="0" w:line="249" w:lineRule="auto"/>
        <w:rPr>
          <w:rFonts w:hint="eastAsia"/>
          <w:color w:val="231F20"/>
        </w:rPr>
      </w:pPr>
    </w:p>
    <w:p w14:paraId="4B369D12">
      <w:pPr>
        <w:pStyle w:val="9"/>
        <w:spacing w:after="0" w:line="249" w:lineRule="auto"/>
        <w:rPr>
          <w:rFonts w:hint="eastAsia"/>
          <w:color w:val="231F20"/>
        </w:rPr>
      </w:pPr>
      <w:r>
        <w:rPr>
          <w:rFonts w:hint="eastAsia"/>
          <w:color w:val="231F20"/>
        </w:rPr>
        <w:t>Though this expression (which originated in inter-testamental Judaism) does not appear in OTKP, the idea is present everywhere.</w:t>
      </w:r>
    </w:p>
    <w:p w14:paraId="3790A86C">
      <w:pPr>
        <w:pStyle w:val="9"/>
        <w:spacing w:after="0" w:line="249" w:lineRule="auto"/>
        <w:rPr>
          <w:rFonts w:hint="eastAsia"/>
          <w:color w:val="231F20"/>
        </w:rPr>
      </w:pPr>
      <w:r>
        <w:rPr>
          <w:rFonts w:hint="eastAsia"/>
          <w:color w:val="231F20"/>
        </w:rPr>
        <w:t>虽然这个表达（源于两约之间的犹太教）并未出现在旧约国度预言（OTKP）中，但其观念却无处不在。</w:t>
      </w:r>
    </w:p>
    <w:p w14:paraId="78692A84">
      <w:pPr>
        <w:pStyle w:val="9"/>
        <w:spacing w:after="0" w:line="249" w:lineRule="auto"/>
        <w:rPr>
          <w:rFonts w:hint="eastAsia"/>
          <w:color w:val="231F20"/>
        </w:rPr>
      </w:pPr>
    </w:p>
    <w:p w14:paraId="74BC0462">
      <w:pPr>
        <w:pStyle w:val="9"/>
        <w:spacing w:after="0" w:line="249" w:lineRule="auto"/>
        <w:rPr>
          <w:rFonts w:hint="eastAsia"/>
          <w:color w:val="231F20"/>
        </w:rPr>
      </w:pPr>
      <w:r>
        <w:rPr>
          <w:rFonts w:hint="eastAsia"/>
          <w:color w:val="231F20"/>
        </w:rPr>
        <w:t>We may define the World to Come as the ultimate goal of Salvation History; the final state; the world fully rescued from every enemy, and fully restored to every friend; the world in which God himself is fully present, fully manifest, and fully ruling over all.</w:t>
      </w:r>
    </w:p>
    <w:p w14:paraId="2A791D08">
      <w:pPr>
        <w:pStyle w:val="9"/>
        <w:spacing w:after="0" w:line="249" w:lineRule="auto"/>
        <w:rPr>
          <w:rFonts w:hint="eastAsia"/>
          <w:color w:val="231F20"/>
        </w:rPr>
      </w:pPr>
      <w:r>
        <w:rPr>
          <w:rFonts w:hint="eastAsia"/>
          <w:color w:val="231F20"/>
        </w:rPr>
        <w:t>我们可以将“未来的世界”定义为救赎历史的最终目标；最终的状态；一个从所有仇敌中被完全拯救，并完全恢复到所有朋友那里的世界；一个上帝自己完全同在、完全显现、并完全统治一切的世界。</w:t>
      </w:r>
    </w:p>
    <w:p w14:paraId="1C75EA55">
      <w:pPr>
        <w:pStyle w:val="9"/>
        <w:spacing w:after="0" w:line="249" w:lineRule="auto"/>
        <w:rPr>
          <w:rFonts w:hint="eastAsia"/>
          <w:color w:val="231F20"/>
        </w:rPr>
      </w:pPr>
    </w:p>
    <w:p w14:paraId="42EAF8E2">
      <w:pPr>
        <w:pStyle w:val="9"/>
        <w:spacing w:after="0" w:line="249" w:lineRule="auto"/>
        <w:rPr>
          <w:rFonts w:hint="eastAsia"/>
          <w:color w:val="231F20"/>
        </w:rPr>
      </w:pPr>
      <w:r>
        <w:rPr>
          <w:rFonts w:hint="eastAsia"/>
          <w:color w:val="231F20"/>
        </w:rPr>
        <w:t>With the lone exception of Jonah, there is not a single OT prophet who does not supply us with a “snapshot” of the World to Come.</w:t>
      </w:r>
    </w:p>
    <w:p w14:paraId="48550A9D">
      <w:pPr>
        <w:pStyle w:val="9"/>
        <w:spacing w:after="0" w:line="249" w:lineRule="auto"/>
        <w:rPr>
          <w:rFonts w:hint="eastAsia"/>
          <w:color w:val="231F20"/>
        </w:rPr>
      </w:pPr>
      <w:r>
        <w:rPr>
          <w:rFonts w:hint="eastAsia"/>
          <w:color w:val="231F20"/>
        </w:rPr>
        <w:t>除了约拿之外，没有一位旧约先知不为我们提供一幅“未来的世界”的“快照”。</w:t>
      </w:r>
    </w:p>
    <w:p w14:paraId="07419FB3">
      <w:pPr>
        <w:pStyle w:val="9"/>
        <w:spacing w:after="0" w:line="249" w:lineRule="auto"/>
        <w:rPr>
          <w:rFonts w:hint="eastAsia"/>
          <w:color w:val="231F20"/>
        </w:rPr>
      </w:pPr>
    </w:p>
    <w:p w14:paraId="2FD8C659">
      <w:pPr>
        <w:pStyle w:val="9"/>
        <w:spacing w:after="0" w:line="249" w:lineRule="auto"/>
        <w:rPr>
          <w:rFonts w:hint="eastAsia"/>
          <w:color w:val="231F20"/>
        </w:rPr>
      </w:pPr>
      <w:r>
        <w:rPr>
          <w:rFonts w:hint="eastAsia"/>
          <w:color w:val="231F20"/>
        </w:rPr>
        <w:t>As we have seen, Moses himself opened up this particular spring of divine revelation (Lev. 26:40-45, Deut. 30:1-10), various Psalmists turned it into a stream (Psalms 2, 22, 72, 89, 96, 132), and the writing prophets swelled it into a mighty rushing river.</w:t>
      </w:r>
    </w:p>
    <w:p w14:paraId="0B6427C4">
      <w:pPr>
        <w:pStyle w:val="9"/>
        <w:spacing w:after="0" w:line="249" w:lineRule="auto"/>
        <w:rPr>
          <w:rFonts w:hint="eastAsia"/>
          <w:color w:val="231F20"/>
        </w:rPr>
      </w:pPr>
      <w:r>
        <w:rPr>
          <w:rFonts w:hint="eastAsia"/>
          <w:color w:val="231F20"/>
        </w:rPr>
        <w:t>正如我们所见，摩西自己开启了这股神圣启示的特别泉源（利未记 26:40-45, 申命记 30:1-10），各诗篇作者将其变为溪流（诗篇 2, 22, 72, 89, 96, 132篇），而写作先知则将其汇成一条汹涌澎湃的大河。</w:t>
      </w:r>
    </w:p>
    <w:p w14:paraId="4B248269">
      <w:pPr>
        <w:pStyle w:val="9"/>
        <w:spacing w:after="0" w:line="249" w:lineRule="auto"/>
        <w:rPr>
          <w:rFonts w:hint="eastAsia"/>
          <w:color w:val="231F20"/>
        </w:rPr>
      </w:pPr>
    </w:p>
    <w:p w14:paraId="029ABCE3">
      <w:pPr>
        <w:pStyle w:val="9"/>
        <w:spacing w:after="0" w:line="249" w:lineRule="auto"/>
        <w:rPr>
          <w:rFonts w:hint="eastAsia"/>
          <w:color w:val="231F20"/>
        </w:rPr>
      </w:pPr>
      <w:r>
        <w:rPr>
          <w:rFonts w:hint="eastAsia"/>
          <w:color w:val="231F20"/>
        </w:rPr>
        <w:t>In OTKP, the immediate historical precursor to the World to Come is not uniform.</w:t>
      </w:r>
    </w:p>
    <w:p w14:paraId="016A9728">
      <w:pPr>
        <w:pStyle w:val="9"/>
        <w:spacing w:after="0" w:line="249" w:lineRule="auto"/>
        <w:rPr>
          <w:rFonts w:hint="eastAsia"/>
          <w:color w:val="231F20"/>
        </w:rPr>
      </w:pPr>
      <w:r>
        <w:rPr>
          <w:rFonts w:hint="eastAsia"/>
          <w:color w:val="231F20"/>
        </w:rPr>
        <w:t>在旧约国度预言（OTKP）中，“未来的世界”的直接历史先驱并非统一。</w:t>
      </w:r>
    </w:p>
    <w:p w14:paraId="2F026F37">
      <w:pPr>
        <w:pStyle w:val="9"/>
        <w:spacing w:after="0" w:line="249" w:lineRule="auto"/>
        <w:rPr>
          <w:rFonts w:hint="eastAsia"/>
          <w:color w:val="231F20"/>
        </w:rPr>
      </w:pPr>
    </w:p>
    <w:p w14:paraId="619CD8EF">
      <w:pPr>
        <w:pStyle w:val="9"/>
        <w:spacing w:after="0" w:line="249" w:lineRule="auto"/>
        <w:rPr>
          <w:rFonts w:hint="eastAsia"/>
          <w:color w:val="231F20"/>
        </w:rPr>
      </w:pPr>
      <w:r>
        <w:rPr>
          <w:rFonts w:hint="eastAsia"/>
          <w:color w:val="231F20"/>
        </w:rPr>
        <w:t>Usually, it is Israel’s restoration from captivity; often it is the Days of the Messiah; sometimes it is the Last Battle, and sometimes it is the Day of the LORD.</w:t>
      </w:r>
    </w:p>
    <w:p w14:paraId="7411B985">
      <w:pPr>
        <w:pStyle w:val="9"/>
        <w:spacing w:after="0" w:line="249" w:lineRule="auto"/>
        <w:rPr>
          <w:rFonts w:hint="eastAsia"/>
          <w:color w:val="231F20"/>
        </w:rPr>
      </w:pPr>
      <w:r>
        <w:rPr>
          <w:rFonts w:hint="eastAsia"/>
          <w:color w:val="231F20"/>
        </w:rPr>
        <w:t>通常，它是以色列从被掳中的复兴；常常是弥赛亚的日子；有时是最后的战役，有时是耶和华的日子。</w:t>
      </w:r>
    </w:p>
    <w:p w14:paraId="63039373">
      <w:pPr>
        <w:pStyle w:val="9"/>
        <w:spacing w:after="0" w:line="249" w:lineRule="auto"/>
        <w:rPr>
          <w:rFonts w:hint="eastAsia"/>
          <w:color w:val="231F20"/>
        </w:rPr>
      </w:pPr>
    </w:p>
    <w:p w14:paraId="4BDE172B">
      <w:pPr>
        <w:pStyle w:val="9"/>
        <w:spacing w:after="0" w:line="249" w:lineRule="auto"/>
        <w:rPr>
          <w:rFonts w:hint="eastAsia"/>
          <w:color w:val="231F20"/>
        </w:rPr>
      </w:pPr>
      <w:r>
        <w:rPr>
          <w:rFonts w:hint="eastAsia"/>
          <w:color w:val="231F20"/>
        </w:rPr>
        <w:t>But again, in one way or another, the World to Come always appears in OTKP, since it and the (completed) Kingdom of God are one and the same.</w:t>
      </w:r>
    </w:p>
    <w:p w14:paraId="56E8670D">
      <w:pPr>
        <w:pStyle w:val="9"/>
        <w:spacing w:after="0" w:line="249" w:lineRule="auto"/>
        <w:rPr>
          <w:rFonts w:hint="eastAsia"/>
          <w:color w:val="231F20"/>
        </w:rPr>
      </w:pPr>
      <w:r>
        <w:rPr>
          <w:rFonts w:hint="eastAsia"/>
          <w:color w:val="231F20"/>
        </w:rPr>
        <w:t>但再次强调，无论如何，“未来的世界”总是出现在旧约国度预言（OTKP）中，因为它与（已完成的）上帝之国是同一回事。</w:t>
      </w:r>
    </w:p>
    <w:p w14:paraId="0601E152">
      <w:pPr>
        <w:pStyle w:val="9"/>
        <w:spacing w:after="0" w:line="249" w:lineRule="auto"/>
        <w:rPr>
          <w:rFonts w:hint="eastAsia"/>
          <w:color w:val="231F20"/>
        </w:rPr>
      </w:pPr>
    </w:p>
    <w:p w14:paraId="10228D71">
      <w:pPr>
        <w:pStyle w:val="9"/>
        <w:spacing w:after="0" w:line="249" w:lineRule="auto"/>
        <w:rPr>
          <w:rFonts w:hint="eastAsia"/>
          <w:color w:val="231F20"/>
        </w:rPr>
      </w:pPr>
      <w:r>
        <w:rPr>
          <w:rFonts w:hint="eastAsia"/>
          <w:color w:val="231F20"/>
        </w:rPr>
        <w:t>In our previous discussion of the (redemptive) nature of the Kingdom, we cited a great many of these prophetic snapshots, and examined several quite closely.5</w:t>
      </w:r>
    </w:p>
    <w:p w14:paraId="4E59D78C">
      <w:pPr>
        <w:pStyle w:val="9"/>
        <w:spacing w:after="0" w:line="249" w:lineRule="auto"/>
        <w:rPr>
          <w:rFonts w:hint="eastAsia"/>
          <w:color w:val="231F20"/>
        </w:rPr>
      </w:pPr>
      <w:r>
        <w:rPr>
          <w:rFonts w:hint="eastAsia"/>
          <w:color w:val="231F20"/>
        </w:rPr>
        <w:t>在我们之前对国度（救赎性）性质的讨论中，我们引用了许多这些预言的快照，并相当仔细地审视了几个。5</w:t>
      </w:r>
    </w:p>
    <w:p w14:paraId="6D83A891">
      <w:pPr>
        <w:pStyle w:val="9"/>
        <w:spacing w:after="0" w:line="249" w:lineRule="auto"/>
        <w:rPr>
          <w:rFonts w:hint="eastAsia"/>
          <w:color w:val="231F20"/>
        </w:rPr>
      </w:pPr>
    </w:p>
    <w:p w14:paraId="2E53EFD3">
      <w:pPr>
        <w:pStyle w:val="9"/>
        <w:spacing w:after="0" w:line="249" w:lineRule="auto"/>
        <w:rPr>
          <w:rFonts w:hint="eastAsia"/>
          <w:color w:val="231F20"/>
        </w:rPr>
      </w:pPr>
      <w:r>
        <w:rPr>
          <w:rFonts w:hint="eastAsia"/>
          <w:color w:val="231F20"/>
        </w:rPr>
        <w:t>In so doing, we discovered two important truths.</w:t>
      </w:r>
    </w:p>
    <w:p w14:paraId="0C1C026B">
      <w:pPr>
        <w:pStyle w:val="9"/>
        <w:spacing w:after="0" w:line="249" w:lineRule="auto"/>
        <w:rPr>
          <w:rFonts w:hint="eastAsia"/>
          <w:color w:val="231F20"/>
        </w:rPr>
      </w:pPr>
      <w:r>
        <w:rPr>
          <w:rFonts w:hint="eastAsia"/>
          <w:color w:val="231F20"/>
        </w:rPr>
        <w:t>这样做，我们发现了两个重要的真理。</w:t>
      </w:r>
    </w:p>
    <w:p w14:paraId="27259AB8">
      <w:pPr>
        <w:pStyle w:val="9"/>
        <w:spacing w:after="0" w:line="249" w:lineRule="auto"/>
        <w:rPr>
          <w:rFonts w:hint="eastAsia"/>
          <w:color w:val="231F20"/>
        </w:rPr>
      </w:pPr>
    </w:p>
    <w:p w14:paraId="698DFB9E">
      <w:pPr>
        <w:pStyle w:val="9"/>
        <w:spacing w:after="0" w:line="249" w:lineRule="auto"/>
        <w:rPr>
          <w:rFonts w:hint="eastAsia"/>
          <w:color w:val="231F20"/>
        </w:rPr>
      </w:pPr>
      <w:r>
        <w:rPr>
          <w:rFonts w:hint="eastAsia"/>
          <w:color w:val="231F20"/>
        </w:rPr>
        <w:t>First, all OTKP’s paint the same essential picture: a picture of a world in which God has rescued man and nature from every physical and spiritual enemy, and restored them to every spiritual and physical friend.</w:t>
      </w:r>
    </w:p>
    <w:p w14:paraId="408FB6D1">
      <w:pPr>
        <w:pStyle w:val="9"/>
        <w:spacing w:after="0" w:line="249" w:lineRule="auto"/>
        <w:rPr>
          <w:rFonts w:hint="eastAsia"/>
          <w:color w:val="231F20"/>
        </w:rPr>
      </w:pPr>
      <w:r>
        <w:rPr>
          <w:rFonts w:hint="eastAsia"/>
          <w:color w:val="231F20"/>
        </w:rPr>
        <w:t>首先，所有的旧约国度预言（OTKP）都描绘了同一幅本质的图景：一幅上帝将人类和自然从每一个物质和属灵的仇敌中拯救出来，并将他们恢复到每一个属灵和物质的朋友那里的世界图景。</w:t>
      </w:r>
    </w:p>
    <w:p w14:paraId="74E5AEA3">
      <w:pPr>
        <w:pStyle w:val="9"/>
        <w:spacing w:after="0" w:line="249" w:lineRule="auto"/>
        <w:rPr>
          <w:rFonts w:hint="eastAsia"/>
          <w:color w:val="231F20"/>
        </w:rPr>
      </w:pPr>
    </w:p>
    <w:p w14:paraId="67D171BB">
      <w:pPr>
        <w:pStyle w:val="9"/>
        <w:spacing w:after="0" w:line="249" w:lineRule="auto"/>
        <w:rPr>
          <w:rFonts w:hint="eastAsia"/>
          <w:color w:val="231F20"/>
        </w:rPr>
      </w:pPr>
      <w:r>
        <w:rPr>
          <w:rFonts w:hint="eastAsia"/>
          <w:color w:val="231F20"/>
        </w:rPr>
        <w:t>But secondly, because of covenantal conditioning, they by no means paint a uniform picture.</w:t>
      </w:r>
    </w:p>
    <w:p w14:paraId="0D05BA1C">
      <w:pPr>
        <w:pStyle w:val="9"/>
        <w:spacing w:after="0" w:line="249" w:lineRule="auto"/>
        <w:rPr>
          <w:rFonts w:hint="eastAsia"/>
          <w:color w:val="231F20"/>
        </w:rPr>
      </w:pPr>
      <w:r>
        <w:rPr>
          <w:rFonts w:hint="eastAsia"/>
          <w:color w:val="231F20"/>
        </w:rPr>
        <w:t>但其次，由于受圣约制约，它们绝非描绘了一幅统一的图景。</w:t>
      </w:r>
    </w:p>
    <w:p w14:paraId="085504CC">
      <w:pPr>
        <w:pStyle w:val="9"/>
        <w:spacing w:after="0" w:line="249" w:lineRule="auto"/>
        <w:rPr>
          <w:rFonts w:hint="eastAsia"/>
          <w:color w:val="231F20"/>
        </w:rPr>
      </w:pPr>
    </w:p>
    <w:p w14:paraId="054996C8">
      <w:pPr>
        <w:pStyle w:val="9"/>
        <w:spacing w:after="0" w:line="249" w:lineRule="auto"/>
        <w:rPr>
          <w:rFonts w:hint="eastAsia"/>
          <w:color w:val="231F20"/>
        </w:rPr>
      </w:pPr>
      <w:r>
        <w:rPr>
          <w:rFonts w:hint="eastAsia"/>
          <w:color w:val="231F20"/>
        </w:rPr>
        <w:t>This point merits a brief review.</w:t>
      </w:r>
    </w:p>
    <w:p w14:paraId="1A1E4F62">
      <w:pPr>
        <w:pStyle w:val="9"/>
        <w:spacing w:after="0" w:line="249" w:lineRule="auto"/>
        <w:rPr>
          <w:rFonts w:hint="eastAsia"/>
          <w:color w:val="231F20"/>
        </w:rPr>
      </w:pPr>
      <w:r>
        <w:rPr>
          <w:rFonts w:hint="eastAsia"/>
          <w:color w:val="231F20"/>
        </w:rPr>
        <w:t>这一点值得简要回顾。</w:t>
      </w:r>
    </w:p>
    <w:p w14:paraId="6561B890">
      <w:pPr>
        <w:pStyle w:val="9"/>
        <w:spacing w:after="0" w:line="249" w:lineRule="auto"/>
        <w:rPr>
          <w:rFonts w:hint="eastAsia"/>
          <w:color w:val="231F20"/>
        </w:rPr>
      </w:pPr>
    </w:p>
    <w:p w14:paraId="2AE43258">
      <w:pPr>
        <w:pStyle w:val="9"/>
        <w:spacing w:after="0" w:line="249" w:lineRule="auto"/>
        <w:rPr>
          <w:rFonts w:hint="eastAsia"/>
          <w:color w:val="231F20"/>
        </w:rPr>
      </w:pPr>
      <w:r>
        <w:rPr>
          <w:rFonts w:hint="eastAsia"/>
          <w:color w:val="231F20"/>
        </w:rPr>
        <w:t>We remember, for example, that in some prophecies of the World to Come Israel alone remains; in others, believing Gentiles remain alongside them.</w:t>
      </w:r>
    </w:p>
    <w:p w14:paraId="0DE1645A">
      <w:pPr>
        <w:pStyle w:val="9"/>
        <w:spacing w:after="0" w:line="249" w:lineRule="auto"/>
        <w:rPr>
          <w:rFonts w:hint="eastAsia"/>
          <w:color w:val="231F20"/>
        </w:rPr>
      </w:pPr>
      <w:r>
        <w:rPr>
          <w:rFonts w:hint="eastAsia"/>
          <w:color w:val="231F20"/>
        </w:rPr>
        <w:t>我们记得，例如，在一些关于未来世界的预言中，只有以色列存留；在另一些预言中，信主的外邦人与他们一同存留。</w:t>
      </w:r>
    </w:p>
    <w:p w14:paraId="41C8DBF4">
      <w:pPr>
        <w:pStyle w:val="9"/>
        <w:spacing w:after="0" w:line="249" w:lineRule="auto"/>
        <w:rPr>
          <w:rFonts w:hint="eastAsia"/>
          <w:color w:val="231F20"/>
        </w:rPr>
      </w:pPr>
    </w:p>
    <w:p w14:paraId="40BE9A93">
      <w:pPr>
        <w:pStyle w:val="9"/>
        <w:spacing w:after="0" w:line="249" w:lineRule="auto"/>
        <w:rPr>
          <w:rFonts w:hint="eastAsia"/>
          <w:color w:val="231F20"/>
        </w:rPr>
      </w:pPr>
      <w:r>
        <w:rPr>
          <w:rFonts w:hint="eastAsia"/>
          <w:color w:val="231F20"/>
        </w:rPr>
        <w:t>In some, all nations gladly submit to the LORD (and to his Messiah); in others, certain rebellious nations persist and are ever subject to divine judgment.</w:t>
      </w:r>
    </w:p>
    <w:p w14:paraId="2DDC69C1">
      <w:pPr>
        <w:pStyle w:val="9"/>
        <w:spacing w:after="0" w:line="249" w:lineRule="auto"/>
        <w:rPr>
          <w:rFonts w:hint="eastAsia"/>
          <w:color w:val="231F20"/>
        </w:rPr>
      </w:pPr>
      <w:r>
        <w:rPr>
          <w:rFonts w:hint="eastAsia"/>
          <w:color w:val="231F20"/>
        </w:rPr>
        <w:t>在一些预言中，所有国家都乐意顺服耶和华（和祂的弥赛亚）；在另一些预言中，某些悖逆的国家持续存在并永远受到神的审判。</w:t>
      </w:r>
    </w:p>
    <w:p w14:paraId="2EF01686">
      <w:pPr>
        <w:pStyle w:val="9"/>
        <w:spacing w:after="0" w:line="249" w:lineRule="auto"/>
        <w:rPr>
          <w:rFonts w:hint="eastAsia"/>
          <w:color w:val="231F20"/>
        </w:rPr>
      </w:pPr>
    </w:p>
    <w:p w14:paraId="5F02D64F">
      <w:pPr>
        <w:pStyle w:val="9"/>
        <w:spacing w:after="0" w:line="249" w:lineRule="auto"/>
        <w:rPr>
          <w:rFonts w:hint="eastAsia"/>
          <w:color w:val="231F20"/>
        </w:rPr>
      </w:pPr>
      <w:r>
        <w:rPr>
          <w:rFonts w:hint="eastAsia"/>
          <w:color w:val="231F20"/>
        </w:rPr>
        <w:t>In some, perfect peace prevails; in others, war (but not defeat) remains a permanent threat.</w:t>
      </w:r>
    </w:p>
    <w:p w14:paraId="2B97AD68">
      <w:pPr>
        <w:pStyle w:val="9"/>
        <w:spacing w:after="0" w:line="249" w:lineRule="auto"/>
        <w:rPr>
          <w:rFonts w:hint="eastAsia"/>
          <w:color w:val="231F20"/>
        </w:rPr>
      </w:pPr>
      <w:r>
        <w:rPr>
          <w:rFonts w:hint="eastAsia"/>
          <w:color w:val="231F20"/>
        </w:rPr>
        <w:t>在一些地方，完全的和平盛行；在另一些地方，战争（但不是失败）仍然是一个永久的威胁。</w:t>
      </w:r>
    </w:p>
    <w:p w14:paraId="66780537">
      <w:pPr>
        <w:pStyle w:val="9"/>
        <w:spacing w:after="0" w:line="249" w:lineRule="auto"/>
        <w:rPr>
          <w:rFonts w:hint="eastAsia"/>
          <w:color w:val="231F20"/>
        </w:rPr>
      </w:pPr>
    </w:p>
    <w:p w14:paraId="3E1B18BC">
      <w:pPr>
        <w:pStyle w:val="9"/>
        <w:spacing w:after="0" w:line="249" w:lineRule="auto"/>
        <w:rPr>
          <w:rFonts w:hint="eastAsia"/>
          <w:color w:val="231F20"/>
        </w:rPr>
      </w:pPr>
      <w:r>
        <w:rPr>
          <w:rFonts w:hint="eastAsia"/>
          <w:color w:val="231F20"/>
        </w:rPr>
        <w:t>In some, old age and death are forever banished; in others, they abide as constant (but harmless) companions.</w:t>
      </w:r>
    </w:p>
    <w:p w14:paraId="3C93AA62">
      <w:pPr>
        <w:pStyle w:val="9"/>
        <w:spacing w:after="0" w:line="249" w:lineRule="auto"/>
        <w:rPr>
          <w:rFonts w:hint="eastAsia"/>
          <w:color w:val="231F20"/>
        </w:rPr>
      </w:pPr>
      <w:r>
        <w:rPr>
          <w:rFonts w:hint="eastAsia"/>
          <w:color w:val="231F20"/>
        </w:rPr>
        <w:t>在一些预言中，老年和死亡被永远驱逐；在另一些预言中，它们作为持续（但无害）的伴侣而存在。</w:t>
      </w:r>
    </w:p>
    <w:p w14:paraId="734A2FA9">
      <w:pPr>
        <w:pStyle w:val="9"/>
        <w:spacing w:after="0" w:line="249" w:lineRule="auto"/>
        <w:rPr>
          <w:rFonts w:hint="eastAsia"/>
          <w:color w:val="231F20"/>
        </w:rPr>
      </w:pPr>
    </w:p>
    <w:p w14:paraId="645CA83C">
      <w:pPr>
        <w:pStyle w:val="9"/>
        <w:spacing w:after="0" w:line="249" w:lineRule="auto"/>
        <w:rPr>
          <w:rFonts w:hint="eastAsia"/>
          <w:color w:val="231F20"/>
        </w:rPr>
      </w:pPr>
      <w:r>
        <w:rPr>
          <w:rFonts w:hint="eastAsia"/>
          <w:color w:val="231F20"/>
        </w:rPr>
        <w:t>In some, Israel (with neighboring nations) lives under the Mosaic Covenant; in others, they live under a New Covenant.</w:t>
      </w:r>
    </w:p>
    <w:p w14:paraId="2309FE02">
      <w:pPr>
        <w:pStyle w:val="9"/>
        <w:spacing w:after="0" w:line="249" w:lineRule="auto"/>
        <w:rPr>
          <w:rFonts w:hint="eastAsia"/>
          <w:color w:val="231F20"/>
        </w:rPr>
      </w:pPr>
      <w:r>
        <w:rPr>
          <w:rFonts w:hint="eastAsia"/>
          <w:color w:val="231F20"/>
        </w:rPr>
        <w:t>在一些预言中，以色列（及其邻国）生活在摩西之约下；在另一些预言中，他们生活在新约之下。</w:t>
      </w:r>
    </w:p>
    <w:p w14:paraId="0781D35E">
      <w:pPr>
        <w:pStyle w:val="9"/>
        <w:spacing w:after="0" w:line="249" w:lineRule="auto"/>
        <w:rPr>
          <w:rFonts w:hint="eastAsia"/>
          <w:color w:val="231F20"/>
        </w:rPr>
      </w:pPr>
    </w:p>
    <w:p w14:paraId="5A9626E4">
      <w:pPr>
        <w:pStyle w:val="9"/>
        <w:spacing w:after="0" w:line="249" w:lineRule="auto"/>
        <w:rPr>
          <w:rFonts w:hint="eastAsia"/>
          <w:color w:val="231F20"/>
        </w:rPr>
      </w:pPr>
      <w:r>
        <w:rPr>
          <w:rFonts w:hint="eastAsia"/>
          <w:color w:val="231F20"/>
        </w:rPr>
        <w:t>In some, all nature blossoms like a rose; in others, deserts and marshes stand as perpetual reminders of divine judgment.</w:t>
      </w:r>
    </w:p>
    <w:p w14:paraId="7F508FAF">
      <w:pPr>
        <w:pStyle w:val="9"/>
        <w:spacing w:after="0" w:line="249" w:lineRule="auto"/>
        <w:rPr>
          <w:rFonts w:hint="eastAsia"/>
          <w:color w:val="231F20"/>
        </w:rPr>
      </w:pPr>
      <w:r>
        <w:rPr>
          <w:rFonts w:hint="eastAsia"/>
          <w:color w:val="231F20"/>
        </w:rPr>
        <w:t>在一些预言中，整个自然界都像玫瑰一样绽放；在另一些预言中，沙漠和沼泽作为神圣审判的永恒提醒而存在。</w:t>
      </w:r>
    </w:p>
    <w:p w14:paraId="442043DE">
      <w:pPr>
        <w:pStyle w:val="9"/>
        <w:spacing w:after="0" w:line="249" w:lineRule="auto"/>
        <w:rPr>
          <w:rFonts w:hint="eastAsia"/>
          <w:color w:val="231F20"/>
        </w:rPr>
      </w:pPr>
    </w:p>
    <w:p w14:paraId="54A82889">
      <w:pPr>
        <w:pStyle w:val="9"/>
        <w:spacing w:after="0" w:line="249" w:lineRule="auto"/>
        <w:rPr>
          <w:rFonts w:hint="eastAsia"/>
          <w:color w:val="231F20"/>
        </w:rPr>
      </w:pPr>
      <w:r>
        <w:rPr>
          <w:rFonts w:hint="eastAsia"/>
          <w:color w:val="231F20"/>
        </w:rPr>
        <w:t>In some, the sun, moon, and stars give way to the light of God’s glory; in others, new moons and Sabbaths continue as an everlasting call to the worship of the LORD.</w:t>
      </w:r>
    </w:p>
    <w:p w14:paraId="06EE0233">
      <w:pPr>
        <w:pStyle w:val="9"/>
        <w:spacing w:after="0" w:line="249" w:lineRule="auto"/>
        <w:rPr>
          <w:rFonts w:hint="eastAsia"/>
          <w:color w:val="231F20"/>
        </w:rPr>
      </w:pPr>
      <w:r>
        <w:rPr>
          <w:rFonts w:hint="eastAsia"/>
          <w:color w:val="231F20"/>
        </w:rPr>
        <w:t>在一些预言中，日月星辰让位于上帝荣耀之光；在另一些预言中，新月和安息日继续作为敬拜耶和华的永恒呼召。</w:t>
      </w:r>
    </w:p>
    <w:p w14:paraId="431E94F2">
      <w:pPr>
        <w:pStyle w:val="9"/>
        <w:spacing w:after="0" w:line="249" w:lineRule="auto"/>
        <w:rPr>
          <w:rFonts w:hint="eastAsia"/>
          <w:color w:val="231F20"/>
        </w:rPr>
      </w:pPr>
    </w:p>
    <w:p w14:paraId="5785A36A">
      <w:pPr>
        <w:pStyle w:val="9"/>
        <w:spacing w:after="0" w:line="249" w:lineRule="auto"/>
        <w:rPr>
          <w:rFonts w:hint="eastAsia"/>
          <w:color w:val="231F20"/>
        </w:rPr>
      </w:pPr>
      <w:r>
        <w:rPr>
          <w:rFonts w:hint="eastAsia"/>
          <w:color w:val="231F20"/>
        </w:rPr>
        <w:t>And all of this is to say nothing of the various ways in which certain OTKP’s seem to clash with the NT picture of life in the age to come (e.g., vis-à-vis marriage, children, the curse, old age, death, oceans, the luminaries, etc.)</w:t>
      </w:r>
    </w:p>
    <w:p w14:paraId="1593A5BB">
      <w:pPr>
        <w:pStyle w:val="9"/>
        <w:spacing w:after="0" w:line="249" w:lineRule="auto"/>
        <w:rPr>
          <w:rFonts w:hint="eastAsia"/>
          <w:color w:val="231F20"/>
        </w:rPr>
      </w:pPr>
      <w:r>
        <w:rPr>
          <w:rFonts w:hint="eastAsia"/>
          <w:color w:val="231F20"/>
        </w:rPr>
        <w:t>所有这一切，更不用说某些旧约国度预言（OTKP）在各种方式上似乎与新约关于来世生活的图景相冲突（例如，关于婚姻、孩童、咒诅、老年、死亡、海洋、发光体等）。</w:t>
      </w:r>
    </w:p>
    <w:p w14:paraId="4ACFD979">
      <w:pPr>
        <w:pStyle w:val="9"/>
        <w:spacing w:after="0" w:line="249" w:lineRule="auto"/>
        <w:rPr>
          <w:rFonts w:hint="eastAsia"/>
          <w:color w:val="231F20"/>
        </w:rPr>
      </w:pPr>
    </w:p>
    <w:p w14:paraId="33F0001F">
      <w:pPr>
        <w:pStyle w:val="9"/>
        <w:spacing w:after="0" w:line="249" w:lineRule="auto"/>
        <w:rPr>
          <w:rFonts w:hint="eastAsia"/>
          <w:color w:val="231F20"/>
        </w:rPr>
      </w:pPr>
      <w:r>
        <w:rPr>
          <w:rFonts w:hint="eastAsia"/>
          <w:color w:val="231F20"/>
        </w:rPr>
        <w:t>Pondering this array of apparent contradictions, we realized that there is no hope of harmonizing the conflicting data by an appeal to a future millennium.</w:t>
      </w:r>
    </w:p>
    <w:p w14:paraId="35065F1D">
      <w:pPr>
        <w:pStyle w:val="9"/>
        <w:spacing w:after="0" w:line="249" w:lineRule="auto"/>
        <w:rPr>
          <w:rFonts w:hint="eastAsia"/>
          <w:color w:val="231F20"/>
        </w:rPr>
      </w:pPr>
      <w:r>
        <w:rPr>
          <w:rFonts w:hint="eastAsia"/>
          <w:color w:val="231F20"/>
        </w:rPr>
        <w:t>思考这一系列明显的矛盾，我们认识到，通过诉诸未来的千禧年来协调这些冲突的数据是毫无希望的。</w:t>
      </w:r>
    </w:p>
    <w:p w14:paraId="445A80C2">
      <w:pPr>
        <w:pStyle w:val="9"/>
        <w:spacing w:after="0" w:line="249" w:lineRule="auto"/>
        <w:rPr>
          <w:rFonts w:hint="eastAsia"/>
          <w:color w:val="231F20"/>
        </w:rPr>
      </w:pPr>
    </w:p>
    <w:p w14:paraId="31C9F7CD">
      <w:pPr>
        <w:pStyle w:val="9"/>
        <w:spacing w:after="0" w:line="249" w:lineRule="auto"/>
        <w:rPr>
          <w:rFonts w:hint="eastAsia"/>
          <w:color w:val="231F20"/>
        </w:rPr>
      </w:pPr>
      <w:r>
        <w:rPr>
          <w:rFonts w:hint="eastAsia"/>
          <w:color w:val="231F20"/>
        </w:rPr>
        <w:t>This is true primarily because the OTKP’s are clearly speaking of an eternal World to Come, not a temporary thousand year interlude.</w:t>
      </w:r>
    </w:p>
    <w:p w14:paraId="74E9FD7F">
      <w:pPr>
        <w:pStyle w:val="9"/>
        <w:spacing w:after="0" w:line="249" w:lineRule="auto"/>
        <w:rPr>
          <w:rFonts w:hint="eastAsia"/>
          <w:color w:val="231F20"/>
        </w:rPr>
      </w:pPr>
      <w:r>
        <w:rPr>
          <w:rFonts w:hint="eastAsia"/>
          <w:color w:val="231F20"/>
        </w:rPr>
        <w:t>这主要是因为旧约国度预言（OTKP）显然是在谈论一个永恒的未来世界，而不是一个暂时的千年插曲。</w:t>
      </w:r>
    </w:p>
    <w:p w14:paraId="17ACABBE">
      <w:pPr>
        <w:pStyle w:val="9"/>
        <w:spacing w:after="0" w:line="249" w:lineRule="auto"/>
        <w:rPr>
          <w:rFonts w:hint="eastAsia"/>
          <w:color w:val="231F20"/>
        </w:rPr>
      </w:pPr>
    </w:p>
    <w:p w14:paraId="608C8A47">
      <w:pPr>
        <w:pStyle w:val="9"/>
        <w:spacing w:after="0" w:line="249" w:lineRule="auto"/>
        <w:rPr>
          <w:rFonts w:hint="eastAsia"/>
          <w:color w:val="231F20"/>
        </w:rPr>
      </w:pPr>
      <w:r>
        <w:rPr>
          <w:rFonts w:hint="eastAsia"/>
          <w:color w:val="231F20"/>
        </w:rPr>
        <w:t>We concluded, then, that the only viable way of escape is to humble ourselves before Christ and the apostles; to let the NT reveal to us the true nature of the World to Come; to use that knowledge as a key that unlocks the true meaning of the OTKP’s; and therefore to understand that, to a greater or lesser degree, all of the latter are “covenantally conditioned” snapshots of the World that Christ—by the New and Eternal Covenant—introduced to us at his first coming, and will bring to eternal perfection at his second.</w:t>
      </w:r>
    </w:p>
    <w:p w14:paraId="38477C74">
      <w:pPr>
        <w:pStyle w:val="9"/>
        <w:spacing w:after="0" w:line="249" w:lineRule="auto"/>
        <w:rPr>
          <w:rFonts w:hint="eastAsia"/>
          <w:color w:val="231F20"/>
        </w:rPr>
      </w:pPr>
      <w:r>
        <w:rPr>
          <w:rFonts w:hint="eastAsia"/>
          <w:color w:val="231F20"/>
        </w:rPr>
        <w:t>因此，我们得出结论，唯一可行的出路是在基督和使徒面前谦卑自己；让新约向我们启示未来世界的真实性质；用那知识作为一把钥匙，解开旧约国度预言（OTKP）的真正意义；从而理解，或多或少，所有后者都是基督——藉着新的永恒之约——在祂第一次降临时向我们介绍的、并将在祂第二次降临时带入永恒完美的那个世界的“受圣约制约的”快照。</w:t>
      </w:r>
    </w:p>
    <w:p w14:paraId="01F6592F">
      <w:pPr>
        <w:pStyle w:val="9"/>
        <w:spacing w:after="0" w:line="249" w:lineRule="auto"/>
        <w:rPr>
          <w:rFonts w:hint="eastAsia"/>
          <w:color w:val="231F20"/>
        </w:rPr>
      </w:pPr>
    </w:p>
    <w:p w14:paraId="05726BC4">
      <w:pPr>
        <w:pStyle w:val="9"/>
        <w:spacing w:after="0" w:line="249" w:lineRule="auto"/>
        <w:rPr>
          <w:rFonts w:hint="eastAsia"/>
          <w:color w:val="231F20"/>
        </w:rPr>
      </w:pPr>
      <w:r>
        <w:rPr>
          <w:rFonts w:hint="eastAsia"/>
          <w:color w:val="231F20"/>
        </w:rPr>
        <w:t>In sum, if we want to know what life really will (and really won’t) be like in the World to Come, we must first find out from Christ and the apostles, and then learn to see that very thing promised to us beneath the mysterious, poetic, and covenantally conditioned images of OTKP.</w:t>
      </w:r>
    </w:p>
    <w:p w14:paraId="6252EAC1">
      <w:pPr>
        <w:pStyle w:val="9"/>
        <w:spacing w:after="0" w:line="249" w:lineRule="auto"/>
        <w:rPr>
          <w:rFonts w:hint="eastAsia"/>
          <w:color w:val="231F20"/>
        </w:rPr>
      </w:pPr>
      <w:r>
        <w:rPr>
          <w:rFonts w:hint="eastAsia"/>
          <w:color w:val="231F20"/>
        </w:rPr>
        <w:t>总而言之，如果我们想知道未来世界的生活真正会（和真正不会）是怎样的，我们必须首先从基督和使徒那里找到答案，然后学会在旧约国度预言（OTKP）神秘、诗意和受圣约制约的意象之下，看到那应许给我们的同一件事。</w:t>
      </w:r>
    </w:p>
    <w:p w14:paraId="237698D9">
      <w:pPr>
        <w:pStyle w:val="9"/>
        <w:spacing w:after="0" w:line="249" w:lineRule="auto"/>
        <w:rPr>
          <w:rFonts w:hint="eastAsia"/>
          <w:color w:val="231F20"/>
        </w:rPr>
      </w:pPr>
    </w:p>
    <w:p w14:paraId="64FAFEB0">
      <w:pPr>
        <w:pStyle w:val="9"/>
        <w:spacing w:after="0" w:line="249" w:lineRule="auto"/>
        <w:rPr>
          <w:rFonts w:hint="eastAsia"/>
          <w:color w:val="231F20"/>
        </w:rPr>
      </w:pPr>
      <w:r>
        <w:rPr>
          <w:rFonts w:hint="eastAsia"/>
          <w:color w:val="231F20"/>
        </w:rPr>
        <w:t>Conclusion</w:t>
      </w:r>
    </w:p>
    <w:p w14:paraId="0259EC73">
      <w:pPr>
        <w:pStyle w:val="9"/>
        <w:spacing w:after="0" w:line="249" w:lineRule="auto"/>
        <w:rPr>
          <w:rFonts w:hint="eastAsia"/>
          <w:color w:val="231F20"/>
        </w:rPr>
      </w:pPr>
      <w:r>
        <w:rPr>
          <w:rFonts w:hint="eastAsia"/>
          <w:color w:val="231F20"/>
        </w:rPr>
        <w:t>结论</w:t>
      </w:r>
    </w:p>
    <w:p w14:paraId="19DCA2EE">
      <w:pPr>
        <w:pStyle w:val="9"/>
        <w:spacing w:after="0" w:line="249" w:lineRule="auto"/>
        <w:rPr>
          <w:rFonts w:hint="eastAsia"/>
          <w:color w:val="231F20"/>
        </w:rPr>
      </w:pPr>
    </w:p>
    <w:p w14:paraId="242336B8">
      <w:pPr>
        <w:pStyle w:val="9"/>
        <w:spacing w:after="0" w:line="249" w:lineRule="auto"/>
        <w:rPr>
          <w:rFonts w:hint="eastAsia"/>
          <w:color w:val="231F20"/>
        </w:rPr>
      </w:pPr>
      <w:r>
        <w:rPr>
          <w:rFonts w:hint="eastAsia"/>
          <w:color w:val="231F20"/>
        </w:rPr>
        <w:t>In our survey of OTKP we have discovered a remarkable tension.</w:t>
      </w:r>
    </w:p>
    <w:p w14:paraId="53F47C23">
      <w:pPr>
        <w:pStyle w:val="9"/>
        <w:spacing w:after="0" w:line="249" w:lineRule="auto"/>
        <w:rPr>
          <w:rFonts w:hint="eastAsia"/>
          <w:color w:val="231F20"/>
        </w:rPr>
      </w:pPr>
      <w:r>
        <w:rPr>
          <w:rFonts w:hint="eastAsia"/>
          <w:color w:val="231F20"/>
        </w:rPr>
        <w:t>在我们对旧约国度预言（OTKP）的考察中，我们发现了一个显著的张力。</w:t>
      </w:r>
    </w:p>
    <w:p w14:paraId="1FBB8716">
      <w:pPr>
        <w:pStyle w:val="9"/>
        <w:spacing w:after="0" w:line="249" w:lineRule="auto"/>
        <w:rPr>
          <w:rFonts w:hint="eastAsia"/>
          <w:color w:val="231F20"/>
        </w:rPr>
      </w:pPr>
    </w:p>
    <w:p w14:paraId="6D39A1A6">
      <w:pPr>
        <w:pStyle w:val="9"/>
        <w:spacing w:after="0" w:line="249" w:lineRule="auto"/>
        <w:rPr>
          <w:rFonts w:hint="eastAsia"/>
          <w:color w:val="231F20"/>
        </w:rPr>
      </w:pPr>
      <w:r>
        <w:rPr>
          <w:rFonts w:hint="eastAsia"/>
          <w:color w:val="231F20"/>
        </w:rPr>
        <w:t>Yes, an inductive reading of the Law, the Psalms, and the Prophets yields a fairly representative idea of the nature and coming of the Kingdom of God.</w:t>
      </w:r>
    </w:p>
    <w:p w14:paraId="6C524019">
      <w:pPr>
        <w:pStyle w:val="9"/>
        <w:spacing w:after="0" w:line="249" w:lineRule="auto"/>
        <w:rPr>
          <w:rFonts w:hint="eastAsia"/>
          <w:color w:val="231F20"/>
        </w:rPr>
      </w:pPr>
      <w:r>
        <w:rPr>
          <w:rFonts w:hint="eastAsia"/>
          <w:color w:val="231F20"/>
        </w:rPr>
        <w:t>是的，对律法书、诗篇和先知书的归纳性阅读，确实得出了一个关于上帝之国性质和来临的相当有代表性的观念。</w:t>
      </w:r>
    </w:p>
    <w:p w14:paraId="283BE1BB">
      <w:pPr>
        <w:pStyle w:val="9"/>
        <w:spacing w:after="0" w:line="249" w:lineRule="auto"/>
        <w:rPr>
          <w:rFonts w:hint="eastAsia"/>
          <w:color w:val="231F20"/>
        </w:rPr>
      </w:pPr>
    </w:p>
    <w:p w14:paraId="219A7AD6">
      <w:pPr>
        <w:pStyle w:val="9"/>
        <w:spacing w:after="0" w:line="249" w:lineRule="auto"/>
        <w:rPr>
          <w:rFonts w:hint="eastAsia"/>
          <w:color w:val="231F20"/>
        </w:rPr>
      </w:pPr>
      <w:r>
        <w:rPr>
          <w:rFonts w:hint="eastAsia"/>
          <w:color w:val="231F20"/>
        </w:rPr>
        <w:t>As to its nature, it appears to be an eternal, universal theocracy, mediated by ethnic Israel and her Messiah, administered in accordance with the Law of Moses, and set in a spiritually and physically redeemed cosmos.</w:t>
      </w:r>
    </w:p>
    <w:p w14:paraId="2E7F80E6">
      <w:pPr>
        <w:pStyle w:val="9"/>
        <w:spacing w:after="0" w:line="249" w:lineRule="auto"/>
        <w:rPr>
          <w:rFonts w:hint="eastAsia"/>
          <w:color w:val="231F20"/>
        </w:rPr>
      </w:pPr>
      <w:r>
        <w:rPr>
          <w:rFonts w:hint="eastAsia"/>
          <w:color w:val="231F20"/>
        </w:rPr>
        <w:t>就其性质而言，它似乎是一个永恒的、普世的神权政体，由以色列民族及其弥赛亚作中介，按照摩西律法进行管理，并设立在一个属灵上和物质上都得到救赎的宇宙中。</w:t>
      </w:r>
    </w:p>
    <w:p w14:paraId="617BCC48">
      <w:pPr>
        <w:pStyle w:val="9"/>
        <w:spacing w:after="0" w:line="249" w:lineRule="auto"/>
        <w:rPr>
          <w:rFonts w:hint="eastAsia"/>
          <w:color w:val="231F20"/>
        </w:rPr>
      </w:pPr>
    </w:p>
    <w:p w14:paraId="3BF03D5D">
      <w:pPr>
        <w:pStyle w:val="9"/>
        <w:spacing w:after="0" w:line="249" w:lineRule="auto"/>
        <w:rPr>
          <w:rFonts w:hint="eastAsia"/>
          <w:color w:val="231F20"/>
        </w:rPr>
      </w:pPr>
      <w:r>
        <w:rPr>
          <w:rFonts w:hint="eastAsia"/>
          <w:color w:val="231F20"/>
        </w:rPr>
        <w:t>As to the stages of its coming, it appears to begin with Israel’s return to the Promised Land and the subsequent advent of her Messiah; then to grow in the Days of the Messiah (however few or many they may be); and then—following the Last Battle and the Day of the LORD—to reach its full redemptive stature in the World to Come.</w:t>
      </w:r>
    </w:p>
    <w:p w14:paraId="20A92ACB">
      <w:pPr>
        <w:pStyle w:val="9"/>
        <w:spacing w:after="0" w:line="249" w:lineRule="auto"/>
        <w:rPr>
          <w:rFonts w:hint="eastAsia"/>
          <w:color w:val="231F20"/>
        </w:rPr>
      </w:pPr>
      <w:r>
        <w:rPr>
          <w:rFonts w:hint="eastAsia"/>
          <w:color w:val="231F20"/>
        </w:rPr>
        <w:t>至于其来临的阶段，它似乎始于以色列归回应许之地以及随后其弥赛亚的降临；然后在弥赛亚的日子里成长（无论这些日子是多是少）；然后——在最后的战役和耶和华的日子之后——在未来的世界里达到其完全的救赎高度。</w:t>
      </w:r>
    </w:p>
    <w:p w14:paraId="55043575">
      <w:pPr>
        <w:pStyle w:val="9"/>
        <w:spacing w:after="0" w:line="249" w:lineRule="auto"/>
        <w:rPr>
          <w:rFonts w:hint="eastAsia"/>
          <w:color w:val="231F20"/>
        </w:rPr>
      </w:pPr>
    </w:p>
    <w:p w14:paraId="3C1710C7">
      <w:pPr>
        <w:pStyle w:val="9"/>
        <w:spacing w:after="0" w:line="249" w:lineRule="auto"/>
        <w:rPr>
          <w:rFonts w:hint="eastAsia"/>
          <w:color w:val="231F20"/>
        </w:rPr>
      </w:pPr>
      <w:r>
        <w:rPr>
          <w:rFonts w:hint="eastAsia"/>
          <w:color w:val="231F20"/>
        </w:rPr>
        <w:t>But if our survey has shown us anything, it has shown us that these are indeed only representative ideas; ideas found in most OTKP’s, but not all.</w:t>
      </w:r>
    </w:p>
    <w:p w14:paraId="5005DF22">
      <w:pPr>
        <w:pStyle w:val="9"/>
        <w:spacing w:after="0" w:line="249" w:lineRule="auto"/>
        <w:rPr>
          <w:rFonts w:hint="eastAsia"/>
          <w:color w:val="231F20"/>
        </w:rPr>
      </w:pPr>
      <w:r>
        <w:rPr>
          <w:rFonts w:hint="eastAsia"/>
          <w:color w:val="231F20"/>
        </w:rPr>
        <w:t>但如果我们的考察向我们展示了什么，那就是它向我们展示了这些确实只是代表性的观念；这些观念在大多数旧约国度预言（OTKP）中可以找到，但并非全部。</w:t>
      </w:r>
    </w:p>
    <w:p w14:paraId="1CF22F2E">
      <w:pPr>
        <w:pStyle w:val="9"/>
        <w:spacing w:after="0" w:line="249" w:lineRule="auto"/>
        <w:rPr>
          <w:rFonts w:hint="eastAsia"/>
          <w:color w:val="231F20"/>
        </w:rPr>
      </w:pPr>
    </w:p>
    <w:p w14:paraId="0E1C7B84">
      <w:pPr>
        <w:pStyle w:val="9"/>
        <w:spacing w:after="0" w:line="249" w:lineRule="auto"/>
        <w:rPr>
          <w:rFonts w:hint="eastAsia"/>
          <w:color w:val="231F20"/>
        </w:rPr>
      </w:pPr>
      <w:r>
        <w:rPr>
          <w:rFonts w:hint="eastAsia"/>
          <w:color w:val="231F20"/>
        </w:rPr>
        <w:t>For—as I have been at pains to point out—there are a great many “uncooperative” OTKP’s that either neglect or (apparently) contradict each and every element of the Representative Idea.</w:t>
      </w:r>
    </w:p>
    <w:p w14:paraId="4D488B3A">
      <w:pPr>
        <w:pStyle w:val="9"/>
        <w:spacing w:after="0" w:line="249" w:lineRule="auto"/>
        <w:rPr>
          <w:rFonts w:hint="eastAsia"/>
          <w:color w:val="231F20"/>
        </w:rPr>
      </w:pPr>
      <w:r>
        <w:rPr>
          <w:rFonts w:hint="eastAsia"/>
          <w:color w:val="231F20"/>
        </w:rPr>
        <w:t>因为——正如我一直煞费苦心指出的——有许多“不合作”的旧约国度预言（OTKP），它们要么忽略，要么（显然）与代表性观念的每一个要素相矛盾。</w:t>
      </w:r>
    </w:p>
    <w:p w14:paraId="0FB0C74A">
      <w:pPr>
        <w:pStyle w:val="9"/>
        <w:spacing w:after="0" w:line="249" w:lineRule="auto"/>
        <w:rPr>
          <w:rFonts w:hint="eastAsia"/>
          <w:color w:val="231F20"/>
        </w:rPr>
      </w:pPr>
    </w:p>
    <w:p w14:paraId="77914BEA">
      <w:pPr>
        <w:pStyle w:val="9"/>
        <w:spacing w:after="0" w:line="249" w:lineRule="auto"/>
        <w:rPr>
          <w:rFonts w:hint="eastAsia"/>
          <w:color w:val="231F20"/>
        </w:rPr>
      </w:pPr>
      <w:r>
        <w:rPr>
          <w:rFonts w:hint="eastAsia"/>
          <w:color w:val="231F20"/>
        </w:rPr>
        <w:t>So again, because of such glaring omissions and (apparent) contradictions, OTKP does indeed give us a representative idea of the Kingdom, but by no means a uniform one.</w:t>
      </w:r>
    </w:p>
    <w:p w14:paraId="517CCF51">
      <w:pPr>
        <w:pStyle w:val="9"/>
        <w:spacing w:after="0" w:line="249" w:lineRule="auto"/>
        <w:rPr>
          <w:rFonts w:hint="eastAsia"/>
          <w:color w:val="231F20"/>
        </w:rPr>
      </w:pPr>
      <w:r>
        <w:rPr>
          <w:rFonts w:hint="eastAsia"/>
          <w:color w:val="231F20"/>
        </w:rPr>
        <w:t>因此，再次强调，由于这些显眼的省略和（明显的）矛盾，旧约国度预言（OTKP）确实给了我们一个关于国度的代表性观念，但绝非一个统一的观念。</w:t>
      </w:r>
    </w:p>
    <w:p w14:paraId="6188A350">
      <w:pPr>
        <w:pStyle w:val="9"/>
        <w:spacing w:after="0" w:line="249" w:lineRule="auto"/>
        <w:rPr>
          <w:rFonts w:hint="eastAsia"/>
          <w:color w:val="231F20"/>
        </w:rPr>
      </w:pPr>
    </w:p>
    <w:p w14:paraId="17249D91">
      <w:pPr>
        <w:pStyle w:val="9"/>
        <w:spacing w:after="0" w:line="249" w:lineRule="auto"/>
        <w:rPr>
          <w:rFonts w:hint="eastAsia"/>
          <w:color w:val="231F20"/>
        </w:rPr>
      </w:pPr>
      <w:r>
        <w:rPr>
          <w:rFonts w:hint="eastAsia"/>
          <w:color w:val="231F20"/>
        </w:rPr>
        <w:t>Furthermore, we have also seen that on a number of weighty themes, the NT itself seems directly to contradict a straightforward reading of many OTKP’s, denying, for example, the perpetuity of the Mosaic Law, or portraying the World to Come in terms far different than the representative OT idea.</w:t>
      </w:r>
    </w:p>
    <w:p w14:paraId="0E9B8333">
      <w:pPr>
        <w:pStyle w:val="9"/>
        <w:spacing w:after="0" w:line="249" w:lineRule="auto"/>
        <w:rPr>
          <w:rFonts w:hint="eastAsia"/>
          <w:color w:val="231F20"/>
        </w:rPr>
      </w:pPr>
      <w:r>
        <w:rPr>
          <w:rFonts w:hint="eastAsia"/>
          <w:color w:val="231F20"/>
        </w:rPr>
        <w:t>此外，我们也看到，在一些重要的主题上，新约本身似乎直接与许多旧约国度预言（OTKP）的直白解读相矛盾，例如，否认摩西律法的永恒性，或者以与代表性旧约观念大相径庭的术语来描绘未来的世界。</w:t>
      </w:r>
    </w:p>
    <w:p w14:paraId="1CCCD0EF">
      <w:pPr>
        <w:pStyle w:val="9"/>
        <w:spacing w:after="0" w:line="249" w:lineRule="auto"/>
        <w:rPr>
          <w:rFonts w:hint="eastAsia"/>
          <w:color w:val="231F20"/>
        </w:rPr>
      </w:pPr>
    </w:p>
    <w:p w14:paraId="79444BEA">
      <w:pPr>
        <w:pStyle w:val="9"/>
        <w:spacing w:after="0" w:line="249" w:lineRule="auto"/>
        <w:rPr>
          <w:rFonts w:hint="eastAsia"/>
          <w:color w:val="231F20"/>
        </w:rPr>
      </w:pPr>
      <w:r>
        <w:rPr>
          <w:rFonts w:hint="eastAsia"/>
          <w:color w:val="231F20"/>
        </w:rPr>
        <w:t>Such tensions are profoundly significant.</w:t>
      </w:r>
    </w:p>
    <w:p w14:paraId="6096ABCD">
      <w:pPr>
        <w:pStyle w:val="9"/>
        <w:spacing w:after="0" w:line="249" w:lineRule="auto"/>
        <w:rPr>
          <w:rFonts w:hint="eastAsia"/>
          <w:color w:val="231F20"/>
        </w:rPr>
      </w:pPr>
      <w:r>
        <w:rPr>
          <w:rFonts w:hint="eastAsia"/>
          <w:color w:val="231F20"/>
        </w:rPr>
        <w:t>这样的张力意义深远。</w:t>
      </w:r>
    </w:p>
    <w:p w14:paraId="31FEB020">
      <w:pPr>
        <w:pStyle w:val="9"/>
        <w:spacing w:after="0" w:line="249" w:lineRule="auto"/>
        <w:rPr>
          <w:rFonts w:hint="eastAsia"/>
          <w:color w:val="231F20"/>
        </w:rPr>
      </w:pPr>
    </w:p>
    <w:p w14:paraId="148BFDF1">
      <w:pPr>
        <w:pStyle w:val="9"/>
        <w:spacing w:after="0" w:line="249" w:lineRule="auto"/>
        <w:rPr>
          <w:rFonts w:hint="eastAsia"/>
          <w:color w:val="231F20"/>
        </w:rPr>
      </w:pPr>
      <w:r>
        <w:rPr>
          <w:rFonts w:hint="eastAsia"/>
          <w:color w:val="231F20"/>
        </w:rPr>
        <w:t>In effect, they render OTKP an opaque window.</w:t>
      </w:r>
    </w:p>
    <w:p w14:paraId="415DFF5F">
      <w:pPr>
        <w:pStyle w:val="9"/>
        <w:spacing w:after="0" w:line="249" w:lineRule="auto"/>
        <w:rPr>
          <w:rFonts w:hint="eastAsia"/>
          <w:color w:val="231F20"/>
        </w:rPr>
      </w:pPr>
      <w:r>
        <w:rPr>
          <w:rFonts w:hint="eastAsia"/>
          <w:color w:val="231F20"/>
        </w:rPr>
        <w:t>实际上，它们使得旧约国度预言（OTKP）成为一扇不透明的窗户。</w:t>
      </w:r>
    </w:p>
    <w:p w14:paraId="50112554">
      <w:pPr>
        <w:pStyle w:val="9"/>
        <w:spacing w:after="0" w:line="249" w:lineRule="auto"/>
        <w:rPr>
          <w:rFonts w:hint="eastAsia"/>
          <w:color w:val="231F20"/>
        </w:rPr>
      </w:pPr>
    </w:p>
    <w:p w14:paraId="0BFEDBE0">
      <w:pPr>
        <w:pStyle w:val="9"/>
        <w:spacing w:after="0" w:line="249" w:lineRule="auto"/>
        <w:rPr>
          <w:rFonts w:hint="eastAsia"/>
          <w:color w:val="231F20"/>
        </w:rPr>
      </w:pPr>
      <w:r>
        <w:rPr>
          <w:rFonts w:hint="eastAsia"/>
          <w:color w:val="231F20"/>
        </w:rPr>
        <w:t>Yes, gazing through the window we can see the basic shape of things to come; but we can never see a photograph of things themselves.</w:t>
      </w:r>
    </w:p>
    <w:p w14:paraId="7B6DCB3D">
      <w:pPr>
        <w:pStyle w:val="9"/>
        <w:spacing w:after="0" w:line="249" w:lineRule="auto"/>
        <w:rPr>
          <w:rFonts w:hint="eastAsia"/>
          <w:color w:val="231F20"/>
        </w:rPr>
      </w:pPr>
      <w:r>
        <w:rPr>
          <w:rFonts w:hint="eastAsia"/>
          <w:color w:val="231F20"/>
        </w:rPr>
        <w:t>是的，透过这扇窗户凝视，我们可以看到未来事物的基本轮廓；但我们永远无法看到事物本身的照片。</w:t>
      </w:r>
    </w:p>
    <w:p w14:paraId="2CBAB12E">
      <w:pPr>
        <w:pStyle w:val="9"/>
        <w:spacing w:after="0" w:line="249" w:lineRule="auto"/>
        <w:rPr>
          <w:rFonts w:hint="eastAsia"/>
          <w:color w:val="231F20"/>
        </w:rPr>
      </w:pPr>
    </w:p>
    <w:p w14:paraId="6970BACA">
      <w:pPr>
        <w:pStyle w:val="9"/>
        <w:spacing w:after="0" w:line="249" w:lineRule="auto"/>
        <w:rPr>
          <w:rFonts w:hint="eastAsia"/>
          <w:color w:val="231F20"/>
        </w:rPr>
      </w:pPr>
      <w:r>
        <w:rPr>
          <w:rFonts w:hint="eastAsia"/>
          <w:color w:val="231F20"/>
        </w:rPr>
        <w:t>In other words, the actual data of OTKP—with its abundance of apparent contradictions and frequent intimations of deeper spiritual meaning—were apparently intended to discourage the OT saints from viewing OTKP as pre-recorded history.</w:t>
      </w:r>
    </w:p>
    <w:p w14:paraId="3AD71F8F">
      <w:pPr>
        <w:pStyle w:val="9"/>
        <w:spacing w:after="0" w:line="249" w:lineRule="auto"/>
        <w:rPr>
          <w:rFonts w:hint="eastAsia"/>
          <w:color w:val="231F20"/>
        </w:rPr>
      </w:pPr>
      <w:r>
        <w:rPr>
          <w:rFonts w:hint="eastAsia"/>
          <w:color w:val="231F20"/>
        </w:rPr>
        <w:t>换句话说，旧约国度预言（OTKP）的实际数据——其丰富的明显矛盾和频繁的更深属灵意义的暗示——显然是为了劝阻旧约圣徒将旧约国度预言视为预先录制的历史。</w:t>
      </w:r>
    </w:p>
    <w:p w14:paraId="205D1B2D">
      <w:pPr>
        <w:pStyle w:val="9"/>
        <w:spacing w:after="0" w:line="249" w:lineRule="auto"/>
        <w:rPr>
          <w:rFonts w:hint="eastAsia"/>
          <w:color w:val="231F20"/>
        </w:rPr>
      </w:pPr>
    </w:p>
    <w:p w14:paraId="3BA8D20C">
      <w:pPr>
        <w:pStyle w:val="9"/>
        <w:spacing w:after="0" w:line="249" w:lineRule="auto"/>
        <w:rPr>
          <w:rFonts w:hint="eastAsia"/>
          <w:color w:val="231F20"/>
        </w:rPr>
      </w:pPr>
      <w:r>
        <w:rPr>
          <w:rFonts w:hint="eastAsia"/>
          <w:color w:val="231F20"/>
        </w:rPr>
        <w:t>Instead, they were intended to create and sustain a living hope in the coming of the Messiah and his Kingdom; a Messiah who, in due time, would “explain to us all things” (John 4:25, 1 Peter 1:11).6</w:t>
      </w:r>
    </w:p>
    <w:p w14:paraId="32B84FEE">
      <w:pPr>
        <w:pStyle w:val="9"/>
        <w:spacing w:after="0" w:line="249" w:lineRule="auto"/>
        <w:rPr>
          <w:rFonts w:hint="eastAsia"/>
          <w:color w:val="231F20"/>
        </w:rPr>
      </w:pPr>
      <w:r>
        <w:rPr>
          <w:rFonts w:hint="eastAsia"/>
          <w:color w:val="231F20"/>
        </w:rPr>
        <w:t>相反，它们旨在创造并维持一种活泼的盼望，盼望弥赛亚和祂国度的来临；一位在适当的时候会“将一切事都告诉我们”的弥赛亚（约翰福音 4:25, 彼得前书 1:11）。6</w:t>
      </w:r>
    </w:p>
    <w:p w14:paraId="7F6A30B8">
      <w:pPr>
        <w:pStyle w:val="9"/>
        <w:spacing w:after="0" w:line="249" w:lineRule="auto"/>
        <w:rPr>
          <w:rFonts w:hint="eastAsia"/>
          <w:color w:val="231F20"/>
        </w:rPr>
      </w:pPr>
    </w:p>
    <w:p w14:paraId="18D75165">
      <w:pPr>
        <w:pStyle w:val="9"/>
        <w:spacing w:after="0" w:line="249" w:lineRule="auto"/>
        <w:rPr>
          <w:rFonts w:hint="eastAsia"/>
          <w:color w:val="231F20"/>
        </w:rPr>
      </w:pPr>
      <w:r>
        <w:rPr>
          <w:rFonts w:hint="eastAsia"/>
          <w:color w:val="231F20"/>
        </w:rPr>
        <w:t>For many Christians devoted to an inspired and inerrant Bible, these profound tensions remain, and remain profoundly painful.</w:t>
      </w:r>
    </w:p>
    <w:p w14:paraId="13E8ADE1">
      <w:pPr>
        <w:pStyle w:val="9"/>
        <w:spacing w:after="0" w:line="249" w:lineRule="auto"/>
        <w:rPr>
          <w:rFonts w:hint="eastAsia"/>
          <w:color w:val="231F20"/>
        </w:rPr>
      </w:pPr>
      <w:r>
        <w:rPr>
          <w:rFonts w:hint="eastAsia"/>
          <w:color w:val="231F20"/>
        </w:rPr>
        <w:t>对于许多致力于相信一本受默示且无误的圣经的基督徒来说，这些深刻的张力依然存在，并且依然极其痛苦。</w:t>
      </w:r>
    </w:p>
    <w:p w14:paraId="46B2F846">
      <w:pPr>
        <w:pStyle w:val="9"/>
        <w:spacing w:after="0" w:line="249" w:lineRule="auto"/>
        <w:rPr>
          <w:rFonts w:hint="eastAsia"/>
          <w:color w:val="231F20"/>
        </w:rPr>
      </w:pPr>
    </w:p>
    <w:p w14:paraId="1BDA73E7">
      <w:pPr>
        <w:pStyle w:val="9"/>
        <w:spacing w:after="0" w:line="249" w:lineRule="auto"/>
        <w:rPr>
          <w:rFonts w:hint="eastAsia"/>
          <w:color w:val="231F20"/>
        </w:rPr>
      </w:pPr>
      <w:r>
        <w:rPr>
          <w:rFonts w:hint="eastAsia"/>
          <w:color w:val="231F20"/>
        </w:rPr>
        <w:t>Our premillennial brethren are among them.</w:t>
      </w:r>
    </w:p>
    <w:p w14:paraId="6C0C465E">
      <w:pPr>
        <w:pStyle w:val="9"/>
        <w:spacing w:after="0" w:line="249" w:lineRule="auto"/>
        <w:rPr>
          <w:rFonts w:hint="eastAsia"/>
          <w:color w:val="231F20"/>
        </w:rPr>
      </w:pPr>
      <w:r>
        <w:rPr>
          <w:rFonts w:hint="eastAsia"/>
          <w:color w:val="231F20"/>
        </w:rPr>
        <w:t>我们的前千禧年派弟兄们就在其中。</w:t>
      </w:r>
    </w:p>
    <w:p w14:paraId="6ED284D9">
      <w:pPr>
        <w:pStyle w:val="9"/>
        <w:spacing w:after="0" w:line="249" w:lineRule="auto"/>
        <w:rPr>
          <w:rFonts w:hint="eastAsia"/>
          <w:color w:val="231F20"/>
        </w:rPr>
      </w:pPr>
    </w:p>
    <w:p w14:paraId="0ADFBA2F">
      <w:pPr>
        <w:pStyle w:val="9"/>
        <w:spacing w:after="0" w:line="249" w:lineRule="auto"/>
        <w:rPr>
          <w:rFonts w:hint="eastAsia"/>
          <w:color w:val="231F20"/>
        </w:rPr>
      </w:pPr>
      <w:r>
        <w:rPr>
          <w:rFonts w:hint="eastAsia"/>
          <w:color w:val="231F20"/>
        </w:rPr>
        <w:t>With a fierce and sometimes heartrending loyalty—not only to the OT Scriptures, but also to a literal interpretation thereof—they toil on, hoping to discern and produce a detailed picture of a three-staged Kingdom of God, a picture that can somehow reconcile all the conflicting data into a harmonious whole.7</w:t>
      </w:r>
    </w:p>
    <w:p w14:paraId="1CC52DB5">
      <w:pPr>
        <w:pStyle w:val="9"/>
        <w:spacing w:after="0" w:line="249" w:lineRule="auto"/>
        <w:rPr>
          <w:rFonts w:hint="eastAsia"/>
          <w:color w:val="231F20"/>
        </w:rPr>
      </w:pPr>
      <w:r>
        <w:rPr>
          <w:rFonts w:hint="eastAsia"/>
          <w:color w:val="231F20"/>
        </w:rPr>
        <w:t>他们怀着一种强烈的、有时是令人心碎的忠诚——不仅是对旧约圣经，也是对其字面解释——辛勤劳作，希望能辨明并产生一幅关于上帝三阶段国度的详细图景，一幅能以某种方式将所有冲突的数据协调成一个和谐整体的图景。7</w:t>
      </w:r>
    </w:p>
    <w:p w14:paraId="13C39117">
      <w:pPr>
        <w:pStyle w:val="9"/>
        <w:spacing w:after="0" w:line="249" w:lineRule="auto"/>
        <w:rPr>
          <w:rFonts w:hint="eastAsia"/>
          <w:color w:val="231F20"/>
        </w:rPr>
      </w:pPr>
    </w:p>
    <w:p w14:paraId="554D0AB4">
      <w:pPr>
        <w:pStyle w:val="9"/>
        <w:spacing w:after="0" w:line="249" w:lineRule="auto"/>
        <w:rPr>
          <w:rFonts w:hint="eastAsia"/>
          <w:color w:val="231F20"/>
        </w:rPr>
      </w:pPr>
      <w:r>
        <w:rPr>
          <w:rFonts w:hint="eastAsia"/>
          <w:color w:val="231F20"/>
        </w:rPr>
        <w:t>We have seen, however, that for many reasons it is a labor in vain.</w:t>
      </w:r>
    </w:p>
    <w:p w14:paraId="7EA75A3C">
      <w:pPr>
        <w:pStyle w:val="9"/>
        <w:spacing w:after="0" w:line="249" w:lineRule="auto"/>
        <w:rPr>
          <w:rFonts w:hint="eastAsia"/>
          <w:color w:val="231F20"/>
        </w:rPr>
      </w:pPr>
      <w:r>
        <w:rPr>
          <w:rFonts w:hint="eastAsia"/>
          <w:color w:val="231F20"/>
        </w:rPr>
        <w:t>然而，我们已经看到，由于许多原因，这是一场徒劳的劳动。</w:t>
      </w:r>
    </w:p>
    <w:p w14:paraId="5FB93ED9">
      <w:pPr>
        <w:pStyle w:val="9"/>
        <w:spacing w:after="0" w:line="249" w:lineRule="auto"/>
        <w:rPr>
          <w:rFonts w:hint="eastAsia"/>
          <w:color w:val="231F20"/>
        </w:rPr>
      </w:pPr>
    </w:p>
    <w:p w14:paraId="1849ABFF">
      <w:pPr>
        <w:pStyle w:val="9"/>
        <w:spacing w:after="0" w:line="249" w:lineRule="auto"/>
        <w:rPr>
          <w:rFonts w:hint="eastAsia"/>
          <w:color w:val="231F20"/>
        </w:rPr>
      </w:pPr>
      <w:r>
        <w:rPr>
          <w:rFonts w:hint="eastAsia"/>
          <w:color w:val="231F20"/>
        </w:rPr>
        <w:t>The OT prophets never speak of a discrete, thousand year stage of the Kingdom.</w:t>
      </w:r>
    </w:p>
    <w:p w14:paraId="3EC9DC6C">
      <w:pPr>
        <w:pStyle w:val="9"/>
        <w:spacing w:after="0" w:line="249" w:lineRule="auto"/>
        <w:rPr>
          <w:rFonts w:hint="eastAsia"/>
          <w:color w:val="231F20"/>
        </w:rPr>
      </w:pPr>
      <w:r>
        <w:rPr>
          <w:rFonts w:hint="eastAsia"/>
          <w:color w:val="231F20"/>
        </w:rPr>
        <w:t>旧约先知从未谈及一个独立的、千年的国度阶段。</w:t>
      </w:r>
    </w:p>
    <w:p w14:paraId="52A39ACE">
      <w:pPr>
        <w:pStyle w:val="9"/>
        <w:spacing w:after="0" w:line="249" w:lineRule="auto"/>
        <w:rPr>
          <w:rFonts w:hint="eastAsia"/>
          <w:color w:val="231F20"/>
        </w:rPr>
      </w:pPr>
    </w:p>
    <w:p w14:paraId="2E0EB110">
      <w:pPr>
        <w:pStyle w:val="9"/>
        <w:spacing w:after="0" w:line="249" w:lineRule="auto"/>
        <w:rPr>
          <w:rFonts w:hint="eastAsia"/>
          <w:color w:val="231F20"/>
        </w:rPr>
      </w:pPr>
      <w:r>
        <w:rPr>
          <w:rFonts w:hint="eastAsia"/>
          <w:color w:val="231F20"/>
        </w:rPr>
        <w:t>The literal reading of OTKP favored by premillenarians simply cannot resolve all the apparent contradictions, which are too numerous and too stark.</w:t>
      </w:r>
    </w:p>
    <w:p w14:paraId="504CFFA3">
      <w:pPr>
        <w:pStyle w:val="9"/>
        <w:spacing w:after="0" w:line="249" w:lineRule="auto"/>
        <w:rPr>
          <w:rFonts w:hint="eastAsia"/>
          <w:color w:val="231F20"/>
        </w:rPr>
      </w:pPr>
      <w:r>
        <w:rPr>
          <w:rFonts w:hint="eastAsia"/>
          <w:color w:val="231F20"/>
        </w:rPr>
        <w:t>前千禧年派所偏爱的对旧约国度预言（OTKP）的字面解读，根本无法解决所有明显的矛盾，这些矛盾太多且太尖锐。</w:t>
      </w:r>
    </w:p>
    <w:p w14:paraId="5C22EA04">
      <w:pPr>
        <w:pStyle w:val="9"/>
        <w:spacing w:after="0" w:line="249" w:lineRule="auto"/>
        <w:rPr>
          <w:rFonts w:hint="eastAsia"/>
          <w:color w:val="231F20"/>
        </w:rPr>
      </w:pPr>
    </w:p>
    <w:p w14:paraId="3B02A90F">
      <w:pPr>
        <w:pStyle w:val="9"/>
        <w:spacing w:after="0" w:line="249" w:lineRule="auto"/>
        <w:rPr>
          <w:rFonts w:hint="eastAsia"/>
          <w:color w:val="231F20"/>
        </w:rPr>
      </w:pPr>
      <w:r>
        <w:rPr>
          <w:rFonts w:hint="eastAsia"/>
          <w:color w:val="231F20"/>
        </w:rPr>
        <w:t>Also, such a reading forces us to imagine a future return to institutions and world conditions long since departed from the stage of history.</w:t>
      </w:r>
    </w:p>
    <w:p w14:paraId="4FC5F45C">
      <w:pPr>
        <w:pStyle w:val="9"/>
        <w:spacing w:after="0" w:line="249" w:lineRule="auto"/>
        <w:rPr>
          <w:rFonts w:hint="eastAsia"/>
          <w:color w:val="231F20"/>
        </w:rPr>
      </w:pPr>
      <w:r>
        <w:rPr>
          <w:rFonts w:hint="eastAsia"/>
          <w:color w:val="231F20"/>
        </w:rPr>
        <w:t>此外，这样的解读迫使我们去想象未来会回归到早已从历史舞台上消失的制度和世界状况。</w:t>
      </w:r>
    </w:p>
    <w:p w14:paraId="02B711E8">
      <w:pPr>
        <w:pStyle w:val="9"/>
        <w:spacing w:after="0" w:line="249" w:lineRule="auto"/>
        <w:rPr>
          <w:rFonts w:hint="eastAsia"/>
          <w:color w:val="231F20"/>
        </w:rPr>
      </w:pPr>
    </w:p>
    <w:p w14:paraId="5B6333B9">
      <w:pPr>
        <w:pStyle w:val="9"/>
        <w:spacing w:after="0" w:line="249" w:lineRule="auto"/>
        <w:rPr>
          <w:rFonts w:hint="eastAsia"/>
          <w:color w:val="231F20"/>
        </w:rPr>
      </w:pPr>
      <w:r>
        <w:rPr>
          <w:rFonts w:hint="eastAsia"/>
          <w:color w:val="231F20"/>
        </w:rPr>
        <w:t>Furthermore, such a reading repeatedly shatters upon certain prophecies that the Spirit obviously meant for us to receive figuratively; prophecies that draw upon OT physical conditions in order to depict NT spiritual realities.</w:t>
      </w:r>
    </w:p>
    <w:p w14:paraId="7EEB5E70">
      <w:pPr>
        <w:pStyle w:val="9"/>
        <w:spacing w:after="0" w:line="249" w:lineRule="auto"/>
        <w:rPr>
          <w:rFonts w:hint="eastAsia"/>
          <w:color w:val="231F20"/>
        </w:rPr>
      </w:pPr>
      <w:r>
        <w:rPr>
          <w:rFonts w:hint="eastAsia"/>
          <w:color w:val="231F20"/>
        </w:rPr>
        <w:t>此外，这样的解读在某些圣灵显然意在让我们以象征性方式领受的预言面前一再破碎；这些预言借鉴旧约的物质条件来描绘新约的属灵现实。</w:t>
      </w:r>
    </w:p>
    <w:p w14:paraId="25C7BE34">
      <w:pPr>
        <w:pStyle w:val="9"/>
        <w:spacing w:after="0" w:line="249" w:lineRule="auto"/>
        <w:rPr>
          <w:rFonts w:hint="eastAsia"/>
          <w:color w:val="231F20"/>
        </w:rPr>
      </w:pPr>
    </w:p>
    <w:p w14:paraId="4BF26EF3">
      <w:pPr>
        <w:pStyle w:val="9"/>
        <w:spacing w:after="0" w:line="249" w:lineRule="auto"/>
        <w:rPr>
          <w:rFonts w:hint="eastAsia"/>
          <w:color w:val="231F20"/>
        </w:rPr>
      </w:pPr>
      <w:r>
        <w:rPr>
          <w:rFonts w:hint="eastAsia"/>
          <w:color w:val="231F20"/>
        </w:rPr>
        <w:t>But most importantly, prophetic literalism brings the interpreter into direct conflict with any number of core NT teachings.</w:t>
      </w:r>
    </w:p>
    <w:p w14:paraId="3761AD31">
      <w:pPr>
        <w:pStyle w:val="9"/>
        <w:spacing w:after="0" w:line="249" w:lineRule="auto"/>
        <w:rPr>
          <w:rFonts w:hint="eastAsia"/>
          <w:color w:val="231F20"/>
        </w:rPr>
      </w:pPr>
      <w:r>
        <w:rPr>
          <w:rFonts w:hint="eastAsia"/>
          <w:color w:val="231F20"/>
        </w:rPr>
        <w:t>但最重要的是，预言的字面主义使解释者与任何数量的核心新约教导发生直接冲突。</w:t>
      </w:r>
    </w:p>
    <w:p w14:paraId="29DEBA5C">
      <w:pPr>
        <w:pStyle w:val="9"/>
        <w:spacing w:after="0" w:line="249" w:lineRule="auto"/>
        <w:rPr>
          <w:rFonts w:hint="eastAsia"/>
          <w:color w:val="231F20"/>
        </w:rPr>
      </w:pPr>
    </w:p>
    <w:p w14:paraId="4F3E0D9E">
      <w:pPr>
        <w:pStyle w:val="9"/>
        <w:spacing w:after="0" w:line="249" w:lineRule="auto"/>
        <w:rPr>
          <w:rFonts w:hint="eastAsia"/>
          <w:color w:val="231F20"/>
        </w:rPr>
      </w:pPr>
      <w:r>
        <w:rPr>
          <w:rFonts w:hint="eastAsia"/>
          <w:color w:val="231F20"/>
        </w:rPr>
        <w:t>All of this pain, I have argued, is traceable to a single, many-faceted hermeneutical failure: a failure to anchor to Christ and the Apostles in the Didactic NT; a failure to receive their instruction on the exact relationship between the Old Covenant and the New; and a failure to embrace the NCH, by which alone we may understand the OT in general, and OTKP in particular.</w:t>
      </w:r>
    </w:p>
    <w:p w14:paraId="334E2CB2">
      <w:pPr>
        <w:pStyle w:val="9"/>
        <w:spacing w:after="0" w:line="249" w:lineRule="auto"/>
        <w:rPr>
          <w:rFonts w:hint="eastAsia"/>
          <w:color w:val="231F20"/>
        </w:rPr>
      </w:pPr>
      <w:r>
        <w:rPr>
          <w:rFonts w:hint="eastAsia"/>
          <w:color w:val="231F20"/>
        </w:rPr>
        <w:t>我认为，所有这些痛苦都可以追溯到一个单一的、多方面的解释学失败：未能以教导性新约中的基督和使徒为锚；未能领受他们关于旧约与新约之间确切关系的教导；以及未能拥抱新约解释学（NCH），唯有藉此我们才能理解旧约的整体，特别是旧约国度预言（OTKP）。</w:t>
      </w:r>
    </w:p>
    <w:p w14:paraId="3ED27001">
      <w:pPr>
        <w:pStyle w:val="9"/>
        <w:spacing w:after="0" w:line="249" w:lineRule="auto"/>
        <w:rPr>
          <w:rFonts w:hint="eastAsia"/>
          <w:color w:val="231F20"/>
        </w:rPr>
      </w:pPr>
    </w:p>
    <w:p w14:paraId="3EE1D738">
      <w:pPr>
        <w:pStyle w:val="9"/>
        <w:spacing w:after="0" w:line="249" w:lineRule="auto"/>
        <w:rPr>
          <w:rFonts w:hint="eastAsia"/>
          <w:color w:val="231F20"/>
        </w:rPr>
      </w:pPr>
      <w:r>
        <w:rPr>
          <w:rFonts w:hint="eastAsia"/>
          <w:color w:val="231F20"/>
        </w:rPr>
        <w:t>In sum, our pain is traceable to a failure to receive from Christ the Master Keys by which alone we may open up the “dark sayings” of OTKP, quickly resolve all apparent contradictions, and then go on to preach, teach, and rejoice in all of God’s rich eschatological truth.</w:t>
      </w:r>
    </w:p>
    <w:p w14:paraId="0815757B">
      <w:pPr>
        <w:pStyle w:val="9"/>
        <w:spacing w:after="0" w:line="249" w:lineRule="auto"/>
        <w:rPr>
          <w:rFonts w:hint="eastAsia"/>
          <w:color w:val="231F20"/>
        </w:rPr>
      </w:pPr>
      <w:r>
        <w:rPr>
          <w:rFonts w:hint="eastAsia"/>
          <w:color w:val="231F20"/>
        </w:rPr>
        <w:t>总而言之，我们的痛苦可以追溯到一个失败，即未能从基督那里领受那把万能钥匙，唯有藉此我们才能解开旧约国度预言（OTKP）的“谜语”，迅速解决所有明显的矛盾，然后继续去宣讲、教导并为上帝所有丰富的末世真理而欢欣。</w:t>
      </w:r>
    </w:p>
    <w:p w14:paraId="393B6F34">
      <w:pPr>
        <w:pStyle w:val="9"/>
        <w:spacing w:after="0" w:line="249" w:lineRule="auto"/>
        <w:rPr>
          <w:rFonts w:hint="eastAsia"/>
          <w:color w:val="231F20"/>
        </w:rPr>
      </w:pPr>
    </w:p>
    <w:p w14:paraId="4F9BD13D">
      <w:pPr>
        <w:pStyle w:val="9"/>
        <w:spacing w:after="0" w:line="249" w:lineRule="auto"/>
        <w:rPr>
          <w:rFonts w:hint="eastAsia"/>
          <w:color w:val="231F20"/>
        </w:rPr>
      </w:pPr>
      <w:r>
        <w:rPr>
          <w:rFonts w:hint="eastAsia"/>
          <w:color w:val="231F20"/>
        </w:rPr>
        <w:t>In the present chapter we have begun to use the NCH to do this very thing.</w:t>
      </w:r>
    </w:p>
    <w:p w14:paraId="7229DFAB">
      <w:pPr>
        <w:pStyle w:val="9"/>
        <w:spacing w:after="0" w:line="249" w:lineRule="auto"/>
        <w:rPr>
          <w:rFonts w:hint="eastAsia"/>
          <w:color w:val="231F20"/>
        </w:rPr>
      </w:pPr>
      <w:r>
        <w:rPr>
          <w:rFonts w:hint="eastAsia"/>
          <w:color w:val="231F20"/>
        </w:rPr>
        <w:t>在本章中，我们已经开始使用新约解释学（NCH）来做这件事。</w:t>
      </w:r>
    </w:p>
    <w:p w14:paraId="39065C47">
      <w:pPr>
        <w:pStyle w:val="9"/>
        <w:spacing w:after="0" w:line="249" w:lineRule="auto"/>
        <w:rPr>
          <w:rFonts w:hint="eastAsia"/>
          <w:color w:val="231F20"/>
        </w:rPr>
      </w:pPr>
    </w:p>
    <w:p w14:paraId="379E9564">
      <w:pPr>
        <w:pStyle w:val="9"/>
        <w:spacing w:after="0" w:line="249" w:lineRule="auto"/>
        <w:rPr>
          <w:rFonts w:hint="eastAsia"/>
          <w:color w:val="231F20"/>
        </w:rPr>
      </w:pPr>
      <w:r>
        <w:rPr>
          <w:rFonts w:hint="eastAsia"/>
          <w:color w:val="231F20"/>
        </w:rPr>
        <w:t>Now, however, we must embark on a new leg of our journey.</w:t>
      </w:r>
    </w:p>
    <w:p w14:paraId="7C313EDB">
      <w:pPr>
        <w:pStyle w:val="9"/>
        <w:spacing w:after="0" w:line="249" w:lineRule="auto"/>
        <w:rPr>
          <w:rFonts w:hint="eastAsia"/>
          <w:color w:val="231F20"/>
        </w:rPr>
      </w:pPr>
      <w:r>
        <w:rPr>
          <w:rFonts w:hint="eastAsia"/>
          <w:color w:val="231F20"/>
        </w:rPr>
        <w:t>然而，现在我们必须开始我们旅程的新的一段。</w:t>
      </w:r>
    </w:p>
    <w:p w14:paraId="5084D2CB">
      <w:pPr>
        <w:pStyle w:val="9"/>
        <w:spacing w:after="0" w:line="249" w:lineRule="auto"/>
        <w:rPr>
          <w:rFonts w:hint="eastAsia"/>
          <w:color w:val="231F20"/>
        </w:rPr>
      </w:pPr>
    </w:p>
    <w:p w14:paraId="199C8F45">
      <w:pPr>
        <w:pStyle w:val="9"/>
        <w:spacing w:after="0" w:line="249" w:lineRule="auto"/>
        <w:rPr>
          <w:rFonts w:hint="eastAsia"/>
          <w:color w:val="231F20"/>
        </w:rPr>
      </w:pPr>
      <w:r>
        <w:rPr>
          <w:rFonts w:hint="eastAsia"/>
          <w:color w:val="231F20"/>
        </w:rPr>
        <w:t>Now we must turn to the writings of the apostles themselves, so that we might receive from them a comprehensive set of NT principles by which, with the Spirit’s blessing, we may accurately and confidently interpret all OTKP.</w:t>
      </w:r>
    </w:p>
    <w:p w14:paraId="11E50FD1">
      <w:pPr>
        <w:pStyle w:val="9"/>
        <w:spacing w:after="0" w:line="249" w:lineRule="auto"/>
        <w:rPr>
          <w:rFonts w:hint="eastAsia"/>
          <w:color w:val="231F20"/>
        </w:rPr>
      </w:pPr>
      <w:r>
        <w:rPr>
          <w:rFonts w:hint="eastAsia"/>
          <w:color w:val="231F20"/>
        </w:rPr>
        <w:t>现在我们必须转向使徒们自己的著作，以便我们可以从他们那里领受一套完整的新约原则，藉着圣灵的祝福，我们可以准确而自信地解释所有的旧约国度预言（OTKP）。</w:t>
      </w:r>
    </w:p>
    <w:p w14:paraId="1A987783">
      <w:pPr>
        <w:pStyle w:val="9"/>
        <w:spacing w:after="0" w:line="249" w:lineRule="auto"/>
        <w:rPr>
          <w:rFonts w:hint="eastAsia"/>
          <w:color w:val="231F20"/>
        </w:rPr>
      </w:pPr>
    </w:p>
    <w:p w14:paraId="2638FDF6">
      <w:pPr>
        <w:pStyle w:val="9"/>
        <w:spacing w:after="0" w:line="249" w:lineRule="auto"/>
        <w:rPr>
          <w:rFonts w:hint="eastAsia"/>
          <w:color w:val="231F20"/>
        </w:rPr>
      </w:pPr>
      <w:r>
        <w:rPr>
          <w:rFonts w:hint="eastAsia"/>
          <w:color w:val="231F20"/>
        </w:rPr>
        <w:t>In other words, we must now go in search of more keys, keys that will open the doors of Scripture still wider to the truth and beauty of the Kingdom of God.</w:t>
      </w:r>
    </w:p>
    <w:p w14:paraId="387E31C8">
      <w:pPr>
        <w:pStyle w:val="9"/>
        <w:spacing w:after="0" w:line="249" w:lineRule="auto"/>
        <w:sectPr>
          <w:pgSz w:w="12240" w:h="15840"/>
          <w:pgMar w:top="1380" w:right="1440" w:bottom="280" w:left="1440" w:header="720" w:footer="720" w:gutter="0"/>
          <w:cols w:space="720" w:num="1"/>
        </w:sectPr>
      </w:pPr>
      <w:r>
        <w:rPr>
          <w:rFonts w:hint="eastAsia"/>
          <w:color w:val="231F20"/>
        </w:rPr>
        <w:t>换句话说，我们现在必须去寻找更多的钥匙，这些钥匙将把圣经的门向着上帝之国的真理和美丽敞开得更宽。</w:t>
      </w:r>
    </w:p>
    <w:p w14:paraId="5F033FE3">
      <w:pPr>
        <w:pStyle w:val="2"/>
        <w:bidi w:val="0"/>
        <w:rPr>
          <w:rFonts w:hint="eastAsia"/>
        </w:rPr>
      </w:pPr>
      <w:bookmarkStart w:id="38" w:name="_bookmark55"/>
      <w:bookmarkEnd w:id="38"/>
      <w:bookmarkStart w:id="39" w:name="Chapter 13: New Testament Principles for"/>
      <w:bookmarkEnd w:id="39"/>
      <w:r>
        <w:rPr>
          <w:rFonts w:hint="eastAsia"/>
        </w:rPr>
        <w:t>Chapter 13</w:t>
      </w:r>
    </w:p>
    <w:p w14:paraId="7120EB47">
      <w:pPr>
        <w:pStyle w:val="2"/>
        <w:bidi w:val="0"/>
        <w:rPr>
          <w:rFonts w:hint="eastAsia"/>
        </w:rPr>
      </w:pPr>
      <w:r>
        <w:rPr>
          <w:rFonts w:hint="eastAsia"/>
        </w:rPr>
        <w:t>第13章</w:t>
      </w:r>
    </w:p>
    <w:p w14:paraId="02FDF008">
      <w:pPr>
        <w:pStyle w:val="9"/>
        <w:spacing w:before="11"/>
        <w:ind w:left="0"/>
        <w:jc w:val="left"/>
        <w:rPr>
          <w:rFonts w:hint="eastAsia"/>
          <w:sz w:val="30"/>
          <w:szCs w:val="30"/>
        </w:rPr>
      </w:pPr>
    </w:p>
    <w:p w14:paraId="6811C03B">
      <w:pPr>
        <w:pStyle w:val="3"/>
        <w:bidi w:val="0"/>
        <w:rPr>
          <w:rFonts w:hint="eastAsia"/>
        </w:rPr>
      </w:pPr>
      <w:r>
        <w:rPr>
          <w:rFonts w:hint="eastAsia"/>
        </w:rPr>
        <w:t>New Testament Principles for Interpreting OT Kingdom Prophecy</w:t>
      </w:r>
    </w:p>
    <w:p w14:paraId="67EF24BE">
      <w:pPr>
        <w:pStyle w:val="3"/>
        <w:bidi w:val="0"/>
        <w:rPr>
          <w:rFonts w:hint="eastAsia"/>
        </w:rPr>
      </w:pPr>
      <w:r>
        <w:rPr>
          <w:rFonts w:hint="eastAsia"/>
        </w:rPr>
        <w:t>解释旧约国度预言的新约原则</w:t>
      </w:r>
    </w:p>
    <w:p w14:paraId="41C020B6">
      <w:pPr>
        <w:pStyle w:val="9"/>
        <w:spacing w:before="11"/>
        <w:ind w:left="0"/>
        <w:jc w:val="left"/>
        <w:rPr>
          <w:rFonts w:hint="eastAsia"/>
          <w:sz w:val="30"/>
          <w:szCs w:val="30"/>
        </w:rPr>
      </w:pPr>
    </w:p>
    <w:p w14:paraId="0028E6F6">
      <w:pPr>
        <w:pStyle w:val="9"/>
        <w:spacing w:before="11"/>
        <w:ind w:left="0"/>
        <w:jc w:val="left"/>
        <w:rPr>
          <w:rFonts w:hint="eastAsia"/>
          <w:sz w:val="30"/>
          <w:szCs w:val="30"/>
        </w:rPr>
      </w:pPr>
      <w:r>
        <w:rPr>
          <w:rFonts w:hint="eastAsia"/>
          <w:sz w:val="30"/>
          <w:szCs w:val="30"/>
        </w:rPr>
        <w:t>IN OUR JOURNEY thus far, we have spoken often of the New Covenant Hermeneutic.</w:t>
      </w:r>
    </w:p>
    <w:p w14:paraId="00E6A1AA">
      <w:pPr>
        <w:pStyle w:val="9"/>
        <w:spacing w:before="11"/>
        <w:ind w:left="0"/>
        <w:jc w:val="left"/>
        <w:rPr>
          <w:rFonts w:hint="eastAsia"/>
          <w:sz w:val="30"/>
          <w:szCs w:val="30"/>
        </w:rPr>
      </w:pPr>
      <w:r>
        <w:rPr>
          <w:rFonts w:hint="eastAsia"/>
          <w:sz w:val="30"/>
          <w:szCs w:val="30"/>
        </w:rPr>
        <w:t>在我们迄今的旅程中，我们已多次谈及“新约解释学”。</w:t>
      </w:r>
    </w:p>
    <w:p w14:paraId="15C625CF">
      <w:pPr>
        <w:pStyle w:val="9"/>
        <w:spacing w:before="11"/>
        <w:ind w:left="0"/>
        <w:jc w:val="left"/>
        <w:rPr>
          <w:rFonts w:hint="eastAsia"/>
          <w:sz w:val="30"/>
          <w:szCs w:val="30"/>
        </w:rPr>
      </w:pPr>
    </w:p>
    <w:p w14:paraId="485EB581">
      <w:pPr>
        <w:pStyle w:val="9"/>
        <w:spacing w:before="11"/>
        <w:ind w:left="0"/>
        <w:jc w:val="left"/>
        <w:rPr>
          <w:rFonts w:hint="eastAsia"/>
          <w:sz w:val="30"/>
          <w:szCs w:val="30"/>
        </w:rPr>
      </w:pPr>
      <w:r>
        <w:rPr>
          <w:rFonts w:hint="eastAsia"/>
          <w:sz w:val="30"/>
          <w:szCs w:val="30"/>
        </w:rPr>
        <w:t>We defined it as the NT method for interpreting the OT.</w:t>
      </w:r>
    </w:p>
    <w:p w14:paraId="4496E9A2">
      <w:pPr>
        <w:pStyle w:val="9"/>
        <w:spacing w:before="11"/>
        <w:ind w:left="0"/>
        <w:jc w:val="left"/>
        <w:rPr>
          <w:rFonts w:hint="eastAsia"/>
          <w:sz w:val="30"/>
          <w:szCs w:val="30"/>
        </w:rPr>
      </w:pPr>
      <w:r>
        <w:rPr>
          <w:rFonts w:hint="eastAsia"/>
          <w:sz w:val="30"/>
          <w:szCs w:val="30"/>
        </w:rPr>
        <w:t>我们将其定义为解释旧约的新约方法。</w:t>
      </w:r>
    </w:p>
    <w:p w14:paraId="0A05F327">
      <w:pPr>
        <w:pStyle w:val="9"/>
        <w:spacing w:before="11"/>
        <w:ind w:left="0"/>
        <w:jc w:val="left"/>
        <w:rPr>
          <w:rFonts w:hint="eastAsia"/>
          <w:sz w:val="30"/>
          <w:szCs w:val="30"/>
        </w:rPr>
      </w:pPr>
    </w:p>
    <w:p w14:paraId="608693FA">
      <w:pPr>
        <w:pStyle w:val="9"/>
        <w:spacing w:before="11"/>
        <w:ind w:left="0"/>
        <w:jc w:val="left"/>
        <w:rPr>
          <w:rFonts w:hint="eastAsia"/>
          <w:sz w:val="30"/>
          <w:szCs w:val="30"/>
        </w:rPr>
      </w:pPr>
      <w:r>
        <w:rPr>
          <w:rFonts w:hint="eastAsia"/>
          <w:sz w:val="30"/>
          <w:szCs w:val="30"/>
        </w:rPr>
        <w:t>We learned that Christ himself introduced it to his disciples.</w:t>
      </w:r>
    </w:p>
    <w:p w14:paraId="28CFDE2E">
      <w:pPr>
        <w:pStyle w:val="9"/>
        <w:spacing w:before="11"/>
        <w:ind w:left="0"/>
        <w:jc w:val="left"/>
        <w:rPr>
          <w:rFonts w:hint="eastAsia"/>
          <w:sz w:val="30"/>
          <w:szCs w:val="30"/>
        </w:rPr>
      </w:pPr>
      <w:r>
        <w:rPr>
          <w:rFonts w:hint="eastAsia"/>
          <w:sz w:val="30"/>
          <w:szCs w:val="30"/>
        </w:rPr>
        <w:t>我们了解到基督亲自将其介绍给祂的门徒。</w:t>
      </w:r>
    </w:p>
    <w:p w14:paraId="26CF28CD">
      <w:pPr>
        <w:pStyle w:val="9"/>
        <w:spacing w:before="11"/>
        <w:ind w:left="0"/>
        <w:jc w:val="left"/>
        <w:rPr>
          <w:rFonts w:hint="eastAsia"/>
          <w:sz w:val="30"/>
          <w:szCs w:val="30"/>
        </w:rPr>
      </w:pPr>
    </w:p>
    <w:p w14:paraId="0858647A">
      <w:pPr>
        <w:pStyle w:val="9"/>
        <w:spacing w:before="11"/>
        <w:ind w:left="0"/>
        <w:jc w:val="left"/>
        <w:rPr>
          <w:rFonts w:hint="eastAsia"/>
          <w:sz w:val="30"/>
          <w:szCs w:val="30"/>
        </w:rPr>
      </w:pPr>
      <w:r>
        <w:rPr>
          <w:rFonts w:hint="eastAsia"/>
          <w:sz w:val="30"/>
          <w:szCs w:val="30"/>
        </w:rPr>
        <w:t>We explored, at great length, its theological basis, which we identified as progressive revelation, but progressive revelation of a very special kind; progressive revelation such that the OT is the NT concealed (under a veil of sundry types and shadows), while the NT is the OT revealed (by the manifestation in history of Christ and the Eternal Covenant, through which the OT is unveiled).</w:t>
      </w:r>
    </w:p>
    <w:p w14:paraId="03C2B5C6">
      <w:pPr>
        <w:pStyle w:val="9"/>
        <w:spacing w:before="11"/>
        <w:ind w:left="0"/>
        <w:jc w:val="left"/>
        <w:rPr>
          <w:rFonts w:hint="eastAsia"/>
          <w:sz w:val="30"/>
          <w:szCs w:val="30"/>
        </w:rPr>
      </w:pPr>
      <w:r>
        <w:rPr>
          <w:rFonts w:hint="eastAsia"/>
          <w:sz w:val="30"/>
          <w:szCs w:val="30"/>
        </w:rPr>
        <w:t>我们曾长篇探讨其神学基础，我们将其确定为渐进启示，但又是一种非常特殊的渐进启示；这种渐进启示使得旧约是隐藏的新约（在各种预表和影儿的幔子之下），而新约是显明的旧约（通过基督和永恒之约在历史中的彰显，旧约得以揭示）。</w:t>
      </w:r>
    </w:p>
    <w:p w14:paraId="72C89F5E">
      <w:pPr>
        <w:pStyle w:val="9"/>
        <w:spacing w:before="11"/>
        <w:ind w:left="0"/>
        <w:jc w:val="left"/>
        <w:rPr>
          <w:rFonts w:hint="eastAsia"/>
          <w:sz w:val="30"/>
          <w:szCs w:val="30"/>
        </w:rPr>
      </w:pPr>
    </w:p>
    <w:p w14:paraId="57992562">
      <w:pPr>
        <w:pStyle w:val="9"/>
        <w:spacing w:before="11"/>
        <w:ind w:left="0"/>
        <w:jc w:val="left"/>
        <w:rPr>
          <w:rFonts w:hint="eastAsia"/>
          <w:sz w:val="30"/>
          <w:szCs w:val="30"/>
        </w:rPr>
      </w:pPr>
      <w:r>
        <w:rPr>
          <w:rFonts w:hint="eastAsia"/>
          <w:sz w:val="30"/>
          <w:szCs w:val="30"/>
        </w:rPr>
        <w:t>Then, in a lengthy survey of the nature and stages of the Kingdom in OTKP, we began to see that while prophetic literalism hurls us into a morass of confusion and contradiction, the NCH seems swiftly to resolve all difficulties, and also to set before our wondering eyes a beautiful, many-faceted, but fully integrated prophetic tapestry; a tapestry that everywhere depicts Christ and the twofold spiritual Kingdom he introduced under the New Covenant.</w:t>
      </w:r>
    </w:p>
    <w:p w14:paraId="376D0009">
      <w:pPr>
        <w:pStyle w:val="9"/>
        <w:spacing w:before="11"/>
        <w:ind w:left="0"/>
        <w:jc w:val="left"/>
        <w:rPr>
          <w:rFonts w:hint="eastAsia"/>
          <w:sz w:val="30"/>
          <w:szCs w:val="30"/>
        </w:rPr>
      </w:pPr>
      <w:r>
        <w:rPr>
          <w:rFonts w:hint="eastAsia"/>
          <w:sz w:val="30"/>
          <w:szCs w:val="30"/>
        </w:rPr>
        <w:t>然后，在对旧约国度预言（OTKP）中国度的性质和阶段进行长篇考察时，我们开始看到，虽然预言的字面主义将我们抛入一个混乱和矛盾的泥潭，但新约解释学（NCH）似乎迅速解决了所有困难，并在我们惊奇的眼前展现出一幅美丽、多面、但完全整合的预言织锦；这幅织锦处处描绘了基督和祂在新约下引入的双重属灵国度。</w:t>
      </w:r>
    </w:p>
    <w:p w14:paraId="30E4B110">
      <w:pPr>
        <w:pStyle w:val="9"/>
        <w:spacing w:before="11"/>
        <w:ind w:left="0"/>
        <w:jc w:val="left"/>
        <w:rPr>
          <w:rFonts w:hint="eastAsia"/>
          <w:sz w:val="30"/>
          <w:szCs w:val="30"/>
        </w:rPr>
      </w:pPr>
    </w:p>
    <w:p w14:paraId="69488AD0">
      <w:pPr>
        <w:pStyle w:val="9"/>
        <w:spacing w:before="11"/>
        <w:ind w:left="0"/>
        <w:jc w:val="left"/>
        <w:rPr>
          <w:rFonts w:hint="eastAsia"/>
          <w:sz w:val="30"/>
          <w:szCs w:val="30"/>
        </w:rPr>
      </w:pPr>
      <w:r>
        <w:rPr>
          <w:rFonts w:hint="eastAsia"/>
          <w:sz w:val="30"/>
          <w:szCs w:val="30"/>
        </w:rPr>
        <w:t>Now we must take a further step.</w:t>
      </w:r>
    </w:p>
    <w:p w14:paraId="22CF713A">
      <w:pPr>
        <w:pStyle w:val="9"/>
        <w:spacing w:before="11"/>
        <w:ind w:left="0"/>
        <w:jc w:val="left"/>
        <w:rPr>
          <w:rFonts w:hint="eastAsia"/>
          <w:sz w:val="30"/>
          <w:szCs w:val="30"/>
        </w:rPr>
      </w:pPr>
      <w:r>
        <w:rPr>
          <w:rFonts w:hint="eastAsia"/>
          <w:sz w:val="30"/>
          <w:szCs w:val="30"/>
        </w:rPr>
        <w:t>现在我们必须再迈出一步。</w:t>
      </w:r>
    </w:p>
    <w:p w14:paraId="73B9BCA2">
      <w:pPr>
        <w:pStyle w:val="9"/>
        <w:spacing w:before="11"/>
        <w:ind w:left="0"/>
        <w:jc w:val="left"/>
        <w:rPr>
          <w:rFonts w:hint="eastAsia"/>
          <w:sz w:val="30"/>
          <w:szCs w:val="30"/>
        </w:rPr>
      </w:pPr>
    </w:p>
    <w:p w14:paraId="2458BE97">
      <w:pPr>
        <w:pStyle w:val="9"/>
        <w:spacing w:before="11"/>
        <w:ind w:left="0"/>
        <w:jc w:val="left"/>
        <w:rPr>
          <w:rFonts w:hint="eastAsia"/>
          <w:sz w:val="30"/>
          <w:szCs w:val="30"/>
        </w:rPr>
      </w:pPr>
      <w:r>
        <w:rPr>
          <w:rFonts w:hint="eastAsia"/>
          <w:sz w:val="30"/>
          <w:szCs w:val="30"/>
        </w:rPr>
        <w:t>Now we must turn to the Didactic New Testament itself—and this time more or less exclusively to the writings of the apostles—in order to discern and develop a complete set of guiding principles for the proper interpretation of OTKP.</w:t>
      </w:r>
    </w:p>
    <w:p w14:paraId="1A4BBBB4">
      <w:pPr>
        <w:pStyle w:val="9"/>
        <w:spacing w:before="11"/>
        <w:ind w:left="0"/>
        <w:jc w:val="left"/>
        <w:rPr>
          <w:rFonts w:hint="eastAsia"/>
          <w:sz w:val="30"/>
          <w:szCs w:val="30"/>
        </w:rPr>
      </w:pPr>
      <w:r>
        <w:rPr>
          <w:rFonts w:hint="eastAsia"/>
          <w:sz w:val="30"/>
          <w:szCs w:val="30"/>
        </w:rPr>
        <w:t>现在我们必须转向教导性新约本身——这一次或多或少地只关注使徒们的著作——以便辨明并发展出一套完整的指导原则，用于正确解释旧约国度预言（OTKP）。</w:t>
      </w:r>
    </w:p>
    <w:p w14:paraId="0350B1BE">
      <w:pPr>
        <w:pStyle w:val="9"/>
        <w:spacing w:before="11"/>
        <w:ind w:left="0"/>
        <w:jc w:val="left"/>
        <w:rPr>
          <w:rFonts w:hint="eastAsia"/>
          <w:sz w:val="30"/>
          <w:szCs w:val="30"/>
        </w:rPr>
      </w:pPr>
    </w:p>
    <w:p w14:paraId="24C64E7D">
      <w:pPr>
        <w:pStyle w:val="9"/>
        <w:spacing w:before="11"/>
        <w:ind w:left="0"/>
        <w:jc w:val="left"/>
        <w:rPr>
          <w:rFonts w:hint="eastAsia"/>
          <w:sz w:val="30"/>
          <w:szCs w:val="30"/>
        </w:rPr>
      </w:pPr>
      <w:r>
        <w:rPr>
          <w:rFonts w:hint="eastAsia"/>
          <w:sz w:val="30"/>
          <w:szCs w:val="30"/>
        </w:rPr>
        <w:t>That will be our goal here in chapter 13.</w:t>
      </w:r>
    </w:p>
    <w:p w14:paraId="0B384ADF">
      <w:pPr>
        <w:pStyle w:val="9"/>
        <w:spacing w:before="11"/>
        <w:ind w:left="0"/>
        <w:jc w:val="left"/>
        <w:rPr>
          <w:rFonts w:hint="eastAsia"/>
          <w:sz w:val="30"/>
          <w:szCs w:val="30"/>
        </w:rPr>
      </w:pPr>
      <w:r>
        <w:rPr>
          <w:rFonts w:hint="eastAsia"/>
          <w:sz w:val="30"/>
          <w:szCs w:val="30"/>
        </w:rPr>
        <w:t>这将是我们第13章的目标。</w:t>
      </w:r>
    </w:p>
    <w:p w14:paraId="23229D67">
      <w:pPr>
        <w:pStyle w:val="9"/>
        <w:spacing w:before="11"/>
        <w:ind w:left="0"/>
        <w:jc w:val="left"/>
        <w:rPr>
          <w:rFonts w:hint="eastAsia"/>
          <w:sz w:val="30"/>
          <w:szCs w:val="30"/>
        </w:rPr>
      </w:pPr>
    </w:p>
    <w:p w14:paraId="0ED6728C">
      <w:pPr>
        <w:pStyle w:val="9"/>
        <w:spacing w:before="11"/>
        <w:ind w:left="0"/>
        <w:jc w:val="left"/>
        <w:rPr>
          <w:rFonts w:hint="eastAsia"/>
          <w:sz w:val="30"/>
          <w:szCs w:val="30"/>
        </w:rPr>
      </w:pPr>
      <w:r>
        <w:rPr>
          <w:rFonts w:hint="eastAsia"/>
          <w:sz w:val="30"/>
          <w:szCs w:val="30"/>
        </w:rPr>
        <w:t>Then, in chapter 14, we will examine a number of OTKP’s actually cited by the apostles in their writings, in order to see if they do indeed use these principles to interpret them.</w:t>
      </w:r>
    </w:p>
    <w:p w14:paraId="3CA15BD0">
      <w:pPr>
        <w:pStyle w:val="9"/>
        <w:spacing w:before="11"/>
        <w:ind w:left="0"/>
        <w:jc w:val="left"/>
        <w:rPr>
          <w:rFonts w:hint="eastAsia"/>
          <w:sz w:val="30"/>
          <w:szCs w:val="30"/>
        </w:rPr>
      </w:pPr>
      <w:r>
        <w:rPr>
          <w:rFonts w:hint="eastAsia"/>
          <w:sz w:val="30"/>
          <w:szCs w:val="30"/>
        </w:rPr>
        <w:t>然后，在第14章，我们将考察使徒们在他们的著作中实际引用的一些旧约国度预言（OTKP），以看他们是否确实使用这些原则来解释它们。</w:t>
      </w:r>
    </w:p>
    <w:p w14:paraId="0309FAD2">
      <w:pPr>
        <w:pStyle w:val="9"/>
        <w:spacing w:before="11"/>
        <w:ind w:left="0"/>
        <w:jc w:val="left"/>
        <w:rPr>
          <w:rFonts w:hint="eastAsia"/>
          <w:sz w:val="30"/>
          <w:szCs w:val="30"/>
        </w:rPr>
      </w:pPr>
    </w:p>
    <w:p w14:paraId="74B2F2B2">
      <w:pPr>
        <w:pStyle w:val="9"/>
        <w:spacing w:before="11"/>
        <w:ind w:left="0"/>
        <w:jc w:val="left"/>
        <w:rPr>
          <w:rFonts w:hint="eastAsia"/>
          <w:sz w:val="30"/>
          <w:szCs w:val="30"/>
        </w:rPr>
      </w:pPr>
      <w:r>
        <w:rPr>
          <w:rFonts w:hint="eastAsia"/>
          <w:sz w:val="30"/>
          <w:szCs w:val="30"/>
        </w:rPr>
        <w:t>In short, our goal in the next two chapters is to see if the apostles, by precept and example, use the NCH to interpret OTKP.</w:t>
      </w:r>
    </w:p>
    <w:p w14:paraId="31472FDD">
      <w:pPr>
        <w:pStyle w:val="9"/>
        <w:spacing w:before="11"/>
        <w:ind w:left="0"/>
        <w:jc w:val="left"/>
        <w:rPr>
          <w:rFonts w:hint="eastAsia"/>
          <w:sz w:val="30"/>
          <w:szCs w:val="30"/>
        </w:rPr>
      </w:pPr>
      <w:r>
        <w:rPr>
          <w:rFonts w:hint="eastAsia"/>
          <w:sz w:val="30"/>
          <w:szCs w:val="30"/>
        </w:rPr>
        <w:t>简而言之，我们在接下来两章的目标是看使徒们是否通过教训和榜样，使用新约解释学（NCH）来解释旧约国度预言（OTKP）。</w:t>
      </w:r>
    </w:p>
    <w:p w14:paraId="12E0E719">
      <w:pPr>
        <w:pStyle w:val="9"/>
        <w:spacing w:before="11"/>
        <w:ind w:left="0"/>
        <w:jc w:val="left"/>
        <w:rPr>
          <w:rFonts w:hint="eastAsia"/>
          <w:sz w:val="30"/>
          <w:szCs w:val="30"/>
        </w:rPr>
      </w:pPr>
    </w:p>
    <w:p w14:paraId="0DE01F4D">
      <w:pPr>
        <w:pStyle w:val="9"/>
        <w:spacing w:before="11"/>
        <w:ind w:left="0"/>
        <w:jc w:val="left"/>
        <w:rPr>
          <w:rFonts w:hint="eastAsia"/>
          <w:sz w:val="30"/>
          <w:szCs w:val="30"/>
        </w:rPr>
      </w:pPr>
      <w:r>
        <w:rPr>
          <w:rFonts w:hint="eastAsia"/>
          <w:sz w:val="30"/>
          <w:szCs w:val="30"/>
        </w:rPr>
        <w:t>If they do, it is sure that we too should go and do the same.</w:t>
      </w:r>
    </w:p>
    <w:p w14:paraId="7EB96294">
      <w:pPr>
        <w:pStyle w:val="9"/>
        <w:spacing w:before="11"/>
        <w:ind w:left="0"/>
        <w:jc w:val="left"/>
        <w:rPr>
          <w:rFonts w:hint="eastAsia"/>
          <w:sz w:val="30"/>
          <w:szCs w:val="30"/>
        </w:rPr>
      </w:pPr>
      <w:r>
        <w:rPr>
          <w:rFonts w:hint="eastAsia"/>
          <w:sz w:val="30"/>
          <w:szCs w:val="30"/>
        </w:rPr>
        <w:t>如果他们这样做了，那么我们肯定也应该去照样行。</w:t>
      </w:r>
    </w:p>
    <w:p w14:paraId="294460DD">
      <w:pPr>
        <w:pStyle w:val="9"/>
        <w:spacing w:before="11"/>
        <w:ind w:left="0"/>
        <w:jc w:val="left"/>
        <w:rPr>
          <w:rFonts w:hint="eastAsia"/>
          <w:sz w:val="30"/>
          <w:szCs w:val="30"/>
        </w:rPr>
      </w:pPr>
    </w:p>
    <w:p w14:paraId="4154390F">
      <w:pPr>
        <w:pStyle w:val="9"/>
        <w:spacing w:before="11"/>
        <w:ind w:left="0"/>
        <w:jc w:val="left"/>
        <w:rPr>
          <w:rFonts w:hint="eastAsia"/>
          <w:sz w:val="30"/>
          <w:szCs w:val="30"/>
        </w:rPr>
      </w:pPr>
      <w:r>
        <w:rPr>
          <w:rFonts w:hint="eastAsia"/>
          <w:sz w:val="30"/>
          <w:szCs w:val="30"/>
        </w:rPr>
        <w:t>New Modes of Seeing</w:t>
      </w:r>
    </w:p>
    <w:p w14:paraId="36370E70">
      <w:pPr>
        <w:pStyle w:val="9"/>
        <w:spacing w:before="11"/>
        <w:ind w:left="0"/>
        <w:jc w:val="left"/>
        <w:rPr>
          <w:rFonts w:hint="eastAsia"/>
          <w:sz w:val="30"/>
          <w:szCs w:val="30"/>
        </w:rPr>
      </w:pPr>
      <w:r>
        <w:rPr>
          <w:rFonts w:hint="eastAsia"/>
          <w:sz w:val="30"/>
          <w:szCs w:val="30"/>
        </w:rPr>
        <w:t>新的看见模式</w:t>
      </w:r>
    </w:p>
    <w:p w14:paraId="6B1CA28D">
      <w:pPr>
        <w:pStyle w:val="9"/>
        <w:spacing w:before="11"/>
        <w:ind w:left="0"/>
        <w:jc w:val="left"/>
        <w:rPr>
          <w:rFonts w:hint="eastAsia"/>
          <w:sz w:val="30"/>
          <w:szCs w:val="30"/>
        </w:rPr>
      </w:pPr>
    </w:p>
    <w:p w14:paraId="24499804">
      <w:pPr>
        <w:pStyle w:val="9"/>
        <w:spacing w:before="11"/>
        <w:ind w:left="0"/>
        <w:jc w:val="left"/>
        <w:rPr>
          <w:rFonts w:hint="eastAsia"/>
          <w:sz w:val="30"/>
          <w:szCs w:val="30"/>
        </w:rPr>
      </w:pPr>
      <w:r>
        <w:rPr>
          <w:rFonts w:hint="eastAsia"/>
          <w:sz w:val="30"/>
          <w:szCs w:val="30"/>
        </w:rPr>
        <w:t>Having opened their eyes to the heart, structure, and progress of Salvation History, the exalted Christ initiated his apostles—and all his New Covenant people—into new modes of seeing the OT in general, and OTKP in particular.</w:t>
      </w:r>
    </w:p>
    <w:p w14:paraId="4E4EEF7A">
      <w:pPr>
        <w:pStyle w:val="9"/>
        <w:spacing w:before="11"/>
        <w:ind w:left="0"/>
        <w:jc w:val="left"/>
        <w:rPr>
          <w:rFonts w:hint="eastAsia"/>
          <w:sz w:val="30"/>
          <w:szCs w:val="30"/>
        </w:rPr>
      </w:pPr>
      <w:r>
        <w:rPr>
          <w:rFonts w:hint="eastAsia"/>
          <w:sz w:val="30"/>
          <w:szCs w:val="30"/>
        </w:rPr>
        <w:t>被高举的基督开启了他们对救赎历史核心、结构和进程的眼界，引领祂的使徒们——以及祂所有新约的子民——进入了看待旧约，特别是旧约国度预言（OTKP）的新模式。</w:t>
      </w:r>
    </w:p>
    <w:p w14:paraId="3C9AC8D1">
      <w:pPr>
        <w:pStyle w:val="9"/>
        <w:spacing w:before="11"/>
        <w:ind w:left="0"/>
        <w:jc w:val="left"/>
        <w:rPr>
          <w:rFonts w:hint="eastAsia"/>
          <w:sz w:val="30"/>
          <w:szCs w:val="30"/>
        </w:rPr>
      </w:pPr>
    </w:p>
    <w:p w14:paraId="528D9219">
      <w:pPr>
        <w:pStyle w:val="9"/>
        <w:spacing w:before="11"/>
        <w:ind w:left="0"/>
        <w:jc w:val="left"/>
        <w:rPr>
          <w:rFonts w:hint="eastAsia"/>
          <w:sz w:val="30"/>
          <w:szCs w:val="30"/>
        </w:rPr>
      </w:pPr>
      <w:r>
        <w:rPr>
          <w:rFonts w:hint="eastAsia"/>
          <w:sz w:val="30"/>
          <w:szCs w:val="30"/>
        </w:rPr>
        <w:t>Taken together, these new modes of seeing constitute what we have called the NCH.</w:t>
      </w:r>
    </w:p>
    <w:p w14:paraId="28594DEA">
      <w:pPr>
        <w:pStyle w:val="9"/>
        <w:spacing w:before="11"/>
        <w:ind w:left="0"/>
        <w:jc w:val="left"/>
        <w:rPr>
          <w:rFonts w:hint="eastAsia"/>
          <w:sz w:val="30"/>
          <w:szCs w:val="30"/>
        </w:rPr>
      </w:pPr>
      <w:r>
        <w:rPr>
          <w:rFonts w:hint="eastAsia"/>
          <w:sz w:val="30"/>
          <w:szCs w:val="30"/>
        </w:rPr>
        <w:t>总的来说，这些新的看见模式构成了我们所称的新约解释学（NCH）。</w:t>
      </w:r>
    </w:p>
    <w:p w14:paraId="71B831D4">
      <w:pPr>
        <w:pStyle w:val="9"/>
        <w:spacing w:before="11"/>
        <w:ind w:left="0"/>
        <w:jc w:val="left"/>
        <w:rPr>
          <w:rFonts w:hint="eastAsia"/>
          <w:sz w:val="30"/>
          <w:szCs w:val="30"/>
        </w:rPr>
      </w:pPr>
    </w:p>
    <w:p w14:paraId="48DE827C">
      <w:pPr>
        <w:pStyle w:val="9"/>
        <w:spacing w:before="11"/>
        <w:ind w:left="0"/>
        <w:jc w:val="left"/>
        <w:rPr>
          <w:rFonts w:hint="eastAsia"/>
          <w:sz w:val="30"/>
          <w:szCs w:val="30"/>
        </w:rPr>
      </w:pPr>
      <w:r>
        <w:rPr>
          <w:rFonts w:hint="eastAsia"/>
          <w:sz w:val="30"/>
          <w:szCs w:val="30"/>
        </w:rPr>
        <w:t>In the discussion to follow, I will identify seven such modes, discuss them briefly, and spotlight them in the apostles’ writings.</w:t>
      </w:r>
    </w:p>
    <w:p w14:paraId="7D62B774">
      <w:pPr>
        <w:pStyle w:val="9"/>
        <w:spacing w:before="11"/>
        <w:ind w:left="0"/>
        <w:jc w:val="left"/>
        <w:rPr>
          <w:rFonts w:hint="eastAsia"/>
          <w:sz w:val="30"/>
          <w:szCs w:val="30"/>
        </w:rPr>
      </w:pPr>
      <w:r>
        <w:rPr>
          <w:rFonts w:hint="eastAsia"/>
          <w:sz w:val="30"/>
          <w:szCs w:val="30"/>
        </w:rPr>
        <w:t>在接下来的讨论中，我将确定七种这样的模式，简要地讨论它们，并在使徒们的著作中重点展示它们。</w:t>
      </w:r>
    </w:p>
    <w:p w14:paraId="427AB2CA">
      <w:pPr>
        <w:pStyle w:val="9"/>
        <w:spacing w:before="11"/>
        <w:ind w:left="0"/>
        <w:jc w:val="left"/>
        <w:rPr>
          <w:rFonts w:hint="eastAsia"/>
          <w:sz w:val="30"/>
          <w:szCs w:val="30"/>
        </w:rPr>
      </w:pPr>
    </w:p>
    <w:p w14:paraId="31CE5C4F">
      <w:pPr>
        <w:pStyle w:val="9"/>
        <w:spacing w:before="11"/>
        <w:ind w:left="0"/>
        <w:jc w:val="left"/>
        <w:rPr>
          <w:rFonts w:hint="eastAsia"/>
          <w:sz w:val="30"/>
          <w:szCs w:val="30"/>
        </w:rPr>
      </w:pPr>
      <w:r>
        <w:rPr>
          <w:rFonts w:hint="eastAsia"/>
          <w:sz w:val="30"/>
          <w:szCs w:val="30"/>
        </w:rPr>
        <w:t>By way of illustration, I will also apply them to Genesis 3:15, the protoevangelium, wherein we hear God say to the serpent, “And I will put enmity between you and the woman, and between your seed and her seed.</w:t>
      </w:r>
    </w:p>
    <w:p w14:paraId="296C25BE">
      <w:pPr>
        <w:pStyle w:val="9"/>
        <w:spacing w:before="11"/>
        <w:ind w:left="0"/>
        <w:jc w:val="left"/>
        <w:rPr>
          <w:rFonts w:hint="eastAsia"/>
          <w:sz w:val="30"/>
          <w:szCs w:val="30"/>
        </w:rPr>
      </w:pPr>
      <w:r>
        <w:rPr>
          <w:rFonts w:hint="eastAsia"/>
          <w:sz w:val="30"/>
          <w:szCs w:val="30"/>
        </w:rPr>
        <w:t>作为例证，我也会将它们应用于创世记 3:15，即原始福音，在那里我们听到上帝对蛇说：“我又要叫你和女人彼此为仇，你的后裔和女人的后裔也彼此为仇。</w:t>
      </w:r>
    </w:p>
    <w:p w14:paraId="48AC3E31">
      <w:pPr>
        <w:pStyle w:val="9"/>
        <w:spacing w:before="11"/>
        <w:ind w:left="0"/>
        <w:jc w:val="left"/>
        <w:rPr>
          <w:rFonts w:hint="eastAsia"/>
          <w:sz w:val="30"/>
          <w:szCs w:val="30"/>
        </w:rPr>
      </w:pPr>
    </w:p>
    <w:p w14:paraId="38F695BF">
      <w:pPr>
        <w:pStyle w:val="9"/>
        <w:spacing w:before="11"/>
        <w:ind w:left="0"/>
        <w:jc w:val="left"/>
        <w:rPr>
          <w:rFonts w:hint="eastAsia"/>
          <w:sz w:val="30"/>
          <w:szCs w:val="30"/>
        </w:rPr>
      </w:pPr>
      <w:r>
        <w:rPr>
          <w:rFonts w:hint="eastAsia"/>
          <w:sz w:val="30"/>
          <w:szCs w:val="30"/>
        </w:rPr>
        <w:t>He will crush your head, and you will bruise him on the heel.”</w:t>
      </w:r>
    </w:p>
    <w:p w14:paraId="1F9E3A78">
      <w:pPr>
        <w:pStyle w:val="9"/>
        <w:spacing w:before="11"/>
        <w:ind w:left="0"/>
        <w:jc w:val="left"/>
        <w:rPr>
          <w:rFonts w:hint="eastAsia"/>
          <w:sz w:val="30"/>
          <w:szCs w:val="30"/>
        </w:rPr>
      </w:pPr>
      <w:r>
        <w:rPr>
          <w:rFonts w:hint="eastAsia"/>
          <w:sz w:val="30"/>
          <w:szCs w:val="30"/>
        </w:rPr>
        <w:t>祂要伤你的头，你要伤祂的脚跟。”</w:t>
      </w:r>
    </w:p>
    <w:p w14:paraId="64A62CC9">
      <w:pPr>
        <w:pStyle w:val="9"/>
        <w:spacing w:before="11"/>
        <w:ind w:left="0"/>
        <w:jc w:val="left"/>
        <w:rPr>
          <w:rFonts w:hint="eastAsia"/>
          <w:sz w:val="30"/>
          <w:szCs w:val="30"/>
        </w:rPr>
      </w:pPr>
    </w:p>
    <w:p w14:paraId="2F994AA0">
      <w:pPr>
        <w:pStyle w:val="9"/>
        <w:spacing w:before="11"/>
        <w:ind w:left="0"/>
        <w:jc w:val="left"/>
        <w:rPr>
          <w:rFonts w:hint="eastAsia"/>
          <w:sz w:val="30"/>
          <w:szCs w:val="30"/>
        </w:rPr>
      </w:pPr>
      <w:r>
        <w:rPr>
          <w:rFonts w:hint="eastAsia"/>
          <w:sz w:val="30"/>
          <w:szCs w:val="30"/>
        </w:rPr>
        <w:t>Please note that in these modes of seeing there is some overlap: Certain modes imply and involve others.</w:t>
      </w:r>
    </w:p>
    <w:p w14:paraId="5ECD1328">
      <w:pPr>
        <w:pStyle w:val="9"/>
        <w:spacing w:before="11"/>
        <w:ind w:left="0"/>
        <w:jc w:val="left"/>
        <w:rPr>
          <w:rFonts w:hint="eastAsia"/>
          <w:sz w:val="30"/>
          <w:szCs w:val="30"/>
        </w:rPr>
      </w:pPr>
      <w:r>
        <w:rPr>
          <w:rFonts w:hint="eastAsia"/>
          <w:sz w:val="30"/>
          <w:szCs w:val="30"/>
        </w:rPr>
        <w:t>请注意，在这些看见的模式中存在一些重叠：某些模式暗示并涉及其他模式。</w:t>
      </w:r>
    </w:p>
    <w:p w14:paraId="62362FDD">
      <w:pPr>
        <w:pStyle w:val="9"/>
        <w:spacing w:before="11"/>
        <w:ind w:left="0"/>
        <w:jc w:val="left"/>
        <w:rPr>
          <w:rFonts w:hint="eastAsia"/>
          <w:sz w:val="30"/>
          <w:szCs w:val="30"/>
        </w:rPr>
      </w:pPr>
    </w:p>
    <w:p w14:paraId="3016A855">
      <w:pPr>
        <w:pStyle w:val="9"/>
        <w:spacing w:before="11"/>
        <w:ind w:left="0"/>
        <w:jc w:val="left"/>
        <w:rPr>
          <w:rFonts w:hint="eastAsia"/>
          <w:sz w:val="30"/>
          <w:szCs w:val="30"/>
        </w:rPr>
      </w:pPr>
      <w:r>
        <w:rPr>
          <w:rFonts w:hint="eastAsia"/>
          <w:sz w:val="30"/>
          <w:szCs w:val="30"/>
        </w:rPr>
        <w:t>Nevertheless, each one is relatively distinct, and therefore merits a separate treatment.</w:t>
      </w:r>
    </w:p>
    <w:p w14:paraId="0D73F455">
      <w:pPr>
        <w:pStyle w:val="9"/>
        <w:spacing w:before="11"/>
        <w:ind w:left="0"/>
        <w:jc w:val="left"/>
        <w:rPr>
          <w:rFonts w:hint="eastAsia"/>
          <w:sz w:val="30"/>
          <w:szCs w:val="30"/>
        </w:rPr>
      </w:pPr>
      <w:r>
        <w:rPr>
          <w:rFonts w:hint="eastAsia"/>
          <w:sz w:val="30"/>
          <w:szCs w:val="30"/>
        </w:rPr>
        <w:t>然而，每一种都相对独特，因此值得单独处理。</w:t>
      </w:r>
    </w:p>
    <w:p w14:paraId="30EAE436">
      <w:pPr>
        <w:pStyle w:val="9"/>
        <w:spacing w:before="11"/>
        <w:ind w:left="0"/>
        <w:jc w:val="left"/>
        <w:rPr>
          <w:rFonts w:hint="eastAsia"/>
          <w:sz w:val="30"/>
          <w:szCs w:val="30"/>
        </w:rPr>
      </w:pPr>
    </w:p>
    <w:p w14:paraId="2A6B6046">
      <w:pPr>
        <w:pStyle w:val="9"/>
        <w:spacing w:before="11"/>
        <w:ind w:left="0"/>
        <w:jc w:val="left"/>
        <w:rPr>
          <w:rFonts w:hint="eastAsia"/>
          <w:sz w:val="30"/>
          <w:szCs w:val="30"/>
        </w:rPr>
      </w:pPr>
      <w:r>
        <w:rPr>
          <w:rFonts w:hint="eastAsia"/>
          <w:sz w:val="30"/>
          <w:szCs w:val="30"/>
        </w:rPr>
        <w:t>Based on a careful reading of the New Testament, we may say that by way of precept and example the apostles of Christ, following their Master, urge us to bring the following modes of seeing to the OT:</w:t>
      </w:r>
    </w:p>
    <w:p w14:paraId="2DEA2E08">
      <w:pPr>
        <w:pStyle w:val="9"/>
        <w:spacing w:before="11"/>
        <w:ind w:left="0"/>
        <w:jc w:val="left"/>
        <w:rPr>
          <w:rFonts w:hint="eastAsia"/>
          <w:sz w:val="30"/>
          <w:szCs w:val="30"/>
        </w:rPr>
      </w:pPr>
      <w:r>
        <w:rPr>
          <w:rFonts w:hint="eastAsia"/>
          <w:sz w:val="30"/>
          <w:szCs w:val="30"/>
        </w:rPr>
        <w:t>基于对新约的仔细研读，我们可以说，基督的使徒们，跟随他们的主，通过教训和榜样，敦促我们将以下几种看见的模式带到旧约中：</w:t>
      </w:r>
    </w:p>
    <w:p w14:paraId="4A767FC7">
      <w:pPr>
        <w:pStyle w:val="9"/>
        <w:spacing w:before="11"/>
        <w:ind w:left="0"/>
        <w:jc w:val="left"/>
        <w:rPr>
          <w:rFonts w:hint="eastAsia"/>
          <w:sz w:val="30"/>
          <w:szCs w:val="30"/>
        </w:rPr>
      </w:pPr>
    </w:p>
    <w:p w14:paraId="5D94C489">
      <w:pPr>
        <w:pStyle w:val="9"/>
        <w:spacing w:before="11"/>
        <w:ind w:left="0"/>
        <w:jc w:val="left"/>
        <w:rPr>
          <w:rFonts w:hint="eastAsia"/>
          <w:sz w:val="30"/>
          <w:szCs w:val="30"/>
        </w:rPr>
      </w:pPr>
      <w:r>
        <w:rPr>
          <w:rFonts w:hint="eastAsia"/>
          <w:sz w:val="30"/>
          <w:szCs w:val="30"/>
        </w:rPr>
        <w:t>1.Literal</w:t>
      </w:r>
    </w:p>
    <w:p w14:paraId="3F32F577">
      <w:pPr>
        <w:pStyle w:val="9"/>
        <w:spacing w:before="11"/>
        <w:ind w:left="0"/>
        <w:jc w:val="left"/>
        <w:rPr>
          <w:rFonts w:hint="eastAsia"/>
          <w:sz w:val="30"/>
          <w:szCs w:val="30"/>
        </w:rPr>
      </w:pPr>
      <w:r>
        <w:rPr>
          <w:rFonts w:hint="eastAsia"/>
          <w:sz w:val="30"/>
          <w:szCs w:val="30"/>
        </w:rPr>
        <w:t>1.字面</w:t>
      </w:r>
    </w:p>
    <w:p w14:paraId="6E68C9DB">
      <w:pPr>
        <w:pStyle w:val="9"/>
        <w:spacing w:before="11"/>
        <w:ind w:left="0"/>
        <w:jc w:val="left"/>
        <w:rPr>
          <w:rFonts w:hint="eastAsia"/>
          <w:sz w:val="30"/>
          <w:szCs w:val="30"/>
        </w:rPr>
      </w:pPr>
    </w:p>
    <w:p w14:paraId="6B0542E0">
      <w:pPr>
        <w:pStyle w:val="9"/>
        <w:spacing w:before="11"/>
        <w:ind w:left="0"/>
        <w:jc w:val="left"/>
        <w:rPr>
          <w:rFonts w:hint="eastAsia"/>
          <w:sz w:val="30"/>
          <w:szCs w:val="30"/>
        </w:rPr>
      </w:pPr>
      <w:r>
        <w:rPr>
          <w:rFonts w:hint="eastAsia"/>
          <w:sz w:val="30"/>
          <w:szCs w:val="30"/>
        </w:rPr>
        <w:t>This mode of seeing applies primarily to the great substratum of OT revelation, its historical narratives.</w:t>
      </w:r>
    </w:p>
    <w:p w14:paraId="3F4F246E">
      <w:pPr>
        <w:pStyle w:val="9"/>
        <w:spacing w:before="11"/>
        <w:ind w:left="0"/>
        <w:jc w:val="left"/>
        <w:rPr>
          <w:rFonts w:hint="eastAsia"/>
          <w:sz w:val="30"/>
          <w:szCs w:val="30"/>
        </w:rPr>
      </w:pPr>
      <w:r>
        <w:rPr>
          <w:rFonts w:hint="eastAsia"/>
          <w:sz w:val="30"/>
          <w:szCs w:val="30"/>
        </w:rPr>
        <w:t>这种看见的模式主要适用于旧约启示的巨大基础，即其历史叙述。</w:t>
      </w:r>
    </w:p>
    <w:p w14:paraId="70857C28">
      <w:pPr>
        <w:pStyle w:val="9"/>
        <w:spacing w:before="11"/>
        <w:ind w:left="0"/>
        <w:jc w:val="left"/>
        <w:rPr>
          <w:rFonts w:hint="eastAsia"/>
          <w:sz w:val="30"/>
          <w:szCs w:val="30"/>
        </w:rPr>
      </w:pPr>
    </w:p>
    <w:p w14:paraId="6E9E7C2E">
      <w:pPr>
        <w:pStyle w:val="9"/>
        <w:spacing w:before="11"/>
        <w:ind w:left="0"/>
        <w:jc w:val="left"/>
        <w:rPr>
          <w:rFonts w:hint="eastAsia"/>
          <w:sz w:val="30"/>
          <w:szCs w:val="30"/>
        </w:rPr>
      </w:pPr>
      <w:r>
        <w:rPr>
          <w:rFonts w:hint="eastAsia"/>
          <w:sz w:val="30"/>
          <w:szCs w:val="30"/>
        </w:rPr>
        <w:t>We read them literally when we take them as statements of historical fact.</w:t>
      </w:r>
    </w:p>
    <w:p w14:paraId="64E381D4">
      <w:pPr>
        <w:pStyle w:val="9"/>
        <w:spacing w:before="11"/>
        <w:ind w:left="0"/>
        <w:jc w:val="left"/>
        <w:rPr>
          <w:rFonts w:hint="eastAsia"/>
          <w:sz w:val="30"/>
          <w:szCs w:val="30"/>
        </w:rPr>
      </w:pPr>
      <w:r>
        <w:rPr>
          <w:rFonts w:hint="eastAsia"/>
          <w:sz w:val="30"/>
          <w:szCs w:val="30"/>
        </w:rPr>
        <w:t>当我们把它们当作历史事实的陈述来接受时，我们就是按字面意思来读它们。</w:t>
      </w:r>
    </w:p>
    <w:p w14:paraId="7F605270">
      <w:pPr>
        <w:pStyle w:val="9"/>
        <w:spacing w:before="11"/>
        <w:ind w:left="0"/>
        <w:jc w:val="left"/>
        <w:rPr>
          <w:rFonts w:hint="eastAsia"/>
          <w:sz w:val="30"/>
          <w:szCs w:val="30"/>
        </w:rPr>
      </w:pPr>
    </w:p>
    <w:p w14:paraId="191F8AB0">
      <w:pPr>
        <w:pStyle w:val="9"/>
        <w:spacing w:before="11"/>
        <w:ind w:left="0"/>
        <w:jc w:val="left"/>
        <w:rPr>
          <w:rFonts w:hint="eastAsia"/>
          <w:sz w:val="30"/>
          <w:szCs w:val="30"/>
        </w:rPr>
      </w:pPr>
      <w:r>
        <w:rPr>
          <w:rFonts w:hint="eastAsia"/>
          <w:sz w:val="30"/>
          <w:szCs w:val="30"/>
        </w:rPr>
        <w:t>The apostles, in their approach to OT history did this very thing.</w:t>
      </w:r>
    </w:p>
    <w:p w14:paraId="777D2326">
      <w:pPr>
        <w:pStyle w:val="9"/>
        <w:spacing w:before="11"/>
        <w:ind w:left="0"/>
        <w:jc w:val="left"/>
        <w:rPr>
          <w:rFonts w:hint="eastAsia"/>
          <w:sz w:val="30"/>
          <w:szCs w:val="30"/>
        </w:rPr>
      </w:pPr>
      <w:r>
        <w:rPr>
          <w:rFonts w:hint="eastAsia"/>
          <w:sz w:val="30"/>
          <w:szCs w:val="30"/>
        </w:rPr>
        <w:t>使徒们在他们对待旧约历史的方法上正是这样做的。</w:t>
      </w:r>
    </w:p>
    <w:p w14:paraId="7272A578">
      <w:pPr>
        <w:pStyle w:val="9"/>
        <w:spacing w:before="11"/>
        <w:ind w:left="0"/>
        <w:jc w:val="left"/>
        <w:rPr>
          <w:rFonts w:hint="eastAsia"/>
          <w:sz w:val="30"/>
          <w:szCs w:val="30"/>
        </w:rPr>
      </w:pPr>
    </w:p>
    <w:p w14:paraId="4245DE25">
      <w:pPr>
        <w:pStyle w:val="9"/>
        <w:spacing w:before="11"/>
        <w:ind w:left="0"/>
        <w:jc w:val="left"/>
        <w:rPr>
          <w:rFonts w:hint="eastAsia"/>
          <w:sz w:val="30"/>
          <w:szCs w:val="30"/>
        </w:rPr>
      </w:pPr>
      <w:r>
        <w:rPr>
          <w:rFonts w:hint="eastAsia"/>
          <w:sz w:val="30"/>
          <w:szCs w:val="30"/>
        </w:rPr>
        <w:t>They regarded Adam, Noah, Abraham, Moses, and David as true historical figures.</w:t>
      </w:r>
    </w:p>
    <w:p w14:paraId="645C217D">
      <w:pPr>
        <w:pStyle w:val="9"/>
        <w:spacing w:before="11"/>
        <w:ind w:left="0"/>
        <w:jc w:val="left"/>
        <w:rPr>
          <w:rFonts w:hint="eastAsia"/>
          <w:sz w:val="30"/>
          <w:szCs w:val="30"/>
        </w:rPr>
      </w:pPr>
      <w:r>
        <w:rPr>
          <w:rFonts w:hint="eastAsia"/>
          <w:sz w:val="30"/>
          <w:szCs w:val="30"/>
        </w:rPr>
        <w:t>他们把亚当、挪亚、亚伯拉罕、摩西和大卫看作是真实的历史人物。</w:t>
      </w:r>
    </w:p>
    <w:p w14:paraId="26498174">
      <w:pPr>
        <w:pStyle w:val="9"/>
        <w:spacing w:before="11"/>
        <w:ind w:left="0"/>
        <w:jc w:val="left"/>
        <w:rPr>
          <w:rFonts w:hint="eastAsia"/>
          <w:sz w:val="30"/>
          <w:szCs w:val="30"/>
        </w:rPr>
      </w:pPr>
    </w:p>
    <w:p w14:paraId="36979BB0">
      <w:pPr>
        <w:pStyle w:val="9"/>
        <w:spacing w:before="11"/>
        <w:ind w:left="0"/>
        <w:jc w:val="left"/>
        <w:rPr>
          <w:rFonts w:hint="eastAsia"/>
          <w:sz w:val="30"/>
          <w:szCs w:val="30"/>
        </w:rPr>
      </w:pPr>
      <w:r>
        <w:rPr>
          <w:rFonts w:hint="eastAsia"/>
          <w:sz w:val="30"/>
          <w:szCs w:val="30"/>
        </w:rPr>
        <w:t>They regarded the creation, the probation in Eden, the Fall of Adam, the descent of the Curse, the Flood, the Dispersion at Babel, the call of Abraham, and the Exodus as true historical events.</w:t>
      </w:r>
    </w:p>
    <w:p w14:paraId="74D632C3">
      <w:pPr>
        <w:pStyle w:val="9"/>
        <w:spacing w:before="11"/>
        <w:ind w:left="0"/>
        <w:jc w:val="left"/>
        <w:rPr>
          <w:rFonts w:hint="eastAsia"/>
          <w:sz w:val="30"/>
          <w:szCs w:val="30"/>
        </w:rPr>
      </w:pPr>
      <w:r>
        <w:rPr>
          <w:rFonts w:hint="eastAsia"/>
          <w:sz w:val="30"/>
          <w:szCs w:val="30"/>
        </w:rPr>
        <w:t>他们把创造、在伊甸园的试验、亚当的堕落、咒诅的降临、洪水、在巴别塔的分散、亚伯拉罕的呼召和出埃及看作是真实的历史事件。</w:t>
      </w:r>
    </w:p>
    <w:p w14:paraId="5BA8BBB8">
      <w:pPr>
        <w:pStyle w:val="9"/>
        <w:spacing w:before="11"/>
        <w:ind w:left="0"/>
        <w:jc w:val="left"/>
        <w:rPr>
          <w:rFonts w:hint="eastAsia"/>
          <w:sz w:val="30"/>
          <w:szCs w:val="30"/>
        </w:rPr>
      </w:pPr>
    </w:p>
    <w:p w14:paraId="3A96C58B">
      <w:pPr>
        <w:pStyle w:val="9"/>
        <w:spacing w:before="11"/>
        <w:ind w:left="0"/>
        <w:jc w:val="left"/>
        <w:rPr>
          <w:rFonts w:hint="eastAsia"/>
          <w:sz w:val="30"/>
          <w:szCs w:val="30"/>
        </w:rPr>
      </w:pPr>
      <w:r>
        <w:rPr>
          <w:rFonts w:hint="eastAsia"/>
          <w:sz w:val="30"/>
          <w:szCs w:val="30"/>
        </w:rPr>
        <w:t>They regarded OT history as true history, supernatural and all.</w:t>
      </w:r>
    </w:p>
    <w:p w14:paraId="0A34EA14">
      <w:pPr>
        <w:pStyle w:val="9"/>
        <w:spacing w:before="11"/>
        <w:ind w:left="0"/>
        <w:jc w:val="left"/>
        <w:rPr>
          <w:rFonts w:hint="eastAsia"/>
          <w:sz w:val="30"/>
          <w:szCs w:val="30"/>
        </w:rPr>
      </w:pPr>
      <w:r>
        <w:rPr>
          <w:rFonts w:hint="eastAsia"/>
          <w:sz w:val="30"/>
          <w:szCs w:val="30"/>
        </w:rPr>
        <w:t>他们将旧约历史视为真实的历史，包括其超自然的部分。</w:t>
      </w:r>
    </w:p>
    <w:p w14:paraId="1730B960">
      <w:pPr>
        <w:pStyle w:val="9"/>
        <w:spacing w:before="11"/>
        <w:ind w:left="0"/>
        <w:jc w:val="left"/>
        <w:rPr>
          <w:rFonts w:hint="eastAsia"/>
          <w:sz w:val="30"/>
          <w:szCs w:val="30"/>
        </w:rPr>
      </w:pPr>
    </w:p>
    <w:p w14:paraId="1A1760C4">
      <w:pPr>
        <w:pStyle w:val="9"/>
        <w:spacing w:before="11"/>
        <w:ind w:left="0"/>
        <w:jc w:val="left"/>
        <w:rPr>
          <w:rFonts w:hint="eastAsia"/>
          <w:sz w:val="30"/>
          <w:szCs w:val="30"/>
        </w:rPr>
      </w:pPr>
      <w:r>
        <w:rPr>
          <w:rFonts w:hint="eastAsia"/>
          <w:sz w:val="30"/>
          <w:szCs w:val="30"/>
        </w:rPr>
        <w:t>Indeed, had they come to regard it as something different—say as myth or legend—they would have considered themselves of all men most pitiable, since their eternal hope in Christ was itself an historical hope, a hope that altogether depended upon the historical veracity of OT and NT Salvation History (Luke 1:1-4, 1 Cor. 15:12-19, 1 Tim. 1:4, 4:7, 2 Peter 1:16).</w:t>
      </w:r>
    </w:p>
    <w:p w14:paraId="11C5FFC9">
      <w:pPr>
        <w:pStyle w:val="9"/>
        <w:spacing w:before="11"/>
        <w:ind w:left="0"/>
        <w:jc w:val="left"/>
        <w:rPr>
          <w:rFonts w:hint="eastAsia"/>
          <w:sz w:val="30"/>
          <w:szCs w:val="30"/>
        </w:rPr>
      </w:pPr>
      <w:r>
        <w:rPr>
          <w:rFonts w:hint="eastAsia"/>
          <w:sz w:val="30"/>
          <w:szCs w:val="30"/>
        </w:rPr>
        <w:t>的确，如果他们开始将其视为不同的东西——比如神话或传说——他们就会认为自己在所有人中最是可怜，因为他们在基督里的永恒盼望本身就是一个历史性的盼望，一个完全依赖于旧约和新约救赎历史的历史真实性的盼望（路加福音 1:1-4, 哥林多前书 15:12-19, 提摩太前书 1:4, 4:7, 彼得后书 1:16）。</w:t>
      </w:r>
    </w:p>
    <w:p w14:paraId="0A555013">
      <w:pPr>
        <w:pStyle w:val="9"/>
        <w:spacing w:before="11"/>
        <w:ind w:left="0"/>
        <w:jc w:val="left"/>
        <w:rPr>
          <w:rFonts w:hint="eastAsia"/>
          <w:sz w:val="30"/>
          <w:szCs w:val="30"/>
        </w:rPr>
      </w:pPr>
    </w:p>
    <w:p w14:paraId="19746203">
      <w:pPr>
        <w:pStyle w:val="9"/>
        <w:spacing w:before="11"/>
        <w:ind w:left="0"/>
        <w:jc w:val="left"/>
        <w:rPr>
          <w:rFonts w:hint="eastAsia"/>
          <w:sz w:val="30"/>
          <w:szCs w:val="30"/>
        </w:rPr>
      </w:pPr>
      <w:r>
        <w:rPr>
          <w:rFonts w:hint="eastAsia"/>
          <w:sz w:val="30"/>
          <w:szCs w:val="30"/>
        </w:rPr>
        <w:t>Interpreting the OT literally, the apostles therefore read Gen. 3:15 as a true historical narrative.</w:t>
      </w:r>
    </w:p>
    <w:p w14:paraId="21FB4E63">
      <w:pPr>
        <w:pStyle w:val="9"/>
        <w:spacing w:before="11"/>
        <w:ind w:left="0"/>
        <w:jc w:val="left"/>
        <w:rPr>
          <w:rFonts w:hint="eastAsia"/>
          <w:sz w:val="30"/>
          <w:szCs w:val="30"/>
        </w:rPr>
      </w:pPr>
      <w:r>
        <w:rPr>
          <w:rFonts w:hint="eastAsia"/>
          <w:sz w:val="30"/>
          <w:szCs w:val="30"/>
        </w:rPr>
        <w:t>使徒们按字面解释旧约，因此将创世记 3:15 读作一个真实的历史叙述。</w:t>
      </w:r>
    </w:p>
    <w:p w14:paraId="5C2EFF9E">
      <w:pPr>
        <w:pStyle w:val="9"/>
        <w:spacing w:before="11"/>
        <w:ind w:left="0"/>
        <w:jc w:val="left"/>
        <w:rPr>
          <w:rFonts w:hint="eastAsia"/>
          <w:sz w:val="30"/>
          <w:szCs w:val="30"/>
        </w:rPr>
      </w:pPr>
    </w:p>
    <w:p w14:paraId="3275AA04">
      <w:pPr>
        <w:pStyle w:val="9"/>
        <w:spacing w:before="11"/>
        <w:ind w:left="0"/>
        <w:jc w:val="left"/>
        <w:rPr>
          <w:rFonts w:hint="eastAsia"/>
          <w:sz w:val="30"/>
          <w:szCs w:val="30"/>
        </w:rPr>
      </w:pPr>
      <w:r>
        <w:rPr>
          <w:rFonts w:hint="eastAsia"/>
          <w:sz w:val="30"/>
          <w:szCs w:val="30"/>
        </w:rPr>
        <w:t>They affirmed that God really did speak those words to the serpent, and also to the evil spirit that indwelt it.</w:t>
      </w:r>
    </w:p>
    <w:p w14:paraId="619C7F6C">
      <w:pPr>
        <w:pStyle w:val="9"/>
        <w:spacing w:before="11"/>
        <w:ind w:left="0"/>
        <w:jc w:val="left"/>
        <w:rPr>
          <w:rFonts w:hint="eastAsia"/>
          <w:sz w:val="30"/>
          <w:szCs w:val="30"/>
        </w:rPr>
      </w:pPr>
      <w:r>
        <w:rPr>
          <w:rFonts w:hint="eastAsia"/>
          <w:sz w:val="30"/>
          <w:szCs w:val="30"/>
        </w:rPr>
        <w:t>他们确认上帝确实对蛇说了那些话，也对住在蛇里面的邪灵说了那些话。</w:t>
      </w:r>
    </w:p>
    <w:p w14:paraId="13A9DAB2">
      <w:pPr>
        <w:pStyle w:val="9"/>
        <w:spacing w:before="11"/>
        <w:ind w:left="0"/>
        <w:jc w:val="left"/>
        <w:rPr>
          <w:rFonts w:hint="eastAsia"/>
          <w:sz w:val="30"/>
          <w:szCs w:val="30"/>
        </w:rPr>
      </w:pPr>
    </w:p>
    <w:p w14:paraId="513341BE">
      <w:pPr>
        <w:pStyle w:val="9"/>
        <w:spacing w:before="11"/>
        <w:ind w:left="0"/>
        <w:jc w:val="left"/>
        <w:rPr>
          <w:rFonts w:hint="eastAsia"/>
          <w:sz w:val="30"/>
          <w:szCs w:val="30"/>
        </w:rPr>
      </w:pPr>
      <w:r>
        <w:rPr>
          <w:rFonts w:hint="eastAsia"/>
          <w:sz w:val="30"/>
          <w:szCs w:val="30"/>
        </w:rPr>
        <w:t>Moreover, they also affirmed that God’s words had a literal (i.e., a natural or physical) sense to them; that God really did put a spirit of enmity between Eve and this particular serpent, and also between her (physical) children and its children, with the result that real people would be bitten by real snakes, who in turn would really crush them under foot.</w:t>
      </w:r>
    </w:p>
    <w:p w14:paraId="51CA072F">
      <w:pPr>
        <w:pStyle w:val="9"/>
        <w:spacing w:before="11"/>
        <w:ind w:left="0"/>
        <w:jc w:val="left"/>
        <w:rPr>
          <w:rFonts w:hint="eastAsia"/>
          <w:sz w:val="30"/>
          <w:szCs w:val="30"/>
        </w:rPr>
      </w:pPr>
      <w:r>
        <w:rPr>
          <w:rFonts w:hint="eastAsia"/>
          <w:sz w:val="30"/>
          <w:szCs w:val="30"/>
        </w:rPr>
        <w:t>此外，他们也确认上帝的话语具有字面的（即自然的或物质的）意义；上帝确实在夏娃和这条特定的蛇之间，以及在她的（肉身的）儿女和它的儿女之间，放置了敌意，结果是真实的人会被真实的蛇咬伤，而人又会真的用脚把蛇踩碎。</w:t>
      </w:r>
    </w:p>
    <w:p w14:paraId="028D1C33">
      <w:pPr>
        <w:pStyle w:val="9"/>
        <w:spacing w:before="11"/>
        <w:ind w:left="0"/>
        <w:jc w:val="left"/>
        <w:rPr>
          <w:rFonts w:hint="eastAsia"/>
          <w:sz w:val="30"/>
          <w:szCs w:val="30"/>
        </w:rPr>
      </w:pPr>
    </w:p>
    <w:p w14:paraId="4D836B3F">
      <w:pPr>
        <w:pStyle w:val="9"/>
        <w:spacing w:before="11"/>
        <w:ind w:left="0"/>
        <w:jc w:val="left"/>
        <w:rPr>
          <w:rFonts w:hint="eastAsia"/>
          <w:sz w:val="30"/>
          <w:szCs w:val="30"/>
        </w:rPr>
      </w:pPr>
      <w:r>
        <w:rPr>
          <w:rFonts w:hint="eastAsia"/>
          <w:sz w:val="30"/>
          <w:szCs w:val="30"/>
        </w:rPr>
        <w:t>The apostles would not, however, have affirmed that this sense exhausted—or even scratched the surface—of the deeper layers of meaning embedded in God’s words.</w:t>
      </w:r>
    </w:p>
    <w:p w14:paraId="7158E86D">
      <w:pPr>
        <w:pStyle w:val="9"/>
        <w:spacing w:before="11"/>
        <w:ind w:left="0"/>
        <w:jc w:val="left"/>
        <w:rPr>
          <w:rFonts w:hint="eastAsia"/>
          <w:sz w:val="30"/>
          <w:szCs w:val="30"/>
        </w:rPr>
      </w:pPr>
      <w:r>
        <w:rPr>
          <w:rFonts w:hint="eastAsia"/>
          <w:sz w:val="30"/>
          <w:szCs w:val="30"/>
        </w:rPr>
        <w:t>然而，使徒们不会确认这种意义穷尽了——或者甚至只是触及了——上帝话语中嵌入的更深层次意义的表面。</w:t>
      </w:r>
    </w:p>
    <w:p w14:paraId="4E217EFF">
      <w:pPr>
        <w:pStyle w:val="9"/>
        <w:spacing w:before="11"/>
        <w:ind w:left="0"/>
        <w:jc w:val="left"/>
        <w:rPr>
          <w:rFonts w:hint="eastAsia"/>
          <w:sz w:val="30"/>
          <w:szCs w:val="30"/>
        </w:rPr>
      </w:pPr>
    </w:p>
    <w:p w14:paraId="6A3B60FA">
      <w:pPr>
        <w:pStyle w:val="9"/>
        <w:spacing w:before="11"/>
        <w:ind w:left="0"/>
        <w:jc w:val="left"/>
        <w:rPr>
          <w:rFonts w:hint="eastAsia"/>
          <w:sz w:val="30"/>
          <w:szCs w:val="30"/>
        </w:rPr>
      </w:pPr>
      <w:r>
        <w:rPr>
          <w:rFonts w:hint="eastAsia"/>
          <w:sz w:val="30"/>
          <w:szCs w:val="30"/>
        </w:rPr>
        <w:t>Here, two questions naturally arise: Could OTKP have a literal layer of meaning, as well as a more figurative?</w:t>
      </w:r>
    </w:p>
    <w:p w14:paraId="4195002D">
      <w:pPr>
        <w:pStyle w:val="9"/>
        <w:spacing w:before="11"/>
        <w:ind w:left="0"/>
        <w:jc w:val="left"/>
        <w:rPr>
          <w:rFonts w:hint="eastAsia"/>
          <w:sz w:val="30"/>
          <w:szCs w:val="30"/>
        </w:rPr>
      </w:pPr>
      <w:r>
        <w:rPr>
          <w:rFonts w:hint="eastAsia"/>
          <w:sz w:val="30"/>
          <w:szCs w:val="30"/>
        </w:rPr>
        <w:t>这里，自然会产生两个问题：旧约国度预言（OTKP）能否既有字面意义的层次，也有更具象征意义的层次？</w:t>
      </w:r>
    </w:p>
    <w:p w14:paraId="09B81BE6">
      <w:pPr>
        <w:pStyle w:val="9"/>
        <w:spacing w:before="11"/>
        <w:ind w:left="0"/>
        <w:jc w:val="left"/>
        <w:rPr>
          <w:rFonts w:hint="eastAsia"/>
          <w:sz w:val="30"/>
          <w:szCs w:val="30"/>
        </w:rPr>
      </w:pPr>
    </w:p>
    <w:p w14:paraId="79010516">
      <w:pPr>
        <w:pStyle w:val="9"/>
        <w:spacing w:before="11"/>
        <w:ind w:left="0"/>
        <w:jc w:val="left"/>
        <w:rPr>
          <w:rFonts w:hint="eastAsia"/>
          <w:sz w:val="30"/>
          <w:szCs w:val="30"/>
        </w:rPr>
      </w:pPr>
      <w:r>
        <w:rPr>
          <w:rFonts w:hint="eastAsia"/>
          <w:sz w:val="30"/>
          <w:szCs w:val="30"/>
        </w:rPr>
        <w:t>And if so, could this literal layer be speaking of a future Millennium?</w:t>
      </w:r>
    </w:p>
    <w:p w14:paraId="45997BAD">
      <w:pPr>
        <w:pStyle w:val="9"/>
        <w:spacing w:before="11"/>
        <w:ind w:left="0"/>
        <w:jc w:val="left"/>
        <w:rPr>
          <w:rFonts w:hint="eastAsia"/>
          <w:sz w:val="30"/>
          <w:szCs w:val="30"/>
        </w:rPr>
      </w:pPr>
      <w:r>
        <w:rPr>
          <w:rFonts w:hint="eastAsia"/>
          <w:sz w:val="30"/>
          <w:szCs w:val="30"/>
        </w:rPr>
        <w:t>如果是，这个字面层次能否是在讲述未来的千禧年？</w:t>
      </w:r>
    </w:p>
    <w:p w14:paraId="7F93993F">
      <w:pPr>
        <w:pStyle w:val="9"/>
        <w:spacing w:before="11"/>
        <w:ind w:left="0"/>
        <w:jc w:val="left"/>
        <w:rPr>
          <w:rFonts w:hint="eastAsia"/>
          <w:sz w:val="30"/>
          <w:szCs w:val="30"/>
        </w:rPr>
      </w:pPr>
    </w:p>
    <w:p w14:paraId="7AFDF321">
      <w:pPr>
        <w:pStyle w:val="9"/>
        <w:spacing w:before="11"/>
        <w:ind w:left="0"/>
        <w:jc w:val="left"/>
        <w:rPr>
          <w:rFonts w:hint="eastAsia"/>
          <w:sz w:val="30"/>
          <w:szCs w:val="30"/>
        </w:rPr>
      </w:pPr>
      <w:r>
        <w:rPr>
          <w:rFonts w:hint="eastAsia"/>
          <w:sz w:val="30"/>
          <w:szCs w:val="30"/>
        </w:rPr>
        <w:t>We will attend to these important questions later.1</w:t>
      </w:r>
    </w:p>
    <w:p w14:paraId="165BCDFA">
      <w:pPr>
        <w:pStyle w:val="9"/>
        <w:spacing w:before="11"/>
        <w:ind w:left="0"/>
        <w:jc w:val="left"/>
        <w:rPr>
          <w:rFonts w:hint="eastAsia"/>
          <w:sz w:val="30"/>
          <w:szCs w:val="30"/>
        </w:rPr>
      </w:pPr>
      <w:r>
        <w:rPr>
          <w:rFonts w:hint="eastAsia"/>
          <w:sz w:val="30"/>
          <w:szCs w:val="30"/>
        </w:rPr>
        <w:t>我们稍后将处理这些重要问题。1</w:t>
      </w:r>
    </w:p>
    <w:p w14:paraId="0BAE7F70">
      <w:pPr>
        <w:pStyle w:val="9"/>
        <w:spacing w:before="11"/>
        <w:ind w:left="0"/>
        <w:jc w:val="left"/>
        <w:rPr>
          <w:rFonts w:hint="eastAsia"/>
          <w:sz w:val="30"/>
          <w:szCs w:val="30"/>
        </w:rPr>
      </w:pPr>
    </w:p>
    <w:p w14:paraId="6B4700D7">
      <w:pPr>
        <w:pStyle w:val="9"/>
        <w:spacing w:before="11"/>
        <w:ind w:left="0"/>
        <w:jc w:val="left"/>
        <w:rPr>
          <w:rFonts w:hint="eastAsia"/>
          <w:sz w:val="30"/>
          <w:szCs w:val="30"/>
        </w:rPr>
      </w:pPr>
      <w:r>
        <w:rPr>
          <w:rFonts w:hint="eastAsia"/>
          <w:sz w:val="30"/>
          <w:szCs w:val="30"/>
        </w:rPr>
        <w:t>2.Ethical</w:t>
      </w:r>
    </w:p>
    <w:p w14:paraId="58659A09">
      <w:pPr>
        <w:pStyle w:val="9"/>
        <w:spacing w:before="11"/>
        <w:ind w:left="0"/>
        <w:jc w:val="left"/>
        <w:rPr>
          <w:rFonts w:hint="eastAsia"/>
          <w:sz w:val="30"/>
          <w:szCs w:val="30"/>
        </w:rPr>
      </w:pPr>
      <w:r>
        <w:rPr>
          <w:rFonts w:hint="eastAsia"/>
          <w:sz w:val="30"/>
          <w:szCs w:val="30"/>
        </w:rPr>
        <w:t>2.伦理</w:t>
      </w:r>
    </w:p>
    <w:p w14:paraId="79E2E541">
      <w:pPr>
        <w:pStyle w:val="9"/>
        <w:spacing w:before="11"/>
        <w:ind w:left="0"/>
        <w:jc w:val="left"/>
        <w:rPr>
          <w:rFonts w:hint="eastAsia"/>
          <w:sz w:val="30"/>
          <w:szCs w:val="30"/>
        </w:rPr>
      </w:pPr>
    </w:p>
    <w:p w14:paraId="589595F0">
      <w:pPr>
        <w:pStyle w:val="9"/>
        <w:spacing w:before="11"/>
        <w:ind w:left="0"/>
        <w:jc w:val="left"/>
        <w:rPr>
          <w:rFonts w:hint="eastAsia"/>
          <w:sz w:val="30"/>
          <w:szCs w:val="30"/>
        </w:rPr>
      </w:pPr>
      <w:r>
        <w:rPr>
          <w:rFonts w:hint="eastAsia"/>
          <w:sz w:val="30"/>
          <w:szCs w:val="30"/>
        </w:rPr>
        <w:t>The apostles also read the OT ethically, as a revelation of God’s will of precept for the attitudes, words, and deeds of all men, especially his New Covenant people.</w:t>
      </w:r>
    </w:p>
    <w:p w14:paraId="7F17BEB3">
      <w:pPr>
        <w:pStyle w:val="9"/>
        <w:spacing w:before="11"/>
        <w:ind w:left="0"/>
        <w:jc w:val="left"/>
        <w:rPr>
          <w:rFonts w:hint="eastAsia"/>
          <w:sz w:val="30"/>
          <w:szCs w:val="30"/>
        </w:rPr>
      </w:pPr>
      <w:r>
        <w:rPr>
          <w:rFonts w:hint="eastAsia"/>
          <w:sz w:val="30"/>
          <w:szCs w:val="30"/>
        </w:rPr>
        <w:t>使徒们也从伦理的角度阅读旧约，将其视为上帝对所有人，特别是祂新约子民的态度、言语和行为的训诫旨意的启示。</w:t>
      </w:r>
    </w:p>
    <w:p w14:paraId="17464349">
      <w:pPr>
        <w:pStyle w:val="9"/>
        <w:spacing w:before="11"/>
        <w:ind w:left="0"/>
        <w:jc w:val="left"/>
        <w:rPr>
          <w:rFonts w:hint="eastAsia"/>
          <w:sz w:val="30"/>
          <w:szCs w:val="30"/>
        </w:rPr>
      </w:pPr>
    </w:p>
    <w:p w14:paraId="246F82DB">
      <w:pPr>
        <w:pStyle w:val="9"/>
        <w:spacing w:before="11"/>
        <w:ind w:left="0"/>
        <w:jc w:val="left"/>
        <w:rPr>
          <w:rFonts w:hint="eastAsia"/>
          <w:sz w:val="30"/>
          <w:szCs w:val="30"/>
        </w:rPr>
      </w:pPr>
      <w:r>
        <w:rPr>
          <w:rFonts w:hint="eastAsia"/>
          <w:sz w:val="30"/>
          <w:szCs w:val="30"/>
        </w:rPr>
        <w:t>Obviously,当我们遇到像十诫这样的旧约经文，或在诗篇和先知书中发现的众多关于悔改和守约忠诚的劝勉时，这种看见的模式最自然地发挥作用。</w:t>
      </w:r>
    </w:p>
    <w:p w14:paraId="26591676">
      <w:pPr>
        <w:pStyle w:val="9"/>
        <w:spacing w:before="11"/>
        <w:ind w:left="0"/>
        <w:jc w:val="left"/>
        <w:rPr>
          <w:rFonts w:hint="eastAsia"/>
          <w:sz w:val="30"/>
          <w:szCs w:val="30"/>
        </w:rPr>
      </w:pPr>
    </w:p>
    <w:p w14:paraId="3DE9F646">
      <w:pPr>
        <w:pStyle w:val="9"/>
        <w:spacing w:before="11"/>
        <w:ind w:left="0"/>
        <w:jc w:val="left"/>
        <w:rPr>
          <w:rFonts w:hint="eastAsia"/>
          <w:sz w:val="30"/>
          <w:szCs w:val="30"/>
        </w:rPr>
      </w:pPr>
      <w:r>
        <w:rPr>
          <w:rFonts w:hint="eastAsia"/>
          <w:sz w:val="30"/>
          <w:szCs w:val="30"/>
        </w:rPr>
        <w:t>However, in drawing ethical application from the OT, the apostles go far beyond simply reiterating OT precepts to NT disciples.</w:t>
      </w:r>
    </w:p>
    <w:p w14:paraId="1A60B78B">
      <w:pPr>
        <w:pStyle w:val="9"/>
        <w:spacing w:before="11"/>
        <w:ind w:left="0"/>
        <w:jc w:val="left"/>
        <w:rPr>
          <w:rFonts w:hint="eastAsia"/>
          <w:sz w:val="30"/>
          <w:szCs w:val="30"/>
        </w:rPr>
      </w:pPr>
      <w:r>
        <w:rPr>
          <w:rFonts w:hint="eastAsia"/>
          <w:sz w:val="30"/>
          <w:szCs w:val="30"/>
        </w:rPr>
        <w:t>然而，在从旧约中汲取伦理应用时，使徒们远远不止是简单地向新约门徒重申旧约的训诫。</w:t>
      </w:r>
    </w:p>
    <w:p w14:paraId="1CD4CD9F">
      <w:pPr>
        <w:pStyle w:val="9"/>
        <w:spacing w:before="11"/>
        <w:ind w:left="0"/>
        <w:jc w:val="left"/>
        <w:rPr>
          <w:rFonts w:hint="eastAsia"/>
          <w:sz w:val="30"/>
          <w:szCs w:val="30"/>
        </w:rPr>
      </w:pPr>
    </w:p>
    <w:p w14:paraId="126C32D5">
      <w:pPr>
        <w:pStyle w:val="9"/>
        <w:spacing w:before="11"/>
        <w:ind w:left="0"/>
        <w:jc w:val="left"/>
        <w:rPr>
          <w:rFonts w:hint="eastAsia"/>
          <w:sz w:val="30"/>
          <w:szCs w:val="30"/>
        </w:rPr>
      </w:pPr>
      <w:r>
        <w:rPr>
          <w:rFonts w:hint="eastAsia"/>
          <w:sz w:val="30"/>
          <w:szCs w:val="30"/>
        </w:rPr>
        <w:t>Rather, they are at pains to show the ethical implications of all OT texts for the believer in Christ.</w:t>
      </w:r>
    </w:p>
    <w:p w14:paraId="7C664AB2">
      <w:pPr>
        <w:pStyle w:val="9"/>
        <w:spacing w:before="11"/>
        <w:ind w:left="0"/>
        <w:jc w:val="left"/>
        <w:rPr>
          <w:rFonts w:hint="eastAsia"/>
          <w:sz w:val="30"/>
          <w:szCs w:val="30"/>
        </w:rPr>
      </w:pPr>
      <w:r>
        <w:rPr>
          <w:rFonts w:hint="eastAsia"/>
          <w:sz w:val="30"/>
          <w:szCs w:val="30"/>
        </w:rPr>
        <w:t>相反，他们煞费苦心地向基督里的信徒展示所有旧约经文的伦理含义。</w:t>
      </w:r>
    </w:p>
    <w:p w14:paraId="2BAF2577">
      <w:pPr>
        <w:pStyle w:val="9"/>
        <w:spacing w:before="11"/>
        <w:ind w:left="0"/>
        <w:jc w:val="left"/>
        <w:rPr>
          <w:rFonts w:hint="eastAsia"/>
          <w:sz w:val="30"/>
          <w:szCs w:val="30"/>
        </w:rPr>
      </w:pPr>
    </w:p>
    <w:p w14:paraId="0671AB2D">
      <w:pPr>
        <w:pStyle w:val="9"/>
        <w:spacing w:before="11"/>
        <w:ind w:left="0"/>
        <w:jc w:val="left"/>
        <w:rPr>
          <w:rFonts w:hint="eastAsia"/>
          <w:sz w:val="30"/>
          <w:szCs w:val="30"/>
        </w:rPr>
      </w:pPr>
      <w:r>
        <w:rPr>
          <w:rFonts w:hint="eastAsia"/>
          <w:sz w:val="30"/>
          <w:szCs w:val="30"/>
        </w:rPr>
        <w:t>In other words, being fully persuaded that the entire OT—whether its history, law, poetry, or prophecy— ultimately concerns the things of Christ, the apostles’ ethical reading of the OT was not merely law-centered, but Christ-centered and Gospel-centered.</w:t>
      </w:r>
    </w:p>
    <w:p w14:paraId="66E95756">
      <w:pPr>
        <w:pStyle w:val="9"/>
        <w:spacing w:before="11"/>
        <w:ind w:left="0"/>
        <w:jc w:val="left"/>
        <w:rPr>
          <w:rFonts w:hint="eastAsia"/>
          <w:sz w:val="30"/>
          <w:szCs w:val="30"/>
        </w:rPr>
      </w:pPr>
      <w:r>
        <w:rPr>
          <w:rFonts w:hint="eastAsia"/>
          <w:sz w:val="30"/>
          <w:szCs w:val="30"/>
        </w:rPr>
        <w:t>换句话说，由于完全相信整个旧约——无论是其历史、律法、诗歌还是预言——最终都关乎基督的事，使徒们对旧约的伦理解读不仅仅是以律法为中心，而是以基督为中心和以福音为中心的。</w:t>
      </w:r>
    </w:p>
    <w:p w14:paraId="5FE85D75">
      <w:pPr>
        <w:pStyle w:val="9"/>
        <w:spacing w:before="11"/>
        <w:ind w:left="0"/>
        <w:jc w:val="left"/>
        <w:rPr>
          <w:rFonts w:hint="eastAsia"/>
          <w:sz w:val="30"/>
          <w:szCs w:val="30"/>
        </w:rPr>
      </w:pPr>
    </w:p>
    <w:p w14:paraId="4CFA5747">
      <w:pPr>
        <w:pStyle w:val="9"/>
        <w:spacing w:before="11"/>
        <w:ind w:left="0"/>
        <w:jc w:val="left"/>
        <w:rPr>
          <w:rFonts w:hint="eastAsia"/>
          <w:sz w:val="30"/>
          <w:szCs w:val="30"/>
        </w:rPr>
      </w:pPr>
      <w:r>
        <w:rPr>
          <w:rFonts w:hint="eastAsia"/>
          <w:sz w:val="30"/>
          <w:szCs w:val="30"/>
        </w:rPr>
        <w:t>The NT supplies some fascinating illustrations of this approach.</w:t>
      </w:r>
    </w:p>
    <w:p w14:paraId="1E4C5140">
      <w:pPr>
        <w:pStyle w:val="9"/>
        <w:spacing w:before="11"/>
        <w:ind w:left="0"/>
        <w:jc w:val="left"/>
        <w:rPr>
          <w:rFonts w:hint="eastAsia"/>
          <w:sz w:val="30"/>
          <w:szCs w:val="30"/>
        </w:rPr>
      </w:pPr>
      <w:r>
        <w:rPr>
          <w:rFonts w:hint="eastAsia"/>
          <w:sz w:val="30"/>
          <w:szCs w:val="30"/>
        </w:rPr>
        <w:t>新约提供了一些关于这种方法的引人入胜的例证。</w:t>
      </w:r>
    </w:p>
    <w:p w14:paraId="63E7E5E6">
      <w:pPr>
        <w:pStyle w:val="9"/>
        <w:spacing w:before="11"/>
        <w:ind w:left="0"/>
        <w:jc w:val="left"/>
        <w:rPr>
          <w:rFonts w:hint="eastAsia"/>
          <w:sz w:val="30"/>
          <w:szCs w:val="30"/>
        </w:rPr>
      </w:pPr>
    </w:p>
    <w:p w14:paraId="3E9C4F66">
      <w:pPr>
        <w:pStyle w:val="9"/>
        <w:spacing w:before="11"/>
        <w:ind w:left="0"/>
        <w:jc w:val="left"/>
        <w:rPr>
          <w:rFonts w:hint="eastAsia"/>
          <w:sz w:val="30"/>
          <w:szCs w:val="30"/>
        </w:rPr>
      </w:pPr>
      <w:r>
        <w:rPr>
          <w:rFonts w:hint="eastAsia"/>
          <w:sz w:val="30"/>
          <w:szCs w:val="30"/>
        </w:rPr>
        <w:t>For example, drawing liberally from the narrative of Israel’s moral failures in the wilderness of Sinai, Paul exhorts Christians as to how they should walk in the wilderness of this present evil age (1 Cor. 10:1f).</w:t>
      </w:r>
    </w:p>
    <w:p w14:paraId="18051076">
      <w:pPr>
        <w:pStyle w:val="9"/>
        <w:spacing w:before="11"/>
        <w:ind w:left="0"/>
        <w:jc w:val="left"/>
        <w:rPr>
          <w:rFonts w:hint="eastAsia"/>
          <w:sz w:val="30"/>
          <w:szCs w:val="30"/>
        </w:rPr>
      </w:pPr>
      <w:r>
        <w:rPr>
          <w:rFonts w:hint="eastAsia"/>
          <w:sz w:val="30"/>
          <w:szCs w:val="30"/>
        </w:rPr>
        <w:t>例如，保罗大量引用以色列在西奈旷野道德失败的叙述，劝勉基督徒当如何行在这现今邪恶世代的旷野中（哥林多前书 10:1及后文）。</w:t>
      </w:r>
    </w:p>
    <w:p w14:paraId="08652902">
      <w:pPr>
        <w:pStyle w:val="9"/>
        <w:spacing w:before="11"/>
        <w:ind w:left="0"/>
        <w:jc w:val="left"/>
        <w:rPr>
          <w:rFonts w:hint="eastAsia"/>
          <w:sz w:val="30"/>
          <w:szCs w:val="30"/>
        </w:rPr>
      </w:pPr>
    </w:p>
    <w:p w14:paraId="4B9EDBBD">
      <w:pPr>
        <w:pStyle w:val="9"/>
        <w:spacing w:before="11"/>
        <w:ind w:left="0"/>
        <w:jc w:val="left"/>
        <w:rPr>
          <w:rFonts w:hint="eastAsia"/>
          <w:sz w:val="30"/>
          <w:szCs w:val="30"/>
        </w:rPr>
      </w:pPr>
      <w:r>
        <w:rPr>
          <w:rFonts w:hint="eastAsia"/>
          <w:sz w:val="30"/>
          <w:szCs w:val="30"/>
        </w:rPr>
        <w:t>Citing OT Law to the effect that farmers must not muzzle an ox when it is treading out the grain, he also instructs Christians as to how they should supply the material needs of their leaders (1 Cor. 9:9, 1 Tim. 5:18).</w:t>
      </w:r>
    </w:p>
    <w:p w14:paraId="53DFD599">
      <w:pPr>
        <w:pStyle w:val="9"/>
        <w:spacing w:before="11"/>
        <w:ind w:left="0"/>
        <w:jc w:val="left"/>
        <w:rPr>
          <w:rFonts w:hint="eastAsia"/>
          <w:sz w:val="30"/>
          <w:szCs w:val="30"/>
        </w:rPr>
      </w:pPr>
      <w:r>
        <w:rPr>
          <w:rFonts w:hint="eastAsia"/>
          <w:sz w:val="30"/>
          <w:szCs w:val="30"/>
        </w:rPr>
        <w:t>他引用旧约律法中关于农夫在牛踹谷时不可笼住它的嘴的规定，也教导基督徒当如何供应他们领袖的物质需要（哥林多前书 9:9，提摩太前书 5:18）。</w:t>
      </w:r>
    </w:p>
    <w:p w14:paraId="74BE1966">
      <w:pPr>
        <w:pStyle w:val="9"/>
        <w:spacing w:before="11"/>
        <w:ind w:left="0"/>
        <w:jc w:val="left"/>
        <w:rPr>
          <w:rFonts w:hint="eastAsia"/>
          <w:sz w:val="30"/>
          <w:szCs w:val="30"/>
        </w:rPr>
      </w:pPr>
    </w:p>
    <w:p w14:paraId="0C19DC01">
      <w:pPr>
        <w:pStyle w:val="9"/>
        <w:spacing w:before="11"/>
        <w:ind w:left="0"/>
        <w:jc w:val="left"/>
        <w:rPr>
          <w:rFonts w:hint="eastAsia"/>
          <w:sz w:val="30"/>
          <w:szCs w:val="30"/>
        </w:rPr>
      </w:pPr>
      <w:r>
        <w:rPr>
          <w:rFonts w:hint="eastAsia"/>
          <w:sz w:val="30"/>
          <w:szCs w:val="30"/>
        </w:rPr>
        <w:t>Reflecting upon various OT prophecies of final Judgment and Redemption, Peter presses home his application, asking what sort of people the NT saints—who will soon see that Judgment—ought to be in all holy conduct and godliness (2 Peter 3:11- 14).</w:t>
      </w:r>
    </w:p>
    <w:p w14:paraId="1426D399">
      <w:pPr>
        <w:pStyle w:val="9"/>
        <w:spacing w:before="11"/>
        <w:ind w:left="0"/>
        <w:jc w:val="left"/>
        <w:rPr>
          <w:rFonts w:hint="eastAsia"/>
          <w:sz w:val="30"/>
          <w:szCs w:val="30"/>
        </w:rPr>
      </w:pPr>
      <w:r>
        <w:rPr>
          <w:rFonts w:hint="eastAsia"/>
          <w:sz w:val="30"/>
          <w:szCs w:val="30"/>
        </w:rPr>
        <w:t>彼得默想旧约中关于最终审判和救赎的各种预言，进而强调他的应用，询问那些即将看到那审判的新约圣徒，在一切圣洁的行为和敬虔上应当是怎样的人（彼得后书 3:11-14）。</w:t>
      </w:r>
    </w:p>
    <w:p w14:paraId="04ED41CA">
      <w:pPr>
        <w:pStyle w:val="9"/>
        <w:spacing w:before="11"/>
        <w:ind w:left="0"/>
        <w:jc w:val="left"/>
        <w:rPr>
          <w:rFonts w:hint="eastAsia"/>
          <w:sz w:val="30"/>
          <w:szCs w:val="30"/>
        </w:rPr>
      </w:pPr>
    </w:p>
    <w:p w14:paraId="6B4E96AD">
      <w:pPr>
        <w:pStyle w:val="9"/>
        <w:spacing w:before="11"/>
        <w:ind w:left="0"/>
        <w:jc w:val="left"/>
        <w:rPr>
          <w:rFonts w:hint="eastAsia"/>
          <w:sz w:val="30"/>
          <w:szCs w:val="30"/>
        </w:rPr>
      </w:pPr>
      <w:r>
        <w:rPr>
          <w:rFonts w:hint="eastAsia"/>
          <w:sz w:val="30"/>
          <w:szCs w:val="30"/>
        </w:rPr>
        <w:t>As for John, he cites the OT story of Cain and Abel, not only to show that believers ought to love one another, but also that they ought not to be surprised when the world—sometimes embodied in false brethren—hates them (1 John 3:10-13).</w:t>
      </w:r>
    </w:p>
    <w:p w14:paraId="09493CE3">
      <w:pPr>
        <w:pStyle w:val="9"/>
        <w:spacing w:before="11"/>
        <w:ind w:left="0"/>
        <w:jc w:val="left"/>
        <w:rPr>
          <w:rFonts w:hint="eastAsia"/>
          <w:sz w:val="30"/>
          <w:szCs w:val="30"/>
        </w:rPr>
      </w:pPr>
      <w:r>
        <w:rPr>
          <w:rFonts w:hint="eastAsia"/>
          <w:sz w:val="30"/>
          <w:szCs w:val="30"/>
        </w:rPr>
        <w:t>至于约翰，他引用旧约中该隐和亚伯的故事，不仅为了表明信徒应当彼此相爱，也为了表明当世界——有时体现在假弟兄身上——恨他们时，他们不应当感到惊讶（约翰一书 3:10-13）。</w:t>
      </w:r>
    </w:p>
    <w:p w14:paraId="0AC6B1F7">
      <w:pPr>
        <w:pStyle w:val="9"/>
        <w:spacing w:before="11"/>
        <w:ind w:left="0"/>
        <w:jc w:val="left"/>
        <w:rPr>
          <w:rFonts w:hint="eastAsia"/>
          <w:sz w:val="30"/>
          <w:szCs w:val="30"/>
        </w:rPr>
      </w:pPr>
    </w:p>
    <w:p w14:paraId="4EF02408">
      <w:pPr>
        <w:pStyle w:val="9"/>
        <w:spacing w:before="11"/>
        <w:ind w:left="0"/>
        <w:jc w:val="left"/>
        <w:rPr>
          <w:rFonts w:hint="eastAsia"/>
          <w:sz w:val="30"/>
          <w:szCs w:val="30"/>
        </w:rPr>
      </w:pPr>
      <w:r>
        <w:rPr>
          <w:rFonts w:hint="eastAsia"/>
          <w:sz w:val="30"/>
          <w:szCs w:val="30"/>
        </w:rPr>
        <w:t>Thus, for the apostles, all OT indicatives contain imperatives—Gospel imperatives—that NT revelation alone can bring out into the full light of day.</w:t>
      </w:r>
    </w:p>
    <w:p w14:paraId="1ECA7A61">
      <w:pPr>
        <w:pStyle w:val="9"/>
        <w:spacing w:before="11"/>
        <w:ind w:left="0"/>
        <w:jc w:val="left"/>
        <w:rPr>
          <w:rFonts w:hint="eastAsia"/>
          <w:sz w:val="30"/>
          <w:szCs w:val="30"/>
        </w:rPr>
      </w:pPr>
      <w:r>
        <w:rPr>
          <w:rFonts w:hint="eastAsia"/>
          <w:sz w:val="30"/>
          <w:szCs w:val="30"/>
        </w:rPr>
        <w:t>因此，对使徒们而言，所有旧约的陈述句都包含命令句——福音的命令句——唯有新约的启示才能将其完全显明出来。</w:t>
      </w:r>
    </w:p>
    <w:p w14:paraId="7AB1C693">
      <w:pPr>
        <w:pStyle w:val="9"/>
        <w:spacing w:before="11"/>
        <w:ind w:left="0"/>
        <w:jc w:val="left"/>
        <w:rPr>
          <w:rFonts w:hint="eastAsia"/>
          <w:sz w:val="30"/>
          <w:szCs w:val="30"/>
        </w:rPr>
      </w:pPr>
    </w:p>
    <w:p w14:paraId="5CC54B41">
      <w:pPr>
        <w:pStyle w:val="9"/>
        <w:spacing w:before="11"/>
        <w:ind w:left="0"/>
        <w:jc w:val="left"/>
        <w:rPr>
          <w:rFonts w:hint="eastAsia"/>
          <w:sz w:val="30"/>
          <w:szCs w:val="30"/>
        </w:rPr>
      </w:pPr>
      <w:r>
        <w:rPr>
          <w:rFonts w:hint="eastAsia"/>
          <w:sz w:val="30"/>
          <w:szCs w:val="30"/>
        </w:rPr>
        <w:t>We can apply the ethical mode of seeing to Genesis 3:15.</w:t>
      </w:r>
    </w:p>
    <w:p w14:paraId="4CC88C7D">
      <w:pPr>
        <w:pStyle w:val="9"/>
        <w:spacing w:before="11"/>
        <w:ind w:left="0"/>
        <w:jc w:val="left"/>
        <w:rPr>
          <w:rFonts w:hint="eastAsia"/>
          <w:sz w:val="30"/>
          <w:szCs w:val="30"/>
        </w:rPr>
      </w:pPr>
      <w:r>
        <w:rPr>
          <w:rFonts w:hint="eastAsia"/>
          <w:sz w:val="30"/>
          <w:szCs w:val="30"/>
        </w:rPr>
        <w:t>我们可以将伦理的看见模式应用于创世记 3:15。</w:t>
      </w:r>
    </w:p>
    <w:p w14:paraId="1C300F63">
      <w:pPr>
        <w:pStyle w:val="9"/>
        <w:spacing w:before="11"/>
        <w:ind w:left="0"/>
        <w:jc w:val="left"/>
        <w:rPr>
          <w:rFonts w:hint="eastAsia"/>
          <w:sz w:val="30"/>
          <w:szCs w:val="30"/>
        </w:rPr>
      </w:pPr>
    </w:p>
    <w:p w14:paraId="2D73D3D0">
      <w:pPr>
        <w:pStyle w:val="9"/>
        <w:spacing w:before="11"/>
        <w:ind w:left="0"/>
        <w:jc w:val="left"/>
        <w:rPr>
          <w:rFonts w:hint="eastAsia"/>
          <w:sz w:val="30"/>
          <w:szCs w:val="30"/>
        </w:rPr>
      </w:pPr>
      <w:r>
        <w:rPr>
          <w:rFonts w:hint="eastAsia"/>
          <w:sz w:val="30"/>
          <w:szCs w:val="30"/>
        </w:rPr>
        <w:t>It is a prophecy: It simply speaks of what God will do, and of what will happen when he does.</w:t>
      </w:r>
    </w:p>
    <w:p w14:paraId="07FE37CA">
      <w:pPr>
        <w:pStyle w:val="9"/>
        <w:spacing w:before="11"/>
        <w:ind w:left="0"/>
        <w:jc w:val="left"/>
        <w:rPr>
          <w:rFonts w:hint="eastAsia"/>
          <w:sz w:val="30"/>
          <w:szCs w:val="30"/>
        </w:rPr>
      </w:pPr>
      <w:r>
        <w:rPr>
          <w:rFonts w:hint="eastAsia"/>
          <w:sz w:val="30"/>
          <w:szCs w:val="30"/>
        </w:rPr>
        <w:t>这是一个预言：它只是说上帝将要做什么，以及当祂做的时候会发生什么。</w:t>
      </w:r>
    </w:p>
    <w:p w14:paraId="5864E508">
      <w:pPr>
        <w:pStyle w:val="9"/>
        <w:spacing w:before="11"/>
        <w:ind w:left="0"/>
        <w:jc w:val="left"/>
        <w:rPr>
          <w:rFonts w:hint="eastAsia"/>
          <w:sz w:val="30"/>
          <w:szCs w:val="30"/>
        </w:rPr>
      </w:pPr>
    </w:p>
    <w:p w14:paraId="6A5B1027">
      <w:pPr>
        <w:pStyle w:val="9"/>
        <w:spacing w:before="11"/>
        <w:ind w:left="0"/>
        <w:jc w:val="left"/>
        <w:rPr>
          <w:rFonts w:hint="eastAsia"/>
          <w:sz w:val="30"/>
          <w:szCs w:val="30"/>
        </w:rPr>
      </w:pPr>
      <w:r>
        <w:rPr>
          <w:rFonts w:hint="eastAsia"/>
          <w:sz w:val="30"/>
          <w:szCs w:val="30"/>
        </w:rPr>
        <w:t>Nevertheless, it is also ethically charged.</w:t>
      </w:r>
    </w:p>
    <w:p w14:paraId="18072EAD">
      <w:pPr>
        <w:pStyle w:val="9"/>
        <w:spacing w:before="11"/>
        <w:ind w:left="0"/>
        <w:jc w:val="left"/>
        <w:rPr>
          <w:rFonts w:hint="eastAsia"/>
          <w:sz w:val="30"/>
          <w:szCs w:val="30"/>
        </w:rPr>
      </w:pPr>
      <w:r>
        <w:rPr>
          <w:rFonts w:hint="eastAsia"/>
          <w:sz w:val="30"/>
          <w:szCs w:val="30"/>
        </w:rPr>
        <w:t>然而，它也充满了伦理的意味。</w:t>
      </w:r>
    </w:p>
    <w:p w14:paraId="1516B4AB">
      <w:pPr>
        <w:pStyle w:val="9"/>
        <w:spacing w:before="11"/>
        <w:ind w:left="0"/>
        <w:jc w:val="left"/>
        <w:rPr>
          <w:rFonts w:hint="eastAsia"/>
          <w:sz w:val="30"/>
          <w:szCs w:val="30"/>
        </w:rPr>
      </w:pPr>
    </w:p>
    <w:p w14:paraId="0F17A25A">
      <w:pPr>
        <w:pStyle w:val="9"/>
        <w:spacing w:before="11"/>
        <w:ind w:left="0"/>
        <w:jc w:val="left"/>
        <w:rPr>
          <w:rFonts w:hint="eastAsia"/>
          <w:sz w:val="30"/>
          <w:szCs w:val="30"/>
        </w:rPr>
      </w:pPr>
      <w:r>
        <w:rPr>
          <w:rFonts w:hint="eastAsia"/>
          <w:sz w:val="30"/>
          <w:szCs w:val="30"/>
        </w:rPr>
        <w:t>If God has put enmity between the Woman and the Serpent, then it is quite clear that the Woman ought to hate the Serpent and his evil works (Rom. 7:15, Jude 1:23, Rev. 2:6, 15).</w:t>
      </w:r>
    </w:p>
    <w:p w14:paraId="67BCB2AB">
      <w:pPr>
        <w:pStyle w:val="9"/>
        <w:spacing w:before="11"/>
        <w:ind w:left="0"/>
        <w:jc w:val="left"/>
        <w:rPr>
          <w:rFonts w:hint="eastAsia"/>
          <w:sz w:val="30"/>
          <w:szCs w:val="30"/>
        </w:rPr>
      </w:pPr>
      <w:r>
        <w:rPr>
          <w:rFonts w:hint="eastAsia"/>
          <w:sz w:val="30"/>
          <w:szCs w:val="30"/>
        </w:rPr>
        <w:t>如果上帝在女人和蛇之间放置了敌意，那么很清楚，女人应当恨恶蛇和它的邪恶作为（罗马书 7:15, 犹大书 1:23, 启示录 2:6, 15）。</w:t>
      </w:r>
    </w:p>
    <w:p w14:paraId="3A797019">
      <w:pPr>
        <w:pStyle w:val="9"/>
        <w:spacing w:before="11"/>
        <w:ind w:left="0"/>
        <w:jc w:val="left"/>
        <w:rPr>
          <w:rFonts w:hint="eastAsia"/>
          <w:sz w:val="30"/>
          <w:szCs w:val="30"/>
        </w:rPr>
      </w:pPr>
    </w:p>
    <w:p w14:paraId="322A828D">
      <w:pPr>
        <w:pStyle w:val="9"/>
        <w:spacing w:before="11"/>
        <w:ind w:left="0"/>
        <w:jc w:val="left"/>
        <w:rPr>
          <w:rFonts w:hint="eastAsia"/>
          <w:sz w:val="30"/>
          <w:szCs w:val="30"/>
        </w:rPr>
      </w:pPr>
      <w:r>
        <w:rPr>
          <w:rFonts w:hint="eastAsia"/>
          <w:sz w:val="30"/>
          <w:szCs w:val="30"/>
        </w:rPr>
        <w:t>However, turning to the NT, we find something that brings us up short, something to show us how much we need the NT to draw out the correct ethical implications of this or any other OT passage.</w:t>
      </w:r>
    </w:p>
    <w:p w14:paraId="45C586BF">
      <w:pPr>
        <w:pStyle w:val="9"/>
        <w:spacing w:before="11"/>
        <w:ind w:left="0"/>
        <w:jc w:val="left"/>
        <w:rPr>
          <w:rFonts w:hint="eastAsia"/>
          <w:sz w:val="30"/>
          <w:szCs w:val="30"/>
        </w:rPr>
      </w:pPr>
      <w:r>
        <w:rPr>
          <w:rFonts w:hint="eastAsia"/>
          <w:sz w:val="30"/>
          <w:szCs w:val="30"/>
        </w:rPr>
        <w:t>然而，当我们转向新约时，我们发现了一些让我们吃惊的东西，一些向我们显明我们是何等需要新约来引出这段或任何其他旧约经文的正确伦理含义。</w:t>
      </w:r>
    </w:p>
    <w:p w14:paraId="3C1A9B53">
      <w:pPr>
        <w:pStyle w:val="9"/>
        <w:spacing w:before="11"/>
        <w:ind w:left="0"/>
        <w:jc w:val="left"/>
        <w:rPr>
          <w:rFonts w:hint="eastAsia"/>
          <w:sz w:val="30"/>
          <w:szCs w:val="30"/>
        </w:rPr>
      </w:pPr>
    </w:p>
    <w:p w14:paraId="03F54C5E">
      <w:pPr>
        <w:pStyle w:val="9"/>
        <w:spacing w:before="11"/>
        <w:ind w:left="0"/>
        <w:jc w:val="left"/>
        <w:rPr>
          <w:rFonts w:hint="eastAsia"/>
          <w:sz w:val="30"/>
          <w:szCs w:val="30"/>
        </w:rPr>
      </w:pPr>
      <w:r>
        <w:rPr>
          <w:rFonts w:hint="eastAsia"/>
          <w:sz w:val="30"/>
          <w:szCs w:val="30"/>
        </w:rPr>
        <w:t>For while one might also naturally conclude from Gen. 3:15 that the seed of the Woman ought to hate the seed of the Serpent, the Lord Jesus—quite supernaturally —tells his living saints that they ought rather to love their enemies, pray for them, and do good to them (Mt. 5:43-44); indeed, that in this Era of Proclamation and Probation they ought to give them the Gospel, so that the seed of the Serpent might become the seed of the Woman, and their brothers and sisters in Christ as well (Acts 26:12-18, Eph. 1:5-6, 2:1ff, Col. 1:13)!</w:t>
      </w:r>
    </w:p>
    <w:p w14:paraId="05172E45">
      <w:pPr>
        <w:pStyle w:val="9"/>
        <w:spacing w:before="11"/>
        <w:ind w:left="0"/>
        <w:jc w:val="left"/>
        <w:rPr>
          <w:rFonts w:hint="eastAsia"/>
          <w:sz w:val="30"/>
          <w:szCs w:val="30"/>
        </w:rPr>
      </w:pPr>
      <w:r>
        <w:rPr>
          <w:rFonts w:hint="eastAsia"/>
          <w:sz w:val="30"/>
          <w:szCs w:val="30"/>
        </w:rPr>
        <w:t>因为，虽然人们可能也会很自然地从创世记 3:15 得出结论，认为女人的后裔应当恨恶蛇的后裔，但主耶稣——相当超自然地——告诉祂活着的圣徒们，他们反而应当爱他们的仇敌，为他们祷告，并善待他们（马太福音 5:43-44）；实际上，在这个宣讲和验证的时代，他们应当把福音传给他们，好让蛇的后裔可以成为女人的后裔，也成为他们在基督里的弟兄姊妹（使徒行传 26:12-18, 以弗所书 1:5-6, 2:1及后文, 歌罗西书 1:13）！</w:t>
      </w:r>
    </w:p>
    <w:p w14:paraId="68047B0C">
      <w:pPr>
        <w:pStyle w:val="9"/>
        <w:spacing w:before="11"/>
        <w:ind w:left="0"/>
        <w:jc w:val="left"/>
        <w:rPr>
          <w:rFonts w:hint="eastAsia"/>
          <w:sz w:val="30"/>
          <w:szCs w:val="30"/>
        </w:rPr>
      </w:pPr>
    </w:p>
    <w:p w14:paraId="45E38590">
      <w:pPr>
        <w:pStyle w:val="9"/>
        <w:spacing w:before="11"/>
        <w:ind w:left="0"/>
        <w:jc w:val="left"/>
        <w:rPr>
          <w:rFonts w:hint="eastAsia"/>
          <w:sz w:val="30"/>
          <w:szCs w:val="30"/>
        </w:rPr>
      </w:pPr>
      <w:r>
        <w:rPr>
          <w:rFonts w:hint="eastAsia"/>
          <w:sz w:val="30"/>
          <w:szCs w:val="30"/>
        </w:rPr>
        <w:t>3.Typological</w:t>
      </w:r>
    </w:p>
    <w:p w14:paraId="49046372">
      <w:pPr>
        <w:pStyle w:val="9"/>
        <w:spacing w:before="11"/>
        <w:ind w:left="0"/>
        <w:jc w:val="left"/>
        <w:rPr>
          <w:rFonts w:hint="eastAsia"/>
          <w:sz w:val="30"/>
          <w:szCs w:val="30"/>
        </w:rPr>
      </w:pPr>
      <w:r>
        <w:rPr>
          <w:rFonts w:hint="eastAsia"/>
          <w:sz w:val="30"/>
          <w:szCs w:val="30"/>
        </w:rPr>
        <w:t>3.预表性的</w:t>
      </w:r>
    </w:p>
    <w:p w14:paraId="12C57E95">
      <w:pPr>
        <w:pStyle w:val="9"/>
        <w:spacing w:before="11"/>
        <w:ind w:left="0"/>
        <w:jc w:val="left"/>
        <w:rPr>
          <w:rFonts w:hint="eastAsia"/>
          <w:sz w:val="30"/>
          <w:szCs w:val="30"/>
        </w:rPr>
      </w:pPr>
    </w:p>
    <w:p w14:paraId="389EAA23">
      <w:pPr>
        <w:pStyle w:val="9"/>
        <w:spacing w:before="11"/>
        <w:ind w:left="0"/>
        <w:jc w:val="left"/>
        <w:rPr>
          <w:rFonts w:hint="eastAsia"/>
          <w:sz w:val="30"/>
          <w:szCs w:val="30"/>
        </w:rPr>
      </w:pPr>
      <w:r>
        <w:rPr>
          <w:rFonts w:hint="eastAsia"/>
          <w:sz w:val="30"/>
          <w:szCs w:val="30"/>
        </w:rPr>
        <w:t>The apostles read the OT typologically.</w:t>
      </w:r>
    </w:p>
    <w:p w14:paraId="7F674B79">
      <w:pPr>
        <w:pStyle w:val="9"/>
        <w:spacing w:before="11"/>
        <w:ind w:left="0"/>
        <w:jc w:val="left"/>
        <w:rPr>
          <w:rFonts w:hint="eastAsia"/>
          <w:sz w:val="30"/>
          <w:szCs w:val="30"/>
        </w:rPr>
      </w:pPr>
      <w:r>
        <w:rPr>
          <w:rFonts w:hint="eastAsia"/>
          <w:sz w:val="30"/>
          <w:szCs w:val="30"/>
        </w:rPr>
        <w:t>使徒们以预表的方式阅读旧约。</w:t>
      </w:r>
    </w:p>
    <w:p w14:paraId="24F7718C">
      <w:pPr>
        <w:pStyle w:val="9"/>
        <w:spacing w:before="11"/>
        <w:ind w:left="0"/>
        <w:jc w:val="left"/>
        <w:rPr>
          <w:rFonts w:hint="eastAsia"/>
          <w:sz w:val="30"/>
          <w:szCs w:val="30"/>
        </w:rPr>
      </w:pPr>
    </w:p>
    <w:p w14:paraId="423573E2">
      <w:pPr>
        <w:pStyle w:val="9"/>
        <w:spacing w:before="11"/>
        <w:ind w:left="0"/>
        <w:jc w:val="left"/>
        <w:rPr>
          <w:rFonts w:hint="eastAsia"/>
          <w:sz w:val="30"/>
          <w:szCs w:val="30"/>
        </w:rPr>
      </w:pPr>
      <w:r>
        <w:rPr>
          <w:rFonts w:hint="eastAsia"/>
          <w:sz w:val="30"/>
          <w:szCs w:val="30"/>
        </w:rPr>
        <w:t>Because this mode of seeing involves so many others (see below), it is, in some ways, the most important.</w:t>
      </w:r>
    </w:p>
    <w:p w14:paraId="5FFC4154">
      <w:pPr>
        <w:pStyle w:val="9"/>
        <w:spacing w:before="11"/>
        <w:ind w:left="0"/>
        <w:jc w:val="left"/>
        <w:rPr>
          <w:rFonts w:hint="eastAsia"/>
          <w:sz w:val="30"/>
          <w:szCs w:val="30"/>
        </w:rPr>
      </w:pPr>
      <w:r>
        <w:rPr>
          <w:rFonts w:hint="eastAsia"/>
          <w:sz w:val="30"/>
          <w:szCs w:val="30"/>
        </w:rPr>
        <w:t>因为这种看见的模式涉及许多其他模式（见下文），所以在某些方面，它是最重要的。</w:t>
      </w:r>
    </w:p>
    <w:p w14:paraId="5DDC37A0">
      <w:pPr>
        <w:pStyle w:val="9"/>
        <w:spacing w:before="11"/>
        <w:ind w:left="0"/>
        <w:jc w:val="left"/>
        <w:rPr>
          <w:rFonts w:hint="eastAsia"/>
          <w:sz w:val="30"/>
          <w:szCs w:val="30"/>
        </w:rPr>
      </w:pPr>
    </w:p>
    <w:p w14:paraId="01887478">
      <w:pPr>
        <w:pStyle w:val="9"/>
        <w:spacing w:before="11"/>
        <w:ind w:left="0"/>
        <w:jc w:val="left"/>
        <w:rPr>
          <w:rFonts w:hint="eastAsia"/>
          <w:sz w:val="30"/>
          <w:szCs w:val="30"/>
        </w:rPr>
      </w:pPr>
      <w:r>
        <w:rPr>
          <w:rFonts w:hint="eastAsia"/>
          <w:sz w:val="30"/>
          <w:szCs w:val="30"/>
        </w:rPr>
        <w:t>The main idea here is that in all four OT administrations of the Eternal Covenant—and indeed in the very warp and woof of all OT history —God was pleased to reveal the things of Christ in a veiled manner.</w:t>
      </w:r>
    </w:p>
    <w:p w14:paraId="313AA123">
      <w:pPr>
        <w:pStyle w:val="9"/>
        <w:spacing w:before="11"/>
        <w:ind w:left="0"/>
        <w:jc w:val="left"/>
        <w:rPr>
          <w:rFonts w:hint="eastAsia"/>
          <w:sz w:val="30"/>
          <w:szCs w:val="30"/>
        </w:rPr>
      </w:pPr>
      <w:r>
        <w:rPr>
          <w:rFonts w:hint="eastAsia"/>
          <w:sz w:val="30"/>
          <w:szCs w:val="30"/>
        </w:rPr>
        <w:t>这里的主要观念是，在永恒之约的所有四个旧约施行中——实际上在整个旧约历史的经纬中——上帝乐意以一种隐藏的方式来启示基督的事。</w:t>
      </w:r>
    </w:p>
    <w:p w14:paraId="0AC1151D">
      <w:pPr>
        <w:pStyle w:val="9"/>
        <w:spacing w:before="11"/>
        <w:ind w:left="0"/>
        <w:jc w:val="left"/>
        <w:rPr>
          <w:rFonts w:hint="eastAsia"/>
          <w:sz w:val="30"/>
          <w:szCs w:val="30"/>
        </w:rPr>
      </w:pPr>
    </w:p>
    <w:p w14:paraId="4CACDC00">
      <w:pPr>
        <w:pStyle w:val="9"/>
        <w:spacing w:before="11"/>
        <w:ind w:left="0"/>
        <w:jc w:val="left"/>
        <w:rPr>
          <w:rFonts w:hint="eastAsia"/>
          <w:sz w:val="30"/>
          <w:szCs w:val="30"/>
        </w:rPr>
      </w:pPr>
      <w:r>
        <w:rPr>
          <w:rFonts w:hint="eastAsia"/>
          <w:sz w:val="30"/>
          <w:szCs w:val="30"/>
        </w:rPr>
        <w:t>In particular, he revealed them by means of types.</w:t>
      </w:r>
    </w:p>
    <w:p w14:paraId="1D8FCB36">
      <w:pPr>
        <w:pStyle w:val="9"/>
        <w:spacing w:before="11"/>
        <w:ind w:left="0"/>
        <w:jc w:val="left"/>
        <w:rPr>
          <w:rFonts w:hint="eastAsia"/>
          <w:sz w:val="30"/>
          <w:szCs w:val="30"/>
        </w:rPr>
      </w:pPr>
      <w:r>
        <w:rPr>
          <w:rFonts w:hint="eastAsia"/>
          <w:sz w:val="30"/>
          <w:szCs w:val="30"/>
        </w:rPr>
        <w:t>特别是，祂通过预表来启示它们。</w:t>
      </w:r>
    </w:p>
    <w:p w14:paraId="577A58C3">
      <w:pPr>
        <w:pStyle w:val="9"/>
        <w:spacing w:before="11"/>
        <w:ind w:left="0"/>
        <w:jc w:val="left"/>
        <w:rPr>
          <w:rFonts w:hint="eastAsia"/>
          <w:sz w:val="30"/>
          <w:szCs w:val="30"/>
        </w:rPr>
      </w:pPr>
    </w:p>
    <w:p w14:paraId="3021EECE">
      <w:pPr>
        <w:pStyle w:val="9"/>
        <w:spacing w:before="11"/>
        <w:ind w:left="0"/>
        <w:jc w:val="left"/>
        <w:rPr>
          <w:rFonts w:hint="eastAsia"/>
          <w:sz w:val="30"/>
          <w:szCs w:val="30"/>
        </w:rPr>
      </w:pPr>
      <w:r>
        <w:rPr>
          <w:rFonts w:hint="eastAsia"/>
          <w:sz w:val="30"/>
          <w:szCs w:val="30"/>
        </w:rPr>
        <w:t>Again, we have defined types as OT persons, places, things, events, or institutions that “mysteriously” and symbolically point ahead to the several elements of the Eternal Covenant.</w:t>
      </w:r>
    </w:p>
    <w:p w14:paraId="0BAAD6E8">
      <w:pPr>
        <w:pStyle w:val="9"/>
        <w:spacing w:before="11"/>
        <w:ind w:left="0"/>
        <w:jc w:val="left"/>
        <w:rPr>
          <w:rFonts w:hint="eastAsia"/>
          <w:sz w:val="30"/>
          <w:szCs w:val="30"/>
        </w:rPr>
      </w:pPr>
      <w:r>
        <w:rPr>
          <w:rFonts w:hint="eastAsia"/>
          <w:sz w:val="30"/>
          <w:szCs w:val="30"/>
        </w:rPr>
        <w:t>再次，我们将预表定义为旧约中的人物、地方、事物、事件或制度，它们“奥秘地”并象征性地指向永恒之约的几个要素。</w:t>
      </w:r>
    </w:p>
    <w:p w14:paraId="7CD83141">
      <w:pPr>
        <w:pStyle w:val="9"/>
        <w:spacing w:before="11"/>
        <w:ind w:left="0"/>
        <w:jc w:val="left"/>
        <w:rPr>
          <w:rFonts w:hint="eastAsia"/>
          <w:sz w:val="30"/>
          <w:szCs w:val="30"/>
        </w:rPr>
      </w:pPr>
    </w:p>
    <w:p w14:paraId="42FAA0B6">
      <w:pPr>
        <w:pStyle w:val="9"/>
        <w:spacing w:before="11"/>
        <w:ind w:left="0"/>
        <w:jc w:val="left"/>
        <w:rPr>
          <w:rFonts w:hint="eastAsia"/>
          <w:sz w:val="30"/>
          <w:szCs w:val="30"/>
        </w:rPr>
      </w:pPr>
      <w:r>
        <w:rPr>
          <w:rFonts w:hint="eastAsia"/>
          <w:sz w:val="30"/>
          <w:szCs w:val="30"/>
        </w:rPr>
        <w:t>The more we read the OT, the more we see them.</w:t>
      </w:r>
    </w:p>
    <w:p w14:paraId="04CE9777">
      <w:pPr>
        <w:pStyle w:val="9"/>
        <w:spacing w:before="11"/>
        <w:ind w:left="0"/>
        <w:jc w:val="left"/>
        <w:rPr>
          <w:rFonts w:hint="eastAsia"/>
          <w:sz w:val="30"/>
          <w:szCs w:val="30"/>
        </w:rPr>
      </w:pPr>
      <w:r>
        <w:rPr>
          <w:rFonts w:hint="eastAsia"/>
          <w:sz w:val="30"/>
          <w:szCs w:val="30"/>
        </w:rPr>
        <w:t>我们越读旧约，就越能看到它们。</w:t>
      </w:r>
    </w:p>
    <w:p w14:paraId="5359DA84">
      <w:pPr>
        <w:pStyle w:val="9"/>
        <w:spacing w:before="11"/>
        <w:ind w:left="0"/>
        <w:jc w:val="left"/>
        <w:rPr>
          <w:rFonts w:hint="eastAsia"/>
          <w:sz w:val="30"/>
          <w:szCs w:val="30"/>
        </w:rPr>
      </w:pPr>
    </w:p>
    <w:p w14:paraId="0AC45FDA">
      <w:pPr>
        <w:pStyle w:val="9"/>
        <w:spacing w:before="11"/>
        <w:ind w:left="0"/>
        <w:jc w:val="left"/>
        <w:rPr>
          <w:rFonts w:hint="eastAsia"/>
          <w:sz w:val="30"/>
          <w:szCs w:val="30"/>
        </w:rPr>
      </w:pPr>
      <w:r>
        <w:rPr>
          <w:rFonts w:hint="eastAsia"/>
          <w:sz w:val="30"/>
          <w:szCs w:val="30"/>
        </w:rPr>
        <w:t>Indeed, Christ himself explicitly told us that the entire OT is typological: its history, law, poetry, proverb, and prophecy (Mt. 5:17-18, Luke 24:25-27, John 5:39- 46).</w:t>
      </w:r>
    </w:p>
    <w:p w14:paraId="72D12929">
      <w:pPr>
        <w:pStyle w:val="9"/>
        <w:spacing w:before="11"/>
        <w:ind w:left="0"/>
        <w:jc w:val="left"/>
        <w:rPr>
          <w:rFonts w:hint="eastAsia"/>
          <w:sz w:val="30"/>
          <w:szCs w:val="30"/>
        </w:rPr>
      </w:pPr>
      <w:r>
        <w:rPr>
          <w:rFonts w:hint="eastAsia"/>
          <w:sz w:val="30"/>
          <w:szCs w:val="30"/>
        </w:rPr>
        <w:t>的确，基督自己明确告诉我们，整个旧约都是预表性的：其历史、律法、诗歌、箴言和预言（马太福音 5:17-18, 路加福音 24:25-27, 约翰福音 5:39-46）。</w:t>
      </w:r>
    </w:p>
    <w:p w14:paraId="12962F53">
      <w:pPr>
        <w:pStyle w:val="9"/>
        <w:spacing w:before="11"/>
        <w:ind w:left="0"/>
        <w:jc w:val="left"/>
        <w:rPr>
          <w:rFonts w:hint="eastAsia"/>
          <w:sz w:val="30"/>
          <w:szCs w:val="30"/>
        </w:rPr>
      </w:pPr>
    </w:p>
    <w:p w14:paraId="2EBB3738">
      <w:pPr>
        <w:pStyle w:val="9"/>
        <w:spacing w:before="11"/>
        <w:ind w:left="0"/>
        <w:jc w:val="left"/>
        <w:rPr>
          <w:rFonts w:hint="eastAsia"/>
          <w:sz w:val="30"/>
          <w:szCs w:val="30"/>
        </w:rPr>
      </w:pPr>
      <w:r>
        <w:rPr>
          <w:rFonts w:hint="eastAsia"/>
          <w:sz w:val="30"/>
          <w:szCs w:val="30"/>
        </w:rPr>
        <w:t>He viewed it as a vast network of highly symbolic pictures; pictures by which God was pleased to supply a veiled revelation of his eternal plan of salvation, even as he also created a biblical “language of Zion” whose manifold imagery would henceforth serve as a vehicle for the poetic expression of his lofty redemptive truths (Psalm 78:2, Mt. 5:17-18, Luke 24:25-27, John 5:39-46).</w:t>
      </w:r>
    </w:p>
    <w:p w14:paraId="5779DE70">
      <w:pPr>
        <w:pStyle w:val="9"/>
        <w:spacing w:before="11"/>
        <w:ind w:left="0"/>
        <w:jc w:val="left"/>
        <w:rPr>
          <w:rFonts w:hint="eastAsia"/>
          <w:sz w:val="30"/>
          <w:szCs w:val="30"/>
        </w:rPr>
      </w:pPr>
      <w:r>
        <w:rPr>
          <w:rFonts w:hint="eastAsia"/>
          <w:sz w:val="30"/>
          <w:szCs w:val="30"/>
        </w:rPr>
        <w:t>祂将其视为一个由高度象征性图画组成的庞大网络；上帝乐意通过这些图画，提供一个关于祂永恒救赎计划的隐藏启示，同时祂也创造了一种圣经的“锡安语言”，其丰富的意象从此将作为祂崇高救赎真理的诗意表达载体（诗篇 78:2, 马太福音 5:17-18, 路加福音 24:25-27, 约翰福音 5:39-46）。</w:t>
      </w:r>
    </w:p>
    <w:p w14:paraId="4957503B">
      <w:pPr>
        <w:pStyle w:val="9"/>
        <w:spacing w:before="11"/>
        <w:ind w:left="0"/>
        <w:jc w:val="left"/>
        <w:rPr>
          <w:rFonts w:hint="eastAsia"/>
          <w:sz w:val="30"/>
          <w:szCs w:val="30"/>
        </w:rPr>
      </w:pPr>
    </w:p>
    <w:p w14:paraId="73981AE7">
      <w:pPr>
        <w:pStyle w:val="9"/>
        <w:spacing w:before="11"/>
        <w:ind w:left="0"/>
        <w:jc w:val="left"/>
        <w:rPr>
          <w:rFonts w:hint="eastAsia"/>
          <w:sz w:val="30"/>
          <w:szCs w:val="30"/>
        </w:rPr>
      </w:pPr>
      <w:r>
        <w:rPr>
          <w:rFonts w:hint="eastAsia"/>
          <w:sz w:val="30"/>
          <w:szCs w:val="30"/>
        </w:rPr>
        <w:t>Later we shall see how important this is for the proper interpretation of the Revelation.</w:t>
      </w:r>
    </w:p>
    <w:p w14:paraId="47BD5F04">
      <w:pPr>
        <w:pStyle w:val="9"/>
        <w:spacing w:before="11"/>
        <w:ind w:left="0"/>
        <w:jc w:val="left"/>
        <w:rPr>
          <w:rFonts w:hint="eastAsia"/>
          <w:sz w:val="30"/>
          <w:szCs w:val="30"/>
        </w:rPr>
      </w:pPr>
      <w:r>
        <w:rPr>
          <w:rFonts w:hint="eastAsia"/>
          <w:sz w:val="30"/>
          <w:szCs w:val="30"/>
        </w:rPr>
        <w:t>稍后我们将看到这对于正确解释启示录是何等重要。</w:t>
      </w:r>
    </w:p>
    <w:p w14:paraId="6BD4F7CA">
      <w:pPr>
        <w:pStyle w:val="9"/>
        <w:spacing w:before="11"/>
        <w:ind w:left="0"/>
        <w:jc w:val="left"/>
        <w:rPr>
          <w:rFonts w:hint="eastAsia"/>
          <w:sz w:val="30"/>
          <w:szCs w:val="30"/>
        </w:rPr>
      </w:pPr>
    </w:p>
    <w:p w14:paraId="0F19DA16">
      <w:pPr>
        <w:pStyle w:val="9"/>
        <w:spacing w:before="11"/>
        <w:ind w:left="0"/>
        <w:jc w:val="left"/>
        <w:rPr>
          <w:rFonts w:hint="eastAsia"/>
          <w:sz w:val="30"/>
          <w:szCs w:val="30"/>
        </w:rPr>
      </w:pPr>
      <w:r>
        <w:rPr>
          <w:rFonts w:hint="eastAsia"/>
          <w:sz w:val="30"/>
          <w:szCs w:val="30"/>
        </w:rPr>
        <w:t>Both by way of precept and example the apostles taught us to interpret the OT typologically.</w:t>
      </w:r>
    </w:p>
    <w:p w14:paraId="37B6F78F">
      <w:pPr>
        <w:pStyle w:val="9"/>
        <w:spacing w:before="11"/>
        <w:ind w:left="0"/>
        <w:jc w:val="left"/>
        <w:rPr>
          <w:rFonts w:hint="eastAsia"/>
          <w:sz w:val="30"/>
          <w:szCs w:val="30"/>
        </w:rPr>
      </w:pPr>
      <w:r>
        <w:rPr>
          <w:rFonts w:hint="eastAsia"/>
          <w:sz w:val="30"/>
          <w:szCs w:val="30"/>
        </w:rPr>
        <w:t>使徒们通过教训和榜样都教导我们以预表的方式解释旧约。</w:t>
      </w:r>
    </w:p>
    <w:p w14:paraId="10EA8136">
      <w:pPr>
        <w:pStyle w:val="9"/>
        <w:spacing w:before="11"/>
        <w:ind w:left="0"/>
        <w:jc w:val="left"/>
        <w:rPr>
          <w:rFonts w:hint="eastAsia"/>
          <w:sz w:val="30"/>
          <w:szCs w:val="30"/>
        </w:rPr>
      </w:pPr>
    </w:p>
    <w:p w14:paraId="75B7B77F">
      <w:pPr>
        <w:pStyle w:val="9"/>
        <w:spacing w:before="11"/>
        <w:ind w:left="0"/>
        <w:jc w:val="left"/>
        <w:rPr>
          <w:rFonts w:hint="eastAsia"/>
          <w:sz w:val="30"/>
          <w:szCs w:val="30"/>
        </w:rPr>
      </w:pPr>
      <w:r>
        <w:rPr>
          <w:rFonts w:hint="eastAsia"/>
          <w:sz w:val="30"/>
          <w:szCs w:val="30"/>
        </w:rPr>
        <w:t>Concerning the way of precept, many NT passages come to mind.</w:t>
      </w:r>
    </w:p>
    <w:p w14:paraId="4988F792">
      <w:pPr>
        <w:pStyle w:val="9"/>
        <w:spacing w:before="11"/>
        <w:ind w:left="0"/>
        <w:jc w:val="left"/>
        <w:rPr>
          <w:rFonts w:hint="eastAsia"/>
          <w:sz w:val="30"/>
          <w:szCs w:val="30"/>
        </w:rPr>
      </w:pPr>
      <w:r>
        <w:rPr>
          <w:rFonts w:hint="eastAsia"/>
          <w:sz w:val="30"/>
          <w:szCs w:val="30"/>
        </w:rPr>
        <w:t>关于教训的方式，许多新约经文浮现在脑海。</w:t>
      </w:r>
    </w:p>
    <w:p w14:paraId="4F33226A">
      <w:pPr>
        <w:pStyle w:val="9"/>
        <w:spacing w:before="11"/>
        <w:ind w:left="0"/>
        <w:jc w:val="left"/>
        <w:rPr>
          <w:rFonts w:hint="eastAsia"/>
          <w:sz w:val="30"/>
          <w:szCs w:val="30"/>
        </w:rPr>
      </w:pPr>
    </w:p>
    <w:p w14:paraId="68A8B8DE">
      <w:pPr>
        <w:pStyle w:val="9"/>
        <w:spacing w:before="11"/>
        <w:ind w:left="0"/>
        <w:jc w:val="left"/>
        <w:rPr>
          <w:rFonts w:hint="eastAsia"/>
          <w:sz w:val="30"/>
          <w:szCs w:val="30"/>
        </w:rPr>
      </w:pPr>
      <w:r>
        <w:rPr>
          <w:rFonts w:hint="eastAsia"/>
          <w:sz w:val="30"/>
          <w:szCs w:val="30"/>
        </w:rPr>
        <w:t>One of the most important is 1 Cor. 15:46.</w:t>
      </w:r>
    </w:p>
    <w:p w14:paraId="1F37BA3F">
      <w:pPr>
        <w:pStyle w:val="9"/>
        <w:spacing w:before="11"/>
        <w:ind w:left="0"/>
        <w:jc w:val="left"/>
        <w:rPr>
          <w:rFonts w:hint="eastAsia"/>
          <w:sz w:val="30"/>
          <w:szCs w:val="30"/>
        </w:rPr>
      </w:pPr>
      <w:r>
        <w:rPr>
          <w:rFonts w:hint="eastAsia"/>
          <w:sz w:val="30"/>
          <w:szCs w:val="30"/>
        </w:rPr>
        <w:t>其中最重要的一处是哥林多前书 15:46。</w:t>
      </w:r>
    </w:p>
    <w:p w14:paraId="12A42048">
      <w:pPr>
        <w:pStyle w:val="9"/>
        <w:spacing w:before="11"/>
        <w:ind w:left="0"/>
        <w:jc w:val="left"/>
        <w:rPr>
          <w:rFonts w:hint="eastAsia"/>
          <w:sz w:val="30"/>
          <w:szCs w:val="30"/>
        </w:rPr>
      </w:pPr>
    </w:p>
    <w:p w14:paraId="31F96CCF">
      <w:pPr>
        <w:pStyle w:val="9"/>
        <w:spacing w:before="11"/>
        <w:ind w:left="0"/>
        <w:jc w:val="left"/>
        <w:rPr>
          <w:rFonts w:hint="eastAsia"/>
          <w:sz w:val="30"/>
          <w:szCs w:val="30"/>
        </w:rPr>
      </w:pPr>
      <w:r>
        <w:rPr>
          <w:rFonts w:hint="eastAsia"/>
          <w:sz w:val="30"/>
          <w:szCs w:val="30"/>
        </w:rPr>
        <w:t>Comparing and contrasting the First and Last Adams, Paul declares, “The spiritual is not first, but the natural; then comes the spiritual” (1 Cor. 15:46).</w:t>
      </w:r>
    </w:p>
    <w:p w14:paraId="4047EB11">
      <w:pPr>
        <w:pStyle w:val="9"/>
        <w:spacing w:before="11"/>
        <w:ind w:left="0"/>
        <w:jc w:val="left"/>
        <w:rPr>
          <w:rFonts w:hint="eastAsia"/>
          <w:sz w:val="30"/>
          <w:szCs w:val="30"/>
        </w:rPr>
      </w:pPr>
      <w:r>
        <w:rPr>
          <w:rFonts w:hint="eastAsia"/>
          <w:sz w:val="30"/>
          <w:szCs w:val="30"/>
        </w:rPr>
        <w:t>保罗在比较和对比第一个和末后的亚当时宣告：“属灵的不在先，属血气的在先；以后才有属灵的”（哥林多前书 15:46）。</w:t>
      </w:r>
    </w:p>
    <w:p w14:paraId="74EF63DB">
      <w:pPr>
        <w:pStyle w:val="9"/>
        <w:spacing w:before="11"/>
        <w:ind w:left="0"/>
        <w:jc w:val="left"/>
        <w:rPr>
          <w:rFonts w:hint="eastAsia"/>
          <w:sz w:val="30"/>
          <w:szCs w:val="30"/>
        </w:rPr>
      </w:pPr>
    </w:p>
    <w:p w14:paraId="2ABC59B1">
      <w:pPr>
        <w:pStyle w:val="9"/>
        <w:spacing w:before="11"/>
        <w:ind w:left="0"/>
        <w:jc w:val="left"/>
        <w:rPr>
          <w:rFonts w:hint="eastAsia"/>
          <w:sz w:val="30"/>
          <w:szCs w:val="30"/>
        </w:rPr>
      </w:pPr>
      <w:r>
        <w:rPr>
          <w:rFonts w:hint="eastAsia"/>
          <w:sz w:val="30"/>
          <w:szCs w:val="30"/>
        </w:rPr>
        <w:t>Lying at the base of this rather cryptic text is the principle of progressive revelation.</w:t>
      </w:r>
    </w:p>
    <w:p w14:paraId="543FD839">
      <w:pPr>
        <w:pStyle w:val="9"/>
        <w:spacing w:before="11"/>
        <w:ind w:left="0"/>
        <w:jc w:val="left"/>
        <w:rPr>
          <w:rFonts w:hint="eastAsia"/>
          <w:sz w:val="30"/>
          <w:szCs w:val="30"/>
        </w:rPr>
      </w:pPr>
      <w:r>
        <w:rPr>
          <w:rFonts w:hint="eastAsia"/>
          <w:sz w:val="30"/>
          <w:szCs w:val="30"/>
        </w:rPr>
        <w:t>这段相当奥秘的经文的基础是渐进启示的原则。</w:t>
      </w:r>
    </w:p>
    <w:p w14:paraId="6600B4F6">
      <w:pPr>
        <w:pStyle w:val="9"/>
        <w:spacing w:before="11"/>
        <w:ind w:left="0"/>
        <w:jc w:val="left"/>
        <w:rPr>
          <w:rFonts w:hint="eastAsia"/>
          <w:sz w:val="30"/>
          <w:szCs w:val="30"/>
        </w:rPr>
      </w:pPr>
    </w:p>
    <w:p w14:paraId="5FA444C4">
      <w:pPr>
        <w:pStyle w:val="9"/>
        <w:spacing w:before="11"/>
        <w:ind w:left="0"/>
        <w:jc w:val="left"/>
        <w:rPr>
          <w:rFonts w:hint="eastAsia"/>
          <w:sz w:val="30"/>
          <w:szCs w:val="30"/>
        </w:rPr>
      </w:pPr>
      <w:r>
        <w:rPr>
          <w:rFonts w:hint="eastAsia"/>
          <w:sz w:val="30"/>
          <w:szCs w:val="30"/>
        </w:rPr>
        <w:t>Paul is saying that in OT times “natural” things pointed to, and paved the way for, “spiritual” things.</w:t>
      </w:r>
    </w:p>
    <w:p w14:paraId="70E9A7B5">
      <w:pPr>
        <w:pStyle w:val="9"/>
        <w:spacing w:before="11"/>
        <w:ind w:left="0"/>
        <w:jc w:val="left"/>
        <w:rPr>
          <w:rFonts w:hint="eastAsia"/>
          <w:sz w:val="30"/>
          <w:szCs w:val="30"/>
        </w:rPr>
      </w:pPr>
      <w:r>
        <w:rPr>
          <w:rFonts w:hint="eastAsia"/>
          <w:sz w:val="30"/>
          <w:szCs w:val="30"/>
        </w:rPr>
        <w:t>保罗说的是，在旧约时代，“属血气的”事物指向并为“属灵的”事物铺平了道路。</w:t>
      </w:r>
    </w:p>
    <w:p w14:paraId="23A9B48D">
      <w:pPr>
        <w:pStyle w:val="9"/>
        <w:spacing w:before="11"/>
        <w:ind w:left="0"/>
        <w:jc w:val="left"/>
        <w:rPr>
          <w:rFonts w:hint="eastAsia"/>
          <w:sz w:val="30"/>
          <w:szCs w:val="30"/>
        </w:rPr>
      </w:pPr>
    </w:p>
    <w:p w14:paraId="51AFA1B5">
      <w:pPr>
        <w:pStyle w:val="9"/>
        <w:spacing w:before="11"/>
        <w:ind w:left="0"/>
        <w:jc w:val="left"/>
        <w:rPr>
          <w:rFonts w:hint="eastAsia"/>
          <w:sz w:val="30"/>
          <w:szCs w:val="30"/>
        </w:rPr>
      </w:pPr>
      <w:r>
        <w:rPr>
          <w:rFonts w:hint="eastAsia"/>
          <w:sz w:val="30"/>
          <w:szCs w:val="30"/>
        </w:rPr>
        <w:t>This was true of the first Adam, and it was true of many other things, as well.</w:t>
      </w:r>
    </w:p>
    <w:p w14:paraId="6330CC14">
      <w:pPr>
        <w:pStyle w:val="9"/>
        <w:spacing w:before="11"/>
        <w:ind w:left="0"/>
        <w:jc w:val="left"/>
        <w:rPr>
          <w:rFonts w:hint="eastAsia"/>
          <w:sz w:val="30"/>
          <w:szCs w:val="30"/>
        </w:rPr>
      </w:pPr>
      <w:r>
        <w:rPr>
          <w:rFonts w:hint="eastAsia"/>
          <w:sz w:val="30"/>
          <w:szCs w:val="30"/>
        </w:rPr>
        <w:t>这对于第一个亚当是真实的，对于许多其他事物也是如此。</w:t>
      </w:r>
    </w:p>
    <w:p w14:paraId="3FB290E3">
      <w:pPr>
        <w:pStyle w:val="9"/>
        <w:spacing w:before="11"/>
        <w:ind w:left="0"/>
        <w:jc w:val="left"/>
        <w:rPr>
          <w:rFonts w:hint="eastAsia"/>
          <w:sz w:val="30"/>
          <w:szCs w:val="30"/>
        </w:rPr>
      </w:pPr>
    </w:p>
    <w:p w14:paraId="76B1A3BB">
      <w:pPr>
        <w:pStyle w:val="9"/>
        <w:spacing w:before="11"/>
        <w:ind w:left="0"/>
        <w:jc w:val="left"/>
        <w:rPr>
          <w:rFonts w:hint="eastAsia"/>
          <w:sz w:val="30"/>
          <w:szCs w:val="30"/>
        </w:rPr>
      </w:pPr>
      <w:r>
        <w:rPr>
          <w:rFonts w:hint="eastAsia"/>
          <w:sz w:val="30"/>
          <w:szCs w:val="30"/>
        </w:rPr>
        <w:t>Indeed, the whole panoply of “natural” OT things pointed to, and paved the way for, the spiritual things of Christ and the Covenant.</w:t>
      </w:r>
    </w:p>
    <w:p w14:paraId="0533B014">
      <w:pPr>
        <w:pStyle w:val="9"/>
        <w:spacing w:before="11"/>
        <w:ind w:left="0"/>
        <w:jc w:val="left"/>
        <w:rPr>
          <w:rFonts w:hint="eastAsia"/>
          <w:sz w:val="30"/>
          <w:szCs w:val="30"/>
        </w:rPr>
      </w:pPr>
      <w:r>
        <w:rPr>
          <w:rFonts w:hint="eastAsia"/>
          <w:sz w:val="30"/>
          <w:szCs w:val="30"/>
        </w:rPr>
        <w:t>的确，整个旧约“属血气的”事物都指向并为基督和圣约的属灵事物铺平了道路。</w:t>
      </w:r>
    </w:p>
    <w:p w14:paraId="1F432DAD">
      <w:pPr>
        <w:pStyle w:val="9"/>
        <w:spacing w:before="11"/>
        <w:ind w:left="0"/>
        <w:jc w:val="left"/>
        <w:rPr>
          <w:rFonts w:hint="eastAsia"/>
          <w:sz w:val="30"/>
          <w:szCs w:val="30"/>
        </w:rPr>
      </w:pPr>
    </w:p>
    <w:p w14:paraId="5F9B57CD">
      <w:pPr>
        <w:pStyle w:val="9"/>
        <w:spacing w:before="11"/>
        <w:ind w:left="0"/>
        <w:jc w:val="left"/>
        <w:rPr>
          <w:rFonts w:hint="eastAsia"/>
          <w:sz w:val="30"/>
          <w:szCs w:val="30"/>
        </w:rPr>
      </w:pPr>
      <w:r>
        <w:rPr>
          <w:rFonts w:hint="eastAsia"/>
          <w:sz w:val="30"/>
          <w:szCs w:val="30"/>
        </w:rPr>
        <w:t>To understand the deep meaning of the natural things, we must therefore look at them through the lens of the spiritual.</w:t>
      </w:r>
    </w:p>
    <w:p w14:paraId="2EC1DCEF">
      <w:pPr>
        <w:pStyle w:val="9"/>
        <w:spacing w:before="11"/>
        <w:ind w:left="0"/>
        <w:jc w:val="left"/>
        <w:rPr>
          <w:rFonts w:hint="eastAsia"/>
          <w:sz w:val="30"/>
          <w:szCs w:val="30"/>
        </w:rPr>
      </w:pPr>
      <w:r>
        <w:rPr>
          <w:rFonts w:hint="eastAsia"/>
          <w:sz w:val="30"/>
          <w:szCs w:val="30"/>
        </w:rPr>
        <w:t>因此，要理解属血气事物深层的意义，我们必须透过属灵的透镜来看它们。</w:t>
      </w:r>
    </w:p>
    <w:p w14:paraId="2AF1320D">
      <w:pPr>
        <w:pStyle w:val="9"/>
        <w:spacing w:before="11"/>
        <w:ind w:left="0"/>
        <w:jc w:val="left"/>
        <w:rPr>
          <w:rFonts w:hint="eastAsia"/>
          <w:sz w:val="30"/>
          <w:szCs w:val="30"/>
        </w:rPr>
      </w:pPr>
    </w:p>
    <w:p w14:paraId="4B2F09D9">
      <w:pPr>
        <w:pStyle w:val="9"/>
        <w:spacing w:before="11"/>
        <w:ind w:left="0"/>
        <w:jc w:val="left"/>
        <w:rPr>
          <w:rFonts w:hint="eastAsia"/>
          <w:sz w:val="30"/>
          <w:szCs w:val="30"/>
        </w:rPr>
      </w:pPr>
      <w:r>
        <w:rPr>
          <w:rFonts w:hint="eastAsia"/>
          <w:sz w:val="30"/>
          <w:szCs w:val="30"/>
        </w:rPr>
        <w:t>We must interpret them typologically.</w:t>
      </w:r>
    </w:p>
    <w:p w14:paraId="7F2E2F9B">
      <w:pPr>
        <w:pStyle w:val="9"/>
        <w:spacing w:before="11"/>
        <w:ind w:left="0"/>
        <w:jc w:val="left"/>
        <w:rPr>
          <w:rFonts w:hint="eastAsia"/>
          <w:sz w:val="30"/>
          <w:szCs w:val="30"/>
        </w:rPr>
      </w:pPr>
      <w:r>
        <w:rPr>
          <w:rFonts w:hint="eastAsia"/>
          <w:sz w:val="30"/>
          <w:szCs w:val="30"/>
        </w:rPr>
        <w:t>我们必须以预表的方式解释它们。</w:t>
      </w:r>
    </w:p>
    <w:p w14:paraId="1329087C">
      <w:pPr>
        <w:pStyle w:val="9"/>
        <w:spacing w:before="11"/>
        <w:ind w:left="0"/>
        <w:jc w:val="left"/>
        <w:rPr>
          <w:rFonts w:hint="eastAsia"/>
          <w:sz w:val="30"/>
          <w:szCs w:val="30"/>
        </w:rPr>
      </w:pPr>
    </w:p>
    <w:p w14:paraId="4467DE2C">
      <w:pPr>
        <w:pStyle w:val="9"/>
        <w:spacing w:before="11"/>
        <w:ind w:left="0"/>
        <w:jc w:val="left"/>
        <w:rPr>
          <w:rFonts w:hint="eastAsia"/>
          <w:sz w:val="30"/>
          <w:szCs w:val="30"/>
        </w:rPr>
      </w:pPr>
      <w:r>
        <w:rPr>
          <w:rFonts w:hint="eastAsia"/>
          <w:sz w:val="30"/>
          <w:szCs w:val="30"/>
        </w:rPr>
        <w:t>Other NT texts that encourage typological interpretation include Colossians 2:17, where Paul asserts that such OT institutions as festivals, new moons, and Sabbaths were mere “shadows,” shadows cast by the true “substance” that is Christ and the Eternal Covenant.</w:t>
      </w:r>
    </w:p>
    <w:p w14:paraId="0B6AFE9E">
      <w:pPr>
        <w:pStyle w:val="9"/>
        <w:spacing w:before="11"/>
        <w:ind w:left="0"/>
        <w:jc w:val="left"/>
        <w:rPr>
          <w:rFonts w:hint="eastAsia"/>
          <w:sz w:val="30"/>
          <w:szCs w:val="30"/>
        </w:rPr>
      </w:pPr>
      <w:r>
        <w:rPr>
          <w:rFonts w:hint="eastAsia"/>
          <w:sz w:val="30"/>
          <w:szCs w:val="30"/>
        </w:rPr>
        <w:t>其他鼓励预表性解释的新约经文包括歌罗西书 2:17，保罗在那里断言，诸如节期、月朔和安息日等旧约制度仅仅是“影儿”，是由基督和永恒之约这个真正的“实体”所投下的影儿。</w:t>
      </w:r>
    </w:p>
    <w:p w14:paraId="27BC7DF0">
      <w:pPr>
        <w:pStyle w:val="9"/>
        <w:spacing w:before="11"/>
        <w:ind w:left="0"/>
        <w:jc w:val="left"/>
        <w:rPr>
          <w:rFonts w:hint="eastAsia"/>
          <w:sz w:val="30"/>
          <w:szCs w:val="30"/>
        </w:rPr>
      </w:pPr>
    </w:p>
    <w:p w14:paraId="699263EB">
      <w:pPr>
        <w:pStyle w:val="9"/>
        <w:spacing w:before="11"/>
        <w:ind w:left="0"/>
        <w:jc w:val="left"/>
        <w:rPr>
          <w:rFonts w:hint="eastAsia"/>
          <w:sz w:val="30"/>
          <w:szCs w:val="30"/>
        </w:rPr>
      </w:pPr>
      <w:r>
        <w:rPr>
          <w:rFonts w:hint="eastAsia"/>
          <w:sz w:val="30"/>
          <w:szCs w:val="30"/>
        </w:rPr>
        <w:t>The writer to the Hebrews agrees, declaring that the Law had only a shadow of the good things to come, and not the very form of the things themselves; that the elaborate physical service of worship instituted by Moses was but a pale reflection of lofty spiritual realities, realities long ago prepared “in the Mount” (of heaven), typologically conveyed to Moses, and now made manifest in Christ (Heb. 8:4-5, 9:11-12, 10:1).</w:t>
      </w:r>
    </w:p>
    <w:p w14:paraId="64B39B84">
      <w:pPr>
        <w:pStyle w:val="9"/>
        <w:spacing w:before="11"/>
        <w:ind w:left="0"/>
        <w:jc w:val="left"/>
        <w:rPr>
          <w:rFonts w:hint="eastAsia"/>
          <w:sz w:val="30"/>
          <w:szCs w:val="30"/>
        </w:rPr>
      </w:pPr>
      <w:r>
        <w:rPr>
          <w:rFonts w:hint="eastAsia"/>
          <w:sz w:val="30"/>
          <w:szCs w:val="30"/>
        </w:rPr>
        <w:t>希伯来书的作者同意，宣告律法只是将来美事的影儿，不是本物的真像；摩西所设立的繁复的物质敬拜礼仪，不过是崇高属灵现实的苍白反映，这些现实早已在“山上”（天上）预备好，以预表的方式传达给摩西，如今在基督里显明出来（希伯来书 8:4-5, 9:11-12, 10:1）。</w:t>
      </w:r>
    </w:p>
    <w:p w14:paraId="7857CF6A">
      <w:pPr>
        <w:pStyle w:val="9"/>
        <w:spacing w:before="11"/>
        <w:ind w:left="0"/>
        <w:jc w:val="left"/>
        <w:rPr>
          <w:rFonts w:hint="eastAsia"/>
          <w:sz w:val="30"/>
          <w:szCs w:val="30"/>
        </w:rPr>
      </w:pPr>
    </w:p>
    <w:p w14:paraId="3E638E69">
      <w:pPr>
        <w:pStyle w:val="9"/>
        <w:spacing w:before="11"/>
        <w:ind w:left="0"/>
        <w:jc w:val="left"/>
        <w:rPr>
          <w:rFonts w:hint="eastAsia"/>
          <w:sz w:val="30"/>
          <w:szCs w:val="30"/>
        </w:rPr>
      </w:pPr>
      <w:r>
        <w:rPr>
          <w:rFonts w:hint="eastAsia"/>
          <w:sz w:val="30"/>
          <w:szCs w:val="30"/>
        </w:rPr>
        <w:t>As for the apostle Peter, he has seen that the waters through which Noah and his family safely passed were typological; that they speak both of the eschatological judgment to come, and of a present baptism that saves a believer from it (1 Peter 3:18- 22, 2 Peter 3).</w:t>
      </w:r>
    </w:p>
    <w:p w14:paraId="262411E7">
      <w:pPr>
        <w:pStyle w:val="9"/>
        <w:spacing w:before="11"/>
        <w:ind w:left="0"/>
        <w:jc w:val="left"/>
        <w:rPr>
          <w:rFonts w:hint="eastAsia"/>
          <w:sz w:val="30"/>
          <w:szCs w:val="30"/>
        </w:rPr>
      </w:pPr>
      <w:r>
        <w:rPr>
          <w:rFonts w:hint="eastAsia"/>
          <w:sz w:val="30"/>
          <w:szCs w:val="30"/>
        </w:rPr>
        <w:t>至于使徒彼得，他已看到挪亚和他一家安全经过的水是预表性的；它们既讲述了将要来临的末世审判，也讲述了现今能拯救信徒脱离审判的洗礼（彼得前书 3:18-22, 彼得后书 3章）。</w:t>
      </w:r>
    </w:p>
    <w:p w14:paraId="1AF7F7D6">
      <w:pPr>
        <w:pStyle w:val="9"/>
        <w:spacing w:before="11"/>
        <w:ind w:left="0"/>
        <w:jc w:val="left"/>
        <w:rPr>
          <w:rFonts w:hint="eastAsia"/>
          <w:sz w:val="30"/>
          <w:szCs w:val="30"/>
        </w:rPr>
      </w:pPr>
    </w:p>
    <w:p w14:paraId="32773CBC">
      <w:pPr>
        <w:pStyle w:val="9"/>
        <w:spacing w:before="11"/>
        <w:ind w:left="0"/>
        <w:jc w:val="left"/>
        <w:rPr>
          <w:rFonts w:hint="eastAsia"/>
          <w:sz w:val="30"/>
          <w:szCs w:val="30"/>
        </w:rPr>
      </w:pPr>
      <w:r>
        <w:rPr>
          <w:rFonts w:hint="eastAsia"/>
          <w:sz w:val="30"/>
          <w:szCs w:val="30"/>
        </w:rPr>
        <w:t>We find, then, that all the apostles read the OT typologically.</w:t>
      </w:r>
    </w:p>
    <w:p w14:paraId="7E2A63C1">
      <w:pPr>
        <w:pStyle w:val="9"/>
        <w:spacing w:before="11"/>
        <w:ind w:left="0"/>
        <w:jc w:val="left"/>
        <w:rPr>
          <w:rFonts w:hint="eastAsia"/>
          <w:sz w:val="30"/>
          <w:szCs w:val="30"/>
        </w:rPr>
      </w:pPr>
      <w:r>
        <w:rPr>
          <w:rFonts w:hint="eastAsia"/>
          <w:sz w:val="30"/>
          <w:szCs w:val="30"/>
        </w:rPr>
        <w:t>因此，我们发现所有使徒都以预表的方式阅读旧约。</w:t>
      </w:r>
    </w:p>
    <w:p w14:paraId="45669664">
      <w:pPr>
        <w:pStyle w:val="9"/>
        <w:spacing w:before="11"/>
        <w:ind w:left="0"/>
        <w:jc w:val="left"/>
        <w:rPr>
          <w:rFonts w:hint="eastAsia"/>
          <w:sz w:val="30"/>
          <w:szCs w:val="30"/>
        </w:rPr>
      </w:pPr>
    </w:p>
    <w:p w14:paraId="140CC3C1">
      <w:pPr>
        <w:pStyle w:val="9"/>
        <w:spacing w:before="11"/>
        <w:ind w:left="0"/>
        <w:jc w:val="left"/>
        <w:rPr>
          <w:rFonts w:hint="eastAsia"/>
          <w:sz w:val="30"/>
          <w:szCs w:val="30"/>
        </w:rPr>
      </w:pPr>
      <w:r>
        <w:rPr>
          <w:rFonts w:hint="eastAsia"/>
          <w:sz w:val="30"/>
          <w:szCs w:val="30"/>
        </w:rPr>
        <w:t>They recognized that in OT times God used various historical types and shadows to speak of “the good things to come,” the things of Christ; and they urge us to recognize it as well (Heb. 9:11, 10:1).</w:t>
      </w:r>
    </w:p>
    <w:p w14:paraId="2BCE91AF">
      <w:pPr>
        <w:pStyle w:val="9"/>
        <w:spacing w:before="11"/>
        <w:ind w:left="0"/>
        <w:jc w:val="left"/>
        <w:rPr>
          <w:rFonts w:hint="eastAsia"/>
          <w:sz w:val="30"/>
          <w:szCs w:val="30"/>
        </w:rPr>
      </w:pPr>
      <w:r>
        <w:rPr>
          <w:rFonts w:hint="eastAsia"/>
          <w:sz w:val="30"/>
          <w:szCs w:val="30"/>
        </w:rPr>
        <w:t>他们认识到，在旧约时代，上帝使用各种历史的预表和影儿来讲述“将来的美事”，即基督的事；他们也敦促我们认识到这一点（希伯来书 9:11, 10:1）。</w:t>
      </w:r>
    </w:p>
    <w:p w14:paraId="3FAEEFE5">
      <w:pPr>
        <w:pStyle w:val="9"/>
        <w:spacing w:before="11"/>
        <w:ind w:left="0"/>
        <w:jc w:val="left"/>
        <w:rPr>
          <w:rFonts w:hint="eastAsia"/>
          <w:sz w:val="30"/>
          <w:szCs w:val="30"/>
        </w:rPr>
      </w:pPr>
    </w:p>
    <w:p w14:paraId="10EB23ED">
      <w:pPr>
        <w:pStyle w:val="9"/>
        <w:spacing w:before="11"/>
        <w:ind w:left="0"/>
        <w:jc w:val="left"/>
        <w:rPr>
          <w:rFonts w:hint="eastAsia"/>
          <w:sz w:val="30"/>
          <w:szCs w:val="30"/>
        </w:rPr>
      </w:pPr>
      <w:r>
        <w:rPr>
          <w:rFonts w:hint="eastAsia"/>
          <w:sz w:val="30"/>
          <w:szCs w:val="30"/>
        </w:rPr>
        <w:t>In order to get a feel for the extent of OT typology—and the extent of NT typological interpretation—let us now consider some specific examples.</w:t>
      </w:r>
    </w:p>
    <w:p w14:paraId="645DF16B">
      <w:pPr>
        <w:pStyle w:val="9"/>
        <w:spacing w:before="11"/>
        <w:ind w:left="0"/>
        <w:jc w:val="left"/>
        <w:rPr>
          <w:rFonts w:hint="eastAsia"/>
          <w:sz w:val="30"/>
          <w:szCs w:val="30"/>
        </w:rPr>
      </w:pPr>
      <w:r>
        <w:rPr>
          <w:rFonts w:hint="eastAsia"/>
          <w:sz w:val="30"/>
          <w:szCs w:val="30"/>
        </w:rPr>
        <w:t>为了感受旧约预表学的广度——以及新约预表性解释的广度——让我们现在考虑一些具体的例子。</w:t>
      </w:r>
    </w:p>
    <w:p w14:paraId="3724EBBD">
      <w:pPr>
        <w:pStyle w:val="9"/>
        <w:spacing w:before="11"/>
        <w:ind w:left="0"/>
        <w:jc w:val="left"/>
        <w:rPr>
          <w:rFonts w:hint="eastAsia"/>
          <w:sz w:val="30"/>
          <w:szCs w:val="30"/>
        </w:rPr>
      </w:pPr>
    </w:p>
    <w:p w14:paraId="14A297F2">
      <w:pPr>
        <w:pStyle w:val="9"/>
        <w:spacing w:before="11"/>
        <w:ind w:left="0"/>
        <w:jc w:val="left"/>
        <w:rPr>
          <w:rFonts w:hint="eastAsia"/>
          <w:sz w:val="30"/>
          <w:szCs w:val="30"/>
        </w:rPr>
      </w:pPr>
      <w:r>
        <w:rPr>
          <w:rFonts w:hint="eastAsia"/>
          <w:sz w:val="30"/>
          <w:szCs w:val="30"/>
        </w:rPr>
        <w:t>After the risen Christ ascended to heaven, he poured out the Spirit and opened the apostles’ minds, so that they might fully understand the OT Scriptures (Luke 24:45).</w:t>
      </w:r>
    </w:p>
    <w:p w14:paraId="43A68DBA">
      <w:pPr>
        <w:pStyle w:val="9"/>
        <w:spacing w:before="11"/>
        <w:ind w:left="0"/>
        <w:jc w:val="left"/>
        <w:rPr>
          <w:rFonts w:hint="eastAsia"/>
          <w:sz w:val="30"/>
          <w:szCs w:val="30"/>
        </w:rPr>
      </w:pPr>
      <w:r>
        <w:rPr>
          <w:rFonts w:hint="eastAsia"/>
          <w:sz w:val="30"/>
          <w:szCs w:val="30"/>
        </w:rPr>
        <w:t>复活的基督升天后，祂浇灌下圣灵，开启了使徒们的心窍，使他们能完全明白旧约圣经（路加福音 24:45）。</w:t>
      </w:r>
    </w:p>
    <w:p w14:paraId="7ED045E6">
      <w:pPr>
        <w:pStyle w:val="9"/>
        <w:spacing w:before="11"/>
        <w:ind w:left="0"/>
        <w:jc w:val="left"/>
        <w:rPr>
          <w:rFonts w:hint="eastAsia"/>
          <w:sz w:val="30"/>
          <w:szCs w:val="30"/>
        </w:rPr>
      </w:pPr>
    </w:p>
    <w:p w14:paraId="6B539B78">
      <w:pPr>
        <w:pStyle w:val="9"/>
        <w:spacing w:before="11"/>
        <w:ind w:left="0"/>
        <w:jc w:val="left"/>
        <w:rPr>
          <w:rFonts w:hint="eastAsia"/>
          <w:sz w:val="30"/>
          <w:szCs w:val="30"/>
        </w:rPr>
      </w:pPr>
      <w:r>
        <w:rPr>
          <w:rFonts w:hint="eastAsia"/>
          <w:sz w:val="30"/>
          <w:szCs w:val="30"/>
        </w:rPr>
        <w:t>The revolution in their way of seeing was stupendous.</w:t>
      </w:r>
    </w:p>
    <w:p w14:paraId="1D442D74">
      <w:pPr>
        <w:pStyle w:val="9"/>
        <w:spacing w:before="11"/>
        <w:ind w:left="0"/>
        <w:jc w:val="left"/>
        <w:rPr>
          <w:rFonts w:hint="eastAsia"/>
          <w:sz w:val="30"/>
          <w:szCs w:val="30"/>
        </w:rPr>
      </w:pPr>
      <w:r>
        <w:rPr>
          <w:rFonts w:hint="eastAsia"/>
          <w:sz w:val="30"/>
          <w:szCs w:val="30"/>
        </w:rPr>
        <w:t>他们看见的方式发生了惊人的革命。</w:t>
      </w:r>
    </w:p>
    <w:p w14:paraId="2C99CB36">
      <w:pPr>
        <w:pStyle w:val="9"/>
        <w:spacing w:before="11"/>
        <w:ind w:left="0"/>
        <w:jc w:val="left"/>
        <w:rPr>
          <w:rFonts w:hint="eastAsia"/>
          <w:sz w:val="30"/>
          <w:szCs w:val="30"/>
        </w:rPr>
      </w:pPr>
    </w:p>
    <w:p w14:paraId="58C839B5">
      <w:pPr>
        <w:pStyle w:val="9"/>
        <w:spacing w:before="11"/>
        <w:ind w:left="0"/>
        <w:jc w:val="left"/>
        <w:rPr>
          <w:rFonts w:hint="eastAsia"/>
          <w:sz w:val="30"/>
          <w:szCs w:val="30"/>
        </w:rPr>
      </w:pPr>
      <w:r>
        <w:rPr>
          <w:rFonts w:hint="eastAsia"/>
          <w:sz w:val="30"/>
          <w:szCs w:val="30"/>
        </w:rPr>
        <w:t>Henceforth, they saw OT persons as types: Adam (Rom. 5:14, 1 Cor. 14:45), Melchizedek (Heb. 5:8-10, 7:1-17), Moses (Acts 3:20-22, Heb. 3:2- 6), and many more.</w:t>
      </w:r>
    </w:p>
    <w:p w14:paraId="3C8006E2">
      <w:pPr>
        <w:pStyle w:val="9"/>
        <w:spacing w:before="11"/>
        <w:ind w:left="0"/>
        <w:jc w:val="left"/>
        <w:rPr>
          <w:rFonts w:hint="eastAsia"/>
          <w:sz w:val="30"/>
          <w:szCs w:val="30"/>
        </w:rPr>
      </w:pPr>
      <w:r>
        <w:rPr>
          <w:rFonts w:hint="eastAsia"/>
          <w:sz w:val="30"/>
          <w:szCs w:val="30"/>
        </w:rPr>
        <w:t>从此，他们将旧约人物视为预表：亚当（罗马书 5:14, 哥林多前书 15:45）、麦基洗德（希伯来书 5:8-10, 7:1-17）、摩西（使徒行传 3:20-22, 希伯来书 3:2-6），等等。</w:t>
      </w:r>
    </w:p>
    <w:p w14:paraId="6F29D5F9">
      <w:pPr>
        <w:pStyle w:val="9"/>
        <w:spacing w:before="11"/>
        <w:ind w:left="0"/>
        <w:jc w:val="left"/>
        <w:rPr>
          <w:rFonts w:hint="eastAsia"/>
          <w:sz w:val="30"/>
          <w:szCs w:val="30"/>
        </w:rPr>
      </w:pPr>
    </w:p>
    <w:p w14:paraId="1DE74B0A">
      <w:pPr>
        <w:pStyle w:val="9"/>
        <w:spacing w:before="11"/>
        <w:ind w:left="0"/>
        <w:jc w:val="left"/>
        <w:rPr>
          <w:rFonts w:hint="eastAsia"/>
          <w:sz w:val="30"/>
          <w:szCs w:val="30"/>
        </w:rPr>
      </w:pPr>
      <w:r>
        <w:rPr>
          <w:rFonts w:hint="eastAsia"/>
          <w:sz w:val="30"/>
          <w:szCs w:val="30"/>
        </w:rPr>
        <w:t>They saw OT places as types: Egypt (Acts 7:9-10, 30-36, Rev. 11:8), the wilderness of Sinai (1 Cor. 10:5, Rev. 12:6), Canaan (Gen. 17:4-6, Rom. 4:13, Heb. 11:13-16), Zion (Heb. 12:22, Rev. 4:1), Jerusalem (Gal. 4:25-26, Heb. 12:22), and more.</w:t>
      </w:r>
    </w:p>
    <w:p w14:paraId="260F979A">
      <w:pPr>
        <w:pStyle w:val="9"/>
        <w:spacing w:before="11"/>
        <w:ind w:left="0"/>
        <w:jc w:val="left"/>
        <w:rPr>
          <w:rFonts w:hint="eastAsia"/>
          <w:sz w:val="30"/>
          <w:szCs w:val="30"/>
        </w:rPr>
      </w:pPr>
      <w:r>
        <w:rPr>
          <w:rFonts w:hint="eastAsia"/>
          <w:sz w:val="30"/>
          <w:szCs w:val="30"/>
        </w:rPr>
        <w:t>他们将旧约地方视为预表：埃及（使徒行传 7:9-10, 30-36, 启示录 11:8）、西奈旷野（哥林多前书 10:5, 启示录 12:6）、迦南（创世记 17:4-6, 罗马书 4:13, 希伯来书 11:13-16）、锡安（希伯来书 12:22, 启示录 14:1）、耶路撒冷（加拉太书 4:25-26, 希伯来书 12:22），等等。</w:t>
      </w:r>
    </w:p>
    <w:p w14:paraId="78975994">
      <w:pPr>
        <w:pStyle w:val="9"/>
        <w:spacing w:before="11"/>
        <w:ind w:left="0"/>
        <w:jc w:val="left"/>
        <w:rPr>
          <w:rFonts w:hint="eastAsia"/>
          <w:sz w:val="30"/>
          <w:szCs w:val="30"/>
        </w:rPr>
      </w:pPr>
    </w:p>
    <w:p w14:paraId="733E4CA1">
      <w:pPr>
        <w:pStyle w:val="9"/>
        <w:spacing w:before="11"/>
        <w:ind w:left="0"/>
        <w:jc w:val="left"/>
        <w:rPr>
          <w:rFonts w:hint="eastAsia"/>
          <w:sz w:val="30"/>
          <w:szCs w:val="30"/>
        </w:rPr>
      </w:pPr>
      <w:r>
        <w:rPr>
          <w:rFonts w:hint="eastAsia"/>
          <w:sz w:val="30"/>
          <w:szCs w:val="30"/>
        </w:rPr>
        <w:t>They saw OT things as types: the pillar of cloud and fire that led the Israelites in the wilderness (1 Cor. 10:1-2), the manna that they ate (1 Cor. 10:3), the rock from which they drink (1 Cor. 10:4), and more.</w:t>
      </w:r>
    </w:p>
    <w:p w14:paraId="6F7AC810">
      <w:pPr>
        <w:pStyle w:val="9"/>
        <w:spacing w:before="11"/>
        <w:ind w:left="0"/>
        <w:jc w:val="left"/>
        <w:rPr>
          <w:rFonts w:hint="eastAsia"/>
          <w:sz w:val="30"/>
          <w:szCs w:val="30"/>
        </w:rPr>
      </w:pPr>
      <w:r>
        <w:rPr>
          <w:rFonts w:hint="eastAsia"/>
          <w:sz w:val="30"/>
          <w:szCs w:val="30"/>
        </w:rPr>
        <w:t>他们将旧约事物视为预表：在旷野中引领以色列人的云柱和火柱（哥林多前书 10:1-2），他们所吃的吗哪（哥林多前书 10:3），他们所喝的磐石（哥林多前书 10:4），等等。</w:t>
      </w:r>
    </w:p>
    <w:p w14:paraId="40F0D456">
      <w:pPr>
        <w:pStyle w:val="9"/>
        <w:spacing w:before="11"/>
        <w:ind w:left="0"/>
        <w:jc w:val="left"/>
        <w:rPr>
          <w:rFonts w:hint="eastAsia"/>
          <w:sz w:val="30"/>
          <w:szCs w:val="30"/>
        </w:rPr>
      </w:pPr>
    </w:p>
    <w:p w14:paraId="25098C93">
      <w:pPr>
        <w:pStyle w:val="9"/>
        <w:spacing w:before="11"/>
        <w:ind w:left="0"/>
        <w:jc w:val="left"/>
        <w:rPr>
          <w:rFonts w:hint="eastAsia"/>
          <w:sz w:val="30"/>
          <w:szCs w:val="30"/>
        </w:rPr>
      </w:pPr>
      <w:r>
        <w:rPr>
          <w:rFonts w:hint="eastAsia"/>
          <w:sz w:val="30"/>
          <w:szCs w:val="30"/>
        </w:rPr>
        <w:t>They saw OT events as types: the Flood (1 Peter 3:18-22), the life-long sojourn of Abraham (Heb. 11:8-10), the (near) sacrifice of Isaac (Heb. 11:17-19), the Exodus from Egypt (1 Cor. 10:1-11, Heb. 3:7-19, 4:1-11), and more.</w:t>
      </w:r>
    </w:p>
    <w:p w14:paraId="7DE2FE4A">
      <w:pPr>
        <w:pStyle w:val="9"/>
        <w:spacing w:before="11"/>
        <w:ind w:left="0"/>
        <w:jc w:val="left"/>
        <w:rPr>
          <w:rFonts w:hint="eastAsia"/>
          <w:sz w:val="30"/>
          <w:szCs w:val="30"/>
        </w:rPr>
      </w:pPr>
      <w:r>
        <w:rPr>
          <w:rFonts w:hint="eastAsia"/>
          <w:sz w:val="30"/>
          <w:szCs w:val="30"/>
        </w:rPr>
        <w:t>他们将旧约事件视为预表：洪水（彼得前书 3:18-22），亚伯拉罕一生的寄居（希伯来书 11:8-10），（几乎）献以撒（希伯来书 11:17-19），出埃及（哥林多前书 10:1-11, 希伯来书 3:7-19, 4:1-11），等等。</w:t>
      </w:r>
    </w:p>
    <w:p w14:paraId="4F1498A3">
      <w:pPr>
        <w:pStyle w:val="9"/>
        <w:spacing w:before="11"/>
        <w:ind w:left="0"/>
        <w:jc w:val="left"/>
        <w:rPr>
          <w:rFonts w:hint="eastAsia"/>
          <w:sz w:val="30"/>
          <w:szCs w:val="30"/>
        </w:rPr>
      </w:pPr>
    </w:p>
    <w:p w14:paraId="41BA0DF4">
      <w:pPr>
        <w:pStyle w:val="9"/>
        <w:spacing w:before="11"/>
        <w:ind w:left="0"/>
        <w:jc w:val="left"/>
        <w:rPr>
          <w:rFonts w:hint="eastAsia"/>
          <w:sz w:val="30"/>
          <w:szCs w:val="30"/>
        </w:rPr>
      </w:pPr>
      <w:r>
        <w:rPr>
          <w:rFonts w:hint="eastAsia"/>
          <w:sz w:val="30"/>
          <w:szCs w:val="30"/>
        </w:rPr>
        <w:t>Very importantly, they also saw OT (Mosaic) institutions as types: prophets (Acts 3:22), priests (Heb. 3:1), kings (Heb. 7:1), the service of worship in the tabernacle/temple (Heb. 8:1-10:25), animal sacrifices (Eph. 5:2, Heb. 9:26), circumcision (Phil. 3:3, Col. 2:11), the Sabbath (Col. 2:16- 17, Heb. 4:1f), the Passover (1 Cor. 5:7f), Pentecost (Acts 2:1, NAS margin), the seed of Abraham (Rom. 4:16-17, Gal. 3:15-16, 29), the house of Moses (Heb. 3:1-6), the dynasty of David (Acts 15:13-21), the priestly nation of Israel (Rom. 9:6-8, Gal. 6:16, Heb. 8:10, 1 Peter 2:9), and the Mosaic covenant itself (Heb. 8:6-13, 9:1ff).</w:t>
      </w:r>
    </w:p>
    <w:p w14:paraId="4FA97C4E">
      <w:pPr>
        <w:pStyle w:val="9"/>
        <w:spacing w:before="11"/>
        <w:ind w:left="0"/>
        <w:jc w:val="left"/>
        <w:rPr>
          <w:rFonts w:hint="eastAsia"/>
          <w:sz w:val="30"/>
          <w:szCs w:val="30"/>
        </w:rPr>
      </w:pPr>
      <w:r>
        <w:rPr>
          <w:rFonts w:hint="eastAsia"/>
          <w:sz w:val="30"/>
          <w:szCs w:val="30"/>
        </w:rPr>
        <w:t>非常重要的是，他们也把旧约（摩西）的制度看作预表：先知（使徒行传 3:22），祭司（希伯来书 3:1），君王（希伯来书 7:1），在会幕/圣殿中的敬拜礼仪（希伯来书 8:1-10:25），动物献祭（以弗所书 5:2，希伯来书 9:26），割礼（腓立比书 3:3，歌罗西书 2:11），安息日（歌罗西书 2:16-17，希伯来书 4:1及后文），逾越节（哥林多前书 5:7及后文），五旬节（使徒行传 2:1，新美国标准版圣经旁注），亚伯拉罕的后裔（罗马书 4:16-17，加拉太书 3:15-16, 29），摩西的家（希伯来书 3:1-6），大卫的王朝（使徒行传 15:13-21），以色列的祭司国度（罗马书 9:6-8，加拉太书 6:16，希伯来书 8:10，彼得前书 2:9），以及摩西之约本身（希伯来书 8:6-13, 9:1及后文）。</w:t>
      </w:r>
    </w:p>
    <w:p w14:paraId="2C2CD6B0">
      <w:pPr>
        <w:pStyle w:val="9"/>
        <w:spacing w:before="11"/>
        <w:ind w:left="0"/>
        <w:jc w:val="left"/>
        <w:rPr>
          <w:rFonts w:hint="eastAsia"/>
          <w:sz w:val="30"/>
          <w:szCs w:val="30"/>
        </w:rPr>
      </w:pPr>
    </w:p>
    <w:p w14:paraId="27ACF5A6">
      <w:pPr>
        <w:pStyle w:val="9"/>
        <w:spacing w:before="11"/>
        <w:ind w:left="0"/>
        <w:jc w:val="left"/>
        <w:rPr>
          <w:rFonts w:hint="eastAsia"/>
          <w:sz w:val="30"/>
          <w:szCs w:val="30"/>
        </w:rPr>
      </w:pPr>
      <w:r>
        <w:rPr>
          <w:rFonts w:hint="eastAsia"/>
          <w:sz w:val="30"/>
          <w:szCs w:val="30"/>
        </w:rPr>
        <w:t>The sheer abundance of these examples is impressive.</w:t>
      </w:r>
    </w:p>
    <w:p w14:paraId="1F359A7A">
      <w:pPr>
        <w:pStyle w:val="9"/>
        <w:spacing w:before="11"/>
        <w:ind w:left="0"/>
        <w:jc w:val="left"/>
        <w:rPr>
          <w:rFonts w:hint="eastAsia"/>
          <w:sz w:val="30"/>
          <w:szCs w:val="30"/>
        </w:rPr>
      </w:pPr>
      <w:r>
        <w:rPr>
          <w:rFonts w:hint="eastAsia"/>
          <w:sz w:val="30"/>
          <w:szCs w:val="30"/>
        </w:rPr>
        <w:t>这些例子的丰富程度令人印象深刻。</w:t>
      </w:r>
    </w:p>
    <w:p w14:paraId="3A7431E5">
      <w:pPr>
        <w:pStyle w:val="9"/>
        <w:spacing w:before="11"/>
        <w:ind w:left="0"/>
        <w:jc w:val="left"/>
        <w:rPr>
          <w:rFonts w:hint="eastAsia"/>
          <w:sz w:val="30"/>
          <w:szCs w:val="30"/>
        </w:rPr>
      </w:pPr>
    </w:p>
    <w:p w14:paraId="4785A3FC">
      <w:pPr>
        <w:pStyle w:val="9"/>
        <w:spacing w:before="11"/>
        <w:ind w:left="0"/>
        <w:jc w:val="left"/>
        <w:rPr>
          <w:rFonts w:hint="eastAsia"/>
          <w:sz w:val="30"/>
          <w:szCs w:val="30"/>
        </w:rPr>
      </w:pPr>
      <w:r>
        <w:rPr>
          <w:rFonts w:hint="eastAsia"/>
          <w:sz w:val="30"/>
          <w:szCs w:val="30"/>
        </w:rPr>
        <w:t>Indeed, it forces us to conclude that after Pentecost the apostles came to view the entire OT as a preliminary, promissory, and preparatory revelation of Christ; a revelation over which God, for wise reasons, had placed a thick veil of OT type and shadow.</w:t>
      </w:r>
    </w:p>
    <w:p w14:paraId="1CBAE8F3">
      <w:pPr>
        <w:pStyle w:val="9"/>
        <w:spacing w:before="11"/>
        <w:ind w:left="0"/>
        <w:jc w:val="left"/>
        <w:rPr>
          <w:rFonts w:hint="eastAsia"/>
          <w:sz w:val="30"/>
          <w:szCs w:val="30"/>
        </w:rPr>
      </w:pPr>
      <w:r>
        <w:rPr>
          <w:rFonts w:hint="eastAsia"/>
          <w:sz w:val="30"/>
          <w:szCs w:val="30"/>
        </w:rPr>
        <w:t>的确，这迫使我们得出结论，在五旬节之后，使徒们开始将整个旧约视为基督的一个初步的、应许性的和预备性的启示；上帝出于智慧的缘故，在这个启示之上放置了一层厚厚的旧约预表和影儿的幔子。</w:t>
      </w:r>
    </w:p>
    <w:p w14:paraId="58F65A24">
      <w:pPr>
        <w:pStyle w:val="9"/>
        <w:spacing w:before="11"/>
        <w:ind w:left="0"/>
        <w:jc w:val="left"/>
        <w:rPr>
          <w:rFonts w:hint="eastAsia"/>
          <w:sz w:val="30"/>
          <w:szCs w:val="30"/>
        </w:rPr>
      </w:pPr>
    </w:p>
    <w:p w14:paraId="45911D57">
      <w:pPr>
        <w:pStyle w:val="9"/>
        <w:spacing w:before="11"/>
        <w:ind w:left="0"/>
        <w:jc w:val="left"/>
        <w:rPr>
          <w:rFonts w:hint="eastAsia"/>
          <w:sz w:val="30"/>
          <w:szCs w:val="30"/>
        </w:rPr>
      </w:pPr>
      <w:r>
        <w:rPr>
          <w:rFonts w:hint="eastAsia"/>
          <w:sz w:val="30"/>
          <w:szCs w:val="30"/>
        </w:rPr>
        <w:t>Moreover, they also realized that sin and Satan had placed another kind of veil over the minds of unbelievers, a veil of spiritual blindness that prevented them from discerning the things of Christ in the OT Scriptures (Acts 13:27, 2 Cor. 3:12-18).</w:t>
      </w:r>
    </w:p>
    <w:p w14:paraId="485BA624">
      <w:pPr>
        <w:pStyle w:val="9"/>
        <w:spacing w:before="11"/>
        <w:ind w:left="0"/>
        <w:jc w:val="left"/>
        <w:rPr>
          <w:rFonts w:hint="eastAsia"/>
          <w:sz w:val="30"/>
          <w:szCs w:val="30"/>
        </w:rPr>
      </w:pPr>
      <w:r>
        <w:rPr>
          <w:rFonts w:hint="eastAsia"/>
          <w:sz w:val="30"/>
          <w:szCs w:val="30"/>
        </w:rPr>
        <w:t>此外，他们也认识到，罪和撒但在不信之人的心上放了另一种幔子，即属灵盲目的幔子，阻止他们在旧约圣经中辨明基督的事（使徒行传 13:27, 哥林多后书 3:12-18）。</w:t>
      </w:r>
    </w:p>
    <w:p w14:paraId="1D9F64D2">
      <w:pPr>
        <w:pStyle w:val="9"/>
        <w:spacing w:before="11"/>
        <w:ind w:left="0"/>
        <w:jc w:val="left"/>
        <w:rPr>
          <w:rFonts w:hint="eastAsia"/>
          <w:sz w:val="30"/>
          <w:szCs w:val="30"/>
        </w:rPr>
      </w:pPr>
    </w:p>
    <w:p w14:paraId="53E42B51">
      <w:pPr>
        <w:pStyle w:val="9"/>
        <w:spacing w:before="11"/>
        <w:ind w:left="0"/>
        <w:jc w:val="left"/>
        <w:rPr>
          <w:rFonts w:hint="eastAsia"/>
          <w:sz w:val="30"/>
          <w:szCs w:val="30"/>
        </w:rPr>
      </w:pPr>
      <w:r>
        <w:rPr>
          <w:rFonts w:hint="eastAsia"/>
          <w:sz w:val="30"/>
          <w:szCs w:val="30"/>
        </w:rPr>
        <w:t>However, they also gloried in the fact that at any time the sovereign God could graciously place an unbeliever in Christ, open his eyes, and permanently remove the veils (John 3:3, 6:43-45, Luke 24:45, 2 Cor. 3:16).</w:t>
      </w:r>
    </w:p>
    <w:p w14:paraId="4359C46A">
      <w:pPr>
        <w:pStyle w:val="9"/>
        <w:spacing w:before="11"/>
        <w:ind w:left="0"/>
        <w:jc w:val="left"/>
        <w:rPr>
          <w:rFonts w:hint="eastAsia"/>
          <w:sz w:val="30"/>
          <w:szCs w:val="30"/>
        </w:rPr>
      </w:pPr>
      <w:r>
        <w:rPr>
          <w:rFonts w:hint="eastAsia"/>
          <w:sz w:val="30"/>
          <w:szCs w:val="30"/>
        </w:rPr>
        <w:t>然而，他们也为这样一个事实而夸耀：在任何时候，主权的上帝都能恩慈地将一个不信者放在基督里，开启他的眼睛，并永久地除去幔子（约翰福音 3:3, 6:43-45, 路加福音 24:45, 哥林多后书 3:16）。</w:t>
      </w:r>
    </w:p>
    <w:p w14:paraId="7C861E88">
      <w:pPr>
        <w:pStyle w:val="9"/>
        <w:spacing w:before="11"/>
        <w:ind w:left="0"/>
        <w:jc w:val="left"/>
        <w:rPr>
          <w:rFonts w:hint="eastAsia"/>
          <w:sz w:val="30"/>
          <w:szCs w:val="30"/>
        </w:rPr>
      </w:pPr>
    </w:p>
    <w:p w14:paraId="541CABA9">
      <w:pPr>
        <w:pStyle w:val="9"/>
        <w:spacing w:before="11"/>
        <w:ind w:left="0"/>
        <w:jc w:val="left"/>
        <w:rPr>
          <w:rFonts w:hint="eastAsia"/>
          <w:sz w:val="30"/>
          <w:szCs w:val="30"/>
        </w:rPr>
      </w:pPr>
      <w:r>
        <w:rPr>
          <w:rFonts w:hint="eastAsia"/>
          <w:sz w:val="30"/>
          <w:szCs w:val="30"/>
        </w:rPr>
        <w:t>Earlier in our study we closely examined the typology of Genesis 3:15, so there is no need for me to repeat myself here.</w:t>
      </w:r>
    </w:p>
    <w:p w14:paraId="281991D2">
      <w:pPr>
        <w:pStyle w:val="9"/>
        <w:spacing w:before="11"/>
        <w:ind w:left="0"/>
        <w:jc w:val="left"/>
        <w:rPr>
          <w:rFonts w:hint="eastAsia"/>
          <w:sz w:val="30"/>
          <w:szCs w:val="30"/>
        </w:rPr>
      </w:pPr>
      <w:r>
        <w:rPr>
          <w:rFonts w:hint="eastAsia"/>
          <w:sz w:val="30"/>
          <w:szCs w:val="30"/>
        </w:rPr>
        <w:t>在我们研究的早些时候，我们仔细考察了创世记 3:15 的预表学，所以这里没有必要重复我自己。</w:t>
      </w:r>
    </w:p>
    <w:p w14:paraId="49EE0177">
      <w:pPr>
        <w:pStyle w:val="9"/>
        <w:spacing w:before="11"/>
        <w:ind w:left="0"/>
        <w:jc w:val="left"/>
        <w:rPr>
          <w:rFonts w:hint="eastAsia"/>
          <w:sz w:val="30"/>
          <w:szCs w:val="30"/>
        </w:rPr>
      </w:pPr>
    </w:p>
    <w:p w14:paraId="0300548E">
      <w:pPr>
        <w:pStyle w:val="9"/>
        <w:spacing w:before="11"/>
        <w:ind w:left="0"/>
        <w:jc w:val="left"/>
        <w:rPr>
          <w:rFonts w:hint="eastAsia"/>
          <w:sz w:val="30"/>
          <w:szCs w:val="30"/>
        </w:rPr>
      </w:pPr>
      <w:r>
        <w:rPr>
          <w:rFonts w:hint="eastAsia"/>
          <w:sz w:val="30"/>
          <w:szCs w:val="30"/>
        </w:rPr>
        <w:t>We may, however, pause to marvel yet again at how, in the space of some 30 words, God can speak in types of Satan, Christ, the Church, the crucifixion, the overthrow of Satan’s spiritual kingdom, the perennial battle between the Church and the World, and the final destruction of Satan and his followers at the end of the age.</w:t>
      </w:r>
    </w:p>
    <w:p w14:paraId="49E198D8">
      <w:pPr>
        <w:pStyle w:val="9"/>
        <w:spacing w:before="11"/>
        <w:ind w:left="0"/>
        <w:jc w:val="left"/>
        <w:rPr>
          <w:rFonts w:hint="eastAsia"/>
          <w:sz w:val="30"/>
          <w:szCs w:val="30"/>
        </w:rPr>
      </w:pPr>
      <w:r>
        <w:rPr>
          <w:rFonts w:hint="eastAsia"/>
          <w:sz w:val="30"/>
          <w:szCs w:val="30"/>
        </w:rPr>
        <w:t>然而，我们可以暂停一下，再次惊叹上帝如何能在大约30个字的篇幅里，用预表的方式谈及撒但、基督、教会、十字架酷刑、撒但属灵国度的倾覆、教会与世界之间永恒的争战，以及在世代末了撒但及其追随者的最终毁灭。</w:t>
      </w:r>
    </w:p>
    <w:p w14:paraId="38BF17DA">
      <w:pPr>
        <w:pStyle w:val="9"/>
        <w:spacing w:before="11"/>
        <w:ind w:left="0"/>
        <w:jc w:val="left"/>
        <w:rPr>
          <w:rFonts w:hint="eastAsia"/>
          <w:sz w:val="30"/>
          <w:szCs w:val="30"/>
        </w:rPr>
      </w:pPr>
    </w:p>
    <w:p w14:paraId="163312CC">
      <w:pPr>
        <w:pStyle w:val="9"/>
        <w:spacing w:before="11"/>
        <w:ind w:left="0"/>
        <w:jc w:val="left"/>
        <w:rPr>
          <w:rFonts w:hint="eastAsia"/>
          <w:sz w:val="30"/>
          <w:szCs w:val="30"/>
        </w:rPr>
      </w:pPr>
      <w:r>
        <w:rPr>
          <w:rFonts w:hint="eastAsia"/>
          <w:sz w:val="30"/>
          <w:szCs w:val="30"/>
        </w:rPr>
        <w:t>And all this is to say nothing of the literal layer meaning, which so helpfully warns the sons and daughters of Eve against getting too close to snakes!</w:t>
      </w:r>
    </w:p>
    <w:p w14:paraId="76B8D049">
      <w:pPr>
        <w:pStyle w:val="9"/>
        <w:spacing w:before="11"/>
        <w:ind w:left="0"/>
        <w:jc w:val="left"/>
        <w:rPr>
          <w:rFonts w:hint="eastAsia"/>
          <w:sz w:val="30"/>
          <w:szCs w:val="30"/>
        </w:rPr>
      </w:pPr>
      <w:r>
        <w:rPr>
          <w:rFonts w:hint="eastAsia"/>
          <w:sz w:val="30"/>
          <w:szCs w:val="30"/>
        </w:rPr>
        <w:t>所有这一切，更不用说其字面层次的意义了，它如此有益地警告夏娃的儿女们不要太靠近蛇！</w:t>
      </w:r>
    </w:p>
    <w:p w14:paraId="0313891E">
      <w:pPr>
        <w:pStyle w:val="9"/>
        <w:spacing w:before="11"/>
        <w:ind w:left="0"/>
        <w:jc w:val="left"/>
        <w:rPr>
          <w:rFonts w:hint="eastAsia"/>
          <w:sz w:val="30"/>
          <w:szCs w:val="30"/>
        </w:rPr>
      </w:pPr>
    </w:p>
    <w:p w14:paraId="08B4DDEC">
      <w:pPr>
        <w:pStyle w:val="9"/>
        <w:spacing w:before="11"/>
        <w:ind w:left="0"/>
        <w:jc w:val="left"/>
        <w:rPr>
          <w:rFonts w:hint="eastAsia"/>
          <w:sz w:val="30"/>
          <w:szCs w:val="30"/>
        </w:rPr>
      </w:pPr>
      <w:r>
        <w:rPr>
          <w:rFonts w:hint="eastAsia"/>
          <w:sz w:val="30"/>
          <w:szCs w:val="30"/>
        </w:rPr>
        <w:t>4.Eschatological</w:t>
      </w:r>
    </w:p>
    <w:p w14:paraId="7F4A4D1F">
      <w:pPr>
        <w:pStyle w:val="9"/>
        <w:spacing w:before="11"/>
        <w:ind w:left="0"/>
        <w:jc w:val="left"/>
        <w:rPr>
          <w:rFonts w:hint="eastAsia"/>
          <w:sz w:val="30"/>
          <w:szCs w:val="30"/>
        </w:rPr>
      </w:pPr>
      <w:r>
        <w:rPr>
          <w:rFonts w:hint="eastAsia"/>
          <w:sz w:val="30"/>
          <w:szCs w:val="30"/>
        </w:rPr>
        <w:t>4.末世性的</w:t>
      </w:r>
    </w:p>
    <w:p w14:paraId="32C0C55F">
      <w:pPr>
        <w:pStyle w:val="9"/>
        <w:spacing w:before="11"/>
        <w:ind w:left="0"/>
        <w:jc w:val="left"/>
        <w:rPr>
          <w:rFonts w:hint="eastAsia"/>
          <w:sz w:val="30"/>
          <w:szCs w:val="30"/>
        </w:rPr>
      </w:pPr>
    </w:p>
    <w:p w14:paraId="778F964B">
      <w:pPr>
        <w:pStyle w:val="9"/>
        <w:spacing w:before="11"/>
        <w:ind w:left="0"/>
        <w:jc w:val="left"/>
        <w:rPr>
          <w:rFonts w:hint="eastAsia"/>
          <w:sz w:val="30"/>
          <w:szCs w:val="30"/>
        </w:rPr>
      </w:pPr>
      <w:r>
        <w:rPr>
          <w:rFonts w:hint="eastAsia"/>
          <w:sz w:val="30"/>
          <w:szCs w:val="30"/>
        </w:rPr>
        <w:t>Closely related to the typological mode of seeing is the eschatological.</w:t>
      </w:r>
    </w:p>
    <w:p w14:paraId="01FF67C8">
      <w:pPr>
        <w:pStyle w:val="9"/>
        <w:spacing w:before="11"/>
        <w:ind w:left="0"/>
        <w:jc w:val="left"/>
        <w:rPr>
          <w:rFonts w:hint="eastAsia"/>
          <w:sz w:val="30"/>
          <w:szCs w:val="30"/>
        </w:rPr>
      </w:pPr>
      <w:r>
        <w:rPr>
          <w:rFonts w:hint="eastAsia"/>
          <w:sz w:val="30"/>
          <w:szCs w:val="30"/>
        </w:rPr>
        <w:t>与预表性的看见模式密切相关的是末世性的模式。</w:t>
      </w:r>
    </w:p>
    <w:p w14:paraId="5723C87C">
      <w:pPr>
        <w:pStyle w:val="9"/>
        <w:spacing w:before="11"/>
        <w:ind w:left="0"/>
        <w:jc w:val="left"/>
        <w:rPr>
          <w:rFonts w:hint="eastAsia"/>
          <w:sz w:val="30"/>
          <w:szCs w:val="30"/>
        </w:rPr>
      </w:pPr>
    </w:p>
    <w:p w14:paraId="47961E35">
      <w:pPr>
        <w:pStyle w:val="9"/>
        <w:spacing w:before="11"/>
        <w:ind w:left="0"/>
        <w:jc w:val="left"/>
        <w:rPr>
          <w:rFonts w:hint="eastAsia"/>
          <w:sz w:val="30"/>
          <w:szCs w:val="30"/>
        </w:rPr>
      </w:pPr>
      <w:r>
        <w:rPr>
          <w:rFonts w:hint="eastAsia"/>
          <w:sz w:val="30"/>
          <w:szCs w:val="30"/>
        </w:rPr>
        <w:t>The apostles employed it freely.</w:t>
      </w:r>
    </w:p>
    <w:p w14:paraId="5556AA40">
      <w:pPr>
        <w:pStyle w:val="9"/>
        <w:spacing w:before="11"/>
        <w:ind w:left="0"/>
        <w:jc w:val="left"/>
        <w:rPr>
          <w:rFonts w:hint="eastAsia"/>
          <w:sz w:val="30"/>
          <w:szCs w:val="30"/>
        </w:rPr>
      </w:pPr>
      <w:r>
        <w:rPr>
          <w:rFonts w:hint="eastAsia"/>
          <w:sz w:val="30"/>
          <w:szCs w:val="30"/>
        </w:rPr>
        <w:t>使徒们自由地使用它。</w:t>
      </w:r>
    </w:p>
    <w:p w14:paraId="4DCC3597">
      <w:pPr>
        <w:pStyle w:val="9"/>
        <w:spacing w:before="11"/>
        <w:ind w:left="0"/>
        <w:jc w:val="left"/>
        <w:rPr>
          <w:rFonts w:hint="eastAsia"/>
          <w:sz w:val="30"/>
          <w:szCs w:val="30"/>
        </w:rPr>
      </w:pPr>
    </w:p>
    <w:p w14:paraId="2F85EB74">
      <w:pPr>
        <w:pStyle w:val="9"/>
        <w:spacing w:before="11"/>
        <w:ind w:left="0"/>
        <w:jc w:val="left"/>
        <w:rPr>
          <w:rFonts w:hint="eastAsia"/>
          <w:sz w:val="30"/>
          <w:szCs w:val="30"/>
        </w:rPr>
      </w:pPr>
      <w:r>
        <w:rPr>
          <w:rFonts w:hint="eastAsia"/>
          <w:sz w:val="30"/>
          <w:szCs w:val="30"/>
        </w:rPr>
        <w:t>They read the OT as a body of divine revelation wherein God used mystical, typological language to speak of things to come, things that he would make manifest in the last days (Acts 2:17, Heb. 1:2, 1 Peter 1:20, 2 Peter 3:3, Jude 1:18).</w:t>
      </w:r>
    </w:p>
    <w:p w14:paraId="6C0164FF">
      <w:pPr>
        <w:pStyle w:val="9"/>
        <w:spacing w:before="11"/>
        <w:ind w:left="0"/>
        <w:jc w:val="left"/>
        <w:rPr>
          <w:rFonts w:hint="eastAsia"/>
          <w:sz w:val="30"/>
          <w:szCs w:val="30"/>
        </w:rPr>
      </w:pPr>
      <w:r>
        <w:rPr>
          <w:rFonts w:hint="eastAsia"/>
          <w:sz w:val="30"/>
          <w:szCs w:val="30"/>
        </w:rPr>
        <w:t>他们将旧约读作一个神圣启示的整体，其中上帝使用神秘的、预表性的语言来讲述将要来临的事，这些事祂将在末后的日子显明出来（使徒行传 2:17, 希伯来书 1:2, 彼得前书 1:20, 彼得后书 3:3, 犹大书 1:18）。</w:t>
      </w:r>
    </w:p>
    <w:p w14:paraId="7E19F829">
      <w:pPr>
        <w:pStyle w:val="9"/>
        <w:spacing w:before="11"/>
        <w:ind w:left="0"/>
        <w:jc w:val="left"/>
        <w:rPr>
          <w:rFonts w:hint="eastAsia"/>
          <w:sz w:val="30"/>
          <w:szCs w:val="30"/>
        </w:rPr>
      </w:pPr>
    </w:p>
    <w:p w14:paraId="1691A293">
      <w:pPr>
        <w:pStyle w:val="9"/>
        <w:spacing w:before="11"/>
        <w:ind w:left="0"/>
        <w:jc w:val="left"/>
        <w:rPr>
          <w:rFonts w:hint="eastAsia"/>
          <w:sz w:val="30"/>
          <w:szCs w:val="30"/>
        </w:rPr>
      </w:pPr>
      <w:r>
        <w:rPr>
          <w:rFonts w:hint="eastAsia"/>
          <w:sz w:val="30"/>
          <w:szCs w:val="30"/>
        </w:rPr>
        <w:t>The apostles’ eschatological take on the OT is especially clear in the epistles of Paul.</w:t>
      </w:r>
    </w:p>
    <w:p w14:paraId="7082C41C">
      <w:pPr>
        <w:pStyle w:val="9"/>
        <w:spacing w:before="11"/>
        <w:ind w:left="0"/>
        <w:jc w:val="left"/>
        <w:rPr>
          <w:rFonts w:hint="eastAsia"/>
          <w:sz w:val="30"/>
          <w:szCs w:val="30"/>
        </w:rPr>
      </w:pPr>
      <w:r>
        <w:rPr>
          <w:rFonts w:hint="eastAsia"/>
          <w:sz w:val="30"/>
          <w:szCs w:val="30"/>
        </w:rPr>
        <w:t>使徒们对旧约的末世论观点在保罗的书信中尤其清晰。</w:t>
      </w:r>
    </w:p>
    <w:p w14:paraId="2C69E132">
      <w:pPr>
        <w:pStyle w:val="9"/>
        <w:spacing w:before="11"/>
        <w:ind w:left="0"/>
        <w:jc w:val="left"/>
        <w:rPr>
          <w:rFonts w:hint="eastAsia"/>
          <w:sz w:val="30"/>
          <w:szCs w:val="30"/>
        </w:rPr>
      </w:pPr>
    </w:p>
    <w:p w14:paraId="6696D0EE">
      <w:pPr>
        <w:pStyle w:val="9"/>
        <w:spacing w:before="11"/>
        <w:ind w:left="0"/>
        <w:jc w:val="left"/>
        <w:rPr>
          <w:rFonts w:hint="eastAsia"/>
          <w:sz w:val="30"/>
          <w:szCs w:val="30"/>
        </w:rPr>
      </w:pPr>
      <w:r>
        <w:rPr>
          <w:rFonts w:hint="eastAsia"/>
          <w:sz w:val="30"/>
          <w:szCs w:val="30"/>
        </w:rPr>
        <w:t>For example, when expounding the Gospel to the Romans, he wrote, “But now, apart from the Law, the righteousness of God has been manifested, being witnessed by the Law and the Prophets” (Rom. 3:21).</w:t>
      </w:r>
    </w:p>
    <w:p w14:paraId="6B2E2676">
      <w:pPr>
        <w:pStyle w:val="9"/>
        <w:spacing w:before="11"/>
        <w:ind w:left="0"/>
        <w:jc w:val="left"/>
        <w:rPr>
          <w:rFonts w:hint="eastAsia"/>
          <w:sz w:val="30"/>
          <w:szCs w:val="30"/>
        </w:rPr>
      </w:pPr>
      <w:r>
        <w:rPr>
          <w:rFonts w:hint="eastAsia"/>
          <w:sz w:val="30"/>
          <w:szCs w:val="30"/>
        </w:rPr>
        <w:t>例如，当向罗马人阐述福音时，他写道：“但如今，上帝的义在律法以外已经显明出来，有律法和先知为证”（罗马书 3:21）。</w:t>
      </w:r>
    </w:p>
    <w:p w14:paraId="230B2028">
      <w:pPr>
        <w:pStyle w:val="9"/>
        <w:spacing w:before="11"/>
        <w:ind w:left="0"/>
        <w:jc w:val="left"/>
        <w:rPr>
          <w:rFonts w:hint="eastAsia"/>
          <w:sz w:val="30"/>
          <w:szCs w:val="30"/>
        </w:rPr>
      </w:pPr>
    </w:p>
    <w:p w14:paraId="632879A6">
      <w:pPr>
        <w:pStyle w:val="9"/>
        <w:spacing w:before="11"/>
        <w:ind w:left="0"/>
        <w:jc w:val="left"/>
        <w:rPr>
          <w:rFonts w:hint="eastAsia"/>
          <w:sz w:val="30"/>
          <w:szCs w:val="30"/>
        </w:rPr>
      </w:pPr>
      <w:r>
        <w:rPr>
          <w:rFonts w:hint="eastAsia"/>
          <w:sz w:val="30"/>
          <w:szCs w:val="30"/>
        </w:rPr>
        <w:t>This parallels his remarks at the close of the epistle, where he explicitly refers to the Gospel as a great mystery, a mystery that had been kept secret for long ages past, but now, in these last days, has finally been made manifest to the whole world (Rom. 16:25-27).</w:t>
      </w:r>
    </w:p>
    <w:p w14:paraId="08936C04">
      <w:pPr>
        <w:pStyle w:val="9"/>
        <w:spacing w:before="11"/>
        <w:ind w:left="0"/>
        <w:jc w:val="left"/>
        <w:rPr>
          <w:rFonts w:hint="eastAsia"/>
          <w:sz w:val="30"/>
          <w:szCs w:val="30"/>
        </w:rPr>
      </w:pPr>
      <w:r>
        <w:rPr>
          <w:rFonts w:hint="eastAsia"/>
          <w:sz w:val="30"/>
          <w:szCs w:val="30"/>
        </w:rPr>
        <w:t>这与他在书信结尾处的言论相呼应，在那里他明确地将福音称为一个伟大的奥秘，一个在过去漫长世代中一直保密的奥秘，但如今，在这些末后的日子，终于向全世界显明出来（罗马书 16:25-27）。</w:t>
      </w:r>
    </w:p>
    <w:p w14:paraId="701D6626">
      <w:pPr>
        <w:pStyle w:val="9"/>
        <w:spacing w:before="11"/>
        <w:ind w:left="0"/>
        <w:jc w:val="left"/>
        <w:rPr>
          <w:rFonts w:hint="eastAsia"/>
          <w:sz w:val="30"/>
          <w:szCs w:val="30"/>
        </w:rPr>
      </w:pPr>
    </w:p>
    <w:p w14:paraId="67533B84">
      <w:pPr>
        <w:pStyle w:val="9"/>
        <w:spacing w:before="11"/>
        <w:ind w:left="0"/>
        <w:jc w:val="left"/>
        <w:rPr>
          <w:rFonts w:hint="eastAsia"/>
          <w:sz w:val="30"/>
          <w:szCs w:val="30"/>
        </w:rPr>
      </w:pPr>
      <w:r>
        <w:rPr>
          <w:rFonts w:hint="eastAsia"/>
          <w:sz w:val="30"/>
          <w:szCs w:val="30"/>
        </w:rPr>
        <w:t>In these two texts we see clearly how the apostle now understands and uses the OT.</w:t>
      </w:r>
    </w:p>
    <w:p w14:paraId="2BB21942">
      <w:pPr>
        <w:pStyle w:val="9"/>
        <w:spacing w:before="11"/>
        <w:ind w:left="0"/>
        <w:jc w:val="left"/>
        <w:rPr>
          <w:rFonts w:hint="eastAsia"/>
          <w:sz w:val="30"/>
          <w:szCs w:val="30"/>
        </w:rPr>
      </w:pPr>
      <w:r>
        <w:rPr>
          <w:rFonts w:hint="eastAsia"/>
          <w:sz w:val="30"/>
          <w:szCs w:val="30"/>
        </w:rPr>
        <w:t>在这两段经文中，我们清楚地看到使徒现在是如何理解和使用旧约的。</w:t>
      </w:r>
    </w:p>
    <w:p w14:paraId="27916412">
      <w:pPr>
        <w:pStyle w:val="9"/>
        <w:spacing w:before="11"/>
        <w:ind w:left="0"/>
        <w:jc w:val="left"/>
        <w:rPr>
          <w:rFonts w:hint="eastAsia"/>
          <w:sz w:val="30"/>
          <w:szCs w:val="30"/>
        </w:rPr>
      </w:pPr>
    </w:p>
    <w:p w14:paraId="66829E04">
      <w:pPr>
        <w:pStyle w:val="9"/>
        <w:spacing w:before="11"/>
        <w:ind w:left="0"/>
        <w:jc w:val="left"/>
        <w:rPr>
          <w:rFonts w:hint="eastAsia"/>
          <w:sz w:val="30"/>
          <w:szCs w:val="30"/>
        </w:rPr>
      </w:pPr>
      <w:r>
        <w:rPr>
          <w:rFonts w:hint="eastAsia"/>
          <w:sz w:val="30"/>
          <w:szCs w:val="30"/>
        </w:rPr>
        <w:t>He understands that it bears witness to the supreme mystery of God, the Eternal Covenant.</w:t>
      </w:r>
    </w:p>
    <w:p w14:paraId="74E55631">
      <w:pPr>
        <w:pStyle w:val="9"/>
        <w:spacing w:before="11"/>
        <w:ind w:left="0"/>
        <w:jc w:val="left"/>
        <w:rPr>
          <w:rFonts w:hint="eastAsia"/>
          <w:sz w:val="30"/>
          <w:szCs w:val="30"/>
        </w:rPr>
      </w:pPr>
      <w:r>
        <w:rPr>
          <w:rFonts w:hint="eastAsia"/>
          <w:sz w:val="30"/>
          <w:szCs w:val="30"/>
        </w:rPr>
        <w:t>他明白它为上帝至高的奥秘，即永恒之约作见证。</w:t>
      </w:r>
    </w:p>
    <w:p w14:paraId="3969E135">
      <w:pPr>
        <w:pStyle w:val="9"/>
        <w:spacing w:before="11"/>
        <w:ind w:left="0"/>
        <w:jc w:val="left"/>
        <w:rPr>
          <w:rFonts w:hint="eastAsia"/>
          <w:sz w:val="30"/>
          <w:szCs w:val="30"/>
        </w:rPr>
      </w:pPr>
    </w:p>
    <w:p w14:paraId="24D9C8D6">
      <w:pPr>
        <w:pStyle w:val="9"/>
        <w:spacing w:before="11"/>
        <w:ind w:left="0"/>
        <w:jc w:val="left"/>
        <w:rPr>
          <w:rFonts w:hint="eastAsia"/>
          <w:sz w:val="30"/>
          <w:szCs w:val="30"/>
        </w:rPr>
      </w:pPr>
      <w:r>
        <w:rPr>
          <w:rFonts w:hint="eastAsia"/>
          <w:sz w:val="30"/>
          <w:szCs w:val="30"/>
        </w:rPr>
        <w:t>Yet he also sees that for long ages past God kept that mystery a secret, hiding it away under a veil of OT type and shadow.</w:t>
      </w:r>
    </w:p>
    <w:p w14:paraId="6CAFDC8F">
      <w:pPr>
        <w:pStyle w:val="9"/>
        <w:spacing w:before="11"/>
        <w:ind w:left="0"/>
        <w:jc w:val="left"/>
        <w:rPr>
          <w:rFonts w:hint="eastAsia"/>
          <w:sz w:val="30"/>
          <w:szCs w:val="30"/>
        </w:rPr>
      </w:pPr>
      <w:r>
        <w:rPr>
          <w:rFonts w:hint="eastAsia"/>
          <w:sz w:val="30"/>
          <w:szCs w:val="30"/>
        </w:rPr>
        <w:t>然而，他也看到，在过去的漫长世代中，上帝将那个奥秘保守为一个秘密，将其隐藏在旧约预表和影儿的幔子之下。</w:t>
      </w:r>
    </w:p>
    <w:p w14:paraId="5F7F7928">
      <w:pPr>
        <w:pStyle w:val="9"/>
        <w:spacing w:before="11"/>
        <w:ind w:left="0"/>
        <w:jc w:val="left"/>
        <w:rPr>
          <w:rFonts w:hint="eastAsia"/>
          <w:sz w:val="30"/>
          <w:szCs w:val="30"/>
        </w:rPr>
      </w:pPr>
    </w:p>
    <w:p w14:paraId="68B33579">
      <w:pPr>
        <w:pStyle w:val="9"/>
        <w:spacing w:before="11"/>
        <w:ind w:left="0"/>
        <w:jc w:val="left"/>
        <w:rPr>
          <w:rFonts w:hint="eastAsia"/>
          <w:sz w:val="30"/>
          <w:szCs w:val="30"/>
        </w:rPr>
      </w:pPr>
      <w:r>
        <w:rPr>
          <w:rFonts w:hint="eastAsia"/>
          <w:sz w:val="30"/>
          <w:szCs w:val="30"/>
        </w:rPr>
        <w:t>Accordingly, all OT revelation implicitly (and sometimes explicitly) looked ahead to a better time; indeed, to the fullness of time, wherein there would be a complete unveiling of the Son of God, the righteousness of God, and the Gospel of God (Gal. 4:4, Eph. 1:10).</w:t>
      </w:r>
    </w:p>
    <w:p w14:paraId="318AF5CB">
      <w:pPr>
        <w:pStyle w:val="9"/>
        <w:spacing w:before="11"/>
        <w:ind w:left="0"/>
        <w:jc w:val="left"/>
        <w:rPr>
          <w:rFonts w:hint="eastAsia"/>
          <w:sz w:val="30"/>
          <w:szCs w:val="30"/>
        </w:rPr>
      </w:pPr>
      <w:r>
        <w:rPr>
          <w:rFonts w:hint="eastAsia"/>
          <w:sz w:val="30"/>
          <w:szCs w:val="30"/>
        </w:rPr>
        <w:t>因此，所有旧约的启示都含蓄地（有时是明确地）展望一个更美好的时代；实际上，是展望时候满足，那时上帝的儿子、上帝的义和上帝的福音将得到完全的揭示（加拉太书 4:4, 以弗所书 1:10）。</w:t>
      </w:r>
    </w:p>
    <w:p w14:paraId="5D90B041">
      <w:pPr>
        <w:pStyle w:val="9"/>
        <w:spacing w:before="11"/>
        <w:ind w:left="0"/>
        <w:jc w:val="left"/>
        <w:rPr>
          <w:rFonts w:hint="eastAsia"/>
          <w:sz w:val="30"/>
          <w:szCs w:val="30"/>
        </w:rPr>
      </w:pPr>
    </w:p>
    <w:p w14:paraId="45D213F9">
      <w:pPr>
        <w:pStyle w:val="9"/>
        <w:spacing w:before="11"/>
        <w:ind w:left="0"/>
        <w:jc w:val="left"/>
        <w:rPr>
          <w:rFonts w:hint="eastAsia"/>
          <w:sz w:val="30"/>
          <w:szCs w:val="30"/>
        </w:rPr>
      </w:pPr>
      <w:r>
        <w:rPr>
          <w:rFonts w:hint="eastAsia"/>
          <w:sz w:val="30"/>
          <w:szCs w:val="30"/>
        </w:rPr>
        <w:t>What’s more, there would also be an unveiling of (the deep meaning of) the OT Scriptures themselves!</w:t>
      </w:r>
    </w:p>
    <w:p w14:paraId="76361B98">
      <w:pPr>
        <w:pStyle w:val="9"/>
        <w:spacing w:before="11"/>
        <w:ind w:left="0"/>
        <w:jc w:val="left"/>
        <w:rPr>
          <w:rFonts w:hint="eastAsia"/>
          <w:sz w:val="30"/>
          <w:szCs w:val="30"/>
        </w:rPr>
      </w:pPr>
      <w:r>
        <w:rPr>
          <w:rFonts w:hint="eastAsia"/>
          <w:sz w:val="30"/>
          <w:szCs w:val="30"/>
        </w:rPr>
        <w:t>更重要的是，旧约圣经本身（深层的意义）也将被揭示！</w:t>
      </w:r>
    </w:p>
    <w:p w14:paraId="4FF11B1A">
      <w:pPr>
        <w:pStyle w:val="9"/>
        <w:spacing w:before="11"/>
        <w:ind w:left="0"/>
        <w:jc w:val="left"/>
        <w:rPr>
          <w:rFonts w:hint="eastAsia"/>
          <w:sz w:val="30"/>
          <w:szCs w:val="30"/>
        </w:rPr>
      </w:pPr>
    </w:p>
    <w:p w14:paraId="5DE225C7">
      <w:pPr>
        <w:pStyle w:val="9"/>
        <w:spacing w:before="11"/>
        <w:ind w:left="0"/>
        <w:jc w:val="left"/>
        <w:rPr>
          <w:rFonts w:hint="eastAsia"/>
          <w:sz w:val="30"/>
          <w:szCs w:val="30"/>
        </w:rPr>
      </w:pPr>
      <w:r>
        <w:rPr>
          <w:rFonts w:hint="eastAsia"/>
          <w:sz w:val="30"/>
          <w:szCs w:val="30"/>
        </w:rPr>
        <w:t>So again, Paul and the other apostles came to regard the entire OT as a vast body of divine revelation promising, picturing, and preparing for an administration of the Eternal Covenant in the last (and best of) days.</w:t>
      </w:r>
    </w:p>
    <w:p w14:paraId="64C50CE3">
      <w:pPr>
        <w:pStyle w:val="9"/>
        <w:spacing w:before="11"/>
        <w:ind w:left="0"/>
        <w:jc w:val="left"/>
        <w:rPr>
          <w:rFonts w:hint="eastAsia"/>
          <w:sz w:val="30"/>
          <w:szCs w:val="30"/>
        </w:rPr>
      </w:pPr>
      <w:r>
        <w:rPr>
          <w:rFonts w:hint="eastAsia"/>
          <w:sz w:val="30"/>
          <w:szCs w:val="30"/>
        </w:rPr>
        <w:t>所以再次，保罗和其他使徒们开始将整个旧约视为一个庞大的神圣启示体系，它应许、描绘并预备在末后（也是最好的）日子里施行永恒之约。</w:t>
      </w:r>
    </w:p>
    <w:p w14:paraId="63FA97B0">
      <w:pPr>
        <w:pStyle w:val="9"/>
        <w:spacing w:before="11"/>
        <w:ind w:left="0"/>
        <w:jc w:val="left"/>
        <w:rPr>
          <w:rFonts w:hint="eastAsia"/>
          <w:sz w:val="30"/>
          <w:szCs w:val="30"/>
        </w:rPr>
      </w:pPr>
    </w:p>
    <w:p w14:paraId="2E53947F">
      <w:pPr>
        <w:pStyle w:val="9"/>
        <w:spacing w:before="11"/>
        <w:ind w:left="0"/>
        <w:jc w:val="left"/>
        <w:rPr>
          <w:rFonts w:hint="eastAsia"/>
          <w:sz w:val="30"/>
          <w:szCs w:val="30"/>
        </w:rPr>
      </w:pPr>
      <w:r>
        <w:rPr>
          <w:rFonts w:hint="eastAsia"/>
          <w:sz w:val="30"/>
          <w:szCs w:val="30"/>
        </w:rPr>
        <w:t>It was eschatological through and through (1 Cor. 1:26, Eph. 1:7-10, Titus 1:3, Heb. 9:26, 1 Peter 1:10-12, 2 Peter 2:19-21).</w:t>
      </w:r>
    </w:p>
    <w:p w14:paraId="5BFC5FE2">
      <w:pPr>
        <w:pStyle w:val="9"/>
        <w:spacing w:before="11"/>
        <w:ind w:left="0"/>
        <w:jc w:val="left"/>
        <w:rPr>
          <w:rFonts w:hint="eastAsia"/>
          <w:sz w:val="30"/>
          <w:szCs w:val="30"/>
        </w:rPr>
      </w:pPr>
      <w:r>
        <w:rPr>
          <w:rFonts w:hint="eastAsia"/>
          <w:sz w:val="30"/>
          <w:szCs w:val="30"/>
        </w:rPr>
        <w:t>它从头到尾都是末世性的（哥林多前书 1:26, 以弗所书 1:7-10, 提多书 1:3, 希伯来书 9:26, 彼得前书 1:10-12, 彼得后书 3:19-21）。</w:t>
      </w:r>
    </w:p>
    <w:p w14:paraId="3DC529A9">
      <w:pPr>
        <w:pStyle w:val="9"/>
        <w:spacing w:before="11"/>
        <w:ind w:left="0"/>
        <w:jc w:val="left"/>
        <w:rPr>
          <w:rFonts w:hint="eastAsia"/>
          <w:sz w:val="30"/>
          <w:szCs w:val="30"/>
        </w:rPr>
      </w:pPr>
    </w:p>
    <w:p w14:paraId="30744288">
      <w:pPr>
        <w:pStyle w:val="9"/>
        <w:spacing w:before="11"/>
        <w:ind w:left="0"/>
        <w:jc w:val="left"/>
        <w:rPr>
          <w:rFonts w:hint="eastAsia"/>
          <w:sz w:val="30"/>
          <w:szCs w:val="30"/>
        </w:rPr>
      </w:pPr>
      <w:r>
        <w:rPr>
          <w:rFonts w:hint="eastAsia"/>
          <w:sz w:val="30"/>
          <w:szCs w:val="30"/>
        </w:rPr>
        <w:t>We have seen that the eschatological interpretation of the OT is inseparable from the typological; that by its very nature OT typology looks forward to the last things.</w:t>
      </w:r>
    </w:p>
    <w:p w14:paraId="02F696AB">
      <w:pPr>
        <w:pStyle w:val="9"/>
        <w:spacing w:before="11"/>
        <w:ind w:left="0"/>
        <w:jc w:val="left"/>
        <w:rPr>
          <w:rFonts w:hint="eastAsia"/>
          <w:sz w:val="30"/>
          <w:szCs w:val="30"/>
        </w:rPr>
      </w:pPr>
      <w:r>
        <w:rPr>
          <w:rFonts w:hint="eastAsia"/>
          <w:sz w:val="30"/>
          <w:szCs w:val="30"/>
        </w:rPr>
        <w:t>我们已经看到，对旧约的末世性解释与预表性解释是分不开的；旧约预表学本质上就展望末后的事。</w:t>
      </w:r>
    </w:p>
    <w:p w14:paraId="5C1BA126">
      <w:pPr>
        <w:pStyle w:val="9"/>
        <w:spacing w:before="11"/>
        <w:ind w:left="0"/>
        <w:jc w:val="left"/>
        <w:rPr>
          <w:rFonts w:hint="eastAsia"/>
          <w:sz w:val="30"/>
          <w:szCs w:val="30"/>
        </w:rPr>
      </w:pPr>
    </w:p>
    <w:p w14:paraId="614A69E2">
      <w:pPr>
        <w:pStyle w:val="9"/>
        <w:spacing w:before="11"/>
        <w:ind w:left="0"/>
        <w:jc w:val="left"/>
        <w:rPr>
          <w:rFonts w:hint="eastAsia"/>
          <w:sz w:val="30"/>
          <w:szCs w:val="30"/>
        </w:rPr>
      </w:pPr>
      <w:r>
        <w:rPr>
          <w:rFonts w:hint="eastAsia"/>
          <w:sz w:val="30"/>
          <w:szCs w:val="30"/>
        </w:rPr>
        <w:t>Over and again, the apostles demonstrate their appreciation of this new and crucial truth.</w:t>
      </w:r>
    </w:p>
    <w:p w14:paraId="22B6B81F">
      <w:pPr>
        <w:pStyle w:val="9"/>
        <w:spacing w:before="11"/>
        <w:ind w:left="0"/>
        <w:jc w:val="left"/>
        <w:rPr>
          <w:rFonts w:hint="eastAsia"/>
          <w:sz w:val="30"/>
          <w:szCs w:val="30"/>
        </w:rPr>
      </w:pPr>
      <w:r>
        <w:rPr>
          <w:rFonts w:hint="eastAsia"/>
          <w:sz w:val="30"/>
          <w:szCs w:val="30"/>
        </w:rPr>
        <w:t>使徒们一再地展示了他们对这个新的、关键的真理的领会。</w:t>
      </w:r>
    </w:p>
    <w:p w14:paraId="4232BD34">
      <w:pPr>
        <w:pStyle w:val="9"/>
        <w:spacing w:before="11"/>
        <w:ind w:left="0"/>
        <w:jc w:val="left"/>
        <w:rPr>
          <w:rFonts w:hint="eastAsia"/>
          <w:sz w:val="30"/>
          <w:szCs w:val="30"/>
        </w:rPr>
      </w:pPr>
    </w:p>
    <w:p w14:paraId="5E7785C6">
      <w:pPr>
        <w:pStyle w:val="9"/>
        <w:spacing w:before="11"/>
        <w:ind w:left="0"/>
        <w:jc w:val="left"/>
        <w:rPr>
          <w:rFonts w:hint="eastAsia"/>
          <w:sz w:val="30"/>
          <w:szCs w:val="30"/>
        </w:rPr>
      </w:pPr>
      <w:r>
        <w:rPr>
          <w:rFonts w:hint="eastAsia"/>
          <w:sz w:val="30"/>
          <w:szCs w:val="30"/>
        </w:rPr>
        <w:t>The first Adam was a type of the last Adam (Rom. 5:12-21, 1 Cor. 15:45).</w:t>
      </w:r>
    </w:p>
    <w:p w14:paraId="17AFC06E">
      <w:pPr>
        <w:pStyle w:val="9"/>
        <w:spacing w:before="11"/>
        <w:ind w:left="0"/>
        <w:jc w:val="left"/>
        <w:rPr>
          <w:rFonts w:hint="eastAsia"/>
          <w:sz w:val="30"/>
          <w:szCs w:val="30"/>
        </w:rPr>
      </w:pPr>
      <w:r>
        <w:rPr>
          <w:rFonts w:hint="eastAsia"/>
          <w:sz w:val="30"/>
          <w:szCs w:val="30"/>
        </w:rPr>
        <w:t>第一个亚当是末后亚当的预表（罗马书 5:12-21, 哥林多前书 15:45）。</w:t>
      </w:r>
    </w:p>
    <w:p w14:paraId="223228F8">
      <w:pPr>
        <w:pStyle w:val="9"/>
        <w:spacing w:before="11"/>
        <w:ind w:left="0"/>
        <w:jc w:val="left"/>
        <w:rPr>
          <w:rFonts w:hint="eastAsia"/>
          <w:sz w:val="30"/>
          <w:szCs w:val="30"/>
        </w:rPr>
      </w:pPr>
    </w:p>
    <w:p w14:paraId="6D7C72CC">
      <w:pPr>
        <w:pStyle w:val="9"/>
        <w:spacing w:before="11"/>
        <w:ind w:left="0"/>
        <w:jc w:val="left"/>
        <w:rPr>
          <w:rFonts w:hint="eastAsia"/>
          <w:sz w:val="30"/>
          <w:szCs w:val="30"/>
        </w:rPr>
      </w:pPr>
      <w:r>
        <w:rPr>
          <w:rFonts w:hint="eastAsia"/>
          <w:sz w:val="30"/>
          <w:szCs w:val="30"/>
        </w:rPr>
        <w:t>The first deliverer (Moses) was a type of the last Deliverer (Acts 3:20-22, Heb. 3:2-6).</w:t>
      </w:r>
    </w:p>
    <w:p w14:paraId="08BB63E0">
      <w:pPr>
        <w:pStyle w:val="9"/>
        <w:spacing w:before="11"/>
        <w:ind w:left="0"/>
        <w:jc w:val="left"/>
        <w:rPr>
          <w:rFonts w:hint="eastAsia"/>
          <w:sz w:val="30"/>
          <w:szCs w:val="30"/>
        </w:rPr>
      </w:pPr>
      <w:r>
        <w:rPr>
          <w:rFonts w:hint="eastAsia"/>
          <w:sz w:val="30"/>
          <w:szCs w:val="30"/>
        </w:rPr>
        <w:t>第一位拯救者（摩西）是末后拯救者的预表（使徒行传 3:20-22, 希伯来书 3:2-6）。</w:t>
      </w:r>
    </w:p>
    <w:p w14:paraId="2D3AE715">
      <w:pPr>
        <w:pStyle w:val="9"/>
        <w:spacing w:before="11"/>
        <w:ind w:left="0"/>
        <w:jc w:val="left"/>
        <w:rPr>
          <w:rFonts w:hint="eastAsia"/>
          <w:sz w:val="30"/>
          <w:szCs w:val="30"/>
        </w:rPr>
      </w:pPr>
    </w:p>
    <w:p w14:paraId="5AB6BB96">
      <w:pPr>
        <w:pStyle w:val="9"/>
        <w:spacing w:before="11"/>
        <w:ind w:left="0"/>
        <w:jc w:val="left"/>
        <w:rPr>
          <w:rFonts w:hint="eastAsia"/>
          <w:sz w:val="30"/>
          <w:szCs w:val="30"/>
        </w:rPr>
      </w:pPr>
      <w:r>
        <w:rPr>
          <w:rFonts w:hint="eastAsia"/>
          <w:sz w:val="30"/>
          <w:szCs w:val="30"/>
        </w:rPr>
        <w:t>The first Passover was a type of the last Passover (1 Cor. 5:7).</w:t>
      </w:r>
    </w:p>
    <w:p w14:paraId="1CE0C02C">
      <w:pPr>
        <w:pStyle w:val="9"/>
        <w:spacing w:before="11"/>
        <w:ind w:left="0"/>
        <w:jc w:val="left"/>
        <w:rPr>
          <w:rFonts w:hint="eastAsia"/>
          <w:sz w:val="30"/>
          <w:szCs w:val="30"/>
        </w:rPr>
      </w:pPr>
      <w:r>
        <w:rPr>
          <w:rFonts w:hint="eastAsia"/>
          <w:sz w:val="30"/>
          <w:szCs w:val="30"/>
        </w:rPr>
        <w:t>第一个逾越节是末后逾越节的预表（哥林多前书 5:7）。</w:t>
      </w:r>
    </w:p>
    <w:p w14:paraId="68E38666">
      <w:pPr>
        <w:pStyle w:val="9"/>
        <w:spacing w:before="11"/>
        <w:ind w:left="0"/>
        <w:jc w:val="left"/>
        <w:rPr>
          <w:rFonts w:hint="eastAsia"/>
          <w:sz w:val="30"/>
          <w:szCs w:val="30"/>
        </w:rPr>
      </w:pPr>
    </w:p>
    <w:p w14:paraId="53EE27FD">
      <w:pPr>
        <w:pStyle w:val="9"/>
        <w:spacing w:before="11"/>
        <w:ind w:left="0"/>
        <w:jc w:val="left"/>
        <w:rPr>
          <w:rFonts w:hint="eastAsia"/>
          <w:sz w:val="30"/>
          <w:szCs w:val="30"/>
        </w:rPr>
      </w:pPr>
      <w:r>
        <w:rPr>
          <w:rFonts w:hint="eastAsia"/>
          <w:sz w:val="30"/>
          <w:szCs w:val="30"/>
        </w:rPr>
        <w:t>The first temple was a type of the last Temple (1 Cor. 3:16, Eph. 2:19-22, 1 Peter 2:4-5).</w:t>
      </w:r>
    </w:p>
    <w:p w14:paraId="6DFFC9C6">
      <w:pPr>
        <w:pStyle w:val="9"/>
        <w:spacing w:before="11"/>
        <w:ind w:left="0"/>
        <w:jc w:val="left"/>
        <w:rPr>
          <w:rFonts w:hint="eastAsia"/>
          <w:sz w:val="30"/>
          <w:szCs w:val="30"/>
        </w:rPr>
      </w:pPr>
      <w:r>
        <w:rPr>
          <w:rFonts w:hint="eastAsia"/>
          <w:sz w:val="30"/>
          <w:szCs w:val="30"/>
        </w:rPr>
        <w:t>第一个圣殿是末后圣殿的预表（哥林多前书 3:16, 以弗所书 2:19-22, 彼得前书 2:4-5）。</w:t>
      </w:r>
    </w:p>
    <w:p w14:paraId="40604720">
      <w:pPr>
        <w:pStyle w:val="9"/>
        <w:spacing w:before="11"/>
        <w:ind w:left="0"/>
        <w:jc w:val="left"/>
        <w:rPr>
          <w:rFonts w:hint="eastAsia"/>
          <w:sz w:val="30"/>
          <w:szCs w:val="30"/>
        </w:rPr>
      </w:pPr>
    </w:p>
    <w:p w14:paraId="5F872673">
      <w:pPr>
        <w:pStyle w:val="9"/>
        <w:spacing w:before="11"/>
        <w:ind w:left="0"/>
        <w:jc w:val="left"/>
        <w:rPr>
          <w:rFonts w:hint="eastAsia"/>
          <w:sz w:val="30"/>
          <w:szCs w:val="30"/>
        </w:rPr>
      </w:pPr>
      <w:r>
        <w:rPr>
          <w:rFonts w:hint="eastAsia"/>
          <w:sz w:val="30"/>
          <w:szCs w:val="30"/>
        </w:rPr>
        <w:t>This is but a sampling of the many cases in which the lesser, temporary, and physical things of the OT look forward to the greater, permanent, and spiritual things of the NT; in which they look forward to the last things.</w:t>
      </w:r>
    </w:p>
    <w:p w14:paraId="596D0BE4">
      <w:pPr>
        <w:pStyle w:val="9"/>
        <w:spacing w:before="11"/>
        <w:ind w:left="0"/>
        <w:jc w:val="left"/>
        <w:rPr>
          <w:rFonts w:hint="eastAsia"/>
          <w:sz w:val="30"/>
          <w:szCs w:val="30"/>
        </w:rPr>
      </w:pPr>
      <w:r>
        <w:rPr>
          <w:rFonts w:hint="eastAsia"/>
          <w:sz w:val="30"/>
          <w:szCs w:val="30"/>
        </w:rPr>
        <w:t>这只是许多例子中的一个抽样，其中旧约中较小的、暂时的、物质的事物展望新约中更大的、永久的、属灵的事物；其中它们展望末后的事。</w:t>
      </w:r>
    </w:p>
    <w:p w14:paraId="540D2AE1">
      <w:pPr>
        <w:pStyle w:val="9"/>
        <w:spacing w:before="11"/>
        <w:ind w:left="0"/>
        <w:jc w:val="left"/>
        <w:rPr>
          <w:rFonts w:hint="eastAsia"/>
          <w:sz w:val="30"/>
          <w:szCs w:val="30"/>
        </w:rPr>
      </w:pPr>
    </w:p>
    <w:p w14:paraId="6FB70AA1">
      <w:pPr>
        <w:pStyle w:val="9"/>
        <w:spacing w:before="11"/>
        <w:ind w:left="0"/>
        <w:jc w:val="left"/>
        <w:rPr>
          <w:rFonts w:hint="eastAsia"/>
          <w:sz w:val="30"/>
          <w:szCs w:val="30"/>
        </w:rPr>
      </w:pPr>
      <w:r>
        <w:rPr>
          <w:rFonts w:hint="eastAsia"/>
          <w:sz w:val="30"/>
          <w:szCs w:val="30"/>
        </w:rPr>
        <w:t>Turning again to Genesis 3:15, we find that the eschatological mode of seeing yields rich treasures.</w:t>
      </w:r>
    </w:p>
    <w:p w14:paraId="0464C5E8">
      <w:pPr>
        <w:pStyle w:val="9"/>
        <w:spacing w:before="11"/>
        <w:ind w:left="0"/>
        <w:jc w:val="left"/>
        <w:rPr>
          <w:rFonts w:hint="eastAsia"/>
          <w:sz w:val="30"/>
          <w:szCs w:val="30"/>
        </w:rPr>
      </w:pPr>
      <w:r>
        <w:rPr>
          <w:rFonts w:hint="eastAsia"/>
          <w:sz w:val="30"/>
          <w:szCs w:val="30"/>
        </w:rPr>
        <w:t>再次转向创世记 3:15，我们发现末世性的看见模式能产生丰富的宝藏。</w:t>
      </w:r>
    </w:p>
    <w:p w14:paraId="7728525B">
      <w:pPr>
        <w:pStyle w:val="9"/>
        <w:spacing w:before="11"/>
        <w:ind w:left="0"/>
        <w:jc w:val="left"/>
        <w:rPr>
          <w:rFonts w:hint="eastAsia"/>
          <w:sz w:val="30"/>
          <w:szCs w:val="30"/>
        </w:rPr>
      </w:pPr>
    </w:p>
    <w:p w14:paraId="1AA28F47">
      <w:pPr>
        <w:pStyle w:val="9"/>
        <w:spacing w:before="11"/>
        <w:ind w:left="0"/>
        <w:jc w:val="left"/>
        <w:rPr>
          <w:rFonts w:hint="eastAsia"/>
          <w:sz w:val="30"/>
          <w:szCs w:val="30"/>
        </w:rPr>
      </w:pPr>
      <w:r>
        <w:rPr>
          <w:rFonts w:hint="eastAsia"/>
          <w:sz w:val="30"/>
          <w:szCs w:val="30"/>
        </w:rPr>
        <w:t>Looking beyond the literal sense to the typological, we suddenly hear God speaking of that which he will do in the fullness of time, in the last days: He will put enmity between the Serpent (Satan) and the Seed of the Woman (Christ), so much so that the two will enter into mortal combat.</w:t>
      </w:r>
    </w:p>
    <w:p w14:paraId="5D349C61">
      <w:pPr>
        <w:pStyle w:val="9"/>
        <w:spacing w:before="11"/>
        <w:ind w:left="0"/>
        <w:jc w:val="left"/>
        <w:rPr>
          <w:rFonts w:hint="eastAsia"/>
          <w:sz w:val="30"/>
          <w:szCs w:val="30"/>
        </w:rPr>
      </w:pPr>
      <w:r>
        <w:rPr>
          <w:rFonts w:hint="eastAsia"/>
          <w:sz w:val="30"/>
          <w:szCs w:val="30"/>
        </w:rPr>
        <w:t>超越字面意义，从预表的角度看，我们突然听到上帝在谈论祂将在时候满足，在末后的日子所要做的事：祂将在蛇（撒但）和女人的后裔（基督）之间放置敌意，以致两者将进入殊死搏斗。</w:t>
      </w:r>
    </w:p>
    <w:p w14:paraId="100F3684">
      <w:pPr>
        <w:pStyle w:val="9"/>
        <w:spacing w:before="11"/>
        <w:ind w:left="0"/>
        <w:jc w:val="left"/>
        <w:rPr>
          <w:rFonts w:hint="eastAsia"/>
          <w:sz w:val="30"/>
          <w:szCs w:val="30"/>
        </w:rPr>
      </w:pPr>
    </w:p>
    <w:p w14:paraId="17F83ACB">
      <w:pPr>
        <w:pStyle w:val="9"/>
        <w:spacing w:before="11"/>
        <w:ind w:left="0"/>
        <w:jc w:val="left"/>
        <w:rPr>
          <w:rFonts w:hint="eastAsia"/>
          <w:sz w:val="30"/>
          <w:szCs w:val="30"/>
        </w:rPr>
      </w:pPr>
      <w:r>
        <w:rPr>
          <w:rFonts w:hint="eastAsia"/>
          <w:sz w:val="30"/>
          <w:szCs w:val="30"/>
        </w:rPr>
        <w:t>Yes, Satan will bruise Christ’s heel unto death.</w:t>
      </w:r>
    </w:p>
    <w:p w14:paraId="5EDBB229">
      <w:pPr>
        <w:pStyle w:val="9"/>
        <w:spacing w:before="11"/>
        <w:ind w:left="0"/>
        <w:jc w:val="left"/>
        <w:rPr>
          <w:rFonts w:hint="eastAsia"/>
          <w:sz w:val="30"/>
          <w:szCs w:val="30"/>
        </w:rPr>
      </w:pPr>
      <w:r>
        <w:rPr>
          <w:rFonts w:hint="eastAsia"/>
          <w:sz w:val="30"/>
          <w:szCs w:val="30"/>
        </w:rPr>
        <w:t>是的，撒但要伤基督的脚跟，以致于死。</w:t>
      </w:r>
    </w:p>
    <w:p w14:paraId="151005EB">
      <w:pPr>
        <w:pStyle w:val="9"/>
        <w:spacing w:before="11"/>
        <w:ind w:left="0"/>
        <w:jc w:val="left"/>
        <w:rPr>
          <w:rFonts w:hint="eastAsia"/>
          <w:sz w:val="30"/>
          <w:szCs w:val="30"/>
        </w:rPr>
      </w:pPr>
    </w:p>
    <w:p w14:paraId="626B778D">
      <w:pPr>
        <w:pStyle w:val="9"/>
        <w:spacing w:before="11"/>
        <w:ind w:left="0"/>
        <w:jc w:val="left"/>
        <w:rPr>
          <w:rFonts w:hint="eastAsia"/>
          <w:sz w:val="30"/>
          <w:szCs w:val="30"/>
        </w:rPr>
      </w:pPr>
      <w:r>
        <w:rPr>
          <w:rFonts w:hint="eastAsia"/>
          <w:sz w:val="30"/>
          <w:szCs w:val="30"/>
        </w:rPr>
        <w:t>However, as Christ’s resurrection will abundantly show to all nations, Satan’s “victory” will swiftly be reckoned as his ultimate defeat.</w:t>
      </w:r>
    </w:p>
    <w:p w14:paraId="777D129D">
      <w:pPr>
        <w:pStyle w:val="9"/>
        <w:spacing w:before="11"/>
        <w:ind w:left="0"/>
        <w:jc w:val="left"/>
        <w:rPr>
          <w:rFonts w:hint="eastAsia"/>
          <w:sz w:val="30"/>
          <w:szCs w:val="30"/>
        </w:rPr>
      </w:pPr>
      <w:r>
        <w:rPr>
          <w:rFonts w:hint="eastAsia"/>
          <w:sz w:val="30"/>
          <w:szCs w:val="30"/>
        </w:rPr>
        <w:t>然而，正如基督的复活将向万国丰丰富富地显明，撒但的“胜利”将迅速被算为他的最终失败。</w:t>
      </w:r>
    </w:p>
    <w:p w14:paraId="67EED957">
      <w:pPr>
        <w:pStyle w:val="9"/>
        <w:spacing w:before="11"/>
        <w:ind w:left="0"/>
        <w:jc w:val="left"/>
        <w:rPr>
          <w:rFonts w:hint="eastAsia"/>
          <w:sz w:val="30"/>
          <w:szCs w:val="30"/>
        </w:rPr>
      </w:pPr>
    </w:p>
    <w:p w14:paraId="74EBB5EC">
      <w:pPr>
        <w:pStyle w:val="9"/>
        <w:spacing w:before="11"/>
        <w:ind w:left="0"/>
        <w:jc w:val="left"/>
        <w:rPr>
          <w:rFonts w:hint="eastAsia"/>
          <w:sz w:val="30"/>
          <w:szCs w:val="30"/>
        </w:rPr>
      </w:pPr>
      <w:r>
        <w:rPr>
          <w:rFonts w:hint="eastAsia"/>
          <w:sz w:val="30"/>
          <w:szCs w:val="30"/>
        </w:rPr>
        <w:t>For by God’s own design, Christ’s death will be redemptive; and because it will be redemptive, the Woman too will be brought back to (spiritual) life, learn to hate her former master, and—at the end of the story—be the very instrument of judgment by which her new Master will altogether crush the head of Satan and his willing followers (Ezek. 37:1ff, Rom. 16:20, 1 Cor. 6:2-3).</w:t>
      </w:r>
    </w:p>
    <w:p w14:paraId="5EDF752F">
      <w:pPr>
        <w:pStyle w:val="9"/>
        <w:spacing w:before="11"/>
        <w:ind w:left="0"/>
        <w:jc w:val="left"/>
        <w:rPr>
          <w:rFonts w:hint="eastAsia"/>
          <w:sz w:val="30"/>
          <w:szCs w:val="30"/>
        </w:rPr>
      </w:pPr>
      <w:r>
        <w:rPr>
          <w:rFonts w:hint="eastAsia"/>
          <w:sz w:val="30"/>
          <w:szCs w:val="30"/>
        </w:rPr>
        <w:t>因为根据上帝自己的设计，基督的死将是救赎性的；又因为它将是救赎性的，那女人也将被带回（属灵的）生命，学会憎恨她从前的主人，并且——在故事的结尾——成为审判的工具，她的新主人将藉此完全击碎撒但和他甘心跟从者的头（以西结书 37:1及后文, 罗马书 16:20, 哥林多前书 6:2-3）。</w:t>
      </w:r>
    </w:p>
    <w:p w14:paraId="0FD00BAE">
      <w:pPr>
        <w:pStyle w:val="9"/>
        <w:spacing w:before="11"/>
        <w:ind w:left="0"/>
        <w:jc w:val="left"/>
        <w:rPr>
          <w:rFonts w:hint="eastAsia"/>
          <w:sz w:val="30"/>
          <w:szCs w:val="30"/>
        </w:rPr>
      </w:pPr>
    </w:p>
    <w:p w14:paraId="7BB450D3">
      <w:pPr>
        <w:pStyle w:val="9"/>
        <w:spacing w:before="11"/>
        <w:ind w:left="0"/>
        <w:jc w:val="left"/>
        <w:rPr>
          <w:rFonts w:hint="eastAsia"/>
          <w:sz w:val="30"/>
          <w:szCs w:val="30"/>
        </w:rPr>
      </w:pPr>
      <w:r>
        <w:rPr>
          <w:rFonts w:hint="eastAsia"/>
          <w:sz w:val="30"/>
          <w:szCs w:val="30"/>
        </w:rPr>
        <w:t>All this and more comes immediately into view when, with fully developed NT eyes, we look for the eschatological sense of Genesis 3:15.</w:t>
      </w:r>
    </w:p>
    <w:p w14:paraId="0E39EA0C">
      <w:pPr>
        <w:pStyle w:val="9"/>
        <w:spacing w:before="11"/>
        <w:ind w:left="0"/>
        <w:jc w:val="left"/>
        <w:rPr>
          <w:rFonts w:hint="eastAsia"/>
          <w:sz w:val="30"/>
          <w:szCs w:val="30"/>
        </w:rPr>
      </w:pPr>
      <w:r>
        <w:rPr>
          <w:rFonts w:hint="eastAsia"/>
          <w:sz w:val="30"/>
          <w:szCs w:val="30"/>
        </w:rPr>
        <w:t>当我们用完全发展成熟的新约眼光去寻找创世记 3:15 的末世性意义时，所有这一切以及更多都立刻映入眼帘。</w:t>
      </w:r>
    </w:p>
    <w:p w14:paraId="0F1D1FFA">
      <w:pPr>
        <w:pStyle w:val="9"/>
        <w:spacing w:before="11"/>
        <w:ind w:left="0"/>
        <w:jc w:val="left"/>
        <w:rPr>
          <w:rFonts w:hint="eastAsia"/>
          <w:sz w:val="30"/>
          <w:szCs w:val="30"/>
        </w:rPr>
      </w:pPr>
    </w:p>
    <w:p w14:paraId="4416B9B3">
      <w:pPr>
        <w:pStyle w:val="9"/>
        <w:spacing w:before="11"/>
        <w:ind w:left="0"/>
        <w:jc w:val="left"/>
        <w:rPr>
          <w:rFonts w:hint="eastAsia"/>
          <w:sz w:val="30"/>
          <w:szCs w:val="30"/>
        </w:rPr>
      </w:pPr>
      <w:r>
        <w:rPr>
          <w:rFonts w:hint="eastAsia"/>
          <w:sz w:val="30"/>
          <w:szCs w:val="30"/>
        </w:rPr>
        <w:t>5.Covenantal</w:t>
      </w:r>
    </w:p>
    <w:p w14:paraId="6DBF4396">
      <w:pPr>
        <w:pStyle w:val="9"/>
        <w:spacing w:before="11"/>
        <w:ind w:left="0"/>
        <w:jc w:val="left"/>
        <w:rPr>
          <w:rFonts w:hint="eastAsia"/>
          <w:sz w:val="30"/>
          <w:szCs w:val="30"/>
        </w:rPr>
      </w:pPr>
      <w:r>
        <w:rPr>
          <w:rFonts w:hint="eastAsia"/>
          <w:sz w:val="30"/>
          <w:szCs w:val="30"/>
        </w:rPr>
        <w:t>5.圣约性的</w:t>
      </w:r>
    </w:p>
    <w:p w14:paraId="3EEB1F1E">
      <w:pPr>
        <w:pStyle w:val="9"/>
        <w:spacing w:before="11"/>
        <w:ind w:left="0"/>
        <w:jc w:val="left"/>
        <w:rPr>
          <w:rFonts w:hint="eastAsia"/>
          <w:sz w:val="30"/>
          <w:szCs w:val="30"/>
        </w:rPr>
      </w:pPr>
    </w:p>
    <w:p w14:paraId="721A1429">
      <w:pPr>
        <w:pStyle w:val="9"/>
        <w:spacing w:before="11"/>
        <w:ind w:left="0"/>
        <w:jc w:val="left"/>
        <w:rPr>
          <w:rFonts w:hint="eastAsia"/>
          <w:sz w:val="30"/>
          <w:szCs w:val="30"/>
        </w:rPr>
      </w:pPr>
      <w:r>
        <w:rPr>
          <w:rFonts w:hint="eastAsia"/>
          <w:sz w:val="30"/>
          <w:szCs w:val="30"/>
        </w:rPr>
        <w:t>Having received all wisdom and insight into the eternal purpose and plan of God, the apostles were now able to read the OT covenantally; they were able to look beyond the types and shadows to the great mystery of God, the Eternal Covenant in Christ.</w:t>
      </w:r>
    </w:p>
    <w:p w14:paraId="02545D37">
      <w:pPr>
        <w:pStyle w:val="9"/>
        <w:spacing w:before="11"/>
        <w:ind w:left="0"/>
        <w:jc w:val="left"/>
        <w:rPr>
          <w:rFonts w:hint="eastAsia"/>
          <w:sz w:val="30"/>
          <w:szCs w:val="30"/>
        </w:rPr>
      </w:pPr>
      <w:r>
        <w:rPr>
          <w:rFonts w:hint="eastAsia"/>
          <w:sz w:val="30"/>
          <w:szCs w:val="30"/>
        </w:rPr>
        <w:t>领受了关于上帝永恒旨意和计划的一切智慧和洞见后，使徒们现在能够以圣约的方式阅读旧约；他们能够超越预表和影儿，看到上帝伟大的奥秘，即在基督里的永恒之约。</w:t>
      </w:r>
    </w:p>
    <w:p w14:paraId="7D2D49D1">
      <w:pPr>
        <w:pStyle w:val="9"/>
        <w:spacing w:before="11"/>
        <w:ind w:left="0"/>
        <w:jc w:val="left"/>
        <w:rPr>
          <w:rFonts w:hint="eastAsia"/>
          <w:sz w:val="30"/>
          <w:szCs w:val="30"/>
        </w:rPr>
      </w:pPr>
    </w:p>
    <w:p w14:paraId="296B6BC0">
      <w:pPr>
        <w:pStyle w:val="9"/>
        <w:spacing w:before="11"/>
        <w:ind w:left="0"/>
        <w:jc w:val="left"/>
        <w:rPr>
          <w:rFonts w:hint="eastAsia"/>
          <w:sz w:val="30"/>
          <w:szCs w:val="30"/>
        </w:rPr>
      </w:pPr>
      <w:r>
        <w:rPr>
          <w:rFonts w:hint="eastAsia"/>
          <w:sz w:val="30"/>
          <w:szCs w:val="30"/>
        </w:rPr>
        <w:t>Moreover, in writing as they did, they gave us the tools to do the same.</w:t>
      </w:r>
    </w:p>
    <w:p w14:paraId="2A96AA23">
      <w:pPr>
        <w:pStyle w:val="9"/>
        <w:spacing w:before="11"/>
        <w:ind w:left="0"/>
        <w:jc w:val="left"/>
        <w:rPr>
          <w:rFonts w:hint="eastAsia"/>
          <w:sz w:val="30"/>
          <w:szCs w:val="30"/>
        </w:rPr>
      </w:pPr>
      <w:r>
        <w:rPr>
          <w:rFonts w:hint="eastAsia"/>
          <w:sz w:val="30"/>
          <w:szCs w:val="30"/>
        </w:rPr>
        <w:t>此外，在他们如此写作时，他们也给了我们做同样事情的工具。</w:t>
      </w:r>
    </w:p>
    <w:p w14:paraId="1FC85045">
      <w:pPr>
        <w:pStyle w:val="9"/>
        <w:spacing w:before="11"/>
        <w:ind w:left="0"/>
        <w:jc w:val="left"/>
        <w:rPr>
          <w:rFonts w:hint="eastAsia"/>
          <w:sz w:val="30"/>
          <w:szCs w:val="30"/>
        </w:rPr>
      </w:pPr>
    </w:p>
    <w:p w14:paraId="14B818F8">
      <w:pPr>
        <w:pStyle w:val="9"/>
        <w:spacing w:before="11"/>
        <w:ind w:left="0"/>
        <w:jc w:val="left"/>
        <w:rPr>
          <w:rFonts w:hint="eastAsia"/>
          <w:sz w:val="30"/>
          <w:szCs w:val="30"/>
        </w:rPr>
      </w:pPr>
      <w:r>
        <w:rPr>
          <w:rFonts w:hint="eastAsia"/>
          <w:sz w:val="30"/>
          <w:szCs w:val="30"/>
        </w:rPr>
        <w:t>In chapters 7 and 8, we discussed the nature of the Eternal Covenant at some length, and also explored its relevance for the proper interpretation of the OT.</w:t>
      </w:r>
    </w:p>
    <w:p w14:paraId="1E115E8E">
      <w:pPr>
        <w:pStyle w:val="9"/>
        <w:spacing w:before="11"/>
        <w:ind w:left="0"/>
        <w:jc w:val="left"/>
        <w:rPr>
          <w:rFonts w:hint="eastAsia"/>
          <w:sz w:val="30"/>
          <w:szCs w:val="30"/>
        </w:rPr>
      </w:pPr>
      <w:r>
        <w:rPr>
          <w:rFonts w:hint="eastAsia"/>
          <w:sz w:val="30"/>
          <w:szCs w:val="30"/>
        </w:rPr>
        <w:t>在第7章和第8章，我们相当详细地讨论了永恒之约的性质，并探讨了它对正确解释旧约的关联性。</w:t>
      </w:r>
    </w:p>
    <w:p w14:paraId="786CC2D4">
      <w:pPr>
        <w:pStyle w:val="9"/>
        <w:spacing w:before="11"/>
        <w:ind w:left="0"/>
        <w:jc w:val="left"/>
        <w:rPr>
          <w:rFonts w:hint="eastAsia"/>
          <w:sz w:val="30"/>
          <w:szCs w:val="30"/>
        </w:rPr>
      </w:pPr>
    </w:p>
    <w:p w14:paraId="6B775702">
      <w:pPr>
        <w:pStyle w:val="9"/>
        <w:spacing w:before="11"/>
        <w:ind w:left="0"/>
        <w:jc w:val="left"/>
        <w:rPr>
          <w:rFonts w:hint="eastAsia"/>
          <w:sz w:val="30"/>
          <w:szCs w:val="30"/>
        </w:rPr>
      </w:pPr>
      <w:r>
        <w:rPr>
          <w:rFonts w:hint="eastAsia"/>
          <w:sz w:val="30"/>
          <w:szCs w:val="30"/>
        </w:rPr>
        <w:t>We learned that we are reading the OT covenantally when we look for both sides of the one Covenant: The Covenant of Redemption (i.e., the covenant between the Father and the Son) and the Covenant of Grace (i.e., the covenant between God and his people).</w:t>
      </w:r>
    </w:p>
    <w:p w14:paraId="16304B42">
      <w:pPr>
        <w:pStyle w:val="9"/>
        <w:spacing w:before="11"/>
        <w:ind w:left="0"/>
        <w:jc w:val="left"/>
        <w:rPr>
          <w:rFonts w:hint="eastAsia"/>
          <w:sz w:val="30"/>
          <w:szCs w:val="30"/>
        </w:rPr>
      </w:pPr>
      <w:r>
        <w:rPr>
          <w:rFonts w:hint="eastAsia"/>
          <w:sz w:val="30"/>
          <w:szCs w:val="30"/>
        </w:rPr>
        <w:t>我们学到，当我们寻找同一个约的两个方面时，我们就是在以圣约的方式阅读旧约：即救赎之约（父与子之间的约）和恩典之约（上帝与祂子民之间的约）。</w:t>
      </w:r>
    </w:p>
    <w:p w14:paraId="505CE796">
      <w:pPr>
        <w:pStyle w:val="9"/>
        <w:spacing w:before="11"/>
        <w:ind w:left="0"/>
        <w:jc w:val="left"/>
        <w:rPr>
          <w:rFonts w:hint="eastAsia"/>
          <w:sz w:val="30"/>
          <w:szCs w:val="30"/>
        </w:rPr>
      </w:pPr>
    </w:p>
    <w:p w14:paraId="2FFA6A25">
      <w:pPr>
        <w:pStyle w:val="9"/>
        <w:spacing w:before="11"/>
        <w:ind w:left="0"/>
        <w:jc w:val="left"/>
        <w:rPr>
          <w:rFonts w:hint="eastAsia"/>
          <w:sz w:val="30"/>
          <w:szCs w:val="30"/>
        </w:rPr>
      </w:pPr>
      <w:r>
        <w:rPr>
          <w:rFonts w:hint="eastAsia"/>
          <w:sz w:val="30"/>
          <w:szCs w:val="30"/>
        </w:rPr>
        <w:t>Also, we are reading covenantally when we look for the key elements of covenants: the parties, the promise, the provision, the proviso, and (in the case of the Covenant of Grace) the penalty for all who refuse to enter.</w:t>
      </w:r>
    </w:p>
    <w:p w14:paraId="15005727">
      <w:pPr>
        <w:pStyle w:val="9"/>
        <w:spacing w:before="11"/>
        <w:ind w:left="0"/>
        <w:jc w:val="left"/>
        <w:rPr>
          <w:rFonts w:hint="eastAsia"/>
          <w:sz w:val="30"/>
          <w:szCs w:val="30"/>
        </w:rPr>
      </w:pPr>
      <w:r>
        <w:rPr>
          <w:rFonts w:hint="eastAsia"/>
          <w:sz w:val="30"/>
          <w:szCs w:val="30"/>
        </w:rPr>
        <w:t>此外，当我们寻找圣约的关键要素时，我们也是在以圣约的方式阅读：即立约双方、应许、预备、条件，以及（在恩典之约的情况下）对所有拒绝进入者的惩罚。</w:t>
      </w:r>
    </w:p>
    <w:p w14:paraId="6E35A134">
      <w:pPr>
        <w:pStyle w:val="9"/>
        <w:spacing w:before="11"/>
        <w:ind w:left="0"/>
        <w:jc w:val="left"/>
        <w:rPr>
          <w:rFonts w:hint="eastAsia"/>
          <w:sz w:val="30"/>
          <w:szCs w:val="30"/>
        </w:rPr>
      </w:pPr>
    </w:p>
    <w:p w14:paraId="7B6BC29E">
      <w:pPr>
        <w:pStyle w:val="9"/>
        <w:spacing w:before="11"/>
        <w:ind w:left="0"/>
        <w:jc w:val="left"/>
        <w:rPr>
          <w:rFonts w:hint="eastAsia"/>
          <w:sz w:val="30"/>
          <w:szCs w:val="30"/>
        </w:rPr>
      </w:pPr>
      <w:r>
        <w:rPr>
          <w:rFonts w:hint="eastAsia"/>
          <w:sz w:val="30"/>
          <w:szCs w:val="30"/>
        </w:rPr>
        <w:t>In this new mode of seeing, the apostles point the way.</w:t>
      </w:r>
    </w:p>
    <w:p w14:paraId="6371FAE8">
      <w:pPr>
        <w:pStyle w:val="9"/>
        <w:spacing w:before="11"/>
        <w:ind w:left="0"/>
        <w:jc w:val="left"/>
        <w:rPr>
          <w:rFonts w:hint="eastAsia"/>
          <w:sz w:val="30"/>
          <w:szCs w:val="30"/>
        </w:rPr>
      </w:pPr>
      <w:r>
        <w:rPr>
          <w:rFonts w:hint="eastAsia"/>
          <w:sz w:val="30"/>
          <w:szCs w:val="30"/>
        </w:rPr>
        <w:t>在这种新的看见模式中，使徒们指明了道路。</w:t>
      </w:r>
    </w:p>
    <w:p w14:paraId="4FD5961E">
      <w:pPr>
        <w:pStyle w:val="9"/>
        <w:spacing w:before="11"/>
        <w:ind w:left="0"/>
        <w:jc w:val="left"/>
        <w:rPr>
          <w:rFonts w:hint="eastAsia"/>
          <w:sz w:val="30"/>
          <w:szCs w:val="30"/>
        </w:rPr>
      </w:pPr>
    </w:p>
    <w:p w14:paraId="79851050">
      <w:pPr>
        <w:pStyle w:val="9"/>
        <w:spacing w:before="11"/>
        <w:ind w:left="0"/>
        <w:jc w:val="left"/>
        <w:rPr>
          <w:rFonts w:hint="eastAsia"/>
          <w:sz w:val="30"/>
          <w:szCs w:val="30"/>
        </w:rPr>
      </w:pPr>
      <w:r>
        <w:rPr>
          <w:rFonts w:hint="eastAsia"/>
          <w:sz w:val="30"/>
          <w:szCs w:val="30"/>
        </w:rPr>
        <w:t>Paul, for example, seems clearly to have had the promise of the Covenant of Redemption in view when he wrote, very cryptically, to the Galatians: “Now the promises were spoken to Abraham and to his Seed.</w:t>
      </w:r>
    </w:p>
    <w:p w14:paraId="17C31A77">
      <w:pPr>
        <w:pStyle w:val="9"/>
        <w:spacing w:before="11"/>
        <w:ind w:left="0"/>
        <w:jc w:val="left"/>
        <w:rPr>
          <w:rFonts w:hint="eastAsia"/>
          <w:sz w:val="30"/>
          <w:szCs w:val="30"/>
        </w:rPr>
      </w:pPr>
      <w:r>
        <w:rPr>
          <w:rFonts w:hint="eastAsia"/>
          <w:sz w:val="30"/>
          <w:szCs w:val="30"/>
        </w:rPr>
        <w:t>例如，保罗在写信给加拉太人时，似乎清楚地看到了救赎之约的应许，他非常奥秘地写道：“所应许的原是向亚伯拉罕和祂的后裔说的。</w:t>
      </w:r>
    </w:p>
    <w:p w14:paraId="7F96BC98">
      <w:pPr>
        <w:pStyle w:val="9"/>
        <w:spacing w:before="11"/>
        <w:ind w:left="0"/>
        <w:jc w:val="left"/>
        <w:rPr>
          <w:rFonts w:hint="eastAsia"/>
          <w:sz w:val="30"/>
          <w:szCs w:val="30"/>
        </w:rPr>
      </w:pPr>
    </w:p>
    <w:p w14:paraId="79F87C5B">
      <w:pPr>
        <w:pStyle w:val="9"/>
        <w:spacing w:before="11"/>
        <w:ind w:left="0"/>
        <w:jc w:val="left"/>
        <w:rPr>
          <w:rFonts w:hint="eastAsia"/>
          <w:sz w:val="30"/>
          <w:szCs w:val="30"/>
        </w:rPr>
      </w:pPr>
      <w:r>
        <w:rPr>
          <w:rFonts w:hint="eastAsia"/>
          <w:sz w:val="30"/>
          <w:szCs w:val="30"/>
        </w:rPr>
        <w:t>He does not say, ‘and to seeds,’ as though referring to many, but rather to one, ‘and to your Seed,’ that is, Christ” (Gal. 3:16).</w:t>
      </w:r>
    </w:p>
    <w:p w14:paraId="3AADF0EC">
      <w:pPr>
        <w:pStyle w:val="9"/>
        <w:spacing w:before="11"/>
        <w:ind w:left="0"/>
        <w:jc w:val="left"/>
        <w:rPr>
          <w:rFonts w:hint="eastAsia"/>
          <w:sz w:val="30"/>
          <w:szCs w:val="30"/>
        </w:rPr>
      </w:pPr>
      <w:r>
        <w:rPr>
          <w:rFonts w:hint="eastAsia"/>
          <w:sz w:val="30"/>
          <w:szCs w:val="30"/>
        </w:rPr>
        <w:t>上帝并不是说‘和众后裔’，指着许多人，乃是说‘和你那一个后裔’，指着一个人，就是基督”（加拉太书 3:16）。</w:t>
      </w:r>
    </w:p>
    <w:p w14:paraId="2491F049">
      <w:pPr>
        <w:pStyle w:val="9"/>
        <w:spacing w:before="11"/>
        <w:ind w:left="0"/>
        <w:jc w:val="left"/>
        <w:rPr>
          <w:rFonts w:hint="eastAsia"/>
          <w:sz w:val="30"/>
          <w:szCs w:val="30"/>
        </w:rPr>
      </w:pPr>
    </w:p>
    <w:p w14:paraId="64FF5E76">
      <w:pPr>
        <w:pStyle w:val="9"/>
        <w:spacing w:before="11"/>
        <w:ind w:left="0"/>
        <w:jc w:val="left"/>
        <w:rPr>
          <w:rFonts w:hint="eastAsia"/>
          <w:sz w:val="30"/>
          <w:szCs w:val="30"/>
        </w:rPr>
      </w:pPr>
      <w:r>
        <w:rPr>
          <w:rFonts w:hint="eastAsia"/>
          <w:sz w:val="30"/>
          <w:szCs w:val="30"/>
        </w:rPr>
        <w:t>Yes, God made great and wonderful promises to the (sinful) seed of Abraham; that is, to his spiritual children, to all would later follow in his footsteps by believing the Word of God in the Gospel (Rom. 4:16).</w:t>
      </w:r>
    </w:p>
    <w:p w14:paraId="4949C02A">
      <w:pPr>
        <w:pStyle w:val="9"/>
        <w:spacing w:before="11"/>
        <w:ind w:left="0"/>
        <w:jc w:val="left"/>
        <w:rPr>
          <w:rFonts w:hint="eastAsia"/>
          <w:sz w:val="30"/>
          <w:szCs w:val="30"/>
        </w:rPr>
      </w:pPr>
      <w:r>
        <w:rPr>
          <w:rFonts w:hint="eastAsia"/>
          <w:sz w:val="30"/>
          <w:szCs w:val="30"/>
        </w:rPr>
        <w:t>是的，上帝向亚伯拉罕（有罪的）后裔作了伟大而奇妙的应许；就是向祂的属灵儿女，向所有后来会跟随祂的脚踪，相信福音中上帝话语的人（罗马书 4:16）。</w:t>
      </w:r>
    </w:p>
    <w:p w14:paraId="20582602">
      <w:pPr>
        <w:pStyle w:val="9"/>
        <w:spacing w:before="11"/>
        <w:ind w:left="0"/>
        <w:jc w:val="left"/>
        <w:rPr>
          <w:rFonts w:hint="eastAsia"/>
          <w:sz w:val="30"/>
          <w:szCs w:val="30"/>
        </w:rPr>
      </w:pPr>
    </w:p>
    <w:p w14:paraId="491D9BF6">
      <w:pPr>
        <w:pStyle w:val="9"/>
        <w:spacing w:before="11"/>
        <w:ind w:left="0"/>
        <w:jc w:val="left"/>
        <w:rPr>
          <w:rFonts w:hint="eastAsia"/>
          <w:sz w:val="30"/>
          <w:szCs w:val="30"/>
        </w:rPr>
      </w:pPr>
      <w:r>
        <w:rPr>
          <w:rFonts w:hint="eastAsia"/>
          <w:sz w:val="30"/>
          <w:szCs w:val="30"/>
        </w:rPr>
        <w:t>But, says Paul, that seed receives the promises only because, by faith, they are in the one (divine) Seed of Abraham, to whom God originally made the promises; promises to the effect that he (Christ) would inherit the world (Gen. 12:7, Rom. 4:13), and that in him all the families of the earth would be blessed (Gen. 22:18).</w:t>
      </w:r>
    </w:p>
    <w:p w14:paraId="60CE4192">
      <w:pPr>
        <w:pStyle w:val="9"/>
        <w:spacing w:before="11"/>
        <w:ind w:left="0"/>
        <w:jc w:val="left"/>
        <w:rPr>
          <w:rFonts w:hint="eastAsia"/>
          <w:sz w:val="30"/>
          <w:szCs w:val="30"/>
        </w:rPr>
      </w:pPr>
      <w:r>
        <w:rPr>
          <w:rFonts w:hint="eastAsia"/>
          <w:sz w:val="30"/>
          <w:szCs w:val="30"/>
        </w:rPr>
        <w:t>但是，保罗说，那些后裔领受应许，只是因为他们凭着信心，在那一位（神圣的）亚伯拉罕的后裔里面，上帝最初是向祂作了应许；应许的大意是祂（基督）将承受世界（创世记 12:7, 罗马书 4:13），并且地上的万族都必因祂得福（创世记 22:18）。</w:t>
      </w:r>
    </w:p>
    <w:p w14:paraId="28D4DFA6">
      <w:pPr>
        <w:pStyle w:val="9"/>
        <w:spacing w:before="11"/>
        <w:ind w:left="0"/>
        <w:jc w:val="left"/>
        <w:rPr>
          <w:rFonts w:hint="eastAsia"/>
          <w:sz w:val="30"/>
          <w:szCs w:val="30"/>
        </w:rPr>
      </w:pPr>
    </w:p>
    <w:p w14:paraId="0D54FEFD">
      <w:pPr>
        <w:pStyle w:val="9"/>
        <w:spacing w:before="11"/>
        <w:ind w:left="0"/>
        <w:jc w:val="left"/>
        <w:rPr>
          <w:rFonts w:hint="eastAsia"/>
          <w:sz w:val="30"/>
          <w:szCs w:val="30"/>
        </w:rPr>
      </w:pPr>
      <w:r>
        <w:rPr>
          <w:rFonts w:hint="eastAsia"/>
          <w:sz w:val="30"/>
          <w:szCs w:val="30"/>
        </w:rPr>
        <w:t>Here then, at the dawn of OT history, the apostle catches a precious glimpse of the Father’s eternal promise to his Son in the Covenant of Redemption.</w:t>
      </w:r>
    </w:p>
    <w:p w14:paraId="1837C62F">
      <w:pPr>
        <w:pStyle w:val="9"/>
        <w:spacing w:before="11"/>
        <w:ind w:left="0"/>
        <w:jc w:val="left"/>
        <w:rPr>
          <w:rFonts w:hint="eastAsia"/>
          <w:sz w:val="30"/>
          <w:szCs w:val="30"/>
        </w:rPr>
      </w:pPr>
      <w:r>
        <w:rPr>
          <w:rFonts w:hint="eastAsia"/>
          <w:sz w:val="30"/>
          <w:szCs w:val="30"/>
        </w:rPr>
        <w:t>因此，在旧约历史的黎明，使徒捕捉到了父在救赎之约中对祂儿子永恒应许的宝贵一瞥。</w:t>
      </w:r>
    </w:p>
    <w:p w14:paraId="6762CEED">
      <w:pPr>
        <w:pStyle w:val="9"/>
        <w:spacing w:before="11"/>
        <w:ind w:left="0"/>
        <w:jc w:val="left"/>
        <w:rPr>
          <w:rFonts w:hint="eastAsia"/>
          <w:sz w:val="30"/>
          <w:szCs w:val="30"/>
        </w:rPr>
      </w:pPr>
    </w:p>
    <w:p w14:paraId="4975F8CC">
      <w:pPr>
        <w:pStyle w:val="9"/>
        <w:spacing w:before="11"/>
        <w:ind w:left="0"/>
        <w:jc w:val="left"/>
        <w:rPr>
          <w:rFonts w:hint="eastAsia"/>
          <w:sz w:val="30"/>
          <w:szCs w:val="30"/>
        </w:rPr>
      </w:pPr>
      <w:r>
        <w:rPr>
          <w:rFonts w:hint="eastAsia"/>
          <w:sz w:val="30"/>
          <w:szCs w:val="30"/>
        </w:rPr>
        <w:t>His fellow-apostles behold still others in the lives of Moses (Heb. 3:1-6), David (Acts 2:22-36), and Isaiah (Heb. 2:13).</w:t>
      </w:r>
    </w:p>
    <w:p w14:paraId="66861209">
      <w:pPr>
        <w:pStyle w:val="9"/>
        <w:spacing w:before="11"/>
        <w:ind w:left="0"/>
        <w:jc w:val="left"/>
        <w:rPr>
          <w:rFonts w:hint="eastAsia"/>
          <w:sz w:val="30"/>
          <w:szCs w:val="30"/>
        </w:rPr>
      </w:pPr>
      <w:r>
        <w:rPr>
          <w:rFonts w:hint="eastAsia"/>
          <w:sz w:val="30"/>
          <w:szCs w:val="30"/>
        </w:rPr>
        <w:t>他的同伴使徒们在摩西（希伯来书 3:1-6）、大卫（使徒行传 2:22-36）和以赛亚（希伯来书 2:13）的生平中看到了其他的例子。</w:t>
      </w:r>
    </w:p>
    <w:p w14:paraId="5F733AF8">
      <w:pPr>
        <w:pStyle w:val="9"/>
        <w:spacing w:before="11"/>
        <w:ind w:left="0"/>
        <w:jc w:val="left"/>
        <w:rPr>
          <w:rFonts w:hint="eastAsia"/>
          <w:sz w:val="30"/>
          <w:szCs w:val="30"/>
        </w:rPr>
      </w:pPr>
    </w:p>
    <w:p w14:paraId="6E60F498">
      <w:pPr>
        <w:pStyle w:val="9"/>
        <w:spacing w:before="11"/>
        <w:ind w:left="0"/>
        <w:jc w:val="left"/>
        <w:rPr>
          <w:rFonts w:hint="eastAsia"/>
          <w:sz w:val="30"/>
          <w:szCs w:val="30"/>
        </w:rPr>
      </w:pPr>
      <w:r>
        <w:rPr>
          <w:rFonts w:hint="eastAsia"/>
          <w:sz w:val="30"/>
          <w:szCs w:val="30"/>
        </w:rPr>
        <w:t>As for the Covenant of Grace, we have already seen how the apostles frequently draw upon various OT texts to describe its several elements: its divine and human parties (Gal. 6:16, 1 Peter 2:9-10, 2 Cor. 6:16, Heb. 8:10, Rev. 21:3), its promise (Rom. 4:13, Gal. 3:4, Rev. 2:7, 22:14), its gracious provision (Acts 8:32, 1 Cor. 5:7, 1 Peter 1:18-19), its proviso (Rom. 1:17, 4:3, 6-7, 10:6-8, 2 Cor. 4:13, Gal. 3:11), and its penalty (Rom. 16:20, Heb. 3:16-19, 12:18, 26-27, 2 Peter 2:1-10, Jude 1:7).</w:t>
      </w:r>
    </w:p>
    <w:p w14:paraId="3BF6D472">
      <w:pPr>
        <w:pStyle w:val="9"/>
        <w:spacing w:before="11"/>
        <w:ind w:left="0"/>
        <w:jc w:val="left"/>
        <w:rPr>
          <w:rFonts w:hint="eastAsia"/>
          <w:sz w:val="30"/>
          <w:szCs w:val="30"/>
        </w:rPr>
      </w:pPr>
      <w:r>
        <w:rPr>
          <w:rFonts w:hint="eastAsia"/>
          <w:sz w:val="30"/>
          <w:szCs w:val="30"/>
        </w:rPr>
        <w:t>至于恩典之约，我们已经看到使徒们如何频繁地引用各种旧约经文来描述其几个要素：其神圣和人间的立约方（加拉太书 6:16, 彼得前书 2:9-10, 哥林多后书 6:16, 希伯来书 8:10, 启示录 21:3），其应许（罗马书 4:13, 加拉太书 3:14, 启示录 2:7, 22:14），其恩典的预备（使徒行传 8:32, 哥林多前书 5:7, 彼得前书 1:18-19），其条件（罗马书 1:17, 4:3, 6-7, 10:6-8, 哥林多后书 4:13, 加拉太书 3:11），及其刑罚（罗马书 16:20, 希伯来书 3:16-19, 12:18, 26-27, 彼得后书 2:1-10, 犹大书 1:7）。</w:t>
      </w:r>
    </w:p>
    <w:p w14:paraId="1F4B62BD">
      <w:pPr>
        <w:pStyle w:val="9"/>
        <w:spacing w:before="11"/>
        <w:ind w:left="0"/>
        <w:jc w:val="left"/>
        <w:rPr>
          <w:rFonts w:hint="eastAsia"/>
          <w:sz w:val="30"/>
          <w:szCs w:val="30"/>
        </w:rPr>
      </w:pPr>
    </w:p>
    <w:p w14:paraId="7DFAB68A">
      <w:pPr>
        <w:pStyle w:val="9"/>
        <w:spacing w:before="11"/>
        <w:ind w:left="0"/>
        <w:jc w:val="left"/>
        <w:rPr>
          <w:rFonts w:hint="eastAsia"/>
          <w:sz w:val="30"/>
          <w:szCs w:val="30"/>
        </w:rPr>
      </w:pPr>
      <w:r>
        <w:rPr>
          <w:rFonts w:hint="eastAsia"/>
          <w:sz w:val="30"/>
          <w:szCs w:val="30"/>
        </w:rPr>
        <w:t>By keeping the elements of the Covenant of Grace before their eyes—by reading covenantally—they were able to plumb OT revelation to its very depths.</w:t>
      </w:r>
    </w:p>
    <w:p w14:paraId="13AFBC19">
      <w:pPr>
        <w:pStyle w:val="9"/>
        <w:spacing w:before="11"/>
        <w:ind w:left="0"/>
        <w:jc w:val="left"/>
        <w:rPr>
          <w:rFonts w:hint="eastAsia"/>
          <w:sz w:val="30"/>
          <w:szCs w:val="30"/>
        </w:rPr>
      </w:pPr>
      <w:r>
        <w:rPr>
          <w:rFonts w:hint="eastAsia"/>
          <w:sz w:val="30"/>
          <w:szCs w:val="30"/>
        </w:rPr>
        <w:t>通过将恩典之约的要素放在眼前——通过基于圣约的阅读——他们能够深入探究旧约启示的精髓。</w:t>
      </w:r>
    </w:p>
    <w:p w14:paraId="58ECBFAF">
      <w:pPr>
        <w:pStyle w:val="9"/>
        <w:spacing w:before="11"/>
        <w:ind w:left="0"/>
        <w:jc w:val="left"/>
        <w:rPr>
          <w:rFonts w:hint="eastAsia"/>
          <w:sz w:val="30"/>
          <w:szCs w:val="30"/>
        </w:rPr>
      </w:pPr>
    </w:p>
    <w:p w14:paraId="1C38CBBC">
      <w:pPr>
        <w:pStyle w:val="9"/>
        <w:spacing w:before="11"/>
        <w:ind w:left="0"/>
        <w:jc w:val="left"/>
        <w:rPr>
          <w:rFonts w:hint="eastAsia"/>
          <w:sz w:val="30"/>
          <w:szCs w:val="30"/>
        </w:rPr>
      </w:pPr>
      <w:r>
        <w:rPr>
          <w:rFonts w:hint="eastAsia"/>
          <w:sz w:val="30"/>
          <w:szCs w:val="30"/>
        </w:rPr>
        <w:t>Comparative and Contrasting Covenantal Reading</w:t>
      </w:r>
    </w:p>
    <w:p w14:paraId="7B934DDB">
      <w:pPr>
        <w:pStyle w:val="9"/>
        <w:spacing w:before="11"/>
        <w:ind w:left="0"/>
        <w:jc w:val="left"/>
        <w:rPr>
          <w:rFonts w:hint="eastAsia"/>
          <w:sz w:val="30"/>
          <w:szCs w:val="30"/>
        </w:rPr>
      </w:pPr>
      <w:r>
        <w:rPr>
          <w:rFonts w:hint="eastAsia"/>
          <w:sz w:val="30"/>
          <w:szCs w:val="30"/>
        </w:rPr>
        <w:t>圣约的比较性和对比性解读</w:t>
      </w:r>
    </w:p>
    <w:p w14:paraId="36ED3989">
      <w:pPr>
        <w:pStyle w:val="9"/>
        <w:spacing w:before="11"/>
        <w:ind w:left="0"/>
        <w:jc w:val="left"/>
        <w:rPr>
          <w:rFonts w:hint="eastAsia"/>
          <w:sz w:val="30"/>
          <w:szCs w:val="30"/>
        </w:rPr>
      </w:pPr>
    </w:p>
    <w:p w14:paraId="04C7867F">
      <w:pPr>
        <w:pStyle w:val="9"/>
        <w:spacing w:before="11"/>
        <w:ind w:left="0"/>
        <w:jc w:val="left"/>
        <w:rPr>
          <w:rFonts w:hint="eastAsia"/>
          <w:sz w:val="30"/>
          <w:szCs w:val="30"/>
        </w:rPr>
      </w:pPr>
      <w:r>
        <w:rPr>
          <w:rFonts w:hint="eastAsia"/>
          <w:sz w:val="30"/>
          <w:szCs w:val="30"/>
        </w:rPr>
        <w:t>Here we do well to note that we are reading the OT covenantally not only when we look for types of the Eternal Covenant, but also when we look for signs of the inferiority of its OT administrations.</w:t>
      </w:r>
    </w:p>
    <w:p w14:paraId="395FEF32">
      <w:pPr>
        <w:pStyle w:val="9"/>
        <w:spacing w:before="11"/>
        <w:ind w:left="0"/>
        <w:jc w:val="left"/>
        <w:rPr>
          <w:rFonts w:hint="eastAsia"/>
          <w:sz w:val="30"/>
          <w:szCs w:val="30"/>
        </w:rPr>
      </w:pPr>
      <w:r>
        <w:rPr>
          <w:rFonts w:hint="eastAsia"/>
          <w:sz w:val="30"/>
          <w:szCs w:val="30"/>
        </w:rPr>
        <w:t>在这里我们应当注意，我们不仅在寻找永恒之约的预表时是在以圣约的方式阅读旧约，在寻找其旧约施行的次等性标志时也是如此。</w:t>
      </w:r>
    </w:p>
    <w:p w14:paraId="635BF710">
      <w:pPr>
        <w:pStyle w:val="9"/>
        <w:spacing w:before="11"/>
        <w:ind w:left="0"/>
        <w:jc w:val="left"/>
        <w:rPr>
          <w:rFonts w:hint="eastAsia"/>
          <w:sz w:val="30"/>
          <w:szCs w:val="30"/>
        </w:rPr>
      </w:pPr>
    </w:p>
    <w:p w14:paraId="64EACB55">
      <w:pPr>
        <w:pStyle w:val="9"/>
        <w:spacing w:before="11"/>
        <w:ind w:left="0"/>
        <w:jc w:val="left"/>
        <w:rPr>
          <w:rFonts w:hint="eastAsia"/>
          <w:sz w:val="30"/>
          <w:szCs w:val="30"/>
        </w:rPr>
      </w:pPr>
      <w:r>
        <w:rPr>
          <w:rFonts w:hint="eastAsia"/>
          <w:sz w:val="30"/>
          <w:szCs w:val="30"/>
        </w:rPr>
        <w:t>The former may be called comparative covenantal reading, and the latter contrasting (or antithetical) covenantal reading.</w:t>
      </w:r>
    </w:p>
    <w:p w14:paraId="388F03D4">
      <w:pPr>
        <w:pStyle w:val="9"/>
        <w:spacing w:before="11"/>
        <w:ind w:left="0"/>
        <w:jc w:val="left"/>
        <w:rPr>
          <w:rFonts w:hint="eastAsia"/>
          <w:sz w:val="30"/>
          <w:szCs w:val="30"/>
        </w:rPr>
      </w:pPr>
      <w:r>
        <w:rPr>
          <w:rFonts w:hint="eastAsia"/>
          <w:sz w:val="30"/>
          <w:szCs w:val="30"/>
        </w:rPr>
        <w:t>前者可称为比较性的圣约解读，后者则为对比性的（或对立性的）圣约解读。</w:t>
      </w:r>
    </w:p>
    <w:p w14:paraId="36859CCC">
      <w:pPr>
        <w:pStyle w:val="9"/>
        <w:spacing w:before="11"/>
        <w:ind w:left="0"/>
        <w:jc w:val="left"/>
        <w:rPr>
          <w:rFonts w:hint="eastAsia"/>
          <w:sz w:val="30"/>
          <w:szCs w:val="30"/>
        </w:rPr>
      </w:pPr>
    </w:p>
    <w:p w14:paraId="07F6DF5F">
      <w:pPr>
        <w:pStyle w:val="9"/>
        <w:spacing w:before="11"/>
        <w:ind w:left="0"/>
        <w:jc w:val="left"/>
        <w:rPr>
          <w:rFonts w:hint="eastAsia"/>
          <w:sz w:val="30"/>
          <w:szCs w:val="30"/>
        </w:rPr>
      </w:pPr>
      <w:r>
        <w:rPr>
          <w:rFonts w:hint="eastAsia"/>
          <w:sz w:val="30"/>
          <w:szCs w:val="30"/>
        </w:rPr>
        <w:t>The contrasting mode of covenantal reading is very valuable, since it highlights and magnifies the true greatness of the New Covenant, a greatness that consists in the fact that it is none other than the Eternal Covenant; the one true redemptive plan that God conceived in eternity past, veiled in OT times, and unveiled in these last days through his Son, so that now and forevermore, his people may worship him in spirit and truth (John 1:14, 17, 4:23-24).</w:t>
      </w:r>
    </w:p>
    <w:p w14:paraId="4EBEA9CC">
      <w:pPr>
        <w:pStyle w:val="9"/>
        <w:spacing w:before="11"/>
        <w:ind w:left="0"/>
        <w:jc w:val="left"/>
        <w:rPr>
          <w:rFonts w:hint="eastAsia"/>
          <w:sz w:val="30"/>
          <w:szCs w:val="30"/>
        </w:rPr>
      </w:pPr>
      <w:r>
        <w:rPr>
          <w:rFonts w:hint="eastAsia"/>
          <w:sz w:val="30"/>
          <w:szCs w:val="30"/>
        </w:rPr>
        <w:t>对比性的圣约解读模式非常有价值，因为它突显并放大了新约的真正伟大之处，这种伟大在于它正是永恒之约；是上帝在永恒的过去所构思、在旧约时代所遮蔽、并在这些末后的日子通过祂的儿子所揭示的独一真实的救赎计划，以便现在和将来，祂的子民都能用心灵和诚实敬拜祂（约翰福音 1:14, 17, 4:23-24）。</w:t>
      </w:r>
    </w:p>
    <w:p w14:paraId="1202E9D3">
      <w:pPr>
        <w:pStyle w:val="9"/>
        <w:spacing w:before="11"/>
        <w:ind w:left="0"/>
        <w:jc w:val="left"/>
        <w:rPr>
          <w:rFonts w:hint="eastAsia"/>
          <w:sz w:val="30"/>
          <w:szCs w:val="30"/>
        </w:rPr>
      </w:pPr>
    </w:p>
    <w:p w14:paraId="0FD7350D">
      <w:pPr>
        <w:pStyle w:val="9"/>
        <w:spacing w:before="11"/>
        <w:ind w:left="0"/>
        <w:jc w:val="left"/>
        <w:rPr>
          <w:rFonts w:hint="eastAsia"/>
          <w:sz w:val="30"/>
          <w:szCs w:val="30"/>
        </w:rPr>
      </w:pPr>
      <w:r>
        <w:rPr>
          <w:rFonts w:hint="eastAsia"/>
          <w:sz w:val="30"/>
          <w:szCs w:val="30"/>
        </w:rPr>
        <w:t>We can get a feel for contrasting covenantal reading by turning to the epistle to the Hebrews.</w:t>
      </w:r>
    </w:p>
    <w:p w14:paraId="32AD908A">
      <w:pPr>
        <w:pStyle w:val="9"/>
        <w:spacing w:before="11"/>
        <w:ind w:left="0"/>
        <w:jc w:val="left"/>
        <w:rPr>
          <w:rFonts w:hint="eastAsia"/>
          <w:sz w:val="30"/>
          <w:szCs w:val="30"/>
        </w:rPr>
      </w:pPr>
      <w:r>
        <w:rPr>
          <w:rFonts w:hint="eastAsia"/>
          <w:sz w:val="30"/>
          <w:szCs w:val="30"/>
        </w:rPr>
        <w:t>我们可以通过转向希伯来书来感受对比性的圣约解读。</w:t>
      </w:r>
    </w:p>
    <w:p w14:paraId="3FB0CC4D">
      <w:pPr>
        <w:pStyle w:val="9"/>
        <w:spacing w:before="11"/>
        <w:ind w:left="0"/>
        <w:jc w:val="left"/>
        <w:rPr>
          <w:rFonts w:hint="eastAsia"/>
          <w:sz w:val="30"/>
          <w:szCs w:val="30"/>
        </w:rPr>
      </w:pPr>
    </w:p>
    <w:p w14:paraId="3F4DFF92">
      <w:pPr>
        <w:pStyle w:val="9"/>
        <w:spacing w:before="11"/>
        <w:ind w:left="0"/>
        <w:jc w:val="left"/>
        <w:rPr>
          <w:rFonts w:hint="eastAsia"/>
          <w:sz w:val="30"/>
          <w:szCs w:val="30"/>
        </w:rPr>
      </w:pPr>
      <w:r>
        <w:rPr>
          <w:rFonts w:hint="eastAsia"/>
          <w:sz w:val="30"/>
          <w:szCs w:val="30"/>
        </w:rPr>
        <w:t>Here, the writer’s great goal was to open the eyes of wavering Jewish Christians to the ultimacy of the New Covenant, thereby discouraging them from a deadly return to Judaism and the (obsolete) institutions of the Mosaic Law.</w:t>
      </w:r>
    </w:p>
    <w:p w14:paraId="3CFC460A">
      <w:pPr>
        <w:pStyle w:val="9"/>
        <w:spacing w:before="11"/>
        <w:ind w:left="0"/>
        <w:jc w:val="left"/>
        <w:rPr>
          <w:rFonts w:hint="eastAsia"/>
          <w:sz w:val="30"/>
          <w:szCs w:val="30"/>
        </w:rPr>
      </w:pPr>
      <w:r>
        <w:rPr>
          <w:rFonts w:hint="eastAsia"/>
          <w:sz w:val="30"/>
          <w:szCs w:val="30"/>
        </w:rPr>
        <w:t>在这里，作者的伟大目标是开启摇摆不定的犹太基督徒的眼睛，让他们看到新约的终极性，从而劝阻他们不要致命地回归犹太教和摩西律法（已过时）的制度。</w:t>
      </w:r>
    </w:p>
    <w:p w14:paraId="52D71FAA">
      <w:pPr>
        <w:pStyle w:val="9"/>
        <w:spacing w:before="11"/>
        <w:ind w:left="0"/>
        <w:jc w:val="left"/>
        <w:rPr>
          <w:rFonts w:hint="eastAsia"/>
          <w:sz w:val="30"/>
          <w:szCs w:val="30"/>
        </w:rPr>
      </w:pPr>
    </w:p>
    <w:p w14:paraId="0356A460">
      <w:pPr>
        <w:pStyle w:val="9"/>
        <w:spacing w:before="11"/>
        <w:ind w:left="0"/>
        <w:jc w:val="left"/>
        <w:rPr>
          <w:rFonts w:hint="eastAsia"/>
          <w:sz w:val="30"/>
          <w:szCs w:val="30"/>
        </w:rPr>
      </w:pPr>
      <w:r>
        <w:rPr>
          <w:rFonts w:hint="eastAsia"/>
          <w:sz w:val="30"/>
          <w:szCs w:val="30"/>
        </w:rPr>
        <w:t>Accordingly, he is at pains to compare and contrast the two covenants in such a way as to highlight the inferiority of the Old Covenant and the superiority of the New.</w:t>
      </w:r>
    </w:p>
    <w:p w14:paraId="6FFB5CA2">
      <w:pPr>
        <w:pStyle w:val="9"/>
        <w:spacing w:before="11"/>
        <w:ind w:left="0"/>
        <w:jc w:val="left"/>
        <w:rPr>
          <w:rFonts w:hint="eastAsia"/>
          <w:sz w:val="30"/>
          <w:szCs w:val="30"/>
        </w:rPr>
      </w:pPr>
      <w:r>
        <w:rPr>
          <w:rFonts w:hint="eastAsia"/>
          <w:sz w:val="30"/>
          <w:szCs w:val="30"/>
        </w:rPr>
        <w:t>因此，他煞费苦心地比较和对比这两个约，以突显旧约的次等性和新约的优越性。</w:t>
      </w:r>
    </w:p>
    <w:p w14:paraId="369FA5AA">
      <w:pPr>
        <w:pStyle w:val="9"/>
        <w:spacing w:before="11"/>
        <w:ind w:left="0"/>
        <w:jc w:val="left"/>
        <w:rPr>
          <w:rFonts w:hint="eastAsia"/>
          <w:sz w:val="30"/>
          <w:szCs w:val="30"/>
        </w:rPr>
      </w:pPr>
    </w:p>
    <w:p w14:paraId="2CD33925">
      <w:pPr>
        <w:pStyle w:val="9"/>
        <w:spacing w:before="11"/>
        <w:ind w:left="0"/>
        <w:jc w:val="left"/>
        <w:rPr>
          <w:rFonts w:hint="eastAsia"/>
          <w:sz w:val="30"/>
          <w:szCs w:val="30"/>
        </w:rPr>
      </w:pPr>
      <w:r>
        <w:rPr>
          <w:rFonts w:hint="eastAsia"/>
          <w:sz w:val="30"/>
          <w:szCs w:val="30"/>
        </w:rPr>
        <w:t>In doing so, he shows that the Levitical high priesthood (filled by the sons of Aaron) was inferior to that of Melchizedek (now filled by Christ), since Levi, while still in Abraham’s loins, paid tithe to Melchizedek (7:1-10).</w:t>
      </w:r>
    </w:p>
    <w:p w14:paraId="787B71F7">
      <w:pPr>
        <w:pStyle w:val="9"/>
        <w:spacing w:before="11"/>
        <w:ind w:left="0"/>
        <w:jc w:val="left"/>
        <w:rPr>
          <w:rFonts w:hint="eastAsia"/>
          <w:sz w:val="30"/>
          <w:szCs w:val="30"/>
        </w:rPr>
      </w:pPr>
      <w:r>
        <w:rPr>
          <w:rFonts w:hint="eastAsia"/>
          <w:sz w:val="30"/>
          <w:szCs w:val="30"/>
        </w:rPr>
        <w:t>这样做，祂表明利未人的大祭司职分（由亚伦的子孙担任）次于麦基洗德的职分（现由基督担任），因为利未还在亚伯拉罕腰中的时候，就向麦基洗德纳了十分之一（7:1-10）。</w:t>
      </w:r>
    </w:p>
    <w:p w14:paraId="4CAEBAD0">
      <w:pPr>
        <w:pStyle w:val="9"/>
        <w:spacing w:before="11"/>
        <w:ind w:left="0"/>
        <w:jc w:val="left"/>
        <w:rPr>
          <w:rFonts w:hint="eastAsia"/>
          <w:sz w:val="30"/>
          <w:szCs w:val="30"/>
        </w:rPr>
      </w:pPr>
    </w:p>
    <w:p w14:paraId="1C56B2CD">
      <w:pPr>
        <w:pStyle w:val="9"/>
        <w:spacing w:before="11"/>
        <w:ind w:left="0"/>
        <w:jc w:val="left"/>
        <w:rPr>
          <w:rFonts w:hint="eastAsia"/>
          <w:sz w:val="30"/>
          <w:szCs w:val="30"/>
        </w:rPr>
      </w:pPr>
      <w:r>
        <w:rPr>
          <w:rFonts w:hint="eastAsia"/>
          <w:sz w:val="30"/>
          <w:szCs w:val="30"/>
        </w:rPr>
        <w:t>Also, the Levitical priesthood required an endless stream of new ministers, since the (mere) men who served in it were both sinful and mortal; whereas the Melchizedek priesthood is eternal and unchanging, since one immortal Man now occupies it; a divine Man who is holy, harmless, and undefiled (7:20-28).</w:t>
      </w:r>
    </w:p>
    <w:p w14:paraId="3ABE2C15">
      <w:pPr>
        <w:pStyle w:val="9"/>
        <w:spacing w:before="11"/>
        <w:ind w:left="0"/>
        <w:jc w:val="left"/>
        <w:rPr>
          <w:rFonts w:hint="eastAsia"/>
          <w:sz w:val="30"/>
          <w:szCs w:val="30"/>
        </w:rPr>
      </w:pPr>
      <w:r>
        <w:rPr>
          <w:rFonts w:hint="eastAsia"/>
          <w:sz w:val="30"/>
          <w:szCs w:val="30"/>
        </w:rPr>
        <w:t>此外，利未人的祭司职分需要源源不断的新任职者，因为在其中服事的（仅仅是）人既有罪又会死；而麦基洗德的祭司职分是永恒不变的，因为现在由一位不朽的人担任；一位圣洁、无邪恶、无玷污的神人（7:20-28）。</w:t>
      </w:r>
    </w:p>
    <w:p w14:paraId="64337242">
      <w:pPr>
        <w:pStyle w:val="9"/>
        <w:spacing w:before="11"/>
        <w:ind w:left="0"/>
        <w:jc w:val="left"/>
        <w:rPr>
          <w:rFonts w:hint="eastAsia"/>
          <w:sz w:val="30"/>
          <w:szCs w:val="30"/>
        </w:rPr>
      </w:pPr>
    </w:p>
    <w:p w14:paraId="6358519B">
      <w:pPr>
        <w:pStyle w:val="9"/>
        <w:spacing w:before="11"/>
        <w:ind w:left="0"/>
        <w:jc w:val="left"/>
        <w:rPr>
          <w:rFonts w:hint="eastAsia"/>
          <w:sz w:val="30"/>
          <w:szCs w:val="30"/>
        </w:rPr>
      </w:pPr>
      <w:r>
        <w:rPr>
          <w:rFonts w:hint="eastAsia"/>
          <w:sz w:val="30"/>
          <w:szCs w:val="30"/>
        </w:rPr>
        <w:t>Again, OT temple worship was clearly inferior, since under that arrangement only one man—the high priest—had access to God in the Holiest of All, and that but once a year, and that with much fear and trembling, lest he err and die!</w:t>
      </w:r>
    </w:p>
    <w:p w14:paraId="4CD578F2">
      <w:pPr>
        <w:pStyle w:val="9"/>
        <w:spacing w:before="11"/>
        <w:ind w:left="0"/>
        <w:jc w:val="left"/>
        <w:rPr>
          <w:rFonts w:hint="eastAsia"/>
          <w:sz w:val="30"/>
          <w:szCs w:val="30"/>
        </w:rPr>
      </w:pPr>
      <w:r>
        <w:rPr>
          <w:rFonts w:hint="eastAsia"/>
          <w:sz w:val="30"/>
          <w:szCs w:val="30"/>
        </w:rPr>
        <w:t>再次，旧约圣殿的敬拜显然是次等的，因为在那种安排下，只有一个人——大祭司——能够进入至圣所亲近上帝，而且一年只有一次，并且是带着极大的恐惧和战兢，唯恐他犯错而死！</w:t>
      </w:r>
    </w:p>
    <w:p w14:paraId="7D31FD6C">
      <w:pPr>
        <w:pStyle w:val="9"/>
        <w:spacing w:before="11"/>
        <w:ind w:left="0"/>
        <w:jc w:val="left"/>
        <w:rPr>
          <w:rFonts w:hint="eastAsia"/>
          <w:sz w:val="30"/>
          <w:szCs w:val="30"/>
        </w:rPr>
      </w:pPr>
    </w:p>
    <w:p w14:paraId="7C879168">
      <w:pPr>
        <w:pStyle w:val="9"/>
        <w:spacing w:before="11"/>
        <w:ind w:left="0"/>
        <w:jc w:val="left"/>
        <w:rPr>
          <w:rFonts w:hint="eastAsia"/>
          <w:sz w:val="30"/>
          <w:szCs w:val="30"/>
        </w:rPr>
      </w:pPr>
      <w:r>
        <w:rPr>
          <w:rFonts w:hint="eastAsia"/>
          <w:sz w:val="30"/>
          <w:szCs w:val="30"/>
        </w:rPr>
        <w:t>In Christ, however, many men—indeed, the entire Church—are bidden to come boldly to the Throne of Grace, and now may do so freely whenever and wherever they wish (9:1-28, 10:19-22).</w:t>
      </w:r>
    </w:p>
    <w:p w14:paraId="740B9C38">
      <w:pPr>
        <w:pStyle w:val="9"/>
        <w:spacing w:before="11"/>
        <w:ind w:left="0"/>
        <w:jc w:val="left"/>
        <w:rPr>
          <w:rFonts w:hint="eastAsia"/>
          <w:sz w:val="30"/>
          <w:szCs w:val="30"/>
        </w:rPr>
      </w:pPr>
      <w:r>
        <w:rPr>
          <w:rFonts w:hint="eastAsia"/>
          <w:sz w:val="30"/>
          <w:szCs w:val="30"/>
        </w:rPr>
        <w:t>然而，在基督里，许多人——实际上是整个教会——都被吩咐坦然无惧地来到施恩的宝座前，现在他们可以随时随地自由地这样做（9:1-28, 10:19-22）。</w:t>
      </w:r>
    </w:p>
    <w:p w14:paraId="0233E1E1">
      <w:pPr>
        <w:pStyle w:val="9"/>
        <w:spacing w:before="11"/>
        <w:ind w:left="0"/>
        <w:jc w:val="left"/>
        <w:rPr>
          <w:rFonts w:hint="eastAsia"/>
          <w:sz w:val="30"/>
          <w:szCs w:val="30"/>
        </w:rPr>
      </w:pPr>
    </w:p>
    <w:p w14:paraId="16BCFAD5">
      <w:pPr>
        <w:pStyle w:val="9"/>
        <w:spacing w:before="11"/>
        <w:ind w:left="0"/>
        <w:jc w:val="left"/>
        <w:rPr>
          <w:rFonts w:hint="eastAsia"/>
          <w:sz w:val="30"/>
          <w:szCs w:val="30"/>
        </w:rPr>
      </w:pPr>
      <w:r>
        <w:rPr>
          <w:rFonts w:hint="eastAsia"/>
          <w:sz w:val="30"/>
          <w:szCs w:val="30"/>
        </w:rPr>
        <w:t>Or again, we see the inferiority of (mere) animal sacrifices in the fact that the priests had to offer them over and over again; whereas Christ offered up his own body but once, for all the sins of all his people of all time—and in so doing, fulfilled the typology of the animal sacrifices, thereby abolishing them forever (10:1-19).</w:t>
      </w:r>
    </w:p>
    <w:p w14:paraId="4FECB815">
      <w:pPr>
        <w:pStyle w:val="9"/>
        <w:spacing w:before="11"/>
        <w:ind w:left="0"/>
        <w:jc w:val="left"/>
        <w:rPr>
          <w:rFonts w:hint="eastAsia"/>
          <w:sz w:val="30"/>
          <w:szCs w:val="30"/>
        </w:rPr>
      </w:pPr>
      <w:r>
        <w:rPr>
          <w:rFonts w:hint="eastAsia"/>
          <w:sz w:val="30"/>
          <w:szCs w:val="30"/>
        </w:rPr>
        <w:t>再或者，我们从祭司必须一次又一次地献上（仅仅是）动物祭物这一事实中，看到了它们的次等性；而基督只一次献上祂自己的身体，为祂所有时代的所有子民的所有罪——这样做，祂成全了动物祭物的预表，从而永远废除了它们（10:1-19）。</w:t>
      </w:r>
    </w:p>
    <w:p w14:paraId="0A0C4D26">
      <w:pPr>
        <w:pStyle w:val="9"/>
        <w:spacing w:before="11"/>
        <w:ind w:left="0"/>
        <w:jc w:val="left"/>
        <w:rPr>
          <w:rFonts w:hint="eastAsia"/>
          <w:sz w:val="30"/>
          <w:szCs w:val="30"/>
        </w:rPr>
      </w:pPr>
    </w:p>
    <w:p w14:paraId="257AC032">
      <w:pPr>
        <w:pStyle w:val="9"/>
        <w:spacing w:before="11"/>
        <w:ind w:left="0"/>
        <w:jc w:val="left"/>
        <w:rPr>
          <w:rFonts w:hint="eastAsia"/>
          <w:sz w:val="30"/>
          <w:szCs w:val="30"/>
        </w:rPr>
      </w:pPr>
      <w:r>
        <w:rPr>
          <w:rFonts w:hint="eastAsia"/>
          <w:sz w:val="30"/>
          <w:szCs w:val="30"/>
        </w:rPr>
        <w:t>Or again, we see the (intrinsic) inferiority of the Law in the events at Sinai, where God administered the Old Covenant; where he enveloped the whole site in tokens of his wrath, forbidding Israel even to touch the mountain, and setting all hearts to trembling, so much so that the people begged to hear this word no more (12:18-21).</w:t>
      </w:r>
    </w:p>
    <w:p w14:paraId="2F095075">
      <w:pPr>
        <w:pStyle w:val="9"/>
        <w:spacing w:before="11"/>
        <w:ind w:left="0"/>
        <w:jc w:val="left"/>
        <w:rPr>
          <w:rFonts w:hint="eastAsia"/>
          <w:sz w:val="30"/>
          <w:szCs w:val="30"/>
        </w:rPr>
      </w:pPr>
      <w:r>
        <w:rPr>
          <w:rFonts w:hint="eastAsia"/>
          <w:sz w:val="30"/>
          <w:szCs w:val="30"/>
        </w:rPr>
        <w:t>再或者，我们在西奈山的事件中看到了律法（内在的）次等性，上帝在那里施行了旧约；祂用祂忿怒的记号笼罩了整个地方，禁止以色列人触摸那山，并使所有人的心都战兢，以至于百姓恳求不再听这声音（12:18-21）。</w:t>
      </w:r>
    </w:p>
    <w:p w14:paraId="17603E60">
      <w:pPr>
        <w:pStyle w:val="9"/>
        <w:spacing w:before="11"/>
        <w:ind w:left="0"/>
        <w:jc w:val="left"/>
        <w:rPr>
          <w:rFonts w:hint="eastAsia"/>
          <w:sz w:val="30"/>
          <w:szCs w:val="30"/>
        </w:rPr>
      </w:pPr>
    </w:p>
    <w:p w14:paraId="2AE68B9B">
      <w:pPr>
        <w:pStyle w:val="9"/>
        <w:spacing w:before="11"/>
        <w:ind w:left="0"/>
        <w:jc w:val="left"/>
        <w:rPr>
          <w:rFonts w:hint="eastAsia"/>
          <w:sz w:val="30"/>
          <w:szCs w:val="30"/>
        </w:rPr>
      </w:pPr>
      <w:r>
        <w:rPr>
          <w:rFonts w:hint="eastAsia"/>
          <w:sz w:val="30"/>
          <w:szCs w:val="30"/>
        </w:rPr>
        <w:t>Meanwhile, Christians—who love to hear the Good News of the Gospel—are called to live in the heavenly Zion, where, because of Jesus, the Mediator of the New Covenant, they receive a warm and joyful welcome from God, the holy angels, and the spirits of just men made perfect (10:22-24)!</w:t>
      </w:r>
    </w:p>
    <w:p w14:paraId="5E140DB3">
      <w:pPr>
        <w:pStyle w:val="9"/>
        <w:spacing w:before="11"/>
        <w:ind w:left="0"/>
        <w:jc w:val="left"/>
        <w:rPr>
          <w:rFonts w:hint="eastAsia"/>
          <w:sz w:val="30"/>
          <w:szCs w:val="30"/>
        </w:rPr>
      </w:pPr>
      <w:r>
        <w:rPr>
          <w:rFonts w:hint="eastAsia"/>
          <w:sz w:val="30"/>
          <w:szCs w:val="30"/>
        </w:rPr>
        <w:t>与此同时，基督徒——他们喜爱听福音的好消息——被呼召生活在天上的锡安，在那里，因着耶稣，新约的中保，他们受到上帝、圣天使和被成全之义人灵魂的热烈和喜乐的欢迎（10:22-24）！</w:t>
      </w:r>
    </w:p>
    <w:p w14:paraId="7055DE71">
      <w:pPr>
        <w:pStyle w:val="9"/>
        <w:spacing w:before="11"/>
        <w:ind w:left="0"/>
        <w:jc w:val="left"/>
        <w:rPr>
          <w:rFonts w:hint="eastAsia"/>
          <w:sz w:val="30"/>
          <w:szCs w:val="30"/>
        </w:rPr>
      </w:pPr>
    </w:p>
    <w:p w14:paraId="5D629D0E">
      <w:pPr>
        <w:pStyle w:val="9"/>
        <w:spacing w:before="11"/>
        <w:ind w:left="0"/>
        <w:jc w:val="left"/>
        <w:rPr>
          <w:rFonts w:hint="eastAsia"/>
          <w:sz w:val="30"/>
          <w:szCs w:val="30"/>
        </w:rPr>
      </w:pPr>
      <w:r>
        <w:rPr>
          <w:rFonts w:hint="eastAsia"/>
          <w:sz w:val="30"/>
          <w:szCs w:val="30"/>
        </w:rPr>
        <w:t>In all these examples, we see that the writer to the Hebrews comes to the OT with a mind thoroughly schooled in the new truth about God’s various administrations of the Covenant in Salvation History.</w:t>
      </w:r>
    </w:p>
    <w:p w14:paraId="294C42D1">
      <w:pPr>
        <w:pStyle w:val="9"/>
        <w:spacing w:before="11"/>
        <w:ind w:left="0"/>
        <w:jc w:val="left"/>
        <w:rPr>
          <w:rFonts w:hint="eastAsia"/>
          <w:sz w:val="30"/>
          <w:szCs w:val="30"/>
        </w:rPr>
      </w:pPr>
      <w:r>
        <w:rPr>
          <w:rFonts w:hint="eastAsia"/>
          <w:sz w:val="30"/>
          <w:szCs w:val="30"/>
        </w:rPr>
        <w:t>在所有这些例子中，我们看到希伯来书的作者带着一个对上帝在救赎历史中各种圣约施行的新真理有透彻学习的心来到旧约。</w:t>
      </w:r>
    </w:p>
    <w:p w14:paraId="0A0CFFBB">
      <w:pPr>
        <w:pStyle w:val="9"/>
        <w:spacing w:before="11"/>
        <w:ind w:left="0"/>
        <w:jc w:val="left"/>
        <w:rPr>
          <w:rFonts w:hint="eastAsia"/>
          <w:sz w:val="30"/>
          <w:szCs w:val="30"/>
        </w:rPr>
      </w:pPr>
    </w:p>
    <w:p w14:paraId="1973D9B8">
      <w:pPr>
        <w:pStyle w:val="9"/>
        <w:spacing w:before="11"/>
        <w:ind w:left="0"/>
        <w:jc w:val="left"/>
        <w:rPr>
          <w:rFonts w:hint="eastAsia"/>
          <w:sz w:val="30"/>
          <w:szCs w:val="30"/>
        </w:rPr>
      </w:pPr>
      <w:r>
        <w:rPr>
          <w:rFonts w:hint="eastAsia"/>
          <w:sz w:val="30"/>
          <w:szCs w:val="30"/>
        </w:rPr>
        <w:t>In particular, he understands that God was pleased to plant many types and shadows of the Eternal Covenant in the Law of Moses, but also many tokens of its intrinsic weakness, unprofitability, impermanence, and inferiority (7:18-19, 8:6-13)!</w:t>
      </w:r>
    </w:p>
    <w:p w14:paraId="635803E4">
      <w:pPr>
        <w:pStyle w:val="9"/>
        <w:spacing w:before="11"/>
        <w:ind w:left="0"/>
        <w:jc w:val="left"/>
        <w:rPr>
          <w:rFonts w:hint="eastAsia"/>
          <w:sz w:val="30"/>
          <w:szCs w:val="30"/>
        </w:rPr>
      </w:pPr>
      <w:r>
        <w:rPr>
          <w:rFonts w:hint="eastAsia"/>
          <w:sz w:val="30"/>
          <w:szCs w:val="30"/>
        </w:rPr>
        <w:t>特别是，他明白上帝乐意在摩西律法中栽种许多永恒之约的预表和影儿，但同时也栽种了许多其内在软弱、无益、短暂和次等的记号（7:18-19, 8:6-13）！</w:t>
      </w:r>
    </w:p>
    <w:p w14:paraId="72CA9D96">
      <w:pPr>
        <w:pStyle w:val="9"/>
        <w:spacing w:before="11"/>
        <w:ind w:left="0"/>
        <w:jc w:val="left"/>
        <w:rPr>
          <w:rFonts w:hint="eastAsia"/>
          <w:sz w:val="30"/>
          <w:szCs w:val="30"/>
        </w:rPr>
      </w:pPr>
    </w:p>
    <w:p w14:paraId="26486577">
      <w:pPr>
        <w:pStyle w:val="9"/>
        <w:spacing w:before="11"/>
        <w:ind w:left="0"/>
        <w:jc w:val="left"/>
        <w:rPr>
          <w:rFonts w:hint="eastAsia"/>
          <w:sz w:val="30"/>
          <w:szCs w:val="30"/>
        </w:rPr>
      </w:pPr>
      <w:r>
        <w:rPr>
          <w:rFonts w:hint="eastAsia"/>
          <w:sz w:val="30"/>
          <w:szCs w:val="30"/>
        </w:rPr>
        <w:t>Thus, the writer to the Hebrews has shown us how to perform a comparative and a contrasting covenantal reading of the OT, so that we might appreciate all the more the unsearchable riches we now enjoy in Christ.</w:t>
      </w:r>
    </w:p>
    <w:p w14:paraId="62B45E17">
      <w:pPr>
        <w:pStyle w:val="9"/>
        <w:spacing w:before="11"/>
        <w:ind w:left="0"/>
        <w:jc w:val="left"/>
        <w:rPr>
          <w:rFonts w:hint="eastAsia"/>
          <w:sz w:val="30"/>
          <w:szCs w:val="30"/>
        </w:rPr>
      </w:pPr>
      <w:r>
        <w:rPr>
          <w:rFonts w:hint="eastAsia"/>
          <w:sz w:val="30"/>
          <w:szCs w:val="30"/>
        </w:rPr>
        <w:t>因此，希伯来书的作者向我们展示了如何对旧约进行比较性和对比性的圣约解读，以便我们能更加欣赏我们如今在基督里所享有的那测不透的丰富。</w:t>
      </w:r>
    </w:p>
    <w:p w14:paraId="008E7A34">
      <w:pPr>
        <w:pStyle w:val="9"/>
        <w:spacing w:before="11"/>
        <w:ind w:left="0"/>
        <w:jc w:val="left"/>
        <w:rPr>
          <w:rFonts w:hint="eastAsia"/>
          <w:sz w:val="30"/>
          <w:szCs w:val="30"/>
        </w:rPr>
      </w:pPr>
    </w:p>
    <w:p w14:paraId="3942AC52">
      <w:pPr>
        <w:pStyle w:val="9"/>
        <w:spacing w:before="11"/>
        <w:ind w:left="0"/>
        <w:jc w:val="left"/>
        <w:rPr>
          <w:rFonts w:hint="eastAsia"/>
          <w:sz w:val="30"/>
          <w:szCs w:val="30"/>
        </w:rPr>
      </w:pPr>
      <w:r>
        <w:rPr>
          <w:rFonts w:hint="eastAsia"/>
          <w:sz w:val="30"/>
          <w:szCs w:val="30"/>
        </w:rPr>
        <w:t>Under type and shadow, the elements of the Covenant appear abundantly in Genesis 3:15.</w:t>
      </w:r>
    </w:p>
    <w:p w14:paraId="1DA1FAE8">
      <w:pPr>
        <w:pStyle w:val="9"/>
        <w:spacing w:before="11"/>
        <w:ind w:left="0"/>
        <w:jc w:val="left"/>
        <w:rPr>
          <w:rFonts w:hint="eastAsia"/>
          <w:sz w:val="30"/>
          <w:szCs w:val="30"/>
        </w:rPr>
      </w:pPr>
      <w:r>
        <w:rPr>
          <w:rFonts w:hint="eastAsia"/>
          <w:sz w:val="30"/>
          <w:szCs w:val="30"/>
        </w:rPr>
        <w:t>在预表和影儿之下，圣约的要素在创世记 3:15 中丰富地出现。</w:t>
      </w:r>
    </w:p>
    <w:p w14:paraId="7DB70EE0">
      <w:pPr>
        <w:pStyle w:val="9"/>
        <w:spacing w:before="11"/>
        <w:ind w:left="0"/>
        <w:jc w:val="left"/>
        <w:rPr>
          <w:rFonts w:hint="eastAsia"/>
          <w:sz w:val="30"/>
          <w:szCs w:val="30"/>
        </w:rPr>
      </w:pPr>
    </w:p>
    <w:p w14:paraId="1DF4D1C1">
      <w:pPr>
        <w:pStyle w:val="9"/>
        <w:spacing w:before="11"/>
        <w:ind w:left="0"/>
        <w:jc w:val="left"/>
        <w:rPr>
          <w:rFonts w:hint="eastAsia"/>
          <w:sz w:val="30"/>
          <w:szCs w:val="30"/>
        </w:rPr>
      </w:pPr>
      <w:r>
        <w:rPr>
          <w:rFonts w:hint="eastAsia"/>
          <w:sz w:val="30"/>
          <w:szCs w:val="30"/>
        </w:rPr>
        <w:t>The Woman is the Church, the human party to the Covenant of Grace; so too is her seed, whom she begets through the preaching of the Gospel.</w:t>
      </w:r>
    </w:p>
    <w:p w14:paraId="791463E3">
      <w:pPr>
        <w:pStyle w:val="9"/>
        <w:spacing w:before="11"/>
        <w:ind w:left="0"/>
        <w:jc w:val="left"/>
        <w:rPr>
          <w:rFonts w:hint="eastAsia"/>
          <w:sz w:val="30"/>
          <w:szCs w:val="30"/>
        </w:rPr>
      </w:pPr>
      <w:r>
        <w:rPr>
          <w:rFonts w:hint="eastAsia"/>
          <w:sz w:val="30"/>
          <w:szCs w:val="30"/>
        </w:rPr>
        <w:t>女人是教会，是恩典之约的人类一方；她的后裔也是，她通过传讲福音而生养他们。</w:t>
      </w:r>
    </w:p>
    <w:p w14:paraId="235F1D3C">
      <w:pPr>
        <w:pStyle w:val="9"/>
        <w:spacing w:before="11"/>
        <w:ind w:left="0"/>
        <w:jc w:val="left"/>
        <w:rPr>
          <w:rFonts w:hint="eastAsia"/>
          <w:sz w:val="30"/>
          <w:szCs w:val="30"/>
        </w:rPr>
      </w:pPr>
    </w:p>
    <w:p w14:paraId="6BFED598">
      <w:pPr>
        <w:pStyle w:val="9"/>
        <w:spacing w:before="11"/>
        <w:ind w:left="0"/>
        <w:jc w:val="left"/>
        <w:rPr>
          <w:rFonts w:hint="eastAsia"/>
          <w:sz w:val="30"/>
          <w:szCs w:val="30"/>
        </w:rPr>
      </w:pPr>
      <w:r>
        <w:rPr>
          <w:rFonts w:hint="eastAsia"/>
          <w:sz w:val="30"/>
          <w:szCs w:val="30"/>
        </w:rPr>
        <w:t>However, the Seed is also Christ, the provision of the Covenant, who, by freely suffering the bruise of Satan, makes atonement for the sins of his people.</w:t>
      </w:r>
    </w:p>
    <w:p w14:paraId="51DF9F98">
      <w:pPr>
        <w:pStyle w:val="9"/>
        <w:spacing w:before="11"/>
        <w:ind w:left="0"/>
        <w:jc w:val="left"/>
        <w:rPr>
          <w:rFonts w:hint="eastAsia"/>
          <w:sz w:val="30"/>
          <w:szCs w:val="30"/>
        </w:rPr>
      </w:pPr>
      <w:r>
        <w:rPr>
          <w:rFonts w:hint="eastAsia"/>
          <w:sz w:val="30"/>
          <w:szCs w:val="30"/>
        </w:rPr>
        <w:t>然而，那后裔也是基督，是圣约的预备，祂藉着甘心忍受撒但的伤害，为祂子民的罪行了赎罪。</w:t>
      </w:r>
    </w:p>
    <w:p w14:paraId="117A47E1">
      <w:pPr>
        <w:pStyle w:val="9"/>
        <w:spacing w:before="11"/>
        <w:ind w:left="0"/>
        <w:jc w:val="left"/>
        <w:rPr>
          <w:rFonts w:hint="eastAsia"/>
          <w:sz w:val="30"/>
          <w:szCs w:val="30"/>
        </w:rPr>
      </w:pPr>
    </w:p>
    <w:p w14:paraId="7C7F6126">
      <w:pPr>
        <w:pStyle w:val="9"/>
        <w:spacing w:before="11"/>
        <w:ind w:left="0"/>
        <w:jc w:val="left"/>
        <w:rPr>
          <w:rFonts w:hint="eastAsia"/>
          <w:sz w:val="30"/>
          <w:szCs w:val="30"/>
        </w:rPr>
      </w:pPr>
      <w:r>
        <w:rPr>
          <w:rFonts w:hint="eastAsia"/>
          <w:sz w:val="30"/>
          <w:szCs w:val="30"/>
        </w:rPr>
        <w:t>As for the promise of the Covenant, it is seen in the Woman’s enmity towards the Serpent, an enmity that Christ will purchase for her by his death, so that in due season he might deposit it within her by his Spirit.</w:t>
      </w:r>
    </w:p>
    <w:p w14:paraId="7D945DAE">
      <w:pPr>
        <w:pStyle w:val="9"/>
        <w:spacing w:before="11"/>
        <w:ind w:left="0"/>
        <w:jc w:val="left"/>
        <w:rPr>
          <w:rFonts w:hint="eastAsia"/>
          <w:sz w:val="30"/>
          <w:szCs w:val="30"/>
        </w:rPr>
      </w:pPr>
      <w:r>
        <w:rPr>
          <w:rFonts w:hint="eastAsia"/>
          <w:sz w:val="30"/>
          <w:szCs w:val="30"/>
        </w:rPr>
        <w:t>至于圣约的应许，则见于女人对蛇的敌意，基督将用祂的死为她买赎这敌意，以便在适当的时候，祂能藉着祂的灵将其存放在她里面。</w:t>
      </w:r>
    </w:p>
    <w:p w14:paraId="52C61AB6">
      <w:pPr>
        <w:pStyle w:val="9"/>
        <w:spacing w:before="11"/>
        <w:ind w:left="0"/>
        <w:jc w:val="left"/>
        <w:rPr>
          <w:rFonts w:hint="eastAsia"/>
          <w:sz w:val="30"/>
          <w:szCs w:val="30"/>
        </w:rPr>
      </w:pPr>
    </w:p>
    <w:p w14:paraId="2DB78196">
      <w:pPr>
        <w:pStyle w:val="9"/>
        <w:spacing w:before="11"/>
        <w:ind w:left="0"/>
        <w:jc w:val="left"/>
        <w:rPr>
          <w:rFonts w:hint="eastAsia"/>
          <w:sz w:val="30"/>
          <w:szCs w:val="30"/>
        </w:rPr>
      </w:pPr>
      <w:r>
        <w:rPr>
          <w:rFonts w:hint="eastAsia"/>
          <w:sz w:val="30"/>
          <w:szCs w:val="30"/>
        </w:rPr>
        <w:t>The promise is also seen in the crushing of the Serpent’s head, which will be fully effected at Christ’s return, when he (Christ) destroys Satan and his every evil work, thereby returning the Woman to Paradise and more.</w:t>
      </w:r>
    </w:p>
    <w:p w14:paraId="220ED694">
      <w:pPr>
        <w:pStyle w:val="9"/>
        <w:spacing w:before="11"/>
        <w:ind w:left="0"/>
        <w:jc w:val="left"/>
        <w:rPr>
          <w:rFonts w:hint="eastAsia"/>
          <w:sz w:val="30"/>
          <w:szCs w:val="30"/>
        </w:rPr>
      </w:pPr>
      <w:r>
        <w:rPr>
          <w:rFonts w:hint="eastAsia"/>
          <w:sz w:val="30"/>
          <w:szCs w:val="30"/>
        </w:rPr>
        <w:t>这应许也见于蛇头的被击碎，这将在基督再来时完全实现，那时祂（基督）将摧毁撒但和他每一个邪恶的工作，从而使女人回归乐园，并得到更多。</w:t>
      </w:r>
    </w:p>
    <w:p w14:paraId="39E11946">
      <w:pPr>
        <w:pStyle w:val="9"/>
        <w:spacing w:before="11"/>
        <w:ind w:left="0"/>
        <w:jc w:val="left"/>
        <w:rPr>
          <w:rFonts w:hint="eastAsia"/>
          <w:sz w:val="30"/>
          <w:szCs w:val="30"/>
        </w:rPr>
      </w:pPr>
    </w:p>
    <w:p w14:paraId="290708F3">
      <w:pPr>
        <w:pStyle w:val="9"/>
        <w:spacing w:before="11"/>
        <w:ind w:left="0"/>
        <w:jc w:val="left"/>
        <w:rPr>
          <w:rFonts w:hint="eastAsia"/>
          <w:sz w:val="30"/>
          <w:szCs w:val="30"/>
        </w:rPr>
      </w:pPr>
      <w:r>
        <w:rPr>
          <w:rFonts w:hint="eastAsia"/>
          <w:sz w:val="30"/>
          <w:szCs w:val="30"/>
        </w:rPr>
        <w:t>By way of conclusion, we do well to note that the covenantal mode of seeing is especially helpful when interpreting OTKP.</w:t>
      </w:r>
    </w:p>
    <w:p w14:paraId="044394D0">
      <w:pPr>
        <w:pStyle w:val="9"/>
        <w:spacing w:before="11"/>
        <w:ind w:left="0"/>
        <w:jc w:val="left"/>
        <w:rPr>
          <w:rFonts w:hint="eastAsia"/>
          <w:sz w:val="30"/>
          <w:szCs w:val="30"/>
        </w:rPr>
      </w:pPr>
      <w:r>
        <w:rPr>
          <w:rFonts w:hint="eastAsia"/>
          <w:sz w:val="30"/>
          <w:szCs w:val="30"/>
        </w:rPr>
        <w:t>作为结论，我们应当注意，在解释旧约国度预言（OTKP）时，基于圣约的看见模式特别有帮助。</w:t>
      </w:r>
    </w:p>
    <w:p w14:paraId="7B38E181">
      <w:pPr>
        <w:pStyle w:val="9"/>
        <w:spacing w:before="11"/>
        <w:ind w:left="0"/>
        <w:jc w:val="left"/>
        <w:rPr>
          <w:rFonts w:hint="eastAsia"/>
          <w:sz w:val="30"/>
          <w:szCs w:val="30"/>
        </w:rPr>
      </w:pPr>
    </w:p>
    <w:p w14:paraId="0DF93203">
      <w:pPr>
        <w:pStyle w:val="9"/>
        <w:spacing w:before="11"/>
        <w:ind w:left="0"/>
        <w:jc w:val="left"/>
        <w:rPr>
          <w:rFonts w:hint="eastAsia"/>
          <w:sz w:val="30"/>
          <w:szCs w:val="30"/>
        </w:rPr>
      </w:pPr>
      <w:r>
        <w:rPr>
          <w:rFonts w:hint="eastAsia"/>
          <w:sz w:val="30"/>
          <w:szCs w:val="30"/>
        </w:rPr>
        <w:t>That’s because OTKP is covenantally conditioned: It (primarily) uses imagery drawn from Israel’s life under the Law (the Old Covenant) to speak of the life of God’s people in the redemptive Kingdom to come.</w:t>
      </w:r>
    </w:p>
    <w:p w14:paraId="2AE7F401">
      <w:pPr>
        <w:pStyle w:val="9"/>
        <w:spacing w:before="11"/>
        <w:ind w:left="0"/>
        <w:jc w:val="left"/>
        <w:rPr>
          <w:rFonts w:hint="eastAsia"/>
          <w:sz w:val="30"/>
          <w:szCs w:val="30"/>
        </w:rPr>
      </w:pPr>
      <w:r>
        <w:rPr>
          <w:rFonts w:hint="eastAsia"/>
          <w:sz w:val="30"/>
          <w:szCs w:val="30"/>
        </w:rPr>
        <w:t>这是因为旧约国度预言（OTKP）是受圣约制约的：它（主要）使用取自以色列在律法下（旧约）生活的意象，来讲述上帝子民在将要来临的救赎性国度中的生活。</w:t>
      </w:r>
    </w:p>
    <w:p w14:paraId="4CBF11DB">
      <w:pPr>
        <w:pStyle w:val="9"/>
        <w:spacing w:before="11"/>
        <w:ind w:left="0"/>
        <w:jc w:val="left"/>
        <w:rPr>
          <w:rFonts w:hint="eastAsia"/>
          <w:sz w:val="30"/>
          <w:szCs w:val="30"/>
        </w:rPr>
      </w:pPr>
    </w:p>
    <w:p w14:paraId="0915A84B">
      <w:pPr>
        <w:pStyle w:val="9"/>
        <w:spacing w:before="11"/>
        <w:ind w:left="0"/>
        <w:jc w:val="left"/>
        <w:rPr>
          <w:rFonts w:hint="eastAsia"/>
          <w:sz w:val="30"/>
          <w:szCs w:val="30"/>
        </w:rPr>
      </w:pPr>
      <w:r>
        <w:rPr>
          <w:rFonts w:hint="eastAsia"/>
          <w:sz w:val="30"/>
          <w:szCs w:val="30"/>
        </w:rPr>
        <w:t>But what was life under the Law—or under any other OT administration—if not a mystical representation, cast in type and shadow, of the several elements of the Eternal Covenant; of the New Covenant by which God, “in that day,” would bring in his everlasting Kingdom?</w:t>
      </w:r>
    </w:p>
    <w:p w14:paraId="3014F365">
      <w:pPr>
        <w:pStyle w:val="9"/>
        <w:spacing w:before="11"/>
        <w:ind w:left="0"/>
        <w:jc w:val="left"/>
        <w:rPr>
          <w:rFonts w:hint="eastAsia"/>
          <w:sz w:val="30"/>
          <w:szCs w:val="30"/>
        </w:rPr>
      </w:pPr>
      <w:r>
        <w:rPr>
          <w:rFonts w:hint="eastAsia"/>
          <w:sz w:val="30"/>
          <w:szCs w:val="30"/>
        </w:rPr>
        <w:t>但律法下的生活——或在任何其他旧约施行下的生活——若不是一个神秘的表述，投射在预表和影儿中，代表着永恒之约的几个要素；代表着上帝在“那日”将藉以引入祂永恒国度的新约，又是什么呢？</w:t>
      </w:r>
    </w:p>
    <w:p w14:paraId="7861AE5D">
      <w:pPr>
        <w:pStyle w:val="9"/>
        <w:spacing w:before="11"/>
        <w:ind w:left="0"/>
        <w:jc w:val="left"/>
        <w:rPr>
          <w:rFonts w:hint="eastAsia"/>
          <w:sz w:val="30"/>
          <w:szCs w:val="30"/>
        </w:rPr>
      </w:pPr>
    </w:p>
    <w:p w14:paraId="42808605">
      <w:pPr>
        <w:pStyle w:val="9"/>
        <w:spacing w:before="11"/>
        <w:ind w:left="0"/>
        <w:jc w:val="left"/>
        <w:rPr>
          <w:rFonts w:hint="eastAsia"/>
          <w:sz w:val="30"/>
          <w:szCs w:val="30"/>
        </w:rPr>
      </w:pPr>
      <w:r>
        <w:rPr>
          <w:rFonts w:hint="eastAsia"/>
          <w:sz w:val="30"/>
          <w:szCs w:val="30"/>
        </w:rPr>
        <w:t>So then, as for OT law and history, so for the OTKP’s that were conditioned by them: We must interpret them covenantally, as speaking in a mystery of the various elements of the Eternal Covenant in Christ.</w:t>
      </w:r>
    </w:p>
    <w:p w14:paraId="68B8024B">
      <w:pPr>
        <w:pStyle w:val="9"/>
        <w:spacing w:before="11"/>
        <w:ind w:left="0"/>
        <w:jc w:val="left"/>
        <w:rPr>
          <w:rFonts w:hint="eastAsia"/>
          <w:sz w:val="30"/>
          <w:szCs w:val="30"/>
        </w:rPr>
      </w:pPr>
      <w:r>
        <w:rPr>
          <w:rFonts w:hint="eastAsia"/>
          <w:sz w:val="30"/>
          <w:szCs w:val="30"/>
        </w:rPr>
        <w:t>那么，对于旧约的律法和历史，以及受它们制约的旧约国度预言（OTKP），我们都必须以圣约的方式来解释它们，即视其为在奥秘中讲述基督里永恒之约的各种要素。</w:t>
      </w:r>
    </w:p>
    <w:p w14:paraId="48EEF3E2">
      <w:pPr>
        <w:pStyle w:val="9"/>
        <w:spacing w:before="11"/>
        <w:ind w:left="0"/>
        <w:jc w:val="left"/>
        <w:rPr>
          <w:rFonts w:hint="eastAsia"/>
          <w:sz w:val="30"/>
          <w:szCs w:val="30"/>
        </w:rPr>
      </w:pPr>
    </w:p>
    <w:p w14:paraId="7510519F">
      <w:pPr>
        <w:pStyle w:val="9"/>
        <w:spacing w:before="11"/>
        <w:ind w:left="0"/>
        <w:jc w:val="left"/>
        <w:rPr>
          <w:rFonts w:hint="eastAsia"/>
          <w:sz w:val="30"/>
          <w:szCs w:val="30"/>
        </w:rPr>
      </w:pPr>
      <w:r>
        <w:rPr>
          <w:rFonts w:hint="eastAsia"/>
          <w:sz w:val="30"/>
          <w:szCs w:val="30"/>
        </w:rPr>
        <w:t>There’s No Going Back</w:t>
      </w:r>
    </w:p>
    <w:p w14:paraId="6D0632FE">
      <w:pPr>
        <w:pStyle w:val="9"/>
        <w:spacing w:before="11"/>
        <w:ind w:left="0"/>
        <w:jc w:val="left"/>
        <w:rPr>
          <w:rFonts w:hint="eastAsia"/>
          <w:sz w:val="30"/>
          <w:szCs w:val="30"/>
        </w:rPr>
      </w:pPr>
      <w:r>
        <w:rPr>
          <w:rFonts w:hint="eastAsia"/>
          <w:sz w:val="30"/>
          <w:szCs w:val="30"/>
        </w:rPr>
        <w:t>没有回头路</w:t>
      </w:r>
    </w:p>
    <w:p w14:paraId="63EDD629">
      <w:pPr>
        <w:pStyle w:val="9"/>
        <w:spacing w:before="11"/>
        <w:ind w:left="0"/>
        <w:jc w:val="left"/>
        <w:rPr>
          <w:rFonts w:hint="eastAsia"/>
          <w:sz w:val="30"/>
          <w:szCs w:val="30"/>
        </w:rPr>
      </w:pPr>
    </w:p>
    <w:p w14:paraId="78FF1C87">
      <w:pPr>
        <w:pStyle w:val="9"/>
        <w:spacing w:before="11"/>
        <w:ind w:left="0"/>
        <w:jc w:val="left"/>
        <w:rPr>
          <w:rFonts w:hint="eastAsia"/>
          <w:sz w:val="30"/>
          <w:szCs w:val="30"/>
        </w:rPr>
      </w:pPr>
      <w:r>
        <w:rPr>
          <w:rFonts w:hint="eastAsia"/>
          <w:sz w:val="30"/>
          <w:szCs w:val="30"/>
        </w:rPr>
        <w:t>Before continuing further, it is appropriate to pause here and discuss an important premise underlying the apostles’ teaching about the administration of the Eternal Covenant in Salvation History, a premise of special relevance for our study in eschatology.</w:t>
      </w:r>
    </w:p>
    <w:p w14:paraId="62D26DC7">
      <w:pPr>
        <w:pStyle w:val="9"/>
        <w:spacing w:before="11"/>
        <w:ind w:left="0"/>
        <w:jc w:val="left"/>
        <w:rPr>
          <w:rFonts w:hint="eastAsia"/>
          <w:sz w:val="30"/>
          <w:szCs w:val="30"/>
        </w:rPr>
      </w:pPr>
      <w:r>
        <w:rPr>
          <w:rFonts w:hint="eastAsia"/>
          <w:sz w:val="30"/>
          <w:szCs w:val="30"/>
        </w:rPr>
        <w:t>在继续之前，在此暂停并讨论一个重要前提是恰当的，这个前提是使徒们关于救赎历史中永恒之约施行的教导的基础，对于我们末世论的研究具有特殊的相关性。</w:t>
      </w:r>
    </w:p>
    <w:p w14:paraId="19477439">
      <w:pPr>
        <w:pStyle w:val="9"/>
        <w:spacing w:before="11"/>
        <w:ind w:left="0"/>
        <w:jc w:val="left"/>
        <w:rPr>
          <w:rFonts w:hint="eastAsia"/>
          <w:sz w:val="30"/>
          <w:szCs w:val="30"/>
        </w:rPr>
      </w:pPr>
    </w:p>
    <w:p w14:paraId="57414EC6">
      <w:pPr>
        <w:pStyle w:val="9"/>
        <w:spacing w:before="11"/>
        <w:ind w:left="0"/>
        <w:jc w:val="left"/>
        <w:rPr>
          <w:rFonts w:hint="eastAsia"/>
          <w:sz w:val="30"/>
          <w:szCs w:val="30"/>
        </w:rPr>
      </w:pPr>
      <w:r>
        <w:rPr>
          <w:rFonts w:hint="eastAsia"/>
          <w:sz w:val="30"/>
          <w:szCs w:val="30"/>
        </w:rPr>
        <w:t>It is this: The New Covenant —which is none other than the Eternal Covenant—fully fulfills the Mosaic Law and therefore renders it forever obsolete.</w:t>
      </w:r>
    </w:p>
    <w:p w14:paraId="7F5C9204">
      <w:pPr>
        <w:pStyle w:val="9"/>
        <w:spacing w:before="11"/>
        <w:ind w:left="0"/>
        <w:jc w:val="left"/>
        <w:rPr>
          <w:rFonts w:hint="eastAsia"/>
          <w:sz w:val="30"/>
          <w:szCs w:val="30"/>
        </w:rPr>
      </w:pPr>
      <w:r>
        <w:rPr>
          <w:rFonts w:hint="eastAsia"/>
          <w:sz w:val="30"/>
          <w:szCs w:val="30"/>
        </w:rPr>
        <w:t>即是：新约——它正是永恒之约——完全成全了摩西律法，因此使其永远过时。</w:t>
      </w:r>
    </w:p>
    <w:p w14:paraId="670E6FB3">
      <w:pPr>
        <w:pStyle w:val="9"/>
        <w:spacing w:before="11"/>
        <w:ind w:left="0"/>
        <w:jc w:val="left"/>
        <w:rPr>
          <w:rFonts w:hint="eastAsia"/>
          <w:sz w:val="30"/>
          <w:szCs w:val="30"/>
        </w:rPr>
      </w:pPr>
    </w:p>
    <w:p w14:paraId="407693DE">
      <w:pPr>
        <w:pStyle w:val="9"/>
        <w:spacing w:before="11"/>
        <w:ind w:left="0"/>
        <w:jc w:val="left"/>
        <w:rPr>
          <w:rFonts w:hint="eastAsia"/>
          <w:sz w:val="30"/>
          <w:szCs w:val="30"/>
        </w:rPr>
      </w:pPr>
      <w:r>
        <w:rPr>
          <w:rFonts w:hint="eastAsia"/>
          <w:sz w:val="30"/>
          <w:szCs w:val="30"/>
        </w:rPr>
        <w:t>An important corollary of this premise—one that I would urge my premillennarian brethren to ponder carefully—is that there is no going back.</w:t>
      </w:r>
    </w:p>
    <w:p w14:paraId="56D92B09">
      <w:pPr>
        <w:pStyle w:val="9"/>
        <w:spacing w:before="11"/>
        <w:ind w:left="0"/>
        <w:jc w:val="left"/>
        <w:rPr>
          <w:rFonts w:hint="eastAsia"/>
          <w:sz w:val="30"/>
          <w:szCs w:val="30"/>
        </w:rPr>
      </w:pPr>
      <w:r>
        <w:rPr>
          <w:rFonts w:hint="eastAsia"/>
          <w:sz w:val="30"/>
          <w:szCs w:val="30"/>
        </w:rPr>
        <w:t>这个前提的一个重要推论——我敦促我的前千禧年派弟兄们仔细思考——是，没有回头路可走。</w:t>
      </w:r>
    </w:p>
    <w:p w14:paraId="4CAF711A">
      <w:pPr>
        <w:pStyle w:val="9"/>
        <w:spacing w:before="11"/>
        <w:ind w:left="0"/>
        <w:jc w:val="left"/>
        <w:rPr>
          <w:rFonts w:hint="eastAsia"/>
          <w:sz w:val="30"/>
          <w:szCs w:val="30"/>
        </w:rPr>
      </w:pPr>
    </w:p>
    <w:p w14:paraId="2B9CCF60">
      <w:pPr>
        <w:pStyle w:val="9"/>
        <w:spacing w:before="11"/>
        <w:ind w:left="0"/>
        <w:jc w:val="left"/>
        <w:rPr>
          <w:rFonts w:hint="eastAsia"/>
          <w:sz w:val="30"/>
          <w:szCs w:val="30"/>
        </w:rPr>
      </w:pPr>
      <w:r>
        <w:rPr>
          <w:rFonts w:hint="eastAsia"/>
          <w:sz w:val="30"/>
          <w:szCs w:val="30"/>
        </w:rPr>
        <w:t>In other words, in the days ahead there will not be—because there cannot be—a return to the institutions of the Mosaic Law.</w:t>
      </w:r>
    </w:p>
    <w:p w14:paraId="215E11C4">
      <w:pPr>
        <w:pStyle w:val="9"/>
        <w:spacing w:before="11"/>
        <w:ind w:left="0"/>
        <w:jc w:val="left"/>
        <w:rPr>
          <w:rFonts w:hint="eastAsia"/>
          <w:sz w:val="30"/>
          <w:szCs w:val="30"/>
        </w:rPr>
      </w:pPr>
      <w:r>
        <w:rPr>
          <w:rFonts w:hint="eastAsia"/>
          <w:sz w:val="30"/>
          <w:szCs w:val="30"/>
        </w:rPr>
        <w:t>换句话说，在未来的日子里，将不会——因为不可能——回归到摩西律法的制度。</w:t>
      </w:r>
    </w:p>
    <w:p w14:paraId="7C114D8A">
      <w:pPr>
        <w:pStyle w:val="9"/>
        <w:spacing w:before="11"/>
        <w:ind w:left="0"/>
        <w:jc w:val="left"/>
        <w:rPr>
          <w:rFonts w:hint="eastAsia"/>
          <w:sz w:val="30"/>
          <w:szCs w:val="30"/>
        </w:rPr>
      </w:pPr>
    </w:p>
    <w:p w14:paraId="3F7EF8D6">
      <w:pPr>
        <w:pStyle w:val="9"/>
        <w:spacing w:before="11"/>
        <w:ind w:left="0"/>
        <w:jc w:val="left"/>
        <w:rPr>
          <w:rFonts w:hint="eastAsia"/>
          <w:sz w:val="30"/>
          <w:szCs w:val="30"/>
        </w:rPr>
      </w:pPr>
      <w:r>
        <w:rPr>
          <w:rFonts w:hint="eastAsia"/>
          <w:sz w:val="30"/>
          <w:szCs w:val="30"/>
        </w:rPr>
        <w:t>As we saw earlier, in his earthly ministry, the Lord Jesus taught this very thing.</w:t>
      </w:r>
    </w:p>
    <w:p w14:paraId="78184243">
      <w:pPr>
        <w:pStyle w:val="9"/>
        <w:spacing w:before="11"/>
        <w:ind w:left="0"/>
        <w:jc w:val="left"/>
        <w:rPr>
          <w:rFonts w:hint="eastAsia"/>
          <w:sz w:val="30"/>
          <w:szCs w:val="30"/>
        </w:rPr>
      </w:pPr>
      <w:r>
        <w:rPr>
          <w:rFonts w:hint="eastAsia"/>
          <w:sz w:val="30"/>
          <w:szCs w:val="30"/>
        </w:rPr>
        <w:t>正如我们早些时候看到的，主耶稣在祂地上的事工中，教导的正是这件事。</w:t>
      </w:r>
    </w:p>
    <w:p w14:paraId="405C684E">
      <w:pPr>
        <w:pStyle w:val="9"/>
        <w:spacing w:before="11"/>
        <w:ind w:left="0"/>
        <w:jc w:val="left"/>
        <w:rPr>
          <w:rFonts w:hint="eastAsia"/>
          <w:sz w:val="30"/>
          <w:szCs w:val="30"/>
        </w:rPr>
      </w:pPr>
    </w:p>
    <w:p w14:paraId="190269D6">
      <w:pPr>
        <w:pStyle w:val="9"/>
        <w:spacing w:before="11"/>
        <w:ind w:left="0"/>
        <w:jc w:val="left"/>
        <w:rPr>
          <w:rFonts w:hint="eastAsia"/>
          <w:sz w:val="30"/>
          <w:szCs w:val="30"/>
        </w:rPr>
      </w:pPr>
      <w:r>
        <w:rPr>
          <w:rFonts w:hint="eastAsia"/>
          <w:sz w:val="30"/>
          <w:szCs w:val="30"/>
        </w:rPr>
        <w:t>On the one hand, he implicitly associated the two-staged Kingdom of God with the New Covenant that he himself was instituting.</w:t>
      </w:r>
    </w:p>
    <w:p w14:paraId="68433ABD">
      <w:pPr>
        <w:pStyle w:val="9"/>
        <w:spacing w:before="11"/>
        <w:ind w:left="0"/>
        <w:jc w:val="left"/>
        <w:rPr>
          <w:rFonts w:hint="eastAsia"/>
          <w:sz w:val="30"/>
          <w:szCs w:val="30"/>
        </w:rPr>
      </w:pPr>
      <w:r>
        <w:rPr>
          <w:rFonts w:hint="eastAsia"/>
          <w:sz w:val="30"/>
          <w:szCs w:val="30"/>
        </w:rPr>
        <w:t>一方面，祂含蓄地将两阶段的上帝之国与祂自己所设立的新约联系起来。</w:t>
      </w:r>
    </w:p>
    <w:p w14:paraId="13EF860A">
      <w:pPr>
        <w:pStyle w:val="9"/>
        <w:spacing w:before="11"/>
        <w:ind w:left="0"/>
        <w:jc w:val="left"/>
        <w:rPr>
          <w:rFonts w:hint="eastAsia"/>
          <w:sz w:val="30"/>
          <w:szCs w:val="30"/>
        </w:rPr>
      </w:pPr>
    </w:p>
    <w:p w14:paraId="7A87B1E6">
      <w:pPr>
        <w:pStyle w:val="9"/>
        <w:spacing w:before="11"/>
        <w:ind w:left="0"/>
        <w:jc w:val="left"/>
        <w:rPr>
          <w:rFonts w:hint="eastAsia"/>
          <w:sz w:val="30"/>
          <w:szCs w:val="30"/>
        </w:rPr>
      </w:pPr>
      <w:r>
        <w:rPr>
          <w:rFonts w:hint="eastAsia"/>
          <w:sz w:val="30"/>
          <w:szCs w:val="30"/>
        </w:rPr>
        <w:t>On the other, he explicitly declared that the New Covenant fulfills the Old, renders it obsolete, and permanently replaces the entire spectrum of Mosaic institutions with new Gospel institutions (Mt. 5:17, 9:16-17, 24:2, Mark 11:14).</w:t>
      </w:r>
    </w:p>
    <w:p w14:paraId="27483840">
      <w:pPr>
        <w:pStyle w:val="9"/>
        <w:spacing w:before="11"/>
        <w:ind w:left="0"/>
        <w:jc w:val="left"/>
        <w:rPr>
          <w:rFonts w:hint="eastAsia"/>
          <w:sz w:val="30"/>
          <w:szCs w:val="30"/>
        </w:rPr>
      </w:pPr>
      <w:r>
        <w:rPr>
          <w:rFonts w:hint="eastAsia"/>
          <w:sz w:val="30"/>
          <w:szCs w:val="30"/>
        </w:rPr>
        <w:t>另一方面，祂明确宣告新约成全了旧约，使其过时，并用新的福音制度永久地取代了整个摩西制度的范围（马太福音 5:17, 9:16-17, 24:2, 马可福音 11:14）。</w:t>
      </w:r>
    </w:p>
    <w:p w14:paraId="6DC8139C">
      <w:pPr>
        <w:pStyle w:val="9"/>
        <w:spacing w:before="11"/>
        <w:ind w:left="0"/>
        <w:jc w:val="left"/>
        <w:rPr>
          <w:rFonts w:hint="eastAsia"/>
          <w:sz w:val="30"/>
          <w:szCs w:val="30"/>
        </w:rPr>
      </w:pPr>
    </w:p>
    <w:p w14:paraId="3D5926B2">
      <w:pPr>
        <w:pStyle w:val="9"/>
        <w:spacing w:before="11"/>
        <w:ind w:left="0"/>
        <w:jc w:val="left"/>
        <w:rPr>
          <w:rFonts w:hint="eastAsia"/>
          <w:sz w:val="30"/>
          <w:szCs w:val="30"/>
        </w:rPr>
      </w:pPr>
      <w:r>
        <w:rPr>
          <w:rFonts w:hint="eastAsia"/>
          <w:sz w:val="30"/>
          <w:szCs w:val="30"/>
        </w:rPr>
        <w:t>The apostles, to the extent they understood their Master’s teaching, humbly acquiesced.</w:t>
      </w:r>
    </w:p>
    <w:p w14:paraId="173619B1">
      <w:pPr>
        <w:pStyle w:val="9"/>
        <w:spacing w:before="11"/>
        <w:ind w:left="0"/>
        <w:jc w:val="left"/>
        <w:rPr>
          <w:rFonts w:hint="eastAsia"/>
          <w:sz w:val="30"/>
          <w:szCs w:val="30"/>
        </w:rPr>
      </w:pPr>
      <w:r>
        <w:rPr>
          <w:rFonts w:hint="eastAsia"/>
          <w:sz w:val="30"/>
          <w:szCs w:val="30"/>
        </w:rPr>
        <w:t>使徒们，在他们理解其主人的教导的程度上，谦卑地默许了。</w:t>
      </w:r>
    </w:p>
    <w:p w14:paraId="505D979D">
      <w:pPr>
        <w:pStyle w:val="9"/>
        <w:spacing w:before="11"/>
        <w:ind w:left="0"/>
        <w:jc w:val="left"/>
        <w:rPr>
          <w:rFonts w:hint="eastAsia"/>
          <w:sz w:val="30"/>
          <w:szCs w:val="30"/>
        </w:rPr>
      </w:pPr>
    </w:p>
    <w:p w14:paraId="5F86C4BE">
      <w:pPr>
        <w:pStyle w:val="9"/>
        <w:spacing w:before="11"/>
        <w:ind w:left="0"/>
        <w:jc w:val="left"/>
        <w:rPr>
          <w:rFonts w:hint="eastAsia"/>
          <w:sz w:val="30"/>
          <w:szCs w:val="30"/>
        </w:rPr>
      </w:pPr>
      <w:r>
        <w:rPr>
          <w:rFonts w:hint="eastAsia"/>
          <w:sz w:val="30"/>
          <w:szCs w:val="30"/>
        </w:rPr>
        <w:t>However, after the Day of Pentecost—when the first stage of the Kingdom began, and when the exalted Christ began giving them all wisdom and insight into the mystery of his will—they attained a far better spiritual understanding from which to teach on these matters.</w:t>
      </w:r>
    </w:p>
    <w:p w14:paraId="755E30D2">
      <w:pPr>
        <w:pStyle w:val="9"/>
        <w:spacing w:before="11"/>
        <w:ind w:left="0"/>
        <w:jc w:val="left"/>
        <w:rPr>
          <w:rFonts w:hint="eastAsia"/>
          <w:sz w:val="30"/>
          <w:szCs w:val="30"/>
        </w:rPr>
      </w:pPr>
      <w:r>
        <w:rPr>
          <w:rFonts w:hint="eastAsia"/>
          <w:sz w:val="30"/>
          <w:szCs w:val="30"/>
        </w:rPr>
        <w:t>然而，在五旬节之后——当国度的第一阶段开始，当被高举的基督开始赐给他们一切智慧和洞见，让他们明白祂旨意的奥秘时——他们获得了远为更佳的属灵理解，从而可以在这些事上进行教导。</w:t>
      </w:r>
    </w:p>
    <w:p w14:paraId="3825540E">
      <w:pPr>
        <w:pStyle w:val="9"/>
        <w:spacing w:before="11"/>
        <w:ind w:left="0"/>
        <w:jc w:val="left"/>
        <w:rPr>
          <w:rFonts w:hint="eastAsia"/>
          <w:sz w:val="30"/>
          <w:szCs w:val="30"/>
        </w:rPr>
      </w:pPr>
    </w:p>
    <w:p w14:paraId="37819349">
      <w:pPr>
        <w:pStyle w:val="9"/>
        <w:spacing w:before="11"/>
        <w:ind w:left="0"/>
        <w:jc w:val="left"/>
        <w:rPr>
          <w:rFonts w:hint="eastAsia"/>
          <w:sz w:val="30"/>
          <w:szCs w:val="30"/>
        </w:rPr>
      </w:pPr>
      <w:r>
        <w:rPr>
          <w:rFonts w:hint="eastAsia"/>
          <w:sz w:val="30"/>
          <w:szCs w:val="30"/>
        </w:rPr>
        <w:t>Now they could probe and explain the intricate relationship between the Eternal Covenant, the Old Covenant(s), and the New Covenant; and now they could unveil the true heart, structure, and progress of Salvation History.</w:t>
      </w:r>
    </w:p>
    <w:p w14:paraId="60ACF4C4">
      <w:pPr>
        <w:pStyle w:val="9"/>
        <w:spacing w:before="11"/>
        <w:ind w:left="0"/>
        <w:jc w:val="left"/>
        <w:rPr>
          <w:rFonts w:hint="eastAsia"/>
          <w:sz w:val="30"/>
          <w:szCs w:val="30"/>
        </w:rPr>
      </w:pPr>
      <w:r>
        <w:rPr>
          <w:rFonts w:hint="eastAsia"/>
          <w:sz w:val="30"/>
          <w:szCs w:val="30"/>
        </w:rPr>
        <w:t>现在他们可以探究并解释永恒之约、旧约（们）和新约之间错综复杂的关系；现在他们可以揭示救赎历史的真正核心、结构和进程。</w:t>
      </w:r>
    </w:p>
    <w:p w14:paraId="12FF3BC2">
      <w:pPr>
        <w:pStyle w:val="9"/>
        <w:spacing w:before="11"/>
        <w:ind w:left="0"/>
        <w:jc w:val="left"/>
        <w:rPr>
          <w:rFonts w:hint="eastAsia"/>
          <w:sz w:val="30"/>
          <w:szCs w:val="30"/>
        </w:rPr>
      </w:pPr>
    </w:p>
    <w:p w14:paraId="102C3A68">
      <w:pPr>
        <w:pStyle w:val="9"/>
        <w:spacing w:before="11"/>
        <w:ind w:left="0"/>
        <w:jc w:val="left"/>
        <w:rPr>
          <w:rFonts w:hint="eastAsia"/>
          <w:sz w:val="30"/>
          <w:szCs w:val="30"/>
        </w:rPr>
      </w:pPr>
      <w:r>
        <w:rPr>
          <w:rFonts w:hint="eastAsia"/>
          <w:sz w:val="30"/>
          <w:szCs w:val="30"/>
        </w:rPr>
        <w:t>Once we understand their conclusions on these matters, we realize immediately that the apostles would never have dreamed of a future reversion to the Mosaic Law; to a millennial, theocratic administration of the Eternal Covenant.</w:t>
      </w:r>
    </w:p>
    <w:p w14:paraId="73132DD5">
      <w:pPr>
        <w:pStyle w:val="9"/>
        <w:spacing w:before="11"/>
        <w:ind w:left="0"/>
        <w:jc w:val="left"/>
        <w:rPr>
          <w:rFonts w:hint="eastAsia"/>
          <w:sz w:val="30"/>
          <w:szCs w:val="30"/>
        </w:rPr>
      </w:pPr>
      <w:r>
        <w:rPr>
          <w:rFonts w:hint="eastAsia"/>
          <w:sz w:val="30"/>
          <w:szCs w:val="30"/>
        </w:rPr>
        <w:t>一旦我们理解了他们对这些问题的结论，我们立刻就认识到，使徒们绝不会梦想未来会回归到摩西律法；回归到一个千禧年的、神权政体的永恒之约的施行。</w:t>
      </w:r>
    </w:p>
    <w:p w14:paraId="3587B643">
      <w:pPr>
        <w:pStyle w:val="9"/>
        <w:spacing w:before="11"/>
        <w:ind w:left="0"/>
        <w:jc w:val="left"/>
        <w:rPr>
          <w:rFonts w:hint="eastAsia"/>
          <w:sz w:val="30"/>
          <w:szCs w:val="30"/>
        </w:rPr>
      </w:pPr>
    </w:p>
    <w:p w14:paraId="40B2E263">
      <w:pPr>
        <w:pStyle w:val="9"/>
        <w:spacing w:before="11"/>
        <w:ind w:left="0"/>
        <w:jc w:val="left"/>
        <w:rPr>
          <w:rFonts w:hint="eastAsia"/>
          <w:sz w:val="30"/>
          <w:szCs w:val="30"/>
        </w:rPr>
      </w:pPr>
      <w:r>
        <w:rPr>
          <w:rFonts w:hint="eastAsia"/>
          <w:sz w:val="30"/>
          <w:szCs w:val="30"/>
        </w:rPr>
        <w:t>There are two main reasons why.</w:t>
      </w:r>
    </w:p>
    <w:p w14:paraId="6411575E">
      <w:pPr>
        <w:pStyle w:val="9"/>
        <w:spacing w:before="11"/>
        <w:ind w:left="0"/>
        <w:jc w:val="left"/>
        <w:rPr>
          <w:rFonts w:hint="eastAsia"/>
          <w:sz w:val="30"/>
          <w:szCs w:val="30"/>
        </w:rPr>
      </w:pPr>
      <w:r>
        <w:rPr>
          <w:rFonts w:hint="eastAsia"/>
          <w:sz w:val="30"/>
          <w:szCs w:val="30"/>
        </w:rPr>
        <w:t>主要有两个原因。</w:t>
      </w:r>
    </w:p>
    <w:p w14:paraId="0104F402">
      <w:pPr>
        <w:pStyle w:val="9"/>
        <w:spacing w:before="11"/>
        <w:ind w:left="0"/>
        <w:jc w:val="left"/>
        <w:rPr>
          <w:rFonts w:hint="eastAsia"/>
          <w:sz w:val="30"/>
          <w:szCs w:val="30"/>
        </w:rPr>
      </w:pPr>
    </w:p>
    <w:p w14:paraId="53264846">
      <w:pPr>
        <w:pStyle w:val="9"/>
        <w:spacing w:before="11"/>
        <w:ind w:left="0"/>
        <w:jc w:val="left"/>
        <w:rPr>
          <w:rFonts w:hint="eastAsia"/>
          <w:sz w:val="30"/>
          <w:szCs w:val="30"/>
        </w:rPr>
      </w:pPr>
      <w:r>
        <w:rPr>
          <w:rFonts w:hint="eastAsia"/>
          <w:sz w:val="30"/>
          <w:szCs w:val="30"/>
        </w:rPr>
        <w:t>First, their newfound understanding of the structure of the Kingdom (i.e., of the Era of Fulfillment) would have forbidden it.</w:t>
      </w:r>
    </w:p>
    <w:p w14:paraId="19C49141">
      <w:pPr>
        <w:pStyle w:val="9"/>
        <w:spacing w:before="11"/>
        <w:ind w:left="0"/>
        <w:jc w:val="left"/>
        <w:rPr>
          <w:rFonts w:hint="eastAsia"/>
          <w:sz w:val="30"/>
          <w:szCs w:val="30"/>
        </w:rPr>
      </w:pPr>
      <w:r>
        <w:rPr>
          <w:rFonts w:hint="eastAsia"/>
          <w:sz w:val="30"/>
          <w:szCs w:val="30"/>
        </w:rPr>
        <w:t>首先，他们对国度结构（即成全的时代）的新发现的理解会禁止它。</w:t>
      </w:r>
    </w:p>
    <w:p w14:paraId="3015546C">
      <w:pPr>
        <w:pStyle w:val="9"/>
        <w:spacing w:before="11"/>
        <w:ind w:left="0"/>
        <w:jc w:val="left"/>
        <w:rPr>
          <w:rFonts w:hint="eastAsia"/>
          <w:sz w:val="30"/>
          <w:szCs w:val="30"/>
        </w:rPr>
      </w:pPr>
    </w:p>
    <w:p w14:paraId="050468E6">
      <w:pPr>
        <w:pStyle w:val="9"/>
        <w:spacing w:before="11"/>
        <w:ind w:left="0"/>
        <w:jc w:val="left"/>
        <w:rPr>
          <w:rFonts w:hint="eastAsia"/>
          <w:sz w:val="30"/>
          <w:szCs w:val="30"/>
        </w:rPr>
      </w:pPr>
      <w:r>
        <w:rPr>
          <w:rFonts w:hint="eastAsia"/>
          <w:sz w:val="30"/>
          <w:szCs w:val="30"/>
        </w:rPr>
        <w:t>As we saw earlier, the apostles closely followed Jesus in teaching that the Kingdom comes in two stages only: the present Kingdom of the Son (emanating from Heaven above), and the future Kingdom of the Father (situated upon a renewed earth).</w:t>
      </w:r>
    </w:p>
    <w:p w14:paraId="4503FC79">
      <w:pPr>
        <w:pStyle w:val="9"/>
        <w:spacing w:before="11"/>
        <w:ind w:left="0"/>
        <w:jc w:val="left"/>
        <w:rPr>
          <w:rFonts w:hint="eastAsia"/>
          <w:sz w:val="30"/>
          <w:szCs w:val="30"/>
        </w:rPr>
      </w:pPr>
      <w:r>
        <w:rPr>
          <w:rFonts w:hint="eastAsia"/>
          <w:sz w:val="30"/>
          <w:szCs w:val="30"/>
        </w:rPr>
        <w:t>正如我们早先所见，使徒们紧随耶稣教导说，国度只分两个阶段来临：现今的圣子之国（源自天上的天国），和未来的圣父之国（位于一个更新的地球上）。</w:t>
      </w:r>
    </w:p>
    <w:p w14:paraId="6B6D6121">
      <w:pPr>
        <w:pStyle w:val="9"/>
        <w:spacing w:before="11"/>
        <w:ind w:left="0"/>
        <w:jc w:val="left"/>
        <w:rPr>
          <w:rFonts w:hint="eastAsia"/>
          <w:sz w:val="30"/>
          <w:szCs w:val="30"/>
        </w:rPr>
      </w:pPr>
    </w:p>
    <w:p w14:paraId="4F654CAA">
      <w:pPr>
        <w:pStyle w:val="9"/>
        <w:spacing w:before="11"/>
        <w:ind w:left="0"/>
        <w:jc w:val="left"/>
        <w:rPr>
          <w:rFonts w:hint="eastAsia"/>
          <w:sz w:val="30"/>
          <w:szCs w:val="30"/>
        </w:rPr>
      </w:pPr>
      <w:r>
        <w:rPr>
          <w:rFonts w:hint="eastAsia"/>
          <w:sz w:val="30"/>
          <w:szCs w:val="30"/>
        </w:rPr>
        <w:t>Neither is theocratic.</w:t>
      </w:r>
    </w:p>
    <w:p w14:paraId="576F83E7">
      <w:pPr>
        <w:pStyle w:val="9"/>
        <w:spacing w:before="11"/>
        <w:ind w:left="0"/>
        <w:jc w:val="left"/>
        <w:rPr>
          <w:rFonts w:hint="eastAsia"/>
          <w:sz w:val="30"/>
          <w:szCs w:val="30"/>
        </w:rPr>
      </w:pPr>
      <w:r>
        <w:rPr>
          <w:rFonts w:hint="eastAsia"/>
          <w:sz w:val="30"/>
          <w:szCs w:val="30"/>
        </w:rPr>
        <w:t>两者都不是神权政体。</w:t>
      </w:r>
    </w:p>
    <w:p w14:paraId="4A44BDDD">
      <w:pPr>
        <w:pStyle w:val="9"/>
        <w:spacing w:before="11"/>
        <w:ind w:left="0"/>
        <w:jc w:val="left"/>
        <w:rPr>
          <w:rFonts w:hint="eastAsia"/>
          <w:sz w:val="30"/>
          <w:szCs w:val="30"/>
        </w:rPr>
      </w:pPr>
    </w:p>
    <w:p w14:paraId="2D2F3F5C">
      <w:pPr>
        <w:pStyle w:val="9"/>
        <w:spacing w:before="11"/>
        <w:ind w:left="0"/>
        <w:jc w:val="left"/>
        <w:rPr>
          <w:rFonts w:hint="eastAsia"/>
          <w:sz w:val="30"/>
          <w:szCs w:val="30"/>
        </w:rPr>
      </w:pPr>
      <w:r>
        <w:rPr>
          <w:rFonts w:hint="eastAsia"/>
          <w:sz w:val="30"/>
          <w:szCs w:val="30"/>
        </w:rPr>
        <w:t>In the Kingdom of the Son, Christ does not rule according to the Mosaic law; rather, he rules by his Spirit according to new Gospel precepts; according to the commandments of his holy apostles and prophets.</w:t>
      </w:r>
    </w:p>
    <w:p w14:paraId="7B6E041D">
      <w:pPr>
        <w:pStyle w:val="9"/>
        <w:spacing w:before="11"/>
        <w:ind w:left="0"/>
        <w:jc w:val="left"/>
        <w:rPr>
          <w:rFonts w:hint="eastAsia"/>
          <w:sz w:val="30"/>
          <w:szCs w:val="30"/>
        </w:rPr>
      </w:pPr>
      <w:r>
        <w:rPr>
          <w:rFonts w:hint="eastAsia"/>
          <w:sz w:val="30"/>
          <w:szCs w:val="30"/>
        </w:rPr>
        <w:t>在圣子的国度里，基督不是按照摩西律法来统治；而是，祂藉着祂的灵，按照新的福音训诫来统治；按照祂圣洁的使徒和先知的诫命来统治。</w:t>
      </w:r>
    </w:p>
    <w:p w14:paraId="058D80A3">
      <w:pPr>
        <w:pStyle w:val="9"/>
        <w:spacing w:before="11"/>
        <w:ind w:left="0"/>
        <w:jc w:val="left"/>
        <w:rPr>
          <w:rFonts w:hint="eastAsia"/>
          <w:sz w:val="30"/>
          <w:szCs w:val="30"/>
        </w:rPr>
      </w:pPr>
    </w:p>
    <w:p w14:paraId="78FE7E94">
      <w:pPr>
        <w:pStyle w:val="9"/>
        <w:spacing w:before="11"/>
        <w:ind w:left="0"/>
        <w:jc w:val="left"/>
        <w:rPr>
          <w:rFonts w:hint="eastAsia"/>
          <w:sz w:val="30"/>
          <w:szCs w:val="30"/>
        </w:rPr>
      </w:pPr>
      <w:r>
        <w:rPr>
          <w:rFonts w:hint="eastAsia"/>
          <w:sz w:val="30"/>
          <w:szCs w:val="30"/>
        </w:rPr>
        <w:t>And in the Kingdom of the Father, the form of things will remain essentially the same, though the saints’ enjoyment of them will be immeasurably enhanced.</w:t>
      </w:r>
    </w:p>
    <w:p w14:paraId="55CCCBFE">
      <w:pPr>
        <w:pStyle w:val="9"/>
        <w:spacing w:before="11"/>
        <w:ind w:left="0"/>
        <w:jc w:val="left"/>
        <w:rPr>
          <w:rFonts w:hint="eastAsia"/>
          <w:sz w:val="30"/>
          <w:szCs w:val="30"/>
        </w:rPr>
      </w:pPr>
      <w:r>
        <w:rPr>
          <w:rFonts w:hint="eastAsia"/>
          <w:sz w:val="30"/>
          <w:szCs w:val="30"/>
        </w:rPr>
        <w:t>而在圣父的国度里，事物的形式将基本保持不变，尽管圣徒们对它们的享受将被无法估量地增强。</w:t>
      </w:r>
    </w:p>
    <w:p w14:paraId="21DD904C">
      <w:pPr>
        <w:pStyle w:val="9"/>
        <w:spacing w:before="11"/>
        <w:ind w:left="0"/>
        <w:jc w:val="left"/>
        <w:rPr>
          <w:rFonts w:hint="eastAsia"/>
          <w:sz w:val="30"/>
          <w:szCs w:val="30"/>
        </w:rPr>
      </w:pPr>
    </w:p>
    <w:p w14:paraId="44BA10F0">
      <w:pPr>
        <w:pStyle w:val="9"/>
        <w:spacing w:before="11"/>
        <w:ind w:left="0"/>
        <w:jc w:val="left"/>
        <w:rPr>
          <w:rFonts w:hint="eastAsia"/>
          <w:sz w:val="30"/>
          <w:szCs w:val="30"/>
        </w:rPr>
      </w:pPr>
      <w:r>
        <w:rPr>
          <w:rFonts w:hint="eastAsia"/>
          <w:sz w:val="30"/>
          <w:szCs w:val="30"/>
        </w:rPr>
        <w:t>In other words, in the Kingdom of the Father the direct rule of the Spirit—one of the supreme gifts of the New Covenant— will simply be extended to the physical side of a glorified creation.</w:t>
      </w:r>
    </w:p>
    <w:p w14:paraId="3E4CCC4E">
      <w:pPr>
        <w:pStyle w:val="9"/>
        <w:spacing w:before="11"/>
        <w:ind w:left="0"/>
        <w:jc w:val="left"/>
        <w:rPr>
          <w:rFonts w:hint="eastAsia"/>
          <w:sz w:val="30"/>
          <w:szCs w:val="30"/>
        </w:rPr>
      </w:pPr>
      <w:r>
        <w:rPr>
          <w:rFonts w:hint="eastAsia"/>
          <w:sz w:val="30"/>
          <w:szCs w:val="30"/>
        </w:rPr>
        <w:t>换句话说，在圣父的国度里，圣灵的直接统治——新约至高的恩赐之一——将被简单地延伸到一个得荣耀的创造物的物质层面。</w:t>
      </w:r>
    </w:p>
    <w:p w14:paraId="47630932">
      <w:pPr>
        <w:pStyle w:val="9"/>
        <w:spacing w:before="11"/>
        <w:ind w:left="0"/>
        <w:jc w:val="left"/>
        <w:rPr>
          <w:rFonts w:hint="eastAsia"/>
          <w:sz w:val="30"/>
          <w:szCs w:val="30"/>
        </w:rPr>
      </w:pPr>
    </w:p>
    <w:p w14:paraId="444BA052">
      <w:pPr>
        <w:pStyle w:val="9"/>
        <w:spacing w:before="11"/>
        <w:ind w:left="0"/>
        <w:jc w:val="left"/>
        <w:rPr>
          <w:rFonts w:hint="eastAsia"/>
          <w:sz w:val="30"/>
          <w:szCs w:val="30"/>
        </w:rPr>
      </w:pPr>
      <w:r>
        <w:rPr>
          <w:rFonts w:hint="eastAsia"/>
          <w:sz w:val="30"/>
          <w:szCs w:val="30"/>
        </w:rPr>
        <w:t>Where in all of this is there room for—or need of—a return to the institutions of the Mosaic Law?</w:t>
      </w:r>
    </w:p>
    <w:p w14:paraId="669B58F9">
      <w:pPr>
        <w:pStyle w:val="9"/>
        <w:spacing w:before="11"/>
        <w:ind w:left="0"/>
        <w:jc w:val="left"/>
        <w:rPr>
          <w:rFonts w:hint="eastAsia"/>
          <w:sz w:val="30"/>
          <w:szCs w:val="30"/>
        </w:rPr>
      </w:pPr>
      <w:r>
        <w:rPr>
          <w:rFonts w:hint="eastAsia"/>
          <w:sz w:val="30"/>
          <w:szCs w:val="30"/>
        </w:rPr>
        <w:t>在所有这一切中，哪里还有空间——或需要——回归到摩西律法的制度呢？</w:t>
      </w:r>
    </w:p>
    <w:p w14:paraId="697B9290">
      <w:pPr>
        <w:pStyle w:val="9"/>
        <w:spacing w:before="11"/>
        <w:ind w:left="0"/>
        <w:jc w:val="left"/>
        <w:rPr>
          <w:rFonts w:hint="eastAsia"/>
          <w:sz w:val="30"/>
          <w:szCs w:val="30"/>
        </w:rPr>
      </w:pPr>
    </w:p>
    <w:p w14:paraId="358B9EEB">
      <w:pPr>
        <w:pStyle w:val="9"/>
        <w:spacing w:before="11"/>
        <w:ind w:left="0"/>
        <w:jc w:val="left"/>
        <w:rPr>
          <w:rFonts w:hint="eastAsia"/>
          <w:sz w:val="30"/>
          <w:szCs w:val="30"/>
        </w:rPr>
      </w:pPr>
      <w:r>
        <w:rPr>
          <w:rFonts w:hint="eastAsia"/>
          <w:sz w:val="30"/>
          <w:szCs w:val="30"/>
        </w:rPr>
        <w:t>But secondly—and more to the point in our present discussion—the apostles’ understanding of the progress of Salvation History would also have ruled out a return to the Mosaic Law.</w:t>
      </w:r>
    </w:p>
    <w:p w14:paraId="4332064F">
      <w:pPr>
        <w:pStyle w:val="9"/>
        <w:spacing w:before="11"/>
        <w:ind w:left="0"/>
        <w:jc w:val="left"/>
        <w:rPr>
          <w:rFonts w:hint="eastAsia"/>
          <w:sz w:val="30"/>
          <w:szCs w:val="30"/>
        </w:rPr>
      </w:pPr>
      <w:r>
        <w:rPr>
          <w:rFonts w:hint="eastAsia"/>
          <w:sz w:val="30"/>
          <w:szCs w:val="30"/>
        </w:rPr>
        <w:t>但其次——在我们当前的讨论中更切中要点的是——使徒们对救赎历史进程的理解也会排除回归摩西律法的可能性。</w:t>
      </w:r>
    </w:p>
    <w:p w14:paraId="3A3B172B">
      <w:pPr>
        <w:pStyle w:val="9"/>
        <w:spacing w:before="11"/>
        <w:ind w:left="0"/>
        <w:jc w:val="left"/>
        <w:rPr>
          <w:rFonts w:hint="eastAsia"/>
          <w:sz w:val="30"/>
          <w:szCs w:val="30"/>
        </w:rPr>
      </w:pPr>
    </w:p>
    <w:p w14:paraId="36D4D66B">
      <w:pPr>
        <w:pStyle w:val="9"/>
        <w:spacing w:before="11"/>
        <w:ind w:left="0"/>
        <w:jc w:val="left"/>
        <w:rPr>
          <w:rFonts w:hint="eastAsia"/>
          <w:sz w:val="30"/>
          <w:szCs w:val="30"/>
        </w:rPr>
      </w:pPr>
      <w:r>
        <w:rPr>
          <w:rFonts w:hint="eastAsia"/>
          <w:sz w:val="30"/>
          <w:szCs w:val="30"/>
        </w:rPr>
        <w:t>If the various institutions of the Mosaic Law belong in the Era of Promise and Preparation—if, by their very nature, they are meant to typify, picture, promise, and prepare for the advent of Christ and the Eternal Covenant—then why, when Christ finally appears and fulfils the “promissory pictures” of the Law, would God ever want to go backwards?</w:t>
      </w:r>
    </w:p>
    <w:p w14:paraId="7DF99340">
      <w:pPr>
        <w:pStyle w:val="9"/>
        <w:spacing w:before="11"/>
        <w:ind w:left="0"/>
        <w:jc w:val="left"/>
        <w:rPr>
          <w:rFonts w:hint="eastAsia"/>
          <w:sz w:val="30"/>
          <w:szCs w:val="30"/>
        </w:rPr>
      </w:pPr>
      <w:r>
        <w:rPr>
          <w:rFonts w:hint="eastAsia"/>
          <w:sz w:val="30"/>
          <w:szCs w:val="30"/>
        </w:rPr>
        <w:t>如果摩西律法的各种制度属于应许与预备的时代——如果，就其本质而言，它们意在预表、描绘、应许并预备基督和永恒之约的降临——那么，当基督最终显现并成全了律法的“应许性图画”时，上帝又为何要倒退呢？</w:t>
      </w:r>
    </w:p>
    <w:p w14:paraId="7C9EB24D">
      <w:pPr>
        <w:pStyle w:val="9"/>
        <w:spacing w:before="11"/>
        <w:ind w:left="0"/>
        <w:jc w:val="left"/>
        <w:rPr>
          <w:rFonts w:hint="eastAsia"/>
          <w:sz w:val="30"/>
          <w:szCs w:val="30"/>
        </w:rPr>
      </w:pPr>
    </w:p>
    <w:p w14:paraId="4AC8E2B3">
      <w:pPr>
        <w:pStyle w:val="9"/>
        <w:spacing w:before="11"/>
        <w:ind w:left="0"/>
        <w:jc w:val="left"/>
        <w:rPr>
          <w:rFonts w:hint="eastAsia"/>
          <w:sz w:val="30"/>
          <w:szCs w:val="30"/>
        </w:rPr>
      </w:pPr>
      <w:r>
        <w:rPr>
          <w:rFonts w:hint="eastAsia"/>
          <w:sz w:val="30"/>
          <w:szCs w:val="30"/>
        </w:rPr>
        <w:t>Why would he want to revert to what were merely temporary foreshadowings, now that he himself has fulfilled the promise they mystically contained?</w:t>
      </w:r>
    </w:p>
    <w:p w14:paraId="23FFCEB1">
      <w:pPr>
        <w:pStyle w:val="9"/>
        <w:spacing w:before="11"/>
        <w:ind w:left="0"/>
        <w:jc w:val="left"/>
        <w:rPr>
          <w:rFonts w:hint="eastAsia"/>
          <w:sz w:val="30"/>
          <w:szCs w:val="30"/>
        </w:rPr>
      </w:pPr>
      <w:r>
        <w:rPr>
          <w:rFonts w:hint="eastAsia"/>
          <w:sz w:val="30"/>
          <w:szCs w:val="30"/>
        </w:rPr>
        <w:t>既然祂自己已经实现了它们神秘地包含的应许，祂又为何要回归到那些仅仅是暂时影儿的东西呢？</w:t>
      </w:r>
    </w:p>
    <w:p w14:paraId="78B7D82B">
      <w:pPr>
        <w:pStyle w:val="9"/>
        <w:spacing w:before="11"/>
        <w:ind w:left="0"/>
        <w:jc w:val="left"/>
        <w:rPr>
          <w:rFonts w:hint="eastAsia"/>
          <w:sz w:val="30"/>
          <w:szCs w:val="30"/>
        </w:rPr>
      </w:pPr>
    </w:p>
    <w:p w14:paraId="0AA9C383">
      <w:pPr>
        <w:pStyle w:val="9"/>
        <w:spacing w:before="11"/>
        <w:ind w:left="0"/>
        <w:jc w:val="left"/>
        <w:rPr>
          <w:rFonts w:hint="eastAsia"/>
          <w:sz w:val="30"/>
          <w:szCs w:val="30"/>
        </w:rPr>
      </w:pPr>
      <w:r>
        <w:rPr>
          <w:rFonts w:hint="eastAsia"/>
          <w:sz w:val="30"/>
          <w:szCs w:val="30"/>
        </w:rPr>
        <w:t>It is, then, because of the apostles’ profound awareness of the progress of Salvation History that they understood and taught the eternal obsolescence of the Mosaic Law.</w:t>
      </w:r>
    </w:p>
    <w:p w14:paraId="039767FC">
      <w:pPr>
        <w:pStyle w:val="9"/>
        <w:spacing w:before="11"/>
        <w:ind w:left="0"/>
        <w:jc w:val="left"/>
        <w:rPr>
          <w:rFonts w:hint="eastAsia"/>
          <w:sz w:val="30"/>
          <w:szCs w:val="30"/>
        </w:rPr>
      </w:pPr>
      <w:r>
        <w:rPr>
          <w:rFonts w:hint="eastAsia"/>
          <w:sz w:val="30"/>
          <w:szCs w:val="30"/>
        </w:rPr>
        <w:t>因此，正是因为使徒们对救赎历史进程的深刻认识，他们才理解并教导了摩西律法的永恒过时性。</w:t>
      </w:r>
    </w:p>
    <w:p w14:paraId="39E44681">
      <w:pPr>
        <w:pStyle w:val="9"/>
        <w:spacing w:before="11"/>
        <w:ind w:left="0"/>
        <w:jc w:val="left"/>
        <w:rPr>
          <w:rFonts w:hint="eastAsia"/>
          <w:sz w:val="30"/>
          <w:szCs w:val="30"/>
        </w:rPr>
      </w:pPr>
    </w:p>
    <w:p w14:paraId="4262D937">
      <w:pPr>
        <w:pStyle w:val="9"/>
        <w:spacing w:before="11"/>
        <w:ind w:left="0"/>
        <w:jc w:val="left"/>
        <w:rPr>
          <w:rFonts w:hint="eastAsia"/>
          <w:sz w:val="30"/>
          <w:szCs w:val="30"/>
        </w:rPr>
      </w:pPr>
      <w:r>
        <w:rPr>
          <w:rFonts w:hint="eastAsia"/>
          <w:sz w:val="30"/>
          <w:szCs w:val="30"/>
        </w:rPr>
        <w:t>Yes, even now the moral component of that Law retains an abiding value and function, since its precepts serve to define, restrain, and convict of sin (and therefore also of one’s need of the Savior), even as they depict the contours of the holy life to which all the saints should aspire (Rom. 2:16-17, 3:20, 4:15, 5:20, 7:1f, Gal. 3:19, 1 Tim. 1:8-11).</w:t>
      </w:r>
    </w:p>
    <w:p w14:paraId="3B4363E2">
      <w:pPr>
        <w:pStyle w:val="9"/>
        <w:spacing w:before="11"/>
        <w:ind w:left="0"/>
        <w:jc w:val="left"/>
        <w:rPr>
          <w:rFonts w:hint="eastAsia"/>
          <w:sz w:val="30"/>
          <w:szCs w:val="30"/>
        </w:rPr>
      </w:pPr>
      <w:r>
        <w:rPr>
          <w:rFonts w:hint="eastAsia"/>
          <w:sz w:val="30"/>
          <w:szCs w:val="30"/>
        </w:rPr>
        <w:t>是的，即使现在，那律法的道德部分仍然保留着持久的价值和功能，因为它的训诫有助于定义、约束和定罪（因此也显明人对救主的需要），同时它们也描绘了所有圣徒都应当向往的圣洁生活的轮廓（罗马书 2:16-17, 3:20, 4:15, 5:20, 7:1及后文, 加拉太书 3:19, 提摩太前书 1:8-11）。</w:t>
      </w:r>
    </w:p>
    <w:p w14:paraId="3EFE0AFF">
      <w:pPr>
        <w:pStyle w:val="9"/>
        <w:spacing w:before="11"/>
        <w:ind w:left="0"/>
        <w:jc w:val="left"/>
        <w:rPr>
          <w:rFonts w:hint="eastAsia"/>
          <w:sz w:val="30"/>
          <w:szCs w:val="30"/>
        </w:rPr>
      </w:pPr>
    </w:p>
    <w:p w14:paraId="179942E3">
      <w:pPr>
        <w:pStyle w:val="9"/>
        <w:spacing w:before="11"/>
        <w:ind w:left="0"/>
        <w:jc w:val="left"/>
        <w:rPr>
          <w:rFonts w:hint="eastAsia"/>
          <w:sz w:val="30"/>
          <w:szCs w:val="30"/>
        </w:rPr>
      </w:pPr>
      <w:r>
        <w:rPr>
          <w:rFonts w:hint="eastAsia"/>
          <w:sz w:val="30"/>
          <w:szCs w:val="30"/>
        </w:rPr>
        <w:t>And yes, even now the (scriptural record of the) ceremonial Law continues to serve as a powerful witness to the grace of God offered through Christ in the Gospel (Rom. 3:21, 16:25-27).</w:t>
      </w:r>
    </w:p>
    <w:p w14:paraId="43FDB4B2">
      <w:pPr>
        <w:pStyle w:val="9"/>
        <w:spacing w:before="11"/>
        <w:ind w:left="0"/>
        <w:jc w:val="left"/>
        <w:rPr>
          <w:rFonts w:hint="eastAsia"/>
          <w:sz w:val="30"/>
          <w:szCs w:val="30"/>
        </w:rPr>
      </w:pPr>
      <w:r>
        <w:rPr>
          <w:rFonts w:hint="eastAsia"/>
          <w:sz w:val="30"/>
          <w:szCs w:val="30"/>
        </w:rPr>
        <w:t>是的，即使现在，礼仪律法（的圣经记载）也继续作为上帝在福音中通过基督所赐恩典的有力见证（罗马书 3:21, 16:25-27）。</w:t>
      </w:r>
    </w:p>
    <w:p w14:paraId="6CFA8C11">
      <w:pPr>
        <w:pStyle w:val="9"/>
        <w:spacing w:before="11"/>
        <w:ind w:left="0"/>
        <w:jc w:val="left"/>
        <w:rPr>
          <w:rFonts w:hint="eastAsia"/>
          <w:sz w:val="30"/>
          <w:szCs w:val="30"/>
        </w:rPr>
      </w:pPr>
    </w:p>
    <w:p w14:paraId="64BC3252">
      <w:pPr>
        <w:pStyle w:val="9"/>
        <w:spacing w:before="11"/>
        <w:ind w:left="0"/>
        <w:jc w:val="left"/>
        <w:rPr>
          <w:rFonts w:hint="eastAsia"/>
          <w:sz w:val="30"/>
          <w:szCs w:val="30"/>
        </w:rPr>
      </w:pPr>
      <w:r>
        <w:rPr>
          <w:rFonts w:hint="eastAsia"/>
          <w:sz w:val="30"/>
          <w:szCs w:val="30"/>
        </w:rPr>
        <w:t>However, as a vehicle of divine redemption, the Mosaic Law does not have—and never did have—any intrinsic power, nor did any of the previous administrations of the Covenant.</w:t>
      </w:r>
    </w:p>
    <w:p w14:paraId="06C1F3D5">
      <w:pPr>
        <w:pStyle w:val="9"/>
        <w:spacing w:before="11"/>
        <w:ind w:left="0"/>
        <w:jc w:val="left"/>
        <w:rPr>
          <w:rFonts w:hint="eastAsia"/>
          <w:sz w:val="30"/>
          <w:szCs w:val="30"/>
        </w:rPr>
      </w:pPr>
      <w:r>
        <w:rPr>
          <w:rFonts w:hint="eastAsia"/>
          <w:sz w:val="30"/>
          <w:szCs w:val="30"/>
        </w:rPr>
        <w:t>然而，作为神圣救赎的载体，摩西律法本身没有——也从未有过——任何内在的力量，之前的任何圣约施行也没有。</w:t>
      </w:r>
    </w:p>
    <w:p w14:paraId="53609478">
      <w:pPr>
        <w:pStyle w:val="9"/>
        <w:spacing w:before="11"/>
        <w:ind w:left="0"/>
        <w:jc w:val="left"/>
        <w:rPr>
          <w:rFonts w:hint="eastAsia"/>
          <w:sz w:val="30"/>
          <w:szCs w:val="30"/>
        </w:rPr>
      </w:pPr>
    </w:p>
    <w:p w14:paraId="666B517C">
      <w:pPr>
        <w:pStyle w:val="9"/>
        <w:spacing w:before="11"/>
        <w:ind w:left="0"/>
        <w:jc w:val="left"/>
        <w:rPr>
          <w:rFonts w:hint="eastAsia"/>
          <w:sz w:val="30"/>
          <w:szCs w:val="30"/>
        </w:rPr>
      </w:pPr>
      <w:r>
        <w:rPr>
          <w:rFonts w:hint="eastAsia"/>
          <w:sz w:val="30"/>
          <w:szCs w:val="30"/>
        </w:rPr>
        <w:t>Rather, their power to save was extrinsic, being derived solely from the Christ who would later fulfill them in the New Covenant (Rom. 3:21-26, Heb. 11:39-40).</w:t>
      </w:r>
    </w:p>
    <w:p w14:paraId="5D2D573D">
      <w:pPr>
        <w:pStyle w:val="9"/>
        <w:spacing w:before="11"/>
        <w:ind w:left="0"/>
        <w:jc w:val="left"/>
        <w:rPr>
          <w:rFonts w:hint="eastAsia"/>
          <w:sz w:val="30"/>
          <w:szCs w:val="30"/>
        </w:rPr>
      </w:pPr>
      <w:r>
        <w:rPr>
          <w:rFonts w:hint="eastAsia"/>
          <w:sz w:val="30"/>
          <w:szCs w:val="30"/>
        </w:rPr>
        <w:t>相反，它们拯救的能力是外在的，完全源于后来将在新约中成全它们的基督（罗马书 3:21-26, 希伯来书 11:39-40）。</w:t>
      </w:r>
    </w:p>
    <w:p w14:paraId="081F89E0">
      <w:pPr>
        <w:pStyle w:val="9"/>
        <w:spacing w:before="11"/>
        <w:ind w:left="0"/>
        <w:jc w:val="left"/>
        <w:rPr>
          <w:rFonts w:hint="eastAsia"/>
          <w:sz w:val="30"/>
          <w:szCs w:val="30"/>
        </w:rPr>
      </w:pPr>
    </w:p>
    <w:p w14:paraId="432404BD">
      <w:pPr>
        <w:pStyle w:val="9"/>
        <w:spacing w:before="11"/>
        <w:ind w:left="0"/>
        <w:jc w:val="left"/>
        <w:rPr>
          <w:rFonts w:hint="eastAsia"/>
          <w:sz w:val="30"/>
          <w:szCs w:val="30"/>
        </w:rPr>
      </w:pPr>
      <w:r>
        <w:rPr>
          <w:rFonts w:hint="eastAsia"/>
          <w:sz w:val="30"/>
          <w:szCs w:val="30"/>
        </w:rPr>
        <w:t>As it is written, the Mosaic Law (whether the moral or the ceremonial) was weak (Rom. 8:3); it made nothing perfect (Heb. 7:19); and it was powerless to make those who approach God complete (Heb. 10:1).</w:t>
      </w:r>
    </w:p>
    <w:p w14:paraId="49A47018">
      <w:pPr>
        <w:pStyle w:val="9"/>
        <w:spacing w:before="11"/>
        <w:ind w:left="0"/>
        <w:jc w:val="left"/>
        <w:rPr>
          <w:rFonts w:hint="eastAsia"/>
          <w:sz w:val="30"/>
          <w:szCs w:val="30"/>
        </w:rPr>
      </w:pPr>
      <w:r>
        <w:rPr>
          <w:rFonts w:hint="eastAsia"/>
          <w:sz w:val="30"/>
          <w:szCs w:val="30"/>
        </w:rPr>
        <w:t>正如经上所记，摩西律法（无论是道德的还是礼仪的）是软弱的（罗马书 8:3）；它不能使任何事得以完全（希伯来书 7:19）；它也不能使那些亲近上帝的人得以完全（希伯来书 10:1）。</w:t>
      </w:r>
    </w:p>
    <w:p w14:paraId="063AE54F">
      <w:pPr>
        <w:pStyle w:val="9"/>
        <w:spacing w:before="11"/>
        <w:ind w:left="0"/>
        <w:jc w:val="left"/>
        <w:rPr>
          <w:rFonts w:hint="eastAsia"/>
          <w:sz w:val="30"/>
          <w:szCs w:val="30"/>
        </w:rPr>
      </w:pPr>
    </w:p>
    <w:p w14:paraId="4A31E6EC">
      <w:pPr>
        <w:pStyle w:val="9"/>
        <w:spacing w:before="11"/>
        <w:ind w:left="0"/>
        <w:jc w:val="left"/>
        <w:rPr>
          <w:rFonts w:hint="eastAsia"/>
          <w:sz w:val="30"/>
          <w:szCs w:val="30"/>
        </w:rPr>
      </w:pPr>
      <w:r>
        <w:rPr>
          <w:rFonts w:hint="eastAsia"/>
          <w:sz w:val="30"/>
          <w:szCs w:val="30"/>
        </w:rPr>
        <w:t>All it could do was hold the (OT) heirs of salvation in temporary custody, guarding, stewarding, and tutoring them until the time appointed by the Father, when the heirs—till then little different than slaves—should at long last become full-fledged sons and the masters of all (Gal. 3:19-4:7).</w:t>
      </w:r>
    </w:p>
    <w:p w14:paraId="46493135">
      <w:pPr>
        <w:pStyle w:val="9"/>
        <w:spacing w:before="11"/>
        <w:ind w:left="0"/>
        <w:jc w:val="left"/>
        <w:rPr>
          <w:rFonts w:hint="eastAsia"/>
          <w:sz w:val="30"/>
          <w:szCs w:val="30"/>
        </w:rPr>
      </w:pPr>
      <w:r>
        <w:rPr>
          <w:rFonts w:hint="eastAsia"/>
          <w:sz w:val="30"/>
          <w:szCs w:val="30"/>
        </w:rPr>
        <w:t>它所能做的，只是将（旧约的）救恩后嗣暂时监管起来，守护、管理和教导他们，直到父所预定的的时候来到，那时这些后嗣——在那之前与奴仆无异——最终将成为完全的儿子和万物的主人（加拉太书 3:19-4:7）。</w:t>
      </w:r>
    </w:p>
    <w:p w14:paraId="40899202">
      <w:pPr>
        <w:pStyle w:val="9"/>
        <w:spacing w:before="11"/>
        <w:ind w:left="0"/>
        <w:jc w:val="left"/>
        <w:rPr>
          <w:rFonts w:hint="eastAsia"/>
          <w:sz w:val="30"/>
          <w:szCs w:val="30"/>
        </w:rPr>
      </w:pPr>
    </w:p>
    <w:p w14:paraId="5D97C5B6">
      <w:pPr>
        <w:pStyle w:val="9"/>
        <w:spacing w:before="11"/>
        <w:ind w:left="0"/>
        <w:jc w:val="left"/>
        <w:rPr>
          <w:rFonts w:hint="eastAsia"/>
          <w:sz w:val="30"/>
          <w:szCs w:val="30"/>
        </w:rPr>
      </w:pPr>
      <w:r>
        <w:rPr>
          <w:rFonts w:hint="eastAsia"/>
          <w:sz w:val="30"/>
          <w:szCs w:val="30"/>
        </w:rPr>
        <w:t>For this reason, the apostles forcefully insisted that God, through the Gospel, had fulfilled and done away with the Mosaic Law, once and for all.</w:t>
      </w:r>
    </w:p>
    <w:p w14:paraId="28C22A9F">
      <w:pPr>
        <w:pStyle w:val="9"/>
        <w:spacing w:before="11"/>
        <w:ind w:left="0"/>
        <w:jc w:val="left"/>
        <w:rPr>
          <w:rFonts w:hint="eastAsia"/>
          <w:sz w:val="30"/>
          <w:szCs w:val="30"/>
        </w:rPr>
      </w:pPr>
      <w:r>
        <w:rPr>
          <w:rFonts w:hint="eastAsia"/>
          <w:sz w:val="30"/>
          <w:szCs w:val="30"/>
        </w:rPr>
        <w:t>因此，使徒们强有力地坚持，上帝通过福音，已经一次性地成全并废除了摩西律法。</w:t>
      </w:r>
    </w:p>
    <w:p w14:paraId="64C2F749">
      <w:pPr>
        <w:pStyle w:val="9"/>
        <w:spacing w:before="11"/>
        <w:ind w:left="0"/>
        <w:jc w:val="left"/>
        <w:rPr>
          <w:rFonts w:hint="eastAsia"/>
          <w:sz w:val="30"/>
          <w:szCs w:val="30"/>
        </w:rPr>
      </w:pPr>
    </w:p>
    <w:p w14:paraId="6F57C407">
      <w:pPr>
        <w:pStyle w:val="9"/>
        <w:spacing w:before="11"/>
        <w:ind w:left="0"/>
        <w:jc w:val="left"/>
        <w:rPr>
          <w:rFonts w:hint="eastAsia"/>
          <w:sz w:val="30"/>
          <w:szCs w:val="30"/>
        </w:rPr>
      </w:pPr>
      <w:r>
        <w:rPr>
          <w:rFonts w:hint="eastAsia"/>
          <w:sz w:val="30"/>
          <w:szCs w:val="30"/>
        </w:rPr>
        <w:t>The NT witness on this score is impressive.</w:t>
      </w:r>
    </w:p>
    <w:p w14:paraId="72B512D4">
      <w:pPr>
        <w:pStyle w:val="9"/>
        <w:spacing w:before="11"/>
        <w:ind w:left="0"/>
        <w:jc w:val="left"/>
        <w:rPr>
          <w:rFonts w:hint="eastAsia"/>
          <w:sz w:val="30"/>
          <w:szCs w:val="30"/>
        </w:rPr>
      </w:pPr>
      <w:r>
        <w:rPr>
          <w:rFonts w:hint="eastAsia"/>
          <w:sz w:val="30"/>
          <w:szCs w:val="30"/>
        </w:rPr>
        <w:t>新约在这方面的见证令人印象深刻。</w:t>
      </w:r>
    </w:p>
    <w:p w14:paraId="697D05C8">
      <w:pPr>
        <w:pStyle w:val="9"/>
        <w:spacing w:before="11"/>
        <w:ind w:left="0"/>
        <w:jc w:val="left"/>
        <w:rPr>
          <w:rFonts w:hint="eastAsia"/>
          <w:sz w:val="30"/>
          <w:szCs w:val="30"/>
        </w:rPr>
      </w:pPr>
    </w:p>
    <w:p w14:paraId="545DC777">
      <w:pPr>
        <w:pStyle w:val="9"/>
        <w:spacing w:before="11"/>
        <w:ind w:left="0"/>
        <w:jc w:val="left"/>
        <w:rPr>
          <w:rFonts w:hint="eastAsia"/>
          <w:sz w:val="30"/>
          <w:szCs w:val="30"/>
        </w:rPr>
      </w:pPr>
      <w:r>
        <w:rPr>
          <w:rFonts w:hint="eastAsia"/>
          <w:sz w:val="30"/>
          <w:szCs w:val="30"/>
        </w:rPr>
        <w:t>Christ has abolished the (OT) Law of commandments contained in ordinances, so as to remove (forever) the dividing wall of partition separating Jew and Gentile; so as to make of the two people groups “one new man” (Eph. 2:11-22).</w:t>
      </w:r>
    </w:p>
    <w:p w14:paraId="185CDF33">
      <w:pPr>
        <w:pStyle w:val="9"/>
        <w:spacing w:before="11"/>
        <w:ind w:left="0"/>
        <w:jc w:val="left"/>
        <w:rPr>
          <w:rFonts w:hint="eastAsia"/>
          <w:sz w:val="30"/>
          <w:szCs w:val="30"/>
        </w:rPr>
      </w:pPr>
      <w:r>
        <w:rPr>
          <w:rFonts w:hint="eastAsia"/>
          <w:sz w:val="30"/>
          <w:szCs w:val="30"/>
        </w:rPr>
        <w:t>基督废掉了那记在律法上的规条（的旧约律法），为要拆毁（永远地）隔在犹太人和外邦人中间的墙；为要使这两个族群造成“一个新人”（以弗所书 2:11-22）。</w:t>
      </w:r>
    </w:p>
    <w:p w14:paraId="73ADC416">
      <w:pPr>
        <w:pStyle w:val="9"/>
        <w:spacing w:before="11"/>
        <w:ind w:left="0"/>
        <w:jc w:val="left"/>
        <w:rPr>
          <w:rFonts w:hint="eastAsia"/>
          <w:sz w:val="30"/>
          <w:szCs w:val="30"/>
        </w:rPr>
      </w:pPr>
    </w:p>
    <w:p w14:paraId="0CBC091A">
      <w:pPr>
        <w:pStyle w:val="9"/>
        <w:spacing w:before="11"/>
        <w:ind w:left="0"/>
        <w:jc w:val="left"/>
        <w:rPr>
          <w:rFonts w:hint="eastAsia"/>
          <w:sz w:val="30"/>
          <w:szCs w:val="30"/>
        </w:rPr>
      </w:pPr>
      <w:r>
        <w:rPr>
          <w:rFonts w:hint="eastAsia"/>
          <w:sz w:val="30"/>
          <w:szCs w:val="30"/>
        </w:rPr>
        <w:t>Having now been fulfilled, the trappings of the Law have, as it were, fallen to the earth, there to join the other weak and worthless rudimentary principles of the (religious) world (Gal. 4:8-11, Col. 2:16-23).</w:t>
      </w:r>
    </w:p>
    <w:p w14:paraId="283EBC86">
      <w:pPr>
        <w:pStyle w:val="9"/>
        <w:spacing w:before="11"/>
        <w:ind w:left="0"/>
        <w:jc w:val="left"/>
        <w:rPr>
          <w:rFonts w:hint="eastAsia"/>
          <w:sz w:val="30"/>
          <w:szCs w:val="30"/>
        </w:rPr>
      </w:pPr>
      <w:r>
        <w:rPr>
          <w:rFonts w:hint="eastAsia"/>
          <w:sz w:val="30"/>
          <w:szCs w:val="30"/>
        </w:rPr>
        <w:t>既已成全，律法的繁文缛节，可以说，已经掉落到地上，与（宗教）世界上其他软弱无用的基本原则同流合污了（加拉太书 4:8-11, 歌罗西书 2:16-23）。</w:t>
      </w:r>
    </w:p>
    <w:p w14:paraId="072C096E">
      <w:pPr>
        <w:pStyle w:val="9"/>
        <w:spacing w:before="11"/>
        <w:ind w:left="0"/>
        <w:jc w:val="left"/>
        <w:rPr>
          <w:rFonts w:hint="eastAsia"/>
          <w:sz w:val="30"/>
          <w:szCs w:val="30"/>
        </w:rPr>
      </w:pPr>
    </w:p>
    <w:p w14:paraId="3E08AB67">
      <w:pPr>
        <w:pStyle w:val="9"/>
        <w:spacing w:before="11"/>
        <w:ind w:left="0"/>
        <w:jc w:val="left"/>
        <w:rPr>
          <w:rFonts w:hint="eastAsia"/>
          <w:sz w:val="30"/>
          <w:szCs w:val="30"/>
        </w:rPr>
      </w:pPr>
      <w:r>
        <w:rPr>
          <w:rFonts w:hint="eastAsia"/>
          <w:sz w:val="30"/>
          <w:szCs w:val="30"/>
        </w:rPr>
        <w:t>Jews who stubbornly cling to the Law are like Hagar: slaves in bondage to sin and a dead faith (Gal. 4:21f).</w:t>
      </w:r>
    </w:p>
    <w:p w14:paraId="121BB139">
      <w:pPr>
        <w:pStyle w:val="9"/>
        <w:spacing w:before="11"/>
        <w:ind w:left="0"/>
        <w:jc w:val="left"/>
        <w:rPr>
          <w:rFonts w:hint="eastAsia"/>
          <w:sz w:val="30"/>
          <w:szCs w:val="30"/>
        </w:rPr>
      </w:pPr>
      <w:r>
        <w:rPr>
          <w:rFonts w:hint="eastAsia"/>
          <w:sz w:val="30"/>
          <w:szCs w:val="30"/>
        </w:rPr>
        <w:t>顽固地固守律法的犹太人就像夏甲：在罪和死的信仰捆绑下的奴仆（加拉太书 4:21及后文）。</w:t>
      </w:r>
    </w:p>
    <w:p w14:paraId="580907B3">
      <w:pPr>
        <w:pStyle w:val="9"/>
        <w:spacing w:before="11"/>
        <w:ind w:left="0"/>
        <w:jc w:val="left"/>
        <w:rPr>
          <w:rFonts w:hint="eastAsia"/>
          <w:sz w:val="30"/>
          <w:szCs w:val="30"/>
        </w:rPr>
      </w:pPr>
    </w:p>
    <w:p w14:paraId="4AC57E30">
      <w:pPr>
        <w:pStyle w:val="9"/>
        <w:spacing w:before="11"/>
        <w:ind w:left="0"/>
        <w:jc w:val="left"/>
        <w:rPr>
          <w:rFonts w:hint="eastAsia"/>
          <w:sz w:val="30"/>
          <w:szCs w:val="30"/>
        </w:rPr>
      </w:pPr>
      <w:r>
        <w:rPr>
          <w:rFonts w:hint="eastAsia"/>
          <w:sz w:val="30"/>
          <w:szCs w:val="30"/>
        </w:rPr>
        <w:t>Now that Christ has changed the (OT) priesthood, there is of necessity a change of law also—a change from the Mosaic Law to the Law of the Spirit of Life in Christ Jesus (Rom. 8:2, Heb. 7:11-12).</w:t>
      </w:r>
    </w:p>
    <w:p w14:paraId="546F600C">
      <w:pPr>
        <w:pStyle w:val="9"/>
        <w:spacing w:before="11"/>
        <w:ind w:left="0"/>
        <w:jc w:val="left"/>
        <w:rPr>
          <w:rFonts w:hint="eastAsia"/>
          <w:sz w:val="30"/>
          <w:szCs w:val="30"/>
        </w:rPr>
      </w:pPr>
      <w:r>
        <w:rPr>
          <w:rFonts w:hint="eastAsia"/>
          <w:sz w:val="30"/>
          <w:szCs w:val="30"/>
        </w:rPr>
        <w:t>既然基督已经更改了（旧约的）祭司职任，律法也必须更改——从摩西的律法更改为在基督耶稣里赐生命圣灵的律（罗马书 8:2, 希伯来书 7:11-12）。</w:t>
      </w:r>
    </w:p>
    <w:p w14:paraId="684BB4C6">
      <w:pPr>
        <w:pStyle w:val="9"/>
        <w:spacing w:before="11"/>
        <w:ind w:left="0"/>
        <w:jc w:val="left"/>
        <w:rPr>
          <w:rFonts w:hint="eastAsia"/>
          <w:sz w:val="30"/>
          <w:szCs w:val="30"/>
        </w:rPr>
      </w:pPr>
    </w:p>
    <w:p w14:paraId="637E0C41">
      <w:pPr>
        <w:pStyle w:val="9"/>
        <w:spacing w:before="11"/>
        <w:ind w:left="0"/>
        <w:jc w:val="left"/>
        <w:rPr>
          <w:rFonts w:hint="eastAsia"/>
          <w:sz w:val="30"/>
          <w:szCs w:val="30"/>
        </w:rPr>
      </w:pPr>
      <w:r>
        <w:rPr>
          <w:rFonts w:hint="eastAsia"/>
          <w:sz w:val="30"/>
          <w:szCs w:val="30"/>
        </w:rPr>
        <w:t>Now that God has introduced the New Covenant, he has made the first obsolete; and whatever is obsolete and aging is ready to disappear (Heb. 8:13).</w:t>
      </w:r>
    </w:p>
    <w:p w14:paraId="167A32E3">
      <w:pPr>
        <w:pStyle w:val="9"/>
        <w:spacing w:before="11"/>
        <w:ind w:left="0"/>
        <w:jc w:val="left"/>
        <w:rPr>
          <w:rFonts w:hint="eastAsia"/>
          <w:sz w:val="30"/>
          <w:szCs w:val="30"/>
        </w:rPr>
      </w:pPr>
      <w:r>
        <w:rPr>
          <w:rFonts w:hint="eastAsia"/>
          <w:sz w:val="30"/>
          <w:szCs w:val="30"/>
        </w:rPr>
        <w:t>既然上帝已经引入了新约，祂就使第一个约过时了；凡是过时和老化的，都快要消失了（希伯来书 8:13）。</w:t>
      </w:r>
    </w:p>
    <w:p w14:paraId="54E99537">
      <w:pPr>
        <w:pStyle w:val="9"/>
        <w:spacing w:before="11"/>
        <w:ind w:left="0"/>
        <w:jc w:val="left"/>
        <w:rPr>
          <w:rFonts w:hint="eastAsia"/>
          <w:sz w:val="30"/>
          <w:szCs w:val="30"/>
        </w:rPr>
      </w:pPr>
    </w:p>
    <w:p w14:paraId="3A40A5FE">
      <w:pPr>
        <w:pStyle w:val="9"/>
        <w:spacing w:before="11"/>
        <w:ind w:left="0"/>
        <w:jc w:val="left"/>
        <w:rPr>
          <w:rFonts w:hint="eastAsia"/>
          <w:sz w:val="30"/>
          <w:szCs w:val="30"/>
        </w:rPr>
      </w:pPr>
      <w:r>
        <w:rPr>
          <w:rFonts w:hint="eastAsia"/>
          <w:sz w:val="30"/>
          <w:szCs w:val="30"/>
        </w:rPr>
        <w:t>Having made Christ an eternal High Priest according to the order of Melchizedek, God has (forever) taken away the Levitical priesthood, and (eternally) established the priesthood of the Lord Jesus Christ (Heb. 7:1-28, 10:9).</w:t>
      </w:r>
    </w:p>
    <w:p w14:paraId="03A6629F">
      <w:pPr>
        <w:pStyle w:val="9"/>
        <w:spacing w:before="11"/>
        <w:ind w:left="0"/>
        <w:jc w:val="left"/>
        <w:rPr>
          <w:rFonts w:hint="eastAsia"/>
          <w:sz w:val="30"/>
          <w:szCs w:val="30"/>
        </w:rPr>
      </w:pPr>
      <w:r>
        <w:rPr>
          <w:rFonts w:hint="eastAsia"/>
          <w:sz w:val="30"/>
          <w:szCs w:val="30"/>
        </w:rPr>
        <w:t>上帝既已立基督为照着麦基洗德等次的永远的大祭司，祂就（永远地）废除了利未人的祭司职分，并（永远地）设立了主耶稣基督的祭司职分（希伯来书 7:1-28, 10:9）。</w:t>
      </w:r>
    </w:p>
    <w:p w14:paraId="40323578">
      <w:pPr>
        <w:pStyle w:val="9"/>
        <w:spacing w:before="11"/>
        <w:ind w:left="0"/>
        <w:jc w:val="left"/>
        <w:rPr>
          <w:rFonts w:hint="eastAsia"/>
          <w:sz w:val="30"/>
          <w:szCs w:val="30"/>
        </w:rPr>
      </w:pPr>
    </w:p>
    <w:p w14:paraId="5A9BD7E4">
      <w:pPr>
        <w:pStyle w:val="9"/>
        <w:spacing w:before="11"/>
        <w:ind w:left="0"/>
        <w:jc w:val="left"/>
        <w:rPr>
          <w:rFonts w:hint="eastAsia"/>
          <w:sz w:val="30"/>
          <w:szCs w:val="30"/>
        </w:rPr>
      </w:pPr>
      <w:r>
        <w:rPr>
          <w:rFonts w:hint="eastAsia"/>
          <w:sz w:val="30"/>
          <w:szCs w:val="30"/>
        </w:rPr>
        <w:t>The saints have been forever sanctified by means of his sacrifice, the offering up of his body once for all (Rom. 6:10, Heb. 7:27, 9:12, 10:10).</w:t>
      </w:r>
    </w:p>
    <w:p w14:paraId="6DC932D6">
      <w:pPr>
        <w:pStyle w:val="9"/>
        <w:spacing w:before="11"/>
        <w:ind w:left="0"/>
        <w:jc w:val="left"/>
        <w:rPr>
          <w:rFonts w:hint="eastAsia"/>
          <w:sz w:val="30"/>
          <w:szCs w:val="30"/>
        </w:rPr>
      </w:pPr>
      <w:r>
        <w:rPr>
          <w:rFonts w:hint="eastAsia"/>
          <w:sz w:val="30"/>
          <w:szCs w:val="30"/>
        </w:rPr>
        <w:t>圣徒们已经藉着祂的献祭，即祂一次献上自己的身体，而永远成圣了（罗马书 6:10, 希伯来书 7:27, 9:12, 10:10）。</w:t>
      </w:r>
    </w:p>
    <w:p w14:paraId="6AE14402">
      <w:pPr>
        <w:pStyle w:val="9"/>
        <w:spacing w:before="11"/>
        <w:ind w:left="0"/>
        <w:jc w:val="left"/>
        <w:rPr>
          <w:rFonts w:hint="eastAsia"/>
          <w:sz w:val="30"/>
          <w:szCs w:val="30"/>
        </w:rPr>
      </w:pPr>
    </w:p>
    <w:p w14:paraId="11587EB4">
      <w:pPr>
        <w:pStyle w:val="9"/>
        <w:spacing w:before="11"/>
        <w:ind w:left="0"/>
        <w:jc w:val="left"/>
        <w:rPr>
          <w:rFonts w:hint="eastAsia"/>
          <w:sz w:val="30"/>
          <w:szCs w:val="30"/>
        </w:rPr>
      </w:pPr>
      <w:r>
        <w:rPr>
          <w:rFonts w:hint="eastAsia"/>
          <w:sz w:val="30"/>
          <w:szCs w:val="30"/>
        </w:rPr>
        <w:t>And the list goes on.</w:t>
      </w:r>
    </w:p>
    <w:p w14:paraId="7CAE4514">
      <w:pPr>
        <w:pStyle w:val="9"/>
        <w:spacing w:before="11"/>
        <w:ind w:left="0"/>
        <w:jc w:val="left"/>
        <w:rPr>
          <w:rFonts w:hint="eastAsia"/>
          <w:sz w:val="30"/>
          <w:szCs w:val="30"/>
        </w:rPr>
      </w:pPr>
      <w:r>
        <w:rPr>
          <w:rFonts w:hint="eastAsia"/>
          <w:sz w:val="30"/>
          <w:szCs w:val="30"/>
        </w:rPr>
        <w:t>这个清单还在继续。</w:t>
      </w:r>
    </w:p>
    <w:p w14:paraId="058D967D">
      <w:pPr>
        <w:pStyle w:val="9"/>
        <w:spacing w:before="11"/>
        <w:ind w:left="0"/>
        <w:jc w:val="left"/>
        <w:rPr>
          <w:rFonts w:hint="eastAsia"/>
          <w:sz w:val="30"/>
          <w:szCs w:val="30"/>
        </w:rPr>
      </w:pPr>
    </w:p>
    <w:p w14:paraId="28DC2952">
      <w:pPr>
        <w:pStyle w:val="9"/>
        <w:spacing w:before="11"/>
        <w:ind w:left="0"/>
        <w:jc w:val="left"/>
        <w:rPr>
          <w:rFonts w:hint="eastAsia"/>
          <w:sz w:val="30"/>
          <w:szCs w:val="30"/>
        </w:rPr>
      </w:pPr>
      <w:r>
        <w:rPr>
          <w:rFonts w:hint="eastAsia"/>
          <w:sz w:val="30"/>
          <w:szCs w:val="30"/>
        </w:rPr>
        <w:t>So again, because Salvation History is progressive; because its supreme goal was the manifestation of the Eternal Covenant; because the OT administrations of the Covenant were temporary, promissory, and preparatory, whereas the New Testament administration of the Covenant was (and is) permanent; because the OT revelation of the Covenant was concealed under type and shadow, whereas the NT revelation of the Covenant was a manifestation in broad day light … because of all this, the apostles would never have dreamed of a return to life under the Mosaic Law.</w:t>
      </w:r>
    </w:p>
    <w:p w14:paraId="1644CC66">
      <w:pPr>
        <w:pStyle w:val="9"/>
        <w:spacing w:before="11"/>
        <w:ind w:left="0"/>
        <w:jc w:val="left"/>
        <w:rPr>
          <w:rFonts w:hint="eastAsia"/>
          <w:sz w:val="30"/>
          <w:szCs w:val="30"/>
        </w:rPr>
      </w:pPr>
      <w:r>
        <w:rPr>
          <w:rFonts w:hint="eastAsia"/>
          <w:sz w:val="30"/>
          <w:szCs w:val="30"/>
        </w:rPr>
        <w:t>所以再次，因为救赎历史是渐进的；因为其至高目标是永恒之约的彰显；因为旧约对圣约的施行是暂时的、应许性的和预备性的，而新约对圣约的施行是（且是）永久的；因为旧约对圣约的启示是隐藏在预表和影儿之下，而新约对圣约的启示是在光天化日之下的彰显……因为所有这一切，使徒们绝不会梦想回归到摩西律法下的生活。</w:t>
      </w:r>
    </w:p>
    <w:p w14:paraId="0FAD61E4">
      <w:pPr>
        <w:pStyle w:val="9"/>
        <w:spacing w:before="11"/>
        <w:ind w:left="0"/>
        <w:jc w:val="left"/>
        <w:rPr>
          <w:rFonts w:hint="eastAsia"/>
          <w:sz w:val="30"/>
          <w:szCs w:val="30"/>
        </w:rPr>
      </w:pPr>
    </w:p>
    <w:p w14:paraId="0D0FD3F0">
      <w:pPr>
        <w:pStyle w:val="9"/>
        <w:spacing w:before="11"/>
        <w:ind w:left="0"/>
        <w:jc w:val="left"/>
        <w:rPr>
          <w:rFonts w:hint="eastAsia"/>
          <w:sz w:val="30"/>
          <w:szCs w:val="30"/>
        </w:rPr>
      </w:pPr>
      <w:r>
        <w:rPr>
          <w:rFonts w:hint="eastAsia"/>
          <w:sz w:val="30"/>
          <w:szCs w:val="30"/>
        </w:rPr>
        <w:t>Indeed, page after page of the NT reveals that in their own day they fought tooth and nail to prevent misguided believers from attempting to do this very thing (2 Cor. 3, Gal. 2-6, Phil. 3, Col. 2, 1 Tim. 1, Heb. 1-13)!</w:t>
      </w:r>
    </w:p>
    <w:p w14:paraId="01FC340A">
      <w:pPr>
        <w:pStyle w:val="9"/>
        <w:spacing w:before="11"/>
        <w:ind w:left="0"/>
        <w:jc w:val="left"/>
        <w:rPr>
          <w:rFonts w:hint="eastAsia"/>
          <w:sz w:val="30"/>
          <w:szCs w:val="30"/>
        </w:rPr>
      </w:pPr>
      <w:r>
        <w:rPr>
          <w:rFonts w:hint="eastAsia"/>
          <w:sz w:val="30"/>
          <w:szCs w:val="30"/>
        </w:rPr>
        <w:t>的确，新约一页又一页地揭示，在他们自己的时代，他们曾竭尽全力阻止被误导的信徒试图做这件事（哥林多后书 3章, 加拉太书 2-6章, 腓立比书 3章, 歌罗西书 2章, 提摩太前书 1章, 希伯来书 1-13章）！</w:t>
      </w:r>
    </w:p>
    <w:p w14:paraId="3BA1B18C">
      <w:pPr>
        <w:pStyle w:val="9"/>
        <w:spacing w:before="11"/>
        <w:ind w:left="0"/>
        <w:jc w:val="left"/>
        <w:rPr>
          <w:rFonts w:hint="eastAsia"/>
          <w:sz w:val="30"/>
          <w:szCs w:val="30"/>
        </w:rPr>
      </w:pPr>
    </w:p>
    <w:p w14:paraId="13ABBC62">
      <w:pPr>
        <w:pStyle w:val="9"/>
        <w:spacing w:before="11"/>
        <w:ind w:left="0"/>
        <w:jc w:val="left"/>
        <w:rPr>
          <w:rFonts w:hint="eastAsia"/>
          <w:sz w:val="30"/>
          <w:szCs w:val="30"/>
        </w:rPr>
      </w:pPr>
      <w:r>
        <w:rPr>
          <w:rFonts w:hint="eastAsia"/>
          <w:sz w:val="30"/>
          <w:szCs w:val="30"/>
        </w:rPr>
        <w:t>How likely is it, then, that the apostles would ever have desired—let alone taught—a future, millennial phase of the Kingdom of God, in which Christ would rule the world according to the Law of Moses?</w:t>
      </w:r>
    </w:p>
    <w:p w14:paraId="4BEBA18A">
      <w:pPr>
        <w:pStyle w:val="9"/>
        <w:spacing w:before="11"/>
        <w:ind w:left="0"/>
        <w:jc w:val="left"/>
        <w:rPr>
          <w:rFonts w:hint="eastAsia"/>
          <w:sz w:val="30"/>
          <w:szCs w:val="30"/>
        </w:rPr>
      </w:pPr>
      <w:r>
        <w:rPr>
          <w:rFonts w:hint="eastAsia"/>
          <w:sz w:val="30"/>
          <w:szCs w:val="30"/>
        </w:rPr>
        <w:t>那么，使徒们又有多大的可能性会曾经渴望——更不用说教导——一个未来的、千禧年的上帝之国阶段，在其中基督将按照摩西的律法来统治世界呢？</w:t>
      </w:r>
    </w:p>
    <w:p w14:paraId="4FDFA6C9">
      <w:pPr>
        <w:pStyle w:val="9"/>
        <w:spacing w:before="11"/>
        <w:ind w:left="0"/>
        <w:jc w:val="left"/>
        <w:rPr>
          <w:rFonts w:hint="eastAsia"/>
          <w:sz w:val="30"/>
          <w:szCs w:val="30"/>
        </w:rPr>
      </w:pPr>
    </w:p>
    <w:p w14:paraId="1DEB1742">
      <w:pPr>
        <w:pStyle w:val="9"/>
        <w:spacing w:before="11"/>
        <w:ind w:left="0"/>
        <w:jc w:val="left"/>
        <w:rPr>
          <w:rFonts w:hint="eastAsia"/>
          <w:sz w:val="30"/>
          <w:szCs w:val="30"/>
        </w:rPr>
      </w:pPr>
      <w:r>
        <w:rPr>
          <w:rFonts w:hint="eastAsia"/>
          <w:sz w:val="30"/>
          <w:szCs w:val="30"/>
        </w:rPr>
        <w:t>6.Christological</w:t>
      </w:r>
    </w:p>
    <w:p w14:paraId="219357D8">
      <w:pPr>
        <w:pStyle w:val="9"/>
        <w:spacing w:before="11"/>
        <w:ind w:left="0"/>
        <w:jc w:val="left"/>
        <w:rPr>
          <w:rFonts w:hint="eastAsia"/>
          <w:sz w:val="30"/>
          <w:szCs w:val="30"/>
        </w:rPr>
      </w:pPr>
      <w:r>
        <w:rPr>
          <w:rFonts w:hint="eastAsia"/>
          <w:sz w:val="30"/>
          <w:szCs w:val="30"/>
        </w:rPr>
        <w:t>6.基督论的</w:t>
      </w:r>
    </w:p>
    <w:p w14:paraId="375D8C42">
      <w:pPr>
        <w:pStyle w:val="9"/>
        <w:spacing w:before="11"/>
        <w:ind w:left="0"/>
        <w:jc w:val="left"/>
        <w:rPr>
          <w:rFonts w:hint="eastAsia"/>
          <w:sz w:val="30"/>
          <w:szCs w:val="30"/>
        </w:rPr>
      </w:pPr>
    </w:p>
    <w:p w14:paraId="4B571E86">
      <w:pPr>
        <w:pStyle w:val="9"/>
        <w:spacing w:before="11"/>
        <w:ind w:left="0"/>
        <w:jc w:val="left"/>
        <w:rPr>
          <w:rFonts w:hint="eastAsia"/>
          <w:sz w:val="30"/>
          <w:szCs w:val="30"/>
        </w:rPr>
      </w:pPr>
      <w:r>
        <w:rPr>
          <w:rFonts w:hint="eastAsia"/>
          <w:sz w:val="30"/>
          <w:szCs w:val="30"/>
        </w:rPr>
        <w:t>In the christological mode of seeing, the interpreter comes to the OT seeking Christ.</w:t>
      </w:r>
    </w:p>
    <w:p w14:paraId="610EC19D">
      <w:pPr>
        <w:pStyle w:val="9"/>
        <w:spacing w:before="11"/>
        <w:ind w:left="0"/>
        <w:jc w:val="left"/>
        <w:rPr>
          <w:rFonts w:hint="eastAsia"/>
          <w:sz w:val="30"/>
          <w:szCs w:val="30"/>
        </w:rPr>
      </w:pPr>
      <w:r>
        <w:rPr>
          <w:rFonts w:hint="eastAsia"/>
          <w:sz w:val="30"/>
          <w:szCs w:val="30"/>
        </w:rPr>
        <w:t>在基督论的看见模式中，解释者来到旧约寻找基督。</w:t>
      </w:r>
    </w:p>
    <w:p w14:paraId="2AE4EF8B">
      <w:pPr>
        <w:pStyle w:val="9"/>
        <w:spacing w:before="11"/>
        <w:ind w:left="0"/>
        <w:jc w:val="left"/>
        <w:rPr>
          <w:rFonts w:hint="eastAsia"/>
          <w:sz w:val="30"/>
          <w:szCs w:val="30"/>
        </w:rPr>
      </w:pPr>
    </w:p>
    <w:p w14:paraId="15DF7217">
      <w:pPr>
        <w:pStyle w:val="9"/>
        <w:spacing w:before="11"/>
        <w:ind w:left="0"/>
        <w:jc w:val="left"/>
        <w:rPr>
          <w:rFonts w:hint="eastAsia"/>
          <w:sz w:val="30"/>
          <w:szCs w:val="30"/>
        </w:rPr>
      </w:pPr>
      <w:r>
        <w:rPr>
          <w:rFonts w:hint="eastAsia"/>
          <w:sz w:val="30"/>
          <w:szCs w:val="30"/>
        </w:rPr>
        <w:t>In particular, he is looking for types, prophecies, and other OT adumbrations of the Person and Work of the Messiah; of the divine- human Prophet, Priest, and King, anointed by the Spirit of God to redeem the world.2 And he is also looking for the ways in which Jesus of Nazareth has fulfilled—or yet will fulfill—all these holy offices.</w:t>
      </w:r>
    </w:p>
    <w:p w14:paraId="03FFDA57">
      <w:pPr>
        <w:pStyle w:val="9"/>
        <w:spacing w:before="11"/>
        <w:ind w:left="0"/>
        <w:jc w:val="left"/>
        <w:rPr>
          <w:rFonts w:hint="eastAsia"/>
          <w:sz w:val="30"/>
          <w:szCs w:val="30"/>
        </w:rPr>
      </w:pPr>
      <w:r>
        <w:rPr>
          <w:rFonts w:hint="eastAsia"/>
          <w:sz w:val="30"/>
          <w:szCs w:val="30"/>
        </w:rPr>
        <w:t>特别是，他寻找弥赛亚位格和工作的预表、预言和其他旧约的预示；即那位被上帝的灵膏抹以救赎世界的神人先知、祭司和君王。2 他也寻找拿撒勒人耶稣已经——或将要——成全所有这些神圣职分的方式。</w:t>
      </w:r>
    </w:p>
    <w:p w14:paraId="22376159">
      <w:pPr>
        <w:pStyle w:val="9"/>
        <w:spacing w:before="11"/>
        <w:ind w:left="0"/>
        <w:jc w:val="left"/>
        <w:rPr>
          <w:rFonts w:hint="eastAsia"/>
          <w:sz w:val="30"/>
          <w:szCs w:val="30"/>
        </w:rPr>
      </w:pPr>
    </w:p>
    <w:p w14:paraId="363955A4">
      <w:pPr>
        <w:pStyle w:val="9"/>
        <w:spacing w:before="11"/>
        <w:ind w:left="0"/>
        <w:jc w:val="left"/>
        <w:rPr>
          <w:rFonts w:hint="eastAsia"/>
          <w:sz w:val="30"/>
          <w:szCs w:val="30"/>
        </w:rPr>
      </w:pPr>
      <w:r>
        <w:rPr>
          <w:rFonts w:hint="eastAsia"/>
          <w:sz w:val="30"/>
          <w:szCs w:val="30"/>
        </w:rPr>
        <w:t>A little reflection will show that there is no fundamental difference between the christological and covenantal modes of seeing, since the Person and Work of Christ lie at the heart of both.</w:t>
      </w:r>
    </w:p>
    <w:p w14:paraId="332103B8">
      <w:pPr>
        <w:pStyle w:val="9"/>
        <w:spacing w:before="11"/>
        <w:ind w:left="0"/>
        <w:jc w:val="left"/>
        <w:rPr>
          <w:rFonts w:hint="eastAsia"/>
          <w:sz w:val="30"/>
          <w:szCs w:val="30"/>
        </w:rPr>
      </w:pPr>
      <w:r>
        <w:rPr>
          <w:rFonts w:hint="eastAsia"/>
          <w:sz w:val="30"/>
          <w:szCs w:val="30"/>
        </w:rPr>
        <w:t>稍加默想就会发现，基督论和圣约论的看见模式之间没有根本区别，因为基督的位格和工作是两者的核心。</w:t>
      </w:r>
    </w:p>
    <w:p w14:paraId="730C1451">
      <w:pPr>
        <w:pStyle w:val="9"/>
        <w:spacing w:before="11"/>
        <w:ind w:left="0"/>
        <w:jc w:val="left"/>
        <w:rPr>
          <w:rFonts w:hint="eastAsia"/>
          <w:sz w:val="30"/>
          <w:szCs w:val="30"/>
        </w:rPr>
      </w:pPr>
    </w:p>
    <w:p w14:paraId="4C45C3E8">
      <w:pPr>
        <w:pStyle w:val="9"/>
        <w:spacing w:before="11"/>
        <w:ind w:left="0"/>
        <w:jc w:val="left"/>
        <w:rPr>
          <w:rFonts w:hint="eastAsia"/>
          <w:sz w:val="30"/>
          <w:szCs w:val="30"/>
        </w:rPr>
      </w:pPr>
      <w:r>
        <w:rPr>
          <w:rFonts w:hint="eastAsia"/>
          <w:sz w:val="30"/>
          <w:szCs w:val="30"/>
        </w:rPr>
        <w:t>Nevertheless, it is fitting to recognize—and, indeed, to prioritize—a distinctly christological mode of seeing.</w:t>
      </w:r>
    </w:p>
    <w:p w14:paraId="4F05F1BA">
      <w:pPr>
        <w:pStyle w:val="9"/>
        <w:spacing w:before="11"/>
        <w:ind w:left="0"/>
        <w:jc w:val="left"/>
        <w:rPr>
          <w:rFonts w:hint="eastAsia"/>
          <w:sz w:val="30"/>
          <w:szCs w:val="30"/>
        </w:rPr>
      </w:pPr>
      <w:r>
        <w:rPr>
          <w:rFonts w:hint="eastAsia"/>
          <w:sz w:val="30"/>
          <w:szCs w:val="30"/>
        </w:rPr>
        <w:t>然而，认识——并且，实际上是优先考虑——一个独特的基督论看见模式是恰当的。</w:t>
      </w:r>
    </w:p>
    <w:p w14:paraId="06587706">
      <w:pPr>
        <w:pStyle w:val="9"/>
        <w:spacing w:before="11"/>
        <w:ind w:left="0"/>
        <w:jc w:val="left"/>
        <w:rPr>
          <w:rFonts w:hint="eastAsia"/>
          <w:sz w:val="30"/>
          <w:szCs w:val="30"/>
        </w:rPr>
      </w:pPr>
    </w:p>
    <w:p w14:paraId="764806AE">
      <w:pPr>
        <w:pStyle w:val="9"/>
        <w:spacing w:before="11"/>
        <w:ind w:left="0"/>
        <w:jc w:val="left"/>
        <w:rPr>
          <w:rFonts w:hint="eastAsia"/>
          <w:sz w:val="30"/>
          <w:szCs w:val="30"/>
        </w:rPr>
      </w:pPr>
      <w:r>
        <w:rPr>
          <w:rFonts w:hint="eastAsia"/>
          <w:sz w:val="30"/>
          <w:szCs w:val="30"/>
        </w:rPr>
        <w:t>Why?</w:t>
      </w:r>
    </w:p>
    <w:p w14:paraId="11324CB0">
      <w:pPr>
        <w:pStyle w:val="9"/>
        <w:spacing w:before="11"/>
        <w:ind w:left="0"/>
        <w:jc w:val="left"/>
        <w:rPr>
          <w:rFonts w:hint="eastAsia"/>
          <w:sz w:val="30"/>
          <w:szCs w:val="30"/>
        </w:rPr>
      </w:pPr>
      <w:r>
        <w:rPr>
          <w:rFonts w:hint="eastAsia"/>
          <w:sz w:val="30"/>
          <w:szCs w:val="30"/>
        </w:rPr>
        <w:t>为什么？</w:t>
      </w:r>
    </w:p>
    <w:p w14:paraId="2C919DB5">
      <w:pPr>
        <w:pStyle w:val="9"/>
        <w:spacing w:before="11"/>
        <w:ind w:left="0"/>
        <w:jc w:val="left"/>
        <w:rPr>
          <w:rFonts w:hint="eastAsia"/>
          <w:sz w:val="30"/>
          <w:szCs w:val="30"/>
        </w:rPr>
      </w:pPr>
    </w:p>
    <w:p w14:paraId="4DC43E4B">
      <w:pPr>
        <w:pStyle w:val="9"/>
        <w:spacing w:before="11"/>
        <w:ind w:left="0"/>
        <w:jc w:val="left"/>
        <w:rPr>
          <w:rFonts w:hint="eastAsia"/>
          <w:sz w:val="30"/>
          <w:szCs w:val="30"/>
        </w:rPr>
      </w:pPr>
      <w:r>
        <w:rPr>
          <w:rFonts w:hint="eastAsia"/>
          <w:sz w:val="30"/>
          <w:szCs w:val="30"/>
        </w:rPr>
        <w:t>Because there is no other gateway into the world of the OT.</w:t>
      </w:r>
    </w:p>
    <w:p w14:paraId="1D754E57">
      <w:pPr>
        <w:pStyle w:val="9"/>
        <w:spacing w:before="11"/>
        <w:ind w:left="0"/>
        <w:jc w:val="left"/>
        <w:rPr>
          <w:rFonts w:hint="eastAsia"/>
          <w:sz w:val="30"/>
          <w:szCs w:val="30"/>
        </w:rPr>
      </w:pPr>
      <w:r>
        <w:rPr>
          <w:rFonts w:hint="eastAsia"/>
          <w:sz w:val="30"/>
          <w:szCs w:val="30"/>
        </w:rPr>
        <w:t>因为没有其他通往旧约世界的门径。</w:t>
      </w:r>
    </w:p>
    <w:p w14:paraId="0DECD16D">
      <w:pPr>
        <w:pStyle w:val="9"/>
        <w:spacing w:before="11"/>
        <w:ind w:left="0"/>
        <w:jc w:val="left"/>
        <w:rPr>
          <w:rFonts w:hint="eastAsia"/>
          <w:sz w:val="30"/>
          <w:szCs w:val="30"/>
        </w:rPr>
      </w:pPr>
    </w:p>
    <w:p w14:paraId="0CCFDC53">
      <w:pPr>
        <w:pStyle w:val="9"/>
        <w:spacing w:before="11"/>
        <w:ind w:left="0"/>
        <w:jc w:val="left"/>
        <w:rPr>
          <w:rFonts w:hint="eastAsia"/>
          <w:sz w:val="30"/>
          <w:szCs w:val="30"/>
        </w:rPr>
      </w:pPr>
      <w:r>
        <w:rPr>
          <w:rFonts w:hint="eastAsia"/>
          <w:sz w:val="30"/>
          <w:szCs w:val="30"/>
        </w:rPr>
        <w:t>This is true both for seeker and for saint.</w:t>
      </w:r>
    </w:p>
    <w:p w14:paraId="1FE0E263">
      <w:pPr>
        <w:pStyle w:val="9"/>
        <w:spacing w:before="11"/>
        <w:ind w:left="0"/>
        <w:jc w:val="left"/>
        <w:rPr>
          <w:rFonts w:hint="eastAsia"/>
          <w:sz w:val="30"/>
          <w:szCs w:val="30"/>
        </w:rPr>
      </w:pPr>
      <w:r>
        <w:rPr>
          <w:rFonts w:hint="eastAsia"/>
          <w:sz w:val="30"/>
          <w:szCs w:val="30"/>
        </w:rPr>
        <w:t>这对寻求者和圣徒都适用。</w:t>
      </w:r>
    </w:p>
    <w:p w14:paraId="385CADC6">
      <w:pPr>
        <w:pStyle w:val="9"/>
        <w:spacing w:before="11"/>
        <w:ind w:left="0"/>
        <w:jc w:val="left"/>
        <w:rPr>
          <w:rFonts w:hint="eastAsia"/>
          <w:sz w:val="30"/>
          <w:szCs w:val="30"/>
        </w:rPr>
      </w:pPr>
    </w:p>
    <w:p w14:paraId="11DD3761">
      <w:pPr>
        <w:pStyle w:val="9"/>
        <w:spacing w:before="11"/>
        <w:ind w:left="0"/>
        <w:jc w:val="left"/>
        <w:rPr>
          <w:rFonts w:hint="eastAsia"/>
          <w:sz w:val="30"/>
          <w:szCs w:val="30"/>
        </w:rPr>
      </w:pPr>
      <w:r>
        <w:rPr>
          <w:rFonts w:hint="eastAsia"/>
          <w:sz w:val="30"/>
          <w:szCs w:val="30"/>
        </w:rPr>
        <w:t>The seeker—trying to ascertain the truth of the Christian faith—will most naturally approach the OT looking for signs of him who boldly claimed, “These are they that testify of Me” (John 5:39).</w:t>
      </w:r>
    </w:p>
    <w:p w14:paraId="2F49314F">
      <w:pPr>
        <w:pStyle w:val="9"/>
        <w:spacing w:before="11"/>
        <w:ind w:left="0"/>
        <w:jc w:val="left"/>
        <w:rPr>
          <w:rFonts w:hint="eastAsia"/>
          <w:sz w:val="30"/>
          <w:szCs w:val="30"/>
        </w:rPr>
      </w:pPr>
      <w:r>
        <w:rPr>
          <w:rFonts w:hint="eastAsia"/>
          <w:sz w:val="30"/>
          <w:szCs w:val="30"/>
        </w:rPr>
        <w:t>寻求者——试图确定基督教信仰的真理——最自然地会来到旧约，寻找那位大胆宣称“给我作见证的就是这经”的祂的记号（约翰福音 5:39）。</w:t>
      </w:r>
    </w:p>
    <w:p w14:paraId="75405E68">
      <w:pPr>
        <w:pStyle w:val="9"/>
        <w:spacing w:before="11"/>
        <w:ind w:left="0"/>
        <w:jc w:val="left"/>
        <w:rPr>
          <w:rFonts w:hint="eastAsia"/>
          <w:sz w:val="30"/>
          <w:szCs w:val="30"/>
        </w:rPr>
      </w:pPr>
    </w:p>
    <w:p w14:paraId="6E3644B8">
      <w:pPr>
        <w:pStyle w:val="9"/>
        <w:spacing w:before="11"/>
        <w:ind w:left="0"/>
        <w:jc w:val="left"/>
        <w:rPr>
          <w:rFonts w:hint="eastAsia"/>
          <w:sz w:val="30"/>
          <w:szCs w:val="30"/>
        </w:rPr>
      </w:pPr>
      <w:r>
        <w:rPr>
          <w:rFonts w:hint="eastAsia"/>
          <w:sz w:val="30"/>
          <w:szCs w:val="30"/>
        </w:rPr>
        <w:t>Meanwhile, the saint—desiring life-giving communion with his Lord—will most naturally come to the OT looking for the One whom his soul loves (Song 1:7, 3:1-4); for the One whom the Holy Spirit delights to unveil and magnify (John 16:14).</w:t>
      </w:r>
    </w:p>
    <w:p w14:paraId="1BA1275B">
      <w:pPr>
        <w:pStyle w:val="9"/>
        <w:spacing w:before="11"/>
        <w:ind w:left="0"/>
        <w:jc w:val="left"/>
        <w:rPr>
          <w:rFonts w:hint="eastAsia"/>
          <w:sz w:val="30"/>
          <w:szCs w:val="30"/>
        </w:rPr>
      </w:pPr>
      <w:r>
        <w:rPr>
          <w:rFonts w:hint="eastAsia"/>
          <w:sz w:val="30"/>
          <w:szCs w:val="30"/>
        </w:rPr>
        <w:t>与此同时，圣徒——渴望与他的主有赐生命的交通——最自然地会来到旧约，寻找他灵魂所爱的那一位（雅歌 1:7, 3:1-4）；寻找圣灵乐意揭示和尊崇的那一位（约翰福音 16:14）。</w:t>
      </w:r>
    </w:p>
    <w:p w14:paraId="530631E0">
      <w:pPr>
        <w:pStyle w:val="9"/>
        <w:spacing w:before="11"/>
        <w:ind w:left="0"/>
        <w:jc w:val="left"/>
        <w:rPr>
          <w:rFonts w:hint="eastAsia"/>
          <w:sz w:val="30"/>
          <w:szCs w:val="30"/>
        </w:rPr>
      </w:pPr>
    </w:p>
    <w:p w14:paraId="24E6EFC4">
      <w:pPr>
        <w:pStyle w:val="9"/>
        <w:spacing w:before="11"/>
        <w:ind w:left="0"/>
        <w:jc w:val="left"/>
        <w:rPr>
          <w:rFonts w:hint="eastAsia"/>
          <w:sz w:val="30"/>
          <w:szCs w:val="30"/>
        </w:rPr>
      </w:pPr>
      <w:r>
        <w:rPr>
          <w:rFonts w:hint="eastAsia"/>
          <w:sz w:val="30"/>
          <w:szCs w:val="30"/>
        </w:rPr>
        <w:t>If, then, the covenantal mode of seeing—with all its theological nuance, breadth, and depth—somehow enlarges a maturing believer’s vision of Christ, it will have served its purpose—and God’s—very well.</w:t>
      </w:r>
    </w:p>
    <w:p w14:paraId="3D0A1CF0">
      <w:pPr>
        <w:pStyle w:val="9"/>
        <w:spacing w:before="11"/>
        <w:ind w:left="0"/>
        <w:jc w:val="left"/>
        <w:rPr>
          <w:rFonts w:hint="eastAsia"/>
          <w:sz w:val="30"/>
          <w:szCs w:val="30"/>
        </w:rPr>
      </w:pPr>
      <w:r>
        <w:rPr>
          <w:rFonts w:hint="eastAsia"/>
          <w:sz w:val="30"/>
          <w:szCs w:val="30"/>
        </w:rPr>
        <w:t>那么，如果基于圣约的看见模式——以其所有的神学细微差别、广度和深度——能以某种方式拓宽一个成熟信徒对基督的视野，那么它就很好地服务了它的目的——以及上帝的目的。</w:t>
      </w:r>
    </w:p>
    <w:p w14:paraId="35847C5A">
      <w:pPr>
        <w:pStyle w:val="9"/>
        <w:spacing w:before="11"/>
        <w:ind w:left="0"/>
        <w:jc w:val="left"/>
        <w:rPr>
          <w:rFonts w:hint="eastAsia"/>
          <w:sz w:val="30"/>
          <w:szCs w:val="30"/>
        </w:rPr>
      </w:pPr>
    </w:p>
    <w:p w14:paraId="0A5701F3">
      <w:pPr>
        <w:pStyle w:val="9"/>
        <w:spacing w:before="11"/>
        <w:ind w:left="0"/>
        <w:jc w:val="left"/>
        <w:rPr>
          <w:rFonts w:hint="eastAsia"/>
          <w:sz w:val="30"/>
          <w:szCs w:val="30"/>
        </w:rPr>
      </w:pPr>
      <w:r>
        <w:rPr>
          <w:rFonts w:hint="eastAsia"/>
          <w:sz w:val="30"/>
          <w:szCs w:val="30"/>
        </w:rPr>
        <w:t>However, in the end, this mode of seeing—and all modes of seeing—is properly subordinate to the christological, since it is only in seeing Christ that the world is saved and the Church sanctified (Isaiah 45:22, John 6:40).</w:t>
      </w:r>
    </w:p>
    <w:p w14:paraId="51B1F0BA">
      <w:pPr>
        <w:pStyle w:val="9"/>
        <w:spacing w:before="11"/>
        <w:ind w:left="0"/>
        <w:jc w:val="left"/>
        <w:rPr>
          <w:rFonts w:hint="eastAsia"/>
          <w:sz w:val="30"/>
          <w:szCs w:val="30"/>
        </w:rPr>
      </w:pPr>
      <w:r>
        <w:rPr>
          <w:rFonts w:hint="eastAsia"/>
          <w:sz w:val="30"/>
          <w:szCs w:val="30"/>
        </w:rPr>
        <w:t>然而，最终，这种看见的模式——以及所有看见的模式——都理应从属于基督论的模式，因为只有在看见基督中，世界才能得救，教会才能成圣（以赛亚书 45:22, 约翰福音 6:40）。</w:t>
      </w:r>
    </w:p>
    <w:p w14:paraId="7079AAD5">
      <w:pPr>
        <w:pStyle w:val="9"/>
        <w:spacing w:before="11"/>
        <w:ind w:left="0"/>
        <w:jc w:val="left"/>
        <w:rPr>
          <w:rFonts w:hint="eastAsia"/>
          <w:sz w:val="30"/>
          <w:szCs w:val="30"/>
        </w:rPr>
      </w:pPr>
    </w:p>
    <w:p w14:paraId="724EF7EC">
      <w:pPr>
        <w:pStyle w:val="9"/>
        <w:spacing w:before="11"/>
        <w:ind w:left="0"/>
        <w:jc w:val="left"/>
        <w:rPr>
          <w:rFonts w:hint="eastAsia"/>
          <w:sz w:val="30"/>
          <w:szCs w:val="30"/>
        </w:rPr>
      </w:pPr>
      <w:r>
        <w:rPr>
          <w:rFonts w:hint="eastAsia"/>
          <w:sz w:val="30"/>
          <w:szCs w:val="30"/>
        </w:rPr>
        <w:t>As it is written, “But we all, with unveiled face, beholding as in a mirror the glory of the Lord, are being transformed into the same image, from glory to glory, even as by the Spirit of the Lord” (2 Corinthians 3:18).</w:t>
      </w:r>
    </w:p>
    <w:p w14:paraId="646A2BA6">
      <w:pPr>
        <w:pStyle w:val="9"/>
        <w:spacing w:before="11"/>
        <w:ind w:left="0"/>
        <w:jc w:val="left"/>
        <w:rPr>
          <w:rFonts w:hint="eastAsia"/>
          <w:sz w:val="30"/>
          <w:szCs w:val="30"/>
        </w:rPr>
      </w:pPr>
      <w:r>
        <w:rPr>
          <w:rFonts w:hint="eastAsia"/>
          <w:sz w:val="30"/>
          <w:szCs w:val="30"/>
        </w:rPr>
        <w:t>正如经上所记：“我们众人既然敞着脸，得以看见主的荣光，好像从镜子里返照，就变成主的形状，荣上加荣，如同从主的灵变成的”（哥林多后书 3:18）。</w:t>
      </w:r>
    </w:p>
    <w:p w14:paraId="5713610B">
      <w:pPr>
        <w:pStyle w:val="9"/>
        <w:spacing w:before="11"/>
        <w:ind w:left="0"/>
        <w:jc w:val="left"/>
        <w:rPr>
          <w:rFonts w:hint="eastAsia"/>
          <w:sz w:val="30"/>
          <w:szCs w:val="30"/>
        </w:rPr>
      </w:pPr>
    </w:p>
    <w:p w14:paraId="45E06279">
      <w:pPr>
        <w:pStyle w:val="9"/>
        <w:spacing w:before="11"/>
        <w:ind w:left="0"/>
        <w:jc w:val="left"/>
        <w:rPr>
          <w:rFonts w:hint="eastAsia"/>
          <w:sz w:val="30"/>
          <w:szCs w:val="30"/>
        </w:rPr>
      </w:pPr>
      <w:r>
        <w:rPr>
          <w:rFonts w:hint="eastAsia"/>
          <w:sz w:val="30"/>
          <w:szCs w:val="30"/>
        </w:rPr>
        <w:t>7.Ecclesiological</w:t>
      </w:r>
    </w:p>
    <w:p w14:paraId="4FFDA1D9">
      <w:pPr>
        <w:pStyle w:val="9"/>
        <w:spacing w:before="11"/>
        <w:ind w:left="0"/>
        <w:jc w:val="left"/>
        <w:rPr>
          <w:rFonts w:hint="eastAsia"/>
          <w:sz w:val="30"/>
          <w:szCs w:val="30"/>
        </w:rPr>
      </w:pPr>
      <w:r>
        <w:rPr>
          <w:rFonts w:hint="eastAsia"/>
          <w:sz w:val="30"/>
          <w:szCs w:val="30"/>
        </w:rPr>
        <w:t>7.教会论的</w:t>
      </w:r>
    </w:p>
    <w:p w14:paraId="61F56021">
      <w:pPr>
        <w:pStyle w:val="9"/>
        <w:spacing w:before="11"/>
        <w:ind w:left="0"/>
        <w:jc w:val="left"/>
        <w:rPr>
          <w:rFonts w:hint="eastAsia"/>
          <w:sz w:val="30"/>
          <w:szCs w:val="30"/>
        </w:rPr>
      </w:pPr>
    </w:p>
    <w:p w14:paraId="084F4C33">
      <w:pPr>
        <w:pStyle w:val="9"/>
        <w:spacing w:before="11"/>
        <w:ind w:left="0"/>
        <w:jc w:val="left"/>
        <w:rPr>
          <w:rFonts w:hint="eastAsia"/>
          <w:sz w:val="30"/>
          <w:szCs w:val="30"/>
        </w:rPr>
      </w:pPr>
      <w:r>
        <w:rPr>
          <w:rFonts w:hint="eastAsia"/>
          <w:sz w:val="30"/>
          <w:szCs w:val="30"/>
        </w:rPr>
        <w:t>The final NT mode of seeing is ecclesiological.</w:t>
      </w:r>
    </w:p>
    <w:p w14:paraId="2683447A">
      <w:pPr>
        <w:pStyle w:val="9"/>
        <w:spacing w:before="11"/>
        <w:ind w:left="0"/>
        <w:jc w:val="left"/>
        <w:rPr>
          <w:rFonts w:hint="eastAsia"/>
          <w:sz w:val="30"/>
          <w:szCs w:val="30"/>
        </w:rPr>
      </w:pPr>
      <w:r>
        <w:rPr>
          <w:rFonts w:hint="eastAsia"/>
          <w:sz w:val="30"/>
          <w:szCs w:val="30"/>
        </w:rPr>
        <w:t>最后一种新约的看见模式是教会论的。</w:t>
      </w:r>
    </w:p>
    <w:p w14:paraId="34A29768">
      <w:pPr>
        <w:pStyle w:val="9"/>
        <w:spacing w:before="11"/>
        <w:ind w:left="0"/>
        <w:jc w:val="left"/>
        <w:rPr>
          <w:rFonts w:hint="eastAsia"/>
          <w:sz w:val="30"/>
          <w:szCs w:val="30"/>
        </w:rPr>
      </w:pPr>
    </w:p>
    <w:p w14:paraId="2AB817A7">
      <w:pPr>
        <w:pStyle w:val="9"/>
        <w:spacing w:before="11"/>
        <w:ind w:left="0"/>
        <w:jc w:val="left"/>
        <w:rPr>
          <w:rFonts w:hint="eastAsia"/>
          <w:sz w:val="30"/>
          <w:szCs w:val="30"/>
        </w:rPr>
      </w:pPr>
      <w:r>
        <w:rPr>
          <w:rFonts w:hint="eastAsia"/>
          <w:sz w:val="30"/>
          <w:szCs w:val="30"/>
        </w:rPr>
        <w:t>Here we come to the OT looking for the Church, the New Covenant people of God.</w:t>
      </w:r>
    </w:p>
    <w:p w14:paraId="319E8EA6">
      <w:pPr>
        <w:pStyle w:val="9"/>
        <w:spacing w:before="11"/>
        <w:ind w:left="0"/>
        <w:jc w:val="left"/>
        <w:rPr>
          <w:rFonts w:hint="eastAsia"/>
          <w:sz w:val="30"/>
          <w:szCs w:val="30"/>
        </w:rPr>
      </w:pPr>
      <w:r>
        <w:rPr>
          <w:rFonts w:hint="eastAsia"/>
          <w:sz w:val="30"/>
          <w:szCs w:val="30"/>
        </w:rPr>
        <w:t>在这里我们来到旧约，寻找教会，即上帝的新约子民。</w:t>
      </w:r>
    </w:p>
    <w:p w14:paraId="145621D5">
      <w:pPr>
        <w:pStyle w:val="9"/>
        <w:spacing w:before="11"/>
        <w:ind w:left="0"/>
        <w:jc w:val="left"/>
        <w:rPr>
          <w:rFonts w:hint="eastAsia"/>
          <w:sz w:val="30"/>
          <w:szCs w:val="30"/>
        </w:rPr>
      </w:pPr>
    </w:p>
    <w:p w14:paraId="1A549846">
      <w:pPr>
        <w:pStyle w:val="9"/>
        <w:spacing w:before="11"/>
        <w:ind w:left="0"/>
        <w:jc w:val="left"/>
        <w:rPr>
          <w:rFonts w:hint="eastAsia"/>
          <w:sz w:val="30"/>
          <w:szCs w:val="30"/>
        </w:rPr>
      </w:pPr>
      <w:r>
        <w:rPr>
          <w:rFonts w:hint="eastAsia"/>
          <w:sz w:val="30"/>
          <w:szCs w:val="30"/>
        </w:rPr>
        <w:t>This mode of seeing is complex and controversial, yet crucially important for interpreting OTKP correctly, and for resolving the Great End Time Debate.</w:t>
      </w:r>
    </w:p>
    <w:p w14:paraId="6F41C2C7">
      <w:pPr>
        <w:pStyle w:val="9"/>
        <w:spacing w:before="11"/>
        <w:ind w:left="0"/>
        <w:jc w:val="left"/>
        <w:rPr>
          <w:rFonts w:hint="eastAsia"/>
          <w:sz w:val="30"/>
          <w:szCs w:val="30"/>
        </w:rPr>
      </w:pPr>
      <w:r>
        <w:rPr>
          <w:rFonts w:hint="eastAsia"/>
          <w:sz w:val="30"/>
          <w:szCs w:val="30"/>
        </w:rPr>
        <w:t>这种看见的模式复杂且有争议，但对于正确解释旧约国度预言（OTKP），以及解决末世大辩论至关重要。</w:t>
      </w:r>
    </w:p>
    <w:p w14:paraId="468B6089">
      <w:pPr>
        <w:pStyle w:val="9"/>
        <w:spacing w:before="11"/>
        <w:ind w:left="0"/>
        <w:jc w:val="left"/>
        <w:rPr>
          <w:rFonts w:hint="eastAsia"/>
          <w:sz w:val="30"/>
          <w:szCs w:val="30"/>
        </w:rPr>
      </w:pPr>
    </w:p>
    <w:p w14:paraId="385A3E12">
      <w:pPr>
        <w:pStyle w:val="9"/>
        <w:spacing w:before="11"/>
        <w:ind w:left="0"/>
        <w:jc w:val="left"/>
        <w:rPr>
          <w:rFonts w:hint="eastAsia"/>
          <w:sz w:val="30"/>
          <w:szCs w:val="30"/>
        </w:rPr>
      </w:pPr>
      <w:r>
        <w:rPr>
          <w:rFonts w:hint="eastAsia"/>
          <w:sz w:val="30"/>
          <w:szCs w:val="30"/>
        </w:rPr>
        <w:t>It will serve us well to ponder it carefully.</w:t>
      </w:r>
    </w:p>
    <w:p w14:paraId="58124904">
      <w:pPr>
        <w:pStyle w:val="9"/>
        <w:spacing w:before="11"/>
        <w:ind w:left="0"/>
        <w:jc w:val="left"/>
        <w:rPr>
          <w:rFonts w:hint="eastAsia"/>
          <w:sz w:val="30"/>
          <w:szCs w:val="30"/>
        </w:rPr>
      </w:pPr>
      <w:r>
        <w:rPr>
          <w:rFonts w:hint="eastAsia"/>
          <w:sz w:val="30"/>
          <w:szCs w:val="30"/>
        </w:rPr>
        <w:t>仔细思考它对我们将大有裨益。</w:t>
      </w:r>
    </w:p>
    <w:p w14:paraId="4F3527E7">
      <w:pPr>
        <w:pStyle w:val="9"/>
        <w:spacing w:before="11"/>
        <w:ind w:left="0"/>
        <w:jc w:val="left"/>
        <w:rPr>
          <w:rFonts w:hint="eastAsia"/>
          <w:sz w:val="30"/>
          <w:szCs w:val="30"/>
        </w:rPr>
      </w:pPr>
    </w:p>
    <w:p w14:paraId="33D36E75">
      <w:pPr>
        <w:pStyle w:val="9"/>
        <w:spacing w:before="11"/>
        <w:ind w:left="0"/>
        <w:jc w:val="left"/>
        <w:rPr>
          <w:rFonts w:hint="eastAsia"/>
          <w:sz w:val="30"/>
          <w:szCs w:val="30"/>
        </w:rPr>
      </w:pPr>
      <w:r>
        <w:rPr>
          <w:rFonts w:hint="eastAsia"/>
          <w:sz w:val="30"/>
          <w:szCs w:val="30"/>
        </w:rPr>
        <w:t>In order to understand ecclesiological OT interpretation, we must begin by answering a deceptively simple question: What is the Church?</w:t>
      </w:r>
    </w:p>
    <w:p w14:paraId="34E36FD0">
      <w:pPr>
        <w:pStyle w:val="9"/>
        <w:spacing w:before="11"/>
        <w:ind w:left="0"/>
        <w:jc w:val="left"/>
        <w:rPr>
          <w:rFonts w:hint="eastAsia"/>
          <w:sz w:val="30"/>
          <w:szCs w:val="30"/>
        </w:rPr>
      </w:pPr>
      <w:r>
        <w:rPr>
          <w:rFonts w:hint="eastAsia"/>
          <w:sz w:val="30"/>
          <w:szCs w:val="30"/>
        </w:rPr>
        <w:t>为了理解教会论的旧约解释，我们必须从回答一个看似简单的问题开始：什么是教会？</w:t>
      </w:r>
    </w:p>
    <w:p w14:paraId="6076012F">
      <w:pPr>
        <w:pStyle w:val="9"/>
        <w:spacing w:before="11"/>
        <w:ind w:left="0"/>
        <w:jc w:val="left"/>
        <w:rPr>
          <w:rFonts w:hint="eastAsia"/>
          <w:sz w:val="30"/>
          <w:szCs w:val="30"/>
        </w:rPr>
      </w:pPr>
    </w:p>
    <w:p w14:paraId="23B35CA2">
      <w:pPr>
        <w:pStyle w:val="9"/>
        <w:spacing w:before="11"/>
        <w:ind w:left="0"/>
        <w:jc w:val="left"/>
        <w:rPr>
          <w:rFonts w:hint="eastAsia"/>
          <w:sz w:val="30"/>
          <w:szCs w:val="30"/>
        </w:rPr>
      </w:pPr>
      <w:r>
        <w:rPr>
          <w:rFonts w:hint="eastAsia"/>
          <w:sz w:val="30"/>
          <w:szCs w:val="30"/>
        </w:rPr>
        <w:t>We know, of course, that Jesus said, “I will build my Church” (Mt. 16:18).</w:t>
      </w:r>
    </w:p>
    <w:p w14:paraId="16DFF973">
      <w:pPr>
        <w:pStyle w:val="9"/>
        <w:spacing w:before="11"/>
        <w:ind w:left="0"/>
        <w:jc w:val="left"/>
        <w:rPr>
          <w:rFonts w:hint="eastAsia"/>
          <w:sz w:val="30"/>
          <w:szCs w:val="30"/>
        </w:rPr>
      </w:pPr>
      <w:r>
        <w:rPr>
          <w:rFonts w:hint="eastAsia"/>
          <w:sz w:val="30"/>
          <w:szCs w:val="30"/>
        </w:rPr>
        <w:t>我们当然知道，耶稣说：“我要把我的教会建造……”（马太福音 16:18）。</w:t>
      </w:r>
    </w:p>
    <w:p w14:paraId="730FA3D9">
      <w:pPr>
        <w:pStyle w:val="9"/>
        <w:spacing w:before="11"/>
        <w:ind w:left="0"/>
        <w:jc w:val="left"/>
        <w:rPr>
          <w:rFonts w:hint="eastAsia"/>
          <w:sz w:val="30"/>
          <w:szCs w:val="30"/>
        </w:rPr>
      </w:pPr>
    </w:p>
    <w:p w14:paraId="7A012AD0">
      <w:pPr>
        <w:pStyle w:val="9"/>
        <w:spacing w:before="11"/>
        <w:ind w:left="0"/>
        <w:jc w:val="left"/>
        <w:rPr>
          <w:rFonts w:hint="eastAsia"/>
          <w:sz w:val="30"/>
          <w:szCs w:val="30"/>
        </w:rPr>
      </w:pPr>
      <w:r>
        <w:rPr>
          <w:rFonts w:hint="eastAsia"/>
          <w:sz w:val="30"/>
          <w:szCs w:val="30"/>
        </w:rPr>
        <w:t>We know that he is presently building it upon the foundation of his holy apostles and prophets (Eph. 2:19).</w:t>
      </w:r>
    </w:p>
    <w:p w14:paraId="3AB95B76">
      <w:pPr>
        <w:pStyle w:val="9"/>
        <w:spacing w:before="11"/>
        <w:ind w:left="0"/>
        <w:jc w:val="left"/>
        <w:rPr>
          <w:rFonts w:hint="eastAsia"/>
          <w:sz w:val="30"/>
          <w:szCs w:val="30"/>
        </w:rPr>
      </w:pPr>
      <w:r>
        <w:rPr>
          <w:rFonts w:hint="eastAsia"/>
          <w:sz w:val="30"/>
          <w:szCs w:val="30"/>
        </w:rPr>
        <w:t>我们知道祂现今正将其建造在祂圣洁的使徒和先知的根基上（以弗所书 2:20）。</w:t>
      </w:r>
    </w:p>
    <w:p w14:paraId="61D8A580">
      <w:pPr>
        <w:pStyle w:val="9"/>
        <w:spacing w:before="11"/>
        <w:ind w:left="0"/>
        <w:jc w:val="left"/>
        <w:rPr>
          <w:rFonts w:hint="eastAsia"/>
          <w:sz w:val="30"/>
          <w:szCs w:val="30"/>
        </w:rPr>
      </w:pPr>
    </w:p>
    <w:p w14:paraId="147F09CD">
      <w:pPr>
        <w:pStyle w:val="9"/>
        <w:spacing w:before="11"/>
        <w:ind w:left="0"/>
        <w:jc w:val="left"/>
        <w:rPr>
          <w:rFonts w:hint="eastAsia"/>
          <w:sz w:val="30"/>
          <w:szCs w:val="30"/>
        </w:rPr>
      </w:pPr>
      <w:r>
        <w:rPr>
          <w:rFonts w:hint="eastAsia"/>
          <w:sz w:val="30"/>
          <w:szCs w:val="30"/>
        </w:rPr>
        <w:t>We know that he himself is the chief cornerstone (Eph. 2:20).</w:t>
      </w:r>
    </w:p>
    <w:p w14:paraId="744EB88D">
      <w:pPr>
        <w:pStyle w:val="9"/>
        <w:spacing w:before="11"/>
        <w:ind w:left="0"/>
        <w:jc w:val="left"/>
        <w:rPr>
          <w:rFonts w:hint="eastAsia"/>
          <w:sz w:val="30"/>
          <w:szCs w:val="30"/>
        </w:rPr>
      </w:pPr>
      <w:r>
        <w:rPr>
          <w:rFonts w:hint="eastAsia"/>
          <w:sz w:val="30"/>
          <w:szCs w:val="30"/>
        </w:rPr>
        <w:t>我们知道祂自己是房角石（以弗所书 2:20）。</w:t>
      </w:r>
    </w:p>
    <w:p w14:paraId="457FF5C6">
      <w:pPr>
        <w:pStyle w:val="9"/>
        <w:spacing w:before="11"/>
        <w:ind w:left="0"/>
        <w:jc w:val="left"/>
        <w:rPr>
          <w:rFonts w:hint="eastAsia"/>
          <w:sz w:val="30"/>
          <w:szCs w:val="30"/>
        </w:rPr>
      </w:pPr>
    </w:p>
    <w:p w14:paraId="4CC0FBB5">
      <w:pPr>
        <w:pStyle w:val="9"/>
        <w:spacing w:before="11"/>
        <w:ind w:left="0"/>
        <w:jc w:val="left"/>
        <w:rPr>
          <w:rFonts w:hint="eastAsia"/>
          <w:sz w:val="30"/>
          <w:szCs w:val="30"/>
        </w:rPr>
      </w:pPr>
      <w:r>
        <w:rPr>
          <w:rFonts w:hint="eastAsia"/>
          <w:sz w:val="30"/>
          <w:szCs w:val="30"/>
        </w:rPr>
        <w:t>And we know that all born-again believers in Christ are the “living stones” of which this temple is made, a temple that serves as a habitation of God in the Spirit (1 Peter 2:5, Eph. 2:22).</w:t>
      </w:r>
    </w:p>
    <w:p w14:paraId="64FF0733">
      <w:pPr>
        <w:pStyle w:val="9"/>
        <w:spacing w:before="11"/>
        <w:ind w:left="0"/>
        <w:jc w:val="left"/>
        <w:rPr>
          <w:rFonts w:hint="eastAsia"/>
          <w:sz w:val="30"/>
          <w:szCs w:val="30"/>
        </w:rPr>
      </w:pPr>
      <w:r>
        <w:rPr>
          <w:rFonts w:hint="eastAsia"/>
          <w:sz w:val="30"/>
          <w:szCs w:val="30"/>
        </w:rPr>
        <w:t>我们知道所有在基督里重生的信徒都是构成这殿的“活石”，这殿是上帝藉着圣灵居住的所在（彼得前书 2:5, 以弗所书 2:22）。</w:t>
      </w:r>
    </w:p>
    <w:p w14:paraId="0D09CF23">
      <w:pPr>
        <w:pStyle w:val="9"/>
        <w:spacing w:before="11"/>
        <w:ind w:left="0"/>
        <w:jc w:val="left"/>
        <w:rPr>
          <w:rFonts w:hint="eastAsia"/>
          <w:sz w:val="30"/>
          <w:szCs w:val="30"/>
        </w:rPr>
      </w:pPr>
    </w:p>
    <w:p w14:paraId="4C33ECD6">
      <w:pPr>
        <w:pStyle w:val="9"/>
        <w:spacing w:before="11"/>
        <w:ind w:left="0"/>
        <w:jc w:val="left"/>
        <w:rPr>
          <w:rFonts w:hint="eastAsia"/>
          <w:sz w:val="30"/>
          <w:szCs w:val="30"/>
        </w:rPr>
      </w:pPr>
      <w:r>
        <w:rPr>
          <w:rFonts w:hint="eastAsia"/>
          <w:sz w:val="30"/>
          <w:szCs w:val="30"/>
        </w:rPr>
        <w:t>But how exactly is the Church situated in Salvation History?</w:t>
      </w:r>
    </w:p>
    <w:p w14:paraId="47A91EBB">
      <w:pPr>
        <w:pStyle w:val="9"/>
        <w:spacing w:before="11"/>
        <w:ind w:left="0"/>
        <w:jc w:val="left"/>
        <w:rPr>
          <w:rFonts w:hint="eastAsia"/>
          <w:sz w:val="30"/>
          <w:szCs w:val="30"/>
        </w:rPr>
      </w:pPr>
      <w:r>
        <w:rPr>
          <w:rFonts w:hint="eastAsia"/>
          <w:sz w:val="30"/>
          <w:szCs w:val="30"/>
        </w:rPr>
        <w:t>但教会究竟是如何置身于救赎历史中的呢？</w:t>
      </w:r>
    </w:p>
    <w:p w14:paraId="1B9B2FB2">
      <w:pPr>
        <w:pStyle w:val="9"/>
        <w:spacing w:before="11"/>
        <w:ind w:left="0"/>
        <w:jc w:val="left"/>
        <w:rPr>
          <w:rFonts w:hint="eastAsia"/>
          <w:sz w:val="30"/>
          <w:szCs w:val="30"/>
        </w:rPr>
      </w:pPr>
    </w:p>
    <w:p w14:paraId="63F1779F">
      <w:pPr>
        <w:pStyle w:val="9"/>
        <w:spacing w:before="11"/>
        <w:ind w:left="0"/>
        <w:jc w:val="left"/>
        <w:rPr>
          <w:rFonts w:hint="eastAsia"/>
          <w:sz w:val="30"/>
          <w:szCs w:val="30"/>
        </w:rPr>
      </w:pPr>
      <w:r>
        <w:rPr>
          <w:rFonts w:hint="eastAsia"/>
          <w:sz w:val="30"/>
          <w:szCs w:val="30"/>
        </w:rPr>
        <w:t>Is it a temporary embodiment of the people of God, or an eternal?</w:t>
      </w:r>
    </w:p>
    <w:p w14:paraId="34C74A04">
      <w:pPr>
        <w:pStyle w:val="9"/>
        <w:spacing w:before="11"/>
        <w:ind w:left="0"/>
        <w:jc w:val="left"/>
        <w:rPr>
          <w:rFonts w:hint="eastAsia"/>
          <w:sz w:val="30"/>
          <w:szCs w:val="30"/>
        </w:rPr>
      </w:pPr>
      <w:r>
        <w:rPr>
          <w:rFonts w:hint="eastAsia"/>
          <w:sz w:val="30"/>
          <w:szCs w:val="30"/>
        </w:rPr>
        <w:t>它是上帝子民的暂时体现，还是永恒的？</w:t>
      </w:r>
    </w:p>
    <w:p w14:paraId="1928E7CF">
      <w:pPr>
        <w:pStyle w:val="9"/>
        <w:spacing w:before="11"/>
        <w:ind w:left="0"/>
        <w:jc w:val="left"/>
        <w:rPr>
          <w:rFonts w:hint="eastAsia"/>
          <w:sz w:val="30"/>
          <w:szCs w:val="30"/>
        </w:rPr>
      </w:pPr>
    </w:p>
    <w:p w14:paraId="43C095AF">
      <w:pPr>
        <w:pStyle w:val="9"/>
        <w:spacing w:before="11"/>
        <w:ind w:left="0"/>
        <w:jc w:val="left"/>
        <w:rPr>
          <w:rFonts w:hint="eastAsia"/>
          <w:sz w:val="30"/>
          <w:szCs w:val="30"/>
        </w:rPr>
      </w:pPr>
      <w:r>
        <w:rPr>
          <w:rFonts w:hint="eastAsia"/>
          <w:sz w:val="30"/>
          <w:szCs w:val="30"/>
        </w:rPr>
        <w:t>Is it the sole embodiment of the people of God, or a partial?</w:t>
      </w:r>
    </w:p>
    <w:p w14:paraId="7DB24BCC">
      <w:pPr>
        <w:pStyle w:val="9"/>
        <w:spacing w:before="11"/>
        <w:ind w:left="0"/>
        <w:jc w:val="left"/>
        <w:rPr>
          <w:rFonts w:hint="eastAsia"/>
          <w:sz w:val="30"/>
          <w:szCs w:val="30"/>
        </w:rPr>
      </w:pPr>
      <w:r>
        <w:rPr>
          <w:rFonts w:hint="eastAsia"/>
          <w:sz w:val="30"/>
          <w:szCs w:val="30"/>
        </w:rPr>
        <w:t>它是上帝子民的唯一体现，还是部分的？</w:t>
      </w:r>
    </w:p>
    <w:p w14:paraId="206C9C7A">
      <w:pPr>
        <w:pStyle w:val="9"/>
        <w:spacing w:before="11"/>
        <w:ind w:left="0"/>
        <w:jc w:val="left"/>
        <w:rPr>
          <w:rFonts w:hint="eastAsia"/>
          <w:sz w:val="30"/>
          <w:szCs w:val="30"/>
        </w:rPr>
      </w:pPr>
    </w:p>
    <w:p w14:paraId="32B3ECBA">
      <w:pPr>
        <w:pStyle w:val="9"/>
        <w:spacing w:before="11"/>
        <w:ind w:left="0"/>
        <w:jc w:val="left"/>
        <w:rPr>
          <w:rFonts w:hint="eastAsia"/>
          <w:sz w:val="30"/>
          <w:szCs w:val="30"/>
        </w:rPr>
      </w:pPr>
      <w:r>
        <w:rPr>
          <w:rFonts w:hint="eastAsia"/>
          <w:sz w:val="30"/>
          <w:szCs w:val="30"/>
        </w:rPr>
        <w:t>And along these lines, what is the exact relationship between God’s NT people (the Church) and his OT people (Israel)?</w:t>
      </w:r>
    </w:p>
    <w:p w14:paraId="7E44C3D1">
      <w:pPr>
        <w:pStyle w:val="9"/>
        <w:spacing w:before="11"/>
        <w:ind w:left="0"/>
        <w:jc w:val="left"/>
        <w:rPr>
          <w:rFonts w:hint="eastAsia"/>
          <w:sz w:val="30"/>
          <w:szCs w:val="30"/>
        </w:rPr>
      </w:pPr>
      <w:r>
        <w:rPr>
          <w:rFonts w:hint="eastAsia"/>
          <w:sz w:val="30"/>
          <w:szCs w:val="30"/>
        </w:rPr>
        <w:t>沿着这些思路，上帝的新约子民（教会）和祂的旧约子民（以色列）之间确切的关系是什么？</w:t>
      </w:r>
    </w:p>
    <w:p w14:paraId="11C3CB1C">
      <w:pPr>
        <w:pStyle w:val="9"/>
        <w:spacing w:before="11"/>
        <w:ind w:left="0"/>
        <w:jc w:val="left"/>
        <w:rPr>
          <w:rFonts w:hint="eastAsia"/>
          <w:sz w:val="30"/>
          <w:szCs w:val="30"/>
        </w:rPr>
      </w:pPr>
    </w:p>
    <w:p w14:paraId="5638309A">
      <w:pPr>
        <w:pStyle w:val="9"/>
        <w:spacing w:before="11"/>
        <w:ind w:left="0"/>
        <w:jc w:val="left"/>
        <w:rPr>
          <w:rFonts w:hint="eastAsia"/>
          <w:sz w:val="30"/>
          <w:szCs w:val="30"/>
        </w:rPr>
      </w:pPr>
      <w:r>
        <w:rPr>
          <w:rFonts w:hint="eastAsia"/>
          <w:sz w:val="30"/>
          <w:szCs w:val="30"/>
        </w:rPr>
        <w:t>As we have seen, different interpreters offer (radically) different answers to these questions.</w:t>
      </w:r>
    </w:p>
    <w:p w14:paraId="59149455">
      <w:pPr>
        <w:pStyle w:val="9"/>
        <w:spacing w:before="11"/>
        <w:ind w:left="0"/>
        <w:jc w:val="left"/>
        <w:rPr>
          <w:rFonts w:hint="eastAsia"/>
          <w:sz w:val="30"/>
          <w:szCs w:val="30"/>
        </w:rPr>
      </w:pPr>
      <w:r>
        <w:rPr>
          <w:rFonts w:hint="eastAsia"/>
          <w:sz w:val="30"/>
          <w:szCs w:val="30"/>
        </w:rPr>
        <w:t>正如我们所见，不同的解释者对这些问题提出了（截然）不同的答案。</w:t>
      </w:r>
    </w:p>
    <w:p w14:paraId="3CF7FBB9">
      <w:pPr>
        <w:pStyle w:val="9"/>
        <w:spacing w:before="11"/>
        <w:ind w:left="0"/>
        <w:jc w:val="left"/>
        <w:rPr>
          <w:rFonts w:hint="eastAsia"/>
          <w:sz w:val="30"/>
          <w:szCs w:val="30"/>
        </w:rPr>
      </w:pPr>
    </w:p>
    <w:p w14:paraId="11F947B2">
      <w:pPr>
        <w:pStyle w:val="9"/>
        <w:spacing w:before="11"/>
        <w:ind w:left="0"/>
        <w:jc w:val="left"/>
        <w:rPr>
          <w:rFonts w:hint="eastAsia"/>
          <w:sz w:val="30"/>
          <w:szCs w:val="30"/>
        </w:rPr>
      </w:pPr>
      <w:r>
        <w:rPr>
          <w:rFonts w:hint="eastAsia"/>
          <w:sz w:val="30"/>
          <w:szCs w:val="30"/>
        </w:rPr>
        <w:t>For example, our dispensational brethren assert that the Church is a largely Gentile people with a heavenly destiny, while Israel is an earthly people with an earthly destiny.</w:t>
      </w:r>
    </w:p>
    <w:p w14:paraId="26DACB74">
      <w:pPr>
        <w:pStyle w:val="9"/>
        <w:spacing w:before="11"/>
        <w:ind w:left="0"/>
        <w:jc w:val="left"/>
        <w:rPr>
          <w:rFonts w:hint="eastAsia"/>
          <w:sz w:val="30"/>
          <w:szCs w:val="30"/>
        </w:rPr>
      </w:pPr>
      <w:r>
        <w:rPr>
          <w:rFonts w:hint="eastAsia"/>
          <w:sz w:val="30"/>
          <w:szCs w:val="30"/>
        </w:rPr>
        <w:t>例如，我们的时代论弟兄们断言，教会主要是外邦人，有着属天的命运，而以色列是属地的子民，有着属地的命运。</w:t>
      </w:r>
    </w:p>
    <w:p w14:paraId="17D71300">
      <w:pPr>
        <w:pStyle w:val="9"/>
        <w:spacing w:before="11"/>
        <w:ind w:left="0"/>
        <w:jc w:val="left"/>
        <w:rPr>
          <w:rFonts w:hint="eastAsia"/>
          <w:sz w:val="30"/>
          <w:szCs w:val="30"/>
        </w:rPr>
      </w:pPr>
    </w:p>
    <w:p w14:paraId="58F888B3">
      <w:pPr>
        <w:pStyle w:val="9"/>
        <w:spacing w:before="11"/>
        <w:ind w:left="0"/>
        <w:jc w:val="left"/>
        <w:rPr>
          <w:rFonts w:hint="eastAsia"/>
          <w:sz w:val="30"/>
          <w:szCs w:val="30"/>
        </w:rPr>
      </w:pPr>
      <w:r>
        <w:rPr>
          <w:rFonts w:hint="eastAsia"/>
          <w:sz w:val="30"/>
          <w:szCs w:val="30"/>
        </w:rPr>
        <w:t>So for dispensationalists, God has two separate plans for two separate peoples.</w:t>
      </w:r>
    </w:p>
    <w:p w14:paraId="6BCAD023">
      <w:pPr>
        <w:pStyle w:val="9"/>
        <w:spacing w:before="11"/>
        <w:ind w:left="0"/>
        <w:jc w:val="left"/>
        <w:rPr>
          <w:rFonts w:hint="eastAsia"/>
          <w:sz w:val="30"/>
          <w:szCs w:val="30"/>
        </w:rPr>
      </w:pPr>
      <w:r>
        <w:rPr>
          <w:rFonts w:hint="eastAsia"/>
          <w:sz w:val="30"/>
          <w:szCs w:val="30"/>
        </w:rPr>
        <w:t>因此，对时代论者来说，上帝对两个不同的民族有两个不同的计划。</w:t>
      </w:r>
    </w:p>
    <w:p w14:paraId="2C10AE1D">
      <w:pPr>
        <w:pStyle w:val="9"/>
        <w:spacing w:before="11"/>
        <w:ind w:left="0"/>
        <w:jc w:val="left"/>
        <w:rPr>
          <w:rFonts w:hint="eastAsia"/>
          <w:sz w:val="30"/>
          <w:szCs w:val="30"/>
        </w:rPr>
      </w:pPr>
    </w:p>
    <w:p w14:paraId="42123B36">
      <w:pPr>
        <w:pStyle w:val="9"/>
        <w:spacing w:before="11"/>
        <w:ind w:left="0"/>
        <w:jc w:val="left"/>
        <w:rPr>
          <w:rFonts w:hint="eastAsia"/>
          <w:sz w:val="30"/>
          <w:szCs w:val="30"/>
        </w:rPr>
      </w:pPr>
      <w:r>
        <w:rPr>
          <w:rFonts w:hint="eastAsia"/>
          <w:sz w:val="30"/>
          <w:szCs w:val="30"/>
        </w:rPr>
        <w:t>On the other hand, covenant theologians assert that the Church is the last stop on the long road of Salvation History, and that she includes in her immense bosom all of God’s people of all time, whether Jew or Gentile.</w:t>
      </w:r>
    </w:p>
    <w:p w14:paraId="3C3BC1FB">
      <w:pPr>
        <w:pStyle w:val="9"/>
        <w:spacing w:before="11"/>
        <w:ind w:left="0"/>
        <w:jc w:val="left"/>
        <w:rPr>
          <w:rFonts w:hint="eastAsia"/>
          <w:sz w:val="30"/>
          <w:szCs w:val="30"/>
        </w:rPr>
      </w:pPr>
      <w:r>
        <w:rPr>
          <w:rFonts w:hint="eastAsia"/>
          <w:sz w:val="30"/>
          <w:szCs w:val="30"/>
        </w:rPr>
        <w:t>另一方面，圣约神学家们断言，教会是救赎历史漫长道路上的最后一站，她广阔的怀抱中包含了上帝所有时代的所有子民，无论是犹太人还是外邦人。</w:t>
      </w:r>
    </w:p>
    <w:p w14:paraId="038062B9">
      <w:pPr>
        <w:pStyle w:val="9"/>
        <w:spacing w:before="11"/>
        <w:ind w:left="0"/>
        <w:jc w:val="left"/>
        <w:rPr>
          <w:rFonts w:hint="eastAsia"/>
          <w:sz w:val="30"/>
          <w:szCs w:val="30"/>
        </w:rPr>
      </w:pPr>
    </w:p>
    <w:p w14:paraId="1A823F1F">
      <w:pPr>
        <w:pStyle w:val="9"/>
        <w:spacing w:before="11"/>
        <w:ind w:left="0"/>
        <w:jc w:val="left"/>
        <w:rPr>
          <w:rFonts w:hint="eastAsia"/>
          <w:sz w:val="30"/>
          <w:szCs w:val="30"/>
        </w:rPr>
      </w:pPr>
      <w:r>
        <w:rPr>
          <w:rFonts w:hint="eastAsia"/>
          <w:sz w:val="30"/>
          <w:szCs w:val="30"/>
        </w:rPr>
        <w:t>How, then, are we to think of the Church?</w:t>
      </w:r>
    </w:p>
    <w:p w14:paraId="1B414478">
      <w:pPr>
        <w:pStyle w:val="9"/>
        <w:spacing w:before="11"/>
        <w:ind w:left="0"/>
        <w:jc w:val="left"/>
        <w:rPr>
          <w:rFonts w:hint="eastAsia"/>
          <w:sz w:val="30"/>
          <w:szCs w:val="30"/>
        </w:rPr>
      </w:pPr>
      <w:r>
        <w:rPr>
          <w:rFonts w:hint="eastAsia"/>
          <w:sz w:val="30"/>
          <w:szCs w:val="30"/>
        </w:rPr>
        <w:t>那么，我们该如何看待教会呢？</w:t>
      </w:r>
    </w:p>
    <w:p w14:paraId="643F0D17">
      <w:pPr>
        <w:pStyle w:val="9"/>
        <w:spacing w:before="11"/>
        <w:ind w:left="0"/>
        <w:jc w:val="left"/>
        <w:rPr>
          <w:rFonts w:hint="eastAsia"/>
          <w:sz w:val="30"/>
          <w:szCs w:val="30"/>
        </w:rPr>
      </w:pPr>
    </w:p>
    <w:p w14:paraId="70FE5892">
      <w:pPr>
        <w:pStyle w:val="9"/>
        <w:spacing w:before="11"/>
        <w:ind w:left="0"/>
        <w:jc w:val="left"/>
        <w:rPr>
          <w:rFonts w:hint="eastAsia"/>
          <w:sz w:val="30"/>
          <w:szCs w:val="30"/>
        </w:rPr>
      </w:pPr>
      <w:r>
        <w:rPr>
          <w:rFonts w:hint="eastAsia"/>
          <w:sz w:val="30"/>
          <w:szCs w:val="30"/>
        </w:rPr>
        <w:t>Happily, our journey to this point has equipped us to address this crucial question with confidence.</w:t>
      </w:r>
    </w:p>
    <w:p w14:paraId="59B25087">
      <w:pPr>
        <w:pStyle w:val="9"/>
        <w:spacing w:before="11"/>
        <w:ind w:left="0"/>
        <w:jc w:val="left"/>
        <w:rPr>
          <w:rFonts w:hint="eastAsia"/>
          <w:sz w:val="30"/>
          <w:szCs w:val="30"/>
        </w:rPr>
      </w:pPr>
      <w:r>
        <w:rPr>
          <w:rFonts w:hint="eastAsia"/>
          <w:sz w:val="30"/>
          <w:szCs w:val="30"/>
        </w:rPr>
        <w:t>幸运的是，我们到此为止的旅程已经使我们能够自信地处理这个关键问题。</w:t>
      </w:r>
    </w:p>
    <w:p w14:paraId="154540E3">
      <w:pPr>
        <w:pStyle w:val="9"/>
        <w:spacing w:before="11"/>
        <w:ind w:left="0"/>
        <w:jc w:val="left"/>
        <w:rPr>
          <w:rFonts w:hint="eastAsia"/>
          <w:sz w:val="30"/>
          <w:szCs w:val="30"/>
        </w:rPr>
      </w:pPr>
    </w:p>
    <w:p w14:paraId="1F8F3CFF">
      <w:pPr>
        <w:pStyle w:val="9"/>
        <w:spacing w:before="11"/>
        <w:ind w:left="0"/>
        <w:jc w:val="left"/>
        <w:rPr>
          <w:rFonts w:hint="eastAsia"/>
          <w:sz w:val="30"/>
          <w:szCs w:val="30"/>
        </w:rPr>
      </w:pPr>
      <w:r>
        <w:rPr>
          <w:rFonts w:hint="eastAsia"/>
          <w:sz w:val="30"/>
          <w:szCs w:val="30"/>
        </w:rPr>
        <w:t>Three points may be made, points that will enable us to understand what it means to interpret the OT ecclesiologically, and why we must be faithful to do so.</w:t>
      </w:r>
    </w:p>
    <w:p w14:paraId="30B0D35F">
      <w:pPr>
        <w:pStyle w:val="9"/>
        <w:spacing w:before="11"/>
        <w:ind w:left="0"/>
        <w:jc w:val="left"/>
        <w:rPr>
          <w:rFonts w:hint="eastAsia"/>
          <w:sz w:val="30"/>
          <w:szCs w:val="30"/>
        </w:rPr>
      </w:pPr>
      <w:r>
        <w:rPr>
          <w:rFonts w:hint="eastAsia"/>
          <w:sz w:val="30"/>
          <w:szCs w:val="30"/>
        </w:rPr>
        <w:t>可以提出三点，这些点将使我们能够理解以教会论的方式解释旧约意味着什么，以及为什么我们必须忠实地这样做。</w:t>
      </w:r>
    </w:p>
    <w:p w14:paraId="6C61BA5B">
      <w:pPr>
        <w:pStyle w:val="9"/>
        <w:spacing w:before="11"/>
        <w:ind w:left="0"/>
        <w:jc w:val="left"/>
        <w:rPr>
          <w:rFonts w:hint="eastAsia"/>
          <w:sz w:val="30"/>
          <w:szCs w:val="30"/>
        </w:rPr>
      </w:pPr>
    </w:p>
    <w:p w14:paraId="0C844237">
      <w:pPr>
        <w:pStyle w:val="9"/>
        <w:spacing w:before="11"/>
        <w:ind w:left="0"/>
        <w:jc w:val="left"/>
        <w:rPr>
          <w:rFonts w:hint="eastAsia"/>
          <w:sz w:val="30"/>
          <w:szCs w:val="30"/>
        </w:rPr>
      </w:pPr>
      <w:r>
        <w:rPr>
          <w:rFonts w:hint="eastAsia"/>
          <w:sz w:val="30"/>
          <w:szCs w:val="30"/>
        </w:rPr>
        <w:t>First, the Church is indeed properly defined as the New Covenant people of God.</w:t>
      </w:r>
    </w:p>
    <w:p w14:paraId="4FFF44F5">
      <w:pPr>
        <w:pStyle w:val="9"/>
        <w:spacing w:before="11"/>
        <w:ind w:left="0"/>
        <w:jc w:val="left"/>
        <w:rPr>
          <w:rFonts w:hint="eastAsia"/>
          <w:sz w:val="30"/>
          <w:szCs w:val="30"/>
        </w:rPr>
      </w:pPr>
      <w:r>
        <w:rPr>
          <w:rFonts w:hint="eastAsia"/>
          <w:sz w:val="30"/>
          <w:szCs w:val="30"/>
        </w:rPr>
        <w:t>首先，教会确实被恰当地定义为上帝的新约子民。</w:t>
      </w:r>
    </w:p>
    <w:p w14:paraId="7DDEF729">
      <w:pPr>
        <w:pStyle w:val="9"/>
        <w:spacing w:before="11"/>
        <w:ind w:left="0"/>
        <w:jc w:val="left"/>
        <w:rPr>
          <w:rFonts w:hint="eastAsia"/>
          <w:sz w:val="30"/>
          <w:szCs w:val="30"/>
        </w:rPr>
      </w:pPr>
    </w:p>
    <w:p w14:paraId="6E3C89C9">
      <w:pPr>
        <w:pStyle w:val="9"/>
        <w:spacing w:before="11"/>
        <w:ind w:left="0"/>
        <w:jc w:val="left"/>
        <w:rPr>
          <w:rFonts w:hint="eastAsia"/>
          <w:sz w:val="30"/>
          <w:szCs w:val="30"/>
        </w:rPr>
      </w:pPr>
      <w:r>
        <w:rPr>
          <w:rFonts w:hint="eastAsia"/>
          <w:sz w:val="30"/>
          <w:szCs w:val="30"/>
        </w:rPr>
        <w:t>It is the totality of all elect persons—Jew or Gentile—called into the Eternal Covenant in the Era of Fulfillment; in “these last days” when Christ and the elements of the Covenant have finally been manifested.</w:t>
      </w:r>
    </w:p>
    <w:p w14:paraId="6D06ACDB">
      <w:pPr>
        <w:pStyle w:val="9"/>
        <w:spacing w:before="11"/>
        <w:ind w:left="0"/>
        <w:jc w:val="left"/>
        <w:rPr>
          <w:rFonts w:hint="eastAsia"/>
          <w:sz w:val="30"/>
          <w:szCs w:val="30"/>
        </w:rPr>
      </w:pPr>
      <w:r>
        <w:rPr>
          <w:rFonts w:hint="eastAsia"/>
          <w:sz w:val="30"/>
          <w:szCs w:val="30"/>
        </w:rPr>
        <w:t>它是所有蒙拣选的人——无论是犹太人还是外邦人——在成全的时代被呼召进入永恒之约的总和；在“这末后的日子”，当基督和圣约的要素最终显明出来时。</w:t>
      </w:r>
    </w:p>
    <w:p w14:paraId="2FCD2A8A">
      <w:pPr>
        <w:pStyle w:val="9"/>
        <w:spacing w:before="11"/>
        <w:ind w:left="0"/>
        <w:jc w:val="left"/>
        <w:rPr>
          <w:rFonts w:hint="eastAsia"/>
          <w:sz w:val="30"/>
          <w:szCs w:val="30"/>
        </w:rPr>
      </w:pPr>
    </w:p>
    <w:p w14:paraId="759491EA">
      <w:pPr>
        <w:pStyle w:val="9"/>
        <w:spacing w:before="11"/>
        <w:ind w:left="0"/>
        <w:jc w:val="left"/>
        <w:rPr>
          <w:rFonts w:hint="eastAsia"/>
          <w:sz w:val="30"/>
          <w:szCs w:val="30"/>
        </w:rPr>
      </w:pPr>
      <w:r>
        <w:rPr>
          <w:rFonts w:hint="eastAsia"/>
          <w:sz w:val="30"/>
          <w:szCs w:val="30"/>
        </w:rPr>
        <w:t>The Church is the community of NT saints who, through the preaching of the Gospel, have “beheld” the Person and Work of Christ, believed on him, and received the twin gifts of imputed righteousness and the indwelling of the Holy Spirit, eschatological gifts promised long ago by the OT prophets (John 6:40, 7:39, Gal. 3:11-4:7).</w:t>
      </w:r>
    </w:p>
    <w:p w14:paraId="691DBABB">
      <w:pPr>
        <w:pStyle w:val="9"/>
        <w:spacing w:before="11"/>
        <w:ind w:left="0"/>
        <w:jc w:val="left"/>
        <w:rPr>
          <w:rFonts w:hint="eastAsia"/>
          <w:sz w:val="30"/>
          <w:szCs w:val="30"/>
        </w:rPr>
      </w:pPr>
      <w:r>
        <w:rPr>
          <w:rFonts w:hint="eastAsia"/>
          <w:sz w:val="30"/>
          <w:szCs w:val="30"/>
        </w:rPr>
        <w:t>教会是新约圣徒的群体，他们通过传讲福音，“看见”了基督的位格和工作，信了祂，并领受了被归算的义和圣灵内住这双重恩赐，这些是旧约先知很久以前所应许的末世恩赐（约翰福音 6:40, 7:39, 加拉太书 3:11-4:7）。</w:t>
      </w:r>
    </w:p>
    <w:p w14:paraId="100F69B1">
      <w:pPr>
        <w:pStyle w:val="9"/>
        <w:spacing w:before="11"/>
        <w:ind w:left="0"/>
        <w:jc w:val="left"/>
        <w:rPr>
          <w:rFonts w:hint="eastAsia"/>
          <w:sz w:val="30"/>
          <w:szCs w:val="30"/>
        </w:rPr>
      </w:pPr>
    </w:p>
    <w:p w14:paraId="36E0A90F">
      <w:pPr>
        <w:pStyle w:val="9"/>
        <w:spacing w:before="11"/>
        <w:ind w:left="0"/>
        <w:jc w:val="left"/>
        <w:rPr>
          <w:rFonts w:hint="eastAsia"/>
          <w:sz w:val="30"/>
          <w:szCs w:val="30"/>
        </w:rPr>
      </w:pPr>
      <w:r>
        <w:rPr>
          <w:rFonts w:hint="eastAsia"/>
          <w:sz w:val="30"/>
          <w:szCs w:val="30"/>
        </w:rPr>
        <w:t>The OT saints tasted of these gifts and waited for them, but did not experience them in fullness.</w:t>
      </w:r>
    </w:p>
    <w:p w14:paraId="1ACF97E9">
      <w:pPr>
        <w:pStyle w:val="9"/>
        <w:spacing w:before="11"/>
        <w:ind w:left="0"/>
        <w:jc w:val="left"/>
        <w:rPr>
          <w:rFonts w:hint="eastAsia"/>
          <w:sz w:val="30"/>
          <w:szCs w:val="30"/>
        </w:rPr>
      </w:pPr>
      <w:r>
        <w:rPr>
          <w:rFonts w:hint="eastAsia"/>
          <w:sz w:val="30"/>
          <w:szCs w:val="30"/>
        </w:rPr>
        <w:t>旧约圣徒尝过这些恩赐并等候它们，但没有完全经历它们。</w:t>
      </w:r>
    </w:p>
    <w:p w14:paraId="6A9D61F2">
      <w:pPr>
        <w:pStyle w:val="9"/>
        <w:spacing w:before="11"/>
        <w:ind w:left="0"/>
        <w:jc w:val="left"/>
        <w:rPr>
          <w:rFonts w:hint="eastAsia"/>
          <w:sz w:val="30"/>
          <w:szCs w:val="30"/>
        </w:rPr>
      </w:pPr>
    </w:p>
    <w:p w14:paraId="25DF7872">
      <w:pPr>
        <w:pStyle w:val="9"/>
        <w:spacing w:before="11"/>
        <w:ind w:left="0"/>
        <w:jc w:val="left"/>
        <w:rPr>
          <w:rFonts w:hint="eastAsia"/>
          <w:sz w:val="30"/>
          <w:szCs w:val="30"/>
        </w:rPr>
      </w:pPr>
      <w:r>
        <w:rPr>
          <w:rFonts w:hint="eastAsia"/>
          <w:sz w:val="30"/>
          <w:szCs w:val="30"/>
        </w:rPr>
        <w:t>For this reason we cannot say that the OT saints—in their day—were members of the Church.</w:t>
      </w:r>
    </w:p>
    <w:p w14:paraId="73600363">
      <w:pPr>
        <w:pStyle w:val="9"/>
        <w:spacing w:before="11"/>
        <w:ind w:left="0"/>
        <w:jc w:val="left"/>
        <w:rPr>
          <w:rFonts w:hint="eastAsia"/>
          <w:sz w:val="30"/>
          <w:szCs w:val="30"/>
        </w:rPr>
      </w:pPr>
      <w:r>
        <w:rPr>
          <w:rFonts w:hint="eastAsia"/>
          <w:sz w:val="30"/>
          <w:szCs w:val="30"/>
        </w:rPr>
        <w:t>因此，我们不能说旧约圣徒——在他们的时代——是教会的成员。</w:t>
      </w:r>
    </w:p>
    <w:p w14:paraId="6DE0CA23">
      <w:pPr>
        <w:pStyle w:val="9"/>
        <w:spacing w:before="11"/>
        <w:ind w:left="0"/>
        <w:jc w:val="left"/>
        <w:rPr>
          <w:rFonts w:hint="eastAsia"/>
          <w:sz w:val="30"/>
          <w:szCs w:val="30"/>
        </w:rPr>
      </w:pPr>
    </w:p>
    <w:p w14:paraId="2F0EB034">
      <w:pPr>
        <w:pStyle w:val="9"/>
        <w:spacing w:before="11"/>
        <w:ind w:left="0"/>
        <w:jc w:val="left"/>
        <w:rPr>
          <w:rFonts w:hint="eastAsia"/>
          <w:sz w:val="30"/>
          <w:szCs w:val="30"/>
        </w:rPr>
      </w:pPr>
      <w:r>
        <w:rPr>
          <w:rFonts w:hint="eastAsia"/>
          <w:sz w:val="30"/>
          <w:szCs w:val="30"/>
        </w:rPr>
        <w:t>There is a valid biblical distinction between the Church and ethnic Israel; indeed, between the Church and the true OT saints of God.</w:t>
      </w:r>
    </w:p>
    <w:p w14:paraId="17DF3E09">
      <w:pPr>
        <w:pStyle w:val="9"/>
        <w:spacing w:before="11"/>
        <w:ind w:left="0"/>
        <w:jc w:val="left"/>
        <w:rPr>
          <w:rFonts w:hint="eastAsia"/>
          <w:sz w:val="30"/>
          <w:szCs w:val="30"/>
        </w:rPr>
      </w:pPr>
      <w:r>
        <w:rPr>
          <w:rFonts w:hint="eastAsia"/>
          <w:sz w:val="30"/>
          <w:szCs w:val="30"/>
        </w:rPr>
        <w:t>在教会和以色列民族之间，确实存在一个有效的圣经区别；实际上，在教会和上帝真正的旧约圣徒之间也存在区别。</w:t>
      </w:r>
    </w:p>
    <w:p w14:paraId="70EAAC29">
      <w:pPr>
        <w:pStyle w:val="9"/>
        <w:spacing w:before="11"/>
        <w:ind w:left="0"/>
        <w:jc w:val="left"/>
        <w:rPr>
          <w:rFonts w:hint="eastAsia"/>
          <w:sz w:val="30"/>
          <w:szCs w:val="30"/>
        </w:rPr>
      </w:pPr>
    </w:p>
    <w:p w14:paraId="4A08C093">
      <w:pPr>
        <w:pStyle w:val="9"/>
        <w:spacing w:before="11"/>
        <w:ind w:left="0"/>
        <w:jc w:val="left"/>
        <w:rPr>
          <w:rFonts w:hint="eastAsia"/>
          <w:sz w:val="30"/>
          <w:szCs w:val="30"/>
        </w:rPr>
      </w:pPr>
      <w:r>
        <w:rPr>
          <w:rFonts w:hint="eastAsia"/>
          <w:sz w:val="30"/>
          <w:szCs w:val="30"/>
        </w:rPr>
        <w:t>But secondly, the Church nevertheless includes the OT saints of God.</w:t>
      </w:r>
    </w:p>
    <w:p w14:paraId="15CC6429">
      <w:pPr>
        <w:pStyle w:val="9"/>
        <w:spacing w:before="11"/>
        <w:ind w:left="0"/>
        <w:jc w:val="left"/>
        <w:rPr>
          <w:rFonts w:hint="eastAsia"/>
          <w:sz w:val="30"/>
          <w:szCs w:val="30"/>
        </w:rPr>
      </w:pPr>
      <w:r>
        <w:rPr>
          <w:rFonts w:hint="eastAsia"/>
          <w:sz w:val="30"/>
          <w:szCs w:val="30"/>
        </w:rPr>
        <w:t>但其次，教会仍然包括上帝的旧约圣徒。</w:t>
      </w:r>
    </w:p>
    <w:p w14:paraId="2B0D6B33">
      <w:pPr>
        <w:pStyle w:val="9"/>
        <w:spacing w:before="11"/>
        <w:ind w:left="0"/>
        <w:jc w:val="left"/>
        <w:rPr>
          <w:rFonts w:hint="eastAsia"/>
          <w:sz w:val="30"/>
          <w:szCs w:val="30"/>
        </w:rPr>
      </w:pPr>
    </w:p>
    <w:p w14:paraId="473B4D24">
      <w:pPr>
        <w:pStyle w:val="9"/>
        <w:spacing w:before="11"/>
        <w:ind w:left="0"/>
        <w:jc w:val="left"/>
        <w:rPr>
          <w:rFonts w:hint="eastAsia"/>
          <w:sz w:val="30"/>
          <w:szCs w:val="30"/>
        </w:rPr>
      </w:pPr>
      <w:r>
        <w:rPr>
          <w:rFonts w:hint="eastAsia"/>
          <w:sz w:val="30"/>
          <w:szCs w:val="30"/>
        </w:rPr>
        <w:t>This is abundantly clear from the NT.</w:t>
      </w:r>
    </w:p>
    <w:p w14:paraId="0BF6C17B">
      <w:pPr>
        <w:pStyle w:val="9"/>
        <w:spacing w:before="11"/>
        <w:ind w:left="0"/>
        <w:jc w:val="left"/>
        <w:rPr>
          <w:rFonts w:hint="eastAsia"/>
          <w:sz w:val="30"/>
          <w:szCs w:val="30"/>
        </w:rPr>
      </w:pPr>
      <w:r>
        <w:rPr>
          <w:rFonts w:hint="eastAsia"/>
          <w:sz w:val="30"/>
          <w:szCs w:val="30"/>
        </w:rPr>
        <w:t>这在新约中非常清楚。</w:t>
      </w:r>
    </w:p>
    <w:p w14:paraId="0A70F080">
      <w:pPr>
        <w:pStyle w:val="9"/>
        <w:spacing w:before="11"/>
        <w:ind w:left="0"/>
        <w:jc w:val="left"/>
        <w:rPr>
          <w:rFonts w:hint="eastAsia"/>
          <w:sz w:val="30"/>
          <w:szCs w:val="30"/>
        </w:rPr>
      </w:pPr>
    </w:p>
    <w:p w14:paraId="2ADBEE40">
      <w:pPr>
        <w:pStyle w:val="9"/>
        <w:spacing w:before="11"/>
        <w:ind w:left="0"/>
        <w:jc w:val="left"/>
        <w:rPr>
          <w:rFonts w:hint="eastAsia"/>
          <w:sz w:val="30"/>
          <w:szCs w:val="30"/>
        </w:rPr>
      </w:pPr>
      <w:r>
        <w:rPr>
          <w:rFonts w:hint="eastAsia"/>
          <w:sz w:val="30"/>
          <w:szCs w:val="30"/>
        </w:rPr>
        <w:t>Reading Hebrews 11, for example, we cannot fail to see that such OT stalwarts as Abel, Enoch, Noah, Abraham, Sarah, Isaac, Jacob, Joseph, Moses, Gideon, Barak, Samson, Jephtah, David, Samuel, and all the prophets are reckoned as model believers in Christ, as true members of his Church (Heb. 11:26, 39-40).</w:t>
      </w:r>
    </w:p>
    <w:p w14:paraId="75586F5D">
      <w:pPr>
        <w:pStyle w:val="9"/>
        <w:spacing w:before="11"/>
        <w:ind w:left="0"/>
        <w:jc w:val="left"/>
        <w:rPr>
          <w:rFonts w:hint="eastAsia"/>
          <w:sz w:val="30"/>
          <w:szCs w:val="30"/>
        </w:rPr>
      </w:pPr>
      <w:r>
        <w:rPr>
          <w:rFonts w:hint="eastAsia"/>
          <w:sz w:val="30"/>
          <w:szCs w:val="30"/>
        </w:rPr>
        <w:t>例如，读希伯来书11章，我们不能不看到像亚伯、以诺、挪亚、亚伯拉罕、撒拉、以撒、雅各、约瑟、摩西、基甸、巴拉、参孙、耶弗他、大卫、撒母耳和所有先知这样的旧约中坚人物，都被算为基督里的模范信徒，是祂教会的真正成员（希伯来书 11:26, 39-40）。</w:t>
      </w:r>
    </w:p>
    <w:p w14:paraId="5C8E2893">
      <w:pPr>
        <w:pStyle w:val="9"/>
        <w:spacing w:before="11"/>
        <w:ind w:left="0"/>
        <w:jc w:val="left"/>
        <w:rPr>
          <w:rFonts w:hint="eastAsia"/>
          <w:sz w:val="30"/>
          <w:szCs w:val="30"/>
        </w:rPr>
      </w:pPr>
    </w:p>
    <w:p w14:paraId="5BF5D324">
      <w:pPr>
        <w:pStyle w:val="9"/>
        <w:spacing w:before="11"/>
        <w:ind w:left="0"/>
        <w:jc w:val="left"/>
        <w:rPr>
          <w:rFonts w:hint="eastAsia"/>
          <w:sz w:val="30"/>
          <w:szCs w:val="30"/>
        </w:rPr>
      </w:pPr>
      <w:r>
        <w:rPr>
          <w:rFonts w:hint="eastAsia"/>
          <w:sz w:val="30"/>
          <w:szCs w:val="30"/>
        </w:rPr>
        <w:t>As for Paul, he pictures the Church as a single olive tree whose root is (faithful) Israel, and whose branches are Gentile believers in Jesus (Rom. 11:16-24).</w:t>
      </w:r>
    </w:p>
    <w:p w14:paraId="49EE4783">
      <w:pPr>
        <w:pStyle w:val="9"/>
        <w:spacing w:before="11"/>
        <w:ind w:left="0"/>
        <w:jc w:val="left"/>
        <w:rPr>
          <w:rFonts w:hint="eastAsia"/>
          <w:sz w:val="30"/>
          <w:szCs w:val="30"/>
        </w:rPr>
      </w:pPr>
      <w:r>
        <w:rPr>
          <w:rFonts w:hint="eastAsia"/>
          <w:sz w:val="30"/>
          <w:szCs w:val="30"/>
        </w:rPr>
        <w:t>至于保罗，他将教会描绘成一棵橄榄树，其根是（信实的）以色列，其枝子是在耶稣里的外邦信徒（罗马书 11:16-24）。</w:t>
      </w:r>
    </w:p>
    <w:p w14:paraId="3D3B19F6">
      <w:pPr>
        <w:pStyle w:val="9"/>
        <w:spacing w:before="11"/>
        <w:ind w:left="0"/>
        <w:jc w:val="left"/>
        <w:rPr>
          <w:rFonts w:hint="eastAsia"/>
          <w:sz w:val="30"/>
          <w:szCs w:val="30"/>
        </w:rPr>
      </w:pPr>
    </w:p>
    <w:p w14:paraId="657E11B5">
      <w:pPr>
        <w:pStyle w:val="9"/>
        <w:spacing w:before="11"/>
        <w:ind w:left="0"/>
        <w:jc w:val="left"/>
        <w:rPr>
          <w:rFonts w:hint="eastAsia"/>
          <w:sz w:val="30"/>
          <w:szCs w:val="30"/>
        </w:rPr>
      </w:pPr>
      <w:r>
        <w:rPr>
          <w:rFonts w:hint="eastAsia"/>
          <w:sz w:val="30"/>
          <w:szCs w:val="30"/>
        </w:rPr>
        <w:t>Likewise, John pictures the Church as a single Woman living both before and after the first advent of Christ.</w:t>
      </w:r>
    </w:p>
    <w:p w14:paraId="684A4A81">
      <w:pPr>
        <w:pStyle w:val="9"/>
        <w:spacing w:before="11"/>
        <w:ind w:left="0"/>
        <w:jc w:val="left"/>
        <w:rPr>
          <w:rFonts w:hint="eastAsia"/>
          <w:sz w:val="30"/>
          <w:szCs w:val="30"/>
        </w:rPr>
      </w:pPr>
      <w:r>
        <w:rPr>
          <w:rFonts w:hint="eastAsia"/>
          <w:sz w:val="30"/>
          <w:szCs w:val="30"/>
        </w:rPr>
        <w:t>同样，约翰将教会描绘成一个单一的妇人，她生活在基督第一次降临之前和之后。</w:t>
      </w:r>
    </w:p>
    <w:p w14:paraId="2436A989">
      <w:pPr>
        <w:pStyle w:val="9"/>
        <w:spacing w:before="11"/>
        <w:ind w:left="0"/>
        <w:jc w:val="left"/>
        <w:rPr>
          <w:rFonts w:hint="eastAsia"/>
          <w:sz w:val="30"/>
          <w:szCs w:val="30"/>
        </w:rPr>
      </w:pPr>
    </w:p>
    <w:p w14:paraId="2D81E24E">
      <w:pPr>
        <w:pStyle w:val="9"/>
        <w:spacing w:before="11"/>
        <w:ind w:left="0"/>
        <w:jc w:val="left"/>
        <w:rPr>
          <w:rFonts w:hint="eastAsia"/>
          <w:sz w:val="30"/>
          <w:szCs w:val="30"/>
        </w:rPr>
      </w:pPr>
      <w:r>
        <w:rPr>
          <w:rFonts w:hint="eastAsia"/>
          <w:sz w:val="30"/>
          <w:szCs w:val="30"/>
        </w:rPr>
        <w:t>In her OT embodiment, she gives birth to the Christ Child; in her NT embodiment, she flees into the wilderness of this world, there to be nourished along with all the rest of her offspring who keep the commandments of God and hold to the testimony of Jesus (Rev. 12:1-17).</w:t>
      </w:r>
    </w:p>
    <w:p w14:paraId="4D27037C">
      <w:pPr>
        <w:pStyle w:val="9"/>
        <w:spacing w:before="11"/>
        <w:ind w:left="0"/>
        <w:jc w:val="left"/>
        <w:rPr>
          <w:rFonts w:hint="eastAsia"/>
          <w:sz w:val="30"/>
          <w:szCs w:val="30"/>
        </w:rPr>
      </w:pPr>
      <w:r>
        <w:rPr>
          <w:rFonts w:hint="eastAsia"/>
          <w:sz w:val="30"/>
          <w:szCs w:val="30"/>
        </w:rPr>
        <w:t>在她的旧约化身中，她生下了基督婴孩；在她的新约化身中，她逃到这世界的旷野，在那里与她其余所有遵守上帝诫命、持守耶稣见证的后裔一同得着喂养（启示录 12:1-17）。</w:t>
      </w:r>
    </w:p>
    <w:p w14:paraId="3790E4F4">
      <w:pPr>
        <w:pStyle w:val="9"/>
        <w:spacing w:before="11"/>
        <w:ind w:left="0"/>
        <w:jc w:val="left"/>
        <w:rPr>
          <w:rFonts w:hint="eastAsia"/>
          <w:sz w:val="30"/>
          <w:szCs w:val="30"/>
        </w:rPr>
      </w:pPr>
    </w:p>
    <w:p w14:paraId="7FA19280">
      <w:pPr>
        <w:pStyle w:val="9"/>
        <w:spacing w:before="11"/>
        <w:ind w:left="0"/>
        <w:jc w:val="left"/>
        <w:rPr>
          <w:rFonts w:hint="eastAsia"/>
          <w:sz w:val="30"/>
          <w:szCs w:val="30"/>
        </w:rPr>
      </w:pPr>
      <w:r>
        <w:rPr>
          <w:rFonts w:hint="eastAsia"/>
          <w:sz w:val="30"/>
          <w:szCs w:val="30"/>
        </w:rPr>
        <w:t>So then, as for Paul, so for John: There is one Woman, one people, and one Church, comprised both of the OT saints and the New.</w:t>
      </w:r>
    </w:p>
    <w:p w14:paraId="5BAF55D8">
      <w:pPr>
        <w:pStyle w:val="9"/>
        <w:spacing w:before="11"/>
        <w:ind w:left="0"/>
        <w:jc w:val="left"/>
        <w:rPr>
          <w:rFonts w:hint="eastAsia"/>
          <w:sz w:val="30"/>
          <w:szCs w:val="30"/>
        </w:rPr>
      </w:pPr>
      <w:r>
        <w:rPr>
          <w:rFonts w:hint="eastAsia"/>
          <w:sz w:val="30"/>
          <w:szCs w:val="30"/>
        </w:rPr>
        <w:t>那么，对保罗如此，对约翰也是如此：只有一个妇人，一个子民，一个教会，由旧约圣徒和新约圣徒共同组成。</w:t>
      </w:r>
    </w:p>
    <w:p w14:paraId="371E8018">
      <w:pPr>
        <w:pStyle w:val="9"/>
        <w:spacing w:before="11"/>
        <w:ind w:left="0"/>
        <w:jc w:val="left"/>
        <w:rPr>
          <w:rFonts w:hint="eastAsia"/>
          <w:sz w:val="30"/>
          <w:szCs w:val="30"/>
        </w:rPr>
      </w:pPr>
    </w:p>
    <w:p w14:paraId="505516E4">
      <w:pPr>
        <w:pStyle w:val="9"/>
        <w:spacing w:before="11"/>
        <w:ind w:left="0"/>
        <w:jc w:val="left"/>
        <w:rPr>
          <w:rFonts w:hint="eastAsia"/>
          <w:sz w:val="30"/>
          <w:szCs w:val="30"/>
        </w:rPr>
      </w:pPr>
      <w:r>
        <w:rPr>
          <w:rFonts w:hint="eastAsia"/>
          <w:sz w:val="30"/>
          <w:szCs w:val="30"/>
        </w:rPr>
        <w:t>But how exactly does this work?</w:t>
      </w:r>
    </w:p>
    <w:p w14:paraId="1E39214F">
      <w:pPr>
        <w:pStyle w:val="9"/>
        <w:spacing w:before="11"/>
        <w:ind w:left="0"/>
        <w:jc w:val="left"/>
        <w:rPr>
          <w:rFonts w:hint="eastAsia"/>
          <w:sz w:val="30"/>
          <w:szCs w:val="30"/>
        </w:rPr>
      </w:pPr>
      <w:r>
        <w:rPr>
          <w:rFonts w:hint="eastAsia"/>
          <w:sz w:val="30"/>
          <w:szCs w:val="30"/>
        </w:rPr>
        <w:t>但这究竟是如何运作的呢？</w:t>
      </w:r>
    </w:p>
    <w:p w14:paraId="2E131D6C">
      <w:pPr>
        <w:pStyle w:val="9"/>
        <w:spacing w:before="11"/>
        <w:ind w:left="0"/>
        <w:jc w:val="left"/>
        <w:rPr>
          <w:rFonts w:hint="eastAsia"/>
          <w:sz w:val="30"/>
          <w:szCs w:val="30"/>
        </w:rPr>
      </w:pPr>
    </w:p>
    <w:p w14:paraId="077CDB68">
      <w:pPr>
        <w:pStyle w:val="9"/>
        <w:spacing w:before="11"/>
        <w:ind w:left="0"/>
        <w:jc w:val="left"/>
        <w:rPr>
          <w:rFonts w:hint="eastAsia"/>
          <w:sz w:val="30"/>
          <w:szCs w:val="30"/>
        </w:rPr>
      </w:pPr>
      <w:r>
        <w:rPr>
          <w:rFonts w:hint="eastAsia"/>
          <w:sz w:val="30"/>
          <w:szCs w:val="30"/>
        </w:rPr>
        <w:t>How can the Church be distinct from the OT saints, yet also include them?</w:t>
      </w:r>
    </w:p>
    <w:p w14:paraId="47FCB401">
      <w:pPr>
        <w:pStyle w:val="9"/>
        <w:spacing w:before="11"/>
        <w:ind w:left="0"/>
        <w:jc w:val="left"/>
        <w:rPr>
          <w:rFonts w:hint="eastAsia"/>
          <w:sz w:val="30"/>
          <w:szCs w:val="30"/>
        </w:rPr>
      </w:pPr>
      <w:r>
        <w:rPr>
          <w:rFonts w:hint="eastAsia"/>
          <w:sz w:val="30"/>
          <w:szCs w:val="30"/>
        </w:rPr>
        <w:t>教会如何能与旧约圣徒有别，却又包含他们呢？</w:t>
      </w:r>
    </w:p>
    <w:p w14:paraId="2EABEDB1">
      <w:pPr>
        <w:pStyle w:val="9"/>
        <w:spacing w:before="11"/>
        <w:ind w:left="0"/>
        <w:jc w:val="left"/>
        <w:rPr>
          <w:rFonts w:hint="eastAsia"/>
          <w:sz w:val="30"/>
          <w:szCs w:val="30"/>
        </w:rPr>
      </w:pPr>
    </w:p>
    <w:p w14:paraId="7A00F9A2">
      <w:pPr>
        <w:pStyle w:val="9"/>
        <w:spacing w:before="11"/>
        <w:ind w:left="0"/>
        <w:jc w:val="left"/>
        <w:rPr>
          <w:rFonts w:hint="eastAsia"/>
          <w:sz w:val="30"/>
          <w:szCs w:val="30"/>
        </w:rPr>
      </w:pPr>
      <w:r>
        <w:rPr>
          <w:rFonts w:hint="eastAsia"/>
          <w:sz w:val="30"/>
          <w:szCs w:val="30"/>
        </w:rPr>
        <w:t>Our study of the Eternal Covenant supplies the answer.</w:t>
      </w:r>
    </w:p>
    <w:p w14:paraId="38C2BC2E">
      <w:pPr>
        <w:pStyle w:val="9"/>
        <w:spacing w:before="11"/>
        <w:ind w:left="0"/>
        <w:jc w:val="left"/>
        <w:rPr>
          <w:rFonts w:hint="eastAsia"/>
          <w:sz w:val="30"/>
          <w:szCs w:val="30"/>
        </w:rPr>
      </w:pPr>
      <w:r>
        <w:rPr>
          <w:rFonts w:hint="eastAsia"/>
          <w:sz w:val="30"/>
          <w:szCs w:val="30"/>
        </w:rPr>
        <w:t>我们对永恒之约的研究提供了答案。</w:t>
      </w:r>
    </w:p>
    <w:p w14:paraId="3B4D581D">
      <w:pPr>
        <w:pStyle w:val="9"/>
        <w:spacing w:before="11"/>
        <w:ind w:left="0"/>
        <w:jc w:val="left"/>
        <w:rPr>
          <w:rFonts w:hint="eastAsia"/>
          <w:sz w:val="30"/>
          <w:szCs w:val="30"/>
        </w:rPr>
      </w:pPr>
    </w:p>
    <w:p w14:paraId="3BB6D2EB">
      <w:pPr>
        <w:pStyle w:val="9"/>
        <w:spacing w:before="11"/>
        <w:ind w:left="0"/>
        <w:jc w:val="left"/>
        <w:rPr>
          <w:rFonts w:hint="eastAsia"/>
          <w:sz w:val="30"/>
          <w:szCs w:val="30"/>
        </w:rPr>
      </w:pPr>
      <w:r>
        <w:rPr>
          <w:rFonts w:hint="eastAsia"/>
          <w:sz w:val="30"/>
          <w:szCs w:val="30"/>
        </w:rPr>
        <w:t>When God administered the Covenant of Grace in OT times, he brought his people to faith in some promise and/or emblem of Christ.</w:t>
      </w:r>
    </w:p>
    <w:p w14:paraId="7F9DF0BD">
      <w:pPr>
        <w:pStyle w:val="9"/>
        <w:spacing w:before="11"/>
        <w:ind w:left="0"/>
        <w:jc w:val="left"/>
        <w:rPr>
          <w:rFonts w:hint="eastAsia"/>
          <w:sz w:val="30"/>
          <w:szCs w:val="30"/>
        </w:rPr>
      </w:pPr>
      <w:r>
        <w:rPr>
          <w:rFonts w:hint="eastAsia"/>
          <w:sz w:val="30"/>
          <w:szCs w:val="30"/>
        </w:rPr>
        <w:t>当上帝在旧约时代施行恩典之约时，祂带领祂的子民信靠基督的某些应许和/或象征。</w:t>
      </w:r>
    </w:p>
    <w:p w14:paraId="399F3F52">
      <w:pPr>
        <w:pStyle w:val="9"/>
        <w:spacing w:before="11"/>
        <w:ind w:left="0"/>
        <w:jc w:val="left"/>
        <w:rPr>
          <w:rFonts w:hint="eastAsia"/>
          <w:sz w:val="30"/>
          <w:szCs w:val="30"/>
        </w:rPr>
      </w:pPr>
    </w:p>
    <w:p w14:paraId="1182C230">
      <w:pPr>
        <w:pStyle w:val="9"/>
        <w:spacing w:before="11"/>
        <w:ind w:left="0"/>
        <w:jc w:val="left"/>
        <w:rPr>
          <w:rFonts w:hint="eastAsia"/>
          <w:sz w:val="30"/>
          <w:szCs w:val="30"/>
        </w:rPr>
      </w:pPr>
      <w:r>
        <w:rPr>
          <w:rFonts w:hint="eastAsia"/>
          <w:sz w:val="30"/>
          <w:szCs w:val="30"/>
        </w:rPr>
        <w:t>Thus did they respond to the provision of the Covenant; thus did they fulfill the proviso of the Covenant; thus did they become party to the Covenant; and thus did they begin to enter into the promise of the Covenant, enjoying a preparatory work of the Spirit in their hearts (Haggai 2:5, John 7:39).</w:t>
      </w:r>
    </w:p>
    <w:p w14:paraId="61E6E23A">
      <w:pPr>
        <w:pStyle w:val="9"/>
        <w:spacing w:before="11"/>
        <w:ind w:left="0"/>
        <w:jc w:val="left"/>
        <w:rPr>
          <w:rFonts w:hint="eastAsia"/>
          <w:sz w:val="30"/>
          <w:szCs w:val="30"/>
        </w:rPr>
      </w:pPr>
      <w:r>
        <w:rPr>
          <w:rFonts w:hint="eastAsia"/>
          <w:sz w:val="30"/>
          <w:szCs w:val="30"/>
        </w:rPr>
        <w:t>他们就这样回应了圣约的预备；就这样履行了圣约的条件；就这样成为圣约的一方；就这样开始进入圣约的应许，享受圣灵在他们心中的预备工作（哈该书 2:5, 约翰福音 7:39）。</w:t>
      </w:r>
    </w:p>
    <w:p w14:paraId="2AFDAFF2">
      <w:pPr>
        <w:pStyle w:val="9"/>
        <w:spacing w:before="11"/>
        <w:ind w:left="0"/>
        <w:jc w:val="left"/>
        <w:rPr>
          <w:rFonts w:hint="eastAsia"/>
          <w:sz w:val="30"/>
          <w:szCs w:val="30"/>
        </w:rPr>
      </w:pPr>
    </w:p>
    <w:p w14:paraId="2B1F46A8">
      <w:pPr>
        <w:pStyle w:val="9"/>
        <w:spacing w:before="11"/>
        <w:ind w:left="0"/>
        <w:jc w:val="left"/>
        <w:rPr>
          <w:rFonts w:hint="eastAsia"/>
          <w:sz w:val="30"/>
          <w:szCs w:val="30"/>
        </w:rPr>
      </w:pPr>
      <w:r>
        <w:rPr>
          <w:rFonts w:hint="eastAsia"/>
          <w:sz w:val="30"/>
          <w:szCs w:val="30"/>
        </w:rPr>
        <w:t>However, it was not until Christ actually came into the world and accomplished his redemptive work that the OT saints became complete; it was not until he sat down at the Father’s right hand, poured out the Spirit, and gave birth to the Church, that they actually joined it; it was not until the Head of the Church entered into his glory that they (whose spirits were already in glory, and eager to welcome him home) became full- fledged members of the one Body now seated in the heavenly places in Christ (John 7:39, Eph. 1:23, 2:6, Col. 1:18, Heb. 11:39-40, 12:22-24).3</w:t>
      </w:r>
    </w:p>
    <w:p w14:paraId="669A2AA9">
      <w:pPr>
        <w:pStyle w:val="9"/>
        <w:spacing w:before="11"/>
        <w:ind w:left="0"/>
        <w:jc w:val="left"/>
        <w:rPr>
          <w:rFonts w:hint="eastAsia"/>
          <w:sz w:val="30"/>
          <w:szCs w:val="30"/>
        </w:rPr>
      </w:pPr>
      <w:r>
        <w:rPr>
          <w:rFonts w:hint="eastAsia"/>
          <w:sz w:val="30"/>
          <w:szCs w:val="30"/>
        </w:rPr>
        <w:t>然而，直到基督真正来到世上并完成祂的救赎工作，旧约的圣徒才得以完全；直到祂坐在父的右边，浇灌下圣灵，并诞生了教会，他们才真正加入其中；直到教会的元首进入祂的荣耀，他们（他们的灵已在荣耀里，并渴望欢迎祂回家）才成为那一个如今在基督里坐在天上的身体的正式成员（约翰福音 7:39, 以弗所书 1:23, 2:6, 歌罗西书 1:18, 希伯来书 11:39-40, 12:22-24）。3</w:t>
      </w:r>
    </w:p>
    <w:p w14:paraId="320060FC">
      <w:pPr>
        <w:pStyle w:val="9"/>
        <w:spacing w:before="11"/>
        <w:ind w:left="0"/>
        <w:jc w:val="left"/>
        <w:rPr>
          <w:rFonts w:hint="eastAsia"/>
          <w:sz w:val="30"/>
          <w:szCs w:val="30"/>
        </w:rPr>
      </w:pPr>
    </w:p>
    <w:p w14:paraId="35215D29">
      <w:pPr>
        <w:pStyle w:val="9"/>
        <w:spacing w:before="11"/>
        <w:ind w:left="0"/>
        <w:jc w:val="left"/>
        <w:rPr>
          <w:rFonts w:hint="eastAsia"/>
          <w:sz w:val="30"/>
          <w:szCs w:val="30"/>
        </w:rPr>
      </w:pPr>
      <w:r>
        <w:rPr>
          <w:rFonts w:hint="eastAsia"/>
          <w:sz w:val="30"/>
          <w:szCs w:val="30"/>
        </w:rPr>
        <w:t>So then, while Israel’s experience of God’s plan was distinct from that of the Church, the plan itself was the same for both.</w:t>
      </w:r>
    </w:p>
    <w:p w14:paraId="1AD3BBDD">
      <w:pPr>
        <w:pStyle w:val="9"/>
        <w:spacing w:before="11"/>
        <w:ind w:left="0"/>
        <w:jc w:val="left"/>
        <w:rPr>
          <w:rFonts w:hint="eastAsia"/>
          <w:sz w:val="30"/>
          <w:szCs w:val="30"/>
        </w:rPr>
      </w:pPr>
      <w:r>
        <w:rPr>
          <w:rFonts w:hint="eastAsia"/>
          <w:sz w:val="30"/>
          <w:szCs w:val="30"/>
        </w:rPr>
        <w:t>那么，虽然以色列对上帝计划的经历与教会的经历有别，但计划本身对两者是相同的。</w:t>
      </w:r>
    </w:p>
    <w:p w14:paraId="52C2F025">
      <w:pPr>
        <w:pStyle w:val="9"/>
        <w:spacing w:before="11"/>
        <w:ind w:left="0"/>
        <w:jc w:val="left"/>
        <w:rPr>
          <w:rFonts w:hint="eastAsia"/>
          <w:sz w:val="30"/>
          <w:szCs w:val="30"/>
        </w:rPr>
      </w:pPr>
    </w:p>
    <w:p w14:paraId="3914A39D">
      <w:pPr>
        <w:pStyle w:val="9"/>
        <w:spacing w:before="11"/>
        <w:ind w:left="0"/>
        <w:jc w:val="left"/>
        <w:rPr>
          <w:rFonts w:hint="eastAsia"/>
          <w:sz w:val="30"/>
          <w:szCs w:val="30"/>
        </w:rPr>
      </w:pPr>
      <w:r>
        <w:rPr>
          <w:rFonts w:hint="eastAsia"/>
          <w:sz w:val="30"/>
          <w:szCs w:val="30"/>
        </w:rPr>
        <w:t>God has always had but one purpose and one plan—whether for his Old Testament saints or his New —and it is this: That they should become parties to the Eternal Covenant of Grace, and in so doing become members of the eternal Body of his Son, the Church.</w:t>
      </w:r>
    </w:p>
    <w:p w14:paraId="7083F9E5">
      <w:pPr>
        <w:pStyle w:val="9"/>
        <w:spacing w:before="11"/>
        <w:ind w:left="0"/>
        <w:jc w:val="left"/>
        <w:rPr>
          <w:rFonts w:hint="eastAsia"/>
          <w:sz w:val="30"/>
          <w:szCs w:val="30"/>
        </w:rPr>
      </w:pPr>
      <w:r>
        <w:rPr>
          <w:rFonts w:hint="eastAsia"/>
          <w:sz w:val="30"/>
          <w:szCs w:val="30"/>
        </w:rPr>
        <w:t>上帝一直只有一个旨意和一个计划——无论是对祂的旧约圣徒还是新约圣徒——那就是：他们应当成为永恒恩典之约的一方，并藉此成为祂儿子永恒身体，即教会的成员。</w:t>
      </w:r>
    </w:p>
    <w:p w14:paraId="260CD1D1">
      <w:pPr>
        <w:pStyle w:val="9"/>
        <w:spacing w:before="11"/>
        <w:ind w:left="0"/>
        <w:jc w:val="left"/>
        <w:rPr>
          <w:rFonts w:hint="eastAsia"/>
          <w:sz w:val="30"/>
          <w:szCs w:val="30"/>
        </w:rPr>
      </w:pPr>
    </w:p>
    <w:p w14:paraId="1E9248DB">
      <w:pPr>
        <w:pStyle w:val="9"/>
        <w:spacing w:before="11"/>
        <w:ind w:left="0"/>
        <w:jc w:val="left"/>
        <w:rPr>
          <w:rFonts w:hint="eastAsia"/>
          <w:sz w:val="30"/>
          <w:szCs w:val="30"/>
        </w:rPr>
      </w:pPr>
      <w:r>
        <w:rPr>
          <w:rFonts w:hint="eastAsia"/>
          <w:sz w:val="30"/>
          <w:szCs w:val="30"/>
        </w:rPr>
        <w:t>This brings us to our third and final point, namely, that in the Era of Promise and Preparation, God prophetically pictured the Church in different ways at different times.</w:t>
      </w:r>
    </w:p>
    <w:p w14:paraId="55D63B4D">
      <w:pPr>
        <w:pStyle w:val="9"/>
        <w:spacing w:before="11"/>
        <w:ind w:left="0"/>
        <w:jc w:val="left"/>
        <w:rPr>
          <w:rFonts w:hint="eastAsia"/>
          <w:sz w:val="30"/>
          <w:szCs w:val="30"/>
        </w:rPr>
      </w:pPr>
      <w:r>
        <w:rPr>
          <w:rFonts w:hint="eastAsia"/>
          <w:sz w:val="30"/>
          <w:szCs w:val="30"/>
        </w:rPr>
        <w:t>这就引出了我们的第三个也是最后一个要点，即，在应许与预备的时代，上帝在不同时间以不同方式预言性地描绘了教会。</w:t>
      </w:r>
    </w:p>
    <w:p w14:paraId="40C93D59">
      <w:pPr>
        <w:pStyle w:val="9"/>
        <w:spacing w:before="11"/>
        <w:ind w:left="0"/>
        <w:jc w:val="left"/>
        <w:rPr>
          <w:rFonts w:hint="eastAsia"/>
          <w:sz w:val="30"/>
          <w:szCs w:val="30"/>
        </w:rPr>
      </w:pPr>
    </w:p>
    <w:p w14:paraId="38248438">
      <w:pPr>
        <w:pStyle w:val="9"/>
        <w:spacing w:before="11"/>
        <w:ind w:left="0"/>
        <w:jc w:val="left"/>
        <w:rPr>
          <w:rFonts w:hint="eastAsia"/>
          <w:sz w:val="30"/>
          <w:szCs w:val="30"/>
        </w:rPr>
      </w:pPr>
      <w:r>
        <w:rPr>
          <w:rFonts w:hint="eastAsia"/>
          <w:sz w:val="30"/>
          <w:szCs w:val="30"/>
        </w:rPr>
        <w:t>Please consider this point carefully, for it is easily misunderstood.</w:t>
      </w:r>
    </w:p>
    <w:p w14:paraId="2E98A87B">
      <w:pPr>
        <w:pStyle w:val="9"/>
        <w:spacing w:before="11"/>
        <w:ind w:left="0"/>
        <w:jc w:val="left"/>
        <w:rPr>
          <w:rFonts w:hint="eastAsia"/>
          <w:sz w:val="30"/>
          <w:szCs w:val="30"/>
        </w:rPr>
      </w:pPr>
      <w:r>
        <w:rPr>
          <w:rFonts w:hint="eastAsia"/>
          <w:sz w:val="30"/>
          <w:szCs w:val="30"/>
        </w:rPr>
        <w:t>请仔细考虑这一点，因为它很容易被误解。</w:t>
      </w:r>
    </w:p>
    <w:p w14:paraId="1292DC47">
      <w:pPr>
        <w:pStyle w:val="9"/>
        <w:spacing w:before="11"/>
        <w:ind w:left="0"/>
        <w:jc w:val="left"/>
        <w:rPr>
          <w:rFonts w:hint="eastAsia"/>
          <w:sz w:val="30"/>
          <w:szCs w:val="30"/>
        </w:rPr>
      </w:pPr>
    </w:p>
    <w:p w14:paraId="0CC4E8F1">
      <w:pPr>
        <w:pStyle w:val="9"/>
        <w:spacing w:before="11"/>
        <w:ind w:left="0"/>
        <w:jc w:val="left"/>
        <w:rPr>
          <w:rFonts w:hint="eastAsia"/>
          <w:sz w:val="30"/>
          <w:szCs w:val="30"/>
        </w:rPr>
      </w:pPr>
      <w:r>
        <w:rPr>
          <w:rFonts w:hint="eastAsia"/>
          <w:sz w:val="30"/>
          <w:szCs w:val="30"/>
        </w:rPr>
        <w:t>It is not that Christ and the apostles simply decided to use various OT images of the people of God to picture the Church.</w:t>
      </w:r>
    </w:p>
    <w:p w14:paraId="455C977F">
      <w:pPr>
        <w:pStyle w:val="9"/>
        <w:spacing w:before="11"/>
        <w:ind w:left="0"/>
        <w:jc w:val="left"/>
        <w:rPr>
          <w:rFonts w:hint="eastAsia"/>
          <w:sz w:val="30"/>
          <w:szCs w:val="30"/>
        </w:rPr>
      </w:pPr>
      <w:r>
        <w:rPr>
          <w:rFonts w:hint="eastAsia"/>
          <w:sz w:val="30"/>
          <w:szCs w:val="30"/>
        </w:rPr>
        <w:t>并不是基督和使徒们简单地决定使用各种旧约中上帝子民的意象来描绘教会。</w:t>
      </w:r>
    </w:p>
    <w:p w14:paraId="34370F31">
      <w:pPr>
        <w:pStyle w:val="9"/>
        <w:spacing w:before="11"/>
        <w:ind w:left="0"/>
        <w:jc w:val="left"/>
        <w:rPr>
          <w:rFonts w:hint="eastAsia"/>
          <w:sz w:val="30"/>
          <w:szCs w:val="30"/>
        </w:rPr>
      </w:pPr>
    </w:p>
    <w:p w14:paraId="1B955AA1">
      <w:pPr>
        <w:pStyle w:val="9"/>
        <w:spacing w:before="11"/>
        <w:ind w:left="0"/>
        <w:jc w:val="left"/>
        <w:rPr>
          <w:rFonts w:hint="eastAsia"/>
          <w:sz w:val="30"/>
          <w:szCs w:val="30"/>
        </w:rPr>
      </w:pPr>
      <w:r>
        <w:rPr>
          <w:rFonts w:hint="eastAsia"/>
          <w:sz w:val="30"/>
          <w:szCs w:val="30"/>
        </w:rPr>
        <w:t>No, it is that Christ and the apostles saw those images as divinely appointed vehicles for picturing and pointing ahead to that which would fulfill them in the eschatological era: the Church.</w:t>
      </w:r>
    </w:p>
    <w:p w14:paraId="7338648F">
      <w:pPr>
        <w:pStyle w:val="9"/>
        <w:spacing w:before="11"/>
        <w:ind w:left="0"/>
        <w:jc w:val="left"/>
        <w:rPr>
          <w:rFonts w:hint="eastAsia"/>
          <w:sz w:val="30"/>
          <w:szCs w:val="30"/>
        </w:rPr>
      </w:pPr>
      <w:r>
        <w:rPr>
          <w:rFonts w:hint="eastAsia"/>
          <w:sz w:val="30"/>
          <w:szCs w:val="30"/>
        </w:rPr>
        <w:t>不，是基督和使徒们将那些意象视为神所指定的载体，用以描绘并指向在末世时代将成全它们的事物：即教会。</w:t>
      </w:r>
    </w:p>
    <w:p w14:paraId="377CFC06">
      <w:pPr>
        <w:pStyle w:val="9"/>
        <w:spacing w:before="11"/>
        <w:ind w:left="0"/>
        <w:jc w:val="left"/>
        <w:rPr>
          <w:rFonts w:hint="eastAsia"/>
          <w:sz w:val="30"/>
          <w:szCs w:val="30"/>
        </w:rPr>
      </w:pPr>
    </w:p>
    <w:p w14:paraId="41FE47F6">
      <w:pPr>
        <w:pStyle w:val="9"/>
        <w:spacing w:before="11"/>
        <w:ind w:left="0"/>
        <w:jc w:val="left"/>
        <w:rPr>
          <w:rFonts w:hint="eastAsia"/>
          <w:sz w:val="30"/>
          <w:szCs w:val="30"/>
        </w:rPr>
      </w:pPr>
      <w:r>
        <w:rPr>
          <w:rFonts w:hint="eastAsia"/>
          <w:sz w:val="30"/>
          <w:szCs w:val="30"/>
        </w:rPr>
        <w:t>There is a world of difference between these two perspectives, and a world of trouble if we fail to see it!</w:t>
      </w:r>
    </w:p>
    <w:p w14:paraId="28BEF588">
      <w:pPr>
        <w:pStyle w:val="9"/>
        <w:spacing w:before="11"/>
        <w:ind w:left="0"/>
        <w:jc w:val="left"/>
        <w:rPr>
          <w:rFonts w:hint="eastAsia"/>
          <w:sz w:val="30"/>
          <w:szCs w:val="30"/>
        </w:rPr>
      </w:pPr>
      <w:r>
        <w:rPr>
          <w:rFonts w:hint="eastAsia"/>
          <w:sz w:val="30"/>
          <w:szCs w:val="30"/>
        </w:rPr>
        <w:t>这两种观点之间有天壤之别，如果我们看不到，就会有无穷的麻烦！</w:t>
      </w:r>
    </w:p>
    <w:p w14:paraId="7D5E4041">
      <w:pPr>
        <w:pStyle w:val="9"/>
        <w:spacing w:before="11"/>
        <w:ind w:left="0"/>
        <w:jc w:val="left"/>
        <w:rPr>
          <w:rFonts w:hint="eastAsia"/>
          <w:sz w:val="30"/>
          <w:szCs w:val="30"/>
        </w:rPr>
      </w:pPr>
    </w:p>
    <w:p w14:paraId="089F4FF8">
      <w:pPr>
        <w:pStyle w:val="9"/>
        <w:spacing w:before="11"/>
        <w:ind w:left="0"/>
        <w:jc w:val="left"/>
        <w:rPr>
          <w:rFonts w:hint="eastAsia"/>
          <w:sz w:val="30"/>
          <w:szCs w:val="30"/>
        </w:rPr>
      </w:pPr>
      <w:r>
        <w:rPr>
          <w:rFonts w:hint="eastAsia"/>
          <w:sz w:val="30"/>
          <w:szCs w:val="30"/>
        </w:rPr>
        <w:t>In our earlier discussion of the Eternal Covenant and its several administrations we examined the theological foundation for this mode of seeing; for the ecclesiological perspective on the OT people of God.</w:t>
      </w:r>
    </w:p>
    <w:p w14:paraId="70BD2429">
      <w:pPr>
        <w:pStyle w:val="9"/>
        <w:spacing w:before="11"/>
        <w:ind w:left="0"/>
        <w:jc w:val="left"/>
        <w:rPr>
          <w:rFonts w:hint="eastAsia"/>
          <w:sz w:val="30"/>
          <w:szCs w:val="30"/>
        </w:rPr>
      </w:pPr>
      <w:r>
        <w:rPr>
          <w:rFonts w:hint="eastAsia"/>
          <w:sz w:val="30"/>
          <w:szCs w:val="30"/>
        </w:rPr>
        <w:t>在我们早些时候对永恒之约及其几次施行的讨论中，我们考察了这种看见模式的神学基础；即对旧约上帝子民的教会论视角。</w:t>
      </w:r>
    </w:p>
    <w:p w14:paraId="6540120D">
      <w:pPr>
        <w:pStyle w:val="9"/>
        <w:spacing w:before="11"/>
        <w:ind w:left="0"/>
        <w:jc w:val="left"/>
        <w:rPr>
          <w:rFonts w:hint="eastAsia"/>
          <w:sz w:val="30"/>
          <w:szCs w:val="30"/>
        </w:rPr>
      </w:pPr>
    </w:p>
    <w:p w14:paraId="65C6EDBD">
      <w:pPr>
        <w:pStyle w:val="9"/>
        <w:spacing w:before="11"/>
        <w:ind w:left="0"/>
        <w:jc w:val="left"/>
        <w:rPr>
          <w:rFonts w:hint="eastAsia"/>
          <w:sz w:val="30"/>
          <w:szCs w:val="30"/>
        </w:rPr>
      </w:pPr>
      <w:r>
        <w:rPr>
          <w:rFonts w:hint="eastAsia"/>
          <w:sz w:val="30"/>
          <w:szCs w:val="30"/>
        </w:rPr>
        <w:t>The gist of it is simple: In OT times God gave veiled, typological revelations of the several elements of the Covenant; in the NT times, he lets us see the elements as they really are, out in broad historical daylight.</w:t>
      </w:r>
    </w:p>
    <w:p w14:paraId="6F971BB6">
      <w:pPr>
        <w:pStyle w:val="9"/>
        <w:spacing w:before="11"/>
        <w:ind w:left="0"/>
        <w:jc w:val="left"/>
        <w:rPr>
          <w:rFonts w:hint="eastAsia"/>
          <w:sz w:val="30"/>
          <w:szCs w:val="30"/>
        </w:rPr>
      </w:pPr>
      <w:r>
        <w:rPr>
          <w:rFonts w:hint="eastAsia"/>
          <w:sz w:val="30"/>
          <w:szCs w:val="30"/>
        </w:rPr>
        <w:t>其要点很简单：在旧约时代，上帝对圣约的几个要素给予了隐藏的、预表性的启示；在新约时代，祂让我们在广阔的历史日光下看到这些要素的真实面貌。</w:t>
      </w:r>
    </w:p>
    <w:p w14:paraId="39BBB69F">
      <w:pPr>
        <w:pStyle w:val="9"/>
        <w:spacing w:before="11"/>
        <w:ind w:left="0"/>
        <w:jc w:val="left"/>
        <w:rPr>
          <w:rFonts w:hint="eastAsia"/>
          <w:sz w:val="30"/>
          <w:szCs w:val="30"/>
        </w:rPr>
      </w:pPr>
    </w:p>
    <w:p w14:paraId="360E02B4">
      <w:pPr>
        <w:pStyle w:val="9"/>
        <w:spacing w:before="11"/>
        <w:ind w:left="0"/>
        <w:jc w:val="left"/>
        <w:rPr>
          <w:rFonts w:hint="eastAsia"/>
          <w:sz w:val="30"/>
          <w:szCs w:val="30"/>
        </w:rPr>
      </w:pPr>
      <w:r>
        <w:rPr>
          <w:rFonts w:hint="eastAsia"/>
          <w:sz w:val="30"/>
          <w:szCs w:val="30"/>
        </w:rPr>
        <w:t>But this truth has an important ecclesiological application.</w:t>
      </w:r>
    </w:p>
    <w:p w14:paraId="02646637">
      <w:pPr>
        <w:pStyle w:val="9"/>
        <w:spacing w:before="11"/>
        <w:ind w:left="0"/>
        <w:jc w:val="left"/>
        <w:rPr>
          <w:rFonts w:hint="eastAsia"/>
          <w:sz w:val="30"/>
          <w:szCs w:val="30"/>
        </w:rPr>
      </w:pPr>
      <w:r>
        <w:rPr>
          <w:rFonts w:hint="eastAsia"/>
          <w:sz w:val="30"/>
          <w:szCs w:val="30"/>
        </w:rPr>
        <w:t>但这个真理有一个重要的教会论应用。</w:t>
      </w:r>
    </w:p>
    <w:p w14:paraId="1E210074">
      <w:pPr>
        <w:pStyle w:val="9"/>
        <w:spacing w:before="11"/>
        <w:ind w:left="0"/>
        <w:jc w:val="left"/>
        <w:rPr>
          <w:rFonts w:hint="eastAsia"/>
          <w:sz w:val="30"/>
          <w:szCs w:val="30"/>
        </w:rPr>
      </w:pPr>
    </w:p>
    <w:p w14:paraId="365F5584">
      <w:pPr>
        <w:pStyle w:val="9"/>
        <w:spacing w:before="11"/>
        <w:ind w:left="0"/>
        <w:jc w:val="left"/>
        <w:rPr>
          <w:rFonts w:hint="eastAsia"/>
          <w:sz w:val="30"/>
          <w:szCs w:val="30"/>
        </w:rPr>
      </w:pPr>
      <w:r>
        <w:rPr>
          <w:rFonts w:hint="eastAsia"/>
          <w:sz w:val="30"/>
          <w:szCs w:val="30"/>
        </w:rPr>
        <w:t>It means that just as in former times God gave veiled revelations of the provision of the Covenant (i.e., Christ), and the promise of the Covenant (i.e., eternal life in a glorious new world), so too he gave veiled, typological revelations of the human parties of the Covenant—the Church.</w:t>
      </w:r>
    </w:p>
    <w:p w14:paraId="5A89AC56">
      <w:pPr>
        <w:pStyle w:val="9"/>
        <w:spacing w:before="11"/>
        <w:ind w:left="0"/>
        <w:jc w:val="left"/>
        <w:rPr>
          <w:rFonts w:hint="eastAsia"/>
          <w:sz w:val="30"/>
          <w:szCs w:val="30"/>
        </w:rPr>
      </w:pPr>
      <w:r>
        <w:rPr>
          <w:rFonts w:hint="eastAsia"/>
          <w:sz w:val="30"/>
          <w:szCs w:val="30"/>
        </w:rPr>
        <w:t>这意味着，正如在从前上帝对圣约的预备（即基督）和圣约的应许（即在一个荣耀的新世界里的永生）给予了隐藏的启示一样，祂也对圣约的人类一方——教会——给予了隐藏的、预表性的启示。</w:t>
      </w:r>
    </w:p>
    <w:p w14:paraId="01095B4D">
      <w:pPr>
        <w:pStyle w:val="9"/>
        <w:spacing w:before="11"/>
        <w:ind w:left="0"/>
        <w:jc w:val="left"/>
        <w:rPr>
          <w:rFonts w:hint="eastAsia"/>
          <w:sz w:val="30"/>
          <w:szCs w:val="30"/>
        </w:rPr>
      </w:pPr>
    </w:p>
    <w:p w14:paraId="1521DCB9">
      <w:pPr>
        <w:pStyle w:val="9"/>
        <w:spacing w:before="11"/>
        <w:ind w:left="0"/>
        <w:jc w:val="left"/>
        <w:rPr>
          <w:rFonts w:hint="eastAsia"/>
          <w:sz w:val="30"/>
          <w:szCs w:val="30"/>
        </w:rPr>
      </w:pPr>
      <w:r>
        <w:rPr>
          <w:rFonts w:hint="eastAsia"/>
          <w:sz w:val="30"/>
          <w:szCs w:val="30"/>
        </w:rPr>
        <w:t>Consider for a moment how lavishly—and creatively—he did so.</w:t>
      </w:r>
    </w:p>
    <w:p w14:paraId="362365FA">
      <w:pPr>
        <w:pStyle w:val="9"/>
        <w:spacing w:before="11"/>
        <w:ind w:left="0"/>
        <w:jc w:val="left"/>
        <w:rPr>
          <w:rFonts w:hint="eastAsia"/>
          <w:sz w:val="30"/>
          <w:szCs w:val="30"/>
        </w:rPr>
      </w:pPr>
      <w:r>
        <w:rPr>
          <w:rFonts w:hint="eastAsia"/>
          <w:sz w:val="30"/>
          <w:szCs w:val="30"/>
        </w:rPr>
        <w:t>请稍作思考，祂是多么慷慨——且富有创造力地——这样做的。</w:t>
      </w:r>
    </w:p>
    <w:p w14:paraId="62367C57">
      <w:pPr>
        <w:pStyle w:val="9"/>
        <w:spacing w:before="11"/>
        <w:ind w:left="0"/>
        <w:jc w:val="left"/>
        <w:rPr>
          <w:rFonts w:hint="eastAsia"/>
          <w:sz w:val="30"/>
          <w:szCs w:val="30"/>
        </w:rPr>
      </w:pPr>
    </w:p>
    <w:p w14:paraId="25B02968">
      <w:pPr>
        <w:pStyle w:val="9"/>
        <w:spacing w:before="11"/>
        <w:ind w:left="0"/>
        <w:jc w:val="left"/>
        <w:rPr>
          <w:rFonts w:hint="eastAsia"/>
          <w:sz w:val="30"/>
          <w:szCs w:val="30"/>
        </w:rPr>
      </w:pPr>
      <w:r>
        <w:rPr>
          <w:rFonts w:hint="eastAsia"/>
          <w:sz w:val="30"/>
          <w:szCs w:val="30"/>
        </w:rPr>
        <w:t>We have seen that in OT times God called Adam, Noah, Abraham, Moses, and their respective families to be parties to the Eternal Covenant.</w:t>
      </w:r>
    </w:p>
    <w:p w14:paraId="1307BDA6">
      <w:pPr>
        <w:pStyle w:val="9"/>
        <w:spacing w:before="11"/>
        <w:ind w:left="0"/>
        <w:jc w:val="left"/>
        <w:rPr>
          <w:rFonts w:hint="eastAsia"/>
          <w:sz w:val="30"/>
          <w:szCs w:val="30"/>
        </w:rPr>
      </w:pPr>
      <w:r>
        <w:rPr>
          <w:rFonts w:hint="eastAsia"/>
          <w:sz w:val="30"/>
          <w:szCs w:val="30"/>
        </w:rPr>
        <w:t>我们已经看到，在旧约时代，上帝呼召亚当、挪亚、亚伯拉罕、摩西以及他们各自的家庭成为永恒之约的一方。</w:t>
      </w:r>
    </w:p>
    <w:p w14:paraId="04677120">
      <w:pPr>
        <w:pStyle w:val="9"/>
        <w:spacing w:before="11"/>
        <w:ind w:left="0"/>
        <w:jc w:val="left"/>
        <w:rPr>
          <w:rFonts w:hint="eastAsia"/>
          <w:sz w:val="30"/>
          <w:szCs w:val="30"/>
        </w:rPr>
      </w:pPr>
    </w:p>
    <w:p w14:paraId="5670A617">
      <w:pPr>
        <w:pStyle w:val="9"/>
        <w:spacing w:before="11"/>
        <w:ind w:left="0"/>
        <w:jc w:val="left"/>
        <w:rPr>
          <w:rFonts w:hint="eastAsia"/>
          <w:sz w:val="30"/>
          <w:szCs w:val="30"/>
        </w:rPr>
      </w:pPr>
      <w:r>
        <w:rPr>
          <w:rFonts w:hint="eastAsia"/>
          <w:sz w:val="30"/>
          <w:szCs w:val="30"/>
        </w:rPr>
        <w:t>But in so doing, he also called them to be pictures of the Church.</w:t>
      </w:r>
    </w:p>
    <w:p w14:paraId="3C500D1D">
      <w:pPr>
        <w:pStyle w:val="9"/>
        <w:spacing w:before="11"/>
        <w:ind w:left="0"/>
        <w:jc w:val="left"/>
        <w:rPr>
          <w:rFonts w:hint="eastAsia"/>
          <w:sz w:val="30"/>
          <w:szCs w:val="30"/>
        </w:rPr>
      </w:pPr>
      <w:r>
        <w:rPr>
          <w:rFonts w:hint="eastAsia"/>
          <w:sz w:val="30"/>
          <w:szCs w:val="30"/>
        </w:rPr>
        <w:t>但这样做，祂也呼召他们成为教会的图画。</w:t>
      </w:r>
    </w:p>
    <w:p w14:paraId="5882C8C2">
      <w:pPr>
        <w:pStyle w:val="9"/>
        <w:spacing w:before="11"/>
        <w:ind w:left="0"/>
        <w:jc w:val="left"/>
        <w:rPr>
          <w:rFonts w:hint="eastAsia"/>
          <w:sz w:val="30"/>
          <w:szCs w:val="30"/>
        </w:rPr>
      </w:pPr>
    </w:p>
    <w:p w14:paraId="28DEA533">
      <w:pPr>
        <w:pStyle w:val="9"/>
        <w:spacing w:before="11"/>
        <w:ind w:left="0"/>
        <w:jc w:val="left"/>
        <w:rPr>
          <w:rFonts w:hint="eastAsia"/>
          <w:sz w:val="30"/>
          <w:szCs w:val="30"/>
        </w:rPr>
      </w:pPr>
      <w:r>
        <w:rPr>
          <w:rFonts w:hint="eastAsia"/>
          <w:sz w:val="30"/>
          <w:szCs w:val="30"/>
        </w:rPr>
        <w:t>And he did not stop there.</w:t>
      </w:r>
    </w:p>
    <w:p w14:paraId="0E111622">
      <w:pPr>
        <w:pStyle w:val="9"/>
        <w:spacing w:before="11"/>
        <w:ind w:left="0"/>
        <w:jc w:val="left"/>
        <w:rPr>
          <w:rFonts w:hint="eastAsia"/>
          <w:sz w:val="30"/>
          <w:szCs w:val="30"/>
        </w:rPr>
      </w:pPr>
      <w:r>
        <w:rPr>
          <w:rFonts w:hint="eastAsia"/>
          <w:sz w:val="30"/>
          <w:szCs w:val="30"/>
        </w:rPr>
        <w:t>祂并没有就此止步。</w:t>
      </w:r>
    </w:p>
    <w:p w14:paraId="51E1B11D">
      <w:pPr>
        <w:pStyle w:val="9"/>
        <w:spacing w:before="11"/>
        <w:ind w:left="0"/>
        <w:jc w:val="left"/>
        <w:rPr>
          <w:rFonts w:hint="eastAsia"/>
          <w:sz w:val="30"/>
          <w:szCs w:val="30"/>
        </w:rPr>
      </w:pPr>
    </w:p>
    <w:p w14:paraId="641EBF80">
      <w:pPr>
        <w:pStyle w:val="9"/>
        <w:spacing w:before="11"/>
        <w:ind w:left="0"/>
        <w:jc w:val="left"/>
        <w:rPr>
          <w:rFonts w:hint="eastAsia"/>
          <w:sz w:val="30"/>
          <w:szCs w:val="30"/>
        </w:rPr>
      </w:pPr>
      <w:r>
        <w:rPr>
          <w:rFonts w:hint="eastAsia"/>
          <w:sz w:val="30"/>
          <w:szCs w:val="30"/>
        </w:rPr>
        <w:t>Mother Eve was also a picture of the Church (Gen. 2:22, Eph. 5:22ff).</w:t>
      </w:r>
    </w:p>
    <w:p w14:paraId="3818DC06">
      <w:pPr>
        <w:pStyle w:val="9"/>
        <w:spacing w:before="11"/>
        <w:ind w:left="0"/>
        <w:jc w:val="left"/>
        <w:rPr>
          <w:rFonts w:hint="eastAsia"/>
          <w:sz w:val="30"/>
          <w:szCs w:val="30"/>
        </w:rPr>
      </w:pPr>
      <w:r>
        <w:rPr>
          <w:rFonts w:hint="eastAsia"/>
          <w:sz w:val="30"/>
          <w:szCs w:val="30"/>
        </w:rPr>
        <w:t>母亲夏娃也是教会的一幅图画（创世记 2:22, 以弗所书 5:22及后文）。</w:t>
      </w:r>
    </w:p>
    <w:p w14:paraId="6E655153">
      <w:pPr>
        <w:pStyle w:val="9"/>
        <w:spacing w:before="11"/>
        <w:ind w:left="0"/>
        <w:jc w:val="left"/>
        <w:rPr>
          <w:rFonts w:hint="eastAsia"/>
          <w:sz w:val="30"/>
          <w:szCs w:val="30"/>
        </w:rPr>
      </w:pPr>
    </w:p>
    <w:p w14:paraId="58FBB2CE">
      <w:pPr>
        <w:pStyle w:val="9"/>
        <w:spacing w:before="11"/>
        <w:ind w:left="0"/>
        <w:jc w:val="left"/>
        <w:rPr>
          <w:rFonts w:hint="eastAsia"/>
          <w:sz w:val="30"/>
          <w:szCs w:val="30"/>
        </w:rPr>
      </w:pPr>
      <w:r>
        <w:rPr>
          <w:rFonts w:hint="eastAsia"/>
          <w:sz w:val="30"/>
          <w:szCs w:val="30"/>
        </w:rPr>
        <w:t>Her seed was a picture of (Christ and) the Church (Gen. 3:15, Rom. 16:20).</w:t>
      </w:r>
    </w:p>
    <w:p w14:paraId="505FA52D">
      <w:pPr>
        <w:pStyle w:val="9"/>
        <w:spacing w:before="11"/>
        <w:ind w:left="0"/>
        <w:jc w:val="left"/>
        <w:rPr>
          <w:rFonts w:hint="eastAsia"/>
          <w:sz w:val="30"/>
          <w:szCs w:val="30"/>
        </w:rPr>
      </w:pPr>
      <w:r>
        <w:rPr>
          <w:rFonts w:hint="eastAsia"/>
          <w:sz w:val="30"/>
          <w:szCs w:val="30"/>
        </w:rPr>
        <w:t>她的后裔是（基督和）教会的一幅图画（创世记 3:15, 罗马书 16:20）。</w:t>
      </w:r>
    </w:p>
    <w:p w14:paraId="0642721A">
      <w:pPr>
        <w:pStyle w:val="9"/>
        <w:spacing w:before="11"/>
        <w:ind w:left="0"/>
        <w:jc w:val="left"/>
        <w:rPr>
          <w:rFonts w:hint="eastAsia"/>
          <w:sz w:val="30"/>
          <w:szCs w:val="30"/>
        </w:rPr>
      </w:pPr>
    </w:p>
    <w:p w14:paraId="6AEA36C1">
      <w:pPr>
        <w:pStyle w:val="9"/>
        <w:spacing w:before="11"/>
        <w:ind w:left="0"/>
        <w:jc w:val="left"/>
        <w:rPr>
          <w:rFonts w:hint="eastAsia"/>
          <w:sz w:val="30"/>
          <w:szCs w:val="30"/>
        </w:rPr>
      </w:pPr>
      <w:r>
        <w:rPr>
          <w:rFonts w:hint="eastAsia"/>
          <w:sz w:val="30"/>
          <w:szCs w:val="30"/>
        </w:rPr>
        <w:t>The pious descendants of Seth—the sons of God who called on the Name of the LORD—were a picture of the Church (Gen. 4:26, 6:2, Rom. 10:12-15, 1 Cor. 1:2).</w:t>
      </w:r>
    </w:p>
    <w:p w14:paraId="2ED1B5DA">
      <w:pPr>
        <w:pStyle w:val="9"/>
        <w:spacing w:before="11"/>
        <w:ind w:left="0"/>
        <w:jc w:val="left"/>
        <w:rPr>
          <w:rFonts w:hint="eastAsia"/>
          <w:sz w:val="30"/>
          <w:szCs w:val="30"/>
        </w:rPr>
      </w:pPr>
      <w:r>
        <w:rPr>
          <w:rFonts w:hint="eastAsia"/>
          <w:sz w:val="30"/>
          <w:szCs w:val="30"/>
        </w:rPr>
        <w:t>塞特的敬虔后裔——那些求告耶和华名的上帝之子——是教会的一幅图画（创世记 4:26, 6:2, 罗马书 10:12-15, 哥林多前书 1:2）。</w:t>
      </w:r>
    </w:p>
    <w:p w14:paraId="217C7532">
      <w:pPr>
        <w:pStyle w:val="9"/>
        <w:spacing w:before="11"/>
        <w:ind w:left="0"/>
        <w:jc w:val="left"/>
        <w:rPr>
          <w:rFonts w:hint="eastAsia"/>
          <w:sz w:val="30"/>
          <w:szCs w:val="30"/>
        </w:rPr>
      </w:pPr>
    </w:p>
    <w:p w14:paraId="3DCE0C27">
      <w:pPr>
        <w:pStyle w:val="9"/>
        <w:spacing w:before="11"/>
        <w:ind w:left="0"/>
        <w:jc w:val="left"/>
        <w:rPr>
          <w:rFonts w:hint="eastAsia"/>
          <w:sz w:val="30"/>
          <w:szCs w:val="30"/>
        </w:rPr>
      </w:pPr>
      <w:r>
        <w:rPr>
          <w:rFonts w:hint="eastAsia"/>
          <w:sz w:val="30"/>
          <w:szCs w:val="30"/>
        </w:rPr>
        <w:t>Lot and his daughters were a (very faint) picture of the Church (Gen. 19:16, Luke 17:32, 1 Thess. 1:10).</w:t>
      </w:r>
    </w:p>
    <w:p w14:paraId="474F123D">
      <w:pPr>
        <w:pStyle w:val="9"/>
        <w:spacing w:before="11"/>
        <w:ind w:left="0"/>
        <w:jc w:val="left"/>
        <w:rPr>
          <w:rFonts w:hint="eastAsia"/>
          <w:sz w:val="30"/>
          <w:szCs w:val="30"/>
        </w:rPr>
      </w:pPr>
      <w:r>
        <w:rPr>
          <w:rFonts w:hint="eastAsia"/>
          <w:sz w:val="30"/>
          <w:szCs w:val="30"/>
        </w:rPr>
        <w:t>罗得和他的女儿们是教会的一幅（非常模糊的）图画（创世记 19:16, 路加福音 17:32, 帖撒罗尼迦前书 1:10）。</w:t>
      </w:r>
    </w:p>
    <w:p w14:paraId="63956CD7">
      <w:pPr>
        <w:pStyle w:val="9"/>
        <w:spacing w:before="11"/>
        <w:ind w:left="0"/>
        <w:jc w:val="left"/>
        <w:rPr>
          <w:rFonts w:hint="eastAsia"/>
          <w:sz w:val="30"/>
          <w:szCs w:val="30"/>
        </w:rPr>
      </w:pPr>
    </w:p>
    <w:p w14:paraId="25D967AF">
      <w:pPr>
        <w:pStyle w:val="9"/>
        <w:spacing w:before="11"/>
        <w:ind w:left="0"/>
        <w:jc w:val="left"/>
        <w:rPr>
          <w:rFonts w:hint="eastAsia"/>
          <w:sz w:val="30"/>
          <w:szCs w:val="30"/>
        </w:rPr>
      </w:pPr>
      <w:r>
        <w:rPr>
          <w:rFonts w:hint="eastAsia"/>
          <w:sz w:val="30"/>
          <w:szCs w:val="30"/>
        </w:rPr>
        <w:t>The Levites—who had the LORD for their inheritance—were a picture of the Church (Deut. 18:1-2, 1 Peter. 2:5, 9).</w:t>
      </w:r>
    </w:p>
    <w:p w14:paraId="10FA4A96">
      <w:pPr>
        <w:pStyle w:val="9"/>
        <w:spacing w:before="11"/>
        <w:ind w:left="0"/>
        <w:jc w:val="left"/>
        <w:rPr>
          <w:rFonts w:hint="eastAsia"/>
          <w:sz w:val="30"/>
          <w:szCs w:val="30"/>
        </w:rPr>
      </w:pPr>
      <w:r>
        <w:rPr>
          <w:rFonts w:hint="eastAsia"/>
          <w:sz w:val="30"/>
          <w:szCs w:val="30"/>
        </w:rPr>
        <w:t>利未人——他们以耶和华为他们的产业——是教会的一幅图画（申命记 18:1-2, 彼得前书 2:5, 9）。</w:t>
      </w:r>
    </w:p>
    <w:p w14:paraId="3792C38F">
      <w:pPr>
        <w:pStyle w:val="9"/>
        <w:spacing w:before="11"/>
        <w:ind w:left="0"/>
        <w:jc w:val="left"/>
        <w:rPr>
          <w:rFonts w:hint="eastAsia"/>
          <w:sz w:val="30"/>
          <w:szCs w:val="30"/>
        </w:rPr>
      </w:pPr>
    </w:p>
    <w:p w14:paraId="47196BC9">
      <w:pPr>
        <w:pStyle w:val="9"/>
        <w:spacing w:before="11"/>
        <w:ind w:left="0"/>
        <w:jc w:val="left"/>
        <w:rPr>
          <w:rFonts w:hint="eastAsia"/>
          <w:sz w:val="30"/>
          <w:szCs w:val="30"/>
        </w:rPr>
      </w:pPr>
      <w:r>
        <w:rPr>
          <w:rFonts w:hint="eastAsia"/>
          <w:sz w:val="30"/>
          <w:szCs w:val="30"/>
        </w:rPr>
        <w:t>The house of Obed-Edom, blessed because of the presence of the Ark of the Covenant within, was a picture of Church (2 Sam. 10-11, Eph. 1:3).</w:t>
      </w:r>
    </w:p>
    <w:p w14:paraId="4BC6B926">
      <w:pPr>
        <w:pStyle w:val="9"/>
        <w:spacing w:before="11"/>
        <w:ind w:left="0"/>
        <w:jc w:val="left"/>
        <w:rPr>
          <w:rFonts w:hint="eastAsia"/>
          <w:sz w:val="30"/>
          <w:szCs w:val="30"/>
        </w:rPr>
      </w:pPr>
      <w:r>
        <w:rPr>
          <w:rFonts w:hint="eastAsia"/>
          <w:sz w:val="30"/>
          <w:szCs w:val="30"/>
        </w:rPr>
        <w:t>俄别以东的家，因约柜在其内而蒙福，是教会的一幅图画（撒母耳记下 6:10-11, 以弗所书 1:3）。</w:t>
      </w:r>
    </w:p>
    <w:p w14:paraId="49EF422E">
      <w:pPr>
        <w:pStyle w:val="9"/>
        <w:spacing w:before="11"/>
        <w:ind w:left="0"/>
        <w:jc w:val="left"/>
        <w:rPr>
          <w:rFonts w:hint="eastAsia"/>
          <w:sz w:val="30"/>
          <w:szCs w:val="30"/>
        </w:rPr>
      </w:pPr>
    </w:p>
    <w:p w14:paraId="119D67EC">
      <w:pPr>
        <w:pStyle w:val="9"/>
        <w:spacing w:before="11"/>
        <w:ind w:left="0"/>
        <w:jc w:val="left"/>
        <w:rPr>
          <w:rFonts w:hint="eastAsia"/>
          <w:sz w:val="30"/>
          <w:szCs w:val="30"/>
        </w:rPr>
      </w:pPr>
      <w:r>
        <w:rPr>
          <w:rFonts w:hint="eastAsia"/>
          <w:sz w:val="30"/>
          <w:szCs w:val="30"/>
        </w:rPr>
        <w:t>Israel’s prophets were a picture of the Church (Num. 11:29, Acts 2:17, Rev. 11:3f).</w:t>
      </w:r>
    </w:p>
    <w:p w14:paraId="4FC3BCBE">
      <w:pPr>
        <w:pStyle w:val="9"/>
        <w:spacing w:before="11"/>
        <w:ind w:left="0"/>
        <w:jc w:val="left"/>
        <w:rPr>
          <w:rFonts w:hint="eastAsia"/>
          <w:sz w:val="30"/>
          <w:szCs w:val="30"/>
        </w:rPr>
      </w:pPr>
      <w:r>
        <w:rPr>
          <w:rFonts w:hint="eastAsia"/>
          <w:sz w:val="30"/>
          <w:szCs w:val="30"/>
        </w:rPr>
        <w:t>以色列的先知是教会的一幅图画（民数记 11:29, 使徒行传 2:17, 启示录 11:3及后文）。</w:t>
      </w:r>
    </w:p>
    <w:p w14:paraId="09A984A5">
      <w:pPr>
        <w:pStyle w:val="9"/>
        <w:spacing w:before="11"/>
        <w:ind w:left="0"/>
        <w:jc w:val="left"/>
        <w:rPr>
          <w:rFonts w:hint="eastAsia"/>
          <w:sz w:val="30"/>
          <w:szCs w:val="30"/>
        </w:rPr>
      </w:pPr>
    </w:p>
    <w:p w14:paraId="1FE3ED36">
      <w:pPr>
        <w:pStyle w:val="9"/>
        <w:spacing w:before="11"/>
        <w:ind w:left="0"/>
        <w:jc w:val="left"/>
        <w:rPr>
          <w:rFonts w:hint="eastAsia"/>
          <w:sz w:val="30"/>
          <w:szCs w:val="30"/>
        </w:rPr>
      </w:pPr>
      <w:r>
        <w:rPr>
          <w:rFonts w:hint="eastAsia"/>
          <w:sz w:val="30"/>
          <w:szCs w:val="30"/>
        </w:rPr>
        <w:t>The dynasty of David was a picture of the Church (2 Sam. 7:11, 16, Acts 15:13-21).</w:t>
      </w:r>
    </w:p>
    <w:p w14:paraId="6536F689">
      <w:pPr>
        <w:pStyle w:val="9"/>
        <w:spacing w:before="11"/>
        <w:ind w:left="0"/>
        <w:jc w:val="left"/>
        <w:rPr>
          <w:rFonts w:hint="eastAsia"/>
          <w:sz w:val="30"/>
          <w:szCs w:val="30"/>
        </w:rPr>
      </w:pPr>
      <w:r>
        <w:rPr>
          <w:rFonts w:hint="eastAsia"/>
          <w:sz w:val="30"/>
          <w:szCs w:val="30"/>
        </w:rPr>
        <w:t>大卫的王朝是教会的一幅图画（撒母耳记下 7:11, 16, 使徒行传 15:13-21）。</w:t>
      </w:r>
    </w:p>
    <w:p w14:paraId="558AF194">
      <w:pPr>
        <w:pStyle w:val="9"/>
        <w:spacing w:before="11"/>
        <w:ind w:left="0"/>
        <w:jc w:val="left"/>
        <w:rPr>
          <w:rFonts w:hint="eastAsia"/>
          <w:sz w:val="30"/>
          <w:szCs w:val="30"/>
        </w:rPr>
      </w:pPr>
    </w:p>
    <w:p w14:paraId="6D276776">
      <w:pPr>
        <w:pStyle w:val="9"/>
        <w:spacing w:before="11"/>
        <w:ind w:left="0"/>
        <w:jc w:val="left"/>
        <w:rPr>
          <w:rFonts w:hint="eastAsia"/>
          <w:sz w:val="30"/>
          <w:szCs w:val="30"/>
        </w:rPr>
      </w:pPr>
      <w:r>
        <w:rPr>
          <w:rFonts w:hint="eastAsia"/>
          <w:sz w:val="30"/>
          <w:szCs w:val="30"/>
        </w:rPr>
        <w:t>David’s mighty men—who resorted to the King in his stronghold in the wilderness—were a picture of the Church (1 Chron. 12:1f, 2 Tim. 2:3-4).</w:t>
      </w:r>
    </w:p>
    <w:p w14:paraId="2C1304F3">
      <w:pPr>
        <w:pStyle w:val="9"/>
        <w:spacing w:before="11"/>
        <w:ind w:left="0"/>
        <w:jc w:val="left"/>
        <w:rPr>
          <w:rFonts w:hint="eastAsia"/>
          <w:sz w:val="30"/>
          <w:szCs w:val="30"/>
        </w:rPr>
      </w:pPr>
      <w:r>
        <w:rPr>
          <w:rFonts w:hint="eastAsia"/>
          <w:sz w:val="30"/>
          <w:szCs w:val="30"/>
        </w:rPr>
        <w:t>大卫的勇士们——他们在旷野的山寨中投奔君王——是教会的一幅图画（历代志上 12:1及后文, 提摩太后书 2:3-4）。</w:t>
      </w:r>
    </w:p>
    <w:p w14:paraId="34DC07DF">
      <w:pPr>
        <w:pStyle w:val="9"/>
        <w:spacing w:before="11"/>
        <w:ind w:left="0"/>
        <w:jc w:val="left"/>
        <w:rPr>
          <w:rFonts w:hint="eastAsia"/>
          <w:sz w:val="30"/>
          <w:szCs w:val="30"/>
        </w:rPr>
      </w:pPr>
    </w:p>
    <w:p w14:paraId="53660D63">
      <w:pPr>
        <w:pStyle w:val="9"/>
        <w:spacing w:before="11"/>
        <w:ind w:left="0"/>
        <w:jc w:val="left"/>
        <w:rPr>
          <w:rFonts w:hint="eastAsia"/>
          <w:sz w:val="30"/>
          <w:szCs w:val="30"/>
        </w:rPr>
      </w:pPr>
      <w:r>
        <w:rPr>
          <w:rFonts w:hint="eastAsia"/>
          <w:sz w:val="30"/>
          <w:szCs w:val="30"/>
        </w:rPr>
        <w:t>One could continue, but the point is clear: OT individuals or communities that, by faith in some emblem of Christ, were destined to become actual members of his Church, also served—naturally enough—as prophetic pictures of the Church.</w:t>
      </w:r>
    </w:p>
    <w:p w14:paraId="40E6B8C9">
      <w:pPr>
        <w:pStyle w:val="9"/>
        <w:spacing w:before="11"/>
        <w:ind w:left="0"/>
        <w:jc w:val="left"/>
        <w:rPr>
          <w:rFonts w:hint="eastAsia"/>
          <w:sz w:val="30"/>
          <w:szCs w:val="30"/>
        </w:rPr>
      </w:pPr>
      <w:r>
        <w:rPr>
          <w:rFonts w:hint="eastAsia"/>
          <w:sz w:val="30"/>
          <w:szCs w:val="30"/>
        </w:rPr>
        <w:t>可以继续列举，但重点是清楚的：旧约中那些凭着对基督某种象征的信心，注定要成为祂教会实际成员的个人或群体，也——很自然地——作为教会的预言性图画而存在。</w:t>
      </w:r>
    </w:p>
    <w:p w14:paraId="57829CB9">
      <w:pPr>
        <w:pStyle w:val="9"/>
        <w:spacing w:before="11"/>
        <w:ind w:left="0"/>
        <w:jc w:val="left"/>
        <w:rPr>
          <w:rFonts w:hint="eastAsia"/>
          <w:sz w:val="30"/>
          <w:szCs w:val="30"/>
        </w:rPr>
      </w:pPr>
    </w:p>
    <w:p w14:paraId="3BE30151">
      <w:pPr>
        <w:pStyle w:val="9"/>
        <w:spacing w:before="11"/>
        <w:ind w:left="0"/>
        <w:jc w:val="left"/>
        <w:rPr>
          <w:rFonts w:hint="eastAsia"/>
          <w:sz w:val="30"/>
          <w:szCs w:val="30"/>
        </w:rPr>
      </w:pPr>
      <w:r>
        <w:rPr>
          <w:rFonts w:hint="eastAsia"/>
          <w:sz w:val="30"/>
          <w:szCs w:val="30"/>
        </w:rPr>
        <w:t>It is astonishing to see how fulsomely the apostles draw upon those pictures to describe the NT people of God.</w:t>
      </w:r>
    </w:p>
    <w:p w14:paraId="02C7919B">
      <w:pPr>
        <w:pStyle w:val="9"/>
        <w:spacing w:before="11"/>
        <w:ind w:left="0"/>
        <w:jc w:val="left"/>
        <w:rPr>
          <w:rFonts w:hint="eastAsia"/>
          <w:sz w:val="30"/>
          <w:szCs w:val="30"/>
        </w:rPr>
      </w:pPr>
      <w:r>
        <w:rPr>
          <w:rFonts w:hint="eastAsia"/>
          <w:sz w:val="30"/>
          <w:szCs w:val="30"/>
        </w:rPr>
        <w:t>看到使徒们如何如此充分地利用那些图画来描述新约的上帝子民，是令人惊奇的。</w:t>
      </w:r>
    </w:p>
    <w:p w14:paraId="72600656">
      <w:pPr>
        <w:pStyle w:val="9"/>
        <w:spacing w:before="11"/>
        <w:ind w:left="0"/>
        <w:jc w:val="left"/>
        <w:rPr>
          <w:rFonts w:hint="eastAsia"/>
          <w:sz w:val="30"/>
          <w:szCs w:val="30"/>
        </w:rPr>
      </w:pPr>
    </w:p>
    <w:p w14:paraId="1321668D">
      <w:pPr>
        <w:pStyle w:val="9"/>
        <w:spacing w:before="11"/>
        <w:ind w:left="0"/>
        <w:jc w:val="left"/>
        <w:rPr>
          <w:rFonts w:hint="eastAsia"/>
          <w:sz w:val="30"/>
          <w:szCs w:val="30"/>
        </w:rPr>
      </w:pPr>
      <w:r>
        <w:rPr>
          <w:rFonts w:hint="eastAsia"/>
          <w:sz w:val="30"/>
          <w:szCs w:val="30"/>
        </w:rPr>
        <w:t>One of the most impressive examples is found in 1 Peter 2:4-11.</w:t>
      </w:r>
    </w:p>
    <w:p w14:paraId="7E8E8BB6">
      <w:pPr>
        <w:pStyle w:val="9"/>
        <w:spacing w:before="11"/>
        <w:ind w:left="0"/>
        <w:jc w:val="left"/>
        <w:rPr>
          <w:rFonts w:hint="eastAsia"/>
          <w:sz w:val="30"/>
          <w:szCs w:val="30"/>
        </w:rPr>
      </w:pPr>
      <w:r>
        <w:rPr>
          <w:rFonts w:hint="eastAsia"/>
          <w:sz w:val="30"/>
          <w:szCs w:val="30"/>
        </w:rPr>
        <w:t>其中最令人印象深刻的例子之一见于彼得前书 2:4-11。</w:t>
      </w:r>
    </w:p>
    <w:p w14:paraId="234FF238">
      <w:pPr>
        <w:pStyle w:val="9"/>
        <w:spacing w:before="11"/>
        <w:ind w:left="0"/>
        <w:jc w:val="left"/>
        <w:rPr>
          <w:rFonts w:hint="eastAsia"/>
          <w:sz w:val="30"/>
          <w:szCs w:val="30"/>
        </w:rPr>
      </w:pPr>
    </w:p>
    <w:p w14:paraId="0DC51EB4">
      <w:pPr>
        <w:pStyle w:val="9"/>
        <w:spacing w:before="11"/>
        <w:ind w:left="0"/>
        <w:jc w:val="left"/>
        <w:rPr>
          <w:rFonts w:hint="eastAsia"/>
          <w:sz w:val="30"/>
          <w:szCs w:val="30"/>
        </w:rPr>
      </w:pPr>
      <w:r>
        <w:rPr>
          <w:rFonts w:hint="eastAsia"/>
          <w:sz w:val="30"/>
          <w:szCs w:val="30"/>
        </w:rPr>
        <w:t>Speaking to—and of—Christ’s Church, he describes it as a spiritual house (2 Sam. 7:27), a holy priesthood (Exodus 19:6, Isaiah 61:6), a royal priesthood (Psalm 110, Zech. 6:13), the Zion of God (Psalms 9:11, 48:2), a temple (1 Kings 6:11-13, 2 Chron. 7:1), a chosen race (Deut. 7:7f, 10:15, Isaiah 65:9), a holy nation (Exodus 19:6, Deut. 7:6), a treasured possession (Deut. 7:6, Mal. 3:17), and the people of God (Exodus 3:7, 6:7, Hos. 1:10).</w:t>
      </w:r>
    </w:p>
    <w:p w14:paraId="6B00E8FF">
      <w:pPr>
        <w:pStyle w:val="9"/>
        <w:spacing w:before="11"/>
        <w:ind w:left="0"/>
        <w:jc w:val="left"/>
        <w:rPr>
          <w:rFonts w:hint="eastAsia"/>
          <w:sz w:val="30"/>
          <w:szCs w:val="30"/>
        </w:rPr>
      </w:pPr>
      <w:r>
        <w:rPr>
          <w:rFonts w:hint="eastAsia"/>
          <w:sz w:val="30"/>
          <w:szCs w:val="30"/>
        </w:rPr>
        <w:t>他论到基督的教会时，将其描述为灵宫（撒母耳记下 7:27），圣洁的祭司体系（出埃及记 19:6, 以赛亚书 61:6），君尊的祭司体系（诗篇 110篇, 撒迦利亚书 6:13），上帝的锡安（诗篇 9:11, 48:2），圣殿（列王纪上 6:11-13, 历代志下 7:1），被拣选的族类（申命记 7:7及后文, 10:15, 以赛亚书 65:9），圣洁的国度（出埃及记 19:6, 申命记 7:6），属上帝的子民（申命记 7:6, 玛拉基书 3:17），和上帝的百姓（出埃及记 3:7, 6:7, 何西阿书 1:10）。</w:t>
      </w:r>
    </w:p>
    <w:p w14:paraId="5D621EA1">
      <w:pPr>
        <w:pStyle w:val="9"/>
        <w:spacing w:before="11"/>
        <w:ind w:left="0"/>
        <w:jc w:val="left"/>
        <w:rPr>
          <w:rFonts w:hint="eastAsia"/>
          <w:sz w:val="30"/>
          <w:szCs w:val="30"/>
        </w:rPr>
      </w:pPr>
    </w:p>
    <w:p w14:paraId="12CE5143">
      <w:pPr>
        <w:pStyle w:val="9"/>
        <w:spacing w:before="11"/>
        <w:ind w:left="0"/>
        <w:jc w:val="left"/>
        <w:rPr>
          <w:rFonts w:hint="eastAsia"/>
          <w:sz w:val="30"/>
          <w:szCs w:val="30"/>
        </w:rPr>
      </w:pPr>
      <w:r>
        <w:rPr>
          <w:rFonts w:hint="eastAsia"/>
          <w:sz w:val="30"/>
          <w:szCs w:val="30"/>
        </w:rPr>
        <w:t>Similarly, Paul can speak of the Church as Abraham’s seed (Rom. 4:16, Gal. 3:29), the Body of Christ (Eph. 1:22, 4:12, 5:28-30, Col. 1:24; Gen. 2:18-25), the Bride of Christ (Eph. 5:25-26; Isaiah 49:18, 62:5, Jer. 2:2), the flock of God (Acts 20:28, 1 Peter 5:2; Psalm 78:52, Isaiah 40:11), the temple of God (Eph. 2:19-21, Ezek. 43:7), the people of God (Rom. 9:25-26, 2 Cor. 6:16), and the Israel of God (Gal. 6:16, Heb. 8:8-12).</w:t>
      </w:r>
    </w:p>
    <w:p w14:paraId="1480E1B0">
      <w:pPr>
        <w:pStyle w:val="9"/>
        <w:spacing w:before="11"/>
        <w:ind w:left="0"/>
        <w:jc w:val="left"/>
        <w:rPr>
          <w:rFonts w:hint="eastAsia"/>
          <w:sz w:val="30"/>
          <w:szCs w:val="30"/>
        </w:rPr>
      </w:pPr>
      <w:r>
        <w:rPr>
          <w:rFonts w:hint="eastAsia"/>
          <w:sz w:val="30"/>
          <w:szCs w:val="30"/>
        </w:rPr>
        <w:t>同样，保罗可以将教会称为亚伯拉罕的后裔（罗马书 4:16, 加拉太书 3:29），基督的身体（以弗所书 1:22, 4:12, 5:28-30, 歌罗西书 1:24；创世记 2:18-25），基督的新妇（以弗所书 5:25-26；以赛亚书 49:18, 62:5, 耶利米书 2:2），上帝的羊群（使徒行传 20:28, 彼得前书 5:2；诗篇 78:52, 以赛亚书 40:11），上帝的殿（以弗所书 2:19-21, 以西结书 43:7），上帝的子民（罗马书 9:25-26, 哥林多后书 6:16），和上帝的以色列（加拉太书 6:16, 希伯来书 8:8-12）。</w:t>
      </w:r>
    </w:p>
    <w:p w14:paraId="459860A5">
      <w:pPr>
        <w:pStyle w:val="9"/>
        <w:spacing w:before="11"/>
        <w:ind w:left="0"/>
        <w:jc w:val="left"/>
        <w:rPr>
          <w:rFonts w:hint="eastAsia"/>
          <w:sz w:val="30"/>
          <w:szCs w:val="30"/>
        </w:rPr>
      </w:pPr>
    </w:p>
    <w:p w14:paraId="6E3FA603">
      <w:pPr>
        <w:pStyle w:val="9"/>
        <w:spacing w:before="11"/>
        <w:ind w:left="0"/>
        <w:jc w:val="left"/>
        <w:rPr>
          <w:rFonts w:hint="eastAsia"/>
          <w:sz w:val="30"/>
          <w:szCs w:val="30"/>
        </w:rPr>
      </w:pPr>
      <w:r>
        <w:rPr>
          <w:rFonts w:hint="eastAsia"/>
          <w:sz w:val="30"/>
          <w:szCs w:val="30"/>
        </w:rPr>
        <w:t>Meanwhile, John refers to Christians as the children of God (1 John 3:1-2, 9-10; Exodus 3:9-11), and James addresses the Church as the twelve tribes (James 1:1, Rev. 7:1f).</w:t>
      </w:r>
    </w:p>
    <w:p w14:paraId="663054C0">
      <w:pPr>
        <w:pStyle w:val="9"/>
        <w:spacing w:before="11"/>
        <w:ind w:left="0"/>
        <w:jc w:val="left"/>
        <w:rPr>
          <w:rFonts w:hint="eastAsia"/>
          <w:sz w:val="30"/>
          <w:szCs w:val="30"/>
        </w:rPr>
      </w:pPr>
      <w:r>
        <w:rPr>
          <w:rFonts w:hint="eastAsia"/>
          <w:sz w:val="30"/>
          <w:szCs w:val="30"/>
        </w:rPr>
        <w:t>与此同时，约翰称基督徒为上帝的儿女（约翰一书 3:1-2, 9-10；出埃及记 3:9-11），而雅各则称教会为十二个支派（雅各书 1:1, 启示录 7:1及后文）。</w:t>
      </w:r>
    </w:p>
    <w:p w14:paraId="70FECE93">
      <w:pPr>
        <w:pStyle w:val="9"/>
        <w:spacing w:before="11"/>
        <w:ind w:left="0"/>
        <w:jc w:val="left"/>
        <w:rPr>
          <w:rFonts w:hint="eastAsia"/>
          <w:sz w:val="30"/>
          <w:szCs w:val="30"/>
        </w:rPr>
      </w:pPr>
    </w:p>
    <w:p w14:paraId="0DB65E29">
      <w:pPr>
        <w:pStyle w:val="9"/>
        <w:spacing w:before="11"/>
        <w:ind w:left="0"/>
        <w:jc w:val="left"/>
        <w:rPr>
          <w:rFonts w:hint="eastAsia"/>
          <w:sz w:val="30"/>
          <w:szCs w:val="30"/>
        </w:rPr>
      </w:pPr>
      <w:r>
        <w:rPr>
          <w:rFonts w:hint="eastAsia"/>
          <w:sz w:val="30"/>
          <w:szCs w:val="30"/>
        </w:rPr>
        <w:t>Again, it is not that the apostles simply laid hold of these OT images as apt vehicles by which to describe God’s NT people.</w:t>
      </w:r>
    </w:p>
    <w:p w14:paraId="5F64AE3B">
      <w:pPr>
        <w:pStyle w:val="9"/>
        <w:spacing w:before="11"/>
        <w:ind w:left="0"/>
        <w:jc w:val="left"/>
        <w:rPr>
          <w:rFonts w:hint="eastAsia"/>
          <w:sz w:val="30"/>
          <w:szCs w:val="30"/>
        </w:rPr>
      </w:pPr>
      <w:r>
        <w:rPr>
          <w:rFonts w:hint="eastAsia"/>
          <w:sz w:val="30"/>
          <w:szCs w:val="30"/>
        </w:rPr>
        <w:t>再次，并不是使徒们简单地抓住这些旧约的意象，作为描述上帝新约子民的恰当载体。</w:t>
      </w:r>
    </w:p>
    <w:p w14:paraId="526FC6F4">
      <w:pPr>
        <w:pStyle w:val="9"/>
        <w:spacing w:before="11"/>
        <w:ind w:left="0"/>
        <w:jc w:val="left"/>
        <w:rPr>
          <w:rFonts w:hint="eastAsia"/>
          <w:sz w:val="30"/>
          <w:szCs w:val="30"/>
        </w:rPr>
      </w:pPr>
    </w:p>
    <w:p w14:paraId="62871318">
      <w:pPr>
        <w:pStyle w:val="9"/>
        <w:spacing w:before="11"/>
        <w:ind w:left="0"/>
        <w:jc w:val="left"/>
        <w:rPr>
          <w:rFonts w:hint="eastAsia"/>
          <w:sz w:val="30"/>
          <w:szCs w:val="30"/>
        </w:rPr>
      </w:pPr>
      <w:r>
        <w:rPr>
          <w:rFonts w:hint="eastAsia"/>
          <w:sz w:val="30"/>
          <w:szCs w:val="30"/>
        </w:rPr>
        <w:t>Rather, it is that they came to understand the Church as the eschatological fulfillment of those images, and so laid hold of them as the God-ordained vehicles by which they were meant to speak about the final embodiment of his eternal family.</w:t>
      </w:r>
    </w:p>
    <w:p w14:paraId="535A871A">
      <w:pPr>
        <w:pStyle w:val="9"/>
        <w:spacing w:before="11"/>
        <w:ind w:left="0"/>
        <w:jc w:val="left"/>
        <w:rPr>
          <w:rFonts w:hint="eastAsia"/>
          <w:sz w:val="30"/>
          <w:szCs w:val="30"/>
        </w:rPr>
      </w:pPr>
      <w:r>
        <w:rPr>
          <w:rFonts w:hint="eastAsia"/>
          <w:sz w:val="30"/>
          <w:szCs w:val="30"/>
        </w:rPr>
        <w:t>而是，他们开始理解教会是那些意象的末世性成全，因此他们抓住它们，作为上帝所命定的载体，藉此来讲述祂永恒家庭的最终体现。</w:t>
      </w:r>
    </w:p>
    <w:p w14:paraId="601162E3">
      <w:pPr>
        <w:pStyle w:val="9"/>
        <w:spacing w:before="11"/>
        <w:ind w:left="0"/>
        <w:jc w:val="left"/>
        <w:rPr>
          <w:rFonts w:hint="eastAsia"/>
          <w:sz w:val="30"/>
          <w:szCs w:val="30"/>
        </w:rPr>
      </w:pPr>
    </w:p>
    <w:p w14:paraId="38D5242B">
      <w:pPr>
        <w:pStyle w:val="9"/>
        <w:spacing w:before="11"/>
        <w:ind w:left="0"/>
        <w:jc w:val="left"/>
        <w:rPr>
          <w:rFonts w:hint="eastAsia"/>
          <w:sz w:val="30"/>
          <w:szCs w:val="30"/>
        </w:rPr>
      </w:pPr>
      <w:r>
        <w:rPr>
          <w:rFonts w:hint="eastAsia"/>
          <w:sz w:val="30"/>
          <w:szCs w:val="30"/>
        </w:rPr>
        <w:t>The OT typological communities were lesser, temporary shadows of that which is greater, permanent, substantial, and eternally true: the Church.</w:t>
      </w:r>
    </w:p>
    <w:p w14:paraId="60B02379">
      <w:pPr>
        <w:pStyle w:val="9"/>
        <w:spacing w:before="11"/>
        <w:ind w:left="0"/>
        <w:jc w:val="left"/>
        <w:rPr>
          <w:rFonts w:hint="eastAsia"/>
          <w:sz w:val="30"/>
          <w:szCs w:val="30"/>
        </w:rPr>
      </w:pPr>
      <w:r>
        <w:rPr>
          <w:rFonts w:hint="eastAsia"/>
          <w:sz w:val="30"/>
          <w:szCs w:val="30"/>
        </w:rPr>
        <w:t>旧约的预表性群体是那更伟大、永久、实质和永恒真实之物的较小、暂时的影儿：即教会。</w:t>
      </w:r>
    </w:p>
    <w:p w14:paraId="3A44A826">
      <w:pPr>
        <w:pStyle w:val="9"/>
        <w:spacing w:before="11"/>
        <w:ind w:left="0"/>
        <w:jc w:val="left"/>
        <w:rPr>
          <w:rFonts w:hint="eastAsia"/>
          <w:sz w:val="30"/>
          <w:szCs w:val="30"/>
        </w:rPr>
      </w:pPr>
    </w:p>
    <w:p w14:paraId="06B7CD6D">
      <w:pPr>
        <w:pStyle w:val="9"/>
        <w:spacing w:before="11"/>
        <w:ind w:left="0"/>
        <w:jc w:val="left"/>
        <w:rPr>
          <w:rFonts w:hint="eastAsia"/>
          <w:sz w:val="30"/>
          <w:szCs w:val="30"/>
        </w:rPr>
      </w:pPr>
      <w:r>
        <w:rPr>
          <w:rFonts w:hint="eastAsia"/>
          <w:sz w:val="30"/>
          <w:szCs w:val="30"/>
        </w:rPr>
        <w:t>This is, by the way, the great thought underlying the lofty ecclesiology of Paul’s epistle to the Ephesians.</w:t>
      </w:r>
    </w:p>
    <w:p w14:paraId="3B3BDEEA">
      <w:pPr>
        <w:pStyle w:val="9"/>
        <w:spacing w:before="11"/>
        <w:ind w:left="0"/>
        <w:jc w:val="left"/>
        <w:rPr>
          <w:rFonts w:hint="eastAsia"/>
          <w:sz w:val="30"/>
          <w:szCs w:val="30"/>
        </w:rPr>
      </w:pPr>
      <w:r>
        <w:rPr>
          <w:rFonts w:hint="eastAsia"/>
          <w:sz w:val="30"/>
          <w:szCs w:val="30"/>
        </w:rPr>
        <w:t>顺便说一句，这就是保罗以弗所书信中崇高教会论背后的伟大思想。</w:t>
      </w:r>
    </w:p>
    <w:p w14:paraId="5739BC60">
      <w:pPr>
        <w:pStyle w:val="9"/>
        <w:spacing w:before="11"/>
        <w:ind w:left="0"/>
        <w:jc w:val="left"/>
        <w:rPr>
          <w:rFonts w:hint="eastAsia"/>
          <w:sz w:val="30"/>
          <w:szCs w:val="30"/>
        </w:rPr>
      </w:pPr>
    </w:p>
    <w:p w14:paraId="4A605261">
      <w:pPr>
        <w:pStyle w:val="9"/>
        <w:spacing w:before="11"/>
        <w:ind w:left="0"/>
        <w:jc w:val="left"/>
        <w:rPr>
          <w:rFonts w:hint="eastAsia"/>
          <w:sz w:val="30"/>
          <w:szCs w:val="30"/>
        </w:rPr>
      </w:pPr>
      <w:r>
        <w:rPr>
          <w:rFonts w:hint="eastAsia"/>
          <w:sz w:val="30"/>
          <w:szCs w:val="30"/>
        </w:rPr>
        <w:t>He is not saying, as dispensationalists claim, that the Church is a “mystery” because the OT never pictured it, or because the former prophets never predicted it.</w:t>
      </w:r>
    </w:p>
    <w:p w14:paraId="25ED8912">
      <w:pPr>
        <w:pStyle w:val="9"/>
        <w:spacing w:before="11"/>
        <w:ind w:left="0"/>
        <w:jc w:val="left"/>
        <w:rPr>
          <w:rFonts w:hint="eastAsia"/>
          <w:sz w:val="30"/>
          <w:szCs w:val="30"/>
        </w:rPr>
      </w:pPr>
      <w:r>
        <w:rPr>
          <w:rFonts w:hint="eastAsia"/>
          <w:sz w:val="30"/>
          <w:szCs w:val="30"/>
        </w:rPr>
        <w:t>他不是像时代论者所声称的那样，说教会是一个“奥秘”，因为旧约从未描绘过它，或者因为从前的先知从未预言过它。</w:t>
      </w:r>
    </w:p>
    <w:p w14:paraId="3937E064">
      <w:pPr>
        <w:pStyle w:val="9"/>
        <w:spacing w:before="11"/>
        <w:ind w:left="0"/>
        <w:jc w:val="left"/>
        <w:rPr>
          <w:rFonts w:hint="eastAsia"/>
          <w:sz w:val="30"/>
          <w:szCs w:val="30"/>
        </w:rPr>
      </w:pPr>
    </w:p>
    <w:p w14:paraId="19659F13">
      <w:pPr>
        <w:pStyle w:val="9"/>
        <w:spacing w:before="11"/>
        <w:ind w:left="0"/>
        <w:jc w:val="left"/>
        <w:rPr>
          <w:rFonts w:hint="eastAsia"/>
          <w:sz w:val="30"/>
          <w:szCs w:val="30"/>
        </w:rPr>
      </w:pPr>
      <w:r>
        <w:rPr>
          <w:rFonts w:hint="eastAsia"/>
          <w:sz w:val="30"/>
          <w:szCs w:val="30"/>
        </w:rPr>
        <w:t>No, he is saying that the embodiment of the eschatological people of God—the form that God planned for them to take—was a mystery.</w:t>
      </w:r>
    </w:p>
    <w:p w14:paraId="6CCD908A">
      <w:pPr>
        <w:pStyle w:val="9"/>
        <w:spacing w:before="11"/>
        <w:ind w:left="0"/>
        <w:jc w:val="left"/>
        <w:rPr>
          <w:rFonts w:hint="eastAsia"/>
          <w:sz w:val="30"/>
          <w:szCs w:val="30"/>
        </w:rPr>
      </w:pPr>
      <w:r>
        <w:rPr>
          <w:rFonts w:hint="eastAsia"/>
          <w:sz w:val="30"/>
          <w:szCs w:val="30"/>
        </w:rPr>
        <w:t>不，他是说上帝末世子民的体现——上帝计划他们要采取的形式——是一个奥秘。</w:t>
      </w:r>
    </w:p>
    <w:p w14:paraId="262D5089">
      <w:pPr>
        <w:pStyle w:val="9"/>
        <w:spacing w:before="11"/>
        <w:ind w:left="0"/>
        <w:jc w:val="left"/>
        <w:rPr>
          <w:rFonts w:hint="eastAsia"/>
          <w:sz w:val="30"/>
          <w:szCs w:val="30"/>
        </w:rPr>
      </w:pPr>
    </w:p>
    <w:p w14:paraId="5090B476">
      <w:pPr>
        <w:pStyle w:val="9"/>
        <w:spacing w:before="11"/>
        <w:ind w:left="0"/>
        <w:jc w:val="left"/>
        <w:rPr>
          <w:rFonts w:hint="eastAsia"/>
          <w:sz w:val="30"/>
          <w:szCs w:val="30"/>
        </w:rPr>
      </w:pPr>
      <w:r>
        <w:rPr>
          <w:rFonts w:hint="eastAsia"/>
          <w:sz w:val="30"/>
          <w:szCs w:val="30"/>
        </w:rPr>
        <w:t>The prophets did indeed foresee the Church, and often spoke of it as the eschatological Israel (or Jerusalem or Zion) of God.</w:t>
      </w:r>
    </w:p>
    <w:p w14:paraId="6FC5AB41">
      <w:pPr>
        <w:pStyle w:val="9"/>
        <w:spacing w:before="11"/>
        <w:ind w:left="0"/>
        <w:jc w:val="left"/>
        <w:rPr>
          <w:rFonts w:hint="eastAsia"/>
          <w:sz w:val="30"/>
          <w:szCs w:val="30"/>
        </w:rPr>
      </w:pPr>
      <w:r>
        <w:rPr>
          <w:rFonts w:hint="eastAsia"/>
          <w:sz w:val="30"/>
          <w:szCs w:val="30"/>
        </w:rPr>
        <w:t>先知们确实预见到了教会，并常常将其称为上帝的末世以色列（或耶路撒冷或锡安）。</w:t>
      </w:r>
    </w:p>
    <w:p w14:paraId="515FF74F">
      <w:pPr>
        <w:pStyle w:val="9"/>
        <w:spacing w:before="11"/>
        <w:ind w:left="0"/>
        <w:jc w:val="left"/>
        <w:rPr>
          <w:rFonts w:hint="eastAsia"/>
          <w:sz w:val="30"/>
          <w:szCs w:val="30"/>
        </w:rPr>
      </w:pPr>
    </w:p>
    <w:p w14:paraId="00799BE3">
      <w:pPr>
        <w:pStyle w:val="9"/>
        <w:spacing w:before="11"/>
        <w:ind w:left="0"/>
        <w:jc w:val="left"/>
        <w:rPr>
          <w:rFonts w:hint="eastAsia"/>
          <w:sz w:val="30"/>
          <w:szCs w:val="30"/>
        </w:rPr>
      </w:pPr>
      <w:r>
        <w:rPr>
          <w:rFonts w:hint="eastAsia"/>
          <w:sz w:val="30"/>
          <w:szCs w:val="30"/>
        </w:rPr>
        <w:t>But they never foresaw the astonishing form that eschatological Israel would take; that it would be a Spirit-filled community of Jewish and Gentile believers in Jesus; a spiritual family (1:5-6, 3:14-15); a spiritual Body, with Christ as Head (1:22-23, 2:5, 3:6, 4:12, 16, 5:23); one new spiritual Man (2:16, 4:13); a spiritual Temple (2:19-22); and a spiritual Bride (5:25-27).</w:t>
      </w:r>
    </w:p>
    <w:p w14:paraId="7BC61A9F">
      <w:pPr>
        <w:pStyle w:val="9"/>
        <w:spacing w:before="11"/>
        <w:ind w:left="0"/>
        <w:jc w:val="left"/>
        <w:rPr>
          <w:rFonts w:hint="eastAsia"/>
          <w:sz w:val="30"/>
          <w:szCs w:val="30"/>
        </w:rPr>
      </w:pPr>
      <w:r>
        <w:rPr>
          <w:rFonts w:hint="eastAsia"/>
          <w:sz w:val="30"/>
          <w:szCs w:val="30"/>
        </w:rPr>
        <w:t>但他们从未预见到末世的以色列将采取何等惊人的形式；即它将是一个充满圣灵的、由犹太和外邦信徒组成的在耶稣里的群体；一个属灵的家庭（1:5-6, 3:14-15）；一个属灵的身体，以基督为元首（1:22-23, 2:5, 3:6, 4:12, 16, 5:23）；一个属灵的新人（2:16, 4:13）；一个属灵的圣殿（2:19-22）；和一个属灵的新妇（5:25-27）。</w:t>
      </w:r>
    </w:p>
    <w:p w14:paraId="435BBE8F">
      <w:pPr>
        <w:pStyle w:val="9"/>
        <w:spacing w:before="11"/>
        <w:ind w:left="0"/>
        <w:jc w:val="left"/>
        <w:rPr>
          <w:rFonts w:hint="eastAsia"/>
          <w:sz w:val="30"/>
          <w:szCs w:val="30"/>
        </w:rPr>
      </w:pPr>
    </w:p>
    <w:p w14:paraId="38241E67">
      <w:pPr>
        <w:pStyle w:val="9"/>
        <w:spacing w:before="11"/>
        <w:ind w:left="0"/>
        <w:jc w:val="left"/>
        <w:rPr>
          <w:rFonts w:hint="eastAsia"/>
          <w:sz w:val="30"/>
          <w:szCs w:val="30"/>
        </w:rPr>
      </w:pPr>
      <w:r>
        <w:rPr>
          <w:rFonts w:hint="eastAsia"/>
          <w:sz w:val="30"/>
          <w:szCs w:val="30"/>
        </w:rPr>
        <w:t>Moreover, they never foresaw that this spiritual community would be the last stop on the long road of Salvation History; that it would be the Church—and the Church alone—that would give glory to God, through Christ Jesus, to all generations, forever and ever.</w:t>
      </w:r>
    </w:p>
    <w:p w14:paraId="01807F33">
      <w:pPr>
        <w:pStyle w:val="9"/>
        <w:spacing w:before="11"/>
        <w:ind w:left="0"/>
        <w:jc w:val="left"/>
        <w:rPr>
          <w:rFonts w:hint="eastAsia"/>
          <w:sz w:val="30"/>
          <w:szCs w:val="30"/>
        </w:rPr>
      </w:pPr>
      <w:r>
        <w:rPr>
          <w:rFonts w:hint="eastAsia"/>
          <w:sz w:val="30"/>
          <w:szCs w:val="30"/>
        </w:rPr>
        <w:t>此外，他们从未预见到这个属灵的群体将是救赎历史漫长道路上的最后一站；将是教会——且唯有教会——藉着基督耶稣，将荣耀归给上帝，直到世世代代，永永远远。</w:t>
      </w:r>
    </w:p>
    <w:p w14:paraId="7CEEF9FD">
      <w:pPr>
        <w:pStyle w:val="9"/>
        <w:spacing w:before="11"/>
        <w:ind w:left="0"/>
        <w:jc w:val="left"/>
        <w:rPr>
          <w:rFonts w:hint="eastAsia"/>
          <w:sz w:val="30"/>
          <w:szCs w:val="30"/>
        </w:rPr>
      </w:pPr>
    </w:p>
    <w:p w14:paraId="0F93BFC8">
      <w:pPr>
        <w:pStyle w:val="9"/>
        <w:spacing w:before="11"/>
        <w:ind w:left="0"/>
        <w:jc w:val="left"/>
        <w:rPr>
          <w:rFonts w:hint="eastAsia"/>
          <w:sz w:val="30"/>
          <w:szCs w:val="30"/>
        </w:rPr>
      </w:pPr>
      <w:r>
        <w:rPr>
          <w:rFonts w:hint="eastAsia"/>
          <w:sz w:val="30"/>
          <w:szCs w:val="30"/>
        </w:rPr>
        <w:t>Amen (2:7, 3:21).</w:t>
      </w:r>
    </w:p>
    <w:p w14:paraId="0B9D053B">
      <w:pPr>
        <w:pStyle w:val="9"/>
        <w:spacing w:before="11"/>
        <w:ind w:left="0"/>
        <w:jc w:val="left"/>
        <w:rPr>
          <w:rFonts w:hint="eastAsia"/>
          <w:sz w:val="30"/>
          <w:szCs w:val="30"/>
        </w:rPr>
      </w:pPr>
      <w:r>
        <w:rPr>
          <w:rFonts w:hint="eastAsia"/>
          <w:sz w:val="30"/>
          <w:szCs w:val="30"/>
        </w:rPr>
        <w:t>阿们（2:7, 3:21）。</w:t>
      </w:r>
    </w:p>
    <w:p w14:paraId="2201DC21">
      <w:pPr>
        <w:pStyle w:val="9"/>
        <w:spacing w:before="11"/>
        <w:ind w:left="0"/>
        <w:jc w:val="left"/>
        <w:rPr>
          <w:rFonts w:hint="eastAsia"/>
          <w:sz w:val="30"/>
          <w:szCs w:val="30"/>
        </w:rPr>
      </w:pPr>
    </w:p>
    <w:p w14:paraId="06012B49">
      <w:pPr>
        <w:pStyle w:val="9"/>
        <w:spacing w:before="11"/>
        <w:ind w:left="0"/>
        <w:jc w:val="left"/>
        <w:rPr>
          <w:rFonts w:hint="eastAsia"/>
          <w:sz w:val="30"/>
          <w:szCs w:val="30"/>
        </w:rPr>
      </w:pPr>
      <w:r>
        <w:rPr>
          <w:rFonts w:hint="eastAsia"/>
          <w:sz w:val="30"/>
          <w:szCs w:val="30"/>
        </w:rPr>
        <w:t>I would invite my premillennarian brothers to wrestle earnestly with this understanding of NT ecclesiology.</w:t>
      </w:r>
    </w:p>
    <w:p w14:paraId="78D06322">
      <w:pPr>
        <w:pStyle w:val="9"/>
        <w:spacing w:before="11"/>
        <w:ind w:left="0"/>
        <w:jc w:val="left"/>
        <w:rPr>
          <w:rFonts w:hint="eastAsia"/>
          <w:sz w:val="30"/>
          <w:szCs w:val="30"/>
        </w:rPr>
      </w:pPr>
      <w:r>
        <w:rPr>
          <w:rFonts w:hint="eastAsia"/>
          <w:sz w:val="30"/>
          <w:szCs w:val="30"/>
        </w:rPr>
        <w:t>我邀请我的前千禧年派弟兄们认真地与这种对新约教会论的理解进行摔跤。</w:t>
      </w:r>
    </w:p>
    <w:p w14:paraId="5AB89CA4">
      <w:pPr>
        <w:pStyle w:val="9"/>
        <w:spacing w:before="11"/>
        <w:ind w:left="0"/>
        <w:jc w:val="left"/>
        <w:rPr>
          <w:rFonts w:hint="eastAsia"/>
          <w:sz w:val="30"/>
          <w:szCs w:val="30"/>
        </w:rPr>
      </w:pPr>
    </w:p>
    <w:p w14:paraId="77E73942">
      <w:pPr>
        <w:pStyle w:val="9"/>
        <w:spacing w:before="11"/>
        <w:ind w:left="0"/>
        <w:jc w:val="left"/>
        <w:rPr>
          <w:rFonts w:hint="eastAsia"/>
          <w:sz w:val="30"/>
          <w:szCs w:val="30"/>
        </w:rPr>
      </w:pPr>
      <w:r>
        <w:rPr>
          <w:rFonts w:hint="eastAsia"/>
          <w:sz w:val="30"/>
          <w:szCs w:val="30"/>
        </w:rPr>
        <w:t>If true, it has profound implications for their eschatology.</w:t>
      </w:r>
    </w:p>
    <w:p w14:paraId="539AE561">
      <w:pPr>
        <w:pStyle w:val="9"/>
        <w:spacing w:before="11"/>
        <w:ind w:left="0"/>
        <w:jc w:val="left"/>
        <w:rPr>
          <w:rFonts w:hint="eastAsia"/>
          <w:sz w:val="30"/>
          <w:szCs w:val="30"/>
        </w:rPr>
      </w:pPr>
      <w:r>
        <w:rPr>
          <w:rFonts w:hint="eastAsia"/>
          <w:sz w:val="30"/>
          <w:szCs w:val="30"/>
        </w:rPr>
        <w:t>如果这是真的，它对他们的末世论有深远的影响。</w:t>
      </w:r>
    </w:p>
    <w:p w14:paraId="331CE39E">
      <w:pPr>
        <w:pStyle w:val="9"/>
        <w:spacing w:before="11"/>
        <w:ind w:left="0"/>
        <w:jc w:val="left"/>
        <w:rPr>
          <w:rFonts w:hint="eastAsia"/>
          <w:sz w:val="30"/>
          <w:szCs w:val="30"/>
        </w:rPr>
      </w:pPr>
    </w:p>
    <w:p w14:paraId="5672C4A2">
      <w:pPr>
        <w:pStyle w:val="9"/>
        <w:spacing w:before="11"/>
        <w:ind w:left="0"/>
        <w:jc w:val="left"/>
        <w:rPr>
          <w:rFonts w:hint="eastAsia"/>
          <w:sz w:val="30"/>
          <w:szCs w:val="30"/>
        </w:rPr>
      </w:pPr>
      <w:r>
        <w:rPr>
          <w:rFonts w:hint="eastAsia"/>
          <w:sz w:val="30"/>
          <w:szCs w:val="30"/>
        </w:rPr>
        <w:t>Among other things, it means that the Church—the people called by God to live with him in the eternal Era of Fulfillment—is the true Israel of God (Gal. 6:16); for not all Israel is Israel, but only those, like Jacob of old, who cling to Christ for eternal salvation (Gen. 32:22-31, Rom. 9:6f, Phil. 3:12, 1 Tim. 6:12, Heb. 3:6, 4:14, 6:18, 10:23).</w:t>
      </w:r>
    </w:p>
    <w:p w14:paraId="12852736">
      <w:pPr>
        <w:pStyle w:val="9"/>
        <w:spacing w:before="11"/>
        <w:ind w:left="0"/>
        <w:jc w:val="left"/>
        <w:rPr>
          <w:rFonts w:hint="eastAsia"/>
          <w:sz w:val="30"/>
          <w:szCs w:val="30"/>
        </w:rPr>
      </w:pPr>
      <w:r>
        <w:rPr>
          <w:rFonts w:hint="eastAsia"/>
          <w:sz w:val="30"/>
          <w:szCs w:val="30"/>
        </w:rPr>
        <w:t>这其中，意味着教会——上帝呼召在永恒成全时代与祂同住的子民——是上帝真正的以色列（加拉太书 6:16）；因为以色列人并不都是以色列人，只有那些像古时雅各一样，紧紧抓住基督以得永恒救恩的人才是（创世记 32:22-31, 罗马书 9:6及后文, 腓立比书 3:12, 提摩太前书 6:12, 希伯来书 3:6, 4:14, 6:18, 10:23）。</w:t>
      </w:r>
    </w:p>
    <w:p w14:paraId="6FAF7F5E">
      <w:pPr>
        <w:pStyle w:val="9"/>
        <w:spacing w:before="11"/>
        <w:ind w:left="0"/>
        <w:jc w:val="left"/>
        <w:rPr>
          <w:rFonts w:hint="eastAsia"/>
          <w:sz w:val="30"/>
          <w:szCs w:val="30"/>
        </w:rPr>
      </w:pPr>
    </w:p>
    <w:p w14:paraId="31843860">
      <w:pPr>
        <w:pStyle w:val="9"/>
        <w:spacing w:before="11"/>
        <w:ind w:left="0"/>
        <w:jc w:val="left"/>
        <w:rPr>
          <w:rFonts w:hint="eastAsia"/>
          <w:sz w:val="30"/>
          <w:szCs w:val="30"/>
        </w:rPr>
      </w:pPr>
      <w:r>
        <w:rPr>
          <w:rFonts w:hint="eastAsia"/>
          <w:sz w:val="30"/>
          <w:szCs w:val="30"/>
        </w:rPr>
        <w:t>It means that the distinction between Jew and Gentile has been forever abolished, permanently erased (Gal. 3:28); that henceforth and forever there will be but one Flock (John 10:16), one Vine (John 15:5, Rom. 11:16-24), one Woman (Rev. 12), and one New Man (Eph. 2:15).</w:t>
      </w:r>
    </w:p>
    <w:p w14:paraId="4021EB08">
      <w:pPr>
        <w:pStyle w:val="9"/>
        <w:spacing w:before="11"/>
        <w:ind w:left="0"/>
        <w:jc w:val="left"/>
        <w:rPr>
          <w:rFonts w:hint="eastAsia"/>
          <w:sz w:val="30"/>
          <w:szCs w:val="30"/>
        </w:rPr>
      </w:pPr>
      <w:r>
        <w:rPr>
          <w:rFonts w:hint="eastAsia"/>
          <w:sz w:val="30"/>
          <w:szCs w:val="30"/>
        </w:rPr>
        <w:t>这意味着犹太人与外邦人之间的区别已经被永远废除，永久抹去（加拉太书 3:28）；从此以后，将永远只有一个羊群（约翰福音 10:16），一棵葡萄树（约翰福音 15:5, 罗马书 11:16-24），一个妇人（启示录 12章），和一个新人（以弗所书 2:15）。</w:t>
      </w:r>
    </w:p>
    <w:p w14:paraId="7D0B88CC">
      <w:pPr>
        <w:pStyle w:val="9"/>
        <w:spacing w:before="11"/>
        <w:ind w:left="0"/>
        <w:jc w:val="left"/>
        <w:rPr>
          <w:rFonts w:hint="eastAsia"/>
          <w:sz w:val="30"/>
          <w:szCs w:val="30"/>
        </w:rPr>
      </w:pPr>
    </w:p>
    <w:p w14:paraId="4612992D">
      <w:pPr>
        <w:pStyle w:val="9"/>
        <w:spacing w:before="11"/>
        <w:ind w:left="0"/>
        <w:jc w:val="left"/>
        <w:rPr>
          <w:rFonts w:hint="eastAsia"/>
          <w:sz w:val="30"/>
          <w:szCs w:val="30"/>
        </w:rPr>
      </w:pPr>
      <w:r>
        <w:rPr>
          <w:rFonts w:hint="eastAsia"/>
          <w:sz w:val="30"/>
          <w:szCs w:val="30"/>
        </w:rPr>
        <w:t>It means that ethnic Israel—in unbelief and opposition to the Gospel—is no longer reckoned as the people of God, but as a synagogue of Satan (Rom. 9:6-13, Gal. 1:6-10, 5:12, 1 Thess. 2:13-16, Rev. 2:9, 3:9).</w:t>
      </w:r>
    </w:p>
    <w:p w14:paraId="2AB7B5B3">
      <w:pPr>
        <w:pStyle w:val="9"/>
        <w:spacing w:before="11"/>
        <w:ind w:left="0"/>
        <w:jc w:val="left"/>
        <w:rPr>
          <w:rFonts w:hint="eastAsia"/>
          <w:sz w:val="30"/>
          <w:szCs w:val="30"/>
        </w:rPr>
      </w:pPr>
      <w:r>
        <w:rPr>
          <w:rFonts w:hint="eastAsia"/>
          <w:sz w:val="30"/>
          <w:szCs w:val="30"/>
        </w:rPr>
        <w:t>这意味着，不信并反对福音的以色列民族，不再被算为上帝的子民，而是撒但的会堂（罗马书 9:6-13, 加拉太书 1:6-10, 5:12, 帖撒罗尼迦前书 2:13-16, 启示录 2:9, 3:9）。</w:t>
      </w:r>
    </w:p>
    <w:p w14:paraId="0EA7C25A">
      <w:pPr>
        <w:pStyle w:val="9"/>
        <w:spacing w:before="11"/>
        <w:ind w:left="0"/>
        <w:jc w:val="left"/>
        <w:rPr>
          <w:rFonts w:hint="eastAsia"/>
          <w:sz w:val="30"/>
          <w:szCs w:val="30"/>
        </w:rPr>
      </w:pPr>
    </w:p>
    <w:p w14:paraId="5CC22BEE">
      <w:pPr>
        <w:pStyle w:val="9"/>
        <w:spacing w:before="11"/>
        <w:ind w:left="0"/>
        <w:jc w:val="left"/>
        <w:rPr>
          <w:rFonts w:hint="eastAsia"/>
          <w:sz w:val="30"/>
          <w:szCs w:val="30"/>
        </w:rPr>
      </w:pPr>
      <w:r>
        <w:rPr>
          <w:rFonts w:hint="eastAsia"/>
          <w:sz w:val="30"/>
          <w:szCs w:val="30"/>
        </w:rPr>
        <w:t>But it also means that when God effectually calls unbelieving Jews to Christ—when he circumcises their hearts through the preaching of the Gospel—that they become Israelites indeed, and therefore members of the one holy family, people, nation, and special treasure that the Redeemer of the world was pleased to call his Church (Mt. 16:18, John 1:47, Rom. 11:1ff, 1 Peter 2:4-11, Rev. 7:1ff).</w:t>
      </w:r>
    </w:p>
    <w:p w14:paraId="0E19F331">
      <w:pPr>
        <w:pStyle w:val="9"/>
        <w:spacing w:before="11"/>
        <w:ind w:left="0"/>
        <w:jc w:val="left"/>
        <w:rPr>
          <w:rFonts w:hint="eastAsia"/>
          <w:sz w:val="30"/>
          <w:szCs w:val="30"/>
        </w:rPr>
      </w:pPr>
      <w:r>
        <w:rPr>
          <w:rFonts w:hint="eastAsia"/>
          <w:sz w:val="30"/>
          <w:szCs w:val="30"/>
        </w:rPr>
        <w:t>但这也意味着，当上帝有效地呼召不信的犹太人归向基督时——当祂通过传讲福音给他们的心行割礼时——他们就真正成为以色列人，因此成为那独一的圣洁家庭、子民、国度和特殊珍宝的成员，世界的救赎主乐意称之为祂的教会（马太福音 16:18, 约翰福音 1:47, 罗马书 11:1及后文, 彼得前书 2:4-11, 启示录 7:1及后文）。</w:t>
      </w:r>
    </w:p>
    <w:p w14:paraId="50CF5605">
      <w:pPr>
        <w:pStyle w:val="9"/>
        <w:spacing w:before="11"/>
        <w:ind w:left="0"/>
        <w:jc w:val="left"/>
        <w:rPr>
          <w:rFonts w:hint="eastAsia"/>
          <w:sz w:val="30"/>
          <w:szCs w:val="30"/>
        </w:rPr>
      </w:pPr>
    </w:p>
    <w:p w14:paraId="584342FF">
      <w:pPr>
        <w:pStyle w:val="9"/>
        <w:spacing w:before="11"/>
        <w:ind w:left="0"/>
        <w:jc w:val="left"/>
        <w:rPr>
          <w:rFonts w:hint="eastAsia"/>
          <w:sz w:val="30"/>
          <w:szCs w:val="30"/>
        </w:rPr>
      </w:pPr>
      <w:r>
        <w:rPr>
          <w:rFonts w:hint="eastAsia"/>
          <w:sz w:val="30"/>
          <w:szCs w:val="30"/>
        </w:rPr>
        <w:t>Here, then, are some of the challenging but profoundly edifying NT truths that enable the Christian to read the OT ecclesiologically; to look, not only for Christ, but also for the eternal people of Christ, on every page of the OT revelation of God.4</w:t>
      </w:r>
    </w:p>
    <w:p w14:paraId="248C6D72">
      <w:pPr>
        <w:pStyle w:val="9"/>
        <w:spacing w:before="11"/>
        <w:ind w:left="0"/>
        <w:jc w:val="left"/>
        <w:rPr>
          <w:rFonts w:hint="eastAsia"/>
          <w:sz w:val="30"/>
          <w:szCs w:val="30"/>
        </w:rPr>
      </w:pPr>
      <w:r>
        <w:rPr>
          <w:rFonts w:hint="eastAsia"/>
          <w:sz w:val="30"/>
          <w:szCs w:val="30"/>
        </w:rPr>
        <w:t>那么，这里就是一些具有挑战性但又极具造就性的新约真理，它们使基督徒能够以教会论的方式阅读旧约；不仅在上帝的旧约启示的每一页上寻找基督，也寻找基督永恒的子民。4</w:t>
      </w:r>
    </w:p>
    <w:p w14:paraId="48079E58">
      <w:pPr>
        <w:pStyle w:val="9"/>
        <w:spacing w:before="11"/>
        <w:ind w:left="0"/>
        <w:jc w:val="left"/>
        <w:rPr>
          <w:rFonts w:hint="eastAsia"/>
          <w:sz w:val="30"/>
          <w:szCs w:val="30"/>
        </w:rPr>
      </w:pPr>
    </w:p>
    <w:p w14:paraId="4358EC11">
      <w:pPr>
        <w:pStyle w:val="9"/>
        <w:spacing w:before="11"/>
        <w:ind w:left="0"/>
        <w:jc w:val="left"/>
        <w:rPr>
          <w:rFonts w:hint="eastAsia"/>
          <w:sz w:val="30"/>
          <w:szCs w:val="30"/>
        </w:rPr>
      </w:pPr>
      <w:r>
        <w:rPr>
          <w:rFonts w:hint="eastAsia"/>
          <w:sz w:val="30"/>
          <w:szCs w:val="30"/>
        </w:rPr>
        <w:t>NT Principles for Interpreting OTKP</w:t>
      </w:r>
    </w:p>
    <w:p w14:paraId="7322B3DE">
      <w:pPr>
        <w:pStyle w:val="9"/>
        <w:spacing w:before="11"/>
        <w:ind w:left="0"/>
        <w:jc w:val="left"/>
        <w:rPr>
          <w:rFonts w:hint="eastAsia"/>
          <w:sz w:val="30"/>
          <w:szCs w:val="30"/>
        </w:rPr>
      </w:pPr>
      <w:r>
        <w:rPr>
          <w:rFonts w:hint="eastAsia"/>
          <w:sz w:val="30"/>
          <w:szCs w:val="30"/>
        </w:rPr>
        <w:t>解释旧约国度预言的新约原则</w:t>
      </w:r>
    </w:p>
    <w:p w14:paraId="68F33180">
      <w:pPr>
        <w:pStyle w:val="9"/>
        <w:spacing w:before="11"/>
        <w:ind w:left="0"/>
        <w:jc w:val="left"/>
        <w:rPr>
          <w:rFonts w:hint="eastAsia"/>
          <w:sz w:val="30"/>
          <w:szCs w:val="30"/>
        </w:rPr>
      </w:pPr>
    </w:p>
    <w:p w14:paraId="1408DDCD">
      <w:pPr>
        <w:pStyle w:val="9"/>
        <w:spacing w:before="11"/>
        <w:ind w:left="0"/>
        <w:jc w:val="left"/>
        <w:rPr>
          <w:rFonts w:hint="eastAsia"/>
          <w:sz w:val="30"/>
          <w:szCs w:val="30"/>
        </w:rPr>
      </w:pPr>
      <w:r>
        <w:rPr>
          <w:rFonts w:hint="eastAsia"/>
          <w:sz w:val="30"/>
          <w:szCs w:val="30"/>
        </w:rPr>
        <w:t>Having surveyed the several elements of the NCH, we are now ready to focus our attention on the portion of OT revelation that concerns us most: Old Testament Kingdom Prophecy.</w:t>
      </w:r>
    </w:p>
    <w:p w14:paraId="39DECD1F">
      <w:pPr>
        <w:pStyle w:val="9"/>
        <w:spacing w:before="11"/>
        <w:ind w:left="0"/>
        <w:jc w:val="left"/>
        <w:rPr>
          <w:rFonts w:hint="eastAsia"/>
          <w:sz w:val="30"/>
          <w:szCs w:val="30"/>
        </w:rPr>
      </w:pPr>
      <w:r>
        <w:rPr>
          <w:rFonts w:hint="eastAsia"/>
          <w:sz w:val="30"/>
          <w:szCs w:val="30"/>
        </w:rPr>
        <w:t>考察了新约解释学（NCH）的几个要素之后，我们现在准备将注意力集中在我们最关心的旧约启示部分：旧约国度预言。</w:t>
      </w:r>
    </w:p>
    <w:p w14:paraId="6065E078">
      <w:pPr>
        <w:pStyle w:val="9"/>
        <w:spacing w:before="11"/>
        <w:ind w:left="0"/>
        <w:jc w:val="left"/>
        <w:rPr>
          <w:rFonts w:hint="eastAsia"/>
          <w:sz w:val="30"/>
          <w:szCs w:val="30"/>
        </w:rPr>
      </w:pPr>
    </w:p>
    <w:p w14:paraId="77872B1D">
      <w:pPr>
        <w:pStyle w:val="9"/>
        <w:spacing w:before="11"/>
        <w:ind w:left="0"/>
        <w:jc w:val="left"/>
        <w:rPr>
          <w:rFonts w:hint="eastAsia"/>
          <w:sz w:val="30"/>
          <w:szCs w:val="30"/>
        </w:rPr>
      </w:pPr>
      <w:r>
        <w:rPr>
          <w:rFonts w:hint="eastAsia"/>
          <w:sz w:val="30"/>
          <w:szCs w:val="30"/>
        </w:rPr>
        <w:t>My approach in this section will be to offer a few introductory remarks about OTKP, and then set forth three broad NT principles for its proper interpretation.</w:t>
      </w:r>
    </w:p>
    <w:p w14:paraId="79C7A10B">
      <w:pPr>
        <w:pStyle w:val="9"/>
        <w:spacing w:before="11"/>
        <w:ind w:left="0"/>
        <w:jc w:val="left"/>
        <w:rPr>
          <w:rFonts w:hint="eastAsia"/>
          <w:sz w:val="30"/>
          <w:szCs w:val="30"/>
        </w:rPr>
      </w:pPr>
      <w:r>
        <w:rPr>
          <w:rFonts w:hint="eastAsia"/>
          <w:sz w:val="30"/>
          <w:szCs w:val="30"/>
        </w:rPr>
        <w:t>我在本节的方法是，先对旧约国度预言（OTKP）作一些介绍性说明，然后提出三个宽泛的新约原则，以正确地解释它。</w:t>
      </w:r>
    </w:p>
    <w:p w14:paraId="29322E01">
      <w:pPr>
        <w:pStyle w:val="9"/>
        <w:spacing w:before="11"/>
        <w:ind w:left="0"/>
        <w:jc w:val="left"/>
        <w:rPr>
          <w:rFonts w:hint="eastAsia"/>
          <w:sz w:val="30"/>
          <w:szCs w:val="30"/>
        </w:rPr>
      </w:pPr>
    </w:p>
    <w:p w14:paraId="6E108CFE">
      <w:pPr>
        <w:pStyle w:val="9"/>
        <w:spacing w:before="11"/>
        <w:ind w:left="0"/>
        <w:jc w:val="left"/>
        <w:rPr>
          <w:rFonts w:hint="eastAsia"/>
          <w:sz w:val="30"/>
          <w:szCs w:val="30"/>
        </w:rPr>
      </w:pPr>
      <w:r>
        <w:rPr>
          <w:rFonts w:hint="eastAsia"/>
          <w:sz w:val="30"/>
          <w:szCs w:val="30"/>
        </w:rPr>
        <w:t>In chapter 14, we will watch the apostles put those principles to work.</w:t>
      </w:r>
    </w:p>
    <w:p w14:paraId="1F83950F">
      <w:pPr>
        <w:pStyle w:val="9"/>
        <w:spacing w:before="11"/>
        <w:ind w:left="0"/>
        <w:jc w:val="left"/>
        <w:rPr>
          <w:rFonts w:hint="eastAsia"/>
          <w:sz w:val="30"/>
          <w:szCs w:val="30"/>
        </w:rPr>
      </w:pPr>
      <w:r>
        <w:rPr>
          <w:rFonts w:hint="eastAsia"/>
          <w:sz w:val="30"/>
          <w:szCs w:val="30"/>
        </w:rPr>
        <w:t>在第14章，我们将观察使徒们如何将这些原则付诸实践。</w:t>
      </w:r>
    </w:p>
    <w:p w14:paraId="39BDB1D9">
      <w:pPr>
        <w:pStyle w:val="9"/>
        <w:spacing w:before="11"/>
        <w:ind w:left="0"/>
        <w:jc w:val="left"/>
        <w:rPr>
          <w:rFonts w:hint="eastAsia"/>
          <w:sz w:val="30"/>
          <w:szCs w:val="30"/>
        </w:rPr>
      </w:pPr>
    </w:p>
    <w:p w14:paraId="71DFABDC">
      <w:pPr>
        <w:pStyle w:val="9"/>
        <w:spacing w:before="11"/>
        <w:ind w:left="0"/>
        <w:jc w:val="left"/>
        <w:rPr>
          <w:rFonts w:hint="eastAsia"/>
          <w:sz w:val="30"/>
          <w:szCs w:val="30"/>
        </w:rPr>
      </w:pPr>
      <w:r>
        <w:rPr>
          <w:rFonts w:hint="eastAsia"/>
          <w:sz w:val="30"/>
          <w:szCs w:val="30"/>
        </w:rPr>
        <w:t>OTKP Defined</w:t>
      </w:r>
    </w:p>
    <w:p w14:paraId="7F8F5328">
      <w:pPr>
        <w:pStyle w:val="9"/>
        <w:spacing w:before="11"/>
        <w:ind w:left="0"/>
        <w:jc w:val="left"/>
        <w:rPr>
          <w:rFonts w:hint="eastAsia"/>
          <w:sz w:val="30"/>
          <w:szCs w:val="30"/>
        </w:rPr>
      </w:pPr>
      <w:r>
        <w:rPr>
          <w:rFonts w:hint="eastAsia"/>
          <w:sz w:val="30"/>
          <w:szCs w:val="30"/>
        </w:rPr>
        <w:t>旧约国度预言的定义</w:t>
      </w:r>
    </w:p>
    <w:p w14:paraId="02284655">
      <w:pPr>
        <w:pStyle w:val="9"/>
        <w:spacing w:before="11"/>
        <w:ind w:left="0"/>
        <w:jc w:val="left"/>
        <w:rPr>
          <w:rFonts w:hint="eastAsia"/>
          <w:sz w:val="30"/>
          <w:szCs w:val="30"/>
        </w:rPr>
      </w:pPr>
    </w:p>
    <w:p w14:paraId="4A3BB445">
      <w:pPr>
        <w:pStyle w:val="9"/>
        <w:spacing w:before="11"/>
        <w:ind w:left="0"/>
        <w:jc w:val="left"/>
        <w:rPr>
          <w:rFonts w:hint="eastAsia"/>
          <w:sz w:val="30"/>
          <w:szCs w:val="30"/>
        </w:rPr>
      </w:pPr>
      <w:r>
        <w:rPr>
          <w:rFonts w:hint="eastAsia"/>
          <w:sz w:val="30"/>
          <w:szCs w:val="30"/>
        </w:rPr>
        <w:t>There is simple OT prophecy, and there is OTKP.</w:t>
      </w:r>
    </w:p>
    <w:p w14:paraId="1FDF028F">
      <w:pPr>
        <w:pStyle w:val="9"/>
        <w:spacing w:before="11"/>
        <w:ind w:left="0"/>
        <w:jc w:val="left"/>
        <w:rPr>
          <w:rFonts w:hint="eastAsia"/>
          <w:sz w:val="30"/>
          <w:szCs w:val="30"/>
        </w:rPr>
      </w:pPr>
      <w:r>
        <w:rPr>
          <w:rFonts w:hint="eastAsia"/>
          <w:sz w:val="30"/>
          <w:szCs w:val="30"/>
        </w:rPr>
        <w:t>有简单的旧约预言，也有旧约国度预言（OTKP）。</w:t>
      </w:r>
    </w:p>
    <w:p w14:paraId="3CD04B31">
      <w:pPr>
        <w:pStyle w:val="9"/>
        <w:spacing w:before="11"/>
        <w:ind w:left="0"/>
        <w:jc w:val="left"/>
        <w:rPr>
          <w:rFonts w:hint="eastAsia"/>
          <w:sz w:val="30"/>
          <w:szCs w:val="30"/>
        </w:rPr>
      </w:pPr>
    </w:p>
    <w:p w14:paraId="07D815AF">
      <w:pPr>
        <w:pStyle w:val="9"/>
        <w:spacing w:before="11"/>
        <w:ind w:left="0"/>
        <w:jc w:val="left"/>
        <w:rPr>
          <w:rFonts w:hint="eastAsia"/>
          <w:sz w:val="30"/>
          <w:szCs w:val="30"/>
        </w:rPr>
      </w:pPr>
      <w:r>
        <w:rPr>
          <w:rFonts w:hint="eastAsia"/>
          <w:sz w:val="30"/>
          <w:szCs w:val="30"/>
        </w:rPr>
        <w:t>By simple OT prophecy, I mean any OT prediction that was fulfilled in OT times.</w:t>
      </w:r>
    </w:p>
    <w:p w14:paraId="3990AE6E">
      <w:pPr>
        <w:pStyle w:val="9"/>
        <w:spacing w:before="11"/>
        <w:ind w:left="0"/>
        <w:jc w:val="left"/>
        <w:rPr>
          <w:rFonts w:hint="eastAsia"/>
          <w:sz w:val="30"/>
          <w:szCs w:val="30"/>
        </w:rPr>
      </w:pPr>
      <w:r>
        <w:rPr>
          <w:rFonts w:hint="eastAsia"/>
          <w:sz w:val="30"/>
          <w:szCs w:val="30"/>
        </w:rPr>
        <w:t>我所说的简单旧约预言，是指任何在旧约时代应验的旧约预测。</w:t>
      </w:r>
    </w:p>
    <w:p w14:paraId="4FC96B5B">
      <w:pPr>
        <w:pStyle w:val="9"/>
        <w:spacing w:before="11"/>
        <w:ind w:left="0"/>
        <w:jc w:val="left"/>
        <w:rPr>
          <w:rFonts w:hint="eastAsia"/>
          <w:sz w:val="30"/>
          <w:szCs w:val="30"/>
        </w:rPr>
      </w:pPr>
    </w:p>
    <w:p w14:paraId="2E180250">
      <w:pPr>
        <w:pStyle w:val="9"/>
        <w:spacing w:before="11"/>
        <w:ind w:left="0"/>
        <w:jc w:val="left"/>
        <w:rPr>
          <w:rFonts w:hint="eastAsia"/>
          <w:sz w:val="30"/>
          <w:szCs w:val="30"/>
        </w:rPr>
      </w:pPr>
      <w:r>
        <w:rPr>
          <w:rFonts w:hint="eastAsia"/>
          <w:sz w:val="30"/>
          <w:szCs w:val="30"/>
        </w:rPr>
        <w:t>God told Abraham that his family would live in Egypt for 400 years (Gen. 15:13).</w:t>
      </w:r>
    </w:p>
    <w:p w14:paraId="753A5E1F">
      <w:pPr>
        <w:pStyle w:val="9"/>
        <w:spacing w:before="11"/>
        <w:ind w:left="0"/>
        <w:jc w:val="left"/>
        <w:rPr>
          <w:rFonts w:hint="eastAsia"/>
          <w:sz w:val="30"/>
          <w:szCs w:val="30"/>
        </w:rPr>
      </w:pPr>
      <w:r>
        <w:rPr>
          <w:rFonts w:hint="eastAsia"/>
          <w:sz w:val="30"/>
          <w:szCs w:val="30"/>
        </w:rPr>
        <w:t>上帝告诉亚伯拉罕，他的家族将在埃及居住400年（创世记 15:13）。</w:t>
      </w:r>
    </w:p>
    <w:p w14:paraId="65684F52">
      <w:pPr>
        <w:pStyle w:val="9"/>
        <w:spacing w:before="11"/>
        <w:ind w:left="0"/>
        <w:jc w:val="left"/>
        <w:rPr>
          <w:rFonts w:hint="eastAsia"/>
          <w:sz w:val="30"/>
          <w:szCs w:val="30"/>
        </w:rPr>
      </w:pPr>
    </w:p>
    <w:p w14:paraId="05DA3E5E">
      <w:pPr>
        <w:pStyle w:val="9"/>
        <w:spacing w:before="11"/>
        <w:ind w:left="0"/>
        <w:jc w:val="left"/>
        <w:rPr>
          <w:rFonts w:hint="eastAsia"/>
          <w:sz w:val="30"/>
          <w:szCs w:val="30"/>
        </w:rPr>
      </w:pPr>
      <w:r>
        <w:rPr>
          <w:rFonts w:hint="eastAsia"/>
          <w:sz w:val="30"/>
          <w:szCs w:val="30"/>
        </w:rPr>
        <w:t>A man of God from Judah told Jeroboam that in days ahead a king named Josiah would burn dead men’s bones on his (Jeroboam’s) illicit altar (1 Kings 13:1-2).</w:t>
      </w:r>
    </w:p>
    <w:p w14:paraId="11586736">
      <w:pPr>
        <w:pStyle w:val="9"/>
        <w:spacing w:before="11"/>
        <w:ind w:left="0"/>
        <w:jc w:val="left"/>
        <w:rPr>
          <w:rFonts w:hint="eastAsia"/>
          <w:sz w:val="30"/>
          <w:szCs w:val="30"/>
        </w:rPr>
      </w:pPr>
      <w:r>
        <w:rPr>
          <w:rFonts w:hint="eastAsia"/>
          <w:sz w:val="30"/>
          <w:szCs w:val="30"/>
        </w:rPr>
        <w:t>一位从犹大来的神人告诉耶罗波安，在未来的日子里，一位名叫约西亚的君王将在他（耶罗波安）非法的坛上焚烧死人的骨头（列王纪上 13:1-2）。</w:t>
      </w:r>
    </w:p>
    <w:p w14:paraId="16440BBC">
      <w:pPr>
        <w:pStyle w:val="9"/>
        <w:spacing w:before="11"/>
        <w:ind w:left="0"/>
        <w:jc w:val="left"/>
        <w:rPr>
          <w:rFonts w:hint="eastAsia"/>
          <w:sz w:val="30"/>
          <w:szCs w:val="30"/>
        </w:rPr>
      </w:pPr>
    </w:p>
    <w:p w14:paraId="253BD31B">
      <w:pPr>
        <w:pStyle w:val="9"/>
        <w:spacing w:before="11"/>
        <w:ind w:left="0"/>
        <w:jc w:val="left"/>
        <w:rPr>
          <w:rFonts w:hint="eastAsia"/>
          <w:sz w:val="30"/>
          <w:szCs w:val="30"/>
        </w:rPr>
      </w:pPr>
      <w:r>
        <w:rPr>
          <w:rFonts w:hint="eastAsia"/>
          <w:sz w:val="30"/>
          <w:szCs w:val="30"/>
        </w:rPr>
        <w:t>Isaiah predicted that a Persian king named Cyrus would give the order to rebuild Jerusalem (Isaiah 44:28).</w:t>
      </w:r>
    </w:p>
    <w:p w14:paraId="628F0E85">
      <w:pPr>
        <w:pStyle w:val="9"/>
        <w:spacing w:before="11"/>
        <w:ind w:left="0"/>
        <w:jc w:val="left"/>
        <w:rPr>
          <w:rFonts w:hint="eastAsia"/>
          <w:sz w:val="30"/>
          <w:szCs w:val="30"/>
        </w:rPr>
      </w:pPr>
      <w:r>
        <w:rPr>
          <w:rFonts w:hint="eastAsia"/>
          <w:sz w:val="30"/>
          <w:szCs w:val="30"/>
        </w:rPr>
        <w:t>以赛亚预言一位名叫古列的波斯王将下令重建耶路撒冷（以赛亚书 44:28）。</w:t>
      </w:r>
    </w:p>
    <w:p w14:paraId="642A1250">
      <w:pPr>
        <w:pStyle w:val="9"/>
        <w:spacing w:before="11"/>
        <w:ind w:left="0"/>
        <w:jc w:val="left"/>
        <w:rPr>
          <w:rFonts w:hint="eastAsia"/>
          <w:sz w:val="30"/>
          <w:szCs w:val="30"/>
        </w:rPr>
      </w:pPr>
    </w:p>
    <w:p w14:paraId="1074896D">
      <w:pPr>
        <w:pStyle w:val="9"/>
        <w:spacing w:before="11"/>
        <w:ind w:left="0"/>
        <w:jc w:val="left"/>
        <w:rPr>
          <w:rFonts w:hint="eastAsia"/>
          <w:sz w:val="30"/>
          <w:szCs w:val="30"/>
        </w:rPr>
      </w:pPr>
      <w:r>
        <w:rPr>
          <w:rFonts w:hint="eastAsia"/>
          <w:sz w:val="30"/>
          <w:szCs w:val="30"/>
        </w:rPr>
        <w:t>All of these are examples of simple OT predictive prophecy, since all were fulfilled in OT times.</w:t>
      </w:r>
    </w:p>
    <w:p w14:paraId="3C8E37BD">
      <w:pPr>
        <w:pStyle w:val="9"/>
        <w:spacing w:before="11"/>
        <w:ind w:left="0"/>
        <w:jc w:val="left"/>
        <w:rPr>
          <w:rFonts w:hint="eastAsia"/>
          <w:sz w:val="30"/>
          <w:szCs w:val="30"/>
        </w:rPr>
      </w:pPr>
      <w:r>
        <w:rPr>
          <w:rFonts w:hint="eastAsia"/>
          <w:sz w:val="30"/>
          <w:szCs w:val="30"/>
        </w:rPr>
        <w:t>所有这些都是简单的旧约预测性预言的例子，因为它们都在旧约时代应验了。</w:t>
      </w:r>
    </w:p>
    <w:p w14:paraId="6016F76A">
      <w:pPr>
        <w:pStyle w:val="9"/>
        <w:spacing w:before="11"/>
        <w:ind w:left="0"/>
        <w:jc w:val="left"/>
        <w:rPr>
          <w:rFonts w:hint="eastAsia"/>
          <w:sz w:val="30"/>
          <w:szCs w:val="30"/>
        </w:rPr>
      </w:pPr>
    </w:p>
    <w:p w14:paraId="3B3B95CB">
      <w:pPr>
        <w:pStyle w:val="9"/>
        <w:spacing w:before="11"/>
        <w:ind w:left="0"/>
        <w:jc w:val="left"/>
        <w:rPr>
          <w:rFonts w:hint="eastAsia"/>
          <w:sz w:val="30"/>
          <w:szCs w:val="30"/>
        </w:rPr>
      </w:pPr>
      <w:r>
        <w:rPr>
          <w:rFonts w:hint="eastAsia"/>
          <w:sz w:val="30"/>
          <w:szCs w:val="30"/>
        </w:rPr>
        <w:t>Note carefully a crucial characteristic of simple OT prophecies: They all were literally fulfilled.</w:t>
      </w:r>
    </w:p>
    <w:p w14:paraId="3687148F">
      <w:pPr>
        <w:pStyle w:val="9"/>
        <w:spacing w:before="11"/>
        <w:ind w:left="0"/>
        <w:jc w:val="left"/>
        <w:rPr>
          <w:rFonts w:hint="eastAsia"/>
          <w:sz w:val="30"/>
          <w:szCs w:val="30"/>
        </w:rPr>
      </w:pPr>
      <w:r>
        <w:rPr>
          <w:rFonts w:hint="eastAsia"/>
          <w:sz w:val="30"/>
          <w:szCs w:val="30"/>
        </w:rPr>
        <w:t>请仔细注意简单旧约预言的一个关键特征：它们都是按字面意思应验的。</w:t>
      </w:r>
    </w:p>
    <w:p w14:paraId="0B552521">
      <w:pPr>
        <w:pStyle w:val="9"/>
        <w:spacing w:before="11"/>
        <w:ind w:left="0"/>
        <w:jc w:val="left"/>
        <w:rPr>
          <w:rFonts w:hint="eastAsia"/>
          <w:sz w:val="30"/>
          <w:szCs w:val="30"/>
        </w:rPr>
      </w:pPr>
    </w:p>
    <w:p w14:paraId="63EF45CD">
      <w:pPr>
        <w:pStyle w:val="9"/>
        <w:spacing w:before="11"/>
        <w:ind w:left="0"/>
        <w:jc w:val="left"/>
        <w:rPr>
          <w:rFonts w:hint="eastAsia"/>
          <w:sz w:val="30"/>
          <w:szCs w:val="30"/>
        </w:rPr>
      </w:pPr>
      <w:r>
        <w:rPr>
          <w:rFonts w:hint="eastAsia"/>
          <w:sz w:val="30"/>
          <w:szCs w:val="30"/>
        </w:rPr>
        <w:t>There was no good reason for them not to be.</w:t>
      </w:r>
    </w:p>
    <w:p w14:paraId="22E1EABD">
      <w:pPr>
        <w:pStyle w:val="9"/>
        <w:spacing w:before="11"/>
        <w:ind w:left="0"/>
        <w:jc w:val="left"/>
        <w:rPr>
          <w:rFonts w:hint="eastAsia"/>
          <w:sz w:val="30"/>
          <w:szCs w:val="30"/>
        </w:rPr>
      </w:pPr>
      <w:r>
        <w:rPr>
          <w:rFonts w:hint="eastAsia"/>
          <w:sz w:val="30"/>
          <w:szCs w:val="30"/>
        </w:rPr>
        <w:t>没有充分的理由让它们不按字面意思应验。</w:t>
      </w:r>
    </w:p>
    <w:p w14:paraId="644F6F09">
      <w:pPr>
        <w:pStyle w:val="9"/>
        <w:spacing w:before="11"/>
        <w:ind w:left="0"/>
        <w:jc w:val="left"/>
        <w:rPr>
          <w:rFonts w:hint="eastAsia"/>
          <w:sz w:val="30"/>
          <w:szCs w:val="30"/>
        </w:rPr>
      </w:pPr>
    </w:p>
    <w:p w14:paraId="43F436E7">
      <w:pPr>
        <w:pStyle w:val="9"/>
        <w:spacing w:before="11"/>
        <w:ind w:left="0"/>
        <w:jc w:val="left"/>
        <w:rPr>
          <w:rFonts w:hint="eastAsia"/>
          <w:sz w:val="30"/>
          <w:szCs w:val="30"/>
        </w:rPr>
      </w:pPr>
      <w:r>
        <w:rPr>
          <w:rFonts w:hint="eastAsia"/>
          <w:sz w:val="30"/>
          <w:szCs w:val="30"/>
        </w:rPr>
        <w:t>OTKP prophecy is different.</w:t>
      </w:r>
    </w:p>
    <w:p w14:paraId="14F45F41">
      <w:pPr>
        <w:pStyle w:val="9"/>
        <w:spacing w:before="11"/>
        <w:ind w:left="0"/>
        <w:jc w:val="left"/>
        <w:rPr>
          <w:rFonts w:hint="eastAsia"/>
          <w:sz w:val="30"/>
          <w:szCs w:val="30"/>
        </w:rPr>
      </w:pPr>
      <w:r>
        <w:rPr>
          <w:rFonts w:hint="eastAsia"/>
          <w:sz w:val="30"/>
          <w:szCs w:val="30"/>
        </w:rPr>
        <w:t>旧约国度预言（OTKP）的预言是不同的。</w:t>
      </w:r>
    </w:p>
    <w:p w14:paraId="2F4553AE">
      <w:pPr>
        <w:pStyle w:val="9"/>
        <w:spacing w:before="11"/>
        <w:ind w:left="0"/>
        <w:jc w:val="left"/>
        <w:rPr>
          <w:rFonts w:hint="eastAsia"/>
          <w:sz w:val="30"/>
          <w:szCs w:val="30"/>
        </w:rPr>
      </w:pPr>
    </w:p>
    <w:p w14:paraId="571FCA18">
      <w:pPr>
        <w:pStyle w:val="9"/>
        <w:spacing w:before="11"/>
        <w:ind w:left="0"/>
        <w:jc w:val="left"/>
        <w:rPr>
          <w:rFonts w:hint="eastAsia"/>
          <w:sz w:val="30"/>
          <w:szCs w:val="30"/>
        </w:rPr>
      </w:pPr>
      <w:r>
        <w:rPr>
          <w:rFonts w:hint="eastAsia"/>
          <w:sz w:val="30"/>
          <w:szCs w:val="30"/>
        </w:rPr>
        <w:t>Yes, it too is predictive, promising as it does a future Kingdom; a Kingdom in which God, through his Messiah, will redeem his people, rescuing them from every enemy of the Domain of Darkness, and restoring them to every blessing of his direct spiritual rule.</w:t>
      </w:r>
    </w:p>
    <w:p w14:paraId="160109AA">
      <w:pPr>
        <w:pStyle w:val="9"/>
        <w:spacing w:before="11"/>
        <w:ind w:left="0"/>
        <w:jc w:val="left"/>
        <w:rPr>
          <w:rFonts w:hint="eastAsia"/>
          <w:sz w:val="30"/>
          <w:szCs w:val="30"/>
        </w:rPr>
      </w:pPr>
      <w:r>
        <w:rPr>
          <w:rFonts w:hint="eastAsia"/>
          <w:sz w:val="30"/>
          <w:szCs w:val="30"/>
        </w:rPr>
        <w:t>是的，它也是预测性的，因为它应许了一个未来的国度；一个上帝将通过祂的弥赛亚救赎祂子民的国度，将他们从黑暗权势的每一个仇敌中拯救出来，并将他们恢复到祂直接属灵统治的每一个祝福中。</w:t>
      </w:r>
    </w:p>
    <w:p w14:paraId="1D4EAB64">
      <w:pPr>
        <w:pStyle w:val="9"/>
        <w:spacing w:before="11"/>
        <w:ind w:left="0"/>
        <w:jc w:val="left"/>
        <w:rPr>
          <w:rFonts w:hint="eastAsia"/>
          <w:sz w:val="30"/>
          <w:szCs w:val="30"/>
        </w:rPr>
      </w:pPr>
    </w:p>
    <w:p w14:paraId="4027B94F">
      <w:pPr>
        <w:pStyle w:val="9"/>
        <w:spacing w:before="11"/>
        <w:ind w:left="0"/>
        <w:jc w:val="left"/>
        <w:rPr>
          <w:rFonts w:hint="eastAsia"/>
          <w:sz w:val="30"/>
          <w:szCs w:val="30"/>
        </w:rPr>
      </w:pPr>
      <w:r>
        <w:rPr>
          <w:rFonts w:hint="eastAsia"/>
          <w:sz w:val="30"/>
          <w:szCs w:val="30"/>
        </w:rPr>
        <w:t>But unlike simple OT prophecy, OTKP it is not fulfilled in OT times.</w:t>
      </w:r>
    </w:p>
    <w:p w14:paraId="4AEA9427">
      <w:pPr>
        <w:pStyle w:val="9"/>
        <w:spacing w:before="11"/>
        <w:ind w:left="0"/>
        <w:jc w:val="left"/>
        <w:rPr>
          <w:rFonts w:hint="eastAsia"/>
          <w:sz w:val="30"/>
          <w:szCs w:val="30"/>
        </w:rPr>
      </w:pPr>
      <w:r>
        <w:rPr>
          <w:rFonts w:hint="eastAsia"/>
          <w:sz w:val="30"/>
          <w:szCs w:val="30"/>
        </w:rPr>
        <w:t>但与简单的旧约预言不同，旧约国度预言（OTKP）不是在旧约时代应验的。</w:t>
      </w:r>
    </w:p>
    <w:p w14:paraId="1894C2A0">
      <w:pPr>
        <w:pStyle w:val="9"/>
        <w:spacing w:before="11"/>
        <w:ind w:left="0"/>
        <w:jc w:val="left"/>
        <w:rPr>
          <w:rFonts w:hint="eastAsia"/>
          <w:sz w:val="30"/>
          <w:szCs w:val="30"/>
        </w:rPr>
      </w:pPr>
    </w:p>
    <w:p w14:paraId="3C225A4E">
      <w:pPr>
        <w:pStyle w:val="9"/>
        <w:spacing w:before="11"/>
        <w:ind w:left="0"/>
        <w:jc w:val="left"/>
        <w:rPr>
          <w:rFonts w:hint="eastAsia"/>
          <w:sz w:val="30"/>
          <w:szCs w:val="30"/>
        </w:rPr>
      </w:pPr>
      <w:r>
        <w:rPr>
          <w:rFonts w:hint="eastAsia"/>
          <w:sz w:val="30"/>
          <w:szCs w:val="30"/>
        </w:rPr>
        <w:t>Rather, it is fulfilled in NT times.</w:t>
      </w:r>
    </w:p>
    <w:p w14:paraId="04963BE5">
      <w:pPr>
        <w:pStyle w:val="9"/>
        <w:spacing w:before="11"/>
        <w:ind w:left="0"/>
        <w:jc w:val="left"/>
        <w:rPr>
          <w:rFonts w:hint="eastAsia"/>
          <w:sz w:val="30"/>
          <w:szCs w:val="30"/>
        </w:rPr>
      </w:pPr>
      <w:r>
        <w:rPr>
          <w:rFonts w:hint="eastAsia"/>
          <w:sz w:val="30"/>
          <w:szCs w:val="30"/>
        </w:rPr>
        <w:t>而是，它在新约时代应验。</w:t>
      </w:r>
    </w:p>
    <w:p w14:paraId="01BC0932">
      <w:pPr>
        <w:pStyle w:val="9"/>
        <w:spacing w:before="11"/>
        <w:ind w:left="0"/>
        <w:jc w:val="left"/>
        <w:rPr>
          <w:rFonts w:hint="eastAsia"/>
          <w:sz w:val="30"/>
          <w:szCs w:val="30"/>
        </w:rPr>
      </w:pPr>
    </w:p>
    <w:p w14:paraId="4169DE0E">
      <w:pPr>
        <w:pStyle w:val="9"/>
        <w:spacing w:before="11"/>
        <w:ind w:left="0"/>
        <w:jc w:val="left"/>
        <w:rPr>
          <w:rFonts w:hint="eastAsia"/>
          <w:sz w:val="30"/>
          <w:szCs w:val="30"/>
        </w:rPr>
      </w:pPr>
      <w:r>
        <w:rPr>
          <w:rFonts w:hint="eastAsia"/>
          <w:sz w:val="30"/>
          <w:szCs w:val="30"/>
        </w:rPr>
        <w:t>And because of progressive revelation— because God veiled his redemptive truth in OT times, but manifested and unveiled it in NT times—it needs “decoding.”</w:t>
      </w:r>
    </w:p>
    <w:p w14:paraId="4C54E6B1">
      <w:pPr>
        <w:pStyle w:val="9"/>
        <w:spacing w:before="11"/>
        <w:ind w:left="0"/>
        <w:jc w:val="left"/>
        <w:rPr>
          <w:rFonts w:hint="eastAsia"/>
          <w:sz w:val="30"/>
          <w:szCs w:val="30"/>
        </w:rPr>
      </w:pPr>
      <w:r>
        <w:rPr>
          <w:rFonts w:hint="eastAsia"/>
          <w:sz w:val="30"/>
          <w:szCs w:val="30"/>
        </w:rPr>
        <w:t>并且因为渐进启示——因为上帝在旧约时代遮蔽了祂的救赎真理，但在新约时代彰显并揭示了它——它需要“解码”。</w:t>
      </w:r>
    </w:p>
    <w:p w14:paraId="63710E78">
      <w:pPr>
        <w:pStyle w:val="9"/>
        <w:spacing w:before="11"/>
        <w:ind w:left="0"/>
        <w:jc w:val="left"/>
        <w:rPr>
          <w:rFonts w:hint="eastAsia"/>
          <w:sz w:val="30"/>
          <w:szCs w:val="30"/>
        </w:rPr>
      </w:pPr>
    </w:p>
    <w:p w14:paraId="69B297FF">
      <w:pPr>
        <w:pStyle w:val="9"/>
        <w:spacing w:before="11"/>
        <w:ind w:left="0"/>
        <w:jc w:val="left"/>
        <w:rPr>
          <w:rFonts w:hint="eastAsia"/>
          <w:sz w:val="30"/>
          <w:szCs w:val="30"/>
        </w:rPr>
      </w:pPr>
      <w:r>
        <w:rPr>
          <w:rFonts w:hint="eastAsia"/>
          <w:sz w:val="30"/>
          <w:szCs w:val="30"/>
        </w:rPr>
        <w:t>It needs to be interpreted covenantally, typologically, christologically, and ecclesiologically, and not literally.</w:t>
      </w:r>
    </w:p>
    <w:p w14:paraId="1F392B96">
      <w:pPr>
        <w:pStyle w:val="9"/>
        <w:spacing w:before="11"/>
        <w:ind w:left="0"/>
        <w:jc w:val="left"/>
        <w:rPr>
          <w:rFonts w:hint="eastAsia"/>
          <w:sz w:val="30"/>
          <w:szCs w:val="30"/>
        </w:rPr>
      </w:pPr>
      <w:r>
        <w:rPr>
          <w:rFonts w:hint="eastAsia"/>
          <w:sz w:val="30"/>
          <w:szCs w:val="30"/>
        </w:rPr>
        <w:t>它需要以圣约的、预表的、基督论的和教会论的方式来解释，而不是按字面意思。</w:t>
      </w:r>
    </w:p>
    <w:p w14:paraId="0B334482">
      <w:pPr>
        <w:pStyle w:val="9"/>
        <w:spacing w:before="11"/>
        <w:ind w:left="0"/>
        <w:jc w:val="left"/>
        <w:rPr>
          <w:rFonts w:hint="eastAsia"/>
          <w:sz w:val="30"/>
          <w:szCs w:val="30"/>
        </w:rPr>
      </w:pPr>
    </w:p>
    <w:p w14:paraId="7CD1C0F2">
      <w:pPr>
        <w:pStyle w:val="9"/>
        <w:spacing w:before="11"/>
        <w:ind w:left="0"/>
        <w:jc w:val="left"/>
        <w:rPr>
          <w:rFonts w:hint="eastAsia"/>
          <w:sz w:val="30"/>
          <w:szCs w:val="30"/>
        </w:rPr>
      </w:pPr>
      <w:r>
        <w:rPr>
          <w:rFonts w:hint="eastAsia"/>
          <w:sz w:val="30"/>
          <w:szCs w:val="30"/>
        </w:rPr>
        <w:t>It needs the NCH.</w:t>
      </w:r>
    </w:p>
    <w:p w14:paraId="6FACF9A1">
      <w:pPr>
        <w:pStyle w:val="9"/>
        <w:spacing w:before="11"/>
        <w:ind w:left="0"/>
        <w:jc w:val="left"/>
        <w:rPr>
          <w:rFonts w:hint="eastAsia"/>
          <w:sz w:val="30"/>
          <w:szCs w:val="30"/>
        </w:rPr>
      </w:pPr>
      <w:r>
        <w:rPr>
          <w:rFonts w:hint="eastAsia"/>
          <w:sz w:val="30"/>
          <w:szCs w:val="30"/>
        </w:rPr>
        <w:t>它需要新约解释学（NCH）。</w:t>
      </w:r>
    </w:p>
    <w:p w14:paraId="4DB9E8C7">
      <w:pPr>
        <w:pStyle w:val="9"/>
        <w:spacing w:before="11"/>
        <w:ind w:left="0"/>
        <w:jc w:val="left"/>
        <w:rPr>
          <w:rFonts w:hint="eastAsia"/>
          <w:sz w:val="30"/>
          <w:szCs w:val="30"/>
        </w:rPr>
      </w:pPr>
    </w:p>
    <w:p w14:paraId="1313EC89">
      <w:pPr>
        <w:pStyle w:val="9"/>
        <w:spacing w:before="11"/>
        <w:ind w:left="0"/>
        <w:jc w:val="left"/>
        <w:rPr>
          <w:rFonts w:hint="eastAsia"/>
          <w:sz w:val="30"/>
          <w:szCs w:val="30"/>
        </w:rPr>
      </w:pPr>
      <w:r>
        <w:rPr>
          <w:rFonts w:hint="eastAsia"/>
          <w:sz w:val="30"/>
          <w:szCs w:val="30"/>
        </w:rPr>
        <w:t>How exactly do we recognize an OTKP?</w:t>
      </w:r>
    </w:p>
    <w:p w14:paraId="56AA0DEC">
      <w:pPr>
        <w:pStyle w:val="9"/>
        <w:spacing w:before="11"/>
        <w:ind w:left="0"/>
        <w:jc w:val="left"/>
        <w:rPr>
          <w:rFonts w:hint="eastAsia"/>
          <w:sz w:val="30"/>
          <w:szCs w:val="30"/>
        </w:rPr>
      </w:pPr>
      <w:r>
        <w:rPr>
          <w:rFonts w:hint="eastAsia"/>
          <w:sz w:val="30"/>
          <w:szCs w:val="30"/>
        </w:rPr>
        <w:t>我们究竟如何识别一个旧约国度预言（OTKP）？</w:t>
      </w:r>
    </w:p>
    <w:p w14:paraId="656357DF">
      <w:pPr>
        <w:pStyle w:val="9"/>
        <w:spacing w:before="11"/>
        <w:ind w:left="0"/>
        <w:jc w:val="left"/>
        <w:rPr>
          <w:rFonts w:hint="eastAsia"/>
          <w:sz w:val="30"/>
          <w:szCs w:val="30"/>
        </w:rPr>
      </w:pPr>
    </w:p>
    <w:p w14:paraId="7637A944">
      <w:pPr>
        <w:pStyle w:val="9"/>
        <w:spacing w:before="11"/>
        <w:ind w:left="0"/>
        <w:jc w:val="left"/>
        <w:rPr>
          <w:rFonts w:hint="eastAsia"/>
          <w:sz w:val="30"/>
          <w:szCs w:val="30"/>
        </w:rPr>
      </w:pPr>
      <w:r>
        <w:rPr>
          <w:rFonts w:hint="eastAsia"/>
          <w:sz w:val="30"/>
          <w:szCs w:val="30"/>
        </w:rPr>
        <w:t>In part, we look for certain literary cues designed to signal that the prophecy immediately to follow looks beyond OT times into the New; that it looks into the last days, wherein Christ and the Covenant will appear.</w:t>
      </w:r>
    </w:p>
    <w:p w14:paraId="377CF759">
      <w:pPr>
        <w:pStyle w:val="9"/>
        <w:spacing w:before="11"/>
        <w:ind w:left="0"/>
        <w:jc w:val="left"/>
        <w:rPr>
          <w:rFonts w:hint="eastAsia"/>
          <w:sz w:val="30"/>
          <w:szCs w:val="30"/>
        </w:rPr>
      </w:pPr>
      <w:r>
        <w:rPr>
          <w:rFonts w:hint="eastAsia"/>
          <w:sz w:val="30"/>
          <w:szCs w:val="30"/>
        </w:rPr>
        <w:t>部分地，我们寻找某些文学线索，这些线索旨在表明紧随其后的预言超越了旧约时代，展望新约；它展望末后的日子，那时基督和圣约将会显现。</w:t>
      </w:r>
    </w:p>
    <w:p w14:paraId="4BAFE105">
      <w:pPr>
        <w:pStyle w:val="9"/>
        <w:spacing w:before="11"/>
        <w:ind w:left="0"/>
        <w:jc w:val="left"/>
        <w:rPr>
          <w:rFonts w:hint="eastAsia"/>
          <w:sz w:val="30"/>
          <w:szCs w:val="30"/>
        </w:rPr>
      </w:pPr>
    </w:p>
    <w:p w14:paraId="12422FB2">
      <w:pPr>
        <w:pStyle w:val="9"/>
        <w:spacing w:before="11"/>
        <w:ind w:left="0"/>
        <w:jc w:val="left"/>
        <w:rPr>
          <w:rFonts w:hint="eastAsia"/>
          <w:sz w:val="30"/>
          <w:szCs w:val="30"/>
        </w:rPr>
      </w:pPr>
      <w:r>
        <w:rPr>
          <w:rFonts w:hint="eastAsia"/>
          <w:sz w:val="30"/>
          <w:szCs w:val="30"/>
        </w:rPr>
        <w:t>These cues include such expressions as, “In that Day …” (Isaiah 2:11, 4:1-2, Jer. 30:8f); “At that time …” (Isaiah 18:7, Jer. 3:17); “Days are coming …” (Jer. 30:3, Amos 9:13); “The time is coming …” (Isaiah 66:18); “In latter-day s …” (Jer. 30:24, Dan. 10:14, Micah 4:1); “In latter years …” (Ezek. 38:8); and “Afterwards it will come to pass …” (Jer. 46:26, 49:6, Joel 2:28).</w:t>
      </w:r>
    </w:p>
    <w:p w14:paraId="33CFD912">
      <w:pPr>
        <w:pStyle w:val="9"/>
        <w:spacing w:before="11"/>
        <w:ind w:left="0"/>
        <w:jc w:val="left"/>
        <w:rPr>
          <w:rFonts w:hint="eastAsia"/>
          <w:sz w:val="30"/>
          <w:szCs w:val="30"/>
        </w:rPr>
      </w:pPr>
      <w:r>
        <w:rPr>
          <w:rFonts w:hint="eastAsia"/>
          <w:sz w:val="30"/>
          <w:szCs w:val="30"/>
        </w:rPr>
        <w:t>这些线索包括诸如“当那日……”（以赛亚书 2:11, 4:1-2, 耶利米书 30:8及后文）；“到那时候……”（以赛亚书 18:7, 耶利米书 3:17）；“日子将到……”（耶利米书 30:3, 阿摩司书 9:13）；“时候将到……”（以赛亚书 66:18）；“在末后的日子……”（耶利米书 30:24, 但以理书 10:14, 弥迦书 4:1）；“在末后的年间……”（以西结书 38:8）；以及“后来却要应验……”（耶利米书 46:26, 49:6, 约珥书 2:28）。</w:t>
      </w:r>
    </w:p>
    <w:p w14:paraId="3A8E9B67">
      <w:pPr>
        <w:pStyle w:val="9"/>
        <w:spacing w:before="11"/>
        <w:ind w:left="0"/>
        <w:jc w:val="left"/>
        <w:rPr>
          <w:rFonts w:hint="eastAsia"/>
          <w:sz w:val="30"/>
          <w:szCs w:val="30"/>
        </w:rPr>
      </w:pPr>
    </w:p>
    <w:p w14:paraId="75E343A2">
      <w:pPr>
        <w:pStyle w:val="9"/>
        <w:spacing w:before="11"/>
        <w:ind w:left="0"/>
        <w:jc w:val="left"/>
        <w:rPr>
          <w:rFonts w:hint="eastAsia"/>
          <w:sz w:val="30"/>
          <w:szCs w:val="30"/>
        </w:rPr>
      </w:pPr>
      <w:r>
        <w:rPr>
          <w:rFonts w:hint="eastAsia"/>
          <w:sz w:val="30"/>
          <w:szCs w:val="30"/>
        </w:rPr>
        <w:t>Usually, though not always, these phrases herald an OTKP.</w:t>
      </w:r>
    </w:p>
    <w:p w14:paraId="57EE7211">
      <w:pPr>
        <w:pStyle w:val="9"/>
        <w:spacing w:before="11"/>
        <w:ind w:left="0"/>
        <w:jc w:val="left"/>
        <w:rPr>
          <w:rFonts w:hint="eastAsia"/>
          <w:sz w:val="30"/>
          <w:szCs w:val="30"/>
        </w:rPr>
      </w:pPr>
      <w:r>
        <w:rPr>
          <w:rFonts w:hint="eastAsia"/>
          <w:sz w:val="30"/>
          <w:szCs w:val="30"/>
        </w:rPr>
        <w:t>通常，虽然并非总是如此，这些短语预示着一个旧约国度预言（OTKP）。</w:t>
      </w:r>
    </w:p>
    <w:p w14:paraId="58DB2A40">
      <w:pPr>
        <w:pStyle w:val="9"/>
        <w:spacing w:before="11"/>
        <w:ind w:left="0"/>
        <w:jc w:val="left"/>
        <w:rPr>
          <w:rFonts w:hint="eastAsia"/>
          <w:sz w:val="30"/>
          <w:szCs w:val="30"/>
        </w:rPr>
      </w:pPr>
    </w:p>
    <w:p w14:paraId="7044AFBA">
      <w:pPr>
        <w:pStyle w:val="9"/>
        <w:spacing w:before="11"/>
        <w:ind w:left="0"/>
        <w:jc w:val="left"/>
        <w:rPr>
          <w:rFonts w:hint="eastAsia"/>
          <w:sz w:val="30"/>
          <w:szCs w:val="30"/>
        </w:rPr>
      </w:pPr>
      <w:r>
        <w:rPr>
          <w:rFonts w:hint="eastAsia"/>
          <w:sz w:val="30"/>
          <w:szCs w:val="30"/>
        </w:rPr>
        <w:t>More important than cues, however, is content.</w:t>
      </w:r>
    </w:p>
    <w:p w14:paraId="179D304F">
      <w:pPr>
        <w:pStyle w:val="9"/>
        <w:spacing w:before="11"/>
        <w:ind w:left="0"/>
        <w:jc w:val="left"/>
        <w:rPr>
          <w:rFonts w:hint="eastAsia"/>
          <w:sz w:val="30"/>
          <w:szCs w:val="30"/>
        </w:rPr>
      </w:pPr>
      <w:r>
        <w:rPr>
          <w:rFonts w:hint="eastAsia"/>
          <w:sz w:val="30"/>
          <w:szCs w:val="30"/>
        </w:rPr>
        <w:t>然而，比线索更重要的是内容。</w:t>
      </w:r>
    </w:p>
    <w:p w14:paraId="41EF8844">
      <w:pPr>
        <w:pStyle w:val="9"/>
        <w:spacing w:before="11"/>
        <w:ind w:left="0"/>
        <w:jc w:val="left"/>
        <w:rPr>
          <w:rFonts w:hint="eastAsia"/>
          <w:sz w:val="30"/>
          <w:szCs w:val="30"/>
        </w:rPr>
      </w:pPr>
    </w:p>
    <w:p w14:paraId="4E4CDFAE">
      <w:pPr>
        <w:pStyle w:val="9"/>
        <w:spacing w:before="11"/>
        <w:ind w:left="0"/>
        <w:jc w:val="left"/>
        <w:rPr>
          <w:rFonts w:hint="eastAsia"/>
          <w:sz w:val="30"/>
          <w:szCs w:val="30"/>
        </w:rPr>
      </w:pPr>
      <w:r>
        <w:rPr>
          <w:rFonts w:hint="eastAsia"/>
          <w:sz w:val="30"/>
          <w:szCs w:val="30"/>
        </w:rPr>
        <w:t>Does the prophecy speak of Israel’s final rescue from captivity, and/or her final restoration to the Promised Land?</w:t>
      </w:r>
    </w:p>
    <w:p w14:paraId="6D8CB317">
      <w:pPr>
        <w:pStyle w:val="9"/>
        <w:spacing w:before="11"/>
        <w:ind w:left="0"/>
        <w:jc w:val="left"/>
        <w:rPr>
          <w:rFonts w:hint="eastAsia"/>
          <w:sz w:val="30"/>
          <w:szCs w:val="30"/>
        </w:rPr>
      </w:pPr>
      <w:r>
        <w:rPr>
          <w:rFonts w:hint="eastAsia"/>
          <w:sz w:val="30"/>
          <w:szCs w:val="30"/>
        </w:rPr>
        <w:t>这个预言是否谈到以色列从被掳中最终得拯救，和/或她最终复兴归回应许之地？</w:t>
      </w:r>
    </w:p>
    <w:p w14:paraId="5EEBF275">
      <w:pPr>
        <w:pStyle w:val="9"/>
        <w:spacing w:before="11"/>
        <w:ind w:left="0"/>
        <w:jc w:val="left"/>
        <w:rPr>
          <w:rFonts w:hint="eastAsia"/>
          <w:sz w:val="30"/>
          <w:szCs w:val="30"/>
        </w:rPr>
      </w:pPr>
    </w:p>
    <w:p w14:paraId="5B9CEB0F">
      <w:pPr>
        <w:pStyle w:val="9"/>
        <w:spacing w:before="11"/>
        <w:ind w:left="0"/>
        <w:jc w:val="left"/>
        <w:rPr>
          <w:rFonts w:hint="eastAsia"/>
          <w:sz w:val="30"/>
          <w:szCs w:val="30"/>
        </w:rPr>
      </w:pPr>
      <w:r>
        <w:rPr>
          <w:rFonts w:hint="eastAsia"/>
          <w:sz w:val="30"/>
          <w:szCs w:val="30"/>
        </w:rPr>
        <w:t>Does it speak of the Person and Work of the Messiah after his exaltation as High King, and of the progress of his Kingdom in the earth?</w:t>
      </w:r>
    </w:p>
    <w:p w14:paraId="1AAF3E7F">
      <w:pPr>
        <w:pStyle w:val="9"/>
        <w:spacing w:before="11"/>
        <w:ind w:left="0"/>
        <w:jc w:val="left"/>
        <w:rPr>
          <w:rFonts w:hint="eastAsia"/>
          <w:sz w:val="30"/>
          <w:szCs w:val="30"/>
        </w:rPr>
      </w:pPr>
      <w:r>
        <w:rPr>
          <w:rFonts w:hint="eastAsia"/>
          <w:sz w:val="30"/>
          <w:szCs w:val="30"/>
        </w:rPr>
        <w:t>它是否谈到弥赛亚被高举为至高君王后的位格和工作，以及祂国度在世上的进展？</w:t>
      </w:r>
    </w:p>
    <w:p w14:paraId="3672DDDA">
      <w:pPr>
        <w:pStyle w:val="9"/>
        <w:spacing w:before="11"/>
        <w:ind w:left="0"/>
        <w:jc w:val="left"/>
        <w:rPr>
          <w:rFonts w:hint="eastAsia"/>
          <w:sz w:val="30"/>
          <w:szCs w:val="30"/>
        </w:rPr>
      </w:pPr>
    </w:p>
    <w:p w14:paraId="61D149F6">
      <w:pPr>
        <w:pStyle w:val="9"/>
        <w:spacing w:before="11"/>
        <w:ind w:left="0"/>
        <w:jc w:val="left"/>
        <w:rPr>
          <w:rFonts w:hint="eastAsia"/>
          <w:sz w:val="30"/>
          <w:szCs w:val="30"/>
        </w:rPr>
      </w:pPr>
      <w:r>
        <w:rPr>
          <w:rFonts w:hint="eastAsia"/>
          <w:sz w:val="30"/>
          <w:szCs w:val="30"/>
        </w:rPr>
        <w:t>Does it speak of the Last Battle, or the Day of the LORD, or the glories of the World to Come?</w:t>
      </w:r>
    </w:p>
    <w:p w14:paraId="23CB1894">
      <w:pPr>
        <w:pStyle w:val="9"/>
        <w:spacing w:before="11"/>
        <w:ind w:left="0"/>
        <w:jc w:val="left"/>
        <w:rPr>
          <w:rFonts w:hint="eastAsia"/>
          <w:sz w:val="30"/>
          <w:szCs w:val="30"/>
        </w:rPr>
      </w:pPr>
      <w:r>
        <w:rPr>
          <w:rFonts w:hint="eastAsia"/>
          <w:sz w:val="30"/>
          <w:szCs w:val="30"/>
        </w:rPr>
        <w:t>它是否谈到最后的战役，或耶和华的日子，或未来世界的荣耀？</w:t>
      </w:r>
    </w:p>
    <w:p w14:paraId="1176CFDD">
      <w:pPr>
        <w:pStyle w:val="9"/>
        <w:spacing w:before="11"/>
        <w:ind w:left="0"/>
        <w:jc w:val="left"/>
        <w:rPr>
          <w:rFonts w:hint="eastAsia"/>
          <w:sz w:val="30"/>
          <w:szCs w:val="30"/>
        </w:rPr>
      </w:pPr>
    </w:p>
    <w:p w14:paraId="712502F7">
      <w:pPr>
        <w:pStyle w:val="9"/>
        <w:spacing w:before="11"/>
        <w:ind w:left="0"/>
        <w:jc w:val="left"/>
        <w:rPr>
          <w:rFonts w:hint="eastAsia"/>
          <w:sz w:val="30"/>
          <w:szCs w:val="30"/>
        </w:rPr>
      </w:pPr>
      <w:r>
        <w:rPr>
          <w:rFonts w:hint="eastAsia"/>
          <w:sz w:val="30"/>
          <w:szCs w:val="30"/>
        </w:rPr>
        <w:t>If so, then we are clearly dealing with an OTKP.</w:t>
      </w:r>
    </w:p>
    <w:p w14:paraId="7EEA5A60">
      <w:pPr>
        <w:pStyle w:val="9"/>
        <w:spacing w:before="11"/>
        <w:ind w:left="0"/>
        <w:jc w:val="left"/>
        <w:rPr>
          <w:rFonts w:hint="eastAsia"/>
          <w:sz w:val="30"/>
          <w:szCs w:val="30"/>
        </w:rPr>
      </w:pPr>
      <w:r>
        <w:rPr>
          <w:rFonts w:hint="eastAsia"/>
          <w:sz w:val="30"/>
          <w:szCs w:val="30"/>
        </w:rPr>
        <w:t>如果是，那么我们显然是在处理一个旧约国度预言（OTKP）。</w:t>
      </w:r>
    </w:p>
    <w:p w14:paraId="7DB3F8C9">
      <w:pPr>
        <w:pStyle w:val="9"/>
        <w:spacing w:before="11"/>
        <w:ind w:left="0"/>
        <w:jc w:val="left"/>
        <w:rPr>
          <w:rFonts w:hint="eastAsia"/>
          <w:sz w:val="30"/>
          <w:szCs w:val="30"/>
        </w:rPr>
      </w:pPr>
    </w:p>
    <w:p w14:paraId="631F1C03">
      <w:pPr>
        <w:pStyle w:val="9"/>
        <w:spacing w:before="11"/>
        <w:ind w:left="0"/>
        <w:jc w:val="left"/>
        <w:rPr>
          <w:rFonts w:hint="eastAsia"/>
          <w:sz w:val="30"/>
          <w:szCs w:val="30"/>
        </w:rPr>
      </w:pPr>
      <w:r>
        <w:rPr>
          <w:rFonts w:hint="eastAsia"/>
          <w:sz w:val="30"/>
          <w:szCs w:val="30"/>
        </w:rPr>
        <w:t>When we encounter OT prophecy, we also do well to remember what I earlier referred to as prophetic perspective.</w:t>
      </w:r>
    </w:p>
    <w:p w14:paraId="3C95DBC7">
      <w:pPr>
        <w:pStyle w:val="9"/>
        <w:spacing w:before="11"/>
        <w:ind w:left="0"/>
        <w:jc w:val="left"/>
        <w:rPr>
          <w:rFonts w:hint="eastAsia"/>
          <w:sz w:val="30"/>
          <w:szCs w:val="30"/>
        </w:rPr>
      </w:pPr>
      <w:r>
        <w:rPr>
          <w:rFonts w:hint="eastAsia"/>
          <w:sz w:val="30"/>
          <w:szCs w:val="30"/>
        </w:rPr>
        <w:t>当我们遇到旧约预言时，我们也应当记住我早些时候提到的“预言的视角”。</w:t>
      </w:r>
    </w:p>
    <w:p w14:paraId="6ABE9087">
      <w:pPr>
        <w:pStyle w:val="9"/>
        <w:spacing w:before="11"/>
        <w:ind w:left="0"/>
        <w:jc w:val="left"/>
        <w:rPr>
          <w:rFonts w:hint="eastAsia"/>
          <w:sz w:val="30"/>
          <w:szCs w:val="30"/>
        </w:rPr>
      </w:pPr>
    </w:p>
    <w:p w14:paraId="4DA37B00">
      <w:pPr>
        <w:pStyle w:val="9"/>
        <w:spacing w:before="11"/>
        <w:ind w:left="0"/>
        <w:jc w:val="left"/>
        <w:rPr>
          <w:rFonts w:hint="eastAsia"/>
          <w:sz w:val="30"/>
          <w:szCs w:val="30"/>
        </w:rPr>
      </w:pPr>
      <w:r>
        <w:rPr>
          <w:rFonts w:hint="eastAsia"/>
          <w:sz w:val="30"/>
          <w:szCs w:val="30"/>
        </w:rPr>
        <w:t>George Ladd explains its nature and purpose as follows:</w:t>
      </w:r>
    </w:p>
    <w:p w14:paraId="3048799F">
      <w:pPr>
        <w:pStyle w:val="9"/>
        <w:spacing w:before="11"/>
        <w:ind w:left="0"/>
        <w:jc w:val="left"/>
        <w:rPr>
          <w:rFonts w:hint="eastAsia"/>
          <w:sz w:val="30"/>
          <w:szCs w:val="30"/>
        </w:rPr>
      </w:pPr>
      <w:r>
        <w:rPr>
          <w:rFonts w:hint="eastAsia"/>
          <w:sz w:val="30"/>
          <w:szCs w:val="30"/>
        </w:rPr>
        <w:t>乔治·赖德（George Ladd）如下解释其性质和目的：</w:t>
      </w:r>
    </w:p>
    <w:p w14:paraId="7CAB1D52">
      <w:pPr>
        <w:pStyle w:val="9"/>
        <w:spacing w:before="11"/>
        <w:ind w:left="0"/>
        <w:jc w:val="left"/>
        <w:rPr>
          <w:rFonts w:hint="eastAsia"/>
          <w:sz w:val="30"/>
          <w:szCs w:val="30"/>
        </w:rPr>
      </w:pPr>
    </w:p>
    <w:p w14:paraId="282BFA8E">
      <w:pPr>
        <w:pStyle w:val="9"/>
        <w:spacing w:before="11"/>
        <w:ind w:left="0"/>
        <w:jc w:val="left"/>
        <w:rPr>
          <w:rFonts w:hint="eastAsia"/>
          <w:sz w:val="30"/>
          <w:szCs w:val="30"/>
        </w:rPr>
      </w:pPr>
      <w:r>
        <w:rPr>
          <w:rFonts w:hint="eastAsia"/>
          <w:sz w:val="30"/>
          <w:szCs w:val="30"/>
        </w:rPr>
        <w:t>The OT hope (of the Kingdom) is always ethical and not speculative.</w:t>
      </w:r>
    </w:p>
    <w:p w14:paraId="29BFEC2B">
      <w:pPr>
        <w:pStyle w:val="9"/>
        <w:spacing w:before="11"/>
        <w:ind w:left="0"/>
        <w:jc w:val="left"/>
        <w:rPr>
          <w:rFonts w:hint="eastAsia"/>
          <w:sz w:val="30"/>
          <w:szCs w:val="30"/>
        </w:rPr>
      </w:pPr>
      <w:r>
        <w:rPr>
          <w:rFonts w:hint="eastAsia"/>
          <w:sz w:val="30"/>
          <w:szCs w:val="30"/>
        </w:rPr>
        <w:t>旧约的盼望（关于国度）总是伦理性的，而非思辨性的。</w:t>
      </w:r>
    </w:p>
    <w:p w14:paraId="49485C9A">
      <w:pPr>
        <w:pStyle w:val="9"/>
        <w:spacing w:before="11"/>
        <w:ind w:left="0"/>
        <w:jc w:val="left"/>
        <w:rPr>
          <w:rFonts w:hint="eastAsia"/>
          <w:sz w:val="30"/>
          <w:szCs w:val="30"/>
        </w:rPr>
      </w:pPr>
    </w:p>
    <w:p w14:paraId="1C5F0021">
      <w:pPr>
        <w:pStyle w:val="9"/>
        <w:spacing w:before="11"/>
        <w:ind w:left="0"/>
        <w:jc w:val="left"/>
        <w:rPr>
          <w:rFonts w:hint="eastAsia"/>
          <w:sz w:val="30"/>
          <w:szCs w:val="30"/>
        </w:rPr>
      </w:pPr>
      <w:r>
        <w:rPr>
          <w:rFonts w:hint="eastAsia"/>
          <w:sz w:val="30"/>
          <w:szCs w:val="30"/>
        </w:rPr>
        <w:t>It lets the light of the future shine on the present, that Israel may be confronted by history in the here and now.</w:t>
      </w:r>
    </w:p>
    <w:p w14:paraId="3392937A">
      <w:pPr>
        <w:pStyle w:val="9"/>
        <w:spacing w:before="11"/>
        <w:ind w:left="0"/>
        <w:jc w:val="left"/>
        <w:rPr>
          <w:rFonts w:hint="eastAsia"/>
          <w:sz w:val="30"/>
          <w:szCs w:val="30"/>
        </w:rPr>
      </w:pPr>
      <w:r>
        <w:rPr>
          <w:rFonts w:hint="eastAsia"/>
          <w:sz w:val="30"/>
          <w:szCs w:val="30"/>
        </w:rPr>
        <w:t>它让未来的光照耀在现在，使以色列可以在此时此地面對歷史。</w:t>
      </w:r>
    </w:p>
    <w:p w14:paraId="19728AA2">
      <w:pPr>
        <w:pStyle w:val="9"/>
        <w:spacing w:before="11"/>
        <w:ind w:left="0"/>
        <w:jc w:val="left"/>
        <w:rPr>
          <w:rFonts w:hint="eastAsia"/>
          <w:sz w:val="30"/>
          <w:szCs w:val="30"/>
        </w:rPr>
      </w:pPr>
    </w:p>
    <w:p w14:paraId="4601F060">
      <w:pPr>
        <w:pStyle w:val="9"/>
        <w:spacing w:before="11"/>
        <w:ind w:left="0"/>
        <w:jc w:val="left"/>
        <w:rPr>
          <w:rFonts w:hint="eastAsia"/>
          <w:sz w:val="30"/>
          <w:szCs w:val="30"/>
        </w:rPr>
      </w:pPr>
      <w:r>
        <w:rPr>
          <w:rFonts w:hint="eastAsia"/>
          <w:sz w:val="30"/>
          <w:szCs w:val="30"/>
        </w:rPr>
        <w:t>For this reason, there is a coalescing of the near and the distant future.</w:t>
      </w:r>
    </w:p>
    <w:p w14:paraId="28301469">
      <w:pPr>
        <w:pStyle w:val="9"/>
        <w:spacing w:before="11"/>
        <w:ind w:left="0"/>
        <w:jc w:val="left"/>
        <w:rPr>
          <w:rFonts w:hint="eastAsia"/>
          <w:sz w:val="30"/>
          <w:szCs w:val="30"/>
        </w:rPr>
      </w:pPr>
      <w:r>
        <w:rPr>
          <w:rFonts w:hint="eastAsia"/>
          <w:sz w:val="30"/>
          <w:szCs w:val="30"/>
        </w:rPr>
        <w:t>因此，近期的未来和遥远的未来发生了融合。</w:t>
      </w:r>
    </w:p>
    <w:p w14:paraId="181E029D">
      <w:pPr>
        <w:pStyle w:val="9"/>
        <w:spacing w:before="11"/>
        <w:ind w:left="0"/>
        <w:jc w:val="left"/>
        <w:rPr>
          <w:rFonts w:hint="eastAsia"/>
          <w:sz w:val="30"/>
          <w:szCs w:val="30"/>
        </w:rPr>
      </w:pPr>
    </w:p>
    <w:p w14:paraId="22C25C7B">
      <w:pPr>
        <w:pStyle w:val="9"/>
        <w:spacing w:before="11"/>
        <w:ind w:left="0"/>
        <w:jc w:val="left"/>
        <w:rPr>
          <w:rFonts w:hint="eastAsia"/>
          <w:sz w:val="30"/>
          <w:szCs w:val="30"/>
        </w:rPr>
      </w:pPr>
      <w:r>
        <w:rPr>
          <w:rFonts w:hint="eastAsia"/>
          <w:sz w:val="30"/>
          <w:szCs w:val="30"/>
        </w:rPr>
        <w:t>God will act in the near future to save or judge Israel, but he will also act in the indeterminate future to bring about the fulfillment of the eschatological hope.</w:t>
      </w:r>
    </w:p>
    <w:p w14:paraId="67ABBFF6">
      <w:pPr>
        <w:pStyle w:val="9"/>
        <w:spacing w:before="11"/>
        <w:ind w:left="0"/>
        <w:jc w:val="left"/>
        <w:rPr>
          <w:rFonts w:hint="eastAsia"/>
          <w:sz w:val="30"/>
          <w:szCs w:val="30"/>
        </w:rPr>
      </w:pPr>
      <w:r>
        <w:rPr>
          <w:rFonts w:hint="eastAsia"/>
          <w:sz w:val="30"/>
          <w:szCs w:val="30"/>
        </w:rPr>
        <w:t>上帝将在近期行动以拯救或审判以色列，但祂也将在不确定的未来行动以实现末世盼望的成全。</w:t>
      </w:r>
    </w:p>
    <w:p w14:paraId="610C6F60">
      <w:pPr>
        <w:pStyle w:val="9"/>
        <w:spacing w:before="11"/>
        <w:ind w:left="0"/>
        <w:jc w:val="left"/>
        <w:rPr>
          <w:rFonts w:hint="eastAsia"/>
          <w:sz w:val="30"/>
          <w:szCs w:val="30"/>
        </w:rPr>
      </w:pPr>
    </w:p>
    <w:p w14:paraId="6629A95F">
      <w:pPr>
        <w:pStyle w:val="9"/>
        <w:spacing w:before="11"/>
        <w:ind w:left="0"/>
        <w:jc w:val="left"/>
        <w:rPr>
          <w:rFonts w:hint="eastAsia"/>
          <w:sz w:val="30"/>
          <w:szCs w:val="30"/>
        </w:rPr>
      </w:pPr>
      <w:r>
        <w:rPr>
          <w:rFonts w:hint="eastAsia"/>
          <w:sz w:val="30"/>
          <w:szCs w:val="30"/>
        </w:rPr>
        <w:t>The prophets do not sharply distinguish between the near and the distant future, for both will see the act of God for his people.5</w:t>
      </w:r>
    </w:p>
    <w:p w14:paraId="7647B4A2">
      <w:pPr>
        <w:pStyle w:val="9"/>
        <w:spacing w:before="11"/>
        <w:ind w:left="0"/>
        <w:jc w:val="left"/>
        <w:rPr>
          <w:rFonts w:hint="eastAsia"/>
          <w:sz w:val="30"/>
          <w:szCs w:val="30"/>
        </w:rPr>
      </w:pPr>
      <w:r>
        <w:rPr>
          <w:rFonts w:hint="eastAsia"/>
          <w:sz w:val="30"/>
          <w:szCs w:val="30"/>
        </w:rPr>
        <w:t>先知们并不严格区分近期和遥远的未来，因为两者都将看到上帝为祂子民的作为。5</w:t>
      </w:r>
    </w:p>
    <w:p w14:paraId="59D00677">
      <w:pPr>
        <w:pStyle w:val="9"/>
        <w:spacing w:before="11"/>
        <w:ind w:left="0"/>
        <w:jc w:val="left"/>
        <w:rPr>
          <w:rFonts w:hint="eastAsia"/>
          <w:sz w:val="30"/>
          <w:szCs w:val="30"/>
        </w:rPr>
      </w:pPr>
    </w:p>
    <w:p w14:paraId="5FF5CF16">
      <w:pPr>
        <w:pStyle w:val="9"/>
        <w:spacing w:before="11"/>
        <w:ind w:left="0"/>
        <w:jc w:val="left"/>
        <w:rPr>
          <w:rFonts w:hint="eastAsia"/>
          <w:sz w:val="30"/>
          <w:szCs w:val="30"/>
        </w:rPr>
      </w:pPr>
      <w:r>
        <w:rPr>
          <w:rFonts w:hint="eastAsia"/>
          <w:sz w:val="30"/>
          <w:szCs w:val="30"/>
        </w:rPr>
        <w:t>Does Jeremiah predict that after seventy years of captivity a remnant of chastened and penitent Jews will return from Babylon, both to God and to the Promised Land (Jer. 3:11-18, 29:10-14)?</w:t>
      </w:r>
    </w:p>
    <w:p w14:paraId="7AAAC07C">
      <w:pPr>
        <w:pStyle w:val="9"/>
        <w:spacing w:before="11"/>
        <w:ind w:left="0"/>
        <w:jc w:val="left"/>
        <w:rPr>
          <w:rFonts w:hint="eastAsia"/>
          <w:sz w:val="30"/>
          <w:szCs w:val="30"/>
        </w:rPr>
      </w:pPr>
      <w:r>
        <w:rPr>
          <w:rFonts w:hint="eastAsia"/>
          <w:sz w:val="30"/>
          <w:szCs w:val="30"/>
        </w:rPr>
        <w:t>耶利米是否预言，在七十年被掳之后，一群受管教和悔改的犹太余民将从巴比伦归回，既归向上帝也归回应许之地（耶利米书 3:11-18, 29:10-14）？</w:t>
      </w:r>
    </w:p>
    <w:p w14:paraId="5C9D2646">
      <w:pPr>
        <w:pStyle w:val="9"/>
        <w:spacing w:before="11"/>
        <w:ind w:left="0"/>
        <w:jc w:val="left"/>
        <w:rPr>
          <w:rFonts w:hint="eastAsia"/>
          <w:sz w:val="30"/>
          <w:szCs w:val="30"/>
        </w:rPr>
      </w:pPr>
    </w:p>
    <w:p w14:paraId="60ECD14A">
      <w:pPr>
        <w:pStyle w:val="9"/>
        <w:spacing w:before="11"/>
        <w:ind w:left="0"/>
        <w:jc w:val="left"/>
        <w:rPr>
          <w:rFonts w:hint="eastAsia"/>
          <w:sz w:val="30"/>
          <w:szCs w:val="30"/>
        </w:rPr>
      </w:pPr>
      <w:r>
        <w:rPr>
          <w:rFonts w:hint="eastAsia"/>
          <w:sz w:val="30"/>
          <w:szCs w:val="30"/>
        </w:rPr>
        <w:t>To be sure.</w:t>
      </w:r>
    </w:p>
    <w:p w14:paraId="7AE1FB7F">
      <w:pPr>
        <w:pStyle w:val="9"/>
        <w:spacing w:before="11"/>
        <w:ind w:left="0"/>
        <w:jc w:val="left"/>
        <w:rPr>
          <w:rFonts w:hint="eastAsia"/>
          <w:sz w:val="30"/>
          <w:szCs w:val="30"/>
        </w:rPr>
      </w:pPr>
      <w:r>
        <w:rPr>
          <w:rFonts w:hint="eastAsia"/>
          <w:sz w:val="30"/>
          <w:szCs w:val="30"/>
        </w:rPr>
        <w:t>当然。</w:t>
      </w:r>
    </w:p>
    <w:p w14:paraId="2035CDC6">
      <w:pPr>
        <w:pStyle w:val="9"/>
        <w:spacing w:before="11"/>
        <w:ind w:left="0"/>
        <w:jc w:val="left"/>
        <w:rPr>
          <w:rFonts w:hint="eastAsia"/>
          <w:sz w:val="30"/>
          <w:szCs w:val="30"/>
        </w:rPr>
      </w:pPr>
    </w:p>
    <w:p w14:paraId="5514C41A">
      <w:pPr>
        <w:pStyle w:val="9"/>
        <w:spacing w:before="11"/>
        <w:ind w:left="0"/>
        <w:jc w:val="left"/>
        <w:rPr>
          <w:rFonts w:hint="eastAsia"/>
          <w:sz w:val="30"/>
          <w:szCs w:val="30"/>
        </w:rPr>
      </w:pPr>
      <w:r>
        <w:rPr>
          <w:rFonts w:hint="eastAsia"/>
          <w:sz w:val="30"/>
          <w:szCs w:val="30"/>
        </w:rPr>
        <w:t>But one cannot read these prophecies for long without realizing that he is also seeing something far greater and far more enduring: converted Jews and Gentiles, with new hearts of love for God, rescued from the Domain of Darkness, and forever dwelling together as the Jerusalem of God; as the very Throne of the LORD upon which he is pleased to rest!</w:t>
      </w:r>
    </w:p>
    <w:p w14:paraId="473BCBF7">
      <w:pPr>
        <w:pStyle w:val="9"/>
        <w:spacing w:before="11"/>
        <w:ind w:left="0"/>
        <w:jc w:val="left"/>
        <w:rPr>
          <w:rFonts w:hint="eastAsia"/>
          <w:sz w:val="30"/>
          <w:szCs w:val="30"/>
        </w:rPr>
      </w:pPr>
      <w:r>
        <w:rPr>
          <w:rFonts w:hint="eastAsia"/>
          <w:sz w:val="30"/>
          <w:szCs w:val="30"/>
        </w:rPr>
        <w:t>但一个人读这些预言久了，就会意识到他也看到了更伟大、更持久的东西：归信的犹太人和外邦人，怀着对上帝新的爱心，从黑暗的权势中被拯救出来，永远一同居住，作为上帝的耶路撒冷；作为耶和华乐意安息的宝座！</w:t>
      </w:r>
    </w:p>
    <w:p w14:paraId="04EE8253">
      <w:pPr>
        <w:pStyle w:val="9"/>
        <w:spacing w:before="11"/>
        <w:ind w:left="0"/>
        <w:jc w:val="left"/>
        <w:rPr>
          <w:rFonts w:hint="eastAsia"/>
          <w:sz w:val="30"/>
          <w:szCs w:val="30"/>
        </w:rPr>
      </w:pPr>
    </w:p>
    <w:p w14:paraId="24B1E641">
      <w:pPr>
        <w:pStyle w:val="9"/>
        <w:spacing w:before="11"/>
        <w:ind w:left="0"/>
        <w:jc w:val="left"/>
        <w:rPr>
          <w:rFonts w:hint="eastAsia"/>
          <w:sz w:val="30"/>
          <w:szCs w:val="30"/>
        </w:rPr>
      </w:pPr>
      <w:r>
        <w:rPr>
          <w:rFonts w:hint="eastAsia"/>
          <w:sz w:val="30"/>
          <w:szCs w:val="30"/>
        </w:rPr>
        <w:t>In short, he is seeing the Church in the days of the Church.</w:t>
      </w:r>
    </w:p>
    <w:p w14:paraId="2CCE25AB">
      <w:pPr>
        <w:pStyle w:val="9"/>
        <w:spacing w:before="11"/>
        <w:ind w:left="0"/>
        <w:jc w:val="left"/>
        <w:rPr>
          <w:rFonts w:hint="eastAsia"/>
          <w:sz w:val="30"/>
          <w:szCs w:val="30"/>
        </w:rPr>
      </w:pPr>
      <w:r>
        <w:rPr>
          <w:rFonts w:hint="eastAsia"/>
          <w:sz w:val="30"/>
          <w:szCs w:val="30"/>
        </w:rPr>
        <w:t>简而言之，他看到的是教会时代的教会。</w:t>
      </w:r>
    </w:p>
    <w:p w14:paraId="39329C17">
      <w:pPr>
        <w:pStyle w:val="9"/>
        <w:spacing w:before="11"/>
        <w:ind w:left="0"/>
        <w:jc w:val="left"/>
        <w:rPr>
          <w:rFonts w:hint="eastAsia"/>
          <w:sz w:val="30"/>
          <w:szCs w:val="30"/>
        </w:rPr>
      </w:pPr>
    </w:p>
    <w:p w14:paraId="0D81D666">
      <w:pPr>
        <w:pStyle w:val="9"/>
        <w:spacing w:before="11"/>
        <w:ind w:left="0"/>
        <w:jc w:val="left"/>
        <w:rPr>
          <w:rFonts w:hint="eastAsia"/>
          <w:sz w:val="30"/>
          <w:szCs w:val="30"/>
        </w:rPr>
      </w:pPr>
      <w:r>
        <w:rPr>
          <w:rFonts w:hint="eastAsia"/>
          <w:sz w:val="30"/>
          <w:szCs w:val="30"/>
        </w:rPr>
        <w:t>Equipped with a good understanding of prophetic perspective, the biblical interpreter will be able to discern both of these layers of meaning.</w:t>
      </w:r>
    </w:p>
    <w:p w14:paraId="423CED28">
      <w:pPr>
        <w:pStyle w:val="9"/>
        <w:spacing w:before="11"/>
        <w:ind w:left="0"/>
        <w:jc w:val="left"/>
        <w:rPr>
          <w:rFonts w:hint="eastAsia"/>
          <w:sz w:val="30"/>
          <w:szCs w:val="30"/>
        </w:rPr>
      </w:pPr>
      <w:r>
        <w:rPr>
          <w:rFonts w:hint="eastAsia"/>
          <w:sz w:val="30"/>
          <w:szCs w:val="30"/>
        </w:rPr>
        <w:t>具备了对预言视角的良好理解，圣经解释者将能够辨别这两个层次的意义。</w:t>
      </w:r>
    </w:p>
    <w:p w14:paraId="3DA8198A">
      <w:pPr>
        <w:pStyle w:val="9"/>
        <w:spacing w:before="11"/>
        <w:ind w:left="0"/>
        <w:jc w:val="left"/>
        <w:rPr>
          <w:rFonts w:hint="eastAsia"/>
          <w:sz w:val="30"/>
          <w:szCs w:val="30"/>
        </w:rPr>
      </w:pPr>
    </w:p>
    <w:p w14:paraId="2B5C80F8">
      <w:pPr>
        <w:pStyle w:val="9"/>
        <w:spacing w:before="11"/>
        <w:ind w:left="0"/>
        <w:jc w:val="left"/>
        <w:rPr>
          <w:rFonts w:hint="eastAsia"/>
          <w:sz w:val="30"/>
          <w:szCs w:val="30"/>
        </w:rPr>
      </w:pPr>
      <w:r>
        <w:rPr>
          <w:rFonts w:hint="eastAsia"/>
          <w:sz w:val="30"/>
          <w:szCs w:val="30"/>
        </w:rPr>
        <w:t>In other words, he will be able to read Jeremiah’s pregnant words not only as a simple OT prophecy with an historical fulfillment among the godly Jews of OT times, but also as an OTKP with an eschatological fulfillment in the Church.</w:t>
      </w:r>
    </w:p>
    <w:p w14:paraId="7A349CEF">
      <w:pPr>
        <w:pStyle w:val="9"/>
        <w:spacing w:before="11"/>
        <w:ind w:left="0"/>
        <w:jc w:val="left"/>
        <w:rPr>
          <w:rFonts w:hint="eastAsia"/>
          <w:sz w:val="30"/>
          <w:szCs w:val="30"/>
        </w:rPr>
      </w:pPr>
      <w:r>
        <w:rPr>
          <w:rFonts w:hint="eastAsia"/>
          <w:sz w:val="30"/>
          <w:szCs w:val="30"/>
        </w:rPr>
        <w:t>换句话说，他将能够将耶利米充满意义的话语，不仅读作一个在旧约时代敬虔犹太人中得到历史应验的简单旧约预言，也读作一个在教会中得到末世应验的旧约国度预言（OTKP）。</w:t>
      </w:r>
    </w:p>
    <w:p w14:paraId="5ED6753B">
      <w:pPr>
        <w:pStyle w:val="9"/>
        <w:spacing w:before="11"/>
        <w:ind w:left="0"/>
        <w:jc w:val="left"/>
        <w:rPr>
          <w:rFonts w:hint="eastAsia"/>
          <w:sz w:val="30"/>
          <w:szCs w:val="30"/>
        </w:rPr>
      </w:pPr>
    </w:p>
    <w:p w14:paraId="36CB6E30">
      <w:pPr>
        <w:pStyle w:val="9"/>
        <w:spacing w:before="11"/>
        <w:ind w:left="0"/>
        <w:jc w:val="left"/>
        <w:rPr>
          <w:rFonts w:hint="eastAsia"/>
          <w:sz w:val="30"/>
          <w:szCs w:val="30"/>
        </w:rPr>
      </w:pPr>
      <w:r>
        <w:rPr>
          <w:rFonts w:hint="eastAsia"/>
          <w:sz w:val="30"/>
          <w:szCs w:val="30"/>
        </w:rPr>
        <w:t>Later we will look at some further examples of this fascinating and important OT phenomenon.</w:t>
      </w:r>
    </w:p>
    <w:p w14:paraId="223007E7">
      <w:pPr>
        <w:pStyle w:val="9"/>
        <w:spacing w:before="11"/>
        <w:ind w:left="0"/>
        <w:jc w:val="left"/>
        <w:rPr>
          <w:rFonts w:hint="eastAsia"/>
          <w:sz w:val="30"/>
          <w:szCs w:val="30"/>
        </w:rPr>
      </w:pPr>
      <w:r>
        <w:rPr>
          <w:rFonts w:hint="eastAsia"/>
          <w:sz w:val="30"/>
          <w:szCs w:val="30"/>
        </w:rPr>
        <w:t>稍后我们将看一些关于这个引人入胜且重要的旧约现象的更多例子。</w:t>
      </w:r>
    </w:p>
    <w:p w14:paraId="025530A6">
      <w:pPr>
        <w:pStyle w:val="9"/>
        <w:spacing w:before="11"/>
        <w:ind w:left="0"/>
        <w:jc w:val="left"/>
        <w:rPr>
          <w:rFonts w:hint="eastAsia"/>
          <w:sz w:val="30"/>
          <w:szCs w:val="30"/>
        </w:rPr>
      </w:pPr>
    </w:p>
    <w:p w14:paraId="462DB107">
      <w:pPr>
        <w:pStyle w:val="9"/>
        <w:spacing w:before="11"/>
        <w:ind w:left="0"/>
        <w:jc w:val="left"/>
        <w:rPr>
          <w:rFonts w:hint="eastAsia"/>
          <w:sz w:val="30"/>
          <w:szCs w:val="30"/>
        </w:rPr>
      </w:pPr>
      <w:r>
        <w:rPr>
          <w:rFonts w:hint="eastAsia"/>
          <w:sz w:val="30"/>
          <w:szCs w:val="30"/>
        </w:rPr>
        <w:t>Three NT Principles</w:t>
      </w:r>
    </w:p>
    <w:p w14:paraId="737B4925">
      <w:pPr>
        <w:pStyle w:val="9"/>
        <w:spacing w:before="11"/>
        <w:ind w:left="0"/>
        <w:jc w:val="left"/>
        <w:rPr>
          <w:rFonts w:hint="eastAsia"/>
          <w:sz w:val="30"/>
          <w:szCs w:val="30"/>
        </w:rPr>
      </w:pPr>
      <w:r>
        <w:rPr>
          <w:rFonts w:hint="eastAsia"/>
          <w:sz w:val="30"/>
          <w:szCs w:val="30"/>
        </w:rPr>
        <w:t>三个新约原则</w:t>
      </w:r>
    </w:p>
    <w:p w14:paraId="101240C9">
      <w:pPr>
        <w:pStyle w:val="9"/>
        <w:spacing w:before="11"/>
        <w:ind w:left="0"/>
        <w:jc w:val="left"/>
        <w:rPr>
          <w:rFonts w:hint="eastAsia"/>
          <w:sz w:val="30"/>
          <w:szCs w:val="30"/>
        </w:rPr>
      </w:pPr>
    </w:p>
    <w:p w14:paraId="6FDA11DD">
      <w:pPr>
        <w:pStyle w:val="9"/>
        <w:spacing w:before="11"/>
        <w:ind w:left="0"/>
        <w:jc w:val="left"/>
        <w:rPr>
          <w:rFonts w:hint="eastAsia"/>
          <w:sz w:val="30"/>
          <w:szCs w:val="30"/>
        </w:rPr>
      </w:pPr>
      <w:r>
        <w:rPr>
          <w:rFonts w:hint="eastAsia"/>
          <w:sz w:val="30"/>
          <w:szCs w:val="30"/>
        </w:rPr>
        <w:t>With all this as background, we are now ready to introduce and discuss the three over-arching NT principles for the proper interpretation of OTKP.</w:t>
      </w:r>
    </w:p>
    <w:p w14:paraId="2D6BF2CD">
      <w:pPr>
        <w:pStyle w:val="9"/>
        <w:spacing w:before="11"/>
        <w:ind w:left="0"/>
        <w:jc w:val="left"/>
        <w:rPr>
          <w:rFonts w:hint="eastAsia"/>
          <w:sz w:val="30"/>
          <w:szCs w:val="30"/>
        </w:rPr>
      </w:pPr>
      <w:r>
        <w:rPr>
          <w:rFonts w:hint="eastAsia"/>
          <w:sz w:val="30"/>
          <w:szCs w:val="30"/>
        </w:rPr>
        <w:t>有了所有这些背景，我们现在准备介绍和讨论正确解释旧约国度预言（OTKP）的三个总括性新约原则。</w:t>
      </w:r>
    </w:p>
    <w:p w14:paraId="67A6C4BB">
      <w:pPr>
        <w:pStyle w:val="9"/>
        <w:spacing w:before="11"/>
        <w:ind w:left="0"/>
        <w:jc w:val="left"/>
        <w:rPr>
          <w:rFonts w:hint="eastAsia"/>
          <w:sz w:val="30"/>
          <w:szCs w:val="30"/>
        </w:rPr>
      </w:pPr>
    </w:p>
    <w:p w14:paraId="21A80740">
      <w:pPr>
        <w:pStyle w:val="9"/>
        <w:spacing w:before="11"/>
        <w:ind w:left="0"/>
        <w:jc w:val="left"/>
        <w:rPr>
          <w:rFonts w:hint="eastAsia"/>
          <w:sz w:val="30"/>
          <w:szCs w:val="30"/>
        </w:rPr>
      </w:pPr>
      <w:r>
        <w:rPr>
          <w:rFonts w:hint="eastAsia"/>
          <w:sz w:val="30"/>
          <w:szCs w:val="30"/>
        </w:rPr>
        <w:t>Along the way, we will look at a number of subordinate principles that properly fall under each heading.</w:t>
      </w:r>
    </w:p>
    <w:p w14:paraId="2F4772F7">
      <w:pPr>
        <w:pStyle w:val="9"/>
        <w:spacing w:before="11"/>
        <w:ind w:left="0"/>
        <w:jc w:val="left"/>
        <w:rPr>
          <w:rFonts w:hint="eastAsia"/>
          <w:sz w:val="30"/>
          <w:szCs w:val="30"/>
        </w:rPr>
      </w:pPr>
      <w:r>
        <w:rPr>
          <w:rFonts w:hint="eastAsia"/>
          <w:sz w:val="30"/>
          <w:szCs w:val="30"/>
        </w:rPr>
        <w:t>在此过程中，我们将看一些恰当归于每个标题下的次要原则。</w:t>
      </w:r>
    </w:p>
    <w:p w14:paraId="784ADBF5">
      <w:pPr>
        <w:pStyle w:val="9"/>
        <w:spacing w:before="11"/>
        <w:ind w:left="0"/>
        <w:jc w:val="left"/>
        <w:rPr>
          <w:rFonts w:hint="eastAsia"/>
          <w:sz w:val="30"/>
          <w:szCs w:val="30"/>
        </w:rPr>
      </w:pPr>
    </w:p>
    <w:p w14:paraId="25B05F34">
      <w:pPr>
        <w:pStyle w:val="9"/>
        <w:spacing w:before="11"/>
        <w:ind w:left="0"/>
        <w:jc w:val="left"/>
        <w:rPr>
          <w:rFonts w:hint="eastAsia"/>
          <w:sz w:val="30"/>
          <w:szCs w:val="30"/>
        </w:rPr>
      </w:pPr>
      <w:r>
        <w:rPr>
          <w:rFonts w:hint="eastAsia"/>
          <w:sz w:val="30"/>
          <w:szCs w:val="30"/>
        </w:rPr>
        <w:t>We will also consider a few caveats that should further increase our appreciation for the nuance, subtlety, and beauty of OTKP.</w:t>
      </w:r>
    </w:p>
    <w:p w14:paraId="655D3955">
      <w:pPr>
        <w:pStyle w:val="9"/>
        <w:spacing w:before="11"/>
        <w:ind w:left="0"/>
        <w:jc w:val="left"/>
        <w:rPr>
          <w:rFonts w:hint="eastAsia"/>
          <w:sz w:val="30"/>
          <w:szCs w:val="30"/>
        </w:rPr>
      </w:pPr>
      <w:r>
        <w:rPr>
          <w:rFonts w:hint="eastAsia"/>
          <w:sz w:val="30"/>
          <w:szCs w:val="30"/>
        </w:rPr>
        <w:t>我们也会考虑一些告诫，这应当会进一步增加我们对旧约国度预言（OTKP）的细微差别、精妙之处和美丽的欣赏。</w:t>
      </w:r>
    </w:p>
    <w:p w14:paraId="17940AC3">
      <w:pPr>
        <w:pStyle w:val="9"/>
        <w:spacing w:before="11"/>
        <w:ind w:left="0"/>
        <w:jc w:val="left"/>
        <w:rPr>
          <w:rFonts w:hint="eastAsia"/>
          <w:sz w:val="30"/>
          <w:szCs w:val="30"/>
        </w:rPr>
      </w:pPr>
    </w:p>
    <w:p w14:paraId="450CA8A1">
      <w:pPr>
        <w:pStyle w:val="9"/>
        <w:spacing w:before="11"/>
        <w:ind w:left="0"/>
        <w:jc w:val="left"/>
        <w:rPr>
          <w:rFonts w:hint="eastAsia"/>
          <w:sz w:val="30"/>
          <w:szCs w:val="30"/>
        </w:rPr>
      </w:pPr>
      <w:r>
        <w:rPr>
          <w:rFonts w:hint="eastAsia"/>
          <w:sz w:val="30"/>
          <w:szCs w:val="30"/>
        </w:rPr>
        <w:t>1.All OTKP’s are fulfilled in the twofold spiritual reign (Kingdom) of God instituted by Christ under the New Covenant, and must be interpreted accordingly.</w:t>
      </w:r>
    </w:p>
    <w:p w14:paraId="3D83F302">
      <w:pPr>
        <w:pStyle w:val="9"/>
        <w:spacing w:before="11"/>
        <w:ind w:left="0"/>
        <w:jc w:val="left"/>
        <w:rPr>
          <w:rFonts w:hint="eastAsia"/>
          <w:sz w:val="30"/>
          <w:szCs w:val="30"/>
        </w:rPr>
      </w:pPr>
      <w:r>
        <w:rPr>
          <w:rFonts w:hint="eastAsia"/>
          <w:sz w:val="30"/>
          <w:szCs w:val="30"/>
        </w:rPr>
        <w:t>1.所有旧约国度预言（OTKP）都在基督在新约下建立的上帝双重属灵统治（国度）中应验，并且必须据此解释。</w:t>
      </w:r>
    </w:p>
    <w:p w14:paraId="1978A346">
      <w:pPr>
        <w:pStyle w:val="9"/>
        <w:spacing w:before="11"/>
        <w:ind w:left="0"/>
        <w:jc w:val="left"/>
        <w:rPr>
          <w:rFonts w:hint="eastAsia"/>
          <w:sz w:val="30"/>
          <w:szCs w:val="30"/>
        </w:rPr>
      </w:pPr>
    </w:p>
    <w:p w14:paraId="338D3D66">
      <w:pPr>
        <w:pStyle w:val="9"/>
        <w:spacing w:before="11"/>
        <w:ind w:left="0"/>
        <w:jc w:val="left"/>
        <w:rPr>
          <w:rFonts w:hint="eastAsia"/>
          <w:sz w:val="30"/>
          <w:szCs w:val="30"/>
        </w:rPr>
      </w:pPr>
      <w:r>
        <w:rPr>
          <w:rFonts w:hint="eastAsia"/>
          <w:sz w:val="30"/>
          <w:szCs w:val="30"/>
        </w:rPr>
        <w:t>This principle is based upon NT teaching—both dominical and apostolic—about the nature and structure of the Kingdom of God.</w:t>
      </w:r>
    </w:p>
    <w:p w14:paraId="6C19B7BC">
      <w:pPr>
        <w:pStyle w:val="9"/>
        <w:spacing w:before="11"/>
        <w:ind w:left="0"/>
        <w:jc w:val="left"/>
        <w:rPr>
          <w:rFonts w:hint="eastAsia"/>
          <w:sz w:val="30"/>
          <w:szCs w:val="30"/>
        </w:rPr>
      </w:pPr>
      <w:r>
        <w:rPr>
          <w:rFonts w:hint="eastAsia"/>
          <w:sz w:val="30"/>
          <w:szCs w:val="30"/>
        </w:rPr>
        <w:t>这个原则基于新约中关于上帝之国性质和结构的教导——无论是主的教导还是使徒的教导。</w:t>
      </w:r>
    </w:p>
    <w:p w14:paraId="70FABE21">
      <w:pPr>
        <w:pStyle w:val="9"/>
        <w:spacing w:before="11"/>
        <w:ind w:left="0"/>
        <w:jc w:val="left"/>
        <w:rPr>
          <w:rFonts w:hint="eastAsia"/>
          <w:sz w:val="30"/>
          <w:szCs w:val="30"/>
        </w:rPr>
      </w:pPr>
    </w:p>
    <w:p w14:paraId="2644EEAE">
      <w:pPr>
        <w:pStyle w:val="9"/>
        <w:spacing w:before="11"/>
        <w:ind w:left="0"/>
        <w:jc w:val="left"/>
        <w:rPr>
          <w:rFonts w:hint="eastAsia"/>
          <w:sz w:val="30"/>
          <w:szCs w:val="30"/>
        </w:rPr>
      </w:pPr>
      <w:r>
        <w:rPr>
          <w:rFonts w:hint="eastAsia"/>
          <w:sz w:val="30"/>
          <w:szCs w:val="30"/>
        </w:rPr>
        <w:t>With respect to its nature, the principle assumes that the Kingdom is a direct spiritual reign of God introduced by the NC.</w:t>
      </w:r>
    </w:p>
    <w:p w14:paraId="00EC55A5">
      <w:pPr>
        <w:pStyle w:val="9"/>
        <w:spacing w:before="11"/>
        <w:ind w:left="0"/>
        <w:jc w:val="left"/>
        <w:rPr>
          <w:rFonts w:hint="eastAsia"/>
          <w:sz w:val="30"/>
          <w:szCs w:val="30"/>
        </w:rPr>
      </w:pPr>
      <w:r>
        <w:rPr>
          <w:rFonts w:hint="eastAsia"/>
          <w:sz w:val="30"/>
          <w:szCs w:val="30"/>
        </w:rPr>
        <w:t>关于其性质，该原则假定国度是新约（NC）引入的上帝的直接属灵统治。</w:t>
      </w:r>
    </w:p>
    <w:p w14:paraId="649A6F63">
      <w:pPr>
        <w:pStyle w:val="9"/>
        <w:spacing w:before="11"/>
        <w:ind w:left="0"/>
        <w:jc w:val="left"/>
        <w:rPr>
          <w:rFonts w:hint="eastAsia"/>
          <w:sz w:val="30"/>
          <w:szCs w:val="30"/>
        </w:rPr>
      </w:pPr>
    </w:p>
    <w:p w14:paraId="4A35962E">
      <w:pPr>
        <w:pStyle w:val="9"/>
        <w:spacing w:before="11"/>
        <w:ind w:left="0"/>
        <w:jc w:val="left"/>
        <w:rPr>
          <w:rFonts w:hint="eastAsia"/>
          <w:sz w:val="30"/>
          <w:szCs w:val="30"/>
        </w:rPr>
      </w:pPr>
      <w:r>
        <w:rPr>
          <w:rFonts w:hint="eastAsia"/>
          <w:sz w:val="30"/>
          <w:szCs w:val="30"/>
        </w:rPr>
        <w:t>With respect to its structure, the principle assumes that the Kingdom is divisible into two great stages, each of which is the result of a unique administration of the NC at the hand of Christ.</w:t>
      </w:r>
    </w:p>
    <w:p w14:paraId="0FF01C15">
      <w:pPr>
        <w:pStyle w:val="9"/>
        <w:spacing w:before="11"/>
        <w:ind w:left="0"/>
        <w:jc w:val="left"/>
        <w:rPr>
          <w:rFonts w:hint="eastAsia"/>
          <w:sz w:val="30"/>
          <w:szCs w:val="30"/>
        </w:rPr>
      </w:pPr>
      <w:r>
        <w:rPr>
          <w:rFonts w:hint="eastAsia"/>
          <w:sz w:val="30"/>
          <w:szCs w:val="30"/>
        </w:rPr>
        <w:t>关于其结构，该原则假定国度可分为两个大阶段，每个阶段都是基督亲手施行新约（NC）的独特结果。</w:t>
      </w:r>
    </w:p>
    <w:p w14:paraId="0510CE66">
      <w:pPr>
        <w:pStyle w:val="9"/>
        <w:spacing w:before="11"/>
        <w:ind w:left="0"/>
        <w:jc w:val="left"/>
        <w:rPr>
          <w:rFonts w:hint="eastAsia"/>
          <w:sz w:val="30"/>
          <w:szCs w:val="30"/>
        </w:rPr>
      </w:pPr>
    </w:p>
    <w:p w14:paraId="47C74D0F">
      <w:pPr>
        <w:pStyle w:val="9"/>
        <w:spacing w:before="11"/>
        <w:ind w:left="0"/>
        <w:jc w:val="left"/>
        <w:rPr>
          <w:rFonts w:hint="eastAsia"/>
          <w:sz w:val="30"/>
          <w:szCs w:val="30"/>
        </w:rPr>
      </w:pPr>
      <w:r>
        <w:rPr>
          <w:rFonts w:hint="eastAsia"/>
          <w:sz w:val="30"/>
          <w:szCs w:val="30"/>
        </w:rPr>
        <w:t>Always and everywhere, the apostles brought these fundamental eschatological assumptions to OTKP, and interpreted it accordingly.</w:t>
      </w:r>
    </w:p>
    <w:p w14:paraId="2C271B9D">
      <w:pPr>
        <w:pStyle w:val="9"/>
        <w:spacing w:before="11"/>
        <w:ind w:left="0"/>
        <w:jc w:val="left"/>
        <w:rPr>
          <w:rFonts w:hint="eastAsia"/>
          <w:sz w:val="30"/>
          <w:szCs w:val="30"/>
        </w:rPr>
      </w:pPr>
      <w:r>
        <w:rPr>
          <w:rFonts w:hint="eastAsia"/>
          <w:sz w:val="30"/>
          <w:szCs w:val="30"/>
        </w:rPr>
        <w:t>使徒们总是且处处将这些基本的末世论假设带入旧约国度预言（OTKP），并据此进行解释。</w:t>
      </w:r>
    </w:p>
    <w:p w14:paraId="41B2D1A6">
      <w:pPr>
        <w:pStyle w:val="9"/>
        <w:spacing w:before="11"/>
        <w:ind w:left="0"/>
        <w:jc w:val="left"/>
        <w:rPr>
          <w:rFonts w:hint="eastAsia"/>
          <w:sz w:val="30"/>
          <w:szCs w:val="30"/>
        </w:rPr>
      </w:pPr>
    </w:p>
    <w:p w14:paraId="21930FF5">
      <w:pPr>
        <w:pStyle w:val="9"/>
        <w:spacing w:before="11"/>
        <w:ind w:left="0"/>
        <w:jc w:val="left"/>
        <w:rPr>
          <w:rFonts w:hint="eastAsia"/>
          <w:sz w:val="30"/>
          <w:szCs w:val="30"/>
        </w:rPr>
      </w:pPr>
      <w:r>
        <w:rPr>
          <w:rFonts w:hint="eastAsia"/>
          <w:sz w:val="30"/>
          <w:szCs w:val="30"/>
        </w:rPr>
        <w:t>This principle has a number of important corollaries that must be carefully considered.</w:t>
      </w:r>
    </w:p>
    <w:p w14:paraId="45A9927B">
      <w:pPr>
        <w:pStyle w:val="9"/>
        <w:spacing w:before="11"/>
        <w:ind w:left="0"/>
        <w:jc w:val="left"/>
        <w:rPr>
          <w:rFonts w:hint="eastAsia"/>
          <w:sz w:val="30"/>
          <w:szCs w:val="30"/>
        </w:rPr>
      </w:pPr>
      <w:r>
        <w:rPr>
          <w:rFonts w:hint="eastAsia"/>
          <w:sz w:val="30"/>
          <w:szCs w:val="30"/>
        </w:rPr>
        <w:t>这个原则有许多重要的推论，必须仔细考虑。</w:t>
      </w:r>
    </w:p>
    <w:p w14:paraId="34AA086F">
      <w:pPr>
        <w:pStyle w:val="9"/>
        <w:spacing w:before="11"/>
        <w:ind w:left="0"/>
        <w:jc w:val="left"/>
        <w:rPr>
          <w:rFonts w:hint="eastAsia"/>
          <w:sz w:val="30"/>
          <w:szCs w:val="30"/>
        </w:rPr>
      </w:pPr>
    </w:p>
    <w:p w14:paraId="6E85F8BF">
      <w:pPr>
        <w:pStyle w:val="9"/>
        <w:spacing w:before="11"/>
        <w:ind w:left="0"/>
        <w:jc w:val="left"/>
        <w:rPr>
          <w:rFonts w:hint="eastAsia"/>
          <w:sz w:val="30"/>
          <w:szCs w:val="30"/>
        </w:rPr>
      </w:pPr>
      <w:r>
        <w:rPr>
          <w:rFonts w:hint="eastAsia"/>
          <w:sz w:val="30"/>
          <w:szCs w:val="30"/>
        </w:rPr>
        <w:t>First, it implies that OTKP’s speaking of The Days of the Messiah (i.e., Christ’s ministry after his session and prior to the Day of the LORD) are fulfilled in the Kingdom of the Son; in the Heavenly Mediatorial Reign of the Lord Jesus Christ; in the Era of Proclamation and Probation; in the inter-adventual period wherein Christ, ruling and reigning at the Father’s right hand, oversees the ingathering and upbuilding of his Church.</w:t>
      </w:r>
    </w:p>
    <w:p w14:paraId="33823CE7">
      <w:pPr>
        <w:pStyle w:val="9"/>
        <w:spacing w:before="11"/>
        <w:ind w:left="0"/>
        <w:jc w:val="left"/>
        <w:rPr>
          <w:rFonts w:hint="eastAsia"/>
          <w:sz w:val="30"/>
          <w:szCs w:val="30"/>
        </w:rPr>
      </w:pPr>
      <w:r>
        <w:rPr>
          <w:rFonts w:hint="eastAsia"/>
          <w:sz w:val="30"/>
          <w:szCs w:val="30"/>
        </w:rPr>
        <w:t>首先，它暗示了，谈及“弥赛亚的日子”（即基督升天后、耶和华的日子之前的职事）的旧约国度预言（OTKP），是在圣子的国度中应验的；在主耶稣基督属天的中保统治中；在宣讲和验证的时代；在两次降临之间的时期，那时基督在父的右边掌权作王，监督祂教会的聚集和建立。</w:t>
      </w:r>
    </w:p>
    <w:p w14:paraId="04A9D363">
      <w:pPr>
        <w:pStyle w:val="9"/>
        <w:spacing w:before="11"/>
        <w:ind w:left="0"/>
        <w:jc w:val="left"/>
        <w:rPr>
          <w:rFonts w:hint="eastAsia"/>
          <w:sz w:val="30"/>
          <w:szCs w:val="30"/>
        </w:rPr>
      </w:pPr>
    </w:p>
    <w:p w14:paraId="55BA7A3B">
      <w:pPr>
        <w:pStyle w:val="9"/>
        <w:spacing w:before="11"/>
        <w:ind w:left="0"/>
        <w:jc w:val="left"/>
        <w:rPr>
          <w:rFonts w:hint="eastAsia"/>
          <w:sz w:val="30"/>
          <w:szCs w:val="30"/>
        </w:rPr>
      </w:pPr>
      <w:r>
        <w:rPr>
          <w:rFonts w:hint="eastAsia"/>
          <w:sz w:val="30"/>
          <w:szCs w:val="30"/>
        </w:rPr>
        <w:t>As we saw in chapter 9, this was one of the great mysteries of the Kingdom, namely, that the Messiah’s reign would emanate from the Jerusalem above, rather than the Jerusalem below; and that the conversion of (many) Gentiles to faith in Israel’s God would not come about through force of arms, but through the force of truth proclaimed in love by the Church.</w:t>
      </w:r>
    </w:p>
    <w:p w14:paraId="7B369AEC">
      <w:pPr>
        <w:pStyle w:val="9"/>
        <w:spacing w:before="11"/>
        <w:ind w:left="0"/>
        <w:jc w:val="left"/>
        <w:rPr>
          <w:rFonts w:hint="eastAsia"/>
          <w:sz w:val="30"/>
          <w:szCs w:val="30"/>
        </w:rPr>
      </w:pPr>
      <w:r>
        <w:rPr>
          <w:rFonts w:hint="eastAsia"/>
          <w:sz w:val="30"/>
          <w:szCs w:val="30"/>
        </w:rPr>
        <w:t>正如我们在第9章所见，这是国度的伟大奥秘之一，即弥赛亚的统治将源自天上的耶路撒冷，而非地上的耶路撒冷；并且（许多）外邦人归信以色列的上帝，不是通过武力，而是通过教会用爱宣讲的真理的力量。</w:t>
      </w:r>
    </w:p>
    <w:p w14:paraId="1C046C37">
      <w:pPr>
        <w:pStyle w:val="9"/>
        <w:spacing w:before="11"/>
        <w:ind w:left="0"/>
        <w:jc w:val="left"/>
        <w:rPr>
          <w:rFonts w:hint="eastAsia"/>
          <w:sz w:val="30"/>
          <w:szCs w:val="30"/>
        </w:rPr>
      </w:pPr>
    </w:p>
    <w:p w14:paraId="026AC53A">
      <w:pPr>
        <w:pStyle w:val="9"/>
        <w:spacing w:before="11"/>
        <w:ind w:left="0"/>
        <w:jc w:val="left"/>
        <w:rPr>
          <w:rFonts w:hint="eastAsia"/>
          <w:sz w:val="30"/>
          <w:szCs w:val="30"/>
        </w:rPr>
      </w:pPr>
      <w:r>
        <w:rPr>
          <w:rFonts w:hint="eastAsia"/>
          <w:sz w:val="30"/>
          <w:szCs w:val="30"/>
        </w:rPr>
        <w:t>A good understanding of these mysteries will enable the Christian interpreter to see his Lord and himself in all OTKP’s of the Messiah’s reign.</w:t>
      </w:r>
    </w:p>
    <w:p w14:paraId="06E6D3E7">
      <w:pPr>
        <w:pStyle w:val="9"/>
        <w:spacing w:before="11"/>
        <w:ind w:left="0"/>
        <w:jc w:val="left"/>
        <w:rPr>
          <w:rFonts w:hint="eastAsia"/>
          <w:sz w:val="30"/>
          <w:szCs w:val="30"/>
        </w:rPr>
      </w:pPr>
      <w:r>
        <w:rPr>
          <w:rFonts w:hint="eastAsia"/>
          <w:sz w:val="30"/>
          <w:szCs w:val="30"/>
        </w:rPr>
        <w:t>对这些奥秘的良好理解，将使基督徒解释者能够在所有关于弥赛亚统治的旧约国度预言（OTKP）中看到他的主和他自己。</w:t>
      </w:r>
    </w:p>
    <w:p w14:paraId="3DA3476C">
      <w:pPr>
        <w:pStyle w:val="9"/>
        <w:spacing w:before="11"/>
        <w:ind w:left="0"/>
        <w:jc w:val="left"/>
        <w:rPr>
          <w:rFonts w:hint="eastAsia"/>
          <w:sz w:val="30"/>
          <w:szCs w:val="30"/>
        </w:rPr>
      </w:pPr>
    </w:p>
    <w:p w14:paraId="772C814D">
      <w:pPr>
        <w:pStyle w:val="9"/>
        <w:spacing w:before="11"/>
        <w:ind w:left="0"/>
        <w:jc w:val="left"/>
        <w:rPr>
          <w:rFonts w:hint="eastAsia"/>
          <w:sz w:val="30"/>
          <w:szCs w:val="30"/>
        </w:rPr>
      </w:pPr>
      <w:r>
        <w:rPr>
          <w:rFonts w:hint="eastAsia"/>
          <w:sz w:val="30"/>
          <w:szCs w:val="30"/>
        </w:rPr>
        <w:t>Secondly, this principle implies that OTKP’s of The Last Battle are fulfilled in the final, eschatological clash between Christ and Satan (embodied in the Antichrist), the Church and the World.</w:t>
      </w:r>
    </w:p>
    <w:p w14:paraId="3855BF85">
      <w:pPr>
        <w:pStyle w:val="9"/>
        <w:spacing w:before="11"/>
        <w:ind w:left="0"/>
        <w:jc w:val="left"/>
        <w:rPr>
          <w:rFonts w:hint="eastAsia"/>
          <w:sz w:val="30"/>
          <w:szCs w:val="30"/>
        </w:rPr>
      </w:pPr>
      <w:r>
        <w:rPr>
          <w:rFonts w:hint="eastAsia"/>
          <w:sz w:val="30"/>
          <w:szCs w:val="30"/>
        </w:rPr>
        <w:t>其次，这个原则暗示了，关于“最后的战役”的旧约国度预言（OTKP）是在基督与撒但（体现在敌基督身上）、教会与世界之间最终的、末世性的冲突中应验的。</w:t>
      </w:r>
    </w:p>
    <w:p w14:paraId="4E31DF53">
      <w:pPr>
        <w:pStyle w:val="9"/>
        <w:spacing w:before="11"/>
        <w:ind w:left="0"/>
        <w:jc w:val="left"/>
        <w:rPr>
          <w:rFonts w:hint="eastAsia"/>
          <w:sz w:val="30"/>
          <w:szCs w:val="30"/>
        </w:rPr>
      </w:pPr>
    </w:p>
    <w:p w14:paraId="630B4EEE">
      <w:pPr>
        <w:pStyle w:val="9"/>
        <w:spacing w:before="11"/>
        <w:ind w:left="0"/>
        <w:jc w:val="left"/>
        <w:rPr>
          <w:rFonts w:hint="eastAsia"/>
          <w:sz w:val="30"/>
          <w:szCs w:val="30"/>
        </w:rPr>
      </w:pPr>
      <w:r>
        <w:rPr>
          <w:rFonts w:hint="eastAsia"/>
          <w:sz w:val="30"/>
          <w:szCs w:val="30"/>
        </w:rPr>
        <w:t>Not only does this conclusion flow naturally from the NT view of the Kingdom, but it is also the explicit teaching of the apostles of Christ, who clearly saw the Last Battle as the culmination of the perennial clash between the Woman and the Serpent, and between her seed and his seed; who saw it as the great eschatological anti-type, of which Israel’s fierce battles with Egypt, Assyria, Babylon, and Rome were the lesser historical types.</w:t>
      </w:r>
    </w:p>
    <w:p w14:paraId="08EDB24A">
      <w:pPr>
        <w:pStyle w:val="9"/>
        <w:spacing w:before="11"/>
        <w:ind w:left="0"/>
        <w:jc w:val="left"/>
        <w:rPr>
          <w:rFonts w:hint="eastAsia"/>
          <w:sz w:val="30"/>
          <w:szCs w:val="30"/>
        </w:rPr>
      </w:pPr>
      <w:r>
        <w:rPr>
          <w:rFonts w:hint="eastAsia"/>
          <w:sz w:val="30"/>
          <w:szCs w:val="30"/>
        </w:rPr>
        <w:t>这个结论不仅自然地源于新约对国度的观点，也是基督使徒们的明确教导，他们清楚地看到最后的战役是女人与蛇之间、以及她的后裔与他的后裔之间常年冲突的高潮；他们将其视为伟大的末世性实体，而以色列与埃及、亚述、巴比伦和罗马的激烈战斗则是较小的历史预表。</w:t>
      </w:r>
    </w:p>
    <w:p w14:paraId="20EE38AB">
      <w:pPr>
        <w:pStyle w:val="9"/>
        <w:spacing w:before="11"/>
        <w:ind w:left="0"/>
        <w:jc w:val="left"/>
        <w:rPr>
          <w:rFonts w:hint="eastAsia"/>
          <w:sz w:val="30"/>
          <w:szCs w:val="30"/>
        </w:rPr>
      </w:pPr>
    </w:p>
    <w:p w14:paraId="14084FF3">
      <w:pPr>
        <w:pStyle w:val="9"/>
        <w:spacing w:before="11"/>
        <w:ind w:left="0"/>
        <w:jc w:val="left"/>
        <w:rPr>
          <w:rFonts w:hint="eastAsia"/>
          <w:sz w:val="30"/>
          <w:szCs w:val="30"/>
        </w:rPr>
      </w:pPr>
      <w:r>
        <w:rPr>
          <w:rFonts w:hint="eastAsia"/>
          <w:sz w:val="30"/>
          <w:szCs w:val="30"/>
        </w:rPr>
        <w:t>Thirdly, this principle implies that OTKP’s of the Day of the LORD will be fulfilled at the Parousia; at the Second Coming of the High King of Heaven, into whose hands the Father has placed “all things,” including the high privilege and prerogative of consummating all Salvation History in final Judgment and Redemption.</w:t>
      </w:r>
    </w:p>
    <w:p w14:paraId="226216B4">
      <w:pPr>
        <w:pStyle w:val="9"/>
        <w:spacing w:before="11"/>
        <w:ind w:left="0"/>
        <w:jc w:val="left"/>
        <w:rPr>
          <w:rFonts w:hint="eastAsia"/>
          <w:sz w:val="30"/>
          <w:szCs w:val="30"/>
        </w:rPr>
      </w:pPr>
      <w:r>
        <w:rPr>
          <w:rFonts w:hint="eastAsia"/>
          <w:sz w:val="30"/>
          <w:szCs w:val="30"/>
        </w:rPr>
        <w:t>第三，这个原则暗示，关于耶和华的日子的旧约国度预言（OTKP）将在主再来时应验；在天上至高君王的第二次降临时，父已将“万有”交在祂手中，包括在最终的审判和救赎中成全所有救赎历史的崇高特权和权柄。</w:t>
      </w:r>
    </w:p>
    <w:p w14:paraId="6BC4D3D9">
      <w:pPr>
        <w:pStyle w:val="9"/>
        <w:spacing w:before="11"/>
        <w:ind w:left="0"/>
        <w:jc w:val="left"/>
        <w:rPr>
          <w:rFonts w:hint="eastAsia"/>
          <w:sz w:val="30"/>
          <w:szCs w:val="30"/>
        </w:rPr>
      </w:pPr>
    </w:p>
    <w:p w14:paraId="411C009C">
      <w:pPr>
        <w:pStyle w:val="9"/>
        <w:spacing w:before="11"/>
        <w:ind w:left="0"/>
        <w:jc w:val="left"/>
        <w:rPr>
          <w:rFonts w:hint="eastAsia"/>
          <w:sz w:val="30"/>
          <w:szCs w:val="30"/>
        </w:rPr>
      </w:pPr>
      <w:r>
        <w:rPr>
          <w:rFonts w:hint="eastAsia"/>
          <w:sz w:val="30"/>
          <w:szCs w:val="30"/>
        </w:rPr>
        <w:t>And fourthly, this principle implies that OTKP’s of the World to Come are fulfilled in the second stage of the Kingdom; in the eternal Kingdom of the Father (and the Son); in the new heavens and the new earth.</w:t>
      </w:r>
    </w:p>
    <w:p w14:paraId="60BDB3F8">
      <w:pPr>
        <w:pStyle w:val="9"/>
        <w:spacing w:before="11"/>
        <w:ind w:left="0"/>
        <w:jc w:val="left"/>
        <w:rPr>
          <w:rFonts w:hint="eastAsia"/>
          <w:sz w:val="30"/>
          <w:szCs w:val="30"/>
        </w:rPr>
      </w:pPr>
      <w:r>
        <w:rPr>
          <w:rFonts w:hint="eastAsia"/>
          <w:sz w:val="30"/>
          <w:szCs w:val="30"/>
        </w:rPr>
        <w:t>第四，这个原则暗示，关于未来世界的旧约国度预言（OTKP）是在国度的第二阶段应验的；在父（和子）的永恒国度中；在新天新地中。</w:t>
      </w:r>
    </w:p>
    <w:p w14:paraId="2C9299B4">
      <w:pPr>
        <w:pStyle w:val="9"/>
        <w:spacing w:before="11"/>
        <w:ind w:left="0"/>
        <w:jc w:val="left"/>
        <w:rPr>
          <w:rFonts w:hint="eastAsia"/>
          <w:sz w:val="30"/>
          <w:szCs w:val="30"/>
        </w:rPr>
      </w:pPr>
    </w:p>
    <w:p w14:paraId="6E9B7F47">
      <w:pPr>
        <w:pStyle w:val="9"/>
        <w:spacing w:before="11"/>
        <w:ind w:left="0"/>
        <w:jc w:val="left"/>
        <w:rPr>
          <w:rFonts w:hint="eastAsia"/>
          <w:sz w:val="30"/>
          <w:szCs w:val="30"/>
        </w:rPr>
      </w:pPr>
      <w:r>
        <w:rPr>
          <w:rFonts w:hint="eastAsia"/>
          <w:sz w:val="30"/>
          <w:szCs w:val="30"/>
        </w:rPr>
        <w:t>As we have already seen, such prophecies are nearly always covenantally conditioned, and must therefore be interpreted beneath the light of NT revelation concerning the true conditions of life in the Age to Come.</w:t>
      </w:r>
    </w:p>
    <w:p w14:paraId="242C0E2C">
      <w:pPr>
        <w:pStyle w:val="9"/>
        <w:spacing w:before="11"/>
        <w:ind w:left="0"/>
        <w:jc w:val="left"/>
        <w:rPr>
          <w:rFonts w:hint="eastAsia"/>
          <w:sz w:val="30"/>
          <w:szCs w:val="30"/>
        </w:rPr>
      </w:pPr>
      <w:r>
        <w:rPr>
          <w:rFonts w:hint="eastAsia"/>
          <w:sz w:val="30"/>
          <w:szCs w:val="30"/>
        </w:rPr>
        <w:t>正如我们已经看到的，这样的预言几乎总是受圣约制约的，因此必须在新约关于未来时代生活真实状况的启示光照下进行解释。</w:t>
      </w:r>
    </w:p>
    <w:p w14:paraId="25A0DE92">
      <w:pPr>
        <w:pStyle w:val="9"/>
        <w:spacing w:before="11"/>
        <w:ind w:left="0"/>
        <w:jc w:val="left"/>
        <w:rPr>
          <w:rFonts w:hint="eastAsia"/>
          <w:sz w:val="30"/>
          <w:szCs w:val="30"/>
        </w:rPr>
      </w:pPr>
    </w:p>
    <w:p w14:paraId="57BF3627">
      <w:pPr>
        <w:pStyle w:val="9"/>
        <w:spacing w:before="11"/>
        <w:ind w:left="0"/>
        <w:jc w:val="left"/>
        <w:rPr>
          <w:rFonts w:hint="eastAsia"/>
          <w:sz w:val="30"/>
          <w:szCs w:val="30"/>
        </w:rPr>
      </w:pPr>
      <w:r>
        <w:rPr>
          <w:rFonts w:hint="eastAsia"/>
          <w:sz w:val="30"/>
          <w:szCs w:val="30"/>
        </w:rPr>
        <w:t>In passing, it is important to note that some OTKP’s—and perhaps quite a few of them—appear to be fulfilled in both phases of the Kingdom.</w:t>
      </w:r>
    </w:p>
    <w:p w14:paraId="3DC5A5B0">
      <w:pPr>
        <w:pStyle w:val="9"/>
        <w:spacing w:before="11"/>
        <w:ind w:left="0"/>
        <w:jc w:val="left"/>
        <w:rPr>
          <w:rFonts w:hint="eastAsia"/>
          <w:sz w:val="30"/>
          <w:szCs w:val="30"/>
        </w:rPr>
      </w:pPr>
      <w:r>
        <w:rPr>
          <w:rFonts w:hint="eastAsia"/>
          <w:sz w:val="30"/>
          <w:szCs w:val="30"/>
        </w:rPr>
        <w:t>顺便提一下，重要的是要注意到，一些旧约国度预言（OTKP）——或许还不少——似乎在国度的两个阶段都得到了应验。</w:t>
      </w:r>
    </w:p>
    <w:p w14:paraId="0002373F">
      <w:pPr>
        <w:pStyle w:val="9"/>
        <w:spacing w:before="11"/>
        <w:ind w:left="0"/>
        <w:jc w:val="left"/>
        <w:rPr>
          <w:rFonts w:hint="eastAsia"/>
          <w:sz w:val="30"/>
          <w:szCs w:val="30"/>
        </w:rPr>
      </w:pPr>
    </w:p>
    <w:p w14:paraId="38519108">
      <w:pPr>
        <w:pStyle w:val="9"/>
        <w:spacing w:before="11"/>
        <w:ind w:left="0"/>
        <w:jc w:val="left"/>
        <w:rPr>
          <w:rFonts w:hint="eastAsia"/>
          <w:sz w:val="30"/>
          <w:szCs w:val="30"/>
        </w:rPr>
      </w:pPr>
      <w:r>
        <w:rPr>
          <w:rFonts w:hint="eastAsia"/>
          <w:sz w:val="30"/>
          <w:szCs w:val="30"/>
        </w:rPr>
        <w:t>For those schooled in NT teaching about the Kingdom, this should not be surprising.</w:t>
      </w:r>
    </w:p>
    <w:p w14:paraId="7564B982">
      <w:pPr>
        <w:pStyle w:val="9"/>
        <w:spacing w:before="11"/>
        <w:ind w:left="0"/>
        <w:jc w:val="left"/>
        <w:rPr>
          <w:rFonts w:hint="eastAsia"/>
          <w:sz w:val="30"/>
          <w:szCs w:val="30"/>
        </w:rPr>
      </w:pPr>
      <w:r>
        <w:rPr>
          <w:rFonts w:hint="eastAsia"/>
          <w:sz w:val="30"/>
          <w:szCs w:val="30"/>
        </w:rPr>
        <w:t>对于那些受过新约关于国度教导的人来说，这不应该感到惊讶。</w:t>
      </w:r>
    </w:p>
    <w:p w14:paraId="74BBE6DE">
      <w:pPr>
        <w:pStyle w:val="9"/>
        <w:spacing w:before="11"/>
        <w:ind w:left="0"/>
        <w:jc w:val="left"/>
        <w:rPr>
          <w:rFonts w:hint="eastAsia"/>
          <w:sz w:val="30"/>
          <w:szCs w:val="30"/>
        </w:rPr>
      </w:pPr>
    </w:p>
    <w:p w14:paraId="4E2CB593">
      <w:pPr>
        <w:pStyle w:val="9"/>
        <w:spacing w:before="11"/>
        <w:ind w:left="0"/>
        <w:jc w:val="left"/>
        <w:rPr>
          <w:rFonts w:hint="eastAsia"/>
          <w:sz w:val="30"/>
          <w:szCs w:val="30"/>
        </w:rPr>
      </w:pPr>
      <w:r>
        <w:rPr>
          <w:rFonts w:hint="eastAsia"/>
          <w:sz w:val="30"/>
          <w:szCs w:val="30"/>
        </w:rPr>
        <w:t>For again, the two phases of the Kingdom share a common essence: Both are New Covenant spheres of rescue and restoration, in which God, through Christ, rules directly over his blessed people.</w:t>
      </w:r>
    </w:p>
    <w:p w14:paraId="332E3932">
      <w:pPr>
        <w:pStyle w:val="9"/>
        <w:spacing w:before="11"/>
        <w:ind w:left="0"/>
        <w:jc w:val="left"/>
        <w:rPr>
          <w:rFonts w:hint="eastAsia"/>
          <w:sz w:val="30"/>
          <w:szCs w:val="30"/>
        </w:rPr>
      </w:pPr>
      <w:r>
        <w:rPr>
          <w:rFonts w:hint="eastAsia"/>
          <w:sz w:val="30"/>
          <w:szCs w:val="30"/>
        </w:rPr>
        <w:t>因为，再次强调，国度的两个阶段共享一个共同的本质：两者都是新约下拯救和复兴的领域，在其中上帝通过基督直接统治祂蒙福的子民。</w:t>
      </w:r>
    </w:p>
    <w:p w14:paraId="5953068D">
      <w:pPr>
        <w:pStyle w:val="9"/>
        <w:spacing w:before="11"/>
        <w:ind w:left="0"/>
        <w:jc w:val="left"/>
        <w:rPr>
          <w:rFonts w:hint="eastAsia"/>
          <w:sz w:val="30"/>
          <w:szCs w:val="30"/>
        </w:rPr>
      </w:pPr>
    </w:p>
    <w:p w14:paraId="43EB34A2">
      <w:pPr>
        <w:pStyle w:val="9"/>
        <w:spacing w:before="11"/>
        <w:ind w:left="0"/>
        <w:jc w:val="left"/>
        <w:rPr>
          <w:rFonts w:hint="eastAsia"/>
          <w:sz w:val="30"/>
          <w:szCs w:val="30"/>
        </w:rPr>
      </w:pPr>
      <w:r>
        <w:rPr>
          <w:rFonts w:hint="eastAsia"/>
          <w:sz w:val="30"/>
          <w:szCs w:val="30"/>
        </w:rPr>
        <w:t>The only fundamental difference between them is that in the Kingdom of the Son, God’s blessings are largely spiritual, and are experienced “in heavenly places in Christ Jesus” (Eph. 1:3, 2:6); whereas in the Kingdom of the Father, his blessings are both spiritual and physical, and are experienced on a spiritually renewed earth.</w:t>
      </w:r>
    </w:p>
    <w:p w14:paraId="513E6D46">
      <w:pPr>
        <w:pStyle w:val="9"/>
        <w:spacing w:before="11"/>
        <w:ind w:left="0"/>
        <w:jc w:val="left"/>
        <w:rPr>
          <w:rFonts w:hint="eastAsia"/>
          <w:sz w:val="30"/>
          <w:szCs w:val="30"/>
        </w:rPr>
      </w:pPr>
      <w:r>
        <w:rPr>
          <w:rFonts w:hint="eastAsia"/>
          <w:sz w:val="30"/>
          <w:szCs w:val="30"/>
        </w:rPr>
        <w:t>它们之间唯一的根本区别在于，在圣子的国度里，上帝的祝福主要是属灵的，并且是在“基督耶稣里的天上”经历的（以弗所书 1:3, 2:6）；而在圣父的国度里，祂的祝福既是属灵的也是物质的，并且是在一个属灵更新的地上经历的。</w:t>
      </w:r>
    </w:p>
    <w:p w14:paraId="102E7516">
      <w:pPr>
        <w:pStyle w:val="9"/>
        <w:spacing w:before="11"/>
        <w:ind w:left="0"/>
        <w:jc w:val="left"/>
        <w:rPr>
          <w:rFonts w:hint="eastAsia"/>
          <w:sz w:val="30"/>
          <w:szCs w:val="30"/>
        </w:rPr>
      </w:pPr>
    </w:p>
    <w:p w14:paraId="4102C1DE">
      <w:pPr>
        <w:pStyle w:val="9"/>
        <w:spacing w:before="11"/>
        <w:ind w:left="0"/>
        <w:jc w:val="left"/>
        <w:rPr>
          <w:rFonts w:hint="eastAsia"/>
          <w:sz w:val="30"/>
          <w:szCs w:val="30"/>
        </w:rPr>
      </w:pPr>
      <w:r>
        <w:rPr>
          <w:rFonts w:hint="eastAsia"/>
          <w:sz w:val="30"/>
          <w:szCs w:val="30"/>
        </w:rPr>
        <w:t>Laden as they are with typological and poetic imagery, many OTKP’s are well able to speak of both.</w:t>
      </w:r>
    </w:p>
    <w:p w14:paraId="5B8140D0">
      <w:pPr>
        <w:pStyle w:val="9"/>
        <w:spacing w:before="11"/>
        <w:ind w:left="0"/>
        <w:jc w:val="left"/>
        <w:rPr>
          <w:rFonts w:hint="eastAsia"/>
          <w:sz w:val="30"/>
          <w:szCs w:val="30"/>
        </w:rPr>
      </w:pPr>
      <w:r>
        <w:rPr>
          <w:rFonts w:hint="eastAsia"/>
          <w:sz w:val="30"/>
          <w:szCs w:val="30"/>
        </w:rPr>
        <w:t>许多旧约国度预言（OTKP）充满了预表性和诗意的意象，因此很能同时讲述两者。</w:t>
      </w:r>
    </w:p>
    <w:p w14:paraId="3A12103E">
      <w:pPr>
        <w:pStyle w:val="9"/>
        <w:spacing w:before="11"/>
        <w:ind w:left="0"/>
        <w:jc w:val="left"/>
        <w:rPr>
          <w:rFonts w:hint="eastAsia"/>
          <w:b w:val="0"/>
          <w:bCs w:val="0"/>
          <w:sz w:val="30"/>
          <w:szCs w:val="30"/>
        </w:rPr>
      </w:pPr>
    </w:p>
    <w:p w14:paraId="644129E2">
      <w:pPr>
        <w:pStyle w:val="9"/>
        <w:spacing w:before="11"/>
        <w:ind w:left="0"/>
        <w:jc w:val="left"/>
        <w:rPr>
          <w:rFonts w:hint="eastAsia"/>
          <w:b w:val="0"/>
          <w:bCs w:val="0"/>
          <w:sz w:val="30"/>
          <w:szCs w:val="30"/>
        </w:rPr>
      </w:pPr>
      <w:r>
        <w:rPr>
          <w:rFonts w:hint="eastAsia"/>
          <w:b w:val="0"/>
          <w:bCs w:val="0"/>
          <w:sz w:val="30"/>
          <w:szCs w:val="30"/>
        </w:rPr>
        <w:t>Consider, for example, Micah’s great prophecy of the LORD’s future reign in Zion (Micah 4:1-4).</w:t>
      </w:r>
    </w:p>
    <w:p w14:paraId="78831249">
      <w:pPr>
        <w:pStyle w:val="9"/>
        <w:spacing w:before="11"/>
        <w:ind w:left="0"/>
        <w:jc w:val="left"/>
        <w:rPr>
          <w:rFonts w:hint="eastAsia"/>
          <w:b w:val="0"/>
          <w:bCs w:val="0"/>
          <w:sz w:val="30"/>
          <w:szCs w:val="30"/>
        </w:rPr>
      </w:pPr>
      <w:r>
        <w:rPr>
          <w:rFonts w:hint="eastAsia"/>
          <w:b w:val="0"/>
          <w:bCs w:val="0"/>
          <w:sz w:val="30"/>
          <w:szCs w:val="30"/>
        </w:rPr>
        <w:t>例如，思考一下弥迦关于耶和华未来在锡安统治的伟大预言（弥迦书 4:1-4）。</w:t>
      </w:r>
    </w:p>
    <w:p w14:paraId="15ECCF6B">
      <w:pPr>
        <w:pStyle w:val="9"/>
        <w:spacing w:before="11"/>
        <w:ind w:left="0"/>
        <w:jc w:val="left"/>
        <w:rPr>
          <w:rFonts w:hint="eastAsia"/>
          <w:b w:val="0"/>
          <w:bCs w:val="0"/>
          <w:sz w:val="30"/>
          <w:szCs w:val="30"/>
        </w:rPr>
      </w:pPr>
    </w:p>
    <w:p w14:paraId="21DFBED6">
      <w:pPr>
        <w:pStyle w:val="9"/>
        <w:spacing w:before="11"/>
        <w:ind w:left="0"/>
        <w:jc w:val="left"/>
        <w:rPr>
          <w:rFonts w:hint="eastAsia"/>
          <w:b w:val="0"/>
          <w:bCs w:val="0"/>
          <w:sz w:val="30"/>
          <w:szCs w:val="30"/>
        </w:rPr>
      </w:pPr>
      <w:r>
        <w:rPr>
          <w:rFonts w:hint="eastAsia"/>
          <w:b w:val="0"/>
          <w:bCs w:val="0"/>
          <w:sz w:val="30"/>
          <w:szCs w:val="30"/>
        </w:rPr>
        <w:t>These things will come to pass, the prophet says, “in the latter-day s.”</w:t>
      </w:r>
    </w:p>
    <w:p w14:paraId="55CEDF5C">
      <w:pPr>
        <w:pStyle w:val="9"/>
        <w:spacing w:before="11"/>
        <w:ind w:left="0"/>
        <w:jc w:val="left"/>
        <w:rPr>
          <w:rFonts w:hint="eastAsia"/>
          <w:b w:val="0"/>
          <w:bCs w:val="0"/>
          <w:sz w:val="30"/>
          <w:szCs w:val="30"/>
        </w:rPr>
      </w:pPr>
      <w:r>
        <w:rPr>
          <w:rFonts w:hint="eastAsia"/>
          <w:b w:val="0"/>
          <w:bCs w:val="0"/>
          <w:sz w:val="30"/>
          <w:szCs w:val="30"/>
        </w:rPr>
        <w:t>先知说，这些事将在“末后的日子”应验。</w:t>
      </w:r>
    </w:p>
    <w:p w14:paraId="1F809AF6">
      <w:pPr>
        <w:pStyle w:val="9"/>
        <w:spacing w:before="11"/>
        <w:ind w:left="0"/>
        <w:jc w:val="left"/>
        <w:rPr>
          <w:rFonts w:hint="eastAsia"/>
          <w:b w:val="0"/>
          <w:bCs w:val="0"/>
          <w:sz w:val="30"/>
          <w:szCs w:val="30"/>
        </w:rPr>
      </w:pPr>
    </w:p>
    <w:p w14:paraId="4425D526">
      <w:pPr>
        <w:pStyle w:val="9"/>
        <w:spacing w:before="11"/>
        <w:ind w:left="0"/>
        <w:jc w:val="left"/>
        <w:rPr>
          <w:rFonts w:hint="eastAsia"/>
          <w:b w:val="0"/>
          <w:bCs w:val="0"/>
          <w:sz w:val="30"/>
          <w:szCs w:val="30"/>
        </w:rPr>
      </w:pPr>
      <w:r>
        <w:rPr>
          <w:rFonts w:hint="eastAsia"/>
          <w:b w:val="0"/>
          <w:bCs w:val="0"/>
          <w:sz w:val="30"/>
          <w:szCs w:val="30"/>
        </w:rPr>
        <w:t>But from the NT, we know that the latter-day s include both the Kingdom of the Son and the Kingdom of the Father.</w:t>
      </w:r>
    </w:p>
    <w:p w14:paraId="6CBC5FD8">
      <w:pPr>
        <w:pStyle w:val="9"/>
        <w:spacing w:before="11"/>
        <w:ind w:left="0"/>
        <w:jc w:val="left"/>
        <w:rPr>
          <w:rFonts w:hint="eastAsia"/>
          <w:b w:val="0"/>
          <w:bCs w:val="0"/>
          <w:sz w:val="30"/>
          <w:szCs w:val="30"/>
        </w:rPr>
      </w:pPr>
      <w:r>
        <w:rPr>
          <w:rFonts w:hint="eastAsia"/>
          <w:b w:val="0"/>
          <w:bCs w:val="0"/>
          <w:sz w:val="30"/>
          <w:szCs w:val="30"/>
        </w:rPr>
        <w:t>但从新约我们知道，末后的日子既包括圣子的国度，也包括圣父的国度。</w:t>
      </w:r>
    </w:p>
    <w:p w14:paraId="0FB6F581">
      <w:pPr>
        <w:pStyle w:val="9"/>
        <w:spacing w:before="11"/>
        <w:ind w:left="0"/>
        <w:jc w:val="left"/>
        <w:rPr>
          <w:rFonts w:hint="eastAsia"/>
          <w:b w:val="0"/>
          <w:bCs w:val="0"/>
          <w:sz w:val="30"/>
          <w:szCs w:val="30"/>
        </w:rPr>
      </w:pPr>
    </w:p>
    <w:p w14:paraId="13ADF7CB">
      <w:pPr>
        <w:pStyle w:val="9"/>
        <w:spacing w:before="11"/>
        <w:ind w:left="0"/>
        <w:jc w:val="left"/>
        <w:rPr>
          <w:rFonts w:hint="eastAsia"/>
          <w:b w:val="0"/>
          <w:bCs w:val="0"/>
          <w:sz w:val="30"/>
          <w:szCs w:val="30"/>
        </w:rPr>
      </w:pPr>
      <w:r>
        <w:rPr>
          <w:rFonts w:hint="eastAsia"/>
          <w:b w:val="0"/>
          <w:bCs w:val="0"/>
          <w:sz w:val="30"/>
          <w:szCs w:val="30"/>
        </w:rPr>
        <w:t>Therefore, on a first reading of this prophecy, we may see Micah’s words as being fulfilled in the Era of Proclamation and Probation, and in the heavenly places in Christ Jesus (Eph. 1:1, 2:6).</w:t>
      </w:r>
    </w:p>
    <w:p w14:paraId="584521D5">
      <w:pPr>
        <w:pStyle w:val="9"/>
        <w:spacing w:before="11"/>
        <w:ind w:left="0"/>
        <w:jc w:val="left"/>
        <w:rPr>
          <w:rFonts w:hint="eastAsia"/>
          <w:b w:val="0"/>
          <w:bCs w:val="0"/>
          <w:sz w:val="30"/>
          <w:szCs w:val="30"/>
        </w:rPr>
      </w:pPr>
      <w:r>
        <w:rPr>
          <w:rFonts w:hint="eastAsia"/>
          <w:b w:val="0"/>
          <w:bCs w:val="0"/>
          <w:sz w:val="30"/>
          <w:szCs w:val="30"/>
        </w:rPr>
        <w:t>因此，在第一次阅读这段预言时，我们可以将弥迦的话视为在宣讲和验证的时代，以及在基督耶稣里的天上的地方应验的（以弗所书 1:3, 2:6）。</w:t>
      </w:r>
    </w:p>
    <w:p w14:paraId="74C553BF">
      <w:pPr>
        <w:pStyle w:val="9"/>
        <w:spacing w:before="11"/>
        <w:ind w:left="0"/>
        <w:jc w:val="left"/>
        <w:rPr>
          <w:rFonts w:hint="eastAsia"/>
          <w:b w:val="0"/>
          <w:bCs w:val="0"/>
          <w:sz w:val="30"/>
          <w:szCs w:val="30"/>
        </w:rPr>
      </w:pPr>
    </w:p>
    <w:p w14:paraId="7CEE5400">
      <w:pPr>
        <w:pStyle w:val="9"/>
        <w:spacing w:before="11"/>
        <w:ind w:left="0"/>
        <w:jc w:val="left"/>
        <w:rPr>
          <w:rFonts w:hint="eastAsia"/>
          <w:b w:val="0"/>
          <w:bCs w:val="0"/>
          <w:sz w:val="30"/>
          <w:szCs w:val="30"/>
        </w:rPr>
      </w:pPr>
      <w:r>
        <w:rPr>
          <w:rFonts w:hint="eastAsia"/>
          <w:b w:val="0"/>
          <w:bCs w:val="0"/>
          <w:sz w:val="30"/>
          <w:szCs w:val="30"/>
        </w:rPr>
        <w:t>On this view, the LORD’s house is Christ’s Church, and the Mountain of the LORD’s house is the Zion above (Heb. 12:22).</w:t>
      </w:r>
    </w:p>
    <w:p w14:paraId="5CB7919B">
      <w:pPr>
        <w:pStyle w:val="9"/>
        <w:spacing w:before="11"/>
        <w:ind w:left="0"/>
        <w:jc w:val="left"/>
        <w:rPr>
          <w:rFonts w:hint="eastAsia"/>
          <w:b w:val="0"/>
          <w:bCs w:val="0"/>
          <w:sz w:val="30"/>
          <w:szCs w:val="30"/>
        </w:rPr>
      </w:pPr>
      <w:r>
        <w:rPr>
          <w:rFonts w:hint="eastAsia"/>
          <w:b w:val="0"/>
          <w:bCs w:val="0"/>
          <w:sz w:val="30"/>
          <w:szCs w:val="30"/>
        </w:rPr>
        <w:t>在这种观点下，耶和华的殿是基督的教会，耶和华殿的山是天上的锡安（希伯来书 12:22）。</w:t>
      </w:r>
    </w:p>
    <w:p w14:paraId="68D726E4">
      <w:pPr>
        <w:pStyle w:val="9"/>
        <w:spacing w:before="11"/>
        <w:ind w:left="0"/>
        <w:jc w:val="left"/>
        <w:rPr>
          <w:rFonts w:hint="eastAsia"/>
          <w:b w:val="0"/>
          <w:bCs w:val="0"/>
          <w:sz w:val="30"/>
          <w:szCs w:val="30"/>
        </w:rPr>
      </w:pPr>
    </w:p>
    <w:p w14:paraId="1C27823C">
      <w:pPr>
        <w:pStyle w:val="9"/>
        <w:spacing w:before="11"/>
        <w:ind w:left="0"/>
        <w:jc w:val="left"/>
        <w:rPr>
          <w:rFonts w:hint="eastAsia"/>
          <w:b w:val="0"/>
          <w:bCs w:val="0"/>
          <w:sz w:val="30"/>
          <w:szCs w:val="30"/>
        </w:rPr>
      </w:pPr>
      <w:r>
        <w:rPr>
          <w:rFonts w:hint="eastAsia"/>
          <w:b w:val="0"/>
          <w:bCs w:val="0"/>
          <w:sz w:val="30"/>
          <w:szCs w:val="30"/>
        </w:rPr>
        <w:t>Even now, through the faithful preaching of the Gospel, many nations of new believers are ascending this Mountain, there to worship the God of Jacob.</w:t>
      </w:r>
    </w:p>
    <w:p w14:paraId="1B803C3B">
      <w:pPr>
        <w:pStyle w:val="9"/>
        <w:spacing w:before="11"/>
        <w:ind w:left="0"/>
        <w:jc w:val="left"/>
        <w:rPr>
          <w:rFonts w:hint="eastAsia"/>
          <w:b w:val="0"/>
          <w:bCs w:val="0"/>
          <w:sz w:val="30"/>
          <w:szCs w:val="30"/>
        </w:rPr>
      </w:pPr>
      <w:r>
        <w:rPr>
          <w:rFonts w:hint="eastAsia"/>
          <w:b w:val="0"/>
          <w:bCs w:val="0"/>
          <w:sz w:val="30"/>
          <w:szCs w:val="30"/>
        </w:rPr>
        <w:t>即使现在，通过对福音的忠实传讲，许多新信徒的国家正在登上这座山，在那里敬拜雅各的上帝。</w:t>
      </w:r>
    </w:p>
    <w:p w14:paraId="76484713">
      <w:pPr>
        <w:pStyle w:val="9"/>
        <w:spacing w:before="11"/>
        <w:ind w:left="0"/>
        <w:jc w:val="left"/>
        <w:rPr>
          <w:rFonts w:hint="eastAsia"/>
          <w:b w:val="0"/>
          <w:bCs w:val="0"/>
          <w:sz w:val="30"/>
          <w:szCs w:val="30"/>
        </w:rPr>
      </w:pPr>
    </w:p>
    <w:p w14:paraId="4C895320">
      <w:pPr>
        <w:pStyle w:val="9"/>
        <w:spacing w:before="11"/>
        <w:ind w:left="0"/>
        <w:jc w:val="left"/>
        <w:rPr>
          <w:rFonts w:hint="eastAsia"/>
          <w:b w:val="0"/>
          <w:bCs w:val="0"/>
          <w:sz w:val="30"/>
          <w:szCs w:val="30"/>
        </w:rPr>
      </w:pPr>
      <w:r>
        <w:rPr>
          <w:rFonts w:hint="eastAsia"/>
          <w:b w:val="0"/>
          <w:bCs w:val="0"/>
          <w:sz w:val="30"/>
          <w:szCs w:val="30"/>
        </w:rPr>
        <w:t>Even now, through Christ—the High Prophet of Heaven—God is teaching his people his ways.</w:t>
      </w:r>
    </w:p>
    <w:p w14:paraId="61AAC420">
      <w:pPr>
        <w:pStyle w:val="9"/>
        <w:spacing w:before="11"/>
        <w:ind w:left="0"/>
        <w:jc w:val="left"/>
        <w:rPr>
          <w:rFonts w:hint="eastAsia"/>
          <w:b w:val="0"/>
          <w:bCs w:val="0"/>
          <w:sz w:val="30"/>
          <w:szCs w:val="30"/>
        </w:rPr>
      </w:pPr>
      <w:r>
        <w:rPr>
          <w:rFonts w:hint="eastAsia"/>
          <w:b w:val="0"/>
          <w:bCs w:val="0"/>
          <w:sz w:val="30"/>
          <w:szCs w:val="30"/>
        </w:rPr>
        <w:t>即使现在，通过基督——天上的至高先知——上帝正在教导祂的子民祂的道路。</w:t>
      </w:r>
    </w:p>
    <w:p w14:paraId="1DA28C50">
      <w:pPr>
        <w:pStyle w:val="9"/>
        <w:spacing w:before="11"/>
        <w:ind w:left="0"/>
        <w:jc w:val="left"/>
        <w:rPr>
          <w:rFonts w:hint="eastAsia"/>
          <w:b w:val="0"/>
          <w:bCs w:val="0"/>
          <w:sz w:val="30"/>
          <w:szCs w:val="30"/>
        </w:rPr>
      </w:pPr>
    </w:p>
    <w:p w14:paraId="6B301388">
      <w:pPr>
        <w:pStyle w:val="9"/>
        <w:spacing w:before="11"/>
        <w:ind w:left="0"/>
        <w:jc w:val="left"/>
        <w:rPr>
          <w:rFonts w:hint="eastAsia"/>
          <w:b w:val="0"/>
          <w:bCs w:val="0"/>
          <w:sz w:val="30"/>
          <w:szCs w:val="30"/>
        </w:rPr>
      </w:pPr>
      <w:r>
        <w:rPr>
          <w:rFonts w:hint="eastAsia"/>
          <w:b w:val="0"/>
          <w:bCs w:val="0"/>
          <w:sz w:val="30"/>
          <w:szCs w:val="30"/>
        </w:rPr>
        <w:t>Even now, the instruction of the Gospel is going forth from Zion; even now the Word of the LORD is going forth from the Jerusalem above, of which the Church on earth is a member in good (heavenly) standing (Gal. 4:26, Heb. 12:22); etc.</w:t>
      </w:r>
    </w:p>
    <w:p w14:paraId="5AC368DD">
      <w:pPr>
        <w:pStyle w:val="9"/>
        <w:spacing w:before="11"/>
        <w:ind w:left="0"/>
        <w:jc w:val="left"/>
        <w:rPr>
          <w:rFonts w:hint="eastAsia"/>
          <w:b w:val="0"/>
          <w:bCs w:val="0"/>
          <w:sz w:val="30"/>
          <w:szCs w:val="30"/>
        </w:rPr>
      </w:pPr>
      <w:r>
        <w:rPr>
          <w:rFonts w:hint="eastAsia"/>
          <w:b w:val="0"/>
          <w:bCs w:val="0"/>
          <w:sz w:val="30"/>
          <w:szCs w:val="30"/>
        </w:rPr>
        <w:t>即使现在，福音的训诲也正从锡安发出；即使现在，耶和华的话语也正从天上的耶路撒冷发出，地上的教会是其享有良好（属天）地位的成员（加拉太书 4:26, 希伯来书 12:22）；等等。</w:t>
      </w:r>
    </w:p>
    <w:p w14:paraId="50F49AB4">
      <w:pPr>
        <w:pStyle w:val="9"/>
        <w:spacing w:before="11"/>
        <w:ind w:left="0"/>
        <w:jc w:val="left"/>
        <w:rPr>
          <w:rFonts w:hint="eastAsia"/>
          <w:b w:val="0"/>
          <w:bCs w:val="0"/>
          <w:sz w:val="30"/>
          <w:szCs w:val="30"/>
        </w:rPr>
      </w:pPr>
    </w:p>
    <w:p w14:paraId="74DCD683">
      <w:pPr>
        <w:pStyle w:val="9"/>
        <w:spacing w:before="11"/>
        <w:ind w:left="0"/>
        <w:jc w:val="left"/>
        <w:rPr>
          <w:rFonts w:hint="eastAsia"/>
          <w:b w:val="0"/>
          <w:bCs w:val="0"/>
          <w:sz w:val="30"/>
          <w:szCs w:val="30"/>
        </w:rPr>
      </w:pPr>
      <w:r>
        <w:rPr>
          <w:rFonts w:hint="eastAsia"/>
          <w:b w:val="0"/>
          <w:bCs w:val="0"/>
          <w:sz w:val="30"/>
          <w:szCs w:val="30"/>
        </w:rPr>
        <w:t>However, on a second reading of this prophecy, we may just as easily view it as being fulfilled in the Kingdom of the Father, in the new heavens and the new earth.</w:t>
      </w:r>
    </w:p>
    <w:p w14:paraId="7A009F9F">
      <w:pPr>
        <w:pStyle w:val="9"/>
        <w:spacing w:before="11"/>
        <w:ind w:left="0"/>
        <w:jc w:val="left"/>
        <w:rPr>
          <w:rFonts w:hint="eastAsia"/>
          <w:b w:val="0"/>
          <w:bCs w:val="0"/>
          <w:sz w:val="30"/>
          <w:szCs w:val="30"/>
        </w:rPr>
      </w:pPr>
      <w:r>
        <w:rPr>
          <w:rFonts w:hint="eastAsia"/>
          <w:b w:val="0"/>
          <w:bCs w:val="0"/>
          <w:sz w:val="30"/>
          <w:szCs w:val="30"/>
        </w:rPr>
        <w:t>然而，在第二次阅读这段预言时，我们同样可以轻易地将其视为在父的国度中，在新天新地中应验。</w:t>
      </w:r>
    </w:p>
    <w:p w14:paraId="3B0F095C">
      <w:pPr>
        <w:pStyle w:val="9"/>
        <w:spacing w:before="11"/>
        <w:ind w:left="0"/>
        <w:jc w:val="left"/>
        <w:rPr>
          <w:rFonts w:hint="eastAsia"/>
          <w:b w:val="0"/>
          <w:bCs w:val="0"/>
          <w:sz w:val="30"/>
          <w:szCs w:val="30"/>
        </w:rPr>
      </w:pPr>
    </w:p>
    <w:p w14:paraId="5FB2230D">
      <w:pPr>
        <w:pStyle w:val="9"/>
        <w:spacing w:before="11"/>
        <w:ind w:left="0"/>
        <w:jc w:val="left"/>
        <w:rPr>
          <w:rFonts w:hint="eastAsia"/>
          <w:b w:val="0"/>
          <w:bCs w:val="0"/>
          <w:sz w:val="30"/>
          <w:szCs w:val="30"/>
        </w:rPr>
      </w:pPr>
      <w:r>
        <w:rPr>
          <w:rFonts w:hint="eastAsia"/>
          <w:b w:val="0"/>
          <w:bCs w:val="0"/>
          <w:sz w:val="30"/>
          <w:szCs w:val="30"/>
        </w:rPr>
        <w:t>For though they are experienced in different degrees, the same immutable blessings of the Eternal Covenant belong to God’s people in both stages of the Kingdom, and it is of these blessings that the OT prophets speak so beautifully, powerfully, and mysteriously, in type and shadow.</w:t>
      </w:r>
    </w:p>
    <w:p w14:paraId="16B92791">
      <w:pPr>
        <w:pStyle w:val="9"/>
        <w:spacing w:before="11"/>
        <w:ind w:left="0"/>
        <w:jc w:val="left"/>
        <w:rPr>
          <w:b w:val="0"/>
          <w:bCs w:val="0"/>
          <w:sz w:val="15"/>
        </w:rPr>
      </w:pPr>
      <w:r>
        <w:rPr>
          <w:rFonts w:hint="eastAsia"/>
          <w:b w:val="0"/>
          <w:bCs w:val="0"/>
          <w:sz w:val="30"/>
          <w:szCs w:val="30"/>
        </w:rPr>
        <w:t>因为，尽管它们在不同程度上被经历，但永恒之约同样不变的祝福在国度的两个阶段都属于上帝的子民，而旧约先知们正是以预表和影儿的方式，如此优美、有力、神秘地讲述这些祝福。</w:t>
      </w:r>
    </w:p>
    <w:p w14:paraId="2CD490C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1.To a greater or lesser degree, all OTKP’s are covenantally conditioned, and must be interpreted accordingly.</w:t>
      </w:r>
    </w:p>
    <w:p w14:paraId="001E01D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2.或多或少地，所有的旧约国度预言（OTKP）都是受圣约制约的，并且必须据此解释。</w:t>
      </w:r>
    </w:p>
    <w:p w14:paraId="184400F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7B1359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We have spoken of this principle more than once.</w:t>
      </w:r>
    </w:p>
    <w:p w14:paraId="03D493E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我们已经不止一次地谈到这个原则。</w:t>
      </w:r>
    </w:p>
    <w:p w14:paraId="3A84319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800846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idea here is that in interpreting OTKP we must not fail to apply our NT understanding of the deep meaning of all OT revelation: that it testified of Christ; that it was a veiled revelation—cast in OT type and shadow—of the things of the Eternal Covenant.</w:t>
      </w:r>
    </w:p>
    <w:p w14:paraId="49ED164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里的观念是，在解释旧约国度预言（OTKP）时，我们绝不能不应用我们对所有旧约启示深层意义的新约理解：即它为基督作了见证；它是一个隐藏的启示——是关于永恒之约的事物，投射在旧约的预表和影儿中。</w:t>
      </w:r>
    </w:p>
    <w:p w14:paraId="71A12F1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21977D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if the whole OT speaks of Christ and the Covenant, then it is certain that the portion we call OTKP does, as well.</w:t>
      </w:r>
    </w:p>
    <w:p w14:paraId="21D58D2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因为如果整个旧约都论及基督和圣约，那么可以肯定，我们称为旧约国度预言（OTKP）的部分也是如此。</w:t>
      </w:r>
    </w:p>
    <w:p w14:paraId="10A1938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37AB30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Therefore, we must interpret it accordingly.</w:t>
      </w:r>
    </w:p>
    <w:p w14:paraId="344AB2B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因此，我们必须据此解释它。</w:t>
      </w:r>
    </w:p>
    <w:p w14:paraId="7896C96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DC4E53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what exactly do we mean when we say that OTKP is covenantally conditioned?</w:t>
      </w:r>
    </w:p>
    <w:p w14:paraId="3D9D525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但是，当我们说旧约国度预言（OTKP）是受圣约制约的时，我们究竟是什么意思？</w:t>
      </w:r>
    </w:p>
    <w:p w14:paraId="1955AC5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3501A5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To my mind, the important point is this: In giving his OT saints hope of a coming Kingdom, the Spirit of God (naturally enough) used language and imagery familiar to the OT saints.</w:t>
      </w:r>
    </w:p>
    <w:p w14:paraId="0090886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在我看来，重要的一点是：在给予祂旧约圣徒一个将要来临的国度的盼望时，上帝的灵（很自然地）使用了旧约圣徒所熟悉的语言和意象。</w:t>
      </w:r>
    </w:p>
    <w:p w14:paraId="249AC94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625B32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More particularly, in giving hope of Christ and the Covenant to his OT saints living under the Mosaic Law, the Spirit was pleased to frame that hope in language and imagery drawn primarily from the Mosaic Law, or from historical conditions peculiar to the days of the Law.</w:t>
      </w:r>
    </w:p>
    <w:p w14:paraId="6B775DD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更具体地说，在将基督和圣约的盼望给予生活在摩西律法下的祂的旧约圣徒时，圣灵乐意用主要取自摩西律法，或取自律法时代特有的历史状况的语言和意象来构建那个盼望。</w:t>
      </w:r>
    </w:p>
    <w:p w14:paraId="7E4A0B0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DA8E9A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Thus, in OTKP, explicit promises of future New Covenant blessings are “conditioned”—clothed in, and veiled under— the typological language and imagery of (life under) the Old (Mosaic) Covenant.</w:t>
      </w:r>
    </w:p>
    <w:p w14:paraId="383B086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因此，在旧约国度预言（OTKP）中，对未来新约祝福的明确应许是“受制约的”——被包装在，并隐藏在——旧（摩西）约（下的生活）的预表性语言和意象之下。</w:t>
      </w:r>
    </w:p>
    <w:p w14:paraId="017AA7A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21C03B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great NT truth opens wide the door to a correct interpretation of OTKP.</w:t>
      </w:r>
    </w:p>
    <w:p w14:paraId="3FDCD5F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这个伟大的新约真理为正确解释旧约国度预言（OTKP）打开了大门。</w:t>
      </w:r>
    </w:p>
    <w:p w14:paraId="424EE52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C26CC3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However, it also requires much from us if we hope to arrive safely at that interpretation.</w:t>
      </w:r>
    </w:p>
    <w:p w14:paraId="1BF6145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然而，如果我们希望安全地达到那个解释，它也对我们提出了很高的要求。</w:t>
      </w:r>
    </w:p>
    <w:p w14:paraId="1CE468F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F39923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particular, it requires that we be so thoroughly saturated in the NT that we can follow the apostles themselves in “translating” or “decoding” the language of the OT into the New; that in reading OTKP we can spot specific NT truths and blessings hidden beneath the OT typological language employed by the Spirit.</w:t>
      </w:r>
    </w:p>
    <w:p w14:paraId="7F10032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特别是，它要求我们如此彻底地沉浸在新约中，以致我们能够跟随使徒们自己将旧约的语言“翻译”或“解码”成新约的语言；在阅读旧约国度预言（OTKP）时，我们能够发现隐藏在圣灵所使用的旧约预表性语言之下的具体新约真理和祝福。</w:t>
      </w:r>
    </w:p>
    <w:p w14:paraId="3128771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D9061B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Earlier, we discussed such language at length, probing the “mysterious” NT significance of many different OT types and shadows; of various persons, places, things, events, and institutions that appear, not only in OT historical narrative, but also, with great frequency, in OTKP.</w:t>
      </w:r>
    </w:p>
    <w:p w14:paraId="3A84920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早些时候，我们详细讨论了这种语言，探究了许多不同旧约预表和影儿的“奥秘的”新约意义；即不仅出现在旧约历史叙述中，也频繁出现在旧约国度预言（OTKP）中的各种人物、地方、事物、事件和制度。</w:t>
      </w:r>
    </w:p>
    <w:p w14:paraId="0195D09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969608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By way of illustration, let us consider again the prophecy of Micah.</w:t>
      </w:r>
    </w:p>
    <w:p w14:paraId="5870264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作为例证，让我们再次思考弥迦的预言。</w:t>
      </w:r>
    </w:p>
    <w:p w14:paraId="4C5A2E0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CE79DE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There is no hope of understanding it correctly unless we first recognize that it is covenantally conditioned; that here the Spirit uses images drawn from the Mosaic Law to represent New Covenant blessings yet to be unveiled by Christ in the fullness of time; that “the LORD’s house,” “the Mountain of God,” “Zion,” “Jerusalem,” and “the Law” are, in fact, spiritual, heavenly, New Covenant realities, of which the ancient physical analogues, so central to the Law, were mere types and shadows.</w:t>
      </w:r>
    </w:p>
    <w:p w14:paraId="351DB74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除非我们首先认识到它是受圣约制约的，否则就没有希望正确地理解它；即在这里，圣灵使用取自摩西律法的意象来代表基督将在时候满足时揭示的新约祝福；“耶和华的殿”、“上帝的山”、“锡安”、“耶路撒冷”和“律法”实际上是属灵的、属天的、新约的现实，而对律法如此核心的古代物质对应物，仅仅是预表和影儿。</w:t>
      </w:r>
    </w:p>
    <w:p w14:paraId="1751BC0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D734E6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then, is the conclusion of the matter: In order to understand OTKP we must be able to decondition it—to decode or translate it—so that we can see, enjoy, and proclaim the NT blessings that are being promised and predicted under OT imagery.</w:t>
      </w:r>
    </w:p>
    <w:p w14:paraId="0ED1122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那么，这就是问题的结论：为了理解旧约国度预言（OTKP），我们必须能够对其进行“解除制约”——即解码或翻译——以便我们能够看到、享受并宣讲在旧约意象下所应许和预言的新约祝福。</w:t>
      </w:r>
    </w:p>
    <w:p w14:paraId="691EC93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6D1D86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apostles led the way; we have but to follow.</w:t>
      </w:r>
    </w:p>
    <w:p w14:paraId="26CDC2F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使徒们引领了道路；我们只需跟随。</w:t>
      </w:r>
    </w:p>
    <w:p w14:paraId="13964DA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6946E5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Premillennarian Questions</w:t>
      </w:r>
    </w:p>
    <w:p w14:paraId="6C86740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前千禧年派的问题</w:t>
      </w:r>
    </w:p>
    <w:p w14:paraId="708F549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7AB5BD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Before discussing our third principle, it is timely to address two questions that have greatly troubled our premillennarian brethren.</w:t>
      </w:r>
    </w:p>
    <w:p w14:paraId="28E5FE0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在讨论我们的第三个原则之前，现在是时候处理两个严重困扰我们前千禧年派弟兄们的问题了。</w:t>
      </w:r>
    </w:p>
    <w:p w14:paraId="4EB8DDE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810940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first is this: If OT prophecies concerning the birth, life, ministry, death, and resurrection of Christ were literally fulfilled, by what right do we say that OT prophecies of his Kingdom are not?</w:t>
      </w:r>
    </w:p>
    <w:p w14:paraId="4E4BE34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第一个是：如果关于基督的出生、生平、事工、死亡和复活的旧约预言都是按字面应验的，我们凭什么权利说关于祂国度的旧约预言不是呢？</w:t>
      </w:r>
    </w:p>
    <w:p w14:paraId="2CD8FE4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C276F6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By what right do we introduce a completely new hermeneutic for the interpretation of OTKP?</w:t>
      </w:r>
    </w:p>
    <w:p w14:paraId="1987666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我们凭什么权利为解释旧约国度预言（OTKP）引入一个全新的解释学？</w:t>
      </w:r>
    </w:p>
    <w:p w14:paraId="7B21113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709715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answer to this reasonable question is found in the distinction between simple OT prophecies and OTKP.</w:t>
      </w:r>
    </w:p>
    <w:p w14:paraId="1187164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这个合理问题的答案在于简单旧约预言和旧约国度预言（OTKP）之间的区别。</w:t>
      </w:r>
    </w:p>
    <w:p w14:paraId="7E12BE5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A5ABE2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As we saw above, by definition simple OT prophecies were fulfilled under the Law; they were fulfilled in the days when the Law was still in force.</w:t>
      </w:r>
    </w:p>
    <w:p w14:paraId="003726B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正如我们上面所见，根据定义，简单的旧约预言是在律法下应验的；它们是在律法仍然有效的日子里应验的。</w:t>
      </w:r>
    </w:p>
    <w:p w14:paraId="78E4E95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085B83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this reason, they were literally fulfilled, since there was no good reason for them not to be.</w:t>
      </w:r>
    </w:p>
    <w:p w14:paraId="3673221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因此，它们是按字面意思应验的，因为没有充分的理由让它们不按字面意思应验。</w:t>
      </w:r>
    </w:p>
    <w:p w14:paraId="53E4E46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36B6DA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their case, God had, as it were, nothing to hide.</w:t>
      </w:r>
    </w:p>
    <w:p w14:paraId="748C31C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在它们的情况下，上帝，可以说，没有什么可隐藏的。</w:t>
      </w:r>
    </w:p>
    <w:p w14:paraId="76E44BA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4308F7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 could supply hope, instruction, and encouragement to his OT people by letting those prophecies be literally fulfilled right before their eyes.</w:t>
      </w:r>
    </w:p>
    <w:p w14:paraId="3A4B4BA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祂可以通过让那些预言在祂旧约子民眼前按字面应验来供应他们盼望、教导和鼓励。</w:t>
      </w:r>
    </w:p>
    <w:p w14:paraId="508AAE7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6E07C9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OT Messianic prophecies of events that occurred prior to the Day of Pentecost—prior to the coming of the Kingdom—fall into this category.</w:t>
      </w:r>
    </w:p>
    <w:p w14:paraId="23C89EB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旧约中关于五旬节之前——即国度来临之前——发生的事件的弥赛亚预言属于这一类。</w:t>
      </w:r>
    </w:p>
    <w:p w14:paraId="14B7059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99B0AB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the days of their fulfillment, the Law was still in force; as it is written, Jesus himself was born and lived under the Law (Gal. 4:4).</w:t>
      </w:r>
    </w:p>
    <w:p w14:paraId="44241E0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在它们应验的日子里，律法仍然有效；正如经上所记，耶稣自己也是生在律法之下，活在律法之下（加拉太书 4:4）。</w:t>
      </w:r>
    </w:p>
    <w:p w14:paraId="18EB12E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0C44E5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Therefore, they too were simple OT prophecies, and were more or less literally fulfilled.</w:t>
      </w:r>
    </w:p>
    <w:p w14:paraId="3CBE4A6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因此，它们也是简单的旧约预言，并且或多或少是按字面应验的。</w:t>
      </w:r>
    </w:p>
    <w:p w14:paraId="2C36C22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5ECBE1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As we study the NT, we realize that these simple Messianic prophecies were an important element in God’s evangelistic outreach to the Jews of Jesus’ day, whether before or after his death on the Cross.</w:t>
      </w:r>
    </w:p>
    <w:p w14:paraId="7403881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当我们研读新约时，我们意识到这些简单的弥赛亚预言是上帝在耶稣时代向犹太人传福音的重要组成部分，无论是在祂钉十字架之前还是之后。</w:t>
      </w:r>
    </w:p>
    <w:p w14:paraId="418ED65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F009AB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them, he sought to give hope, instruction, and encouragement to ethnic Israel; in them he sought to enable his OT people to identify their Messiah and turn to him.</w:t>
      </w:r>
    </w:p>
    <w:p w14:paraId="5291702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在其中，祂寻求给予以色列民族盼望、教导和鼓励；在其中祂寻求使祂的旧约子民能够认出他们的弥赛亚并归向祂。</w:t>
      </w:r>
    </w:p>
    <w:p w14:paraId="08EE521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7CF761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How exactly did he do this?</w:t>
      </w:r>
    </w:p>
    <w:p w14:paraId="6941B93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祂究竟是如何做到这一点的？</w:t>
      </w:r>
    </w:p>
    <w:p w14:paraId="30ECC94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F694D6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manifold answer is impressive: He did it by foretelling the place of the Messiah’s birth (Micah 5:2, Mt. 2:5-6); his predilection for ministry to the mixed multitudes of Galilee (Isaiah 9:1f, Mt. 4:12f); his prophetic works of power on behalf of the poor (Isaiah 61:1-3, Mt. 11:1-6, Luke 4:18); his rejection by hostile rulers, both Jew and Gentile (Psalm 2:1-2, Acts 4:23-31); his death as an apparent criminal, by which, according to God’s stated purpose, he atoned for the crimes of his people (Isaiah 53:1f, Mark 10:45, 1 Peter 2:21-25); and his resurrection, ascension, and session at God’s right hand (Psalms 16, 110, Acts 2:22-36).</w:t>
      </w:r>
    </w:p>
    <w:p w14:paraId="774C7F5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多方面的答案令人印象深刻：祂通过预言弥赛亚的出生地（弥迦书 5:2, 马太福音 2:5-6）；祂偏爱向加利利混杂的众人传道（以赛亚书 9:1及后文, 马太福音 4:12及后文）；祂为穷人所行的预言性大能作为（以赛亚书 61:1-3, 马太福音 11:1-6, 路加福音 4:18）；祂被敌对的统治者，无论是犹太人还是外邦人所弃绝（诗篇 2:1-2, 使徒行传 4:23-31）；祂作为一名表面上的罪犯而死，藉此，根据上帝所陈明的旨意，祂为祂子民的罪行了赎罪（以赛亚书 53:1及后文, 马可福音 10:45, 彼得前书 2:21-25）；以及祂的复活、升天，并坐在上帝的右边（诗篇 16篇, 110篇, 使徒行传 2:22-36）。</w:t>
      </w:r>
    </w:p>
    <w:p w14:paraId="5A21C48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7EB9B0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As this small sampling of texts reveals, the apostles employed these simple OT Messianic prophecies to great purpose, if by any means they could use them effectively to save some of their Jewish brethren (Rom. 11:14).</w:t>
      </w:r>
    </w:p>
    <w:p w14:paraId="0EE9F9E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正如这一小部分经文所揭示的，使徒们为了重大的目的而使用这些简单的旧约弥赛亚预言，为要尽力有效地使用它们来拯救他们一些犹太弟兄（罗马书 11:14）。</w:t>
      </w:r>
    </w:p>
    <w:p w14:paraId="477E5EA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602FA3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Moreover, in due season they used those same prophecies to create and strengthen the faith of Gentile believers, even as it is today.</w:t>
      </w:r>
    </w:p>
    <w:p w14:paraId="38BB6DC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此外，在适当的时候，他们也使用同样的预言来建立和坚固外邦信徒的信心，直到今天依然如此。</w:t>
      </w:r>
    </w:p>
    <w:p w14:paraId="18DC2BE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3CE4D4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However, OTKP’s are not simple, but fall into a unique category of their own.</w:t>
      </w:r>
    </w:p>
    <w:p w14:paraId="0B561FE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然而，旧约国度预言（OTKP）并非简单，而是属于它们自己独特的类别。</w:t>
      </w:r>
    </w:p>
    <w:p w14:paraId="51B2DFA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BC7B8D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They are fulfilled after Pentecost, when the Kingdom has come at last; they are fulfilled under the New Covenant, when the New Covenant is in force at last.</w:t>
      </w:r>
    </w:p>
    <w:p w14:paraId="367FE79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它们在五旬节之后，当国度最终降临时应验；它们在新约之下，当新约最终生效时应验。</w:t>
      </w:r>
    </w:p>
    <w:p w14:paraId="2297208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73AD41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And in their case, God did have something to hide, for as we have learned from the NT, it pleased him to make the New Covenant—and the spiritual Kingdom it would introduce—a mystery; to conceal the true nature of the Kingdom from his OT people under types and shadows drawn from the Law; and to do this, so that in the fullness of time his only- begotten Son might enjoy the privilege and prerogative of unveiling “true truth,” not only to Israel, but also to the whole world.</w:t>
      </w:r>
    </w:p>
    <w:p w14:paraId="12EC5E9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它们的情况下，上帝确实有东西要隐藏，因为我们从新约中学到，祂乐意使新约——以及它将引入的属灵国度——成为一个奥秘；在取自律法的预表和影儿之下，向祂的旧约子民隐藏国度的真实性质；这样做，是为了在时候满足时，祂的独生子可以享有揭示“真实真理”的特权和权柄，不仅向以色列，也向全世界。</w:t>
      </w:r>
    </w:p>
    <w:p w14:paraId="76F6F09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8D0F1E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short, it pleased God to hide in Christ all the treasures of wisdom and knowledge, so that in the days of Christ, Christ himself might be the One to open them up to his own (Mt. 13:10-17, John 1:17, Rom. 16:25-27, 1 Cor. 2:1f, Eph. 1:9, 3:1f, Col. 1:26, 2:3, Heb. 1:1f).</w:t>
      </w:r>
    </w:p>
    <w:p w14:paraId="3B99D9F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简而言之，上帝乐意将一切智慧和知识的宝藏藏在基督里，以便在基督的日子里，基督自己可以成为向祂自己的人开启这些宝藏的那一位（马太福音 13:10-17, 约翰福音 1:17, 罗马书 16:25-27, 哥林多前书 2:1及后文, 以弗所书 1:9, 3:1及后文, 歌罗西书 1:26, 2:3, 希伯来书 1:1及后文）。</w:t>
      </w:r>
    </w:p>
    <w:p w14:paraId="18B6202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03D907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brings us to a second, related question: If indeed God spoke figuratively in OTKP; if indeed he covenantally conditioned it; if indeed he placed a veil of (Mosaic) types and shadows over the truth, then is it not the case that God, in effect, lied to his OT people, and knowingly deceived them?</w:t>
      </w:r>
    </w:p>
    <w:p w14:paraId="2A027BF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就引出了第二个相关的问题：如果上帝在旧约国度预言（OTKP）中确实是比喻性地说话；如果祂确实是按圣约来制约它；如果祂确实在真理之上放置了一层（摩西的）预表和影儿的幔子，那么，这是否意味着上帝实际上对祂的旧约子民撒了谎，并且故意欺骗了他们？</w:t>
      </w:r>
    </w:p>
    <w:p w14:paraId="69C29DE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A883C2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surely he knew that they would interpret these prophecies literally, just as they did the simple OT prophecies that had been fulfilled before their eyes in ages past.</w:t>
      </w:r>
    </w:p>
    <w:p w14:paraId="3BD9B42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因为祂肯定知道他们会按字面意思解释这些预言，就像他们解释在过去世代中在他们眼前应验了的简单旧约预言一样。</w:t>
      </w:r>
    </w:p>
    <w:p w14:paraId="140DB4F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BFE704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While at first glance this objection may seem weighty, there are at least four good reasons why it cannot stand.</w:t>
      </w:r>
    </w:p>
    <w:p w14:paraId="6BB8C95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虽然乍一看这个反对意见似乎很有分量，但至少有四个充分的理由说明它站不住脚。</w:t>
      </w:r>
    </w:p>
    <w:p w14:paraId="4331B7E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CE033E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First, in speaking as he did through the OT prophets, God told the absolute truth.</w:t>
      </w:r>
    </w:p>
    <w:p w14:paraId="5260AEC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首先，当祂通过旧约先知说话时，上帝说的是绝对的真理。</w:t>
      </w:r>
    </w:p>
    <w:p w14:paraId="124294A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C9303B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Not one word of all the good words found in OTKP has fallen—or will fall—to the ground (Joshua 23:14).</w:t>
      </w:r>
    </w:p>
    <w:p w14:paraId="680BD36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在旧约国度预言（OTKP）中找到的所有好话，没有一句落空——或将要落空——（约书亚记 23:14）。</w:t>
      </w:r>
    </w:p>
    <w:p w14:paraId="6DF6D9D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4B1CE7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True, in them God did not say everything he meant, for much was hidden away under type and shadow.</w:t>
      </w:r>
    </w:p>
    <w:p w14:paraId="63936AF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的确，在其中上帝没有说出祂所有的意思，因为许多内容被隐藏在预表和影儿之下。</w:t>
      </w:r>
    </w:p>
    <w:p w14:paraId="6375240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065A05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Nevertheless, he certainly meant everything he said: He intended to convey important truths, and he intended those truths to have a desired effect.</w:t>
      </w:r>
    </w:p>
    <w:p w14:paraId="5D8D3E1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然而，祂说的每一句话都是祂的意思：祂意在传达重要的真理，并且祂意在让那些真理产生预期的效果。</w:t>
      </w:r>
    </w:p>
    <w:p w14:paraId="5930346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C478AA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this reason, the Spirit of Truth zealously bore witness to God’s prophetic words, using them to give light, strength, and hope to his OT elect.</w:t>
      </w:r>
    </w:p>
    <w:p w14:paraId="72B6979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因此，真理的圣灵热心地为上帝的预言话语作见证，用它们来赐给祂旧约选民光明、力量和盼望。</w:t>
      </w:r>
    </w:p>
    <w:p w14:paraId="5EB4F2B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F627C1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Therefore, in giving OTKP, God did not lie.</w:t>
      </w:r>
    </w:p>
    <w:p w14:paraId="330FCA1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因此，在赐下旧约国度预言（OTKP）时，上帝没有撒谎。</w:t>
      </w:r>
    </w:p>
    <w:p w14:paraId="2E7F104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0349D6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Secondly, even in OTKP itself God gave many hints to the effect that his words about the coming Kingdom had a figurative, spiritual meaning.</w:t>
      </w:r>
    </w:p>
    <w:p w14:paraId="59CE050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其次，即使在旧约国度预言（OTKP）本身，上帝也给了许多暗示，表明祂关于将要来临的国度的话语具有象征性的、属灵的意义。</w:t>
      </w:r>
    </w:p>
    <w:p w14:paraId="701437C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D09183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We discussed these hints earlier.</w:t>
      </w:r>
    </w:p>
    <w:p w14:paraId="590160E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我们早些时候讨论过这些暗示。</w:t>
      </w:r>
    </w:p>
    <w:p w14:paraId="03AAC0D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63BE5B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Apparent contradictions, patently symbolic texts, and talk of a completely new covenant all warned against an overly literal approach to OTKP.</w:t>
      </w:r>
    </w:p>
    <w:p w14:paraId="513EBEB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明显的矛盾、显而易见的象征性经文，以及关于一个全新圣约的谈论，都警告人们不要对旧约国度预言（OTKP）采取过于字面的方法。</w:t>
      </w:r>
    </w:p>
    <w:p w14:paraId="74D343A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D10A3D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Thirdly, God also repeatedly intimated to his OT people that they would not fully understand his redemptive purpose and plan until the last days, until the days of the Kingdom itself.</w:t>
      </w:r>
    </w:p>
    <w:p w14:paraId="0F9B11C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第三，上帝也一再向祂的旧约子民暗示，他们要到末后的日子，到国度本身的日子，才能完全理解祂的救赎旨意和计划。</w:t>
      </w:r>
    </w:p>
    <w:p w14:paraId="295DBFF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38036C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example, looking ahead to the time of Christ, and speaking of the Gospel he would bring, God warned Israel through Isaiah, saying, “My thoughts are not your thoughts, neither are your ways My ways” (55:6-13).</w:t>
      </w:r>
    </w:p>
    <w:p w14:paraId="3FFB8AC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例如，展望基督的时代，并谈到祂将带来的福音，上帝通过以赛亚警告以色列说：“我的意念非同你们的意念，我的道路非同你们的道路”（55:6-13）。</w:t>
      </w:r>
    </w:p>
    <w:p w14:paraId="44A7E96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344906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Similarly, he spoke of a day to come when all the sons of Zion would be taught by the LORD (54:13, John 6:45); a day when their Teacher would no longer hide himself; a day when they would see their Teacher, and hear a word behind them, saying, “This is the way, walk in it” (30:19-21).</w:t>
      </w:r>
    </w:p>
    <w:p w14:paraId="7D3FA37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同样，祂谈到将要来临的一天，那时锡安所有的子孙都必蒙耶和华的教训（54:13, 约翰福音 6:45）；那一天，他们的教师必不再隐藏；那一天，他们必看见他们的教师，并听见后面有声音说：“这是正路，要行在其间”（30:19-21）。</w:t>
      </w:r>
    </w:p>
    <w:p w14:paraId="32FFD25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09110D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Micah looks forward to a (Kingdom) time when God himself will teach his ways to all peoples (4:2).</w:t>
      </w:r>
    </w:p>
    <w:p w14:paraId="4C1F75C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弥迦展望一个（国度的）时代，那时上帝自己将把祂的道路教训万民（4:2）。</w:t>
      </w:r>
    </w:p>
    <w:p w14:paraId="5C4E11E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646110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Jeremiah, speaking of God’s redemptive promises to Israel, declares, “In the latter-day s you will understand this” (Jer. 30:18-31:6).</w:t>
      </w:r>
    </w:p>
    <w:p w14:paraId="3C99987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耶利米在谈到上帝对以色列的救赎应许时宣称：“到末后的日子，你们要明白这事”（耶利米书 30:18-31:6）。</w:t>
      </w:r>
    </w:p>
    <w:p w14:paraId="6267493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F43995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As for Daniel, he found himself astonished by the apocalyptic visions he had just received, but “there was no one to explain” (8:27).</w:t>
      </w:r>
    </w:p>
    <w:p w14:paraId="5572924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至于但以理，他对自己刚刚领受的启示性异象感到惊奇，但“无人能解说”（8:27）。</w:t>
      </w:r>
    </w:p>
    <w:p w14:paraId="4A2F827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10E493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Indeed, after giving him his final vision, the Angel of God told him to “conceal these words and shut up the (whole) book until the time of the end” (12:4).</w:t>
      </w:r>
    </w:p>
    <w:p w14:paraId="5012E9D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的确，在给了他最后的异象之后，上帝的天使告诉他要“隐藏这话，封闭这（整）书，直到末时”（12:4）。</w:t>
      </w:r>
    </w:p>
    <w:p w14:paraId="0930052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D2FA5A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Only then would a people arise who could give (full) insight to many (11:33); only then would knowledge increase (i.e., to the point of fullness, or completion, 12:4); only then would all these Kingdom prophecies be fully understood.</w:t>
      </w:r>
    </w:p>
    <w:p w14:paraId="48E0416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只有到那时，才会有一群人兴起，能够给许多人（完全的）洞见（11:33）；只有到那时，知识才会增长（即达到丰满或完全的程度，12:4）；只有到那时，所有这些国度的预言才能被完全理解。</w:t>
      </w:r>
    </w:p>
    <w:p w14:paraId="2F3BED7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D81E07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Confronted by words such as these, what OT saint could fail to walk humbly before the mysteries of OTKP (Isaiah 66:2)?</w:t>
      </w:r>
    </w:p>
    <w:p w14:paraId="7600A74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面对这样的话语，哪一位旧约圣徒能不在旧约国度预言（OTKP）的奥秘面前谦卑行走呢（以赛亚书 66:2）？</w:t>
      </w:r>
    </w:p>
    <w:p w14:paraId="27E3320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FFA0E5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brings us to our fourth and final point, namely, that no sooner did God begin to fulfill OTKP, than he also supplied the keys by which anyone who wished to could correctly interpret them.</w:t>
      </w:r>
    </w:p>
    <w:p w14:paraId="69E855B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这就引出了我们的第四个也是最后一个要点，即，上帝一开始应验旧约国度预言（OTKP），祂就同时提供了钥匙，任何愿意的人都可以藉此正确地解释它们。</w:t>
      </w:r>
    </w:p>
    <w:p w14:paraId="0AA92D8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0902B6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As we have seen, even before the coming of the Kingdom, Jesus himself revealed the mysteries of the Kingdom to his inquiring disciples (Mt. 13:1ff).</w:t>
      </w:r>
    </w:p>
    <w:p w14:paraId="0225481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正如我们所见，甚至在国度来临之前，耶稣自己就向祂寻求的门徒揭示了国度的奥秘（马太福音 13:1及后文）。</w:t>
      </w:r>
    </w:p>
    <w:p w14:paraId="26AA715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B8D343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After the Day of Pentecost, when the first stage of the Kingdom began, he gave his holy apostles and prophets still more light—indeed, definitive light—on the true nature of the Kingdom and the proper interpretation of OTKP, light that was then available to honest Jewish seekers, and that is now available in the pages of the NT to seekers of all nations.</w:t>
      </w:r>
    </w:p>
    <w:p w14:paraId="094B6FB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五旬节之后，当国度的第一阶段开始时，祂给了祂圣洁的使徒和先知们更多关于国度真实性质和正确解释旧约国度预言（OTKP）的光——实际上是决定性的光——这光当时可供诚实的犹太寻求者获得，现在则在新约的书页中可供所有国家的寻求者获得。</w:t>
      </w:r>
    </w:p>
    <w:p w14:paraId="3E8F2C8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BB8F01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If, then, in OT times there was occasion for a certain amount of confusion—and caution, patience, and trust—regarding the true meaning of OTKP, in NT times that occasion is completely removed.</w:t>
      </w:r>
    </w:p>
    <w:p w14:paraId="52E4DB4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那么，如果在旧约时代，关于旧约国度预言（OTKP）的真实意义，存在一定程度的困惑——以及谨慎、耐心和信靠的必要，那么在新约时代，这种必要就完全被移除了。</w:t>
      </w:r>
    </w:p>
    <w:p w14:paraId="69D6954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9D5BCA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Henceforth, to all who are willing to receive it, Christ offers the Rosetta Stone: the NCH, by which they can easily translate the mysterious tropes of OTKP into glorious NT truth.</w:t>
      </w:r>
    </w:p>
    <w:p w14:paraId="10781C6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从此以后，对所有愿意领受的人，基督提供了罗塞塔石碑：即新约解释学（NCH），藉此他们可以轻易地将旧约国度预言（OTKP）的神秘比喻翻译成荣耀的新约真理。</w:t>
      </w:r>
    </w:p>
    <w:p w14:paraId="0A15CC2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BCB5CA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Therefore, if any today are deceived by OTKP, they are not deceived by God, but, in one way or another, by themselves (cf., Rom. 1:18-20).</w:t>
      </w:r>
    </w:p>
    <w:p w14:paraId="70E6CF0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因此，如果今天有人被旧约国度预言（OTKP）所欺骗，他们不是被上帝欺骗，而是，以某种方式，被他们自己欺骗了（参看 罗马书 1:18-20）。</w:t>
      </w:r>
    </w:p>
    <w:p w14:paraId="557291B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963AD4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2.All OTKP’s are fulfilled in the Church, and must be interpreted accordingly.</w:t>
      </w:r>
    </w:p>
    <w:p w14:paraId="54C82B2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3.所有的旧约国度预言（OTKP）都在教会中应验，并且必须据此解释。</w:t>
      </w:r>
    </w:p>
    <w:p w14:paraId="386AB27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1AE027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As for the OT in general, so for OTKP in particular: It is fulfilled under the New Covenant (and so must be interpreted covenantally); it is fulfilled in Christ, who lies at the heart of the New Covenant (and so must be interpreted christologically); and it is fulfilled in the Church, which is the people of the New Covenant (and so must be interpreted ecclesiologically).</w:t>
      </w:r>
    </w:p>
    <w:p w14:paraId="13B8BCF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对于旧约整体如此，对于旧约国度预言（OTKP）尤其如此：它在新约下应验（因此必须以圣约的方式解释）；它在基督里应验，基督是新约的核心（因此必须以基督论的方式解释）；它在教会中应验，教会是新约的子民（因此必须以教会论的方式解释）。</w:t>
      </w:r>
    </w:p>
    <w:p w14:paraId="554561C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1BB452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Yes, this last assertion is controversial, but the truth of it should be no more controversial than that of the previous two, since it flows logically and necessarily from them both.</w:t>
      </w:r>
    </w:p>
    <w:p w14:paraId="1A5699B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是的，这最后一个断言是有争议的，但它的真理应当不比前两个更有争议，因为它逻辑上且必然地源于它们两者。</w:t>
      </w:r>
    </w:p>
    <w:p w14:paraId="0A31DBC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1EFA36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There is no escaping it: The Church—and not ethnic Israel—is the one and only sphere of fulfillment of all OTKP.</w:t>
      </w:r>
    </w:p>
    <w:p w14:paraId="19A2237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这是无法逃避的：教会——而非以色列民族——是所有旧约国度预言（OTKP）的唯一应验范围。</w:t>
      </w:r>
    </w:p>
    <w:p w14:paraId="1FDEE67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B985CD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statement does, however, require some qualifications and elaboration.</w:t>
      </w:r>
    </w:p>
    <w:p w14:paraId="2F90CD6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然而，这个陈述确实需要一些限定和阐述。</w:t>
      </w:r>
    </w:p>
    <w:p w14:paraId="0441306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D5077E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Two main points may be made.</w:t>
      </w:r>
    </w:p>
    <w:p w14:paraId="7D903DD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可以提出两个要点。</w:t>
      </w:r>
    </w:p>
    <w:p w14:paraId="1D64D2C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ECDE7D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First, we must again remember that some OT prophecies about the future of God’s people subtly blend “simple OT prophecies” and “Kingdom prophecies.”</w:t>
      </w:r>
    </w:p>
    <w:p w14:paraId="763A265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首先，我们必须再次记住，一些关于上帝子民未来的旧约预言巧妙地融合了“简单的旧约预言”和“国度预言”。</w:t>
      </w:r>
    </w:p>
    <w:p w14:paraId="59BFBAB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545222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Since simple OT prophecies are, by definition, fulfilled in OT times, this component of a blended prophecy must be fulfilled among God’s OT people, ethnic Israel.</w:t>
      </w:r>
    </w:p>
    <w:p w14:paraId="49A51A8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由于简单的旧约预言，根据定义，是在旧约时代应验的，因此混合预言的这一部分必须在上帝的旧约子民，即以色列民族中应验。</w:t>
      </w:r>
    </w:p>
    <w:p w14:paraId="231FB5A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7879A1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However, the component of a blended prophecy that looks beyond the days of the Old Covenant into the days of the New is fulfilled among God’s New Covenant people, the Church.</w:t>
      </w:r>
    </w:p>
    <w:p w14:paraId="4E1AA2E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然而，混合预言中超越旧约时代、展望新约时代的部分，则在上帝的新约子民，即教会中应验。</w:t>
      </w:r>
    </w:p>
    <w:p w14:paraId="7D416A5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072961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Daniel’s famous —and quite challenging—prophecy of the seventy weeks is an outstanding example of this phenomenon (Dan. 9:24-27).</w:t>
      </w:r>
    </w:p>
    <w:p w14:paraId="44750A1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但以理著名的——且相当具有挑战性的——关于七十个七的预言是这种现象的一个杰出例子（但以理书 9:24-27）。</w:t>
      </w:r>
    </w:p>
    <w:p w14:paraId="2538F49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3A4334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Later, we will discuss it at length.</w:t>
      </w:r>
    </w:p>
    <w:p w14:paraId="2B77175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稍后，我们将详细讨论它。</w:t>
      </w:r>
    </w:p>
    <w:p w14:paraId="28C1BCE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4E8978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Secondly, there are a number of OTKP’s that have what might be called a double anthropological fulfillment.</w:t>
      </w:r>
    </w:p>
    <w:p w14:paraId="57F6DF9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其次，有一些旧约国度预言（OTKP）具有可以称之为“双重人类学应验”的特征。</w:t>
      </w:r>
    </w:p>
    <w:p w14:paraId="5687DFD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6EDC48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idea here is far less intimidating than my name for it.</w:t>
      </w:r>
    </w:p>
    <w:p w14:paraId="2EB0C1A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这里的观念远没有我给它起的名字那么吓人。</w:t>
      </w:r>
    </w:p>
    <w:p w14:paraId="382771E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AFA12C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these prophecies, the prophet speaks of ethnic Israel’s relation to the Gentiles; to the nations that are not yet part of God’s covenant people.</w:t>
      </w:r>
    </w:p>
    <w:p w14:paraId="2243BF9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在这些预言中，先知谈到以色列民族与外邦人的关系；与那些尚未成为上帝圣约子民的国家的关系。</w:t>
      </w:r>
    </w:p>
    <w:p w14:paraId="194E91C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54AA80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Reading them from one angle, we can see that they are fulfilled in the relationship between the NT remnant of Jewish Christians and their Gentile neighbors who have not as yet heard of Christ or trusted in him.</w:t>
      </w:r>
    </w:p>
    <w:p w14:paraId="11E46F1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从一个角度解读它们，我们可以看到它们在信奉基督教的新约犹太余民与他们尚未听闻基督或信靠祂的外邦邻居之间的关系中得到了应验。</w:t>
      </w:r>
    </w:p>
    <w:p w14:paraId="0AE5712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32C0D2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However, reading them from another angle, we can see that they are also fulfilled in the relationship between the Church (the spiritual Israel of God, comprised of believing Jews and Gentiles) and the unbelieving world, a world typified in these prophecies by “the nations” that remain outside of the covenant.</w:t>
      </w:r>
    </w:p>
    <w:p w14:paraId="66023E8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从另一个角度解读它们，我们也可以看到它们在教会（上帝的属灵以色列，由信主的犹太人和外邦人组成）与不信的世界之间的关系中得到了应验，这个世界在这些预言中被仍在圣约之外的“列国”所预表。</w:t>
      </w:r>
    </w:p>
    <w:p w14:paraId="3F6E62D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2C833E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Consider, for example, Zechariah 8:23.</w:t>
      </w:r>
    </w:p>
    <w:p w14:paraId="03A8C25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例如，思考一下撒迦利亚书 8:23。</w:t>
      </w:r>
    </w:p>
    <w:p w14:paraId="1EB507C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955161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It reads, “Thus says the LORD of hosts: ‘In those days ten men from the nations of every language will grasp the garment of a Jew, saying, “Let us go with you, for we have heard that God is with you.”’”</w:t>
      </w:r>
    </w:p>
    <w:p w14:paraId="7B39ED2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它写道：“万军之耶和华如此说：‘在那些日子，必有十个不同语言国家的人抓住一个犹太人的衣襟，说：“我们要与你们同去，因为我们听说上帝与你们同在。”’”</w:t>
      </w:r>
    </w:p>
    <w:p w14:paraId="04E05CF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9CFA52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telltale eschatological phrase, “in those days,” signals that this is an OTKP.</w:t>
      </w:r>
    </w:p>
    <w:p w14:paraId="62E6EC8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这个典型的末世论短语，“在那些日子”，表明这是一个旧约国度预言（OTKP）。</w:t>
      </w:r>
    </w:p>
    <w:p w14:paraId="2116630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CAF39B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It is, then, fulfilled in the Church.</w:t>
      </w:r>
    </w:p>
    <w:p w14:paraId="4556558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那么，它在教会中应验了。</w:t>
      </w:r>
    </w:p>
    <w:p w14:paraId="6F05DEF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7C712E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how?</w:t>
      </w:r>
    </w:p>
    <w:p w14:paraId="79C940A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但如何应验呢？</w:t>
      </w:r>
    </w:p>
    <w:p w14:paraId="2FDA57F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41F3EA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Well, it certainly was fulfilled when the Ethiopian eunuch asked Philip for light on the meaning of Isaiah 53 (Acts 8:26f).</w:t>
      </w:r>
    </w:p>
    <w:p w14:paraId="2956F6E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嗯，当埃塞俄比亚的太监向腓利请教以赛亚书53章的意义时，它确实应验了（使徒行传 8:26及后文）。</w:t>
      </w:r>
    </w:p>
    <w:p w14:paraId="5B4CF27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F43609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Similarly, it was fulfilled when the Gentiles in Antioch begged Paul to preach the Gospel to them again on the next Sabbath (Acts 13:42).</w:t>
      </w:r>
    </w:p>
    <w:p w14:paraId="59DF6C8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同样，当安提阿的外邦人恳求保罗在下一个安息日再向他们传讲福音时，它也应验了（使徒行传 13:42）。</w:t>
      </w:r>
    </w:p>
    <w:p w14:paraId="12EC9C5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6882A5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it was also fulfilled when the Gospel “sounded forth” from the Gentile converts of Thessalonica, not only in Macedonia and Achaia, but in “every place,” with the result that still more Gentiles believed and “went with them,” realizing that the true and living God was indeed in the midst of their assemblies (1 Cor. 14:25, 1 Thess. 1:8).</w:t>
      </w:r>
    </w:p>
    <w:p w14:paraId="1B896A9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当福音从帖撒罗尼迦归信的外邦人中“传扬开来”，不仅在马其顿和亚该亚，而且在“各处”，结果是更多的外邦人相信并“与他们同去”，认识到又真又活的上帝确实在他们的聚会中时，它也应验了（哥林多前书 14:25, 帖撒罗尼迦前书 1:8）。</w:t>
      </w:r>
    </w:p>
    <w:p w14:paraId="442617D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035155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And the same has been true all throughout Church history, whenever and wherever Gentile Christians have preached the Gospel to unbelievers.</w:t>
      </w:r>
    </w:p>
    <w:p w14:paraId="5C8C722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在整个教会历史上，无论何时何地，当外邦基督徒向不信者传讲福音时，情况都是如此。</w:t>
      </w:r>
    </w:p>
    <w:p w14:paraId="4F26B07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2A4DAE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So then, Zechariah 8:23—an OTKP—has a double fulfillment, not only in spiritual relations between Jewish Christians and Gentiles, but also in spiritual relations between Christians and unbelievers.</w:t>
      </w:r>
    </w:p>
    <w:p w14:paraId="5F9D4BB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那么，撒迦利亚书 8:23——一个旧约国度预言（OTKP）——不仅在犹太基督徒与外邦人之间的属灵关系中有双重应验，也在基督徒与不信者之间的属灵关系中有双重应验。</w:t>
      </w:r>
    </w:p>
    <w:p w14:paraId="1C882A9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356AD4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Nevertheless, being fulfilled under the New Covenant, this text is fulfilled exclusively in the sphere of the Church.</w:t>
      </w:r>
    </w:p>
    <w:p w14:paraId="4F7ED6D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然而，由于是在新约下应验，这段经文完全是在教会的范畴内应验的。</w:t>
      </w:r>
    </w:p>
    <w:p w14:paraId="1EF8377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57A28B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Such is the case for all OTKP.</w:t>
      </w:r>
    </w:p>
    <w:p w14:paraId="228ADA0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所有旧约国度预言（OTKP）都是如此。</w:t>
      </w:r>
    </w:p>
    <w:p w14:paraId="1AEE9AD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104882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Conclusion</w:t>
      </w:r>
    </w:p>
    <w:p w14:paraId="4DD3F7E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结论</w:t>
      </w:r>
    </w:p>
    <w:p w14:paraId="5851949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2277DF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this chapter I have set forth and discussed three fundamental NT principles for the proper interpretation of OTKP, principles taught and used by the Lord’s apostles.</w:t>
      </w:r>
    </w:p>
    <w:p w14:paraId="461B932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在本章中，我提出并讨论了三个基本的、用于正确解释旧约国度预言（OTKP）的新约原则，这些原则是主的使徒们所教导和使用的。</w:t>
      </w:r>
    </w:p>
    <w:p w14:paraId="48CDF3D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A5DA44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We have seen that all OTKP’s are fulfilled in the twofold spiritual reign of God and Christ introduced by the NC; all are covenantally conditioned, and therefore require the “decoding” of OT types and shadows into NT truths; and all are fulfilled in the Church, whether in the present Era of Proclamation and Probation, the Age to Come, or both.</w:t>
      </w:r>
    </w:p>
    <w:p w14:paraId="5B8AA2F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我们已经看到，所有的旧约国度预言（OTKP）都在新约（NC）引入的上帝和基督的双重属灵统治中应验；所有都是受圣约制约的，因此需要将旧约的预表和影儿“解码”成新约的真理；所有都在教会中应验，无论是在当前的宣讲和验证时代，未来的世代，还是两者兼有。</w:t>
      </w:r>
    </w:p>
    <w:p w14:paraId="456C82F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D63C57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Can we, then, interpret OTKP’s literally?</w:t>
      </w:r>
    </w:p>
    <w:p w14:paraId="7842F26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那么，我们能按字面意思解释旧约国度预言（OTKP）吗？</w:t>
      </w:r>
    </w:p>
    <w:p w14:paraId="2B9D6F1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08AA83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Can we interpret them as simple OT prophecy?</w:t>
      </w:r>
    </w:p>
    <w:p w14:paraId="389C05F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我们能将它们解释为简单的旧约预言吗？</w:t>
      </w:r>
    </w:p>
    <w:p w14:paraId="178FC0C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B1527D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Clearly not!</w:t>
      </w:r>
    </w:p>
    <w:p w14:paraId="71596D2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显然不能！</w:t>
      </w:r>
    </w:p>
    <w:p w14:paraId="653F265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C1745D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Rather, we must recognize, with the OT prophets themselves, that these indeed are “dark sayings”; that they are a great thicket and a forbidding maze, wherein many a poor literalist has lost his way; and that we therefore stand in desperate need of the High King of Heaven, and of the powerful NT keys that he so graciously puts in our hands, if ever we are to enter, pass through, and reach our glorious destination: true truth about the Kingdom of God (Num. 12:8, Psalm 78:2, 1 Peter 1:10-12)!</w:t>
      </w:r>
    </w:p>
    <w:p w14:paraId="77422480">
      <w:pPr>
        <w:pStyle w:val="9"/>
        <w:spacing w:after="0" w:line="249" w:lineRule="auto"/>
        <w:rPr>
          <w:b w:val="0"/>
          <w:bCs w:val="0"/>
        </w:rPr>
        <w:sectPr>
          <w:pgSz w:w="12240" w:h="15840"/>
          <w:pgMar w:top="1380" w:right="1440" w:bottom="280" w:left="1440" w:header="720" w:footer="720" w:gutter="0"/>
          <w:cols w:space="720" w:num="1"/>
        </w:sect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相反，我们必须与旧约先知们一同认识到，这些确实是“谜语”；它们是一个茂密的丛林和一个令人望而生畏的迷宫，许多可怜的字面主义者在其中迷失了方向；因此，我们极其需要天上的至高君王，以及祂如此恩慈地放在我们手中的强大的新约钥匙，如果我们想要进入、穿过并达到我们荣耀的目的地：关于上帝之国的真实真理（民数记 12:8, 诗篇 78:2, 彼得前书 1:10-12）！</w:t>
      </w:r>
    </w:p>
    <w:p w14:paraId="26209291">
      <w:pPr>
        <w:pStyle w:val="9"/>
        <w:spacing w:before="11"/>
        <w:ind w:left="0"/>
        <w:jc w:val="left"/>
        <w:rPr>
          <w:sz w:val="15"/>
        </w:rPr>
      </w:pPr>
      <w:bookmarkStart w:id="40" w:name="_bookmark61"/>
      <w:bookmarkEnd w:id="40"/>
      <w:bookmarkStart w:id="41" w:name="Chapter 14: NT Examples of Interpreting "/>
      <w:bookmarkEnd w:id="41"/>
    </w:p>
    <w:p w14:paraId="1314247E">
      <w:pPr>
        <w:pStyle w:val="2"/>
        <w:bidi w:val="0"/>
        <w:rPr>
          <w:rFonts w:hint="eastAsia"/>
        </w:rPr>
      </w:pPr>
      <w:r>
        <w:rPr>
          <w:rFonts w:hint="eastAsia"/>
        </w:rPr>
        <w:t>Chapter 14</w:t>
      </w:r>
    </w:p>
    <w:p w14:paraId="0EE24EFF">
      <w:pPr>
        <w:pStyle w:val="2"/>
        <w:bidi w:val="0"/>
        <w:rPr>
          <w:rFonts w:hint="eastAsia"/>
        </w:rPr>
      </w:pPr>
      <w:r>
        <w:rPr>
          <w:rFonts w:hint="eastAsia"/>
        </w:rPr>
        <w:t>第14章</w:t>
      </w:r>
    </w:p>
    <w:p w14:paraId="36220E34">
      <w:pPr>
        <w:pStyle w:val="9"/>
        <w:spacing w:after="0" w:line="249" w:lineRule="auto"/>
        <w:rPr>
          <w:rFonts w:hint="eastAsia"/>
          <w:color w:val="231F20"/>
        </w:rPr>
      </w:pPr>
    </w:p>
    <w:p w14:paraId="0130A2DB">
      <w:pPr>
        <w:pStyle w:val="3"/>
        <w:bidi w:val="0"/>
        <w:rPr>
          <w:rFonts w:hint="eastAsia"/>
        </w:rPr>
      </w:pPr>
      <w:r>
        <w:rPr>
          <w:rFonts w:hint="eastAsia"/>
        </w:rPr>
        <w:t>NT Examples of Interpreting OT Kingdom Prophecy</w:t>
      </w:r>
    </w:p>
    <w:p w14:paraId="40C0A6D5">
      <w:pPr>
        <w:pStyle w:val="3"/>
        <w:bidi w:val="0"/>
        <w:rPr>
          <w:rFonts w:hint="eastAsia"/>
        </w:rPr>
      </w:pPr>
      <w:r>
        <w:rPr>
          <w:rFonts w:hint="eastAsia"/>
        </w:rPr>
        <w:t>解释旧约国度预言的新约范例</w:t>
      </w:r>
    </w:p>
    <w:p w14:paraId="0A824340">
      <w:pPr>
        <w:pStyle w:val="9"/>
        <w:spacing w:after="0" w:line="249" w:lineRule="auto"/>
        <w:rPr>
          <w:rFonts w:hint="eastAsia"/>
          <w:color w:val="231F20"/>
        </w:rPr>
      </w:pPr>
    </w:p>
    <w:p w14:paraId="1554EF67">
      <w:pPr>
        <w:pStyle w:val="9"/>
        <w:spacing w:after="0" w:line="249" w:lineRule="auto"/>
        <w:rPr>
          <w:rFonts w:hint="eastAsia"/>
          <w:color w:val="231F20"/>
        </w:rPr>
      </w:pPr>
      <w:r>
        <w:rPr>
          <w:rFonts w:hint="eastAsia"/>
          <w:color w:val="231F20"/>
        </w:rPr>
        <w:t>IN THE PREVIOUS chapter we examined three basic principles by which the apostles taught us to interpret OTKP.</w:t>
      </w:r>
    </w:p>
    <w:p w14:paraId="75FD32D6">
      <w:pPr>
        <w:pStyle w:val="9"/>
        <w:spacing w:after="0" w:line="249" w:lineRule="auto"/>
        <w:rPr>
          <w:rFonts w:hint="eastAsia"/>
          <w:color w:val="231F20"/>
        </w:rPr>
      </w:pPr>
      <w:r>
        <w:rPr>
          <w:rFonts w:hint="eastAsia"/>
          <w:color w:val="231F20"/>
        </w:rPr>
        <w:t>在前一章中，我们考察了使徒们教导我们解释旧约国度预言（OTKP）的三个基本原则。</w:t>
      </w:r>
    </w:p>
    <w:p w14:paraId="3A081B2B">
      <w:pPr>
        <w:pStyle w:val="9"/>
        <w:spacing w:after="0" w:line="249" w:lineRule="auto"/>
        <w:rPr>
          <w:rFonts w:hint="eastAsia"/>
          <w:color w:val="231F20"/>
        </w:rPr>
      </w:pPr>
    </w:p>
    <w:p w14:paraId="338B6CAD">
      <w:pPr>
        <w:pStyle w:val="9"/>
        <w:spacing w:after="0" w:line="249" w:lineRule="auto"/>
        <w:rPr>
          <w:rFonts w:hint="eastAsia"/>
          <w:color w:val="231F20"/>
        </w:rPr>
      </w:pPr>
      <w:r>
        <w:rPr>
          <w:rFonts w:hint="eastAsia"/>
          <w:color w:val="231F20"/>
        </w:rPr>
        <w:t>In this chapter, we will see if they practiced what they preached!</w:t>
      </w:r>
    </w:p>
    <w:p w14:paraId="4F3E6DE5">
      <w:pPr>
        <w:pStyle w:val="9"/>
        <w:spacing w:after="0" w:line="249" w:lineRule="auto"/>
        <w:rPr>
          <w:rFonts w:hint="eastAsia"/>
          <w:color w:val="231F20"/>
        </w:rPr>
      </w:pPr>
      <w:r>
        <w:rPr>
          <w:rFonts w:hint="eastAsia"/>
          <w:color w:val="231F20"/>
        </w:rPr>
        <w:t>在本章中，我们将看看他们是否言行一致！</w:t>
      </w:r>
    </w:p>
    <w:p w14:paraId="23488409">
      <w:pPr>
        <w:pStyle w:val="9"/>
        <w:spacing w:after="0" w:line="249" w:lineRule="auto"/>
        <w:rPr>
          <w:rFonts w:hint="eastAsia"/>
          <w:color w:val="231F20"/>
        </w:rPr>
      </w:pPr>
    </w:p>
    <w:p w14:paraId="1BC9EB8B">
      <w:pPr>
        <w:pStyle w:val="9"/>
        <w:spacing w:after="0" w:line="249" w:lineRule="auto"/>
        <w:rPr>
          <w:rFonts w:hint="eastAsia"/>
          <w:color w:val="231F20"/>
        </w:rPr>
      </w:pPr>
      <w:r>
        <w:rPr>
          <w:rFonts w:hint="eastAsia"/>
          <w:color w:val="231F20"/>
        </w:rPr>
        <w:t>Our focus here will be limited.</w:t>
      </w:r>
    </w:p>
    <w:p w14:paraId="2664042D">
      <w:pPr>
        <w:pStyle w:val="9"/>
        <w:spacing w:after="0" w:line="249" w:lineRule="auto"/>
        <w:rPr>
          <w:rFonts w:hint="eastAsia"/>
          <w:color w:val="231F20"/>
        </w:rPr>
      </w:pPr>
      <w:r>
        <w:rPr>
          <w:rFonts w:hint="eastAsia"/>
          <w:color w:val="231F20"/>
        </w:rPr>
        <w:t>我们在这里的重点将是有限的。</w:t>
      </w:r>
    </w:p>
    <w:p w14:paraId="56030C23">
      <w:pPr>
        <w:pStyle w:val="9"/>
        <w:spacing w:after="0" w:line="249" w:lineRule="auto"/>
        <w:rPr>
          <w:rFonts w:hint="eastAsia"/>
          <w:color w:val="231F20"/>
        </w:rPr>
      </w:pPr>
    </w:p>
    <w:p w14:paraId="4E95C557">
      <w:pPr>
        <w:pStyle w:val="9"/>
        <w:spacing w:after="0" w:line="249" w:lineRule="auto"/>
        <w:rPr>
          <w:rFonts w:hint="eastAsia"/>
          <w:color w:val="231F20"/>
        </w:rPr>
      </w:pPr>
      <w:r>
        <w:rPr>
          <w:rFonts w:hint="eastAsia"/>
          <w:color w:val="231F20"/>
        </w:rPr>
        <w:t>Specifically, we will confine our attention to OTKP’s cited in the book of Acts or the epistles.</w:t>
      </w:r>
    </w:p>
    <w:p w14:paraId="341C2ED9">
      <w:pPr>
        <w:pStyle w:val="9"/>
        <w:spacing w:after="0" w:line="249" w:lineRule="auto"/>
        <w:rPr>
          <w:rFonts w:hint="eastAsia"/>
          <w:color w:val="231F20"/>
        </w:rPr>
      </w:pPr>
      <w:r>
        <w:rPr>
          <w:rFonts w:hint="eastAsia"/>
          <w:color w:val="231F20"/>
        </w:rPr>
        <w:t>具体来说，我们将把注意力局限在使徒行传或书信中引用的旧约国度预言（OTKP）。</w:t>
      </w:r>
    </w:p>
    <w:p w14:paraId="39780713">
      <w:pPr>
        <w:pStyle w:val="9"/>
        <w:spacing w:after="0" w:line="249" w:lineRule="auto"/>
        <w:rPr>
          <w:rFonts w:hint="eastAsia"/>
          <w:color w:val="231F20"/>
        </w:rPr>
      </w:pPr>
    </w:p>
    <w:p w14:paraId="5ABE3AA7">
      <w:pPr>
        <w:pStyle w:val="9"/>
        <w:spacing w:after="0" w:line="249" w:lineRule="auto"/>
        <w:rPr>
          <w:rFonts w:hint="eastAsia"/>
          <w:color w:val="231F20"/>
        </w:rPr>
      </w:pPr>
      <w:r>
        <w:rPr>
          <w:rFonts w:hint="eastAsia"/>
          <w:color w:val="231F20"/>
        </w:rPr>
        <w:t>We do this because in the four gospels the authors’ interest lies almost entirely in simple OT Messianic prophecies, prophecies fulfilled at the founding of the Kingdom during the days of Christ’s earthly ministry under the Mosaic Law.</w:t>
      </w:r>
    </w:p>
    <w:p w14:paraId="5192AF3F">
      <w:pPr>
        <w:pStyle w:val="9"/>
        <w:spacing w:after="0" w:line="249" w:lineRule="auto"/>
        <w:rPr>
          <w:rFonts w:hint="eastAsia"/>
          <w:color w:val="231F20"/>
        </w:rPr>
      </w:pPr>
      <w:r>
        <w:rPr>
          <w:rFonts w:hint="eastAsia"/>
          <w:color w:val="231F20"/>
        </w:rPr>
        <w:t>我们这样做，是因为在四福音书中，作者们的兴趣几乎完全在于简单的旧约弥赛亚预言，这些预言在基督于摩西律法下的地上事工期间、国度建立时得到应验。</w:t>
      </w:r>
    </w:p>
    <w:p w14:paraId="4A29A75E">
      <w:pPr>
        <w:pStyle w:val="9"/>
        <w:spacing w:after="0" w:line="249" w:lineRule="auto"/>
        <w:rPr>
          <w:rFonts w:hint="eastAsia"/>
          <w:color w:val="231F20"/>
        </w:rPr>
      </w:pPr>
    </w:p>
    <w:p w14:paraId="3E398951">
      <w:pPr>
        <w:pStyle w:val="9"/>
        <w:spacing w:after="0" w:line="249" w:lineRule="auto"/>
        <w:rPr>
          <w:rFonts w:hint="eastAsia"/>
          <w:color w:val="231F20"/>
        </w:rPr>
      </w:pPr>
      <w:r>
        <w:rPr>
          <w:rFonts w:hint="eastAsia"/>
          <w:color w:val="231F20"/>
        </w:rPr>
        <w:t>The situation is different in the book of Acts and the epistles.</w:t>
      </w:r>
    </w:p>
    <w:p w14:paraId="5805505B">
      <w:pPr>
        <w:pStyle w:val="9"/>
        <w:spacing w:after="0" w:line="249" w:lineRule="auto"/>
        <w:rPr>
          <w:rFonts w:hint="eastAsia"/>
          <w:color w:val="231F20"/>
        </w:rPr>
      </w:pPr>
      <w:r>
        <w:rPr>
          <w:rFonts w:hint="eastAsia"/>
          <w:color w:val="231F20"/>
        </w:rPr>
        <w:t>在使徒行传和书信中，情况则不同。</w:t>
      </w:r>
    </w:p>
    <w:p w14:paraId="0FCFD39F">
      <w:pPr>
        <w:pStyle w:val="9"/>
        <w:spacing w:after="0" w:line="249" w:lineRule="auto"/>
        <w:rPr>
          <w:rFonts w:hint="eastAsia"/>
          <w:color w:val="231F20"/>
        </w:rPr>
      </w:pPr>
    </w:p>
    <w:p w14:paraId="109D4A48">
      <w:pPr>
        <w:pStyle w:val="9"/>
        <w:spacing w:after="0" w:line="249" w:lineRule="auto"/>
        <w:rPr>
          <w:rFonts w:hint="eastAsia"/>
          <w:color w:val="231F20"/>
        </w:rPr>
      </w:pPr>
      <w:r>
        <w:rPr>
          <w:rFonts w:hint="eastAsia"/>
          <w:color w:val="231F20"/>
        </w:rPr>
        <w:t>There the apostles’ interest turns largely to OTKP’s, many of which were being fulfilled right before their eyes through the preaching of the Gospel and the resultant advance of the Kingdom.</w:t>
      </w:r>
    </w:p>
    <w:p w14:paraId="5F587CF3">
      <w:pPr>
        <w:pStyle w:val="9"/>
        <w:spacing w:after="0" w:line="249" w:lineRule="auto"/>
        <w:rPr>
          <w:rFonts w:hint="eastAsia"/>
          <w:color w:val="231F20"/>
        </w:rPr>
      </w:pPr>
      <w:r>
        <w:rPr>
          <w:rFonts w:hint="eastAsia"/>
          <w:color w:val="231F20"/>
        </w:rPr>
        <w:t>在那里，使徒们的兴趣主要转向旧约国度预言（OTKP），其中许多预言正通过传讲福音以及随之而来的国度进展，在他们眼前得到应验。</w:t>
      </w:r>
    </w:p>
    <w:p w14:paraId="0888236F">
      <w:pPr>
        <w:pStyle w:val="9"/>
        <w:spacing w:after="0" w:line="249" w:lineRule="auto"/>
        <w:rPr>
          <w:rFonts w:hint="eastAsia"/>
          <w:color w:val="231F20"/>
        </w:rPr>
      </w:pPr>
    </w:p>
    <w:p w14:paraId="2F0A81BC">
      <w:pPr>
        <w:pStyle w:val="9"/>
        <w:spacing w:after="0" w:line="249" w:lineRule="auto"/>
        <w:rPr>
          <w:rFonts w:hint="eastAsia"/>
          <w:color w:val="231F20"/>
        </w:rPr>
      </w:pPr>
      <w:r>
        <w:rPr>
          <w:rFonts w:hint="eastAsia"/>
          <w:color w:val="231F20"/>
        </w:rPr>
        <w:t>I should mention also that in this chapter we will not consult the Revelation.</w:t>
      </w:r>
    </w:p>
    <w:p w14:paraId="6CBC83BA">
      <w:pPr>
        <w:pStyle w:val="9"/>
        <w:spacing w:after="0" w:line="249" w:lineRule="auto"/>
        <w:rPr>
          <w:rFonts w:hint="eastAsia"/>
          <w:color w:val="231F20"/>
        </w:rPr>
      </w:pPr>
      <w:r>
        <w:rPr>
          <w:rFonts w:hint="eastAsia"/>
          <w:color w:val="231F20"/>
        </w:rPr>
        <w:t>我还应该提到，在本章中我们不会参考启示录。</w:t>
      </w:r>
    </w:p>
    <w:p w14:paraId="42508AB9">
      <w:pPr>
        <w:pStyle w:val="9"/>
        <w:spacing w:after="0" w:line="249" w:lineRule="auto"/>
        <w:rPr>
          <w:rFonts w:hint="eastAsia"/>
          <w:color w:val="231F20"/>
        </w:rPr>
      </w:pPr>
    </w:p>
    <w:p w14:paraId="7E27A933">
      <w:pPr>
        <w:pStyle w:val="9"/>
        <w:spacing w:after="0" w:line="249" w:lineRule="auto"/>
        <w:rPr>
          <w:rFonts w:hint="eastAsia"/>
          <w:color w:val="231F20"/>
        </w:rPr>
      </w:pPr>
      <w:r>
        <w:rPr>
          <w:rFonts w:hint="eastAsia"/>
          <w:color w:val="231F20"/>
        </w:rPr>
        <w:t>The reasons are many.</w:t>
      </w:r>
    </w:p>
    <w:p w14:paraId="07917398">
      <w:pPr>
        <w:pStyle w:val="9"/>
        <w:spacing w:after="0" w:line="249" w:lineRule="auto"/>
        <w:rPr>
          <w:rFonts w:hint="eastAsia"/>
          <w:color w:val="231F20"/>
        </w:rPr>
      </w:pPr>
      <w:r>
        <w:rPr>
          <w:rFonts w:hint="eastAsia"/>
          <w:color w:val="231F20"/>
        </w:rPr>
        <w:t>原因有很多。</w:t>
      </w:r>
    </w:p>
    <w:p w14:paraId="0EA31B59">
      <w:pPr>
        <w:pStyle w:val="9"/>
        <w:spacing w:after="0" w:line="249" w:lineRule="auto"/>
        <w:rPr>
          <w:rFonts w:hint="eastAsia"/>
          <w:color w:val="231F20"/>
        </w:rPr>
      </w:pPr>
    </w:p>
    <w:p w14:paraId="15ED0666">
      <w:pPr>
        <w:pStyle w:val="9"/>
        <w:spacing w:after="0" w:line="249" w:lineRule="auto"/>
        <w:rPr>
          <w:rFonts w:hint="eastAsia"/>
          <w:color w:val="231F20"/>
        </w:rPr>
      </w:pPr>
      <w:r>
        <w:rPr>
          <w:rFonts w:hint="eastAsia"/>
          <w:color w:val="231F20"/>
        </w:rPr>
        <w:t>Above all, it is not a didactic book, but a prophecy; it does indeed cite or allude to many OTKP’s, but (unlike the epistles) it does not teach us how to interpret them.</w:t>
      </w:r>
    </w:p>
    <w:p w14:paraId="0DEEB73B">
      <w:pPr>
        <w:pStyle w:val="9"/>
        <w:spacing w:after="0" w:line="249" w:lineRule="auto"/>
        <w:rPr>
          <w:rFonts w:hint="eastAsia"/>
          <w:color w:val="231F20"/>
        </w:rPr>
      </w:pPr>
      <w:r>
        <w:rPr>
          <w:rFonts w:hint="eastAsia"/>
          <w:color w:val="231F20"/>
        </w:rPr>
        <w:t>最重要的是，它不是一本教导性的书，而是一本预言书；它确实引用或暗示了许多旧约国度预言（OTKP），但（与书信不同）它不教我们如何解释它们。</w:t>
      </w:r>
    </w:p>
    <w:p w14:paraId="6F40FA6F">
      <w:pPr>
        <w:pStyle w:val="9"/>
        <w:spacing w:after="0" w:line="249" w:lineRule="auto"/>
        <w:rPr>
          <w:rFonts w:hint="eastAsia"/>
          <w:color w:val="231F20"/>
        </w:rPr>
      </w:pPr>
    </w:p>
    <w:p w14:paraId="719919D8">
      <w:pPr>
        <w:pStyle w:val="9"/>
        <w:spacing w:after="0" w:line="249" w:lineRule="auto"/>
        <w:rPr>
          <w:rFonts w:hint="eastAsia"/>
          <w:color w:val="231F20"/>
        </w:rPr>
      </w:pPr>
      <w:r>
        <w:rPr>
          <w:rFonts w:hint="eastAsia"/>
          <w:color w:val="231F20"/>
        </w:rPr>
        <w:t>Rather, it assumes that we have fully mastered the NCH, and so leaves us to apply it for ourselves.</w:t>
      </w:r>
    </w:p>
    <w:p w14:paraId="55D8E315">
      <w:pPr>
        <w:pStyle w:val="9"/>
        <w:spacing w:after="0" w:line="249" w:lineRule="auto"/>
        <w:rPr>
          <w:rFonts w:hint="eastAsia"/>
          <w:color w:val="231F20"/>
        </w:rPr>
      </w:pPr>
      <w:r>
        <w:rPr>
          <w:rFonts w:hint="eastAsia"/>
          <w:color w:val="231F20"/>
        </w:rPr>
        <w:t>相反，它假定我们已经完全掌握了新约解释学（NCH），因此让我们自己去应用它。</w:t>
      </w:r>
    </w:p>
    <w:p w14:paraId="68BAE324">
      <w:pPr>
        <w:pStyle w:val="9"/>
        <w:spacing w:after="0" w:line="249" w:lineRule="auto"/>
        <w:rPr>
          <w:rFonts w:hint="eastAsia"/>
          <w:color w:val="231F20"/>
        </w:rPr>
      </w:pPr>
    </w:p>
    <w:p w14:paraId="63CFB60A">
      <w:pPr>
        <w:pStyle w:val="9"/>
        <w:spacing w:after="0" w:line="249" w:lineRule="auto"/>
        <w:rPr>
          <w:rFonts w:hint="eastAsia"/>
          <w:color w:val="231F20"/>
        </w:rPr>
      </w:pPr>
      <w:r>
        <w:rPr>
          <w:rFonts w:hint="eastAsia"/>
          <w:color w:val="231F20"/>
        </w:rPr>
        <w:t>The Revelation is, as it were, the Christian’s final exam in biblical interpretation.</w:t>
      </w:r>
    </w:p>
    <w:p w14:paraId="5812C440">
      <w:pPr>
        <w:pStyle w:val="9"/>
        <w:spacing w:after="0" w:line="249" w:lineRule="auto"/>
        <w:rPr>
          <w:rFonts w:hint="eastAsia"/>
          <w:color w:val="231F20"/>
        </w:rPr>
      </w:pPr>
      <w:r>
        <w:rPr>
          <w:rFonts w:hint="eastAsia"/>
          <w:color w:val="231F20"/>
        </w:rPr>
        <w:t>启示录，可以说是基督徒在圣经解释上的期末考试。</w:t>
      </w:r>
    </w:p>
    <w:p w14:paraId="2D818AF1">
      <w:pPr>
        <w:pStyle w:val="9"/>
        <w:spacing w:after="0" w:line="249" w:lineRule="auto"/>
        <w:rPr>
          <w:rFonts w:hint="eastAsia"/>
          <w:color w:val="231F20"/>
        </w:rPr>
      </w:pPr>
    </w:p>
    <w:p w14:paraId="3E52CEB2">
      <w:pPr>
        <w:pStyle w:val="9"/>
        <w:spacing w:after="0" w:line="249" w:lineRule="auto"/>
        <w:rPr>
          <w:rFonts w:hint="eastAsia"/>
          <w:color w:val="231F20"/>
        </w:rPr>
      </w:pPr>
      <w:r>
        <w:rPr>
          <w:rFonts w:hint="eastAsia"/>
          <w:color w:val="231F20"/>
        </w:rPr>
        <w:t>There he is put to the test, to see if he has so mastered the Scriptures and the NCH that he can discern all of the rich NT truth there presented under a vast array of Old (and New) Testament symbols.</w:t>
      </w:r>
    </w:p>
    <w:p w14:paraId="1BC9A449">
      <w:pPr>
        <w:pStyle w:val="9"/>
        <w:spacing w:after="0" w:line="249" w:lineRule="auto"/>
        <w:rPr>
          <w:rFonts w:hint="eastAsia"/>
          <w:color w:val="231F20"/>
        </w:rPr>
      </w:pPr>
      <w:r>
        <w:rPr>
          <w:rFonts w:hint="eastAsia"/>
          <w:color w:val="231F20"/>
        </w:rPr>
        <w:t>在那里，他受到考验，看他是否已如此掌握圣经和新约解释学（NCH），以致能辨明那里在大量旧（和新）约象征下呈现的丰富新约真理。</w:t>
      </w:r>
    </w:p>
    <w:p w14:paraId="4BBE918D">
      <w:pPr>
        <w:pStyle w:val="9"/>
        <w:spacing w:after="0" w:line="249" w:lineRule="auto"/>
        <w:rPr>
          <w:rFonts w:hint="eastAsia"/>
          <w:color w:val="231F20"/>
        </w:rPr>
      </w:pPr>
    </w:p>
    <w:p w14:paraId="632D1163">
      <w:pPr>
        <w:pStyle w:val="9"/>
        <w:spacing w:after="0" w:line="249" w:lineRule="auto"/>
        <w:rPr>
          <w:rFonts w:hint="eastAsia"/>
          <w:color w:val="231F20"/>
        </w:rPr>
      </w:pPr>
      <w:r>
        <w:rPr>
          <w:rFonts w:hint="eastAsia"/>
          <w:color w:val="231F20"/>
        </w:rPr>
        <w:t>I will have much more to say on this subject in chapters 19 and 20.</w:t>
      </w:r>
    </w:p>
    <w:p w14:paraId="0E335F9A">
      <w:pPr>
        <w:pStyle w:val="9"/>
        <w:spacing w:after="0" w:line="249" w:lineRule="auto"/>
        <w:rPr>
          <w:rFonts w:hint="eastAsia"/>
          <w:color w:val="231F20"/>
        </w:rPr>
      </w:pPr>
      <w:r>
        <w:rPr>
          <w:rFonts w:hint="eastAsia"/>
          <w:color w:val="231F20"/>
        </w:rPr>
        <w:t>在第19章和第20章，我将就这个主题有更多要说的。</w:t>
      </w:r>
    </w:p>
    <w:p w14:paraId="4AFACF01">
      <w:pPr>
        <w:pStyle w:val="9"/>
        <w:spacing w:after="0" w:line="249" w:lineRule="auto"/>
        <w:rPr>
          <w:rFonts w:hint="eastAsia"/>
          <w:color w:val="231F20"/>
        </w:rPr>
      </w:pPr>
    </w:p>
    <w:p w14:paraId="0A3902C4">
      <w:pPr>
        <w:pStyle w:val="9"/>
        <w:spacing w:after="0" w:line="249" w:lineRule="auto"/>
        <w:rPr>
          <w:rFonts w:hint="eastAsia"/>
          <w:color w:val="231F20"/>
        </w:rPr>
      </w:pPr>
      <w:r>
        <w:rPr>
          <w:rFonts w:hint="eastAsia"/>
          <w:color w:val="231F20"/>
        </w:rPr>
        <w:t>In the pages ahead we will look at twelve NT texts.</w:t>
      </w:r>
    </w:p>
    <w:p w14:paraId="002B94EE">
      <w:pPr>
        <w:pStyle w:val="9"/>
        <w:spacing w:after="0" w:line="249" w:lineRule="auto"/>
        <w:rPr>
          <w:rFonts w:hint="eastAsia"/>
          <w:color w:val="231F20"/>
        </w:rPr>
      </w:pPr>
      <w:r>
        <w:rPr>
          <w:rFonts w:hint="eastAsia"/>
          <w:color w:val="231F20"/>
        </w:rPr>
        <w:t>在接下来的篇幅中，我们将看十二段新约经文。</w:t>
      </w:r>
    </w:p>
    <w:p w14:paraId="3153B8EE">
      <w:pPr>
        <w:pStyle w:val="9"/>
        <w:spacing w:after="0" w:line="249" w:lineRule="auto"/>
        <w:rPr>
          <w:rFonts w:hint="eastAsia"/>
          <w:color w:val="231F20"/>
        </w:rPr>
      </w:pPr>
    </w:p>
    <w:p w14:paraId="072D905D">
      <w:pPr>
        <w:pStyle w:val="9"/>
        <w:spacing w:after="0" w:line="249" w:lineRule="auto"/>
        <w:rPr>
          <w:rFonts w:hint="eastAsia"/>
          <w:color w:val="231F20"/>
        </w:rPr>
      </w:pPr>
      <w:r>
        <w:rPr>
          <w:rFonts w:hint="eastAsia"/>
          <w:color w:val="231F20"/>
        </w:rPr>
        <w:t>As we do, we will keep before us three fundamental questions, questions rooted in our earlier discussion of the NCH.</w:t>
      </w:r>
    </w:p>
    <w:p w14:paraId="3EE2ADC0">
      <w:pPr>
        <w:pStyle w:val="9"/>
        <w:spacing w:after="0" w:line="249" w:lineRule="auto"/>
        <w:rPr>
          <w:rFonts w:hint="eastAsia"/>
          <w:color w:val="231F20"/>
        </w:rPr>
      </w:pPr>
      <w:r>
        <w:rPr>
          <w:rFonts w:hint="eastAsia"/>
          <w:color w:val="231F20"/>
        </w:rPr>
        <w:t>这样做时，我们将始终牢记三个基本问题，这些问题根植于我们之前对新约解释学（NCH）的讨论。</w:t>
      </w:r>
    </w:p>
    <w:p w14:paraId="35566090">
      <w:pPr>
        <w:pStyle w:val="9"/>
        <w:spacing w:after="0" w:line="249" w:lineRule="auto"/>
        <w:rPr>
          <w:rFonts w:hint="eastAsia"/>
          <w:color w:val="231F20"/>
        </w:rPr>
      </w:pPr>
    </w:p>
    <w:p w14:paraId="0A79D080">
      <w:pPr>
        <w:pStyle w:val="9"/>
        <w:spacing w:after="0" w:line="249" w:lineRule="auto"/>
        <w:rPr>
          <w:rFonts w:hint="eastAsia"/>
          <w:color w:val="231F20"/>
        </w:rPr>
      </w:pPr>
      <w:r>
        <w:rPr>
          <w:rFonts w:hint="eastAsia"/>
          <w:color w:val="231F20"/>
        </w:rPr>
        <w:t>First, what did the apostles regard as the eschatological sphere of fulfillment of these prophecies: a future millennium or the two-staged spiritual Kingdom of God proposed by classic Reformation theology?</w:t>
      </w:r>
    </w:p>
    <w:p w14:paraId="23621B0C">
      <w:pPr>
        <w:pStyle w:val="9"/>
        <w:spacing w:after="0" w:line="249" w:lineRule="auto"/>
        <w:rPr>
          <w:rFonts w:hint="eastAsia"/>
          <w:color w:val="231F20"/>
        </w:rPr>
      </w:pPr>
      <w:r>
        <w:rPr>
          <w:rFonts w:hint="eastAsia"/>
          <w:color w:val="231F20"/>
        </w:rPr>
        <w:t>首先，使徒们认为这些预言的末世应验范围是什么：一个未来的千禧年，还是古典宗教改革神学所提出的两阶段属灵上帝之国？</w:t>
      </w:r>
    </w:p>
    <w:p w14:paraId="2A825000">
      <w:pPr>
        <w:pStyle w:val="9"/>
        <w:spacing w:after="0" w:line="249" w:lineRule="auto"/>
        <w:rPr>
          <w:rFonts w:hint="eastAsia"/>
          <w:color w:val="231F20"/>
        </w:rPr>
      </w:pPr>
    </w:p>
    <w:p w14:paraId="5B60D286">
      <w:pPr>
        <w:pStyle w:val="9"/>
        <w:spacing w:after="0" w:line="249" w:lineRule="auto"/>
        <w:rPr>
          <w:rFonts w:hint="eastAsia"/>
          <w:color w:val="231F20"/>
        </w:rPr>
      </w:pPr>
      <w:r>
        <w:rPr>
          <w:rFonts w:hint="eastAsia"/>
          <w:color w:val="231F20"/>
        </w:rPr>
        <w:t>Secondly, what kind of hermeneutic did the apostles bring to these texts?</w:t>
      </w:r>
    </w:p>
    <w:p w14:paraId="45CB7168">
      <w:pPr>
        <w:pStyle w:val="9"/>
        <w:spacing w:after="0" w:line="249" w:lineRule="auto"/>
        <w:rPr>
          <w:rFonts w:hint="eastAsia"/>
          <w:color w:val="231F20"/>
        </w:rPr>
      </w:pPr>
      <w:r>
        <w:rPr>
          <w:rFonts w:hint="eastAsia"/>
          <w:color w:val="231F20"/>
        </w:rPr>
        <w:t>其次，使徒们对这些经文采用了什么样的解释学？</w:t>
      </w:r>
    </w:p>
    <w:p w14:paraId="5D078DAC">
      <w:pPr>
        <w:pStyle w:val="9"/>
        <w:spacing w:after="0" w:line="249" w:lineRule="auto"/>
        <w:rPr>
          <w:rFonts w:hint="eastAsia"/>
          <w:color w:val="231F20"/>
        </w:rPr>
      </w:pPr>
    </w:p>
    <w:p w14:paraId="5A0CBB13">
      <w:pPr>
        <w:pStyle w:val="9"/>
        <w:spacing w:after="0" w:line="249" w:lineRule="auto"/>
        <w:rPr>
          <w:rFonts w:hint="eastAsia"/>
          <w:color w:val="231F20"/>
        </w:rPr>
      </w:pPr>
      <w:r>
        <w:rPr>
          <w:rFonts w:hint="eastAsia"/>
          <w:color w:val="231F20"/>
        </w:rPr>
        <w:t>Did they interpret them basically literally, or did they follow Christ in using a NCH that sees OTKP speaking (mysteriously) of New Covenant blessings by means of typological language and imagery drawn from the Old (Mosaic) Covenant?</w:t>
      </w:r>
    </w:p>
    <w:p w14:paraId="464E9720">
      <w:pPr>
        <w:pStyle w:val="9"/>
        <w:spacing w:after="0" w:line="249" w:lineRule="auto"/>
        <w:rPr>
          <w:rFonts w:hint="eastAsia"/>
          <w:color w:val="231F20"/>
        </w:rPr>
      </w:pPr>
      <w:r>
        <w:rPr>
          <w:rFonts w:hint="eastAsia"/>
          <w:color w:val="231F20"/>
        </w:rPr>
        <w:t>他们基本上是按字面意思解释它们，还是跟随基督使用新约解释学（NCH），认为旧约国度预言（OTKP）是（神秘地）通过取自旧（摩西）约的预表性语言和意象来讲述新约的祝福？</w:t>
      </w:r>
    </w:p>
    <w:p w14:paraId="7FB522E7">
      <w:pPr>
        <w:pStyle w:val="9"/>
        <w:spacing w:after="0" w:line="249" w:lineRule="auto"/>
        <w:rPr>
          <w:rFonts w:hint="eastAsia"/>
          <w:color w:val="231F20"/>
        </w:rPr>
      </w:pPr>
    </w:p>
    <w:p w14:paraId="681E1F37">
      <w:pPr>
        <w:pStyle w:val="9"/>
        <w:spacing w:after="0" w:line="249" w:lineRule="auto"/>
        <w:rPr>
          <w:rFonts w:hint="eastAsia"/>
          <w:color w:val="231F20"/>
        </w:rPr>
      </w:pPr>
      <w:r>
        <w:rPr>
          <w:rFonts w:hint="eastAsia"/>
          <w:color w:val="231F20"/>
        </w:rPr>
        <w:t>And finally, what did the apostles see as the human sphere of fulfillment of these OTKP’s: Ethnic Israel or the Church (comprised both of Jew and Gentile)?</w:t>
      </w:r>
    </w:p>
    <w:p w14:paraId="673A99BA">
      <w:pPr>
        <w:pStyle w:val="9"/>
        <w:spacing w:after="0" w:line="249" w:lineRule="auto"/>
        <w:rPr>
          <w:rFonts w:hint="eastAsia"/>
          <w:color w:val="231F20"/>
        </w:rPr>
      </w:pPr>
      <w:r>
        <w:rPr>
          <w:rFonts w:hint="eastAsia"/>
          <w:color w:val="231F20"/>
        </w:rPr>
        <w:t>最后，使徒们认为这些旧约国度预言（OTKP）的人类应验范围是什么：以色列民族还是教会（由犹太人和外邦人组成）？</w:t>
      </w:r>
    </w:p>
    <w:p w14:paraId="2824B3B7">
      <w:pPr>
        <w:pStyle w:val="9"/>
        <w:spacing w:after="0" w:line="249" w:lineRule="auto"/>
        <w:rPr>
          <w:rFonts w:hint="eastAsia"/>
          <w:color w:val="231F20"/>
        </w:rPr>
      </w:pPr>
    </w:p>
    <w:p w14:paraId="24EF38F3">
      <w:pPr>
        <w:pStyle w:val="9"/>
        <w:spacing w:after="0" w:line="249" w:lineRule="auto"/>
        <w:rPr>
          <w:rFonts w:hint="eastAsia"/>
          <w:color w:val="231F20"/>
        </w:rPr>
      </w:pPr>
      <w:r>
        <w:rPr>
          <w:rFonts w:hint="eastAsia"/>
          <w:color w:val="231F20"/>
        </w:rPr>
        <w:t>Solid answers to these questions should go far towards helping us determine the true shape of the apostles’ eschatology, and also the proper method of OT prophetic interpretation.</w:t>
      </w:r>
    </w:p>
    <w:p w14:paraId="2FDFEBA5">
      <w:pPr>
        <w:pStyle w:val="9"/>
        <w:spacing w:after="0" w:line="249" w:lineRule="auto"/>
        <w:rPr>
          <w:rFonts w:hint="eastAsia"/>
          <w:color w:val="231F20"/>
        </w:rPr>
      </w:pPr>
      <w:r>
        <w:rPr>
          <w:rFonts w:hint="eastAsia"/>
          <w:color w:val="231F20"/>
        </w:rPr>
        <w:t>对这些问题的扎实回答，应能极大地帮助我们确定使徒们末世论的真实轮廓，以及旧约预言解释的正确方法。</w:t>
      </w:r>
    </w:p>
    <w:p w14:paraId="010A8B53">
      <w:pPr>
        <w:pStyle w:val="9"/>
        <w:spacing w:after="0" w:line="249" w:lineRule="auto"/>
        <w:rPr>
          <w:rFonts w:hint="eastAsia"/>
          <w:color w:val="231F20"/>
        </w:rPr>
      </w:pPr>
    </w:p>
    <w:p w14:paraId="381C6F2F">
      <w:pPr>
        <w:pStyle w:val="9"/>
        <w:spacing w:after="0" w:line="249" w:lineRule="auto"/>
        <w:rPr>
          <w:rFonts w:hint="eastAsia"/>
          <w:color w:val="231F20"/>
        </w:rPr>
      </w:pPr>
      <w:r>
        <w:rPr>
          <w:rFonts w:hint="eastAsia"/>
          <w:color w:val="231F20"/>
        </w:rPr>
        <w:t>Again, in the interest of saving space I will not usually reproduce the biblical texts, so please keep your Bible in hand!</w:t>
      </w:r>
    </w:p>
    <w:p w14:paraId="352691E8">
      <w:pPr>
        <w:pStyle w:val="9"/>
        <w:spacing w:after="0" w:line="249" w:lineRule="auto"/>
        <w:rPr>
          <w:rFonts w:hint="eastAsia"/>
          <w:color w:val="231F20"/>
        </w:rPr>
      </w:pPr>
      <w:r>
        <w:rPr>
          <w:rFonts w:hint="eastAsia"/>
          <w:color w:val="231F20"/>
        </w:rPr>
        <w:t>再次，为了节省篇幅，我通常不会复制圣经经文，所以请随时手持你的圣经！</w:t>
      </w:r>
    </w:p>
    <w:p w14:paraId="5ED55617">
      <w:pPr>
        <w:pStyle w:val="9"/>
        <w:spacing w:after="0" w:line="249" w:lineRule="auto"/>
        <w:rPr>
          <w:rFonts w:hint="eastAsia"/>
          <w:color w:val="231F20"/>
        </w:rPr>
      </w:pPr>
    </w:p>
    <w:p w14:paraId="19B2E1AB">
      <w:pPr>
        <w:pStyle w:val="9"/>
        <w:spacing w:after="0" w:line="249" w:lineRule="auto"/>
        <w:rPr>
          <w:rFonts w:hint="eastAsia"/>
          <w:color w:val="231F20"/>
        </w:rPr>
      </w:pPr>
      <w:r>
        <w:rPr>
          <w:rFonts w:hint="eastAsia"/>
          <w:color w:val="231F20"/>
        </w:rPr>
        <w:t>1.The Exaltation of the High King of Heaven</w:t>
      </w:r>
    </w:p>
    <w:p w14:paraId="4304A403">
      <w:pPr>
        <w:pStyle w:val="9"/>
        <w:spacing w:after="0" w:line="249" w:lineRule="auto"/>
        <w:rPr>
          <w:rFonts w:hint="eastAsia"/>
          <w:color w:val="231F20"/>
        </w:rPr>
      </w:pPr>
      <w:r>
        <w:rPr>
          <w:rFonts w:hint="eastAsia"/>
          <w:color w:val="231F20"/>
        </w:rPr>
        <w:t>1.天上至高君王的被高举</w:t>
      </w:r>
    </w:p>
    <w:p w14:paraId="5BDB2AD9">
      <w:pPr>
        <w:pStyle w:val="9"/>
        <w:spacing w:after="0" w:line="249" w:lineRule="auto"/>
        <w:rPr>
          <w:rFonts w:hint="eastAsia"/>
          <w:color w:val="231F20"/>
        </w:rPr>
      </w:pPr>
    </w:p>
    <w:p w14:paraId="04F637A8">
      <w:pPr>
        <w:pStyle w:val="9"/>
        <w:spacing w:after="0" w:line="249" w:lineRule="auto"/>
        <w:rPr>
          <w:rFonts w:hint="eastAsia"/>
          <w:color w:val="231F20"/>
        </w:rPr>
      </w:pPr>
      <w:r>
        <w:rPr>
          <w:rFonts w:hint="eastAsia"/>
          <w:color w:val="231F20"/>
        </w:rPr>
        <w:t>(Acts 2:33-35; Psalm 110)</w:t>
      </w:r>
    </w:p>
    <w:p w14:paraId="3174692B">
      <w:pPr>
        <w:pStyle w:val="9"/>
        <w:spacing w:after="0" w:line="249" w:lineRule="auto"/>
        <w:rPr>
          <w:rFonts w:hint="eastAsia"/>
          <w:color w:val="231F20"/>
        </w:rPr>
      </w:pPr>
      <w:r>
        <w:rPr>
          <w:rFonts w:hint="eastAsia"/>
          <w:color w:val="231F20"/>
        </w:rPr>
        <w:t>（使徒行传 2:33-35；诗篇 110篇）</w:t>
      </w:r>
    </w:p>
    <w:p w14:paraId="77CAA8CA">
      <w:pPr>
        <w:pStyle w:val="9"/>
        <w:spacing w:after="0" w:line="249" w:lineRule="auto"/>
        <w:rPr>
          <w:rFonts w:hint="eastAsia"/>
          <w:color w:val="231F20"/>
        </w:rPr>
      </w:pPr>
    </w:p>
    <w:p w14:paraId="6A3A97A7">
      <w:pPr>
        <w:pStyle w:val="9"/>
        <w:spacing w:after="0" w:line="249" w:lineRule="auto"/>
        <w:rPr>
          <w:rFonts w:hint="eastAsia"/>
          <w:color w:val="231F20"/>
        </w:rPr>
      </w:pPr>
      <w:r>
        <w:rPr>
          <w:rFonts w:hint="eastAsia"/>
          <w:color w:val="231F20"/>
        </w:rPr>
        <w:t>Back in chapter 9 we looked closely at Peter’s sermon on the Day of Pentecost and saw how he interpreted Psalm 110, an OTKP that appears quite prominently in the NT.</w:t>
      </w:r>
    </w:p>
    <w:p w14:paraId="5C48E2B9">
      <w:pPr>
        <w:pStyle w:val="9"/>
        <w:spacing w:after="0" w:line="249" w:lineRule="auto"/>
        <w:rPr>
          <w:rFonts w:hint="eastAsia"/>
          <w:color w:val="231F20"/>
        </w:rPr>
      </w:pPr>
      <w:r>
        <w:rPr>
          <w:rFonts w:hint="eastAsia"/>
          <w:color w:val="231F20"/>
        </w:rPr>
        <w:t>回到第9章，我们仔细考察了彼得在五旬节的讲道，并看到了他如何解释诗篇110篇，这是一个在新约中相当突出的旧约国度预言（OTKP）。</w:t>
      </w:r>
    </w:p>
    <w:p w14:paraId="5255B8E7">
      <w:pPr>
        <w:pStyle w:val="9"/>
        <w:spacing w:after="0" w:line="249" w:lineRule="auto"/>
        <w:rPr>
          <w:rFonts w:hint="eastAsia"/>
          <w:color w:val="231F20"/>
        </w:rPr>
      </w:pPr>
    </w:p>
    <w:p w14:paraId="4A1E8370">
      <w:pPr>
        <w:pStyle w:val="9"/>
        <w:spacing w:after="0" w:line="249" w:lineRule="auto"/>
        <w:rPr>
          <w:rFonts w:hint="eastAsia"/>
          <w:color w:val="231F20"/>
        </w:rPr>
      </w:pPr>
      <w:r>
        <w:rPr>
          <w:rFonts w:hint="eastAsia"/>
          <w:color w:val="231F20"/>
        </w:rPr>
        <w:t>He makes no mention of a future millennial kingdom.</w:t>
      </w:r>
    </w:p>
    <w:p w14:paraId="2C750815">
      <w:pPr>
        <w:pStyle w:val="9"/>
        <w:spacing w:after="0" w:line="249" w:lineRule="auto"/>
        <w:rPr>
          <w:rFonts w:hint="eastAsia"/>
          <w:color w:val="231F20"/>
        </w:rPr>
      </w:pPr>
      <w:r>
        <w:rPr>
          <w:rFonts w:hint="eastAsia"/>
          <w:color w:val="231F20"/>
        </w:rPr>
        <w:t>他没有提到未来的千禧年国度。</w:t>
      </w:r>
    </w:p>
    <w:p w14:paraId="36D24960">
      <w:pPr>
        <w:pStyle w:val="9"/>
        <w:spacing w:after="0" w:line="249" w:lineRule="auto"/>
        <w:rPr>
          <w:rFonts w:hint="eastAsia"/>
          <w:color w:val="231F20"/>
        </w:rPr>
      </w:pPr>
    </w:p>
    <w:p w14:paraId="6FD448DD">
      <w:pPr>
        <w:pStyle w:val="9"/>
        <w:spacing w:after="0" w:line="249" w:lineRule="auto"/>
        <w:rPr>
          <w:rFonts w:hint="eastAsia"/>
          <w:color w:val="231F20"/>
        </w:rPr>
      </w:pPr>
      <w:r>
        <w:rPr>
          <w:rFonts w:hint="eastAsia"/>
          <w:color w:val="231F20"/>
        </w:rPr>
        <w:t>In Peter’s eyes, the psalm has its fulfillment in the heavenly mediatorial reign of Christ.</w:t>
      </w:r>
    </w:p>
    <w:p w14:paraId="75FAA554">
      <w:pPr>
        <w:pStyle w:val="9"/>
        <w:spacing w:after="0" w:line="249" w:lineRule="auto"/>
        <w:rPr>
          <w:rFonts w:hint="eastAsia"/>
          <w:color w:val="231F20"/>
        </w:rPr>
      </w:pPr>
      <w:r>
        <w:rPr>
          <w:rFonts w:hint="eastAsia"/>
          <w:color w:val="231F20"/>
        </w:rPr>
        <w:t>在彼得看来，这篇诗篇在基督属天的中保统治中得到了应验。</w:t>
      </w:r>
    </w:p>
    <w:p w14:paraId="0B5230CC">
      <w:pPr>
        <w:pStyle w:val="9"/>
        <w:spacing w:after="0" w:line="249" w:lineRule="auto"/>
        <w:rPr>
          <w:rFonts w:hint="eastAsia"/>
          <w:color w:val="231F20"/>
        </w:rPr>
      </w:pPr>
    </w:p>
    <w:p w14:paraId="199CE168">
      <w:pPr>
        <w:pStyle w:val="9"/>
        <w:spacing w:after="0" w:line="249" w:lineRule="auto"/>
        <w:rPr>
          <w:rFonts w:hint="eastAsia"/>
          <w:color w:val="231F20"/>
        </w:rPr>
      </w:pPr>
      <w:r>
        <w:rPr>
          <w:rFonts w:hint="eastAsia"/>
          <w:color w:val="231F20"/>
        </w:rPr>
        <w:t>Indeed, he is quite explicit that Psalm 110:1 was fulfilled when Christ ascended into heaven and sat down at the right hand of God the Father.</w:t>
      </w:r>
    </w:p>
    <w:p w14:paraId="2DC039B7">
      <w:pPr>
        <w:pStyle w:val="9"/>
        <w:spacing w:after="0" w:line="249" w:lineRule="auto"/>
        <w:rPr>
          <w:rFonts w:hint="eastAsia"/>
          <w:color w:val="231F20"/>
        </w:rPr>
      </w:pPr>
      <w:r>
        <w:rPr>
          <w:rFonts w:hint="eastAsia"/>
          <w:color w:val="231F20"/>
        </w:rPr>
        <w:t>的确，他非常明确地指出，诗篇110:1 在基督升天并坐在父上帝的右边时得到了应验。</w:t>
      </w:r>
    </w:p>
    <w:p w14:paraId="0F15FF27">
      <w:pPr>
        <w:pStyle w:val="9"/>
        <w:spacing w:after="0" w:line="249" w:lineRule="auto"/>
        <w:rPr>
          <w:rFonts w:hint="eastAsia"/>
          <w:color w:val="231F20"/>
        </w:rPr>
      </w:pPr>
    </w:p>
    <w:p w14:paraId="07F58EAE">
      <w:pPr>
        <w:pStyle w:val="9"/>
        <w:spacing w:after="0" w:line="249" w:lineRule="auto"/>
        <w:rPr>
          <w:rFonts w:hint="eastAsia"/>
          <w:color w:val="231F20"/>
        </w:rPr>
      </w:pPr>
      <w:r>
        <w:rPr>
          <w:rFonts w:hint="eastAsia"/>
          <w:color w:val="231F20"/>
        </w:rPr>
        <w:t>This entails that Psalm 110:2-3 will be fulfilled throughout the entire Era of Proclamation and Probation, when the Father extends the scepter of His Son—the High King of Heaven—over all the earth, doing so through Christ’s Church, a people who volunteer freely in the day (i.e., era) of his power (i.e., cosmic authority) to preach the Gospel.</w:t>
      </w:r>
    </w:p>
    <w:p w14:paraId="507A40A6">
      <w:pPr>
        <w:pStyle w:val="9"/>
        <w:spacing w:after="0" w:line="249" w:lineRule="auto"/>
        <w:rPr>
          <w:rFonts w:hint="eastAsia"/>
          <w:color w:val="231F20"/>
        </w:rPr>
      </w:pPr>
      <w:r>
        <w:rPr>
          <w:rFonts w:hint="eastAsia"/>
          <w:color w:val="231F20"/>
        </w:rPr>
        <w:t>这意味着诗篇 110:2-3 将在整个宣讲和验证的时代得到应验，那时父将祂儿子——天上至高君王——的权杖伸展到全地，这是通过基督的教会，一群在祂大能（即宇宙权柄）的日子（即时代）甘心奉献自己传讲福音的子民来完成的。</w:t>
      </w:r>
    </w:p>
    <w:p w14:paraId="02A06FA0">
      <w:pPr>
        <w:pStyle w:val="9"/>
        <w:spacing w:after="0" w:line="249" w:lineRule="auto"/>
        <w:rPr>
          <w:rFonts w:hint="eastAsia"/>
          <w:color w:val="231F20"/>
        </w:rPr>
      </w:pPr>
    </w:p>
    <w:p w14:paraId="25F10015">
      <w:pPr>
        <w:pStyle w:val="9"/>
        <w:spacing w:after="0" w:line="249" w:lineRule="auto"/>
        <w:rPr>
          <w:rFonts w:hint="eastAsia"/>
          <w:color w:val="231F20"/>
        </w:rPr>
      </w:pPr>
      <w:r>
        <w:rPr>
          <w:rFonts w:hint="eastAsia"/>
          <w:color w:val="231F20"/>
        </w:rPr>
        <w:t>Psalm 110:4-6— an OTKP of the Day of the LORD—is fulfilled at Christ’s Parousia when, in the day of his wrath, he places all his enemies under foot, shattering kings, destroying “nations” of rebellious sinners, and definitively crushing Satan, the former “head” over a broad country (Gen. 3:15, Acts 2:35, 1 Cor. 15:25).</w:t>
      </w:r>
    </w:p>
    <w:p w14:paraId="170C3E7F">
      <w:pPr>
        <w:pStyle w:val="9"/>
        <w:spacing w:after="0" w:line="249" w:lineRule="auto"/>
        <w:rPr>
          <w:rFonts w:hint="eastAsia"/>
          <w:color w:val="231F20"/>
        </w:rPr>
      </w:pPr>
      <w:r>
        <w:rPr>
          <w:rFonts w:hint="eastAsia"/>
          <w:color w:val="231F20"/>
        </w:rPr>
        <w:t>诗篇 110:4-6——一个关于耶和华的日子的旧约国度预言（OTKP）——在基督第二次降临时应验，那时，在祂忿怒的日子，祂将所有仇敌都放在脚下，击碎君王，毁灭悖逆罪人的“列国”，并彻底击碎撒但，即从前一个广大国家的“头”（创世记 3:15, 使徒行传 2:35, 哥林多前书 15:25）。</w:t>
      </w:r>
    </w:p>
    <w:p w14:paraId="07547903">
      <w:pPr>
        <w:pStyle w:val="9"/>
        <w:spacing w:after="0" w:line="249" w:lineRule="auto"/>
        <w:rPr>
          <w:rFonts w:hint="eastAsia"/>
          <w:color w:val="231F20"/>
        </w:rPr>
      </w:pPr>
    </w:p>
    <w:p w14:paraId="56161166">
      <w:pPr>
        <w:pStyle w:val="9"/>
        <w:spacing w:after="0" w:line="249" w:lineRule="auto"/>
        <w:rPr>
          <w:rFonts w:hint="eastAsia"/>
          <w:color w:val="231F20"/>
        </w:rPr>
      </w:pPr>
      <w:r>
        <w:rPr>
          <w:rFonts w:hint="eastAsia"/>
          <w:color w:val="231F20"/>
        </w:rPr>
        <w:t>In short, Peter’s interpretation of Psalm 110:1 opens up the meaning of the whole Psalm, a meaning that is confirmed by NT eschatology and easily discerned through the proper use of the NCH.</w:t>
      </w:r>
    </w:p>
    <w:p w14:paraId="0F9CCBC7">
      <w:pPr>
        <w:pStyle w:val="9"/>
        <w:spacing w:after="0" w:line="249" w:lineRule="auto"/>
        <w:rPr>
          <w:rFonts w:hint="eastAsia"/>
          <w:color w:val="231F20"/>
        </w:rPr>
      </w:pPr>
      <w:r>
        <w:rPr>
          <w:rFonts w:hint="eastAsia"/>
          <w:color w:val="231F20"/>
        </w:rPr>
        <w:t>简而言之，彼得对诗篇 110:1 的解释揭示了整篇诗篇的意义，这一意义为新约末世论所证实，并通过正确使用新约解释学（NCH）而易于辨明。</w:t>
      </w:r>
    </w:p>
    <w:p w14:paraId="113E5E19">
      <w:pPr>
        <w:pStyle w:val="9"/>
        <w:spacing w:after="0" w:line="249" w:lineRule="auto"/>
        <w:rPr>
          <w:rFonts w:hint="eastAsia"/>
          <w:color w:val="231F20"/>
        </w:rPr>
      </w:pPr>
    </w:p>
    <w:p w14:paraId="3C64518A">
      <w:pPr>
        <w:pStyle w:val="9"/>
        <w:spacing w:after="0" w:line="249" w:lineRule="auto"/>
        <w:rPr>
          <w:rFonts w:hint="eastAsia"/>
          <w:color w:val="231F20"/>
        </w:rPr>
      </w:pPr>
      <w:r>
        <w:rPr>
          <w:rFonts w:hint="eastAsia"/>
          <w:color w:val="231F20"/>
        </w:rPr>
        <w:t>2.What Kind of House Will You Build for Me?</w:t>
      </w:r>
    </w:p>
    <w:p w14:paraId="466F6141">
      <w:pPr>
        <w:pStyle w:val="9"/>
        <w:spacing w:after="0" w:line="249" w:lineRule="auto"/>
        <w:rPr>
          <w:rFonts w:hint="eastAsia"/>
          <w:color w:val="231F20"/>
        </w:rPr>
      </w:pPr>
      <w:r>
        <w:rPr>
          <w:rFonts w:hint="eastAsia"/>
          <w:color w:val="231F20"/>
        </w:rPr>
        <w:t>2.你们要为我造何等的殿宇呢？</w:t>
      </w:r>
    </w:p>
    <w:p w14:paraId="4204E04C">
      <w:pPr>
        <w:pStyle w:val="9"/>
        <w:spacing w:after="0" w:line="249" w:lineRule="auto"/>
        <w:rPr>
          <w:rFonts w:hint="eastAsia"/>
          <w:color w:val="231F20"/>
        </w:rPr>
      </w:pPr>
    </w:p>
    <w:p w14:paraId="01045DCD">
      <w:pPr>
        <w:pStyle w:val="9"/>
        <w:spacing w:after="0" w:line="249" w:lineRule="auto"/>
        <w:rPr>
          <w:rFonts w:hint="eastAsia"/>
          <w:color w:val="231F20"/>
        </w:rPr>
      </w:pPr>
      <w:r>
        <w:rPr>
          <w:rFonts w:hint="eastAsia"/>
          <w:color w:val="231F20"/>
        </w:rPr>
        <w:t>(Acts 7:44-50; Isaiah 66:1-2)</w:t>
      </w:r>
    </w:p>
    <w:p w14:paraId="5857EBEA">
      <w:pPr>
        <w:pStyle w:val="9"/>
        <w:spacing w:after="0" w:line="249" w:lineRule="auto"/>
        <w:rPr>
          <w:rFonts w:hint="eastAsia"/>
          <w:color w:val="231F20"/>
        </w:rPr>
      </w:pPr>
      <w:r>
        <w:rPr>
          <w:rFonts w:hint="eastAsia"/>
          <w:color w:val="231F20"/>
        </w:rPr>
        <w:t>（使徒行传 7:44-50；以赛亚书 66:1-2）</w:t>
      </w:r>
    </w:p>
    <w:p w14:paraId="653200A1">
      <w:pPr>
        <w:pStyle w:val="9"/>
        <w:spacing w:after="0" w:line="249" w:lineRule="auto"/>
        <w:rPr>
          <w:rFonts w:hint="eastAsia"/>
          <w:color w:val="231F20"/>
        </w:rPr>
      </w:pPr>
    </w:p>
    <w:p w14:paraId="38B6BFC1">
      <w:pPr>
        <w:pStyle w:val="9"/>
        <w:spacing w:after="0" w:line="249" w:lineRule="auto"/>
        <w:rPr>
          <w:rFonts w:hint="eastAsia"/>
          <w:color w:val="231F20"/>
        </w:rPr>
      </w:pPr>
      <w:r>
        <w:rPr>
          <w:rFonts w:hint="eastAsia"/>
          <w:color w:val="231F20"/>
        </w:rPr>
        <w:t>Though Stephen was not an apostle, he sat under apostolic teaching.</w:t>
      </w:r>
    </w:p>
    <w:p w14:paraId="5404B0FE">
      <w:pPr>
        <w:pStyle w:val="9"/>
        <w:spacing w:after="0" w:line="249" w:lineRule="auto"/>
        <w:rPr>
          <w:rFonts w:hint="eastAsia"/>
          <w:color w:val="231F20"/>
        </w:rPr>
      </w:pPr>
      <w:r>
        <w:rPr>
          <w:rFonts w:hint="eastAsia"/>
          <w:color w:val="231F20"/>
        </w:rPr>
        <w:t>虽然司提反不是使徒，但他曾受使徒的教导。</w:t>
      </w:r>
    </w:p>
    <w:p w14:paraId="5DC3B416">
      <w:pPr>
        <w:pStyle w:val="9"/>
        <w:spacing w:after="0" w:line="249" w:lineRule="auto"/>
        <w:rPr>
          <w:rFonts w:hint="eastAsia"/>
          <w:color w:val="231F20"/>
        </w:rPr>
      </w:pPr>
    </w:p>
    <w:p w14:paraId="0BFDD51A">
      <w:pPr>
        <w:pStyle w:val="9"/>
        <w:spacing w:after="0" w:line="249" w:lineRule="auto"/>
        <w:rPr>
          <w:rFonts w:hint="eastAsia"/>
          <w:color w:val="231F20"/>
        </w:rPr>
      </w:pPr>
      <w:r>
        <w:rPr>
          <w:rFonts w:hint="eastAsia"/>
          <w:color w:val="231F20"/>
        </w:rPr>
        <w:t>Most assuredly, that teaching made its way into his great sermon before the Sanhedrin (Acts 2:42).</w:t>
      </w:r>
    </w:p>
    <w:p w14:paraId="49B6785B">
      <w:pPr>
        <w:pStyle w:val="9"/>
        <w:spacing w:after="0" w:line="249" w:lineRule="auto"/>
        <w:rPr>
          <w:rFonts w:hint="eastAsia"/>
          <w:color w:val="231F20"/>
        </w:rPr>
      </w:pPr>
      <w:r>
        <w:rPr>
          <w:rFonts w:hint="eastAsia"/>
          <w:color w:val="231F20"/>
        </w:rPr>
        <w:t>可以肯定的是，那教导融入了他在公会前的伟大讲道中（使徒行传 2:42）。</w:t>
      </w:r>
    </w:p>
    <w:p w14:paraId="221634F0">
      <w:pPr>
        <w:pStyle w:val="9"/>
        <w:spacing w:after="0" w:line="249" w:lineRule="auto"/>
        <w:rPr>
          <w:rFonts w:hint="eastAsia"/>
          <w:color w:val="231F20"/>
        </w:rPr>
      </w:pPr>
    </w:p>
    <w:p w14:paraId="0771F14F">
      <w:pPr>
        <w:pStyle w:val="9"/>
        <w:spacing w:after="0" w:line="249" w:lineRule="auto"/>
        <w:rPr>
          <w:rFonts w:hint="eastAsia"/>
          <w:color w:val="231F20"/>
        </w:rPr>
      </w:pPr>
      <w:r>
        <w:rPr>
          <w:rFonts w:hint="eastAsia"/>
          <w:color w:val="231F20"/>
        </w:rPr>
        <w:t>His words contain subtle, inspired, and precious insights into the apostolic view of the Church and the proper interpretation of OTKP.</w:t>
      </w:r>
    </w:p>
    <w:p w14:paraId="4E802EB7">
      <w:pPr>
        <w:pStyle w:val="9"/>
        <w:spacing w:after="0" w:line="249" w:lineRule="auto"/>
        <w:rPr>
          <w:rFonts w:hint="eastAsia"/>
          <w:color w:val="231F20"/>
        </w:rPr>
      </w:pPr>
      <w:r>
        <w:rPr>
          <w:rFonts w:hint="eastAsia"/>
          <w:color w:val="231F20"/>
        </w:rPr>
        <w:t>他的话语包含了关于使徒对教会的看法以及正确解释旧约国度预言（OTKP）的微妙、受默示和宝贵的洞见。</w:t>
      </w:r>
    </w:p>
    <w:p w14:paraId="052C893D">
      <w:pPr>
        <w:pStyle w:val="9"/>
        <w:spacing w:after="0" w:line="249" w:lineRule="auto"/>
        <w:rPr>
          <w:rFonts w:hint="eastAsia"/>
          <w:color w:val="231F20"/>
        </w:rPr>
      </w:pPr>
    </w:p>
    <w:p w14:paraId="7E3F83C2">
      <w:pPr>
        <w:pStyle w:val="9"/>
        <w:spacing w:after="0" w:line="249" w:lineRule="auto"/>
        <w:rPr>
          <w:rFonts w:hint="eastAsia"/>
          <w:color w:val="231F20"/>
        </w:rPr>
      </w:pPr>
      <w:r>
        <w:rPr>
          <w:rFonts w:hint="eastAsia"/>
          <w:color w:val="231F20"/>
        </w:rPr>
        <w:t>Having been charged with “speaking against” the temple (Acts 6:13), the Spirit-filled evangelist brings his review of Jewish history to a close by making an explicit defense.</w:t>
      </w:r>
    </w:p>
    <w:p w14:paraId="11740096">
      <w:pPr>
        <w:pStyle w:val="9"/>
        <w:spacing w:after="0" w:line="249" w:lineRule="auto"/>
        <w:rPr>
          <w:rFonts w:hint="eastAsia"/>
          <w:color w:val="231F20"/>
        </w:rPr>
      </w:pPr>
      <w:r>
        <w:rPr>
          <w:rFonts w:hint="eastAsia"/>
          <w:color w:val="231F20"/>
        </w:rPr>
        <w:t>被指控“毁谤”圣殿后（使徒行传 6:13），这位充满圣灵的传道人通过一次明确的辩护来结束他对犹太历史的回顾。</w:t>
      </w:r>
    </w:p>
    <w:p w14:paraId="69360C03">
      <w:pPr>
        <w:pStyle w:val="9"/>
        <w:spacing w:after="0" w:line="249" w:lineRule="auto"/>
        <w:rPr>
          <w:rFonts w:hint="eastAsia"/>
          <w:color w:val="231F20"/>
        </w:rPr>
      </w:pPr>
    </w:p>
    <w:p w14:paraId="744F5AE9">
      <w:pPr>
        <w:pStyle w:val="9"/>
        <w:spacing w:after="0" w:line="249" w:lineRule="auto"/>
        <w:rPr>
          <w:rFonts w:hint="eastAsia"/>
          <w:color w:val="231F20"/>
        </w:rPr>
      </w:pPr>
      <w:r>
        <w:rPr>
          <w:rFonts w:hint="eastAsia"/>
          <w:color w:val="231F20"/>
        </w:rPr>
        <w:t>In former times, says Stephen, it pleased God that Israel should worship him, first in the tabernacle, and later in Solomon’s temple.</w:t>
      </w:r>
    </w:p>
    <w:p w14:paraId="21CAFFD8">
      <w:pPr>
        <w:pStyle w:val="9"/>
        <w:spacing w:after="0" w:line="249" w:lineRule="auto"/>
        <w:rPr>
          <w:rFonts w:hint="eastAsia"/>
          <w:color w:val="231F20"/>
        </w:rPr>
      </w:pPr>
      <w:r>
        <w:rPr>
          <w:rFonts w:hint="eastAsia"/>
          <w:color w:val="231F20"/>
        </w:rPr>
        <w:t>司提反说，在从前，上帝乐意以色列人敬拜祂，先是在会幕里，后来在所罗门的殿里。</w:t>
      </w:r>
    </w:p>
    <w:p w14:paraId="52EE4AD9">
      <w:pPr>
        <w:pStyle w:val="9"/>
        <w:spacing w:after="0" w:line="249" w:lineRule="auto"/>
        <w:rPr>
          <w:rFonts w:hint="eastAsia"/>
          <w:color w:val="231F20"/>
        </w:rPr>
      </w:pPr>
    </w:p>
    <w:p w14:paraId="720A373E">
      <w:pPr>
        <w:pStyle w:val="9"/>
        <w:spacing w:after="0" w:line="249" w:lineRule="auto"/>
        <w:rPr>
          <w:rFonts w:hint="eastAsia"/>
          <w:color w:val="231F20"/>
        </w:rPr>
      </w:pPr>
      <w:r>
        <w:rPr>
          <w:rFonts w:hint="eastAsia"/>
          <w:color w:val="231F20"/>
        </w:rPr>
        <w:t>However, all this was only provisional, since the Most High cannot dwell in houses made by human hands, and does not even desire to do so (Acts 7:48).</w:t>
      </w:r>
    </w:p>
    <w:p w14:paraId="76BB4301">
      <w:pPr>
        <w:pStyle w:val="9"/>
        <w:spacing w:after="0" w:line="249" w:lineRule="auto"/>
        <w:rPr>
          <w:rFonts w:hint="eastAsia"/>
          <w:color w:val="231F20"/>
        </w:rPr>
      </w:pPr>
      <w:r>
        <w:rPr>
          <w:rFonts w:hint="eastAsia"/>
          <w:color w:val="231F20"/>
        </w:rPr>
        <w:t>然而，这一切都只是暂时的，因为至高者不住人手所造的殿，甚至也不愿意这样做（使徒行传 7:48）。</w:t>
      </w:r>
    </w:p>
    <w:p w14:paraId="2A9FE755">
      <w:pPr>
        <w:pStyle w:val="9"/>
        <w:spacing w:after="0" w:line="249" w:lineRule="auto"/>
        <w:rPr>
          <w:rFonts w:hint="eastAsia"/>
          <w:color w:val="231F20"/>
        </w:rPr>
      </w:pPr>
    </w:p>
    <w:p w14:paraId="4F1253CC">
      <w:pPr>
        <w:pStyle w:val="9"/>
        <w:spacing w:after="0" w:line="249" w:lineRule="auto"/>
        <w:rPr>
          <w:rFonts w:hint="eastAsia"/>
          <w:color w:val="231F20"/>
        </w:rPr>
      </w:pPr>
      <w:r>
        <w:rPr>
          <w:rFonts w:hint="eastAsia"/>
          <w:color w:val="231F20"/>
        </w:rPr>
        <w:t>In support of this shocking assertion, Stephen quotes Isaiah 66:1-2:</w:t>
      </w:r>
    </w:p>
    <w:p w14:paraId="01E9AD8C">
      <w:pPr>
        <w:pStyle w:val="9"/>
        <w:spacing w:after="0" w:line="249" w:lineRule="auto"/>
        <w:rPr>
          <w:rFonts w:hint="eastAsia"/>
          <w:color w:val="231F20"/>
        </w:rPr>
      </w:pPr>
      <w:r>
        <w:rPr>
          <w:rFonts w:hint="eastAsia"/>
          <w:color w:val="231F20"/>
        </w:rPr>
        <w:t>为了支持这一惊人的断言，司提反引用了以赛亚书 66:1-2：</w:t>
      </w:r>
    </w:p>
    <w:p w14:paraId="7D25152B">
      <w:pPr>
        <w:pStyle w:val="9"/>
        <w:spacing w:after="0" w:line="249" w:lineRule="auto"/>
        <w:rPr>
          <w:rFonts w:hint="eastAsia"/>
          <w:color w:val="231F20"/>
        </w:rPr>
      </w:pPr>
    </w:p>
    <w:p w14:paraId="18B2680D">
      <w:pPr>
        <w:pStyle w:val="9"/>
        <w:spacing w:after="0" w:line="249" w:lineRule="auto"/>
        <w:rPr>
          <w:rFonts w:hint="eastAsia"/>
          <w:color w:val="231F20"/>
        </w:rPr>
      </w:pPr>
      <w:r>
        <w:rPr>
          <w:rFonts w:hint="eastAsia"/>
          <w:color w:val="231F20"/>
        </w:rPr>
        <w:t>“Heaven is my throne, and the earth is the footstool of my feet.</w:t>
      </w:r>
    </w:p>
    <w:p w14:paraId="4363627E">
      <w:pPr>
        <w:pStyle w:val="9"/>
        <w:spacing w:after="0" w:line="249" w:lineRule="auto"/>
        <w:rPr>
          <w:rFonts w:hint="eastAsia"/>
          <w:color w:val="231F20"/>
        </w:rPr>
      </w:pPr>
      <w:r>
        <w:rPr>
          <w:rFonts w:hint="eastAsia"/>
          <w:color w:val="231F20"/>
        </w:rPr>
        <w:t>“天是我的座位，地是我的脚凳。</w:t>
      </w:r>
    </w:p>
    <w:p w14:paraId="2CB1CB19">
      <w:pPr>
        <w:pStyle w:val="9"/>
        <w:spacing w:after="0" w:line="249" w:lineRule="auto"/>
        <w:rPr>
          <w:rFonts w:hint="eastAsia"/>
          <w:color w:val="231F20"/>
        </w:rPr>
      </w:pPr>
    </w:p>
    <w:p w14:paraId="1FF75FA9">
      <w:pPr>
        <w:pStyle w:val="9"/>
        <w:spacing w:after="0" w:line="249" w:lineRule="auto"/>
        <w:rPr>
          <w:rFonts w:hint="eastAsia"/>
          <w:color w:val="231F20"/>
        </w:rPr>
      </w:pPr>
      <w:r>
        <w:rPr>
          <w:rFonts w:hint="eastAsia"/>
          <w:color w:val="231F20"/>
        </w:rPr>
        <w:t>What kind of house will you build for me,” says the Lord, “or what is the place of my rest?</w:t>
      </w:r>
    </w:p>
    <w:p w14:paraId="2FDA97C4">
      <w:pPr>
        <w:pStyle w:val="9"/>
        <w:spacing w:after="0" w:line="249" w:lineRule="auto"/>
        <w:rPr>
          <w:rFonts w:hint="eastAsia"/>
          <w:color w:val="231F20"/>
        </w:rPr>
      </w:pPr>
      <w:r>
        <w:rPr>
          <w:rFonts w:hint="eastAsia"/>
          <w:color w:val="231F20"/>
        </w:rPr>
        <w:t>你们要为我造何等的殿宇呢？”主说，“哪里是我安息的地方呢？</w:t>
      </w:r>
    </w:p>
    <w:p w14:paraId="6B98095B">
      <w:pPr>
        <w:pStyle w:val="9"/>
        <w:spacing w:after="0" w:line="249" w:lineRule="auto"/>
        <w:rPr>
          <w:rFonts w:hint="eastAsia"/>
          <w:color w:val="231F20"/>
        </w:rPr>
      </w:pPr>
    </w:p>
    <w:p w14:paraId="7F759292">
      <w:pPr>
        <w:pStyle w:val="9"/>
        <w:spacing w:after="0" w:line="249" w:lineRule="auto"/>
        <w:rPr>
          <w:rFonts w:hint="eastAsia"/>
          <w:color w:val="231F20"/>
        </w:rPr>
      </w:pPr>
      <w:r>
        <w:rPr>
          <w:rFonts w:hint="eastAsia"/>
          <w:color w:val="231F20"/>
        </w:rPr>
        <w:t>Was it not my hand that made all these things?”</w:t>
      </w:r>
    </w:p>
    <w:p w14:paraId="6511132C">
      <w:pPr>
        <w:pStyle w:val="9"/>
        <w:spacing w:after="0" w:line="249" w:lineRule="auto"/>
        <w:rPr>
          <w:rFonts w:hint="eastAsia"/>
          <w:color w:val="231F20"/>
        </w:rPr>
      </w:pPr>
      <w:r>
        <w:rPr>
          <w:rFonts w:hint="eastAsia"/>
          <w:color w:val="231F20"/>
        </w:rPr>
        <w:t>这一切不都是我手所造的吗？”</w:t>
      </w:r>
    </w:p>
    <w:p w14:paraId="23B36A0F">
      <w:pPr>
        <w:pStyle w:val="9"/>
        <w:spacing w:after="0" w:line="249" w:lineRule="auto"/>
        <w:rPr>
          <w:rFonts w:hint="eastAsia"/>
          <w:color w:val="231F20"/>
        </w:rPr>
      </w:pPr>
    </w:p>
    <w:p w14:paraId="2CD387EF">
      <w:pPr>
        <w:pStyle w:val="9"/>
        <w:spacing w:after="0" w:line="249" w:lineRule="auto"/>
        <w:rPr>
          <w:rFonts w:hint="eastAsia"/>
          <w:color w:val="231F20"/>
        </w:rPr>
      </w:pPr>
      <w:r>
        <w:rPr>
          <w:rFonts w:hint="eastAsia"/>
          <w:color w:val="231F20"/>
        </w:rPr>
        <w:t>Yes, even in OT times God hinted broadly at the inadequacy and impermanence of Israel’s ancient places of worship!</w:t>
      </w:r>
    </w:p>
    <w:p w14:paraId="78014E3E">
      <w:pPr>
        <w:pStyle w:val="9"/>
        <w:spacing w:after="0" w:line="249" w:lineRule="auto"/>
        <w:rPr>
          <w:rFonts w:hint="eastAsia"/>
          <w:color w:val="231F20"/>
        </w:rPr>
      </w:pPr>
      <w:r>
        <w:rPr>
          <w:rFonts w:hint="eastAsia"/>
          <w:color w:val="231F20"/>
        </w:rPr>
        <w:t>是的，即使在旧约时代，上帝也曾广泛地暗示以色列古代敬拜场所的不足和短暂！</w:t>
      </w:r>
    </w:p>
    <w:p w14:paraId="5CD0ADA2">
      <w:pPr>
        <w:pStyle w:val="9"/>
        <w:spacing w:after="0" w:line="249" w:lineRule="auto"/>
        <w:rPr>
          <w:rFonts w:hint="eastAsia"/>
          <w:color w:val="231F20"/>
        </w:rPr>
      </w:pPr>
    </w:p>
    <w:p w14:paraId="4AC62B43">
      <w:pPr>
        <w:pStyle w:val="9"/>
        <w:spacing w:after="0" w:line="249" w:lineRule="auto"/>
        <w:rPr>
          <w:rFonts w:hint="eastAsia"/>
          <w:color w:val="231F20"/>
        </w:rPr>
      </w:pPr>
      <w:r>
        <w:rPr>
          <w:rFonts w:hint="eastAsia"/>
          <w:color w:val="231F20"/>
        </w:rPr>
        <w:t>But where, then, does God desire to dwell?</w:t>
      </w:r>
    </w:p>
    <w:p w14:paraId="20D426EF">
      <w:pPr>
        <w:pStyle w:val="9"/>
        <w:spacing w:after="0" w:line="249" w:lineRule="auto"/>
        <w:rPr>
          <w:rFonts w:hint="eastAsia"/>
          <w:color w:val="231F20"/>
        </w:rPr>
      </w:pPr>
      <w:r>
        <w:rPr>
          <w:rFonts w:hint="eastAsia"/>
          <w:color w:val="231F20"/>
        </w:rPr>
        <w:t>那么，上帝渴望住在哪里呢？</w:t>
      </w:r>
    </w:p>
    <w:p w14:paraId="10EE7231">
      <w:pPr>
        <w:pStyle w:val="9"/>
        <w:spacing w:after="0" w:line="249" w:lineRule="auto"/>
        <w:rPr>
          <w:rFonts w:hint="eastAsia"/>
          <w:color w:val="231F20"/>
        </w:rPr>
      </w:pPr>
    </w:p>
    <w:p w14:paraId="760207D0">
      <w:pPr>
        <w:pStyle w:val="9"/>
        <w:spacing w:after="0" w:line="249" w:lineRule="auto"/>
        <w:rPr>
          <w:rFonts w:hint="eastAsia"/>
          <w:color w:val="231F20"/>
        </w:rPr>
      </w:pPr>
      <w:r>
        <w:rPr>
          <w:rFonts w:hint="eastAsia"/>
          <w:color w:val="231F20"/>
        </w:rPr>
        <w:t>It appears that Stephen had daringly tried to answer that question in previous conversations with his kinsmen; here he does not.</w:t>
      </w:r>
    </w:p>
    <w:p w14:paraId="70518563">
      <w:pPr>
        <w:pStyle w:val="9"/>
        <w:spacing w:after="0" w:line="249" w:lineRule="auto"/>
        <w:rPr>
          <w:rFonts w:hint="eastAsia"/>
          <w:color w:val="231F20"/>
        </w:rPr>
      </w:pPr>
      <w:r>
        <w:rPr>
          <w:rFonts w:hint="eastAsia"/>
          <w:color w:val="231F20"/>
        </w:rPr>
        <w:t>看来司提反曾在他先前与同胞的谈话中大胆地尝试回答这个问题；在这里他没有。</w:t>
      </w:r>
    </w:p>
    <w:p w14:paraId="4B64A740">
      <w:pPr>
        <w:pStyle w:val="9"/>
        <w:spacing w:after="0" w:line="249" w:lineRule="auto"/>
        <w:rPr>
          <w:rFonts w:hint="eastAsia"/>
          <w:color w:val="231F20"/>
        </w:rPr>
      </w:pPr>
    </w:p>
    <w:p w14:paraId="630EA434">
      <w:pPr>
        <w:pStyle w:val="9"/>
        <w:spacing w:after="0" w:line="249" w:lineRule="auto"/>
        <w:rPr>
          <w:rFonts w:hint="eastAsia"/>
          <w:color w:val="231F20"/>
        </w:rPr>
      </w:pPr>
      <w:r>
        <w:rPr>
          <w:rFonts w:hint="eastAsia"/>
          <w:color w:val="231F20"/>
        </w:rPr>
        <w:t>However, it is more than noteworthy that in the very text he has just cited, God himself gives us the explanation: “This is the one to whom I will look: to him who is humble and contrite of spirit, and who trembles at my word” (Isaiah 66:2).</w:t>
      </w:r>
    </w:p>
    <w:p w14:paraId="34680A2D">
      <w:pPr>
        <w:pStyle w:val="9"/>
        <w:spacing w:after="0" w:line="249" w:lineRule="auto"/>
        <w:rPr>
          <w:rFonts w:hint="eastAsia"/>
          <w:color w:val="231F20"/>
        </w:rPr>
      </w:pPr>
      <w:r>
        <w:rPr>
          <w:rFonts w:hint="eastAsia"/>
          <w:color w:val="231F20"/>
        </w:rPr>
        <w:t>然而，值得注意的是，在他刚刚引用的经文中，上帝自己给了我们解释：“但我所看顾的，就是虚心痛悔、因我话而战兢的人”（以赛亚书 66:2）。</w:t>
      </w:r>
    </w:p>
    <w:p w14:paraId="01FDE145">
      <w:pPr>
        <w:pStyle w:val="9"/>
        <w:spacing w:after="0" w:line="249" w:lineRule="auto"/>
        <w:rPr>
          <w:rFonts w:hint="eastAsia"/>
          <w:color w:val="231F20"/>
        </w:rPr>
      </w:pPr>
    </w:p>
    <w:p w14:paraId="0FE25542">
      <w:pPr>
        <w:pStyle w:val="9"/>
        <w:spacing w:after="0" w:line="249" w:lineRule="auto"/>
        <w:rPr>
          <w:rFonts w:hint="eastAsia"/>
          <w:color w:val="231F20"/>
        </w:rPr>
      </w:pPr>
      <w:r>
        <w:rPr>
          <w:rFonts w:hint="eastAsia"/>
          <w:color w:val="231F20"/>
        </w:rPr>
        <w:t>In context, the LORD is saying that he will look upon the humble and the contrite as the place of his rest; as the house wherein he is pleased to dwell eternally; as the one true house of which all previous houses were mere types and shadows.</w:t>
      </w:r>
    </w:p>
    <w:p w14:paraId="3F841F91">
      <w:pPr>
        <w:pStyle w:val="9"/>
        <w:spacing w:after="0" w:line="249" w:lineRule="auto"/>
        <w:rPr>
          <w:rFonts w:hint="eastAsia"/>
          <w:color w:val="231F20"/>
        </w:rPr>
      </w:pPr>
      <w:r>
        <w:rPr>
          <w:rFonts w:hint="eastAsia"/>
          <w:color w:val="231F20"/>
        </w:rPr>
        <w:t>在上下文中，耶和华说的是祂将看顾虚心痛悔的人，视他们为祂的安息之所；为祂乐意永远居住的殿宇；为那独一真实的殿宇，所有先前的殿宇都只是其预表和影儿。</w:t>
      </w:r>
    </w:p>
    <w:p w14:paraId="46C6C85E">
      <w:pPr>
        <w:pStyle w:val="9"/>
        <w:spacing w:after="0" w:line="249" w:lineRule="auto"/>
        <w:rPr>
          <w:rFonts w:hint="eastAsia"/>
          <w:color w:val="231F20"/>
        </w:rPr>
      </w:pPr>
    </w:p>
    <w:p w14:paraId="702002DE">
      <w:pPr>
        <w:pStyle w:val="9"/>
        <w:spacing w:after="0" w:line="249" w:lineRule="auto"/>
        <w:rPr>
          <w:rFonts w:hint="eastAsia"/>
          <w:color w:val="231F20"/>
        </w:rPr>
      </w:pPr>
      <w:r>
        <w:rPr>
          <w:rFonts w:hint="eastAsia"/>
          <w:color w:val="231F20"/>
        </w:rPr>
        <w:t>Having learned the truth of this great mystery from Jesus and Peter (Mt. 12:6, John 2:19f, 14:23, Acts 2:38, 1 Peter 2:5), and having seen it confirmed in Isaiah, Stephen tried to open it up to his Jewish brethren in the Sanhedrin.</w:t>
      </w:r>
    </w:p>
    <w:p w14:paraId="03324D98">
      <w:pPr>
        <w:pStyle w:val="9"/>
        <w:spacing w:after="0" w:line="249" w:lineRule="auto"/>
        <w:rPr>
          <w:rFonts w:hint="eastAsia"/>
          <w:color w:val="231F20"/>
        </w:rPr>
      </w:pPr>
      <w:r>
        <w:rPr>
          <w:rFonts w:hint="eastAsia"/>
          <w:color w:val="231F20"/>
        </w:rPr>
        <w:t>司提反从耶稣和彼得那里学到了这个伟大奥秘的真理（马太福音 12:6, 约翰福音 2:19及后文, 14:23, 使徒行传 2:38, 彼得前书 2:5），并在以赛亚书中看到了它的证实，于是他试图在公会中向他的犹太弟兄们揭示它。</w:t>
      </w:r>
    </w:p>
    <w:p w14:paraId="11EAB645">
      <w:pPr>
        <w:pStyle w:val="9"/>
        <w:spacing w:after="0" w:line="249" w:lineRule="auto"/>
        <w:rPr>
          <w:rFonts w:hint="eastAsia"/>
          <w:color w:val="231F20"/>
        </w:rPr>
      </w:pPr>
    </w:p>
    <w:p w14:paraId="62236D0E">
      <w:pPr>
        <w:pStyle w:val="9"/>
        <w:spacing w:after="0" w:line="249" w:lineRule="auto"/>
        <w:rPr>
          <w:rFonts w:hint="eastAsia"/>
          <w:color w:val="231F20"/>
        </w:rPr>
      </w:pPr>
      <w:r>
        <w:rPr>
          <w:rFonts w:hint="eastAsia"/>
          <w:color w:val="231F20"/>
        </w:rPr>
        <w:t>Alas, he could not get their blind eyes to see, or their uncircumcised ears to hear: God’s new and eternal temple is the Church, the everlasting Body of his Son (Eph. 2:22).</w:t>
      </w:r>
    </w:p>
    <w:p w14:paraId="42992ADF">
      <w:pPr>
        <w:pStyle w:val="9"/>
        <w:spacing w:after="0" w:line="249" w:lineRule="auto"/>
        <w:rPr>
          <w:rFonts w:hint="eastAsia"/>
          <w:color w:val="231F20"/>
        </w:rPr>
      </w:pPr>
      <w:r>
        <w:rPr>
          <w:rFonts w:hint="eastAsia"/>
          <w:color w:val="231F20"/>
        </w:rPr>
        <w:t>可惜，他无法使他们瞎了的眼睛看见，或他们未受割礼的耳朵听见：上帝新的永恒的殿是教会，是祂儿子永恒的身体（以弗所书 2:22）。</w:t>
      </w:r>
    </w:p>
    <w:p w14:paraId="29DE67CD">
      <w:pPr>
        <w:pStyle w:val="9"/>
        <w:spacing w:after="0" w:line="249" w:lineRule="auto"/>
        <w:rPr>
          <w:rFonts w:hint="eastAsia"/>
          <w:color w:val="231F20"/>
        </w:rPr>
      </w:pPr>
    </w:p>
    <w:p w14:paraId="7427B785">
      <w:pPr>
        <w:pStyle w:val="9"/>
        <w:spacing w:after="0" w:line="249" w:lineRule="auto"/>
        <w:rPr>
          <w:rFonts w:hint="eastAsia"/>
          <w:color w:val="231F20"/>
        </w:rPr>
      </w:pPr>
      <w:r>
        <w:rPr>
          <w:rFonts w:hint="eastAsia"/>
          <w:color w:val="231F20"/>
        </w:rPr>
        <w:t>Though in strictness Isaiah 66:1-2 is not a prophecy, I have touched on it here because it dwells in close proximity to a number of powerful OTKP’s, and also because it hints at their proper interpretation (e.g., Isaiah 65:17-25, 66:7-14, 18ff).</w:t>
      </w:r>
    </w:p>
    <w:p w14:paraId="396AC87B">
      <w:pPr>
        <w:pStyle w:val="9"/>
        <w:spacing w:after="0" w:line="249" w:lineRule="auto"/>
        <w:rPr>
          <w:rFonts w:hint="eastAsia"/>
          <w:color w:val="231F20"/>
        </w:rPr>
      </w:pPr>
      <w:r>
        <w:rPr>
          <w:rFonts w:hint="eastAsia"/>
          <w:color w:val="231F20"/>
        </w:rPr>
        <w:t>虽然严格来说，以赛亚书 66:1-2 不是一则预言，但我在这里提及它，因为它与一些有力的旧约国度预言（OTKP）非常接近，也因为它暗示了它们的正确解释（例如，以赛亚书 65:17-25, 66:7-14, 18及后文）。</w:t>
      </w:r>
    </w:p>
    <w:p w14:paraId="07BF5947">
      <w:pPr>
        <w:pStyle w:val="9"/>
        <w:spacing w:after="0" w:line="249" w:lineRule="auto"/>
        <w:rPr>
          <w:rFonts w:hint="eastAsia"/>
          <w:color w:val="231F20"/>
        </w:rPr>
      </w:pPr>
    </w:p>
    <w:p w14:paraId="2EBCA616">
      <w:pPr>
        <w:pStyle w:val="9"/>
        <w:spacing w:after="0" w:line="249" w:lineRule="auto"/>
        <w:rPr>
          <w:rFonts w:hint="eastAsia"/>
          <w:color w:val="231F20"/>
        </w:rPr>
      </w:pPr>
      <w:r>
        <w:rPr>
          <w:rFonts w:hint="eastAsia"/>
          <w:color w:val="231F20"/>
        </w:rPr>
        <w:t>As Stephen well knew, a close study of these texts tells us much about where God will dwell “in that day.”</w:t>
      </w:r>
    </w:p>
    <w:p w14:paraId="3B15DF95">
      <w:pPr>
        <w:pStyle w:val="9"/>
        <w:spacing w:after="0" w:line="249" w:lineRule="auto"/>
        <w:rPr>
          <w:rFonts w:hint="eastAsia"/>
          <w:color w:val="231F20"/>
        </w:rPr>
      </w:pPr>
      <w:r>
        <w:rPr>
          <w:rFonts w:hint="eastAsia"/>
          <w:color w:val="231F20"/>
        </w:rPr>
        <w:t>正如司提反深知，仔细研究这些经文能告诉我们许多关于上帝在“那日”将住在何处的信息。</w:t>
      </w:r>
    </w:p>
    <w:p w14:paraId="64C40738">
      <w:pPr>
        <w:pStyle w:val="9"/>
        <w:spacing w:after="0" w:line="249" w:lineRule="auto"/>
        <w:rPr>
          <w:rFonts w:hint="eastAsia"/>
          <w:color w:val="231F20"/>
        </w:rPr>
      </w:pPr>
    </w:p>
    <w:p w14:paraId="060DB3EC">
      <w:pPr>
        <w:pStyle w:val="9"/>
        <w:spacing w:after="0" w:line="249" w:lineRule="auto"/>
        <w:rPr>
          <w:rFonts w:hint="eastAsia"/>
          <w:color w:val="231F20"/>
        </w:rPr>
      </w:pPr>
      <w:r>
        <w:rPr>
          <w:rFonts w:hint="eastAsia"/>
          <w:color w:val="231F20"/>
        </w:rPr>
        <w:t>He will dwell in a New Jerusalem of his own creation (65:18-19, 66:10, 13).</w:t>
      </w:r>
    </w:p>
    <w:p w14:paraId="57BF9238">
      <w:pPr>
        <w:pStyle w:val="9"/>
        <w:spacing w:after="0" w:line="249" w:lineRule="auto"/>
        <w:rPr>
          <w:rFonts w:hint="eastAsia"/>
          <w:color w:val="231F20"/>
        </w:rPr>
      </w:pPr>
      <w:r>
        <w:rPr>
          <w:rFonts w:hint="eastAsia"/>
          <w:color w:val="231F20"/>
        </w:rPr>
        <w:t>祂将住在祂自己所造的新耶路撒冷（65:18-19, 66:10, 13）。</w:t>
      </w:r>
    </w:p>
    <w:p w14:paraId="01FABA95">
      <w:pPr>
        <w:pStyle w:val="9"/>
        <w:spacing w:after="0" w:line="249" w:lineRule="auto"/>
        <w:rPr>
          <w:rFonts w:hint="eastAsia"/>
          <w:color w:val="231F20"/>
        </w:rPr>
      </w:pPr>
    </w:p>
    <w:p w14:paraId="1F44C8C1">
      <w:pPr>
        <w:pStyle w:val="9"/>
        <w:spacing w:after="0" w:line="249" w:lineRule="auto"/>
        <w:rPr>
          <w:rFonts w:hint="eastAsia"/>
          <w:color w:val="231F20"/>
        </w:rPr>
      </w:pPr>
      <w:r>
        <w:rPr>
          <w:rFonts w:hint="eastAsia"/>
          <w:color w:val="231F20"/>
        </w:rPr>
        <w:t>He will dwell in his Holy Mountain, upon which the New Jerusalem will rest (65:25, 66:20).</w:t>
      </w:r>
    </w:p>
    <w:p w14:paraId="2E1C3F24">
      <w:pPr>
        <w:pStyle w:val="9"/>
        <w:spacing w:after="0" w:line="249" w:lineRule="auto"/>
        <w:rPr>
          <w:rFonts w:hint="eastAsia"/>
          <w:color w:val="231F20"/>
        </w:rPr>
      </w:pPr>
      <w:r>
        <w:rPr>
          <w:rFonts w:hint="eastAsia"/>
          <w:color w:val="231F20"/>
        </w:rPr>
        <w:t>祂将住在祂的圣山上，新耶路撒冷将安息其上（65:25, 66:20）。</w:t>
      </w:r>
    </w:p>
    <w:p w14:paraId="5741B3BD">
      <w:pPr>
        <w:pStyle w:val="9"/>
        <w:spacing w:after="0" w:line="249" w:lineRule="auto"/>
        <w:rPr>
          <w:rFonts w:hint="eastAsia"/>
          <w:color w:val="231F20"/>
        </w:rPr>
      </w:pPr>
    </w:p>
    <w:p w14:paraId="388D386B">
      <w:pPr>
        <w:pStyle w:val="9"/>
        <w:spacing w:after="0" w:line="249" w:lineRule="auto"/>
        <w:rPr>
          <w:rFonts w:hint="eastAsia"/>
          <w:color w:val="231F20"/>
        </w:rPr>
      </w:pPr>
      <w:r>
        <w:rPr>
          <w:rFonts w:hint="eastAsia"/>
          <w:color w:val="231F20"/>
        </w:rPr>
        <w:t>He will dwell among a nation born in a day (66:8), and among the newborn sons of Zion, who will nurse at the comforting breasts of the Holy City (66:8-12).</w:t>
      </w:r>
    </w:p>
    <w:p w14:paraId="230E1395">
      <w:pPr>
        <w:pStyle w:val="9"/>
        <w:spacing w:after="0" w:line="249" w:lineRule="auto"/>
        <w:rPr>
          <w:rFonts w:hint="eastAsia"/>
          <w:color w:val="231F20"/>
        </w:rPr>
      </w:pPr>
      <w:r>
        <w:rPr>
          <w:rFonts w:hint="eastAsia"/>
          <w:color w:val="231F20"/>
        </w:rPr>
        <w:t>祂将住在一日而生的国中（66:8），和锡安新生的众子中间，他们将在圣城的安慰怀中吃奶（66:8-12）。</w:t>
      </w:r>
    </w:p>
    <w:p w14:paraId="1EEDE2D9">
      <w:pPr>
        <w:pStyle w:val="9"/>
        <w:spacing w:after="0" w:line="249" w:lineRule="auto"/>
        <w:rPr>
          <w:rFonts w:hint="eastAsia"/>
          <w:color w:val="231F20"/>
        </w:rPr>
      </w:pPr>
    </w:p>
    <w:p w14:paraId="3EA01C88">
      <w:pPr>
        <w:pStyle w:val="9"/>
        <w:spacing w:after="0" w:line="249" w:lineRule="auto"/>
        <w:rPr>
          <w:rFonts w:hint="eastAsia"/>
          <w:color w:val="231F20"/>
        </w:rPr>
      </w:pPr>
      <w:r>
        <w:rPr>
          <w:rFonts w:hint="eastAsia"/>
          <w:color w:val="231F20"/>
        </w:rPr>
        <w:t>But if God cannot dwell in a house made by human hands, is it likely that he will dwell in a city made by human hands?</w:t>
      </w:r>
    </w:p>
    <w:p w14:paraId="6D8C501A">
      <w:pPr>
        <w:pStyle w:val="9"/>
        <w:spacing w:after="0" w:line="249" w:lineRule="auto"/>
        <w:rPr>
          <w:rFonts w:hint="eastAsia"/>
          <w:color w:val="231F20"/>
        </w:rPr>
      </w:pPr>
      <w:r>
        <w:rPr>
          <w:rFonts w:hint="eastAsia"/>
          <w:color w:val="231F20"/>
        </w:rPr>
        <w:t>但如果上帝不住人手所造的殿，祂又怎可能住人手所造的城呢？</w:t>
      </w:r>
    </w:p>
    <w:p w14:paraId="2EBF02C0">
      <w:pPr>
        <w:pStyle w:val="9"/>
        <w:spacing w:after="0" w:line="249" w:lineRule="auto"/>
        <w:rPr>
          <w:rFonts w:hint="eastAsia"/>
          <w:color w:val="231F20"/>
        </w:rPr>
      </w:pPr>
    </w:p>
    <w:p w14:paraId="726C6522">
      <w:pPr>
        <w:pStyle w:val="9"/>
        <w:spacing w:after="0" w:line="249" w:lineRule="auto"/>
        <w:rPr>
          <w:rFonts w:hint="eastAsia"/>
          <w:color w:val="231F20"/>
        </w:rPr>
      </w:pPr>
      <w:r>
        <w:rPr>
          <w:rFonts w:hint="eastAsia"/>
          <w:color w:val="231F20"/>
        </w:rPr>
        <w:t>Who exactly are the inhabitants of this eschatological City?</w:t>
      </w:r>
    </w:p>
    <w:p w14:paraId="60E77C5B">
      <w:pPr>
        <w:pStyle w:val="9"/>
        <w:spacing w:after="0" w:line="249" w:lineRule="auto"/>
        <w:rPr>
          <w:rFonts w:hint="eastAsia"/>
          <w:color w:val="231F20"/>
        </w:rPr>
      </w:pPr>
      <w:r>
        <w:rPr>
          <w:rFonts w:hint="eastAsia"/>
          <w:color w:val="231F20"/>
        </w:rPr>
        <w:t>这个末世之城的居民究竟是谁？</w:t>
      </w:r>
    </w:p>
    <w:p w14:paraId="4BF6AB84">
      <w:pPr>
        <w:pStyle w:val="9"/>
        <w:spacing w:after="0" w:line="249" w:lineRule="auto"/>
        <w:rPr>
          <w:rFonts w:hint="eastAsia"/>
          <w:color w:val="231F20"/>
        </w:rPr>
      </w:pPr>
    </w:p>
    <w:p w14:paraId="66E1397F">
      <w:pPr>
        <w:pStyle w:val="9"/>
        <w:spacing w:after="0" w:line="249" w:lineRule="auto"/>
        <w:rPr>
          <w:rFonts w:hint="eastAsia"/>
          <w:color w:val="231F20"/>
        </w:rPr>
      </w:pPr>
      <w:r>
        <w:rPr>
          <w:rFonts w:hint="eastAsia"/>
          <w:color w:val="231F20"/>
        </w:rPr>
        <w:t>Who exactly are the citizens of the mysterious “nation” that will be born in a day?</w:t>
      </w:r>
    </w:p>
    <w:p w14:paraId="4DE8EC16">
      <w:pPr>
        <w:pStyle w:val="9"/>
        <w:spacing w:after="0" w:line="249" w:lineRule="auto"/>
        <w:rPr>
          <w:rFonts w:hint="eastAsia"/>
          <w:color w:val="231F20"/>
        </w:rPr>
      </w:pPr>
      <w:r>
        <w:rPr>
          <w:rFonts w:hint="eastAsia"/>
          <w:color w:val="231F20"/>
        </w:rPr>
        <w:t>那个一日而生的神秘“国家”的公民究竟是谁？</w:t>
      </w:r>
    </w:p>
    <w:p w14:paraId="103A6865">
      <w:pPr>
        <w:pStyle w:val="9"/>
        <w:spacing w:after="0" w:line="249" w:lineRule="auto"/>
        <w:rPr>
          <w:rFonts w:hint="eastAsia"/>
          <w:color w:val="231F20"/>
        </w:rPr>
      </w:pPr>
    </w:p>
    <w:p w14:paraId="6FC77745">
      <w:pPr>
        <w:pStyle w:val="9"/>
        <w:spacing w:after="0" w:line="249" w:lineRule="auto"/>
        <w:rPr>
          <w:rFonts w:hint="eastAsia"/>
          <w:color w:val="231F20"/>
        </w:rPr>
      </w:pPr>
      <w:r>
        <w:rPr>
          <w:rFonts w:hint="eastAsia"/>
          <w:color w:val="231F20"/>
        </w:rPr>
        <w:t>How exactly is that nation to be born, and when?</w:t>
      </w:r>
    </w:p>
    <w:p w14:paraId="45DB451B">
      <w:pPr>
        <w:pStyle w:val="9"/>
        <w:spacing w:after="0" w:line="249" w:lineRule="auto"/>
        <w:rPr>
          <w:rFonts w:hint="eastAsia"/>
          <w:color w:val="231F20"/>
        </w:rPr>
      </w:pPr>
      <w:r>
        <w:rPr>
          <w:rFonts w:hint="eastAsia"/>
          <w:color w:val="231F20"/>
        </w:rPr>
        <w:t>那个国家究竟是如何诞生的，又在何时诞生？</w:t>
      </w:r>
    </w:p>
    <w:p w14:paraId="73489204">
      <w:pPr>
        <w:pStyle w:val="9"/>
        <w:spacing w:after="0" w:line="249" w:lineRule="auto"/>
        <w:rPr>
          <w:rFonts w:hint="eastAsia"/>
          <w:color w:val="231F20"/>
        </w:rPr>
      </w:pPr>
    </w:p>
    <w:p w14:paraId="536B6A20">
      <w:pPr>
        <w:pStyle w:val="9"/>
        <w:spacing w:after="0" w:line="249" w:lineRule="auto"/>
        <w:rPr>
          <w:rFonts w:hint="eastAsia"/>
          <w:color w:val="231F20"/>
        </w:rPr>
      </w:pPr>
      <w:r>
        <w:rPr>
          <w:rFonts w:hint="eastAsia"/>
          <w:color w:val="231F20"/>
        </w:rPr>
        <w:t>How would Stephen have answered these questions?</w:t>
      </w:r>
    </w:p>
    <w:p w14:paraId="4CE8F3A6">
      <w:pPr>
        <w:pStyle w:val="9"/>
        <w:spacing w:after="0" w:line="249" w:lineRule="auto"/>
        <w:rPr>
          <w:rFonts w:hint="eastAsia"/>
          <w:color w:val="231F20"/>
        </w:rPr>
      </w:pPr>
      <w:r>
        <w:rPr>
          <w:rFonts w:hint="eastAsia"/>
          <w:color w:val="231F20"/>
        </w:rPr>
        <w:t>司提反会如何回答这些问题？</w:t>
      </w:r>
    </w:p>
    <w:p w14:paraId="7C740B19">
      <w:pPr>
        <w:pStyle w:val="9"/>
        <w:spacing w:after="0" w:line="249" w:lineRule="auto"/>
        <w:rPr>
          <w:rFonts w:hint="eastAsia"/>
          <w:color w:val="231F20"/>
        </w:rPr>
      </w:pPr>
    </w:p>
    <w:p w14:paraId="37A20315">
      <w:pPr>
        <w:pStyle w:val="9"/>
        <w:spacing w:after="0" w:line="249" w:lineRule="auto"/>
        <w:rPr>
          <w:rFonts w:hint="eastAsia"/>
          <w:color w:val="231F20"/>
        </w:rPr>
      </w:pPr>
      <w:r>
        <w:rPr>
          <w:rFonts w:hint="eastAsia"/>
          <w:color w:val="231F20"/>
        </w:rPr>
        <w:t>How would the apostles?</w:t>
      </w:r>
    </w:p>
    <w:p w14:paraId="3B57E408">
      <w:pPr>
        <w:pStyle w:val="9"/>
        <w:spacing w:after="0" w:line="249" w:lineRule="auto"/>
        <w:rPr>
          <w:rFonts w:hint="eastAsia"/>
          <w:color w:val="231F20"/>
        </w:rPr>
      </w:pPr>
      <w:r>
        <w:rPr>
          <w:rFonts w:hint="eastAsia"/>
          <w:color w:val="231F20"/>
        </w:rPr>
        <w:t>使徒们会如何回答？</w:t>
      </w:r>
    </w:p>
    <w:p w14:paraId="5CD9D143">
      <w:pPr>
        <w:pStyle w:val="9"/>
        <w:spacing w:after="0" w:line="249" w:lineRule="auto"/>
        <w:rPr>
          <w:rFonts w:hint="eastAsia"/>
          <w:color w:val="231F20"/>
        </w:rPr>
      </w:pPr>
    </w:p>
    <w:p w14:paraId="678A566B">
      <w:pPr>
        <w:pStyle w:val="9"/>
        <w:spacing w:after="0" w:line="249" w:lineRule="auto"/>
        <w:rPr>
          <w:rFonts w:hint="eastAsia"/>
          <w:color w:val="231F20"/>
        </w:rPr>
      </w:pPr>
      <w:r>
        <w:rPr>
          <w:rFonts w:hint="eastAsia"/>
          <w:color w:val="231F20"/>
        </w:rPr>
        <w:t>How would you?</w:t>
      </w:r>
    </w:p>
    <w:p w14:paraId="6A853DF9">
      <w:pPr>
        <w:pStyle w:val="9"/>
        <w:spacing w:after="0" w:line="249" w:lineRule="auto"/>
        <w:rPr>
          <w:rFonts w:hint="eastAsia"/>
          <w:color w:val="231F20"/>
        </w:rPr>
      </w:pPr>
      <w:r>
        <w:rPr>
          <w:rFonts w:hint="eastAsia"/>
          <w:color w:val="231F20"/>
        </w:rPr>
        <w:t>你会如何回答？</w:t>
      </w:r>
    </w:p>
    <w:p w14:paraId="3A3D963B">
      <w:pPr>
        <w:pStyle w:val="9"/>
        <w:spacing w:after="0" w:line="249" w:lineRule="auto"/>
        <w:rPr>
          <w:rFonts w:hint="eastAsia"/>
          <w:color w:val="231F20"/>
        </w:rPr>
      </w:pPr>
    </w:p>
    <w:p w14:paraId="09CF7624">
      <w:pPr>
        <w:pStyle w:val="9"/>
        <w:spacing w:after="0" w:line="249" w:lineRule="auto"/>
        <w:rPr>
          <w:rFonts w:hint="eastAsia"/>
          <w:color w:val="231F20"/>
        </w:rPr>
      </w:pPr>
      <w:r>
        <w:rPr>
          <w:rFonts w:hint="eastAsia"/>
          <w:color w:val="231F20"/>
        </w:rPr>
        <w:t>3.A Light to the Gentiles</w:t>
      </w:r>
    </w:p>
    <w:p w14:paraId="7E8E1AB7">
      <w:pPr>
        <w:pStyle w:val="9"/>
        <w:spacing w:after="0" w:line="249" w:lineRule="auto"/>
        <w:rPr>
          <w:rFonts w:hint="eastAsia"/>
          <w:color w:val="231F20"/>
        </w:rPr>
      </w:pPr>
      <w:r>
        <w:rPr>
          <w:rFonts w:hint="eastAsia"/>
          <w:color w:val="231F20"/>
        </w:rPr>
        <w:t>3.外邦人的光</w:t>
      </w:r>
    </w:p>
    <w:p w14:paraId="5C5CFC03">
      <w:pPr>
        <w:pStyle w:val="9"/>
        <w:spacing w:after="0" w:line="249" w:lineRule="auto"/>
        <w:rPr>
          <w:rFonts w:hint="eastAsia"/>
          <w:color w:val="231F20"/>
        </w:rPr>
      </w:pPr>
    </w:p>
    <w:p w14:paraId="73E8931A">
      <w:pPr>
        <w:pStyle w:val="9"/>
        <w:spacing w:after="0" w:line="249" w:lineRule="auto"/>
        <w:rPr>
          <w:rFonts w:hint="eastAsia"/>
          <w:color w:val="231F20"/>
        </w:rPr>
      </w:pPr>
      <w:r>
        <w:rPr>
          <w:rFonts w:hint="eastAsia"/>
          <w:color w:val="231F20"/>
        </w:rPr>
        <w:t>(Acts 13:46-47, Isaiah 49:1-12)</w:t>
      </w:r>
    </w:p>
    <w:p w14:paraId="75C16B77">
      <w:pPr>
        <w:pStyle w:val="9"/>
        <w:spacing w:after="0" w:line="249" w:lineRule="auto"/>
        <w:rPr>
          <w:rFonts w:hint="eastAsia"/>
          <w:color w:val="231F20"/>
        </w:rPr>
      </w:pPr>
      <w:r>
        <w:rPr>
          <w:rFonts w:hint="eastAsia"/>
          <w:color w:val="231F20"/>
        </w:rPr>
        <w:t>（使徒行传 13:46-47, 以赛亚书 49:1-12）</w:t>
      </w:r>
    </w:p>
    <w:p w14:paraId="39E67ADD">
      <w:pPr>
        <w:pStyle w:val="9"/>
        <w:spacing w:after="0" w:line="249" w:lineRule="auto"/>
        <w:rPr>
          <w:rFonts w:hint="eastAsia"/>
          <w:color w:val="231F20"/>
        </w:rPr>
      </w:pPr>
    </w:p>
    <w:p w14:paraId="4F3FF665">
      <w:pPr>
        <w:pStyle w:val="9"/>
        <w:spacing w:after="0" w:line="249" w:lineRule="auto"/>
        <w:rPr>
          <w:rFonts w:hint="eastAsia"/>
          <w:color w:val="231F20"/>
        </w:rPr>
      </w:pPr>
      <w:r>
        <w:rPr>
          <w:rFonts w:hint="eastAsia"/>
          <w:color w:val="231F20"/>
        </w:rPr>
        <w:t>In Acts 13:13-52, Luke gives an account of the mission of Paul and his companions to the Jews and God-fearing Gentiles of Pisidian Antioch.</w:t>
      </w:r>
    </w:p>
    <w:p w14:paraId="17BC4311">
      <w:pPr>
        <w:pStyle w:val="9"/>
        <w:spacing w:after="0" w:line="249" w:lineRule="auto"/>
        <w:rPr>
          <w:rFonts w:hint="eastAsia"/>
          <w:color w:val="231F20"/>
        </w:rPr>
      </w:pPr>
      <w:r>
        <w:rPr>
          <w:rFonts w:hint="eastAsia"/>
          <w:color w:val="231F20"/>
        </w:rPr>
        <w:t>在使徒行传 13:13-52，路加记载了保罗和他的同伴向彼西底的安提阿的犹太人和敬畏上帝的外邦人传道的使命。</w:t>
      </w:r>
    </w:p>
    <w:p w14:paraId="5F685F7F">
      <w:pPr>
        <w:pStyle w:val="9"/>
        <w:spacing w:after="0" w:line="249" w:lineRule="auto"/>
        <w:rPr>
          <w:rFonts w:hint="eastAsia"/>
          <w:color w:val="231F20"/>
        </w:rPr>
      </w:pPr>
    </w:p>
    <w:p w14:paraId="3DC6A823">
      <w:pPr>
        <w:pStyle w:val="9"/>
        <w:spacing w:after="0" w:line="249" w:lineRule="auto"/>
        <w:rPr>
          <w:rFonts w:hint="eastAsia"/>
          <w:color w:val="231F20"/>
        </w:rPr>
      </w:pPr>
      <w:r>
        <w:rPr>
          <w:rFonts w:hint="eastAsia"/>
          <w:color w:val="231F20"/>
        </w:rPr>
        <w:t>Like Peter on the Day of Pentecost, so here: Paul offers his Jewish brethren a sterling exposition and defense of the Gospel, buttressed by many OT Messianic prophecies.</w:t>
      </w:r>
    </w:p>
    <w:p w14:paraId="4F011413">
      <w:pPr>
        <w:pStyle w:val="9"/>
        <w:spacing w:after="0" w:line="249" w:lineRule="auto"/>
        <w:rPr>
          <w:rFonts w:hint="eastAsia"/>
          <w:color w:val="231F20"/>
        </w:rPr>
      </w:pPr>
      <w:r>
        <w:rPr>
          <w:rFonts w:hint="eastAsia"/>
          <w:color w:val="231F20"/>
        </w:rPr>
        <w:t>像彼得在五旬节一样，保罗在这里也向他的犹太弟兄们提供了一个卓越的福音阐述和辩护，并以许多旧约弥赛亚预言为支撑。</w:t>
      </w:r>
    </w:p>
    <w:p w14:paraId="14D2CB8D">
      <w:pPr>
        <w:pStyle w:val="9"/>
        <w:spacing w:after="0" w:line="249" w:lineRule="auto"/>
        <w:rPr>
          <w:rFonts w:hint="eastAsia"/>
          <w:color w:val="231F20"/>
        </w:rPr>
      </w:pPr>
    </w:p>
    <w:p w14:paraId="7965AE99">
      <w:pPr>
        <w:pStyle w:val="9"/>
        <w:spacing w:after="0" w:line="249" w:lineRule="auto"/>
        <w:rPr>
          <w:rFonts w:hint="eastAsia"/>
          <w:color w:val="231F20"/>
        </w:rPr>
      </w:pPr>
      <w:r>
        <w:rPr>
          <w:rFonts w:hint="eastAsia"/>
          <w:color w:val="231F20"/>
        </w:rPr>
        <w:t>When, however, most of the Jews resisted his message, Paul and Barnabas spoke out boldly and said:</w:t>
      </w:r>
    </w:p>
    <w:p w14:paraId="58704C83">
      <w:pPr>
        <w:pStyle w:val="9"/>
        <w:spacing w:after="0" w:line="249" w:lineRule="auto"/>
        <w:rPr>
          <w:rFonts w:hint="eastAsia"/>
          <w:color w:val="231F20"/>
        </w:rPr>
      </w:pPr>
      <w:r>
        <w:rPr>
          <w:rFonts w:hint="eastAsia"/>
          <w:color w:val="231F20"/>
        </w:rPr>
        <w:t>然而，当大多数犹太人抗拒他的信息时，保罗和巴拿巴就放胆说：</w:t>
      </w:r>
    </w:p>
    <w:p w14:paraId="4114AD40">
      <w:pPr>
        <w:pStyle w:val="9"/>
        <w:spacing w:after="0" w:line="249" w:lineRule="auto"/>
        <w:rPr>
          <w:rFonts w:hint="eastAsia"/>
          <w:color w:val="231F20"/>
        </w:rPr>
      </w:pPr>
    </w:p>
    <w:p w14:paraId="678AB533">
      <w:pPr>
        <w:pStyle w:val="9"/>
        <w:spacing w:after="0" w:line="249" w:lineRule="auto"/>
        <w:rPr>
          <w:rFonts w:hint="eastAsia"/>
          <w:color w:val="231F20"/>
        </w:rPr>
      </w:pPr>
      <w:r>
        <w:rPr>
          <w:rFonts w:hint="eastAsia"/>
          <w:color w:val="231F20"/>
        </w:rPr>
        <w:t>It was necessary that the word of God should be spoken to you first.</w:t>
      </w:r>
    </w:p>
    <w:p w14:paraId="709A9BF8">
      <w:pPr>
        <w:pStyle w:val="9"/>
        <w:spacing w:after="0" w:line="249" w:lineRule="auto"/>
        <w:rPr>
          <w:rFonts w:hint="eastAsia"/>
          <w:color w:val="231F20"/>
        </w:rPr>
      </w:pPr>
      <w:r>
        <w:rPr>
          <w:rFonts w:hint="eastAsia"/>
          <w:color w:val="231F20"/>
        </w:rPr>
        <w:t>上帝的道先讲给你们听，是应当的。</w:t>
      </w:r>
    </w:p>
    <w:p w14:paraId="67A2F3C8">
      <w:pPr>
        <w:pStyle w:val="9"/>
        <w:spacing w:after="0" w:line="249" w:lineRule="auto"/>
        <w:rPr>
          <w:rFonts w:hint="eastAsia"/>
          <w:color w:val="231F20"/>
        </w:rPr>
      </w:pPr>
    </w:p>
    <w:p w14:paraId="560A73C0">
      <w:pPr>
        <w:pStyle w:val="9"/>
        <w:spacing w:after="0" w:line="249" w:lineRule="auto"/>
        <w:rPr>
          <w:rFonts w:hint="eastAsia"/>
          <w:color w:val="231F20"/>
        </w:rPr>
      </w:pPr>
      <w:r>
        <w:rPr>
          <w:rFonts w:hint="eastAsia"/>
          <w:color w:val="231F20"/>
        </w:rPr>
        <w:t>Since you reject it and judge yourselves unworthy of eternal life, behold, we are turning to the Gentiles.</w:t>
      </w:r>
    </w:p>
    <w:p w14:paraId="20E7E1AC">
      <w:pPr>
        <w:pStyle w:val="9"/>
        <w:spacing w:after="0" w:line="249" w:lineRule="auto"/>
        <w:rPr>
          <w:rFonts w:hint="eastAsia"/>
          <w:color w:val="231F20"/>
        </w:rPr>
      </w:pPr>
      <w:r>
        <w:rPr>
          <w:rFonts w:hint="eastAsia"/>
          <w:color w:val="231F20"/>
        </w:rPr>
        <w:t>因你们弃绝这道，断定自己不配得永生，看哪，我们就转向外邦人去。</w:t>
      </w:r>
    </w:p>
    <w:p w14:paraId="6594BD82">
      <w:pPr>
        <w:pStyle w:val="9"/>
        <w:spacing w:after="0" w:line="249" w:lineRule="auto"/>
        <w:rPr>
          <w:rFonts w:hint="eastAsia"/>
          <w:color w:val="231F20"/>
        </w:rPr>
      </w:pPr>
    </w:p>
    <w:p w14:paraId="5DAC8DFE">
      <w:pPr>
        <w:pStyle w:val="9"/>
        <w:spacing w:after="0" w:line="249" w:lineRule="auto"/>
        <w:rPr>
          <w:rFonts w:hint="eastAsia"/>
          <w:color w:val="231F20"/>
        </w:rPr>
      </w:pPr>
      <w:r>
        <w:rPr>
          <w:rFonts w:hint="eastAsia"/>
          <w:color w:val="231F20"/>
        </w:rPr>
        <w:t>For thus the Lord has commanded us, saying, ‘I have placed you as a light for the Gentiles, that you should bring salvation to the end of the earth.’</w:t>
      </w:r>
    </w:p>
    <w:p w14:paraId="5846CAAF">
      <w:pPr>
        <w:pStyle w:val="9"/>
        <w:spacing w:after="0" w:line="249" w:lineRule="auto"/>
        <w:rPr>
          <w:rFonts w:hint="eastAsia"/>
          <w:color w:val="231F20"/>
        </w:rPr>
      </w:pPr>
      <w:r>
        <w:rPr>
          <w:rFonts w:hint="eastAsia"/>
          <w:color w:val="231F20"/>
        </w:rPr>
        <w:t>因为主曾这样吩咐我们说：‘我已经立你作外邦人的光，叫你施行救恩，直到地极。’</w:t>
      </w:r>
    </w:p>
    <w:p w14:paraId="5A37841F">
      <w:pPr>
        <w:pStyle w:val="9"/>
        <w:spacing w:after="0" w:line="249" w:lineRule="auto"/>
        <w:rPr>
          <w:rFonts w:hint="eastAsia"/>
          <w:color w:val="231F20"/>
        </w:rPr>
      </w:pPr>
    </w:p>
    <w:p w14:paraId="507ADE3C">
      <w:pPr>
        <w:pStyle w:val="9"/>
        <w:spacing w:after="0" w:line="249" w:lineRule="auto"/>
        <w:rPr>
          <w:rFonts w:hint="eastAsia"/>
          <w:color w:val="231F20"/>
        </w:rPr>
      </w:pPr>
      <w:r>
        <w:rPr>
          <w:rFonts w:hint="eastAsia"/>
          <w:color w:val="231F20"/>
        </w:rPr>
        <w:t>—Acts 13:46-47</w:t>
      </w:r>
    </w:p>
    <w:p w14:paraId="681BE4E5">
      <w:pPr>
        <w:pStyle w:val="9"/>
        <w:spacing w:after="0" w:line="249" w:lineRule="auto"/>
        <w:rPr>
          <w:rFonts w:hint="eastAsia"/>
          <w:color w:val="231F20"/>
        </w:rPr>
      </w:pPr>
      <w:r>
        <w:rPr>
          <w:rFonts w:hint="eastAsia"/>
          <w:color w:val="231F20"/>
        </w:rPr>
        <w:t>——使徒行传 13:46-47</w:t>
      </w:r>
    </w:p>
    <w:p w14:paraId="3AC63880">
      <w:pPr>
        <w:pStyle w:val="9"/>
        <w:spacing w:after="0" w:line="249" w:lineRule="auto"/>
        <w:rPr>
          <w:rFonts w:hint="eastAsia"/>
          <w:color w:val="231F20"/>
        </w:rPr>
      </w:pPr>
    </w:p>
    <w:p w14:paraId="6AE30883">
      <w:pPr>
        <w:pStyle w:val="9"/>
        <w:spacing w:after="0" w:line="249" w:lineRule="auto"/>
        <w:rPr>
          <w:rFonts w:hint="eastAsia"/>
          <w:color w:val="231F20"/>
        </w:rPr>
      </w:pPr>
      <w:r>
        <w:rPr>
          <w:rFonts w:hint="eastAsia"/>
          <w:color w:val="231F20"/>
        </w:rPr>
        <w:t>Here, Paul (the likely speaker) is quoting from an OTKP, Isaiah 49:1-</w:t>
      </w:r>
    </w:p>
    <w:p w14:paraId="1EBB43BC">
      <w:pPr>
        <w:pStyle w:val="9"/>
        <w:spacing w:after="0" w:line="249" w:lineRule="auto"/>
        <w:rPr>
          <w:rFonts w:hint="eastAsia"/>
          <w:color w:val="231F20"/>
        </w:rPr>
      </w:pPr>
      <w:r>
        <w:rPr>
          <w:rFonts w:hint="eastAsia"/>
          <w:color w:val="231F20"/>
        </w:rPr>
        <w:t>这里，保罗（很可能是说话者）正在引用一段旧约国度预言（OTKP），即以赛亚书 49:1-12。</w:t>
      </w:r>
    </w:p>
    <w:p w14:paraId="4BC62A25">
      <w:pPr>
        <w:pStyle w:val="9"/>
        <w:spacing w:after="0" w:line="249" w:lineRule="auto"/>
        <w:rPr>
          <w:rFonts w:hint="eastAsia"/>
          <w:color w:val="231F20"/>
        </w:rPr>
      </w:pPr>
    </w:p>
    <w:p w14:paraId="385B9483">
      <w:pPr>
        <w:pStyle w:val="9"/>
        <w:spacing w:after="0" w:line="249" w:lineRule="auto"/>
        <w:rPr>
          <w:rFonts w:hint="eastAsia"/>
          <w:color w:val="231F20"/>
        </w:rPr>
      </w:pPr>
      <w:r>
        <w:rPr>
          <w:rFonts w:hint="eastAsia"/>
          <w:color w:val="231F20"/>
        </w:rPr>
        <w:t>12. Both the prophecy and his handling of it are fascinating.</w:t>
      </w:r>
    </w:p>
    <w:p w14:paraId="13E018C3">
      <w:pPr>
        <w:pStyle w:val="9"/>
        <w:spacing w:after="0" w:line="249" w:lineRule="auto"/>
        <w:rPr>
          <w:rFonts w:hint="eastAsia"/>
          <w:color w:val="231F20"/>
        </w:rPr>
      </w:pPr>
      <w:r>
        <w:rPr>
          <w:rFonts w:hint="eastAsia"/>
          <w:color w:val="231F20"/>
        </w:rPr>
        <w:t>12. 这段预言和他对其的处理都引人入胜。</w:t>
      </w:r>
    </w:p>
    <w:p w14:paraId="25347084">
      <w:pPr>
        <w:pStyle w:val="9"/>
        <w:spacing w:after="0" w:line="249" w:lineRule="auto"/>
        <w:rPr>
          <w:rFonts w:hint="eastAsia"/>
          <w:color w:val="231F20"/>
        </w:rPr>
      </w:pPr>
    </w:p>
    <w:p w14:paraId="7CBA4C01">
      <w:pPr>
        <w:pStyle w:val="9"/>
        <w:spacing w:after="0" w:line="249" w:lineRule="auto"/>
        <w:rPr>
          <w:rFonts w:hint="eastAsia"/>
          <w:color w:val="231F20"/>
        </w:rPr>
      </w:pPr>
      <w:r>
        <w:rPr>
          <w:rFonts w:hint="eastAsia"/>
          <w:color w:val="231F20"/>
        </w:rPr>
        <w:t>In 49:1-6, it is Christ himself who is speaking.</w:t>
      </w:r>
    </w:p>
    <w:p w14:paraId="09750890">
      <w:pPr>
        <w:pStyle w:val="9"/>
        <w:spacing w:after="0" w:line="249" w:lineRule="auto"/>
        <w:rPr>
          <w:rFonts w:hint="eastAsia"/>
          <w:color w:val="231F20"/>
        </w:rPr>
      </w:pPr>
      <w:r>
        <w:rPr>
          <w:rFonts w:hint="eastAsia"/>
          <w:color w:val="231F20"/>
        </w:rPr>
        <w:t>在 49:1-6，是基督自己在说话。</w:t>
      </w:r>
    </w:p>
    <w:p w14:paraId="69700390">
      <w:pPr>
        <w:pStyle w:val="9"/>
        <w:spacing w:after="0" w:line="249" w:lineRule="auto"/>
        <w:rPr>
          <w:rFonts w:hint="eastAsia"/>
          <w:color w:val="231F20"/>
        </w:rPr>
      </w:pPr>
    </w:p>
    <w:p w14:paraId="4DD2F0FB">
      <w:pPr>
        <w:pStyle w:val="9"/>
        <w:spacing w:after="0" w:line="249" w:lineRule="auto"/>
        <w:rPr>
          <w:rFonts w:hint="eastAsia"/>
          <w:color w:val="231F20"/>
        </w:rPr>
      </w:pPr>
      <w:r>
        <w:rPr>
          <w:rFonts w:hint="eastAsia"/>
          <w:color w:val="231F20"/>
        </w:rPr>
        <w:t>He identifies himself as God’s Servant, and also as God’s “Israel”—the Redeemer appointed to restore the preserved ones of (ethnic) Israel, and to be a light to the Gentiles, so that God’s salvation may reach the ends of the earth.</w:t>
      </w:r>
    </w:p>
    <w:p w14:paraId="180A9531">
      <w:pPr>
        <w:pStyle w:val="9"/>
        <w:spacing w:after="0" w:line="249" w:lineRule="auto"/>
        <w:rPr>
          <w:rFonts w:hint="eastAsia"/>
          <w:color w:val="231F20"/>
        </w:rPr>
      </w:pPr>
      <w:r>
        <w:rPr>
          <w:rFonts w:hint="eastAsia"/>
          <w:color w:val="231F20"/>
        </w:rPr>
        <w:t>祂表明自己是上帝的仆人，也是上帝的“以色列”——被指派来复兴（民族的）以色列中被保守的人，并作外邦人的光，使上帝的救恩达到地极的救赎主。</w:t>
      </w:r>
    </w:p>
    <w:p w14:paraId="71CE8742">
      <w:pPr>
        <w:pStyle w:val="9"/>
        <w:spacing w:after="0" w:line="249" w:lineRule="auto"/>
        <w:rPr>
          <w:rFonts w:hint="eastAsia"/>
          <w:color w:val="231F20"/>
        </w:rPr>
      </w:pPr>
    </w:p>
    <w:p w14:paraId="634C7108">
      <w:pPr>
        <w:pStyle w:val="9"/>
        <w:spacing w:after="0" w:line="249" w:lineRule="auto"/>
        <w:rPr>
          <w:rFonts w:hint="eastAsia"/>
          <w:color w:val="231F20"/>
        </w:rPr>
      </w:pPr>
      <w:r>
        <w:rPr>
          <w:rFonts w:hint="eastAsia"/>
          <w:color w:val="231F20"/>
        </w:rPr>
        <w:t>Then, in 49:7-13 we hear the voice of the LORD responding to the Servant’s discouragement, promising that his labors are not in vain; indeed, that they will enable his people (both Jew and Gentile) to inherit the Promised Land, and to experience the everlasting comforts of the Kingdom.</w:t>
      </w:r>
    </w:p>
    <w:p w14:paraId="7C8FB729">
      <w:pPr>
        <w:pStyle w:val="9"/>
        <w:spacing w:after="0" w:line="249" w:lineRule="auto"/>
        <w:rPr>
          <w:rFonts w:hint="eastAsia"/>
          <w:color w:val="231F20"/>
        </w:rPr>
      </w:pPr>
      <w:r>
        <w:rPr>
          <w:rFonts w:hint="eastAsia"/>
          <w:color w:val="231F20"/>
        </w:rPr>
        <w:t>然后，在 49:7-13，我们听到耶和华的声音回应仆人的灰心，应许说祂的劳苦不是徒然的；实际上，它们将使祂的子民（无论是犹太人还是外邦人）得以承受应许之地，并经历国度永恒的安慰。</w:t>
      </w:r>
    </w:p>
    <w:p w14:paraId="20CD200F">
      <w:pPr>
        <w:pStyle w:val="9"/>
        <w:spacing w:after="0" w:line="249" w:lineRule="auto"/>
        <w:rPr>
          <w:rFonts w:hint="eastAsia"/>
          <w:color w:val="231F20"/>
        </w:rPr>
      </w:pPr>
    </w:p>
    <w:p w14:paraId="385017E9">
      <w:pPr>
        <w:pStyle w:val="9"/>
        <w:spacing w:after="0" w:line="249" w:lineRule="auto"/>
        <w:rPr>
          <w:rFonts w:hint="eastAsia"/>
          <w:color w:val="231F20"/>
        </w:rPr>
      </w:pPr>
      <w:r>
        <w:rPr>
          <w:rFonts w:hint="eastAsia"/>
          <w:color w:val="231F20"/>
        </w:rPr>
        <w:t>Paul’s take on all this is clear.</w:t>
      </w:r>
    </w:p>
    <w:p w14:paraId="6B996531">
      <w:pPr>
        <w:pStyle w:val="9"/>
        <w:spacing w:after="0" w:line="249" w:lineRule="auto"/>
        <w:rPr>
          <w:rFonts w:hint="eastAsia"/>
          <w:color w:val="231F20"/>
        </w:rPr>
      </w:pPr>
      <w:r>
        <w:rPr>
          <w:rFonts w:hint="eastAsia"/>
          <w:color w:val="231F20"/>
        </w:rPr>
        <w:t>保罗对这一切的看法很清楚。</w:t>
      </w:r>
    </w:p>
    <w:p w14:paraId="12138989">
      <w:pPr>
        <w:pStyle w:val="9"/>
        <w:spacing w:after="0" w:line="249" w:lineRule="auto"/>
        <w:rPr>
          <w:rFonts w:hint="eastAsia"/>
          <w:color w:val="231F20"/>
        </w:rPr>
      </w:pPr>
    </w:p>
    <w:p w14:paraId="0D1796A5">
      <w:pPr>
        <w:pStyle w:val="9"/>
        <w:spacing w:after="0" w:line="249" w:lineRule="auto"/>
        <w:rPr>
          <w:rFonts w:hint="eastAsia"/>
          <w:color w:val="231F20"/>
        </w:rPr>
      </w:pPr>
      <w:r>
        <w:rPr>
          <w:rFonts w:hint="eastAsia"/>
          <w:color w:val="231F20"/>
        </w:rPr>
        <w:t>Yes, the One who opens the door of the Kingdom—both to (elect) Jews and Gentiles—is the Lord Jesus Christ, the suffering and triumphant Servant of the LORD.</w:t>
      </w:r>
    </w:p>
    <w:p w14:paraId="43CC0F13">
      <w:pPr>
        <w:pStyle w:val="9"/>
        <w:spacing w:after="0" w:line="249" w:lineRule="auto"/>
        <w:rPr>
          <w:rFonts w:hint="eastAsia"/>
          <w:color w:val="231F20"/>
        </w:rPr>
      </w:pPr>
      <w:r>
        <w:rPr>
          <w:rFonts w:hint="eastAsia"/>
          <w:color w:val="231F20"/>
        </w:rPr>
        <w:t>是的，那一位为（蒙拣选的）犹太人和外邦人开启国度之门的，是主耶稣基督，是耶和华受苦和得胜的仆人。</w:t>
      </w:r>
    </w:p>
    <w:p w14:paraId="3AF90535">
      <w:pPr>
        <w:pStyle w:val="9"/>
        <w:spacing w:after="0" w:line="249" w:lineRule="auto"/>
        <w:rPr>
          <w:rFonts w:hint="eastAsia"/>
          <w:color w:val="231F20"/>
        </w:rPr>
      </w:pPr>
    </w:p>
    <w:p w14:paraId="1E11852A">
      <w:pPr>
        <w:pStyle w:val="9"/>
        <w:spacing w:after="0" w:line="249" w:lineRule="auto"/>
        <w:rPr>
          <w:rFonts w:hint="eastAsia"/>
          <w:color w:val="231F20"/>
        </w:rPr>
      </w:pPr>
      <w:r>
        <w:rPr>
          <w:rFonts w:hint="eastAsia"/>
          <w:color w:val="231F20"/>
        </w:rPr>
        <w:t>But it is also the Church, the suffering and triumphant Body of Christ.</w:t>
      </w:r>
    </w:p>
    <w:p w14:paraId="6A79072D">
      <w:pPr>
        <w:pStyle w:val="9"/>
        <w:spacing w:after="0" w:line="249" w:lineRule="auto"/>
        <w:rPr>
          <w:rFonts w:hint="eastAsia"/>
          <w:color w:val="231F20"/>
        </w:rPr>
      </w:pPr>
      <w:r>
        <w:rPr>
          <w:rFonts w:hint="eastAsia"/>
          <w:color w:val="231F20"/>
        </w:rPr>
        <w:t>但它也是教会，是基督受苦和得胜的身体。</w:t>
      </w:r>
    </w:p>
    <w:p w14:paraId="7B9F3024">
      <w:pPr>
        <w:pStyle w:val="9"/>
        <w:spacing w:after="0" w:line="249" w:lineRule="auto"/>
        <w:rPr>
          <w:rFonts w:hint="eastAsia"/>
          <w:color w:val="231F20"/>
        </w:rPr>
      </w:pPr>
    </w:p>
    <w:p w14:paraId="1DDC41A9">
      <w:pPr>
        <w:pStyle w:val="9"/>
        <w:spacing w:after="0" w:line="249" w:lineRule="auto"/>
        <w:rPr>
          <w:rFonts w:hint="eastAsia"/>
          <w:color w:val="231F20"/>
        </w:rPr>
      </w:pPr>
      <w:r>
        <w:rPr>
          <w:rFonts w:hint="eastAsia"/>
          <w:color w:val="231F20"/>
        </w:rPr>
        <w:t>For not only has God placed Christ in the world as a light for the nations, he has also so placed Paul, Barnabas, and every other member of the Body of his Son who brings the truth of the Gospel to those bound in the darkness (Isaiah 49:9, Mt. 514, John 1:5).</w:t>
      </w:r>
    </w:p>
    <w:p w14:paraId="76266CA5">
      <w:pPr>
        <w:pStyle w:val="9"/>
        <w:spacing w:after="0" w:line="249" w:lineRule="auto"/>
        <w:rPr>
          <w:rFonts w:hint="eastAsia"/>
          <w:color w:val="231F20"/>
        </w:rPr>
      </w:pPr>
      <w:r>
        <w:rPr>
          <w:rFonts w:hint="eastAsia"/>
          <w:color w:val="231F20"/>
        </w:rPr>
        <w:t>因为上帝不仅将基督置于世上作列国的光，祂也将保罗、巴拿巴以及祂儿子身体的每一位成员如此安置，他们将福音的真理带给那些被捆绑在黑暗中的人（以赛亚书 49:9, 马太福音 5:14, 约翰福音 1:5）。</w:t>
      </w:r>
    </w:p>
    <w:p w14:paraId="7EB6E49B">
      <w:pPr>
        <w:pStyle w:val="9"/>
        <w:spacing w:after="0" w:line="249" w:lineRule="auto"/>
        <w:rPr>
          <w:rFonts w:hint="eastAsia"/>
          <w:color w:val="231F20"/>
        </w:rPr>
      </w:pPr>
    </w:p>
    <w:p w14:paraId="25D5D4F4">
      <w:pPr>
        <w:pStyle w:val="9"/>
        <w:spacing w:after="0" w:line="249" w:lineRule="auto"/>
        <w:rPr>
          <w:rFonts w:hint="eastAsia"/>
          <w:color w:val="231F20"/>
        </w:rPr>
      </w:pPr>
      <w:r>
        <w:rPr>
          <w:rFonts w:hint="eastAsia"/>
          <w:color w:val="231F20"/>
        </w:rPr>
        <w:t>In other words, Paul uses the NCH to interpret Isaiah 49:1-12 eschatologically, christologically, and ecclesiologically.</w:t>
      </w:r>
    </w:p>
    <w:p w14:paraId="11E22FAF">
      <w:pPr>
        <w:pStyle w:val="9"/>
        <w:spacing w:after="0" w:line="249" w:lineRule="auto"/>
        <w:rPr>
          <w:rFonts w:hint="eastAsia"/>
          <w:color w:val="231F20"/>
        </w:rPr>
      </w:pPr>
      <w:r>
        <w:rPr>
          <w:rFonts w:hint="eastAsia"/>
          <w:color w:val="231F20"/>
        </w:rPr>
        <w:t>换句话说，保罗使用新约解释学（NCH）来从末世论、基督论和教会论的角度解释以赛亚书 49:1-12。</w:t>
      </w:r>
    </w:p>
    <w:p w14:paraId="17E5DCDB">
      <w:pPr>
        <w:pStyle w:val="9"/>
        <w:spacing w:after="0" w:line="249" w:lineRule="auto"/>
        <w:rPr>
          <w:rFonts w:hint="eastAsia"/>
          <w:color w:val="231F20"/>
        </w:rPr>
      </w:pPr>
    </w:p>
    <w:p w14:paraId="1CCCE350">
      <w:pPr>
        <w:pStyle w:val="9"/>
        <w:spacing w:after="0" w:line="249" w:lineRule="auto"/>
        <w:rPr>
          <w:rFonts w:hint="eastAsia"/>
          <w:color w:val="231F20"/>
        </w:rPr>
      </w:pPr>
      <w:r>
        <w:rPr>
          <w:rFonts w:hint="eastAsia"/>
          <w:color w:val="231F20"/>
        </w:rPr>
        <w:t>It is not fulfilled in a future Mosaic theocracy, but in Christ, the Church, and the twofold spiritual Kingdom that Christ introduced and the Church proclaims.</w:t>
      </w:r>
    </w:p>
    <w:p w14:paraId="19AE8C73">
      <w:pPr>
        <w:pStyle w:val="9"/>
        <w:spacing w:after="0" w:line="249" w:lineRule="auto"/>
        <w:rPr>
          <w:rFonts w:hint="eastAsia"/>
          <w:color w:val="231F20"/>
        </w:rPr>
      </w:pPr>
      <w:r>
        <w:rPr>
          <w:rFonts w:hint="eastAsia"/>
          <w:color w:val="231F20"/>
        </w:rPr>
        <w:t>它不是在一个未来的摩西式神权政体中应验，而是在基督、教会以及基督所引入并由教会所宣扬的双重属灵国度中应验。</w:t>
      </w:r>
    </w:p>
    <w:p w14:paraId="5FF0E83A">
      <w:pPr>
        <w:pStyle w:val="9"/>
        <w:spacing w:after="0" w:line="249" w:lineRule="auto"/>
        <w:rPr>
          <w:rFonts w:hint="eastAsia"/>
          <w:color w:val="231F20"/>
        </w:rPr>
      </w:pPr>
    </w:p>
    <w:p w14:paraId="6B8FB0E1">
      <w:pPr>
        <w:pStyle w:val="9"/>
        <w:spacing w:after="0" w:line="249" w:lineRule="auto"/>
        <w:rPr>
          <w:rFonts w:hint="eastAsia"/>
          <w:color w:val="231F20"/>
        </w:rPr>
      </w:pPr>
      <w:r>
        <w:rPr>
          <w:rFonts w:hint="eastAsia"/>
          <w:color w:val="231F20"/>
        </w:rPr>
        <w:t>4.The Rebuilt Tabernacle of David</w:t>
      </w:r>
    </w:p>
    <w:p w14:paraId="7EF7368F">
      <w:pPr>
        <w:pStyle w:val="9"/>
        <w:spacing w:after="0" w:line="249" w:lineRule="auto"/>
        <w:rPr>
          <w:rFonts w:hint="eastAsia"/>
          <w:color w:val="231F20"/>
        </w:rPr>
      </w:pPr>
      <w:r>
        <w:rPr>
          <w:rFonts w:hint="eastAsia"/>
          <w:color w:val="231F20"/>
        </w:rPr>
        <w:t>4.大卫重建的帐幕</w:t>
      </w:r>
    </w:p>
    <w:p w14:paraId="6EFCF54E">
      <w:pPr>
        <w:pStyle w:val="9"/>
        <w:spacing w:after="0" w:line="249" w:lineRule="auto"/>
        <w:rPr>
          <w:rFonts w:hint="eastAsia"/>
          <w:color w:val="231F20"/>
        </w:rPr>
      </w:pPr>
    </w:p>
    <w:p w14:paraId="5188EAEA">
      <w:pPr>
        <w:pStyle w:val="9"/>
        <w:spacing w:after="0" w:line="249" w:lineRule="auto"/>
        <w:rPr>
          <w:rFonts w:hint="eastAsia"/>
          <w:color w:val="231F20"/>
        </w:rPr>
      </w:pPr>
      <w:r>
        <w:rPr>
          <w:rFonts w:hint="eastAsia"/>
          <w:color w:val="231F20"/>
        </w:rPr>
        <w:t>(Acts 15:12-21, Amos 9:11-12)</w:t>
      </w:r>
    </w:p>
    <w:p w14:paraId="03111CE0">
      <w:pPr>
        <w:pStyle w:val="9"/>
        <w:spacing w:after="0" w:line="249" w:lineRule="auto"/>
        <w:rPr>
          <w:rFonts w:hint="eastAsia"/>
          <w:color w:val="231F20"/>
        </w:rPr>
      </w:pPr>
      <w:r>
        <w:rPr>
          <w:rFonts w:hint="eastAsia"/>
          <w:color w:val="231F20"/>
        </w:rPr>
        <w:t>（使徒行传 15:12-21, 阿摩司书 9:11-12）</w:t>
      </w:r>
    </w:p>
    <w:p w14:paraId="33EC0728">
      <w:pPr>
        <w:pStyle w:val="9"/>
        <w:spacing w:after="0" w:line="249" w:lineRule="auto"/>
        <w:rPr>
          <w:rFonts w:hint="eastAsia"/>
          <w:color w:val="231F20"/>
        </w:rPr>
      </w:pPr>
    </w:p>
    <w:p w14:paraId="382E665B">
      <w:pPr>
        <w:pStyle w:val="9"/>
        <w:spacing w:after="0" w:line="249" w:lineRule="auto"/>
        <w:rPr>
          <w:rFonts w:hint="eastAsia"/>
          <w:color w:val="231F20"/>
        </w:rPr>
      </w:pPr>
      <w:r>
        <w:rPr>
          <w:rFonts w:hint="eastAsia"/>
          <w:color w:val="231F20"/>
        </w:rPr>
        <w:t>The scene is a Council of the Church in Jerusalem.</w:t>
      </w:r>
    </w:p>
    <w:p w14:paraId="208247F6">
      <w:pPr>
        <w:pStyle w:val="9"/>
        <w:spacing w:after="0" w:line="249" w:lineRule="auto"/>
        <w:rPr>
          <w:rFonts w:hint="eastAsia"/>
          <w:color w:val="231F20"/>
        </w:rPr>
      </w:pPr>
      <w:r>
        <w:rPr>
          <w:rFonts w:hint="eastAsia"/>
          <w:color w:val="231F20"/>
        </w:rPr>
        <w:t>场景是耶路撒冷的一次教会会议。</w:t>
      </w:r>
    </w:p>
    <w:p w14:paraId="40E1A80C">
      <w:pPr>
        <w:pStyle w:val="9"/>
        <w:spacing w:after="0" w:line="249" w:lineRule="auto"/>
        <w:rPr>
          <w:rFonts w:hint="eastAsia"/>
          <w:color w:val="231F20"/>
        </w:rPr>
      </w:pPr>
    </w:p>
    <w:p w14:paraId="3F1B46DE">
      <w:pPr>
        <w:pStyle w:val="9"/>
        <w:spacing w:after="0" w:line="249" w:lineRule="auto"/>
        <w:rPr>
          <w:rFonts w:hint="eastAsia"/>
          <w:color w:val="231F20"/>
        </w:rPr>
      </w:pPr>
      <w:r>
        <w:rPr>
          <w:rFonts w:hint="eastAsia"/>
          <w:color w:val="231F20"/>
        </w:rPr>
        <w:t>The matter under discussion is this: Should Gentile Christians be circumcised and compelled to follow the Mosaic Law?</w:t>
      </w:r>
    </w:p>
    <w:p w14:paraId="4AEB4743">
      <w:pPr>
        <w:pStyle w:val="9"/>
        <w:spacing w:after="0" w:line="249" w:lineRule="auto"/>
        <w:rPr>
          <w:rFonts w:hint="eastAsia"/>
          <w:color w:val="231F20"/>
        </w:rPr>
      </w:pPr>
      <w:r>
        <w:rPr>
          <w:rFonts w:hint="eastAsia"/>
          <w:color w:val="231F20"/>
        </w:rPr>
        <w:t>讨论的事项是：外邦基督徒是否应该受割礼并被迫遵守摩西律法？</w:t>
      </w:r>
    </w:p>
    <w:p w14:paraId="74B28BFE">
      <w:pPr>
        <w:pStyle w:val="9"/>
        <w:spacing w:after="0" w:line="249" w:lineRule="auto"/>
        <w:rPr>
          <w:rFonts w:hint="eastAsia"/>
          <w:color w:val="231F20"/>
        </w:rPr>
      </w:pPr>
    </w:p>
    <w:p w14:paraId="6F07B2B8">
      <w:pPr>
        <w:pStyle w:val="9"/>
        <w:spacing w:after="0" w:line="249" w:lineRule="auto"/>
        <w:rPr>
          <w:rFonts w:hint="eastAsia"/>
          <w:color w:val="231F20"/>
        </w:rPr>
      </w:pPr>
      <w:r>
        <w:rPr>
          <w:rFonts w:hint="eastAsia"/>
          <w:color w:val="231F20"/>
        </w:rPr>
        <w:t>Paul and Barnabas, having labored fruitfully among the Gentiles, say no.</w:t>
      </w:r>
    </w:p>
    <w:p w14:paraId="4F06219E">
      <w:pPr>
        <w:pStyle w:val="9"/>
        <w:spacing w:after="0" w:line="249" w:lineRule="auto"/>
        <w:rPr>
          <w:rFonts w:hint="eastAsia"/>
          <w:color w:val="231F20"/>
        </w:rPr>
      </w:pPr>
      <w:r>
        <w:rPr>
          <w:rFonts w:hint="eastAsia"/>
          <w:color w:val="231F20"/>
        </w:rPr>
        <w:t>保罗和巴拿巴，在外邦人中卓有成效地劳作后，说不。</w:t>
      </w:r>
    </w:p>
    <w:p w14:paraId="6037983D">
      <w:pPr>
        <w:pStyle w:val="9"/>
        <w:spacing w:after="0" w:line="249" w:lineRule="auto"/>
        <w:rPr>
          <w:rFonts w:hint="eastAsia"/>
          <w:color w:val="231F20"/>
        </w:rPr>
      </w:pPr>
    </w:p>
    <w:p w14:paraId="405E9AD2">
      <w:pPr>
        <w:pStyle w:val="9"/>
        <w:spacing w:after="0" w:line="249" w:lineRule="auto"/>
        <w:rPr>
          <w:rFonts w:hint="eastAsia"/>
          <w:color w:val="231F20"/>
        </w:rPr>
      </w:pPr>
      <w:r>
        <w:rPr>
          <w:rFonts w:hint="eastAsia"/>
          <w:color w:val="231F20"/>
        </w:rPr>
        <w:t>Peter agrees, citing God’s sovereign work of grace in Cornelius’ household.</w:t>
      </w:r>
    </w:p>
    <w:p w14:paraId="701F8832">
      <w:pPr>
        <w:pStyle w:val="9"/>
        <w:spacing w:after="0" w:line="249" w:lineRule="auto"/>
        <w:rPr>
          <w:rFonts w:hint="eastAsia"/>
          <w:color w:val="231F20"/>
        </w:rPr>
      </w:pPr>
      <w:r>
        <w:rPr>
          <w:rFonts w:hint="eastAsia"/>
          <w:color w:val="231F20"/>
        </w:rPr>
        <w:t>彼得同意，并引用了上帝在哥尼流家中主权的恩典之工。</w:t>
      </w:r>
    </w:p>
    <w:p w14:paraId="4A84EF9A">
      <w:pPr>
        <w:pStyle w:val="9"/>
        <w:spacing w:after="0" w:line="249" w:lineRule="auto"/>
        <w:rPr>
          <w:rFonts w:hint="eastAsia"/>
          <w:color w:val="231F20"/>
        </w:rPr>
      </w:pPr>
    </w:p>
    <w:p w14:paraId="01A1D89C">
      <w:pPr>
        <w:pStyle w:val="9"/>
        <w:spacing w:after="0" w:line="249" w:lineRule="auto"/>
        <w:rPr>
          <w:rFonts w:hint="eastAsia"/>
          <w:color w:val="231F20"/>
        </w:rPr>
      </w:pPr>
      <w:r>
        <w:rPr>
          <w:rFonts w:hint="eastAsia"/>
          <w:color w:val="231F20"/>
        </w:rPr>
        <w:t>Then James—a leading elder of the church in Jerusalem—gives his judgment:</w:t>
      </w:r>
    </w:p>
    <w:p w14:paraId="4E84AE97">
      <w:pPr>
        <w:pStyle w:val="9"/>
        <w:spacing w:after="0" w:line="249" w:lineRule="auto"/>
        <w:rPr>
          <w:rFonts w:hint="eastAsia"/>
          <w:color w:val="231F20"/>
        </w:rPr>
      </w:pPr>
      <w:r>
        <w:rPr>
          <w:rFonts w:hint="eastAsia"/>
          <w:color w:val="231F20"/>
        </w:rPr>
        <w:t>然后，雅各——耶路撒冷教会的一位主要长老——给出了他的判断：</w:t>
      </w:r>
    </w:p>
    <w:p w14:paraId="77060F9C">
      <w:pPr>
        <w:pStyle w:val="9"/>
        <w:spacing w:after="0" w:line="249" w:lineRule="auto"/>
        <w:rPr>
          <w:rFonts w:hint="eastAsia"/>
          <w:color w:val="231F20"/>
        </w:rPr>
      </w:pPr>
    </w:p>
    <w:p w14:paraId="1A65B9E3">
      <w:pPr>
        <w:pStyle w:val="9"/>
        <w:spacing w:after="0" w:line="249" w:lineRule="auto"/>
        <w:rPr>
          <w:rFonts w:hint="eastAsia"/>
          <w:color w:val="231F20"/>
        </w:rPr>
      </w:pPr>
      <w:r>
        <w:rPr>
          <w:rFonts w:hint="eastAsia"/>
          <w:color w:val="231F20"/>
        </w:rPr>
        <w:t>Brethren, listen to me.</w:t>
      </w:r>
    </w:p>
    <w:p w14:paraId="4FBBAB03">
      <w:pPr>
        <w:pStyle w:val="9"/>
        <w:spacing w:after="0" w:line="249" w:lineRule="auto"/>
        <w:rPr>
          <w:rFonts w:hint="eastAsia"/>
          <w:color w:val="231F20"/>
        </w:rPr>
      </w:pPr>
      <w:r>
        <w:rPr>
          <w:rFonts w:hint="eastAsia"/>
          <w:color w:val="231F20"/>
        </w:rPr>
        <w:t>弟兄们，请听我说。</w:t>
      </w:r>
    </w:p>
    <w:p w14:paraId="37E52148">
      <w:pPr>
        <w:pStyle w:val="9"/>
        <w:spacing w:after="0" w:line="249" w:lineRule="auto"/>
        <w:rPr>
          <w:rFonts w:hint="eastAsia"/>
          <w:color w:val="231F20"/>
        </w:rPr>
      </w:pPr>
    </w:p>
    <w:p w14:paraId="2E8EB675">
      <w:pPr>
        <w:pStyle w:val="9"/>
        <w:spacing w:after="0" w:line="249" w:lineRule="auto"/>
        <w:rPr>
          <w:rFonts w:hint="eastAsia"/>
          <w:color w:val="231F20"/>
        </w:rPr>
      </w:pPr>
      <w:r>
        <w:rPr>
          <w:rFonts w:hint="eastAsia"/>
          <w:color w:val="231F20"/>
        </w:rPr>
        <w:t>Simeon has related how God first concerned himself about taking from among the Gentiles a people for his name.</w:t>
      </w:r>
    </w:p>
    <w:p w14:paraId="45F1490C">
      <w:pPr>
        <w:pStyle w:val="9"/>
        <w:spacing w:after="0" w:line="249" w:lineRule="auto"/>
        <w:rPr>
          <w:rFonts w:hint="eastAsia"/>
          <w:color w:val="231F20"/>
        </w:rPr>
      </w:pPr>
      <w:r>
        <w:rPr>
          <w:rFonts w:hint="eastAsia"/>
          <w:color w:val="231F20"/>
        </w:rPr>
        <w:t>西门已经述说上帝当初怎样眷顾，从外邦人中选取百姓归于自己的名下。</w:t>
      </w:r>
    </w:p>
    <w:p w14:paraId="33EEEC66">
      <w:pPr>
        <w:pStyle w:val="9"/>
        <w:spacing w:after="0" w:line="249" w:lineRule="auto"/>
        <w:rPr>
          <w:rFonts w:hint="eastAsia"/>
          <w:color w:val="231F20"/>
        </w:rPr>
      </w:pPr>
    </w:p>
    <w:p w14:paraId="1B839B24">
      <w:pPr>
        <w:pStyle w:val="9"/>
        <w:spacing w:after="0" w:line="249" w:lineRule="auto"/>
        <w:rPr>
          <w:rFonts w:hint="eastAsia"/>
          <w:color w:val="231F20"/>
        </w:rPr>
      </w:pPr>
      <w:r>
        <w:rPr>
          <w:rFonts w:hint="eastAsia"/>
          <w:color w:val="231F20"/>
        </w:rPr>
        <w:t>And with this the words of the Prophets agree, just as it is written, “After these things I will return, and I will rebuild the tabernacle of David which has fallen, and I will rebuild its ruins.</w:t>
      </w:r>
    </w:p>
    <w:p w14:paraId="5C5578B3">
      <w:pPr>
        <w:pStyle w:val="9"/>
        <w:spacing w:after="0" w:line="249" w:lineRule="auto"/>
        <w:rPr>
          <w:rFonts w:hint="eastAsia"/>
          <w:color w:val="231F20"/>
        </w:rPr>
      </w:pPr>
      <w:r>
        <w:rPr>
          <w:rFonts w:hint="eastAsia"/>
          <w:color w:val="231F20"/>
        </w:rPr>
        <w:t>众先知的话也与这意思相合。正如经上所写的：“此后我要回来，重新修造大卫倒塌的帐幕，把那破坏的重新修造建立起来。</w:t>
      </w:r>
    </w:p>
    <w:p w14:paraId="1305D2F0">
      <w:pPr>
        <w:pStyle w:val="9"/>
        <w:spacing w:after="0" w:line="249" w:lineRule="auto"/>
        <w:rPr>
          <w:rFonts w:hint="eastAsia"/>
          <w:color w:val="231F20"/>
        </w:rPr>
      </w:pPr>
    </w:p>
    <w:p w14:paraId="6407E11B">
      <w:pPr>
        <w:pStyle w:val="9"/>
        <w:spacing w:after="0" w:line="249" w:lineRule="auto"/>
        <w:rPr>
          <w:rFonts w:hint="eastAsia"/>
          <w:color w:val="231F20"/>
        </w:rPr>
      </w:pPr>
      <w:r>
        <w:rPr>
          <w:rFonts w:hint="eastAsia"/>
          <w:color w:val="231F20"/>
        </w:rPr>
        <w:t>And I will restore it, in order that the rest (or, remnant) of mankind may seek the Lord, even all the Gentiles who are called by My name, says the Lord, who makes these things known from of old.”</w:t>
      </w:r>
    </w:p>
    <w:p w14:paraId="2888C0D0">
      <w:pPr>
        <w:pStyle w:val="9"/>
        <w:spacing w:after="0" w:line="249" w:lineRule="auto"/>
        <w:rPr>
          <w:rFonts w:hint="eastAsia"/>
          <w:color w:val="231F20"/>
        </w:rPr>
      </w:pPr>
      <w:r>
        <w:rPr>
          <w:rFonts w:hint="eastAsia"/>
          <w:color w:val="231F20"/>
        </w:rPr>
        <w:t>叫余剩的（或作：所剩下的）人，就是凡称为我名下的外邦人，都寻求主。这话是从创世以来，显明这事的主说的。”</w:t>
      </w:r>
    </w:p>
    <w:p w14:paraId="1270EC18">
      <w:pPr>
        <w:pStyle w:val="9"/>
        <w:spacing w:after="0" w:line="249" w:lineRule="auto"/>
        <w:rPr>
          <w:rFonts w:hint="eastAsia"/>
          <w:color w:val="231F20"/>
        </w:rPr>
      </w:pPr>
    </w:p>
    <w:p w14:paraId="38ED47A5">
      <w:pPr>
        <w:pStyle w:val="9"/>
        <w:spacing w:after="0" w:line="249" w:lineRule="auto"/>
        <w:rPr>
          <w:rFonts w:hint="eastAsia"/>
          <w:color w:val="231F20"/>
        </w:rPr>
      </w:pPr>
      <w:r>
        <w:rPr>
          <w:rFonts w:hint="eastAsia"/>
          <w:color w:val="231F20"/>
        </w:rPr>
        <w:t>—Acts 15:13-18</w:t>
      </w:r>
    </w:p>
    <w:p w14:paraId="50712E6A">
      <w:pPr>
        <w:pStyle w:val="9"/>
        <w:spacing w:after="0" w:line="249" w:lineRule="auto"/>
        <w:rPr>
          <w:rFonts w:hint="eastAsia"/>
          <w:color w:val="231F20"/>
        </w:rPr>
      </w:pPr>
      <w:r>
        <w:rPr>
          <w:rFonts w:hint="eastAsia"/>
          <w:color w:val="231F20"/>
        </w:rPr>
        <w:t>——使徒行传 15:13-18</w:t>
      </w:r>
    </w:p>
    <w:p w14:paraId="4D959B75">
      <w:pPr>
        <w:pStyle w:val="9"/>
        <w:spacing w:after="0" w:line="249" w:lineRule="auto"/>
        <w:rPr>
          <w:rFonts w:hint="eastAsia"/>
          <w:color w:val="231F20"/>
        </w:rPr>
      </w:pPr>
    </w:p>
    <w:p w14:paraId="0CF999A2">
      <w:pPr>
        <w:pStyle w:val="9"/>
        <w:spacing w:after="0" w:line="249" w:lineRule="auto"/>
        <w:rPr>
          <w:rFonts w:hint="eastAsia"/>
          <w:color w:val="231F20"/>
        </w:rPr>
      </w:pPr>
      <w:r>
        <w:rPr>
          <w:rFonts w:hint="eastAsia"/>
          <w:color w:val="231F20"/>
        </w:rPr>
        <w:t>For opening a window on the proper interpretation of OTKP this is surely one of the most important texts in the entire NT.</w:t>
      </w:r>
    </w:p>
    <w:p w14:paraId="3DAE20A1">
      <w:pPr>
        <w:pStyle w:val="9"/>
        <w:spacing w:after="0" w:line="249" w:lineRule="auto"/>
        <w:rPr>
          <w:rFonts w:hint="eastAsia"/>
          <w:color w:val="231F20"/>
        </w:rPr>
      </w:pPr>
      <w:r>
        <w:rPr>
          <w:rFonts w:hint="eastAsia"/>
          <w:color w:val="231F20"/>
        </w:rPr>
        <w:t>为了开启一扇通往正确解释旧约国度预言（OTKP）的窗户，这无疑是整个新约中最重要的经文之一。</w:t>
      </w:r>
    </w:p>
    <w:p w14:paraId="0B5BDB77">
      <w:pPr>
        <w:pStyle w:val="9"/>
        <w:spacing w:after="0" w:line="249" w:lineRule="auto"/>
        <w:rPr>
          <w:rFonts w:hint="eastAsia"/>
          <w:color w:val="231F20"/>
        </w:rPr>
      </w:pPr>
    </w:p>
    <w:p w14:paraId="3F4BF209">
      <w:pPr>
        <w:pStyle w:val="9"/>
        <w:spacing w:after="0" w:line="249" w:lineRule="auto"/>
        <w:rPr>
          <w:rFonts w:hint="eastAsia"/>
          <w:color w:val="231F20"/>
        </w:rPr>
      </w:pPr>
      <w:r>
        <w:rPr>
          <w:rFonts w:hint="eastAsia"/>
          <w:color w:val="231F20"/>
        </w:rPr>
        <w:t>To understand why, we must understand James’ premise.</w:t>
      </w:r>
    </w:p>
    <w:p w14:paraId="3BA09767">
      <w:pPr>
        <w:pStyle w:val="9"/>
        <w:spacing w:after="0" w:line="249" w:lineRule="auto"/>
        <w:rPr>
          <w:rFonts w:hint="eastAsia"/>
          <w:color w:val="231F20"/>
        </w:rPr>
      </w:pPr>
      <w:r>
        <w:rPr>
          <w:rFonts w:hint="eastAsia"/>
          <w:color w:val="231F20"/>
        </w:rPr>
        <w:t>要理解为什么，我们必须理解雅各的前提。</w:t>
      </w:r>
    </w:p>
    <w:p w14:paraId="3B494608">
      <w:pPr>
        <w:pStyle w:val="9"/>
        <w:spacing w:after="0" w:line="249" w:lineRule="auto"/>
        <w:rPr>
          <w:rFonts w:hint="eastAsia"/>
          <w:color w:val="231F20"/>
        </w:rPr>
      </w:pPr>
    </w:p>
    <w:p w14:paraId="0677A247">
      <w:pPr>
        <w:pStyle w:val="9"/>
        <w:spacing w:after="0" w:line="249" w:lineRule="auto"/>
        <w:rPr>
          <w:rFonts w:hint="eastAsia"/>
          <w:color w:val="231F20"/>
        </w:rPr>
      </w:pPr>
      <w:r>
        <w:rPr>
          <w:rFonts w:hint="eastAsia"/>
          <w:color w:val="231F20"/>
        </w:rPr>
        <w:t>It is crystal clear: The ongoing conversion of Gentiles under the evangelistic ministry of Peter, Paul, and Barnabas is in fulfillment of the prophecy of Amos.</w:t>
      </w:r>
    </w:p>
    <w:p w14:paraId="7E9DC540">
      <w:pPr>
        <w:pStyle w:val="9"/>
        <w:spacing w:after="0" w:line="249" w:lineRule="auto"/>
        <w:rPr>
          <w:rFonts w:hint="eastAsia"/>
          <w:color w:val="231F20"/>
        </w:rPr>
      </w:pPr>
      <w:r>
        <w:rPr>
          <w:rFonts w:hint="eastAsia"/>
          <w:color w:val="231F20"/>
        </w:rPr>
        <w:t>这很清楚：在彼得、保罗和巴拿巴的传福音事工下，外邦人的持续归信是阿摩司预言的应验。</w:t>
      </w:r>
    </w:p>
    <w:p w14:paraId="3AEE3AD5">
      <w:pPr>
        <w:pStyle w:val="9"/>
        <w:spacing w:after="0" w:line="249" w:lineRule="auto"/>
        <w:rPr>
          <w:rFonts w:hint="eastAsia"/>
          <w:color w:val="231F20"/>
        </w:rPr>
      </w:pPr>
    </w:p>
    <w:p w14:paraId="5DFADAFC">
      <w:pPr>
        <w:pStyle w:val="9"/>
        <w:spacing w:after="0" w:line="249" w:lineRule="auto"/>
        <w:rPr>
          <w:rFonts w:hint="eastAsia"/>
          <w:color w:val="231F20"/>
        </w:rPr>
      </w:pPr>
      <w:r>
        <w:rPr>
          <w:rFonts w:hint="eastAsia"/>
          <w:color w:val="231F20"/>
        </w:rPr>
        <w:t>Indeed, it is in fulfillment of all the OT prophecies to this effect (Acts 3:24, 15:15).</w:t>
      </w:r>
    </w:p>
    <w:p w14:paraId="19F7C3E5">
      <w:pPr>
        <w:pStyle w:val="9"/>
        <w:spacing w:after="0" w:line="249" w:lineRule="auto"/>
        <w:rPr>
          <w:rFonts w:hint="eastAsia"/>
          <w:color w:val="231F20"/>
        </w:rPr>
      </w:pPr>
      <w:r>
        <w:rPr>
          <w:rFonts w:hint="eastAsia"/>
          <w:color w:val="231F20"/>
        </w:rPr>
        <w:t>的确，这是对所有关于此事的旧约预言的应验（使徒行传 3:24, 15:15）。</w:t>
      </w:r>
    </w:p>
    <w:p w14:paraId="6FD2F241">
      <w:pPr>
        <w:pStyle w:val="9"/>
        <w:spacing w:after="0" w:line="249" w:lineRule="auto"/>
        <w:rPr>
          <w:rFonts w:hint="eastAsia"/>
          <w:color w:val="231F20"/>
        </w:rPr>
      </w:pPr>
    </w:p>
    <w:p w14:paraId="68FF70A7">
      <w:pPr>
        <w:pStyle w:val="9"/>
        <w:spacing w:after="0" w:line="249" w:lineRule="auto"/>
        <w:rPr>
          <w:rFonts w:hint="eastAsia"/>
          <w:color w:val="231F20"/>
        </w:rPr>
      </w:pPr>
      <w:r>
        <w:rPr>
          <w:rFonts w:hint="eastAsia"/>
          <w:color w:val="231F20"/>
        </w:rPr>
        <w:t>For James, Amos’ prediction is but a single example.</w:t>
      </w:r>
    </w:p>
    <w:p w14:paraId="1CF22E82">
      <w:pPr>
        <w:pStyle w:val="9"/>
        <w:spacing w:after="0" w:line="249" w:lineRule="auto"/>
        <w:rPr>
          <w:rFonts w:hint="eastAsia"/>
          <w:color w:val="231F20"/>
        </w:rPr>
      </w:pPr>
      <w:r>
        <w:rPr>
          <w:rFonts w:hint="eastAsia"/>
          <w:color w:val="231F20"/>
        </w:rPr>
        <w:t>对雅各而言，阿摩司的预言只是一个例子。</w:t>
      </w:r>
    </w:p>
    <w:p w14:paraId="1EE68662">
      <w:pPr>
        <w:pStyle w:val="9"/>
        <w:spacing w:after="0" w:line="249" w:lineRule="auto"/>
        <w:rPr>
          <w:rFonts w:hint="eastAsia"/>
          <w:color w:val="231F20"/>
        </w:rPr>
      </w:pPr>
    </w:p>
    <w:p w14:paraId="4D703F5F">
      <w:pPr>
        <w:pStyle w:val="9"/>
        <w:spacing w:after="0" w:line="249" w:lineRule="auto"/>
        <w:rPr>
          <w:rFonts w:hint="eastAsia"/>
          <w:color w:val="231F20"/>
        </w:rPr>
      </w:pPr>
      <w:r>
        <w:rPr>
          <w:rFonts w:hint="eastAsia"/>
          <w:color w:val="231F20"/>
        </w:rPr>
        <w:t>Had he been so minded, he could easily have cited more.</w:t>
      </w:r>
    </w:p>
    <w:p w14:paraId="1F65FDAF">
      <w:pPr>
        <w:pStyle w:val="9"/>
        <w:spacing w:after="0" w:line="249" w:lineRule="auto"/>
        <w:rPr>
          <w:rFonts w:hint="eastAsia"/>
          <w:color w:val="231F20"/>
        </w:rPr>
      </w:pPr>
      <w:r>
        <w:rPr>
          <w:rFonts w:hint="eastAsia"/>
          <w:color w:val="231F20"/>
        </w:rPr>
        <w:t>如果他有此意，他本可以轻易地引用更多。</w:t>
      </w:r>
    </w:p>
    <w:p w14:paraId="75B4398D">
      <w:pPr>
        <w:pStyle w:val="9"/>
        <w:spacing w:after="0" w:line="249" w:lineRule="auto"/>
        <w:rPr>
          <w:rFonts w:hint="eastAsia"/>
          <w:color w:val="231F20"/>
        </w:rPr>
      </w:pPr>
    </w:p>
    <w:p w14:paraId="67C066BC">
      <w:pPr>
        <w:pStyle w:val="9"/>
        <w:spacing w:after="0" w:line="249" w:lineRule="auto"/>
        <w:rPr>
          <w:rFonts w:hint="eastAsia"/>
          <w:color w:val="231F20"/>
        </w:rPr>
      </w:pPr>
      <w:r>
        <w:rPr>
          <w:rFonts w:hint="eastAsia"/>
          <w:color w:val="231F20"/>
        </w:rPr>
        <w:t>In his regular teaching ministry, he no doubt had.</w:t>
      </w:r>
    </w:p>
    <w:p w14:paraId="0A44B937">
      <w:pPr>
        <w:pStyle w:val="9"/>
        <w:spacing w:after="0" w:line="249" w:lineRule="auto"/>
        <w:rPr>
          <w:rFonts w:hint="eastAsia"/>
          <w:color w:val="231F20"/>
        </w:rPr>
      </w:pPr>
      <w:r>
        <w:rPr>
          <w:rFonts w:hint="eastAsia"/>
          <w:color w:val="231F20"/>
        </w:rPr>
        <w:t>在他常规的教导事工中，他无疑曾这样做过。</w:t>
      </w:r>
    </w:p>
    <w:p w14:paraId="4A286288">
      <w:pPr>
        <w:pStyle w:val="9"/>
        <w:spacing w:after="0" w:line="249" w:lineRule="auto"/>
        <w:rPr>
          <w:rFonts w:hint="eastAsia"/>
          <w:color w:val="231F20"/>
        </w:rPr>
      </w:pPr>
    </w:p>
    <w:p w14:paraId="34F590B8">
      <w:pPr>
        <w:pStyle w:val="9"/>
        <w:spacing w:after="0" w:line="249" w:lineRule="auto"/>
        <w:rPr>
          <w:rFonts w:hint="eastAsia"/>
          <w:color w:val="231F20"/>
        </w:rPr>
      </w:pPr>
      <w:r>
        <w:rPr>
          <w:rFonts w:hint="eastAsia"/>
          <w:color w:val="231F20"/>
        </w:rPr>
        <w:t>So too had the other apostles.</w:t>
      </w:r>
    </w:p>
    <w:p w14:paraId="7A7CBAE1">
      <w:pPr>
        <w:pStyle w:val="9"/>
        <w:spacing w:after="0" w:line="249" w:lineRule="auto"/>
        <w:rPr>
          <w:rFonts w:hint="eastAsia"/>
          <w:color w:val="231F20"/>
        </w:rPr>
      </w:pPr>
      <w:r>
        <w:rPr>
          <w:rFonts w:hint="eastAsia"/>
          <w:color w:val="231F20"/>
        </w:rPr>
        <w:t>其他使徒也曾如此。</w:t>
      </w:r>
    </w:p>
    <w:p w14:paraId="3BA82DE4">
      <w:pPr>
        <w:pStyle w:val="9"/>
        <w:spacing w:after="0" w:line="249" w:lineRule="auto"/>
        <w:rPr>
          <w:rFonts w:hint="eastAsia"/>
          <w:color w:val="231F20"/>
        </w:rPr>
      </w:pPr>
    </w:p>
    <w:p w14:paraId="48EE3883">
      <w:pPr>
        <w:pStyle w:val="9"/>
        <w:spacing w:after="0" w:line="249" w:lineRule="auto"/>
        <w:rPr>
          <w:rFonts w:hint="eastAsia"/>
          <w:color w:val="231F20"/>
        </w:rPr>
      </w:pPr>
      <w:r>
        <w:rPr>
          <w:rFonts w:hint="eastAsia"/>
          <w:color w:val="231F20"/>
        </w:rPr>
        <w:t>As we shall see below, all of them understood and taught that the OT prophecies of the conversion of the Gentiles are being fulfilled in Christ and in his Church.</w:t>
      </w:r>
    </w:p>
    <w:p w14:paraId="6A89768A">
      <w:pPr>
        <w:pStyle w:val="9"/>
        <w:spacing w:after="0" w:line="249" w:lineRule="auto"/>
        <w:rPr>
          <w:rFonts w:hint="eastAsia"/>
          <w:color w:val="231F20"/>
        </w:rPr>
      </w:pPr>
      <w:r>
        <w:rPr>
          <w:rFonts w:hint="eastAsia"/>
          <w:color w:val="231F20"/>
        </w:rPr>
        <w:t>正如我们下面将看到的，他们所有人都理解并教导，关于外邦人归信的旧约预言正在基督和祂的教会中得到应验。</w:t>
      </w:r>
    </w:p>
    <w:p w14:paraId="7CAD64EA">
      <w:pPr>
        <w:pStyle w:val="9"/>
        <w:spacing w:after="0" w:line="249" w:lineRule="auto"/>
        <w:rPr>
          <w:rFonts w:hint="eastAsia"/>
          <w:color w:val="231F20"/>
        </w:rPr>
      </w:pPr>
    </w:p>
    <w:p w14:paraId="33391C63">
      <w:pPr>
        <w:pStyle w:val="9"/>
        <w:spacing w:after="0" w:line="249" w:lineRule="auto"/>
        <w:rPr>
          <w:rFonts w:hint="eastAsia"/>
          <w:color w:val="231F20"/>
        </w:rPr>
      </w:pPr>
      <w:r>
        <w:rPr>
          <w:rFonts w:hint="eastAsia"/>
          <w:color w:val="231F20"/>
        </w:rPr>
        <w:t>Bearing this crucial premise in mind, we easily can see how James understood this encouraging OTKP, and also why he used it.</w:t>
      </w:r>
    </w:p>
    <w:p w14:paraId="52D1BE9F">
      <w:pPr>
        <w:pStyle w:val="9"/>
        <w:spacing w:after="0" w:line="249" w:lineRule="auto"/>
        <w:rPr>
          <w:rFonts w:hint="eastAsia"/>
          <w:color w:val="231F20"/>
        </w:rPr>
      </w:pPr>
      <w:r>
        <w:rPr>
          <w:rFonts w:hint="eastAsia"/>
          <w:color w:val="231F20"/>
        </w:rPr>
        <w:t>牢记这个关键的前提，我们就能轻易地看出雅各是如何理解这个鼓舞人心的旧约国度预言（OTKP）的，以及他为何使用它。</w:t>
      </w:r>
    </w:p>
    <w:p w14:paraId="73678A46">
      <w:pPr>
        <w:pStyle w:val="9"/>
        <w:spacing w:after="0" w:line="249" w:lineRule="auto"/>
        <w:rPr>
          <w:rFonts w:hint="eastAsia"/>
          <w:color w:val="231F20"/>
        </w:rPr>
      </w:pPr>
    </w:p>
    <w:p w14:paraId="4990E87F">
      <w:pPr>
        <w:pStyle w:val="9"/>
        <w:spacing w:after="0" w:line="249" w:lineRule="auto"/>
        <w:rPr>
          <w:rFonts w:hint="eastAsia"/>
          <w:color w:val="231F20"/>
        </w:rPr>
      </w:pPr>
      <w:r>
        <w:rPr>
          <w:rFonts w:hint="eastAsia"/>
          <w:color w:val="231F20"/>
        </w:rPr>
        <w:t>The phrase “After these things” (or, “In that day,” in the Masoretic Text) signals that the prophecy is to be fulfilled in the last days.</w:t>
      </w:r>
    </w:p>
    <w:p w14:paraId="3998DCE7">
      <w:pPr>
        <w:pStyle w:val="9"/>
        <w:spacing w:after="0" w:line="249" w:lineRule="auto"/>
        <w:rPr>
          <w:rFonts w:hint="eastAsia"/>
          <w:color w:val="231F20"/>
        </w:rPr>
      </w:pPr>
      <w:r>
        <w:rPr>
          <w:rFonts w:hint="eastAsia"/>
          <w:color w:val="231F20"/>
        </w:rPr>
        <w:t>短语“此后”（或在马所拉文本中为“当那日”）表明这个预言将在末后的日子应验。</w:t>
      </w:r>
    </w:p>
    <w:p w14:paraId="1E4B1D3E">
      <w:pPr>
        <w:pStyle w:val="9"/>
        <w:spacing w:after="0" w:line="249" w:lineRule="auto"/>
        <w:rPr>
          <w:rFonts w:hint="eastAsia"/>
          <w:color w:val="231F20"/>
        </w:rPr>
      </w:pPr>
    </w:p>
    <w:p w14:paraId="1EFA0D33">
      <w:pPr>
        <w:pStyle w:val="9"/>
        <w:spacing w:after="0" w:line="249" w:lineRule="auto"/>
        <w:rPr>
          <w:rFonts w:hint="eastAsia"/>
          <w:color w:val="231F20"/>
        </w:rPr>
      </w:pPr>
      <w:r>
        <w:rPr>
          <w:rFonts w:hint="eastAsia"/>
          <w:color w:val="231F20"/>
        </w:rPr>
        <w:t>But for James, the last days are the days in which he is presently living; the days of Christ and the New Covenant that he instituted; the days of the (first stage of the) Kingdom that the New Covenant created (Heb. 1:1).</w:t>
      </w:r>
    </w:p>
    <w:p w14:paraId="1EE0BFC0">
      <w:pPr>
        <w:pStyle w:val="9"/>
        <w:spacing w:after="0" w:line="249" w:lineRule="auto"/>
        <w:rPr>
          <w:rFonts w:hint="eastAsia"/>
          <w:color w:val="231F20"/>
        </w:rPr>
      </w:pPr>
      <w:r>
        <w:rPr>
          <w:rFonts w:hint="eastAsia"/>
          <w:color w:val="231F20"/>
        </w:rPr>
        <w:t>但对雅各而言，末后的日子就是他现今生活的日子；是基督和祂所设立的新约的日子；是新约所创造的（第一阶段的）国度的日子（希伯来书 1:1）。</w:t>
      </w:r>
    </w:p>
    <w:p w14:paraId="6FF9F627">
      <w:pPr>
        <w:pStyle w:val="9"/>
        <w:spacing w:after="0" w:line="249" w:lineRule="auto"/>
        <w:rPr>
          <w:rFonts w:hint="eastAsia"/>
          <w:color w:val="231F20"/>
        </w:rPr>
      </w:pPr>
    </w:p>
    <w:p w14:paraId="77591E3B">
      <w:pPr>
        <w:pStyle w:val="9"/>
        <w:spacing w:after="0" w:line="249" w:lineRule="auto"/>
        <w:rPr>
          <w:rFonts w:hint="eastAsia"/>
          <w:color w:val="231F20"/>
        </w:rPr>
      </w:pPr>
      <w:r>
        <w:rPr>
          <w:rFonts w:hint="eastAsia"/>
          <w:color w:val="231F20"/>
        </w:rPr>
        <w:t>And what is God doing in these last days?</w:t>
      </w:r>
    </w:p>
    <w:p w14:paraId="6CB9ECB1">
      <w:pPr>
        <w:pStyle w:val="9"/>
        <w:spacing w:after="0" w:line="249" w:lineRule="auto"/>
        <w:rPr>
          <w:rFonts w:hint="eastAsia"/>
          <w:color w:val="231F20"/>
        </w:rPr>
      </w:pPr>
      <w:r>
        <w:rPr>
          <w:rFonts w:hint="eastAsia"/>
          <w:color w:val="231F20"/>
        </w:rPr>
        <w:t>在这些末后的日子，上帝在做什么？</w:t>
      </w:r>
    </w:p>
    <w:p w14:paraId="4DA2B8BB">
      <w:pPr>
        <w:pStyle w:val="9"/>
        <w:spacing w:after="0" w:line="249" w:lineRule="auto"/>
        <w:rPr>
          <w:rFonts w:hint="eastAsia"/>
          <w:color w:val="231F20"/>
        </w:rPr>
      </w:pPr>
    </w:p>
    <w:p w14:paraId="3AAD7530">
      <w:pPr>
        <w:pStyle w:val="9"/>
        <w:spacing w:after="0" w:line="249" w:lineRule="auto"/>
        <w:rPr>
          <w:rFonts w:hint="eastAsia"/>
          <w:color w:val="231F20"/>
        </w:rPr>
      </w:pPr>
      <w:r>
        <w:rPr>
          <w:rFonts w:hint="eastAsia"/>
          <w:color w:val="231F20"/>
        </w:rPr>
        <w:t>He is rebuilding the fallen tent (or booth) of David; which is to say, he is restoring the fallen Davidic Dynasty.</w:t>
      </w:r>
    </w:p>
    <w:p w14:paraId="0E6FBC32">
      <w:pPr>
        <w:pStyle w:val="9"/>
        <w:spacing w:after="0" w:line="249" w:lineRule="auto"/>
        <w:rPr>
          <w:rFonts w:hint="eastAsia"/>
          <w:color w:val="231F20"/>
        </w:rPr>
      </w:pPr>
      <w:r>
        <w:rPr>
          <w:rFonts w:hint="eastAsia"/>
          <w:color w:val="231F20"/>
        </w:rPr>
        <w:t>祂正在重建大卫倒塌的帐棚（或棚屋）；也就是说，祂正在复兴倒塌的大卫王朝。</w:t>
      </w:r>
    </w:p>
    <w:p w14:paraId="7E39DF26">
      <w:pPr>
        <w:pStyle w:val="9"/>
        <w:spacing w:after="0" w:line="249" w:lineRule="auto"/>
        <w:rPr>
          <w:rFonts w:hint="eastAsia"/>
          <w:color w:val="231F20"/>
        </w:rPr>
      </w:pPr>
    </w:p>
    <w:p w14:paraId="7A183C61">
      <w:pPr>
        <w:pStyle w:val="9"/>
        <w:spacing w:after="0" w:line="249" w:lineRule="auto"/>
        <w:rPr>
          <w:rFonts w:hint="eastAsia"/>
          <w:color w:val="231F20"/>
        </w:rPr>
      </w:pPr>
      <w:r>
        <w:rPr>
          <w:rFonts w:hint="eastAsia"/>
          <w:color w:val="231F20"/>
        </w:rPr>
        <w:t>As we saw earlier, this was a common motif in OTKP: Over and again, God had said he would restore Israel to the Promised Land, raise up a (Messianic) son of David, and cause his dynasty to remain forever (Psalms 89:34-37, 132:13-18, Isaiah 9:7, Jer. 33:14-18, Ezek. 37:24-25, Hos. 3:5, Zech. 12:10-12, 13:1).</w:t>
      </w:r>
    </w:p>
    <w:p w14:paraId="227CE408">
      <w:pPr>
        <w:pStyle w:val="9"/>
        <w:spacing w:after="0" w:line="249" w:lineRule="auto"/>
        <w:rPr>
          <w:rFonts w:hint="eastAsia"/>
          <w:color w:val="231F20"/>
        </w:rPr>
      </w:pPr>
      <w:r>
        <w:rPr>
          <w:rFonts w:hint="eastAsia"/>
          <w:color w:val="231F20"/>
        </w:rPr>
        <w:t>正如我们早先所见，这是旧约国度预言（OTKP）中的一个常见主题：上帝一再地说祂要使以色列复兴归回应许之地，兴起一位大卫的（弥赛亚）子孙，并使祂的王朝永远长存（诗篇 89:34-37, 132:13-18, 以赛亚书 9:7, 耶利米书 33:14-18, 以西结书 37:24-25, 何西阿书 3:5, 撒迦利亚书 12:10-12, 13:1）。</w:t>
      </w:r>
    </w:p>
    <w:p w14:paraId="18C17EB0">
      <w:pPr>
        <w:pStyle w:val="9"/>
        <w:spacing w:after="0" w:line="249" w:lineRule="auto"/>
        <w:rPr>
          <w:rFonts w:hint="eastAsia"/>
          <w:color w:val="231F20"/>
        </w:rPr>
      </w:pPr>
    </w:p>
    <w:p w14:paraId="32F9E378">
      <w:pPr>
        <w:pStyle w:val="9"/>
        <w:spacing w:after="0" w:line="249" w:lineRule="auto"/>
        <w:rPr>
          <w:rFonts w:hint="eastAsia"/>
          <w:color w:val="231F20"/>
        </w:rPr>
      </w:pPr>
      <w:r>
        <w:rPr>
          <w:rFonts w:hint="eastAsia"/>
          <w:color w:val="231F20"/>
        </w:rPr>
        <w:t>But James has come to see that Jesus Christ, the root and offspring of David, is the Messiah (Rev. 5:5).</w:t>
      </w:r>
    </w:p>
    <w:p w14:paraId="4170771D">
      <w:pPr>
        <w:pStyle w:val="9"/>
        <w:spacing w:after="0" w:line="249" w:lineRule="auto"/>
        <w:rPr>
          <w:rFonts w:hint="eastAsia"/>
          <w:color w:val="231F20"/>
        </w:rPr>
      </w:pPr>
      <w:r>
        <w:rPr>
          <w:rFonts w:hint="eastAsia"/>
          <w:color w:val="231F20"/>
        </w:rPr>
        <w:t>但雅各已经认识到，耶稣基督，大卫的根和大卫的后裔，就是弥赛亚（启示录 5:5）。</w:t>
      </w:r>
    </w:p>
    <w:p w14:paraId="2E468982">
      <w:pPr>
        <w:pStyle w:val="9"/>
        <w:spacing w:after="0" w:line="249" w:lineRule="auto"/>
        <w:rPr>
          <w:rFonts w:hint="eastAsia"/>
          <w:color w:val="231F20"/>
        </w:rPr>
      </w:pPr>
    </w:p>
    <w:p w14:paraId="253649B7">
      <w:pPr>
        <w:pStyle w:val="9"/>
        <w:spacing w:after="0" w:line="249" w:lineRule="auto"/>
        <w:rPr>
          <w:rFonts w:hint="eastAsia"/>
          <w:color w:val="231F20"/>
        </w:rPr>
      </w:pPr>
      <w:r>
        <w:rPr>
          <w:rFonts w:hint="eastAsia"/>
          <w:color w:val="231F20"/>
        </w:rPr>
        <w:t>Moreover, he has also come to see that Christ’s Church—comprised of all who believe in him, whether Jew or Gentile—is his eschatological dynasty.</w:t>
      </w:r>
    </w:p>
    <w:p w14:paraId="49B24FB7">
      <w:pPr>
        <w:pStyle w:val="9"/>
        <w:spacing w:after="0" w:line="249" w:lineRule="auto"/>
        <w:rPr>
          <w:rFonts w:hint="eastAsia"/>
          <w:color w:val="231F20"/>
        </w:rPr>
      </w:pPr>
      <w:r>
        <w:rPr>
          <w:rFonts w:hint="eastAsia"/>
          <w:color w:val="231F20"/>
        </w:rPr>
        <w:t>此外，他也认识到基督的教会——由所有信祂的人，无论是犹太人还是外邦人组成——是祂末世的王朝。</w:t>
      </w:r>
    </w:p>
    <w:p w14:paraId="213CB39C">
      <w:pPr>
        <w:pStyle w:val="9"/>
        <w:spacing w:after="0" w:line="249" w:lineRule="auto"/>
        <w:rPr>
          <w:rFonts w:hint="eastAsia"/>
          <w:color w:val="231F20"/>
        </w:rPr>
      </w:pPr>
    </w:p>
    <w:p w14:paraId="632C17BF">
      <w:pPr>
        <w:pStyle w:val="9"/>
        <w:spacing w:after="0" w:line="249" w:lineRule="auto"/>
        <w:rPr>
          <w:rFonts w:hint="eastAsia"/>
          <w:color w:val="231F20"/>
        </w:rPr>
      </w:pPr>
      <w:r>
        <w:rPr>
          <w:rFonts w:hint="eastAsia"/>
          <w:color w:val="231F20"/>
        </w:rPr>
        <w:t>For James, it is the Church, and the Church alone, that is David’s booth, tabernacle, house, and family—no longer fallen, but now being restored, and never to be torn down again.</w:t>
      </w:r>
    </w:p>
    <w:p w14:paraId="11933A18">
      <w:pPr>
        <w:pStyle w:val="9"/>
        <w:spacing w:after="0" w:line="249" w:lineRule="auto"/>
        <w:rPr>
          <w:rFonts w:hint="eastAsia"/>
          <w:color w:val="231F20"/>
        </w:rPr>
      </w:pPr>
      <w:r>
        <w:rPr>
          <w:rFonts w:hint="eastAsia"/>
          <w:color w:val="231F20"/>
        </w:rPr>
        <w:t>对雅各而言，是教会，且唯有教会，才是大卫的棚、帐幕、家和家族——不再倒塌，而是正在被重建，且永不再被拆毁。</w:t>
      </w:r>
    </w:p>
    <w:p w14:paraId="7C5BFE00">
      <w:pPr>
        <w:pStyle w:val="9"/>
        <w:spacing w:after="0" w:line="249" w:lineRule="auto"/>
        <w:rPr>
          <w:rFonts w:hint="eastAsia"/>
          <w:color w:val="231F20"/>
        </w:rPr>
      </w:pPr>
    </w:p>
    <w:p w14:paraId="17F9E027">
      <w:pPr>
        <w:pStyle w:val="9"/>
        <w:spacing w:after="0" w:line="249" w:lineRule="auto"/>
        <w:rPr>
          <w:rFonts w:hint="eastAsia"/>
          <w:color w:val="231F20"/>
        </w:rPr>
      </w:pPr>
      <w:r>
        <w:rPr>
          <w:rFonts w:hint="eastAsia"/>
          <w:color w:val="231F20"/>
        </w:rPr>
        <w:t>Why is God restoring this tabernacle?</w:t>
      </w:r>
    </w:p>
    <w:p w14:paraId="3D2F636A">
      <w:pPr>
        <w:pStyle w:val="9"/>
        <w:spacing w:after="0" w:line="249" w:lineRule="auto"/>
        <w:rPr>
          <w:rFonts w:hint="eastAsia"/>
          <w:color w:val="231F20"/>
        </w:rPr>
      </w:pPr>
      <w:r>
        <w:rPr>
          <w:rFonts w:hint="eastAsia"/>
          <w:color w:val="231F20"/>
        </w:rPr>
        <w:t>上帝为何要重建这个帐幕？</w:t>
      </w:r>
    </w:p>
    <w:p w14:paraId="5D10C528">
      <w:pPr>
        <w:pStyle w:val="9"/>
        <w:spacing w:after="0" w:line="249" w:lineRule="auto"/>
        <w:rPr>
          <w:rFonts w:hint="eastAsia"/>
          <w:color w:val="231F20"/>
        </w:rPr>
      </w:pPr>
    </w:p>
    <w:p w14:paraId="5C5BE154">
      <w:pPr>
        <w:pStyle w:val="9"/>
        <w:spacing w:after="0" w:line="249" w:lineRule="auto"/>
        <w:rPr>
          <w:rFonts w:hint="eastAsia"/>
          <w:color w:val="231F20"/>
        </w:rPr>
      </w:pPr>
      <w:r>
        <w:rPr>
          <w:rFonts w:hint="eastAsia"/>
          <w:color w:val="231F20"/>
        </w:rPr>
        <w:t>Amos said, “So that the rest of men may seek the Lord.”</w:t>
      </w:r>
    </w:p>
    <w:p w14:paraId="56F197BA">
      <w:pPr>
        <w:pStyle w:val="9"/>
        <w:spacing w:after="0" w:line="249" w:lineRule="auto"/>
        <w:rPr>
          <w:rFonts w:hint="eastAsia"/>
          <w:color w:val="231F20"/>
        </w:rPr>
      </w:pPr>
      <w:r>
        <w:rPr>
          <w:rFonts w:hint="eastAsia"/>
          <w:color w:val="231F20"/>
        </w:rPr>
        <w:t>阿摩司说：“好叫所剩下的人可以寻求主。”</w:t>
      </w:r>
    </w:p>
    <w:p w14:paraId="091D427E">
      <w:pPr>
        <w:pStyle w:val="9"/>
        <w:spacing w:after="0" w:line="249" w:lineRule="auto"/>
        <w:rPr>
          <w:rFonts w:hint="eastAsia"/>
          <w:color w:val="231F20"/>
        </w:rPr>
      </w:pPr>
    </w:p>
    <w:p w14:paraId="528D9478">
      <w:pPr>
        <w:pStyle w:val="9"/>
        <w:spacing w:after="0" w:line="249" w:lineRule="auto"/>
        <w:rPr>
          <w:rFonts w:hint="eastAsia"/>
          <w:color w:val="231F20"/>
        </w:rPr>
      </w:pPr>
      <w:r>
        <w:rPr>
          <w:rFonts w:hint="eastAsia"/>
          <w:color w:val="231F20"/>
        </w:rPr>
        <w:t>In view of all that was happening before their very eyes—whether in Cornelius’ household, or Samaria, or the far-flung Gentile churches—this could mean but one thing to James and the other apostles: Now that he has finally sent the Redeemer, and now that he has made him the High King of Heaven, God is going about the business of fulfilling his ancient promise to father Abraham, to the effect that in his (Messianic) Seed all the nations of the earth would be blessed; to the effect that God, exactly as planned before the foundation of the world, should have a people for his very own possession, called out of every tribe, tongue, family, and nation (Rev. 5:9).</w:t>
      </w:r>
    </w:p>
    <w:p w14:paraId="6C846E12">
      <w:pPr>
        <w:pStyle w:val="9"/>
        <w:spacing w:after="0" w:line="249" w:lineRule="auto"/>
        <w:rPr>
          <w:rFonts w:hint="eastAsia"/>
          <w:color w:val="231F20"/>
        </w:rPr>
      </w:pPr>
      <w:r>
        <w:rPr>
          <w:rFonts w:hint="eastAsia"/>
          <w:color w:val="231F20"/>
        </w:rPr>
        <w:t>鉴于在他们眼前发生的一切——无论是在哥尼流家中，或在撒玛利亚，或在遥远的外邦教会——这对雅各和其他使徒而言只能意味着一件事：既然祂终于差遣了救赎主，既然祂已立祂为天上至高的君王，上帝正在着手实现祂对先祖亚伯拉罕的古老应许，即地上的万国都必因祂（弥赛亚）的后裔得福；即上帝，完全按着创世以前所计划的，要得着一群属祂自己的子民，是从各族、各方、各民、各国中呼召出来的（启示录 5:9）。</w:t>
      </w:r>
    </w:p>
    <w:p w14:paraId="71FE5AE0">
      <w:pPr>
        <w:pStyle w:val="9"/>
        <w:spacing w:after="0" w:line="249" w:lineRule="auto"/>
        <w:rPr>
          <w:rFonts w:hint="eastAsia"/>
          <w:color w:val="231F20"/>
        </w:rPr>
      </w:pPr>
    </w:p>
    <w:p w14:paraId="116EA045">
      <w:pPr>
        <w:pStyle w:val="9"/>
        <w:spacing w:after="0" w:line="249" w:lineRule="auto"/>
        <w:rPr>
          <w:rFonts w:hint="eastAsia"/>
          <w:color w:val="231F20"/>
        </w:rPr>
      </w:pPr>
      <w:r>
        <w:rPr>
          <w:rFonts w:hint="eastAsia"/>
          <w:color w:val="231F20"/>
        </w:rPr>
        <w:t>So then, using the NCH, James sees that Amos’ prophecy—and all the others like it—is not fulfilled in a future millennium, but in the present Era of Proclamation and Probation.</w:t>
      </w:r>
    </w:p>
    <w:p w14:paraId="5340CA7D">
      <w:pPr>
        <w:pStyle w:val="9"/>
        <w:spacing w:after="0" w:line="249" w:lineRule="auto"/>
        <w:rPr>
          <w:rFonts w:hint="eastAsia"/>
          <w:color w:val="231F20"/>
        </w:rPr>
      </w:pPr>
      <w:r>
        <w:rPr>
          <w:rFonts w:hint="eastAsia"/>
          <w:color w:val="231F20"/>
        </w:rPr>
        <w:t>那么，雅各使用新约解释学（NCH），看到阿摩司的预言——以及所有其他类似的预言——不是在未来的千禧年中应验，而是在当前的宣讲和验证的时代中应验。</w:t>
      </w:r>
    </w:p>
    <w:p w14:paraId="37657226">
      <w:pPr>
        <w:pStyle w:val="9"/>
        <w:spacing w:after="0" w:line="249" w:lineRule="auto"/>
        <w:rPr>
          <w:rFonts w:hint="eastAsia"/>
          <w:color w:val="231F20"/>
        </w:rPr>
      </w:pPr>
    </w:p>
    <w:p w14:paraId="07CB18D9">
      <w:pPr>
        <w:pStyle w:val="9"/>
        <w:spacing w:after="0" w:line="249" w:lineRule="auto"/>
        <w:rPr>
          <w:rFonts w:hint="eastAsia"/>
          <w:color w:val="231F20"/>
        </w:rPr>
      </w:pPr>
      <w:r>
        <w:rPr>
          <w:rFonts w:hint="eastAsia"/>
          <w:color w:val="231F20"/>
        </w:rPr>
        <w:t>It is not fulfilled on earth in Palestine, but in heavenly places in Christ Jesus.</w:t>
      </w:r>
    </w:p>
    <w:p w14:paraId="5AECC6AC">
      <w:pPr>
        <w:pStyle w:val="9"/>
        <w:spacing w:after="0" w:line="249" w:lineRule="auto"/>
        <w:rPr>
          <w:rFonts w:hint="eastAsia"/>
          <w:color w:val="231F20"/>
        </w:rPr>
      </w:pPr>
      <w:r>
        <w:rPr>
          <w:rFonts w:hint="eastAsia"/>
          <w:color w:val="231F20"/>
        </w:rPr>
        <w:t>它不是在巴勒斯坦的地上应验，而是在基督耶稣里的天上的地方应验。</w:t>
      </w:r>
    </w:p>
    <w:p w14:paraId="2F498ECF">
      <w:pPr>
        <w:pStyle w:val="9"/>
        <w:spacing w:after="0" w:line="249" w:lineRule="auto"/>
        <w:rPr>
          <w:rFonts w:hint="eastAsia"/>
          <w:color w:val="231F20"/>
        </w:rPr>
      </w:pPr>
    </w:p>
    <w:p w14:paraId="5D035C45">
      <w:pPr>
        <w:pStyle w:val="9"/>
        <w:spacing w:after="0" w:line="249" w:lineRule="auto"/>
        <w:rPr>
          <w:rFonts w:hint="eastAsia"/>
          <w:color w:val="231F20"/>
        </w:rPr>
      </w:pPr>
      <w:r>
        <w:rPr>
          <w:rFonts w:hint="eastAsia"/>
          <w:color w:val="231F20"/>
        </w:rPr>
        <w:t>And—as all of the leaders of the Council agreed—it is not fulfilled with the least adherence to the Mosaic Law, but rather through simple faith in the One who fulfilled the Law, with the result that henceforth and to all eternity there is no distinction between Jew and Gentile, but all are one holy dynasty in Christ Jesus our Lord (Acts 15:9, Rom. 10:12, Gal. 3:28).</w:t>
      </w:r>
    </w:p>
    <w:p w14:paraId="2533E2B0">
      <w:pPr>
        <w:pStyle w:val="9"/>
        <w:spacing w:after="0" w:line="249" w:lineRule="auto"/>
        <w:rPr>
          <w:rFonts w:hint="eastAsia"/>
          <w:color w:val="231F20"/>
        </w:rPr>
      </w:pPr>
      <w:r>
        <w:rPr>
          <w:rFonts w:hint="eastAsia"/>
          <w:color w:val="231F20"/>
        </w:rPr>
        <w:t>并且——正如会议的所有领袖都同意的——它的应验不是丝毫遵守摩西律法，而是通过对那位成全律法者的简单信心，结果是从此以后直到永远，犹太人与外邦人之间再无分别，所有人在我们的主基督耶稣里都是一个圣洁的王朝（使徒行传 15:9, 罗马书 10:12, 加拉太书 3:28）。</w:t>
      </w:r>
    </w:p>
    <w:p w14:paraId="13DD0F73">
      <w:pPr>
        <w:pStyle w:val="9"/>
        <w:spacing w:after="0" w:line="249" w:lineRule="auto"/>
        <w:rPr>
          <w:rFonts w:hint="eastAsia"/>
          <w:color w:val="231F20"/>
        </w:rPr>
      </w:pPr>
    </w:p>
    <w:p w14:paraId="44461749">
      <w:pPr>
        <w:pStyle w:val="9"/>
        <w:spacing w:after="0" w:line="249" w:lineRule="auto"/>
        <w:rPr>
          <w:rFonts w:hint="eastAsia"/>
          <w:color w:val="231F20"/>
        </w:rPr>
      </w:pPr>
      <w:r>
        <w:rPr>
          <w:rFonts w:hint="eastAsia"/>
          <w:color w:val="231F20"/>
        </w:rPr>
        <w:t>5.Sons of the Living God</w:t>
      </w:r>
    </w:p>
    <w:p w14:paraId="7286F8A1">
      <w:pPr>
        <w:pStyle w:val="9"/>
        <w:spacing w:after="0" w:line="249" w:lineRule="auto"/>
        <w:rPr>
          <w:rFonts w:hint="eastAsia"/>
          <w:color w:val="231F20"/>
        </w:rPr>
      </w:pPr>
      <w:r>
        <w:rPr>
          <w:rFonts w:hint="eastAsia"/>
          <w:color w:val="231F20"/>
        </w:rPr>
        <w:t>5.永生上帝的儿子</w:t>
      </w:r>
    </w:p>
    <w:p w14:paraId="5B05D648">
      <w:pPr>
        <w:pStyle w:val="9"/>
        <w:spacing w:after="0" w:line="249" w:lineRule="auto"/>
        <w:rPr>
          <w:rFonts w:hint="eastAsia"/>
          <w:color w:val="231F20"/>
        </w:rPr>
      </w:pPr>
    </w:p>
    <w:p w14:paraId="099E1D2C">
      <w:pPr>
        <w:pStyle w:val="9"/>
        <w:spacing w:after="0" w:line="249" w:lineRule="auto"/>
        <w:rPr>
          <w:rFonts w:hint="eastAsia"/>
          <w:color w:val="231F20"/>
        </w:rPr>
      </w:pPr>
      <w:r>
        <w:rPr>
          <w:rFonts w:hint="eastAsia"/>
          <w:color w:val="231F20"/>
        </w:rPr>
        <w:t>(Romans 9:19-26; Hosea 2:14-23)</w:t>
      </w:r>
    </w:p>
    <w:p w14:paraId="3C58E748">
      <w:pPr>
        <w:pStyle w:val="9"/>
        <w:spacing w:after="0" w:line="249" w:lineRule="auto"/>
        <w:rPr>
          <w:rFonts w:hint="eastAsia"/>
          <w:color w:val="231F20"/>
        </w:rPr>
      </w:pPr>
      <w:r>
        <w:rPr>
          <w:rFonts w:hint="eastAsia"/>
          <w:color w:val="231F20"/>
        </w:rPr>
        <w:t>（罗马书 9:19-26；何西阿书 2:14-23）</w:t>
      </w:r>
    </w:p>
    <w:p w14:paraId="25915574">
      <w:pPr>
        <w:pStyle w:val="9"/>
        <w:spacing w:after="0" w:line="249" w:lineRule="auto"/>
        <w:rPr>
          <w:rFonts w:hint="eastAsia"/>
          <w:color w:val="231F20"/>
        </w:rPr>
      </w:pPr>
    </w:p>
    <w:p w14:paraId="7688B315">
      <w:pPr>
        <w:pStyle w:val="9"/>
        <w:spacing w:after="0" w:line="249" w:lineRule="auto"/>
        <w:rPr>
          <w:rFonts w:hint="eastAsia"/>
          <w:color w:val="231F20"/>
        </w:rPr>
      </w:pPr>
      <w:r>
        <w:rPr>
          <w:rFonts w:hint="eastAsia"/>
          <w:color w:val="231F20"/>
        </w:rPr>
        <w:t>Here is yet another valuable text, richly illuminating the apostolic approach to OTKP.</w:t>
      </w:r>
    </w:p>
    <w:p w14:paraId="1896C36D">
      <w:pPr>
        <w:pStyle w:val="9"/>
        <w:spacing w:after="0" w:line="249" w:lineRule="auto"/>
        <w:rPr>
          <w:rFonts w:hint="eastAsia"/>
          <w:color w:val="231F20"/>
        </w:rPr>
      </w:pPr>
      <w:r>
        <w:rPr>
          <w:rFonts w:hint="eastAsia"/>
          <w:color w:val="231F20"/>
        </w:rPr>
        <w:t>这里又是一段宝贵的经文，丰富地阐明了使徒对旧约国度预言（OTKP）的方法。</w:t>
      </w:r>
    </w:p>
    <w:p w14:paraId="2DB8E2DB">
      <w:pPr>
        <w:pStyle w:val="9"/>
        <w:spacing w:after="0" w:line="249" w:lineRule="auto"/>
        <w:rPr>
          <w:rFonts w:hint="eastAsia"/>
          <w:color w:val="231F20"/>
        </w:rPr>
      </w:pPr>
    </w:p>
    <w:p w14:paraId="5921E6B9">
      <w:pPr>
        <w:pStyle w:val="9"/>
        <w:spacing w:after="0" w:line="249" w:lineRule="auto"/>
        <w:rPr>
          <w:rFonts w:hint="eastAsia"/>
          <w:color w:val="231F20"/>
        </w:rPr>
      </w:pPr>
      <w:r>
        <w:rPr>
          <w:rFonts w:hint="eastAsia"/>
          <w:color w:val="231F20"/>
        </w:rPr>
        <w:t>In Romans 9-11, Paul is addressing the scandal of widespread Jewish rejection of the Gospel.</w:t>
      </w:r>
    </w:p>
    <w:p w14:paraId="0067B842">
      <w:pPr>
        <w:pStyle w:val="9"/>
        <w:spacing w:after="0" w:line="249" w:lineRule="auto"/>
        <w:rPr>
          <w:rFonts w:hint="eastAsia"/>
          <w:color w:val="231F20"/>
        </w:rPr>
      </w:pPr>
      <w:r>
        <w:rPr>
          <w:rFonts w:hint="eastAsia"/>
          <w:color w:val="231F20"/>
        </w:rPr>
        <w:t>在罗马书 9-11章，保罗正在处理普遍犹太人拒绝福音的丑闻。</w:t>
      </w:r>
    </w:p>
    <w:p w14:paraId="2B3AAAA8">
      <w:pPr>
        <w:pStyle w:val="9"/>
        <w:spacing w:after="0" w:line="249" w:lineRule="auto"/>
        <w:rPr>
          <w:rFonts w:hint="eastAsia"/>
          <w:color w:val="231F20"/>
        </w:rPr>
      </w:pPr>
    </w:p>
    <w:p w14:paraId="1722DAAE">
      <w:pPr>
        <w:pStyle w:val="9"/>
        <w:spacing w:after="0" w:line="249" w:lineRule="auto"/>
        <w:rPr>
          <w:rFonts w:hint="eastAsia"/>
          <w:color w:val="231F20"/>
        </w:rPr>
      </w:pPr>
      <w:r>
        <w:rPr>
          <w:rFonts w:hint="eastAsia"/>
          <w:color w:val="231F20"/>
        </w:rPr>
        <w:t>His main point in chapter 9 is that God’s OT promises of eschatological salvation for “Israel” have not failed, because “they are not all Israel who are descended from Israel” (9:6).</w:t>
      </w:r>
    </w:p>
    <w:p w14:paraId="55C77A3D">
      <w:pPr>
        <w:pStyle w:val="9"/>
        <w:spacing w:after="0" w:line="249" w:lineRule="auto"/>
        <w:rPr>
          <w:rFonts w:hint="eastAsia"/>
          <w:color w:val="231F20"/>
        </w:rPr>
      </w:pPr>
      <w:r>
        <w:rPr>
          <w:rFonts w:hint="eastAsia"/>
          <w:color w:val="231F20"/>
        </w:rPr>
        <w:t>他在第9章的主要观点是，上帝对“以色列”末世救恩的旧约应许并未落空，因为“从以色列生的，不都是以色列人”（9:6）。</w:t>
      </w:r>
    </w:p>
    <w:p w14:paraId="16DBC505">
      <w:pPr>
        <w:pStyle w:val="9"/>
        <w:spacing w:after="0" w:line="249" w:lineRule="auto"/>
        <w:rPr>
          <w:rFonts w:hint="eastAsia"/>
          <w:color w:val="231F20"/>
        </w:rPr>
      </w:pPr>
    </w:p>
    <w:p w14:paraId="00543889">
      <w:pPr>
        <w:pStyle w:val="9"/>
        <w:spacing w:after="0" w:line="249" w:lineRule="auto"/>
        <w:rPr>
          <w:rFonts w:hint="eastAsia"/>
          <w:color w:val="231F20"/>
        </w:rPr>
      </w:pPr>
      <w:r>
        <w:rPr>
          <w:rFonts w:hint="eastAsia"/>
          <w:color w:val="231F20"/>
        </w:rPr>
        <w:t>He means that the OT Kingdom promises were not made to ethnic Israel, but to “spiritual Israel,” to the “nation” of elect Jews and Gentiles who, by God’s sovereign grace, would become believers in Christ.</w:t>
      </w:r>
    </w:p>
    <w:p w14:paraId="61A74969">
      <w:pPr>
        <w:pStyle w:val="9"/>
        <w:spacing w:after="0" w:line="249" w:lineRule="auto"/>
        <w:rPr>
          <w:rFonts w:hint="eastAsia"/>
          <w:color w:val="231F20"/>
        </w:rPr>
      </w:pPr>
      <w:r>
        <w:rPr>
          <w:rFonts w:hint="eastAsia"/>
          <w:color w:val="231F20"/>
        </w:rPr>
        <w:t>他的意思是，旧约的国度应许不是给以色列民族的，而是给“属灵的以色列”，即蒙拣选的犹太人和外邦人的“国家”，他们将藉着上帝主权的恩典成为基督的信徒。</w:t>
      </w:r>
    </w:p>
    <w:p w14:paraId="00341230">
      <w:pPr>
        <w:pStyle w:val="9"/>
        <w:spacing w:after="0" w:line="249" w:lineRule="auto"/>
        <w:rPr>
          <w:rFonts w:hint="eastAsia"/>
          <w:color w:val="231F20"/>
        </w:rPr>
      </w:pPr>
    </w:p>
    <w:p w14:paraId="7BE6CC06">
      <w:pPr>
        <w:pStyle w:val="9"/>
        <w:spacing w:after="0" w:line="249" w:lineRule="auto"/>
        <w:rPr>
          <w:rFonts w:hint="eastAsia"/>
          <w:color w:val="231F20"/>
        </w:rPr>
      </w:pPr>
      <w:r>
        <w:rPr>
          <w:rFonts w:hint="eastAsia"/>
          <w:color w:val="231F20"/>
        </w:rPr>
        <w:t>These are the true parties of the Eternal Covenant, and these are the true “Israelite” remnant of whom God repeatedly speaks in OTKP.</w:t>
      </w:r>
    </w:p>
    <w:p w14:paraId="31AC2263">
      <w:pPr>
        <w:pStyle w:val="9"/>
        <w:spacing w:after="0" w:line="249" w:lineRule="auto"/>
        <w:rPr>
          <w:rFonts w:hint="eastAsia"/>
          <w:color w:val="231F20"/>
        </w:rPr>
      </w:pPr>
      <w:r>
        <w:rPr>
          <w:rFonts w:hint="eastAsia"/>
          <w:color w:val="231F20"/>
        </w:rPr>
        <w:t>这些是永恒之约的真正立约方，也是上帝在旧约国度预言（OTKP）中一再提到的真正“以色列”余民。</w:t>
      </w:r>
    </w:p>
    <w:p w14:paraId="1745491D">
      <w:pPr>
        <w:pStyle w:val="9"/>
        <w:spacing w:after="0" w:line="249" w:lineRule="auto"/>
        <w:rPr>
          <w:rFonts w:hint="eastAsia"/>
          <w:color w:val="231F20"/>
        </w:rPr>
      </w:pPr>
    </w:p>
    <w:p w14:paraId="1331A7CB">
      <w:pPr>
        <w:pStyle w:val="9"/>
        <w:spacing w:after="0" w:line="249" w:lineRule="auto"/>
        <w:rPr>
          <w:rFonts w:hint="eastAsia"/>
          <w:color w:val="231F20"/>
        </w:rPr>
      </w:pPr>
      <w:r>
        <w:rPr>
          <w:rFonts w:hint="eastAsia"/>
          <w:color w:val="231F20"/>
        </w:rPr>
        <w:t>In making this argument, Paul quotes Hosea 2:23:</w:t>
      </w:r>
    </w:p>
    <w:p w14:paraId="53B2E9B5">
      <w:pPr>
        <w:pStyle w:val="9"/>
        <w:spacing w:after="0" w:line="249" w:lineRule="auto"/>
        <w:rPr>
          <w:rFonts w:hint="eastAsia"/>
          <w:color w:val="231F20"/>
        </w:rPr>
      </w:pPr>
      <w:r>
        <w:rPr>
          <w:rFonts w:hint="eastAsia"/>
          <w:color w:val="231F20"/>
        </w:rPr>
        <w:t>在提出这个论点时，保罗引用了何西阿书 2:23：</w:t>
      </w:r>
    </w:p>
    <w:p w14:paraId="2A5E624D">
      <w:pPr>
        <w:pStyle w:val="9"/>
        <w:spacing w:after="0" w:line="249" w:lineRule="auto"/>
        <w:rPr>
          <w:rFonts w:hint="eastAsia"/>
          <w:color w:val="231F20"/>
        </w:rPr>
      </w:pPr>
    </w:p>
    <w:p w14:paraId="050C3D72">
      <w:pPr>
        <w:pStyle w:val="9"/>
        <w:spacing w:after="0" w:line="249" w:lineRule="auto"/>
        <w:rPr>
          <w:rFonts w:hint="eastAsia"/>
          <w:color w:val="231F20"/>
        </w:rPr>
      </w:pPr>
      <w:r>
        <w:rPr>
          <w:rFonts w:hint="eastAsia"/>
          <w:color w:val="231F20"/>
        </w:rPr>
        <w:t>“I will call those who were not My people, ‘My people,” and her who was not beloved, ‘Beloved.”</w:t>
      </w:r>
    </w:p>
    <w:p w14:paraId="1C51BE00">
      <w:pPr>
        <w:pStyle w:val="9"/>
        <w:spacing w:after="0" w:line="249" w:lineRule="auto"/>
        <w:rPr>
          <w:rFonts w:hint="eastAsia"/>
          <w:color w:val="231F20"/>
        </w:rPr>
      </w:pPr>
      <w:r>
        <w:rPr>
          <w:rFonts w:hint="eastAsia"/>
          <w:color w:val="231F20"/>
        </w:rPr>
        <w:t>“那本来不是我子民的，我要称为‘我的子民’；那本来不是蒙爱的，我要称为‘蒙爱的’。”</w:t>
      </w:r>
    </w:p>
    <w:p w14:paraId="58276832">
      <w:pPr>
        <w:pStyle w:val="9"/>
        <w:spacing w:after="0" w:line="249" w:lineRule="auto"/>
        <w:rPr>
          <w:rFonts w:hint="eastAsia"/>
          <w:color w:val="231F20"/>
        </w:rPr>
      </w:pPr>
    </w:p>
    <w:p w14:paraId="30DE92F4">
      <w:pPr>
        <w:pStyle w:val="9"/>
        <w:spacing w:after="0" w:line="249" w:lineRule="auto"/>
        <w:rPr>
          <w:rFonts w:hint="eastAsia"/>
          <w:color w:val="231F20"/>
        </w:rPr>
      </w:pPr>
      <w:r>
        <w:rPr>
          <w:rFonts w:hint="eastAsia"/>
          <w:color w:val="231F20"/>
        </w:rPr>
        <w:t>And it shall be that in the place where it was said to them, ‘You are not My people,” there they shall be called sons of the living God.”</w:t>
      </w:r>
    </w:p>
    <w:p w14:paraId="4065DF9D">
      <w:pPr>
        <w:pStyle w:val="9"/>
        <w:spacing w:after="0" w:line="249" w:lineRule="auto"/>
        <w:rPr>
          <w:rFonts w:hint="eastAsia"/>
          <w:color w:val="231F20"/>
        </w:rPr>
      </w:pPr>
      <w:r>
        <w:rPr>
          <w:rFonts w:hint="eastAsia"/>
          <w:color w:val="231F20"/>
        </w:rPr>
        <w:t>在那从前对他们说‘你们不是我子民’的地方，将来要称他们为永生上帝的儿子。”</w:t>
      </w:r>
    </w:p>
    <w:p w14:paraId="03906D37">
      <w:pPr>
        <w:pStyle w:val="9"/>
        <w:spacing w:after="0" w:line="249" w:lineRule="auto"/>
        <w:rPr>
          <w:rFonts w:hint="eastAsia"/>
          <w:color w:val="231F20"/>
        </w:rPr>
      </w:pPr>
    </w:p>
    <w:p w14:paraId="075B36B6">
      <w:pPr>
        <w:pStyle w:val="9"/>
        <w:spacing w:after="0" w:line="249" w:lineRule="auto"/>
        <w:rPr>
          <w:rFonts w:hint="eastAsia"/>
          <w:color w:val="231F20"/>
        </w:rPr>
      </w:pPr>
      <w:r>
        <w:rPr>
          <w:rFonts w:hint="eastAsia"/>
          <w:color w:val="231F20"/>
        </w:rPr>
        <w:t>Paul’s handling of this particular verse is quite instructive.</w:t>
      </w:r>
    </w:p>
    <w:p w14:paraId="73CBAF68">
      <w:pPr>
        <w:pStyle w:val="9"/>
        <w:spacing w:after="0" w:line="249" w:lineRule="auto"/>
        <w:rPr>
          <w:rFonts w:hint="eastAsia"/>
          <w:color w:val="231F20"/>
        </w:rPr>
      </w:pPr>
      <w:r>
        <w:rPr>
          <w:rFonts w:hint="eastAsia"/>
          <w:color w:val="231F20"/>
        </w:rPr>
        <w:t>保罗对这节经文的处理很有启发性。</w:t>
      </w:r>
    </w:p>
    <w:p w14:paraId="62442E32">
      <w:pPr>
        <w:pStyle w:val="9"/>
        <w:spacing w:after="0" w:line="249" w:lineRule="auto"/>
        <w:rPr>
          <w:rFonts w:hint="eastAsia"/>
          <w:color w:val="231F20"/>
        </w:rPr>
      </w:pPr>
    </w:p>
    <w:p w14:paraId="6AF1B1A9">
      <w:pPr>
        <w:pStyle w:val="9"/>
        <w:spacing w:after="0" w:line="249" w:lineRule="auto"/>
        <w:rPr>
          <w:rFonts w:hint="eastAsia"/>
          <w:color w:val="231F20"/>
        </w:rPr>
      </w:pPr>
      <w:r>
        <w:rPr>
          <w:rFonts w:hint="eastAsia"/>
          <w:color w:val="231F20"/>
        </w:rPr>
        <w:t>He uses it to lend OT authority to his assertion that the NT Israel of God is comprised not only of Jews, but also of Gentiles.</w:t>
      </w:r>
    </w:p>
    <w:p w14:paraId="23B85624">
      <w:pPr>
        <w:pStyle w:val="9"/>
        <w:spacing w:after="0" w:line="249" w:lineRule="auto"/>
        <w:rPr>
          <w:rFonts w:hint="eastAsia"/>
          <w:color w:val="231F20"/>
        </w:rPr>
      </w:pPr>
      <w:r>
        <w:rPr>
          <w:rFonts w:hint="eastAsia"/>
          <w:color w:val="231F20"/>
        </w:rPr>
        <w:t>他用它来为他的断言提供旧约的权威，即上帝的新约以色列不仅由犹太人组成，也由外邦人组成。</w:t>
      </w:r>
    </w:p>
    <w:p w14:paraId="2554E24F">
      <w:pPr>
        <w:pStyle w:val="9"/>
        <w:spacing w:after="0" w:line="249" w:lineRule="auto"/>
        <w:rPr>
          <w:rFonts w:hint="eastAsia"/>
          <w:color w:val="231F20"/>
        </w:rPr>
      </w:pPr>
    </w:p>
    <w:p w14:paraId="30C347EE">
      <w:pPr>
        <w:pStyle w:val="9"/>
        <w:spacing w:after="0" w:line="249" w:lineRule="auto"/>
        <w:rPr>
          <w:rFonts w:hint="eastAsia"/>
          <w:color w:val="231F20"/>
        </w:rPr>
      </w:pPr>
      <w:r>
        <w:rPr>
          <w:rFonts w:hint="eastAsia"/>
          <w:color w:val="231F20"/>
        </w:rPr>
        <w:t>Here, the “beloved people” of whom Hosea spoke are Gentiles; Gentiles who, by God’s grace, have found their way into his eternal family.</w:t>
      </w:r>
    </w:p>
    <w:p w14:paraId="6F36861F">
      <w:pPr>
        <w:pStyle w:val="9"/>
        <w:spacing w:after="0" w:line="249" w:lineRule="auto"/>
        <w:rPr>
          <w:rFonts w:hint="eastAsia"/>
          <w:color w:val="231F20"/>
        </w:rPr>
      </w:pPr>
      <w:r>
        <w:rPr>
          <w:rFonts w:hint="eastAsia"/>
          <w:color w:val="231F20"/>
        </w:rPr>
        <w:t>在这里，何西阿所说的“蒙爱的子民”是外邦人；是藉着上帝的恩典，已经进入祂永恒家庭的外邦人。</w:t>
      </w:r>
    </w:p>
    <w:p w14:paraId="1AD7A4BB">
      <w:pPr>
        <w:pStyle w:val="9"/>
        <w:spacing w:after="0" w:line="249" w:lineRule="auto"/>
        <w:rPr>
          <w:rFonts w:hint="eastAsia"/>
          <w:color w:val="231F20"/>
        </w:rPr>
      </w:pPr>
    </w:p>
    <w:p w14:paraId="24218DC7">
      <w:pPr>
        <w:pStyle w:val="9"/>
        <w:spacing w:after="0" w:line="249" w:lineRule="auto"/>
        <w:rPr>
          <w:rFonts w:hint="eastAsia"/>
          <w:color w:val="231F20"/>
        </w:rPr>
      </w:pPr>
      <w:r>
        <w:rPr>
          <w:rFonts w:hint="eastAsia"/>
          <w:color w:val="231F20"/>
        </w:rPr>
        <w:t>When, however, we consult Hosea himself, we find that the extended OTKP of which this verse is the conclusion carries (or rather seems to carry) a very different sense.</w:t>
      </w:r>
    </w:p>
    <w:p w14:paraId="41A11BB2">
      <w:pPr>
        <w:pStyle w:val="9"/>
        <w:spacing w:after="0" w:line="249" w:lineRule="auto"/>
        <w:rPr>
          <w:rFonts w:hint="eastAsia"/>
          <w:color w:val="231F20"/>
        </w:rPr>
      </w:pPr>
      <w:r>
        <w:rPr>
          <w:rFonts w:hint="eastAsia"/>
          <w:color w:val="231F20"/>
        </w:rPr>
        <w:t>然而，当我们查阅何西阿书本身时，我们发现这段经文作为结论的那个扩展的旧约国度预言（OTKP），带有（或者说似乎带有）一个非常不同的意义。</w:t>
      </w:r>
    </w:p>
    <w:p w14:paraId="57EB68E2">
      <w:pPr>
        <w:pStyle w:val="9"/>
        <w:spacing w:after="0" w:line="249" w:lineRule="auto"/>
        <w:rPr>
          <w:rFonts w:hint="eastAsia"/>
          <w:color w:val="231F20"/>
        </w:rPr>
      </w:pPr>
    </w:p>
    <w:p w14:paraId="0121BDE6">
      <w:pPr>
        <w:pStyle w:val="9"/>
        <w:spacing w:after="0" w:line="249" w:lineRule="auto"/>
        <w:rPr>
          <w:rFonts w:hint="eastAsia"/>
          <w:color w:val="231F20"/>
        </w:rPr>
      </w:pPr>
      <w:r>
        <w:rPr>
          <w:rFonts w:hint="eastAsia"/>
          <w:color w:val="231F20"/>
        </w:rPr>
        <w:t>Here, God seems to be addressing ethnic Israel, sinful Israel, the very Israel whom he has just divorced and who will soon go away into captivity (Hosea 1:6, 9, 2:2).</w:t>
      </w:r>
    </w:p>
    <w:p w14:paraId="55A3E448">
      <w:pPr>
        <w:pStyle w:val="9"/>
        <w:spacing w:after="0" w:line="249" w:lineRule="auto"/>
        <w:rPr>
          <w:rFonts w:hint="eastAsia"/>
          <w:color w:val="231F20"/>
        </w:rPr>
      </w:pPr>
      <w:r>
        <w:rPr>
          <w:rFonts w:hint="eastAsia"/>
          <w:color w:val="231F20"/>
        </w:rPr>
        <w:t>在这里，上帝似乎是在对以色列民族，有罪的以色列，就是祂刚刚休了的、不久将要被掳去的以色列说话（何西阿书 1:6, 9, 2:2）。</w:t>
      </w:r>
    </w:p>
    <w:p w14:paraId="7A809157">
      <w:pPr>
        <w:pStyle w:val="9"/>
        <w:spacing w:after="0" w:line="249" w:lineRule="auto"/>
        <w:rPr>
          <w:rFonts w:hint="eastAsia"/>
          <w:color w:val="231F20"/>
        </w:rPr>
      </w:pPr>
    </w:p>
    <w:p w14:paraId="45CA0673">
      <w:pPr>
        <w:pStyle w:val="9"/>
        <w:spacing w:after="0" w:line="249" w:lineRule="auto"/>
        <w:rPr>
          <w:rFonts w:hint="eastAsia"/>
          <w:color w:val="231F20"/>
        </w:rPr>
      </w:pPr>
      <w:r>
        <w:rPr>
          <w:rFonts w:hint="eastAsia"/>
          <w:color w:val="231F20"/>
        </w:rPr>
        <w:t>Moreover, it is to this same Israel that he seems to promise the Kingdom, which consists in rescue from captivity, a new (marriage) covenant, a new heart purged of its former idolatries, and peace, prosperity, and eternal life as a nation forever sown in the Promised Land (Hosea 2:14-22).</w:t>
      </w:r>
    </w:p>
    <w:p w14:paraId="2C62C96A">
      <w:pPr>
        <w:pStyle w:val="9"/>
        <w:spacing w:after="0" w:line="249" w:lineRule="auto"/>
        <w:rPr>
          <w:rFonts w:hint="eastAsia"/>
          <w:color w:val="231F20"/>
        </w:rPr>
      </w:pPr>
      <w:r>
        <w:rPr>
          <w:rFonts w:hint="eastAsia"/>
          <w:color w:val="231F20"/>
        </w:rPr>
        <w:t>此外，祂似乎也是向这个以色列应许国度，这国度包括从被掳中得拯救、一个新的（婚姻）约、一颗被洁净脱离从前偶像崇拜的新心，以及作为永远被栽种在应许之地的国家的和平、繁荣和永生（何西阿书 2:14-22）。</w:t>
      </w:r>
    </w:p>
    <w:p w14:paraId="1431F397">
      <w:pPr>
        <w:pStyle w:val="9"/>
        <w:spacing w:after="0" w:line="249" w:lineRule="auto"/>
        <w:rPr>
          <w:rFonts w:hint="eastAsia"/>
          <w:color w:val="231F20"/>
        </w:rPr>
      </w:pPr>
    </w:p>
    <w:p w14:paraId="38362F31">
      <w:pPr>
        <w:pStyle w:val="9"/>
        <w:spacing w:after="0" w:line="249" w:lineRule="auto"/>
        <w:rPr>
          <w:rFonts w:hint="eastAsia"/>
          <w:color w:val="231F20"/>
        </w:rPr>
      </w:pPr>
      <w:r>
        <w:rPr>
          <w:rFonts w:hint="eastAsia"/>
          <w:color w:val="231F20"/>
        </w:rPr>
        <w:t>This is the Israel to whom the covenant-making God will say, “You are My people!”</w:t>
      </w:r>
    </w:p>
    <w:p w14:paraId="57069A53">
      <w:pPr>
        <w:pStyle w:val="9"/>
        <w:spacing w:after="0" w:line="249" w:lineRule="auto"/>
        <w:rPr>
          <w:rFonts w:hint="eastAsia"/>
          <w:color w:val="231F20"/>
        </w:rPr>
      </w:pPr>
      <w:r>
        <w:rPr>
          <w:rFonts w:hint="eastAsia"/>
          <w:color w:val="231F20"/>
        </w:rPr>
        <w:t>这就是立约的上帝将要对之说“你是我的子民！”的以色列。</w:t>
      </w:r>
    </w:p>
    <w:p w14:paraId="4F81ADCD">
      <w:pPr>
        <w:pStyle w:val="9"/>
        <w:spacing w:after="0" w:line="249" w:lineRule="auto"/>
        <w:rPr>
          <w:rFonts w:hint="eastAsia"/>
          <w:color w:val="231F20"/>
        </w:rPr>
      </w:pPr>
    </w:p>
    <w:p w14:paraId="56406708">
      <w:pPr>
        <w:pStyle w:val="9"/>
        <w:spacing w:after="0" w:line="249" w:lineRule="auto"/>
        <w:rPr>
          <w:rFonts w:hint="eastAsia"/>
          <w:color w:val="231F20"/>
        </w:rPr>
      </w:pPr>
      <w:r>
        <w:rPr>
          <w:rFonts w:hint="eastAsia"/>
          <w:color w:val="231F20"/>
        </w:rPr>
        <w:t>This is the Israel who will reply, “You are my God!” (Hosea 2:23).</w:t>
      </w:r>
    </w:p>
    <w:p w14:paraId="794690CF">
      <w:pPr>
        <w:pStyle w:val="9"/>
        <w:spacing w:after="0" w:line="249" w:lineRule="auto"/>
        <w:rPr>
          <w:rFonts w:hint="eastAsia"/>
          <w:color w:val="231F20"/>
        </w:rPr>
      </w:pPr>
      <w:r>
        <w:rPr>
          <w:rFonts w:hint="eastAsia"/>
          <w:color w:val="231F20"/>
        </w:rPr>
        <w:t>这就是将要回答“你是我的上帝！”的以色列（何西阿书 2:23）。</w:t>
      </w:r>
    </w:p>
    <w:p w14:paraId="4BD070E2">
      <w:pPr>
        <w:pStyle w:val="9"/>
        <w:spacing w:after="0" w:line="249" w:lineRule="auto"/>
        <w:rPr>
          <w:rFonts w:hint="eastAsia"/>
          <w:color w:val="231F20"/>
        </w:rPr>
      </w:pPr>
    </w:p>
    <w:p w14:paraId="76034A97">
      <w:pPr>
        <w:pStyle w:val="9"/>
        <w:spacing w:after="0" w:line="249" w:lineRule="auto"/>
        <w:rPr>
          <w:rFonts w:hint="eastAsia"/>
          <w:color w:val="231F20"/>
        </w:rPr>
      </w:pPr>
      <w:r>
        <w:rPr>
          <w:rFonts w:hint="eastAsia"/>
          <w:color w:val="231F20"/>
        </w:rPr>
        <w:t>What are we to make of all this?</w:t>
      </w:r>
    </w:p>
    <w:p w14:paraId="5126EF07">
      <w:pPr>
        <w:pStyle w:val="9"/>
        <w:spacing w:after="0" w:line="249" w:lineRule="auto"/>
        <w:rPr>
          <w:rFonts w:hint="eastAsia"/>
          <w:color w:val="231F20"/>
        </w:rPr>
      </w:pPr>
      <w:r>
        <w:rPr>
          <w:rFonts w:hint="eastAsia"/>
          <w:color w:val="231F20"/>
        </w:rPr>
        <w:t>我们该如何理解这一切呢？</w:t>
      </w:r>
    </w:p>
    <w:p w14:paraId="2B3DC45F">
      <w:pPr>
        <w:pStyle w:val="9"/>
        <w:spacing w:after="0" w:line="249" w:lineRule="auto"/>
        <w:rPr>
          <w:rFonts w:hint="eastAsia"/>
          <w:color w:val="231F20"/>
        </w:rPr>
      </w:pPr>
    </w:p>
    <w:p w14:paraId="7FCEEEF5">
      <w:pPr>
        <w:pStyle w:val="9"/>
        <w:spacing w:after="0" w:line="249" w:lineRule="auto"/>
        <w:rPr>
          <w:rFonts w:hint="eastAsia"/>
          <w:color w:val="231F20"/>
        </w:rPr>
      </w:pPr>
      <w:r>
        <w:rPr>
          <w:rFonts w:hint="eastAsia"/>
          <w:color w:val="231F20"/>
        </w:rPr>
        <w:t>In Hosea, God seems to be speaking to ethnic Jews, yet in Romans Paul says he is speaking to Gentiles.</w:t>
      </w:r>
    </w:p>
    <w:p w14:paraId="28B8DF41">
      <w:pPr>
        <w:pStyle w:val="9"/>
        <w:spacing w:after="0" w:line="249" w:lineRule="auto"/>
        <w:rPr>
          <w:rFonts w:hint="eastAsia"/>
          <w:color w:val="231F20"/>
        </w:rPr>
      </w:pPr>
      <w:r>
        <w:rPr>
          <w:rFonts w:hint="eastAsia"/>
          <w:color w:val="231F20"/>
        </w:rPr>
        <w:t>在何西阿书中，上帝似乎在对以色列民族说话，但在罗马书中，保罗说祂在对外邦人说话。</w:t>
      </w:r>
    </w:p>
    <w:p w14:paraId="09FAFBBA">
      <w:pPr>
        <w:pStyle w:val="9"/>
        <w:spacing w:after="0" w:line="249" w:lineRule="auto"/>
        <w:rPr>
          <w:rFonts w:hint="eastAsia"/>
          <w:color w:val="231F20"/>
        </w:rPr>
      </w:pPr>
    </w:p>
    <w:p w14:paraId="3506CD00">
      <w:pPr>
        <w:pStyle w:val="9"/>
        <w:spacing w:after="0" w:line="249" w:lineRule="auto"/>
        <w:rPr>
          <w:rFonts w:hint="eastAsia"/>
          <w:color w:val="231F20"/>
        </w:rPr>
      </w:pPr>
      <w:r>
        <w:rPr>
          <w:rFonts w:hint="eastAsia"/>
          <w:color w:val="231F20"/>
        </w:rPr>
        <w:t>How are we to reconcile this apparent contradiction?</w:t>
      </w:r>
    </w:p>
    <w:p w14:paraId="1E2E466E">
      <w:pPr>
        <w:pStyle w:val="9"/>
        <w:spacing w:after="0" w:line="249" w:lineRule="auto"/>
        <w:rPr>
          <w:rFonts w:hint="eastAsia"/>
          <w:color w:val="231F20"/>
        </w:rPr>
      </w:pPr>
      <w:r>
        <w:rPr>
          <w:rFonts w:hint="eastAsia"/>
          <w:color w:val="231F20"/>
        </w:rPr>
        <w:t>我们该如何调和这个明显的矛盾？</w:t>
      </w:r>
    </w:p>
    <w:p w14:paraId="75678EB8">
      <w:pPr>
        <w:pStyle w:val="9"/>
        <w:spacing w:after="0" w:line="249" w:lineRule="auto"/>
        <w:rPr>
          <w:rFonts w:hint="eastAsia"/>
          <w:color w:val="231F20"/>
        </w:rPr>
      </w:pPr>
    </w:p>
    <w:p w14:paraId="35AEBB8D">
      <w:pPr>
        <w:pStyle w:val="9"/>
        <w:spacing w:after="0" w:line="249" w:lineRule="auto"/>
        <w:rPr>
          <w:rFonts w:hint="eastAsia"/>
          <w:color w:val="231F20"/>
        </w:rPr>
      </w:pPr>
      <w:r>
        <w:rPr>
          <w:rFonts w:hint="eastAsia"/>
          <w:color w:val="231F20"/>
        </w:rPr>
        <w:t>Paul himself has just given us the answer.</w:t>
      </w:r>
    </w:p>
    <w:p w14:paraId="474682FB">
      <w:pPr>
        <w:pStyle w:val="9"/>
        <w:spacing w:after="0" w:line="249" w:lineRule="auto"/>
        <w:rPr>
          <w:rFonts w:hint="eastAsia"/>
          <w:color w:val="231F20"/>
        </w:rPr>
      </w:pPr>
      <w:r>
        <w:rPr>
          <w:rFonts w:hint="eastAsia"/>
          <w:color w:val="231F20"/>
        </w:rPr>
        <w:t>保罗自己刚刚给了我们答案。</w:t>
      </w:r>
    </w:p>
    <w:p w14:paraId="569BB0FB">
      <w:pPr>
        <w:pStyle w:val="9"/>
        <w:spacing w:after="0" w:line="249" w:lineRule="auto"/>
        <w:rPr>
          <w:rFonts w:hint="eastAsia"/>
          <w:color w:val="231F20"/>
        </w:rPr>
      </w:pPr>
    </w:p>
    <w:p w14:paraId="1B6DFEE0">
      <w:pPr>
        <w:pStyle w:val="9"/>
        <w:spacing w:after="0" w:line="249" w:lineRule="auto"/>
        <w:rPr>
          <w:rFonts w:hint="eastAsia"/>
          <w:color w:val="231F20"/>
        </w:rPr>
      </w:pPr>
      <w:r>
        <w:rPr>
          <w:rFonts w:hint="eastAsia"/>
          <w:color w:val="231F20"/>
        </w:rPr>
        <w:t>Again, in the mind of God, they are not all “Israel” who are descended from Israel.</w:t>
      </w:r>
    </w:p>
    <w:p w14:paraId="1E7CF2FC">
      <w:pPr>
        <w:pStyle w:val="9"/>
        <w:spacing w:after="0" w:line="249" w:lineRule="auto"/>
        <w:rPr>
          <w:rFonts w:hint="eastAsia"/>
          <w:color w:val="231F20"/>
        </w:rPr>
      </w:pPr>
      <w:r>
        <w:rPr>
          <w:rFonts w:hint="eastAsia"/>
          <w:color w:val="231F20"/>
        </w:rPr>
        <w:t>再次，在上帝的心意中，从以色列生的，不都是“以色列人”。</w:t>
      </w:r>
    </w:p>
    <w:p w14:paraId="31087BB2">
      <w:pPr>
        <w:pStyle w:val="9"/>
        <w:spacing w:after="0" w:line="249" w:lineRule="auto"/>
        <w:rPr>
          <w:rFonts w:hint="eastAsia"/>
          <w:color w:val="231F20"/>
        </w:rPr>
      </w:pPr>
    </w:p>
    <w:p w14:paraId="541F55ED">
      <w:pPr>
        <w:pStyle w:val="9"/>
        <w:spacing w:after="0" w:line="249" w:lineRule="auto"/>
        <w:rPr>
          <w:rFonts w:hint="eastAsia"/>
          <w:color w:val="231F20"/>
        </w:rPr>
      </w:pPr>
      <w:r>
        <w:rPr>
          <w:rFonts w:hint="eastAsia"/>
          <w:color w:val="231F20"/>
        </w:rPr>
        <w:t>In the mind of God, the true human parties to the Eternal Covenant—the true “Israel of God”— are elect believers in Jesus, whether Jew or Gentile (Gal. 6:16).</w:t>
      </w:r>
    </w:p>
    <w:p w14:paraId="170DEEE5">
      <w:pPr>
        <w:pStyle w:val="9"/>
        <w:spacing w:after="0" w:line="249" w:lineRule="auto"/>
        <w:rPr>
          <w:rFonts w:hint="eastAsia"/>
          <w:color w:val="231F20"/>
        </w:rPr>
      </w:pPr>
      <w:r>
        <w:rPr>
          <w:rFonts w:hint="eastAsia"/>
          <w:color w:val="231F20"/>
        </w:rPr>
        <w:t>在上帝的心意中，永恒之约的真正人类立约方——真正的“上帝的以色列”——是蒙拣选的在耶稣里的信徒，无论是犹太人还是外邦人（加拉太书 6:16）。</w:t>
      </w:r>
    </w:p>
    <w:p w14:paraId="159255BE">
      <w:pPr>
        <w:pStyle w:val="9"/>
        <w:spacing w:after="0" w:line="249" w:lineRule="auto"/>
        <w:rPr>
          <w:rFonts w:hint="eastAsia"/>
          <w:color w:val="231F20"/>
        </w:rPr>
      </w:pPr>
    </w:p>
    <w:p w14:paraId="3C90C274">
      <w:pPr>
        <w:pStyle w:val="9"/>
        <w:spacing w:after="0" w:line="249" w:lineRule="auto"/>
        <w:rPr>
          <w:rFonts w:hint="eastAsia"/>
          <w:color w:val="231F20"/>
        </w:rPr>
      </w:pPr>
      <w:r>
        <w:rPr>
          <w:rFonts w:hint="eastAsia"/>
          <w:color w:val="231F20"/>
        </w:rPr>
        <w:t>It is of this “Israel” that God speaks—albeit in typological and covenantally conditioned language—in Hosea’s great OTKP.</w:t>
      </w:r>
    </w:p>
    <w:p w14:paraId="4CB5DE94">
      <w:pPr>
        <w:pStyle w:val="9"/>
        <w:spacing w:after="0" w:line="249" w:lineRule="auto"/>
        <w:rPr>
          <w:rFonts w:hint="eastAsia"/>
          <w:color w:val="231F20"/>
        </w:rPr>
      </w:pPr>
      <w:r>
        <w:rPr>
          <w:rFonts w:hint="eastAsia"/>
          <w:color w:val="231F20"/>
        </w:rPr>
        <w:t>上帝在何西阿伟大的旧约国度预言（OTKP）中，正是论到这个“以色列”——尽管是用预表性的和受圣约制约的语言。</w:t>
      </w:r>
    </w:p>
    <w:p w14:paraId="684E623F">
      <w:pPr>
        <w:pStyle w:val="9"/>
        <w:spacing w:after="0" w:line="249" w:lineRule="auto"/>
        <w:rPr>
          <w:rFonts w:hint="eastAsia"/>
          <w:color w:val="231F20"/>
        </w:rPr>
      </w:pPr>
    </w:p>
    <w:p w14:paraId="2F564257">
      <w:pPr>
        <w:pStyle w:val="9"/>
        <w:spacing w:after="0" w:line="249" w:lineRule="auto"/>
        <w:rPr>
          <w:rFonts w:hint="eastAsia"/>
          <w:color w:val="231F20"/>
        </w:rPr>
      </w:pPr>
      <w:r>
        <w:rPr>
          <w:rFonts w:hint="eastAsia"/>
          <w:color w:val="231F20"/>
        </w:rPr>
        <w:t>Was God therefore speaking of elect Jews?</w:t>
      </w:r>
    </w:p>
    <w:p w14:paraId="5B30B244">
      <w:pPr>
        <w:pStyle w:val="9"/>
        <w:spacing w:after="0" w:line="249" w:lineRule="auto"/>
        <w:rPr>
          <w:rFonts w:hint="eastAsia"/>
          <w:color w:val="231F20"/>
        </w:rPr>
      </w:pPr>
      <w:r>
        <w:rPr>
          <w:rFonts w:hint="eastAsia"/>
          <w:color w:val="231F20"/>
        </w:rPr>
        <w:t>那么上帝是在说蒙拣选的犹太人吗？</w:t>
      </w:r>
    </w:p>
    <w:p w14:paraId="02AF5753">
      <w:pPr>
        <w:pStyle w:val="9"/>
        <w:spacing w:after="0" w:line="249" w:lineRule="auto"/>
        <w:rPr>
          <w:rFonts w:hint="eastAsia"/>
          <w:color w:val="231F20"/>
        </w:rPr>
      </w:pPr>
    </w:p>
    <w:p w14:paraId="7AE36C5B">
      <w:pPr>
        <w:pStyle w:val="9"/>
        <w:spacing w:after="0" w:line="249" w:lineRule="auto"/>
        <w:rPr>
          <w:rFonts w:hint="eastAsia"/>
          <w:color w:val="231F20"/>
        </w:rPr>
      </w:pPr>
      <w:r>
        <w:rPr>
          <w:rFonts w:hint="eastAsia"/>
          <w:color w:val="231F20"/>
        </w:rPr>
        <w:t>Yes.</w:t>
      </w:r>
    </w:p>
    <w:p w14:paraId="24928841">
      <w:pPr>
        <w:pStyle w:val="9"/>
        <w:spacing w:after="0" w:line="249" w:lineRule="auto"/>
        <w:rPr>
          <w:rFonts w:hint="eastAsia"/>
          <w:color w:val="231F20"/>
        </w:rPr>
      </w:pPr>
      <w:r>
        <w:rPr>
          <w:rFonts w:hint="eastAsia"/>
          <w:color w:val="231F20"/>
        </w:rPr>
        <w:t>是的。</w:t>
      </w:r>
    </w:p>
    <w:p w14:paraId="6696C877">
      <w:pPr>
        <w:pStyle w:val="9"/>
        <w:spacing w:after="0" w:line="249" w:lineRule="auto"/>
        <w:rPr>
          <w:rFonts w:hint="eastAsia"/>
          <w:color w:val="231F20"/>
        </w:rPr>
      </w:pPr>
    </w:p>
    <w:p w14:paraId="23CA4596">
      <w:pPr>
        <w:pStyle w:val="9"/>
        <w:spacing w:after="0" w:line="249" w:lineRule="auto"/>
        <w:rPr>
          <w:rFonts w:hint="eastAsia"/>
          <w:color w:val="231F20"/>
        </w:rPr>
      </w:pPr>
      <w:r>
        <w:rPr>
          <w:rFonts w:hint="eastAsia"/>
          <w:color w:val="231F20"/>
        </w:rPr>
        <w:t>But was he also speaking of elect Gentiles?</w:t>
      </w:r>
    </w:p>
    <w:p w14:paraId="58CC27B0">
      <w:pPr>
        <w:pStyle w:val="9"/>
        <w:spacing w:after="0" w:line="249" w:lineRule="auto"/>
        <w:rPr>
          <w:rFonts w:hint="eastAsia"/>
          <w:color w:val="231F20"/>
        </w:rPr>
      </w:pPr>
      <w:r>
        <w:rPr>
          <w:rFonts w:hint="eastAsia"/>
          <w:color w:val="231F20"/>
        </w:rPr>
        <w:t>但祂也在说蒙拣选的外邦人吗？</w:t>
      </w:r>
    </w:p>
    <w:p w14:paraId="5CC1859F">
      <w:pPr>
        <w:pStyle w:val="9"/>
        <w:spacing w:after="0" w:line="249" w:lineRule="auto"/>
        <w:rPr>
          <w:rFonts w:hint="eastAsia"/>
          <w:color w:val="231F20"/>
        </w:rPr>
      </w:pPr>
    </w:p>
    <w:p w14:paraId="7C118A06">
      <w:pPr>
        <w:pStyle w:val="9"/>
        <w:spacing w:after="0" w:line="249" w:lineRule="auto"/>
        <w:rPr>
          <w:rFonts w:hint="eastAsia"/>
          <w:color w:val="231F20"/>
        </w:rPr>
      </w:pPr>
      <w:r>
        <w:rPr>
          <w:rFonts w:hint="eastAsia"/>
          <w:color w:val="231F20"/>
        </w:rPr>
        <w:t>Yes.</w:t>
      </w:r>
    </w:p>
    <w:p w14:paraId="7877CA63">
      <w:pPr>
        <w:pStyle w:val="9"/>
        <w:spacing w:after="0" w:line="249" w:lineRule="auto"/>
        <w:rPr>
          <w:rFonts w:hint="eastAsia"/>
          <w:color w:val="231F20"/>
        </w:rPr>
      </w:pPr>
      <w:r>
        <w:rPr>
          <w:rFonts w:hint="eastAsia"/>
          <w:color w:val="231F20"/>
        </w:rPr>
        <w:t>是的。</w:t>
      </w:r>
    </w:p>
    <w:p w14:paraId="5DBB867D">
      <w:pPr>
        <w:pStyle w:val="9"/>
        <w:spacing w:after="0" w:line="249" w:lineRule="auto"/>
        <w:rPr>
          <w:rFonts w:hint="eastAsia"/>
          <w:color w:val="231F20"/>
        </w:rPr>
      </w:pPr>
    </w:p>
    <w:p w14:paraId="070CFFD1">
      <w:pPr>
        <w:pStyle w:val="9"/>
        <w:spacing w:after="0" w:line="249" w:lineRule="auto"/>
        <w:rPr>
          <w:rFonts w:hint="eastAsia"/>
          <w:color w:val="231F20"/>
        </w:rPr>
      </w:pPr>
      <w:r>
        <w:rPr>
          <w:rFonts w:hint="eastAsia"/>
          <w:color w:val="231F20"/>
        </w:rPr>
        <w:t>And this is why Paul did not hesitate to apply Hosea 2:23 to Gentile Christians.</w:t>
      </w:r>
    </w:p>
    <w:p w14:paraId="20B365A0">
      <w:pPr>
        <w:pStyle w:val="9"/>
        <w:spacing w:after="0" w:line="249" w:lineRule="auto"/>
        <w:rPr>
          <w:rFonts w:hint="eastAsia"/>
          <w:color w:val="231F20"/>
        </w:rPr>
      </w:pPr>
      <w:r>
        <w:rPr>
          <w:rFonts w:hint="eastAsia"/>
          <w:color w:val="231F20"/>
        </w:rPr>
        <w:t>这就是为什么保罗毫不犹豫地将何西阿书 2:23 应用于外邦基督徒。</w:t>
      </w:r>
    </w:p>
    <w:p w14:paraId="56A65311">
      <w:pPr>
        <w:pStyle w:val="9"/>
        <w:spacing w:after="0" w:line="249" w:lineRule="auto"/>
        <w:rPr>
          <w:rFonts w:hint="eastAsia"/>
          <w:color w:val="231F20"/>
        </w:rPr>
      </w:pPr>
    </w:p>
    <w:p w14:paraId="0B184D33">
      <w:pPr>
        <w:pStyle w:val="9"/>
        <w:spacing w:after="0" w:line="249" w:lineRule="auto"/>
        <w:rPr>
          <w:rFonts w:hint="eastAsia"/>
          <w:color w:val="231F20"/>
        </w:rPr>
      </w:pPr>
      <w:r>
        <w:rPr>
          <w:rFonts w:hint="eastAsia"/>
          <w:color w:val="231F20"/>
        </w:rPr>
        <w:t>He could, however, just as easily have applied it to himself, or to the many Jewish priests who had lately become obedient to the faith (Acts 6:7, 9:1).</w:t>
      </w:r>
    </w:p>
    <w:p w14:paraId="68C5A8B2">
      <w:pPr>
        <w:pStyle w:val="9"/>
        <w:spacing w:after="0" w:line="249" w:lineRule="auto"/>
        <w:rPr>
          <w:rFonts w:hint="eastAsia"/>
          <w:color w:val="231F20"/>
        </w:rPr>
      </w:pPr>
      <w:r>
        <w:rPr>
          <w:rFonts w:hint="eastAsia"/>
          <w:color w:val="231F20"/>
        </w:rPr>
        <w:t>然而，他也可以同样轻易地将其应用于自己，或应用于许多最近顺服了这信仰的犹太祭司（使徒行传 6:7, 9:1）。</w:t>
      </w:r>
    </w:p>
    <w:p w14:paraId="5B20654E">
      <w:pPr>
        <w:pStyle w:val="9"/>
        <w:spacing w:after="0" w:line="249" w:lineRule="auto"/>
        <w:rPr>
          <w:rFonts w:hint="eastAsia"/>
          <w:color w:val="231F20"/>
        </w:rPr>
      </w:pPr>
    </w:p>
    <w:p w14:paraId="5EAACC7F">
      <w:pPr>
        <w:pStyle w:val="9"/>
        <w:spacing w:after="0" w:line="249" w:lineRule="auto"/>
        <w:rPr>
          <w:rFonts w:hint="eastAsia"/>
          <w:color w:val="231F20"/>
        </w:rPr>
      </w:pPr>
      <w:r>
        <w:rPr>
          <w:rFonts w:hint="eastAsia"/>
          <w:color w:val="231F20"/>
        </w:rPr>
        <w:t>Prior to their conversion they too were Lo-Ammi, “not God’s people” (Hosea 1:9).</w:t>
      </w:r>
    </w:p>
    <w:p w14:paraId="141EEBD6">
      <w:pPr>
        <w:pStyle w:val="9"/>
        <w:spacing w:after="0" w:line="249" w:lineRule="auto"/>
        <w:rPr>
          <w:rFonts w:hint="eastAsia"/>
          <w:color w:val="231F20"/>
        </w:rPr>
      </w:pPr>
      <w:r>
        <w:rPr>
          <w:rFonts w:hint="eastAsia"/>
          <w:color w:val="231F20"/>
        </w:rPr>
        <w:t>在他们归信之前，他们也是“罗阿米”，即“非我民”（何西阿书 1:9）。</w:t>
      </w:r>
    </w:p>
    <w:p w14:paraId="052FF9F8">
      <w:pPr>
        <w:pStyle w:val="9"/>
        <w:spacing w:after="0" w:line="249" w:lineRule="auto"/>
        <w:rPr>
          <w:rFonts w:hint="eastAsia"/>
          <w:color w:val="231F20"/>
        </w:rPr>
      </w:pPr>
    </w:p>
    <w:p w14:paraId="7FAEE0BD">
      <w:pPr>
        <w:pStyle w:val="9"/>
        <w:spacing w:after="0" w:line="249" w:lineRule="auto"/>
        <w:rPr>
          <w:rFonts w:hint="eastAsia"/>
          <w:color w:val="231F20"/>
        </w:rPr>
      </w:pPr>
      <w:r>
        <w:rPr>
          <w:rFonts w:hint="eastAsia"/>
          <w:color w:val="231F20"/>
        </w:rPr>
        <w:t>After their conversion, they too were Ammi and Ruhama: God’s people, and those who had obtained compassion (Hosea 2:1).</w:t>
      </w:r>
    </w:p>
    <w:p w14:paraId="4C8EF2F0">
      <w:pPr>
        <w:pStyle w:val="9"/>
        <w:spacing w:after="0" w:line="249" w:lineRule="auto"/>
        <w:rPr>
          <w:rFonts w:hint="eastAsia"/>
          <w:color w:val="231F20"/>
        </w:rPr>
      </w:pPr>
      <w:r>
        <w:rPr>
          <w:rFonts w:hint="eastAsia"/>
          <w:color w:val="231F20"/>
        </w:rPr>
        <w:t>在他们归信之后，他们也成了“阿米”和“路哈玛”：即上帝的子民，和蒙了怜恤的人（何西阿书 2:1）。</w:t>
      </w:r>
    </w:p>
    <w:p w14:paraId="73BCB9CB">
      <w:pPr>
        <w:pStyle w:val="9"/>
        <w:spacing w:after="0" w:line="249" w:lineRule="auto"/>
        <w:rPr>
          <w:rFonts w:hint="eastAsia"/>
          <w:color w:val="231F20"/>
        </w:rPr>
      </w:pPr>
    </w:p>
    <w:p w14:paraId="4D7D6AA3">
      <w:pPr>
        <w:pStyle w:val="9"/>
        <w:spacing w:after="0" w:line="249" w:lineRule="auto"/>
        <w:rPr>
          <w:rFonts w:hint="eastAsia"/>
          <w:color w:val="231F20"/>
        </w:rPr>
      </w:pPr>
      <w:r>
        <w:rPr>
          <w:rFonts w:hint="eastAsia"/>
          <w:color w:val="231F20"/>
        </w:rPr>
        <w:t>Hosea’s prophecy speaks of—and to—Jew and Gentile alike.</w:t>
      </w:r>
    </w:p>
    <w:p w14:paraId="001ED80C">
      <w:pPr>
        <w:pStyle w:val="9"/>
        <w:spacing w:after="0" w:line="249" w:lineRule="auto"/>
        <w:rPr>
          <w:rFonts w:hint="eastAsia"/>
          <w:color w:val="231F20"/>
        </w:rPr>
      </w:pPr>
      <w:r>
        <w:rPr>
          <w:rFonts w:hint="eastAsia"/>
          <w:color w:val="231F20"/>
        </w:rPr>
        <w:t>何西阿的预言既论到犹太人，也论到外邦人。</w:t>
      </w:r>
    </w:p>
    <w:p w14:paraId="2B06CA10">
      <w:pPr>
        <w:pStyle w:val="9"/>
        <w:spacing w:after="0" w:line="249" w:lineRule="auto"/>
        <w:rPr>
          <w:rFonts w:hint="eastAsia"/>
          <w:color w:val="231F20"/>
        </w:rPr>
      </w:pPr>
    </w:p>
    <w:p w14:paraId="709CA2DD">
      <w:pPr>
        <w:pStyle w:val="9"/>
        <w:spacing w:after="0" w:line="249" w:lineRule="auto"/>
        <w:rPr>
          <w:rFonts w:hint="eastAsia"/>
          <w:color w:val="231F20"/>
        </w:rPr>
      </w:pPr>
      <w:r>
        <w:rPr>
          <w:rFonts w:hint="eastAsia"/>
          <w:color w:val="231F20"/>
        </w:rPr>
        <w:t>Here, then, is yet another instance in which we find the apostle using the NCH; in which we find him interpreting OTKP typologically, covenantally, and ecclesiologically.</w:t>
      </w:r>
    </w:p>
    <w:p w14:paraId="12DD14C4">
      <w:pPr>
        <w:pStyle w:val="9"/>
        <w:spacing w:after="0" w:line="249" w:lineRule="auto"/>
        <w:rPr>
          <w:rFonts w:hint="eastAsia"/>
          <w:color w:val="231F20"/>
        </w:rPr>
      </w:pPr>
      <w:r>
        <w:rPr>
          <w:rFonts w:hint="eastAsia"/>
          <w:color w:val="231F20"/>
        </w:rPr>
        <w:t>那么，这里又是一个我们发现使徒使用新约解释学（NCH）的例子；在这里我们发现他以预表的、基于圣约的和教会论的方式来解释旧约国度预言（OTKP）。</w:t>
      </w:r>
    </w:p>
    <w:p w14:paraId="0EFA4554">
      <w:pPr>
        <w:pStyle w:val="9"/>
        <w:spacing w:after="0" w:line="249" w:lineRule="auto"/>
        <w:rPr>
          <w:rFonts w:hint="eastAsia"/>
          <w:color w:val="231F20"/>
        </w:rPr>
      </w:pPr>
    </w:p>
    <w:p w14:paraId="5FFE1BDE">
      <w:pPr>
        <w:pStyle w:val="9"/>
        <w:spacing w:after="0" w:line="249" w:lineRule="auto"/>
        <w:rPr>
          <w:rFonts w:hint="eastAsia"/>
          <w:color w:val="231F20"/>
        </w:rPr>
      </w:pPr>
      <w:r>
        <w:rPr>
          <w:rFonts w:hint="eastAsia"/>
          <w:color w:val="231F20"/>
        </w:rPr>
        <w:t>To Paul’s mind, God is not speaking in Hosea of his plans for ethnic Israel in a future millennium.</w:t>
      </w:r>
    </w:p>
    <w:p w14:paraId="03DEFCAB">
      <w:pPr>
        <w:pStyle w:val="9"/>
        <w:spacing w:after="0" w:line="249" w:lineRule="auto"/>
        <w:rPr>
          <w:rFonts w:hint="eastAsia"/>
          <w:color w:val="231F20"/>
        </w:rPr>
      </w:pPr>
      <w:r>
        <w:rPr>
          <w:rFonts w:hint="eastAsia"/>
          <w:color w:val="231F20"/>
        </w:rPr>
        <w:t>在保罗看来，上帝在何西阿书中并不是在谈论祂对未来千禧年中以色列民族的计划。</w:t>
      </w:r>
    </w:p>
    <w:p w14:paraId="27DAB026">
      <w:pPr>
        <w:pStyle w:val="9"/>
        <w:spacing w:after="0" w:line="249" w:lineRule="auto"/>
        <w:rPr>
          <w:rFonts w:hint="eastAsia"/>
          <w:color w:val="231F20"/>
        </w:rPr>
      </w:pPr>
    </w:p>
    <w:p w14:paraId="52AE0DAE">
      <w:pPr>
        <w:pStyle w:val="9"/>
        <w:spacing w:after="0" w:line="249" w:lineRule="auto"/>
        <w:rPr>
          <w:rFonts w:hint="eastAsia"/>
          <w:color w:val="231F20"/>
        </w:rPr>
      </w:pPr>
      <w:r>
        <w:rPr>
          <w:rFonts w:hint="eastAsia"/>
          <w:color w:val="231F20"/>
        </w:rPr>
        <w:t>No, he is speaking of his plans for the Church of his Son—both Jew and Gentile—in the two-staged Kingdom to come.</w:t>
      </w:r>
    </w:p>
    <w:p w14:paraId="30B982DA">
      <w:pPr>
        <w:pStyle w:val="9"/>
        <w:spacing w:after="0" w:line="249" w:lineRule="auto"/>
        <w:rPr>
          <w:rFonts w:hint="eastAsia"/>
          <w:color w:val="231F20"/>
        </w:rPr>
      </w:pPr>
      <w:r>
        <w:rPr>
          <w:rFonts w:hint="eastAsia"/>
          <w:color w:val="231F20"/>
        </w:rPr>
        <w:t>不，祂是在谈论祂对祂儿子的教会——包括犹太人和外邦人——在将要来临的两阶段国度中的计划。</w:t>
      </w:r>
    </w:p>
    <w:p w14:paraId="57AD6463">
      <w:pPr>
        <w:pStyle w:val="9"/>
        <w:spacing w:after="0" w:line="249" w:lineRule="auto"/>
        <w:rPr>
          <w:rFonts w:hint="eastAsia"/>
          <w:color w:val="231F20"/>
        </w:rPr>
      </w:pPr>
    </w:p>
    <w:p w14:paraId="31C96DAE">
      <w:pPr>
        <w:pStyle w:val="9"/>
        <w:spacing w:after="0" w:line="249" w:lineRule="auto"/>
        <w:rPr>
          <w:rFonts w:hint="eastAsia"/>
          <w:color w:val="231F20"/>
        </w:rPr>
      </w:pPr>
      <w:r>
        <w:rPr>
          <w:rFonts w:hint="eastAsia"/>
          <w:color w:val="231F20"/>
        </w:rPr>
        <w:t>This is how he understands all OTKP, how he finds the Gospel in it, and how he preaches the Gospel from it.</w:t>
      </w:r>
    </w:p>
    <w:p w14:paraId="410E6420">
      <w:pPr>
        <w:pStyle w:val="9"/>
        <w:spacing w:after="0" w:line="249" w:lineRule="auto"/>
        <w:rPr>
          <w:rFonts w:hint="eastAsia"/>
          <w:color w:val="231F20"/>
        </w:rPr>
      </w:pPr>
      <w:r>
        <w:rPr>
          <w:rFonts w:hint="eastAsia"/>
          <w:color w:val="231F20"/>
        </w:rPr>
        <w:t>这就是他如何理解所有旧约国度预言（OTKP），如何从中找到福音，以及如何从中传讲福音。</w:t>
      </w:r>
    </w:p>
    <w:p w14:paraId="6DC1F5E6">
      <w:pPr>
        <w:pStyle w:val="9"/>
        <w:spacing w:after="0" w:line="249" w:lineRule="auto"/>
        <w:rPr>
          <w:rFonts w:hint="eastAsia"/>
          <w:color w:val="231F20"/>
        </w:rPr>
      </w:pPr>
    </w:p>
    <w:p w14:paraId="080F23EF">
      <w:pPr>
        <w:pStyle w:val="9"/>
        <w:spacing w:after="0" w:line="249" w:lineRule="auto"/>
        <w:rPr>
          <w:rFonts w:hint="eastAsia"/>
          <w:color w:val="231F20"/>
        </w:rPr>
      </w:pPr>
      <w:r>
        <w:rPr>
          <w:rFonts w:hint="eastAsia"/>
          <w:color w:val="231F20"/>
        </w:rPr>
        <w:t>God calls us to do the same.</w:t>
      </w:r>
    </w:p>
    <w:p w14:paraId="28D451D5">
      <w:pPr>
        <w:pStyle w:val="9"/>
        <w:spacing w:after="0" w:line="249" w:lineRule="auto"/>
        <w:rPr>
          <w:rFonts w:hint="eastAsia"/>
          <w:color w:val="231F20"/>
        </w:rPr>
      </w:pPr>
      <w:r>
        <w:rPr>
          <w:rFonts w:hint="eastAsia"/>
          <w:color w:val="231F20"/>
        </w:rPr>
        <w:t>上帝呼召我们也要如此行。</w:t>
      </w:r>
    </w:p>
    <w:p w14:paraId="655B5788">
      <w:pPr>
        <w:pStyle w:val="9"/>
        <w:spacing w:after="0" w:line="249" w:lineRule="auto"/>
        <w:rPr>
          <w:rFonts w:hint="eastAsia"/>
          <w:color w:val="231F20"/>
        </w:rPr>
      </w:pPr>
    </w:p>
    <w:p w14:paraId="135938B3">
      <w:pPr>
        <w:pStyle w:val="9"/>
        <w:spacing w:after="0" w:line="249" w:lineRule="auto"/>
        <w:rPr>
          <w:rFonts w:hint="eastAsia"/>
          <w:color w:val="231F20"/>
        </w:rPr>
      </w:pPr>
      <w:r>
        <w:rPr>
          <w:rFonts w:hint="eastAsia"/>
          <w:color w:val="231F20"/>
        </w:rPr>
        <w:t>6.Whosoever Calls on the Name of the Lord</w:t>
      </w:r>
    </w:p>
    <w:p w14:paraId="7D62F2B2">
      <w:pPr>
        <w:pStyle w:val="9"/>
        <w:spacing w:after="0" w:line="249" w:lineRule="auto"/>
        <w:rPr>
          <w:rFonts w:hint="eastAsia"/>
          <w:color w:val="231F20"/>
        </w:rPr>
      </w:pPr>
      <w:r>
        <w:rPr>
          <w:rFonts w:hint="eastAsia"/>
          <w:color w:val="231F20"/>
        </w:rPr>
        <w:t>6.凡求告主名的</w:t>
      </w:r>
    </w:p>
    <w:p w14:paraId="591672E3">
      <w:pPr>
        <w:pStyle w:val="9"/>
        <w:spacing w:after="0" w:line="249" w:lineRule="auto"/>
        <w:rPr>
          <w:rFonts w:hint="eastAsia"/>
          <w:color w:val="231F20"/>
        </w:rPr>
      </w:pPr>
    </w:p>
    <w:p w14:paraId="7111F567">
      <w:pPr>
        <w:pStyle w:val="9"/>
        <w:spacing w:after="0" w:line="249" w:lineRule="auto"/>
        <w:rPr>
          <w:rFonts w:hint="eastAsia"/>
          <w:color w:val="231F20"/>
        </w:rPr>
      </w:pPr>
      <w:r>
        <w:rPr>
          <w:rFonts w:hint="eastAsia"/>
          <w:color w:val="231F20"/>
        </w:rPr>
        <w:t>(Romans 10:12-13, Joel 2:28-32)</w:t>
      </w:r>
    </w:p>
    <w:p w14:paraId="5B5AD280">
      <w:pPr>
        <w:pStyle w:val="9"/>
        <w:spacing w:after="0" w:line="249" w:lineRule="auto"/>
        <w:rPr>
          <w:rFonts w:hint="eastAsia"/>
          <w:color w:val="231F20"/>
        </w:rPr>
      </w:pPr>
      <w:r>
        <w:rPr>
          <w:rFonts w:hint="eastAsia"/>
          <w:color w:val="231F20"/>
        </w:rPr>
        <w:t>（罗马书 10:12-13, 约珥书 2:28-32）</w:t>
      </w:r>
    </w:p>
    <w:p w14:paraId="23669677">
      <w:pPr>
        <w:pStyle w:val="9"/>
        <w:spacing w:after="0" w:line="249" w:lineRule="auto"/>
        <w:rPr>
          <w:rFonts w:hint="eastAsia"/>
          <w:color w:val="231F20"/>
        </w:rPr>
      </w:pPr>
    </w:p>
    <w:p w14:paraId="1BC3E340">
      <w:pPr>
        <w:pStyle w:val="9"/>
        <w:spacing w:after="0" w:line="249" w:lineRule="auto"/>
        <w:rPr>
          <w:rFonts w:hint="eastAsia"/>
          <w:color w:val="231F20"/>
        </w:rPr>
      </w:pPr>
      <w:r>
        <w:rPr>
          <w:rFonts w:hint="eastAsia"/>
          <w:color w:val="231F20"/>
        </w:rPr>
        <w:t>Continuing his discourse on Israel’s unbelief, Paul now commends his Jewish brethren for their religious zeal, but faults them for not recognizing that right standing with God cannot come through the Law (for no sinner can keep the Law), but only through Christ, who, by his righteous life and atoning death, fulfilled the Law for all who will trust in him.</w:t>
      </w:r>
    </w:p>
    <w:p w14:paraId="5D0E1D01">
      <w:pPr>
        <w:pStyle w:val="9"/>
        <w:spacing w:after="0" w:line="249" w:lineRule="auto"/>
        <w:rPr>
          <w:rFonts w:hint="eastAsia"/>
          <w:color w:val="231F20"/>
        </w:rPr>
      </w:pPr>
      <w:r>
        <w:rPr>
          <w:rFonts w:hint="eastAsia"/>
          <w:color w:val="231F20"/>
        </w:rPr>
        <w:t>保罗继续他关于以色列不信的论述，现在他称赞他的犹太弟兄们有宗教的热忱，但指责他们没有认识到，在上帝面前的正确地位不能通过律法获得（因为没有罪人能遵守律法），而只能通过基督获得，基督藉着祂公义的生命和赎罪的死亡，为所有信靠祂的人成全了律法。</w:t>
      </w:r>
    </w:p>
    <w:p w14:paraId="0EC91522">
      <w:pPr>
        <w:pStyle w:val="9"/>
        <w:spacing w:after="0" w:line="249" w:lineRule="auto"/>
        <w:rPr>
          <w:rFonts w:hint="eastAsia"/>
          <w:color w:val="231F20"/>
        </w:rPr>
      </w:pPr>
    </w:p>
    <w:p w14:paraId="6D4DE61C">
      <w:pPr>
        <w:pStyle w:val="9"/>
        <w:spacing w:after="0" w:line="249" w:lineRule="auto"/>
        <w:rPr>
          <w:rFonts w:hint="eastAsia"/>
          <w:color w:val="231F20"/>
        </w:rPr>
      </w:pPr>
      <w:r>
        <w:rPr>
          <w:rFonts w:hint="eastAsia"/>
          <w:color w:val="231F20"/>
        </w:rPr>
        <w:t>The great need, then, is for all sinners, whether Jew or Gentile, to look to Christ in faith, thereby receiving his imputed righteousness, and so becoming righteous in God’s sight.</w:t>
      </w:r>
    </w:p>
    <w:p w14:paraId="6DA88375">
      <w:pPr>
        <w:pStyle w:val="9"/>
        <w:spacing w:after="0" w:line="249" w:lineRule="auto"/>
        <w:rPr>
          <w:rFonts w:hint="eastAsia"/>
          <w:color w:val="231F20"/>
        </w:rPr>
      </w:pPr>
      <w:r>
        <w:rPr>
          <w:rFonts w:hint="eastAsia"/>
          <w:color w:val="231F20"/>
        </w:rPr>
        <w:t>因此，极大的需要是，所有罪人，无论是犹太人还是外邦人，都当凭信心仰望基督，从而领受祂所归算的义，并在上帝眼中成为义人。</w:t>
      </w:r>
    </w:p>
    <w:p w14:paraId="58410804">
      <w:pPr>
        <w:pStyle w:val="9"/>
        <w:spacing w:after="0" w:line="249" w:lineRule="auto"/>
        <w:rPr>
          <w:rFonts w:hint="eastAsia"/>
          <w:color w:val="231F20"/>
        </w:rPr>
      </w:pPr>
    </w:p>
    <w:p w14:paraId="3F415F03">
      <w:pPr>
        <w:pStyle w:val="9"/>
        <w:spacing w:after="0" w:line="249" w:lineRule="auto"/>
        <w:rPr>
          <w:rFonts w:hint="eastAsia"/>
          <w:color w:val="231F20"/>
        </w:rPr>
      </w:pPr>
      <w:r>
        <w:rPr>
          <w:rFonts w:hint="eastAsia"/>
          <w:color w:val="231F20"/>
        </w:rPr>
        <w:t>In Rom. 10:12-13, Paul sums up this argument, capping it off with a quote from the prophet Joel:</w:t>
      </w:r>
    </w:p>
    <w:p w14:paraId="4EA13735">
      <w:pPr>
        <w:pStyle w:val="9"/>
        <w:spacing w:after="0" w:line="249" w:lineRule="auto"/>
        <w:rPr>
          <w:rFonts w:hint="eastAsia"/>
          <w:color w:val="231F20"/>
        </w:rPr>
      </w:pPr>
      <w:r>
        <w:rPr>
          <w:rFonts w:hint="eastAsia"/>
          <w:color w:val="231F20"/>
        </w:rPr>
        <w:t>在罗马书 10:12-13，保罗总结了这个论点，并以先知约珥的一句话作结：</w:t>
      </w:r>
    </w:p>
    <w:p w14:paraId="441E36CC">
      <w:pPr>
        <w:pStyle w:val="9"/>
        <w:spacing w:after="0" w:line="249" w:lineRule="auto"/>
        <w:rPr>
          <w:rFonts w:hint="eastAsia"/>
          <w:color w:val="231F20"/>
        </w:rPr>
      </w:pPr>
    </w:p>
    <w:p w14:paraId="7619ABD2">
      <w:pPr>
        <w:pStyle w:val="9"/>
        <w:spacing w:after="0" w:line="249" w:lineRule="auto"/>
        <w:rPr>
          <w:rFonts w:hint="eastAsia"/>
          <w:color w:val="231F20"/>
        </w:rPr>
      </w:pPr>
      <w:r>
        <w:rPr>
          <w:rFonts w:hint="eastAsia"/>
          <w:color w:val="231F20"/>
        </w:rPr>
        <w:t>For there is no distinction between Jew and Greek; for the same Lord is Lord of all, abounding in riches to all who call upon Him; for, “Whoever will call upon the name of the Lord will be saved.”</w:t>
      </w:r>
    </w:p>
    <w:p w14:paraId="7862DD6E">
      <w:pPr>
        <w:pStyle w:val="9"/>
        <w:spacing w:after="0" w:line="249" w:lineRule="auto"/>
        <w:rPr>
          <w:rFonts w:hint="eastAsia"/>
          <w:color w:val="231F20"/>
        </w:rPr>
      </w:pPr>
      <w:r>
        <w:rPr>
          <w:rFonts w:hint="eastAsia"/>
          <w:color w:val="231F20"/>
        </w:rPr>
        <w:t>犹太人和希腊人并没有分别；因为众人同有一位主，祂也厚待一切求告祂的人；因为，“凡求告主名的，就必得救。”</w:t>
      </w:r>
    </w:p>
    <w:p w14:paraId="218CF3CD">
      <w:pPr>
        <w:pStyle w:val="9"/>
        <w:spacing w:after="0" w:line="249" w:lineRule="auto"/>
        <w:rPr>
          <w:rFonts w:hint="eastAsia"/>
          <w:color w:val="231F20"/>
        </w:rPr>
      </w:pPr>
    </w:p>
    <w:p w14:paraId="03A95AEF">
      <w:pPr>
        <w:pStyle w:val="9"/>
        <w:spacing w:after="0" w:line="249" w:lineRule="auto"/>
        <w:rPr>
          <w:rFonts w:hint="eastAsia"/>
          <w:color w:val="231F20"/>
        </w:rPr>
      </w:pPr>
      <w:r>
        <w:rPr>
          <w:rFonts w:hint="eastAsia"/>
          <w:color w:val="231F20"/>
        </w:rPr>
        <w:t>By using one of Joel’s most thought-provoking OTKP’s in this context, Paul indicates that he regards its sphere of fulfillment to be the Era of Proclamation and Probation; the era in which the Church is called to preach the Gospel to sinners; the era in which sinners—both Jew and Gentile—are bidden to receive righteousness and salvation by calling, in faith, upon Christ (Rom. 10:14-15).</w:t>
      </w:r>
    </w:p>
    <w:p w14:paraId="3C7A75DD">
      <w:pPr>
        <w:pStyle w:val="9"/>
        <w:spacing w:after="0" w:line="249" w:lineRule="auto"/>
        <w:rPr>
          <w:rFonts w:hint="eastAsia"/>
          <w:color w:val="231F20"/>
        </w:rPr>
      </w:pPr>
      <w:r>
        <w:rPr>
          <w:rFonts w:hint="eastAsia"/>
          <w:color w:val="231F20"/>
        </w:rPr>
        <w:t>保罗在这一上下文中使用了约珥最发人深省的旧约国度预言（OTKP）之一，表明他认为其应验范围是宣讲和验证的时代；即教会蒙召向罪人传讲福音的时代；即罪人——无论是犹太人还是外邦人——被吩咐凭信心求告基督，以领受义和救恩的时代（罗马书 10:14-15）。</w:t>
      </w:r>
    </w:p>
    <w:p w14:paraId="7668AB0D">
      <w:pPr>
        <w:pStyle w:val="9"/>
        <w:spacing w:after="0" w:line="249" w:lineRule="auto"/>
        <w:rPr>
          <w:rFonts w:hint="eastAsia"/>
          <w:color w:val="231F20"/>
        </w:rPr>
      </w:pPr>
    </w:p>
    <w:p w14:paraId="4B5D9780">
      <w:pPr>
        <w:pStyle w:val="9"/>
        <w:spacing w:after="0" w:line="249" w:lineRule="auto"/>
        <w:rPr>
          <w:rFonts w:hint="eastAsia"/>
          <w:color w:val="231F20"/>
        </w:rPr>
      </w:pPr>
      <w:r>
        <w:rPr>
          <w:rFonts w:hint="eastAsia"/>
          <w:color w:val="231F20"/>
        </w:rPr>
        <w:t>Paul’s approach, however, immediately casts Joel’s prophecy in a Gospel framework, forcing us to interpret it, not literally, but typologically, christologically, and ecclesiologically.</w:t>
      </w:r>
    </w:p>
    <w:p w14:paraId="0C315002">
      <w:pPr>
        <w:pStyle w:val="9"/>
        <w:spacing w:after="0" w:line="249" w:lineRule="auto"/>
        <w:rPr>
          <w:rFonts w:hint="eastAsia"/>
          <w:color w:val="231F20"/>
        </w:rPr>
      </w:pPr>
      <w:r>
        <w:rPr>
          <w:rFonts w:hint="eastAsia"/>
          <w:color w:val="231F20"/>
        </w:rPr>
        <w:t>然而，保罗的方法立刻将约珥的预言置于福音的框架中，迫使我们不按字面意思，而是以预表的、基督论的和教会论的方式来解释它。</w:t>
      </w:r>
    </w:p>
    <w:p w14:paraId="31A46192">
      <w:pPr>
        <w:pStyle w:val="9"/>
        <w:spacing w:after="0" w:line="249" w:lineRule="auto"/>
        <w:rPr>
          <w:rFonts w:hint="eastAsia"/>
          <w:color w:val="231F20"/>
        </w:rPr>
      </w:pPr>
    </w:p>
    <w:p w14:paraId="22A5C5E3">
      <w:pPr>
        <w:pStyle w:val="9"/>
        <w:spacing w:after="0" w:line="249" w:lineRule="auto"/>
        <w:rPr>
          <w:rFonts w:hint="eastAsia"/>
          <w:color w:val="231F20"/>
        </w:rPr>
      </w:pPr>
      <w:r>
        <w:rPr>
          <w:rFonts w:hint="eastAsia"/>
          <w:color w:val="231F20"/>
        </w:rPr>
        <w:t>In order to understand this better, let us consider the words of the prophecy itself.</w:t>
      </w:r>
    </w:p>
    <w:p w14:paraId="23A3DA66">
      <w:pPr>
        <w:pStyle w:val="9"/>
        <w:spacing w:after="0" w:line="249" w:lineRule="auto"/>
        <w:rPr>
          <w:rFonts w:hint="eastAsia"/>
          <w:color w:val="231F20"/>
        </w:rPr>
      </w:pPr>
      <w:r>
        <w:rPr>
          <w:rFonts w:hint="eastAsia"/>
          <w:color w:val="231F20"/>
        </w:rPr>
        <w:t>为了更好地理解这一点，让我们思考一下预言本身的话语。</w:t>
      </w:r>
    </w:p>
    <w:p w14:paraId="13EB99BF">
      <w:pPr>
        <w:pStyle w:val="9"/>
        <w:spacing w:after="0" w:line="249" w:lineRule="auto"/>
        <w:rPr>
          <w:rFonts w:hint="eastAsia"/>
          <w:color w:val="231F20"/>
        </w:rPr>
      </w:pPr>
    </w:p>
    <w:p w14:paraId="6B320C48">
      <w:pPr>
        <w:pStyle w:val="9"/>
        <w:spacing w:after="0" w:line="249" w:lineRule="auto"/>
        <w:rPr>
          <w:rFonts w:hint="eastAsia"/>
          <w:color w:val="231F20"/>
        </w:rPr>
      </w:pPr>
      <w:r>
        <w:rPr>
          <w:rFonts w:hint="eastAsia"/>
          <w:color w:val="231F20"/>
        </w:rPr>
        <w:t>Where a literalist would say that here God promised to pour out his Spirit on all Jewish flesh, Paul says that he promised to pour him (the Spirit) out on believing Jews and Gentiles; upon Christians everywhere (Joel 2:28-29, Gal. 3:14, 1 Cor. 12:13).</w:t>
      </w:r>
    </w:p>
    <w:p w14:paraId="1FD0D364">
      <w:pPr>
        <w:pStyle w:val="9"/>
        <w:spacing w:after="0" w:line="249" w:lineRule="auto"/>
        <w:rPr>
          <w:rFonts w:hint="eastAsia"/>
          <w:color w:val="231F20"/>
        </w:rPr>
      </w:pPr>
      <w:r>
        <w:rPr>
          <w:rFonts w:hint="eastAsia"/>
          <w:color w:val="231F20"/>
        </w:rPr>
        <w:t>字面主义者会说，上帝在这里应许将祂的灵浇灌在所有犹太人的肉体上，而保罗则说，祂应许将祂（圣灵）浇灌在信主的犹太人和外邦人身上；浇灌在各处的基督徒身上（约珥书 2:28-29, 加拉太书 3:14, 哥林多前书 12:13）。</w:t>
      </w:r>
    </w:p>
    <w:p w14:paraId="0C4BD578">
      <w:pPr>
        <w:pStyle w:val="9"/>
        <w:spacing w:after="0" w:line="249" w:lineRule="auto"/>
        <w:rPr>
          <w:rFonts w:hint="eastAsia"/>
          <w:color w:val="231F20"/>
        </w:rPr>
      </w:pPr>
    </w:p>
    <w:p w14:paraId="7A978F11">
      <w:pPr>
        <w:pStyle w:val="9"/>
        <w:spacing w:after="0" w:line="249" w:lineRule="auto"/>
        <w:rPr>
          <w:rFonts w:hint="eastAsia"/>
          <w:color w:val="231F20"/>
        </w:rPr>
      </w:pPr>
      <w:r>
        <w:rPr>
          <w:rFonts w:hint="eastAsia"/>
          <w:color w:val="231F20"/>
        </w:rPr>
        <w:t>Again, where a literalist would say that everyone who calls upon the name of Yahweh will be saved, Paul says that everyone who calls upon the name of Yahweh’s Messianic Servant, Jesus Christ, will be saved (Joel 2:32).</w:t>
      </w:r>
    </w:p>
    <w:p w14:paraId="37688703">
      <w:pPr>
        <w:pStyle w:val="9"/>
        <w:spacing w:after="0" w:line="249" w:lineRule="auto"/>
        <w:rPr>
          <w:rFonts w:hint="eastAsia"/>
          <w:color w:val="231F20"/>
        </w:rPr>
      </w:pPr>
      <w:r>
        <w:rPr>
          <w:rFonts w:hint="eastAsia"/>
          <w:color w:val="231F20"/>
        </w:rPr>
        <w:t>再次，字面主义者会说凡求告耶和华名的人都必得救，而保罗则说凡求告耶和华的弥赛亚仆人耶稣基督名的人都必得救（约珥书 2:32）。</w:t>
      </w:r>
    </w:p>
    <w:p w14:paraId="38A302E9">
      <w:pPr>
        <w:pStyle w:val="9"/>
        <w:spacing w:after="0" w:line="249" w:lineRule="auto"/>
        <w:rPr>
          <w:rFonts w:hint="eastAsia"/>
          <w:color w:val="231F20"/>
        </w:rPr>
      </w:pPr>
    </w:p>
    <w:p w14:paraId="4D23A02D">
      <w:pPr>
        <w:pStyle w:val="9"/>
        <w:spacing w:after="0" w:line="249" w:lineRule="auto"/>
        <w:rPr>
          <w:rFonts w:hint="eastAsia"/>
          <w:color w:val="231F20"/>
        </w:rPr>
      </w:pPr>
      <w:r>
        <w:rPr>
          <w:rFonts w:hint="eastAsia"/>
          <w:color w:val="231F20"/>
        </w:rPr>
        <w:t>Or again, the literalist will say that “afterward” only Jews will be saved, for it is only upon literal Mt. Zion and in literal Jerusalem that there will be a people who escape the Judgment (Joel 2:32).</w:t>
      </w:r>
    </w:p>
    <w:p w14:paraId="36521DA3">
      <w:pPr>
        <w:pStyle w:val="9"/>
        <w:spacing w:after="0" w:line="249" w:lineRule="auto"/>
        <w:rPr>
          <w:rFonts w:hint="eastAsia"/>
          <w:color w:val="231F20"/>
        </w:rPr>
      </w:pPr>
      <w:r>
        <w:rPr>
          <w:rFonts w:hint="eastAsia"/>
          <w:color w:val="231F20"/>
        </w:rPr>
        <w:t>再者，字面主义者会说，“以后”只有犹太人得救，因为只有在字面意义上的锡安山和字面意义上的耶路撒冷，才会有逃脱审判的民（约珥书 2:32）。</w:t>
      </w:r>
    </w:p>
    <w:p w14:paraId="0A27939C">
      <w:pPr>
        <w:pStyle w:val="9"/>
        <w:spacing w:after="0" w:line="249" w:lineRule="auto"/>
        <w:rPr>
          <w:rFonts w:hint="eastAsia"/>
          <w:color w:val="231F20"/>
        </w:rPr>
      </w:pPr>
    </w:p>
    <w:p w14:paraId="6D90647E">
      <w:pPr>
        <w:pStyle w:val="9"/>
        <w:spacing w:after="0" w:line="249" w:lineRule="auto"/>
        <w:rPr>
          <w:rFonts w:hint="eastAsia"/>
          <w:color w:val="231F20"/>
        </w:rPr>
      </w:pPr>
      <w:r>
        <w:rPr>
          <w:rFonts w:hint="eastAsia"/>
          <w:color w:val="231F20"/>
        </w:rPr>
        <w:t>Paul, however, would say that at that time both Jews and Gentiles will be saved, for when God effectually calls his elect “survivors” to Christ, he seats them in heavenly places, thereby planting them on the Zion above, and making them citizens of the Jerusalem above, where they will live safely with Christ till he returns to execute the Judgment himself (Acts 2:39, 17:31, Rom. 9:24, Eph. 2:6, Heb. 12:22)!</w:t>
      </w:r>
    </w:p>
    <w:p w14:paraId="43BD6001">
      <w:pPr>
        <w:pStyle w:val="9"/>
        <w:spacing w:after="0" w:line="249" w:lineRule="auto"/>
        <w:rPr>
          <w:rFonts w:hint="eastAsia"/>
          <w:color w:val="231F20"/>
        </w:rPr>
      </w:pPr>
      <w:r>
        <w:rPr>
          <w:rFonts w:hint="eastAsia"/>
          <w:color w:val="231F20"/>
        </w:rPr>
        <w:t>然而，保罗会说，那时犹太人和外邦人都会得救，因为当上帝有效地呼召祂蒙拣选的“幸存者”归向基督时，祂使他们坐在天上的地方，从而将他们栽种在天上的锡安，并使他们成为天上耶路撒冷的公民，在那里他们将与基督安全地生活，直到祂回来亲自执行审判（使徒行传 2:39, 17:31, 罗马书 9:24, 以弗所书 2:6, 希伯来书 12:22）！</w:t>
      </w:r>
    </w:p>
    <w:p w14:paraId="48986665">
      <w:pPr>
        <w:pStyle w:val="9"/>
        <w:spacing w:after="0" w:line="249" w:lineRule="auto"/>
        <w:rPr>
          <w:rFonts w:hint="eastAsia"/>
          <w:color w:val="231F20"/>
        </w:rPr>
      </w:pPr>
    </w:p>
    <w:p w14:paraId="793BD326">
      <w:pPr>
        <w:pStyle w:val="9"/>
        <w:spacing w:after="0" w:line="249" w:lineRule="auto"/>
        <w:rPr>
          <w:rFonts w:hint="eastAsia"/>
          <w:color w:val="231F20"/>
        </w:rPr>
      </w:pPr>
      <w:r>
        <w:rPr>
          <w:rFonts w:hint="eastAsia"/>
          <w:color w:val="231F20"/>
        </w:rPr>
        <w:t>So then, here again we find Paul using the NCH to interpret a specific OTKP, and then using the prophecy to teach and preach the Gospel.</w:t>
      </w:r>
    </w:p>
    <w:p w14:paraId="345CEF12">
      <w:pPr>
        <w:pStyle w:val="9"/>
        <w:spacing w:after="0" w:line="249" w:lineRule="auto"/>
        <w:rPr>
          <w:rFonts w:hint="eastAsia"/>
          <w:color w:val="231F20"/>
        </w:rPr>
      </w:pPr>
      <w:r>
        <w:rPr>
          <w:rFonts w:hint="eastAsia"/>
          <w:color w:val="231F20"/>
        </w:rPr>
        <w:t>那么，我们在这里再次发现保罗使用新约解释学（NCH）来解释一个特定的旧约国度预言（OTKP），然后用这个预言来教导和传讲福音。</w:t>
      </w:r>
    </w:p>
    <w:p w14:paraId="125BA474">
      <w:pPr>
        <w:pStyle w:val="9"/>
        <w:spacing w:after="0" w:line="249" w:lineRule="auto"/>
        <w:rPr>
          <w:rFonts w:hint="eastAsia"/>
          <w:color w:val="231F20"/>
        </w:rPr>
      </w:pPr>
    </w:p>
    <w:p w14:paraId="46DFE1C9">
      <w:pPr>
        <w:pStyle w:val="9"/>
        <w:spacing w:after="0" w:line="249" w:lineRule="auto"/>
        <w:rPr>
          <w:rFonts w:hint="eastAsia"/>
          <w:color w:val="231F20"/>
        </w:rPr>
      </w:pPr>
      <w:r>
        <w:rPr>
          <w:rFonts w:hint="eastAsia"/>
          <w:color w:val="231F20"/>
        </w:rPr>
        <w:t>In so doing, he again invites us to do the same.</w:t>
      </w:r>
    </w:p>
    <w:p w14:paraId="19997B3D">
      <w:pPr>
        <w:pStyle w:val="9"/>
        <w:spacing w:after="0" w:line="249" w:lineRule="auto"/>
        <w:rPr>
          <w:rFonts w:hint="eastAsia"/>
          <w:color w:val="231F20"/>
        </w:rPr>
      </w:pPr>
      <w:r>
        <w:rPr>
          <w:rFonts w:hint="eastAsia"/>
          <w:color w:val="231F20"/>
        </w:rPr>
        <w:t>这样做，他再次邀请我们也要如此行。</w:t>
      </w:r>
    </w:p>
    <w:p w14:paraId="48633612">
      <w:pPr>
        <w:pStyle w:val="9"/>
        <w:spacing w:after="0" w:line="249" w:lineRule="auto"/>
        <w:rPr>
          <w:rFonts w:hint="eastAsia"/>
          <w:color w:val="231F20"/>
        </w:rPr>
      </w:pPr>
    </w:p>
    <w:p w14:paraId="0F906F0B">
      <w:pPr>
        <w:pStyle w:val="9"/>
        <w:spacing w:after="0" w:line="249" w:lineRule="auto"/>
        <w:rPr>
          <w:rFonts w:hint="eastAsia"/>
          <w:color w:val="231F20"/>
        </w:rPr>
      </w:pPr>
      <w:r>
        <w:rPr>
          <w:rFonts w:hint="eastAsia"/>
          <w:color w:val="231F20"/>
        </w:rPr>
        <w:t>7.The Deliverer Will Come from Zion</w:t>
      </w:r>
    </w:p>
    <w:p w14:paraId="61E94449">
      <w:pPr>
        <w:pStyle w:val="9"/>
        <w:spacing w:after="0" w:line="249" w:lineRule="auto"/>
        <w:rPr>
          <w:rFonts w:hint="eastAsia"/>
          <w:color w:val="231F20"/>
        </w:rPr>
      </w:pPr>
      <w:r>
        <w:rPr>
          <w:rFonts w:hint="eastAsia"/>
          <w:color w:val="231F20"/>
        </w:rPr>
        <w:t>7.救主将从锡安而来</w:t>
      </w:r>
    </w:p>
    <w:p w14:paraId="30730392">
      <w:pPr>
        <w:pStyle w:val="9"/>
        <w:spacing w:after="0" w:line="249" w:lineRule="auto"/>
        <w:rPr>
          <w:rFonts w:hint="eastAsia"/>
          <w:color w:val="231F20"/>
        </w:rPr>
      </w:pPr>
    </w:p>
    <w:p w14:paraId="6FE0159F">
      <w:pPr>
        <w:pStyle w:val="9"/>
        <w:spacing w:after="0" w:line="249" w:lineRule="auto"/>
        <w:rPr>
          <w:rFonts w:hint="eastAsia"/>
          <w:color w:val="231F20"/>
        </w:rPr>
      </w:pPr>
      <w:r>
        <w:rPr>
          <w:rFonts w:hint="eastAsia"/>
          <w:color w:val="231F20"/>
        </w:rPr>
        <w:t>(Rom. 11:25-27, Isaiah 59:15-21)</w:t>
      </w:r>
    </w:p>
    <w:p w14:paraId="125564EE">
      <w:pPr>
        <w:pStyle w:val="9"/>
        <w:spacing w:after="0" w:line="249" w:lineRule="auto"/>
        <w:rPr>
          <w:rFonts w:hint="eastAsia"/>
          <w:color w:val="231F20"/>
        </w:rPr>
      </w:pPr>
      <w:r>
        <w:rPr>
          <w:rFonts w:hint="eastAsia"/>
          <w:color w:val="231F20"/>
        </w:rPr>
        <w:t>（罗马书 11:25-27, 以赛亚书 59:15-21）</w:t>
      </w:r>
    </w:p>
    <w:p w14:paraId="3099F3A1">
      <w:pPr>
        <w:pStyle w:val="9"/>
        <w:spacing w:after="0" w:line="249" w:lineRule="auto"/>
        <w:rPr>
          <w:rFonts w:hint="eastAsia"/>
          <w:color w:val="231F20"/>
        </w:rPr>
      </w:pPr>
    </w:p>
    <w:p w14:paraId="1BF8C35C">
      <w:pPr>
        <w:pStyle w:val="9"/>
        <w:spacing w:after="0" w:line="249" w:lineRule="auto"/>
        <w:rPr>
          <w:rFonts w:hint="eastAsia"/>
          <w:color w:val="231F20"/>
        </w:rPr>
      </w:pPr>
      <w:r>
        <w:rPr>
          <w:rFonts w:hint="eastAsia"/>
          <w:color w:val="231F20"/>
        </w:rPr>
        <w:t>In Romans 9, Paul explained Israel’s widespread unbelief in terms of God’s sovereignty, showing that at this present time (i.e., the latter half of the first century) it pleased God to save only a small remnant of Jews.</w:t>
      </w:r>
    </w:p>
    <w:p w14:paraId="2A6E45D9">
      <w:pPr>
        <w:pStyle w:val="9"/>
        <w:spacing w:after="0" w:line="249" w:lineRule="auto"/>
        <w:rPr>
          <w:rFonts w:hint="eastAsia"/>
          <w:color w:val="231F20"/>
        </w:rPr>
      </w:pPr>
      <w:r>
        <w:rPr>
          <w:rFonts w:hint="eastAsia"/>
          <w:color w:val="231F20"/>
        </w:rPr>
        <w:t>在罗马书第9章，保罗从上帝主权的角度解释了以色列普遍的不信，表明在现今这个时代（即一世纪下半叶），上帝乐意只拯救一小部分犹太余民。</w:t>
      </w:r>
    </w:p>
    <w:p w14:paraId="0B61B5FA">
      <w:pPr>
        <w:pStyle w:val="9"/>
        <w:spacing w:after="0" w:line="249" w:lineRule="auto"/>
        <w:rPr>
          <w:rFonts w:hint="eastAsia"/>
          <w:color w:val="231F20"/>
        </w:rPr>
      </w:pPr>
    </w:p>
    <w:p w14:paraId="6CC65F41">
      <w:pPr>
        <w:pStyle w:val="9"/>
        <w:spacing w:after="0" w:line="249" w:lineRule="auto"/>
        <w:rPr>
          <w:rFonts w:hint="eastAsia"/>
          <w:color w:val="231F20"/>
        </w:rPr>
      </w:pPr>
      <w:r>
        <w:rPr>
          <w:rFonts w:hint="eastAsia"/>
          <w:color w:val="231F20"/>
        </w:rPr>
        <w:t>In chapter 10, he takes a different tack, explaining the same unbelief in terms of Israel’s personal responsibility, showing that despite their having heard the Gospel, the great majority of Jews have stubbornly clung to the Law for salvation, rather than to the One who—according to their own Scriptures— fulfills it.</w:t>
      </w:r>
    </w:p>
    <w:p w14:paraId="56AFDAD2">
      <w:pPr>
        <w:pStyle w:val="9"/>
        <w:spacing w:after="0" w:line="249" w:lineRule="auto"/>
        <w:rPr>
          <w:rFonts w:hint="eastAsia"/>
          <w:color w:val="231F20"/>
        </w:rPr>
      </w:pPr>
      <w:r>
        <w:rPr>
          <w:rFonts w:hint="eastAsia"/>
          <w:color w:val="231F20"/>
        </w:rPr>
        <w:t>在第10章，他采取了不同的策略，从以色列个人责任的角度解释同样的不信，表明尽管他们听过福音，绝大多数犹太人却顽固地固守律法以求得救，而不是信靠那一位——根据他们自己的圣经——成全了律法的主。</w:t>
      </w:r>
    </w:p>
    <w:p w14:paraId="78745258">
      <w:pPr>
        <w:pStyle w:val="9"/>
        <w:spacing w:after="0" w:line="249" w:lineRule="auto"/>
        <w:rPr>
          <w:rFonts w:hint="eastAsia"/>
          <w:color w:val="231F20"/>
        </w:rPr>
      </w:pPr>
    </w:p>
    <w:p w14:paraId="1A0F95D6">
      <w:pPr>
        <w:pStyle w:val="9"/>
        <w:spacing w:after="0" w:line="249" w:lineRule="auto"/>
        <w:rPr>
          <w:rFonts w:hint="eastAsia"/>
          <w:color w:val="231F20"/>
        </w:rPr>
      </w:pPr>
      <w:r>
        <w:rPr>
          <w:rFonts w:hint="eastAsia"/>
          <w:color w:val="231F20"/>
        </w:rPr>
        <w:t>Then, in chapter 11, he brings his meditation to a close—to a true grand finale—by warning Gentile Christians against anti-Semitic pride, even as he arms Jewish Christians against despair over the destiny of their kinsmen.</w:t>
      </w:r>
    </w:p>
    <w:p w14:paraId="557B2B03">
      <w:pPr>
        <w:pStyle w:val="9"/>
        <w:spacing w:after="0" w:line="249" w:lineRule="auto"/>
        <w:rPr>
          <w:rFonts w:hint="eastAsia"/>
          <w:color w:val="231F20"/>
        </w:rPr>
      </w:pPr>
      <w:r>
        <w:rPr>
          <w:rFonts w:hint="eastAsia"/>
          <w:color w:val="231F20"/>
        </w:rPr>
        <w:t>然后，在第11章，他将他的默想带到高潮——一个真正的高潮——通过警告外邦基督徒不要有反犹的骄傲，同时又装备犹太基督徒不要对他们同胞的命运绝望。</w:t>
      </w:r>
    </w:p>
    <w:p w14:paraId="3F47123D">
      <w:pPr>
        <w:pStyle w:val="9"/>
        <w:spacing w:after="0" w:line="249" w:lineRule="auto"/>
        <w:rPr>
          <w:rFonts w:hint="eastAsia"/>
          <w:color w:val="231F20"/>
        </w:rPr>
      </w:pPr>
    </w:p>
    <w:p w14:paraId="452C4735">
      <w:pPr>
        <w:pStyle w:val="9"/>
        <w:spacing w:after="0" w:line="249" w:lineRule="auto"/>
        <w:rPr>
          <w:rFonts w:hint="eastAsia"/>
          <w:color w:val="231F20"/>
        </w:rPr>
      </w:pPr>
      <w:r>
        <w:rPr>
          <w:rFonts w:hint="eastAsia"/>
          <w:color w:val="231F20"/>
        </w:rPr>
        <w:t>How?</w:t>
      </w:r>
    </w:p>
    <w:p w14:paraId="0E6347A9">
      <w:pPr>
        <w:pStyle w:val="9"/>
        <w:spacing w:after="0" w:line="249" w:lineRule="auto"/>
        <w:rPr>
          <w:rFonts w:hint="eastAsia"/>
          <w:color w:val="231F20"/>
        </w:rPr>
      </w:pPr>
      <w:r>
        <w:rPr>
          <w:rFonts w:hint="eastAsia"/>
          <w:color w:val="231F20"/>
        </w:rPr>
        <w:t>如何做到？</w:t>
      </w:r>
    </w:p>
    <w:p w14:paraId="53FC6E8F">
      <w:pPr>
        <w:pStyle w:val="9"/>
        <w:spacing w:after="0" w:line="249" w:lineRule="auto"/>
        <w:rPr>
          <w:rFonts w:hint="eastAsia"/>
          <w:color w:val="231F20"/>
        </w:rPr>
      </w:pPr>
    </w:p>
    <w:p w14:paraId="605D434D">
      <w:pPr>
        <w:pStyle w:val="9"/>
        <w:spacing w:after="0" w:line="249" w:lineRule="auto"/>
        <w:rPr>
          <w:rFonts w:hint="eastAsia"/>
          <w:color w:val="231F20"/>
        </w:rPr>
      </w:pPr>
      <w:r>
        <w:rPr>
          <w:rFonts w:hint="eastAsia"/>
          <w:color w:val="231F20"/>
        </w:rPr>
        <w:t>By unveiling still another mystery.</w:t>
      </w:r>
    </w:p>
    <w:p w14:paraId="72EF1920">
      <w:pPr>
        <w:pStyle w:val="9"/>
        <w:spacing w:after="0" w:line="249" w:lineRule="auto"/>
        <w:rPr>
          <w:rFonts w:hint="eastAsia"/>
          <w:color w:val="231F20"/>
        </w:rPr>
      </w:pPr>
      <w:r>
        <w:rPr>
          <w:rFonts w:hint="eastAsia"/>
          <w:color w:val="231F20"/>
        </w:rPr>
        <w:t>通过揭示另一个奥秘。</w:t>
      </w:r>
    </w:p>
    <w:p w14:paraId="20507575">
      <w:pPr>
        <w:pStyle w:val="9"/>
        <w:spacing w:after="0" w:line="249" w:lineRule="auto"/>
        <w:rPr>
          <w:rFonts w:hint="eastAsia"/>
          <w:color w:val="231F20"/>
        </w:rPr>
      </w:pPr>
    </w:p>
    <w:p w14:paraId="24FBE1B6">
      <w:pPr>
        <w:pStyle w:val="9"/>
        <w:spacing w:after="0" w:line="249" w:lineRule="auto"/>
        <w:rPr>
          <w:rFonts w:hint="eastAsia"/>
          <w:color w:val="231F20"/>
        </w:rPr>
      </w:pPr>
      <w:r>
        <w:rPr>
          <w:rFonts w:hint="eastAsia"/>
          <w:color w:val="231F20"/>
        </w:rPr>
        <w:t>Here’s the way he states it:</w:t>
      </w:r>
    </w:p>
    <w:p w14:paraId="21E3306D">
      <w:pPr>
        <w:pStyle w:val="9"/>
        <w:spacing w:after="0" w:line="249" w:lineRule="auto"/>
        <w:rPr>
          <w:rFonts w:hint="eastAsia"/>
          <w:color w:val="231F20"/>
        </w:rPr>
      </w:pPr>
      <w:r>
        <w:rPr>
          <w:rFonts w:hint="eastAsia"/>
          <w:color w:val="231F20"/>
        </w:rPr>
        <w:t>他是这样说的：</w:t>
      </w:r>
    </w:p>
    <w:p w14:paraId="641807BA">
      <w:pPr>
        <w:pStyle w:val="9"/>
        <w:spacing w:after="0" w:line="249" w:lineRule="auto"/>
        <w:rPr>
          <w:rFonts w:hint="eastAsia"/>
          <w:color w:val="231F20"/>
        </w:rPr>
      </w:pPr>
    </w:p>
    <w:p w14:paraId="737BD232">
      <w:pPr>
        <w:pStyle w:val="9"/>
        <w:spacing w:after="0" w:line="249" w:lineRule="auto"/>
        <w:rPr>
          <w:rFonts w:hint="eastAsia"/>
          <w:color w:val="231F20"/>
        </w:rPr>
      </w:pPr>
      <w:r>
        <w:rPr>
          <w:rFonts w:hint="eastAsia"/>
          <w:color w:val="231F20"/>
        </w:rPr>
        <w:t>For I do not want you, brethren, to be uninformed of this mystery, lest you be wise in your own estimation, that a partial hardening has happened to Israel until the fullness of the Gentiles has come in.</w:t>
      </w:r>
    </w:p>
    <w:p w14:paraId="10434488">
      <w:pPr>
        <w:pStyle w:val="9"/>
        <w:spacing w:after="0" w:line="249" w:lineRule="auto"/>
        <w:rPr>
          <w:rFonts w:hint="eastAsia"/>
          <w:color w:val="231F20"/>
        </w:rPr>
      </w:pPr>
      <w:r>
        <w:rPr>
          <w:rFonts w:hint="eastAsia"/>
          <w:color w:val="231F20"/>
        </w:rPr>
        <w:t>弟兄们，我不愿意你们不知道这奥秘，恐怕你们自以为聪明，就是以色列人有几分是硬心的，等到外邦人的数目添满了。</w:t>
      </w:r>
    </w:p>
    <w:p w14:paraId="69C0CCB5">
      <w:pPr>
        <w:pStyle w:val="9"/>
        <w:spacing w:after="0" w:line="249" w:lineRule="auto"/>
        <w:rPr>
          <w:rFonts w:hint="eastAsia"/>
          <w:color w:val="231F20"/>
        </w:rPr>
      </w:pPr>
    </w:p>
    <w:p w14:paraId="74AAA14C">
      <w:pPr>
        <w:pStyle w:val="9"/>
        <w:spacing w:after="0" w:line="249" w:lineRule="auto"/>
        <w:rPr>
          <w:rFonts w:hint="eastAsia"/>
          <w:color w:val="231F20"/>
        </w:rPr>
      </w:pPr>
      <w:r>
        <w:rPr>
          <w:rFonts w:hint="eastAsia"/>
          <w:color w:val="231F20"/>
        </w:rPr>
        <w:t>And thus all Israel will be saved.</w:t>
      </w:r>
    </w:p>
    <w:p w14:paraId="64B81C9C">
      <w:pPr>
        <w:pStyle w:val="9"/>
        <w:spacing w:after="0" w:line="249" w:lineRule="auto"/>
        <w:rPr>
          <w:rFonts w:hint="eastAsia"/>
          <w:color w:val="231F20"/>
        </w:rPr>
      </w:pPr>
      <w:r>
        <w:rPr>
          <w:rFonts w:hint="eastAsia"/>
          <w:color w:val="231F20"/>
        </w:rPr>
        <w:t>于是以色列全家都要得救。</w:t>
      </w:r>
    </w:p>
    <w:p w14:paraId="0F9F7EC6">
      <w:pPr>
        <w:pStyle w:val="9"/>
        <w:spacing w:after="0" w:line="249" w:lineRule="auto"/>
        <w:rPr>
          <w:rFonts w:hint="eastAsia"/>
          <w:color w:val="231F20"/>
        </w:rPr>
      </w:pPr>
    </w:p>
    <w:p w14:paraId="388B39EB">
      <w:pPr>
        <w:pStyle w:val="9"/>
        <w:spacing w:after="0" w:line="249" w:lineRule="auto"/>
        <w:rPr>
          <w:rFonts w:hint="eastAsia"/>
          <w:color w:val="231F20"/>
        </w:rPr>
      </w:pPr>
      <w:r>
        <w:rPr>
          <w:rFonts w:hint="eastAsia"/>
          <w:color w:val="231F20"/>
        </w:rPr>
        <w:t>Just as it is written: “The Deliverer will come from Zion, he will remove ungodliness from Jacob.</w:t>
      </w:r>
    </w:p>
    <w:p w14:paraId="0E399600">
      <w:pPr>
        <w:pStyle w:val="9"/>
        <w:spacing w:after="0" w:line="249" w:lineRule="auto"/>
        <w:rPr>
          <w:rFonts w:hint="eastAsia"/>
          <w:color w:val="231F20"/>
        </w:rPr>
      </w:pPr>
      <w:r>
        <w:rPr>
          <w:rFonts w:hint="eastAsia"/>
          <w:color w:val="231F20"/>
        </w:rPr>
        <w:t>如经上所记：“必有一位救主从锡安出来，要消除雅各家的一切罪恶。</w:t>
      </w:r>
    </w:p>
    <w:p w14:paraId="0323BB47">
      <w:pPr>
        <w:pStyle w:val="9"/>
        <w:spacing w:after="0" w:line="249" w:lineRule="auto"/>
        <w:rPr>
          <w:rFonts w:hint="eastAsia"/>
          <w:color w:val="231F20"/>
        </w:rPr>
      </w:pPr>
    </w:p>
    <w:p w14:paraId="789D0FD5">
      <w:pPr>
        <w:pStyle w:val="9"/>
        <w:spacing w:after="0" w:line="249" w:lineRule="auto"/>
        <w:rPr>
          <w:rFonts w:hint="eastAsia"/>
          <w:color w:val="231F20"/>
        </w:rPr>
      </w:pPr>
      <w:r>
        <w:rPr>
          <w:rFonts w:hint="eastAsia"/>
          <w:color w:val="231F20"/>
        </w:rPr>
        <w:t>And this is My covenant with them, when I take away their sins.”</w:t>
      </w:r>
    </w:p>
    <w:p w14:paraId="2A87E3D5">
      <w:pPr>
        <w:pStyle w:val="9"/>
        <w:spacing w:after="0" w:line="249" w:lineRule="auto"/>
        <w:rPr>
          <w:rFonts w:hint="eastAsia"/>
          <w:color w:val="231F20"/>
        </w:rPr>
      </w:pPr>
      <w:r>
        <w:rPr>
          <w:rFonts w:hint="eastAsia"/>
          <w:color w:val="231F20"/>
        </w:rPr>
        <w:t>又说：‘我除去他们罪的时候，这就是我与他们所立的约。’”</w:t>
      </w:r>
    </w:p>
    <w:p w14:paraId="720C57F8">
      <w:pPr>
        <w:pStyle w:val="9"/>
        <w:spacing w:after="0" w:line="249" w:lineRule="auto"/>
        <w:rPr>
          <w:rFonts w:hint="eastAsia"/>
          <w:color w:val="231F20"/>
        </w:rPr>
      </w:pPr>
    </w:p>
    <w:p w14:paraId="7DFC67F7">
      <w:pPr>
        <w:pStyle w:val="9"/>
        <w:spacing w:after="0" w:line="249" w:lineRule="auto"/>
        <w:rPr>
          <w:rFonts w:hint="eastAsia"/>
          <w:color w:val="231F20"/>
        </w:rPr>
      </w:pPr>
      <w:r>
        <w:rPr>
          <w:rFonts w:hint="eastAsia"/>
          <w:color w:val="231F20"/>
        </w:rPr>
        <w:t>—Rom. 11:25-27</w:t>
      </w:r>
    </w:p>
    <w:p w14:paraId="50D73511">
      <w:pPr>
        <w:pStyle w:val="9"/>
        <w:spacing w:after="0" w:line="249" w:lineRule="auto"/>
        <w:rPr>
          <w:rFonts w:hint="eastAsia"/>
          <w:color w:val="231F20"/>
        </w:rPr>
      </w:pPr>
      <w:r>
        <w:rPr>
          <w:rFonts w:hint="eastAsia"/>
          <w:color w:val="231F20"/>
        </w:rPr>
        <w:t>——罗马书 11:25-27</w:t>
      </w:r>
    </w:p>
    <w:p w14:paraId="61E2E499">
      <w:pPr>
        <w:pStyle w:val="9"/>
        <w:spacing w:after="0" w:line="249" w:lineRule="auto"/>
        <w:rPr>
          <w:rFonts w:hint="eastAsia"/>
          <w:color w:val="231F20"/>
        </w:rPr>
      </w:pPr>
    </w:p>
    <w:p w14:paraId="3754581C">
      <w:pPr>
        <w:pStyle w:val="9"/>
        <w:spacing w:after="0" w:line="249" w:lineRule="auto"/>
        <w:rPr>
          <w:rFonts w:hint="eastAsia"/>
          <w:color w:val="231F20"/>
        </w:rPr>
      </w:pPr>
      <w:r>
        <w:rPr>
          <w:rFonts w:hint="eastAsia"/>
          <w:color w:val="231F20"/>
        </w:rPr>
        <w:t>In this chapter—and in this part of it—Paul’s basic thought is clear: God’s plan for “filling up” his Church involves three fundamental steps.</w:t>
      </w:r>
    </w:p>
    <w:p w14:paraId="68F03B7B">
      <w:pPr>
        <w:pStyle w:val="9"/>
        <w:spacing w:after="0" w:line="249" w:lineRule="auto"/>
        <w:rPr>
          <w:rFonts w:hint="eastAsia"/>
          <w:color w:val="231F20"/>
        </w:rPr>
      </w:pPr>
      <w:r>
        <w:rPr>
          <w:rFonts w:hint="eastAsia"/>
          <w:color w:val="231F20"/>
        </w:rPr>
        <w:t>在本章中——以及在这一部分中——保罗的基本思想很清楚：上帝“充满”祂教会的计划包含三个基本步骤。</w:t>
      </w:r>
    </w:p>
    <w:p w14:paraId="796E8D5D">
      <w:pPr>
        <w:pStyle w:val="9"/>
        <w:spacing w:after="0" w:line="249" w:lineRule="auto"/>
        <w:rPr>
          <w:rFonts w:hint="eastAsia"/>
          <w:color w:val="231F20"/>
        </w:rPr>
      </w:pPr>
    </w:p>
    <w:p w14:paraId="085E362F">
      <w:pPr>
        <w:pStyle w:val="9"/>
        <w:spacing w:after="0" w:line="249" w:lineRule="auto"/>
        <w:rPr>
          <w:rFonts w:hint="eastAsia"/>
          <w:color w:val="231F20"/>
        </w:rPr>
      </w:pPr>
      <w:r>
        <w:rPr>
          <w:rFonts w:hint="eastAsia"/>
          <w:color w:val="231F20"/>
        </w:rPr>
        <w:t>First, he brings in a small remnant of Jews, some of whom are laid into the very foundation of the Church.</w:t>
      </w:r>
    </w:p>
    <w:p w14:paraId="52189C10">
      <w:pPr>
        <w:pStyle w:val="9"/>
        <w:spacing w:after="0" w:line="249" w:lineRule="auto"/>
        <w:rPr>
          <w:rFonts w:hint="eastAsia"/>
          <w:color w:val="231F20"/>
        </w:rPr>
      </w:pPr>
      <w:r>
        <w:rPr>
          <w:rFonts w:hint="eastAsia"/>
          <w:color w:val="231F20"/>
        </w:rPr>
        <w:t>首先，祂带入一小部分犹太余民，其中一些被安置在教会的根基上。</w:t>
      </w:r>
    </w:p>
    <w:p w14:paraId="7E6D2232">
      <w:pPr>
        <w:pStyle w:val="9"/>
        <w:spacing w:after="0" w:line="249" w:lineRule="auto"/>
        <w:rPr>
          <w:rFonts w:hint="eastAsia"/>
          <w:color w:val="231F20"/>
        </w:rPr>
      </w:pPr>
    </w:p>
    <w:p w14:paraId="3C2E9440">
      <w:pPr>
        <w:pStyle w:val="9"/>
        <w:spacing w:after="0" w:line="249" w:lineRule="auto"/>
        <w:rPr>
          <w:rFonts w:hint="eastAsia"/>
          <w:color w:val="231F20"/>
        </w:rPr>
      </w:pPr>
      <w:r>
        <w:rPr>
          <w:rFonts w:hint="eastAsia"/>
          <w:color w:val="231F20"/>
        </w:rPr>
        <w:t>This is, as it were, the firstfruits of his Jewish harvest.</w:t>
      </w:r>
    </w:p>
    <w:p w14:paraId="3F617CDD">
      <w:pPr>
        <w:pStyle w:val="9"/>
        <w:spacing w:after="0" w:line="249" w:lineRule="auto"/>
        <w:rPr>
          <w:rFonts w:hint="eastAsia"/>
          <w:color w:val="231F20"/>
        </w:rPr>
      </w:pPr>
      <w:r>
        <w:rPr>
          <w:rFonts w:hint="eastAsia"/>
          <w:color w:val="231F20"/>
        </w:rPr>
        <w:t>这可以说是祂犹太人收成的初熟果子。</w:t>
      </w:r>
    </w:p>
    <w:p w14:paraId="39C731B8">
      <w:pPr>
        <w:pStyle w:val="9"/>
        <w:spacing w:after="0" w:line="249" w:lineRule="auto"/>
        <w:rPr>
          <w:rFonts w:hint="eastAsia"/>
          <w:color w:val="231F20"/>
        </w:rPr>
      </w:pPr>
    </w:p>
    <w:p w14:paraId="7D3A7A2B">
      <w:pPr>
        <w:pStyle w:val="9"/>
        <w:spacing w:after="0" w:line="249" w:lineRule="auto"/>
        <w:rPr>
          <w:rFonts w:hint="eastAsia"/>
          <w:color w:val="231F20"/>
        </w:rPr>
      </w:pPr>
      <w:r>
        <w:rPr>
          <w:rFonts w:hint="eastAsia"/>
          <w:color w:val="231F20"/>
        </w:rPr>
        <w:t>Secondly, throughout the bulk of the Era of Proclamation he brings in a large number of Gentiles.</w:t>
      </w:r>
    </w:p>
    <w:p w14:paraId="0F6D8004">
      <w:pPr>
        <w:pStyle w:val="9"/>
        <w:spacing w:after="0" w:line="249" w:lineRule="auto"/>
        <w:rPr>
          <w:rFonts w:hint="eastAsia"/>
          <w:color w:val="231F20"/>
        </w:rPr>
      </w:pPr>
      <w:r>
        <w:rPr>
          <w:rFonts w:hint="eastAsia"/>
          <w:color w:val="231F20"/>
        </w:rPr>
        <w:t>其次，在宣讲时代的大部分时间里，祂带入大量的外邦人。</w:t>
      </w:r>
    </w:p>
    <w:p w14:paraId="1219DFAD">
      <w:pPr>
        <w:pStyle w:val="9"/>
        <w:spacing w:after="0" w:line="249" w:lineRule="auto"/>
        <w:rPr>
          <w:rFonts w:hint="eastAsia"/>
          <w:color w:val="231F20"/>
        </w:rPr>
      </w:pPr>
    </w:p>
    <w:p w14:paraId="7E579497">
      <w:pPr>
        <w:pStyle w:val="9"/>
        <w:spacing w:after="0" w:line="249" w:lineRule="auto"/>
        <w:rPr>
          <w:rFonts w:hint="eastAsia"/>
          <w:color w:val="231F20"/>
        </w:rPr>
      </w:pPr>
      <w:r>
        <w:rPr>
          <w:rFonts w:hint="eastAsia"/>
          <w:color w:val="231F20"/>
        </w:rPr>
        <w:t>Then, when the fullness of the Gentiles has come in, a third and final step occurs: He brings in a large number of Jews—grafting them by faith back into the olive tree of Abraham—so that ethnic Israel finally reaches its fullness.</w:t>
      </w:r>
    </w:p>
    <w:p w14:paraId="274D401F">
      <w:pPr>
        <w:pStyle w:val="9"/>
        <w:spacing w:after="0" w:line="249" w:lineRule="auto"/>
        <w:rPr>
          <w:rFonts w:hint="eastAsia"/>
          <w:color w:val="231F20"/>
        </w:rPr>
      </w:pPr>
      <w:r>
        <w:rPr>
          <w:rFonts w:hint="eastAsia"/>
          <w:color w:val="231F20"/>
        </w:rPr>
        <w:t>然后，当外邦人的数目添满了，第三个也是最后一个步骤发生：祂带入大量的犹太人——凭信心将他们重新接在亚伯拉罕的橄榄树上——这样，以色列民族最终达到其丰满。</w:t>
      </w:r>
    </w:p>
    <w:p w14:paraId="3CD054E0">
      <w:pPr>
        <w:pStyle w:val="9"/>
        <w:spacing w:after="0" w:line="249" w:lineRule="auto"/>
        <w:rPr>
          <w:rFonts w:hint="eastAsia"/>
          <w:color w:val="231F20"/>
        </w:rPr>
      </w:pPr>
    </w:p>
    <w:p w14:paraId="7CACE646">
      <w:pPr>
        <w:pStyle w:val="9"/>
        <w:spacing w:after="0" w:line="249" w:lineRule="auto"/>
        <w:rPr>
          <w:rFonts w:hint="eastAsia"/>
          <w:color w:val="231F20"/>
        </w:rPr>
      </w:pPr>
      <w:r>
        <w:rPr>
          <w:rFonts w:hint="eastAsia"/>
          <w:color w:val="231F20"/>
        </w:rPr>
        <w:t>In this way “all Israel”—the full number of elect Jews of all Church history—will be saved (Rom. 11:12, 23-24).1</w:t>
      </w:r>
    </w:p>
    <w:p w14:paraId="1E2AB035">
      <w:pPr>
        <w:pStyle w:val="9"/>
        <w:spacing w:after="0" w:line="249" w:lineRule="auto"/>
        <w:rPr>
          <w:rFonts w:hint="eastAsia"/>
          <w:color w:val="231F20"/>
        </w:rPr>
      </w:pPr>
      <w:r>
        <w:rPr>
          <w:rFonts w:hint="eastAsia"/>
          <w:color w:val="231F20"/>
        </w:rPr>
        <w:t>这样，“以色列全家”——即整个教会历史中蒙拣选的犹太人的全数——都将得救（罗马书 11:12, 23-24）。1</w:t>
      </w:r>
    </w:p>
    <w:p w14:paraId="7C09E7C2">
      <w:pPr>
        <w:pStyle w:val="9"/>
        <w:spacing w:after="0" w:line="249" w:lineRule="auto"/>
        <w:rPr>
          <w:rFonts w:hint="eastAsia"/>
          <w:color w:val="231F20"/>
        </w:rPr>
      </w:pPr>
    </w:p>
    <w:p w14:paraId="12D23559">
      <w:pPr>
        <w:pStyle w:val="9"/>
        <w:spacing w:after="0" w:line="249" w:lineRule="auto"/>
        <w:rPr>
          <w:rFonts w:hint="eastAsia"/>
          <w:color w:val="231F20"/>
        </w:rPr>
      </w:pPr>
      <w:r>
        <w:rPr>
          <w:rFonts w:hint="eastAsia"/>
          <w:color w:val="231F20"/>
        </w:rPr>
        <w:t>But how exactly will the third step occur?</w:t>
      </w:r>
    </w:p>
    <w:p w14:paraId="27D9AF41">
      <w:pPr>
        <w:pStyle w:val="9"/>
        <w:spacing w:after="0" w:line="249" w:lineRule="auto"/>
        <w:rPr>
          <w:rFonts w:hint="eastAsia"/>
          <w:color w:val="231F20"/>
        </w:rPr>
      </w:pPr>
      <w:r>
        <w:rPr>
          <w:rFonts w:hint="eastAsia"/>
          <w:color w:val="231F20"/>
        </w:rPr>
        <w:t>但第三步究竟将如何发生？</w:t>
      </w:r>
    </w:p>
    <w:p w14:paraId="1BEE9A09">
      <w:pPr>
        <w:pStyle w:val="9"/>
        <w:spacing w:after="0" w:line="249" w:lineRule="auto"/>
        <w:rPr>
          <w:rFonts w:hint="eastAsia"/>
          <w:color w:val="231F20"/>
        </w:rPr>
      </w:pPr>
    </w:p>
    <w:p w14:paraId="4C254C86">
      <w:pPr>
        <w:pStyle w:val="9"/>
        <w:spacing w:after="0" w:line="249" w:lineRule="auto"/>
        <w:rPr>
          <w:rFonts w:hint="eastAsia"/>
          <w:color w:val="231F20"/>
        </w:rPr>
      </w:pPr>
      <w:r>
        <w:rPr>
          <w:rFonts w:hint="eastAsia"/>
          <w:color w:val="231F20"/>
        </w:rPr>
        <w:t>How will God graft the great mass of Jews living at the end of the age into the tree of Abraham?</w:t>
      </w:r>
    </w:p>
    <w:p w14:paraId="71437C78">
      <w:pPr>
        <w:pStyle w:val="9"/>
        <w:spacing w:after="0" w:line="249" w:lineRule="auto"/>
        <w:rPr>
          <w:rFonts w:hint="eastAsia"/>
          <w:color w:val="231F20"/>
        </w:rPr>
      </w:pPr>
      <w:r>
        <w:rPr>
          <w:rFonts w:hint="eastAsia"/>
          <w:color w:val="231F20"/>
        </w:rPr>
        <w:t>上帝将如何把生活在世代末了的大量犹太人嫁接到亚伯拉罕的树上？</w:t>
      </w:r>
    </w:p>
    <w:p w14:paraId="43010CA4">
      <w:pPr>
        <w:pStyle w:val="9"/>
        <w:spacing w:after="0" w:line="249" w:lineRule="auto"/>
        <w:rPr>
          <w:rFonts w:hint="eastAsia"/>
          <w:color w:val="231F20"/>
        </w:rPr>
      </w:pPr>
    </w:p>
    <w:p w14:paraId="15BA3FE9">
      <w:pPr>
        <w:pStyle w:val="9"/>
        <w:spacing w:after="0" w:line="249" w:lineRule="auto"/>
        <w:rPr>
          <w:rFonts w:hint="eastAsia"/>
          <w:color w:val="231F20"/>
        </w:rPr>
      </w:pPr>
      <w:r>
        <w:rPr>
          <w:rFonts w:hint="eastAsia"/>
          <w:color w:val="231F20"/>
        </w:rPr>
        <w:t>How will he bring them into the Church?</w:t>
      </w:r>
    </w:p>
    <w:p w14:paraId="19CEEC49">
      <w:pPr>
        <w:pStyle w:val="9"/>
        <w:spacing w:after="0" w:line="249" w:lineRule="auto"/>
        <w:rPr>
          <w:rFonts w:hint="eastAsia"/>
          <w:color w:val="231F20"/>
        </w:rPr>
      </w:pPr>
      <w:r>
        <w:rPr>
          <w:rFonts w:hint="eastAsia"/>
          <w:color w:val="231F20"/>
        </w:rPr>
        <w:t>祂将如何将他们带入教会？</w:t>
      </w:r>
    </w:p>
    <w:p w14:paraId="2BB78A17">
      <w:pPr>
        <w:pStyle w:val="9"/>
        <w:spacing w:after="0" w:line="249" w:lineRule="auto"/>
        <w:rPr>
          <w:rFonts w:hint="eastAsia"/>
          <w:color w:val="231F20"/>
        </w:rPr>
      </w:pPr>
    </w:p>
    <w:p w14:paraId="132A34F0">
      <w:pPr>
        <w:pStyle w:val="9"/>
        <w:spacing w:after="0" w:line="249" w:lineRule="auto"/>
        <w:rPr>
          <w:rFonts w:hint="eastAsia"/>
          <w:color w:val="231F20"/>
        </w:rPr>
      </w:pPr>
      <w:r>
        <w:rPr>
          <w:rFonts w:hint="eastAsia"/>
          <w:color w:val="231F20"/>
        </w:rPr>
        <w:t>Paul answers by citing Isaiah 59:20-21: The Deliverer will come from Zion!</w:t>
      </w:r>
    </w:p>
    <w:p w14:paraId="6F5B5AA6">
      <w:pPr>
        <w:pStyle w:val="9"/>
        <w:spacing w:after="0" w:line="249" w:lineRule="auto"/>
        <w:rPr>
          <w:rFonts w:hint="eastAsia"/>
          <w:color w:val="231F20"/>
        </w:rPr>
      </w:pPr>
      <w:r>
        <w:rPr>
          <w:rFonts w:hint="eastAsia"/>
          <w:color w:val="231F20"/>
        </w:rPr>
        <w:t>保罗引用以赛亚书 59:20-21 来回答：救赎主必从锡安而来！</w:t>
      </w:r>
    </w:p>
    <w:p w14:paraId="4022C949">
      <w:pPr>
        <w:pStyle w:val="9"/>
        <w:spacing w:after="0" w:line="249" w:lineRule="auto"/>
        <w:rPr>
          <w:rFonts w:hint="eastAsia"/>
          <w:color w:val="231F20"/>
        </w:rPr>
      </w:pPr>
    </w:p>
    <w:p w14:paraId="73F8CC2D">
      <w:pPr>
        <w:pStyle w:val="9"/>
        <w:spacing w:after="0" w:line="249" w:lineRule="auto"/>
        <w:rPr>
          <w:rFonts w:hint="eastAsia"/>
          <w:color w:val="231F20"/>
        </w:rPr>
      </w:pPr>
      <w:r>
        <w:rPr>
          <w:rFonts w:hint="eastAsia"/>
          <w:color w:val="231F20"/>
        </w:rPr>
        <w:t>This cannot refer, as some have argued, to the bodily (premillennial) return of Christ from heaven, for Paul himself has explicitly stated that just as Jewish branches were broken off because of unbelief, so God will graft them back in again through faith (11:20, 23).</w:t>
      </w:r>
    </w:p>
    <w:p w14:paraId="4F489FDC">
      <w:pPr>
        <w:pStyle w:val="9"/>
        <w:spacing w:after="0" w:line="249" w:lineRule="auto"/>
        <w:rPr>
          <w:rFonts w:hint="eastAsia"/>
          <w:color w:val="231F20"/>
        </w:rPr>
      </w:pPr>
      <w:r>
        <w:rPr>
          <w:rFonts w:hint="eastAsia"/>
          <w:color w:val="231F20"/>
        </w:rPr>
        <w:t>这不能像一些人所主张的那样，指基督肉身（前千禧年派）从天上的回归，因为保罗自己已明确指出，正如犹太枝子因不信而被折下来，上帝也必凭信心再将他们接上（11:20, 23）。</w:t>
      </w:r>
    </w:p>
    <w:p w14:paraId="1D1754CD">
      <w:pPr>
        <w:pStyle w:val="9"/>
        <w:spacing w:after="0" w:line="249" w:lineRule="auto"/>
        <w:rPr>
          <w:rFonts w:hint="eastAsia"/>
          <w:color w:val="231F20"/>
        </w:rPr>
      </w:pPr>
    </w:p>
    <w:p w14:paraId="53C964FA">
      <w:pPr>
        <w:pStyle w:val="9"/>
        <w:spacing w:after="0" w:line="249" w:lineRule="auto"/>
        <w:rPr>
          <w:rFonts w:hint="eastAsia"/>
          <w:color w:val="231F20"/>
        </w:rPr>
      </w:pPr>
      <w:r>
        <w:rPr>
          <w:rFonts w:hint="eastAsia"/>
          <w:color w:val="231F20"/>
        </w:rPr>
        <w:t>And indeed the apostle is quite insistent that this is the only way anyone enters the Church: through faith in the word about Christ (Rom. 10:10, 17, 1 Cor. 1:21).</w:t>
      </w:r>
    </w:p>
    <w:p w14:paraId="5AE88CB4">
      <w:pPr>
        <w:pStyle w:val="9"/>
        <w:spacing w:after="0" w:line="249" w:lineRule="auto"/>
        <w:rPr>
          <w:rFonts w:hint="eastAsia"/>
          <w:color w:val="231F20"/>
        </w:rPr>
      </w:pPr>
      <w:r>
        <w:rPr>
          <w:rFonts w:hint="eastAsia"/>
          <w:color w:val="231F20"/>
        </w:rPr>
        <w:t>的确，使徒非常坚持，这是任何人进入教会的唯一途径：通过对基督话语的信心（罗马书 10:10, 17, 哥林多前书 1:21）。</w:t>
      </w:r>
    </w:p>
    <w:p w14:paraId="1C6F3EFB">
      <w:pPr>
        <w:pStyle w:val="9"/>
        <w:spacing w:after="0" w:line="249" w:lineRule="auto"/>
        <w:rPr>
          <w:rFonts w:hint="eastAsia"/>
          <w:color w:val="231F20"/>
        </w:rPr>
      </w:pPr>
    </w:p>
    <w:p w14:paraId="56480263">
      <w:pPr>
        <w:pStyle w:val="9"/>
        <w:spacing w:after="0" w:line="249" w:lineRule="auto"/>
        <w:rPr>
          <w:rFonts w:hint="eastAsia"/>
          <w:color w:val="231F20"/>
        </w:rPr>
      </w:pPr>
      <w:r>
        <w:rPr>
          <w:rFonts w:hint="eastAsia"/>
          <w:color w:val="231F20"/>
        </w:rPr>
        <w:t>When, therefore, Paul writes that the Deliverer will come from Zion, he means that Christ himself—the High King of Heaven—will come down to latter-day Israel by the Spirit, through the Gospel preaching of the Church, and effectually call them to himself, so that having brought them to faith in their Messiah, he may remove ungodliness from (the rest of elect) Jacob and forgive them their sins.</w:t>
      </w:r>
    </w:p>
    <w:p w14:paraId="6E07EE2A">
      <w:pPr>
        <w:pStyle w:val="9"/>
        <w:spacing w:after="0" w:line="249" w:lineRule="auto"/>
        <w:rPr>
          <w:rFonts w:hint="eastAsia"/>
          <w:color w:val="231F20"/>
        </w:rPr>
      </w:pPr>
      <w:r>
        <w:rPr>
          <w:rFonts w:hint="eastAsia"/>
          <w:color w:val="231F20"/>
        </w:rPr>
        <w:t>因此，当保罗写道救赎主将从锡安而来时，他的意思是基督自己——天上至高的君王——将藉着圣灵，通过教会的福音传讲，降临到末后的以色列，并有效地呼召他们归向祂自己，以便在带领他们信靠他们的弥赛亚之后，祂可以从（其余蒙拣选的）雅各家消除不敬虔，并赦免他们的罪。</w:t>
      </w:r>
    </w:p>
    <w:p w14:paraId="730C3368">
      <w:pPr>
        <w:pStyle w:val="9"/>
        <w:spacing w:after="0" w:line="249" w:lineRule="auto"/>
        <w:rPr>
          <w:rFonts w:hint="eastAsia"/>
          <w:color w:val="231F20"/>
        </w:rPr>
      </w:pPr>
    </w:p>
    <w:p w14:paraId="33BCC31E">
      <w:pPr>
        <w:pStyle w:val="9"/>
        <w:spacing w:after="0" w:line="249" w:lineRule="auto"/>
        <w:rPr>
          <w:rFonts w:hint="eastAsia"/>
          <w:color w:val="231F20"/>
        </w:rPr>
      </w:pPr>
      <w:r>
        <w:rPr>
          <w:rFonts w:hint="eastAsia"/>
          <w:color w:val="231F20"/>
        </w:rPr>
        <w:t>If this view is correct, it means that Paul is using the NCH to interpret Isaiah 59:15-21, the OTKP from which he quotes.</w:t>
      </w:r>
    </w:p>
    <w:p w14:paraId="78F356A6">
      <w:pPr>
        <w:pStyle w:val="9"/>
        <w:spacing w:after="0" w:line="249" w:lineRule="auto"/>
        <w:rPr>
          <w:rFonts w:hint="eastAsia"/>
          <w:color w:val="231F20"/>
        </w:rPr>
      </w:pPr>
      <w:r>
        <w:rPr>
          <w:rFonts w:hint="eastAsia"/>
          <w:color w:val="231F20"/>
        </w:rPr>
        <w:t>如果这个观点是正确的，这意味着保罗正在使用新约解释学（NCH）来解释他所引用的旧约国度预言（OTKP），即以赛亚书 59:15-21。</w:t>
      </w:r>
    </w:p>
    <w:p w14:paraId="3BBD1E20">
      <w:pPr>
        <w:pStyle w:val="9"/>
        <w:spacing w:after="0" w:line="249" w:lineRule="auto"/>
        <w:rPr>
          <w:rFonts w:hint="eastAsia"/>
          <w:color w:val="231F20"/>
        </w:rPr>
      </w:pPr>
    </w:p>
    <w:p w14:paraId="4C7E6FEE">
      <w:pPr>
        <w:pStyle w:val="9"/>
        <w:spacing w:after="0" w:line="249" w:lineRule="auto"/>
        <w:rPr>
          <w:rFonts w:hint="eastAsia"/>
          <w:color w:val="231F20"/>
        </w:rPr>
      </w:pPr>
      <w:r>
        <w:rPr>
          <w:rFonts w:hint="eastAsia"/>
          <w:color w:val="231F20"/>
        </w:rPr>
        <w:t>Turning to it, and following the apostles’ lead, we immediately see that the prophet’s words speak richly to—and of—Christians.</w:t>
      </w:r>
    </w:p>
    <w:p w14:paraId="6DEA66F8">
      <w:pPr>
        <w:pStyle w:val="9"/>
        <w:spacing w:after="0" w:line="249" w:lineRule="auto"/>
        <w:rPr>
          <w:rFonts w:hint="eastAsia"/>
          <w:color w:val="231F20"/>
        </w:rPr>
      </w:pPr>
      <w:r>
        <w:rPr>
          <w:rFonts w:hint="eastAsia"/>
          <w:color w:val="231F20"/>
        </w:rPr>
        <w:t>转向它，并跟随使徒们的引导，我们立刻看到先知的话语丰富地向基督徒说话——并论及基督徒。</w:t>
      </w:r>
    </w:p>
    <w:p w14:paraId="7DB4ED13">
      <w:pPr>
        <w:pStyle w:val="9"/>
        <w:spacing w:after="0" w:line="249" w:lineRule="auto"/>
        <w:rPr>
          <w:rFonts w:hint="eastAsia"/>
          <w:color w:val="231F20"/>
        </w:rPr>
      </w:pPr>
    </w:p>
    <w:p w14:paraId="68C4A5FF">
      <w:pPr>
        <w:pStyle w:val="9"/>
        <w:spacing w:after="0" w:line="249" w:lineRule="auto"/>
        <w:rPr>
          <w:rFonts w:hint="eastAsia"/>
          <w:color w:val="231F20"/>
        </w:rPr>
      </w:pPr>
      <w:r>
        <w:rPr>
          <w:rFonts w:hint="eastAsia"/>
          <w:color w:val="231F20"/>
        </w:rPr>
        <w:t>Because of his innate depravity, man is destitute of righteousness (59:15) and completely unable to save himself (59:16a).</w:t>
      </w:r>
    </w:p>
    <w:p w14:paraId="60A3D9FB">
      <w:pPr>
        <w:pStyle w:val="9"/>
        <w:spacing w:after="0" w:line="249" w:lineRule="auto"/>
        <w:rPr>
          <w:rFonts w:hint="eastAsia"/>
          <w:color w:val="231F20"/>
        </w:rPr>
      </w:pPr>
      <w:r>
        <w:rPr>
          <w:rFonts w:hint="eastAsia"/>
          <w:color w:val="231F20"/>
        </w:rPr>
        <w:t>由于他天生的败坏，人缺乏公义（59:15），完全无法自救（59:16a）。</w:t>
      </w:r>
    </w:p>
    <w:p w14:paraId="3534E972">
      <w:pPr>
        <w:pStyle w:val="9"/>
        <w:spacing w:after="0" w:line="249" w:lineRule="auto"/>
        <w:rPr>
          <w:rFonts w:hint="eastAsia"/>
          <w:color w:val="231F20"/>
        </w:rPr>
      </w:pPr>
    </w:p>
    <w:p w14:paraId="6FA47C70">
      <w:pPr>
        <w:pStyle w:val="9"/>
        <w:spacing w:after="0" w:line="249" w:lineRule="auto"/>
        <w:rPr>
          <w:rFonts w:hint="eastAsia"/>
          <w:color w:val="231F20"/>
        </w:rPr>
      </w:pPr>
      <w:r>
        <w:rPr>
          <w:rFonts w:hint="eastAsia"/>
          <w:color w:val="231F20"/>
        </w:rPr>
        <w:t>Therefore, God himself—in Christ—must and will provide salvation for his people (59:16b).</w:t>
      </w:r>
    </w:p>
    <w:p w14:paraId="4AA8DADB">
      <w:pPr>
        <w:pStyle w:val="9"/>
        <w:spacing w:after="0" w:line="249" w:lineRule="auto"/>
        <w:rPr>
          <w:rFonts w:hint="eastAsia"/>
          <w:color w:val="231F20"/>
        </w:rPr>
      </w:pPr>
      <w:r>
        <w:rPr>
          <w:rFonts w:hint="eastAsia"/>
          <w:color w:val="231F20"/>
        </w:rPr>
        <w:t>因此，上帝自己——在基督里——必须并且将要为祂的子民提供救恩（59:16b）。</w:t>
      </w:r>
    </w:p>
    <w:p w14:paraId="1A72EA5C">
      <w:pPr>
        <w:pStyle w:val="9"/>
        <w:spacing w:after="0" w:line="249" w:lineRule="auto"/>
        <w:rPr>
          <w:rFonts w:hint="eastAsia"/>
          <w:color w:val="231F20"/>
        </w:rPr>
      </w:pPr>
    </w:p>
    <w:p w14:paraId="61589137">
      <w:pPr>
        <w:pStyle w:val="9"/>
        <w:spacing w:after="0" w:line="249" w:lineRule="auto"/>
        <w:rPr>
          <w:rFonts w:hint="eastAsia"/>
          <w:color w:val="231F20"/>
        </w:rPr>
      </w:pPr>
      <w:r>
        <w:rPr>
          <w:rFonts w:hint="eastAsia"/>
          <w:color w:val="231F20"/>
        </w:rPr>
        <w:t>As a mighty victorious warrior, Christ will come in judgment against the enemies of the Church, here typified as unbelieving Gentiles living in distant lands (59:18-19).</w:t>
      </w:r>
    </w:p>
    <w:p w14:paraId="50CC9B90">
      <w:pPr>
        <w:pStyle w:val="9"/>
        <w:spacing w:after="0" w:line="249" w:lineRule="auto"/>
        <w:rPr>
          <w:rFonts w:hint="eastAsia"/>
          <w:color w:val="231F20"/>
        </w:rPr>
      </w:pPr>
      <w:r>
        <w:rPr>
          <w:rFonts w:hint="eastAsia"/>
          <w:color w:val="231F20"/>
        </w:rPr>
        <w:t>作为一位大能得胜的战士，基督将临到审判教会的仇敌，这里以生活在远方的不信外邦人为预表（59:18-19）。</w:t>
      </w:r>
    </w:p>
    <w:p w14:paraId="6AFA0899">
      <w:pPr>
        <w:pStyle w:val="9"/>
        <w:spacing w:after="0" w:line="249" w:lineRule="auto"/>
        <w:rPr>
          <w:rFonts w:hint="eastAsia"/>
          <w:color w:val="231F20"/>
        </w:rPr>
      </w:pPr>
    </w:p>
    <w:p w14:paraId="1D18DB90">
      <w:pPr>
        <w:pStyle w:val="9"/>
        <w:spacing w:after="0" w:line="249" w:lineRule="auto"/>
        <w:rPr>
          <w:rFonts w:hint="eastAsia"/>
          <w:color w:val="231F20"/>
        </w:rPr>
      </w:pPr>
      <w:r>
        <w:rPr>
          <w:rFonts w:hint="eastAsia"/>
          <w:color w:val="231F20"/>
        </w:rPr>
        <w:t>However, as a loving and merciful Redeemer, he will come to the Church—here typified as Zion and Jacob—to whom he will grant repentance and forgiveness of sins (59:20).</w:t>
      </w:r>
    </w:p>
    <w:p w14:paraId="4F46D243">
      <w:pPr>
        <w:pStyle w:val="9"/>
        <w:spacing w:after="0" w:line="249" w:lineRule="auto"/>
        <w:rPr>
          <w:rFonts w:hint="eastAsia"/>
          <w:color w:val="231F20"/>
        </w:rPr>
      </w:pPr>
      <w:r>
        <w:rPr>
          <w:rFonts w:hint="eastAsia"/>
          <w:color w:val="231F20"/>
        </w:rPr>
        <w:t>然而，作为一位慈爱和怜悯的救赎主，祂将来到教会——这里以锡安和雅各为预表——向他们赐予悔改和罪的赦免（59:20）。</w:t>
      </w:r>
    </w:p>
    <w:p w14:paraId="712E63AA">
      <w:pPr>
        <w:pStyle w:val="9"/>
        <w:spacing w:after="0" w:line="249" w:lineRule="auto"/>
        <w:rPr>
          <w:rFonts w:hint="eastAsia"/>
          <w:color w:val="231F20"/>
        </w:rPr>
      </w:pPr>
    </w:p>
    <w:p w14:paraId="16AE19EB">
      <w:pPr>
        <w:pStyle w:val="9"/>
        <w:spacing w:after="0" w:line="249" w:lineRule="auto"/>
        <w:rPr>
          <w:rFonts w:hint="eastAsia"/>
          <w:color w:val="231F20"/>
        </w:rPr>
      </w:pPr>
      <w:r>
        <w:rPr>
          <w:rFonts w:hint="eastAsia"/>
          <w:color w:val="231F20"/>
        </w:rPr>
        <w:t>All of this is the fruit of the New Covenant, through which the Spirit of God and the Word of God will come to dwell forever in the people of God, even as they did in Isaiah, the great OT prophet of the Christ and Covenant to come (59:21).</w:t>
      </w:r>
    </w:p>
    <w:p w14:paraId="60CECBCB">
      <w:pPr>
        <w:pStyle w:val="9"/>
        <w:spacing w:after="0" w:line="249" w:lineRule="auto"/>
        <w:rPr>
          <w:rFonts w:hint="eastAsia"/>
          <w:color w:val="231F20"/>
        </w:rPr>
      </w:pPr>
      <w:r>
        <w:rPr>
          <w:rFonts w:hint="eastAsia"/>
          <w:color w:val="231F20"/>
        </w:rPr>
        <w:t>所有这一切都是新约的果实，藉此上帝的灵和上帝的话语将永远住在上帝的子民中，正如它们曾在以赛亚，那位将要来的基督和圣约的伟大旧约先知中所做的一样（59:21）。</w:t>
      </w:r>
    </w:p>
    <w:p w14:paraId="17D211C8">
      <w:pPr>
        <w:pStyle w:val="9"/>
        <w:spacing w:after="0" w:line="249" w:lineRule="auto"/>
        <w:rPr>
          <w:rFonts w:hint="eastAsia"/>
          <w:color w:val="231F20"/>
        </w:rPr>
      </w:pPr>
    </w:p>
    <w:p w14:paraId="2D732BB8">
      <w:pPr>
        <w:pStyle w:val="9"/>
        <w:spacing w:after="0" w:line="249" w:lineRule="auto"/>
        <w:rPr>
          <w:rFonts w:hint="eastAsia"/>
          <w:color w:val="231F20"/>
        </w:rPr>
      </w:pPr>
      <w:r>
        <w:rPr>
          <w:rFonts w:hint="eastAsia"/>
          <w:color w:val="231F20"/>
        </w:rPr>
        <w:t>Two further observations are in order.</w:t>
      </w:r>
    </w:p>
    <w:p w14:paraId="7F774C04">
      <w:pPr>
        <w:pStyle w:val="9"/>
        <w:spacing w:after="0" w:line="249" w:lineRule="auto"/>
        <w:rPr>
          <w:rFonts w:hint="eastAsia"/>
          <w:color w:val="231F20"/>
        </w:rPr>
      </w:pPr>
      <w:r>
        <w:rPr>
          <w:rFonts w:hint="eastAsia"/>
          <w:color w:val="231F20"/>
        </w:rPr>
        <w:t>还有两点观察需要说明。</w:t>
      </w:r>
    </w:p>
    <w:p w14:paraId="52E19FCE">
      <w:pPr>
        <w:pStyle w:val="9"/>
        <w:spacing w:after="0" w:line="249" w:lineRule="auto"/>
        <w:rPr>
          <w:rFonts w:hint="eastAsia"/>
          <w:color w:val="231F20"/>
        </w:rPr>
      </w:pPr>
    </w:p>
    <w:p w14:paraId="5EC45ABC">
      <w:pPr>
        <w:pStyle w:val="9"/>
        <w:spacing w:after="0" w:line="249" w:lineRule="auto"/>
        <w:rPr>
          <w:rFonts w:hint="eastAsia"/>
          <w:color w:val="231F20"/>
        </w:rPr>
      </w:pPr>
      <w:r>
        <w:rPr>
          <w:rFonts w:hint="eastAsia"/>
          <w:color w:val="231F20"/>
        </w:rPr>
        <w:t>First, Paul departs slightly from Isaiah’s exact wording by saying that the Redeemer will come from Zion, rather than to Zion.</w:t>
      </w:r>
    </w:p>
    <w:p w14:paraId="61BD6F4E">
      <w:pPr>
        <w:pStyle w:val="9"/>
        <w:spacing w:after="0" w:line="249" w:lineRule="auto"/>
        <w:rPr>
          <w:rFonts w:hint="eastAsia"/>
          <w:color w:val="231F20"/>
        </w:rPr>
      </w:pPr>
      <w:r>
        <w:rPr>
          <w:rFonts w:hint="eastAsia"/>
          <w:color w:val="231F20"/>
        </w:rPr>
        <w:t>首先，保罗略微偏离了以赛亚的确切措辞，他说救赎主将从锡安而来，而不是到锡安去。</w:t>
      </w:r>
    </w:p>
    <w:p w14:paraId="2D8C430F">
      <w:pPr>
        <w:pStyle w:val="9"/>
        <w:spacing w:after="0" w:line="249" w:lineRule="auto"/>
        <w:rPr>
          <w:rFonts w:hint="eastAsia"/>
          <w:color w:val="231F20"/>
        </w:rPr>
      </w:pPr>
    </w:p>
    <w:p w14:paraId="239D4E23">
      <w:pPr>
        <w:pStyle w:val="9"/>
        <w:spacing w:after="0" w:line="249" w:lineRule="auto"/>
        <w:rPr>
          <w:rFonts w:hint="eastAsia"/>
          <w:color w:val="231F20"/>
        </w:rPr>
      </w:pPr>
      <w:r>
        <w:rPr>
          <w:rFonts w:hint="eastAsia"/>
          <w:color w:val="231F20"/>
        </w:rPr>
        <w:t>Why did he do this?</w:t>
      </w:r>
    </w:p>
    <w:p w14:paraId="44C015D5">
      <w:pPr>
        <w:pStyle w:val="9"/>
        <w:spacing w:after="0" w:line="249" w:lineRule="auto"/>
        <w:rPr>
          <w:rFonts w:hint="eastAsia"/>
          <w:color w:val="231F20"/>
        </w:rPr>
      </w:pPr>
      <w:r>
        <w:rPr>
          <w:rFonts w:hint="eastAsia"/>
          <w:color w:val="231F20"/>
        </w:rPr>
        <w:t>他为什么要这样做？</w:t>
      </w:r>
    </w:p>
    <w:p w14:paraId="51701128">
      <w:pPr>
        <w:pStyle w:val="9"/>
        <w:spacing w:after="0" w:line="249" w:lineRule="auto"/>
        <w:rPr>
          <w:rFonts w:hint="eastAsia"/>
          <w:color w:val="231F20"/>
        </w:rPr>
      </w:pPr>
    </w:p>
    <w:p w14:paraId="718F547F">
      <w:pPr>
        <w:pStyle w:val="9"/>
        <w:spacing w:after="0" w:line="249" w:lineRule="auto"/>
        <w:rPr>
          <w:rFonts w:hint="eastAsia"/>
          <w:color w:val="231F20"/>
        </w:rPr>
      </w:pPr>
      <w:r>
        <w:rPr>
          <w:rFonts w:hint="eastAsia"/>
          <w:color w:val="231F20"/>
        </w:rPr>
        <w:t>I would answer by saying that when Paul wrote to the Romans, Christ had indeed come to Zion, but in all humility and seeming defeat, rather than as the mighty victorious warrior pictured by Isaiah.</w:t>
      </w:r>
    </w:p>
    <w:p w14:paraId="1DA4335A">
      <w:pPr>
        <w:pStyle w:val="9"/>
        <w:spacing w:after="0" w:line="249" w:lineRule="auto"/>
        <w:rPr>
          <w:rFonts w:hint="eastAsia"/>
          <w:color w:val="231F20"/>
        </w:rPr>
      </w:pPr>
      <w:r>
        <w:rPr>
          <w:rFonts w:hint="eastAsia"/>
          <w:color w:val="231F20"/>
        </w:rPr>
        <w:t>我会回答说，当保罗写信给罗马人时，基督确实来到了锡安，但却是带着完全的谦卑和看似的失败，而不是像以赛亚所描绘的那样是一位大能得胜的战士。</w:t>
      </w:r>
    </w:p>
    <w:p w14:paraId="797B1FC4">
      <w:pPr>
        <w:pStyle w:val="9"/>
        <w:spacing w:after="0" w:line="249" w:lineRule="auto"/>
        <w:rPr>
          <w:rFonts w:hint="eastAsia"/>
          <w:color w:val="231F20"/>
        </w:rPr>
      </w:pPr>
    </w:p>
    <w:p w14:paraId="4BBF46BD">
      <w:pPr>
        <w:pStyle w:val="9"/>
        <w:spacing w:after="0" w:line="249" w:lineRule="auto"/>
        <w:rPr>
          <w:rFonts w:hint="eastAsia"/>
          <w:color w:val="231F20"/>
        </w:rPr>
      </w:pPr>
      <w:r>
        <w:rPr>
          <w:rFonts w:hint="eastAsia"/>
          <w:color w:val="231F20"/>
        </w:rPr>
        <w:t>Therefore, in order to accent the infallibility of Christ’s latter-day purpose for his OT people, Paul does indeed imply that Christ will come to (ethnic) Zion, but elects to state that he will come from the heavenly Zion, where the victorious and omnipotent King is seated with all authority in heaven and earth!</w:t>
      </w:r>
    </w:p>
    <w:p w14:paraId="35C0652A">
      <w:pPr>
        <w:pStyle w:val="9"/>
        <w:spacing w:after="0" w:line="249" w:lineRule="auto"/>
        <w:rPr>
          <w:rFonts w:hint="eastAsia"/>
          <w:color w:val="231F20"/>
        </w:rPr>
      </w:pPr>
      <w:r>
        <w:rPr>
          <w:rFonts w:hint="eastAsia"/>
          <w:color w:val="231F20"/>
        </w:rPr>
        <w:t>因此，为了强调基督对祂旧约子民末后旨意的不谬性，保罗确实暗示基督将来到（民族的）锡安，但他选择陈述祂将从天上的锡安而来，在那里，得胜且全能的君王坐在天上地下一切权柄之上！</w:t>
      </w:r>
    </w:p>
    <w:p w14:paraId="0972CBA0">
      <w:pPr>
        <w:pStyle w:val="9"/>
        <w:spacing w:after="0" w:line="249" w:lineRule="auto"/>
        <w:rPr>
          <w:rFonts w:hint="eastAsia"/>
          <w:color w:val="231F20"/>
        </w:rPr>
      </w:pPr>
    </w:p>
    <w:p w14:paraId="105A9A47">
      <w:pPr>
        <w:pStyle w:val="9"/>
        <w:spacing w:after="0" w:line="249" w:lineRule="auto"/>
        <w:rPr>
          <w:rFonts w:hint="eastAsia"/>
          <w:color w:val="231F20"/>
        </w:rPr>
      </w:pPr>
      <w:r>
        <w:rPr>
          <w:rFonts w:hint="eastAsia"/>
          <w:color w:val="231F20"/>
        </w:rPr>
        <w:t>In short, in Paul’s mind the NT mystery of Christ’s different (kinds of) comings necessitated this slight but significant change.</w:t>
      </w:r>
    </w:p>
    <w:p w14:paraId="2999FB0C">
      <w:pPr>
        <w:pStyle w:val="9"/>
        <w:spacing w:after="0" w:line="249" w:lineRule="auto"/>
        <w:rPr>
          <w:rFonts w:hint="eastAsia"/>
          <w:color w:val="231F20"/>
        </w:rPr>
      </w:pPr>
      <w:r>
        <w:rPr>
          <w:rFonts w:hint="eastAsia"/>
          <w:color w:val="231F20"/>
        </w:rPr>
        <w:t>简而言之，在保罗看来，新约中基督不同（种类）降临的奥秘，使得这个微小但意义重大的改变成为必要。</w:t>
      </w:r>
    </w:p>
    <w:p w14:paraId="4E898FE6">
      <w:pPr>
        <w:pStyle w:val="9"/>
        <w:spacing w:after="0" w:line="249" w:lineRule="auto"/>
        <w:rPr>
          <w:rFonts w:hint="eastAsia"/>
          <w:color w:val="231F20"/>
        </w:rPr>
      </w:pPr>
    </w:p>
    <w:p w14:paraId="10BE4F45">
      <w:pPr>
        <w:pStyle w:val="9"/>
        <w:spacing w:after="0" w:line="249" w:lineRule="auto"/>
        <w:rPr>
          <w:rFonts w:hint="eastAsia"/>
          <w:color w:val="231F20"/>
        </w:rPr>
      </w:pPr>
      <w:r>
        <w:rPr>
          <w:rFonts w:hint="eastAsia"/>
          <w:color w:val="231F20"/>
        </w:rPr>
        <w:t>Secondly, while the NCH leads us to interpret Isaiah’s prophecy as speaking of the Church as a whole, Paul here reads it as speaking of one portion of the Church: latter-day ethnic Israel.</w:t>
      </w:r>
    </w:p>
    <w:p w14:paraId="2348E79E">
      <w:pPr>
        <w:pStyle w:val="9"/>
        <w:spacing w:after="0" w:line="249" w:lineRule="auto"/>
        <w:rPr>
          <w:rFonts w:hint="eastAsia"/>
          <w:color w:val="231F20"/>
        </w:rPr>
      </w:pPr>
      <w:r>
        <w:rPr>
          <w:rFonts w:hint="eastAsia"/>
          <w:color w:val="231F20"/>
        </w:rPr>
        <w:t>其次，虽然新约解释学（NCH）引导我们将以赛亚的预言解释为论及整个教会，但保罗在这里将其解读为论及教会的一个部分：末后的以色列民族。</w:t>
      </w:r>
    </w:p>
    <w:p w14:paraId="558F4288">
      <w:pPr>
        <w:pStyle w:val="9"/>
        <w:spacing w:after="0" w:line="249" w:lineRule="auto"/>
        <w:rPr>
          <w:rFonts w:hint="eastAsia"/>
          <w:color w:val="231F20"/>
        </w:rPr>
      </w:pPr>
    </w:p>
    <w:p w14:paraId="3B17ED20">
      <w:pPr>
        <w:pStyle w:val="9"/>
        <w:spacing w:after="0" w:line="249" w:lineRule="auto"/>
        <w:rPr>
          <w:rFonts w:hint="eastAsia"/>
          <w:color w:val="231F20"/>
        </w:rPr>
      </w:pPr>
      <w:r>
        <w:rPr>
          <w:rFonts w:hint="eastAsia"/>
          <w:color w:val="231F20"/>
        </w:rPr>
        <w:t>How are we to resolve this?</w:t>
      </w:r>
    </w:p>
    <w:p w14:paraId="48F1CF40">
      <w:pPr>
        <w:pStyle w:val="9"/>
        <w:spacing w:after="0" w:line="249" w:lineRule="auto"/>
        <w:rPr>
          <w:rFonts w:hint="eastAsia"/>
          <w:color w:val="231F20"/>
        </w:rPr>
      </w:pPr>
      <w:r>
        <w:rPr>
          <w:rFonts w:hint="eastAsia"/>
          <w:color w:val="231F20"/>
        </w:rPr>
        <w:t>我们该如何解决这个问题？</w:t>
      </w:r>
    </w:p>
    <w:p w14:paraId="0A2A6BC7">
      <w:pPr>
        <w:pStyle w:val="9"/>
        <w:spacing w:after="0" w:line="249" w:lineRule="auto"/>
        <w:rPr>
          <w:rFonts w:hint="eastAsia"/>
          <w:color w:val="231F20"/>
        </w:rPr>
      </w:pPr>
    </w:p>
    <w:p w14:paraId="7A324593">
      <w:pPr>
        <w:pStyle w:val="9"/>
        <w:spacing w:after="0" w:line="249" w:lineRule="auto"/>
        <w:rPr>
          <w:rFonts w:hint="eastAsia"/>
          <w:color w:val="231F20"/>
        </w:rPr>
      </w:pPr>
      <w:r>
        <w:rPr>
          <w:rFonts w:hint="eastAsia"/>
          <w:color w:val="231F20"/>
        </w:rPr>
        <w:t>The answer, I think, is twofold .</w:t>
      </w:r>
    </w:p>
    <w:p w14:paraId="262CD13F">
      <w:pPr>
        <w:pStyle w:val="9"/>
        <w:spacing w:after="0" w:line="249" w:lineRule="auto"/>
        <w:rPr>
          <w:rFonts w:hint="eastAsia"/>
          <w:color w:val="231F20"/>
        </w:rPr>
      </w:pPr>
      <w:r>
        <w:rPr>
          <w:rFonts w:hint="eastAsia"/>
          <w:color w:val="231F20"/>
        </w:rPr>
        <w:t>我认为，答案是双重的。</w:t>
      </w:r>
    </w:p>
    <w:p w14:paraId="56A7CC6C">
      <w:pPr>
        <w:pStyle w:val="9"/>
        <w:spacing w:after="0" w:line="249" w:lineRule="auto"/>
        <w:rPr>
          <w:rFonts w:hint="eastAsia"/>
          <w:color w:val="231F20"/>
        </w:rPr>
      </w:pPr>
    </w:p>
    <w:p w14:paraId="388A0460">
      <w:pPr>
        <w:pStyle w:val="9"/>
        <w:spacing w:after="0" w:line="249" w:lineRule="auto"/>
        <w:rPr>
          <w:rFonts w:hint="eastAsia"/>
          <w:color w:val="231F20"/>
        </w:rPr>
      </w:pPr>
      <w:r>
        <w:rPr>
          <w:rFonts w:hint="eastAsia"/>
          <w:color w:val="231F20"/>
        </w:rPr>
        <w:t>On the one hand, we can legitimately read Isaiah’s prophecy as having a double fulfillment: The Deliverer will come to the elect remnant of Jews and make them part of Christ’s Church; but he also will come to the elect in its entirety—both Jew and Gentile—and make them into Christ’s Church.</w:t>
      </w:r>
    </w:p>
    <w:p w14:paraId="7B4A421A">
      <w:pPr>
        <w:pStyle w:val="9"/>
        <w:spacing w:after="0" w:line="249" w:lineRule="auto"/>
        <w:rPr>
          <w:rFonts w:hint="eastAsia"/>
          <w:color w:val="231F20"/>
        </w:rPr>
      </w:pPr>
      <w:r>
        <w:rPr>
          <w:rFonts w:hint="eastAsia"/>
          <w:color w:val="231F20"/>
        </w:rPr>
        <w:t>一方面，我们可以合理地将以赛亚的预言解读为有双重应验：救赎主将来到蒙拣选的犹太余民那里，使他们成为基督教会的一部分；但祂也将来到全体蒙拣选的人那里——无论是犹太人还是外邦人——并将他们造成基督的教会。</w:t>
      </w:r>
    </w:p>
    <w:p w14:paraId="4E479606">
      <w:pPr>
        <w:pStyle w:val="9"/>
        <w:spacing w:after="0" w:line="249" w:lineRule="auto"/>
        <w:rPr>
          <w:rFonts w:hint="eastAsia"/>
          <w:color w:val="231F20"/>
        </w:rPr>
      </w:pPr>
    </w:p>
    <w:p w14:paraId="1DB15338">
      <w:pPr>
        <w:pStyle w:val="9"/>
        <w:spacing w:after="0" w:line="249" w:lineRule="auto"/>
        <w:rPr>
          <w:rFonts w:hint="eastAsia"/>
          <w:color w:val="231F20"/>
        </w:rPr>
      </w:pPr>
      <w:r>
        <w:rPr>
          <w:rFonts w:hint="eastAsia"/>
          <w:color w:val="231F20"/>
        </w:rPr>
        <w:t>On the other hand, Paul himself has told us that here he is making known to us a mystery, a hitherto unrevealed truth about how Christ will bring the Church to her appointed fullness: He will do so by visiting multitudes of latter-day Jews from heaven, forgiving their sins, and making the physical sons of Jacob into spiritual sons of Jacob; making citizens of the Zion below into citizens of the Zion above!</w:t>
      </w:r>
    </w:p>
    <w:p w14:paraId="5A437635">
      <w:pPr>
        <w:pStyle w:val="9"/>
        <w:spacing w:after="0" w:line="249" w:lineRule="auto"/>
        <w:rPr>
          <w:rFonts w:hint="eastAsia"/>
          <w:color w:val="231F20"/>
        </w:rPr>
      </w:pPr>
      <w:r>
        <w:rPr>
          <w:rFonts w:hint="eastAsia"/>
          <w:color w:val="231F20"/>
        </w:rPr>
        <w:t>另一方面，保罗自己告诉我们，他在这里是向我们揭示一个奥秘，一个迄今未被揭示的真理，关于基督将如何带领教会达到祂所命定的丰满：祂将从天上眷顾众多的末后犹太人，赦免他们的罪，并将雅各的肉身子孙变为雅各的属灵子孙；将地上锡安的公民变为天上锡安的公民！</w:t>
      </w:r>
    </w:p>
    <w:p w14:paraId="40DDBC4A">
      <w:pPr>
        <w:pStyle w:val="9"/>
        <w:spacing w:after="0" w:line="249" w:lineRule="auto"/>
        <w:rPr>
          <w:rFonts w:hint="eastAsia"/>
          <w:color w:val="231F20"/>
        </w:rPr>
      </w:pPr>
    </w:p>
    <w:p w14:paraId="60BDBC53">
      <w:pPr>
        <w:pStyle w:val="9"/>
        <w:spacing w:after="0" w:line="249" w:lineRule="auto"/>
        <w:rPr>
          <w:rFonts w:hint="eastAsia"/>
          <w:color w:val="231F20"/>
        </w:rPr>
      </w:pPr>
      <w:r>
        <w:rPr>
          <w:rFonts w:hint="eastAsia"/>
          <w:color w:val="231F20"/>
        </w:rPr>
        <w:t>And who is sufficient for these things (Rom. 11:33-36, 2 Cor. 2:16)?</w:t>
      </w:r>
    </w:p>
    <w:p w14:paraId="0521CD55">
      <w:pPr>
        <w:pStyle w:val="9"/>
        <w:spacing w:after="0" w:line="249" w:lineRule="auto"/>
        <w:rPr>
          <w:rFonts w:hint="eastAsia"/>
          <w:color w:val="231F20"/>
        </w:rPr>
      </w:pPr>
      <w:r>
        <w:rPr>
          <w:rFonts w:hint="eastAsia"/>
          <w:color w:val="231F20"/>
        </w:rPr>
        <w:t>谁能担当这些事呢（罗马书 11:33-36, 哥林多后书 2:16）？</w:t>
      </w:r>
    </w:p>
    <w:p w14:paraId="5C18DF49">
      <w:pPr>
        <w:pStyle w:val="9"/>
        <w:spacing w:after="0" w:line="249" w:lineRule="auto"/>
        <w:rPr>
          <w:rFonts w:hint="eastAsia"/>
          <w:color w:val="231F20"/>
        </w:rPr>
      </w:pPr>
    </w:p>
    <w:p w14:paraId="5CBD58CA">
      <w:pPr>
        <w:pStyle w:val="9"/>
        <w:spacing w:after="0" w:line="249" w:lineRule="auto"/>
        <w:rPr>
          <w:rFonts w:hint="eastAsia"/>
          <w:color w:val="231F20"/>
        </w:rPr>
      </w:pPr>
      <w:r>
        <w:rPr>
          <w:rFonts w:hint="eastAsia"/>
          <w:color w:val="231F20"/>
        </w:rPr>
        <w:t>8.Now is the Day of Salvation</w:t>
      </w:r>
    </w:p>
    <w:p w14:paraId="264BD7DA">
      <w:pPr>
        <w:pStyle w:val="9"/>
        <w:spacing w:after="0" w:line="249" w:lineRule="auto"/>
        <w:rPr>
          <w:rFonts w:hint="eastAsia"/>
          <w:color w:val="231F20"/>
        </w:rPr>
      </w:pPr>
      <w:r>
        <w:rPr>
          <w:rFonts w:hint="eastAsia"/>
          <w:color w:val="231F20"/>
        </w:rPr>
        <w:t>8.如今正是拯救的日子</w:t>
      </w:r>
    </w:p>
    <w:p w14:paraId="6B054986">
      <w:pPr>
        <w:pStyle w:val="9"/>
        <w:spacing w:after="0" w:line="249" w:lineRule="auto"/>
        <w:rPr>
          <w:rFonts w:hint="eastAsia"/>
          <w:color w:val="231F20"/>
        </w:rPr>
      </w:pPr>
    </w:p>
    <w:p w14:paraId="02D078B4">
      <w:pPr>
        <w:pStyle w:val="9"/>
        <w:spacing w:after="0" w:line="249" w:lineRule="auto"/>
        <w:rPr>
          <w:rFonts w:hint="eastAsia"/>
          <w:color w:val="231F20"/>
        </w:rPr>
      </w:pPr>
      <w:r>
        <w:rPr>
          <w:rFonts w:hint="eastAsia"/>
          <w:color w:val="231F20"/>
        </w:rPr>
        <w:t>(2 Corinthians 6:1-2, Isaiah 49:8)</w:t>
      </w:r>
    </w:p>
    <w:p w14:paraId="16FE454D">
      <w:pPr>
        <w:pStyle w:val="9"/>
        <w:spacing w:after="0" w:line="249" w:lineRule="auto"/>
        <w:rPr>
          <w:rFonts w:hint="eastAsia"/>
          <w:color w:val="231F20"/>
        </w:rPr>
      </w:pPr>
      <w:r>
        <w:rPr>
          <w:rFonts w:hint="eastAsia"/>
          <w:color w:val="231F20"/>
        </w:rPr>
        <w:t>（哥林多后书 6:1-2, 以赛亚书 49:8）</w:t>
      </w:r>
    </w:p>
    <w:p w14:paraId="76357786">
      <w:pPr>
        <w:pStyle w:val="9"/>
        <w:spacing w:after="0" w:line="249" w:lineRule="auto"/>
        <w:rPr>
          <w:rFonts w:hint="eastAsia"/>
          <w:color w:val="231F20"/>
        </w:rPr>
      </w:pPr>
    </w:p>
    <w:p w14:paraId="300210C2">
      <w:pPr>
        <w:pStyle w:val="9"/>
        <w:spacing w:after="0" w:line="249" w:lineRule="auto"/>
        <w:rPr>
          <w:rFonts w:hint="eastAsia"/>
          <w:color w:val="231F20"/>
        </w:rPr>
      </w:pPr>
      <w:r>
        <w:rPr>
          <w:rFonts w:hint="eastAsia"/>
          <w:color w:val="231F20"/>
        </w:rPr>
        <w:t>Paul is anxious for the Corinthian Church.</w:t>
      </w:r>
    </w:p>
    <w:p w14:paraId="142FF3CE">
      <w:pPr>
        <w:pStyle w:val="9"/>
        <w:spacing w:after="0" w:line="249" w:lineRule="auto"/>
        <w:rPr>
          <w:rFonts w:hint="eastAsia"/>
          <w:color w:val="231F20"/>
        </w:rPr>
      </w:pPr>
      <w:r>
        <w:rPr>
          <w:rFonts w:hint="eastAsia"/>
          <w:color w:val="231F20"/>
        </w:rPr>
        <w:t>保罗为哥林多教会感到焦虑。</w:t>
      </w:r>
    </w:p>
    <w:p w14:paraId="2B1674B7">
      <w:pPr>
        <w:pStyle w:val="9"/>
        <w:spacing w:after="0" w:line="249" w:lineRule="auto"/>
        <w:rPr>
          <w:rFonts w:hint="eastAsia"/>
          <w:color w:val="231F20"/>
        </w:rPr>
      </w:pPr>
    </w:p>
    <w:p w14:paraId="6F5E4EF1">
      <w:pPr>
        <w:pStyle w:val="9"/>
        <w:spacing w:after="0" w:line="249" w:lineRule="auto"/>
        <w:rPr>
          <w:rFonts w:hint="eastAsia"/>
          <w:color w:val="231F20"/>
        </w:rPr>
      </w:pPr>
      <w:r>
        <w:rPr>
          <w:rFonts w:hint="eastAsia"/>
          <w:color w:val="231F20"/>
        </w:rPr>
        <w:t>Certain “false apostles,” “deceitful workers,” and “ministers of Satan” are attempting to draw his hard-won flock away from the all-sufficient Person and Work of Christ and put them back under the Mosaic Law (2 Cor. 11:13-15).</w:t>
      </w:r>
    </w:p>
    <w:p w14:paraId="4AB08396">
      <w:pPr>
        <w:pStyle w:val="9"/>
        <w:spacing w:after="0" w:line="249" w:lineRule="auto"/>
        <w:rPr>
          <w:rFonts w:hint="eastAsia"/>
          <w:color w:val="231F20"/>
        </w:rPr>
      </w:pPr>
      <w:r>
        <w:rPr>
          <w:rFonts w:hint="eastAsia"/>
          <w:color w:val="231F20"/>
        </w:rPr>
        <w:t>某些“假使徒”、“诡诈的工人”和“撒但的差役”正试图将他辛辛苦苦得来的羊群从基督全备的位格和工作中引开，让他们重新回到摩西律法之下（哥林多后书 11:13-15）。</w:t>
      </w:r>
    </w:p>
    <w:p w14:paraId="19F72A38">
      <w:pPr>
        <w:pStyle w:val="9"/>
        <w:spacing w:after="0" w:line="249" w:lineRule="auto"/>
        <w:rPr>
          <w:rFonts w:hint="eastAsia"/>
          <w:color w:val="231F20"/>
        </w:rPr>
      </w:pPr>
    </w:p>
    <w:p w14:paraId="70320545">
      <w:pPr>
        <w:pStyle w:val="9"/>
        <w:spacing w:after="0" w:line="249" w:lineRule="auto"/>
        <w:rPr>
          <w:rFonts w:hint="eastAsia"/>
          <w:color w:val="231F20"/>
        </w:rPr>
      </w:pPr>
      <w:r>
        <w:rPr>
          <w:rFonts w:hint="eastAsia"/>
          <w:color w:val="231F20"/>
        </w:rPr>
        <w:t>With great urgency he therefore writes:</w:t>
      </w:r>
    </w:p>
    <w:p w14:paraId="28702CCE">
      <w:pPr>
        <w:pStyle w:val="9"/>
        <w:spacing w:after="0" w:line="249" w:lineRule="auto"/>
        <w:rPr>
          <w:rFonts w:hint="eastAsia"/>
          <w:color w:val="231F20"/>
        </w:rPr>
      </w:pPr>
      <w:r>
        <w:rPr>
          <w:rFonts w:hint="eastAsia"/>
          <w:color w:val="231F20"/>
        </w:rPr>
        <w:t>因此，他怀着极大的紧迫感写道：</w:t>
      </w:r>
    </w:p>
    <w:p w14:paraId="401503E9">
      <w:pPr>
        <w:pStyle w:val="9"/>
        <w:spacing w:after="0" w:line="249" w:lineRule="auto"/>
        <w:rPr>
          <w:rFonts w:hint="eastAsia"/>
          <w:color w:val="231F20"/>
        </w:rPr>
      </w:pPr>
    </w:p>
    <w:p w14:paraId="3DECCCA9">
      <w:pPr>
        <w:pStyle w:val="9"/>
        <w:spacing w:after="0" w:line="249" w:lineRule="auto"/>
        <w:rPr>
          <w:rFonts w:hint="eastAsia"/>
          <w:color w:val="231F20"/>
        </w:rPr>
      </w:pPr>
      <w:r>
        <w:rPr>
          <w:rFonts w:hint="eastAsia"/>
          <w:color w:val="231F20"/>
        </w:rPr>
        <w:t>And working together with Him (Christ), we also beseech you not to receive the grace of God in vain.</w:t>
      </w:r>
    </w:p>
    <w:p w14:paraId="386838E8">
      <w:pPr>
        <w:pStyle w:val="9"/>
        <w:spacing w:after="0" w:line="249" w:lineRule="auto"/>
        <w:rPr>
          <w:rFonts w:hint="eastAsia"/>
          <w:color w:val="231F20"/>
        </w:rPr>
      </w:pPr>
      <w:r>
        <w:rPr>
          <w:rFonts w:hint="eastAsia"/>
          <w:color w:val="231F20"/>
        </w:rPr>
        <w:t>我们与祂（基督）同工的，也劝你们不可徒受上帝的恩典。</w:t>
      </w:r>
    </w:p>
    <w:p w14:paraId="19FE327A">
      <w:pPr>
        <w:pStyle w:val="9"/>
        <w:spacing w:after="0" w:line="249" w:lineRule="auto"/>
        <w:rPr>
          <w:rFonts w:hint="eastAsia"/>
          <w:color w:val="231F20"/>
        </w:rPr>
      </w:pPr>
    </w:p>
    <w:p w14:paraId="6B79D850">
      <w:pPr>
        <w:pStyle w:val="9"/>
        <w:spacing w:after="0" w:line="249" w:lineRule="auto"/>
        <w:rPr>
          <w:rFonts w:hint="eastAsia"/>
          <w:color w:val="231F20"/>
        </w:rPr>
      </w:pPr>
      <w:r>
        <w:rPr>
          <w:rFonts w:hint="eastAsia"/>
          <w:color w:val="231F20"/>
        </w:rPr>
        <w:t>For He (God) says, “At the favorable time I listened to you, and on the day of salvation I helped you.”</w:t>
      </w:r>
    </w:p>
    <w:p w14:paraId="26931C5E">
      <w:pPr>
        <w:pStyle w:val="9"/>
        <w:spacing w:after="0" w:line="249" w:lineRule="auto"/>
        <w:rPr>
          <w:rFonts w:hint="eastAsia"/>
          <w:color w:val="231F20"/>
        </w:rPr>
      </w:pPr>
      <w:r>
        <w:rPr>
          <w:rFonts w:hint="eastAsia"/>
          <w:color w:val="231F20"/>
        </w:rPr>
        <w:t>因为祂（上帝）说：“在悦纳的时候，我应允了你；在拯救的日子，我搭救了你。”</w:t>
      </w:r>
    </w:p>
    <w:p w14:paraId="7BE4598B">
      <w:pPr>
        <w:pStyle w:val="9"/>
        <w:spacing w:after="0" w:line="249" w:lineRule="auto"/>
        <w:rPr>
          <w:rFonts w:hint="eastAsia"/>
          <w:color w:val="231F20"/>
        </w:rPr>
      </w:pPr>
    </w:p>
    <w:p w14:paraId="077F7706">
      <w:pPr>
        <w:pStyle w:val="9"/>
        <w:spacing w:after="0" w:line="249" w:lineRule="auto"/>
        <w:rPr>
          <w:rFonts w:hint="eastAsia"/>
          <w:color w:val="231F20"/>
        </w:rPr>
      </w:pPr>
      <w:r>
        <w:rPr>
          <w:rFonts w:hint="eastAsia"/>
          <w:color w:val="231F20"/>
        </w:rPr>
        <w:t>Behold, now is the acceptable time; behold, now is the day of salvation!</w:t>
      </w:r>
    </w:p>
    <w:p w14:paraId="5F351D15">
      <w:pPr>
        <w:pStyle w:val="9"/>
        <w:spacing w:after="0" w:line="249" w:lineRule="auto"/>
        <w:rPr>
          <w:rFonts w:hint="eastAsia"/>
          <w:color w:val="231F20"/>
        </w:rPr>
      </w:pPr>
      <w:r>
        <w:rPr>
          <w:rFonts w:hint="eastAsia"/>
          <w:color w:val="231F20"/>
        </w:rPr>
        <w:t>看哪，现在正是悦纳的时候！看哪，现在正是拯救的日子！</w:t>
      </w:r>
    </w:p>
    <w:p w14:paraId="4F3CC4F6">
      <w:pPr>
        <w:pStyle w:val="9"/>
        <w:spacing w:after="0" w:line="249" w:lineRule="auto"/>
        <w:rPr>
          <w:rFonts w:hint="eastAsia"/>
          <w:color w:val="231F20"/>
        </w:rPr>
      </w:pPr>
    </w:p>
    <w:p w14:paraId="0E2AD46F">
      <w:pPr>
        <w:pStyle w:val="9"/>
        <w:spacing w:after="0" w:line="249" w:lineRule="auto"/>
        <w:rPr>
          <w:rFonts w:hint="eastAsia"/>
          <w:color w:val="231F20"/>
        </w:rPr>
      </w:pPr>
      <w:r>
        <w:rPr>
          <w:rFonts w:hint="eastAsia"/>
          <w:color w:val="231F20"/>
        </w:rPr>
        <w:t>—2 Cor. 6:1-2</w:t>
      </w:r>
    </w:p>
    <w:p w14:paraId="00A29221">
      <w:pPr>
        <w:pStyle w:val="9"/>
        <w:spacing w:after="0" w:line="249" w:lineRule="auto"/>
        <w:rPr>
          <w:rFonts w:hint="eastAsia"/>
          <w:color w:val="231F20"/>
        </w:rPr>
      </w:pPr>
      <w:r>
        <w:rPr>
          <w:rFonts w:hint="eastAsia"/>
          <w:color w:val="231F20"/>
        </w:rPr>
        <w:t>——哥林多后书 6:1-2</w:t>
      </w:r>
    </w:p>
    <w:p w14:paraId="0F7BB325">
      <w:pPr>
        <w:pStyle w:val="9"/>
        <w:spacing w:after="0" w:line="249" w:lineRule="auto"/>
        <w:rPr>
          <w:rFonts w:hint="eastAsia"/>
          <w:color w:val="231F20"/>
        </w:rPr>
      </w:pPr>
    </w:p>
    <w:p w14:paraId="6D62F0E9">
      <w:pPr>
        <w:pStyle w:val="9"/>
        <w:spacing w:after="0" w:line="249" w:lineRule="auto"/>
        <w:rPr>
          <w:rFonts w:hint="eastAsia"/>
          <w:color w:val="231F20"/>
        </w:rPr>
      </w:pPr>
      <w:r>
        <w:rPr>
          <w:rFonts w:hint="eastAsia"/>
          <w:color w:val="231F20"/>
        </w:rPr>
        <w:t>Feeling himself to be the very mouth-piece of Christ, Paul here pleads with these impressionable Gentile Christians, begging them not to take circumcision or convert to Judaism.</w:t>
      </w:r>
    </w:p>
    <w:p w14:paraId="712D0C0A">
      <w:pPr>
        <w:pStyle w:val="9"/>
        <w:spacing w:after="0" w:line="249" w:lineRule="auto"/>
        <w:rPr>
          <w:rFonts w:hint="eastAsia"/>
          <w:color w:val="231F20"/>
        </w:rPr>
      </w:pPr>
      <w:r>
        <w:rPr>
          <w:rFonts w:hint="eastAsia"/>
          <w:color w:val="231F20"/>
        </w:rPr>
        <w:t>保罗在此感到自己正是基督的代言人，他恳求这些易受影响的外邦基督徒，求他们不要受割礼或改信犹太教。</w:t>
      </w:r>
    </w:p>
    <w:p w14:paraId="76FC2930">
      <w:pPr>
        <w:pStyle w:val="9"/>
        <w:spacing w:after="0" w:line="249" w:lineRule="auto"/>
        <w:rPr>
          <w:rFonts w:hint="eastAsia"/>
          <w:color w:val="231F20"/>
        </w:rPr>
      </w:pPr>
    </w:p>
    <w:p w14:paraId="2C8C66E4">
      <w:pPr>
        <w:pStyle w:val="9"/>
        <w:spacing w:after="0" w:line="249" w:lineRule="auto"/>
        <w:rPr>
          <w:rFonts w:hint="eastAsia"/>
          <w:color w:val="231F20"/>
        </w:rPr>
      </w:pPr>
      <w:r>
        <w:rPr>
          <w:rFonts w:hint="eastAsia"/>
          <w:color w:val="231F20"/>
        </w:rPr>
        <w:t>Why?</w:t>
      </w:r>
    </w:p>
    <w:p w14:paraId="7954AC6D">
      <w:pPr>
        <w:pStyle w:val="9"/>
        <w:spacing w:after="0" w:line="249" w:lineRule="auto"/>
        <w:rPr>
          <w:rFonts w:hint="eastAsia"/>
          <w:color w:val="231F20"/>
        </w:rPr>
      </w:pPr>
      <w:r>
        <w:rPr>
          <w:rFonts w:hint="eastAsia"/>
          <w:color w:val="231F20"/>
        </w:rPr>
        <w:t>为什么？</w:t>
      </w:r>
    </w:p>
    <w:p w14:paraId="228733E9">
      <w:pPr>
        <w:pStyle w:val="9"/>
        <w:spacing w:after="0" w:line="249" w:lineRule="auto"/>
        <w:rPr>
          <w:rFonts w:hint="eastAsia"/>
          <w:color w:val="231F20"/>
        </w:rPr>
      </w:pPr>
    </w:p>
    <w:p w14:paraId="0F39E24B">
      <w:pPr>
        <w:pStyle w:val="9"/>
        <w:spacing w:after="0" w:line="249" w:lineRule="auto"/>
        <w:rPr>
          <w:rFonts w:hint="eastAsia"/>
          <w:color w:val="231F20"/>
        </w:rPr>
      </w:pPr>
      <w:r>
        <w:rPr>
          <w:rFonts w:hint="eastAsia"/>
          <w:color w:val="231F20"/>
        </w:rPr>
        <w:t>Because to do so would be to “receive the grace of God in vain.”</w:t>
      </w:r>
    </w:p>
    <w:p w14:paraId="1455F632">
      <w:pPr>
        <w:pStyle w:val="9"/>
        <w:spacing w:after="0" w:line="249" w:lineRule="auto"/>
        <w:rPr>
          <w:rFonts w:hint="eastAsia"/>
          <w:color w:val="231F20"/>
        </w:rPr>
      </w:pPr>
      <w:r>
        <w:rPr>
          <w:rFonts w:hint="eastAsia"/>
          <w:color w:val="231F20"/>
        </w:rPr>
        <w:t>因为这样做就是“徒受上帝的恩典”。</w:t>
      </w:r>
    </w:p>
    <w:p w14:paraId="46E98B3E">
      <w:pPr>
        <w:pStyle w:val="9"/>
        <w:spacing w:after="0" w:line="249" w:lineRule="auto"/>
        <w:rPr>
          <w:rFonts w:hint="eastAsia"/>
          <w:color w:val="231F20"/>
        </w:rPr>
      </w:pPr>
    </w:p>
    <w:p w14:paraId="2401037F">
      <w:pPr>
        <w:pStyle w:val="9"/>
        <w:spacing w:after="0" w:line="249" w:lineRule="auto"/>
        <w:rPr>
          <w:rFonts w:hint="eastAsia"/>
          <w:color w:val="231F20"/>
        </w:rPr>
      </w:pPr>
      <w:r>
        <w:rPr>
          <w:rFonts w:hint="eastAsia"/>
          <w:color w:val="231F20"/>
        </w:rPr>
        <w:t>It would be to go back and seek justification through “weak and beggarly” religious institutions, instead of clinging to the One who has just now fulfilled them and rendered them forever obsolete!</w:t>
      </w:r>
    </w:p>
    <w:p w14:paraId="527390D0">
      <w:pPr>
        <w:pStyle w:val="9"/>
        <w:spacing w:after="0" w:line="249" w:lineRule="auto"/>
        <w:rPr>
          <w:rFonts w:hint="eastAsia"/>
          <w:color w:val="231F20"/>
        </w:rPr>
      </w:pPr>
      <w:r>
        <w:rPr>
          <w:rFonts w:hint="eastAsia"/>
          <w:color w:val="231F20"/>
        </w:rPr>
        <w:t>这将是回到过去，通过“软弱无用的”宗教制度寻求称义，而不是紧紧抓住那位刚刚成全了它们并使其永远过时的主！</w:t>
      </w:r>
    </w:p>
    <w:p w14:paraId="3AE1DE66">
      <w:pPr>
        <w:pStyle w:val="9"/>
        <w:spacing w:after="0" w:line="249" w:lineRule="auto"/>
        <w:rPr>
          <w:rFonts w:hint="eastAsia"/>
          <w:color w:val="231F20"/>
        </w:rPr>
      </w:pPr>
    </w:p>
    <w:p w14:paraId="72C79458">
      <w:pPr>
        <w:pStyle w:val="9"/>
        <w:spacing w:after="0" w:line="249" w:lineRule="auto"/>
        <w:rPr>
          <w:rFonts w:hint="eastAsia"/>
          <w:color w:val="231F20"/>
        </w:rPr>
      </w:pPr>
      <w:r>
        <w:rPr>
          <w:rFonts w:hint="eastAsia"/>
          <w:color w:val="231F20"/>
        </w:rPr>
        <w:t>It would be to fall from grace, sever themselves from Christ, and forfeit their eternal salvation (Gal. 5:4).</w:t>
      </w:r>
    </w:p>
    <w:p w14:paraId="7DE1C209">
      <w:pPr>
        <w:pStyle w:val="9"/>
        <w:spacing w:after="0" w:line="249" w:lineRule="auto"/>
        <w:rPr>
          <w:rFonts w:hint="eastAsia"/>
          <w:color w:val="231F20"/>
        </w:rPr>
      </w:pPr>
      <w:r>
        <w:rPr>
          <w:rFonts w:hint="eastAsia"/>
          <w:color w:val="231F20"/>
        </w:rPr>
        <w:t>这将是从恩典中坠落，与基督隔绝，并丧失他们永恒的救恩（加拉太书 5:4）。</w:t>
      </w:r>
    </w:p>
    <w:p w14:paraId="2DCCF68E">
      <w:pPr>
        <w:pStyle w:val="9"/>
        <w:spacing w:after="0" w:line="249" w:lineRule="auto"/>
        <w:rPr>
          <w:rFonts w:hint="eastAsia"/>
          <w:color w:val="231F20"/>
        </w:rPr>
      </w:pPr>
    </w:p>
    <w:p w14:paraId="1E9653DB">
      <w:pPr>
        <w:pStyle w:val="9"/>
        <w:spacing w:after="0" w:line="249" w:lineRule="auto"/>
        <w:rPr>
          <w:rFonts w:hint="eastAsia"/>
          <w:color w:val="231F20"/>
        </w:rPr>
      </w:pPr>
      <w:r>
        <w:rPr>
          <w:rFonts w:hint="eastAsia"/>
          <w:color w:val="231F20"/>
        </w:rPr>
        <w:t>In making his case, Paul enlists the help of Isaiah 49.</w:t>
      </w:r>
    </w:p>
    <w:p w14:paraId="2A74872E">
      <w:pPr>
        <w:pStyle w:val="9"/>
        <w:spacing w:after="0" w:line="249" w:lineRule="auto"/>
        <w:rPr>
          <w:rFonts w:hint="eastAsia"/>
          <w:color w:val="231F20"/>
        </w:rPr>
      </w:pPr>
      <w:r>
        <w:rPr>
          <w:rFonts w:hint="eastAsia"/>
          <w:color w:val="231F20"/>
        </w:rPr>
        <w:t>为了陈述他的论点，保罗求助于以赛亚书49章。</w:t>
      </w:r>
    </w:p>
    <w:p w14:paraId="61461005">
      <w:pPr>
        <w:pStyle w:val="9"/>
        <w:spacing w:after="0" w:line="249" w:lineRule="auto"/>
        <w:rPr>
          <w:rFonts w:hint="eastAsia"/>
          <w:color w:val="231F20"/>
        </w:rPr>
      </w:pPr>
    </w:p>
    <w:p w14:paraId="52420F38">
      <w:pPr>
        <w:pStyle w:val="9"/>
        <w:spacing w:after="0" w:line="249" w:lineRule="auto"/>
        <w:rPr>
          <w:rFonts w:hint="eastAsia"/>
          <w:color w:val="231F20"/>
        </w:rPr>
      </w:pPr>
      <w:r>
        <w:rPr>
          <w:rFonts w:hint="eastAsia"/>
          <w:color w:val="231F20"/>
        </w:rPr>
        <w:t>We discussed this OTKP earlier, observing that in vv. 1-6 we hear the voice of Christ, while in vv. 7-12 we hear the voice of God the Father.</w:t>
      </w:r>
    </w:p>
    <w:p w14:paraId="679891EA">
      <w:pPr>
        <w:pStyle w:val="9"/>
        <w:spacing w:after="0" w:line="249" w:lineRule="auto"/>
        <w:rPr>
          <w:rFonts w:hint="eastAsia"/>
          <w:color w:val="231F20"/>
        </w:rPr>
      </w:pPr>
      <w:r>
        <w:rPr>
          <w:rFonts w:hint="eastAsia"/>
          <w:color w:val="231F20"/>
        </w:rPr>
        <w:t>我们早些时候讨论过这个旧约国度预言（OTKP），注意到在1-6节我们听到基督的声音，而在7-12节我们听到父上帝的声音。</w:t>
      </w:r>
    </w:p>
    <w:p w14:paraId="70382A90">
      <w:pPr>
        <w:pStyle w:val="9"/>
        <w:spacing w:after="0" w:line="249" w:lineRule="auto"/>
        <w:rPr>
          <w:rFonts w:hint="eastAsia"/>
          <w:color w:val="231F20"/>
        </w:rPr>
      </w:pPr>
    </w:p>
    <w:p w14:paraId="7F9245B1">
      <w:pPr>
        <w:pStyle w:val="9"/>
        <w:spacing w:after="0" w:line="249" w:lineRule="auto"/>
        <w:rPr>
          <w:rFonts w:hint="eastAsia"/>
          <w:color w:val="231F20"/>
        </w:rPr>
      </w:pPr>
      <w:r>
        <w:rPr>
          <w:rFonts w:hint="eastAsia"/>
          <w:color w:val="231F20"/>
        </w:rPr>
        <w:t>Thus, in 49:8a (the verse that Paul cites), we hear God the Father saying to Christ, “In a favorable time I have answered you, and in a day of salvation I have helped you.”</w:t>
      </w:r>
    </w:p>
    <w:p w14:paraId="61270A0B">
      <w:pPr>
        <w:pStyle w:val="9"/>
        <w:spacing w:after="0" w:line="249" w:lineRule="auto"/>
        <w:rPr>
          <w:rFonts w:hint="eastAsia"/>
          <w:color w:val="231F20"/>
        </w:rPr>
      </w:pPr>
      <w:r>
        <w:rPr>
          <w:rFonts w:hint="eastAsia"/>
          <w:color w:val="231F20"/>
        </w:rPr>
        <w:t>因此，在 49:8a（保罗引用的经文），我们听到父上帝对基督说：“在悦纳的时候，我应允了你；在拯救的日子，我搭救了你。”</w:t>
      </w:r>
    </w:p>
    <w:p w14:paraId="18AFE9E3">
      <w:pPr>
        <w:pStyle w:val="9"/>
        <w:spacing w:after="0" w:line="249" w:lineRule="auto"/>
        <w:rPr>
          <w:rFonts w:hint="eastAsia"/>
          <w:color w:val="231F20"/>
        </w:rPr>
      </w:pPr>
    </w:p>
    <w:p w14:paraId="2D289D5A">
      <w:pPr>
        <w:pStyle w:val="9"/>
        <w:spacing w:after="0" w:line="249" w:lineRule="auto"/>
        <w:rPr>
          <w:rFonts w:hint="eastAsia"/>
          <w:color w:val="231F20"/>
        </w:rPr>
      </w:pPr>
      <w:r>
        <w:rPr>
          <w:rFonts w:hint="eastAsia"/>
          <w:color w:val="231F20"/>
        </w:rPr>
        <w:t>Here, God is assuring his incarnate Son—the second party of the Covenant of Redemption—that despite his (Christ’s) sufferings and discouragement, he (the Father) favors his cause, will hear his prayers, and will help him finish his work, so that through a New and Eternal covenant he can plant his people, once and for all, in the Promised Land.</w:t>
      </w:r>
    </w:p>
    <w:p w14:paraId="11BD2E94">
      <w:pPr>
        <w:pStyle w:val="9"/>
        <w:spacing w:after="0" w:line="249" w:lineRule="auto"/>
        <w:rPr>
          <w:rFonts w:hint="eastAsia"/>
          <w:color w:val="231F20"/>
        </w:rPr>
      </w:pPr>
      <w:r>
        <w:rPr>
          <w:rFonts w:hint="eastAsia"/>
          <w:color w:val="231F20"/>
        </w:rPr>
        <w:t>在这里，上帝向祂道成肉身的儿子——救赎之约的第二方——保证，尽管祂（基督）遭受苦难和灰心，祂（父）仍眷顾祂的事业，会听祂的祷告，并帮助祂完成祂的工作，以便通过一个新的永恒之约，祂能将祂的子民一劳永逸地栽种在应许之地。</w:t>
      </w:r>
    </w:p>
    <w:p w14:paraId="69AE8954">
      <w:pPr>
        <w:pStyle w:val="9"/>
        <w:spacing w:after="0" w:line="249" w:lineRule="auto"/>
        <w:rPr>
          <w:rFonts w:hint="eastAsia"/>
          <w:color w:val="231F20"/>
        </w:rPr>
      </w:pPr>
    </w:p>
    <w:p w14:paraId="241F7A39">
      <w:pPr>
        <w:pStyle w:val="9"/>
        <w:spacing w:after="0" w:line="249" w:lineRule="auto"/>
        <w:rPr>
          <w:rFonts w:hint="eastAsia"/>
          <w:color w:val="231F20"/>
        </w:rPr>
      </w:pPr>
      <w:r>
        <w:rPr>
          <w:rFonts w:hint="eastAsia"/>
          <w:color w:val="231F20"/>
        </w:rPr>
        <w:t>The manner in which Paul interprets and applies this text is strikingly christological and ecclesiological.</w:t>
      </w:r>
    </w:p>
    <w:p w14:paraId="1E9E904E">
      <w:pPr>
        <w:pStyle w:val="9"/>
        <w:spacing w:after="0" w:line="249" w:lineRule="auto"/>
        <w:rPr>
          <w:rFonts w:hint="eastAsia"/>
          <w:color w:val="231F20"/>
        </w:rPr>
      </w:pPr>
      <w:r>
        <w:rPr>
          <w:rFonts w:hint="eastAsia"/>
          <w:color w:val="231F20"/>
        </w:rPr>
        <w:t>保罗解释和应用这段经文的方式，在基督论和教会论上都极为引人注目。</w:t>
      </w:r>
    </w:p>
    <w:p w14:paraId="291CA4F2">
      <w:pPr>
        <w:pStyle w:val="9"/>
        <w:spacing w:after="0" w:line="249" w:lineRule="auto"/>
        <w:rPr>
          <w:rFonts w:hint="eastAsia"/>
          <w:color w:val="231F20"/>
        </w:rPr>
      </w:pPr>
    </w:p>
    <w:p w14:paraId="5C7ACB54">
      <w:pPr>
        <w:pStyle w:val="9"/>
        <w:spacing w:after="0" w:line="249" w:lineRule="auto"/>
        <w:rPr>
          <w:rFonts w:hint="eastAsia"/>
          <w:color w:val="231F20"/>
        </w:rPr>
      </w:pPr>
      <w:r>
        <w:rPr>
          <w:rFonts w:hint="eastAsia"/>
          <w:color w:val="231F20"/>
        </w:rPr>
        <w:t>Because the Corinthians are one with Christ—because they are the Body of which he is the Head—Isaiah’s prophecy is fulfilled not only in Christ, but also in the Church.</w:t>
      </w:r>
    </w:p>
    <w:p w14:paraId="6A150068">
      <w:pPr>
        <w:pStyle w:val="9"/>
        <w:spacing w:after="0" w:line="249" w:lineRule="auto"/>
        <w:rPr>
          <w:rFonts w:hint="eastAsia"/>
          <w:color w:val="231F20"/>
        </w:rPr>
      </w:pPr>
      <w:r>
        <w:rPr>
          <w:rFonts w:hint="eastAsia"/>
          <w:color w:val="231F20"/>
        </w:rPr>
        <w:t>因为哥林多人与基督是一体的——因为他们是祂作头的身体——以赛亚的预言不仅在基督里，也在教会里得到应验。</w:t>
      </w:r>
    </w:p>
    <w:p w14:paraId="1E47F48B">
      <w:pPr>
        <w:pStyle w:val="9"/>
        <w:spacing w:after="0" w:line="249" w:lineRule="auto"/>
        <w:rPr>
          <w:rFonts w:hint="eastAsia"/>
          <w:color w:val="231F20"/>
        </w:rPr>
      </w:pPr>
    </w:p>
    <w:p w14:paraId="2B36F052">
      <w:pPr>
        <w:pStyle w:val="9"/>
        <w:spacing w:after="0" w:line="249" w:lineRule="auto"/>
        <w:rPr>
          <w:rFonts w:hint="eastAsia"/>
          <w:color w:val="231F20"/>
        </w:rPr>
      </w:pPr>
      <w:r>
        <w:rPr>
          <w:rFonts w:hint="eastAsia"/>
          <w:color w:val="231F20"/>
        </w:rPr>
        <w:t>Just as God helped Christ in the days of his flesh, so now he has helped the Corinthians to find salvation through simple faith in the Lord Jesus.</w:t>
      </w:r>
    </w:p>
    <w:p w14:paraId="69DE5E8B">
      <w:pPr>
        <w:pStyle w:val="9"/>
        <w:spacing w:after="0" w:line="249" w:lineRule="auto"/>
        <w:rPr>
          <w:rFonts w:hint="eastAsia"/>
          <w:color w:val="231F20"/>
        </w:rPr>
      </w:pPr>
      <w:r>
        <w:rPr>
          <w:rFonts w:hint="eastAsia"/>
          <w:color w:val="231F20"/>
        </w:rPr>
        <w:t>正如上帝在基督肉身的日子帮助祂一样，现在祂也帮助哥林多人通过对主耶稣的简单信心找到救恩。</w:t>
      </w:r>
    </w:p>
    <w:p w14:paraId="72A133F3">
      <w:pPr>
        <w:pStyle w:val="9"/>
        <w:spacing w:after="0" w:line="249" w:lineRule="auto"/>
        <w:rPr>
          <w:rFonts w:hint="eastAsia"/>
          <w:color w:val="231F20"/>
        </w:rPr>
      </w:pPr>
    </w:p>
    <w:p w14:paraId="672BE240">
      <w:pPr>
        <w:pStyle w:val="9"/>
        <w:spacing w:after="0" w:line="249" w:lineRule="auto"/>
        <w:rPr>
          <w:rFonts w:hint="eastAsia"/>
          <w:color w:val="231F20"/>
        </w:rPr>
      </w:pPr>
      <w:r>
        <w:rPr>
          <w:rFonts w:hint="eastAsia"/>
          <w:color w:val="231F20"/>
        </w:rPr>
        <w:t>But if they are to retain and enjoy this salvation, they must understand: Having completed his redemptive work on earth, their Master has inaugurated “the favored time” and “the Day of Salvation”; a new and consummate stage of Salvation History, a stage in which God has made manifest all the elements of the Eternal Covenant, his one and only instrument of eternal salvation.</w:t>
      </w:r>
    </w:p>
    <w:p w14:paraId="7E762E8E">
      <w:pPr>
        <w:pStyle w:val="9"/>
        <w:spacing w:after="0" w:line="249" w:lineRule="auto"/>
        <w:rPr>
          <w:rFonts w:hint="eastAsia"/>
          <w:color w:val="231F20"/>
        </w:rPr>
      </w:pPr>
      <w:r>
        <w:rPr>
          <w:rFonts w:hint="eastAsia"/>
          <w:color w:val="231F20"/>
        </w:rPr>
        <w:t>但如果他们要持守并享受这份救恩，他们必须明白：他们的主在地上完成了祂的救赎工作后，已经开启了“悦纳的时候”和“拯救的日子”；一个救赎历史的新阶段，一个上帝已经显明永恒之约所有要素的阶段，这是祂永恒救恩的唯一工具。</w:t>
      </w:r>
    </w:p>
    <w:p w14:paraId="6CA88A5B">
      <w:pPr>
        <w:pStyle w:val="9"/>
        <w:spacing w:after="0" w:line="249" w:lineRule="auto"/>
        <w:rPr>
          <w:rFonts w:hint="eastAsia"/>
          <w:color w:val="231F20"/>
        </w:rPr>
      </w:pPr>
    </w:p>
    <w:p w14:paraId="5B43BB39">
      <w:pPr>
        <w:pStyle w:val="9"/>
        <w:spacing w:after="0" w:line="249" w:lineRule="auto"/>
        <w:rPr>
          <w:rFonts w:hint="eastAsia"/>
          <w:color w:val="231F20"/>
        </w:rPr>
      </w:pPr>
      <w:r>
        <w:rPr>
          <w:rFonts w:hint="eastAsia"/>
          <w:color w:val="231F20"/>
        </w:rPr>
        <w:t>How foolish, then—and how dangerous—for the Corinthians even to think of returning to yesterday’s (Mosaic) scheme of salvation, a scheme that has been fulfilled and rendered obsolete by Christ.</w:t>
      </w:r>
    </w:p>
    <w:p w14:paraId="3F07602B">
      <w:pPr>
        <w:pStyle w:val="9"/>
        <w:spacing w:after="0" w:line="249" w:lineRule="auto"/>
        <w:rPr>
          <w:rFonts w:hint="eastAsia"/>
          <w:color w:val="231F20"/>
        </w:rPr>
      </w:pPr>
      <w:r>
        <w:rPr>
          <w:rFonts w:hint="eastAsia"/>
          <w:color w:val="231F20"/>
        </w:rPr>
        <w:t>那么，哥林多人甚至想到要回到昨天的（摩西的）救恩方案，是何等愚蠢——又是何等危险——这个方案已经被基督成全并使其过时了。</w:t>
      </w:r>
    </w:p>
    <w:p w14:paraId="7F838AC5">
      <w:pPr>
        <w:pStyle w:val="9"/>
        <w:spacing w:after="0" w:line="249" w:lineRule="auto"/>
        <w:rPr>
          <w:rFonts w:hint="eastAsia"/>
          <w:color w:val="231F20"/>
        </w:rPr>
      </w:pPr>
    </w:p>
    <w:p w14:paraId="3FF7FFAC">
      <w:pPr>
        <w:pStyle w:val="9"/>
        <w:spacing w:after="0" w:line="249" w:lineRule="auto"/>
        <w:rPr>
          <w:rFonts w:hint="eastAsia"/>
          <w:color w:val="231F20"/>
        </w:rPr>
      </w:pPr>
      <w:r>
        <w:rPr>
          <w:rFonts w:hint="eastAsia"/>
          <w:color w:val="231F20"/>
        </w:rPr>
        <w:t>Now—in the new Gospel Era—is the time to find the full riches of God’s favor.</w:t>
      </w:r>
    </w:p>
    <w:p w14:paraId="5D905DA0">
      <w:pPr>
        <w:pStyle w:val="9"/>
        <w:spacing w:after="0" w:line="249" w:lineRule="auto"/>
        <w:rPr>
          <w:rFonts w:hint="eastAsia"/>
          <w:color w:val="231F20"/>
        </w:rPr>
      </w:pPr>
      <w:r>
        <w:rPr>
          <w:rFonts w:hint="eastAsia"/>
          <w:color w:val="231F20"/>
        </w:rPr>
        <w:t>现在——在新的福音时代——是找到上帝恩惠全备丰富的时候。</w:t>
      </w:r>
    </w:p>
    <w:p w14:paraId="130795C2">
      <w:pPr>
        <w:pStyle w:val="9"/>
        <w:spacing w:after="0" w:line="249" w:lineRule="auto"/>
        <w:rPr>
          <w:rFonts w:hint="eastAsia"/>
          <w:color w:val="231F20"/>
        </w:rPr>
      </w:pPr>
    </w:p>
    <w:p w14:paraId="6B79616C">
      <w:pPr>
        <w:pStyle w:val="9"/>
        <w:spacing w:after="0" w:line="249" w:lineRule="auto"/>
        <w:rPr>
          <w:rFonts w:hint="eastAsia"/>
          <w:color w:val="231F20"/>
        </w:rPr>
      </w:pPr>
      <w:r>
        <w:rPr>
          <w:rFonts w:hint="eastAsia"/>
          <w:color w:val="231F20"/>
        </w:rPr>
        <w:t>Now—in the Era of Proclamation and Probation—is the Day in which men may fully experience God’s salvation.</w:t>
      </w:r>
    </w:p>
    <w:p w14:paraId="0E5AD287">
      <w:pPr>
        <w:pStyle w:val="9"/>
        <w:spacing w:after="0" w:line="249" w:lineRule="auto"/>
        <w:rPr>
          <w:rFonts w:hint="eastAsia"/>
          <w:color w:val="231F20"/>
        </w:rPr>
      </w:pPr>
      <w:r>
        <w:rPr>
          <w:rFonts w:hint="eastAsia"/>
          <w:color w:val="231F20"/>
        </w:rPr>
        <w:t>现在——在宣讲和验证的时代——是人们可以完全经历上帝救恩的日子。</w:t>
      </w:r>
    </w:p>
    <w:p w14:paraId="213DDEF6">
      <w:pPr>
        <w:pStyle w:val="9"/>
        <w:spacing w:after="0" w:line="249" w:lineRule="auto"/>
        <w:rPr>
          <w:rFonts w:hint="eastAsia"/>
          <w:color w:val="231F20"/>
        </w:rPr>
      </w:pPr>
    </w:p>
    <w:p w14:paraId="03926A3D">
      <w:pPr>
        <w:pStyle w:val="9"/>
        <w:spacing w:after="0" w:line="249" w:lineRule="auto"/>
        <w:rPr>
          <w:rFonts w:hint="eastAsia"/>
          <w:color w:val="231F20"/>
        </w:rPr>
      </w:pPr>
      <w:r>
        <w:rPr>
          <w:rFonts w:hint="eastAsia"/>
          <w:color w:val="231F20"/>
        </w:rPr>
        <w:t>The Corinthians must cherish the new Day, and never abandon the Word of God uttered in it.</w:t>
      </w:r>
    </w:p>
    <w:p w14:paraId="0AA1EE3D">
      <w:pPr>
        <w:pStyle w:val="9"/>
        <w:spacing w:after="0" w:line="249" w:lineRule="auto"/>
        <w:rPr>
          <w:rFonts w:hint="eastAsia"/>
          <w:color w:val="231F20"/>
        </w:rPr>
      </w:pPr>
      <w:r>
        <w:rPr>
          <w:rFonts w:hint="eastAsia"/>
          <w:color w:val="231F20"/>
        </w:rPr>
        <w:t>哥林多人必须珍惜新的日子，永不离弃其中所说出的上帝的话语。</w:t>
      </w:r>
    </w:p>
    <w:p w14:paraId="52E13F76">
      <w:pPr>
        <w:pStyle w:val="9"/>
        <w:spacing w:after="0" w:line="249" w:lineRule="auto"/>
        <w:rPr>
          <w:rFonts w:hint="eastAsia"/>
          <w:color w:val="231F20"/>
        </w:rPr>
      </w:pPr>
    </w:p>
    <w:p w14:paraId="48A5B379">
      <w:pPr>
        <w:pStyle w:val="9"/>
        <w:spacing w:after="0" w:line="249" w:lineRule="auto"/>
        <w:rPr>
          <w:rFonts w:hint="eastAsia"/>
          <w:color w:val="231F20"/>
        </w:rPr>
      </w:pPr>
      <w:r>
        <w:rPr>
          <w:rFonts w:hint="eastAsia"/>
          <w:color w:val="231F20"/>
        </w:rPr>
        <w:t>We see, then, that here Paul uses the NCH to great effect, finding in Isaiah 49 precious NT truth not only about Christ, but also about his Church.</w:t>
      </w:r>
    </w:p>
    <w:p w14:paraId="12F27476">
      <w:pPr>
        <w:pStyle w:val="9"/>
        <w:spacing w:after="0" w:line="249" w:lineRule="auto"/>
        <w:rPr>
          <w:rFonts w:hint="eastAsia"/>
          <w:color w:val="231F20"/>
        </w:rPr>
      </w:pPr>
      <w:r>
        <w:rPr>
          <w:rFonts w:hint="eastAsia"/>
          <w:color w:val="231F20"/>
        </w:rPr>
        <w:t>因此，我们看到，保罗在这里极有效地使用了新约解释学（NCH），在以赛亚书49章中不仅找到了关于基督，也找到了关于祂教会的宝贵新约真理。</w:t>
      </w:r>
    </w:p>
    <w:p w14:paraId="0D675C5E">
      <w:pPr>
        <w:pStyle w:val="9"/>
        <w:spacing w:after="0" w:line="249" w:lineRule="auto"/>
        <w:rPr>
          <w:rFonts w:hint="eastAsia"/>
          <w:color w:val="231F20"/>
        </w:rPr>
      </w:pPr>
    </w:p>
    <w:p w14:paraId="68F6F99E">
      <w:pPr>
        <w:pStyle w:val="9"/>
        <w:spacing w:after="0" w:line="249" w:lineRule="auto"/>
        <w:rPr>
          <w:rFonts w:hint="eastAsia"/>
          <w:color w:val="231F20"/>
        </w:rPr>
      </w:pPr>
      <w:r>
        <w:rPr>
          <w:rFonts w:hint="eastAsia"/>
          <w:color w:val="231F20"/>
        </w:rPr>
        <w:t>His interpretation is christological, covenantal, typological, and ecclesiological through and through.</w:t>
      </w:r>
    </w:p>
    <w:p w14:paraId="1A19A298">
      <w:pPr>
        <w:pStyle w:val="9"/>
        <w:spacing w:after="0" w:line="249" w:lineRule="auto"/>
        <w:rPr>
          <w:rFonts w:hint="eastAsia"/>
          <w:color w:val="231F20"/>
        </w:rPr>
      </w:pPr>
      <w:r>
        <w:rPr>
          <w:rFonts w:hint="eastAsia"/>
          <w:color w:val="231F20"/>
        </w:rPr>
        <w:t>他的解释从头到尾都是基督论的、圣约论的、预表论的和教会论的。</w:t>
      </w:r>
    </w:p>
    <w:p w14:paraId="431B9691">
      <w:pPr>
        <w:pStyle w:val="9"/>
        <w:spacing w:after="0" w:line="249" w:lineRule="auto"/>
        <w:rPr>
          <w:rFonts w:hint="eastAsia"/>
          <w:color w:val="231F20"/>
        </w:rPr>
      </w:pPr>
    </w:p>
    <w:p w14:paraId="33E16F49">
      <w:pPr>
        <w:pStyle w:val="9"/>
        <w:spacing w:after="0" w:line="249" w:lineRule="auto"/>
        <w:rPr>
          <w:rFonts w:hint="eastAsia"/>
          <w:color w:val="231F20"/>
        </w:rPr>
      </w:pPr>
      <w:r>
        <w:rPr>
          <w:rFonts w:hint="eastAsia"/>
          <w:color w:val="231F20"/>
        </w:rPr>
        <w:t>9.The Temple of the Living God</w:t>
      </w:r>
    </w:p>
    <w:p w14:paraId="3858F8FA">
      <w:pPr>
        <w:pStyle w:val="9"/>
        <w:spacing w:after="0" w:line="249" w:lineRule="auto"/>
        <w:rPr>
          <w:rFonts w:hint="eastAsia"/>
          <w:color w:val="231F20"/>
        </w:rPr>
      </w:pPr>
      <w:r>
        <w:rPr>
          <w:rFonts w:hint="eastAsia"/>
          <w:color w:val="231F20"/>
        </w:rPr>
        <w:t>9.永生上帝的殿</w:t>
      </w:r>
    </w:p>
    <w:p w14:paraId="3386D90A">
      <w:pPr>
        <w:pStyle w:val="9"/>
        <w:spacing w:after="0" w:line="249" w:lineRule="auto"/>
        <w:rPr>
          <w:rFonts w:hint="eastAsia"/>
          <w:color w:val="231F20"/>
        </w:rPr>
      </w:pPr>
    </w:p>
    <w:p w14:paraId="0D1E2D95">
      <w:pPr>
        <w:pStyle w:val="9"/>
        <w:spacing w:after="0" w:line="249" w:lineRule="auto"/>
        <w:rPr>
          <w:rFonts w:hint="eastAsia"/>
          <w:color w:val="231F20"/>
        </w:rPr>
      </w:pPr>
      <w:r>
        <w:rPr>
          <w:rFonts w:hint="eastAsia"/>
          <w:color w:val="231F20"/>
        </w:rPr>
        <w:t>(2 Cor. 6:14-18, Ezek. 37:26-28)</w:t>
      </w:r>
    </w:p>
    <w:p w14:paraId="2A4D9374">
      <w:pPr>
        <w:pStyle w:val="9"/>
        <w:spacing w:after="0" w:line="249" w:lineRule="auto"/>
        <w:rPr>
          <w:rFonts w:hint="eastAsia"/>
          <w:color w:val="231F20"/>
        </w:rPr>
      </w:pPr>
      <w:r>
        <w:rPr>
          <w:rFonts w:hint="eastAsia"/>
          <w:color w:val="231F20"/>
        </w:rPr>
        <w:t>（哥林多后书 6:14-18, 以西结书 37:26-28）</w:t>
      </w:r>
    </w:p>
    <w:p w14:paraId="5E5CA33D">
      <w:pPr>
        <w:pStyle w:val="9"/>
        <w:spacing w:after="0" w:line="249" w:lineRule="auto"/>
        <w:rPr>
          <w:rFonts w:hint="eastAsia"/>
          <w:color w:val="231F20"/>
        </w:rPr>
      </w:pPr>
    </w:p>
    <w:p w14:paraId="2C4EB0BE">
      <w:pPr>
        <w:pStyle w:val="9"/>
        <w:spacing w:after="0" w:line="249" w:lineRule="auto"/>
        <w:rPr>
          <w:rFonts w:hint="eastAsia"/>
          <w:color w:val="231F20"/>
        </w:rPr>
      </w:pPr>
      <w:r>
        <w:rPr>
          <w:rFonts w:hint="eastAsia"/>
          <w:color w:val="231F20"/>
        </w:rPr>
        <w:t>Paul has more to say to the Corinthians.</w:t>
      </w:r>
    </w:p>
    <w:p w14:paraId="105E4ACD">
      <w:pPr>
        <w:pStyle w:val="9"/>
        <w:spacing w:after="0" w:line="249" w:lineRule="auto"/>
        <w:rPr>
          <w:rFonts w:hint="eastAsia"/>
          <w:color w:val="231F20"/>
        </w:rPr>
      </w:pPr>
      <w:r>
        <w:rPr>
          <w:rFonts w:hint="eastAsia"/>
          <w:color w:val="231F20"/>
        </w:rPr>
        <w:t>保罗还有更多的话要对哥林多人说。</w:t>
      </w:r>
    </w:p>
    <w:p w14:paraId="3F1AFF9E">
      <w:pPr>
        <w:pStyle w:val="9"/>
        <w:spacing w:after="0" w:line="249" w:lineRule="auto"/>
        <w:rPr>
          <w:rFonts w:hint="eastAsia"/>
          <w:color w:val="231F20"/>
        </w:rPr>
      </w:pPr>
    </w:p>
    <w:p w14:paraId="7D8E0E74">
      <w:pPr>
        <w:pStyle w:val="9"/>
        <w:spacing w:after="0" w:line="249" w:lineRule="auto"/>
        <w:rPr>
          <w:rFonts w:hint="eastAsia"/>
          <w:color w:val="231F20"/>
        </w:rPr>
      </w:pPr>
      <w:r>
        <w:rPr>
          <w:rFonts w:hint="eastAsia"/>
          <w:color w:val="231F20"/>
        </w:rPr>
        <w:t>To maintain their spiritual health and vitality, they must not be “unequally yoked” to unbelievers, whether Jewish or Gentile.</w:t>
      </w:r>
    </w:p>
    <w:p w14:paraId="7C3180B9">
      <w:pPr>
        <w:pStyle w:val="9"/>
        <w:spacing w:after="0" w:line="249" w:lineRule="auto"/>
        <w:rPr>
          <w:rFonts w:hint="eastAsia"/>
          <w:color w:val="231F20"/>
        </w:rPr>
      </w:pPr>
      <w:r>
        <w:rPr>
          <w:rFonts w:hint="eastAsia"/>
          <w:color w:val="231F20"/>
        </w:rPr>
        <w:t>为了保持他们的属灵健康和活力，他们绝不能与不信者，无论是犹太人还是外邦人，“不相称地同负一轭”。</w:t>
      </w:r>
    </w:p>
    <w:p w14:paraId="3CB1ACAC">
      <w:pPr>
        <w:pStyle w:val="9"/>
        <w:spacing w:after="0" w:line="249" w:lineRule="auto"/>
        <w:rPr>
          <w:rFonts w:hint="eastAsia"/>
          <w:color w:val="231F20"/>
        </w:rPr>
      </w:pPr>
    </w:p>
    <w:p w14:paraId="7E014CD4">
      <w:pPr>
        <w:pStyle w:val="9"/>
        <w:spacing w:after="0" w:line="249" w:lineRule="auto"/>
        <w:rPr>
          <w:rFonts w:hint="eastAsia"/>
          <w:color w:val="231F20"/>
        </w:rPr>
      </w:pPr>
      <w:r>
        <w:rPr>
          <w:rFonts w:hint="eastAsia"/>
          <w:color w:val="231F20"/>
        </w:rPr>
        <w:t>There can be no partnership, fellowship, or harmony between light and darkness, Christ and Satan.</w:t>
      </w:r>
    </w:p>
    <w:p w14:paraId="2FA855AC">
      <w:pPr>
        <w:pStyle w:val="9"/>
        <w:spacing w:after="0" w:line="249" w:lineRule="auto"/>
        <w:rPr>
          <w:rFonts w:hint="eastAsia"/>
          <w:color w:val="231F20"/>
        </w:rPr>
      </w:pPr>
      <w:r>
        <w:rPr>
          <w:rFonts w:hint="eastAsia"/>
          <w:color w:val="231F20"/>
        </w:rPr>
        <w:t>光明与黑暗、基督与撒但之间不可能有伙伴关系、交通或和谐。</w:t>
      </w:r>
    </w:p>
    <w:p w14:paraId="1ABC2A97">
      <w:pPr>
        <w:pStyle w:val="9"/>
        <w:spacing w:after="0" w:line="249" w:lineRule="auto"/>
        <w:rPr>
          <w:rFonts w:hint="eastAsia"/>
          <w:color w:val="231F20"/>
        </w:rPr>
      </w:pPr>
    </w:p>
    <w:p w14:paraId="0E2AE439">
      <w:pPr>
        <w:pStyle w:val="9"/>
        <w:spacing w:after="0" w:line="249" w:lineRule="auto"/>
        <w:rPr>
          <w:rFonts w:hint="eastAsia"/>
          <w:color w:val="231F20"/>
        </w:rPr>
      </w:pPr>
      <w:r>
        <w:rPr>
          <w:rFonts w:hint="eastAsia"/>
          <w:color w:val="231F20"/>
        </w:rPr>
        <w:t>Seeking to bring this point home, the apostle concludes by asking a final, penetrating question, and by buttressing his remarks with a string of powerful OT texts:</w:t>
      </w:r>
    </w:p>
    <w:p w14:paraId="00C8EE59">
      <w:pPr>
        <w:pStyle w:val="9"/>
        <w:spacing w:after="0" w:line="249" w:lineRule="auto"/>
        <w:rPr>
          <w:rFonts w:hint="eastAsia"/>
          <w:color w:val="231F20"/>
        </w:rPr>
      </w:pPr>
      <w:r>
        <w:rPr>
          <w:rFonts w:hint="eastAsia"/>
          <w:color w:val="231F20"/>
        </w:rPr>
        <w:t>为了强调这一点，使徒最后提出了一个深刻的问题，并用一连串有力的旧约经文来支持他的言论：</w:t>
      </w:r>
    </w:p>
    <w:p w14:paraId="5652207E">
      <w:pPr>
        <w:pStyle w:val="9"/>
        <w:spacing w:after="0" w:line="249" w:lineRule="auto"/>
        <w:rPr>
          <w:rFonts w:hint="eastAsia"/>
          <w:color w:val="231F20"/>
        </w:rPr>
      </w:pPr>
    </w:p>
    <w:p w14:paraId="6FE831B7">
      <w:pPr>
        <w:pStyle w:val="9"/>
        <w:spacing w:after="0" w:line="249" w:lineRule="auto"/>
        <w:rPr>
          <w:rFonts w:hint="eastAsia"/>
          <w:color w:val="231F20"/>
        </w:rPr>
      </w:pPr>
      <w:r>
        <w:rPr>
          <w:rFonts w:hint="eastAsia"/>
          <w:color w:val="231F20"/>
        </w:rPr>
        <w:t>What agreement has the temple of God with idols?</w:t>
      </w:r>
    </w:p>
    <w:p w14:paraId="7657BCAD">
      <w:pPr>
        <w:pStyle w:val="9"/>
        <w:spacing w:after="0" w:line="249" w:lineRule="auto"/>
        <w:rPr>
          <w:rFonts w:hint="eastAsia"/>
          <w:color w:val="231F20"/>
        </w:rPr>
      </w:pPr>
      <w:r>
        <w:rPr>
          <w:rFonts w:hint="eastAsia"/>
          <w:color w:val="231F20"/>
        </w:rPr>
        <w:t>上帝的殿和偶像有什么相同呢？</w:t>
      </w:r>
    </w:p>
    <w:p w14:paraId="5B9DBA0C">
      <w:pPr>
        <w:pStyle w:val="9"/>
        <w:spacing w:after="0" w:line="249" w:lineRule="auto"/>
        <w:rPr>
          <w:rFonts w:hint="eastAsia"/>
          <w:color w:val="231F20"/>
        </w:rPr>
      </w:pPr>
    </w:p>
    <w:p w14:paraId="23E0C514">
      <w:pPr>
        <w:pStyle w:val="9"/>
        <w:spacing w:after="0" w:line="249" w:lineRule="auto"/>
        <w:rPr>
          <w:rFonts w:hint="eastAsia"/>
          <w:color w:val="231F20"/>
        </w:rPr>
      </w:pPr>
      <w:r>
        <w:rPr>
          <w:rFonts w:hint="eastAsia"/>
          <w:color w:val="231F20"/>
        </w:rPr>
        <w:t>For we are the temple of the living God, just as God said: “I will dwell in them and walk among them, and I will be their God and they will be My people.</w:t>
      </w:r>
    </w:p>
    <w:p w14:paraId="7D5A987F">
      <w:pPr>
        <w:pStyle w:val="9"/>
        <w:spacing w:after="0" w:line="249" w:lineRule="auto"/>
        <w:rPr>
          <w:rFonts w:hint="eastAsia"/>
          <w:color w:val="231F20"/>
        </w:rPr>
      </w:pPr>
      <w:r>
        <w:rPr>
          <w:rFonts w:hint="eastAsia"/>
          <w:color w:val="231F20"/>
        </w:rPr>
        <w:t>因为我们是永生上帝的殿，就如上帝曾说：“我要在他们中间居住，在他们中间来往；我要作他们的上帝，他们要作我的子民。</w:t>
      </w:r>
    </w:p>
    <w:p w14:paraId="3002E181">
      <w:pPr>
        <w:pStyle w:val="9"/>
        <w:spacing w:after="0" w:line="249" w:lineRule="auto"/>
        <w:rPr>
          <w:rFonts w:hint="eastAsia"/>
          <w:color w:val="231F20"/>
        </w:rPr>
      </w:pPr>
    </w:p>
    <w:p w14:paraId="67B09D1E">
      <w:pPr>
        <w:pStyle w:val="9"/>
        <w:spacing w:after="0" w:line="249" w:lineRule="auto"/>
        <w:rPr>
          <w:rFonts w:hint="eastAsia"/>
          <w:color w:val="231F20"/>
        </w:rPr>
      </w:pPr>
      <w:r>
        <w:rPr>
          <w:rFonts w:hint="eastAsia"/>
          <w:color w:val="231F20"/>
        </w:rPr>
        <w:t>Therefore, come out from their midst and be separate,” says the LORD.</w:t>
      </w:r>
    </w:p>
    <w:p w14:paraId="01CAD183">
      <w:pPr>
        <w:pStyle w:val="9"/>
        <w:spacing w:after="0" w:line="249" w:lineRule="auto"/>
        <w:rPr>
          <w:rFonts w:hint="eastAsia"/>
          <w:color w:val="231F20"/>
        </w:rPr>
      </w:pPr>
      <w:r>
        <w:rPr>
          <w:rFonts w:hint="eastAsia"/>
          <w:color w:val="231F20"/>
        </w:rPr>
        <w:t>所以你们务要从他们中间出来，与他们分别，”主说。</w:t>
      </w:r>
    </w:p>
    <w:p w14:paraId="3A531033">
      <w:pPr>
        <w:pStyle w:val="9"/>
        <w:spacing w:after="0" w:line="249" w:lineRule="auto"/>
        <w:rPr>
          <w:rFonts w:hint="eastAsia"/>
          <w:color w:val="231F20"/>
        </w:rPr>
      </w:pPr>
    </w:p>
    <w:p w14:paraId="47D141FF">
      <w:pPr>
        <w:pStyle w:val="9"/>
        <w:spacing w:after="0" w:line="249" w:lineRule="auto"/>
        <w:rPr>
          <w:rFonts w:hint="eastAsia"/>
          <w:color w:val="231F20"/>
        </w:rPr>
      </w:pPr>
      <w:r>
        <w:rPr>
          <w:rFonts w:hint="eastAsia"/>
          <w:color w:val="231F20"/>
        </w:rPr>
        <w:t>“And do not touch what is unclean, and I will welcome you.</w:t>
      </w:r>
    </w:p>
    <w:p w14:paraId="730FC03A">
      <w:pPr>
        <w:pStyle w:val="9"/>
        <w:spacing w:after="0" w:line="249" w:lineRule="auto"/>
        <w:rPr>
          <w:rFonts w:hint="eastAsia"/>
          <w:color w:val="231F20"/>
        </w:rPr>
      </w:pPr>
      <w:r>
        <w:rPr>
          <w:rFonts w:hint="eastAsia"/>
          <w:color w:val="231F20"/>
        </w:rPr>
        <w:t>“不要沾不洁净的物，我就收纳你们。</w:t>
      </w:r>
    </w:p>
    <w:p w14:paraId="6DB4511C">
      <w:pPr>
        <w:pStyle w:val="9"/>
        <w:spacing w:after="0" w:line="249" w:lineRule="auto"/>
        <w:rPr>
          <w:rFonts w:hint="eastAsia"/>
          <w:color w:val="231F20"/>
        </w:rPr>
      </w:pPr>
    </w:p>
    <w:p w14:paraId="22F59916">
      <w:pPr>
        <w:pStyle w:val="9"/>
        <w:spacing w:after="0" w:line="249" w:lineRule="auto"/>
        <w:rPr>
          <w:rFonts w:hint="eastAsia"/>
          <w:color w:val="231F20"/>
        </w:rPr>
      </w:pPr>
      <w:r>
        <w:rPr>
          <w:rFonts w:hint="eastAsia"/>
          <w:color w:val="231F20"/>
        </w:rPr>
        <w:t>And I will be a father to you, and you will be sons and daughters to me,” says the LORD Almighty.</w:t>
      </w:r>
    </w:p>
    <w:p w14:paraId="43EA3120">
      <w:pPr>
        <w:pStyle w:val="9"/>
        <w:spacing w:after="0" w:line="249" w:lineRule="auto"/>
        <w:rPr>
          <w:rFonts w:hint="eastAsia"/>
          <w:color w:val="231F20"/>
        </w:rPr>
      </w:pPr>
      <w:r>
        <w:rPr>
          <w:rFonts w:hint="eastAsia"/>
          <w:color w:val="231F20"/>
        </w:rPr>
        <w:t>我要作你们的父，你们要作我的儿女，”这是全能的主说的。</w:t>
      </w:r>
    </w:p>
    <w:p w14:paraId="6A067646">
      <w:pPr>
        <w:pStyle w:val="9"/>
        <w:spacing w:after="0" w:line="249" w:lineRule="auto"/>
        <w:rPr>
          <w:rFonts w:hint="eastAsia"/>
          <w:color w:val="231F20"/>
        </w:rPr>
      </w:pPr>
    </w:p>
    <w:p w14:paraId="38ABF266">
      <w:pPr>
        <w:pStyle w:val="9"/>
        <w:spacing w:after="0" w:line="249" w:lineRule="auto"/>
        <w:rPr>
          <w:rFonts w:hint="eastAsia"/>
          <w:color w:val="231F20"/>
        </w:rPr>
      </w:pPr>
      <w:r>
        <w:rPr>
          <w:rFonts w:hint="eastAsia"/>
          <w:color w:val="231F20"/>
        </w:rPr>
        <w:t>As a glance at the cross-reference column of your study Bible will show, here Paul has cited or alluded to at least 10 different OT passages.</w:t>
      </w:r>
    </w:p>
    <w:p w14:paraId="4CCEC345">
      <w:pPr>
        <w:pStyle w:val="9"/>
        <w:spacing w:after="0" w:line="249" w:lineRule="auto"/>
        <w:rPr>
          <w:rFonts w:hint="eastAsia"/>
          <w:color w:val="231F20"/>
        </w:rPr>
      </w:pPr>
      <w:r>
        <w:rPr>
          <w:rFonts w:hint="eastAsia"/>
          <w:color w:val="231F20"/>
        </w:rPr>
        <w:t>只要看一下你研读本圣经的串珠栏，就会发现保罗在这里引用或提到了至少10处不同的旧约经文。</w:t>
      </w:r>
    </w:p>
    <w:p w14:paraId="2F0651E1">
      <w:pPr>
        <w:pStyle w:val="9"/>
        <w:spacing w:after="0" w:line="249" w:lineRule="auto"/>
        <w:rPr>
          <w:rFonts w:hint="eastAsia"/>
          <w:color w:val="231F20"/>
        </w:rPr>
      </w:pPr>
    </w:p>
    <w:p w14:paraId="4E0BAC4F">
      <w:pPr>
        <w:pStyle w:val="9"/>
        <w:spacing w:after="0" w:line="249" w:lineRule="auto"/>
        <w:rPr>
          <w:rFonts w:hint="eastAsia"/>
          <w:color w:val="231F20"/>
        </w:rPr>
      </w:pPr>
      <w:r>
        <w:rPr>
          <w:rFonts w:hint="eastAsia"/>
          <w:color w:val="231F20"/>
        </w:rPr>
        <w:t>Some are taken from the Law (Exodus 6:7, 29:45, Lev. 26:12), but most from the Prophets (Isaiah 43:6-7, 52:11, Jer. 31:1, 33, Ezek. 37:26-28, Hos. 1:10).</w:t>
      </w:r>
    </w:p>
    <w:p w14:paraId="095ED3C7">
      <w:pPr>
        <w:pStyle w:val="9"/>
        <w:spacing w:after="0" w:line="249" w:lineRule="auto"/>
        <w:rPr>
          <w:rFonts w:hint="eastAsia"/>
          <w:color w:val="231F20"/>
        </w:rPr>
      </w:pPr>
      <w:r>
        <w:rPr>
          <w:rFonts w:hint="eastAsia"/>
          <w:color w:val="231F20"/>
        </w:rPr>
        <w:t>有些取自律法（出埃及记 6:7, 29:45, 利未记 26:12），但大多数取自先知书（以赛亚书 43:6-7, 52:11, 耶利米书 31:1, 33, 以西结书 37:26-28, 何西阿书 1:10）。</w:t>
      </w:r>
    </w:p>
    <w:p w14:paraId="53504285">
      <w:pPr>
        <w:pStyle w:val="9"/>
        <w:spacing w:after="0" w:line="249" w:lineRule="auto"/>
        <w:rPr>
          <w:rFonts w:hint="eastAsia"/>
          <w:color w:val="231F20"/>
        </w:rPr>
      </w:pPr>
    </w:p>
    <w:p w14:paraId="35A200B3">
      <w:pPr>
        <w:pStyle w:val="9"/>
        <w:spacing w:after="0" w:line="249" w:lineRule="auto"/>
        <w:rPr>
          <w:rFonts w:hint="eastAsia"/>
          <w:color w:val="231F20"/>
        </w:rPr>
      </w:pPr>
      <w:r>
        <w:rPr>
          <w:rFonts w:hint="eastAsia"/>
          <w:color w:val="231F20"/>
        </w:rPr>
        <w:t>We need not discuss them at length in order to discern his thrust: All throughout OT times God manifested a desire to live within his people, and promised through the Prophets that one day he would do so.</w:t>
      </w:r>
    </w:p>
    <w:p w14:paraId="06E3C5E3">
      <w:pPr>
        <w:pStyle w:val="9"/>
        <w:spacing w:after="0" w:line="249" w:lineRule="auto"/>
        <w:rPr>
          <w:rFonts w:hint="eastAsia"/>
          <w:color w:val="231F20"/>
        </w:rPr>
      </w:pPr>
      <w:r>
        <w:rPr>
          <w:rFonts w:hint="eastAsia"/>
          <w:color w:val="231F20"/>
        </w:rPr>
        <w:t>我们无需详细讨论它们，就能看出他的主旨：在整个旧约时代，上帝都显明了住在祂子民里面的愿望，并通过先知们应许有一天祂会这样做。</w:t>
      </w:r>
    </w:p>
    <w:p w14:paraId="436E79DF">
      <w:pPr>
        <w:pStyle w:val="9"/>
        <w:spacing w:after="0" w:line="249" w:lineRule="auto"/>
        <w:rPr>
          <w:rFonts w:hint="eastAsia"/>
          <w:color w:val="231F20"/>
        </w:rPr>
      </w:pPr>
    </w:p>
    <w:p w14:paraId="7C5001BE">
      <w:pPr>
        <w:pStyle w:val="9"/>
        <w:spacing w:after="0" w:line="249" w:lineRule="auto"/>
        <w:rPr>
          <w:rFonts w:hint="eastAsia"/>
          <w:color w:val="231F20"/>
        </w:rPr>
      </w:pPr>
      <w:r>
        <w:rPr>
          <w:rFonts w:hint="eastAsia"/>
          <w:color w:val="231F20"/>
        </w:rPr>
        <w:t>That day has come.</w:t>
      </w:r>
    </w:p>
    <w:p w14:paraId="5E600B46">
      <w:pPr>
        <w:pStyle w:val="9"/>
        <w:spacing w:after="0" w:line="249" w:lineRule="auto"/>
        <w:rPr>
          <w:rFonts w:hint="eastAsia"/>
          <w:color w:val="231F20"/>
        </w:rPr>
      </w:pPr>
      <w:r>
        <w:rPr>
          <w:rFonts w:hint="eastAsia"/>
          <w:color w:val="231F20"/>
        </w:rPr>
        <w:t>那一天已经来到。</w:t>
      </w:r>
    </w:p>
    <w:p w14:paraId="4834E6AC">
      <w:pPr>
        <w:pStyle w:val="9"/>
        <w:spacing w:after="0" w:line="249" w:lineRule="auto"/>
        <w:rPr>
          <w:rFonts w:hint="eastAsia"/>
          <w:color w:val="231F20"/>
        </w:rPr>
      </w:pPr>
    </w:p>
    <w:p w14:paraId="012B633E">
      <w:pPr>
        <w:pStyle w:val="9"/>
        <w:spacing w:after="0" w:line="249" w:lineRule="auto"/>
        <w:rPr>
          <w:rFonts w:hint="eastAsia"/>
          <w:color w:val="231F20"/>
        </w:rPr>
      </w:pPr>
      <w:r>
        <w:rPr>
          <w:rFonts w:hint="eastAsia"/>
          <w:color w:val="231F20"/>
        </w:rPr>
        <w:t>Because of Christ, the people of Christ have become the one true and eternal Temple of the Living God.</w:t>
      </w:r>
    </w:p>
    <w:p w14:paraId="02E3AE92">
      <w:pPr>
        <w:pStyle w:val="9"/>
        <w:spacing w:after="0" w:line="249" w:lineRule="auto"/>
        <w:rPr>
          <w:rFonts w:hint="eastAsia"/>
          <w:color w:val="231F20"/>
        </w:rPr>
      </w:pPr>
      <w:r>
        <w:rPr>
          <w:rFonts w:hint="eastAsia"/>
          <w:color w:val="231F20"/>
        </w:rPr>
        <w:t>因着基督，基督的子民已成为永生上帝那独一真实且永恒的殿。</w:t>
      </w:r>
    </w:p>
    <w:p w14:paraId="352B19EA">
      <w:pPr>
        <w:pStyle w:val="9"/>
        <w:spacing w:after="0" w:line="249" w:lineRule="auto"/>
        <w:rPr>
          <w:rFonts w:hint="eastAsia"/>
          <w:color w:val="231F20"/>
        </w:rPr>
      </w:pPr>
    </w:p>
    <w:p w14:paraId="0E7F7E35">
      <w:pPr>
        <w:pStyle w:val="9"/>
        <w:spacing w:after="0" w:line="249" w:lineRule="auto"/>
        <w:rPr>
          <w:rFonts w:hint="eastAsia"/>
          <w:color w:val="231F20"/>
        </w:rPr>
      </w:pPr>
      <w:r>
        <w:rPr>
          <w:rFonts w:hint="eastAsia"/>
          <w:color w:val="231F20"/>
        </w:rPr>
        <w:t>And because God is holy, his Temple must be holy as well.</w:t>
      </w:r>
    </w:p>
    <w:p w14:paraId="5E7706B5">
      <w:pPr>
        <w:pStyle w:val="9"/>
        <w:spacing w:after="0" w:line="249" w:lineRule="auto"/>
        <w:rPr>
          <w:rFonts w:hint="eastAsia"/>
          <w:color w:val="231F20"/>
        </w:rPr>
      </w:pPr>
      <w:r>
        <w:rPr>
          <w:rFonts w:hint="eastAsia"/>
          <w:color w:val="231F20"/>
        </w:rPr>
        <w:t>又因为上帝是圣洁的，祂的殿也必须是圣洁的。</w:t>
      </w:r>
    </w:p>
    <w:p w14:paraId="55073E81">
      <w:pPr>
        <w:pStyle w:val="9"/>
        <w:spacing w:after="0" w:line="249" w:lineRule="auto"/>
        <w:rPr>
          <w:rFonts w:hint="eastAsia"/>
          <w:color w:val="231F20"/>
        </w:rPr>
      </w:pPr>
    </w:p>
    <w:p w14:paraId="2BED3E63">
      <w:pPr>
        <w:pStyle w:val="9"/>
        <w:spacing w:after="0" w:line="249" w:lineRule="auto"/>
        <w:rPr>
          <w:rFonts w:hint="eastAsia"/>
          <w:color w:val="231F20"/>
        </w:rPr>
      </w:pPr>
      <w:r>
        <w:rPr>
          <w:rFonts w:hint="eastAsia"/>
          <w:color w:val="231F20"/>
        </w:rPr>
        <w:t>Since the idea of the Church as God’s temple is the central theme of this cluster of OT texts, it may well be that Ezekiel 37:26-28 is the core around which Paul has gathered all the others.</w:t>
      </w:r>
    </w:p>
    <w:p w14:paraId="78DB8906">
      <w:pPr>
        <w:pStyle w:val="9"/>
        <w:spacing w:after="0" w:line="249" w:lineRule="auto"/>
        <w:rPr>
          <w:rFonts w:hint="eastAsia"/>
          <w:color w:val="231F20"/>
        </w:rPr>
      </w:pPr>
      <w:r>
        <w:rPr>
          <w:rFonts w:hint="eastAsia"/>
          <w:color w:val="231F20"/>
        </w:rPr>
        <w:t>由于教会作为上帝的殿是这组旧约经文的中心主题，很可能以西结书 37:26-28 是保罗围绕其聚集所有其他经文的核心。</w:t>
      </w:r>
    </w:p>
    <w:p w14:paraId="78FEAF0D">
      <w:pPr>
        <w:pStyle w:val="9"/>
        <w:spacing w:after="0" w:line="249" w:lineRule="auto"/>
        <w:rPr>
          <w:rFonts w:hint="eastAsia"/>
          <w:color w:val="231F20"/>
        </w:rPr>
      </w:pPr>
    </w:p>
    <w:p w14:paraId="3E15F43F">
      <w:pPr>
        <w:pStyle w:val="9"/>
        <w:spacing w:after="0" w:line="249" w:lineRule="auto"/>
        <w:rPr>
          <w:rFonts w:hint="eastAsia"/>
          <w:color w:val="231F20"/>
        </w:rPr>
      </w:pPr>
      <w:r>
        <w:rPr>
          <w:rFonts w:hint="eastAsia"/>
          <w:color w:val="231F20"/>
        </w:rPr>
        <w:t>It reads:</w:t>
      </w:r>
    </w:p>
    <w:p w14:paraId="38D5A318">
      <w:pPr>
        <w:pStyle w:val="9"/>
        <w:spacing w:after="0" w:line="249" w:lineRule="auto"/>
        <w:rPr>
          <w:rFonts w:hint="eastAsia"/>
          <w:color w:val="231F20"/>
        </w:rPr>
      </w:pPr>
      <w:r>
        <w:rPr>
          <w:rFonts w:hint="eastAsia"/>
          <w:color w:val="231F20"/>
        </w:rPr>
        <w:t>它写道：</w:t>
      </w:r>
    </w:p>
    <w:p w14:paraId="370C5427">
      <w:pPr>
        <w:pStyle w:val="9"/>
        <w:spacing w:after="0" w:line="249" w:lineRule="auto"/>
        <w:rPr>
          <w:rFonts w:hint="eastAsia"/>
          <w:color w:val="231F20"/>
        </w:rPr>
      </w:pPr>
    </w:p>
    <w:p w14:paraId="1A993110">
      <w:pPr>
        <w:pStyle w:val="9"/>
        <w:spacing w:after="0" w:line="249" w:lineRule="auto"/>
        <w:rPr>
          <w:rFonts w:hint="eastAsia"/>
          <w:color w:val="231F20"/>
        </w:rPr>
      </w:pPr>
      <w:r>
        <w:rPr>
          <w:rFonts w:hint="eastAsia"/>
          <w:color w:val="231F20"/>
        </w:rPr>
        <w:t>And I will place them (in the land) and multiply them, and will set My sanctuary in their midst forever.</w:t>
      </w:r>
    </w:p>
    <w:p w14:paraId="6E70B7BF">
      <w:pPr>
        <w:pStyle w:val="9"/>
        <w:spacing w:after="0" w:line="249" w:lineRule="auto"/>
        <w:rPr>
          <w:rFonts w:hint="eastAsia"/>
          <w:color w:val="231F20"/>
        </w:rPr>
      </w:pPr>
      <w:r>
        <w:rPr>
          <w:rFonts w:hint="eastAsia"/>
          <w:color w:val="231F20"/>
        </w:rPr>
        <w:t>我要将他们安置（在那地），使他们人数增多，又要在他们中间设立我的圣所，直到永远。</w:t>
      </w:r>
    </w:p>
    <w:p w14:paraId="467544A8">
      <w:pPr>
        <w:pStyle w:val="9"/>
        <w:spacing w:after="0" w:line="249" w:lineRule="auto"/>
        <w:rPr>
          <w:rFonts w:hint="eastAsia"/>
          <w:color w:val="231F20"/>
        </w:rPr>
      </w:pPr>
    </w:p>
    <w:p w14:paraId="3AB8492A">
      <w:pPr>
        <w:pStyle w:val="9"/>
        <w:spacing w:after="0" w:line="249" w:lineRule="auto"/>
        <w:rPr>
          <w:rFonts w:hint="eastAsia"/>
          <w:color w:val="231F20"/>
        </w:rPr>
      </w:pPr>
      <w:r>
        <w:rPr>
          <w:rFonts w:hint="eastAsia"/>
          <w:color w:val="231F20"/>
        </w:rPr>
        <w:t>My dwelling place also will be with them, and I will be their God, and they will be My people.</w:t>
      </w:r>
    </w:p>
    <w:p w14:paraId="2CBDC09C">
      <w:pPr>
        <w:pStyle w:val="9"/>
        <w:spacing w:after="0" w:line="249" w:lineRule="auto"/>
        <w:rPr>
          <w:rFonts w:hint="eastAsia"/>
          <w:color w:val="231F20"/>
        </w:rPr>
      </w:pPr>
      <w:r>
        <w:rPr>
          <w:rFonts w:hint="eastAsia"/>
          <w:color w:val="231F20"/>
        </w:rPr>
        <w:t>我的居所必在他们中间；我要作他们的上帝，他们要作我的子民。</w:t>
      </w:r>
    </w:p>
    <w:p w14:paraId="6BE02DCD">
      <w:pPr>
        <w:pStyle w:val="9"/>
        <w:spacing w:after="0" w:line="249" w:lineRule="auto"/>
        <w:rPr>
          <w:rFonts w:hint="eastAsia"/>
          <w:color w:val="231F20"/>
        </w:rPr>
      </w:pPr>
    </w:p>
    <w:p w14:paraId="279FD911">
      <w:pPr>
        <w:pStyle w:val="9"/>
        <w:spacing w:after="0" w:line="249" w:lineRule="auto"/>
        <w:rPr>
          <w:rFonts w:hint="eastAsia"/>
          <w:color w:val="231F20"/>
        </w:rPr>
      </w:pPr>
      <w:r>
        <w:rPr>
          <w:rFonts w:hint="eastAsia"/>
          <w:color w:val="231F20"/>
        </w:rPr>
        <w:t>And the nations will know that I am the LORD who sanctifies Israel, when My sanctuary is in their midst forever.</w:t>
      </w:r>
    </w:p>
    <w:p w14:paraId="5C42F667">
      <w:pPr>
        <w:pStyle w:val="9"/>
        <w:spacing w:after="0" w:line="249" w:lineRule="auto"/>
        <w:rPr>
          <w:rFonts w:hint="eastAsia"/>
          <w:color w:val="231F20"/>
        </w:rPr>
      </w:pPr>
      <w:r>
        <w:rPr>
          <w:rFonts w:hint="eastAsia"/>
          <w:color w:val="231F20"/>
        </w:rPr>
        <w:t>列国就知道我是叫以色列成为圣的耶和华，那时我的圣所必永远在他们中间。</w:t>
      </w:r>
    </w:p>
    <w:p w14:paraId="47EAA145">
      <w:pPr>
        <w:pStyle w:val="9"/>
        <w:spacing w:after="0" w:line="249" w:lineRule="auto"/>
        <w:rPr>
          <w:rFonts w:hint="eastAsia"/>
          <w:color w:val="231F20"/>
        </w:rPr>
      </w:pPr>
    </w:p>
    <w:p w14:paraId="44468B06">
      <w:pPr>
        <w:pStyle w:val="9"/>
        <w:spacing w:after="0" w:line="249" w:lineRule="auto"/>
        <w:rPr>
          <w:rFonts w:hint="eastAsia"/>
          <w:color w:val="231F20"/>
        </w:rPr>
      </w:pPr>
      <w:r>
        <w:rPr>
          <w:rFonts w:hint="eastAsia"/>
          <w:color w:val="231F20"/>
        </w:rPr>
        <w:t>Yes, one could read this prophecy literally, arguing, as some premillenarians do, that it looks for a day when God will restore ethnic Israel to her homeland, and will dwell among them in a bigger and better temple than they have ever known.</w:t>
      </w:r>
    </w:p>
    <w:p w14:paraId="2C4C7FC4">
      <w:pPr>
        <w:pStyle w:val="9"/>
        <w:spacing w:after="0" w:line="249" w:lineRule="auto"/>
        <w:rPr>
          <w:rFonts w:hint="eastAsia"/>
          <w:color w:val="231F20"/>
        </w:rPr>
      </w:pPr>
      <w:r>
        <w:rPr>
          <w:rFonts w:hint="eastAsia"/>
          <w:color w:val="231F20"/>
        </w:rPr>
        <w:t>是的，人们可以按字面意思来解读这段预言，就像一些前千禧年派所主张的，认为它展望一个日子，那时上帝将复兴以色列民族回到他们的故土，并将住在一个比他们所认识的任何殿都更大更好的殿中。</w:t>
      </w:r>
    </w:p>
    <w:p w14:paraId="23B22FD1">
      <w:pPr>
        <w:pStyle w:val="9"/>
        <w:spacing w:after="0" w:line="249" w:lineRule="auto"/>
        <w:rPr>
          <w:rFonts w:hint="eastAsia"/>
          <w:color w:val="231F20"/>
        </w:rPr>
      </w:pPr>
    </w:p>
    <w:p w14:paraId="5925863D">
      <w:pPr>
        <w:pStyle w:val="9"/>
        <w:spacing w:after="0" w:line="249" w:lineRule="auto"/>
        <w:rPr>
          <w:rFonts w:hint="eastAsia"/>
          <w:color w:val="231F20"/>
        </w:rPr>
      </w:pPr>
      <w:r>
        <w:rPr>
          <w:rFonts w:hint="eastAsia"/>
          <w:color w:val="231F20"/>
        </w:rPr>
        <w:t>But that is not how Paul reads it.</w:t>
      </w:r>
    </w:p>
    <w:p w14:paraId="67F85086">
      <w:pPr>
        <w:pStyle w:val="9"/>
        <w:spacing w:after="0" w:line="249" w:lineRule="auto"/>
        <w:rPr>
          <w:rFonts w:hint="eastAsia"/>
          <w:color w:val="231F20"/>
        </w:rPr>
      </w:pPr>
      <w:r>
        <w:rPr>
          <w:rFonts w:hint="eastAsia"/>
          <w:color w:val="231F20"/>
        </w:rPr>
        <w:t>但那不是保罗的解读方式。</w:t>
      </w:r>
    </w:p>
    <w:p w14:paraId="0246B477">
      <w:pPr>
        <w:pStyle w:val="9"/>
        <w:spacing w:after="0" w:line="249" w:lineRule="auto"/>
        <w:rPr>
          <w:rFonts w:hint="eastAsia"/>
          <w:color w:val="231F20"/>
        </w:rPr>
      </w:pPr>
    </w:p>
    <w:p w14:paraId="7F540B84">
      <w:pPr>
        <w:pStyle w:val="9"/>
        <w:spacing w:after="0" w:line="249" w:lineRule="auto"/>
        <w:rPr>
          <w:rFonts w:hint="eastAsia"/>
          <w:color w:val="231F20"/>
        </w:rPr>
      </w:pPr>
      <w:r>
        <w:rPr>
          <w:rFonts w:hint="eastAsia"/>
          <w:color w:val="231F20"/>
        </w:rPr>
        <w:t>Rather, as 2 Cor. 6 clearly shows, he views it as a prophecy of Christ (Ezek. 37:24- 25) and his Church.</w:t>
      </w:r>
    </w:p>
    <w:p w14:paraId="3AE02AA0">
      <w:pPr>
        <w:pStyle w:val="9"/>
        <w:spacing w:after="0" w:line="249" w:lineRule="auto"/>
        <w:rPr>
          <w:rFonts w:hint="eastAsia"/>
          <w:color w:val="231F20"/>
        </w:rPr>
      </w:pPr>
      <w:r>
        <w:rPr>
          <w:rFonts w:hint="eastAsia"/>
          <w:color w:val="231F20"/>
        </w:rPr>
        <w:t>相反，正如哥林多后书第6章清楚地表明，他将其视为关于基督（以西结书 37:24-25）和祂教会的预言。</w:t>
      </w:r>
    </w:p>
    <w:p w14:paraId="43C148EB">
      <w:pPr>
        <w:pStyle w:val="9"/>
        <w:spacing w:after="0" w:line="249" w:lineRule="auto"/>
        <w:rPr>
          <w:rFonts w:hint="eastAsia"/>
          <w:color w:val="231F20"/>
        </w:rPr>
      </w:pPr>
    </w:p>
    <w:p w14:paraId="434FA21F">
      <w:pPr>
        <w:pStyle w:val="9"/>
        <w:spacing w:after="0" w:line="249" w:lineRule="auto"/>
        <w:rPr>
          <w:rFonts w:hint="eastAsia"/>
          <w:color w:val="231F20"/>
        </w:rPr>
      </w:pPr>
      <w:r>
        <w:rPr>
          <w:rFonts w:hint="eastAsia"/>
          <w:color w:val="231F20"/>
        </w:rPr>
        <w:t>For Paul, the Church is the true Temple of the living God, of which all former temples were mere types and shadows.</w:t>
      </w:r>
    </w:p>
    <w:p w14:paraId="29603987">
      <w:pPr>
        <w:pStyle w:val="9"/>
        <w:spacing w:after="0" w:line="249" w:lineRule="auto"/>
        <w:rPr>
          <w:rFonts w:hint="eastAsia"/>
          <w:color w:val="231F20"/>
        </w:rPr>
      </w:pPr>
      <w:r>
        <w:rPr>
          <w:rFonts w:hint="eastAsia"/>
          <w:color w:val="231F20"/>
        </w:rPr>
        <w:t>对保罗而言，教会是永生上帝的真殿，所有先前的殿宇都只是其预表和影儿。</w:t>
      </w:r>
    </w:p>
    <w:p w14:paraId="59F3F38D">
      <w:pPr>
        <w:pStyle w:val="9"/>
        <w:spacing w:after="0" w:line="249" w:lineRule="auto"/>
        <w:rPr>
          <w:rFonts w:hint="eastAsia"/>
          <w:color w:val="231F20"/>
        </w:rPr>
      </w:pPr>
    </w:p>
    <w:p w14:paraId="6EF15B45">
      <w:pPr>
        <w:pStyle w:val="9"/>
        <w:spacing w:after="0" w:line="249" w:lineRule="auto"/>
        <w:rPr>
          <w:rFonts w:hint="eastAsia"/>
          <w:color w:val="231F20"/>
        </w:rPr>
      </w:pPr>
      <w:r>
        <w:rPr>
          <w:rFonts w:hint="eastAsia"/>
          <w:color w:val="231F20"/>
        </w:rPr>
        <w:t>And as God said through Ezekiel, this is the sanctuary where he will live forever.</w:t>
      </w:r>
    </w:p>
    <w:p w14:paraId="16353535">
      <w:pPr>
        <w:pStyle w:val="9"/>
        <w:spacing w:after="0" w:line="249" w:lineRule="auto"/>
        <w:rPr>
          <w:rFonts w:hint="eastAsia"/>
          <w:color w:val="231F20"/>
        </w:rPr>
      </w:pPr>
      <w:r>
        <w:rPr>
          <w:rFonts w:hint="eastAsia"/>
          <w:color w:val="231F20"/>
        </w:rPr>
        <w:t>正如上帝通过以西结所说，这是祂将永远居住的圣所。</w:t>
      </w:r>
    </w:p>
    <w:p w14:paraId="101D6D37">
      <w:pPr>
        <w:pStyle w:val="9"/>
        <w:spacing w:after="0" w:line="249" w:lineRule="auto"/>
        <w:rPr>
          <w:rFonts w:hint="eastAsia"/>
          <w:color w:val="231F20"/>
        </w:rPr>
      </w:pPr>
    </w:p>
    <w:p w14:paraId="50755C11">
      <w:pPr>
        <w:pStyle w:val="9"/>
        <w:spacing w:after="0" w:line="249" w:lineRule="auto"/>
        <w:rPr>
          <w:rFonts w:hint="eastAsia"/>
          <w:color w:val="231F20"/>
        </w:rPr>
      </w:pPr>
      <w:r>
        <w:rPr>
          <w:rFonts w:hint="eastAsia"/>
          <w:color w:val="231F20"/>
        </w:rPr>
        <w:t>There is no going back.</w:t>
      </w:r>
    </w:p>
    <w:p w14:paraId="790BFF58">
      <w:pPr>
        <w:pStyle w:val="9"/>
        <w:spacing w:after="0" w:line="249" w:lineRule="auto"/>
        <w:rPr>
          <w:rFonts w:hint="eastAsia"/>
          <w:color w:val="231F20"/>
        </w:rPr>
      </w:pPr>
      <w:r>
        <w:rPr>
          <w:rFonts w:hint="eastAsia"/>
          <w:color w:val="231F20"/>
        </w:rPr>
        <w:t>没有回头路。</w:t>
      </w:r>
    </w:p>
    <w:p w14:paraId="2C19A0F3">
      <w:pPr>
        <w:pStyle w:val="9"/>
        <w:spacing w:after="0" w:line="249" w:lineRule="auto"/>
        <w:rPr>
          <w:rFonts w:hint="eastAsia"/>
          <w:color w:val="231F20"/>
        </w:rPr>
      </w:pPr>
    </w:p>
    <w:p w14:paraId="60226F7C">
      <w:pPr>
        <w:pStyle w:val="9"/>
        <w:spacing w:after="0" w:line="249" w:lineRule="auto"/>
        <w:rPr>
          <w:rFonts w:hint="eastAsia"/>
          <w:color w:val="231F20"/>
        </w:rPr>
      </w:pPr>
      <w:r>
        <w:rPr>
          <w:rFonts w:hint="eastAsia"/>
          <w:color w:val="231F20"/>
        </w:rPr>
        <w:t>Thus, Paul’s beautiful string of OT pearls confirms yet again what we have seen all along: He reads the entire OT—the Law, the Writings, and the Prophets—eschatologically, christologically, typologically, and ecclesiologically.</w:t>
      </w:r>
    </w:p>
    <w:p w14:paraId="0D8BEE07">
      <w:pPr>
        <w:pStyle w:val="9"/>
        <w:spacing w:after="0" w:line="249" w:lineRule="auto"/>
        <w:rPr>
          <w:rFonts w:hint="eastAsia"/>
          <w:color w:val="231F20"/>
        </w:rPr>
      </w:pPr>
      <w:r>
        <w:rPr>
          <w:rFonts w:hint="eastAsia"/>
          <w:color w:val="231F20"/>
        </w:rPr>
        <w:t>因此，保罗美丽的旧约珍珠串再次证实了我们一直以来所看到的：他以末世论、基督论、预表论和教会论的方式来阅读整个旧约——律法书、著作和先知书。</w:t>
      </w:r>
    </w:p>
    <w:p w14:paraId="52AC924D">
      <w:pPr>
        <w:pStyle w:val="9"/>
        <w:spacing w:after="0" w:line="249" w:lineRule="auto"/>
        <w:rPr>
          <w:rFonts w:hint="eastAsia"/>
          <w:color w:val="231F20"/>
        </w:rPr>
      </w:pPr>
    </w:p>
    <w:p w14:paraId="763EBB30">
      <w:pPr>
        <w:pStyle w:val="9"/>
        <w:spacing w:after="0" w:line="249" w:lineRule="auto"/>
        <w:rPr>
          <w:rFonts w:hint="eastAsia"/>
          <w:color w:val="231F20"/>
        </w:rPr>
      </w:pPr>
      <w:r>
        <w:rPr>
          <w:rFonts w:hint="eastAsia"/>
          <w:color w:val="231F20"/>
        </w:rPr>
        <w:t>The NCH is the key to it all.</w:t>
      </w:r>
    </w:p>
    <w:p w14:paraId="2A4CF34F">
      <w:pPr>
        <w:pStyle w:val="9"/>
        <w:spacing w:after="0" w:line="249" w:lineRule="auto"/>
        <w:rPr>
          <w:rFonts w:hint="eastAsia"/>
          <w:color w:val="231F20"/>
        </w:rPr>
      </w:pPr>
      <w:r>
        <w:rPr>
          <w:rFonts w:hint="eastAsia"/>
          <w:color w:val="231F20"/>
        </w:rPr>
        <w:t>新约解释学（NCH）是这一切的关键。</w:t>
      </w:r>
    </w:p>
    <w:p w14:paraId="65DC8E2B">
      <w:pPr>
        <w:pStyle w:val="9"/>
        <w:spacing w:after="0" w:line="249" w:lineRule="auto"/>
        <w:rPr>
          <w:rFonts w:hint="eastAsia"/>
          <w:color w:val="231F20"/>
        </w:rPr>
      </w:pPr>
    </w:p>
    <w:p w14:paraId="14344D7C">
      <w:pPr>
        <w:pStyle w:val="9"/>
        <w:spacing w:after="0" w:line="249" w:lineRule="auto"/>
        <w:rPr>
          <w:rFonts w:hint="eastAsia"/>
          <w:color w:val="231F20"/>
        </w:rPr>
      </w:pPr>
      <w:r>
        <w:rPr>
          <w:rFonts w:hint="eastAsia"/>
          <w:color w:val="231F20"/>
        </w:rPr>
        <w:t>10.The Jerusalem Above, the Mother of us All</w:t>
      </w:r>
    </w:p>
    <w:p w14:paraId="6BE1A81E">
      <w:pPr>
        <w:pStyle w:val="9"/>
        <w:spacing w:after="0" w:line="249" w:lineRule="auto"/>
        <w:rPr>
          <w:rFonts w:hint="eastAsia"/>
          <w:color w:val="231F20"/>
        </w:rPr>
      </w:pPr>
      <w:r>
        <w:rPr>
          <w:rFonts w:hint="eastAsia"/>
          <w:color w:val="231F20"/>
        </w:rPr>
        <w:t>10.天上的耶路撒冷，我们众人的母</w:t>
      </w:r>
    </w:p>
    <w:p w14:paraId="0DA7DE72">
      <w:pPr>
        <w:pStyle w:val="9"/>
        <w:spacing w:after="0" w:line="249" w:lineRule="auto"/>
        <w:rPr>
          <w:rFonts w:hint="eastAsia"/>
          <w:color w:val="231F20"/>
        </w:rPr>
      </w:pPr>
    </w:p>
    <w:p w14:paraId="5FB6A7E3">
      <w:pPr>
        <w:pStyle w:val="9"/>
        <w:spacing w:after="0" w:line="249" w:lineRule="auto"/>
        <w:rPr>
          <w:rFonts w:hint="eastAsia"/>
          <w:color w:val="231F20"/>
        </w:rPr>
      </w:pPr>
      <w:r>
        <w:rPr>
          <w:rFonts w:hint="eastAsia"/>
          <w:color w:val="231F20"/>
        </w:rPr>
        <w:t>(Galatians 4:26-27, Isaiah 54:1ff)</w:t>
      </w:r>
    </w:p>
    <w:p w14:paraId="43D52ABB">
      <w:pPr>
        <w:pStyle w:val="9"/>
        <w:spacing w:after="0" w:line="249" w:lineRule="auto"/>
        <w:rPr>
          <w:rFonts w:hint="eastAsia"/>
          <w:color w:val="231F20"/>
        </w:rPr>
      </w:pPr>
      <w:r>
        <w:rPr>
          <w:rFonts w:hint="eastAsia"/>
          <w:color w:val="231F20"/>
        </w:rPr>
        <w:t>（加拉太书 4:26-27, 以赛亚书 54:1及后文）</w:t>
      </w:r>
    </w:p>
    <w:p w14:paraId="25AE3BD8">
      <w:pPr>
        <w:pStyle w:val="9"/>
        <w:spacing w:after="0" w:line="249" w:lineRule="auto"/>
        <w:rPr>
          <w:rFonts w:hint="eastAsia"/>
          <w:color w:val="231F20"/>
        </w:rPr>
      </w:pPr>
    </w:p>
    <w:p w14:paraId="372922FC">
      <w:pPr>
        <w:pStyle w:val="9"/>
        <w:spacing w:after="0" w:line="249" w:lineRule="auto"/>
        <w:rPr>
          <w:rFonts w:hint="eastAsia"/>
          <w:color w:val="231F20"/>
        </w:rPr>
      </w:pPr>
      <w:r>
        <w:rPr>
          <w:rFonts w:hint="eastAsia"/>
          <w:color w:val="231F20"/>
        </w:rPr>
        <w:t>Once again Paul is combating the heretical doctrine of the Judaizers, this time in Galatia.</w:t>
      </w:r>
    </w:p>
    <w:p w14:paraId="3BCABDE8">
      <w:pPr>
        <w:pStyle w:val="9"/>
        <w:spacing w:after="0" w:line="249" w:lineRule="auto"/>
        <w:rPr>
          <w:rFonts w:hint="eastAsia"/>
          <w:color w:val="231F20"/>
        </w:rPr>
      </w:pPr>
      <w:r>
        <w:rPr>
          <w:rFonts w:hint="eastAsia"/>
          <w:color w:val="231F20"/>
        </w:rPr>
        <w:t>保罗再次与犹太主义者的异端教义作斗争，这一次是在加拉太。</w:t>
      </w:r>
    </w:p>
    <w:p w14:paraId="14108632">
      <w:pPr>
        <w:pStyle w:val="9"/>
        <w:spacing w:after="0" w:line="249" w:lineRule="auto"/>
        <w:rPr>
          <w:rFonts w:hint="eastAsia"/>
          <w:color w:val="231F20"/>
        </w:rPr>
      </w:pPr>
    </w:p>
    <w:p w14:paraId="49B4B29C">
      <w:pPr>
        <w:pStyle w:val="9"/>
        <w:spacing w:after="0" w:line="249" w:lineRule="auto"/>
        <w:rPr>
          <w:rFonts w:hint="eastAsia"/>
          <w:color w:val="231F20"/>
        </w:rPr>
      </w:pPr>
      <w:r>
        <w:rPr>
          <w:rFonts w:hint="eastAsia"/>
          <w:color w:val="231F20"/>
        </w:rPr>
        <w:t>Shrewdly, he uses the NCH to show the Galatians that the very OT Law to which they are tempted to return warns them against doing so, on pain of death itself!</w:t>
      </w:r>
    </w:p>
    <w:p w14:paraId="589BE898">
      <w:pPr>
        <w:pStyle w:val="9"/>
        <w:spacing w:after="0" w:line="249" w:lineRule="auto"/>
        <w:rPr>
          <w:rFonts w:hint="eastAsia"/>
          <w:color w:val="231F20"/>
        </w:rPr>
      </w:pPr>
      <w:r>
        <w:rPr>
          <w:rFonts w:hint="eastAsia"/>
          <w:color w:val="231F20"/>
        </w:rPr>
        <w:t>他巧妙地使用新约解释学（NCH）向加拉太人表明，他们正被诱惑回归的旧约律法本身，就警告他们不要这样做，否则将面临死亡！</w:t>
      </w:r>
    </w:p>
    <w:p w14:paraId="397759B1">
      <w:pPr>
        <w:pStyle w:val="9"/>
        <w:spacing w:after="0" w:line="249" w:lineRule="auto"/>
        <w:rPr>
          <w:rFonts w:hint="eastAsia"/>
          <w:color w:val="231F20"/>
        </w:rPr>
      </w:pPr>
    </w:p>
    <w:p w14:paraId="5636AADE">
      <w:pPr>
        <w:pStyle w:val="9"/>
        <w:spacing w:after="0" w:line="249" w:lineRule="auto"/>
        <w:rPr>
          <w:rFonts w:hint="eastAsia"/>
          <w:color w:val="231F20"/>
        </w:rPr>
      </w:pPr>
      <w:r>
        <w:rPr>
          <w:rFonts w:hint="eastAsia"/>
          <w:color w:val="231F20"/>
        </w:rPr>
        <w:t>This, he argues, is the lesson we should learn from the clash between Abraham’s two wives (Sarah and Hagar) and between their children (Isaac and Ishmael).</w:t>
      </w:r>
    </w:p>
    <w:p w14:paraId="3633D71C">
      <w:pPr>
        <w:pStyle w:val="9"/>
        <w:spacing w:after="0" w:line="249" w:lineRule="auto"/>
        <w:rPr>
          <w:rFonts w:hint="eastAsia"/>
          <w:color w:val="231F20"/>
        </w:rPr>
      </w:pPr>
      <w:r>
        <w:rPr>
          <w:rFonts w:hint="eastAsia"/>
          <w:color w:val="231F20"/>
        </w:rPr>
        <w:t>他论证说，这就是我们应当从亚伯拉罕的两个妻子（撒拉和夏甲）以及她们的孩子（以撒和以实玛利）之间的冲突中学到的教训。</w:t>
      </w:r>
    </w:p>
    <w:p w14:paraId="699EC08F">
      <w:pPr>
        <w:pStyle w:val="9"/>
        <w:spacing w:after="0" w:line="249" w:lineRule="auto"/>
        <w:rPr>
          <w:rFonts w:hint="eastAsia"/>
          <w:color w:val="231F20"/>
        </w:rPr>
      </w:pPr>
    </w:p>
    <w:p w14:paraId="65DF1C26">
      <w:pPr>
        <w:pStyle w:val="9"/>
        <w:spacing w:after="0" w:line="249" w:lineRule="auto"/>
        <w:rPr>
          <w:rFonts w:hint="eastAsia"/>
          <w:color w:val="231F20"/>
        </w:rPr>
      </w:pPr>
      <w:r>
        <w:rPr>
          <w:rFonts w:hint="eastAsia"/>
          <w:color w:val="231F20"/>
        </w:rPr>
        <w:t>These things “contain an allegory”; that is, they hold typological significance.</w:t>
      </w:r>
    </w:p>
    <w:p w14:paraId="5A4C29AE">
      <w:pPr>
        <w:pStyle w:val="9"/>
        <w:spacing w:after="0" w:line="249" w:lineRule="auto"/>
        <w:rPr>
          <w:rFonts w:hint="eastAsia"/>
          <w:color w:val="231F20"/>
        </w:rPr>
      </w:pPr>
      <w:r>
        <w:rPr>
          <w:rFonts w:hint="eastAsia"/>
          <w:color w:val="231F20"/>
        </w:rPr>
        <w:t>这些事“是比喻”；也就是说，它们具有预表性的意义。</w:t>
      </w:r>
    </w:p>
    <w:p w14:paraId="685D0984">
      <w:pPr>
        <w:pStyle w:val="9"/>
        <w:spacing w:after="0" w:line="249" w:lineRule="auto"/>
        <w:rPr>
          <w:rFonts w:hint="eastAsia"/>
          <w:color w:val="231F20"/>
        </w:rPr>
      </w:pPr>
    </w:p>
    <w:p w14:paraId="3B0DC86A">
      <w:pPr>
        <w:pStyle w:val="9"/>
        <w:spacing w:after="0" w:line="249" w:lineRule="auto"/>
        <w:rPr>
          <w:rFonts w:hint="eastAsia"/>
          <w:color w:val="231F20"/>
        </w:rPr>
      </w:pPr>
      <w:r>
        <w:rPr>
          <w:rFonts w:hint="eastAsia"/>
          <w:color w:val="231F20"/>
        </w:rPr>
        <w:t>Hagar, a slave, gave birth to a slave through a merely natural act of intercourse.</w:t>
      </w:r>
    </w:p>
    <w:p w14:paraId="680B954C">
      <w:pPr>
        <w:pStyle w:val="9"/>
        <w:spacing w:after="0" w:line="249" w:lineRule="auto"/>
        <w:rPr>
          <w:rFonts w:hint="eastAsia"/>
          <w:color w:val="231F20"/>
        </w:rPr>
      </w:pPr>
      <w:r>
        <w:rPr>
          <w:rFonts w:hint="eastAsia"/>
          <w:color w:val="231F20"/>
        </w:rPr>
        <w:t>夏甲是使女，通过纯粹自然的性交行为生了一个奴隶。</w:t>
      </w:r>
    </w:p>
    <w:p w14:paraId="676247AC">
      <w:pPr>
        <w:pStyle w:val="9"/>
        <w:spacing w:after="0" w:line="249" w:lineRule="auto"/>
        <w:rPr>
          <w:rFonts w:hint="eastAsia"/>
          <w:color w:val="231F20"/>
        </w:rPr>
      </w:pPr>
    </w:p>
    <w:p w14:paraId="6C500C03">
      <w:pPr>
        <w:pStyle w:val="9"/>
        <w:spacing w:after="0" w:line="249" w:lineRule="auto"/>
        <w:rPr>
          <w:rFonts w:hint="eastAsia"/>
          <w:color w:val="231F20"/>
        </w:rPr>
      </w:pPr>
      <w:r>
        <w:rPr>
          <w:rFonts w:hint="eastAsia"/>
          <w:color w:val="231F20"/>
        </w:rPr>
        <w:t>She typifies the Old Covenant, which, in and of itself, has no power to release its children from their natural bondage to sin and judgment.</w:t>
      </w:r>
    </w:p>
    <w:p w14:paraId="0447E476">
      <w:pPr>
        <w:pStyle w:val="9"/>
        <w:spacing w:after="0" w:line="249" w:lineRule="auto"/>
        <w:rPr>
          <w:rFonts w:hint="eastAsia"/>
          <w:color w:val="231F20"/>
        </w:rPr>
      </w:pPr>
      <w:r>
        <w:rPr>
          <w:rFonts w:hint="eastAsia"/>
          <w:color w:val="231F20"/>
        </w:rPr>
        <w:t>她预表着旧约，这约本身没有能力使其儿女脱离他们对罪和审判的自然捆绑。</w:t>
      </w:r>
    </w:p>
    <w:p w14:paraId="42A4F9E6">
      <w:pPr>
        <w:pStyle w:val="9"/>
        <w:spacing w:after="0" w:line="249" w:lineRule="auto"/>
        <w:rPr>
          <w:rFonts w:hint="eastAsia"/>
          <w:color w:val="231F20"/>
        </w:rPr>
      </w:pPr>
    </w:p>
    <w:p w14:paraId="769B134F">
      <w:pPr>
        <w:pStyle w:val="9"/>
        <w:spacing w:after="0" w:line="249" w:lineRule="auto"/>
        <w:rPr>
          <w:rFonts w:hint="eastAsia"/>
          <w:color w:val="231F20"/>
        </w:rPr>
      </w:pPr>
      <w:r>
        <w:rPr>
          <w:rFonts w:hint="eastAsia"/>
          <w:color w:val="231F20"/>
        </w:rPr>
        <w:t>For this reason, Hagar “corresponds” to Mt. Sinai where the Law was given, and to the Jerusalem below, where its adherents presently live in slavery.</w:t>
      </w:r>
    </w:p>
    <w:p w14:paraId="514401D0">
      <w:pPr>
        <w:pStyle w:val="9"/>
        <w:spacing w:after="0" w:line="249" w:lineRule="auto"/>
        <w:rPr>
          <w:rFonts w:hint="eastAsia"/>
          <w:color w:val="231F20"/>
        </w:rPr>
      </w:pPr>
      <w:r>
        <w:rPr>
          <w:rFonts w:hint="eastAsia"/>
          <w:color w:val="231F20"/>
        </w:rPr>
        <w:t>因此，夏甲“对应着”颁布律法的西奈山，以及地上的耶路撒冷，其信奉者现今生活在奴役之中。</w:t>
      </w:r>
    </w:p>
    <w:p w14:paraId="15BF21B3">
      <w:pPr>
        <w:pStyle w:val="9"/>
        <w:spacing w:after="0" w:line="249" w:lineRule="auto"/>
        <w:rPr>
          <w:rFonts w:hint="eastAsia"/>
          <w:color w:val="231F20"/>
        </w:rPr>
      </w:pPr>
    </w:p>
    <w:p w14:paraId="25A07D8E">
      <w:pPr>
        <w:pStyle w:val="9"/>
        <w:spacing w:after="0" w:line="249" w:lineRule="auto"/>
        <w:rPr>
          <w:rFonts w:hint="eastAsia"/>
          <w:color w:val="231F20"/>
        </w:rPr>
      </w:pPr>
      <w:r>
        <w:rPr>
          <w:rFonts w:hint="eastAsia"/>
          <w:color w:val="231F20"/>
        </w:rPr>
        <w:t>Sarah, on the other hand, was a free woman who, according to divine Promise, supernaturally gave birth to a free child.</w:t>
      </w:r>
    </w:p>
    <w:p w14:paraId="58439CB2">
      <w:pPr>
        <w:pStyle w:val="9"/>
        <w:spacing w:after="0" w:line="249" w:lineRule="auto"/>
        <w:rPr>
          <w:rFonts w:hint="eastAsia"/>
          <w:color w:val="231F20"/>
        </w:rPr>
      </w:pPr>
      <w:r>
        <w:rPr>
          <w:rFonts w:hint="eastAsia"/>
          <w:color w:val="231F20"/>
        </w:rPr>
        <w:t>另一方面，撒拉是自由的妇人，根据神的应许，她超自然地生下了一个自由的孩子。</w:t>
      </w:r>
    </w:p>
    <w:p w14:paraId="2642AB89">
      <w:pPr>
        <w:pStyle w:val="9"/>
        <w:spacing w:after="0" w:line="249" w:lineRule="auto"/>
        <w:rPr>
          <w:rFonts w:hint="eastAsia"/>
          <w:color w:val="231F20"/>
        </w:rPr>
      </w:pPr>
    </w:p>
    <w:p w14:paraId="64438B5B">
      <w:pPr>
        <w:pStyle w:val="9"/>
        <w:spacing w:after="0" w:line="249" w:lineRule="auto"/>
        <w:rPr>
          <w:rFonts w:hint="eastAsia"/>
          <w:color w:val="231F20"/>
        </w:rPr>
      </w:pPr>
      <w:r>
        <w:rPr>
          <w:rFonts w:hint="eastAsia"/>
          <w:color w:val="231F20"/>
        </w:rPr>
        <w:t>She typifies the New Covenant, a covenant that does indeed have power to release her offspring from sin and judgment, and to bestow upon them the glorious freedom of the children of God (Rom. 8:21).</w:t>
      </w:r>
    </w:p>
    <w:p w14:paraId="33A7D508">
      <w:pPr>
        <w:pStyle w:val="9"/>
        <w:spacing w:after="0" w:line="249" w:lineRule="auto"/>
        <w:rPr>
          <w:rFonts w:hint="eastAsia"/>
          <w:color w:val="231F20"/>
        </w:rPr>
      </w:pPr>
      <w:r>
        <w:rPr>
          <w:rFonts w:hint="eastAsia"/>
          <w:color w:val="231F20"/>
        </w:rPr>
        <w:t>她预表着新约，这个约确实有能力将她的后裔从罪和审判中释放出来，并赐给他们上帝儿女荣耀的自由（罗马书 8:21）。</w:t>
      </w:r>
    </w:p>
    <w:p w14:paraId="09043CD8">
      <w:pPr>
        <w:pStyle w:val="9"/>
        <w:spacing w:after="0" w:line="249" w:lineRule="auto"/>
        <w:rPr>
          <w:rFonts w:hint="eastAsia"/>
          <w:color w:val="231F20"/>
        </w:rPr>
      </w:pPr>
    </w:p>
    <w:p w14:paraId="4DDF651E">
      <w:pPr>
        <w:pStyle w:val="9"/>
        <w:spacing w:after="0" w:line="249" w:lineRule="auto"/>
        <w:rPr>
          <w:rFonts w:hint="eastAsia"/>
          <w:color w:val="231F20"/>
        </w:rPr>
      </w:pPr>
      <w:r>
        <w:rPr>
          <w:rFonts w:hint="eastAsia"/>
          <w:color w:val="231F20"/>
        </w:rPr>
        <w:t>Therefore, Sarah corresponds to the Zion above (whence Christ and the New Covenant came), and to the Jerusalem above (the heavenly city comprised of all who are seated with Christ in heavenly places, Heb. 12:22).</w:t>
      </w:r>
    </w:p>
    <w:p w14:paraId="0F1102E5">
      <w:pPr>
        <w:pStyle w:val="9"/>
        <w:spacing w:after="0" w:line="249" w:lineRule="auto"/>
        <w:rPr>
          <w:rFonts w:hint="eastAsia"/>
          <w:color w:val="231F20"/>
        </w:rPr>
      </w:pPr>
      <w:r>
        <w:rPr>
          <w:rFonts w:hint="eastAsia"/>
          <w:color w:val="231F20"/>
        </w:rPr>
        <w:t>因此，撒拉对应着天上的锡安（基督和新约由此而来），以及天上的耶路撒冷（由所有与基督一同坐在天上的人组成的天城，希伯来书 12:22）。</w:t>
      </w:r>
    </w:p>
    <w:p w14:paraId="03CCF21C">
      <w:pPr>
        <w:pStyle w:val="9"/>
        <w:spacing w:after="0" w:line="249" w:lineRule="auto"/>
        <w:rPr>
          <w:rFonts w:hint="eastAsia"/>
          <w:color w:val="231F20"/>
        </w:rPr>
      </w:pPr>
    </w:p>
    <w:p w14:paraId="2AE0AD05">
      <w:pPr>
        <w:pStyle w:val="9"/>
        <w:spacing w:after="0" w:line="249" w:lineRule="auto"/>
        <w:rPr>
          <w:rFonts w:hint="eastAsia"/>
          <w:color w:val="231F20"/>
        </w:rPr>
      </w:pPr>
      <w:r>
        <w:rPr>
          <w:rFonts w:hint="eastAsia"/>
          <w:color w:val="231F20"/>
        </w:rPr>
        <w:t>It is clear that these two seeds have antithetical natures.</w:t>
      </w:r>
    </w:p>
    <w:p w14:paraId="474DFE02">
      <w:pPr>
        <w:pStyle w:val="9"/>
        <w:spacing w:after="0" w:line="249" w:lineRule="auto"/>
        <w:rPr>
          <w:rFonts w:hint="eastAsia"/>
          <w:color w:val="231F20"/>
        </w:rPr>
      </w:pPr>
      <w:r>
        <w:rPr>
          <w:rFonts w:hint="eastAsia"/>
          <w:color w:val="231F20"/>
        </w:rPr>
        <w:t>很明显，这两个后裔具有对立的性质。</w:t>
      </w:r>
    </w:p>
    <w:p w14:paraId="677428C3">
      <w:pPr>
        <w:pStyle w:val="9"/>
        <w:spacing w:after="0" w:line="249" w:lineRule="auto"/>
        <w:rPr>
          <w:rFonts w:hint="eastAsia"/>
          <w:color w:val="231F20"/>
        </w:rPr>
      </w:pPr>
    </w:p>
    <w:p w14:paraId="152D7B44">
      <w:pPr>
        <w:pStyle w:val="9"/>
        <w:spacing w:after="0" w:line="249" w:lineRule="auto"/>
        <w:rPr>
          <w:rFonts w:hint="eastAsia"/>
          <w:color w:val="231F20"/>
        </w:rPr>
      </w:pPr>
      <w:r>
        <w:rPr>
          <w:rFonts w:hint="eastAsia"/>
          <w:color w:val="231F20"/>
        </w:rPr>
        <w:t>Small wonder, then, that there is conflict between them.</w:t>
      </w:r>
    </w:p>
    <w:p w14:paraId="62DFEE81">
      <w:pPr>
        <w:pStyle w:val="9"/>
        <w:spacing w:after="0" w:line="249" w:lineRule="auto"/>
        <w:rPr>
          <w:rFonts w:hint="eastAsia"/>
          <w:color w:val="231F20"/>
        </w:rPr>
      </w:pPr>
      <w:r>
        <w:rPr>
          <w:rFonts w:hint="eastAsia"/>
          <w:color w:val="231F20"/>
        </w:rPr>
        <w:t>那么，它们之间有冲突也就不足为奇了。</w:t>
      </w:r>
    </w:p>
    <w:p w14:paraId="7A035715">
      <w:pPr>
        <w:pStyle w:val="9"/>
        <w:spacing w:after="0" w:line="249" w:lineRule="auto"/>
        <w:rPr>
          <w:rFonts w:hint="eastAsia"/>
          <w:color w:val="231F20"/>
        </w:rPr>
      </w:pPr>
    </w:p>
    <w:p w14:paraId="4E71C341">
      <w:pPr>
        <w:pStyle w:val="9"/>
        <w:spacing w:after="0" w:line="249" w:lineRule="auto"/>
        <w:rPr>
          <w:rFonts w:hint="eastAsia"/>
          <w:color w:val="231F20"/>
        </w:rPr>
      </w:pPr>
      <w:r>
        <w:rPr>
          <w:rFonts w:hint="eastAsia"/>
          <w:color w:val="231F20"/>
        </w:rPr>
        <w:t>Small wonder that Jews—and Judaizers—persecute Christians, even as Ishmael persecuted Isaac.</w:t>
      </w:r>
    </w:p>
    <w:p w14:paraId="7BB643B7">
      <w:pPr>
        <w:pStyle w:val="9"/>
        <w:spacing w:after="0" w:line="249" w:lineRule="auto"/>
        <w:rPr>
          <w:rFonts w:hint="eastAsia"/>
          <w:color w:val="231F20"/>
        </w:rPr>
      </w:pPr>
      <w:r>
        <w:rPr>
          <w:rFonts w:hint="eastAsia"/>
          <w:color w:val="231F20"/>
        </w:rPr>
        <w:t>犹太人——和犹太化者——逼迫基督徒，就像以实玛利逼迫以撒一样，也就不足为奇了。</w:t>
      </w:r>
    </w:p>
    <w:p w14:paraId="1A8CCCA8">
      <w:pPr>
        <w:pStyle w:val="9"/>
        <w:spacing w:after="0" w:line="249" w:lineRule="auto"/>
        <w:rPr>
          <w:rFonts w:hint="eastAsia"/>
          <w:color w:val="231F20"/>
        </w:rPr>
      </w:pPr>
    </w:p>
    <w:p w14:paraId="01AE7490">
      <w:pPr>
        <w:pStyle w:val="9"/>
        <w:spacing w:after="0" w:line="249" w:lineRule="auto"/>
        <w:rPr>
          <w:rFonts w:hint="eastAsia"/>
          <w:color w:val="231F20"/>
        </w:rPr>
      </w:pPr>
      <w:r>
        <w:rPr>
          <w:rFonts w:hint="eastAsia"/>
          <w:color w:val="231F20"/>
        </w:rPr>
        <w:t>Nevertheless, such persecution will not prevail.</w:t>
      </w:r>
    </w:p>
    <w:p w14:paraId="76E42A5D">
      <w:pPr>
        <w:pStyle w:val="9"/>
        <w:spacing w:after="0" w:line="249" w:lineRule="auto"/>
        <w:rPr>
          <w:rFonts w:hint="eastAsia"/>
          <w:color w:val="231F20"/>
        </w:rPr>
      </w:pPr>
      <w:r>
        <w:rPr>
          <w:rFonts w:hint="eastAsia"/>
          <w:color w:val="231F20"/>
        </w:rPr>
        <w:t>然而，这样的逼迫不会得胜。</w:t>
      </w:r>
    </w:p>
    <w:p w14:paraId="0C97E4F5">
      <w:pPr>
        <w:pStyle w:val="9"/>
        <w:spacing w:after="0" w:line="249" w:lineRule="auto"/>
        <w:rPr>
          <w:rFonts w:hint="eastAsia"/>
          <w:color w:val="231F20"/>
        </w:rPr>
      </w:pPr>
    </w:p>
    <w:p w14:paraId="0756750B">
      <w:pPr>
        <w:pStyle w:val="9"/>
        <w:spacing w:after="0" w:line="249" w:lineRule="auto"/>
        <w:rPr>
          <w:rFonts w:hint="eastAsia"/>
          <w:color w:val="231F20"/>
        </w:rPr>
      </w:pPr>
      <w:r>
        <w:rPr>
          <w:rFonts w:hint="eastAsia"/>
          <w:color w:val="231F20"/>
        </w:rPr>
        <w:t>The bondwoman and her son will not inherit the promises, but instead will be cast out.</w:t>
      </w:r>
    </w:p>
    <w:p w14:paraId="5E6FCB8C">
      <w:pPr>
        <w:pStyle w:val="9"/>
        <w:spacing w:after="0" w:line="249" w:lineRule="auto"/>
        <w:rPr>
          <w:rFonts w:hint="eastAsia"/>
          <w:color w:val="231F20"/>
        </w:rPr>
      </w:pPr>
      <w:r>
        <w:rPr>
          <w:rFonts w:hint="eastAsia"/>
          <w:color w:val="231F20"/>
        </w:rPr>
        <w:t>为奴的妇人和她的儿子不能承受应许，反而要被赶出去。</w:t>
      </w:r>
    </w:p>
    <w:p w14:paraId="2CB81AC7">
      <w:pPr>
        <w:pStyle w:val="9"/>
        <w:spacing w:after="0" w:line="249" w:lineRule="auto"/>
        <w:rPr>
          <w:rFonts w:hint="eastAsia"/>
          <w:color w:val="231F20"/>
        </w:rPr>
      </w:pPr>
    </w:p>
    <w:p w14:paraId="73A84679">
      <w:pPr>
        <w:pStyle w:val="9"/>
        <w:spacing w:after="0" w:line="249" w:lineRule="auto"/>
        <w:rPr>
          <w:rFonts w:hint="eastAsia"/>
          <w:color w:val="231F20"/>
        </w:rPr>
      </w:pPr>
      <w:r>
        <w:rPr>
          <w:rFonts w:hint="eastAsia"/>
          <w:color w:val="231F20"/>
        </w:rPr>
        <w:t>Let every Galatian contemplating a return to the Law understand—and fear (Gal. 4:28-31)!</w:t>
      </w:r>
    </w:p>
    <w:p w14:paraId="174D5FE7">
      <w:pPr>
        <w:pStyle w:val="9"/>
        <w:spacing w:after="0" w:line="249" w:lineRule="auto"/>
        <w:rPr>
          <w:rFonts w:hint="eastAsia"/>
          <w:color w:val="231F20"/>
        </w:rPr>
      </w:pPr>
      <w:r>
        <w:rPr>
          <w:rFonts w:hint="eastAsia"/>
          <w:color w:val="231F20"/>
        </w:rPr>
        <w:t>让每一个考虑回归律法的加拉太人都明白——并惧怕（加拉太书 4:28-31）！</w:t>
      </w:r>
    </w:p>
    <w:p w14:paraId="32161482">
      <w:pPr>
        <w:pStyle w:val="9"/>
        <w:spacing w:after="0" w:line="249" w:lineRule="auto"/>
        <w:rPr>
          <w:rFonts w:hint="eastAsia"/>
          <w:color w:val="231F20"/>
        </w:rPr>
      </w:pPr>
    </w:p>
    <w:p w14:paraId="3A1CD1A4">
      <w:pPr>
        <w:pStyle w:val="9"/>
        <w:spacing w:after="0" w:line="249" w:lineRule="auto"/>
        <w:rPr>
          <w:rFonts w:hint="eastAsia"/>
          <w:color w:val="231F20"/>
        </w:rPr>
      </w:pPr>
      <w:r>
        <w:rPr>
          <w:rFonts w:hint="eastAsia"/>
          <w:color w:val="231F20"/>
        </w:rPr>
        <w:t>In the course of making his argument, Paul cites a second OT text, an OTKP, Isaiah 54:1.</w:t>
      </w:r>
    </w:p>
    <w:p w14:paraId="4D867A10">
      <w:pPr>
        <w:pStyle w:val="9"/>
        <w:spacing w:after="0" w:line="249" w:lineRule="auto"/>
        <w:rPr>
          <w:rFonts w:hint="eastAsia"/>
          <w:color w:val="231F20"/>
        </w:rPr>
      </w:pPr>
      <w:r>
        <w:rPr>
          <w:rFonts w:hint="eastAsia"/>
          <w:color w:val="231F20"/>
        </w:rPr>
        <w:t>在他论证的过程中，保罗引用了第二段旧约经文，一个旧约国度预言（OTKP），即以赛亚书 54:1。</w:t>
      </w:r>
    </w:p>
    <w:p w14:paraId="63378743">
      <w:pPr>
        <w:pStyle w:val="9"/>
        <w:spacing w:after="0" w:line="249" w:lineRule="auto"/>
        <w:rPr>
          <w:rFonts w:hint="eastAsia"/>
          <w:color w:val="231F20"/>
        </w:rPr>
      </w:pPr>
    </w:p>
    <w:p w14:paraId="61AF977D">
      <w:pPr>
        <w:pStyle w:val="9"/>
        <w:spacing w:after="0" w:line="249" w:lineRule="auto"/>
        <w:rPr>
          <w:rFonts w:hint="eastAsia"/>
          <w:color w:val="231F20"/>
        </w:rPr>
      </w:pPr>
      <w:r>
        <w:rPr>
          <w:rFonts w:hint="eastAsia"/>
          <w:color w:val="231F20"/>
        </w:rPr>
        <w:t>He writes,</w:t>
      </w:r>
    </w:p>
    <w:p w14:paraId="0794FCF6">
      <w:pPr>
        <w:pStyle w:val="9"/>
        <w:spacing w:after="0" w:line="249" w:lineRule="auto"/>
        <w:rPr>
          <w:rFonts w:hint="eastAsia"/>
          <w:color w:val="231F20"/>
        </w:rPr>
      </w:pPr>
      <w:r>
        <w:rPr>
          <w:rFonts w:hint="eastAsia"/>
          <w:color w:val="231F20"/>
        </w:rPr>
        <w:t>他写道：</w:t>
      </w:r>
    </w:p>
    <w:p w14:paraId="35342D24">
      <w:pPr>
        <w:pStyle w:val="9"/>
        <w:spacing w:after="0" w:line="249" w:lineRule="auto"/>
        <w:rPr>
          <w:rFonts w:hint="eastAsia"/>
          <w:color w:val="231F20"/>
        </w:rPr>
      </w:pPr>
    </w:p>
    <w:p w14:paraId="55BE3B26">
      <w:pPr>
        <w:pStyle w:val="9"/>
        <w:spacing w:after="0" w:line="249" w:lineRule="auto"/>
        <w:rPr>
          <w:rFonts w:hint="eastAsia"/>
          <w:color w:val="231F20"/>
        </w:rPr>
      </w:pPr>
      <w:r>
        <w:rPr>
          <w:rFonts w:hint="eastAsia"/>
          <w:color w:val="231F20"/>
        </w:rPr>
        <w:t>But the Jerusalem above is free, which is the Mother of us all.</w:t>
      </w:r>
    </w:p>
    <w:p w14:paraId="0B3DEB9C">
      <w:pPr>
        <w:pStyle w:val="9"/>
        <w:spacing w:after="0" w:line="249" w:lineRule="auto"/>
        <w:rPr>
          <w:rFonts w:hint="eastAsia"/>
          <w:color w:val="231F20"/>
        </w:rPr>
      </w:pPr>
      <w:r>
        <w:rPr>
          <w:rFonts w:hint="eastAsia"/>
          <w:color w:val="231F20"/>
        </w:rPr>
        <w:t>但那在上的耶路撒冷是自主的，她是我们的母。</w:t>
      </w:r>
    </w:p>
    <w:p w14:paraId="582E1228">
      <w:pPr>
        <w:pStyle w:val="9"/>
        <w:spacing w:after="0" w:line="249" w:lineRule="auto"/>
        <w:rPr>
          <w:rFonts w:hint="eastAsia"/>
          <w:color w:val="231F20"/>
        </w:rPr>
      </w:pPr>
    </w:p>
    <w:p w14:paraId="0CCCA89D">
      <w:pPr>
        <w:pStyle w:val="9"/>
        <w:spacing w:after="0" w:line="249" w:lineRule="auto"/>
        <w:rPr>
          <w:rFonts w:hint="eastAsia"/>
          <w:color w:val="231F20"/>
        </w:rPr>
      </w:pPr>
      <w:r>
        <w:rPr>
          <w:rFonts w:hint="eastAsia"/>
          <w:color w:val="231F20"/>
        </w:rPr>
        <w:t>For it is written, “Rejoice, O barren, you who do not bear!</w:t>
      </w:r>
    </w:p>
    <w:p w14:paraId="1FD77CDE">
      <w:pPr>
        <w:pStyle w:val="9"/>
        <w:spacing w:after="0" w:line="249" w:lineRule="auto"/>
        <w:rPr>
          <w:rFonts w:hint="eastAsia"/>
          <w:color w:val="231F20"/>
        </w:rPr>
      </w:pPr>
      <w:r>
        <w:rPr>
          <w:rFonts w:hint="eastAsia"/>
          <w:color w:val="231F20"/>
        </w:rPr>
        <w:t>因为经上记着：“不怀孕、不生养的，你要欢乐！</w:t>
      </w:r>
    </w:p>
    <w:p w14:paraId="7C1EF1D0">
      <w:pPr>
        <w:pStyle w:val="9"/>
        <w:spacing w:after="0" w:line="249" w:lineRule="auto"/>
        <w:rPr>
          <w:rFonts w:hint="eastAsia"/>
          <w:color w:val="231F20"/>
        </w:rPr>
      </w:pPr>
    </w:p>
    <w:p w14:paraId="75399FF0">
      <w:pPr>
        <w:pStyle w:val="9"/>
        <w:spacing w:after="0" w:line="249" w:lineRule="auto"/>
        <w:rPr>
          <w:rFonts w:hint="eastAsia"/>
          <w:color w:val="231F20"/>
        </w:rPr>
      </w:pPr>
      <w:r>
        <w:rPr>
          <w:rFonts w:hint="eastAsia"/>
          <w:color w:val="231F20"/>
        </w:rPr>
        <w:t>Break forth and shout, you who are not in labor!</w:t>
      </w:r>
    </w:p>
    <w:p w14:paraId="68A060A9">
      <w:pPr>
        <w:pStyle w:val="9"/>
        <w:spacing w:after="0" w:line="249" w:lineRule="auto"/>
        <w:rPr>
          <w:rFonts w:hint="eastAsia"/>
          <w:color w:val="231F20"/>
        </w:rPr>
      </w:pPr>
      <w:r>
        <w:rPr>
          <w:rFonts w:hint="eastAsia"/>
          <w:color w:val="231F20"/>
        </w:rPr>
        <w:t>未曾经过产难的，你要高声欢呼！</w:t>
      </w:r>
    </w:p>
    <w:p w14:paraId="1E1D7213">
      <w:pPr>
        <w:pStyle w:val="9"/>
        <w:spacing w:after="0" w:line="249" w:lineRule="auto"/>
        <w:rPr>
          <w:rFonts w:hint="eastAsia"/>
          <w:color w:val="231F20"/>
        </w:rPr>
      </w:pPr>
    </w:p>
    <w:p w14:paraId="696032C1">
      <w:pPr>
        <w:pStyle w:val="9"/>
        <w:spacing w:after="0" w:line="249" w:lineRule="auto"/>
        <w:rPr>
          <w:rFonts w:hint="eastAsia"/>
          <w:color w:val="231F20"/>
        </w:rPr>
      </w:pPr>
      <w:r>
        <w:rPr>
          <w:rFonts w:hint="eastAsia"/>
          <w:color w:val="231F20"/>
        </w:rPr>
        <w:t>For more are the children of the desolate than of her who has a husband.”</w:t>
      </w:r>
    </w:p>
    <w:p w14:paraId="390DE528">
      <w:pPr>
        <w:pStyle w:val="9"/>
        <w:spacing w:after="0" w:line="249" w:lineRule="auto"/>
        <w:rPr>
          <w:rFonts w:hint="eastAsia"/>
          <w:color w:val="231F20"/>
        </w:rPr>
      </w:pPr>
      <w:r>
        <w:rPr>
          <w:rFonts w:hint="eastAsia"/>
          <w:color w:val="231F20"/>
        </w:rPr>
        <w:t>因为没有丈夫的，比有丈夫的儿女更多。”</w:t>
      </w:r>
    </w:p>
    <w:p w14:paraId="1C2F5DBD">
      <w:pPr>
        <w:pStyle w:val="9"/>
        <w:spacing w:after="0" w:line="249" w:lineRule="auto"/>
        <w:rPr>
          <w:rFonts w:hint="eastAsia"/>
          <w:color w:val="231F20"/>
        </w:rPr>
      </w:pPr>
    </w:p>
    <w:p w14:paraId="5FEB8629">
      <w:pPr>
        <w:pStyle w:val="9"/>
        <w:spacing w:after="0" w:line="249" w:lineRule="auto"/>
        <w:rPr>
          <w:rFonts w:hint="eastAsia"/>
          <w:color w:val="231F20"/>
        </w:rPr>
      </w:pPr>
      <w:r>
        <w:rPr>
          <w:rFonts w:hint="eastAsia"/>
          <w:color w:val="231F20"/>
        </w:rPr>
        <w:t>In order to understand Paul’s point, we need to know a little about the OTKP whose opening verse he cites here.</w:t>
      </w:r>
    </w:p>
    <w:p w14:paraId="6FBF7E8F">
      <w:pPr>
        <w:pStyle w:val="9"/>
        <w:spacing w:after="0" w:line="249" w:lineRule="auto"/>
        <w:rPr>
          <w:rFonts w:hint="eastAsia"/>
          <w:color w:val="231F20"/>
        </w:rPr>
      </w:pPr>
      <w:r>
        <w:rPr>
          <w:rFonts w:hint="eastAsia"/>
          <w:color w:val="231F20"/>
        </w:rPr>
        <w:t>为了理解保罗的观点，我们需要对这里他所引用的旧约国度预言（OTKP）的开篇经文有所了解。</w:t>
      </w:r>
    </w:p>
    <w:p w14:paraId="11FEA5D0">
      <w:pPr>
        <w:pStyle w:val="9"/>
        <w:spacing w:after="0" w:line="249" w:lineRule="auto"/>
        <w:rPr>
          <w:rFonts w:hint="eastAsia"/>
          <w:color w:val="231F20"/>
        </w:rPr>
      </w:pPr>
    </w:p>
    <w:p w14:paraId="5F6FE6BC">
      <w:pPr>
        <w:pStyle w:val="9"/>
        <w:spacing w:after="0" w:line="249" w:lineRule="auto"/>
        <w:rPr>
          <w:rFonts w:hint="eastAsia"/>
          <w:color w:val="231F20"/>
        </w:rPr>
      </w:pPr>
      <w:r>
        <w:rPr>
          <w:rFonts w:hint="eastAsia"/>
          <w:color w:val="231F20"/>
        </w:rPr>
        <w:t>It is—at least on the face of things—a word of promise and encouragement to the inhabitants of earthly Jerusalem; inhabitants of a city that soon will be attacked and destroyed by the Babylonians, even as they themselves are deported.</w:t>
      </w:r>
    </w:p>
    <w:p w14:paraId="3D82F8FB">
      <w:pPr>
        <w:pStyle w:val="9"/>
        <w:spacing w:after="0" w:line="249" w:lineRule="auto"/>
        <w:rPr>
          <w:rFonts w:hint="eastAsia"/>
          <w:color w:val="231F20"/>
        </w:rPr>
      </w:pPr>
      <w:r>
        <w:rPr>
          <w:rFonts w:hint="eastAsia"/>
          <w:color w:val="231F20"/>
        </w:rPr>
        <w:t>至少从表面上看，这是一个对应许和鼓励的话语，是给地上耶路撒冷的居民的；这座城的居民不久将被巴比伦人攻击和摧毁，他们自己也将被驱逐出境。</w:t>
      </w:r>
    </w:p>
    <w:p w14:paraId="361DD601">
      <w:pPr>
        <w:pStyle w:val="9"/>
        <w:spacing w:after="0" w:line="249" w:lineRule="auto"/>
        <w:rPr>
          <w:rFonts w:hint="eastAsia"/>
          <w:color w:val="231F20"/>
        </w:rPr>
      </w:pPr>
    </w:p>
    <w:p w14:paraId="6F9D8E54">
      <w:pPr>
        <w:pStyle w:val="9"/>
        <w:spacing w:after="0" w:line="249" w:lineRule="auto"/>
        <w:rPr>
          <w:rFonts w:hint="eastAsia"/>
          <w:color w:val="231F20"/>
        </w:rPr>
      </w:pPr>
      <w:r>
        <w:rPr>
          <w:rFonts w:hint="eastAsia"/>
          <w:color w:val="231F20"/>
        </w:rPr>
        <w:t>Therefore, speaking of (and to) the old Jerusalem, God promises a new.</w:t>
      </w:r>
    </w:p>
    <w:p w14:paraId="14E44446">
      <w:pPr>
        <w:pStyle w:val="9"/>
        <w:spacing w:after="0" w:line="249" w:lineRule="auto"/>
        <w:rPr>
          <w:rFonts w:hint="eastAsia"/>
          <w:color w:val="231F20"/>
        </w:rPr>
      </w:pPr>
      <w:r>
        <w:rPr>
          <w:rFonts w:hint="eastAsia"/>
          <w:color w:val="231F20"/>
        </w:rPr>
        <w:t>因此，论到（并对）旧耶路撒冷，上帝应许一个新的。</w:t>
      </w:r>
    </w:p>
    <w:p w14:paraId="575556D5">
      <w:pPr>
        <w:pStyle w:val="9"/>
        <w:spacing w:after="0" w:line="249" w:lineRule="auto"/>
        <w:rPr>
          <w:rFonts w:hint="eastAsia"/>
          <w:color w:val="231F20"/>
        </w:rPr>
      </w:pPr>
    </w:p>
    <w:p w14:paraId="55DEF885">
      <w:pPr>
        <w:pStyle w:val="9"/>
        <w:spacing w:after="0" w:line="249" w:lineRule="auto"/>
        <w:rPr>
          <w:rFonts w:hint="eastAsia"/>
          <w:color w:val="231F20"/>
        </w:rPr>
      </w:pPr>
      <w:r>
        <w:rPr>
          <w:rFonts w:hint="eastAsia"/>
          <w:color w:val="231F20"/>
        </w:rPr>
        <w:t>“Yes, once you were spiritually barren.</w:t>
      </w:r>
    </w:p>
    <w:p w14:paraId="3D940405">
      <w:pPr>
        <w:pStyle w:val="9"/>
        <w:spacing w:after="0" w:line="249" w:lineRule="auto"/>
        <w:rPr>
          <w:rFonts w:hint="eastAsia"/>
          <w:color w:val="231F20"/>
        </w:rPr>
      </w:pPr>
      <w:r>
        <w:rPr>
          <w:rFonts w:hint="eastAsia"/>
          <w:color w:val="231F20"/>
        </w:rPr>
        <w:t>“是的，你曾经在属灵上是不生育的。</w:t>
      </w:r>
    </w:p>
    <w:p w14:paraId="5B6A8632">
      <w:pPr>
        <w:pStyle w:val="9"/>
        <w:spacing w:after="0" w:line="249" w:lineRule="auto"/>
        <w:rPr>
          <w:rFonts w:hint="eastAsia"/>
          <w:color w:val="231F20"/>
        </w:rPr>
      </w:pPr>
    </w:p>
    <w:p w14:paraId="3A2B2404">
      <w:pPr>
        <w:pStyle w:val="9"/>
        <w:spacing w:after="0" w:line="249" w:lineRule="auto"/>
        <w:rPr>
          <w:rFonts w:hint="eastAsia"/>
          <w:color w:val="231F20"/>
        </w:rPr>
      </w:pPr>
      <w:r>
        <w:rPr>
          <w:rFonts w:hint="eastAsia"/>
          <w:color w:val="231F20"/>
        </w:rPr>
        <w:t>Yes, once you did not effectively travail, so as to bear the good spiritual fruit you should have.</w:t>
      </w:r>
    </w:p>
    <w:p w14:paraId="49D2F5DA">
      <w:pPr>
        <w:pStyle w:val="9"/>
        <w:spacing w:after="0" w:line="249" w:lineRule="auto"/>
        <w:rPr>
          <w:rFonts w:hint="eastAsia"/>
          <w:color w:val="231F20"/>
        </w:rPr>
      </w:pPr>
      <w:r>
        <w:rPr>
          <w:rFonts w:hint="eastAsia"/>
          <w:color w:val="231F20"/>
        </w:rPr>
        <w:t>是的，你曾经没有有效地生产，以结出你应有的美好属灵果子。</w:t>
      </w:r>
    </w:p>
    <w:p w14:paraId="0804E220">
      <w:pPr>
        <w:pStyle w:val="9"/>
        <w:spacing w:after="0" w:line="249" w:lineRule="auto"/>
        <w:rPr>
          <w:rFonts w:hint="eastAsia"/>
          <w:color w:val="231F20"/>
        </w:rPr>
      </w:pPr>
    </w:p>
    <w:p w14:paraId="1334B829">
      <w:pPr>
        <w:pStyle w:val="9"/>
        <w:spacing w:after="0" w:line="249" w:lineRule="auto"/>
        <w:rPr>
          <w:rFonts w:hint="eastAsia"/>
          <w:color w:val="231F20"/>
        </w:rPr>
      </w:pPr>
      <w:r>
        <w:rPr>
          <w:rFonts w:hint="eastAsia"/>
          <w:color w:val="231F20"/>
        </w:rPr>
        <w:t>But a better day is coming, and along with it, a better Jerusalem!</w:t>
      </w:r>
    </w:p>
    <w:p w14:paraId="694D413C">
      <w:pPr>
        <w:pStyle w:val="9"/>
        <w:spacing w:after="0" w:line="249" w:lineRule="auto"/>
        <w:rPr>
          <w:rFonts w:hint="eastAsia"/>
          <w:color w:val="231F20"/>
        </w:rPr>
      </w:pPr>
      <w:r>
        <w:rPr>
          <w:rFonts w:hint="eastAsia"/>
          <w:color w:val="231F20"/>
        </w:rPr>
        <w:t>但一个更美好的日子即将来临，随之而来的是一个更美好的耶路撒冷！</w:t>
      </w:r>
    </w:p>
    <w:p w14:paraId="02385B85">
      <w:pPr>
        <w:pStyle w:val="9"/>
        <w:spacing w:after="0" w:line="249" w:lineRule="auto"/>
        <w:rPr>
          <w:rFonts w:hint="eastAsia"/>
          <w:color w:val="231F20"/>
        </w:rPr>
      </w:pPr>
    </w:p>
    <w:p w14:paraId="0F92FAB6">
      <w:pPr>
        <w:pStyle w:val="9"/>
        <w:spacing w:after="0" w:line="249" w:lineRule="auto"/>
        <w:rPr>
          <w:rFonts w:hint="eastAsia"/>
          <w:color w:val="231F20"/>
        </w:rPr>
      </w:pPr>
      <w:r>
        <w:rPr>
          <w:rFonts w:hint="eastAsia"/>
          <w:color w:val="231F20"/>
        </w:rPr>
        <w:t>In that day, your sons will be many (54:1).</w:t>
      </w:r>
    </w:p>
    <w:p w14:paraId="24F43477">
      <w:pPr>
        <w:pStyle w:val="9"/>
        <w:spacing w:after="0" w:line="249" w:lineRule="auto"/>
        <w:rPr>
          <w:rFonts w:hint="eastAsia"/>
          <w:color w:val="231F20"/>
        </w:rPr>
      </w:pPr>
      <w:r>
        <w:rPr>
          <w:rFonts w:hint="eastAsia"/>
          <w:color w:val="231F20"/>
        </w:rPr>
        <w:t>在那日，你的儿子将众多（54:1）。</w:t>
      </w:r>
    </w:p>
    <w:p w14:paraId="0B89C6EB">
      <w:pPr>
        <w:pStyle w:val="9"/>
        <w:spacing w:after="0" w:line="249" w:lineRule="auto"/>
        <w:rPr>
          <w:rFonts w:hint="eastAsia"/>
          <w:color w:val="231F20"/>
        </w:rPr>
      </w:pPr>
    </w:p>
    <w:p w14:paraId="5C461C35">
      <w:pPr>
        <w:pStyle w:val="9"/>
        <w:spacing w:after="0" w:line="249" w:lineRule="auto"/>
        <w:rPr>
          <w:rFonts w:hint="eastAsia"/>
          <w:color w:val="231F20"/>
        </w:rPr>
      </w:pPr>
      <w:r>
        <w:rPr>
          <w:rFonts w:hint="eastAsia"/>
          <w:color w:val="231F20"/>
        </w:rPr>
        <w:t>Then you will grow, expand, and possess nations (54:3).</w:t>
      </w:r>
    </w:p>
    <w:p w14:paraId="282AAA43">
      <w:pPr>
        <w:pStyle w:val="9"/>
        <w:spacing w:after="0" w:line="249" w:lineRule="auto"/>
        <w:rPr>
          <w:rFonts w:hint="eastAsia"/>
          <w:color w:val="231F20"/>
        </w:rPr>
      </w:pPr>
      <w:r>
        <w:rPr>
          <w:rFonts w:hint="eastAsia"/>
          <w:color w:val="231F20"/>
        </w:rPr>
        <w:t>那时你将成长、扩张，并得列国为业（54:3）。</w:t>
      </w:r>
    </w:p>
    <w:p w14:paraId="6C3725CF">
      <w:pPr>
        <w:pStyle w:val="9"/>
        <w:spacing w:after="0" w:line="249" w:lineRule="auto"/>
        <w:rPr>
          <w:rFonts w:hint="eastAsia"/>
          <w:color w:val="231F20"/>
        </w:rPr>
      </w:pPr>
    </w:p>
    <w:p w14:paraId="7626E08B">
      <w:pPr>
        <w:pStyle w:val="9"/>
        <w:spacing w:after="0" w:line="249" w:lineRule="auto"/>
        <w:rPr>
          <w:rFonts w:hint="eastAsia"/>
          <w:color w:val="231F20"/>
        </w:rPr>
      </w:pPr>
      <w:r>
        <w:rPr>
          <w:rFonts w:hint="eastAsia"/>
          <w:color w:val="231F20"/>
        </w:rPr>
        <w:t>You will forget your former shame (54:4).</w:t>
      </w:r>
    </w:p>
    <w:p w14:paraId="029C95EA">
      <w:pPr>
        <w:pStyle w:val="9"/>
        <w:spacing w:after="0" w:line="249" w:lineRule="auto"/>
        <w:rPr>
          <w:rFonts w:hint="eastAsia"/>
          <w:color w:val="231F20"/>
        </w:rPr>
      </w:pPr>
      <w:r>
        <w:rPr>
          <w:rFonts w:hint="eastAsia"/>
          <w:color w:val="231F20"/>
        </w:rPr>
        <w:t>你必忘记从前的羞愧（54:4）。</w:t>
      </w:r>
    </w:p>
    <w:p w14:paraId="717CFA91">
      <w:pPr>
        <w:pStyle w:val="9"/>
        <w:spacing w:after="0" w:line="249" w:lineRule="auto"/>
        <w:rPr>
          <w:rFonts w:hint="eastAsia"/>
          <w:color w:val="231F20"/>
        </w:rPr>
      </w:pPr>
    </w:p>
    <w:p w14:paraId="4B4F98A3">
      <w:pPr>
        <w:pStyle w:val="9"/>
        <w:spacing w:after="0" w:line="249" w:lineRule="auto"/>
        <w:rPr>
          <w:rFonts w:hint="eastAsia"/>
          <w:color w:val="231F20"/>
        </w:rPr>
      </w:pPr>
      <w:r>
        <w:rPr>
          <w:rFonts w:hint="eastAsia"/>
          <w:color w:val="231F20"/>
        </w:rPr>
        <w:t>You will be married to your Maker and your Redeemer (54:5-6, John 3:29, Rom. 7:1-4, Eph. 5:25-27, Rev. 19:7, 21:9).</w:t>
      </w:r>
    </w:p>
    <w:p w14:paraId="5C97BFCE">
      <w:pPr>
        <w:pStyle w:val="9"/>
        <w:spacing w:after="0" w:line="249" w:lineRule="auto"/>
        <w:rPr>
          <w:rFonts w:hint="eastAsia"/>
          <w:color w:val="231F20"/>
        </w:rPr>
      </w:pPr>
      <w:r>
        <w:rPr>
          <w:rFonts w:hint="eastAsia"/>
          <w:color w:val="231F20"/>
        </w:rPr>
        <w:t>你必嫁与你的造物主和你的救赎主（54:5-6, 约翰福音 3:29, 罗马书 7:1-4, 以弗所书 5:25-27, 启示录 19:7, 21:9）。</w:t>
      </w:r>
    </w:p>
    <w:p w14:paraId="6D4F051F">
      <w:pPr>
        <w:pStyle w:val="9"/>
        <w:spacing w:after="0" w:line="249" w:lineRule="auto"/>
        <w:rPr>
          <w:rFonts w:hint="eastAsia"/>
          <w:color w:val="231F20"/>
        </w:rPr>
      </w:pPr>
    </w:p>
    <w:p w14:paraId="3FA0414E">
      <w:pPr>
        <w:pStyle w:val="9"/>
        <w:spacing w:after="0" w:line="249" w:lineRule="auto"/>
        <w:rPr>
          <w:rFonts w:hint="eastAsia"/>
          <w:color w:val="231F20"/>
        </w:rPr>
      </w:pPr>
      <w:r>
        <w:rPr>
          <w:rFonts w:hint="eastAsia"/>
          <w:color w:val="231F20"/>
        </w:rPr>
        <w:t>You will receive of his unchanging compassion (54:8-10).</w:t>
      </w:r>
    </w:p>
    <w:p w14:paraId="60DB4966">
      <w:pPr>
        <w:pStyle w:val="9"/>
        <w:spacing w:after="0" w:line="249" w:lineRule="auto"/>
        <w:rPr>
          <w:rFonts w:hint="eastAsia"/>
          <w:color w:val="231F20"/>
        </w:rPr>
      </w:pPr>
      <w:r>
        <w:rPr>
          <w:rFonts w:hint="eastAsia"/>
          <w:color w:val="231F20"/>
        </w:rPr>
        <w:t>你将领受祂不变的怜悯（54:8-10）。</w:t>
      </w:r>
    </w:p>
    <w:p w14:paraId="6BB0B0D5">
      <w:pPr>
        <w:pStyle w:val="9"/>
        <w:spacing w:after="0" w:line="249" w:lineRule="auto"/>
        <w:rPr>
          <w:rFonts w:hint="eastAsia"/>
          <w:color w:val="231F20"/>
        </w:rPr>
      </w:pPr>
    </w:p>
    <w:p w14:paraId="44F336F1">
      <w:pPr>
        <w:pStyle w:val="9"/>
        <w:spacing w:after="0" w:line="249" w:lineRule="auto"/>
        <w:rPr>
          <w:rFonts w:hint="eastAsia"/>
          <w:color w:val="231F20"/>
        </w:rPr>
      </w:pPr>
      <w:r>
        <w:rPr>
          <w:rFonts w:hint="eastAsia"/>
          <w:color w:val="231F20"/>
        </w:rPr>
        <w:t>Your foundations, walls, and battlements will all be made of precious stones (54:11-12, Rev. 21:9-21).</w:t>
      </w:r>
    </w:p>
    <w:p w14:paraId="218DA012">
      <w:pPr>
        <w:pStyle w:val="9"/>
        <w:spacing w:after="0" w:line="249" w:lineRule="auto"/>
        <w:rPr>
          <w:rFonts w:hint="eastAsia"/>
          <w:color w:val="231F20"/>
        </w:rPr>
      </w:pPr>
      <w:r>
        <w:rPr>
          <w:rFonts w:hint="eastAsia"/>
          <w:color w:val="231F20"/>
        </w:rPr>
        <w:t>你的根基、城墙和城垛都将用宝石建造（54:11-12, 启示录 21:9-21）。</w:t>
      </w:r>
    </w:p>
    <w:p w14:paraId="3FF98166">
      <w:pPr>
        <w:pStyle w:val="9"/>
        <w:spacing w:after="0" w:line="249" w:lineRule="auto"/>
        <w:rPr>
          <w:rFonts w:hint="eastAsia"/>
          <w:color w:val="231F20"/>
        </w:rPr>
      </w:pPr>
    </w:p>
    <w:p w14:paraId="0E6F81AA">
      <w:pPr>
        <w:pStyle w:val="9"/>
        <w:spacing w:after="0" w:line="249" w:lineRule="auto"/>
        <w:rPr>
          <w:rFonts w:hint="eastAsia"/>
          <w:color w:val="231F20"/>
        </w:rPr>
      </w:pPr>
      <w:r>
        <w:rPr>
          <w:rFonts w:hint="eastAsia"/>
          <w:color w:val="231F20"/>
        </w:rPr>
        <w:t>Your sons and daughters will all be taught by the LORD (54:13, John 6:45).</w:t>
      </w:r>
    </w:p>
    <w:p w14:paraId="4E7966C8">
      <w:pPr>
        <w:pStyle w:val="9"/>
        <w:spacing w:after="0" w:line="249" w:lineRule="auto"/>
        <w:rPr>
          <w:rFonts w:hint="eastAsia"/>
          <w:color w:val="231F20"/>
        </w:rPr>
      </w:pPr>
      <w:r>
        <w:rPr>
          <w:rFonts w:hint="eastAsia"/>
          <w:color w:val="231F20"/>
        </w:rPr>
        <w:t>你的儿女都必受耶和华的教训（54:13, 约翰福音 6:45）。</w:t>
      </w:r>
    </w:p>
    <w:p w14:paraId="56E5C8E1">
      <w:pPr>
        <w:pStyle w:val="9"/>
        <w:spacing w:after="0" w:line="249" w:lineRule="auto"/>
        <w:rPr>
          <w:rFonts w:hint="eastAsia"/>
          <w:color w:val="231F20"/>
        </w:rPr>
      </w:pPr>
    </w:p>
    <w:p w14:paraId="4B5B067B">
      <w:pPr>
        <w:pStyle w:val="9"/>
        <w:spacing w:after="0" w:line="249" w:lineRule="auto"/>
        <w:rPr>
          <w:rFonts w:hint="eastAsia"/>
          <w:color w:val="231F20"/>
        </w:rPr>
      </w:pPr>
      <w:r>
        <w:rPr>
          <w:rFonts w:hint="eastAsia"/>
          <w:color w:val="231F20"/>
        </w:rPr>
        <w:t>Yes, rejoice and shout for joy, because everlasting peace, security, and righteousness will soon be yours (54:13- 17)!”</w:t>
      </w:r>
    </w:p>
    <w:p w14:paraId="03990CA9">
      <w:pPr>
        <w:pStyle w:val="9"/>
        <w:spacing w:after="0" w:line="249" w:lineRule="auto"/>
        <w:rPr>
          <w:rFonts w:hint="eastAsia"/>
          <w:color w:val="231F20"/>
        </w:rPr>
      </w:pPr>
      <w:r>
        <w:rPr>
          <w:rFonts w:hint="eastAsia"/>
          <w:color w:val="231F20"/>
        </w:rPr>
        <w:t>是的，欢喜快乐吧，因为永恒的平安、安全和公义很快就将属于你了（54:13-17）！”</w:t>
      </w:r>
    </w:p>
    <w:p w14:paraId="16F18DDC">
      <w:pPr>
        <w:pStyle w:val="9"/>
        <w:spacing w:after="0" w:line="249" w:lineRule="auto"/>
        <w:rPr>
          <w:rFonts w:hint="eastAsia"/>
          <w:color w:val="231F20"/>
        </w:rPr>
      </w:pPr>
    </w:p>
    <w:p w14:paraId="23BE19AA">
      <w:pPr>
        <w:pStyle w:val="9"/>
        <w:spacing w:after="0" w:line="249" w:lineRule="auto"/>
        <w:rPr>
          <w:rFonts w:hint="eastAsia"/>
          <w:color w:val="231F20"/>
        </w:rPr>
      </w:pPr>
      <w:r>
        <w:rPr>
          <w:rFonts w:hint="eastAsia"/>
          <w:color w:val="231F20"/>
        </w:rPr>
        <w:t>Observing how Paul puts this prophecy to use among the Galatians, we realize immediately that he does not see it as having been fulfilled in the restoration of earthly Jerusalem under Cyrus.</w:t>
      </w:r>
    </w:p>
    <w:p w14:paraId="230FA725">
      <w:pPr>
        <w:pStyle w:val="9"/>
        <w:spacing w:after="0" w:line="249" w:lineRule="auto"/>
        <w:rPr>
          <w:rFonts w:hint="eastAsia"/>
          <w:color w:val="231F20"/>
        </w:rPr>
      </w:pPr>
      <w:r>
        <w:rPr>
          <w:rFonts w:hint="eastAsia"/>
          <w:color w:val="231F20"/>
        </w:rPr>
        <w:t>观察保罗如何在加拉太人中使用这个预言，我们立刻意识到他并不认为它在古列手下地上耶路撒冷的复兴中得到了应验。</w:t>
      </w:r>
    </w:p>
    <w:p w14:paraId="1F97B760">
      <w:pPr>
        <w:pStyle w:val="9"/>
        <w:spacing w:after="0" w:line="249" w:lineRule="auto"/>
        <w:rPr>
          <w:rFonts w:hint="eastAsia"/>
          <w:color w:val="231F20"/>
        </w:rPr>
      </w:pPr>
    </w:p>
    <w:p w14:paraId="58B13AA4">
      <w:pPr>
        <w:pStyle w:val="9"/>
        <w:spacing w:after="0" w:line="249" w:lineRule="auto"/>
        <w:rPr>
          <w:rFonts w:hint="eastAsia"/>
          <w:color w:val="231F20"/>
        </w:rPr>
      </w:pPr>
      <w:r>
        <w:rPr>
          <w:rFonts w:hint="eastAsia"/>
          <w:color w:val="231F20"/>
        </w:rPr>
        <w:t>Quite to the contrary, that Jerusalem and that Israel—being in the flesh and under the Law—are still in bondage to sin and condemnation, and nigh unto being cast out.</w:t>
      </w:r>
    </w:p>
    <w:p w14:paraId="549B9A56">
      <w:pPr>
        <w:pStyle w:val="9"/>
        <w:spacing w:after="0" w:line="249" w:lineRule="auto"/>
        <w:rPr>
          <w:rFonts w:hint="eastAsia"/>
          <w:color w:val="231F20"/>
        </w:rPr>
      </w:pPr>
      <w:r>
        <w:rPr>
          <w:rFonts w:hint="eastAsia"/>
          <w:color w:val="231F20"/>
        </w:rPr>
        <w:t>恰恰相反，那个耶路撒冷和那个以色列——既在肉体中，又在律法下——仍然在罪和定罪的捆绑中，并且快要被赶出去了。</w:t>
      </w:r>
    </w:p>
    <w:p w14:paraId="02CF09FB">
      <w:pPr>
        <w:pStyle w:val="9"/>
        <w:spacing w:after="0" w:line="249" w:lineRule="auto"/>
        <w:rPr>
          <w:rFonts w:hint="eastAsia"/>
          <w:color w:val="231F20"/>
        </w:rPr>
      </w:pPr>
    </w:p>
    <w:p w14:paraId="2DB23C21">
      <w:pPr>
        <w:pStyle w:val="9"/>
        <w:spacing w:after="0" w:line="249" w:lineRule="auto"/>
        <w:rPr>
          <w:rFonts w:hint="eastAsia"/>
          <w:color w:val="231F20"/>
        </w:rPr>
      </w:pPr>
      <w:r>
        <w:rPr>
          <w:rFonts w:hint="eastAsia"/>
          <w:color w:val="231F20"/>
        </w:rPr>
        <w:t>How, then, is it fulfilled?</w:t>
      </w:r>
    </w:p>
    <w:p w14:paraId="1A96D659">
      <w:pPr>
        <w:pStyle w:val="9"/>
        <w:spacing w:after="0" w:line="249" w:lineRule="auto"/>
        <w:rPr>
          <w:rFonts w:hint="eastAsia"/>
          <w:color w:val="231F20"/>
        </w:rPr>
      </w:pPr>
      <w:r>
        <w:rPr>
          <w:rFonts w:hint="eastAsia"/>
          <w:color w:val="231F20"/>
        </w:rPr>
        <w:t>那么，它是如何应验的呢？</w:t>
      </w:r>
    </w:p>
    <w:p w14:paraId="41C1B287">
      <w:pPr>
        <w:pStyle w:val="9"/>
        <w:spacing w:after="0" w:line="249" w:lineRule="auto"/>
        <w:rPr>
          <w:rFonts w:hint="eastAsia"/>
          <w:color w:val="231F20"/>
        </w:rPr>
      </w:pPr>
    </w:p>
    <w:p w14:paraId="29F29726">
      <w:pPr>
        <w:pStyle w:val="9"/>
        <w:spacing w:after="0" w:line="249" w:lineRule="auto"/>
        <w:rPr>
          <w:rFonts w:hint="eastAsia"/>
          <w:color w:val="231F20"/>
        </w:rPr>
      </w:pPr>
      <w:r>
        <w:rPr>
          <w:rFonts w:hint="eastAsia"/>
          <w:color w:val="231F20"/>
        </w:rPr>
        <w:t>Paul himself has just told us: It is fulfilled in the Jerusalem above, in all who are seated with Christ in the heavenly places (v. 26); it is fulfilled in the brethren, both Jew and Gentile (v. 28); it is fulfilled in the children of promise (v. 28); and it is fulfilled in those who are born according to the Spirit (v. 29).</w:t>
      </w:r>
    </w:p>
    <w:p w14:paraId="637F9CAA">
      <w:pPr>
        <w:pStyle w:val="9"/>
        <w:spacing w:after="0" w:line="249" w:lineRule="auto"/>
        <w:rPr>
          <w:rFonts w:hint="eastAsia"/>
          <w:color w:val="231F20"/>
        </w:rPr>
      </w:pPr>
      <w:r>
        <w:rPr>
          <w:rFonts w:hint="eastAsia"/>
          <w:color w:val="231F20"/>
        </w:rPr>
        <w:t>保罗自己刚刚告诉我们：它在天上的耶路撒冷，在所有与基督一同坐在天上的人中应验（26节）；它在弟兄们，无论是犹太人还是外邦人中应验（28节）；它在应许的儿女中应验（28节）；它在那些按着圣灵生的人中应验（29节）。</w:t>
      </w:r>
    </w:p>
    <w:p w14:paraId="29FED201">
      <w:pPr>
        <w:pStyle w:val="9"/>
        <w:spacing w:after="0" w:line="249" w:lineRule="auto"/>
        <w:rPr>
          <w:rFonts w:hint="eastAsia"/>
          <w:color w:val="231F20"/>
        </w:rPr>
      </w:pPr>
    </w:p>
    <w:p w14:paraId="5EC7E70B">
      <w:pPr>
        <w:pStyle w:val="9"/>
        <w:spacing w:after="0" w:line="249" w:lineRule="auto"/>
        <w:rPr>
          <w:rFonts w:hint="eastAsia"/>
          <w:color w:val="231F20"/>
        </w:rPr>
      </w:pPr>
      <w:r>
        <w:rPr>
          <w:rFonts w:hint="eastAsia"/>
          <w:color w:val="231F20"/>
        </w:rPr>
        <w:t>In short, it is fulfilled in the Church (Gal. 4:26-31).</w:t>
      </w:r>
    </w:p>
    <w:p w14:paraId="39BF95EE">
      <w:pPr>
        <w:pStyle w:val="9"/>
        <w:spacing w:after="0" w:line="249" w:lineRule="auto"/>
        <w:rPr>
          <w:rFonts w:hint="eastAsia"/>
          <w:color w:val="231F20"/>
        </w:rPr>
      </w:pPr>
      <w:r>
        <w:rPr>
          <w:rFonts w:hint="eastAsia"/>
          <w:color w:val="231F20"/>
        </w:rPr>
        <w:t>简而言之，它在教会中应验（加拉太书 4:26-31）。</w:t>
      </w:r>
    </w:p>
    <w:p w14:paraId="3E39B968">
      <w:pPr>
        <w:pStyle w:val="9"/>
        <w:spacing w:after="0" w:line="249" w:lineRule="auto"/>
        <w:rPr>
          <w:rFonts w:hint="eastAsia"/>
          <w:color w:val="231F20"/>
        </w:rPr>
      </w:pPr>
    </w:p>
    <w:p w14:paraId="0FD68CBF">
      <w:pPr>
        <w:pStyle w:val="9"/>
        <w:spacing w:after="0" w:line="249" w:lineRule="auto"/>
        <w:rPr>
          <w:rFonts w:hint="eastAsia"/>
          <w:color w:val="231F20"/>
        </w:rPr>
      </w:pPr>
      <w:r>
        <w:rPr>
          <w:rFonts w:hint="eastAsia"/>
          <w:color w:val="231F20"/>
        </w:rPr>
        <w:t>Therefore, the Galatians should rejoice.</w:t>
      </w:r>
    </w:p>
    <w:p w14:paraId="2609B4C2">
      <w:pPr>
        <w:pStyle w:val="9"/>
        <w:spacing w:after="0" w:line="249" w:lineRule="auto"/>
        <w:rPr>
          <w:rFonts w:hint="eastAsia"/>
          <w:color w:val="231F20"/>
        </w:rPr>
      </w:pPr>
      <w:r>
        <w:rPr>
          <w:rFonts w:hint="eastAsia"/>
          <w:color w:val="231F20"/>
        </w:rPr>
        <w:t>因此，加拉太人应当欢喜。</w:t>
      </w:r>
    </w:p>
    <w:p w14:paraId="7DA97767">
      <w:pPr>
        <w:pStyle w:val="9"/>
        <w:spacing w:after="0" w:line="249" w:lineRule="auto"/>
        <w:rPr>
          <w:rFonts w:hint="eastAsia"/>
          <w:color w:val="231F20"/>
        </w:rPr>
      </w:pPr>
    </w:p>
    <w:p w14:paraId="7C616442">
      <w:pPr>
        <w:pStyle w:val="9"/>
        <w:spacing w:after="0" w:line="249" w:lineRule="auto"/>
        <w:rPr>
          <w:rFonts w:hint="eastAsia"/>
          <w:color w:val="231F20"/>
        </w:rPr>
      </w:pPr>
      <w:r>
        <w:rPr>
          <w:rFonts w:hint="eastAsia"/>
          <w:color w:val="231F20"/>
        </w:rPr>
        <w:t>For just as Isaiah did indeed speak to desolate Jews, so too did he speak to desolate Gentiles.</w:t>
      </w:r>
    </w:p>
    <w:p w14:paraId="0E46BFCA">
      <w:pPr>
        <w:pStyle w:val="9"/>
        <w:spacing w:after="0" w:line="249" w:lineRule="auto"/>
        <w:rPr>
          <w:rFonts w:hint="eastAsia"/>
          <w:color w:val="231F20"/>
        </w:rPr>
      </w:pPr>
      <w:r>
        <w:rPr>
          <w:rFonts w:hint="eastAsia"/>
          <w:color w:val="231F20"/>
        </w:rPr>
        <w:t>因为正如以赛亚确实对荒凉的犹太人说话，祂也对荒凉的外邦人说话。</w:t>
      </w:r>
    </w:p>
    <w:p w14:paraId="2A03E6DC">
      <w:pPr>
        <w:pStyle w:val="9"/>
        <w:spacing w:after="0" w:line="249" w:lineRule="auto"/>
        <w:rPr>
          <w:rFonts w:hint="eastAsia"/>
          <w:color w:val="231F20"/>
        </w:rPr>
      </w:pPr>
    </w:p>
    <w:p w14:paraId="38E2B8B4">
      <w:pPr>
        <w:pStyle w:val="9"/>
        <w:spacing w:after="0" w:line="249" w:lineRule="auto"/>
        <w:rPr>
          <w:rFonts w:hint="eastAsia"/>
          <w:color w:val="231F20"/>
        </w:rPr>
      </w:pPr>
      <w:r>
        <w:rPr>
          <w:rFonts w:hint="eastAsia"/>
          <w:color w:val="231F20"/>
        </w:rPr>
        <w:t>They too were barren.</w:t>
      </w:r>
    </w:p>
    <w:p w14:paraId="608C5A41">
      <w:pPr>
        <w:pStyle w:val="9"/>
        <w:spacing w:after="0" w:line="249" w:lineRule="auto"/>
        <w:rPr>
          <w:rFonts w:hint="eastAsia"/>
          <w:color w:val="231F20"/>
        </w:rPr>
      </w:pPr>
      <w:r>
        <w:rPr>
          <w:rFonts w:hint="eastAsia"/>
          <w:color w:val="231F20"/>
        </w:rPr>
        <w:t>他们也是不生育的。</w:t>
      </w:r>
    </w:p>
    <w:p w14:paraId="321B8970">
      <w:pPr>
        <w:pStyle w:val="9"/>
        <w:spacing w:after="0" w:line="249" w:lineRule="auto"/>
        <w:rPr>
          <w:rFonts w:hint="eastAsia"/>
          <w:color w:val="231F20"/>
        </w:rPr>
      </w:pPr>
    </w:p>
    <w:p w14:paraId="553E040B">
      <w:pPr>
        <w:pStyle w:val="9"/>
        <w:spacing w:after="0" w:line="249" w:lineRule="auto"/>
        <w:rPr>
          <w:rFonts w:hint="eastAsia"/>
          <w:color w:val="231F20"/>
        </w:rPr>
      </w:pPr>
      <w:r>
        <w:rPr>
          <w:rFonts w:hint="eastAsia"/>
          <w:color w:val="231F20"/>
        </w:rPr>
        <w:t>They too did not bear.</w:t>
      </w:r>
    </w:p>
    <w:p w14:paraId="52CD3F8F">
      <w:pPr>
        <w:pStyle w:val="9"/>
        <w:spacing w:after="0" w:line="249" w:lineRule="auto"/>
        <w:rPr>
          <w:rFonts w:hint="eastAsia"/>
          <w:color w:val="231F20"/>
        </w:rPr>
      </w:pPr>
      <w:r>
        <w:rPr>
          <w:rFonts w:hint="eastAsia"/>
          <w:color w:val="231F20"/>
        </w:rPr>
        <w:t>他们也未曾生育。</w:t>
      </w:r>
    </w:p>
    <w:p w14:paraId="0DA2FD83">
      <w:pPr>
        <w:pStyle w:val="9"/>
        <w:spacing w:after="0" w:line="249" w:lineRule="auto"/>
        <w:rPr>
          <w:rFonts w:hint="eastAsia"/>
          <w:color w:val="231F20"/>
        </w:rPr>
      </w:pPr>
    </w:p>
    <w:p w14:paraId="0483B71D">
      <w:pPr>
        <w:pStyle w:val="9"/>
        <w:spacing w:after="0" w:line="249" w:lineRule="auto"/>
        <w:rPr>
          <w:rFonts w:hint="eastAsia"/>
          <w:color w:val="231F20"/>
        </w:rPr>
      </w:pPr>
      <w:r>
        <w:rPr>
          <w:rFonts w:hint="eastAsia"/>
          <w:color w:val="231F20"/>
        </w:rPr>
        <w:t>They too were in bondage (Gal. 4:9).</w:t>
      </w:r>
    </w:p>
    <w:p w14:paraId="1DCD2FBE">
      <w:pPr>
        <w:pStyle w:val="9"/>
        <w:spacing w:after="0" w:line="249" w:lineRule="auto"/>
        <w:rPr>
          <w:rFonts w:hint="eastAsia"/>
          <w:color w:val="231F20"/>
        </w:rPr>
      </w:pPr>
      <w:r>
        <w:rPr>
          <w:rFonts w:hint="eastAsia"/>
          <w:color w:val="231F20"/>
        </w:rPr>
        <w:t>他们也曾被捆绑（加拉太书 4:9）。</w:t>
      </w:r>
    </w:p>
    <w:p w14:paraId="279DB290">
      <w:pPr>
        <w:pStyle w:val="9"/>
        <w:spacing w:after="0" w:line="249" w:lineRule="auto"/>
        <w:rPr>
          <w:rFonts w:hint="eastAsia"/>
          <w:color w:val="231F20"/>
        </w:rPr>
      </w:pPr>
    </w:p>
    <w:p w14:paraId="411A98D4">
      <w:pPr>
        <w:pStyle w:val="9"/>
        <w:spacing w:after="0" w:line="249" w:lineRule="auto"/>
        <w:rPr>
          <w:rFonts w:hint="eastAsia"/>
          <w:color w:val="231F20"/>
        </w:rPr>
      </w:pPr>
      <w:r>
        <w:rPr>
          <w:rFonts w:hint="eastAsia"/>
          <w:color w:val="231F20"/>
        </w:rPr>
        <w:t>Yet they too—like their Jewish brethren in Christ—have been born from above through the faithful preaching of the Jerusalem that is seated above— the Church.</w:t>
      </w:r>
    </w:p>
    <w:p w14:paraId="2BC8A6EE">
      <w:pPr>
        <w:pStyle w:val="9"/>
        <w:spacing w:after="0" w:line="249" w:lineRule="auto"/>
        <w:rPr>
          <w:rFonts w:hint="eastAsia"/>
          <w:color w:val="231F20"/>
        </w:rPr>
      </w:pPr>
      <w:r>
        <w:rPr>
          <w:rFonts w:hint="eastAsia"/>
          <w:color w:val="231F20"/>
        </w:rPr>
        <w:t>然而，他们也——像他们在基督里的犹太弟兄一样——通过对那坐在天上的耶路撒冷——即教会——的忠实传讲而从上头生了。</w:t>
      </w:r>
    </w:p>
    <w:p w14:paraId="3DDDEC9F">
      <w:pPr>
        <w:pStyle w:val="9"/>
        <w:spacing w:after="0" w:line="249" w:lineRule="auto"/>
        <w:rPr>
          <w:rFonts w:hint="eastAsia"/>
          <w:color w:val="231F20"/>
        </w:rPr>
      </w:pPr>
    </w:p>
    <w:p w14:paraId="68F5AA2B">
      <w:pPr>
        <w:pStyle w:val="9"/>
        <w:spacing w:after="0" w:line="249" w:lineRule="auto"/>
        <w:rPr>
          <w:rFonts w:hint="eastAsia"/>
          <w:color w:val="231F20"/>
        </w:rPr>
      </w:pPr>
      <w:r>
        <w:rPr>
          <w:rFonts w:hint="eastAsia"/>
          <w:color w:val="231F20"/>
        </w:rPr>
        <w:t>And so, having the Church as their Mother, they too have become part of the Bride.</w:t>
      </w:r>
    </w:p>
    <w:p w14:paraId="0643326D">
      <w:pPr>
        <w:pStyle w:val="9"/>
        <w:spacing w:after="0" w:line="249" w:lineRule="auto"/>
        <w:rPr>
          <w:rFonts w:hint="eastAsia"/>
          <w:color w:val="231F20"/>
        </w:rPr>
      </w:pPr>
      <w:r>
        <w:rPr>
          <w:rFonts w:hint="eastAsia"/>
          <w:color w:val="231F20"/>
        </w:rPr>
        <w:t>因此，既以教会为母，他们也成了新妇的一部分。</w:t>
      </w:r>
    </w:p>
    <w:p w14:paraId="7CD9386D">
      <w:pPr>
        <w:pStyle w:val="9"/>
        <w:spacing w:after="0" w:line="249" w:lineRule="auto"/>
        <w:rPr>
          <w:rFonts w:hint="eastAsia"/>
          <w:color w:val="231F20"/>
        </w:rPr>
      </w:pPr>
    </w:p>
    <w:p w14:paraId="61576CF1">
      <w:pPr>
        <w:pStyle w:val="9"/>
        <w:spacing w:after="0" w:line="249" w:lineRule="auto"/>
        <w:rPr>
          <w:rFonts w:hint="eastAsia"/>
          <w:color w:val="231F20"/>
        </w:rPr>
      </w:pPr>
      <w:r>
        <w:rPr>
          <w:rFonts w:hint="eastAsia"/>
          <w:color w:val="231F20"/>
        </w:rPr>
        <w:t>Henceforth, just as Isaiah said, they are married to their Maker and their Redeemer.</w:t>
      </w:r>
    </w:p>
    <w:p w14:paraId="3BACFB8D">
      <w:pPr>
        <w:pStyle w:val="9"/>
        <w:spacing w:after="0" w:line="249" w:lineRule="auto"/>
        <w:rPr>
          <w:rFonts w:hint="eastAsia"/>
          <w:color w:val="231F20"/>
        </w:rPr>
      </w:pPr>
      <w:r>
        <w:rPr>
          <w:rFonts w:hint="eastAsia"/>
          <w:color w:val="231F20"/>
        </w:rPr>
        <w:t>从此以后，正如以赛亚所说，他们嫁给了他们的造物主和他们的救赎主。</w:t>
      </w:r>
    </w:p>
    <w:p w14:paraId="7F6DD900">
      <w:pPr>
        <w:pStyle w:val="9"/>
        <w:spacing w:after="0" w:line="249" w:lineRule="auto"/>
        <w:rPr>
          <w:rFonts w:hint="eastAsia"/>
          <w:color w:val="231F20"/>
        </w:rPr>
      </w:pPr>
    </w:p>
    <w:p w14:paraId="52D9CE1D">
      <w:pPr>
        <w:pStyle w:val="9"/>
        <w:spacing w:after="0" w:line="249" w:lineRule="auto"/>
        <w:rPr>
          <w:rFonts w:hint="eastAsia"/>
          <w:color w:val="231F20"/>
        </w:rPr>
      </w:pPr>
      <w:r>
        <w:rPr>
          <w:rFonts w:hint="eastAsia"/>
          <w:color w:val="231F20"/>
        </w:rPr>
        <w:t>Henceforth, they will be taught by him, protected by him, adorned by him, and everlastingly fruitful with him.</w:t>
      </w:r>
    </w:p>
    <w:p w14:paraId="240152C0">
      <w:pPr>
        <w:pStyle w:val="9"/>
        <w:spacing w:after="0" w:line="249" w:lineRule="auto"/>
        <w:rPr>
          <w:rFonts w:hint="eastAsia"/>
          <w:color w:val="231F20"/>
        </w:rPr>
      </w:pPr>
      <w:r>
        <w:rPr>
          <w:rFonts w:hint="eastAsia"/>
          <w:color w:val="231F20"/>
        </w:rPr>
        <w:t>从此以后，他们将受祂的教导，被祂保护，被祂妆饰，并与祂永远多结果子。</w:t>
      </w:r>
    </w:p>
    <w:p w14:paraId="05CE1B37">
      <w:pPr>
        <w:pStyle w:val="9"/>
        <w:spacing w:after="0" w:line="249" w:lineRule="auto"/>
        <w:rPr>
          <w:rFonts w:hint="eastAsia"/>
          <w:color w:val="231F20"/>
        </w:rPr>
      </w:pPr>
    </w:p>
    <w:p w14:paraId="0EAAA749">
      <w:pPr>
        <w:pStyle w:val="9"/>
        <w:spacing w:after="0" w:line="249" w:lineRule="auto"/>
        <w:rPr>
          <w:rFonts w:hint="eastAsia"/>
          <w:color w:val="231F20"/>
        </w:rPr>
      </w:pPr>
      <w:r>
        <w:rPr>
          <w:rFonts w:hint="eastAsia"/>
          <w:color w:val="231F20"/>
        </w:rPr>
        <w:t>Therefore, let every Christian—Jew or Gentile—break forth and shout for joy, for by God’s mercy and grace in Christ, She who once was altogether desolate has become the most fruitful Woman of all!</w:t>
      </w:r>
    </w:p>
    <w:p w14:paraId="2E552725">
      <w:pPr>
        <w:pStyle w:val="9"/>
        <w:spacing w:after="0" w:line="249" w:lineRule="auto"/>
        <w:rPr>
          <w:rFonts w:hint="eastAsia"/>
          <w:color w:val="231F20"/>
        </w:rPr>
      </w:pPr>
      <w:r>
        <w:rPr>
          <w:rFonts w:hint="eastAsia"/>
          <w:color w:val="231F20"/>
        </w:rPr>
        <w:t>因此，让每一个基督徒——无论是犹太人还是外邦人——都欢呼雀跃吧，因为藉着上帝在基督里的怜悯和恩典，那位曾经完全荒凉的她，已成为所有妇人中最有生育能力的！</w:t>
      </w:r>
    </w:p>
    <w:p w14:paraId="1821CAF5">
      <w:pPr>
        <w:pStyle w:val="9"/>
        <w:spacing w:after="0" w:line="249" w:lineRule="auto"/>
        <w:rPr>
          <w:rFonts w:hint="eastAsia"/>
          <w:color w:val="231F20"/>
        </w:rPr>
      </w:pPr>
    </w:p>
    <w:p w14:paraId="07DBCF33">
      <w:pPr>
        <w:pStyle w:val="9"/>
        <w:spacing w:after="0" w:line="249" w:lineRule="auto"/>
        <w:rPr>
          <w:rFonts w:hint="eastAsia"/>
          <w:color w:val="231F20"/>
        </w:rPr>
      </w:pPr>
      <w:r>
        <w:rPr>
          <w:rFonts w:hint="eastAsia"/>
          <w:color w:val="231F20"/>
        </w:rPr>
        <w:t>11.A New Covenant with the House of Israel</w:t>
      </w:r>
    </w:p>
    <w:p w14:paraId="06450F65">
      <w:pPr>
        <w:pStyle w:val="9"/>
        <w:spacing w:after="0" w:line="249" w:lineRule="auto"/>
        <w:rPr>
          <w:rFonts w:hint="eastAsia"/>
          <w:color w:val="231F20"/>
        </w:rPr>
      </w:pPr>
      <w:r>
        <w:rPr>
          <w:rFonts w:hint="eastAsia"/>
          <w:color w:val="231F20"/>
        </w:rPr>
        <w:t>11.与以色列家立的新约</w:t>
      </w:r>
    </w:p>
    <w:p w14:paraId="0AE5659C">
      <w:pPr>
        <w:pStyle w:val="9"/>
        <w:spacing w:after="0" w:line="249" w:lineRule="auto"/>
        <w:rPr>
          <w:rFonts w:hint="eastAsia"/>
          <w:color w:val="231F20"/>
        </w:rPr>
      </w:pPr>
    </w:p>
    <w:p w14:paraId="6057F69F">
      <w:pPr>
        <w:pStyle w:val="9"/>
        <w:spacing w:after="0" w:line="249" w:lineRule="auto"/>
        <w:rPr>
          <w:rFonts w:hint="eastAsia"/>
          <w:color w:val="231F20"/>
        </w:rPr>
      </w:pPr>
      <w:r>
        <w:rPr>
          <w:rFonts w:hint="eastAsia"/>
          <w:color w:val="231F20"/>
        </w:rPr>
        <w:t>(Hebrews 8:1-13, Jeremiah 31:31-34)</w:t>
      </w:r>
    </w:p>
    <w:p w14:paraId="6704DDED">
      <w:pPr>
        <w:pStyle w:val="9"/>
        <w:spacing w:after="0" w:line="249" w:lineRule="auto"/>
        <w:rPr>
          <w:rFonts w:hint="eastAsia"/>
          <w:color w:val="231F20"/>
        </w:rPr>
      </w:pPr>
      <w:r>
        <w:rPr>
          <w:rFonts w:hint="eastAsia"/>
          <w:color w:val="231F20"/>
        </w:rPr>
        <w:t>（希伯来书 8:1-13, 耶利米书 31:31-34）</w:t>
      </w:r>
    </w:p>
    <w:p w14:paraId="02028970">
      <w:pPr>
        <w:pStyle w:val="9"/>
        <w:spacing w:after="0" w:line="249" w:lineRule="auto"/>
        <w:rPr>
          <w:rFonts w:hint="eastAsia"/>
          <w:color w:val="231F20"/>
        </w:rPr>
      </w:pPr>
    </w:p>
    <w:p w14:paraId="76201362">
      <w:pPr>
        <w:pStyle w:val="9"/>
        <w:spacing w:after="0" w:line="249" w:lineRule="auto"/>
        <w:rPr>
          <w:rFonts w:hint="eastAsia"/>
          <w:color w:val="231F20"/>
        </w:rPr>
      </w:pPr>
      <w:r>
        <w:rPr>
          <w:rFonts w:hint="eastAsia"/>
          <w:color w:val="231F20"/>
        </w:rPr>
        <w:t>Though we have touched on this text more than once in the course of our journey, it’s implications are of such great eschatological importance that we must consider it here at greater length.</w:t>
      </w:r>
    </w:p>
    <w:p w14:paraId="2807408A">
      <w:pPr>
        <w:pStyle w:val="9"/>
        <w:spacing w:after="0" w:line="249" w:lineRule="auto"/>
        <w:rPr>
          <w:rFonts w:hint="eastAsia"/>
          <w:color w:val="231F20"/>
        </w:rPr>
      </w:pPr>
      <w:r>
        <w:rPr>
          <w:rFonts w:hint="eastAsia"/>
          <w:color w:val="231F20"/>
        </w:rPr>
        <w:t>虽然我们在旅程中已不止一次地触及这段经文，但它的含义具有如此重大的末世论意义，我们必须在此更详细地加以考虑。</w:t>
      </w:r>
    </w:p>
    <w:p w14:paraId="63AEE146">
      <w:pPr>
        <w:pStyle w:val="9"/>
        <w:spacing w:after="0" w:line="249" w:lineRule="auto"/>
        <w:rPr>
          <w:rFonts w:hint="eastAsia"/>
          <w:color w:val="231F20"/>
        </w:rPr>
      </w:pPr>
    </w:p>
    <w:p w14:paraId="363BE841">
      <w:pPr>
        <w:pStyle w:val="9"/>
        <w:spacing w:after="0" w:line="249" w:lineRule="auto"/>
        <w:rPr>
          <w:rFonts w:hint="eastAsia"/>
          <w:color w:val="231F20"/>
        </w:rPr>
      </w:pPr>
      <w:r>
        <w:rPr>
          <w:rFonts w:hint="eastAsia"/>
          <w:color w:val="231F20"/>
        </w:rPr>
        <w:t>We remember that the anonymous author of the epistle to the Hebrews is writing largely to Jewish Christians who, under various pressures, are in danger of forsaking the all-sufficient Christ and drifting back into a now- defunct Judaism.</w:t>
      </w:r>
    </w:p>
    <w:p w14:paraId="6817B39B">
      <w:pPr>
        <w:pStyle w:val="9"/>
        <w:spacing w:after="0" w:line="249" w:lineRule="auto"/>
        <w:rPr>
          <w:rFonts w:hint="eastAsia"/>
          <w:color w:val="231F20"/>
        </w:rPr>
      </w:pPr>
      <w:r>
        <w:rPr>
          <w:rFonts w:hint="eastAsia"/>
          <w:color w:val="231F20"/>
        </w:rPr>
        <w:t>我们记得，希伯来书的匿名作者主要是写给犹太基督徒，他们在各种压力下，有背弃全备的基督、漂回现已失效的犹太教的危险。</w:t>
      </w:r>
    </w:p>
    <w:p w14:paraId="7E65A79B">
      <w:pPr>
        <w:pStyle w:val="9"/>
        <w:spacing w:after="0" w:line="249" w:lineRule="auto"/>
        <w:rPr>
          <w:rFonts w:hint="eastAsia"/>
          <w:color w:val="231F20"/>
        </w:rPr>
      </w:pPr>
    </w:p>
    <w:p w14:paraId="20F5935F">
      <w:pPr>
        <w:pStyle w:val="9"/>
        <w:spacing w:after="0" w:line="249" w:lineRule="auto"/>
        <w:rPr>
          <w:rFonts w:hint="eastAsia"/>
          <w:color w:val="231F20"/>
        </w:rPr>
      </w:pPr>
      <w:r>
        <w:rPr>
          <w:rFonts w:hint="eastAsia"/>
          <w:color w:val="231F20"/>
        </w:rPr>
        <w:t>In the course of appealing to them, he has demonstrated his expertise in the NCH by contrasting the imperfections of the OT Levitical priesthood with the perfections of Christ’s priesthood, a priesthood that was promised in OT times (Gen. 14:18-20, Psalm 110:1f).</w:t>
      </w:r>
    </w:p>
    <w:p w14:paraId="46D5F781">
      <w:pPr>
        <w:pStyle w:val="9"/>
        <w:spacing w:after="0" w:line="249" w:lineRule="auto"/>
        <w:rPr>
          <w:rFonts w:hint="eastAsia"/>
          <w:color w:val="231F20"/>
        </w:rPr>
      </w:pPr>
      <w:r>
        <w:rPr>
          <w:rFonts w:hint="eastAsia"/>
          <w:color w:val="231F20"/>
        </w:rPr>
        <w:t>在向他们呼吁的过程中，祂通过对比旧约利未祭司职分的不完全与基督祭司职分的完全，展示了祂在新约解释学（NCH）上的专长，基督的祭司职分是在旧约时代应许的（创世记 14:18-20, 诗篇 110:1及后文）。</w:t>
      </w:r>
    </w:p>
    <w:p w14:paraId="471685DC">
      <w:pPr>
        <w:pStyle w:val="9"/>
        <w:spacing w:after="0" w:line="249" w:lineRule="auto"/>
        <w:rPr>
          <w:rFonts w:hint="eastAsia"/>
          <w:color w:val="231F20"/>
        </w:rPr>
      </w:pPr>
    </w:p>
    <w:p w14:paraId="1C139A3A">
      <w:pPr>
        <w:pStyle w:val="9"/>
        <w:spacing w:after="0" w:line="249" w:lineRule="auto"/>
        <w:rPr>
          <w:rFonts w:hint="eastAsia"/>
          <w:color w:val="231F20"/>
        </w:rPr>
      </w:pPr>
      <w:r>
        <w:rPr>
          <w:rFonts w:hint="eastAsia"/>
          <w:color w:val="231F20"/>
        </w:rPr>
        <w:t>As he begins chapter 8, the writer sums up his argument, declaring that Christ is the true High Priest, the true Sacrifice, and the true minister of the true (i.e., heavenly) Tabernacle; and that the earthly OT analogues to these true, heavenly, and eternal realities were mere “copies and shadows” (8:5).</w:t>
      </w:r>
    </w:p>
    <w:p w14:paraId="5DA73474">
      <w:pPr>
        <w:pStyle w:val="9"/>
        <w:spacing w:after="0" w:line="249" w:lineRule="auto"/>
        <w:rPr>
          <w:rFonts w:hint="eastAsia"/>
          <w:color w:val="231F20"/>
        </w:rPr>
      </w:pPr>
      <w:r>
        <w:rPr>
          <w:rFonts w:hint="eastAsia"/>
          <w:color w:val="231F20"/>
        </w:rPr>
        <w:t>当祂开始第8章时，作者总结了他的论点，宣告基督是真正的大祭司、真正的祭物和真正的（即属天的）会幕的执事；并且，这些真实的、属天的、永恒的现实在地上的旧约对应物，仅仅是“副本和影儿”（8:5）。</w:t>
      </w:r>
    </w:p>
    <w:p w14:paraId="29B0B46B">
      <w:pPr>
        <w:pStyle w:val="9"/>
        <w:spacing w:after="0" w:line="249" w:lineRule="auto"/>
        <w:rPr>
          <w:rFonts w:hint="eastAsia"/>
          <w:color w:val="231F20"/>
        </w:rPr>
      </w:pPr>
    </w:p>
    <w:p w14:paraId="254F5951">
      <w:pPr>
        <w:pStyle w:val="9"/>
        <w:spacing w:after="0" w:line="249" w:lineRule="auto"/>
        <w:rPr>
          <w:rFonts w:hint="eastAsia"/>
          <w:color w:val="231F20"/>
        </w:rPr>
      </w:pPr>
      <w:r>
        <w:rPr>
          <w:rFonts w:hint="eastAsia"/>
          <w:color w:val="231F20"/>
        </w:rPr>
        <w:t>Then he introduces the main point of the chapter: the superiority of the New Covenant mediated by Christ, a covenant that not only brings in a better priesthood, but also extends better promises to its human parties (8:6).</w:t>
      </w:r>
    </w:p>
    <w:p w14:paraId="44C2D661">
      <w:pPr>
        <w:pStyle w:val="9"/>
        <w:spacing w:after="0" w:line="249" w:lineRule="auto"/>
        <w:rPr>
          <w:rFonts w:hint="eastAsia"/>
          <w:color w:val="231F20"/>
        </w:rPr>
      </w:pPr>
      <w:r>
        <w:rPr>
          <w:rFonts w:hint="eastAsia"/>
          <w:color w:val="231F20"/>
        </w:rPr>
        <w:t>然后，祂介绍了本章的要点：由基督作中保的新约的优越性，这个约不仅带来了一个更好的祭司职分，也向其人类立约方延伸了更好的应许（8:6）。</w:t>
      </w:r>
    </w:p>
    <w:p w14:paraId="787250FE">
      <w:pPr>
        <w:pStyle w:val="9"/>
        <w:spacing w:after="0" w:line="249" w:lineRule="auto"/>
        <w:rPr>
          <w:rFonts w:hint="eastAsia"/>
          <w:color w:val="231F20"/>
        </w:rPr>
      </w:pPr>
    </w:p>
    <w:p w14:paraId="5810A3B8">
      <w:pPr>
        <w:pStyle w:val="9"/>
        <w:spacing w:after="0" w:line="249" w:lineRule="auto"/>
        <w:rPr>
          <w:rFonts w:hint="eastAsia"/>
          <w:color w:val="231F20"/>
        </w:rPr>
      </w:pPr>
      <w:r>
        <w:rPr>
          <w:rFonts w:hint="eastAsia"/>
          <w:color w:val="231F20"/>
        </w:rPr>
        <w:t>In an effort to seal his argument among his Jewish kinsmen, he also brings forth as a witness the Hebrew Scriptures themselves, citing Jeremiah 31:31-34:</w:t>
      </w:r>
    </w:p>
    <w:p w14:paraId="55ED9340">
      <w:pPr>
        <w:pStyle w:val="9"/>
        <w:spacing w:after="0" w:line="249" w:lineRule="auto"/>
        <w:rPr>
          <w:rFonts w:hint="eastAsia"/>
          <w:color w:val="231F20"/>
        </w:rPr>
      </w:pPr>
      <w:r>
        <w:rPr>
          <w:rFonts w:hint="eastAsia"/>
          <w:color w:val="231F20"/>
        </w:rPr>
        <w:t>为了在他的犹太同胞中巩固他的论点，祂还以希伯来圣经本身为证，引用了耶利米书 31:31-34：</w:t>
      </w:r>
    </w:p>
    <w:p w14:paraId="4E41BCA5">
      <w:pPr>
        <w:pStyle w:val="9"/>
        <w:spacing w:after="0" w:line="249" w:lineRule="auto"/>
        <w:rPr>
          <w:rFonts w:hint="eastAsia"/>
          <w:color w:val="231F20"/>
        </w:rPr>
      </w:pPr>
    </w:p>
    <w:p w14:paraId="2F0837F2">
      <w:pPr>
        <w:pStyle w:val="9"/>
        <w:spacing w:after="0" w:line="249" w:lineRule="auto"/>
        <w:rPr>
          <w:rFonts w:hint="eastAsia"/>
          <w:color w:val="231F20"/>
        </w:rPr>
      </w:pPr>
      <w:r>
        <w:rPr>
          <w:rFonts w:hint="eastAsia"/>
          <w:color w:val="231F20"/>
        </w:rPr>
        <w:t>“Behold, days are coming,” says the LORD, “when I will make a new covenant with the house of Israel and with the house of Judah, not like the covenant which I made with their fathers in the day I took them by the hand to lead them out of the land of Egypt, for they did not continue in My covenant, and I turned away from them,” declares the LORD.</w:t>
      </w:r>
    </w:p>
    <w:p w14:paraId="4AC5C37F">
      <w:pPr>
        <w:pStyle w:val="9"/>
        <w:spacing w:after="0" w:line="249" w:lineRule="auto"/>
        <w:rPr>
          <w:rFonts w:hint="eastAsia"/>
          <w:color w:val="231F20"/>
        </w:rPr>
      </w:pPr>
      <w:r>
        <w:rPr>
          <w:rFonts w:hint="eastAsia"/>
          <w:color w:val="231F20"/>
        </w:rPr>
        <w:t>耶和华说：“看哪，日子将到，我要与以色列家和犹大家另立新约，不像我拉着他们祖宗的手，领他们出埃及地的时候，与他们所立的约。因为他们不恒心守我的约，我也不理他们，”这是主说的。</w:t>
      </w:r>
    </w:p>
    <w:p w14:paraId="73B097F8">
      <w:pPr>
        <w:pStyle w:val="9"/>
        <w:spacing w:after="0" w:line="249" w:lineRule="auto"/>
        <w:rPr>
          <w:rFonts w:hint="eastAsia"/>
          <w:color w:val="231F20"/>
        </w:rPr>
      </w:pPr>
    </w:p>
    <w:p w14:paraId="02E0A419">
      <w:pPr>
        <w:pStyle w:val="9"/>
        <w:spacing w:after="0" w:line="249" w:lineRule="auto"/>
        <w:rPr>
          <w:rFonts w:hint="eastAsia"/>
          <w:color w:val="231F20"/>
        </w:rPr>
      </w:pPr>
      <w:r>
        <w:rPr>
          <w:rFonts w:hint="eastAsia"/>
          <w:color w:val="231F20"/>
        </w:rPr>
        <w:t>“For this is the covenant that I will make with the house of Israel after those days, says the LORD: I will put My laws into their minds, and I will write them upon their hearts; and I will be their God, and they shall be My people.</w:t>
      </w:r>
    </w:p>
    <w:p w14:paraId="7A660080">
      <w:pPr>
        <w:pStyle w:val="9"/>
        <w:spacing w:after="0" w:line="249" w:lineRule="auto"/>
        <w:rPr>
          <w:rFonts w:hint="eastAsia"/>
          <w:color w:val="231F20"/>
        </w:rPr>
      </w:pPr>
      <w:r>
        <w:rPr>
          <w:rFonts w:hint="eastAsia"/>
          <w:color w:val="231F20"/>
        </w:rPr>
        <w:t>耶和华说：“那些日子以后，我与以色列家所立的约乃是这样：我要将我的律法放在他们里面，写在他们心上；我要作他们的上帝，他们要作我的子民。</w:t>
      </w:r>
    </w:p>
    <w:p w14:paraId="634CD55A">
      <w:pPr>
        <w:pStyle w:val="9"/>
        <w:spacing w:after="0" w:line="249" w:lineRule="auto"/>
        <w:rPr>
          <w:rFonts w:hint="eastAsia"/>
          <w:color w:val="231F20"/>
        </w:rPr>
      </w:pPr>
    </w:p>
    <w:p w14:paraId="1BE80423">
      <w:pPr>
        <w:pStyle w:val="9"/>
        <w:spacing w:after="0" w:line="249" w:lineRule="auto"/>
        <w:rPr>
          <w:rFonts w:hint="eastAsia"/>
          <w:color w:val="231F20"/>
        </w:rPr>
      </w:pPr>
      <w:r>
        <w:rPr>
          <w:rFonts w:hint="eastAsia"/>
          <w:color w:val="231F20"/>
        </w:rPr>
        <w:t>And they shall not teach every one his neighbor and every one his brother, saying, ‘Know the LORD,’ for all shall know Me, from the least to the greatest of them.</w:t>
      </w:r>
    </w:p>
    <w:p w14:paraId="568F583B">
      <w:pPr>
        <w:pStyle w:val="9"/>
        <w:spacing w:after="0" w:line="249" w:lineRule="auto"/>
        <w:rPr>
          <w:rFonts w:hint="eastAsia"/>
          <w:color w:val="231F20"/>
        </w:rPr>
      </w:pPr>
      <w:r>
        <w:rPr>
          <w:rFonts w:hint="eastAsia"/>
          <w:color w:val="231F20"/>
        </w:rPr>
        <w:t>他们不用各人教导自己的邻舍和自己的弟兄，说：‘你该认识主，’因为他们从最小的到至大的，都必认识我。</w:t>
      </w:r>
    </w:p>
    <w:p w14:paraId="137A5007">
      <w:pPr>
        <w:pStyle w:val="9"/>
        <w:spacing w:after="0" w:line="249" w:lineRule="auto"/>
        <w:rPr>
          <w:rFonts w:hint="eastAsia"/>
          <w:color w:val="231F20"/>
        </w:rPr>
      </w:pPr>
    </w:p>
    <w:p w14:paraId="2620AEE2">
      <w:pPr>
        <w:pStyle w:val="9"/>
        <w:spacing w:after="0" w:line="249" w:lineRule="auto"/>
        <w:rPr>
          <w:rFonts w:hint="eastAsia"/>
          <w:color w:val="231F20"/>
        </w:rPr>
      </w:pPr>
      <w:r>
        <w:rPr>
          <w:rFonts w:hint="eastAsia"/>
          <w:color w:val="231F20"/>
        </w:rPr>
        <w:t>For I will be merciful towards their iniquities, and their sins I will remember no more.”</w:t>
      </w:r>
    </w:p>
    <w:p w14:paraId="3D5B827E">
      <w:pPr>
        <w:pStyle w:val="9"/>
        <w:spacing w:after="0" w:line="249" w:lineRule="auto"/>
        <w:rPr>
          <w:rFonts w:hint="eastAsia"/>
          <w:color w:val="231F20"/>
        </w:rPr>
      </w:pPr>
      <w:r>
        <w:rPr>
          <w:rFonts w:hint="eastAsia"/>
          <w:color w:val="231F20"/>
        </w:rPr>
        <w:t>我要宽恕他们的不义，不再记念他们的罪愆。”</w:t>
      </w:r>
    </w:p>
    <w:p w14:paraId="5A4D4231">
      <w:pPr>
        <w:pStyle w:val="9"/>
        <w:spacing w:after="0" w:line="249" w:lineRule="auto"/>
        <w:rPr>
          <w:rFonts w:hint="eastAsia"/>
          <w:color w:val="231F20"/>
        </w:rPr>
      </w:pPr>
    </w:p>
    <w:p w14:paraId="3C76DE52">
      <w:pPr>
        <w:pStyle w:val="9"/>
        <w:spacing w:after="0" w:line="249" w:lineRule="auto"/>
        <w:rPr>
          <w:rFonts w:hint="eastAsia"/>
          <w:color w:val="231F20"/>
        </w:rPr>
      </w:pPr>
      <w:r>
        <w:rPr>
          <w:rFonts w:hint="eastAsia"/>
          <w:color w:val="231F20"/>
        </w:rPr>
        <w:t>The writer cites this famous OTKP primarily because he desires his audience to consider the “better promises” of the “better covenant” that Jeremiah foretold, and to hold onto them!</w:t>
      </w:r>
    </w:p>
    <w:p w14:paraId="3923FF44">
      <w:pPr>
        <w:pStyle w:val="9"/>
        <w:spacing w:after="0" w:line="249" w:lineRule="auto"/>
        <w:rPr>
          <w:rFonts w:hint="eastAsia"/>
          <w:color w:val="231F20"/>
        </w:rPr>
      </w:pPr>
      <w:r>
        <w:rPr>
          <w:rFonts w:hint="eastAsia"/>
          <w:color w:val="231F20"/>
        </w:rPr>
        <w:t>作者引用这段著名的旧约国度预言（OTKP），主要是因为他希望他的听众思考耶利米所预言的“更美之约”的“更美应许”，并持守它们！</w:t>
      </w:r>
    </w:p>
    <w:p w14:paraId="17419E26">
      <w:pPr>
        <w:pStyle w:val="9"/>
        <w:spacing w:after="0" w:line="249" w:lineRule="auto"/>
        <w:rPr>
          <w:rFonts w:hint="eastAsia"/>
          <w:color w:val="231F20"/>
        </w:rPr>
      </w:pPr>
    </w:p>
    <w:p w14:paraId="2A10F258">
      <w:pPr>
        <w:pStyle w:val="9"/>
        <w:spacing w:after="0" w:line="249" w:lineRule="auto"/>
        <w:rPr>
          <w:rFonts w:hint="eastAsia"/>
          <w:color w:val="231F20"/>
        </w:rPr>
      </w:pPr>
      <w:r>
        <w:rPr>
          <w:rFonts w:hint="eastAsia"/>
          <w:color w:val="231F20"/>
        </w:rPr>
        <w:t>Under this covenant God will invade the hearts of his eschatological people and write his laws upon them, as never before; he will be their God and they will be his people, as never before; everyone—not just an occasional charismatic leader—will know the LORD, as never before; and—because of the work of their New High Priest —God will forgive their sins and cleanse their conscience, as never before.</w:t>
      </w:r>
    </w:p>
    <w:p w14:paraId="3E2941DB">
      <w:pPr>
        <w:pStyle w:val="9"/>
        <w:spacing w:after="0" w:line="249" w:lineRule="auto"/>
        <w:rPr>
          <w:rFonts w:hint="eastAsia"/>
          <w:color w:val="231F20"/>
        </w:rPr>
      </w:pPr>
      <w:r>
        <w:rPr>
          <w:rFonts w:hint="eastAsia"/>
          <w:color w:val="231F20"/>
        </w:rPr>
        <w:t>在这个约之下，上帝将进入祂末世子民的心中，将祂的律法写在他们心上，这是前所未有的；祂将作他们的上帝，他们将作祂的子民，这是前所未有的；每一个人——不仅是偶尔有魅力的领袖——都将认识耶和华，这是前所未有的；并且——因为他们新大祭司的工作——上帝将赦免他们的罪，洁净他们的良心，这是前所未有的。</w:t>
      </w:r>
    </w:p>
    <w:p w14:paraId="518A5D20">
      <w:pPr>
        <w:pStyle w:val="9"/>
        <w:spacing w:after="0" w:line="249" w:lineRule="auto"/>
        <w:rPr>
          <w:rFonts w:hint="eastAsia"/>
          <w:color w:val="231F20"/>
        </w:rPr>
      </w:pPr>
    </w:p>
    <w:p w14:paraId="0F91A39B">
      <w:pPr>
        <w:pStyle w:val="9"/>
        <w:spacing w:after="0" w:line="249" w:lineRule="auto"/>
        <w:rPr>
          <w:rFonts w:hint="eastAsia"/>
          <w:color w:val="231F20"/>
        </w:rPr>
      </w:pPr>
      <w:r>
        <w:rPr>
          <w:rFonts w:hint="eastAsia"/>
          <w:color w:val="231F20"/>
        </w:rPr>
        <w:t>In view of such glorious promises, why would any Christian—Jew or Gentile—want to go back to life under the Law?</w:t>
      </w:r>
    </w:p>
    <w:p w14:paraId="3072AC91">
      <w:pPr>
        <w:pStyle w:val="9"/>
        <w:spacing w:after="0" w:line="249" w:lineRule="auto"/>
        <w:rPr>
          <w:rFonts w:hint="eastAsia"/>
          <w:color w:val="231F20"/>
        </w:rPr>
      </w:pPr>
      <w:r>
        <w:rPr>
          <w:rFonts w:hint="eastAsia"/>
          <w:color w:val="231F20"/>
        </w:rPr>
        <w:t>鉴于如此荣耀的应许，任何基督徒——无论是犹太人还是外邦人——又为何想要回到律法下的生活呢？</w:t>
      </w:r>
    </w:p>
    <w:p w14:paraId="7FEA8101">
      <w:pPr>
        <w:pStyle w:val="9"/>
        <w:spacing w:after="0" w:line="249" w:lineRule="auto"/>
        <w:rPr>
          <w:rFonts w:hint="eastAsia"/>
          <w:color w:val="231F20"/>
        </w:rPr>
      </w:pPr>
    </w:p>
    <w:p w14:paraId="736F4CB4">
      <w:pPr>
        <w:pStyle w:val="9"/>
        <w:spacing w:after="0" w:line="249" w:lineRule="auto"/>
        <w:rPr>
          <w:rFonts w:hint="eastAsia"/>
          <w:color w:val="231F20"/>
        </w:rPr>
      </w:pPr>
      <w:r>
        <w:rPr>
          <w:rFonts w:hint="eastAsia"/>
          <w:color w:val="231F20"/>
        </w:rPr>
        <w:t>But their faithful friend is still not done.</w:t>
      </w:r>
    </w:p>
    <w:p w14:paraId="08712334">
      <w:pPr>
        <w:pStyle w:val="9"/>
        <w:spacing w:after="0" w:line="249" w:lineRule="auto"/>
        <w:rPr>
          <w:rFonts w:hint="eastAsia"/>
          <w:color w:val="231F20"/>
        </w:rPr>
      </w:pPr>
      <w:r>
        <w:rPr>
          <w:rFonts w:hint="eastAsia"/>
          <w:color w:val="231F20"/>
        </w:rPr>
        <w:t>但他们忠实的朋友还没有说完。</w:t>
      </w:r>
    </w:p>
    <w:p w14:paraId="12666DAA">
      <w:pPr>
        <w:pStyle w:val="9"/>
        <w:spacing w:after="0" w:line="249" w:lineRule="auto"/>
        <w:rPr>
          <w:rFonts w:hint="eastAsia"/>
          <w:color w:val="231F20"/>
        </w:rPr>
      </w:pPr>
    </w:p>
    <w:p w14:paraId="1CB43359">
      <w:pPr>
        <w:pStyle w:val="9"/>
        <w:spacing w:after="0" w:line="249" w:lineRule="auto"/>
        <w:rPr>
          <w:rFonts w:hint="eastAsia"/>
          <w:color w:val="231F20"/>
        </w:rPr>
      </w:pPr>
      <w:r>
        <w:rPr>
          <w:rFonts w:hint="eastAsia"/>
          <w:color w:val="231F20"/>
        </w:rPr>
        <w:t>Yes, through Jeremiah God promised a New Covenant and a better covenant.</w:t>
      </w:r>
    </w:p>
    <w:p w14:paraId="6EF3F883">
      <w:pPr>
        <w:pStyle w:val="9"/>
        <w:spacing w:after="0" w:line="249" w:lineRule="auto"/>
        <w:rPr>
          <w:rFonts w:hint="eastAsia"/>
          <w:color w:val="231F20"/>
        </w:rPr>
      </w:pPr>
      <w:r>
        <w:rPr>
          <w:rFonts w:hint="eastAsia"/>
          <w:color w:val="231F20"/>
        </w:rPr>
        <w:t>是的，通过耶利米，上帝应许了一个新约和一个更美的约。</w:t>
      </w:r>
    </w:p>
    <w:p w14:paraId="6EFEEF2E">
      <w:pPr>
        <w:pStyle w:val="9"/>
        <w:spacing w:after="0" w:line="249" w:lineRule="auto"/>
        <w:rPr>
          <w:rFonts w:hint="eastAsia"/>
          <w:color w:val="231F20"/>
        </w:rPr>
      </w:pPr>
    </w:p>
    <w:p w14:paraId="60ACCE00">
      <w:pPr>
        <w:pStyle w:val="9"/>
        <w:spacing w:after="0" w:line="249" w:lineRule="auto"/>
        <w:rPr>
          <w:rFonts w:hint="eastAsia"/>
          <w:color w:val="231F20"/>
        </w:rPr>
      </w:pPr>
      <w:r>
        <w:rPr>
          <w:rFonts w:hint="eastAsia"/>
          <w:color w:val="231F20"/>
        </w:rPr>
        <w:t>But in promising “a New Covenant,” he also did something else: He promised to abolish the Old.</w:t>
      </w:r>
    </w:p>
    <w:p w14:paraId="4FDEB0A9">
      <w:pPr>
        <w:pStyle w:val="9"/>
        <w:spacing w:after="0" w:line="249" w:lineRule="auto"/>
        <w:rPr>
          <w:rFonts w:hint="eastAsia"/>
          <w:color w:val="231F20"/>
        </w:rPr>
      </w:pPr>
      <w:r>
        <w:rPr>
          <w:rFonts w:hint="eastAsia"/>
          <w:color w:val="231F20"/>
        </w:rPr>
        <w:t>但在应许“一个新约”的同时，祂也做了另一件事：祂应许废除旧约。</w:t>
      </w:r>
    </w:p>
    <w:p w14:paraId="7D76DF63">
      <w:pPr>
        <w:pStyle w:val="9"/>
        <w:spacing w:after="0" w:line="249" w:lineRule="auto"/>
        <w:rPr>
          <w:rFonts w:hint="eastAsia"/>
          <w:color w:val="231F20"/>
        </w:rPr>
      </w:pPr>
    </w:p>
    <w:p w14:paraId="43CF46F9">
      <w:pPr>
        <w:pStyle w:val="9"/>
        <w:spacing w:after="0" w:line="249" w:lineRule="auto"/>
        <w:rPr>
          <w:rFonts w:hint="eastAsia"/>
          <w:color w:val="231F20"/>
        </w:rPr>
      </w:pPr>
      <w:r>
        <w:rPr>
          <w:rFonts w:hint="eastAsia"/>
          <w:color w:val="231F20"/>
        </w:rPr>
        <w:t>For the Old, being a mere “copy and shadow” of the New, was always inferior.</w:t>
      </w:r>
    </w:p>
    <w:p w14:paraId="4A6A15E8">
      <w:pPr>
        <w:pStyle w:val="9"/>
        <w:spacing w:after="0" w:line="249" w:lineRule="auto"/>
        <w:rPr>
          <w:rFonts w:hint="eastAsia"/>
          <w:color w:val="231F20"/>
        </w:rPr>
      </w:pPr>
      <w:r>
        <w:rPr>
          <w:rFonts w:hint="eastAsia"/>
          <w:color w:val="231F20"/>
        </w:rPr>
        <w:t>因为旧约，仅仅是新约的“副本和影儿”，总是次等的。</w:t>
      </w:r>
    </w:p>
    <w:p w14:paraId="26CBE2FC">
      <w:pPr>
        <w:pStyle w:val="9"/>
        <w:spacing w:after="0" w:line="249" w:lineRule="auto"/>
        <w:rPr>
          <w:rFonts w:hint="eastAsia"/>
          <w:color w:val="231F20"/>
        </w:rPr>
      </w:pPr>
    </w:p>
    <w:p w14:paraId="2DB40681">
      <w:pPr>
        <w:pStyle w:val="9"/>
        <w:spacing w:after="0" w:line="249" w:lineRule="auto"/>
        <w:rPr>
          <w:rFonts w:hint="eastAsia"/>
          <w:color w:val="231F20"/>
        </w:rPr>
      </w:pPr>
      <w:r>
        <w:rPr>
          <w:rFonts w:hint="eastAsia"/>
          <w:color w:val="231F20"/>
        </w:rPr>
        <w:t>But now that the New has fulfilled it, it is also “obsolete and ready to pass away” (8:13).</w:t>
      </w:r>
    </w:p>
    <w:p w14:paraId="46F83D82">
      <w:pPr>
        <w:pStyle w:val="9"/>
        <w:spacing w:after="0" w:line="249" w:lineRule="auto"/>
        <w:rPr>
          <w:rFonts w:hint="eastAsia"/>
          <w:color w:val="231F20"/>
        </w:rPr>
      </w:pPr>
      <w:r>
        <w:rPr>
          <w:rFonts w:hint="eastAsia"/>
          <w:color w:val="231F20"/>
        </w:rPr>
        <w:t>但既然新约已经成全了它，它也“过时且快要过去”了（8:13）。</w:t>
      </w:r>
    </w:p>
    <w:p w14:paraId="4D2303C1">
      <w:pPr>
        <w:pStyle w:val="9"/>
        <w:spacing w:after="0" w:line="249" w:lineRule="auto"/>
        <w:rPr>
          <w:rFonts w:hint="eastAsia"/>
          <w:color w:val="231F20"/>
        </w:rPr>
      </w:pPr>
    </w:p>
    <w:p w14:paraId="0EFC491B">
      <w:pPr>
        <w:pStyle w:val="9"/>
        <w:spacing w:after="0" w:line="249" w:lineRule="auto"/>
        <w:rPr>
          <w:rFonts w:hint="eastAsia"/>
          <w:color w:val="231F20"/>
        </w:rPr>
      </w:pPr>
      <w:r>
        <w:rPr>
          <w:rFonts w:hint="eastAsia"/>
          <w:color w:val="231F20"/>
        </w:rPr>
        <w:t>Therefore, (Jewish) Christians must not go back, for now there is nothing to go back to!</w:t>
      </w:r>
    </w:p>
    <w:p w14:paraId="50ACEC48">
      <w:pPr>
        <w:pStyle w:val="9"/>
        <w:spacing w:after="0" w:line="249" w:lineRule="auto"/>
        <w:rPr>
          <w:rFonts w:hint="eastAsia"/>
          <w:color w:val="231F20"/>
        </w:rPr>
      </w:pPr>
      <w:r>
        <w:rPr>
          <w:rFonts w:hint="eastAsia"/>
          <w:color w:val="231F20"/>
        </w:rPr>
        <w:t>因此，（犹太）基督徒绝不能回去，因为现在已经无处可回了！</w:t>
      </w:r>
    </w:p>
    <w:p w14:paraId="3D1AC5E0">
      <w:pPr>
        <w:pStyle w:val="9"/>
        <w:spacing w:after="0" w:line="249" w:lineRule="auto"/>
        <w:rPr>
          <w:rFonts w:hint="eastAsia"/>
          <w:color w:val="231F20"/>
        </w:rPr>
      </w:pPr>
    </w:p>
    <w:p w14:paraId="511A1852">
      <w:pPr>
        <w:pStyle w:val="9"/>
        <w:spacing w:after="0" w:line="249" w:lineRule="auto"/>
        <w:rPr>
          <w:rFonts w:hint="eastAsia"/>
          <w:color w:val="231F20"/>
        </w:rPr>
      </w:pPr>
      <w:r>
        <w:rPr>
          <w:rFonts w:hint="eastAsia"/>
          <w:color w:val="231F20"/>
        </w:rPr>
        <w:t>Here, then, is the first of the two main reasons why Hebrews 8 is of such tremendous eschatological significance.</w:t>
      </w:r>
    </w:p>
    <w:p w14:paraId="25259E1C">
      <w:pPr>
        <w:pStyle w:val="9"/>
        <w:spacing w:after="0" w:line="249" w:lineRule="auto"/>
        <w:rPr>
          <w:rFonts w:hint="eastAsia"/>
          <w:color w:val="231F20"/>
        </w:rPr>
      </w:pPr>
      <w:r>
        <w:rPr>
          <w:rFonts w:hint="eastAsia"/>
          <w:color w:val="231F20"/>
        </w:rPr>
        <w:t>那么，这就是希伯来书第8章具有如此重大末世论意义的两个主要原因之一。</w:t>
      </w:r>
    </w:p>
    <w:p w14:paraId="59082284">
      <w:pPr>
        <w:pStyle w:val="9"/>
        <w:spacing w:after="0" w:line="249" w:lineRule="auto"/>
        <w:rPr>
          <w:rFonts w:hint="eastAsia"/>
          <w:color w:val="231F20"/>
        </w:rPr>
      </w:pPr>
    </w:p>
    <w:p w14:paraId="70482249">
      <w:pPr>
        <w:pStyle w:val="9"/>
        <w:spacing w:after="0" w:line="249" w:lineRule="auto"/>
        <w:rPr>
          <w:rFonts w:hint="eastAsia"/>
          <w:color w:val="231F20"/>
        </w:rPr>
      </w:pPr>
      <w:r>
        <w:rPr>
          <w:rFonts w:hint="eastAsia"/>
          <w:color w:val="231F20"/>
        </w:rPr>
        <w:t>More, perhaps, than any other text in the entire NT, it teaches us that the Old Covenant, having been fulfilled in the New, is now eternally obsolete.</w:t>
      </w:r>
    </w:p>
    <w:p w14:paraId="7564EB08">
      <w:pPr>
        <w:pStyle w:val="9"/>
        <w:spacing w:after="0" w:line="249" w:lineRule="auto"/>
        <w:rPr>
          <w:rFonts w:hint="eastAsia"/>
          <w:color w:val="231F20"/>
        </w:rPr>
      </w:pPr>
      <w:r>
        <w:rPr>
          <w:rFonts w:hint="eastAsia"/>
          <w:color w:val="231F20"/>
        </w:rPr>
        <w:t>或许比新约中任何其他经文都更甚，它教导我们，旧约既在新约中得到成全，如今就永远过时了。</w:t>
      </w:r>
    </w:p>
    <w:p w14:paraId="5FF8F3D3">
      <w:pPr>
        <w:pStyle w:val="9"/>
        <w:spacing w:after="0" w:line="249" w:lineRule="auto"/>
        <w:rPr>
          <w:rFonts w:hint="eastAsia"/>
          <w:color w:val="231F20"/>
        </w:rPr>
      </w:pPr>
    </w:p>
    <w:p w14:paraId="4141813C">
      <w:pPr>
        <w:pStyle w:val="9"/>
        <w:spacing w:after="0" w:line="249" w:lineRule="auto"/>
        <w:rPr>
          <w:rFonts w:hint="eastAsia"/>
          <w:color w:val="231F20"/>
        </w:rPr>
      </w:pPr>
      <w:r>
        <w:rPr>
          <w:rFonts w:hint="eastAsia"/>
          <w:color w:val="231F20"/>
        </w:rPr>
        <w:t>This entails that henceforth there cannot be—and must not be—any reversion to OT institutions.</w:t>
      </w:r>
    </w:p>
    <w:p w14:paraId="53BFFD4E">
      <w:pPr>
        <w:pStyle w:val="9"/>
        <w:spacing w:after="0" w:line="249" w:lineRule="auto"/>
        <w:rPr>
          <w:rFonts w:hint="eastAsia"/>
          <w:color w:val="231F20"/>
        </w:rPr>
      </w:pPr>
      <w:r>
        <w:rPr>
          <w:rFonts w:hint="eastAsia"/>
          <w:color w:val="231F20"/>
        </w:rPr>
        <w:t>这意味着从此以后，不可能——也绝不能——有任何回归到旧约制度的情况。</w:t>
      </w:r>
    </w:p>
    <w:p w14:paraId="7AEA2408">
      <w:pPr>
        <w:pStyle w:val="9"/>
        <w:spacing w:after="0" w:line="249" w:lineRule="auto"/>
        <w:rPr>
          <w:rFonts w:hint="eastAsia"/>
          <w:color w:val="231F20"/>
        </w:rPr>
      </w:pPr>
    </w:p>
    <w:p w14:paraId="05988175">
      <w:pPr>
        <w:pStyle w:val="9"/>
        <w:spacing w:after="0" w:line="249" w:lineRule="auto"/>
        <w:rPr>
          <w:rFonts w:hint="eastAsia"/>
          <w:color w:val="231F20"/>
        </w:rPr>
      </w:pPr>
      <w:r>
        <w:rPr>
          <w:rFonts w:hint="eastAsia"/>
          <w:color w:val="231F20"/>
        </w:rPr>
        <w:t>And this entails that OTKP—which in most cases envisioned the perpetuity of those institutions—cannot be interpreted literally (as our premillennarian brothers urge), but must be interpreted according to the NCH.</w:t>
      </w:r>
    </w:p>
    <w:p w14:paraId="558283A1">
      <w:pPr>
        <w:pStyle w:val="9"/>
        <w:spacing w:after="0" w:line="249" w:lineRule="auto"/>
        <w:rPr>
          <w:rFonts w:hint="eastAsia"/>
          <w:color w:val="231F20"/>
        </w:rPr>
      </w:pPr>
      <w:r>
        <w:rPr>
          <w:rFonts w:hint="eastAsia"/>
          <w:color w:val="231F20"/>
        </w:rPr>
        <w:t>这又意味着，旧约国度预言（OTKP）——在大多数情况下设想那些制度的永恒性——不能按字面解释（如我们的前千禧年派弟兄们所主张的），而必须按照新约解释学（NCH）来解释。</w:t>
      </w:r>
    </w:p>
    <w:p w14:paraId="05ADE22C">
      <w:pPr>
        <w:pStyle w:val="9"/>
        <w:spacing w:after="0" w:line="249" w:lineRule="auto"/>
        <w:rPr>
          <w:rFonts w:hint="eastAsia"/>
          <w:color w:val="231F20"/>
        </w:rPr>
      </w:pPr>
    </w:p>
    <w:p w14:paraId="2149204F">
      <w:pPr>
        <w:pStyle w:val="9"/>
        <w:spacing w:after="0" w:line="249" w:lineRule="auto"/>
        <w:rPr>
          <w:rFonts w:hint="eastAsia"/>
          <w:color w:val="231F20"/>
        </w:rPr>
      </w:pPr>
      <w:r>
        <w:rPr>
          <w:rFonts w:hint="eastAsia"/>
          <w:color w:val="231F20"/>
        </w:rPr>
        <w:t>But there is a second—and equally weighty—reason why this text is so important: It links all OTKP with the New Covenant, and therefore with the people of the New Covenant, the Church.</w:t>
      </w:r>
    </w:p>
    <w:p w14:paraId="2D210C09">
      <w:pPr>
        <w:pStyle w:val="9"/>
        <w:spacing w:after="0" w:line="249" w:lineRule="auto"/>
        <w:rPr>
          <w:rFonts w:hint="eastAsia"/>
          <w:color w:val="231F20"/>
        </w:rPr>
      </w:pPr>
      <w:r>
        <w:rPr>
          <w:rFonts w:hint="eastAsia"/>
          <w:color w:val="231F20"/>
        </w:rPr>
        <w:t>但还有第二个——同样重要的——原因说明这段经文如此重要：它将所有旧约国度预言（OTKP）与新约联系起来，因此也与新约的子民，即教会联系起来。</w:t>
      </w:r>
    </w:p>
    <w:p w14:paraId="694E8D1C">
      <w:pPr>
        <w:pStyle w:val="9"/>
        <w:spacing w:after="0" w:line="249" w:lineRule="auto"/>
        <w:rPr>
          <w:rFonts w:hint="eastAsia"/>
          <w:color w:val="231F20"/>
        </w:rPr>
      </w:pPr>
    </w:p>
    <w:p w14:paraId="5071880D">
      <w:pPr>
        <w:pStyle w:val="9"/>
        <w:spacing w:after="0" w:line="249" w:lineRule="auto"/>
        <w:rPr>
          <w:rFonts w:hint="eastAsia"/>
          <w:color w:val="231F20"/>
        </w:rPr>
      </w:pPr>
      <w:r>
        <w:rPr>
          <w:rFonts w:hint="eastAsia"/>
          <w:color w:val="231F20"/>
        </w:rPr>
        <w:t>This subtle but crucial point merits careful consideration.</w:t>
      </w:r>
    </w:p>
    <w:p w14:paraId="2D7420F7">
      <w:pPr>
        <w:pStyle w:val="9"/>
        <w:spacing w:after="0" w:line="249" w:lineRule="auto"/>
        <w:rPr>
          <w:rFonts w:hint="eastAsia"/>
          <w:color w:val="231F20"/>
        </w:rPr>
      </w:pPr>
      <w:r>
        <w:rPr>
          <w:rFonts w:hint="eastAsia"/>
          <w:color w:val="231F20"/>
        </w:rPr>
        <w:t>这个微妙但关键的点值得仔细考虑。</w:t>
      </w:r>
    </w:p>
    <w:p w14:paraId="758926EF">
      <w:pPr>
        <w:pStyle w:val="9"/>
        <w:spacing w:after="0" w:line="249" w:lineRule="auto"/>
        <w:rPr>
          <w:rFonts w:hint="eastAsia"/>
          <w:color w:val="231F20"/>
        </w:rPr>
      </w:pPr>
    </w:p>
    <w:p w14:paraId="58DAF9F3">
      <w:pPr>
        <w:pStyle w:val="9"/>
        <w:spacing w:after="0" w:line="249" w:lineRule="auto"/>
        <w:rPr>
          <w:rFonts w:hint="eastAsia"/>
          <w:color w:val="231F20"/>
        </w:rPr>
      </w:pPr>
      <w:r>
        <w:rPr>
          <w:rFonts w:hint="eastAsia"/>
          <w:color w:val="231F20"/>
        </w:rPr>
        <w:t>To begin with, we must see exactly how our text links all OTKP to the New Covenant.</w:t>
      </w:r>
    </w:p>
    <w:p w14:paraId="44E54CBF">
      <w:pPr>
        <w:pStyle w:val="9"/>
        <w:spacing w:after="0" w:line="249" w:lineRule="auto"/>
        <w:rPr>
          <w:rFonts w:hint="eastAsia"/>
          <w:color w:val="231F20"/>
        </w:rPr>
      </w:pPr>
      <w:r>
        <w:rPr>
          <w:rFonts w:hint="eastAsia"/>
          <w:color w:val="231F20"/>
        </w:rPr>
        <w:t>首先，我们必须确切地看到我们的经文如何将所有旧约国度预言（OTKP）与新约联系起来。</w:t>
      </w:r>
    </w:p>
    <w:p w14:paraId="1B7C5D0F">
      <w:pPr>
        <w:pStyle w:val="9"/>
        <w:spacing w:after="0" w:line="249" w:lineRule="auto"/>
        <w:rPr>
          <w:rFonts w:hint="eastAsia"/>
          <w:color w:val="231F20"/>
        </w:rPr>
      </w:pPr>
    </w:p>
    <w:p w14:paraId="3C1C3A15">
      <w:pPr>
        <w:pStyle w:val="9"/>
        <w:spacing w:after="0" w:line="249" w:lineRule="auto"/>
        <w:rPr>
          <w:rFonts w:hint="eastAsia"/>
          <w:color w:val="231F20"/>
        </w:rPr>
      </w:pPr>
      <w:r>
        <w:rPr>
          <w:rFonts w:hint="eastAsia"/>
          <w:color w:val="231F20"/>
        </w:rPr>
        <w:t>The connection appears, with striking force, in Jeremiah 30-33.</w:t>
      </w:r>
    </w:p>
    <w:p w14:paraId="284100D1">
      <w:pPr>
        <w:pStyle w:val="9"/>
        <w:spacing w:after="0" w:line="249" w:lineRule="auto"/>
        <w:rPr>
          <w:rFonts w:hint="eastAsia"/>
          <w:color w:val="231F20"/>
        </w:rPr>
      </w:pPr>
      <w:r>
        <w:rPr>
          <w:rFonts w:hint="eastAsia"/>
          <w:color w:val="231F20"/>
        </w:rPr>
        <w:t>这种联系在耶利米书 30-33章中以惊人的力量出现。</w:t>
      </w:r>
    </w:p>
    <w:p w14:paraId="069801FC">
      <w:pPr>
        <w:pStyle w:val="9"/>
        <w:spacing w:after="0" w:line="249" w:lineRule="auto"/>
        <w:rPr>
          <w:rFonts w:hint="eastAsia"/>
          <w:color w:val="231F20"/>
        </w:rPr>
      </w:pPr>
    </w:p>
    <w:p w14:paraId="6AE80620">
      <w:pPr>
        <w:pStyle w:val="9"/>
        <w:spacing w:after="0" w:line="249" w:lineRule="auto"/>
        <w:rPr>
          <w:rFonts w:hint="eastAsia"/>
          <w:color w:val="231F20"/>
        </w:rPr>
      </w:pPr>
      <w:r>
        <w:rPr>
          <w:rFonts w:hint="eastAsia"/>
          <w:color w:val="231F20"/>
        </w:rPr>
        <w:t>That bloc of Scripture contains, of course, the promise of a New Covenant, here under consideration (31:31-34, cf., 32:40).</w:t>
      </w:r>
    </w:p>
    <w:p w14:paraId="555C46EA">
      <w:pPr>
        <w:pStyle w:val="9"/>
        <w:spacing w:after="0" w:line="249" w:lineRule="auto"/>
        <w:rPr>
          <w:rFonts w:hint="eastAsia"/>
          <w:color w:val="231F20"/>
        </w:rPr>
      </w:pPr>
      <w:r>
        <w:rPr>
          <w:rFonts w:hint="eastAsia"/>
          <w:color w:val="231F20"/>
        </w:rPr>
        <w:t>那段经文当然包含了新约的应许，这里正在讨论（31:31-34, 参看 32:40）。</w:t>
      </w:r>
    </w:p>
    <w:p w14:paraId="754AF78A">
      <w:pPr>
        <w:pStyle w:val="9"/>
        <w:spacing w:after="0" w:line="249" w:lineRule="auto"/>
        <w:rPr>
          <w:rFonts w:hint="eastAsia"/>
          <w:color w:val="231F20"/>
        </w:rPr>
      </w:pPr>
    </w:p>
    <w:p w14:paraId="3B68828D">
      <w:pPr>
        <w:pStyle w:val="9"/>
        <w:spacing w:after="0" w:line="249" w:lineRule="auto"/>
        <w:rPr>
          <w:rFonts w:hint="eastAsia"/>
          <w:color w:val="231F20"/>
        </w:rPr>
      </w:pPr>
      <w:r>
        <w:rPr>
          <w:rFonts w:hint="eastAsia"/>
          <w:color w:val="231F20"/>
        </w:rPr>
        <w:t>But when we read it in its entirety, we see something else of extraordinary significance: It is devoted almost entirely to soul-stirring promises of Israel’s eschatological rescue from captivity and restoration to the Promised Land.</w:t>
      </w:r>
    </w:p>
    <w:p w14:paraId="2A1BB057">
      <w:pPr>
        <w:pStyle w:val="9"/>
        <w:spacing w:after="0" w:line="249" w:lineRule="auto"/>
        <w:rPr>
          <w:rFonts w:hint="eastAsia"/>
          <w:color w:val="231F20"/>
        </w:rPr>
      </w:pPr>
      <w:r>
        <w:rPr>
          <w:rFonts w:hint="eastAsia"/>
          <w:color w:val="231F20"/>
        </w:rPr>
        <w:t>但当我们完整地阅读它时，我们看到了另一件非同寻常的重要事情：它几乎完全致力于关于以色列末世从被掳中得拯救并复兴归回应许之地的激动人心的应许。</w:t>
      </w:r>
    </w:p>
    <w:p w14:paraId="2A7A8CC9">
      <w:pPr>
        <w:pStyle w:val="9"/>
        <w:spacing w:after="0" w:line="249" w:lineRule="auto"/>
        <w:rPr>
          <w:rFonts w:hint="eastAsia"/>
          <w:color w:val="231F20"/>
        </w:rPr>
      </w:pPr>
    </w:p>
    <w:p w14:paraId="699B4654">
      <w:pPr>
        <w:pStyle w:val="9"/>
        <w:spacing w:after="0" w:line="249" w:lineRule="auto"/>
        <w:rPr>
          <w:rFonts w:hint="eastAsia"/>
          <w:color w:val="231F20"/>
        </w:rPr>
      </w:pPr>
      <w:r>
        <w:rPr>
          <w:rFonts w:hint="eastAsia"/>
          <w:color w:val="231F20"/>
        </w:rPr>
        <w:t>In other words, like a string of precious pearls, this bloc of Scripture gives us one OTKP after another (30:1-17, 18-22, 23-24; 31:1-6, 7-9, 10-14, 15-22, 23-30, 31- 34, 35-37, 38-40; 32:36ff; 33:1-8, 10-11, 12-13, 14-18, 19-22, 23-26).</w:t>
      </w:r>
    </w:p>
    <w:p w14:paraId="04B88B61">
      <w:pPr>
        <w:pStyle w:val="9"/>
        <w:spacing w:after="0" w:line="249" w:lineRule="auto"/>
        <w:rPr>
          <w:rFonts w:hint="eastAsia"/>
          <w:color w:val="231F20"/>
        </w:rPr>
      </w:pPr>
      <w:r>
        <w:rPr>
          <w:rFonts w:hint="eastAsia"/>
          <w:color w:val="231F20"/>
        </w:rPr>
        <w:t>换句话说，像一串珍贵的珍珠，这段经文一个接一个地给我们旧约国度预言（OTKP）（30:1-17, 18-22, 23-24; 31:1-6, 7-9, 10-14, 15-22, 23-30, 31-34, 35-37, 38-40; 32:36及后文; 33:1-8, 10-11, 12-13, 14-18, 19-22, 23-26）。</w:t>
      </w:r>
    </w:p>
    <w:p w14:paraId="6D6F6EB8">
      <w:pPr>
        <w:pStyle w:val="9"/>
        <w:spacing w:after="0" w:line="249" w:lineRule="auto"/>
        <w:rPr>
          <w:rFonts w:hint="eastAsia"/>
          <w:color w:val="231F20"/>
        </w:rPr>
      </w:pPr>
    </w:p>
    <w:p w14:paraId="0A3206A7">
      <w:pPr>
        <w:pStyle w:val="9"/>
        <w:spacing w:after="0" w:line="249" w:lineRule="auto"/>
        <w:rPr>
          <w:rFonts w:hint="eastAsia"/>
          <w:color w:val="231F20"/>
        </w:rPr>
      </w:pPr>
      <w:r>
        <w:rPr>
          <w:rFonts w:hint="eastAsia"/>
          <w:color w:val="231F20"/>
        </w:rPr>
        <w:t>Please note carefully that Jeremiah 31:31-34—the most precious pearl of all —is strategically situated, like a featured pendant, in their very midst!</w:t>
      </w:r>
    </w:p>
    <w:p w14:paraId="185EE5F9">
      <w:pPr>
        <w:pStyle w:val="9"/>
        <w:spacing w:after="0" w:line="249" w:lineRule="auto"/>
        <w:rPr>
          <w:rFonts w:hint="eastAsia"/>
          <w:color w:val="231F20"/>
        </w:rPr>
      </w:pPr>
      <w:r>
        <w:rPr>
          <w:rFonts w:hint="eastAsia"/>
          <w:color w:val="231F20"/>
        </w:rPr>
        <w:t>请仔细注意，耶利米书 31:31-34——所有珍珠中最宝贵的一颗——被战略性地放置在它们中间，就像一个特色吊坠！</w:t>
      </w:r>
    </w:p>
    <w:p w14:paraId="23F4BFA5">
      <w:pPr>
        <w:pStyle w:val="9"/>
        <w:spacing w:after="0" w:line="249" w:lineRule="auto"/>
        <w:rPr>
          <w:rFonts w:hint="eastAsia"/>
          <w:color w:val="231F20"/>
        </w:rPr>
      </w:pPr>
    </w:p>
    <w:p w14:paraId="24448F88">
      <w:pPr>
        <w:pStyle w:val="9"/>
        <w:spacing w:after="0" w:line="249" w:lineRule="auto"/>
        <w:rPr>
          <w:rFonts w:hint="eastAsia"/>
          <w:color w:val="231F20"/>
        </w:rPr>
      </w:pPr>
      <w:r>
        <w:rPr>
          <w:rFonts w:hint="eastAsia"/>
          <w:color w:val="231F20"/>
        </w:rPr>
        <w:t>And there is more.</w:t>
      </w:r>
    </w:p>
    <w:p w14:paraId="561A03FA">
      <w:pPr>
        <w:pStyle w:val="9"/>
        <w:spacing w:after="0" w:line="249" w:lineRule="auto"/>
        <w:rPr>
          <w:rFonts w:hint="eastAsia"/>
          <w:color w:val="231F20"/>
        </w:rPr>
      </w:pPr>
      <w:r>
        <w:rPr>
          <w:rFonts w:hint="eastAsia"/>
          <w:color w:val="231F20"/>
        </w:rPr>
        <w:t>还有更多。</w:t>
      </w:r>
    </w:p>
    <w:p w14:paraId="311549B5">
      <w:pPr>
        <w:pStyle w:val="9"/>
        <w:spacing w:after="0" w:line="249" w:lineRule="auto"/>
        <w:rPr>
          <w:rFonts w:hint="eastAsia"/>
          <w:color w:val="231F20"/>
        </w:rPr>
      </w:pPr>
    </w:p>
    <w:p w14:paraId="6DEBB1F3">
      <w:pPr>
        <w:pStyle w:val="9"/>
        <w:spacing w:after="0" w:line="249" w:lineRule="auto"/>
        <w:rPr>
          <w:rFonts w:hint="eastAsia"/>
          <w:color w:val="231F20"/>
        </w:rPr>
      </w:pPr>
      <w:r>
        <w:rPr>
          <w:rFonts w:hint="eastAsia"/>
          <w:color w:val="231F20"/>
        </w:rPr>
        <w:t>For no sooner do we contemplate this astonishing necklace of OTKP’s, than we realize that in spirit and substance they differ not a whit from the OTKP’s of Isaiah, Ezekiel, Daniel, Hosea, Micah, and all the other OT prophets.</w:t>
      </w:r>
    </w:p>
    <w:p w14:paraId="7DFA4B1A">
      <w:pPr>
        <w:pStyle w:val="9"/>
        <w:spacing w:after="0" w:line="249" w:lineRule="auto"/>
        <w:rPr>
          <w:rFonts w:hint="eastAsia"/>
          <w:color w:val="231F20"/>
        </w:rPr>
      </w:pPr>
      <w:r>
        <w:rPr>
          <w:rFonts w:hint="eastAsia"/>
          <w:color w:val="231F20"/>
        </w:rPr>
        <w:t>因为我们一默想这串惊人的旧约国度预言（OTKP）项链，就立刻意识到，它们在精神和实质上与以赛亚、以西结、但以理、何西阿、弥迦和所有其他旧约先知的旧约国度预言（OTKP）毫无二致。</w:t>
      </w:r>
    </w:p>
    <w:p w14:paraId="6B17EBBF">
      <w:pPr>
        <w:pStyle w:val="9"/>
        <w:spacing w:after="0" w:line="249" w:lineRule="auto"/>
        <w:rPr>
          <w:rFonts w:hint="eastAsia"/>
          <w:color w:val="231F20"/>
        </w:rPr>
      </w:pPr>
    </w:p>
    <w:p w14:paraId="39A1C1F9">
      <w:pPr>
        <w:pStyle w:val="9"/>
        <w:spacing w:after="0" w:line="249" w:lineRule="auto"/>
        <w:rPr>
          <w:rFonts w:hint="eastAsia"/>
          <w:color w:val="231F20"/>
        </w:rPr>
      </w:pPr>
      <w:r>
        <w:rPr>
          <w:rFonts w:hint="eastAsia"/>
          <w:color w:val="231F20"/>
        </w:rPr>
        <w:t>With words just like theirs, Jeremiah makes exceedingly great and wonderful promises to eschatological Israel: rescue from their enemies (30:1, 8), judgment upon former oppressors (30:11, 16), regathering from the nations (31:8, 10, 32:7), return to the Promised Land (30:3, 31:8, 10, 32:36, 41), a gracious drawing by the Spirit of God (31:3), penitent weeping and supplication (31:9), the gift of a new heart (31:33-34), divine pardon (33:8, 31:34), a new relationship with God as Father (31:10, 31:18-20), devoted service to David their King (30:9, 33:15), the perpetuity of his dynasty (33:19-22), a definitive restoration of Israel’s fortunes (31:23, 33:7, 11, 26), bountiful harvests (31:5, 12), godly shepherds who give rest to their flocks (33:12-13), the rebuilding of Jerusalem (the City of God, 31:27-28, 31:38-40), joyful merriment in song and dance (30:19, 31:4, 31:11-14, 33:11), everlasting health and peace (33:6), and the surrounding nations trembling in awe at the sight of all that God has done (33:9).</w:t>
      </w:r>
    </w:p>
    <w:p w14:paraId="66DE1D78">
      <w:pPr>
        <w:pStyle w:val="9"/>
        <w:spacing w:after="0" w:line="249" w:lineRule="auto"/>
        <w:rPr>
          <w:rFonts w:hint="eastAsia"/>
          <w:color w:val="231F20"/>
        </w:rPr>
      </w:pPr>
      <w:r>
        <w:rPr>
          <w:rFonts w:hint="eastAsia"/>
          <w:color w:val="231F20"/>
        </w:rPr>
        <w:t>耶利米用与他们同样的话语，向末世的以色列作出极其伟大而奇妙的应许：从仇敌手中得拯救（30:1, 8），对从前的压迫者施行审判（30:11, 16），从列国中重新聚集（31:8, 10, 32:37），归回应许之地（30:3, 31:8, 10, 32:36, 41），上帝圣灵恩典的吸引（31:3），悔罪的哭泣和恳求（31:9），新心的恩赐（31:33-34），神圣的赦免（33:8, 31:34），与上帝如父的新关系（31:9, 31:18-20），忠心服事他们的王大卫（30:9, 33:15），祂王朝的永恒性（33:19-22），以色列命运的确定的复兴（31:23, 33:7, 11, 26），丰盛的收成（31:5, 12），使羊群得安息的敬虔牧人（33:12-13），重建耶路撒冷（上帝之城，31:27-28, 31:38-40），在歌舞中欢喜快乐（30:19, 31:4, 31:11-14, 33:11），永远的健康与平安（33:6），以及周边的列国因看到上帝所做的一切而敬畏战兢（33:9）。</w:t>
      </w:r>
    </w:p>
    <w:p w14:paraId="036EFE1D">
      <w:pPr>
        <w:pStyle w:val="9"/>
        <w:spacing w:after="0" w:line="249" w:lineRule="auto"/>
        <w:rPr>
          <w:rFonts w:hint="eastAsia"/>
          <w:color w:val="231F20"/>
        </w:rPr>
      </w:pPr>
    </w:p>
    <w:p w14:paraId="69649491">
      <w:pPr>
        <w:pStyle w:val="9"/>
        <w:spacing w:after="0" w:line="249" w:lineRule="auto"/>
        <w:rPr>
          <w:rFonts w:hint="eastAsia"/>
          <w:color w:val="231F20"/>
        </w:rPr>
      </w:pPr>
      <w:r>
        <w:rPr>
          <w:rFonts w:hint="eastAsia"/>
          <w:color w:val="231F20"/>
        </w:rPr>
        <w:t>Yes, time and again the OT prophets issue these very promises, promises that Jeremiah explicitly links to the advent of the New Covenant!</w:t>
      </w:r>
    </w:p>
    <w:p w14:paraId="247C60C5">
      <w:pPr>
        <w:pStyle w:val="9"/>
        <w:spacing w:after="0" w:line="249" w:lineRule="auto"/>
        <w:rPr>
          <w:rFonts w:hint="eastAsia"/>
          <w:color w:val="231F20"/>
        </w:rPr>
      </w:pPr>
      <w:r>
        <w:rPr>
          <w:rFonts w:hint="eastAsia"/>
          <w:color w:val="231F20"/>
        </w:rPr>
        <w:t>是的，旧约先知们一再地发出这些应许，这些应许耶利米明确地与新约的降临联系在一起！</w:t>
      </w:r>
    </w:p>
    <w:p w14:paraId="5DB49D21">
      <w:pPr>
        <w:pStyle w:val="9"/>
        <w:spacing w:after="0" w:line="249" w:lineRule="auto"/>
        <w:rPr>
          <w:rFonts w:hint="eastAsia"/>
          <w:color w:val="231F20"/>
        </w:rPr>
      </w:pPr>
    </w:p>
    <w:p w14:paraId="1E8191B3">
      <w:pPr>
        <w:pStyle w:val="9"/>
        <w:spacing w:after="0" w:line="249" w:lineRule="auto"/>
        <w:rPr>
          <w:rFonts w:hint="eastAsia"/>
          <w:color w:val="231F20"/>
        </w:rPr>
      </w:pPr>
      <w:r>
        <w:rPr>
          <w:rFonts w:hint="eastAsia"/>
          <w:color w:val="231F20"/>
        </w:rPr>
        <w:t>The message of the Holy Spirit is clear: All OTKP is fulfilled in Christ and the New Covenant.2</w:t>
      </w:r>
    </w:p>
    <w:p w14:paraId="1784861F">
      <w:pPr>
        <w:pStyle w:val="9"/>
        <w:spacing w:after="0" w:line="249" w:lineRule="auto"/>
        <w:rPr>
          <w:rFonts w:hint="eastAsia"/>
          <w:color w:val="231F20"/>
        </w:rPr>
      </w:pPr>
      <w:r>
        <w:rPr>
          <w:rFonts w:hint="eastAsia"/>
          <w:color w:val="231F20"/>
        </w:rPr>
        <w:t>圣灵的信息很清楚：所有的旧约国度预言（OTKP）都在基督和新约中得到应验。2</w:t>
      </w:r>
    </w:p>
    <w:p w14:paraId="50FD43B2">
      <w:pPr>
        <w:pStyle w:val="9"/>
        <w:spacing w:after="0" w:line="249" w:lineRule="auto"/>
        <w:rPr>
          <w:rFonts w:hint="eastAsia"/>
          <w:color w:val="231F20"/>
        </w:rPr>
      </w:pPr>
    </w:p>
    <w:p w14:paraId="3DD3626B">
      <w:pPr>
        <w:pStyle w:val="9"/>
        <w:spacing w:after="0" w:line="249" w:lineRule="auto"/>
        <w:rPr>
          <w:rFonts w:hint="eastAsia"/>
          <w:color w:val="231F20"/>
        </w:rPr>
      </w:pPr>
      <w:r>
        <w:rPr>
          <w:rFonts w:hint="eastAsia"/>
          <w:color w:val="231F20"/>
        </w:rPr>
        <w:t>In passing, we do well to observe that Jeremiah does not represent these as temporary blessings.</w:t>
      </w:r>
    </w:p>
    <w:p w14:paraId="23F8B503">
      <w:pPr>
        <w:pStyle w:val="9"/>
        <w:spacing w:after="0" w:line="249" w:lineRule="auto"/>
        <w:rPr>
          <w:rFonts w:hint="eastAsia"/>
          <w:color w:val="231F20"/>
        </w:rPr>
      </w:pPr>
      <w:r>
        <w:rPr>
          <w:rFonts w:hint="eastAsia"/>
          <w:color w:val="231F20"/>
        </w:rPr>
        <w:t>顺便提一下，我们应当观察到，耶利米并未将这些描述为暂时的祝福。</w:t>
      </w:r>
    </w:p>
    <w:p w14:paraId="29E683BB">
      <w:pPr>
        <w:pStyle w:val="9"/>
        <w:spacing w:after="0" w:line="249" w:lineRule="auto"/>
        <w:rPr>
          <w:rFonts w:hint="eastAsia"/>
          <w:color w:val="231F20"/>
        </w:rPr>
      </w:pPr>
    </w:p>
    <w:p w14:paraId="1D8EFC95">
      <w:pPr>
        <w:pStyle w:val="9"/>
        <w:spacing w:after="0" w:line="249" w:lineRule="auto"/>
        <w:rPr>
          <w:rFonts w:hint="eastAsia"/>
          <w:color w:val="231F20"/>
        </w:rPr>
      </w:pPr>
      <w:r>
        <w:rPr>
          <w:rFonts w:hint="eastAsia"/>
          <w:color w:val="231F20"/>
        </w:rPr>
        <w:t>Restored Israel will never cease from being a nation before God (31:36).</w:t>
      </w:r>
    </w:p>
    <w:p w14:paraId="136969D1">
      <w:pPr>
        <w:pStyle w:val="9"/>
        <w:spacing w:after="0" w:line="249" w:lineRule="auto"/>
        <w:rPr>
          <w:rFonts w:hint="eastAsia"/>
          <w:color w:val="231F20"/>
        </w:rPr>
      </w:pPr>
      <w:r>
        <w:rPr>
          <w:rFonts w:hint="eastAsia"/>
          <w:color w:val="231F20"/>
        </w:rPr>
        <w:t>复兴的以色列将永不停止在上帝面前成为一个国家（31:36）。</w:t>
      </w:r>
    </w:p>
    <w:p w14:paraId="0E9848D7">
      <w:pPr>
        <w:pStyle w:val="9"/>
        <w:spacing w:after="0" w:line="249" w:lineRule="auto"/>
        <w:rPr>
          <w:rFonts w:hint="eastAsia"/>
          <w:color w:val="231F20"/>
        </w:rPr>
      </w:pPr>
    </w:p>
    <w:p w14:paraId="743AA057">
      <w:pPr>
        <w:pStyle w:val="9"/>
        <w:spacing w:after="0" w:line="249" w:lineRule="auto"/>
        <w:rPr>
          <w:rFonts w:hint="eastAsia"/>
          <w:color w:val="231F20"/>
        </w:rPr>
      </w:pPr>
      <w:r>
        <w:rPr>
          <w:rFonts w:hint="eastAsia"/>
          <w:color w:val="231F20"/>
        </w:rPr>
        <w:t>The people and the land shall not be plucked up or overthrown any more forever (31:40).</w:t>
      </w:r>
    </w:p>
    <w:p w14:paraId="52ACE6B3">
      <w:pPr>
        <w:pStyle w:val="9"/>
        <w:spacing w:after="0" w:line="249" w:lineRule="auto"/>
        <w:rPr>
          <w:rFonts w:hint="eastAsia"/>
          <w:color w:val="231F20"/>
        </w:rPr>
      </w:pPr>
      <w:r>
        <w:rPr>
          <w:rFonts w:hint="eastAsia"/>
          <w:color w:val="231F20"/>
        </w:rPr>
        <w:t>这民和这地必永不再被拔出或倾覆（31:40）。</w:t>
      </w:r>
    </w:p>
    <w:p w14:paraId="057549DA">
      <w:pPr>
        <w:pStyle w:val="9"/>
        <w:spacing w:after="0" w:line="249" w:lineRule="auto"/>
        <w:rPr>
          <w:rFonts w:hint="eastAsia"/>
          <w:color w:val="231F20"/>
        </w:rPr>
      </w:pPr>
    </w:p>
    <w:p w14:paraId="5AC0E005">
      <w:pPr>
        <w:pStyle w:val="9"/>
        <w:spacing w:after="0" w:line="249" w:lineRule="auto"/>
        <w:rPr>
          <w:rFonts w:hint="eastAsia"/>
          <w:color w:val="231F20"/>
        </w:rPr>
      </w:pPr>
      <w:r>
        <w:rPr>
          <w:rFonts w:hint="eastAsia"/>
          <w:color w:val="231F20"/>
        </w:rPr>
        <w:t>In this place and in the enjoyment of these blessings, God’s covenant with Israel will be fully fulfilled (30:22, 31:1, 32:38).</w:t>
      </w:r>
    </w:p>
    <w:p w14:paraId="18357FF2">
      <w:pPr>
        <w:pStyle w:val="9"/>
        <w:spacing w:after="0" w:line="249" w:lineRule="auto"/>
        <w:rPr>
          <w:rFonts w:hint="eastAsia"/>
          <w:color w:val="231F20"/>
        </w:rPr>
      </w:pPr>
      <w:r>
        <w:rPr>
          <w:rFonts w:hint="eastAsia"/>
          <w:color w:val="231F20"/>
        </w:rPr>
        <w:t>在这个地方，并享受这些祝福，上帝与以色列的约将完全得以实现（30:22, 31:1, 32:38）。</w:t>
      </w:r>
    </w:p>
    <w:p w14:paraId="1BFD21BB">
      <w:pPr>
        <w:pStyle w:val="9"/>
        <w:spacing w:after="0" w:line="249" w:lineRule="auto"/>
        <w:rPr>
          <w:rFonts w:hint="eastAsia"/>
          <w:color w:val="231F20"/>
        </w:rPr>
      </w:pPr>
    </w:p>
    <w:p w14:paraId="367277D0">
      <w:pPr>
        <w:pStyle w:val="9"/>
        <w:spacing w:after="0" w:line="249" w:lineRule="auto"/>
        <w:rPr>
          <w:rFonts w:hint="eastAsia"/>
          <w:color w:val="231F20"/>
        </w:rPr>
      </w:pPr>
      <w:r>
        <w:rPr>
          <w:rFonts w:hint="eastAsia"/>
          <w:color w:val="231F20"/>
        </w:rPr>
        <w:t>Here we have a picture—not of a temporary millennium—but of the eternal Kingdom of God.</w:t>
      </w:r>
    </w:p>
    <w:p w14:paraId="5859028D">
      <w:pPr>
        <w:pStyle w:val="9"/>
        <w:spacing w:after="0" w:line="249" w:lineRule="auto"/>
        <w:rPr>
          <w:rFonts w:hint="eastAsia"/>
          <w:color w:val="231F20"/>
        </w:rPr>
      </w:pPr>
      <w:r>
        <w:rPr>
          <w:rFonts w:hint="eastAsia"/>
          <w:color w:val="231F20"/>
        </w:rPr>
        <w:t>在这里，我们有一幅图景——不是一个暂时的千禧年——而是上帝永恒的国度。</w:t>
      </w:r>
    </w:p>
    <w:p w14:paraId="3E9A47DF">
      <w:pPr>
        <w:pStyle w:val="9"/>
        <w:spacing w:after="0" w:line="249" w:lineRule="auto"/>
        <w:rPr>
          <w:rFonts w:hint="eastAsia"/>
          <w:color w:val="231F20"/>
        </w:rPr>
      </w:pPr>
    </w:p>
    <w:p w14:paraId="50F16BC5">
      <w:pPr>
        <w:pStyle w:val="9"/>
        <w:spacing w:after="0" w:line="249" w:lineRule="auto"/>
        <w:rPr>
          <w:rFonts w:hint="eastAsia"/>
          <w:color w:val="231F20"/>
        </w:rPr>
      </w:pPr>
      <w:r>
        <w:rPr>
          <w:rFonts w:hint="eastAsia"/>
          <w:color w:val="231F20"/>
        </w:rPr>
        <w:t>And again, both Jeremiah and the NT tell us that this eternal kingdom will appear in the days when God makes a New and Eternal Covenant “with the house of Israel and with the house of Judah” (31:31-34, 32:40, Heb. 13:20).</w:t>
      </w:r>
    </w:p>
    <w:p w14:paraId="721B049E">
      <w:pPr>
        <w:pStyle w:val="9"/>
        <w:spacing w:after="0" w:line="249" w:lineRule="auto"/>
        <w:rPr>
          <w:rFonts w:hint="eastAsia"/>
          <w:color w:val="231F20"/>
        </w:rPr>
      </w:pPr>
      <w:r>
        <w:rPr>
          <w:rFonts w:hint="eastAsia"/>
          <w:color w:val="231F20"/>
        </w:rPr>
        <w:t>再次，耶利米和新约都告诉我们，这个永恒的国度将在上帝与“以色列家和犹大家”立新约和永恒之约的日子出现（31:31-34, 32:40, 希伯来书 13:20）。</w:t>
      </w:r>
    </w:p>
    <w:p w14:paraId="2013F5EB">
      <w:pPr>
        <w:pStyle w:val="9"/>
        <w:spacing w:after="0" w:line="249" w:lineRule="auto"/>
        <w:rPr>
          <w:rFonts w:hint="eastAsia"/>
          <w:color w:val="231F20"/>
        </w:rPr>
      </w:pPr>
    </w:p>
    <w:p w14:paraId="0867FDB1">
      <w:pPr>
        <w:pStyle w:val="9"/>
        <w:spacing w:after="0" w:line="249" w:lineRule="auto"/>
        <w:rPr>
          <w:rFonts w:hint="eastAsia"/>
          <w:color w:val="231F20"/>
        </w:rPr>
      </w:pPr>
      <w:r>
        <w:rPr>
          <w:rFonts w:hint="eastAsia"/>
          <w:color w:val="231F20"/>
        </w:rPr>
        <w:t>So then, in Jeremiah 30-33 we discover an indissoluble link between the Kingdom and the New Covenant.</w:t>
      </w:r>
    </w:p>
    <w:p w14:paraId="591BC293">
      <w:pPr>
        <w:pStyle w:val="9"/>
        <w:spacing w:after="0" w:line="249" w:lineRule="auto"/>
        <w:rPr>
          <w:rFonts w:hint="eastAsia"/>
          <w:color w:val="231F20"/>
        </w:rPr>
      </w:pPr>
      <w:r>
        <w:rPr>
          <w:rFonts w:hint="eastAsia"/>
          <w:color w:val="231F20"/>
        </w:rPr>
        <w:t>那么，在耶利米书 30-33章，我们发现了国度与新约之间不可分割的联系。</w:t>
      </w:r>
    </w:p>
    <w:p w14:paraId="6E3B5ADC">
      <w:pPr>
        <w:pStyle w:val="9"/>
        <w:spacing w:after="0" w:line="249" w:lineRule="auto"/>
        <w:rPr>
          <w:rFonts w:hint="eastAsia"/>
          <w:color w:val="231F20"/>
        </w:rPr>
      </w:pPr>
    </w:p>
    <w:p w14:paraId="2D71C286">
      <w:pPr>
        <w:pStyle w:val="9"/>
        <w:spacing w:after="0" w:line="249" w:lineRule="auto"/>
        <w:rPr>
          <w:rFonts w:hint="eastAsia"/>
          <w:color w:val="231F20"/>
        </w:rPr>
      </w:pPr>
      <w:r>
        <w:rPr>
          <w:rFonts w:hint="eastAsia"/>
          <w:color w:val="231F20"/>
        </w:rPr>
        <w:t>The message of this amazing necklace of OTKP’s—communicated, as it were, between the lines—is that the eternal Kingdom of God is the gift and creation of the New and Eternal Covenant to come, just as Christ and his apostles taught us.</w:t>
      </w:r>
    </w:p>
    <w:p w14:paraId="05FD6C78">
      <w:pPr>
        <w:pStyle w:val="9"/>
        <w:spacing w:after="0" w:line="249" w:lineRule="auto"/>
        <w:rPr>
          <w:rFonts w:hint="eastAsia"/>
          <w:color w:val="231F20"/>
        </w:rPr>
      </w:pPr>
      <w:r>
        <w:rPr>
          <w:rFonts w:hint="eastAsia"/>
          <w:color w:val="231F20"/>
        </w:rPr>
        <w:t>这串惊人的旧约国度预言（OTKP）项链所传达的信息——可以说是言外之意——是，永恒的上帝之国是即将到来的新永恒之约的恩赐和创造，正如基督和祂的使徒们所教导我们的。</w:t>
      </w:r>
    </w:p>
    <w:p w14:paraId="6E46D4E1">
      <w:pPr>
        <w:pStyle w:val="9"/>
        <w:spacing w:after="0" w:line="249" w:lineRule="auto"/>
        <w:rPr>
          <w:rFonts w:hint="eastAsia"/>
          <w:color w:val="231F20"/>
        </w:rPr>
      </w:pPr>
    </w:p>
    <w:p w14:paraId="07339624">
      <w:pPr>
        <w:pStyle w:val="9"/>
        <w:spacing w:after="0" w:line="249" w:lineRule="auto"/>
        <w:rPr>
          <w:rFonts w:hint="eastAsia"/>
          <w:color w:val="231F20"/>
        </w:rPr>
      </w:pPr>
      <w:r>
        <w:rPr>
          <w:rFonts w:hint="eastAsia"/>
          <w:color w:val="231F20"/>
        </w:rPr>
        <w:t>All of this brings us back to Hebrews 8, which, by citing from Jeremiah 30-33, not only unveils the indissoluble link between OTKP and the New Covenant, but also enables us to see that all OTKP is fulfilled among the New Covenant people of God, the Church.</w:t>
      </w:r>
    </w:p>
    <w:p w14:paraId="377D254A">
      <w:pPr>
        <w:pStyle w:val="9"/>
        <w:spacing w:after="0" w:line="249" w:lineRule="auto"/>
        <w:rPr>
          <w:rFonts w:hint="eastAsia"/>
          <w:color w:val="231F20"/>
        </w:rPr>
      </w:pPr>
      <w:r>
        <w:rPr>
          <w:rFonts w:hint="eastAsia"/>
          <w:color w:val="231F20"/>
        </w:rPr>
        <w:t>所有这一切都把我们带回希伯来书第8章，它通过引用耶利米书 30-33章，不仅揭示了旧约国度预言（OTKP）与新约之间不可分割的联系，也使我们能够看到，所有旧约国度预言（OTKP）都在上帝的新约子民，即教会中得到应验。</w:t>
      </w:r>
    </w:p>
    <w:p w14:paraId="1BF1C55E">
      <w:pPr>
        <w:pStyle w:val="9"/>
        <w:spacing w:after="0" w:line="249" w:lineRule="auto"/>
        <w:rPr>
          <w:rFonts w:hint="eastAsia"/>
          <w:color w:val="231F20"/>
        </w:rPr>
      </w:pPr>
    </w:p>
    <w:p w14:paraId="35FD2495">
      <w:pPr>
        <w:pStyle w:val="9"/>
        <w:spacing w:after="0" w:line="249" w:lineRule="auto"/>
        <w:rPr>
          <w:rFonts w:hint="eastAsia"/>
          <w:color w:val="231F20"/>
        </w:rPr>
      </w:pPr>
      <w:r>
        <w:rPr>
          <w:rFonts w:hint="eastAsia"/>
          <w:color w:val="231F20"/>
        </w:rPr>
        <w:t>How exactly does it do this?</w:t>
      </w:r>
    </w:p>
    <w:p w14:paraId="11F117FF">
      <w:pPr>
        <w:pStyle w:val="9"/>
        <w:spacing w:after="0" w:line="249" w:lineRule="auto"/>
        <w:rPr>
          <w:rFonts w:hint="eastAsia"/>
          <w:color w:val="231F20"/>
        </w:rPr>
      </w:pPr>
      <w:r>
        <w:rPr>
          <w:rFonts w:hint="eastAsia"/>
          <w:color w:val="231F20"/>
        </w:rPr>
        <w:t>它究竟是如何做到这一点的？</w:t>
      </w:r>
    </w:p>
    <w:p w14:paraId="770F5617">
      <w:pPr>
        <w:pStyle w:val="9"/>
        <w:spacing w:after="0" w:line="249" w:lineRule="auto"/>
        <w:rPr>
          <w:rFonts w:hint="eastAsia"/>
          <w:color w:val="231F20"/>
        </w:rPr>
      </w:pPr>
    </w:p>
    <w:p w14:paraId="71E60907">
      <w:pPr>
        <w:pStyle w:val="9"/>
        <w:spacing w:after="0" w:line="249" w:lineRule="auto"/>
        <w:rPr>
          <w:rFonts w:hint="eastAsia"/>
          <w:color w:val="231F20"/>
        </w:rPr>
      </w:pPr>
      <w:r>
        <w:rPr>
          <w:rFonts w:hint="eastAsia"/>
          <w:color w:val="231F20"/>
        </w:rPr>
        <w:t>To find out, we must ask ourselves, “To whom is the writer writing?”</w:t>
      </w:r>
    </w:p>
    <w:p w14:paraId="4D7042F8">
      <w:pPr>
        <w:pStyle w:val="9"/>
        <w:spacing w:after="0" w:line="249" w:lineRule="auto"/>
        <w:rPr>
          <w:rFonts w:hint="eastAsia"/>
          <w:color w:val="231F20"/>
        </w:rPr>
      </w:pPr>
      <w:r>
        <w:rPr>
          <w:rFonts w:hint="eastAsia"/>
          <w:color w:val="231F20"/>
        </w:rPr>
        <w:t>为了找到答案，我们必须问自己：“作者是写给谁的？”</w:t>
      </w:r>
    </w:p>
    <w:p w14:paraId="35E2F3E0">
      <w:pPr>
        <w:pStyle w:val="9"/>
        <w:spacing w:after="0" w:line="249" w:lineRule="auto"/>
        <w:rPr>
          <w:rFonts w:hint="eastAsia"/>
          <w:color w:val="231F20"/>
        </w:rPr>
      </w:pPr>
    </w:p>
    <w:p w14:paraId="3FE5516F">
      <w:pPr>
        <w:pStyle w:val="9"/>
        <w:spacing w:after="0" w:line="249" w:lineRule="auto"/>
        <w:rPr>
          <w:rFonts w:hint="eastAsia"/>
          <w:color w:val="231F20"/>
        </w:rPr>
      </w:pPr>
      <w:r>
        <w:rPr>
          <w:rFonts w:hint="eastAsia"/>
          <w:color w:val="231F20"/>
        </w:rPr>
        <w:t>The answer is obvious: He is writing to first- century Christians; to the human parties of the New Covenant in Christ; to members of his Body, the Church.</w:t>
      </w:r>
    </w:p>
    <w:p w14:paraId="168B841D">
      <w:pPr>
        <w:pStyle w:val="9"/>
        <w:spacing w:after="0" w:line="249" w:lineRule="auto"/>
        <w:rPr>
          <w:rFonts w:hint="eastAsia"/>
          <w:color w:val="231F20"/>
        </w:rPr>
      </w:pPr>
      <w:r>
        <w:rPr>
          <w:rFonts w:hint="eastAsia"/>
          <w:color w:val="231F20"/>
        </w:rPr>
        <w:t>答案是显而易见的：他是写给一世纪的基督徒的；写给在基督里新约的人类立约方；写给祂的身体，即教会的成员。</w:t>
      </w:r>
    </w:p>
    <w:p w14:paraId="169540BC">
      <w:pPr>
        <w:pStyle w:val="9"/>
        <w:spacing w:after="0" w:line="249" w:lineRule="auto"/>
        <w:rPr>
          <w:rFonts w:hint="eastAsia"/>
          <w:color w:val="231F20"/>
        </w:rPr>
      </w:pPr>
    </w:p>
    <w:p w14:paraId="68A6A20F">
      <w:pPr>
        <w:pStyle w:val="9"/>
        <w:spacing w:after="0" w:line="249" w:lineRule="auto"/>
        <w:rPr>
          <w:rFonts w:hint="eastAsia"/>
          <w:color w:val="231F20"/>
        </w:rPr>
      </w:pPr>
      <w:r>
        <w:rPr>
          <w:rFonts w:hint="eastAsia"/>
          <w:color w:val="231F20"/>
        </w:rPr>
        <w:t>Yes, in all likelihood, most of them were ethnic Jews, though we cannot rule out the possibility that some of them— especially those with previous involvement in Judaism—were Gentiles.</w:t>
      </w:r>
    </w:p>
    <w:p w14:paraId="63FEB925">
      <w:pPr>
        <w:pStyle w:val="9"/>
        <w:spacing w:after="0" w:line="249" w:lineRule="auto"/>
        <w:rPr>
          <w:rFonts w:hint="eastAsia"/>
          <w:color w:val="231F20"/>
        </w:rPr>
      </w:pPr>
      <w:r>
        <w:rPr>
          <w:rFonts w:hint="eastAsia"/>
          <w:color w:val="231F20"/>
        </w:rPr>
        <w:t>是的，很有可能，他们中的大多数是犹太人，尽管我们不能排除其中一些——特别是那些以前与犹太教有牵连的人——是外邦人的可能性。</w:t>
      </w:r>
    </w:p>
    <w:p w14:paraId="74A23AB4">
      <w:pPr>
        <w:pStyle w:val="9"/>
        <w:spacing w:after="0" w:line="249" w:lineRule="auto"/>
        <w:rPr>
          <w:rFonts w:hint="eastAsia"/>
          <w:color w:val="231F20"/>
        </w:rPr>
      </w:pPr>
    </w:p>
    <w:p w14:paraId="32329C85">
      <w:pPr>
        <w:pStyle w:val="9"/>
        <w:spacing w:after="0" w:line="249" w:lineRule="auto"/>
        <w:rPr>
          <w:rFonts w:hint="eastAsia"/>
          <w:color w:val="231F20"/>
        </w:rPr>
      </w:pPr>
      <w:r>
        <w:rPr>
          <w:rFonts w:hint="eastAsia"/>
          <w:color w:val="231F20"/>
        </w:rPr>
        <w:t>But for the writer of the epistle, the ethnic background of his audience was of relatively little importance.</w:t>
      </w:r>
    </w:p>
    <w:p w14:paraId="3257A705">
      <w:pPr>
        <w:pStyle w:val="9"/>
        <w:spacing w:after="0" w:line="249" w:lineRule="auto"/>
        <w:rPr>
          <w:rFonts w:hint="eastAsia"/>
          <w:color w:val="231F20"/>
        </w:rPr>
      </w:pPr>
      <w:r>
        <w:rPr>
          <w:rFonts w:hint="eastAsia"/>
          <w:color w:val="231F20"/>
        </w:rPr>
        <w:t>但对这位书信的作者而言，他听众的民族背景相对而言并不重要。</w:t>
      </w:r>
    </w:p>
    <w:p w14:paraId="66944EEB">
      <w:pPr>
        <w:pStyle w:val="9"/>
        <w:spacing w:after="0" w:line="249" w:lineRule="auto"/>
        <w:rPr>
          <w:rFonts w:hint="eastAsia"/>
          <w:color w:val="231F20"/>
        </w:rPr>
      </w:pPr>
    </w:p>
    <w:p w14:paraId="56050B66">
      <w:pPr>
        <w:pStyle w:val="9"/>
        <w:spacing w:after="0" w:line="249" w:lineRule="auto"/>
        <w:rPr>
          <w:rFonts w:hint="eastAsia"/>
          <w:color w:val="231F20"/>
        </w:rPr>
      </w:pPr>
      <w:r>
        <w:rPr>
          <w:rFonts w:hint="eastAsia"/>
          <w:color w:val="231F20"/>
        </w:rPr>
        <w:t>His real concern was that certain Christian people were seriously contemplating a return to Judaism.</w:t>
      </w:r>
    </w:p>
    <w:p w14:paraId="2A5CB715">
      <w:pPr>
        <w:pStyle w:val="9"/>
        <w:spacing w:after="0" w:line="249" w:lineRule="auto"/>
        <w:rPr>
          <w:rFonts w:hint="eastAsia"/>
          <w:color w:val="231F20"/>
        </w:rPr>
      </w:pPr>
      <w:r>
        <w:rPr>
          <w:rFonts w:hint="eastAsia"/>
          <w:color w:val="231F20"/>
        </w:rPr>
        <w:t>他真正的担忧是，某些基督徒正在认真考虑回归犹太教。</w:t>
      </w:r>
    </w:p>
    <w:p w14:paraId="60A4B8B6">
      <w:pPr>
        <w:pStyle w:val="9"/>
        <w:spacing w:after="0" w:line="249" w:lineRule="auto"/>
        <w:rPr>
          <w:rFonts w:hint="eastAsia"/>
          <w:color w:val="231F20"/>
        </w:rPr>
      </w:pPr>
    </w:p>
    <w:p w14:paraId="1E832A12">
      <w:pPr>
        <w:pStyle w:val="9"/>
        <w:spacing w:after="0" w:line="249" w:lineRule="auto"/>
        <w:rPr>
          <w:rFonts w:hint="eastAsia"/>
          <w:color w:val="231F20"/>
        </w:rPr>
      </w:pPr>
      <w:r>
        <w:rPr>
          <w:rFonts w:hint="eastAsia"/>
          <w:color w:val="231F20"/>
        </w:rPr>
        <w:t>Now, in addressing these Christians, the writer cites Jeremiah 31:31-34, and clearly does so on the assumption that Jeremiah was speaking about them; about the people of the New Covenant; about the Church.</w:t>
      </w:r>
    </w:p>
    <w:p w14:paraId="2FDEE761">
      <w:pPr>
        <w:pStyle w:val="9"/>
        <w:spacing w:after="0" w:line="249" w:lineRule="auto"/>
        <w:rPr>
          <w:rFonts w:hint="eastAsia"/>
          <w:color w:val="231F20"/>
        </w:rPr>
      </w:pPr>
      <w:r>
        <w:rPr>
          <w:rFonts w:hint="eastAsia"/>
          <w:color w:val="231F20"/>
        </w:rPr>
        <w:t>现在，在向这些基督徒讲话时，作者引用了耶利米书 31:31-34，并且显然是基于耶利米是在谈论他们；谈论新约的子民；谈论教会这一假设。</w:t>
      </w:r>
    </w:p>
    <w:p w14:paraId="7E2168F1">
      <w:pPr>
        <w:pStyle w:val="9"/>
        <w:spacing w:after="0" w:line="249" w:lineRule="auto"/>
        <w:rPr>
          <w:rFonts w:hint="eastAsia"/>
          <w:color w:val="231F20"/>
        </w:rPr>
      </w:pPr>
    </w:p>
    <w:p w14:paraId="1009F00C">
      <w:pPr>
        <w:pStyle w:val="9"/>
        <w:spacing w:after="0" w:line="249" w:lineRule="auto"/>
        <w:rPr>
          <w:rFonts w:hint="eastAsia"/>
          <w:color w:val="231F20"/>
        </w:rPr>
      </w:pPr>
      <w:r>
        <w:rPr>
          <w:rFonts w:hint="eastAsia"/>
          <w:color w:val="231F20"/>
        </w:rPr>
        <w:t>This implies that Jeremiah 31:31-34—and all the OTKP prophecies in its immediate vicinity—are fulfilled in the Church.</w:t>
      </w:r>
    </w:p>
    <w:p w14:paraId="3E2DE6C5">
      <w:pPr>
        <w:pStyle w:val="9"/>
        <w:spacing w:after="0" w:line="249" w:lineRule="auto"/>
        <w:rPr>
          <w:rFonts w:hint="eastAsia"/>
          <w:color w:val="231F20"/>
        </w:rPr>
      </w:pPr>
      <w:r>
        <w:rPr>
          <w:rFonts w:hint="eastAsia"/>
          <w:color w:val="231F20"/>
        </w:rPr>
        <w:t>这意味着耶利米书 31:31-34——以及其附近所有的旧约国度预言（OTKP）——都在教会中应验。</w:t>
      </w:r>
    </w:p>
    <w:p w14:paraId="4767C759">
      <w:pPr>
        <w:pStyle w:val="9"/>
        <w:spacing w:after="0" w:line="249" w:lineRule="auto"/>
        <w:rPr>
          <w:rFonts w:hint="eastAsia"/>
          <w:color w:val="231F20"/>
        </w:rPr>
      </w:pPr>
    </w:p>
    <w:p w14:paraId="1E98EA6A">
      <w:pPr>
        <w:pStyle w:val="9"/>
        <w:spacing w:after="0" w:line="249" w:lineRule="auto"/>
        <w:rPr>
          <w:rFonts w:hint="eastAsia"/>
          <w:color w:val="231F20"/>
        </w:rPr>
      </w:pPr>
      <w:r>
        <w:rPr>
          <w:rFonts w:hint="eastAsia"/>
          <w:color w:val="231F20"/>
        </w:rPr>
        <w:t>Moreover, it also implies that dozens of other OTKP’s in the prophetic cannon must also be fulfilled in the Church, for as we have just seen, they bear a compelling family resemblance to Jeremiah’s.</w:t>
      </w:r>
    </w:p>
    <w:p w14:paraId="6D7B4822">
      <w:pPr>
        <w:pStyle w:val="9"/>
        <w:spacing w:after="0" w:line="249" w:lineRule="auto"/>
        <w:rPr>
          <w:rFonts w:hint="eastAsia"/>
          <w:color w:val="231F20"/>
        </w:rPr>
      </w:pPr>
      <w:r>
        <w:rPr>
          <w:rFonts w:hint="eastAsia"/>
          <w:color w:val="231F20"/>
        </w:rPr>
        <w:t>此外，这也意味着先知正典中其他数十个旧约国度预言（OTKP）也必须在教会中应验，因为正如我们刚刚看到的，它们与耶利米的预言有令人信服的家族相似性。</w:t>
      </w:r>
    </w:p>
    <w:p w14:paraId="55B1F121">
      <w:pPr>
        <w:pStyle w:val="9"/>
        <w:spacing w:after="0" w:line="249" w:lineRule="auto"/>
        <w:rPr>
          <w:rFonts w:hint="eastAsia"/>
          <w:color w:val="231F20"/>
        </w:rPr>
      </w:pPr>
    </w:p>
    <w:p w14:paraId="0F023C59">
      <w:pPr>
        <w:pStyle w:val="9"/>
        <w:spacing w:after="0" w:line="249" w:lineRule="auto"/>
        <w:rPr>
          <w:rFonts w:hint="eastAsia"/>
          <w:color w:val="231F20"/>
        </w:rPr>
      </w:pPr>
      <w:r>
        <w:rPr>
          <w:rFonts w:hint="eastAsia"/>
          <w:color w:val="231F20"/>
        </w:rPr>
        <w:t>Thus, by applying Jer. 31:31-34 to the Christian Church of his day, the writer to the Hebrews strongly suggests—and clearly assumes—that all OTKP is fulfilled under the New Covenant among the New Covenant people of God, the Church.</w:t>
      </w:r>
    </w:p>
    <w:p w14:paraId="0782D130">
      <w:pPr>
        <w:pStyle w:val="9"/>
        <w:spacing w:after="0" w:line="249" w:lineRule="auto"/>
        <w:rPr>
          <w:rFonts w:hint="eastAsia"/>
          <w:color w:val="231F20"/>
        </w:rPr>
      </w:pPr>
      <w:r>
        <w:rPr>
          <w:rFonts w:hint="eastAsia"/>
          <w:color w:val="231F20"/>
        </w:rPr>
        <w:t>因此，通过将耶利米书 31:31-34 应用于他那个时代的基督教会，希伯来书的作者强烈暗示——并明确假定——所有旧约国度预言（OTKP）都在新约之下，在新约的上帝子民，即教会中得到应验。</w:t>
      </w:r>
    </w:p>
    <w:p w14:paraId="29A26ABE">
      <w:pPr>
        <w:pStyle w:val="9"/>
        <w:spacing w:after="0" w:line="249" w:lineRule="auto"/>
        <w:rPr>
          <w:rFonts w:hint="eastAsia"/>
          <w:color w:val="231F20"/>
        </w:rPr>
      </w:pPr>
    </w:p>
    <w:p w14:paraId="540CC58C">
      <w:pPr>
        <w:pStyle w:val="9"/>
        <w:spacing w:after="0" w:line="249" w:lineRule="auto"/>
        <w:rPr>
          <w:rFonts w:hint="eastAsia"/>
          <w:color w:val="231F20"/>
        </w:rPr>
      </w:pPr>
      <w:r>
        <w:rPr>
          <w:rFonts w:hint="eastAsia"/>
          <w:color w:val="231F20"/>
        </w:rPr>
        <w:t>Objecting to this weighty conclusion, some may ask, “But when Jeremiah says that God will effect a New Covenant with the house of Israel and the house of Judah, is he not speaking of ethnic Jews?”</w:t>
      </w:r>
    </w:p>
    <w:p w14:paraId="74076F61">
      <w:pPr>
        <w:pStyle w:val="9"/>
        <w:spacing w:after="0" w:line="249" w:lineRule="auto"/>
        <w:rPr>
          <w:rFonts w:hint="eastAsia"/>
          <w:color w:val="231F20"/>
        </w:rPr>
      </w:pPr>
      <w:r>
        <w:rPr>
          <w:rFonts w:hint="eastAsia"/>
          <w:color w:val="231F20"/>
        </w:rPr>
        <w:t>反对这个重要结论的人可能会问：“但当耶利米说上帝将与以色列家和犹大家立新约时，祂不是在说以色列民族吗？”</w:t>
      </w:r>
    </w:p>
    <w:p w14:paraId="5778E030">
      <w:pPr>
        <w:pStyle w:val="9"/>
        <w:spacing w:after="0" w:line="249" w:lineRule="auto"/>
        <w:rPr>
          <w:rFonts w:hint="eastAsia"/>
          <w:color w:val="231F20"/>
        </w:rPr>
      </w:pPr>
    </w:p>
    <w:p w14:paraId="1E0771D7">
      <w:pPr>
        <w:pStyle w:val="9"/>
        <w:spacing w:after="0" w:line="249" w:lineRule="auto"/>
        <w:rPr>
          <w:rFonts w:hint="eastAsia"/>
          <w:color w:val="231F20"/>
        </w:rPr>
      </w:pPr>
      <w:r>
        <w:rPr>
          <w:rFonts w:hint="eastAsia"/>
          <w:color w:val="231F20"/>
        </w:rPr>
        <w:t>As we have already seen, the NT replies decisively: No, he is not.</w:t>
      </w:r>
    </w:p>
    <w:p w14:paraId="662D81DB">
      <w:pPr>
        <w:pStyle w:val="9"/>
        <w:spacing w:after="0" w:line="249" w:lineRule="auto"/>
        <w:rPr>
          <w:rFonts w:hint="eastAsia"/>
          <w:color w:val="231F20"/>
        </w:rPr>
      </w:pPr>
      <w:r>
        <w:rPr>
          <w:rFonts w:hint="eastAsia"/>
          <w:color w:val="231F20"/>
        </w:rPr>
        <w:t>正如我们已经看到的，新约果断地回答：不，祂不是。</w:t>
      </w:r>
    </w:p>
    <w:p w14:paraId="4D7EB99E">
      <w:pPr>
        <w:pStyle w:val="9"/>
        <w:spacing w:after="0" w:line="249" w:lineRule="auto"/>
        <w:rPr>
          <w:rFonts w:hint="eastAsia"/>
          <w:color w:val="231F20"/>
        </w:rPr>
      </w:pPr>
    </w:p>
    <w:p w14:paraId="05965301">
      <w:pPr>
        <w:pStyle w:val="9"/>
        <w:spacing w:after="0" w:line="249" w:lineRule="auto"/>
        <w:rPr>
          <w:rFonts w:hint="eastAsia"/>
          <w:color w:val="231F20"/>
        </w:rPr>
      </w:pPr>
      <w:r>
        <w:rPr>
          <w:rFonts w:hint="eastAsia"/>
          <w:color w:val="231F20"/>
        </w:rPr>
        <w:t>He is speaking of those who are Jews inwardly; of those whose praise (Heb., judah) is not from man, but from God (Rom. 2:29); of those who are the sons of Abraham by faith in Christ (Rom. 4:16); of the (elect) children of the promise (Rom. 9:6-8); of the true circumcision, who worship God in the Spirit, and who put no confidence in the flesh (Phil. 3:3, Col. 2:11); of those who “hold fast” to Christ until the end, and so “prevail with God” in order to inherit eternal life (Gen. 32:28, Heb. 3:14, 4:14, 6:18, 10:23, Rev. 3:21).</w:t>
      </w:r>
    </w:p>
    <w:p w14:paraId="2FA4D210">
      <w:pPr>
        <w:pStyle w:val="9"/>
        <w:spacing w:after="0" w:line="249" w:lineRule="auto"/>
        <w:rPr>
          <w:rFonts w:hint="eastAsia"/>
          <w:color w:val="231F20"/>
        </w:rPr>
      </w:pPr>
      <w:r>
        <w:rPr>
          <w:rFonts w:hint="eastAsia"/>
          <w:color w:val="231F20"/>
        </w:rPr>
        <w:t>祂说的是那些在内心作犹太人的人；是那些赞美（希伯来文：犹大）不是从人来，乃是从上帝来的（罗马书 2:29）；是那些因信基督而成为亚伯拉罕子孙的人（罗马书 4:16）；是（蒙拣选的）应许的儿女（罗马书 9:6-8）；是那真受割礼的，用心灵敬拜上帝，不靠着肉体的人（腓立比书 3:3, 歌罗西书 2:11）；是那些“持守”基督到底，并因此“与上帝较力得胜”以承受永生的人（创世记 32:28, 希伯来书 3:14, 4:14, 6:18, 10:23, 启示录 3:21）。</w:t>
      </w:r>
    </w:p>
    <w:p w14:paraId="5E2FAA61">
      <w:pPr>
        <w:pStyle w:val="9"/>
        <w:spacing w:after="0" w:line="249" w:lineRule="auto"/>
        <w:rPr>
          <w:rFonts w:hint="eastAsia"/>
          <w:color w:val="231F20"/>
        </w:rPr>
      </w:pPr>
    </w:p>
    <w:p w14:paraId="7D046E14">
      <w:pPr>
        <w:pStyle w:val="9"/>
        <w:spacing w:after="0" w:line="249" w:lineRule="auto"/>
        <w:rPr>
          <w:rFonts w:hint="eastAsia"/>
          <w:color w:val="231F20"/>
        </w:rPr>
      </w:pPr>
      <w:r>
        <w:rPr>
          <w:rFonts w:hint="eastAsia"/>
          <w:color w:val="231F20"/>
        </w:rPr>
        <w:t>Yes, some of these believers are Jews according to the flesh, while others are Gentiles according to the flesh.</w:t>
      </w:r>
    </w:p>
    <w:p w14:paraId="4AC2E334">
      <w:pPr>
        <w:pStyle w:val="9"/>
        <w:spacing w:after="0" w:line="249" w:lineRule="auto"/>
        <w:rPr>
          <w:rFonts w:hint="eastAsia"/>
          <w:color w:val="231F20"/>
        </w:rPr>
      </w:pPr>
      <w:r>
        <w:rPr>
          <w:rFonts w:hint="eastAsia"/>
          <w:color w:val="231F20"/>
        </w:rPr>
        <w:t>是的，这些信徒中有些按肉体是犹太人，另一些按肉体是外邦人。</w:t>
      </w:r>
    </w:p>
    <w:p w14:paraId="4324AE51">
      <w:pPr>
        <w:pStyle w:val="9"/>
        <w:spacing w:after="0" w:line="249" w:lineRule="auto"/>
        <w:rPr>
          <w:rFonts w:hint="eastAsia"/>
          <w:color w:val="231F20"/>
        </w:rPr>
      </w:pPr>
    </w:p>
    <w:p w14:paraId="42FE34FA">
      <w:pPr>
        <w:pStyle w:val="9"/>
        <w:spacing w:after="0" w:line="249" w:lineRule="auto"/>
        <w:rPr>
          <w:rFonts w:hint="eastAsia"/>
          <w:color w:val="231F20"/>
        </w:rPr>
      </w:pPr>
      <w:r>
        <w:rPr>
          <w:rFonts w:hint="eastAsia"/>
          <w:color w:val="231F20"/>
        </w:rPr>
        <w:t>But in God’s sight, their physical descent counts for nothing.</w:t>
      </w:r>
    </w:p>
    <w:p w14:paraId="0DEA65C8">
      <w:pPr>
        <w:pStyle w:val="9"/>
        <w:spacing w:after="0" w:line="249" w:lineRule="auto"/>
        <w:rPr>
          <w:rFonts w:hint="eastAsia"/>
          <w:color w:val="231F20"/>
        </w:rPr>
      </w:pPr>
      <w:r>
        <w:rPr>
          <w:rFonts w:hint="eastAsia"/>
          <w:color w:val="231F20"/>
        </w:rPr>
        <w:t>但在上帝眼中，他们的肉身血统毫无价值。</w:t>
      </w:r>
    </w:p>
    <w:p w14:paraId="18514E7F">
      <w:pPr>
        <w:pStyle w:val="9"/>
        <w:spacing w:after="0" w:line="249" w:lineRule="auto"/>
        <w:rPr>
          <w:rFonts w:hint="eastAsia"/>
          <w:color w:val="231F20"/>
        </w:rPr>
      </w:pPr>
    </w:p>
    <w:p w14:paraId="0D1810BB">
      <w:pPr>
        <w:pStyle w:val="9"/>
        <w:spacing w:after="0" w:line="249" w:lineRule="auto"/>
        <w:rPr>
          <w:rFonts w:hint="eastAsia"/>
          <w:color w:val="231F20"/>
        </w:rPr>
      </w:pPr>
      <w:r>
        <w:rPr>
          <w:rFonts w:hint="eastAsia"/>
          <w:color w:val="231F20"/>
        </w:rPr>
        <w:t>What counts is a new spiritual creation resulting in faith in Christ (Gal. 6:14-16).</w:t>
      </w:r>
    </w:p>
    <w:p w14:paraId="5D401ED0">
      <w:pPr>
        <w:pStyle w:val="9"/>
        <w:spacing w:after="0" w:line="249" w:lineRule="auto"/>
        <w:rPr>
          <w:rFonts w:hint="eastAsia"/>
          <w:color w:val="231F20"/>
        </w:rPr>
      </w:pPr>
      <w:r>
        <w:rPr>
          <w:rFonts w:hint="eastAsia"/>
          <w:color w:val="231F20"/>
        </w:rPr>
        <w:t>重要的是因信基督而产生的一个新的属灵创造（加拉太书 6:14-16）。</w:t>
      </w:r>
    </w:p>
    <w:p w14:paraId="5EF258F0">
      <w:pPr>
        <w:pStyle w:val="9"/>
        <w:spacing w:after="0" w:line="249" w:lineRule="auto"/>
        <w:rPr>
          <w:rFonts w:hint="eastAsia"/>
          <w:color w:val="231F20"/>
        </w:rPr>
      </w:pPr>
    </w:p>
    <w:p w14:paraId="23158170">
      <w:pPr>
        <w:pStyle w:val="9"/>
        <w:spacing w:after="0" w:line="249" w:lineRule="auto"/>
        <w:rPr>
          <w:rFonts w:hint="eastAsia"/>
          <w:color w:val="231F20"/>
        </w:rPr>
      </w:pPr>
      <w:r>
        <w:rPr>
          <w:rFonts w:hint="eastAsia"/>
          <w:color w:val="231F20"/>
        </w:rPr>
        <w:t>These “new creatures in Christ” (2 Cor. 5:17) are the eschatological Israel of God, the eschatological Judah of God, and the eschatological race, nation, and people of God (1 Peter 2:10).</w:t>
      </w:r>
    </w:p>
    <w:p w14:paraId="6A9C5531">
      <w:pPr>
        <w:pStyle w:val="9"/>
        <w:spacing w:after="0" w:line="249" w:lineRule="auto"/>
        <w:rPr>
          <w:rFonts w:hint="eastAsia"/>
          <w:color w:val="231F20"/>
        </w:rPr>
      </w:pPr>
      <w:r>
        <w:rPr>
          <w:rFonts w:hint="eastAsia"/>
          <w:color w:val="231F20"/>
        </w:rPr>
        <w:t>这些“在基督里的新造的人”（哥林多后书 5:17）是上帝的末世以色列，上帝的末世犹大，以及上帝的末世族类、国度和子民（彼得前书 2:10）。</w:t>
      </w:r>
    </w:p>
    <w:p w14:paraId="352D5B44">
      <w:pPr>
        <w:pStyle w:val="9"/>
        <w:spacing w:after="0" w:line="249" w:lineRule="auto"/>
        <w:rPr>
          <w:rFonts w:hint="eastAsia"/>
          <w:color w:val="231F20"/>
        </w:rPr>
      </w:pPr>
    </w:p>
    <w:p w14:paraId="5A9C41C1">
      <w:pPr>
        <w:pStyle w:val="9"/>
        <w:spacing w:after="0" w:line="249" w:lineRule="auto"/>
        <w:rPr>
          <w:rFonts w:hint="eastAsia"/>
          <w:color w:val="231F20"/>
        </w:rPr>
      </w:pPr>
      <w:r>
        <w:rPr>
          <w:rFonts w:hint="eastAsia"/>
          <w:color w:val="231F20"/>
        </w:rPr>
        <w:t>It is of these, and these alone, that Jeremiah and the other prophets wrote in OTKP.3, 4</w:t>
      </w:r>
    </w:p>
    <w:p w14:paraId="70EFE6AE">
      <w:pPr>
        <w:pStyle w:val="9"/>
        <w:spacing w:after="0" w:line="249" w:lineRule="auto"/>
        <w:rPr>
          <w:rFonts w:hint="eastAsia"/>
          <w:color w:val="231F20"/>
        </w:rPr>
      </w:pPr>
      <w:r>
        <w:rPr>
          <w:rFonts w:hint="eastAsia"/>
          <w:color w:val="231F20"/>
        </w:rPr>
        <w:t>耶利米和其他先知在旧约国度预言（OTKP）中所写的，正是这些，且唯有这些。3, 4</w:t>
      </w:r>
    </w:p>
    <w:p w14:paraId="30F40ECE">
      <w:pPr>
        <w:pStyle w:val="9"/>
        <w:spacing w:after="0" w:line="249" w:lineRule="auto"/>
        <w:rPr>
          <w:rFonts w:hint="eastAsia"/>
          <w:color w:val="231F20"/>
        </w:rPr>
      </w:pPr>
    </w:p>
    <w:p w14:paraId="1C552DDA">
      <w:pPr>
        <w:pStyle w:val="9"/>
        <w:spacing w:after="0" w:line="249" w:lineRule="auto"/>
        <w:rPr>
          <w:rFonts w:hint="eastAsia"/>
          <w:color w:val="231F20"/>
        </w:rPr>
      </w:pPr>
      <w:r>
        <w:rPr>
          <w:rFonts w:hint="eastAsia"/>
          <w:color w:val="231F20"/>
        </w:rPr>
        <w:t>We conclude, then, that Hebrews 8 is indeed a NT text of vast eschatological importance, seeing that it declares the eternal obsolescence of all OT institutions, rules out prophetic literalism, and stands as an open invitation to Christians everywhere, that they may—and should—use the NCH to see the life of Christ’s New Covenant people, the Church, promised and pictured in all OTKP.</w:t>
      </w:r>
    </w:p>
    <w:p w14:paraId="7F7C101F">
      <w:pPr>
        <w:pStyle w:val="9"/>
        <w:spacing w:after="0" w:line="249" w:lineRule="auto"/>
        <w:rPr>
          <w:rFonts w:hint="eastAsia"/>
          <w:color w:val="231F20"/>
        </w:rPr>
      </w:pPr>
      <w:r>
        <w:rPr>
          <w:rFonts w:hint="eastAsia"/>
          <w:color w:val="231F20"/>
        </w:rPr>
        <w:t>因此，我们得出结论，希伯来书第8章确实是一段具有巨大末世论重要性的新约经文，因为它宣告了所有旧约制度的永恒过时性，排除了预言的字面主义，并向各处的基督徒发出了一个公开的邀请，使他们可以——并且应该——使用新约解释学（NCH）来看到基督新约子民，即教会的生活，在所有旧约国度预言（OTKP）中被应许和描绘。</w:t>
      </w:r>
    </w:p>
    <w:p w14:paraId="6BC4B843">
      <w:pPr>
        <w:pStyle w:val="9"/>
        <w:spacing w:after="0" w:line="249" w:lineRule="auto"/>
        <w:rPr>
          <w:rFonts w:hint="eastAsia"/>
          <w:color w:val="231F20"/>
        </w:rPr>
      </w:pPr>
    </w:p>
    <w:p w14:paraId="62C16CDE">
      <w:pPr>
        <w:pStyle w:val="9"/>
        <w:spacing w:after="0" w:line="249" w:lineRule="auto"/>
        <w:rPr>
          <w:rFonts w:hint="eastAsia"/>
          <w:color w:val="231F20"/>
        </w:rPr>
      </w:pPr>
      <w:r>
        <w:rPr>
          <w:rFonts w:hint="eastAsia"/>
          <w:color w:val="231F20"/>
        </w:rPr>
        <w:t>12.New Heavens and a New Earth</w:t>
      </w:r>
    </w:p>
    <w:p w14:paraId="5BAF007F">
      <w:pPr>
        <w:pStyle w:val="9"/>
        <w:spacing w:after="0" w:line="249" w:lineRule="auto"/>
        <w:rPr>
          <w:rFonts w:hint="eastAsia"/>
          <w:color w:val="231F20"/>
        </w:rPr>
      </w:pPr>
      <w:r>
        <w:rPr>
          <w:rFonts w:hint="eastAsia"/>
          <w:color w:val="231F20"/>
        </w:rPr>
        <w:t>12.新天新地</w:t>
      </w:r>
    </w:p>
    <w:p w14:paraId="5A2A46D5">
      <w:pPr>
        <w:pStyle w:val="9"/>
        <w:spacing w:after="0" w:line="249" w:lineRule="auto"/>
        <w:rPr>
          <w:rFonts w:hint="eastAsia"/>
          <w:color w:val="231F20"/>
        </w:rPr>
      </w:pPr>
    </w:p>
    <w:p w14:paraId="2A1310A9">
      <w:pPr>
        <w:pStyle w:val="9"/>
        <w:spacing w:after="0" w:line="249" w:lineRule="auto"/>
        <w:rPr>
          <w:rFonts w:hint="eastAsia"/>
          <w:color w:val="231F20"/>
        </w:rPr>
      </w:pPr>
      <w:r>
        <w:rPr>
          <w:rFonts w:hint="eastAsia"/>
          <w:color w:val="231F20"/>
        </w:rPr>
        <w:t>(2 Peter 3:13, Isaiah 65:17, 66:22)</w:t>
      </w:r>
    </w:p>
    <w:p w14:paraId="1E17E46C">
      <w:pPr>
        <w:pStyle w:val="9"/>
        <w:spacing w:after="0" w:line="249" w:lineRule="auto"/>
        <w:rPr>
          <w:rFonts w:hint="eastAsia"/>
          <w:color w:val="231F20"/>
        </w:rPr>
      </w:pPr>
      <w:r>
        <w:rPr>
          <w:rFonts w:hint="eastAsia"/>
          <w:color w:val="231F20"/>
        </w:rPr>
        <w:t>（彼得后书 3:13, 以赛亚书 65:17, 66:22）</w:t>
      </w:r>
    </w:p>
    <w:p w14:paraId="215D2BB7">
      <w:pPr>
        <w:pStyle w:val="9"/>
        <w:spacing w:after="0" w:line="249" w:lineRule="auto"/>
        <w:rPr>
          <w:rFonts w:hint="eastAsia"/>
          <w:color w:val="231F20"/>
        </w:rPr>
      </w:pPr>
    </w:p>
    <w:p w14:paraId="47DB3F1F">
      <w:pPr>
        <w:pStyle w:val="9"/>
        <w:spacing w:after="0" w:line="249" w:lineRule="auto"/>
        <w:rPr>
          <w:rFonts w:hint="eastAsia"/>
          <w:color w:val="231F20"/>
        </w:rPr>
      </w:pPr>
      <w:r>
        <w:rPr>
          <w:rFonts w:hint="eastAsia"/>
          <w:color w:val="231F20"/>
        </w:rPr>
        <w:t>Our final text appears in a portion of NT Scripture dealing with the Consummation (2 Peter 3:1-13).</w:t>
      </w:r>
    </w:p>
    <w:p w14:paraId="71FC476B">
      <w:pPr>
        <w:pStyle w:val="9"/>
        <w:spacing w:after="0" w:line="249" w:lineRule="auto"/>
        <w:rPr>
          <w:rFonts w:hint="eastAsia"/>
          <w:color w:val="231F20"/>
        </w:rPr>
      </w:pPr>
      <w:r>
        <w:rPr>
          <w:rFonts w:hint="eastAsia"/>
          <w:color w:val="231F20"/>
        </w:rPr>
        <w:t>我们最后的经文出现在新约圣经中处理“成全”的部分（彼得后书 3:1-13）。</w:t>
      </w:r>
    </w:p>
    <w:p w14:paraId="1BB282CB">
      <w:pPr>
        <w:pStyle w:val="9"/>
        <w:spacing w:after="0" w:line="249" w:lineRule="auto"/>
        <w:rPr>
          <w:rFonts w:hint="eastAsia"/>
          <w:color w:val="231F20"/>
        </w:rPr>
      </w:pPr>
    </w:p>
    <w:p w14:paraId="29421D15">
      <w:pPr>
        <w:pStyle w:val="9"/>
        <w:spacing w:after="0" w:line="249" w:lineRule="auto"/>
        <w:rPr>
          <w:rFonts w:hint="eastAsia"/>
          <w:color w:val="231F20"/>
        </w:rPr>
      </w:pPr>
      <w:r>
        <w:rPr>
          <w:rFonts w:hint="eastAsia"/>
          <w:color w:val="231F20"/>
        </w:rPr>
        <w:t>The Lord has tarried for years, ignorant skeptics are mocking at the promise of his return, believers are having doubts, and Peter is eager to strengthen their faith and perseverance.</w:t>
      </w:r>
    </w:p>
    <w:p w14:paraId="1ADCED6E">
      <w:pPr>
        <w:pStyle w:val="9"/>
        <w:spacing w:after="0" w:line="249" w:lineRule="auto"/>
        <w:rPr>
          <w:rFonts w:hint="eastAsia"/>
          <w:color w:val="231F20"/>
        </w:rPr>
      </w:pPr>
      <w:r>
        <w:rPr>
          <w:rFonts w:hint="eastAsia"/>
          <w:color w:val="231F20"/>
        </w:rPr>
        <w:t>主已经耽延了多年，无知的怀疑者嘲笑祂再来的应许，信徒们心存疑惑，而彼得则渴望坚固他们的信心和忍耐。</w:t>
      </w:r>
    </w:p>
    <w:p w14:paraId="2A3C684B">
      <w:pPr>
        <w:pStyle w:val="9"/>
        <w:spacing w:after="0" w:line="249" w:lineRule="auto"/>
        <w:rPr>
          <w:rFonts w:hint="eastAsia"/>
          <w:color w:val="231F20"/>
        </w:rPr>
      </w:pPr>
    </w:p>
    <w:p w14:paraId="36319E9B">
      <w:pPr>
        <w:pStyle w:val="9"/>
        <w:spacing w:after="0" w:line="249" w:lineRule="auto"/>
        <w:rPr>
          <w:rFonts w:hint="eastAsia"/>
          <w:color w:val="231F20"/>
        </w:rPr>
      </w:pPr>
      <w:r>
        <w:rPr>
          <w:rFonts w:hint="eastAsia"/>
          <w:color w:val="231F20"/>
        </w:rPr>
        <w:t>After reminding them that God has indeed supernaturally intervened in history on many different occasions, and after explaining that God has wise reasons for the apparent delay of Christ’s Parousia, Peter offers a solemn description of the cosmic conflagration that will engulf sinners on the Day of the Lord Jesus Christ.</w:t>
      </w:r>
    </w:p>
    <w:p w14:paraId="28928B8F">
      <w:pPr>
        <w:pStyle w:val="9"/>
        <w:spacing w:after="0" w:line="249" w:lineRule="auto"/>
        <w:rPr>
          <w:rFonts w:hint="eastAsia"/>
          <w:color w:val="231F20"/>
        </w:rPr>
      </w:pPr>
      <w:r>
        <w:rPr>
          <w:rFonts w:hint="eastAsia"/>
          <w:color w:val="231F20"/>
        </w:rPr>
        <w:t>在提醒他们上帝确实在历史上许多不同的场合超自然地干预之后，并解释了上帝对基督再来表面上的延迟有智慧的理由之后，彼得对将在主耶稣基督的日子吞噬罪人的宇宙大火作了庄严的描述。</w:t>
      </w:r>
    </w:p>
    <w:p w14:paraId="427425C2">
      <w:pPr>
        <w:pStyle w:val="9"/>
        <w:spacing w:after="0" w:line="249" w:lineRule="auto"/>
        <w:rPr>
          <w:rFonts w:hint="eastAsia"/>
          <w:color w:val="231F20"/>
        </w:rPr>
      </w:pPr>
    </w:p>
    <w:p w14:paraId="0CD7ACFA">
      <w:pPr>
        <w:pStyle w:val="9"/>
        <w:spacing w:after="0" w:line="249" w:lineRule="auto"/>
        <w:rPr>
          <w:rFonts w:hint="eastAsia"/>
          <w:color w:val="231F20"/>
        </w:rPr>
      </w:pPr>
      <w:r>
        <w:rPr>
          <w:rFonts w:hint="eastAsia"/>
          <w:color w:val="231F20"/>
        </w:rPr>
        <w:t>Then, to encourage his trembling brethren, he closes by saying, “But according to His promise, we are looking for new heavens and a new earth, in which righteousness dwells” (2 Peter 3:13).</w:t>
      </w:r>
    </w:p>
    <w:p w14:paraId="5118E1F4">
      <w:pPr>
        <w:pStyle w:val="9"/>
        <w:spacing w:after="0" w:line="249" w:lineRule="auto"/>
        <w:rPr>
          <w:rFonts w:hint="eastAsia"/>
          <w:color w:val="231F20"/>
        </w:rPr>
      </w:pPr>
      <w:r>
        <w:rPr>
          <w:rFonts w:hint="eastAsia"/>
          <w:color w:val="231F20"/>
        </w:rPr>
        <w:t>然后，为了鼓励他战兢的弟兄们，他最后说：“但我们照祂的应许，盼望新天新地，有义居在其中”（彼得后书 3:13）。</w:t>
      </w:r>
    </w:p>
    <w:p w14:paraId="2E63027D">
      <w:pPr>
        <w:pStyle w:val="9"/>
        <w:spacing w:after="0" w:line="249" w:lineRule="auto"/>
        <w:rPr>
          <w:rFonts w:hint="eastAsia"/>
          <w:color w:val="231F20"/>
        </w:rPr>
      </w:pPr>
    </w:p>
    <w:p w14:paraId="26AA1853">
      <w:pPr>
        <w:pStyle w:val="9"/>
        <w:spacing w:after="0" w:line="249" w:lineRule="auto"/>
        <w:rPr>
          <w:rFonts w:hint="eastAsia"/>
          <w:color w:val="231F20"/>
        </w:rPr>
      </w:pPr>
      <w:r>
        <w:rPr>
          <w:rFonts w:hint="eastAsia"/>
          <w:color w:val="231F20"/>
        </w:rPr>
        <w:t>In speaking thus of the World to Come, Peter is referring to an OTKP, Isaiah 65:17-25 (see also Isaiah 66:18-24).</w:t>
      </w:r>
    </w:p>
    <w:p w14:paraId="6AFD570B">
      <w:pPr>
        <w:pStyle w:val="9"/>
        <w:spacing w:after="0" w:line="249" w:lineRule="auto"/>
        <w:rPr>
          <w:rFonts w:hint="eastAsia"/>
          <w:color w:val="231F20"/>
        </w:rPr>
      </w:pPr>
      <w:r>
        <w:rPr>
          <w:rFonts w:hint="eastAsia"/>
          <w:color w:val="231F20"/>
        </w:rPr>
        <w:t>彼得这样谈论未来的世界时，指的是一个旧约国度预言（OTKP），即以赛亚书 65:17-25（另见以赛亚书 66:18-24）。</w:t>
      </w:r>
    </w:p>
    <w:p w14:paraId="13F27799">
      <w:pPr>
        <w:pStyle w:val="9"/>
        <w:spacing w:after="0" w:line="249" w:lineRule="auto"/>
        <w:rPr>
          <w:rFonts w:hint="eastAsia"/>
          <w:color w:val="231F20"/>
        </w:rPr>
      </w:pPr>
    </w:p>
    <w:p w14:paraId="1376CB37">
      <w:pPr>
        <w:pStyle w:val="9"/>
        <w:spacing w:after="0" w:line="249" w:lineRule="auto"/>
        <w:rPr>
          <w:rFonts w:hint="eastAsia"/>
          <w:color w:val="231F20"/>
        </w:rPr>
      </w:pPr>
      <w:r>
        <w:rPr>
          <w:rFonts w:hint="eastAsia"/>
          <w:color w:val="231F20"/>
        </w:rPr>
        <w:t>Before looking at it, we must first ask ourselves: What exactly did the apostle have in mind when he said that Christians look for a new world “in which righteousness dwells?”</w:t>
      </w:r>
    </w:p>
    <w:p w14:paraId="1C24CA8A">
      <w:pPr>
        <w:pStyle w:val="9"/>
        <w:spacing w:after="0" w:line="249" w:lineRule="auto"/>
        <w:rPr>
          <w:rFonts w:hint="eastAsia"/>
          <w:color w:val="231F20"/>
        </w:rPr>
      </w:pPr>
      <w:r>
        <w:rPr>
          <w:rFonts w:hint="eastAsia"/>
          <w:color w:val="231F20"/>
        </w:rPr>
        <w:t>在看它之前，我们必须首先问自己：当使徒说基督徒盼望一个“有义居在其中”的新世界时，他心中究竟在想什么？</w:t>
      </w:r>
    </w:p>
    <w:p w14:paraId="0D8857F0">
      <w:pPr>
        <w:pStyle w:val="9"/>
        <w:spacing w:after="0" w:line="249" w:lineRule="auto"/>
        <w:rPr>
          <w:rFonts w:hint="eastAsia"/>
          <w:color w:val="231F20"/>
        </w:rPr>
      </w:pPr>
    </w:p>
    <w:p w14:paraId="7988471A">
      <w:pPr>
        <w:pStyle w:val="9"/>
        <w:spacing w:after="0" w:line="249" w:lineRule="auto"/>
        <w:rPr>
          <w:rFonts w:hint="eastAsia"/>
          <w:color w:val="231F20"/>
        </w:rPr>
      </w:pPr>
      <w:r>
        <w:rPr>
          <w:rFonts w:hint="eastAsia"/>
          <w:color w:val="231F20"/>
        </w:rPr>
        <w:t>Our first clue is found in the verses immediately preceding this one.</w:t>
      </w:r>
    </w:p>
    <w:p w14:paraId="02387890">
      <w:pPr>
        <w:pStyle w:val="9"/>
        <w:spacing w:after="0" w:line="249" w:lineRule="auto"/>
        <w:rPr>
          <w:rFonts w:hint="eastAsia"/>
          <w:color w:val="231F20"/>
        </w:rPr>
      </w:pPr>
      <w:r>
        <w:rPr>
          <w:rFonts w:hint="eastAsia"/>
          <w:color w:val="231F20"/>
        </w:rPr>
        <w:t>我们的第一个线索可以在紧接这节经文的前几节中找到。</w:t>
      </w:r>
    </w:p>
    <w:p w14:paraId="6B415DE4">
      <w:pPr>
        <w:pStyle w:val="9"/>
        <w:spacing w:after="0" w:line="249" w:lineRule="auto"/>
        <w:rPr>
          <w:rFonts w:hint="eastAsia"/>
          <w:color w:val="231F20"/>
        </w:rPr>
      </w:pPr>
    </w:p>
    <w:p w14:paraId="7592F7BB">
      <w:pPr>
        <w:pStyle w:val="9"/>
        <w:spacing w:after="0" w:line="249" w:lineRule="auto"/>
        <w:rPr>
          <w:rFonts w:hint="eastAsia"/>
          <w:color w:val="231F20"/>
        </w:rPr>
      </w:pPr>
      <w:r>
        <w:rPr>
          <w:rFonts w:hint="eastAsia"/>
          <w:color w:val="231F20"/>
        </w:rPr>
        <w:t>From them we learn that the World to Come will be a replacement: It will replace an old world that—in a manner analogous to the world of Noah’s day—has been altogether purged of evil.</w:t>
      </w:r>
    </w:p>
    <w:p w14:paraId="7E50CAF0">
      <w:pPr>
        <w:pStyle w:val="9"/>
        <w:spacing w:after="0" w:line="249" w:lineRule="auto"/>
        <w:rPr>
          <w:rFonts w:hint="eastAsia"/>
          <w:color w:val="231F20"/>
        </w:rPr>
      </w:pPr>
      <w:r>
        <w:rPr>
          <w:rFonts w:hint="eastAsia"/>
          <w:color w:val="231F20"/>
        </w:rPr>
        <w:t>从它们中我们得知，将要来临的世界将是一个替代品：它将取代一个旧世界，这个旧世界——以一种类似于挪亚时代世界的方式——已经完全被清除了邪恶。</w:t>
      </w:r>
    </w:p>
    <w:p w14:paraId="0118664F">
      <w:pPr>
        <w:pStyle w:val="9"/>
        <w:spacing w:after="0" w:line="249" w:lineRule="auto"/>
        <w:rPr>
          <w:rFonts w:hint="eastAsia"/>
          <w:color w:val="231F20"/>
        </w:rPr>
      </w:pPr>
    </w:p>
    <w:p w14:paraId="6A250291">
      <w:pPr>
        <w:pStyle w:val="9"/>
        <w:spacing w:after="0" w:line="249" w:lineRule="auto"/>
        <w:rPr>
          <w:rFonts w:hint="eastAsia"/>
          <w:color w:val="231F20"/>
        </w:rPr>
      </w:pPr>
      <w:r>
        <w:rPr>
          <w:rFonts w:hint="eastAsia"/>
          <w:color w:val="231F20"/>
        </w:rPr>
        <w:t>Not only will the fires of divine judgment engulf ungodly men in destruction (3:7), but they also will consume “the earth and its works” (3:10).</w:t>
      </w:r>
    </w:p>
    <w:p w14:paraId="7A22F57E">
      <w:pPr>
        <w:pStyle w:val="9"/>
        <w:spacing w:after="0" w:line="249" w:lineRule="auto"/>
        <w:rPr>
          <w:rFonts w:hint="eastAsia"/>
          <w:color w:val="231F20"/>
        </w:rPr>
      </w:pPr>
      <w:r>
        <w:rPr>
          <w:rFonts w:hint="eastAsia"/>
          <w:color w:val="231F20"/>
        </w:rPr>
        <w:t>不仅神圣审判的火将吞噬不敬虔的人，使其灭亡（3:7），它还将烧尽“地和其上的作为”（3:10）。</w:t>
      </w:r>
    </w:p>
    <w:p w14:paraId="26D42B27">
      <w:pPr>
        <w:pStyle w:val="9"/>
        <w:spacing w:after="0" w:line="249" w:lineRule="auto"/>
        <w:rPr>
          <w:rFonts w:hint="eastAsia"/>
          <w:color w:val="231F20"/>
        </w:rPr>
      </w:pPr>
    </w:p>
    <w:p w14:paraId="268CF23B">
      <w:pPr>
        <w:pStyle w:val="9"/>
        <w:spacing w:after="0" w:line="249" w:lineRule="auto"/>
        <w:rPr>
          <w:rFonts w:hint="eastAsia"/>
          <w:color w:val="231F20"/>
        </w:rPr>
      </w:pPr>
      <w:r>
        <w:rPr>
          <w:rFonts w:hint="eastAsia"/>
          <w:color w:val="231F20"/>
        </w:rPr>
        <w:t>In other words, in the final conflagration, everything evil will be purged—every mark of man’s sin and every mark of God’s curse (Rev. 21:1-4, 22:3).</w:t>
      </w:r>
    </w:p>
    <w:p w14:paraId="181D1357">
      <w:pPr>
        <w:pStyle w:val="9"/>
        <w:spacing w:after="0" w:line="249" w:lineRule="auto"/>
        <w:rPr>
          <w:rFonts w:hint="eastAsia"/>
          <w:color w:val="231F20"/>
        </w:rPr>
      </w:pPr>
      <w:r>
        <w:rPr>
          <w:rFonts w:hint="eastAsia"/>
          <w:color w:val="231F20"/>
        </w:rPr>
        <w:t>换句话说，在最后的烈火中，一切邪恶都将被清除——人类罪的每一个印记和上帝咒诅的每一个印记（启示录 21:1-4, 22:3）。</w:t>
      </w:r>
    </w:p>
    <w:p w14:paraId="0270E574">
      <w:pPr>
        <w:pStyle w:val="9"/>
        <w:spacing w:after="0" w:line="249" w:lineRule="auto"/>
        <w:rPr>
          <w:rFonts w:hint="eastAsia"/>
          <w:color w:val="231F20"/>
        </w:rPr>
      </w:pPr>
    </w:p>
    <w:p w14:paraId="28FA72E5">
      <w:pPr>
        <w:pStyle w:val="9"/>
        <w:spacing w:after="0" w:line="249" w:lineRule="auto"/>
        <w:rPr>
          <w:rFonts w:hint="eastAsia"/>
          <w:color w:val="231F20"/>
        </w:rPr>
      </w:pPr>
      <w:r>
        <w:rPr>
          <w:rFonts w:hint="eastAsia"/>
          <w:color w:val="231F20"/>
        </w:rPr>
        <w:t>As mentioned earlier, this reminds us of the words of Christ, who said that at his return he will cast out “everything that offends,” so that afterwards the righteous will shine forth like the sun in the Kingdom of the Father (Mt. 13:41-43).</w:t>
      </w:r>
    </w:p>
    <w:p w14:paraId="3BCDF5D8">
      <w:pPr>
        <w:pStyle w:val="9"/>
        <w:spacing w:after="0" w:line="249" w:lineRule="auto"/>
        <w:rPr>
          <w:rFonts w:hint="eastAsia"/>
          <w:color w:val="231F20"/>
        </w:rPr>
      </w:pPr>
      <w:r>
        <w:rPr>
          <w:rFonts w:hint="eastAsia"/>
          <w:color w:val="231F20"/>
        </w:rPr>
        <w:t>正如前面提到的，这让我们想起基督的话，祂说在祂再来时，祂将把“一切叫人跌倒的”都除去，以便之后义人能在父的国里发出光来，像太阳一样（马太福音 13:41-43）。</w:t>
      </w:r>
    </w:p>
    <w:p w14:paraId="2E25104D">
      <w:pPr>
        <w:pStyle w:val="9"/>
        <w:spacing w:after="0" w:line="249" w:lineRule="auto"/>
        <w:rPr>
          <w:rFonts w:hint="eastAsia"/>
          <w:color w:val="231F20"/>
        </w:rPr>
      </w:pPr>
    </w:p>
    <w:p w14:paraId="3F05FBC3">
      <w:pPr>
        <w:pStyle w:val="9"/>
        <w:spacing w:after="0" w:line="249" w:lineRule="auto"/>
        <w:rPr>
          <w:rFonts w:hint="eastAsia"/>
          <w:color w:val="231F20"/>
        </w:rPr>
      </w:pPr>
      <w:r>
        <w:rPr>
          <w:rFonts w:hint="eastAsia"/>
          <w:color w:val="231F20"/>
        </w:rPr>
        <w:t>It also reminds us of the words of Paul, who taught that at Christ’s return every remaining enemy of the Domain of Darkness—including death itself—will be placed under foot, and all creation will be released from its bondage to corruption into the freedom of the glory of the children of God (Rom. 8:18- 25, 1 Cor. 15:20-28, 50-55).</w:t>
      </w:r>
    </w:p>
    <w:p w14:paraId="067718C5">
      <w:pPr>
        <w:pStyle w:val="9"/>
        <w:spacing w:after="0" w:line="249" w:lineRule="auto"/>
        <w:rPr>
          <w:rFonts w:hint="eastAsia"/>
          <w:color w:val="231F20"/>
        </w:rPr>
      </w:pPr>
      <w:r>
        <w:rPr>
          <w:rFonts w:hint="eastAsia"/>
          <w:color w:val="231F20"/>
        </w:rPr>
        <w:t>这也让我们想起保罗的话，他教导说，在基督再来时，黑暗权势的每一个残余仇敌——包括死亡本身——都将被放在脚下，整个受造之物将脱离败坏的辖制，得享上帝儿女荣耀的自由（罗马书 8:18-25, 哥林多前书 15:20-28, 50-55）。</w:t>
      </w:r>
    </w:p>
    <w:p w14:paraId="3F058D91">
      <w:pPr>
        <w:pStyle w:val="9"/>
        <w:spacing w:after="0" w:line="249" w:lineRule="auto"/>
        <w:rPr>
          <w:rFonts w:hint="eastAsia"/>
          <w:color w:val="231F20"/>
        </w:rPr>
      </w:pPr>
    </w:p>
    <w:p w14:paraId="43D1DC66">
      <w:pPr>
        <w:pStyle w:val="9"/>
        <w:spacing w:after="0" w:line="249" w:lineRule="auto"/>
        <w:rPr>
          <w:rFonts w:hint="eastAsia"/>
          <w:color w:val="231F20"/>
        </w:rPr>
      </w:pPr>
      <w:r>
        <w:rPr>
          <w:rFonts w:hint="eastAsia"/>
          <w:color w:val="231F20"/>
        </w:rPr>
        <w:t>Since Peter understood and agreed with all these Scriptures, it is certain that in his mind “the new heavens and the new earth” for which believers wait is a perfectly righteous world; a world in which perfectly righteous people will dwell with God in perfect fulfillment and joy.</w:t>
      </w:r>
    </w:p>
    <w:p w14:paraId="571DD9C0">
      <w:pPr>
        <w:pStyle w:val="9"/>
        <w:spacing w:after="0" w:line="249" w:lineRule="auto"/>
        <w:rPr>
          <w:rFonts w:hint="eastAsia"/>
          <w:color w:val="231F20"/>
        </w:rPr>
      </w:pPr>
      <w:r>
        <w:rPr>
          <w:rFonts w:hint="eastAsia"/>
          <w:color w:val="231F20"/>
        </w:rPr>
        <w:t>既然彼得理解并同意所有这些经文，可以肯定的是，在他看来，信徒们所等候的“新天新地”是一个完全公义的世界；一个完全公义的人们将在完全的满足和喜乐中与上帝同住的世界。</w:t>
      </w:r>
    </w:p>
    <w:p w14:paraId="12E11384">
      <w:pPr>
        <w:pStyle w:val="9"/>
        <w:spacing w:after="0" w:line="249" w:lineRule="auto"/>
        <w:rPr>
          <w:rFonts w:hint="eastAsia"/>
          <w:color w:val="231F20"/>
        </w:rPr>
      </w:pPr>
    </w:p>
    <w:p w14:paraId="21A6B424">
      <w:pPr>
        <w:pStyle w:val="9"/>
        <w:spacing w:after="0" w:line="249" w:lineRule="auto"/>
        <w:rPr>
          <w:rFonts w:hint="eastAsia"/>
          <w:color w:val="231F20"/>
        </w:rPr>
      </w:pPr>
      <w:r>
        <w:rPr>
          <w:rFonts w:hint="eastAsia"/>
          <w:color w:val="231F20"/>
        </w:rPr>
        <w:t>When, however, we peruse the OT text that he cites (Isaiah 65:17-25), we see that while the world it describes is indeed very good—and certainly far better than the one we know today—it is not perfect, for here both the old and the young will still die (65:21).</w:t>
      </w:r>
    </w:p>
    <w:p w14:paraId="11ACF80B">
      <w:pPr>
        <w:pStyle w:val="9"/>
        <w:spacing w:after="0" w:line="249" w:lineRule="auto"/>
        <w:rPr>
          <w:rFonts w:hint="eastAsia"/>
          <w:color w:val="231F20"/>
        </w:rPr>
      </w:pPr>
      <w:r>
        <w:rPr>
          <w:rFonts w:hint="eastAsia"/>
          <w:color w:val="231F20"/>
        </w:rPr>
        <w:t>然而，当我们细读他所引用的旧约经文（以赛亚书 65:17-25）时，我们看到，虽然它所描述的世界确实很好——并且肯定比我们今天所知道的要好得多——但它并非完美，因为在这里，年老和年少的都仍会死亡（65:20）。</w:t>
      </w:r>
    </w:p>
    <w:p w14:paraId="4FC5CA7D">
      <w:pPr>
        <w:pStyle w:val="9"/>
        <w:spacing w:after="0" w:line="249" w:lineRule="auto"/>
        <w:rPr>
          <w:rFonts w:hint="eastAsia"/>
          <w:color w:val="231F20"/>
        </w:rPr>
      </w:pPr>
    </w:p>
    <w:p w14:paraId="35721ECB">
      <w:pPr>
        <w:pStyle w:val="9"/>
        <w:spacing w:after="0" w:line="249" w:lineRule="auto"/>
        <w:rPr>
          <w:rFonts w:hint="eastAsia"/>
          <w:color w:val="231F20"/>
        </w:rPr>
      </w:pPr>
      <w:r>
        <w:rPr>
          <w:rFonts w:hint="eastAsia"/>
          <w:color w:val="231F20"/>
        </w:rPr>
        <w:t>Stumbling over this, some Christian interpreters argue that Isaiah must have been speaking of the millennial world, a world better than ours, yet still falling short of the perfection that awaits God’s people in the new heavens and the new earth.</w:t>
      </w:r>
    </w:p>
    <w:p w14:paraId="0E1540EC">
      <w:pPr>
        <w:pStyle w:val="9"/>
        <w:spacing w:after="0" w:line="249" w:lineRule="auto"/>
        <w:rPr>
          <w:rFonts w:hint="eastAsia"/>
          <w:color w:val="231F20"/>
        </w:rPr>
      </w:pPr>
      <w:r>
        <w:rPr>
          <w:rFonts w:hint="eastAsia"/>
          <w:color w:val="231F20"/>
        </w:rPr>
        <w:t>一些基督徒解释者对此感到困惑，他们认为以赛亚一定是在谈论千禧年的世界，一个比我们的世界更好，但仍然达不到上帝子民在新天新地中所等候的完美境界。</w:t>
      </w:r>
    </w:p>
    <w:p w14:paraId="6AB05BDE">
      <w:pPr>
        <w:pStyle w:val="9"/>
        <w:spacing w:after="0" w:line="249" w:lineRule="auto"/>
        <w:rPr>
          <w:rFonts w:hint="eastAsia"/>
          <w:color w:val="231F20"/>
        </w:rPr>
      </w:pPr>
    </w:p>
    <w:p w14:paraId="70DDA0FE">
      <w:pPr>
        <w:pStyle w:val="9"/>
        <w:spacing w:after="0" w:line="249" w:lineRule="auto"/>
        <w:rPr>
          <w:rFonts w:hint="eastAsia"/>
          <w:color w:val="231F20"/>
        </w:rPr>
      </w:pPr>
      <w:r>
        <w:rPr>
          <w:rFonts w:hint="eastAsia"/>
          <w:color w:val="231F20"/>
        </w:rPr>
        <w:t>However, this solution is problematic.</w:t>
      </w:r>
    </w:p>
    <w:p w14:paraId="45C22BAD">
      <w:pPr>
        <w:pStyle w:val="9"/>
        <w:spacing w:after="0" w:line="249" w:lineRule="auto"/>
        <w:rPr>
          <w:rFonts w:hint="eastAsia"/>
          <w:color w:val="231F20"/>
        </w:rPr>
      </w:pPr>
      <w:r>
        <w:rPr>
          <w:rFonts w:hint="eastAsia"/>
          <w:color w:val="231F20"/>
        </w:rPr>
        <w:t>然而，这个解决方案是有问题的。</w:t>
      </w:r>
    </w:p>
    <w:p w14:paraId="428C083C">
      <w:pPr>
        <w:pStyle w:val="9"/>
        <w:spacing w:after="0" w:line="249" w:lineRule="auto"/>
        <w:rPr>
          <w:rFonts w:hint="eastAsia"/>
          <w:color w:val="231F20"/>
        </w:rPr>
      </w:pPr>
    </w:p>
    <w:p w14:paraId="06C84A70">
      <w:pPr>
        <w:pStyle w:val="9"/>
        <w:spacing w:after="0" w:line="249" w:lineRule="auto"/>
        <w:rPr>
          <w:rFonts w:hint="eastAsia"/>
          <w:color w:val="231F20"/>
        </w:rPr>
      </w:pPr>
      <w:r>
        <w:rPr>
          <w:rFonts w:hint="eastAsia"/>
          <w:color w:val="231F20"/>
        </w:rPr>
        <w:t>Isaiah himself says nothing of a thousand year epoch, nor does he even hint at the idea that the world he describes will be temporary.</w:t>
      </w:r>
    </w:p>
    <w:p w14:paraId="42DED73D">
      <w:pPr>
        <w:pStyle w:val="9"/>
        <w:spacing w:after="0" w:line="249" w:lineRule="auto"/>
        <w:rPr>
          <w:rFonts w:hint="eastAsia"/>
          <w:color w:val="231F20"/>
        </w:rPr>
      </w:pPr>
      <w:r>
        <w:rPr>
          <w:rFonts w:hint="eastAsia"/>
          <w:color w:val="231F20"/>
        </w:rPr>
        <w:t>以赛亚自己没有提到一千年的时代，甚至没有暗示他所描述的世界是暂时的。</w:t>
      </w:r>
    </w:p>
    <w:p w14:paraId="3D0E23AD">
      <w:pPr>
        <w:pStyle w:val="9"/>
        <w:spacing w:after="0" w:line="249" w:lineRule="auto"/>
        <w:rPr>
          <w:rFonts w:hint="eastAsia"/>
          <w:color w:val="231F20"/>
        </w:rPr>
      </w:pPr>
    </w:p>
    <w:p w14:paraId="121C6D2C">
      <w:pPr>
        <w:pStyle w:val="9"/>
        <w:spacing w:after="0" w:line="249" w:lineRule="auto"/>
        <w:rPr>
          <w:rFonts w:hint="eastAsia"/>
          <w:color w:val="231F20"/>
        </w:rPr>
      </w:pPr>
      <w:r>
        <w:rPr>
          <w:rFonts w:hint="eastAsia"/>
          <w:color w:val="231F20"/>
        </w:rPr>
        <w:t>To the contrary, he clearly represents it as the eschaton, the final state, the eternal World to Come (65:18, 19).</w:t>
      </w:r>
    </w:p>
    <w:p w14:paraId="24121E5B">
      <w:pPr>
        <w:pStyle w:val="9"/>
        <w:spacing w:after="0" w:line="249" w:lineRule="auto"/>
        <w:rPr>
          <w:rFonts w:hint="eastAsia"/>
          <w:color w:val="231F20"/>
        </w:rPr>
      </w:pPr>
      <w:r>
        <w:rPr>
          <w:rFonts w:hint="eastAsia"/>
          <w:color w:val="231F20"/>
        </w:rPr>
        <w:t>相反，他明确地将其描绘为末世，最终的状态，永恒的未来世界（65:18, 19）。</w:t>
      </w:r>
    </w:p>
    <w:p w14:paraId="7EA05784">
      <w:pPr>
        <w:pStyle w:val="9"/>
        <w:spacing w:after="0" w:line="249" w:lineRule="auto"/>
        <w:rPr>
          <w:rFonts w:hint="eastAsia"/>
          <w:color w:val="231F20"/>
        </w:rPr>
      </w:pPr>
    </w:p>
    <w:p w14:paraId="37266378">
      <w:pPr>
        <w:pStyle w:val="9"/>
        <w:spacing w:after="0" w:line="249" w:lineRule="auto"/>
        <w:rPr>
          <w:rFonts w:hint="eastAsia"/>
          <w:color w:val="231F20"/>
        </w:rPr>
      </w:pPr>
      <w:r>
        <w:rPr>
          <w:rFonts w:hint="eastAsia"/>
          <w:color w:val="231F20"/>
        </w:rPr>
        <w:t>Meanwhile, Peter, who in none of his sermons or letters has ever breathed a word about a millennium, obviously believes that the perfect world we Christians anticipate is indeed the very same world of which Isaiah spoke.</w:t>
      </w:r>
    </w:p>
    <w:p w14:paraId="6363A6E4">
      <w:pPr>
        <w:pStyle w:val="9"/>
        <w:spacing w:after="0" w:line="249" w:lineRule="auto"/>
        <w:rPr>
          <w:rFonts w:hint="eastAsia"/>
          <w:color w:val="231F20"/>
        </w:rPr>
      </w:pPr>
      <w:r>
        <w:rPr>
          <w:rFonts w:hint="eastAsia"/>
          <w:color w:val="231F20"/>
        </w:rPr>
        <w:t>与此同时，彼得，在他所有的讲道和书信中都从未提及过千禧年，显然相信我们基督徒所盼望的完美世界，确实就是以赛亚所说的同一个世界。</w:t>
      </w:r>
    </w:p>
    <w:p w14:paraId="1C6AF695">
      <w:pPr>
        <w:pStyle w:val="9"/>
        <w:spacing w:after="0" w:line="249" w:lineRule="auto"/>
        <w:rPr>
          <w:rFonts w:hint="eastAsia"/>
          <w:color w:val="231F20"/>
        </w:rPr>
      </w:pPr>
    </w:p>
    <w:p w14:paraId="0C15AAB5">
      <w:pPr>
        <w:pStyle w:val="9"/>
        <w:spacing w:after="0" w:line="249" w:lineRule="auto"/>
        <w:rPr>
          <w:rFonts w:hint="eastAsia"/>
          <w:color w:val="231F20"/>
        </w:rPr>
      </w:pPr>
      <w:r>
        <w:rPr>
          <w:rFonts w:hint="eastAsia"/>
          <w:color w:val="231F20"/>
        </w:rPr>
        <w:t>How are we to solve this apparent contradiction?</w:t>
      </w:r>
    </w:p>
    <w:p w14:paraId="7AE9FAF4">
      <w:pPr>
        <w:pStyle w:val="9"/>
        <w:spacing w:after="0" w:line="249" w:lineRule="auto"/>
        <w:rPr>
          <w:rFonts w:hint="eastAsia"/>
          <w:color w:val="231F20"/>
        </w:rPr>
      </w:pPr>
      <w:r>
        <w:rPr>
          <w:rFonts w:hint="eastAsia"/>
          <w:color w:val="231F20"/>
        </w:rPr>
        <w:t>我们该如何解决这个明显的矛盾？</w:t>
      </w:r>
    </w:p>
    <w:p w14:paraId="546094B3">
      <w:pPr>
        <w:pStyle w:val="9"/>
        <w:spacing w:after="0" w:line="249" w:lineRule="auto"/>
        <w:rPr>
          <w:rFonts w:hint="eastAsia"/>
          <w:color w:val="231F20"/>
        </w:rPr>
      </w:pPr>
    </w:p>
    <w:p w14:paraId="56C65719">
      <w:pPr>
        <w:pStyle w:val="9"/>
        <w:spacing w:after="0" w:line="249" w:lineRule="auto"/>
        <w:rPr>
          <w:rFonts w:hint="eastAsia"/>
          <w:color w:val="231F20"/>
        </w:rPr>
      </w:pPr>
      <w:r>
        <w:rPr>
          <w:rFonts w:hint="eastAsia"/>
          <w:color w:val="231F20"/>
        </w:rPr>
        <w:t>Will the World to Come be perfect, or will there be sickness and death in it?</w:t>
      </w:r>
    </w:p>
    <w:p w14:paraId="47B58460">
      <w:pPr>
        <w:pStyle w:val="9"/>
        <w:spacing w:after="0" w:line="249" w:lineRule="auto"/>
        <w:rPr>
          <w:rFonts w:hint="eastAsia"/>
          <w:color w:val="231F20"/>
        </w:rPr>
      </w:pPr>
      <w:r>
        <w:rPr>
          <w:rFonts w:hint="eastAsia"/>
          <w:color w:val="231F20"/>
        </w:rPr>
        <w:t>未来的世界会是完美的，还是其中会有疾病和死亡？</w:t>
      </w:r>
    </w:p>
    <w:p w14:paraId="50C0F4FF">
      <w:pPr>
        <w:pStyle w:val="9"/>
        <w:spacing w:after="0" w:line="249" w:lineRule="auto"/>
        <w:rPr>
          <w:rFonts w:hint="eastAsia"/>
          <w:color w:val="231F20"/>
        </w:rPr>
      </w:pPr>
    </w:p>
    <w:p w14:paraId="53434D92">
      <w:pPr>
        <w:pStyle w:val="9"/>
        <w:spacing w:after="0" w:line="249" w:lineRule="auto"/>
        <w:rPr>
          <w:rFonts w:hint="eastAsia"/>
          <w:color w:val="231F20"/>
        </w:rPr>
      </w:pPr>
      <w:r>
        <w:rPr>
          <w:rFonts w:hint="eastAsia"/>
          <w:color w:val="231F20"/>
        </w:rPr>
        <w:t>As I argued earlier, the solution is definitely not to import a millennium into Isaiah, but rather to read Isaiah’s prophecy as a “covenantally conditioned” revelation of the perfect world that Christ and his holy apostles and prophets promised to all who are found faithful at the Lord’s return.</w:t>
      </w:r>
    </w:p>
    <w:p w14:paraId="066C1321">
      <w:pPr>
        <w:pStyle w:val="9"/>
        <w:spacing w:after="0" w:line="249" w:lineRule="auto"/>
        <w:rPr>
          <w:rFonts w:hint="eastAsia"/>
          <w:color w:val="231F20"/>
        </w:rPr>
      </w:pPr>
      <w:r>
        <w:rPr>
          <w:rFonts w:hint="eastAsia"/>
          <w:color w:val="231F20"/>
        </w:rPr>
        <w:t>正如我早先所论证的，解决方案绝不是将千禧年引入以赛亚书，而是将以赛亚的预言读作一个“受圣约制约的”启示，启示了基督和祂的圣使徒及先知们所应许给所有在主再来时被发现忠心的人的完美世界。</w:t>
      </w:r>
    </w:p>
    <w:p w14:paraId="2A499A99">
      <w:pPr>
        <w:pStyle w:val="9"/>
        <w:spacing w:after="0" w:line="249" w:lineRule="auto"/>
        <w:rPr>
          <w:rFonts w:hint="eastAsia"/>
          <w:color w:val="231F20"/>
        </w:rPr>
      </w:pPr>
    </w:p>
    <w:p w14:paraId="4AAF20B8">
      <w:pPr>
        <w:pStyle w:val="9"/>
        <w:spacing w:after="0" w:line="249" w:lineRule="auto"/>
        <w:rPr>
          <w:rFonts w:hint="eastAsia"/>
          <w:color w:val="231F20"/>
        </w:rPr>
      </w:pPr>
      <w:r>
        <w:rPr>
          <w:rFonts w:hint="eastAsia"/>
          <w:color w:val="231F20"/>
        </w:rPr>
        <w:t>On this view, the Spirit was pleased to picture the new heavens and the new earth to Isaiah (and his Jewish brethren) under familiar OT images of divine blessing, images rooted in the Mosaic Law.</w:t>
      </w:r>
    </w:p>
    <w:p w14:paraId="0611FD8A">
      <w:pPr>
        <w:pStyle w:val="9"/>
        <w:spacing w:after="0" w:line="249" w:lineRule="auto"/>
        <w:rPr>
          <w:rFonts w:hint="eastAsia"/>
          <w:color w:val="231F20"/>
        </w:rPr>
      </w:pPr>
      <w:r>
        <w:rPr>
          <w:rFonts w:hint="eastAsia"/>
          <w:color w:val="231F20"/>
        </w:rPr>
        <w:t>在这种观点下，圣灵乐意用旧约中熟悉的、源于摩西律法的神圣祝福意象，向以赛亚（和他的犹太弟兄们）描绘新天新地。</w:t>
      </w:r>
    </w:p>
    <w:p w14:paraId="3163DD92">
      <w:pPr>
        <w:pStyle w:val="9"/>
        <w:spacing w:after="0" w:line="249" w:lineRule="auto"/>
        <w:rPr>
          <w:rFonts w:hint="eastAsia"/>
          <w:color w:val="231F20"/>
        </w:rPr>
      </w:pPr>
    </w:p>
    <w:p w14:paraId="1F47054A">
      <w:pPr>
        <w:pStyle w:val="9"/>
        <w:spacing w:after="0" w:line="249" w:lineRule="auto"/>
        <w:rPr>
          <w:rFonts w:hint="eastAsia"/>
          <w:color w:val="231F20"/>
        </w:rPr>
      </w:pPr>
      <w:r>
        <w:rPr>
          <w:rFonts w:hint="eastAsia"/>
          <w:color w:val="231F20"/>
        </w:rPr>
        <w:t>Thus, in Isaiah’s prophecy the promise was— among many other things—of great longevity (65:20).</w:t>
      </w:r>
    </w:p>
    <w:p w14:paraId="49DF53E6">
      <w:pPr>
        <w:pStyle w:val="9"/>
        <w:spacing w:after="0" w:line="249" w:lineRule="auto"/>
        <w:rPr>
          <w:rFonts w:hint="eastAsia"/>
          <w:color w:val="231F20"/>
        </w:rPr>
      </w:pPr>
      <w:r>
        <w:rPr>
          <w:rFonts w:hint="eastAsia"/>
          <w:color w:val="231F20"/>
        </w:rPr>
        <w:t>因此，在以赛亚的预言中，应许之一——在许多其他应许中——是长寿（65:20）。</w:t>
      </w:r>
    </w:p>
    <w:p w14:paraId="2A8E22B1">
      <w:pPr>
        <w:pStyle w:val="9"/>
        <w:spacing w:after="0" w:line="249" w:lineRule="auto"/>
        <w:rPr>
          <w:rFonts w:hint="eastAsia"/>
          <w:color w:val="231F20"/>
        </w:rPr>
      </w:pPr>
    </w:p>
    <w:p w14:paraId="3CD122E5">
      <w:pPr>
        <w:pStyle w:val="9"/>
        <w:spacing w:after="0" w:line="249" w:lineRule="auto"/>
        <w:rPr>
          <w:rFonts w:hint="eastAsia"/>
          <w:color w:val="231F20"/>
        </w:rPr>
      </w:pPr>
      <w:r>
        <w:rPr>
          <w:rFonts w:hint="eastAsia"/>
          <w:color w:val="231F20"/>
        </w:rPr>
        <w:t>But in the NT we see at last what the OT blessing of longevity typified: Eternal Life, the same Eternal Life offered to mankind in Eden, forfeited at the Fall, regained by Christ, and fully inherited at his return, when he himself will create new heavens and a new earth in which perfect righteousness dwells (John 1:29, Eph. 1:10, Phil. 3:21).</w:t>
      </w:r>
    </w:p>
    <w:p w14:paraId="38BFB0C2">
      <w:pPr>
        <w:pStyle w:val="9"/>
        <w:spacing w:after="0" w:line="249" w:lineRule="auto"/>
        <w:rPr>
          <w:rFonts w:hint="eastAsia"/>
          <w:color w:val="231F20"/>
        </w:rPr>
      </w:pPr>
      <w:r>
        <w:rPr>
          <w:rFonts w:hint="eastAsia"/>
          <w:color w:val="231F20"/>
        </w:rPr>
        <w:t>但在新约中，我们终于看到旧约长寿的祝福所预表的是什么：永生，即在伊甸园中提供给人类、在堕落时丧失、由基督重获、并在祂再来时完全继承的同一永生，那时祂自己将创造一个有完全的义居住的新天新地（约翰福音 1:29, 以弗所书 1:10, 腓立比书 3:21）。</w:t>
      </w:r>
    </w:p>
    <w:p w14:paraId="593F6CB7">
      <w:pPr>
        <w:pStyle w:val="9"/>
        <w:spacing w:after="0" w:line="249" w:lineRule="auto"/>
        <w:rPr>
          <w:rFonts w:hint="eastAsia"/>
          <w:color w:val="231F20"/>
        </w:rPr>
      </w:pPr>
    </w:p>
    <w:p w14:paraId="1EA0879F">
      <w:pPr>
        <w:pStyle w:val="9"/>
        <w:spacing w:after="0" w:line="249" w:lineRule="auto"/>
        <w:rPr>
          <w:rFonts w:hint="eastAsia"/>
          <w:color w:val="231F20"/>
        </w:rPr>
      </w:pPr>
      <w:r>
        <w:rPr>
          <w:rFonts w:hint="eastAsia"/>
          <w:color w:val="231F20"/>
        </w:rPr>
        <w:t>Speaking of Isaiah 65:17-25 as a whole, commentator Derek Kinder well says:</w:t>
      </w:r>
    </w:p>
    <w:p w14:paraId="2A59EA90">
      <w:pPr>
        <w:pStyle w:val="9"/>
        <w:spacing w:after="0" w:line="249" w:lineRule="auto"/>
        <w:rPr>
          <w:rFonts w:hint="eastAsia"/>
          <w:color w:val="231F20"/>
        </w:rPr>
      </w:pPr>
      <w:r>
        <w:rPr>
          <w:rFonts w:hint="eastAsia"/>
          <w:color w:val="231F20"/>
        </w:rPr>
        <w:t>论到以赛亚书 65:17-25 的整体，评论家德里克·金德纳说得很好：</w:t>
      </w:r>
    </w:p>
    <w:p w14:paraId="28D1ED4A">
      <w:pPr>
        <w:pStyle w:val="9"/>
        <w:spacing w:after="0" w:line="249" w:lineRule="auto"/>
        <w:rPr>
          <w:rFonts w:hint="eastAsia"/>
          <w:color w:val="231F20"/>
        </w:rPr>
      </w:pPr>
    </w:p>
    <w:p w14:paraId="25AFD032">
      <w:pPr>
        <w:pStyle w:val="9"/>
        <w:spacing w:after="0" w:line="249" w:lineRule="auto"/>
        <w:rPr>
          <w:rFonts w:hint="eastAsia"/>
          <w:color w:val="231F20"/>
        </w:rPr>
      </w:pPr>
      <w:r>
        <w:rPr>
          <w:rFonts w:hint="eastAsia"/>
          <w:color w:val="231F20"/>
        </w:rPr>
        <w:t>(Here) the new is portrayed wholly in terms of the old, only without the old sorrows; there is no attempt (as in the NT) to describe any other kind of newness … All is expressed freely, locally, and pictorially, to kindle hope rather than feed curiosity.5</w:t>
      </w:r>
    </w:p>
    <w:p w14:paraId="4794B882">
      <w:pPr>
        <w:pStyle w:val="9"/>
        <w:spacing w:after="0" w:line="249" w:lineRule="auto"/>
        <w:rPr>
          <w:rFonts w:hint="eastAsia"/>
          <w:color w:val="231F20"/>
        </w:rPr>
      </w:pPr>
      <w:r>
        <w:rPr>
          <w:rFonts w:hint="eastAsia"/>
          <w:color w:val="231F20"/>
        </w:rPr>
        <w:t>（在这里）新的完全是用旧的来描绘的，只是没有了旧的悲伤；没有尝试（像在新约中那样）去描述任何其他种类的更新……一切都自由地、局部地、形象地表达出来，为要点燃盼望，而非满足好奇心。5</w:t>
      </w:r>
    </w:p>
    <w:p w14:paraId="68034043">
      <w:pPr>
        <w:pStyle w:val="9"/>
        <w:spacing w:after="0" w:line="249" w:lineRule="auto"/>
        <w:rPr>
          <w:rFonts w:hint="eastAsia"/>
          <w:color w:val="231F20"/>
        </w:rPr>
      </w:pPr>
    </w:p>
    <w:p w14:paraId="3F602A80">
      <w:pPr>
        <w:pStyle w:val="9"/>
        <w:spacing w:after="0" w:line="249" w:lineRule="auto"/>
        <w:rPr>
          <w:rFonts w:hint="eastAsia"/>
          <w:color w:val="231F20"/>
        </w:rPr>
      </w:pPr>
      <w:r>
        <w:rPr>
          <w:rFonts w:hint="eastAsia"/>
          <w:color w:val="231F20"/>
        </w:rPr>
        <w:t>Summing up, in this solemn and majestic text, Peter, under the inspiration of the Holy Spirit, supplied God’s new covenant people with “true truth” about the Day of the Lord and the World to Come.</w:t>
      </w:r>
    </w:p>
    <w:p w14:paraId="20D841BE">
      <w:pPr>
        <w:pStyle w:val="9"/>
        <w:spacing w:after="0" w:line="249" w:lineRule="auto"/>
        <w:rPr>
          <w:rFonts w:hint="eastAsia"/>
          <w:color w:val="231F20"/>
        </w:rPr>
      </w:pPr>
      <w:r>
        <w:rPr>
          <w:rFonts w:hint="eastAsia"/>
          <w:color w:val="231F20"/>
        </w:rPr>
        <w:t>总而言之，在这段庄严宏伟的经文中，彼得在圣灵的默示下，向上帝的新约子民供给了关于主的日子和未来世界的“真实真理”。</w:t>
      </w:r>
    </w:p>
    <w:p w14:paraId="58A64FB4">
      <w:pPr>
        <w:pStyle w:val="9"/>
        <w:spacing w:after="0" w:line="249" w:lineRule="auto"/>
        <w:rPr>
          <w:rFonts w:hint="eastAsia"/>
          <w:color w:val="231F20"/>
        </w:rPr>
      </w:pPr>
    </w:p>
    <w:p w14:paraId="190E30D1">
      <w:pPr>
        <w:pStyle w:val="9"/>
        <w:spacing w:after="0" w:line="249" w:lineRule="auto"/>
        <w:rPr>
          <w:rFonts w:hint="eastAsia"/>
          <w:color w:val="231F20"/>
        </w:rPr>
      </w:pPr>
      <w:r>
        <w:rPr>
          <w:rFonts w:hint="eastAsia"/>
          <w:color w:val="231F20"/>
        </w:rPr>
        <w:t>Moreover, by identifying this truth as the fulfillment of specific OTKP’s, he teaches us how to interpret those prophecies and all OTKP.</w:t>
      </w:r>
    </w:p>
    <w:p w14:paraId="6824D8DD">
      <w:pPr>
        <w:pStyle w:val="9"/>
        <w:spacing w:after="0" w:line="249" w:lineRule="auto"/>
        <w:rPr>
          <w:rFonts w:hint="eastAsia"/>
          <w:color w:val="231F20"/>
        </w:rPr>
      </w:pPr>
      <w:r>
        <w:rPr>
          <w:rFonts w:hint="eastAsia"/>
          <w:color w:val="231F20"/>
        </w:rPr>
        <w:t>此外，通过将这个真理确定为特定旧约国度预言（OTKP）的应验，他教导我们如何解释那些预言以及所有旧约国度预言。</w:t>
      </w:r>
    </w:p>
    <w:p w14:paraId="5128EBC1">
      <w:pPr>
        <w:pStyle w:val="9"/>
        <w:spacing w:after="0" w:line="249" w:lineRule="auto"/>
        <w:rPr>
          <w:rFonts w:hint="eastAsia"/>
          <w:color w:val="231F20"/>
        </w:rPr>
      </w:pPr>
    </w:p>
    <w:p w14:paraId="2F33E9F4">
      <w:pPr>
        <w:pStyle w:val="9"/>
        <w:spacing w:after="0" w:line="249" w:lineRule="auto"/>
        <w:rPr>
          <w:rFonts w:hint="eastAsia"/>
          <w:color w:val="231F20"/>
        </w:rPr>
      </w:pPr>
      <w:r>
        <w:rPr>
          <w:rFonts w:hint="eastAsia"/>
          <w:color w:val="231F20"/>
        </w:rPr>
        <w:t>All that is necessary is to remember that the Old Testament is the New concealed.</w:t>
      </w:r>
    </w:p>
    <w:p w14:paraId="138A5B94">
      <w:pPr>
        <w:pStyle w:val="9"/>
        <w:spacing w:after="0" w:line="249" w:lineRule="auto"/>
        <w:rPr>
          <w:rFonts w:hint="eastAsia"/>
          <w:color w:val="231F20"/>
        </w:rPr>
      </w:pPr>
      <w:r>
        <w:rPr>
          <w:rFonts w:hint="eastAsia"/>
          <w:color w:val="231F20"/>
        </w:rPr>
        <w:t>所需要的只是记住，旧约是隐藏的新约。</w:t>
      </w:r>
    </w:p>
    <w:p w14:paraId="4C5FACEB">
      <w:pPr>
        <w:pStyle w:val="9"/>
        <w:spacing w:after="0" w:line="249" w:lineRule="auto"/>
        <w:rPr>
          <w:rFonts w:hint="eastAsia"/>
          <w:color w:val="231F20"/>
        </w:rPr>
      </w:pPr>
    </w:p>
    <w:p w14:paraId="1ED61F8D">
      <w:pPr>
        <w:pStyle w:val="9"/>
        <w:spacing w:after="0" w:line="249" w:lineRule="auto"/>
        <w:rPr>
          <w:rFonts w:hint="eastAsia"/>
          <w:color w:val="231F20"/>
        </w:rPr>
      </w:pPr>
      <w:r>
        <w:rPr>
          <w:rFonts w:hint="eastAsia"/>
          <w:color w:val="231F20"/>
        </w:rPr>
        <w:t>After that, the NCH will do the rest.</w:t>
      </w:r>
    </w:p>
    <w:p w14:paraId="3387309E">
      <w:pPr>
        <w:pStyle w:val="9"/>
        <w:spacing w:after="0" w:line="249" w:lineRule="auto"/>
        <w:rPr>
          <w:rFonts w:hint="eastAsia"/>
          <w:color w:val="231F20"/>
        </w:rPr>
      </w:pPr>
      <w:r>
        <w:rPr>
          <w:rFonts w:hint="eastAsia"/>
          <w:color w:val="231F20"/>
        </w:rPr>
        <w:t>之后，新约解释学（NCH）会完成其余的工作。</w:t>
      </w:r>
    </w:p>
    <w:p w14:paraId="4ABC4B5B">
      <w:pPr>
        <w:pStyle w:val="9"/>
        <w:spacing w:after="0" w:line="249" w:lineRule="auto"/>
        <w:rPr>
          <w:rFonts w:hint="eastAsia"/>
          <w:color w:val="231F20"/>
        </w:rPr>
      </w:pPr>
    </w:p>
    <w:p w14:paraId="1294518A">
      <w:pPr>
        <w:pStyle w:val="9"/>
        <w:spacing w:after="0" w:line="249" w:lineRule="auto"/>
        <w:rPr>
          <w:rFonts w:hint="eastAsia"/>
          <w:color w:val="231F20"/>
        </w:rPr>
      </w:pPr>
      <w:r>
        <w:rPr>
          <w:rFonts w:hint="eastAsia"/>
          <w:color w:val="231F20"/>
        </w:rPr>
        <w:t>Conclusion</w:t>
      </w:r>
    </w:p>
    <w:p w14:paraId="760943EA">
      <w:pPr>
        <w:pStyle w:val="9"/>
        <w:spacing w:after="0" w:line="249" w:lineRule="auto"/>
        <w:rPr>
          <w:rFonts w:hint="eastAsia"/>
          <w:color w:val="231F20"/>
        </w:rPr>
      </w:pPr>
      <w:r>
        <w:rPr>
          <w:rFonts w:hint="eastAsia"/>
          <w:color w:val="231F20"/>
        </w:rPr>
        <w:t>结论</w:t>
      </w:r>
    </w:p>
    <w:p w14:paraId="7F3DA346">
      <w:pPr>
        <w:pStyle w:val="9"/>
        <w:spacing w:after="0" w:line="249" w:lineRule="auto"/>
        <w:rPr>
          <w:rFonts w:hint="eastAsia"/>
          <w:color w:val="231F20"/>
        </w:rPr>
      </w:pPr>
    </w:p>
    <w:p w14:paraId="2C1392CE">
      <w:pPr>
        <w:pStyle w:val="9"/>
        <w:spacing w:after="0" w:line="249" w:lineRule="auto"/>
        <w:rPr>
          <w:rFonts w:hint="eastAsia"/>
          <w:color w:val="231F20"/>
        </w:rPr>
      </w:pPr>
      <w:r>
        <w:rPr>
          <w:rFonts w:hint="eastAsia"/>
          <w:color w:val="231F20"/>
        </w:rPr>
        <w:t>In this chapter we have watched the apostles practice what they preached; we have observed them using the principles of the NCH to open up various OTKP’s; and we have therefore repeatedly seen them regard the two-staged spiritual Kingdom introduced by Christ under the New Covenant as the true sphere of fulfillment of all OTKP.</w:t>
      </w:r>
    </w:p>
    <w:p w14:paraId="6C075F11">
      <w:pPr>
        <w:pStyle w:val="9"/>
        <w:spacing w:after="0" w:line="249" w:lineRule="auto"/>
        <w:rPr>
          <w:rFonts w:hint="eastAsia"/>
          <w:color w:val="231F20"/>
        </w:rPr>
      </w:pPr>
      <w:r>
        <w:rPr>
          <w:rFonts w:hint="eastAsia"/>
          <w:color w:val="231F20"/>
        </w:rPr>
        <w:t>在本章中，我们观察到使徒们言行一致；我们看到他们使用新约解释学（NCH）的原则来解开各种旧约国度预言（OTKP）；因此，我们一再地看到他们将基督在新约下引入的两阶段属灵国度，视为所有旧约国度预言（OTKP）的真正应验范围。</w:t>
      </w:r>
    </w:p>
    <w:p w14:paraId="7F90FFEB">
      <w:pPr>
        <w:pStyle w:val="9"/>
        <w:spacing w:after="0" w:line="249" w:lineRule="auto"/>
        <w:rPr>
          <w:rFonts w:hint="eastAsia"/>
          <w:color w:val="231F20"/>
        </w:rPr>
      </w:pPr>
    </w:p>
    <w:p w14:paraId="146F5E18">
      <w:pPr>
        <w:pStyle w:val="9"/>
        <w:spacing w:after="0" w:line="249" w:lineRule="auto"/>
        <w:rPr>
          <w:rFonts w:hint="eastAsia"/>
          <w:color w:val="231F20"/>
        </w:rPr>
      </w:pPr>
      <w:r>
        <w:rPr>
          <w:rFonts w:hint="eastAsia"/>
          <w:color w:val="231F20"/>
        </w:rPr>
        <w:t>In view of all this, it certainly appears that Christ and his apostles—both by precept and example—have given us all the hermeneutical tools we need to understand OTKP.</w:t>
      </w:r>
    </w:p>
    <w:p w14:paraId="056A8A66">
      <w:pPr>
        <w:pStyle w:val="9"/>
        <w:spacing w:after="0" w:line="249" w:lineRule="auto"/>
        <w:rPr>
          <w:rFonts w:hint="eastAsia"/>
          <w:color w:val="231F20"/>
        </w:rPr>
      </w:pPr>
      <w:r>
        <w:rPr>
          <w:rFonts w:hint="eastAsia"/>
          <w:color w:val="231F20"/>
        </w:rPr>
        <w:t>鉴于这一切，基督和祂的使徒们——无论是通过教训还是榜样——显然已经给了我们理解旧约国度预言（OTKP）所需的所有解释学工具。</w:t>
      </w:r>
    </w:p>
    <w:p w14:paraId="6643C9A8">
      <w:pPr>
        <w:pStyle w:val="9"/>
        <w:spacing w:after="0" w:line="249" w:lineRule="auto"/>
        <w:rPr>
          <w:rFonts w:hint="eastAsia"/>
          <w:color w:val="231F20"/>
        </w:rPr>
      </w:pPr>
    </w:p>
    <w:p w14:paraId="4B26631E">
      <w:pPr>
        <w:pStyle w:val="9"/>
        <w:spacing w:after="0" w:line="249" w:lineRule="auto"/>
        <w:rPr>
          <w:rFonts w:hint="eastAsia"/>
          <w:color w:val="231F20"/>
        </w:rPr>
      </w:pPr>
      <w:r>
        <w:rPr>
          <w:rFonts w:hint="eastAsia"/>
          <w:color w:val="231F20"/>
        </w:rPr>
        <w:t>Let us therefore honor their great gift by boldly taking a further step.</w:t>
      </w:r>
    </w:p>
    <w:p w14:paraId="09623A74">
      <w:pPr>
        <w:pStyle w:val="9"/>
        <w:spacing w:after="0" w:line="249" w:lineRule="auto"/>
        <w:rPr>
          <w:rFonts w:hint="eastAsia"/>
          <w:color w:val="231F20"/>
        </w:rPr>
      </w:pPr>
      <w:r>
        <w:rPr>
          <w:rFonts w:hint="eastAsia"/>
          <w:color w:val="231F20"/>
        </w:rPr>
        <w:t>因此，让我们通过大胆地再迈出一步来尊重他们的伟大恩赐。</w:t>
      </w:r>
    </w:p>
    <w:p w14:paraId="0CF2A75D">
      <w:pPr>
        <w:pStyle w:val="9"/>
        <w:spacing w:after="0" w:line="249" w:lineRule="auto"/>
        <w:rPr>
          <w:rFonts w:hint="eastAsia"/>
          <w:color w:val="231F20"/>
        </w:rPr>
      </w:pPr>
    </w:p>
    <w:p w14:paraId="4CE32DBA">
      <w:pPr>
        <w:pStyle w:val="9"/>
        <w:spacing w:after="0" w:line="249" w:lineRule="auto"/>
        <w:rPr>
          <w:rFonts w:hint="eastAsia"/>
          <w:color w:val="231F20"/>
        </w:rPr>
      </w:pPr>
      <w:r>
        <w:rPr>
          <w:rFonts w:hint="eastAsia"/>
          <w:color w:val="231F20"/>
        </w:rPr>
        <w:t>Let us venture once again into the “mysterious” thickets of OTKP, this time to wrestle with a number of texts that are not expounded in the NT; texts that have become traditional bastions of premillennial thinking; texts that are roiling centers of controversy in the Great End Time Debate.</w:t>
      </w:r>
    </w:p>
    <w:p w14:paraId="78651DBC">
      <w:pPr>
        <w:pStyle w:val="9"/>
        <w:spacing w:after="0" w:line="249" w:lineRule="auto"/>
        <w:rPr>
          <w:rFonts w:hint="eastAsia"/>
          <w:color w:val="231F20"/>
        </w:rPr>
      </w:pPr>
      <w:r>
        <w:rPr>
          <w:rFonts w:hint="eastAsia"/>
          <w:color w:val="231F20"/>
        </w:rPr>
        <w:t>让我们再次冒险进入旧约国度预言（OTKP）“奥秘”的丛林中，这一次要与一些新约中未曾阐述的经文进行角力；这些经文已成为前千禧年派思想的传统堡垒；这些经文在末世大辩论中是激烈的争议中心。</w:t>
      </w:r>
    </w:p>
    <w:p w14:paraId="29904C77">
      <w:pPr>
        <w:pStyle w:val="9"/>
        <w:spacing w:after="0" w:line="249" w:lineRule="auto"/>
        <w:rPr>
          <w:rFonts w:hint="eastAsia"/>
          <w:color w:val="231F20"/>
        </w:rPr>
      </w:pPr>
    </w:p>
    <w:p w14:paraId="7375AE41">
      <w:pPr>
        <w:pStyle w:val="9"/>
        <w:spacing w:after="0" w:line="249" w:lineRule="auto"/>
        <w:rPr>
          <w:rFonts w:hint="eastAsia"/>
          <w:color w:val="231F20"/>
        </w:rPr>
      </w:pPr>
      <w:r>
        <w:rPr>
          <w:rFonts w:hint="eastAsia"/>
          <w:color w:val="231F20"/>
        </w:rPr>
        <w:t>I should forewarn you here: Some of them are quite challenging.</w:t>
      </w:r>
    </w:p>
    <w:p w14:paraId="5EF7FC58">
      <w:pPr>
        <w:pStyle w:val="9"/>
        <w:spacing w:after="0" w:line="249" w:lineRule="auto"/>
        <w:rPr>
          <w:rFonts w:hint="eastAsia"/>
          <w:color w:val="231F20"/>
        </w:rPr>
      </w:pPr>
      <w:r>
        <w:rPr>
          <w:rFonts w:hint="eastAsia"/>
          <w:color w:val="231F20"/>
        </w:rPr>
        <w:t>我应在此预先警告你：其中一些相当具有挑战性。</w:t>
      </w:r>
    </w:p>
    <w:p w14:paraId="449BBF39">
      <w:pPr>
        <w:pStyle w:val="9"/>
        <w:spacing w:after="0" w:line="249" w:lineRule="auto"/>
        <w:rPr>
          <w:rFonts w:hint="eastAsia"/>
          <w:color w:val="231F20"/>
        </w:rPr>
      </w:pPr>
    </w:p>
    <w:p w14:paraId="4BF4A23A">
      <w:pPr>
        <w:pStyle w:val="9"/>
        <w:spacing w:after="0" w:line="249" w:lineRule="auto"/>
        <w:rPr>
          <w:rFonts w:hint="eastAsia"/>
          <w:color w:val="231F20"/>
        </w:rPr>
      </w:pPr>
      <w:r>
        <w:rPr>
          <w:rFonts w:hint="eastAsia"/>
          <w:color w:val="231F20"/>
        </w:rPr>
        <w:t>But thanks to Christ, the Didactic NT, and the NCH, our key ring is now full, so that we are ready, willing, and fully able to enter in!</w:t>
      </w:r>
    </w:p>
    <w:p w14:paraId="085669CA">
      <w:pPr>
        <w:pStyle w:val="9"/>
        <w:spacing w:after="0" w:line="249" w:lineRule="auto"/>
        <w:sectPr>
          <w:pgSz w:w="12240" w:h="15840"/>
          <w:pgMar w:top="1380" w:right="1440" w:bottom="280" w:left="1440" w:header="720" w:footer="720" w:gutter="0"/>
          <w:cols w:space="720" w:num="1"/>
        </w:sectPr>
      </w:pPr>
      <w:r>
        <w:rPr>
          <w:rFonts w:hint="eastAsia"/>
          <w:color w:val="231F20"/>
        </w:rPr>
        <w:t>但感谢基督、教导性新约和新约解释学（NCH），我们的钥匙串现在已经满了，所以我们已经准备好、愿意并且完全能够进入！</w:t>
      </w:r>
    </w:p>
    <w:p w14:paraId="411A7A16">
      <w:pPr>
        <w:pStyle w:val="3"/>
        <w:bidi w:val="0"/>
        <w:rPr>
          <w:rFonts w:hint="eastAsia"/>
        </w:rPr>
      </w:pPr>
      <w:bookmarkStart w:id="42" w:name="Chapter 15: OT Kingdom Prophecies Consid"/>
      <w:bookmarkEnd w:id="42"/>
      <w:bookmarkStart w:id="43" w:name="_bookmark66"/>
      <w:bookmarkEnd w:id="43"/>
      <w:r>
        <w:rPr>
          <w:rFonts w:hint="eastAsia"/>
        </w:rPr>
        <w:t>Chapter 15</w:t>
      </w:r>
    </w:p>
    <w:p w14:paraId="42D75AA6">
      <w:pPr>
        <w:pStyle w:val="3"/>
        <w:bidi w:val="0"/>
        <w:rPr>
          <w:rFonts w:hint="eastAsia"/>
        </w:rPr>
      </w:pPr>
      <w:r>
        <w:rPr>
          <w:rFonts w:hint="eastAsia"/>
        </w:rPr>
        <w:t>第15章</w:t>
      </w:r>
    </w:p>
    <w:p w14:paraId="34B649D0">
      <w:pPr>
        <w:pStyle w:val="9"/>
        <w:spacing w:before="11"/>
        <w:ind w:left="0"/>
        <w:jc w:val="left"/>
        <w:rPr>
          <w:rFonts w:hint="eastAsia"/>
          <w:sz w:val="30"/>
          <w:szCs w:val="30"/>
        </w:rPr>
      </w:pPr>
    </w:p>
    <w:p w14:paraId="6541A1EE">
      <w:pPr>
        <w:pStyle w:val="3"/>
        <w:bidi w:val="0"/>
        <w:rPr>
          <w:rFonts w:hint="eastAsia"/>
        </w:rPr>
      </w:pPr>
      <w:r>
        <w:rPr>
          <w:rFonts w:hint="eastAsia"/>
        </w:rPr>
        <w:t>OT Kingdom Prophecies Considered: Psalms, Isaiah, Jeremiah</w:t>
      </w:r>
    </w:p>
    <w:p w14:paraId="7AD90163">
      <w:pPr>
        <w:pStyle w:val="3"/>
        <w:bidi w:val="0"/>
        <w:rPr>
          <w:rFonts w:hint="eastAsia"/>
        </w:rPr>
      </w:pPr>
      <w:r>
        <w:rPr>
          <w:rFonts w:hint="eastAsia"/>
        </w:rPr>
        <w:t>旧约国度预言的考查：诗篇、以赛亚书、耶利米书</w:t>
      </w:r>
    </w:p>
    <w:p w14:paraId="6B417F46">
      <w:pPr>
        <w:pStyle w:val="9"/>
        <w:spacing w:before="11"/>
        <w:ind w:left="0"/>
        <w:jc w:val="left"/>
        <w:rPr>
          <w:rFonts w:hint="eastAsia"/>
          <w:sz w:val="30"/>
          <w:szCs w:val="30"/>
        </w:rPr>
      </w:pPr>
    </w:p>
    <w:p w14:paraId="13918C72">
      <w:pPr>
        <w:pStyle w:val="9"/>
        <w:spacing w:before="11"/>
        <w:ind w:left="0"/>
        <w:jc w:val="left"/>
        <w:rPr>
          <w:rFonts w:hint="eastAsia"/>
          <w:sz w:val="30"/>
          <w:szCs w:val="30"/>
        </w:rPr>
      </w:pPr>
      <w:r>
        <w:rPr>
          <w:rFonts w:hint="eastAsia"/>
          <w:sz w:val="30"/>
          <w:szCs w:val="30"/>
        </w:rPr>
        <w:t>THE GOAL IN Part 3 of our journey has been to become NT scribes so thoroughly instructed in the Kingdom that we are like householders, able to bring out of our treasure things old and new; able to understand, teach, and preach the Kingdom of God, not only from the NT, but from OTKP as well.</w:t>
      </w:r>
    </w:p>
    <w:p w14:paraId="4F1C682F">
      <w:pPr>
        <w:pStyle w:val="9"/>
        <w:spacing w:before="11"/>
        <w:ind w:left="0"/>
        <w:jc w:val="left"/>
        <w:rPr>
          <w:rFonts w:hint="eastAsia"/>
          <w:sz w:val="30"/>
          <w:szCs w:val="30"/>
        </w:rPr>
      </w:pPr>
      <w:r>
        <w:rPr>
          <w:rFonts w:hint="eastAsia"/>
          <w:sz w:val="30"/>
          <w:szCs w:val="30"/>
        </w:rPr>
        <w:t>在我们旅程的第三部分，目标是成为对国度有透彻教导的新约文士，好比家主，能从他库里拿出新旧的东西来；不仅能从新约，也能从旧约国度预言（OTKP）中理解、教导和传讲上帝的国度。</w:t>
      </w:r>
    </w:p>
    <w:p w14:paraId="187115A1">
      <w:pPr>
        <w:pStyle w:val="9"/>
        <w:spacing w:before="11"/>
        <w:ind w:left="0"/>
        <w:jc w:val="left"/>
        <w:rPr>
          <w:rFonts w:hint="eastAsia"/>
          <w:sz w:val="30"/>
          <w:szCs w:val="30"/>
        </w:rPr>
      </w:pPr>
    </w:p>
    <w:p w14:paraId="1CC67C89">
      <w:pPr>
        <w:pStyle w:val="9"/>
        <w:spacing w:before="11"/>
        <w:ind w:left="0"/>
        <w:jc w:val="left"/>
        <w:rPr>
          <w:rFonts w:hint="eastAsia"/>
          <w:sz w:val="30"/>
          <w:szCs w:val="30"/>
        </w:rPr>
      </w:pPr>
      <w:r>
        <w:rPr>
          <w:rFonts w:hint="eastAsia"/>
          <w:sz w:val="30"/>
          <w:szCs w:val="30"/>
        </w:rPr>
        <w:t>To that end we have carefully considered the OT revelation of the Kingdom; we have gleaned from the NT proper principles for interpreting OTKP; and we have watched the apostles apply those principles to a dozen OT texts.</w:t>
      </w:r>
    </w:p>
    <w:p w14:paraId="471A32C0">
      <w:pPr>
        <w:pStyle w:val="9"/>
        <w:spacing w:before="11"/>
        <w:ind w:left="0"/>
        <w:jc w:val="left"/>
        <w:rPr>
          <w:rFonts w:hint="eastAsia"/>
          <w:sz w:val="30"/>
          <w:szCs w:val="30"/>
        </w:rPr>
      </w:pPr>
      <w:r>
        <w:rPr>
          <w:rFonts w:hint="eastAsia"/>
          <w:sz w:val="30"/>
          <w:szCs w:val="30"/>
        </w:rPr>
        <w:t>为此，我们仔细考查了旧约关于国度的启示；我们从新约中搜集了解释旧约国度预言（OTKP）的正确原则；我们观察了使徒们如何将这些原则应用于十二段旧约经文。</w:t>
      </w:r>
    </w:p>
    <w:p w14:paraId="602EA805">
      <w:pPr>
        <w:pStyle w:val="9"/>
        <w:spacing w:before="11"/>
        <w:ind w:left="0"/>
        <w:jc w:val="left"/>
        <w:rPr>
          <w:rFonts w:hint="eastAsia"/>
          <w:sz w:val="30"/>
          <w:szCs w:val="30"/>
        </w:rPr>
      </w:pPr>
    </w:p>
    <w:p w14:paraId="2A8A87A1">
      <w:pPr>
        <w:pStyle w:val="9"/>
        <w:spacing w:before="11"/>
        <w:ind w:left="0"/>
        <w:jc w:val="left"/>
        <w:rPr>
          <w:rFonts w:hint="eastAsia"/>
          <w:sz w:val="30"/>
          <w:szCs w:val="30"/>
        </w:rPr>
      </w:pPr>
      <w:r>
        <w:rPr>
          <w:rFonts w:hint="eastAsia"/>
          <w:sz w:val="30"/>
          <w:szCs w:val="30"/>
        </w:rPr>
        <w:t>Hopefully, our journey into the forest deeps of OTKP has not left you feeling lost, but eager to enter deeper still.</w:t>
      </w:r>
    </w:p>
    <w:p w14:paraId="1B1A3A87">
      <w:pPr>
        <w:pStyle w:val="9"/>
        <w:spacing w:before="11"/>
        <w:ind w:left="0"/>
        <w:jc w:val="left"/>
        <w:rPr>
          <w:rFonts w:hint="eastAsia"/>
          <w:sz w:val="30"/>
          <w:szCs w:val="30"/>
        </w:rPr>
      </w:pPr>
      <w:r>
        <w:rPr>
          <w:rFonts w:hint="eastAsia"/>
          <w:sz w:val="30"/>
          <w:szCs w:val="30"/>
        </w:rPr>
        <w:t>希望我们进入旧约国度预言（OTKP）的森林深处的旅程没有让你感到迷失，而是渴望更深入地进入。</w:t>
      </w:r>
    </w:p>
    <w:p w14:paraId="0F5D7EDC">
      <w:pPr>
        <w:pStyle w:val="9"/>
        <w:spacing w:before="11"/>
        <w:ind w:left="0"/>
        <w:jc w:val="left"/>
        <w:rPr>
          <w:rFonts w:hint="eastAsia"/>
          <w:sz w:val="30"/>
          <w:szCs w:val="30"/>
        </w:rPr>
      </w:pPr>
    </w:p>
    <w:p w14:paraId="04DD6213">
      <w:pPr>
        <w:pStyle w:val="9"/>
        <w:spacing w:before="11"/>
        <w:ind w:left="0"/>
        <w:jc w:val="left"/>
        <w:rPr>
          <w:rFonts w:hint="eastAsia"/>
          <w:sz w:val="30"/>
          <w:szCs w:val="30"/>
        </w:rPr>
      </w:pPr>
      <w:r>
        <w:rPr>
          <w:rFonts w:hint="eastAsia"/>
          <w:sz w:val="30"/>
          <w:szCs w:val="30"/>
        </w:rPr>
        <w:t>In the next few chapters we will do that very thing.</w:t>
      </w:r>
    </w:p>
    <w:p w14:paraId="1C42734C">
      <w:pPr>
        <w:pStyle w:val="9"/>
        <w:spacing w:before="11"/>
        <w:ind w:left="0"/>
        <w:jc w:val="left"/>
        <w:rPr>
          <w:rFonts w:hint="eastAsia"/>
          <w:sz w:val="30"/>
          <w:szCs w:val="30"/>
        </w:rPr>
      </w:pPr>
      <w:r>
        <w:rPr>
          <w:rFonts w:hint="eastAsia"/>
          <w:sz w:val="30"/>
          <w:szCs w:val="30"/>
        </w:rPr>
        <w:t>在接下来的几章中，我们将要做的正是这件事。</w:t>
      </w:r>
    </w:p>
    <w:p w14:paraId="7F131022">
      <w:pPr>
        <w:pStyle w:val="9"/>
        <w:spacing w:before="11"/>
        <w:ind w:left="0"/>
        <w:jc w:val="left"/>
        <w:rPr>
          <w:rFonts w:hint="eastAsia"/>
          <w:sz w:val="30"/>
          <w:szCs w:val="30"/>
        </w:rPr>
      </w:pPr>
    </w:p>
    <w:p w14:paraId="74E689E5">
      <w:pPr>
        <w:pStyle w:val="9"/>
        <w:spacing w:before="11"/>
        <w:ind w:left="0"/>
        <w:jc w:val="left"/>
        <w:rPr>
          <w:rFonts w:hint="eastAsia"/>
          <w:sz w:val="30"/>
          <w:szCs w:val="30"/>
        </w:rPr>
      </w:pPr>
      <w:r>
        <w:rPr>
          <w:rFonts w:hint="eastAsia"/>
          <w:sz w:val="30"/>
          <w:szCs w:val="30"/>
        </w:rPr>
        <w:t>Here we will consider a large sampling of OTKP’s drawn from each of three great epochs in Israel’s history: pre-exilic, exilic, and post-exilic.</w:t>
      </w:r>
    </w:p>
    <w:p w14:paraId="39DD2674">
      <w:pPr>
        <w:pStyle w:val="9"/>
        <w:spacing w:before="11"/>
        <w:ind w:left="0"/>
        <w:jc w:val="left"/>
        <w:rPr>
          <w:rFonts w:hint="eastAsia"/>
          <w:sz w:val="30"/>
          <w:szCs w:val="30"/>
        </w:rPr>
      </w:pPr>
      <w:r>
        <w:rPr>
          <w:rFonts w:hint="eastAsia"/>
          <w:sz w:val="30"/>
          <w:szCs w:val="30"/>
        </w:rPr>
        <w:t>在这里，我们将考查大量从以色列历史三个大时代——被掳前、被掳中和被掳后——抽取的旧约国度预言（OTKP）样本。</w:t>
      </w:r>
    </w:p>
    <w:p w14:paraId="71BE9FB9">
      <w:pPr>
        <w:pStyle w:val="9"/>
        <w:spacing w:before="11"/>
        <w:ind w:left="0"/>
        <w:jc w:val="left"/>
        <w:rPr>
          <w:rFonts w:hint="eastAsia"/>
          <w:sz w:val="30"/>
          <w:szCs w:val="30"/>
        </w:rPr>
      </w:pPr>
    </w:p>
    <w:p w14:paraId="6017DBE9">
      <w:pPr>
        <w:pStyle w:val="9"/>
        <w:spacing w:before="11"/>
        <w:ind w:left="0"/>
        <w:jc w:val="left"/>
        <w:rPr>
          <w:rFonts w:hint="eastAsia"/>
          <w:sz w:val="30"/>
          <w:szCs w:val="30"/>
        </w:rPr>
      </w:pPr>
      <w:r>
        <w:rPr>
          <w:rFonts w:hint="eastAsia"/>
          <w:sz w:val="30"/>
          <w:szCs w:val="30"/>
        </w:rPr>
        <w:t>And here, with the Master Keys in hand, we will apply the NCH in an effort to unlock their true meaning.</w:t>
      </w:r>
    </w:p>
    <w:p w14:paraId="13F87406">
      <w:pPr>
        <w:pStyle w:val="9"/>
        <w:spacing w:before="11"/>
        <w:ind w:left="0"/>
        <w:jc w:val="left"/>
        <w:rPr>
          <w:rFonts w:hint="eastAsia"/>
          <w:sz w:val="30"/>
          <w:szCs w:val="30"/>
        </w:rPr>
      </w:pPr>
      <w:r>
        <w:rPr>
          <w:rFonts w:hint="eastAsia"/>
          <w:sz w:val="30"/>
          <w:szCs w:val="30"/>
        </w:rPr>
        <w:t>在这里，手持万能钥匙，我们将应用新约解释学（NCH）来努力解开它们的真正意义。</w:t>
      </w:r>
    </w:p>
    <w:p w14:paraId="3BC330BF">
      <w:pPr>
        <w:pStyle w:val="9"/>
        <w:spacing w:before="11"/>
        <w:ind w:left="0"/>
        <w:jc w:val="left"/>
        <w:rPr>
          <w:rFonts w:hint="eastAsia"/>
          <w:sz w:val="30"/>
          <w:szCs w:val="30"/>
        </w:rPr>
      </w:pPr>
    </w:p>
    <w:p w14:paraId="5B94DF17">
      <w:pPr>
        <w:pStyle w:val="9"/>
        <w:spacing w:before="11"/>
        <w:ind w:left="0"/>
        <w:jc w:val="left"/>
        <w:rPr>
          <w:rFonts w:hint="eastAsia"/>
          <w:sz w:val="30"/>
          <w:szCs w:val="30"/>
        </w:rPr>
      </w:pPr>
      <w:r>
        <w:rPr>
          <w:rFonts w:hint="eastAsia"/>
          <w:sz w:val="30"/>
          <w:szCs w:val="30"/>
        </w:rPr>
        <w:t>Please note that I have purposely chosen premillennial favorites, prophecies that our premillennarian brothers commonly and enthusiastically cite in defense of their position.</w:t>
      </w:r>
    </w:p>
    <w:p w14:paraId="4E27372B">
      <w:pPr>
        <w:pStyle w:val="9"/>
        <w:spacing w:before="11"/>
        <w:ind w:left="0"/>
        <w:jc w:val="left"/>
        <w:rPr>
          <w:rFonts w:hint="eastAsia"/>
          <w:sz w:val="30"/>
          <w:szCs w:val="30"/>
        </w:rPr>
      </w:pPr>
      <w:r>
        <w:rPr>
          <w:rFonts w:hint="eastAsia"/>
          <w:sz w:val="30"/>
          <w:szCs w:val="30"/>
        </w:rPr>
        <w:t>请注意，我特意选择了一些前千禧年派的最爱，这些预言我们的前千禧年派弟兄们通常并热情地引用来为他们的立场辩护。</w:t>
      </w:r>
    </w:p>
    <w:p w14:paraId="7588683A">
      <w:pPr>
        <w:pStyle w:val="9"/>
        <w:spacing w:before="11"/>
        <w:ind w:left="0"/>
        <w:jc w:val="left"/>
        <w:rPr>
          <w:rFonts w:hint="eastAsia"/>
          <w:sz w:val="30"/>
          <w:szCs w:val="30"/>
        </w:rPr>
      </w:pPr>
    </w:p>
    <w:p w14:paraId="4A778FE9">
      <w:pPr>
        <w:pStyle w:val="9"/>
        <w:spacing w:before="11"/>
        <w:ind w:left="0"/>
        <w:jc w:val="left"/>
        <w:rPr>
          <w:rFonts w:hint="eastAsia"/>
          <w:sz w:val="30"/>
          <w:szCs w:val="30"/>
        </w:rPr>
      </w:pPr>
      <w:r>
        <w:rPr>
          <w:rFonts w:hint="eastAsia"/>
          <w:sz w:val="30"/>
          <w:szCs w:val="30"/>
        </w:rPr>
        <w:t>Also, I have intentionally chosen a number of the most difficult OTKP’s, biblical texts that make amillennarians squirm because they seem to resist the “spiritualizing” hermeneutic to which premillennarians so strongly object.</w:t>
      </w:r>
    </w:p>
    <w:p w14:paraId="460B143A">
      <w:pPr>
        <w:pStyle w:val="9"/>
        <w:spacing w:before="11"/>
        <w:ind w:left="0"/>
        <w:jc w:val="left"/>
        <w:rPr>
          <w:rFonts w:hint="eastAsia"/>
          <w:sz w:val="30"/>
          <w:szCs w:val="30"/>
        </w:rPr>
      </w:pPr>
      <w:r>
        <w:rPr>
          <w:rFonts w:hint="eastAsia"/>
          <w:sz w:val="30"/>
          <w:szCs w:val="30"/>
        </w:rPr>
        <w:t>此外，我还有意选择了一些最难的旧约国度预言（OTKP），这些圣经经文让无千禧年派感到不安，因为它们似乎抗拒了前千禧年派如此强烈反对的“灵意化”解释学。</w:t>
      </w:r>
    </w:p>
    <w:p w14:paraId="395F1E7E">
      <w:pPr>
        <w:pStyle w:val="9"/>
        <w:spacing w:before="11"/>
        <w:ind w:left="0"/>
        <w:jc w:val="left"/>
        <w:rPr>
          <w:rFonts w:hint="eastAsia"/>
          <w:sz w:val="30"/>
          <w:szCs w:val="30"/>
        </w:rPr>
      </w:pPr>
    </w:p>
    <w:p w14:paraId="70543FAD">
      <w:pPr>
        <w:pStyle w:val="9"/>
        <w:spacing w:before="11"/>
        <w:ind w:left="0"/>
        <w:jc w:val="left"/>
        <w:rPr>
          <w:rFonts w:hint="eastAsia"/>
          <w:sz w:val="30"/>
          <w:szCs w:val="30"/>
        </w:rPr>
      </w:pPr>
      <w:r>
        <w:rPr>
          <w:rFonts w:hint="eastAsia"/>
          <w:sz w:val="30"/>
          <w:szCs w:val="30"/>
        </w:rPr>
        <w:t>Whether I have succeeded in explaining them satisfactorily is for you to decide.</w:t>
      </w:r>
    </w:p>
    <w:p w14:paraId="461B528A">
      <w:pPr>
        <w:pStyle w:val="9"/>
        <w:spacing w:before="11"/>
        <w:ind w:left="0"/>
        <w:jc w:val="left"/>
        <w:rPr>
          <w:rFonts w:hint="eastAsia"/>
          <w:sz w:val="30"/>
          <w:szCs w:val="30"/>
        </w:rPr>
      </w:pPr>
      <w:r>
        <w:rPr>
          <w:rFonts w:hint="eastAsia"/>
          <w:sz w:val="30"/>
          <w:szCs w:val="30"/>
        </w:rPr>
        <w:t>我是否成功地令人满意地解释了它们，将由你来决定。</w:t>
      </w:r>
    </w:p>
    <w:p w14:paraId="05FBBA1A">
      <w:pPr>
        <w:pStyle w:val="9"/>
        <w:spacing w:before="11"/>
        <w:ind w:left="0"/>
        <w:jc w:val="left"/>
        <w:rPr>
          <w:rFonts w:hint="eastAsia"/>
          <w:sz w:val="30"/>
          <w:szCs w:val="30"/>
        </w:rPr>
      </w:pPr>
    </w:p>
    <w:p w14:paraId="190D082D">
      <w:pPr>
        <w:pStyle w:val="9"/>
        <w:spacing w:before="11"/>
        <w:ind w:left="0"/>
        <w:jc w:val="left"/>
        <w:rPr>
          <w:rFonts w:hint="eastAsia"/>
          <w:sz w:val="30"/>
          <w:szCs w:val="30"/>
        </w:rPr>
      </w:pPr>
      <w:r>
        <w:rPr>
          <w:rFonts w:hint="eastAsia"/>
          <w:sz w:val="30"/>
          <w:szCs w:val="30"/>
        </w:rPr>
        <w:t>But one thing is sure: We will never attain a meeting of the minds on eschatology by weaseling out of uncomfortable encounters with the hardest texts and the best arguments of our opponents!</w:t>
      </w:r>
    </w:p>
    <w:p w14:paraId="0EC8D7F9">
      <w:pPr>
        <w:pStyle w:val="9"/>
        <w:spacing w:before="11"/>
        <w:ind w:left="0"/>
        <w:jc w:val="left"/>
        <w:rPr>
          <w:rFonts w:hint="eastAsia"/>
          <w:sz w:val="30"/>
          <w:szCs w:val="30"/>
        </w:rPr>
      </w:pPr>
      <w:r>
        <w:rPr>
          <w:rFonts w:hint="eastAsia"/>
          <w:sz w:val="30"/>
          <w:szCs w:val="30"/>
        </w:rPr>
        <w:t>但有一件事是肯定的：我们绝不会通过回避与最难经文和我们对手最佳论点的令人不适的相遇，而在末世论上达成共识！</w:t>
      </w:r>
    </w:p>
    <w:p w14:paraId="162E1C5D">
      <w:pPr>
        <w:pStyle w:val="9"/>
        <w:spacing w:before="11"/>
        <w:ind w:left="0"/>
        <w:jc w:val="left"/>
        <w:rPr>
          <w:rFonts w:hint="eastAsia"/>
          <w:sz w:val="30"/>
          <w:szCs w:val="30"/>
        </w:rPr>
      </w:pPr>
    </w:p>
    <w:p w14:paraId="02C39FD4">
      <w:pPr>
        <w:pStyle w:val="9"/>
        <w:spacing w:before="11"/>
        <w:ind w:left="0"/>
        <w:jc w:val="left"/>
        <w:rPr>
          <w:rFonts w:hint="eastAsia"/>
          <w:sz w:val="30"/>
          <w:szCs w:val="30"/>
        </w:rPr>
      </w:pPr>
      <w:r>
        <w:rPr>
          <w:rFonts w:hint="eastAsia"/>
          <w:sz w:val="30"/>
          <w:szCs w:val="30"/>
        </w:rPr>
        <w:t>Before embarking, let me offer a word or two more about my approach in the pages ahead.</w:t>
      </w:r>
    </w:p>
    <w:p w14:paraId="640E0B87">
      <w:pPr>
        <w:pStyle w:val="9"/>
        <w:spacing w:before="11"/>
        <w:ind w:left="0"/>
        <w:jc w:val="left"/>
        <w:rPr>
          <w:rFonts w:hint="eastAsia"/>
          <w:sz w:val="30"/>
          <w:szCs w:val="30"/>
        </w:rPr>
      </w:pPr>
      <w:r>
        <w:rPr>
          <w:rFonts w:hint="eastAsia"/>
          <w:sz w:val="30"/>
          <w:szCs w:val="30"/>
        </w:rPr>
        <w:t>在开始之前，让我再对我接下来的方法说一两句话。</w:t>
      </w:r>
    </w:p>
    <w:p w14:paraId="7B86F4A6">
      <w:pPr>
        <w:pStyle w:val="9"/>
        <w:spacing w:before="11"/>
        <w:ind w:left="0"/>
        <w:jc w:val="left"/>
        <w:rPr>
          <w:rFonts w:hint="eastAsia"/>
          <w:sz w:val="30"/>
          <w:szCs w:val="30"/>
        </w:rPr>
      </w:pPr>
    </w:p>
    <w:p w14:paraId="0B3DE926">
      <w:pPr>
        <w:pStyle w:val="9"/>
        <w:spacing w:before="11"/>
        <w:ind w:left="0"/>
        <w:jc w:val="left"/>
        <w:rPr>
          <w:rFonts w:hint="eastAsia"/>
          <w:sz w:val="30"/>
          <w:szCs w:val="30"/>
        </w:rPr>
      </w:pPr>
      <w:r>
        <w:rPr>
          <w:rFonts w:hint="eastAsia"/>
          <w:sz w:val="30"/>
          <w:szCs w:val="30"/>
        </w:rPr>
        <w:t>As a rule, I have not reproduced the passages under consideration, many of which are too long for inclusion.</w:t>
      </w:r>
    </w:p>
    <w:p w14:paraId="26E1FE01">
      <w:pPr>
        <w:pStyle w:val="9"/>
        <w:spacing w:before="11"/>
        <w:ind w:left="0"/>
        <w:jc w:val="left"/>
        <w:rPr>
          <w:rFonts w:hint="eastAsia"/>
          <w:sz w:val="30"/>
          <w:szCs w:val="30"/>
        </w:rPr>
      </w:pPr>
      <w:r>
        <w:rPr>
          <w:rFonts w:hint="eastAsia"/>
          <w:sz w:val="30"/>
          <w:szCs w:val="30"/>
        </w:rPr>
        <w:t>通常，我没有复制所讨论的经文，其中许多经文太长无法收录。</w:t>
      </w:r>
    </w:p>
    <w:p w14:paraId="41FE290B">
      <w:pPr>
        <w:pStyle w:val="9"/>
        <w:spacing w:before="11"/>
        <w:ind w:left="0"/>
        <w:jc w:val="left"/>
        <w:rPr>
          <w:rFonts w:hint="eastAsia"/>
          <w:sz w:val="30"/>
          <w:szCs w:val="30"/>
        </w:rPr>
      </w:pPr>
    </w:p>
    <w:p w14:paraId="19CC1B61">
      <w:pPr>
        <w:pStyle w:val="9"/>
        <w:spacing w:before="11"/>
        <w:ind w:left="0"/>
        <w:jc w:val="left"/>
        <w:rPr>
          <w:rFonts w:hint="eastAsia"/>
          <w:sz w:val="30"/>
          <w:szCs w:val="30"/>
        </w:rPr>
      </w:pPr>
      <w:r>
        <w:rPr>
          <w:rFonts w:hint="eastAsia"/>
          <w:sz w:val="30"/>
          <w:szCs w:val="30"/>
        </w:rPr>
        <w:t>Also, I have tried not to go into too much exegetical detail.</w:t>
      </w:r>
    </w:p>
    <w:p w14:paraId="756939F6">
      <w:pPr>
        <w:pStyle w:val="9"/>
        <w:spacing w:before="11"/>
        <w:ind w:left="0"/>
        <w:jc w:val="left"/>
        <w:rPr>
          <w:rFonts w:hint="eastAsia"/>
          <w:sz w:val="30"/>
          <w:szCs w:val="30"/>
        </w:rPr>
      </w:pPr>
      <w:r>
        <w:rPr>
          <w:rFonts w:hint="eastAsia"/>
          <w:sz w:val="30"/>
          <w:szCs w:val="30"/>
        </w:rPr>
        <w:t>此外，我也尽量避免过于深入地进行释经细节的探讨。</w:t>
      </w:r>
    </w:p>
    <w:p w14:paraId="2A6C1847">
      <w:pPr>
        <w:pStyle w:val="9"/>
        <w:spacing w:before="11"/>
        <w:ind w:left="0"/>
        <w:jc w:val="left"/>
        <w:rPr>
          <w:rFonts w:hint="eastAsia"/>
          <w:sz w:val="30"/>
          <w:szCs w:val="30"/>
        </w:rPr>
      </w:pPr>
    </w:p>
    <w:p w14:paraId="37294D53">
      <w:pPr>
        <w:pStyle w:val="9"/>
        <w:spacing w:before="11"/>
        <w:ind w:left="0"/>
        <w:jc w:val="left"/>
        <w:rPr>
          <w:rFonts w:hint="eastAsia"/>
          <w:sz w:val="30"/>
          <w:szCs w:val="30"/>
        </w:rPr>
      </w:pPr>
      <w:r>
        <w:rPr>
          <w:rFonts w:hint="eastAsia"/>
          <w:sz w:val="30"/>
          <w:szCs w:val="30"/>
        </w:rPr>
        <w:t>Rather, my goal has been to use the NCH to give a brief but substantial overview of the basic meaning of each prophecy.</w:t>
      </w:r>
    </w:p>
    <w:p w14:paraId="76D1E53B">
      <w:pPr>
        <w:pStyle w:val="9"/>
        <w:spacing w:before="11"/>
        <w:ind w:left="0"/>
        <w:jc w:val="left"/>
        <w:rPr>
          <w:rFonts w:hint="eastAsia"/>
          <w:sz w:val="30"/>
          <w:szCs w:val="30"/>
        </w:rPr>
      </w:pPr>
      <w:r>
        <w:rPr>
          <w:rFonts w:hint="eastAsia"/>
          <w:sz w:val="30"/>
          <w:szCs w:val="30"/>
        </w:rPr>
        <w:t>相反，我的目标是使用新约解释学（NCH）来对每个预言的基本意义给出一个简短但实质性的概述。</w:t>
      </w:r>
    </w:p>
    <w:p w14:paraId="119B2C03">
      <w:pPr>
        <w:pStyle w:val="9"/>
        <w:spacing w:before="11"/>
        <w:ind w:left="0"/>
        <w:jc w:val="left"/>
        <w:rPr>
          <w:rFonts w:hint="eastAsia"/>
          <w:sz w:val="30"/>
          <w:szCs w:val="30"/>
        </w:rPr>
      </w:pPr>
    </w:p>
    <w:p w14:paraId="4B4AACD7">
      <w:pPr>
        <w:pStyle w:val="9"/>
        <w:spacing w:before="11"/>
        <w:ind w:left="0"/>
        <w:jc w:val="left"/>
        <w:rPr>
          <w:rFonts w:hint="eastAsia"/>
          <w:sz w:val="30"/>
          <w:szCs w:val="30"/>
        </w:rPr>
      </w:pPr>
      <w:r>
        <w:rPr>
          <w:rFonts w:hint="eastAsia"/>
          <w:sz w:val="30"/>
          <w:szCs w:val="30"/>
        </w:rPr>
        <w:t>Those interested in exploring a given passage in greater depth may consult the commentaries that I recommend in the endnotes.</w:t>
      </w:r>
    </w:p>
    <w:p w14:paraId="54F77649">
      <w:pPr>
        <w:pStyle w:val="9"/>
        <w:spacing w:before="11"/>
        <w:ind w:left="0"/>
        <w:jc w:val="left"/>
        <w:rPr>
          <w:rFonts w:hint="eastAsia"/>
          <w:sz w:val="30"/>
          <w:szCs w:val="30"/>
        </w:rPr>
      </w:pPr>
      <w:r>
        <w:rPr>
          <w:rFonts w:hint="eastAsia"/>
          <w:sz w:val="30"/>
          <w:szCs w:val="30"/>
        </w:rPr>
        <w:t>对特定经文有兴趣进行更深入探讨的读者，可以查阅我在尾注中推荐的注释书。</w:t>
      </w:r>
    </w:p>
    <w:p w14:paraId="7B0BEA87">
      <w:pPr>
        <w:pStyle w:val="9"/>
        <w:spacing w:before="11"/>
        <w:ind w:left="0"/>
        <w:jc w:val="left"/>
        <w:rPr>
          <w:rFonts w:hint="eastAsia"/>
          <w:sz w:val="30"/>
          <w:szCs w:val="30"/>
        </w:rPr>
      </w:pPr>
    </w:p>
    <w:p w14:paraId="436C4416">
      <w:pPr>
        <w:pStyle w:val="9"/>
        <w:spacing w:before="11"/>
        <w:ind w:left="0"/>
        <w:jc w:val="left"/>
        <w:rPr>
          <w:rFonts w:hint="eastAsia"/>
          <w:sz w:val="30"/>
          <w:szCs w:val="30"/>
        </w:rPr>
      </w:pPr>
      <w:r>
        <w:rPr>
          <w:rFonts w:hint="eastAsia"/>
          <w:sz w:val="30"/>
          <w:szCs w:val="30"/>
        </w:rPr>
        <w:t>Finally, wherever appropriate, I have briefly engaged premillennial arguments and interpretations relative to the text under consideration.</w:t>
      </w:r>
    </w:p>
    <w:p w14:paraId="02551A9D">
      <w:pPr>
        <w:pStyle w:val="9"/>
        <w:spacing w:before="11"/>
        <w:ind w:left="0"/>
        <w:jc w:val="left"/>
        <w:rPr>
          <w:rFonts w:hint="eastAsia"/>
          <w:sz w:val="30"/>
          <w:szCs w:val="30"/>
        </w:rPr>
      </w:pPr>
      <w:r>
        <w:rPr>
          <w:rFonts w:hint="eastAsia"/>
          <w:sz w:val="30"/>
          <w:szCs w:val="30"/>
        </w:rPr>
        <w:t>最后，在适当的地方，我简要地与关于所讨论经文的前千禧年派论点和解释进行了对话。</w:t>
      </w:r>
    </w:p>
    <w:p w14:paraId="14AF442F">
      <w:pPr>
        <w:pStyle w:val="9"/>
        <w:spacing w:before="11"/>
        <w:ind w:left="0"/>
        <w:jc w:val="left"/>
        <w:rPr>
          <w:rFonts w:hint="eastAsia"/>
          <w:sz w:val="30"/>
          <w:szCs w:val="30"/>
        </w:rPr>
      </w:pPr>
    </w:p>
    <w:p w14:paraId="330B7581">
      <w:pPr>
        <w:pStyle w:val="9"/>
        <w:spacing w:before="11"/>
        <w:ind w:left="0"/>
        <w:jc w:val="left"/>
        <w:rPr>
          <w:rFonts w:hint="eastAsia"/>
          <w:sz w:val="30"/>
          <w:szCs w:val="30"/>
        </w:rPr>
      </w:pPr>
      <w:r>
        <w:rPr>
          <w:rFonts w:hint="eastAsia"/>
          <w:sz w:val="30"/>
          <w:szCs w:val="30"/>
        </w:rPr>
        <w:t>And now, with Bibles again in hand, let us begin!</w:t>
      </w:r>
    </w:p>
    <w:p w14:paraId="3E5553E8">
      <w:pPr>
        <w:pStyle w:val="9"/>
        <w:spacing w:before="11"/>
        <w:ind w:left="0"/>
        <w:jc w:val="left"/>
        <w:rPr>
          <w:rFonts w:hint="eastAsia"/>
          <w:sz w:val="30"/>
          <w:szCs w:val="30"/>
        </w:rPr>
      </w:pPr>
      <w:r>
        <w:rPr>
          <w:rFonts w:hint="eastAsia"/>
          <w:sz w:val="30"/>
          <w:szCs w:val="30"/>
        </w:rPr>
        <w:t>现在，再次手持圣经，让我们开始吧！</w:t>
      </w:r>
    </w:p>
    <w:p w14:paraId="42A2047A">
      <w:pPr>
        <w:pStyle w:val="9"/>
        <w:spacing w:before="11"/>
        <w:ind w:left="0"/>
        <w:jc w:val="left"/>
        <w:rPr>
          <w:rFonts w:hint="eastAsia"/>
          <w:sz w:val="30"/>
          <w:szCs w:val="30"/>
        </w:rPr>
      </w:pPr>
    </w:p>
    <w:p w14:paraId="508AD223">
      <w:pPr>
        <w:pStyle w:val="9"/>
        <w:spacing w:before="11"/>
        <w:ind w:left="0"/>
        <w:jc w:val="left"/>
        <w:rPr>
          <w:rFonts w:hint="eastAsia"/>
          <w:sz w:val="30"/>
          <w:szCs w:val="30"/>
        </w:rPr>
      </w:pPr>
      <w:r>
        <w:rPr>
          <w:rFonts w:hint="eastAsia"/>
          <w:sz w:val="30"/>
          <w:szCs w:val="30"/>
        </w:rPr>
        <w:t>1.The Reign of the LORD’S Anointed</w:t>
      </w:r>
    </w:p>
    <w:p w14:paraId="5F6328E6">
      <w:pPr>
        <w:pStyle w:val="9"/>
        <w:spacing w:before="11"/>
        <w:ind w:left="0"/>
        <w:jc w:val="left"/>
        <w:rPr>
          <w:rFonts w:hint="eastAsia"/>
          <w:sz w:val="30"/>
          <w:szCs w:val="30"/>
        </w:rPr>
      </w:pPr>
      <w:r>
        <w:rPr>
          <w:rFonts w:hint="eastAsia"/>
          <w:sz w:val="30"/>
          <w:szCs w:val="30"/>
        </w:rPr>
        <w:t>1.耶和华受膏者的统治</w:t>
      </w:r>
    </w:p>
    <w:p w14:paraId="65E2F73A">
      <w:pPr>
        <w:pStyle w:val="9"/>
        <w:spacing w:before="11"/>
        <w:ind w:left="0"/>
        <w:jc w:val="left"/>
        <w:rPr>
          <w:rFonts w:hint="eastAsia"/>
          <w:sz w:val="30"/>
          <w:szCs w:val="30"/>
        </w:rPr>
      </w:pPr>
    </w:p>
    <w:p w14:paraId="7AF374E0">
      <w:pPr>
        <w:pStyle w:val="9"/>
        <w:spacing w:before="11"/>
        <w:ind w:left="0"/>
        <w:jc w:val="left"/>
        <w:rPr>
          <w:rFonts w:hint="eastAsia"/>
          <w:sz w:val="30"/>
          <w:szCs w:val="30"/>
        </w:rPr>
      </w:pPr>
      <w:r>
        <w:rPr>
          <w:rFonts w:hint="eastAsia"/>
          <w:sz w:val="30"/>
          <w:szCs w:val="30"/>
        </w:rPr>
        <w:t>(Psalm 2)</w:t>
      </w:r>
    </w:p>
    <w:p w14:paraId="3A689136">
      <w:pPr>
        <w:pStyle w:val="9"/>
        <w:spacing w:before="11"/>
        <w:ind w:left="0"/>
        <w:jc w:val="left"/>
        <w:rPr>
          <w:rFonts w:hint="eastAsia"/>
          <w:sz w:val="30"/>
          <w:szCs w:val="30"/>
        </w:rPr>
      </w:pPr>
      <w:r>
        <w:rPr>
          <w:rFonts w:hint="eastAsia"/>
          <w:sz w:val="30"/>
          <w:szCs w:val="30"/>
        </w:rPr>
        <w:t>（诗篇 2篇）</w:t>
      </w:r>
    </w:p>
    <w:p w14:paraId="0FB48C88">
      <w:pPr>
        <w:pStyle w:val="9"/>
        <w:spacing w:before="11"/>
        <w:ind w:left="0"/>
        <w:jc w:val="left"/>
        <w:rPr>
          <w:rFonts w:hint="eastAsia"/>
          <w:sz w:val="30"/>
          <w:szCs w:val="30"/>
        </w:rPr>
      </w:pPr>
    </w:p>
    <w:p w14:paraId="005466CB">
      <w:pPr>
        <w:pStyle w:val="9"/>
        <w:spacing w:before="11"/>
        <w:ind w:left="0"/>
        <w:jc w:val="left"/>
        <w:rPr>
          <w:rFonts w:hint="eastAsia"/>
          <w:sz w:val="30"/>
          <w:szCs w:val="30"/>
        </w:rPr>
      </w:pPr>
      <w:r>
        <w:rPr>
          <w:rFonts w:hint="eastAsia"/>
          <w:sz w:val="30"/>
          <w:szCs w:val="30"/>
        </w:rPr>
        <w:t>This is the first of several royal or Messianic psalms (Psalms 2, 18, 20, 45, 72, 89, 110).</w:t>
      </w:r>
    </w:p>
    <w:p w14:paraId="5BCC919B">
      <w:pPr>
        <w:pStyle w:val="9"/>
        <w:spacing w:before="11"/>
        <w:ind w:left="0"/>
        <w:jc w:val="left"/>
        <w:rPr>
          <w:rFonts w:hint="eastAsia"/>
          <w:sz w:val="30"/>
          <w:szCs w:val="30"/>
        </w:rPr>
      </w:pPr>
      <w:r>
        <w:rPr>
          <w:rFonts w:hint="eastAsia"/>
          <w:sz w:val="30"/>
          <w:szCs w:val="30"/>
        </w:rPr>
        <w:t>这是几篇君王或弥赛亚诗篇中的第一篇（诗篇 2, 18, 20, 45, 72, 89, 110篇）。</w:t>
      </w:r>
    </w:p>
    <w:p w14:paraId="140C2694">
      <w:pPr>
        <w:pStyle w:val="9"/>
        <w:spacing w:before="11"/>
        <w:ind w:left="0"/>
        <w:jc w:val="left"/>
        <w:rPr>
          <w:rFonts w:hint="eastAsia"/>
          <w:sz w:val="30"/>
          <w:szCs w:val="30"/>
        </w:rPr>
      </w:pPr>
    </w:p>
    <w:p w14:paraId="6C32C0E4">
      <w:pPr>
        <w:pStyle w:val="9"/>
        <w:spacing w:before="11"/>
        <w:ind w:left="0"/>
        <w:jc w:val="left"/>
        <w:rPr>
          <w:rFonts w:hint="eastAsia"/>
          <w:sz w:val="30"/>
          <w:szCs w:val="30"/>
        </w:rPr>
      </w:pPr>
      <w:r>
        <w:rPr>
          <w:rFonts w:hint="eastAsia"/>
          <w:sz w:val="30"/>
          <w:szCs w:val="30"/>
        </w:rPr>
        <w:t>As a rule, they feature an immediate reference to an earthly king, subtly blended with eschatological references to the coming Messianic King.</w:t>
      </w:r>
    </w:p>
    <w:p w14:paraId="5DB2CD0C">
      <w:pPr>
        <w:pStyle w:val="9"/>
        <w:spacing w:before="11"/>
        <w:ind w:left="0"/>
        <w:jc w:val="left"/>
        <w:rPr>
          <w:rFonts w:hint="eastAsia"/>
          <w:sz w:val="30"/>
          <w:szCs w:val="30"/>
        </w:rPr>
      </w:pPr>
      <w:r>
        <w:rPr>
          <w:rFonts w:hint="eastAsia"/>
          <w:sz w:val="30"/>
          <w:szCs w:val="30"/>
        </w:rPr>
        <w:t>通常，它们以一位地上君王为直接对象，巧妙地与关于将要来临的弥赛亚君王的末世论引用相融合。</w:t>
      </w:r>
    </w:p>
    <w:p w14:paraId="35095798">
      <w:pPr>
        <w:pStyle w:val="9"/>
        <w:spacing w:before="11"/>
        <w:ind w:left="0"/>
        <w:jc w:val="left"/>
        <w:rPr>
          <w:rFonts w:hint="eastAsia"/>
          <w:sz w:val="30"/>
          <w:szCs w:val="30"/>
        </w:rPr>
      </w:pPr>
    </w:p>
    <w:p w14:paraId="6C909356">
      <w:pPr>
        <w:pStyle w:val="9"/>
        <w:spacing w:before="11"/>
        <w:ind w:left="0"/>
        <w:jc w:val="left"/>
        <w:rPr>
          <w:rFonts w:hint="eastAsia"/>
          <w:sz w:val="30"/>
          <w:szCs w:val="30"/>
        </w:rPr>
      </w:pPr>
      <w:r>
        <w:rPr>
          <w:rFonts w:hint="eastAsia"/>
          <w:sz w:val="30"/>
          <w:szCs w:val="30"/>
        </w:rPr>
        <w:t>Such is the case here.</w:t>
      </w:r>
    </w:p>
    <w:p w14:paraId="017AA444">
      <w:pPr>
        <w:pStyle w:val="9"/>
        <w:spacing w:before="11"/>
        <w:ind w:left="0"/>
        <w:jc w:val="left"/>
        <w:rPr>
          <w:rFonts w:hint="eastAsia"/>
          <w:sz w:val="30"/>
          <w:szCs w:val="30"/>
        </w:rPr>
      </w:pPr>
      <w:r>
        <w:rPr>
          <w:rFonts w:hint="eastAsia"/>
          <w:sz w:val="30"/>
          <w:szCs w:val="30"/>
        </w:rPr>
        <w:t>这里就是这种情况。</w:t>
      </w:r>
    </w:p>
    <w:p w14:paraId="3874D911">
      <w:pPr>
        <w:pStyle w:val="9"/>
        <w:spacing w:before="11"/>
        <w:ind w:left="0"/>
        <w:jc w:val="left"/>
        <w:rPr>
          <w:rFonts w:hint="eastAsia"/>
          <w:sz w:val="30"/>
          <w:szCs w:val="30"/>
        </w:rPr>
      </w:pPr>
    </w:p>
    <w:p w14:paraId="0DC44BE4">
      <w:pPr>
        <w:pStyle w:val="9"/>
        <w:spacing w:before="11"/>
        <w:ind w:left="0"/>
        <w:jc w:val="left"/>
        <w:rPr>
          <w:rFonts w:hint="eastAsia"/>
          <w:sz w:val="30"/>
          <w:szCs w:val="30"/>
        </w:rPr>
      </w:pPr>
      <w:r>
        <w:rPr>
          <w:rFonts w:hint="eastAsia"/>
          <w:sz w:val="30"/>
          <w:szCs w:val="30"/>
        </w:rPr>
        <w:t>Psalm 2 has an OT fulfillment, presumably in the person of King David, but also, as the NT makes clear, a far richer fulfillment in Christ (Acts 4:25-27, 13:33, Heb. 1:5, 5:5, Rev. 12:5).</w:t>
      </w:r>
    </w:p>
    <w:p w14:paraId="1FB1B595">
      <w:pPr>
        <w:pStyle w:val="9"/>
        <w:spacing w:before="11"/>
        <w:ind w:left="0"/>
        <w:jc w:val="left"/>
        <w:rPr>
          <w:rFonts w:hint="eastAsia"/>
          <w:sz w:val="30"/>
          <w:szCs w:val="30"/>
        </w:rPr>
      </w:pPr>
      <w:r>
        <w:rPr>
          <w:rFonts w:hint="eastAsia"/>
          <w:sz w:val="30"/>
          <w:szCs w:val="30"/>
        </w:rPr>
        <w:t>诗篇第2篇有一个旧约的应验，大概是在大卫王身上，但正如新约所阐明的，它在基督里有一个远为更丰富的应验（使徒行传 4:25-27, 13:33, 希伯来书 1:5, 5:5, 启示录 12:5）。</w:t>
      </w:r>
    </w:p>
    <w:p w14:paraId="01D3DE42">
      <w:pPr>
        <w:pStyle w:val="9"/>
        <w:spacing w:before="11"/>
        <w:ind w:left="0"/>
        <w:jc w:val="left"/>
        <w:rPr>
          <w:rFonts w:hint="eastAsia"/>
          <w:sz w:val="30"/>
          <w:szCs w:val="30"/>
        </w:rPr>
      </w:pPr>
    </w:p>
    <w:p w14:paraId="622AFF56">
      <w:pPr>
        <w:pStyle w:val="9"/>
        <w:spacing w:before="11"/>
        <w:ind w:left="0"/>
        <w:jc w:val="left"/>
        <w:rPr>
          <w:rFonts w:hint="eastAsia"/>
          <w:sz w:val="30"/>
          <w:szCs w:val="30"/>
        </w:rPr>
      </w:pPr>
      <w:r>
        <w:rPr>
          <w:rFonts w:hint="eastAsia"/>
          <w:sz w:val="30"/>
          <w:szCs w:val="30"/>
        </w:rPr>
        <w:t>Here, I will focus exclusively on the Messianic meaning.</w:t>
      </w:r>
    </w:p>
    <w:p w14:paraId="44AD135E">
      <w:pPr>
        <w:pStyle w:val="9"/>
        <w:spacing w:before="11"/>
        <w:ind w:left="0"/>
        <w:jc w:val="left"/>
        <w:rPr>
          <w:rFonts w:hint="eastAsia"/>
          <w:sz w:val="30"/>
          <w:szCs w:val="30"/>
        </w:rPr>
      </w:pPr>
      <w:r>
        <w:rPr>
          <w:rFonts w:hint="eastAsia"/>
          <w:sz w:val="30"/>
          <w:szCs w:val="30"/>
        </w:rPr>
        <w:t>在这里，我将只专注于弥赛亚的意义。</w:t>
      </w:r>
    </w:p>
    <w:p w14:paraId="6CDF7D69">
      <w:pPr>
        <w:pStyle w:val="9"/>
        <w:spacing w:before="11"/>
        <w:ind w:left="0"/>
        <w:jc w:val="left"/>
        <w:rPr>
          <w:rFonts w:hint="eastAsia"/>
          <w:sz w:val="30"/>
          <w:szCs w:val="30"/>
        </w:rPr>
      </w:pPr>
    </w:p>
    <w:p w14:paraId="176909E5">
      <w:pPr>
        <w:pStyle w:val="9"/>
        <w:spacing w:before="11"/>
        <w:ind w:left="0"/>
        <w:jc w:val="left"/>
        <w:rPr>
          <w:rFonts w:hint="eastAsia"/>
          <w:sz w:val="30"/>
          <w:szCs w:val="30"/>
        </w:rPr>
      </w:pPr>
      <w:r>
        <w:rPr>
          <w:rFonts w:hint="eastAsia"/>
          <w:sz w:val="30"/>
          <w:szCs w:val="30"/>
        </w:rPr>
        <w:t>The Nations Rage (1-3)</w:t>
      </w:r>
    </w:p>
    <w:p w14:paraId="0D3F2979">
      <w:pPr>
        <w:pStyle w:val="9"/>
        <w:spacing w:before="11"/>
        <w:ind w:left="0"/>
        <w:jc w:val="left"/>
        <w:rPr>
          <w:rFonts w:hint="eastAsia"/>
          <w:sz w:val="30"/>
          <w:szCs w:val="30"/>
        </w:rPr>
      </w:pPr>
      <w:r>
        <w:rPr>
          <w:rFonts w:hint="eastAsia"/>
          <w:sz w:val="30"/>
          <w:szCs w:val="30"/>
        </w:rPr>
        <w:t>列国喧嚷（1-3节）</w:t>
      </w:r>
    </w:p>
    <w:p w14:paraId="70B16835">
      <w:pPr>
        <w:pStyle w:val="9"/>
        <w:spacing w:before="11"/>
        <w:ind w:left="0"/>
        <w:jc w:val="left"/>
        <w:rPr>
          <w:rFonts w:hint="eastAsia"/>
          <w:sz w:val="30"/>
          <w:szCs w:val="30"/>
        </w:rPr>
      </w:pPr>
    </w:p>
    <w:p w14:paraId="159B6F2E">
      <w:pPr>
        <w:pStyle w:val="9"/>
        <w:spacing w:before="11"/>
        <w:ind w:left="0"/>
        <w:jc w:val="left"/>
        <w:rPr>
          <w:rFonts w:hint="eastAsia"/>
          <w:sz w:val="30"/>
          <w:szCs w:val="30"/>
        </w:rPr>
      </w:pPr>
      <w:r>
        <w:rPr>
          <w:rFonts w:hint="eastAsia"/>
          <w:sz w:val="30"/>
          <w:szCs w:val="30"/>
        </w:rPr>
        <w:t>Verses 1-3 speak of the rage of the nations who vainly rebel against God and his Anointed.</w:t>
      </w:r>
    </w:p>
    <w:p w14:paraId="53B3503D">
      <w:pPr>
        <w:pStyle w:val="9"/>
        <w:spacing w:before="11"/>
        <w:ind w:left="0"/>
        <w:jc w:val="left"/>
        <w:rPr>
          <w:rFonts w:hint="eastAsia"/>
          <w:sz w:val="30"/>
          <w:szCs w:val="30"/>
        </w:rPr>
      </w:pPr>
      <w:r>
        <w:rPr>
          <w:rFonts w:hint="eastAsia"/>
          <w:sz w:val="30"/>
          <w:szCs w:val="30"/>
        </w:rPr>
        <w:t>第1-3节谈到列国徒然背叛上帝和祂的受膏者的忿怒。</w:t>
      </w:r>
    </w:p>
    <w:p w14:paraId="4E186940">
      <w:pPr>
        <w:pStyle w:val="9"/>
        <w:spacing w:before="11"/>
        <w:ind w:left="0"/>
        <w:jc w:val="left"/>
        <w:rPr>
          <w:rFonts w:hint="eastAsia"/>
          <w:sz w:val="30"/>
          <w:szCs w:val="30"/>
        </w:rPr>
      </w:pPr>
    </w:p>
    <w:p w14:paraId="7112D471">
      <w:pPr>
        <w:pStyle w:val="9"/>
        <w:spacing w:before="11"/>
        <w:ind w:left="0"/>
        <w:jc w:val="left"/>
        <w:rPr>
          <w:rFonts w:hint="eastAsia"/>
          <w:sz w:val="30"/>
          <w:szCs w:val="30"/>
        </w:rPr>
      </w:pPr>
      <w:r>
        <w:rPr>
          <w:rFonts w:hint="eastAsia"/>
          <w:sz w:val="30"/>
          <w:szCs w:val="30"/>
        </w:rPr>
        <w:t>According to the NT, it was first directed, with lethal but redemptive results, against Jesus of Nazareth, who was rejected both by Jew and Gentile (Acts 4:25-26).</w:t>
      </w:r>
    </w:p>
    <w:p w14:paraId="32C0324B">
      <w:pPr>
        <w:pStyle w:val="9"/>
        <w:spacing w:before="11"/>
        <w:ind w:left="0"/>
        <w:jc w:val="left"/>
        <w:rPr>
          <w:rFonts w:hint="eastAsia"/>
          <w:sz w:val="30"/>
          <w:szCs w:val="30"/>
        </w:rPr>
      </w:pPr>
      <w:r>
        <w:rPr>
          <w:rFonts w:hint="eastAsia"/>
          <w:sz w:val="30"/>
          <w:szCs w:val="30"/>
        </w:rPr>
        <w:t>根据新约，这忿怒首先是针对拿撒勒人耶稣，带来了致命但救赎性的结果，祂被犹太人和外邦人所弃绝（使徒行传 4:25-26）。</w:t>
      </w:r>
    </w:p>
    <w:p w14:paraId="2AF401A3">
      <w:pPr>
        <w:pStyle w:val="9"/>
        <w:spacing w:before="11"/>
        <w:ind w:left="0"/>
        <w:jc w:val="left"/>
        <w:rPr>
          <w:rFonts w:hint="eastAsia"/>
          <w:sz w:val="30"/>
          <w:szCs w:val="30"/>
        </w:rPr>
      </w:pPr>
    </w:p>
    <w:p w14:paraId="2B84DB58">
      <w:pPr>
        <w:pStyle w:val="9"/>
        <w:spacing w:before="11"/>
        <w:ind w:left="0"/>
        <w:jc w:val="left"/>
        <w:rPr>
          <w:rFonts w:hint="eastAsia"/>
          <w:sz w:val="30"/>
          <w:szCs w:val="30"/>
        </w:rPr>
      </w:pPr>
      <w:r>
        <w:rPr>
          <w:rFonts w:hint="eastAsia"/>
          <w:sz w:val="30"/>
          <w:szCs w:val="30"/>
        </w:rPr>
        <w:t>However, the NT also repeatedly warns that despite assured evangelistic success, the nations also will rage against believers in Jesus, who also are the LORD’s anointed, having been endowed with the Spirit for Kingdom service throughout the Church era (Mt. 10:24-25, John 15:20, 1 John 2:20, 27, Rev. 12:13, 17).</w:t>
      </w:r>
    </w:p>
    <w:p w14:paraId="18F2F0C0">
      <w:pPr>
        <w:pStyle w:val="9"/>
        <w:spacing w:before="11"/>
        <w:ind w:left="0"/>
        <w:jc w:val="left"/>
        <w:rPr>
          <w:rFonts w:hint="eastAsia"/>
          <w:sz w:val="30"/>
          <w:szCs w:val="30"/>
        </w:rPr>
      </w:pPr>
      <w:r>
        <w:rPr>
          <w:rFonts w:hint="eastAsia"/>
          <w:sz w:val="30"/>
          <w:szCs w:val="30"/>
        </w:rPr>
        <w:t>然而，新约也一再警告，尽管有确定的福音传扬的成功，列国也会对信耶稣的人发怒，他们也是耶和华的受膏者，在整个教会时代都蒙圣灵恩赐以服事国度（马太福音 10:24-25, 约翰福音 15:20, 约翰一书 2:20, 27, 启示录 12:13, 17）。</w:t>
      </w:r>
    </w:p>
    <w:p w14:paraId="3B0AF8C9">
      <w:pPr>
        <w:pStyle w:val="9"/>
        <w:spacing w:before="11"/>
        <w:ind w:left="0"/>
        <w:jc w:val="left"/>
        <w:rPr>
          <w:rFonts w:hint="eastAsia"/>
          <w:sz w:val="30"/>
          <w:szCs w:val="30"/>
        </w:rPr>
      </w:pPr>
    </w:p>
    <w:p w14:paraId="1CD7C10D">
      <w:pPr>
        <w:pStyle w:val="9"/>
        <w:spacing w:before="11"/>
        <w:ind w:left="0"/>
        <w:jc w:val="left"/>
        <w:rPr>
          <w:rFonts w:hint="eastAsia"/>
          <w:sz w:val="30"/>
          <w:szCs w:val="30"/>
        </w:rPr>
      </w:pPr>
      <w:r>
        <w:rPr>
          <w:rFonts w:hint="eastAsia"/>
          <w:sz w:val="30"/>
          <w:szCs w:val="30"/>
        </w:rPr>
        <w:t>Verses 1-3 will also be fulfilled in the Last Battle, when the rage of the nations, fueled by the rage of Satan, explodes one final time against the Church, which will follow in the footsteps of her Master, both in death and eternal resurrection life (Rev. 11:7-13).</w:t>
      </w:r>
    </w:p>
    <w:p w14:paraId="7B01B44E">
      <w:pPr>
        <w:pStyle w:val="9"/>
        <w:spacing w:before="11"/>
        <w:ind w:left="0"/>
        <w:jc w:val="left"/>
        <w:rPr>
          <w:rFonts w:hint="eastAsia"/>
          <w:sz w:val="30"/>
          <w:szCs w:val="30"/>
        </w:rPr>
      </w:pPr>
      <w:r>
        <w:rPr>
          <w:rFonts w:hint="eastAsia"/>
          <w:sz w:val="30"/>
          <w:szCs w:val="30"/>
        </w:rPr>
        <w:t>第1-3节也将在最后的战役中应验，那时，由撒但的忿怒所煽动的列国的忿怒将最后一次向教会爆发，教会将跟随她主的脚踪，经历死亡和永恒的复活生命（启示录 11:7-13）。</w:t>
      </w:r>
    </w:p>
    <w:p w14:paraId="35AD7AD8">
      <w:pPr>
        <w:pStyle w:val="9"/>
        <w:spacing w:before="11"/>
        <w:ind w:left="0"/>
        <w:jc w:val="left"/>
        <w:rPr>
          <w:rFonts w:hint="eastAsia"/>
          <w:sz w:val="30"/>
          <w:szCs w:val="30"/>
        </w:rPr>
      </w:pPr>
    </w:p>
    <w:p w14:paraId="5EB61950">
      <w:pPr>
        <w:pStyle w:val="9"/>
        <w:spacing w:before="11"/>
        <w:ind w:left="0"/>
        <w:jc w:val="left"/>
        <w:rPr>
          <w:rFonts w:hint="eastAsia"/>
          <w:sz w:val="30"/>
          <w:szCs w:val="30"/>
        </w:rPr>
      </w:pPr>
      <w:r>
        <w:rPr>
          <w:rFonts w:hint="eastAsia"/>
          <w:sz w:val="30"/>
          <w:szCs w:val="30"/>
        </w:rPr>
        <w:t>The LORD Replies (4-6)</w:t>
      </w:r>
    </w:p>
    <w:p w14:paraId="043D7E28">
      <w:pPr>
        <w:pStyle w:val="9"/>
        <w:spacing w:before="11"/>
        <w:ind w:left="0"/>
        <w:jc w:val="left"/>
        <w:rPr>
          <w:rFonts w:hint="eastAsia"/>
          <w:sz w:val="30"/>
          <w:szCs w:val="30"/>
        </w:rPr>
      </w:pPr>
      <w:r>
        <w:rPr>
          <w:rFonts w:hint="eastAsia"/>
          <w:sz w:val="30"/>
          <w:szCs w:val="30"/>
        </w:rPr>
        <w:t>耶和华的回应（4-6节）</w:t>
      </w:r>
    </w:p>
    <w:p w14:paraId="48F2ECC6">
      <w:pPr>
        <w:pStyle w:val="9"/>
        <w:spacing w:before="11"/>
        <w:ind w:left="0"/>
        <w:jc w:val="left"/>
        <w:rPr>
          <w:rFonts w:hint="eastAsia"/>
          <w:sz w:val="30"/>
          <w:szCs w:val="30"/>
        </w:rPr>
      </w:pPr>
    </w:p>
    <w:p w14:paraId="6A174034">
      <w:pPr>
        <w:pStyle w:val="9"/>
        <w:spacing w:before="11"/>
        <w:ind w:left="0"/>
        <w:jc w:val="left"/>
        <w:rPr>
          <w:rFonts w:hint="eastAsia"/>
          <w:sz w:val="30"/>
          <w:szCs w:val="30"/>
        </w:rPr>
      </w:pPr>
      <w:r>
        <w:rPr>
          <w:rFonts w:hint="eastAsia"/>
          <w:sz w:val="30"/>
          <w:szCs w:val="30"/>
        </w:rPr>
        <w:t>Verses 4-6 give God’s response to the rejection of his Messiah.</w:t>
      </w:r>
    </w:p>
    <w:p w14:paraId="7DF240FD">
      <w:pPr>
        <w:pStyle w:val="9"/>
        <w:spacing w:before="11"/>
        <w:ind w:left="0"/>
        <w:jc w:val="left"/>
        <w:rPr>
          <w:rFonts w:hint="eastAsia"/>
          <w:sz w:val="30"/>
          <w:szCs w:val="30"/>
        </w:rPr>
      </w:pPr>
      <w:r>
        <w:rPr>
          <w:rFonts w:hint="eastAsia"/>
          <w:sz w:val="30"/>
          <w:szCs w:val="30"/>
        </w:rPr>
        <w:t>第4-6节给出了上帝对祂弥赛亚被弃绝的回应。</w:t>
      </w:r>
    </w:p>
    <w:p w14:paraId="7D71CF2A">
      <w:pPr>
        <w:pStyle w:val="9"/>
        <w:spacing w:before="11"/>
        <w:ind w:left="0"/>
        <w:jc w:val="left"/>
        <w:rPr>
          <w:rFonts w:hint="eastAsia"/>
          <w:sz w:val="30"/>
          <w:szCs w:val="30"/>
        </w:rPr>
      </w:pPr>
    </w:p>
    <w:p w14:paraId="45A4CEAB">
      <w:pPr>
        <w:pStyle w:val="9"/>
        <w:spacing w:before="11"/>
        <w:ind w:left="0"/>
        <w:jc w:val="left"/>
        <w:rPr>
          <w:rFonts w:hint="eastAsia"/>
          <w:sz w:val="30"/>
          <w:szCs w:val="30"/>
        </w:rPr>
      </w:pPr>
      <w:r>
        <w:rPr>
          <w:rFonts w:hint="eastAsia"/>
          <w:sz w:val="30"/>
          <w:szCs w:val="30"/>
        </w:rPr>
        <w:t>He derides the nations for their futile attempts to thwart his sovereign will.</w:t>
      </w:r>
    </w:p>
    <w:p w14:paraId="1F2B6AF8">
      <w:pPr>
        <w:pStyle w:val="9"/>
        <w:spacing w:before="11"/>
        <w:ind w:left="0"/>
        <w:jc w:val="left"/>
        <w:rPr>
          <w:rFonts w:hint="eastAsia"/>
          <w:sz w:val="30"/>
          <w:szCs w:val="30"/>
        </w:rPr>
      </w:pPr>
      <w:r>
        <w:rPr>
          <w:rFonts w:hint="eastAsia"/>
          <w:sz w:val="30"/>
          <w:szCs w:val="30"/>
        </w:rPr>
        <w:t>祂嘲笑列国徒然试图阻挠祂主权的旨意。</w:t>
      </w:r>
    </w:p>
    <w:p w14:paraId="37323D89">
      <w:pPr>
        <w:pStyle w:val="9"/>
        <w:spacing w:before="11"/>
        <w:ind w:left="0"/>
        <w:jc w:val="left"/>
        <w:rPr>
          <w:rFonts w:hint="eastAsia"/>
          <w:sz w:val="30"/>
          <w:szCs w:val="30"/>
        </w:rPr>
      </w:pPr>
    </w:p>
    <w:p w14:paraId="07A98CF2">
      <w:pPr>
        <w:pStyle w:val="9"/>
        <w:spacing w:before="11"/>
        <w:ind w:left="0"/>
        <w:jc w:val="left"/>
        <w:rPr>
          <w:rFonts w:hint="eastAsia"/>
          <w:sz w:val="30"/>
          <w:szCs w:val="30"/>
        </w:rPr>
      </w:pPr>
      <w:r>
        <w:rPr>
          <w:rFonts w:hint="eastAsia"/>
          <w:sz w:val="30"/>
          <w:szCs w:val="30"/>
        </w:rPr>
        <w:t>But, in the exaltation of Christ and the subsequent global proclamation of the Gospel, he also speaks to them in his wrath.</w:t>
      </w:r>
    </w:p>
    <w:p w14:paraId="4FBB0BFD">
      <w:pPr>
        <w:pStyle w:val="9"/>
        <w:spacing w:before="11"/>
        <w:ind w:left="0"/>
        <w:jc w:val="left"/>
        <w:rPr>
          <w:rFonts w:hint="eastAsia"/>
          <w:sz w:val="30"/>
          <w:szCs w:val="30"/>
        </w:rPr>
      </w:pPr>
      <w:r>
        <w:rPr>
          <w:rFonts w:hint="eastAsia"/>
          <w:sz w:val="30"/>
          <w:szCs w:val="30"/>
        </w:rPr>
        <w:t>但是，在基督的被高举和随后的全球性福音宣讲中，祂也在祂的忿怒中对他们说话。</w:t>
      </w:r>
    </w:p>
    <w:p w14:paraId="62A62580">
      <w:pPr>
        <w:pStyle w:val="9"/>
        <w:spacing w:before="11"/>
        <w:ind w:left="0"/>
        <w:jc w:val="left"/>
        <w:rPr>
          <w:rFonts w:hint="eastAsia"/>
          <w:sz w:val="30"/>
          <w:szCs w:val="30"/>
        </w:rPr>
      </w:pPr>
    </w:p>
    <w:p w14:paraId="6EFFABE3">
      <w:pPr>
        <w:pStyle w:val="9"/>
        <w:spacing w:before="11"/>
        <w:ind w:left="0"/>
        <w:jc w:val="left"/>
        <w:rPr>
          <w:rFonts w:hint="eastAsia"/>
          <w:sz w:val="30"/>
          <w:szCs w:val="30"/>
        </w:rPr>
      </w:pPr>
      <w:r>
        <w:rPr>
          <w:rFonts w:hint="eastAsia"/>
          <w:sz w:val="30"/>
          <w:szCs w:val="30"/>
        </w:rPr>
        <w:t>My paraphrase goes like this: “Though you have crucified My Son (and so fulfilled My redemptive plan), I have installed him as King of the Cosmos at My own right hand; I have set him upon the Zion above, upon My holy mountain of heaven, from which he will return to judge the world in righteousness and turn all impenitent rebels into hell.</w:t>
      </w:r>
    </w:p>
    <w:p w14:paraId="72CEA4B2">
      <w:pPr>
        <w:pStyle w:val="9"/>
        <w:spacing w:before="11"/>
        <w:ind w:left="0"/>
        <w:jc w:val="left"/>
        <w:rPr>
          <w:rFonts w:hint="eastAsia"/>
          <w:sz w:val="30"/>
          <w:szCs w:val="30"/>
        </w:rPr>
      </w:pPr>
      <w:r>
        <w:rPr>
          <w:rFonts w:hint="eastAsia"/>
          <w:sz w:val="30"/>
          <w:szCs w:val="30"/>
        </w:rPr>
        <w:t>我的释义是这样的：“虽然你们钉死了我的儿子（从而成全了我的救赎计划），但我已在我的右边立祂为宇宙的君王；我已将祂立在天上的锡安，在我天上的圣山上，祂将从那里回来，按公义审判世界，并将所有不悔改的悖逆者都投入地狱。</w:t>
      </w:r>
    </w:p>
    <w:p w14:paraId="52222ADC">
      <w:pPr>
        <w:pStyle w:val="9"/>
        <w:spacing w:before="11"/>
        <w:ind w:left="0"/>
        <w:jc w:val="left"/>
        <w:rPr>
          <w:rFonts w:hint="eastAsia"/>
          <w:sz w:val="30"/>
          <w:szCs w:val="30"/>
        </w:rPr>
      </w:pPr>
    </w:p>
    <w:p w14:paraId="4E7D5658">
      <w:pPr>
        <w:pStyle w:val="9"/>
        <w:spacing w:before="11"/>
        <w:ind w:left="0"/>
        <w:jc w:val="left"/>
        <w:rPr>
          <w:rFonts w:hint="eastAsia"/>
          <w:sz w:val="30"/>
          <w:szCs w:val="30"/>
        </w:rPr>
      </w:pPr>
      <w:r>
        <w:rPr>
          <w:rFonts w:hint="eastAsia"/>
          <w:sz w:val="30"/>
          <w:szCs w:val="30"/>
        </w:rPr>
        <w:t>Now you have been warned; hopefully you will fear, repent, and believe” (Mt. 23:33, Acts 17:31, 1 Thess. 1:10, Heb. 12:22, Rev. 12:5, 14:7).</w:t>
      </w:r>
    </w:p>
    <w:p w14:paraId="4DE98BAF">
      <w:pPr>
        <w:pStyle w:val="9"/>
        <w:spacing w:before="11"/>
        <w:ind w:left="0"/>
        <w:jc w:val="left"/>
        <w:rPr>
          <w:rFonts w:hint="eastAsia"/>
          <w:sz w:val="30"/>
          <w:szCs w:val="30"/>
        </w:rPr>
      </w:pPr>
      <w:r>
        <w:rPr>
          <w:rFonts w:hint="eastAsia"/>
          <w:sz w:val="30"/>
          <w:szCs w:val="30"/>
        </w:rPr>
        <w:t>现在你们已被警告；希望你们会惧怕、悔改并相信”（马太福音 23:33, 使徒行传 17:31, 帖撒罗尼迦前书 1:10, 希伯来书 12:22, 启示录 12:5, 14:7）。</w:t>
      </w:r>
    </w:p>
    <w:p w14:paraId="2E62C59C">
      <w:pPr>
        <w:pStyle w:val="9"/>
        <w:spacing w:before="11"/>
        <w:ind w:left="0"/>
        <w:jc w:val="left"/>
        <w:rPr>
          <w:rFonts w:hint="eastAsia"/>
          <w:sz w:val="30"/>
          <w:szCs w:val="30"/>
        </w:rPr>
      </w:pPr>
    </w:p>
    <w:p w14:paraId="6D446506">
      <w:pPr>
        <w:pStyle w:val="9"/>
        <w:spacing w:before="11"/>
        <w:ind w:left="0"/>
        <w:jc w:val="left"/>
        <w:rPr>
          <w:rFonts w:hint="eastAsia"/>
          <w:sz w:val="30"/>
          <w:szCs w:val="30"/>
        </w:rPr>
      </w:pPr>
      <w:r>
        <w:rPr>
          <w:rFonts w:hint="eastAsia"/>
          <w:sz w:val="30"/>
          <w:szCs w:val="30"/>
        </w:rPr>
        <w:t>The Inheritance of the Son (7-9)</w:t>
      </w:r>
    </w:p>
    <w:p w14:paraId="58F94525">
      <w:pPr>
        <w:pStyle w:val="9"/>
        <w:spacing w:before="11"/>
        <w:ind w:left="0"/>
        <w:jc w:val="left"/>
        <w:rPr>
          <w:rFonts w:hint="eastAsia"/>
          <w:sz w:val="30"/>
          <w:szCs w:val="30"/>
        </w:rPr>
      </w:pPr>
      <w:r>
        <w:rPr>
          <w:rFonts w:hint="eastAsia"/>
          <w:sz w:val="30"/>
          <w:szCs w:val="30"/>
        </w:rPr>
        <w:t>圣子的产业（7-9节）</w:t>
      </w:r>
    </w:p>
    <w:p w14:paraId="36EB56CE">
      <w:pPr>
        <w:pStyle w:val="9"/>
        <w:spacing w:before="11"/>
        <w:ind w:left="0"/>
        <w:jc w:val="left"/>
        <w:rPr>
          <w:rFonts w:hint="eastAsia"/>
          <w:sz w:val="30"/>
          <w:szCs w:val="30"/>
        </w:rPr>
      </w:pPr>
    </w:p>
    <w:p w14:paraId="28CA23DE">
      <w:pPr>
        <w:pStyle w:val="9"/>
        <w:spacing w:before="11"/>
        <w:ind w:left="0"/>
        <w:jc w:val="left"/>
        <w:rPr>
          <w:rFonts w:hint="eastAsia"/>
          <w:sz w:val="30"/>
          <w:szCs w:val="30"/>
        </w:rPr>
      </w:pPr>
      <w:r>
        <w:rPr>
          <w:rFonts w:hint="eastAsia"/>
          <w:sz w:val="30"/>
          <w:szCs w:val="30"/>
        </w:rPr>
        <w:t>In verses 7-9 we hear the voice of the Son, sharing with us the words of the Father, spoken to him immediately after his exaltation to God’s right hand.</w:t>
      </w:r>
    </w:p>
    <w:p w14:paraId="4E1807B3">
      <w:pPr>
        <w:pStyle w:val="9"/>
        <w:spacing w:before="11"/>
        <w:ind w:left="0"/>
        <w:jc w:val="left"/>
        <w:rPr>
          <w:rFonts w:hint="eastAsia"/>
          <w:sz w:val="30"/>
          <w:szCs w:val="30"/>
        </w:rPr>
      </w:pPr>
      <w:r>
        <w:rPr>
          <w:rFonts w:hint="eastAsia"/>
          <w:sz w:val="30"/>
          <w:szCs w:val="30"/>
        </w:rPr>
        <w:t>在第7-9节，我们听到圣子的声音，与我们分享父的话语，这些话语是在祂被高举到上帝右边后立刻对祂说的。</w:t>
      </w:r>
    </w:p>
    <w:p w14:paraId="201C5B6E">
      <w:pPr>
        <w:pStyle w:val="9"/>
        <w:spacing w:before="11"/>
        <w:ind w:left="0"/>
        <w:jc w:val="left"/>
        <w:rPr>
          <w:rFonts w:hint="eastAsia"/>
          <w:sz w:val="30"/>
          <w:szCs w:val="30"/>
        </w:rPr>
      </w:pPr>
    </w:p>
    <w:p w14:paraId="6D27CFAC">
      <w:pPr>
        <w:pStyle w:val="9"/>
        <w:spacing w:before="11"/>
        <w:ind w:left="0"/>
        <w:jc w:val="left"/>
        <w:rPr>
          <w:rFonts w:hint="eastAsia"/>
          <w:sz w:val="30"/>
          <w:szCs w:val="30"/>
        </w:rPr>
      </w:pPr>
      <w:r>
        <w:rPr>
          <w:rFonts w:hint="eastAsia"/>
          <w:sz w:val="30"/>
          <w:szCs w:val="30"/>
        </w:rPr>
        <w:t>A New Covenant paraphrase would go something like this: “Because of your obedience unto death—because you have faithfully fulfilled your part in the eternal Covenant of Redemption—this day, in your exaltation, I have begotten you, the God-Man, as My eternal Divine-human Son; the One who will inherit all my wealth and rule over all my redeemed creation; as the One who will serve as Head over all redeemed things in the eternal offices of Prophet, Priest, and King.</w:t>
      </w:r>
    </w:p>
    <w:p w14:paraId="306D59AB">
      <w:pPr>
        <w:pStyle w:val="9"/>
        <w:spacing w:before="11"/>
        <w:ind w:left="0"/>
        <w:jc w:val="left"/>
        <w:rPr>
          <w:rFonts w:hint="eastAsia"/>
          <w:sz w:val="30"/>
          <w:szCs w:val="30"/>
        </w:rPr>
      </w:pPr>
      <w:r>
        <w:rPr>
          <w:rFonts w:hint="eastAsia"/>
          <w:sz w:val="30"/>
          <w:szCs w:val="30"/>
        </w:rPr>
        <w:t>新约的释义大概是这样的：“因你顺服至死——因你忠实地完成了你在永恒救赎之约中的部分——今天，在你被高举时，我已生你，这位神人，作我永恒的神人儿子；那一位将继承我所有财富并统治我所有被救赎的创造物；那一位将在永恒的先知、祭司和君王的职分中，作所有被救赎事物的元首。</w:t>
      </w:r>
    </w:p>
    <w:p w14:paraId="17C02F06">
      <w:pPr>
        <w:pStyle w:val="9"/>
        <w:spacing w:before="11"/>
        <w:ind w:left="0"/>
        <w:jc w:val="left"/>
        <w:rPr>
          <w:rFonts w:hint="eastAsia"/>
          <w:sz w:val="30"/>
          <w:szCs w:val="30"/>
        </w:rPr>
      </w:pPr>
    </w:p>
    <w:p w14:paraId="5784B37C">
      <w:pPr>
        <w:pStyle w:val="9"/>
        <w:spacing w:before="11"/>
        <w:ind w:left="0"/>
        <w:jc w:val="left"/>
        <w:rPr>
          <w:rFonts w:hint="eastAsia"/>
          <w:sz w:val="30"/>
          <w:szCs w:val="30"/>
        </w:rPr>
      </w:pPr>
      <w:r>
        <w:rPr>
          <w:rFonts w:hint="eastAsia"/>
          <w:sz w:val="30"/>
          <w:szCs w:val="30"/>
        </w:rPr>
        <w:t>Therefore, simply ask, and in fulfillment of my part in the Covenant of Redemption, I will give the raging and rebellious nations as your inheritance.</w:t>
      </w:r>
    </w:p>
    <w:p w14:paraId="299D8BF0">
      <w:pPr>
        <w:pStyle w:val="9"/>
        <w:spacing w:before="11"/>
        <w:ind w:left="0"/>
        <w:jc w:val="left"/>
        <w:rPr>
          <w:rFonts w:hint="eastAsia"/>
          <w:sz w:val="30"/>
          <w:szCs w:val="30"/>
        </w:rPr>
      </w:pPr>
      <w:r>
        <w:rPr>
          <w:rFonts w:hint="eastAsia"/>
          <w:sz w:val="30"/>
          <w:szCs w:val="30"/>
        </w:rPr>
        <w:t>因此，你只管求，我必将那忿怒和悖逆的列国赐你为产业，以成全我在救赎之约中的部分。</w:t>
      </w:r>
    </w:p>
    <w:p w14:paraId="6E4F16B4">
      <w:pPr>
        <w:pStyle w:val="9"/>
        <w:spacing w:before="11"/>
        <w:ind w:left="0"/>
        <w:jc w:val="left"/>
        <w:rPr>
          <w:rFonts w:hint="eastAsia"/>
          <w:sz w:val="30"/>
          <w:szCs w:val="30"/>
        </w:rPr>
      </w:pPr>
    </w:p>
    <w:p w14:paraId="3263F9E3">
      <w:pPr>
        <w:pStyle w:val="9"/>
        <w:spacing w:before="11"/>
        <w:ind w:left="0"/>
        <w:jc w:val="left"/>
        <w:rPr>
          <w:rFonts w:hint="eastAsia"/>
          <w:sz w:val="30"/>
          <w:szCs w:val="30"/>
        </w:rPr>
      </w:pPr>
      <w:r>
        <w:rPr>
          <w:rFonts w:hint="eastAsia"/>
          <w:sz w:val="30"/>
          <w:szCs w:val="30"/>
        </w:rPr>
        <w:t>Those for whom you died, I will draw to you, that they may become the eager subjects of your Kingdom, as well as my own beloved children.</w:t>
      </w:r>
    </w:p>
    <w:p w14:paraId="25B820F6">
      <w:pPr>
        <w:pStyle w:val="9"/>
        <w:spacing w:before="11"/>
        <w:ind w:left="0"/>
        <w:jc w:val="left"/>
        <w:rPr>
          <w:rFonts w:hint="eastAsia"/>
          <w:sz w:val="30"/>
          <w:szCs w:val="30"/>
        </w:rPr>
      </w:pPr>
      <w:r>
        <w:rPr>
          <w:rFonts w:hint="eastAsia"/>
          <w:sz w:val="30"/>
          <w:szCs w:val="30"/>
        </w:rPr>
        <w:t>那些你为之而死的人，我必将他们吸引到你这里来，使他们成为你国度中热切的臣民，也成为我所爱的儿女。</w:t>
      </w:r>
    </w:p>
    <w:p w14:paraId="34D60C0A">
      <w:pPr>
        <w:pStyle w:val="9"/>
        <w:spacing w:before="11"/>
        <w:ind w:left="0"/>
        <w:jc w:val="left"/>
        <w:rPr>
          <w:rFonts w:hint="eastAsia"/>
          <w:sz w:val="30"/>
          <w:szCs w:val="30"/>
        </w:rPr>
      </w:pPr>
    </w:p>
    <w:p w14:paraId="788EB344">
      <w:pPr>
        <w:pStyle w:val="9"/>
        <w:spacing w:before="11"/>
        <w:ind w:left="0"/>
        <w:jc w:val="left"/>
        <w:rPr>
          <w:rFonts w:hint="eastAsia"/>
          <w:sz w:val="30"/>
          <w:szCs w:val="30"/>
        </w:rPr>
      </w:pPr>
      <w:r>
        <w:rPr>
          <w:rFonts w:hint="eastAsia"/>
          <w:sz w:val="30"/>
          <w:szCs w:val="30"/>
        </w:rPr>
        <w:t>Those who continue in sin, I will give to you for judgment, especially at the end, when you return in power and glory to punish the wicked with a rod of iron, and to shatter them like an earthen pot” (John 6:44, Acts 13:33, Eph. 1:10, Phil. 2:1-11, Col. 1:13, Heb. 1:5, 5:5, Rev. 2:26-27, 12:5, 19:15).</w:t>
      </w:r>
    </w:p>
    <w:p w14:paraId="75331A0E">
      <w:pPr>
        <w:pStyle w:val="9"/>
        <w:spacing w:before="11"/>
        <w:ind w:left="0"/>
        <w:jc w:val="left"/>
        <w:rPr>
          <w:rFonts w:hint="eastAsia"/>
          <w:sz w:val="30"/>
          <w:szCs w:val="30"/>
        </w:rPr>
      </w:pPr>
      <w:r>
        <w:rPr>
          <w:rFonts w:hint="eastAsia"/>
          <w:sz w:val="30"/>
          <w:szCs w:val="30"/>
        </w:rPr>
        <w:t>那些继续犯罪的人，我必将他们交给你审判，特别是在末日，当你带着能力和荣耀回来，用铁杖惩罚恶人，并将他们像陶器一样打碎时”（约翰福音 6:44, 使徒行传 13:33, 以弗所书 1:10, 腓立比书 2:1-11, 歌罗西书 1:13, 希伯来书 1:5, 5:5, 启示录 2:26-27, 12:5, 19:15）。</w:t>
      </w:r>
    </w:p>
    <w:p w14:paraId="0EC3946E">
      <w:pPr>
        <w:pStyle w:val="9"/>
        <w:spacing w:before="11"/>
        <w:ind w:left="0"/>
        <w:jc w:val="left"/>
        <w:rPr>
          <w:rFonts w:hint="eastAsia"/>
          <w:sz w:val="30"/>
          <w:szCs w:val="30"/>
        </w:rPr>
      </w:pPr>
    </w:p>
    <w:p w14:paraId="0C99C2CF">
      <w:pPr>
        <w:pStyle w:val="9"/>
        <w:spacing w:before="11"/>
        <w:ind w:left="0"/>
        <w:jc w:val="left"/>
        <w:rPr>
          <w:rFonts w:hint="eastAsia"/>
          <w:sz w:val="30"/>
          <w:szCs w:val="30"/>
        </w:rPr>
      </w:pPr>
      <w:r>
        <w:rPr>
          <w:rFonts w:hint="eastAsia"/>
          <w:sz w:val="30"/>
          <w:szCs w:val="30"/>
        </w:rPr>
        <w:t>The Way of Wisdom (10-12)!</w:t>
      </w:r>
    </w:p>
    <w:p w14:paraId="19F058B9">
      <w:pPr>
        <w:pStyle w:val="9"/>
        <w:spacing w:before="11"/>
        <w:ind w:left="0"/>
        <w:jc w:val="left"/>
        <w:rPr>
          <w:rFonts w:hint="eastAsia"/>
          <w:sz w:val="30"/>
          <w:szCs w:val="30"/>
        </w:rPr>
      </w:pPr>
      <w:r>
        <w:rPr>
          <w:rFonts w:hint="eastAsia"/>
          <w:sz w:val="30"/>
          <w:szCs w:val="30"/>
        </w:rPr>
        <w:t>智慧之道（10-12节）！</w:t>
      </w:r>
    </w:p>
    <w:p w14:paraId="6D07BAE0">
      <w:pPr>
        <w:pStyle w:val="9"/>
        <w:spacing w:before="11"/>
        <w:ind w:left="0"/>
        <w:jc w:val="left"/>
        <w:rPr>
          <w:rFonts w:hint="eastAsia"/>
          <w:sz w:val="30"/>
          <w:szCs w:val="30"/>
        </w:rPr>
      </w:pPr>
    </w:p>
    <w:p w14:paraId="5EB2743F">
      <w:pPr>
        <w:pStyle w:val="9"/>
        <w:spacing w:before="11"/>
        <w:ind w:left="0"/>
        <w:jc w:val="left"/>
        <w:rPr>
          <w:rFonts w:hint="eastAsia"/>
          <w:sz w:val="30"/>
          <w:szCs w:val="30"/>
        </w:rPr>
      </w:pPr>
      <w:r>
        <w:rPr>
          <w:rFonts w:hint="eastAsia"/>
          <w:sz w:val="30"/>
          <w:szCs w:val="30"/>
        </w:rPr>
        <w:t>In verses 10-12 we hear the voice of David—and the voice of the Spirit —issuing a final warning.</w:t>
      </w:r>
    </w:p>
    <w:p w14:paraId="25296173">
      <w:pPr>
        <w:pStyle w:val="9"/>
        <w:spacing w:before="11"/>
        <w:ind w:left="0"/>
        <w:jc w:val="left"/>
        <w:rPr>
          <w:rFonts w:hint="eastAsia"/>
          <w:sz w:val="30"/>
          <w:szCs w:val="30"/>
        </w:rPr>
      </w:pPr>
      <w:r>
        <w:rPr>
          <w:rFonts w:hint="eastAsia"/>
          <w:sz w:val="30"/>
          <w:szCs w:val="30"/>
        </w:rPr>
        <w:t>在第10-12节，我们听到大卫的声音——以及圣灵的声音——发出最后的警告。</w:t>
      </w:r>
    </w:p>
    <w:p w14:paraId="2F5177E3">
      <w:pPr>
        <w:pStyle w:val="9"/>
        <w:spacing w:before="11"/>
        <w:ind w:left="0"/>
        <w:jc w:val="left"/>
        <w:rPr>
          <w:rFonts w:hint="eastAsia"/>
          <w:sz w:val="30"/>
          <w:szCs w:val="30"/>
        </w:rPr>
      </w:pPr>
    </w:p>
    <w:p w14:paraId="5D119D05">
      <w:pPr>
        <w:pStyle w:val="9"/>
        <w:spacing w:before="11"/>
        <w:ind w:left="0"/>
        <w:jc w:val="left"/>
        <w:rPr>
          <w:rFonts w:hint="eastAsia"/>
          <w:sz w:val="30"/>
          <w:szCs w:val="30"/>
        </w:rPr>
      </w:pPr>
      <w:r>
        <w:rPr>
          <w:rFonts w:hint="eastAsia"/>
          <w:sz w:val="30"/>
          <w:szCs w:val="30"/>
        </w:rPr>
        <w:t>“You kings, you judges, and you sinners everywhere, in view of all that God has done in Christ, it is high time to exercise some discernment.</w:t>
      </w:r>
    </w:p>
    <w:p w14:paraId="38D34732">
      <w:pPr>
        <w:pStyle w:val="9"/>
        <w:spacing w:before="11"/>
        <w:ind w:left="0"/>
        <w:jc w:val="left"/>
        <w:rPr>
          <w:rFonts w:hint="eastAsia"/>
          <w:sz w:val="30"/>
          <w:szCs w:val="30"/>
        </w:rPr>
      </w:pPr>
      <w:r>
        <w:rPr>
          <w:rFonts w:hint="eastAsia"/>
          <w:sz w:val="30"/>
          <w:szCs w:val="30"/>
        </w:rPr>
        <w:t>“你们君王、你们审判官，以及各处的罪人，鉴于上帝在基督里所做的一切，现在是时候运用一些分辨力了。</w:t>
      </w:r>
    </w:p>
    <w:p w14:paraId="4734E61F">
      <w:pPr>
        <w:pStyle w:val="9"/>
        <w:spacing w:before="11"/>
        <w:ind w:left="0"/>
        <w:jc w:val="left"/>
        <w:rPr>
          <w:rFonts w:hint="eastAsia"/>
          <w:sz w:val="30"/>
          <w:szCs w:val="30"/>
        </w:rPr>
      </w:pPr>
    </w:p>
    <w:p w14:paraId="19AFCA9A">
      <w:pPr>
        <w:pStyle w:val="9"/>
        <w:spacing w:before="11"/>
        <w:ind w:left="0"/>
        <w:jc w:val="left"/>
        <w:rPr>
          <w:rFonts w:hint="eastAsia"/>
          <w:sz w:val="30"/>
          <w:szCs w:val="30"/>
        </w:rPr>
      </w:pPr>
      <w:r>
        <w:rPr>
          <w:rFonts w:hint="eastAsia"/>
          <w:sz w:val="30"/>
          <w:szCs w:val="30"/>
        </w:rPr>
        <w:t>Understand that today is a Day of Salvation; that for as long as Christ is pleased to tarry in heaven, you still can take refuge in him.</w:t>
      </w:r>
    </w:p>
    <w:p w14:paraId="6817B3F0">
      <w:pPr>
        <w:pStyle w:val="9"/>
        <w:spacing w:before="11"/>
        <w:ind w:left="0"/>
        <w:jc w:val="left"/>
        <w:rPr>
          <w:rFonts w:hint="eastAsia"/>
          <w:sz w:val="30"/>
          <w:szCs w:val="30"/>
        </w:rPr>
      </w:pPr>
      <w:r>
        <w:rPr>
          <w:rFonts w:hint="eastAsia"/>
          <w:sz w:val="30"/>
          <w:szCs w:val="30"/>
        </w:rPr>
        <w:t>要明白今天是拯救的日子；只要基督乐意在天上耽延，你们仍可以投靠祂。</w:t>
      </w:r>
    </w:p>
    <w:p w14:paraId="31D15E5F">
      <w:pPr>
        <w:pStyle w:val="9"/>
        <w:spacing w:before="11"/>
        <w:ind w:left="0"/>
        <w:jc w:val="left"/>
        <w:rPr>
          <w:rFonts w:hint="eastAsia"/>
          <w:sz w:val="30"/>
          <w:szCs w:val="30"/>
        </w:rPr>
      </w:pPr>
    </w:p>
    <w:p w14:paraId="211FB43A">
      <w:pPr>
        <w:pStyle w:val="9"/>
        <w:spacing w:before="11"/>
        <w:ind w:left="0"/>
        <w:jc w:val="left"/>
        <w:rPr>
          <w:rFonts w:hint="eastAsia"/>
          <w:sz w:val="30"/>
          <w:szCs w:val="30"/>
        </w:rPr>
      </w:pPr>
      <w:r>
        <w:rPr>
          <w:rFonts w:hint="eastAsia"/>
          <w:sz w:val="30"/>
          <w:szCs w:val="30"/>
        </w:rPr>
        <w:t>But do not wickedly delay, for his wrath may suddenly flare up against you, or he may suddenly return for final judgment.</w:t>
      </w:r>
    </w:p>
    <w:p w14:paraId="1B62D4EE">
      <w:pPr>
        <w:pStyle w:val="9"/>
        <w:spacing w:before="11"/>
        <w:ind w:left="0"/>
        <w:jc w:val="left"/>
        <w:rPr>
          <w:rFonts w:hint="eastAsia"/>
          <w:sz w:val="30"/>
          <w:szCs w:val="30"/>
        </w:rPr>
      </w:pPr>
      <w:r>
        <w:rPr>
          <w:rFonts w:hint="eastAsia"/>
          <w:sz w:val="30"/>
          <w:szCs w:val="30"/>
        </w:rPr>
        <w:t>但不要邪恶地耽延，因为祂的忿怒可能会突然向你们发作，或者祂可能会突然回来进行最后的审判。</w:t>
      </w:r>
    </w:p>
    <w:p w14:paraId="643E6C9C">
      <w:pPr>
        <w:pStyle w:val="9"/>
        <w:spacing w:before="11"/>
        <w:ind w:left="0"/>
        <w:jc w:val="left"/>
        <w:rPr>
          <w:rFonts w:hint="eastAsia"/>
          <w:sz w:val="30"/>
          <w:szCs w:val="30"/>
        </w:rPr>
      </w:pPr>
    </w:p>
    <w:p w14:paraId="27EF856C">
      <w:pPr>
        <w:pStyle w:val="9"/>
        <w:spacing w:before="11"/>
        <w:ind w:left="0"/>
        <w:jc w:val="left"/>
        <w:rPr>
          <w:rFonts w:hint="eastAsia"/>
          <w:sz w:val="30"/>
          <w:szCs w:val="30"/>
        </w:rPr>
      </w:pPr>
      <w:r>
        <w:rPr>
          <w:rFonts w:hint="eastAsia"/>
          <w:sz w:val="30"/>
          <w:szCs w:val="30"/>
        </w:rPr>
        <w:t>Therefore, fear God, repent, and come to Christ now.</w:t>
      </w:r>
    </w:p>
    <w:p w14:paraId="6C88D218">
      <w:pPr>
        <w:pStyle w:val="9"/>
        <w:spacing w:before="11"/>
        <w:ind w:left="0"/>
        <w:jc w:val="left"/>
        <w:rPr>
          <w:rFonts w:hint="eastAsia"/>
          <w:sz w:val="30"/>
          <w:szCs w:val="30"/>
        </w:rPr>
      </w:pPr>
      <w:r>
        <w:rPr>
          <w:rFonts w:hint="eastAsia"/>
          <w:sz w:val="30"/>
          <w:szCs w:val="30"/>
        </w:rPr>
        <w:t>因此，要敬畏上帝，悔改，现在就归向基督。</w:t>
      </w:r>
    </w:p>
    <w:p w14:paraId="46012512">
      <w:pPr>
        <w:pStyle w:val="9"/>
        <w:spacing w:before="11"/>
        <w:ind w:left="0"/>
        <w:jc w:val="left"/>
        <w:rPr>
          <w:rFonts w:hint="eastAsia"/>
          <w:sz w:val="30"/>
          <w:szCs w:val="30"/>
        </w:rPr>
      </w:pPr>
    </w:p>
    <w:p w14:paraId="5F028CEE">
      <w:pPr>
        <w:pStyle w:val="9"/>
        <w:spacing w:before="11"/>
        <w:ind w:left="0"/>
        <w:jc w:val="left"/>
        <w:rPr>
          <w:rFonts w:hint="eastAsia"/>
          <w:sz w:val="30"/>
          <w:szCs w:val="30"/>
        </w:rPr>
      </w:pPr>
      <w:r>
        <w:rPr>
          <w:rFonts w:hint="eastAsia"/>
          <w:sz w:val="30"/>
          <w:szCs w:val="30"/>
        </w:rPr>
        <w:t>How blessed you will be if you do (Luke 4:16-20, Acts 2:37-40, 2 Cor. 6:2)!”</w:t>
      </w:r>
    </w:p>
    <w:p w14:paraId="57E7394C">
      <w:pPr>
        <w:pStyle w:val="9"/>
        <w:spacing w:before="11"/>
        <w:ind w:left="0"/>
        <w:jc w:val="left"/>
        <w:rPr>
          <w:rFonts w:hint="eastAsia"/>
          <w:sz w:val="30"/>
          <w:szCs w:val="30"/>
        </w:rPr>
      </w:pPr>
      <w:r>
        <w:rPr>
          <w:rFonts w:hint="eastAsia"/>
          <w:sz w:val="30"/>
          <w:szCs w:val="30"/>
        </w:rPr>
        <w:t>如果你这样做，你将何等有福（路加福音 4:16-20, 使徒行传 2:37-40, 哥林多后书 6:2）！”</w:t>
      </w:r>
    </w:p>
    <w:p w14:paraId="32D7665B">
      <w:pPr>
        <w:pStyle w:val="9"/>
        <w:spacing w:before="11"/>
        <w:ind w:left="0"/>
        <w:jc w:val="left"/>
        <w:rPr>
          <w:rFonts w:hint="eastAsia"/>
          <w:sz w:val="30"/>
          <w:szCs w:val="30"/>
        </w:rPr>
      </w:pPr>
    </w:p>
    <w:p w14:paraId="07242153">
      <w:pPr>
        <w:pStyle w:val="9"/>
        <w:spacing w:before="11"/>
        <w:ind w:left="0"/>
        <w:jc w:val="left"/>
        <w:rPr>
          <w:rFonts w:hint="eastAsia"/>
          <w:sz w:val="30"/>
          <w:szCs w:val="30"/>
        </w:rPr>
      </w:pPr>
      <w:r>
        <w:rPr>
          <w:rFonts w:hint="eastAsia"/>
          <w:sz w:val="30"/>
          <w:szCs w:val="30"/>
        </w:rPr>
        <w:t>Does Psalm 2:6-9 speak of an earthly thousand year reign of Christ emanating from earthly Zion, as C. I. Scofield asserts?1 The NT passages cited above—and indeed the whole substance of NT eschatology—answer with a resounding “No!”</w:t>
      </w:r>
    </w:p>
    <w:p w14:paraId="3437BBB1">
      <w:pPr>
        <w:pStyle w:val="9"/>
        <w:spacing w:before="11"/>
        <w:ind w:left="0"/>
        <w:jc w:val="left"/>
        <w:rPr>
          <w:rFonts w:hint="eastAsia"/>
          <w:sz w:val="30"/>
          <w:szCs w:val="30"/>
        </w:rPr>
      </w:pPr>
      <w:r>
        <w:rPr>
          <w:rFonts w:hint="eastAsia"/>
          <w:sz w:val="30"/>
          <w:szCs w:val="30"/>
        </w:rPr>
        <w:t>诗篇 2:6-9 是否像司可福（C. I. Scofield）所断言的，谈论基督从地上锡安发出的千年地上统治？1 上面引用的新约经文——实际上是整个新约末世论的实质——以一个响亮的“不！”来回答。</w:t>
      </w:r>
    </w:p>
    <w:p w14:paraId="5FCD324C">
      <w:pPr>
        <w:pStyle w:val="9"/>
        <w:spacing w:before="11"/>
        <w:ind w:left="0"/>
        <w:jc w:val="left"/>
        <w:rPr>
          <w:rFonts w:hint="eastAsia"/>
          <w:sz w:val="30"/>
          <w:szCs w:val="30"/>
        </w:rPr>
      </w:pPr>
    </w:p>
    <w:p w14:paraId="7FD611F5">
      <w:pPr>
        <w:pStyle w:val="9"/>
        <w:spacing w:before="11"/>
        <w:ind w:left="0"/>
        <w:jc w:val="left"/>
        <w:rPr>
          <w:rFonts w:hint="eastAsia"/>
          <w:sz w:val="30"/>
          <w:szCs w:val="30"/>
        </w:rPr>
      </w:pPr>
      <w:r>
        <w:rPr>
          <w:rFonts w:hint="eastAsia"/>
          <w:sz w:val="30"/>
          <w:szCs w:val="30"/>
        </w:rPr>
        <w:t>2.An Ideal King for an Ideal Kingdom</w:t>
      </w:r>
    </w:p>
    <w:p w14:paraId="3A65ECAF">
      <w:pPr>
        <w:pStyle w:val="9"/>
        <w:spacing w:before="11"/>
        <w:ind w:left="0"/>
        <w:jc w:val="left"/>
        <w:rPr>
          <w:rFonts w:hint="eastAsia"/>
          <w:sz w:val="30"/>
          <w:szCs w:val="30"/>
        </w:rPr>
      </w:pPr>
      <w:r>
        <w:rPr>
          <w:rFonts w:hint="eastAsia"/>
          <w:sz w:val="30"/>
          <w:szCs w:val="30"/>
        </w:rPr>
        <w:t>2.理想国度的理想君王</w:t>
      </w:r>
    </w:p>
    <w:p w14:paraId="3D4F361C">
      <w:pPr>
        <w:pStyle w:val="9"/>
        <w:spacing w:before="11"/>
        <w:ind w:left="0"/>
        <w:jc w:val="left"/>
        <w:rPr>
          <w:rFonts w:hint="eastAsia"/>
          <w:sz w:val="30"/>
          <w:szCs w:val="30"/>
        </w:rPr>
      </w:pPr>
    </w:p>
    <w:p w14:paraId="248B1E64">
      <w:pPr>
        <w:pStyle w:val="9"/>
        <w:spacing w:before="11"/>
        <w:ind w:left="0"/>
        <w:jc w:val="left"/>
        <w:rPr>
          <w:rFonts w:hint="eastAsia"/>
          <w:sz w:val="30"/>
          <w:szCs w:val="30"/>
        </w:rPr>
      </w:pPr>
      <w:r>
        <w:rPr>
          <w:rFonts w:hint="eastAsia"/>
          <w:sz w:val="30"/>
          <w:szCs w:val="30"/>
        </w:rPr>
        <w:t>(Psalm 72)</w:t>
      </w:r>
    </w:p>
    <w:p w14:paraId="7EA5F57E">
      <w:pPr>
        <w:pStyle w:val="9"/>
        <w:spacing w:before="11"/>
        <w:ind w:left="0"/>
        <w:jc w:val="left"/>
        <w:rPr>
          <w:rFonts w:hint="eastAsia"/>
          <w:sz w:val="30"/>
          <w:szCs w:val="30"/>
        </w:rPr>
      </w:pPr>
      <w:r>
        <w:rPr>
          <w:rFonts w:hint="eastAsia"/>
          <w:sz w:val="30"/>
          <w:szCs w:val="30"/>
        </w:rPr>
        <w:t>（诗篇 72篇）</w:t>
      </w:r>
    </w:p>
    <w:p w14:paraId="1D515C8A">
      <w:pPr>
        <w:pStyle w:val="9"/>
        <w:spacing w:before="11"/>
        <w:ind w:left="0"/>
        <w:jc w:val="left"/>
        <w:rPr>
          <w:rFonts w:hint="eastAsia"/>
          <w:sz w:val="30"/>
          <w:szCs w:val="30"/>
        </w:rPr>
      </w:pPr>
    </w:p>
    <w:p w14:paraId="6098CAD7">
      <w:pPr>
        <w:pStyle w:val="9"/>
        <w:spacing w:before="11"/>
        <w:ind w:left="0"/>
        <w:jc w:val="left"/>
        <w:rPr>
          <w:rFonts w:hint="eastAsia"/>
          <w:sz w:val="30"/>
          <w:szCs w:val="30"/>
        </w:rPr>
      </w:pPr>
      <w:r>
        <w:rPr>
          <w:rFonts w:hint="eastAsia"/>
          <w:sz w:val="30"/>
          <w:szCs w:val="30"/>
        </w:rPr>
        <w:t>This is another royal psalm, frequently cited as a bastion of premillennial truth.</w:t>
      </w:r>
    </w:p>
    <w:p w14:paraId="5D10A96B">
      <w:pPr>
        <w:pStyle w:val="9"/>
        <w:spacing w:before="11"/>
        <w:ind w:left="0"/>
        <w:jc w:val="left"/>
        <w:rPr>
          <w:rFonts w:hint="eastAsia"/>
          <w:sz w:val="30"/>
          <w:szCs w:val="30"/>
        </w:rPr>
      </w:pPr>
      <w:r>
        <w:rPr>
          <w:rFonts w:hint="eastAsia"/>
          <w:sz w:val="30"/>
          <w:szCs w:val="30"/>
        </w:rPr>
        <w:t>这是另一首君王诗篇，经常被引用为前千禧年派真理的堡垒。</w:t>
      </w:r>
    </w:p>
    <w:p w14:paraId="559FBE5D">
      <w:pPr>
        <w:pStyle w:val="9"/>
        <w:spacing w:before="11"/>
        <w:ind w:left="0"/>
        <w:jc w:val="left"/>
        <w:rPr>
          <w:rFonts w:hint="eastAsia"/>
          <w:sz w:val="30"/>
          <w:szCs w:val="30"/>
        </w:rPr>
      </w:pPr>
    </w:p>
    <w:p w14:paraId="53313F7E">
      <w:pPr>
        <w:pStyle w:val="9"/>
        <w:spacing w:before="11"/>
        <w:ind w:left="0"/>
        <w:jc w:val="left"/>
        <w:rPr>
          <w:rFonts w:hint="eastAsia"/>
          <w:sz w:val="30"/>
          <w:szCs w:val="30"/>
        </w:rPr>
      </w:pPr>
      <w:r>
        <w:rPr>
          <w:rFonts w:hint="eastAsia"/>
          <w:sz w:val="30"/>
          <w:szCs w:val="30"/>
        </w:rPr>
        <w:t>John Walvoord writes, “Psalm 72 is an unusually complete picture of the millennial reign of Christ … The psalm as a whole pictures the peace and righteousness and universal rule of the King of whom it is predicted, ‘Yea, all kings shall fall down before him, all nations shall serve him.’”2</w:t>
      </w:r>
    </w:p>
    <w:p w14:paraId="10FF939B">
      <w:pPr>
        <w:pStyle w:val="9"/>
        <w:spacing w:before="11"/>
        <w:ind w:left="0"/>
        <w:jc w:val="left"/>
        <w:rPr>
          <w:rFonts w:hint="eastAsia"/>
          <w:sz w:val="30"/>
          <w:szCs w:val="30"/>
        </w:rPr>
      </w:pPr>
      <w:r>
        <w:rPr>
          <w:rFonts w:hint="eastAsia"/>
          <w:sz w:val="30"/>
          <w:szCs w:val="30"/>
        </w:rPr>
        <w:t>约翰·华富德写道：“诗篇 72 篇是基督千禧年统治一幅异常完整的图景……这首诗篇作为一个整体，描绘了那位被预言的君王的和平、公义和普世统治，‘是的，万王都要在他面前俯伏，万国都要事奉他。’”2</w:t>
      </w:r>
    </w:p>
    <w:p w14:paraId="702FAA69">
      <w:pPr>
        <w:pStyle w:val="9"/>
        <w:spacing w:before="11"/>
        <w:ind w:left="0"/>
        <w:jc w:val="left"/>
        <w:rPr>
          <w:rFonts w:hint="eastAsia"/>
          <w:sz w:val="30"/>
          <w:szCs w:val="30"/>
        </w:rPr>
      </w:pPr>
    </w:p>
    <w:p w14:paraId="1FA08CA6">
      <w:pPr>
        <w:pStyle w:val="9"/>
        <w:spacing w:before="11"/>
        <w:ind w:left="0"/>
        <w:jc w:val="left"/>
        <w:rPr>
          <w:rFonts w:hint="eastAsia"/>
          <w:sz w:val="30"/>
          <w:szCs w:val="30"/>
        </w:rPr>
      </w:pPr>
      <w:r>
        <w:rPr>
          <w:rFonts w:hint="eastAsia"/>
          <w:sz w:val="30"/>
          <w:szCs w:val="30"/>
        </w:rPr>
        <w:t>Similarly, Wayne Grudem states, “(This psalm) speaks of an age far different from the present age, but short of the eternal state in which there is no more sin or suffering.”3 In other words, it speaks of the Millennium.</w:t>
      </w:r>
    </w:p>
    <w:p w14:paraId="24C50CB8">
      <w:pPr>
        <w:pStyle w:val="9"/>
        <w:spacing w:before="11"/>
        <w:ind w:left="0"/>
        <w:jc w:val="left"/>
        <w:rPr>
          <w:rFonts w:hint="eastAsia"/>
          <w:sz w:val="30"/>
          <w:szCs w:val="30"/>
        </w:rPr>
      </w:pPr>
      <w:r>
        <w:rPr>
          <w:rFonts w:hint="eastAsia"/>
          <w:sz w:val="30"/>
          <w:szCs w:val="30"/>
        </w:rPr>
        <w:t>同样，韦恩·古德恩（Wayne Grudem）指出：“（这首诗篇）谈论的是一个与现今世代迥然不同的时代，但又不及不再有罪或苦难的永恒状态。”3 换句话说，它谈论的是千禧年。</w:t>
      </w:r>
    </w:p>
    <w:p w14:paraId="78B6346E">
      <w:pPr>
        <w:pStyle w:val="9"/>
        <w:spacing w:before="11"/>
        <w:ind w:left="0"/>
        <w:jc w:val="left"/>
        <w:rPr>
          <w:rFonts w:hint="eastAsia"/>
          <w:sz w:val="30"/>
          <w:szCs w:val="30"/>
        </w:rPr>
      </w:pPr>
    </w:p>
    <w:p w14:paraId="13DF0010">
      <w:pPr>
        <w:pStyle w:val="9"/>
        <w:spacing w:before="11"/>
        <w:ind w:left="0"/>
        <w:jc w:val="left"/>
        <w:rPr>
          <w:rFonts w:hint="eastAsia"/>
          <w:sz w:val="30"/>
          <w:szCs w:val="30"/>
        </w:rPr>
      </w:pPr>
      <w:r>
        <w:rPr>
          <w:rFonts w:hint="eastAsia"/>
          <w:sz w:val="30"/>
          <w:szCs w:val="30"/>
        </w:rPr>
        <w:t>However, a close look at the psalm itself tells a different story.</w:t>
      </w:r>
    </w:p>
    <w:p w14:paraId="4E8A8CBB">
      <w:pPr>
        <w:pStyle w:val="9"/>
        <w:spacing w:before="11"/>
        <w:ind w:left="0"/>
        <w:jc w:val="left"/>
        <w:rPr>
          <w:rFonts w:hint="eastAsia"/>
          <w:sz w:val="30"/>
          <w:szCs w:val="30"/>
        </w:rPr>
      </w:pPr>
      <w:r>
        <w:rPr>
          <w:rFonts w:hint="eastAsia"/>
          <w:sz w:val="30"/>
          <w:szCs w:val="30"/>
        </w:rPr>
        <w:t>然而，仔细审视这首诗篇本身，却讲述了一个不同的故事。</w:t>
      </w:r>
    </w:p>
    <w:p w14:paraId="731DE76F">
      <w:pPr>
        <w:pStyle w:val="9"/>
        <w:spacing w:before="11"/>
        <w:ind w:left="0"/>
        <w:jc w:val="left"/>
        <w:rPr>
          <w:rFonts w:hint="eastAsia"/>
          <w:sz w:val="30"/>
          <w:szCs w:val="30"/>
        </w:rPr>
      </w:pPr>
    </w:p>
    <w:p w14:paraId="032758DA">
      <w:pPr>
        <w:pStyle w:val="9"/>
        <w:spacing w:before="11"/>
        <w:ind w:left="0"/>
        <w:jc w:val="left"/>
        <w:rPr>
          <w:rFonts w:hint="eastAsia"/>
          <w:sz w:val="30"/>
          <w:szCs w:val="30"/>
        </w:rPr>
      </w:pPr>
      <w:r>
        <w:rPr>
          <w:rFonts w:hint="eastAsia"/>
          <w:sz w:val="30"/>
          <w:szCs w:val="30"/>
        </w:rPr>
        <w:t>To begin with, it is not at all clear that this an OTKP.</w:t>
      </w:r>
    </w:p>
    <w:p w14:paraId="51C4D527">
      <w:pPr>
        <w:pStyle w:val="9"/>
        <w:spacing w:before="11"/>
        <w:ind w:left="0"/>
        <w:jc w:val="left"/>
        <w:rPr>
          <w:rFonts w:hint="eastAsia"/>
          <w:sz w:val="30"/>
          <w:szCs w:val="30"/>
        </w:rPr>
      </w:pPr>
      <w:r>
        <w:rPr>
          <w:rFonts w:hint="eastAsia"/>
          <w:sz w:val="30"/>
          <w:szCs w:val="30"/>
        </w:rPr>
        <w:t>首先，这首诗是否是旧约国度预言（OTKP）根本不清楚。</w:t>
      </w:r>
    </w:p>
    <w:p w14:paraId="5524E3E9">
      <w:pPr>
        <w:pStyle w:val="9"/>
        <w:spacing w:before="11"/>
        <w:ind w:left="0"/>
        <w:jc w:val="left"/>
        <w:rPr>
          <w:rFonts w:hint="eastAsia"/>
          <w:sz w:val="30"/>
          <w:szCs w:val="30"/>
        </w:rPr>
      </w:pPr>
    </w:p>
    <w:p w14:paraId="260796F7">
      <w:pPr>
        <w:pStyle w:val="9"/>
        <w:spacing w:before="11"/>
        <w:ind w:left="0"/>
        <w:jc w:val="left"/>
        <w:rPr>
          <w:rFonts w:hint="eastAsia"/>
          <w:sz w:val="30"/>
          <w:szCs w:val="30"/>
        </w:rPr>
      </w:pPr>
      <w:r>
        <w:rPr>
          <w:rFonts w:hint="eastAsia"/>
          <w:sz w:val="30"/>
          <w:szCs w:val="30"/>
        </w:rPr>
        <w:t>Following the AV and the NIV, Walvoord and Grudem read it (or portions of it) as serial predictions about the Messiah and his millennial kingdom; they read it as straight OTKP.</w:t>
      </w:r>
    </w:p>
    <w:p w14:paraId="4520E8AD">
      <w:pPr>
        <w:pStyle w:val="9"/>
        <w:spacing w:before="11"/>
        <w:ind w:left="0"/>
        <w:jc w:val="left"/>
        <w:rPr>
          <w:rFonts w:hint="eastAsia"/>
          <w:sz w:val="30"/>
          <w:szCs w:val="30"/>
        </w:rPr>
      </w:pPr>
      <w:r>
        <w:rPr>
          <w:rFonts w:hint="eastAsia"/>
          <w:sz w:val="30"/>
          <w:szCs w:val="30"/>
        </w:rPr>
        <w:t>华富德和古德恩跟随英王钦定本（AV）和新国际版圣经（NIV），将其（或其部分）解读为关于弥赛亚及其千禧年国度的一系列预言；他们将其直接读作旧约国度预言（OTKP）。</w:t>
      </w:r>
    </w:p>
    <w:p w14:paraId="128717BA">
      <w:pPr>
        <w:pStyle w:val="9"/>
        <w:spacing w:before="11"/>
        <w:ind w:left="0"/>
        <w:jc w:val="left"/>
        <w:rPr>
          <w:rFonts w:hint="eastAsia"/>
          <w:sz w:val="30"/>
          <w:szCs w:val="30"/>
        </w:rPr>
      </w:pPr>
    </w:p>
    <w:p w14:paraId="263D6E85">
      <w:pPr>
        <w:pStyle w:val="9"/>
        <w:spacing w:before="11"/>
        <w:ind w:left="0"/>
        <w:jc w:val="left"/>
        <w:rPr>
          <w:rFonts w:hint="eastAsia"/>
          <w:sz w:val="30"/>
          <w:szCs w:val="30"/>
        </w:rPr>
      </w:pPr>
      <w:r>
        <w:rPr>
          <w:rFonts w:hint="eastAsia"/>
          <w:sz w:val="30"/>
          <w:szCs w:val="30"/>
        </w:rPr>
        <w:t>However, in all translations verse 1 clearly marks it as a prayer.</w:t>
      </w:r>
    </w:p>
    <w:p w14:paraId="59FFEC2C">
      <w:pPr>
        <w:pStyle w:val="9"/>
        <w:spacing w:before="11"/>
        <w:ind w:left="0"/>
        <w:jc w:val="left"/>
        <w:rPr>
          <w:rFonts w:hint="eastAsia"/>
          <w:sz w:val="30"/>
          <w:szCs w:val="30"/>
        </w:rPr>
      </w:pPr>
      <w:r>
        <w:rPr>
          <w:rFonts w:hint="eastAsia"/>
          <w:sz w:val="30"/>
          <w:szCs w:val="30"/>
        </w:rPr>
        <w:t>然而，在所有译本中，第一节都清楚地将其标记为一首祷告。</w:t>
      </w:r>
    </w:p>
    <w:p w14:paraId="642D057C">
      <w:pPr>
        <w:pStyle w:val="9"/>
        <w:spacing w:before="11"/>
        <w:ind w:left="0"/>
        <w:jc w:val="left"/>
        <w:rPr>
          <w:rFonts w:hint="eastAsia"/>
          <w:sz w:val="30"/>
          <w:szCs w:val="30"/>
        </w:rPr>
      </w:pPr>
    </w:p>
    <w:p w14:paraId="0F8AF48A">
      <w:pPr>
        <w:pStyle w:val="9"/>
        <w:spacing w:before="11"/>
        <w:ind w:left="0"/>
        <w:jc w:val="left"/>
        <w:rPr>
          <w:rFonts w:hint="eastAsia"/>
          <w:sz w:val="30"/>
          <w:szCs w:val="30"/>
        </w:rPr>
      </w:pPr>
      <w:r>
        <w:rPr>
          <w:rFonts w:hint="eastAsia"/>
          <w:sz w:val="30"/>
          <w:szCs w:val="30"/>
        </w:rPr>
        <w:t>And indeed, some translations, such as the NASB and the ESV, render much or all it as a prayer; as a series of petitions, presumably written by king David (v. 20), asking God to bless not only his son Solomon, but also the entire royal seed, in such a way that they may fulfill the divine purpose for the chosen nation.</w:t>
      </w:r>
    </w:p>
    <w:p w14:paraId="38ED1EF3">
      <w:pPr>
        <w:pStyle w:val="9"/>
        <w:spacing w:before="11"/>
        <w:ind w:left="0"/>
        <w:jc w:val="left"/>
        <w:rPr>
          <w:rFonts w:hint="eastAsia"/>
          <w:sz w:val="30"/>
          <w:szCs w:val="30"/>
        </w:rPr>
      </w:pPr>
      <w:r>
        <w:rPr>
          <w:rFonts w:hint="eastAsia"/>
          <w:sz w:val="30"/>
          <w:szCs w:val="30"/>
        </w:rPr>
        <w:t>的确，一些译本，如新美国标准版圣经（NASB）和英文标准版圣经（ESV），将其大部分或全部译为祷告；即一系列的祈求，大概由大卫王所写（20节），请求上帝不仅祝福他的儿子所罗门，也祝福整个王室后裔，使他们可以实现上帝对被拣选民族的神圣旨意。</w:t>
      </w:r>
    </w:p>
    <w:p w14:paraId="27943D40">
      <w:pPr>
        <w:pStyle w:val="9"/>
        <w:spacing w:before="11"/>
        <w:ind w:left="0"/>
        <w:jc w:val="left"/>
        <w:rPr>
          <w:rFonts w:hint="eastAsia"/>
          <w:sz w:val="30"/>
          <w:szCs w:val="30"/>
        </w:rPr>
      </w:pPr>
    </w:p>
    <w:p w14:paraId="53ECDB91">
      <w:pPr>
        <w:pStyle w:val="9"/>
        <w:spacing w:before="11"/>
        <w:ind w:left="0"/>
        <w:jc w:val="left"/>
        <w:rPr>
          <w:rFonts w:hint="eastAsia"/>
          <w:sz w:val="30"/>
          <w:szCs w:val="30"/>
        </w:rPr>
      </w:pPr>
      <w:r>
        <w:rPr>
          <w:rFonts w:hint="eastAsia"/>
          <w:sz w:val="30"/>
          <w:szCs w:val="30"/>
        </w:rPr>
        <w:t>In sum, this may well be a liturgical prayer, designed for the coronation of any royal son of David, expressing David’s ideal conception of the character, career, and global impact of Israel’s king(s), and asking God to bring it all to pass.</w:t>
      </w:r>
    </w:p>
    <w:p w14:paraId="176BDA0B">
      <w:pPr>
        <w:pStyle w:val="9"/>
        <w:spacing w:before="11"/>
        <w:ind w:left="0"/>
        <w:jc w:val="left"/>
        <w:rPr>
          <w:rFonts w:hint="eastAsia"/>
          <w:sz w:val="30"/>
          <w:szCs w:val="30"/>
        </w:rPr>
      </w:pPr>
      <w:r>
        <w:rPr>
          <w:rFonts w:hint="eastAsia"/>
          <w:sz w:val="30"/>
          <w:szCs w:val="30"/>
        </w:rPr>
        <w:t>总而言之，这很可能是一首礼仪祷告，专为任何大卫王室子孙的加冕典礼而设计，表达了大卫对以色列君王（们）品格、生涯和全球影响的理想构想，并祈求上帝使这一切得以实现。</w:t>
      </w:r>
    </w:p>
    <w:p w14:paraId="3496840A">
      <w:pPr>
        <w:pStyle w:val="9"/>
        <w:spacing w:before="11"/>
        <w:ind w:left="0"/>
        <w:jc w:val="left"/>
        <w:rPr>
          <w:rFonts w:hint="eastAsia"/>
          <w:sz w:val="30"/>
          <w:szCs w:val="30"/>
        </w:rPr>
      </w:pPr>
    </w:p>
    <w:p w14:paraId="207F08C8">
      <w:pPr>
        <w:pStyle w:val="9"/>
        <w:spacing w:before="11"/>
        <w:ind w:left="0"/>
        <w:jc w:val="left"/>
        <w:rPr>
          <w:rFonts w:hint="eastAsia"/>
          <w:sz w:val="30"/>
          <w:szCs w:val="30"/>
        </w:rPr>
      </w:pPr>
      <w:r>
        <w:rPr>
          <w:rFonts w:hint="eastAsia"/>
          <w:sz w:val="30"/>
          <w:szCs w:val="30"/>
        </w:rPr>
        <w:t>What would such a reign look like?</w:t>
      </w:r>
    </w:p>
    <w:p w14:paraId="02697973">
      <w:pPr>
        <w:pStyle w:val="9"/>
        <w:spacing w:before="11"/>
        <w:ind w:left="0"/>
        <w:jc w:val="left"/>
        <w:rPr>
          <w:rFonts w:hint="eastAsia"/>
          <w:sz w:val="30"/>
          <w:szCs w:val="30"/>
        </w:rPr>
      </w:pPr>
      <w:r>
        <w:rPr>
          <w:rFonts w:hint="eastAsia"/>
          <w:sz w:val="30"/>
          <w:szCs w:val="30"/>
        </w:rPr>
        <w:t>这样的统治会是什么样子？</w:t>
      </w:r>
    </w:p>
    <w:p w14:paraId="34DA7453">
      <w:pPr>
        <w:pStyle w:val="9"/>
        <w:spacing w:before="11"/>
        <w:ind w:left="0"/>
        <w:jc w:val="left"/>
        <w:rPr>
          <w:rFonts w:hint="eastAsia"/>
          <w:sz w:val="30"/>
          <w:szCs w:val="30"/>
        </w:rPr>
      </w:pPr>
    </w:p>
    <w:p w14:paraId="44BFCB8B">
      <w:pPr>
        <w:pStyle w:val="9"/>
        <w:spacing w:before="11"/>
        <w:ind w:left="0"/>
        <w:jc w:val="left"/>
        <w:rPr>
          <w:rFonts w:hint="eastAsia"/>
          <w:sz w:val="30"/>
          <w:szCs w:val="30"/>
        </w:rPr>
      </w:pPr>
      <w:r>
        <w:rPr>
          <w:rFonts w:hint="eastAsia"/>
          <w:sz w:val="30"/>
          <w:szCs w:val="30"/>
        </w:rPr>
        <w:t>Turning to the psalm itself, we learn that it would be marked by justice (vv. 2, 4), prosperity (vv. 3, 16), a healthy fear of God (v. 5), righteousness (v. 7), widespread peace (v. 7), the global dominion of Israel’s king(s) (vv. 8-11), his special solicitude for the poor and the weak (vv. 12-13), his sure retribution against their oppressors (v. 14), prayer for the king (v. 15), blessings invoked upon the king (v. 15), the everlasting renown of the king (v. 17), and joyful universal adoration of the king (v. 17).</w:t>
      </w:r>
    </w:p>
    <w:p w14:paraId="2AC722DF">
      <w:pPr>
        <w:pStyle w:val="9"/>
        <w:spacing w:before="11"/>
        <w:ind w:left="0"/>
        <w:jc w:val="left"/>
        <w:rPr>
          <w:rFonts w:hint="eastAsia"/>
          <w:sz w:val="30"/>
          <w:szCs w:val="30"/>
        </w:rPr>
      </w:pPr>
      <w:r>
        <w:rPr>
          <w:rFonts w:hint="eastAsia"/>
          <w:sz w:val="30"/>
          <w:szCs w:val="30"/>
        </w:rPr>
        <w:t>转向诗篇本身，我们了解到，这样的统治将以公义（2, 4节）、繁荣（3, 16节）、对上帝健康的敬畏（5节）、正义（7节）、广泛的和平（7节）、以色列君王（们）的全球统治（8-11节）、他对穷人和弱者的特别关怀（12-13节）、他对他们压迫者的确定报应（14节）、为君王祷告（15节）、向君王祈福（15节）、君王永恒的声誉（17节）以及对君王喜乐的普世敬爱（17节）为标志。</w:t>
      </w:r>
    </w:p>
    <w:p w14:paraId="084D0884">
      <w:pPr>
        <w:pStyle w:val="9"/>
        <w:spacing w:before="11"/>
        <w:ind w:left="0"/>
        <w:jc w:val="left"/>
        <w:rPr>
          <w:rFonts w:hint="eastAsia"/>
          <w:sz w:val="30"/>
          <w:szCs w:val="30"/>
        </w:rPr>
      </w:pPr>
    </w:p>
    <w:p w14:paraId="6F2312E8">
      <w:pPr>
        <w:pStyle w:val="9"/>
        <w:spacing w:before="11"/>
        <w:ind w:left="0"/>
        <w:jc w:val="left"/>
        <w:rPr>
          <w:rFonts w:hint="eastAsia"/>
          <w:sz w:val="30"/>
          <w:szCs w:val="30"/>
        </w:rPr>
      </w:pPr>
      <w:r>
        <w:rPr>
          <w:rFonts w:hint="eastAsia"/>
          <w:sz w:val="30"/>
          <w:szCs w:val="30"/>
        </w:rPr>
        <w:t>Notably, David concludes his prayer urging God’s people to bless the LORD, who alone does wondrous things; who is well able to give Israel and the world just such a king; and who, through him, could well fill the whole earth with his glory (vv. 18-19)!</w:t>
      </w:r>
    </w:p>
    <w:p w14:paraId="42E1D46A">
      <w:pPr>
        <w:pStyle w:val="9"/>
        <w:spacing w:before="11"/>
        <w:ind w:left="0"/>
        <w:jc w:val="left"/>
        <w:rPr>
          <w:rFonts w:hint="eastAsia"/>
          <w:sz w:val="30"/>
          <w:szCs w:val="30"/>
        </w:rPr>
      </w:pPr>
      <w:r>
        <w:rPr>
          <w:rFonts w:hint="eastAsia"/>
          <w:sz w:val="30"/>
          <w:szCs w:val="30"/>
        </w:rPr>
        <w:t>值得注意的是，大卫在祷告的结尾敦促上帝的子民称颂耶和华，唯有祂行奇妙的事；祂完全能够赐予以色列和世界这样一位君王；并且，通过祂，祂完全可以使全地充满祂的荣耀（18-19节）！</w:t>
      </w:r>
    </w:p>
    <w:p w14:paraId="31A3F215">
      <w:pPr>
        <w:pStyle w:val="9"/>
        <w:spacing w:before="11"/>
        <w:ind w:left="0"/>
        <w:jc w:val="left"/>
        <w:rPr>
          <w:rFonts w:hint="eastAsia"/>
          <w:sz w:val="30"/>
          <w:szCs w:val="30"/>
        </w:rPr>
      </w:pPr>
    </w:p>
    <w:p w14:paraId="16C37001">
      <w:pPr>
        <w:pStyle w:val="9"/>
        <w:spacing w:before="11"/>
        <w:ind w:left="0"/>
        <w:jc w:val="left"/>
        <w:rPr>
          <w:rFonts w:hint="eastAsia"/>
          <w:sz w:val="30"/>
          <w:szCs w:val="30"/>
        </w:rPr>
      </w:pPr>
      <w:r>
        <w:rPr>
          <w:rFonts w:hint="eastAsia"/>
          <w:sz w:val="30"/>
          <w:szCs w:val="30"/>
        </w:rPr>
        <w:t>So then, is this an OTKP, as Walvoord claims?</w:t>
      </w:r>
    </w:p>
    <w:p w14:paraId="48297F1B">
      <w:pPr>
        <w:pStyle w:val="9"/>
        <w:spacing w:before="11"/>
        <w:ind w:left="0"/>
        <w:jc w:val="left"/>
        <w:rPr>
          <w:rFonts w:hint="eastAsia"/>
          <w:sz w:val="30"/>
          <w:szCs w:val="30"/>
        </w:rPr>
      </w:pPr>
      <w:r>
        <w:rPr>
          <w:rFonts w:hint="eastAsia"/>
          <w:sz w:val="30"/>
          <w:szCs w:val="30"/>
        </w:rPr>
        <w:t>那么，这是否是如华富德所声称的旧约国度预言（OTKP）呢？</w:t>
      </w:r>
    </w:p>
    <w:p w14:paraId="4879B7C2">
      <w:pPr>
        <w:pStyle w:val="9"/>
        <w:spacing w:before="11"/>
        <w:ind w:left="0"/>
        <w:jc w:val="left"/>
        <w:rPr>
          <w:rFonts w:hint="eastAsia"/>
          <w:sz w:val="30"/>
          <w:szCs w:val="30"/>
        </w:rPr>
      </w:pPr>
    </w:p>
    <w:p w14:paraId="1C014E78">
      <w:pPr>
        <w:pStyle w:val="9"/>
        <w:spacing w:before="11"/>
        <w:ind w:left="0"/>
        <w:jc w:val="left"/>
        <w:rPr>
          <w:rFonts w:hint="eastAsia"/>
          <w:sz w:val="30"/>
          <w:szCs w:val="30"/>
        </w:rPr>
      </w:pPr>
      <w:r>
        <w:rPr>
          <w:rFonts w:hint="eastAsia"/>
          <w:sz w:val="30"/>
          <w:szCs w:val="30"/>
        </w:rPr>
        <w:t>I would say no.</w:t>
      </w:r>
    </w:p>
    <w:p w14:paraId="584155B8">
      <w:pPr>
        <w:pStyle w:val="9"/>
        <w:spacing w:before="11"/>
        <w:ind w:left="0"/>
        <w:jc w:val="left"/>
        <w:rPr>
          <w:rFonts w:hint="eastAsia"/>
          <w:sz w:val="30"/>
          <w:szCs w:val="30"/>
        </w:rPr>
      </w:pPr>
      <w:r>
        <w:rPr>
          <w:rFonts w:hint="eastAsia"/>
          <w:sz w:val="30"/>
          <w:szCs w:val="30"/>
        </w:rPr>
        <w:t>我会说不。</w:t>
      </w:r>
    </w:p>
    <w:p w14:paraId="19CCB83C">
      <w:pPr>
        <w:pStyle w:val="9"/>
        <w:spacing w:before="11"/>
        <w:ind w:left="0"/>
        <w:jc w:val="left"/>
        <w:rPr>
          <w:rFonts w:hint="eastAsia"/>
          <w:sz w:val="30"/>
          <w:szCs w:val="30"/>
        </w:rPr>
      </w:pPr>
    </w:p>
    <w:p w14:paraId="03238418">
      <w:pPr>
        <w:pStyle w:val="9"/>
        <w:spacing w:before="11"/>
        <w:ind w:left="0"/>
        <w:jc w:val="left"/>
        <w:rPr>
          <w:rFonts w:hint="eastAsia"/>
          <w:sz w:val="30"/>
          <w:szCs w:val="30"/>
        </w:rPr>
      </w:pPr>
      <w:r>
        <w:rPr>
          <w:rFonts w:hint="eastAsia"/>
          <w:sz w:val="30"/>
          <w:szCs w:val="30"/>
        </w:rPr>
        <w:t>But does it give us a “mysterious” glimpse of the Messiah and the Kingdom he will usher in?</w:t>
      </w:r>
    </w:p>
    <w:p w14:paraId="57B1927D">
      <w:pPr>
        <w:pStyle w:val="9"/>
        <w:spacing w:before="11"/>
        <w:ind w:left="0"/>
        <w:jc w:val="left"/>
        <w:rPr>
          <w:rFonts w:hint="eastAsia"/>
          <w:sz w:val="30"/>
          <w:szCs w:val="30"/>
        </w:rPr>
      </w:pPr>
      <w:r>
        <w:rPr>
          <w:rFonts w:hint="eastAsia"/>
          <w:sz w:val="30"/>
          <w:szCs w:val="30"/>
        </w:rPr>
        <w:t>但它是否给了我们一个关于弥赛亚和祂将要引入的国度的“奥秘的”一瞥呢？</w:t>
      </w:r>
    </w:p>
    <w:p w14:paraId="07EE3B45">
      <w:pPr>
        <w:pStyle w:val="9"/>
        <w:spacing w:before="11"/>
        <w:ind w:left="0"/>
        <w:jc w:val="left"/>
        <w:rPr>
          <w:rFonts w:hint="eastAsia"/>
          <w:sz w:val="30"/>
          <w:szCs w:val="30"/>
        </w:rPr>
      </w:pPr>
    </w:p>
    <w:p w14:paraId="0DADADAC">
      <w:pPr>
        <w:pStyle w:val="9"/>
        <w:spacing w:before="11"/>
        <w:ind w:left="0"/>
        <w:jc w:val="left"/>
        <w:rPr>
          <w:rFonts w:hint="eastAsia"/>
          <w:sz w:val="30"/>
          <w:szCs w:val="30"/>
        </w:rPr>
      </w:pPr>
      <w:r>
        <w:rPr>
          <w:rFonts w:hint="eastAsia"/>
          <w:sz w:val="30"/>
          <w:szCs w:val="30"/>
        </w:rPr>
        <w:t>Does it portend that David’s ideal king will indeed enter history and fulfill Israel’s destiny?</w:t>
      </w:r>
    </w:p>
    <w:p w14:paraId="645A8774">
      <w:pPr>
        <w:pStyle w:val="9"/>
        <w:spacing w:before="11"/>
        <w:ind w:left="0"/>
        <w:jc w:val="left"/>
        <w:rPr>
          <w:rFonts w:hint="eastAsia"/>
          <w:sz w:val="30"/>
          <w:szCs w:val="30"/>
        </w:rPr>
      </w:pPr>
      <w:r>
        <w:rPr>
          <w:rFonts w:hint="eastAsia"/>
          <w:sz w:val="30"/>
          <w:szCs w:val="30"/>
        </w:rPr>
        <w:t>它是否预示着大卫的理想君王将确实进入历史并实现以色列的命运？</w:t>
      </w:r>
    </w:p>
    <w:p w14:paraId="5BF9A60E">
      <w:pPr>
        <w:pStyle w:val="9"/>
        <w:spacing w:before="11"/>
        <w:ind w:left="0"/>
        <w:jc w:val="left"/>
        <w:rPr>
          <w:rFonts w:hint="eastAsia"/>
          <w:sz w:val="30"/>
          <w:szCs w:val="30"/>
        </w:rPr>
      </w:pPr>
    </w:p>
    <w:p w14:paraId="1DCFC6E8">
      <w:pPr>
        <w:pStyle w:val="9"/>
        <w:spacing w:before="11"/>
        <w:ind w:left="0"/>
        <w:jc w:val="left"/>
        <w:rPr>
          <w:rFonts w:hint="eastAsia"/>
          <w:sz w:val="30"/>
          <w:szCs w:val="30"/>
        </w:rPr>
      </w:pPr>
      <w:r>
        <w:rPr>
          <w:rFonts w:hint="eastAsia"/>
          <w:sz w:val="30"/>
          <w:szCs w:val="30"/>
        </w:rPr>
        <w:t>Absolutely!</w:t>
      </w:r>
    </w:p>
    <w:p w14:paraId="0E7D0BCC">
      <w:pPr>
        <w:pStyle w:val="9"/>
        <w:spacing w:before="11"/>
        <w:ind w:left="0"/>
        <w:jc w:val="left"/>
        <w:rPr>
          <w:rFonts w:hint="eastAsia"/>
          <w:sz w:val="30"/>
          <w:szCs w:val="30"/>
        </w:rPr>
      </w:pPr>
      <w:r>
        <w:rPr>
          <w:rFonts w:hint="eastAsia"/>
          <w:sz w:val="30"/>
          <w:szCs w:val="30"/>
        </w:rPr>
        <w:t>绝对是！</w:t>
      </w:r>
    </w:p>
    <w:p w14:paraId="1015041C">
      <w:pPr>
        <w:pStyle w:val="9"/>
        <w:spacing w:before="11"/>
        <w:ind w:left="0"/>
        <w:jc w:val="left"/>
        <w:rPr>
          <w:rFonts w:hint="eastAsia"/>
          <w:sz w:val="30"/>
          <w:szCs w:val="30"/>
        </w:rPr>
      </w:pPr>
    </w:p>
    <w:p w14:paraId="4A66A4D4">
      <w:pPr>
        <w:pStyle w:val="9"/>
        <w:spacing w:before="11"/>
        <w:ind w:left="0"/>
        <w:jc w:val="left"/>
        <w:rPr>
          <w:rFonts w:hint="eastAsia"/>
          <w:sz w:val="30"/>
          <w:szCs w:val="30"/>
        </w:rPr>
      </w:pPr>
      <w:r>
        <w:rPr>
          <w:rFonts w:hint="eastAsia"/>
          <w:sz w:val="30"/>
          <w:szCs w:val="30"/>
        </w:rPr>
        <w:t>For the Lord Jesus Christ is Israel’s ideal king, and God’s as well.</w:t>
      </w:r>
    </w:p>
    <w:p w14:paraId="27EB491C">
      <w:pPr>
        <w:pStyle w:val="9"/>
        <w:spacing w:before="11"/>
        <w:ind w:left="0"/>
        <w:jc w:val="left"/>
        <w:rPr>
          <w:rFonts w:hint="eastAsia"/>
          <w:sz w:val="30"/>
          <w:szCs w:val="30"/>
        </w:rPr>
      </w:pPr>
      <w:r>
        <w:rPr>
          <w:rFonts w:hint="eastAsia"/>
          <w:sz w:val="30"/>
          <w:szCs w:val="30"/>
        </w:rPr>
        <w:t>因为主耶稣基督是以色列的理想君王，也是上帝的理想君王。</w:t>
      </w:r>
    </w:p>
    <w:p w14:paraId="1F74A740">
      <w:pPr>
        <w:pStyle w:val="9"/>
        <w:spacing w:before="11"/>
        <w:ind w:left="0"/>
        <w:jc w:val="left"/>
        <w:rPr>
          <w:rFonts w:hint="eastAsia"/>
          <w:sz w:val="30"/>
          <w:szCs w:val="30"/>
        </w:rPr>
      </w:pPr>
    </w:p>
    <w:p w14:paraId="081CCB40">
      <w:pPr>
        <w:pStyle w:val="9"/>
        <w:spacing w:before="11"/>
        <w:ind w:left="0"/>
        <w:jc w:val="left"/>
        <w:rPr>
          <w:rFonts w:hint="eastAsia"/>
          <w:sz w:val="30"/>
          <w:szCs w:val="30"/>
        </w:rPr>
      </w:pPr>
      <w:r>
        <w:rPr>
          <w:rFonts w:hint="eastAsia"/>
          <w:sz w:val="30"/>
          <w:szCs w:val="30"/>
        </w:rPr>
        <w:t>Moreover, in one or both of the two stages of his Kingdom, he will bring to perfect fulfillment every aspect of this psalm.</w:t>
      </w:r>
    </w:p>
    <w:p w14:paraId="5DA416E7">
      <w:pPr>
        <w:pStyle w:val="9"/>
        <w:spacing w:before="11"/>
        <w:ind w:left="0"/>
        <w:jc w:val="left"/>
        <w:rPr>
          <w:rFonts w:hint="eastAsia"/>
          <w:sz w:val="30"/>
          <w:szCs w:val="30"/>
        </w:rPr>
      </w:pPr>
      <w:r>
        <w:rPr>
          <w:rFonts w:hint="eastAsia"/>
          <w:sz w:val="30"/>
          <w:szCs w:val="30"/>
        </w:rPr>
        <w:t>此外，在祂国度的两个阶段之一或两者中，祂将使这首诗篇的每一个方面都得到完美的应验。</w:t>
      </w:r>
    </w:p>
    <w:p w14:paraId="64359CE9">
      <w:pPr>
        <w:pStyle w:val="9"/>
        <w:spacing w:before="11"/>
        <w:ind w:left="0"/>
        <w:jc w:val="left"/>
        <w:rPr>
          <w:rFonts w:hint="eastAsia"/>
          <w:sz w:val="30"/>
          <w:szCs w:val="30"/>
        </w:rPr>
      </w:pPr>
    </w:p>
    <w:p w14:paraId="321BE97C">
      <w:pPr>
        <w:pStyle w:val="9"/>
        <w:spacing w:before="11"/>
        <w:ind w:left="0"/>
        <w:jc w:val="left"/>
        <w:rPr>
          <w:rFonts w:hint="eastAsia"/>
          <w:sz w:val="30"/>
          <w:szCs w:val="30"/>
        </w:rPr>
      </w:pPr>
      <w:r>
        <w:rPr>
          <w:rFonts w:hint="eastAsia"/>
          <w:sz w:val="30"/>
          <w:szCs w:val="30"/>
        </w:rPr>
        <w:t>For example, even now he defends the cause of the poor (v. 4, Mt. 5:3, Mark 14:6, Luke 14:18, 1 Cor. 1:26-30).</w:t>
      </w:r>
    </w:p>
    <w:p w14:paraId="3774F9B0">
      <w:pPr>
        <w:pStyle w:val="9"/>
        <w:spacing w:before="11"/>
        <w:ind w:left="0"/>
        <w:jc w:val="left"/>
        <w:rPr>
          <w:rFonts w:hint="eastAsia"/>
          <w:sz w:val="30"/>
          <w:szCs w:val="30"/>
        </w:rPr>
      </w:pPr>
      <w:r>
        <w:rPr>
          <w:rFonts w:hint="eastAsia"/>
          <w:sz w:val="30"/>
          <w:szCs w:val="30"/>
        </w:rPr>
        <w:t>例如，即使现在，祂也为穷人辩护（4节, 马太福音 5:3, 马可福音 14:7, 路加福音 14:13, 哥林多前书 1:26-30）。</w:t>
      </w:r>
    </w:p>
    <w:p w14:paraId="2E8ACF6E">
      <w:pPr>
        <w:pStyle w:val="9"/>
        <w:spacing w:before="11"/>
        <w:ind w:left="0"/>
        <w:jc w:val="left"/>
        <w:rPr>
          <w:rFonts w:hint="eastAsia"/>
          <w:sz w:val="30"/>
          <w:szCs w:val="30"/>
        </w:rPr>
      </w:pPr>
    </w:p>
    <w:p w14:paraId="2E9635D4">
      <w:pPr>
        <w:pStyle w:val="9"/>
        <w:spacing w:before="11"/>
        <w:ind w:left="0"/>
        <w:jc w:val="left"/>
        <w:rPr>
          <w:rFonts w:hint="eastAsia"/>
          <w:sz w:val="30"/>
          <w:szCs w:val="30"/>
        </w:rPr>
      </w:pPr>
      <w:r>
        <w:rPr>
          <w:rFonts w:hint="eastAsia"/>
          <w:sz w:val="30"/>
          <w:szCs w:val="30"/>
        </w:rPr>
        <w:t>Even now he gives deliverance to the oppressed and needy (v. 4, 12, Eph. 2:1-10, 1 Thess. 1:10, Titus 3:3f).</w:t>
      </w:r>
    </w:p>
    <w:p w14:paraId="0F4A17A6">
      <w:pPr>
        <w:pStyle w:val="9"/>
        <w:spacing w:before="11"/>
        <w:ind w:left="0"/>
        <w:jc w:val="left"/>
        <w:rPr>
          <w:rFonts w:hint="eastAsia"/>
          <w:sz w:val="30"/>
          <w:szCs w:val="30"/>
        </w:rPr>
      </w:pPr>
      <w:r>
        <w:rPr>
          <w:rFonts w:hint="eastAsia"/>
          <w:sz w:val="30"/>
          <w:szCs w:val="30"/>
        </w:rPr>
        <w:t>即使现在，祂也拯救受压迫和贫穷的人（4, 12节, 以弗所书 2:1-10, 帖撒罗尼迦前书 1:10, 提多书 3:3及后文）。</w:t>
      </w:r>
    </w:p>
    <w:p w14:paraId="6BCE3207">
      <w:pPr>
        <w:pStyle w:val="9"/>
        <w:spacing w:before="11"/>
        <w:ind w:left="0"/>
        <w:jc w:val="left"/>
        <w:rPr>
          <w:rFonts w:hint="eastAsia"/>
          <w:sz w:val="30"/>
          <w:szCs w:val="30"/>
        </w:rPr>
      </w:pPr>
    </w:p>
    <w:p w14:paraId="755106EC">
      <w:pPr>
        <w:pStyle w:val="9"/>
        <w:spacing w:before="11"/>
        <w:ind w:left="0"/>
        <w:jc w:val="left"/>
        <w:rPr>
          <w:rFonts w:hint="eastAsia"/>
          <w:sz w:val="30"/>
          <w:szCs w:val="30"/>
        </w:rPr>
      </w:pPr>
      <w:r>
        <w:rPr>
          <w:rFonts w:hint="eastAsia"/>
          <w:sz w:val="30"/>
          <w:szCs w:val="30"/>
        </w:rPr>
        <w:t>Even now he is to his thirsting people as showers that water the earth (v. 6, Acts 3:19, 1 Cor. 12:13, Phil. 1:19).</w:t>
      </w:r>
    </w:p>
    <w:p w14:paraId="462CF54D">
      <w:pPr>
        <w:pStyle w:val="9"/>
        <w:spacing w:before="11"/>
        <w:ind w:left="0"/>
        <w:jc w:val="left"/>
        <w:rPr>
          <w:rFonts w:hint="eastAsia"/>
          <w:sz w:val="30"/>
          <w:szCs w:val="30"/>
        </w:rPr>
      </w:pPr>
      <w:r>
        <w:rPr>
          <w:rFonts w:hint="eastAsia"/>
          <w:sz w:val="30"/>
          <w:szCs w:val="30"/>
        </w:rPr>
        <w:t>即使现在，祂对祂干渴的子民也如同滋润大地的甘霖（6节, 使徒行传 3:19, 哥林多前书 12:13, 腓立比书 1:19）。</w:t>
      </w:r>
    </w:p>
    <w:p w14:paraId="5299C37C">
      <w:pPr>
        <w:pStyle w:val="9"/>
        <w:spacing w:before="11"/>
        <w:ind w:left="0"/>
        <w:jc w:val="left"/>
        <w:rPr>
          <w:rFonts w:hint="eastAsia"/>
          <w:sz w:val="30"/>
          <w:szCs w:val="30"/>
        </w:rPr>
      </w:pPr>
    </w:p>
    <w:p w14:paraId="7382F7A4">
      <w:pPr>
        <w:pStyle w:val="9"/>
        <w:spacing w:before="11"/>
        <w:ind w:left="0"/>
        <w:jc w:val="left"/>
        <w:rPr>
          <w:rFonts w:hint="eastAsia"/>
          <w:sz w:val="30"/>
          <w:szCs w:val="30"/>
        </w:rPr>
      </w:pPr>
      <w:r>
        <w:rPr>
          <w:rFonts w:hint="eastAsia"/>
          <w:sz w:val="30"/>
          <w:szCs w:val="30"/>
        </w:rPr>
        <w:t>Even now, through the faithful preaching of the Gospel, his far-flung dominion is spreading from sea to sea, and to the ends of the earth (v. 8, Mt. 13:33, Acts 1:8, Col. 1:23).</w:t>
      </w:r>
    </w:p>
    <w:p w14:paraId="516B4886">
      <w:pPr>
        <w:pStyle w:val="9"/>
        <w:spacing w:before="11"/>
        <w:ind w:left="0"/>
        <w:jc w:val="left"/>
        <w:rPr>
          <w:rFonts w:hint="eastAsia"/>
          <w:sz w:val="30"/>
          <w:szCs w:val="30"/>
        </w:rPr>
      </w:pPr>
      <w:r>
        <w:rPr>
          <w:rFonts w:hint="eastAsia"/>
          <w:sz w:val="30"/>
          <w:szCs w:val="30"/>
        </w:rPr>
        <w:t>即使现在，通过对福音的忠实传讲，祂广阔的疆域正从这海传到那海，直到地极（8节, 马太福音 13:33, 使徒行传 1:8, 歌罗西书 1:23）。</w:t>
      </w:r>
    </w:p>
    <w:p w14:paraId="1A22BF59">
      <w:pPr>
        <w:pStyle w:val="9"/>
        <w:spacing w:before="11"/>
        <w:ind w:left="0"/>
        <w:jc w:val="left"/>
        <w:rPr>
          <w:rFonts w:hint="eastAsia"/>
          <w:sz w:val="30"/>
          <w:szCs w:val="30"/>
        </w:rPr>
      </w:pPr>
    </w:p>
    <w:p w14:paraId="7F9CC1EF">
      <w:pPr>
        <w:pStyle w:val="9"/>
        <w:spacing w:before="11"/>
        <w:ind w:left="0"/>
        <w:jc w:val="left"/>
        <w:rPr>
          <w:rFonts w:hint="eastAsia"/>
          <w:sz w:val="30"/>
          <w:szCs w:val="30"/>
        </w:rPr>
      </w:pPr>
      <w:r>
        <w:rPr>
          <w:rFonts w:hint="eastAsia"/>
          <w:sz w:val="30"/>
          <w:szCs w:val="30"/>
        </w:rPr>
        <w:t>The psalm also anticipates the Consummation, and the second, eternal stage of the Kingdom.</w:t>
      </w:r>
    </w:p>
    <w:p w14:paraId="1B5EAB9F">
      <w:pPr>
        <w:pStyle w:val="9"/>
        <w:spacing w:before="11"/>
        <w:ind w:left="0"/>
        <w:jc w:val="left"/>
        <w:rPr>
          <w:rFonts w:hint="eastAsia"/>
          <w:sz w:val="30"/>
          <w:szCs w:val="30"/>
        </w:rPr>
      </w:pPr>
      <w:r>
        <w:rPr>
          <w:rFonts w:hint="eastAsia"/>
          <w:sz w:val="30"/>
          <w:szCs w:val="30"/>
        </w:rPr>
        <w:t>这首诗篇也预示了“成全”，以及国度的第二个、永恒的阶段。</w:t>
      </w:r>
    </w:p>
    <w:p w14:paraId="79AE0416">
      <w:pPr>
        <w:pStyle w:val="9"/>
        <w:spacing w:before="11"/>
        <w:ind w:left="0"/>
        <w:jc w:val="left"/>
        <w:rPr>
          <w:rFonts w:hint="eastAsia"/>
          <w:sz w:val="30"/>
          <w:szCs w:val="30"/>
        </w:rPr>
      </w:pPr>
    </w:p>
    <w:p w14:paraId="4B56AC97">
      <w:pPr>
        <w:pStyle w:val="9"/>
        <w:spacing w:before="11"/>
        <w:ind w:left="0"/>
        <w:jc w:val="left"/>
        <w:rPr>
          <w:rFonts w:hint="eastAsia"/>
          <w:sz w:val="30"/>
          <w:szCs w:val="30"/>
        </w:rPr>
      </w:pPr>
      <w:r>
        <w:rPr>
          <w:rFonts w:hint="eastAsia"/>
          <w:sz w:val="30"/>
          <w:szCs w:val="30"/>
        </w:rPr>
        <w:t>For at his return, the High King’s dominion will become absolute: His enemies will lick the dust (v. 9, Luke 19:27), all kings will fall down before him (v. 11, Phil. 2:10), and he will crush every remaining oppressor, including death itself (vv. 4, 14, Rom. 16:20, 1 Cor. 15:25).</w:t>
      </w:r>
    </w:p>
    <w:p w14:paraId="1ED76B1F">
      <w:pPr>
        <w:pStyle w:val="9"/>
        <w:spacing w:before="11"/>
        <w:ind w:left="0"/>
        <w:jc w:val="left"/>
        <w:rPr>
          <w:rFonts w:hint="eastAsia"/>
          <w:sz w:val="30"/>
          <w:szCs w:val="30"/>
        </w:rPr>
      </w:pPr>
      <w:r>
        <w:rPr>
          <w:rFonts w:hint="eastAsia"/>
          <w:sz w:val="30"/>
          <w:szCs w:val="30"/>
        </w:rPr>
        <w:t>因为在祂再来时，至高君王的统治将成为绝对的：祂的仇敌将舔尘土（9节, 路加福音 19:27），万王都要在祂面前俯伏（11节, 腓立比书 2:10），祂将粉碎每一个残余的压迫者，包括死亡本身（4, 14节, 罗马书 16:20, 哥林多前书 15:25）。</w:t>
      </w:r>
    </w:p>
    <w:p w14:paraId="6F99DA66">
      <w:pPr>
        <w:pStyle w:val="9"/>
        <w:spacing w:before="11"/>
        <w:ind w:left="0"/>
        <w:jc w:val="left"/>
        <w:rPr>
          <w:rFonts w:hint="eastAsia"/>
          <w:sz w:val="30"/>
          <w:szCs w:val="30"/>
        </w:rPr>
      </w:pPr>
    </w:p>
    <w:p w14:paraId="5241518E">
      <w:pPr>
        <w:pStyle w:val="9"/>
        <w:spacing w:before="11"/>
        <w:ind w:left="0"/>
        <w:jc w:val="left"/>
        <w:rPr>
          <w:rFonts w:hint="eastAsia"/>
          <w:sz w:val="30"/>
          <w:szCs w:val="30"/>
        </w:rPr>
      </w:pPr>
      <w:r>
        <w:rPr>
          <w:rFonts w:hint="eastAsia"/>
          <w:sz w:val="30"/>
          <w:szCs w:val="30"/>
        </w:rPr>
        <w:t>Then, in the completed Kingdom that he himself has ushered in, the mountains will bring forth perfect prosperity (v. 3, Heb. 12:18f, Rev. 21:10), the people will fully blossom like the grass of the field (v. 16, Rev. 22:2), the saints will praise his name forever (v. 17, Heb. 13:15), and all the nations of the saved will call him blessed (v. 17, Rev. 5:6-14).</w:t>
      </w:r>
    </w:p>
    <w:p w14:paraId="52B988EC">
      <w:pPr>
        <w:pStyle w:val="9"/>
        <w:spacing w:before="11"/>
        <w:ind w:left="0"/>
        <w:jc w:val="left"/>
        <w:rPr>
          <w:rFonts w:hint="eastAsia"/>
          <w:sz w:val="30"/>
          <w:szCs w:val="30"/>
        </w:rPr>
      </w:pPr>
      <w:r>
        <w:rPr>
          <w:rFonts w:hint="eastAsia"/>
          <w:sz w:val="30"/>
          <w:szCs w:val="30"/>
        </w:rPr>
        <w:t>然后，在祂亲自引入的已完成的国度中，群山将带来完全的繁荣（3节, 希伯来书 12:18及后文, 启示录 21:10），人民将像田间的草一样茂盛（16节, 启示录 22:2），圣徒将永远赞美祂的名（17节, 希伯来书 13:15），所有得救的国家都将称祂为有福的（17节, 启示录 5:6-14）。</w:t>
      </w:r>
    </w:p>
    <w:p w14:paraId="2F42AF7B">
      <w:pPr>
        <w:pStyle w:val="9"/>
        <w:spacing w:before="11"/>
        <w:ind w:left="0"/>
        <w:jc w:val="left"/>
        <w:rPr>
          <w:rFonts w:hint="eastAsia"/>
          <w:sz w:val="30"/>
          <w:szCs w:val="30"/>
        </w:rPr>
      </w:pPr>
    </w:p>
    <w:p w14:paraId="4C98ED1C">
      <w:pPr>
        <w:pStyle w:val="9"/>
        <w:spacing w:before="11"/>
        <w:ind w:left="0"/>
        <w:jc w:val="left"/>
        <w:rPr>
          <w:rFonts w:hint="eastAsia"/>
          <w:sz w:val="30"/>
          <w:szCs w:val="30"/>
        </w:rPr>
      </w:pPr>
      <w:r>
        <w:rPr>
          <w:rFonts w:hint="eastAsia"/>
          <w:sz w:val="30"/>
          <w:szCs w:val="30"/>
        </w:rPr>
        <w:t>Long shall he live, and long shall his redeemed Bride and Family live with him in the eternal Kingdom of God (vv. 14, 15, Rev. 1:18, 21:3-4).</w:t>
      </w:r>
    </w:p>
    <w:p w14:paraId="3E4CB29C">
      <w:pPr>
        <w:pStyle w:val="9"/>
        <w:spacing w:before="11"/>
        <w:ind w:left="0"/>
        <w:jc w:val="left"/>
        <w:rPr>
          <w:rFonts w:hint="eastAsia"/>
          <w:sz w:val="30"/>
          <w:szCs w:val="30"/>
        </w:rPr>
      </w:pPr>
      <w:r>
        <w:rPr>
          <w:rFonts w:hint="eastAsia"/>
          <w:sz w:val="30"/>
          <w:szCs w:val="30"/>
        </w:rPr>
        <w:t>祂必长久活着，祂所救赎的新妇和家庭也必与祂一同在上帝永恒的国度中长久活着（14, 15节, 启示录 1:18, 21:3-4）。</w:t>
      </w:r>
    </w:p>
    <w:p w14:paraId="34D365DB">
      <w:pPr>
        <w:pStyle w:val="9"/>
        <w:spacing w:before="11"/>
        <w:ind w:left="0"/>
        <w:jc w:val="left"/>
        <w:rPr>
          <w:rFonts w:hint="eastAsia"/>
          <w:sz w:val="30"/>
          <w:szCs w:val="30"/>
        </w:rPr>
      </w:pPr>
    </w:p>
    <w:p w14:paraId="12D21F0C">
      <w:pPr>
        <w:pStyle w:val="9"/>
        <w:spacing w:before="11"/>
        <w:ind w:left="0"/>
        <w:jc w:val="left"/>
        <w:rPr>
          <w:rFonts w:hint="eastAsia"/>
          <w:sz w:val="30"/>
          <w:szCs w:val="30"/>
        </w:rPr>
      </w:pPr>
      <w:r>
        <w:rPr>
          <w:rFonts w:hint="eastAsia"/>
          <w:sz w:val="30"/>
          <w:szCs w:val="30"/>
        </w:rPr>
        <w:t>In sum, with eyes schooled by the NT, it is easy to see that this psalm is not fulfilled in a temporary millennium, but in the eternal two-staged Kingdom that Christ has introduced under the New Covenant.</w:t>
      </w:r>
    </w:p>
    <w:p w14:paraId="44938788">
      <w:pPr>
        <w:pStyle w:val="9"/>
        <w:spacing w:before="11"/>
        <w:ind w:left="0"/>
        <w:jc w:val="left"/>
        <w:rPr>
          <w:rFonts w:hint="eastAsia"/>
          <w:sz w:val="30"/>
          <w:szCs w:val="30"/>
        </w:rPr>
      </w:pPr>
      <w:r>
        <w:rPr>
          <w:rFonts w:hint="eastAsia"/>
          <w:sz w:val="30"/>
          <w:szCs w:val="30"/>
        </w:rPr>
        <w:t>总而言之，用受过新约教导的眼光来看，很容易看出这首诗篇不是在一个暂时的千禧年中应验，而是在基督在新约下引入的永恒的两阶段国度中应验。</w:t>
      </w:r>
    </w:p>
    <w:p w14:paraId="70EF49BE">
      <w:pPr>
        <w:pStyle w:val="9"/>
        <w:spacing w:before="11"/>
        <w:ind w:left="0"/>
        <w:jc w:val="left"/>
        <w:rPr>
          <w:rFonts w:hint="eastAsia"/>
          <w:sz w:val="30"/>
          <w:szCs w:val="30"/>
        </w:rPr>
      </w:pPr>
    </w:p>
    <w:p w14:paraId="4F33E597">
      <w:pPr>
        <w:pStyle w:val="9"/>
        <w:spacing w:before="11"/>
        <w:ind w:left="0"/>
        <w:jc w:val="left"/>
        <w:rPr>
          <w:rFonts w:hint="eastAsia"/>
          <w:sz w:val="30"/>
          <w:szCs w:val="30"/>
        </w:rPr>
      </w:pPr>
      <w:r>
        <w:rPr>
          <w:rFonts w:hint="eastAsia"/>
          <w:sz w:val="30"/>
          <w:szCs w:val="30"/>
        </w:rPr>
        <w:t>3.A Glorious Remnant Covered by Christ</w:t>
      </w:r>
    </w:p>
    <w:p w14:paraId="1A8D986E">
      <w:pPr>
        <w:pStyle w:val="9"/>
        <w:spacing w:before="11"/>
        <w:ind w:left="0"/>
        <w:jc w:val="left"/>
        <w:rPr>
          <w:rFonts w:hint="eastAsia"/>
          <w:sz w:val="30"/>
          <w:szCs w:val="30"/>
        </w:rPr>
      </w:pPr>
      <w:r>
        <w:rPr>
          <w:rFonts w:hint="eastAsia"/>
          <w:sz w:val="30"/>
          <w:szCs w:val="30"/>
        </w:rPr>
        <w:t>3.一个被基督遮盖的荣耀余民</w:t>
      </w:r>
    </w:p>
    <w:p w14:paraId="6BD35589">
      <w:pPr>
        <w:pStyle w:val="9"/>
        <w:spacing w:before="11"/>
        <w:ind w:left="0"/>
        <w:jc w:val="left"/>
        <w:rPr>
          <w:rFonts w:hint="eastAsia"/>
          <w:sz w:val="30"/>
          <w:szCs w:val="30"/>
        </w:rPr>
      </w:pPr>
    </w:p>
    <w:p w14:paraId="4BC0C111">
      <w:pPr>
        <w:pStyle w:val="9"/>
        <w:spacing w:before="11"/>
        <w:ind w:left="0"/>
        <w:jc w:val="left"/>
        <w:rPr>
          <w:rFonts w:hint="eastAsia"/>
          <w:sz w:val="30"/>
          <w:szCs w:val="30"/>
        </w:rPr>
      </w:pPr>
      <w:r>
        <w:rPr>
          <w:rFonts w:hint="eastAsia"/>
          <w:sz w:val="30"/>
          <w:szCs w:val="30"/>
        </w:rPr>
        <w:t>(Isaiah 4:2-6)</w:t>
      </w:r>
    </w:p>
    <w:p w14:paraId="3613903D">
      <w:pPr>
        <w:pStyle w:val="9"/>
        <w:spacing w:before="11"/>
        <w:ind w:left="0"/>
        <w:jc w:val="left"/>
        <w:rPr>
          <w:rFonts w:hint="eastAsia"/>
          <w:sz w:val="30"/>
          <w:szCs w:val="30"/>
        </w:rPr>
      </w:pPr>
      <w:r>
        <w:rPr>
          <w:rFonts w:hint="eastAsia"/>
          <w:sz w:val="30"/>
          <w:szCs w:val="30"/>
        </w:rPr>
        <w:t>（以赛亚书 4:2-6）</w:t>
      </w:r>
    </w:p>
    <w:p w14:paraId="14DADFE8">
      <w:pPr>
        <w:pStyle w:val="9"/>
        <w:spacing w:before="11"/>
        <w:ind w:left="0"/>
        <w:jc w:val="left"/>
        <w:rPr>
          <w:rFonts w:hint="eastAsia"/>
          <w:sz w:val="30"/>
          <w:szCs w:val="30"/>
        </w:rPr>
      </w:pPr>
    </w:p>
    <w:p w14:paraId="01AD54B6">
      <w:pPr>
        <w:pStyle w:val="9"/>
        <w:spacing w:before="11"/>
        <w:ind w:left="0"/>
        <w:jc w:val="left"/>
        <w:rPr>
          <w:rFonts w:hint="eastAsia"/>
          <w:sz w:val="30"/>
          <w:szCs w:val="30"/>
        </w:rPr>
      </w:pPr>
      <w:r>
        <w:rPr>
          <w:rFonts w:hint="eastAsia"/>
          <w:sz w:val="30"/>
          <w:szCs w:val="30"/>
        </w:rPr>
        <w:t>Viewed in NT perspective, this short, picturesque OTKP speaks powerfully of the election, redemption, regeneration, sanctification, and glorification of the Church.</w:t>
      </w:r>
    </w:p>
    <w:p w14:paraId="3CBCCC99">
      <w:pPr>
        <w:pStyle w:val="9"/>
        <w:spacing w:before="11"/>
        <w:ind w:left="0"/>
        <w:jc w:val="left"/>
        <w:rPr>
          <w:rFonts w:hint="eastAsia"/>
          <w:sz w:val="30"/>
          <w:szCs w:val="30"/>
        </w:rPr>
      </w:pPr>
      <w:r>
        <w:rPr>
          <w:rFonts w:hint="eastAsia"/>
          <w:sz w:val="30"/>
          <w:szCs w:val="30"/>
        </w:rPr>
        <w:t>从新约的角度看，这段简短、生动的旧约国度预言（OTKP）有力地讲述了教会的拣选、救赎、重生、成圣和得荣。</w:t>
      </w:r>
    </w:p>
    <w:p w14:paraId="3CC4A927">
      <w:pPr>
        <w:pStyle w:val="9"/>
        <w:spacing w:before="11"/>
        <w:ind w:left="0"/>
        <w:jc w:val="left"/>
        <w:rPr>
          <w:rFonts w:hint="eastAsia"/>
          <w:sz w:val="30"/>
          <w:szCs w:val="30"/>
        </w:rPr>
      </w:pPr>
    </w:p>
    <w:p w14:paraId="1E9A6D8D">
      <w:pPr>
        <w:pStyle w:val="9"/>
        <w:spacing w:before="11"/>
        <w:ind w:left="0"/>
        <w:jc w:val="left"/>
        <w:rPr>
          <w:rFonts w:hint="eastAsia"/>
          <w:sz w:val="30"/>
          <w:szCs w:val="30"/>
        </w:rPr>
      </w:pPr>
      <w:r>
        <w:rPr>
          <w:rFonts w:hint="eastAsia"/>
          <w:sz w:val="30"/>
          <w:szCs w:val="30"/>
        </w:rPr>
        <w:t>Alas, premillenarians bar the way to such panoramic vistas, asserting that these rich promises belong exclusively to a latter-day Jewish remnant that will enter the Millennium immediately after Christ’s second coming.4</w:t>
      </w:r>
    </w:p>
    <w:p w14:paraId="2FC177D3">
      <w:pPr>
        <w:pStyle w:val="9"/>
        <w:spacing w:before="11"/>
        <w:ind w:left="0"/>
        <w:jc w:val="left"/>
        <w:rPr>
          <w:rFonts w:hint="eastAsia"/>
          <w:sz w:val="30"/>
          <w:szCs w:val="30"/>
        </w:rPr>
      </w:pPr>
      <w:r>
        <w:rPr>
          <w:rFonts w:hint="eastAsia"/>
          <w:sz w:val="30"/>
          <w:szCs w:val="30"/>
        </w:rPr>
        <w:t>可惜，前千禧年派阻挡了通往这种全景式视野的道路，他们断言这些丰富的应许只属于末后的犹太余民，他们将在基督第二次降临后立刻进入千禧年。4</w:t>
      </w:r>
    </w:p>
    <w:p w14:paraId="602EEBCA">
      <w:pPr>
        <w:pStyle w:val="9"/>
        <w:spacing w:before="11"/>
        <w:ind w:left="0"/>
        <w:jc w:val="left"/>
        <w:rPr>
          <w:rFonts w:hint="eastAsia"/>
          <w:sz w:val="30"/>
          <w:szCs w:val="30"/>
        </w:rPr>
      </w:pPr>
    </w:p>
    <w:p w14:paraId="2755A45C">
      <w:pPr>
        <w:pStyle w:val="9"/>
        <w:spacing w:before="11"/>
        <w:ind w:left="0"/>
        <w:jc w:val="left"/>
        <w:rPr>
          <w:rFonts w:hint="eastAsia"/>
          <w:sz w:val="30"/>
          <w:szCs w:val="30"/>
        </w:rPr>
      </w:pPr>
      <w:r>
        <w:rPr>
          <w:rFonts w:hint="eastAsia"/>
          <w:sz w:val="30"/>
          <w:szCs w:val="30"/>
        </w:rPr>
        <w:t>This conclusion would be reasonable enough, if we could approach the text literally.</w:t>
      </w:r>
    </w:p>
    <w:p w14:paraId="2E98F041">
      <w:pPr>
        <w:pStyle w:val="9"/>
        <w:spacing w:before="11"/>
        <w:ind w:left="0"/>
        <w:jc w:val="left"/>
        <w:rPr>
          <w:rFonts w:hint="eastAsia"/>
          <w:sz w:val="30"/>
          <w:szCs w:val="30"/>
        </w:rPr>
      </w:pPr>
      <w:r>
        <w:rPr>
          <w:rFonts w:hint="eastAsia"/>
          <w:sz w:val="30"/>
          <w:szCs w:val="30"/>
        </w:rPr>
        <w:t>如果我们可以按字面意思来处理这段经文，这个结论会相当合理。</w:t>
      </w:r>
    </w:p>
    <w:p w14:paraId="0D2EF10D">
      <w:pPr>
        <w:pStyle w:val="9"/>
        <w:spacing w:before="11"/>
        <w:ind w:left="0"/>
        <w:jc w:val="left"/>
        <w:rPr>
          <w:rFonts w:hint="eastAsia"/>
          <w:sz w:val="30"/>
          <w:szCs w:val="30"/>
        </w:rPr>
      </w:pPr>
    </w:p>
    <w:p w14:paraId="6EBF0036">
      <w:pPr>
        <w:pStyle w:val="9"/>
        <w:spacing w:before="11"/>
        <w:ind w:left="0"/>
        <w:jc w:val="left"/>
        <w:rPr>
          <w:rFonts w:hint="eastAsia"/>
          <w:sz w:val="30"/>
          <w:szCs w:val="30"/>
        </w:rPr>
      </w:pPr>
      <w:r>
        <w:rPr>
          <w:rFonts w:hint="eastAsia"/>
          <w:sz w:val="30"/>
          <w:szCs w:val="30"/>
        </w:rPr>
        <w:t>We have seen, however, that the NT disallows it.</w:t>
      </w:r>
    </w:p>
    <w:p w14:paraId="37556323">
      <w:pPr>
        <w:pStyle w:val="9"/>
        <w:spacing w:before="11"/>
        <w:ind w:left="0"/>
        <w:jc w:val="left"/>
        <w:rPr>
          <w:rFonts w:hint="eastAsia"/>
          <w:sz w:val="30"/>
          <w:szCs w:val="30"/>
        </w:rPr>
      </w:pPr>
      <w:r>
        <w:rPr>
          <w:rFonts w:hint="eastAsia"/>
          <w:sz w:val="30"/>
          <w:szCs w:val="30"/>
        </w:rPr>
        <w:t>然而，我们已经看到，新约不允许这样做。</w:t>
      </w:r>
    </w:p>
    <w:p w14:paraId="3ACA9683">
      <w:pPr>
        <w:pStyle w:val="9"/>
        <w:spacing w:before="11"/>
        <w:ind w:left="0"/>
        <w:jc w:val="left"/>
        <w:rPr>
          <w:rFonts w:hint="eastAsia"/>
          <w:sz w:val="30"/>
          <w:szCs w:val="30"/>
        </w:rPr>
      </w:pPr>
    </w:p>
    <w:p w14:paraId="4864BAA7">
      <w:pPr>
        <w:pStyle w:val="9"/>
        <w:spacing w:before="11"/>
        <w:ind w:left="0"/>
        <w:jc w:val="left"/>
        <w:rPr>
          <w:rFonts w:hint="eastAsia"/>
          <w:sz w:val="30"/>
          <w:szCs w:val="30"/>
        </w:rPr>
      </w:pPr>
      <w:r>
        <w:rPr>
          <w:rFonts w:hint="eastAsia"/>
          <w:sz w:val="30"/>
          <w:szCs w:val="30"/>
        </w:rPr>
        <w:t>Moreover, as soon as we do approach it literally, telltale problems immediately begin to arise.</w:t>
      </w:r>
    </w:p>
    <w:p w14:paraId="3C42662B">
      <w:pPr>
        <w:pStyle w:val="9"/>
        <w:spacing w:before="11"/>
        <w:ind w:left="0"/>
        <w:jc w:val="left"/>
        <w:rPr>
          <w:rFonts w:hint="eastAsia"/>
          <w:sz w:val="30"/>
          <w:szCs w:val="30"/>
        </w:rPr>
      </w:pPr>
      <w:r>
        <w:rPr>
          <w:rFonts w:hint="eastAsia"/>
          <w:sz w:val="30"/>
          <w:szCs w:val="30"/>
        </w:rPr>
        <w:t>此外，一旦我们真的按字面意思来处理它，明显的问题就会立刻开始出现。</w:t>
      </w:r>
    </w:p>
    <w:p w14:paraId="1DB98677">
      <w:pPr>
        <w:pStyle w:val="9"/>
        <w:spacing w:before="11"/>
        <w:ind w:left="0"/>
        <w:jc w:val="left"/>
        <w:rPr>
          <w:rFonts w:hint="eastAsia"/>
          <w:sz w:val="30"/>
          <w:szCs w:val="30"/>
        </w:rPr>
      </w:pPr>
    </w:p>
    <w:p w14:paraId="2C62BAAE">
      <w:pPr>
        <w:pStyle w:val="9"/>
        <w:spacing w:before="11"/>
        <w:ind w:left="0"/>
        <w:jc w:val="left"/>
        <w:rPr>
          <w:rFonts w:hint="eastAsia"/>
          <w:sz w:val="30"/>
          <w:szCs w:val="30"/>
        </w:rPr>
      </w:pPr>
      <w:r>
        <w:rPr>
          <w:rFonts w:hint="eastAsia"/>
          <w:sz w:val="30"/>
          <w:szCs w:val="30"/>
        </w:rPr>
        <w:t>One such problem is that Isaiah himself says nothing about a millennium, or even a temporary stage of the kingdom.</w:t>
      </w:r>
    </w:p>
    <w:p w14:paraId="7480F335">
      <w:pPr>
        <w:pStyle w:val="9"/>
        <w:spacing w:before="11"/>
        <w:ind w:left="0"/>
        <w:jc w:val="left"/>
        <w:rPr>
          <w:rFonts w:hint="eastAsia"/>
          <w:sz w:val="30"/>
          <w:szCs w:val="30"/>
        </w:rPr>
      </w:pPr>
      <w:r>
        <w:rPr>
          <w:rFonts w:hint="eastAsia"/>
          <w:sz w:val="30"/>
          <w:szCs w:val="30"/>
        </w:rPr>
        <w:t>其中一个问题是，以赛亚自己没有提到千禧年，甚至没有提到一个暂时的国度阶段。</w:t>
      </w:r>
    </w:p>
    <w:p w14:paraId="55DC8C4D">
      <w:pPr>
        <w:pStyle w:val="9"/>
        <w:spacing w:before="11"/>
        <w:ind w:left="0"/>
        <w:jc w:val="left"/>
        <w:rPr>
          <w:rFonts w:hint="eastAsia"/>
          <w:sz w:val="30"/>
          <w:szCs w:val="30"/>
        </w:rPr>
      </w:pPr>
    </w:p>
    <w:p w14:paraId="55559279">
      <w:pPr>
        <w:pStyle w:val="9"/>
        <w:spacing w:before="11"/>
        <w:ind w:left="0"/>
        <w:jc w:val="left"/>
        <w:rPr>
          <w:rFonts w:hint="eastAsia"/>
          <w:sz w:val="30"/>
          <w:szCs w:val="30"/>
        </w:rPr>
      </w:pPr>
      <w:r>
        <w:rPr>
          <w:rFonts w:hint="eastAsia"/>
          <w:sz w:val="30"/>
          <w:szCs w:val="30"/>
        </w:rPr>
        <w:t>To the contrary, he seems clearly to be depicting the eternal Messianic Kingdom.</w:t>
      </w:r>
    </w:p>
    <w:p w14:paraId="361E18BC">
      <w:pPr>
        <w:pStyle w:val="9"/>
        <w:spacing w:before="11"/>
        <w:ind w:left="0"/>
        <w:jc w:val="left"/>
        <w:rPr>
          <w:rFonts w:hint="eastAsia"/>
          <w:sz w:val="30"/>
          <w:szCs w:val="30"/>
        </w:rPr>
      </w:pPr>
      <w:r>
        <w:rPr>
          <w:rFonts w:hint="eastAsia"/>
          <w:sz w:val="30"/>
          <w:szCs w:val="30"/>
        </w:rPr>
        <w:t>相反，他似乎清楚地在描绘永恒的弥赛亚国度。</w:t>
      </w:r>
    </w:p>
    <w:p w14:paraId="5D2B18B1">
      <w:pPr>
        <w:pStyle w:val="9"/>
        <w:spacing w:before="11"/>
        <w:ind w:left="0"/>
        <w:jc w:val="left"/>
        <w:rPr>
          <w:rFonts w:hint="eastAsia"/>
          <w:sz w:val="30"/>
          <w:szCs w:val="30"/>
        </w:rPr>
      </w:pPr>
    </w:p>
    <w:p w14:paraId="5C62C9C9">
      <w:pPr>
        <w:pStyle w:val="9"/>
        <w:spacing w:before="11"/>
        <w:ind w:left="0"/>
        <w:jc w:val="left"/>
        <w:rPr>
          <w:rFonts w:hint="eastAsia"/>
          <w:sz w:val="30"/>
          <w:szCs w:val="30"/>
        </w:rPr>
      </w:pPr>
      <w:r>
        <w:rPr>
          <w:rFonts w:hint="eastAsia"/>
          <w:sz w:val="30"/>
          <w:szCs w:val="30"/>
        </w:rPr>
        <w:t>Another problem is that there is no mention of the Gentiles.</w:t>
      </w:r>
    </w:p>
    <w:p w14:paraId="3B056AE2">
      <w:pPr>
        <w:pStyle w:val="9"/>
        <w:spacing w:before="11"/>
        <w:ind w:left="0"/>
        <w:jc w:val="left"/>
        <w:rPr>
          <w:rFonts w:hint="eastAsia"/>
          <w:sz w:val="30"/>
          <w:szCs w:val="30"/>
        </w:rPr>
      </w:pPr>
      <w:r>
        <w:rPr>
          <w:rFonts w:hint="eastAsia"/>
          <w:sz w:val="30"/>
          <w:szCs w:val="30"/>
        </w:rPr>
        <w:t>另一个问题是，没有提到外邦人。</w:t>
      </w:r>
    </w:p>
    <w:p w14:paraId="6FC38EF1">
      <w:pPr>
        <w:pStyle w:val="9"/>
        <w:spacing w:before="11"/>
        <w:ind w:left="0"/>
        <w:jc w:val="left"/>
        <w:rPr>
          <w:rFonts w:hint="eastAsia"/>
          <w:sz w:val="30"/>
          <w:szCs w:val="30"/>
        </w:rPr>
      </w:pPr>
    </w:p>
    <w:p w14:paraId="4D6D4749">
      <w:pPr>
        <w:pStyle w:val="9"/>
        <w:spacing w:before="11"/>
        <w:ind w:left="0"/>
        <w:jc w:val="left"/>
        <w:rPr>
          <w:rFonts w:hint="eastAsia"/>
          <w:sz w:val="30"/>
          <w:szCs w:val="30"/>
        </w:rPr>
      </w:pPr>
      <w:r>
        <w:rPr>
          <w:rFonts w:hint="eastAsia"/>
          <w:sz w:val="30"/>
          <w:szCs w:val="30"/>
        </w:rPr>
        <w:t>Here, the Kingdom appears to be geographically confined to Zion and Jerusalem, and to belong exclusively to the Jewish remnant.</w:t>
      </w:r>
    </w:p>
    <w:p w14:paraId="249E39E0">
      <w:pPr>
        <w:pStyle w:val="9"/>
        <w:spacing w:before="11"/>
        <w:ind w:left="0"/>
        <w:jc w:val="left"/>
        <w:rPr>
          <w:rFonts w:hint="eastAsia"/>
          <w:sz w:val="30"/>
          <w:szCs w:val="30"/>
        </w:rPr>
      </w:pPr>
      <w:r>
        <w:rPr>
          <w:rFonts w:hint="eastAsia"/>
          <w:sz w:val="30"/>
          <w:szCs w:val="30"/>
        </w:rPr>
        <w:t>在这里，国度似乎在地理上局限于锡安和耶路撒冷，并且只属于犹太余民。</w:t>
      </w:r>
    </w:p>
    <w:p w14:paraId="5C17FB4C">
      <w:pPr>
        <w:pStyle w:val="9"/>
        <w:spacing w:before="11"/>
        <w:ind w:left="0"/>
        <w:jc w:val="left"/>
        <w:rPr>
          <w:rFonts w:hint="eastAsia"/>
          <w:sz w:val="30"/>
          <w:szCs w:val="30"/>
        </w:rPr>
      </w:pPr>
    </w:p>
    <w:p w14:paraId="28C533CD">
      <w:pPr>
        <w:pStyle w:val="9"/>
        <w:spacing w:before="11"/>
        <w:ind w:left="0"/>
        <w:jc w:val="left"/>
        <w:rPr>
          <w:rFonts w:hint="eastAsia"/>
          <w:sz w:val="30"/>
          <w:szCs w:val="30"/>
        </w:rPr>
      </w:pPr>
      <w:r>
        <w:rPr>
          <w:rFonts w:hint="eastAsia"/>
          <w:sz w:val="30"/>
          <w:szCs w:val="30"/>
        </w:rPr>
        <w:t>To judge solely from this OTKP, Jews and Jews alone will inhabit the eternal Kingdom.</w:t>
      </w:r>
    </w:p>
    <w:p w14:paraId="75A8157D">
      <w:pPr>
        <w:pStyle w:val="9"/>
        <w:spacing w:before="11"/>
        <w:ind w:left="0"/>
        <w:jc w:val="left"/>
        <w:rPr>
          <w:rFonts w:hint="eastAsia"/>
          <w:sz w:val="30"/>
          <w:szCs w:val="30"/>
        </w:rPr>
      </w:pPr>
      <w:r>
        <w:rPr>
          <w:rFonts w:hint="eastAsia"/>
          <w:sz w:val="30"/>
          <w:szCs w:val="30"/>
        </w:rPr>
        <w:t>仅从这段旧约国度预言（OTKP）来判断，只有犹太人将居住在永恒的国度中。</w:t>
      </w:r>
    </w:p>
    <w:p w14:paraId="56AF5ED8">
      <w:pPr>
        <w:pStyle w:val="9"/>
        <w:spacing w:before="11"/>
        <w:ind w:left="0"/>
        <w:jc w:val="left"/>
        <w:rPr>
          <w:rFonts w:hint="eastAsia"/>
          <w:sz w:val="30"/>
          <w:szCs w:val="30"/>
        </w:rPr>
      </w:pPr>
    </w:p>
    <w:p w14:paraId="2D849A20">
      <w:pPr>
        <w:pStyle w:val="9"/>
        <w:spacing w:before="11"/>
        <w:ind w:left="0"/>
        <w:jc w:val="left"/>
        <w:rPr>
          <w:rFonts w:hint="eastAsia"/>
          <w:sz w:val="30"/>
          <w:szCs w:val="30"/>
        </w:rPr>
      </w:pPr>
      <w:r>
        <w:rPr>
          <w:rFonts w:hint="eastAsia"/>
          <w:sz w:val="30"/>
          <w:szCs w:val="30"/>
        </w:rPr>
        <w:t>Happily, the NT opens the way of escape from these unwelcome results, giving us eyes to see that this lovely prophecy is actually fulfilled in the twofold Kingdom of Christ.</w:t>
      </w:r>
    </w:p>
    <w:p w14:paraId="056B5757">
      <w:pPr>
        <w:pStyle w:val="9"/>
        <w:spacing w:before="11"/>
        <w:ind w:left="0"/>
        <w:jc w:val="left"/>
        <w:rPr>
          <w:rFonts w:hint="eastAsia"/>
          <w:sz w:val="30"/>
          <w:szCs w:val="30"/>
        </w:rPr>
      </w:pPr>
      <w:r>
        <w:rPr>
          <w:rFonts w:hint="eastAsia"/>
          <w:sz w:val="30"/>
          <w:szCs w:val="30"/>
        </w:rPr>
        <w:t>幸运的是，新约开启了一条摆脱这些不受欢迎结果的道路，赐给我们眼睛，让我们看到这个可爱的预言实际上是在基督双重的国度中应验的。</w:t>
      </w:r>
    </w:p>
    <w:p w14:paraId="0DD56A77">
      <w:pPr>
        <w:pStyle w:val="9"/>
        <w:spacing w:before="11"/>
        <w:ind w:left="0"/>
        <w:jc w:val="left"/>
        <w:rPr>
          <w:rFonts w:hint="eastAsia"/>
          <w:sz w:val="30"/>
          <w:szCs w:val="30"/>
        </w:rPr>
      </w:pPr>
    </w:p>
    <w:p w14:paraId="211A3417">
      <w:pPr>
        <w:pStyle w:val="9"/>
        <w:spacing w:before="11"/>
        <w:ind w:left="0"/>
        <w:jc w:val="left"/>
        <w:rPr>
          <w:rFonts w:hint="eastAsia"/>
          <w:sz w:val="30"/>
          <w:szCs w:val="30"/>
        </w:rPr>
      </w:pPr>
      <w:r>
        <w:rPr>
          <w:rFonts w:hint="eastAsia"/>
          <w:sz w:val="30"/>
          <w:szCs w:val="30"/>
        </w:rPr>
        <w:t>It also gives us ears to hear what Isaiah so comfortingly says to the Christian citizens of that Kingdom.</w:t>
      </w:r>
    </w:p>
    <w:p w14:paraId="1B21885D">
      <w:pPr>
        <w:pStyle w:val="9"/>
        <w:spacing w:before="11"/>
        <w:ind w:left="0"/>
        <w:jc w:val="left"/>
        <w:rPr>
          <w:rFonts w:hint="eastAsia"/>
          <w:sz w:val="30"/>
          <w:szCs w:val="30"/>
        </w:rPr>
      </w:pPr>
      <w:r>
        <w:rPr>
          <w:rFonts w:hint="eastAsia"/>
          <w:sz w:val="30"/>
          <w:szCs w:val="30"/>
        </w:rPr>
        <w:t>它也赐给我们耳朵，让我们听到以赛亚对那个国度的基督徒公民所说的如此安慰的话语。</w:t>
      </w:r>
    </w:p>
    <w:p w14:paraId="67E592B2">
      <w:pPr>
        <w:pStyle w:val="9"/>
        <w:spacing w:before="11"/>
        <w:ind w:left="0"/>
        <w:jc w:val="left"/>
        <w:rPr>
          <w:rFonts w:hint="eastAsia"/>
          <w:sz w:val="30"/>
          <w:szCs w:val="30"/>
        </w:rPr>
      </w:pPr>
    </w:p>
    <w:p w14:paraId="05C9F658">
      <w:pPr>
        <w:pStyle w:val="9"/>
        <w:spacing w:before="11"/>
        <w:ind w:left="0"/>
        <w:jc w:val="left"/>
        <w:rPr>
          <w:rFonts w:hint="eastAsia"/>
          <w:sz w:val="30"/>
          <w:szCs w:val="30"/>
        </w:rPr>
      </w:pPr>
      <w:r>
        <w:rPr>
          <w:rFonts w:hint="eastAsia"/>
          <w:sz w:val="30"/>
          <w:szCs w:val="30"/>
        </w:rPr>
        <w:t>A moment or two with the prophecy itself will enable us to discover just how fruitful this approach can be.</w:t>
      </w:r>
    </w:p>
    <w:p w14:paraId="29316580">
      <w:pPr>
        <w:pStyle w:val="9"/>
        <w:spacing w:before="11"/>
        <w:ind w:left="0"/>
        <w:jc w:val="left"/>
        <w:rPr>
          <w:rFonts w:hint="eastAsia"/>
          <w:sz w:val="30"/>
          <w:szCs w:val="30"/>
        </w:rPr>
      </w:pPr>
      <w:r>
        <w:rPr>
          <w:rFonts w:hint="eastAsia"/>
          <w:sz w:val="30"/>
          <w:szCs w:val="30"/>
        </w:rPr>
        <w:t>花一两分钟时间来思考这个预言本身，将使我们能够发现这种方法是多么富有成果。</w:t>
      </w:r>
    </w:p>
    <w:p w14:paraId="20D622FC">
      <w:pPr>
        <w:pStyle w:val="9"/>
        <w:spacing w:before="11"/>
        <w:ind w:left="0"/>
        <w:jc w:val="left"/>
        <w:rPr>
          <w:rFonts w:hint="eastAsia"/>
          <w:sz w:val="30"/>
          <w:szCs w:val="30"/>
        </w:rPr>
      </w:pPr>
    </w:p>
    <w:p w14:paraId="46AC02FE">
      <w:pPr>
        <w:pStyle w:val="9"/>
        <w:spacing w:before="11"/>
        <w:ind w:left="0"/>
        <w:jc w:val="left"/>
        <w:rPr>
          <w:rFonts w:hint="eastAsia"/>
          <w:sz w:val="30"/>
          <w:szCs w:val="30"/>
        </w:rPr>
      </w:pPr>
      <w:r>
        <w:rPr>
          <w:rFonts w:hint="eastAsia"/>
          <w:sz w:val="30"/>
          <w:szCs w:val="30"/>
        </w:rPr>
        <w:t>The Beautiful Branch (2)</w:t>
      </w:r>
    </w:p>
    <w:p w14:paraId="2F7D9234">
      <w:pPr>
        <w:pStyle w:val="9"/>
        <w:spacing w:before="11"/>
        <w:ind w:left="0"/>
        <w:jc w:val="left"/>
        <w:rPr>
          <w:rFonts w:hint="eastAsia"/>
          <w:sz w:val="30"/>
          <w:szCs w:val="30"/>
        </w:rPr>
      </w:pPr>
      <w:r>
        <w:rPr>
          <w:rFonts w:hint="eastAsia"/>
          <w:sz w:val="30"/>
          <w:szCs w:val="30"/>
        </w:rPr>
        <w:t>华美的苗（2节）</w:t>
      </w:r>
    </w:p>
    <w:p w14:paraId="6C9A2FC3">
      <w:pPr>
        <w:pStyle w:val="9"/>
        <w:spacing w:before="11"/>
        <w:ind w:left="0"/>
        <w:jc w:val="left"/>
        <w:rPr>
          <w:rFonts w:hint="eastAsia"/>
          <w:sz w:val="30"/>
          <w:szCs w:val="30"/>
        </w:rPr>
      </w:pPr>
    </w:p>
    <w:p w14:paraId="124A59BD">
      <w:pPr>
        <w:pStyle w:val="9"/>
        <w:spacing w:before="11"/>
        <w:ind w:left="0"/>
        <w:jc w:val="left"/>
        <w:rPr>
          <w:rFonts w:hint="eastAsia"/>
          <w:sz w:val="30"/>
          <w:szCs w:val="30"/>
        </w:rPr>
      </w:pPr>
      <w:r>
        <w:rPr>
          <w:rFonts w:hint="eastAsia"/>
          <w:sz w:val="30"/>
          <w:szCs w:val="30"/>
        </w:rPr>
        <w:t>Verse 2 opens with the phrase “In that Day,” an eschatological marker signifying that what follows is fulfilled in one or both stages of the twofold Kingdom.</w:t>
      </w:r>
    </w:p>
    <w:p w14:paraId="6CB4F381">
      <w:pPr>
        <w:pStyle w:val="9"/>
        <w:spacing w:before="11"/>
        <w:ind w:left="0"/>
        <w:jc w:val="left"/>
        <w:rPr>
          <w:rFonts w:hint="eastAsia"/>
          <w:sz w:val="30"/>
          <w:szCs w:val="30"/>
        </w:rPr>
      </w:pPr>
      <w:r>
        <w:rPr>
          <w:rFonts w:hint="eastAsia"/>
          <w:sz w:val="30"/>
          <w:szCs w:val="30"/>
        </w:rPr>
        <w:t>第2节以“当那日”这个短语开头，这是一个末世论的标记，表明接下来的内容将在双重国度的一个或两个阶段中应验。</w:t>
      </w:r>
    </w:p>
    <w:p w14:paraId="31938920">
      <w:pPr>
        <w:pStyle w:val="9"/>
        <w:spacing w:before="11"/>
        <w:ind w:left="0"/>
        <w:jc w:val="left"/>
        <w:rPr>
          <w:rFonts w:hint="eastAsia"/>
          <w:sz w:val="30"/>
          <w:szCs w:val="30"/>
        </w:rPr>
      </w:pPr>
    </w:p>
    <w:p w14:paraId="2F6DC79C">
      <w:pPr>
        <w:pStyle w:val="9"/>
        <w:spacing w:before="11"/>
        <w:ind w:left="0"/>
        <w:jc w:val="left"/>
        <w:rPr>
          <w:rFonts w:hint="eastAsia"/>
          <w:sz w:val="30"/>
          <w:szCs w:val="30"/>
        </w:rPr>
      </w:pPr>
      <w:r>
        <w:rPr>
          <w:rFonts w:hint="eastAsia"/>
          <w:sz w:val="30"/>
          <w:szCs w:val="30"/>
        </w:rPr>
        <w:t>In this case, I believe it is largely fulfilled in both.</w:t>
      </w:r>
    </w:p>
    <w:p w14:paraId="4180ADB5">
      <w:pPr>
        <w:pStyle w:val="9"/>
        <w:spacing w:before="11"/>
        <w:ind w:left="0"/>
        <w:jc w:val="left"/>
        <w:rPr>
          <w:rFonts w:hint="eastAsia"/>
          <w:sz w:val="30"/>
          <w:szCs w:val="30"/>
        </w:rPr>
      </w:pPr>
      <w:r>
        <w:rPr>
          <w:rFonts w:hint="eastAsia"/>
          <w:sz w:val="30"/>
          <w:szCs w:val="30"/>
        </w:rPr>
        <w:t>在这种情况下，我相信它主要在两者中都得到了应验。</w:t>
      </w:r>
    </w:p>
    <w:p w14:paraId="352491E8">
      <w:pPr>
        <w:pStyle w:val="9"/>
        <w:spacing w:before="11"/>
        <w:ind w:left="0"/>
        <w:jc w:val="left"/>
        <w:rPr>
          <w:rFonts w:hint="eastAsia"/>
          <w:sz w:val="30"/>
          <w:szCs w:val="30"/>
        </w:rPr>
      </w:pPr>
    </w:p>
    <w:p w14:paraId="3B337B44">
      <w:pPr>
        <w:pStyle w:val="9"/>
        <w:spacing w:before="11"/>
        <w:ind w:left="0"/>
        <w:jc w:val="left"/>
        <w:rPr>
          <w:rFonts w:hint="eastAsia"/>
          <w:sz w:val="30"/>
          <w:szCs w:val="30"/>
        </w:rPr>
      </w:pPr>
      <w:r>
        <w:rPr>
          <w:rFonts w:hint="eastAsia"/>
          <w:sz w:val="30"/>
          <w:szCs w:val="30"/>
        </w:rPr>
        <w:t>The Branch of the LORD is Jesus Christ, the Messiah (Isaiah 11:1-5, Jer. 23:5, Zech. 3:8).</w:t>
      </w:r>
    </w:p>
    <w:p w14:paraId="176C808C">
      <w:pPr>
        <w:pStyle w:val="9"/>
        <w:spacing w:before="11"/>
        <w:ind w:left="0"/>
        <w:jc w:val="left"/>
        <w:rPr>
          <w:rFonts w:hint="eastAsia"/>
          <w:sz w:val="30"/>
          <w:szCs w:val="30"/>
        </w:rPr>
      </w:pPr>
      <w:r>
        <w:rPr>
          <w:rFonts w:hint="eastAsia"/>
          <w:sz w:val="30"/>
          <w:szCs w:val="30"/>
        </w:rPr>
        <w:t>耶和华的苗就是耶稣基督，弥赛亚（以赛亚书 11:1-5, 耶利米书 23:5, 撒迦利亚书 3:8）。</w:t>
      </w:r>
    </w:p>
    <w:p w14:paraId="317E1D67">
      <w:pPr>
        <w:pStyle w:val="9"/>
        <w:spacing w:before="11"/>
        <w:ind w:left="0"/>
        <w:jc w:val="left"/>
        <w:rPr>
          <w:rFonts w:hint="eastAsia"/>
          <w:sz w:val="30"/>
          <w:szCs w:val="30"/>
        </w:rPr>
      </w:pPr>
    </w:p>
    <w:p w14:paraId="19154F18">
      <w:pPr>
        <w:pStyle w:val="9"/>
        <w:spacing w:before="11"/>
        <w:ind w:left="0"/>
        <w:jc w:val="left"/>
        <w:rPr>
          <w:rFonts w:hint="eastAsia"/>
          <w:sz w:val="30"/>
          <w:szCs w:val="30"/>
        </w:rPr>
      </w:pPr>
      <w:r>
        <w:rPr>
          <w:rFonts w:hint="eastAsia"/>
          <w:sz w:val="30"/>
          <w:szCs w:val="30"/>
        </w:rPr>
        <w:t>In the days of his flesh he was beautiful and glorious, and now all the more so, seeing that he, like fruit springing up from the earth, has risen from the dead, ascended into heaven, and entered his eternal glory (Luke 24:26, Phil. 2:9f).</w:t>
      </w:r>
    </w:p>
    <w:p w14:paraId="5D20A855">
      <w:pPr>
        <w:pStyle w:val="9"/>
        <w:spacing w:before="11"/>
        <w:ind w:left="0"/>
        <w:jc w:val="left"/>
        <w:rPr>
          <w:rFonts w:hint="eastAsia"/>
          <w:sz w:val="30"/>
          <w:szCs w:val="30"/>
        </w:rPr>
      </w:pPr>
      <w:r>
        <w:rPr>
          <w:rFonts w:hint="eastAsia"/>
          <w:sz w:val="30"/>
          <w:szCs w:val="30"/>
        </w:rPr>
        <w:t>在祂肉身的日子，祂是华美荣耀的，如今更是如此，因为祂，像从地里长出的果子，已经从死里复活，升入高天，进入了祂永恒的荣耀（路加福音 24:26, 腓立比书 2:9及后文）。</w:t>
      </w:r>
    </w:p>
    <w:p w14:paraId="26884790">
      <w:pPr>
        <w:pStyle w:val="9"/>
        <w:spacing w:before="11"/>
        <w:ind w:left="0"/>
        <w:jc w:val="left"/>
        <w:rPr>
          <w:rFonts w:hint="eastAsia"/>
          <w:sz w:val="30"/>
          <w:szCs w:val="30"/>
        </w:rPr>
      </w:pPr>
    </w:p>
    <w:p w14:paraId="5A258DE9">
      <w:pPr>
        <w:pStyle w:val="9"/>
        <w:spacing w:before="11"/>
        <w:ind w:left="0"/>
        <w:jc w:val="left"/>
        <w:rPr>
          <w:rFonts w:hint="eastAsia"/>
          <w:sz w:val="30"/>
          <w:szCs w:val="30"/>
        </w:rPr>
      </w:pPr>
      <w:r>
        <w:rPr>
          <w:rFonts w:hint="eastAsia"/>
          <w:sz w:val="30"/>
          <w:szCs w:val="30"/>
        </w:rPr>
        <w:t>Whether by faith or by sight, believers gaze upon him as their pride and joy, as their one and only boast before God (1 Cor. 1:30-31, 2 Cor. 3:18, Gal. 6:14).</w:t>
      </w:r>
    </w:p>
    <w:p w14:paraId="716A4A29">
      <w:pPr>
        <w:pStyle w:val="9"/>
        <w:spacing w:before="11"/>
        <w:ind w:left="0"/>
        <w:jc w:val="left"/>
        <w:rPr>
          <w:rFonts w:hint="eastAsia"/>
          <w:sz w:val="30"/>
          <w:szCs w:val="30"/>
        </w:rPr>
      </w:pPr>
      <w:r>
        <w:rPr>
          <w:rFonts w:hint="eastAsia"/>
          <w:sz w:val="30"/>
          <w:szCs w:val="30"/>
        </w:rPr>
        <w:t>无论是凭信心还是凭眼见，信徒们都仰望祂，视祂为他们的骄傲和喜乐，为他们在上帝面前唯一的夸口（哥林多前书 1:30-31, 哥林多后书 3:18, 加拉太书 6:14）。</w:t>
      </w:r>
    </w:p>
    <w:p w14:paraId="00AA67D0">
      <w:pPr>
        <w:pStyle w:val="9"/>
        <w:spacing w:before="11"/>
        <w:ind w:left="0"/>
        <w:jc w:val="left"/>
        <w:rPr>
          <w:rFonts w:hint="eastAsia"/>
          <w:sz w:val="30"/>
          <w:szCs w:val="30"/>
        </w:rPr>
      </w:pPr>
    </w:p>
    <w:p w14:paraId="7A837B2F">
      <w:pPr>
        <w:pStyle w:val="9"/>
        <w:spacing w:before="11"/>
        <w:ind w:left="0"/>
        <w:jc w:val="left"/>
        <w:rPr>
          <w:rFonts w:hint="eastAsia"/>
          <w:sz w:val="30"/>
          <w:szCs w:val="30"/>
        </w:rPr>
      </w:pPr>
      <w:r>
        <w:rPr>
          <w:rFonts w:hint="eastAsia"/>
          <w:sz w:val="30"/>
          <w:szCs w:val="30"/>
        </w:rPr>
        <w:t>He is also their adornment, this One who by imputation clothes them with his own righteousness (Mt. 22:11-14, 2 Cor. 5:21, Phil. 3:9, Rev. 7:13-15), and who by sanctification conforms them to his own character (Rom. 8:29).</w:t>
      </w:r>
    </w:p>
    <w:p w14:paraId="46CC33CA">
      <w:pPr>
        <w:pStyle w:val="9"/>
        <w:spacing w:before="11"/>
        <w:ind w:left="0"/>
        <w:jc w:val="left"/>
        <w:rPr>
          <w:rFonts w:hint="eastAsia"/>
          <w:sz w:val="30"/>
          <w:szCs w:val="30"/>
        </w:rPr>
      </w:pPr>
      <w:r>
        <w:rPr>
          <w:rFonts w:hint="eastAsia"/>
          <w:sz w:val="30"/>
          <w:szCs w:val="30"/>
        </w:rPr>
        <w:t>祂也是他们的装饰，这位藉着归算将祂自己的义披戴在他们身上（马太福音 22:11-14, 哥林多后书 5:21, 腓立比书 3:9, 启示录 7:13-15），并藉着成圣使他们与祂自己的品格相符（罗马书 8:29）。</w:t>
      </w:r>
    </w:p>
    <w:p w14:paraId="24C8E88A">
      <w:pPr>
        <w:pStyle w:val="9"/>
        <w:spacing w:before="11"/>
        <w:ind w:left="0"/>
        <w:jc w:val="left"/>
        <w:rPr>
          <w:rFonts w:hint="eastAsia"/>
          <w:sz w:val="30"/>
          <w:szCs w:val="30"/>
        </w:rPr>
      </w:pPr>
    </w:p>
    <w:p w14:paraId="3B991CA5">
      <w:pPr>
        <w:pStyle w:val="9"/>
        <w:spacing w:before="11"/>
        <w:ind w:left="0"/>
        <w:jc w:val="left"/>
        <w:rPr>
          <w:rFonts w:hint="eastAsia"/>
          <w:sz w:val="30"/>
          <w:szCs w:val="30"/>
        </w:rPr>
      </w:pPr>
      <w:r>
        <w:rPr>
          <w:rFonts w:hint="eastAsia"/>
          <w:sz w:val="30"/>
          <w:szCs w:val="30"/>
        </w:rPr>
        <w:t>Speaking typologically, Isaiah calls the glad heirs of these great eschatological gifts the “survivors of Israel.”</w:t>
      </w:r>
    </w:p>
    <w:p w14:paraId="05B09844">
      <w:pPr>
        <w:pStyle w:val="9"/>
        <w:spacing w:before="11"/>
        <w:ind w:left="0"/>
        <w:jc w:val="left"/>
        <w:rPr>
          <w:rFonts w:hint="eastAsia"/>
          <w:sz w:val="30"/>
          <w:szCs w:val="30"/>
        </w:rPr>
      </w:pPr>
      <w:r>
        <w:rPr>
          <w:rFonts w:hint="eastAsia"/>
          <w:sz w:val="30"/>
          <w:szCs w:val="30"/>
        </w:rPr>
        <w:t>以赛亚以预表的方式，称这些伟大末世恩赐的喜乐继承人为“以色列的幸存者”。</w:t>
      </w:r>
    </w:p>
    <w:p w14:paraId="4ADA4319">
      <w:pPr>
        <w:pStyle w:val="9"/>
        <w:spacing w:before="11"/>
        <w:ind w:left="0"/>
        <w:jc w:val="left"/>
        <w:rPr>
          <w:rFonts w:hint="eastAsia"/>
          <w:sz w:val="30"/>
          <w:szCs w:val="30"/>
        </w:rPr>
      </w:pPr>
    </w:p>
    <w:p w14:paraId="6D794760">
      <w:pPr>
        <w:pStyle w:val="9"/>
        <w:spacing w:before="11"/>
        <w:ind w:left="0"/>
        <w:jc w:val="left"/>
        <w:rPr>
          <w:rFonts w:hint="eastAsia"/>
          <w:sz w:val="30"/>
          <w:szCs w:val="30"/>
        </w:rPr>
      </w:pPr>
      <w:r>
        <w:rPr>
          <w:rFonts w:hint="eastAsia"/>
          <w:sz w:val="30"/>
          <w:szCs w:val="30"/>
        </w:rPr>
        <w:t>They are a people like Jacob of old, who by faith have wrestled and prevailed with God for salvation, and who are therefore survivors of the wrath to come (John 5:24, 1 Thess. 1:10).</w:t>
      </w:r>
    </w:p>
    <w:p w14:paraId="5E9E05BE">
      <w:pPr>
        <w:pStyle w:val="9"/>
        <w:spacing w:before="11"/>
        <w:ind w:left="0"/>
        <w:jc w:val="left"/>
        <w:rPr>
          <w:rFonts w:hint="eastAsia"/>
          <w:sz w:val="30"/>
          <w:szCs w:val="30"/>
        </w:rPr>
      </w:pPr>
      <w:r>
        <w:rPr>
          <w:rFonts w:hint="eastAsia"/>
          <w:sz w:val="30"/>
          <w:szCs w:val="30"/>
        </w:rPr>
        <w:t>他们是像古时雅各一样的人，凭信心与上帝角力并得胜，以求得救，因此他们是那将要来临之忿怒的幸存者（约翰福音 5:24, 帖撒罗尼迦前书 1:10）。</w:t>
      </w:r>
    </w:p>
    <w:p w14:paraId="30E8C854">
      <w:pPr>
        <w:pStyle w:val="9"/>
        <w:spacing w:before="11"/>
        <w:ind w:left="0"/>
        <w:jc w:val="left"/>
        <w:rPr>
          <w:rFonts w:hint="eastAsia"/>
          <w:sz w:val="30"/>
          <w:szCs w:val="30"/>
        </w:rPr>
      </w:pPr>
    </w:p>
    <w:p w14:paraId="676DC7F8">
      <w:pPr>
        <w:pStyle w:val="9"/>
        <w:spacing w:before="11"/>
        <w:ind w:left="0"/>
        <w:jc w:val="left"/>
        <w:rPr>
          <w:rFonts w:hint="eastAsia"/>
          <w:sz w:val="30"/>
          <w:szCs w:val="30"/>
        </w:rPr>
      </w:pPr>
      <w:r>
        <w:rPr>
          <w:rFonts w:hint="eastAsia"/>
          <w:sz w:val="30"/>
          <w:szCs w:val="30"/>
        </w:rPr>
        <w:t>Recorded for Life (3)</w:t>
      </w:r>
    </w:p>
    <w:p w14:paraId="5CE7853F">
      <w:pPr>
        <w:pStyle w:val="9"/>
        <w:spacing w:before="11"/>
        <w:ind w:left="0"/>
        <w:jc w:val="left"/>
        <w:rPr>
          <w:rFonts w:hint="eastAsia"/>
          <w:sz w:val="30"/>
          <w:szCs w:val="30"/>
        </w:rPr>
      </w:pPr>
      <w:r>
        <w:rPr>
          <w:rFonts w:hint="eastAsia"/>
          <w:sz w:val="30"/>
          <w:szCs w:val="30"/>
        </w:rPr>
        <w:t>记在生命册上（3节）</w:t>
      </w:r>
    </w:p>
    <w:p w14:paraId="2DDA7DB7">
      <w:pPr>
        <w:pStyle w:val="9"/>
        <w:spacing w:before="11"/>
        <w:ind w:left="0"/>
        <w:jc w:val="left"/>
        <w:rPr>
          <w:rFonts w:hint="eastAsia"/>
          <w:sz w:val="30"/>
          <w:szCs w:val="30"/>
        </w:rPr>
      </w:pPr>
    </w:p>
    <w:p w14:paraId="358981EB">
      <w:pPr>
        <w:pStyle w:val="9"/>
        <w:spacing w:before="11"/>
        <w:ind w:left="0"/>
        <w:jc w:val="left"/>
        <w:rPr>
          <w:rFonts w:hint="eastAsia"/>
          <w:sz w:val="30"/>
          <w:szCs w:val="30"/>
        </w:rPr>
      </w:pPr>
      <w:r>
        <w:rPr>
          <w:rFonts w:hint="eastAsia"/>
          <w:sz w:val="30"/>
          <w:szCs w:val="30"/>
        </w:rPr>
        <w:t>Verse 3 tells us more about these survivors: They are “recorded for life in Jerusalem.”</w:t>
      </w:r>
    </w:p>
    <w:p w14:paraId="395BC6EA">
      <w:pPr>
        <w:pStyle w:val="9"/>
        <w:spacing w:before="11"/>
        <w:ind w:left="0"/>
        <w:jc w:val="left"/>
        <w:rPr>
          <w:rFonts w:hint="eastAsia"/>
          <w:sz w:val="30"/>
          <w:szCs w:val="30"/>
        </w:rPr>
      </w:pPr>
      <w:r>
        <w:rPr>
          <w:rFonts w:hint="eastAsia"/>
          <w:sz w:val="30"/>
          <w:szCs w:val="30"/>
        </w:rPr>
        <w:t>第3节告诉我们更多关于这些幸存者的信息：他们是“在耶路撒冷记在生命册上的”。</w:t>
      </w:r>
    </w:p>
    <w:p w14:paraId="2E49F8BF">
      <w:pPr>
        <w:pStyle w:val="9"/>
        <w:spacing w:before="11"/>
        <w:ind w:left="0"/>
        <w:jc w:val="left"/>
        <w:rPr>
          <w:rFonts w:hint="eastAsia"/>
          <w:sz w:val="30"/>
          <w:szCs w:val="30"/>
        </w:rPr>
      </w:pPr>
    </w:p>
    <w:p w14:paraId="4881CB8E">
      <w:pPr>
        <w:pStyle w:val="9"/>
        <w:spacing w:before="11"/>
        <w:ind w:left="0"/>
        <w:jc w:val="left"/>
        <w:rPr>
          <w:rFonts w:hint="eastAsia"/>
          <w:sz w:val="30"/>
          <w:szCs w:val="30"/>
        </w:rPr>
      </w:pPr>
      <w:r>
        <w:rPr>
          <w:rFonts w:hint="eastAsia"/>
          <w:sz w:val="30"/>
          <w:szCs w:val="30"/>
        </w:rPr>
        <w:t>That is, they were chosen in Christ Jesus before the foundation of the world (Eph. 1:10), written in the Lamb’s book of life (Rev. 17:8), and predestined to become the inhabitants of the eternal City of God (1 Peter 2:4-10, Gal. 4:26, Rev. 3:12).</w:t>
      </w:r>
    </w:p>
    <w:p w14:paraId="755F7A42">
      <w:pPr>
        <w:pStyle w:val="9"/>
        <w:spacing w:before="11"/>
        <w:ind w:left="0"/>
        <w:jc w:val="left"/>
        <w:rPr>
          <w:rFonts w:hint="eastAsia"/>
          <w:sz w:val="30"/>
          <w:szCs w:val="30"/>
        </w:rPr>
      </w:pPr>
      <w:r>
        <w:rPr>
          <w:rFonts w:hint="eastAsia"/>
          <w:sz w:val="30"/>
          <w:szCs w:val="30"/>
        </w:rPr>
        <w:t>也就是说，他们在创世以前就在基督耶稣里被拣选（以弗所书 1:4），被写在羔羊的生命册上（启示录 17:8），并被预定成为永恒上帝之城的居民（彼得前书 2:4-10, 加拉太书 4:26, 启示录 3:12）。</w:t>
      </w:r>
    </w:p>
    <w:p w14:paraId="612416F6">
      <w:pPr>
        <w:pStyle w:val="9"/>
        <w:spacing w:before="11"/>
        <w:ind w:left="0"/>
        <w:jc w:val="left"/>
        <w:rPr>
          <w:rFonts w:hint="eastAsia"/>
          <w:sz w:val="30"/>
          <w:szCs w:val="30"/>
        </w:rPr>
      </w:pPr>
    </w:p>
    <w:p w14:paraId="622F8EB1">
      <w:pPr>
        <w:pStyle w:val="9"/>
        <w:spacing w:before="11"/>
        <w:ind w:left="0"/>
        <w:jc w:val="left"/>
        <w:rPr>
          <w:rFonts w:hint="eastAsia"/>
          <w:sz w:val="30"/>
          <w:szCs w:val="30"/>
        </w:rPr>
      </w:pPr>
      <w:r>
        <w:rPr>
          <w:rFonts w:hint="eastAsia"/>
          <w:sz w:val="30"/>
          <w:szCs w:val="30"/>
        </w:rPr>
        <w:t>They are the elect remnant of sinful humanity—Jews as well as Gentiles—called to be holy, through Christ, in the sight of God (Rom. 1:7, 8:30, 9:22-25, Eph. 1:4, 5:27).</w:t>
      </w:r>
    </w:p>
    <w:p w14:paraId="71C1F1F7">
      <w:pPr>
        <w:pStyle w:val="9"/>
        <w:spacing w:before="11"/>
        <w:ind w:left="0"/>
        <w:jc w:val="left"/>
        <w:rPr>
          <w:rFonts w:hint="eastAsia"/>
          <w:sz w:val="30"/>
          <w:szCs w:val="30"/>
        </w:rPr>
      </w:pPr>
      <w:r>
        <w:rPr>
          <w:rFonts w:hint="eastAsia"/>
          <w:sz w:val="30"/>
          <w:szCs w:val="30"/>
        </w:rPr>
        <w:t>他们是有罪人类中蒙拣选的余民——既有犹太人也有外邦人——被呼召在上帝眼中，通过基督，成为圣洁（罗马书 1:7, 8:30, 9:22-25, 以弗所书 1:4, 5:27）。</w:t>
      </w:r>
    </w:p>
    <w:p w14:paraId="51D958AC">
      <w:pPr>
        <w:pStyle w:val="9"/>
        <w:spacing w:before="11"/>
        <w:ind w:left="0"/>
        <w:jc w:val="left"/>
        <w:rPr>
          <w:rFonts w:hint="eastAsia"/>
          <w:sz w:val="30"/>
          <w:szCs w:val="30"/>
        </w:rPr>
      </w:pPr>
    </w:p>
    <w:p w14:paraId="205F46C8">
      <w:pPr>
        <w:pStyle w:val="9"/>
        <w:spacing w:before="11"/>
        <w:ind w:left="0"/>
        <w:jc w:val="left"/>
        <w:rPr>
          <w:rFonts w:hint="eastAsia"/>
          <w:sz w:val="30"/>
          <w:szCs w:val="30"/>
        </w:rPr>
      </w:pPr>
      <w:r>
        <w:rPr>
          <w:rFonts w:hint="eastAsia"/>
          <w:sz w:val="30"/>
          <w:szCs w:val="30"/>
        </w:rPr>
        <w:t>Holiness, Glory, Everlasting Safety (4-7)</w:t>
      </w:r>
    </w:p>
    <w:p w14:paraId="3998CCA8">
      <w:pPr>
        <w:pStyle w:val="9"/>
        <w:spacing w:before="11"/>
        <w:ind w:left="0"/>
        <w:jc w:val="left"/>
        <w:rPr>
          <w:rFonts w:hint="eastAsia"/>
          <w:sz w:val="30"/>
          <w:szCs w:val="30"/>
        </w:rPr>
      </w:pPr>
      <w:r>
        <w:rPr>
          <w:rFonts w:hint="eastAsia"/>
          <w:sz w:val="30"/>
          <w:szCs w:val="30"/>
        </w:rPr>
        <w:t>圣洁、荣耀、永恒的安全（4-7节）</w:t>
      </w:r>
    </w:p>
    <w:p w14:paraId="50B7B72C">
      <w:pPr>
        <w:pStyle w:val="9"/>
        <w:spacing w:before="11"/>
        <w:ind w:left="0"/>
        <w:jc w:val="left"/>
        <w:rPr>
          <w:rFonts w:hint="eastAsia"/>
          <w:sz w:val="30"/>
          <w:szCs w:val="30"/>
        </w:rPr>
      </w:pPr>
    </w:p>
    <w:p w14:paraId="15440842">
      <w:pPr>
        <w:pStyle w:val="9"/>
        <w:spacing w:before="11"/>
        <w:ind w:left="0"/>
        <w:jc w:val="left"/>
        <w:rPr>
          <w:rFonts w:hint="eastAsia"/>
          <w:sz w:val="30"/>
          <w:szCs w:val="30"/>
        </w:rPr>
      </w:pPr>
      <w:r>
        <w:rPr>
          <w:rFonts w:hint="eastAsia"/>
          <w:sz w:val="30"/>
          <w:szCs w:val="30"/>
        </w:rPr>
        <w:t>Verses 4-7 crown the prophecy by speaking of everything that God will do for the Church in his two-staged Kingdom.</w:t>
      </w:r>
    </w:p>
    <w:p w14:paraId="1AAB4B24">
      <w:pPr>
        <w:pStyle w:val="9"/>
        <w:spacing w:before="11"/>
        <w:ind w:left="0"/>
        <w:jc w:val="left"/>
        <w:rPr>
          <w:rFonts w:hint="eastAsia"/>
          <w:sz w:val="30"/>
          <w:szCs w:val="30"/>
        </w:rPr>
      </w:pPr>
      <w:r>
        <w:rPr>
          <w:rFonts w:hint="eastAsia"/>
          <w:sz w:val="30"/>
          <w:szCs w:val="30"/>
        </w:rPr>
        <w:t>第4-7节通过讲述上帝在祂两阶段国度中将为教会所做的一切来为这预言加冕。</w:t>
      </w:r>
    </w:p>
    <w:p w14:paraId="01CE1C67">
      <w:pPr>
        <w:pStyle w:val="9"/>
        <w:spacing w:before="11"/>
        <w:ind w:left="0"/>
        <w:jc w:val="left"/>
        <w:rPr>
          <w:rFonts w:hint="eastAsia"/>
          <w:sz w:val="30"/>
          <w:szCs w:val="30"/>
        </w:rPr>
      </w:pPr>
    </w:p>
    <w:p w14:paraId="2911216B">
      <w:pPr>
        <w:pStyle w:val="9"/>
        <w:spacing w:before="11"/>
        <w:ind w:left="0"/>
        <w:jc w:val="left"/>
        <w:rPr>
          <w:rFonts w:hint="eastAsia"/>
          <w:sz w:val="30"/>
          <w:szCs w:val="30"/>
        </w:rPr>
      </w:pPr>
      <w:r>
        <w:rPr>
          <w:rFonts w:hint="eastAsia"/>
          <w:sz w:val="30"/>
          <w:szCs w:val="30"/>
        </w:rPr>
        <w:t>Likening her to a woman in her uncleanness, God promises to rinse away every stain—both from her record and her heart—through the washing of regeneration and the renewing work of the Holy Spirit, whom he will pour out richly, through Christ, on all who are justified by faith (v. 4, Eph. 5:26-27, Titus 3:4-7).</w:t>
      </w:r>
    </w:p>
    <w:p w14:paraId="6B803176">
      <w:pPr>
        <w:pStyle w:val="9"/>
        <w:spacing w:before="11"/>
        <w:ind w:left="0"/>
        <w:jc w:val="left"/>
        <w:rPr>
          <w:rFonts w:hint="eastAsia"/>
          <w:sz w:val="30"/>
          <w:szCs w:val="30"/>
        </w:rPr>
      </w:pPr>
      <w:r>
        <w:rPr>
          <w:rFonts w:hint="eastAsia"/>
          <w:sz w:val="30"/>
          <w:szCs w:val="30"/>
        </w:rPr>
        <w:t>上帝将她比作一个污秽的妇人，应许通过重生的洗和圣灵的更新工作，洗去她记录和心中的每一个污点，圣灵将通过基督，丰丰富富地浇灌在所有因信称义的人身上（4节, 以弗所书 5:26-27, 提多书 3:4-7）。</w:t>
      </w:r>
    </w:p>
    <w:p w14:paraId="7CA752EC">
      <w:pPr>
        <w:pStyle w:val="9"/>
        <w:spacing w:before="11"/>
        <w:ind w:left="0"/>
        <w:jc w:val="left"/>
        <w:rPr>
          <w:rFonts w:hint="eastAsia"/>
          <w:sz w:val="30"/>
          <w:szCs w:val="30"/>
        </w:rPr>
      </w:pPr>
    </w:p>
    <w:p w14:paraId="4311E102">
      <w:pPr>
        <w:pStyle w:val="9"/>
        <w:spacing w:before="11"/>
        <w:ind w:left="0"/>
        <w:jc w:val="left"/>
        <w:rPr>
          <w:rFonts w:hint="eastAsia"/>
          <w:sz w:val="30"/>
          <w:szCs w:val="30"/>
        </w:rPr>
      </w:pPr>
      <w:r>
        <w:rPr>
          <w:rFonts w:hint="eastAsia"/>
          <w:sz w:val="30"/>
          <w:szCs w:val="30"/>
        </w:rPr>
        <w:t>Then, recalling the visible tokens of his presence and protection among his OT saints (v. 5, Ex. 32:32-33, 40:34-38, Num. 9:15-23), God promises that he will again give his glory to the far-flung assemblies of Christ’s Church, all of which are situated on the Zion above (v. 5, John 17:22, Col. 3:4, Heb. 12:22, Rev. 21:11).</w:t>
      </w:r>
    </w:p>
    <w:p w14:paraId="2EE932CC">
      <w:pPr>
        <w:pStyle w:val="9"/>
        <w:spacing w:before="11"/>
        <w:ind w:left="0"/>
        <w:jc w:val="left"/>
        <w:rPr>
          <w:rFonts w:hint="eastAsia"/>
          <w:sz w:val="30"/>
          <w:szCs w:val="30"/>
        </w:rPr>
      </w:pPr>
      <w:r>
        <w:rPr>
          <w:rFonts w:hint="eastAsia"/>
          <w:sz w:val="30"/>
          <w:szCs w:val="30"/>
        </w:rPr>
        <w:t>然后，回忆起祂在旧约圣徒中同在和保护的可见记号（5节, 出埃及记 33:32-33, 40:34-38, 民数记 9:15-23），上帝应许祂将再次将祂的荣耀赐给基督教会分散各处的聚会，所有这些聚会都位于天上的锡安（5节, 约翰福音 17:22, 歌罗西书 3:4, 希伯来书 12:22, 启示录 21:11）。</w:t>
      </w:r>
    </w:p>
    <w:p w14:paraId="4C43E305">
      <w:pPr>
        <w:pStyle w:val="9"/>
        <w:spacing w:before="11"/>
        <w:ind w:left="0"/>
        <w:jc w:val="left"/>
        <w:rPr>
          <w:rFonts w:hint="eastAsia"/>
          <w:sz w:val="30"/>
          <w:szCs w:val="30"/>
        </w:rPr>
      </w:pPr>
    </w:p>
    <w:p w14:paraId="1951BCF1">
      <w:pPr>
        <w:pStyle w:val="9"/>
        <w:spacing w:before="11"/>
        <w:ind w:left="0"/>
        <w:jc w:val="left"/>
        <w:rPr>
          <w:rFonts w:hint="eastAsia"/>
          <w:sz w:val="30"/>
          <w:szCs w:val="30"/>
        </w:rPr>
      </w:pPr>
      <w:r>
        <w:rPr>
          <w:rFonts w:hint="eastAsia"/>
          <w:sz w:val="30"/>
          <w:szCs w:val="30"/>
        </w:rPr>
        <w:t>Moreover, he will cover that glory—keep it forever safe —with his own presence and power.</w:t>
      </w:r>
    </w:p>
    <w:p w14:paraId="33DDA847">
      <w:pPr>
        <w:pStyle w:val="9"/>
        <w:spacing w:before="11"/>
        <w:ind w:left="0"/>
        <w:jc w:val="left"/>
        <w:rPr>
          <w:rFonts w:hint="eastAsia"/>
          <w:sz w:val="30"/>
          <w:szCs w:val="30"/>
        </w:rPr>
      </w:pPr>
      <w:r>
        <w:rPr>
          <w:rFonts w:hint="eastAsia"/>
          <w:sz w:val="30"/>
          <w:szCs w:val="30"/>
        </w:rPr>
        <w:t>此外，祂将用祂自己的同在和能力来遮盖那荣耀——使其永远安全。</w:t>
      </w:r>
    </w:p>
    <w:p w14:paraId="2616C651">
      <w:pPr>
        <w:pStyle w:val="9"/>
        <w:spacing w:before="11"/>
        <w:ind w:left="0"/>
        <w:jc w:val="left"/>
        <w:rPr>
          <w:rFonts w:hint="eastAsia"/>
          <w:sz w:val="30"/>
          <w:szCs w:val="30"/>
        </w:rPr>
      </w:pPr>
    </w:p>
    <w:p w14:paraId="535D647C">
      <w:pPr>
        <w:pStyle w:val="9"/>
        <w:spacing w:before="11"/>
        <w:ind w:left="0"/>
        <w:jc w:val="left"/>
        <w:rPr>
          <w:rFonts w:hint="eastAsia"/>
          <w:sz w:val="30"/>
          <w:szCs w:val="30"/>
        </w:rPr>
      </w:pPr>
      <w:r>
        <w:rPr>
          <w:rFonts w:hint="eastAsia"/>
          <w:sz w:val="30"/>
          <w:szCs w:val="30"/>
        </w:rPr>
        <w:t>To all eternity, the holy canopy (which is Christ) will enfold the people of God in his blessings, even as it serves as an abiding shelter from the heat, storm, and rain of his judgments (v. 6, 2 Thess. 1:3-10, Rev. 3:10, 22:3).</w:t>
      </w:r>
    </w:p>
    <w:p w14:paraId="1080BEE1">
      <w:pPr>
        <w:pStyle w:val="9"/>
        <w:spacing w:before="11"/>
        <w:ind w:left="0"/>
        <w:jc w:val="left"/>
        <w:rPr>
          <w:rFonts w:hint="eastAsia"/>
          <w:sz w:val="30"/>
          <w:szCs w:val="30"/>
        </w:rPr>
      </w:pPr>
      <w:r>
        <w:rPr>
          <w:rFonts w:hint="eastAsia"/>
          <w:sz w:val="30"/>
          <w:szCs w:val="30"/>
        </w:rPr>
        <w:t>直到永远，那圣洁的华盖（即基督）将把上帝的子民包裹在祂的祝福中，同时它也作为躲避祂审判的热、风暴和雨水的长久庇护所（6节, 帖撒罗尼迦后书 1:3-10, 启示录 3:10, 22:3）。</w:t>
      </w:r>
    </w:p>
    <w:p w14:paraId="19170057">
      <w:pPr>
        <w:pStyle w:val="9"/>
        <w:spacing w:before="11"/>
        <w:ind w:left="0"/>
        <w:jc w:val="left"/>
        <w:rPr>
          <w:rFonts w:hint="eastAsia"/>
          <w:sz w:val="30"/>
          <w:szCs w:val="30"/>
        </w:rPr>
      </w:pPr>
    </w:p>
    <w:p w14:paraId="1A17C82E">
      <w:pPr>
        <w:pStyle w:val="9"/>
        <w:spacing w:before="11"/>
        <w:ind w:left="0"/>
        <w:jc w:val="left"/>
        <w:rPr>
          <w:rFonts w:hint="eastAsia"/>
          <w:sz w:val="30"/>
          <w:szCs w:val="30"/>
        </w:rPr>
      </w:pPr>
      <w:r>
        <w:rPr>
          <w:rFonts w:hint="eastAsia"/>
          <w:sz w:val="30"/>
          <w:szCs w:val="30"/>
        </w:rPr>
        <w:t>4.The Rod of Jesse, a Banner for the Nations</w:t>
      </w:r>
    </w:p>
    <w:p w14:paraId="19F80246">
      <w:pPr>
        <w:pStyle w:val="9"/>
        <w:spacing w:before="11"/>
        <w:ind w:left="0"/>
        <w:jc w:val="left"/>
        <w:rPr>
          <w:rFonts w:hint="eastAsia"/>
          <w:sz w:val="30"/>
          <w:szCs w:val="30"/>
        </w:rPr>
      </w:pPr>
      <w:r>
        <w:rPr>
          <w:rFonts w:hint="eastAsia"/>
          <w:sz w:val="30"/>
          <w:szCs w:val="30"/>
        </w:rPr>
        <w:t>4.耶西的杖，万国的旌旗</w:t>
      </w:r>
    </w:p>
    <w:p w14:paraId="64AE639D">
      <w:pPr>
        <w:pStyle w:val="9"/>
        <w:spacing w:before="11"/>
        <w:ind w:left="0"/>
        <w:jc w:val="left"/>
        <w:rPr>
          <w:rFonts w:hint="eastAsia"/>
          <w:sz w:val="30"/>
          <w:szCs w:val="30"/>
        </w:rPr>
      </w:pPr>
    </w:p>
    <w:p w14:paraId="30A47097">
      <w:pPr>
        <w:pStyle w:val="9"/>
        <w:spacing w:before="11"/>
        <w:ind w:left="0"/>
        <w:jc w:val="left"/>
        <w:rPr>
          <w:rFonts w:hint="eastAsia"/>
          <w:sz w:val="30"/>
          <w:szCs w:val="30"/>
        </w:rPr>
      </w:pPr>
      <w:r>
        <w:rPr>
          <w:rFonts w:hint="eastAsia"/>
          <w:sz w:val="30"/>
          <w:szCs w:val="30"/>
        </w:rPr>
        <w:t>(Isaiah 11:1-16)</w:t>
      </w:r>
    </w:p>
    <w:p w14:paraId="6AB860E9">
      <w:pPr>
        <w:pStyle w:val="9"/>
        <w:spacing w:before="11"/>
        <w:ind w:left="0"/>
        <w:jc w:val="left"/>
        <w:rPr>
          <w:rFonts w:hint="eastAsia"/>
          <w:sz w:val="30"/>
          <w:szCs w:val="30"/>
        </w:rPr>
      </w:pPr>
      <w:r>
        <w:rPr>
          <w:rFonts w:hint="eastAsia"/>
          <w:sz w:val="30"/>
          <w:szCs w:val="30"/>
        </w:rPr>
        <w:t>（以赛亚书 11:1-16）</w:t>
      </w:r>
    </w:p>
    <w:p w14:paraId="4A78555E">
      <w:pPr>
        <w:pStyle w:val="9"/>
        <w:spacing w:before="11"/>
        <w:ind w:left="0"/>
        <w:jc w:val="left"/>
        <w:rPr>
          <w:rFonts w:hint="eastAsia"/>
          <w:sz w:val="30"/>
          <w:szCs w:val="30"/>
        </w:rPr>
      </w:pPr>
    </w:p>
    <w:p w14:paraId="223BE16D">
      <w:pPr>
        <w:pStyle w:val="9"/>
        <w:spacing w:before="11"/>
        <w:ind w:left="0"/>
        <w:jc w:val="left"/>
        <w:rPr>
          <w:rFonts w:hint="eastAsia"/>
          <w:sz w:val="30"/>
          <w:szCs w:val="30"/>
        </w:rPr>
      </w:pPr>
      <w:r>
        <w:rPr>
          <w:rFonts w:hint="eastAsia"/>
          <w:sz w:val="30"/>
          <w:szCs w:val="30"/>
        </w:rPr>
        <w:t>Though we touched on this OTKP earlier, we must now examine it at greater length, seeing that it may be the single most popular OT bastion of premillennialism.</w:t>
      </w:r>
    </w:p>
    <w:p w14:paraId="434DE63A">
      <w:pPr>
        <w:pStyle w:val="9"/>
        <w:spacing w:before="11"/>
        <w:ind w:left="0"/>
        <w:jc w:val="left"/>
        <w:rPr>
          <w:rFonts w:hint="eastAsia"/>
          <w:sz w:val="30"/>
          <w:szCs w:val="30"/>
        </w:rPr>
      </w:pPr>
      <w:r>
        <w:rPr>
          <w:rFonts w:hint="eastAsia"/>
          <w:sz w:val="30"/>
          <w:szCs w:val="30"/>
        </w:rPr>
        <w:t>虽然我们早些时候触及过这段旧约国度预言（OTKP），但我们现在必须更详细地审视它，因为它可能是前千禧年主义最受欢迎的旧约堡垒。</w:t>
      </w:r>
    </w:p>
    <w:p w14:paraId="7FD616F9">
      <w:pPr>
        <w:pStyle w:val="9"/>
        <w:spacing w:before="11"/>
        <w:ind w:left="0"/>
        <w:jc w:val="left"/>
        <w:rPr>
          <w:rFonts w:hint="eastAsia"/>
          <w:sz w:val="30"/>
          <w:szCs w:val="30"/>
        </w:rPr>
      </w:pPr>
    </w:p>
    <w:p w14:paraId="4FD6C627">
      <w:pPr>
        <w:pStyle w:val="9"/>
        <w:spacing w:before="11"/>
        <w:ind w:left="0"/>
        <w:jc w:val="left"/>
        <w:rPr>
          <w:rFonts w:hint="eastAsia"/>
          <w:sz w:val="30"/>
          <w:szCs w:val="30"/>
        </w:rPr>
      </w:pPr>
      <w:r>
        <w:rPr>
          <w:rFonts w:hint="eastAsia"/>
          <w:sz w:val="30"/>
          <w:szCs w:val="30"/>
        </w:rPr>
        <w:t>Scofield asserts, “This chapter is a prophetic picture of the glory of the future kingdom, which will be set up when David’s Son returns in glory.”5 Walvoord agrees, saying, “Isaiah 11 paints a graphic picture of the reign of Christ on earth, a scene which cannot be confused with the present age, the intermediate state (i.e., heaven), or the eternal state, if interpreted in any normal literal sense.”6 Grudem advances the same argument, observing, “It does seem, therefore, that (here in Isaiah 11) the eternal state has not begun, yet the reversal of nature far exceeds anything that will happen in this present age.</w:t>
      </w:r>
    </w:p>
    <w:p w14:paraId="0A78313C">
      <w:pPr>
        <w:pStyle w:val="9"/>
        <w:spacing w:before="11"/>
        <w:ind w:left="0"/>
        <w:jc w:val="left"/>
        <w:rPr>
          <w:rFonts w:hint="eastAsia"/>
          <w:sz w:val="30"/>
          <w:szCs w:val="30"/>
        </w:rPr>
      </w:pPr>
      <w:r>
        <w:rPr>
          <w:rFonts w:hint="eastAsia"/>
          <w:sz w:val="30"/>
          <w:szCs w:val="30"/>
        </w:rPr>
        <w:t>司可福断言：“本章是大卫的子孙在荣耀中再来时将要建立的未来国度荣耀的预言图景。”5 华富德同意说：“以赛亚书11章描绘了一幅基督在地上统治的生动图景，如果以任何正常的字面意义来解释，这一场景不能与现今的世代、中间状态（即天堂）或永恒状态相混淆。”6 古德恩提出了同样的论点，观察到：“因此，似乎（在以赛亚书11章这里）永恒状态尚未开始，然而自然界的逆转远超过现今世代将要发生的任何事。</w:t>
      </w:r>
    </w:p>
    <w:p w14:paraId="1AF9655E">
      <w:pPr>
        <w:pStyle w:val="9"/>
        <w:spacing w:before="11"/>
        <w:ind w:left="0"/>
        <w:jc w:val="left"/>
        <w:rPr>
          <w:rFonts w:hint="eastAsia"/>
          <w:sz w:val="30"/>
          <w:szCs w:val="30"/>
        </w:rPr>
      </w:pPr>
    </w:p>
    <w:p w14:paraId="7CE59DC3">
      <w:pPr>
        <w:pStyle w:val="9"/>
        <w:spacing w:before="11"/>
        <w:ind w:left="0"/>
        <w:jc w:val="left"/>
        <w:rPr>
          <w:rFonts w:hint="eastAsia"/>
          <w:sz w:val="30"/>
          <w:szCs w:val="30"/>
        </w:rPr>
      </w:pPr>
      <w:r>
        <w:rPr>
          <w:rFonts w:hint="eastAsia"/>
          <w:sz w:val="30"/>
          <w:szCs w:val="30"/>
        </w:rPr>
        <w:t>Does this not indicate a future millennial kingdom?”7</w:t>
      </w:r>
    </w:p>
    <w:p w14:paraId="74A62AB3">
      <w:pPr>
        <w:pStyle w:val="9"/>
        <w:spacing w:before="11"/>
        <w:ind w:left="0"/>
        <w:jc w:val="left"/>
        <w:rPr>
          <w:rFonts w:hint="eastAsia"/>
          <w:sz w:val="30"/>
          <w:szCs w:val="30"/>
        </w:rPr>
      </w:pPr>
      <w:r>
        <w:rPr>
          <w:rFonts w:hint="eastAsia"/>
          <w:sz w:val="30"/>
          <w:szCs w:val="30"/>
        </w:rPr>
        <w:t>这岂不表明一个未来的千禧年国度吗？”7</w:t>
      </w:r>
    </w:p>
    <w:p w14:paraId="03F6C57E">
      <w:pPr>
        <w:pStyle w:val="9"/>
        <w:spacing w:before="11"/>
        <w:ind w:left="0"/>
        <w:jc w:val="left"/>
        <w:rPr>
          <w:rFonts w:hint="eastAsia"/>
          <w:sz w:val="30"/>
          <w:szCs w:val="30"/>
        </w:rPr>
      </w:pPr>
    </w:p>
    <w:p w14:paraId="022E3C99">
      <w:pPr>
        <w:pStyle w:val="9"/>
        <w:spacing w:before="11"/>
        <w:ind w:left="0"/>
        <w:jc w:val="left"/>
        <w:rPr>
          <w:rFonts w:hint="eastAsia"/>
          <w:sz w:val="30"/>
          <w:szCs w:val="30"/>
        </w:rPr>
      </w:pPr>
      <w:r>
        <w:rPr>
          <w:rFonts w:hint="eastAsia"/>
          <w:sz w:val="30"/>
          <w:szCs w:val="30"/>
        </w:rPr>
        <w:t>The answer to Grudem’s question is, “Yes, it might indicate a millennial kingdom if Isaiah had said anything at all about a thousand years; if the NT had given us liberty to interpret this Kingdom prophecy in ‘any normal literal sense’; if we were not under strict NT orders to recognize that the true sphere of fulfillment of all OTKP is the New Covenant in Christ, the two-staged Kingdom it introduces, and the Church that it creates; and if, therefore, we were not under a positive NT obligation to interpret all OTKP eschatologically, covenantally, christologically, typologically, and ecclesiologically.”</w:t>
      </w:r>
    </w:p>
    <w:p w14:paraId="51C89E0E">
      <w:pPr>
        <w:pStyle w:val="9"/>
        <w:spacing w:before="11"/>
        <w:ind w:left="0"/>
        <w:jc w:val="left"/>
        <w:rPr>
          <w:rFonts w:hint="eastAsia"/>
          <w:sz w:val="30"/>
          <w:szCs w:val="30"/>
        </w:rPr>
      </w:pPr>
      <w:r>
        <w:rPr>
          <w:rFonts w:hint="eastAsia"/>
          <w:sz w:val="30"/>
          <w:szCs w:val="30"/>
        </w:rPr>
        <w:t>对古德恩问题的回答是：“是的，如果以赛亚提到过一千年，它可能表明一个千禧年国度；如果新约给了我们自由，可以用‘任何正常的字面意义’来解释这个国度预言；如果我们不是受新约严格命令，要认识到所有旧约国度预言（OTKP）的真正应验范围是在基督里的新约，它所引入的两阶段国度，以及它所创造的教会；因此，如果我们不是在新约下有积极的义务，以末世论的、圣约论的、基督论的、预表论的和教会论的方式来解释所有旧约国度预言（OTKP）。”</w:t>
      </w:r>
    </w:p>
    <w:p w14:paraId="7692C515">
      <w:pPr>
        <w:pStyle w:val="9"/>
        <w:spacing w:before="11"/>
        <w:ind w:left="0"/>
        <w:jc w:val="left"/>
        <w:rPr>
          <w:rFonts w:hint="eastAsia"/>
          <w:sz w:val="30"/>
          <w:szCs w:val="30"/>
        </w:rPr>
      </w:pPr>
    </w:p>
    <w:p w14:paraId="2F8B2271">
      <w:pPr>
        <w:pStyle w:val="9"/>
        <w:spacing w:before="11"/>
        <w:ind w:left="0"/>
        <w:jc w:val="left"/>
        <w:rPr>
          <w:rFonts w:hint="eastAsia"/>
          <w:sz w:val="30"/>
          <w:szCs w:val="30"/>
        </w:rPr>
      </w:pPr>
      <w:r>
        <w:rPr>
          <w:rFonts w:hint="eastAsia"/>
          <w:sz w:val="30"/>
          <w:szCs w:val="30"/>
        </w:rPr>
        <w:t>Therefore, let us do so now, and let us see once again how illuminating and uplifting this approach can be for the NT people of God.</w:t>
      </w:r>
    </w:p>
    <w:p w14:paraId="5755BFC1">
      <w:pPr>
        <w:pStyle w:val="9"/>
        <w:spacing w:before="11"/>
        <w:ind w:left="0"/>
        <w:jc w:val="left"/>
        <w:rPr>
          <w:rFonts w:hint="eastAsia"/>
          <w:sz w:val="30"/>
          <w:szCs w:val="30"/>
        </w:rPr>
      </w:pPr>
      <w:r>
        <w:rPr>
          <w:rFonts w:hint="eastAsia"/>
          <w:sz w:val="30"/>
          <w:szCs w:val="30"/>
        </w:rPr>
        <w:t>因此，让我们现在就这样做，让我们再次看看这种方法对上帝的新约子民是何等地具有启发性和振奋性。</w:t>
      </w:r>
    </w:p>
    <w:p w14:paraId="47597DE8">
      <w:pPr>
        <w:pStyle w:val="9"/>
        <w:spacing w:before="11"/>
        <w:ind w:left="0"/>
        <w:jc w:val="left"/>
        <w:rPr>
          <w:rFonts w:hint="eastAsia"/>
          <w:sz w:val="30"/>
          <w:szCs w:val="30"/>
        </w:rPr>
      </w:pPr>
    </w:p>
    <w:p w14:paraId="48F61FFA">
      <w:pPr>
        <w:pStyle w:val="9"/>
        <w:spacing w:before="11"/>
        <w:ind w:left="0"/>
        <w:jc w:val="left"/>
        <w:rPr>
          <w:rFonts w:hint="eastAsia"/>
          <w:sz w:val="30"/>
          <w:szCs w:val="30"/>
        </w:rPr>
      </w:pPr>
      <w:r>
        <w:rPr>
          <w:rFonts w:hint="eastAsia"/>
          <w:sz w:val="30"/>
          <w:szCs w:val="30"/>
        </w:rPr>
        <w:t>We begin by noting that Isaiah 11 is actually a string of four related yet distinct OTKP’s: Isaiah 11:1-5, 6-9, 10, 11-16.</w:t>
      </w:r>
    </w:p>
    <w:p w14:paraId="18B99854">
      <w:pPr>
        <w:pStyle w:val="9"/>
        <w:spacing w:before="11"/>
        <w:ind w:left="0"/>
        <w:jc w:val="left"/>
        <w:rPr>
          <w:rFonts w:hint="eastAsia"/>
          <w:sz w:val="30"/>
          <w:szCs w:val="30"/>
        </w:rPr>
      </w:pPr>
      <w:r>
        <w:rPr>
          <w:rFonts w:hint="eastAsia"/>
          <w:sz w:val="30"/>
          <w:szCs w:val="30"/>
        </w:rPr>
        <w:t>我们首先注意到，以赛亚书11章实际上是由四段相关但又独立的旧约国度预言（OTKP）组成的：以赛亚书 11:1-5, 6-9, 10, 11-16。</w:t>
      </w:r>
    </w:p>
    <w:p w14:paraId="1FFCE6D7">
      <w:pPr>
        <w:pStyle w:val="9"/>
        <w:spacing w:before="11"/>
        <w:ind w:left="0"/>
        <w:jc w:val="left"/>
        <w:rPr>
          <w:rFonts w:hint="eastAsia"/>
          <w:sz w:val="30"/>
          <w:szCs w:val="30"/>
        </w:rPr>
      </w:pPr>
    </w:p>
    <w:p w14:paraId="46FF16E6">
      <w:pPr>
        <w:pStyle w:val="9"/>
        <w:spacing w:before="11"/>
        <w:ind w:left="0"/>
        <w:jc w:val="left"/>
        <w:rPr>
          <w:rFonts w:hint="eastAsia"/>
          <w:sz w:val="30"/>
          <w:szCs w:val="30"/>
        </w:rPr>
      </w:pPr>
      <w:r>
        <w:rPr>
          <w:rFonts w:hint="eastAsia"/>
          <w:sz w:val="30"/>
          <w:szCs w:val="30"/>
        </w:rPr>
        <w:t>This is clear not only from the unique substance of each of these mini-prophecies, but also from the fact that two of them are introduced by the expression “In that Day,” a phrase that signals the beginning of a new prediction about the Kingdom.</w:t>
      </w:r>
    </w:p>
    <w:p w14:paraId="06BC5626">
      <w:pPr>
        <w:pStyle w:val="9"/>
        <w:spacing w:before="11"/>
        <w:ind w:left="0"/>
        <w:jc w:val="left"/>
        <w:rPr>
          <w:rFonts w:hint="eastAsia"/>
          <w:sz w:val="30"/>
          <w:szCs w:val="30"/>
        </w:rPr>
      </w:pPr>
      <w:r>
        <w:rPr>
          <w:rFonts w:hint="eastAsia"/>
          <w:sz w:val="30"/>
          <w:szCs w:val="30"/>
        </w:rPr>
        <w:t>这不仅从这些小预言各自独特的实质中可以看出，也从其中两段以“当那日”这个短语开头的事实中可以看出，这个短语标志着一个关于国度的新预测的开始。</w:t>
      </w:r>
    </w:p>
    <w:p w14:paraId="7CF1178F">
      <w:pPr>
        <w:pStyle w:val="9"/>
        <w:spacing w:before="11"/>
        <w:ind w:left="0"/>
        <w:jc w:val="left"/>
        <w:rPr>
          <w:rFonts w:hint="eastAsia"/>
          <w:sz w:val="30"/>
          <w:szCs w:val="30"/>
        </w:rPr>
      </w:pPr>
    </w:p>
    <w:p w14:paraId="2344FE9B">
      <w:pPr>
        <w:pStyle w:val="9"/>
        <w:spacing w:before="11"/>
        <w:ind w:left="0"/>
        <w:jc w:val="left"/>
        <w:rPr>
          <w:rFonts w:hint="eastAsia"/>
          <w:sz w:val="30"/>
          <w:szCs w:val="30"/>
        </w:rPr>
      </w:pPr>
      <w:r>
        <w:rPr>
          <w:rFonts w:hint="eastAsia"/>
          <w:sz w:val="30"/>
          <w:szCs w:val="30"/>
        </w:rPr>
        <w:t>Therefore, we must not conflate the four mini-prophecies into a single prophecy, as our premillennarian brothers do.</w:t>
      </w:r>
    </w:p>
    <w:p w14:paraId="2EBE297D">
      <w:pPr>
        <w:pStyle w:val="9"/>
        <w:spacing w:before="11"/>
        <w:ind w:left="0"/>
        <w:jc w:val="left"/>
        <w:rPr>
          <w:rFonts w:hint="eastAsia"/>
          <w:sz w:val="30"/>
          <w:szCs w:val="30"/>
        </w:rPr>
      </w:pPr>
      <w:r>
        <w:rPr>
          <w:rFonts w:hint="eastAsia"/>
          <w:sz w:val="30"/>
          <w:szCs w:val="30"/>
        </w:rPr>
        <w:t>因此，我们绝不能像我们的前千禧年派弟兄们那样，将这四个小预言合并成一个单一的预言。</w:t>
      </w:r>
    </w:p>
    <w:p w14:paraId="4F27A7CB">
      <w:pPr>
        <w:pStyle w:val="9"/>
        <w:spacing w:before="11"/>
        <w:ind w:left="0"/>
        <w:jc w:val="left"/>
        <w:rPr>
          <w:rFonts w:hint="eastAsia"/>
          <w:sz w:val="30"/>
          <w:szCs w:val="30"/>
        </w:rPr>
      </w:pPr>
    </w:p>
    <w:p w14:paraId="4C18EA15">
      <w:pPr>
        <w:pStyle w:val="9"/>
        <w:spacing w:before="11"/>
        <w:ind w:left="0"/>
        <w:jc w:val="left"/>
        <w:rPr>
          <w:rFonts w:hint="eastAsia"/>
          <w:sz w:val="30"/>
          <w:szCs w:val="30"/>
        </w:rPr>
      </w:pPr>
      <w:r>
        <w:rPr>
          <w:rFonts w:hint="eastAsia"/>
          <w:sz w:val="30"/>
          <w:szCs w:val="30"/>
        </w:rPr>
        <w:t>Instead, we should recognize that their eschatological spheres of fulfillment may differ, with some looking ahead to the Kingdom of the Son, others to the Kingdom of the Father, and still others to both.</w:t>
      </w:r>
    </w:p>
    <w:p w14:paraId="543AC83D">
      <w:pPr>
        <w:pStyle w:val="9"/>
        <w:spacing w:before="11"/>
        <w:ind w:left="0"/>
        <w:jc w:val="left"/>
        <w:rPr>
          <w:rFonts w:hint="eastAsia"/>
          <w:sz w:val="30"/>
          <w:szCs w:val="30"/>
        </w:rPr>
      </w:pPr>
      <w:r>
        <w:rPr>
          <w:rFonts w:hint="eastAsia"/>
          <w:sz w:val="30"/>
          <w:szCs w:val="30"/>
        </w:rPr>
        <w:t>相反，我们应当认识到，它们的末世应验范围可能不同，有些展望圣子的国度，有些展望圣父的国度，还有一些两者都展望。</w:t>
      </w:r>
    </w:p>
    <w:p w14:paraId="3DB888B2">
      <w:pPr>
        <w:pStyle w:val="9"/>
        <w:spacing w:before="11"/>
        <w:ind w:left="0"/>
        <w:jc w:val="left"/>
        <w:rPr>
          <w:rFonts w:hint="eastAsia"/>
          <w:sz w:val="30"/>
          <w:szCs w:val="30"/>
        </w:rPr>
      </w:pPr>
    </w:p>
    <w:p w14:paraId="57A30017">
      <w:pPr>
        <w:pStyle w:val="9"/>
        <w:spacing w:before="11"/>
        <w:ind w:left="0"/>
        <w:jc w:val="left"/>
        <w:rPr>
          <w:rFonts w:hint="eastAsia"/>
          <w:sz w:val="30"/>
          <w:szCs w:val="30"/>
        </w:rPr>
      </w:pPr>
      <w:r>
        <w:rPr>
          <w:rFonts w:hint="eastAsia"/>
          <w:sz w:val="30"/>
          <w:szCs w:val="30"/>
        </w:rPr>
        <w:t>The Reign of Israel’s Messiah (1-4)</w:t>
      </w:r>
    </w:p>
    <w:p w14:paraId="4171249F">
      <w:pPr>
        <w:pStyle w:val="9"/>
        <w:spacing w:before="11"/>
        <w:ind w:left="0"/>
        <w:jc w:val="left"/>
        <w:rPr>
          <w:rFonts w:hint="eastAsia"/>
          <w:sz w:val="30"/>
          <w:szCs w:val="30"/>
        </w:rPr>
      </w:pPr>
      <w:r>
        <w:rPr>
          <w:rFonts w:hint="eastAsia"/>
          <w:sz w:val="30"/>
          <w:szCs w:val="30"/>
        </w:rPr>
        <w:t>以色列弥赛亚的统治（1-4节）</w:t>
      </w:r>
    </w:p>
    <w:p w14:paraId="5EEB2165">
      <w:pPr>
        <w:pStyle w:val="9"/>
        <w:spacing w:before="11"/>
        <w:ind w:left="0"/>
        <w:jc w:val="left"/>
        <w:rPr>
          <w:rFonts w:hint="eastAsia"/>
          <w:sz w:val="30"/>
          <w:szCs w:val="30"/>
        </w:rPr>
      </w:pPr>
    </w:p>
    <w:p w14:paraId="3F332126">
      <w:pPr>
        <w:pStyle w:val="9"/>
        <w:spacing w:before="11"/>
        <w:ind w:left="0"/>
        <w:jc w:val="left"/>
        <w:rPr>
          <w:rFonts w:hint="eastAsia"/>
          <w:sz w:val="30"/>
          <w:szCs w:val="30"/>
        </w:rPr>
      </w:pPr>
      <w:r>
        <w:rPr>
          <w:rFonts w:hint="eastAsia"/>
          <w:sz w:val="30"/>
          <w:szCs w:val="30"/>
        </w:rPr>
        <w:t>Isaiah 11:1-4 may be entitled The Reign of Israel’s Messiah.</w:t>
      </w:r>
    </w:p>
    <w:p w14:paraId="414B25B7">
      <w:pPr>
        <w:pStyle w:val="9"/>
        <w:spacing w:before="11"/>
        <w:ind w:left="0"/>
        <w:jc w:val="left"/>
        <w:rPr>
          <w:rFonts w:hint="eastAsia"/>
          <w:sz w:val="30"/>
          <w:szCs w:val="30"/>
        </w:rPr>
      </w:pPr>
      <w:r>
        <w:rPr>
          <w:rFonts w:hint="eastAsia"/>
          <w:sz w:val="30"/>
          <w:szCs w:val="30"/>
        </w:rPr>
        <w:t>以赛亚书 11:1-4 可题为“以色列弥赛亚的统治”。</w:t>
      </w:r>
    </w:p>
    <w:p w14:paraId="5EA7928E">
      <w:pPr>
        <w:pStyle w:val="9"/>
        <w:spacing w:before="11"/>
        <w:ind w:left="0"/>
        <w:jc w:val="left"/>
        <w:rPr>
          <w:rFonts w:hint="eastAsia"/>
          <w:sz w:val="30"/>
          <w:szCs w:val="30"/>
        </w:rPr>
      </w:pPr>
    </w:p>
    <w:p w14:paraId="66467945">
      <w:pPr>
        <w:pStyle w:val="9"/>
        <w:spacing w:before="11"/>
        <w:ind w:left="0"/>
        <w:jc w:val="left"/>
        <w:rPr>
          <w:rFonts w:hint="eastAsia"/>
          <w:sz w:val="30"/>
          <w:szCs w:val="30"/>
        </w:rPr>
      </w:pPr>
      <w:r>
        <w:rPr>
          <w:rFonts w:hint="eastAsia"/>
          <w:sz w:val="30"/>
          <w:szCs w:val="30"/>
        </w:rPr>
        <w:t>Its purpose is briefly to reveal the design, course, and universal impact of his kingship.</w:t>
      </w:r>
    </w:p>
    <w:p w14:paraId="0198B219">
      <w:pPr>
        <w:pStyle w:val="9"/>
        <w:spacing w:before="11"/>
        <w:ind w:left="0"/>
        <w:jc w:val="left"/>
        <w:rPr>
          <w:rFonts w:hint="eastAsia"/>
          <w:sz w:val="30"/>
          <w:szCs w:val="30"/>
        </w:rPr>
      </w:pPr>
      <w:r>
        <w:rPr>
          <w:rFonts w:hint="eastAsia"/>
          <w:sz w:val="30"/>
          <w:szCs w:val="30"/>
        </w:rPr>
        <w:t>其目的是简要地揭示祂君王职分的设计、进程和普世影响。</w:t>
      </w:r>
    </w:p>
    <w:p w14:paraId="018879AF">
      <w:pPr>
        <w:pStyle w:val="9"/>
        <w:spacing w:before="11"/>
        <w:ind w:left="0"/>
        <w:jc w:val="left"/>
        <w:rPr>
          <w:rFonts w:hint="eastAsia"/>
          <w:sz w:val="30"/>
          <w:szCs w:val="30"/>
        </w:rPr>
      </w:pPr>
    </w:p>
    <w:p w14:paraId="1361B8EC">
      <w:pPr>
        <w:pStyle w:val="9"/>
        <w:spacing w:before="11"/>
        <w:ind w:left="0"/>
        <w:jc w:val="left"/>
        <w:rPr>
          <w:rFonts w:hint="eastAsia"/>
          <w:sz w:val="30"/>
          <w:szCs w:val="30"/>
        </w:rPr>
      </w:pPr>
      <w:r>
        <w:rPr>
          <w:rFonts w:hint="eastAsia"/>
          <w:sz w:val="30"/>
          <w:szCs w:val="30"/>
        </w:rPr>
        <w:t>The NT tells us that this prophecy is fulfilled in the Person and Work of Christ, especially in his heavenly mediatorial reign.</w:t>
      </w:r>
    </w:p>
    <w:p w14:paraId="76E19335">
      <w:pPr>
        <w:pStyle w:val="9"/>
        <w:spacing w:before="11"/>
        <w:ind w:left="0"/>
        <w:jc w:val="left"/>
        <w:rPr>
          <w:rFonts w:hint="eastAsia"/>
          <w:sz w:val="30"/>
          <w:szCs w:val="30"/>
        </w:rPr>
      </w:pPr>
      <w:r>
        <w:rPr>
          <w:rFonts w:hint="eastAsia"/>
          <w:sz w:val="30"/>
          <w:szCs w:val="30"/>
        </w:rPr>
        <w:t>新约告诉我们，这个预言在基督的位格和工作中得到应验，特别是在祂属天的中保统治中。</w:t>
      </w:r>
    </w:p>
    <w:p w14:paraId="4B7F4AA9">
      <w:pPr>
        <w:pStyle w:val="9"/>
        <w:spacing w:before="11"/>
        <w:ind w:left="0"/>
        <w:jc w:val="left"/>
        <w:rPr>
          <w:rFonts w:hint="eastAsia"/>
          <w:sz w:val="30"/>
          <w:szCs w:val="30"/>
        </w:rPr>
      </w:pPr>
    </w:p>
    <w:p w14:paraId="5306E1AA">
      <w:pPr>
        <w:pStyle w:val="9"/>
        <w:spacing w:before="11"/>
        <w:ind w:left="0"/>
        <w:jc w:val="left"/>
        <w:rPr>
          <w:rFonts w:hint="eastAsia"/>
          <w:sz w:val="30"/>
          <w:szCs w:val="30"/>
        </w:rPr>
      </w:pPr>
      <w:r>
        <w:rPr>
          <w:rFonts w:hint="eastAsia"/>
          <w:sz w:val="30"/>
          <w:szCs w:val="30"/>
        </w:rPr>
        <w:t>Born to Joseph and Mary (both descendants of David), Jesus is a shoot springing up from the (seemingly dead) stump of Jesse, David’s father.</w:t>
      </w:r>
    </w:p>
    <w:p w14:paraId="00762CEC">
      <w:pPr>
        <w:pStyle w:val="9"/>
        <w:spacing w:before="11"/>
        <w:ind w:left="0"/>
        <w:jc w:val="left"/>
        <w:rPr>
          <w:rFonts w:hint="eastAsia"/>
          <w:sz w:val="30"/>
          <w:szCs w:val="30"/>
        </w:rPr>
      </w:pPr>
      <w:r>
        <w:rPr>
          <w:rFonts w:hint="eastAsia"/>
          <w:sz w:val="30"/>
          <w:szCs w:val="30"/>
        </w:rPr>
        <w:t>耶稣生于约瑟和马利亚（都是大卫的后裔），是从耶西（大卫的父亲）的（看似枯死的）树墩上发出的嫩芽。</w:t>
      </w:r>
    </w:p>
    <w:p w14:paraId="7193ED34">
      <w:pPr>
        <w:pStyle w:val="9"/>
        <w:spacing w:before="11"/>
        <w:ind w:left="0"/>
        <w:jc w:val="left"/>
        <w:rPr>
          <w:rFonts w:hint="eastAsia"/>
          <w:sz w:val="30"/>
          <w:szCs w:val="30"/>
        </w:rPr>
      </w:pPr>
    </w:p>
    <w:p w14:paraId="2132CFCB">
      <w:pPr>
        <w:pStyle w:val="9"/>
        <w:spacing w:before="11"/>
        <w:ind w:left="0"/>
        <w:jc w:val="left"/>
        <w:rPr>
          <w:rFonts w:hint="eastAsia"/>
          <w:sz w:val="30"/>
          <w:szCs w:val="30"/>
        </w:rPr>
      </w:pPr>
      <w:r>
        <w:rPr>
          <w:rFonts w:hint="eastAsia"/>
          <w:sz w:val="30"/>
          <w:szCs w:val="30"/>
        </w:rPr>
        <w:t>He is the One whom God has appointed to restore the eschatological Davidic dynasty (i.e., the Church); to spiritually revive it, rule over it, and make it into an eternally fruitful royal family (v. 1, Mark 11:10, Luke 1:32, Acts 15:12-21, 1 Peter. 2:9, Rev. 22:16).</w:t>
      </w:r>
    </w:p>
    <w:p w14:paraId="35C931A6">
      <w:pPr>
        <w:pStyle w:val="9"/>
        <w:spacing w:before="11"/>
        <w:ind w:left="0"/>
        <w:jc w:val="left"/>
        <w:rPr>
          <w:rFonts w:hint="eastAsia"/>
          <w:sz w:val="30"/>
          <w:szCs w:val="30"/>
        </w:rPr>
      </w:pPr>
      <w:r>
        <w:rPr>
          <w:rFonts w:hint="eastAsia"/>
          <w:sz w:val="30"/>
          <w:szCs w:val="30"/>
        </w:rPr>
        <w:t>祂是上帝所指派的那一位，要复兴末世的大卫王朝（即教会）；要属灵地复兴它，统治它，并使其成为一个永远多结果子的王室家族（1节, 马可福音 11:10, 路加福音 1:32, 使徒行传 15:12-21, 彼得前书 2:9, 启示录 22:16）。</w:t>
      </w:r>
    </w:p>
    <w:p w14:paraId="543F6485">
      <w:pPr>
        <w:pStyle w:val="9"/>
        <w:spacing w:before="11"/>
        <w:ind w:left="0"/>
        <w:jc w:val="left"/>
        <w:rPr>
          <w:rFonts w:hint="eastAsia"/>
          <w:sz w:val="30"/>
          <w:szCs w:val="30"/>
        </w:rPr>
      </w:pPr>
    </w:p>
    <w:p w14:paraId="564BEF7E">
      <w:pPr>
        <w:pStyle w:val="9"/>
        <w:spacing w:before="11"/>
        <w:ind w:left="0"/>
        <w:jc w:val="left"/>
        <w:rPr>
          <w:rFonts w:hint="eastAsia"/>
          <w:sz w:val="30"/>
          <w:szCs w:val="30"/>
        </w:rPr>
      </w:pPr>
      <w:r>
        <w:rPr>
          <w:rFonts w:hint="eastAsia"/>
          <w:sz w:val="30"/>
          <w:szCs w:val="30"/>
        </w:rPr>
        <w:t>In order that he might have wisdom and power to do so, the Father anoints him with the Holy Spirit (v. 2).</w:t>
      </w:r>
    </w:p>
    <w:p w14:paraId="71BA39D1">
      <w:pPr>
        <w:pStyle w:val="9"/>
        <w:spacing w:before="11"/>
        <w:ind w:left="0"/>
        <w:jc w:val="left"/>
        <w:rPr>
          <w:rFonts w:hint="eastAsia"/>
          <w:sz w:val="30"/>
          <w:szCs w:val="30"/>
        </w:rPr>
      </w:pPr>
      <w:r>
        <w:rPr>
          <w:rFonts w:hint="eastAsia"/>
          <w:sz w:val="30"/>
          <w:szCs w:val="30"/>
        </w:rPr>
        <w:t>为了使祂有智慧和能力这样做，父用圣灵膏抹祂（2节）。</w:t>
      </w:r>
    </w:p>
    <w:p w14:paraId="4C1C78E6">
      <w:pPr>
        <w:pStyle w:val="9"/>
        <w:spacing w:before="11"/>
        <w:ind w:left="0"/>
        <w:jc w:val="left"/>
        <w:rPr>
          <w:rFonts w:hint="eastAsia"/>
          <w:sz w:val="30"/>
          <w:szCs w:val="30"/>
        </w:rPr>
      </w:pPr>
    </w:p>
    <w:p w14:paraId="4B6A3132">
      <w:pPr>
        <w:pStyle w:val="9"/>
        <w:spacing w:before="11"/>
        <w:ind w:left="0"/>
        <w:jc w:val="left"/>
        <w:rPr>
          <w:rFonts w:hint="eastAsia"/>
          <w:sz w:val="30"/>
          <w:szCs w:val="30"/>
        </w:rPr>
      </w:pPr>
      <w:r>
        <w:rPr>
          <w:rFonts w:hint="eastAsia"/>
          <w:sz w:val="30"/>
          <w:szCs w:val="30"/>
        </w:rPr>
        <w:t>This first occurs at the river Jordan (Mt. 3:16, John 1:32), where Jesus is equipped for his earthly ministry; but it occurs again, in still fuller measure, at the Father’s own right hand, where he now receives all authority in heaven and earth, in order to spearhead the advance of the Gospel in the earth below (v. 2, Mt. 28:18, John 5:19-29, Acts 2:33, Rev. 5:6-7).</w:t>
      </w:r>
    </w:p>
    <w:p w14:paraId="337DC63F">
      <w:pPr>
        <w:pStyle w:val="9"/>
        <w:spacing w:before="11"/>
        <w:ind w:left="0"/>
        <w:jc w:val="left"/>
        <w:rPr>
          <w:rFonts w:hint="eastAsia"/>
          <w:sz w:val="30"/>
          <w:szCs w:val="30"/>
        </w:rPr>
      </w:pPr>
      <w:r>
        <w:rPr>
          <w:rFonts w:hint="eastAsia"/>
          <w:sz w:val="30"/>
          <w:szCs w:val="30"/>
        </w:rPr>
        <w:t>这首先发生在约旦河（马太福音 3:16, 约翰福音 1:32），在那里耶稣为祂地上的事工装备齐全；但它再次发生，且以更丰满的方式，发生在父自己的右边，在那里祂如今领受天上地下所有的权柄，以便在下界带头推进福音（2节, 马太福音 28:18, 约翰福音 5:19-29, 使徒行传 2:33, 启示录 5:6-7）。</w:t>
      </w:r>
    </w:p>
    <w:p w14:paraId="31674D88">
      <w:pPr>
        <w:pStyle w:val="9"/>
        <w:spacing w:before="11"/>
        <w:ind w:left="0"/>
        <w:jc w:val="left"/>
        <w:rPr>
          <w:rFonts w:hint="eastAsia"/>
          <w:sz w:val="30"/>
          <w:szCs w:val="30"/>
        </w:rPr>
      </w:pPr>
    </w:p>
    <w:p w14:paraId="0BC1C952">
      <w:pPr>
        <w:pStyle w:val="9"/>
        <w:spacing w:before="11"/>
        <w:ind w:left="0"/>
        <w:jc w:val="left"/>
        <w:rPr>
          <w:rFonts w:hint="eastAsia"/>
          <w:sz w:val="30"/>
          <w:szCs w:val="30"/>
        </w:rPr>
      </w:pPr>
      <w:r>
        <w:rPr>
          <w:rFonts w:hint="eastAsia"/>
          <w:sz w:val="30"/>
          <w:szCs w:val="30"/>
        </w:rPr>
        <w:t>Henceforth, with a perfect justice not displayed in Israel’s former kings, he “decides with fairness for the poor,” granting eternal life to all who, by God’s grace, recognize their own poverty of spirit, and so decide for him and the Gospel (vv. 3-4a, Mt. 5:3, Luke 18:9-14, 1 Cor. 1:26-31).</w:t>
      </w:r>
    </w:p>
    <w:p w14:paraId="7C3E4531">
      <w:pPr>
        <w:pStyle w:val="9"/>
        <w:spacing w:before="11"/>
        <w:ind w:left="0"/>
        <w:jc w:val="left"/>
        <w:rPr>
          <w:rFonts w:hint="eastAsia"/>
          <w:sz w:val="30"/>
          <w:szCs w:val="30"/>
        </w:rPr>
      </w:pPr>
      <w:r>
        <w:rPr>
          <w:rFonts w:hint="eastAsia"/>
          <w:sz w:val="30"/>
          <w:szCs w:val="30"/>
        </w:rPr>
        <w:t>从此以后，祂以一种以色列从前君王所未曾显明的完全公义，“为穷人公平地判断”，将永生赐给所有藉着上帝的恩典认识到自己灵里贫穷，并因此为祂和福音作出决定的人（3-4a节, 马太福音 5:3, 路加福音 18:9-14, 哥林多前书 1:26-31）。</w:t>
      </w:r>
    </w:p>
    <w:p w14:paraId="37E5B53F">
      <w:pPr>
        <w:pStyle w:val="9"/>
        <w:spacing w:before="11"/>
        <w:ind w:left="0"/>
        <w:jc w:val="left"/>
        <w:rPr>
          <w:rFonts w:hint="eastAsia"/>
          <w:sz w:val="30"/>
          <w:szCs w:val="30"/>
        </w:rPr>
      </w:pPr>
    </w:p>
    <w:p w14:paraId="5A6384D0">
      <w:pPr>
        <w:pStyle w:val="9"/>
        <w:spacing w:before="11"/>
        <w:ind w:left="0"/>
        <w:jc w:val="left"/>
        <w:rPr>
          <w:rFonts w:hint="eastAsia"/>
          <w:sz w:val="30"/>
          <w:szCs w:val="30"/>
        </w:rPr>
      </w:pPr>
      <w:r>
        <w:rPr>
          <w:rFonts w:hint="eastAsia"/>
          <w:sz w:val="30"/>
          <w:szCs w:val="30"/>
        </w:rPr>
        <w:t>When at last the Era of Proclamation draws to a close, he comes again in power and glory to judge the world in righteousness, gathering his resurrected and glorified Church safely to his side in the air, but striking the earth itself with the rod of his mouth, and slaying the impenitent wicked with the breath of his lips (vv. 4b-5, 1 Thess. 4:13ff, 2 Thess. 2:8, 2 Peter 3, Rev. 19:5).</w:t>
      </w:r>
    </w:p>
    <w:p w14:paraId="1C0E99DC">
      <w:pPr>
        <w:pStyle w:val="9"/>
        <w:spacing w:before="11"/>
        <w:ind w:left="0"/>
        <w:jc w:val="left"/>
        <w:rPr>
          <w:rFonts w:hint="eastAsia"/>
          <w:sz w:val="30"/>
          <w:szCs w:val="30"/>
        </w:rPr>
      </w:pPr>
      <w:r>
        <w:rPr>
          <w:rFonts w:hint="eastAsia"/>
          <w:sz w:val="30"/>
          <w:szCs w:val="30"/>
        </w:rPr>
        <w:t>当宣讲的时代最终结束时，祂再次带着能力和荣耀降临，按公义审判世界，将祂复活并得荣耀的教会安全地聚集到祂在空中的身边，但用祂口中的杖击打世界，用祂嘴里的气杀戮不悔改的恶人（4b-5节, 帖撒罗尼迦前书 4:13及后文, 帖撒罗尼迦后书 2:8, 彼得后书 3章, 启示录 19:15）。</w:t>
      </w:r>
    </w:p>
    <w:p w14:paraId="5E53D2F8">
      <w:pPr>
        <w:pStyle w:val="9"/>
        <w:spacing w:before="11"/>
        <w:ind w:left="0"/>
        <w:jc w:val="left"/>
        <w:rPr>
          <w:rFonts w:hint="eastAsia"/>
          <w:sz w:val="30"/>
          <w:szCs w:val="30"/>
        </w:rPr>
      </w:pPr>
    </w:p>
    <w:p w14:paraId="49F36447">
      <w:pPr>
        <w:pStyle w:val="9"/>
        <w:spacing w:before="11"/>
        <w:ind w:left="0"/>
        <w:jc w:val="left"/>
        <w:rPr>
          <w:rFonts w:hint="eastAsia"/>
          <w:sz w:val="30"/>
          <w:szCs w:val="30"/>
        </w:rPr>
      </w:pPr>
      <w:r>
        <w:rPr>
          <w:rFonts w:hint="eastAsia"/>
          <w:sz w:val="30"/>
          <w:szCs w:val="30"/>
        </w:rPr>
        <w:t>With this, the Days of the Messiah’s heavenly reign come to an end.</w:t>
      </w:r>
    </w:p>
    <w:p w14:paraId="1C3164AB">
      <w:pPr>
        <w:pStyle w:val="9"/>
        <w:spacing w:before="11"/>
        <w:ind w:left="0"/>
        <w:jc w:val="left"/>
        <w:rPr>
          <w:rFonts w:hint="eastAsia"/>
          <w:sz w:val="30"/>
          <w:szCs w:val="30"/>
        </w:rPr>
      </w:pPr>
      <w:r>
        <w:rPr>
          <w:rFonts w:hint="eastAsia"/>
          <w:sz w:val="30"/>
          <w:szCs w:val="30"/>
        </w:rPr>
        <w:t>至此，弥赛亚属天统治的日子结束了。</w:t>
      </w:r>
    </w:p>
    <w:p w14:paraId="3C2CB264">
      <w:pPr>
        <w:pStyle w:val="9"/>
        <w:spacing w:before="11"/>
        <w:ind w:left="0"/>
        <w:jc w:val="left"/>
        <w:rPr>
          <w:rFonts w:hint="eastAsia"/>
          <w:sz w:val="30"/>
          <w:szCs w:val="30"/>
        </w:rPr>
      </w:pPr>
    </w:p>
    <w:p w14:paraId="35468AEB">
      <w:pPr>
        <w:pStyle w:val="9"/>
        <w:spacing w:before="11"/>
        <w:ind w:left="0"/>
        <w:jc w:val="left"/>
        <w:rPr>
          <w:rFonts w:hint="eastAsia"/>
          <w:sz w:val="30"/>
          <w:szCs w:val="30"/>
        </w:rPr>
      </w:pPr>
      <w:r>
        <w:rPr>
          <w:rFonts w:hint="eastAsia"/>
          <w:sz w:val="30"/>
          <w:szCs w:val="30"/>
        </w:rPr>
        <w:t>The World to Come is about to begin.</w:t>
      </w:r>
    </w:p>
    <w:p w14:paraId="16262588">
      <w:pPr>
        <w:pStyle w:val="9"/>
        <w:spacing w:before="11"/>
        <w:ind w:left="0"/>
        <w:jc w:val="left"/>
        <w:rPr>
          <w:rFonts w:hint="eastAsia"/>
          <w:sz w:val="30"/>
          <w:szCs w:val="30"/>
        </w:rPr>
      </w:pPr>
      <w:r>
        <w:rPr>
          <w:rFonts w:hint="eastAsia"/>
          <w:sz w:val="30"/>
          <w:szCs w:val="30"/>
        </w:rPr>
        <w:t>未来的世界即将开始。</w:t>
      </w:r>
    </w:p>
    <w:p w14:paraId="373FEC79">
      <w:pPr>
        <w:pStyle w:val="9"/>
        <w:spacing w:before="11"/>
        <w:ind w:left="0"/>
        <w:jc w:val="left"/>
        <w:rPr>
          <w:rFonts w:hint="eastAsia"/>
          <w:sz w:val="30"/>
          <w:szCs w:val="30"/>
        </w:rPr>
      </w:pPr>
    </w:p>
    <w:p w14:paraId="1EC6C191">
      <w:pPr>
        <w:pStyle w:val="9"/>
        <w:spacing w:before="11"/>
        <w:ind w:left="0"/>
        <w:jc w:val="left"/>
        <w:rPr>
          <w:rFonts w:hint="eastAsia"/>
          <w:sz w:val="30"/>
          <w:szCs w:val="30"/>
        </w:rPr>
      </w:pPr>
      <w:r>
        <w:rPr>
          <w:rFonts w:hint="eastAsia"/>
          <w:sz w:val="30"/>
          <w:szCs w:val="30"/>
        </w:rPr>
        <w:t>Eternal Life on the Mountain of God (6-9)</w:t>
      </w:r>
    </w:p>
    <w:p w14:paraId="20520B08">
      <w:pPr>
        <w:pStyle w:val="9"/>
        <w:spacing w:before="11"/>
        <w:ind w:left="0"/>
        <w:jc w:val="left"/>
        <w:rPr>
          <w:rFonts w:hint="eastAsia"/>
          <w:sz w:val="30"/>
          <w:szCs w:val="30"/>
        </w:rPr>
      </w:pPr>
      <w:r>
        <w:rPr>
          <w:rFonts w:hint="eastAsia"/>
          <w:sz w:val="30"/>
          <w:szCs w:val="30"/>
        </w:rPr>
        <w:t>在上帝的山上得永生（6-9节）</w:t>
      </w:r>
    </w:p>
    <w:p w14:paraId="1AE20A70">
      <w:pPr>
        <w:pStyle w:val="9"/>
        <w:spacing w:before="11"/>
        <w:ind w:left="0"/>
        <w:jc w:val="left"/>
        <w:rPr>
          <w:rFonts w:hint="eastAsia"/>
          <w:sz w:val="30"/>
          <w:szCs w:val="30"/>
        </w:rPr>
      </w:pPr>
    </w:p>
    <w:p w14:paraId="66427940">
      <w:pPr>
        <w:pStyle w:val="9"/>
        <w:spacing w:before="11"/>
        <w:ind w:left="0"/>
        <w:jc w:val="left"/>
        <w:rPr>
          <w:rFonts w:hint="eastAsia"/>
          <w:sz w:val="30"/>
          <w:szCs w:val="30"/>
        </w:rPr>
      </w:pPr>
      <w:r>
        <w:rPr>
          <w:rFonts w:hint="eastAsia"/>
          <w:sz w:val="30"/>
          <w:szCs w:val="30"/>
        </w:rPr>
        <w:t>Not surprisingly, the World to Come is indeed the theme of 11:6-9, Isaiah’s next OTKP.</w:t>
      </w:r>
    </w:p>
    <w:p w14:paraId="491DD628">
      <w:pPr>
        <w:pStyle w:val="9"/>
        <w:spacing w:before="11"/>
        <w:ind w:left="0"/>
        <w:jc w:val="left"/>
        <w:rPr>
          <w:rFonts w:hint="eastAsia"/>
          <w:sz w:val="30"/>
          <w:szCs w:val="30"/>
        </w:rPr>
      </w:pPr>
      <w:r>
        <w:rPr>
          <w:rFonts w:hint="eastAsia"/>
          <w:sz w:val="30"/>
          <w:szCs w:val="30"/>
        </w:rPr>
        <w:t>不足为奇，将要来临的世界确实是以赛亚下一段旧约国度预言（OTKP）的主题，即11:6-9。</w:t>
      </w:r>
    </w:p>
    <w:p w14:paraId="0081BD17">
      <w:pPr>
        <w:pStyle w:val="9"/>
        <w:spacing w:before="11"/>
        <w:ind w:left="0"/>
        <w:jc w:val="left"/>
        <w:rPr>
          <w:rFonts w:hint="eastAsia"/>
          <w:sz w:val="30"/>
          <w:szCs w:val="30"/>
        </w:rPr>
      </w:pPr>
    </w:p>
    <w:p w14:paraId="3B60F6E7">
      <w:pPr>
        <w:pStyle w:val="9"/>
        <w:spacing w:before="11"/>
        <w:ind w:left="0"/>
        <w:jc w:val="left"/>
        <w:rPr>
          <w:rFonts w:hint="eastAsia"/>
          <w:sz w:val="30"/>
          <w:szCs w:val="30"/>
        </w:rPr>
      </w:pPr>
      <w:r>
        <w:rPr>
          <w:rFonts w:hint="eastAsia"/>
          <w:sz w:val="30"/>
          <w:szCs w:val="30"/>
        </w:rPr>
        <w:t>Here we have, not a photograph, but a covenantally conditioned picture of life in the new heavens and the new earth.</w:t>
      </w:r>
    </w:p>
    <w:p w14:paraId="71CC162B">
      <w:pPr>
        <w:pStyle w:val="9"/>
        <w:spacing w:before="11"/>
        <w:ind w:left="0"/>
        <w:jc w:val="left"/>
        <w:rPr>
          <w:rFonts w:hint="eastAsia"/>
          <w:sz w:val="30"/>
          <w:szCs w:val="30"/>
        </w:rPr>
      </w:pPr>
      <w:r>
        <w:rPr>
          <w:rFonts w:hint="eastAsia"/>
          <w:sz w:val="30"/>
          <w:szCs w:val="30"/>
        </w:rPr>
        <w:t>在这里，我们有的不是一张照片，而是一幅受圣约制约的、关于在新天新地中生活的图景。</w:t>
      </w:r>
    </w:p>
    <w:p w14:paraId="0B03D757">
      <w:pPr>
        <w:pStyle w:val="9"/>
        <w:spacing w:before="11"/>
        <w:ind w:left="0"/>
        <w:jc w:val="left"/>
        <w:rPr>
          <w:rFonts w:hint="eastAsia"/>
          <w:sz w:val="30"/>
          <w:szCs w:val="30"/>
        </w:rPr>
      </w:pPr>
    </w:p>
    <w:p w14:paraId="0FB67C20">
      <w:pPr>
        <w:pStyle w:val="9"/>
        <w:spacing w:before="11"/>
        <w:ind w:left="0"/>
        <w:jc w:val="left"/>
        <w:rPr>
          <w:rFonts w:hint="eastAsia"/>
          <w:sz w:val="30"/>
          <w:szCs w:val="30"/>
        </w:rPr>
      </w:pPr>
      <w:r>
        <w:rPr>
          <w:rFonts w:hint="eastAsia"/>
          <w:sz w:val="30"/>
          <w:szCs w:val="30"/>
        </w:rPr>
        <w:t>Recalling both the original peace of Eden, and also God’s promise in the Law that he would protect his obedient people from the wild animals of Canaan (Lev. 26:21-22), the prophet uses OT language and imagery to give us a glimpse and foretaste of the perfect harmony of the Church (here represented as the children of God) and nature in the glorious World to Come (vv. 6-8).</w:t>
      </w:r>
    </w:p>
    <w:p w14:paraId="2980BF48">
      <w:pPr>
        <w:pStyle w:val="9"/>
        <w:spacing w:before="11"/>
        <w:ind w:left="0"/>
        <w:jc w:val="left"/>
        <w:rPr>
          <w:rFonts w:hint="eastAsia"/>
          <w:sz w:val="30"/>
          <w:szCs w:val="30"/>
        </w:rPr>
      </w:pPr>
      <w:r>
        <w:rPr>
          <w:rFonts w:hint="eastAsia"/>
          <w:sz w:val="30"/>
          <w:szCs w:val="30"/>
        </w:rPr>
        <w:t>先知回忆起伊甸园最初的和平，以及上帝在律法中应许祂会保护祂顺服的子民脱离迦南的野兽（利未记 26:21-22），他使用旧约的语言和意象，让我们一瞥并预尝在荣耀的未来世界中教会（这里代表上帝的儿女）与自然的完美和谐（6-8节）。</w:t>
      </w:r>
    </w:p>
    <w:p w14:paraId="4ADF7071">
      <w:pPr>
        <w:pStyle w:val="9"/>
        <w:spacing w:before="11"/>
        <w:ind w:left="0"/>
        <w:jc w:val="left"/>
        <w:rPr>
          <w:rFonts w:hint="eastAsia"/>
          <w:sz w:val="30"/>
          <w:szCs w:val="30"/>
        </w:rPr>
      </w:pPr>
    </w:p>
    <w:p w14:paraId="6C4401A3">
      <w:pPr>
        <w:pStyle w:val="9"/>
        <w:spacing w:before="11"/>
        <w:ind w:left="0"/>
        <w:jc w:val="left"/>
        <w:rPr>
          <w:rFonts w:hint="eastAsia"/>
          <w:sz w:val="30"/>
          <w:szCs w:val="30"/>
        </w:rPr>
      </w:pPr>
      <w:r>
        <w:rPr>
          <w:rFonts w:hint="eastAsia"/>
          <w:sz w:val="30"/>
          <w:szCs w:val="30"/>
        </w:rPr>
        <w:t>Will such a world actually include animals, animals from which Christ, at the resurrection of the dead, has lifted every burden of the curse?</w:t>
      </w:r>
    </w:p>
    <w:p w14:paraId="1FFB9861">
      <w:pPr>
        <w:pStyle w:val="9"/>
        <w:spacing w:before="11"/>
        <w:ind w:left="0"/>
        <w:jc w:val="left"/>
        <w:rPr>
          <w:rFonts w:hint="eastAsia"/>
          <w:sz w:val="30"/>
          <w:szCs w:val="30"/>
        </w:rPr>
      </w:pPr>
      <w:r>
        <w:rPr>
          <w:rFonts w:hint="eastAsia"/>
          <w:sz w:val="30"/>
          <w:szCs w:val="30"/>
        </w:rPr>
        <w:t>这样一个世界是否真的会包含动物，这些动物在死人复活时，基督已从它们身上解除了咒诅的每一个重担？</w:t>
      </w:r>
    </w:p>
    <w:p w14:paraId="045D5AD6">
      <w:pPr>
        <w:pStyle w:val="9"/>
        <w:spacing w:before="11"/>
        <w:ind w:left="0"/>
        <w:jc w:val="left"/>
        <w:rPr>
          <w:rFonts w:hint="eastAsia"/>
          <w:sz w:val="30"/>
          <w:szCs w:val="30"/>
        </w:rPr>
      </w:pPr>
    </w:p>
    <w:p w14:paraId="63896042">
      <w:pPr>
        <w:pStyle w:val="9"/>
        <w:spacing w:before="11"/>
        <w:ind w:left="0"/>
        <w:jc w:val="left"/>
        <w:rPr>
          <w:rFonts w:hint="eastAsia"/>
          <w:sz w:val="30"/>
          <w:szCs w:val="30"/>
        </w:rPr>
      </w:pPr>
      <w:r>
        <w:rPr>
          <w:rFonts w:hint="eastAsia"/>
          <w:sz w:val="30"/>
          <w:szCs w:val="30"/>
        </w:rPr>
        <w:t>Romans 8:18- 25 certainly seems to suggest it.</w:t>
      </w:r>
    </w:p>
    <w:p w14:paraId="5564A2DC">
      <w:pPr>
        <w:pStyle w:val="9"/>
        <w:spacing w:before="11"/>
        <w:ind w:left="0"/>
        <w:jc w:val="left"/>
        <w:rPr>
          <w:rFonts w:hint="eastAsia"/>
          <w:sz w:val="30"/>
          <w:szCs w:val="30"/>
        </w:rPr>
      </w:pPr>
      <w:r>
        <w:rPr>
          <w:rFonts w:hint="eastAsia"/>
          <w:sz w:val="30"/>
          <w:szCs w:val="30"/>
        </w:rPr>
        <w:t>罗马书 8:18-25 似乎确实暗示了这一点。</w:t>
      </w:r>
    </w:p>
    <w:p w14:paraId="3E1DD7C2">
      <w:pPr>
        <w:pStyle w:val="9"/>
        <w:spacing w:before="11"/>
        <w:ind w:left="0"/>
        <w:jc w:val="left"/>
        <w:rPr>
          <w:rFonts w:hint="eastAsia"/>
          <w:sz w:val="30"/>
          <w:szCs w:val="30"/>
        </w:rPr>
      </w:pPr>
    </w:p>
    <w:p w14:paraId="42553B95">
      <w:pPr>
        <w:pStyle w:val="9"/>
        <w:spacing w:before="11"/>
        <w:ind w:left="0"/>
        <w:jc w:val="left"/>
        <w:rPr>
          <w:rFonts w:hint="eastAsia"/>
          <w:sz w:val="30"/>
          <w:szCs w:val="30"/>
        </w:rPr>
      </w:pPr>
      <w:r>
        <w:rPr>
          <w:rFonts w:hint="eastAsia"/>
          <w:sz w:val="30"/>
          <w:szCs w:val="30"/>
        </w:rPr>
        <w:t>That this is the correct interpretation of vv. 6-8 is clear from v. 9, a capstone for the entire prophecy.</w:t>
      </w:r>
    </w:p>
    <w:p w14:paraId="74BCF14B">
      <w:pPr>
        <w:pStyle w:val="9"/>
        <w:spacing w:before="11"/>
        <w:ind w:left="0"/>
        <w:jc w:val="left"/>
        <w:rPr>
          <w:rFonts w:hint="eastAsia"/>
          <w:sz w:val="30"/>
          <w:szCs w:val="30"/>
        </w:rPr>
      </w:pPr>
      <w:r>
        <w:rPr>
          <w:rFonts w:hint="eastAsia"/>
          <w:sz w:val="30"/>
          <w:szCs w:val="30"/>
        </w:rPr>
        <w:t>从第9节可以清楚地看出，这是对6-8节的正确解释，它是整个预言的顶点。</w:t>
      </w:r>
    </w:p>
    <w:p w14:paraId="3B7F85DF">
      <w:pPr>
        <w:pStyle w:val="9"/>
        <w:spacing w:before="11"/>
        <w:ind w:left="0"/>
        <w:jc w:val="left"/>
        <w:rPr>
          <w:rFonts w:hint="eastAsia"/>
          <w:sz w:val="30"/>
          <w:szCs w:val="30"/>
        </w:rPr>
      </w:pPr>
    </w:p>
    <w:p w14:paraId="6BCF7F71">
      <w:pPr>
        <w:pStyle w:val="9"/>
        <w:spacing w:before="11"/>
        <w:ind w:left="0"/>
        <w:jc w:val="left"/>
        <w:rPr>
          <w:rFonts w:hint="eastAsia"/>
          <w:sz w:val="30"/>
          <w:szCs w:val="30"/>
        </w:rPr>
      </w:pPr>
      <w:r>
        <w:rPr>
          <w:rFonts w:hint="eastAsia"/>
          <w:sz w:val="30"/>
          <w:szCs w:val="30"/>
        </w:rPr>
        <w:t>It too describes the World to Come, only under different imagery.</w:t>
      </w:r>
    </w:p>
    <w:p w14:paraId="40B386F4">
      <w:pPr>
        <w:pStyle w:val="9"/>
        <w:spacing w:before="11"/>
        <w:ind w:left="0"/>
        <w:jc w:val="left"/>
        <w:rPr>
          <w:rFonts w:hint="eastAsia"/>
          <w:sz w:val="30"/>
          <w:szCs w:val="30"/>
        </w:rPr>
      </w:pPr>
      <w:r>
        <w:rPr>
          <w:rFonts w:hint="eastAsia"/>
          <w:sz w:val="30"/>
          <w:szCs w:val="30"/>
        </w:rPr>
        <w:t>它也描绘了将要来临的世界，只是用了不同的意象。</w:t>
      </w:r>
    </w:p>
    <w:p w14:paraId="622E6842">
      <w:pPr>
        <w:pStyle w:val="9"/>
        <w:spacing w:before="11"/>
        <w:ind w:left="0"/>
        <w:jc w:val="left"/>
        <w:rPr>
          <w:rFonts w:hint="eastAsia"/>
          <w:sz w:val="30"/>
          <w:szCs w:val="30"/>
        </w:rPr>
      </w:pPr>
    </w:p>
    <w:p w14:paraId="08B031EF">
      <w:pPr>
        <w:pStyle w:val="9"/>
        <w:spacing w:before="11"/>
        <w:ind w:left="0"/>
        <w:jc w:val="left"/>
        <w:rPr>
          <w:rFonts w:hint="eastAsia"/>
          <w:sz w:val="30"/>
          <w:szCs w:val="30"/>
        </w:rPr>
      </w:pPr>
      <w:r>
        <w:rPr>
          <w:rFonts w:hint="eastAsia"/>
          <w:sz w:val="30"/>
          <w:szCs w:val="30"/>
        </w:rPr>
        <w:t>Now that World has become God’s Holy Mountain, for it is the place of his eternal rest, just as Zion, in OT times, was the place of his temporary rest (Psalm 132:13-14).</w:t>
      </w:r>
    </w:p>
    <w:p w14:paraId="31741EC0">
      <w:pPr>
        <w:pStyle w:val="9"/>
        <w:spacing w:before="11"/>
        <w:ind w:left="0"/>
        <w:jc w:val="left"/>
        <w:rPr>
          <w:rFonts w:hint="eastAsia"/>
          <w:sz w:val="30"/>
          <w:szCs w:val="30"/>
        </w:rPr>
      </w:pPr>
      <w:r>
        <w:rPr>
          <w:rFonts w:hint="eastAsia"/>
          <w:sz w:val="30"/>
          <w:szCs w:val="30"/>
        </w:rPr>
        <w:t>现在那个世界已成为上帝的圣山，因为那是祂永恒的安息之所，正如在旧约时代，锡安是祂暂时的安息之所（诗篇 132:13-14）。</w:t>
      </w:r>
    </w:p>
    <w:p w14:paraId="14A18642">
      <w:pPr>
        <w:pStyle w:val="9"/>
        <w:spacing w:before="11"/>
        <w:ind w:left="0"/>
        <w:jc w:val="left"/>
        <w:rPr>
          <w:rFonts w:hint="eastAsia"/>
          <w:sz w:val="30"/>
          <w:szCs w:val="30"/>
        </w:rPr>
      </w:pPr>
    </w:p>
    <w:p w14:paraId="2C5BB63B">
      <w:pPr>
        <w:pStyle w:val="9"/>
        <w:spacing w:before="11"/>
        <w:ind w:left="0"/>
        <w:jc w:val="left"/>
        <w:rPr>
          <w:rFonts w:hint="eastAsia"/>
          <w:sz w:val="30"/>
          <w:szCs w:val="30"/>
        </w:rPr>
      </w:pPr>
      <w:r>
        <w:rPr>
          <w:rFonts w:hint="eastAsia"/>
          <w:sz w:val="30"/>
          <w:szCs w:val="30"/>
        </w:rPr>
        <w:t>Note carefully that in those days the earth will be fully filled with the knowledge of the LORD, even as the waters fully cover the sea.</w:t>
      </w:r>
    </w:p>
    <w:p w14:paraId="65B0900F">
      <w:pPr>
        <w:pStyle w:val="9"/>
        <w:spacing w:before="11"/>
        <w:ind w:left="0"/>
        <w:jc w:val="left"/>
        <w:rPr>
          <w:rFonts w:hint="eastAsia"/>
          <w:sz w:val="30"/>
          <w:szCs w:val="30"/>
        </w:rPr>
      </w:pPr>
      <w:r>
        <w:rPr>
          <w:rFonts w:hint="eastAsia"/>
          <w:sz w:val="30"/>
          <w:szCs w:val="30"/>
        </w:rPr>
        <w:t>请仔细注意，在那些日子，认识耶和华的知识要充满遍地，好像水充满洋海一般。</w:t>
      </w:r>
    </w:p>
    <w:p w14:paraId="4D46B71E">
      <w:pPr>
        <w:pStyle w:val="9"/>
        <w:spacing w:before="11"/>
        <w:ind w:left="0"/>
        <w:jc w:val="left"/>
        <w:rPr>
          <w:rFonts w:hint="eastAsia"/>
          <w:sz w:val="30"/>
          <w:szCs w:val="30"/>
        </w:rPr>
      </w:pPr>
    </w:p>
    <w:p w14:paraId="3DAC87BD">
      <w:pPr>
        <w:pStyle w:val="9"/>
        <w:spacing w:before="11"/>
        <w:ind w:left="0"/>
        <w:jc w:val="left"/>
        <w:rPr>
          <w:rFonts w:hint="eastAsia"/>
          <w:sz w:val="30"/>
          <w:szCs w:val="30"/>
        </w:rPr>
      </w:pPr>
      <w:r>
        <w:rPr>
          <w:rFonts w:hint="eastAsia"/>
          <w:sz w:val="30"/>
          <w:szCs w:val="30"/>
        </w:rPr>
        <w:t>This is no millennium, where good and evil, life and death, and saints and sinners mingle together.</w:t>
      </w:r>
    </w:p>
    <w:p w14:paraId="7C8F5AB1">
      <w:pPr>
        <w:pStyle w:val="9"/>
        <w:spacing w:before="11"/>
        <w:ind w:left="0"/>
        <w:jc w:val="left"/>
        <w:rPr>
          <w:rFonts w:hint="eastAsia"/>
          <w:sz w:val="30"/>
          <w:szCs w:val="30"/>
        </w:rPr>
      </w:pPr>
      <w:r>
        <w:rPr>
          <w:rFonts w:hint="eastAsia"/>
          <w:sz w:val="30"/>
          <w:szCs w:val="30"/>
        </w:rPr>
        <w:t>这不是一个千禧年，在那里善与恶、生与死、圣徒与罪人混杂在一起。</w:t>
      </w:r>
    </w:p>
    <w:p w14:paraId="2DC88108">
      <w:pPr>
        <w:pStyle w:val="9"/>
        <w:spacing w:before="11"/>
        <w:ind w:left="0"/>
        <w:jc w:val="left"/>
        <w:rPr>
          <w:rFonts w:hint="eastAsia"/>
          <w:sz w:val="30"/>
          <w:szCs w:val="30"/>
        </w:rPr>
      </w:pPr>
    </w:p>
    <w:p w14:paraId="3B146A3E">
      <w:pPr>
        <w:pStyle w:val="9"/>
        <w:spacing w:before="11"/>
        <w:ind w:left="0"/>
        <w:jc w:val="left"/>
        <w:rPr>
          <w:rFonts w:hint="eastAsia"/>
          <w:sz w:val="30"/>
          <w:szCs w:val="30"/>
        </w:rPr>
      </w:pPr>
      <w:r>
        <w:rPr>
          <w:rFonts w:hint="eastAsia"/>
          <w:sz w:val="30"/>
          <w:szCs w:val="30"/>
        </w:rPr>
        <w:t>No, this is the new heavens and the new earth, whose true nature is here glimpsed dimly, as in a mirror, but in the NT, “face to face” (1 Cor. 13:12, 2 Cor. 3:12-18, Rev. 21-22).</w:t>
      </w:r>
    </w:p>
    <w:p w14:paraId="18E4ACC4">
      <w:pPr>
        <w:pStyle w:val="9"/>
        <w:spacing w:before="11"/>
        <w:ind w:left="0"/>
        <w:jc w:val="left"/>
        <w:rPr>
          <w:rFonts w:hint="eastAsia"/>
          <w:sz w:val="30"/>
          <w:szCs w:val="30"/>
        </w:rPr>
      </w:pPr>
      <w:r>
        <w:rPr>
          <w:rFonts w:hint="eastAsia"/>
          <w:sz w:val="30"/>
          <w:szCs w:val="30"/>
        </w:rPr>
        <w:t>不，这是新天新地，其真实性质在这里被模糊地瞥见，如同镜中，但在新约中，则是“面对面”（哥林多前书 13:12, 哥林多后书 3:12-18, 启示录 21-22章）。</w:t>
      </w:r>
    </w:p>
    <w:p w14:paraId="04507675">
      <w:pPr>
        <w:pStyle w:val="9"/>
        <w:spacing w:before="11"/>
        <w:ind w:left="0"/>
        <w:jc w:val="left"/>
        <w:rPr>
          <w:rFonts w:hint="eastAsia"/>
          <w:sz w:val="30"/>
          <w:szCs w:val="30"/>
        </w:rPr>
      </w:pPr>
    </w:p>
    <w:p w14:paraId="1392E859">
      <w:pPr>
        <w:pStyle w:val="9"/>
        <w:spacing w:before="11"/>
        <w:ind w:left="0"/>
        <w:jc w:val="left"/>
        <w:rPr>
          <w:rFonts w:hint="eastAsia"/>
          <w:sz w:val="30"/>
          <w:szCs w:val="30"/>
        </w:rPr>
      </w:pPr>
      <w:r>
        <w:rPr>
          <w:rFonts w:hint="eastAsia"/>
          <w:sz w:val="30"/>
          <w:szCs w:val="30"/>
        </w:rPr>
        <w:t>An Ensign for the Nations (10)</w:t>
      </w:r>
    </w:p>
    <w:p w14:paraId="3AA661C2">
      <w:pPr>
        <w:pStyle w:val="9"/>
        <w:spacing w:before="11"/>
        <w:ind w:left="0"/>
        <w:jc w:val="left"/>
        <w:rPr>
          <w:rFonts w:hint="eastAsia"/>
          <w:sz w:val="30"/>
          <w:szCs w:val="30"/>
        </w:rPr>
      </w:pPr>
      <w:r>
        <w:rPr>
          <w:rFonts w:hint="eastAsia"/>
          <w:sz w:val="30"/>
          <w:szCs w:val="30"/>
        </w:rPr>
        <w:t>万国的旌旗（10节）</w:t>
      </w:r>
    </w:p>
    <w:p w14:paraId="735309CF">
      <w:pPr>
        <w:pStyle w:val="9"/>
        <w:spacing w:before="11"/>
        <w:ind w:left="0"/>
        <w:jc w:val="left"/>
        <w:rPr>
          <w:rFonts w:hint="eastAsia"/>
          <w:sz w:val="30"/>
          <w:szCs w:val="30"/>
        </w:rPr>
      </w:pPr>
    </w:p>
    <w:p w14:paraId="7418F181">
      <w:pPr>
        <w:pStyle w:val="9"/>
        <w:spacing w:before="11"/>
        <w:ind w:left="0"/>
        <w:jc w:val="left"/>
        <w:rPr>
          <w:rFonts w:hint="eastAsia"/>
          <w:sz w:val="30"/>
          <w:szCs w:val="30"/>
        </w:rPr>
      </w:pPr>
      <w:r>
        <w:rPr>
          <w:rFonts w:hint="eastAsia"/>
          <w:sz w:val="30"/>
          <w:szCs w:val="30"/>
        </w:rPr>
        <w:t>In verse 10 we have Isaiah’s third OTKP.</w:t>
      </w:r>
    </w:p>
    <w:p w14:paraId="330AC9FD">
      <w:pPr>
        <w:pStyle w:val="9"/>
        <w:spacing w:before="11"/>
        <w:ind w:left="0"/>
        <w:jc w:val="left"/>
        <w:rPr>
          <w:rFonts w:hint="eastAsia"/>
          <w:sz w:val="30"/>
          <w:szCs w:val="30"/>
        </w:rPr>
      </w:pPr>
      <w:r>
        <w:rPr>
          <w:rFonts w:hint="eastAsia"/>
          <w:sz w:val="30"/>
          <w:szCs w:val="30"/>
        </w:rPr>
        <w:t>在第10节，我们有以赛亚的第三个旧约国度预言（OTKP）。</w:t>
      </w:r>
    </w:p>
    <w:p w14:paraId="776AD0A8">
      <w:pPr>
        <w:pStyle w:val="9"/>
        <w:spacing w:before="11"/>
        <w:ind w:left="0"/>
        <w:jc w:val="left"/>
        <w:rPr>
          <w:rFonts w:hint="eastAsia"/>
          <w:sz w:val="30"/>
          <w:szCs w:val="30"/>
        </w:rPr>
      </w:pPr>
    </w:p>
    <w:p w14:paraId="3DB76A98">
      <w:pPr>
        <w:pStyle w:val="9"/>
        <w:spacing w:before="11"/>
        <w:ind w:left="0"/>
        <w:jc w:val="left"/>
        <w:rPr>
          <w:rFonts w:hint="eastAsia"/>
          <w:sz w:val="30"/>
          <w:szCs w:val="30"/>
        </w:rPr>
      </w:pPr>
      <w:r>
        <w:rPr>
          <w:rFonts w:hint="eastAsia"/>
          <w:sz w:val="30"/>
          <w:szCs w:val="30"/>
        </w:rPr>
        <w:t>This one is fulfilled in both stages of the Kingdom, though its close association with 11:11-16 suggests that the accent falls primarily on the Kingdom of the Son.</w:t>
      </w:r>
    </w:p>
    <w:p w14:paraId="490492BC">
      <w:pPr>
        <w:pStyle w:val="9"/>
        <w:spacing w:before="11"/>
        <w:ind w:left="0"/>
        <w:jc w:val="left"/>
        <w:rPr>
          <w:rFonts w:hint="eastAsia"/>
          <w:sz w:val="30"/>
          <w:szCs w:val="30"/>
        </w:rPr>
      </w:pPr>
      <w:r>
        <w:rPr>
          <w:rFonts w:hint="eastAsia"/>
          <w:sz w:val="30"/>
          <w:szCs w:val="30"/>
        </w:rPr>
        <w:t>这一个在国度的两个阶段都得到应验，尽管它与 11:11-16 的密切关联表明，重点主要落在圣子的国度上。</w:t>
      </w:r>
    </w:p>
    <w:p w14:paraId="0A5ADBB5">
      <w:pPr>
        <w:pStyle w:val="9"/>
        <w:spacing w:before="11"/>
        <w:ind w:left="0"/>
        <w:jc w:val="left"/>
        <w:rPr>
          <w:rFonts w:hint="eastAsia"/>
          <w:sz w:val="30"/>
          <w:szCs w:val="30"/>
        </w:rPr>
      </w:pPr>
    </w:p>
    <w:p w14:paraId="4D8BE17D">
      <w:pPr>
        <w:pStyle w:val="9"/>
        <w:spacing w:before="11"/>
        <w:ind w:left="0"/>
        <w:jc w:val="left"/>
        <w:rPr>
          <w:rFonts w:hint="eastAsia"/>
          <w:sz w:val="30"/>
          <w:szCs w:val="30"/>
        </w:rPr>
      </w:pPr>
      <w:r>
        <w:rPr>
          <w:rFonts w:hint="eastAsia"/>
          <w:sz w:val="30"/>
          <w:szCs w:val="30"/>
        </w:rPr>
        <w:t>In the days of his heavenly reign, the nations will resort to the (divine) root of Jesse.</w:t>
      </w:r>
    </w:p>
    <w:p w14:paraId="0968502E">
      <w:pPr>
        <w:pStyle w:val="9"/>
        <w:spacing w:before="11"/>
        <w:ind w:left="0"/>
        <w:jc w:val="left"/>
        <w:rPr>
          <w:rFonts w:hint="eastAsia"/>
          <w:sz w:val="30"/>
          <w:szCs w:val="30"/>
        </w:rPr>
      </w:pPr>
      <w:r>
        <w:rPr>
          <w:rFonts w:hint="eastAsia"/>
          <w:sz w:val="30"/>
          <w:szCs w:val="30"/>
        </w:rPr>
        <w:t>在祂属天统治的日子里，列国必寻求耶西的（神圣）根。</w:t>
      </w:r>
    </w:p>
    <w:p w14:paraId="3150AA72">
      <w:pPr>
        <w:pStyle w:val="9"/>
        <w:spacing w:before="11"/>
        <w:ind w:left="0"/>
        <w:jc w:val="left"/>
        <w:rPr>
          <w:rFonts w:hint="eastAsia"/>
          <w:sz w:val="30"/>
          <w:szCs w:val="30"/>
        </w:rPr>
      </w:pPr>
    </w:p>
    <w:p w14:paraId="0DF627E1">
      <w:pPr>
        <w:pStyle w:val="9"/>
        <w:spacing w:before="11"/>
        <w:ind w:left="0"/>
        <w:jc w:val="left"/>
        <w:rPr>
          <w:rFonts w:hint="eastAsia"/>
          <w:sz w:val="30"/>
          <w:szCs w:val="30"/>
        </w:rPr>
      </w:pPr>
      <w:r>
        <w:rPr>
          <w:rFonts w:hint="eastAsia"/>
          <w:sz w:val="30"/>
          <w:szCs w:val="30"/>
        </w:rPr>
        <w:t>How?</w:t>
      </w:r>
    </w:p>
    <w:p w14:paraId="0E7D4EB5">
      <w:pPr>
        <w:pStyle w:val="9"/>
        <w:spacing w:before="11"/>
        <w:ind w:left="0"/>
        <w:jc w:val="left"/>
        <w:rPr>
          <w:rFonts w:hint="eastAsia"/>
          <w:sz w:val="30"/>
          <w:szCs w:val="30"/>
        </w:rPr>
      </w:pPr>
      <w:r>
        <w:rPr>
          <w:rFonts w:hint="eastAsia"/>
          <w:sz w:val="30"/>
          <w:szCs w:val="30"/>
        </w:rPr>
        <w:t>如何？</w:t>
      </w:r>
    </w:p>
    <w:p w14:paraId="36A1F608">
      <w:pPr>
        <w:pStyle w:val="9"/>
        <w:spacing w:before="11"/>
        <w:ind w:left="0"/>
        <w:jc w:val="left"/>
        <w:rPr>
          <w:rFonts w:hint="eastAsia"/>
          <w:sz w:val="30"/>
          <w:szCs w:val="30"/>
        </w:rPr>
      </w:pPr>
    </w:p>
    <w:p w14:paraId="40EDE85D">
      <w:pPr>
        <w:pStyle w:val="9"/>
        <w:spacing w:before="11"/>
        <w:ind w:left="0"/>
        <w:jc w:val="left"/>
        <w:rPr>
          <w:rFonts w:hint="eastAsia"/>
          <w:sz w:val="30"/>
          <w:szCs w:val="30"/>
        </w:rPr>
      </w:pPr>
      <w:r>
        <w:rPr>
          <w:rFonts w:hint="eastAsia"/>
          <w:sz w:val="30"/>
          <w:szCs w:val="30"/>
        </w:rPr>
        <w:t>The NT answer is clear: The Church, through her preaching of the Gospel, will lift up Christ, just like an army lifts up its ensign (John 12:32).</w:t>
      </w:r>
    </w:p>
    <w:p w14:paraId="7F03AFEF">
      <w:pPr>
        <w:pStyle w:val="9"/>
        <w:spacing w:before="11"/>
        <w:ind w:left="0"/>
        <w:jc w:val="left"/>
        <w:rPr>
          <w:rFonts w:hint="eastAsia"/>
          <w:sz w:val="30"/>
          <w:szCs w:val="30"/>
        </w:rPr>
      </w:pPr>
      <w:r>
        <w:rPr>
          <w:rFonts w:hint="eastAsia"/>
          <w:sz w:val="30"/>
          <w:szCs w:val="30"/>
        </w:rPr>
        <w:t>新约的答案很清楚：教会，通过她对福音的传讲，将高举基督，就像军队高举他们的军旗一样（约翰福音 12:32）。</w:t>
      </w:r>
    </w:p>
    <w:p w14:paraId="1386B86F">
      <w:pPr>
        <w:pStyle w:val="9"/>
        <w:spacing w:before="11"/>
        <w:ind w:left="0"/>
        <w:jc w:val="left"/>
        <w:rPr>
          <w:rFonts w:hint="eastAsia"/>
          <w:sz w:val="30"/>
          <w:szCs w:val="30"/>
        </w:rPr>
      </w:pPr>
    </w:p>
    <w:p w14:paraId="7DE7BE6D">
      <w:pPr>
        <w:pStyle w:val="9"/>
        <w:spacing w:before="11"/>
        <w:ind w:left="0"/>
        <w:jc w:val="left"/>
        <w:rPr>
          <w:rFonts w:hint="eastAsia"/>
          <w:sz w:val="30"/>
          <w:szCs w:val="30"/>
        </w:rPr>
      </w:pPr>
      <w:r>
        <w:rPr>
          <w:rFonts w:hint="eastAsia"/>
          <w:sz w:val="30"/>
          <w:szCs w:val="30"/>
        </w:rPr>
        <w:t>The result will be that “nations” of believers from every tribe, tongue, and people will flow to him for salvation (Rev. 7:9).</w:t>
      </w:r>
    </w:p>
    <w:p w14:paraId="1C3A7F2C">
      <w:pPr>
        <w:pStyle w:val="9"/>
        <w:spacing w:before="11"/>
        <w:ind w:left="0"/>
        <w:jc w:val="left"/>
        <w:rPr>
          <w:rFonts w:hint="eastAsia"/>
          <w:sz w:val="30"/>
          <w:szCs w:val="30"/>
        </w:rPr>
      </w:pPr>
      <w:r>
        <w:rPr>
          <w:rFonts w:hint="eastAsia"/>
          <w:sz w:val="30"/>
          <w:szCs w:val="30"/>
        </w:rPr>
        <w:t>结果将是，来自各族、各方、各民的“列国”信徒将涌向祂，以得救恩（启示录 7:9）。</w:t>
      </w:r>
    </w:p>
    <w:p w14:paraId="65BEF336">
      <w:pPr>
        <w:pStyle w:val="9"/>
        <w:spacing w:before="11"/>
        <w:ind w:left="0"/>
        <w:jc w:val="left"/>
        <w:rPr>
          <w:rFonts w:hint="eastAsia"/>
          <w:sz w:val="30"/>
          <w:szCs w:val="30"/>
        </w:rPr>
      </w:pPr>
    </w:p>
    <w:p w14:paraId="5FE2E1DB">
      <w:pPr>
        <w:pStyle w:val="9"/>
        <w:spacing w:before="11"/>
        <w:ind w:left="0"/>
        <w:jc w:val="left"/>
        <w:rPr>
          <w:rFonts w:hint="eastAsia"/>
          <w:sz w:val="30"/>
          <w:szCs w:val="30"/>
        </w:rPr>
      </w:pPr>
      <w:r>
        <w:rPr>
          <w:rFonts w:hint="eastAsia"/>
          <w:sz w:val="30"/>
          <w:szCs w:val="30"/>
        </w:rPr>
        <w:t>In those days, says Isaiah, Christ’s resting place will be glory.</w:t>
      </w:r>
    </w:p>
    <w:p w14:paraId="6999ECDC">
      <w:pPr>
        <w:pStyle w:val="9"/>
        <w:spacing w:before="11"/>
        <w:ind w:left="0"/>
        <w:jc w:val="left"/>
        <w:rPr>
          <w:rFonts w:hint="eastAsia"/>
          <w:sz w:val="30"/>
          <w:szCs w:val="30"/>
        </w:rPr>
      </w:pPr>
      <w:r>
        <w:rPr>
          <w:rFonts w:hint="eastAsia"/>
          <w:sz w:val="30"/>
          <w:szCs w:val="30"/>
        </w:rPr>
        <w:t>以赛亚说，在那些日子里，基督的安息之所将是荣耀。</w:t>
      </w:r>
    </w:p>
    <w:p w14:paraId="01CCA51D">
      <w:pPr>
        <w:pStyle w:val="9"/>
        <w:spacing w:before="11"/>
        <w:ind w:left="0"/>
        <w:jc w:val="left"/>
        <w:rPr>
          <w:rFonts w:hint="eastAsia"/>
          <w:sz w:val="30"/>
          <w:szCs w:val="30"/>
        </w:rPr>
      </w:pPr>
    </w:p>
    <w:p w14:paraId="70658386">
      <w:pPr>
        <w:pStyle w:val="9"/>
        <w:spacing w:before="11"/>
        <w:ind w:left="0"/>
        <w:jc w:val="left"/>
        <w:rPr>
          <w:rFonts w:hint="eastAsia"/>
          <w:sz w:val="30"/>
          <w:szCs w:val="30"/>
        </w:rPr>
      </w:pPr>
      <w:r>
        <w:rPr>
          <w:rFonts w:hint="eastAsia"/>
          <w:sz w:val="30"/>
          <w:szCs w:val="30"/>
        </w:rPr>
        <w:t>This could mean that his place of rest is heaven, where believers who trust in his finished work are also resting with him by faith (Eph. 1:20, 2:6, Heb. 4:3).</w:t>
      </w:r>
    </w:p>
    <w:p w14:paraId="4AD7D127">
      <w:pPr>
        <w:pStyle w:val="9"/>
        <w:spacing w:before="11"/>
        <w:ind w:left="0"/>
        <w:jc w:val="left"/>
        <w:rPr>
          <w:rFonts w:hint="eastAsia"/>
          <w:sz w:val="30"/>
          <w:szCs w:val="30"/>
        </w:rPr>
      </w:pPr>
      <w:r>
        <w:rPr>
          <w:rFonts w:hint="eastAsia"/>
          <w:sz w:val="30"/>
          <w:szCs w:val="30"/>
        </w:rPr>
        <w:t>这可能意味着祂的安息之所是天堂，在那里，信靠祂已成之工的信徒也凭信心与祂同得安息（以弗所书 1:20, 2:6, 希伯来书 4:3）。</w:t>
      </w:r>
    </w:p>
    <w:p w14:paraId="55F4EE44">
      <w:pPr>
        <w:pStyle w:val="9"/>
        <w:spacing w:before="11"/>
        <w:ind w:left="0"/>
        <w:jc w:val="left"/>
        <w:rPr>
          <w:rFonts w:hint="eastAsia"/>
          <w:sz w:val="30"/>
          <w:szCs w:val="30"/>
        </w:rPr>
      </w:pPr>
    </w:p>
    <w:p w14:paraId="61196A2E">
      <w:pPr>
        <w:pStyle w:val="9"/>
        <w:spacing w:before="11"/>
        <w:ind w:left="0"/>
        <w:jc w:val="left"/>
        <w:rPr>
          <w:rFonts w:hint="eastAsia"/>
          <w:sz w:val="30"/>
          <w:szCs w:val="30"/>
        </w:rPr>
      </w:pPr>
      <w:r>
        <w:rPr>
          <w:rFonts w:hint="eastAsia"/>
          <w:sz w:val="30"/>
          <w:szCs w:val="30"/>
        </w:rPr>
        <w:t>Or it could mean that his preferred place of rest is his Church, which, by his Spirit, has received his glory (John 14:15-18, 17:22).</w:t>
      </w:r>
    </w:p>
    <w:p w14:paraId="212412F6">
      <w:pPr>
        <w:pStyle w:val="9"/>
        <w:spacing w:before="11"/>
        <w:ind w:left="0"/>
        <w:jc w:val="left"/>
        <w:rPr>
          <w:rFonts w:hint="eastAsia"/>
          <w:sz w:val="30"/>
          <w:szCs w:val="30"/>
        </w:rPr>
      </w:pPr>
      <w:r>
        <w:rPr>
          <w:rFonts w:hint="eastAsia"/>
          <w:sz w:val="30"/>
          <w:szCs w:val="30"/>
        </w:rPr>
        <w:t>或者，这可能意味着祂偏爱的安息之所是祂的教会，教会藉着祂的灵领受了祂的荣耀（约翰福音 14:15-18, 17:22）。</w:t>
      </w:r>
    </w:p>
    <w:p w14:paraId="60E99720">
      <w:pPr>
        <w:pStyle w:val="9"/>
        <w:spacing w:before="11"/>
        <w:ind w:left="0"/>
        <w:jc w:val="left"/>
        <w:rPr>
          <w:rFonts w:hint="eastAsia"/>
          <w:sz w:val="30"/>
          <w:szCs w:val="30"/>
        </w:rPr>
      </w:pPr>
    </w:p>
    <w:p w14:paraId="4E1DD3A8">
      <w:pPr>
        <w:pStyle w:val="9"/>
        <w:spacing w:before="11"/>
        <w:ind w:left="0"/>
        <w:jc w:val="left"/>
        <w:rPr>
          <w:rFonts w:hint="eastAsia"/>
          <w:sz w:val="30"/>
          <w:szCs w:val="30"/>
        </w:rPr>
      </w:pPr>
      <w:r>
        <w:rPr>
          <w:rFonts w:hint="eastAsia"/>
          <w:sz w:val="30"/>
          <w:szCs w:val="30"/>
        </w:rPr>
        <w:t>Perhaps it means both.</w:t>
      </w:r>
    </w:p>
    <w:p w14:paraId="08225665">
      <w:pPr>
        <w:pStyle w:val="9"/>
        <w:spacing w:before="11"/>
        <w:ind w:left="0"/>
        <w:jc w:val="left"/>
        <w:rPr>
          <w:rFonts w:hint="eastAsia"/>
          <w:sz w:val="30"/>
          <w:szCs w:val="30"/>
        </w:rPr>
      </w:pPr>
      <w:r>
        <w:rPr>
          <w:rFonts w:hint="eastAsia"/>
          <w:sz w:val="30"/>
          <w:szCs w:val="30"/>
        </w:rPr>
        <w:t>也许两者兼有。</w:t>
      </w:r>
    </w:p>
    <w:p w14:paraId="63FAC707">
      <w:pPr>
        <w:pStyle w:val="9"/>
        <w:spacing w:before="11"/>
        <w:ind w:left="0"/>
        <w:jc w:val="left"/>
        <w:rPr>
          <w:rFonts w:hint="eastAsia"/>
          <w:sz w:val="30"/>
          <w:szCs w:val="30"/>
        </w:rPr>
      </w:pPr>
    </w:p>
    <w:p w14:paraId="174082C9">
      <w:pPr>
        <w:pStyle w:val="9"/>
        <w:spacing w:before="11"/>
        <w:ind w:left="0"/>
        <w:jc w:val="left"/>
        <w:rPr>
          <w:rFonts w:hint="eastAsia"/>
          <w:sz w:val="30"/>
          <w:szCs w:val="30"/>
        </w:rPr>
      </w:pPr>
      <w:r>
        <w:rPr>
          <w:rFonts w:hint="eastAsia"/>
          <w:sz w:val="30"/>
          <w:szCs w:val="30"/>
        </w:rPr>
        <w:t>This prophecy will also be fulfilled in the Kingdom of the Father.</w:t>
      </w:r>
    </w:p>
    <w:p w14:paraId="73BCC88E">
      <w:pPr>
        <w:pStyle w:val="9"/>
        <w:spacing w:before="11"/>
        <w:ind w:left="0"/>
        <w:jc w:val="left"/>
        <w:rPr>
          <w:rFonts w:hint="eastAsia"/>
          <w:sz w:val="30"/>
          <w:szCs w:val="30"/>
        </w:rPr>
      </w:pPr>
      <w:r>
        <w:rPr>
          <w:rFonts w:hint="eastAsia"/>
          <w:sz w:val="30"/>
          <w:szCs w:val="30"/>
        </w:rPr>
        <w:t>这个预言也将在父的国度中应验。</w:t>
      </w:r>
    </w:p>
    <w:p w14:paraId="02E35F34">
      <w:pPr>
        <w:pStyle w:val="9"/>
        <w:spacing w:before="11"/>
        <w:ind w:left="0"/>
        <w:jc w:val="left"/>
        <w:rPr>
          <w:rFonts w:hint="eastAsia"/>
          <w:sz w:val="30"/>
          <w:szCs w:val="30"/>
        </w:rPr>
      </w:pPr>
    </w:p>
    <w:p w14:paraId="2496ADD6">
      <w:pPr>
        <w:pStyle w:val="9"/>
        <w:spacing w:before="11"/>
        <w:ind w:left="0"/>
        <w:jc w:val="left"/>
        <w:rPr>
          <w:rFonts w:hint="eastAsia"/>
          <w:sz w:val="30"/>
          <w:szCs w:val="30"/>
        </w:rPr>
      </w:pPr>
      <w:r>
        <w:rPr>
          <w:rFonts w:hint="eastAsia"/>
          <w:sz w:val="30"/>
          <w:szCs w:val="30"/>
        </w:rPr>
        <w:t>For once having resorted to Christ for salvation, it is certain that the worshiping nations of the redeemed will continue to resort to him, giving eternal thanks to the One Mediator between God and man who so graciously secured for them a home in the glorious new World that now has Come (Eph. 3:21, 1 Tim. 2:5, Rev. 5:8-14, 7:9-17, 22:2).</w:t>
      </w:r>
    </w:p>
    <w:p w14:paraId="71F30748">
      <w:pPr>
        <w:pStyle w:val="9"/>
        <w:spacing w:before="11"/>
        <w:ind w:left="0"/>
        <w:jc w:val="left"/>
        <w:rPr>
          <w:rFonts w:hint="eastAsia"/>
          <w:sz w:val="30"/>
          <w:szCs w:val="30"/>
        </w:rPr>
      </w:pPr>
      <w:r>
        <w:rPr>
          <w:rFonts w:hint="eastAsia"/>
          <w:sz w:val="30"/>
          <w:szCs w:val="30"/>
        </w:rPr>
        <w:t>因为一旦投靠基督得救，可以肯定的是，被救赎的敬拜列国将继续投靠祂，永远感谢那位在上帝与人之间独一的中保，祂如此恩慈地为他们在新来的荣耀世界中预备了一个家（以弗所书 3:21, 提摩太前书 2:5, 启示录 5:8-14, 7:9-17, 22:2）。</w:t>
      </w:r>
    </w:p>
    <w:p w14:paraId="00086FE6">
      <w:pPr>
        <w:pStyle w:val="9"/>
        <w:spacing w:before="11"/>
        <w:ind w:left="0"/>
        <w:jc w:val="left"/>
        <w:rPr>
          <w:rFonts w:hint="eastAsia"/>
          <w:sz w:val="30"/>
          <w:szCs w:val="30"/>
        </w:rPr>
      </w:pPr>
    </w:p>
    <w:p w14:paraId="1FA452D4">
      <w:pPr>
        <w:pStyle w:val="9"/>
        <w:spacing w:before="11"/>
        <w:ind w:left="0"/>
        <w:jc w:val="left"/>
        <w:rPr>
          <w:rFonts w:hint="eastAsia"/>
          <w:sz w:val="30"/>
          <w:szCs w:val="30"/>
        </w:rPr>
      </w:pPr>
      <w:r>
        <w:rPr>
          <w:rFonts w:hint="eastAsia"/>
          <w:sz w:val="30"/>
          <w:szCs w:val="30"/>
        </w:rPr>
        <w:t>Israel’s Second Exodus (11-16)</w:t>
      </w:r>
    </w:p>
    <w:p w14:paraId="504E21C0">
      <w:pPr>
        <w:pStyle w:val="9"/>
        <w:spacing w:before="11"/>
        <w:ind w:left="0"/>
        <w:jc w:val="left"/>
        <w:rPr>
          <w:rFonts w:hint="eastAsia"/>
          <w:sz w:val="30"/>
          <w:szCs w:val="30"/>
        </w:rPr>
      </w:pPr>
      <w:r>
        <w:rPr>
          <w:rFonts w:hint="eastAsia"/>
          <w:sz w:val="30"/>
          <w:szCs w:val="30"/>
        </w:rPr>
        <w:t>以色列的第二次出埃及（11-16节）</w:t>
      </w:r>
    </w:p>
    <w:p w14:paraId="4AC825AE">
      <w:pPr>
        <w:pStyle w:val="9"/>
        <w:spacing w:before="11"/>
        <w:ind w:left="0"/>
        <w:jc w:val="left"/>
        <w:rPr>
          <w:rFonts w:hint="eastAsia"/>
          <w:sz w:val="30"/>
          <w:szCs w:val="30"/>
        </w:rPr>
      </w:pPr>
    </w:p>
    <w:p w14:paraId="0F23C175">
      <w:pPr>
        <w:pStyle w:val="9"/>
        <w:spacing w:before="11"/>
        <w:ind w:left="0"/>
        <w:jc w:val="left"/>
        <w:rPr>
          <w:rFonts w:hint="eastAsia"/>
          <w:sz w:val="30"/>
          <w:szCs w:val="30"/>
        </w:rPr>
      </w:pPr>
      <w:r>
        <w:rPr>
          <w:rFonts w:hint="eastAsia"/>
          <w:sz w:val="30"/>
          <w:szCs w:val="30"/>
        </w:rPr>
        <w:t>The fourth and final prophecy, Isaiah 11:11-16, may be called Israel’s Second Exodus.</w:t>
      </w:r>
    </w:p>
    <w:p w14:paraId="4ACB2602">
      <w:pPr>
        <w:pStyle w:val="9"/>
        <w:spacing w:before="11"/>
        <w:ind w:left="0"/>
        <w:jc w:val="left"/>
        <w:rPr>
          <w:rFonts w:hint="eastAsia"/>
          <w:sz w:val="30"/>
          <w:szCs w:val="30"/>
        </w:rPr>
      </w:pPr>
      <w:r>
        <w:rPr>
          <w:rFonts w:hint="eastAsia"/>
          <w:sz w:val="30"/>
          <w:szCs w:val="30"/>
        </w:rPr>
        <w:t>第四个也是最后一个预言，以赛亚书 11:11-16，可称为以色列的第二次出埃及。</w:t>
      </w:r>
    </w:p>
    <w:p w14:paraId="290ED8F2">
      <w:pPr>
        <w:pStyle w:val="9"/>
        <w:spacing w:before="11"/>
        <w:ind w:left="0"/>
        <w:jc w:val="left"/>
        <w:rPr>
          <w:rFonts w:hint="eastAsia"/>
          <w:sz w:val="30"/>
          <w:szCs w:val="30"/>
        </w:rPr>
      </w:pPr>
    </w:p>
    <w:p w14:paraId="317DE7F3">
      <w:pPr>
        <w:pStyle w:val="9"/>
        <w:spacing w:before="11"/>
        <w:ind w:left="0"/>
        <w:jc w:val="left"/>
        <w:rPr>
          <w:rFonts w:hint="eastAsia"/>
          <w:sz w:val="30"/>
          <w:szCs w:val="30"/>
        </w:rPr>
      </w:pPr>
      <w:r>
        <w:rPr>
          <w:rFonts w:hint="eastAsia"/>
          <w:sz w:val="30"/>
          <w:szCs w:val="30"/>
        </w:rPr>
        <w:t>Its sphere of fulfillment is the first phase of the Kingdom, the Era of Gospel Proclamation and Probation, in which God rescues his eschatological people from spiritual Egypt (i.e., the Domain of Darkness) and leads them into the Promised Land of his Kingdom.</w:t>
      </w:r>
    </w:p>
    <w:p w14:paraId="24A1EE2F">
      <w:pPr>
        <w:pStyle w:val="9"/>
        <w:spacing w:before="11"/>
        <w:ind w:left="0"/>
        <w:jc w:val="left"/>
        <w:rPr>
          <w:rFonts w:hint="eastAsia"/>
          <w:sz w:val="30"/>
          <w:szCs w:val="30"/>
        </w:rPr>
      </w:pPr>
      <w:r>
        <w:rPr>
          <w:rFonts w:hint="eastAsia"/>
          <w:sz w:val="30"/>
          <w:szCs w:val="30"/>
        </w:rPr>
        <w:t>其应验范围是国度的第一阶段，即福音宣讲和验证的时代，在其中上帝将祂末世的子民从属灵的埃及（即黑暗的权势）中拯救出来，并带领他们进入祂国度的应许之地。</w:t>
      </w:r>
    </w:p>
    <w:p w14:paraId="14B0E52F">
      <w:pPr>
        <w:pStyle w:val="9"/>
        <w:spacing w:before="11"/>
        <w:ind w:left="0"/>
        <w:jc w:val="left"/>
        <w:rPr>
          <w:rFonts w:hint="eastAsia"/>
          <w:sz w:val="30"/>
          <w:szCs w:val="30"/>
        </w:rPr>
      </w:pPr>
    </w:p>
    <w:p w14:paraId="324E89D3">
      <w:pPr>
        <w:pStyle w:val="9"/>
        <w:spacing w:before="11"/>
        <w:ind w:left="0"/>
        <w:jc w:val="left"/>
        <w:rPr>
          <w:rFonts w:hint="eastAsia"/>
          <w:sz w:val="30"/>
          <w:szCs w:val="30"/>
        </w:rPr>
      </w:pPr>
      <w:r>
        <w:rPr>
          <w:rFonts w:hint="eastAsia"/>
          <w:sz w:val="30"/>
          <w:szCs w:val="30"/>
        </w:rPr>
        <w:t>In v. 11, the Spirit speaks of the regathering of God’s remnant.</w:t>
      </w:r>
    </w:p>
    <w:p w14:paraId="54A5C79B">
      <w:pPr>
        <w:pStyle w:val="9"/>
        <w:spacing w:before="11"/>
        <w:ind w:left="0"/>
        <w:jc w:val="left"/>
        <w:rPr>
          <w:rFonts w:hint="eastAsia"/>
          <w:sz w:val="30"/>
          <w:szCs w:val="30"/>
        </w:rPr>
      </w:pPr>
      <w:r>
        <w:rPr>
          <w:rFonts w:hint="eastAsia"/>
          <w:sz w:val="30"/>
          <w:szCs w:val="30"/>
        </w:rPr>
        <w:t>在第11节，圣灵谈到上帝余民的重新聚集。</w:t>
      </w:r>
    </w:p>
    <w:p w14:paraId="22C30C8E">
      <w:pPr>
        <w:pStyle w:val="9"/>
        <w:spacing w:before="11"/>
        <w:ind w:left="0"/>
        <w:jc w:val="left"/>
        <w:rPr>
          <w:rFonts w:hint="eastAsia"/>
          <w:sz w:val="30"/>
          <w:szCs w:val="30"/>
        </w:rPr>
      </w:pPr>
    </w:p>
    <w:p w14:paraId="1DC60C98">
      <w:pPr>
        <w:pStyle w:val="9"/>
        <w:spacing w:before="11"/>
        <w:ind w:left="0"/>
        <w:jc w:val="left"/>
        <w:rPr>
          <w:rFonts w:hint="eastAsia"/>
          <w:sz w:val="30"/>
          <w:szCs w:val="30"/>
        </w:rPr>
      </w:pPr>
      <w:r>
        <w:rPr>
          <w:rFonts w:hint="eastAsia"/>
          <w:sz w:val="30"/>
          <w:szCs w:val="30"/>
        </w:rPr>
        <w:t>While this may indeed allude to the Jewish restoration under Cyrus, the true focus is upon eschatological Israel: the Church, the elect remnant of humanity.</w:t>
      </w:r>
    </w:p>
    <w:p w14:paraId="1CF48D69">
      <w:pPr>
        <w:pStyle w:val="9"/>
        <w:spacing w:before="11"/>
        <w:ind w:left="0"/>
        <w:jc w:val="left"/>
        <w:rPr>
          <w:rFonts w:hint="eastAsia"/>
          <w:sz w:val="30"/>
          <w:szCs w:val="30"/>
        </w:rPr>
      </w:pPr>
      <w:r>
        <w:rPr>
          <w:rFonts w:hint="eastAsia"/>
          <w:sz w:val="30"/>
          <w:szCs w:val="30"/>
        </w:rPr>
        <w:t>虽然这可能确实暗指在古列手下的犹太复兴，但真正的焦点在于末世的以色列：即教会，人类中蒙拣选的余民。</w:t>
      </w:r>
    </w:p>
    <w:p w14:paraId="0D1862C9">
      <w:pPr>
        <w:pStyle w:val="9"/>
        <w:spacing w:before="11"/>
        <w:ind w:left="0"/>
        <w:jc w:val="left"/>
        <w:rPr>
          <w:rFonts w:hint="eastAsia"/>
          <w:sz w:val="30"/>
          <w:szCs w:val="30"/>
        </w:rPr>
      </w:pPr>
    </w:p>
    <w:p w14:paraId="02F6DB8F">
      <w:pPr>
        <w:pStyle w:val="9"/>
        <w:spacing w:before="11"/>
        <w:ind w:left="0"/>
        <w:jc w:val="left"/>
        <w:rPr>
          <w:rFonts w:hint="eastAsia"/>
          <w:sz w:val="30"/>
          <w:szCs w:val="30"/>
        </w:rPr>
      </w:pPr>
      <w:r>
        <w:rPr>
          <w:rFonts w:hint="eastAsia"/>
          <w:sz w:val="30"/>
          <w:szCs w:val="30"/>
        </w:rPr>
        <w:t>The Father will draw her to Christ out of many (i.e., all) nations, for ever since the events of Eden and Babel her members have been scattered to the four corners of the earth (v. 12, John 6:44, Rev. 7:1ff).</w:t>
      </w:r>
    </w:p>
    <w:p w14:paraId="30860EF9">
      <w:pPr>
        <w:pStyle w:val="9"/>
        <w:spacing w:before="11"/>
        <w:ind w:left="0"/>
        <w:jc w:val="left"/>
        <w:rPr>
          <w:rFonts w:hint="eastAsia"/>
          <w:sz w:val="30"/>
          <w:szCs w:val="30"/>
        </w:rPr>
      </w:pPr>
      <w:r>
        <w:rPr>
          <w:rFonts w:hint="eastAsia"/>
          <w:sz w:val="30"/>
          <w:szCs w:val="30"/>
        </w:rPr>
        <w:t>父必将她从许多（即所有）国家中吸引到基督那里，因为自从伊甸园和巴别塔的事件以来，她的成员就被分散到地的四角（12节, 约翰福音 6:44, 启示录 7:1及后文）。</w:t>
      </w:r>
    </w:p>
    <w:p w14:paraId="16756CD6">
      <w:pPr>
        <w:pStyle w:val="9"/>
        <w:spacing w:before="11"/>
        <w:ind w:left="0"/>
        <w:jc w:val="left"/>
        <w:rPr>
          <w:rFonts w:hint="eastAsia"/>
          <w:sz w:val="30"/>
          <w:szCs w:val="30"/>
        </w:rPr>
      </w:pPr>
    </w:p>
    <w:p w14:paraId="40F7FBC7">
      <w:pPr>
        <w:pStyle w:val="9"/>
        <w:spacing w:before="11"/>
        <w:ind w:left="0"/>
        <w:jc w:val="left"/>
        <w:rPr>
          <w:rFonts w:hint="eastAsia"/>
          <w:sz w:val="30"/>
          <w:szCs w:val="30"/>
        </w:rPr>
      </w:pPr>
      <w:r>
        <w:rPr>
          <w:rFonts w:hint="eastAsia"/>
          <w:sz w:val="30"/>
          <w:szCs w:val="30"/>
        </w:rPr>
        <w:t>In verses 12-13 God promises that as they gather together in faith beneath his exalted Banner (i.e., Christ), the nations of the redeemed—long exiled from the primordial unity of Paradise—will find that former enmities and divisions such as those that troubled Judah and Ephraim are miraculously dissolved in the oneness of the Body of Christ and the unity of the Holy Spirit (Gen. 3:24, John 17: 20-23, 1 Cor. 12:12-3, Eph. 2:11-22, 4:1-6, Col. 3:15).</w:t>
      </w:r>
    </w:p>
    <w:p w14:paraId="6D3FFCDC">
      <w:pPr>
        <w:pStyle w:val="9"/>
        <w:spacing w:before="11"/>
        <w:ind w:left="0"/>
        <w:jc w:val="left"/>
        <w:rPr>
          <w:rFonts w:hint="eastAsia"/>
          <w:sz w:val="30"/>
          <w:szCs w:val="30"/>
        </w:rPr>
      </w:pPr>
      <w:r>
        <w:rPr>
          <w:rFonts w:hint="eastAsia"/>
          <w:sz w:val="30"/>
          <w:szCs w:val="30"/>
        </w:rPr>
        <w:t>在第12-13节，上帝应许，当他们凭信心聚集在祂高举的旌旗（即基督）下时，被救赎的列国——长期从乐园原始的统一中被放逐——将发现，从前困扰犹大和以法莲的敌意和分裂，在基督身体的合一和圣灵的合一中奇迹般地消解了（创世记 3:24, 约翰福音 17:20-23, 哥林多前书 12:12-13, 以弗所书 2:11-22, 4:1-6, 歌罗西书 3:15）。</w:t>
      </w:r>
    </w:p>
    <w:p w14:paraId="13187D6E">
      <w:pPr>
        <w:pStyle w:val="9"/>
        <w:spacing w:before="11"/>
        <w:ind w:left="0"/>
        <w:jc w:val="left"/>
        <w:rPr>
          <w:rFonts w:hint="eastAsia"/>
          <w:sz w:val="30"/>
          <w:szCs w:val="30"/>
        </w:rPr>
      </w:pPr>
    </w:p>
    <w:p w14:paraId="36FACB43">
      <w:pPr>
        <w:pStyle w:val="9"/>
        <w:spacing w:before="11"/>
        <w:ind w:left="0"/>
        <w:jc w:val="left"/>
        <w:rPr>
          <w:rFonts w:hint="eastAsia"/>
          <w:sz w:val="30"/>
          <w:szCs w:val="30"/>
        </w:rPr>
      </w:pPr>
      <w:r>
        <w:rPr>
          <w:rFonts w:hint="eastAsia"/>
          <w:sz w:val="30"/>
          <w:szCs w:val="30"/>
        </w:rPr>
        <w:t>Verse 14 uses concrete OT imagery to depict the eschatological triumph of the Church over the hostile world system: Just as ancient Israel swooped down victoriously upon her enemies to the North, South, East, and West, so the Church will triumph over her foes worldwide—whether by evangelistic success or in a final administration of divine retribution (2 Cor. 2:14-16, Rom. 16:20, 1 Cor. 6:2).</w:t>
      </w:r>
    </w:p>
    <w:p w14:paraId="71426435">
      <w:pPr>
        <w:pStyle w:val="9"/>
        <w:spacing w:before="11"/>
        <w:ind w:left="0"/>
        <w:jc w:val="left"/>
        <w:rPr>
          <w:rFonts w:hint="eastAsia"/>
          <w:sz w:val="30"/>
          <w:szCs w:val="30"/>
        </w:rPr>
      </w:pPr>
      <w:r>
        <w:rPr>
          <w:rFonts w:hint="eastAsia"/>
          <w:sz w:val="30"/>
          <w:szCs w:val="30"/>
        </w:rPr>
        <w:t>第14节使用具体的旧约意象来描绘教会在末世对敌对世界体系的胜利：正如古代以色列胜利地向其北方、南方、东方和西方的仇敌猛扑，教会也将在全球范围内战胜她的仇敌——无论是通过福音传道的成功，还是在最终的神圣报应中（哥林多后书 2:14-16, 罗马书 16:20, 哥林多前书 6:2）。</w:t>
      </w:r>
    </w:p>
    <w:p w14:paraId="067CFCE8">
      <w:pPr>
        <w:pStyle w:val="9"/>
        <w:spacing w:before="11"/>
        <w:ind w:left="0"/>
        <w:jc w:val="left"/>
        <w:rPr>
          <w:rFonts w:hint="eastAsia"/>
          <w:sz w:val="30"/>
          <w:szCs w:val="30"/>
        </w:rPr>
      </w:pPr>
    </w:p>
    <w:p w14:paraId="32C93974">
      <w:pPr>
        <w:pStyle w:val="9"/>
        <w:spacing w:before="11"/>
        <w:ind w:left="0"/>
        <w:jc w:val="left"/>
        <w:rPr>
          <w:rFonts w:hint="eastAsia"/>
          <w:sz w:val="30"/>
          <w:szCs w:val="30"/>
        </w:rPr>
      </w:pPr>
      <w:r>
        <w:rPr>
          <w:rFonts w:hint="eastAsia"/>
          <w:sz w:val="30"/>
          <w:szCs w:val="30"/>
        </w:rPr>
        <w:t>Again alluding to the exodus event, verses 15-16 bring the prophecy to a close by promising a latter-day Red Sea crossing; indeed, many such crossings, by which God’s far-flung people may walk safe, sound, and “dry shod” upon a highway of holiness straight into the Promised Land (Isaiah 55:8, 40:3-5, 57:14).</w:t>
      </w:r>
    </w:p>
    <w:p w14:paraId="715913B0">
      <w:pPr>
        <w:pStyle w:val="9"/>
        <w:spacing w:before="11"/>
        <w:ind w:left="0"/>
        <w:jc w:val="left"/>
        <w:rPr>
          <w:rFonts w:hint="eastAsia"/>
          <w:sz w:val="30"/>
          <w:szCs w:val="30"/>
        </w:rPr>
      </w:pPr>
      <w:r>
        <w:rPr>
          <w:rFonts w:hint="eastAsia"/>
          <w:sz w:val="30"/>
          <w:szCs w:val="30"/>
        </w:rPr>
        <w:t>第15-16节再次提到出埃及的事件，通过应许一个末后的红海穿越来结束预言；实际上，是许多这样的穿越，上帝分散各处的子民可以安全、无恙地“脚不沾水”地走在一条圣洁的大道上，直达应许之地（以赛亚书 35:8, 40:3-5, 57:14）。</w:t>
      </w:r>
    </w:p>
    <w:p w14:paraId="603C5201">
      <w:pPr>
        <w:pStyle w:val="9"/>
        <w:spacing w:before="11"/>
        <w:ind w:left="0"/>
        <w:jc w:val="left"/>
        <w:rPr>
          <w:rFonts w:hint="eastAsia"/>
          <w:sz w:val="30"/>
          <w:szCs w:val="30"/>
        </w:rPr>
      </w:pPr>
    </w:p>
    <w:p w14:paraId="662E9779">
      <w:pPr>
        <w:pStyle w:val="9"/>
        <w:spacing w:before="11"/>
        <w:ind w:left="0"/>
        <w:jc w:val="left"/>
        <w:rPr>
          <w:rFonts w:hint="eastAsia"/>
          <w:sz w:val="30"/>
          <w:szCs w:val="30"/>
        </w:rPr>
      </w:pPr>
      <w:r>
        <w:rPr>
          <w:rFonts w:hint="eastAsia"/>
          <w:sz w:val="30"/>
          <w:szCs w:val="30"/>
        </w:rPr>
        <w:t>The highway is the Person and Work of Christ, and the Promised Land is the spiritual Kingdom into which he effectually calls the New Covenant Israel of God (John 10:16, 14:6, Col. 1:13).</w:t>
      </w:r>
    </w:p>
    <w:p w14:paraId="40AD0022">
      <w:pPr>
        <w:pStyle w:val="9"/>
        <w:spacing w:before="11"/>
        <w:ind w:left="0"/>
        <w:jc w:val="left"/>
        <w:rPr>
          <w:rFonts w:hint="eastAsia"/>
          <w:sz w:val="30"/>
          <w:szCs w:val="30"/>
        </w:rPr>
      </w:pPr>
      <w:r>
        <w:rPr>
          <w:rFonts w:hint="eastAsia"/>
          <w:sz w:val="30"/>
          <w:szCs w:val="30"/>
        </w:rPr>
        <w:t>那大道是基督的位格和工作，那应许之地是属灵的国度，祂有效地将上帝的新约以色列呼召到其中（约翰福音 10:16, 14:6, 歌罗西书 1:13）。</w:t>
      </w:r>
    </w:p>
    <w:p w14:paraId="700F84F5">
      <w:pPr>
        <w:pStyle w:val="9"/>
        <w:spacing w:before="11"/>
        <w:ind w:left="0"/>
        <w:jc w:val="left"/>
        <w:rPr>
          <w:rFonts w:hint="eastAsia"/>
          <w:sz w:val="30"/>
          <w:szCs w:val="30"/>
        </w:rPr>
      </w:pPr>
    </w:p>
    <w:p w14:paraId="2A42D614">
      <w:pPr>
        <w:pStyle w:val="9"/>
        <w:spacing w:before="11"/>
        <w:ind w:left="0"/>
        <w:jc w:val="left"/>
        <w:rPr>
          <w:rFonts w:hint="eastAsia"/>
          <w:sz w:val="30"/>
          <w:szCs w:val="30"/>
        </w:rPr>
      </w:pPr>
      <w:r>
        <w:rPr>
          <w:rFonts w:hint="eastAsia"/>
          <w:sz w:val="30"/>
          <w:szCs w:val="30"/>
        </w:rPr>
        <w:t>Does the NCH give a satisfying interpretation of Isaiah 11?</w:t>
      </w:r>
    </w:p>
    <w:p w14:paraId="5C17C5A5">
      <w:pPr>
        <w:pStyle w:val="9"/>
        <w:spacing w:before="11"/>
        <w:ind w:left="0"/>
        <w:jc w:val="left"/>
        <w:rPr>
          <w:rFonts w:hint="eastAsia"/>
          <w:sz w:val="30"/>
          <w:szCs w:val="30"/>
        </w:rPr>
      </w:pPr>
      <w:r>
        <w:rPr>
          <w:rFonts w:hint="eastAsia"/>
          <w:sz w:val="30"/>
          <w:szCs w:val="30"/>
        </w:rPr>
        <w:t>新约解释学（NCH）是否对以赛亚书11章给出了一个令人满意的解释？</w:t>
      </w:r>
    </w:p>
    <w:p w14:paraId="04D0FA6C">
      <w:pPr>
        <w:pStyle w:val="9"/>
        <w:spacing w:before="11"/>
        <w:ind w:left="0"/>
        <w:jc w:val="left"/>
        <w:rPr>
          <w:rFonts w:hint="eastAsia"/>
          <w:sz w:val="30"/>
          <w:szCs w:val="30"/>
        </w:rPr>
      </w:pPr>
    </w:p>
    <w:p w14:paraId="51589F32">
      <w:pPr>
        <w:pStyle w:val="9"/>
        <w:spacing w:before="11"/>
        <w:ind w:left="0"/>
        <w:jc w:val="left"/>
        <w:rPr>
          <w:rFonts w:hint="eastAsia"/>
          <w:sz w:val="30"/>
          <w:szCs w:val="30"/>
        </w:rPr>
      </w:pPr>
      <w:r>
        <w:rPr>
          <w:rFonts w:hint="eastAsia"/>
          <w:sz w:val="30"/>
          <w:szCs w:val="30"/>
        </w:rPr>
        <w:t>Does it rescue this prophecy from practical irrelevancy?</w:t>
      </w:r>
    </w:p>
    <w:p w14:paraId="1315AFA7">
      <w:pPr>
        <w:pStyle w:val="9"/>
        <w:spacing w:before="11"/>
        <w:ind w:left="0"/>
        <w:jc w:val="left"/>
        <w:rPr>
          <w:rFonts w:hint="eastAsia"/>
          <w:sz w:val="30"/>
          <w:szCs w:val="30"/>
        </w:rPr>
      </w:pPr>
      <w:r>
        <w:rPr>
          <w:rFonts w:hint="eastAsia"/>
          <w:sz w:val="30"/>
          <w:szCs w:val="30"/>
        </w:rPr>
        <w:t>它是否将这则预言从实际的无关紧要中解救出来？</w:t>
      </w:r>
    </w:p>
    <w:p w14:paraId="04232689">
      <w:pPr>
        <w:pStyle w:val="9"/>
        <w:spacing w:before="11"/>
        <w:ind w:left="0"/>
        <w:jc w:val="left"/>
        <w:rPr>
          <w:rFonts w:hint="eastAsia"/>
          <w:sz w:val="30"/>
          <w:szCs w:val="30"/>
        </w:rPr>
      </w:pPr>
    </w:p>
    <w:p w14:paraId="490B3226">
      <w:pPr>
        <w:pStyle w:val="9"/>
        <w:spacing w:before="11"/>
        <w:ind w:left="0"/>
        <w:jc w:val="left"/>
        <w:rPr>
          <w:rFonts w:hint="eastAsia"/>
          <w:sz w:val="30"/>
          <w:szCs w:val="30"/>
        </w:rPr>
      </w:pPr>
      <w:r>
        <w:rPr>
          <w:rFonts w:hint="eastAsia"/>
          <w:sz w:val="30"/>
          <w:szCs w:val="30"/>
        </w:rPr>
        <w:t>Does it fill the Christian mind with wonder, and move the Christian heart to praise, hope, and devoted Kingdom service?</w:t>
      </w:r>
    </w:p>
    <w:p w14:paraId="1B8F70E2">
      <w:pPr>
        <w:pStyle w:val="9"/>
        <w:spacing w:before="11"/>
        <w:ind w:left="0"/>
        <w:jc w:val="left"/>
        <w:rPr>
          <w:rFonts w:hint="eastAsia"/>
          <w:sz w:val="30"/>
          <w:szCs w:val="30"/>
        </w:rPr>
      </w:pPr>
      <w:r>
        <w:rPr>
          <w:rFonts w:hint="eastAsia"/>
          <w:sz w:val="30"/>
          <w:szCs w:val="30"/>
        </w:rPr>
        <w:t>它是否让基督徒的心中充满惊奇，并感动基督徒的心去赞美、盼望和忠心地服事国度？</w:t>
      </w:r>
    </w:p>
    <w:p w14:paraId="46F80EA4">
      <w:pPr>
        <w:pStyle w:val="9"/>
        <w:spacing w:before="11"/>
        <w:ind w:left="0"/>
        <w:jc w:val="left"/>
        <w:rPr>
          <w:rFonts w:hint="eastAsia"/>
          <w:sz w:val="30"/>
          <w:szCs w:val="30"/>
        </w:rPr>
      </w:pPr>
    </w:p>
    <w:p w14:paraId="3E7404CD">
      <w:pPr>
        <w:pStyle w:val="9"/>
        <w:spacing w:before="11"/>
        <w:ind w:left="0"/>
        <w:jc w:val="left"/>
        <w:rPr>
          <w:rFonts w:hint="eastAsia"/>
          <w:sz w:val="30"/>
          <w:szCs w:val="30"/>
        </w:rPr>
      </w:pPr>
      <w:r>
        <w:rPr>
          <w:rFonts w:hint="eastAsia"/>
          <w:sz w:val="30"/>
          <w:szCs w:val="30"/>
        </w:rPr>
        <w:t>You be the judge.</w:t>
      </w:r>
    </w:p>
    <w:p w14:paraId="36B3CEA2">
      <w:pPr>
        <w:pStyle w:val="9"/>
        <w:spacing w:before="11"/>
        <w:ind w:left="0"/>
        <w:jc w:val="left"/>
        <w:rPr>
          <w:rFonts w:hint="eastAsia"/>
          <w:sz w:val="30"/>
          <w:szCs w:val="30"/>
        </w:rPr>
      </w:pPr>
      <w:r>
        <w:rPr>
          <w:rFonts w:hint="eastAsia"/>
          <w:sz w:val="30"/>
          <w:szCs w:val="30"/>
        </w:rPr>
        <w:t>你来判断。</w:t>
      </w:r>
    </w:p>
    <w:p w14:paraId="5EBDE84F">
      <w:pPr>
        <w:pStyle w:val="9"/>
        <w:spacing w:before="11"/>
        <w:ind w:left="0"/>
        <w:jc w:val="left"/>
        <w:rPr>
          <w:rFonts w:hint="eastAsia"/>
          <w:sz w:val="30"/>
          <w:szCs w:val="30"/>
        </w:rPr>
      </w:pPr>
    </w:p>
    <w:p w14:paraId="15698E34">
      <w:pPr>
        <w:pStyle w:val="9"/>
        <w:spacing w:before="11"/>
        <w:ind w:left="0"/>
        <w:jc w:val="left"/>
        <w:rPr>
          <w:rFonts w:hint="eastAsia"/>
          <w:sz w:val="30"/>
          <w:szCs w:val="30"/>
        </w:rPr>
      </w:pPr>
      <w:r>
        <w:rPr>
          <w:rFonts w:hint="eastAsia"/>
          <w:sz w:val="30"/>
          <w:szCs w:val="30"/>
        </w:rPr>
        <w:t>5.Prisoners in the Dungeon</w:t>
      </w:r>
    </w:p>
    <w:p w14:paraId="73792D25">
      <w:pPr>
        <w:pStyle w:val="9"/>
        <w:spacing w:before="11"/>
        <w:ind w:left="0"/>
        <w:jc w:val="left"/>
        <w:rPr>
          <w:rFonts w:hint="eastAsia"/>
          <w:sz w:val="30"/>
          <w:szCs w:val="30"/>
        </w:rPr>
      </w:pPr>
      <w:r>
        <w:rPr>
          <w:rFonts w:hint="eastAsia"/>
          <w:sz w:val="30"/>
          <w:szCs w:val="30"/>
        </w:rPr>
        <w:t>5.地牢中的囚犯</w:t>
      </w:r>
    </w:p>
    <w:p w14:paraId="73BB441D">
      <w:pPr>
        <w:pStyle w:val="9"/>
        <w:spacing w:before="11"/>
        <w:ind w:left="0"/>
        <w:jc w:val="left"/>
        <w:rPr>
          <w:rFonts w:hint="eastAsia"/>
          <w:sz w:val="30"/>
          <w:szCs w:val="30"/>
        </w:rPr>
      </w:pPr>
    </w:p>
    <w:p w14:paraId="1EBD4793">
      <w:pPr>
        <w:pStyle w:val="9"/>
        <w:spacing w:before="11"/>
        <w:ind w:left="0"/>
        <w:jc w:val="left"/>
        <w:rPr>
          <w:rFonts w:hint="eastAsia"/>
          <w:sz w:val="30"/>
          <w:szCs w:val="30"/>
        </w:rPr>
      </w:pPr>
      <w:r>
        <w:rPr>
          <w:rFonts w:hint="eastAsia"/>
          <w:sz w:val="30"/>
          <w:szCs w:val="30"/>
        </w:rPr>
        <w:t>(Isaiah 24:21-23)</w:t>
      </w:r>
    </w:p>
    <w:p w14:paraId="27E39569">
      <w:pPr>
        <w:pStyle w:val="9"/>
        <w:spacing w:before="11"/>
        <w:ind w:left="0"/>
        <w:jc w:val="left"/>
        <w:rPr>
          <w:rFonts w:hint="eastAsia"/>
          <w:sz w:val="30"/>
          <w:szCs w:val="30"/>
        </w:rPr>
      </w:pPr>
      <w:r>
        <w:rPr>
          <w:rFonts w:hint="eastAsia"/>
          <w:sz w:val="30"/>
          <w:szCs w:val="30"/>
        </w:rPr>
        <w:t>（以赛亚书 24:21-23）</w:t>
      </w:r>
    </w:p>
    <w:p w14:paraId="0E7054E4">
      <w:pPr>
        <w:pStyle w:val="9"/>
        <w:spacing w:before="11"/>
        <w:ind w:left="0"/>
        <w:jc w:val="left"/>
        <w:rPr>
          <w:rFonts w:hint="eastAsia"/>
          <w:sz w:val="30"/>
          <w:szCs w:val="30"/>
        </w:rPr>
      </w:pPr>
    </w:p>
    <w:p w14:paraId="1754A72F">
      <w:pPr>
        <w:pStyle w:val="9"/>
        <w:spacing w:before="11"/>
        <w:ind w:left="0"/>
        <w:jc w:val="left"/>
        <w:rPr>
          <w:rFonts w:hint="eastAsia"/>
          <w:sz w:val="30"/>
          <w:szCs w:val="30"/>
        </w:rPr>
      </w:pPr>
      <w:r>
        <w:rPr>
          <w:rFonts w:hint="eastAsia"/>
          <w:sz w:val="30"/>
          <w:szCs w:val="30"/>
        </w:rPr>
        <w:t>21On that day, the LORD will punish (or visit) the host of the high ones on high, and the kings of the earth upon the earth.</w:t>
      </w:r>
    </w:p>
    <w:p w14:paraId="15E8C9DE">
      <w:pPr>
        <w:pStyle w:val="9"/>
        <w:spacing w:before="11"/>
        <w:ind w:left="0"/>
        <w:jc w:val="left"/>
        <w:rPr>
          <w:rFonts w:hint="eastAsia"/>
          <w:sz w:val="30"/>
          <w:szCs w:val="30"/>
        </w:rPr>
      </w:pPr>
      <w:r>
        <w:rPr>
          <w:rFonts w:hint="eastAsia"/>
          <w:sz w:val="30"/>
          <w:szCs w:val="30"/>
        </w:rPr>
        <w:t>21到那日，耶和华必在高处惩罚（或眷顾）高处的众军，在地上惩罚地上的列王。</w:t>
      </w:r>
    </w:p>
    <w:p w14:paraId="2F3AD17C">
      <w:pPr>
        <w:pStyle w:val="9"/>
        <w:spacing w:before="11"/>
        <w:ind w:left="0"/>
        <w:jc w:val="left"/>
        <w:rPr>
          <w:rFonts w:hint="eastAsia"/>
          <w:sz w:val="30"/>
          <w:szCs w:val="30"/>
        </w:rPr>
      </w:pPr>
    </w:p>
    <w:p w14:paraId="37762440">
      <w:pPr>
        <w:pStyle w:val="9"/>
        <w:spacing w:before="11"/>
        <w:ind w:left="0"/>
        <w:jc w:val="left"/>
        <w:rPr>
          <w:rFonts w:hint="eastAsia"/>
          <w:sz w:val="30"/>
          <w:szCs w:val="30"/>
        </w:rPr>
      </w:pPr>
      <w:r>
        <w:rPr>
          <w:rFonts w:hint="eastAsia"/>
          <w:sz w:val="30"/>
          <w:szCs w:val="30"/>
        </w:rPr>
        <w:t>22And they will be gathered together as prisoners are gathered in a pit (or dungeon), and will be shut up in a prison.</w:t>
      </w:r>
    </w:p>
    <w:p w14:paraId="56F2B620">
      <w:pPr>
        <w:pStyle w:val="9"/>
        <w:spacing w:before="11"/>
        <w:ind w:left="0"/>
        <w:jc w:val="left"/>
        <w:rPr>
          <w:rFonts w:hint="eastAsia"/>
          <w:sz w:val="30"/>
          <w:szCs w:val="30"/>
        </w:rPr>
      </w:pPr>
      <w:r>
        <w:rPr>
          <w:rFonts w:hint="eastAsia"/>
          <w:sz w:val="30"/>
          <w:szCs w:val="30"/>
        </w:rPr>
        <w:t>22他们必被聚集，像囚犯被聚在坑中（或地牢中），并要被关在监狱里。</w:t>
      </w:r>
    </w:p>
    <w:p w14:paraId="3D7ADAE4">
      <w:pPr>
        <w:pStyle w:val="9"/>
        <w:spacing w:before="11"/>
        <w:ind w:left="0"/>
        <w:jc w:val="left"/>
        <w:rPr>
          <w:rFonts w:hint="eastAsia"/>
          <w:sz w:val="30"/>
          <w:szCs w:val="30"/>
        </w:rPr>
      </w:pPr>
    </w:p>
    <w:p w14:paraId="6678B1A0">
      <w:pPr>
        <w:pStyle w:val="9"/>
        <w:spacing w:before="11"/>
        <w:ind w:left="0"/>
        <w:jc w:val="left"/>
        <w:rPr>
          <w:rFonts w:hint="eastAsia"/>
          <w:sz w:val="30"/>
          <w:szCs w:val="30"/>
        </w:rPr>
      </w:pPr>
      <w:r>
        <w:rPr>
          <w:rFonts w:hint="eastAsia"/>
          <w:sz w:val="30"/>
          <w:szCs w:val="30"/>
        </w:rPr>
        <w:t>And after many days they will be punished (or visited).</w:t>
      </w:r>
    </w:p>
    <w:p w14:paraId="4D6FA4A5">
      <w:pPr>
        <w:pStyle w:val="9"/>
        <w:spacing w:before="11"/>
        <w:ind w:left="0"/>
        <w:jc w:val="left"/>
        <w:rPr>
          <w:rFonts w:hint="eastAsia"/>
          <w:sz w:val="30"/>
          <w:szCs w:val="30"/>
        </w:rPr>
      </w:pPr>
      <w:r>
        <w:rPr>
          <w:rFonts w:hint="eastAsia"/>
          <w:sz w:val="30"/>
          <w:szCs w:val="30"/>
        </w:rPr>
        <w:t>过了多日，他们必被惩罚（或眷顾）。</w:t>
      </w:r>
    </w:p>
    <w:p w14:paraId="0D0F5110">
      <w:pPr>
        <w:pStyle w:val="9"/>
        <w:spacing w:before="11"/>
        <w:ind w:left="0"/>
        <w:jc w:val="left"/>
        <w:rPr>
          <w:rFonts w:hint="eastAsia"/>
          <w:sz w:val="30"/>
          <w:szCs w:val="30"/>
        </w:rPr>
      </w:pPr>
    </w:p>
    <w:p w14:paraId="0D6B9D7E">
      <w:pPr>
        <w:pStyle w:val="9"/>
        <w:spacing w:before="11"/>
        <w:ind w:left="0"/>
        <w:jc w:val="left"/>
        <w:rPr>
          <w:rFonts w:hint="eastAsia"/>
          <w:sz w:val="30"/>
          <w:szCs w:val="30"/>
        </w:rPr>
      </w:pPr>
      <w:r>
        <w:rPr>
          <w:rFonts w:hint="eastAsia"/>
          <w:sz w:val="30"/>
          <w:szCs w:val="30"/>
        </w:rPr>
        <w:t>23Then the moon will be confounded, and the sun ashamed, for the LORD of hosts will reign on Mount Zion and in Jerusalem; and his glory will be before his elders.</w:t>
      </w:r>
    </w:p>
    <w:p w14:paraId="20EE658D">
      <w:pPr>
        <w:pStyle w:val="9"/>
        <w:spacing w:before="11"/>
        <w:ind w:left="0"/>
        <w:jc w:val="left"/>
        <w:rPr>
          <w:rFonts w:hint="eastAsia"/>
          <w:sz w:val="30"/>
          <w:szCs w:val="30"/>
        </w:rPr>
      </w:pPr>
      <w:r>
        <w:rPr>
          <w:rFonts w:hint="eastAsia"/>
          <w:sz w:val="30"/>
          <w:szCs w:val="30"/>
        </w:rPr>
        <w:t>23那时，月亮要蒙羞，日头要惭愧，因为万军之耶和华必在锡安山，在耶路撒冷作王；在祂的众长老面前，必有荣耀。</w:t>
      </w:r>
    </w:p>
    <w:p w14:paraId="6965845D">
      <w:pPr>
        <w:pStyle w:val="9"/>
        <w:spacing w:before="11"/>
        <w:ind w:left="0"/>
        <w:jc w:val="left"/>
        <w:rPr>
          <w:rFonts w:hint="eastAsia"/>
          <w:sz w:val="30"/>
          <w:szCs w:val="30"/>
        </w:rPr>
      </w:pPr>
    </w:p>
    <w:p w14:paraId="4B39971B">
      <w:pPr>
        <w:pStyle w:val="9"/>
        <w:spacing w:before="11"/>
        <w:ind w:left="0"/>
        <w:jc w:val="left"/>
        <w:rPr>
          <w:rFonts w:hint="eastAsia"/>
          <w:sz w:val="30"/>
          <w:szCs w:val="30"/>
        </w:rPr>
      </w:pPr>
      <w:r>
        <w:rPr>
          <w:rFonts w:hint="eastAsia"/>
          <w:sz w:val="30"/>
          <w:szCs w:val="30"/>
        </w:rPr>
        <w:t>This short but challenging OTKP appears in the midst of a long string of prophecies devoted to the end time judgments of God (Isaiah 24:1-27:13).</w:t>
      </w:r>
    </w:p>
    <w:p w14:paraId="4F0EA0E0">
      <w:pPr>
        <w:pStyle w:val="9"/>
        <w:spacing w:before="11"/>
        <w:ind w:left="0"/>
        <w:jc w:val="left"/>
        <w:rPr>
          <w:rFonts w:hint="eastAsia"/>
          <w:sz w:val="30"/>
          <w:szCs w:val="30"/>
        </w:rPr>
      </w:pPr>
      <w:r>
        <w:rPr>
          <w:rFonts w:hint="eastAsia"/>
          <w:sz w:val="30"/>
          <w:szCs w:val="30"/>
        </w:rPr>
        <w:t>这段简短但具有挑战性的旧约国度预言（OTKP）出现在一长串致力于上帝末世审判的预言之中（以赛亚书 24:1-27:13）。</w:t>
      </w:r>
    </w:p>
    <w:p w14:paraId="4A9DEA7C">
      <w:pPr>
        <w:pStyle w:val="9"/>
        <w:spacing w:before="11"/>
        <w:ind w:left="0"/>
        <w:jc w:val="left"/>
        <w:rPr>
          <w:rFonts w:hint="eastAsia"/>
          <w:sz w:val="30"/>
          <w:szCs w:val="30"/>
        </w:rPr>
      </w:pPr>
    </w:p>
    <w:p w14:paraId="2BC61A89">
      <w:pPr>
        <w:pStyle w:val="9"/>
        <w:spacing w:before="11"/>
        <w:ind w:left="0"/>
        <w:jc w:val="left"/>
        <w:rPr>
          <w:rFonts w:hint="eastAsia"/>
          <w:sz w:val="30"/>
          <w:szCs w:val="30"/>
        </w:rPr>
      </w:pPr>
      <w:r>
        <w:rPr>
          <w:rFonts w:hint="eastAsia"/>
          <w:sz w:val="30"/>
          <w:szCs w:val="30"/>
        </w:rPr>
        <w:t>In the verses immediately preceding our text, Isaiah has spoken of the final destruction of the earth (vv. 17-20).</w:t>
      </w:r>
    </w:p>
    <w:p w14:paraId="3DFC8B03">
      <w:pPr>
        <w:pStyle w:val="9"/>
        <w:spacing w:before="11"/>
        <w:ind w:left="0"/>
        <w:jc w:val="left"/>
        <w:rPr>
          <w:rFonts w:hint="eastAsia"/>
          <w:sz w:val="30"/>
          <w:szCs w:val="30"/>
        </w:rPr>
      </w:pPr>
      <w:r>
        <w:rPr>
          <w:rFonts w:hint="eastAsia"/>
          <w:sz w:val="30"/>
          <w:szCs w:val="30"/>
        </w:rPr>
        <w:t>在我们这段经文紧接的前几节，以赛亚谈到了地的最终毁灭（17-20节）。</w:t>
      </w:r>
    </w:p>
    <w:p w14:paraId="67D01461">
      <w:pPr>
        <w:pStyle w:val="9"/>
        <w:spacing w:before="11"/>
        <w:ind w:left="0"/>
        <w:jc w:val="left"/>
        <w:rPr>
          <w:rFonts w:hint="eastAsia"/>
          <w:sz w:val="30"/>
          <w:szCs w:val="30"/>
        </w:rPr>
      </w:pPr>
    </w:p>
    <w:p w14:paraId="27A39CF3">
      <w:pPr>
        <w:pStyle w:val="9"/>
        <w:spacing w:before="11"/>
        <w:ind w:left="0"/>
        <w:jc w:val="left"/>
        <w:rPr>
          <w:rFonts w:hint="eastAsia"/>
          <w:sz w:val="30"/>
          <w:szCs w:val="30"/>
        </w:rPr>
      </w:pPr>
      <w:r>
        <w:rPr>
          <w:rFonts w:hint="eastAsia"/>
          <w:sz w:val="30"/>
          <w:szCs w:val="30"/>
        </w:rPr>
        <w:t>Then, as indicated by the telltale phrase “In that Day,” a new prophecy begins, a prophecy that only three verses later brings the chapter to a close (24:21-23).</w:t>
      </w:r>
    </w:p>
    <w:p w14:paraId="0AEFA299">
      <w:pPr>
        <w:pStyle w:val="9"/>
        <w:spacing w:before="11"/>
        <w:ind w:left="0"/>
        <w:jc w:val="left"/>
        <w:rPr>
          <w:rFonts w:hint="eastAsia"/>
          <w:sz w:val="30"/>
          <w:szCs w:val="30"/>
        </w:rPr>
      </w:pPr>
      <w:r>
        <w:rPr>
          <w:rFonts w:hint="eastAsia"/>
          <w:sz w:val="30"/>
          <w:szCs w:val="30"/>
        </w:rPr>
        <w:t>然后，如典型的短语“当那日”所表明的，一个新的预言开始，这个预言仅在三节之后就结束了本章（24:21-23）。</w:t>
      </w:r>
    </w:p>
    <w:p w14:paraId="1DCF9964">
      <w:pPr>
        <w:pStyle w:val="9"/>
        <w:spacing w:before="11"/>
        <w:ind w:left="0"/>
        <w:jc w:val="left"/>
        <w:rPr>
          <w:rFonts w:hint="eastAsia"/>
          <w:sz w:val="30"/>
          <w:szCs w:val="30"/>
        </w:rPr>
      </w:pPr>
    </w:p>
    <w:p w14:paraId="2854FD65">
      <w:pPr>
        <w:pStyle w:val="9"/>
        <w:spacing w:before="11"/>
        <w:ind w:left="0"/>
        <w:jc w:val="left"/>
        <w:rPr>
          <w:rFonts w:hint="eastAsia"/>
          <w:sz w:val="30"/>
          <w:szCs w:val="30"/>
        </w:rPr>
      </w:pPr>
      <w:r>
        <w:rPr>
          <w:rFonts w:hint="eastAsia"/>
          <w:sz w:val="30"/>
          <w:szCs w:val="30"/>
        </w:rPr>
        <w:t>Many premillennial interpreters find here an OT adumbration of the Millennium of Revelation 20.8 In verse 21 they see the binding of Satan (and his demonic hosts) at Christ’s return (Rev. 20:2).</w:t>
      </w:r>
    </w:p>
    <w:p w14:paraId="50715AFC">
      <w:pPr>
        <w:pStyle w:val="9"/>
        <w:spacing w:before="11"/>
        <w:ind w:left="0"/>
        <w:jc w:val="left"/>
        <w:rPr>
          <w:rFonts w:hint="eastAsia"/>
          <w:sz w:val="30"/>
          <w:szCs w:val="30"/>
        </w:rPr>
      </w:pPr>
      <w:r>
        <w:rPr>
          <w:rFonts w:hint="eastAsia"/>
          <w:sz w:val="30"/>
          <w:szCs w:val="30"/>
        </w:rPr>
        <w:t>许多前千禧年派的解释者在这里找到了启示录20章千禧年的一个旧约预示。8 在第21节，他们看到了基督再来时撒但（及其魔鬼众军）的被捆绑（启示录 20:2）。</w:t>
      </w:r>
    </w:p>
    <w:p w14:paraId="592BF366">
      <w:pPr>
        <w:pStyle w:val="9"/>
        <w:spacing w:before="11"/>
        <w:ind w:left="0"/>
        <w:jc w:val="left"/>
        <w:rPr>
          <w:rFonts w:hint="eastAsia"/>
          <w:sz w:val="30"/>
          <w:szCs w:val="30"/>
        </w:rPr>
      </w:pPr>
    </w:p>
    <w:p w14:paraId="5EE06F8E">
      <w:pPr>
        <w:pStyle w:val="9"/>
        <w:spacing w:before="11"/>
        <w:ind w:left="0"/>
        <w:jc w:val="left"/>
        <w:rPr>
          <w:rFonts w:hint="eastAsia"/>
          <w:sz w:val="30"/>
          <w:szCs w:val="30"/>
        </w:rPr>
      </w:pPr>
      <w:r>
        <w:rPr>
          <w:rFonts w:hint="eastAsia"/>
          <w:sz w:val="30"/>
          <w:szCs w:val="30"/>
        </w:rPr>
        <w:t>In verse 22a they see Satan’s thousand year incarceration in the abyss.</w:t>
      </w:r>
    </w:p>
    <w:p w14:paraId="5207DF8B">
      <w:pPr>
        <w:pStyle w:val="9"/>
        <w:spacing w:before="11"/>
        <w:ind w:left="0"/>
        <w:jc w:val="left"/>
        <w:rPr>
          <w:rFonts w:hint="eastAsia"/>
          <w:sz w:val="30"/>
          <w:szCs w:val="30"/>
        </w:rPr>
      </w:pPr>
      <w:r>
        <w:rPr>
          <w:rFonts w:hint="eastAsia"/>
          <w:sz w:val="30"/>
          <w:szCs w:val="30"/>
        </w:rPr>
        <w:t>在第22节上，他们看到撒但被监禁在无底坑中一千年。</w:t>
      </w:r>
    </w:p>
    <w:p w14:paraId="3306B269">
      <w:pPr>
        <w:pStyle w:val="9"/>
        <w:spacing w:before="11"/>
        <w:ind w:left="0"/>
        <w:jc w:val="left"/>
        <w:rPr>
          <w:rFonts w:hint="eastAsia"/>
          <w:sz w:val="30"/>
          <w:szCs w:val="30"/>
        </w:rPr>
      </w:pPr>
    </w:p>
    <w:p w14:paraId="0FBE869F">
      <w:pPr>
        <w:pStyle w:val="9"/>
        <w:spacing w:before="11"/>
        <w:ind w:left="0"/>
        <w:jc w:val="left"/>
        <w:rPr>
          <w:rFonts w:hint="eastAsia"/>
          <w:sz w:val="30"/>
          <w:szCs w:val="30"/>
        </w:rPr>
      </w:pPr>
      <w:r>
        <w:rPr>
          <w:rFonts w:hint="eastAsia"/>
          <w:sz w:val="30"/>
          <w:szCs w:val="30"/>
        </w:rPr>
        <w:t>And in verse 22b they see his postmillennial release (a visitation, Rev. 20:3, 7), followed shortly thereafter by his final destruction in the Lake of Fire (a punishment, Rev. 20:10).</w:t>
      </w:r>
    </w:p>
    <w:p w14:paraId="2AC54336">
      <w:pPr>
        <w:pStyle w:val="9"/>
        <w:spacing w:before="11"/>
        <w:ind w:left="0"/>
        <w:jc w:val="left"/>
        <w:rPr>
          <w:rFonts w:hint="eastAsia"/>
          <w:sz w:val="30"/>
          <w:szCs w:val="30"/>
        </w:rPr>
      </w:pPr>
      <w:r>
        <w:rPr>
          <w:rFonts w:hint="eastAsia"/>
          <w:sz w:val="30"/>
          <w:szCs w:val="30"/>
        </w:rPr>
        <w:t>在第22节下，他们看到了祂在千禧年后被释放（一次眷顾，启示录 20:3, 7），紧接着祂在火湖中被最终毁灭（一次惩罚，启示录 20:10）。</w:t>
      </w:r>
    </w:p>
    <w:p w14:paraId="5B9F0393">
      <w:pPr>
        <w:pStyle w:val="9"/>
        <w:spacing w:before="11"/>
        <w:ind w:left="0"/>
        <w:jc w:val="left"/>
        <w:rPr>
          <w:rFonts w:hint="eastAsia"/>
          <w:sz w:val="30"/>
          <w:szCs w:val="30"/>
        </w:rPr>
      </w:pPr>
    </w:p>
    <w:p w14:paraId="140BE5A4">
      <w:pPr>
        <w:pStyle w:val="9"/>
        <w:spacing w:before="11"/>
        <w:ind w:left="0"/>
        <w:jc w:val="left"/>
        <w:rPr>
          <w:rFonts w:hint="eastAsia"/>
          <w:sz w:val="30"/>
          <w:szCs w:val="30"/>
        </w:rPr>
      </w:pPr>
      <w:r>
        <w:rPr>
          <w:rFonts w:hint="eastAsia"/>
          <w:sz w:val="30"/>
          <w:szCs w:val="30"/>
        </w:rPr>
        <w:t>Reading verse 23 literally, they assert that Isaiah concludes his prophecy by depicting the glory of Christ’s earthly reign on Zion, in Jerusalem; a reign set in a supernaturally transformed, but not yet perfected, Palestine.</w:t>
      </w:r>
    </w:p>
    <w:p w14:paraId="70C58256">
      <w:pPr>
        <w:pStyle w:val="9"/>
        <w:spacing w:before="11"/>
        <w:ind w:left="0"/>
        <w:jc w:val="left"/>
        <w:rPr>
          <w:rFonts w:hint="eastAsia"/>
          <w:sz w:val="30"/>
          <w:szCs w:val="30"/>
        </w:rPr>
      </w:pPr>
      <w:r>
        <w:rPr>
          <w:rFonts w:hint="eastAsia"/>
          <w:sz w:val="30"/>
          <w:szCs w:val="30"/>
        </w:rPr>
        <w:t>他们按字面意思解读第23节，断言以赛亚通过描绘基督在锡安，在耶路撒冷的地上统治的荣耀来结束他的预言；一个设立在超自然转变但尚未完全的巴勒斯坦的统治。</w:t>
      </w:r>
    </w:p>
    <w:p w14:paraId="1EC9C103">
      <w:pPr>
        <w:pStyle w:val="9"/>
        <w:spacing w:before="11"/>
        <w:ind w:left="0"/>
        <w:jc w:val="left"/>
        <w:rPr>
          <w:rFonts w:hint="eastAsia"/>
          <w:sz w:val="30"/>
          <w:szCs w:val="30"/>
        </w:rPr>
      </w:pPr>
    </w:p>
    <w:p w14:paraId="7EFFBB25">
      <w:pPr>
        <w:pStyle w:val="9"/>
        <w:spacing w:before="11"/>
        <w:ind w:left="0"/>
        <w:jc w:val="left"/>
        <w:rPr>
          <w:rFonts w:hint="eastAsia"/>
          <w:sz w:val="30"/>
          <w:szCs w:val="30"/>
        </w:rPr>
      </w:pPr>
      <w:r>
        <w:rPr>
          <w:rFonts w:hint="eastAsia"/>
          <w:sz w:val="30"/>
          <w:szCs w:val="30"/>
        </w:rPr>
        <w:t>There are, however, serious objections to this interpretation.</w:t>
      </w:r>
    </w:p>
    <w:p w14:paraId="4D7CFBD4">
      <w:pPr>
        <w:pStyle w:val="9"/>
        <w:spacing w:before="11"/>
        <w:ind w:left="0"/>
        <w:jc w:val="left"/>
        <w:rPr>
          <w:rFonts w:hint="eastAsia"/>
          <w:sz w:val="30"/>
          <w:szCs w:val="30"/>
        </w:rPr>
      </w:pPr>
      <w:r>
        <w:rPr>
          <w:rFonts w:hint="eastAsia"/>
          <w:sz w:val="30"/>
          <w:szCs w:val="30"/>
        </w:rPr>
        <w:t>然而，对这种解释有严重的反对意见。</w:t>
      </w:r>
    </w:p>
    <w:p w14:paraId="103BC2A3">
      <w:pPr>
        <w:pStyle w:val="9"/>
        <w:spacing w:before="11"/>
        <w:ind w:left="0"/>
        <w:jc w:val="left"/>
        <w:rPr>
          <w:rFonts w:hint="eastAsia"/>
          <w:sz w:val="30"/>
          <w:szCs w:val="30"/>
        </w:rPr>
      </w:pPr>
    </w:p>
    <w:p w14:paraId="6D6FC207">
      <w:pPr>
        <w:pStyle w:val="9"/>
        <w:spacing w:before="11"/>
        <w:ind w:left="0"/>
        <w:jc w:val="left"/>
        <w:rPr>
          <w:rFonts w:hint="eastAsia"/>
          <w:sz w:val="30"/>
          <w:szCs w:val="30"/>
        </w:rPr>
      </w:pPr>
      <w:r>
        <w:rPr>
          <w:rFonts w:hint="eastAsia"/>
          <w:sz w:val="30"/>
          <w:szCs w:val="30"/>
        </w:rPr>
        <w:t>First, the text says nothing whatsoever about the Messiah, still less about his coming in glory, though Isaiah is well able to speak of both.</w:t>
      </w:r>
    </w:p>
    <w:p w14:paraId="10369159">
      <w:pPr>
        <w:pStyle w:val="9"/>
        <w:spacing w:before="11"/>
        <w:ind w:left="0"/>
        <w:jc w:val="left"/>
        <w:rPr>
          <w:rFonts w:hint="eastAsia"/>
          <w:sz w:val="30"/>
          <w:szCs w:val="30"/>
        </w:rPr>
      </w:pPr>
      <w:r>
        <w:rPr>
          <w:rFonts w:hint="eastAsia"/>
          <w:sz w:val="30"/>
          <w:szCs w:val="30"/>
        </w:rPr>
        <w:t>首先，经文完全没有提到弥赛亚，更不用说祂在荣耀中降临，尽管以赛亚完全能够谈论这两者。</w:t>
      </w:r>
    </w:p>
    <w:p w14:paraId="27847E67">
      <w:pPr>
        <w:pStyle w:val="9"/>
        <w:spacing w:before="11"/>
        <w:ind w:left="0"/>
        <w:jc w:val="left"/>
        <w:rPr>
          <w:rFonts w:hint="eastAsia"/>
          <w:sz w:val="30"/>
          <w:szCs w:val="30"/>
        </w:rPr>
      </w:pPr>
    </w:p>
    <w:p w14:paraId="05CC4A28">
      <w:pPr>
        <w:pStyle w:val="9"/>
        <w:spacing w:before="11"/>
        <w:ind w:left="0"/>
        <w:jc w:val="left"/>
        <w:rPr>
          <w:rFonts w:hint="eastAsia"/>
          <w:sz w:val="30"/>
          <w:szCs w:val="30"/>
        </w:rPr>
      </w:pPr>
      <w:r>
        <w:rPr>
          <w:rFonts w:hint="eastAsia"/>
          <w:sz w:val="30"/>
          <w:szCs w:val="30"/>
        </w:rPr>
        <w:t>Secondly, verses 21- 22a indicate that the evil hosts of heaven and the impenitent kings of the earth will share the same fate: Both will be punished, both will be incarcerated, and both—after many days—will be visited and punished yet again.</w:t>
      </w:r>
    </w:p>
    <w:p w14:paraId="0A429485">
      <w:pPr>
        <w:pStyle w:val="9"/>
        <w:spacing w:before="11"/>
        <w:ind w:left="0"/>
        <w:jc w:val="left"/>
        <w:rPr>
          <w:rFonts w:hint="eastAsia"/>
          <w:sz w:val="30"/>
          <w:szCs w:val="30"/>
        </w:rPr>
      </w:pPr>
      <w:r>
        <w:rPr>
          <w:rFonts w:hint="eastAsia"/>
          <w:sz w:val="30"/>
          <w:szCs w:val="30"/>
        </w:rPr>
        <w:t>其次，第21-22节上表明，天上的邪恶众军和地上不悔改的君王将有同样的命运：两者都将受罚，两者都将被监禁，并且两者——在多日之后——将再次被眷顾和惩罚。</w:t>
      </w:r>
    </w:p>
    <w:p w14:paraId="08C0184D">
      <w:pPr>
        <w:pStyle w:val="9"/>
        <w:spacing w:before="11"/>
        <w:ind w:left="0"/>
        <w:jc w:val="left"/>
        <w:rPr>
          <w:rFonts w:hint="eastAsia"/>
          <w:sz w:val="30"/>
          <w:szCs w:val="30"/>
        </w:rPr>
      </w:pPr>
    </w:p>
    <w:p w14:paraId="58BAC887">
      <w:pPr>
        <w:pStyle w:val="9"/>
        <w:spacing w:before="11"/>
        <w:ind w:left="0"/>
        <w:jc w:val="left"/>
        <w:rPr>
          <w:rFonts w:hint="eastAsia"/>
          <w:sz w:val="30"/>
          <w:szCs w:val="30"/>
        </w:rPr>
      </w:pPr>
      <w:r>
        <w:rPr>
          <w:rFonts w:hint="eastAsia"/>
          <w:sz w:val="30"/>
          <w:szCs w:val="30"/>
        </w:rPr>
        <w:t>However, while Rev. 20 does indeed speak of Satan being bound and shut up in the abyss, it says nothing at all about a divine judgment of men, let alone kings.</w:t>
      </w:r>
    </w:p>
    <w:p w14:paraId="0F89365F">
      <w:pPr>
        <w:pStyle w:val="9"/>
        <w:spacing w:before="11"/>
        <w:ind w:left="0"/>
        <w:jc w:val="left"/>
        <w:rPr>
          <w:rFonts w:hint="eastAsia"/>
          <w:sz w:val="30"/>
          <w:szCs w:val="30"/>
        </w:rPr>
      </w:pPr>
      <w:r>
        <w:rPr>
          <w:rFonts w:hint="eastAsia"/>
          <w:sz w:val="30"/>
          <w:szCs w:val="30"/>
        </w:rPr>
        <w:t>然而，虽然启示录20章确实谈到撒但被捆绑并关在无底坑里，但它完全没有提到对人的神圣审判，更不用说君王了。</w:t>
      </w:r>
    </w:p>
    <w:p w14:paraId="67EDBC02">
      <w:pPr>
        <w:pStyle w:val="9"/>
        <w:spacing w:before="11"/>
        <w:ind w:left="0"/>
        <w:jc w:val="left"/>
        <w:rPr>
          <w:rFonts w:hint="eastAsia"/>
          <w:sz w:val="30"/>
          <w:szCs w:val="30"/>
        </w:rPr>
      </w:pPr>
    </w:p>
    <w:p w14:paraId="737A2495">
      <w:pPr>
        <w:pStyle w:val="9"/>
        <w:spacing w:before="11"/>
        <w:ind w:left="0"/>
        <w:jc w:val="left"/>
        <w:rPr>
          <w:rFonts w:hint="eastAsia"/>
          <w:sz w:val="30"/>
          <w:szCs w:val="30"/>
        </w:rPr>
      </w:pPr>
      <w:r>
        <w:rPr>
          <w:rFonts w:hint="eastAsia"/>
          <w:sz w:val="30"/>
          <w:szCs w:val="30"/>
        </w:rPr>
        <w:t>Finally, the whole momentum of the prophecy—well captured in the little word “then” (found in nearly all the translations)— favors the view that the LORD of hosts will reign on Zion after these end time judgments occur.</w:t>
      </w:r>
    </w:p>
    <w:p w14:paraId="40BCA260">
      <w:pPr>
        <w:pStyle w:val="9"/>
        <w:spacing w:before="11"/>
        <w:ind w:left="0"/>
        <w:jc w:val="left"/>
        <w:rPr>
          <w:rFonts w:hint="eastAsia"/>
          <w:sz w:val="30"/>
          <w:szCs w:val="30"/>
        </w:rPr>
      </w:pPr>
      <w:r>
        <w:rPr>
          <w:rFonts w:hint="eastAsia"/>
          <w:sz w:val="30"/>
          <w:szCs w:val="30"/>
        </w:rPr>
        <w:t>最后，预言的整体势头——在几乎所有译本中都出现的“然后”这个小词很好地捕捉到了——支持这样的观点，即万军之耶和华将在这些末世审判发生后在锡安作王。</w:t>
      </w:r>
    </w:p>
    <w:p w14:paraId="660387A1">
      <w:pPr>
        <w:pStyle w:val="9"/>
        <w:spacing w:before="11"/>
        <w:ind w:left="0"/>
        <w:jc w:val="left"/>
        <w:rPr>
          <w:rFonts w:hint="eastAsia"/>
          <w:sz w:val="30"/>
          <w:szCs w:val="30"/>
        </w:rPr>
      </w:pPr>
    </w:p>
    <w:p w14:paraId="4BA15E34">
      <w:pPr>
        <w:pStyle w:val="9"/>
        <w:spacing w:before="11"/>
        <w:ind w:left="0"/>
        <w:jc w:val="left"/>
        <w:rPr>
          <w:rFonts w:hint="eastAsia"/>
          <w:sz w:val="30"/>
          <w:szCs w:val="30"/>
        </w:rPr>
      </w:pPr>
      <w:r>
        <w:rPr>
          <w:rFonts w:hint="eastAsia"/>
          <w:sz w:val="30"/>
          <w:szCs w:val="30"/>
        </w:rPr>
        <w:t>In other words, the most natural reading of verse 23 is that it does not describe the (alleged) Millennium of v. 22, but the final state, the World to Come.</w:t>
      </w:r>
    </w:p>
    <w:p w14:paraId="032161A2">
      <w:pPr>
        <w:pStyle w:val="9"/>
        <w:spacing w:before="11"/>
        <w:ind w:left="0"/>
        <w:jc w:val="left"/>
        <w:rPr>
          <w:rFonts w:hint="eastAsia"/>
          <w:sz w:val="30"/>
          <w:szCs w:val="30"/>
        </w:rPr>
      </w:pPr>
      <w:r>
        <w:rPr>
          <w:rFonts w:hint="eastAsia"/>
          <w:sz w:val="30"/>
          <w:szCs w:val="30"/>
        </w:rPr>
        <w:t>换句话说，对第23节最自然的解读是，它描述的不是第22节所声称的千禧年，而是最终的状态，即未来的世界。</w:t>
      </w:r>
    </w:p>
    <w:p w14:paraId="296E1AB1">
      <w:pPr>
        <w:pStyle w:val="9"/>
        <w:spacing w:before="11"/>
        <w:ind w:left="0"/>
        <w:jc w:val="left"/>
        <w:rPr>
          <w:rFonts w:hint="eastAsia"/>
          <w:sz w:val="30"/>
          <w:szCs w:val="30"/>
        </w:rPr>
      </w:pPr>
    </w:p>
    <w:p w14:paraId="3DF1D5D7">
      <w:pPr>
        <w:pStyle w:val="9"/>
        <w:spacing w:before="11"/>
        <w:ind w:left="0"/>
        <w:jc w:val="left"/>
        <w:rPr>
          <w:rFonts w:hint="eastAsia"/>
          <w:sz w:val="30"/>
          <w:szCs w:val="30"/>
        </w:rPr>
      </w:pPr>
      <w:r>
        <w:rPr>
          <w:rFonts w:hint="eastAsia"/>
          <w:sz w:val="30"/>
          <w:szCs w:val="30"/>
        </w:rPr>
        <w:t>Can the NCH help us here?</w:t>
      </w:r>
    </w:p>
    <w:p w14:paraId="475AEF26">
      <w:pPr>
        <w:pStyle w:val="9"/>
        <w:spacing w:before="11"/>
        <w:ind w:left="0"/>
        <w:jc w:val="left"/>
        <w:rPr>
          <w:rFonts w:hint="eastAsia"/>
          <w:sz w:val="30"/>
          <w:szCs w:val="30"/>
        </w:rPr>
      </w:pPr>
      <w:r>
        <w:rPr>
          <w:rFonts w:hint="eastAsia"/>
          <w:sz w:val="30"/>
          <w:szCs w:val="30"/>
        </w:rPr>
        <w:t>新约解释学（NCH）能在这里帮助我们吗？</w:t>
      </w:r>
    </w:p>
    <w:p w14:paraId="7460A3F6">
      <w:pPr>
        <w:pStyle w:val="9"/>
        <w:spacing w:before="11"/>
        <w:ind w:left="0"/>
        <w:jc w:val="left"/>
        <w:rPr>
          <w:rFonts w:hint="eastAsia"/>
          <w:sz w:val="30"/>
          <w:szCs w:val="30"/>
        </w:rPr>
      </w:pPr>
    </w:p>
    <w:p w14:paraId="680CF169">
      <w:pPr>
        <w:pStyle w:val="9"/>
        <w:spacing w:before="11"/>
        <w:ind w:left="0"/>
        <w:jc w:val="left"/>
        <w:rPr>
          <w:rFonts w:hint="eastAsia"/>
          <w:sz w:val="30"/>
          <w:szCs w:val="30"/>
        </w:rPr>
      </w:pPr>
      <w:r>
        <w:rPr>
          <w:rFonts w:hint="eastAsia"/>
          <w:sz w:val="30"/>
          <w:szCs w:val="30"/>
        </w:rPr>
        <w:t>Yes indeed, primarily because it enables us to think clearly about the true sphere of fulfillment of this prophecy.</w:t>
      </w:r>
    </w:p>
    <w:p w14:paraId="3989BD03">
      <w:pPr>
        <w:pStyle w:val="9"/>
        <w:spacing w:before="11"/>
        <w:ind w:left="0"/>
        <w:jc w:val="left"/>
        <w:rPr>
          <w:rFonts w:hint="eastAsia"/>
          <w:sz w:val="30"/>
          <w:szCs w:val="30"/>
        </w:rPr>
      </w:pPr>
      <w:r>
        <w:rPr>
          <w:rFonts w:hint="eastAsia"/>
          <w:sz w:val="30"/>
          <w:szCs w:val="30"/>
        </w:rPr>
        <w:t>是的，确实如此，主要是因为它使我们能够清楚地思考这个预言的真正应验范围。</w:t>
      </w:r>
    </w:p>
    <w:p w14:paraId="2B5DB72C">
      <w:pPr>
        <w:pStyle w:val="9"/>
        <w:spacing w:before="11"/>
        <w:ind w:left="0"/>
        <w:jc w:val="left"/>
        <w:rPr>
          <w:rFonts w:hint="eastAsia"/>
          <w:sz w:val="30"/>
          <w:szCs w:val="30"/>
        </w:rPr>
      </w:pPr>
    </w:p>
    <w:p w14:paraId="07A15284">
      <w:pPr>
        <w:pStyle w:val="9"/>
        <w:spacing w:before="11"/>
        <w:ind w:left="0"/>
        <w:jc w:val="left"/>
        <w:rPr>
          <w:rFonts w:hint="eastAsia"/>
          <w:sz w:val="30"/>
          <w:szCs w:val="30"/>
        </w:rPr>
      </w:pPr>
      <w:r>
        <w:rPr>
          <w:rFonts w:hint="eastAsia"/>
          <w:sz w:val="30"/>
          <w:szCs w:val="30"/>
        </w:rPr>
        <w:t>Bearing this in mind, one might therefore argue that in vv. 21-22 Isaiah is speaking of punishment(s) to be meted out by the High King of heaven and earth all throughout the (long) “day” of his heavenly reign; how he will cast (many) impenitent kings and evil spirits into Hades, committing them to pits of darkness, where they are reserved for (final) judgment (Luke 8:31, Col. 2:15, 1 Peter 3:18-20, 2 Peter 2:4).</w:t>
      </w:r>
    </w:p>
    <w:p w14:paraId="45C1752B">
      <w:pPr>
        <w:pStyle w:val="9"/>
        <w:spacing w:before="11"/>
        <w:ind w:left="0"/>
        <w:jc w:val="left"/>
        <w:rPr>
          <w:rFonts w:hint="eastAsia"/>
          <w:sz w:val="30"/>
          <w:szCs w:val="30"/>
        </w:rPr>
      </w:pPr>
      <w:r>
        <w:rPr>
          <w:rFonts w:hint="eastAsia"/>
          <w:sz w:val="30"/>
          <w:szCs w:val="30"/>
        </w:rPr>
        <w:t>牢记这一点，人们因此可以论证，在第21-22节，以赛亚谈论的是天上地下至高君王在祂属天统治的（漫长）“日子”里将要施行的惩罚；祂将如何把（许多）不悔改的君王和邪灵投入阴间，将他们交在黑暗的坑中，为（最后的）审判存留（路加福音 8:31, 歌罗西书 2:15, 彼得前书 3:18-20, 彼得后书 2:4）。</w:t>
      </w:r>
    </w:p>
    <w:p w14:paraId="2ACCEFD7">
      <w:pPr>
        <w:pStyle w:val="9"/>
        <w:spacing w:before="11"/>
        <w:ind w:left="0"/>
        <w:jc w:val="left"/>
        <w:rPr>
          <w:rFonts w:hint="eastAsia"/>
          <w:sz w:val="30"/>
          <w:szCs w:val="30"/>
        </w:rPr>
      </w:pPr>
    </w:p>
    <w:p w14:paraId="3AF09951">
      <w:pPr>
        <w:pStyle w:val="9"/>
        <w:spacing w:before="11"/>
        <w:ind w:left="0"/>
        <w:jc w:val="left"/>
        <w:rPr>
          <w:rFonts w:hint="eastAsia"/>
          <w:sz w:val="30"/>
          <w:szCs w:val="30"/>
        </w:rPr>
      </w:pPr>
      <w:r>
        <w:rPr>
          <w:rFonts w:hint="eastAsia"/>
          <w:sz w:val="30"/>
          <w:szCs w:val="30"/>
        </w:rPr>
        <w:t>On this view, the final punishment spoken of in v. 22b occurs on the Day of Judgment, when Christ, at his Parousia, will cast Death and Hades into the Lake of Fire (Rev. 20:14).</w:t>
      </w:r>
    </w:p>
    <w:p w14:paraId="4F954C9F">
      <w:pPr>
        <w:pStyle w:val="9"/>
        <w:spacing w:before="11"/>
        <w:ind w:left="0"/>
        <w:jc w:val="left"/>
        <w:rPr>
          <w:rFonts w:hint="eastAsia"/>
          <w:sz w:val="30"/>
          <w:szCs w:val="30"/>
        </w:rPr>
      </w:pPr>
      <w:r>
        <w:rPr>
          <w:rFonts w:hint="eastAsia"/>
          <w:sz w:val="30"/>
          <w:szCs w:val="30"/>
        </w:rPr>
        <w:t>在这种观点下，第22节下所说的最后惩罚发生在审判日，那时基督在祂的第二次降临时，将把死亡和阴间扔进火湖里（启示录 20:14）。</w:t>
      </w:r>
    </w:p>
    <w:p w14:paraId="589F7992">
      <w:pPr>
        <w:pStyle w:val="9"/>
        <w:spacing w:before="11"/>
        <w:ind w:left="0"/>
        <w:jc w:val="left"/>
        <w:rPr>
          <w:rFonts w:hint="eastAsia"/>
          <w:sz w:val="30"/>
          <w:szCs w:val="30"/>
        </w:rPr>
      </w:pPr>
    </w:p>
    <w:p w14:paraId="29565E77">
      <w:pPr>
        <w:pStyle w:val="9"/>
        <w:spacing w:before="11"/>
        <w:ind w:left="0"/>
        <w:jc w:val="left"/>
        <w:rPr>
          <w:rFonts w:hint="eastAsia"/>
          <w:sz w:val="30"/>
          <w:szCs w:val="30"/>
        </w:rPr>
      </w:pPr>
      <w:r>
        <w:rPr>
          <w:rFonts w:hint="eastAsia"/>
          <w:sz w:val="30"/>
          <w:szCs w:val="30"/>
        </w:rPr>
        <w:t>This leads to the advent of the new heavens and the new earth, where the glory of God and Christ will ever be before his Church, just as v. 23 teaches under OT type and shadow (Rev. 4:4, 10, 5:8, 11:16, 19:4, 21:23).</w:t>
      </w:r>
    </w:p>
    <w:p w14:paraId="51A8F9BE">
      <w:pPr>
        <w:pStyle w:val="9"/>
        <w:spacing w:before="11"/>
        <w:ind w:left="0"/>
        <w:jc w:val="left"/>
        <w:rPr>
          <w:rFonts w:hint="eastAsia"/>
          <w:sz w:val="30"/>
          <w:szCs w:val="30"/>
        </w:rPr>
      </w:pPr>
      <w:r>
        <w:rPr>
          <w:rFonts w:hint="eastAsia"/>
          <w:sz w:val="30"/>
          <w:szCs w:val="30"/>
        </w:rPr>
        <w:t>这就引出了新天新地的降临，在那里，上帝和基督的荣耀将永远在祂的教会面前，正如第23节在旧约的预表和影儿下所教导的（启示录 4:4, 10, 5:8, 11:16, 19:4, 21:23）。</w:t>
      </w:r>
    </w:p>
    <w:p w14:paraId="14114683">
      <w:pPr>
        <w:pStyle w:val="9"/>
        <w:spacing w:before="11"/>
        <w:ind w:left="0"/>
        <w:jc w:val="left"/>
        <w:rPr>
          <w:rFonts w:hint="eastAsia"/>
          <w:sz w:val="30"/>
          <w:szCs w:val="30"/>
        </w:rPr>
      </w:pPr>
    </w:p>
    <w:p w14:paraId="7C47F812">
      <w:pPr>
        <w:pStyle w:val="9"/>
        <w:spacing w:before="11"/>
        <w:ind w:left="0"/>
        <w:jc w:val="left"/>
        <w:rPr>
          <w:rFonts w:hint="eastAsia"/>
          <w:sz w:val="30"/>
          <w:szCs w:val="30"/>
        </w:rPr>
      </w:pPr>
      <w:r>
        <w:rPr>
          <w:rFonts w:hint="eastAsia"/>
          <w:sz w:val="30"/>
          <w:szCs w:val="30"/>
        </w:rPr>
        <w:t>Alternatively, it may be that verses 21-22 speak exclusively of the Last Judgment at the return of Christ (see NKJV).</w:t>
      </w:r>
    </w:p>
    <w:p w14:paraId="0849C5DB">
      <w:pPr>
        <w:pStyle w:val="9"/>
        <w:spacing w:before="11"/>
        <w:ind w:left="0"/>
        <w:jc w:val="left"/>
        <w:rPr>
          <w:rFonts w:hint="eastAsia"/>
          <w:sz w:val="30"/>
          <w:szCs w:val="30"/>
        </w:rPr>
      </w:pPr>
      <w:r>
        <w:rPr>
          <w:rFonts w:hint="eastAsia"/>
          <w:sz w:val="30"/>
          <w:szCs w:val="30"/>
        </w:rPr>
        <w:t>或者，可能第21-22节只谈到基督再来时的最后审判（见新英王钦定本）。</w:t>
      </w:r>
    </w:p>
    <w:p w14:paraId="3A436161">
      <w:pPr>
        <w:pStyle w:val="9"/>
        <w:spacing w:before="11"/>
        <w:ind w:left="0"/>
        <w:jc w:val="left"/>
        <w:rPr>
          <w:rFonts w:hint="eastAsia"/>
          <w:sz w:val="30"/>
          <w:szCs w:val="30"/>
        </w:rPr>
      </w:pPr>
    </w:p>
    <w:p w14:paraId="5147E155">
      <w:pPr>
        <w:pStyle w:val="9"/>
        <w:spacing w:before="11"/>
        <w:ind w:left="0"/>
        <w:jc w:val="left"/>
        <w:rPr>
          <w:rFonts w:hint="eastAsia"/>
          <w:sz w:val="30"/>
          <w:szCs w:val="30"/>
        </w:rPr>
      </w:pPr>
      <w:r>
        <w:rPr>
          <w:rFonts w:hint="eastAsia"/>
          <w:sz w:val="30"/>
          <w:szCs w:val="30"/>
        </w:rPr>
        <w:t>On this view, v. 22b is not describing a different judgment, subsequent to that of v. 21, but is instead affirming yet again that the Last Judgment will indeed occur, though after “many days” of divine forbearance (and Kingdom advance through the preaching of the Gospel).</w:t>
      </w:r>
    </w:p>
    <w:p w14:paraId="05238491">
      <w:pPr>
        <w:pStyle w:val="9"/>
        <w:spacing w:before="11"/>
        <w:ind w:left="0"/>
        <w:jc w:val="left"/>
        <w:rPr>
          <w:rFonts w:hint="eastAsia"/>
          <w:sz w:val="30"/>
          <w:szCs w:val="30"/>
        </w:rPr>
      </w:pPr>
      <w:r>
        <w:rPr>
          <w:rFonts w:hint="eastAsia"/>
          <w:sz w:val="30"/>
          <w:szCs w:val="30"/>
        </w:rPr>
        <w:t>在这种观点下，第22节下并不是在描述一个不同于第21节的后续审判，而是在再次肯定最后的审判确实会发生，尽管是在“多日”的神圣宽容（以及通过传讲福音的国度进展）之后。</w:t>
      </w:r>
    </w:p>
    <w:p w14:paraId="7FB53A00">
      <w:pPr>
        <w:pStyle w:val="9"/>
        <w:spacing w:before="11"/>
        <w:ind w:left="0"/>
        <w:jc w:val="left"/>
        <w:rPr>
          <w:rFonts w:hint="eastAsia"/>
          <w:sz w:val="30"/>
          <w:szCs w:val="30"/>
        </w:rPr>
      </w:pPr>
    </w:p>
    <w:p w14:paraId="433BAC5E">
      <w:pPr>
        <w:pStyle w:val="9"/>
        <w:spacing w:before="11"/>
        <w:ind w:left="0"/>
        <w:jc w:val="left"/>
        <w:rPr>
          <w:rFonts w:hint="eastAsia"/>
          <w:sz w:val="30"/>
          <w:szCs w:val="30"/>
        </w:rPr>
      </w:pPr>
      <w:r>
        <w:rPr>
          <w:rFonts w:hint="eastAsia"/>
          <w:sz w:val="30"/>
          <w:szCs w:val="30"/>
        </w:rPr>
        <w:t>This interpretation fits well with the rest of the chapter, since it makes vv. 21-22 the natural (and dramatic) climax of all that has preceded it.</w:t>
      </w:r>
    </w:p>
    <w:p w14:paraId="2D903CEB">
      <w:pPr>
        <w:pStyle w:val="9"/>
        <w:spacing w:before="11"/>
        <w:ind w:left="0"/>
        <w:jc w:val="left"/>
        <w:rPr>
          <w:rFonts w:hint="eastAsia"/>
          <w:sz w:val="30"/>
          <w:szCs w:val="30"/>
        </w:rPr>
      </w:pPr>
      <w:r>
        <w:rPr>
          <w:rFonts w:hint="eastAsia"/>
          <w:sz w:val="30"/>
          <w:szCs w:val="30"/>
        </w:rPr>
        <w:t>这个解释与本章的其余部分很契合，因为它使第21-22节成为前面所有内容的自然（且戏剧性的）高潮。</w:t>
      </w:r>
    </w:p>
    <w:p w14:paraId="4CCA6F27">
      <w:pPr>
        <w:pStyle w:val="9"/>
        <w:spacing w:before="11"/>
        <w:ind w:left="0"/>
        <w:jc w:val="left"/>
        <w:rPr>
          <w:rFonts w:hint="eastAsia"/>
          <w:sz w:val="30"/>
          <w:szCs w:val="30"/>
        </w:rPr>
      </w:pPr>
    </w:p>
    <w:p w14:paraId="282AD14D">
      <w:pPr>
        <w:pStyle w:val="9"/>
        <w:spacing w:before="11"/>
        <w:ind w:left="0"/>
        <w:jc w:val="left"/>
        <w:rPr>
          <w:rFonts w:hint="eastAsia"/>
          <w:sz w:val="30"/>
          <w:szCs w:val="30"/>
        </w:rPr>
      </w:pPr>
      <w:r>
        <w:rPr>
          <w:rFonts w:hint="eastAsia"/>
          <w:sz w:val="30"/>
          <w:szCs w:val="30"/>
        </w:rPr>
        <w:t>Summing up, while it is indeed difficult to be dogmatic about the exact meaning of this mysterious OTKP, we see that the NCH definitely gets us “in the ballpark,” opening up viable interpretations that harmonize well with NT teaching about the nature and structure of the Kingdom of God.</w:t>
      </w:r>
    </w:p>
    <w:p w14:paraId="41C4D814">
      <w:pPr>
        <w:pStyle w:val="9"/>
        <w:spacing w:before="11"/>
        <w:ind w:left="0"/>
        <w:jc w:val="left"/>
        <w:rPr>
          <w:rFonts w:hint="eastAsia"/>
          <w:sz w:val="30"/>
          <w:szCs w:val="30"/>
        </w:rPr>
      </w:pPr>
      <w:r>
        <w:rPr>
          <w:rFonts w:hint="eastAsia"/>
          <w:sz w:val="30"/>
          <w:szCs w:val="30"/>
        </w:rPr>
        <w:t>总而言之，虽然要对这段神秘的旧约国度预言（OTKP）的确切意义下定论确实很困难，但我们看到新约解释学（NCH）确实让我们“八九不离十”，开启了与新约关于上帝之国性质和结构的教导相协调的可行解释。</w:t>
      </w:r>
    </w:p>
    <w:p w14:paraId="6188B3D9">
      <w:pPr>
        <w:pStyle w:val="9"/>
        <w:spacing w:before="11"/>
        <w:ind w:left="0"/>
        <w:jc w:val="left"/>
        <w:rPr>
          <w:rFonts w:hint="eastAsia"/>
          <w:sz w:val="30"/>
          <w:szCs w:val="30"/>
        </w:rPr>
      </w:pPr>
    </w:p>
    <w:p w14:paraId="7BA0C164">
      <w:pPr>
        <w:pStyle w:val="9"/>
        <w:spacing w:before="11"/>
        <w:ind w:left="0"/>
        <w:jc w:val="left"/>
        <w:rPr>
          <w:rFonts w:hint="eastAsia"/>
          <w:sz w:val="30"/>
          <w:szCs w:val="30"/>
        </w:rPr>
      </w:pPr>
      <w:r>
        <w:rPr>
          <w:rFonts w:hint="eastAsia"/>
          <w:sz w:val="30"/>
          <w:szCs w:val="30"/>
        </w:rPr>
        <w:t>6.Arise and Shine!</w:t>
      </w:r>
    </w:p>
    <w:p w14:paraId="21DA8A8C">
      <w:pPr>
        <w:pStyle w:val="9"/>
        <w:spacing w:before="11"/>
        <w:ind w:left="0"/>
        <w:jc w:val="left"/>
        <w:rPr>
          <w:rFonts w:hint="eastAsia"/>
          <w:sz w:val="30"/>
          <w:szCs w:val="30"/>
        </w:rPr>
      </w:pPr>
      <w:r>
        <w:rPr>
          <w:rFonts w:hint="eastAsia"/>
          <w:sz w:val="30"/>
          <w:szCs w:val="30"/>
        </w:rPr>
        <w:t>6.兴起发光！</w:t>
      </w:r>
    </w:p>
    <w:p w14:paraId="5B7861DD">
      <w:pPr>
        <w:pStyle w:val="9"/>
        <w:spacing w:before="11"/>
        <w:ind w:left="0"/>
        <w:jc w:val="left"/>
        <w:rPr>
          <w:rFonts w:hint="eastAsia"/>
          <w:sz w:val="30"/>
          <w:szCs w:val="30"/>
        </w:rPr>
      </w:pPr>
    </w:p>
    <w:p w14:paraId="7EDCDCA8">
      <w:pPr>
        <w:pStyle w:val="9"/>
        <w:spacing w:before="11"/>
        <w:ind w:left="0"/>
        <w:jc w:val="left"/>
        <w:rPr>
          <w:rFonts w:hint="eastAsia"/>
          <w:sz w:val="30"/>
          <w:szCs w:val="30"/>
        </w:rPr>
      </w:pPr>
      <w:r>
        <w:rPr>
          <w:rFonts w:hint="eastAsia"/>
          <w:sz w:val="30"/>
          <w:szCs w:val="30"/>
        </w:rPr>
        <w:t>(Isaiah 60)</w:t>
      </w:r>
    </w:p>
    <w:p w14:paraId="40C9B892">
      <w:pPr>
        <w:pStyle w:val="9"/>
        <w:spacing w:before="11"/>
        <w:ind w:left="0"/>
        <w:jc w:val="left"/>
        <w:rPr>
          <w:rFonts w:hint="eastAsia"/>
          <w:sz w:val="30"/>
          <w:szCs w:val="30"/>
        </w:rPr>
      </w:pPr>
      <w:r>
        <w:rPr>
          <w:rFonts w:hint="eastAsia"/>
          <w:sz w:val="30"/>
          <w:szCs w:val="30"/>
        </w:rPr>
        <w:t>（以赛亚书 60章）</w:t>
      </w:r>
    </w:p>
    <w:p w14:paraId="760454D7">
      <w:pPr>
        <w:pStyle w:val="9"/>
        <w:spacing w:before="11"/>
        <w:ind w:left="0"/>
        <w:jc w:val="left"/>
        <w:rPr>
          <w:rFonts w:hint="eastAsia"/>
          <w:sz w:val="30"/>
          <w:szCs w:val="30"/>
        </w:rPr>
      </w:pPr>
    </w:p>
    <w:p w14:paraId="55FFE91F">
      <w:pPr>
        <w:pStyle w:val="9"/>
        <w:spacing w:before="11"/>
        <w:ind w:left="0"/>
        <w:jc w:val="left"/>
        <w:rPr>
          <w:rFonts w:hint="eastAsia"/>
          <w:sz w:val="30"/>
          <w:szCs w:val="30"/>
        </w:rPr>
      </w:pPr>
      <w:r>
        <w:rPr>
          <w:rFonts w:hint="eastAsia"/>
          <w:sz w:val="30"/>
          <w:szCs w:val="30"/>
        </w:rPr>
        <w:t>Premillennarians confidently claim that this stunningly beautiful prophecy of Jerusalem’s latter-day glory is a photograph of life in the Kingdom Age; an age when, for a thousand years, Israel will be the head and not the tail among the nations.</w:t>
      </w:r>
    </w:p>
    <w:p w14:paraId="01964318">
      <w:pPr>
        <w:pStyle w:val="9"/>
        <w:spacing w:before="11"/>
        <w:ind w:left="0"/>
        <w:jc w:val="left"/>
        <w:rPr>
          <w:rFonts w:hint="eastAsia"/>
          <w:sz w:val="30"/>
          <w:szCs w:val="30"/>
        </w:rPr>
      </w:pPr>
      <w:r>
        <w:rPr>
          <w:rFonts w:hint="eastAsia"/>
          <w:sz w:val="30"/>
          <w:szCs w:val="30"/>
        </w:rPr>
        <w:t>前千禧年派自信地宣称，这段关于耶路撒冷末后荣耀的惊人美丽的预言，是国度时代生活的照片；一个以色列将在列国中作首不作尾一千年的时代。</w:t>
      </w:r>
    </w:p>
    <w:p w14:paraId="62C6EED3">
      <w:pPr>
        <w:pStyle w:val="9"/>
        <w:spacing w:before="11"/>
        <w:ind w:left="0"/>
        <w:jc w:val="left"/>
        <w:rPr>
          <w:rFonts w:hint="eastAsia"/>
          <w:sz w:val="30"/>
          <w:szCs w:val="30"/>
        </w:rPr>
      </w:pPr>
    </w:p>
    <w:p w14:paraId="5D75A7FC">
      <w:pPr>
        <w:pStyle w:val="9"/>
        <w:spacing w:before="11"/>
        <w:ind w:left="0"/>
        <w:jc w:val="left"/>
        <w:rPr>
          <w:rFonts w:hint="eastAsia"/>
          <w:sz w:val="30"/>
          <w:szCs w:val="30"/>
        </w:rPr>
      </w:pPr>
      <w:r>
        <w:rPr>
          <w:rFonts w:hint="eastAsia"/>
          <w:sz w:val="30"/>
          <w:szCs w:val="30"/>
        </w:rPr>
        <w:t>However, simply to read the text itself is to see immediately that this interpretation—and the prophetic literalism that underlies it—is impossible.</w:t>
      </w:r>
    </w:p>
    <w:p w14:paraId="6F894881">
      <w:pPr>
        <w:pStyle w:val="9"/>
        <w:spacing w:before="11"/>
        <w:ind w:left="0"/>
        <w:jc w:val="left"/>
        <w:rPr>
          <w:rFonts w:hint="eastAsia"/>
          <w:sz w:val="30"/>
          <w:szCs w:val="30"/>
        </w:rPr>
      </w:pPr>
      <w:r>
        <w:rPr>
          <w:rFonts w:hint="eastAsia"/>
          <w:sz w:val="30"/>
          <w:szCs w:val="30"/>
        </w:rPr>
        <w:t>然而，只要读一下经文本身，就会立刻看到这种解释——以及其下的预言字面主义——是不可能的。</w:t>
      </w:r>
    </w:p>
    <w:p w14:paraId="23F1CCF8">
      <w:pPr>
        <w:pStyle w:val="9"/>
        <w:spacing w:before="11"/>
        <w:ind w:left="0"/>
        <w:jc w:val="left"/>
        <w:rPr>
          <w:rFonts w:hint="eastAsia"/>
          <w:sz w:val="30"/>
          <w:szCs w:val="30"/>
        </w:rPr>
      </w:pPr>
    </w:p>
    <w:p w14:paraId="0E1DAE90">
      <w:pPr>
        <w:pStyle w:val="9"/>
        <w:spacing w:before="11"/>
        <w:ind w:left="0"/>
        <w:jc w:val="left"/>
        <w:rPr>
          <w:rFonts w:hint="eastAsia"/>
          <w:sz w:val="30"/>
          <w:szCs w:val="30"/>
        </w:rPr>
      </w:pPr>
      <w:r>
        <w:rPr>
          <w:rFonts w:hint="eastAsia"/>
          <w:sz w:val="30"/>
          <w:szCs w:val="30"/>
        </w:rPr>
        <w:t>Consider some of the problems involved.</w:t>
      </w:r>
    </w:p>
    <w:p w14:paraId="7DF7FAFB">
      <w:pPr>
        <w:pStyle w:val="9"/>
        <w:spacing w:before="11"/>
        <w:ind w:left="0"/>
        <w:jc w:val="left"/>
        <w:rPr>
          <w:rFonts w:hint="eastAsia"/>
          <w:sz w:val="30"/>
          <w:szCs w:val="30"/>
        </w:rPr>
      </w:pPr>
      <w:r>
        <w:rPr>
          <w:rFonts w:hint="eastAsia"/>
          <w:sz w:val="30"/>
          <w:szCs w:val="30"/>
        </w:rPr>
        <w:t>考虑一下其中涉及的一些问题。</w:t>
      </w:r>
    </w:p>
    <w:p w14:paraId="22FF270C">
      <w:pPr>
        <w:pStyle w:val="9"/>
        <w:spacing w:before="11"/>
        <w:ind w:left="0"/>
        <w:jc w:val="left"/>
        <w:rPr>
          <w:rFonts w:hint="eastAsia"/>
          <w:sz w:val="30"/>
          <w:szCs w:val="30"/>
        </w:rPr>
      </w:pPr>
    </w:p>
    <w:p w14:paraId="3884A037">
      <w:pPr>
        <w:pStyle w:val="9"/>
        <w:spacing w:before="11"/>
        <w:ind w:left="0"/>
        <w:jc w:val="left"/>
        <w:rPr>
          <w:rFonts w:hint="eastAsia"/>
          <w:sz w:val="30"/>
          <w:szCs w:val="30"/>
        </w:rPr>
      </w:pPr>
      <w:r>
        <w:rPr>
          <w:rFonts w:hint="eastAsia"/>
          <w:sz w:val="30"/>
          <w:szCs w:val="30"/>
        </w:rPr>
        <w:t>First, it requires that extinct nations and/or regions such as Midian, Ephah, Sheba, Kedar, Nebaioth, and Tarshish rise from the dead and walk again onto the stage of history (vv. 6- 9).</w:t>
      </w:r>
    </w:p>
    <w:p w14:paraId="022D17B3">
      <w:pPr>
        <w:pStyle w:val="9"/>
        <w:spacing w:before="11"/>
        <w:ind w:left="0"/>
        <w:jc w:val="left"/>
        <w:rPr>
          <w:rFonts w:hint="eastAsia"/>
          <w:sz w:val="30"/>
          <w:szCs w:val="30"/>
        </w:rPr>
      </w:pPr>
      <w:r>
        <w:rPr>
          <w:rFonts w:hint="eastAsia"/>
          <w:sz w:val="30"/>
          <w:szCs w:val="30"/>
        </w:rPr>
        <w:t>首先，它要求像米甸、以法、示巴、基达、尼拜约和他施这样已经灭绝的国家和/或地区从死里复活，重新走上历史舞台（6-9节）。</w:t>
      </w:r>
    </w:p>
    <w:p w14:paraId="42D4EB2C">
      <w:pPr>
        <w:pStyle w:val="9"/>
        <w:spacing w:before="11"/>
        <w:ind w:left="0"/>
        <w:jc w:val="left"/>
        <w:rPr>
          <w:rFonts w:hint="eastAsia"/>
          <w:sz w:val="30"/>
          <w:szCs w:val="30"/>
        </w:rPr>
      </w:pPr>
    </w:p>
    <w:p w14:paraId="51397146">
      <w:pPr>
        <w:pStyle w:val="9"/>
        <w:spacing w:before="11"/>
        <w:ind w:left="0"/>
        <w:jc w:val="left"/>
        <w:rPr>
          <w:rFonts w:hint="eastAsia"/>
          <w:sz w:val="30"/>
          <w:szCs w:val="30"/>
        </w:rPr>
      </w:pPr>
      <w:r>
        <w:rPr>
          <w:rFonts w:hint="eastAsia"/>
          <w:sz w:val="30"/>
          <w:szCs w:val="30"/>
        </w:rPr>
        <w:t>Similarly, it also requires an implausible return to ancient modes of transportation, such as camels (v. 6).</w:t>
      </w:r>
    </w:p>
    <w:p w14:paraId="26EEAFA9">
      <w:pPr>
        <w:pStyle w:val="9"/>
        <w:spacing w:before="11"/>
        <w:ind w:left="0"/>
        <w:jc w:val="left"/>
        <w:rPr>
          <w:rFonts w:hint="eastAsia"/>
          <w:sz w:val="30"/>
          <w:szCs w:val="30"/>
        </w:rPr>
      </w:pPr>
      <w:r>
        <w:rPr>
          <w:rFonts w:hint="eastAsia"/>
          <w:sz w:val="30"/>
          <w:szCs w:val="30"/>
        </w:rPr>
        <w:t>同样，它也要求一种难以置信的回归到古代交通方式，如骆驼（6节）。</w:t>
      </w:r>
    </w:p>
    <w:p w14:paraId="2CEB0014">
      <w:pPr>
        <w:pStyle w:val="9"/>
        <w:spacing w:before="11"/>
        <w:ind w:left="0"/>
        <w:jc w:val="left"/>
        <w:rPr>
          <w:rFonts w:hint="eastAsia"/>
          <w:sz w:val="30"/>
          <w:szCs w:val="30"/>
        </w:rPr>
      </w:pPr>
    </w:p>
    <w:p w14:paraId="3D4154E1">
      <w:pPr>
        <w:pStyle w:val="9"/>
        <w:spacing w:before="11"/>
        <w:ind w:left="0"/>
        <w:jc w:val="left"/>
        <w:rPr>
          <w:rFonts w:hint="eastAsia"/>
          <w:sz w:val="30"/>
          <w:szCs w:val="30"/>
        </w:rPr>
      </w:pPr>
      <w:r>
        <w:rPr>
          <w:rFonts w:hint="eastAsia"/>
          <w:sz w:val="30"/>
          <w:szCs w:val="30"/>
        </w:rPr>
        <w:t>Secondly, it repeatedly represents this particular Jerusalem as the eternal habitation of God and his people: Its gates will be open continually (v. 11), it will be an everlasting pride (v. 15), it will have the LORD as an everlasting light (20), and its citizens will possess the land forever (21).</w:t>
      </w:r>
    </w:p>
    <w:p w14:paraId="675EF84D">
      <w:pPr>
        <w:pStyle w:val="9"/>
        <w:spacing w:before="11"/>
        <w:ind w:left="0"/>
        <w:jc w:val="left"/>
        <w:rPr>
          <w:rFonts w:hint="eastAsia"/>
          <w:sz w:val="30"/>
          <w:szCs w:val="30"/>
        </w:rPr>
      </w:pPr>
      <w:r>
        <w:rPr>
          <w:rFonts w:hint="eastAsia"/>
          <w:sz w:val="30"/>
          <w:szCs w:val="30"/>
        </w:rPr>
        <w:t>其次，它一再地将这个特定的耶路撒冷描绘为上帝和祂子民永恒的居所：它的城门将昼夜不关（11节），它将成为永远的骄傲（15节），它将有耶和华为永远的光（20节），它的公民将永远得地为业（21节）。</w:t>
      </w:r>
    </w:p>
    <w:p w14:paraId="36AA1135">
      <w:pPr>
        <w:pStyle w:val="9"/>
        <w:spacing w:before="11"/>
        <w:ind w:left="0"/>
        <w:jc w:val="left"/>
        <w:rPr>
          <w:rFonts w:hint="eastAsia"/>
          <w:sz w:val="30"/>
          <w:szCs w:val="30"/>
        </w:rPr>
      </w:pPr>
    </w:p>
    <w:p w14:paraId="3ADF13EE">
      <w:pPr>
        <w:pStyle w:val="9"/>
        <w:spacing w:before="11"/>
        <w:ind w:left="0"/>
        <w:jc w:val="left"/>
        <w:rPr>
          <w:rFonts w:hint="eastAsia"/>
          <w:sz w:val="30"/>
          <w:szCs w:val="30"/>
        </w:rPr>
      </w:pPr>
      <w:r>
        <w:rPr>
          <w:rFonts w:hint="eastAsia"/>
          <w:sz w:val="30"/>
          <w:szCs w:val="30"/>
        </w:rPr>
        <w:t>Thirdly, it conflicts with NT teaching on the eternal obsolescence of the ceremonial Law, declaring that the rams of Nebaioth will go up with acceptance (as bloody sacrifices) on God’s altar (v. 7).</w:t>
      </w:r>
    </w:p>
    <w:p w14:paraId="31D301F6">
      <w:pPr>
        <w:pStyle w:val="9"/>
        <w:spacing w:before="11"/>
        <w:ind w:left="0"/>
        <w:jc w:val="left"/>
        <w:rPr>
          <w:rFonts w:hint="eastAsia"/>
          <w:sz w:val="30"/>
          <w:szCs w:val="30"/>
        </w:rPr>
      </w:pPr>
      <w:r>
        <w:rPr>
          <w:rFonts w:hint="eastAsia"/>
          <w:sz w:val="30"/>
          <w:szCs w:val="30"/>
        </w:rPr>
        <w:t>第三，它与新约关于礼仪律法永恒过时的教导相冲突，它宣称尼拜约的公羊将在上帝的坛上蒙悦纳（作为血祭）（7节）。</w:t>
      </w:r>
    </w:p>
    <w:p w14:paraId="5CB2FBD8">
      <w:pPr>
        <w:pStyle w:val="9"/>
        <w:spacing w:before="11"/>
        <w:ind w:left="0"/>
        <w:jc w:val="left"/>
        <w:rPr>
          <w:rFonts w:hint="eastAsia"/>
          <w:sz w:val="30"/>
          <w:szCs w:val="30"/>
        </w:rPr>
      </w:pPr>
    </w:p>
    <w:p w14:paraId="1477E461">
      <w:pPr>
        <w:pStyle w:val="9"/>
        <w:spacing w:before="11"/>
        <w:ind w:left="0"/>
        <w:jc w:val="left"/>
        <w:rPr>
          <w:rFonts w:hint="eastAsia"/>
          <w:sz w:val="30"/>
          <w:szCs w:val="30"/>
        </w:rPr>
      </w:pPr>
      <w:r>
        <w:rPr>
          <w:rFonts w:hint="eastAsia"/>
          <w:sz w:val="30"/>
          <w:szCs w:val="30"/>
        </w:rPr>
        <w:t>Fourthly, it is filled with verses that loudly proclaim its symbolic character, and by which we are nudged towards a typological and symbolic, rather than a literal, interpretation of the prophecy as a whole (vv. 2, 3, 17, 18, 18).</w:t>
      </w:r>
    </w:p>
    <w:p w14:paraId="5818375A">
      <w:pPr>
        <w:pStyle w:val="9"/>
        <w:spacing w:before="11"/>
        <w:ind w:left="0"/>
        <w:jc w:val="left"/>
        <w:rPr>
          <w:rFonts w:hint="eastAsia"/>
          <w:sz w:val="30"/>
          <w:szCs w:val="30"/>
        </w:rPr>
      </w:pPr>
      <w:r>
        <w:rPr>
          <w:rFonts w:hint="eastAsia"/>
          <w:sz w:val="30"/>
          <w:szCs w:val="30"/>
        </w:rPr>
        <w:t>第四，它充满了大声宣告其象征性特征的经文，通过这些经文，我们被引导对整个预言采取一种预表的和象征性的，而非字面的解释（2, 3, 17, 18, 19节）。</w:t>
      </w:r>
    </w:p>
    <w:p w14:paraId="625A4E79">
      <w:pPr>
        <w:pStyle w:val="9"/>
        <w:spacing w:before="11"/>
        <w:ind w:left="0"/>
        <w:jc w:val="left"/>
        <w:rPr>
          <w:rFonts w:hint="eastAsia"/>
          <w:sz w:val="30"/>
          <w:szCs w:val="30"/>
        </w:rPr>
      </w:pPr>
    </w:p>
    <w:p w14:paraId="368D62EE">
      <w:pPr>
        <w:pStyle w:val="9"/>
        <w:spacing w:before="11"/>
        <w:ind w:left="0"/>
        <w:jc w:val="left"/>
        <w:rPr>
          <w:rFonts w:hint="eastAsia"/>
          <w:sz w:val="30"/>
          <w:szCs w:val="30"/>
        </w:rPr>
      </w:pPr>
      <w:r>
        <w:rPr>
          <w:rFonts w:hint="eastAsia"/>
          <w:sz w:val="30"/>
          <w:szCs w:val="30"/>
        </w:rPr>
        <w:t>And finally, its closing verses clearly envision the City of God situated, not in a millennial world, but in the new heavens and the new earth (vv. 19-22).</w:t>
      </w:r>
    </w:p>
    <w:p w14:paraId="3EFD4AB0">
      <w:pPr>
        <w:pStyle w:val="9"/>
        <w:spacing w:before="11"/>
        <w:ind w:left="0"/>
        <w:jc w:val="left"/>
        <w:rPr>
          <w:rFonts w:hint="eastAsia"/>
          <w:sz w:val="30"/>
          <w:szCs w:val="30"/>
        </w:rPr>
      </w:pPr>
      <w:r>
        <w:rPr>
          <w:rFonts w:hint="eastAsia"/>
          <w:sz w:val="30"/>
          <w:szCs w:val="30"/>
        </w:rPr>
        <w:t>最后，它的结尾经文清楚地设想了上帝之城位于新天新地，而非千禧年世界（19-22节）。</w:t>
      </w:r>
    </w:p>
    <w:p w14:paraId="44B8EBAD">
      <w:pPr>
        <w:pStyle w:val="9"/>
        <w:spacing w:before="11"/>
        <w:ind w:left="0"/>
        <w:jc w:val="left"/>
        <w:rPr>
          <w:rFonts w:hint="eastAsia"/>
          <w:sz w:val="30"/>
          <w:szCs w:val="30"/>
        </w:rPr>
      </w:pPr>
    </w:p>
    <w:p w14:paraId="64D5F78A">
      <w:pPr>
        <w:pStyle w:val="9"/>
        <w:spacing w:before="11"/>
        <w:ind w:left="0"/>
        <w:jc w:val="left"/>
        <w:rPr>
          <w:rFonts w:hint="eastAsia"/>
          <w:sz w:val="30"/>
          <w:szCs w:val="30"/>
        </w:rPr>
      </w:pPr>
      <w:r>
        <w:rPr>
          <w:rFonts w:hint="eastAsia"/>
          <w:sz w:val="30"/>
          <w:szCs w:val="30"/>
        </w:rPr>
        <w:t>For all these reasons, Isaiah cannot possibly be speaking of a temporary millennial kingdom.</w:t>
      </w:r>
    </w:p>
    <w:p w14:paraId="2AFA483E">
      <w:pPr>
        <w:pStyle w:val="9"/>
        <w:spacing w:before="11"/>
        <w:ind w:left="0"/>
        <w:jc w:val="left"/>
        <w:rPr>
          <w:rFonts w:hint="eastAsia"/>
          <w:sz w:val="30"/>
          <w:szCs w:val="30"/>
        </w:rPr>
      </w:pPr>
      <w:r>
        <w:rPr>
          <w:rFonts w:hint="eastAsia"/>
          <w:sz w:val="30"/>
          <w:szCs w:val="30"/>
        </w:rPr>
        <w:t>由于所有这些原因，以赛亚不可能是在谈论一个暂时的千禧年国度。</w:t>
      </w:r>
    </w:p>
    <w:p w14:paraId="7871D836">
      <w:pPr>
        <w:pStyle w:val="9"/>
        <w:spacing w:before="11"/>
        <w:ind w:left="0"/>
        <w:jc w:val="left"/>
        <w:rPr>
          <w:rFonts w:hint="eastAsia"/>
          <w:sz w:val="30"/>
          <w:szCs w:val="30"/>
        </w:rPr>
      </w:pPr>
    </w:p>
    <w:p w14:paraId="4573EE54">
      <w:pPr>
        <w:pStyle w:val="9"/>
        <w:spacing w:before="11"/>
        <w:ind w:left="0"/>
        <w:jc w:val="left"/>
        <w:rPr>
          <w:rFonts w:hint="eastAsia"/>
          <w:sz w:val="30"/>
          <w:szCs w:val="30"/>
        </w:rPr>
      </w:pPr>
      <w:r>
        <w:rPr>
          <w:rFonts w:hint="eastAsia"/>
          <w:sz w:val="30"/>
          <w:szCs w:val="30"/>
        </w:rPr>
        <w:t>Therefore, I heartily concur with commentator Derek Kidner when he writes:</w:t>
      </w:r>
    </w:p>
    <w:p w14:paraId="1D40423D">
      <w:pPr>
        <w:pStyle w:val="9"/>
        <w:spacing w:before="11"/>
        <w:ind w:left="0"/>
        <w:jc w:val="left"/>
        <w:rPr>
          <w:rFonts w:hint="eastAsia"/>
          <w:sz w:val="30"/>
          <w:szCs w:val="30"/>
        </w:rPr>
      </w:pPr>
      <w:r>
        <w:rPr>
          <w:rFonts w:hint="eastAsia"/>
          <w:sz w:val="30"/>
          <w:szCs w:val="30"/>
        </w:rPr>
        <w:t>因此，我衷心同意评论家德里克·金德纳（Derek Kidner）的看法，他写道：</w:t>
      </w:r>
    </w:p>
    <w:p w14:paraId="4793F391">
      <w:pPr>
        <w:pStyle w:val="9"/>
        <w:spacing w:before="11"/>
        <w:ind w:left="0"/>
        <w:jc w:val="left"/>
        <w:rPr>
          <w:rFonts w:hint="eastAsia"/>
          <w:sz w:val="30"/>
          <w:szCs w:val="30"/>
        </w:rPr>
      </w:pPr>
    </w:p>
    <w:p w14:paraId="0E307D8B">
      <w:pPr>
        <w:pStyle w:val="9"/>
        <w:spacing w:before="11"/>
        <w:ind w:left="0"/>
        <w:jc w:val="left"/>
        <w:rPr>
          <w:rFonts w:hint="eastAsia"/>
          <w:sz w:val="30"/>
          <w:szCs w:val="30"/>
        </w:rPr>
      </w:pPr>
      <w:r>
        <w:rPr>
          <w:rFonts w:hint="eastAsia"/>
          <w:sz w:val="30"/>
          <w:szCs w:val="30"/>
        </w:rPr>
        <w:t>These glowing, exultant chapters (60-62) depict blessings that transcend the old order, and even, in places, the Christian era itself (i.e., the Era of Proclamation); but the language is that of the OT ordinances and of the literal Jerusalem.</w:t>
      </w:r>
    </w:p>
    <w:p w14:paraId="3A819AFE">
      <w:pPr>
        <w:pStyle w:val="9"/>
        <w:spacing w:before="11"/>
        <w:ind w:left="0"/>
        <w:jc w:val="left"/>
        <w:rPr>
          <w:rFonts w:hint="eastAsia"/>
          <w:sz w:val="30"/>
          <w:szCs w:val="30"/>
        </w:rPr>
      </w:pPr>
      <w:r>
        <w:rPr>
          <w:rFonts w:hint="eastAsia"/>
          <w:sz w:val="30"/>
          <w:szCs w:val="30"/>
        </w:rPr>
        <w:t>这些光辉、欢欣的章节（60-62章）描绘了超越旧秩序的祝福，甚至在某些地方，也超越了基督教时代本身（即宣讲的时代）；但其语言是旧约条例和字面耶路撒冷的语言。</w:t>
      </w:r>
    </w:p>
    <w:p w14:paraId="0D1CC7F6">
      <w:pPr>
        <w:pStyle w:val="9"/>
        <w:spacing w:before="11"/>
        <w:ind w:left="0"/>
        <w:jc w:val="left"/>
        <w:rPr>
          <w:rFonts w:hint="eastAsia"/>
          <w:sz w:val="30"/>
          <w:szCs w:val="30"/>
        </w:rPr>
      </w:pPr>
    </w:p>
    <w:p w14:paraId="5115EFC3">
      <w:pPr>
        <w:pStyle w:val="9"/>
        <w:spacing w:before="11"/>
        <w:ind w:left="0"/>
        <w:jc w:val="left"/>
        <w:rPr>
          <w:rFonts w:hint="eastAsia"/>
          <w:sz w:val="30"/>
          <w:szCs w:val="30"/>
        </w:rPr>
      </w:pPr>
      <w:r>
        <w:rPr>
          <w:rFonts w:hint="eastAsia"/>
          <w:sz w:val="30"/>
          <w:szCs w:val="30"/>
        </w:rPr>
        <w:t>It will (therefore) need translating into terms of “the Jerusalem above “… Here the return of dispersed Israelites to Jerusalem is made the model of a far greater movement, the worldwide inflow of converts into the Church; and the vision repeatedly looks beyond this to the end, to the state of ultimate glory.9</w:t>
      </w:r>
    </w:p>
    <w:p w14:paraId="662E9F1E">
      <w:pPr>
        <w:pStyle w:val="9"/>
        <w:spacing w:before="11"/>
        <w:ind w:left="0"/>
        <w:jc w:val="left"/>
        <w:rPr>
          <w:rFonts w:hint="eastAsia"/>
          <w:sz w:val="30"/>
          <w:szCs w:val="30"/>
        </w:rPr>
      </w:pPr>
      <w:r>
        <w:rPr>
          <w:rFonts w:hint="eastAsia"/>
          <w:sz w:val="30"/>
          <w:szCs w:val="30"/>
        </w:rPr>
        <w:t>因此，它需要被翻译成“天上的耶路撒冷”的术语……这里，分散的以色列人回归耶路撒冷被作为一个远为更宏大运动的典范，即全世界归信者涌入教会；而这异象一再地超越此，展望末日，展望终极荣耀的状态。9</w:t>
      </w:r>
    </w:p>
    <w:p w14:paraId="6A147B90">
      <w:pPr>
        <w:pStyle w:val="9"/>
        <w:spacing w:before="11"/>
        <w:ind w:left="0"/>
        <w:jc w:val="left"/>
        <w:rPr>
          <w:rFonts w:hint="eastAsia"/>
          <w:sz w:val="30"/>
          <w:szCs w:val="30"/>
        </w:rPr>
      </w:pPr>
    </w:p>
    <w:p w14:paraId="04EE48DE">
      <w:pPr>
        <w:pStyle w:val="9"/>
        <w:spacing w:before="11"/>
        <w:ind w:left="0"/>
        <w:jc w:val="left"/>
        <w:rPr>
          <w:rFonts w:hint="eastAsia"/>
          <w:sz w:val="30"/>
          <w:szCs w:val="30"/>
        </w:rPr>
      </w:pPr>
      <w:r>
        <w:rPr>
          <w:rFonts w:hint="eastAsia"/>
          <w:sz w:val="30"/>
          <w:szCs w:val="30"/>
        </w:rPr>
        <w:t>In so speaking, Kidner shows himself to be fully under the rule of the NCH.</w:t>
      </w:r>
    </w:p>
    <w:p w14:paraId="2BCC6609">
      <w:pPr>
        <w:pStyle w:val="9"/>
        <w:spacing w:before="11"/>
        <w:ind w:left="0"/>
        <w:jc w:val="left"/>
        <w:rPr>
          <w:rFonts w:hint="eastAsia"/>
          <w:sz w:val="30"/>
          <w:szCs w:val="30"/>
        </w:rPr>
      </w:pPr>
      <w:r>
        <w:rPr>
          <w:rFonts w:hint="eastAsia"/>
          <w:sz w:val="30"/>
          <w:szCs w:val="30"/>
        </w:rPr>
        <w:t>金德纳如此说话，表明他完全受新约解释学（NCH）的支配。</w:t>
      </w:r>
    </w:p>
    <w:p w14:paraId="52CA8DE2">
      <w:pPr>
        <w:pStyle w:val="9"/>
        <w:spacing w:before="11"/>
        <w:ind w:left="0"/>
        <w:jc w:val="left"/>
        <w:rPr>
          <w:rFonts w:hint="eastAsia"/>
          <w:sz w:val="30"/>
          <w:szCs w:val="30"/>
        </w:rPr>
      </w:pPr>
    </w:p>
    <w:p w14:paraId="01B6E163">
      <w:pPr>
        <w:pStyle w:val="9"/>
        <w:spacing w:before="11"/>
        <w:ind w:left="0"/>
        <w:jc w:val="left"/>
        <w:rPr>
          <w:rFonts w:hint="eastAsia"/>
          <w:sz w:val="30"/>
          <w:szCs w:val="30"/>
        </w:rPr>
      </w:pPr>
      <w:r>
        <w:rPr>
          <w:rFonts w:hint="eastAsia"/>
          <w:sz w:val="30"/>
          <w:szCs w:val="30"/>
        </w:rPr>
        <w:t>Accordingly, he sees Isaiah using covenantally conditioned imagery to speak “mysteriously” of both stages of the eschatological Kingdom introduced by the New Covenant in Christ.</w:t>
      </w:r>
    </w:p>
    <w:p w14:paraId="3B9F8A12">
      <w:pPr>
        <w:pStyle w:val="9"/>
        <w:spacing w:before="11"/>
        <w:ind w:left="0"/>
        <w:jc w:val="left"/>
        <w:rPr>
          <w:rFonts w:hint="eastAsia"/>
          <w:sz w:val="30"/>
          <w:szCs w:val="30"/>
        </w:rPr>
      </w:pPr>
      <w:r>
        <w:rPr>
          <w:rFonts w:hint="eastAsia"/>
          <w:sz w:val="30"/>
          <w:szCs w:val="30"/>
        </w:rPr>
        <w:t>因此，他看到以赛亚使用受圣约制约的意象来“神秘地”讲述基督在新约下引入的末世国度的两个阶段。</w:t>
      </w:r>
    </w:p>
    <w:p w14:paraId="50C2D902">
      <w:pPr>
        <w:pStyle w:val="9"/>
        <w:spacing w:before="11"/>
        <w:ind w:left="0"/>
        <w:jc w:val="left"/>
        <w:rPr>
          <w:rFonts w:hint="eastAsia"/>
          <w:sz w:val="30"/>
          <w:szCs w:val="30"/>
        </w:rPr>
      </w:pPr>
    </w:p>
    <w:p w14:paraId="2EAB949B">
      <w:pPr>
        <w:pStyle w:val="9"/>
        <w:spacing w:before="11"/>
        <w:ind w:left="0"/>
        <w:jc w:val="left"/>
        <w:rPr>
          <w:rFonts w:hint="eastAsia"/>
          <w:sz w:val="30"/>
          <w:szCs w:val="30"/>
        </w:rPr>
      </w:pPr>
      <w:r>
        <w:rPr>
          <w:rFonts w:hint="eastAsia"/>
          <w:sz w:val="30"/>
          <w:szCs w:val="30"/>
        </w:rPr>
        <w:t>A closer look at our text abundantly vindicates his approach, and also helps us to see how richly Isaiah speaks to the hearts of Christians everywhere, whether Jew or Gentile.</w:t>
      </w:r>
    </w:p>
    <w:p w14:paraId="34BD1CCC">
      <w:pPr>
        <w:pStyle w:val="9"/>
        <w:spacing w:before="11"/>
        <w:ind w:left="0"/>
        <w:jc w:val="left"/>
        <w:rPr>
          <w:rFonts w:hint="eastAsia"/>
          <w:sz w:val="30"/>
          <w:szCs w:val="30"/>
        </w:rPr>
      </w:pPr>
      <w:r>
        <w:rPr>
          <w:rFonts w:hint="eastAsia"/>
          <w:sz w:val="30"/>
          <w:szCs w:val="30"/>
        </w:rPr>
        <w:t>对我们经文的更仔细审视，充分证明了他的方法的正确性，也帮助我们看到以赛亚是如何丰富地对各处基督徒的心说话，无论是犹太人还是外邦人。</w:t>
      </w:r>
    </w:p>
    <w:p w14:paraId="445581A7">
      <w:pPr>
        <w:pStyle w:val="9"/>
        <w:spacing w:before="11"/>
        <w:ind w:left="0"/>
        <w:jc w:val="left"/>
        <w:rPr>
          <w:rFonts w:hint="eastAsia"/>
          <w:sz w:val="30"/>
          <w:szCs w:val="30"/>
        </w:rPr>
      </w:pPr>
    </w:p>
    <w:p w14:paraId="69C7D144">
      <w:pPr>
        <w:pStyle w:val="9"/>
        <w:spacing w:before="11"/>
        <w:ind w:left="0"/>
        <w:jc w:val="left"/>
        <w:rPr>
          <w:rFonts w:hint="eastAsia"/>
          <w:sz w:val="30"/>
          <w:szCs w:val="30"/>
        </w:rPr>
      </w:pPr>
      <w:r>
        <w:rPr>
          <w:rFonts w:hint="eastAsia"/>
          <w:sz w:val="30"/>
          <w:szCs w:val="30"/>
        </w:rPr>
        <w:t>Lift Up Your Eyes (1-3)</w:t>
      </w:r>
    </w:p>
    <w:p w14:paraId="2937FFFC">
      <w:pPr>
        <w:pStyle w:val="9"/>
        <w:spacing w:before="11"/>
        <w:ind w:left="0"/>
        <w:jc w:val="left"/>
        <w:rPr>
          <w:rFonts w:hint="eastAsia"/>
          <w:sz w:val="30"/>
          <w:szCs w:val="30"/>
        </w:rPr>
      </w:pPr>
      <w:r>
        <w:rPr>
          <w:rFonts w:hint="eastAsia"/>
          <w:sz w:val="30"/>
          <w:szCs w:val="30"/>
        </w:rPr>
        <w:t>举目观看（1-3节）</w:t>
      </w:r>
    </w:p>
    <w:p w14:paraId="74970247">
      <w:pPr>
        <w:pStyle w:val="9"/>
        <w:spacing w:before="11"/>
        <w:ind w:left="0"/>
        <w:jc w:val="left"/>
        <w:rPr>
          <w:rFonts w:hint="eastAsia"/>
          <w:sz w:val="30"/>
          <w:szCs w:val="30"/>
        </w:rPr>
      </w:pPr>
    </w:p>
    <w:p w14:paraId="19180770">
      <w:pPr>
        <w:pStyle w:val="9"/>
        <w:spacing w:before="11"/>
        <w:ind w:left="0"/>
        <w:jc w:val="left"/>
        <w:rPr>
          <w:rFonts w:hint="eastAsia"/>
          <w:sz w:val="30"/>
          <w:szCs w:val="30"/>
        </w:rPr>
      </w:pPr>
      <w:r>
        <w:rPr>
          <w:rFonts w:hint="eastAsia"/>
          <w:sz w:val="30"/>
          <w:szCs w:val="30"/>
        </w:rPr>
        <w:t>Verses 1-3 sound the theme of the chapter.</w:t>
      </w:r>
    </w:p>
    <w:p w14:paraId="3F75CE4C">
      <w:pPr>
        <w:pStyle w:val="9"/>
        <w:spacing w:before="11"/>
        <w:ind w:left="0"/>
        <w:jc w:val="left"/>
        <w:rPr>
          <w:rFonts w:hint="eastAsia"/>
          <w:sz w:val="30"/>
          <w:szCs w:val="30"/>
        </w:rPr>
      </w:pPr>
      <w:r>
        <w:rPr>
          <w:rFonts w:hint="eastAsia"/>
          <w:sz w:val="30"/>
          <w:szCs w:val="30"/>
        </w:rPr>
        <w:t>第1-3节定下了本章的主题。</w:t>
      </w:r>
    </w:p>
    <w:p w14:paraId="6F4DF2AB">
      <w:pPr>
        <w:pStyle w:val="9"/>
        <w:spacing w:before="11"/>
        <w:ind w:left="0"/>
        <w:jc w:val="left"/>
        <w:rPr>
          <w:rFonts w:hint="eastAsia"/>
          <w:sz w:val="30"/>
          <w:szCs w:val="30"/>
        </w:rPr>
      </w:pPr>
    </w:p>
    <w:p w14:paraId="6D441507">
      <w:pPr>
        <w:pStyle w:val="9"/>
        <w:spacing w:before="11"/>
        <w:ind w:left="0"/>
        <w:jc w:val="left"/>
        <w:rPr>
          <w:rFonts w:hint="eastAsia"/>
          <w:sz w:val="30"/>
          <w:szCs w:val="30"/>
        </w:rPr>
      </w:pPr>
      <w:r>
        <w:rPr>
          <w:rFonts w:hint="eastAsia"/>
          <w:sz w:val="30"/>
          <w:szCs w:val="30"/>
        </w:rPr>
        <w:t>In words that would have comforted struggling OT saints, God promises that in the last days many nations will stream to Zion, there to worship the one true God in concert with the people of the one true God.</w:t>
      </w:r>
    </w:p>
    <w:p w14:paraId="5E9C97ED">
      <w:pPr>
        <w:pStyle w:val="9"/>
        <w:spacing w:before="11"/>
        <w:ind w:left="0"/>
        <w:jc w:val="left"/>
        <w:rPr>
          <w:rFonts w:hint="eastAsia"/>
          <w:sz w:val="30"/>
          <w:szCs w:val="30"/>
        </w:rPr>
      </w:pPr>
      <w:r>
        <w:rPr>
          <w:rFonts w:hint="eastAsia"/>
          <w:sz w:val="30"/>
          <w:szCs w:val="30"/>
        </w:rPr>
        <w:t>上帝用能安慰挣扎中的旧约圣徒的话语应许说，在末后的日子，许多国家将涌向锡安，在那里与独一真上帝的子民一同敬拜独一的真上帝。</w:t>
      </w:r>
    </w:p>
    <w:p w14:paraId="21B4079A">
      <w:pPr>
        <w:pStyle w:val="9"/>
        <w:spacing w:before="11"/>
        <w:ind w:left="0"/>
        <w:jc w:val="left"/>
        <w:rPr>
          <w:rFonts w:hint="eastAsia"/>
          <w:sz w:val="30"/>
          <w:szCs w:val="30"/>
        </w:rPr>
      </w:pPr>
    </w:p>
    <w:p w14:paraId="21735DAB">
      <w:pPr>
        <w:pStyle w:val="9"/>
        <w:spacing w:before="11"/>
        <w:ind w:left="0"/>
        <w:jc w:val="left"/>
        <w:rPr>
          <w:rFonts w:hint="eastAsia"/>
          <w:sz w:val="30"/>
          <w:szCs w:val="30"/>
        </w:rPr>
      </w:pPr>
      <w:r>
        <w:rPr>
          <w:rFonts w:hint="eastAsia"/>
          <w:sz w:val="30"/>
          <w:szCs w:val="30"/>
        </w:rPr>
        <w:t>According to the NT, this promise began to be fulfilled on the Day of Pentecost, when Christ first poured out his Spirit upon the New Jerusalem—the nascent Church—and seated her in heavenly places upon the Zion above (Acts 2, Eph. 1:20, 2:6, Heb. 12:22).</w:t>
      </w:r>
    </w:p>
    <w:p w14:paraId="5153EBF9">
      <w:pPr>
        <w:pStyle w:val="9"/>
        <w:spacing w:before="11"/>
        <w:ind w:left="0"/>
        <w:jc w:val="left"/>
        <w:rPr>
          <w:rFonts w:hint="eastAsia"/>
          <w:sz w:val="30"/>
          <w:szCs w:val="30"/>
        </w:rPr>
      </w:pPr>
      <w:r>
        <w:rPr>
          <w:rFonts w:hint="eastAsia"/>
          <w:sz w:val="30"/>
          <w:szCs w:val="30"/>
        </w:rPr>
        <w:t>根据新约，这个应许在五旬节开始应验，那时基督首次将祂的灵浇灌在新耶路撒冷——即初生的教会——之上，并将她安置在天上的锡安（使徒行传 2章, 以弗所书 1:20, 2:6, 希伯来书 12:22）。</w:t>
      </w:r>
    </w:p>
    <w:p w14:paraId="4216CE45">
      <w:pPr>
        <w:pStyle w:val="9"/>
        <w:spacing w:before="11"/>
        <w:ind w:left="0"/>
        <w:jc w:val="left"/>
        <w:rPr>
          <w:rFonts w:hint="eastAsia"/>
          <w:sz w:val="30"/>
          <w:szCs w:val="30"/>
        </w:rPr>
      </w:pPr>
    </w:p>
    <w:p w14:paraId="4FE0E9C7">
      <w:pPr>
        <w:pStyle w:val="9"/>
        <w:spacing w:before="11"/>
        <w:ind w:left="0"/>
        <w:jc w:val="left"/>
        <w:rPr>
          <w:rFonts w:hint="eastAsia"/>
          <w:sz w:val="30"/>
          <w:szCs w:val="30"/>
        </w:rPr>
      </w:pPr>
      <w:r>
        <w:rPr>
          <w:rFonts w:hint="eastAsia"/>
          <w:sz w:val="30"/>
          <w:szCs w:val="30"/>
        </w:rPr>
        <w:t>On that happy day, her light finally came, the glory of the Lord rose upon her, and she herself arose like a bright morning star shining in the dead of night (v. 3, Rev. 22:16).</w:t>
      </w:r>
    </w:p>
    <w:p w14:paraId="52265113">
      <w:pPr>
        <w:pStyle w:val="9"/>
        <w:spacing w:before="11"/>
        <w:ind w:left="0"/>
        <w:jc w:val="left"/>
        <w:rPr>
          <w:rFonts w:hint="eastAsia"/>
          <w:sz w:val="30"/>
          <w:szCs w:val="30"/>
        </w:rPr>
      </w:pPr>
      <w:r>
        <w:rPr>
          <w:rFonts w:hint="eastAsia"/>
          <w:sz w:val="30"/>
          <w:szCs w:val="30"/>
        </w:rPr>
        <w:t>在那快乐的日子，她的光终于来到，主的荣耀升起照耀她，她自己也像一颗明亮的晨星，在死寂的黑夜中升起（3节, 启示录 22:16）。</w:t>
      </w:r>
    </w:p>
    <w:p w14:paraId="64EB4E9E">
      <w:pPr>
        <w:pStyle w:val="9"/>
        <w:spacing w:before="11"/>
        <w:ind w:left="0"/>
        <w:jc w:val="left"/>
        <w:rPr>
          <w:rFonts w:hint="eastAsia"/>
          <w:sz w:val="30"/>
          <w:szCs w:val="30"/>
        </w:rPr>
      </w:pPr>
    </w:p>
    <w:p w14:paraId="4CBE32A7">
      <w:pPr>
        <w:pStyle w:val="9"/>
        <w:spacing w:before="11"/>
        <w:ind w:left="0"/>
        <w:jc w:val="left"/>
        <w:rPr>
          <w:rFonts w:hint="eastAsia"/>
          <w:sz w:val="30"/>
          <w:szCs w:val="30"/>
        </w:rPr>
      </w:pPr>
      <w:r>
        <w:rPr>
          <w:rFonts w:hint="eastAsia"/>
          <w:sz w:val="30"/>
          <w:szCs w:val="30"/>
        </w:rPr>
        <w:t>Henceforth, she is as a city set upon a hill (Mt. 5:14, John 7:39).</w:t>
      </w:r>
    </w:p>
    <w:p w14:paraId="5743AE92">
      <w:pPr>
        <w:pStyle w:val="9"/>
        <w:spacing w:before="11"/>
        <w:ind w:left="0"/>
        <w:jc w:val="left"/>
        <w:rPr>
          <w:rFonts w:hint="eastAsia"/>
          <w:sz w:val="30"/>
          <w:szCs w:val="30"/>
        </w:rPr>
      </w:pPr>
      <w:r>
        <w:rPr>
          <w:rFonts w:hint="eastAsia"/>
          <w:sz w:val="30"/>
          <w:szCs w:val="30"/>
        </w:rPr>
        <w:t>从此以后，她就像一座建在山上的城（马太福音 5:14, 约翰福音 8:12）。</w:t>
      </w:r>
    </w:p>
    <w:p w14:paraId="31469680">
      <w:pPr>
        <w:pStyle w:val="9"/>
        <w:spacing w:before="11"/>
        <w:ind w:left="0"/>
        <w:jc w:val="left"/>
        <w:rPr>
          <w:rFonts w:hint="eastAsia"/>
          <w:sz w:val="30"/>
          <w:szCs w:val="30"/>
        </w:rPr>
      </w:pPr>
    </w:p>
    <w:p w14:paraId="598C124D">
      <w:pPr>
        <w:pStyle w:val="9"/>
        <w:spacing w:before="11"/>
        <w:ind w:left="0"/>
        <w:jc w:val="left"/>
        <w:rPr>
          <w:rFonts w:hint="eastAsia"/>
          <w:sz w:val="30"/>
          <w:szCs w:val="30"/>
        </w:rPr>
      </w:pPr>
      <w:r>
        <w:rPr>
          <w:rFonts w:hint="eastAsia"/>
          <w:sz w:val="30"/>
          <w:szCs w:val="30"/>
        </w:rPr>
        <w:t>Through the preaching of the Gospel, she sends out her light, calling people everywhere to forsake the Domain of Darkness and enter safely into the eternal City of God (John 1:5, 8:12, Phil. 2:15).</w:t>
      </w:r>
    </w:p>
    <w:p w14:paraId="43762EB0">
      <w:pPr>
        <w:pStyle w:val="9"/>
        <w:spacing w:before="11"/>
        <w:ind w:left="0"/>
        <w:jc w:val="left"/>
        <w:rPr>
          <w:rFonts w:hint="eastAsia"/>
          <w:sz w:val="30"/>
          <w:szCs w:val="30"/>
        </w:rPr>
      </w:pPr>
      <w:r>
        <w:rPr>
          <w:rFonts w:hint="eastAsia"/>
          <w:sz w:val="30"/>
          <w:szCs w:val="30"/>
        </w:rPr>
        <w:t>通过传讲福音，她发出她的光，呼召各处的人们离弃黑暗的权势，安全地进入永恒的上帝之城（约翰福音 1:5, 8:12, 腓立比书 2:15）。</w:t>
      </w:r>
    </w:p>
    <w:p w14:paraId="16463CB8">
      <w:pPr>
        <w:pStyle w:val="9"/>
        <w:spacing w:before="11"/>
        <w:ind w:left="0"/>
        <w:jc w:val="left"/>
        <w:rPr>
          <w:rFonts w:hint="eastAsia"/>
          <w:sz w:val="30"/>
          <w:szCs w:val="30"/>
        </w:rPr>
      </w:pPr>
    </w:p>
    <w:p w14:paraId="745E0BAA">
      <w:pPr>
        <w:pStyle w:val="9"/>
        <w:spacing w:before="11"/>
        <w:ind w:left="0"/>
        <w:jc w:val="left"/>
        <w:rPr>
          <w:rFonts w:hint="eastAsia"/>
          <w:sz w:val="30"/>
          <w:szCs w:val="30"/>
        </w:rPr>
      </w:pPr>
      <w:r>
        <w:rPr>
          <w:rFonts w:hint="eastAsia"/>
          <w:sz w:val="30"/>
          <w:szCs w:val="30"/>
        </w:rPr>
        <w:t>Throughout the entire Era of Proclamation, many do: Parthians, Medes, Elamites, residents of Mesopotamia, Judea, and Cappadocia; people from every tribe, tongue, family, and nation (Acts 2:9-11, Rev. 5:9).</w:t>
      </w:r>
    </w:p>
    <w:p w14:paraId="796D25C2">
      <w:pPr>
        <w:pStyle w:val="9"/>
        <w:spacing w:before="11"/>
        <w:ind w:left="0"/>
        <w:jc w:val="left"/>
        <w:rPr>
          <w:rFonts w:hint="eastAsia"/>
          <w:sz w:val="30"/>
          <w:szCs w:val="30"/>
        </w:rPr>
      </w:pPr>
      <w:r>
        <w:rPr>
          <w:rFonts w:hint="eastAsia"/>
          <w:sz w:val="30"/>
          <w:szCs w:val="30"/>
        </w:rPr>
        <w:t>在整个宣讲的时代，许多人这样做：帕提亚人、玛代人、以拦人、美索不达米亚、犹太和加帕多家居民；来自各族、各方、各民、各国的人（使徒行传 2:9-11, 启示录 5:9）。</w:t>
      </w:r>
    </w:p>
    <w:p w14:paraId="2D73FE7A">
      <w:pPr>
        <w:pStyle w:val="9"/>
        <w:spacing w:before="11"/>
        <w:ind w:left="0"/>
        <w:jc w:val="left"/>
        <w:rPr>
          <w:rFonts w:hint="eastAsia"/>
          <w:sz w:val="30"/>
          <w:szCs w:val="30"/>
        </w:rPr>
      </w:pPr>
    </w:p>
    <w:p w14:paraId="448E91EF">
      <w:pPr>
        <w:pStyle w:val="9"/>
        <w:spacing w:before="11"/>
        <w:ind w:left="0"/>
        <w:jc w:val="left"/>
        <w:rPr>
          <w:rFonts w:hint="eastAsia"/>
          <w:sz w:val="30"/>
          <w:szCs w:val="30"/>
        </w:rPr>
      </w:pPr>
      <w:r>
        <w:rPr>
          <w:rFonts w:hint="eastAsia"/>
          <w:sz w:val="30"/>
          <w:szCs w:val="30"/>
        </w:rPr>
        <w:t>And they will continue to do so, even until the end of the age, when Christ returns to fully glorify the Zion of the Holy One of Israel, and to bring in the new heavens and the new earth (vv. 14, 19-22, Mt. 24:14, Acts 1:8, 2:9-11, Rev. 21:11).</w:t>
      </w:r>
    </w:p>
    <w:p w14:paraId="59F3E85E">
      <w:pPr>
        <w:pStyle w:val="9"/>
        <w:spacing w:before="11"/>
        <w:ind w:left="0"/>
        <w:jc w:val="left"/>
        <w:rPr>
          <w:rFonts w:hint="eastAsia"/>
          <w:sz w:val="30"/>
          <w:szCs w:val="30"/>
        </w:rPr>
      </w:pPr>
      <w:r>
        <w:rPr>
          <w:rFonts w:hint="eastAsia"/>
          <w:sz w:val="30"/>
          <w:szCs w:val="30"/>
        </w:rPr>
        <w:t>他们将继续这样做，直到世代的末了，那时基督将再来，完全荣耀以色列圣者的锡安，并带来新天新地（14, 19-22节, 马太福音 24:14, 使徒行传 1:8, 2:9-11, 启示录 21:11）。</w:t>
      </w:r>
    </w:p>
    <w:p w14:paraId="5399AFB9">
      <w:pPr>
        <w:pStyle w:val="9"/>
        <w:spacing w:before="11"/>
        <w:ind w:left="0"/>
        <w:jc w:val="left"/>
        <w:rPr>
          <w:rFonts w:hint="eastAsia"/>
          <w:sz w:val="30"/>
          <w:szCs w:val="30"/>
        </w:rPr>
      </w:pPr>
    </w:p>
    <w:p w14:paraId="63844D11">
      <w:pPr>
        <w:pStyle w:val="9"/>
        <w:spacing w:before="11"/>
        <w:ind w:left="0"/>
        <w:jc w:val="left"/>
        <w:rPr>
          <w:rFonts w:hint="eastAsia"/>
          <w:sz w:val="30"/>
          <w:szCs w:val="30"/>
        </w:rPr>
      </w:pPr>
      <w:r>
        <w:rPr>
          <w:rFonts w:hint="eastAsia"/>
          <w:sz w:val="30"/>
          <w:szCs w:val="30"/>
        </w:rPr>
        <w:t>The Wealth of the Nations Will Come (4-9)</w:t>
      </w:r>
    </w:p>
    <w:p w14:paraId="15A67D22">
      <w:pPr>
        <w:pStyle w:val="9"/>
        <w:spacing w:before="11"/>
        <w:ind w:left="0"/>
        <w:jc w:val="left"/>
        <w:rPr>
          <w:rFonts w:hint="eastAsia"/>
          <w:sz w:val="30"/>
          <w:szCs w:val="30"/>
        </w:rPr>
      </w:pPr>
      <w:r>
        <w:rPr>
          <w:rFonts w:hint="eastAsia"/>
          <w:sz w:val="30"/>
          <w:szCs w:val="30"/>
        </w:rPr>
        <w:t>列国的财富必都运来（4-9节）</w:t>
      </w:r>
    </w:p>
    <w:p w14:paraId="45539F39">
      <w:pPr>
        <w:pStyle w:val="9"/>
        <w:spacing w:before="11"/>
        <w:ind w:left="0"/>
        <w:jc w:val="left"/>
        <w:rPr>
          <w:rFonts w:hint="eastAsia"/>
          <w:sz w:val="30"/>
          <w:szCs w:val="30"/>
        </w:rPr>
      </w:pPr>
    </w:p>
    <w:p w14:paraId="6F02A6EE">
      <w:pPr>
        <w:pStyle w:val="9"/>
        <w:spacing w:before="11"/>
        <w:ind w:left="0"/>
        <w:jc w:val="left"/>
        <w:rPr>
          <w:rFonts w:hint="eastAsia"/>
          <w:sz w:val="30"/>
          <w:szCs w:val="30"/>
        </w:rPr>
      </w:pPr>
      <w:r>
        <w:rPr>
          <w:rFonts w:hint="eastAsia"/>
          <w:sz w:val="30"/>
          <w:szCs w:val="30"/>
        </w:rPr>
        <w:t>Verses 4-9 elaborate upon all this, using concrete imagery drawn from Israel’s life under the Law to depict the eschatological fulfillment of her mission to the nations; to depict God effectually calling his elect sons and daughters to Christ and into the Church (v. 4, John 6:37, 10:16, Rom. 8:30, 1 Cor. 12:13).</w:t>
      </w:r>
    </w:p>
    <w:p w14:paraId="552D961C">
      <w:pPr>
        <w:pStyle w:val="9"/>
        <w:spacing w:before="11"/>
        <w:ind w:left="0"/>
        <w:jc w:val="left"/>
        <w:rPr>
          <w:rFonts w:hint="eastAsia"/>
          <w:sz w:val="30"/>
          <w:szCs w:val="30"/>
        </w:rPr>
      </w:pPr>
      <w:r>
        <w:rPr>
          <w:rFonts w:hint="eastAsia"/>
          <w:sz w:val="30"/>
          <w:szCs w:val="30"/>
        </w:rPr>
        <w:t>第4-9节详细阐述了这一切，使用取自以色列在律法下生活的具体意象，来描绘她对列国使命的末世应验；描绘上帝有效地呼召祂蒙拣选的儿女归向基督并进入教会（4节, 约翰福音 6:37, 10:16, 罗马书 8:30, 哥林多前书 12:13）。</w:t>
      </w:r>
    </w:p>
    <w:p w14:paraId="12231A3F">
      <w:pPr>
        <w:pStyle w:val="9"/>
        <w:spacing w:before="11"/>
        <w:ind w:left="0"/>
        <w:jc w:val="left"/>
        <w:rPr>
          <w:rFonts w:hint="eastAsia"/>
          <w:sz w:val="30"/>
          <w:szCs w:val="30"/>
        </w:rPr>
      </w:pPr>
    </w:p>
    <w:p w14:paraId="2EFCD341">
      <w:pPr>
        <w:pStyle w:val="9"/>
        <w:spacing w:before="11"/>
        <w:ind w:left="0"/>
        <w:jc w:val="left"/>
        <w:rPr>
          <w:rFonts w:hint="eastAsia"/>
          <w:sz w:val="30"/>
          <w:szCs w:val="30"/>
        </w:rPr>
      </w:pPr>
      <w:r>
        <w:rPr>
          <w:rFonts w:hint="eastAsia"/>
          <w:sz w:val="30"/>
          <w:szCs w:val="30"/>
        </w:rPr>
        <w:t>When they come, they will bring great wealth, not simply their material possessions, but also the true riches of gratitude, love, obedience, consecrated service, and more new believers in Jesus (v. 5; Mark 10:29-30, 12:28-30, John 14:15, Rom. 12:1, 15:16, Col. 3:15).</w:t>
      </w:r>
    </w:p>
    <w:p w14:paraId="422F6F85">
      <w:pPr>
        <w:pStyle w:val="9"/>
        <w:spacing w:before="11"/>
        <w:ind w:left="0"/>
        <w:jc w:val="left"/>
        <w:rPr>
          <w:rFonts w:hint="eastAsia"/>
          <w:sz w:val="30"/>
          <w:szCs w:val="30"/>
        </w:rPr>
      </w:pPr>
      <w:r>
        <w:rPr>
          <w:rFonts w:hint="eastAsia"/>
          <w:sz w:val="30"/>
          <w:szCs w:val="30"/>
        </w:rPr>
        <w:t>当他们来的时候，他们将带来巨大的财富，不仅是他们的物质财产，还有感恩、爱、顺服、奉献的事奉，以及更多在耶稣里的新信徒的真正财富（5节；马可福音 10:29-30, 12:28-30, 约翰福音 14:15, 罗马书 12:1, 15:16, 歌罗西书 3:15）。</w:t>
      </w:r>
    </w:p>
    <w:p w14:paraId="677DE080">
      <w:pPr>
        <w:pStyle w:val="9"/>
        <w:spacing w:before="11"/>
        <w:ind w:left="0"/>
        <w:jc w:val="left"/>
        <w:rPr>
          <w:rFonts w:hint="eastAsia"/>
          <w:sz w:val="30"/>
          <w:szCs w:val="30"/>
        </w:rPr>
      </w:pPr>
    </w:p>
    <w:p w14:paraId="71E15D8A">
      <w:pPr>
        <w:pStyle w:val="9"/>
        <w:spacing w:before="11"/>
        <w:ind w:left="0"/>
        <w:jc w:val="left"/>
        <w:rPr>
          <w:rFonts w:hint="eastAsia"/>
          <w:sz w:val="30"/>
          <w:szCs w:val="30"/>
        </w:rPr>
      </w:pPr>
      <w:r>
        <w:rPr>
          <w:rFonts w:hint="eastAsia"/>
          <w:sz w:val="30"/>
          <w:szCs w:val="30"/>
        </w:rPr>
        <w:t>These precious spiritual sacrifices will come up with acceptance upon God’s altar (v. 6, 1 Peter 2:5, Heb. 13:15).</w:t>
      </w:r>
    </w:p>
    <w:p w14:paraId="24110BAE">
      <w:pPr>
        <w:pStyle w:val="9"/>
        <w:spacing w:before="11"/>
        <w:ind w:left="0"/>
        <w:jc w:val="left"/>
        <w:rPr>
          <w:rFonts w:hint="eastAsia"/>
          <w:sz w:val="30"/>
          <w:szCs w:val="30"/>
        </w:rPr>
      </w:pPr>
      <w:r>
        <w:rPr>
          <w:rFonts w:hint="eastAsia"/>
          <w:sz w:val="30"/>
          <w:szCs w:val="30"/>
        </w:rPr>
        <w:t>这些宝贵的属灵祭物必蒙悦纳献在上帝的坛上（6节, 彼得前书 2:5, 希伯来书 13:15）。</w:t>
      </w:r>
    </w:p>
    <w:p w14:paraId="75CF3580">
      <w:pPr>
        <w:pStyle w:val="9"/>
        <w:spacing w:before="11"/>
        <w:ind w:left="0"/>
        <w:jc w:val="left"/>
        <w:rPr>
          <w:rFonts w:hint="eastAsia"/>
          <w:sz w:val="30"/>
          <w:szCs w:val="30"/>
        </w:rPr>
      </w:pPr>
    </w:p>
    <w:p w14:paraId="20CCBA18">
      <w:pPr>
        <w:pStyle w:val="9"/>
        <w:spacing w:before="11"/>
        <w:ind w:left="0"/>
        <w:jc w:val="left"/>
        <w:rPr>
          <w:rFonts w:hint="eastAsia"/>
          <w:sz w:val="30"/>
          <w:szCs w:val="30"/>
        </w:rPr>
      </w:pPr>
      <w:r>
        <w:rPr>
          <w:rFonts w:hint="eastAsia"/>
          <w:sz w:val="30"/>
          <w:szCs w:val="30"/>
        </w:rPr>
        <w:t>As the Church offers them, she will grow in holiness; as she grows in holiness, she will be built up as a beautiful spiritual house, a house wherein the God of glory himself is pleased to dwell (vv. 7-9, Mt. 16:18, John 14:23, Eph. 2:22, 1 Peter 2:5).</w:t>
      </w:r>
    </w:p>
    <w:p w14:paraId="372A4F39">
      <w:pPr>
        <w:pStyle w:val="9"/>
        <w:spacing w:before="11"/>
        <w:ind w:left="0"/>
        <w:jc w:val="left"/>
        <w:rPr>
          <w:rFonts w:hint="eastAsia"/>
          <w:sz w:val="30"/>
          <w:szCs w:val="30"/>
        </w:rPr>
      </w:pPr>
      <w:r>
        <w:rPr>
          <w:rFonts w:hint="eastAsia"/>
          <w:sz w:val="30"/>
          <w:szCs w:val="30"/>
        </w:rPr>
        <w:t>当教会献上它们时，她将在圣洁上成长；当她在圣洁上成长时，她将被建造成为一座美丽的灵宫，荣耀的上帝自己乐意住在其中（7-9节, 马太福音 16:18, 约翰福音 14:23, 以弗所书 2:22, 彼得前书 2:5）。</w:t>
      </w:r>
    </w:p>
    <w:p w14:paraId="2498C702">
      <w:pPr>
        <w:pStyle w:val="9"/>
        <w:spacing w:before="11"/>
        <w:ind w:left="0"/>
        <w:jc w:val="left"/>
        <w:rPr>
          <w:rFonts w:hint="eastAsia"/>
          <w:sz w:val="30"/>
          <w:szCs w:val="30"/>
        </w:rPr>
      </w:pPr>
    </w:p>
    <w:p w14:paraId="01620431">
      <w:pPr>
        <w:pStyle w:val="9"/>
        <w:spacing w:before="11"/>
        <w:ind w:left="0"/>
        <w:jc w:val="left"/>
        <w:rPr>
          <w:rFonts w:hint="eastAsia"/>
          <w:sz w:val="30"/>
          <w:szCs w:val="30"/>
        </w:rPr>
      </w:pPr>
      <w:r>
        <w:rPr>
          <w:rFonts w:hint="eastAsia"/>
          <w:sz w:val="30"/>
          <w:szCs w:val="30"/>
        </w:rPr>
        <w:t>They Will Bow at the Soles of Your Feet (10-14)</w:t>
      </w:r>
    </w:p>
    <w:p w14:paraId="52D3D89F">
      <w:pPr>
        <w:pStyle w:val="9"/>
        <w:spacing w:before="11"/>
        <w:ind w:left="0"/>
        <w:jc w:val="left"/>
        <w:rPr>
          <w:rFonts w:hint="eastAsia"/>
          <w:sz w:val="30"/>
          <w:szCs w:val="30"/>
        </w:rPr>
      </w:pPr>
      <w:r>
        <w:rPr>
          <w:rFonts w:hint="eastAsia"/>
          <w:sz w:val="30"/>
          <w:szCs w:val="30"/>
        </w:rPr>
        <w:t>他们必在你脚掌下跪拜（10-14节）</w:t>
      </w:r>
    </w:p>
    <w:p w14:paraId="119B1D42">
      <w:pPr>
        <w:pStyle w:val="9"/>
        <w:spacing w:before="11"/>
        <w:ind w:left="0"/>
        <w:jc w:val="left"/>
        <w:rPr>
          <w:rFonts w:hint="eastAsia"/>
          <w:sz w:val="30"/>
          <w:szCs w:val="30"/>
        </w:rPr>
      </w:pPr>
    </w:p>
    <w:p w14:paraId="2BA48283">
      <w:pPr>
        <w:pStyle w:val="9"/>
        <w:spacing w:before="11"/>
        <w:ind w:left="0"/>
        <w:jc w:val="left"/>
        <w:rPr>
          <w:rFonts w:hint="eastAsia"/>
          <w:sz w:val="30"/>
          <w:szCs w:val="30"/>
        </w:rPr>
      </w:pPr>
      <w:r>
        <w:rPr>
          <w:rFonts w:hint="eastAsia"/>
          <w:sz w:val="30"/>
          <w:szCs w:val="30"/>
        </w:rPr>
        <w:t>Verses 10-14 continue to speak of the rise of eschatological Zion, this time with special emphasis upon her relation to her enemies, whether past or present.</w:t>
      </w:r>
    </w:p>
    <w:p w14:paraId="29E8B61E">
      <w:pPr>
        <w:pStyle w:val="9"/>
        <w:spacing w:before="11"/>
        <w:ind w:left="0"/>
        <w:jc w:val="left"/>
        <w:rPr>
          <w:rFonts w:hint="eastAsia"/>
          <w:sz w:val="30"/>
          <w:szCs w:val="30"/>
        </w:rPr>
      </w:pPr>
      <w:r>
        <w:rPr>
          <w:rFonts w:hint="eastAsia"/>
          <w:sz w:val="30"/>
          <w:szCs w:val="30"/>
        </w:rPr>
        <w:t>第10-14节继续谈论末世锡安的兴起，这一次特别强调她与过去或现在仇敌的关系。</w:t>
      </w:r>
    </w:p>
    <w:p w14:paraId="701FA50D">
      <w:pPr>
        <w:pStyle w:val="9"/>
        <w:spacing w:before="11"/>
        <w:ind w:left="0"/>
        <w:jc w:val="left"/>
        <w:rPr>
          <w:rFonts w:hint="eastAsia"/>
          <w:sz w:val="30"/>
          <w:szCs w:val="30"/>
        </w:rPr>
      </w:pPr>
    </w:p>
    <w:p w14:paraId="73400899">
      <w:pPr>
        <w:pStyle w:val="9"/>
        <w:spacing w:before="11"/>
        <w:ind w:left="0"/>
        <w:jc w:val="left"/>
        <w:rPr>
          <w:rFonts w:hint="eastAsia"/>
          <w:sz w:val="30"/>
          <w:szCs w:val="30"/>
        </w:rPr>
      </w:pPr>
      <w:r>
        <w:rPr>
          <w:rFonts w:hint="eastAsia"/>
          <w:sz w:val="30"/>
          <w:szCs w:val="30"/>
        </w:rPr>
        <w:t>Those who formerly were the instruments of God’s wrath towards his Zion will be the very ones to build up her walls (v. 10); those who refuse to serve her will be utterly ruined (v. 12); and the sons of those who previously afflicted her will now come and bow themselves at her feet (v. 14).</w:t>
      </w:r>
    </w:p>
    <w:p w14:paraId="0BFEDF1C">
      <w:pPr>
        <w:pStyle w:val="9"/>
        <w:spacing w:before="11"/>
        <w:ind w:left="0"/>
        <w:jc w:val="left"/>
        <w:rPr>
          <w:rFonts w:hint="eastAsia"/>
          <w:sz w:val="30"/>
          <w:szCs w:val="30"/>
        </w:rPr>
      </w:pPr>
      <w:r>
        <w:rPr>
          <w:rFonts w:hint="eastAsia"/>
          <w:sz w:val="30"/>
          <w:szCs w:val="30"/>
        </w:rPr>
        <w:t>那些从前是上帝对祂的锡安发怒的工具的人，将正是修造她城墙的人（10节）；那些拒绝事奉她的人将彻底败坏（12节）；而先前苦待她的那些人的子孙如今要来，在她脚前屈身下拜（14节）。</w:t>
      </w:r>
    </w:p>
    <w:p w14:paraId="712EF396">
      <w:pPr>
        <w:pStyle w:val="9"/>
        <w:spacing w:before="11"/>
        <w:ind w:left="0"/>
        <w:jc w:val="left"/>
        <w:rPr>
          <w:rFonts w:hint="eastAsia"/>
          <w:sz w:val="30"/>
          <w:szCs w:val="30"/>
        </w:rPr>
      </w:pPr>
    </w:p>
    <w:p w14:paraId="03461796">
      <w:pPr>
        <w:pStyle w:val="9"/>
        <w:spacing w:before="11"/>
        <w:ind w:left="0"/>
        <w:jc w:val="left"/>
        <w:rPr>
          <w:rFonts w:hint="eastAsia"/>
          <w:sz w:val="30"/>
          <w:szCs w:val="30"/>
        </w:rPr>
      </w:pPr>
      <w:r>
        <w:rPr>
          <w:rFonts w:hint="eastAsia"/>
          <w:sz w:val="30"/>
          <w:szCs w:val="30"/>
        </w:rPr>
        <w:t>These challenging verses speak not only to Jews, but also to Gentiles.</w:t>
      </w:r>
    </w:p>
    <w:p w14:paraId="163AE95D">
      <w:pPr>
        <w:pStyle w:val="9"/>
        <w:spacing w:before="11"/>
        <w:ind w:left="0"/>
        <w:jc w:val="left"/>
        <w:rPr>
          <w:rFonts w:hint="eastAsia"/>
          <w:sz w:val="30"/>
          <w:szCs w:val="30"/>
        </w:rPr>
      </w:pPr>
      <w:r>
        <w:rPr>
          <w:rFonts w:hint="eastAsia"/>
          <w:sz w:val="30"/>
          <w:szCs w:val="30"/>
        </w:rPr>
        <w:t>这些具有挑战性的经文不仅对犹太人说话，也对外邦人说话。</w:t>
      </w:r>
    </w:p>
    <w:p w14:paraId="680C7421">
      <w:pPr>
        <w:pStyle w:val="9"/>
        <w:spacing w:before="11"/>
        <w:ind w:left="0"/>
        <w:jc w:val="left"/>
        <w:rPr>
          <w:rFonts w:hint="eastAsia"/>
          <w:sz w:val="30"/>
          <w:szCs w:val="30"/>
        </w:rPr>
      </w:pPr>
    </w:p>
    <w:p w14:paraId="678236D4">
      <w:pPr>
        <w:pStyle w:val="9"/>
        <w:spacing w:before="11"/>
        <w:ind w:left="0"/>
        <w:jc w:val="left"/>
        <w:rPr>
          <w:rFonts w:hint="eastAsia"/>
          <w:sz w:val="30"/>
          <w:szCs w:val="30"/>
        </w:rPr>
      </w:pPr>
      <w:r>
        <w:rPr>
          <w:rFonts w:hint="eastAsia"/>
          <w:sz w:val="30"/>
          <w:szCs w:val="30"/>
        </w:rPr>
        <w:t>In the days of the Kingdom, Jewish Christians will marvel to see Egyptians, Mesopotamians, Romans, and other former oppressors coming to Christ, humbling themselves before the God of Abraham, and co- laboring with them for the growth of the Church (Acts 2).</w:t>
      </w:r>
    </w:p>
    <w:p w14:paraId="2E6DE31C">
      <w:pPr>
        <w:pStyle w:val="9"/>
        <w:spacing w:before="11"/>
        <w:ind w:left="0"/>
        <w:jc w:val="left"/>
        <w:rPr>
          <w:rFonts w:hint="eastAsia"/>
          <w:sz w:val="30"/>
          <w:szCs w:val="30"/>
        </w:rPr>
      </w:pPr>
      <w:r>
        <w:rPr>
          <w:rFonts w:hint="eastAsia"/>
          <w:sz w:val="30"/>
          <w:szCs w:val="30"/>
        </w:rPr>
        <w:t>在国度的日子里，犹太基督徒将惊奇地看到埃及人、美索不达米亚人、罗马人以及其他从前的压迫者归向基督，在亚伯拉罕的上帝面前谦卑自己，并与他们一同为教会的成长而劳苦（使徒行传 2章）。</w:t>
      </w:r>
    </w:p>
    <w:p w14:paraId="45BAFA56">
      <w:pPr>
        <w:pStyle w:val="9"/>
        <w:spacing w:before="11"/>
        <w:ind w:left="0"/>
        <w:jc w:val="left"/>
        <w:rPr>
          <w:rFonts w:hint="eastAsia"/>
          <w:sz w:val="30"/>
          <w:szCs w:val="30"/>
        </w:rPr>
      </w:pPr>
    </w:p>
    <w:p w14:paraId="3E890949">
      <w:pPr>
        <w:pStyle w:val="9"/>
        <w:spacing w:before="11"/>
        <w:ind w:left="0"/>
        <w:jc w:val="left"/>
        <w:rPr>
          <w:rFonts w:hint="eastAsia"/>
          <w:sz w:val="30"/>
          <w:szCs w:val="30"/>
        </w:rPr>
      </w:pPr>
      <w:r>
        <w:rPr>
          <w:rFonts w:hint="eastAsia"/>
          <w:sz w:val="30"/>
          <w:szCs w:val="30"/>
        </w:rPr>
        <w:t>Likewise, Gentile Christians will marvel to see God bringing “nations” of former persecutors into his City.</w:t>
      </w:r>
    </w:p>
    <w:p w14:paraId="3E3B550F">
      <w:pPr>
        <w:pStyle w:val="9"/>
        <w:spacing w:before="11"/>
        <w:ind w:left="0"/>
        <w:jc w:val="left"/>
        <w:rPr>
          <w:rFonts w:hint="eastAsia"/>
          <w:sz w:val="30"/>
          <w:szCs w:val="30"/>
        </w:rPr>
      </w:pPr>
      <w:r>
        <w:rPr>
          <w:rFonts w:hint="eastAsia"/>
          <w:sz w:val="30"/>
          <w:szCs w:val="30"/>
        </w:rPr>
        <w:t>同样，外邦基督徒也将惊奇地看到上帝将从前的逼迫者“列国”带入祂的城中。</w:t>
      </w:r>
    </w:p>
    <w:p w14:paraId="7E1E840B">
      <w:pPr>
        <w:pStyle w:val="9"/>
        <w:spacing w:before="11"/>
        <w:ind w:left="0"/>
        <w:jc w:val="left"/>
        <w:rPr>
          <w:rFonts w:hint="eastAsia"/>
          <w:sz w:val="30"/>
          <w:szCs w:val="30"/>
        </w:rPr>
      </w:pPr>
    </w:p>
    <w:p w14:paraId="6FEC31AD">
      <w:pPr>
        <w:pStyle w:val="9"/>
        <w:spacing w:before="11"/>
        <w:ind w:left="0"/>
        <w:jc w:val="left"/>
        <w:rPr>
          <w:rFonts w:hint="eastAsia"/>
          <w:sz w:val="30"/>
          <w:szCs w:val="30"/>
        </w:rPr>
      </w:pPr>
      <w:r>
        <w:rPr>
          <w:rFonts w:hint="eastAsia"/>
          <w:sz w:val="30"/>
          <w:szCs w:val="30"/>
        </w:rPr>
        <w:t>Also, both Jew and Gentile will tremble at the eternal ruin of those who refuse to love and serve the Church, for failure to love and serve the Heavenly Husband whom she proclaimed (vv. 12, 14; Mt. 10:40, Luke 19:27, John 20:23, Gal. 1:22-24, Eph. 5:22ff, 1 John 4:20-21, Rev. 3.9).</w:t>
      </w:r>
    </w:p>
    <w:p w14:paraId="69507FA9">
      <w:pPr>
        <w:pStyle w:val="9"/>
        <w:spacing w:before="11"/>
        <w:ind w:left="0"/>
        <w:jc w:val="left"/>
        <w:rPr>
          <w:rFonts w:hint="eastAsia"/>
          <w:sz w:val="30"/>
          <w:szCs w:val="30"/>
        </w:rPr>
      </w:pPr>
      <w:r>
        <w:rPr>
          <w:rFonts w:hint="eastAsia"/>
          <w:sz w:val="30"/>
          <w:szCs w:val="30"/>
        </w:rPr>
        <w:t>此外，无论是犹太人还是外邦人，都将因那些拒绝爱和服事教会的人的永恒毁灭而战兢，因为他们未能爱和服事她所宣扬的天上的丈夫（12, 14节；马太福音 10:40, 路加福音 19:27, 约翰福音 20:23, 加拉太书 1:22-24, 以弗所书 5:22及后文, 约翰一书 4:20-21, 启示录 3:9）。</w:t>
      </w:r>
    </w:p>
    <w:p w14:paraId="5A4622C9">
      <w:pPr>
        <w:pStyle w:val="9"/>
        <w:spacing w:before="11"/>
        <w:ind w:left="0"/>
        <w:jc w:val="left"/>
        <w:rPr>
          <w:rFonts w:hint="eastAsia"/>
          <w:sz w:val="30"/>
          <w:szCs w:val="30"/>
        </w:rPr>
      </w:pPr>
    </w:p>
    <w:p w14:paraId="4E889D28">
      <w:pPr>
        <w:pStyle w:val="9"/>
        <w:spacing w:before="11"/>
        <w:ind w:left="0"/>
        <w:jc w:val="left"/>
        <w:rPr>
          <w:rFonts w:hint="eastAsia"/>
          <w:sz w:val="30"/>
          <w:szCs w:val="30"/>
        </w:rPr>
      </w:pPr>
      <w:r>
        <w:rPr>
          <w:rFonts w:hint="eastAsia"/>
          <w:sz w:val="30"/>
          <w:szCs w:val="30"/>
        </w:rPr>
        <w:t>An Everlasting Praise (15-16)</w:t>
      </w:r>
    </w:p>
    <w:p w14:paraId="3BBAA681">
      <w:pPr>
        <w:pStyle w:val="9"/>
        <w:spacing w:before="11"/>
        <w:ind w:left="0"/>
        <w:jc w:val="left"/>
        <w:rPr>
          <w:rFonts w:hint="eastAsia"/>
          <w:sz w:val="30"/>
          <w:szCs w:val="30"/>
        </w:rPr>
      </w:pPr>
      <w:r>
        <w:rPr>
          <w:rFonts w:hint="eastAsia"/>
          <w:sz w:val="30"/>
          <w:szCs w:val="30"/>
        </w:rPr>
        <w:t>永远的赞美（15-16节）</w:t>
      </w:r>
    </w:p>
    <w:p w14:paraId="70336EF9">
      <w:pPr>
        <w:pStyle w:val="9"/>
        <w:spacing w:before="11"/>
        <w:ind w:left="0"/>
        <w:jc w:val="left"/>
        <w:rPr>
          <w:rFonts w:hint="eastAsia"/>
          <w:sz w:val="30"/>
          <w:szCs w:val="30"/>
        </w:rPr>
      </w:pPr>
    </w:p>
    <w:p w14:paraId="33277F83">
      <w:pPr>
        <w:pStyle w:val="9"/>
        <w:spacing w:before="11"/>
        <w:ind w:left="0"/>
        <w:jc w:val="left"/>
        <w:rPr>
          <w:rFonts w:hint="eastAsia"/>
          <w:sz w:val="30"/>
          <w:szCs w:val="30"/>
        </w:rPr>
      </w:pPr>
      <w:r>
        <w:rPr>
          <w:rFonts w:hint="eastAsia"/>
          <w:sz w:val="30"/>
          <w:szCs w:val="30"/>
        </w:rPr>
        <w:t>Verses 15-16 contrast the destinies of the former Jerusalem and the latter.</w:t>
      </w:r>
    </w:p>
    <w:p w14:paraId="5E68CF03">
      <w:pPr>
        <w:pStyle w:val="9"/>
        <w:spacing w:before="11"/>
        <w:ind w:left="0"/>
        <w:jc w:val="left"/>
        <w:rPr>
          <w:rFonts w:hint="eastAsia"/>
          <w:sz w:val="30"/>
          <w:szCs w:val="30"/>
        </w:rPr>
      </w:pPr>
      <w:r>
        <w:rPr>
          <w:rFonts w:hint="eastAsia"/>
          <w:sz w:val="30"/>
          <w:szCs w:val="30"/>
        </w:rPr>
        <w:t>第15-16节对比了前耶路撒冷和后耶路撒冷的命运。</w:t>
      </w:r>
    </w:p>
    <w:p w14:paraId="4F0DF09F">
      <w:pPr>
        <w:pStyle w:val="9"/>
        <w:spacing w:before="11"/>
        <w:ind w:left="0"/>
        <w:jc w:val="left"/>
        <w:rPr>
          <w:rFonts w:hint="eastAsia"/>
          <w:sz w:val="30"/>
          <w:szCs w:val="30"/>
        </w:rPr>
      </w:pPr>
    </w:p>
    <w:p w14:paraId="6ABA2B1D">
      <w:pPr>
        <w:pStyle w:val="9"/>
        <w:spacing w:before="11"/>
        <w:ind w:left="0"/>
        <w:jc w:val="left"/>
        <w:rPr>
          <w:rFonts w:hint="eastAsia"/>
          <w:sz w:val="30"/>
          <w:szCs w:val="30"/>
        </w:rPr>
      </w:pPr>
      <w:r>
        <w:rPr>
          <w:rFonts w:hint="eastAsia"/>
          <w:sz w:val="30"/>
          <w:szCs w:val="30"/>
        </w:rPr>
        <w:t>The old, living under a Law that left her earthbound, was barren, trodden under foot by the Gentiles for her sins (Gal. 4:24-27, Heb. 7:19, 8:7ff).</w:t>
      </w:r>
    </w:p>
    <w:p w14:paraId="723D0403">
      <w:pPr>
        <w:pStyle w:val="9"/>
        <w:spacing w:before="11"/>
        <w:ind w:left="0"/>
        <w:jc w:val="left"/>
        <w:rPr>
          <w:rFonts w:hint="eastAsia"/>
          <w:sz w:val="30"/>
          <w:szCs w:val="30"/>
        </w:rPr>
      </w:pPr>
      <w:r>
        <w:rPr>
          <w:rFonts w:hint="eastAsia"/>
          <w:sz w:val="30"/>
          <w:szCs w:val="30"/>
        </w:rPr>
        <w:t>旧的耶路撒冷，活在律法之下，使其受限于地，是不生育的，因她的罪被外邦人践踏（加拉太书 4:24-27, 希伯来书 7:19, 8:7及后文）。</w:t>
      </w:r>
    </w:p>
    <w:p w14:paraId="3C5357E5">
      <w:pPr>
        <w:pStyle w:val="9"/>
        <w:spacing w:before="11"/>
        <w:ind w:left="0"/>
        <w:jc w:val="left"/>
        <w:rPr>
          <w:rFonts w:hint="eastAsia"/>
          <w:sz w:val="30"/>
          <w:szCs w:val="30"/>
        </w:rPr>
      </w:pPr>
    </w:p>
    <w:p w14:paraId="7472A8AC">
      <w:pPr>
        <w:pStyle w:val="9"/>
        <w:spacing w:before="11"/>
        <w:ind w:left="0"/>
        <w:jc w:val="left"/>
        <w:rPr>
          <w:rFonts w:hint="eastAsia"/>
          <w:sz w:val="30"/>
          <w:szCs w:val="30"/>
        </w:rPr>
      </w:pPr>
      <w:r>
        <w:rPr>
          <w:rFonts w:hint="eastAsia"/>
          <w:sz w:val="30"/>
          <w:szCs w:val="30"/>
        </w:rPr>
        <w:t>The new, living under a Christ who translates her into heavenly places, is eternally fruitful, drinking the milk of multitudes of (converted) Gentiles, whom God, from the very beginning, purposed to bring into his City, Family, Nation, and Land (Gen. 22:18, John 10:16, Gal. 4:24-27).</w:t>
      </w:r>
    </w:p>
    <w:p w14:paraId="2BF7D325">
      <w:pPr>
        <w:pStyle w:val="9"/>
        <w:spacing w:before="11"/>
        <w:ind w:left="0"/>
        <w:jc w:val="left"/>
        <w:rPr>
          <w:rFonts w:hint="eastAsia"/>
          <w:sz w:val="30"/>
          <w:szCs w:val="30"/>
        </w:rPr>
      </w:pPr>
      <w:r>
        <w:rPr>
          <w:rFonts w:hint="eastAsia"/>
          <w:sz w:val="30"/>
          <w:szCs w:val="30"/>
        </w:rPr>
        <w:t>新的耶路撒冷，活在一位将她迁到天上的基督之下，是永远多结果子的，喝着众多（归信的）外邦人的奶，上帝从起初就定意将他们带入祂的城、家、国和地（创世记 22:18, 约翰福音 10:16, 加拉太书 4:24-27）。</w:t>
      </w:r>
    </w:p>
    <w:p w14:paraId="30C9D00C">
      <w:pPr>
        <w:pStyle w:val="9"/>
        <w:spacing w:before="11"/>
        <w:ind w:left="0"/>
        <w:jc w:val="left"/>
        <w:rPr>
          <w:rFonts w:hint="eastAsia"/>
          <w:sz w:val="30"/>
          <w:szCs w:val="30"/>
        </w:rPr>
      </w:pPr>
    </w:p>
    <w:p w14:paraId="6E05AE35">
      <w:pPr>
        <w:pStyle w:val="9"/>
        <w:spacing w:before="11"/>
        <w:ind w:left="0"/>
        <w:jc w:val="left"/>
        <w:rPr>
          <w:rFonts w:hint="eastAsia"/>
          <w:sz w:val="30"/>
          <w:szCs w:val="30"/>
        </w:rPr>
      </w:pPr>
      <w:r>
        <w:rPr>
          <w:rFonts w:hint="eastAsia"/>
          <w:sz w:val="30"/>
          <w:szCs w:val="30"/>
        </w:rPr>
        <w:t>Such is the redemptive power of the Mighty One of Jacob (v. 16).</w:t>
      </w:r>
    </w:p>
    <w:p w14:paraId="3F817596">
      <w:pPr>
        <w:pStyle w:val="9"/>
        <w:spacing w:before="11"/>
        <w:ind w:left="0"/>
        <w:jc w:val="left"/>
        <w:rPr>
          <w:rFonts w:hint="eastAsia"/>
          <w:sz w:val="30"/>
          <w:szCs w:val="30"/>
        </w:rPr>
      </w:pPr>
      <w:r>
        <w:rPr>
          <w:rFonts w:hint="eastAsia"/>
          <w:sz w:val="30"/>
          <w:szCs w:val="30"/>
        </w:rPr>
        <w:t>这就是雅各大能者的救赎大能（16节）。</w:t>
      </w:r>
    </w:p>
    <w:p w14:paraId="3F1231CA">
      <w:pPr>
        <w:pStyle w:val="9"/>
        <w:spacing w:before="11"/>
        <w:ind w:left="0"/>
        <w:jc w:val="left"/>
        <w:rPr>
          <w:rFonts w:hint="eastAsia"/>
          <w:sz w:val="30"/>
          <w:szCs w:val="30"/>
        </w:rPr>
      </w:pPr>
    </w:p>
    <w:p w14:paraId="6FCA35C4">
      <w:pPr>
        <w:pStyle w:val="9"/>
        <w:spacing w:before="11"/>
        <w:ind w:left="0"/>
        <w:jc w:val="left"/>
        <w:rPr>
          <w:rFonts w:hint="eastAsia"/>
          <w:sz w:val="30"/>
          <w:szCs w:val="30"/>
        </w:rPr>
      </w:pPr>
      <w:r>
        <w:rPr>
          <w:rFonts w:hint="eastAsia"/>
          <w:sz w:val="30"/>
          <w:szCs w:val="30"/>
        </w:rPr>
        <w:t>Walls of Salvation, Gates of Praise (17-18)</w:t>
      </w:r>
    </w:p>
    <w:p w14:paraId="00FF0931">
      <w:pPr>
        <w:pStyle w:val="9"/>
        <w:spacing w:before="11"/>
        <w:ind w:left="0"/>
        <w:jc w:val="left"/>
        <w:rPr>
          <w:rFonts w:hint="eastAsia"/>
          <w:sz w:val="30"/>
          <w:szCs w:val="30"/>
        </w:rPr>
      </w:pPr>
      <w:r>
        <w:rPr>
          <w:rFonts w:hint="eastAsia"/>
          <w:sz w:val="30"/>
          <w:szCs w:val="30"/>
        </w:rPr>
        <w:t>救恩的墙，赞美的门（17-18节）</w:t>
      </w:r>
    </w:p>
    <w:p w14:paraId="35531104">
      <w:pPr>
        <w:pStyle w:val="9"/>
        <w:spacing w:before="11"/>
        <w:ind w:left="0"/>
        <w:jc w:val="left"/>
        <w:rPr>
          <w:rFonts w:hint="eastAsia"/>
          <w:sz w:val="30"/>
          <w:szCs w:val="30"/>
        </w:rPr>
      </w:pPr>
    </w:p>
    <w:p w14:paraId="47FA8C7E">
      <w:pPr>
        <w:pStyle w:val="9"/>
        <w:spacing w:before="11"/>
        <w:ind w:left="0"/>
        <w:jc w:val="left"/>
        <w:rPr>
          <w:rFonts w:hint="eastAsia"/>
          <w:sz w:val="30"/>
          <w:szCs w:val="30"/>
        </w:rPr>
      </w:pPr>
      <w:r>
        <w:rPr>
          <w:rFonts w:hint="eastAsia"/>
          <w:sz w:val="30"/>
          <w:szCs w:val="30"/>
        </w:rPr>
        <w:t>Verses 17-18 launch the climactic description of the New Jerusalem in the World to Come.</w:t>
      </w:r>
    </w:p>
    <w:p w14:paraId="58DFF738">
      <w:pPr>
        <w:pStyle w:val="9"/>
        <w:spacing w:before="11"/>
        <w:ind w:left="0"/>
        <w:jc w:val="left"/>
        <w:rPr>
          <w:rFonts w:hint="eastAsia"/>
          <w:sz w:val="30"/>
          <w:szCs w:val="30"/>
        </w:rPr>
      </w:pPr>
      <w:r>
        <w:rPr>
          <w:rFonts w:hint="eastAsia"/>
          <w:sz w:val="30"/>
          <w:szCs w:val="30"/>
        </w:rPr>
        <w:t>第17-18节开启了对未来世界中新耶路撒冷的顶峰描绘。</w:t>
      </w:r>
    </w:p>
    <w:p w14:paraId="14908797">
      <w:pPr>
        <w:pStyle w:val="9"/>
        <w:spacing w:before="11"/>
        <w:ind w:left="0"/>
        <w:jc w:val="left"/>
        <w:rPr>
          <w:rFonts w:hint="eastAsia"/>
          <w:sz w:val="30"/>
          <w:szCs w:val="30"/>
        </w:rPr>
      </w:pPr>
    </w:p>
    <w:p w14:paraId="153413B3">
      <w:pPr>
        <w:pStyle w:val="9"/>
        <w:spacing w:before="11"/>
        <w:ind w:left="0"/>
        <w:jc w:val="left"/>
        <w:rPr>
          <w:rFonts w:hint="eastAsia"/>
          <w:sz w:val="30"/>
          <w:szCs w:val="30"/>
        </w:rPr>
      </w:pPr>
      <w:r>
        <w:rPr>
          <w:rFonts w:hint="eastAsia"/>
          <w:sz w:val="30"/>
          <w:szCs w:val="30"/>
        </w:rPr>
        <w:t>The opening lines of v. 17 speak of the glorification of the Church (Rev. 21:9-21).</w:t>
      </w:r>
    </w:p>
    <w:p w14:paraId="13F0FD77">
      <w:pPr>
        <w:pStyle w:val="9"/>
        <w:spacing w:before="11"/>
        <w:ind w:left="0"/>
        <w:jc w:val="left"/>
        <w:rPr>
          <w:rFonts w:hint="eastAsia"/>
          <w:sz w:val="30"/>
          <w:szCs w:val="30"/>
        </w:rPr>
      </w:pPr>
      <w:r>
        <w:rPr>
          <w:rFonts w:hint="eastAsia"/>
          <w:sz w:val="30"/>
          <w:szCs w:val="30"/>
        </w:rPr>
        <w:t>第17节的开篇句谈到了教会的得荣（启示录 21:9-21）。</w:t>
      </w:r>
    </w:p>
    <w:p w14:paraId="0B539DB5">
      <w:pPr>
        <w:pStyle w:val="9"/>
        <w:spacing w:before="11"/>
        <w:ind w:left="0"/>
        <w:jc w:val="left"/>
        <w:rPr>
          <w:rFonts w:hint="eastAsia"/>
          <w:sz w:val="30"/>
          <w:szCs w:val="30"/>
        </w:rPr>
      </w:pPr>
    </w:p>
    <w:p w14:paraId="772A4C85">
      <w:pPr>
        <w:pStyle w:val="9"/>
        <w:spacing w:before="11"/>
        <w:ind w:left="0"/>
        <w:jc w:val="left"/>
        <w:rPr>
          <w:rFonts w:hint="eastAsia"/>
          <w:sz w:val="30"/>
          <w:szCs w:val="30"/>
        </w:rPr>
      </w:pPr>
      <w:r>
        <w:rPr>
          <w:rFonts w:hint="eastAsia"/>
          <w:sz w:val="30"/>
          <w:szCs w:val="30"/>
        </w:rPr>
        <w:t>Because of the Person and Work of Christ, the eternal City of God will enjoy peace, righteousness, security, salvation, and endless praise (1 Cor. 1:30-31).</w:t>
      </w:r>
    </w:p>
    <w:p w14:paraId="69D2963C">
      <w:pPr>
        <w:pStyle w:val="9"/>
        <w:spacing w:before="11"/>
        <w:ind w:left="0"/>
        <w:jc w:val="left"/>
        <w:rPr>
          <w:rFonts w:hint="eastAsia"/>
          <w:sz w:val="30"/>
          <w:szCs w:val="30"/>
        </w:rPr>
      </w:pPr>
      <w:r>
        <w:rPr>
          <w:rFonts w:hint="eastAsia"/>
          <w:sz w:val="30"/>
          <w:szCs w:val="30"/>
        </w:rPr>
        <w:t>因着基督的位格和工作，永恒的上帝之城将享受和平、公义、安全、救恩和无尽的赞美（哥林多前书 1:30-31）。</w:t>
      </w:r>
    </w:p>
    <w:p w14:paraId="2C4FA835">
      <w:pPr>
        <w:pStyle w:val="9"/>
        <w:spacing w:before="11"/>
        <w:ind w:left="0"/>
        <w:jc w:val="left"/>
        <w:rPr>
          <w:rFonts w:hint="eastAsia"/>
          <w:sz w:val="30"/>
          <w:szCs w:val="30"/>
        </w:rPr>
      </w:pPr>
    </w:p>
    <w:p w14:paraId="5F4008D0">
      <w:pPr>
        <w:pStyle w:val="9"/>
        <w:spacing w:before="11"/>
        <w:ind w:left="0"/>
        <w:jc w:val="left"/>
        <w:rPr>
          <w:rFonts w:hint="eastAsia"/>
          <w:sz w:val="30"/>
          <w:szCs w:val="30"/>
        </w:rPr>
      </w:pPr>
      <w:r>
        <w:rPr>
          <w:rFonts w:hint="eastAsia"/>
          <w:sz w:val="30"/>
          <w:szCs w:val="30"/>
        </w:rPr>
        <w:t>Your God Will Be Your Glory (19-22)</w:t>
      </w:r>
    </w:p>
    <w:p w14:paraId="04038AC4">
      <w:pPr>
        <w:pStyle w:val="9"/>
        <w:spacing w:before="11"/>
        <w:ind w:left="0"/>
        <w:jc w:val="left"/>
        <w:rPr>
          <w:rFonts w:hint="eastAsia"/>
          <w:sz w:val="30"/>
          <w:szCs w:val="30"/>
        </w:rPr>
      </w:pPr>
      <w:r>
        <w:rPr>
          <w:rFonts w:hint="eastAsia"/>
          <w:sz w:val="30"/>
          <w:szCs w:val="30"/>
        </w:rPr>
        <w:t>你的上帝要作你的荣耀（19-22节）</w:t>
      </w:r>
    </w:p>
    <w:p w14:paraId="333FBE7C">
      <w:pPr>
        <w:pStyle w:val="9"/>
        <w:spacing w:before="11"/>
        <w:ind w:left="0"/>
        <w:jc w:val="left"/>
        <w:rPr>
          <w:rFonts w:hint="eastAsia"/>
          <w:sz w:val="30"/>
          <w:szCs w:val="30"/>
        </w:rPr>
      </w:pPr>
    </w:p>
    <w:p w14:paraId="2E2BCE8C">
      <w:pPr>
        <w:pStyle w:val="9"/>
        <w:spacing w:before="11"/>
        <w:ind w:left="0"/>
        <w:jc w:val="left"/>
        <w:rPr>
          <w:rFonts w:hint="eastAsia"/>
          <w:sz w:val="30"/>
          <w:szCs w:val="30"/>
        </w:rPr>
      </w:pPr>
      <w:r>
        <w:rPr>
          <w:rFonts w:hint="eastAsia"/>
          <w:sz w:val="30"/>
          <w:szCs w:val="30"/>
        </w:rPr>
        <w:t>In verses 19-22 we arrive in the eschaton, the new heavens and the new earth, the Kingdom of the Father.</w:t>
      </w:r>
    </w:p>
    <w:p w14:paraId="1B421E72">
      <w:pPr>
        <w:pStyle w:val="9"/>
        <w:spacing w:before="11"/>
        <w:ind w:left="0"/>
        <w:jc w:val="left"/>
        <w:rPr>
          <w:rFonts w:hint="eastAsia"/>
          <w:sz w:val="30"/>
          <w:szCs w:val="30"/>
        </w:rPr>
      </w:pPr>
      <w:r>
        <w:rPr>
          <w:rFonts w:hint="eastAsia"/>
          <w:sz w:val="30"/>
          <w:szCs w:val="30"/>
        </w:rPr>
        <w:t>在第19-22节，我们来到了末世，即新天新地，父的国度。</w:t>
      </w:r>
    </w:p>
    <w:p w14:paraId="260B1800">
      <w:pPr>
        <w:pStyle w:val="9"/>
        <w:spacing w:before="11"/>
        <w:ind w:left="0"/>
        <w:jc w:val="left"/>
        <w:rPr>
          <w:rFonts w:hint="eastAsia"/>
          <w:sz w:val="30"/>
          <w:szCs w:val="30"/>
        </w:rPr>
      </w:pPr>
    </w:p>
    <w:p w14:paraId="2DD13120">
      <w:pPr>
        <w:pStyle w:val="9"/>
        <w:spacing w:before="11"/>
        <w:ind w:left="0"/>
        <w:jc w:val="left"/>
        <w:rPr>
          <w:rFonts w:hint="eastAsia"/>
          <w:sz w:val="30"/>
          <w:szCs w:val="30"/>
        </w:rPr>
      </w:pPr>
      <w:r>
        <w:rPr>
          <w:rFonts w:hint="eastAsia"/>
          <w:sz w:val="30"/>
          <w:szCs w:val="30"/>
        </w:rPr>
        <w:t>Here, sun and moon have given way to the glory of God, the true and everlasting light of the New Jerusalem (vv. 19-20, Rev. 21:23, 22:5).</w:t>
      </w:r>
    </w:p>
    <w:p w14:paraId="6C849AE6">
      <w:pPr>
        <w:pStyle w:val="9"/>
        <w:spacing w:before="11"/>
        <w:ind w:left="0"/>
        <w:jc w:val="left"/>
        <w:rPr>
          <w:rFonts w:hint="eastAsia"/>
          <w:sz w:val="30"/>
          <w:szCs w:val="30"/>
        </w:rPr>
      </w:pPr>
      <w:r>
        <w:rPr>
          <w:rFonts w:hint="eastAsia"/>
          <w:sz w:val="30"/>
          <w:szCs w:val="30"/>
        </w:rPr>
        <w:t>在这里，日月已让位于上帝的荣耀，新耶路撒冷真实而永恒的光（19-20节, 启示录 21:23, 22:5）。</w:t>
      </w:r>
    </w:p>
    <w:p w14:paraId="5C89FDD8">
      <w:pPr>
        <w:pStyle w:val="9"/>
        <w:spacing w:before="11"/>
        <w:ind w:left="0"/>
        <w:jc w:val="left"/>
        <w:rPr>
          <w:rFonts w:hint="eastAsia"/>
          <w:sz w:val="30"/>
          <w:szCs w:val="30"/>
        </w:rPr>
      </w:pPr>
    </w:p>
    <w:p w14:paraId="1BBA0B31">
      <w:pPr>
        <w:pStyle w:val="9"/>
        <w:spacing w:before="11"/>
        <w:ind w:left="0"/>
        <w:jc w:val="left"/>
        <w:rPr>
          <w:rFonts w:hint="eastAsia"/>
          <w:sz w:val="30"/>
          <w:szCs w:val="30"/>
        </w:rPr>
      </w:pPr>
      <w:r>
        <w:rPr>
          <w:rFonts w:hint="eastAsia"/>
          <w:sz w:val="30"/>
          <w:szCs w:val="30"/>
        </w:rPr>
        <w:t>Here, the days of the saints’ mourning are ended (v. 20, Rev. 21:4, 22:3).</w:t>
      </w:r>
    </w:p>
    <w:p w14:paraId="01A918A8">
      <w:pPr>
        <w:pStyle w:val="9"/>
        <w:spacing w:before="11"/>
        <w:ind w:left="0"/>
        <w:jc w:val="left"/>
        <w:rPr>
          <w:rFonts w:hint="eastAsia"/>
          <w:sz w:val="30"/>
          <w:szCs w:val="30"/>
        </w:rPr>
      </w:pPr>
      <w:r>
        <w:rPr>
          <w:rFonts w:hint="eastAsia"/>
          <w:sz w:val="30"/>
          <w:szCs w:val="30"/>
        </w:rPr>
        <w:t>在这里，圣徒哀恸的日子已经结束了（20节, 启示录 21:4, 22:3）。</w:t>
      </w:r>
    </w:p>
    <w:p w14:paraId="383AAA0F">
      <w:pPr>
        <w:pStyle w:val="9"/>
        <w:spacing w:before="11"/>
        <w:ind w:left="0"/>
        <w:jc w:val="left"/>
        <w:rPr>
          <w:rFonts w:hint="eastAsia"/>
          <w:sz w:val="30"/>
          <w:szCs w:val="30"/>
        </w:rPr>
      </w:pPr>
    </w:p>
    <w:p w14:paraId="7455E8C2">
      <w:pPr>
        <w:pStyle w:val="9"/>
        <w:spacing w:before="11"/>
        <w:ind w:left="0"/>
        <w:jc w:val="left"/>
        <w:rPr>
          <w:rFonts w:hint="eastAsia"/>
          <w:sz w:val="30"/>
          <w:szCs w:val="30"/>
        </w:rPr>
      </w:pPr>
      <w:r>
        <w:rPr>
          <w:rFonts w:hint="eastAsia"/>
          <w:sz w:val="30"/>
          <w:szCs w:val="30"/>
        </w:rPr>
        <w:t>Here, God’s people are perfectly righteous (v. 21, 2 Peter 3:13).</w:t>
      </w:r>
    </w:p>
    <w:p w14:paraId="20A8AAD6">
      <w:pPr>
        <w:pStyle w:val="9"/>
        <w:spacing w:before="11"/>
        <w:ind w:left="0"/>
        <w:jc w:val="left"/>
        <w:rPr>
          <w:rFonts w:hint="eastAsia"/>
          <w:sz w:val="30"/>
          <w:szCs w:val="30"/>
        </w:rPr>
      </w:pPr>
      <w:r>
        <w:rPr>
          <w:rFonts w:hint="eastAsia"/>
          <w:sz w:val="30"/>
          <w:szCs w:val="30"/>
        </w:rPr>
        <w:t>在这里，上帝的子民完全公义（21节, 彼得后书 3:13）。</w:t>
      </w:r>
    </w:p>
    <w:p w14:paraId="6098560A">
      <w:pPr>
        <w:pStyle w:val="9"/>
        <w:spacing w:before="11"/>
        <w:ind w:left="0"/>
        <w:jc w:val="left"/>
        <w:rPr>
          <w:rFonts w:hint="eastAsia"/>
          <w:sz w:val="30"/>
          <w:szCs w:val="30"/>
        </w:rPr>
      </w:pPr>
    </w:p>
    <w:p w14:paraId="5766A020">
      <w:pPr>
        <w:pStyle w:val="9"/>
        <w:spacing w:before="11"/>
        <w:ind w:left="0"/>
        <w:jc w:val="left"/>
        <w:rPr>
          <w:rFonts w:hint="eastAsia"/>
          <w:sz w:val="30"/>
          <w:szCs w:val="30"/>
        </w:rPr>
      </w:pPr>
      <w:r>
        <w:rPr>
          <w:rFonts w:hint="eastAsia"/>
          <w:sz w:val="30"/>
          <w:szCs w:val="30"/>
        </w:rPr>
        <w:t>Here, they will live forever, eternally planted in the eschatological Promised Land (v. 21, Isaiah 66:22).</w:t>
      </w:r>
    </w:p>
    <w:p w14:paraId="60A6232E">
      <w:pPr>
        <w:pStyle w:val="9"/>
        <w:spacing w:before="11"/>
        <w:ind w:left="0"/>
        <w:jc w:val="left"/>
        <w:rPr>
          <w:rFonts w:hint="eastAsia"/>
          <w:sz w:val="30"/>
          <w:szCs w:val="30"/>
        </w:rPr>
      </w:pPr>
      <w:r>
        <w:rPr>
          <w:rFonts w:hint="eastAsia"/>
          <w:sz w:val="30"/>
          <w:szCs w:val="30"/>
        </w:rPr>
        <w:t>在这里，他们将永远活着，永远被栽种在末世的应许之地（21节, 以赛亚书 66:22）。</w:t>
      </w:r>
    </w:p>
    <w:p w14:paraId="6602671C">
      <w:pPr>
        <w:pStyle w:val="9"/>
        <w:spacing w:before="11"/>
        <w:ind w:left="0"/>
        <w:jc w:val="left"/>
        <w:rPr>
          <w:rFonts w:hint="eastAsia"/>
          <w:sz w:val="30"/>
          <w:szCs w:val="30"/>
        </w:rPr>
      </w:pPr>
    </w:p>
    <w:p w14:paraId="34D7E3F0">
      <w:pPr>
        <w:pStyle w:val="9"/>
        <w:spacing w:before="11"/>
        <w:ind w:left="0"/>
        <w:jc w:val="left"/>
        <w:rPr>
          <w:rFonts w:hint="eastAsia"/>
          <w:sz w:val="30"/>
          <w:szCs w:val="30"/>
        </w:rPr>
      </w:pPr>
      <w:r>
        <w:rPr>
          <w:rFonts w:hint="eastAsia"/>
          <w:sz w:val="30"/>
          <w:szCs w:val="30"/>
        </w:rPr>
        <w:t>And here the little flock of Jesus—more than conquerors through him who loved them—will have become a great multitude and a mighty everlasting nation (v. 22, Luke 12:32, Rom. 8:37, Rev. 7:9f).</w:t>
      </w:r>
    </w:p>
    <w:p w14:paraId="636C1926">
      <w:pPr>
        <w:pStyle w:val="9"/>
        <w:spacing w:before="11"/>
        <w:ind w:left="0"/>
        <w:jc w:val="left"/>
        <w:rPr>
          <w:rFonts w:hint="eastAsia"/>
          <w:sz w:val="30"/>
          <w:szCs w:val="30"/>
        </w:rPr>
      </w:pPr>
      <w:r>
        <w:rPr>
          <w:rFonts w:hint="eastAsia"/>
          <w:sz w:val="30"/>
          <w:szCs w:val="30"/>
        </w:rPr>
        <w:t>在这里，耶稣的小羊群——藉着爱他们的主，得胜有余——将成为一个大群，一个强大的永恒国度（22节, 路加福音 12:32, 罗马书 8:37, 启示录 7:9及后文）。</w:t>
      </w:r>
    </w:p>
    <w:p w14:paraId="29A6DACF">
      <w:pPr>
        <w:pStyle w:val="9"/>
        <w:spacing w:before="11"/>
        <w:ind w:left="0"/>
        <w:jc w:val="left"/>
        <w:rPr>
          <w:rFonts w:hint="eastAsia"/>
          <w:sz w:val="30"/>
          <w:szCs w:val="30"/>
        </w:rPr>
      </w:pPr>
    </w:p>
    <w:p w14:paraId="3288B0A7">
      <w:pPr>
        <w:pStyle w:val="9"/>
        <w:spacing w:before="11"/>
        <w:ind w:left="0"/>
        <w:jc w:val="left"/>
        <w:rPr>
          <w:rFonts w:hint="eastAsia"/>
          <w:sz w:val="30"/>
          <w:szCs w:val="30"/>
        </w:rPr>
      </w:pPr>
      <w:r>
        <w:rPr>
          <w:rFonts w:hint="eastAsia"/>
          <w:sz w:val="30"/>
          <w:szCs w:val="30"/>
        </w:rPr>
        <w:t>All this the LORD will hasten in its time (v. 22).</w:t>
      </w:r>
    </w:p>
    <w:p w14:paraId="4E6EBE45">
      <w:pPr>
        <w:pStyle w:val="9"/>
        <w:spacing w:before="11"/>
        <w:ind w:left="0"/>
        <w:jc w:val="left"/>
        <w:rPr>
          <w:rFonts w:hint="eastAsia"/>
          <w:sz w:val="30"/>
          <w:szCs w:val="30"/>
        </w:rPr>
      </w:pPr>
      <w:r>
        <w:rPr>
          <w:rFonts w:hint="eastAsia"/>
          <w:sz w:val="30"/>
          <w:szCs w:val="30"/>
        </w:rPr>
        <w:t>这一切耶和华都必按时速成（22节）。</w:t>
      </w:r>
    </w:p>
    <w:p w14:paraId="65C50307">
      <w:pPr>
        <w:pStyle w:val="9"/>
        <w:spacing w:before="11"/>
        <w:ind w:left="0"/>
        <w:jc w:val="left"/>
        <w:rPr>
          <w:rFonts w:hint="eastAsia"/>
          <w:sz w:val="30"/>
          <w:szCs w:val="30"/>
        </w:rPr>
      </w:pPr>
    </w:p>
    <w:p w14:paraId="6452D57B">
      <w:pPr>
        <w:pStyle w:val="9"/>
        <w:spacing w:before="11"/>
        <w:ind w:left="0"/>
        <w:jc w:val="left"/>
        <w:rPr>
          <w:rFonts w:hint="eastAsia"/>
          <w:sz w:val="30"/>
          <w:szCs w:val="30"/>
        </w:rPr>
      </w:pPr>
      <w:r>
        <w:rPr>
          <w:rFonts w:hint="eastAsia"/>
          <w:sz w:val="30"/>
          <w:szCs w:val="30"/>
        </w:rPr>
        <w:t>Even so, Lord Jesus, come (Rev. 22:20)!</w:t>
      </w:r>
    </w:p>
    <w:p w14:paraId="55A0C889">
      <w:pPr>
        <w:pStyle w:val="9"/>
        <w:spacing w:before="11"/>
        <w:ind w:left="0"/>
        <w:jc w:val="left"/>
        <w:rPr>
          <w:rFonts w:hint="eastAsia"/>
          <w:sz w:val="30"/>
          <w:szCs w:val="30"/>
        </w:rPr>
      </w:pPr>
      <w:r>
        <w:rPr>
          <w:rFonts w:hint="eastAsia"/>
          <w:sz w:val="30"/>
          <w:szCs w:val="30"/>
        </w:rPr>
        <w:t>主耶稣啊，我愿你来（启示录 22:20）！</w:t>
      </w:r>
    </w:p>
    <w:p w14:paraId="55FE0E77">
      <w:pPr>
        <w:pStyle w:val="9"/>
        <w:spacing w:before="11"/>
        <w:ind w:left="0"/>
        <w:jc w:val="left"/>
        <w:rPr>
          <w:rFonts w:hint="eastAsia"/>
          <w:sz w:val="30"/>
          <w:szCs w:val="30"/>
        </w:rPr>
      </w:pPr>
    </w:p>
    <w:p w14:paraId="4DFC3804">
      <w:pPr>
        <w:pStyle w:val="9"/>
        <w:spacing w:before="11"/>
        <w:ind w:left="0"/>
        <w:jc w:val="left"/>
        <w:rPr>
          <w:rFonts w:hint="eastAsia"/>
          <w:sz w:val="30"/>
          <w:szCs w:val="30"/>
        </w:rPr>
      </w:pPr>
      <w:r>
        <w:rPr>
          <w:rFonts w:hint="eastAsia"/>
          <w:sz w:val="30"/>
          <w:szCs w:val="30"/>
        </w:rPr>
        <w:t>7.A Nation Born in a Day</w:t>
      </w:r>
    </w:p>
    <w:p w14:paraId="2188E6F4">
      <w:pPr>
        <w:pStyle w:val="9"/>
        <w:spacing w:before="11"/>
        <w:ind w:left="0"/>
        <w:jc w:val="left"/>
        <w:rPr>
          <w:rFonts w:hint="eastAsia"/>
          <w:sz w:val="30"/>
          <w:szCs w:val="30"/>
        </w:rPr>
      </w:pPr>
      <w:r>
        <w:rPr>
          <w:rFonts w:hint="eastAsia"/>
          <w:sz w:val="30"/>
          <w:szCs w:val="30"/>
        </w:rPr>
        <w:t>7.一日而生的国</w:t>
      </w:r>
    </w:p>
    <w:p w14:paraId="19EC2116">
      <w:pPr>
        <w:pStyle w:val="9"/>
        <w:spacing w:before="11"/>
        <w:ind w:left="0"/>
        <w:jc w:val="left"/>
        <w:rPr>
          <w:rFonts w:hint="eastAsia"/>
          <w:sz w:val="30"/>
          <w:szCs w:val="30"/>
        </w:rPr>
      </w:pPr>
    </w:p>
    <w:p w14:paraId="67963E10">
      <w:pPr>
        <w:pStyle w:val="9"/>
        <w:spacing w:before="11"/>
        <w:ind w:left="0"/>
        <w:jc w:val="left"/>
        <w:rPr>
          <w:rFonts w:hint="eastAsia"/>
          <w:sz w:val="30"/>
          <w:szCs w:val="30"/>
        </w:rPr>
      </w:pPr>
      <w:r>
        <w:rPr>
          <w:rFonts w:hint="eastAsia"/>
          <w:sz w:val="30"/>
          <w:szCs w:val="30"/>
        </w:rPr>
        <w:t>(Isaiah 66)</w:t>
      </w:r>
    </w:p>
    <w:p w14:paraId="6B316C7C">
      <w:pPr>
        <w:pStyle w:val="9"/>
        <w:spacing w:before="11"/>
        <w:ind w:left="0"/>
        <w:jc w:val="left"/>
        <w:rPr>
          <w:rFonts w:hint="eastAsia"/>
          <w:sz w:val="30"/>
          <w:szCs w:val="30"/>
        </w:rPr>
      </w:pPr>
      <w:r>
        <w:rPr>
          <w:rFonts w:hint="eastAsia"/>
          <w:sz w:val="30"/>
          <w:szCs w:val="30"/>
        </w:rPr>
        <w:t>（以赛亚书 66章）</w:t>
      </w:r>
    </w:p>
    <w:p w14:paraId="3A3C1704">
      <w:pPr>
        <w:pStyle w:val="9"/>
        <w:spacing w:before="11"/>
        <w:ind w:left="0"/>
        <w:jc w:val="left"/>
        <w:rPr>
          <w:rFonts w:hint="eastAsia"/>
          <w:sz w:val="30"/>
          <w:szCs w:val="30"/>
        </w:rPr>
      </w:pPr>
    </w:p>
    <w:p w14:paraId="10B91310">
      <w:pPr>
        <w:pStyle w:val="9"/>
        <w:spacing w:before="11"/>
        <w:ind w:left="0"/>
        <w:jc w:val="left"/>
        <w:rPr>
          <w:rFonts w:hint="eastAsia"/>
          <w:sz w:val="30"/>
          <w:szCs w:val="30"/>
        </w:rPr>
      </w:pPr>
      <w:r>
        <w:rPr>
          <w:rFonts w:hint="eastAsia"/>
          <w:sz w:val="30"/>
          <w:szCs w:val="30"/>
        </w:rPr>
        <w:t>This is one of the most difficult chapters in the entire prophetic canon.</w:t>
      </w:r>
    </w:p>
    <w:p w14:paraId="5D48BEA7">
      <w:pPr>
        <w:pStyle w:val="9"/>
        <w:spacing w:before="11"/>
        <w:ind w:left="0"/>
        <w:jc w:val="left"/>
        <w:rPr>
          <w:rFonts w:hint="eastAsia"/>
          <w:sz w:val="30"/>
          <w:szCs w:val="30"/>
        </w:rPr>
      </w:pPr>
      <w:r>
        <w:rPr>
          <w:rFonts w:hint="eastAsia"/>
          <w:sz w:val="30"/>
          <w:szCs w:val="30"/>
        </w:rPr>
        <w:t>这是整个先知正典中最难的章节之一。</w:t>
      </w:r>
    </w:p>
    <w:p w14:paraId="45E59C7D">
      <w:pPr>
        <w:pStyle w:val="9"/>
        <w:spacing w:before="11"/>
        <w:ind w:left="0"/>
        <w:jc w:val="left"/>
        <w:rPr>
          <w:rFonts w:hint="eastAsia"/>
          <w:sz w:val="30"/>
          <w:szCs w:val="30"/>
        </w:rPr>
      </w:pPr>
    </w:p>
    <w:p w14:paraId="5161AD5D">
      <w:pPr>
        <w:pStyle w:val="9"/>
        <w:spacing w:before="11"/>
        <w:ind w:left="0"/>
        <w:jc w:val="left"/>
        <w:rPr>
          <w:rFonts w:hint="eastAsia"/>
          <w:sz w:val="30"/>
          <w:szCs w:val="30"/>
        </w:rPr>
      </w:pPr>
      <w:r>
        <w:rPr>
          <w:rFonts w:hint="eastAsia"/>
          <w:sz w:val="30"/>
          <w:szCs w:val="30"/>
        </w:rPr>
        <w:t>As such, it has proven a fertile field for speculation, especially among dispensationalists, some of whom find here predictions of the birth of the modern Israeli state, Jewish evangelism during the seven year Tribulation era, a premillennial regathering of Jews to Palestine, and living conditions in the Millennium itself.</w:t>
      </w:r>
    </w:p>
    <w:p w14:paraId="49AB754C">
      <w:pPr>
        <w:pStyle w:val="9"/>
        <w:spacing w:before="11"/>
        <w:ind w:left="0"/>
        <w:jc w:val="left"/>
        <w:rPr>
          <w:rFonts w:hint="eastAsia"/>
          <w:sz w:val="30"/>
          <w:szCs w:val="30"/>
        </w:rPr>
      </w:pPr>
      <w:r>
        <w:rPr>
          <w:rFonts w:hint="eastAsia"/>
          <w:sz w:val="30"/>
          <w:szCs w:val="30"/>
        </w:rPr>
        <w:t>因此，它已被证明是一个充满揣测的沃土，特别是在时代论者中，他们中的一些人在这里找到了关于现代以色列国诞生的预言，关于七年大灾难期间犹太人传福音的预言，关于前千禧年时期犹太人重聚巴勒斯坦的预言，以及千禧年本身的生活状况的预言。</w:t>
      </w:r>
    </w:p>
    <w:p w14:paraId="42F4779A">
      <w:pPr>
        <w:pStyle w:val="9"/>
        <w:spacing w:before="11"/>
        <w:ind w:left="0"/>
        <w:jc w:val="left"/>
        <w:rPr>
          <w:rFonts w:hint="eastAsia"/>
          <w:sz w:val="30"/>
          <w:szCs w:val="30"/>
        </w:rPr>
      </w:pPr>
    </w:p>
    <w:p w14:paraId="3FC8E714">
      <w:pPr>
        <w:pStyle w:val="9"/>
        <w:spacing w:before="11"/>
        <w:ind w:left="0"/>
        <w:jc w:val="left"/>
        <w:rPr>
          <w:rFonts w:hint="eastAsia"/>
          <w:sz w:val="30"/>
          <w:szCs w:val="30"/>
        </w:rPr>
      </w:pPr>
      <w:r>
        <w:rPr>
          <w:rFonts w:hint="eastAsia"/>
          <w:sz w:val="30"/>
          <w:szCs w:val="30"/>
        </w:rPr>
        <w:t>I survey it here at some length in order to show that the NCH supplies a far simpler understanding, an understanding that not only accords with NT eschatology, but also speaks with great power and comfort to Christians everywhere.</w:t>
      </w:r>
    </w:p>
    <w:p w14:paraId="5DBA0913">
      <w:pPr>
        <w:pStyle w:val="9"/>
        <w:spacing w:before="11"/>
        <w:ind w:left="0"/>
        <w:jc w:val="left"/>
        <w:rPr>
          <w:rFonts w:hint="eastAsia"/>
          <w:sz w:val="30"/>
          <w:szCs w:val="30"/>
        </w:rPr>
      </w:pPr>
      <w:r>
        <w:rPr>
          <w:rFonts w:hint="eastAsia"/>
          <w:sz w:val="30"/>
          <w:szCs w:val="30"/>
        </w:rPr>
        <w:t>我在这里对此进行了一些详细的考察，以便表明新约解释学（NCH）提供了一个远为更简单的理解，这种理解不仅与新约末世论相符，也以极大的能力和安慰向各处的基督徒说话。</w:t>
      </w:r>
    </w:p>
    <w:p w14:paraId="3A9E915D">
      <w:pPr>
        <w:pStyle w:val="9"/>
        <w:spacing w:before="11"/>
        <w:ind w:left="0"/>
        <w:jc w:val="left"/>
        <w:rPr>
          <w:rFonts w:hint="eastAsia"/>
          <w:sz w:val="30"/>
          <w:szCs w:val="30"/>
        </w:rPr>
      </w:pPr>
    </w:p>
    <w:p w14:paraId="5396A2CB">
      <w:pPr>
        <w:pStyle w:val="9"/>
        <w:spacing w:before="11"/>
        <w:ind w:left="0"/>
        <w:jc w:val="left"/>
        <w:rPr>
          <w:rFonts w:hint="eastAsia"/>
          <w:sz w:val="30"/>
          <w:szCs w:val="30"/>
        </w:rPr>
      </w:pPr>
      <w:r>
        <w:rPr>
          <w:rFonts w:hint="eastAsia"/>
          <w:sz w:val="30"/>
          <w:szCs w:val="30"/>
        </w:rPr>
        <w:t>Contrasting Destinies</w:t>
      </w:r>
    </w:p>
    <w:p w14:paraId="632F1C59">
      <w:pPr>
        <w:pStyle w:val="9"/>
        <w:spacing w:before="11"/>
        <w:ind w:left="0"/>
        <w:jc w:val="left"/>
        <w:rPr>
          <w:rFonts w:hint="eastAsia"/>
          <w:sz w:val="30"/>
          <w:szCs w:val="30"/>
        </w:rPr>
      </w:pPr>
      <w:r>
        <w:rPr>
          <w:rFonts w:hint="eastAsia"/>
          <w:sz w:val="30"/>
          <w:szCs w:val="30"/>
        </w:rPr>
        <w:t>对比的命运</w:t>
      </w:r>
    </w:p>
    <w:p w14:paraId="1A10DB22">
      <w:pPr>
        <w:pStyle w:val="9"/>
        <w:spacing w:before="11"/>
        <w:ind w:left="0"/>
        <w:jc w:val="left"/>
        <w:rPr>
          <w:rFonts w:hint="eastAsia"/>
          <w:sz w:val="30"/>
          <w:szCs w:val="30"/>
        </w:rPr>
      </w:pPr>
    </w:p>
    <w:p w14:paraId="2F0E5994">
      <w:pPr>
        <w:pStyle w:val="9"/>
        <w:spacing w:before="11"/>
        <w:ind w:left="0"/>
        <w:jc w:val="left"/>
        <w:rPr>
          <w:rFonts w:hint="eastAsia"/>
          <w:sz w:val="30"/>
          <w:szCs w:val="30"/>
        </w:rPr>
      </w:pPr>
      <w:r>
        <w:rPr>
          <w:rFonts w:hint="eastAsia"/>
          <w:sz w:val="30"/>
          <w:szCs w:val="30"/>
        </w:rPr>
        <w:t>By way of introduction, we should note that this chapter continues a theme struck in Isaiah 65: the contrasting destinies of the faithful remnant vs. the apostate multitude.</w:t>
      </w:r>
    </w:p>
    <w:p w14:paraId="1C38B9BB">
      <w:pPr>
        <w:pStyle w:val="9"/>
        <w:spacing w:before="11"/>
        <w:ind w:left="0"/>
        <w:jc w:val="left"/>
        <w:rPr>
          <w:rFonts w:hint="eastAsia"/>
          <w:sz w:val="30"/>
          <w:szCs w:val="30"/>
        </w:rPr>
      </w:pPr>
      <w:r>
        <w:rPr>
          <w:rFonts w:hint="eastAsia"/>
          <w:sz w:val="30"/>
          <w:szCs w:val="30"/>
        </w:rPr>
        <w:t>作为引言，我们应当注意到，本章延续了以赛亚书65章所触及的主题：忠信的余民与背道的众人相对比的命运。</w:t>
      </w:r>
    </w:p>
    <w:p w14:paraId="22063EF2">
      <w:pPr>
        <w:pStyle w:val="9"/>
        <w:spacing w:before="11"/>
        <w:ind w:left="0"/>
        <w:jc w:val="left"/>
        <w:rPr>
          <w:rFonts w:hint="eastAsia"/>
          <w:sz w:val="30"/>
          <w:szCs w:val="30"/>
        </w:rPr>
      </w:pPr>
    </w:p>
    <w:p w14:paraId="317076F2">
      <w:pPr>
        <w:pStyle w:val="9"/>
        <w:spacing w:before="11"/>
        <w:ind w:left="0"/>
        <w:jc w:val="left"/>
        <w:rPr>
          <w:rFonts w:hint="eastAsia"/>
          <w:sz w:val="30"/>
          <w:szCs w:val="30"/>
        </w:rPr>
      </w:pPr>
      <w:r>
        <w:rPr>
          <w:rFonts w:hint="eastAsia"/>
          <w:sz w:val="30"/>
          <w:szCs w:val="30"/>
        </w:rPr>
        <w:t>The former, a minority in Israel, have suffered rejection, mockery, and persecution at the hands of the latter, even as the nation has grown ripe for judgment (28:9-22, 66:5).</w:t>
      </w:r>
    </w:p>
    <w:p w14:paraId="47E14BB1">
      <w:pPr>
        <w:pStyle w:val="9"/>
        <w:spacing w:before="11"/>
        <w:ind w:left="0"/>
        <w:jc w:val="left"/>
        <w:rPr>
          <w:rFonts w:hint="eastAsia"/>
          <w:sz w:val="30"/>
          <w:szCs w:val="30"/>
        </w:rPr>
      </w:pPr>
      <w:r>
        <w:rPr>
          <w:rFonts w:hint="eastAsia"/>
          <w:sz w:val="30"/>
          <w:szCs w:val="30"/>
        </w:rPr>
        <w:t>前者，是以色列中的少数，遭受了后者的拒绝、嘲笑和逼迫，同时这个国家也已成熟，当受审判（28:9-22, 66:5）。</w:t>
      </w:r>
    </w:p>
    <w:p w14:paraId="05737340">
      <w:pPr>
        <w:pStyle w:val="9"/>
        <w:spacing w:before="11"/>
        <w:ind w:left="0"/>
        <w:jc w:val="left"/>
        <w:rPr>
          <w:rFonts w:hint="eastAsia"/>
          <w:sz w:val="30"/>
          <w:szCs w:val="30"/>
        </w:rPr>
      </w:pPr>
    </w:p>
    <w:p w14:paraId="1DB2B93A">
      <w:pPr>
        <w:pStyle w:val="9"/>
        <w:spacing w:before="11"/>
        <w:ind w:left="0"/>
        <w:jc w:val="left"/>
        <w:rPr>
          <w:rFonts w:hint="eastAsia"/>
          <w:sz w:val="30"/>
          <w:szCs w:val="30"/>
        </w:rPr>
      </w:pPr>
      <w:r>
        <w:rPr>
          <w:rFonts w:hint="eastAsia"/>
          <w:sz w:val="30"/>
          <w:szCs w:val="30"/>
        </w:rPr>
        <w:t>In chapters 65-66, God therefore encourages his saints with rich promises of ultimate justice: Those who forsook the LORD will perish, but those who sought him, mourning for Jerusalem’s degradation, will live to see the day when he bestows eternal glory upon the City of God, and brings the Gentiles themselves into her blessed precincts (Isaiah 65:10-11, 13-16, 66:10-11; Luke 6:20-26).</w:t>
      </w:r>
    </w:p>
    <w:p w14:paraId="629A77E1">
      <w:pPr>
        <w:pStyle w:val="9"/>
        <w:spacing w:before="11"/>
        <w:ind w:left="0"/>
        <w:jc w:val="left"/>
        <w:rPr>
          <w:rFonts w:hint="eastAsia"/>
          <w:sz w:val="30"/>
          <w:szCs w:val="30"/>
        </w:rPr>
      </w:pPr>
      <w:r>
        <w:rPr>
          <w:rFonts w:hint="eastAsia"/>
          <w:sz w:val="30"/>
          <w:szCs w:val="30"/>
        </w:rPr>
        <w:t>因此，在第65-66章，上帝用终极公义的丰富应许来鼓励祂的圣徒：那些离弃耶和华的人将灭亡，但那些寻求祂、为耶路撒冷的败落而哀伤的人，将活到那日，那时祂将永恒的荣耀赐予上帝之城，并将外邦人自己带入她蒙福的境域（以赛亚书 65:10-11, 13-16, 66:10-11；路加福音 6:20-26）。</w:t>
      </w:r>
    </w:p>
    <w:p w14:paraId="2034B7CA">
      <w:pPr>
        <w:pStyle w:val="9"/>
        <w:spacing w:before="11"/>
        <w:ind w:left="0"/>
        <w:jc w:val="left"/>
        <w:rPr>
          <w:rFonts w:hint="eastAsia"/>
          <w:sz w:val="30"/>
          <w:szCs w:val="30"/>
        </w:rPr>
      </w:pPr>
    </w:p>
    <w:p w14:paraId="728A9382">
      <w:pPr>
        <w:pStyle w:val="9"/>
        <w:spacing w:before="11"/>
        <w:ind w:left="0"/>
        <w:jc w:val="left"/>
        <w:rPr>
          <w:rFonts w:hint="eastAsia"/>
          <w:sz w:val="30"/>
          <w:szCs w:val="30"/>
        </w:rPr>
      </w:pPr>
      <w:r>
        <w:rPr>
          <w:rFonts w:hint="eastAsia"/>
          <w:sz w:val="30"/>
          <w:szCs w:val="30"/>
        </w:rPr>
        <w:t>The LORD’s Chosen Temple (1-2)</w:t>
      </w:r>
    </w:p>
    <w:p w14:paraId="5F04E148">
      <w:pPr>
        <w:pStyle w:val="9"/>
        <w:spacing w:before="11"/>
        <w:ind w:left="0"/>
        <w:jc w:val="left"/>
        <w:rPr>
          <w:rFonts w:hint="eastAsia"/>
          <w:sz w:val="30"/>
          <w:szCs w:val="30"/>
        </w:rPr>
      </w:pPr>
      <w:r>
        <w:rPr>
          <w:rFonts w:hint="eastAsia"/>
          <w:sz w:val="30"/>
          <w:szCs w:val="30"/>
        </w:rPr>
        <w:t>耶和华所拣选的殿（1-2节）</w:t>
      </w:r>
    </w:p>
    <w:p w14:paraId="244C9686">
      <w:pPr>
        <w:pStyle w:val="9"/>
        <w:spacing w:before="11"/>
        <w:ind w:left="0"/>
        <w:jc w:val="left"/>
        <w:rPr>
          <w:rFonts w:hint="eastAsia"/>
          <w:sz w:val="30"/>
          <w:szCs w:val="30"/>
        </w:rPr>
      </w:pPr>
    </w:p>
    <w:p w14:paraId="69444053">
      <w:pPr>
        <w:pStyle w:val="9"/>
        <w:spacing w:before="11"/>
        <w:ind w:left="0"/>
        <w:jc w:val="left"/>
        <w:rPr>
          <w:rFonts w:hint="eastAsia"/>
          <w:sz w:val="30"/>
          <w:szCs w:val="30"/>
        </w:rPr>
      </w:pPr>
      <w:r>
        <w:rPr>
          <w:rFonts w:hint="eastAsia"/>
          <w:sz w:val="30"/>
          <w:szCs w:val="30"/>
        </w:rPr>
        <w:t>In verses 1-2, God reminds his people that no house—no temple made of stone—can contain the infinite Creator of the universe.</w:t>
      </w:r>
    </w:p>
    <w:p w14:paraId="6002F442">
      <w:pPr>
        <w:pStyle w:val="9"/>
        <w:spacing w:before="11"/>
        <w:ind w:left="0"/>
        <w:jc w:val="left"/>
        <w:rPr>
          <w:rFonts w:hint="eastAsia"/>
          <w:sz w:val="30"/>
          <w:szCs w:val="30"/>
        </w:rPr>
      </w:pPr>
      <w:r>
        <w:rPr>
          <w:rFonts w:hint="eastAsia"/>
          <w:sz w:val="30"/>
          <w:szCs w:val="30"/>
        </w:rPr>
        <w:t>在第1-2节，上帝提醒祂的子民，没有殿宇——没有石头造的殿——能容纳宇宙的无限创造主。</w:t>
      </w:r>
    </w:p>
    <w:p w14:paraId="0EDBB75F">
      <w:pPr>
        <w:pStyle w:val="9"/>
        <w:spacing w:before="11"/>
        <w:ind w:left="0"/>
        <w:jc w:val="left"/>
        <w:rPr>
          <w:rFonts w:hint="eastAsia"/>
          <w:sz w:val="30"/>
          <w:szCs w:val="30"/>
        </w:rPr>
      </w:pPr>
    </w:p>
    <w:p w14:paraId="1B4CB699">
      <w:pPr>
        <w:pStyle w:val="9"/>
        <w:spacing w:before="11"/>
        <w:ind w:left="0"/>
        <w:jc w:val="left"/>
        <w:rPr>
          <w:rFonts w:hint="eastAsia"/>
          <w:sz w:val="30"/>
          <w:szCs w:val="30"/>
        </w:rPr>
      </w:pPr>
      <w:r>
        <w:rPr>
          <w:rFonts w:hint="eastAsia"/>
          <w:sz w:val="30"/>
          <w:szCs w:val="30"/>
        </w:rPr>
        <w:t>He does, however, hint at his preferred resting place: the hearts of those who have a poor and contrite spirit (Mt. 5:3, Luke 18:13).</w:t>
      </w:r>
    </w:p>
    <w:p w14:paraId="67B2C8E4">
      <w:pPr>
        <w:pStyle w:val="9"/>
        <w:spacing w:before="11"/>
        <w:ind w:left="0"/>
        <w:jc w:val="left"/>
        <w:rPr>
          <w:rFonts w:hint="eastAsia"/>
          <w:sz w:val="30"/>
          <w:szCs w:val="30"/>
        </w:rPr>
      </w:pPr>
      <w:r>
        <w:rPr>
          <w:rFonts w:hint="eastAsia"/>
          <w:sz w:val="30"/>
          <w:szCs w:val="30"/>
        </w:rPr>
        <w:t>然而，祂确实暗示了祂偏爱的安息之所：那些灵里贫穷痛悔之人的心（马太福音 5:3, 路加福音 18:13）。</w:t>
      </w:r>
    </w:p>
    <w:p w14:paraId="6ED9F51D">
      <w:pPr>
        <w:pStyle w:val="9"/>
        <w:spacing w:before="11"/>
        <w:ind w:left="0"/>
        <w:jc w:val="left"/>
        <w:rPr>
          <w:rFonts w:hint="eastAsia"/>
          <w:sz w:val="30"/>
          <w:szCs w:val="30"/>
        </w:rPr>
      </w:pPr>
    </w:p>
    <w:p w14:paraId="0E60CEC9">
      <w:pPr>
        <w:pStyle w:val="9"/>
        <w:spacing w:before="11"/>
        <w:ind w:left="0"/>
        <w:jc w:val="left"/>
        <w:rPr>
          <w:rFonts w:hint="eastAsia"/>
          <w:sz w:val="30"/>
          <w:szCs w:val="30"/>
        </w:rPr>
      </w:pPr>
      <w:r>
        <w:rPr>
          <w:rFonts w:hint="eastAsia"/>
          <w:sz w:val="30"/>
          <w:szCs w:val="30"/>
        </w:rPr>
        <w:t>Doubtless these words would comfort pious Jewish exiles in the years ahead.</w:t>
      </w:r>
    </w:p>
    <w:p w14:paraId="70B0394C">
      <w:pPr>
        <w:pStyle w:val="9"/>
        <w:spacing w:before="11"/>
        <w:ind w:left="0"/>
        <w:jc w:val="left"/>
        <w:rPr>
          <w:rFonts w:hint="eastAsia"/>
          <w:sz w:val="30"/>
          <w:szCs w:val="30"/>
        </w:rPr>
      </w:pPr>
      <w:r>
        <w:rPr>
          <w:rFonts w:hint="eastAsia"/>
          <w:sz w:val="30"/>
          <w:szCs w:val="30"/>
        </w:rPr>
        <w:t>毫无疑问，这些话语将在未来的岁月里安慰敬虔的犹太流亡者。</w:t>
      </w:r>
    </w:p>
    <w:p w14:paraId="0F534382">
      <w:pPr>
        <w:pStyle w:val="9"/>
        <w:spacing w:before="11"/>
        <w:ind w:left="0"/>
        <w:jc w:val="left"/>
        <w:rPr>
          <w:rFonts w:hint="eastAsia"/>
          <w:sz w:val="30"/>
          <w:szCs w:val="30"/>
        </w:rPr>
      </w:pPr>
    </w:p>
    <w:p w14:paraId="01846193">
      <w:pPr>
        <w:pStyle w:val="9"/>
        <w:spacing w:before="11"/>
        <w:ind w:left="0"/>
        <w:jc w:val="left"/>
        <w:rPr>
          <w:rFonts w:hint="eastAsia"/>
          <w:sz w:val="30"/>
          <w:szCs w:val="30"/>
        </w:rPr>
      </w:pPr>
      <w:r>
        <w:rPr>
          <w:rFonts w:hint="eastAsia"/>
          <w:sz w:val="30"/>
          <w:szCs w:val="30"/>
        </w:rPr>
        <w:t>However, with the benefit of hindsight, we now see that they also anticipate a better Day—an eschatological Day—when God, through Christ, by the Spirit, will take up his eternal place of residence in the Church; when her members will worship him, neither in this mountain, nor in Jerusalem, but in spirit and in truth (John 4:21f, 14:23, Eph. 2:22).</w:t>
      </w:r>
    </w:p>
    <w:p w14:paraId="35EE1F2C">
      <w:pPr>
        <w:pStyle w:val="9"/>
        <w:spacing w:before="11"/>
        <w:ind w:left="0"/>
        <w:jc w:val="left"/>
        <w:rPr>
          <w:rFonts w:hint="eastAsia"/>
          <w:sz w:val="30"/>
          <w:szCs w:val="30"/>
        </w:rPr>
      </w:pPr>
      <w:r>
        <w:rPr>
          <w:rFonts w:hint="eastAsia"/>
          <w:sz w:val="30"/>
          <w:szCs w:val="30"/>
        </w:rPr>
        <w:t>然而，有了后见之明，我们现在看到，它们也预示了一个更美好的日子——一个末世的日子——那时上帝将通过基督，藉着圣灵，在教会中取得祂永恒的居所；那时教会的成员将敬拜祂，既不在于这座山，也不在耶路撒冷，而是在心灵和诚实里（约翰福音 4:21及后文, 14:23, 以弗所书 2:22）。</w:t>
      </w:r>
    </w:p>
    <w:p w14:paraId="6DEDAF48">
      <w:pPr>
        <w:pStyle w:val="9"/>
        <w:spacing w:before="11"/>
        <w:ind w:left="0"/>
        <w:jc w:val="left"/>
        <w:rPr>
          <w:rFonts w:hint="eastAsia"/>
          <w:sz w:val="30"/>
          <w:szCs w:val="30"/>
        </w:rPr>
      </w:pPr>
    </w:p>
    <w:p w14:paraId="02E50A14">
      <w:pPr>
        <w:pStyle w:val="9"/>
        <w:spacing w:before="11"/>
        <w:ind w:left="0"/>
        <w:jc w:val="left"/>
        <w:rPr>
          <w:rFonts w:hint="eastAsia"/>
          <w:sz w:val="30"/>
          <w:szCs w:val="30"/>
        </w:rPr>
      </w:pPr>
      <w:r>
        <w:rPr>
          <w:rFonts w:hint="eastAsia"/>
          <w:sz w:val="30"/>
          <w:szCs w:val="30"/>
        </w:rPr>
        <w:t>Judgment is Sure (3-6)</w:t>
      </w:r>
    </w:p>
    <w:p w14:paraId="4F1AF7D9">
      <w:pPr>
        <w:pStyle w:val="9"/>
        <w:spacing w:before="11"/>
        <w:ind w:left="0"/>
        <w:jc w:val="left"/>
        <w:rPr>
          <w:rFonts w:hint="eastAsia"/>
          <w:sz w:val="30"/>
          <w:szCs w:val="30"/>
        </w:rPr>
      </w:pPr>
      <w:r>
        <w:rPr>
          <w:rFonts w:hint="eastAsia"/>
          <w:sz w:val="30"/>
          <w:szCs w:val="30"/>
        </w:rPr>
        <w:t>审判是确定的（3-6节）</w:t>
      </w:r>
    </w:p>
    <w:p w14:paraId="7E02060A">
      <w:pPr>
        <w:pStyle w:val="9"/>
        <w:spacing w:before="11"/>
        <w:ind w:left="0"/>
        <w:jc w:val="left"/>
        <w:rPr>
          <w:rFonts w:hint="eastAsia"/>
          <w:sz w:val="30"/>
          <w:szCs w:val="30"/>
        </w:rPr>
      </w:pPr>
    </w:p>
    <w:p w14:paraId="210E3191">
      <w:pPr>
        <w:pStyle w:val="9"/>
        <w:spacing w:before="11"/>
        <w:ind w:left="0"/>
        <w:jc w:val="left"/>
        <w:rPr>
          <w:rFonts w:hint="eastAsia"/>
          <w:sz w:val="30"/>
          <w:szCs w:val="30"/>
        </w:rPr>
      </w:pPr>
      <w:r>
        <w:rPr>
          <w:rFonts w:hint="eastAsia"/>
          <w:sz w:val="30"/>
          <w:szCs w:val="30"/>
        </w:rPr>
        <w:t>Verses 3-4, in graphic terms, depict the loathing with which God greets the religious observances of the apostates, and the judgment that awaits them, owing not only to their willful sins, but also to their rejection of the mercy offered them in the admonitions of the prophets (Luke 12:47-8, John 15:22-24).</w:t>
      </w:r>
    </w:p>
    <w:p w14:paraId="442F2FE0">
      <w:pPr>
        <w:pStyle w:val="9"/>
        <w:spacing w:before="11"/>
        <w:ind w:left="0"/>
        <w:jc w:val="left"/>
        <w:rPr>
          <w:rFonts w:hint="eastAsia"/>
          <w:sz w:val="30"/>
          <w:szCs w:val="30"/>
        </w:rPr>
      </w:pPr>
      <w:r>
        <w:rPr>
          <w:rFonts w:hint="eastAsia"/>
          <w:sz w:val="30"/>
          <w:szCs w:val="30"/>
        </w:rPr>
        <w:t>第3-4节，以生动的语言，描绘了上帝对背道者宗教仪式的厌恶，以及等待他们的审判，这不仅是由于他们故意的罪，也是由于他们拒绝了先知们在劝诫中向他们提供的怜悯（路加福音 12:47-48, 约翰福音 15:22-24）。</w:t>
      </w:r>
    </w:p>
    <w:p w14:paraId="221E4138">
      <w:pPr>
        <w:pStyle w:val="9"/>
        <w:spacing w:before="11"/>
        <w:ind w:left="0"/>
        <w:jc w:val="left"/>
        <w:rPr>
          <w:rFonts w:hint="eastAsia"/>
          <w:sz w:val="30"/>
          <w:szCs w:val="30"/>
        </w:rPr>
      </w:pPr>
    </w:p>
    <w:p w14:paraId="7E072E02">
      <w:pPr>
        <w:pStyle w:val="9"/>
        <w:spacing w:before="11"/>
        <w:ind w:left="0"/>
        <w:jc w:val="left"/>
        <w:rPr>
          <w:rFonts w:hint="eastAsia"/>
          <w:sz w:val="30"/>
          <w:szCs w:val="30"/>
        </w:rPr>
      </w:pPr>
      <w:r>
        <w:rPr>
          <w:rFonts w:hint="eastAsia"/>
          <w:sz w:val="30"/>
          <w:szCs w:val="30"/>
        </w:rPr>
        <w:t>In verses 5-6, God begins speaking directly to his faithful remnant.</w:t>
      </w:r>
    </w:p>
    <w:p w14:paraId="0778676A">
      <w:pPr>
        <w:pStyle w:val="9"/>
        <w:spacing w:before="11"/>
        <w:ind w:left="0"/>
        <w:jc w:val="left"/>
        <w:rPr>
          <w:rFonts w:hint="eastAsia"/>
          <w:sz w:val="30"/>
          <w:szCs w:val="30"/>
        </w:rPr>
      </w:pPr>
      <w:r>
        <w:rPr>
          <w:rFonts w:hint="eastAsia"/>
          <w:sz w:val="30"/>
          <w:szCs w:val="30"/>
        </w:rPr>
        <w:t>在第5-6节，上帝开始直接对祂忠信的余民说话。</w:t>
      </w:r>
    </w:p>
    <w:p w14:paraId="67AF3129">
      <w:pPr>
        <w:pStyle w:val="9"/>
        <w:spacing w:before="11"/>
        <w:ind w:left="0"/>
        <w:jc w:val="left"/>
        <w:rPr>
          <w:rFonts w:hint="eastAsia"/>
          <w:sz w:val="30"/>
          <w:szCs w:val="30"/>
        </w:rPr>
      </w:pPr>
    </w:p>
    <w:p w14:paraId="03255AA8">
      <w:pPr>
        <w:pStyle w:val="9"/>
        <w:spacing w:before="11"/>
        <w:ind w:left="0"/>
        <w:jc w:val="left"/>
        <w:rPr>
          <w:rFonts w:hint="eastAsia"/>
          <w:sz w:val="30"/>
          <w:szCs w:val="30"/>
        </w:rPr>
      </w:pPr>
      <w:r>
        <w:rPr>
          <w:rFonts w:hint="eastAsia"/>
          <w:sz w:val="30"/>
          <w:szCs w:val="30"/>
        </w:rPr>
        <w:t>He assures them that he will judge their “brothers” who excluded them— presumably religious officials who barred them from sanctioned public worship—and who also blasphemously mocked them (Mt. 27:39-44, John 9:34).</w:t>
      </w:r>
    </w:p>
    <w:p w14:paraId="515D9B82">
      <w:pPr>
        <w:pStyle w:val="9"/>
        <w:spacing w:before="11"/>
        <w:ind w:left="0"/>
        <w:jc w:val="left"/>
        <w:rPr>
          <w:rFonts w:hint="eastAsia"/>
          <w:sz w:val="30"/>
          <w:szCs w:val="30"/>
        </w:rPr>
      </w:pPr>
      <w:r>
        <w:rPr>
          <w:rFonts w:hint="eastAsia"/>
          <w:sz w:val="30"/>
          <w:szCs w:val="30"/>
        </w:rPr>
        <w:t>祂向他们保证，祂将审判那些排斥他们的“弟兄”——大概是禁止他们参加官方公众敬拜的宗教官员——以及那些亵渎地嘲笑他们的人（马太福音 27:39-44, 约翰福音 9:34）。</w:t>
      </w:r>
    </w:p>
    <w:p w14:paraId="29DE7C0F">
      <w:pPr>
        <w:pStyle w:val="9"/>
        <w:spacing w:before="11"/>
        <w:ind w:left="0"/>
        <w:jc w:val="left"/>
        <w:rPr>
          <w:rFonts w:hint="eastAsia"/>
          <w:sz w:val="30"/>
          <w:szCs w:val="30"/>
        </w:rPr>
      </w:pPr>
    </w:p>
    <w:p w14:paraId="1BA053CB">
      <w:pPr>
        <w:pStyle w:val="9"/>
        <w:spacing w:before="11"/>
        <w:ind w:left="0"/>
        <w:jc w:val="left"/>
        <w:rPr>
          <w:rFonts w:hint="eastAsia"/>
          <w:sz w:val="30"/>
          <w:szCs w:val="30"/>
        </w:rPr>
      </w:pPr>
      <w:r>
        <w:rPr>
          <w:rFonts w:hint="eastAsia"/>
          <w:sz w:val="30"/>
          <w:szCs w:val="30"/>
        </w:rPr>
        <w:t>Verse 6 intimates the fall of Jerusalem, not only to the Babylonians, but also to the Romans.</w:t>
      </w:r>
    </w:p>
    <w:p w14:paraId="2FCDE96C">
      <w:pPr>
        <w:pStyle w:val="9"/>
        <w:spacing w:before="11"/>
        <w:ind w:left="0"/>
        <w:jc w:val="left"/>
        <w:rPr>
          <w:rFonts w:hint="eastAsia"/>
          <w:sz w:val="30"/>
          <w:szCs w:val="30"/>
        </w:rPr>
      </w:pPr>
      <w:r>
        <w:rPr>
          <w:rFonts w:hint="eastAsia"/>
          <w:sz w:val="30"/>
          <w:szCs w:val="30"/>
        </w:rPr>
        <w:t>第6节暗示了耶路撒冷的陷落，不仅是向巴比伦人，也是向罗马人。</w:t>
      </w:r>
    </w:p>
    <w:p w14:paraId="785530A7">
      <w:pPr>
        <w:pStyle w:val="9"/>
        <w:spacing w:before="11"/>
        <w:ind w:left="0"/>
        <w:jc w:val="left"/>
        <w:rPr>
          <w:rFonts w:hint="eastAsia"/>
          <w:sz w:val="30"/>
          <w:szCs w:val="30"/>
        </w:rPr>
      </w:pPr>
    </w:p>
    <w:p w14:paraId="2CF5F952">
      <w:pPr>
        <w:pStyle w:val="9"/>
        <w:spacing w:before="11"/>
        <w:ind w:left="0"/>
        <w:jc w:val="left"/>
        <w:rPr>
          <w:rFonts w:hint="eastAsia"/>
          <w:sz w:val="30"/>
          <w:szCs w:val="30"/>
        </w:rPr>
      </w:pPr>
      <w:r>
        <w:rPr>
          <w:rFonts w:hint="eastAsia"/>
          <w:sz w:val="30"/>
          <w:szCs w:val="30"/>
        </w:rPr>
        <w:t>The latter, like the rending of the temple veil at Christ’s death, marked the end of the Old Covenant, the beginning of the New, and the appearance of “the Jerusalem above” as the eschatological dwelling place of God (Mt. 27:51, Mark 11:14, Luke 21:6, 20-24, Gal. 4:21-31).</w:t>
      </w:r>
    </w:p>
    <w:p w14:paraId="083EA7F0">
      <w:pPr>
        <w:pStyle w:val="9"/>
        <w:spacing w:before="11"/>
        <w:ind w:left="0"/>
        <w:jc w:val="left"/>
        <w:rPr>
          <w:rFonts w:hint="eastAsia"/>
          <w:sz w:val="30"/>
          <w:szCs w:val="30"/>
        </w:rPr>
      </w:pPr>
      <w:r>
        <w:rPr>
          <w:rFonts w:hint="eastAsia"/>
          <w:sz w:val="30"/>
          <w:szCs w:val="30"/>
        </w:rPr>
        <w:t>后者，就像基督死时殿幔的撕裂，标志着旧约的结束，新约的开始，以及“天上的耶路撒冷”作为上帝末世居所的出现（马太福音 27:51, 马可福音 11:14, 路加福音 21:6, 20-24, 加拉太书 4:21-31）。</w:t>
      </w:r>
    </w:p>
    <w:p w14:paraId="34F64B48">
      <w:pPr>
        <w:pStyle w:val="9"/>
        <w:spacing w:before="11"/>
        <w:ind w:left="0"/>
        <w:jc w:val="left"/>
        <w:rPr>
          <w:rFonts w:hint="eastAsia"/>
          <w:sz w:val="30"/>
          <w:szCs w:val="30"/>
        </w:rPr>
      </w:pPr>
    </w:p>
    <w:p w14:paraId="07579E73">
      <w:pPr>
        <w:pStyle w:val="9"/>
        <w:spacing w:before="11"/>
        <w:ind w:left="0"/>
        <w:jc w:val="left"/>
        <w:rPr>
          <w:rFonts w:hint="eastAsia"/>
          <w:sz w:val="30"/>
          <w:szCs w:val="30"/>
        </w:rPr>
      </w:pPr>
      <w:r>
        <w:rPr>
          <w:rFonts w:hint="eastAsia"/>
          <w:sz w:val="30"/>
          <w:szCs w:val="30"/>
        </w:rPr>
        <w:t>A Nation Born in a Day (7-13)</w:t>
      </w:r>
    </w:p>
    <w:p w14:paraId="1771717E">
      <w:pPr>
        <w:pStyle w:val="9"/>
        <w:spacing w:before="11"/>
        <w:ind w:left="0"/>
        <w:jc w:val="left"/>
        <w:rPr>
          <w:rFonts w:hint="eastAsia"/>
          <w:sz w:val="30"/>
          <w:szCs w:val="30"/>
        </w:rPr>
      </w:pPr>
      <w:r>
        <w:rPr>
          <w:rFonts w:hint="eastAsia"/>
          <w:sz w:val="30"/>
          <w:szCs w:val="30"/>
        </w:rPr>
        <w:t>一日而生的国（7-13节）</w:t>
      </w:r>
    </w:p>
    <w:p w14:paraId="223F1048">
      <w:pPr>
        <w:pStyle w:val="9"/>
        <w:spacing w:before="11"/>
        <w:ind w:left="0"/>
        <w:jc w:val="left"/>
        <w:rPr>
          <w:rFonts w:hint="eastAsia"/>
          <w:sz w:val="30"/>
          <w:szCs w:val="30"/>
        </w:rPr>
      </w:pPr>
    </w:p>
    <w:p w14:paraId="045C878E">
      <w:pPr>
        <w:pStyle w:val="9"/>
        <w:spacing w:before="11"/>
        <w:ind w:left="0"/>
        <w:jc w:val="left"/>
        <w:rPr>
          <w:rFonts w:hint="eastAsia"/>
          <w:sz w:val="30"/>
          <w:szCs w:val="30"/>
        </w:rPr>
      </w:pPr>
      <w:r>
        <w:rPr>
          <w:rFonts w:hint="eastAsia"/>
          <w:sz w:val="30"/>
          <w:szCs w:val="30"/>
        </w:rPr>
        <w:t>Verses 7-13, which clearly take us into the eschatological era, speak of this very thing, and so offered great hope to the struggling (OT) saints.</w:t>
      </w:r>
    </w:p>
    <w:p w14:paraId="67954F7B">
      <w:pPr>
        <w:pStyle w:val="9"/>
        <w:spacing w:before="11"/>
        <w:ind w:left="0"/>
        <w:jc w:val="left"/>
        <w:rPr>
          <w:rFonts w:hint="eastAsia"/>
          <w:sz w:val="30"/>
          <w:szCs w:val="30"/>
        </w:rPr>
      </w:pPr>
      <w:r>
        <w:rPr>
          <w:rFonts w:hint="eastAsia"/>
          <w:sz w:val="30"/>
          <w:szCs w:val="30"/>
        </w:rPr>
        <w:t>第7-13节，显然将我们带入末世时代，谈论的正是这件事，因此给挣扎中的（旧约）圣徒带来了极大的盼望。</w:t>
      </w:r>
    </w:p>
    <w:p w14:paraId="14F4C844">
      <w:pPr>
        <w:pStyle w:val="9"/>
        <w:spacing w:before="11"/>
        <w:ind w:left="0"/>
        <w:jc w:val="left"/>
        <w:rPr>
          <w:rFonts w:hint="eastAsia"/>
          <w:sz w:val="30"/>
          <w:szCs w:val="30"/>
        </w:rPr>
      </w:pPr>
    </w:p>
    <w:p w14:paraId="52129A1A">
      <w:pPr>
        <w:pStyle w:val="9"/>
        <w:spacing w:before="11"/>
        <w:ind w:left="0"/>
        <w:jc w:val="left"/>
        <w:rPr>
          <w:rFonts w:hint="eastAsia"/>
          <w:sz w:val="30"/>
          <w:szCs w:val="30"/>
        </w:rPr>
      </w:pPr>
      <w:r>
        <w:rPr>
          <w:rFonts w:hint="eastAsia"/>
          <w:sz w:val="30"/>
          <w:szCs w:val="30"/>
        </w:rPr>
        <w:t>The “she” of verse 7 is Zion, a figure for the OT Church that, in Jesus’ day, was typified by (and embodied in) mother Mary.</w:t>
      </w:r>
    </w:p>
    <w:p w14:paraId="2F5C4A09">
      <w:pPr>
        <w:pStyle w:val="9"/>
        <w:spacing w:before="11"/>
        <w:ind w:left="0"/>
        <w:jc w:val="left"/>
        <w:rPr>
          <w:rFonts w:hint="eastAsia"/>
          <w:sz w:val="30"/>
          <w:szCs w:val="30"/>
        </w:rPr>
      </w:pPr>
      <w:r>
        <w:rPr>
          <w:rFonts w:hint="eastAsia"/>
          <w:sz w:val="30"/>
          <w:szCs w:val="30"/>
        </w:rPr>
        <w:t>第7节的“她”是锡安，是旧约教会的象征，在耶稣时代，以母亲马利亚为预表（并体现）。</w:t>
      </w:r>
    </w:p>
    <w:p w14:paraId="387F30D7">
      <w:pPr>
        <w:pStyle w:val="9"/>
        <w:spacing w:before="11"/>
        <w:ind w:left="0"/>
        <w:jc w:val="left"/>
        <w:rPr>
          <w:rFonts w:hint="eastAsia"/>
          <w:sz w:val="30"/>
          <w:szCs w:val="30"/>
        </w:rPr>
      </w:pPr>
    </w:p>
    <w:p w14:paraId="03D0BEBE">
      <w:pPr>
        <w:pStyle w:val="9"/>
        <w:spacing w:before="11"/>
        <w:ind w:left="0"/>
        <w:jc w:val="left"/>
        <w:rPr>
          <w:rFonts w:hint="eastAsia"/>
          <w:sz w:val="30"/>
          <w:szCs w:val="30"/>
        </w:rPr>
      </w:pPr>
      <w:r>
        <w:rPr>
          <w:rFonts w:hint="eastAsia"/>
          <w:sz w:val="30"/>
          <w:szCs w:val="30"/>
        </w:rPr>
        <w:t>Suddenly, supernaturally, she will give birth to a male child: Christ, the Son of Man, the Last Adam (Rom. 5:12ff, Rev. 12:1-2, 5).</w:t>
      </w:r>
    </w:p>
    <w:p w14:paraId="7DF31309">
      <w:pPr>
        <w:pStyle w:val="9"/>
        <w:spacing w:before="11"/>
        <w:ind w:left="0"/>
        <w:jc w:val="left"/>
        <w:rPr>
          <w:rFonts w:hint="eastAsia"/>
          <w:sz w:val="30"/>
          <w:szCs w:val="30"/>
        </w:rPr>
      </w:pPr>
      <w:r>
        <w:rPr>
          <w:rFonts w:hint="eastAsia"/>
          <w:sz w:val="30"/>
          <w:szCs w:val="30"/>
        </w:rPr>
        <w:t>突然间，超自然地，她将生下一个男孩：基督，人子，末后的亚当（罗马书 5:12及后文, 启示录 12:1-2, 5）。</w:t>
      </w:r>
    </w:p>
    <w:p w14:paraId="34C730C1">
      <w:pPr>
        <w:pStyle w:val="9"/>
        <w:spacing w:before="11"/>
        <w:ind w:left="0"/>
        <w:jc w:val="left"/>
        <w:rPr>
          <w:rFonts w:hint="eastAsia"/>
          <w:sz w:val="30"/>
          <w:szCs w:val="30"/>
        </w:rPr>
      </w:pPr>
    </w:p>
    <w:p w14:paraId="317B198E">
      <w:pPr>
        <w:pStyle w:val="9"/>
        <w:spacing w:before="11"/>
        <w:ind w:left="0"/>
        <w:jc w:val="left"/>
        <w:rPr>
          <w:rFonts w:hint="eastAsia"/>
          <w:sz w:val="30"/>
          <w:szCs w:val="30"/>
        </w:rPr>
      </w:pPr>
      <w:r>
        <w:rPr>
          <w:rFonts w:hint="eastAsia"/>
          <w:sz w:val="30"/>
          <w:szCs w:val="30"/>
        </w:rPr>
        <w:t>After he has completed his great redemptive work, her pains will indeed come upon her, as she shares in his sufferings, even to the end of the age (Rom. 8:17, Phil. 3:10, Rev. 12:1-6, 13ff).</w:t>
      </w:r>
    </w:p>
    <w:p w14:paraId="190A96CC">
      <w:pPr>
        <w:pStyle w:val="9"/>
        <w:spacing w:before="11"/>
        <w:ind w:left="0"/>
        <w:jc w:val="left"/>
        <w:rPr>
          <w:rFonts w:hint="eastAsia"/>
          <w:sz w:val="30"/>
          <w:szCs w:val="30"/>
        </w:rPr>
      </w:pPr>
      <w:r>
        <w:rPr>
          <w:rFonts w:hint="eastAsia"/>
          <w:sz w:val="30"/>
          <w:szCs w:val="30"/>
        </w:rPr>
        <w:t>在祂完成了祂伟大的救赎工作之后，她的痛苦确实会临到她，因为她与祂一同受苦，直到世代的末了（罗马书 8:17, 腓立比书 3:10, 启示录 12:1-6, 13及后文）。</w:t>
      </w:r>
    </w:p>
    <w:p w14:paraId="4B5C809D">
      <w:pPr>
        <w:pStyle w:val="9"/>
        <w:spacing w:before="11"/>
        <w:ind w:left="0"/>
        <w:jc w:val="left"/>
        <w:rPr>
          <w:rFonts w:hint="eastAsia"/>
          <w:sz w:val="30"/>
          <w:szCs w:val="30"/>
        </w:rPr>
      </w:pPr>
    </w:p>
    <w:p w14:paraId="4A683704">
      <w:pPr>
        <w:pStyle w:val="9"/>
        <w:spacing w:before="11"/>
        <w:ind w:left="0"/>
        <w:jc w:val="left"/>
        <w:rPr>
          <w:rFonts w:hint="eastAsia"/>
          <w:sz w:val="30"/>
          <w:szCs w:val="30"/>
        </w:rPr>
      </w:pPr>
      <w:r>
        <w:rPr>
          <w:rFonts w:hint="eastAsia"/>
          <w:sz w:val="30"/>
          <w:szCs w:val="30"/>
        </w:rPr>
        <w:t>In verse 8 the birth of Christ (the Head) is conflated with the birth of the Church (his Body).</w:t>
      </w:r>
    </w:p>
    <w:p w14:paraId="61CEE960">
      <w:pPr>
        <w:pStyle w:val="9"/>
        <w:spacing w:before="11"/>
        <w:ind w:left="0"/>
        <w:jc w:val="left"/>
        <w:rPr>
          <w:rFonts w:hint="eastAsia"/>
          <w:sz w:val="30"/>
          <w:szCs w:val="30"/>
        </w:rPr>
      </w:pPr>
      <w:r>
        <w:rPr>
          <w:rFonts w:hint="eastAsia"/>
          <w:sz w:val="30"/>
          <w:szCs w:val="30"/>
        </w:rPr>
        <w:t>在第8节，基督（元首）的诞生与教会（祂的身体）的诞生被合并在一起。</w:t>
      </w:r>
    </w:p>
    <w:p w14:paraId="11E3D37D">
      <w:pPr>
        <w:pStyle w:val="9"/>
        <w:spacing w:before="11"/>
        <w:ind w:left="0"/>
        <w:jc w:val="left"/>
        <w:rPr>
          <w:rFonts w:hint="eastAsia"/>
          <w:sz w:val="30"/>
          <w:szCs w:val="30"/>
        </w:rPr>
      </w:pPr>
    </w:p>
    <w:p w14:paraId="499BEC3F">
      <w:pPr>
        <w:pStyle w:val="9"/>
        <w:spacing w:before="11"/>
        <w:ind w:left="0"/>
        <w:jc w:val="left"/>
        <w:rPr>
          <w:rFonts w:hint="eastAsia"/>
          <w:sz w:val="30"/>
          <w:szCs w:val="30"/>
        </w:rPr>
      </w:pPr>
      <w:r>
        <w:rPr>
          <w:rFonts w:hint="eastAsia"/>
          <w:sz w:val="30"/>
          <w:szCs w:val="30"/>
        </w:rPr>
        <w:t>Because of Jesus’ incarnation and subsequent work, God, on the Day of Pentecost, will suddenly and supernaturally beget a new Land, a new Nation, and a new City (v. 10, 1 Peter 2:9).</w:t>
      </w:r>
    </w:p>
    <w:p w14:paraId="65539544">
      <w:pPr>
        <w:pStyle w:val="9"/>
        <w:spacing w:before="11"/>
        <w:ind w:left="0"/>
        <w:jc w:val="left"/>
        <w:rPr>
          <w:rFonts w:hint="eastAsia"/>
          <w:sz w:val="30"/>
          <w:szCs w:val="30"/>
        </w:rPr>
      </w:pPr>
      <w:r>
        <w:rPr>
          <w:rFonts w:hint="eastAsia"/>
          <w:sz w:val="30"/>
          <w:szCs w:val="30"/>
        </w:rPr>
        <w:t>因为耶稣的道成肉身和随后的工作，上帝在五旬节那日，将突然且超自然地生出一个新的地、一个新的国和一个新的城（10节, 彼得前书 2:9）。</w:t>
      </w:r>
    </w:p>
    <w:p w14:paraId="7DD243CE">
      <w:pPr>
        <w:pStyle w:val="9"/>
        <w:spacing w:before="11"/>
        <w:ind w:left="0"/>
        <w:jc w:val="left"/>
        <w:rPr>
          <w:rFonts w:hint="eastAsia"/>
          <w:sz w:val="30"/>
          <w:szCs w:val="30"/>
        </w:rPr>
      </w:pPr>
    </w:p>
    <w:p w14:paraId="4A71E6A8">
      <w:pPr>
        <w:pStyle w:val="9"/>
        <w:spacing w:before="11"/>
        <w:ind w:left="0"/>
        <w:jc w:val="left"/>
        <w:rPr>
          <w:rFonts w:hint="eastAsia"/>
          <w:sz w:val="30"/>
          <w:szCs w:val="30"/>
        </w:rPr>
      </w:pPr>
      <w:r>
        <w:rPr>
          <w:rFonts w:hint="eastAsia"/>
          <w:sz w:val="30"/>
          <w:szCs w:val="30"/>
        </w:rPr>
        <w:t>These three are none other than his elect sons (and daughters), the inhabitants of the NT Zion and Jerusalem, begotten from above throughout the entire Era of Proclamation and Probation by the preaching of the Gospel (1 Cor. 4:15, 1 Peter 1:23).</w:t>
      </w:r>
    </w:p>
    <w:p w14:paraId="58CA3FBD">
      <w:pPr>
        <w:pStyle w:val="9"/>
        <w:spacing w:before="11"/>
        <w:ind w:left="0"/>
        <w:jc w:val="left"/>
        <w:rPr>
          <w:rFonts w:hint="eastAsia"/>
          <w:sz w:val="30"/>
          <w:szCs w:val="30"/>
        </w:rPr>
      </w:pPr>
      <w:r>
        <w:rPr>
          <w:rFonts w:hint="eastAsia"/>
          <w:sz w:val="30"/>
          <w:szCs w:val="30"/>
        </w:rPr>
        <w:t>这三者正是祂蒙拣选的儿子（和女儿），即新约锡安和耶路撒冷的居民，在整个宣讲和验证的时代，通过传讲福音而从上头生的（哥林多前书 4:15, 彼得前书 1:23）。</w:t>
      </w:r>
    </w:p>
    <w:p w14:paraId="16D3A6FD">
      <w:pPr>
        <w:pStyle w:val="9"/>
        <w:spacing w:before="11"/>
        <w:ind w:left="0"/>
        <w:jc w:val="left"/>
        <w:rPr>
          <w:rFonts w:hint="eastAsia"/>
          <w:sz w:val="30"/>
          <w:szCs w:val="30"/>
        </w:rPr>
      </w:pPr>
    </w:p>
    <w:p w14:paraId="3B28DAB5">
      <w:pPr>
        <w:pStyle w:val="9"/>
        <w:spacing w:before="11"/>
        <w:ind w:left="0"/>
        <w:jc w:val="left"/>
        <w:rPr>
          <w:rFonts w:hint="eastAsia"/>
          <w:sz w:val="30"/>
          <w:szCs w:val="30"/>
        </w:rPr>
      </w:pPr>
      <w:r>
        <w:rPr>
          <w:rFonts w:hint="eastAsia"/>
          <w:sz w:val="30"/>
          <w:szCs w:val="30"/>
        </w:rPr>
        <w:t>In verse 9, God assures his disheartened (and exiled) OT saints that their toil has not been in vain; that divine omnipotence stands behind the promise of Jerusalem’s latter-day restoration.</w:t>
      </w:r>
    </w:p>
    <w:p w14:paraId="7C540CBE">
      <w:pPr>
        <w:pStyle w:val="9"/>
        <w:spacing w:before="11"/>
        <w:ind w:left="0"/>
        <w:jc w:val="left"/>
        <w:rPr>
          <w:rFonts w:hint="eastAsia"/>
          <w:sz w:val="30"/>
          <w:szCs w:val="30"/>
        </w:rPr>
      </w:pPr>
      <w:r>
        <w:rPr>
          <w:rFonts w:hint="eastAsia"/>
          <w:sz w:val="30"/>
          <w:szCs w:val="30"/>
        </w:rPr>
        <w:t>在第9节，上帝向祂灰心（且被掳）的旧约圣徒保证，他们的劳苦并非徒然；神圣的全能站在耶路撒冷末后复兴的应许背后。</w:t>
      </w:r>
    </w:p>
    <w:p w14:paraId="1D9BCFC3">
      <w:pPr>
        <w:pStyle w:val="9"/>
        <w:spacing w:before="11"/>
        <w:ind w:left="0"/>
        <w:jc w:val="left"/>
        <w:rPr>
          <w:rFonts w:hint="eastAsia"/>
          <w:sz w:val="30"/>
          <w:szCs w:val="30"/>
        </w:rPr>
      </w:pPr>
    </w:p>
    <w:p w14:paraId="413C9005">
      <w:pPr>
        <w:pStyle w:val="9"/>
        <w:spacing w:before="11"/>
        <w:ind w:left="0"/>
        <w:jc w:val="left"/>
        <w:rPr>
          <w:rFonts w:hint="eastAsia"/>
          <w:sz w:val="30"/>
          <w:szCs w:val="30"/>
        </w:rPr>
      </w:pPr>
      <w:r>
        <w:rPr>
          <w:rFonts w:hint="eastAsia"/>
          <w:sz w:val="30"/>
          <w:szCs w:val="30"/>
        </w:rPr>
        <w:t>Therefore, in verses 10-11 he exhorts them to receive the promise by faith, that they too, out of the fullness that dwells in Christ and his Body, may one day experience eternal spiritual comfort and delight (John 1:16, 1 Cor. 14:3, 2 Cor. 1:3-7, Eph. 1:23, Phil. 2:1, 2 Thess. 2:16-17).</w:t>
      </w:r>
    </w:p>
    <w:p w14:paraId="4DBDD625">
      <w:pPr>
        <w:pStyle w:val="9"/>
        <w:spacing w:before="11"/>
        <w:ind w:left="0"/>
        <w:jc w:val="left"/>
        <w:rPr>
          <w:rFonts w:hint="eastAsia"/>
          <w:sz w:val="30"/>
          <w:szCs w:val="30"/>
        </w:rPr>
      </w:pPr>
      <w:r>
        <w:rPr>
          <w:rFonts w:hint="eastAsia"/>
          <w:sz w:val="30"/>
          <w:szCs w:val="30"/>
        </w:rPr>
        <w:t>因此，在第10-11节，祂劝勉他们凭信心领受这应许，好让他们也能从那住在基督和祂身体里的丰满中，有一天经历到永恒的属灵安慰和喜乐（约翰福音 1:16, 哥林多前书 14:3, 哥林多后书 1:3-7, 以弗所书 1:23, 腓立比书 2:1, 帖撒罗尼迦后书 2:16-17）。</w:t>
      </w:r>
    </w:p>
    <w:p w14:paraId="2532C102">
      <w:pPr>
        <w:pStyle w:val="9"/>
        <w:spacing w:before="11"/>
        <w:ind w:left="0"/>
        <w:jc w:val="left"/>
        <w:rPr>
          <w:rFonts w:hint="eastAsia"/>
          <w:sz w:val="30"/>
          <w:szCs w:val="30"/>
        </w:rPr>
      </w:pPr>
    </w:p>
    <w:p w14:paraId="5153CFFF">
      <w:pPr>
        <w:pStyle w:val="9"/>
        <w:spacing w:before="11"/>
        <w:ind w:left="0"/>
        <w:jc w:val="left"/>
        <w:rPr>
          <w:rFonts w:hint="eastAsia"/>
          <w:sz w:val="30"/>
          <w:szCs w:val="30"/>
        </w:rPr>
      </w:pPr>
      <w:r>
        <w:rPr>
          <w:rFonts w:hint="eastAsia"/>
          <w:sz w:val="30"/>
          <w:szCs w:val="30"/>
        </w:rPr>
        <w:t>Verses 12-13 further explain why the saints should rejoice: Through Christ, God will extend peace—reconciliation and spiritual reunion—to his Church, flooding her not only with multitudes of Gentiles, but also with the glorious riches of their grateful love and devoted service (John 10:16, 17:22-23, Rom. 12:1f, 15:10, Eph. 2:11-22).</w:t>
      </w:r>
    </w:p>
    <w:p w14:paraId="180F43BF">
      <w:pPr>
        <w:pStyle w:val="9"/>
        <w:spacing w:before="11"/>
        <w:ind w:left="0"/>
        <w:jc w:val="left"/>
        <w:rPr>
          <w:rFonts w:hint="eastAsia"/>
          <w:sz w:val="30"/>
          <w:szCs w:val="30"/>
        </w:rPr>
      </w:pPr>
      <w:r>
        <w:rPr>
          <w:rFonts w:hint="eastAsia"/>
          <w:sz w:val="30"/>
          <w:szCs w:val="30"/>
        </w:rPr>
        <w:t>第12-13节进一步解释了为什么圣徒们应当欢喜：通过基督，上帝将把平安——即和好与属灵的团聚——延伸到祂的教会，不仅用众多的外邦人充满她，也用他们感恩的爱和忠心事奉的荣耀财富充满她（约翰福音 10:16, 17:22-23, 罗马书 12:1及后文, 15:10, 以弗所书 2:11-22）。</w:t>
      </w:r>
    </w:p>
    <w:p w14:paraId="29471C80">
      <w:pPr>
        <w:pStyle w:val="9"/>
        <w:spacing w:before="11"/>
        <w:ind w:left="0"/>
        <w:jc w:val="left"/>
        <w:rPr>
          <w:rFonts w:hint="eastAsia"/>
          <w:sz w:val="30"/>
          <w:szCs w:val="30"/>
        </w:rPr>
      </w:pPr>
    </w:p>
    <w:p w14:paraId="18421D6F">
      <w:pPr>
        <w:pStyle w:val="9"/>
        <w:spacing w:before="11"/>
        <w:ind w:left="0"/>
        <w:jc w:val="left"/>
        <w:rPr>
          <w:rFonts w:hint="eastAsia"/>
          <w:sz w:val="30"/>
          <w:szCs w:val="30"/>
        </w:rPr>
      </w:pPr>
      <w:r>
        <w:rPr>
          <w:rFonts w:hint="eastAsia"/>
          <w:sz w:val="30"/>
          <w:szCs w:val="30"/>
        </w:rPr>
        <w:t>In those days, the Father, with a Mother’s love, will richly comfort his own (1 Thess. 2:1-12).</w:t>
      </w:r>
    </w:p>
    <w:p w14:paraId="366CC4AE">
      <w:pPr>
        <w:pStyle w:val="9"/>
        <w:spacing w:before="11"/>
        <w:ind w:left="0"/>
        <w:jc w:val="left"/>
        <w:rPr>
          <w:rFonts w:hint="eastAsia"/>
          <w:sz w:val="30"/>
          <w:szCs w:val="30"/>
        </w:rPr>
      </w:pPr>
      <w:r>
        <w:rPr>
          <w:rFonts w:hint="eastAsia"/>
          <w:sz w:val="30"/>
          <w:szCs w:val="30"/>
        </w:rPr>
        <w:t>在那些日子里，父将以母亲般的爱，丰丰富富地安慰祂自己的儿女（帖撒罗尼迦前书 2:7-8）。</w:t>
      </w:r>
    </w:p>
    <w:p w14:paraId="7F9DB3F8">
      <w:pPr>
        <w:pStyle w:val="9"/>
        <w:spacing w:before="11"/>
        <w:ind w:left="0"/>
        <w:jc w:val="left"/>
        <w:rPr>
          <w:rFonts w:hint="eastAsia"/>
          <w:sz w:val="30"/>
          <w:szCs w:val="30"/>
        </w:rPr>
      </w:pPr>
    </w:p>
    <w:p w14:paraId="4C3A8346">
      <w:pPr>
        <w:pStyle w:val="9"/>
        <w:spacing w:before="11"/>
        <w:ind w:left="0"/>
        <w:jc w:val="left"/>
        <w:rPr>
          <w:rFonts w:hint="eastAsia"/>
          <w:sz w:val="30"/>
          <w:szCs w:val="30"/>
        </w:rPr>
      </w:pPr>
      <w:r>
        <w:rPr>
          <w:rFonts w:hint="eastAsia"/>
          <w:sz w:val="30"/>
          <w:szCs w:val="30"/>
        </w:rPr>
        <w:t>The LORD Will Come in Fire (14-17)</w:t>
      </w:r>
    </w:p>
    <w:p w14:paraId="6C2C8894">
      <w:pPr>
        <w:pStyle w:val="9"/>
        <w:spacing w:before="11"/>
        <w:ind w:left="0"/>
        <w:jc w:val="left"/>
        <w:rPr>
          <w:rFonts w:hint="eastAsia"/>
          <w:sz w:val="30"/>
          <w:szCs w:val="30"/>
        </w:rPr>
      </w:pPr>
      <w:r>
        <w:rPr>
          <w:rFonts w:hint="eastAsia"/>
          <w:sz w:val="30"/>
          <w:szCs w:val="30"/>
        </w:rPr>
        <w:t>耶和华必在火中降临（14-17节）</w:t>
      </w:r>
    </w:p>
    <w:p w14:paraId="2D621C28">
      <w:pPr>
        <w:pStyle w:val="9"/>
        <w:spacing w:before="11"/>
        <w:ind w:left="0"/>
        <w:jc w:val="left"/>
        <w:rPr>
          <w:rFonts w:hint="eastAsia"/>
          <w:sz w:val="30"/>
          <w:szCs w:val="30"/>
        </w:rPr>
      </w:pPr>
    </w:p>
    <w:p w14:paraId="31473E07">
      <w:pPr>
        <w:pStyle w:val="9"/>
        <w:spacing w:before="11"/>
        <w:ind w:left="0"/>
        <w:jc w:val="left"/>
        <w:rPr>
          <w:rFonts w:hint="eastAsia"/>
          <w:sz w:val="30"/>
          <w:szCs w:val="30"/>
        </w:rPr>
      </w:pPr>
      <w:r>
        <w:rPr>
          <w:rFonts w:hint="eastAsia"/>
          <w:sz w:val="30"/>
          <w:szCs w:val="30"/>
        </w:rPr>
        <w:t>Verses 14-17 reprise the theme of the contrasting destinies of the faithful remnant and the apostates: The hand of the LORD—which will bring in the New Jerusalem—shall be made known to his saints; but for his enemies, he reserves only indignation (v. 14; Rom. 2:1-11).</w:t>
      </w:r>
    </w:p>
    <w:p w14:paraId="253964D9">
      <w:pPr>
        <w:pStyle w:val="9"/>
        <w:spacing w:before="11"/>
        <w:ind w:left="0"/>
        <w:jc w:val="left"/>
        <w:rPr>
          <w:rFonts w:hint="eastAsia"/>
          <w:sz w:val="30"/>
          <w:szCs w:val="30"/>
        </w:rPr>
      </w:pPr>
      <w:r>
        <w:rPr>
          <w:rFonts w:hint="eastAsia"/>
          <w:sz w:val="30"/>
          <w:szCs w:val="30"/>
        </w:rPr>
        <w:t>第14-17节重申了忠信余民与背道者命运对比的主题：耶和华的手——将引入新耶路撒冷——必向祂的圣徒显明；但对祂的仇敌，祂只保留了忿怒（14节；罗马书 2:1-11）。</w:t>
      </w:r>
    </w:p>
    <w:p w14:paraId="130940A9">
      <w:pPr>
        <w:pStyle w:val="9"/>
        <w:spacing w:before="11"/>
        <w:ind w:left="0"/>
        <w:jc w:val="left"/>
        <w:rPr>
          <w:rFonts w:hint="eastAsia"/>
          <w:sz w:val="30"/>
          <w:szCs w:val="30"/>
        </w:rPr>
      </w:pPr>
    </w:p>
    <w:p w14:paraId="2113178B">
      <w:pPr>
        <w:pStyle w:val="9"/>
        <w:spacing w:before="11"/>
        <w:ind w:left="0"/>
        <w:jc w:val="left"/>
        <w:rPr>
          <w:rFonts w:hint="eastAsia"/>
          <w:sz w:val="30"/>
          <w:szCs w:val="30"/>
        </w:rPr>
      </w:pPr>
      <w:r>
        <w:rPr>
          <w:rFonts w:hint="eastAsia"/>
          <w:sz w:val="30"/>
          <w:szCs w:val="30"/>
        </w:rPr>
        <w:t>The judgment of vv. 15-16, adumbrated by the OT destruction(s) of earthly Jerusalem, is eschatological, seeing that it falls upon all flesh.</w:t>
      </w:r>
    </w:p>
    <w:p w14:paraId="1E3C9E04">
      <w:pPr>
        <w:pStyle w:val="9"/>
        <w:spacing w:before="11"/>
        <w:ind w:left="0"/>
        <w:jc w:val="left"/>
        <w:rPr>
          <w:rFonts w:hint="eastAsia"/>
          <w:sz w:val="30"/>
          <w:szCs w:val="30"/>
        </w:rPr>
      </w:pPr>
      <w:r>
        <w:rPr>
          <w:rFonts w:hint="eastAsia"/>
          <w:sz w:val="30"/>
          <w:szCs w:val="30"/>
        </w:rPr>
        <w:t>第15-16节的审判，由旧约中地上耶路撒冷的毁灭所预示，是末世性的，因为它临到凡有血气的。</w:t>
      </w:r>
    </w:p>
    <w:p w14:paraId="150E0B17">
      <w:pPr>
        <w:pStyle w:val="9"/>
        <w:spacing w:before="11"/>
        <w:ind w:left="0"/>
        <w:jc w:val="left"/>
        <w:rPr>
          <w:rFonts w:hint="eastAsia"/>
          <w:sz w:val="30"/>
          <w:szCs w:val="30"/>
        </w:rPr>
      </w:pPr>
    </w:p>
    <w:p w14:paraId="0E42EF6C">
      <w:pPr>
        <w:pStyle w:val="9"/>
        <w:spacing w:before="11"/>
        <w:ind w:left="0"/>
        <w:jc w:val="left"/>
        <w:rPr>
          <w:rFonts w:hint="eastAsia"/>
          <w:sz w:val="30"/>
          <w:szCs w:val="30"/>
        </w:rPr>
      </w:pPr>
      <w:r>
        <w:rPr>
          <w:rFonts w:hint="eastAsia"/>
          <w:sz w:val="30"/>
          <w:szCs w:val="30"/>
        </w:rPr>
        <w:t>It will be accomplished at Christ’s second coming (2 Thess. 1:7-10).</w:t>
      </w:r>
    </w:p>
    <w:p w14:paraId="76A74AC8">
      <w:pPr>
        <w:pStyle w:val="9"/>
        <w:spacing w:before="11"/>
        <w:ind w:left="0"/>
        <w:jc w:val="left"/>
        <w:rPr>
          <w:rFonts w:hint="eastAsia"/>
          <w:sz w:val="30"/>
          <w:szCs w:val="30"/>
        </w:rPr>
      </w:pPr>
      <w:r>
        <w:rPr>
          <w:rFonts w:hint="eastAsia"/>
          <w:sz w:val="30"/>
          <w:szCs w:val="30"/>
        </w:rPr>
        <w:t>这将在基督第二次降临时成就（帖撒罗尼迦后书 1:7-10）。</w:t>
      </w:r>
    </w:p>
    <w:p w14:paraId="75BE19BC">
      <w:pPr>
        <w:pStyle w:val="9"/>
        <w:spacing w:before="11"/>
        <w:ind w:left="0"/>
        <w:jc w:val="left"/>
        <w:rPr>
          <w:rFonts w:hint="eastAsia"/>
          <w:sz w:val="30"/>
          <w:szCs w:val="30"/>
        </w:rPr>
      </w:pPr>
    </w:p>
    <w:p w14:paraId="563926A5">
      <w:pPr>
        <w:pStyle w:val="9"/>
        <w:spacing w:before="11"/>
        <w:ind w:left="0"/>
        <w:jc w:val="left"/>
        <w:rPr>
          <w:rFonts w:hint="eastAsia"/>
          <w:sz w:val="30"/>
          <w:szCs w:val="30"/>
        </w:rPr>
      </w:pPr>
      <w:r>
        <w:rPr>
          <w:rFonts w:hint="eastAsia"/>
          <w:sz w:val="30"/>
          <w:szCs w:val="30"/>
        </w:rPr>
        <w:t>Once and for all, it will purge the earth of idolatry, here set forth as the bane of OT Israel and Jerusalem (v. 17, Acts 17:22-31).</w:t>
      </w:r>
    </w:p>
    <w:p w14:paraId="3B7318FE">
      <w:pPr>
        <w:pStyle w:val="9"/>
        <w:spacing w:before="11"/>
        <w:ind w:left="0"/>
        <w:jc w:val="left"/>
        <w:rPr>
          <w:rFonts w:hint="eastAsia"/>
          <w:sz w:val="30"/>
          <w:szCs w:val="30"/>
        </w:rPr>
      </w:pPr>
      <w:r>
        <w:rPr>
          <w:rFonts w:hint="eastAsia"/>
          <w:sz w:val="30"/>
          <w:szCs w:val="30"/>
        </w:rPr>
        <w:t>它将一劳永逸地清除地上的偶像崇拜，这里将其设定为旧约以色列和耶路撒冷的祸根（17节, 使徒行传 17:22-31）。</w:t>
      </w:r>
    </w:p>
    <w:p w14:paraId="4F822857">
      <w:pPr>
        <w:pStyle w:val="9"/>
        <w:spacing w:before="11"/>
        <w:ind w:left="0"/>
        <w:jc w:val="left"/>
        <w:rPr>
          <w:rFonts w:hint="eastAsia"/>
          <w:sz w:val="30"/>
          <w:szCs w:val="30"/>
        </w:rPr>
      </w:pPr>
    </w:p>
    <w:p w14:paraId="1A6C07BA">
      <w:pPr>
        <w:pStyle w:val="9"/>
        <w:spacing w:before="11"/>
        <w:ind w:left="0"/>
        <w:jc w:val="left"/>
        <w:rPr>
          <w:rFonts w:hint="eastAsia"/>
          <w:sz w:val="30"/>
          <w:szCs w:val="30"/>
        </w:rPr>
      </w:pPr>
      <w:r>
        <w:rPr>
          <w:rFonts w:hint="eastAsia"/>
          <w:sz w:val="30"/>
          <w:szCs w:val="30"/>
        </w:rPr>
        <w:t>They Shall See My Glory (18-21)</w:t>
      </w:r>
    </w:p>
    <w:p w14:paraId="627231B0">
      <w:pPr>
        <w:pStyle w:val="9"/>
        <w:spacing w:before="11"/>
        <w:ind w:left="0"/>
        <w:jc w:val="left"/>
        <w:rPr>
          <w:rFonts w:hint="eastAsia"/>
          <w:sz w:val="30"/>
          <w:szCs w:val="30"/>
        </w:rPr>
      </w:pPr>
      <w:r>
        <w:rPr>
          <w:rFonts w:hint="eastAsia"/>
          <w:sz w:val="30"/>
          <w:szCs w:val="30"/>
        </w:rPr>
        <w:t>他们必看见我的荣耀（18-21节）</w:t>
      </w:r>
    </w:p>
    <w:p w14:paraId="683159AB">
      <w:pPr>
        <w:pStyle w:val="9"/>
        <w:spacing w:before="11"/>
        <w:ind w:left="0"/>
        <w:jc w:val="left"/>
        <w:rPr>
          <w:rFonts w:hint="eastAsia"/>
          <w:sz w:val="30"/>
          <w:szCs w:val="30"/>
        </w:rPr>
      </w:pPr>
    </w:p>
    <w:p w14:paraId="5B6B33B2">
      <w:pPr>
        <w:pStyle w:val="9"/>
        <w:spacing w:before="11"/>
        <w:ind w:left="0"/>
        <w:jc w:val="left"/>
        <w:rPr>
          <w:rFonts w:hint="eastAsia"/>
          <w:sz w:val="30"/>
          <w:szCs w:val="30"/>
        </w:rPr>
      </w:pPr>
      <w:r>
        <w:rPr>
          <w:rFonts w:hint="eastAsia"/>
          <w:sz w:val="30"/>
          <w:szCs w:val="30"/>
        </w:rPr>
        <w:t>Verses 18-21 promise the faithful remnant that their spiritual seed will one day gather the Gentiles into God’s Kingdom, where they (the Gentiles) will enjoy the pleasures and privileges of full membership in the covenant community (see v. 12).</w:t>
      </w:r>
    </w:p>
    <w:p w14:paraId="7CADFD48">
      <w:pPr>
        <w:pStyle w:val="9"/>
        <w:spacing w:before="11"/>
        <w:ind w:left="0"/>
        <w:jc w:val="left"/>
        <w:rPr>
          <w:rFonts w:hint="eastAsia"/>
          <w:sz w:val="30"/>
          <w:szCs w:val="30"/>
        </w:rPr>
      </w:pPr>
      <w:r>
        <w:rPr>
          <w:rFonts w:hint="eastAsia"/>
          <w:sz w:val="30"/>
          <w:szCs w:val="30"/>
        </w:rPr>
        <w:t>第18-21节向忠信的余民应许，他们的属灵后裔有一天将把外邦人聚集到上帝的国度中，在那里他们（外邦人）将享受在圣约团体中完全成员的乐趣和特权（见第12节）。</w:t>
      </w:r>
    </w:p>
    <w:p w14:paraId="2165F637">
      <w:pPr>
        <w:pStyle w:val="9"/>
        <w:spacing w:before="11"/>
        <w:ind w:left="0"/>
        <w:jc w:val="left"/>
        <w:rPr>
          <w:rFonts w:hint="eastAsia"/>
          <w:sz w:val="30"/>
          <w:szCs w:val="30"/>
        </w:rPr>
      </w:pPr>
    </w:p>
    <w:p w14:paraId="1D32BBDD">
      <w:pPr>
        <w:pStyle w:val="9"/>
        <w:spacing w:before="11"/>
        <w:ind w:left="0"/>
        <w:jc w:val="left"/>
        <w:rPr>
          <w:rFonts w:hint="eastAsia"/>
          <w:sz w:val="30"/>
          <w:szCs w:val="30"/>
        </w:rPr>
      </w:pPr>
      <w:r>
        <w:rPr>
          <w:rFonts w:hint="eastAsia"/>
          <w:sz w:val="30"/>
          <w:szCs w:val="30"/>
        </w:rPr>
        <w:t>This beautiful OTKP is fulfilled in the Era of Proclamation and Probation.</w:t>
      </w:r>
    </w:p>
    <w:p w14:paraId="42378C67">
      <w:pPr>
        <w:pStyle w:val="9"/>
        <w:spacing w:before="11"/>
        <w:ind w:left="0"/>
        <w:jc w:val="left"/>
        <w:rPr>
          <w:rFonts w:hint="eastAsia"/>
          <w:sz w:val="30"/>
          <w:szCs w:val="30"/>
        </w:rPr>
      </w:pPr>
      <w:r>
        <w:rPr>
          <w:rFonts w:hint="eastAsia"/>
          <w:sz w:val="30"/>
          <w:szCs w:val="30"/>
        </w:rPr>
        <w:t>这段美丽的旧约国度预言（OTKP）在宣讲和验证的时代得到应验。</w:t>
      </w:r>
    </w:p>
    <w:p w14:paraId="15662DA3">
      <w:pPr>
        <w:pStyle w:val="9"/>
        <w:spacing w:before="11"/>
        <w:ind w:left="0"/>
        <w:jc w:val="left"/>
        <w:rPr>
          <w:rFonts w:hint="eastAsia"/>
          <w:sz w:val="30"/>
          <w:szCs w:val="30"/>
        </w:rPr>
      </w:pPr>
    </w:p>
    <w:p w14:paraId="64C94367">
      <w:pPr>
        <w:pStyle w:val="9"/>
        <w:spacing w:before="11"/>
        <w:ind w:left="0"/>
        <w:jc w:val="left"/>
        <w:rPr>
          <w:rFonts w:hint="eastAsia"/>
          <w:sz w:val="30"/>
          <w:szCs w:val="30"/>
        </w:rPr>
      </w:pPr>
      <w:r>
        <w:rPr>
          <w:rFonts w:hint="eastAsia"/>
          <w:sz w:val="30"/>
          <w:szCs w:val="30"/>
        </w:rPr>
        <w:t>It begins in v. 18b, with God declaring that the time is coming for him to gather all nations, and for the peoples to behold his glory.</w:t>
      </w:r>
    </w:p>
    <w:p w14:paraId="10460A0F">
      <w:pPr>
        <w:pStyle w:val="9"/>
        <w:spacing w:before="11"/>
        <w:ind w:left="0"/>
        <w:jc w:val="left"/>
        <w:rPr>
          <w:rFonts w:hint="eastAsia"/>
          <w:sz w:val="30"/>
          <w:szCs w:val="30"/>
        </w:rPr>
      </w:pPr>
      <w:r>
        <w:rPr>
          <w:rFonts w:hint="eastAsia"/>
          <w:sz w:val="30"/>
          <w:szCs w:val="30"/>
        </w:rPr>
        <w:t>它从第18节下半节开始，上帝宣告祂将要聚集万国的时候到了，万民要看见祂的荣耀。</w:t>
      </w:r>
    </w:p>
    <w:p w14:paraId="63E039DD">
      <w:pPr>
        <w:pStyle w:val="9"/>
        <w:spacing w:before="11"/>
        <w:ind w:left="0"/>
        <w:jc w:val="left"/>
        <w:rPr>
          <w:rFonts w:hint="eastAsia"/>
          <w:sz w:val="30"/>
          <w:szCs w:val="30"/>
        </w:rPr>
      </w:pPr>
    </w:p>
    <w:p w14:paraId="59C42528">
      <w:pPr>
        <w:pStyle w:val="9"/>
        <w:spacing w:before="11"/>
        <w:ind w:left="0"/>
        <w:jc w:val="left"/>
        <w:rPr>
          <w:rFonts w:hint="eastAsia"/>
          <w:sz w:val="30"/>
          <w:szCs w:val="30"/>
        </w:rPr>
      </w:pPr>
      <w:r>
        <w:rPr>
          <w:rFonts w:hint="eastAsia"/>
          <w:sz w:val="30"/>
          <w:szCs w:val="30"/>
        </w:rPr>
        <w:t>This reminds us of Jesus’ words, spoken in response to a show of Gentile interest in his ministry: “And I, if I be lifted up from the earth, will draw all to myself” (John 12:32).</w:t>
      </w:r>
    </w:p>
    <w:p w14:paraId="128F7D96">
      <w:pPr>
        <w:pStyle w:val="9"/>
        <w:spacing w:before="11"/>
        <w:ind w:left="0"/>
        <w:jc w:val="left"/>
        <w:rPr>
          <w:rFonts w:hint="eastAsia"/>
          <w:sz w:val="30"/>
          <w:szCs w:val="30"/>
        </w:rPr>
      </w:pPr>
      <w:r>
        <w:rPr>
          <w:rFonts w:hint="eastAsia"/>
          <w:sz w:val="30"/>
          <w:szCs w:val="30"/>
        </w:rPr>
        <w:t>这让我们想起耶稣的话，祂在回应外邦人对祂事工表示兴趣时说：“我若从地上被举起来，就要吸引万人来归我”（约翰福音 12:32）。</w:t>
      </w:r>
    </w:p>
    <w:p w14:paraId="53F8F24A">
      <w:pPr>
        <w:pStyle w:val="9"/>
        <w:spacing w:before="11"/>
        <w:ind w:left="0"/>
        <w:jc w:val="left"/>
        <w:rPr>
          <w:rFonts w:hint="eastAsia"/>
          <w:sz w:val="30"/>
          <w:szCs w:val="30"/>
        </w:rPr>
      </w:pPr>
    </w:p>
    <w:p w14:paraId="5002C9C6">
      <w:pPr>
        <w:pStyle w:val="9"/>
        <w:spacing w:before="11"/>
        <w:ind w:left="0"/>
        <w:jc w:val="left"/>
        <w:rPr>
          <w:rFonts w:hint="eastAsia"/>
          <w:sz w:val="30"/>
          <w:szCs w:val="30"/>
        </w:rPr>
      </w:pPr>
      <w:r>
        <w:rPr>
          <w:rFonts w:hint="eastAsia"/>
          <w:sz w:val="30"/>
          <w:szCs w:val="30"/>
        </w:rPr>
        <w:t>Through the preaching of the Gospel, the Spirit will effectually call God’s elect—both Jew and Gentile—into the Kingdom, enabling them to behold the glory of God in the face of Jesus Christ, and eagerly to receive the benefits of his redemptive work on their behalf (John 1:14, 3:1ff, 6:4, 10:16, 14:9, 2 Cor. 4:6).</w:t>
      </w:r>
    </w:p>
    <w:p w14:paraId="7B2B9A79">
      <w:pPr>
        <w:pStyle w:val="9"/>
        <w:spacing w:before="11"/>
        <w:ind w:left="0"/>
        <w:jc w:val="left"/>
        <w:rPr>
          <w:rFonts w:hint="eastAsia"/>
          <w:sz w:val="30"/>
          <w:szCs w:val="30"/>
        </w:rPr>
      </w:pPr>
      <w:r>
        <w:rPr>
          <w:rFonts w:hint="eastAsia"/>
          <w:sz w:val="30"/>
          <w:szCs w:val="30"/>
        </w:rPr>
        <w:t>通过传讲福音，圣灵将有效地呼召上帝的选民——无论是犹太人还是外邦人——进入国度，使他们能够在耶稣基督的脸上看见上帝的荣耀，并热切地领受祂为他们成就的救赎之工的益处（约翰福音 1:14, 3:1及后文, 6:44, 10:16, 14:9, 哥林多后书 4:6）。</w:t>
      </w:r>
    </w:p>
    <w:p w14:paraId="60F52F9E">
      <w:pPr>
        <w:pStyle w:val="9"/>
        <w:spacing w:before="11"/>
        <w:ind w:left="0"/>
        <w:jc w:val="left"/>
        <w:rPr>
          <w:rFonts w:hint="eastAsia"/>
          <w:sz w:val="30"/>
          <w:szCs w:val="30"/>
        </w:rPr>
      </w:pPr>
    </w:p>
    <w:p w14:paraId="004EE07E">
      <w:pPr>
        <w:pStyle w:val="9"/>
        <w:spacing w:before="11"/>
        <w:ind w:left="0"/>
        <w:jc w:val="left"/>
        <w:rPr>
          <w:rFonts w:hint="eastAsia"/>
          <w:sz w:val="30"/>
          <w:szCs w:val="30"/>
        </w:rPr>
      </w:pPr>
      <w:r>
        <w:rPr>
          <w:rFonts w:hint="eastAsia"/>
          <w:sz w:val="30"/>
          <w:szCs w:val="30"/>
        </w:rPr>
        <w:t>He himself is the sign spoken of in v. 19, a standard beneath which the peoples may gather for salvation (11:10, 12, 49:22, 62:10, Luke 2:34).</w:t>
      </w:r>
    </w:p>
    <w:p w14:paraId="6F2FB640">
      <w:pPr>
        <w:pStyle w:val="9"/>
        <w:spacing w:before="11"/>
        <w:ind w:left="0"/>
        <w:jc w:val="left"/>
        <w:rPr>
          <w:rFonts w:hint="eastAsia"/>
          <w:sz w:val="30"/>
          <w:szCs w:val="30"/>
        </w:rPr>
      </w:pPr>
      <w:r>
        <w:rPr>
          <w:rFonts w:hint="eastAsia"/>
          <w:sz w:val="30"/>
          <w:szCs w:val="30"/>
        </w:rPr>
        <w:t>祂自己就是第19节所说的记号，是万民可以聚集在其下得救的旌旗（11:10, 12, 49:22, 62:10, 路加福音 2:34）。</w:t>
      </w:r>
    </w:p>
    <w:p w14:paraId="5508A589">
      <w:pPr>
        <w:pStyle w:val="9"/>
        <w:spacing w:before="11"/>
        <w:ind w:left="0"/>
        <w:jc w:val="left"/>
        <w:rPr>
          <w:rFonts w:hint="eastAsia"/>
          <w:sz w:val="30"/>
          <w:szCs w:val="30"/>
        </w:rPr>
      </w:pPr>
    </w:p>
    <w:p w14:paraId="009F9097">
      <w:pPr>
        <w:pStyle w:val="9"/>
        <w:spacing w:before="11"/>
        <w:ind w:left="0"/>
        <w:jc w:val="left"/>
        <w:rPr>
          <w:rFonts w:hint="eastAsia"/>
          <w:sz w:val="30"/>
          <w:szCs w:val="30"/>
        </w:rPr>
      </w:pPr>
      <w:r>
        <w:rPr>
          <w:rFonts w:hint="eastAsia"/>
          <w:sz w:val="30"/>
          <w:szCs w:val="30"/>
        </w:rPr>
        <w:t>God will set it among his Church: first, by sight among his elect remnant of Jews, and later by faith among his elect remnant of (more Jews and) Gentiles.</w:t>
      </w:r>
    </w:p>
    <w:p w14:paraId="2869A76B">
      <w:pPr>
        <w:pStyle w:val="9"/>
        <w:spacing w:before="11"/>
        <w:ind w:left="0"/>
        <w:jc w:val="left"/>
        <w:rPr>
          <w:rFonts w:hint="eastAsia"/>
          <w:sz w:val="30"/>
          <w:szCs w:val="30"/>
        </w:rPr>
      </w:pPr>
      <w:r>
        <w:rPr>
          <w:rFonts w:hint="eastAsia"/>
          <w:sz w:val="30"/>
          <w:szCs w:val="30"/>
        </w:rPr>
        <w:t>上帝要将它立在祂的教会中：首先，凭眼见在祂蒙拣选的犹太余民中，后来凭信心在祂蒙拣选的（更多犹太人和）外邦人余民中。</w:t>
      </w:r>
    </w:p>
    <w:p w14:paraId="1310E0D5">
      <w:pPr>
        <w:pStyle w:val="9"/>
        <w:spacing w:before="11"/>
        <w:ind w:left="0"/>
        <w:jc w:val="left"/>
        <w:rPr>
          <w:rFonts w:hint="eastAsia"/>
          <w:sz w:val="30"/>
          <w:szCs w:val="30"/>
        </w:rPr>
      </w:pPr>
    </w:p>
    <w:p w14:paraId="387B663A">
      <w:pPr>
        <w:pStyle w:val="9"/>
        <w:spacing w:before="11"/>
        <w:ind w:left="0"/>
        <w:jc w:val="left"/>
        <w:rPr>
          <w:rFonts w:hint="eastAsia"/>
          <w:sz w:val="30"/>
          <w:szCs w:val="30"/>
        </w:rPr>
      </w:pPr>
      <w:r>
        <w:rPr>
          <w:rFonts w:hint="eastAsia"/>
          <w:sz w:val="30"/>
          <w:szCs w:val="30"/>
        </w:rPr>
        <w:t>Both, through faith in Christ, are reckoned as survivors of the wrath to come (John 5:24, Rom. 5:1-2, 1 Thess. 1:10).</w:t>
      </w:r>
    </w:p>
    <w:p w14:paraId="6B802C68">
      <w:pPr>
        <w:pStyle w:val="9"/>
        <w:spacing w:before="11"/>
        <w:ind w:left="0"/>
        <w:jc w:val="left"/>
        <w:rPr>
          <w:rFonts w:hint="eastAsia"/>
          <w:sz w:val="30"/>
          <w:szCs w:val="30"/>
        </w:rPr>
      </w:pPr>
      <w:r>
        <w:rPr>
          <w:rFonts w:hint="eastAsia"/>
          <w:sz w:val="30"/>
          <w:szCs w:val="30"/>
        </w:rPr>
        <w:t>两者，通过对基督的信心，都被算为那将要来临之忿怒的幸存者（约翰福音 5:24, 罗马书 5:1-2, 帖撒罗尼迦前书 1:10）。</w:t>
      </w:r>
    </w:p>
    <w:p w14:paraId="55BD80C6">
      <w:pPr>
        <w:pStyle w:val="9"/>
        <w:spacing w:before="11"/>
        <w:ind w:left="0"/>
        <w:jc w:val="left"/>
        <w:rPr>
          <w:rFonts w:hint="eastAsia"/>
          <w:sz w:val="30"/>
          <w:szCs w:val="30"/>
        </w:rPr>
      </w:pPr>
    </w:p>
    <w:p w14:paraId="09BFD800">
      <w:pPr>
        <w:pStyle w:val="9"/>
        <w:spacing w:before="11"/>
        <w:ind w:left="0"/>
        <w:jc w:val="left"/>
        <w:rPr>
          <w:rFonts w:hint="eastAsia"/>
          <w:sz w:val="30"/>
          <w:szCs w:val="30"/>
        </w:rPr>
      </w:pPr>
      <w:r>
        <w:rPr>
          <w:rFonts w:hint="eastAsia"/>
          <w:sz w:val="30"/>
          <w:szCs w:val="30"/>
        </w:rPr>
        <w:t>So that still others may be saved, God will send them to “the remotest parts of the earth,” here typified and epitomized by seven of ancient Israel’s most distant neighbors (Acts 1:8, Rev. 5:9).</w:t>
      </w:r>
    </w:p>
    <w:p w14:paraId="0C95790D">
      <w:pPr>
        <w:pStyle w:val="9"/>
        <w:spacing w:before="11"/>
        <w:ind w:left="0"/>
        <w:jc w:val="left"/>
        <w:rPr>
          <w:rFonts w:hint="eastAsia"/>
          <w:sz w:val="30"/>
          <w:szCs w:val="30"/>
        </w:rPr>
      </w:pPr>
      <w:r>
        <w:rPr>
          <w:rFonts w:hint="eastAsia"/>
          <w:sz w:val="30"/>
          <w:szCs w:val="30"/>
        </w:rPr>
        <w:t>为了让更多的人可以得救，上帝将差遣他们到“地极”，这里以古代以色列七个最遥远的邻邦为预表和缩影（使徒行传 1:8, 启示录 5:9）。</w:t>
      </w:r>
    </w:p>
    <w:p w14:paraId="79CACB73">
      <w:pPr>
        <w:pStyle w:val="9"/>
        <w:spacing w:before="11"/>
        <w:ind w:left="0"/>
        <w:jc w:val="left"/>
        <w:rPr>
          <w:rFonts w:hint="eastAsia"/>
          <w:sz w:val="30"/>
          <w:szCs w:val="30"/>
        </w:rPr>
      </w:pPr>
    </w:p>
    <w:p w14:paraId="0E9BBA29">
      <w:pPr>
        <w:pStyle w:val="9"/>
        <w:spacing w:before="11"/>
        <w:ind w:left="0"/>
        <w:jc w:val="left"/>
        <w:rPr>
          <w:rFonts w:hint="eastAsia"/>
          <w:sz w:val="30"/>
          <w:szCs w:val="30"/>
        </w:rPr>
      </w:pPr>
      <w:r>
        <w:rPr>
          <w:rFonts w:hint="eastAsia"/>
          <w:sz w:val="30"/>
          <w:szCs w:val="30"/>
        </w:rPr>
        <w:t>There they will preach the Gospel, wherein the glory of God is declared, and whereby nations sunk deep in idolatry will at long last hear of God’s fame and behold his glory for themselves (v.9, Micah 4:4-5, Rom. 10:14-15, 15:14-21).</w:t>
      </w:r>
    </w:p>
    <w:p w14:paraId="3A4BEED7">
      <w:pPr>
        <w:pStyle w:val="9"/>
        <w:spacing w:before="11"/>
        <w:ind w:left="0"/>
        <w:jc w:val="left"/>
        <w:rPr>
          <w:rFonts w:hint="eastAsia"/>
          <w:sz w:val="30"/>
          <w:szCs w:val="30"/>
        </w:rPr>
      </w:pPr>
      <w:r>
        <w:rPr>
          <w:rFonts w:hint="eastAsia"/>
          <w:sz w:val="30"/>
          <w:szCs w:val="30"/>
        </w:rPr>
        <w:t>在那里他们将传讲福音，其中上帝的荣耀被宣告，藉此，深陷偶像崇拜的国家将最终听到上帝的名声并亲眼看见祂的荣耀（9节, 弥迦书 4:4-5, 罗马书 10:14-15, 15:14-21）。</w:t>
      </w:r>
    </w:p>
    <w:p w14:paraId="1C9CD525">
      <w:pPr>
        <w:pStyle w:val="9"/>
        <w:spacing w:before="11"/>
        <w:ind w:left="0"/>
        <w:jc w:val="left"/>
        <w:rPr>
          <w:rFonts w:hint="eastAsia"/>
          <w:sz w:val="30"/>
          <w:szCs w:val="30"/>
        </w:rPr>
      </w:pPr>
    </w:p>
    <w:p w14:paraId="631A3EFC">
      <w:pPr>
        <w:pStyle w:val="9"/>
        <w:spacing w:before="11"/>
        <w:ind w:left="0"/>
        <w:jc w:val="left"/>
        <w:rPr>
          <w:rFonts w:hint="eastAsia"/>
          <w:sz w:val="30"/>
          <w:szCs w:val="30"/>
        </w:rPr>
      </w:pPr>
      <w:r>
        <w:rPr>
          <w:rFonts w:hint="eastAsia"/>
          <w:sz w:val="30"/>
          <w:szCs w:val="30"/>
        </w:rPr>
        <w:t>Verse 20—virtually impervious to literal, futuristic interpretation— speaks of their good success: Using every spiritual device at their disposal (Rom. 14:13-14, 1 Cor. 9:19-22), the latter-day evangelists will transform their pagan neighbors into brothers and sisters in Christ (Eph. 2:11-18), transport them to the Zion and Jerusalem above (Gal. 4:21-31, Heb. 12:22), and present them as a spiritual sacrifice in the house of the LORD (Rom. 15:15-16, Phil. 2:17).</w:t>
      </w:r>
    </w:p>
    <w:p w14:paraId="061FB4FC">
      <w:pPr>
        <w:pStyle w:val="9"/>
        <w:spacing w:before="11"/>
        <w:ind w:left="0"/>
        <w:jc w:val="left"/>
        <w:rPr>
          <w:rFonts w:hint="eastAsia"/>
          <w:sz w:val="30"/>
          <w:szCs w:val="30"/>
        </w:rPr>
      </w:pPr>
      <w:r>
        <w:rPr>
          <w:rFonts w:hint="eastAsia"/>
          <w:sz w:val="30"/>
          <w:szCs w:val="30"/>
        </w:rPr>
        <w:t>第20节——几乎无法进行字面的、未来主义的解释——谈到了他们的巨大成功：末后的传道人将使用他们所能使用的一切属灵手段（罗马书 14:13-14, 哥林多前书 9:19-22），将他们的异教邻居转变为在基督里的弟兄姊妹（以弗所书 2:11-18），将他们运送到天上的锡安和耶路撒冷（加拉太书 4:21-31, 希伯来书 12:22），并将他们作为属灵的祭物献在耶和华的殿中（罗马书 15:15-16, 腓立比书 2:17）。</w:t>
      </w:r>
    </w:p>
    <w:p w14:paraId="10D51B37">
      <w:pPr>
        <w:pStyle w:val="9"/>
        <w:spacing w:before="11"/>
        <w:ind w:left="0"/>
        <w:jc w:val="left"/>
        <w:rPr>
          <w:rFonts w:hint="eastAsia"/>
          <w:sz w:val="30"/>
          <w:szCs w:val="30"/>
        </w:rPr>
      </w:pPr>
    </w:p>
    <w:p w14:paraId="598CBD16">
      <w:pPr>
        <w:pStyle w:val="9"/>
        <w:spacing w:before="11"/>
        <w:ind w:left="0"/>
        <w:jc w:val="left"/>
        <w:rPr>
          <w:rFonts w:hint="eastAsia"/>
          <w:sz w:val="30"/>
          <w:szCs w:val="30"/>
        </w:rPr>
      </w:pPr>
      <w:r>
        <w:rPr>
          <w:rFonts w:hint="eastAsia"/>
          <w:sz w:val="30"/>
          <w:szCs w:val="30"/>
        </w:rPr>
        <w:t>While all of them will become part of Christ’s royal priesthood, some, according to the typology of verse 21, will be ordained as spiritual leaders in his Church (Eph. 4:7-16, Titus 1:5, 1 Peter 2:5, 9).</w:t>
      </w:r>
    </w:p>
    <w:p w14:paraId="2E19943A">
      <w:pPr>
        <w:pStyle w:val="9"/>
        <w:spacing w:before="11"/>
        <w:ind w:left="0"/>
        <w:jc w:val="left"/>
        <w:rPr>
          <w:rFonts w:hint="eastAsia"/>
          <w:sz w:val="30"/>
          <w:szCs w:val="30"/>
        </w:rPr>
      </w:pPr>
      <w:r>
        <w:rPr>
          <w:rFonts w:hint="eastAsia"/>
          <w:sz w:val="30"/>
          <w:szCs w:val="30"/>
        </w:rPr>
        <w:t>虽然他们都将成为基督君尊祭司的一部分，但有些，根据第21节的预表，将被按立为祂教会中的属灵领袖（以弗所书 4:7-16, 提多书 1:5, 彼得前书 2:5, 9）。</w:t>
      </w:r>
    </w:p>
    <w:p w14:paraId="0714159A">
      <w:pPr>
        <w:pStyle w:val="9"/>
        <w:spacing w:before="11"/>
        <w:ind w:left="0"/>
        <w:jc w:val="left"/>
        <w:rPr>
          <w:rFonts w:hint="eastAsia"/>
          <w:sz w:val="30"/>
          <w:szCs w:val="30"/>
        </w:rPr>
      </w:pPr>
    </w:p>
    <w:p w14:paraId="5EBE2615">
      <w:pPr>
        <w:pStyle w:val="9"/>
        <w:spacing w:before="11"/>
        <w:ind w:left="0"/>
        <w:jc w:val="left"/>
        <w:rPr>
          <w:rFonts w:hint="eastAsia"/>
          <w:sz w:val="30"/>
          <w:szCs w:val="30"/>
        </w:rPr>
      </w:pPr>
      <w:r>
        <w:rPr>
          <w:rFonts w:hint="eastAsia"/>
          <w:sz w:val="30"/>
          <w:szCs w:val="30"/>
        </w:rPr>
        <w:t>Final Destinies (22-24)</w:t>
      </w:r>
    </w:p>
    <w:p w14:paraId="44152BBD">
      <w:pPr>
        <w:pStyle w:val="9"/>
        <w:spacing w:before="11"/>
        <w:ind w:left="0"/>
        <w:jc w:val="left"/>
        <w:rPr>
          <w:rFonts w:hint="eastAsia"/>
          <w:sz w:val="30"/>
          <w:szCs w:val="30"/>
        </w:rPr>
      </w:pPr>
      <w:r>
        <w:rPr>
          <w:rFonts w:hint="eastAsia"/>
          <w:sz w:val="30"/>
          <w:szCs w:val="30"/>
        </w:rPr>
        <w:t>最终的命运（22-24节）</w:t>
      </w:r>
    </w:p>
    <w:p w14:paraId="69F870F8">
      <w:pPr>
        <w:pStyle w:val="9"/>
        <w:spacing w:before="11"/>
        <w:ind w:left="0"/>
        <w:jc w:val="left"/>
        <w:rPr>
          <w:rFonts w:hint="eastAsia"/>
          <w:sz w:val="30"/>
          <w:szCs w:val="30"/>
        </w:rPr>
      </w:pPr>
    </w:p>
    <w:p w14:paraId="4ECABE22">
      <w:pPr>
        <w:pStyle w:val="9"/>
        <w:spacing w:before="11"/>
        <w:ind w:left="0"/>
        <w:jc w:val="left"/>
        <w:rPr>
          <w:rFonts w:hint="eastAsia"/>
          <w:sz w:val="30"/>
          <w:szCs w:val="30"/>
        </w:rPr>
      </w:pPr>
      <w:r>
        <w:rPr>
          <w:rFonts w:hint="eastAsia"/>
          <w:sz w:val="30"/>
          <w:szCs w:val="30"/>
        </w:rPr>
        <w:t>In verses 22-24 we pass from the Era of Proclamation into the eschaton.</w:t>
      </w:r>
    </w:p>
    <w:p w14:paraId="19FD0F1C">
      <w:pPr>
        <w:pStyle w:val="9"/>
        <w:spacing w:before="11"/>
        <w:ind w:left="0"/>
        <w:jc w:val="left"/>
        <w:rPr>
          <w:rFonts w:hint="eastAsia"/>
          <w:sz w:val="30"/>
          <w:szCs w:val="30"/>
        </w:rPr>
      </w:pPr>
      <w:r>
        <w:rPr>
          <w:rFonts w:hint="eastAsia"/>
          <w:sz w:val="30"/>
          <w:szCs w:val="30"/>
        </w:rPr>
        <w:t>在第22-24节，我们从宣讲的时代进入了末世。</w:t>
      </w:r>
    </w:p>
    <w:p w14:paraId="6F12372A">
      <w:pPr>
        <w:pStyle w:val="9"/>
        <w:spacing w:before="11"/>
        <w:ind w:left="0"/>
        <w:jc w:val="left"/>
        <w:rPr>
          <w:rFonts w:hint="eastAsia"/>
          <w:sz w:val="30"/>
          <w:szCs w:val="30"/>
        </w:rPr>
      </w:pPr>
    </w:p>
    <w:p w14:paraId="4F0649FC">
      <w:pPr>
        <w:pStyle w:val="9"/>
        <w:spacing w:before="11"/>
        <w:ind w:left="0"/>
        <w:jc w:val="left"/>
        <w:rPr>
          <w:rFonts w:hint="eastAsia"/>
          <w:sz w:val="30"/>
          <w:szCs w:val="30"/>
        </w:rPr>
      </w:pPr>
      <w:r>
        <w:rPr>
          <w:rFonts w:hint="eastAsia"/>
          <w:sz w:val="30"/>
          <w:szCs w:val="30"/>
        </w:rPr>
        <w:t>Here we meet the contrasting final destinies of saints and sinners.</w:t>
      </w:r>
    </w:p>
    <w:p w14:paraId="507103AB">
      <w:pPr>
        <w:pStyle w:val="9"/>
        <w:spacing w:before="11"/>
        <w:ind w:left="0"/>
        <w:jc w:val="left"/>
        <w:rPr>
          <w:rFonts w:hint="eastAsia"/>
          <w:sz w:val="30"/>
          <w:szCs w:val="30"/>
        </w:rPr>
      </w:pPr>
      <w:r>
        <w:rPr>
          <w:rFonts w:hint="eastAsia"/>
          <w:sz w:val="30"/>
          <w:szCs w:val="30"/>
        </w:rPr>
        <w:t>在这里，我们遇到了圣徒和罪人相对比的最终命运。</w:t>
      </w:r>
    </w:p>
    <w:p w14:paraId="0D8ECFCD">
      <w:pPr>
        <w:pStyle w:val="9"/>
        <w:spacing w:before="11"/>
        <w:ind w:left="0"/>
        <w:jc w:val="left"/>
        <w:rPr>
          <w:rFonts w:hint="eastAsia"/>
          <w:sz w:val="30"/>
          <w:szCs w:val="30"/>
        </w:rPr>
      </w:pPr>
    </w:p>
    <w:p w14:paraId="5E31F182">
      <w:pPr>
        <w:pStyle w:val="9"/>
        <w:spacing w:before="11"/>
        <w:ind w:left="0"/>
        <w:jc w:val="left"/>
        <w:rPr>
          <w:rFonts w:hint="eastAsia"/>
          <w:sz w:val="30"/>
          <w:szCs w:val="30"/>
        </w:rPr>
      </w:pPr>
      <w:r>
        <w:rPr>
          <w:rFonts w:hint="eastAsia"/>
          <w:sz w:val="30"/>
          <w:szCs w:val="30"/>
        </w:rPr>
        <w:t>Just as the new heavens and the new earth will endure forever before God, so too will Zion’s offspring: the resurrected and glorified Church of Christ, the faithful of all times and all places (John 5:28-29, 11:23-26, 1 Cor. 15:50-58, Col. 3:4, Heb. 11:1f, Rev. 21:2, 10-11).</w:t>
      </w:r>
    </w:p>
    <w:p w14:paraId="52881433">
      <w:pPr>
        <w:pStyle w:val="9"/>
        <w:spacing w:before="11"/>
        <w:ind w:left="0"/>
        <w:jc w:val="left"/>
        <w:rPr>
          <w:rFonts w:hint="eastAsia"/>
          <w:sz w:val="30"/>
          <w:szCs w:val="30"/>
        </w:rPr>
      </w:pPr>
      <w:r>
        <w:rPr>
          <w:rFonts w:hint="eastAsia"/>
          <w:sz w:val="30"/>
          <w:szCs w:val="30"/>
        </w:rPr>
        <w:t>正如新天新地在上帝面前将永远长存，锡安的后裔也必如此：即复活并得荣耀的基督教会，所有时代和所有地方的忠信者（约翰福音 5:28-29, 11:23-26, 哥林多前书 15:50-58, 歌罗西书 3:4, 希伯来书 11:1及后文, 启示录 21:2, 10-11）。</w:t>
      </w:r>
    </w:p>
    <w:p w14:paraId="6EE48824">
      <w:pPr>
        <w:pStyle w:val="9"/>
        <w:spacing w:before="11"/>
        <w:ind w:left="0"/>
        <w:jc w:val="left"/>
        <w:rPr>
          <w:rFonts w:hint="eastAsia"/>
          <w:sz w:val="30"/>
          <w:szCs w:val="30"/>
        </w:rPr>
      </w:pPr>
    </w:p>
    <w:p w14:paraId="20E6DA3B">
      <w:pPr>
        <w:pStyle w:val="9"/>
        <w:spacing w:before="11"/>
        <w:ind w:left="0"/>
        <w:jc w:val="left"/>
        <w:rPr>
          <w:rFonts w:hint="eastAsia"/>
          <w:sz w:val="30"/>
          <w:szCs w:val="30"/>
        </w:rPr>
      </w:pPr>
      <w:r>
        <w:rPr>
          <w:rFonts w:hint="eastAsia"/>
          <w:sz w:val="30"/>
          <w:szCs w:val="30"/>
        </w:rPr>
        <w:t>As we saw earlier, the NT forbids a literal interpretation of v. 23, teaching that ceremonial “months, seasons, and years” have been fulfilled and antiquated by Christ (Gal. 4:10, Col. 2:16-17, Heb. 8:13), and also that in the eschaton the sun, moon, and stars will give way to the perpetual light of the glory of God (Rev. 21:23, 22:5).</w:t>
      </w:r>
    </w:p>
    <w:p w14:paraId="69797B68">
      <w:pPr>
        <w:pStyle w:val="9"/>
        <w:spacing w:before="11"/>
        <w:ind w:left="0"/>
        <w:jc w:val="left"/>
        <w:rPr>
          <w:rFonts w:hint="eastAsia"/>
          <w:sz w:val="30"/>
          <w:szCs w:val="30"/>
        </w:rPr>
      </w:pPr>
      <w:r>
        <w:rPr>
          <w:rFonts w:hint="eastAsia"/>
          <w:sz w:val="30"/>
          <w:szCs w:val="30"/>
        </w:rPr>
        <w:t>正如我们早先所见，新约禁止对第23节进行字面解释，教导说礼仪性的“月、节、年”已被基督成全并使其过时（加拉太书 4:10, 歌罗西书 2:16-17, 希伯来书 8:13），并且在末世，日月星辰将让位于上帝荣耀的永恒之光（启示录 21:23, 22:5）。</w:t>
      </w:r>
    </w:p>
    <w:p w14:paraId="5257D477">
      <w:pPr>
        <w:pStyle w:val="9"/>
        <w:spacing w:before="11"/>
        <w:ind w:left="0"/>
        <w:jc w:val="left"/>
        <w:rPr>
          <w:rFonts w:hint="eastAsia"/>
          <w:sz w:val="30"/>
          <w:szCs w:val="30"/>
        </w:rPr>
      </w:pPr>
    </w:p>
    <w:p w14:paraId="6D855B07">
      <w:pPr>
        <w:pStyle w:val="9"/>
        <w:spacing w:before="11"/>
        <w:ind w:left="0"/>
        <w:jc w:val="left"/>
        <w:rPr>
          <w:rFonts w:hint="eastAsia"/>
          <w:sz w:val="30"/>
          <w:szCs w:val="30"/>
        </w:rPr>
      </w:pPr>
      <w:r>
        <w:rPr>
          <w:rFonts w:hint="eastAsia"/>
          <w:sz w:val="30"/>
          <w:szCs w:val="30"/>
        </w:rPr>
        <w:t>Thus, under OT imagery, the message here is simply that all redeemed flesh—both Jew and Gentile— will worship God forever (Rev. 15:4).</w:t>
      </w:r>
    </w:p>
    <w:p w14:paraId="5360ECD0">
      <w:pPr>
        <w:pStyle w:val="9"/>
        <w:spacing w:before="11"/>
        <w:ind w:left="0"/>
        <w:jc w:val="left"/>
        <w:rPr>
          <w:rFonts w:hint="eastAsia"/>
          <w:sz w:val="30"/>
          <w:szCs w:val="30"/>
        </w:rPr>
      </w:pPr>
      <w:r>
        <w:rPr>
          <w:rFonts w:hint="eastAsia"/>
          <w:sz w:val="30"/>
          <w:szCs w:val="30"/>
        </w:rPr>
        <w:t>因此，在旧约的意象之下，这里的信息很简单，即所有被救赎的血肉之躯——无论是犹太人还是外邦人——都将永远敬拜上帝（启示录 15:4）。</w:t>
      </w:r>
    </w:p>
    <w:p w14:paraId="326F3EAE">
      <w:pPr>
        <w:pStyle w:val="9"/>
        <w:spacing w:before="11"/>
        <w:ind w:left="0"/>
        <w:jc w:val="left"/>
        <w:rPr>
          <w:rFonts w:hint="eastAsia"/>
          <w:sz w:val="30"/>
          <w:szCs w:val="30"/>
        </w:rPr>
      </w:pPr>
    </w:p>
    <w:p w14:paraId="5BEA1526">
      <w:pPr>
        <w:pStyle w:val="9"/>
        <w:spacing w:before="11"/>
        <w:ind w:left="0"/>
        <w:jc w:val="left"/>
        <w:rPr>
          <w:rFonts w:hint="eastAsia"/>
          <w:sz w:val="30"/>
          <w:szCs w:val="30"/>
        </w:rPr>
      </w:pPr>
      <w:r>
        <w:rPr>
          <w:rFonts w:hint="eastAsia"/>
          <w:sz w:val="30"/>
          <w:szCs w:val="30"/>
        </w:rPr>
        <w:t>Similarly, the meaning of v. 24—which alludes to the perpetual burnings in the accursed Valley of Hinnom just outside Jerusalem—is that the saints will look with satisfaction (among many other emotions) upon the eternal punishment of the wicked, who are receiving their just due (2 Kings 23:1-14, Dan. 12:2, 2 Thess. 1, Rev. 15:2-4, 16:4-7, 22:15).</w:t>
      </w:r>
    </w:p>
    <w:p w14:paraId="08172DA0">
      <w:pPr>
        <w:pStyle w:val="9"/>
        <w:spacing w:before="11"/>
        <w:ind w:left="0"/>
        <w:jc w:val="left"/>
        <w:rPr>
          <w:rFonts w:hint="eastAsia"/>
          <w:sz w:val="30"/>
          <w:szCs w:val="30"/>
        </w:rPr>
      </w:pPr>
      <w:r>
        <w:rPr>
          <w:rFonts w:hint="eastAsia"/>
          <w:sz w:val="30"/>
          <w:szCs w:val="30"/>
        </w:rPr>
        <w:t>同样，第24节的意义——它暗指在耶路撒冷城外被咒诅的欣嫩子谷中永久的焚烧——是圣徒们将（在许多其他情感中）满意地观看恶人永恒的惩罚，他们正受到他们应得的报应（列王纪下 23:10, 但以理书 12:2, 帖撒罗尼迦后书 1章, 启示录 15:2-4, 16:4-7, 22:15）。</w:t>
      </w:r>
    </w:p>
    <w:p w14:paraId="42056D6A">
      <w:pPr>
        <w:pStyle w:val="9"/>
        <w:spacing w:before="11"/>
        <w:ind w:left="0"/>
        <w:jc w:val="left"/>
        <w:rPr>
          <w:rFonts w:hint="eastAsia"/>
          <w:sz w:val="30"/>
          <w:szCs w:val="30"/>
        </w:rPr>
      </w:pPr>
    </w:p>
    <w:p w14:paraId="2531FD5B">
      <w:pPr>
        <w:pStyle w:val="9"/>
        <w:spacing w:before="11"/>
        <w:ind w:left="0"/>
        <w:jc w:val="left"/>
        <w:rPr>
          <w:rFonts w:hint="eastAsia"/>
          <w:sz w:val="30"/>
          <w:szCs w:val="30"/>
        </w:rPr>
      </w:pPr>
      <w:r>
        <w:rPr>
          <w:rFonts w:hint="eastAsia"/>
          <w:sz w:val="30"/>
          <w:szCs w:val="30"/>
        </w:rPr>
        <w:t>Therefore, I agree again with commentator Derek Kidner, when he sums up verses 18-24 as follows:</w:t>
      </w:r>
    </w:p>
    <w:p w14:paraId="592277CC">
      <w:pPr>
        <w:pStyle w:val="9"/>
        <w:spacing w:before="11"/>
        <w:ind w:left="0"/>
        <w:jc w:val="left"/>
        <w:rPr>
          <w:rFonts w:hint="eastAsia"/>
          <w:sz w:val="30"/>
          <w:szCs w:val="30"/>
        </w:rPr>
      </w:pPr>
      <w:r>
        <w:rPr>
          <w:rFonts w:hint="eastAsia"/>
          <w:sz w:val="30"/>
          <w:szCs w:val="30"/>
        </w:rPr>
        <w:t>因此，我再次同意评论家德里克·金德纳的看法，当他如下总结第18-24节时：</w:t>
      </w:r>
    </w:p>
    <w:p w14:paraId="3077D81A">
      <w:pPr>
        <w:pStyle w:val="9"/>
        <w:spacing w:before="11"/>
        <w:ind w:left="0"/>
        <w:jc w:val="left"/>
        <w:rPr>
          <w:rFonts w:hint="eastAsia"/>
          <w:sz w:val="30"/>
          <w:szCs w:val="30"/>
        </w:rPr>
      </w:pPr>
    </w:p>
    <w:p w14:paraId="7657DED0">
      <w:pPr>
        <w:pStyle w:val="9"/>
        <w:spacing w:before="11"/>
        <w:ind w:left="0"/>
        <w:jc w:val="left"/>
        <w:rPr>
          <w:rFonts w:hint="eastAsia"/>
          <w:sz w:val="30"/>
          <w:szCs w:val="30"/>
        </w:rPr>
      </w:pPr>
      <w:r>
        <w:rPr>
          <w:rFonts w:hint="eastAsia"/>
          <w:sz w:val="30"/>
          <w:szCs w:val="30"/>
        </w:rPr>
        <w:t>One may take this final section to be an epilogue that spans the first and second comings of Christ.</w:t>
      </w:r>
    </w:p>
    <w:p w14:paraId="0EBB4515">
      <w:pPr>
        <w:pStyle w:val="9"/>
        <w:spacing w:before="11"/>
        <w:ind w:left="0"/>
        <w:jc w:val="left"/>
        <w:rPr>
          <w:rFonts w:hint="eastAsia"/>
          <w:sz w:val="30"/>
          <w:szCs w:val="30"/>
        </w:rPr>
      </w:pPr>
      <w:r>
        <w:rPr>
          <w:rFonts w:hint="eastAsia"/>
          <w:sz w:val="30"/>
          <w:szCs w:val="30"/>
        </w:rPr>
        <w:t>人们可以将这最后一段视为一个跨越基督第一次和第二次降临的结语。</w:t>
      </w:r>
    </w:p>
    <w:p w14:paraId="7E5DD3E6">
      <w:pPr>
        <w:pStyle w:val="9"/>
        <w:spacing w:before="11"/>
        <w:ind w:left="0"/>
        <w:jc w:val="left"/>
        <w:rPr>
          <w:rFonts w:hint="eastAsia"/>
          <w:sz w:val="30"/>
          <w:szCs w:val="30"/>
        </w:rPr>
      </w:pPr>
    </w:p>
    <w:p w14:paraId="658EC331">
      <w:pPr>
        <w:pStyle w:val="9"/>
        <w:spacing w:before="11"/>
        <w:ind w:left="0"/>
        <w:jc w:val="left"/>
        <w:rPr>
          <w:rFonts w:hint="eastAsia"/>
          <w:sz w:val="30"/>
          <w:szCs w:val="30"/>
        </w:rPr>
      </w:pPr>
      <w:r>
        <w:rPr>
          <w:rFonts w:hint="eastAsia"/>
          <w:sz w:val="30"/>
          <w:szCs w:val="30"/>
        </w:rPr>
        <w:t>Verse 18 will then state His purpose for the world, and vv. 19-21 His means of carrying it out: the sign set among men (Christ crucified and risen); the survivors, or saved remnant, sent to the nations (v. 19); and the gathering of His people into his Jerusalem (v. 20), the Gentiles being admitted to full membership with Jews (v. 21).</w:t>
      </w:r>
    </w:p>
    <w:p w14:paraId="45637329">
      <w:pPr>
        <w:pStyle w:val="9"/>
        <w:spacing w:before="11"/>
        <w:ind w:left="0"/>
        <w:jc w:val="left"/>
        <w:rPr>
          <w:rFonts w:hint="eastAsia"/>
          <w:sz w:val="30"/>
          <w:szCs w:val="30"/>
        </w:rPr>
      </w:pPr>
      <w:r>
        <w:rPr>
          <w:rFonts w:hint="eastAsia"/>
          <w:sz w:val="30"/>
          <w:szCs w:val="30"/>
        </w:rPr>
        <w:t>第18节将陈述祂对世界的旨意，第19-21节则陈述祂实现旨意的方式：在人中间设立的记号（被钉十字架并复活的基督）；幸存者，或得救的余民，被差往列国（19节）；以及祂的子民被聚集到祂的耶路撒冷（20节），外邦人被接纳与犹太人同为正式成员（21节）。</w:t>
      </w:r>
    </w:p>
    <w:p w14:paraId="6A2D67B8">
      <w:pPr>
        <w:pStyle w:val="9"/>
        <w:spacing w:before="11"/>
        <w:ind w:left="0"/>
        <w:jc w:val="left"/>
        <w:rPr>
          <w:rFonts w:hint="eastAsia"/>
          <w:sz w:val="30"/>
          <w:szCs w:val="30"/>
        </w:rPr>
      </w:pPr>
    </w:p>
    <w:p w14:paraId="4DBE5434">
      <w:pPr>
        <w:pStyle w:val="9"/>
        <w:spacing w:before="11"/>
        <w:ind w:left="0"/>
        <w:jc w:val="left"/>
        <w:rPr>
          <w:rFonts w:hint="eastAsia"/>
          <w:sz w:val="30"/>
          <w:szCs w:val="30"/>
        </w:rPr>
      </w:pPr>
      <w:r>
        <w:rPr>
          <w:rFonts w:hint="eastAsia"/>
          <w:sz w:val="30"/>
          <w:szCs w:val="30"/>
        </w:rPr>
        <w:t>On this view, Jerusalem is not the literal city, but a spiritual (Gal. 4:25-26).</w:t>
      </w:r>
    </w:p>
    <w:p w14:paraId="6D1513D3">
      <w:pPr>
        <w:pStyle w:val="9"/>
        <w:spacing w:before="11"/>
        <w:ind w:left="0"/>
        <w:jc w:val="left"/>
        <w:rPr>
          <w:rFonts w:hint="eastAsia"/>
          <w:sz w:val="30"/>
          <w:szCs w:val="30"/>
        </w:rPr>
      </w:pPr>
      <w:r>
        <w:rPr>
          <w:rFonts w:hint="eastAsia"/>
          <w:sz w:val="30"/>
          <w:szCs w:val="30"/>
        </w:rPr>
        <w:t>在这种观点下，耶路撒冷不是字面上的城市，而是属灵的（加拉太书 4:25-26）。</w:t>
      </w:r>
    </w:p>
    <w:p w14:paraId="2D913B1C">
      <w:pPr>
        <w:pStyle w:val="9"/>
        <w:spacing w:before="11"/>
        <w:ind w:left="0"/>
        <w:jc w:val="left"/>
        <w:rPr>
          <w:rFonts w:hint="eastAsia"/>
          <w:sz w:val="30"/>
          <w:szCs w:val="30"/>
        </w:rPr>
      </w:pPr>
    </w:p>
    <w:p w14:paraId="28885921">
      <w:pPr>
        <w:pStyle w:val="9"/>
        <w:spacing w:before="11"/>
        <w:ind w:left="0"/>
        <w:jc w:val="left"/>
        <w:rPr>
          <w:rFonts w:hint="eastAsia"/>
          <w:sz w:val="30"/>
          <w:szCs w:val="30"/>
        </w:rPr>
      </w:pPr>
      <w:r>
        <w:rPr>
          <w:rFonts w:hint="eastAsia"/>
          <w:sz w:val="30"/>
          <w:szCs w:val="30"/>
        </w:rPr>
        <w:t>Verses 22-24 would describe (still in OT terms) the states of final glory and perdition.10</w:t>
      </w:r>
    </w:p>
    <w:p w14:paraId="6D8C3616">
      <w:pPr>
        <w:pStyle w:val="9"/>
        <w:spacing w:before="11"/>
        <w:ind w:left="0"/>
        <w:jc w:val="left"/>
        <w:rPr>
          <w:rFonts w:hint="eastAsia"/>
          <w:sz w:val="30"/>
          <w:szCs w:val="30"/>
        </w:rPr>
      </w:pPr>
      <w:r>
        <w:rPr>
          <w:rFonts w:hint="eastAsia"/>
          <w:sz w:val="30"/>
          <w:szCs w:val="30"/>
        </w:rPr>
        <w:t>第22-24节将（仍然用旧约的术语）描述最终荣耀和沉沦的状态。10</w:t>
      </w:r>
    </w:p>
    <w:p w14:paraId="07AFCDA7">
      <w:pPr>
        <w:pStyle w:val="9"/>
        <w:spacing w:before="11"/>
        <w:ind w:left="0"/>
        <w:jc w:val="left"/>
        <w:rPr>
          <w:rFonts w:hint="eastAsia"/>
          <w:sz w:val="30"/>
          <w:szCs w:val="30"/>
        </w:rPr>
      </w:pPr>
    </w:p>
    <w:p w14:paraId="370EAD5E">
      <w:pPr>
        <w:pStyle w:val="9"/>
        <w:spacing w:before="11"/>
        <w:ind w:left="0"/>
        <w:jc w:val="left"/>
        <w:rPr>
          <w:rFonts w:hint="eastAsia"/>
          <w:sz w:val="30"/>
          <w:szCs w:val="30"/>
        </w:rPr>
      </w:pPr>
      <w:r>
        <w:rPr>
          <w:rFonts w:hint="eastAsia"/>
          <w:sz w:val="30"/>
          <w:szCs w:val="30"/>
        </w:rPr>
        <w:t>Conclusion</w:t>
      </w:r>
    </w:p>
    <w:p w14:paraId="7192895E">
      <w:pPr>
        <w:pStyle w:val="9"/>
        <w:spacing w:before="11"/>
        <w:ind w:left="0"/>
        <w:jc w:val="left"/>
        <w:rPr>
          <w:rFonts w:hint="eastAsia"/>
          <w:sz w:val="30"/>
          <w:szCs w:val="30"/>
        </w:rPr>
      </w:pPr>
      <w:r>
        <w:rPr>
          <w:rFonts w:hint="eastAsia"/>
          <w:sz w:val="30"/>
          <w:szCs w:val="30"/>
        </w:rPr>
        <w:t>结论</w:t>
      </w:r>
    </w:p>
    <w:p w14:paraId="3311E9B1">
      <w:pPr>
        <w:pStyle w:val="9"/>
        <w:spacing w:before="11"/>
        <w:ind w:left="0"/>
        <w:jc w:val="left"/>
        <w:rPr>
          <w:rFonts w:hint="eastAsia"/>
          <w:sz w:val="30"/>
          <w:szCs w:val="30"/>
        </w:rPr>
      </w:pPr>
    </w:p>
    <w:p w14:paraId="3A1E769F">
      <w:pPr>
        <w:pStyle w:val="9"/>
        <w:spacing w:before="11"/>
        <w:ind w:left="0"/>
        <w:jc w:val="left"/>
        <w:rPr>
          <w:rFonts w:hint="eastAsia"/>
          <w:sz w:val="30"/>
          <w:szCs w:val="30"/>
        </w:rPr>
      </w:pPr>
      <w:r>
        <w:rPr>
          <w:rFonts w:hint="eastAsia"/>
          <w:sz w:val="30"/>
          <w:szCs w:val="30"/>
        </w:rPr>
        <w:t>Again, all agree that Isaiah 66 is one the most difficult chapters in the prophetic canon.</w:t>
      </w:r>
    </w:p>
    <w:p w14:paraId="2A6FA06F">
      <w:pPr>
        <w:pStyle w:val="9"/>
        <w:spacing w:before="11"/>
        <w:ind w:left="0"/>
        <w:jc w:val="left"/>
        <w:rPr>
          <w:rFonts w:hint="eastAsia"/>
          <w:sz w:val="30"/>
          <w:szCs w:val="30"/>
        </w:rPr>
      </w:pPr>
      <w:r>
        <w:rPr>
          <w:rFonts w:hint="eastAsia"/>
          <w:sz w:val="30"/>
          <w:szCs w:val="30"/>
        </w:rPr>
        <w:t>再次，所有人都同意，以赛亚书66章是先知正典中最难的章节之一。</w:t>
      </w:r>
    </w:p>
    <w:p w14:paraId="786F2E21">
      <w:pPr>
        <w:pStyle w:val="9"/>
        <w:spacing w:before="11"/>
        <w:ind w:left="0"/>
        <w:jc w:val="left"/>
        <w:rPr>
          <w:rFonts w:hint="eastAsia"/>
          <w:sz w:val="30"/>
          <w:szCs w:val="30"/>
        </w:rPr>
      </w:pPr>
    </w:p>
    <w:p w14:paraId="57E012E7">
      <w:pPr>
        <w:pStyle w:val="9"/>
        <w:spacing w:before="11"/>
        <w:ind w:left="0"/>
        <w:jc w:val="left"/>
        <w:rPr>
          <w:rFonts w:hint="eastAsia"/>
          <w:sz w:val="30"/>
          <w:szCs w:val="30"/>
        </w:rPr>
      </w:pPr>
      <w:r>
        <w:rPr>
          <w:rFonts w:hint="eastAsia"/>
          <w:sz w:val="30"/>
          <w:szCs w:val="30"/>
        </w:rPr>
        <w:t>All do not, however, agree on how to interpret it.</w:t>
      </w:r>
    </w:p>
    <w:p w14:paraId="0900CAF2">
      <w:pPr>
        <w:pStyle w:val="9"/>
        <w:spacing w:before="11"/>
        <w:ind w:left="0"/>
        <w:jc w:val="left"/>
        <w:rPr>
          <w:rFonts w:hint="eastAsia"/>
          <w:sz w:val="30"/>
          <w:szCs w:val="30"/>
        </w:rPr>
      </w:pPr>
      <w:r>
        <w:rPr>
          <w:rFonts w:hint="eastAsia"/>
          <w:sz w:val="30"/>
          <w:szCs w:val="30"/>
        </w:rPr>
        <w:t>然而，并非所有人都同意如何解释它。</w:t>
      </w:r>
    </w:p>
    <w:p w14:paraId="178A6DC4">
      <w:pPr>
        <w:pStyle w:val="9"/>
        <w:spacing w:before="11"/>
        <w:ind w:left="0"/>
        <w:jc w:val="left"/>
        <w:rPr>
          <w:rFonts w:hint="eastAsia"/>
          <w:sz w:val="30"/>
          <w:szCs w:val="30"/>
        </w:rPr>
      </w:pPr>
    </w:p>
    <w:p w14:paraId="76C4866F">
      <w:pPr>
        <w:pStyle w:val="9"/>
        <w:spacing w:before="11"/>
        <w:ind w:left="0"/>
        <w:jc w:val="left"/>
        <w:rPr>
          <w:rFonts w:hint="eastAsia"/>
          <w:sz w:val="30"/>
          <w:szCs w:val="30"/>
        </w:rPr>
      </w:pPr>
      <w:r>
        <w:rPr>
          <w:rFonts w:hint="eastAsia"/>
          <w:sz w:val="30"/>
          <w:szCs w:val="30"/>
        </w:rPr>
        <w:t>Therefore, the great question before us is this: Which method of interpretation—premillennarian literalism or the NCH—yields the most satisfying results?</w:t>
      </w:r>
    </w:p>
    <w:p w14:paraId="5CEA7ADB">
      <w:pPr>
        <w:pStyle w:val="9"/>
        <w:spacing w:before="11"/>
        <w:ind w:left="0"/>
        <w:jc w:val="left"/>
        <w:rPr>
          <w:rFonts w:hint="eastAsia"/>
          <w:sz w:val="30"/>
          <w:szCs w:val="30"/>
        </w:rPr>
      </w:pPr>
      <w:r>
        <w:rPr>
          <w:rFonts w:hint="eastAsia"/>
          <w:sz w:val="30"/>
          <w:szCs w:val="30"/>
        </w:rPr>
        <w:t>因此，摆在我们面前的大问题是：哪种解释方法——前千禧年派的字面主义还是新约解释学（NCH）——能产生最令人满意的结果？</w:t>
      </w:r>
    </w:p>
    <w:p w14:paraId="5AA615F6">
      <w:pPr>
        <w:pStyle w:val="9"/>
        <w:spacing w:before="11"/>
        <w:ind w:left="0"/>
        <w:jc w:val="left"/>
        <w:rPr>
          <w:rFonts w:hint="eastAsia"/>
          <w:sz w:val="30"/>
          <w:szCs w:val="30"/>
        </w:rPr>
      </w:pPr>
    </w:p>
    <w:p w14:paraId="7116E467">
      <w:pPr>
        <w:pStyle w:val="9"/>
        <w:spacing w:before="11"/>
        <w:ind w:left="0"/>
        <w:jc w:val="left"/>
        <w:rPr>
          <w:rFonts w:hint="eastAsia"/>
          <w:sz w:val="30"/>
          <w:szCs w:val="30"/>
        </w:rPr>
      </w:pPr>
      <w:r>
        <w:rPr>
          <w:rFonts w:hint="eastAsia"/>
          <w:sz w:val="30"/>
          <w:szCs w:val="30"/>
        </w:rPr>
        <w:t>In particular, which method best accords with NT eschatology?</w:t>
      </w:r>
    </w:p>
    <w:p w14:paraId="0B9F0F4E">
      <w:pPr>
        <w:pStyle w:val="9"/>
        <w:spacing w:before="11"/>
        <w:ind w:left="0"/>
        <w:jc w:val="left"/>
        <w:rPr>
          <w:rFonts w:hint="eastAsia"/>
          <w:sz w:val="30"/>
          <w:szCs w:val="30"/>
        </w:rPr>
      </w:pPr>
      <w:r>
        <w:rPr>
          <w:rFonts w:hint="eastAsia"/>
          <w:sz w:val="30"/>
          <w:szCs w:val="30"/>
        </w:rPr>
        <w:t>特别是，哪种方法最符合新约的末世论？</w:t>
      </w:r>
    </w:p>
    <w:p w14:paraId="309EBFE1">
      <w:pPr>
        <w:pStyle w:val="9"/>
        <w:spacing w:before="11"/>
        <w:ind w:left="0"/>
        <w:jc w:val="left"/>
        <w:rPr>
          <w:rFonts w:hint="eastAsia"/>
          <w:sz w:val="30"/>
          <w:szCs w:val="30"/>
        </w:rPr>
      </w:pPr>
    </w:p>
    <w:p w14:paraId="521F3C4C">
      <w:pPr>
        <w:pStyle w:val="9"/>
        <w:spacing w:before="11"/>
        <w:ind w:left="0"/>
        <w:jc w:val="left"/>
        <w:rPr>
          <w:rFonts w:hint="eastAsia"/>
          <w:sz w:val="30"/>
          <w:szCs w:val="30"/>
        </w:rPr>
      </w:pPr>
      <w:r>
        <w:rPr>
          <w:rFonts w:hint="eastAsia"/>
          <w:sz w:val="30"/>
          <w:szCs w:val="30"/>
        </w:rPr>
        <w:t>Which produces the simplest, clearest interpretation?</w:t>
      </w:r>
    </w:p>
    <w:p w14:paraId="6CFCE228">
      <w:pPr>
        <w:pStyle w:val="9"/>
        <w:spacing w:before="11"/>
        <w:ind w:left="0"/>
        <w:jc w:val="left"/>
        <w:rPr>
          <w:rFonts w:hint="eastAsia"/>
          <w:sz w:val="30"/>
          <w:szCs w:val="30"/>
        </w:rPr>
      </w:pPr>
      <w:r>
        <w:rPr>
          <w:rFonts w:hint="eastAsia"/>
          <w:sz w:val="30"/>
          <w:szCs w:val="30"/>
        </w:rPr>
        <w:t>哪种方法能产生最简单、最清晰的解释？</w:t>
      </w:r>
    </w:p>
    <w:p w14:paraId="467B7CE7">
      <w:pPr>
        <w:pStyle w:val="9"/>
        <w:spacing w:before="11"/>
        <w:ind w:left="0"/>
        <w:jc w:val="left"/>
        <w:rPr>
          <w:rFonts w:hint="eastAsia"/>
          <w:sz w:val="30"/>
          <w:szCs w:val="30"/>
        </w:rPr>
      </w:pPr>
    </w:p>
    <w:p w14:paraId="31104325">
      <w:pPr>
        <w:pStyle w:val="9"/>
        <w:spacing w:before="11"/>
        <w:ind w:left="0"/>
        <w:jc w:val="left"/>
        <w:rPr>
          <w:rFonts w:hint="eastAsia"/>
          <w:sz w:val="30"/>
          <w:szCs w:val="30"/>
        </w:rPr>
      </w:pPr>
      <w:r>
        <w:rPr>
          <w:rFonts w:hint="eastAsia"/>
          <w:sz w:val="30"/>
          <w:szCs w:val="30"/>
        </w:rPr>
        <w:t>And which best fulfills the stated purpose of all the OT Scriptures, which is that they should give encouragement and hope to the people of the Lord Jesus Christ, upon whom the ends of the ages have come (Rom. 15:4, 1 Cor. 10:11, 1 Peter 1:10-12)?</w:t>
      </w:r>
    </w:p>
    <w:p w14:paraId="326E0BAD">
      <w:pPr>
        <w:pStyle w:val="9"/>
        <w:spacing w:before="11"/>
        <w:ind w:left="0"/>
        <w:jc w:val="left"/>
        <w:rPr>
          <w:rFonts w:hint="eastAsia"/>
          <w:sz w:val="30"/>
          <w:szCs w:val="30"/>
        </w:rPr>
      </w:pPr>
      <w:r>
        <w:rPr>
          <w:rFonts w:hint="eastAsia"/>
          <w:sz w:val="30"/>
          <w:szCs w:val="30"/>
        </w:rPr>
        <w:t>哪种方法最能实现所有旧约圣经所陈明的目的，即它们应当给主耶稣基督的子民鼓励和盼望，因为万世的结局已经临到他们了（罗马书 15:4, 哥林多前书 10:11, 彼得前书 1:10-12）？</w:t>
      </w:r>
    </w:p>
    <w:p w14:paraId="5E042E7E">
      <w:pPr>
        <w:pStyle w:val="9"/>
        <w:spacing w:before="11"/>
        <w:ind w:left="0"/>
        <w:jc w:val="left"/>
        <w:rPr>
          <w:rFonts w:hint="eastAsia"/>
          <w:sz w:val="30"/>
          <w:szCs w:val="30"/>
        </w:rPr>
      </w:pPr>
    </w:p>
    <w:p w14:paraId="4F238D99">
      <w:pPr>
        <w:pStyle w:val="9"/>
        <w:spacing w:before="11"/>
        <w:ind w:left="0"/>
        <w:jc w:val="left"/>
        <w:rPr>
          <w:rFonts w:hint="eastAsia"/>
          <w:sz w:val="30"/>
          <w:szCs w:val="30"/>
        </w:rPr>
      </w:pPr>
      <w:r>
        <w:rPr>
          <w:rFonts w:hint="eastAsia"/>
          <w:sz w:val="30"/>
          <w:szCs w:val="30"/>
        </w:rPr>
        <w:t>Hopefully, our brief journey through this rich chapter will help you answer these crucial questions for yourself.</w:t>
      </w:r>
    </w:p>
    <w:p w14:paraId="14A8B7DA">
      <w:pPr>
        <w:pStyle w:val="9"/>
        <w:spacing w:before="11"/>
        <w:ind w:left="0"/>
        <w:jc w:val="left"/>
        <w:rPr>
          <w:rFonts w:hint="eastAsia"/>
          <w:sz w:val="30"/>
          <w:szCs w:val="30"/>
        </w:rPr>
      </w:pPr>
      <w:r>
        <w:rPr>
          <w:rFonts w:hint="eastAsia"/>
          <w:sz w:val="30"/>
          <w:szCs w:val="30"/>
        </w:rPr>
        <w:t>希望我们对这丰富章节的简短旅程，能帮助你自己回答这些关键问题。</w:t>
      </w:r>
    </w:p>
    <w:p w14:paraId="1A393A86">
      <w:pPr>
        <w:pStyle w:val="9"/>
        <w:spacing w:before="11"/>
        <w:ind w:left="0"/>
        <w:jc w:val="left"/>
        <w:rPr>
          <w:rFonts w:hint="eastAsia"/>
          <w:sz w:val="30"/>
          <w:szCs w:val="30"/>
        </w:rPr>
      </w:pPr>
    </w:p>
    <w:p w14:paraId="50DE1FDA">
      <w:pPr>
        <w:pStyle w:val="9"/>
        <w:spacing w:before="11"/>
        <w:ind w:left="0"/>
        <w:jc w:val="left"/>
        <w:rPr>
          <w:rFonts w:hint="eastAsia"/>
          <w:sz w:val="30"/>
          <w:szCs w:val="30"/>
        </w:rPr>
      </w:pPr>
      <w:r>
        <w:rPr>
          <w:rFonts w:hint="eastAsia"/>
          <w:sz w:val="30"/>
          <w:szCs w:val="30"/>
        </w:rPr>
        <w:t>8.God’s Coming Shepherd-King</w:t>
      </w:r>
    </w:p>
    <w:p w14:paraId="70B34C98">
      <w:pPr>
        <w:pStyle w:val="9"/>
        <w:spacing w:before="11"/>
        <w:ind w:left="0"/>
        <w:jc w:val="left"/>
        <w:rPr>
          <w:rFonts w:hint="eastAsia"/>
          <w:sz w:val="30"/>
          <w:szCs w:val="30"/>
        </w:rPr>
      </w:pPr>
      <w:r>
        <w:rPr>
          <w:rFonts w:hint="eastAsia"/>
          <w:sz w:val="30"/>
          <w:szCs w:val="30"/>
        </w:rPr>
        <w:t>8.上帝将要来临的牧者君王</w:t>
      </w:r>
    </w:p>
    <w:p w14:paraId="31AC4773">
      <w:pPr>
        <w:pStyle w:val="9"/>
        <w:spacing w:before="11"/>
        <w:ind w:left="0"/>
        <w:jc w:val="left"/>
        <w:rPr>
          <w:rFonts w:hint="eastAsia"/>
          <w:sz w:val="30"/>
          <w:szCs w:val="30"/>
        </w:rPr>
      </w:pPr>
    </w:p>
    <w:p w14:paraId="07747DCD">
      <w:pPr>
        <w:pStyle w:val="9"/>
        <w:spacing w:before="11"/>
        <w:ind w:left="0"/>
        <w:jc w:val="left"/>
        <w:rPr>
          <w:rFonts w:hint="eastAsia"/>
          <w:sz w:val="30"/>
          <w:szCs w:val="30"/>
        </w:rPr>
      </w:pPr>
      <w:r>
        <w:rPr>
          <w:rFonts w:hint="eastAsia"/>
          <w:sz w:val="30"/>
          <w:szCs w:val="30"/>
        </w:rPr>
        <w:t>(Jeremiah 23:1-8)</w:t>
      </w:r>
    </w:p>
    <w:p w14:paraId="7D34029A">
      <w:pPr>
        <w:pStyle w:val="9"/>
        <w:spacing w:before="11"/>
        <w:ind w:left="0"/>
        <w:jc w:val="left"/>
        <w:rPr>
          <w:rFonts w:hint="eastAsia"/>
          <w:sz w:val="30"/>
          <w:szCs w:val="30"/>
        </w:rPr>
      </w:pPr>
      <w:r>
        <w:rPr>
          <w:rFonts w:hint="eastAsia"/>
          <w:sz w:val="30"/>
          <w:szCs w:val="30"/>
        </w:rPr>
        <w:t>（耶利米书 23:1-8）</w:t>
      </w:r>
    </w:p>
    <w:p w14:paraId="4D7B938F">
      <w:pPr>
        <w:pStyle w:val="9"/>
        <w:spacing w:before="11"/>
        <w:ind w:left="0"/>
        <w:jc w:val="left"/>
        <w:rPr>
          <w:rFonts w:hint="eastAsia"/>
          <w:sz w:val="30"/>
          <w:szCs w:val="30"/>
        </w:rPr>
      </w:pPr>
    </w:p>
    <w:p w14:paraId="29406ABA">
      <w:pPr>
        <w:pStyle w:val="9"/>
        <w:spacing w:before="11"/>
        <w:ind w:left="0"/>
        <w:jc w:val="left"/>
        <w:rPr>
          <w:rFonts w:hint="eastAsia"/>
          <w:sz w:val="30"/>
          <w:szCs w:val="30"/>
        </w:rPr>
      </w:pPr>
      <w:r>
        <w:rPr>
          <w:rFonts w:hint="eastAsia"/>
          <w:sz w:val="30"/>
          <w:szCs w:val="30"/>
        </w:rPr>
        <w:t>In the course of our journey we have touched on a number of OTKP’s found in the book of Jeremiah, many of which appear in chapters 30-33.</w:t>
      </w:r>
    </w:p>
    <w:p w14:paraId="6D664448">
      <w:pPr>
        <w:pStyle w:val="9"/>
        <w:spacing w:before="11"/>
        <w:ind w:left="0"/>
        <w:jc w:val="left"/>
        <w:rPr>
          <w:rFonts w:hint="eastAsia"/>
          <w:sz w:val="30"/>
          <w:szCs w:val="30"/>
        </w:rPr>
      </w:pPr>
      <w:r>
        <w:rPr>
          <w:rFonts w:hint="eastAsia"/>
          <w:sz w:val="30"/>
          <w:szCs w:val="30"/>
        </w:rPr>
        <w:t>在我们旅程的过程中，我们触及了耶利米书中发现的一些旧约国度预言（OTKP），其中许多出现在第30-33章。</w:t>
      </w:r>
    </w:p>
    <w:p w14:paraId="323E602D">
      <w:pPr>
        <w:pStyle w:val="9"/>
        <w:spacing w:before="11"/>
        <w:ind w:left="0"/>
        <w:jc w:val="left"/>
        <w:rPr>
          <w:rFonts w:hint="eastAsia"/>
          <w:sz w:val="30"/>
          <w:szCs w:val="30"/>
        </w:rPr>
      </w:pPr>
    </w:p>
    <w:p w14:paraId="414F7036">
      <w:pPr>
        <w:pStyle w:val="9"/>
        <w:spacing w:before="11"/>
        <w:ind w:left="0"/>
        <w:jc w:val="left"/>
        <w:rPr>
          <w:rFonts w:hint="eastAsia"/>
          <w:sz w:val="30"/>
          <w:szCs w:val="30"/>
        </w:rPr>
      </w:pPr>
      <w:r>
        <w:rPr>
          <w:rFonts w:hint="eastAsia"/>
          <w:sz w:val="30"/>
          <w:szCs w:val="30"/>
        </w:rPr>
        <w:t>Since Jeremiah 23:1-8—quite popular among premillennarians—gives the gist of them all, we will take a moment to examine it here.11</w:t>
      </w:r>
    </w:p>
    <w:p w14:paraId="679EF03F">
      <w:pPr>
        <w:pStyle w:val="9"/>
        <w:spacing w:before="11"/>
        <w:ind w:left="0"/>
        <w:jc w:val="left"/>
        <w:rPr>
          <w:rFonts w:hint="eastAsia"/>
          <w:sz w:val="30"/>
          <w:szCs w:val="30"/>
        </w:rPr>
      </w:pPr>
      <w:r>
        <w:rPr>
          <w:rFonts w:hint="eastAsia"/>
          <w:sz w:val="30"/>
          <w:szCs w:val="30"/>
        </w:rPr>
        <w:t>由于耶利米书 23:1-8——在前千禧年派中相当流行——概括了它们所有的要点，我们将在这里花点时间来审视它。11</w:t>
      </w:r>
    </w:p>
    <w:p w14:paraId="1D2C24A2">
      <w:pPr>
        <w:pStyle w:val="9"/>
        <w:spacing w:before="11"/>
        <w:ind w:left="0"/>
        <w:jc w:val="left"/>
        <w:rPr>
          <w:rFonts w:hint="eastAsia"/>
          <w:sz w:val="30"/>
          <w:szCs w:val="30"/>
        </w:rPr>
      </w:pPr>
    </w:p>
    <w:p w14:paraId="1D9E9F0D">
      <w:pPr>
        <w:pStyle w:val="9"/>
        <w:spacing w:before="11"/>
        <w:ind w:left="0"/>
        <w:jc w:val="left"/>
        <w:rPr>
          <w:rFonts w:hint="eastAsia"/>
          <w:sz w:val="30"/>
          <w:szCs w:val="30"/>
        </w:rPr>
      </w:pPr>
      <w:r>
        <w:rPr>
          <w:rFonts w:hint="eastAsia"/>
          <w:sz w:val="30"/>
          <w:szCs w:val="30"/>
        </w:rPr>
        <w:t>Woe to the Shepherds (1-2)</w:t>
      </w:r>
    </w:p>
    <w:p w14:paraId="631DC585">
      <w:pPr>
        <w:pStyle w:val="9"/>
        <w:spacing w:before="11"/>
        <w:ind w:left="0"/>
        <w:jc w:val="left"/>
        <w:rPr>
          <w:rFonts w:hint="eastAsia"/>
          <w:sz w:val="30"/>
          <w:szCs w:val="30"/>
        </w:rPr>
      </w:pPr>
      <w:r>
        <w:rPr>
          <w:rFonts w:hint="eastAsia"/>
          <w:sz w:val="30"/>
          <w:szCs w:val="30"/>
        </w:rPr>
        <w:t>祸哉，那些牧人（1-2节）</w:t>
      </w:r>
    </w:p>
    <w:p w14:paraId="1AF7E8A8">
      <w:pPr>
        <w:pStyle w:val="9"/>
        <w:spacing w:before="11"/>
        <w:ind w:left="0"/>
        <w:jc w:val="left"/>
        <w:rPr>
          <w:rFonts w:hint="eastAsia"/>
          <w:sz w:val="30"/>
          <w:szCs w:val="30"/>
        </w:rPr>
      </w:pPr>
    </w:p>
    <w:p w14:paraId="45878AB8">
      <w:pPr>
        <w:pStyle w:val="9"/>
        <w:spacing w:before="11"/>
        <w:ind w:left="0"/>
        <w:jc w:val="left"/>
        <w:rPr>
          <w:rFonts w:hint="eastAsia"/>
          <w:sz w:val="30"/>
          <w:szCs w:val="30"/>
        </w:rPr>
      </w:pPr>
      <w:r>
        <w:rPr>
          <w:rFonts w:hint="eastAsia"/>
          <w:sz w:val="30"/>
          <w:szCs w:val="30"/>
        </w:rPr>
        <w:t>In verses 1-2, God warns of coming judgment against Israel’s faithless leaders, both temporal and spiritual.</w:t>
      </w:r>
    </w:p>
    <w:p w14:paraId="18B55C63">
      <w:pPr>
        <w:pStyle w:val="9"/>
        <w:spacing w:before="11"/>
        <w:ind w:left="0"/>
        <w:jc w:val="left"/>
        <w:rPr>
          <w:rFonts w:hint="eastAsia"/>
          <w:sz w:val="30"/>
          <w:szCs w:val="30"/>
        </w:rPr>
      </w:pPr>
      <w:r>
        <w:rPr>
          <w:rFonts w:hint="eastAsia"/>
          <w:sz w:val="30"/>
          <w:szCs w:val="30"/>
        </w:rPr>
        <w:t>在第1-2节，上帝警告将要来临的审判，针对以色列不忠的领袖，无论是属世的还是属灵的。</w:t>
      </w:r>
    </w:p>
    <w:p w14:paraId="6B3132B2">
      <w:pPr>
        <w:pStyle w:val="9"/>
        <w:spacing w:before="11"/>
        <w:ind w:left="0"/>
        <w:jc w:val="left"/>
        <w:rPr>
          <w:rFonts w:hint="eastAsia"/>
          <w:sz w:val="30"/>
          <w:szCs w:val="30"/>
        </w:rPr>
      </w:pPr>
    </w:p>
    <w:p w14:paraId="38B991C1">
      <w:pPr>
        <w:pStyle w:val="9"/>
        <w:spacing w:before="11"/>
        <w:ind w:left="0"/>
        <w:jc w:val="left"/>
        <w:rPr>
          <w:rFonts w:hint="eastAsia"/>
          <w:sz w:val="30"/>
          <w:szCs w:val="30"/>
        </w:rPr>
      </w:pPr>
      <w:r>
        <w:rPr>
          <w:rFonts w:hint="eastAsia"/>
          <w:sz w:val="30"/>
          <w:szCs w:val="30"/>
        </w:rPr>
        <w:t>Because of their failure properly to shepherd God’s flock, the sheep will soon be scattered among the nations, and they themselves will be punished.</w:t>
      </w:r>
    </w:p>
    <w:p w14:paraId="778B063D">
      <w:pPr>
        <w:pStyle w:val="9"/>
        <w:spacing w:before="11"/>
        <w:ind w:left="0"/>
        <w:jc w:val="left"/>
        <w:rPr>
          <w:rFonts w:hint="eastAsia"/>
          <w:sz w:val="30"/>
          <w:szCs w:val="30"/>
        </w:rPr>
      </w:pPr>
      <w:r>
        <w:rPr>
          <w:rFonts w:hint="eastAsia"/>
          <w:sz w:val="30"/>
          <w:szCs w:val="30"/>
        </w:rPr>
        <w:t>由于他们未能妥善地牧养上帝的羊群，羊很快就要被分散到列国中，他们自己也将受到惩罚。</w:t>
      </w:r>
    </w:p>
    <w:p w14:paraId="306D50F0">
      <w:pPr>
        <w:pStyle w:val="9"/>
        <w:spacing w:before="11"/>
        <w:ind w:left="0"/>
        <w:jc w:val="left"/>
        <w:rPr>
          <w:rFonts w:hint="eastAsia"/>
          <w:sz w:val="30"/>
          <w:szCs w:val="30"/>
        </w:rPr>
      </w:pPr>
    </w:p>
    <w:p w14:paraId="11405A2B">
      <w:pPr>
        <w:pStyle w:val="9"/>
        <w:spacing w:before="11"/>
        <w:ind w:left="0"/>
        <w:jc w:val="left"/>
        <w:rPr>
          <w:rFonts w:hint="eastAsia"/>
          <w:sz w:val="30"/>
          <w:szCs w:val="30"/>
        </w:rPr>
      </w:pPr>
      <w:r>
        <w:rPr>
          <w:rFonts w:hint="eastAsia"/>
          <w:sz w:val="30"/>
          <w:szCs w:val="30"/>
        </w:rPr>
        <w:t>In the near term, the prophecy will be fulfilled by the Babylonian captivity; in the far term, by dispersion at the hands of Rome (cf., Ezek. 34:1f, Zech. 11:1ff).</w:t>
      </w:r>
    </w:p>
    <w:p w14:paraId="56101626">
      <w:pPr>
        <w:pStyle w:val="9"/>
        <w:spacing w:before="11"/>
        <w:ind w:left="0"/>
        <w:jc w:val="left"/>
        <w:rPr>
          <w:rFonts w:hint="eastAsia"/>
          <w:sz w:val="30"/>
          <w:szCs w:val="30"/>
        </w:rPr>
      </w:pPr>
      <w:r>
        <w:rPr>
          <w:rFonts w:hint="eastAsia"/>
          <w:sz w:val="30"/>
          <w:szCs w:val="30"/>
        </w:rPr>
        <w:t>在近期，这个预言将通过巴比伦的被掳而应验；在远期，则通过罗马人之手的分散而应验（参看 以西结书 34:1及后文, 撒迦利亚书 11:1及后文）。</w:t>
      </w:r>
    </w:p>
    <w:p w14:paraId="6148BC59">
      <w:pPr>
        <w:pStyle w:val="9"/>
        <w:spacing w:before="11"/>
        <w:ind w:left="0"/>
        <w:jc w:val="left"/>
        <w:rPr>
          <w:rFonts w:hint="eastAsia"/>
          <w:sz w:val="30"/>
          <w:szCs w:val="30"/>
        </w:rPr>
      </w:pPr>
    </w:p>
    <w:p w14:paraId="1B473ECC">
      <w:pPr>
        <w:pStyle w:val="9"/>
        <w:spacing w:before="11"/>
        <w:ind w:left="0"/>
        <w:jc w:val="left"/>
        <w:rPr>
          <w:rFonts w:hint="eastAsia"/>
          <w:sz w:val="30"/>
          <w:szCs w:val="30"/>
        </w:rPr>
      </w:pPr>
      <w:r>
        <w:rPr>
          <w:rFonts w:hint="eastAsia"/>
          <w:sz w:val="30"/>
          <w:szCs w:val="30"/>
        </w:rPr>
        <w:t>Back of the egregious failures of Israel’s leaders stands the worse failure of Adam, whose sin in Eden drove his whole family into exile in the Domain of Darkness.</w:t>
      </w:r>
    </w:p>
    <w:p w14:paraId="6AC439A4">
      <w:pPr>
        <w:pStyle w:val="9"/>
        <w:spacing w:before="11"/>
        <w:ind w:left="0"/>
        <w:jc w:val="left"/>
        <w:rPr>
          <w:rFonts w:hint="eastAsia"/>
          <w:sz w:val="30"/>
          <w:szCs w:val="30"/>
        </w:rPr>
      </w:pPr>
      <w:r>
        <w:rPr>
          <w:rFonts w:hint="eastAsia"/>
          <w:sz w:val="30"/>
          <w:szCs w:val="30"/>
        </w:rPr>
        <w:t>在以色列领袖们 egregious 失败的背后，站着的是亚当更严重的失败，他在伊甸园的罪将他整个家庭驱逐到黑暗的权势中。</w:t>
      </w:r>
    </w:p>
    <w:p w14:paraId="01E53DF6">
      <w:pPr>
        <w:pStyle w:val="9"/>
        <w:spacing w:before="11"/>
        <w:ind w:left="0"/>
        <w:jc w:val="left"/>
        <w:rPr>
          <w:rFonts w:hint="eastAsia"/>
          <w:sz w:val="30"/>
          <w:szCs w:val="30"/>
        </w:rPr>
      </w:pPr>
    </w:p>
    <w:p w14:paraId="15C8B51B">
      <w:pPr>
        <w:pStyle w:val="9"/>
        <w:spacing w:before="11"/>
        <w:ind w:left="0"/>
        <w:jc w:val="left"/>
        <w:rPr>
          <w:rFonts w:hint="eastAsia"/>
          <w:sz w:val="30"/>
          <w:szCs w:val="30"/>
        </w:rPr>
      </w:pPr>
      <w:r>
        <w:rPr>
          <w:rFonts w:hint="eastAsia"/>
          <w:sz w:val="30"/>
          <w:szCs w:val="30"/>
        </w:rPr>
        <w:t>I Will Gather My Flock (3-4)</w:t>
      </w:r>
    </w:p>
    <w:p w14:paraId="2E333C66">
      <w:pPr>
        <w:pStyle w:val="9"/>
        <w:spacing w:before="11"/>
        <w:ind w:left="0"/>
        <w:jc w:val="left"/>
        <w:rPr>
          <w:rFonts w:hint="eastAsia"/>
          <w:sz w:val="30"/>
          <w:szCs w:val="30"/>
        </w:rPr>
      </w:pPr>
      <w:r>
        <w:rPr>
          <w:rFonts w:hint="eastAsia"/>
          <w:sz w:val="30"/>
          <w:szCs w:val="30"/>
        </w:rPr>
        <w:t>我必招聚我的羊群（3-4节）</w:t>
      </w:r>
    </w:p>
    <w:p w14:paraId="0B1EF5DD">
      <w:pPr>
        <w:pStyle w:val="9"/>
        <w:spacing w:before="11"/>
        <w:ind w:left="0"/>
        <w:jc w:val="left"/>
        <w:rPr>
          <w:rFonts w:hint="eastAsia"/>
          <w:sz w:val="30"/>
          <w:szCs w:val="30"/>
        </w:rPr>
      </w:pPr>
    </w:p>
    <w:p w14:paraId="6EB68321">
      <w:pPr>
        <w:pStyle w:val="9"/>
        <w:spacing w:before="11"/>
        <w:ind w:left="0"/>
        <w:jc w:val="left"/>
        <w:rPr>
          <w:rFonts w:hint="eastAsia"/>
          <w:sz w:val="30"/>
          <w:szCs w:val="30"/>
        </w:rPr>
      </w:pPr>
      <w:r>
        <w:rPr>
          <w:rFonts w:hint="eastAsia"/>
          <w:sz w:val="30"/>
          <w:szCs w:val="30"/>
        </w:rPr>
        <w:t>In verses 3-4, God offers the faithful hope, promising that he will gather the remnant of his flock out of all the countries where he has driven them, give them godly shepherds, and make them fearless and fruitful in the Promised Land.</w:t>
      </w:r>
    </w:p>
    <w:p w14:paraId="1D95B974">
      <w:pPr>
        <w:pStyle w:val="9"/>
        <w:spacing w:before="11"/>
        <w:ind w:left="0"/>
        <w:jc w:val="left"/>
        <w:rPr>
          <w:rFonts w:hint="eastAsia"/>
          <w:sz w:val="30"/>
          <w:szCs w:val="30"/>
        </w:rPr>
      </w:pPr>
      <w:r>
        <w:rPr>
          <w:rFonts w:hint="eastAsia"/>
          <w:sz w:val="30"/>
          <w:szCs w:val="30"/>
        </w:rPr>
        <w:t>在第3-4节，上帝赐给信实的人盼望，应许祂将从祂驱赶他们去的各国中，招聚祂羊群的余民，赐给他们敬虔的牧人，并使他们在应许之地无所畏惧且多结果子。</w:t>
      </w:r>
    </w:p>
    <w:p w14:paraId="671D04DF">
      <w:pPr>
        <w:pStyle w:val="9"/>
        <w:spacing w:before="11"/>
        <w:ind w:left="0"/>
        <w:jc w:val="left"/>
        <w:rPr>
          <w:rFonts w:hint="eastAsia"/>
          <w:sz w:val="30"/>
          <w:szCs w:val="30"/>
        </w:rPr>
      </w:pPr>
    </w:p>
    <w:p w14:paraId="3DF2B0E1">
      <w:pPr>
        <w:pStyle w:val="9"/>
        <w:spacing w:before="11"/>
        <w:ind w:left="0"/>
        <w:jc w:val="left"/>
        <w:rPr>
          <w:rFonts w:hint="eastAsia"/>
          <w:sz w:val="30"/>
          <w:szCs w:val="30"/>
        </w:rPr>
      </w:pPr>
      <w:r>
        <w:rPr>
          <w:rFonts w:hint="eastAsia"/>
          <w:sz w:val="30"/>
          <w:szCs w:val="30"/>
        </w:rPr>
        <w:t>Since they will fear no more, we know the reference here is to “Israel’s” eschatological ingathering (v. 4).</w:t>
      </w:r>
    </w:p>
    <w:p w14:paraId="42E82784">
      <w:pPr>
        <w:pStyle w:val="9"/>
        <w:spacing w:before="11"/>
        <w:ind w:left="0"/>
        <w:jc w:val="left"/>
        <w:rPr>
          <w:rFonts w:hint="eastAsia"/>
          <w:sz w:val="30"/>
          <w:szCs w:val="30"/>
        </w:rPr>
      </w:pPr>
      <w:r>
        <w:rPr>
          <w:rFonts w:hint="eastAsia"/>
          <w:sz w:val="30"/>
          <w:szCs w:val="30"/>
        </w:rPr>
        <w:t>既然他们不再惧怕，我们知道这里的所指是“以色列”的末世性聚集（4节）。</w:t>
      </w:r>
    </w:p>
    <w:p w14:paraId="41280584">
      <w:pPr>
        <w:pStyle w:val="9"/>
        <w:spacing w:before="11"/>
        <w:ind w:left="0"/>
        <w:jc w:val="left"/>
        <w:rPr>
          <w:rFonts w:hint="eastAsia"/>
          <w:sz w:val="30"/>
          <w:szCs w:val="30"/>
        </w:rPr>
      </w:pPr>
    </w:p>
    <w:p w14:paraId="1AF38E89">
      <w:pPr>
        <w:pStyle w:val="9"/>
        <w:spacing w:before="11"/>
        <w:ind w:left="0"/>
        <w:jc w:val="left"/>
        <w:rPr>
          <w:rFonts w:hint="eastAsia"/>
          <w:sz w:val="30"/>
          <w:szCs w:val="30"/>
        </w:rPr>
      </w:pPr>
      <w:r>
        <w:rPr>
          <w:rFonts w:hint="eastAsia"/>
          <w:sz w:val="30"/>
          <w:szCs w:val="30"/>
        </w:rPr>
        <w:t>With the help of the NCH, we can see how this OTKP is fulfilled.</w:t>
      </w:r>
    </w:p>
    <w:p w14:paraId="642DAAE4">
      <w:pPr>
        <w:pStyle w:val="9"/>
        <w:spacing w:before="11"/>
        <w:ind w:left="0"/>
        <w:jc w:val="left"/>
        <w:rPr>
          <w:rFonts w:hint="eastAsia"/>
          <w:sz w:val="30"/>
          <w:szCs w:val="30"/>
        </w:rPr>
      </w:pPr>
      <w:r>
        <w:rPr>
          <w:rFonts w:hint="eastAsia"/>
          <w:sz w:val="30"/>
          <w:szCs w:val="30"/>
        </w:rPr>
        <w:t>在新约解释学（NCH）的帮助下，我们可以看到这个旧约国度预言（OTKP）是如何应验的。</w:t>
      </w:r>
    </w:p>
    <w:p w14:paraId="72DD8C39">
      <w:pPr>
        <w:pStyle w:val="9"/>
        <w:spacing w:before="11"/>
        <w:ind w:left="0"/>
        <w:jc w:val="left"/>
        <w:rPr>
          <w:rFonts w:hint="eastAsia"/>
          <w:sz w:val="30"/>
          <w:szCs w:val="30"/>
        </w:rPr>
      </w:pPr>
    </w:p>
    <w:p w14:paraId="7000127C">
      <w:pPr>
        <w:pStyle w:val="9"/>
        <w:spacing w:before="11"/>
        <w:ind w:left="0"/>
        <w:jc w:val="left"/>
        <w:rPr>
          <w:rFonts w:hint="eastAsia"/>
          <w:sz w:val="30"/>
          <w:szCs w:val="30"/>
        </w:rPr>
      </w:pPr>
      <w:r>
        <w:rPr>
          <w:rFonts w:hint="eastAsia"/>
          <w:sz w:val="30"/>
          <w:szCs w:val="30"/>
        </w:rPr>
        <w:t>On the one hand, it is fulfilled among elect Jews who, in the last days, will turn to Christ, and so inherit all the blessings of the Kingdom.</w:t>
      </w:r>
    </w:p>
    <w:p w14:paraId="09BB88C1">
      <w:pPr>
        <w:pStyle w:val="9"/>
        <w:spacing w:before="11"/>
        <w:ind w:left="0"/>
        <w:jc w:val="left"/>
        <w:rPr>
          <w:rFonts w:hint="eastAsia"/>
          <w:sz w:val="30"/>
          <w:szCs w:val="30"/>
        </w:rPr>
      </w:pPr>
      <w:r>
        <w:rPr>
          <w:rFonts w:hint="eastAsia"/>
          <w:sz w:val="30"/>
          <w:szCs w:val="30"/>
        </w:rPr>
        <w:t>一方面，它在蒙拣选的犹太人中应验，他们在末后的日子将归向基督，从而继承国度的一切祝福。</w:t>
      </w:r>
    </w:p>
    <w:p w14:paraId="4D5BD5FB">
      <w:pPr>
        <w:pStyle w:val="9"/>
        <w:spacing w:before="11"/>
        <w:ind w:left="0"/>
        <w:jc w:val="left"/>
        <w:rPr>
          <w:rFonts w:hint="eastAsia"/>
          <w:sz w:val="30"/>
          <w:szCs w:val="30"/>
        </w:rPr>
      </w:pPr>
    </w:p>
    <w:p w14:paraId="25D5109A">
      <w:pPr>
        <w:pStyle w:val="9"/>
        <w:spacing w:before="11"/>
        <w:ind w:left="0"/>
        <w:jc w:val="left"/>
        <w:rPr>
          <w:rFonts w:hint="eastAsia"/>
          <w:sz w:val="30"/>
          <w:szCs w:val="30"/>
        </w:rPr>
      </w:pPr>
      <w:r>
        <w:rPr>
          <w:rFonts w:hint="eastAsia"/>
          <w:sz w:val="30"/>
          <w:szCs w:val="30"/>
        </w:rPr>
        <w:t>On the other, it is also fulfilled among elect Gentiles who will do the same.</w:t>
      </w:r>
    </w:p>
    <w:p w14:paraId="7A24D3D7">
      <w:pPr>
        <w:pStyle w:val="9"/>
        <w:spacing w:before="11"/>
        <w:ind w:left="0"/>
        <w:jc w:val="left"/>
        <w:rPr>
          <w:rFonts w:hint="eastAsia"/>
          <w:sz w:val="30"/>
          <w:szCs w:val="30"/>
        </w:rPr>
      </w:pPr>
      <w:r>
        <w:rPr>
          <w:rFonts w:hint="eastAsia"/>
          <w:sz w:val="30"/>
          <w:szCs w:val="30"/>
        </w:rPr>
        <w:t>另一方面，它也在将做同样事情的蒙拣选的外邦人中应验。</w:t>
      </w:r>
    </w:p>
    <w:p w14:paraId="6A668D47">
      <w:pPr>
        <w:pStyle w:val="9"/>
        <w:spacing w:before="11"/>
        <w:ind w:left="0"/>
        <w:jc w:val="left"/>
        <w:rPr>
          <w:rFonts w:hint="eastAsia"/>
          <w:sz w:val="30"/>
          <w:szCs w:val="30"/>
        </w:rPr>
      </w:pPr>
    </w:p>
    <w:p w14:paraId="21542BA3">
      <w:pPr>
        <w:pStyle w:val="9"/>
        <w:spacing w:before="11"/>
        <w:ind w:left="0"/>
        <w:jc w:val="left"/>
        <w:rPr>
          <w:rFonts w:hint="eastAsia"/>
          <w:sz w:val="30"/>
          <w:szCs w:val="30"/>
        </w:rPr>
      </w:pPr>
      <w:r>
        <w:rPr>
          <w:rFonts w:hint="eastAsia"/>
          <w:sz w:val="30"/>
          <w:szCs w:val="30"/>
        </w:rPr>
        <w:t>Both are “remnants”—some from Israel, all from Adam’s fallen race.</w:t>
      </w:r>
    </w:p>
    <w:p w14:paraId="2933D8E4">
      <w:pPr>
        <w:pStyle w:val="9"/>
        <w:spacing w:before="11"/>
        <w:ind w:left="0"/>
        <w:jc w:val="left"/>
        <w:rPr>
          <w:rFonts w:hint="eastAsia"/>
          <w:sz w:val="30"/>
          <w:szCs w:val="30"/>
        </w:rPr>
      </w:pPr>
      <w:r>
        <w:rPr>
          <w:rFonts w:hint="eastAsia"/>
          <w:sz w:val="30"/>
          <w:szCs w:val="30"/>
        </w:rPr>
        <w:t>两者都是“余民”——有些来自以色列，所有都来自亚当堕落的后裔。</w:t>
      </w:r>
    </w:p>
    <w:p w14:paraId="7BC1E7F3">
      <w:pPr>
        <w:pStyle w:val="9"/>
        <w:spacing w:before="11"/>
        <w:ind w:left="0"/>
        <w:jc w:val="left"/>
        <w:rPr>
          <w:rFonts w:hint="eastAsia"/>
          <w:sz w:val="30"/>
          <w:szCs w:val="30"/>
        </w:rPr>
      </w:pPr>
    </w:p>
    <w:p w14:paraId="117575C8">
      <w:pPr>
        <w:pStyle w:val="9"/>
        <w:spacing w:before="11"/>
        <w:ind w:left="0"/>
        <w:jc w:val="left"/>
        <w:rPr>
          <w:rFonts w:hint="eastAsia"/>
          <w:sz w:val="30"/>
          <w:szCs w:val="30"/>
        </w:rPr>
      </w:pPr>
      <w:r>
        <w:rPr>
          <w:rFonts w:hint="eastAsia"/>
          <w:sz w:val="30"/>
          <w:szCs w:val="30"/>
        </w:rPr>
        <w:t>Both, because of sin, have gone into exile—some from Palestine, all from Eden.</w:t>
      </w:r>
    </w:p>
    <w:p w14:paraId="60C4FF25">
      <w:pPr>
        <w:pStyle w:val="9"/>
        <w:spacing w:before="11"/>
        <w:ind w:left="0"/>
        <w:jc w:val="left"/>
        <w:rPr>
          <w:rFonts w:hint="eastAsia"/>
          <w:sz w:val="30"/>
          <w:szCs w:val="30"/>
        </w:rPr>
      </w:pPr>
      <w:r>
        <w:rPr>
          <w:rFonts w:hint="eastAsia"/>
          <w:sz w:val="30"/>
          <w:szCs w:val="30"/>
        </w:rPr>
        <w:t>两者，都因罪而流亡——有些从巴勒斯坦，所有都从伊甸园。</w:t>
      </w:r>
    </w:p>
    <w:p w14:paraId="3E7BDE8F">
      <w:pPr>
        <w:pStyle w:val="9"/>
        <w:spacing w:before="11"/>
        <w:ind w:left="0"/>
        <w:jc w:val="left"/>
        <w:rPr>
          <w:rFonts w:hint="eastAsia"/>
          <w:sz w:val="30"/>
          <w:szCs w:val="30"/>
        </w:rPr>
      </w:pPr>
    </w:p>
    <w:p w14:paraId="5B3C7D45">
      <w:pPr>
        <w:pStyle w:val="9"/>
        <w:spacing w:before="11"/>
        <w:ind w:left="0"/>
        <w:jc w:val="left"/>
        <w:rPr>
          <w:rFonts w:hint="eastAsia"/>
          <w:sz w:val="30"/>
          <w:szCs w:val="30"/>
        </w:rPr>
      </w:pPr>
      <w:r>
        <w:rPr>
          <w:rFonts w:hint="eastAsia"/>
          <w:sz w:val="30"/>
          <w:szCs w:val="30"/>
        </w:rPr>
        <w:t>But both, because of God’s sovereign grace, will be gathered into Christ for eternal life in their eschatological homeland.</w:t>
      </w:r>
    </w:p>
    <w:p w14:paraId="6A338892">
      <w:pPr>
        <w:pStyle w:val="9"/>
        <w:spacing w:before="11"/>
        <w:ind w:left="0"/>
        <w:jc w:val="left"/>
        <w:rPr>
          <w:rFonts w:hint="eastAsia"/>
          <w:sz w:val="30"/>
          <w:szCs w:val="30"/>
        </w:rPr>
      </w:pPr>
      <w:r>
        <w:rPr>
          <w:rFonts w:hint="eastAsia"/>
          <w:sz w:val="30"/>
          <w:szCs w:val="30"/>
        </w:rPr>
        <w:t>但两者，都因上帝主权的恩典，将被聚集到基督里，在他们末世的家园中得永生。</w:t>
      </w:r>
    </w:p>
    <w:p w14:paraId="4F03C192">
      <w:pPr>
        <w:pStyle w:val="9"/>
        <w:spacing w:before="11"/>
        <w:ind w:left="0"/>
        <w:jc w:val="left"/>
        <w:rPr>
          <w:rFonts w:hint="eastAsia"/>
          <w:sz w:val="30"/>
          <w:szCs w:val="30"/>
        </w:rPr>
      </w:pPr>
    </w:p>
    <w:p w14:paraId="604458F5">
      <w:pPr>
        <w:pStyle w:val="9"/>
        <w:spacing w:before="11"/>
        <w:ind w:left="0"/>
        <w:jc w:val="left"/>
        <w:rPr>
          <w:rFonts w:hint="eastAsia"/>
          <w:sz w:val="30"/>
          <w:szCs w:val="30"/>
        </w:rPr>
      </w:pPr>
      <w:r>
        <w:rPr>
          <w:rFonts w:hint="eastAsia"/>
          <w:sz w:val="30"/>
          <w:szCs w:val="30"/>
        </w:rPr>
        <w:t>David’s Righteous Branch (5-6)</w:t>
      </w:r>
    </w:p>
    <w:p w14:paraId="62314061">
      <w:pPr>
        <w:pStyle w:val="9"/>
        <w:spacing w:before="11"/>
        <w:ind w:left="0"/>
        <w:jc w:val="left"/>
        <w:rPr>
          <w:rFonts w:hint="eastAsia"/>
          <w:sz w:val="30"/>
          <w:szCs w:val="30"/>
        </w:rPr>
      </w:pPr>
      <w:r>
        <w:rPr>
          <w:rFonts w:hint="eastAsia"/>
          <w:sz w:val="30"/>
          <w:szCs w:val="30"/>
        </w:rPr>
        <w:t>大卫公义的苗裔（5-6节）</w:t>
      </w:r>
    </w:p>
    <w:p w14:paraId="023304A4">
      <w:pPr>
        <w:pStyle w:val="9"/>
        <w:spacing w:before="11"/>
        <w:ind w:left="0"/>
        <w:jc w:val="left"/>
        <w:rPr>
          <w:rFonts w:hint="eastAsia"/>
          <w:sz w:val="30"/>
          <w:szCs w:val="30"/>
        </w:rPr>
      </w:pPr>
    </w:p>
    <w:p w14:paraId="7DB35CD9">
      <w:pPr>
        <w:pStyle w:val="9"/>
        <w:spacing w:before="11"/>
        <w:ind w:left="0"/>
        <w:jc w:val="left"/>
        <w:rPr>
          <w:rFonts w:hint="eastAsia"/>
          <w:sz w:val="30"/>
          <w:szCs w:val="30"/>
        </w:rPr>
      </w:pPr>
      <w:r>
        <w:rPr>
          <w:rFonts w:hint="eastAsia"/>
          <w:sz w:val="30"/>
          <w:szCs w:val="30"/>
        </w:rPr>
        <w:t>In verses 5-6, God speaks of a divine/human Agent, through whom he will grant these ultimate covenant blessings to the holy nation (1 Peter 2:9).</w:t>
      </w:r>
    </w:p>
    <w:p w14:paraId="2DBFF628">
      <w:pPr>
        <w:pStyle w:val="9"/>
        <w:spacing w:before="11"/>
        <w:ind w:left="0"/>
        <w:jc w:val="left"/>
        <w:rPr>
          <w:rFonts w:hint="eastAsia"/>
          <w:sz w:val="30"/>
          <w:szCs w:val="30"/>
        </w:rPr>
      </w:pPr>
      <w:r>
        <w:rPr>
          <w:rFonts w:hint="eastAsia"/>
          <w:sz w:val="30"/>
          <w:szCs w:val="30"/>
        </w:rPr>
        <w:t>在第5-6节，上帝谈到一位神人中保，祂将通过祂将这些终极的圣约祝福赐给圣洁的国度（彼得前书 2:9）。</w:t>
      </w:r>
    </w:p>
    <w:p w14:paraId="62582BA9">
      <w:pPr>
        <w:pStyle w:val="9"/>
        <w:spacing w:before="11"/>
        <w:ind w:left="0"/>
        <w:jc w:val="left"/>
        <w:rPr>
          <w:rFonts w:hint="eastAsia"/>
          <w:sz w:val="30"/>
          <w:szCs w:val="30"/>
        </w:rPr>
      </w:pPr>
    </w:p>
    <w:p w14:paraId="61B84098">
      <w:pPr>
        <w:pStyle w:val="9"/>
        <w:spacing w:before="11"/>
        <w:ind w:left="0"/>
        <w:jc w:val="left"/>
        <w:rPr>
          <w:rFonts w:hint="eastAsia"/>
          <w:sz w:val="30"/>
          <w:szCs w:val="30"/>
        </w:rPr>
      </w:pPr>
      <w:r>
        <w:rPr>
          <w:rFonts w:hint="eastAsia"/>
          <w:sz w:val="30"/>
          <w:szCs w:val="30"/>
        </w:rPr>
        <w:t>In fulfillment of his ancient promise to David, he will raise up a righteous Branch from (the line) of David: the Messiah, the Lord Jesus Christ (Mt. 1:1, Luke 1:32, 69).</w:t>
      </w:r>
    </w:p>
    <w:p w14:paraId="3257EDC9">
      <w:pPr>
        <w:pStyle w:val="9"/>
        <w:spacing w:before="11"/>
        <w:ind w:left="0"/>
        <w:jc w:val="left"/>
        <w:rPr>
          <w:rFonts w:hint="eastAsia"/>
          <w:sz w:val="30"/>
          <w:szCs w:val="30"/>
        </w:rPr>
      </w:pPr>
      <w:r>
        <w:rPr>
          <w:rFonts w:hint="eastAsia"/>
          <w:sz w:val="30"/>
          <w:szCs w:val="30"/>
        </w:rPr>
        <w:t>为应验祂对大卫的古老应许，祂将从大卫的（后裔）中兴起一个公义的苗裔：弥赛亚，主耶稣基督（马太福音 1:1, 路加福音 1:32, 69）。</w:t>
      </w:r>
    </w:p>
    <w:p w14:paraId="5D291ED7">
      <w:pPr>
        <w:pStyle w:val="9"/>
        <w:spacing w:before="11"/>
        <w:ind w:left="0"/>
        <w:jc w:val="left"/>
        <w:rPr>
          <w:rFonts w:hint="eastAsia"/>
          <w:sz w:val="30"/>
          <w:szCs w:val="30"/>
        </w:rPr>
      </w:pPr>
    </w:p>
    <w:p w14:paraId="0095C0CD">
      <w:pPr>
        <w:pStyle w:val="9"/>
        <w:spacing w:before="11"/>
        <w:ind w:left="0"/>
        <w:jc w:val="left"/>
        <w:rPr>
          <w:rFonts w:hint="eastAsia"/>
          <w:sz w:val="30"/>
          <w:szCs w:val="30"/>
        </w:rPr>
      </w:pPr>
      <w:r>
        <w:rPr>
          <w:rFonts w:hint="eastAsia"/>
          <w:sz w:val="30"/>
          <w:szCs w:val="30"/>
        </w:rPr>
        <w:t>He will be a King whose righteous reign overspreads the whole land, a promise fulfilled in Christ, whose heavenly reign overspreads the whole earth through the preaching of the Gospel during the Era of Proclamation (Mt. 13:31-33, Acts 1:8, Col. 1:6, Rev. 5:9).</w:t>
      </w:r>
    </w:p>
    <w:p w14:paraId="2F0A98FD">
      <w:pPr>
        <w:pStyle w:val="9"/>
        <w:spacing w:before="11"/>
        <w:ind w:left="0"/>
        <w:jc w:val="left"/>
        <w:rPr>
          <w:rFonts w:hint="eastAsia"/>
          <w:sz w:val="30"/>
          <w:szCs w:val="30"/>
        </w:rPr>
      </w:pPr>
      <w:r>
        <w:rPr>
          <w:rFonts w:hint="eastAsia"/>
          <w:sz w:val="30"/>
          <w:szCs w:val="30"/>
        </w:rPr>
        <w:t>祂将是一位君王，祂公义的统治将遍及全地，这个应许在基督里得到应验，祂属天的统治在宣讲的时代通过传讲福音而遍及全球（马太福音 13:31-33, 使徒行传 1:8, 歌罗西书 1:6, 启示录 5:9）。</w:t>
      </w:r>
    </w:p>
    <w:p w14:paraId="16B30D51">
      <w:pPr>
        <w:pStyle w:val="9"/>
        <w:spacing w:before="11"/>
        <w:ind w:left="0"/>
        <w:jc w:val="left"/>
        <w:rPr>
          <w:rFonts w:hint="eastAsia"/>
          <w:sz w:val="30"/>
          <w:szCs w:val="30"/>
        </w:rPr>
      </w:pPr>
    </w:p>
    <w:p w14:paraId="6408D1A4">
      <w:pPr>
        <w:pStyle w:val="9"/>
        <w:spacing w:before="11"/>
        <w:ind w:left="0"/>
        <w:jc w:val="left"/>
        <w:rPr>
          <w:rFonts w:hint="eastAsia"/>
          <w:sz w:val="30"/>
          <w:szCs w:val="30"/>
        </w:rPr>
      </w:pPr>
      <w:r>
        <w:rPr>
          <w:rFonts w:hint="eastAsia"/>
          <w:sz w:val="30"/>
          <w:szCs w:val="30"/>
        </w:rPr>
        <w:t>Whether from his throne above, or at his Parousia, he is the One appointed by God to execute judgment and righteousness in the earth (v. 5; Mt. 28:18, John 5:22, Acts 17:31).</w:t>
      </w:r>
    </w:p>
    <w:p w14:paraId="464B66DB">
      <w:pPr>
        <w:pStyle w:val="9"/>
        <w:spacing w:before="11"/>
        <w:ind w:left="0"/>
        <w:jc w:val="left"/>
        <w:rPr>
          <w:rFonts w:hint="eastAsia"/>
          <w:sz w:val="30"/>
          <w:szCs w:val="30"/>
        </w:rPr>
      </w:pPr>
      <w:r>
        <w:rPr>
          <w:rFonts w:hint="eastAsia"/>
          <w:sz w:val="30"/>
          <w:szCs w:val="30"/>
        </w:rPr>
        <w:t>无论是从祂天上的宝座，还是在祂的第二次降临时，祂都是上帝所指派的那一位，要在地上施行审判和公义（5节；马太福音 28:18, 约翰福音 5:22, 使徒行传 17:31）。</w:t>
      </w:r>
    </w:p>
    <w:p w14:paraId="399EC026">
      <w:pPr>
        <w:pStyle w:val="9"/>
        <w:spacing w:before="11"/>
        <w:ind w:left="0"/>
        <w:jc w:val="left"/>
        <w:rPr>
          <w:rFonts w:hint="eastAsia"/>
          <w:sz w:val="30"/>
          <w:szCs w:val="30"/>
        </w:rPr>
      </w:pPr>
    </w:p>
    <w:p w14:paraId="3753F55E">
      <w:pPr>
        <w:pStyle w:val="9"/>
        <w:spacing w:before="11"/>
        <w:ind w:left="0"/>
        <w:jc w:val="left"/>
        <w:rPr>
          <w:rFonts w:hint="eastAsia"/>
          <w:sz w:val="30"/>
          <w:szCs w:val="30"/>
        </w:rPr>
      </w:pPr>
      <w:r>
        <w:rPr>
          <w:rFonts w:hint="eastAsia"/>
          <w:sz w:val="30"/>
          <w:szCs w:val="30"/>
        </w:rPr>
        <w:t>In his days, Judah and Israel—both of which stand as types of the Church, the one as God’s (Messianic) Tribe, the other as his Family and Nation—will dwell securely in the only true ark of safety, Jesus Christ (John 10:28-29, Eph. 2:14-18, Heb. 6:8).</w:t>
      </w:r>
    </w:p>
    <w:p w14:paraId="2E31F462">
      <w:pPr>
        <w:pStyle w:val="9"/>
        <w:spacing w:before="11"/>
        <w:ind w:left="0"/>
        <w:jc w:val="left"/>
        <w:rPr>
          <w:rFonts w:hint="eastAsia"/>
          <w:sz w:val="30"/>
          <w:szCs w:val="30"/>
        </w:rPr>
      </w:pPr>
      <w:r>
        <w:rPr>
          <w:rFonts w:hint="eastAsia"/>
          <w:sz w:val="30"/>
          <w:szCs w:val="30"/>
        </w:rPr>
        <w:t>在祂的日子里，犹大和以色列——两者都作为教会的预表，一个是上帝的（弥赛亚的）支派，另一个是祂的家庭和国家——将安全地居住在唯一的真方舟，即耶稣基督里（约翰福音 10:28-29, 以弗所书 2:14-18, 希伯来书 6:18）。</w:t>
      </w:r>
    </w:p>
    <w:p w14:paraId="2B2E9328">
      <w:pPr>
        <w:pStyle w:val="9"/>
        <w:spacing w:before="11"/>
        <w:ind w:left="0"/>
        <w:jc w:val="left"/>
        <w:rPr>
          <w:rFonts w:hint="eastAsia"/>
          <w:sz w:val="30"/>
          <w:szCs w:val="30"/>
        </w:rPr>
      </w:pPr>
    </w:p>
    <w:p w14:paraId="445075EB">
      <w:pPr>
        <w:pStyle w:val="9"/>
        <w:spacing w:before="11"/>
        <w:ind w:left="0"/>
        <w:jc w:val="left"/>
        <w:rPr>
          <w:rFonts w:hint="eastAsia"/>
          <w:sz w:val="30"/>
          <w:szCs w:val="30"/>
        </w:rPr>
      </w:pPr>
      <w:r>
        <w:rPr>
          <w:rFonts w:hint="eastAsia"/>
          <w:sz w:val="30"/>
          <w:szCs w:val="30"/>
        </w:rPr>
        <w:t>And why will they stand?</w:t>
      </w:r>
    </w:p>
    <w:p w14:paraId="45B15D23">
      <w:pPr>
        <w:pStyle w:val="9"/>
        <w:spacing w:before="11"/>
        <w:ind w:left="0"/>
        <w:jc w:val="left"/>
        <w:rPr>
          <w:rFonts w:hint="eastAsia"/>
          <w:sz w:val="30"/>
          <w:szCs w:val="30"/>
        </w:rPr>
      </w:pPr>
      <w:r>
        <w:rPr>
          <w:rFonts w:hint="eastAsia"/>
          <w:sz w:val="30"/>
          <w:szCs w:val="30"/>
        </w:rPr>
        <w:t>他们为何能站立得住？</w:t>
      </w:r>
    </w:p>
    <w:p w14:paraId="6585F401">
      <w:pPr>
        <w:pStyle w:val="9"/>
        <w:spacing w:before="11"/>
        <w:ind w:left="0"/>
        <w:jc w:val="left"/>
        <w:rPr>
          <w:rFonts w:hint="eastAsia"/>
          <w:sz w:val="30"/>
          <w:szCs w:val="30"/>
        </w:rPr>
      </w:pPr>
    </w:p>
    <w:p w14:paraId="72B667E7">
      <w:pPr>
        <w:pStyle w:val="9"/>
        <w:spacing w:before="11"/>
        <w:ind w:left="0"/>
        <w:jc w:val="left"/>
        <w:rPr>
          <w:rFonts w:hint="eastAsia"/>
          <w:sz w:val="30"/>
          <w:szCs w:val="30"/>
        </w:rPr>
      </w:pPr>
      <w:r>
        <w:rPr>
          <w:rFonts w:hint="eastAsia"/>
          <w:sz w:val="30"/>
          <w:szCs w:val="30"/>
        </w:rPr>
        <w:t>They will stand because the perfect righteousness of the Righteous One will be imputed to all who call upon him as Lord (John 16:8, 10, Acts 3:14, Rom. 3:21-22, 10:9-13, 1 Cor. 1:30).</w:t>
      </w:r>
    </w:p>
    <w:p w14:paraId="56330454">
      <w:pPr>
        <w:pStyle w:val="9"/>
        <w:spacing w:before="11"/>
        <w:ind w:left="0"/>
        <w:jc w:val="left"/>
        <w:rPr>
          <w:rFonts w:hint="eastAsia"/>
          <w:sz w:val="30"/>
          <w:szCs w:val="30"/>
        </w:rPr>
      </w:pPr>
      <w:r>
        <w:rPr>
          <w:rFonts w:hint="eastAsia"/>
          <w:sz w:val="30"/>
          <w:szCs w:val="30"/>
        </w:rPr>
        <w:t>他们能站立，是因为那位义者的完全公义将被归算给所有称祂为主的人（约翰福音 16:8, 10, 使徒行传 3:14, 罗马书 3:21-22, 10:9-13, 哥林多前书 1:30）。</w:t>
      </w:r>
    </w:p>
    <w:p w14:paraId="4192BBC3">
      <w:pPr>
        <w:pStyle w:val="9"/>
        <w:spacing w:before="11"/>
        <w:ind w:left="0"/>
        <w:jc w:val="left"/>
        <w:rPr>
          <w:rFonts w:hint="eastAsia"/>
          <w:sz w:val="30"/>
          <w:szCs w:val="30"/>
        </w:rPr>
      </w:pPr>
    </w:p>
    <w:p w14:paraId="16BEEE18">
      <w:pPr>
        <w:pStyle w:val="9"/>
        <w:spacing w:before="11"/>
        <w:ind w:left="0"/>
        <w:jc w:val="left"/>
        <w:rPr>
          <w:rFonts w:hint="eastAsia"/>
          <w:sz w:val="30"/>
          <w:szCs w:val="30"/>
        </w:rPr>
      </w:pPr>
      <w:r>
        <w:rPr>
          <w:rFonts w:hint="eastAsia"/>
          <w:sz w:val="30"/>
          <w:szCs w:val="30"/>
        </w:rPr>
        <w:t>A Second Exodus (7-8)</w:t>
      </w:r>
    </w:p>
    <w:p w14:paraId="59B7527E">
      <w:pPr>
        <w:pStyle w:val="9"/>
        <w:spacing w:before="11"/>
        <w:ind w:left="0"/>
        <w:jc w:val="left"/>
        <w:rPr>
          <w:rFonts w:hint="eastAsia"/>
          <w:sz w:val="30"/>
          <w:szCs w:val="30"/>
        </w:rPr>
      </w:pPr>
      <w:r>
        <w:rPr>
          <w:rFonts w:hint="eastAsia"/>
          <w:sz w:val="30"/>
          <w:szCs w:val="30"/>
        </w:rPr>
        <w:t>第二次出埃及（7-8节）</w:t>
      </w:r>
    </w:p>
    <w:p w14:paraId="7B1915E0">
      <w:pPr>
        <w:pStyle w:val="9"/>
        <w:spacing w:before="11"/>
        <w:ind w:left="0"/>
        <w:jc w:val="left"/>
        <w:rPr>
          <w:rFonts w:hint="eastAsia"/>
          <w:sz w:val="30"/>
          <w:szCs w:val="30"/>
        </w:rPr>
      </w:pPr>
    </w:p>
    <w:p w14:paraId="5A41B2D0">
      <w:pPr>
        <w:pStyle w:val="9"/>
        <w:spacing w:before="11"/>
        <w:ind w:left="0"/>
        <w:jc w:val="left"/>
        <w:rPr>
          <w:rFonts w:hint="eastAsia"/>
          <w:sz w:val="30"/>
          <w:szCs w:val="30"/>
        </w:rPr>
      </w:pPr>
      <w:r>
        <w:rPr>
          <w:rFonts w:hint="eastAsia"/>
          <w:sz w:val="30"/>
          <w:szCs w:val="30"/>
        </w:rPr>
        <w:t>In verses 7-8, God takes up a favored prophetic motif, casting the great eschatological ingathering as a Second Exodus.</w:t>
      </w:r>
    </w:p>
    <w:p w14:paraId="3B754C06">
      <w:pPr>
        <w:pStyle w:val="9"/>
        <w:spacing w:before="11"/>
        <w:ind w:left="0"/>
        <w:jc w:val="left"/>
        <w:rPr>
          <w:rFonts w:hint="eastAsia"/>
          <w:sz w:val="30"/>
          <w:szCs w:val="30"/>
        </w:rPr>
      </w:pPr>
      <w:r>
        <w:rPr>
          <w:rFonts w:hint="eastAsia"/>
          <w:sz w:val="30"/>
          <w:szCs w:val="30"/>
        </w:rPr>
        <w:t>在第7-8节，上帝采用了一个受人喜爱的预言主题，将伟大的末世聚集描绘成第二次出埃及。</w:t>
      </w:r>
    </w:p>
    <w:p w14:paraId="07177FD1">
      <w:pPr>
        <w:pStyle w:val="9"/>
        <w:spacing w:before="11"/>
        <w:ind w:left="0"/>
        <w:jc w:val="left"/>
        <w:rPr>
          <w:rFonts w:hint="eastAsia"/>
          <w:sz w:val="30"/>
          <w:szCs w:val="30"/>
        </w:rPr>
      </w:pPr>
    </w:p>
    <w:p w14:paraId="2B74037C">
      <w:pPr>
        <w:pStyle w:val="9"/>
        <w:spacing w:before="11"/>
        <w:ind w:left="0"/>
        <w:jc w:val="left"/>
        <w:rPr>
          <w:rFonts w:hint="eastAsia"/>
          <w:sz w:val="30"/>
          <w:szCs w:val="30"/>
        </w:rPr>
      </w:pPr>
      <w:r>
        <w:rPr>
          <w:rFonts w:hint="eastAsia"/>
          <w:sz w:val="30"/>
          <w:szCs w:val="30"/>
        </w:rPr>
        <w:t>These beautiful words, full of praise for God’s sovereign grace, can and will be spoken by all Christ’s saints, whether Jew or Gentile.</w:t>
      </w:r>
    </w:p>
    <w:p w14:paraId="3BE26C46">
      <w:pPr>
        <w:pStyle w:val="9"/>
        <w:spacing w:before="11"/>
        <w:ind w:left="0"/>
        <w:jc w:val="left"/>
        <w:rPr>
          <w:rFonts w:hint="eastAsia"/>
          <w:sz w:val="30"/>
          <w:szCs w:val="30"/>
        </w:rPr>
      </w:pPr>
      <w:r>
        <w:rPr>
          <w:rFonts w:hint="eastAsia"/>
          <w:sz w:val="30"/>
          <w:szCs w:val="30"/>
        </w:rPr>
        <w:t>这些优美的话语，充满了对上帝主权恩典的赞美，能被也必将被所有基督的圣徒，无论是犹太人还是外邦人所说出。</w:t>
      </w:r>
    </w:p>
    <w:p w14:paraId="2792F526">
      <w:pPr>
        <w:pStyle w:val="9"/>
        <w:spacing w:before="11"/>
        <w:ind w:left="0"/>
        <w:jc w:val="left"/>
        <w:rPr>
          <w:rFonts w:hint="eastAsia"/>
          <w:sz w:val="30"/>
          <w:szCs w:val="30"/>
        </w:rPr>
      </w:pPr>
    </w:p>
    <w:p w14:paraId="465B99D3">
      <w:pPr>
        <w:pStyle w:val="9"/>
        <w:spacing w:before="11"/>
        <w:ind w:left="0"/>
        <w:jc w:val="left"/>
        <w:rPr>
          <w:rFonts w:hint="eastAsia"/>
          <w:sz w:val="30"/>
          <w:szCs w:val="30"/>
        </w:rPr>
      </w:pPr>
      <w:r>
        <w:rPr>
          <w:rFonts w:hint="eastAsia"/>
          <w:sz w:val="30"/>
          <w:szCs w:val="30"/>
        </w:rPr>
        <w:t>For just as in ancient times God rescued ethnic Israel from their Egyptian oppressors and restored them to the Land of Promise, so in these last days he has rescued eschatological Israel—the Church—from every enemy of the Domain of Darkness, and restored them, in Christ, to their heavenly homeland, both now and in the World to Come (Mt. 12:29, 2 Cor. 1:10, Eph. 2:1-10, Col. 1:3, Heb. 12:22).</w:t>
      </w:r>
    </w:p>
    <w:p w14:paraId="7A26A9B2">
      <w:pPr>
        <w:pStyle w:val="9"/>
        <w:spacing w:before="11"/>
        <w:ind w:left="0"/>
        <w:jc w:val="left"/>
        <w:rPr>
          <w:rFonts w:hint="eastAsia"/>
          <w:sz w:val="30"/>
          <w:szCs w:val="30"/>
        </w:rPr>
      </w:pPr>
      <w:r>
        <w:rPr>
          <w:rFonts w:hint="eastAsia"/>
          <w:sz w:val="30"/>
          <w:szCs w:val="30"/>
        </w:rPr>
        <w:t>因为正如在古代上帝将以色列民族从埃及压迫者手中拯救出来，并使他们复兴归回应许之地一样，在这些末后的日子，祂也已将末世的以色列——教会——从黑暗权势的每一个仇敌中拯救出来，并在基督里将他们复兴归回他们属天的家园，无论现在还是在未来的世界中（马太福音 12:29, 哥林多后书 1:10, 以弗所书 2:1-10, 歌罗西书 1:13, 希伯来书 12:22）。</w:t>
      </w:r>
    </w:p>
    <w:p w14:paraId="3D4DD1E7">
      <w:pPr>
        <w:pStyle w:val="9"/>
        <w:spacing w:before="11"/>
        <w:ind w:left="0"/>
        <w:jc w:val="left"/>
        <w:rPr>
          <w:rFonts w:hint="eastAsia"/>
          <w:sz w:val="30"/>
          <w:szCs w:val="30"/>
        </w:rPr>
      </w:pPr>
    </w:p>
    <w:p w14:paraId="55944EA0">
      <w:pPr>
        <w:pStyle w:val="9"/>
        <w:spacing w:before="11"/>
        <w:ind w:left="0"/>
        <w:jc w:val="left"/>
        <w:rPr>
          <w:rFonts w:hint="eastAsia"/>
          <w:sz w:val="30"/>
          <w:szCs w:val="30"/>
        </w:rPr>
      </w:pPr>
      <w:r>
        <w:rPr>
          <w:rFonts w:hint="eastAsia"/>
          <w:sz w:val="30"/>
          <w:szCs w:val="30"/>
        </w:rPr>
        <w:t>9.The City Shall Be Rebuilt</w:t>
      </w:r>
    </w:p>
    <w:p w14:paraId="55B3CEEF">
      <w:pPr>
        <w:pStyle w:val="9"/>
        <w:spacing w:before="11"/>
        <w:ind w:left="0"/>
        <w:jc w:val="left"/>
        <w:rPr>
          <w:rFonts w:hint="eastAsia"/>
          <w:sz w:val="30"/>
          <w:szCs w:val="30"/>
        </w:rPr>
      </w:pPr>
      <w:r>
        <w:rPr>
          <w:rFonts w:hint="eastAsia"/>
          <w:sz w:val="30"/>
          <w:szCs w:val="30"/>
        </w:rPr>
        <w:t>9.那城必被重建</w:t>
      </w:r>
    </w:p>
    <w:p w14:paraId="248A1DBE">
      <w:pPr>
        <w:pStyle w:val="9"/>
        <w:spacing w:before="11"/>
        <w:ind w:left="0"/>
        <w:jc w:val="left"/>
        <w:rPr>
          <w:rFonts w:hint="eastAsia"/>
          <w:sz w:val="30"/>
          <w:szCs w:val="30"/>
        </w:rPr>
      </w:pPr>
    </w:p>
    <w:p w14:paraId="7B2A6E9D">
      <w:pPr>
        <w:pStyle w:val="9"/>
        <w:spacing w:before="11"/>
        <w:ind w:left="0"/>
        <w:jc w:val="left"/>
        <w:rPr>
          <w:rFonts w:hint="eastAsia"/>
          <w:sz w:val="30"/>
          <w:szCs w:val="30"/>
        </w:rPr>
      </w:pPr>
      <w:r>
        <w:rPr>
          <w:rFonts w:hint="eastAsia"/>
          <w:sz w:val="30"/>
          <w:szCs w:val="30"/>
        </w:rPr>
        <w:t>(Jeremiah 31:38-40)</w:t>
      </w:r>
    </w:p>
    <w:p w14:paraId="49DB1C6F">
      <w:pPr>
        <w:pStyle w:val="9"/>
        <w:spacing w:before="11"/>
        <w:ind w:left="0"/>
        <w:jc w:val="left"/>
        <w:rPr>
          <w:rFonts w:hint="eastAsia"/>
          <w:sz w:val="30"/>
          <w:szCs w:val="30"/>
        </w:rPr>
      </w:pPr>
      <w:r>
        <w:rPr>
          <w:rFonts w:hint="eastAsia"/>
          <w:sz w:val="30"/>
          <w:szCs w:val="30"/>
        </w:rPr>
        <w:t>（耶利米书 31:38-40）</w:t>
      </w:r>
    </w:p>
    <w:p w14:paraId="0F465F9C">
      <w:pPr>
        <w:pStyle w:val="9"/>
        <w:spacing w:before="11"/>
        <w:ind w:left="0"/>
        <w:jc w:val="left"/>
        <w:rPr>
          <w:rFonts w:hint="eastAsia"/>
          <w:sz w:val="30"/>
          <w:szCs w:val="30"/>
        </w:rPr>
      </w:pPr>
    </w:p>
    <w:p w14:paraId="3DC46CC7">
      <w:pPr>
        <w:pStyle w:val="9"/>
        <w:spacing w:before="11"/>
        <w:ind w:left="0"/>
        <w:jc w:val="left"/>
        <w:rPr>
          <w:rFonts w:hint="eastAsia"/>
          <w:sz w:val="30"/>
          <w:szCs w:val="30"/>
        </w:rPr>
      </w:pPr>
      <w:r>
        <w:rPr>
          <w:rFonts w:hint="eastAsia"/>
          <w:sz w:val="30"/>
          <w:szCs w:val="30"/>
        </w:rPr>
        <w:t>Earlier we saw that Jeremiah 30-33 contains a great many OTKP’s, strung together like the pearls of a beautiful necklace.</w:t>
      </w:r>
    </w:p>
    <w:p w14:paraId="7395AF33">
      <w:pPr>
        <w:pStyle w:val="9"/>
        <w:spacing w:before="11"/>
        <w:ind w:left="0"/>
        <w:jc w:val="left"/>
        <w:rPr>
          <w:rFonts w:hint="eastAsia"/>
          <w:sz w:val="30"/>
          <w:szCs w:val="30"/>
        </w:rPr>
      </w:pPr>
      <w:r>
        <w:rPr>
          <w:rFonts w:hint="eastAsia"/>
          <w:sz w:val="30"/>
          <w:szCs w:val="30"/>
        </w:rPr>
        <w:t>早些时候我们看到，耶利米书 30-33章包含了许多旧约国度预言（OTKP），像一串美丽的珍珠项链一样串联在一起。</w:t>
      </w:r>
    </w:p>
    <w:p w14:paraId="5617E96A">
      <w:pPr>
        <w:pStyle w:val="9"/>
        <w:spacing w:before="11"/>
        <w:ind w:left="0"/>
        <w:jc w:val="left"/>
        <w:rPr>
          <w:rFonts w:hint="eastAsia"/>
          <w:sz w:val="30"/>
          <w:szCs w:val="30"/>
        </w:rPr>
      </w:pPr>
    </w:p>
    <w:p w14:paraId="2D6C86F2">
      <w:pPr>
        <w:pStyle w:val="9"/>
        <w:spacing w:before="11"/>
        <w:ind w:left="0"/>
        <w:jc w:val="left"/>
        <w:rPr>
          <w:rFonts w:hint="eastAsia"/>
          <w:sz w:val="30"/>
          <w:szCs w:val="30"/>
        </w:rPr>
      </w:pPr>
      <w:r>
        <w:rPr>
          <w:rFonts w:hint="eastAsia"/>
          <w:sz w:val="30"/>
          <w:szCs w:val="30"/>
        </w:rPr>
        <w:t>This is one of them.</w:t>
      </w:r>
    </w:p>
    <w:p w14:paraId="0A49D51B">
      <w:pPr>
        <w:pStyle w:val="9"/>
        <w:spacing w:before="11"/>
        <w:ind w:left="0"/>
        <w:jc w:val="left"/>
        <w:rPr>
          <w:rFonts w:hint="eastAsia"/>
          <w:sz w:val="30"/>
          <w:szCs w:val="30"/>
        </w:rPr>
      </w:pPr>
      <w:r>
        <w:rPr>
          <w:rFonts w:hint="eastAsia"/>
          <w:sz w:val="30"/>
          <w:szCs w:val="30"/>
        </w:rPr>
        <w:t>这是其中之一。</w:t>
      </w:r>
    </w:p>
    <w:p w14:paraId="5506F3FD">
      <w:pPr>
        <w:pStyle w:val="9"/>
        <w:spacing w:before="11"/>
        <w:ind w:left="0"/>
        <w:jc w:val="left"/>
        <w:rPr>
          <w:rFonts w:hint="eastAsia"/>
          <w:sz w:val="30"/>
          <w:szCs w:val="30"/>
        </w:rPr>
      </w:pPr>
    </w:p>
    <w:p w14:paraId="512C67B7">
      <w:pPr>
        <w:pStyle w:val="9"/>
        <w:spacing w:before="11"/>
        <w:ind w:left="0"/>
        <w:jc w:val="left"/>
        <w:rPr>
          <w:rFonts w:hint="eastAsia"/>
          <w:sz w:val="30"/>
          <w:szCs w:val="30"/>
        </w:rPr>
      </w:pPr>
      <w:r>
        <w:rPr>
          <w:rFonts w:hint="eastAsia"/>
          <w:sz w:val="30"/>
          <w:szCs w:val="30"/>
        </w:rPr>
        <w:t>However, for reasons we are about to consider, it is especially difficult to interpret, and so merits some extra attention here.</w:t>
      </w:r>
    </w:p>
    <w:p w14:paraId="450D2FEC">
      <w:pPr>
        <w:pStyle w:val="9"/>
        <w:spacing w:before="11"/>
        <w:ind w:left="0"/>
        <w:jc w:val="left"/>
        <w:rPr>
          <w:rFonts w:hint="eastAsia"/>
          <w:sz w:val="30"/>
          <w:szCs w:val="30"/>
        </w:rPr>
      </w:pPr>
      <w:r>
        <w:rPr>
          <w:rFonts w:hint="eastAsia"/>
          <w:sz w:val="30"/>
          <w:szCs w:val="30"/>
        </w:rPr>
        <w:t>然而，由于我们将要考虑的原因，它特别难以解释，因此在这里值得特别关注。</w:t>
      </w:r>
    </w:p>
    <w:p w14:paraId="29FE57DF">
      <w:pPr>
        <w:pStyle w:val="9"/>
        <w:spacing w:before="11"/>
        <w:ind w:left="0"/>
        <w:jc w:val="left"/>
        <w:rPr>
          <w:rFonts w:hint="eastAsia"/>
          <w:sz w:val="30"/>
          <w:szCs w:val="30"/>
        </w:rPr>
      </w:pPr>
    </w:p>
    <w:p w14:paraId="0D57C730">
      <w:pPr>
        <w:pStyle w:val="9"/>
        <w:spacing w:before="11"/>
        <w:ind w:left="0"/>
        <w:jc w:val="left"/>
        <w:rPr>
          <w:rFonts w:hint="eastAsia"/>
          <w:sz w:val="30"/>
          <w:szCs w:val="30"/>
        </w:rPr>
      </w:pPr>
      <w:r>
        <w:rPr>
          <w:rFonts w:hint="eastAsia"/>
          <w:sz w:val="30"/>
          <w:szCs w:val="30"/>
        </w:rPr>
        <w:t>To state the problem succinctly: On the one hand, we can see from v. 40 that this is indeed an OTKP; that God is speaking of his eschatological City, a city that will not be plucked up or overthrown any more forever.</w:t>
      </w:r>
    </w:p>
    <w:p w14:paraId="13024105">
      <w:pPr>
        <w:pStyle w:val="9"/>
        <w:spacing w:before="11"/>
        <w:ind w:left="0"/>
        <w:jc w:val="left"/>
        <w:rPr>
          <w:rFonts w:hint="eastAsia"/>
          <w:sz w:val="30"/>
          <w:szCs w:val="30"/>
        </w:rPr>
      </w:pPr>
      <w:r>
        <w:rPr>
          <w:rFonts w:hint="eastAsia"/>
          <w:sz w:val="30"/>
          <w:szCs w:val="30"/>
        </w:rPr>
        <w:t>简要地陈述这个问题：一方面，我们可以从第40节看出，这确实是一个旧约国度预言（OTKP）；上帝正在谈论祂末世的城，一个将永不再被拔出或倾覆的城。</w:t>
      </w:r>
    </w:p>
    <w:p w14:paraId="7B15663F">
      <w:pPr>
        <w:pStyle w:val="9"/>
        <w:spacing w:before="11"/>
        <w:ind w:left="0"/>
        <w:jc w:val="left"/>
        <w:rPr>
          <w:rFonts w:hint="eastAsia"/>
          <w:sz w:val="30"/>
          <w:szCs w:val="30"/>
        </w:rPr>
      </w:pPr>
    </w:p>
    <w:p w14:paraId="22657B13">
      <w:pPr>
        <w:pStyle w:val="9"/>
        <w:spacing w:before="11"/>
        <w:ind w:left="0"/>
        <w:jc w:val="left"/>
        <w:rPr>
          <w:rFonts w:hint="eastAsia"/>
          <w:sz w:val="30"/>
          <w:szCs w:val="30"/>
        </w:rPr>
      </w:pPr>
      <w:r>
        <w:rPr>
          <w:rFonts w:hint="eastAsia"/>
          <w:sz w:val="30"/>
          <w:szCs w:val="30"/>
        </w:rPr>
        <w:t>In other words, according to the NCH, he is actually speaking of the Church.</w:t>
      </w:r>
    </w:p>
    <w:p w14:paraId="373A844C">
      <w:pPr>
        <w:pStyle w:val="9"/>
        <w:spacing w:before="11"/>
        <w:ind w:left="0"/>
        <w:jc w:val="left"/>
        <w:rPr>
          <w:rFonts w:hint="eastAsia"/>
          <w:sz w:val="30"/>
          <w:szCs w:val="30"/>
        </w:rPr>
      </w:pPr>
      <w:r>
        <w:rPr>
          <w:rFonts w:hint="eastAsia"/>
          <w:sz w:val="30"/>
          <w:szCs w:val="30"/>
        </w:rPr>
        <w:t>换句话说，根据新约解释学（NCH），祂实际上是在谈论教会。</w:t>
      </w:r>
    </w:p>
    <w:p w14:paraId="0E2CB4BA">
      <w:pPr>
        <w:pStyle w:val="9"/>
        <w:spacing w:before="11"/>
        <w:ind w:left="0"/>
        <w:jc w:val="left"/>
        <w:rPr>
          <w:rFonts w:hint="eastAsia"/>
          <w:sz w:val="30"/>
          <w:szCs w:val="30"/>
        </w:rPr>
      </w:pPr>
    </w:p>
    <w:p w14:paraId="064B50FE">
      <w:pPr>
        <w:pStyle w:val="9"/>
        <w:spacing w:before="11"/>
        <w:ind w:left="0"/>
        <w:jc w:val="left"/>
        <w:rPr>
          <w:rFonts w:hint="eastAsia"/>
          <w:sz w:val="30"/>
          <w:szCs w:val="30"/>
        </w:rPr>
      </w:pPr>
      <w:r>
        <w:rPr>
          <w:rFonts w:hint="eastAsia"/>
          <w:sz w:val="30"/>
          <w:szCs w:val="30"/>
        </w:rPr>
        <w:t>On the other hand, because this prophecy mentions a number of specific geographical landmarks familiar to the Jews of Jeremiah’s day, it hardly seems possible that God could be referring to the Church; that he must instead be predicting a latter-day restoration of physical Jerusalem, perhaps along the lines anticipated by premillennarians.</w:t>
      </w:r>
    </w:p>
    <w:p w14:paraId="3D44C052">
      <w:pPr>
        <w:pStyle w:val="9"/>
        <w:spacing w:before="11"/>
        <w:ind w:left="0"/>
        <w:jc w:val="left"/>
        <w:rPr>
          <w:rFonts w:hint="eastAsia"/>
          <w:sz w:val="30"/>
          <w:szCs w:val="30"/>
        </w:rPr>
      </w:pPr>
      <w:r>
        <w:rPr>
          <w:rFonts w:hint="eastAsia"/>
          <w:sz w:val="30"/>
          <w:szCs w:val="30"/>
        </w:rPr>
        <w:t>另一方面，因为这个预言提到了许多耶利米时代犹太人所熟悉的特定地理标志，上帝似乎不大可能是在指教会；祂必定是在预测末后实体耶路撒冷的复兴，或许是沿着前千禧年派所预期的路线。</w:t>
      </w:r>
    </w:p>
    <w:p w14:paraId="6F7998B8">
      <w:pPr>
        <w:pStyle w:val="9"/>
        <w:spacing w:before="11"/>
        <w:ind w:left="0"/>
        <w:jc w:val="left"/>
        <w:rPr>
          <w:rFonts w:hint="eastAsia"/>
          <w:sz w:val="30"/>
          <w:szCs w:val="30"/>
        </w:rPr>
      </w:pPr>
    </w:p>
    <w:p w14:paraId="6F4983DB">
      <w:pPr>
        <w:pStyle w:val="9"/>
        <w:spacing w:before="11"/>
        <w:ind w:left="0"/>
        <w:jc w:val="left"/>
        <w:rPr>
          <w:rFonts w:hint="eastAsia"/>
          <w:sz w:val="30"/>
          <w:szCs w:val="30"/>
        </w:rPr>
      </w:pPr>
      <w:r>
        <w:rPr>
          <w:rFonts w:hint="eastAsia"/>
          <w:sz w:val="30"/>
          <w:szCs w:val="30"/>
        </w:rPr>
        <w:t>How, then, are we to resolve this quandary?</w:t>
      </w:r>
    </w:p>
    <w:p w14:paraId="358441BD">
      <w:pPr>
        <w:pStyle w:val="9"/>
        <w:spacing w:before="11"/>
        <w:ind w:left="0"/>
        <w:jc w:val="left"/>
        <w:rPr>
          <w:rFonts w:hint="eastAsia"/>
          <w:sz w:val="30"/>
          <w:szCs w:val="30"/>
        </w:rPr>
      </w:pPr>
      <w:r>
        <w:rPr>
          <w:rFonts w:hint="eastAsia"/>
          <w:sz w:val="30"/>
          <w:szCs w:val="30"/>
        </w:rPr>
        <w:t>那么，我们该如何解决这个困境呢？</w:t>
      </w:r>
    </w:p>
    <w:p w14:paraId="559DE35D">
      <w:pPr>
        <w:pStyle w:val="9"/>
        <w:spacing w:before="11"/>
        <w:ind w:left="0"/>
        <w:jc w:val="left"/>
        <w:rPr>
          <w:rFonts w:hint="eastAsia"/>
          <w:sz w:val="30"/>
          <w:szCs w:val="30"/>
        </w:rPr>
      </w:pPr>
    </w:p>
    <w:p w14:paraId="1997E27B">
      <w:pPr>
        <w:pStyle w:val="9"/>
        <w:spacing w:before="11"/>
        <w:ind w:left="0"/>
        <w:jc w:val="left"/>
        <w:rPr>
          <w:rFonts w:hint="eastAsia"/>
          <w:sz w:val="30"/>
          <w:szCs w:val="30"/>
        </w:rPr>
      </w:pPr>
      <w:r>
        <w:rPr>
          <w:rFonts w:hint="eastAsia"/>
          <w:sz w:val="30"/>
          <w:szCs w:val="30"/>
        </w:rPr>
        <w:t>One tempting solution is to argue that the prophecy is partly historical and partly eschatological; that it blends predictions of the restoration of Jerusalem under Ezra and Nehemiah with predictions of the upbuilding, sanctification, and eternal security of the New Jerusalem, the Church.</w:t>
      </w:r>
    </w:p>
    <w:p w14:paraId="3FC69AD5">
      <w:pPr>
        <w:pStyle w:val="9"/>
        <w:spacing w:before="11"/>
        <w:ind w:left="0"/>
        <w:jc w:val="left"/>
        <w:rPr>
          <w:rFonts w:hint="eastAsia"/>
          <w:sz w:val="30"/>
          <w:szCs w:val="30"/>
        </w:rPr>
      </w:pPr>
      <w:r>
        <w:rPr>
          <w:rFonts w:hint="eastAsia"/>
          <w:sz w:val="30"/>
          <w:szCs w:val="30"/>
        </w:rPr>
        <w:t>一个诱人的解决方案是主张这个预言部分是历史性的，部分是末世性的；它融合了关于在以斯拉和尼希米手下耶路撒冷复兴的预言，以及关于新耶路撒冷，即教会的建立、成圣和永恒安全的预言。</w:t>
      </w:r>
    </w:p>
    <w:p w14:paraId="76DF8DEE">
      <w:pPr>
        <w:pStyle w:val="9"/>
        <w:spacing w:before="11"/>
        <w:ind w:left="0"/>
        <w:jc w:val="left"/>
        <w:rPr>
          <w:rFonts w:hint="eastAsia"/>
          <w:sz w:val="30"/>
          <w:szCs w:val="30"/>
        </w:rPr>
      </w:pPr>
    </w:p>
    <w:p w14:paraId="29B3C1D0">
      <w:pPr>
        <w:pStyle w:val="9"/>
        <w:spacing w:before="11"/>
        <w:ind w:left="0"/>
        <w:jc w:val="left"/>
        <w:rPr>
          <w:rFonts w:hint="eastAsia"/>
          <w:sz w:val="30"/>
          <w:szCs w:val="30"/>
        </w:rPr>
      </w:pPr>
      <w:r>
        <w:rPr>
          <w:rFonts w:hint="eastAsia"/>
          <w:sz w:val="30"/>
          <w:szCs w:val="30"/>
        </w:rPr>
        <w:t>However, upon closer inspection it becomes clear that there really is no way to determine which phrase or sentence of the prophecy is historical and which is eschatological.</w:t>
      </w:r>
    </w:p>
    <w:p w14:paraId="480313D4">
      <w:pPr>
        <w:pStyle w:val="9"/>
        <w:spacing w:before="11"/>
        <w:ind w:left="0"/>
        <w:jc w:val="left"/>
        <w:rPr>
          <w:rFonts w:hint="eastAsia"/>
          <w:sz w:val="30"/>
          <w:szCs w:val="30"/>
        </w:rPr>
      </w:pPr>
      <w:r>
        <w:rPr>
          <w:rFonts w:hint="eastAsia"/>
          <w:sz w:val="30"/>
          <w:szCs w:val="30"/>
        </w:rPr>
        <w:t>然而，经过更仔细的审视，很明显，实在无法确定预言中的哪个短语或句子是历史性的，哪个是末世性的。</w:t>
      </w:r>
    </w:p>
    <w:p w14:paraId="414A6469">
      <w:pPr>
        <w:pStyle w:val="9"/>
        <w:spacing w:before="11"/>
        <w:ind w:left="0"/>
        <w:jc w:val="left"/>
        <w:rPr>
          <w:rFonts w:hint="eastAsia"/>
          <w:sz w:val="30"/>
          <w:szCs w:val="30"/>
        </w:rPr>
      </w:pPr>
    </w:p>
    <w:p w14:paraId="7367DA5C">
      <w:pPr>
        <w:pStyle w:val="9"/>
        <w:spacing w:before="11"/>
        <w:ind w:left="0"/>
        <w:jc w:val="left"/>
        <w:rPr>
          <w:rFonts w:hint="eastAsia"/>
          <w:sz w:val="30"/>
          <w:szCs w:val="30"/>
        </w:rPr>
      </w:pPr>
      <w:r>
        <w:rPr>
          <w:rFonts w:hint="eastAsia"/>
          <w:sz w:val="30"/>
          <w:szCs w:val="30"/>
        </w:rPr>
        <w:t>Yes, there may well be an allusion to the restoration of Jerusalem under Nehemiah (Neh. 3:1, 12:39); but if we desire to preserve the integrity and perspicuity of our text, our only recourse is to view it as altogether historical or altogether eschatological.</w:t>
      </w:r>
    </w:p>
    <w:p w14:paraId="7A5BD838">
      <w:pPr>
        <w:pStyle w:val="9"/>
        <w:spacing w:before="11"/>
        <w:ind w:left="0"/>
        <w:jc w:val="left"/>
        <w:rPr>
          <w:rFonts w:hint="eastAsia"/>
          <w:sz w:val="30"/>
          <w:szCs w:val="30"/>
        </w:rPr>
      </w:pPr>
      <w:r>
        <w:rPr>
          <w:rFonts w:hint="eastAsia"/>
          <w:sz w:val="30"/>
          <w:szCs w:val="30"/>
        </w:rPr>
        <w:t>是的，可能确实暗示了在尼希米手下耶路撒冷的复兴（尼希米记 3:1, 12:39）；但如果我们希望维护我们经文的完整性和清晰性，我们唯一的办法就是将其视为完全是历史性的或完全是末世性的。</w:t>
      </w:r>
    </w:p>
    <w:p w14:paraId="09E950DF">
      <w:pPr>
        <w:pStyle w:val="9"/>
        <w:spacing w:before="11"/>
        <w:ind w:left="0"/>
        <w:jc w:val="left"/>
        <w:rPr>
          <w:rFonts w:hint="eastAsia"/>
          <w:sz w:val="30"/>
          <w:szCs w:val="30"/>
        </w:rPr>
      </w:pPr>
    </w:p>
    <w:p w14:paraId="5C39588E">
      <w:pPr>
        <w:pStyle w:val="9"/>
        <w:spacing w:before="11"/>
        <w:ind w:left="0"/>
        <w:jc w:val="left"/>
        <w:rPr>
          <w:rFonts w:hint="eastAsia"/>
          <w:sz w:val="30"/>
          <w:szCs w:val="30"/>
        </w:rPr>
      </w:pPr>
      <w:r>
        <w:rPr>
          <w:rFonts w:hint="eastAsia"/>
          <w:sz w:val="30"/>
          <w:szCs w:val="30"/>
        </w:rPr>
        <w:t>And so, because verse 40 clearly marks it as eschatological, I conclude that this is indeed an OTKP; that it is eschatological through and through.</w:t>
      </w:r>
    </w:p>
    <w:p w14:paraId="77854495">
      <w:pPr>
        <w:pStyle w:val="9"/>
        <w:spacing w:before="11"/>
        <w:ind w:left="0"/>
        <w:jc w:val="left"/>
        <w:rPr>
          <w:rFonts w:hint="eastAsia"/>
          <w:sz w:val="30"/>
          <w:szCs w:val="30"/>
        </w:rPr>
      </w:pPr>
      <w:r>
        <w:rPr>
          <w:rFonts w:hint="eastAsia"/>
          <w:sz w:val="30"/>
          <w:szCs w:val="30"/>
        </w:rPr>
        <w:t>因此，因为第40节清楚地将其标记为末世性的，我得出结论，这确实是一个旧约国度预言（OTKP）；它从头到尾都是末世性的。</w:t>
      </w:r>
    </w:p>
    <w:p w14:paraId="04ECB894">
      <w:pPr>
        <w:pStyle w:val="9"/>
        <w:spacing w:before="11"/>
        <w:ind w:left="0"/>
        <w:jc w:val="left"/>
        <w:rPr>
          <w:rFonts w:hint="eastAsia"/>
          <w:sz w:val="30"/>
          <w:szCs w:val="30"/>
        </w:rPr>
      </w:pPr>
    </w:p>
    <w:p w14:paraId="06C8726B">
      <w:pPr>
        <w:pStyle w:val="9"/>
        <w:spacing w:before="11"/>
        <w:ind w:left="0"/>
        <w:jc w:val="left"/>
        <w:rPr>
          <w:rFonts w:hint="eastAsia"/>
          <w:sz w:val="30"/>
          <w:szCs w:val="30"/>
        </w:rPr>
      </w:pPr>
      <w:r>
        <w:rPr>
          <w:rFonts w:hint="eastAsia"/>
          <w:sz w:val="30"/>
          <w:szCs w:val="30"/>
        </w:rPr>
        <w:t>This conclusion finds confirmation in the fact that the premillennial solution is no solution at all.</w:t>
      </w:r>
    </w:p>
    <w:p w14:paraId="757FF595">
      <w:pPr>
        <w:pStyle w:val="9"/>
        <w:spacing w:before="11"/>
        <w:ind w:left="0"/>
        <w:jc w:val="left"/>
        <w:rPr>
          <w:rFonts w:hint="eastAsia"/>
          <w:sz w:val="30"/>
          <w:szCs w:val="30"/>
        </w:rPr>
      </w:pPr>
      <w:r>
        <w:rPr>
          <w:rFonts w:hint="eastAsia"/>
          <w:sz w:val="30"/>
          <w:szCs w:val="30"/>
        </w:rPr>
        <w:t>这个结论在前千禧年派的解决方案根本不是解决方案这一事实中得到了证实。</w:t>
      </w:r>
    </w:p>
    <w:p w14:paraId="4EBF5256">
      <w:pPr>
        <w:pStyle w:val="9"/>
        <w:spacing w:before="11"/>
        <w:ind w:left="0"/>
        <w:jc w:val="left"/>
        <w:rPr>
          <w:rFonts w:hint="eastAsia"/>
          <w:sz w:val="30"/>
          <w:szCs w:val="30"/>
        </w:rPr>
      </w:pPr>
    </w:p>
    <w:p w14:paraId="170EF049">
      <w:pPr>
        <w:pStyle w:val="9"/>
        <w:spacing w:before="11"/>
        <w:ind w:left="0"/>
        <w:jc w:val="left"/>
        <w:rPr>
          <w:rFonts w:hint="eastAsia"/>
          <w:sz w:val="30"/>
          <w:szCs w:val="30"/>
        </w:rPr>
      </w:pPr>
      <w:r>
        <w:rPr>
          <w:rFonts w:hint="eastAsia"/>
          <w:sz w:val="30"/>
          <w:szCs w:val="30"/>
        </w:rPr>
        <w:t>Again, quite apart from NT teaching on the twofold structure of the Kingdom, the text itself explicitly states that this City will endure forever, and not simply for a thousand years.</w:t>
      </w:r>
    </w:p>
    <w:p w14:paraId="5BFE35AC">
      <w:pPr>
        <w:pStyle w:val="9"/>
        <w:spacing w:before="11"/>
        <w:ind w:left="0"/>
        <w:jc w:val="left"/>
        <w:rPr>
          <w:rFonts w:hint="eastAsia"/>
          <w:sz w:val="30"/>
          <w:szCs w:val="30"/>
        </w:rPr>
      </w:pPr>
      <w:r>
        <w:rPr>
          <w:rFonts w:hint="eastAsia"/>
          <w:sz w:val="30"/>
          <w:szCs w:val="30"/>
        </w:rPr>
        <w:t>再次，完全不考虑新约关于国度双重结构的教导，经文本身明确指出这座城将永远存留，而不仅仅是一千年。</w:t>
      </w:r>
    </w:p>
    <w:p w14:paraId="40911A2A">
      <w:pPr>
        <w:pStyle w:val="9"/>
        <w:spacing w:before="11"/>
        <w:ind w:left="0"/>
        <w:jc w:val="left"/>
        <w:rPr>
          <w:rFonts w:hint="eastAsia"/>
          <w:sz w:val="30"/>
          <w:szCs w:val="30"/>
        </w:rPr>
      </w:pPr>
    </w:p>
    <w:p w14:paraId="37C21EF5">
      <w:pPr>
        <w:pStyle w:val="9"/>
        <w:spacing w:before="11"/>
        <w:ind w:left="0"/>
        <w:jc w:val="left"/>
        <w:rPr>
          <w:rFonts w:hint="eastAsia"/>
          <w:sz w:val="30"/>
          <w:szCs w:val="30"/>
        </w:rPr>
      </w:pPr>
      <w:r>
        <w:rPr>
          <w:rFonts w:hint="eastAsia"/>
          <w:sz w:val="30"/>
          <w:szCs w:val="30"/>
        </w:rPr>
        <w:t>Now it is true that some premillennarians have been willing to affirm the perpetuity of an earthly Jerusalem.</w:t>
      </w:r>
    </w:p>
    <w:p w14:paraId="120A02DB">
      <w:pPr>
        <w:pStyle w:val="9"/>
        <w:spacing w:before="11"/>
        <w:ind w:left="0"/>
        <w:jc w:val="left"/>
        <w:rPr>
          <w:rFonts w:hint="eastAsia"/>
          <w:sz w:val="30"/>
          <w:szCs w:val="30"/>
        </w:rPr>
      </w:pPr>
      <w:r>
        <w:rPr>
          <w:rFonts w:hint="eastAsia"/>
          <w:sz w:val="30"/>
          <w:szCs w:val="30"/>
        </w:rPr>
        <w:t>现在，诚然，一些前千禧年派愿意肯定地上耶路撒冷的永存性。</w:t>
      </w:r>
    </w:p>
    <w:p w14:paraId="0AA7E6F7">
      <w:pPr>
        <w:pStyle w:val="9"/>
        <w:spacing w:before="11"/>
        <w:ind w:left="0"/>
        <w:jc w:val="left"/>
        <w:rPr>
          <w:rFonts w:hint="eastAsia"/>
          <w:sz w:val="30"/>
          <w:szCs w:val="30"/>
        </w:rPr>
      </w:pPr>
    </w:p>
    <w:p w14:paraId="2A537E27">
      <w:pPr>
        <w:pStyle w:val="9"/>
        <w:spacing w:before="11"/>
        <w:ind w:left="0"/>
        <w:jc w:val="left"/>
        <w:rPr>
          <w:rFonts w:hint="eastAsia"/>
          <w:sz w:val="30"/>
          <w:szCs w:val="30"/>
        </w:rPr>
      </w:pPr>
      <w:r>
        <w:rPr>
          <w:rFonts w:hint="eastAsia"/>
          <w:sz w:val="30"/>
          <w:szCs w:val="30"/>
        </w:rPr>
        <w:t>This, however, would entangle them even further in the morass of prophetic literalism, since the Jerusalem of most OTKP is a city where priests and Levites perpetually minister, where animal sacrifices are perpetually offered, and where feast days are perpetually observed.</w:t>
      </w:r>
    </w:p>
    <w:p w14:paraId="189A8A54">
      <w:pPr>
        <w:pStyle w:val="9"/>
        <w:spacing w:before="11"/>
        <w:ind w:left="0"/>
        <w:jc w:val="left"/>
        <w:rPr>
          <w:rFonts w:hint="eastAsia"/>
          <w:sz w:val="30"/>
          <w:szCs w:val="30"/>
        </w:rPr>
      </w:pPr>
      <w:r>
        <w:rPr>
          <w:rFonts w:hint="eastAsia"/>
          <w:sz w:val="30"/>
          <w:szCs w:val="30"/>
        </w:rPr>
        <w:t>然而，这将使他们更深地陷入预言字面主义的泥潭，因为大多数旧约国度预言（OTKP）中的耶路撒冷是一个祭司和利未人永远事奉，动物祭物永远献上，节期永远遵守的城市。</w:t>
      </w:r>
    </w:p>
    <w:p w14:paraId="65B03EB7">
      <w:pPr>
        <w:pStyle w:val="9"/>
        <w:spacing w:before="11"/>
        <w:ind w:left="0"/>
        <w:jc w:val="left"/>
        <w:rPr>
          <w:rFonts w:hint="eastAsia"/>
          <w:sz w:val="30"/>
          <w:szCs w:val="30"/>
        </w:rPr>
      </w:pPr>
    </w:p>
    <w:p w14:paraId="10724E57">
      <w:pPr>
        <w:pStyle w:val="9"/>
        <w:spacing w:before="11"/>
        <w:ind w:left="0"/>
        <w:jc w:val="left"/>
        <w:rPr>
          <w:rFonts w:hint="eastAsia"/>
          <w:sz w:val="30"/>
          <w:szCs w:val="30"/>
        </w:rPr>
      </w:pPr>
      <w:r>
        <w:rPr>
          <w:rFonts w:hint="eastAsia"/>
          <w:sz w:val="30"/>
          <w:szCs w:val="30"/>
        </w:rPr>
        <w:t>But according to the NT, all of these Mosaic institutions are forever obsolete.</w:t>
      </w:r>
    </w:p>
    <w:p w14:paraId="5A47B669">
      <w:pPr>
        <w:pStyle w:val="9"/>
        <w:spacing w:before="11"/>
        <w:ind w:left="0"/>
        <w:jc w:val="left"/>
        <w:rPr>
          <w:rFonts w:hint="eastAsia"/>
          <w:sz w:val="30"/>
          <w:szCs w:val="30"/>
        </w:rPr>
      </w:pPr>
      <w:r>
        <w:rPr>
          <w:rFonts w:hint="eastAsia"/>
          <w:sz w:val="30"/>
          <w:szCs w:val="30"/>
        </w:rPr>
        <w:t>但根据新约，所有这些摩西的制度都已永远过时。</w:t>
      </w:r>
    </w:p>
    <w:p w14:paraId="39A832AA">
      <w:pPr>
        <w:pStyle w:val="9"/>
        <w:spacing w:before="11"/>
        <w:ind w:left="0"/>
        <w:jc w:val="left"/>
        <w:rPr>
          <w:rFonts w:hint="eastAsia"/>
          <w:sz w:val="30"/>
          <w:szCs w:val="30"/>
        </w:rPr>
      </w:pPr>
    </w:p>
    <w:p w14:paraId="042685DA">
      <w:pPr>
        <w:pStyle w:val="9"/>
        <w:spacing w:before="11"/>
        <w:ind w:left="0"/>
        <w:jc w:val="left"/>
        <w:rPr>
          <w:rFonts w:hint="eastAsia"/>
          <w:sz w:val="30"/>
          <w:szCs w:val="30"/>
        </w:rPr>
      </w:pPr>
      <w:r>
        <w:rPr>
          <w:rFonts w:hint="eastAsia"/>
          <w:sz w:val="30"/>
          <w:szCs w:val="30"/>
        </w:rPr>
        <w:t>And if they are obsolete, so too is the (earthly) city with which they are associated in OTKP (John 4:21, Gal. 4:25).</w:t>
      </w:r>
    </w:p>
    <w:p w14:paraId="3846F30A">
      <w:pPr>
        <w:pStyle w:val="9"/>
        <w:spacing w:before="11"/>
        <w:ind w:left="0"/>
        <w:jc w:val="left"/>
        <w:rPr>
          <w:rFonts w:hint="eastAsia"/>
          <w:sz w:val="30"/>
          <w:szCs w:val="30"/>
        </w:rPr>
      </w:pPr>
      <w:r>
        <w:rPr>
          <w:rFonts w:hint="eastAsia"/>
          <w:sz w:val="30"/>
          <w:szCs w:val="30"/>
        </w:rPr>
        <w:t>如果它们过时了，那么在旧约国度预言（OTKP）中与它们相关的（地上的）城也过时了（约翰福音 4:21, 加拉太书 4:25）。</w:t>
      </w:r>
    </w:p>
    <w:p w14:paraId="77F5ABD7">
      <w:pPr>
        <w:pStyle w:val="9"/>
        <w:spacing w:before="11"/>
        <w:ind w:left="0"/>
        <w:jc w:val="left"/>
        <w:rPr>
          <w:rFonts w:hint="eastAsia"/>
          <w:sz w:val="30"/>
          <w:szCs w:val="30"/>
        </w:rPr>
      </w:pPr>
    </w:p>
    <w:p w14:paraId="42D7EA6B">
      <w:pPr>
        <w:pStyle w:val="9"/>
        <w:spacing w:before="11"/>
        <w:ind w:left="0"/>
        <w:jc w:val="left"/>
        <w:rPr>
          <w:rFonts w:hint="eastAsia"/>
          <w:sz w:val="30"/>
          <w:szCs w:val="30"/>
        </w:rPr>
      </w:pPr>
      <w:r>
        <w:rPr>
          <w:rFonts w:hint="eastAsia"/>
          <w:sz w:val="30"/>
          <w:szCs w:val="30"/>
        </w:rPr>
        <w:t>Good NT logic, then, drives us to the conclusion that this is indeed an OTKP in which God is speaking of the eschatological upbuilding and final state of his Church.</w:t>
      </w:r>
    </w:p>
    <w:p w14:paraId="78620452">
      <w:pPr>
        <w:pStyle w:val="9"/>
        <w:spacing w:before="11"/>
        <w:ind w:left="0"/>
        <w:jc w:val="left"/>
        <w:rPr>
          <w:rFonts w:hint="eastAsia"/>
          <w:sz w:val="30"/>
          <w:szCs w:val="30"/>
        </w:rPr>
      </w:pPr>
      <w:r>
        <w:rPr>
          <w:rFonts w:hint="eastAsia"/>
          <w:sz w:val="30"/>
          <w:szCs w:val="30"/>
        </w:rPr>
        <w:t>因此，良好的新约逻辑驱使我们得出结论，这确实是一个旧约国度预言（OTKP），其中上帝正在谈论祂教会的末世建立和最终状态。</w:t>
      </w:r>
    </w:p>
    <w:p w14:paraId="4262FE5E">
      <w:pPr>
        <w:pStyle w:val="9"/>
        <w:spacing w:before="11"/>
        <w:ind w:left="0"/>
        <w:jc w:val="left"/>
        <w:rPr>
          <w:rFonts w:hint="eastAsia"/>
          <w:sz w:val="30"/>
          <w:szCs w:val="30"/>
        </w:rPr>
      </w:pPr>
    </w:p>
    <w:p w14:paraId="29C33C9E">
      <w:pPr>
        <w:pStyle w:val="9"/>
        <w:spacing w:before="11"/>
        <w:ind w:left="0"/>
        <w:jc w:val="left"/>
        <w:rPr>
          <w:rFonts w:hint="eastAsia"/>
          <w:sz w:val="30"/>
          <w:szCs w:val="30"/>
        </w:rPr>
      </w:pPr>
      <w:r>
        <w:rPr>
          <w:rFonts w:hint="eastAsia"/>
          <w:sz w:val="30"/>
          <w:szCs w:val="30"/>
        </w:rPr>
        <w:t>But how exactly are we to interpret the details?</w:t>
      </w:r>
    </w:p>
    <w:p w14:paraId="798BC9EC">
      <w:pPr>
        <w:pStyle w:val="9"/>
        <w:spacing w:before="11"/>
        <w:ind w:left="0"/>
        <w:jc w:val="left"/>
        <w:rPr>
          <w:rFonts w:hint="eastAsia"/>
          <w:sz w:val="30"/>
          <w:szCs w:val="30"/>
        </w:rPr>
      </w:pPr>
      <w:r>
        <w:rPr>
          <w:rFonts w:hint="eastAsia"/>
          <w:sz w:val="30"/>
          <w:szCs w:val="30"/>
        </w:rPr>
        <w:t>但我们究竟该如何解释这些细节呢？</w:t>
      </w:r>
    </w:p>
    <w:p w14:paraId="2207E2D3">
      <w:pPr>
        <w:pStyle w:val="9"/>
        <w:spacing w:before="11"/>
        <w:ind w:left="0"/>
        <w:jc w:val="left"/>
        <w:rPr>
          <w:rFonts w:hint="eastAsia"/>
          <w:sz w:val="30"/>
          <w:szCs w:val="30"/>
        </w:rPr>
      </w:pPr>
    </w:p>
    <w:p w14:paraId="5A517D08">
      <w:pPr>
        <w:pStyle w:val="9"/>
        <w:spacing w:before="11"/>
        <w:ind w:left="0"/>
        <w:jc w:val="left"/>
        <w:rPr>
          <w:rFonts w:hint="eastAsia"/>
          <w:sz w:val="30"/>
          <w:szCs w:val="30"/>
        </w:rPr>
      </w:pPr>
      <w:r>
        <w:rPr>
          <w:rFonts w:hint="eastAsia"/>
          <w:sz w:val="30"/>
          <w:szCs w:val="30"/>
        </w:rPr>
        <w:t>A City Built for the LORD (38)</w:t>
      </w:r>
    </w:p>
    <w:p w14:paraId="55D8A8E5">
      <w:pPr>
        <w:pStyle w:val="9"/>
        <w:spacing w:before="11"/>
        <w:ind w:left="0"/>
        <w:jc w:val="left"/>
        <w:rPr>
          <w:rFonts w:hint="eastAsia"/>
          <w:sz w:val="30"/>
          <w:szCs w:val="30"/>
        </w:rPr>
      </w:pPr>
      <w:r>
        <w:rPr>
          <w:rFonts w:hint="eastAsia"/>
          <w:sz w:val="30"/>
          <w:szCs w:val="30"/>
        </w:rPr>
        <w:t>为耶和华建造的城（38节）</w:t>
      </w:r>
    </w:p>
    <w:p w14:paraId="259349FC">
      <w:pPr>
        <w:pStyle w:val="9"/>
        <w:spacing w:before="11"/>
        <w:ind w:left="0"/>
        <w:jc w:val="left"/>
        <w:rPr>
          <w:rFonts w:hint="eastAsia"/>
          <w:sz w:val="30"/>
          <w:szCs w:val="30"/>
        </w:rPr>
      </w:pPr>
    </w:p>
    <w:p w14:paraId="4C5486AF">
      <w:pPr>
        <w:pStyle w:val="9"/>
        <w:spacing w:before="11"/>
        <w:ind w:left="0"/>
        <w:jc w:val="left"/>
        <w:rPr>
          <w:rFonts w:hint="eastAsia"/>
          <w:sz w:val="30"/>
          <w:szCs w:val="30"/>
        </w:rPr>
      </w:pPr>
      <w:r>
        <w:rPr>
          <w:rFonts w:hint="eastAsia"/>
          <w:sz w:val="30"/>
          <w:szCs w:val="30"/>
        </w:rPr>
        <w:t>In verse 38, God tells us that the City will be rebuilt for the LORD.</w:t>
      </w:r>
    </w:p>
    <w:p w14:paraId="12C18763">
      <w:pPr>
        <w:pStyle w:val="9"/>
        <w:spacing w:before="11"/>
        <w:ind w:left="0"/>
        <w:jc w:val="left"/>
        <w:rPr>
          <w:rFonts w:hint="eastAsia"/>
          <w:sz w:val="30"/>
          <w:szCs w:val="30"/>
        </w:rPr>
      </w:pPr>
      <w:r>
        <w:rPr>
          <w:rFonts w:hint="eastAsia"/>
          <w:sz w:val="30"/>
          <w:szCs w:val="30"/>
        </w:rPr>
        <w:t>在第38节，上帝告诉我们这城将为耶和华重建。</w:t>
      </w:r>
    </w:p>
    <w:p w14:paraId="2DF81BAC">
      <w:pPr>
        <w:pStyle w:val="9"/>
        <w:spacing w:before="11"/>
        <w:ind w:left="0"/>
        <w:jc w:val="left"/>
        <w:rPr>
          <w:rFonts w:hint="eastAsia"/>
          <w:sz w:val="30"/>
          <w:szCs w:val="30"/>
        </w:rPr>
      </w:pPr>
    </w:p>
    <w:p w14:paraId="7743316F">
      <w:pPr>
        <w:pStyle w:val="9"/>
        <w:spacing w:before="11"/>
        <w:ind w:left="0"/>
        <w:jc w:val="left"/>
        <w:rPr>
          <w:rFonts w:hint="eastAsia"/>
          <w:sz w:val="30"/>
          <w:szCs w:val="30"/>
        </w:rPr>
      </w:pPr>
      <w:r>
        <w:rPr>
          <w:rFonts w:hint="eastAsia"/>
          <w:sz w:val="30"/>
          <w:szCs w:val="30"/>
        </w:rPr>
        <w:t>This reminds us of Paul’s word to the Ephesians, that Christ is building up his Church to be a dwelling place of God by the Spirit, and that the Church will exist for the glory of God to all generations (Eph. 2:22, 3:20-21).</w:t>
      </w:r>
    </w:p>
    <w:p w14:paraId="52ECFD8D">
      <w:pPr>
        <w:pStyle w:val="9"/>
        <w:spacing w:before="11"/>
        <w:ind w:left="0"/>
        <w:jc w:val="left"/>
        <w:rPr>
          <w:rFonts w:hint="eastAsia"/>
          <w:sz w:val="30"/>
          <w:szCs w:val="30"/>
        </w:rPr>
      </w:pPr>
      <w:r>
        <w:rPr>
          <w:rFonts w:hint="eastAsia"/>
          <w:sz w:val="30"/>
          <w:szCs w:val="30"/>
        </w:rPr>
        <w:t>这让我们想起保罗对以弗所人所说的话，即基督正在建造祂的教会，使其成为上帝藉着圣灵居住的所在，并且教会将为上帝的荣耀存到万代（以弗所书 2:22, 3:20-21）。</w:t>
      </w:r>
    </w:p>
    <w:p w14:paraId="5978BCB8">
      <w:pPr>
        <w:pStyle w:val="9"/>
        <w:spacing w:before="11"/>
        <w:ind w:left="0"/>
        <w:jc w:val="left"/>
        <w:rPr>
          <w:rFonts w:hint="eastAsia"/>
          <w:sz w:val="30"/>
          <w:szCs w:val="30"/>
        </w:rPr>
      </w:pPr>
    </w:p>
    <w:p w14:paraId="055DAED0">
      <w:pPr>
        <w:pStyle w:val="9"/>
        <w:spacing w:before="11"/>
        <w:ind w:left="0"/>
        <w:jc w:val="left"/>
        <w:rPr>
          <w:rFonts w:hint="eastAsia"/>
          <w:sz w:val="30"/>
          <w:szCs w:val="30"/>
        </w:rPr>
      </w:pPr>
      <w:r>
        <w:rPr>
          <w:rFonts w:hint="eastAsia"/>
          <w:sz w:val="30"/>
          <w:szCs w:val="30"/>
        </w:rPr>
        <w:t>As for the Tower of Hananel and the Corner Gate, according to some commentators these well-known landmarks stood at opposite ends of the old city; according to others, they stood at the opposite ends of the northern wall.</w:t>
      </w:r>
    </w:p>
    <w:p w14:paraId="5EA01F58">
      <w:pPr>
        <w:pStyle w:val="9"/>
        <w:spacing w:before="11"/>
        <w:ind w:left="0"/>
        <w:jc w:val="left"/>
        <w:rPr>
          <w:rFonts w:hint="eastAsia"/>
          <w:sz w:val="30"/>
          <w:szCs w:val="30"/>
        </w:rPr>
      </w:pPr>
      <w:r>
        <w:rPr>
          <w:rFonts w:hint="eastAsia"/>
          <w:sz w:val="30"/>
          <w:szCs w:val="30"/>
        </w:rPr>
        <w:t>至于哈楠业楼和角门，根据一些注释家的说法，这些著名的地标位于旧城的两端；根据另一些人的说法，它们位于北墙的两端。</w:t>
      </w:r>
    </w:p>
    <w:p w14:paraId="476AE5FF">
      <w:pPr>
        <w:pStyle w:val="9"/>
        <w:spacing w:before="11"/>
        <w:ind w:left="0"/>
        <w:jc w:val="left"/>
        <w:rPr>
          <w:rFonts w:hint="eastAsia"/>
          <w:sz w:val="30"/>
          <w:szCs w:val="30"/>
        </w:rPr>
      </w:pPr>
    </w:p>
    <w:p w14:paraId="41D5EEB3">
      <w:pPr>
        <w:pStyle w:val="9"/>
        <w:spacing w:before="11"/>
        <w:ind w:left="0"/>
        <w:jc w:val="left"/>
        <w:rPr>
          <w:rFonts w:hint="eastAsia"/>
          <w:sz w:val="30"/>
          <w:szCs w:val="30"/>
        </w:rPr>
      </w:pPr>
      <w:r>
        <w:rPr>
          <w:rFonts w:hint="eastAsia"/>
          <w:sz w:val="30"/>
          <w:szCs w:val="30"/>
        </w:rPr>
        <w:t>In either case, the message here seems to be that the whole city will belong to the LORD.</w:t>
      </w:r>
    </w:p>
    <w:p w14:paraId="0B2984A8">
      <w:pPr>
        <w:pStyle w:val="9"/>
        <w:spacing w:before="11"/>
        <w:ind w:left="0"/>
        <w:jc w:val="left"/>
        <w:rPr>
          <w:rFonts w:hint="eastAsia"/>
          <w:sz w:val="30"/>
          <w:szCs w:val="30"/>
        </w:rPr>
      </w:pPr>
      <w:r>
        <w:rPr>
          <w:rFonts w:hint="eastAsia"/>
          <w:sz w:val="30"/>
          <w:szCs w:val="30"/>
        </w:rPr>
        <w:t>无论哪种情况，这里的信息似乎都是整个城市都将属于耶和华。</w:t>
      </w:r>
    </w:p>
    <w:p w14:paraId="23FF2FA5">
      <w:pPr>
        <w:pStyle w:val="9"/>
        <w:spacing w:before="11"/>
        <w:ind w:left="0"/>
        <w:jc w:val="left"/>
        <w:rPr>
          <w:rFonts w:hint="eastAsia"/>
          <w:sz w:val="30"/>
          <w:szCs w:val="30"/>
        </w:rPr>
      </w:pPr>
    </w:p>
    <w:p w14:paraId="4532B9AA">
      <w:pPr>
        <w:pStyle w:val="9"/>
        <w:spacing w:before="11"/>
        <w:ind w:left="0"/>
        <w:jc w:val="left"/>
        <w:rPr>
          <w:rFonts w:hint="eastAsia"/>
          <w:sz w:val="30"/>
          <w:szCs w:val="30"/>
        </w:rPr>
      </w:pPr>
      <w:r>
        <w:rPr>
          <w:rFonts w:hint="eastAsia"/>
          <w:sz w:val="30"/>
          <w:szCs w:val="30"/>
        </w:rPr>
        <w:t>And indeed this is the thrust of the entire prophecy, which declares that the City and all of its environs will be holy to the LORD.</w:t>
      </w:r>
    </w:p>
    <w:p w14:paraId="61D496AB">
      <w:pPr>
        <w:pStyle w:val="9"/>
        <w:spacing w:before="11"/>
        <w:ind w:left="0"/>
        <w:jc w:val="left"/>
        <w:rPr>
          <w:rFonts w:hint="eastAsia"/>
          <w:sz w:val="30"/>
          <w:szCs w:val="30"/>
        </w:rPr>
      </w:pPr>
      <w:r>
        <w:rPr>
          <w:rFonts w:hint="eastAsia"/>
          <w:sz w:val="30"/>
          <w:szCs w:val="30"/>
        </w:rPr>
        <w:t>的确，这就是整个预言的主旨，它宣告这城及其所有周边都将归耶和华为圣。</w:t>
      </w:r>
    </w:p>
    <w:p w14:paraId="3D7F5799">
      <w:pPr>
        <w:pStyle w:val="9"/>
        <w:spacing w:before="11"/>
        <w:ind w:left="0"/>
        <w:jc w:val="left"/>
        <w:rPr>
          <w:rFonts w:hint="eastAsia"/>
          <w:sz w:val="30"/>
          <w:szCs w:val="30"/>
        </w:rPr>
      </w:pPr>
    </w:p>
    <w:p w14:paraId="2BB9CE38">
      <w:pPr>
        <w:pStyle w:val="9"/>
        <w:spacing w:before="11"/>
        <w:ind w:left="0"/>
        <w:jc w:val="left"/>
        <w:rPr>
          <w:rFonts w:hint="eastAsia"/>
          <w:sz w:val="30"/>
          <w:szCs w:val="30"/>
        </w:rPr>
      </w:pPr>
      <w:r>
        <w:rPr>
          <w:rFonts w:hint="eastAsia"/>
          <w:sz w:val="30"/>
          <w:szCs w:val="30"/>
        </w:rPr>
        <w:t>The NT gives us the meaning, assuring us that the whole Church, and the whole world she inhabits, will one day be without spot or blemish or any such thing, but will have the very glory of God (v. 40, Joel 3:17, John 14:23, Eph. 2:21, 5:26-27, Rev. 21:2, 10-11).</w:t>
      </w:r>
    </w:p>
    <w:p w14:paraId="41F5EF4C">
      <w:pPr>
        <w:pStyle w:val="9"/>
        <w:spacing w:before="11"/>
        <w:ind w:left="0"/>
        <w:jc w:val="left"/>
        <w:rPr>
          <w:rFonts w:hint="eastAsia"/>
          <w:sz w:val="30"/>
          <w:szCs w:val="30"/>
        </w:rPr>
      </w:pPr>
      <w:r>
        <w:rPr>
          <w:rFonts w:hint="eastAsia"/>
          <w:sz w:val="30"/>
          <w:szCs w:val="30"/>
        </w:rPr>
        <w:t>新约给了我们意义，向我们保证整个教会，以及她所居住的整个世界，有一天将没有瑕疵、皱纹等类的病，而是有上帝的荣耀（40节, 约珥书 3:17, 约翰福音 14:23, 以弗所书 2:21, 5:26-27, 启示录 21:2, 10-11）。</w:t>
      </w:r>
    </w:p>
    <w:p w14:paraId="08B2C35E">
      <w:pPr>
        <w:pStyle w:val="9"/>
        <w:spacing w:before="11"/>
        <w:ind w:left="0"/>
        <w:jc w:val="left"/>
        <w:rPr>
          <w:rFonts w:hint="eastAsia"/>
          <w:sz w:val="30"/>
          <w:szCs w:val="30"/>
        </w:rPr>
      </w:pPr>
    </w:p>
    <w:p w14:paraId="090C6BF8">
      <w:pPr>
        <w:pStyle w:val="9"/>
        <w:spacing w:before="11"/>
        <w:ind w:left="0"/>
        <w:jc w:val="left"/>
        <w:rPr>
          <w:rFonts w:hint="eastAsia"/>
          <w:sz w:val="30"/>
          <w:szCs w:val="30"/>
        </w:rPr>
      </w:pPr>
      <w:r>
        <w:rPr>
          <w:rFonts w:hint="eastAsia"/>
          <w:sz w:val="30"/>
          <w:szCs w:val="30"/>
        </w:rPr>
        <w:t>The Line Will Go Out (39)</w:t>
      </w:r>
    </w:p>
    <w:p w14:paraId="2C7B39A2">
      <w:pPr>
        <w:pStyle w:val="9"/>
        <w:spacing w:before="11"/>
        <w:ind w:left="0"/>
        <w:jc w:val="left"/>
        <w:rPr>
          <w:rFonts w:hint="eastAsia"/>
          <w:sz w:val="30"/>
          <w:szCs w:val="30"/>
        </w:rPr>
      </w:pPr>
      <w:r>
        <w:rPr>
          <w:rFonts w:hint="eastAsia"/>
          <w:sz w:val="30"/>
          <w:szCs w:val="30"/>
        </w:rPr>
        <w:t>准绳必出去（39节）</w:t>
      </w:r>
    </w:p>
    <w:p w14:paraId="6FAA0D6C">
      <w:pPr>
        <w:pStyle w:val="9"/>
        <w:spacing w:before="11"/>
        <w:ind w:left="0"/>
        <w:jc w:val="left"/>
        <w:rPr>
          <w:rFonts w:hint="eastAsia"/>
          <w:sz w:val="30"/>
          <w:szCs w:val="30"/>
        </w:rPr>
      </w:pPr>
    </w:p>
    <w:p w14:paraId="0447368D">
      <w:pPr>
        <w:pStyle w:val="9"/>
        <w:spacing w:before="11"/>
        <w:ind w:left="0"/>
        <w:jc w:val="left"/>
        <w:rPr>
          <w:rFonts w:hint="eastAsia"/>
          <w:sz w:val="30"/>
          <w:szCs w:val="30"/>
        </w:rPr>
      </w:pPr>
      <w:r>
        <w:rPr>
          <w:rFonts w:hint="eastAsia"/>
          <w:sz w:val="30"/>
          <w:szCs w:val="30"/>
        </w:rPr>
        <w:t>In speaking of a measuring line that goes straight out to the hill Gareb, and then turns to Goah, verse 39 alludes to the expansion of the Church, and also to the complete healing of the world that she will inherit in the Consummation: Through Christ, at his Parousia, God will swallow up all things—even death itself—in victory (Dan. 9:25, Mt. 13:31-33, Rom. 8:18f, 1 Cor. 15:54, Col. 2:19, Rev. 5:9).</w:t>
      </w:r>
    </w:p>
    <w:p w14:paraId="1A5CDC87">
      <w:pPr>
        <w:pStyle w:val="9"/>
        <w:spacing w:before="11"/>
        <w:ind w:left="0"/>
        <w:jc w:val="left"/>
        <w:rPr>
          <w:rFonts w:hint="eastAsia"/>
          <w:sz w:val="30"/>
          <w:szCs w:val="30"/>
        </w:rPr>
      </w:pPr>
      <w:r>
        <w:rPr>
          <w:rFonts w:hint="eastAsia"/>
          <w:sz w:val="30"/>
          <w:szCs w:val="30"/>
        </w:rPr>
        <w:t>在谈到一条直达迦立山，然后转向歌亚的准绳时，第39节暗示了教会的扩张，以及她在“成全”时将要继承的世界的完全医治：通过基督，在祂的再临时，上帝将把万有——甚至死亡本身——都吞灭在胜利中（但以理书 9:25, 马太福音 13:31-33, 罗马书 8:18及后文, 哥林多前书 15:54, 歌罗西书 2:19, 启示录 5:9）。</w:t>
      </w:r>
    </w:p>
    <w:p w14:paraId="477FC154">
      <w:pPr>
        <w:pStyle w:val="9"/>
        <w:spacing w:before="11"/>
        <w:ind w:left="0"/>
        <w:jc w:val="left"/>
        <w:rPr>
          <w:rFonts w:hint="eastAsia"/>
          <w:sz w:val="30"/>
          <w:szCs w:val="30"/>
        </w:rPr>
      </w:pPr>
    </w:p>
    <w:p w14:paraId="37955CD6">
      <w:pPr>
        <w:pStyle w:val="9"/>
        <w:spacing w:before="11"/>
        <w:ind w:left="0"/>
        <w:jc w:val="left"/>
        <w:rPr>
          <w:rFonts w:hint="eastAsia"/>
          <w:sz w:val="30"/>
          <w:szCs w:val="30"/>
        </w:rPr>
      </w:pPr>
      <w:r>
        <w:rPr>
          <w:rFonts w:hint="eastAsia"/>
          <w:sz w:val="30"/>
          <w:szCs w:val="30"/>
        </w:rPr>
        <w:t>The details support this happy conclusion.</w:t>
      </w:r>
    </w:p>
    <w:p w14:paraId="2A0EA40F">
      <w:pPr>
        <w:pStyle w:val="9"/>
        <w:spacing w:before="11"/>
        <w:ind w:left="0"/>
        <w:jc w:val="left"/>
        <w:rPr>
          <w:rFonts w:hint="eastAsia"/>
          <w:sz w:val="30"/>
          <w:szCs w:val="30"/>
        </w:rPr>
      </w:pPr>
      <w:r>
        <w:rPr>
          <w:rFonts w:hint="eastAsia"/>
          <w:sz w:val="30"/>
          <w:szCs w:val="30"/>
        </w:rPr>
        <w:t>细节支持这个快乐的结论。</w:t>
      </w:r>
    </w:p>
    <w:p w14:paraId="58C719FE">
      <w:pPr>
        <w:pStyle w:val="9"/>
        <w:spacing w:before="11"/>
        <w:ind w:left="0"/>
        <w:jc w:val="left"/>
        <w:rPr>
          <w:rFonts w:hint="eastAsia"/>
          <w:sz w:val="30"/>
          <w:szCs w:val="30"/>
        </w:rPr>
      </w:pPr>
    </w:p>
    <w:p w14:paraId="618B4E41">
      <w:pPr>
        <w:pStyle w:val="9"/>
        <w:spacing w:before="11"/>
        <w:ind w:left="0"/>
        <w:jc w:val="left"/>
        <w:rPr>
          <w:rFonts w:hint="eastAsia"/>
          <w:sz w:val="30"/>
          <w:szCs w:val="30"/>
        </w:rPr>
      </w:pPr>
      <w:r>
        <w:rPr>
          <w:rFonts w:hint="eastAsia"/>
          <w:sz w:val="30"/>
          <w:szCs w:val="30"/>
        </w:rPr>
        <w:t>Commentators tell us that Gareb was a hill to the northwest of Jerusalem where lepers dwelt, and that Goah was the place of capital punishment.</w:t>
      </w:r>
    </w:p>
    <w:p w14:paraId="16CF5F7D">
      <w:pPr>
        <w:pStyle w:val="9"/>
        <w:spacing w:before="11"/>
        <w:ind w:left="0"/>
        <w:jc w:val="left"/>
        <w:rPr>
          <w:rFonts w:hint="eastAsia"/>
          <w:sz w:val="30"/>
          <w:szCs w:val="30"/>
        </w:rPr>
      </w:pPr>
      <w:r>
        <w:rPr>
          <w:rFonts w:hint="eastAsia"/>
          <w:sz w:val="30"/>
          <w:szCs w:val="30"/>
        </w:rPr>
        <w:t>注释家告诉我们，迦立是耶路撒冷西北的一座山，那里住着麻风病人，而歌亚是死刑执行地。</w:t>
      </w:r>
    </w:p>
    <w:p w14:paraId="2D55F670">
      <w:pPr>
        <w:pStyle w:val="9"/>
        <w:spacing w:before="11"/>
        <w:ind w:left="0"/>
        <w:jc w:val="left"/>
        <w:rPr>
          <w:rFonts w:hint="eastAsia"/>
          <w:sz w:val="30"/>
          <w:szCs w:val="30"/>
        </w:rPr>
      </w:pPr>
    </w:p>
    <w:p w14:paraId="6C5EC687">
      <w:pPr>
        <w:pStyle w:val="9"/>
        <w:spacing w:before="11"/>
        <w:ind w:left="0"/>
        <w:jc w:val="left"/>
        <w:rPr>
          <w:rFonts w:hint="eastAsia"/>
          <w:sz w:val="30"/>
          <w:szCs w:val="30"/>
        </w:rPr>
      </w:pPr>
      <w:r>
        <w:rPr>
          <w:rFonts w:hint="eastAsia"/>
          <w:sz w:val="30"/>
          <w:szCs w:val="30"/>
        </w:rPr>
        <w:t>If so, the idea here would be that in that Day the Redeemer’s mighty arm will extend to the vilest offenders and to the worst sufferers, all of whom he will gladly gather into the precincts of the Holy City, upon condition of simple faith in him (Mt. 11:5, 28, Luke 15:1-2, 1 Cor. 6:9-11).</w:t>
      </w:r>
    </w:p>
    <w:p w14:paraId="385B7EC5">
      <w:pPr>
        <w:pStyle w:val="9"/>
        <w:spacing w:before="11"/>
        <w:ind w:left="0"/>
        <w:jc w:val="left"/>
        <w:rPr>
          <w:rFonts w:hint="eastAsia"/>
          <w:sz w:val="30"/>
          <w:szCs w:val="30"/>
        </w:rPr>
      </w:pPr>
      <w:r>
        <w:rPr>
          <w:rFonts w:hint="eastAsia"/>
          <w:sz w:val="30"/>
          <w:szCs w:val="30"/>
        </w:rPr>
        <w:t>如果是这样，这里的观念将是，在那日，救赎主大能的膀臂将伸向最卑劣的罪犯和最痛苦的人，祂将乐意将他们都聚集到圣城的 precinct 中，条件是他们对祂有简单的信心（马太福音 11:5, 28, 路加福音 15:1-2, 哥林多前书 6:9-11）。</w:t>
      </w:r>
    </w:p>
    <w:p w14:paraId="7CA8F2DA">
      <w:pPr>
        <w:pStyle w:val="9"/>
        <w:spacing w:before="11"/>
        <w:ind w:left="0"/>
        <w:jc w:val="left"/>
        <w:rPr>
          <w:rFonts w:hint="eastAsia"/>
          <w:sz w:val="30"/>
          <w:szCs w:val="30"/>
        </w:rPr>
      </w:pPr>
    </w:p>
    <w:p w14:paraId="647D8923">
      <w:pPr>
        <w:pStyle w:val="9"/>
        <w:spacing w:before="11"/>
        <w:ind w:left="0"/>
        <w:jc w:val="left"/>
        <w:rPr>
          <w:rFonts w:hint="eastAsia"/>
          <w:sz w:val="30"/>
          <w:szCs w:val="30"/>
        </w:rPr>
      </w:pPr>
      <w:r>
        <w:rPr>
          <w:rFonts w:hint="eastAsia"/>
          <w:sz w:val="30"/>
          <w:szCs w:val="30"/>
        </w:rPr>
        <w:t>Forever Holy to the LORD (40)</w:t>
      </w:r>
    </w:p>
    <w:p w14:paraId="4AEB4B1E">
      <w:pPr>
        <w:pStyle w:val="9"/>
        <w:spacing w:before="11"/>
        <w:ind w:left="0"/>
        <w:jc w:val="left"/>
        <w:rPr>
          <w:rFonts w:hint="eastAsia"/>
          <w:sz w:val="30"/>
          <w:szCs w:val="30"/>
        </w:rPr>
      </w:pPr>
      <w:r>
        <w:rPr>
          <w:rFonts w:hint="eastAsia"/>
          <w:sz w:val="30"/>
          <w:szCs w:val="30"/>
        </w:rPr>
        <w:t>永远归耶和华为圣（40节）</w:t>
      </w:r>
    </w:p>
    <w:p w14:paraId="51247C53">
      <w:pPr>
        <w:pStyle w:val="9"/>
        <w:spacing w:before="11"/>
        <w:ind w:left="0"/>
        <w:jc w:val="left"/>
        <w:rPr>
          <w:rFonts w:hint="eastAsia"/>
          <w:sz w:val="30"/>
          <w:szCs w:val="30"/>
        </w:rPr>
      </w:pPr>
    </w:p>
    <w:p w14:paraId="361212AD">
      <w:pPr>
        <w:pStyle w:val="9"/>
        <w:spacing w:before="11"/>
        <w:ind w:left="0"/>
        <w:jc w:val="left"/>
        <w:rPr>
          <w:rFonts w:hint="eastAsia"/>
          <w:sz w:val="30"/>
          <w:szCs w:val="30"/>
        </w:rPr>
      </w:pPr>
      <w:r>
        <w:rPr>
          <w:rFonts w:hint="eastAsia"/>
          <w:sz w:val="30"/>
          <w:szCs w:val="30"/>
        </w:rPr>
        <w:t>Still more confirmation of this line of interpretation appears in verse 40, which tells us that the sacred environs will even include the Valley of the Sons of Hinnom.</w:t>
      </w:r>
    </w:p>
    <w:p w14:paraId="5FFD05C4">
      <w:pPr>
        <w:pStyle w:val="9"/>
        <w:spacing w:before="11"/>
        <w:ind w:left="0"/>
        <w:jc w:val="left"/>
        <w:rPr>
          <w:rFonts w:hint="eastAsia"/>
          <w:sz w:val="30"/>
          <w:szCs w:val="30"/>
        </w:rPr>
      </w:pPr>
      <w:r>
        <w:rPr>
          <w:rFonts w:hint="eastAsia"/>
          <w:sz w:val="30"/>
          <w:szCs w:val="30"/>
        </w:rPr>
        <w:t>对这种解释路线的更多确认出现在第40节，它告诉我们圣洁的周边甚至将包括欣嫩子谷。</w:t>
      </w:r>
    </w:p>
    <w:p w14:paraId="722CF100">
      <w:pPr>
        <w:pStyle w:val="9"/>
        <w:spacing w:before="11"/>
        <w:ind w:left="0"/>
        <w:jc w:val="left"/>
        <w:rPr>
          <w:rFonts w:hint="eastAsia"/>
          <w:sz w:val="30"/>
          <w:szCs w:val="30"/>
        </w:rPr>
      </w:pPr>
    </w:p>
    <w:p w14:paraId="12CF0D55">
      <w:pPr>
        <w:pStyle w:val="9"/>
        <w:spacing w:before="11"/>
        <w:ind w:left="0"/>
        <w:jc w:val="left"/>
        <w:rPr>
          <w:rFonts w:hint="eastAsia"/>
          <w:sz w:val="30"/>
          <w:szCs w:val="30"/>
        </w:rPr>
      </w:pPr>
      <w:r>
        <w:rPr>
          <w:rFonts w:hint="eastAsia"/>
          <w:sz w:val="30"/>
          <w:szCs w:val="30"/>
        </w:rPr>
        <w:t>Again, in OT times this valley, situated just outside Jerusalem, served as a garbage dump.</w:t>
      </w:r>
    </w:p>
    <w:p w14:paraId="0612BFB0">
      <w:pPr>
        <w:pStyle w:val="9"/>
        <w:spacing w:before="11"/>
        <w:ind w:left="0"/>
        <w:jc w:val="left"/>
        <w:rPr>
          <w:rFonts w:hint="eastAsia"/>
          <w:sz w:val="30"/>
          <w:szCs w:val="30"/>
        </w:rPr>
      </w:pPr>
      <w:r>
        <w:rPr>
          <w:rFonts w:hint="eastAsia"/>
          <w:sz w:val="30"/>
          <w:szCs w:val="30"/>
        </w:rPr>
        <w:t>再次，在旧约时代，这个位于耶路撒冷城外的山谷，曾被用作垃圾场。</w:t>
      </w:r>
    </w:p>
    <w:p w14:paraId="642DADE5">
      <w:pPr>
        <w:pStyle w:val="9"/>
        <w:spacing w:before="11"/>
        <w:ind w:left="0"/>
        <w:jc w:val="left"/>
        <w:rPr>
          <w:rFonts w:hint="eastAsia"/>
          <w:sz w:val="30"/>
          <w:szCs w:val="30"/>
        </w:rPr>
      </w:pPr>
    </w:p>
    <w:p w14:paraId="075471C5">
      <w:pPr>
        <w:pStyle w:val="9"/>
        <w:spacing w:before="11"/>
        <w:ind w:left="0"/>
        <w:jc w:val="left"/>
        <w:rPr>
          <w:rFonts w:hint="eastAsia"/>
          <w:sz w:val="30"/>
          <w:szCs w:val="30"/>
        </w:rPr>
      </w:pPr>
      <w:r>
        <w:rPr>
          <w:rFonts w:hint="eastAsia"/>
          <w:sz w:val="30"/>
          <w:szCs w:val="30"/>
        </w:rPr>
        <w:t>It was a place of refuse, stench, and fire, previously cursed and defiled by king Josiah, since there the apostate Jews had caused their children to “pass through the fire” to the Ammonite god, Molech; and since there they had buried their remains (2 Kings 23:10, Jer. 32:35).</w:t>
      </w:r>
    </w:p>
    <w:p w14:paraId="2807431E">
      <w:pPr>
        <w:pStyle w:val="9"/>
        <w:spacing w:before="11"/>
        <w:ind w:left="0"/>
        <w:jc w:val="left"/>
        <w:rPr>
          <w:rFonts w:hint="eastAsia"/>
          <w:sz w:val="30"/>
          <w:szCs w:val="30"/>
        </w:rPr>
      </w:pPr>
      <w:r>
        <w:rPr>
          <w:rFonts w:hint="eastAsia"/>
          <w:sz w:val="30"/>
          <w:szCs w:val="30"/>
        </w:rPr>
        <w:t>那是一个充满垃圾、恶臭和火焰的地方，先前被约西亚王咒诅和玷污，因为背道的犹太人曾在那里使他们的儿女“经火”献给亚扪人的神摩洛；也因为他们曾在那儿埋葬他们的遗骸（列王纪下 23:10, 耶利米书 32:35）。</w:t>
      </w:r>
    </w:p>
    <w:p w14:paraId="73397426">
      <w:pPr>
        <w:pStyle w:val="9"/>
        <w:spacing w:before="11"/>
        <w:ind w:left="0"/>
        <w:jc w:val="left"/>
        <w:rPr>
          <w:rFonts w:hint="eastAsia"/>
          <w:sz w:val="30"/>
          <w:szCs w:val="30"/>
        </w:rPr>
      </w:pPr>
    </w:p>
    <w:p w14:paraId="61AD0423">
      <w:pPr>
        <w:pStyle w:val="9"/>
        <w:spacing w:before="11"/>
        <w:ind w:left="0"/>
        <w:jc w:val="left"/>
        <w:rPr>
          <w:rFonts w:hint="eastAsia"/>
          <w:sz w:val="30"/>
          <w:szCs w:val="30"/>
        </w:rPr>
      </w:pPr>
      <w:r>
        <w:rPr>
          <w:rFonts w:hint="eastAsia"/>
          <w:sz w:val="30"/>
          <w:szCs w:val="30"/>
        </w:rPr>
        <w:t>Here, then, in thickly veiled imagery, God promises that Christ, at his return in judgment, will transform Topheth itself—and every other defiled corner of the physical universe—into new heavens and a new earth, the home of everlasting righteousness (Mt. 13:41, Phil. 3:21, 2 Peter 3:10, Rev. 21:1-5).</w:t>
      </w:r>
    </w:p>
    <w:p w14:paraId="0B6F7A95">
      <w:pPr>
        <w:pStyle w:val="9"/>
        <w:spacing w:before="11"/>
        <w:ind w:left="0"/>
        <w:jc w:val="left"/>
        <w:rPr>
          <w:rFonts w:hint="eastAsia"/>
          <w:sz w:val="30"/>
          <w:szCs w:val="30"/>
        </w:rPr>
      </w:pPr>
      <w:r>
        <w:rPr>
          <w:rFonts w:hint="eastAsia"/>
          <w:sz w:val="30"/>
          <w:szCs w:val="30"/>
        </w:rPr>
        <w:t>那么，在这里，上帝用厚厚的隐喻应许，基督在祂审判的再临时，将把陀斐特本身——以及物质宇宙中每一个被玷污的角落——都转变为新天新地，永恒公义的家园（马太福音 13:41, 腓立比书 3:21, 彼得后书 3:10, 启示录 21:1-5）。</w:t>
      </w:r>
    </w:p>
    <w:p w14:paraId="5E21022F">
      <w:pPr>
        <w:pStyle w:val="9"/>
        <w:spacing w:before="11"/>
        <w:ind w:left="0"/>
        <w:jc w:val="left"/>
        <w:rPr>
          <w:rFonts w:hint="eastAsia"/>
          <w:sz w:val="30"/>
          <w:szCs w:val="30"/>
        </w:rPr>
      </w:pPr>
    </w:p>
    <w:p w14:paraId="4C0D69C0">
      <w:pPr>
        <w:pStyle w:val="9"/>
        <w:spacing w:before="11"/>
        <w:ind w:left="0"/>
        <w:jc w:val="left"/>
        <w:rPr>
          <w:rFonts w:hint="eastAsia"/>
          <w:sz w:val="30"/>
          <w:szCs w:val="30"/>
        </w:rPr>
      </w:pPr>
      <w:r>
        <w:rPr>
          <w:rFonts w:hint="eastAsia"/>
          <w:sz w:val="30"/>
          <w:szCs w:val="30"/>
        </w:rPr>
        <w:t>In that Day, all the earth—and all the saints who constitute the City that fills the earth—will be holy to the LORD, forever (Rev. 21:2, 10).</w:t>
      </w:r>
    </w:p>
    <w:p w14:paraId="446B9FD6">
      <w:pPr>
        <w:pStyle w:val="9"/>
        <w:spacing w:before="11"/>
        <w:ind w:left="0"/>
        <w:jc w:val="left"/>
        <w:rPr>
          <w:rFonts w:hint="eastAsia"/>
          <w:sz w:val="30"/>
          <w:szCs w:val="30"/>
        </w:rPr>
      </w:pPr>
      <w:r>
        <w:rPr>
          <w:rFonts w:hint="eastAsia"/>
          <w:sz w:val="30"/>
          <w:szCs w:val="30"/>
        </w:rPr>
        <w:t>在那日，全地——以及构成充满全地的圣城的所有圣徒——都必永远归耶和华为圣（启示录 21:2, 10）。</w:t>
      </w:r>
    </w:p>
    <w:p w14:paraId="3F971FDC">
      <w:pPr>
        <w:pStyle w:val="9"/>
        <w:spacing w:before="11"/>
        <w:ind w:left="0"/>
        <w:jc w:val="left"/>
        <w:rPr>
          <w:rFonts w:hint="eastAsia"/>
          <w:sz w:val="30"/>
          <w:szCs w:val="30"/>
        </w:rPr>
      </w:pPr>
    </w:p>
    <w:p w14:paraId="3CDE2532">
      <w:pPr>
        <w:pStyle w:val="9"/>
        <w:spacing w:before="11"/>
        <w:ind w:left="0"/>
        <w:jc w:val="left"/>
        <w:rPr>
          <w:rFonts w:hint="eastAsia"/>
          <w:sz w:val="30"/>
          <w:szCs w:val="30"/>
        </w:rPr>
      </w:pPr>
      <w:r>
        <w:rPr>
          <w:rFonts w:hint="eastAsia"/>
          <w:sz w:val="30"/>
          <w:szCs w:val="30"/>
        </w:rPr>
        <w:t>In passing we should note that this OTKP is quite similar to two of Zechariah’s prophecies dealing with latter-day Jerusalem (Zech. 14:9-11, 19-21).</w:t>
      </w:r>
    </w:p>
    <w:p w14:paraId="4A11D111">
      <w:pPr>
        <w:pStyle w:val="9"/>
        <w:spacing w:before="11"/>
        <w:ind w:left="0"/>
        <w:jc w:val="left"/>
        <w:rPr>
          <w:rFonts w:hint="eastAsia"/>
          <w:sz w:val="30"/>
          <w:szCs w:val="30"/>
        </w:rPr>
      </w:pPr>
      <w:r>
        <w:rPr>
          <w:rFonts w:hint="eastAsia"/>
          <w:sz w:val="30"/>
          <w:szCs w:val="30"/>
        </w:rPr>
        <w:t>顺便提一下，我们应该注意到，这个旧约国度预言（OTKP）与撒迦利亚关于末后耶路撒冷的两个预言相当相似（撒迦利亚书 14:9-11, 19-21）。</w:t>
      </w:r>
    </w:p>
    <w:p w14:paraId="22C232D4">
      <w:pPr>
        <w:pStyle w:val="9"/>
        <w:spacing w:before="11"/>
        <w:ind w:left="0"/>
        <w:jc w:val="left"/>
        <w:rPr>
          <w:rFonts w:hint="eastAsia"/>
          <w:sz w:val="30"/>
          <w:szCs w:val="30"/>
        </w:rPr>
      </w:pPr>
    </w:p>
    <w:p w14:paraId="6842ACAF">
      <w:pPr>
        <w:pStyle w:val="9"/>
        <w:spacing w:before="11"/>
        <w:ind w:left="0"/>
        <w:jc w:val="left"/>
        <w:rPr>
          <w:rFonts w:hint="eastAsia"/>
          <w:sz w:val="30"/>
          <w:szCs w:val="30"/>
        </w:rPr>
      </w:pPr>
      <w:r>
        <w:rPr>
          <w:rFonts w:hint="eastAsia"/>
          <w:sz w:val="30"/>
          <w:szCs w:val="30"/>
        </w:rPr>
        <w:t>In these, however, it is even more clear that the prophet is looking ahead into the eschatological era, and that he does so using richly symbolic language that points mysteriously to the things of Christ and his Church.</w:t>
      </w:r>
    </w:p>
    <w:p w14:paraId="0131DBE7">
      <w:pPr>
        <w:pStyle w:val="9"/>
        <w:spacing w:before="11"/>
        <w:ind w:left="0"/>
        <w:jc w:val="left"/>
        <w:rPr>
          <w:rFonts w:hint="eastAsia"/>
          <w:sz w:val="30"/>
          <w:szCs w:val="30"/>
        </w:rPr>
      </w:pPr>
      <w:r>
        <w:rPr>
          <w:rFonts w:hint="eastAsia"/>
          <w:sz w:val="30"/>
          <w:szCs w:val="30"/>
        </w:rPr>
        <w:t>然而，在这些预言中，更清楚的是，先知正展望末世时代，并且他这样做是使用丰富的象征性语言，神秘地指向基督和祂教会的事。</w:t>
      </w:r>
    </w:p>
    <w:p w14:paraId="48B0E8BE">
      <w:pPr>
        <w:pStyle w:val="9"/>
        <w:spacing w:before="11"/>
        <w:ind w:left="0"/>
        <w:jc w:val="left"/>
        <w:rPr>
          <w:rFonts w:hint="eastAsia"/>
          <w:sz w:val="30"/>
          <w:szCs w:val="30"/>
        </w:rPr>
      </w:pPr>
    </w:p>
    <w:p w14:paraId="01653255">
      <w:pPr>
        <w:pStyle w:val="9"/>
        <w:spacing w:before="11"/>
        <w:ind w:left="0"/>
        <w:jc w:val="left"/>
        <w:rPr>
          <w:rFonts w:hint="eastAsia"/>
          <w:sz w:val="30"/>
          <w:szCs w:val="30"/>
        </w:rPr>
      </w:pPr>
      <w:r>
        <w:rPr>
          <w:rFonts w:hint="eastAsia"/>
          <w:sz w:val="30"/>
          <w:szCs w:val="30"/>
        </w:rPr>
        <w:t>We conclude, then, that the great German commentator, C. F. Keil (1807-1888), was quite right to sum up this prophecy as follows:</w:t>
      </w:r>
    </w:p>
    <w:p w14:paraId="474EBC0D">
      <w:pPr>
        <w:pStyle w:val="9"/>
        <w:spacing w:before="11"/>
        <w:ind w:left="0"/>
        <w:jc w:val="left"/>
        <w:rPr>
          <w:rFonts w:hint="eastAsia"/>
          <w:sz w:val="30"/>
          <w:szCs w:val="30"/>
        </w:rPr>
      </w:pPr>
      <w:r>
        <w:rPr>
          <w:rFonts w:hint="eastAsia"/>
          <w:sz w:val="30"/>
          <w:szCs w:val="30"/>
        </w:rPr>
        <w:t>因此，我们得出结论，伟大的德国注释家 C. F. 凯尔（1807-1888）对这个预言的总结是相当正确的：</w:t>
      </w:r>
    </w:p>
    <w:p w14:paraId="24FF6A05">
      <w:pPr>
        <w:pStyle w:val="9"/>
        <w:spacing w:before="11"/>
        <w:ind w:left="0"/>
        <w:jc w:val="left"/>
        <w:rPr>
          <w:rFonts w:hint="eastAsia"/>
          <w:sz w:val="30"/>
          <w:szCs w:val="30"/>
        </w:rPr>
      </w:pPr>
    </w:p>
    <w:p w14:paraId="7930542F">
      <w:pPr>
        <w:pStyle w:val="9"/>
        <w:spacing w:before="11"/>
        <w:ind w:left="0"/>
        <w:jc w:val="left"/>
        <w:rPr>
          <w:rFonts w:hint="eastAsia"/>
          <w:sz w:val="30"/>
          <w:szCs w:val="30"/>
        </w:rPr>
      </w:pPr>
      <w:r>
        <w:rPr>
          <w:rFonts w:hint="eastAsia"/>
          <w:sz w:val="30"/>
          <w:szCs w:val="30"/>
        </w:rPr>
        <w:t>The prophecy does not refer to the building of Jerusalem after the exile, but to the erection of a more spiritual Kingdom of God in the Messianic age.</w:t>
      </w:r>
    </w:p>
    <w:p w14:paraId="688A968D">
      <w:pPr>
        <w:pStyle w:val="9"/>
        <w:spacing w:before="11"/>
        <w:ind w:left="0"/>
        <w:jc w:val="left"/>
        <w:rPr>
          <w:rFonts w:hint="eastAsia"/>
          <w:sz w:val="30"/>
          <w:szCs w:val="30"/>
        </w:rPr>
      </w:pPr>
      <w:r>
        <w:rPr>
          <w:rFonts w:hint="eastAsia"/>
          <w:sz w:val="30"/>
          <w:szCs w:val="30"/>
        </w:rPr>
        <w:t>这预言不是指被掳后耶路撒冷的建造，而是指在弥赛亚时代建立一个更属灵的上帝之国。</w:t>
      </w:r>
    </w:p>
    <w:p w14:paraId="27405A8A">
      <w:pPr>
        <w:pStyle w:val="9"/>
        <w:spacing w:before="11"/>
        <w:ind w:left="0"/>
        <w:jc w:val="left"/>
        <w:rPr>
          <w:rFonts w:hint="eastAsia"/>
          <w:sz w:val="30"/>
          <w:szCs w:val="30"/>
        </w:rPr>
      </w:pPr>
    </w:p>
    <w:p w14:paraId="66641246">
      <w:pPr>
        <w:pStyle w:val="9"/>
        <w:spacing w:before="11"/>
        <w:ind w:left="0"/>
        <w:jc w:val="left"/>
        <w:rPr>
          <w:rFonts w:hint="eastAsia"/>
          <w:sz w:val="30"/>
          <w:szCs w:val="30"/>
        </w:rPr>
      </w:pPr>
      <w:r>
        <w:rPr>
          <w:rFonts w:hint="eastAsia"/>
          <w:sz w:val="30"/>
          <w:szCs w:val="30"/>
        </w:rPr>
        <w:t>Indeed, it reaches to the time when the Kingdom of God shall have been perfected.</w:t>
      </w:r>
    </w:p>
    <w:p w14:paraId="0D7F926D">
      <w:pPr>
        <w:pStyle w:val="9"/>
        <w:spacing w:before="11"/>
        <w:ind w:left="0"/>
        <w:jc w:val="left"/>
        <w:rPr>
          <w:rFonts w:hint="eastAsia"/>
          <w:sz w:val="30"/>
          <w:szCs w:val="30"/>
        </w:rPr>
      </w:pPr>
      <w:r>
        <w:rPr>
          <w:rFonts w:hint="eastAsia"/>
          <w:sz w:val="30"/>
          <w:szCs w:val="30"/>
        </w:rPr>
        <w:t>实际上，它延伸到上帝之国得以完全的时候。</w:t>
      </w:r>
    </w:p>
    <w:p w14:paraId="66C721EF">
      <w:pPr>
        <w:pStyle w:val="9"/>
        <w:spacing w:before="11"/>
        <w:ind w:left="0"/>
        <w:jc w:val="left"/>
        <w:rPr>
          <w:rFonts w:hint="eastAsia"/>
          <w:sz w:val="30"/>
          <w:szCs w:val="30"/>
        </w:rPr>
      </w:pPr>
    </w:p>
    <w:p w14:paraId="7F6B5565">
      <w:pPr>
        <w:pStyle w:val="9"/>
        <w:spacing w:before="11"/>
        <w:ind w:left="0"/>
        <w:jc w:val="left"/>
        <w:rPr>
          <w:rFonts w:hint="eastAsia"/>
          <w:sz w:val="30"/>
          <w:szCs w:val="30"/>
        </w:rPr>
      </w:pPr>
      <w:r>
        <w:rPr>
          <w:rFonts w:hint="eastAsia"/>
          <w:sz w:val="30"/>
          <w:szCs w:val="30"/>
        </w:rPr>
        <w:t>It contains under an Old Testament dress the outlines of the image of the heavenly Jerusalem that John saw on Patmos in its full glory.12</w:t>
      </w:r>
    </w:p>
    <w:p w14:paraId="7B179E57">
      <w:pPr>
        <w:pStyle w:val="9"/>
        <w:spacing w:before="11"/>
        <w:ind w:left="0"/>
        <w:jc w:val="left"/>
        <w:rPr>
          <w:rFonts w:hint="eastAsia"/>
          <w:sz w:val="30"/>
          <w:szCs w:val="30"/>
        </w:rPr>
      </w:pPr>
      <w:r>
        <w:rPr>
          <w:rFonts w:hint="eastAsia"/>
          <w:sz w:val="30"/>
          <w:szCs w:val="30"/>
        </w:rPr>
        <w:t>它在旧约的外衣下，包含了约翰在拔摩岛上看到的，在其完全荣耀中的天上耶路撒冷形象的轮廓。12</w:t>
      </w:r>
    </w:p>
    <w:p w14:paraId="1F117A89">
      <w:pPr>
        <w:pStyle w:val="9"/>
        <w:spacing w:before="11"/>
        <w:ind w:left="0"/>
        <w:jc w:val="left"/>
        <w:rPr>
          <w:rFonts w:hint="eastAsia"/>
          <w:sz w:val="30"/>
          <w:szCs w:val="30"/>
        </w:rPr>
      </w:pPr>
    </w:p>
    <w:p w14:paraId="0A8DF0D0">
      <w:pPr>
        <w:pStyle w:val="9"/>
        <w:spacing w:before="11"/>
        <w:ind w:left="0"/>
        <w:jc w:val="left"/>
        <w:rPr>
          <w:rFonts w:hint="eastAsia"/>
          <w:sz w:val="30"/>
          <w:szCs w:val="30"/>
        </w:rPr>
      </w:pPr>
      <w:r>
        <w:rPr>
          <w:rFonts w:hint="eastAsia"/>
          <w:sz w:val="30"/>
          <w:szCs w:val="30"/>
        </w:rPr>
        <w:t>In so speaking, Keil shows himself a master of the NCH.</w:t>
      </w:r>
    </w:p>
    <w:p w14:paraId="3BC8B06A">
      <w:pPr>
        <w:pStyle w:val="9"/>
        <w:spacing w:before="11"/>
        <w:ind w:left="0"/>
        <w:jc w:val="left"/>
        <w:rPr>
          <w:rFonts w:hint="eastAsia"/>
          <w:sz w:val="30"/>
          <w:szCs w:val="30"/>
        </w:rPr>
      </w:pPr>
      <w:r>
        <w:rPr>
          <w:rFonts w:hint="eastAsia"/>
          <w:sz w:val="30"/>
          <w:szCs w:val="30"/>
        </w:rPr>
        <w:t>凯尔如此说话，表明他是一位新约解释学（NCH）的大师。</w:t>
      </w:r>
    </w:p>
    <w:p w14:paraId="698506A2">
      <w:pPr>
        <w:pStyle w:val="9"/>
        <w:spacing w:before="11"/>
        <w:ind w:left="0"/>
        <w:jc w:val="left"/>
        <w:rPr>
          <w:rFonts w:hint="eastAsia"/>
          <w:sz w:val="30"/>
          <w:szCs w:val="30"/>
        </w:rPr>
      </w:pPr>
    </w:p>
    <w:p w14:paraId="48322336">
      <w:pPr>
        <w:pStyle w:val="9"/>
        <w:spacing w:before="11"/>
        <w:ind w:left="0"/>
        <w:jc w:val="left"/>
        <w:rPr>
          <w:rFonts w:hint="eastAsia"/>
          <w:sz w:val="30"/>
          <w:szCs w:val="30"/>
        </w:rPr>
      </w:pPr>
      <w:r>
        <w:rPr>
          <w:rFonts w:hint="eastAsia"/>
          <w:sz w:val="30"/>
          <w:szCs w:val="30"/>
        </w:rPr>
        <w:t>We do well, I think, to follow his lead.</w:t>
      </w:r>
    </w:p>
    <w:p w14:paraId="6A72D523">
      <w:pPr>
        <w:pStyle w:val="9"/>
        <w:spacing w:before="11"/>
        <w:ind w:left="0"/>
        <w:jc w:val="left"/>
        <w:rPr>
          <w:sz w:val="30"/>
          <w:szCs w:val="30"/>
        </w:rPr>
      </w:pPr>
      <w:r>
        <w:rPr>
          <w:rFonts w:hint="eastAsia"/>
          <w:sz w:val="30"/>
          <w:szCs w:val="30"/>
        </w:rPr>
        <w:t>我认为，我们应当效法他的榜样。</w:t>
      </w:r>
    </w:p>
    <w:p w14:paraId="0AFC8843">
      <w:pPr>
        <w:pStyle w:val="9"/>
        <w:spacing w:after="0" w:line="249" w:lineRule="auto"/>
        <w:sectPr>
          <w:pgSz w:w="12240" w:h="15840"/>
          <w:pgMar w:top="1380" w:right="1440" w:bottom="280" w:left="1440" w:header="720" w:footer="720" w:gutter="0"/>
          <w:cols w:space="720" w:num="1"/>
        </w:sectPr>
      </w:pPr>
    </w:p>
    <w:p w14:paraId="1FBE0259">
      <w:pPr>
        <w:pStyle w:val="2"/>
        <w:bidi w:val="0"/>
        <w:rPr>
          <w:rFonts w:hint="eastAsia"/>
        </w:rPr>
      </w:pPr>
      <w:bookmarkStart w:id="44" w:name="Chapter 16: OT Kingdom Prophecies Consid"/>
      <w:bookmarkEnd w:id="44"/>
      <w:bookmarkStart w:id="45" w:name="_bookmark79"/>
      <w:bookmarkEnd w:id="45"/>
      <w:r>
        <w:rPr>
          <w:rFonts w:hint="eastAsia"/>
        </w:rPr>
        <w:t>Chapter 16</w:t>
      </w:r>
    </w:p>
    <w:p w14:paraId="4438F4F9">
      <w:pPr>
        <w:pStyle w:val="3"/>
        <w:bidi w:val="0"/>
        <w:rPr>
          <w:rFonts w:hint="eastAsia"/>
        </w:rPr>
      </w:pPr>
      <w:r>
        <w:rPr>
          <w:rFonts w:hint="eastAsia"/>
        </w:rPr>
        <w:t>思考旧约国度预言：以西结书</w:t>
      </w:r>
    </w:p>
    <w:p w14:paraId="48D4758B">
      <w:pPr>
        <w:pStyle w:val="9"/>
        <w:spacing w:before="11"/>
        <w:ind w:left="0"/>
        <w:jc w:val="left"/>
        <w:rPr>
          <w:rFonts w:hint="eastAsia"/>
          <w:sz w:val="30"/>
          <w:szCs w:val="30"/>
        </w:rPr>
      </w:pPr>
    </w:p>
    <w:p w14:paraId="760D81CD">
      <w:pPr>
        <w:pStyle w:val="9"/>
        <w:spacing w:before="11"/>
        <w:ind w:left="0"/>
        <w:jc w:val="left"/>
        <w:rPr>
          <w:rFonts w:hint="eastAsia"/>
          <w:sz w:val="30"/>
          <w:szCs w:val="30"/>
        </w:rPr>
      </w:pPr>
      <w:r>
        <w:rPr>
          <w:rFonts w:hint="eastAsia"/>
          <w:sz w:val="30"/>
          <w:szCs w:val="30"/>
        </w:rPr>
        <w:t>IN OUR NEXT two chapters we will spend considerable time with the two OT prophets who served God (and us) during the days of Israel’s exile in Babylon: Ezekiel and Daniel.</w:t>
      </w:r>
    </w:p>
    <w:p w14:paraId="274F899C">
      <w:pPr>
        <w:pStyle w:val="9"/>
        <w:spacing w:before="11"/>
        <w:ind w:left="0"/>
        <w:jc w:val="left"/>
        <w:rPr>
          <w:rFonts w:hint="eastAsia"/>
          <w:sz w:val="30"/>
          <w:szCs w:val="30"/>
        </w:rPr>
      </w:pPr>
      <w:r>
        <w:rPr>
          <w:rFonts w:hint="eastAsia"/>
          <w:sz w:val="30"/>
          <w:szCs w:val="30"/>
        </w:rPr>
        <w:t>在接下来的两章中，我们将花费大量时间来探讨两位在以色列人被掳到巴比伦期间事奉神（也事奉我们）的旧约先知：以西结和但以理。</w:t>
      </w:r>
    </w:p>
    <w:p w14:paraId="500F9E6D">
      <w:pPr>
        <w:pStyle w:val="9"/>
        <w:spacing w:before="11"/>
        <w:ind w:left="0"/>
        <w:jc w:val="left"/>
        <w:rPr>
          <w:rFonts w:hint="eastAsia"/>
          <w:sz w:val="30"/>
          <w:szCs w:val="30"/>
        </w:rPr>
      </w:pPr>
    </w:p>
    <w:p w14:paraId="2EB2CF73">
      <w:pPr>
        <w:pStyle w:val="9"/>
        <w:spacing w:before="11"/>
        <w:ind w:left="0"/>
        <w:jc w:val="left"/>
        <w:rPr>
          <w:rFonts w:hint="eastAsia"/>
          <w:sz w:val="30"/>
          <w:szCs w:val="30"/>
        </w:rPr>
      </w:pPr>
      <w:r>
        <w:rPr>
          <w:rFonts w:hint="eastAsia"/>
          <w:sz w:val="30"/>
          <w:szCs w:val="30"/>
        </w:rPr>
        <w:t>Their writings are loaded with OTKP’s, some of which are quite difficult to understand.</w:t>
      </w:r>
    </w:p>
    <w:p w14:paraId="2EF5B958">
      <w:pPr>
        <w:pStyle w:val="9"/>
        <w:spacing w:before="11"/>
        <w:ind w:left="0"/>
        <w:jc w:val="left"/>
        <w:rPr>
          <w:rFonts w:hint="eastAsia"/>
          <w:sz w:val="30"/>
          <w:szCs w:val="30"/>
        </w:rPr>
      </w:pPr>
      <w:r>
        <w:rPr>
          <w:rFonts w:hint="eastAsia"/>
          <w:sz w:val="30"/>
          <w:szCs w:val="30"/>
        </w:rPr>
        <w:t>他们的著作充满了旧约国度预言，其中一些相当难以理解。</w:t>
      </w:r>
    </w:p>
    <w:p w14:paraId="0A98C444">
      <w:pPr>
        <w:pStyle w:val="9"/>
        <w:spacing w:before="11"/>
        <w:ind w:left="0"/>
        <w:jc w:val="left"/>
        <w:rPr>
          <w:rFonts w:hint="eastAsia"/>
          <w:sz w:val="30"/>
          <w:szCs w:val="30"/>
        </w:rPr>
      </w:pPr>
    </w:p>
    <w:p w14:paraId="727F0C5F">
      <w:pPr>
        <w:pStyle w:val="9"/>
        <w:spacing w:before="11"/>
        <w:ind w:left="0"/>
        <w:jc w:val="left"/>
        <w:rPr>
          <w:rFonts w:hint="eastAsia"/>
          <w:sz w:val="30"/>
          <w:szCs w:val="30"/>
        </w:rPr>
      </w:pPr>
      <w:r>
        <w:rPr>
          <w:rFonts w:hint="eastAsia"/>
          <w:sz w:val="30"/>
          <w:szCs w:val="30"/>
        </w:rPr>
        <w:t>Of the two, I judge Ezekiel to be the most challenging.</w:t>
      </w:r>
    </w:p>
    <w:p w14:paraId="3F087A88">
      <w:pPr>
        <w:pStyle w:val="9"/>
        <w:spacing w:before="11"/>
        <w:ind w:left="0"/>
        <w:jc w:val="left"/>
        <w:rPr>
          <w:rFonts w:hint="eastAsia"/>
          <w:sz w:val="30"/>
          <w:szCs w:val="30"/>
        </w:rPr>
      </w:pPr>
      <w:r>
        <w:rPr>
          <w:rFonts w:hint="eastAsia"/>
          <w:sz w:val="30"/>
          <w:szCs w:val="30"/>
        </w:rPr>
        <w:t>在这两位先知中，我认为以西结书最具挑战性。</w:t>
      </w:r>
    </w:p>
    <w:p w14:paraId="4F1C53C9">
      <w:pPr>
        <w:pStyle w:val="9"/>
        <w:spacing w:before="11"/>
        <w:ind w:left="0"/>
        <w:jc w:val="left"/>
        <w:rPr>
          <w:rFonts w:hint="eastAsia"/>
          <w:sz w:val="30"/>
          <w:szCs w:val="30"/>
        </w:rPr>
      </w:pPr>
    </w:p>
    <w:p w14:paraId="3F42F6CD">
      <w:pPr>
        <w:pStyle w:val="9"/>
        <w:spacing w:before="11"/>
        <w:ind w:left="0"/>
        <w:jc w:val="left"/>
        <w:rPr>
          <w:rFonts w:hint="eastAsia"/>
          <w:sz w:val="30"/>
          <w:szCs w:val="30"/>
        </w:rPr>
      </w:pPr>
      <w:r>
        <w:rPr>
          <w:rFonts w:hint="eastAsia"/>
          <w:sz w:val="30"/>
          <w:szCs w:val="30"/>
        </w:rPr>
        <w:t>As we will soon see, the OTKP’s that bring his book to a close have given rise to much speculation and controversy.</w:t>
      </w:r>
    </w:p>
    <w:p w14:paraId="4358A4EE">
      <w:pPr>
        <w:pStyle w:val="9"/>
        <w:spacing w:before="11"/>
        <w:ind w:left="0"/>
        <w:jc w:val="left"/>
        <w:rPr>
          <w:rFonts w:hint="eastAsia"/>
          <w:sz w:val="30"/>
          <w:szCs w:val="30"/>
        </w:rPr>
      </w:pPr>
      <w:r>
        <w:rPr>
          <w:rFonts w:hint="eastAsia"/>
          <w:sz w:val="30"/>
          <w:szCs w:val="30"/>
        </w:rPr>
        <w:t>正如我们即将看到的，他书中结尾部分的旧约国度预言引起了诸多揣测和争议。</w:t>
      </w:r>
    </w:p>
    <w:p w14:paraId="068FE08C">
      <w:pPr>
        <w:pStyle w:val="9"/>
        <w:spacing w:before="11"/>
        <w:ind w:left="0"/>
        <w:jc w:val="left"/>
        <w:rPr>
          <w:rFonts w:hint="eastAsia"/>
          <w:sz w:val="30"/>
          <w:szCs w:val="30"/>
        </w:rPr>
      </w:pPr>
    </w:p>
    <w:p w14:paraId="7AAA16CC">
      <w:pPr>
        <w:pStyle w:val="9"/>
        <w:spacing w:before="11"/>
        <w:ind w:left="0"/>
        <w:jc w:val="left"/>
        <w:rPr>
          <w:rFonts w:hint="eastAsia"/>
          <w:sz w:val="30"/>
          <w:szCs w:val="30"/>
        </w:rPr>
      </w:pPr>
      <w:r>
        <w:rPr>
          <w:rFonts w:hint="eastAsia"/>
          <w:sz w:val="30"/>
          <w:szCs w:val="30"/>
        </w:rPr>
        <w:t>Are they forever shrouded in mystery?</w:t>
      </w:r>
    </w:p>
    <w:p w14:paraId="6A1A2296">
      <w:pPr>
        <w:pStyle w:val="9"/>
        <w:spacing w:before="11"/>
        <w:ind w:left="0"/>
        <w:jc w:val="left"/>
        <w:rPr>
          <w:rFonts w:hint="eastAsia"/>
          <w:sz w:val="30"/>
          <w:szCs w:val="30"/>
        </w:rPr>
      </w:pPr>
      <w:r>
        <w:rPr>
          <w:rFonts w:hint="eastAsia"/>
          <w:sz w:val="30"/>
          <w:szCs w:val="30"/>
        </w:rPr>
        <w:t>它们是否永远笼罩在神秘之中？</w:t>
      </w:r>
    </w:p>
    <w:p w14:paraId="6593F568">
      <w:pPr>
        <w:pStyle w:val="9"/>
        <w:spacing w:before="11"/>
        <w:ind w:left="0"/>
        <w:jc w:val="left"/>
        <w:rPr>
          <w:rFonts w:hint="eastAsia"/>
          <w:sz w:val="30"/>
          <w:szCs w:val="30"/>
        </w:rPr>
      </w:pPr>
    </w:p>
    <w:p w14:paraId="6324A825">
      <w:pPr>
        <w:pStyle w:val="9"/>
        <w:spacing w:before="11"/>
        <w:ind w:left="0"/>
        <w:jc w:val="left"/>
        <w:rPr>
          <w:rFonts w:hint="eastAsia"/>
          <w:sz w:val="30"/>
          <w:szCs w:val="30"/>
        </w:rPr>
      </w:pPr>
      <w:r>
        <w:rPr>
          <w:rFonts w:hint="eastAsia"/>
          <w:sz w:val="30"/>
          <w:szCs w:val="30"/>
        </w:rPr>
        <w:t>Must we await the Parousia, or the very last of the last days, to find out what they mean?</w:t>
      </w:r>
    </w:p>
    <w:p w14:paraId="27C46AF1">
      <w:pPr>
        <w:pStyle w:val="9"/>
        <w:spacing w:before="11"/>
        <w:ind w:left="0"/>
        <w:jc w:val="left"/>
        <w:rPr>
          <w:rFonts w:hint="eastAsia"/>
          <w:sz w:val="30"/>
          <w:szCs w:val="30"/>
        </w:rPr>
      </w:pPr>
      <w:r>
        <w:rPr>
          <w:rFonts w:hint="eastAsia"/>
          <w:sz w:val="30"/>
          <w:szCs w:val="30"/>
        </w:rPr>
        <w:t>我们必须等到基督再临，或末世中的末了之时，才能找出它们的含义吗？</w:t>
      </w:r>
    </w:p>
    <w:p w14:paraId="3F425C31">
      <w:pPr>
        <w:pStyle w:val="9"/>
        <w:spacing w:before="11"/>
        <w:ind w:left="0"/>
        <w:jc w:val="left"/>
        <w:rPr>
          <w:rFonts w:hint="eastAsia"/>
          <w:sz w:val="30"/>
          <w:szCs w:val="30"/>
        </w:rPr>
      </w:pPr>
    </w:p>
    <w:p w14:paraId="6DAABE2E">
      <w:pPr>
        <w:pStyle w:val="9"/>
        <w:spacing w:before="11"/>
        <w:ind w:left="0"/>
        <w:jc w:val="left"/>
        <w:rPr>
          <w:rFonts w:hint="eastAsia"/>
          <w:sz w:val="30"/>
          <w:szCs w:val="30"/>
        </w:rPr>
      </w:pPr>
      <w:r>
        <w:rPr>
          <w:rFonts w:hint="eastAsia"/>
          <w:sz w:val="30"/>
          <w:szCs w:val="30"/>
        </w:rPr>
        <w:t>Or is it possible that the NCH could enable us, even now, to see, enjoy, and profit from what God has said here?</w:t>
      </w:r>
    </w:p>
    <w:p w14:paraId="5AF2B588">
      <w:pPr>
        <w:pStyle w:val="9"/>
        <w:spacing w:before="11"/>
        <w:ind w:left="0"/>
        <w:jc w:val="left"/>
        <w:rPr>
          <w:rFonts w:hint="eastAsia"/>
          <w:sz w:val="30"/>
          <w:szCs w:val="30"/>
        </w:rPr>
      </w:pPr>
      <w:r>
        <w:rPr>
          <w:rFonts w:hint="eastAsia"/>
          <w:sz w:val="30"/>
          <w:szCs w:val="30"/>
        </w:rPr>
        <w:t>新约圣经解释法（NCH）是否有可能使我们即便在现在，也能够看见、享受并从神在此所说的话中获益呢？</w:t>
      </w:r>
    </w:p>
    <w:p w14:paraId="60F630D4">
      <w:pPr>
        <w:pStyle w:val="9"/>
        <w:spacing w:before="11"/>
        <w:ind w:left="0"/>
        <w:jc w:val="left"/>
        <w:rPr>
          <w:rFonts w:hint="eastAsia"/>
          <w:sz w:val="30"/>
          <w:szCs w:val="30"/>
        </w:rPr>
      </w:pPr>
    </w:p>
    <w:p w14:paraId="1F025467">
      <w:pPr>
        <w:pStyle w:val="9"/>
        <w:spacing w:before="11"/>
        <w:ind w:left="0"/>
        <w:jc w:val="left"/>
        <w:rPr>
          <w:rFonts w:hint="eastAsia"/>
          <w:sz w:val="30"/>
          <w:szCs w:val="30"/>
        </w:rPr>
      </w:pPr>
      <w:r>
        <w:rPr>
          <w:rFonts w:hint="eastAsia"/>
          <w:sz w:val="30"/>
          <w:szCs w:val="30"/>
        </w:rPr>
        <w:t>Let us delve into Ezekiel and find out.</w:t>
      </w:r>
    </w:p>
    <w:p w14:paraId="6B6C300C">
      <w:pPr>
        <w:pStyle w:val="9"/>
        <w:spacing w:before="11"/>
        <w:ind w:left="0"/>
        <w:jc w:val="left"/>
        <w:rPr>
          <w:rFonts w:hint="eastAsia"/>
          <w:sz w:val="30"/>
          <w:szCs w:val="30"/>
        </w:rPr>
      </w:pPr>
      <w:r>
        <w:rPr>
          <w:rFonts w:hint="eastAsia"/>
          <w:sz w:val="30"/>
          <w:szCs w:val="30"/>
        </w:rPr>
        <w:t>让我们深入研究以西结书，找出答案。</w:t>
      </w:r>
    </w:p>
    <w:p w14:paraId="5236379B">
      <w:pPr>
        <w:pStyle w:val="9"/>
        <w:spacing w:before="11"/>
        <w:ind w:left="0"/>
        <w:jc w:val="left"/>
        <w:rPr>
          <w:rFonts w:hint="eastAsia"/>
          <w:sz w:val="30"/>
          <w:szCs w:val="30"/>
        </w:rPr>
      </w:pPr>
    </w:p>
    <w:p w14:paraId="238DC2DE">
      <w:pPr>
        <w:pStyle w:val="9"/>
        <w:spacing w:before="11"/>
        <w:ind w:left="0"/>
        <w:jc w:val="left"/>
        <w:rPr>
          <w:rFonts w:hint="eastAsia"/>
          <w:sz w:val="30"/>
          <w:szCs w:val="30"/>
        </w:rPr>
      </w:pPr>
      <w:r>
        <w:rPr>
          <w:rFonts w:hint="eastAsia"/>
          <w:sz w:val="30"/>
          <w:szCs w:val="30"/>
        </w:rPr>
        <w:t>Introduction to Ezekiel 33-48</w:t>
      </w:r>
    </w:p>
    <w:p w14:paraId="5DB26997">
      <w:pPr>
        <w:pStyle w:val="9"/>
        <w:spacing w:before="11"/>
        <w:ind w:left="0"/>
        <w:jc w:val="left"/>
        <w:rPr>
          <w:rFonts w:hint="eastAsia"/>
          <w:sz w:val="30"/>
          <w:szCs w:val="30"/>
        </w:rPr>
      </w:pPr>
      <w:r>
        <w:rPr>
          <w:rFonts w:hint="eastAsia"/>
          <w:sz w:val="30"/>
          <w:szCs w:val="30"/>
        </w:rPr>
        <w:t>以西结书33-48章简介</w:t>
      </w:r>
    </w:p>
    <w:p w14:paraId="0653C408">
      <w:pPr>
        <w:pStyle w:val="9"/>
        <w:spacing w:before="11"/>
        <w:ind w:left="0"/>
        <w:jc w:val="left"/>
        <w:rPr>
          <w:rFonts w:hint="eastAsia"/>
          <w:sz w:val="30"/>
          <w:szCs w:val="30"/>
        </w:rPr>
      </w:pPr>
    </w:p>
    <w:p w14:paraId="6E917377">
      <w:pPr>
        <w:pStyle w:val="9"/>
        <w:spacing w:before="11"/>
        <w:ind w:left="0"/>
        <w:jc w:val="left"/>
        <w:rPr>
          <w:rFonts w:hint="eastAsia"/>
          <w:sz w:val="30"/>
          <w:szCs w:val="30"/>
        </w:rPr>
      </w:pPr>
      <w:r>
        <w:rPr>
          <w:rFonts w:hint="eastAsia"/>
          <w:sz w:val="30"/>
          <w:szCs w:val="30"/>
        </w:rPr>
        <w:t>In this chapter we’ll be examining four of the most difficult (and popular) of Ezekiel’s OTKP’s.</w:t>
      </w:r>
    </w:p>
    <w:p w14:paraId="5780FA6D">
      <w:pPr>
        <w:pStyle w:val="9"/>
        <w:spacing w:before="11"/>
        <w:ind w:left="0"/>
        <w:jc w:val="left"/>
        <w:rPr>
          <w:rFonts w:hint="eastAsia"/>
          <w:sz w:val="30"/>
          <w:szCs w:val="30"/>
        </w:rPr>
      </w:pPr>
      <w:r>
        <w:rPr>
          <w:rFonts w:hint="eastAsia"/>
          <w:sz w:val="30"/>
          <w:szCs w:val="30"/>
        </w:rPr>
        <w:t>在本章中，我们将查考以西结书中最难（也最受欢迎）的四个旧约国度预言。</w:t>
      </w:r>
    </w:p>
    <w:p w14:paraId="10608AC6">
      <w:pPr>
        <w:pStyle w:val="9"/>
        <w:spacing w:before="11"/>
        <w:ind w:left="0"/>
        <w:jc w:val="left"/>
        <w:rPr>
          <w:rFonts w:hint="eastAsia"/>
          <w:sz w:val="30"/>
          <w:szCs w:val="30"/>
        </w:rPr>
      </w:pPr>
    </w:p>
    <w:p w14:paraId="44944D57">
      <w:pPr>
        <w:pStyle w:val="9"/>
        <w:spacing w:before="11"/>
        <w:ind w:left="0"/>
        <w:jc w:val="left"/>
        <w:rPr>
          <w:rFonts w:hint="eastAsia"/>
          <w:sz w:val="30"/>
          <w:szCs w:val="30"/>
        </w:rPr>
      </w:pPr>
      <w:r>
        <w:rPr>
          <w:rFonts w:hint="eastAsia"/>
          <w:sz w:val="30"/>
          <w:szCs w:val="30"/>
        </w:rPr>
        <w:t>However, before engaging them, we are wise to get a good feel for their context; for their place in the overall flow of Ezekiel’s prophetic ministry.</w:t>
      </w:r>
    </w:p>
    <w:p w14:paraId="55D7875A">
      <w:pPr>
        <w:pStyle w:val="9"/>
        <w:spacing w:before="11"/>
        <w:ind w:left="0"/>
        <w:jc w:val="left"/>
        <w:rPr>
          <w:rFonts w:hint="eastAsia"/>
          <w:sz w:val="30"/>
          <w:szCs w:val="30"/>
        </w:rPr>
      </w:pPr>
      <w:r>
        <w:rPr>
          <w:rFonts w:hint="eastAsia"/>
          <w:sz w:val="30"/>
          <w:szCs w:val="30"/>
        </w:rPr>
        <w:t>然而，在探讨它们之前，明智的做法是先好好感受它们的上下文；即它们在以西结先知事工的整体流程中所处的位置。</w:t>
      </w:r>
    </w:p>
    <w:p w14:paraId="1F0CB804">
      <w:pPr>
        <w:pStyle w:val="9"/>
        <w:spacing w:before="11"/>
        <w:ind w:left="0"/>
        <w:jc w:val="left"/>
        <w:rPr>
          <w:rFonts w:hint="eastAsia"/>
          <w:sz w:val="30"/>
          <w:szCs w:val="30"/>
        </w:rPr>
      </w:pPr>
    </w:p>
    <w:p w14:paraId="139E48CA">
      <w:pPr>
        <w:pStyle w:val="9"/>
        <w:spacing w:before="11"/>
        <w:ind w:left="0"/>
        <w:jc w:val="left"/>
        <w:rPr>
          <w:rFonts w:hint="eastAsia"/>
          <w:sz w:val="30"/>
          <w:szCs w:val="30"/>
        </w:rPr>
      </w:pPr>
      <w:r>
        <w:rPr>
          <w:rFonts w:hint="eastAsia"/>
          <w:sz w:val="30"/>
          <w:szCs w:val="30"/>
        </w:rPr>
        <w:t>Happily, this is easy to do, since the book is quite naturally divided into four well-defined parts.</w:t>
      </w:r>
    </w:p>
    <w:p w14:paraId="4C358F73">
      <w:pPr>
        <w:pStyle w:val="9"/>
        <w:spacing w:before="11"/>
        <w:ind w:left="0"/>
        <w:jc w:val="left"/>
        <w:rPr>
          <w:rFonts w:hint="eastAsia"/>
          <w:sz w:val="30"/>
          <w:szCs w:val="30"/>
        </w:rPr>
      </w:pPr>
      <w:r>
        <w:rPr>
          <w:rFonts w:hint="eastAsia"/>
          <w:sz w:val="30"/>
          <w:szCs w:val="30"/>
        </w:rPr>
        <w:t>幸运的是，这很容易做到，因为这本书很自然地分为了四个界定分明的部分。</w:t>
      </w:r>
    </w:p>
    <w:p w14:paraId="52B626CC">
      <w:pPr>
        <w:pStyle w:val="9"/>
        <w:spacing w:before="11"/>
        <w:ind w:left="0"/>
        <w:jc w:val="left"/>
        <w:rPr>
          <w:rFonts w:hint="eastAsia"/>
          <w:sz w:val="30"/>
          <w:szCs w:val="30"/>
        </w:rPr>
      </w:pPr>
    </w:p>
    <w:p w14:paraId="65ACE596">
      <w:pPr>
        <w:pStyle w:val="9"/>
        <w:spacing w:before="11"/>
        <w:ind w:left="0"/>
        <w:jc w:val="left"/>
        <w:rPr>
          <w:rFonts w:hint="eastAsia"/>
          <w:sz w:val="30"/>
          <w:szCs w:val="30"/>
        </w:rPr>
      </w:pPr>
      <w:r>
        <w:rPr>
          <w:rFonts w:hint="eastAsia"/>
          <w:sz w:val="30"/>
          <w:szCs w:val="30"/>
        </w:rPr>
        <w:t>Commentator Iain Duguid outlines them as follows:</w:t>
      </w:r>
    </w:p>
    <w:p w14:paraId="0766719E">
      <w:pPr>
        <w:pStyle w:val="9"/>
        <w:spacing w:before="11"/>
        <w:ind w:left="0"/>
        <w:jc w:val="left"/>
        <w:rPr>
          <w:rFonts w:hint="eastAsia"/>
          <w:sz w:val="30"/>
          <w:szCs w:val="30"/>
        </w:rPr>
      </w:pPr>
      <w:r>
        <w:rPr>
          <w:rFonts w:hint="eastAsia"/>
          <w:sz w:val="30"/>
          <w:szCs w:val="30"/>
        </w:rPr>
        <w:t>注释家伊恩·杜圭德（Iain Duguid）将其概述如下：</w:t>
      </w:r>
    </w:p>
    <w:p w14:paraId="2B31422C">
      <w:pPr>
        <w:pStyle w:val="9"/>
        <w:spacing w:before="11"/>
        <w:ind w:left="0"/>
        <w:jc w:val="left"/>
        <w:rPr>
          <w:rFonts w:hint="eastAsia"/>
          <w:sz w:val="30"/>
          <w:szCs w:val="30"/>
        </w:rPr>
      </w:pPr>
    </w:p>
    <w:p w14:paraId="7EDFB0BE">
      <w:pPr>
        <w:pStyle w:val="9"/>
        <w:spacing w:before="11"/>
        <w:ind w:left="0"/>
        <w:jc w:val="left"/>
        <w:rPr>
          <w:rFonts w:hint="eastAsia"/>
          <w:sz w:val="30"/>
          <w:szCs w:val="30"/>
        </w:rPr>
      </w:pPr>
      <w:r>
        <w:rPr>
          <w:rFonts w:hint="eastAsia"/>
          <w:sz w:val="30"/>
          <w:szCs w:val="30"/>
        </w:rPr>
        <w:t>I.Ezekiel’s Call and Commission (1-3)</w:t>
      </w:r>
    </w:p>
    <w:p w14:paraId="052BD6ED">
      <w:pPr>
        <w:pStyle w:val="9"/>
        <w:spacing w:before="11"/>
        <w:ind w:left="0"/>
        <w:jc w:val="left"/>
        <w:rPr>
          <w:rFonts w:hint="eastAsia"/>
          <w:sz w:val="30"/>
          <w:szCs w:val="30"/>
        </w:rPr>
      </w:pPr>
      <w:r>
        <w:rPr>
          <w:rFonts w:hint="eastAsia"/>
          <w:sz w:val="30"/>
          <w:szCs w:val="30"/>
        </w:rPr>
        <w:t>I. 以西结的呼召与使命（1-3章）</w:t>
      </w:r>
    </w:p>
    <w:p w14:paraId="24A48FF6">
      <w:pPr>
        <w:pStyle w:val="9"/>
        <w:spacing w:before="11"/>
        <w:ind w:left="0"/>
        <w:jc w:val="left"/>
        <w:rPr>
          <w:rFonts w:hint="eastAsia"/>
          <w:sz w:val="30"/>
          <w:szCs w:val="30"/>
        </w:rPr>
      </w:pPr>
    </w:p>
    <w:p w14:paraId="6152F1CD">
      <w:pPr>
        <w:pStyle w:val="9"/>
        <w:spacing w:before="11"/>
        <w:ind w:left="0"/>
        <w:jc w:val="left"/>
        <w:rPr>
          <w:rFonts w:hint="eastAsia"/>
          <w:sz w:val="30"/>
          <w:szCs w:val="30"/>
        </w:rPr>
      </w:pPr>
      <w:r>
        <w:rPr>
          <w:rFonts w:hint="eastAsia"/>
          <w:sz w:val="30"/>
          <w:szCs w:val="30"/>
        </w:rPr>
        <w:t>These chapters set the stage, describing how the God of glory revealed himself to Ezekiel, called him to prophesy, warned him of Jewish impenitence, but exhorted him to speak (and write) faithfully, nonetheless.</w:t>
      </w:r>
    </w:p>
    <w:p w14:paraId="57358A32">
      <w:pPr>
        <w:pStyle w:val="9"/>
        <w:spacing w:before="11"/>
        <w:ind w:left="0"/>
        <w:jc w:val="left"/>
        <w:rPr>
          <w:rFonts w:hint="eastAsia"/>
          <w:sz w:val="30"/>
          <w:szCs w:val="30"/>
        </w:rPr>
      </w:pPr>
      <w:r>
        <w:rPr>
          <w:rFonts w:hint="eastAsia"/>
          <w:sz w:val="30"/>
          <w:szCs w:val="30"/>
        </w:rPr>
        <w:t>这几章为全书铺设了舞台，描述了荣耀的神如何向以西结显现自己，呼召他去说预言，警告他犹太人的硬心不悔改，但仍劝勉他要忠心地说（和写）。</w:t>
      </w:r>
    </w:p>
    <w:p w14:paraId="24F6CD8D">
      <w:pPr>
        <w:pStyle w:val="9"/>
        <w:spacing w:before="11"/>
        <w:ind w:left="0"/>
        <w:jc w:val="left"/>
        <w:rPr>
          <w:rFonts w:hint="eastAsia"/>
          <w:sz w:val="30"/>
          <w:szCs w:val="30"/>
        </w:rPr>
      </w:pPr>
    </w:p>
    <w:p w14:paraId="297AB3C1">
      <w:pPr>
        <w:pStyle w:val="9"/>
        <w:spacing w:before="11"/>
        <w:ind w:left="0"/>
        <w:jc w:val="left"/>
        <w:rPr>
          <w:rFonts w:hint="eastAsia"/>
          <w:sz w:val="30"/>
          <w:szCs w:val="30"/>
        </w:rPr>
      </w:pPr>
      <w:r>
        <w:rPr>
          <w:rFonts w:hint="eastAsia"/>
          <w:sz w:val="30"/>
          <w:szCs w:val="30"/>
        </w:rPr>
        <w:t>II.Oracles of Doom (4-24)</w:t>
      </w:r>
    </w:p>
    <w:p w14:paraId="2202FC0F">
      <w:pPr>
        <w:pStyle w:val="9"/>
        <w:spacing w:before="11"/>
        <w:ind w:left="0"/>
        <w:jc w:val="left"/>
        <w:rPr>
          <w:rFonts w:hint="eastAsia"/>
          <w:sz w:val="30"/>
          <w:szCs w:val="30"/>
        </w:rPr>
      </w:pPr>
      <w:r>
        <w:rPr>
          <w:rFonts w:hint="eastAsia"/>
          <w:sz w:val="30"/>
          <w:szCs w:val="30"/>
        </w:rPr>
        <w:t>II. 审判的神谕（4-24章）</w:t>
      </w:r>
    </w:p>
    <w:p w14:paraId="5D8BA6AD">
      <w:pPr>
        <w:pStyle w:val="9"/>
        <w:spacing w:before="11"/>
        <w:ind w:left="0"/>
        <w:jc w:val="left"/>
        <w:rPr>
          <w:rFonts w:hint="eastAsia"/>
          <w:sz w:val="30"/>
          <w:szCs w:val="30"/>
        </w:rPr>
      </w:pPr>
    </w:p>
    <w:p w14:paraId="7C6ED2E0">
      <w:pPr>
        <w:pStyle w:val="9"/>
        <w:spacing w:before="11"/>
        <w:ind w:left="0"/>
        <w:jc w:val="left"/>
        <w:rPr>
          <w:rFonts w:hint="eastAsia"/>
          <w:sz w:val="30"/>
          <w:szCs w:val="30"/>
        </w:rPr>
      </w:pPr>
      <w:r>
        <w:rPr>
          <w:rFonts w:hint="eastAsia"/>
          <w:sz w:val="30"/>
          <w:szCs w:val="30"/>
        </w:rPr>
        <w:t>These chapters contain numerous prophecies of imminent judgment upon apostate Jerusalem and her homeland.</w:t>
      </w:r>
    </w:p>
    <w:p w14:paraId="720E34CF">
      <w:pPr>
        <w:pStyle w:val="9"/>
        <w:spacing w:before="11"/>
        <w:ind w:left="0"/>
        <w:jc w:val="left"/>
        <w:rPr>
          <w:rFonts w:hint="eastAsia"/>
          <w:sz w:val="30"/>
          <w:szCs w:val="30"/>
        </w:rPr>
      </w:pPr>
      <w:r>
        <w:rPr>
          <w:rFonts w:hint="eastAsia"/>
          <w:sz w:val="30"/>
          <w:szCs w:val="30"/>
        </w:rPr>
        <w:t>这几章包含了许多关于即将临到背道的耶路撒冷及其本土的审判的预言。</w:t>
      </w:r>
    </w:p>
    <w:p w14:paraId="24A9009C">
      <w:pPr>
        <w:pStyle w:val="9"/>
        <w:spacing w:before="11"/>
        <w:ind w:left="0"/>
        <w:jc w:val="left"/>
        <w:rPr>
          <w:rFonts w:hint="eastAsia"/>
          <w:sz w:val="30"/>
          <w:szCs w:val="30"/>
        </w:rPr>
      </w:pPr>
    </w:p>
    <w:p w14:paraId="0BE66E4E">
      <w:pPr>
        <w:pStyle w:val="9"/>
        <w:spacing w:before="11"/>
        <w:ind w:left="0"/>
        <w:jc w:val="left"/>
        <w:rPr>
          <w:rFonts w:hint="eastAsia"/>
          <w:sz w:val="30"/>
          <w:szCs w:val="30"/>
        </w:rPr>
      </w:pPr>
      <w:r>
        <w:rPr>
          <w:rFonts w:hint="eastAsia"/>
          <w:sz w:val="30"/>
          <w:szCs w:val="30"/>
        </w:rPr>
        <w:t>Even here, however, there are glimpses of hope that will come through a future restoration.</w:t>
      </w:r>
    </w:p>
    <w:p w14:paraId="616395FE">
      <w:pPr>
        <w:pStyle w:val="9"/>
        <w:spacing w:before="11"/>
        <w:ind w:left="0"/>
        <w:jc w:val="left"/>
        <w:rPr>
          <w:rFonts w:hint="eastAsia"/>
          <w:sz w:val="30"/>
          <w:szCs w:val="30"/>
        </w:rPr>
      </w:pPr>
      <w:r>
        <w:rPr>
          <w:rFonts w:hint="eastAsia"/>
          <w:sz w:val="30"/>
          <w:szCs w:val="30"/>
        </w:rPr>
        <w:t>然而，即使在这里，也瞥见了未来复兴将带来的希望。</w:t>
      </w:r>
    </w:p>
    <w:p w14:paraId="22B357BF">
      <w:pPr>
        <w:pStyle w:val="9"/>
        <w:spacing w:before="11"/>
        <w:ind w:left="0"/>
        <w:jc w:val="left"/>
        <w:rPr>
          <w:rFonts w:hint="eastAsia"/>
          <w:sz w:val="30"/>
          <w:szCs w:val="30"/>
        </w:rPr>
      </w:pPr>
    </w:p>
    <w:p w14:paraId="49560569">
      <w:pPr>
        <w:pStyle w:val="9"/>
        <w:spacing w:before="11"/>
        <w:ind w:left="0"/>
        <w:jc w:val="left"/>
        <w:rPr>
          <w:rFonts w:hint="eastAsia"/>
          <w:sz w:val="30"/>
          <w:szCs w:val="30"/>
        </w:rPr>
      </w:pPr>
      <w:r>
        <w:rPr>
          <w:rFonts w:hint="eastAsia"/>
          <w:sz w:val="30"/>
          <w:szCs w:val="30"/>
        </w:rPr>
        <w:t>III.Oracles Against the Nations (25-32)</w:t>
      </w:r>
    </w:p>
    <w:p w14:paraId="5D290A9D">
      <w:pPr>
        <w:pStyle w:val="9"/>
        <w:spacing w:before="11"/>
        <w:ind w:left="0"/>
        <w:jc w:val="left"/>
        <w:rPr>
          <w:rFonts w:hint="eastAsia"/>
          <w:sz w:val="30"/>
          <w:szCs w:val="30"/>
        </w:rPr>
      </w:pPr>
      <w:r>
        <w:rPr>
          <w:rFonts w:hint="eastAsia"/>
          <w:sz w:val="30"/>
          <w:szCs w:val="30"/>
        </w:rPr>
        <w:t>III. 针对列国的神谕（25-32章）</w:t>
      </w:r>
    </w:p>
    <w:p w14:paraId="64C6E9EC">
      <w:pPr>
        <w:pStyle w:val="9"/>
        <w:spacing w:before="11"/>
        <w:ind w:left="0"/>
        <w:jc w:val="left"/>
        <w:rPr>
          <w:rFonts w:hint="eastAsia"/>
          <w:sz w:val="30"/>
          <w:szCs w:val="30"/>
        </w:rPr>
      </w:pPr>
    </w:p>
    <w:p w14:paraId="44681A15">
      <w:pPr>
        <w:pStyle w:val="9"/>
        <w:spacing w:before="11"/>
        <w:ind w:left="0"/>
        <w:jc w:val="left"/>
        <w:rPr>
          <w:rFonts w:hint="eastAsia"/>
          <w:sz w:val="30"/>
          <w:szCs w:val="30"/>
        </w:rPr>
      </w:pPr>
      <w:r>
        <w:rPr>
          <w:rFonts w:hint="eastAsia"/>
          <w:sz w:val="30"/>
          <w:szCs w:val="30"/>
        </w:rPr>
        <w:t>These chapters contain prophecies of coming judgments—and also of redemptive mercies—spoken over Israel’s hostile neighbors.</w:t>
      </w:r>
    </w:p>
    <w:p w14:paraId="77A33551">
      <w:pPr>
        <w:pStyle w:val="9"/>
        <w:spacing w:before="11"/>
        <w:ind w:left="0"/>
        <w:jc w:val="left"/>
        <w:rPr>
          <w:rFonts w:hint="eastAsia"/>
          <w:sz w:val="30"/>
          <w:szCs w:val="30"/>
        </w:rPr>
      </w:pPr>
      <w:r>
        <w:rPr>
          <w:rFonts w:hint="eastAsia"/>
          <w:sz w:val="30"/>
          <w:szCs w:val="30"/>
        </w:rPr>
        <w:t>这几章包含了向以色列的敌对邻邦宣告的、关于即将来临的审判以及救赎之怜悯的预言。</w:t>
      </w:r>
    </w:p>
    <w:p w14:paraId="3A22BC84">
      <w:pPr>
        <w:pStyle w:val="9"/>
        <w:spacing w:before="11"/>
        <w:ind w:left="0"/>
        <w:jc w:val="left"/>
        <w:rPr>
          <w:rFonts w:hint="eastAsia"/>
          <w:sz w:val="30"/>
          <w:szCs w:val="30"/>
        </w:rPr>
      </w:pPr>
    </w:p>
    <w:p w14:paraId="27AD2CA1">
      <w:pPr>
        <w:pStyle w:val="9"/>
        <w:spacing w:before="11"/>
        <w:ind w:left="0"/>
        <w:jc w:val="left"/>
        <w:rPr>
          <w:rFonts w:hint="eastAsia"/>
          <w:sz w:val="30"/>
          <w:szCs w:val="30"/>
        </w:rPr>
      </w:pPr>
      <w:r>
        <w:rPr>
          <w:rFonts w:hint="eastAsia"/>
          <w:sz w:val="30"/>
          <w:szCs w:val="30"/>
        </w:rPr>
        <w:t>IV.Oracles of Good News (33-48)</w:t>
      </w:r>
    </w:p>
    <w:p w14:paraId="1E36BE19">
      <w:pPr>
        <w:pStyle w:val="9"/>
        <w:spacing w:before="11"/>
        <w:ind w:left="0"/>
        <w:jc w:val="left"/>
        <w:rPr>
          <w:rFonts w:hint="eastAsia"/>
          <w:sz w:val="30"/>
          <w:szCs w:val="30"/>
        </w:rPr>
      </w:pPr>
      <w:r>
        <w:rPr>
          <w:rFonts w:hint="eastAsia"/>
          <w:sz w:val="30"/>
          <w:szCs w:val="30"/>
        </w:rPr>
        <w:t>IV. 福音的神谕（33-48章）</w:t>
      </w:r>
    </w:p>
    <w:p w14:paraId="4AAFAD70">
      <w:pPr>
        <w:pStyle w:val="9"/>
        <w:spacing w:before="11"/>
        <w:ind w:left="0"/>
        <w:jc w:val="left"/>
        <w:rPr>
          <w:rFonts w:hint="eastAsia"/>
          <w:sz w:val="30"/>
          <w:szCs w:val="30"/>
        </w:rPr>
      </w:pPr>
    </w:p>
    <w:p w14:paraId="2A6717F6">
      <w:pPr>
        <w:pStyle w:val="9"/>
        <w:spacing w:before="11"/>
        <w:ind w:left="0"/>
        <w:jc w:val="left"/>
        <w:rPr>
          <w:rFonts w:hint="eastAsia"/>
          <w:sz w:val="30"/>
          <w:szCs w:val="30"/>
        </w:rPr>
      </w:pPr>
      <w:r>
        <w:rPr>
          <w:rFonts w:hint="eastAsia"/>
          <w:sz w:val="30"/>
          <w:szCs w:val="30"/>
        </w:rPr>
        <w:t>These chapters, which are loaded with OTKP’s, contain rich promises designed to arouse the hope and redemptive expectation of God’s people.</w:t>
      </w:r>
    </w:p>
    <w:p w14:paraId="43DD1467">
      <w:pPr>
        <w:pStyle w:val="9"/>
        <w:spacing w:before="11"/>
        <w:ind w:left="0"/>
        <w:jc w:val="left"/>
        <w:rPr>
          <w:rFonts w:hint="eastAsia"/>
          <w:sz w:val="30"/>
          <w:szCs w:val="30"/>
        </w:rPr>
      </w:pPr>
      <w:r>
        <w:rPr>
          <w:rFonts w:hint="eastAsia"/>
          <w:sz w:val="30"/>
          <w:szCs w:val="30"/>
        </w:rPr>
        <w:t>这几章充满了旧约国度预言，包含了丰富的应许，旨在唤起神子民的盼望和对救赎的期待。</w:t>
      </w:r>
    </w:p>
    <w:p w14:paraId="545D1E85">
      <w:pPr>
        <w:pStyle w:val="9"/>
        <w:spacing w:before="11"/>
        <w:ind w:left="0"/>
        <w:jc w:val="left"/>
        <w:rPr>
          <w:rFonts w:hint="eastAsia"/>
          <w:sz w:val="30"/>
          <w:szCs w:val="30"/>
        </w:rPr>
      </w:pPr>
    </w:p>
    <w:p w14:paraId="44E80F5F">
      <w:pPr>
        <w:pStyle w:val="9"/>
        <w:spacing w:before="11"/>
        <w:ind w:left="0"/>
        <w:jc w:val="left"/>
        <w:rPr>
          <w:rFonts w:hint="eastAsia"/>
          <w:sz w:val="30"/>
          <w:szCs w:val="30"/>
        </w:rPr>
      </w:pPr>
      <w:r>
        <w:rPr>
          <w:rFonts w:hint="eastAsia"/>
          <w:sz w:val="30"/>
          <w:szCs w:val="30"/>
        </w:rPr>
        <w:t>Very importantly, the encouraging prophecies contained in Part IV (the Oracles of Good News) may be further divided into the following three categories:</w:t>
      </w:r>
    </w:p>
    <w:p w14:paraId="5E4C29BA">
      <w:pPr>
        <w:pStyle w:val="9"/>
        <w:spacing w:before="11"/>
        <w:ind w:left="0"/>
        <w:jc w:val="left"/>
        <w:rPr>
          <w:rFonts w:hint="eastAsia"/>
          <w:sz w:val="30"/>
          <w:szCs w:val="30"/>
        </w:rPr>
      </w:pPr>
      <w:r>
        <w:rPr>
          <w:rFonts w:hint="eastAsia"/>
          <w:sz w:val="30"/>
          <w:szCs w:val="30"/>
        </w:rPr>
        <w:t>非常重要的是，第四部分（福音的神谕）中所包含的鼓舞人心的预言可以进一步分为以下三类：</w:t>
      </w:r>
    </w:p>
    <w:p w14:paraId="1509FFED">
      <w:pPr>
        <w:pStyle w:val="9"/>
        <w:spacing w:before="11"/>
        <w:ind w:left="0"/>
        <w:jc w:val="left"/>
        <w:rPr>
          <w:rFonts w:hint="eastAsia"/>
          <w:sz w:val="30"/>
          <w:szCs w:val="30"/>
        </w:rPr>
      </w:pPr>
    </w:p>
    <w:p w14:paraId="60EF1E70">
      <w:pPr>
        <w:pStyle w:val="9"/>
        <w:spacing w:before="11"/>
        <w:ind w:left="0"/>
        <w:jc w:val="left"/>
        <w:rPr>
          <w:rFonts w:hint="eastAsia"/>
          <w:sz w:val="30"/>
          <w:szCs w:val="30"/>
        </w:rPr>
      </w:pPr>
      <w:r>
        <w:rPr>
          <w:rFonts w:hint="eastAsia"/>
          <w:sz w:val="30"/>
          <w:szCs w:val="30"/>
        </w:rPr>
        <w:t>A.Promises of Israel’s Eschatological Restoration (34-37)</w:t>
      </w:r>
    </w:p>
    <w:p w14:paraId="08C0948C">
      <w:pPr>
        <w:pStyle w:val="9"/>
        <w:spacing w:before="11"/>
        <w:ind w:left="0"/>
        <w:jc w:val="left"/>
        <w:rPr>
          <w:rFonts w:hint="eastAsia"/>
          <w:sz w:val="30"/>
          <w:szCs w:val="30"/>
        </w:rPr>
      </w:pPr>
      <w:r>
        <w:rPr>
          <w:rFonts w:hint="eastAsia"/>
          <w:sz w:val="30"/>
          <w:szCs w:val="30"/>
        </w:rPr>
        <w:t>A. 对以色列末世性复兴的应许（34-37章）</w:t>
      </w:r>
    </w:p>
    <w:p w14:paraId="34363CE2">
      <w:pPr>
        <w:pStyle w:val="9"/>
        <w:spacing w:before="11"/>
        <w:ind w:left="0"/>
        <w:jc w:val="left"/>
        <w:rPr>
          <w:rFonts w:hint="eastAsia"/>
          <w:sz w:val="30"/>
          <w:szCs w:val="30"/>
        </w:rPr>
      </w:pPr>
    </w:p>
    <w:p w14:paraId="568CB960">
      <w:pPr>
        <w:pStyle w:val="9"/>
        <w:spacing w:before="11"/>
        <w:ind w:left="0"/>
        <w:jc w:val="left"/>
        <w:rPr>
          <w:rFonts w:hint="eastAsia"/>
          <w:sz w:val="30"/>
          <w:szCs w:val="30"/>
        </w:rPr>
      </w:pPr>
      <w:r>
        <w:rPr>
          <w:rFonts w:hint="eastAsia"/>
          <w:sz w:val="30"/>
          <w:szCs w:val="30"/>
        </w:rPr>
        <w:t>B.Promises of Israel’s Divine Rescue from the Last Battle with Her Gentile Opponents (38-39)</w:t>
      </w:r>
    </w:p>
    <w:p w14:paraId="50DCC194">
      <w:pPr>
        <w:pStyle w:val="9"/>
        <w:spacing w:before="11"/>
        <w:ind w:left="0"/>
        <w:jc w:val="left"/>
        <w:rPr>
          <w:rFonts w:hint="eastAsia"/>
          <w:sz w:val="30"/>
          <w:szCs w:val="30"/>
        </w:rPr>
      </w:pPr>
      <w:r>
        <w:rPr>
          <w:rFonts w:hint="eastAsia"/>
          <w:sz w:val="30"/>
          <w:szCs w:val="30"/>
        </w:rPr>
        <w:t>B. 对以色列从与其外邦敌对者的末日之战中蒙神拯救的应许（38-39章）</w:t>
      </w:r>
    </w:p>
    <w:p w14:paraId="16C34122">
      <w:pPr>
        <w:pStyle w:val="9"/>
        <w:spacing w:before="11"/>
        <w:ind w:left="0"/>
        <w:jc w:val="left"/>
        <w:rPr>
          <w:rFonts w:hint="eastAsia"/>
          <w:sz w:val="30"/>
          <w:szCs w:val="30"/>
        </w:rPr>
      </w:pPr>
    </w:p>
    <w:p w14:paraId="3E933799">
      <w:pPr>
        <w:pStyle w:val="9"/>
        <w:spacing w:before="11"/>
        <w:ind w:left="0"/>
        <w:jc w:val="left"/>
        <w:rPr>
          <w:rFonts w:hint="eastAsia"/>
          <w:sz w:val="30"/>
          <w:szCs w:val="30"/>
        </w:rPr>
      </w:pPr>
      <w:r>
        <w:rPr>
          <w:rFonts w:hint="eastAsia"/>
          <w:sz w:val="30"/>
          <w:szCs w:val="30"/>
        </w:rPr>
        <w:t>C.A Vision of Israel’s Renewed Temple, Worship, Homeland, and City in the World to Come (40-48)</w:t>
      </w:r>
    </w:p>
    <w:p w14:paraId="45FC7A99">
      <w:pPr>
        <w:pStyle w:val="9"/>
        <w:spacing w:before="11"/>
        <w:ind w:left="0"/>
        <w:jc w:val="left"/>
        <w:rPr>
          <w:rFonts w:hint="eastAsia"/>
          <w:sz w:val="30"/>
          <w:szCs w:val="30"/>
        </w:rPr>
      </w:pPr>
      <w:r>
        <w:rPr>
          <w:rFonts w:hint="eastAsia"/>
          <w:sz w:val="30"/>
          <w:szCs w:val="30"/>
        </w:rPr>
        <w:t>C. 在将来的世界里，以色列更新的圣殿、敬拜、家园和城市的异象（40-48章）</w:t>
      </w:r>
    </w:p>
    <w:p w14:paraId="5620FFB2">
      <w:pPr>
        <w:pStyle w:val="9"/>
        <w:spacing w:before="11"/>
        <w:ind w:left="0"/>
        <w:jc w:val="left"/>
        <w:rPr>
          <w:rFonts w:hint="eastAsia"/>
          <w:sz w:val="30"/>
          <w:szCs w:val="30"/>
        </w:rPr>
      </w:pPr>
    </w:p>
    <w:p w14:paraId="5ADED47E">
      <w:pPr>
        <w:pStyle w:val="9"/>
        <w:spacing w:before="11"/>
        <w:ind w:left="0"/>
        <w:jc w:val="left"/>
        <w:rPr>
          <w:rFonts w:hint="eastAsia"/>
          <w:sz w:val="30"/>
          <w:szCs w:val="30"/>
        </w:rPr>
      </w:pPr>
      <w:r>
        <w:rPr>
          <w:rFonts w:hint="eastAsia"/>
          <w:sz w:val="30"/>
          <w:szCs w:val="30"/>
        </w:rPr>
        <w:t>A Helpful Breakdown</w:t>
      </w:r>
    </w:p>
    <w:p w14:paraId="6E66D763">
      <w:pPr>
        <w:pStyle w:val="9"/>
        <w:spacing w:before="11"/>
        <w:ind w:left="0"/>
        <w:jc w:val="left"/>
        <w:rPr>
          <w:rFonts w:hint="eastAsia"/>
          <w:sz w:val="30"/>
          <w:szCs w:val="30"/>
        </w:rPr>
      </w:pPr>
      <w:r>
        <w:rPr>
          <w:rFonts w:hint="eastAsia"/>
          <w:sz w:val="30"/>
          <w:szCs w:val="30"/>
        </w:rPr>
        <w:t>一个有助益的分解</w:t>
      </w:r>
    </w:p>
    <w:p w14:paraId="4566A1F7">
      <w:pPr>
        <w:pStyle w:val="9"/>
        <w:spacing w:before="11"/>
        <w:ind w:left="0"/>
        <w:jc w:val="left"/>
        <w:rPr>
          <w:rFonts w:hint="eastAsia"/>
          <w:sz w:val="30"/>
          <w:szCs w:val="30"/>
        </w:rPr>
      </w:pPr>
    </w:p>
    <w:p w14:paraId="31AAA137">
      <w:pPr>
        <w:pStyle w:val="9"/>
        <w:spacing w:before="11"/>
        <w:ind w:left="0"/>
        <w:jc w:val="left"/>
        <w:rPr>
          <w:rFonts w:hint="eastAsia"/>
          <w:sz w:val="30"/>
          <w:szCs w:val="30"/>
        </w:rPr>
      </w:pPr>
      <w:r>
        <w:rPr>
          <w:rFonts w:hint="eastAsia"/>
          <w:sz w:val="30"/>
          <w:szCs w:val="30"/>
        </w:rPr>
        <w:t>For two main reasons, Duguid’s breakdown of the book as a whole is of great help to us.</w:t>
      </w:r>
    </w:p>
    <w:p w14:paraId="0E7BA0B8">
      <w:pPr>
        <w:pStyle w:val="9"/>
        <w:spacing w:before="11"/>
        <w:ind w:left="0"/>
        <w:jc w:val="left"/>
        <w:rPr>
          <w:rFonts w:hint="eastAsia"/>
          <w:sz w:val="30"/>
          <w:szCs w:val="30"/>
        </w:rPr>
      </w:pPr>
      <w:r>
        <w:rPr>
          <w:rFonts w:hint="eastAsia"/>
          <w:sz w:val="30"/>
          <w:szCs w:val="30"/>
        </w:rPr>
        <w:t>出于两个主要原因，杜圭德对整本书的分解对我们大有帮助。</w:t>
      </w:r>
    </w:p>
    <w:p w14:paraId="24CB6610">
      <w:pPr>
        <w:pStyle w:val="9"/>
        <w:spacing w:before="11"/>
        <w:ind w:left="0"/>
        <w:jc w:val="left"/>
        <w:rPr>
          <w:rFonts w:hint="eastAsia"/>
          <w:sz w:val="30"/>
          <w:szCs w:val="30"/>
        </w:rPr>
      </w:pPr>
    </w:p>
    <w:p w14:paraId="182AF3F9">
      <w:pPr>
        <w:pStyle w:val="9"/>
        <w:spacing w:before="11"/>
        <w:ind w:left="0"/>
        <w:jc w:val="left"/>
        <w:rPr>
          <w:rFonts w:hint="eastAsia"/>
          <w:sz w:val="30"/>
          <w:szCs w:val="30"/>
        </w:rPr>
      </w:pPr>
      <w:r>
        <w:rPr>
          <w:rFonts w:hint="eastAsia"/>
          <w:sz w:val="30"/>
          <w:szCs w:val="30"/>
        </w:rPr>
        <w:t>First, it shows us that Ezekiel’s eschatology—just like that of Isaiah, Jeremiah, and all the other OT prophets—conforms perfectly to the prototype found in the Law of Moses.</w:t>
      </w:r>
    </w:p>
    <w:p w14:paraId="41D2C06E">
      <w:pPr>
        <w:pStyle w:val="9"/>
        <w:spacing w:before="11"/>
        <w:ind w:left="0"/>
        <w:jc w:val="left"/>
        <w:rPr>
          <w:rFonts w:hint="eastAsia"/>
          <w:sz w:val="30"/>
          <w:szCs w:val="30"/>
        </w:rPr>
      </w:pPr>
      <w:r>
        <w:rPr>
          <w:rFonts w:hint="eastAsia"/>
          <w:sz w:val="30"/>
          <w:szCs w:val="30"/>
        </w:rPr>
        <w:t>首先，它向我们表明，以西结的末世论——正如以赛亚、耶利米和所有其他旧约先知一样——完全符合摩西律法中的原型。</w:t>
      </w:r>
    </w:p>
    <w:p w14:paraId="06FB2C75">
      <w:pPr>
        <w:pStyle w:val="9"/>
        <w:spacing w:before="11"/>
        <w:ind w:left="0"/>
        <w:jc w:val="left"/>
        <w:rPr>
          <w:rFonts w:hint="eastAsia"/>
          <w:sz w:val="30"/>
          <w:szCs w:val="30"/>
        </w:rPr>
      </w:pPr>
    </w:p>
    <w:p w14:paraId="5EA14B30">
      <w:pPr>
        <w:pStyle w:val="9"/>
        <w:spacing w:before="11"/>
        <w:ind w:left="0"/>
        <w:jc w:val="left"/>
        <w:rPr>
          <w:rFonts w:hint="eastAsia"/>
          <w:sz w:val="30"/>
          <w:szCs w:val="30"/>
        </w:rPr>
      </w:pPr>
      <w:r>
        <w:rPr>
          <w:rFonts w:hint="eastAsia"/>
          <w:sz w:val="30"/>
          <w:szCs w:val="30"/>
        </w:rPr>
        <w:t>As we have seen, to a man they cast the promise of cosmic redemption in terms of Israel’s sin, exile, and final restoration.</w:t>
      </w:r>
    </w:p>
    <w:p w14:paraId="1DEC7411">
      <w:pPr>
        <w:pStyle w:val="9"/>
        <w:spacing w:before="11"/>
        <w:ind w:left="0"/>
        <w:jc w:val="left"/>
        <w:rPr>
          <w:rFonts w:hint="eastAsia"/>
          <w:sz w:val="30"/>
          <w:szCs w:val="30"/>
        </w:rPr>
      </w:pPr>
      <w:r>
        <w:rPr>
          <w:rFonts w:hint="eastAsia"/>
          <w:sz w:val="30"/>
          <w:szCs w:val="30"/>
        </w:rPr>
        <w:t>正如我们所见，他们无一例外地都用以色列的罪、被掳和最终复兴的模式来阐述宇宙性救赎的应许。</w:t>
      </w:r>
    </w:p>
    <w:p w14:paraId="29DBE159">
      <w:pPr>
        <w:pStyle w:val="9"/>
        <w:spacing w:before="11"/>
        <w:ind w:left="0"/>
        <w:jc w:val="left"/>
        <w:rPr>
          <w:rFonts w:hint="eastAsia"/>
          <w:sz w:val="30"/>
          <w:szCs w:val="30"/>
        </w:rPr>
      </w:pPr>
    </w:p>
    <w:p w14:paraId="42FC4649">
      <w:pPr>
        <w:pStyle w:val="9"/>
        <w:spacing w:before="11"/>
        <w:ind w:left="0"/>
        <w:jc w:val="left"/>
        <w:rPr>
          <w:rFonts w:hint="eastAsia"/>
          <w:sz w:val="30"/>
          <w:szCs w:val="30"/>
        </w:rPr>
      </w:pPr>
      <w:r>
        <w:rPr>
          <w:rFonts w:hint="eastAsia"/>
          <w:sz w:val="30"/>
          <w:szCs w:val="30"/>
        </w:rPr>
        <w:t>This is the great underlying motif of virtually all OTKP, a motif that, according to the NCH, finds it fulfillment in the two-staged Kingdom of God that Christ instituted under the New Covenant.</w:t>
      </w:r>
    </w:p>
    <w:p w14:paraId="68C5AB67">
      <w:pPr>
        <w:pStyle w:val="9"/>
        <w:spacing w:before="11"/>
        <w:ind w:left="0"/>
        <w:jc w:val="left"/>
        <w:rPr>
          <w:rFonts w:hint="eastAsia"/>
          <w:sz w:val="30"/>
          <w:szCs w:val="30"/>
        </w:rPr>
      </w:pPr>
      <w:r>
        <w:rPr>
          <w:rFonts w:hint="eastAsia"/>
          <w:sz w:val="30"/>
          <w:szCs w:val="30"/>
        </w:rPr>
        <w:t>这几乎是所有旧约国度预言的伟大潜在主题，根据新约圣经解释法（NCH），这一主题在基督于新约之下所设立的两阶段神国中得以实现。</w:t>
      </w:r>
    </w:p>
    <w:p w14:paraId="079A6E80">
      <w:pPr>
        <w:pStyle w:val="9"/>
        <w:spacing w:before="11"/>
        <w:ind w:left="0"/>
        <w:jc w:val="left"/>
        <w:rPr>
          <w:rFonts w:hint="eastAsia"/>
          <w:sz w:val="30"/>
          <w:szCs w:val="30"/>
        </w:rPr>
      </w:pPr>
    </w:p>
    <w:p w14:paraId="74A637A4">
      <w:pPr>
        <w:pStyle w:val="9"/>
        <w:spacing w:before="11"/>
        <w:ind w:left="0"/>
        <w:jc w:val="left"/>
        <w:rPr>
          <w:rFonts w:hint="eastAsia"/>
          <w:sz w:val="30"/>
          <w:szCs w:val="30"/>
        </w:rPr>
      </w:pPr>
      <w:r>
        <w:rPr>
          <w:rFonts w:hint="eastAsia"/>
          <w:sz w:val="30"/>
          <w:szCs w:val="30"/>
        </w:rPr>
        <w:t>Secondly, the simple threefold structure of the Oracles of Good News (chapters 33-48) supplies an exciting clue to their proper interpretation.</w:t>
      </w:r>
    </w:p>
    <w:p w14:paraId="46151238">
      <w:pPr>
        <w:pStyle w:val="9"/>
        <w:spacing w:before="11"/>
        <w:ind w:left="0"/>
        <w:jc w:val="left"/>
        <w:rPr>
          <w:rFonts w:hint="eastAsia"/>
          <w:sz w:val="30"/>
          <w:szCs w:val="30"/>
        </w:rPr>
      </w:pPr>
      <w:r>
        <w:rPr>
          <w:rFonts w:hint="eastAsia"/>
          <w:sz w:val="30"/>
          <w:szCs w:val="30"/>
        </w:rPr>
        <w:t>其次，福音的神谕（33-48章）简单的三重结构为其正确解释提供了一个令人兴奋的线索。</w:t>
      </w:r>
    </w:p>
    <w:p w14:paraId="7AC182F1">
      <w:pPr>
        <w:pStyle w:val="9"/>
        <w:spacing w:before="11"/>
        <w:ind w:left="0"/>
        <w:jc w:val="left"/>
        <w:rPr>
          <w:rFonts w:hint="eastAsia"/>
          <w:sz w:val="30"/>
          <w:szCs w:val="30"/>
        </w:rPr>
      </w:pPr>
    </w:p>
    <w:p w14:paraId="0B833D72">
      <w:pPr>
        <w:pStyle w:val="9"/>
        <w:spacing w:before="11"/>
        <w:ind w:left="0"/>
        <w:jc w:val="left"/>
        <w:rPr>
          <w:rFonts w:hint="eastAsia"/>
          <w:sz w:val="30"/>
          <w:szCs w:val="30"/>
        </w:rPr>
      </w:pPr>
      <w:r>
        <w:rPr>
          <w:rFonts w:hint="eastAsia"/>
          <w:sz w:val="30"/>
          <w:szCs w:val="30"/>
        </w:rPr>
        <w:t>This is because it corresponds perfectly with the structure and contents of NT eschatology!</w:t>
      </w:r>
    </w:p>
    <w:p w14:paraId="28C9A723">
      <w:pPr>
        <w:pStyle w:val="9"/>
        <w:spacing w:before="11"/>
        <w:ind w:left="0"/>
        <w:jc w:val="left"/>
        <w:rPr>
          <w:rFonts w:hint="eastAsia"/>
          <w:sz w:val="30"/>
          <w:szCs w:val="30"/>
        </w:rPr>
      </w:pPr>
      <w:r>
        <w:rPr>
          <w:rFonts w:hint="eastAsia"/>
          <w:sz w:val="30"/>
          <w:szCs w:val="30"/>
        </w:rPr>
        <w:t>这是因为它与新约末世论的结构和内容完全对应！</w:t>
      </w:r>
    </w:p>
    <w:p w14:paraId="3A8A4EA7">
      <w:pPr>
        <w:pStyle w:val="9"/>
        <w:spacing w:before="11"/>
        <w:ind w:left="0"/>
        <w:jc w:val="left"/>
        <w:rPr>
          <w:rFonts w:hint="eastAsia"/>
          <w:sz w:val="30"/>
          <w:szCs w:val="30"/>
        </w:rPr>
      </w:pPr>
    </w:p>
    <w:p w14:paraId="3F7D3471">
      <w:pPr>
        <w:pStyle w:val="9"/>
        <w:spacing w:before="11"/>
        <w:ind w:left="0"/>
        <w:jc w:val="left"/>
        <w:rPr>
          <w:rFonts w:hint="eastAsia"/>
          <w:sz w:val="30"/>
          <w:szCs w:val="30"/>
        </w:rPr>
      </w:pPr>
      <w:r>
        <w:rPr>
          <w:rFonts w:hint="eastAsia"/>
          <w:sz w:val="30"/>
          <w:szCs w:val="30"/>
        </w:rPr>
        <w:t>To be specific: When we read in chapters 34-37 of the gift of Israel’s Messiah, and of her return to the land, our familiarity with NT eschatology immediately inclines us to think that these promises are fulfilled in the NT Era of Proclamation of Probation.</w:t>
      </w:r>
    </w:p>
    <w:p w14:paraId="69C1AC64">
      <w:pPr>
        <w:pStyle w:val="9"/>
        <w:spacing w:before="11"/>
        <w:ind w:left="0"/>
        <w:jc w:val="left"/>
        <w:rPr>
          <w:rFonts w:hint="eastAsia"/>
          <w:sz w:val="30"/>
          <w:szCs w:val="30"/>
        </w:rPr>
      </w:pPr>
      <w:r>
        <w:rPr>
          <w:rFonts w:hint="eastAsia"/>
          <w:sz w:val="30"/>
          <w:szCs w:val="30"/>
        </w:rPr>
        <w:t>具体来说：当我们在34-37章读到关于以色列的弥赛亚这份礼物，以及她回归故土时，我们对新约末世论的熟悉立即让我们倾向于认为，这些应许是在新约的宣讲与验证时代实现的。</w:t>
      </w:r>
    </w:p>
    <w:p w14:paraId="0A9351B9">
      <w:pPr>
        <w:pStyle w:val="9"/>
        <w:spacing w:before="11"/>
        <w:ind w:left="0"/>
        <w:jc w:val="left"/>
        <w:rPr>
          <w:rFonts w:hint="eastAsia"/>
          <w:sz w:val="30"/>
          <w:szCs w:val="30"/>
        </w:rPr>
      </w:pPr>
    </w:p>
    <w:p w14:paraId="7C29E232">
      <w:pPr>
        <w:pStyle w:val="9"/>
        <w:spacing w:before="11"/>
        <w:ind w:left="0"/>
        <w:jc w:val="left"/>
        <w:rPr>
          <w:rFonts w:hint="eastAsia"/>
          <w:sz w:val="30"/>
          <w:szCs w:val="30"/>
        </w:rPr>
      </w:pPr>
      <w:r>
        <w:rPr>
          <w:rFonts w:hint="eastAsia"/>
          <w:sz w:val="30"/>
          <w:szCs w:val="30"/>
        </w:rPr>
        <w:t>Similarly, when we read in chapters 38-39 of a final clash between Israel and the hordes of Gog, we think immediately of the Last Battle between the Church and the World, and of the Judgment at Christ’s return that will bring that battle to an end.</w:t>
      </w:r>
    </w:p>
    <w:p w14:paraId="6C417220">
      <w:pPr>
        <w:pStyle w:val="9"/>
        <w:spacing w:before="11"/>
        <w:ind w:left="0"/>
        <w:jc w:val="left"/>
        <w:rPr>
          <w:rFonts w:hint="eastAsia"/>
          <w:sz w:val="30"/>
          <w:szCs w:val="30"/>
        </w:rPr>
      </w:pPr>
      <w:r>
        <w:rPr>
          <w:rFonts w:hint="eastAsia"/>
          <w:sz w:val="30"/>
          <w:szCs w:val="30"/>
        </w:rPr>
        <w:t>同样，当我们在38-39章读到以色列与歌革大军的最后冲突时，我们立即想到教会与世界之间的末日之战，以及基督再临时将结束那场战争的审判。</w:t>
      </w:r>
    </w:p>
    <w:p w14:paraId="75BBDE02">
      <w:pPr>
        <w:pStyle w:val="9"/>
        <w:spacing w:before="11"/>
        <w:ind w:left="0"/>
        <w:jc w:val="left"/>
        <w:rPr>
          <w:rFonts w:hint="eastAsia"/>
          <w:sz w:val="30"/>
          <w:szCs w:val="30"/>
        </w:rPr>
      </w:pPr>
    </w:p>
    <w:p w14:paraId="2F86740D">
      <w:pPr>
        <w:pStyle w:val="9"/>
        <w:spacing w:before="11"/>
        <w:ind w:left="0"/>
        <w:jc w:val="left"/>
        <w:rPr>
          <w:rFonts w:hint="eastAsia"/>
          <w:sz w:val="30"/>
          <w:szCs w:val="30"/>
        </w:rPr>
      </w:pPr>
      <w:r>
        <w:rPr>
          <w:rFonts w:hint="eastAsia"/>
          <w:sz w:val="30"/>
          <w:szCs w:val="30"/>
        </w:rPr>
        <w:t>And finally, when we read in chapters 40-48 of the ultimate renewal of Israel’s Temple, Worship, Land, and City, we think immediately of the eschaton; the eternal Era of Reward and Retribution; the everlasting glory and worship of the Church in the new heavens and the new earth.</w:t>
      </w:r>
    </w:p>
    <w:p w14:paraId="3EBB75CA">
      <w:pPr>
        <w:pStyle w:val="9"/>
        <w:spacing w:before="11"/>
        <w:ind w:left="0"/>
        <w:jc w:val="left"/>
        <w:rPr>
          <w:rFonts w:hint="eastAsia"/>
          <w:sz w:val="30"/>
          <w:szCs w:val="30"/>
        </w:rPr>
      </w:pPr>
      <w:r>
        <w:rPr>
          <w:rFonts w:hint="eastAsia"/>
          <w:sz w:val="30"/>
          <w:szCs w:val="30"/>
        </w:rPr>
        <w:t>最后，当我们在40-48章读到以色列的圣殿、敬拜、土地和城市的最终更新时，我们立即想到末世；那永恒的赏罚时代；教会在新天新地里永恒的荣耀与敬拜。</w:t>
      </w:r>
    </w:p>
    <w:p w14:paraId="7CBFF1E5">
      <w:pPr>
        <w:pStyle w:val="9"/>
        <w:spacing w:before="11"/>
        <w:ind w:left="0"/>
        <w:jc w:val="left"/>
        <w:rPr>
          <w:rFonts w:hint="eastAsia"/>
          <w:sz w:val="30"/>
          <w:szCs w:val="30"/>
        </w:rPr>
      </w:pPr>
    </w:p>
    <w:p w14:paraId="073C946F">
      <w:pPr>
        <w:pStyle w:val="9"/>
        <w:spacing w:before="11"/>
        <w:ind w:left="0"/>
        <w:jc w:val="left"/>
        <w:rPr>
          <w:rFonts w:hint="eastAsia"/>
          <w:sz w:val="30"/>
          <w:szCs w:val="30"/>
        </w:rPr>
      </w:pPr>
      <w:r>
        <w:rPr>
          <w:rFonts w:hint="eastAsia"/>
          <w:sz w:val="30"/>
          <w:szCs w:val="30"/>
        </w:rPr>
        <w:t>Yes, these parallels are most striking, most suggestive, and most encouraging.</w:t>
      </w:r>
    </w:p>
    <w:p w14:paraId="68DB1519">
      <w:pPr>
        <w:pStyle w:val="9"/>
        <w:spacing w:before="11"/>
        <w:ind w:left="0"/>
        <w:jc w:val="left"/>
        <w:rPr>
          <w:rFonts w:hint="eastAsia"/>
          <w:sz w:val="30"/>
          <w:szCs w:val="30"/>
        </w:rPr>
      </w:pPr>
      <w:r>
        <w:rPr>
          <w:rFonts w:hint="eastAsia"/>
          <w:sz w:val="30"/>
          <w:szCs w:val="30"/>
        </w:rPr>
        <w:t>是的，这些平行之处最为引人注目、最具启发性、也最令人鼓舞。</w:t>
      </w:r>
    </w:p>
    <w:p w14:paraId="631F7B96">
      <w:pPr>
        <w:pStyle w:val="9"/>
        <w:spacing w:before="11"/>
        <w:ind w:left="0"/>
        <w:jc w:val="left"/>
        <w:rPr>
          <w:rFonts w:hint="eastAsia"/>
          <w:sz w:val="30"/>
          <w:szCs w:val="30"/>
        </w:rPr>
      </w:pPr>
    </w:p>
    <w:p w14:paraId="2E33A5C8">
      <w:pPr>
        <w:pStyle w:val="9"/>
        <w:spacing w:before="11"/>
        <w:ind w:left="0"/>
        <w:jc w:val="left"/>
        <w:rPr>
          <w:rFonts w:hint="eastAsia"/>
          <w:sz w:val="30"/>
          <w:szCs w:val="30"/>
        </w:rPr>
      </w:pPr>
      <w:r>
        <w:rPr>
          <w:rFonts w:hint="eastAsia"/>
          <w:sz w:val="30"/>
          <w:szCs w:val="30"/>
        </w:rPr>
        <w:t>But do they reflect biblical reality?</w:t>
      </w:r>
    </w:p>
    <w:p w14:paraId="5BF37BE7">
      <w:pPr>
        <w:pStyle w:val="9"/>
        <w:spacing w:before="11"/>
        <w:ind w:left="0"/>
        <w:jc w:val="left"/>
        <w:rPr>
          <w:rFonts w:hint="eastAsia"/>
          <w:sz w:val="30"/>
          <w:szCs w:val="30"/>
        </w:rPr>
      </w:pPr>
      <w:r>
        <w:rPr>
          <w:rFonts w:hint="eastAsia"/>
          <w:sz w:val="30"/>
          <w:szCs w:val="30"/>
        </w:rPr>
        <w:t>但它们是否反映了圣经的现实呢？</w:t>
      </w:r>
    </w:p>
    <w:p w14:paraId="220AA48D">
      <w:pPr>
        <w:pStyle w:val="9"/>
        <w:spacing w:before="11"/>
        <w:ind w:left="0"/>
        <w:jc w:val="left"/>
        <w:rPr>
          <w:rFonts w:hint="eastAsia"/>
          <w:sz w:val="30"/>
          <w:szCs w:val="30"/>
        </w:rPr>
      </w:pPr>
    </w:p>
    <w:p w14:paraId="0F12E067">
      <w:pPr>
        <w:pStyle w:val="9"/>
        <w:spacing w:before="11"/>
        <w:ind w:left="0"/>
        <w:jc w:val="left"/>
        <w:rPr>
          <w:rFonts w:hint="eastAsia"/>
          <w:sz w:val="30"/>
          <w:szCs w:val="30"/>
        </w:rPr>
      </w:pPr>
      <w:r>
        <w:rPr>
          <w:rFonts w:hint="eastAsia"/>
          <w:sz w:val="30"/>
          <w:szCs w:val="30"/>
        </w:rPr>
        <w:t>In order to find out, we will need to keep this thought-provoking correspondence in mind as we examine our texts themselves, trying to see if they do indeed support our educated NT guess as to their true meaning.</w:t>
      </w:r>
    </w:p>
    <w:p w14:paraId="470256AE">
      <w:pPr>
        <w:pStyle w:val="9"/>
        <w:spacing w:before="11"/>
        <w:ind w:left="0"/>
        <w:jc w:val="left"/>
        <w:rPr>
          <w:rFonts w:hint="eastAsia"/>
          <w:sz w:val="30"/>
          <w:szCs w:val="30"/>
        </w:rPr>
      </w:pPr>
      <w:r>
        <w:rPr>
          <w:rFonts w:hint="eastAsia"/>
          <w:sz w:val="30"/>
          <w:szCs w:val="30"/>
        </w:rPr>
        <w:t>为了找出答案，我们在查考经文本身时，需要牢记这种发人深省的对应关系，试图看看它们是否确实支持我们基于新约所作的关于其真实含义的有根据的推测。</w:t>
      </w:r>
    </w:p>
    <w:p w14:paraId="4F70E9B7">
      <w:pPr>
        <w:pStyle w:val="9"/>
        <w:spacing w:before="11"/>
        <w:ind w:left="0"/>
        <w:jc w:val="left"/>
        <w:rPr>
          <w:rFonts w:hint="eastAsia"/>
          <w:sz w:val="30"/>
          <w:szCs w:val="30"/>
        </w:rPr>
      </w:pPr>
    </w:p>
    <w:p w14:paraId="5575293C">
      <w:pPr>
        <w:pStyle w:val="9"/>
        <w:spacing w:before="11"/>
        <w:ind w:left="0"/>
        <w:jc w:val="left"/>
        <w:rPr>
          <w:rFonts w:hint="eastAsia"/>
          <w:sz w:val="30"/>
          <w:szCs w:val="30"/>
        </w:rPr>
      </w:pPr>
      <w:r>
        <w:rPr>
          <w:rFonts w:hint="eastAsia"/>
          <w:sz w:val="30"/>
          <w:szCs w:val="30"/>
        </w:rPr>
        <w:t>Another Helpful Breakdown</w:t>
      </w:r>
    </w:p>
    <w:p w14:paraId="3951BEC5">
      <w:pPr>
        <w:pStyle w:val="9"/>
        <w:spacing w:before="11"/>
        <w:ind w:left="0"/>
        <w:jc w:val="left"/>
        <w:rPr>
          <w:rFonts w:hint="eastAsia"/>
          <w:sz w:val="30"/>
          <w:szCs w:val="30"/>
        </w:rPr>
      </w:pPr>
      <w:r>
        <w:rPr>
          <w:rFonts w:hint="eastAsia"/>
          <w:sz w:val="30"/>
          <w:szCs w:val="30"/>
        </w:rPr>
        <w:t>另一个有助益的分解</w:t>
      </w:r>
    </w:p>
    <w:p w14:paraId="02C91B82">
      <w:pPr>
        <w:pStyle w:val="9"/>
        <w:spacing w:before="11"/>
        <w:ind w:left="0"/>
        <w:jc w:val="left"/>
        <w:rPr>
          <w:rFonts w:hint="eastAsia"/>
          <w:sz w:val="30"/>
          <w:szCs w:val="30"/>
        </w:rPr>
      </w:pPr>
    </w:p>
    <w:p w14:paraId="2001C206">
      <w:pPr>
        <w:pStyle w:val="9"/>
        <w:spacing w:before="11"/>
        <w:ind w:left="0"/>
        <w:jc w:val="left"/>
        <w:rPr>
          <w:rFonts w:hint="eastAsia"/>
          <w:sz w:val="30"/>
          <w:szCs w:val="30"/>
        </w:rPr>
      </w:pPr>
      <w:r>
        <w:rPr>
          <w:rFonts w:hint="eastAsia"/>
          <w:sz w:val="30"/>
          <w:szCs w:val="30"/>
        </w:rPr>
        <w:t>Concerning the Oracles of Restoration (chapters 34-37), a few further introductory words are in order.</w:t>
      </w:r>
    </w:p>
    <w:p w14:paraId="4A0F1E16">
      <w:pPr>
        <w:pStyle w:val="9"/>
        <w:spacing w:before="11"/>
        <w:ind w:left="0"/>
        <w:jc w:val="left"/>
        <w:rPr>
          <w:rFonts w:hint="eastAsia"/>
          <w:sz w:val="30"/>
          <w:szCs w:val="30"/>
        </w:rPr>
      </w:pPr>
      <w:r>
        <w:rPr>
          <w:rFonts w:hint="eastAsia"/>
          <w:sz w:val="30"/>
          <w:szCs w:val="30"/>
        </w:rPr>
        <w:t>关于复兴的神谕（34-37章），还需要一些进一步的介绍性说明。</w:t>
      </w:r>
    </w:p>
    <w:p w14:paraId="59405279">
      <w:pPr>
        <w:pStyle w:val="9"/>
        <w:spacing w:before="11"/>
        <w:ind w:left="0"/>
        <w:jc w:val="left"/>
        <w:rPr>
          <w:rFonts w:hint="eastAsia"/>
          <w:sz w:val="30"/>
          <w:szCs w:val="30"/>
        </w:rPr>
      </w:pPr>
    </w:p>
    <w:p w14:paraId="177A6B13">
      <w:pPr>
        <w:pStyle w:val="9"/>
        <w:spacing w:before="11"/>
        <w:ind w:left="0"/>
        <w:jc w:val="left"/>
        <w:rPr>
          <w:rFonts w:hint="eastAsia"/>
          <w:sz w:val="30"/>
          <w:szCs w:val="30"/>
        </w:rPr>
      </w:pPr>
      <w:r>
        <w:rPr>
          <w:rFonts w:hint="eastAsia"/>
          <w:sz w:val="30"/>
          <w:szCs w:val="30"/>
        </w:rPr>
        <w:t>Duguid outlines them as follows:</w:t>
      </w:r>
    </w:p>
    <w:p w14:paraId="1B3B1068">
      <w:pPr>
        <w:pStyle w:val="9"/>
        <w:spacing w:before="11"/>
        <w:ind w:left="0"/>
        <w:jc w:val="left"/>
        <w:rPr>
          <w:rFonts w:hint="eastAsia"/>
          <w:sz w:val="30"/>
          <w:szCs w:val="30"/>
        </w:rPr>
      </w:pPr>
      <w:r>
        <w:rPr>
          <w:rFonts w:hint="eastAsia"/>
          <w:sz w:val="30"/>
          <w:szCs w:val="30"/>
        </w:rPr>
        <w:t>杜圭德将其概述如下：</w:t>
      </w:r>
    </w:p>
    <w:p w14:paraId="5FF64031">
      <w:pPr>
        <w:pStyle w:val="9"/>
        <w:spacing w:before="11"/>
        <w:ind w:left="0"/>
        <w:jc w:val="left"/>
        <w:rPr>
          <w:rFonts w:hint="eastAsia"/>
          <w:sz w:val="30"/>
          <w:szCs w:val="30"/>
        </w:rPr>
      </w:pPr>
    </w:p>
    <w:p w14:paraId="5DFCE75C">
      <w:pPr>
        <w:pStyle w:val="9"/>
        <w:spacing w:before="11"/>
        <w:ind w:left="0"/>
        <w:jc w:val="left"/>
        <w:rPr>
          <w:rFonts w:hint="eastAsia"/>
          <w:sz w:val="30"/>
          <w:szCs w:val="30"/>
        </w:rPr>
      </w:pPr>
      <w:r>
        <w:rPr>
          <w:rFonts w:hint="eastAsia"/>
          <w:sz w:val="30"/>
          <w:szCs w:val="30"/>
        </w:rPr>
        <w:t>1.A New Shepherd (chapter 34)</w:t>
      </w:r>
    </w:p>
    <w:p w14:paraId="75CD92CE">
      <w:pPr>
        <w:pStyle w:val="9"/>
        <w:spacing w:before="11"/>
        <w:ind w:left="0"/>
        <w:jc w:val="left"/>
        <w:rPr>
          <w:rFonts w:hint="eastAsia"/>
          <w:sz w:val="30"/>
          <w:szCs w:val="30"/>
        </w:rPr>
      </w:pPr>
      <w:r>
        <w:rPr>
          <w:rFonts w:hint="eastAsia"/>
          <w:sz w:val="30"/>
          <w:szCs w:val="30"/>
        </w:rPr>
        <w:t>1.一位新牧者（第34章）</w:t>
      </w:r>
    </w:p>
    <w:p w14:paraId="246C377D">
      <w:pPr>
        <w:pStyle w:val="9"/>
        <w:spacing w:before="11"/>
        <w:ind w:left="0"/>
        <w:jc w:val="left"/>
        <w:rPr>
          <w:rFonts w:hint="eastAsia"/>
          <w:sz w:val="30"/>
          <w:szCs w:val="30"/>
        </w:rPr>
      </w:pPr>
    </w:p>
    <w:p w14:paraId="7334887A">
      <w:pPr>
        <w:pStyle w:val="9"/>
        <w:spacing w:before="11"/>
        <w:ind w:left="0"/>
        <w:jc w:val="left"/>
        <w:rPr>
          <w:rFonts w:hint="eastAsia"/>
          <w:sz w:val="30"/>
          <w:szCs w:val="30"/>
        </w:rPr>
      </w:pPr>
      <w:r>
        <w:rPr>
          <w:rFonts w:hint="eastAsia"/>
          <w:sz w:val="30"/>
          <w:szCs w:val="30"/>
        </w:rPr>
        <w:t>2.A Renewed Land (chapters 35-36)</w:t>
      </w:r>
    </w:p>
    <w:p w14:paraId="70BCF4DB">
      <w:pPr>
        <w:pStyle w:val="9"/>
        <w:spacing w:before="11"/>
        <w:ind w:left="0"/>
        <w:jc w:val="left"/>
        <w:rPr>
          <w:rFonts w:hint="eastAsia"/>
          <w:sz w:val="30"/>
          <w:szCs w:val="30"/>
        </w:rPr>
      </w:pPr>
      <w:r>
        <w:rPr>
          <w:rFonts w:hint="eastAsia"/>
          <w:sz w:val="30"/>
          <w:szCs w:val="30"/>
        </w:rPr>
        <w:t>2.一片更新的土地（第35-36章）</w:t>
      </w:r>
    </w:p>
    <w:p w14:paraId="40229411">
      <w:pPr>
        <w:pStyle w:val="9"/>
        <w:spacing w:before="11"/>
        <w:ind w:left="0"/>
        <w:jc w:val="left"/>
        <w:rPr>
          <w:rFonts w:hint="eastAsia"/>
          <w:sz w:val="30"/>
          <w:szCs w:val="30"/>
        </w:rPr>
      </w:pPr>
    </w:p>
    <w:p w14:paraId="55FA81E8">
      <w:pPr>
        <w:pStyle w:val="9"/>
        <w:spacing w:before="11"/>
        <w:ind w:left="0"/>
        <w:jc w:val="left"/>
        <w:rPr>
          <w:rFonts w:hint="eastAsia"/>
          <w:sz w:val="30"/>
          <w:szCs w:val="30"/>
        </w:rPr>
      </w:pPr>
      <w:r>
        <w:rPr>
          <w:rFonts w:hint="eastAsia"/>
          <w:sz w:val="30"/>
          <w:szCs w:val="30"/>
        </w:rPr>
        <w:t>3.A Renewed Covenant (chapter 36)</w:t>
      </w:r>
    </w:p>
    <w:p w14:paraId="3F189E78">
      <w:pPr>
        <w:pStyle w:val="9"/>
        <w:spacing w:before="11"/>
        <w:ind w:left="0"/>
        <w:jc w:val="left"/>
        <w:rPr>
          <w:rFonts w:hint="eastAsia"/>
          <w:sz w:val="30"/>
          <w:szCs w:val="30"/>
        </w:rPr>
      </w:pPr>
      <w:r>
        <w:rPr>
          <w:rFonts w:hint="eastAsia"/>
          <w:sz w:val="30"/>
          <w:szCs w:val="30"/>
        </w:rPr>
        <w:t>3.一个更新的约（第36章）</w:t>
      </w:r>
    </w:p>
    <w:p w14:paraId="24954837">
      <w:pPr>
        <w:pStyle w:val="9"/>
        <w:spacing w:before="11"/>
        <w:ind w:left="0"/>
        <w:jc w:val="left"/>
        <w:rPr>
          <w:rFonts w:hint="eastAsia"/>
          <w:sz w:val="30"/>
          <w:szCs w:val="30"/>
        </w:rPr>
      </w:pPr>
    </w:p>
    <w:p w14:paraId="7C347873">
      <w:pPr>
        <w:pStyle w:val="9"/>
        <w:spacing w:before="11"/>
        <w:ind w:left="0"/>
        <w:jc w:val="left"/>
        <w:rPr>
          <w:rFonts w:hint="eastAsia"/>
          <w:sz w:val="30"/>
          <w:szCs w:val="30"/>
        </w:rPr>
      </w:pPr>
      <w:r>
        <w:rPr>
          <w:rFonts w:hint="eastAsia"/>
          <w:sz w:val="30"/>
          <w:szCs w:val="30"/>
        </w:rPr>
        <w:t>4.A Renewed People (chapter 37:1-14)</w:t>
      </w:r>
    </w:p>
    <w:p w14:paraId="3C3A62F8">
      <w:pPr>
        <w:pStyle w:val="9"/>
        <w:spacing w:before="11"/>
        <w:ind w:left="0"/>
        <w:jc w:val="left"/>
        <w:rPr>
          <w:rFonts w:hint="eastAsia"/>
          <w:sz w:val="30"/>
          <w:szCs w:val="30"/>
        </w:rPr>
      </w:pPr>
      <w:r>
        <w:rPr>
          <w:rFonts w:hint="eastAsia"/>
          <w:sz w:val="30"/>
          <w:szCs w:val="30"/>
        </w:rPr>
        <w:t>4.一群更新的民（第37章1-14节）</w:t>
      </w:r>
    </w:p>
    <w:p w14:paraId="173CB71C">
      <w:pPr>
        <w:pStyle w:val="9"/>
        <w:spacing w:before="11"/>
        <w:ind w:left="0"/>
        <w:jc w:val="left"/>
        <w:rPr>
          <w:rFonts w:hint="eastAsia"/>
          <w:sz w:val="30"/>
          <w:szCs w:val="30"/>
        </w:rPr>
      </w:pPr>
    </w:p>
    <w:p w14:paraId="2CFBBC2B">
      <w:pPr>
        <w:pStyle w:val="9"/>
        <w:spacing w:before="11"/>
        <w:ind w:left="0"/>
        <w:jc w:val="left"/>
        <w:rPr>
          <w:rFonts w:hint="eastAsia"/>
          <w:sz w:val="30"/>
          <w:szCs w:val="30"/>
        </w:rPr>
      </w:pPr>
      <w:r>
        <w:rPr>
          <w:rFonts w:hint="eastAsia"/>
          <w:sz w:val="30"/>
          <w:szCs w:val="30"/>
        </w:rPr>
        <w:t>5.A Renewed Unity (37:15-28)</w:t>
      </w:r>
    </w:p>
    <w:p w14:paraId="5774CE88">
      <w:pPr>
        <w:pStyle w:val="9"/>
        <w:spacing w:before="11"/>
        <w:ind w:left="0"/>
        <w:jc w:val="left"/>
        <w:rPr>
          <w:rFonts w:hint="eastAsia"/>
          <w:sz w:val="30"/>
          <w:szCs w:val="30"/>
        </w:rPr>
      </w:pPr>
      <w:r>
        <w:rPr>
          <w:rFonts w:hint="eastAsia"/>
          <w:sz w:val="30"/>
          <w:szCs w:val="30"/>
        </w:rPr>
        <w:t>5.一种更新的合一（第37章15-28节）</w:t>
      </w:r>
    </w:p>
    <w:p w14:paraId="66687D97">
      <w:pPr>
        <w:pStyle w:val="9"/>
        <w:spacing w:before="11"/>
        <w:ind w:left="0"/>
        <w:jc w:val="left"/>
        <w:rPr>
          <w:rFonts w:hint="eastAsia"/>
          <w:sz w:val="30"/>
          <w:szCs w:val="30"/>
        </w:rPr>
      </w:pPr>
    </w:p>
    <w:p w14:paraId="337F44FA">
      <w:pPr>
        <w:pStyle w:val="9"/>
        <w:spacing w:before="11"/>
        <w:ind w:left="0"/>
        <w:jc w:val="left"/>
        <w:rPr>
          <w:rFonts w:hint="eastAsia"/>
          <w:sz w:val="30"/>
          <w:szCs w:val="30"/>
        </w:rPr>
      </w:pPr>
      <w:r>
        <w:rPr>
          <w:rFonts w:hint="eastAsia"/>
          <w:sz w:val="30"/>
          <w:szCs w:val="30"/>
        </w:rPr>
        <w:t>Here again we have a most helpful breakdown.</w:t>
      </w:r>
    </w:p>
    <w:p w14:paraId="4B22221B">
      <w:pPr>
        <w:pStyle w:val="9"/>
        <w:spacing w:before="11"/>
        <w:ind w:left="0"/>
        <w:jc w:val="left"/>
        <w:rPr>
          <w:rFonts w:hint="eastAsia"/>
          <w:sz w:val="30"/>
          <w:szCs w:val="30"/>
        </w:rPr>
      </w:pPr>
      <w:r>
        <w:rPr>
          <w:rFonts w:hint="eastAsia"/>
          <w:sz w:val="30"/>
          <w:szCs w:val="30"/>
        </w:rPr>
        <w:t>这里我们又得到了一个极有帮助的分解。</w:t>
      </w:r>
    </w:p>
    <w:p w14:paraId="0FC2682E">
      <w:pPr>
        <w:pStyle w:val="9"/>
        <w:spacing w:before="11"/>
        <w:ind w:left="0"/>
        <w:jc w:val="left"/>
        <w:rPr>
          <w:rFonts w:hint="eastAsia"/>
          <w:sz w:val="30"/>
          <w:szCs w:val="30"/>
        </w:rPr>
      </w:pPr>
    </w:p>
    <w:p w14:paraId="0557C3DF">
      <w:pPr>
        <w:pStyle w:val="9"/>
        <w:spacing w:before="11"/>
        <w:ind w:left="0"/>
        <w:jc w:val="left"/>
        <w:rPr>
          <w:rFonts w:hint="eastAsia"/>
          <w:sz w:val="30"/>
          <w:szCs w:val="30"/>
        </w:rPr>
      </w:pPr>
      <w:r>
        <w:rPr>
          <w:rFonts w:hint="eastAsia"/>
          <w:sz w:val="30"/>
          <w:szCs w:val="30"/>
        </w:rPr>
        <w:t>Why?</w:t>
      </w:r>
    </w:p>
    <w:p w14:paraId="6F77B6AE">
      <w:pPr>
        <w:pStyle w:val="9"/>
        <w:spacing w:before="11"/>
        <w:ind w:left="0"/>
        <w:jc w:val="left"/>
        <w:rPr>
          <w:rFonts w:hint="eastAsia"/>
          <w:sz w:val="30"/>
          <w:szCs w:val="30"/>
        </w:rPr>
      </w:pPr>
      <w:r>
        <w:rPr>
          <w:rFonts w:hint="eastAsia"/>
          <w:sz w:val="30"/>
          <w:szCs w:val="30"/>
        </w:rPr>
        <w:t>为什么？</w:t>
      </w:r>
    </w:p>
    <w:p w14:paraId="20AB5D3F">
      <w:pPr>
        <w:pStyle w:val="9"/>
        <w:spacing w:before="11"/>
        <w:ind w:left="0"/>
        <w:jc w:val="left"/>
        <w:rPr>
          <w:rFonts w:hint="eastAsia"/>
          <w:sz w:val="30"/>
          <w:szCs w:val="30"/>
        </w:rPr>
      </w:pPr>
    </w:p>
    <w:p w14:paraId="291274EE">
      <w:pPr>
        <w:pStyle w:val="9"/>
        <w:spacing w:before="11"/>
        <w:ind w:left="0"/>
        <w:jc w:val="left"/>
        <w:rPr>
          <w:rFonts w:hint="eastAsia"/>
          <w:sz w:val="30"/>
          <w:szCs w:val="30"/>
        </w:rPr>
      </w:pPr>
      <w:r>
        <w:rPr>
          <w:rFonts w:hint="eastAsia"/>
          <w:sz w:val="30"/>
          <w:szCs w:val="30"/>
        </w:rPr>
        <w:t>Because it highlights the theological unity of these chapters, and also strongly intimates their true sphere of fulfillment: the New Covenant Era of Proclamation and Probation.</w:t>
      </w:r>
    </w:p>
    <w:p w14:paraId="6361351E">
      <w:pPr>
        <w:pStyle w:val="9"/>
        <w:spacing w:before="11"/>
        <w:ind w:left="0"/>
        <w:jc w:val="left"/>
        <w:rPr>
          <w:rFonts w:hint="eastAsia"/>
          <w:sz w:val="30"/>
          <w:szCs w:val="30"/>
        </w:rPr>
      </w:pPr>
      <w:r>
        <w:rPr>
          <w:rFonts w:hint="eastAsia"/>
          <w:sz w:val="30"/>
          <w:szCs w:val="30"/>
        </w:rPr>
        <w:t>因为它凸显了这几章的神学统一性，并且强烈地暗示了它们真正的应验范畴：新约的宣讲与验证时代。</w:t>
      </w:r>
    </w:p>
    <w:p w14:paraId="35709E4A">
      <w:pPr>
        <w:pStyle w:val="9"/>
        <w:spacing w:before="11"/>
        <w:ind w:left="0"/>
        <w:jc w:val="left"/>
        <w:rPr>
          <w:rFonts w:hint="eastAsia"/>
          <w:sz w:val="30"/>
          <w:szCs w:val="30"/>
        </w:rPr>
      </w:pPr>
    </w:p>
    <w:p w14:paraId="19162F3B">
      <w:pPr>
        <w:pStyle w:val="9"/>
        <w:spacing w:before="11"/>
        <w:ind w:left="0"/>
        <w:jc w:val="left"/>
        <w:rPr>
          <w:rFonts w:hint="eastAsia"/>
          <w:sz w:val="30"/>
          <w:szCs w:val="30"/>
        </w:rPr>
      </w:pPr>
      <w:r>
        <w:rPr>
          <w:rFonts w:hint="eastAsia"/>
          <w:sz w:val="30"/>
          <w:szCs w:val="30"/>
        </w:rPr>
        <w:t>In other words, Duguid’s outline quietly suggests what the NCH positively affirms: All the oracles in this section speak of the new things God will do in and for his people in the last days.</w:t>
      </w:r>
    </w:p>
    <w:p w14:paraId="166480E6">
      <w:pPr>
        <w:pStyle w:val="9"/>
        <w:spacing w:before="11"/>
        <w:ind w:left="0"/>
        <w:jc w:val="left"/>
        <w:rPr>
          <w:rFonts w:hint="eastAsia"/>
          <w:sz w:val="30"/>
          <w:szCs w:val="30"/>
        </w:rPr>
      </w:pPr>
      <w:r>
        <w:rPr>
          <w:rFonts w:hint="eastAsia"/>
          <w:sz w:val="30"/>
          <w:szCs w:val="30"/>
        </w:rPr>
        <w:t>换言之，杜圭德的大纲悄然暗示了新约圣经解释法（NCH）所明确肯定的：本部分所有的神谕都在讲述末后的日子里神将要在他子民里面并为他们所做的新事。</w:t>
      </w:r>
    </w:p>
    <w:p w14:paraId="00445A68">
      <w:pPr>
        <w:pStyle w:val="9"/>
        <w:spacing w:before="11"/>
        <w:ind w:left="0"/>
        <w:jc w:val="left"/>
        <w:rPr>
          <w:rFonts w:hint="eastAsia"/>
          <w:sz w:val="30"/>
          <w:szCs w:val="30"/>
        </w:rPr>
      </w:pPr>
    </w:p>
    <w:p w14:paraId="588822AB">
      <w:pPr>
        <w:pStyle w:val="9"/>
        <w:spacing w:before="11"/>
        <w:ind w:left="0"/>
        <w:jc w:val="left"/>
        <w:rPr>
          <w:rFonts w:hint="eastAsia"/>
          <w:sz w:val="30"/>
          <w:szCs w:val="30"/>
        </w:rPr>
      </w:pPr>
      <w:r>
        <w:rPr>
          <w:rFonts w:hint="eastAsia"/>
          <w:sz w:val="30"/>
          <w:szCs w:val="30"/>
        </w:rPr>
        <w:t>In particular, he will (1) give them a new Shepherd, the Lord Jesus Christ, (2) plant them in a new homeland, the Zion above, where the exalted Christ now dwells, (3) draw them into a New Covenant, the Eternal Covenant in Christ’s blood, (4) fill them with new spiritual life, the very resurrection life of Christ, and (5) bestow upon them—factious, warring sinners that they were—a new unity in the Spirit, in Christ, and in the Body of Christ.</w:t>
      </w:r>
    </w:p>
    <w:p w14:paraId="7702BBE1">
      <w:pPr>
        <w:pStyle w:val="9"/>
        <w:spacing w:before="11"/>
        <w:ind w:left="0"/>
        <w:jc w:val="left"/>
        <w:rPr>
          <w:rFonts w:hint="eastAsia"/>
          <w:sz w:val="30"/>
          <w:szCs w:val="30"/>
        </w:rPr>
      </w:pPr>
      <w:r>
        <w:rPr>
          <w:rFonts w:hint="eastAsia"/>
          <w:sz w:val="30"/>
          <w:szCs w:val="30"/>
        </w:rPr>
        <w:t>特别是，祂将（1）赐给他们一位新牧者，主耶稣基督；（2）将他们栽于一个新的家园，即天上的锡安，被高举的基督现今居住之处；（3）将他们带入一个新约，即基督宝血中的永约；（4）用新的属灵生命，即基督的复活生命本身，来充满他们；以及（5）赐予他们——这些曾经是结党纷争、彼此争战的罪人——在圣灵里、在基督里、并在基督身体里的新合一。</w:t>
      </w:r>
    </w:p>
    <w:p w14:paraId="1EB07906">
      <w:pPr>
        <w:pStyle w:val="9"/>
        <w:spacing w:before="11"/>
        <w:ind w:left="0"/>
        <w:jc w:val="left"/>
        <w:rPr>
          <w:rFonts w:hint="eastAsia"/>
          <w:sz w:val="30"/>
          <w:szCs w:val="30"/>
        </w:rPr>
      </w:pPr>
    </w:p>
    <w:p w14:paraId="26D3EF69">
      <w:pPr>
        <w:pStyle w:val="9"/>
        <w:spacing w:before="11"/>
        <w:ind w:left="0"/>
        <w:jc w:val="left"/>
        <w:rPr>
          <w:rFonts w:hint="eastAsia"/>
          <w:sz w:val="30"/>
          <w:szCs w:val="30"/>
        </w:rPr>
      </w:pPr>
      <w:r>
        <w:rPr>
          <w:rFonts w:hint="eastAsia"/>
          <w:sz w:val="30"/>
          <w:szCs w:val="30"/>
        </w:rPr>
        <w:t>In sum, Duguid’s outline enables us to see that all of the oracles in this section—each in its own way and each from its own angle—depict the blessings of Christ’s Church in the first stage of the Kingdom of God.</w:t>
      </w:r>
    </w:p>
    <w:p w14:paraId="1B72765B">
      <w:pPr>
        <w:pStyle w:val="9"/>
        <w:spacing w:before="11"/>
        <w:ind w:left="0"/>
        <w:jc w:val="left"/>
        <w:rPr>
          <w:rFonts w:hint="eastAsia"/>
          <w:sz w:val="30"/>
          <w:szCs w:val="30"/>
        </w:rPr>
      </w:pPr>
      <w:r>
        <w:rPr>
          <w:rFonts w:hint="eastAsia"/>
          <w:sz w:val="30"/>
          <w:szCs w:val="30"/>
        </w:rPr>
        <w:t>总而言之，杜圭德的大纲使我们能够看到，本部分所有的神谕——每一个都以其自己的方式，从其自己的角度——描绘了基督的教会在神国第一阶段所蒙的祝福。</w:t>
      </w:r>
    </w:p>
    <w:p w14:paraId="560F2372">
      <w:pPr>
        <w:pStyle w:val="9"/>
        <w:spacing w:before="11"/>
        <w:ind w:left="0"/>
        <w:jc w:val="left"/>
        <w:rPr>
          <w:rFonts w:hint="eastAsia"/>
          <w:sz w:val="30"/>
          <w:szCs w:val="30"/>
        </w:rPr>
      </w:pPr>
    </w:p>
    <w:p w14:paraId="5C30748A">
      <w:pPr>
        <w:pStyle w:val="9"/>
        <w:spacing w:before="11"/>
        <w:ind w:left="0"/>
        <w:jc w:val="left"/>
        <w:rPr>
          <w:rFonts w:hint="eastAsia"/>
          <w:sz w:val="30"/>
          <w:szCs w:val="30"/>
        </w:rPr>
      </w:pPr>
      <w:r>
        <w:rPr>
          <w:rFonts w:hint="eastAsia"/>
          <w:sz w:val="30"/>
          <w:szCs w:val="30"/>
        </w:rPr>
        <w:t>They depict them, however, in language and imagery calculated to stir the imagination and kindle the hopes of God’s struggling OT saints, some of whom had recently endured the ruin of their capital city, the destruction of their temple, and the humiliating agony of deportation and exile from their beloved homeland.1</w:t>
      </w:r>
    </w:p>
    <w:p w14:paraId="299116CD">
      <w:pPr>
        <w:pStyle w:val="9"/>
        <w:spacing w:before="11"/>
        <w:ind w:left="0"/>
        <w:jc w:val="left"/>
        <w:rPr>
          <w:rFonts w:hint="eastAsia"/>
          <w:sz w:val="30"/>
          <w:szCs w:val="30"/>
        </w:rPr>
      </w:pPr>
      <w:r>
        <w:rPr>
          <w:rFonts w:hint="eastAsia"/>
          <w:sz w:val="30"/>
          <w:szCs w:val="30"/>
        </w:rPr>
        <w:t>然而，它们是以一种旨在激发想象力、点燃神那些挣扎中的旧约圣徒盼望的语言和意象来描绘这些祝福的，这些圣徒中有些人最近经历了他们首都的毁灭、圣殿的被毁，以及被驱逐、流亡离开他们挚爱家园的屈辱痛苦。1</w:t>
      </w:r>
    </w:p>
    <w:p w14:paraId="51D31AFF">
      <w:pPr>
        <w:pStyle w:val="9"/>
        <w:spacing w:before="11"/>
        <w:ind w:left="0"/>
        <w:jc w:val="left"/>
        <w:rPr>
          <w:rFonts w:hint="eastAsia"/>
          <w:sz w:val="30"/>
          <w:szCs w:val="30"/>
        </w:rPr>
      </w:pPr>
    </w:p>
    <w:p w14:paraId="63C42C81">
      <w:pPr>
        <w:pStyle w:val="9"/>
        <w:spacing w:before="11"/>
        <w:ind w:left="0"/>
        <w:jc w:val="left"/>
        <w:rPr>
          <w:rFonts w:hint="eastAsia"/>
          <w:sz w:val="30"/>
          <w:szCs w:val="30"/>
        </w:rPr>
      </w:pPr>
      <w:r>
        <w:rPr>
          <w:rFonts w:hint="eastAsia"/>
          <w:sz w:val="30"/>
          <w:szCs w:val="30"/>
        </w:rPr>
        <w:t>And now, with all of this good background information filling our minds, we are ready at long last to visit with Ezekiel himself.</w:t>
      </w:r>
    </w:p>
    <w:p w14:paraId="4A595B68">
      <w:pPr>
        <w:pStyle w:val="9"/>
        <w:spacing w:before="11"/>
        <w:ind w:left="0"/>
        <w:jc w:val="left"/>
        <w:rPr>
          <w:rFonts w:hint="eastAsia"/>
          <w:sz w:val="30"/>
          <w:szCs w:val="30"/>
        </w:rPr>
      </w:pPr>
      <w:r>
        <w:rPr>
          <w:rFonts w:hint="eastAsia"/>
          <w:sz w:val="30"/>
          <w:szCs w:val="30"/>
        </w:rPr>
        <w:t>现在，脑中充满了所有这些良好的背景信息，我们终于准备好拜访以西结本人了。</w:t>
      </w:r>
    </w:p>
    <w:p w14:paraId="67E8A9CA">
      <w:pPr>
        <w:pStyle w:val="9"/>
        <w:spacing w:before="11"/>
        <w:ind w:left="0"/>
        <w:jc w:val="left"/>
        <w:rPr>
          <w:rFonts w:hint="eastAsia"/>
          <w:sz w:val="30"/>
          <w:szCs w:val="30"/>
        </w:rPr>
      </w:pPr>
    </w:p>
    <w:p w14:paraId="58D249CB">
      <w:pPr>
        <w:pStyle w:val="9"/>
        <w:spacing w:before="11"/>
        <w:ind w:left="0"/>
        <w:jc w:val="left"/>
        <w:rPr>
          <w:rFonts w:hint="eastAsia"/>
          <w:sz w:val="30"/>
          <w:szCs w:val="30"/>
        </w:rPr>
      </w:pPr>
      <w:r>
        <w:rPr>
          <w:rFonts w:hint="eastAsia"/>
          <w:sz w:val="30"/>
          <w:szCs w:val="30"/>
        </w:rPr>
        <w:t>We will begin by venturing into the Valley of Dry Bones.</w:t>
      </w:r>
    </w:p>
    <w:p w14:paraId="7D2BD291">
      <w:pPr>
        <w:pStyle w:val="9"/>
        <w:spacing w:before="11"/>
        <w:ind w:left="0"/>
        <w:jc w:val="left"/>
        <w:rPr>
          <w:rFonts w:hint="eastAsia"/>
          <w:sz w:val="30"/>
          <w:szCs w:val="30"/>
        </w:rPr>
      </w:pPr>
      <w:r>
        <w:rPr>
          <w:rFonts w:hint="eastAsia"/>
          <w:sz w:val="30"/>
          <w:szCs w:val="30"/>
        </w:rPr>
        <w:t>我们将从冒险进入枯骨谷开始。</w:t>
      </w:r>
    </w:p>
    <w:p w14:paraId="120917C9">
      <w:pPr>
        <w:pStyle w:val="9"/>
        <w:spacing w:before="11"/>
        <w:ind w:left="0"/>
        <w:jc w:val="left"/>
        <w:rPr>
          <w:rFonts w:hint="eastAsia"/>
          <w:sz w:val="30"/>
          <w:szCs w:val="30"/>
        </w:rPr>
      </w:pPr>
    </w:p>
    <w:p w14:paraId="38F6477B">
      <w:pPr>
        <w:pStyle w:val="9"/>
        <w:spacing w:before="11"/>
        <w:ind w:left="0"/>
        <w:jc w:val="left"/>
        <w:rPr>
          <w:rFonts w:hint="eastAsia"/>
          <w:sz w:val="30"/>
          <w:szCs w:val="30"/>
        </w:rPr>
      </w:pPr>
      <w:r>
        <w:rPr>
          <w:rFonts w:hint="eastAsia"/>
          <w:sz w:val="30"/>
          <w:szCs w:val="30"/>
        </w:rPr>
        <w:t>1.Resurrection Life In the Valley of Dry Bones</w:t>
      </w:r>
    </w:p>
    <w:p w14:paraId="32E83A11">
      <w:pPr>
        <w:pStyle w:val="9"/>
        <w:spacing w:before="11"/>
        <w:ind w:left="0"/>
        <w:jc w:val="left"/>
        <w:rPr>
          <w:rFonts w:hint="eastAsia"/>
          <w:sz w:val="30"/>
          <w:szCs w:val="30"/>
        </w:rPr>
      </w:pPr>
      <w:r>
        <w:rPr>
          <w:rFonts w:hint="eastAsia"/>
          <w:sz w:val="30"/>
          <w:szCs w:val="30"/>
        </w:rPr>
        <w:t>(Ezekiel 37:1-14)</w:t>
      </w:r>
    </w:p>
    <w:p w14:paraId="2D9E14B3">
      <w:pPr>
        <w:pStyle w:val="9"/>
        <w:spacing w:before="11"/>
        <w:ind w:left="0"/>
        <w:jc w:val="left"/>
        <w:rPr>
          <w:rFonts w:hint="eastAsia"/>
          <w:sz w:val="30"/>
          <w:szCs w:val="30"/>
        </w:rPr>
      </w:pPr>
      <w:r>
        <w:rPr>
          <w:rFonts w:hint="eastAsia"/>
          <w:sz w:val="30"/>
          <w:szCs w:val="30"/>
        </w:rPr>
        <w:t>1. 枯骨谷中的复活生命</w:t>
      </w:r>
    </w:p>
    <w:p w14:paraId="7FC90D67">
      <w:pPr>
        <w:pStyle w:val="9"/>
        <w:spacing w:before="11"/>
        <w:ind w:left="0"/>
        <w:jc w:val="left"/>
        <w:rPr>
          <w:rFonts w:hint="eastAsia"/>
          <w:sz w:val="30"/>
          <w:szCs w:val="30"/>
        </w:rPr>
      </w:pPr>
      <w:r>
        <w:rPr>
          <w:rFonts w:hint="eastAsia"/>
          <w:sz w:val="30"/>
          <w:szCs w:val="30"/>
        </w:rPr>
        <w:t>（以西结书 37:1-14）</w:t>
      </w:r>
    </w:p>
    <w:p w14:paraId="4D3C39A7">
      <w:pPr>
        <w:pStyle w:val="9"/>
        <w:spacing w:before="11"/>
        <w:ind w:left="0"/>
        <w:jc w:val="left"/>
        <w:rPr>
          <w:rFonts w:hint="eastAsia"/>
          <w:sz w:val="30"/>
          <w:szCs w:val="30"/>
        </w:rPr>
      </w:pPr>
    </w:p>
    <w:p w14:paraId="086E6A79">
      <w:pPr>
        <w:pStyle w:val="9"/>
        <w:spacing w:before="11"/>
        <w:ind w:left="0"/>
        <w:jc w:val="left"/>
        <w:rPr>
          <w:rFonts w:hint="eastAsia"/>
          <w:sz w:val="30"/>
          <w:szCs w:val="30"/>
        </w:rPr>
      </w:pPr>
      <w:r>
        <w:rPr>
          <w:rFonts w:hint="eastAsia"/>
          <w:sz w:val="30"/>
          <w:szCs w:val="30"/>
        </w:rPr>
        <w:t>Ezekiel’s famous vision of the Valley of Dry Bones is a great favorite among Christians, and with good reason: Its evocative symbolism unfailingly calls to mind their own conversion; the happy day when the sovereign Spirit of God lifted them out of the Valley of the Shadow of Death and planted them in Christ, through whom they have now begun to experience the joy of eternal resurrection life (John 11, Rom. 6:1f, Eph. 2:1- 12, Col. 1:13).</w:t>
      </w:r>
    </w:p>
    <w:p w14:paraId="2DD8BC28">
      <w:pPr>
        <w:pStyle w:val="9"/>
        <w:spacing w:before="11"/>
        <w:ind w:left="0"/>
        <w:jc w:val="left"/>
        <w:rPr>
          <w:rFonts w:hint="eastAsia"/>
          <w:sz w:val="30"/>
          <w:szCs w:val="30"/>
        </w:rPr>
      </w:pPr>
      <w:r>
        <w:rPr>
          <w:rFonts w:hint="eastAsia"/>
          <w:sz w:val="30"/>
          <w:szCs w:val="30"/>
        </w:rPr>
        <w:t>以西结关于枯骨谷的著名异象深得基督徒喜爱，且理由充分：其富有感染力的象征意义总能让人回想起他们自己的归信；在那快乐的日子里，拥有主权的神的灵将他们从死荫的幽谷中提拔出来，将他们栽种在基督里，借着基督，他们如今已开始经历永恒复活生命的喜乐（约翰福音11章，罗马书6:1及以下，以弗所书2:1-12，歌罗西书1:13）。</w:t>
      </w:r>
    </w:p>
    <w:p w14:paraId="3674BB28">
      <w:pPr>
        <w:pStyle w:val="9"/>
        <w:spacing w:before="11"/>
        <w:ind w:left="0"/>
        <w:jc w:val="left"/>
        <w:rPr>
          <w:rFonts w:hint="eastAsia"/>
          <w:sz w:val="30"/>
          <w:szCs w:val="30"/>
        </w:rPr>
      </w:pPr>
    </w:p>
    <w:p w14:paraId="4C993B6E">
      <w:pPr>
        <w:pStyle w:val="9"/>
        <w:spacing w:before="11"/>
        <w:ind w:left="0"/>
        <w:jc w:val="left"/>
        <w:rPr>
          <w:rFonts w:hint="eastAsia"/>
          <w:sz w:val="30"/>
          <w:szCs w:val="30"/>
        </w:rPr>
      </w:pPr>
      <w:r>
        <w:rPr>
          <w:rFonts w:hint="eastAsia"/>
          <w:sz w:val="30"/>
          <w:szCs w:val="30"/>
        </w:rPr>
        <w:t>However, as good biblical exegetes we must honestly ask ourselves: Is this really what the Spirit of God had in mind when he gave Ezekiel this mysterious vision and prophecy?</w:t>
      </w:r>
    </w:p>
    <w:p w14:paraId="70B0F340">
      <w:pPr>
        <w:pStyle w:val="9"/>
        <w:spacing w:before="11"/>
        <w:ind w:left="0"/>
        <w:jc w:val="left"/>
        <w:rPr>
          <w:rFonts w:hint="eastAsia"/>
          <w:sz w:val="30"/>
          <w:szCs w:val="30"/>
        </w:rPr>
      </w:pPr>
      <w:r>
        <w:rPr>
          <w:rFonts w:hint="eastAsia"/>
          <w:sz w:val="30"/>
          <w:szCs w:val="30"/>
        </w:rPr>
        <w:t>然而，作为优秀的圣经解经家，我们必须诚实地问自己：当神的灵将这个奥秘的异象和预言赐给以西结时，这真的是祂心中的意图吗？</w:t>
      </w:r>
    </w:p>
    <w:p w14:paraId="4F90FAFB">
      <w:pPr>
        <w:pStyle w:val="9"/>
        <w:spacing w:before="11"/>
        <w:ind w:left="0"/>
        <w:jc w:val="left"/>
        <w:rPr>
          <w:rFonts w:hint="eastAsia"/>
          <w:sz w:val="30"/>
          <w:szCs w:val="30"/>
        </w:rPr>
      </w:pPr>
    </w:p>
    <w:p w14:paraId="2C75053F">
      <w:pPr>
        <w:pStyle w:val="9"/>
        <w:spacing w:before="11"/>
        <w:ind w:left="0"/>
        <w:jc w:val="left"/>
        <w:rPr>
          <w:rFonts w:hint="eastAsia"/>
          <w:sz w:val="30"/>
          <w:szCs w:val="30"/>
        </w:rPr>
      </w:pPr>
      <w:r>
        <w:rPr>
          <w:rFonts w:hint="eastAsia"/>
          <w:sz w:val="30"/>
          <w:szCs w:val="30"/>
        </w:rPr>
        <w:t>Premillennarian Musings</w:t>
      </w:r>
    </w:p>
    <w:p w14:paraId="672F9F81">
      <w:pPr>
        <w:pStyle w:val="9"/>
        <w:spacing w:before="11"/>
        <w:ind w:left="0"/>
        <w:jc w:val="left"/>
        <w:rPr>
          <w:rFonts w:hint="eastAsia"/>
          <w:sz w:val="30"/>
          <w:szCs w:val="30"/>
        </w:rPr>
      </w:pPr>
      <w:r>
        <w:rPr>
          <w:rFonts w:hint="eastAsia"/>
          <w:sz w:val="30"/>
          <w:szCs w:val="30"/>
        </w:rPr>
        <w:t>前千禧年派的默想</w:t>
      </w:r>
    </w:p>
    <w:p w14:paraId="3666A7EC">
      <w:pPr>
        <w:pStyle w:val="9"/>
        <w:spacing w:before="11"/>
        <w:ind w:left="0"/>
        <w:jc w:val="left"/>
        <w:rPr>
          <w:rFonts w:hint="eastAsia"/>
          <w:sz w:val="30"/>
          <w:szCs w:val="30"/>
        </w:rPr>
      </w:pPr>
    </w:p>
    <w:p w14:paraId="104DC37C">
      <w:pPr>
        <w:pStyle w:val="9"/>
        <w:spacing w:before="11"/>
        <w:ind w:left="0"/>
        <w:jc w:val="left"/>
        <w:rPr>
          <w:rFonts w:hint="eastAsia"/>
          <w:sz w:val="30"/>
          <w:szCs w:val="30"/>
        </w:rPr>
      </w:pPr>
      <w:r>
        <w:rPr>
          <w:rFonts w:hint="eastAsia"/>
          <w:sz w:val="30"/>
          <w:szCs w:val="30"/>
        </w:rPr>
        <w:t>Our premillennarian brothers think not.</w:t>
      </w:r>
    </w:p>
    <w:p w14:paraId="340E475A">
      <w:pPr>
        <w:pStyle w:val="9"/>
        <w:spacing w:before="11"/>
        <w:ind w:left="0"/>
        <w:jc w:val="left"/>
        <w:rPr>
          <w:rFonts w:hint="eastAsia"/>
          <w:sz w:val="30"/>
          <w:szCs w:val="30"/>
        </w:rPr>
      </w:pPr>
      <w:r>
        <w:rPr>
          <w:rFonts w:hint="eastAsia"/>
          <w:sz w:val="30"/>
          <w:szCs w:val="30"/>
        </w:rPr>
        <w:t>我们的前千禧年派弟兄们不这么认为。</w:t>
      </w:r>
    </w:p>
    <w:p w14:paraId="34633378">
      <w:pPr>
        <w:pStyle w:val="9"/>
        <w:spacing w:before="11"/>
        <w:ind w:left="0"/>
        <w:jc w:val="left"/>
        <w:rPr>
          <w:rFonts w:hint="eastAsia"/>
          <w:sz w:val="30"/>
          <w:szCs w:val="30"/>
        </w:rPr>
      </w:pPr>
    </w:p>
    <w:p w14:paraId="5A759B15">
      <w:pPr>
        <w:pStyle w:val="9"/>
        <w:spacing w:before="11"/>
        <w:ind w:left="0"/>
        <w:jc w:val="left"/>
        <w:rPr>
          <w:rFonts w:hint="eastAsia"/>
          <w:sz w:val="30"/>
          <w:szCs w:val="30"/>
        </w:rPr>
      </w:pPr>
      <w:r>
        <w:rPr>
          <w:rFonts w:hint="eastAsia"/>
          <w:sz w:val="30"/>
          <w:szCs w:val="30"/>
        </w:rPr>
        <w:t>Though differing among themselves as to details, all of them are united in reading this prophecy literally rather than figuratively.</w:t>
      </w:r>
    </w:p>
    <w:p w14:paraId="456EAD96">
      <w:pPr>
        <w:pStyle w:val="9"/>
        <w:spacing w:before="11"/>
        <w:ind w:left="0"/>
        <w:jc w:val="left"/>
        <w:rPr>
          <w:rFonts w:hint="eastAsia"/>
          <w:sz w:val="30"/>
          <w:szCs w:val="30"/>
        </w:rPr>
      </w:pPr>
      <w:r>
        <w:rPr>
          <w:rFonts w:hint="eastAsia"/>
          <w:sz w:val="30"/>
          <w:szCs w:val="30"/>
        </w:rPr>
        <w:t>尽管他们在细节上有所不同，但他们都一致地按字面而非比喻来解读这个预言。</w:t>
      </w:r>
    </w:p>
    <w:p w14:paraId="2F8F29F8">
      <w:pPr>
        <w:pStyle w:val="9"/>
        <w:spacing w:before="11"/>
        <w:ind w:left="0"/>
        <w:jc w:val="left"/>
        <w:rPr>
          <w:rFonts w:hint="eastAsia"/>
          <w:sz w:val="30"/>
          <w:szCs w:val="30"/>
        </w:rPr>
      </w:pPr>
    </w:p>
    <w:p w14:paraId="3366A4E1">
      <w:pPr>
        <w:pStyle w:val="9"/>
        <w:spacing w:before="11"/>
        <w:ind w:left="0"/>
        <w:jc w:val="left"/>
        <w:rPr>
          <w:rFonts w:hint="eastAsia"/>
          <w:sz w:val="30"/>
          <w:szCs w:val="30"/>
        </w:rPr>
      </w:pPr>
      <w:r>
        <w:rPr>
          <w:rFonts w:hint="eastAsia"/>
          <w:sz w:val="30"/>
          <w:szCs w:val="30"/>
        </w:rPr>
        <w:t>Therefore, all are united in referring it, not to the Church, but to latter-day ethnic Israel.</w:t>
      </w:r>
    </w:p>
    <w:p w14:paraId="54C49728">
      <w:pPr>
        <w:pStyle w:val="9"/>
        <w:spacing w:before="11"/>
        <w:ind w:left="0"/>
        <w:jc w:val="left"/>
        <w:rPr>
          <w:rFonts w:hint="eastAsia"/>
          <w:sz w:val="30"/>
          <w:szCs w:val="30"/>
        </w:rPr>
      </w:pPr>
      <w:r>
        <w:rPr>
          <w:rFonts w:hint="eastAsia"/>
          <w:sz w:val="30"/>
          <w:szCs w:val="30"/>
        </w:rPr>
        <w:t>因此，他们都一致地认为它指的不是教会，而是末后的以色列民族。</w:t>
      </w:r>
    </w:p>
    <w:p w14:paraId="617B32EA">
      <w:pPr>
        <w:pStyle w:val="9"/>
        <w:spacing w:before="11"/>
        <w:ind w:left="0"/>
        <w:jc w:val="left"/>
        <w:rPr>
          <w:rFonts w:hint="eastAsia"/>
          <w:sz w:val="30"/>
          <w:szCs w:val="30"/>
        </w:rPr>
      </w:pPr>
    </w:p>
    <w:p w14:paraId="467D4D12">
      <w:pPr>
        <w:pStyle w:val="9"/>
        <w:spacing w:before="11"/>
        <w:ind w:left="0"/>
        <w:jc w:val="left"/>
        <w:rPr>
          <w:rFonts w:hint="eastAsia"/>
          <w:sz w:val="30"/>
          <w:szCs w:val="30"/>
        </w:rPr>
      </w:pPr>
      <w:r>
        <w:rPr>
          <w:rFonts w:hint="eastAsia"/>
          <w:sz w:val="30"/>
          <w:szCs w:val="30"/>
        </w:rPr>
        <w:t>Some say it has already been partially fulfilled in the modern return of millions of Russian and European Jews to Palestine.</w:t>
      </w:r>
    </w:p>
    <w:p w14:paraId="435E13B8">
      <w:pPr>
        <w:pStyle w:val="9"/>
        <w:spacing w:before="11"/>
        <w:ind w:left="0"/>
        <w:jc w:val="left"/>
        <w:rPr>
          <w:rFonts w:hint="eastAsia"/>
          <w:sz w:val="30"/>
          <w:szCs w:val="30"/>
        </w:rPr>
      </w:pPr>
      <w:r>
        <w:rPr>
          <w:rFonts w:hint="eastAsia"/>
          <w:sz w:val="30"/>
          <w:szCs w:val="30"/>
        </w:rPr>
        <w:t>有些人说，它已经在数百万俄罗斯和欧洲犹太人现代回归巴勒斯坦一事上部分应验了。</w:t>
      </w:r>
    </w:p>
    <w:p w14:paraId="201B15DA">
      <w:pPr>
        <w:pStyle w:val="9"/>
        <w:spacing w:before="11"/>
        <w:ind w:left="0"/>
        <w:jc w:val="left"/>
        <w:rPr>
          <w:rFonts w:hint="eastAsia"/>
          <w:sz w:val="30"/>
          <w:szCs w:val="30"/>
        </w:rPr>
      </w:pPr>
    </w:p>
    <w:p w14:paraId="6B03E01E">
      <w:pPr>
        <w:pStyle w:val="9"/>
        <w:spacing w:before="11"/>
        <w:ind w:left="0"/>
        <w:jc w:val="left"/>
        <w:rPr>
          <w:rFonts w:hint="eastAsia"/>
          <w:sz w:val="30"/>
          <w:szCs w:val="30"/>
        </w:rPr>
      </w:pPr>
      <w:r>
        <w:rPr>
          <w:rFonts w:hint="eastAsia"/>
          <w:sz w:val="30"/>
          <w:szCs w:val="30"/>
        </w:rPr>
        <w:t>Others (dispensationalists) say it will be fulfilled during a seven year period of tribulation, when a believing Jewish remnant fans out across the globe to gather their dispersed brethren back to their ancestral homeland, there to await the Second Coming of their Messiah (Isaiah 66:18-21).</w:t>
      </w:r>
    </w:p>
    <w:p w14:paraId="43D1FDE1">
      <w:pPr>
        <w:pStyle w:val="9"/>
        <w:spacing w:before="11"/>
        <w:ind w:left="0"/>
        <w:jc w:val="left"/>
        <w:rPr>
          <w:rFonts w:hint="eastAsia"/>
          <w:sz w:val="30"/>
          <w:szCs w:val="30"/>
        </w:rPr>
      </w:pPr>
      <w:r>
        <w:rPr>
          <w:rFonts w:hint="eastAsia"/>
          <w:sz w:val="30"/>
          <w:szCs w:val="30"/>
        </w:rPr>
        <w:t>另一些人（时代论者）说，它将在一个七年的大灾难时期应验，届时一个信主的犹太余民将散布全球，把他们分散的弟兄召集回他们的祖先之地，在那里等待他们弥赛亚的第二次降临（以赛亚书66:18-21）。</w:t>
      </w:r>
    </w:p>
    <w:p w14:paraId="374EC8B3">
      <w:pPr>
        <w:pStyle w:val="9"/>
        <w:spacing w:before="11"/>
        <w:ind w:left="0"/>
        <w:jc w:val="left"/>
        <w:rPr>
          <w:rFonts w:hint="eastAsia"/>
          <w:sz w:val="30"/>
          <w:szCs w:val="30"/>
        </w:rPr>
      </w:pPr>
    </w:p>
    <w:p w14:paraId="265A72F1">
      <w:pPr>
        <w:pStyle w:val="9"/>
        <w:spacing w:before="11"/>
        <w:ind w:left="0"/>
        <w:jc w:val="left"/>
        <w:rPr>
          <w:rFonts w:hint="eastAsia"/>
          <w:sz w:val="30"/>
          <w:szCs w:val="30"/>
        </w:rPr>
      </w:pPr>
      <w:r>
        <w:rPr>
          <w:rFonts w:hint="eastAsia"/>
          <w:sz w:val="30"/>
          <w:szCs w:val="30"/>
        </w:rPr>
        <w:t>Still others argue that it will be fulfilled after Christ’s return, when, through the same faithful remnant, he (Christ) assembles his far- flung Jewish brethren to rule and reign with him in his millennial kingdom.</w:t>
      </w:r>
    </w:p>
    <w:p w14:paraId="2F2BBBCE">
      <w:pPr>
        <w:pStyle w:val="9"/>
        <w:spacing w:before="11"/>
        <w:ind w:left="0"/>
        <w:jc w:val="left"/>
        <w:rPr>
          <w:rFonts w:hint="eastAsia"/>
          <w:sz w:val="30"/>
          <w:szCs w:val="30"/>
        </w:rPr>
      </w:pPr>
      <w:r>
        <w:rPr>
          <w:rFonts w:hint="eastAsia"/>
          <w:sz w:val="30"/>
          <w:szCs w:val="30"/>
        </w:rPr>
        <w:t>还有一些人争辩说，它将在基督再来之后应验，届时，通过同样忠心的余民，祂（基督）将聚集祂四散的犹太弟兄，在祂的千禧年国度里与祂一同掌权作王。</w:t>
      </w:r>
    </w:p>
    <w:p w14:paraId="4AE1CBB6">
      <w:pPr>
        <w:pStyle w:val="9"/>
        <w:spacing w:before="11"/>
        <w:ind w:left="0"/>
        <w:jc w:val="left"/>
        <w:rPr>
          <w:rFonts w:hint="eastAsia"/>
          <w:sz w:val="30"/>
          <w:szCs w:val="30"/>
        </w:rPr>
      </w:pPr>
    </w:p>
    <w:p w14:paraId="7659A446">
      <w:pPr>
        <w:pStyle w:val="9"/>
        <w:spacing w:before="11"/>
        <w:ind w:left="0"/>
        <w:jc w:val="left"/>
        <w:rPr>
          <w:rFonts w:hint="eastAsia"/>
          <w:sz w:val="30"/>
          <w:szCs w:val="30"/>
        </w:rPr>
      </w:pPr>
      <w:r>
        <w:rPr>
          <w:rFonts w:hint="eastAsia"/>
          <w:sz w:val="30"/>
          <w:szCs w:val="30"/>
        </w:rPr>
        <w:t>But again, all agree that Ezekiel was not speaking figuratively about the spiritual ingathering of Christ’s Church.</w:t>
      </w:r>
    </w:p>
    <w:p w14:paraId="2D7F9457">
      <w:pPr>
        <w:pStyle w:val="9"/>
        <w:spacing w:before="11"/>
        <w:ind w:left="0"/>
        <w:jc w:val="left"/>
        <w:rPr>
          <w:rFonts w:hint="eastAsia"/>
          <w:sz w:val="30"/>
          <w:szCs w:val="30"/>
        </w:rPr>
      </w:pPr>
      <w:r>
        <w:rPr>
          <w:rFonts w:hint="eastAsia"/>
          <w:sz w:val="30"/>
          <w:szCs w:val="30"/>
        </w:rPr>
        <w:t>但是，他们再次一致认为，以西结并非在比喻性地谈论基督教会的属灵聚集。</w:t>
      </w:r>
    </w:p>
    <w:p w14:paraId="548BC0F8">
      <w:pPr>
        <w:pStyle w:val="9"/>
        <w:spacing w:before="11"/>
        <w:ind w:left="0"/>
        <w:jc w:val="left"/>
        <w:rPr>
          <w:rFonts w:hint="eastAsia"/>
          <w:sz w:val="30"/>
          <w:szCs w:val="30"/>
        </w:rPr>
      </w:pPr>
    </w:p>
    <w:p w14:paraId="23C18AFD">
      <w:pPr>
        <w:pStyle w:val="9"/>
        <w:spacing w:before="11"/>
        <w:ind w:left="0"/>
        <w:jc w:val="left"/>
        <w:rPr>
          <w:rFonts w:hint="eastAsia"/>
          <w:sz w:val="30"/>
          <w:szCs w:val="30"/>
        </w:rPr>
      </w:pPr>
      <w:r>
        <w:rPr>
          <w:rFonts w:hint="eastAsia"/>
          <w:sz w:val="30"/>
          <w:szCs w:val="30"/>
        </w:rPr>
        <w:t>If, however, we have been won to the NCH, we simply cannot go down this road.</w:t>
      </w:r>
    </w:p>
    <w:p w14:paraId="185625F2">
      <w:pPr>
        <w:pStyle w:val="9"/>
        <w:spacing w:before="11"/>
        <w:ind w:left="0"/>
        <w:jc w:val="left"/>
        <w:rPr>
          <w:rFonts w:hint="eastAsia"/>
          <w:sz w:val="30"/>
          <w:szCs w:val="30"/>
        </w:rPr>
      </w:pPr>
      <w:r>
        <w:rPr>
          <w:rFonts w:hint="eastAsia"/>
          <w:sz w:val="30"/>
          <w:szCs w:val="30"/>
        </w:rPr>
        <w:t>然而，如果我们已经被新约圣经解释法（NCH）说服，我们就根本不能走这条路。</w:t>
      </w:r>
    </w:p>
    <w:p w14:paraId="183212F5">
      <w:pPr>
        <w:pStyle w:val="9"/>
        <w:spacing w:before="11"/>
        <w:ind w:left="0"/>
        <w:jc w:val="left"/>
        <w:rPr>
          <w:rFonts w:hint="eastAsia"/>
          <w:sz w:val="30"/>
          <w:szCs w:val="30"/>
        </w:rPr>
      </w:pPr>
    </w:p>
    <w:p w14:paraId="36A57B70">
      <w:pPr>
        <w:pStyle w:val="9"/>
        <w:spacing w:before="11"/>
        <w:ind w:left="0"/>
        <w:jc w:val="left"/>
        <w:rPr>
          <w:rFonts w:hint="eastAsia"/>
          <w:sz w:val="30"/>
          <w:szCs w:val="30"/>
        </w:rPr>
      </w:pPr>
      <w:r>
        <w:rPr>
          <w:rFonts w:hint="eastAsia"/>
          <w:sz w:val="30"/>
          <w:szCs w:val="30"/>
        </w:rPr>
        <w:t>Why?</w:t>
      </w:r>
    </w:p>
    <w:p w14:paraId="1F05CDE8">
      <w:pPr>
        <w:pStyle w:val="9"/>
        <w:spacing w:before="11"/>
        <w:ind w:left="0"/>
        <w:jc w:val="left"/>
        <w:rPr>
          <w:rFonts w:hint="eastAsia"/>
          <w:sz w:val="30"/>
          <w:szCs w:val="30"/>
        </w:rPr>
      </w:pPr>
      <w:r>
        <w:rPr>
          <w:rFonts w:hint="eastAsia"/>
          <w:sz w:val="30"/>
          <w:szCs w:val="30"/>
        </w:rPr>
        <w:t>为什么？</w:t>
      </w:r>
    </w:p>
    <w:p w14:paraId="358CEE73">
      <w:pPr>
        <w:pStyle w:val="9"/>
        <w:spacing w:before="11"/>
        <w:ind w:left="0"/>
        <w:jc w:val="left"/>
        <w:rPr>
          <w:rFonts w:hint="eastAsia"/>
          <w:sz w:val="30"/>
          <w:szCs w:val="30"/>
        </w:rPr>
      </w:pPr>
    </w:p>
    <w:p w14:paraId="5A7EE7FD">
      <w:pPr>
        <w:pStyle w:val="9"/>
        <w:spacing w:before="11"/>
        <w:ind w:left="0"/>
        <w:jc w:val="left"/>
        <w:rPr>
          <w:rFonts w:hint="eastAsia"/>
          <w:sz w:val="30"/>
          <w:szCs w:val="30"/>
        </w:rPr>
      </w:pPr>
      <w:r>
        <w:rPr>
          <w:rFonts w:hint="eastAsia"/>
          <w:sz w:val="30"/>
          <w:szCs w:val="30"/>
        </w:rPr>
        <w:t>Because now we understand that Ezekiel—clearly speaking of the last days—must have been speaking figuratively of the days of the New Covenant; of the twofold spiritual Kingdom that Christ introduced under the New Covenant; and of the people of the New Covenant—his Church.</w:t>
      </w:r>
    </w:p>
    <w:p w14:paraId="502C0AAE">
      <w:pPr>
        <w:pStyle w:val="9"/>
        <w:spacing w:before="11"/>
        <w:ind w:left="0"/>
        <w:jc w:val="left"/>
        <w:rPr>
          <w:rFonts w:hint="eastAsia"/>
          <w:sz w:val="30"/>
          <w:szCs w:val="30"/>
        </w:rPr>
      </w:pPr>
      <w:r>
        <w:rPr>
          <w:rFonts w:hint="eastAsia"/>
          <w:sz w:val="30"/>
          <w:szCs w:val="30"/>
        </w:rPr>
        <w:t>因为现在我们明白，以西结——清楚地在谈论末后的日子——必然是在比喻性地谈论新约的日子；谈论基督在新约之下引入的两重性属灵国度；以及谈论新约的子民——祂的教会。</w:t>
      </w:r>
    </w:p>
    <w:p w14:paraId="1F36055E">
      <w:pPr>
        <w:pStyle w:val="9"/>
        <w:spacing w:before="11"/>
        <w:ind w:left="0"/>
        <w:jc w:val="left"/>
        <w:rPr>
          <w:rFonts w:hint="eastAsia"/>
          <w:sz w:val="30"/>
          <w:szCs w:val="30"/>
        </w:rPr>
      </w:pPr>
    </w:p>
    <w:p w14:paraId="7A0443BC">
      <w:pPr>
        <w:pStyle w:val="9"/>
        <w:spacing w:before="11"/>
        <w:ind w:left="0"/>
        <w:jc w:val="left"/>
        <w:rPr>
          <w:rFonts w:hint="eastAsia"/>
          <w:sz w:val="30"/>
          <w:szCs w:val="30"/>
        </w:rPr>
      </w:pPr>
      <w:r>
        <w:rPr>
          <w:rFonts w:hint="eastAsia"/>
          <w:sz w:val="30"/>
          <w:szCs w:val="30"/>
        </w:rPr>
        <w:t>The task before us, then, is to see if our prophecy actually favors this view over and above the premillennarian’s, and also to see in which phase of the Kingdom it is fulfilled: In the Era of Proclamation and Probation, in the Era of Reward and Retribution, or in both.</w:t>
      </w:r>
    </w:p>
    <w:p w14:paraId="5E9DAFA3">
      <w:pPr>
        <w:pStyle w:val="9"/>
        <w:spacing w:before="11"/>
        <w:ind w:left="0"/>
        <w:jc w:val="left"/>
        <w:rPr>
          <w:rFonts w:hint="eastAsia"/>
          <w:sz w:val="30"/>
          <w:szCs w:val="30"/>
        </w:rPr>
      </w:pPr>
      <w:r>
        <w:rPr>
          <w:rFonts w:hint="eastAsia"/>
          <w:sz w:val="30"/>
          <w:szCs w:val="30"/>
        </w:rPr>
        <w:t>因此，我们面前的任务是，看看我们的预言是否确实比前千禧年派的观点更受支持，并且看看它在国度的哪个阶段得以应验：是在宣讲与验证的时代，在赏罚的时代，还是在两者之中。</w:t>
      </w:r>
    </w:p>
    <w:p w14:paraId="4B1D2F71">
      <w:pPr>
        <w:pStyle w:val="9"/>
        <w:spacing w:before="11"/>
        <w:ind w:left="0"/>
        <w:jc w:val="left"/>
        <w:rPr>
          <w:rFonts w:hint="eastAsia"/>
          <w:sz w:val="30"/>
          <w:szCs w:val="30"/>
        </w:rPr>
      </w:pPr>
    </w:p>
    <w:p w14:paraId="012B6650">
      <w:pPr>
        <w:pStyle w:val="9"/>
        <w:spacing w:before="11"/>
        <w:ind w:left="0"/>
        <w:jc w:val="left"/>
        <w:rPr>
          <w:rFonts w:hint="eastAsia"/>
          <w:sz w:val="30"/>
          <w:szCs w:val="30"/>
        </w:rPr>
      </w:pPr>
      <w:r>
        <w:rPr>
          <w:rFonts w:hint="eastAsia"/>
          <w:sz w:val="30"/>
          <w:szCs w:val="30"/>
        </w:rPr>
        <w:t>Let us turn to it now.</w:t>
      </w:r>
    </w:p>
    <w:p w14:paraId="6FECA02A">
      <w:pPr>
        <w:pStyle w:val="9"/>
        <w:spacing w:before="11"/>
        <w:ind w:left="0"/>
        <w:jc w:val="left"/>
        <w:rPr>
          <w:rFonts w:hint="eastAsia"/>
          <w:sz w:val="30"/>
          <w:szCs w:val="30"/>
        </w:rPr>
      </w:pPr>
      <w:r>
        <w:rPr>
          <w:rFonts w:hint="eastAsia"/>
          <w:sz w:val="30"/>
          <w:szCs w:val="30"/>
        </w:rPr>
        <w:t>现在让我们来看它。</w:t>
      </w:r>
    </w:p>
    <w:p w14:paraId="1FC4A69B">
      <w:pPr>
        <w:pStyle w:val="9"/>
        <w:spacing w:before="11"/>
        <w:ind w:left="0"/>
        <w:jc w:val="left"/>
        <w:rPr>
          <w:rFonts w:hint="eastAsia"/>
          <w:sz w:val="30"/>
          <w:szCs w:val="30"/>
        </w:rPr>
      </w:pPr>
    </w:p>
    <w:p w14:paraId="7F4F3CF6">
      <w:pPr>
        <w:pStyle w:val="9"/>
        <w:spacing w:before="11"/>
        <w:ind w:left="0"/>
        <w:jc w:val="left"/>
        <w:rPr>
          <w:rFonts w:hint="eastAsia"/>
          <w:sz w:val="30"/>
          <w:szCs w:val="30"/>
        </w:rPr>
      </w:pPr>
      <w:r>
        <w:rPr>
          <w:rFonts w:hint="eastAsia"/>
          <w:sz w:val="30"/>
          <w:szCs w:val="30"/>
        </w:rPr>
        <w:t>How Shall the Restoration Come?</w:t>
      </w:r>
    </w:p>
    <w:p w14:paraId="2E3AA612">
      <w:pPr>
        <w:pStyle w:val="9"/>
        <w:spacing w:before="11"/>
        <w:ind w:left="0"/>
        <w:jc w:val="left"/>
        <w:rPr>
          <w:rFonts w:hint="eastAsia"/>
          <w:sz w:val="30"/>
          <w:szCs w:val="30"/>
        </w:rPr>
      </w:pPr>
      <w:r>
        <w:rPr>
          <w:rFonts w:hint="eastAsia"/>
          <w:sz w:val="30"/>
          <w:szCs w:val="30"/>
        </w:rPr>
        <w:t>复兴将如何来临？</w:t>
      </w:r>
    </w:p>
    <w:p w14:paraId="797462EA">
      <w:pPr>
        <w:pStyle w:val="9"/>
        <w:spacing w:before="11"/>
        <w:ind w:left="0"/>
        <w:jc w:val="left"/>
        <w:rPr>
          <w:rFonts w:hint="eastAsia"/>
          <w:sz w:val="30"/>
          <w:szCs w:val="30"/>
        </w:rPr>
      </w:pPr>
    </w:p>
    <w:p w14:paraId="76F1315D">
      <w:pPr>
        <w:pStyle w:val="9"/>
        <w:spacing w:before="11"/>
        <w:ind w:left="0"/>
        <w:jc w:val="left"/>
        <w:rPr>
          <w:rFonts w:hint="eastAsia"/>
          <w:sz w:val="30"/>
          <w:szCs w:val="30"/>
        </w:rPr>
      </w:pPr>
      <w:r>
        <w:rPr>
          <w:rFonts w:hint="eastAsia"/>
          <w:sz w:val="30"/>
          <w:szCs w:val="30"/>
        </w:rPr>
        <w:t>In the previous oracle (36:1ff), God had given glorious promises of Israel’s latter-day restoration.</w:t>
      </w:r>
    </w:p>
    <w:p w14:paraId="1690A483">
      <w:pPr>
        <w:pStyle w:val="9"/>
        <w:spacing w:before="11"/>
        <w:ind w:left="0"/>
        <w:jc w:val="left"/>
        <w:rPr>
          <w:rFonts w:hint="eastAsia"/>
          <w:sz w:val="30"/>
          <w:szCs w:val="30"/>
        </w:rPr>
      </w:pPr>
      <w:r>
        <w:rPr>
          <w:rFonts w:hint="eastAsia"/>
          <w:sz w:val="30"/>
          <w:szCs w:val="30"/>
        </w:rPr>
        <w:t>在之前的神谕中（36:1及以下），神已赐下关于以色列末日复兴的荣耀应许。</w:t>
      </w:r>
    </w:p>
    <w:p w14:paraId="0D905013">
      <w:pPr>
        <w:pStyle w:val="9"/>
        <w:spacing w:before="11"/>
        <w:ind w:left="0"/>
        <w:jc w:val="left"/>
        <w:rPr>
          <w:rFonts w:hint="eastAsia"/>
          <w:sz w:val="30"/>
          <w:szCs w:val="30"/>
        </w:rPr>
      </w:pPr>
    </w:p>
    <w:p w14:paraId="0EA92DFD">
      <w:pPr>
        <w:pStyle w:val="9"/>
        <w:spacing w:before="11"/>
        <w:ind w:left="0"/>
        <w:jc w:val="left"/>
        <w:rPr>
          <w:rFonts w:hint="eastAsia"/>
          <w:sz w:val="30"/>
          <w:szCs w:val="30"/>
        </w:rPr>
      </w:pPr>
      <w:r>
        <w:rPr>
          <w:rFonts w:hint="eastAsia"/>
          <w:sz w:val="30"/>
          <w:szCs w:val="30"/>
        </w:rPr>
        <w:t>Among other things, he had spoken of prospering his people upon the mountains of their homeland (36:8-15), and of filling them with his Spirit, so that they might walk in his ways and secure his covenant blessings (36:27-28).</w:t>
      </w:r>
    </w:p>
    <w:p w14:paraId="08BFF72E">
      <w:pPr>
        <w:pStyle w:val="9"/>
        <w:spacing w:before="11"/>
        <w:ind w:left="0"/>
        <w:jc w:val="left"/>
        <w:rPr>
          <w:rFonts w:hint="eastAsia"/>
          <w:sz w:val="30"/>
          <w:szCs w:val="30"/>
        </w:rPr>
      </w:pPr>
      <w:r>
        <w:rPr>
          <w:rFonts w:hint="eastAsia"/>
          <w:sz w:val="30"/>
          <w:szCs w:val="30"/>
        </w:rPr>
        <w:t>其中，祂曾说到要使祂的子民在他们家园的山上兴盛（36:8-15），并用祂的灵充满他们，使他们可以遵行祂的道，并确保祂的约中之福（36:27-28）。</w:t>
      </w:r>
    </w:p>
    <w:p w14:paraId="5EF76E6E">
      <w:pPr>
        <w:pStyle w:val="9"/>
        <w:spacing w:before="11"/>
        <w:ind w:left="0"/>
        <w:jc w:val="left"/>
        <w:rPr>
          <w:rFonts w:hint="eastAsia"/>
          <w:sz w:val="30"/>
          <w:szCs w:val="30"/>
        </w:rPr>
      </w:pPr>
    </w:p>
    <w:p w14:paraId="78B4F5DF">
      <w:pPr>
        <w:pStyle w:val="9"/>
        <w:spacing w:before="11"/>
        <w:ind w:left="0"/>
        <w:jc w:val="left"/>
        <w:rPr>
          <w:rFonts w:hint="eastAsia"/>
          <w:sz w:val="30"/>
          <w:szCs w:val="30"/>
        </w:rPr>
      </w:pPr>
      <w:r>
        <w:rPr>
          <w:rFonts w:hint="eastAsia"/>
          <w:sz w:val="30"/>
          <w:szCs w:val="30"/>
        </w:rPr>
        <w:t>Here, in 37:1-14, he gives a vision of how this will come to pass.</w:t>
      </w:r>
    </w:p>
    <w:p w14:paraId="1A48EC92">
      <w:pPr>
        <w:pStyle w:val="9"/>
        <w:spacing w:before="11"/>
        <w:ind w:left="0"/>
        <w:jc w:val="left"/>
        <w:rPr>
          <w:rFonts w:hint="eastAsia"/>
          <w:sz w:val="30"/>
          <w:szCs w:val="30"/>
        </w:rPr>
      </w:pPr>
      <w:r>
        <w:rPr>
          <w:rFonts w:hint="eastAsia"/>
          <w:sz w:val="30"/>
          <w:szCs w:val="30"/>
        </w:rPr>
        <w:t>在这里，在37:1-14中，祂给出了一个关于这将如何成就的异象。</w:t>
      </w:r>
    </w:p>
    <w:p w14:paraId="01044C4C">
      <w:pPr>
        <w:pStyle w:val="9"/>
        <w:spacing w:before="11"/>
        <w:ind w:left="0"/>
        <w:jc w:val="left"/>
        <w:rPr>
          <w:rFonts w:hint="eastAsia"/>
          <w:sz w:val="30"/>
          <w:szCs w:val="30"/>
        </w:rPr>
      </w:pPr>
    </w:p>
    <w:p w14:paraId="6404F976">
      <w:pPr>
        <w:pStyle w:val="9"/>
        <w:spacing w:before="11"/>
        <w:ind w:left="0"/>
        <w:jc w:val="left"/>
        <w:rPr>
          <w:rFonts w:hint="eastAsia"/>
          <w:sz w:val="30"/>
          <w:szCs w:val="30"/>
        </w:rPr>
      </w:pPr>
      <w:r>
        <w:rPr>
          <w:rFonts w:hint="eastAsia"/>
          <w:sz w:val="30"/>
          <w:szCs w:val="30"/>
        </w:rPr>
        <w:t>The resulting contrast is stark: Because of the greatness of God’s grace, a people lying altogether dead in the Valley of the Shadow of Death will, in that Day, be miraculously transferred to—and planted upon—the high mountains of Israel, where they will live forever in consummate prosperity with their covenant-keeping God (40:1-2)!</w:t>
      </w:r>
    </w:p>
    <w:p w14:paraId="79DEADCF">
      <w:pPr>
        <w:pStyle w:val="9"/>
        <w:spacing w:before="11"/>
        <w:ind w:left="0"/>
        <w:jc w:val="left"/>
        <w:rPr>
          <w:rFonts w:hint="eastAsia"/>
          <w:sz w:val="30"/>
          <w:szCs w:val="30"/>
        </w:rPr>
      </w:pPr>
      <w:r>
        <w:rPr>
          <w:rFonts w:hint="eastAsia"/>
          <w:sz w:val="30"/>
          <w:szCs w:val="30"/>
        </w:rPr>
        <w:t>由此产生的对比是鲜明的：因着神恩典的浩大，一群完全死在死荫幽谷中的子民，在那日，将被奇迹般地转移到——并被栽种在——以色列的高山上，在那里他们将与他们守约的神在圆满的繁荣中永远同住（40:1-2）！</w:t>
      </w:r>
    </w:p>
    <w:p w14:paraId="4643DACA">
      <w:pPr>
        <w:pStyle w:val="9"/>
        <w:spacing w:before="11"/>
        <w:ind w:left="0"/>
        <w:jc w:val="left"/>
        <w:rPr>
          <w:rFonts w:hint="eastAsia"/>
          <w:sz w:val="30"/>
          <w:szCs w:val="30"/>
        </w:rPr>
      </w:pPr>
    </w:p>
    <w:p w14:paraId="0A27AE98">
      <w:pPr>
        <w:pStyle w:val="9"/>
        <w:spacing w:before="11"/>
        <w:ind w:left="0"/>
        <w:jc w:val="left"/>
        <w:rPr>
          <w:rFonts w:hint="eastAsia"/>
          <w:sz w:val="30"/>
          <w:szCs w:val="30"/>
        </w:rPr>
      </w:pPr>
      <w:r>
        <w:rPr>
          <w:rFonts w:hint="eastAsia"/>
          <w:sz w:val="30"/>
          <w:szCs w:val="30"/>
        </w:rPr>
        <w:t>The Valley of the Shadow of Death (1-2)</w:t>
      </w:r>
    </w:p>
    <w:p w14:paraId="0CF178E7">
      <w:pPr>
        <w:pStyle w:val="9"/>
        <w:spacing w:before="11"/>
        <w:ind w:left="0"/>
        <w:jc w:val="left"/>
        <w:rPr>
          <w:rFonts w:hint="eastAsia"/>
          <w:sz w:val="30"/>
          <w:szCs w:val="30"/>
        </w:rPr>
      </w:pPr>
      <w:r>
        <w:rPr>
          <w:rFonts w:hint="eastAsia"/>
          <w:sz w:val="30"/>
          <w:szCs w:val="30"/>
        </w:rPr>
        <w:t>死荫的幽谷（1-2）</w:t>
      </w:r>
    </w:p>
    <w:p w14:paraId="7F937414">
      <w:pPr>
        <w:pStyle w:val="9"/>
        <w:spacing w:before="11"/>
        <w:ind w:left="0"/>
        <w:jc w:val="left"/>
        <w:rPr>
          <w:rFonts w:hint="eastAsia"/>
          <w:sz w:val="30"/>
          <w:szCs w:val="30"/>
        </w:rPr>
      </w:pPr>
    </w:p>
    <w:p w14:paraId="3B0F72C4">
      <w:pPr>
        <w:pStyle w:val="9"/>
        <w:spacing w:before="11"/>
        <w:ind w:left="0"/>
        <w:jc w:val="left"/>
        <w:rPr>
          <w:rFonts w:hint="eastAsia"/>
          <w:sz w:val="30"/>
          <w:szCs w:val="30"/>
        </w:rPr>
      </w:pPr>
      <w:r>
        <w:rPr>
          <w:rFonts w:hint="eastAsia"/>
          <w:sz w:val="30"/>
          <w:szCs w:val="30"/>
        </w:rPr>
        <w:t>The vision begins with the LORD carrying Ezekiel, in the Spirit, to a valley where he beholds a great multitude of bones scattered over the face of the ground.</w:t>
      </w:r>
    </w:p>
    <w:p w14:paraId="1F37DF4D">
      <w:pPr>
        <w:pStyle w:val="9"/>
        <w:spacing w:before="11"/>
        <w:ind w:left="0"/>
        <w:jc w:val="left"/>
        <w:rPr>
          <w:rFonts w:hint="eastAsia"/>
          <w:sz w:val="30"/>
          <w:szCs w:val="30"/>
        </w:rPr>
      </w:pPr>
      <w:r>
        <w:rPr>
          <w:rFonts w:hint="eastAsia"/>
          <w:sz w:val="30"/>
          <w:szCs w:val="30"/>
        </w:rPr>
        <w:t>异象始于主在灵里将以西结带到一个平原，在那里他看见遍地有许多骸骨散布在地面上。</w:t>
      </w:r>
    </w:p>
    <w:p w14:paraId="3B650A51">
      <w:pPr>
        <w:pStyle w:val="9"/>
        <w:spacing w:before="11"/>
        <w:ind w:left="0"/>
        <w:jc w:val="left"/>
        <w:rPr>
          <w:rFonts w:hint="eastAsia"/>
          <w:sz w:val="30"/>
          <w:szCs w:val="30"/>
        </w:rPr>
      </w:pPr>
    </w:p>
    <w:p w14:paraId="72613857">
      <w:pPr>
        <w:pStyle w:val="9"/>
        <w:spacing w:before="11"/>
        <w:ind w:left="0"/>
        <w:jc w:val="left"/>
        <w:rPr>
          <w:rFonts w:hint="eastAsia"/>
          <w:sz w:val="30"/>
          <w:szCs w:val="30"/>
        </w:rPr>
      </w:pPr>
      <w:r>
        <w:rPr>
          <w:rFonts w:hint="eastAsia"/>
          <w:sz w:val="30"/>
          <w:szCs w:val="30"/>
        </w:rPr>
        <w:t>Upon close inspection, he realizes that they are “very dry”— that is, long dead, and therefore thoroughly dead (1-2).</w:t>
      </w:r>
    </w:p>
    <w:p w14:paraId="6B0FFC74">
      <w:pPr>
        <w:pStyle w:val="9"/>
        <w:spacing w:before="11"/>
        <w:ind w:left="0"/>
        <w:jc w:val="left"/>
        <w:rPr>
          <w:rFonts w:hint="eastAsia"/>
          <w:sz w:val="30"/>
          <w:szCs w:val="30"/>
        </w:rPr>
      </w:pPr>
      <w:r>
        <w:rPr>
          <w:rFonts w:hint="eastAsia"/>
          <w:sz w:val="30"/>
          <w:szCs w:val="30"/>
        </w:rPr>
        <w:t>经过仔细观察，他意识到它们“极其枯干”——也就是说，已经死了很久，因此是彻底死了（1-2）。</w:t>
      </w:r>
    </w:p>
    <w:p w14:paraId="24A1378E">
      <w:pPr>
        <w:pStyle w:val="9"/>
        <w:spacing w:before="11"/>
        <w:ind w:left="0"/>
        <w:jc w:val="left"/>
        <w:rPr>
          <w:rFonts w:hint="eastAsia"/>
          <w:sz w:val="30"/>
          <w:szCs w:val="30"/>
        </w:rPr>
      </w:pPr>
    </w:p>
    <w:p w14:paraId="03FB471B">
      <w:pPr>
        <w:pStyle w:val="9"/>
        <w:spacing w:before="11"/>
        <w:ind w:left="0"/>
        <w:jc w:val="left"/>
        <w:rPr>
          <w:rFonts w:hint="eastAsia"/>
          <w:sz w:val="30"/>
          <w:szCs w:val="30"/>
        </w:rPr>
      </w:pPr>
      <w:r>
        <w:rPr>
          <w:rFonts w:hint="eastAsia"/>
          <w:sz w:val="30"/>
          <w:szCs w:val="30"/>
        </w:rPr>
        <w:t>Reading these verses, the Jews in exile may well have recalled Jeremiah’s dreadful prediction to the effect that the Babylonians would fill the accursed Valley of Topheth with the bones of the inhabitants of sinful Jerusalem (Jer. 7:32- 8:2).</w:t>
      </w:r>
    </w:p>
    <w:p w14:paraId="33F9A863">
      <w:pPr>
        <w:pStyle w:val="9"/>
        <w:spacing w:before="11"/>
        <w:ind w:left="0"/>
        <w:jc w:val="left"/>
        <w:rPr>
          <w:rFonts w:hint="eastAsia"/>
          <w:sz w:val="30"/>
          <w:szCs w:val="30"/>
        </w:rPr>
      </w:pPr>
      <w:r>
        <w:rPr>
          <w:rFonts w:hint="eastAsia"/>
          <w:sz w:val="30"/>
          <w:szCs w:val="30"/>
        </w:rPr>
        <w:t>读到这些经文，被掳的犹太人很可能想起了耶利米可怕的预言，大意是巴比伦人将用罪恶的耶路撒冷居民的骸骨填满那被咒诅的陀斐特谷（耶利米书7:32-8:2）。</w:t>
      </w:r>
    </w:p>
    <w:p w14:paraId="2FE604D0">
      <w:pPr>
        <w:pStyle w:val="9"/>
        <w:spacing w:before="11"/>
        <w:ind w:left="0"/>
        <w:jc w:val="left"/>
        <w:rPr>
          <w:rFonts w:hint="eastAsia"/>
          <w:sz w:val="30"/>
          <w:szCs w:val="30"/>
        </w:rPr>
      </w:pPr>
    </w:p>
    <w:p w14:paraId="0F8B1DDA">
      <w:pPr>
        <w:pStyle w:val="9"/>
        <w:spacing w:before="11"/>
        <w:ind w:left="0"/>
        <w:jc w:val="left"/>
        <w:rPr>
          <w:rFonts w:hint="eastAsia"/>
          <w:sz w:val="30"/>
          <w:szCs w:val="30"/>
        </w:rPr>
      </w:pPr>
      <w:r>
        <w:rPr>
          <w:rFonts w:hint="eastAsia"/>
          <w:sz w:val="30"/>
          <w:szCs w:val="30"/>
        </w:rPr>
        <w:t>But God does not name this valley, and for good reason: The vision does not speak of a physical place, but rather of a spiritual condition.</w:t>
      </w:r>
    </w:p>
    <w:p w14:paraId="065B0F38">
      <w:pPr>
        <w:pStyle w:val="9"/>
        <w:spacing w:before="11"/>
        <w:ind w:left="0"/>
        <w:jc w:val="left"/>
        <w:rPr>
          <w:rFonts w:hint="eastAsia"/>
          <w:sz w:val="30"/>
          <w:szCs w:val="30"/>
        </w:rPr>
      </w:pPr>
      <w:r>
        <w:rPr>
          <w:rFonts w:hint="eastAsia"/>
          <w:sz w:val="30"/>
          <w:szCs w:val="30"/>
        </w:rPr>
        <w:t>但神没有给这个平原命名，这是有充分理由的：这个异象说的不是一个物理地点，而是一种属灵状况。</w:t>
      </w:r>
    </w:p>
    <w:p w14:paraId="4E69ABD9">
      <w:pPr>
        <w:pStyle w:val="9"/>
        <w:spacing w:before="11"/>
        <w:ind w:left="0"/>
        <w:jc w:val="left"/>
        <w:rPr>
          <w:rFonts w:hint="eastAsia"/>
          <w:sz w:val="30"/>
          <w:szCs w:val="30"/>
        </w:rPr>
      </w:pPr>
    </w:p>
    <w:p w14:paraId="62F2529A">
      <w:pPr>
        <w:pStyle w:val="9"/>
        <w:spacing w:before="11"/>
        <w:ind w:left="0"/>
        <w:jc w:val="left"/>
        <w:rPr>
          <w:rFonts w:hint="eastAsia"/>
          <w:sz w:val="30"/>
          <w:szCs w:val="30"/>
        </w:rPr>
      </w:pPr>
      <w:r>
        <w:rPr>
          <w:rFonts w:hint="eastAsia"/>
          <w:sz w:val="30"/>
          <w:szCs w:val="30"/>
        </w:rPr>
        <w:t>This is the Valley of the Shadow of Death (Psalm 23:4, 107:10, 14, Isaiah 9:2, Jer. 2:6, Luke 1:79).</w:t>
      </w:r>
    </w:p>
    <w:p w14:paraId="4B112117">
      <w:pPr>
        <w:pStyle w:val="9"/>
        <w:spacing w:before="11"/>
        <w:ind w:left="0"/>
        <w:jc w:val="left"/>
        <w:rPr>
          <w:rFonts w:hint="eastAsia"/>
          <w:sz w:val="30"/>
          <w:szCs w:val="30"/>
        </w:rPr>
      </w:pPr>
      <w:r>
        <w:rPr>
          <w:rFonts w:hint="eastAsia"/>
          <w:sz w:val="30"/>
          <w:szCs w:val="30"/>
        </w:rPr>
        <w:t>这就是死荫的幽谷（诗篇23:4, 107:10, 14, 以赛亚书9:2, 耶利米书2:6, 路加福音1:79）。</w:t>
      </w:r>
    </w:p>
    <w:p w14:paraId="3891CDAC">
      <w:pPr>
        <w:pStyle w:val="9"/>
        <w:spacing w:before="11"/>
        <w:ind w:left="0"/>
        <w:jc w:val="left"/>
        <w:rPr>
          <w:rFonts w:hint="eastAsia"/>
          <w:sz w:val="30"/>
          <w:szCs w:val="30"/>
        </w:rPr>
      </w:pPr>
    </w:p>
    <w:p w14:paraId="1DEAD2C1">
      <w:pPr>
        <w:pStyle w:val="9"/>
        <w:spacing w:before="11"/>
        <w:ind w:left="0"/>
        <w:jc w:val="left"/>
        <w:rPr>
          <w:rFonts w:hint="eastAsia"/>
          <w:sz w:val="30"/>
          <w:szCs w:val="30"/>
        </w:rPr>
      </w:pPr>
      <w:r>
        <w:rPr>
          <w:rFonts w:hint="eastAsia"/>
          <w:sz w:val="30"/>
          <w:szCs w:val="30"/>
        </w:rPr>
        <w:t>This is the great spiritual wasteland into which God, through the sin of Adam, cast all the sinful exiles of Eden (Gen. 3:24, Luke 4:5-7, Rev. 12:6, 14).</w:t>
      </w:r>
    </w:p>
    <w:p w14:paraId="04D5C683">
      <w:pPr>
        <w:pStyle w:val="9"/>
        <w:spacing w:before="11"/>
        <w:ind w:left="0"/>
        <w:jc w:val="left"/>
        <w:rPr>
          <w:rFonts w:hint="eastAsia"/>
          <w:sz w:val="30"/>
          <w:szCs w:val="30"/>
        </w:rPr>
      </w:pPr>
      <w:r>
        <w:rPr>
          <w:rFonts w:hint="eastAsia"/>
          <w:sz w:val="30"/>
          <w:szCs w:val="30"/>
        </w:rPr>
        <w:t>这就是那片巨大的属灵荒原，神因亚当的罪将所有有罪的、从伊甸园被逐的人都抛入其中（创世记3:24, 路加福音4:5-7, 启示录12:6, 14）。</w:t>
      </w:r>
    </w:p>
    <w:p w14:paraId="71D17BBB">
      <w:pPr>
        <w:pStyle w:val="9"/>
        <w:spacing w:before="11"/>
        <w:ind w:left="0"/>
        <w:jc w:val="left"/>
        <w:rPr>
          <w:rFonts w:hint="eastAsia"/>
          <w:sz w:val="30"/>
          <w:szCs w:val="30"/>
        </w:rPr>
      </w:pPr>
    </w:p>
    <w:p w14:paraId="2E6BE5F1">
      <w:pPr>
        <w:pStyle w:val="9"/>
        <w:spacing w:before="11"/>
        <w:ind w:left="0"/>
        <w:jc w:val="left"/>
        <w:rPr>
          <w:rFonts w:hint="eastAsia"/>
          <w:sz w:val="30"/>
          <w:szCs w:val="30"/>
        </w:rPr>
      </w:pPr>
      <w:r>
        <w:rPr>
          <w:rFonts w:hint="eastAsia"/>
          <w:sz w:val="30"/>
          <w:szCs w:val="30"/>
        </w:rPr>
        <w:t>This is the Domain of Darkness, whose unregenerate inhabitants, though having a name that they are alive, are in fact completely dead in trespasses and sins (Eph. 2:1-10, Col. 1:13, 2:13, Rev. 3:1).</w:t>
      </w:r>
    </w:p>
    <w:p w14:paraId="131A6A1A">
      <w:pPr>
        <w:pStyle w:val="9"/>
        <w:spacing w:before="11"/>
        <w:ind w:left="0"/>
        <w:jc w:val="left"/>
        <w:rPr>
          <w:rFonts w:hint="eastAsia"/>
          <w:sz w:val="30"/>
          <w:szCs w:val="30"/>
        </w:rPr>
      </w:pPr>
      <w:r>
        <w:rPr>
          <w:rFonts w:hint="eastAsia"/>
          <w:sz w:val="30"/>
          <w:szCs w:val="30"/>
        </w:rPr>
        <w:t>这就是黑暗的权势，其未重生的居民，虽然名义上是活的，实际上在过犯罪恶中是完全死的（以弗所书2:1-10, 歌罗西书1:13, 2:13, 启示录3:1）。</w:t>
      </w:r>
    </w:p>
    <w:p w14:paraId="47F458FF">
      <w:pPr>
        <w:pStyle w:val="9"/>
        <w:spacing w:before="11"/>
        <w:ind w:left="0"/>
        <w:jc w:val="left"/>
        <w:rPr>
          <w:rFonts w:hint="eastAsia"/>
          <w:sz w:val="30"/>
          <w:szCs w:val="30"/>
        </w:rPr>
      </w:pPr>
    </w:p>
    <w:p w14:paraId="0C66C6D8">
      <w:pPr>
        <w:pStyle w:val="9"/>
        <w:spacing w:before="11"/>
        <w:ind w:left="0"/>
        <w:jc w:val="left"/>
        <w:rPr>
          <w:rFonts w:hint="eastAsia"/>
          <w:sz w:val="30"/>
          <w:szCs w:val="30"/>
        </w:rPr>
      </w:pPr>
      <w:r>
        <w:rPr>
          <w:rFonts w:hint="eastAsia"/>
          <w:sz w:val="30"/>
          <w:szCs w:val="30"/>
        </w:rPr>
        <w:t>Can These Bones Live? (3)</w:t>
      </w:r>
    </w:p>
    <w:p w14:paraId="1638408A">
      <w:pPr>
        <w:pStyle w:val="9"/>
        <w:spacing w:before="11"/>
        <w:ind w:left="0"/>
        <w:jc w:val="left"/>
        <w:rPr>
          <w:rFonts w:hint="eastAsia"/>
          <w:sz w:val="30"/>
          <w:szCs w:val="30"/>
        </w:rPr>
      </w:pPr>
      <w:r>
        <w:rPr>
          <w:rFonts w:hint="eastAsia"/>
          <w:sz w:val="30"/>
          <w:szCs w:val="30"/>
        </w:rPr>
        <w:t>这些骸骨能复活吗？（3）</w:t>
      </w:r>
    </w:p>
    <w:p w14:paraId="506D3790">
      <w:pPr>
        <w:pStyle w:val="9"/>
        <w:spacing w:before="11"/>
        <w:ind w:left="0"/>
        <w:jc w:val="left"/>
        <w:rPr>
          <w:rFonts w:hint="eastAsia"/>
          <w:sz w:val="30"/>
          <w:szCs w:val="30"/>
        </w:rPr>
      </w:pPr>
    </w:p>
    <w:p w14:paraId="348E1C90">
      <w:pPr>
        <w:pStyle w:val="9"/>
        <w:spacing w:before="11"/>
        <w:ind w:left="0"/>
        <w:jc w:val="left"/>
        <w:rPr>
          <w:rFonts w:hint="eastAsia"/>
          <w:sz w:val="30"/>
          <w:szCs w:val="30"/>
        </w:rPr>
      </w:pPr>
      <w:r>
        <w:rPr>
          <w:rFonts w:hint="eastAsia"/>
          <w:sz w:val="30"/>
          <w:szCs w:val="30"/>
        </w:rPr>
        <w:t>Now that the inspection is complete, God questions the prophet: “Son of man, can these bones live?”</w:t>
      </w:r>
    </w:p>
    <w:p w14:paraId="41DFD87A">
      <w:pPr>
        <w:pStyle w:val="9"/>
        <w:spacing w:before="11"/>
        <w:ind w:left="0"/>
        <w:jc w:val="left"/>
        <w:rPr>
          <w:rFonts w:hint="eastAsia"/>
          <w:sz w:val="30"/>
          <w:szCs w:val="30"/>
        </w:rPr>
      </w:pPr>
      <w:r>
        <w:rPr>
          <w:rFonts w:hint="eastAsia"/>
          <w:sz w:val="30"/>
          <w:szCs w:val="30"/>
        </w:rPr>
        <w:t>现在检查完毕，神问先知：“人子啊，这些骸骨能复活吗？”</w:t>
      </w:r>
    </w:p>
    <w:p w14:paraId="193D6687">
      <w:pPr>
        <w:pStyle w:val="9"/>
        <w:spacing w:before="11"/>
        <w:ind w:left="0"/>
        <w:jc w:val="left"/>
        <w:rPr>
          <w:rFonts w:hint="eastAsia"/>
          <w:sz w:val="30"/>
          <w:szCs w:val="30"/>
        </w:rPr>
      </w:pPr>
    </w:p>
    <w:p w14:paraId="50A7F5A3">
      <w:pPr>
        <w:pStyle w:val="9"/>
        <w:spacing w:before="11"/>
        <w:ind w:left="0"/>
        <w:jc w:val="left"/>
        <w:rPr>
          <w:rFonts w:hint="eastAsia"/>
          <w:sz w:val="30"/>
          <w:szCs w:val="30"/>
        </w:rPr>
      </w:pPr>
      <w:r>
        <w:rPr>
          <w:rFonts w:hint="eastAsia"/>
          <w:sz w:val="30"/>
          <w:szCs w:val="30"/>
        </w:rPr>
        <w:t>Ezekiel well understands that nothing is too hard for the LORD (Gen. 18:14, Jer. 32:27).</w:t>
      </w:r>
    </w:p>
    <w:p w14:paraId="2DD4FD77">
      <w:pPr>
        <w:pStyle w:val="9"/>
        <w:spacing w:before="11"/>
        <w:ind w:left="0"/>
        <w:jc w:val="left"/>
        <w:rPr>
          <w:rFonts w:hint="eastAsia"/>
          <w:sz w:val="30"/>
          <w:szCs w:val="30"/>
        </w:rPr>
      </w:pPr>
      <w:r>
        <w:rPr>
          <w:rFonts w:hint="eastAsia"/>
          <w:sz w:val="30"/>
          <w:szCs w:val="30"/>
        </w:rPr>
        <w:t>以西结深知在主没有难成的事（创世记18:14, 耶利米书32:27）。</w:t>
      </w:r>
    </w:p>
    <w:p w14:paraId="7A3C8B80">
      <w:pPr>
        <w:pStyle w:val="9"/>
        <w:spacing w:before="11"/>
        <w:ind w:left="0"/>
        <w:jc w:val="left"/>
        <w:rPr>
          <w:rFonts w:hint="eastAsia"/>
          <w:sz w:val="30"/>
          <w:szCs w:val="30"/>
        </w:rPr>
      </w:pPr>
    </w:p>
    <w:p w14:paraId="53F7EFD7">
      <w:pPr>
        <w:pStyle w:val="9"/>
        <w:spacing w:before="11"/>
        <w:ind w:left="0"/>
        <w:jc w:val="left"/>
        <w:rPr>
          <w:rFonts w:hint="eastAsia"/>
          <w:sz w:val="30"/>
          <w:szCs w:val="30"/>
        </w:rPr>
      </w:pPr>
      <w:r>
        <w:rPr>
          <w:rFonts w:hint="eastAsia"/>
          <w:sz w:val="30"/>
          <w:szCs w:val="30"/>
        </w:rPr>
        <w:t>But not yet knowing what these bones symbolize, he is uncertain as to whether or not God wills for them to live.</w:t>
      </w:r>
    </w:p>
    <w:p w14:paraId="4B80ADCC">
      <w:pPr>
        <w:pStyle w:val="9"/>
        <w:spacing w:before="11"/>
        <w:ind w:left="0"/>
        <w:jc w:val="left"/>
        <w:rPr>
          <w:rFonts w:hint="eastAsia"/>
          <w:sz w:val="30"/>
          <w:szCs w:val="30"/>
        </w:rPr>
      </w:pPr>
      <w:r>
        <w:rPr>
          <w:rFonts w:hint="eastAsia"/>
          <w:sz w:val="30"/>
          <w:szCs w:val="30"/>
        </w:rPr>
        <w:t>但他还不知道这些骸骨象征着什么，所以不确定神是否意愿让它们复活。</w:t>
      </w:r>
    </w:p>
    <w:p w14:paraId="4F98E4D4">
      <w:pPr>
        <w:pStyle w:val="9"/>
        <w:spacing w:before="11"/>
        <w:ind w:left="0"/>
        <w:jc w:val="left"/>
        <w:rPr>
          <w:rFonts w:hint="eastAsia"/>
          <w:sz w:val="30"/>
          <w:szCs w:val="30"/>
        </w:rPr>
      </w:pPr>
    </w:p>
    <w:p w14:paraId="4E76EB78">
      <w:pPr>
        <w:pStyle w:val="9"/>
        <w:spacing w:before="11"/>
        <w:ind w:left="0"/>
        <w:jc w:val="left"/>
        <w:rPr>
          <w:rFonts w:hint="eastAsia"/>
          <w:sz w:val="30"/>
          <w:szCs w:val="30"/>
        </w:rPr>
      </w:pPr>
      <w:r>
        <w:rPr>
          <w:rFonts w:hint="eastAsia"/>
          <w:sz w:val="30"/>
          <w:szCs w:val="30"/>
        </w:rPr>
        <w:t>So he responds, “O Lord God, You know” (v. 3).</w:t>
      </w:r>
    </w:p>
    <w:p w14:paraId="5C77823F">
      <w:pPr>
        <w:pStyle w:val="9"/>
        <w:spacing w:before="11"/>
        <w:ind w:left="0"/>
        <w:jc w:val="left"/>
        <w:rPr>
          <w:rFonts w:hint="eastAsia"/>
          <w:sz w:val="30"/>
          <w:szCs w:val="30"/>
        </w:rPr>
      </w:pPr>
      <w:r>
        <w:rPr>
          <w:rFonts w:hint="eastAsia"/>
          <w:sz w:val="30"/>
          <w:szCs w:val="30"/>
        </w:rPr>
        <w:t>于是他回答说：“主耶和华啊，祢是知道的”（第3节）。</w:t>
      </w:r>
    </w:p>
    <w:p w14:paraId="72CE1159">
      <w:pPr>
        <w:pStyle w:val="9"/>
        <w:spacing w:before="11"/>
        <w:ind w:left="0"/>
        <w:jc w:val="left"/>
        <w:rPr>
          <w:rFonts w:hint="eastAsia"/>
          <w:sz w:val="30"/>
          <w:szCs w:val="30"/>
        </w:rPr>
      </w:pPr>
    </w:p>
    <w:p w14:paraId="25D227C4">
      <w:pPr>
        <w:pStyle w:val="9"/>
        <w:spacing w:before="11"/>
        <w:ind w:left="0"/>
        <w:jc w:val="left"/>
        <w:rPr>
          <w:rFonts w:hint="eastAsia"/>
          <w:sz w:val="30"/>
          <w:szCs w:val="30"/>
        </w:rPr>
      </w:pPr>
      <w:r>
        <w:rPr>
          <w:rFonts w:hint="eastAsia"/>
          <w:sz w:val="30"/>
          <w:szCs w:val="30"/>
        </w:rPr>
        <w:t>This calls to mind Christ’s exchange with his incredulous disciples, when they asked, “Who then can be saved?”</w:t>
      </w:r>
    </w:p>
    <w:p w14:paraId="18673C53">
      <w:pPr>
        <w:pStyle w:val="9"/>
        <w:spacing w:before="11"/>
        <w:ind w:left="0"/>
        <w:jc w:val="left"/>
        <w:rPr>
          <w:rFonts w:hint="eastAsia"/>
          <w:sz w:val="30"/>
          <w:szCs w:val="30"/>
        </w:rPr>
      </w:pPr>
      <w:r>
        <w:rPr>
          <w:rFonts w:hint="eastAsia"/>
          <w:sz w:val="30"/>
          <w:szCs w:val="30"/>
        </w:rPr>
        <w:t>这让人想起基督与祂那些难以置信的门徒的对话，当时他们问：“这样谁能得救呢？”</w:t>
      </w:r>
    </w:p>
    <w:p w14:paraId="7EF73706">
      <w:pPr>
        <w:pStyle w:val="9"/>
        <w:spacing w:before="11"/>
        <w:ind w:left="0"/>
        <w:jc w:val="left"/>
        <w:rPr>
          <w:rFonts w:hint="eastAsia"/>
          <w:sz w:val="30"/>
          <w:szCs w:val="30"/>
        </w:rPr>
      </w:pPr>
    </w:p>
    <w:p w14:paraId="19F61A9C">
      <w:pPr>
        <w:pStyle w:val="9"/>
        <w:spacing w:before="11"/>
        <w:ind w:left="0"/>
        <w:jc w:val="left"/>
        <w:rPr>
          <w:rFonts w:hint="eastAsia"/>
          <w:sz w:val="30"/>
          <w:szCs w:val="30"/>
        </w:rPr>
      </w:pPr>
      <w:r>
        <w:rPr>
          <w:rFonts w:hint="eastAsia"/>
          <w:sz w:val="30"/>
          <w:szCs w:val="30"/>
        </w:rPr>
        <w:t>Jesus’ answer is applicable here: “With men it is impossible.</w:t>
      </w:r>
    </w:p>
    <w:p w14:paraId="1B594C45">
      <w:pPr>
        <w:pStyle w:val="9"/>
        <w:spacing w:before="11"/>
        <w:ind w:left="0"/>
        <w:jc w:val="left"/>
        <w:rPr>
          <w:rFonts w:hint="eastAsia"/>
          <w:sz w:val="30"/>
          <w:szCs w:val="30"/>
        </w:rPr>
      </w:pPr>
      <w:r>
        <w:rPr>
          <w:rFonts w:hint="eastAsia"/>
          <w:sz w:val="30"/>
          <w:szCs w:val="30"/>
        </w:rPr>
        <w:t>耶稣的回答在这里也适用：“在人这是不能的。</w:t>
      </w:r>
    </w:p>
    <w:p w14:paraId="049E30DD">
      <w:pPr>
        <w:pStyle w:val="9"/>
        <w:spacing w:before="11"/>
        <w:ind w:left="0"/>
        <w:jc w:val="left"/>
        <w:rPr>
          <w:rFonts w:hint="eastAsia"/>
          <w:sz w:val="30"/>
          <w:szCs w:val="30"/>
        </w:rPr>
      </w:pPr>
    </w:p>
    <w:p w14:paraId="10E8094D">
      <w:pPr>
        <w:pStyle w:val="9"/>
        <w:spacing w:before="11"/>
        <w:ind w:left="0"/>
        <w:jc w:val="left"/>
        <w:rPr>
          <w:rFonts w:hint="eastAsia"/>
          <w:sz w:val="30"/>
          <w:szCs w:val="30"/>
        </w:rPr>
      </w:pPr>
      <w:r>
        <w:rPr>
          <w:rFonts w:hint="eastAsia"/>
          <w:sz w:val="30"/>
          <w:szCs w:val="30"/>
        </w:rPr>
        <w:t>But with God, all things are possible” (Mt. 10:17-27).</w:t>
      </w:r>
    </w:p>
    <w:p w14:paraId="6AA28B18">
      <w:pPr>
        <w:pStyle w:val="9"/>
        <w:spacing w:before="11"/>
        <w:ind w:left="0"/>
        <w:jc w:val="left"/>
        <w:rPr>
          <w:rFonts w:hint="eastAsia"/>
          <w:sz w:val="30"/>
          <w:szCs w:val="30"/>
        </w:rPr>
      </w:pPr>
      <w:r>
        <w:rPr>
          <w:rFonts w:hint="eastAsia"/>
          <w:sz w:val="30"/>
          <w:szCs w:val="30"/>
        </w:rPr>
        <w:t>在神，凡事都能”（马太福音10:17-27）。</w:t>
      </w:r>
    </w:p>
    <w:p w14:paraId="14B1B270">
      <w:pPr>
        <w:pStyle w:val="9"/>
        <w:spacing w:before="11"/>
        <w:ind w:left="0"/>
        <w:jc w:val="left"/>
        <w:rPr>
          <w:rFonts w:hint="eastAsia"/>
          <w:sz w:val="30"/>
          <w:szCs w:val="30"/>
        </w:rPr>
      </w:pPr>
    </w:p>
    <w:p w14:paraId="0643B8E3">
      <w:pPr>
        <w:pStyle w:val="9"/>
        <w:spacing w:before="11"/>
        <w:ind w:left="0"/>
        <w:jc w:val="left"/>
        <w:rPr>
          <w:rFonts w:hint="eastAsia"/>
          <w:sz w:val="30"/>
          <w:szCs w:val="30"/>
        </w:rPr>
      </w:pPr>
      <w:r>
        <w:rPr>
          <w:rFonts w:hint="eastAsia"/>
          <w:sz w:val="30"/>
          <w:szCs w:val="30"/>
        </w:rPr>
        <w:t>The sovereign God can indeed save spiritually dead sinners.</w:t>
      </w:r>
    </w:p>
    <w:p w14:paraId="228CBBB8">
      <w:pPr>
        <w:pStyle w:val="9"/>
        <w:spacing w:before="11"/>
        <w:ind w:left="0"/>
        <w:jc w:val="left"/>
        <w:rPr>
          <w:rFonts w:hint="eastAsia"/>
          <w:sz w:val="30"/>
          <w:szCs w:val="30"/>
        </w:rPr>
      </w:pPr>
      <w:r>
        <w:rPr>
          <w:rFonts w:hint="eastAsia"/>
          <w:sz w:val="30"/>
          <w:szCs w:val="30"/>
        </w:rPr>
        <w:t>拥有主权的神确实能够拯救灵里已死的罪人。</w:t>
      </w:r>
    </w:p>
    <w:p w14:paraId="7486FF6C">
      <w:pPr>
        <w:pStyle w:val="9"/>
        <w:spacing w:before="11"/>
        <w:ind w:left="0"/>
        <w:jc w:val="left"/>
        <w:rPr>
          <w:rFonts w:hint="eastAsia"/>
          <w:sz w:val="30"/>
          <w:szCs w:val="30"/>
        </w:rPr>
      </w:pPr>
    </w:p>
    <w:p w14:paraId="34102A21">
      <w:pPr>
        <w:pStyle w:val="9"/>
        <w:spacing w:before="11"/>
        <w:ind w:left="0"/>
        <w:jc w:val="left"/>
        <w:rPr>
          <w:rFonts w:hint="eastAsia"/>
          <w:sz w:val="30"/>
          <w:szCs w:val="30"/>
        </w:rPr>
      </w:pPr>
      <w:r>
        <w:rPr>
          <w:rFonts w:hint="eastAsia"/>
          <w:sz w:val="30"/>
          <w:szCs w:val="30"/>
        </w:rPr>
        <w:t>Moreover, in the case of his elect, nothing in heaven or upon the earth can keep him from doing so (John 6:37, 10:16)!</w:t>
      </w:r>
    </w:p>
    <w:p w14:paraId="6DC48DD3">
      <w:pPr>
        <w:pStyle w:val="9"/>
        <w:spacing w:before="11"/>
        <w:ind w:left="0"/>
        <w:jc w:val="left"/>
        <w:rPr>
          <w:rFonts w:hint="eastAsia"/>
          <w:sz w:val="30"/>
          <w:szCs w:val="30"/>
        </w:rPr>
      </w:pPr>
      <w:r>
        <w:rPr>
          <w:rFonts w:hint="eastAsia"/>
          <w:sz w:val="30"/>
          <w:szCs w:val="30"/>
        </w:rPr>
        <w:t>而且，就祂的选民而言，天上或地上没有任何事物能阻止祂这样做（约翰福音6:37, 10:16）！</w:t>
      </w:r>
    </w:p>
    <w:p w14:paraId="35B2FD2C">
      <w:pPr>
        <w:pStyle w:val="9"/>
        <w:spacing w:before="11"/>
        <w:ind w:left="0"/>
        <w:jc w:val="left"/>
        <w:rPr>
          <w:rFonts w:hint="eastAsia"/>
          <w:sz w:val="30"/>
          <w:szCs w:val="30"/>
        </w:rPr>
      </w:pPr>
    </w:p>
    <w:p w14:paraId="7D3F8F01">
      <w:pPr>
        <w:pStyle w:val="9"/>
        <w:spacing w:before="11"/>
        <w:ind w:left="0"/>
        <w:jc w:val="left"/>
        <w:rPr>
          <w:rFonts w:hint="eastAsia"/>
          <w:sz w:val="30"/>
          <w:szCs w:val="30"/>
        </w:rPr>
      </w:pPr>
      <w:r>
        <w:rPr>
          <w:rFonts w:hint="eastAsia"/>
          <w:sz w:val="30"/>
          <w:szCs w:val="30"/>
        </w:rPr>
        <w:t>Prophesy to Them! (4-6)</w:t>
      </w:r>
    </w:p>
    <w:p w14:paraId="1AE3E53F">
      <w:pPr>
        <w:pStyle w:val="9"/>
        <w:spacing w:before="11"/>
        <w:ind w:left="0"/>
        <w:jc w:val="left"/>
        <w:rPr>
          <w:rFonts w:hint="eastAsia"/>
          <w:sz w:val="30"/>
          <w:szCs w:val="30"/>
        </w:rPr>
      </w:pPr>
      <w:r>
        <w:rPr>
          <w:rFonts w:hint="eastAsia"/>
          <w:sz w:val="30"/>
          <w:szCs w:val="30"/>
        </w:rPr>
        <w:t>向他们说预言！（4-6）</w:t>
      </w:r>
    </w:p>
    <w:p w14:paraId="0B1C2DAC">
      <w:pPr>
        <w:pStyle w:val="9"/>
        <w:spacing w:before="11"/>
        <w:ind w:left="0"/>
        <w:jc w:val="left"/>
        <w:rPr>
          <w:rFonts w:hint="eastAsia"/>
          <w:sz w:val="30"/>
          <w:szCs w:val="30"/>
        </w:rPr>
      </w:pPr>
    </w:p>
    <w:p w14:paraId="10186D7A">
      <w:pPr>
        <w:pStyle w:val="9"/>
        <w:spacing w:before="11"/>
        <w:ind w:left="0"/>
        <w:jc w:val="left"/>
        <w:rPr>
          <w:rFonts w:hint="eastAsia"/>
          <w:sz w:val="30"/>
          <w:szCs w:val="30"/>
        </w:rPr>
      </w:pPr>
      <w:r>
        <w:rPr>
          <w:rFonts w:hint="eastAsia"/>
          <w:sz w:val="30"/>
          <w:szCs w:val="30"/>
        </w:rPr>
        <w:t>In verses 4-6, we hear God’s command to Ezekiel: He is to prophesy to the dry bones, telling them that God will put sinew and flesh upon them, cover them with skin, and fill them with breath, so that they will live again and come to the knowledge of the LORD who has just raised them from the dead!</w:t>
      </w:r>
    </w:p>
    <w:p w14:paraId="292878F7">
      <w:pPr>
        <w:pStyle w:val="9"/>
        <w:spacing w:before="11"/>
        <w:ind w:left="0"/>
        <w:jc w:val="left"/>
        <w:rPr>
          <w:rFonts w:hint="eastAsia"/>
          <w:sz w:val="30"/>
          <w:szCs w:val="30"/>
        </w:rPr>
      </w:pPr>
      <w:r>
        <w:rPr>
          <w:rFonts w:hint="eastAsia"/>
          <w:sz w:val="30"/>
          <w:szCs w:val="30"/>
        </w:rPr>
        <w:t>在第4-6节，我们听到神给以西结的命令：他要向这些枯骨说预言，告诉它们神要将筋和肉加在它们身上，用皮遮蔽它们，并用气息充满它们，这样它们就会复活，并认识到刚刚使它们从死里复活的主！</w:t>
      </w:r>
    </w:p>
    <w:p w14:paraId="367B562C">
      <w:pPr>
        <w:pStyle w:val="9"/>
        <w:spacing w:before="11"/>
        <w:ind w:left="0"/>
        <w:jc w:val="left"/>
        <w:rPr>
          <w:rFonts w:hint="eastAsia"/>
          <w:sz w:val="30"/>
          <w:szCs w:val="30"/>
        </w:rPr>
      </w:pPr>
    </w:p>
    <w:p w14:paraId="09BF092A">
      <w:pPr>
        <w:pStyle w:val="9"/>
        <w:spacing w:before="11"/>
        <w:ind w:left="0"/>
        <w:jc w:val="left"/>
        <w:rPr>
          <w:rFonts w:hint="eastAsia"/>
          <w:sz w:val="30"/>
          <w:szCs w:val="30"/>
        </w:rPr>
      </w:pPr>
      <w:r>
        <w:rPr>
          <w:rFonts w:hint="eastAsia"/>
          <w:sz w:val="30"/>
          <w:szCs w:val="30"/>
        </w:rPr>
        <w:t>The text speaks of a creation.</w:t>
      </w:r>
    </w:p>
    <w:p w14:paraId="77C92DE6">
      <w:pPr>
        <w:pStyle w:val="9"/>
        <w:spacing w:before="11"/>
        <w:ind w:left="0"/>
        <w:jc w:val="left"/>
        <w:rPr>
          <w:rFonts w:hint="eastAsia"/>
          <w:sz w:val="30"/>
          <w:szCs w:val="30"/>
        </w:rPr>
      </w:pPr>
      <w:r>
        <w:rPr>
          <w:rFonts w:hint="eastAsia"/>
          <w:sz w:val="30"/>
          <w:szCs w:val="30"/>
        </w:rPr>
        <w:t>经文讲的是一次创造。</w:t>
      </w:r>
    </w:p>
    <w:p w14:paraId="6BD36D22">
      <w:pPr>
        <w:pStyle w:val="9"/>
        <w:spacing w:before="11"/>
        <w:ind w:left="0"/>
        <w:jc w:val="left"/>
        <w:rPr>
          <w:rFonts w:hint="eastAsia"/>
          <w:sz w:val="30"/>
          <w:szCs w:val="30"/>
        </w:rPr>
      </w:pPr>
    </w:p>
    <w:p w14:paraId="6F98920C">
      <w:pPr>
        <w:pStyle w:val="9"/>
        <w:spacing w:before="11"/>
        <w:ind w:left="0"/>
        <w:jc w:val="left"/>
        <w:rPr>
          <w:rFonts w:hint="eastAsia"/>
          <w:sz w:val="30"/>
          <w:szCs w:val="30"/>
        </w:rPr>
      </w:pPr>
      <w:r>
        <w:rPr>
          <w:rFonts w:hint="eastAsia"/>
          <w:sz w:val="30"/>
          <w:szCs w:val="30"/>
        </w:rPr>
        <w:t>Clearly, the imagery is designed to recall the creation of Adam, whom God first formed from the dust of the earth, and then raised up by breathing the breath of life into his nostrils (Gen. 2:7).</w:t>
      </w:r>
    </w:p>
    <w:p w14:paraId="37B29C6C">
      <w:pPr>
        <w:pStyle w:val="9"/>
        <w:spacing w:before="11"/>
        <w:ind w:left="0"/>
        <w:jc w:val="left"/>
        <w:rPr>
          <w:rFonts w:hint="eastAsia"/>
          <w:sz w:val="30"/>
          <w:szCs w:val="30"/>
        </w:rPr>
      </w:pPr>
      <w:r>
        <w:rPr>
          <w:rFonts w:hint="eastAsia"/>
          <w:sz w:val="30"/>
          <w:szCs w:val="30"/>
        </w:rPr>
        <w:t>显然，这里的意象旨在让人回想起亚当的创造，神先用尘土造他，然后将生命的气息吹入他的鼻孔，使他活了过来（创世记2:7）。</w:t>
      </w:r>
    </w:p>
    <w:p w14:paraId="72524D78">
      <w:pPr>
        <w:pStyle w:val="9"/>
        <w:spacing w:before="11"/>
        <w:ind w:left="0"/>
        <w:jc w:val="left"/>
        <w:rPr>
          <w:rFonts w:hint="eastAsia"/>
          <w:sz w:val="30"/>
          <w:szCs w:val="30"/>
        </w:rPr>
      </w:pPr>
    </w:p>
    <w:p w14:paraId="3F94AD86">
      <w:pPr>
        <w:pStyle w:val="9"/>
        <w:spacing w:before="11"/>
        <w:ind w:left="0"/>
        <w:jc w:val="left"/>
        <w:rPr>
          <w:rFonts w:hint="eastAsia"/>
          <w:sz w:val="30"/>
          <w:szCs w:val="30"/>
        </w:rPr>
      </w:pPr>
      <w:r>
        <w:rPr>
          <w:rFonts w:hint="eastAsia"/>
          <w:sz w:val="30"/>
          <w:szCs w:val="30"/>
        </w:rPr>
        <w:t>However, this is something different: It is a re-creation, and a spiritual re-creation rather than a physical.</w:t>
      </w:r>
    </w:p>
    <w:p w14:paraId="19EDC605">
      <w:pPr>
        <w:pStyle w:val="9"/>
        <w:spacing w:before="11"/>
        <w:ind w:left="0"/>
        <w:jc w:val="left"/>
        <w:rPr>
          <w:rFonts w:hint="eastAsia"/>
          <w:sz w:val="30"/>
          <w:szCs w:val="30"/>
        </w:rPr>
      </w:pPr>
      <w:r>
        <w:rPr>
          <w:rFonts w:hint="eastAsia"/>
          <w:sz w:val="30"/>
          <w:szCs w:val="30"/>
        </w:rPr>
        <w:t>然而，这是不同的：这是一次再创造，而且是一次属灵的再创造，而非肉体的。</w:t>
      </w:r>
    </w:p>
    <w:p w14:paraId="6BF0989F">
      <w:pPr>
        <w:pStyle w:val="9"/>
        <w:spacing w:before="11"/>
        <w:ind w:left="0"/>
        <w:jc w:val="left"/>
        <w:rPr>
          <w:rFonts w:hint="eastAsia"/>
          <w:sz w:val="30"/>
          <w:szCs w:val="30"/>
        </w:rPr>
      </w:pPr>
    </w:p>
    <w:p w14:paraId="045F4444">
      <w:pPr>
        <w:pStyle w:val="9"/>
        <w:spacing w:before="11"/>
        <w:ind w:left="0"/>
        <w:jc w:val="left"/>
        <w:rPr>
          <w:rFonts w:hint="eastAsia"/>
          <w:sz w:val="30"/>
          <w:szCs w:val="30"/>
        </w:rPr>
      </w:pPr>
      <w:r>
        <w:rPr>
          <w:rFonts w:hint="eastAsia"/>
          <w:sz w:val="30"/>
          <w:szCs w:val="30"/>
        </w:rPr>
        <w:t>The NT tells us that Christ himself will accomplish it (John 20:19-23), with the result that his people will come to know both him and his Father as their sovereign Savior (John 14:15-20).</w:t>
      </w:r>
    </w:p>
    <w:p w14:paraId="471CDA3F">
      <w:pPr>
        <w:pStyle w:val="9"/>
        <w:spacing w:before="11"/>
        <w:ind w:left="0"/>
        <w:jc w:val="left"/>
        <w:rPr>
          <w:rFonts w:hint="eastAsia"/>
          <w:sz w:val="30"/>
          <w:szCs w:val="30"/>
        </w:rPr>
      </w:pPr>
      <w:r>
        <w:rPr>
          <w:rFonts w:hint="eastAsia"/>
          <w:sz w:val="30"/>
          <w:szCs w:val="30"/>
        </w:rPr>
        <w:t>新约告诉我们，基督自己将成就此事（约翰福音20:19-23），结果将是祂的子民会认识到祂和祂的父是他们拥有主权的救主（约翰福音14:15-20）。</w:t>
      </w:r>
    </w:p>
    <w:p w14:paraId="6CFA919D">
      <w:pPr>
        <w:pStyle w:val="9"/>
        <w:spacing w:before="11"/>
        <w:ind w:left="0"/>
        <w:jc w:val="left"/>
        <w:rPr>
          <w:rFonts w:hint="eastAsia"/>
          <w:sz w:val="30"/>
          <w:szCs w:val="30"/>
        </w:rPr>
      </w:pPr>
    </w:p>
    <w:p w14:paraId="443BAC63">
      <w:pPr>
        <w:pStyle w:val="9"/>
        <w:spacing w:before="11"/>
        <w:ind w:left="0"/>
        <w:jc w:val="left"/>
        <w:rPr>
          <w:rFonts w:hint="eastAsia"/>
          <w:sz w:val="30"/>
          <w:szCs w:val="30"/>
        </w:rPr>
      </w:pPr>
      <w:r>
        <w:rPr>
          <w:rFonts w:hint="eastAsia"/>
          <w:sz w:val="30"/>
          <w:szCs w:val="30"/>
        </w:rPr>
        <w:t>A NT paraphrase of God’s message to Ezekiel might therefore go like this: In that day, God will regenerate a great multitude of elect sinners (his Church), raising them up from the spiritual death they inherited through the first Adam, to an eternal newness of life that that they will inherit through the Last (Rom. 6:1-4, 1 Cor. 15:45, Eph. 2:6, Col. 3:1).</w:t>
      </w:r>
    </w:p>
    <w:p w14:paraId="1205FA22">
      <w:pPr>
        <w:pStyle w:val="9"/>
        <w:spacing w:before="11"/>
        <w:ind w:left="0"/>
        <w:jc w:val="left"/>
        <w:rPr>
          <w:rFonts w:hint="eastAsia"/>
          <w:sz w:val="30"/>
          <w:szCs w:val="30"/>
        </w:rPr>
      </w:pPr>
      <w:r>
        <w:rPr>
          <w:rFonts w:hint="eastAsia"/>
          <w:sz w:val="30"/>
          <w:szCs w:val="30"/>
        </w:rPr>
        <w:t>因此，用新约的语言来意译神给以西结的信息可能是这样的：在那日，神将使一大群蒙拣选的罪人（祂的教会）重生，将他们从藉着首先的亚当所承受的属灵死亡中复起，进入他们将藉着末后的亚当所承受的永恒新生命中（罗马书6:1-4，哥林多前书15:45，以弗所书2:6，歌罗西书3:1）。</w:t>
      </w:r>
    </w:p>
    <w:p w14:paraId="54D523D9">
      <w:pPr>
        <w:pStyle w:val="9"/>
        <w:spacing w:before="11"/>
        <w:ind w:left="0"/>
        <w:jc w:val="left"/>
        <w:rPr>
          <w:rFonts w:hint="eastAsia"/>
          <w:sz w:val="30"/>
          <w:szCs w:val="30"/>
        </w:rPr>
      </w:pPr>
    </w:p>
    <w:p w14:paraId="4B3E0E10">
      <w:pPr>
        <w:pStyle w:val="9"/>
        <w:spacing w:before="11"/>
        <w:ind w:left="0"/>
        <w:jc w:val="left"/>
        <w:rPr>
          <w:rFonts w:hint="eastAsia"/>
          <w:sz w:val="30"/>
          <w:szCs w:val="30"/>
        </w:rPr>
      </w:pPr>
      <w:r>
        <w:rPr>
          <w:rFonts w:hint="eastAsia"/>
          <w:sz w:val="30"/>
          <w:szCs w:val="30"/>
        </w:rPr>
        <w:t>Does this prophecy also allude to the resurrection of the body?</w:t>
      </w:r>
    </w:p>
    <w:p w14:paraId="7E0562EA">
      <w:pPr>
        <w:pStyle w:val="9"/>
        <w:spacing w:before="11"/>
        <w:ind w:left="0"/>
        <w:jc w:val="left"/>
        <w:rPr>
          <w:rFonts w:hint="eastAsia"/>
          <w:sz w:val="30"/>
          <w:szCs w:val="30"/>
        </w:rPr>
      </w:pPr>
      <w:r>
        <w:rPr>
          <w:rFonts w:hint="eastAsia"/>
          <w:sz w:val="30"/>
          <w:szCs w:val="30"/>
        </w:rPr>
        <w:t>这个预言是否也暗指身体的复活？</w:t>
      </w:r>
    </w:p>
    <w:p w14:paraId="46569885">
      <w:pPr>
        <w:pStyle w:val="9"/>
        <w:spacing w:before="11"/>
        <w:ind w:left="0"/>
        <w:jc w:val="left"/>
        <w:rPr>
          <w:rFonts w:hint="eastAsia"/>
          <w:sz w:val="30"/>
          <w:szCs w:val="30"/>
        </w:rPr>
      </w:pPr>
    </w:p>
    <w:p w14:paraId="7B7C0E13">
      <w:pPr>
        <w:pStyle w:val="9"/>
        <w:spacing w:before="11"/>
        <w:ind w:left="0"/>
        <w:jc w:val="left"/>
        <w:rPr>
          <w:rFonts w:hint="eastAsia"/>
          <w:sz w:val="30"/>
          <w:szCs w:val="30"/>
        </w:rPr>
      </w:pPr>
      <w:r>
        <w:rPr>
          <w:rFonts w:hint="eastAsia"/>
          <w:sz w:val="30"/>
          <w:szCs w:val="30"/>
        </w:rPr>
        <w:t>To be sure.</w:t>
      </w:r>
    </w:p>
    <w:p w14:paraId="5EFEBD0B">
      <w:pPr>
        <w:pStyle w:val="9"/>
        <w:spacing w:before="11"/>
        <w:ind w:left="0"/>
        <w:jc w:val="left"/>
        <w:rPr>
          <w:rFonts w:hint="eastAsia"/>
          <w:sz w:val="30"/>
          <w:szCs w:val="30"/>
        </w:rPr>
      </w:pPr>
      <w:r>
        <w:rPr>
          <w:rFonts w:hint="eastAsia"/>
          <w:sz w:val="30"/>
          <w:szCs w:val="30"/>
        </w:rPr>
        <w:t>当然。</w:t>
      </w:r>
    </w:p>
    <w:p w14:paraId="0AF8014B">
      <w:pPr>
        <w:pStyle w:val="9"/>
        <w:spacing w:before="11"/>
        <w:ind w:left="0"/>
        <w:jc w:val="left"/>
        <w:rPr>
          <w:rFonts w:hint="eastAsia"/>
          <w:sz w:val="30"/>
          <w:szCs w:val="30"/>
        </w:rPr>
      </w:pPr>
    </w:p>
    <w:p w14:paraId="00756EC7">
      <w:pPr>
        <w:pStyle w:val="9"/>
        <w:spacing w:before="11"/>
        <w:ind w:left="0"/>
        <w:jc w:val="left"/>
        <w:rPr>
          <w:rFonts w:hint="eastAsia"/>
          <w:sz w:val="30"/>
          <w:szCs w:val="30"/>
        </w:rPr>
      </w:pPr>
      <w:r>
        <w:rPr>
          <w:rFonts w:hint="eastAsia"/>
          <w:sz w:val="30"/>
          <w:szCs w:val="30"/>
        </w:rPr>
        <w:t>However, it does so in a manner that anticipates NT teaching on the two stages of salvation; teaching in which we learn that the saints’ spiritual resurrection (through faith in Christ) necessarily precedes, alludes to, and guarantees a bodily resurrection that will occur at the end of the age (John 5:24-29, 11:25-26, Rom. 6:5).</w:t>
      </w:r>
    </w:p>
    <w:p w14:paraId="6059B082">
      <w:pPr>
        <w:pStyle w:val="9"/>
        <w:spacing w:before="11"/>
        <w:ind w:left="0"/>
        <w:jc w:val="left"/>
        <w:rPr>
          <w:rFonts w:hint="eastAsia"/>
          <w:sz w:val="30"/>
          <w:szCs w:val="30"/>
        </w:rPr>
      </w:pPr>
      <w:r>
        <w:rPr>
          <w:rFonts w:hint="eastAsia"/>
          <w:sz w:val="30"/>
          <w:szCs w:val="30"/>
        </w:rPr>
        <w:t>然而，它这样做的方式预示了新约关于救恩两个阶段的教导；在该教导中我们学到，圣徒的属灵复活（通过信基督）必然先于、暗指并保证在世代末了时将要发生的身体复活（约翰福音5:24-29, 11:25-26, 罗马书6:5）。</w:t>
      </w:r>
    </w:p>
    <w:p w14:paraId="7DBC5DB2">
      <w:pPr>
        <w:pStyle w:val="9"/>
        <w:spacing w:before="11"/>
        <w:ind w:left="0"/>
        <w:jc w:val="left"/>
        <w:rPr>
          <w:rFonts w:hint="eastAsia"/>
          <w:sz w:val="30"/>
          <w:szCs w:val="30"/>
        </w:rPr>
      </w:pPr>
    </w:p>
    <w:p w14:paraId="6B1491AC">
      <w:pPr>
        <w:pStyle w:val="9"/>
        <w:spacing w:before="11"/>
        <w:ind w:left="0"/>
        <w:jc w:val="left"/>
        <w:rPr>
          <w:rFonts w:hint="eastAsia"/>
          <w:sz w:val="30"/>
          <w:szCs w:val="30"/>
        </w:rPr>
      </w:pPr>
      <w:r>
        <w:rPr>
          <w:rFonts w:hint="eastAsia"/>
          <w:sz w:val="30"/>
          <w:szCs w:val="30"/>
        </w:rPr>
        <w:t>Here, then, in Ezekiel 37, the resurrection of the body is not in view, since before that resurrection can come, the (spiritually) risen, regenerated, and restored “Israel of God” must go to war (37:10, 38-39).</w:t>
      </w:r>
    </w:p>
    <w:p w14:paraId="5F77B810">
      <w:pPr>
        <w:pStyle w:val="9"/>
        <w:spacing w:before="11"/>
        <w:ind w:left="0"/>
        <w:jc w:val="left"/>
        <w:rPr>
          <w:rFonts w:hint="eastAsia"/>
          <w:sz w:val="30"/>
          <w:szCs w:val="30"/>
        </w:rPr>
      </w:pPr>
      <w:r>
        <w:rPr>
          <w:rFonts w:hint="eastAsia"/>
          <w:sz w:val="30"/>
          <w:szCs w:val="30"/>
        </w:rPr>
        <w:t>因此，在以西结书37章中，身体的复活并未在讨论之列，因为在那复活来临之前，那（属灵上）复活、重生和复兴的“神的以色列”必须去争战（37:10, 38-39）。</w:t>
      </w:r>
    </w:p>
    <w:p w14:paraId="0EC95B52">
      <w:pPr>
        <w:pStyle w:val="9"/>
        <w:spacing w:before="11"/>
        <w:ind w:left="0"/>
        <w:jc w:val="left"/>
        <w:rPr>
          <w:rFonts w:hint="eastAsia"/>
          <w:sz w:val="30"/>
          <w:szCs w:val="30"/>
        </w:rPr>
      </w:pPr>
    </w:p>
    <w:p w14:paraId="60C43BF5">
      <w:pPr>
        <w:pStyle w:val="9"/>
        <w:spacing w:before="11"/>
        <w:ind w:left="0"/>
        <w:jc w:val="left"/>
        <w:rPr>
          <w:rFonts w:hint="eastAsia"/>
          <w:sz w:val="30"/>
          <w:szCs w:val="30"/>
        </w:rPr>
      </w:pPr>
      <w:r>
        <w:rPr>
          <w:rFonts w:hint="eastAsia"/>
          <w:sz w:val="30"/>
          <w:szCs w:val="30"/>
        </w:rPr>
        <w:t>Come, O Breath, That They May Live! (7-10)</w:t>
      </w:r>
    </w:p>
    <w:p w14:paraId="4B321107">
      <w:pPr>
        <w:pStyle w:val="9"/>
        <w:spacing w:before="11"/>
        <w:ind w:left="0"/>
        <w:jc w:val="left"/>
        <w:rPr>
          <w:rFonts w:hint="eastAsia"/>
          <w:sz w:val="30"/>
          <w:szCs w:val="30"/>
        </w:rPr>
      </w:pPr>
      <w:r>
        <w:rPr>
          <w:rFonts w:hint="eastAsia"/>
          <w:sz w:val="30"/>
          <w:szCs w:val="30"/>
        </w:rPr>
        <w:t>来吧，气息啊，使他们活过来！（7-10）</w:t>
      </w:r>
    </w:p>
    <w:p w14:paraId="351E1E99">
      <w:pPr>
        <w:pStyle w:val="9"/>
        <w:spacing w:before="11"/>
        <w:ind w:left="0"/>
        <w:jc w:val="left"/>
        <w:rPr>
          <w:rFonts w:hint="eastAsia"/>
          <w:sz w:val="30"/>
          <w:szCs w:val="30"/>
        </w:rPr>
      </w:pPr>
    </w:p>
    <w:p w14:paraId="6DBA094C">
      <w:pPr>
        <w:pStyle w:val="9"/>
        <w:spacing w:before="11"/>
        <w:ind w:left="0"/>
        <w:jc w:val="left"/>
        <w:rPr>
          <w:rFonts w:hint="eastAsia"/>
          <w:sz w:val="30"/>
          <w:szCs w:val="30"/>
        </w:rPr>
      </w:pPr>
      <w:r>
        <w:rPr>
          <w:rFonts w:hint="eastAsia"/>
          <w:sz w:val="30"/>
          <w:szCs w:val="30"/>
        </w:rPr>
        <w:t>In verses 7-10 we find the prophet doing exactly as he was bidden.</w:t>
      </w:r>
    </w:p>
    <w:p w14:paraId="7E6A3360">
      <w:pPr>
        <w:pStyle w:val="9"/>
        <w:spacing w:before="11"/>
        <w:ind w:left="0"/>
        <w:jc w:val="left"/>
        <w:rPr>
          <w:rFonts w:hint="eastAsia"/>
          <w:sz w:val="30"/>
          <w:szCs w:val="30"/>
        </w:rPr>
      </w:pPr>
      <w:r>
        <w:rPr>
          <w:rFonts w:hint="eastAsia"/>
          <w:sz w:val="30"/>
          <w:szCs w:val="30"/>
        </w:rPr>
        <w:t>在第7-10节，我们发现先知完全照着他所受的吩咐去行。</w:t>
      </w:r>
    </w:p>
    <w:p w14:paraId="45A27C6D">
      <w:pPr>
        <w:pStyle w:val="9"/>
        <w:spacing w:before="11"/>
        <w:ind w:left="0"/>
        <w:jc w:val="left"/>
        <w:rPr>
          <w:rFonts w:hint="eastAsia"/>
          <w:sz w:val="30"/>
          <w:szCs w:val="30"/>
        </w:rPr>
      </w:pPr>
    </w:p>
    <w:p w14:paraId="0051CFDD">
      <w:pPr>
        <w:pStyle w:val="9"/>
        <w:spacing w:before="11"/>
        <w:ind w:left="0"/>
        <w:jc w:val="left"/>
        <w:rPr>
          <w:rFonts w:hint="eastAsia"/>
          <w:sz w:val="30"/>
          <w:szCs w:val="30"/>
        </w:rPr>
      </w:pPr>
      <w:r>
        <w:rPr>
          <w:rFonts w:hint="eastAsia"/>
          <w:sz w:val="30"/>
          <w:szCs w:val="30"/>
        </w:rPr>
        <w:t>Moreover, when he does, all unfolds exactly as God said it would.</w:t>
      </w:r>
    </w:p>
    <w:p w14:paraId="6E62F7C8">
      <w:pPr>
        <w:pStyle w:val="9"/>
        <w:spacing w:before="11"/>
        <w:ind w:left="0"/>
        <w:jc w:val="left"/>
        <w:rPr>
          <w:rFonts w:hint="eastAsia"/>
          <w:sz w:val="30"/>
          <w:szCs w:val="30"/>
        </w:rPr>
      </w:pPr>
      <w:r>
        <w:rPr>
          <w:rFonts w:hint="eastAsia"/>
          <w:sz w:val="30"/>
          <w:szCs w:val="30"/>
        </w:rPr>
        <w:t>而且，当他这样做时，一切都完全按照神所说的展开。</w:t>
      </w:r>
    </w:p>
    <w:p w14:paraId="28157882">
      <w:pPr>
        <w:pStyle w:val="9"/>
        <w:spacing w:before="11"/>
        <w:ind w:left="0"/>
        <w:jc w:val="left"/>
        <w:rPr>
          <w:rFonts w:hint="eastAsia"/>
          <w:sz w:val="30"/>
          <w:szCs w:val="30"/>
        </w:rPr>
      </w:pPr>
    </w:p>
    <w:p w14:paraId="69151F9C">
      <w:pPr>
        <w:pStyle w:val="9"/>
        <w:spacing w:before="11"/>
        <w:ind w:left="0"/>
        <w:jc w:val="left"/>
        <w:rPr>
          <w:rFonts w:hint="eastAsia"/>
          <w:sz w:val="30"/>
          <w:szCs w:val="30"/>
        </w:rPr>
      </w:pPr>
      <w:r>
        <w:rPr>
          <w:rFonts w:hint="eastAsia"/>
          <w:sz w:val="30"/>
          <w:szCs w:val="30"/>
        </w:rPr>
        <w:t>Such mighty prophesying pictures the spiritually creative power of the word of the truth of the Gospel (Rom. 1:16, 10:17, 1 Thess. 2:13, Heb. 4:12, 1 Peter 1:23).</w:t>
      </w:r>
    </w:p>
    <w:p w14:paraId="15B17814">
      <w:pPr>
        <w:pStyle w:val="9"/>
        <w:spacing w:before="11"/>
        <w:ind w:left="0"/>
        <w:jc w:val="left"/>
        <w:rPr>
          <w:rFonts w:hint="eastAsia"/>
          <w:sz w:val="30"/>
          <w:szCs w:val="30"/>
        </w:rPr>
      </w:pPr>
      <w:r>
        <w:rPr>
          <w:rFonts w:hint="eastAsia"/>
          <w:sz w:val="30"/>
          <w:szCs w:val="30"/>
        </w:rPr>
        <w:t>如此大能的预言描绘了福音真理之道在属灵上创造的大能（罗马书1:16, 10:17, 帖撒罗尼迦前书2:13, 希伯来书4:12, 彼得前书1:23）。</w:t>
      </w:r>
    </w:p>
    <w:p w14:paraId="7C7D7EE4">
      <w:pPr>
        <w:pStyle w:val="9"/>
        <w:spacing w:before="11"/>
        <w:ind w:left="0"/>
        <w:jc w:val="left"/>
        <w:rPr>
          <w:rFonts w:hint="eastAsia"/>
          <w:sz w:val="30"/>
          <w:szCs w:val="30"/>
        </w:rPr>
      </w:pPr>
    </w:p>
    <w:p w14:paraId="0F8ABBBB">
      <w:pPr>
        <w:pStyle w:val="9"/>
        <w:spacing w:before="11"/>
        <w:ind w:left="0"/>
        <w:jc w:val="left"/>
        <w:rPr>
          <w:rFonts w:hint="eastAsia"/>
          <w:sz w:val="30"/>
          <w:szCs w:val="30"/>
        </w:rPr>
      </w:pPr>
      <w:r>
        <w:rPr>
          <w:rFonts w:hint="eastAsia"/>
          <w:sz w:val="30"/>
          <w:szCs w:val="30"/>
        </w:rPr>
        <w:t>Following the pattern laid down in Genesis, this recreation occurs in two stages: First, the dead bones become bodies (7-8); then the dead bodies become living bodies, for the breath (i.e., the Spirit) of God stands them up on their feet, so that they become an exceedingly great army (9-10).</w:t>
      </w:r>
    </w:p>
    <w:p w14:paraId="72E69946">
      <w:pPr>
        <w:pStyle w:val="9"/>
        <w:spacing w:before="11"/>
        <w:ind w:left="0"/>
        <w:jc w:val="left"/>
        <w:rPr>
          <w:rFonts w:hint="eastAsia"/>
          <w:sz w:val="30"/>
          <w:szCs w:val="30"/>
        </w:rPr>
      </w:pPr>
      <w:r>
        <w:rPr>
          <w:rFonts w:hint="eastAsia"/>
          <w:sz w:val="30"/>
          <w:szCs w:val="30"/>
        </w:rPr>
        <w:t>遵循创世记所设定的模式，这次再创造分两个阶段发生：首先，枯骨变成身体（7-8节）；然后，死去的身体变成活的身体，因为神的气息（即圣灵）使他们站立起来，成为一支极大的军队（9-10节）。</w:t>
      </w:r>
    </w:p>
    <w:p w14:paraId="6085CCA4">
      <w:pPr>
        <w:pStyle w:val="9"/>
        <w:spacing w:before="11"/>
        <w:ind w:left="0"/>
        <w:jc w:val="left"/>
        <w:rPr>
          <w:rFonts w:hint="eastAsia"/>
          <w:sz w:val="30"/>
          <w:szCs w:val="30"/>
        </w:rPr>
      </w:pPr>
    </w:p>
    <w:p w14:paraId="5A776F4E">
      <w:pPr>
        <w:pStyle w:val="9"/>
        <w:spacing w:before="11"/>
        <w:ind w:left="0"/>
        <w:jc w:val="left"/>
        <w:rPr>
          <w:rFonts w:hint="eastAsia"/>
          <w:sz w:val="30"/>
          <w:szCs w:val="30"/>
        </w:rPr>
      </w:pPr>
      <w:r>
        <w:rPr>
          <w:rFonts w:hint="eastAsia"/>
          <w:sz w:val="30"/>
          <w:szCs w:val="30"/>
        </w:rPr>
        <w:t>This pictures the ongoing creation of the Church Militant throughout the Era of Proclamation and Probation.</w:t>
      </w:r>
    </w:p>
    <w:p w14:paraId="41C1C370">
      <w:pPr>
        <w:pStyle w:val="9"/>
        <w:spacing w:before="11"/>
        <w:ind w:left="0"/>
        <w:jc w:val="left"/>
        <w:rPr>
          <w:rFonts w:hint="eastAsia"/>
          <w:sz w:val="30"/>
          <w:szCs w:val="30"/>
        </w:rPr>
      </w:pPr>
      <w:r>
        <w:rPr>
          <w:rFonts w:hint="eastAsia"/>
          <w:sz w:val="30"/>
          <w:szCs w:val="30"/>
        </w:rPr>
        <w:t>这描绘了在整个宣讲与验证的时代里，战斗的教会持续被创造的过程。</w:t>
      </w:r>
    </w:p>
    <w:p w14:paraId="05BADD5E">
      <w:pPr>
        <w:pStyle w:val="9"/>
        <w:spacing w:before="11"/>
        <w:ind w:left="0"/>
        <w:jc w:val="left"/>
        <w:rPr>
          <w:rFonts w:hint="eastAsia"/>
          <w:sz w:val="30"/>
          <w:szCs w:val="30"/>
        </w:rPr>
      </w:pPr>
    </w:p>
    <w:p w14:paraId="1FFF51AB">
      <w:pPr>
        <w:pStyle w:val="9"/>
        <w:spacing w:before="11"/>
        <w:ind w:left="0"/>
        <w:jc w:val="left"/>
        <w:rPr>
          <w:rFonts w:hint="eastAsia"/>
          <w:sz w:val="30"/>
          <w:szCs w:val="30"/>
        </w:rPr>
      </w:pPr>
      <w:r>
        <w:rPr>
          <w:rFonts w:hint="eastAsia"/>
          <w:sz w:val="30"/>
          <w:szCs w:val="30"/>
        </w:rPr>
        <w:t>In a microcosm, it was fulfilled on the Day of Pentecost, when the Spirit fell upon and filled 120 “rattling bones” who had previously come together in one place (Acts 2:1), with the result that they stood up boldly so as to make loving war in the cause of Christ and the Gospel (Acts 2:4, 11, 14ff).</w:t>
      </w:r>
    </w:p>
    <w:p w14:paraId="6C281D0E">
      <w:pPr>
        <w:pStyle w:val="9"/>
        <w:spacing w:before="11"/>
        <w:ind w:left="0"/>
        <w:jc w:val="left"/>
        <w:rPr>
          <w:rFonts w:hint="eastAsia"/>
          <w:sz w:val="30"/>
          <w:szCs w:val="30"/>
        </w:rPr>
      </w:pPr>
      <w:r>
        <w:rPr>
          <w:rFonts w:hint="eastAsia"/>
          <w:sz w:val="30"/>
          <w:szCs w:val="30"/>
        </w:rPr>
        <w:t>在一个微观的层面上，它在五旬节那天应验了，当时圣灵降在并充满了120个先前聚集在一处的“发响的骸骨”身上（使徒行传2:1），结果是他们勇敢地站起来，为基督和福音的缘故进行一场仁爱的战争（使徒行传2:4, 11, 14及以下）。</w:t>
      </w:r>
    </w:p>
    <w:p w14:paraId="26AF46A1">
      <w:pPr>
        <w:pStyle w:val="9"/>
        <w:spacing w:before="11"/>
        <w:ind w:left="0"/>
        <w:jc w:val="left"/>
        <w:rPr>
          <w:rFonts w:hint="eastAsia"/>
          <w:sz w:val="30"/>
          <w:szCs w:val="30"/>
        </w:rPr>
      </w:pPr>
    </w:p>
    <w:p w14:paraId="4F6BFB79">
      <w:pPr>
        <w:pStyle w:val="9"/>
        <w:spacing w:before="11"/>
        <w:ind w:left="0"/>
        <w:jc w:val="left"/>
        <w:rPr>
          <w:rFonts w:hint="eastAsia"/>
          <w:sz w:val="30"/>
          <w:szCs w:val="30"/>
        </w:rPr>
      </w:pPr>
      <w:r>
        <w:rPr>
          <w:rFonts w:hint="eastAsia"/>
          <w:sz w:val="30"/>
          <w:szCs w:val="30"/>
        </w:rPr>
        <w:t>But the vision will continue to be fulfilled— even until the end of the Age—whenever and wherever God assembles and builds up the Body of Christ through the preaching of the Gospel (1 Cor. 12:13, Eph. 4:12, 15-16, Col. 2:18-19).</w:t>
      </w:r>
    </w:p>
    <w:p w14:paraId="512B23DD">
      <w:pPr>
        <w:pStyle w:val="9"/>
        <w:spacing w:before="11"/>
        <w:ind w:left="0"/>
        <w:jc w:val="left"/>
        <w:rPr>
          <w:rFonts w:hint="eastAsia"/>
          <w:sz w:val="30"/>
          <w:szCs w:val="30"/>
        </w:rPr>
      </w:pPr>
      <w:r>
        <w:rPr>
          <w:rFonts w:hint="eastAsia"/>
          <w:sz w:val="30"/>
          <w:szCs w:val="30"/>
        </w:rPr>
        <w:t>但这个异象将继续应验——甚至直到世代的末了——无论何时何地，只要神藉着福音的传讲来聚集和建立基督的身体（哥林多前书12:13，以弗所书4:12, 15-16，歌罗西书2:18-19）。</w:t>
      </w:r>
    </w:p>
    <w:p w14:paraId="4C7C3AC7">
      <w:pPr>
        <w:pStyle w:val="9"/>
        <w:spacing w:before="11"/>
        <w:ind w:left="0"/>
        <w:jc w:val="left"/>
        <w:rPr>
          <w:rFonts w:hint="eastAsia"/>
          <w:sz w:val="30"/>
          <w:szCs w:val="30"/>
        </w:rPr>
      </w:pPr>
    </w:p>
    <w:p w14:paraId="7C9399D6">
      <w:pPr>
        <w:pStyle w:val="9"/>
        <w:spacing w:before="11"/>
        <w:ind w:left="0"/>
        <w:jc w:val="left"/>
        <w:rPr>
          <w:rFonts w:hint="eastAsia"/>
          <w:sz w:val="30"/>
          <w:szCs w:val="30"/>
        </w:rPr>
      </w:pPr>
      <w:r>
        <w:rPr>
          <w:rFonts w:hint="eastAsia"/>
          <w:sz w:val="30"/>
          <w:szCs w:val="30"/>
        </w:rPr>
        <w:t>Notably, this ecclesiological interpretation is supported by verse 9, which represents the Spirit as coming from the four winds, an allusion to the four corners of the earth, from which God will gather his universal Church, comprised of Jew and Gentile (Mark 13:27, Rev. 7:1f).</w:t>
      </w:r>
    </w:p>
    <w:p w14:paraId="7D9083C9">
      <w:pPr>
        <w:pStyle w:val="9"/>
        <w:spacing w:before="11"/>
        <w:ind w:left="0"/>
        <w:jc w:val="left"/>
        <w:rPr>
          <w:rFonts w:hint="eastAsia"/>
          <w:sz w:val="30"/>
          <w:szCs w:val="30"/>
        </w:rPr>
      </w:pPr>
      <w:r>
        <w:rPr>
          <w:rFonts w:hint="eastAsia"/>
          <w:sz w:val="30"/>
          <w:szCs w:val="30"/>
        </w:rPr>
        <w:t>值得注意的是，这种教会论的解释得到了第9节的支持，该节将圣灵描绘成从四方（原文作“风”）而来，这是对地之四角的暗指，神将从那里聚集祂由犹太人和外邦人组成的普世教会（马可福音13:27，启示录7:1及以下）。</w:t>
      </w:r>
    </w:p>
    <w:p w14:paraId="6D0BCE2C">
      <w:pPr>
        <w:pStyle w:val="9"/>
        <w:spacing w:before="11"/>
        <w:ind w:left="0"/>
        <w:jc w:val="left"/>
        <w:rPr>
          <w:rFonts w:hint="eastAsia"/>
          <w:sz w:val="30"/>
          <w:szCs w:val="30"/>
        </w:rPr>
      </w:pPr>
    </w:p>
    <w:p w14:paraId="58E80554">
      <w:pPr>
        <w:pStyle w:val="9"/>
        <w:spacing w:before="11"/>
        <w:ind w:left="0"/>
        <w:jc w:val="left"/>
        <w:rPr>
          <w:rFonts w:hint="eastAsia"/>
          <w:sz w:val="30"/>
          <w:szCs w:val="30"/>
        </w:rPr>
      </w:pPr>
      <w:r>
        <w:rPr>
          <w:rFonts w:hint="eastAsia"/>
          <w:sz w:val="30"/>
          <w:szCs w:val="30"/>
        </w:rPr>
        <w:t>It is also supported by verse 10, in which eschatological “Israel” is portrayed as an exceedingly great army, a metaphor repeatedly ascribed to the NT soldiers of Christ (Luke 14:31, 1 Cor. 9:7, Eph. 6:10f, 2 Tim. 2:3, Rev. 19:14).</w:t>
      </w:r>
    </w:p>
    <w:p w14:paraId="71C4A8CC">
      <w:pPr>
        <w:pStyle w:val="9"/>
        <w:spacing w:before="11"/>
        <w:ind w:left="0"/>
        <w:jc w:val="left"/>
        <w:rPr>
          <w:rFonts w:hint="eastAsia"/>
          <w:sz w:val="30"/>
          <w:szCs w:val="30"/>
        </w:rPr>
      </w:pPr>
      <w:r>
        <w:rPr>
          <w:rFonts w:hint="eastAsia"/>
          <w:sz w:val="30"/>
          <w:szCs w:val="30"/>
        </w:rPr>
        <w:t>它也得到了第10节的支持，其中末世性的“以色列”被描绘成一支极大的军队，这是一个被反复用来形容新约中基督精兵的比喻（路加福音14:31，哥林多前书9:7，以弗所书6:10及以下，提摩太后书2:3，启示录19:14）。</w:t>
      </w:r>
    </w:p>
    <w:p w14:paraId="3A6B5ECB">
      <w:pPr>
        <w:pStyle w:val="9"/>
        <w:spacing w:before="11"/>
        <w:ind w:left="0"/>
        <w:jc w:val="left"/>
        <w:rPr>
          <w:rFonts w:hint="eastAsia"/>
          <w:sz w:val="30"/>
          <w:szCs w:val="30"/>
        </w:rPr>
      </w:pPr>
    </w:p>
    <w:p w14:paraId="146AF3EF">
      <w:pPr>
        <w:pStyle w:val="9"/>
        <w:spacing w:before="11"/>
        <w:ind w:left="0"/>
        <w:jc w:val="left"/>
        <w:rPr>
          <w:rFonts w:hint="eastAsia"/>
          <w:sz w:val="30"/>
          <w:szCs w:val="30"/>
        </w:rPr>
      </w:pPr>
      <w:r>
        <w:rPr>
          <w:rFonts w:hint="eastAsia"/>
          <w:sz w:val="30"/>
          <w:szCs w:val="30"/>
        </w:rPr>
        <w:t>The Whole House of Israel (11-14)</w:t>
      </w:r>
    </w:p>
    <w:p w14:paraId="77FE3D17">
      <w:pPr>
        <w:pStyle w:val="9"/>
        <w:spacing w:before="11"/>
        <w:ind w:left="0"/>
        <w:jc w:val="left"/>
        <w:rPr>
          <w:rFonts w:hint="eastAsia"/>
          <w:sz w:val="30"/>
          <w:szCs w:val="30"/>
        </w:rPr>
      </w:pPr>
      <w:r>
        <w:rPr>
          <w:rFonts w:hint="eastAsia"/>
          <w:sz w:val="30"/>
          <w:szCs w:val="30"/>
        </w:rPr>
        <w:t>以色列全家（11-14）</w:t>
      </w:r>
    </w:p>
    <w:p w14:paraId="2CFC4C8B">
      <w:pPr>
        <w:pStyle w:val="9"/>
        <w:spacing w:before="11"/>
        <w:ind w:left="0"/>
        <w:jc w:val="left"/>
        <w:rPr>
          <w:rFonts w:hint="eastAsia"/>
          <w:sz w:val="30"/>
          <w:szCs w:val="30"/>
        </w:rPr>
      </w:pPr>
    </w:p>
    <w:p w14:paraId="0F01070B">
      <w:pPr>
        <w:pStyle w:val="9"/>
        <w:spacing w:before="11"/>
        <w:ind w:left="0"/>
        <w:jc w:val="left"/>
        <w:rPr>
          <w:rFonts w:hint="eastAsia"/>
          <w:sz w:val="30"/>
          <w:szCs w:val="30"/>
        </w:rPr>
      </w:pPr>
      <w:r>
        <w:rPr>
          <w:rFonts w:hint="eastAsia"/>
          <w:sz w:val="30"/>
          <w:szCs w:val="30"/>
        </w:rPr>
        <w:t>In verses 11-14, God finally interprets the vision to Ezekiel: It is yet another oracle of Israel’s eschatological restoration.</w:t>
      </w:r>
    </w:p>
    <w:p w14:paraId="3F499161">
      <w:pPr>
        <w:pStyle w:val="9"/>
        <w:spacing w:before="11"/>
        <w:ind w:left="0"/>
        <w:jc w:val="left"/>
        <w:rPr>
          <w:rFonts w:hint="eastAsia"/>
          <w:sz w:val="30"/>
          <w:szCs w:val="30"/>
        </w:rPr>
      </w:pPr>
      <w:r>
        <w:rPr>
          <w:rFonts w:hint="eastAsia"/>
          <w:sz w:val="30"/>
          <w:szCs w:val="30"/>
        </w:rPr>
        <w:t>在第11-14节，神终于向以西结解释了这个异象：这是另一个关于以色列末世性复兴的神谕。</w:t>
      </w:r>
    </w:p>
    <w:p w14:paraId="15AC3A1A">
      <w:pPr>
        <w:pStyle w:val="9"/>
        <w:spacing w:before="11"/>
        <w:ind w:left="0"/>
        <w:jc w:val="left"/>
        <w:rPr>
          <w:rFonts w:hint="eastAsia"/>
          <w:sz w:val="30"/>
          <w:szCs w:val="30"/>
        </w:rPr>
      </w:pPr>
    </w:p>
    <w:p w14:paraId="4BED23CF">
      <w:pPr>
        <w:pStyle w:val="9"/>
        <w:spacing w:before="11"/>
        <w:ind w:left="0"/>
        <w:jc w:val="left"/>
        <w:rPr>
          <w:rFonts w:hint="eastAsia"/>
          <w:sz w:val="30"/>
          <w:szCs w:val="30"/>
        </w:rPr>
      </w:pPr>
      <w:r>
        <w:rPr>
          <w:rFonts w:hint="eastAsia"/>
          <w:sz w:val="30"/>
          <w:szCs w:val="30"/>
        </w:rPr>
        <w:t>However, the Israel in view is not ethnic, but spiritual.</w:t>
      </w:r>
    </w:p>
    <w:p w14:paraId="41BF92CA">
      <w:pPr>
        <w:pStyle w:val="9"/>
        <w:spacing w:before="11"/>
        <w:ind w:left="0"/>
        <w:jc w:val="left"/>
        <w:rPr>
          <w:rFonts w:hint="eastAsia"/>
          <w:sz w:val="30"/>
          <w:szCs w:val="30"/>
        </w:rPr>
      </w:pPr>
      <w:r>
        <w:rPr>
          <w:rFonts w:hint="eastAsia"/>
          <w:sz w:val="30"/>
          <w:szCs w:val="30"/>
        </w:rPr>
        <w:t>然而，这里所说的以色列不是民族上的，而是属灵上的。</w:t>
      </w:r>
    </w:p>
    <w:p w14:paraId="207C4B3E">
      <w:pPr>
        <w:pStyle w:val="9"/>
        <w:spacing w:before="11"/>
        <w:ind w:left="0"/>
        <w:jc w:val="left"/>
        <w:rPr>
          <w:rFonts w:hint="eastAsia"/>
          <w:sz w:val="30"/>
          <w:szCs w:val="30"/>
        </w:rPr>
      </w:pPr>
    </w:p>
    <w:p w14:paraId="35CEB339">
      <w:pPr>
        <w:pStyle w:val="9"/>
        <w:spacing w:before="11"/>
        <w:ind w:left="0"/>
        <w:jc w:val="left"/>
        <w:rPr>
          <w:rFonts w:hint="eastAsia"/>
          <w:sz w:val="30"/>
          <w:szCs w:val="30"/>
        </w:rPr>
      </w:pPr>
      <w:r>
        <w:rPr>
          <w:rFonts w:hint="eastAsia"/>
          <w:sz w:val="30"/>
          <w:szCs w:val="30"/>
        </w:rPr>
        <w:t>It is the Church, the eschatological “Israel of God” (Gal. 6:16).</w:t>
      </w:r>
    </w:p>
    <w:p w14:paraId="739BE7E4">
      <w:pPr>
        <w:pStyle w:val="9"/>
        <w:spacing w:before="11"/>
        <w:ind w:left="0"/>
        <w:jc w:val="left"/>
        <w:rPr>
          <w:rFonts w:hint="eastAsia"/>
          <w:sz w:val="30"/>
          <w:szCs w:val="30"/>
        </w:rPr>
      </w:pPr>
      <w:r>
        <w:rPr>
          <w:rFonts w:hint="eastAsia"/>
          <w:sz w:val="30"/>
          <w:szCs w:val="30"/>
        </w:rPr>
        <w:t>它是教会，是末世性的“神的以色列”（加拉太书6:16）。</w:t>
      </w:r>
    </w:p>
    <w:p w14:paraId="7A0340B0">
      <w:pPr>
        <w:pStyle w:val="9"/>
        <w:spacing w:before="11"/>
        <w:ind w:left="0"/>
        <w:jc w:val="left"/>
        <w:rPr>
          <w:rFonts w:hint="eastAsia"/>
          <w:sz w:val="30"/>
          <w:szCs w:val="30"/>
        </w:rPr>
      </w:pPr>
    </w:p>
    <w:p w14:paraId="04C7D14C">
      <w:pPr>
        <w:pStyle w:val="9"/>
        <w:spacing w:before="11"/>
        <w:ind w:left="0"/>
        <w:jc w:val="left"/>
        <w:rPr>
          <w:rFonts w:hint="eastAsia"/>
          <w:sz w:val="30"/>
          <w:szCs w:val="30"/>
        </w:rPr>
      </w:pPr>
      <w:r>
        <w:rPr>
          <w:rFonts w:hint="eastAsia"/>
          <w:sz w:val="30"/>
          <w:szCs w:val="30"/>
        </w:rPr>
        <w:t>Ethnic Jews will be among them, for in many times and places they have indeed felt themselves to be hopelessly lost and cut off.</w:t>
      </w:r>
    </w:p>
    <w:p w14:paraId="148D6983">
      <w:pPr>
        <w:pStyle w:val="9"/>
        <w:spacing w:before="11"/>
        <w:ind w:left="0"/>
        <w:jc w:val="left"/>
        <w:rPr>
          <w:rFonts w:hint="eastAsia"/>
          <w:sz w:val="30"/>
          <w:szCs w:val="30"/>
        </w:rPr>
      </w:pPr>
      <w:r>
        <w:rPr>
          <w:rFonts w:hint="eastAsia"/>
          <w:sz w:val="30"/>
          <w:szCs w:val="30"/>
        </w:rPr>
        <w:t>血统上的犹太人将在他们中间，因为在许多时候和地方，他们确实感到自己绝望地失丧和被隔绝了。</w:t>
      </w:r>
    </w:p>
    <w:p w14:paraId="6A95949A">
      <w:pPr>
        <w:pStyle w:val="9"/>
        <w:spacing w:before="11"/>
        <w:ind w:left="0"/>
        <w:jc w:val="left"/>
        <w:rPr>
          <w:rFonts w:hint="eastAsia"/>
          <w:sz w:val="30"/>
          <w:szCs w:val="30"/>
        </w:rPr>
      </w:pPr>
    </w:p>
    <w:p w14:paraId="252082E7">
      <w:pPr>
        <w:pStyle w:val="9"/>
        <w:spacing w:before="11"/>
        <w:ind w:left="0"/>
        <w:jc w:val="left"/>
        <w:rPr>
          <w:rFonts w:hint="eastAsia"/>
          <w:sz w:val="30"/>
          <w:szCs w:val="30"/>
        </w:rPr>
      </w:pPr>
      <w:r>
        <w:rPr>
          <w:rFonts w:hint="eastAsia"/>
          <w:sz w:val="30"/>
          <w:szCs w:val="30"/>
        </w:rPr>
        <w:t>But so too have multitudes of elect Gentiles (v. 11, Mt. 4:12-16, Mt. 15:25, Eph. 2:12).</w:t>
      </w:r>
    </w:p>
    <w:p w14:paraId="53C05434">
      <w:pPr>
        <w:pStyle w:val="9"/>
        <w:spacing w:before="11"/>
        <w:ind w:left="0"/>
        <w:jc w:val="left"/>
        <w:rPr>
          <w:rFonts w:hint="eastAsia"/>
          <w:sz w:val="30"/>
          <w:szCs w:val="30"/>
        </w:rPr>
      </w:pPr>
      <w:r>
        <w:rPr>
          <w:rFonts w:hint="eastAsia"/>
          <w:sz w:val="30"/>
          <w:szCs w:val="30"/>
        </w:rPr>
        <w:t>但成群的蒙拣选的外邦人也是如此（第11节，马太福音4:12-16，马太福音15:25，以弗所书2:12）。</w:t>
      </w:r>
    </w:p>
    <w:p w14:paraId="533DF52F">
      <w:pPr>
        <w:pStyle w:val="9"/>
        <w:spacing w:before="11"/>
        <w:ind w:left="0"/>
        <w:jc w:val="left"/>
        <w:rPr>
          <w:rFonts w:hint="eastAsia"/>
          <w:sz w:val="30"/>
          <w:szCs w:val="30"/>
        </w:rPr>
      </w:pPr>
    </w:p>
    <w:p w14:paraId="72BC4F90">
      <w:pPr>
        <w:pStyle w:val="9"/>
        <w:spacing w:before="11"/>
        <w:ind w:left="0"/>
        <w:jc w:val="left"/>
        <w:rPr>
          <w:rFonts w:hint="eastAsia"/>
          <w:sz w:val="30"/>
          <w:szCs w:val="30"/>
        </w:rPr>
      </w:pPr>
      <w:r>
        <w:rPr>
          <w:rFonts w:hint="eastAsia"/>
          <w:sz w:val="30"/>
          <w:szCs w:val="30"/>
        </w:rPr>
        <w:t>And since, through Christ, they also will enter the Eternal Covenant, God will not be ashamed to call them “My people” (Rom. 9:25-26, 2 Cor. 6:16, Heb. 2:11, 11:16, 8:10, Rev. 18:4).</w:t>
      </w:r>
    </w:p>
    <w:p w14:paraId="2AB89AA9">
      <w:pPr>
        <w:pStyle w:val="9"/>
        <w:spacing w:before="11"/>
        <w:ind w:left="0"/>
        <w:jc w:val="left"/>
        <w:rPr>
          <w:rFonts w:hint="eastAsia"/>
          <w:sz w:val="30"/>
          <w:szCs w:val="30"/>
        </w:rPr>
      </w:pPr>
      <w:r>
        <w:rPr>
          <w:rFonts w:hint="eastAsia"/>
          <w:sz w:val="30"/>
          <w:szCs w:val="30"/>
        </w:rPr>
        <w:t>并且，因为他们也藉着基督进入永约，所以神称他们为“我的子民”并不以为耻（罗马书9:25-26，哥林多后书6:16，希伯来书2:11, 11:16, 8:10，启示录18:4）。</w:t>
      </w:r>
    </w:p>
    <w:p w14:paraId="3D468297">
      <w:pPr>
        <w:pStyle w:val="9"/>
        <w:spacing w:before="11"/>
        <w:ind w:left="0"/>
        <w:jc w:val="left"/>
        <w:rPr>
          <w:rFonts w:hint="eastAsia"/>
          <w:sz w:val="30"/>
          <w:szCs w:val="30"/>
        </w:rPr>
      </w:pPr>
    </w:p>
    <w:p w14:paraId="0241CFAD">
      <w:pPr>
        <w:pStyle w:val="9"/>
        <w:spacing w:before="11"/>
        <w:ind w:left="0"/>
        <w:jc w:val="left"/>
        <w:rPr>
          <w:rFonts w:hint="eastAsia"/>
          <w:sz w:val="30"/>
          <w:szCs w:val="30"/>
        </w:rPr>
      </w:pPr>
      <w:r>
        <w:rPr>
          <w:rFonts w:hint="eastAsia"/>
          <w:sz w:val="30"/>
          <w:szCs w:val="30"/>
        </w:rPr>
        <w:t>It is, then, of his New Covenant people—both Jew and Gentile—that God here speaks, promising to raise them up from the grave of spiritual death, and to transport them to their heavenly homeland; indeed, to plant them on the very top of his Holy Mountain (v. 12, 36:8-15, 40:1-2; Col. 1:13, Gal. 4:26, Heb. 12:22, Rev. 14:1).</w:t>
      </w:r>
    </w:p>
    <w:p w14:paraId="7DF96C80">
      <w:pPr>
        <w:pStyle w:val="9"/>
        <w:spacing w:before="11"/>
        <w:ind w:left="0"/>
        <w:jc w:val="left"/>
        <w:rPr>
          <w:rFonts w:hint="eastAsia"/>
          <w:sz w:val="30"/>
          <w:szCs w:val="30"/>
        </w:rPr>
      </w:pPr>
      <w:r>
        <w:rPr>
          <w:rFonts w:hint="eastAsia"/>
          <w:sz w:val="30"/>
          <w:szCs w:val="30"/>
        </w:rPr>
        <w:t>因此，神在这里说的是祂新约的子民——包括犹太人和外邦人——应许要将他们从属灵死亡的坟墓中复起，并将他们送到他们属天的家园；的确，是要将他们栽于祂圣山的顶上（第12节, 36:8-15, 40:1-2；歌罗西书1:13, 加拉太书4:26, 希伯来书12:22, 启示录14:1）。</w:t>
      </w:r>
    </w:p>
    <w:p w14:paraId="21AAA3C9">
      <w:pPr>
        <w:pStyle w:val="9"/>
        <w:spacing w:before="11"/>
        <w:ind w:left="0"/>
        <w:jc w:val="left"/>
        <w:rPr>
          <w:rFonts w:hint="eastAsia"/>
          <w:sz w:val="30"/>
          <w:szCs w:val="30"/>
        </w:rPr>
      </w:pPr>
    </w:p>
    <w:p w14:paraId="2A9CC3A5">
      <w:pPr>
        <w:pStyle w:val="9"/>
        <w:spacing w:before="11"/>
        <w:ind w:left="0"/>
        <w:jc w:val="left"/>
        <w:rPr>
          <w:rFonts w:hint="eastAsia"/>
          <w:sz w:val="30"/>
          <w:szCs w:val="30"/>
        </w:rPr>
      </w:pPr>
      <w:r>
        <w:rPr>
          <w:rFonts w:hint="eastAsia"/>
          <w:sz w:val="30"/>
          <w:szCs w:val="30"/>
        </w:rPr>
        <w:t>Note carefully from the conclusion of this prophecy that when he does so, they will realize that the great transformation was not at all of their own doing; that God himself, by his sovereign grace, was the One who made them alive together in Christ, raised them up together with Christ, and caused them to sit down together with Christ in heaven, there to enjoy the glories of the Zion above until the happy day of the King’s return, when he will raise them bodily for eternal life in the glorious World to Come (v. 13-14; John 15:16, 1 Cor. 1:26-31, Rom. 8:28-30, Eph. 2:4-10, Titus 3:4-7, 1 John 3:14, Rev. 14:1, 21:1-5).</w:t>
      </w:r>
    </w:p>
    <w:p w14:paraId="76B25E60">
      <w:pPr>
        <w:pStyle w:val="9"/>
        <w:spacing w:before="11"/>
        <w:ind w:left="0"/>
        <w:jc w:val="left"/>
        <w:rPr>
          <w:rFonts w:hint="eastAsia"/>
          <w:sz w:val="30"/>
          <w:szCs w:val="30"/>
        </w:rPr>
      </w:pPr>
      <w:r>
        <w:rPr>
          <w:rFonts w:hint="eastAsia"/>
          <w:sz w:val="30"/>
          <w:szCs w:val="30"/>
        </w:rPr>
        <w:t>请从这个预言的结论中仔细注意，当祂这样做时，他们会认识到这伟大的转变根本不是他们自己所为；而是神自己，藉着祂主权的恩典，使他们与基督一同活过来，与基督一同复活，并使他们与基督一同坐在天上，在那里享受天上锡安的荣耀，直到君王再来的快乐日子，届时祂将使他们的身体复活，在荣耀的未来世界里得享永生（第13-14节；约翰福音15:16, 哥林多前书1:26-31, 罗马书8:28-30, 以弗所书2:4-10, 提多书3:4-7, 约翰一书3:14, 启示录14:1, 21:1-5）。</w:t>
      </w:r>
    </w:p>
    <w:p w14:paraId="6D7EAB5C">
      <w:pPr>
        <w:pStyle w:val="9"/>
        <w:spacing w:before="11"/>
        <w:ind w:left="0"/>
        <w:jc w:val="left"/>
        <w:rPr>
          <w:rFonts w:hint="eastAsia"/>
          <w:sz w:val="30"/>
          <w:szCs w:val="30"/>
        </w:rPr>
      </w:pPr>
    </w:p>
    <w:p w14:paraId="5241A128">
      <w:pPr>
        <w:pStyle w:val="9"/>
        <w:spacing w:before="11"/>
        <w:ind w:left="0"/>
        <w:jc w:val="left"/>
        <w:rPr>
          <w:rFonts w:hint="eastAsia"/>
          <w:sz w:val="30"/>
          <w:szCs w:val="30"/>
        </w:rPr>
      </w:pPr>
      <w:r>
        <w:rPr>
          <w:rFonts w:hint="eastAsia"/>
          <w:sz w:val="30"/>
          <w:szCs w:val="30"/>
        </w:rPr>
        <w:t>2.Two Sticks, One Cross, One Nation</w:t>
      </w:r>
    </w:p>
    <w:p w14:paraId="7A755B7E">
      <w:pPr>
        <w:pStyle w:val="9"/>
        <w:spacing w:before="11"/>
        <w:ind w:left="0"/>
        <w:jc w:val="left"/>
        <w:rPr>
          <w:rFonts w:hint="eastAsia"/>
          <w:sz w:val="30"/>
          <w:szCs w:val="30"/>
        </w:rPr>
      </w:pPr>
      <w:r>
        <w:rPr>
          <w:rFonts w:hint="eastAsia"/>
          <w:sz w:val="30"/>
          <w:szCs w:val="30"/>
        </w:rPr>
        <w:t>(Ezekiel 37:15-28)</w:t>
      </w:r>
    </w:p>
    <w:p w14:paraId="7AE0BB5B">
      <w:pPr>
        <w:pStyle w:val="9"/>
        <w:spacing w:before="11"/>
        <w:ind w:left="0"/>
        <w:jc w:val="left"/>
        <w:rPr>
          <w:rFonts w:hint="eastAsia"/>
          <w:sz w:val="30"/>
          <w:szCs w:val="30"/>
        </w:rPr>
      </w:pPr>
      <w:r>
        <w:rPr>
          <w:rFonts w:hint="eastAsia"/>
          <w:sz w:val="30"/>
          <w:szCs w:val="30"/>
        </w:rPr>
        <w:t>2. 两根木杖，一个十架，一个国度</w:t>
      </w:r>
    </w:p>
    <w:p w14:paraId="00E24AF8">
      <w:pPr>
        <w:pStyle w:val="9"/>
        <w:spacing w:before="11"/>
        <w:ind w:left="0"/>
        <w:jc w:val="left"/>
        <w:rPr>
          <w:rFonts w:hint="eastAsia"/>
          <w:sz w:val="30"/>
          <w:szCs w:val="30"/>
        </w:rPr>
      </w:pPr>
      <w:r>
        <w:rPr>
          <w:rFonts w:hint="eastAsia"/>
          <w:sz w:val="30"/>
          <w:szCs w:val="30"/>
        </w:rPr>
        <w:t>（以西结书 37:15-28）</w:t>
      </w:r>
    </w:p>
    <w:p w14:paraId="43615D11">
      <w:pPr>
        <w:pStyle w:val="9"/>
        <w:spacing w:before="11"/>
        <w:ind w:left="0"/>
        <w:jc w:val="left"/>
        <w:rPr>
          <w:rFonts w:hint="eastAsia"/>
          <w:sz w:val="30"/>
          <w:szCs w:val="30"/>
        </w:rPr>
      </w:pPr>
    </w:p>
    <w:p w14:paraId="73B4708D">
      <w:pPr>
        <w:pStyle w:val="9"/>
        <w:spacing w:before="11"/>
        <w:ind w:left="0"/>
        <w:jc w:val="left"/>
        <w:rPr>
          <w:rFonts w:hint="eastAsia"/>
          <w:sz w:val="30"/>
          <w:szCs w:val="30"/>
        </w:rPr>
      </w:pPr>
      <w:r>
        <w:rPr>
          <w:rFonts w:hint="eastAsia"/>
          <w:sz w:val="30"/>
          <w:szCs w:val="30"/>
        </w:rPr>
        <w:t>Here the prophet’s theme is the Renewed Unity of Eschatological Israel.</w:t>
      </w:r>
    </w:p>
    <w:p w14:paraId="136F817C">
      <w:pPr>
        <w:pStyle w:val="9"/>
        <w:spacing w:before="11"/>
        <w:ind w:left="0"/>
        <w:jc w:val="left"/>
        <w:rPr>
          <w:rFonts w:hint="eastAsia"/>
          <w:sz w:val="30"/>
          <w:szCs w:val="30"/>
        </w:rPr>
      </w:pPr>
      <w:r>
        <w:rPr>
          <w:rFonts w:hint="eastAsia"/>
          <w:sz w:val="30"/>
          <w:szCs w:val="30"/>
        </w:rPr>
        <w:t>这里先知的主题是末世性以色列的更新合一。</w:t>
      </w:r>
    </w:p>
    <w:p w14:paraId="369087CE">
      <w:pPr>
        <w:pStyle w:val="9"/>
        <w:spacing w:before="11"/>
        <w:ind w:left="0"/>
        <w:jc w:val="left"/>
        <w:rPr>
          <w:rFonts w:hint="eastAsia"/>
          <w:sz w:val="30"/>
          <w:szCs w:val="30"/>
        </w:rPr>
      </w:pPr>
    </w:p>
    <w:p w14:paraId="3E3EAD1F">
      <w:pPr>
        <w:pStyle w:val="9"/>
        <w:spacing w:before="11"/>
        <w:ind w:left="0"/>
        <w:jc w:val="left"/>
        <w:rPr>
          <w:rFonts w:hint="eastAsia"/>
          <w:sz w:val="30"/>
          <w:szCs w:val="30"/>
        </w:rPr>
      </w:pPr>
      <w:r>
        <w:rPr>
          <w:rFonts w:hint="eastAsia"/>
          <w:sz w:val="30"/>
          <w:szCs w:val="30"/>
        </w:rPr>
        <w:t>As far back as patriarchal times, there had been rivalry between Judah and Joseph.</w:t>
      </w:r>
    </w:p>
    <w:p w14:paraId="6235EE40">
      <w:pPr>
        <w:pStyle w:val="9"/>
        <w:spacing w:before="11"/>
        <w:ind w:left="0"/>
        <w:jc w:val="left"/>
        <w:rPr>
          <w:rFonts w:hint="eastAsia"/>
          <w:sz w:val="30"/>
          <w:szCs w:val="30"/>
        </w:rPr>
      </w:pPr>
      <w:r>
        <w:rPr>
          <w:rFonts w:hint="eastAsia"/>
          <w:sz w:val="30"/>
          <w:szCs w:val="30"/>
        </w:rPr>
        <w:t>远在列祖时代，犹大和约瑟之间就存在着竞争。</w:t>
      </w:r>
    </w:p>
    <w:p w14:paraId="7917EF36">
      <w:pPr>
        <w:pStyle w:val="9"/>
        <w:spacing w:before="11"/>
        <w:ind w:left="0"/>
        <w:jc w:val="left"/>
        <w:rPr>
          <w:rFonts w:hint="eastAsia"/>
          <w:sz w:val="30"/>
          <w:szCs w:val="30"/>
        </w:rPr>
      </w:pPr>
    </w:p>
    <w:p w14:paraId="13D61591">
      <w:pPr>
        <w:pStyle w:val="9"/>
        <w:spacing w:before="11"/>
        <w:ind w:left="0"/>
        <w:jc w:val="left"/>
        <w:rPr>
          <w:rFonts w:hint="eastAsia"/>
          <w:sz w:val="30"/>
          <w:szCs w:val="30"/>
        </w:rPr>
      </w:pPr>
      <w:r>
        <w:rPr>
          <w:rFonts w:hint="eastAsia"/>
          <w:sz w:val="30"/>
          <w:szCs w:val="30"/>
        </w:rPr>
        <w:t>In the days of the Judges, tensions flared between Ephraim (Joseph’s son) and the other tribes.</w:t>
      </w:r>
    </w:p>
    <w:p w14:paraId="5E7128E0">
      <w:pPr>
        <w:pStyle w:val="9"/>
        <w:spacing w:before="11"/>
        <w:ind w:left="0"/>
        <w:jc w:val="left"/>
        <w:rPr>
          <w:rFonts w:hint="eastAsia"/>
          <w:sz w:val="30"/>
          <w:szCs w:val="30"/>
        </w:rPr>
      </w:pPr>
      <w:r>
        <w:rPr>
          <w:rFonts w:hint="eastAsia"/>
          <w:sz w:val="30"/>
          <w:szCs w:val="30"/>
        </w:rPr>
        <w:t>在士师时代，以法莲（约瑟的儿子）与其他支派之间的紧张关系爆发了。</w:t>
      </w:r>
    </w:p>
    <w:p w14:paraId="223E89C2">
      <w:pPr>
        <w:pStyle w:val="9"/>
        <w:spacing w:before="11"/>
        <w:ind w:left="0"/>
        <w:jc w:val="left"/>
        <w:rPr>
          <w:rFonts w:hint="eastAsia"/>
          <w:sz w:val="30"/>
          <w:szCs w:val="30"/>
        </w:rPr>
      </w:pPr>
    </w:p>
    <w:p w14:paraId="7033FBF6">
      <w:pPr>
        <w:pStyle w:val="9"/>
        <w:spacing w:before="11"/>
        <w:ind w:left="0"/>
        <w:jc w:val="left"/>
        <w:rPr>
          <w:rFonts w:hint="eastAsia"/>
          <w:sz w:val="30"/>
          <w:szCs w:val="30"/>
        </w:rPr>
      </w:pPr>
      <w:r>
        <w:rPr>
          <w:rFonts w:hint="eastAsia"/>
          <w:sz w:val="30"/>
          <w:szCs w:val="30"/>
        </w:rPr>
        <w:t>Under David and Solomon, the nation was briefly united.</w:t>
      </w:r>
    </w:p>
    <w:p w14:paraId="3CE7FDDA">
      <w:pPr>
        <w:pStyle w:val="9"/>
        <w:spacing w:before="11"/>
        <w:ind w:left="0"/>
        <w:jc w:val="left"/>
        <w:rPr>
          <w:rFonts w:hint="eastAsia"/>
          <w:sz w:val="30"/>
          <w:szCs w:val="30"/>
        </w:rPr>
      </w:pPr>
      <w:r>
        <w:rPr>
          <w:rFonts w:hint="eastAsia"/>
          <w:sz w:val="30"/>
          <w:szCs w:val="30"/>
        </w:rPr>
        <w:t>在大卫和所罗门治下，国家曾短暂统一。</w:t>
      </w:r>
    </w:p>
    <w:p w14:paraId="44D71883">
      <w:pPr>
        <w:pStyle w:val="9"/>
        <w:spacing w:before="11"/>
        <w:ind w:left="0"/>
        <w:jc w:val="left"/>
        <w:rPr>
          <w:rFonts w:hint="eastAsia"/>
          <w:sz w:val="30"/>
          <w:szCs w:val="30"/>
        </w:rPr>
      </w:pPr>
    </w:p>
    <w:p w14:paraId="614785AA">
      <w:pPr>
        <w:pStyle w:val="9"/>
        <w:spacing w:before="11"/>
        <w:ind w:left="0"/>
        <w:jc w:val="left"/>
        <w:rPr>
          <w:rFonts w:hint="eastAsia"/>
          <w:sz w:val="30"/>
          <w:szCs w:val="30"/>
        </w:rPr>
      </w:pPr>
      <w:r>
        <w:rPr>
          <w:rFonts w:hint="eastAsia"/>
          <w:sz w:val="30"/>
          <w:szCs w:val="30"/>
        </w:rPr>
        <w:t>Soon, however, it was split up into the Northern and Southern Kingdoms—each with its own center(s) of worship—and remained divided until the deportation of the Northern Kingdom (Israel) at the hand of the Assyrians.</w:t>
      </w:r>
    </w:p>
    <w:p w14:paraId="41028132">
      <w:pPr>
        <w:pStyle w:val="9"/>
        <w:spacing w:before="11"/>
        <w:ind w:left="0"/>
        <w:jc w:val="left"/>
        <w:rPr>
          <w:rFonts w:hint="eastAsia"/>
          <w:sz w:val="30"/>
          <w:szCs w:val="30"/>
        </w:rPr>
      </w:pPr>
      <w:r>
        <w:rPr>
          <w:rFonts w:hint="eastAsia"/>
          <w:sz w:val="30"/>
          <w:szCs w:val="30"/>
        </w:rPr>
        <w:t>然而不久之后，它就分裂为南北两国——各有其敬拜中心——并一直分裂，直到北国（以色列）被亚述人掳去。</w:t>
      </w:r>
    </w:p>
    <w:p w14:paraId="2BF79A29">
      <w:pPr>
        <w:pStyle w:val="9"/>
        <w:spacing w:before="11"/>
        <w:ind w:left="0"/>
        <w:jc w:val="left"/>
        <w:rPr>
          <w:rFonts w:hint="eastAsia"/>
          <w:sz w:val="30"/>
          <w:szCs w:val="30"/>
        </w:rPr>
      </w:pPr>
    </w:p>
    <w:p w14:paraId="0BE08CB9">
      <w:pPr>
        <w:pStyle w:val="9"/>
        <w:spacing w:before="11"/>
        <w:ind w:left="0"/>
        <w:jc w:val="left"/>
        <w:rPr>
          <w:rFonts w:hint="eastAsia"/>
          <w:sz w:val="30"/>
          <w:szCs w:val="30"/>
        </w:rPr>
      </w:pPr>
      <w:r>
        <w:rPr>
          <w:rFonts w:hint="eastAsia"/>
          <w:sz w:val="30"/>
          <w:szCs w:val="30"/>
        </w:rPr>
        <w:t>No doubt many devout Jews of exilic times despaired of the twelve tribes ever being united again as one nation—and one Kingdom—under God.</w:t>
      </w:r>
    </w:p>
    <w:p w14:paraId="37814E0F">
      <w:pPr>
        <w:pStyle w:val="9"/>
        <w:spacing w:before="11"/>
        <w:ind w:left="0"/>
        <w:jc w:val="left"/>
        <w:rPr>
          <w:rFonts w:hint="eastAsia"/>
          <w:sz w:val="30"/>
          <w:szCs w:val="30"/>
        </w:rPr>
      </w:pPr>
      <w:r>
        <w:rPr>
          <w:rFonts w:hint="eastAsia"/>
          <w:sz w:val="30"/>
          <w:szCs w:val="30"/>
        </w:rPr>
        <w:t>毫无疑问，许多被掳时期的虔诚犹太人对于十二支派能否再次在神之下联合成一个民族——一个王国——感到绝望。</w:t>
      </w:r>
    </w:p>
    <w:p w14:paraId="7312B804">
      <w:pPr>
        <w:pStyle w:val="9"/>
        <w:spacing w:before="11"/>
        <w:ind w:left="0"/>
        <w:jc w:val="left"/>
        <w:rPr>
          <w:rFonts w:hint="eastAsia"/>
          <w:sz w:val="30"/>
          <w:szCs w:val="30"/>
        </w:rPr>
      </w:pPr>
    </w:p>
    <w:p w14:paraId="4601513F">
      <w:pPr>
        <w:pStyle w:val="9"/>
        <w:spacing w:before="11"/>
        <w:ind w:left="0"/>
        <w:jc w:val="left"/>
        <w:rPr>
          <w:rFonts w:hint="eastAsia"/>
          <w:sz w:val="30"/>
          <w:szCs w:val="30"/>
        </w:rPr>
      </w:pPr>
      <w:r>
        <w:rPr>
          <w:rFonts w:hint="eastAsia"/>
          <w:sz w:val="30"/>
          <w:szCs w:val="30"/>
        </w:rPr>
        <w:t>The Two Shall Become One</w:t>
      </w:r>
    </w:p>
    <w:p w14:paraId="14944B47">
      <w:pPr>
        <w:pStyle w:val="9"/>
        <w:spacing w:before="11"/>
        <w:ind w:left="0"/>
        <w:jc w:val="left"/>
        <w:rPr>
          <w:rFonts w:hint="eastAsia"/>
          <w:sz w:val="30"/>
          <w:szCs w:val="30"/>
        </w:rPr>
      </w:pPr>
      <w:r>
        <w:rPr>
          <w:rFonts w:hint="eastAsia"/>
          <w:sz w:val="30"/>
          <w:szCs w:val="30"/>
        </w:rPr>
        <w:t>二者必合为一</w:t>
      </w:r>
    </w:p>
    <w:p w14:paraId="1F532C66">
      <w:pPr>
        <w:pStyle w:val="9"/>
        <w:spacing w:before="11"/>
        <w:ind w:left="0"/>
        <w:jc w:val="left"/>
        <w:rPr>
          <w:rFonts w:hint="eastAsia"/>
          <w:sz w:val="30"/>
          <w:szCs w:val="30"/>
        </w:rPr>
      </w:pPr>
    </w:p>
    <w:p w14:paraId="515767FF">
      <w:pPr>
        <w:pStyle w:val="9"/>
        <w:spacing w:before="11"/>
        <w:ind w:left="0"/>
        <w:jc w:val="left"/>
        <w:rPr>
          <w:rFonts w:hint="eastAsia"/>
          <w:sz w:val="30"/>
          <w:szCs w:val="30"/>
        </w:rPr>
      </w:pPr>
      <w:r>
        <w:rPr>
          <w:rFonts w:hint="eastAsia"/>
          <w:sz w:val="30"/>
          <w:szCs w:val="30"/>
        </w:rPr>
        <w:t>This OTKP is God’s antidote to such despair.</w:t>
      </w:r>
    </w:p>
    <w:p w14:paraId="21061C27">
      <w:pPr>
        <w:pStyle w:val="9"/>
        <w:spacing w:before="11"/>
        <w:ind w:left="0"/>
        <w:jc w:val="left"/>
        <w:rPr>
          <w:rFonts w:hint="eastAsia"/>
          <w:sz w:val="30"/>
          <w:szCs w:val="30"/>
        </w:rPr>
      </w:pPr>
      <w:r>
        <w:rPr>
          <w:rFonts w:hint="eastAsia"/>
          <w:sz w:val="30"/>
          <w:szCs w:val="30"/>
        </w:rPr>
        <w:t>这个旧约国度预言是神针对这种绝望的解药。</w:t>
      </w:r>
    </w:p>
    <w:p w14:paraId="01E6330F">
      <w:pPr>
        <w:pStyle w:val="9"/>
        <w:spacing w:before="11"/>
        <w:ind w:left="0"/>
        <w:jc w:val="left"/>
        <w:rPr>
          <w:rFonts w:hint="eastAsia"/>
          <w:sz w:val="30"/>
          <w:szCs w:val="30"/>
        </w:rPr>
      </w:pPr>
    </w:p>
    <w:p w14:paraId="11FA83FB">
      <w:pPr>
        <w:pStyle w:val="9"/>
        <w:spacing w:before="11"/>
        <w:ind w:left="0"/>
        <w:jc w:val="left"/>
        <w:rPr>
          <w:rFonts w:hint="eastAsia"/>
          <w:sz w:val="30"/>
          <w:szCs w:val="30"/>
        </w:rPr>
      </w:pPr>
      <w:r>
        <w:rPr>
          <w:rFonts w:hint="eastAsia"/>
          <w:sz w:val="30"/>
          <w:szCs w:val="30"/>
        </w:rPr>
        <w:t>Here he promises that in the great restoration ahead he will forever reunite the Israel of God.</w:t>
      </w:r>
    </w:p>
    <w:p w14:paraId="2E6E37B8">
      <w:pPr>
        <w:pStyle w:val="9"/>
        <w:spacing w:before="11"/>
        <w:ind w:left="0"/>
        <w:jc w:val="left"/>
        <w:rPr>
          <w:rFonts w:hint="eastAsia"/>
          <w:sz w:val="30"/>
          <w:szCs w:val="30"/>
        </w:rPr>
      </w:pPr>
      <w:r>
        <w:rPr>
          <w:rFonts w:hint="eastAsia"/>
          <w:sz w:val="30"/>
          <w:szCs w:val="30"/>
        </w:rPr>
        <w:t>在这里，祂应许在未来的大复兴中，祂将永远使神的以色列重新联合。</w:t>
      </w:r>
    </w:p>
    <w:p w14:paraId="2DEA07CC">
      <w:pPr>
        <w:pStyle w:val="9"/>
        <w:spacing w:before="11"/>
        <w:ind w:left="0"/>
        <w:jc w:val="left"/>
        <w:rPr>
          <w:rFonts w:hint="eastAsia"/>
          <w:sz w:val="30"/>
          <w:szCs w:val="30"/>
        </w:rPr>
      </w:pPr>
    </w:p>
    <w:p w14:paraId="25F826E5">
      <w:pPr>
        <w:pStyle w:val="9"/>
        <w:spacing w:before="11"/>
        <w:ind w:left="0"/>
        <w:jc w:val="left"/>
        <w:rPr>
          <w:rFonts w:hint="eastAsia"/>
          <w:sz w:val="30"/>
          <w:szCs w:val="30"/>
        </w:rPr>
      </w:pPr>
      <w:r>
        <w:rPr>
          <w:rFonts w:hint="eastAsia"/>
          <w:sz w:val="30"/>
          <w:szCs w:val="30"/>
        </w:rPr>
        <w:t>In particular, the “stick” of Joseph and the “stick” of Judah will become one stick in his hand (vv. 15-19).</w:t>
      </w:r>
    </w:p>
    <w:p w14:paraId="49297B73">
      <w:pPr>
        <w:pStyle w:val="9"/>
        <w:spacing w:before="11"/>
        <w:ind w:left="0"/>
        <w:jc w:val="left"/>
        <w:rPr>
          <w:rFonts w:hint="eastAsia"/>
          <w:sz w:val="30"/>
          <w:szCs w:val="30"/>
        </w:rPr>
      </w:pPr>
      <w:r>
        <w:rPr>
          <w:rFonts w:hint="eastAsia"/>
          <w:sz w:val="30"/>
          <w:szCs w:val="30"/>
        </w:rPr>
        <w:t>特别是，约瑟的“杖”和犹大的“杖”将在祂手中成为一根杖（15-19节）。</w:t>
      </w:r>
    </w:p>
    <w:p w14:paraId="1EFE29D1">
      <w:pPr>
        <w:pStyle w:val="9"/>
        <w:spacing w:before="11"/>
        <w:ind w:left="0"/>
        <w:jc w:val="left"/>
        <w:rPr>
          <w:rFonts w:hint="eastAsia"/>
          <w:sz w:val="30"/>
          <w:szCs w:val="30"/>
        </w:rPr>
      </w:pPr>
    </w:p>
    <w:p w14:paraId="511E5029">
      <w:pPr>
        <w:pStyle w:val="9"/>
        <w:spacing w:before="11"/>
        <w:ind w:left="0"/>
        <w:jc w:val="left"/>
        <w:rPr>
          <w:rFonts w:hint="eastAsia"/>
          <w:sz w:val="30"/>
          <w:szCs w:val="30"/>
        </w:rPr>
      </w:pPr>
      <w:r>
        <w:rPr>
          <w:rFonts w:hint="eastAsia"/>
          <w:sz w:val="30"/>
          <w:szCs w:val="30"/>
        </w:rPr>
        <w:t>How will this come to pass?</w:t>
      </w:r>
    </w:p>
    <w:p w14:paraId="281FF003">
      <w:pPr>
        <w:pStyle w:val="9"/>
        <w:spacing w:before="11"/>
        <w:ind w:left="0"/>
        <w:jc w:val="left"/>
        <w:rPr>
          <w:rFonts w:hint="eastAsia"/>
          <w:sz w:val="30"/>
          <w:szCs w:val="30"/>
        </w:rPr>
      </w:pPr>
      <w:r>
        <w:rPr>
          <w:rFonts w:hint="eastAsia"/>
          <w:sz w:val="30"/>
          <w:szCs w:val="30"/>
        </w:rPr>
        <w:t>这将如何实现？</w:t>
      </w:r>
    </w:p>
    <w:p w14:paraId="0119A2A3">
      <w:pPr>
        <w:pStyle w:val="9"/>
        <w:spacing w:before="11"/>
        <w:ind w:left="0"/>
        <w:jc w:val="left"/>
        <w:rPr>
          <w:rFonts w:hint="eastAsia"/>
          <w:sz w:val="30"/>
          <w:szCs w:val="30"/>
        </w:rPr>
      </w:pPr>
    </w:p>
    <w:p w14:paraId="1155188D">
      <w:pPr>
        <w:pStyle w:val="9"/>
        <w:spacing w:before="11"/>
        <w:ind w:left="0"/>
        <w:jc w:val="left"/>
        <w:rPr>
          <w:rFonts w:hint="eastAsia"/>
          <w:sz w:val="30"/>
          <w:szCs w:val="30"/>
        </w:rPr>
      </w:pPr>
      <w:r>
        <w:rPr>
          <w:rFonts w:hint="eastAsia"/>
          <w:sz w:val="30"/>
          <w:szCs w:val="30"/>
        </w:rPr>
        <w:t>God answers fulsomely: There will be one regathering “from every side” (v. 21); one deliverance from “all the dwelling places where they sinned” (v. 23); one cleansing from idolatry and transgression (v. 23); one new nation, planted in their eternal homeland (vv. 22, 25); one new Shepherd-King whom Israel will continually serve (vv. 22, 24); one New Covenant, under which Israel will ever live (vv. 24, 26); and one (new) sanctuary “in their midst” where the God of the Eternal Covenant will ever dwell (vv. 27-28).</w:t>
      </w:r>
    </w:p>
    <w:p w14:paraId="45D5ECA2">
      <w:pPr>
        <w:pStyle w:val="9"/>
        <w:spacing w:before="11"/>
        <w:ind w:left="0"/>
        <w:jc w:val="left"/>
        <w:rPr>
          <w:rFonts w:hint="eastAsia"/>
          <w:sz w:val="30"/>
          <w:szCs w:val="30"/>
        </w:rPr>
      </w:pPr>
      <w:r>
        <w:rPr>
          <w:rFonts w:hint="eastAsia"/>
          <w:sz w:val="30"/>
          <w:szCs w:val="30"/>
        </w:rPr>
        <w:t>神详尽地回答了：将有一次“从四围”的重新聚集（21节）；一次从“他们犯罪所住的一切地方”的拯救（23节）；一次从偶像崇拜和过犯中的洁净（23节）；一个被栽于他们永恒家园的新国度（22, 25节）；一位以色列将永远事奉的新牧者君王（22, 24节）；一个以色列将永远生活于其下的新约（24, 26节）；以及一个“在他们中间”的（新）圣所，永约的神将永远居住其中（27-28节）。</w:t>
      </w:r>
    </w:p>
    <w:p w14:paraId="4353E9B0">
      <w:pPr>
        <w:pStyle w:val="9"/>
        <w:spacing w:before="11"/>
        <w:ind w:left="0"/>
        <w:jc w:val="left"/>
        <w:rPr>
          <w:rFonts w:hint="eastAsia"/>
          <w:sz w:val="30"/>
          <w:szCs w:val="30"/>
        </w:rPr>
      </w:pPr>
    </w:p>
    <w:p w14:paraId="206E82EE">
      <w:pPr>
        <w:pStyle w:val="9"/>
        <w:spacing w:before="11"/>
        <w:ind w:left="0"/>
        <w:jc w:val="left"/>
        <w:rPr>
          <w:rFonts w:hint="eastAsia"/>
          <w:sz w:val="30"/>
          <w:szCs w:val="30"/>
        </w:rPr>
      </w:pPr>
      <w:r>
        <w:rPr>
          <w:rFonts w:hint="eastAsia"/>
          <w:sz w:val="30"/>
          <w:szCs w:val="30"/>
        </w:rPr>
        <w:t>Seeing all this come to pass, the surrounding nations will know that the LORD is God, and that he himself has done it (v. 28).</w:t>
      </w:r>
    </w:p>
    <w:p w14:paraId="48183C73">
      <w:pPr>
        <w:pStyle w:val="9"/>
        <w:spacing w:before="11"/>
        <w:ind w:left="0"/>
        <w:jc w:val="left"/>
        <w:rPr>
          <w:rFonts w:hint="eastAsia"/>
          <w:sz w:val="30"/>
          <w:szCs w:val="30"/>
        </w:rPr>
      </w:pPr>
      <w:r>
        <w:rPr>
          <w:rFonts w:hint="eastAsia"/>
          <w:sz w:val="30"/>
          <w:szCs w:val="30"/>
        </w:rPr>
        <w:t>看到这一切发生，周围的列国就会知道主是神，并且是祂亲自成就了这事（28节）。</w:t>
      </w:r>
    </w:p>
    <w:p w14:paraId="77A2A813">
      <w:pPr>
        <w:pStyle w:val="9"/>
        <w:spacing w:before="11"/>
        <w:ind w:left="0"/>
        <w:jc w:val="left"/>
        <w:rPr>
          <w:rFonts w:hint="eastAsia"/>
          <w:sz w:val="30"/>
          <w:szCs w:val="30"/>
        </w:rPr>
      </w:pPr>
    </w:p>
    <w:p w14:paraId="4837EC4B">
      <w:pPr>
        <w:pStyle w:val="9"/>
        <w:spacing w:before="11"/>
        <w:ind w:left="0"/>
        <w:jc w:val="left"/>
        <w:rPr>
          <w:rFonts w:hint="eastAsia"/>
          <w:sz w:val="30"/>
          <w:szCs w:val="30"/>
        </w:rPr>
      </w:pPr>
      <w:r>
        <w:rPr>
          <w:rFonts w:hint="eastAsia"/>
          <w:sz w:val="30"/>
          <w:szCs w:val="30"/>
        </w:rPr>
        <w:t>Of Whom Does the Prophet Speak?</w:t>
      </w:r>
    </w:p>
    <w:p w14:paraId="62CBE49B">
      <w:pPr>
        <w:pStyle w:val="9"/>
        <w:spacing w:before="11"/>
        <w:ind w:left="0"/>
        <w:jc w:val="left"/>
        <w:rPr>
          <w:rFonts w:hint="eastAsia"/>
          <w:sz w:val="30"/>
          <w:szCs w:val="30"/>
        </w:rPr>
      </w:pPr>
      <w:r>
        <w:rPr>
          <w:rFonts w:hint="eastAsia"/>
          <w:sz w:val="30"/>
          <w:szCs w:val="30"/>
        </w:rPr>
        <w:t>先知说的是谁呢？</w:t>
      </w:r>
    </w:p>
    <w:p w14:paraId="56064412">
      <w:pPr>
        <w:pStyle w:val="9"/>
        <w:spacing w:before="11"/>
        <w:ind w:left="0"/>
        <w:jc w:val="left"/>
        <w:rPr>
          <w:rFonts w:hint="eastAsia"/>
          <w:sz w:val="30"/>
          <w:szCs w:val="30"/>
        </w:rPr>
      </w:pPr>
    </w:p>
    <w:p w14:paraId="7910A4CB">
      <w:pPr>
        <w:pStyle w:val="9"/>
        <w:spacing w:before="11"/>
        <w:ind w:left="0"/>
        <w:jc w:val="left"/>
        <w:rPr>
          <w:rFonts w:hint="eastAsia"/>
          <w:sz w:val="30"/>
          <w:szCs w:val="30"/>
        </w:rPr>
      </w:pPr>
      <w:r>
        <w:rPr>
          <w:rFonts w:hint="eastAsia"/>
          <w:sz w:val="30"/>
          <w:szCs w:val="30"/>
        </w:rPr>
        <w:t>Christian interpreters ruled by the NCH thrill to read this beautiful OTKP, seeing here a “mysterious” picture of the ingathering and upbuilding of Christ’s New Covenant people—the Church—throughout the entire Era of Proclamation.</w:t>
      </w:r>
    </w:p>
    <w:p w14:paraId="02235039">
      <w:pPr>
        <w:pStyle w:val="9"/>
        <w:spacing w:before="11"/>
        <w:ind w:left="0"/>
        <w:jc w:val="left"/>
        <w:rPr>
          <w:rFonts w:hint="eastAsia"/>
          <w:sz w:val="30"/>
          <w:szCs w:val="30"/>
        </w:rPr>
      </w:pPr>
      <w:r>
        <w:rPr>
          <w:rFonts w:hint="eastAsia"/>
          <w:sz w:val="30"/>
          <w:szCs w:val="30"/>
        </w:rPr>
        <w:t>遵循新约圣经解释法（NCH）的基督教释经家们在读到这个美丽的旧约国度预言时会感到激动，他们在这里看到了一个“奥秘的”画面，即在整个宣讲时代中，基督的新约子民——教会——的聚集和建立。</w:t>
      </w:r>
    </w:p>
    <w:p w14:paraId="22A83278">
      <w:pPr>
        <w:pStyle w:val="9"/>
        <w:spacing w:before="11"/>
        <w:ind w:left="0"/>
        <w:jc w:val="left"/>
        <w:rPr>
          <w:rFonts w:hint="eastAsia"/>
          <w:sz w:val="30"/>
          <w:szCs w:val="30"/>
        </w:rPr>
      </w:pPr>
    </w:p>
    <w:p w14:paraId="63A9A671">
      <w:pPr>
        <w:pStyle w:val="9"/>
        <w:spacing w:before="11"/>
        <w:ind w:left="0"/>
        <w:jc w:val="left"/>
        <w:rPr>
          <w:rFonts w:hint="eastAsia"/>
          <w:sz w:val="30"/>
          <w:szCs w:val="30"/>
        </w:rPr>
      </w:pPr>
      <w:r>
        <w:rPr>
          <w:rFonts w:hint="eastAsia"/>
          <w:sz w:val="30"/>
          <w:szCs w:val="30"/>
        </w:rPr>
        <w:t>They themselves are the new sanctuary in which God is pleased to dwell (Eph. 2:20, Rev. 21:3).</w:t>
      </w:r>
    </w:p>
    <w:p w14:paraId="401FA7CA">
      <w:pPr>
        <w:pStyle w:val="9"/>
        <w:spacing w:before="11"/>
        <w:ind w:left="0"/>
        <w:jc w:val="left"/>
        <w:rPr>
          <w:rFonts w:hint="eastAsia"/>
          <w:sz w:val="30"/>
          <w:szCs w:val="30"/>
        </w:rPr>
      </w:pPr>
      <w:r>
        <w:rPr>
          <w:rFonts w:hint="eastAsia"/>
          <w:sz w:val="30"/>
          <w:szCs w:val="30"/>
        </w:rPr>
        <w:t>他们自己就是神乐意居住的新圣所（以弗所书2:20，启示录21:3）。</w:t>
      </w:r>
    </w:p>
    <w:p w14:paraId="0EC7BF92">
      <w:pPr>
        <w:pStyle w:val="9"/>
        <w:spacing w:before="11"/>
        <w:ind w:left="0"/>
        <w:jc w:val="left"/>
        <w:rPr>
          <w:rFonts w:hint="eastAsia"/>
          <w:sz w:val="30"/>
          <w:szCs w:val="30"/>
        </w:rPr>
      </w:pPr>
    </w:p>
    <w:p w14:paraId="6E8CEE7A">
      <w:pPr>
        <w:pStyle w:val="9"/>
        <w:spacing w:before="11"/>
        <w:ind w:left="0"/>
        <w:jc w:val="left"/>
        <w:rPr>
          <w:rFonts w:hint="eastAsia"/>
          <w:sz w:val="30"/>
          <w:szCs w:val="30"/>
        </w:rPr>
      </w:pPr>
      <w:r>
        <w:rPr>
          <w:rFonts w:hint="eastAsia"/>
          <w:sz w:val="30"/>
          <w:szCs w:val="30"/>
        </w:rPr>
        <w:t>Heaven itself is the new “land” and the high “mountain” upon which they are privileged to live, even as they await the return of their Shepherd-King to pasture them once for all in the World to Come (vv. 21-22; Eph. 1:20, 2:6, Heb. 12:22).</w:t>
      </w:r>
    </w:p>
    <w:p w14:paraId="217158AC">
      <w:pPr>
        <w:pStyle w:val="9"/>
        <w:spacing w:before="11"/>
        <w:ind w:left="0"/>
        <w:jc w:val="left"/>
        <w:rPr>
          <w:rFonts w:hint="eastAsia"/>
          <w:sz w:val="30"/>
          <w:szCs w:val="30"/>
        </w:rPr>
      </w:pPr>
      <w:r>
        <w:rPr>
          <w:rFonts w:hint="eastAsia"/>
          <w:sz w:val="30"/>
          <w:szCs w:val="30"/>
        </w:rPr>
        <w:t>天国本身就是新的“土地”和高“山”，他们有特权居住其上，同时等待他们的牧者君王再来，在将来的世界里永远牧养他们（21-22节；以弗所书1:20, 2:6, 希伯来书12:22）。</w:t>
      </w:r>
    </w:p>
    <w:p w14:paraId="4A97CB18">
      <w:pPr>
        <w:pStyle w:val="9"/>
        <w:spacing w:before="11"/>
        <w:ind w:left="0"/>
        <w:jc w:val="left"/>
        <w:rPr>
          <w:rFonts w:hint="eastAsia"/>
          <w:sz w:val="30"/>
          <w:szCs w:val="30"/>
        </w:rPr>
      </w:pPr>
    </w:p>
    <w:p w14:paraId="684DF172">
      <w:pPr>
        <w:pStyle w:val="9"/>
        <w:spacing w:before="11"/>
        <w:ind w:left="0"/>
        <w:jc w:val="left"/>
        <w:rPr>
          <w:rFonts w:hint="eastAsia"/>
          <w:sz w:val="30"/>
          <w:szCs w:val="30"/>
        </w:rPr>
      </w:pPr>
      <w:r>
        <w:rPr>
          <w:rFonts w:hint="eastAsia"/>
          <w:sz w:val="30"/>
          <w:szCs w:val="30"/>
        </w:rPr>
        <w:t>“This prophecy,” says Whitby, “can never be fulfilled except by the ingathering of God’s spiritual Israel into their permanent inheritance, the Christian Church and the heavenly Canaan.”2</w:t>
      </w:r>
    </w:p>
    <w:p w14:paraId="3DAB8C01">
      <w:pPr>
        <w:pStyle w:val="9"/>
        <w:spacing w:before="11"/>
        <w:ind w:left="0"/>
        <w:jc w:val="left"/>
        <w:rPr>
          <w:rFonts w:hint="eastAsia"/>
          <w:sz w:val="30"/>
          <w:szCs w:val="30"/>
        </w:rPr>
      </w:pPr>
      <w:r>
        <w:rPr>
          <w:rFonts w:hint="eastAsia"/>
          <w:sz w:val="30"/>
          <w:szCs w:val="30"/>
        </w:rPr>
        <w:t>惠特比（Whitby）说：“这个预言，除非藉着神的属灵以色列被聚集到他们永久的产业，即基督教会和属天的迦南中，否则永远无法应验。”2</w:t>
      </w:r>
    </w:p>
    <w:p w14:paraId="75D07161">
      <w:pPr>
        <w:pStyle w:val="9"/>
        <w:spacing w:before="11"/>
        <w:ind w:left="0"/>
        <w:jc w:val="left"/>
        <w:rPr>
          <w:rFonts w:hint="eastAsia"/>
          <w:sz w:val="30"/>
          <w:szCs w:val="30"/>
        </w:rPr>
      </w:pPr>
    </w:p>
    <w:p w14:paraId="3EC18078">
      <w:pPr>
        <w:pStyle w:val="9"/>
        <w:spacing w:before="11"/>
        <w:ind w:left="0"/>
        <w:jc w:val="left"/>
        <w:rPr>
          <w:rFonts w:hint="eastAsia"/>
          <w:sz w:val="30"/>
          <w:szCs w:val="30"/>
        </w:rPr>
      </w:pPr>
      <w:r>
        <w:rPr>
          <w:rFonts w:hint="eastAsia"/>
          <w:sz w:val="30"/>
          <w:szCs w:val="30"/>
        </w:rPr>
        <w:t>“The territory of blessing,” says another commentator, “is no longer Canaan, but the region of which Christ is King and Lord.”3</w:t>
      </w:r>
    </w:p>
    <w:p w14:paraId="5515E157">
      <w:pPr>
        <w:pStyle w:val="9"/>
        <w:spacing w:before="11"/>
        <w:ind w:left="0"/>
        <w:jc w:val="left"/>
        <w:rPr>
          <w:rFonts w:hint="eastAsia"/>
          <w:sz w:val="30"/>
          <w:szCs w:val="30"/>
        </w:rPr>
      </w:pPr>
      <w:r>
        <w:rPr>
          <w:rFonts w:hint="eastAsia"/>
          <w:sz w:val="30"/>
          <w:szCs w:val="30"/>
        </w:rPr>
        <w:t>另一位注释家说：“蒙福的领地不再是迦南，而是基督为其君王和主的领域。”3</w:t>
      </w:r>
    </w:p>
    <w:p w14:paraId="00215398">
      <w:pPr>
        <w:pStyle w:val="9"/>
        <w:spacing w:before="11"/>
        <w:ind w:left="0"/>
        <w:jc w:val="left"/>
        <w:rPr>
          <w:rFonts w:hint="eastAsia"/>
          <w:sz w:val="30"/>
          <w:szCs w:val="30"/>
        </w:rPr>
      </w:pPr>
    </w:p>
    <w:p w14:paraId="2D0749A6">
      <w:pPr>
        <w:pStyle w:val="9"/>
        <w:spacing w:before="11"/>
        <w:ind w:left="0"/>
        <w:jc w:val="left"/>
        <w:rPr>
          <w:rFonts w:hint="eastAsia"/>
          <w:sz w:val="30"/>
          <w:szCs w:val="30"/>
        </w:rPr>
      </w:pPr>
      <w:r>
        <w:rPr>
          <w:rFonts w:hint="eastAsia"/>
          <w:sz w:val="30"/>
          <w:szCs w:val="30"/>
        </w:rPr>
        <w:t>Judah, Joseph, and Ephraim</w:t>
      </w:r>
    </w:p>
    <w:p w14:paraId="3ED6A016">
      <w:pPr>
        <w:pStyle w:val="9"/>
        <w:spacing w:before="11"/>
        <w:ind w:left="0"/>
        <w:jc w:val="left"/>
        <w:rPr>
          <w:rFonts w:hint="eastAsia"/>
          <w:sz w:val="30"/>
          <w:szCs w:val="30"/>
        </w:rPr>
      </w:pPr>
      <w:r>
        <w:rPr>
          <w:rFonts w:hint="eastAsia"/>
          <w:sz w:val="30"/>
          <w:szCs w:val="30"/>
        </w:rPr>
        <w:t>犹大、约瑟和以法莲</w:t>
      </w:r>
    </w:p>
    <w:p w14:paraId="53C25824">
      <w:pPr>
        <w:pStyle w:val="9"/>
        <w:spacing w:before="11"/>
        <w:ind w:left="0"/>
        <w:jc w:val="left"/>
        <w:rPr>
          <w:rFonts w:hint="eastAsia"/>
          <w:sz w:val="30"/>
          <w:szCs w:val="30"/>
        </w:rPr>
      </w:pPr>
    </w:p>
    <w:p w14:paraId="19BD2FCA">
      <w:pPr>
        <w:pStyle w:val="9"/>
        <w:spacing w:before="11"/>
        <w:ind w:left="0"/>
        <w:jc w:val="left"/>
        <w:rPr>
          <w:rFonts w:hint="eastAsia"/>
          <w:sz w:val="30"/>
          <w:szCs w:val="30"/>
        </w:rPr>
      </w:pPr>
      <w:r>
        <w:rPr>
          <w:rFonts w:hint="eastAsia"/>
          <w:sz w:val="30"/>
          <w:szCs w:val="30"/>
        </w:rPr>
        <w:t>We must, however, wrestle with the specific references to Judah, Joseph, Ephraim, and their respective companions, the factious tribes of the house of Israel (vv. 15-20).</w:t>
      </w:r>
    </w:p>
    <w:p w14:paraId="5F7A2882">
      <w:pPr>
        <w:pStyle w:val="9"/>
        <w:spacing w:before="11"/>
        <w:ind w:left="0"/>
        <w:jc w:val="left"/>
        <w:rPr>
          <w:rFonts w:hint="eastAsia"/>
          <w:sz w:val="30"/>
          <w:szCs w:val="30"/>
        </w:rPr>
      </w:pPr>
      <w:r>
        <w:rPr>
          <w:rFonts w:hint="eastAsia"/>
          <w:sz w:val="30"/>
          <w:szCs w:val="30"/>
        </w:rPr>
        <w:t>然而，我们必须努力处理对犹大、约瑟、以法莲及其各自同伴，即以色列家结党的支派的具体指涉（15-20节）。</w:t>
      </w:r>
    </w:p>
    <w:p w14:paraId="6AB57DA7">
      <w:pPr>
        <w:pStyle w:val="9"/>
        <w:spacing w:before="11"/>
        <w:ind w:left="0"/>
        <w:jc w:val="left"/>
        <w:rPr>
          <w:rFonts w:hint="eastAsia"/>
          <w:sz w:val="30"/>
          <w:szCs w:val="30"/>
        </w:rPr>
      </w:pPr>
    </w:p>
    <w:p w14:paraId="7FFC577D">
      <w:pPr>
        <w:pStyle w:val="9"/>
        <w:spacing w:before="11"/>
        <w:ind w:left="0"/>
        <w:jc w:val="left"/>
        <w:rPr>
          <w:rFonts w:hint="eastAsia"/>
          <w:sz w:val="30"/>
          <w:szCs w:val="30"/>
        </w:rPr>
      </w:pPr>
      <w:r>
        <w:rPr>
          <w:rFonts w:hint="eastAsia"/>
          <w:sz w:val="30"/>
          <w:szCs w:val="30"/>
        </w:rPr>
        <w:t>Does not such language—so deeply rooted in the history of ethnic Israel—oblige us to conclude that the subjects of this prophecy are indeed literal ethnic Jews, and that the fulfillment of the rest of the prophecy must also be literal, just as our premillennarian brethren insist?</w:t>
      </w:r>
    </w:p>
    <w:p w14:paraId="5BAE4C5E">
      <w:pPr>
        <w:pStyle w:val="9"/>
        <w:spacing w:before="11"/>
        <w:ind w:left="0"/>
        <w:jc w:val="left"/>
        <w:rPr>
          <w:rFonts w:hint="eastAsia"/>
          <w:sz w:val="30"/>
          <w:szCs w:val="30"/>
        </w:rPr>
      </w:pPr>
      <w:r>
        <w:rPr>
          <w:rFonts w:hint="eastAsia"/>
          <w:sz w:val="30"/>
          <w:szCs w:val="30"/>
        </w:rPr>
        <w:t>这种如此深植于以色列民族历史的语言，难道不迫使我们得出结论，即这个预言的主体确实是字面意义上的犹太民族，并且预言其余部分的应验也必须是字面意义上的，正如我们的前千禧年派弟兄所坚持的那样吗？</w:t>
      </w:r>
    </w:p>
    <w:p w14:paraId="73B9819F">
      <w:pPr>
        <w:pStyle w:val="9"/>
        <w:spacing w:before="11"/>
        <w:ind w:left="0"/>
        <w:jc w:val="left"/>
        <w:rPr>
          <w:rFonts w:hint="eastAsia"/>
          <w:sz w:val="30"/>
          <w:szCs w:val="30"/>
        </w:rPr>
      </w:pPr>
    </w:p>
    <w:p w14:paraId="753463AC">
      <w:pPr>
        <w:pStyle w:val="9"/>
        <w:spacing w:before="11"/>
        <w:ind w:left="0"/>
        <w:jc w:val="left"/>
        <w:rPr>
          <w:rFonts w:hint="eastAsia"/>
          <w:sz w:val="30"/>
          <w:szCs w:val="30"/>
        </w:rPr>
      </w:pPr>
      <w:r>
        <w:rPr>
          <w:rFonts w:hint="eastAsia"/>
          <w:sz w:val="30"/>
          <w:szCs w:val="30"/>
        </w:rPr>
        <w:t>My answer is threefold.</w:t>
      </w:r>
    </w:p>
    <w:p w14:paraId="39B69DD9">
      <w:pPr>
        <w:pStyle w:val="9"/>
        <w:spacing w:before="11"/>
        <w:ind w:left="0"/>
        <w:jc w:val="left"/>
        <w:rPr>
          <w:rFonts w:hint="eastAsia"/>
          <w:sz w:val="30"/>
          <w:szCs w:val="30"/>
        </w:rPr>
      </w:pPr>
      <w:r>
        <w:rPr>
          <w:rFonts w:hint="eastAsia"/>
          <w:sz w:val="30"/>
          <w:szCs w:val="30"/>
        </w:rPr>
        <w:t>我的答案有三方面。</w:t>
      </w:r>
    </w:p>
    <w:p w14:paraId="7B19C5A5">
      <w:pPr>
        <w:pStyle w:val="9"/>
        <w:spacing w:before="11"/>
        <w:ind w:left="0"/>
        <w:jc w:val="left"/>
        <w:rPr>
          <w:rFonts w:hint="eastAsia"/>
          <w:sz w:val="30"/>
          <w:szCs w:val="30"/>
        </w:rPr>
      </w:pPr>
    </w:p>
    <w:p w14:paraId="3B9FE1C6">
      <w:pPr>
        <w:pStyle w:val="9"/>
        <w:spacing w:before="11"/>
        <w:ind w:left="0"/>
        <w:jc w:val="left"/>
        <w:rPr>
          <w:rFonts w:hint="eastAsia"/>
          <w:sz w:val="30"/>
          <w:szCs w:val="30"/>
        </w:rPr>
      </w:pPr>
      <w:r>
        <w:rPr>
          <w:rFonts w:hint="eastAsia"/>
          <w:sz w:val="30"/>
          <w:szCs w:val="30"/>
        </w:rPr>
        <w:t>First, the premillennial interpretation is impossible, since the prophecy itself repeatedly affirms that the conditions here envisioned will last forever (vv. 22, 23, 25, 26, 28).</w:t>
      </w:r>
    </w:p>
    <w:p w14:paraId="4966190F">
      <w:pPr>
        <w:pStyle w:val="9"/>
        <w:spacing w:before="11"/>
        <w:ind w:left="0"/>
        <w:jc w:val="left"/>
        <w:rPr>
          <w:rFonts w:hint="eastAsia"/>
          <w:sz w:val="30"/>
          <w:szCs w:val="30"/>
        </w:rPr>
      </w:pPr>
      <w:r>
        <w:rPr>
          <w:rFonts w:hint="eastAsia"/>
          <w:sz w:val="30"/>
          <w:szCs w:val="30"/>
        </w:rPr>
        <w:t>首先，前千禧年派的解释是不可能的，因为预言本身反复申明这里所设想的状况将永远持续（22, 23, 25, 26, 28节）。</w:t>
      </w:r>
    </w:p>
    <w:p w14:paraId="69CE7909">
      <w:pPr>
        <w:pStyle w:val="9"/>
        <w:spacing w:before="11"/>
        <w:ind w:left="0"/>
        <w:jc w:val="left"/>
        <w:rPr>
          <w:rFonts w:hint="eastAsia"/>
          <w:sz w:val="30"/>
          <w:szCs w:val="30"/>
        </w:rPr>
      </w:pPr>
    </w:p>
    <w:p w14:paraId="21252E7B">
      <w:pPr>
        <w:pStyle w:val="9"/>
        <w:spacing w:before="11"/>
        <w:ind w:left="0"/>
        <w:jc w:val="left"/>
        <w:rPr>
          <w:rFonts w:hint="eastAsia"/>
          <w:sz w:val="30"/>
          <w:szCs w:val="30"/>
        </w:rPr>
      </w:pPr>
      <w:r>
        <w:rPr>
          <w:rFonts w:hint="eastAsia"/>
          <w:sz w:val="30"/>
          <w:szCs w:val="30"/>
        </w:rPr>
        <w:t>This is no millennium, but the eternal Kingdom of the “the Israel of God.”</w:t>
      </w:r>
    </w:p>
    <w:p w14:paraId="25CA18DB">
      <w:pPr>
        <w:pStyle w:val="9"/>
        <w:spacing w:before="11"/>
        <w:ind w:left="0"/>
        <w:jc w:val="left"/>
        <w:rPr>
          <w:rFonts w:hint="eastAsia"/>
          <w:sz w:val="30"/>
          <w:szCs w:val="30"/>
        </w:rPr>
      </w:pPr>
      <w:r>
        <w:rPr>
          <w:rFonts w:hint="eastAsia"/>
          <w:sz w:val="30"/>
          <w:szCs w:val="30"/>
        </w:rPr>
        <w:t>这不是一个千禧年，而是“神的以色列”的永恒国度。</w:t>
      </w:r>
    </w:p>
    <w:p w14:paraId="0286A32B">
      <w:pPr>
        <w:pStyle w:val="9"/>
        <w:spacing w:before="11"/>
        <w:ind w:left="0"/>
        <w:jc w:val="left"/>
        <w:rPr>
          <w:rFonts w:hint="eastAsia"/>
          <w:sz w:val="30"/>
          <w:szCs w:val="30"/>
        </w:rPr>
      </w:pPr>
    </w:p>
    <w:p w14:paraId="22D362F7">
      <w:pPr>
        <w:pStyle w:val="9"/>
        <w:spacing w:before="11"/>
        <w:ind w:left="0"/>
        <w:jc w:val="left"/>
        <w:rPr>
          <w:rFonts w:hint="eastAsia"/>
          <w:sz w:val="30"/>
          <w:szCs w:val="30"/>
        </w:rPr>
      </w:pPr>
      <w:r>
        <w:rPr>
          <w:rFonts w:hint="eastAsia"/>
          <w:sz w:val="30"/>
          <w:szCs w:val="30"/>
        </w:rPr>
        <w:t>True, the emphasis here is upon the first stage of the Kingdom, the Era of Proclamation.</w:t>
      </w:r>
    </w:p>
    <w:p w14:paraId="5C4367ED">
      <w:pPr>
        <w:pStyle w:val="9"/>
        <w:spacing w:before="11"/>
        <w:ind w:left="0"/>
        <w:jc w:val="left"/>
        <w:rPr>
          <w:rFonts w:hint="eastAsia"/>
          <w:sz w:val="30"/>
          <w:szCs w:val="30"/>
        </w:rPr>
      </w:pPr>
      <w:r>
        <w:rPr>
          <w:rFonts w:hint="eastAsia"/>
          <w:sz w:val="30"/>
          <w:szCs w:val="30"/>
        </w:rPr>
        <w:t>的确，这里的重点在于国度的第一阶段，即宣讲时代。</w:t>
      </w:r>
    </w:p>
    <w:p w14:paraId="65062322">
      <w:pPr>
        <w:pStyle w:val="9"/>
        <w:spacing w:before="11"/>
        <w:ind w:left="0"/>
        <w:jc w:val="left"/>
        <w:rPr>
          <w:rFonts w:hint="eastAsia"/>
          <w:sz w:val="30"/>
          <w:szCs w:val="30"/>
        </w:rPr>
      </w:pPr>
    </w:p>
    <w:p w14:paraId="15A32D22">
      <w:pPr>
        <w:pStyle w:val="9"/>
        <w:spacing w:before="11"/>
        <w:ind w:left="0"/>
        <w:jc w:val="left"/>
        <w:rPr>
          <w:rFonts w:hint="eastAsia"/>
          <w:sz w:val="30"/>
          <w:szCs w:val="30"/>
        </w:rPr>
      </w:pPr>
      <w:r>
        <w:rPr>
          <w:rFonts w:hint="eastAsia"/>
          <w:sz w:val="30"/>
          <w:szCs w:val="30"/>
        </w:rPr>
        <w:t>But as we saw earlier, both stages of the Kingdom share a common essence; both are part of a single redemptive sphere of rescue and restoration in Christ.</w:t>
      </w:r>
    </w:p>
    <w:p w14:paraId="382A74CF">
      <w:pPr>
        <w:pStyle w:val="9"/>
        <w:spacing w:before="11"/>
        <w:ind w:left="0"/>
        <w:jc w:val="left"/>
        <w:rPr>
          <w:rFonts w:hint="eastAsia"/>
          <w:sz w:val="30"/>
          <w:szCs w:val="30"/>
        </w:rPr>
      </w:pPr>
      <w:r>
        <w:rPr>
          <w:rFonts w:hint="eastAsia"/>
          <w:sz w:val="30"/>
          <w:szCs w:val="30"/>
        </w:rPr>
        <w:t>但正如我们前面所看到的，国度的两个阶段共享一个共同的本质；两者都是在基督里一个单一的、救赎性的拯救与复兴领域的一部分。</w:t>
      </w:r>
    </w:p>
    <w:p w14:paraId="7CB21A64">
      <w:pPr>
        <w:pStyle w:val="9"/>
        <w:spacing w:before="11"/>
        <w:ind w:left="0"/>
        <w:jc w:val="left"/>
        <w:rPr>
          <w:rFonts w:hint="eastAsia"/>
          <w:sz w:val="30"/>
          <w:szCs w:val="30"/>
        </w:rPr>
      </w:pPr>
    </w:p>
    <w:p w14:paraId="29A9344F">
      <w:pPr>
        <w:pStyle w:val="9"/>
        <w:spacing w:before="11"/>
        <w:ind w:left="0"/>
        <w:jc w:val="left"/>
        <w:rPr>
          <w:rFonts w:hint="eastAsia"/>
          <w:sz w:val="30"/>
          <w:szCs w:val="30"/>
        </w:rPr>
      </w:pPr>
      <w:r>
        <w:rPr>
          <w:rFonts w:hint="eastAsia"/>
          <w:sz w:val="30"/>
          <w:szCs w:val="30"/>
        </w:rPr>
        <w:t>Therefore, even after the Last Battle (38-39), and even after the appearing of the World to Come (40-48), nothing fundamentally new will have been added.</w:t>
      </w:r>
    </w:p>
    <w:p w14:paraId="4F6FEA30">
      <w:pPr>
        <w:pStyle w:val="9"/>
        <w:spacing w:before="11"/>
        <w:ind w:left="0"/>
        <w:jc w:val="left"/>
        <w:rPr>
          <w:rFonts w:hint="eastAsia"/>
          <w:sz w:val="30"/>
          <w:szCs w:val="30"/>
        </w:rPr>
      </w:pPr>
      <w:r>
        <w:rPr>
          <w:rFonts w:hint="eastAsia"/>
          <w:sz w:val="30"/>
          <w:szCs w:val="30"/>
        </w:rPr>
        <w:t>因此，即使在末日之战（38-39章）之后，甚至在未来世界（40-48章）显现之后，也不会有任何根本性的新事物被添加。</w:t>
      </w:r>
    </w:p>
    <w:p w14:paraId="4AF53862">
      <w:pPr>
        <w:pStyle w:val="9"/>
        <w:spacing w:before="11"/>
        <w:ind w:left="0"/>
        <w:jc w:val="left"/>
        <w:rPr>
          <w:rFonts w:hint="eastAsia"/>
          <w:sz w:val="30"/>
          <w:szCs w:val="30"/>
        </w:rPr>
      </w:pPr>
    </w:p>
    <w:p w14:paraId="13354588">
      <w:pPr>
        <w:pStyle w:val="9"/>
        <w:spacing w:before="11"/>
        <w:ind w:left="0"/>
        <w:jc w:val="left"/>
        <w:rPr>
          <w:rFonts w:hint="eastAsia"/>
          <w:sz w:val="30"/>
          <w:szCs w:val="30"/>
        </w:rPr>
      </w:pPr>
      <w:r>
        <w:rPr>
          <w:rFonts w:hint="eastAsia"/>
          <w:sz w:val="30"/>
          <w:szCs w:val="30"/>
        </w:rPr>
        <w:t>Rather, the fundamental things will simply have been perfected.</w:t>
      </w:r>
    </w:p>
    <w:p w14:paraId="1C02F564">
      <w:pPr>
        <w:pStyle w:val="9"/>
        <w:spacing w:before="11"/>
        <w:ind w:left="0"/>
        <w:jc w:val="left"/>
        <w:rPr>
          <w:rFonts w:hint="eastAsia"/>
          <w:sz w:val="30"/>
          <w:szCs w:val="30"/>
        </w:rPr>
      </w:pPr>
      <w:r>
        <w:rPr>
          <w:rFonts w:hint="eastAsia"/>
          <w:sz w:val="30"/>
          <w:szCs w:val="30"/>
        </w:rPr>
        <w:t>相反，那些根本性的事物只是被成全了。</w:t>
      </w:r>
    </w:p>
    <w:p w14:paraId="66A95C5E">
      <w:pPr>
        <w:pStyle w:val="9"/>
        <w:spacing w:before="11"/>
        <w:ind w:left="0"/>
        <w:jc w:val="left"/>
        <w:rPr>
          <w:rFonts w:hint="eastAsia"/>
          <w:sz w:val="30"/>
          <w:szCs w:val="30"/>
        </w:rPr>
      </w:pPr>
    </w:p>
    <w:p w14:paraId="68876C89">
      <w:pPr>
        <w:pStyle w:val="9"/>
        <w:spacing w:before="11"/>
        <w:ind w:left="0"/>
        <w:jc w:val="left"/>
        <w:rPr>
          <w:rFonts w:hint="eastAsia"/>
          <w:sz w:val="30"/>
          <w:szCs w:val="30"/>
        </w:rPr>
      </w:pPr>
      <w:r>
        <w:rPr>
          <w:rFonts w:hint="eastAsia"/>
          <w:sz w:val="30"/>
          <w:szCs w:val="30"/>
        </w:rPr>
        <w:t>So then, at its heart, our prophecy does indeed picture the one eternal Kingdom of God.</w:t>
      </w:r>
    </w:p>
    <w:p w14:paraId="1D063C5B">
      <w:pPr>
        <w:pStyle w:val="9"/>
        <w:spacing w:before="11"/>
        <w:ind w:left="0"/>
        <w:jc w:val="left"/>
        <w:rPr>
          <w:rFonts w:hint="eastAsia"/>
          <w:sz w:val="30"/>
          <w:szCs w:val="30"/>
        </w:rPr>
      </w:pPr>
      <w:r>
        <w:rPr>
          <w:rFonts w:hint="eastAsia"/>
          <w:sz w:val="30"/>
          <w:szCs w:val="30"/>
        </w:rPr>
        <w:t>所以，从核心上讲，我们的预言确实描绘了神那独一的永恒国度。</w:t>
      </w:r>
    </w:p>
    <w:p w14:paraId="2E0197AB">
      <w:pPr>
        <w:pStyle w:val="9"/>
        <w:spacing w:before="11"/>
        <w:ind w:left="0"/>
        <w:jc w:val="left"/>
        <w:rPr>
          <w:rFonts w:hint="eastAsia"/>
          <w:sz w:val="30"/>
          <w:szCs w:val="30"/>
        </w:rPr>
      </w:pPr>
    </w:p>
    <w:p w14:paraId="066EFCFC">
      <w:pPr>
        <w:pStyle w:val="9"/>
        <w:spacing w:before="11"/>
        <w:ind w:left="0"/>
        <w:jc w:val="left"/>
        <w:rPr>
          <w:rFonts w:hint="eastAsia"/>
          <w:sz w:val="30"/>
          <w:szCs w:val="30"/>
        </w:rPr>
      </w:pPr>
      <w:r>
        <w:rPr>
          <w:rFonts w:hint="eastAsia"/>
          <w:sz w:val="30"/>
          <w:szCs w:val="30"/>
        </w:rPr>
        <w:t>Secondly, it is undoubtedly the case that since the Day of Pentecost a remnant of ethnic Jews descending from each of the twelve tribes has come to know and enjoy the marvelous unity that is found in the Body of Christ (John 17:20-23, Eph. 4:1f, Gal. 3:28).</w:t>
      </w:r>
    </w:p>
    <w:p w14:paraId="0A16AEBC">
      <w:pPr>
        <w:pStyle w:val="9"/>
        <w:spacing w:before="11"/>
        <w:ind w:left="0"/>
        <w:jc w:val="left"/>
        <w:rPr>
          <w:rFonts w:hint="eastAsia"/>
          <w:sz w:val="30"/>
          <w:szCs w:val="30"/>
        </w:rPr>
      </w:pPr>
      <w:r>
        <w:rPr>
          <w:rFonts w:hint="eastAsia"/>
          <w:sz w:val="30"/>
          <w:szCs w:val="30"/>
        </w:rPr>
        <w:t>其次，毫无疑问，自五旬节以来，来自十二支派中每一个支派的犹太人余民已经认识并享受到了在基督身体里那奇妙的合一（约翰福音17:20-23，以弗所书4:1及以下，加拉太书3:28）。</w:t>
      </w:r>
    </w:p>
    <w:p w14:paraId="68AA9226">
      <w:pPr>
        <w:pStyle w:val="9"/>
        <w:spacing w:before="11"/>
        <w:ind w:left="0"/>
        <w:jc w:val="left"/>
        <w:rPr>
          <w:rFonts w:hint="eastAsia"/>
          <w:sz w:val="30"/>
          <w:szCs w:val="30"/>
        </w:rPr>
      </w:pPr>
    </w:p>
    <w:p w14:paraId="6B835E78">
      <w:pPr>
        <w:pStyle w:val="9"/>
        <w:spacing w:before="11"/>
        <w:ind w:left="0"/>
        <w:jc w:val="left"/>
        <w:rPr>
          <w:rFonts w:hint="eastAsia"/>
          <w:sz w:val="30"/>
          <w:szCs w:val="30"/>
        </w:rPr>
      </w:pPr>
      <w:r>
        <w:rPr>
          <w:rFonts w:hint="eastAsia"/>
          <w:sz w:val="30"/>
          <w:szCs w:val="30"/>
        </w:rPr>
        <w:t>Moreover, it is certain that the godly Jews of Ezekiel’s day, who took hope and courage from these words, are even now experiencing this blessed reality up in heaven (Heb. 11-12).</w:t>
      </w:r>
    </w:p>
    <w:p w14:paraId="5E45EDD0">
      <w:pPr>
        <w:pStyle w:val="9"/>
        <w:spacing w:before="11"/>
        <w:ind w:left="0"/>
        <w:jc w:val="left"/>
        <w:rPr>
          <w:rFonts w:hint="eastAsia"/>
          <w:sz w:val="30"/>
          <w:szCs w:val="30"/>
        </w:rPr>
      </w:pPr>
      <w:r>
        <w:rPr>
          <w:rFonts w:hint="eastAsia"/>
          <w:sz w:val="30"/>
          <w:szCs w:val="30"/>
        </w:rPr>
        <w:t>此外，可以肯定的是，以西结时代那些从这些话中获得希望和勇气的敬虔犹太人，此刻正在天上也经历着这蒙福的现实（希伯来书11-12章）。</w:t>
      </w:r>
    </w:p>
    <w:p w14:paraId="0693F752">
      <w:pPr>
        <w:pStyle w:val="9"/>
        <w:spacing w:before="11"/>
        <w:ind w:left="0"/>
        <w:jc w:val="left"/>
        <w:rPr>
          <w:rFonts w:hint="eastAsia"/>
          <w:sz w:val="30"/>
          <w:szCs w:val="30"/>
        </w:rPr>
      </w:pPr>
    </w:p>
    <w:p w14:paraId="221F36B8">
      <w:pPr>
        <w:pStyle w:val="9"/>
        <w:spacing w:before="11"/>
        <w:ind w:left="0"/>
        <w:jc w:val="left"/>
        <w:rPr>
          <w:rFonts w:hint="eastAsia"/>
          <w:sz w:val="30"/>
          <w:szCs w:val="30"/>
        </w:rPr>
      </w:pPr>
      <w:r>
        <w:rPr>
          <w:rFonts w:hint="eastAsia"/>
          <w:sz w:val="30"/>
          <w:szCs w:val="30"/>
        </w:rPr>
        <w:t>In other words, one could argue that here the Spirit is indeed addressing ethnic Jews, yet promising them spiritual restoration and unity in Christ, rather than physical restoration and unity in the historic land of Canaan.</w:t>
      </w:r>
    </w:p>
    <w:p w14:paraId="7CAD1095">
      <w:pPr>
        <w:pStyle w:val="9"/>
        <w:spacing w:before="11"/>
        <w:ind w:left="0"/>
        <w:jc w:val="left"/>
        <w:rPr>
          <w:rFonts w:hint="eastAsia"/>
          <w:sz w:val="30"/>
          <w:szCs w:val="30"/>
        </w:rPr>
      </w:pPr>
      <w:r>
        <w:rPr>
          <w:rFonts w:hint="eastAsia"/>
          <w:sz w:val="30"/>
          <w:szCs w:val="30"/>
        </w:rPr>
        <w:t>换句话说，人们可以论证，圣灵在这里确实是在对血统上的犹太人说话，但应许他们的是在基督里的属灵复兴与合一，而不是在历史上的迦南地上的物质复兴与合一。</w:t>
      </w:r>
    </w:p>
    <w:p w14:paraId="4579B26C">
      <w:pPr>
        <w:pStyle w:val="9"/>
        <w:spacing w:before="11"/>
        <w:ind w:left="0"/>
        <w:jc w:val="left"/>
        <w:rPr>
          <w:rFonts w:hint="eastAsia"/>
          <w:sz w:val="30"/>
          <w:szCs w:val="30"/>
        </w:rPr>
      </w:pPr>
    </w:p>
    <w:p w14:paraId="2621BE0F">
      <w:pPr>
        <w:pStyle w:val="9"/>
        <w:spacing w:before="11"/>
        <w:ind w:left="0"/>
        <w:jc w:val="left"/>
        <w:rPr>
          <w:rFonts w:hint="eastAsia"/>
          <w:sz w:val="30"/>
          <w:szCs w:val="30"/>
        </w:rPr>
      </w:pPr>
      <w:r>
        <w:rPr>
          <w:rFonts w:hint="eastAsia"/>
          <w:sz w:val="30"/>
          <w:szCs w:val="30"/>
        </w:rPr>
        <w:t>But thirdly, it also quite possible—and, I think, preferable—to say that here divided “Israel” is put forth as a type of God’s elect, the Church.</w:t>
      </w:r>
    </w:p>
    <w:p w14:paraId="03DCF2D9">
      <w:pPr>
        <w:pStyle w:val="9"/>
        <w:spacing w:before="11"/>
        <w:ind w:left="0"/>
        <w:jc w:val="left"/>
        <w:rPr>
          <w:rFonts w:hint="eastAsia"/>
          <w:sz w:val="30"/>
          <w:szCs w:val="30"/>
        </w:rPr>
      </w:pPr>
      <w:r>
        <w:rPr>
          <w:rFonts w:hint="eastAsia"/>
          <w:sz w:val="30"/>
          <w:szCs w:val="30"/>
        </w:rPr>
        <w:t>但是第三，说这里分裂的“以色列”被提出来作为神选民——教会——的预表，也是很有可能的——而且，我认为是更可取的。</w:t>
      </w:r>
    </w:p>
    <w:p w14:paraId="201BA379">
      <w:pPr>
        <w:pStyle w:val="9"/>
        <w:spacing w:before="11"/>
        <w:ind w:left="0"/>
        <w:jc w:val="left"/>
        <w:rPr>
          <w:rFonts w:hint="eastAsia"/>
          <w:sz w:val="30"/>
          <w:szCs w:val="30"/>
        </w:rPr>
      </w:pPr>
    </w:p>
    <w:p w14:paraId="7F9F078E">
      <w:pPr>
        <w:pStyle w:val="9"/>
        <w:spacing w:before="11"/>
        <w:ind w:left="0"/>
        <w:jc w:val="left"/>
        <w:rPr>
          <w:rFonts w:hint="eastAsia"/>
          <w:sz w:val="30"/>
          <w:szCs w:val="30"/>
        </w:rPr>
      </w:pPr>
      <w:r>
        <w:rPr>
          <w:rFonts w:hint="eastAsia"/>
          <w:sz w:val="30"/>
          <w:szCs w:val="30"/>
        </w:rPr>
        <w:t>For just as Israel was broken down into rival tribes, exiled from their homeland, and scattered among the nations because of their sin, so too was God’s Church, prior to her conversion, broken down into rival cultures and ideological “dwelling places,” exiled from her home in Eden, and scattered throughout the worldwide Domain of Darkness.</w:t>
      </w:r>
    </w:p>
    <w:p w14:paraId="71BCD33E">
      <w:pPr>
        <w:pStyle w:val="9"/>
        <w:spacing w:before="11"/>
        <w:ind w:left="0"/>
        <w:jc w:val="left"/>
        <w:rPr>
          <w:rFonts w:hint="eastAsia"/>
          <w:sz w:val="30"/>
          <w:szCs w:val="30"/>
        </w:rPr>
      </w:pPr>
      <w:r>
        <w:rPr>
          <w:rFonts w:hint="eastAsia"/>
          <w:sz w:val="30"/>
          <w:szCs w:val="30"/>
        </w:rPr>
        <w:t>因为正如以色列因其罪而分裂为敌对的支派，被逐出家园，散居在列国之中一样，神的教会在她归信之前，也曾分裂为敌对的文化和意识形态的“居所”，被逐出她在伊甸的家，散布在全世界的黑暗权势之中。</w:t>
      </w:r>
    </w:p>
    <w:p w14:paraId="78227E49">
      <w:pPr>
        <w:pStyle w:val="9"/>
        <w:spacing w:before="11"/>
        <w:ind w:left="0"/>
        <w:jc w:val="left"/>
        <w:rPr>
          <w:rFonts w:hint="eastAsia"/>
          <w:sz w:val="30"/>
          <w:szCs w:val="30"/>
        </w:rPr>
      </w:pPr>
    </w:p>
    <w:p w14:paraId="17B3E8DF">
      <w:pPr>
        <w:pStyle w:val="9"/>
        <w:spacing w:before="11"/>
        <w:ind w:left="0"/>
        <w:jc w:val="left"/>
        <w:rPr>
          <w:rFonts w:hint="eastAsia"/>
          <w:sz w:val="30"/>
          <w:szCs w:val="30"/>
        </w:rPr>
      </w:pPr>
      <w:r>
        <w:rPr>
          <w:rFonts w:hint="eastAsia"/>
          <w:sz w:val="30"/>
          <w:szCs w:val="30"/>
        </w:rPr>
        <w:t>On this view (and, indeed, on the view previously mentioned), the restoration here spoken of—and the unity here celebrated—is found strictly in Christ (Col. 1:13).</w:t>
      </w:r>
    </w:p>
    <w:p w14:paraId="6562B9AE">
      <w:pPr>
        <w:pStyle w:val="9"/>
        <w:spacing w:before="11"/>
        <w:ind w:left="0"/>
        <w:jc w:val="left"/>
        <w:rPr>
          <w:rFonts w:hint="eastAsia"/>
          <w:sz w:val="30"/>
          <w:szCs w:val="30"/>
        </w:rPr>
      </w:pPr>
      <w:r>
        <w:rPr>
          <w:rFonts w:hint="eastAsia"/>
          <w:sz w:val="30"/>
          <w:szCs w:val="30"/>
        </w:rPr>
        <w:t>根据这个观点（实际上，也根据前面提到的观点），这里所说的复兴——以及这里所庆祝的合一——是严格地在基督里找到的（歌罗西书1:13）。</w:t>
      </w:r>
    </w:p>
    <w:p w14:paraId="793B19BC">
      <w:pPr>
        <w:pStyle w:val="9"/>
        <w:spacing w:before="11"/>
        <w:ind w:left="0"/>
        <w:jc w:val="left"/>
        <w:rPr>
          <w:rFonts w:hint="eastAsia"/>
          <w:sz w:val="30"/>
          <w:szCs w:val="30"/>
        </w:rPr>
      </w:pPr>
    </w:p>
    <w:p w14:paraId="3222F7C2">
      <w:pPr>
        <w:pStyle w:val="9"/>
        <w:spacing w:before="11"/>
        <w:ind w:left="0"/>
        <w:jc w:val="left"/>
        <w:rPr>
          <w:rFonts w:hint="eastAsia"/>
          <w:sz w:val="30"/>
          <w:szCs w:val="30"/>
        </w:rPr>
      </w:pPr>
      <w:r>
        <w:rPr>
          <w:rFonts w:hint="eastAsia"/>
          <w:sz w:val="30"/>
          <w:szCs w:val="30"/>
        </w:rPr>
        <w:t>Importantly, it was for just such a restoration, and for just such a unity, that our Lord himself prayed, asking his Father to send the Spirit to his people, so that they might become one, even as he and the Father are one (John 17:20-26); so that they might become a single light shining in the darkness, and a single city set upon a (very high) hill (Mt. 5:14); so that the nations may know that through his only-begotten Son, God the Father, even now, is sanctifying his eschatological “Israel,” a chosen and beloved people in whose very midst he is pleased to dwell forevermore (Ezek. 37:28, John 17:21, 23).</w:t>
      </w:r>
    </w:p>
    <w:p w14:paraId="624AD78E">
      <w:pPr>
        <w:pStyle w:val="9"/>
        <w:spacing w:before="11"/>
        <w:ind w:left="0"/>
        <w:jc w:val="left"/>
        <w:rPr>
          <w:rFonts w:hint="eastAsia"/>
          <w:sz w:val="30"/>
          <w:szCs w:val="30"/>
        </w:rPr>
      </w:pPr>
      <w:r>
        <w:rPr>
          <w:rFonts w:hint="eastAsia"/>
          <w:sz w:val="30"/>
          <w:szCs w:val="30"/>
        </w:rPr>
        <w:t>重要的是，我们的主正是为这样的复兴和这样的合一而祷告，求祂的父差遣圣灵到祂的子民那里，使他们可以合而为一，正如祂与父合而为一一样（约翰福音17:20-26）；使他们可以成为照在黑暗中的一道光，和一座立在（极高的）山上的城（马太福音5:14）；使列国可以知道，父神藉着祂的独生子，即使在现在，也在使祂末世的“以色列”，即一群蒙拣选、蒙慈爱的子民成圣，祂乐意永远居住在他们中间（以西结书37:28，约翰福音17:21, 23）。</w:t>
      </w:r>
    </w:p>
    <w:p w14:paraId="4F9A09E3">
      <w:pPr>
        <w:pStyle w:val="9"/>
        <w:spacing w:before="11"/>
        <w:ind w:left="0"/>
        <w:jc w:val="left"/>
        <w:rPr>
          <w:rFonts w:hint="eastAsia"/>
          <w:sz w:val="30"/>
          <w:szCs w:val="30"/>
        </w:rPr>
      </w:pPr>
    </w:p>
    <w:p w14:paraId="3BA0C817">
      <w:pPr>
        <w:pStyle w:val="9"/>
        <w:spacing w:before="11"/>
        <w:ind w:left="0"/>
        <w:jc w:val="left"/>
        <w:rPr>
          <w:rFonts w:hint="eastAsia"/>
          <w:sz w:val="30"/>
          <w:szCs w:val="30"/>
        </w:rPr>
      </w:pPr>
      <w:r>
        <w:rPr>
          <w:rFonts w:hint="eastAsia"/>
          <w:sz w:val="30"/>
          <w:szCs w:val="30"/>
        </w:rPr>
        <w:t>Two Sticks, One Cross, One Nation</w:t>
      </w:r>
    </w:p>
    <w:p w14:paraId="40BAE91B">
      <w:pPr>
        <w:pStyle w:val="9"/>
        <w:spacing w:before="11"/>
        <w:ind w:left="0"/>
        <w:jc w:val="left"/>
        <w:rPr>
          <w:rFonts w:hint="eastAsia"/>
          <w:sz w:val="30"/>
          <w:szCs w:val="30"/>
        </w:rPr>
      </w:pPr>
      <w:r>
        <w:rPr>
          <w:rFonts w:hint="eastAsia"/>
          <w:sz w:val="30"/>
          <w:szCs w:val="30"/>
        </w:rPr>
        <w:t>两根木杖，一个十架，一个国度</w:t>
      </w:r>
    </w:p>
    <w:p w14:paraId="36EBB27E">
      <w:pPr>
        <w:pStyle w:val="9"/>
        <w:spacing w:before="11"/>
        <w:ind w:left="0"/>
        <w:jc w:val="left"/>
        <w:rPr>
          <w:rFonts w:hint="eastAsia"/>
          <w:sz w:val="30"/>
          <w:szCs w:val="30"/>
        </w:rPr>
      </w:pPr>
    </w:p>
    <w:p w14:paraId="74A4E65B">
      <w:pPr>
        <w:pStyle w:val="9"/>
        <w:spacing w:before="11"/>
        <w:ind w:left="0"/>
        <w:jc w:val="left"/>
        <w:rPr>
          <w:rFonts w:hint="eastAsia"/>
          <w:sz w:val="30"/>
          <w:szCs w:val="30"/>
        </w:rPr>
      </w:pPr>
      <w:r>
        <w:rPr>
          <w:rFonts w:hint="eastAsia"/>
          <w:sz w:val="30"/>
          <w:szCs w:val="30"/>
        </w:rPr>
        <w:t>Let me close with a final observation, again demonstrating the great fruitfulness of the NCH.</w:t>
      </w:r>
    </w:p>
    <w:p w14:paraId="4F27604D">
      <w:pPr>
        <w:pStyle w:val="9"/>
        <w:spacing w:before="11"/>
        <w:ind w:left="0"/>
        <w:jc w:val="left"/>
        <w:rPr>
          <w:rFonts w:hint="eastAsia"/>
          <w:sz w:val="30"/>
          <w:szCs w:val="30"/>
        </w:rPr>
      </w:pPr>
      <w:r>
        <w:rPr>
          <w:rFonts w:hint="eastAsia"/>
          <w:sz w:val="30"/>
          <w:szCs w:val="30"/>
        </w:rPr>
        <w:t>让我以最后一个观察来结束，再次展示新约圣经解释法（NCH）的丰硕成果。</w:t>
      </w:r>
    </w:p>
    <w:p w14:paraId="1BE850F3">
      <w:pPr>
        <w:pStyle w:val="9"/>
        <w:spacing w:before="11"/>
        <w:ind w:left="0"/>
        <w:jc w:val="left"/>
        <w:rPr>
          <w:rFonts w:hint="eastAsia"/>
          <w:sz w:val="30"/>
          <w:szCs w:val="30"/>
        </w:rPr>
      </w:pPr>
    </w:p>
    <w:p w14:paraId="429D334F">
      <w:pPr>
        <w:pStyle w:val="9"/>
        <w:spacing w:before="11"/>
        <w:ind w:left="0"/>
        <w:jc w:val="left"/>
        <w:rPr>
          <w:rFonts w:hint="eastAsia"/>
          <w:sz w:val="30"/>
          <w:szCs w:val="30"/>
        </w:rPr>
      </w:pPr>
      <w:r>
        <w:rPr>
          <w:rFonts w:hint="eastAsia"/>
          <w:sz w:val="30"/>
          <w:szCs w:val="30"/>
        </w:rPr>
        <w:t>In obedience to God’s word, Ezekiel took two sticks and made them as one in his hand (37:17).</w:t>
      </w:r>
    </w:p>
    <w:p w14:paraId="5D9C0582">
      <w:pPr>
        <w:pStyle w:val="9"/>
        <w:spacing w:before="11"/>
        <w:ind w:left="0"/>
        <w:jc w:val="left"/>
        <w:rPr>
          <w:rFonts w:hint="eastAsia"/>
          <w:sz w:val="30"/>
          <w:szCs w:val="30"/>
        </w:rPr>
      </w:pPr>
      <w:r>
        <w:rPr>
          <w:rFonts w:hint="eastAsia"/>
          <w:sz w:val="30"/>
          <w:szCs w:val="30"/>
        </w:rPr>
        <w:t>以西结遵从神的话，取了两根木杖，使它们在他手中合而为一（37:17）。</w:t>
      </w:r>
    </w:p>
    <w:p w14:paraId="5CE49701">
      <w:pPr>
        <w:pStyle w:val="9"/>
        <w:spacing w:before="11"/>
        <w:ind w:left="0"/>
        <w:jc w:val="left"/>
        <w:rPr>
          <w:rFonts w:hint="eastAsia"/>
          <w:sz w:val="30"/>
          <w:szCs w:val="30"/>
        </w:rPr>
      </w:pPr>
    </w:p>
    <w:p w14:paraId="4193413E">
      <w:pPr>
        <w:pStyle w:val="9"/>
        <w:spacing w:before="11"/>
        <w:ind w:left="0"/>
        <w:jc w:val="left"/>
        <w:rPr>
          <w:rFonts w:hint="eastAsia"/>
          <w:sz w:val="30"/>
          <w:szCs w:val="30"/>
        </w:rPr>
      </w:pPr>
      <w:r>
        <w:rPr>
          <w:rFonts w:hint="eastAsia"/>
          <w:sz w:val="30"/>
          <w:szCs w:val="30"/>
        </w:rPr>
        <w:t>Centuries later, by an all-controlling providence, God himself did much the same, causing an unknown Roman carpenter to take two sticks and fashion them into one Cross: the Cross upon which Israel’s promised King—the eschatological Son of David—would die (37:24-25).</w:t>
      </w:r>
    </w:p>
    <w:p w14:paraId="2F92B3B4">
      <w:pPr>
        <w:pStyle w:val="9"/>
        <w:spacing w:before="11"/>
        <w:ind w:left="0"/>
        <w:jc w:val="left"/>
        <w:rPr>
          <w:rFonts w:hint="eastAsia"/>
          <w:sz w:val="30"/>
          <w:szCs w:val="30"/>
        </w:rPr>
      </w:pPr>
      <w:r>
        <w:rPr>
          <w:rFonts w:hint="eastAsia"/>
          <w:sz w:val="30"/>
          <w:szCs w:val="30"/>
        </w:rPr>
        <w:t>数百年后，藉着无所不控的护理，神自己也做了类似的事情，使一位不知名的罗马木匠取了两根木头，将它们制成一个十字架：以色列所应许的君王——大卫末世的子孙——将死在其上的十字架（37:24-25）。</w:t>
      </w:r>
    </w:p>
    <w:p w14:paraId="1C8FA0EC">
      <w:pPr>
        <w:pStyle w:val="9"/>
        <w:spacing w:before="11"/>
        <w:ind w:left="0"/>
        <w:jc w:val="left"/>
        <w:rPr>
          <w:rFonts w:hint="eastAsia"/>
          <w:sz w:val="30"/>
          <w:szCs w:val="30"/>
        </w:rPr>
      </w:pPr>
    </w:p>
    <w:p w14:paraId="365648F6">
      <w:pPr>
        <w:pStyle w:val="9"/>
        <w:spacing w:before="11"/>
        <w:ind w:left="0"/>
        <w:jc w:val="left"/>
        <w:rPr>
          <w:rFonts w:hint="eastAsia"/>
          <w:sz w:val="30"/>
          <w:szCs w:val="30"/>
        </w:rPr>
      </w:pPr>
      <w:r>
        <w:rPr>
          <w:rFonts w:hint="eastAsia"/>
          <w:sz w:val="30"/>
          <w:szCs w:val="30"/>
        </w:rPr>
        <w:t>Could it be, then, that way back in Ezekiel’s day God gave us a hint—a very subtle picture—of the means by which he would reunite spiritually divided and warring humanity?</w:t>
      </w:r>
    </w:p>
    <w:p w14:paraId="306A0743">
      <w:pPr>
        <w:pStyle w:val="9"/>
        <w:spacing w:before="11"/>
        <w:ind w:left="0"/>
        <w:jc w:val="left"/>
        <w:rPr>
          <w:rFonts w:hint="eastAsia"/>
          <w:sz w:val="30"/>
          <w:szCs w:val="30"/>
        </w:rPr>
      </w:pPr>
      <w:r>
        <w:rPr>
          <w:rFonts w:hint="eastAsia"/>
          <w:sz w:val="30"/>
          <w:szCs w:val="30"/>
        </w:rPr>
        <w:t>那么，是否有可能，早在以西结的时代，神就给了我们一个暗示——一个非常微妙的画面——关于祂将用以重新联合灵里分裂和交战的人类的方法呢？</w:t>
      </w:r>
    </w:p>
    <w:p w14:paraId="599C6684">
      <w:pPr>
        <w:pStyle w:val="9"/>
        <w:spacing w:before="11"/>
        <w:ind w:left="0"/>
        <w:jc w:val="left"/>
        <w:rPr>
          <w:rFonts w:hint="eastAsia"/>
          <w:sz w:val="30"/>
          <w:szCs w:val="30"/>
        </w:rPr>
      </w:pPr>
    </w:p>
    <w:p w14:paraId="19FF9A32">
      <w:pPr>
        <w:pStyle w:val="9"/>
        <w:spacing w:before="11"/>
        <w:ind w:left="0"/>
        <w:jc w:val="left"/>
        <w:rPr>
          <w:rFonts w:hint="eastAsia"/>
          <w:sz w:val="30"/>
          <w:szCs w:val="30"/>
        </w:rPr>
      </w:pPr>
      <w:r>
        <w:rPr>
          <w:rFonts w:hint="eastAsia"/>
          <w:sz w:val="30"/>
          <w:szCs w:val="30"/>
        </w:rPr>
        <w:t>I am inclined to think that the man who wrote these very relevant words might well answer in the affirmative:</w:t>
      </w:r>
    </w:p>
    <w:p w14:paraId="24DB7588">
      <w:pPr>
        <w:pStyle w:val="9"/>
        <w:spacing w:before="11"/>
        <w:ind w:left="0"/>
        <w:jc w:val="left"/>
        <w:rPr>
          <w:rFonts w:hint="eastAsia"/>
          <w:sz w:val="30"/>
          <w:szCs w:val="30"/>
        </w:rPr>
      </w:pPr>
      <w:r>
        <w:rPr>
          <w:rFonts w:hint="eastAsia"/>
          <w:sz w:val="30"/>
          <w:szCs w:val="30"/>
        </w:rPr>
        <w:t>我倾向于认为，写下这些极为相关话语的人很可能会给出肯定的回答：</w:t>
      </w:r>
    </w:p>
    <w:p w14:paraId="61B6859E">
      <w:pPr>
        <w:pStyle w:val="9"/>
        <w:spacing w:before="11"/>
        <w:ind w:left="0"/>
        <w:jc w:val="left"/>
        <w:rPr>
          <w:rFonts w:hint="eastAsia"/>
          <w:sz w:val="30"/>
          <w:szCs w:val="30"/>
        </w:rPr>
      </w:pPr>
    </w:p>
    <w:p w14:paraId="5BE781C5">
      <w:pPr>
        <w:pStyle w:val="9"/>
        <w:spacing w:before="11"/>
        <w:ind w:left="0"/>
        <w:jc w:val="left"/>
        <w:rPr>
          <w:rFonts w:hint="eastAsia"/>
          <w:sz w:val="30"/>
          <w:szCs w:val="30"/>
        </w:rPr>
      </w:pPr>
      <w:r>
        <w:rPr>
          <w:rFonts w:hint="eastAsia"/>
          <w:sz w:val="30"/>
          <w:szCs w:val="30"/>
        </w:rPr>
        <w:t>But now in Christ Jesus you who formerly were far off have been brought near by the blood of Christ. For He Himself is our peace, who made both groups into one, and broke down the middle wall of division between us, having abolished in His flesh the enmity—the Law of commandments contained in ordinances—so as to create in Himself, from the two, one new man, thus establishing peace; so that he might reconcile both to God in one Body through the cross, by it having put to death the enmity. And He came and preached peace to you who were far off, and peace to those who were near, for through Him we both have our access in one Spirit to the Father.</w:t>
      </w:r>
    </w:p>
    <w:p w14:paraId="08E19916">
      <w:pPr>
        <w:pStyle w:val="9"/>
        <w:spacing w:before="11"/>
        <w:ind w:left="0"/>
        <w:jc w:val="left"/>
        <w:rPr>
          <w:rFonts w:hint="eastAsia"/>
          <w:sz w:val="30"/>
          <w:szCs w:val="30"/>
        </w:rPr>
      </w:pPr>
      <w:r>
        <w:rPr>
          <w:rFonts w:hint="eastAsia"/>
          <w:sz w:val="30"/>
          <w:szCs w:val="30"/>
        </w:rPr>
        <w:t>但如今在基督耶稣里，你们这从前远离的人，靠着基督的血，已经被带近了。因祂自己是我们的和平，将两下合而为一，拆毁了中间隔断的墙，就是冤仇，在祂的肉体里废掉了那记在律法上的规条，为要将两下，在祂自己里面，创造成一个新人，如此便成就了和平；既在十字架上灭了冤仇，便藉这十字架，使两下归为一体，与神和好了。并且来传和平的福音给你们远处的人，也给那近处的人，因为我们两下藉着祂，被一个圣灵所感，得以进到父面前。</w:t>
      </w:r>
    </w:p>
    <w:p w14:paraId="7C228EA6">
      <w:pPr>
        <w:pStyle w:val="9"/>
        <w:spacing w:before="11"/>
        <w:ind w:left="0"/>
        <w:jc w:val="left"/>
        <w:rPr>
          <w:rFonts w:hint="eastAsia"/>
          <w:sz w:val="30"/>
          <w:szCs w:val="30"/>
        </w:rPr>
      </w:pPr>
    </w:p>
    <w:p w14:paraId="71866130">
      <w:pPr>
        <w:pStyle w:val="9"/>
        <w:spacing w:before="11"/>
        <w:ind w:left="0"/>
        <w:jc w:val="left"/>
        <w:rPr>
          <w:rFonts w:hint="eastAsia"/>
          <w:sz w:val="30"/>
          <w:szCs w:val="30"/>
        </w:rPr>
      </w:pPr>
      <w:r>
        <w:rPr>
          <w:rFonts w:hint="eastAsia"/>
          <w:sz w:val="30"/>
          <w:szCs w:val="30"/>
        </w:rPr>
        <w:t>—Ephesians 2:13-18</w:t>
      </w:r>
    </w:p>
    <w:p w14:paraId="41A2215E">
      <w:pPr>
        <w:pStyle w:val="9"/>
        <w:spacing w:before="11"/>
        <w:ind w:left="0"/>
        <w:jc w:val="left"/>
        <w:rPr>
          <w:rFonts w:hint="eastAsia"/>
          <w:sz w:val="30"/>
          <w:szCs w:val="30"/>
        </w:rPr>
      </w:pPr>
      <w:r>
        <w:rPr>
          <w:rFonts w:hint="eastAsia"/>
          <w:sz w:val="30"/>
          <w:szCs w:val="30"/>
        </w:rPr>
        <w:t>—以弗所书 2:13-18</w:t>
      </w:r>
    </w:p>
    <w:p w14:paraId="21EDD830">
      <w:pPr>
        <w:pStyle w:val="9"/>
        <w:spacing w:before="11"/>
        <w:ind w:left="0"/>
        <w:jc w:val="left"/>
        <w:rPr>
          <w:rFonts w:hint="eastAsia"/>
          <w:sz w:val="30"/>
          <w:szCs w:val="30"/>
        </w:rPr>
      </w:pPr>
    </w:p>
    <w:p w14:paraId="05B3BE82">
      <w:pPr>
        <w:pStyle w:val="9"/>
        <w:spacing w:before="11"/>
        <w:ind w:left="0"/>
        <w:jc w:val="left"/>
        <w:rPr>
          <w:rFonts w:hint="eastAsia"/>
          <w:sz w:val="30"/>
          <w:szCs w:val="30"/>
        </w:rPr>
      </w:pPr>
      <w:r>
        <w:rPr>
          <w:rFonts w:hint="eastAsia"/>
          <w:sz w:val="30"/>
          <w:szCs w:val="30"/>
        </w:rPr>
        <w:t>3.Ezekiel’s Last Battle</w:t>
      </w:r>
    </w:p>
    <w:p w14:paraId="390E32A9">
      <w:pPr>
        <w:pStyle w:val="9"/>
        <w:spacing w:before="11"/>
        <w:ind w:left="0"/>
        <w:jc w:val="left"/>
        <w:rPr>
          <w:rFonts w:hint="eastAsia"/>
          <w:sz w:val="30"/>
          <w:szCs w:val="30"/>
        </w:rPr>
      </w:pPr>
      <w:r>
        <w:rPr>
          <w:rFonts w:hint="eastAsia"/>
          <w:sz w:val="30"/>
          <w:szCs w:val="30"/>
        </w:rPr>
        <w:t>(Ezekiel 38-39)</w:t>
      </w:r>
    </w:p>
    <w:p w14:paraId="23F54283">
      <w:pPr>
        <w:pStyle w:val="9"/>
        <w:spacing w:before="11"/>
        <w:ind w:left="0"/>
        <w:jc w:val="left"/>
        <w:rPr>
          <w:rFonts w:hint="eastAsia"/>
          <w:sz w:val="30"/>
          <w:szCs w:val="30"/>
        </w:rPr>
      </w:pPr>
      <w:r>
        <w:rPr>
          <w:rFonts w:hint="eastAsia"/>
          <w:sz w:val="30"/>
          <w:szCs w:val="30"/>
        </w:rPr>
        <w:t>3. 以西结的末日之战</w:t>
      </w:r>
    </w:p>
    <w:p w14:paraId="3328A834">
      <w:pPr>
        <w:pStyle w:val="9"/>
        <w:spacing w:before="11"/>
        <w:ind w:left="0"/>
        <w:jc w:val="left"/>
        <w:rPr>
          <w:rFonts w:hint="eastAsia"/>
          <w:sz w:val="30"/>
          <w:szCs w:val="30"/>
        </w:rPr>
      </w:pPr>
      <w:r>
        <w:rPr>
          <w:rFonts w:hint="eastAsia"/>
          <w:sz w:val="30"/>
          <w:szCs w:val="30"/>
        </w:rPr>
        <w:t>（以西结书 38-39）</w:t>
      </w:r>
    </w:p>
    <w:p w14:paraId="12D3FFAE">
      <w:pPr>
        <w:pStyle w:val="9"/>
        <w:spacing w:before="11"/>
        <w:ind w:left="0"/>
        <w:jc w:val="left"/>
        <w:rPr>
          <w:rFonts w:hint="eastAsia"/>
          <w:sz w:val="30"/>
          <w:szCs w:val="30"/>
        </w:rPr>
      </w:pPr>
    </w:p>
    <w:p w14:paraId="7041B4D2">
      <w:pPr>
        <w:pStyle w:val="9"/>
        <w:spacing w:before="11"/>
        <w:ind w:left="0"/>
        <w:jc w:val="left"/>
        <w:rPr>
          <w:rFonts w:hint="eastAsia"/>
          <w:sz w:val="30"/>
          <w:szCs w:val="30"/>
        </w:rPr>
      </w:pPr>
      <w:r>
        <w:rPr>
          <w:rFonts w:hint="eastAsia"/>
          <w:sz w:val="30"/>
          <w:szCs w:val="30"/>
        </w:rPr>
        <w:t>These well-known but highly controversial chapters describe the Deception, Destruction, and Disposal of Israel’s great eschatological enemy: Gog and his worldwide confederation of evil armies.</w:t>
      </w:r>
    </w:p>
    <w:p w14:paraId="639270BC">
      <w:pPr>
        <w:pStyle w:val="9"/>
        <w:spacing w:before="11"/>
        <w:ind w:left="0"/>
        <w:jc w:val="left"/>
        <w:rPr>
          <w:rFonts w:hint="eastAsia"/>
          <w:sz w:val="30"/>
          <w:szCs w:val="30"/>
        </w:rPr>
      </w:pPr>
      <w:r>
        <w:rPr>
          <w:rFonts w:hint="eastAsia"/>
          <w:sz w:val="30"/>
          <w:szCs w:val="30"/>
        </w:rPr>
        <w:t>这些著名但极具争议的章节描述了以色列伟大的末世仇敌——歌革及其邪恶军队的全球联盟——所受的欺骗、毁灭和处置。</w:t>
      </w:r>
    </w:p>
    <w:p w14:paraId="74F8A6A2">
      <w:pPr>
        <w:pStyle w:val="9"/>
        <w:spacing w:before="11"/>
        <w:ind w:left="0"/>
        <w:jc w:val="left"/>
        <w:rPr>
          <w:rFonts w:hint="eastAsia"/>
          <w:sz w:val="30"/>
          <w:szCs w:val="30"/>
        </w:rPr>
      </w:pPr>
    </w:p>
    <w:p w14:paraId="2CC6E98C">
      <w:pPr>
        <w:pStyle w:val="9"/>
        <w:spacing w:before="11"/>
        <w:ind w:left="0"/>
        <w:jc w:val="left"/>
        <w:rPr>
          <w:rFonts w:hint="eastAsia"/>
          <w:sz w:val="30"/>
          <w:szCs w:val="30"/>
        </w:rPr>
      </w:pPr>
      <w:r>
        <w:rPr>
          <w:rFonts w:hint="eastAsia"/>
          <w:sz w:val="30"/>
          <w:szCs w:val="30"/>
        </w:rPr>
        <w:t>In the latter-day s, by divine decree, they will go up against a people fully restored to the LORD and his covenant blessings, thinking to annihilate them and seize their homeland.</w:t>
      </w:r>
    </w:p>
    <w:p w14:paraId="3F7D21E8">
      <w:pPr>
        <w:pStyle w:val="9"/>
        <w:spacing w:before="11"/>
        <w:ind w:left="0"/>
        <w:jc w:val="left"/>
        <w:rPr>
          <w:rFonts w:hint="eastAsia"/>
          <w:sz w:val="30"/>
          <w:szCs w:val="30"/>
        </w:rPr>
      </w:pPr>
      <w:r>
        <w:rPr>
          <w:rFonts w:hint="eastAsia"/>
          <w:sz w:val="30"/>
          <w:szCs w:val="30"/>
        </w:rPr>
        <w:t>在末后的日子里，根据神的谕旨，他们将上来攻击一个完全归向主并蒙祂约中祝福的子民，以为可以消灭他们并夺取他们的家园。</w:t>
      </w:r>
    </w:p>
    <w:p w14:paraId="372F1B3B">
      <w:pPr>
        <w:pStyle w:val="9"/>
        <w:spacing w:before="11"/>
        <w:ind w:left="0"/>
        <w:jc w:val="left"/>
        <w:rPr>
          <w:rFonts w:hint="eastAsia"/>
          <w:sz w:val="30"/>
          <w:szCs w:val="30"/>
        </w:rPr>
      </w:pPr>
    </w:p>
    <w:p w14:paraId="5FC6D726">
      <w:pPr>
        <w:pStyle w:val="9"/>
        <w:spacing w:before="11"/>
        <w:ind w:left="0"/>
        <w:jc w:val="left"/>
        <w:rPr>
          <w:rFonts w:hint="eastAsia"/>
          <w:sz w:val="30"/>
          <w:szCs w:val="30"/>
        </w:rPr>
      </w:pPr>
      <w:r>
        <w:rPr>
          <w:rFonts w:hint="eastAsia"/>
          <w:sz w:val="30"/>
          <w:szCs w:val="30"/>
        </w:rPr>
        <w:t>It is, however, Gog and his armies who will be annihilated, for under furious strokes of divine judgment they will suffer complete and everlasting destruction upon the mountains of Israel.</w:t>
      </w:r>
    </w:p>
    <w:p w14:paraId="5685376E">
      <w:pPr>
        <w:pStyle w:val="9"/>
        <w:spacing w:before="11"/>
        <w:ind w:left="0"/>
        <w:jc w:val="left"/>
        <w:rPr>
          <w:rFonts w:hint="eastAsia"/>
          <w:sz w:val="30"/>
          <w:szCs w:val="30"/>
        </w:rPr>
      </w:pPr>
      <w:r>
        <w:rPr>
          <w:rFonts w:hint="eastAsia"/>
          <w:sz w:val="30"/>
          <w:szCs w:val="30"/>
        </w:rPr>
        <w:t>然而，被消灭的将是歌革和他的军队，因为在神审判的猛烈打击下，他们将在以色列的山上遭受彻底和永远的毁灭。</w:t>
      </w:r>
    </w:p>
    <w:p w14:paraId="76C81C4F">
      <w:pPr>
        <w:pStyle w:val="9"/>
        <w:spacing w:before="11"/>
        <w:ind w:left="0"/>
        <w:jc w:val="left"/>
        <w:rPr>
          <w:rFonts w:hint="eastAsia"/>
          <w:sz w:val="30"/>
          <w:szCs w:val="30"/>
        </w:rPr>
      </w:pPr>
    </w:p>
    <w:p w14:paraId="06F49ECC">
      <w:pPr>
        <w:pStyle w:val="9"/>
        <w:spacing w:before="11"/>
        <w:ind w:left="0"/>
        <w:jc w:val="left"/>
        <w:rPr>
          <w:rFonts w:hint="eastAsia"/>
          <w:sz w:val="30"/>
          <w:szCs w:val="30"/>
        </w:rPr>
      </w:pPr>
      <w:r>
        <w:rPr>
          <w:rFonts w:hint="eastAsia"/>
          <w:sz w:val="30"/>
          <w:szCs w:val="30"/>
        </w:rPr>
        <w:t>While the prospect of such an attack would no doubt have been unsettling to devout Jews from Ezekiel’s day onward, it is easy to see how they would have reckoned this nonetheless to be an Oracle of Good News.</w:t>
      </w:r>
    </w:p>
    <w:p w14:paraId="0EB8E7A2">
      <w:pPr>
        <w:pStyle w:val="9"/>
        <w:spacing w:before="11"/>
        <w:ind w:left="0"/>
        <w:jc w:val="left"/>
        <w:rPr>
          <w:rFonts w:hint="eastAsia"/>
          <w:sz w:val="30"/>
          <w:szCs w:val="30"/>
        </w:rPr>
      </w:pPr>
      <w:r>
        <w:rPr>
          <w:rFonts w:hint="eastAsia"/>
          <w:sz w:val="30"/>
          <w:szCs w:val="30"/>
        </w:rPr>
        <w:t>虽然这种攻击的前景无疑会使从以西结时代起的虔诚犹太人感到不安，但很容易看出他们为何仍会将其视为福音的神谕。</w:t>
      </w:r>
    </w:p>
    <w:p w14:paraId="1D56ADD0">
      <w:pPr>
        <w:pStyle w:val="9"/>
        <w:spacing w:before="11"/>
        <w:ind w:left="0"/>
        <w:jc w:val="left"/>
        <w:rPr>
          <w:rFonts w:hint="eastAsia"/>
          <w:sz w:val="30"/>
          <w:szCs w:val="30"/>
        </w:rPr>
      </w:pPr>
    </w:p>
    <w:p w14:paraId="18BB2896">
      <w:pPr>
        <w:pStyle w:val="9"/>
        <w:spacing w:before="11"/>
        <w:ind w:left="0"/>
        <w:jc w:val="left"/>
        <w:rPr>
          <w:rFonts w:hint="eastAsia"/>
          <w:sz w:val="30"/>
          <w:szCs w:val="30"/>
        </w:rPr>
      </w:pPr>
      <w:r>
        <w:rPr>
          <w:rFonts w:hint="eastAsia"/>
          <w:sz w:val="30"/>
          <w:szCs w:val="30"/>
        </w:rPr>
        <w:t>Yes, God himself will bring the dreadful assault to pass.</w:t>
      </w:r>
    </w:p>
    <w:p w14:paraId="4FA0CD26">
      <w:pPr>
        <w:pStyle w:val="9"/>
        <w:spacing w:before="11"/>
        <w:ind w:left="0"/>
        <w:jc w:val="left"/>
        <w:rPr>
          <w:rFonts w:hint="eastAsia"/>
          <w:sz w:val="30"/>
          <w:szCs w:val="30"/>
        </w:rPr>
      </w:pPr>
      <w:r>
        <w:rPr>
          <w:rFonts w:hint="eastAsia"/>
          <w:sz w:val="30"/>
          <w:szCs w:val="30"/>
        </w:rPr>
        <w:t>是的，神自己将使这可怕的攻击发生。</w:t>
      </w:r>
    </w:p>
    <w:p w14:paraId="5A2B96D4">
      <w:pPr>
        <w:pStyle w:val="9"/>
        <w:spacing w:before="11"/>
        <w:ind w:left="0"/>
        <w:jc w:val="left"/>
        <w:rPr>
          <w:rFonts w:hint="eastAsia"/>
          <w:sz w:val="30"/>
          <w:szCs w:val="30"/>
        </w:rPr>
      </w:pPr>
    </w:p>
    <w:p w14:paraId="522689CB">
      <w:pPr>
        <w:pStyle w:val="9"/>
        <w:spacing w:before="11"/>
        <w:ind w:left="0"/>
        <w:jc w:val="left"/>
        <w:rPr>
          <w:rFonts w:hint="eastAsia"/>
          <w:sz w:val="30"/>
          <w:szCs w:val="30"/>
        </w:rPr>
      </w:pPr>
      <w:r>
        <w:rPr>
          <w:rFonts w:hint="eastAsia"/>
          <w:sz w:val="30"/>
          <w:szCs w:val="30"/>
        </w:rPr>
        <w:t>But far from being a judgment against his own people, it will actually be final retribution against all their remaining enemies.</w:t>
      </w:r>
    </w:p>
    <w:p w14:paraId="3DF96B09">
      <w:pPr>
        <w:pStyle w:val="9"/>
        <w:spacing w:before="11"/>
        <w:ind w:left="0"/>
        <w:jc w:val="left"/>
        <w:rPr>
          <w:rFonts w:hint="eastAsia"/>
          <w:sz w:val="30"/>
          <w:szCs w:val="30"/>
        </w:rPr>
      </w:pPr>
      <w:r>
        <w:rPr>
          <w:rFonts w:hint="eastAsia"/>
          <w:sz w:val="30"/>
          <w:szCs w:val="30"/>
        </w:rPr>
        <w:t>但这远非对祂自己子民的审判，实际上将是对他们所有剩余敌人的最终报应。</w:t>
      </w:r>
    </w:p>
    <w:p w14:paraId="25798BC2">
      <w:pPr>
        <w:pStyle w:val="9"/>
        <w:spacing w:before="11"/>
        <w:ind w:left="0"/>
        <w:jc w:val="left"/>
        <w:rPr>
          <w:rFonts w:hint="eastAsia"/>
          <w:sz w:val="30"/>
          <w:szCs w:val="30"/>
        </w:rPr>
      </w:pPr>
    </w:p>
    <w:p w14:paraId="5563CFA1">
      <w:pPr>
        <w:pStyle w:val="9"/>
        <w:spacing w:before="11"/>
        <w:ind w:left="0"/>
        <w:jc w:val="left"/>
        <w:rPr>
          <w:rFonts w:hint="eastAsia"/>
          <w:sz w:val="30"/>
          <w:szCs w:val="30"/>
        </w:rPr>
      </w:pPr>
      <w:r>
        <w:rPr>
          <w:rFonts w:hint="eastAsia"/>
          <w:sz w:val="30"/>
          <w:szCs w:val="30"/>
        </w:rPr>
        <w:t>Moreover, on that day Israel herself will not even have to fight, since God, as at the Exodus, will fight for her— this time with pestilence, blood, flooding rain, great hailstones, fire, and brimstone.</w:t>
      </w:r>
    </w:p>
    <w:p w14:paraId="3BE529B1">
      <w:pPr>
        <w:pStyle w:val="9"/>
        <w:spacing w:before="11"/>
        <w:ind w:left="0"/>
        <w:jc w:val="left"/>
        <w:rPr>
          <w:rFonts w:hint="eastAsia"/>
          <w:sz w:val="30"/>
          <w:szCs w:val="30"/>
        </w:rPr>
      </w:pPr>
      <w:r>
        <w:rPr>
          <w:rFonts w:hint="eastAsia"/>
          <w:sz w:val="30"/>
          <w:szCs w:val="30"/>
        </w:rPr>
        <w:t>此外，在那一天，以色列自己甚至不必争战，因为神将像出埃及时一样为她争战——这一次是用瘟疫、血、暴雨、大冰雹、火和硫磺。</w:t>
      </w:r>
    </w:p>
    <w:p w14:paraId="6836AF81">
      <w:pPr>
        <w:pStyle w:val="9"/>
        <w:spacing w:before="11"/>
        <w:ind w:left="0"/>
        <w:jc w:val="left"/>
        <w:rPr>
          <w:rFonts w:hint="eastAsia"/>
          <w:sz w:val="30"/>
          <w:szCs w:val="30"/>
        </w:rPr>
      </w:pPr>
    </w:p>
    <w:p w14:paraId="533928C3">
      <w:pPr>
        <w:pStyle w:val="9"/>
        <w:spacing w:before="11"/>
        <w:ind w:left="0"/>
        <w:jc w:val="left"/>
        <w:rPr>
          <w:rFonts w:hint="eastAsia"/>
          <w:sz w:val="30"/>
          <w:szCs w:val="30"/>
        </w:rPr>
      </w:pPr>
      <w:r>
        <w:rPr>
          <w:rFonts w:hint="eastAsia"/>
          <w:sz w:val="30"/>
          <w:szCs w:val="30"/>
        </w:rPr>
        <w:t>In short, the good news is that this battle will indeed be the last battle; the battle in which God supremely “sets his glory among the nations,” manifesting his absolute sovereignty, justice, wrath, power, goodness, grace, mercy, and love—and then opening before his grateful people a door into the eternal blessings of the World to Come (38:16, 23, 39:7, 13, 21).</w:t>
      </w:r>
    </w:p>
    <w:p w14:paraId="06320B8F">
      <w:pPr>
        <w:pStyle w:val="9"/>
        <w:spacing w:before="11"/>
        <w:ind w:left="0"/>
        <w:jc w:val="left"/>
        <w:rPr>
          <w:rFonts w:hint="eastAsia"/>
          <w:sz w:val="30"/>
          <w:szCs w:val="30"/>
        </w:rPr>
      </w:pPr>
      <w:r>
        <w:rPr>
          <w:rFonts w:hint="eastAsia"/>
          <w:sz w:val="30"/>
          <w:szCs w:val="30"/>
        </w:rPr>
        <w:t>简而言之，好消息是这场战斗确实将是最后一场战斗；在这场战斗中，神至高无上地“在列国中彰显祂的荣耀”，显明祂绝对的主权、公义、忿怒、权能、良善、恩典、怜悯和慈爱——然后为祂感恩的子民打开一扇通往未来世界永恒祝福的门（38:16, 23, 39:7, 13, 21）。</w:t>
      </w:r>
    </w:p>
    <w:p w14:paraId="79FE52E0">
      <w:pPr>
        <w:pStyle w:val="9"/>
        <w:spacing w:before="11"/>
        <w:ind w:left="0"/>
        <w:jc w:val="left"/>
        <w:rPr>
          <w:rFonts w:hint="eastAsia"/>
          <w:sz w:val="30"/>
          <w:szCs w:val="30"/>
        </w:rPr>
      </w:pPr>
    </w:p>
    <w:p w14:paraId="4F5DB515">
      <w:pPr>
        <w:pStyle w:val="9"/>
        <w:spacing w:before="11"/>
        <w:ind w:left="0"/>
        <w:jc w:val="left"/>
        <w:rPr>
          <w:rFonts w:hint="eastAsia"/>
          <w:sz w:val="30"/>
          <w:szCs w:val="30"/>
        </w:rPr>
      </w:pPr>
      <w:r>
        <w:rPr>
          <w:rFonts w:hint="eastAsia"/>
          <w:sz w:val="30"/>
          <w:szCs w:val="30"/>
        </w:rPr>
        <w:t>Premillennarian Problems</w:t>
      </w:r>
    </w:p>
    <w:p w14:paraId="716066BE">
      <w:pPr>
        <w:pStyle w:val="9"/>
        <w:spacing w:before="11"/>
        <w:ind w:left="0"/>
        <w:jc w:val="left"/>
        <w:rPr>
          <w:rFonts w:hint="eastAsia"/>
          <w:sz w:val="30"/>
          <w:szCs w:val="30"/>
        </w:rPr>
      </w:pPr>
      <w:r>
        <w:rPr>
          <w:rFonts w:hint="eastAsia"/>
          <w:sz w:val="30"/>
          <w:szCs w:val="30"/>
        </w:rPr>
        <w:t>前千禧年派的问题</w:t>
      </w:r>
    </w:p>
    <w:p w14:paraId="69555415">
      <w:pPr>
        <w:pStyle w:val="9"/>
        <w:spacing w:before="11"/>
        <w:ind w:left="0"/>
        <w:jc w:val="left"/>
        <w:rPr>
          <w:rFonts w:hint="eastAsia"/>
          <w:sz w:val="30"/>
          <w:szCs w:val="30"/>
        </w:rPr>
      </w:pPr>
    </w:p>
    <w:p w14:paraId="3D9ED04C">
      <w:pPr>
        <w:pStyle w:val="9"/>
        <w:spacing w:before="11"/>
        <w:ind w:left="0"/>
        <w:jc w:val="left"/>
        <w:rPr>
          <w:rFonts w:hint="eastAsia"/>
          <w:sz w:val="30"/>
          <w:szCs w:val="30"/>
        </w:rPr>
      </w:pPr>
      <w:r>
        <w:rPr>
          <w:rFonts w:hint="eastAsia"/>
          <w:sz w:val="30"/>
          <w:szCs w:val="30"/>
        </w:rPr>
        <w:t>How exactly shall we who follow Christ interpret this mysterious extended prophecy?</w:t>
      </w:r>
    </w:p>
    <w:p w14:paraId="3470BE33">
      <w:pPr>
        <w:pStyle w:val="9"/>
        <w:spacing w:before="11"/>
        <w:ind w:left="0"/>
        <w:jc w:val="left"/>
        <w:rPr>
          <w:rFonts w:hint="eastAsia"/>
          <w:sz w:val="30"/>
          <w:szCs w:val="30"/>
        </w:rPr>
      </w:pPr>
      <w:r>
        <w:rPr>
          <w:rFonts w:hint="eastAsia"/>
          <w:sz w:val="30"/>
          <w:szCs w:val="30"/>
        </w:rPr>
        <w:t>我们这些跟随基督的人究竟该如何解释这段神秘而冗长的预言呢？</w:t>
      </w:r>
    </w:p>
    <w:p w14:paraId="403C5761">
      <w:pPr>
        <w:pStyle w:val="9"/>
        <w:spacing w:before="11"/>
        <w:ind w:left="0"/>
        <w:jc w:val="left"/>
        <w:rPr>
          <w:rFonts w:hint="eastAsia"/>
          <w:sz w:val="30"/>
          <w:szCs w:val="30"/>
        </w:rPr>
      </w:pPr>
    </w:p>
    <w:p w14:paraId="2891ECD8">
      <w:pPr>
        <w:pStyle w:val="9"/>
        <w:spacing w:before="11"/>
        <w:ind w:left="0"/>
        <w:jc w:val="left"/>
        <w:rPr>
          <w:rFonts w:hint="eastAsia"/>
          <w:sz w:val="30"/>
          <w:szCs w:val="30"/>
        </w:rPr>
      </w:pPr>
      <w:r>
        <w:rPr>
          <w:rFonts w:hint="eastAsia"/>
          <w:sz w:val="30"/>
          <w:szCs w:val="30"/>
        </w:rPr>
        <w:t>As expected, the answer from our premillennarian brothers is uniform: We must interpret it literally, as predicting a war against an actual nation of latter-day ethnic Jews who are spiritually renewed and happily resettled in their ancestral homeland of Palestine.</w:t>
      </w:r>
    </w:p>
    <w:p w14:paraId="2043868A">
      <w:pPr>
        <w:pStyle w:val="9"/>
        <w:spacing w:before="11"/>
        <w:ind w:left="0"/>
        <w:jc w:val="left"/>
        <w:rPr>
          <w:rFonts w:hint="eastAsia"/>
          <w:sz w:val="30"/>
          <w:szCs w:val="30"/>
        </w:rPr>
      </w:pPr>
      <w:r>
        <w:rPr>
          <w:rFonts w:hint="eastAsia"/>
          <w:sz w:val="30"/>
          <w:szCs w:val="30"/>
        </w:rPr>
        <w:t>正如所料，我们前千禧年派弟兄的答案是一致的：我们必须按字面意思来解释它，认为它预言了一场针对末后一个真实的犹太民族的战争，这个民族在灵性上被更新，并快乐地重新定居在他们祖先的家园巴勒斯坦。</w:t>
      </w:r>
    </w:p>
    <w:p w14:paraId="1AE7FFB7">
      <w:pPr>
        <w:pStyle w:val="9"/>
        <w:spacing w:before="11"/>
        <w:ind w:left="0"/>
        <w:jc w:val="left"/>
        <w:rPr>
          <w:rFonts w:hint="eastAsia"/>
          <w:sz w:val="30"/>
          <w:szCs w:val="30"/>
        </w:rPr>
      </w:pPr>
    </w:p>
    <w:p w14:paraId="109432C1">
      <w:pPr>
        <w:pStyle w:val="9"/>
        <w:spacing w:before="11"/>
        <w:ind w:left="0"/>
        <w:jc w:val="left"/>
        <w:rPr>
          <w:rFonts w:hint="eastAsia"/>
          <w:sz w:val="30"/>
          <w:szCs w:val="30"/>
        </w:rPr>
      </w:pPr>
      <w:r>
        <w:rPr>
          <w:rFonts w:hint="eastAsia"/>
          <w:sz w:val="30"/>
          <w:szCs w:val="30"/>
        </w:rPr>
        <w:t>There are, however, some telling points of disagreement among them.</w:t>
      </w:r>
    </w:p>
    <w:p w14:paraId="2E5C8241">
      <w:pPr>
        <w:pStyle w:val="9"/>
        <w:spacing w:before="11"/>
        <w:ind w:left="0"/>
        <w:jc w:val="left"/>
        <w:rPr>
          <w:rFonts w:hint="eastAsia"/>
          <w:sz w:val="30"/>
          <w:szCs w:val="30"/>
        </w:rPr>
      </w:pPr>
      <w:r>
        <w:rPr>
          <w:rFonts w:hint="eastAsia"/>
          <w:sz w:val="30"/>
          <w:szCs w:val="30"/>
        </w:rPr>
        <w:t>然而，他们中间存在一些很能说明问题的分歧点。</w:t>
      </w:r>
    </w:p>
    <w:p w14:paraId="3364CF16">
      <w:pPr>
        <w:pStyle w:val="9"/>
        <w:spacing w:before="11"/>
        <w:ind w:left="0"/>
        <w:jc w:val="left"/>
        <w:rPr>
          <w:rFonts w:hint="eastAsia"/>
          <w:sz w:val="30"/>
          <w:szCs w:val="30"/>
        </w:rPr>
      </w:pPr>
    </w:p>
    <w:p w14:paraId="48F90C5D">
      <w:pPr>
        <w:pStyle w:val="9"/>
        <w:spacing w:before="11"/>
        <w:ind w:left="0"/>
        <w:jc w:val="left"/>
        <w:rPr>
          <w:rFonts w:hint="eastAsia"/>
          <w:sz w:val="30"/>
          <w:szCs w:val="30"/>
        </w:rPr>
      </w:pPr>
      <w:r>
        <w:rPr>
          <w:rFonts w:hint="eastAsia"/>
          <w:sz w:val="30"/>
          <w:szCs w:val="30"/>
        </w:rPr>
        <w:t>Fausset, for example, following the lead of Rev. 20:7-9, places the great battle at the close of the Millennium, forcing us to imagine Gog and his allies daring to attack the very “navel of the (millennial) world,” the land (and city) where the glorified Christ himself sits enthroned as king of the nations (38:12).</w:t>
      </w:r>
    </w:p>
    <w:p w14:paraId="7A0437E7">
      <w:pPr>
        <w:pStyle w:val="9"/>
        <w:spacing w:before="11"/>
        <w:ind w:left="0"/>
        <w:jc w:val="left"/>
        <w:rPr>
          <w:rFonts w:hint="eastAsia"/>
          <w:sz w:val="30"/>
          <w:szCs w:val="30"/>
        </w:rPr>
      </w:pPr>
      <w:r>
        <w:rPr>
          <w:rFonts w:hint="eastAsia"/>
          <w:sz w:val="30"/>
          <w:szCs w:val="30"/>
        </w:rPr>
        <w:t>例如，福塞特（Fausset）跟随启示录20:7-9的引导，将这场大战置于千禧年的末了，迫使我们去想象歌革和他的同盟胆敢攻击（千禧年）世界的“地之肚脐”，即荣耀的基督自己登基作万国之王的那片土地（和城）（38:12）。</w:t>
      </w:r>
    </w:p>
    <w:p w14:paraId="4B95C695">
      <w:pPr>
        <w:pStyle w:val="9"/>
        <w:spacing w:before="11"/>
        <w:ind w:left="0"/>
        <w:jc w:val="left"/>
        <w:rPr>
          <w:rFonts w:hint="eastAsia"/>
          <w:sz w:val="30"/>
          <w:szCs w:val="30"/>
        </w:rPr>
      </w:pPr>
    </w:p>
    <w:p w14:paraId="59EAAA57">
      <w:pPr>
        <w:pStyle w:val="9"/>
        <w:spacing w:before="11"/>
        <w:ind w:left="0"/>
        <w:jc w:val="left"/>
        <w:rPr>
          <w:rFonts w:hint="eastAsia"/>
          <w:sz w:val="30"/>
          <w:szCs w:val="30"/>
        </w:rPr>
      </w:pPr>
      <w:r>
        <w:rPr>
          <w:rFonts w:hint="eastAsia"/>
          <w:sz w:val="30"/>
          <w:szCs w:val="30"/>
        </w:rPr>
        <w:t>Meanwhile, Gaebelein, Scofield, Walvoord, and Showers all assert that the battle will take place just prior to Christ’s Second Coming and the onset of the Millennium.</w:t>
      </w:r>
    </w:p>
    <w:p w14:paraId="47763E5B">
      <w:pPr>
        <w:pStyle w:val="9"/>
        <w:spacing w:before="11"/>
        <w:ind w:left="0"/>
        <w:jc w:val="left"/>
        <w:rPr>
          <w:rFonts w:hint="eastAsia"/>
          <w:sz w:val="30"/>
          <w:szCs w:val="30"/>
        </w:rPr>
      </w:pPr>
      <w:r>
        <w:rPr>
          <w:rFonts w:hint="eastAsia"/>
          <w:sz w:val="30"/>
          <w:szCs w:val="30"/>
        </w:rPr>
        <w:t>与此同时，加伯林（Gaebelein）、司可福（Scofield）、华富德（Walvoord）和萧尔斯（Showers）都断言，这场战斗将发生在基督第二次降临和千禧年开始之前。</w:t>
      </w:r>
    </w:p>
    <w:p w14:paraId="0AE1CCC1">
      <w:pPr>
        <w:pStyle w:val="9"/>
        <w:spacing w:before="11"/>
        <w:ind w:left="0"/>
        <w:jc w:val="left"/>
        <w:rPr>
          <w:rFonts w:hint="eastAsia"/>
          <w:sz w:val="30"/>
          <w:szCs w:val="30"/>
        </w:rPr>
      </w:pPr>
    </w:p>
    <w:p w14:paraId="038C2E4F">
      <w:pPr>
        <w:pStyle w:val="9"/>
        <w:spacing w:before="11"/>
        <w:ind w:left="0"/>
        <w:jc w:val="left"/>
        <w:rPr>
          <w:rFonts w:hint="eastAsia"/>
          <w:sz w:val="30"/>
          <w:szCs w:val="30"/>
        </w:rPr>
      </w:pPr>
      <w:r>
        <w:rPr>
          <w:rFonts w:hint="eastAsia"/>
          <w:sz w:val="30"/>
          <w:szCs w:val="30"/>
        </w:rPr>
        <w:t>This, however, forces them to explain why Ezekiel has the Messiah living in the land before the Last Battle, rather than coming to it afterwards (Ezek. 37:24-25).</w:t>
      </w:r>
    </w:p>
    <w:p w14:paraId="11235A1F">
      <w:pPr>
        <w:pStyle w:val="9"/>
        <w:spacing w:before="11"/>
        <w:ind w:left="0"/>
        <w:jc w:val="left"/>
        <w:rPr>
          <w:rFonts w:hint="eastAsia"/>
          <w:sz w:val="30"/>
          <w:szCs w:val="30"/>
        </w:rPr>
      </w:pPr>
      <w:r>
        <w:rPr>
          <w:rFonts w:hint="eastAsia"/>
          <w:sz w:val="30"/>
          <w:szCs w:val="30"/>
        </w:rPr>
        <w:t>然而，这迫使他们解释为什么以西结书让弥赛亚在末日之战前就住在地上，而不是之后才来到（以西结书37:24-25）。</w:t>
      </w:r>
    </w:p>
    <w:p w14:paraId="6EEEA027">
      <w:pPr>
        <w:pStyle w:val="9"/>
        <w:spacing w:before="11"/>
        <w:ind w:left="0"/>
        <w:jc w:val="left"/>
        <w:rPr>
          <w:rFonts w:hint="eastAsia"/>
          <w:sz w:val="30"/>
          <w:szCs w:val="30"/>
        </w:rPr>
      </w:pPr>
    </w:p>
    <w:p w14:paraId="0B3533DC">
      <w:pPr>
        <w:pStyle w:val="9"/>
        <w:spacing w:before="11"/>
        <w:ind w:left="0"/>
        <w:jc w:val="left"/>
        <w:rPr>
          <w:rFonts w:hint="eastAsia"/>
          <w:sz w:val="30"/>
          <w:szCs w:val="30"/>
        </w:rPr>
      </w:pPr>
      <w:r>
        <w:rPr>
          <w:rFonts w:hint="eastAsia"/>
          <w:sz w:val="30"/>
          <w:szCs w:val="30"/>
        </w:rPr>
        <w:t>Alas, such problems are only the tip of the iceberg.</w:t>
      </w:r>
    </w:p>
    <w:p w14:paraId="6883353A">
      <w:pPr>
        <w:pStyle w:val="9"/>
        <w:spacing w:before="11"/>
        <w:ind w:left="0"/>
        <w:jc w:val="left"/>
        <w:rPr>
          <w:rFonts w:hint="eastAsia"/>
          <w:sz w:val="30"/>
          <w:szCs w:val="30"/>
        </w:rPr>
      </w:pPr>
      <w:r>
        <w:rPr>
          <w:rFonts w:hint="eastAsia"/>
          <w:sz w:val="30"/>
          <w:szCs w:val="30"/>
        </w:rPr>
        <w:t>唉，这些问题只是冰山一角。</w:t>
      </w:r>
    </w:p>
    <w:p w14:paraId="178E8FAE">
      <w:pPr>
        <w:pStyle w:val="9"/>
        <w:spacing w:before="11"/>
        <w:ind w:left="0"/>
        <w:jc w:val="left"/>
        <w:rPr>
          <w:rFonts w:hint="eastAsia"/>
          <w:sz w:val="30"/>
          <w:szCs w:val="30"/>
        </w:rPr>
      </w:pPr>
    </w:p>
    <w:p w14:paraId="62D32091">
      <w:pPr>
        <w:pStyle w:val="9"/>
        <w:spacing w:before="11"/>
        <w:ind w:left="0"/>
        <w:jc w:val="left"/>
        <w:rPr>
          <w:rFonts w:hint="eastAsia"/>
          <w:sz w:val="30"/>
          <w:szCs w:val="30"/>
        </w:rPr>
      </w:pPr>
      <w:r>
        <w:rPr>
          <w:rFonts w:hint="eastAsia"/>
          <w:sz w:val="30"/>
          <w:szCs w:val="30"/>
        </w:rPr>
        <w:t>For even if the NT did not warn us against the literal interpretation of OTKP, our text itself supplies an abundance of hints that this cannot possibly be the exegetical route to follow.</w:t>
      </w:r>
    </w:p>
    <w:p w14:paraId="1F714A44">
      <w:pPr>
        <w:pStyle w:val="9"/>
        <w:spacing w:before="11"/>
        <w:ind w:left="0"/>
        <w:jc w:val="left"/>
        <w:rPr>
          <w:rFonts w:hint="eastAsia"/>
          <w:sz w:val="30"/>
          <w:szCs w:val="30"/>
        </w:rPr>
      </w:pPr>
      <w:r>
        <w:rPr>
          <w:rFonts w:hint="eastAsia"/>
          <w:sz w:val="30"/>
          <w:szCs w:val="30"/>
        </w:rPr>
        <w:t>因为即使新约没有警告我们不要按字面解释旧约国度预言，我们的经文本身也提供了大量的暗示，表明这绝不可能是应遵循的解经路径。</w:t>
      </w:r>
    </w:p>
    <w:p w14:paraId="344D4982">
      <w:pPr>
        <w:pStyle w:val="9"/>
        <w:spacing w:before="11"/>
        <w:ind w:left="0"/>
        <w:jc w:val="left"/>
        <w:rPr>
          <w:rFonts w:hint="eastAsia"/>
          <w:sz w:val="30"/>
          <w:szCs w:val="30"/>
        </w:rPr>
      </w:pPr>
    </w:p>
    <w:p w14:paraId="09FC6712">
      <w:pPr>
        <w:pStyle w:val="9"/>
        <w:spacing w:before="11"/>
        <w:ind w:left="0"/>
        <w:jc w:val="left"/>
        <w:rPr>
          <w:rFonts w:hint="eastAsia"/>
          <w:sz w:val="30"/>
          <w:szCs w:val="30"/>
        </w:rPr>
      </w:pPr>
      <w:r>
        <w:rPr>
          <w:rFonts w:hint="eastAsia"/>
          <w:sz w:val="30"/>
          <w:szCs w:val="30"/>
        </w:rPr>
        <w:t>Let us briefly consider a few of them.</w:t>
      </w:r>
    </w:p>
    <w:p w14:paraId="5D098A4A">
      <w:pPr>
        <w:pStyle w:val="9"/>
        <w:spacing w:before="11"/>
        <w:ind w:left="0"/>
        <w:jc w:val="left"/>
        <w:rPr>
          <w:rFonts w:hint="eastAsia"/>
          <w:sz w:val="30"/>
          <w:szCs w:val="30"/>
        </w:rPr>
      </w:pPr>
      <w:r>
        <w:rPr>
          <w:rFonts w:hint="eastAsia"/>
          <w:sz w:val="30"/>
          <w:szCs w:val="30"/>
        </w:rPr>
        <w:t>让我们简要地考虑其中几个。</w:t>
      </w:r>
    </w:p>
    <w:p w14:paraId="176D72AD">
      <w:pPr>
        <w:pStyle w:val="9"/>
        <w:spacing w:before="11"/>
        <w:ind w:left="0"/>
        <w:jc w:val="left"/>
        <w:rPr>
          <w:rFonts w:hint="eastAsia"/>
          <w:sz w:val="30"/>
          <w:szCs w:val="30"/>
        </w:rPr>
      </w:pPr>
    </w:p>
    <w:p w14:paraId="063D1FE3">
      <w:pPr>
        <w:pStyle w:val="9"/>
        <w:spacing w:before="11"/>
        <w:ind w:left="0"/>
        <w:jc w:val="left"/>
        <w:rPr>
          <w:rFonts w:hint="eastAsia"/>
          <w:sz w:val="30"/>
          <w:szCs w:val="30"/>
        </w:rPr>
      </w:pPr>
      <w:r>
        <w:rPr>
          <w:rFonts w:hint="eastAsia"/>
          <w:sz w:val="30"/>
          <w:szCs w:val="30"/>
        </w:rPr>
        <w:t>First, our prophecy contains a number of positive indicators that a symbolic interpretation is in order.</w:t>
      </w:r>
    </w:p>
    <w:p w14:paraId="48BF1701">
      <w:pPr>
        <w:pStyle w:val="9"/>
        <w:spacing w:before="11"/>
        <w:ind w:left="0"/>
        <w:jc w:val="left"/>
        <w:rPr>
          <w:rFonts w:hint="eastAsia"/>
          <w:sz w:val="30"/>
          <w:szCs w:val="30"/>
        </w:rPr>
      </w:pPr>
      <w:r>
        <w:rPr>
          <w:rFonts w:hint="eastAsia"/>
          <w:sz w:val="30"/>
          <w:szCs w:val="30"/>
        </w:rPr>
        <w:t>首先，我们的预言包含了一些积极的指标，表明象征性的解释是恰当的。</w:t>
      </w:r>
    </w:p>
    <w:p w14:paraId="6361A0D3">
      <w:pPr>
        <w:pStyle w:val="9"/>
        <w:spacing w:before="11"/>
        <w:ind w:left="0"/>
        <w:jc w:val="left"/>
        <w:rPr>
          <w:rFonts w:hint="eastAsia"/>
          <w:sz w:val="30"/>
          <w:szCs w:val="30"/>
        </w:rPr>
      </w:pPr>
    </w:p>
    <w:p w14:paraId="25AD5ABF">
      <w:pPr>
        <w:pStyle w:val="9"/>
        <w:spacing w:before="11"/>
        <w:ind w:left="0"/>
        <w:jc w:val="left"/>
        <w:rPr>
          <w:rFonts w:hint="eastAsia"/>
          <w:sz w:val="30"/>
          <w:szCs w:val="30"/>
        </w:rPr>
      </w:pPr>
      <w:r>
        <w:rPr>
          <w:rFonts w:hint="eastAsia"/>
          <w:sz w:val="30"/>
          <w:szCs w:val="30"/>
        </w:rPr>
        <w:t>Why, for example, is the identity of Gog so obscure and mysterious?</w:t>
      </w:r>
    </w:p>
    <w:p w14:paraId="5FAEE6A7">
      <w:pPr>
        <w:pStyle w:val="9"/>
        <w:spacing w:before="11"/>
        <w:ind w:left="0"/>
        <w:jc w:val="left"/>
        <w:rPr>
          <w:rFonts w:hint="eastAsia"/>
          <w:sz w:val="30"/>
          <w:szCs w:val="30"/>
        </w:rPr>
      </w:pPr>
      <w:r>
        <w:rPr>
          <w:rFonts w:hint="eastAsia"/>
          <w:sz w:val="30"/>
          <w:szCs w:val="30"/>
        </w:rPr>
        <w:t>例如，为什么歌革的身份如此模糊和神秘？</w:t>
      </w:r>
    </w:p>
    <w:p w14:paraId="4607B921">
      <w:pPr>
        <w:pStyle w:val="9"/>
        <w:spacing w:before="11"/>
        <w:ind w:left="0"/>
        <w:jc w:val="left"/>
        <w:rPr>
          <w:rFonts w:hint="eastAsia"/>
          <w:sz w:val="30"/>
          <w:szCs w:val="30"/>
        </w:rPr>
      </w:pPr>
    </w:p>
    <w:p w14:paraId="2C60EA5F">
      <w:pPr>
        <w:pStyle w:val="9"/>
        <w:spacing w:before="11"/>
        <w:ind w:left="0"/>
        <w:jc w:val="left"/>
        <w:rPr>
          <w:rFonts w:hint="eastAsia"/>
          <w:sz w:val="30"/>
          <w:szCs w:val="30"/>
        </w:rPr>
      </w:pPr>
      <w:r>
        <w:rPr>
          <w:rFonts w:hint="eastAsia"/>
          <w:sz w:val="30"/>
          <w:szCs w:val="30"/>
        </w:rPr>
        <w:t>Why does the number seven appear so frequently (38:1-6, 39:9, 12, 14)?</w:t>
      </w:r>
    </w:p>
    <w:p w14:paraId="23F88183">
      <w:pPr>
        <w:pStyle w:val="9"/>
        <w:spacing w:before="11"/>
        <w:ind w:left="0"/>
        <w:jc w:val="left"/>
        <w:rPr>
          <w:rFonts w:hint="eastAsia"/>
          <w:sz w:val="30"/>
          <w:szCs w:val="30"/>
        </w:rPr>
      </w:pPr>
      <w:r>
        <w:rPr>
          <w:rFonts w:hint="eastAsia"/>
          <w:sz w:val="30"/>
          <w:szCs w:val="30"/>
        </w:rPr>
        <w:t>为什么数字七出现得如此频繁（38:1-6, 39:9, 12, 14）？</w:t>
      </w:r>
    </w:p>
    <w:p w14:paraId="2138885A">
      <w:pPr>
        <w:pStyle w:val="9"/>
        <w:spacing w:before="11"/>
        <w:ind w:left="0"/>
        <w:jc w:val="left"/>
        <w:rPr>
          <w:rFonts w:hint="eastAsia"/>
          <w:sz w:val="30"/>
          <w:szCs w:val="30"/>
        </w:rPr>
      </w:pPr>
    </w:p>
    <w:p w14:paraId="0C834863">
      <w:pPr>
        <w:pStyle w:val="9"/>
        <w:spacing w:before="11"/>
        <w:ind w:left="0"/>
        <w:jc w:val="left"/>
        <w:rPr>
          <w:rFonts w:hint="eastAsia"/>
          <w:sz w:val="30"/>
          <w:szCs w:val="30"/>
        </w:rPr>
      </w:pPr>
      <w:r>
        <w:rPr>
          <w:rFonts w:hint="eastAsia"/>
          <w:sz w:val="30"/>
          <w:szCs w:val="30"/>
        </w:rPr>
        <w:t>Why do Gog and his hosts brandish six different kinds of weapons (the number six being biblically associated with man, Gen. 1:24-31, Rev. 13:18).</w:t>
      </w:r>
    </w:p>
    <w:p w14:paraId="166F1C52">
      <w:pPr>
        <w:pStyle w:val="9"/>
        <w:spacing w:before="11"/>
        <w:ind w:left="0"/>
        <w:jc w:val="left"/>
        <w:rPr>
          <w:rFonts w:hint="eastAsia"/>
          <w:sz w:val="30"/>
          <w:szCs w:val="30"/>
        </w:rPr>
      </w:pPr>
      <w:r>
        <w:rPr>
          <w:rFonts w:hint="eastAsia"/>
          <w:sz w:val="30"/>
          <w:szCs w:val="30"/>
        </w:rPr>
        <w:t>为什么歌革和他的军队挥舞着六种不同的武器（数字六在圣经中与人相关，创世记1:24-31，启示录13:18）。</w:t>
      </w:r>
    </w:p>
    <w:p w14:paraId="480F4EDD">
      <w:pPr>
        <w:pStyle w:val="9"/>
        <w:spacing w:before="11"/>
        <w:ind w:left="0"/>
        <w:jc w:val="left"/>
        <w:rPr>
          <w:rFonts w:hint="eastAsia"/>
          <w:sz w:val="30"/>
          <w:szCs w:val="30"/>
        </w:rPr>
      </w:pPr>
    </w:p>
    <w:p w14:paraId="531A2CD3">
      <w:pPr>
        <w:pStyle w:val="9"/>
        <w:spacing w:before="11"/>
        <w:ind w:left="0"/>
        <w:jc w:val="left"/>
        <w:rPr>
          <w:rFonts w:hint="eastAsia"/>
          <w:sz w:val="30"/>
          <w:szCs w:val="30"/>
        </w:rPr>
      </w:pPr>
      <w:r>
        <w:rPr>
          <w:rFonts w:hint="eastAsia"/>
          <w:sz w:val="30"/>
          <w:szCs w:val="30"/>
        </w:rPr>
        <w:t>Why does the Valley of Hamon Gog seem suddenly to turn into a city (39:15-16)?</w:t>
      </w:r>
    </w:p>
    <w:p w14:paraId="2D4D86E6">
      <w:pPr>
        <w:pStyle w:val="9"/>
        <w:spacing w:before="11"/>
        <w:ind w:left="0"/>
        <w:jc w:val="left"/>
        <w:rPr>
          <w:rFonts w:hint="eastAsia"/>
          <w:sz w:val="30"/>
          <w:szCs w:val="30"/>
        </w:rPr>
      </w:pPr>
      <w:r>
        <w:rPr>
          <w:rFonts w:hint="eastAsia"/>
          <w:sz w:val="30"/>
          <w:szCs w:val="30"/>
        </w:rPr>
        <w:t>为什么哈们歌革谷似乎突然变成了一座城（39:15-16）？</w:t>
      </w:r>
    </w:p>
    <w:p w14:paraId="1283D199">
      <w:pPr>
        <w:pStyle w:val="9"/>
        <w:spacing w:before="11"/>
        <w:ind w:left="0"/>
        <w:jc w:val="left"/>
        <w:rPr>
          <w:rFonts w:hint="eastAsia"/>
          <w:sz w:val="30"/>
          <w:szCs w:val="30"/>
        </w:rPr>
      </w:pPr>
    </w:p>
    <w:p w14:paraId="5E5CBA04">
      <w:pPr>
        <w:pStyle w:val="9"/>
        <w:spacing w:before="11"/>
        <w:ind w:left="0"/>
        <w:jc w:val="left"/>
        <w:rPr>
          <w:rFonts w:hint="eastAsia"/>
          <w:sz w:val="30"/>
          <w:szCs w:val="30"/>
        </w:rPr>
      </w:pPr>
      <w:r>
        <w:rPr>
          <w:rFonts w:hint="eastAsia"/>
          <w:sz w:val="30"/>
          <w:szCs w:val="30"/>
        </w:rPr>
        <w:t>And why, in describing what appears to be a strictly local judgment, does God suddenly speak of shaking the whole earth with his presence, and throwing down all mountains, pathways, and city walls, wherever they may be (38:20)?</w:t>
      </w:r>
    </w:p>
    <w:p w14:paraId="733082A1">
      <w:pPr>
        <w:pStyle w:val="9"/>
        <w:spacing w:before="11"/>
        <w:ind w:left="0"/>
        <w:jc w:val="left"/>
        <w:rPr>
          <w:rFonts w:hint="eastAsia"/>
          <w:sz w:val="30"/>
          <w:szCs w:val="30"/>
        </w:rPr>
      </w:pPr>
      <w:r>
        <w:rPr>
          <w:rFonts w:hint="eastAsia"/>
          <w:sz w:val="30"/>
          <w:szCs w:val="30"/>
        </w:rPr>
        <w:t>还有，在描述一个看似纯粹局部性审判时，为什么神突然说到要因祂的临在而震动全地，并推倒所有的山岭、悬崖和城墙，无论它们在哪里（38:20）？</w:t>
      </w:r>
    </w:p>
    <w:p w14:paraId="0BC8DAAD">
      <w:pPr>
        <w:pStyle w:val="9"/>
        <w:spacing w:before="11"/>
        <w:ind w:left="0"/>
        <w:jc w:val="left"/>
        <w:rPr>
          <w:rFonts w:hint="eastAsia"/>
          <w:sz w:val="30"/>
          <w:szCs w:val="30"/>
        </w:rPr>
      </w:pPr>
    </w:p>
    <w:p w14:paraId="7CB7C3CF">
      <w:pPr>
        <w:pStyle w:val="9"/>
        <w:spacing w:before="11"/>
        <w:ind w:left="0"/>
        <w:jc w:val="left"/>
        <w:rPr>
          <w:rFonts w:hint="eastAsia"/>
          <w:sz w:val="30"/>
          <w:szCs w:val="30"/>
        </w:rPr>
      </w:pPr>
      <w:r>
        <w:rPr>
          <w:rFonts w:hint="eastAsia"/>
          <w:sz w:val="30"/>
          <w:szCs w:val="30"/>
        </w:rPr>
        <w:t>Secondly, as we saw earlier, a literal approach to this prophecy brings it into conflict with the other prophecies of the Last Battle and the Day of the LORD.</w:t>
      </w:r>
    </w:p>
    <w:p w14:paraId="3691C893">
      <w:pPr>
        <w:pStyle w:val="9"/>
        <w:spacing w:before="11"/>
        <w:ind w:left="0"/>
        <w:jc w:val="left"/>
        <w:rPr>
          <w:rFonts w:hint="eastAsia"/>
          <w:sz w:val="30"/>
          <w:szCs w:val="30"/>
        </w:rPr>
      </w:pPr>
      <w:r>
        <w:rPr>
          <w:rFonts w:hint="eastAsia"/>
          <w:sz w:val="30"/>
          <w:szCs w:val="30"/>
        </w:rPr>
        <w:t>其次，正如我们前面所看到的，对这个预言采取字面解释的方法，会使其与关于末日之战和主的日子之其他预言相冲突。</w:t>
      </w:r>
    </w:p>
    <w:p w14:paraId="0164916D">
      <w:pPr>
        <w:pStyle w:val="9"/>
        <w:spacing w:before="11"/>
        <w:ind w:left="0"/>
        <w:jc w:val="left"/>
        <w:rPr>
          <w:rFonts w:hint="eastAsia"/>
          <w:sz w:val="30"/>
          <w:szCs w:val="30"/>
        </w:rPr>
      </w:pPr>
    </w:p>
    <w:p w14:paraId="4C8CBF1D">
      <w:pPr>
        <w:pStyle w:val="9"/>
        <w:spacing w:before="11"/>
        <w:ind w:left="0"/>
        <w:jc w:val="left"/>
        <w:rPr>
          <w:rFonts w:hint="eastAsia"/>
          <w:sz w:val="30"/>
          <w:szCs w:val="30"/>
        </w:rPr>
      </w:pPr>
      <w:r>
        <w:rPr>
          <w:rFonts w:hint="eastAsia"/>
          <w:sz w:val="30"/>
          <w:szCs w:val="30"/>
        </w:rPr>
        <w:t>While obviously speaking of the same eschatological event, these OTKP’s differ among themselves regarding the exact identity of Israel’s final foe, the location of the final conflict, the nature and extent of Israel’s involvement in the fight, and the character of the divine intervention that finally resolves it.</w:t>
      </w:r>
    </w:p>
    <w:p w14:paraId="3368A3FD">
      <w:pPr>
        <w:pStyle w:val="9"/>
        <w:spacing w:before="11"/>
        <w:ind w:left="0"/>
        <w:jc w:val="left"/>
        <w:rPr>
          <w:rFonts w:hint="eastAsia"/>
          <w:sz w:val="30"/>
          <w:szCs w:val="30"/>
        </w:rPr>
      </w:pPr>
      <w:r>
        <w:rPr>
          <w:rFonts w:hint="eastAsia"/>
          <w:sz w:val="30"/>
          <w:szCs w:val="30"/>
        </w:rPr>
        <w:t>虽然这些旧约国度预言显然都在谈论同一个末世事件，但它们在以色列最终敌人的确切身份、最终冲突的地点、以色列参与战斗的性质和程度，以及最终解决冲突的神圣干预的性质等方面，彼此之间存在差异。</w:t>
      </w:r>
    </w:p>
    <w:p w14:paraId="5DD4D537">
      <w:pPr>
        <w:pStyle w:val="9"/>
        <w:spacing w:before="11"/>
        <w:ind w:left="0"/>
        <w:jc w:val="left"/>
        <w:rPr>
          <w:rFonts w:hint="eastAsia"/>
          <w:sz w:val="30"/>
          <w:szCs w:val="30"/>
        </w:rPr>
      </w:pPr>
    </w:p>
    <w:p w14:paraId="767363F3">
      <w:pPr>
        <w:pStyle w:val="9"/>
        <w:spacing w:before="11"/>
        <w:ind w:left="0"/>
        <w:jc w:val="left"/>
        <w:rPr>
          <w:rFonts w:hint="eastAsia"/>
          <w:sz w:val="30"/>
          <w:szCs w:val="30"/>
        </w:rPr>
      </w:pPr>
      <w:r>
        <w:rPr>
          <w:rFonts w:hint="eastAsia"/>
          <w:sz w:val="30"/>
          <w:szCs w:val="30"/>
        </w:rPr>
        <w:t>Our resulting choice is stark: Use the NCH to discern the “mystical” meaning of these texts, or go mad trying to resolve all the conflicts produced by prophetic literalism.</w:t>
      </w:r>
    </w:p>
    <w:p w14:paraId="07FD1E75">
      <w:pPr>
        <w:pStyle w:val="9"/>
        <w:spacing w:before="11"/>
        <w:ind w:left="0"/>
        <w:jc w:val="left"/>
        <w:rPr>
          <w:rFonts w:hint="eastAsia"/>
          <w:sz w:val="30"/>
          <w:szCs w:val="30"/>
        </w:rPr>
      </w:pPr>
      <w:r>
        <w:rPr>
          <w:rFonts w:hint="eastAsia"/>
          <w:sz w:val="30"/>
          <w:szCs w:val="30"/>
        </w:rPr>
        <w:t>我们由此面临的选择是严峻的：要么使用新约圣经解释法（NCH）来辨明这些文本的“奥秘”含义，要么在试图解决由预言字面主义产生的所有冲突中发疯。</w:t>
      </w:r>
    </w:p>
    <w:p w14:paraId="3F408E06">
      <w:pPr>
        <w:pStyle w:val="9"/>
        <w:spacing w:before="11"/>
        <w:ind w:left="0"/>
        <w:jc w:val="left"/>
        <w:rPr>
          <w:rFonts w:hint="eastAsia"/>
          <w:sz w:val="30"/>
          <w:szCs w:val="30"/>
        </w:rPr>
      </w:pPr>
    </w:p>
    <w:p w14:paraId="2EB8FF01">
      <w:pPr>
        <w:pStyle w:val="9"/>
        <w:spacing w:before="11"/>
        <w:ind w:left="0"/>
        <w:jc w:val="left"/>
        <w:rPr>
          <w:rFonts w:hint="eastAsia"/>
          <w:sz w:val="30"/>
          <w:szCs w:val="30"/>
        </w:rPr>
      </w:pPr>
      <w:r>
        <w:rPr>
          <w:rFonts w:hint="eastAsia"/>
          <w:sz w:val="30"/>
          <w:szCs w:val="30"/>
        </w:rPr>
        <w:t>Thirdly, a literal interpretation entangles us in many anachronisms.</w:t>
      </w:r>
    </w:p>
    <w:p w14:paraId="5D66BDED">
      <w:pPr>
        <w:pStyle w:val="9"/>
        <w:spacing w:before="11"/>
        <w:ind w:left="0"/>
        <w:jc w:val="left"/>
        <w:rPr>
          <w:rFonts w:hint="eastAsia"/>
          <w:sz w:val="30"/>
          <w:szCs w:val="30"/>
        </w:rPr>
      </w:pPr>
      <w:r>
        <w:rPr>
          <w:rFonts w:hint="eastAsia"/>
          <w:sz w:val="30"/>
          <w:szCs w:val="30"/>
        </w:rPr>
        <w:t>第三，字面解释使我们陷入许多时代错置的困境。</w:t>
      </w:r>
    </w:p>
    <w:p w14:paraId="3F19A748">
      <w:pPr>
        <w:pStyle w:val="9"/>
        <w:spacing w:before="11"/>
        <w:ind w:left="0"/>
        <w:jc w:val="left"/>
        <w:rPr>
          <w:rFonts w:hint="eastAsia"/>
          <w:sz w:val="30"/>
          <w:szCs w:val="30"/>
        </w:rPr>
      </w:pPr>
    </w:p>
    <w:p w14:paraId="2C96EC3C">
      <w:pPr>
        <w:pStyle w:val="9"/>
        <w:spacing w:before="11"/>
        <w:ind w:left="0"/>
        <w:jc w:val="left"/>
        <w:rPr>
          <w:rFonts w:hint="eastAsia"/>
          <w:sz w:val="30"/>
          <w:szCs w:val="30"/>
        </w:rPr>
      </w:pPr>
      <w:r>
        <w:rPr>
          <w:rFonts w:hint="eastAsia"/>
          <w:sz w:val="30"/>
          <w:szCs w:val="30"/>
        </w:rPr>
        <w:t>Do we really want to say, for example, that in the latter-day s the nations of Magog, Meshech, Tubal, Gomer, Sheba, Dedan, and Tarshish will again return to the stage of world history?</w:t>
      </w:r>
    </w:p>
    <w:p w14:paraId="10479484">
      <w:pPr>
        <w:pStyle w:val="9"/>
        <w:spacing w:before="11"/>
        <w:ind w:left="0"/>
        <w:jc w:val="left"/>
        <w:rPr>
          <w:rFonts w:hint="eastAsia"/>
          <w:sz w:val="30"/>
          <w:szCs w:val="30"/>
        </w:rPr>
      </w:pPr>
      <w:r>
        <w:rPr>
          <w:rFonts w:hint="eastAsia"/>
          <w:sz w:val="30"/>
          <w:szCs w:val="30"/>
        </w:rPr>
        <w:t>例如，我们真的想说，在末后的日子里，玛各、米设、土巴、歌篾、示巴、底但和陀施这些国家会再次回到世界历史的舞台上吗？</w:t>
      </w:r>
    </w:p>
    <w:p w14:paraId="4DD4D37F">
      <w:pPr>
        <w:pStyle w:val="9"/>
        <w:spacing w:before="11"/>
        <w:ind w:left="0"/>
        <w:jc w:val="left"/>
        <w:rPr>
          <w:rFonts w:hint="eastAsia"/>
          <w:sz w:val="30"/>
          <w:szCs w:val="30"/>
        </w:rPr>
      </w:pPr>
    </w:p>
    <w:p w14:paraId="6C2B9D06">
      <w:pPr>
        <w:pStyle w:val="9"/>
        <w:spacing w:before="11"/>
        <w:ind w:left="0"/>
        <w:jc w:val="left"/>
        <w:rPr>
          <w:rFonts w:hint="eastAsia"/>
          <w:sz w:val="30"/>
          <w:szCs w:val="30"/>
        </w:rPr>
      </w:pPr>
      <w:r>
        <w:rPr>
          <w:rFonts w:hint="eastAsia"/>
          <w:sz w:val="30"/>
          <w:szCs w:val="30"/>
        </w:rPr>
        <w:t>Will whole armies really ride to war on horses?</w:t>
      </w:r>
    </w:p>
    <w:p w14:paraId="2FEB2CE6">
      <w:pPr>
        <w:pStyle w:val="9"/>
        <w:spacing w:before="11"/>
        <w:ind w:left="0"/>
        <w:jc w:val="left"/>
        <w:rPr>
          <w:rFonts w:hint="eastAsia"/>
          <w:sz w:val="30"/>
          <w:szCs w:val="30"/>
        </w:rPr>
      </w:pPr>
      <w:r>
        <w:rPr>
          <w:rFonts w:hint="eastAsia"/>
          <w:sz w:val="30"/>
          <w:szCs w:val="30"/>
        </w:rPr>
        <w:t>整支军队真的会骑马作战吗？</w:t>
      </w:r>
    </w:p>
    <w:p w14:paraId="7380BBEB">
      <w:pPr>
        <w:pStyle w:val="9"/>
        <w:spacing w:before="11"/>
        <w:ind w:left="0"/>
        <w:jc w:val="left"/>
        <w:rPr>
          <w:rFonts w:hint="eastAsia"/>
          <w:sz w:val="30"/>
          <w:szCs w:val="30"/>
        </w:rPr>
      </w:pPr>
    </w:p>
    <w:p w14:paraId="1848750F">
      <w:pPr>
        <w:pStyle w:val="9"/>
        <w:spacing w:before="11"/>
        <w:ind w:left="0"/>
        <w:jc w:val="left"/>
        <w:rPr>
          <w:rFonts w:hint="eastAsia"/>
          <w:sz w:val="30"/>
          <w:szCs w:val="30"/>
        </w:rPr>
      </w:pPr>
      <w:r>
        <w:rPr>
          <w:rFonts w:hint="eastAsia"/>
          <w:sz w:val="30"/>
          <w:szCs w:val="30"/>
        </w:rPr>
        <w:t>And will they really brandish shields and bucklers, bows and arrows, javelins and spears (38:4, 39:3, 9)?</w:t>
      </w:r>
    </w:p>
    <w:p w14:paraId="1088FC78">
      <w:pPr>
        <w:pStyle w:val="9"/>
        <w:spacing w:before="11"/>
        <w:ind w:left="0"/>
        <w:jc w:val="left"/>
        <w:rPr>
          <w:rFonts w:hint="eastAsia"/>
          <w:sz w:val="30"/>
          <w:szCs w:val="30"/>
        </w:rPr>
      </w:pPr>
      <w:r>
        <w:rPr>
          <w:rFonts w:hint="eastAsia"/>
          <w:sz w:val="30"/>
          <w:szCs w:val="30"/>
        </w:rPr>
        <w:t>他们真的会挥舞大小盾牌、弓箭、短枪和长矛吗（38:4, 39:3, 9）？</w:t>
      </w:r>
    </w:p>
    <w:p w14:paraId="09B7F5F7">
      <w:pPr>
        <w:pStyle w:val="9"/>
        <w:spacing w:before="11"/>
        <w:ind w:left="0"/>
        <w:jc w:val="left"/>
        <w:rPr>
          <w:rFonts w:hint="eastAsia"/>
          <w:sz w:val="30"/>
          <w:szCs w:val="30"/>
        </w:rPr>
      </w:pPr>
    </w:p>
    <w:p w14:paraId="39342F8B">
      <w:pPr>
        <w:pStyle w:val="9"/>
        <w:spacing w:before="11"/>
        <w:ind w:left="0"/>
        <w:jc w:val="left"/>
        <w:rPr>
          <w:rFonts w:hint="eastAsia"/>
          <w:sz w:val="30"/>
          <w:szCs w:val="30"/>
        </w:rPr>
      </w:pPr>
      <w:r>
        <w:rPr>
          <w:rFonts w:hint="eastAsia"/>
          <w:sz w:val="30"/>
          <w:szCs w:val="30"/>
        </w:rPr>
        <w:t>Also, what about some of the practical problems involved?</w:t>
      </w:r>
    </w:p>
    <w:p w14:paraId="09C6CC30">
      <w:pPr>
        <w:pStyle w:val="9"/>
        <w:spacing w:before="11"/>
        <w:ind w:left="0"/>
        <w:jc w:val="left"/>
        <w:rPr>
          <w:rFonts w:hint="eastAsia"/>
          <w:sz w:val="30"/>
          <w:szCs w:val="30"/>
        </w:rPr>
      </w:pPr>
      <w:r>
        <w:rPr>
          <w:rFonts w:hint="eastAsia"/>
          <w:sz w:val="30"/>
          <w:szCs w:val="30"/>
        </w:rPr>
        <w:t>另外，还有一些实际问题呢？</w:t>
      </w:r>
    </w:p>
    <w:p w14:paraId="1B646937">
      <w:pPr>
        <w:pStyle w:val="9"/>
        <w:spacing w:before="11"/>
        <w:ind w:left="0"/>
        <w:jc w:val="left"/>
        <w:rPr>
          <w:rFonts w:hint="eastAsia"/>
          <w:sz w:val="30"/>
          <w:szCs w:val="30"/>
        </w:rPr>
      </w:pPr>
    </w:p>
    <w:p w14:paraId="352B08CD">
      <w:pPr>
        <w:pStyle w:val="9"/>
        <w:spacing w:before="11"/>
        <w:ind w:left="0"/>
        <w:jc w:val="left"/>
        <w:rPr>
          <w:rFonts w:hint="eastAsia"/>
          <w:sz w:val="30"/>
          <w:szCs w:val="30"/>
        </w:rPr>
      </w:pPr>
      <w:r>
        <w:rPr>
          <w:rFonts w:hint="eastAsia"/>
          <w:sz w:val="30"/>
          <w:szCs w:val="30"/>
        </w:rPr>
        <w:t>Would (or could) modern armies bring enough wooden weapons to the field of battle for a nation of millions to use them as fuel for seven years (39:9)?</w:t>
      </w:r>
    </w:p>
    <w:p w14:paraId="08DB5B14">
      <w:pPr>
        <w:pStyle w:val="9"/>
        <w:spacing w:before="11"/>
        <w:ind w:left="0"/>
        <w:jc w:val="left"/>
        <w:rPr>
          <w:rFonts w:hint="eastAsia"/>
          <w:sz w:val="30"/>
          <w:szCs w:val="30"/>
        </w:rPr>
      </w:pPr>
      <w:r>
        <w:rPr>
          <w:rFonts w:hint="eastAsia"/>
          <w:sz w:val="30"/>
          <w:szCs w:val="30"/>
        </w:rPr>
        <w:t>现代军队会（或能）带足够多的木制武器到战场，让一个数百万人口的国家用它们作七年的燃料吗（39:9）？</w:t>
      </w:r>
    </w:p>
    <w:p w14:paraId="4E030028">
      <w:pPr>
        <w:pStyle w:val="9"/>
        <w:spacing w:before="11"/>
        <w:ind w:left="0"/>
        <w:jc w:val="left"/>
        <w:rPr>
          <w:rFonts w:hint="eastAsia"/>
          <w:sz w:val="30"/>
          <w:szCs w:val="30"/>
        </w:rPr>
      </w:pPr>
    </w:p>
    <w:p w14:paraId="0D52665C">
      <w:pPr>
        <w:pStyle w:val="9"/>
        <w:spacing w:before="11"/>
        <w:ind w:left="0"/>
        <w:jc w:val="left"/>
        <w:rPr>
          <w:rFonts w:hint="eastAsia"/>
          <w:sz w:val="30"/>
          <w:szCs w:val="30"/>
        </w:rPr>
      </w:pPr>
      <w:r>
        <w:rPr>
          <w:rFonts w:hint="eastAsia"/>
          <w:sz w:val="30"/>
          <w:szCs w:val="30"/>
        </w:rPr>
        <w:t>If “all the people of the land” daily bury the dead bodies of their defeated foes for seven months, how many hundreds of millions of corpses would there have to be (39:13)?</w:t>
      </w:r>
    </w:p>
    <w:p w14:paraId="066BFB7B">
      <w:pPr>
        <w:pStyle w:val="9"/>
        <w:spacing w:before="11"/>
        <w:ind w:left="0"/>
        <w:jc w:val="left"/>
        <w:rPr>
          <w:rFonts w:hint="eastAsia"/>
          <w:sz w:val="30"/>
          <w:szCs w:val="30"/>
        </w:rPr>
      </w:pPr>
      <w:r>
        <w:rPr>
          <w:rFonts w:hint="eastAsia"/>
          <w:sz w:val="30"/>
          <w:szCs w:val="30"/>
        </w:rPr>
        <w:t>如果“那地的全民”每天都埋葬他们被击败的敌人的尸体，持续七个月，那得有多少亿具尸体呢（39:13）？</w:t>
      </w:r>
    </w:p>
    <w:p w14:paraId="4865811F">
      <w:pPr>
        <w:pStyle w:val="9"/>
        <w:spacing w:before="11"/>
        <w:ind w:left="0"/>
        <w:jc w:val="left"/>
        <w:rPr>
          <w:rFonts w:hint="eastAsia"/>
          <w:sz w:val="30"/>
          <w:szCs w:val="30"/>
        </w:rPr>
      </w:pPr>
    </w:p>
    <w:p w14:paraId="51AFF58F">
      <w:pPr>
        <w:pStyle w:val="9"/>
        <w:spacing w:before="11"/>
        <w:ind w:left="0"/>
        <w:jc w:val="left"/>
        <w:rPr>
          <w:rFonts w:hint="eastAsia"/>
          <w:sz w:val="30"/>
          <w:szCs w:val="30"/>
        </w:rPr>
      </w:pPr>
      <w:r>
        <w:rPr>
          <w:rFonts w:hint="eastAsia"/>
          <w:sz w:val="30"/>
          <w:szCs w:val="30"/>
        </w:rPr>
        <w:t>How could the Israelites bear the stench?</w:t>
      </w:r>
    </w:p>
    <w:p w14:paraId="7EA70F5E">
      <w:pPr>
        <w:pStyle w:val="9"/>
        <w:spacing w:before="11"/>
        <w:ind w:left="0"/>
        <w:jc w:val="left"/>
        <w:rPr>
          <w:rFonts w:hint="eastAsia"/>
          <w:sz w:val="30"/>
          <w:szCs w:val="30"/>
        </w:rPr>
      </w:pPr>
      <w:r>
        <w:rPr>
          <w:rFonts w:hint="eastAsia"/>
          <w:sz w:val="30"/>
          <w:szCs w:val="30"/>
        </w:rPr>
        <w:t>以色列人如何能忍受那恶臭？</w:t>
      </w:r>
    </w:p>
    <w:p w14:paraId="4FAC97D8">
      <w:pPr>
        <w:pStyle w:val="9"/>
        <w:spacing w:before="11"/>
        <w:ind w:left="0"/>
        <w:jc w:val="left"/>
        <w:rPr>
          <w:rFonts w:hint="eastAsia"/>
          <w:sz w:val="30"/>
          <w:szCs w:val="30"/>
        </w:rPr>
      </w:pPr>
    </w:p>
    <w:p w14:paraId="0A19A8CD">
      <w:pPr>
        <w:pStyle w:val="9"/>
        <w:spacing w:before="11"/>
        <w:ind w:left="0"/>
        <w:jc w:val="left"/>
        <w:rPr>
          <w:rFonts w:hint="eastAsia"/>
          <w:sz w:val="30"/>
          <w:szCs w:val="30"/>
        </w:rPr>
      </w:pPr>
      <w:r>
        <w:rPr>
          <w:rFonts w:hint="eastAsia"/>
          <w:sz w:val="30"/>
          <w:szCs w:val="30"/>
        </w:rPr>
        <w:t>How could they avoid the spread of disease or plague?4</w:t>
      </w:r>
    </w:p>
    <w:p w14:paraId="22F3C063">
      <w:pPr>
        <w:pStyle w:val="9"/>
        <w:spacing w:before="11"/>
        <w:ind w:left="0"/>
        <w:jc w:val="left"/>
        <w:rPr>
          <w:rFonts w:hint="eastAsia"/>
          <w:sz w:val="30"/>
          <w:szCs w:val="30"/>
        </w:rPr>
      </w:pPr>
      <w:r>
        <w:rPr>
          <w:rFonts w:hint="eastAsia"/>
          <w:sz w:val="30"/>
          <w:szCs w:val="30"/>
        </w:rPr>
        <w:t>他们如何能避免疾病或瘟疫的蔓延呢？4</w:t>
      </w:r>
    </w:p>
    <w:p w14:paraId="6C425903">
      <w:pPr>
        <w:pStyle w:val="9"/>
        <w:spacing w:before="11"/>
        <w:ind w:left="0"/>
        <w:jc w:val="left"/>
        <w:rPr>
          <w:rFonts w:hint="eastAsia"/>
          <w:sz w:val="30"/>
          <w:szCs w:val="30"/>
        </w:rPr>
      </w:pPr>
    </w:p>
    <w:p w14:paraId="3865AD81">
      <w:pPr>
        <w:pStyle w:val="9"/>
        <w:spacing w:before="11"/>
        <w:ind w:left="0"/>
        <w:jc w:val="left"/>
        <w:rPr>
          <w:rFonts w:hint="eastAsia"/>
          <w:sz w:val="30"/>
          <w:szCs w:val="30"/>
        </w:rPr>
      </w:pPr>
      <w:r>
        <w:rPr>
          <w:rFonts w:hint="eastAsia"/>
          <w:sz w:val="30"/>
          <w:szCs w:val="30"/>
        </w:rPr>
        <w:t>For all these reasons—and many others found in the NT—we must abandon a literal interpretation, seeing that it will only land us in endless confusion and controversy.</w:t>
      </w:r>
    </w:p>
    <w:p w14:paraId="1267AEB0">
      <w:pPr>
        <w:pStyle w:val="9"/>
        <w:spacing w:before="11"/>
        <w:ind w:left="0"/>
        <w:jc w:val="left"/>
        <w:rPr>
          <w:rFonts w:hint="eastAsia"/>
          <w:sz w:val="30"/>
          <w:szCs w:val="30"/>
        </w:rPr>
      </w:pPr>
      <w:r>
        <w:rPr>
          <w:rFonts w:hint="eastAsia"/>
          <w:sz w:val="30"/>
          <w:szCs w:val="30"/>
        </w:rPr>
        <w:t>基于所有这些原因——以及新约中发现的许多其他原因——我们必须放弃字面解释，因为那只会使我们陷入无尽的困惑和争议。</w:t>
      </w:r>
    </w:p>
    <w:p w14:paraId="1F2EA7AB">
      <w:pPr>
        <w:pStyle w:val="9"/>
        <w:spacing w:before="11"/>
        <w:ind w:left="0"/>
        <w:jc w:val="left"/>
        <w:rPr>
          <w:rFonts w:hint="eastAsia"/>
          <w:sz w:val="30"/>
          <w:szCs w:val="30"/>
        </w:rPr>
      </w:pPr>
    </w:p>
    <w:p w14:paraId="0CE592F6">
      <w:pPr>
        <w:pStyle w:val="9"/>
        <w:spacing w:before="11"/>
        <w:ind w:left="0"/>
        <w:jc w:val="left"/>
        <w:rPr>
          <w:rFonts w:hint="eastAsia"/>
          <w:sz w:val="30"/>
          <w:szCs w:val="30"/>
        </w:rPr>
      </w:pPr>
      <w:r>
        <w:rPr>
          <w:rFonts w:hint="eastAsia"/>
          <w:sz w:val="30"/>
          <w:szCs w:val="30"/>
        </w:rPr>
        <w:t>Rather, we must yet again take in hand the master key—the NCH—by which alone we may open up the door of understanding; by which alone we may see the rich NT truth that the Spirit of God embedded in this picturesque and powerful OTKP.</w:t>
      </w:r>
    </w:p>
    <w:p w14:paraId="6BDAD3FE">
      <w:pPr>
        <w:pStyle w:val="9"/>
        <w:spacing w:before="11"/>
        <w:ind w:left="0"/>
        <w:jc w:val="left"/>
        <w:rPr>
          <w:rFonts w:hint="eastAsia"/>
          <w:sz w:val="30"/>
          <w:szCs w:val="30"/>
        </w:rPr>
      </w:pPr>
      <w:r>
        <w:rPr>
          <w:rFonts w:hint="eastAsia"/>
          <w:sz w:val="30"/>
          <w:szCs w:val="30"/>
        </w:rPr>
        <w:t>相反，我们必须再次拿起万能钥匙——新约圣经解释法（NCH）——只有藉着它，我们才能打开理解之门；只有藉着它，我们才能看到神的灵嵌入在这个如诗如画、充满力量的旧约国度预言中的丰富新约真理。</w:t>
      </w:r>
    </w:p>
    <w:p w14:paraId="204EC564">
      <w:pPr>
        <w:pStyle w:val="9"/>
        <w:spacing w:before="11"/>
        <w:ind w:left="0"/>
        <w:jc w:val="left"/>
        <w:rPr>
          <w:rFonts w:hint="eastAsia"/>
          <w:sz w:val="30"/>
          <w:szCs w:val="30"/>
        </w:rPr>
      </w:pPr>
    </w:p>
    <w:p w14:paraId="443955E5">
      <w:pPr>
        <w:pStyle w:val="9"/>
        <w:spacing w:before="11"/>
        <w:ind w:left="0"/>
        <w:jc w:val="left"/>
        <w:rPr>
          <w:rFonts w:hint="eastAsia"/>
          <w:sz w:val="30"/>
          <w:szCs w:val="30"/>
        </w:rPr>
      </w:pPr>
      <w:r>
        <w:rPr>
          <w:rFonts w:hint="eastAsia"/>
          <w:sz w:val="30"/>
          <w:szCs w:val="30"/>
        </w:rPr>
        <w:t>Let us do so now.</w:t>
      </w:r>
    </w:p>
    <w:p w14:paraId="5DC6FDB4">
      <w:pPr>
        <w:pStyle w:val="9"/>
        <w:spacing w:before="11"/>
        <w:ind w:left="0"/>
        <w:jc w:val="left"/>
        <w:rPr>
          <w:rFonts w:hint="eastAsia"/>
          <w:sz w:val="30"/>
          <w:szCs w:val="30"/>
        </w:rPr>
      </w:pPr>
      <w:r>
        <w:rPr>
          <w:rFonts w:hint="eastAsia"/>
          <w:sz w:val="30"/>
          <w:szCs w:val="30"/>
        </w:rPr>
        <w:t>现在就让我们这样做。</w:t>
      </w:r>
    </w:p>
    <w:p w14:paraId="475C4210">
      <w:pPr>
        <w:pStyle w:val="9"/>
        <w:spacing w:before="11"/>
        <w:ind w:left="0"/>
        <w:jc w:val="left"/>
        <w:rPr>
          <w:rFonts w:hint="eastAsia"/>
          <w:sz w:val="30"/>
          <w:szCs w:val="30"/>
        </w:rPr>
      </w:pPr>
    </w:p>
    <w:p w14:paraId="616398F9">
      <w:pPr>
        <w:pStyle w:val="9"/>
        <w:spacing w:before="11"/>
        <w:ind w:left="0"/>
        <w:jc w:val="left"/>
        <w:rPr>
          <w:rFonts w:hint="eastAsia"/>
          <w:sz w:val="30"/>
          <w:szCs w:val="30"/>
        </w:rPr>
      </w:pPr>
      <w:r>
        <w:rPr>
          <w:rFonts w:hint="eastAsia"/>
          <w:sz w:val="30"/>
          <w:szCs w:val="30"/>
        </w:rPr>
        <w:t>The NT and the Last Battle</w:t>
      </w:r>
    </w:p>
    <w:p w14:paraId="6E0DFA8B">
      <w:pPr>
        <w:pStyle w:val="9"/>
        <w:spacing w:before="11"/>
        <w:ind w:left="0"/>
        <w:jc w:val="left"/>
        <w:rPr>
          <w:rFonts w:hint="eastAsia"/>
          <w:sz w:val="30"/>
          <w:szCs w:val="30"/>
        </w:rPr>
      </w:pPr>
      <w:r>
        <w:rPr>
          <w:rFonts w:hint="eastAsia"/>
          <w:sz w:val="30"/>
          <w:szCs w:val="30"/>
        </w:rPr>
        <w:t>新约与末日之战</w:t>
      </w:r>
    </w:p>
    <w:p w14:paraId="603AD1CD">
      <w:pPr>
        <w:pStyle w:val="9"/>
        <w:spacing w:before="11"/>
        <w:ind w:left="0"/>
        <w:jc w:val="left"/>
        <w:rPr>
          <w:rFonts w:hint="eastAsia"/>
          <w:sz w:val="30"/>
          <w:szCs w:val="30"/>
        </w:rPr>
      </w:pPr>
    </w:p>
    <w:p w14:paraId="2CF17859">
      <w:pPr>
        <w:pStyle w:val="9"/>
        <w:spacing w:before="11"/>
        <w:ind w:left="0"/>
        <w:jc w:val="left"/>
        <w:rPr>
          <w:rFonts w:hint="eastAsia"/>
          <w:sz w:val="30"/>
          <w:szCs w:val="30"/>
        </w:rPr>
      </w:pPr>
      <w:r>
        <w:rPr>
          <w:rFonts w:hint="eastAsia"/>
          <w:sz w:val="30"/>
          <w:szCs w:val="30"/>
        </w:rPr>
        <w:t>By way of introduction, two important points may be made.</w:t>
      </w:r>
    </w:p>
    <w:p w14:paraId="6E2E549F">
      <w:pPr>
        <w:pStyle w:val="9"/>
        <w:spacing w:before="11"/>
        <w:ind w:left="0"/>
        <w:jc w:val="left"/>
        <w:rPr>
          <w:rFonts w:hint="eastAsia"/>
          <w:sz w:val="30"/>
          <w:szCs w:val="30"/>
        </w:rPr>
      </w:pPr>
      <w:r>
        <w:rPr>
          <w:rFonts w:hint="eastAsia"/>
          <w:sz w:val="30"/>
          <w:szCs w:val="30"/>
        </w:rPr>
        <w:t>作为引言，可以提出两个要点。</w:t>
      </w:r>
    </w:p>
    <w:p w14:paraId="66FD03FD">
      <w:pPr>
        <w:pStyle w:val="9"/>
        <w:spacing w:before="11"/>
        <w:ind w:left="0"/>
        <w:jc w:val="left"/>
        <w:rPr>
          <w:rFonts w:hint="eastAsia"/>
          <w:sz w:val="30"/>
          <w:szCs w:val="30"/>
        </w:rPr>
      </w:pPr>
    </w:p>
    <w:p w14:paraId="1438B6FF">
      <w:pPr>
        <w:pStyle w:val="9"/>
        <w:spacing w:before="11"/>
        <w:ind w:left="0"/>
        <w:jc w:val="left"/>
        <w:rPr>
          <w:rFonts w:hint="eastAsia"/>
          <w:sz w:val="30"/>
          <w:szCs w:val="30"/>
        </w:rPr>
      </w:pPr>
      <w:r>
        <w:rPr>
          <w:rFonts w:hint="eastAsia"/>
          <w:sz w:val="30"/>
          <w:szCs w:val="30"/>
        </w:rPr>
        <w:t>First, we must constantly keep in mind that the structure of NT eschatology supplies crucial light for the proper interpretation of this OTKP.</w:t>
      </w:r>
    </w:p>
    <w:p w14:paraId="19FE7B02">
      <w:pPr>
        <w:pStyle w:val="9"/>
        <w:spacing w:before="11"/>
        <w:ind w:left="0"/>
        <w:jc w:val="left"/>
        <w:rPr>
          <w:rFonts w:hint="eastAsia"/>
          <w:sz w:val="30"/>
          <w:szCs w:val="30"/>
        </w:rPr>
      </w:pPr>
      <w:r>
        <w:rPr>
          <w:rFonts w:hint="eastAsia"/>
          <w:sz w:val="30"/>
          <w:szCs w:val="30"/>
        </w:rPr>
        <w:t>首先，我们必须时刻牢记，新约末世论的结构为正确解释这个旧约国度预言提供了至关重要的亮光。</w:t>
      </w:r>
    </w:p>
    <w:p w14:paraId="790E90FA">
      <w:pPr>
        <w:pStyle w:val="9"/>
        <w:spacing w:before="11"/>
        <w:ind w:left="0"/>
        <w:jc w:val="left"/>
        <w:rPr>
          <w:rFonts w:hint="eastAsia"/>
          <w:sz w:val="30"/>
          <w:szCs w:val="30"/>
        </w:rPr>
      </w:pPr>
    </w:p>
    <w:p w14:paraId="17AEFAED">
      <w:pPr>
        <w:pStyle w:val="9"/>
        <w:spacing w:before="11"/>
        <w:ind w:left="0"/>
        <w:jc w:val="left"/>
        <w:rPr>
          <w:rFonts w:hint="eastAsia"/>
          <w:sz w:val="30"/>
          <w:szCs w:val="30"/>
        </w:rPr>
      </w:pPr>
      <w:r>
        <w:rPr>
          <w:rFonts w:hint="eastAsia"/>
          <w:sz w:val="30"/>
          <w:szCs w:val="30"/>
        </w:rPr>
        <w:t>As we just saw, it certainly appears that the rescue and restoration of eschatological Israel to her homeland in the Days of the Messiah (33-37) corresponds to the eschatological rescue of the Church throughout the NT Era of Proclamation (Eph. 1:20, 2:6, Col. 1:13, 2:19, Heb. 12:22).</w:t>
      </w:r>
    </w:p>
    <w:p w14:paraId="1E1B4529">
      <w:pPr>
        <w:pStyle w:val="9"/>
        <w:spacing w:before="11"/>
        <w:ind w:left="0"/>
        <w:jc w:val="left"/>
        <w:rPr>
          <w:rFonts w:hint="eastAsia"/>
          <w:sz w:val="30"/>
          <w:szCs w:val="30"/>
        </w:rPr>
      </w:pPr>
      <w:r>
        <w:rPr>
          <w:rFonts w:hint="eastAsia"/>
          <w:sz w:val="30"/>
          <w:szCs w:val="30"/>
        </w:rPr>
        <w:t>正如我们刚才所见，在弥赛亚的日子里（33-37章），末世性以色列被拯救并复兴到其家园，这显然与整个新约宣讲时代中教会的末世性拯救相对应（以弗所书1:20, 2:6, 歌罗西书1:13, 2:19, 希伯来书12:22）。</w:t>
      </w:r>
    </w:p>
    <w:p w14:paraId="20AB99FE">
      <w:pPr>
        <w:pStyle w:val="9"/>
        <w:spacing w:before="11"/>
        <w:ind w:left="0"/>
        <w:jc w:val="left"/>
        <w:rPr>
          <w:rFonts w:hint="eastAsia"/>
          <w:sz w:val="30"/>
          <w:szCs w:val="30"/>
        </w:rPr>
      </w:pPr>
    </w:p>
    <w:p w14:paraId="13429883">
      <w:pPr>
        <w:pStyle w:val="9"/>
        <w:spacing w:before="11"/>
        <w:ind w:left="0"/>
        <w:jc w:val="left"/>
        <w:rPr>
          <w:rFonts w:hint="eastAsia"/>
          <w:sz w:val="30"/>
          <w:szCs w:val="30"/>
        </w:rPr>
      </w:pPr>
      <w:r>
        <w:rPr>
          <w:rFonts w:hint="eastAsia"/>
          <w:sz w:val="30"/>
          <w:szCs w:val="30"/>
        </w:rPr>
        <w:t>But if that is so, then the latter-day attack of Gog and his hordes must correspond to what the NT refers to as the Last Battle: the latter-day attack of Satan, the Antichrist, and the united world-system against the Church.</w:t>
      </w:r>
    </w:p>
    <w:p w14:paraId="5BAD97A2">
      <w:pPr>
        <w:pStyle w:val="9"/>
        <w:spacing w:before="11"/>
        <w:ind w:left="0"/>
        <w:jc w:val="left"/>
        <w:rPr>
          <w:rFonts w:hint="eastAsia"/>
          <w:sz w:val="30"/>
          <w:szCs w:val="30"/>
        </w:rPr>
      </w:pPr>
      <w:r>
        <w:rPr>
          <w:rFonts w:hint="eastAsia"/>
          <w:sz w:val="30"/>
          <w:szCs w:val="30"/>
        </w:rPr>
        <w:t>但如果真是如此，那么歌革及其大军在末后的攻击，就必定与新约所指的末日之战相对应：即撒但、敌基督和联合的世界体系对教会的末日攻击。</w:t>
      </w:r>
    </w:p>
    <w:p w14:paraId="2F8A92AE">
      <w:pPr>
        <w:pStyle w:val="9"/>
        <w:spacing w:before="11"/>
        <w:ind w:left="0"/>
        <w:jc w:val="left"/>
        <w:rPr>
          <w:rFonts w:hint="eastAsia"/>
          <w:sz w:val="30"/>
          <w:szCs w:val="30"/>
        </w:rPr>
      </w:pPr>
    </w:p>
    <w:p w14:paraId="41514031">
      <w:pPr>
        <w:pStyle w:val="9"/>
        <w:spacing w:before="11"/>
        <w:ind w:left="0"/>
        <w:jc w:val="left"/>
        <w:rPr>
          <w:rFonts w:hint="eastAsia"/>
          <w:sz w:val="30"/>
          <w:szCs w:val="30"/>
        </w:rPr>
      </w:pPr>
      <w:r>
        <w:rPr>
          <w:rFonts w:hint="eastAsia"/>
          <w:sz w:val="30"/>
          <w:szCs w:val="30"/>
        </w:rPr>
        <w:t>And if all this is so, then Ezekiel’s portrait of Israel’s eschatological Temple, Land, and City must correspond to—and mystically depict—the Church in the World to Come, in the new heavens and the new earth.</w:t>
      </w:r>
    </w:p>
    <w:p w14:paraId="07C0E2BF">
      <w:pPr>
        <w:pStyle w:val="9"/>
        <w:spacing w:before="11"/>
        <w:ind w:left="0"/>
        <w:jc w:val="left"/>
        <w:rPr>
          <w:rFonts w:hint="eastAsia"/>
          <w:sz w:val="30"/>
          <w:szCs w:val="30"/>
        </w:rPr>
      </w:pPr>
      <w:r>
        <w:rPr>
          <w:rFonts w:hint="eastAsia"/>
          <w:sz w:val="30"/>
          <w:szCs w:val="30"/>
        </w:rPr>
        <w:t>如果这一切都成立，那么以西结对以色列末世的圣殿、土地和城市的描绘，就必须对应于——并奥秘地描绘——在将来的世界里，在新天新地中的教会。</w:t>
      </w:r>
    </w:p>
    <w:p w14:paraId="5C6FF52A">
      <w:pPr>
        <w:pStyle w:val="9"/>
        <w:spacing w:before="11"/>
        <w:ind w:left="0"/>
        <w:jc w:val="left"/>
        <w:rPr>
          <w:rFonts w:hint="eastAsia"/>
          <w:sz w:val="30"/>
          <w:szCs w:val="30"/>
        </w:rPr>
      </w:pPr>
    </w:p>
    <w:p w14:paraId="7CA6BD6E">
      <w:pPr>
        <w:pStyle w:val="9"/>
        <w:spacing w:before="11"/>
        <w:ind w:left="0"/>
        <w:jc w:val="left"/>
        <w:rPr>
          <w:rFonts w:hint="eastAsia"/>
          <w:sz w:val="30"/>
          <w:szCs w:val="30"/>
        </w:rPr>
      </w:pPr>
      <w:r>
        <w:rPr>
          <w:rFonts w:hint="eastAsia"/>
          <w:sz w:val="30"/>
          <w:szCs w:val="30"/>
        </w:rPr>
        <w:t>Secondly, if indeed these correspondences are real, then it is clear that in order to understand Ezekiel 38-39 we must thoroughly saturate ourselves in NT teaching about the Last Battle.</w:t>
      </w:r>
    </w:p>
    <w:p w14:paraId="689616DB">
      <w:pPr>
        <w:pStyle w:val="9"/>
        <w:spacing w:before="11"/>
        <w:ind w:left="0"/>
        <w:jc w:val="left"/>
        <w:rPr>
          <w:rFonts w:hint="eastAsia"/>
          <w:sz w:val="30"/>
          <w:szCs w:val="30"/>
        </w:rPr>
      </w:pPr>
      <w:r>
        <w:rPr>
          <w:rFonts w:hint="eastAsia"/>
          <w:sz w:val="30"/>
          <w:szCs w:val="30"/>
        </w:rPr>
        <w:t>其次，如果这些对应关系确实存在，那么很明显，为了理解以西结书38-39章，我们必须让自己完全沉浸在新约关于末日之战的教导中。</w:t>
      </w:r>
    </w:p>
    <w:p w14:paraId="01E85E96">
      <w:pPr>
        <w:pStyle w:val="9"/>
        <w:spacing w:before="11"/>
        <w:ind w:left="0"/>
        <w:jc w:val="left"/>
        <w:rPr>
          <w:rFonts w:hint="eastAsia"/>
          <w:sz w:val="30"/>
          <w:szCs w:val="30"/>
        </w:rPr>
      </w:pPr>
    </w:p>
    <w:p w14:paraId="62B6C34C">
      <w:pPr>
        <w:pStyle w:val="9"/>
        <w:spacing w:before="11"/>
        <w:ind w:left="0"/>
        <w:jc w:val="left"/>
        <w:rPr>
          <w:rFonts w:hint="eastAsia"/>
          <w:sz w:val="30"/>
          <w:szCs w:val="30"/>
        </w:rPr>
      </w:pPr>
      <w:r>
        <w:rPr>
          <w:rFonts w:hint="eastAsia"/>
          <w:sz w:val="30"/>
          <w:szCs w:val="30"/>
        </w:rPr>
        <w:t>In Part 5 of our study, we will do this very thing, carefully examining all the relevant texts.</w:t>
      </w:r>
    </w:p>
    <w:p w14:paraId="25C2E6E1">
      <w:pPr>
        <w:pStyle w:val="9"/>
        <w:spacing w:before="11"/>
        <w:ind w:left="0"/>
        <w:jc w:val="left"/>
        <w:rPr>
          <w:rFonts w:hint="eastAsia"/>
          <w:sz w:val="30"/>
          <w:szCs w:val="30"/>
        </w:rPr>
      </w:pPr>
      <w:r>
        <w:rPr>
          <w:rFonts w:hint="eastAsia"/>
          <w:sz w:val="30"/>
          <w:szCs w:val="30"/>
        </w:rPr>
        <w:t>在我们研究的第五部分，我们将这样做，仔细查考所有相关的经文。</w:t>
      </w:r>
    </w:p>
    <w:p w14:paraId="677BF1D7">
      <w:pPr>
        <w:pStyle w:val="9"/>
        <w:spacing w:before="11"/>
        <w:ind w:left="0"/>
        <w:jc w:val="left"/>
        <w:rPr>
          <w:rFonts w:hint="eastAsia"/>
          <w:sz w:val="30"/>
          <w:szCs w:val="30"/>
        </w:rPr>
      </w:pPr>
    </w:p>
    <w:p w14:paraId="67117ADE">
      <w:pPr>
        <w:pStyle w:val="9"/>
        <w:spacing w:before="11"/>
        <w:ind w:left="0"/>
        <w:jc w:val="left"/>
        <w:rPr>
          <w:rFonts w:hint="eastAsia"/>
          <w:sz w:val="30"/>
          <w:szCs w:val="30"/>
        </w:rPr>
      </w:pPr>
      <w:r>
        <w:rPr>
          <w:rFonts w:hint="eastAsia"/>
          <w:sz w:val="30"/>
          <w:szCs w:val="30"/>
        </w:rPr>
        <w:t>Here, however, a brief overview is in order, so that we may effectively wrestle with the passage before us.</w:t>
      </w:r>
    </w:p>
    <w:p w14:paraId="4A9C0564">
      <w:pPr>
        <w:pStyle w:val="9"/>
        <w:spacing w:before="11"/>
        <w:ind w:left="0"/>
        <w:jc w:val="left"/>
        <w:rPr>
          <w:rFonts w:hint="eastAsia"/>
          <w:sz w:val="30"/>
          <w:szCs w:val="30"/>
        </w:rPr>
      </w:pPr>
      <w:r>
        <w:rPr>
          <w:rFonts w:hint="eastAsia"/>
          <w:sz w:val="30"/>
          <w:szCs w:val="30"/>
        </w:rPr>
        <w:t>然而，在这里，有必要作一个简要的概述，以便我们能有效地处理眼前的经文。</w:t>
      </w:r>
    </w:p>
    <w:p w14:paraId="43DE5994">
      <w:pPr>
        <w:pStyle w:val="9"/>
        <w:spacing w:before="11"/>
        <w:ind w:left="0"/>
        <w:jc w:val="left"/>
        <w:rPr>
          <w:rFonts w:hint="eastAsia"/>
          <w:sz w:val="30"/>
          <w:szCs w:val="30"/>
        </w:rPr>
      </w:pPr>
    </w:p>
    <w:p w14:paraId="7DB5E16F">
      <w:pPr>
        <w:pStyle w:val="9"/>
        <w:spacing w:before="11"/>
        <w:ind w:left="0"/>
        <w:jc w:val="left"/>
        <w:rPr>
          <w:rFonts w:hint="eastAsia"/>
          <w:sz w:val="30"/>
          <w:szCs w:val="30"/>
        </w:rPr>
      </w:pPr>
      <w:r>
        <w:rPr>
          <w:rFonts w:hint="eastAsia"/>
          <w:sz w:val="30"/>
          <w:szCs w:val="30"/>
        </w:rPr>
        <w:t>According to the NT, the Last Battle (1) has been decreed by God, (2) will occur at the very end of the Church era, when the Great Commission has been, or is very nearly, completed, (3) will immediately precede the Parousia of Christ, (4) will be spearheaded by Satan himself, indwelling a personal Antichrist, the Man of Lawlessness, (5) will involve the political, economic, and religious consolidation of the world-system around Satan and the Antichrist, (6) will involve the world-wide suppression of the worship and witness of the true spiritual Church, (7) will involve the apparent demise of that Church,(8) will be of very short duration, and (9) will be brought suddenly, supernaturally, and unexpectedly to a close by the Parousia of the glorified Lord Jesus Christ, who will deal out wrath and retribution to his foes (both human and demonic), even as he consummately rescues and restores his joyous, awestruck people, the Church.</w:t>
      </w:r>
    </w:p>
    <w:p w14:paraId="5E88BA39">
      <w:pPr>
        <w:pStyle w:val="9"/>
        <w:spacing w:before="11"/>
        <w:ind w:left="0"/>
        <w:jc w:val="left"/>
        <w:rPr>
          <w:rFonts w:hint="eastAsia"/>
          <w:sz w:val="30"/>
          <w:szCs w:val="30"/>
        </w:rPr>
      </w:pPr>
      <w:r>
        <w:rPr>
          <w:rFonts w:hint="eastAsia"/>
          <w:sz w:val="30"/>
          <w:szCs w:val="30"/>
        </w:rPr>
        <w:t>根据新约，末日之战（1）已由神命定，（2）将发生在教会时代的终结之时，当大使命已经或即将完成时，（3）将紧接在基督再临之前发生，（4）将由撒但亲自带头，内住在一个人身的敌基督，即那不法之人里面，（5）将涉及世界体系在政治、经济和宗教上围绕撒但和敌基督的整合，（6）将涉及对真正属灵教会的敬拜和见证的全球性压制，（7）将涉及该教会的表面消亡，（8）将持续很短的时间，以及（9）将被荣耀的主耶稣基督的再临突然、超自然且出人意料地终结，祂将向祂的仇敌（包括人和鬼魔）施行忿怒和报应，同时完美地拯救并复兴祂那喜乐、敬畏的子民，即教会。</w:t>
      </w:r>
    </w:p>
    <w:p w14:paraId="47BD6E98">
      <w:pPr>
        <w:pStyle w:val="9"/>
        <w:spacing w:before="11"/>
        <w:ind w:left="0"/>
        <w:jc w:val="left"/>
        <w:rPr>
          <w:rFonts w:hint="eastAsia"/>
          <w:sz w:val="30"/>
          <w:szCs w:val="30"/>
        </w:rPr>
      </w:pPr>
    </w:p>
    <w:p w14:paraId="4BEB4595">
      <w:pPr>
        <w:pStyle w:val="9"/>
        <w:spacing w:before="11"/>
        <w:ind w:left="0"/>
        <w:jc w:val="left"/>
        <w:rPr>
          <w:rFonts w:hint="eastAsia"/>
          <w:sz w:val="30"/>
          <w:szCs w:val="30"/>
        </w:rPr>
      </w:pPr>
      <w:r>
        <w:rPr>
          <w:rFonts w:hint="eastAsia"/>
          <w:sz w:val="30"/>
          <w:szCs w:val="30"/>
        </w:rPr>
        <w:t>As we will see later, Revelation 20:7-10, viewed in amillennial perspective, fully harmonizes with this NT characterization of the Last Battle.</w:t>
      </w:r>
    </w:p>
    <w:p w14:paraId="30D9F5A6">
      <w:pPr>
        <w:pStyle w:val="9"/>
        <w:spacing w:before="11"/>
        <w:ind w:left="0"/>
        <w:jc w:val="left"/>
        <w:rPr>
          <w:rFonts w:hint="eastAsia"/>
          <w:sz w:val="30"/>
          <w:szCs w:val="30"/>
        </w:rPr>
      </w:pPr>
      <w:r>
        <w:rPr>
          <w:rFonts w:hint="eastAsia"/>
          <w:sz w:val="30"/>
          <w:szCs w:val="30"/>
        </w:rPr>
        <w:t>我们稍后将会看到，从无千禧年派的视角来看，启示录20:7-10与新约对末日之战的这一描述完全协调。</w:t>
      </w:r>
    </w:p>
    <w:p w14:paraId="2B549AF0">
      <w:pPr>
        <w:pStyle w:val="9"/>
        <w:spacing w:before="11"/>
        <w:ind w:left="0"/>
        <w:jc w:val="left"/>
        <w:rPr>
          <w:rFonts w:hint="eastAsia"/>
          <w:sz w:val="30"/>
          <w:szCs w:val="30"/>
        </w:rPr>
      </w:pPr>
    </w:p>
    <w:p w14:paraId="5DE08509">
      <w:pPr>
        <w:pStyle w:val="9"/>
        <w:spacing w:before="11"/>
        <w:ind w:left="0"/>
        <w:jc w:val="left"/>
        <w:rPr>
          <w:rFonts w:hint="eastAsia"/>
          <w:sz w:val="30"/>
          <w:szCs w:val="30"/>
        </w:rPr>
      </w:pPr>
      <w:r>
        <w:rPr>
          <w:rFonts w:hint="eastAsia"/>
          <w:sz w:val="30"/>
          <w:szCs w:val="30"/>
        </w:rPr>
        <w:t>And now, keeping all these things firmly in mind, we are ready for a fascinating journey through Ezekiel 38-39.</w:t>
      </w:r>
    </w:p>
    <w:p w14:paraId="52366319">
      <w:pPr>
        <w:pStyle w:val="9"/>
        <w:spacing w:before="11"/>
        <w:ind w:left="0"/>
        <w:jc w:val="left"/>
        <w:rPr>
          <w:sz w:val="15"/>
        </w:rPr>
      </w:pPr>
      <w:r>
        <w:rPr>
          <w:rFonts w:hint="eastAsia"/>
          <w:sz w:val="30"/>
          <w:szCs w:val="30"/>
        </w:rPr>
        <w:t>现在，将所有这些事牢记在心，我们准备好开始一段穿越以西结书38-39章的迷人旅程了。</w:t>
      </w:r>
    </w:p>
    <w:p w14:paraId="074F6F59">
      <w:pPr>
        <w:pStyle w:val="9"/>
        <w:spacing w:before="17"/>
        <w:ind w:left="0"/>
        <w:jc w:val="left"/>
        <w:rPr>
          <w:rFonts w:hint="eastAsia"/>
        </w:rPr>
      </w:pPr>
      <w:r>
        <w:rPr>
          <w:rFonts w:hint="eastAsia"/>
        </w:rPr>
        <w:t>The Deception of Gog (38:1-17)</w:t>
      </w:r>
    </w:p>
    <w:p w14:paraId="4F317E7D">
      <w:pPr>
        <w:pStyle w:val="9"/>
        <w:spacing w:before="17"/>
        <w:ind w:left="0"/>
        <w:jc w:val="left"/>
        <w:rPr>
          <w:rFonts w:hint="eastAsia"/>
        </w:rPr>
      </w:pPr>
      <w:r>
        <w:rPr>
          <w:rFonts w:hint="eastAsia"/>
        </w:rPr>
        <w:t>歌革的欺骗（38:1-17）</w:t>
      </w:r>
    </w:p>
    <w:p w14:paraId="05988F01">
      <w:pPr>
        <w:pStyle w:val="9"/>
        <w:spacing w:before="17"/>
        <w:ind w:left="0"/>
        <w:jc w:val="left"/>
        <w:rPr>
          <w:rFonts w:hint="eastAsia"/>
        </w:rPr>
      </w:pPr>
    </w:p>
    <w:p w14:paraId="47C10E60">
      <w:pPr>
        <w:pStyle w:val="9"/>
        <w:spacing w:before="17"/>
        <w:ind w:left="0"/>
        <w:jc w:val="left"/>
        <w:rPr>
          <w:rFonts w:hint="eastAsia"/>
        </w:rPr>
      </w:pPr>
      <w:r>
        <w:rPr>
          <w:rFonts w:hint="eastAsia"/>
        </w:rPr>
        <w:t>In verses 1-6, God commands Ezekiel to prophesy against Gog—who is consistently represented as a person—and the seven nations that will join him in the final assault against Israel: Meschech, Tubal, Persia, Ethiopia, Libya, Gomer, and Togarmah.</w:t>
      </w:r>
    </w:p>
    <w:p w14:paraId="5953E29C">
      <w:pPr>
        <w:pStyle w:val="9"/>
        <w:spacing w:before="17"/>
        <w:ind w:left="0"/>
        <w:jc w:val="left"/>
        <w:rPr>
          <w:rFonts w:hint="eastAsia"/>
        </w:rPr>
      </w:pPr>
      <w:r>
        <w:rPr>
          <w:rFonts w:hint="eastAsia"/>
        </w:rPr>
        <w:t>在1-6节中，神命令以西结说预言攻击歌革——他一直被描绘成一个人——以及将与他一同对以色列发动最后攻击的七个国家：米设、土巴、波斯、古实、弗、歌篾和陀迦玛。</w:t>
      </w:r>
    </w:p>
    <w:p w14:paraId="1A19C36D">
      <w:pPr>
        <w:pStyle w:val="9"/>
        <w:spacing w:before="17"/>
        <w:ind w:left="0"/>
        <w:jc w:val="left"/>
        <w:rPr>
          <w:rFonts w:hint="eastAsia"/>
        </w:rPr>
      </w:pPr>
    </w:p>
    <w:p w14:paraId="082B86C1">
      <w:pPr>
        <w:pStyle w:val="9"/>
        <w:spacing w:before="17"/>
        <w:ind w:left="0"/>
        <w:jc w:val="left"/>
        <w:rPr>
          <w:rFonts w:hint="eastAsia"/>
        </w:rPr>
      </w:pPr>
      <w:r>
        <w:rPr>
          <w:rFonts w:hint="eastAsia"/>
        </w:rPr>
        <w:t>The fact that he mentions exactly seven nations (the biblical number of completeness) indicates that these seven typify “the whole wide world.”</w:t>
      </w:r>
    </w:p>
    <w:p w14:paraId="16E1D72D">
      <w:pPr>
        <w:pStyle w:val="9"/>
        <w:spacing w:before="17"/>
        <w:ind w:left="0"/>
        <w:jc w:val="left"/>
        <w:rPr>
          <w:rFonts w:hint="eastAsia"/>
        </w:rPr>
      </w:pPr>
      <w:r>
        <w:rPr>
          <w:rFonts w:hint="eastAsia"/>
        </w:rPr>
        <w:t>祂恰好提到七个国家（圣经中代表完全的数字），这一事实表明这七国预表了“整个广阔的世界”。</w:t>
      </w:r>
    </w:p>
    <w:p w14:paraId="6D2C5C00">
      <w:pPr>
        <w:pStyle w:val="9"/>
        <w:spacing w:before="17"/>
        <w:ind w:left="0"/>
        <w:jc w:val="left"/>
        <w:rPr>
          <w:rFonts w:hint="eastAsia"/>
        </w:rPr>
      </w:pPr>
    </w:p>
    <w:p w14:paraId="43764AAF">
      <w:pPr>
        <w:pStyle w:val="9"/>
        <w:spacing w:before="17"/>
        <w:ind w:left="0"/>
        <w:jc w:val="left"/>
        <w:rPr>
          <w:rFonts w:hint="eastAsia"/>
        </w:rPr>
      </w:pPr>
      <w:r>
        <w:rPr>
          <w:rFonts w:hint="eastAsia"/>
        </w:rPr>
        <w:t>So too does the fact that they are situated to the north, east, and south of Israel.</w:t>
      </w:r>
    </w:p>
    <w:p w14:paraId="2E6382A1">
      <w:pPr>
        <w:pStyle w:val="9"/>
        <w:spacing w:before="17"/>
        <w:ind w:left="0"/>
        <w:jc w:val="left"/>
        <w:rPr>
          <w:rFonts w:hint="eastAsia"/>
        </w:rPr>
      </w:pPr>
      <w:r>
        <w:rPr>
          <w:rFonts w:hint="eastAsia"/>
        </w:rPr>
        <w:t>它们位于以色列的北、东、南三方，这一事实也同样表明了这一点。</w:t>
      </w:r>
    </w:p>
    <w:p w14:paraId="3889E6B3">
      <w:pPr>
        <w:pStyle w:val="9"/>
        <w:spacing w:before="17"/>
        <w:ind w:left="0"/>
        <w:jc w:val="left"/>
        <w:rPr>
          <w:rFonts w:hint="eastAsia"/>
        </w:rPr>
      </w:pPr>
    </w:p>
    <w:p w14:paraId="09FD0ED9">
      <w:pPr>
        <w:pStyle w:val="9"/>
        <w:spacing w:before="17"/>
        <w:ind w:left="0"/>
        <w:jc w:val="left"/>
        <w:rPr>
          <w:rFonts w:hint="eastAsia"/>
        </w:rPr>
      </w:pPr>
      <w:r>
        <w:rPr>
          <w:rFonts w:hint="eastAsia"/>
        </w:rPr>
        <w:t>Rev. 20:7-10 explicitly opens up this symbolism, declaring that the hordes of Gog and Magog will be gathered from “the four corners of the earth.”</w:t>
      </w:r>
    </w:p>
    <w:p w14:paraId="1DDEACE5">
      <w:pPr>
        <w:pStyle w:val="9"/>
        <w:spacing w:before="17"/>
        <w:ind w:left="0"/>
        <w:jc w:val="left"/>
        <w:rPr>
          <w:rFonts w:hint="eastAsia"/>
        </w:rPr>
      </w:pPr>
      <w:r>
        <w:rPr>
          <w:rFonts w:hint="eastAsia"/>
        </w:rPr>
        <w:t>启示录20:7-10明确揭示了这一象征意义，宣称歌革和玛各的大军将从“地的四角”聚集而来。</w:t>
      </w:r>
    </w:p>
    <w:p w14:paraId="57285476">
      <w:pPr>
        <w:pStyle w:val="9"/>
        <w:spacing w:before="17"/>
        <w:ind w:left="0"/>
        <w:jc w:val="left"/>
        <w:rPr>
          <w:rFonts w:hint="eastAsia"/>
        </w:rPr>
      </w:pPr>
    </w:p>
    <w:p w14:paraId="66FB4741">
      <w:pPr>
        <w:pStyle w:val="9"/>
        <w:spacing w:before="17"/>
        <w:ind w:left="0"/>
        <w:jc w:val="left"/>
        <w:rPr>
          <w:rFonts w:hint="eastAsia"/>
        </w:rPr>
      </w:pPr>
      <w:r>
        <w:rPr>
          <w:rFonts w:hint="eastAsia"/>
        </w:rPr>
        <w:t>The message, then, is that Gog— unveiled in the NT as a personal Antichrist controlled by Satan himself— will gather together the entire world-system for a final attack against the NT people of God, the Church.</w:t>
      </w:r>
    </w:p>
    <w:p w14:paraId="54FEAD58">
      <w:pPr>
        <w:pStyle w:val="9"/>
        <w:spacing w:before="17"/>
        <w:ind w:left="0"/>
        <w:jc w:val="left"/>
        <w:rPr>
          <w:rFonts w:hint="eastAsia"/>
        </w:rPr>
      </w:pPr>
      <w:r>
        <w:rPr>
          <w:rFonts w:hint="eastAsia"/>
        </w:rPr>
        <w:t>因此，这信息就是，歌革——在新约中被揭示为由撒但亲自控制的一个人格化的敌基督——将聚集整个世界体系，对神的新约子民，即教会，发动最后的攻击。</w:t>
      </w:r>
    </w:p>
    <w:p w14:paraId="36E4907B">
      <w:pPr>
        <w:pStyle w:val="9"/>
        <w:spacing w:before="17"/>
        <w:ind w:left="0"/>
        <w:jc w:val="left"/>
        <w:rPr>
          <w:rFonts w:hint="eastAsia"/>
        </w:rPr>
      </w:pPr>
    </w:p>
    <w:p w14:paraId="0FAAD330">
      <w:pPr>
        <w:pStyle w:val="9"/>
        <w:spacing w:before="17"/>
        <w:ind w:left="0"/>
        <w:jc w:val="left"/>
        <w:rPr>
          <w:rFonts w:hint="eastAsia"/>
        </w:rPr>
      </w:pPr>
      <w:r>
        <w:rPr>
          <w:rFonts w:hint="eastAsia"/>
        </w:rPr>
        <w:t>Being ignorant of the secret workings of God’s Providence, all these eschatological enemies will mean the assault for evil.</w:t>
      </w:r>
    </w:p>
    <w:p w14:paraId="2966755C">
      <w:pPr>
        <w:pStyle w:val="9"/>
        <w:spacing w:before="17"/>
        <w:ind w:left="0"/>
        <w:jc w:val="left"/>
        <w:rPr>
          <w:rFonts w:hint="eastAsia"/>
        </w:rPr>
      </w:pPr>
      <w:r>
        <w:rPr>
          <w:rFonts w:hint="eastAsia"/>
        </w:rPr>
        <w:t>这些末世的仇敌因不晓得神护理的奥秘作为，其攻击的意图本是恶的。</w:t>
      </w:r>
    </w:p>
    <w:p w14:paraId="12847236">
      <w:pPr>
        <w:pStyle w:val="9"/>
        <w:spacing w:before="17"/>
        <w:ind w:left="0"/>
        <w:jc w:val="left"/>
        <w:rPr>
          <w:rFonts w:hint="eastAsia"/>
        </w:rPr>
      </w:pPr>
    </w:p>
    <w:p w14:paraId="4A6BC911">
      <w:pPr>
        <w:pStyle w:val="9"/>
        <w:spacing w:before="17"/>
        <w:ind w:left="0"/>
        <w:jc w:val="left"/>
        <w:rPr>
          <w:rFonts w:hint="eastAsia"/>
        </w:rPr>
      </w:pPr>
      <w:r>
        <w:rPr>
          <w:rFonts w:hint="eastAsia"/>
        </w:rPr>
        <w:t>But God, seeking a final majestic display of his glory, will mean it for good, and is himself the One who therefore will bring it to pass (Gen. 50:20, Rom. 8:28, 11:36).</w:t>
      </w:r>
    </w:p>
    <w:p w14:paraId="4A9F5141">
      <w:pPr>
        <w:pStyle w:val="9"/>
        <w:spacing w:before="17"/>
        <w:ind w:left="0"/>
        <w:jc w:val="left"/>
        <w:rPr>
          <w:rFonts w:hint="eastAsia"/>
        </w:rPr>
      </w:pPr>
      <w:r>
        <w:rPr>
          <w:rFonts w:hint="eastAsia"/>
        </w:rPr>
        <w:t>但神为要最终庄严地彰显祂的荣耀，其意图却是好的，并且祂自己就是因此要成就这事的那一位（创世记50:20，罗马书8:28，11:36）。</w:t>
      </w:r>
    </w:p>
    <w:p w14:paraId="3C18D0B2">
      <w:pPr>
        <w:pStyle w:val="9"/>
        <w:spacing w:before="17"/>
        <w:ind w:left="0"/>
        <w:jc w:val="left"/>
        <w:rPr>
          <w:rFonts w:hint="eastAsia"/>
        </w:rPr>
      </w:pPr>
    </w:p>
    <w:p w14:paraId="0CEEB964">
      <w:pPr>
        <w:pStyle w:val="9"/>
        <w:spacing w:before="17"/>
        <w:ind w:left="0"/>
        <w:jc w:val="left"/>
        <w:rPr>
          <w:rFonts w:hint="eastAsia"/>
        </w:rPr>
      </w:pPr>
      <w:r>
        <w:rPr>
          <w:rFonts w:hint="eastAsia"/>
        </w:rPr>
        <w:t>In verses 7-9, God elaborates.</w:t>
      </w:r>
    </w:p>
    <w:p w14:paraId="1F222B24">
      <w:pPr>
        <w:pStyle w:val="9"/>
        <w:spacing w:before="17"/>
        <w:ind w:left="0"/>
        <w:jc w:val="left"/>
        <w:rPr>
          <w:rFonts w:hint="eastAsia"/>
        </w:rPr>
      </w:pPr>
      <w:r>
        <w:rPr>
          <w:rFonts w:hint="eastAsia"/>
        </w:rPr>
        <w:t>在7-9节，神作了详述。</w:t>
      </w:r>
    </w:p>
    <w:p w14:paraId="0B97BF5E">
      <w:pPr>
        <w:pStyle w:val="9"/>
        <w:spacing w:before="17"/>
        <w:ind w:left="0"/>
        <w:jc w:val="left"/>
        <w:rPr>
          <w:rFonts w:hint="eastAsia"/>
        </w:rPr>
      </w:pPr>
    </w:p>
    <w:p w14:paraId="2052E790">
      <w:pPr>
        <w:pStyle w:val="9"/>
        <w:spacing w:before="17"/>
        <w:ind w:left="0"/>
        <w:jc w:val="left"/>
        <w:rPr>
          <w:rFonts w:hint="eastAsia"/>
        </w:rPr>
      </w:pPr>
      <w:r>
        <w:rPr>
          <w:rFonts w:hint="eastAsia"/>
        </w:rPr>
        <w:t>The battle will occur “after many days” and “in the latter years”—that is, at the end of the present evil age; at the end of the Era of Proclamation.</w:t>
      </w:r>
    </w:p>
    <w:p w14:paraId="71793C44">
      <w:pPr>
        <w:pStyle w:val="9"/>
        <w:spacing w:before="17"/>
        <w:ind w:left="0"/>
        <w:jc w:val="left"/>
        <w:rPr>
          <w:rFonts w:hint="eastAsia"/>
        </w:rPr>
      </w:pPr>
      <w:r>
        <w:rPr>
          <w:rFonts w:hint="eastAsia"/>
        </w:rPr>
        <w:t>这场战斗将发生在“多日以后”和“末后的年间”——也就是说，在现今邪恶世代的末了；在宣讲时代的终结。</w:t>
      </w:r>
    </w:p>
    <w:p w14:paraId="2156FC4E">
      <w:pPr>
        <w:pStyle w:val="9"/>
        <w:spacing w:before="17"/>
        <w:ind w:left="0"/>
        <w:jc w:val="left"/>
        <w:rPr>
          <w:rFonts w:hint="eastAsia"/>
        </w:rPr>
      </w:pPr>
    </w:p>
    <w:p w14:paraId="30C7C3C5">
      <w:pPr>
        <w:pStyle w:val="9"/>
        <w:spacing w:before="17"/>
        <w:ind w:left="0"/>
        <w:jc w:val="left"/>
        <w:rPr>
          <w:rFonts w:hint="eastAsia"/>
        </w:rPr>
      </w:pPr>
      <w:r>
        <w:rPr>
          <w:rFonts w:hint="eastAsia"/>
        </w:rPr>
        <w:t>God himself, by his Providence, will “visit” his foes, emboldening them to gather together against the LORD and his Anointed people (Psalm 2:1-3, Acts 4:23-31, Rev. 13:7).</w:t>
      </w:r>
    </w:p>
    <w:p w14:paraId="6C5A1539">
      <w:pPr>
        <w:pStyle w:val="9"/>
        <w:spacing w:before="17"/>
        <w:ind w:left="0"/>
        <w:jc w:val="left"/>
        <w:rPr>
          <w:rFonts w:hint="eastAsia"/>
        </w:rPr>
      </w:pPr>
      <w:r>
        <w:rPr>
          <w:rFonts w:hint="eastAsia"/>
        </w:rPr>
        <w:t>神自己将藉着祂的护理“临到”祂的仇敌，使他们胆壮，聚集起来抵挡主和祂的受膏子民（诗篇2:1-3，使徒行传4:23-31，启示录13:7）。</w:t>
      </w:r>
    </w:p>
    <w:p w14:paraId="34508344">
      <w:pPr>
        <w:pStyle w:val="9"/>
        <w:spacing w:before="17"/>
        <w:ind w:left="0"/>
        <w:jc w:val="left"/>
        <w:rPr>
          <w:rFonts w:hint="eastAsia"/>
        </w:rPr>
      </w:pPr>
    </w:p>
    <w:p w14:paraId="7D89A0A9">
      <w:pPr>
        <w:pStyle w:val="9"/>
        <w:spacing w:before="17"/>
        <w:ind w:left="0"/>
        <w:jc w:val="left"/>
        <w:rPr>
          <w:rFonts w:hint="eastAsia"/>
        </w:rPr>
      </w:pPr>
      <w:r>
        <w:rPr>
          <w:rFonts w:hint="eastAsia"/>
        </w:rPr>
        <w:t>With hostile intent, they will enter the land of God’s rescued and restored people (v. 8).</w:t>
      </w:r>
    </w:p>
    <w:p w14:paraId="1378E15F">
      <w:pPr>
        <w:pStyle w:val="9"/>
        <w:spacing w:before="17"/>
        <w:ind w:left="0"/>
        <w:jc w:val="left"/>
        <w:rPr>
          <w:rFonts w:hint="eastAsia"/>
        </w:rPr>
      </w:pPr>
      <w:r>
        <w:rPr>
          <w:rFonts w:hint="eastAsia"/>
        </w:rPr>
        <w:t>他们将怀着敌意，进入神所拯救和复兴之民的地（第8节）。</w:t>
      </w:r>
    </w:p>
    <w:p w14:paraId="1E7BAD6C">
      <w:pPr>
        <w:pStyle w:val="9"/>
        <w:spacing w:before="17"/>
        <w:ind w:left="0"/>
        <w:jc w:val="left"/>
        <w:rPr>
          <w:rFonts w:hint="eastAsia"/>
        </w:rPr>
      </w:pPr>
    </w:p>
    <w:p w14:paraId="658C7FDF">
      <w:pPr>
        <w:pStyle w:val="9"/>
        <w:spacing w:before="17"/>
        <w:ind w:left="0"/>
        <w:jc w:val="left"/>
        <w:rPr>
          <w:rFonts w:hint="eastAsia"/>
        </w:rPr>
      </w:pPr>
      <w:r>
        <w:rPr>
          <w:rFonts w:hint="eastAsia"/>
        </w:rPr>
        <w:t>That is, they will assault the people of Christ, a people called out of all the nations, rescued from the Domain of Darkness, and planted upon “the mountains of Israel.”</w:t>
      </w:r>
    </w:p>
    <w:p w14:paraId="018D0BB5">
      <w:pPr>
        <w:pStyle w:val="9"/>
        <w:spacing w:before="17"/>
        <w:ind w:left="0"/>
        <w:jc w:val="left"/>
        <w:rPr>
          <w:rFonts w:hint="eastAsia"/>
        </w:rPr>
      </w:pPr>
      <w:r>
        <w:rPr>
          <w:rFonts w:hint="eastAsia"/>
        </w:rPr>
        <w:t>也就是说，他们将攻击基督的子民，这群子民是从万国中被呼召出来，从黑暗的权势中被拯救出来，并被栽于“以色列的山上”。</w:t>
      </w:r>
    </w:p>
    <w:p w14:paraId="20F7E233">
      <w:pPr>
        <w:pStyle w:val="9"/>
        <w:spacing w:before="17"/>
        <w:ind w:left="0"/>
        <w:jc w:val="left"/>
        <w:rPr>
          <w:rFonts w:hint="eastAsia"/>
        </w:rPr>
      </w:pPr>
    </w:p>
    <w:p w14:paraId="6160AE53">
      <w:pPr>
        <w:pStyle w:val="9"/>
        <w:spacing w:before="17"/>
        <w:ind w:left="0"/>
        <w:jc w:val="left"/>
        <w:rPr>
          <w:rFonts w:hint="eastAsia"/>
        </w:rPr>
      </w:pPr>
      <w:r>
        <w:rPr>
          <w:rFonts w:hint="eastAsia"/>
        </w:rPr>
        <w:t>At this stage in Ezekiel’s prophesying, the mountains are not earthly, but heavenly: In Christ, God has planted his people in heavenly places (long “desolate” because of man’s sin), where they now dwell, in peace and security, with their mighty risen Lord (Col. 3:1-3, Heb. 12:22).</w:t>
      </w:r>
    </w:p>
    <w:p w14:paraId="0A8C6A97">
      <w:pPr>
        <w:pStyle w:val="9"/>
        <w:spacing w:before="17"/>
        <w:ind w:left="0"/>
        <w:jc w:val="left"/>
        <w:rPr>
          <w:rFonts w:hint="eastAsia"/>
        </w:rPr>
      </w:pPr>
      <w:r>
        <w:rPr>
          <w:rFonts w:hint="eastAsia"/>
        </w:rPr>
        <w:t>在以西结说预言的这个阶段，这些山不是属地的，而是属天的：在基督里，神已将祂的子民栽于属天之处（因人的罪而长久“荒凉”），他们现在与他们大能的复活之主一同在平安稳妥中居住（歌罗西书3:1-3，希伯来书12:22）。</w:t>
      </w:r>
    </w:p>
    <w:p w14:paraId="086309CD">
      <w:pPr>
        <w:pStyle w:val="9"/>
        <w:spacing w:before="17"/>
        <w:ind w:left="0"/>
        <w:jc w:val="left"/>
        <w:rPr>
          <w:rFonts w:hint="eastAsia"/>
        </w:rPr>
      </w:pPr>
    </w:p>
    <w:p w14:paraId="076FA770">
      <w:pPr>
        <w:pStyle w:val="9"/>
        <w:spacing w:before="17"/>
        <w:ind w:left="0"/>
        <w:jc w:val="left"/>
        <w:rPr>
          <w:rFonts w:hint="eastAsia"/>
        </w:rPr>
      </w:pPr>
      <w:r>
        <w:rPr>
          <w:rFonts w:hint="eastAsia"/>
        </w:rPr>
        <w:t>Later, at the Parousia, they will become earthly, for in that Day heaven and earth will become one.</w:t>
      </w:r>
    </w:p>
    <w:p w14:paraId="29186851">
      <w:pPr>
        <w:pStyle w:val="9"/>
        <w:spacing w:before="17"/>
        <w:ind w:left="0"/>
        <w:jc w:val="left"/>
        <w:rPr>
          <w:rFonts w:hint="eastAsia"/>
        </w:rPr>
      </w:pPr>
      <w:r>
        <w:rPr>
          <w:rFonts w:hint="eastAsia"/>
        </w:rPr>
        <w:t>后来，在基督再临时，它们将变为属地的，因为在那日，天与地将合而为一。</w:t>
      </w:r>
    </w:p>
    <w:p w14:paraId="3844F616">
      <w:pPr>
        <w:pStyle w:val="9"/>
        <w:spacing w:before="17"/>
        <w:ind w:left="0"/>
        <w:jc w:val="left"/>
        <w:rPr>
          <w:rFonts w:hint="eastAsia"/>
        </w:rPr>
      </w:pPr>
    </w:p>
    <w:p w14:paraId="7CB79D0A">
      <w:pPr>
        <w:pStyle w:val="9"/>
        <w:spacing w:before="17"/>
        <w:ind w:left="0"/>
        <w:jc w:val="left"/>
        <w:rPr>
          <w:rFonts w:hint="eastAsia"/>
        </w:rPr>
      </w:pPr>
      <w:r>
        <w:rPr>
          <w:rFonts w:hint="eastAsia"/>
        </w:rPr>
        <w:t>Observe again from verse 9 the universality of the attack: “Many peoples” are joined with Gog, and together they cover “the land”—the whole earth, soon to belong to the whole Church—like a cloud (Rev. 13:3, 8, 20:9).</w:t>
      </w:r>
    </w:p>
    <w:p w14:paraId="717657FF">
      <w:pPr>
        <w:pStyle w:val="9"/>
        <w:spacing w:before="17"/>
        <w:ind w:left="0"/>
        <w:jc w:val="left"/>
        <w:rPr>
          <w:rFonts w:hint="eastAsia"/>
        </w:rPr>
      </w:pPr>
      <w:r>
        <w:rPr>
          <w:rFonts w:hint="eastAsia"/>
        </w:rPr>
        <w:t>再从第9节观察这攻击的普世性：“多民”与歌革联合，他们一同遮盖“那地”——即整个大地，不久将属于整个教会——如同密云（启示录13:3, 8, 20:9）。</w:t>
      </w:r>
    </w:p>
    <w:p w14:paraId="4BB40DE7">
      <w:pPr>
        <w:pStyle w:val="9"/>
        <w:spacing w:before="17"/>
        <w:ind w:left="0"/>
        <w:jc w:val="left"/>
        <w:rPr>
          <w:rFonts w:hint="eastAsia"/>
        </w:rPr>
      </w:pPr>
    </w:p>
    <w:p w14:paraId="57C0D9B9">
      <w:pPr>
        <w:pStyle w:val="9"/>
        <w:spacing w:before="17"/>
        <w:ind w:left="0"/>
        <w:jc w:val="left"/>
        <w:rPr>
          <w:rFonts w:hint="eastAsia"/>
        </w:rPr>
      </w:pPr>
      <w:r>
        <w:rPr>
          <w:rFonts w:hint="eastAsia"/>
        </w:rPr>
        <w:t>In verses 10-13, God elaborates still further, this time probing the evil motivations of Gog and his hordes.</w:t>
      </w:r>
    </w:p>
    <w:p w14:paraId="2A8ACB3A">
      <w:pPr>
        <w:pStyle w:val="9"/>
        <w:spacing w:before="17"/>
        <w:ind w:left="0"/>
        <w:jc w:val="left"/>
        <w:rPr>
          <w:rFonts w:hint="eastAsia"/>
        </w:rPr>
      </w:pPr>
      <w:r>
        <w:rPr>
          <w:rFonts w:hint="eastAsia"/>
        </w:rPr>
        <w:t>在10-13节，神作了进一步的详述，这一次探讨了歌革及其大军的邪恶动机。</w:t>
      </w:r>
    </w:p>
    <w:p w14:paraId="1140F01A">
      <w:pPr>
        <w:pStyle w:val="9"/>
        <w:spacing w:before="17"/>
        <w:ind w:left="0"/>
        <w:jc w:val="left"/>
        <w:rPr>
          <w:rFonts w:hint="eastAsia"/>
        </w:rPr>
      </w:pPr>
    </w:p>
    <w:p w14:paraId="3EA579FB">
      <w:pPr>
        <w:pStyle w:val="9"/>
        <w:spacing w:before="17"/>
        <w:ind w:left="0"/>
        <w:jc w:val="left"/>
        <w:rPr>
          <w:rFonts w:hint="eastAsia"/>
        </w:rPr>
      </w:pPr>
      <w:r>
        <w:rPr>
          <w:rFonts w:hint="eastAsia"/>
        </w:rPr>
        <w:t>Seeing the powerlessness and prosperity of a peace-loving people who trust in God rather than walls and weapons, they will be emboldened “to capture spoil and to seize plunder.”</w:t>
      </w:r>
    </w:p>
    <w:p w14:paraId="4D73B14C">
      <w:pPr>
        <w:pStyle w:val="9"/>
        <w:spacing w:before="17"/>
        <w:ind w:left="0"/>
        <w:jc w:val="left"/>
        <w:rPr>
          <w:rFonts w:hint="eastAsia"/>
        </w:rPr>
      </w:pPr>
      <w:r>
        <w:rPr>
          <w:rFonts w:hint="eastAsia"/>
        </w:rPr>
        <w:t>看到一群爱好和平、信靠神而非城墙和武器的子民毫无能力却又繁荣昌盛，他们就胆壮起来，要“抢夺财物，掳掠掠物”。</w:t>
      </w:r>
    </w:p>
    <w:p w14:paraId="3B1D8E66">
      <w:pPr>
        <w:pStyle w:val="9"/>
        <w:spacing w:before="17"/>
        <w:ind w:left="0"/>
        <w:jc w:val="left"/>
        <w:rPr>
          <w:rFonts w:hint="eastAsia"/>
        </w:rPr>
      </w:pPr>
    </w:p>
    <w:p w14:paraId="72D1BC2A">
      <w:pPr>
        <w:pStyle w:val="9"/>
        <w:spacing w:before="17"/>
        <w:ind w:left="0"/>
        <w:jc w:val="left"/>
        <w:rPr>
          <w:rFonts w:hint="eastAsia"/>
        </w:rPr>
      </w:pPr>
      <w:r>
        <w:rPr>
          <w:rFonts w:hint="eastAsia"/>
        </w:rPr>
        <w:t>So too will many covetous onlookers, typified by the merchants of Sheba, Dedan, and Tarshsish (v. 13, Rev. 18:15-19).</w:t>
      </w:r>
    </w:p>
    <w:p w14:paraId="21617963">
      <w:pPr>
        <w:pStyle w:val="9"/>
        <w:spacing w:before="17"/>
        <w:ind w:left="0"/>
        <w:jc w:val="left"/>
        <w:rPr>
          <w:rFonts w:hint="eastAsia"/>
        </w:rPr>
      </w:pPr>
      <w:r>
        <w:rPr>
          <w:rFonts w:hint="eastAsia"/>
        </w:rPr>
        <w:t>许多贪婪的旁观者也是如此，以示巴、底但和陀施的商人为典型（第13节，启示录18:15-19）。</w:t>
      </w:r>
    </w:p>
    <w:p w14:paraId="228A72E7">
      <w:pPr>
        <w:pStyle w:val="9"/>
        <w:spacing w:before="17"/>
        <w:ind w:left="0"/>
        <w:jc w:val="left"/>
        <w:rPr>
          <w:rFonts w:hint="eastAsia"/>
        </w:rPr>
      </w:pPr>
    </w:p>
    <w:p w14:paraId="6139D227">
      <w:pPr>
        <w:pStyle w:val="9"/>
        <w:spacing w:before="17"/>
        <w:ind w:left="0"/>
        <w:jc w:val="left"/>
        <w:rPr>
          <w:rFonts w:hint="eastAsia"/>
        </w:rPr>
      </w:pPr>
      <w:r>
        <w:rPr>
          <w:rFonts w:hint="eastAsia"/>
        </w:rPr>
        <w:t>This passage calls to mind the earthly course of Christ himself, who at the end was led as a lamb to the slaughter; and also of all the disciples who would follow him, whom he sends out into the world as sheep among wolves, armed only with the weapons of truth, prayer, faith, hope, and love (Isaiah 53:7, Luke 10:3, Rom. 8:36, 1 Peter 3:8-17).</w:t>
      </w:r>
    </w:p>
    <w:p w14:paraId="0AB80CC1">
      <w:pPr>
        <w:pStyle w:val="9"/>
        <w:spacing w:before="17"/>
        <w:ind w:left="0"/>
        <w:jc w:val="left"/>
        <w:rPr>
          <w:rFonts w:hint="eastAsia"/>
        </w:rPr>
      </w:pPr>
      <w:r>
        <w:rPr>
          <w:rFonts w:hint="eastAsia"/>
        </w:rPr>
        <w:t>这段经文让人想起基督自己在世上的历程，祂在最后像羊羔被牵到宰杀之地；也让人想起所有将跟随祂的门徒，祂差遣他们进入世界，如同羊进入狼群，只装备着真理、祷告、信心、盼望和爱的武器（以赛亚书53:7，路加福音10:3，罗马书8:36，彼得前书3:8-17）。</w:t>
      </w:r>
    </w:p>
    <w:p w14:paraId="6510E0B9">
      <w:pPr>
        <w:pStyle w:val="9"/>
        <w:spacing w:before="17"/>
        <w:ind w:left="0"/>
        <w:jc w:val="left"/>
        <w:rPr>
          <w:rFonts w:hint="eastAsia"/>
        </w:rPr>
      </w:pPr>
    </w:p>
    <w:p w14:paraId="15BE1F20">
      <w:pPr>
        <w:pStyle w:val="9"/>
        <w:spacing w:before="17"/>
        <w:ind w:left="0"/>
        <w:jc w:val="left"/>
        <w:rPr>
          <w:rFonts w:hint="eastAsia"/>
        </w:rPr>
      </w:pPr>
      <w:r>
        <w:rPr>
          <w:rFonts w:hint="eastAsia"/>
        </w:rPr>
        <w:t>As a glance at world history plainly shows, for a longish season, these pilgrim people, by the Providence of God, became “the navel of the earth”, the spiritual center of world civilization (v. 12).</w:t>
      </w:r>
    </w:p>
    <w:p w14:paraId="22378426">
      <w:pPr>
        <w:pStyle w:val="9"/>
        <w:spacing w:before="17"/>
        <w:ind w:left="0"/>
        <w:jc w:val="left"/>
        <w:rPr>
          <w:rFonts w:hint="eastAsia"/>
        </w:rPr>
      </w:pPr>
      <w:r>
        <w:rPr>
          <w:rFonts w:hint="eastAsia"/>
        </w:rPr>
        <w:t>世界历史一瞥便清楚地显示，在一段颇长的时间里，这些客旅子民，藉着神的护理，成了“地之肚脐”，世界文明的属灵中心（第12节）。</w:t>
      </w:r>
    </w:p>
    <w:p w14:paraId="6CBF2BF0">
      <w:pPr>
        <w:pStyle w:val="9"/>
        <w:spacing w:before="17"/>
        <w:ind w:left="0"/>
        <w:jc w:val="left"/>
        <w:rPr>
          <w:rFonts w:hint="eastAsia"/>
        </w:rPr>
      </w:pPr>
    </w:p>
    <w:p w14:paraId="2CF78D43">
      <w:pPr>
        <w:pStyle w:val="9"/>
        <w:spacing w:before="17"/>
        <w:ind w:left="0"/>
        <w:jc w:val="left"/>
        <w:rPr>
          <w:rFonts w:hint="eastAsia"/>
        </w:rPr>
      </w:pPr>
      <w:r>
        <w:rPr>
          <w:rFonts w:hint="eastAsia"/>
        </w:rPr>
        <w:t>Biederwolf well writes:</w:t>
      </w:r>
    </w:p>
    <w:p w14:paraId="6D2CB1AC">
      <w:pPr>
        <w:pStyle w:val="9"/>
        <w:spacing w:before="17"/>
        <w:ind w:left="0"/>
        <w:jc w:val="left"/>
        <w:rPr>
          <w:rFonts w:hint="eastAsia"/>
        </w:rPr>
      </w:pPr>
      <w:r>
        <w:rPr>
          <w:rFonts w:hint="eastAsia"/>
        </w:rPr>
        <w:t>白德沃夫（Biederwolf）写得好：</w:t>
      </w:r>
    </w:p>
    <w:p w14:paraId="6785ADA8">
      <w:pPr>
        <w:pStyle w:val="9"/>
        <w:spacing w:before="17"/>
        <w:ind w:left="0"/>
        <w:jc w:val="left"/>
        <w:rPr>
          <w:rFonts w:hint="eastAsia"/>
        </w:rPr>
      </w:pPr>
    </w:p>
    <w:p w14:paraId="28D16328">
      <w:pPr>
        <w:pStyle w:val="9"/>
        <w:spacing w:before="17"/>
        <w:ind w:left="0"/>
        <w:jc w:val="left"/>
        <w:rPr>
          <w:rFonts w:hint="eastAsia"/>
        </w:rPr>
      </w:pPr>
      <w:r>
        <w:rPr>
          <w:rFonts w:hint="eastAsia"/>
        </w:rPr>
        <w:t>Palestine really was the center of the ancient civilized world.</w:t>
      </w:r>
    </w:p>
    <w:p w14:paraId="0801DD2D">
      <w:pPr>
        <w:pStyle w:val="9"/>
        <w:spacing w:before="17"/>
        <w:ind w:left="0"/>
        <w:jc w:val="left"/>
        <w:rPr>
          <w:rFonts w:hint="eastAsia"/>
        </w:rPr>
      </w:pPr>
      <w:r>
        <w:rPr>
          <w:rFonts w:hint="eastAsia"/>
        </w:rPr>
        <w:t>巴勒斯坦确实是古代文明世界的中心。</w:t>
      </w:r>
    </w:p>
    <w:p w14:paraId="36A7EA86">
      <w:pPr>
        <w:pStyle w:val="9"/>
        <w:spacing w:before="17"/>
        <w:ind w:left="0"/>
        <w:jc w:val="left"/>
        <w:rPr>
          <w:rFonts w:hint="eastAsia"/>
        </w:rPr>
      </w:pPr>
    </w:p>
    <w:p w14:paraId="0C8CF196">
      <w:pPr>
        <w:pStyle w:val="9"/>
        <w:spacing w:before="17"/>
        <w:ind w:left="0"/>
        <w:jc w:val="left"/>
        <w:rPr>
          <w:rFonts w:hint="eastAsia"/>
        </w:rPr>
      </w:pPr>
      <w:r>
        <w:rPr>
          <w:rFonts w:hint="eastAsia"/>
        </w:rPr>
        <w:t>But the expression is hardly to be taken physically.</w:t>
      </w:r>
    </w:p>
    <w:p w14:paraId="1E0474C5">
      <w:pPr>
        <w:pStyle w:val="9"/>
        <w:spacing w:before="17"/>
        <w:ind w:left="0"/>
        <w:jc w:val="left"/>
        <w:rPr>
          <w:rFonts w:hint="eastAsia"/>
        </w:rPr>
      </w:pPr>
      <w:r>
        <w:rPr>
          <w:rFonts w:hint="eastAsia"/>
        </w:rPr>
        <w:t>但这个表达很难从物理上理解。</w:t>
      </w:r>
    </w:p>
    <w:p w14:paraId="540CBAEE">
      <w:pPr>
        <w:pStyle w:val="9"/>
        <w:spacing w:before="17"/>
        <w:ind w:left="0"/>
        <w:jc w:val="left"/>
        <w:rPr>
          <w:rFonts w:hint="eastAsia"/>
        </w:rPr>
      </w:pPr>
    </w:p>
    <w:p w14:paraId="7EB16475">
      <w:pPr>
        <w:pStyle w:val="9"/>
        <w:spacing w:before="17"/>
        <w:ind w:left="0"/>
        <w:jc w:val="left"/>
        <w:rPr>
          <w:rFonts w:hint="eastAsia"/>
        </w:rPr>
      </w:pPr>
      <w:r>
        <w:rPr>
          <w:rFonts w:hint="eastAsia"/>
        </w:rPr>
        <w:t>It is rather to be taken morally, (as describing) the land most glorious and richly blessed, so that its inhabitants occupy the most exalted position among the nations, and thus a central position for being a blessing in the world.5</w:t>
      </w:r>
    </w:p>
    <w:p w14:paraId="72C30B07">
      <w:pPr>
        <w:pStyle w:val="9"/>
        <w:spacing w:before="17"/>
        <w:ind w:left="0"/>
        <w:jc w:val="left"/>
        <w:rPr>
          <w:rFonts w:hint="eastAsia"/>
        </w:rPr>
      </w:pPr>
      <w:r>
        <w:rPr>
          <w:rFonts w:hint="eastAsia"/>
        </w:rPr>
        <w:t>它更应从道德上理解，（作为描述）那片最荣耀、蒙福最丰盛的土地，以致其居民在列国中占据最崇高的地位，从而处于一个为世界带来祝福的中心位置。5</w:t>
      </w:r>
    </w:p>
    <w:p w14:paraId="5F6E1D45">
      <w:pPr>
        <w:pStyle w:val="9"/>
        <w:spacing w:before="17"/>
        <w:ind w:left="0"/>
        <w:jc w:val="left"/>
        <w:rPr>
          <w:rFonts w:hint="eastAsia"/>
        </w:rPr>
      </w:pPr>
    </w:p>
    <w:p w14:paraId="27B1C9DB">
      <w:pPr>
        <w:pStyle w:val="9"/>
        <w:spacing w:before="17"/>
        <w:ind w:left="0"/>
        <w:jc w:val="left"/>
        <w:rPr>
          <w:rFonts w:hint="eastAsia"/>
        </w:rPr>
      </w:pPr>
      <w:r>
        <w:rPr>
          <w:rFonts w:hint="eastAsia"/>
        </w:rPr>
        <w:t>Yet Ezekiel warns us that a time is coming when the center will no longer hold; when the moral force of the Gospel—and the moral influence of the Church that proclaims it—will no longer register upon the conscience of a lawless world; when it will suddenly dawn upon the rulers of this present evil age that there is no longer anything to prevent them from seizing, not just the property, but also the religious, philosophical, and moral high ground of the followers of the Prince of Peace (Mt. 24:12, 2 Tim. 3:1f, 2 Thess 2).</w:t>
      </w:r>
    </w:p>
    <w:p w14:paraId="7B43B544">
      <w:pPr>
        <w:pStyle w:val="9"/>
        <w:spacing w:before="17"/>
        <w:ind w:left="0"/>
        <w:jc w:val="left"/>
        <w:rPr>
          <w:rFonts w:hint="eastAsia"/>
        </w:rPr>
      </w:pPr>
      <w:r>
        <w:rPr>
          <w:rFonts w:hint="eastAsia"/>
        </w:rPr>
        <w:t>然而以西结警告我们，一个时候将到，那时中心将不再稳固；那时福音的道德力量——以及宣讲福音之教会的道德影响力——将不再能触动一个不法世界的良知；那时现今这邪恶世代的统治者们将恍然大悟，再没有什么能阻止他们夺取和平之君追随者的产业，不仅如此，还有其宗教、哲学和道德的制高点（马太福音24:12，提摩太后书3:1及以下，帖撒罗尼迦后书2章）。</w:t>
      </w:r>
    </w:p>
    <w:p w14:paraId="4A3E586A">
      <w:pPr>
        <w:pStyle w:val="9"/>
        <w:spacing w:before="17"/>
        <w:ind w:left="0"/>
        <w:jc w:val="left"/>
        <w:rPr>
          <w:rFonts w:hint="eastAsia"/>
        </w:rPr>
      </w:pPr>
    </w:p>
    <w:p w14:paraId="04CCD29C">
      <w:pPr>
        <w:pStyle w:val="9"/>
        <w:spacing w:before="17"/>
        <w:ind w:left="0"/>
        <w:jc w:val="left"/>
        <w:rPr>
          <w:rFonts w:hint="eastAsia"/>
        </w:rPr>
      </w:pPr>
      <w:r>
        <w:rPr>
          <w:rFonts w:hint="eastAsia"/>
        </w:rPr>
        <w:t>Only God knows what will fill the vacuum.</w:t>
      </w:r>
    </w:p>
    <w:p w14:paraId="5CF57FAC">
      <w:pPr>
        <w:pStyle w:val="9"/>
        <w:spacing w:before="17"/>
        <w:ind w:left="0"/>
        <w:jc w:val="left"/>
        <w:rPr>
          <w:rFonts w:hint="eastAsia"/>
        </w:rPr>
      </w:pPr>
      <w:r>
        <w:rPr>
          <w:rFonts w:hint="eastAsia"/>
        </w:rPr>
        <w:t>只有神知道什么会填补这个真空。</w:t>
      </w:r>
    </w:p>
    <w:p w14:paraId="59036454">
      <w:pPr>
        <w:pStyle w:val="9"/>
        <w:spacing w:before="17"/>
        <w:ind w:left="0"/>
        <w:jc w:val="left"/>
        <w:rPr>
          <w:rFonts w:hint="eastAsia"/>
        </w:rPr>
      </w:pPr>
    </w:p>
    <w:p w14:paraId="47D92DF9">
      <w:pPr>
        <w:pStyle w:val="9"/>
        <w:spacing w:before="17"/>
        <w:ind w:left="0"/>
        <w:jc w:val="left"/>
        <w:rPr>
          <w:rFonts w:hint="eastAsia"/>
        </w:rPr>
      </w:pPr>
      <w:r>
        <w:rPr>
          <w:rFonts w:hint="eastAsia"/>
        </w:rPr>
        <w:t>Before pronouncing judgment upon his foes, God reiterates his decree one final time (vv. 14-17).</w:t>
      </w:r>
    </w:p>
    <w:p w14:paraId="59DCF2C8">
      <w:pPr>
        <w:pStyle w:val="9"/>
        <w:spacing w:before="17"/>
        <w:ind w:left="0"/>
        <w:jc w:val="left"/>
        <w:rPr>
          <w:rFonts w:hint="eastAsia"/>
        </w:rPr>
      </w:pPr>
      <w:r>
        <w:rPr>
          <w:rFonts w:hint="eastAsia"/>
        </w:rPr>
        <w:t>在向祂的仇敌宣告审判之前，神最后一次重申了祂的谕旨（14-17节）。</w:t>
      </w:r>
    </w:p>
    <w:p w14:paraId="12534B66">
      <w:pPr>
        <w:pStyle w:val="9"/>
        <w:spacing w:before="17"/>
        <w:ind w:left="0"/>
        <w:jc w:val="left"/>
        <w:rPr>
          <w:rFonts w:hint="eastAsia"/>
        </w:rPr>
      </w:pPr>
    </w:p>
    <w:p w14:paraId="769DE672">
      <w:pPr>
        <w:pStyle w:val="9"/>
        <w:spacing w:before="17"/>
        <w:ind w:left="0"/>
        <w:jc w:val="left"/>
        <w:rPr>
          <w:rFonts w:hint="eastAsia"/>
        </w:rPr>
      </w:pPr>
      <w:r>
        <w:rPr>
          <w:rFonts w:hint="eastAsia"/>
        </w:rPr>
        <w:t>Yes, Gog will indeed discern the security—and vulnerability—of God’s little flock (v. 14).</w:t>
      </w:r>
    </w:p>
    <w:p w14:paraId="40BC3D7B">
      <w:pPr>
        <w:pStyle w:val="9"/>
        <w:spacing w:before="17"/>
        <w:ind w:left="0"/>
        <w:jc w:val="left"/>
        <w:rPr>
          <w:rFonts w:hint="eastAsia"/>
        </w:rPr>
      </w:pPr>
      <w:r>
        <w:rPr>
          <w:rFonts w:hint="eastAsia"/>
        </w:rPr>
        <w:t>是的，歌革确实会察觉到神小群羊的安稳——和脆弱（第14节）。</w:t>
      </w:r>
    </w:p>
    <w:p w14:paraId="73B91541">
      <w:pPr>
        <w:pStyle w:val="9"/>
        <w:spacing w:before="17"/>
        <w:ind w:left="0"/>
        <w:jc w:val="left"/>
        <w:rPr>
          <w:rFonts w:hint="eastAsia"/>
        </w:rPr>
      </w:pPr>
    </w:p>
    <w:p w14:paraId="1956D7DF">
      <w:pPr>
        <w:pStyle w:val="9"/>
        <w:spacing w:before="17"/>
        <w:ind w:left="0"/>
        <w:jc w:val="left"/>
        <w:rPr>
          <w:rFonts w:hint="eastAsia"/>
        </w:rPr>
      </w:pPr>
      <w:r>
        <w:rPr>
          <w:rFonts w:hint="eastAsia"/>
        </w:rPr>
        <w:t>And yes, many latter-day nations will follow him, all animated by the same spirit that impelled so many of Israel’s former enemies (now passed from the stage of history) to invade Palestine from the north (v. 15, Isaiah 41:25, Jer. 1:13-15, 6:22f).</w:t>
      </w:r>
    </w:p>
    <w:p w14:paraId="62FE5E3C">
      <w:pPr>
        <w:pStyle w:val="9"/>
        <w:spacing w:before="17"/>
        <w:ind w:left="0"/>
        <w:jc w:val="left"/>
        <w:rPr>
          <w:rFonts w:hint="eastAsia"/>
        </w:rPr>
      </w:pPr>
      <w:r>
        <w:rPr>
          <w:rFonts w:hint="eastAsia"/>
        </w:rPr>
        <w:t>是的，许多末后的国家将跟随他，都受着同样的精神驱使，那曾驱使以色列那么多昔日的仇敌（现已从历史舞台上消失）从北方入侵巴勒斯坦（第15节，以赛亚书41:25，耶利米书1:13-15，6:22及以下）。</w:t>
      </w:r>
    </w:p>
    <w:p w14:paraId="3E980F9A">
      <w:pPr>
        <w:pStyle w:val="9"/>
        <w:spacing w:before="17"/>
        <w:ind w:left="0"/>
        <w:jc w:val="left"/>
        <w:rPr>
          <w:rFonts w:hint="eastAsia"/>
        </w:rPr>
      </w:pPr>
    </w:p>
    <w:p w14:paraId="3ED1ACA2">
      <w:pPr>
        <w:pStyle w:val="9"/>
        <w:spacing w:before="17"/>
        <w:ind w:left="0"/>
        <w:jc w:val="left"/>
        <w:rPr>
          <w:rFonts w:hint="eastAsia"/>
        </w:rPr>
      </w:pPr>
      <w:r>
        <w:rPr>
          <w:rFonts w:hint="eastAsia"/>
        </w:rPr>
        <w:t>But why are these things so certain?</w:t>
      </w:r>
    </w:p>
    <w:p w14:paraId="0222D5C6">
      <w:pPr>
        <w:pStyle w:val="9"/>
        <w:spacing w:before="17"/>
        <w:ind w:left="0"/>
        <w:jc w:val="left"/>
        <w:rPr>
          <w:rFonts w:hint="eastAsia"/>
        </w:rPr>
      </w:pPr>
      <w:r>
        <w:rPr>
          <w:rFonts w:hint="eastAsia"/>
        </w:rPr>
        <w:t>但为何这些事如此确定？</w:t>
      </w:r>
    </w:p>
    <w:p w14:paraId="4448455C">
      <w:pPr>
        <w:pStyle w:val="9"/>
        <w:spacing w:before="17"/>
        <w:ind w:left="0"/>
        <w:jc w:val="left"/>
        <w:rPr>
          <w:rFonts w:hint="eastAsia"/>
        </w:rPr>
      </w:pPr>
    </w:p>
    <w:p w14:paraId="6A6D1B00">
      <w:pPr>
        <w:pStyle w:val="9"/>
        <w:spacing w:before="17"/>
        <w:ind w:left="0"/>
        <w:jc w:val="left"/>
        <w:rPr>
          <w:rFonts w:hint="eastAsia"/>
        </w:rPr>
      </w:pPr>
      <w:r>
        <w:rPr>
          <w:rFonts w:hint="eastAsia"/>
        </w:rPr>
        <w:t>It is because God himself has ordained them, and because he has done so for the express purpose of manifesting his glory to all mankind (v. 16).</w:t>
      </w:r>
    </w:p>
    <w:p w14:paraId="1D141BD9">
      <w:pPr>
        <w:pStyle w:val="9"/>
        <w:spacing w:before="17"/>
        <w:ind w:left="0"/>
        <w:jc w:val="left"/>
        <w:rPr>
          <w:rFonts w:hint="eastAsia"/>
        </w:rPr>
      </w:pPr>
      <w:r>
        <w:rPr>
          <w:rFonts w:hint="eastAsia"/>
        </w:rPr>
        <w:t>这是因为神自己命定了它们，并且因为祂这样做是为了向全人类彰显祂荣耀的明确目的（第16节）。</w:t>
      </w:r>
    </w:p>
    <w:p w14:paraId="485FFA55">
      <w:pPr>
        <w:pStyle w:val="9"/>
        <w:spacing w:before="17"/>
        <w:ind w:left="0"/>
        <w:jc w:val="left"/>
        <w:rPr>
          <w:rFonts w:hint="eastAsia"/>
        </w:rPr>
      </w:pPr>
    </w:p>
    <w:p w14:paraId="274507A1">
      <w:pPr>
        <w:pStyle w:val="9"/>
        <w:spacing w:before="17"/>
        <w:ind w:left="0"/>
        <w:jc w:val="left"/>
        <w:rPr>
          <w:rFonts w:hint="eastAsia"/>
        </w:rPr>
      </w:pPr>
      <w:r>
        <w:rPr>
          <w:rFonts w:hint="eastAsia"/>
        </w:rPr>
        <w:t>As it was on the Day of the Exodus, so it shall be on the Day of the Last Battle: God will demonstrate his wrath and make his power known upon vessels fitted for destruction, even as he displays the riches of his glory upon (persecuted) vessels of mercy, whom he lovingly prepared beforehand for glory (Rom. 9:22-23, 2 Thess. 1).</w:t>
      </w:r>
    </w:p>
    <w:p w14:paraId="6A014893">
      <w:pPr>
        <w:pStyle w:val="9"/>
        <w:spacing w:before="17"/>
        <w:ind w:left="0"/>
        <w:jc w:val="left"/>
        <w:rPr>
          <w:rFonts w:hint="eastAsia"/>
        </w:rPr>
      </w:pPr>
      <w:r>
        <w:rPr>
          <w:rFonts w:hint="eastAsia"/>
        </w:rPr>
        <w:t>出埃及的日子如何，末日之战的日子也必如何：神将在预备遭毁灭的器皿上显明祂的忿怒，彰显祂的权能，同时也在祂所爱的、预先预备得荣耀的（遭逼迫的）蒙怜悯的器皿上，彰显祂荣耀的丰富（罗马书9:22-23，帖撒罗尼迦后书1章）。</w:t>
      </w:r>
    </w:p>
    <w:p w14:paraId="264A60FC">
      <w:pPr>
        <w:pStyle w:val="9"/>
        <w:spacing w:before="17"/>
        <w:ind w:left="0"/>
        <w:jc w:val="left"/>
        <w:rPr>
          <w:rFonts w:hint="eastAsia"/>
        </w:rPr>
      </w:pPr>
    </w:p>
    <w:p w14:paraId="4E58C7AA">
      <w:pPr>
        <w:pStyle w:val="9"/>
        <w:spacing w:before="17"/>
        <w:ind w:left="0"/>
        <w:jc w:val="left"/>
        <w:rPr>
          <w:rFonts w:hint="eastAsia"/>
        </w:rPr>
      </w:pPr>
      <w:r>
        <w:rPr>
          <w:rFonts w:hint="eastAsia"/>
        </w:rPr>
        <w:t>Over the course of many years the former prophets spoke of these very things.</w:t>
      </w:r>
    </w:p>
    <w:p w14:paraId="34A50065">
      <w:pPr>
        <w:pStyle w:val="9"/>
        <w:spacing w:before="17"/>
        <w:ind w:left="0"/>
        <w:jc w:val="left"/>
        <w:rPr>
          <w:rFonts w:hint="eastAsia"/>
        </w:rPr>
      </w:pPr>
      <w:r>
        <w:rPr>
          <w:rFonts w:hint="eastAsia"/>
        </w:rPr>
        <w:t>在许多年间，以前的先知们都谈论过这些事。</w:t>
      </w:r>
    </w:p>
    <w:p w14:paraId="5F416570">
      <w:pPr>
        <w:pStyle w:val="9"/>
        <w:spacing w:before="17"/>
        <w:ind w:left="0"/>
        <w:jc w:val="left"/>
        <w:rPr>
          <w:rFonts w:hint="eastAsia"/>
        </w:rPr>
      </w:pPr>
    </w:p>
    <w:p w14:paraId="26ECD66F">
      <w:pPr>
        <w:pStyle w:val="9"/>
        <w:spacing w:before="17"/>
        <w:ind w:left="0"/>
        <w:jc w:val="left"/>
        <w:rPr>
          <w:rFonts w:hint="eastAsia"/>
        </w:rPr>
      </w:pPr>
      <w:r>
        <w:rPr>
          <w:rFonts w:hint="eastAsia"/>
        </w:rPr>
        <w:t>Why?</w:t>
      </w:r>
    </w:p>
    <w:p w14:paraId="232055A1">
      <w:pPr>
        <w:pStyle w:val="9"/>
        <w:spacing w:before="17"/>
        <w:ind w:left="0"/>
        <w:jc w:val="left"/>
        <w:rPr>
          <w:rFonts w:hint="eastAsia"/>
        </w:rPr>
      </w:pPr>
      <w:r>
        <w:rPr>
          <w:rFonts w:hint="eastAsia"/>
        </w:rPr>
        <w:t>为什么？</w:t>
      </w:r>
    </w:p>
    <w:p w14:paraId="0C4AD701">
      <w:pPr>
        <w:pStyle w:val="9"/>
        <w:spacing w:before="17"/>
        <w:ind w:left="0"/>
        <w:jc w:val="left"/>
        <w:rPr>
          <w:rFonts w:hint="eastAsia"/>
        </w:rPr>
      </w:pPr>
    </w:p>
    <w:p w14:paraId="4BA80E83">
      <w:pPr>
        <w:pStyle w:val="9"/>
        <w:spacing w:before="17"/>
        <w:ind w:left="0"/>
        <w:jc w:val="left"/>
        <w:rPr>
          <w:rFonts w:hint="eastAsia"/>
        </w:rPr>
      </w:pPr>
      <w:r>
        <w:rPr>
          <w:rFonts w:hint="eastAsia"/>
        </w:rPr>
        <w:t>Because before the foundation of the world God himself had decreed that they should certainly come to pass (v. 17, Deut. 32:34-43, Isaiah 34:1-6, 63:1-6, 66:15-16, Joel 3:9-14, Micah 4:19-23).</w:t>
      </w:r>
    </w:p>
    <w:p w14:paraId="0E6B2753">
      <w:pPr>
        <w:pStyle w:val="9"/>
        <w:spacing w:before="17"/>
        <w:ind w:left="0"/>
        <w:jc w:val="left"/>
        <w:rPr>
          <w:rFonts w:hint="eastAsia"/>
        </w:rPr>
      </w:pPr>
      <w:r>
        <w:rPr>
          <w:rFonts w:hint="eastAsia"/>
        </w:rPr>
        <w:t>因为在创世以前，神自己已经命定这些事必然要发生（第17节，申命记32:34-43，以赛亚书34:1-6，63:1-6，66:15-16，约珥书3:9-14，弥迦书4:19-23）。</w:t>
      </w:r>
    </w:p>
    <w:p w14:paraId="5B75CA70">
      <w:pPr>
        <w:pStyle w:val="9"/>
        <w:spacing w:before="17"/>
        <w:ind w:left="0"/>
        <w:jc w:val="left"/>
        <w:rPr>
          <w:rFonts w:hint="eastAsia"/>
        </w:rPr>
      </w:pPr>
    </w:p>
    <w:p w14:paraId="4A7C8A3A">
      <w:pPr>
        <w:pStyle w:val="9"/>
        <w:spacing w:before="17"/>
        <w:ind w:left="0"/>
        <w:jc w:val="left"/>
        <w:rPr>
          <w:rFonts w:hint="eastAsia"/>
        </w:rPr>
      </w:pPr>
      <w:r>
        <w:rPr>
          <w:rFonts w:hint="eastAsia"/>
        </w:rPr>
        <w:t>The Destruction of Gog (38:17-23)</w:t>
      </w:r>
    </w:p>
    <w:p w14:paraId="2B25693E">
      <w:pPr>
        <w:pStyle w:val="9"/>
        <w:spacing w:before="17"/>
        <w:ind w:left="0"/>
        <w:jc w:val="left"/>
        <w:rPr>
          <w:rFonts w:hint="eastAsia"/>
        </w:rPr>
      </w:pPr>
      <w:r>
        <w:rPr>
          <w:rFonts w:hint="eastAsia"/>
        </w:rPr>
        <w:t>歌革的毁灭（38:17-23）</w:t>
      </w:r>
    </w:p>
    <w:p w14:paraId="5B4FDAC0">
      <w:pPr>
        <w:pStyle w:val="9"/>
        <w:spacing w:before="17"/>
        <w:ind w:left="0"/>
        <w:jc w:val="left"/>
        <w:rPr>
          <w:rFonts w:hint="eastAsia"/>
        </w:rPr>
      </w:pPr>
    </w:p>
    <w:p w14:paraId="1A46BCF0">
      <w:pPr>
        <w:pStyle w:val="9"/>
        <w:spacing w:before="17"/>
        <w:ind w:left="0"/>
        <w:jc w:val="left"/>
        <w:rPr>
          <w:rFonts w:hint="eastAsia"/>
        </w:rPr>
      </w:pPr>
      <w:r>
        <w:rPr>
          <w:rFonts w:hint="eastAsia"/>
        </w:rPr>
        <w:t>Having spoken at length of the Deception of Gog, the LORD now speaks of his Destruction (vv. 18-23).</w:t>
      </w:r>
    </w:p>
    <w:p w14:paraId="2FBF8D27">
      <w:pPr>
        <w:pStyle w:val="9"/>
        <w:spacing w:before="17"/>
        <w:ind w:left="0"/>
        <w:jc w:val="left"/>
        <w:rPr>
          <w:rFonts w:hint="eastAsia"/>
        </w:rPr>
      </w:pPr>
      <w:r>
        <w:rPr>
          <w:rFonts w:hint="eastAsia"/>
        </w:rPr>
        <w:t>在详细讲述了歌革的欺骗之后，主现在讲到他的毁灭（18-23节）。</w:t>
      </w:r>
    </w:p>
    <w:p w14:paraId="59A3EB0C">
      <w:pPr>
        <w:pStyle w:val="9"/>
        <w:spacing w:before="17"/>
        <w:ind w:left="0"/>
        <w:jc w:val="left"/>
        <w:rPr>
          <w:rFonts w:hint="eastAsia"/>
        </w:rPr>
      </w:pPr>
    </w:p>
    <w:p w14:paraId="51AB8258">
      <w:pPr>
        <w:pStyle w:val="9"/>
        <w:spacing w:before="17"/>
        <w:ind w:left="0"/>
        <w:jc w:val="left"/>
        <w:rPr>
          <w:rFonts w:hint="eastAsia"/>
        </w:rPr>
      </w:pPr>
      <w:r>
        <w:rPr>
          <w:rFonts w:hint="eastAsia"/>
        </w:rPr>
        <w:t>When the murderous armies attack his beloved land, he will jealously pour out his fury, anger, and blazing wrath upon them, even as he did upon his only-begotten Son, so that his chosen people might be rescued from the same (vv. 18-19, Mt. 27:4, Rom. 3:25, 1 John 2:2, 4:10).</w:t>
      </w:r>
    </w:p>
    <w:p w14:paraId="3A8D834D">
      <w:pPr>
        <w:pStyle w:val="9"/>
        <w:spacing w:before="17"/>
        <w:ind w:left="0"/>
        <w:jc w:val="left"/>
        <w:rPr>
          <w:rFonts w:hint="eastAsia"/>
        </w:rPr>
      </w:pPr>
      <w:r>
        <w:rPr>
          <w:rFonts w:hint="eastAsia"/>
        </w:rPr>
        <w:t>当那杀人如麻的军队攻击祂所爱的地时，祂必怀着嫉恨向他们倾倒祂的烈怒、忿怒和燃烧的怒火，正如祂曾向祂的独生子所做的一样，好使祂的选民可以从中被拯救出来（18-19节，马太福音27:4，罗马书3:25，约翰一书2:2，4:10）。</w:t>
      </w:r>
    </w:p>
    <w:p w14:paraId="7981AD4C">
      <w:pPr>
        <w:pStyle w:val="9"/>
        <w:spacing w:before="17"/>
        <w:ind w:left="0"/>
        <w:jc w:val="left"/>
        <w:rPr>
          <w:rFonts w:hint="eastAsia"/>
        </w:rPr>
      </w:pPr>
    </w:p>
    <w:p w14:paraId="34312DAA">
      <w:pPr>
        <w:pStyle w:val="9"/>
        <w:spacing w:before="17"/>
        <w:ind w:left="0"/>
        <w:jc w:val="left"/>
        <w:rPr>
          <w:rFonts w:hint="eastAsia"/>
        </w:rPr>
      </w:pPr>
      <w:r>
        <w:rPr>
          <w:rFonts w:hint="eastAsia"/>
        </w:rPr>
        <w:t>The first judgment mentioned is an earthquake.</w:t>
      </w:r>
    </w:p>
    <w:p w14:paraId="633F1034">
      <w:pPr>
        <w:pStyle w:val="9"/>
        <w:spacing w:before="17"/>
        <w:ind w:left="0"/>
        <w:jc w:val="left"/>
        <w:rPr>
          <w:rFonts w:hint="eastAsia"/>
        </w:rPr>
      </w:pPr>
      <w:r>
        <w:rPr>
          <w:rFonts w:hint="eastAsia"/>
        </w:rPr>
        <w:t>提到的第一个审判是地震。</w:t>
      </w:r>
    </w:p>
    <w:p w14:paraId="05B81C89">
      <w:pPr>
        <w:pStyle w:val="9"/>
        <w:spacing w:before="17"/>
        <w:ind w:left="0"/>
        <w:jc w:val="left"/>
        <w:rPr>
          <w:rFonts w:hint="eastAsia"/>
        </w:rPr>
      </w:pPr>
    </w:p>
    <w:p w14:paraId="6426B2FB">
      <w:pPr>
        <w:pStyle w:val="9"/>
        <w:spacing w:before="17"/>
        <w:ind w:left="0"/>
        <w:jc w:val="left"/>
        <w:rPr>
          <w:rFonts w:hint="eastAsia"/>
        </w:rPr>
      </w:pPr>
      <w:r>
        <w:rPr>
          <w:rFonts w:hint="eastAsia"/>
        </w:rPr>
        <w:t>It is cosmic in its scope, affecting seven sectors of the creation: fish, birds, beasts, creeping things, all men, all mountains, and all human constructs (vv. 19-20; Heb. 12:29, Rev. 11:3, 16:8).</w:t>
      </w:r>
    </w:p>
    <w:p w14:paraId="3902162A">
      <w:pPr>
        <w:pStyle w:val="9"/>
        <w:spacing w:before="17"/>
        <w:ind w:left="0"/>
        <w:jc w:val="left"/>
        <w:rPr>
          <w:rFonts w:hint="eastAsia"/>
        </w:rPr>
      </w:pPr>
      <w:r>
        <w:rPr>
          <w:rFonts w:hint="eastAsia"/>
        </w:rPr>
        <w:t>它的范围是宇宙性的，影响到创造的七个领域：鱼、鸟、兽、爬物、所有的人、所有的山和所有人类的建造（19-20节；希伯来书12:29，启示录11:3，16:8）。</w:t>
      </w:r>
    </w:p>
    <w:p w14:paraId="736A375C">
      <w:pPr>
        <w:pStyle w:val="9"/>
        <w:spacing w:before="17"/>
        <w:ind w:left="0"/>
        <w:jc w:val="left"/>
        <w:rPr>
          <w:rFonts w:hint="eastAsia"/>
        </w:rPr>
      </w:pPr>
    </w:p>
    <w:p w14:paraId="7BC9B5E2">
      <w:pPr>
        <w:pStyle w:val="9"/>
        <w:spacing w:before="17"/>
        <w:ind w:left="0"/>
        <w:jc w:val="left"/>
        <w:rPr>
          <w:rFonts w:hint="eastAsia"/>
        </w:rPr>
      </w:pPr>
      <w:r>
        <w:rPr>
          <w:rFonts w:hint="eastAsia"/>
        </w:rPr>
        <w:t>In verses 21-22, seven more judgments are announced: sword, pestilence, blood, overflowing rain, hailstones, fire, and brimstone (Rev. 17:16).</w:t>
      </w:r>
    </w:p>
    <w:p w14:paraId="3F7BDAEB">
      <w:pPr>
        <w:pStyle w:val="9"/>
        <w:spacing w:before="17"/>
        <w:ind w:left="0"/>
        <w:jc w:val="left"/>
        <w:rPr>
          <w:rFonts w:hint="eastAsia"/>
        </w:rPr>
      </w:pPr>
      <w:r>
        <w:rPr>
          <w:rFonts w:hint="eastAsia"/>
        </w:rPr>
        <w:t>在21-22节，又宣告了七个审判：刀剑、瘟疫、血、暴雨、大冰雹、火和硫磺（启示录17:16）。</w:t>
      </w:r>
    </w:p>
    <w:p w14:paraId="342069B0">
      <w:pPr>
        <w:pStyle w:val="9"/>
        <w:spacing w:before="17"/>
        <w:ind w:left="0"/>
        <w:jc w:val="left"/>
        <w:rPr>
          <w:rFonts w:hint="eastAsia"/>
        </w:rPr>
      </w:pPr>
    </w:p>
    <w:p w14:paraId="6C035970">
      <w:pPr>
        <w:pStyle w:val="9"/>
        <w:spacing w:before="17"/>
        <w:ind w:left="0"/>
        <w:jc w:val="left"/>
        <w:rPr>
          <w:rFonts w:hint="eastAsia"/>
        </w:rPr>
      </w:pPr>
      <w:r>
        <w:rPr>
          <w:rFonts w:hint="eastAsia"/>
        </w:rPr>
        <w:t>The NT reveals that this catalog of OT punishments symbolizes a single, cosmic, eschatological judgment by fire at the return of Christ (Mt. 3:12, Luke 17:29, 2 Thess. 1:8, 2 Peter 3:7, 12, Rev. 20:9).</w:t>
      </w:r>
    </w:p>
    <w:p w14:paraId="6995FDF9">
      <w:pPr>
        <w:pStyle w:val="9"/>
        <w:spacing w:before="17"/>
        <w:ind w:left="0"/>
        <w:jc w:val="left"/>
        <w:rPr>
          <w:rFonts w:hint="eastAsia"/>
        </w:rPr>
      </w:pPr>
      <w:r>
        <w:rPr>
          <w:rFonts w:hint="eastAsia"/>
        </w:rPr>
        <w:t>新约启示，这一系列旧约的惩罚象征着在基督再来时一次单一的、宇宙性的、末世性的火的审判（马太福音3:12，路加福音17:29，帖撒罗尼迦后书1:8，彼得后书3:7, 12，启示录20:9）。</w:t>
      </w:r>
    </w:p>
    <w:p w14:paraId="14F797D4">
      <w:pPr>
        <w:pStyle w:val="9"/>
        <w:spacing w:before="17"/>
        <w:ind w:left="0"/>
        <w:jc w:val="left"/>
        <w:rPr>
          <w:rFonts w:hint="eastAsia"/>
        </w:rPr>
      </w:pPr>
    </w:p>
    <w:p w14:paraId="53ECE19D">
      <w:pPr>
        <w:pStyle w:val="9"/>
        <w:spacing w:before="17"/>
        <w:ind w:left="0"/>
        <w:jc w:val="left"/>
        <w:rPr>
          <w:rFonts w:hint="eastAsia"/>
        </w:rPr>
      </w:pPr>
      <w:r>
        <w:rPr>
          <w:rFonts w:hint="eastAsia"/>
        </w:rPr>
        <w:t>When it comes, all men and nations will see and confess that the God and Father of our Lord Jesus Christ is the one, true, living, and altogether holy God (v. 23; 2 Thess. 1:3-10, Phil. 2:9-11).</w:t>
      </w:r>
    </w:p>
    <w:p w14:paraId="5464F134">
      <w:pPr>
        <w:pStyle w:val="9"/>
        <w:spacing w:before="17"/>
        <w:ind w:left="0"/>
        <w:jc w:val="left"/>
        <w:rPr>
          <w:rFonts w:hint="eastAsia"/>
        </w:rPr>
      </w:pPr>
      <w:r>
        <w:rPr>
          <w:rFonts w:hint="eastAsia"/>
        </w:rPr>
        <w:t>当它来临时，所有的人和国家都将看见并承认，我们主耶稣基督的神和父是那独一、真实、永活、全然圣洁的神（第23节；帖撒罗尼迦后书1:3-10，腓立比书2:9-11）。</w:t>
      </w:r>
    </w:p>
    <w:p w14:paraId="2CEF8A1A">
      <w:pPr>
        <w:pStyle w:val="9"/>
        <w:spacing w:before="17"/>
        <w:ind w:left="0"/>
        <w:jc w:val="left"/>
        <w:rPr>
          <w:rFonts w:hint="eastAsia"/>
        </w:rPr>
      </w:pPr>
    </w:p>
    <w:p w14:paraId="248F78CA">
      <w:pPr>
        <w:pStyle w:val="9"/>
        <w:spacing w:before="17"/>
        <w:ind w:left="0"/>
        <w:jc w:val="left"/>
        <w:rPr>
          <w:rFonts w:hint="eastAsia"/>
        </w:rPr>
      </w:pPr>
      <w:r>
        <w:rPr>
          <w:rFonts w:hint="eastAsia"/>
        </w:rPr>
        <w:t>The Disposal of Gog (39:1-20)</w:t>
      </w:r>
    </w:p>
    <w:p w14:paraId="2629F406">
      <w:pPr>
        <w:pStyle w:val="9"/>
        <w:spacing w:before="17"/>
        <w:ind w:left="0"/>
        <w:jc w:val="left"/>
        <w:rPr>
          <w:rFonts w:hint="eastAsia"/>
        </w:rPr>
      </w:pPr>
      <w:r>
        <w:rPr>
          <w:rFonts w:hint="eastAsia"/>
        </w:rPr>
        <w:t>歌革的处置（39:1-20）</w:t>
      </w:r>
    </w:p>
    <w:p w14:paraId="149FE2C2">
      <w:pPr>
        <w:pStyle w:val="9"/>
        <w:spacing w:before="17"/>
        <w:ind w:left="0"/>
        <w:jc w:val="left"/>
        <w:rPr>
          <w:rFonts w:hint="eastAsia"/>
        </w:rPr>
      </w:pPr>
    </w:p>
    <w:p w14:paraId="015FFC88">
      <w:pPr>
        <w:pStyle w:val="9"/>
        <w:spacing w:before="17"/>
        <w:ind w:left="0"/>
        <w:jc w:val="left"/>
        <w:rPr>
          <w:rFonts w:hint="eastAsia"/>
        </w:rPr>
      </w:pPr>
      <w:r>
        <w:rPr>
          <w:rFonts w:hint="eastAsia"/>
        </w:rPr>
        <w:t>Chapter 39 takes up the theme of the Disposal of Gog and his hordes.</w:t>
      </w:r>
    </w:p>
    <w:p w14:paraId="73F610EA">
      <w:pPr>
        <w:pStyle w:val="9"/>
        <w:spacing w:before="17"/>
        <w:ind w:left="0"/>
        <w:jc w:val="left"/>
        <w:rPr>
          <w:rFonts w:hint="eastAsia"/>
        </w:rPr>
      </w:pPr>
      <w:r>
        <w:rPr>
          <w:rFonts w:hint="eastAsia"/>
        </w:rPr>
        <w:t>第39章开始讨论处置歌革及其大军的主题。</w:t>
      </w:r>
    </w:p>
    <w:p w14:paraId="4B173827">
      <w:pPr>
        <w:pStyle w:val="9"/>
        <w:spacing w:before="17"/>
        <w:ind w:left="0"/>
        <w:jc w:val="left"/>
        <w:rPr>
          <w:rFonts w:hint="eastAsia"/>
        </w:rPr>
      </w:pPr>
    </w:p>
    <w:p w14:paraId="10C072E3">
      <w:pPr>
        <w:pStyle w:val="9"/>
        <w:spacing w:before="17"/>
        <w:ind w:left="0"/>
        <w:jc w:val="left"/>
        <w:rPr>
          <w:rFonts w:hint="eastAsia"/>
        </w:rPr>
      </w:pPr>
      <w:r>
        <w:rPr>
          <w:rFonts w:hint="eastAsia"/>
        </w:rPr>
        <w:t>Verses 1-8 begin with a brief recapitulation of his Deception and Destruction, wherein we hear again of the universality (v. 6), purpose (7), and certainty (v. 8) of the coming Judgment.</w:t>
      </w:r>
    </w:p>
    <w:p w14:paraId="21813B73">
      <w:pPr>
        <w:pStyle w:val="9"/>
        <w:spacing w:before="17"/>
        <w:ind w:left="0"/>
        <w:jc w:val="left"/>
        <w:rPr>
          <w:rFonts w:hint="eastAsia"/>
        </w:rPr>
      </w:pPr>
      <w:r>
        <w:rPr>
          <w:rFonts w:hint="eastAsia"/>
        </w:rPr>
        <w:t>1-8节以简要重述他的欺骗和毁灭开始，其中我们再次听到即将到来的审判的普世性（第6节）、目的（第7节）和确定性（第8节）。</w:t>
      </w:r>
    </w:p>
    <w:p w14:paraId="0D91000D">
      <w:pPr>
        <w:pStyle w:val="9"/>
        <w:spacing w:before="17"/>
        <w:ind w:left="0"/>
        <w:jc w:val="left"/>
        <w:rPr>
          <w:rFonts w:hint="eastAsia"/>
        </w:rPr>
      </w:pPr>
    </w:p>
    <w:p w14:paraId="357515F9">
      <w:pPr>
        <w:pStyle w:val="9"/>
        <w:spacing w:before="17"/>
        <w:ind w:left="0"/>
        <w:jc w:val="left"/>
        <w:rPr>
          <w:rFonts w:hint="eastAsia"/>
        </w:rPr>
      </w:pPr>
      <w:r>
        <w:rPr>
          <w:rFonts w:hint="eastAsia"/>
        </w:rPr>
        <w:t>Observe from verse 6 that when it does come, all the earth—from Magog in the remotest parts of the north to the distant coastlands of the west—will be living in security.</w:t>
      </w:r>
    </w:p>
    <w:p w14:paraId="44C8F8F7">
      <w:pPr>
        <w:pStyle w:val="9"/>
        <w:spacing w:before="17"/>
        <w:ind w:left="0"/>
        <w:jc w:val="left"/>
        <w:rPr>
          <w:rFonts w:hint="eastAsia"/>
        </w:rPr>
      </w:pPr>
      <w:r>
        <w:rPr>
          <w:rFonts w:hint="eastAsia"/>
        </w:rPr>
        <w:t>从第6节可以看到，当审判来临时，全地——从北方极处的玛各到西方遥远的海岛——都将安然居住。</w:t>
      </w:r>
    </w:p>
    <w:p w14:paraId="4E0BEAA2">
      <w:pPr>
        <w:pStyle w:val="9"/>
        <w:spacing w:before="17"/>
        <w:ind w:left="0"/>
        <w:jc w:val="left"/>
        <w:rPr>
          <w:rFonts w:hint="eastAsia"/>
        </w:rPr>
      </w:pPr>
    </w:p>
    <w:p w14:paraId="73B4AA81">
      <w:pPr>
        <w:pStyle w:val="9"/>
        <w:spacing w:before="17"/>
        <w:ind w:left="0"/>
        <w:jc w:val="left"/>
        <w:rPr>
          <w:rFonts w:hint="eastAsia"/>
        </w:rPr>
      </w:pPr>
      <w:r>
        <w:rPr>
          <w:rFonts w:hint="eastAsia"/>
        </w:rPr>
        <w:t>But when they are saying, “Peace and safety,” sudden destruction will come upon them, as labor pains upon a pregnant woman, and they will not escape (1 Thess. 5:3).</w:t>
      </w:r>
    </w:p>
    <w:p w14:paraId="14D590D0">
      <w:pPr>
        <w:pStyle w:val="9"/>
        <w:spacing w:before="17"/>
        <w:ind w:left="0"/>
        <w:jc w:val="left"/>
        <w:rPr>
          <w:rFonts w:hint="eastAsia"/>
        </w:rPr>
      </w:pPr>
      <w:r>
        <w:rPr>
          <w:rFonts w:hint="eastAsia"/>
        </w:rPr>
        <w:t>但当他们正说“平安稳妥”的时候，灾祸忽然临到他们，如同产难临到怀胎的妇人一样，他们绝不能逃脱（帖撒罗尼迦前书5:3）。</w:t>
      </w:r>
    </w:p>
    <w:p w14:paraId="13AB82A1">
      <w:pPr>
        <w:pStyle w:val="9"/>
        <w:spacing w:before="17"/>
        <w:ind w:left="0"/>
        <w:jc w:val="left"/>
        <w:rPr>
          <w:rFonts w:hint="eastAsia"/>
        </w:rPr>
      </w:pPr>
    </w:p>
    <w:p w14:paraId="7F2B35C2">
      <w:pPr>
        <w:pStyle w:val="9"/>
        <w:spacing w:before="17"/>
        <w:ind w:left="0"/>
        <w:jc w:val="left"/>
        <w:rPr>
          <w:rFonts w:hint="eastAsia"/>
        </w:rPr>
      </w:pPr>
      <w:r>
        <w:rPr>
          <w:rFonts w:hint="eastAsia"/>
        </w:rPr>
        <w:t>The theme of verses 9-10 is Eschatological Plunder and Pillage.</w:t>
      </w:r>
    </w:p>
    <w:p w14:paraId="3C08AB2E">
      <w:pPr>
        <w:pStyle w:val="9"/>
        <w:spacing w:before="17"/>
        <w:ind w:left="0"/>
        <w:jc w:val="left"/>
        <w:rPr>
          <w:rFonts w:hint="eastAsia"/>
        </w:rPr>
      </w:pPr>
      <w:r>
        <w:rPr>
          <w:rFonts w:hint="eastAsia"/>
        </w:rPr>
        <w:t>9-10节的主题是末世性的掳掠与抢夺。</w:t>
      </w:r>
    </w:p>
    <w:p w14:paraId="53625CC7">
      <w:pPr>
        <w:pStyle w:val="9"/>
        <w:spacing w:before="17"/>
        <w:ind w:left="0"/>
        <w:jc w:val="left"/>
        <w:rPr>
          <w:rFonts w:hint="eastAsia"/>
        </w:rPr>
      </w:pPr>
    </w:p>
    <w:p w14:paraId="39B17EE9">
      <w:pPr>
        <w:pStyle w:val="9"/>
        <w:spacing w:before="17"/>
        <w:ind w:left="0"/>
        <w:jc w:val="left"/>
        <w:rPr>
          <w:rFonts w:hint="eastAsia"/>
        </w:rPr>
      </w:pPr>
      <w:r>
        <w:rPr>
          <w:rFonts w:hint="eastAsia"/>
        </w:rPr>
        <w:t>That the passage is symbolic is clear from the numbers used: six kinds of weapons will be used for fire over the course of seven years.</w:t>
      </w:r>
    </w:p>
    <w:p w14:paraId="3740782B">
      <w:pPr>
        <w:pStyle w:val="9"/>
        <w:spacing w:before="17"/>
        <w:ind w:left="0"/>
        <w:jc w:val="left"/>
        <w:rPr>
          <w:rFonts w:hint="eastAsia"/>
        </w:rPr>
      </w:pPr>
      <w:r>
        <w:rPr>
          <w:rFonts w:hint="eastAsia"/>
        </w:rPr>
        <w:t>从所用的数字可以清楚地看出这段经文是象征性的：六种武器将被用作七年的燃料。</w:t>
      </w:r>
    </w:p>
    <w:p w14:paraId="313AE105">
      <w:pPr>
        <w:pStyle w:val="9"/>
        <w:spacing w:before="17"/>
        <w:ind w:left="0"/>
        <w:jc w:val="left"/>
        <w:rPr>
          <w:rFonts w:hint="eastAsia"/>
        </w:rPr>
      </w:pPr>
    </w:p>
    <w:p w14:paraId="4ED0E88B">
      <w:pPr>
        <w:pStyle w:val="9"/>
        <w:spacing w:before="17"/>
        <w:ind w:left="0"/>
        <w:jc w:val="left"/>
        <w:rPr>
          <w:rFonts w:hint="eastAsia"/>
        </w:rPr>
      </w:pPr>
      <w:r>
        <w:rPr>
          <w:rFonts w:hint="eastAsia"/>
        </w:rPr>
        <w:t>But what is the meaning?</w:t>
      </w:r>
    </w:p>
    <w:p w14:paraId="086B2BD1">
      <w:pPr>
        <w:pStyle w:val="9"/>
        <w:spacing w:before="17"/>
        <w:ind w:left="0"/>
        <w:jc w:val="left"/>
        <w:rPr>
          <w:rFonts w:hint="eastAsia"/>
        </w:rPr>
      </w:pPr>
      <w:r>
        <w:rPr>
          <w:rFonts w:hint="eastAsia"/>
        </w:rPr>
        <w:t>但其含义是什么？</w:t>
      </w:r>
    </w:p>
    <w:p w14:paraId="18D3193B">
      <w:pPr>
        <w:pStyle w:val="9"/>
        <w:spacing w:before="17"/>
        <w:ind w:left="0"/>
        <w:jc w:val="left"/>
        <w:rPr>
          <w:rFonts w:hint="eastAsia"/>
        </w:rPr>
      </w:pPr>
    </w:p>
    <w:p w14:paraId="6A1E938F">
      <w:pPr>
        <w:pStyle w:val="9"/>
        <w:spacing w:before="17"/>
        <w:ind w:left="0"/>
        <w:jc w:val="left"/>
        <w:rPr>
          <w:rFonts w:hint="eastAsia"/>
        </w:rPr>
      </w:pPr>
      <w:r>
        <w:rPr>
          <w:rFonts w:hint="eastAsia"/>
        </w:rPr>
        <w:t>Time and again Israel had been plundered and pillaged by her enemies.</w:t>
      </w:r>
    </w:p>
    <w:p w14:paraId="66858717">
      <w:pPr>
        <w:pStyle w:val="9"/>
        <w:spacing w:before="17"/>
        <w:ind w:left="0"/>
        <w:jc w:val="left"/>
        <w:rPr>
          <w:rFonts w:hint="eastAsia"/>
        </w:rPr>
      </w:pPr>
      <w:r>
        <w:rPr>
          <w:rFonts w:hint="eastAsia"/>
        </w:rPr>
        <w:t>以色列曾一次又一次地被她的敌人掳掠和抢夺。</w:t>
      </w:r>
    </w:p>
    <w:p w14:paraId="4E5EA012">
      <w:pPr>
        <w:pStyle w:val="9"/>
        <w:spacing w:before="17"/>
        <w:ind w:left="0"/>
        <w:jc w:val="left"/>
        <w:rPr>
          <w:rFonts w:hint="eastAsia"/>
        </w:rPr>
      </w:pPr>
    </w:p>
    <w:p w14:paraId="686EFA46">
      <w:pPr>
        <w:pStyle w:val="9"/>
        <w:spacing w:before="17"/>
        <w:ind w:left="0"/>
        <w:jc w:val="left"/>
        <w:rPr>
          <w:rFonts w:hint="eastAsia"/>
        </w:rPr>
      </w:pPr>
      <w:r>
        <w:rPr>
          <w:rFonts w:hint="eastAsia"/>
        </w:rPr>
        <w:t>But here, says God, is where it all ends, with eschatological Israel once and for all plundering and pillaging all of her foes.</w:t>
      </w:r>
    </w:p>
    <w:p w14:paraId="5A42E70E">
      <w:pPr>
        <w:pStyle w:val="9"/>
        <w:spacing w:before="17"/>
        <w:ind w:left="0"/>
        <w:jc w:val="left"/>
        <w:rPr>
          <w:rFonts w:hint="eastAsia"/>
        </w:rPr>
      </w:pPr>
      <w:r>
        <w:rPr>
          <w:rFonts w:hint="eastAsia"/>
        </w:rPr>
        <w:t>但神说，这里就是这一切的终结，末世的以色列将一劳永逸地掳掠和抢夺她所有的仇敌。</w:t>
      </w:r>
    </w:p>
    <w:p w14:paraId="72F07711">
      <w:pPr>
        <w:pStyle w:val="9"/>
        <w:spacing w:before="17"/>
        <w:ind w:left="0"/>
        <w:jc w:val="left"/>
        <w:rPr>
          <w:rFonts w:hint="eastAsia"/>
        </w:rPr>
      </w:pPr>
    </w:p>
    <w:p w14:paraId="795D694B">
      <w:pPr>
        <w:pStyle w:val="9"/>
        <w:spacing w:before="17"/>
        <w:ind w:left="0"/>
        <w:jc w:val="left"/>
        <w:rPr>
          <w:rFonts w:hint="eastAsia"/>
        </w:rPr>
      </w:pPr>
      <w:r>
        <w:rPr>
          <w:rFonts w:hint="eastAsia"/>
        </w:rPr>
        <w:t>The NT unveils the complete truth.</w:t>
      </w:r>
    </w:p>
    <w:p w14:paraId="4AD59C5E">
      <w:pPr>
        <w:pStyle w:val="9"/>
        <w:spacing w:before="17"/>
        <w:ind w:left="0"/>
        <w:jc w:val="left"/>
        <w:rPr>
          <w:rFonts w:hint="eastAsia"/>
        </w:rPr>
      </w:pPr>
      <w:r>
        <w:rPr>
          <w:rFonts w:hint="eastAsia"/>
        </w:rPr>
        <w:t>新约揭示了全部的真理。</w:t>
      </w:r>
    </w:p>
    <w:p w14:paraId="76375F02">
      <w:pPr>
        <w:pStyle w:val="9"/>
        <w:spacing w:before="17"/>
        <w:ind w:left="0"/>
        <w:jc w:val="left"/>
        <w:rPr>
          <w:rFonts w:hint="eastAsia"/>
        </w:rPr>
      </w:pPr>
    </w:p>
    <w:p w14:paraId="008FB577">
      <w:pPr>
        <w:pStyle w:val="9"/>
        <w:spacing w:before="17"/>
        <w:ind w:left="0"/>
        <w:jc w:val="left"/>
        <w:rPr>
          <w:rFonts w:hint="eastAsia"/>
        </w:rPr>
      </w:pPr>
      <w:r>
        <w:rPr>
          <w:rFonts w:hint="eastAsia"/>
        </w:rPr>
        <w:t>By God’s decree, the saints will have a share in the Judgment.</w:t>
      </w:r>
    </w:p>
    <w:p w14:paraId="566153B5">
      <w:pPr>
        <w:pStyle w:val="9"/>
        <w:spacing w:before="17"/>
        <w:ind w:left="0"/>
        <w:jc w:val="left"/>
        <w:rPr>
          <w:rFonts w:hint="eastAsia"/>
        </w:rPr>
      </w:pPr>
      <w:r>
        <w:rPr>
          <w:rFonts w:hint="eastAsia"/>
        </w:rPr>
        <w:t>根据神的谕旨，圣徒将在审判中有份。</w:t>
      </w:r>
    </w:p>
    <w:p w14:paraId="0DAABAF7">
      <w:pPr>
        <w:pStyle w:val="9"/>
        <w:spacing w:before="17"/>
        <w:ind w:left="0"/>
        <w:jc w:val="left"/>
        <w:rPr>
          <w:rFonts w:hint="eastAsia"/>
        </w:rPr>
      </w:pPr>
    </w:p>
    <w:p w14:paraId="6874A204">
      <w:pPr>
        <w:pStyle w:val="9"/>
        <w:spacing w:before="17"/>
        <w:ind w:left="0"/>
        <w:jc w:val="left"/>
        <w:rPr>
          <w:rFonts w:hint="eastAsia"/>
        </w:rPr>
      </w:pPr>
      <w:r>
        <w:rPr>
          <w:rFonts w:hint="eastAsia"/>
        </w:rPr>
        <w:t>“Do you not know,” asked Paul, “that the saints will judge the world” (Rom. 16:20, 1 Cor. 6:2)?</w:t>
      </w:r>
    </w:p>
    <w:p w14:paraId="17972FDB">
      <w:pPr>
        <w:pStyle w:val="9"/>
        <w:spacing w:before="17"/>
        <w:ind w:left="0"/>
        <w:jc w:val="left"/>
        <w:rPr>
          <w:rFonts w:hint="eastAsia"/>
        </w:rPr>
      </w:pPr>
      <w:r>
        <w:rPr>
          <w:rFonts w:hint="eastAsia"/>
        </w:rPr>
        <w:t>保罗问道：“岂不知圣徒要审判世界吗”（罗马书16:20，哥林多前书6:2）？</w:t>
      </w:r>
    </w:p>
    <w:p w14:paraId="535C29E4">
      <w:pPr>
        <w:pStyle w:val="9"/>
        <w:spacing w:before="17"/>
        <w:ind w:left="0"/>
        <w:jc w:val="left"/>
        <w:rPr>
          <w:rFonts w:hint="eastAsia"/>
        </w:rPr>
      </w:pPr>
    </w:p>
    <w:p w14:paraId="2316C05D">
      <w:pPr>
        <w:pStyle w:val="9"/>
        <w:spacing w:before="17"/>
        <w:ind w:left="0"/>
        <w:jc w:val="left"/>
        <w:rPr>
          <w:rFonts w:hint="eastAsia"/>
        </w:rPr>
      </w:pPr>
      <w:r>
        <w:rPr>
          <w:rFonts w:hint="eastAsia"/>
        </w:rPr>
        <w:t>In that Day, the glorified Church will pillage the destructive power of all her enemies, and then plunder all their illicit possessions.</w:t>
      </w:r>
    </w:p>
    <w:p w14:paraId="63D255D9">
      <w:pPr>
        <w:pStyle w:val="9"/>
        <w:spacing w:before="17"/>
        <w:ind w:left="0"/>
        <w:jc w:val="left"/>
        <w:rPr>
          <w:rFonts w:hint="eastAsia"/>
        </w:rPr>
      </w:pPr>
      <w:r>
        <w:rPr>
          <w:rFonts w:hint="eastAsia"/>
        </w:rPr>
        <w:t>在那日，得荣耀的教会将掠夺她所有仇敌的毁灭性能力，然后抢夺他们所有非法的财产。</w:t>
      </w:r>
    </w:p>
    <w:p w14:paraId="6CF683C0">
      <w:pPr>
        <w:pStyle w:val="9"/>
        <w:spacing w:before="17"/>
        <w:ind w:left="0"/>
        <w:jc w:val="left"/>
        <w:rPr>
          <w:rFonts w:hint="eastAsia"/>
        </w:rPr>
      </w:pPr>
    </w:p>
    <w:p w14:paraId="5424FC59">
      <w:pPr>
        <w:pStyle w:val="9"/>
        <w:spacing w:before="17"/>
        <w:ind w:left="0"/>
        <w:jc w:val="left"/>
        <w:rPr>
          <w:rFonts w:hint="eastAsia"/>
        </w:rPr>
      </w:pPr>
      <w:r>
        <w:rPr>
          <w:rFonts w:hint="eastAsia"/>
        </w:rPr>
        <w:t>When the fires of judgment have done their work, a world that formerly had gone over to Satan and his evil seed will return again, in glory, to the saints of the Most High (Gen. 3:15, Dan. 7:18, Luke 4:5-7, 2 Peter 3:10-13).</w:t>
      </w:r>
    </w:p>
    <w:p w14:paraId="1A60D2C3">
      <w:pPr>
        <w:pStyle w:val="9"/>
        <w:spacing w:before="17"/>
        <w:ind w:left="0"/>
        <w:jc w:val="left"/>
        <w:rPr>
          <w:rFonts w:hint="eastAsia"/>
        </w:rPr>
      </w:pPr>
      <w:r>
        <w:rPr>
          <w:rFonts w:hint="eastAsia"/>
        </w:rPr>
        <w:t>当审判的火焰完成其工作后，一个曾归于撒但和他邪恶后裔的世界，将再次在荣耀中归于至高者的圣民（创世记3:15，但以理书7:18，路加福音4:5-7，彼得后书3:10-13）。</w:t>
      </w:r>
    </w:p>
    <w:p w14:paraId="44AB1BA4">
      <w:pPr>
        <w:pStyle w:val="9"/>
        <w:spacing w:before="17"/>
        <w:ind w:left="0"/>
        <w:jc w:val="left"/>
        <w:rPr>
          <w:rFonts w:hint="eastAsia"/>
        </w:rPr>
      </w:pPr>
    </w:p>
    <w:p w14:paraId="762EBC36">
      <w:pPr>
        <w:pStyle w:val="9"/>
        <w:spacing w:before="17"/>
        <w:ind w:left="0"/>
        <w:jc w:val="left"/>
        <w:rPr>
          <w:rFonts w:hint="eastAsia"/>
        </w:rPr>
      </w:pPr>
      <w:r>
        <w:rPr>
          <w:rFonts w:hint="eastAsia"/>
        </w:rPr>
        <w:t>Much the same theme is taken up in verses 11-16, which describe the burial of the hordes of Gog.</w:t>
      </w:r>
    </w:p>
    <w:p w14:paraId="4F4DF8AF">
      <w:pPr>
        <w:pStyle w:val="9"/>
        <w:spacing w:before="17"/>
        <w:ind w:left="0"/>
        <w:jc w:val="left"/>
        <w:rPr>
          <w:rFonts w:hint="eastAsia"/>
        </w:rPr>
      </w:pPr>
      <w:r>
        <w:rPr>
          <w:rFonts w:hint="eastAsia"/>
        </w:rPr>
        <w:t>11-16节采用了大致相同的主题，描述了歌革大军的埋葬。</w:t>
      </w:r>
    </w:p>
    <w:p w14:paraId="4DC61808">
      <w:pPr>
        <w:pStyle w:val="9"/>
        <w:spacing w:before="17"/>
        <w:ind w:left="0"/>
        <w:jc w:val="left"/>
        <w:rPr>
          <w:rFonts w:hint="eastAsia"/>
        </w:rPr>
      </w:pPr>
    </w:p>
    <w:p w14:paraId="4347C428">
      <w:pPr>
        <w:pStyle w:val="9"/>
        <w:spacing w:before="17"/>
        <w:ind w:left="0"/>
        <w:jc w:val="left"/>
        <w:rPr>
          <w:rFonts w:hint="eastAsia"/>
        </w:rPr>
      </w:pPr>
      <w:r>
        <w:rPr>
          <w:rFonts w:hint="eastAsia"/>
        </w:rPr>
        <w:t>The imagery of verse 11 is designed to communicate the immensity of the burial ground, which is nothing less than the entire Valley of the Jordan east of Jerusalem, soon to be renamed the Valley of the Multitude of Gog.</w:t>
      </w:r>
    </w:p>
    <w:p w14:paraId="049C2B9A">
      <w:pPr>
        <w:pStyle w:val="9"/>
        <w:spacing w:before="17"/>
        <w:ind w:left="0"/>
        <w:jc w:val="left"/>
        <w:rPr>
          <w:rFonts w:hint="eastAsia"/>
        </w:rPr>
      </w:pPr>
      <w:r>
        <w:rPr>
          <w:rFonts w:hint="eastAsia"/>
        </w:rPr>
        <w:t>第11节的意象旨在传达埋葬地之巨大，它不亚于耶路撒冷以东的整个约旦河谷，不久将改名为哈们歌革谷。</w:t>
      </w:r>
    </w:p>
    <w:p w14:paraId="35694502">
      <w:pPr>
        <w:pStyle w:val="9"/>
        <w:spacing w:before="17"/>
        <w:ind w:left="0"/>
        <w:jc w:val="left"/>
        <w:rPr>
          <w:rFonts w:hint="eastAsia"/>
        </w:rPr>
      </w:pPr>
    </w:p>
    <w:p w14:paraId="24FB4044">
      <w:pPr>
        <w:pStyle w:val="9"/>
        <w:spacing w:before="17"/>
        <w:ind w:left="0"/>
        <w:jc w:val="left"/>
        <w:rPr>
          <w:rFonts w:hint="eastAsia"/>
        </w:rPr>
      </w:pPr>
      <w:r>
        <w:rPr>
          <w:rFonts w:hint="eastAsia"/>
        </w:rPr>
        <w:t>Similarly, the poetry of verses 12-15 is designed to speak of the superabundance of dead bodies that will lie there.</w:t>
      </w:r>
    </w:p>
    <w:p w14:paraId="43694133">
      <w:pPr>
        <w:pStyle w:val="9"/>
        <w:spacing w:before="17"/>
        <w:ind w:left="0"/>
        <w:jc w:val="left"/>
        <w:rPr>
          <w:rFonts w:hint="eastAsia"/>
        </w:rPr>
      </w:pPr>
      <w:r>
        <w:rPr>
          <w:rFonts w:hint="eastAsia"/>
        </w:rPr>
        <w:t>同样，12-15节的诗意旨在说明那里将有极其众多的尸体。</w:t>
      </w:r>
    </w:p>
    <w:p w14:paraId="3E55233F">
      <w:pPr>
        <w:pStyle w:val="9"/>
        <w:spacing w:before="17"/>
        <w:ind w:left="0"/>
        <w:jc w:val="left"/>
        <w:rPr>
          <w:rFonts w:hint="eastAsia"/>
        </w:rPr>
      </w:pPr>
    </w:p>
    <w:p w14:paraId="2F5602BB">
      <w:pPr>
        <w:pStyle w:val="9"/>
        <w:spacing w:before="17"/>
        <w:ind w:left="0"/>
        <w:jc w:val="left"/>
        <w:rPr>
          <w:rFonts w:hint="eastAsia"/>
        </w:rPr>
      </w:pPr>
      <w:r>
        <w:rPr>
          <w:rFonts w:hint="eastAsia"/>
        </w:rPr>
        <w:t>Verse 16 underscores this idea, declaring that the valley will suddenly become a city—or at least play host to a city—and men will call it Hamonah (i.e., Multitude).</w:t>
      </w:r>
    </w:p>
    <w:p w14:paraId="35160AC7">
      <w:pPr>
        <w:pStyle w:val="9"/>
        <w:spacing w:before="17"/>
        <w:ind w:left="0"/>
        <w:jc w:val="left"/>
        <w:rPr>
          <w:rFonts w:hint="eastAsia"/>
        </w:rPr>
      </w:pPr>
      <w:r>
        <w:rPr>
          <w:rFonts w:hint="eastAsia"/>
        </w:rPr>
        <w:t>第16节强调了这一观念，宣称那谷将突然成为一座城——或至少容纳一座城——人们将称它为哈们那（即“群众”之意）。</w:t>
      </w:r>
    </w:p>
    <w:p w14:paraId="0B614314">
      <w:pPr>
        <w:pStyle w:val="9"/>
        <w:spacing w:before="17"/>
        <w:ind w:left="0"/>
        <w:jc w:val="left"/>
        <w:rPr>
          <w:rFonts w:hint="eastAsia"/>
        </w:rPr>
      </w:pPr>
    </w:p>
    <w:p w14:paraId="773C4293">
      <w:pPr>
        <w:pStyle w:val="9"/>
        <w:spacing w:before="17"/>
        <w:ind w:left="0"/>
        <w:jc w:val="left"/>
        <w:rPr>
          <w:rFonts w:hint="eastAsia"/>
        </w:rPr>
      </w:pPr>
      <w:r>
        <w:rPr>
          <w:rFonts w:hint="eastAsia"/>
        </w:rPr>
        <w:t>What, then, is the great message of this mysterious passage?</w:t>
      </w:r>
    </w:p>
    <w:p w14:paraId="031CA24E">
      <w:pPr>
        <w:pStyle w:val="9"/>
        <w:spacing w:before="17"/>
        <w:ind w:left="0"/>
        <w:jc w:val="left"/>
        <w:rPr>
          <w:rFonts w:hint="eastAsia"/>
        </w:rPr>
      </w:pPr>
      <w:r>
        <w:rPr>
          <w:rFonts w:hint="eastAsia"/>
        </w:rPr>
        <w:t>那么，这段神秘经文的伟大信息是什么呢？</w:t>
      </w:r>
    </w:p>
    <w:p w14:paraId="6ABBE649">
      <w:pPr>
        <w:pStyle w:val="9"/>
        <w:spacing w:before="17"/>
        <w:ind w:left="0"/>
        <w:jc w:val="left"/>
        <w:rPr>
          <w:rFonts w:hint="eastAsia"/>
        </w:rPr>
      </w:pPr>
    </w:p>
    <w:p w14:paraId="32F78BA8">
      <w:pPr>
        <w:pStyle w:val="9"/>
        <w:spacing w:before="17"/>
        <w:ind w:left="0"/>
        <w:jc w:val="left"/>
        <w:rPr>
          <w:rFonts w:hint="eastAsia"/>
        </w:rPr>
      </w:pPr>
      <w:r>
        <w:rPr>
          <w:rFonts w:hint="eastAsia"/>
        </w:rPr>
        <w:t>The NT responds thus: In the Judgment, the resurrected saints will receive from Christ the honor of co-laboring with him in the final cleansing of the world, in the final casting out of all things that offend (v. 13, 1 Cor. 6:2-3, Mt. 13:41).</w:t>
      </w:r>
    </w:p>
    <w:p w14:paraId="2880AFBF">
      <w:pPr>
        <w:pStyle w:val="9"/>
        <w:spacing w:before="17"/>
        <w:ind w:left="0"/>
        <w:jc w:val="left"/>
        <w:rPr>
          <w:rFonts w:hint="eastAsia"/>
        </w:rPr>
      </w:pPr>
      <w:r>
        <w:rPr>
          <w:rFonts w:hint="eastAsia"/>
        </w:rPr>
        <w:t>新约如此回应：在审判中，复活的圣徒将从基督那里领受与祂同工的尊荣，一同参与世界的最终洁净，最终将一切叫人跌倒的事都除去（第13节，哥林多前书6:2-3，马太福音13:41）。</w:t>
      </w:r>
    </w:p>
    <w:p w14:paraId="1D64BC5F">
      <w:pPr>
        <w:pStyle w:val="9"/>
        <w:spacing w:before="17"/>
        <w:ind w:left="0"/>
        <w:jc w:val="left"/>
        <w:rPr>
          <w:rFonts w:hint="eastAsia"/>
        </w:rPr>
      </w:pPr>
    </w:p>
    <w:p w14:paraId="7BBEDB8F">
      <w:pPr>
        <w:pStyle w:val="9"/>
        <w:spacing w:before="17"/>
        <w:ind w:left="0"/>
        <w:jc w:val="left"/>
        <w:rPr>
          <w:rFonts w:hint="eastAsia"/>
        </w:rPr>
      </w:pPr>
      <w:r>
        <w:rPr>
          <w:rFonts w:hint="eastAsia"/>
        </w:rPr>
        <w:t>Verses 17-20 further illuminate the symbolic character of the whole prophecy, since here the corpses of Gog are not actually buried in a valley, but instead become a sacrificial meal, prepared by the LORD on the mountains of Israel for every sort of bird of the air and beast of the field.</w:t>
      </w:r>
    </w:p>
    <w:p w14:paraId="4A6DFC67">
      <w:pPr>
        <w:pStyle w:val="9"/>
        <w:spacing w:before="17"/>
        <w:ind w:left="0"/>
        <w:jc w:val="left"/>
        <w:rPr>
          <w:rFonts w:hint="eastAsia"/>
        </w:rPr>
      </w:pPr>
      <w:r>
        <w:rPr>
          <w:rFonts w:hint="eastAsia"/>
        </w:rPr>
        <w:t>17-20节进一步阐明了整个预言的象征性质，因为在这里，歌革的尸体实际上不是被埋在山谷里，而是成了主在以色列山上为空中各样的飞鸟和田野各样的走兽所预备的祭筵。</w:t>
      </w:r>
    </w:p>
    <w:p w14:paraId="3163D99F">
      <w:pPr>
        <w:pStyle w:val="9"/>
        <w:spacing w:before="17"/>
        <w:ind w:left="0"/>
        <w:jc w:val="left"/>
        <w:rPr>
          <w:rFonts w:hint="eastAsia"/>
        </w:rPr>
      </w:pPr>
    </w:p>
    <w:p w14:paraId="552123AE">
      <w:pPr>
        <w:pStyle w:val="9"/>
        <w:spacing w:before="17"/>
        <w:ind w:left="0"/>
        <w:jc w:val="left"/>
        <w:rPr>
          <w:rFonts w:hint="eastAsia"/>
        </w:rPr>
      </w:pPr>
      <w:r>
        <w:rPr>
          <w:rFonts w:hint="eastAsia"/>
        </w:rPr>
        <w:t>Moreover, as the text itself makes clear, the different sacrificial animals of verse 18 represent “the rulers of this age”—the princes of the earth and the mighty men of war—who, because of their opposition to God’s Gospel and God’s people, shall indeed come to nothing at Christ’s return (vv. 18, 20, 1 Cor. 2:6-8).</w:t>
      </w:r>
    </w:p>
    <w:p w14:paraId="2CE73D89">
      <w:pPr>
        <w:pStyle w:val="9"/>
        <w:spacing w:before="17"/>
        <w:ind w:left="0"/>
        <w:jc w:val="left"/>
        <w:rPr>
          <w:rFonts w:hint="eastAsia"/>
        </w:rPr>
      </w:pPr>
      <w:r>
        <w:rPr>
          <w:rFonts w:hint="eastAsia"/>
        </w:rPr>
        <w:t>此外，正如经文本身所清楚表明的，第18节中不同的祭牲代表了“这世代的掌权者”——地上的君王和有能的战士——他们因抵挡神的福音和神的子民，在基督再来时确实要归于无有（18, 20节，哥林多前书2:6-8）。</w:t>
      </w:r>
    </w:p>
    <w:p w14:paraId="006A5C9C">
      <w:pPr>
        <w:pStyle w:val="9"/>
        <w:spacing w:before="17"/>
        <w:ind w:left="0"/>
        <w:jc w:val="left"/>
        <w:rPr>
          <w:rFonts w:hint="eastAsia"/>
        </w:rPr>
      </w:pPr>
    </w:p>
    <w:p w14:paraId="7DE54A01">
      <w:pPr>
        <w:pStyle w:val="9"/>
        <w:spacing w:before="17"/>
        <w:ind w:left="0"/>
        <w:jc w:val="left"/>
        <w:rPr>
          <w:rFonts w:hint="eastAsia"/>
        </w:rPr>
      </w:pPr>
      <w:r>
        <w:rPr>
          <w:rFonts w:hint="eastAsia"/>
        </w:rPr>
        <w:t>That this is the correct interpretation is seen from its NT counterpart, Revelation 19:17-21.</w:t>
      </w:r>
    </w:p>
    <w:p w14:paraId="7CB948D6">
      <w:pPr>
        <w:pStyle w:val="9"/>
        <w:spacing w:before="17"/>
        <w:ind w:left="0"/>
        <w:jc w:val="left"/>
        <w:rPr>
          <w:rFonts w:hint="eastAsia"/>
        </w:rPr>
      </w:pPr>
      <w:r>
        <w:rPr>
          <w:rFonts w:hint="eastAsia"/>
        </w:rPr>
        <w:t>从其新约的对应经文，启示录19:17-21，可以看出这是正确的解释。</w:t>
      </w:r>
    </w:p>
    <w:p w14:paraId="0BDF5E80">
      <w:pPr>
        <w:pStyle w:val="9"/>
        <w:spacing w:before="17"/>
        <w:ind w:left="0"/>
        <w:jc w:val="left"/>
        <w:rPr>
          <w:rFonts w:hint="eastAsia"/>
        </w:rPr>
      </w:pPr>
    </w:p>
    <w:p w14:paraId="3D291288">
      <w:pPr>
        <w:pStyle w:val="9"/>
        <w:spacing w:before="17"/>
        <w:ind w:left="0"/>
        <w:jc w:val="left"/>
        <w:rPr>
          <w:rFonts w:hint="eastAsia"/>
        </w:rPr>
      </w:pPr>
      <w:r>
        <w:rPr>
          <w:rFonts w:hint="eastAsia"/>
        </w:rPr>
        <w:t>Drawing liberally from Ezekiel’s words, the Spirit there closely associates “the Great Supper of God” with the Second Coming of Christ (19:11-16).</w:t>
      </w:r>
    </w:p>
    <w:p w14:paraId="3D88F508">
      <w:pPr>
        <w:pStyle w:val="9"/>
        <w:spacing w:before="17"/>
        <w:ind w:left="0"/>
        <w:jc w:val="left"/>
        <w:rPr>
          <w:rFonts w:hint="eastAsia"/>
        </w:rPr>
      </w:pPr>
      <w:r>
        <w:rPr>
          <w:rFonts w:hint="eastAsia"/>
        </w:rPr>
        <w:t>圣灵在那里大量引用以西结的话，将“神的大筵席”与基督的第二次降临紧密联系起来（19:11-16）。</w:t>
      </w:r>
    </w:p>
    <w:p w14:paraId="1B5DBBE8">
      <w:pPr>
        <w:pStyle w:val="9"/>
        <w:spacing w:before="17"/>
        <w:ind w:left="0"/>
        <w:jc w:val="left"/>
        <w:rPr>
          <w:rFonts w:hint="eastAsia"/>
        </w:rPr>
      </w:pPr>
    </w:p>
    <w:p w14:paraId="4A7F640A">
      <w:pPr>
        <w:pStyle w:val="9"/>
        <w:spacing w:before="17"/>
        <w:ind w:left="0"/>
        <w:jc w:val="left"/>
        <w:rPr>
          <w:rFonts w:hint="eastAsia"/>
        </w:rPr>
      </w:pPr>
      <w:r>
        <w:rPr>
          <w:rFonts w:hint="eastAsia"/>
        </w:rPr>
        <w:t>Didactic passages from the Gospels and the Epistles decode the symbolism of both prophecies: At the Parousia, God, Christ, the holy angels, and the saints themselves will all fall upon the wicked, casting them into Gehenna, where they are eternally devoured in final judgment (Mt. 13:39-43, Rom. 2:5-10, 2 Thess. 1, Rev. 19:20, 20:14-15).</w:t>
      </w:r>
    </w:p>
    <w:p w14:paraId="640C2AEE">
      <w:pPr>
        <w:pStyle w:val="9"/>
        <w:spacing w:before="17"/>
        <w:ind w:left="0"/>
        <w:jc w:val="left"/>
        <w:rPr>
          <w:rFonts w:hint="eastAsia"/>
        </w:rPr>
      </w:pPr>
      <w:r>
        <w:rPr>
          <w:rFonts w:hint="eastAsia"/>
        </w:rPr>
        <w:t>福音书和书信中的教导性经文解码了这两个预言的象征意义：在基督再临时，神、基督、圣天使和圣徒自己都将攻击恶人，将他们扔进地狱，在那里他们在最后的审判中被永远吞噬（马太福音13:39-43，罗马书2:5-10，帖撒罗尼迦后书1章，启示录19:20，20:14-15）。</w:t>
      </w:r>
    </w:p>
    <w:p w14:paraId="1F9F21D0">
      <w:pPr>
        <w:pStyle w:val="9"/>
        <w:spacing w:before="17"/>
        <w:ind w:left="0"/>
        <w:jc w:val="left"/>
        <w:rPr>
          <w:rFonts w:hint="eastAsia"/>
        </w:rPr>
      </w:pPr>
    </w:p>
    <w:p w14:paraId="20EF763D">
      <w:pPr>
        <w:pStyle w:val="9"/>
        <w:spacing w:before="17"/>
        <w:ind w:left="0"/>
        <w:jc w:val="left"/>
        <w:rPr>
          <w:rFonts w:hint="eastAsia"/>
        </w:rPr>
      </w:pPr>
      <w:r>
        <w:rPr>
          <w:rFonts w:hint="eastAsia"/>
        </w:rPr>
        <w:t>Thus shall they become a kind of sacrifice, not to atone for sin, but to glorify the holiness, righteousness, wrath, and power of the divine Judge of sin (Rev. 15:1-8, 16:4-6).</w:t>
      </w:r>
    </w:p>
    <w:p w14:paraId="71EEFFC3">
      <w:pPr>
        <w:pStyle w:val="9"/>
        <w:spacing w:before="17"/>
        <w:ind w:left="0"/>
        <w:jc w:val="left"/>
        <w:rPr>
          <w:rFonts w:hint="eastAsia"/>
        </w:rPr>
      </w:pPr>
      <w:r>
        <w:rPr>
          <w:rFonts w:hint="eastAsia"/>
        </w:rPr>
        <w:t>因此，他们将成为一种祭物，不是为赎罪，而是为荣耀那位审判罪之神圣审判者的圣洁、公义、忿怒和权能（启示录15:1-8，16:4-6）。</w:t>
      </w:r>
    </w:p>
    <w:p w14:paraId="120B8409">
      <w:pPr>
        <w:pStyle w:val="9"/>
        <w:spacing w:before="17"/>
        <w:ind w:left="0"/>
        <w:jc w:val="left"/>
        <w:rPr>
          <w:rFonts w:hint="eastAsia"/>
        </w:rPr>
      </w:pPr>
    </w:p>
    <w:p w14:paraId="38A21619">
      <w:pPr>
        <w:pStyle w:val="9"/>
        <w:spacing w:before="17"/>
        <w:ind w:left="0"/>
        <w:jc w:val="left"/>
        <w:rPr>
          <w:rFonts w:hint="eastAsia"/>
        </w:rPr>
      </w:pPr>
      <w:r>
        <w:rPr>
          <w:rFonts w:hint="eastAsia"/>
        </w:rPr>
        <w:t>A Final Promise of Restoration (39:21-29)</w:t>
      </w:r>
    </w:p>
    <w:p w14:paraId="557CCFDE">
      <w:pPr>
        <w:pStyle w:val="9"/>
        <w:spacing w:before="17"/>
        <w:ind w:left="0"/>
        <w:jc w:val="left"/>
        <w:rPr>
          <w:rFonts w:hint="eastAsia"/>
        </w:rPr>
      </w:pPr>
      <w:r>
        <w:rPr>
          <w:rFonts w:hint="eastAsia"/>
        </w:rPr>
        <w:t>最后的复兴应许（39:21-29）</w:t>
      </w:r>
    </w:p>
    <w:p w14:paraId="47C15B77">
      <w:pPr>
        <w:pStyle w:val="9"/>
        <w:spacing w:before="17"/>
        <w:ind w:left="0"/>
        <w:jc w:val="left"/>
        <w:rPr>
          <w:rFonts w:hint="eastAsia"/>
        </w:rPr>
      </w:pPr>
    </w:p>
    <w:p w14:paraId="7FE40899">
      <w:pPr>
        <w:pStyle w:val="9"/>
        <w:spacing w:before="17"/>
        <w:ind w:left="0"/>
        <w:jc w:val="left"/>
        <w:rPr>
          <w:rFonts w:hint="eastAsia"/>
        </w:rPr>
      </w:pPr>
      <w:r>
        <w:rPr>
          <w:rFonts w:hint="eastAsia"/>
        </w:rPr>
        <w:t>This section brings the prophecy to a close, paving the way for Ezekiel’s description of life in the World to Come.</w:t>
      </w:r>
    </w:p>
    <w:p w14:paraId="04A19F26">
      <w:pPr>
        <w:pStyle w:val="9"/>
        <w:spacing w:before="17"/>
        <w:ind w:left="0"/>
        <w:jc w:val="left"/>
        <w:rPr>
          <w:rFonts w:hint="eastAsia"/>
        </w:rPr>
      </w:pPr>
      <w:r>
        <w:rPr>
          <w:rFonts w:hint="eastAsia"/>
        </w:rPr>
        <w:t>这一部分为预言作了总结，为以西结描述未来世界的生活铺平了道路。</w:t>
      </w:r>
    </w:p>
    <w:p w14:paraId="51CD43DD">
      <w:pPr>
        <w:pStyle w:val="9"/>
        <w:spacing w:before="17"/>
        <w:ind w:left="0"/>
        <w:jc w:val="left"/>
        <w:rPr>
          <w:rFonts w:hint="eastAsia"/>
        </w:rPr>
      </w:pPr>
    </w:p>
    <w:p w14:paraId="45E3880D">
      <w:pPr>
        <w:pStyle w:val="9"/>
        <w:spacing w:before="17"/>
        <w:ind w:left="0"/>
        <w:jc w:val="left"/>
        <w:rPr>
          <w:rFonts w:hint="eastAsia"/>
        </w:rPr>
      </w:pPr>
      <w:r>
        <w:rPr>
          <w:rFonts w:hint="eastAsia"/>
        </w:rPr>
        <w:t>Appropriately enough, it gives yet another promise of Israel’s eschatological restoration.</w:t>
      </w:r>
    </w:p>
    <w:p w14:paraId="50E7361F">
      <w:pPr>
        <w:pStyle w:val="9"/>
        <w:spacing w:before="17"/>
        <w:ind w:left="0"/>
        <w:jc w:val="left"/>
        <w:rPr>
          <w:rFonts w:hint="eastAsia"/>
        </w:rPr>
      </w:pPr>
      <w:r>
        <w:rPr>
          <w:rFonts w:hint="eastAsia"/>
        </w:rPr>
        <w:t>恰如其分地，它又给出了一个以色列末世性复兴的应许。</w:t>
      </w:r>
    </w:p>
    <w:p w14:paraId="741E9C3F">
      <w:pPr>
        <w:pStyle w:val="9"/>
        <w:spacing w:before="17"/>
        <w:ind w:left="0"/>
        <w:jc w:val="left"/>
        <w:rPr>
          <w:rFonts w:hint="eastAsia"/>
        </w:rPr>
      </w:pPr>
    </w:p>
    <w:p w14:paraId="183AEA16">
      <w:pPr>
        <w:pStyle w:val="9"/>
        <w:spacing w:before="17"/>
        <w:ind w:left="0"/>
        <w:jc w:val="left"/>
        <w:rPr>
          <w:rFonts w:hint="eastAsia"/>
        </w:rPr>
      </w:pPr>
      <w:r>
        <w:rPr>
          <w:rFonts w:hint="eastAsia"/>
        </w:rPr>
        <w:t>In verses 21-24, God opens by taking up once again the theme of his supreme purpose in the Judgment: “That they may know.”</w:t>
      </w:r>
    </w:p>
    <w:p w14:paraId="5D2FD962">
      <w:pPr>
        <w:pStyle w:val="9"/>
        <w:spacing w:before="17"/>
        <w:ind w:left="0"/>
        <w:jc w:val="left"/>
        <w:rPr>
          <w:rFonts w:hint="eastAsia"/>
        </w:rPr>
      </w:pPr>
      <w:r>
        <w:rPr>
          <w:rFonts w:hint="eastAsia"/>
        </w:rPr>
        <w:t>在21-24节，神开篇再次提及祂在审判中的至高目的：“好叫他们知道。”</w:t>
      </w:r>
    </w:p>
    <w:p w14:paraId="134E66CF">
      <w:pPr>
        <w:pStyle w:val="9"/>
        <w:spacing w:before="17"/>
        <w:ind w:left="0"/>
        <w:jc w:val="left"/>
        <w:rPr>
          <w:rFonts w:hint="eastAsia"/>
        </w:rPr>
      </w:pPr>
    </w:p>
    <w:p w14:paraId="5604E210">
      <w:pPr>
        <w:pStyle w:val="9"/>
        <w:spacing w:before="17"/>
        <w:ind w:left="0"/>
        <w:jc w:val="left"/>
        <w:rPr>
          <w:rFonts w:hint="eastAsia"/>
        </w:rPr>
      </w:pPr>
      <w:r>
        <w:rPr>
          <w:rFonts w:hint="eastAsia"/>
        </w:rPr>
        <w:t>In particular, he would have all men know his glory (21).</w:t>
      </w:r>
    </w:p>
    <w:p w14:paraId="3D19C215">
      <w:pPr>
        <w:pStyle w:val="9"/>
        <w:spacing w:before="17"/>
        <w:ind w:left="0"/>
        <w:jc w:val="left"/>
        <w:rPr>
          <w:rFonts w:hint="eastAsia"/>
        </w:rPr>
      </w:pPr>
      <w:r>
        <w:rPr>
          <w:rFonts w:hint="eastAsia"/>
        </w:rPr>
        <w:t>特别是，祂要使所有人都知道祂的荣耀（21）。</w:t>
      </w:r>
    </w:p>
    <w:p w14:paraId="6DBDB3BD">
      <w:pPr>
        <w:pStyle w:val="9"/>
        <w:spacing w:before="17"/>
        <w:ind w:left="0"/>
        <w:jc w:val="left"/>
        <w:rPr>
          <w:rFonts w:hint="eastAsia"/>
        </w:rPr>
      </w:pPr>
    </w:p>
    <w:p w14:paraId="25E810EA">
      <w:pPr>
        <w:pStyle w:val="9"/>
        <w:spacing w:before="17"/>
        <w:ind w:left="0"/>
        <w:jc w:val="left"/>
        <w:rPr>
          <w:rFonts w:hint="eastAsia"/>
        </w:rPr>
      </w:pPr>
      <w:r>
        <w:rPr>
          <w:rFonts w:hint="eastAsia"/>
        </w:rPr>
        <w:t>He would have “Israel” (i.e., believers in Christ) know his covenant faithfulness (22).</w:t>
      </w:r>
    </w:p>
    <w:p w14:paraId="6CED6774">
      <w:pPr>
        <w:pStyle w:val="9"/>
        <w:spacing w:before="17"/>
        <w:ind w:left="0"/>
        <w:jc w:val="left"/>
        <w:rPr>
          <w:rFonts w:hint="eastAsia"/>
        </w:rPr>
      </w:pPr>
      <w:r>
        <w:rPr>
          <w:rFonts w:hint="eastAsia"/>
        </w:rPr>
        <w:t>祂要使“以色列”（即在基督里的信徒）知道祂的守约信实（22）。</w:t>
      </w:r>
    </w:p>
    <w:p w14:paraId="7349BBF3">
      <w:pPr>
        <w:pStyle w:val="9"/>
        <w:spacing w:before="17"/>
        <w:ind w:left="0"/>
        <w:jc w:val="left"/>
        <w:rPr>
          <w:rFonts w:hint="eastAsia"/>
        </w:rPr>
      </w:pPr>
    </w:p>
    <w:p w14:paraId="39254BBB">
      <w:pPr>
        <w:pStyle w:val="9"/>
        <w:spacing w:before="17"/>
        <w:ind w:left="0"/>
        <w:jc w:val="left"/>
        <w:rPr>
          <w:rFonts w:hint="eastAsia"/>
        </w:rPr>
      </w:pPr>
      <w:r>
        <w:rPr>
          <w:rFonts w:hint="eastAsia"/>
        </w:rPr>
        <w:t>And he would have the “Gentiles” (i.e., unbelievers) know that whenever and wherever they (briefly) triumphed over Israel, it was not because God was unable or unwilling to save his people, but because they had sinned, so that for a short season he hid his face from them in judgment (vv. 23-24, Isaiah 54:8).</w:t>
      </w:r>
    </w:p>
    <w:p w14:paraId="7C10F5AE">
      <w:pPr>
        <w:pStyle w:val="9"/>
        <w:spacing w:before="17"/>
        <w:ind w:left="0"/>
        <w:jc w:val="left"/>
        <w:rPr>
          <w:rFonts w:hint="eastAsia"/>
        </w:rPr>
      </w:pPr>
      <w:r>
        <w:rPr>
          <w:rFonts w:hint="eastAsia"/>
        </w:rPr>
        <w:t>祂要使“外邦人”（即非信徒）知道，无论何时何地他们（短暂地）战胜以色列，都不是因为神不能或不愿拯救祂的子民，而是因为他们犯了罪，以致祂在审判中暂时向他们掩面（23-24节，以赛亚书54:8）。</w:t>
      </w:r>
    </w:p>
    <w:p w14:paraId="7CC0391E">
      <w:pPr>
        <w:pStyle w:val="9"/>
        <w:spacing w:before="17"/>
        <w:ind w:left="0"/>
        <w:jc w:val="left"/>
        <w:rPr>
          <w:rFonts w:hint="eastAsia"/>
        </w:rPr>
      </w:pPr>
    </w:p>
    <w:p w14:paraId="52C2100E">
      <w:pPr>
        <w:pStyle w:val="9"/>
        <w:spacing w:before="17"/>
        <w:ind w:left="0"/>
        <w:jc w:val="left"/>
        <w:rPr>
          <w:rFonts w:hint="eastAsia"/>
        </w:rPr>
      </w:pPr>
      <w:r>
        <w:rPr>
          <w:rFonts w:hint="eastAsia"/>
        </w:rPr>
        <w:t>Mindful of this overarching purpose—and eager to instill hope in his suffering people—God therefore issues another promise of eschatological redemption (vv. 25-29).</w:t>
      </w:r>
    </w:p>
    <w:p w14:paraId="64EEB22F">
      <w:pPr>
        <w:pStyle w:val="9"/>
        <w:spacing w:before="17"/>
        <w:ind w:left="0"/>
        <w:jc w:val="left"/>
        <w:rPr>
          <w:rFonts w:hint="eastAsia"/>
        </w:rPr>
      </w:pPr>
      <w:r>
        <w:rPr>
          <w:rFonts w:hint="eastAsia"/>
        </w:rPr>
        <w:t>神惦记着这个首要的目的——并渴望在祂受苦的子民心中注入希望——因此发出了另一个末世性救赎的应许（25-29节）。</w:t>
      </w:r>
    </w:p>
    <w:p w14:paraId="62380766">
      <w:pPr>
        <w:pStyle w:val="9"/>
        <w:spacing w:before="17"/>
        <w:ind w:left="0"/>
        <w:jc w:val="left"/>
        <w:rPr>
          <w:rFonts w:hint="eastAsia"/>
        </w:rPr>
      </w:pPr>
    </w:p>
    <w:p w14:paraId="020AECF3">
      <w:pPr>
        <w:pStyle w:val="9"/>
        <w:spacing w:before="17"/>
        <w:ind w:left="0"/>
        <w:jc w:val="left"/>
        <w:rPr>
          <w:rFonts w:hint="eastAsia"/>
        </w:rPr>
      </w:pPr>
      <w:r>
        <w:rPr>
          <w:rFonts w:hint="eastAsia"/>
        </w:rPr>
        <w:t>The blessings are familiar.</w:t>
      </w:r>
    </w:p>
    <w:p w14:paraId="30DE3ABB">
      <w:pPr>
        <w:pStyle w:val="9"/>
        <w:spacing w:before="17"/>
        <w:ind w:left="0"/>
        <w:jc w:val="left"/>
        <w:rPr>
          <w:rFonts w:hint="eastAsia"/>
        </w:rPr>
      </w:pPr>
      <w:r>
        <w:rPr>
          <w:rFonts w:hint="eastAsia"/>
        </w:rPr>
        <w:t>这些祝福是熟悉的。</w:t>
      </w:r>
    </w:p>
    <w:p w14:paraId="03E9C9CB">
      <w:pPr>
        <w:pStyle w:val="9"/>
        <w:spacing w:before="17"/>
        <w:ind w:left="0"/>
        <w:jc w:val="left"/>
        <w:rPr>
          <w:rFonts w:hint="eastAsia"/>
        </w:rPr>
      </w:pPr>
    </w:p>
    <w:p w14:paraId="79F44FE4">
      <w:pPr>
        <w:pStyle w:val="9"/>
        <w:spacing w:before="17"/>
        <w:ind w:left="0"/>
        <w:jc w:val="left"/>
        <w:rPr>
          <w:rFonts w:hint="eastAsia"/>
        </w:rPr>
      </w:pPr>
      <w:r>
        <w:rPr>
          <w:rFonts w:hint="eastAsia"/>
        </w:rPr>
        <w:t>He will restore the fortunes of Jacob and have mercy on the house of Israel (v. 25).</w:t>
      </w:r>
    </w:p>
    <w:p w14:paraId="291F2FEE">
      <w:pPr>
        <w:pStyle w:val="9"/>
        <w:spacing w:before="17"/>
        <w:ind w:left="0"/>
        <w:jc w:val="left"/>
        <w:rPr>
          <w:rFonts w:hint="eastAsia"/>
        </w:rPr>
      </w:pPr>
      <w:r>
        <w:rPr>
          <w:rFonts w:hint="eastAsia"/>
        </w:rPr>
        <w:t>祂要使雅各被掳的人归回，并要怜悯以色列全家（第25节）。</w:t>
      </w:r>
    </w:p>
    <w:p w14:paraId="5EAE8C62">
      <w:pPr>
        <w:pStyle w:val="9"/>
        <w:spacing w:before="17"/>
        <w:ind w:left="0"/>
        <w:jc w:val="left"/>
        <w:rPr>
          <w:rFonts w:hint="eastAsia"/>
        </w:rPr>
      </w:pPr>
    </w:p>
    <w:p w14:paraId="7C7F9B33">
      <w:pPr>
        <w:pStyle w:val="9"/>
        <w:spacing w:before="17"/>
        <w:ind w:left="0"/>
        <w:jc w:val="left"/>
        <w:rPr>
          <w:rFonts w:hint="eastAsia"/>
        </w:rPr>
      </w:pPr>
      <w:r>
        <w:rPr>
          <w:rFonts w:hint="eastAsia"/>
        </w:rPr>
        <w:t>When he does, they will forget their former disgrace and live securely in their own land (v. 26).</w:t>
      </w:r>
    </w:p>
    <w:p w14:paraId="26C2DB29">
      <w:pPr>
        <w:pStyle w:val="9"/>
        <w:spacing w:before="17"/>
        <w:ind w:left="0"/>
        <w:jc w:val="left"/>
        <w:rPr>
          <w:rFonts w:hint="eastAsia"/>
        </w:rPr>
      </w:pPr>
      <w:r>
        <w:rPr>
          <w:rFonts w:hint="eastAsia"/>
        </w:rPr>
        <w:t>当祂这样做时，他们将忘记他们先前的羞辱，安然居住在自己的土地上（第26节）。</w:t>
      </w:r>
    </w:p>
    <w:p w14:paraId="47FE2CFA">
      <w:pPr>
        <w:pStyle w:val="9"/>
        <w:spacing w:before="17"/>
        <w:ind w:left="0"/>
        <w:jc w:val="left"/>
        <w:rPr>
          <w:rFonts w:hint="eastAsia"/>
        </w:rPr>
      </w:pPr>
    </w:p>
    <w:p w14:paraId="25F1EC31">
      <w:pPr>
        <w:pStyle w:val="9"/>
        <w:spacing w:before="17"/>
        <w:ind w:left="0"/>
        <w:jc w:val="left"/>
        <w:rPr>
          <w:rFonts w:hint="eastAsia"/>
        </w:rPr>
      </w:pPr>
      <w:r>
        <w:rPr>
          <w:rFonts w:hint="eastAsia"/>
        </w:rPr>
        <w:t>Their holy and blessed life will bring honor to his name (v. 27).</w:t>
      </w:r>
    </w:p>
    <w:p w14:paraId="4A3B0287">
      <w:pPr>
        <w:pStyle w:val="9"/>
        <w:spacing w:before="17"/>
        <w:ind w:left="0"/>
        <w:jc w:val="left"/>
        <w:rPr>
          <w:rFonts w:hint="eastAsia"/>
        </w:rPr>
      </w:pPr>
      <w:r>
        <w:rPr>
          <w:rFonts w:hint="eastAsia"/>
        </w:rPr>
        <w:t>他们圣洁和蒙福的生活将为祂的名带来荣耀（第27节）。</w:t>
      </w:r>
    </w:p>
    <w:p w14:paraId="4D1E77B6">
      <w:pPr>
        <w:pStyle w:val="9"/>
        <w:spacing w:before="17"/>
        <w:ind w:left="0"/>
        <w:jc w:val="left"/>
        <w:rPr>
          <w:rFonts w:hint="eastAsia"/>
        </w:rPr>
      </w:pPr>
    </w:p>
    <w:p w14:paraId="707BC4F1">
      <w:pPr>
        <w:pStyle w:val="9"/>
        <w:spacing w:before="17"/>
        <w:ind w:left="0"/>
        <w:jc w:val="left"/>
        <w:rPr>
          <w:rFonts w:hint="eastAsia"/>
        </w:rPr>
      </w:pPr>
      <w:r>
        <w:rPr>
          <w:rFonts w:hint="eastAsia"/>
        </w:rPr>
        <w:t>They will learn to see his sovereign hand, both in their previous exile and in their soon-coming return (v. 28).</w:t>
      </w:r>
    </w:p>
    <w:p w14:paraId="70D0E9DA">
      <w:pPr>
        <w:pStyle w:val="9"/>
        <w:spacing w:before="17"/>
        <w:ind w:left="0"/>
        <w:jc w:val="left"/>
        <w:rPr>
          <w:rFonts w:hint="eastAsia"/>
        </w:rPr>
      </w:pPr>
      <w:r>
        <w:rPr>
          <w:rFonts w:hint="eastAsia"/>
        </w:rPr>
        <w:t>他们将学会在他们先前的被掳和即将到来的回归中，都看到祂主权的手（第28节）。</w:t>
      </w:r>
    </w:p>
    <w:p w14:paraId="12822D1B">
      <w:pPr>
        <w:pStyle w:val="9"/>
        <w:spacing w:before="17"/>
        <w:ind w:left="0"/>
        <w:jc w:val="left"/>
        <w:rPr>
          <w:rFonts w:hint="eastAsia"/>
        </w:rPr>
      </w:pPr>
    </w:p>
    <w:p w14:paraId="21858D25">
      <w:pPr>
        <w:pStyle w:val="9"/>
        <w:spacing w:before="17"/>
        <w:ind w:left="0"/>
        <w:jc w:val="left"/>
        <w:rPr>
          <w:rFonts w:hint="eastAsia"/>
        </w:rPr>
      </w:pPr>
      <w:r>
        <w:rPr>
          <w:rFonts w:hint="eastAsia"/>
        </w:rPr>
        <w:t>Moreover, once having returned, they will rest in this glorious confidence: Never again will God hide his face from them in judgment, for in those days he will have poured out his life- transforming Spirit upon all the house of Israel (v. 29, Heb. 8:1-13).</w:t>
      </w:r>
    </w:p>
    <w:p w14:paraId="6FC19CE9">
      <w:pPr>
        <w:pStyle w:val="9"/>
        <w:spacing w:before="17"/>
        <w:ind w:left="0"/>
        <w:jc w:val="left"/>
        <w:rPr>
          <w:rFonts w:hint="eastAsia"/>
        </w:rPr>
      </w:pPr>
      <w:r>
        <w:rPr>
          <w:rFonts w:hint="eastAsia"/>
        </w:rPr>
        <w:t>此外，一旦回归，他们将安息在这荣耀的确信中：神再也不会在审判中向他们掩面，因为在那些日子里，祂已将祂那改变生命的灵浇灌在以色列全家身上（第29节，希伯来书8:1-13）。</w:t>
      </w:r>
    </w:p>
    <w:p w14:paraId="1DE3D554">
      <w:pPr>
        <w:pStyle w:val="9"/>
        <w:spacing w:before="17"/>
        <w:ind w:left="0"/>
        <w:jc w:val="left"/>
        <w:rPr>
          <w:rFonts w:hint="eastAsia"/>
        </w:rPr>
      </w:pPr>
    </w:p>
    <w:p w14:paraId="2B51DDDE">
      <w:pPr>
        <w:pStyle w:val="9"/>
        <w:spacing w:before="17"/>
        <w:ind w:left="0"/>
        <w:jc w:val="left"/>
        <w:rPr>
          <w:rFonts w:hint="eastAsia"/>
        </w:rPr>
      </w:pPr>
      <w:r>
        <w:rPr>
          <w:rFonts w:hint="eastAsia"/>
        </w:rPr>
        <w:t>How shall we interpret this final promise?</w:t>
      </w:r>
    </w:p>
    <w:p w14:paraId="113B7848">
      <w:pPr>
        <w:pStyle w:val="9"/>
        <w:spacing w:before="17"/>
        <w:ind w:left="0"/>
        <w:jc w:val="left"/>
        <w:rPr>
          <w:rFonts w:hint="eastAsia"/>
        </w:rPr>
      </w:pPr>
      <w:r>
        <w:rPr>
          <w:rFonts w:hint="eastAsia"/>
        </w:rPr>
        <w:t>我们该如何解释这最后的应许呢？</w:t>
      </w:r>
    </w:p>
    <w:p w14:paraId="5AB21E54">
      <w:pPr>
        <w:pStyle w:val="9"/>
        <w:spacing w:before="17"/>
        <w:ind w:left="0"/>
        <w:jc w:val="left"/>
        <w:rPr>
          <w:rFonts w:hint="eastAsia"/>
        </w:rPr>
      </w:pPr>
    </w:p>
    <w:p w14:paraId="29FA7159">
      <w:pPr>
        <w:pStyle w:val="9"/>
        <w:spacing w:before="17"/>
        <w:ind w:left="0"/>
        <w:jc w:val="left"/>
        <w:rPr>
          <w:rFonts w:hint="eastAsia"/>
        </w:rPr>
      </w:pPr>
      <w:r>
        <w:rPr>
          <w:rFonts w:hint="eastAsia"/>
        </w:rPr>
        <w:t>That it appears to be speaking of ethnic Israel can scarcely be denied.</w:t>
      </w:r>
    </w:p>
    <w:p w14:paraId="3D93D640">
      <w:pPr>
        <w:pStyle w:val="9"/>
        <w:spacing w:before="17"/>
        <w:ind w:left="0"/>
        <w:jc w:val="left"/>
        <w:rPr>
          <w:rFonts w:hint="eastAsia"/>
        </w:rPr>
      </w:pPr>
      <w:r>
        <w:rPr>
          <w:rFonts w:hint="eastAsia"/>
        </w:rPr>
        <w:t>它似乎在谈论血统上的以色列，这一点几乎无法否认。</w:t>
      </w:r>
    </w:p>
    <w:p w14:paraId="5F769BB0">
      <w:pPr>
        <w:pStyle w:val="9"/>
        <w:spacing w:before="17"/>
        <w:ind w:left="0"/>
        <w:jc w:val="left"/>
        <w:rPr>
          <w:rFonts w:hint="eastAsia"/>
        </w:rPr>
      </w:pPr>
    </w:p>
    <w:p w14:paraId="38648AFB">
      <w:pPr>
        <w:pStyle w:val="9"/>
        <w:spacing w:before="17"/>
        <w:ind w:left="0"/>
        <w:jc w:val="left"/>
        <w:rPr>
          <w:rFonts w:hint="eastAsia"/>
        </w:rPr>
      </w:pPr>
      <w:r>
        <w:rPr>
          <w:rFonts w:hint="eastAsia"/>
        </w:rPr>
        <w:t>And yet the NT assures us that something more, something “mysterious,” is actually in view.</w:t>
      </w:r>
    </w:p>
    <w:p w14:paraId="5F66ED67">
      <w:pPr>
        <w:pStyle w:val="9"/>
        <w:spacing w:before="17"/>
        <w:ind w:left="0"/>
        <w:jc w:val="left"/>
        <w:rPr>
          <w:rFonts w:hint="eastAsia"/>
        </w:rPr>
      </w:pPr>
      <w:r>
        <w:rPr>
          <w:rFonts w:hint="eastAsia"/>
        </w:rPr>
        <w:t>然而新约向我们保证，实际上所看到的是更深、更“奥秘”的东西。</w:t>
      </w:r>
    </w:p>
    <w:p w14:paraId="5B1EC9F7">
      <w:pPr>
        <w:pStyle w:val="9"/>
        <w:spacing w:before="17"/>
        <w:ind w:left="0"/>
        <w:jc w:val="left"/>
        <w:rPr>
          <w:rFonts w:hint="eastAsia"/>
        </w:rPr>
      </w:pPr>
    </w:p>
    <w:p w14:paraId="03D70C81">
      <w:pPr>
        <w:pStyle w:val="9"/>
        <w:spacing w:before="17"/>
        <w:ind w:left="0"/>
        <w:jc w:val="left"/>
        <w:rPr>
          <w:rFonts w:hint="eastAsia"/>
        </w:rPr>
      </w:pPr>
      <w:r>
        <w:rPr>
          <w:rFonts w:hint="eastAsia"/>
        </w:rPr>
        <w:t>To be sure, the LORD here addresses the godly Jews of Ezekiel’s day and after; Jews who will indeed, in the fullness of time, enter “the land” and experience the blessings of which he speaks.</w:t>
      </w:r>
    </w:p>
    <w:p w14:paraId="426C2050">
      <w:pPr>
        <w:pStyle w:val="9"/>
        <w:spacing w:before="17"/>
        <w:ind w:left="0"/>
        <w:jc w:val="left"/>
        <w:rPr>
          <w:rFonts w:hint="eastAsia"/>
        </w:rPr>
      </w:pPr>
      <w:r>
        <w:rPr>
          <w:rFonts w:hint="eastAsia"/>
        </w:rPr>
        <w:t>诚然，主在这里是对以西结时代及其后敬虔的犹太人说话；这些犹太人确实会在时候满足时，进入“那地”，并经历祂所说的祝福。</w:t>
      </w:r>
    </w:p>
    <w:p w14:paraId="1F0DAEED">
      <w:pPr>
        <w:pStyle w:val="9"/>
        <w:spacing w:before="17"/>
        <w:ind w:left="0"/>
        <w:jc w:val="left"/>
        <w:rPr>
          <w:rFonts w:hint="eastAsia"/>
        </w:rPr>
      </w:pPr>
    </w:p>
    <w:p w14:paraId="0F371C37">
      <w:pPr>
        <w:pStyle w:val="9"/>
        <w:spacing w:before="17"/>
        <w:ind w:left="0"/>
        <w:jc w:val="left"/>
        <w:rPr>
          <w:rFonts w:hint="eastAsia"/>
        </w:rPr>
      </w:pPr>
      <w:r>
        <w:rPr>
          <w:rFonts w:hint="eastAsia"/>
        </w:rPr>
        <w:t>And yet, according to the NT, the true sphere of fulfillment of these words is the New Covenant in Christ, the twofold Kingdom he has introduced, and the eschatological people he is creating: the Church.</w:t>
      </w:r>
    </w:p>
    <w:p w14:paraId="6421B5B7">
      <w:pPr>
        <w:pStyle w:val="9"/>
        <w:spacing w:before="17"/>
        <w:ind w:left="0"/>
        <w:jc w:val="left"/>
        <w:rPr>
          <w:rFonts w:hint="eastAsia"/>
        </w:rPr>
      </w:pPr>
      <w:r>
        <w:rPr>
          <w:rFonts w:hint="eastAsia"/>
        </w:rPr>
        <w:t>然而，根据新约，这些话语真正的应验范畴是在基督里的新约，祂所引入的两重国度，以及祂正在创造的末世子民：教会。</w:t>
      </w:r>
    </w:p>
    <w:p w14:paraId="640BC6A0">
      <w:pPr>
        <w:pStyle w:val="9"/>
        <w:spacing w:before="17"/>
        <w:ind w:left="0"/>
        <w:jc w:val="left"/>
        <w:rPr>
          <w:rFonts w:hint="eastAsia"/>
        </w:rPr>
      </w:pPr>
    </w:p>
    <w:p w14:paraId="47BC32EB">
      <w:pPr>
        <w:pStyle w:val="9"/>
        <w:spacing w:before="17"/>
        <w:ind w:left="0"/>
        <w:jc w:val="left"/>
        <w:rPr>
          <w:rFonts w:hint="eastAsia"/>
        </w:rPr>
      </w:pPr>
      <w:r>
        <w:rPr>
          <w:rFonts w:hint="eastAsia"/>
        </w:rPr>
        <w:t>On this view, Israel’s history of sin, exile, and return stands as a type of the history of all God’s people, whether Jew or Gentile.</w:t>
      </w:r>
    </w:p>
    <w:p w14:paraId="76DA2D7C">
      <w:pPr>
        <w:pStyle w:val="9"/>
        <w:spacing w:before="17"/>
        <w:ind w:left="0"/>
        <w:jc w:val="left"/>
        <w:rPr>
          <w:rFonts w:hint="eastAsia"/>
        </w:rPr>
      </w:pPr>
      <w:r>
        <w:rPr>
          <w:rFonts w:hint="eastAsia"/>
        </w:rPr>
        <w:t>根据这一观点，以色列犯罪、被掳和回归的历史，是所有神子民——无论是犹太人还是外邦人——历史的预表。</w:t>
      </w:r>
    </w:p>
    <w:p w14:paraId="19C2C0BE">
      <w:pPr>
        <w:pStyle w:val="9"/>
        <w:spacing w:before="17"/>
        <w:ind w:left="0"/>
        <w:jc w:val="left"/>
        <w:rPr>
          <w:rFonts w:hint="eastAsia"/>
        </w:rPr>
      </w:pPr>
    </w:p>
    <w:p w14:paraId="7C0EF7AA">
      <w:pPr>
        <w:pStyle w:val="9"/>
        <w:spacing w:before="17"/>
        <w:ind w:left="0"/>
        <w:jc w:val="left"/>
        <w:rPr>
          <w:rFonts w:hint="eastAsia"/>
        </w:rPr>
      </w:pPr>
      <w:r>
        <w:rPr>
          <w:rFonts w:hint="eastAsia"/>
        </w:rPr>
        <w:t>Having sinned in Adam, as well as by their own evil choices, God has exiled them in the Domain of Darkness, where they suffer grievously at the hands of their many enemies.</w:t>
      </w:r>
    </w:p>
    <w:p w14:paraId="415227AC">
      <w:pPr>
        <w:pStyle w:val="9"/>
        <w:spacing w:before="17"/>
        <w:ind w:left="0"/>
        <w:jc w:val="left"/>
        <w:rPr>
          <w:rFonts w:hint="eastAsia"/>
        </w:rPr>
      </w:pPr>
      <w:r>
        <w:rPr>
          <w:rFonts w:hint="eastAsia"/>
        </w:rPr>
        <w:t>因在亚当里犯罪，也因自己邪恶的选择，神已将他们放逐在黑暗的权势之下，在那里他们因众多仇敌之手而遭受极大的苦难。</w:t>
      </w:r>
    </w:p>
    <w:p w14:paraId="2962E774">
      <w:pPr>
        <w:pStyle w:val="9"/>
        <w:spacing w:before="17"/>
        <w:ind w:left="0"/>
        <w:jc w:val="left"/>
        <w:rPr>
          <w:rFonts w:hint="eastAsia"/>
        </w:rPr>
      </w:pPr>
    </w:p>
    <w:p w14:paraId="3941B11B">
      <w:pPr>
        <w:pStyle w:val="9"/>
        <w:spacing w:before="17"/>
        <w:ind w:left="0"/>
        <w:jc w:val="left"/>
        <w:rPr>
          <w:rFonts w:hint="eastAsia"/>
        </w:rPr>
      </w:pPr>
      <w:r>
        <w:rPr>
          <w:rFonts w:hint="eastAsia"/>
        </w:rPr>
        <w:t>Yet because of his everlasting love for them, he will take action.</w:t>
      </w:r>
    </w:p>
    <w:p w14:paraId="061A2352">
      <w:pPr>
        <w:pStyle w:val="9"/>
        <w:spacing w:before="17"/>
        <w:ind w:left="0"/>
        <w:jc w:val="left"/>
        <w:rPr>
          <w:rFonts w:hint="eastAsia"/>
        </w:rPr>
      </w:pPr>
      <w:r>
        <w:rPr>
          <w:rFonts w:hint="eastAsia"/>
        </w:rPr>
        <w:t>然而，因着祂对他们永恒的爱，祂将采取行动。</w:t>
      </w:r>
    </w:p>
    <w:p w14:paraId="27FCE17E">
      <w:pPr>
        <w:pStyle w:val="9"/>
        <w:spacing w:before="17"/>
        <w:ind w:left="0"/>
        <w:jc w:val="left"/>
        <w:rPr>
          <w:rFonts w:hint="eastAsia"/>
        </w:rPr>
      </w:pPr>
    </w:p>
    <w:p w14:paraId="33A102EB">
      <w:pPr>
        <w:pStyle w:val="9"/>
        <w:spacing w:before="17"/>
        <w:ind w:left="0"/>
        <w:jc w:val="left"/>
        <w:rPr>
          <w:rFonts w:hint="eastAsia"/>
        </w:rPr>
      </w:pPr>
      <w:r>
        <w:rPr>
          <w:rFonts w:hint="eastAsia"/>
        </w:rPr>
        <w:t>In the last days, he will set his glory—the Person and Work of his Son—among the nations, draw a chosen people to him, justify them, fill them with his Spirit, and plant them securely—with neither shame nor disgrace—in their new heavenly homeland.</w:t>
      </w:r>
    </w:p>
    <w:p w14:paraId="4719F88B">
      <w:pPr>
        <w:pStyle w:val="9"/>
        <w:spacing w:before="17"/>
        <w:ind w:left="0"/>
        <w:jc w:val="left"/>
        <w:rPr>
          <w:rFonts w:hint="eastAsia"/>
        </w:rPr>
      </w:pPr>
      <w:r>
        <w:rPr>
          <w:rFonts w:hint="eastAsia"/>
        </w:rPr>
        <w:t>在末后的日子里，祂要将祂的荣耀——祂儿子的位格和工作——设立在列国中，吸引一群选民归向祂，称他们为义，用祂的灵充满他们，并将他们稳固地——毫无羞愧或耻辱地——栽于他们新的属天家园。</w:t>
      </w:r>
    </w:p>
    <w:p w14:paraId="7AE6F1C1">
      <w:pPr>
        <w:pStyle w:val="9"/>
        <w:spacing w:before="17"/>
        <w:ind w:left="0"/>
        <w:jc w:val="left"/>
        <w:rPr>
          <w:rFonts w:hint="eastAsia"/>
        </w:rPr>
      </w:pPr>
    </w:p>
    <w:p w14:paraId="2A1F979C">
      <w:pPr>
        <w:pStyle w:val="9"/>
        <w:spacing w:before="17"/>
        <w:ind w:left="0"/>
        <w:jc w:val="left"/>
        <w:rPr>
          <w:rFonts w:hint="eastAsia"/>
        </w:rPr>
      </w:pPr>
      <w:r>
        <w:rPr>
          <w:rFonts w:hint="eastAsia"/>
        </w:rPr>
        <w:t>Yes, at the end of the age the unbelieving world will mount a fierce attack against them, for it is appointed to the saints that they should follow in the footsteps of their Master.</w:t>
      </w:r>
    </w:p>
    <w:p w14:paraId="3810166C">
      <w:pPr>
        <w:pStyle w:val="9"/>
        <w:spacing w:before="17"/>
        <w:ind w:left="0"/>
        <w:jc w:val="left"/>
        <w:rPr>
          <w:rFonts w:hint="eastAsia"/>
        </w:rPr>
      </w:pPr>
      <w:r>
        <w:rPr>
          <w:rFonts w:hint="eastAsia"/>
        </w:rPr>
        <w:t>是的，在世代的末了，不信的世界将对他们发起猛烈的攻击，因为圣徒们被命定要跟随他们主的脚踪。</w:t>
      </w:r>
    </w:p>
    <w:p w14:paraId="4E6F9A6B">
      <w:pPr>
        <w:pStyle w:val="9"/>
        <w:spacing w:before="17"/>
        <w:ind w:left="0"/>
        <w:jc w:val="left"/>
        <w:rPr>
          <w:rFonts w:hint="eastAsia"/>
        </w:rPr>
      </w:pPr>
    </w:p>
    <w:p w14:paraId="2DB0EE7C">
      <w:pPr>
        <w:pStyle w:val="9"/>
        <w:spacing w:before="17"/>
        <w:ind w:left="0"/>
        <w:jc w:val="left"/>
        <w:rPr>
          <w:rFonts w:hint="eastAsia"/>
        </w:rPr>
      </w:pPr>
      <w:r>
        <w:rPr>
          <w:rFonts w:hint="eastAsia"/>
        </w:rPr>
        <w:t>But after they have suffered a little, God will yet again set his glory among the nations, this time by sending the High King of Heaven back into the world to destroy and dispose of all his foes, and to establish his people once and for all in their eternal homeland: the new heavens and the new earth.</w:t>
      </w:r>
    </w:p>
    <w:p w14:paraId="0F02A331">
      <w:pPr>
        <w:pStyle w:val="9"/>
        <w:spacing w:before="17"/>
        <w:ind w:left="0"/>
        <w:jc w:val="left"/>
        <w:rPr>
          <w:rFonts w:hint="eastAsia"/>
        </w:rPr>
      </w:pPr>
      <w:r>
        <w:rPr>
          <w:rFonts w:hint="eastAsia"/>
        </w:rPr>
        <w:t>但在他们受苦片时之后，神将再次在列国中设立祂的荣耀，这一次是藉着差遣天上的至高君王回到世界，来毁灭和处置祂所有的仇敌，并一劳永逸地将祂的子民建立在他们永恒的家园：新天新地。</w:t>
      </w:r>
    </w:p>
    <w:p w14:paraId="7C2B5618">
      <w:pPr>
        <w:pStyle w:val="9"/>
        <w:spacing w:before="17"/>
        <w:ind w:left="0"/>
        <w:jc w:val="left"/>
        <w:rPr>
          <w:rFonts w:hint="eastAsia"/>
        </w:rPr>
      </w:pPr>
    </w:p>
    <w:p w14:paraId="2D602633">
      <w:pPr>
        <w:pStyle w:val="9"/>
        <w:spacing w:before="17"/>
        <w:ind w:left="0"/>
        <w:jc w:val="left"/>
        <w:rPr>
          <w:rFonts w:hint="eastAsia"/>
        </w:rPr>
      </w:pPr>
      <w:r>
        <w:rPr>
          <w:rFonts w:hint="eastAsia"/>
        </w:rPr>
        <w:t>In that day, just as Ezekiel promised, all men—both saints and sinners— will indeed “come to know.”</w:t>
      </w:r>
    </w:p>
    <w:p w14:paraId="351048FC">
      <w:pPr>
        <w:pStyle w:val="9"/>
        <w:spacing w:before="17"/>
        <w:ind w:left="0"/>
        <w:jc w:val="left"/>
        <w:rPr>
          <w:rFonts w:hint="eastAsia"/>
        </w:rPr>
      </w:pPr>
      <w:r>
        <w:rPr>
          <w:rFonts w:hint="eastAsia"/>
        </w:rPr>
        <w:t>在那日，正如以西结所应许的，所有的人——无论是圣徒还是罪人——都确实会“认识到”。</w:t>
      </w:r>
    </w:p>
    <w:p w14:paraId="2C292D5C">
      <w:pPr>
        <w:pStyle w:val="9"/>
        <w:spacing w:before="17"/>
        <w:ind w:left="0"/>
        <w:jc w:val="left"/>
        <w:rPr>
          <w:rFonts w:hint="eastAsia"/>
        </w:rPr>
      </w:pPr>
    </w:p>
    <w:p w14:paraId="3970486C">
      <w:pPr>
        <w:pStyle w:val="9"/>
        <w:spacing w:before="17"/>
        <w:ind w:left="0"/>
        <w:jc w:val="left"/>
        <w:rPr>
          <w:rFonts w:hint="eastAsia"/>
        </w:rPr>
      </w:pPr>
      <w:r>
        <w:rPr>
          <w:rFonts w:hint="eastAsia"/>
        </w:rPr>
        <w:t>They will come to know the truth, power, sovereignty, justice, love, mercy, goodness, and grace—in short, the glory —of the one true living God.</w:t>
      </w:r>
    </w:p>
    <w:p w14:paraId="641637B7">
      <w:pPr>
        <w:pStyle w:val="9"/>
        <w:spacing w:before="17"/>
        <w:ind w:left="0"/>
        <w:jc w:val="left"/>
        <w:rPr>
          <w:rFonts w:hint="eastAsia"/>
        </w:rPr>
      </w:pPr>
      <w:r>
        <w:rPr>
          <w:rFonts w:hint="eastAsia"/>
        </w:rPr>
        <w:t>他们将认识到那独一、真实、永活之神的真理、权能、主权、公义、慈爱、怜悯、良善和恩典——简言之，就是祂的荣耀。</w:t>
      </w:r>
    </w:p>
    <w:p w14:paraId="7B870182">
      <w:pPr>
        <w:pStyle w:val="9"/>
        <w:spacing w:before="17"/>
        <w:ind w:left="0"/>
        <w:jc w:val="left"/>
        <w:rPr>
          <w:rFonts w:hint="eastAsia"/>
        </w:rPr>
      </w:pPr>
    </w:p>
    <w:p w14:paraId="1F98D1FB">
      <w:pPr>
        <w:pStyle w:val="9"/>
        <w:spacing w:before="17"/>
        <w:ind w:left="0"/>
        <w:jc w:val="left"/>
        <w:rPr>
          <w:rFonts w:hint="eastAsia"/>
        </w:rPr>
      </w:pPr>
      <w:r>
        <w:rPr>
          <w:rFonts w:hint="eastAsia"/>
        </w:rPr>
        <w:t>1.Ezekiel’s Vision of the World to Come</w:t>
      </w:r>
    </w:p>
    <w:p w14:paraId="3A868CFE">
      <w:pPr>
        <w:pStyle w:val="9"/>
        <w:spacing w:before="17"/>
        <w:ind w:left="0"/>
        <w:jc w:val="left"/>
        <w:rPr>
          <w:rFonts w:hint="eastAsia"/>
        </w:rPr>
      </w:pPr>
      <w:r>
        <w:rPr>
          <w:rFonts w:hint="eastAsia"/>
        </w:rPr>
        <w:t>(Ezekiel 40-48)</w:t>
      </w:r>
    </w:p>
    <w:p w14:paraId="163DD27E">
      <w:pPr>
        <w:pStyle w:val="9"/>
        <w:spacing w:before="17"/>
        <w:ind w:left="0"/>
        <w:jc w:val="left"/>
        <w:rPr>
          <w:rFonts w:hint="eastAsia"/>
        </w:rPr>
      </w:pPr>
      <w:r>
        <w:rPr>
          <w:rFonts w:hint="eastAsia"/>
        </w:rPr>
        <w:t>1. 以西结关于未来世界的异象</w:t>
      </w:r>
    </w:p>
    <w:p w14:paraId="396676DE">
      <w:pPr>
        <w:pStyle w:val="9"/>
        <w:spacing w:before="17"/>
        <w:ind w:left="0"/>
        <w:jc w:val="left"/>
        <w:rPr>
          <w:rFonts w:hint="eastAsia"/>
        </w:rPr>
      </w:pPr>
      <w:r>
        <w:rPr>
          <w:rFonts w:hint="eastAsia"/>
        </w:rPr>
        <w:t>（以西结书 40-48）</w:t>
      </w:r>
    </w:p>
    <w:p w14:paraId="46DC9539">
      <w:pPr>
        <w:pStyle w:val="9"/>
        <w:spacing w:before="17"/>
        <w:ind w:left="0"/>
        <w:jc w:val="left"/>
        <w:rPr>
          <w:rFonts w:hint="eastAsia"/>
        </w:rPr>
      </w:pPr>
    </w:p>
    <w:p w14:paraId="342A1640">
      <w:pPr>
        <w:pStyle w:val="9"/>
        <w:spacing w:before="17"/>
        <w:ind w:left="0"/>
        <w:jc w:val="left"/>
        <w:rPr>
          <w:rFonts w:hint="eastAsia"/>
        </w:rPr>
      </w:pPr>
      <w:r>
        <w:rPr>
          <w:rFonts w:hint="eastAsia"/>
        </w:rPr>
        <w:t>This is the capstone, the last of Ezekiel’s three Oracles of Good News.</w:t>
      </w:r>
    </w:p>
    <w:p w14:paraId="3F05236F">
      <w:pPr>
        <w:pStyle w:val="9"/>
        <w:spacing w:before="17"/>
        <w:ind w:left="0"/>
        <w:jc w:val="left"/>
        <w:rPr>
          <w:rFonts w:hint="eastAsia"/>
        </w:rPr>
      </w:pPr>
      <w:r>
        <w:rPr>
          <w:rFonts w:hint="eastAsia"/>
        </w:rPr>
        <w:t>这是压顶石，是以西结三个福音神谕中的最后一个。</w:t>
      </w:r>
    </w:p>
    <w:p w14:paraId="52750D4E">
      <w:pPr>
        <w:pStyle w:val="9"/>
        <w:spacing w:before="17"/>
        <w:ind w:left="0"/>
        <w:jc w:val="left"/>
        <w:rPr>
          <w:rFonts w:hint="eastAsia"/>
        </w:rPr>
      </w:pPr>
    </w:p>
    <w:p w14:paraId="37B8BA87">
      <w:pPr>
        <w:pStyle w:val="9"/>
        <w:spacing w:before="17"/>
        <w:ind w:left="0"/>
        <w:jc w:val="left"/>
        <w:rPr>
          <w:rFonts w:hint="eastAsia"/>
        </w:rPr>
      </w:pPr>
      <w:r>
        <w:rPr>
          <w:rFonts w:hint="eastAsia"/>
        </w:rPr>
        <w:t>In the first, God promised his people a final restoration to the land, the coming of the Messiah, the gift of his Spirit, and the fullness of his covenant blessings (Ezek. 36-37).</w:t>
      </w:r>
    </w:p>
    <w:p w14:paraId="6249CD0E">
      <w:pPr>
        <w:pStyle w:val="9"/>
        <w:spacing w:before="17"/>
        <w:ind w:left="0"/>
        <w:jc w:val="left"/>
        <w:rPr>
          <w:rFonts w:hint="eastAsia"/>
        </w:rPr>
      </w:pPr>
      <w:r>
        <w:rPr>
          <w:rFonts w:hint="eastAsia"/>
        </w:rPr>
        <w:t>在第一个神谕中，神应许祂的子民最终复兴回到那地，弥赛亚的降临，祂圣灵的恩赐，以及祂圣约祝福的丰满（以西结书36-37章）。</w:t>
      </w:r>
    </w:p>
    <w:p w14:paraId="4ED61FF2">
      <w:pPr>
        <w:pStyle w:val="9"/>
        <w:spacing w:before="17"/>
        <w:ind w:left="0"/>
        <w:jc w:val="left"/>
        <w:rPr>
          <w:rFonts w:hint="eastAsia"/>
        </w:rPr>
      </w:pPr>
    </w:p>
    <w:p w14:paraId="06CA6863">
      <w:pPr>
        <w:pStyle w:val="9"/>
        <w:spacing w:before="17"/>
        <w:ind w:left="0"/>
        <w:jc w:val="left"/>
        <w:rPr>
          <w:rFonts w:hint="eastAsia"/>
        </w:rPr>
      </w:pPr>
      <w:r>
        <w:rPr>
          <w:rFonts w:hint="eastAsia"/>
        </w:rPr>
        <w:t>In the second, he promised to rescue them from the Last Battle, and to destroy, once and for all, all their surrounding enemies (Ezek. 38-39).</w:t>
      </w:r>
    </w:p>
    <w:p w14:paraId="7C22010B">
      <w:pPr>
        <w:pStyle w:val="9"/>
        <w:spacing w:before="17"/>
        <w:ind w:left="0"/>
        <w:jc w:val="left"/>
        <w:rPr>
          <w:rFonts w:hint="eastAsia"/>
        </w:rPr>
      </w:pPr>
      <w:r>
        <w:rPr>
          <w:rFonts w:hint="eastAsia"/>
        </w:rPr>
        <w:t>在第二个神谕中，祂应许要从末日之战中拯救他们，并一劳永逸地毁灭他们周围所有的仇敌（以西结书38-39章）。</w:t>
      </w:r>
    </w:p>
    <w:p w14:paraId="2E4FB832">
      <w:pPr>
        <w:pStyle w:val="9"/>
        <w:spacing w:before="17"/>
        <w:ind w:left="0"/>
        <w:jc w:val="left"/>
        <w:rPr>
          <w:rFonts w:hint="eastAsia"/>
        </w:rPr>
      </w:pPr>
    </w:p>
    <w:p w14:paraId="209CC429">
      <w:pPr>
        <w:pStyle w:val="9"/>
        <w:spacing w:before="17"/>
        <w:ind w:left="0"/>
        <w:jc w:val="left"/>
        <w:rPr>
          <w:rFonts w:hint="eastAsia"/>
        </w:rPr>
      </w:pPr>
      <w:r>
        <w:rPr>
          <w:rFonts w:hint="eastAsia"/>
        </w:rPr>
        <w:t>Here in the third oracle, he completes his words of encouragement by giving them a vision of life with him in the eternal World to Come (Ezek. 40-48).</w:t>
      </w:r>
    </w:p>
    <w:p w14:paraId="3D7A8A53">
      <w:pPr>
        <w:pStyle w:val="9"/>
        <w:spacing w:before="17"/>
        <w:ind w:left="0"/>
        <w:jc w:val="left"/>
        <w:rPr>
          <w:rFonts w:hint="eastAsia"/>
        </w:rPr>
      </w:pPr>
      <w:r>
        <w:rPr>
          <w:rFonts w:hint="eastAsia"/>
        </w:rPr>
        <w:t>在第三个神谕中，祂藉着赐给他们一个与祂在永恒的未来世界中生活的异象，来完成祂鼓励的话语（以西结书40-48章）。</w:t>
      </w:r>
    </w:p>
    <w:p w14:paraId="1C1F3A41">
      <w:pPr>
        <w:pStyle w:val="9"/>
        <w:spacing w:before="17"/>
        <w:ind w:left="0"/>
        <w:jc w:val="left"/>
        <w:rPr>
          <w:rFonts w:hint="eastAsia"/>
        </w:rPr>
      </w:pPr>
    </w:p>
    <w:p w14:paraId="31C0F3B4">
      <w:pPr>
        <w:pStyle w:val="9"/>
        <w:spacing w:before="17"/>
        <w:ind w:left="0"/>
        <w:jc w:val="left"/>
        <w:rPr>
          <w:rFonts w:hint="eastAsia"/>
        </w:rPr>
      </w:pPr>
      <w:r>
        <w:rPr>
          <w:rFonts w:hint="eastAsia"/>
        </w:rPr>
        <w:t>In essence, the vision is an elaboration of the promise previously given in Ezekiel 37:24-28.</w:t>
      </w:r>
    </w:p>
    <w:p w14:paraId="1044D56D">
      <w:pPr>
        <w:pStyle w:val="9"/>
        <w:spacing w:before="17"/>
        <w:ind w:left="0"/>
        <w:jc w:val="left"/>
        <w:rPr>
          <w:rFonts w:hint="eastAsia"/>
        </w:rPr>
      </w:pPr>
      <w:r>
        <w:rPr>
          <w:rFonts w:hint="eastAsia"/>
        </w:rPr>
        <w:t>实质上，这个异象是对以西结书37:24-28中先前所给应许的详尽阐述。</w:t>
      </w:r>
    </w:p>
    <w:p w14:paraId="4AA161A6">
      <w:pPr>
        <w:pStyle w:val="9"/>
        <w:spacing w:before="17"/>
        <w:ind w:left="0"/>
        <w:jc w:val="left"/>
        <w:rPr>
          <w:rFonts w:hint="eastAsia"/>
        </w:rPr>
      </w:pPr>
    </w:p>
    <w:p w14:paraId="0B37F39D">
      <w:pPr>
        <w:pStyle w:val="9"/>
        <w:spacing w:before="17"/>
        <w:ind w:left="0"/>
        <w:jc w:val="left"/>
        <w:rPr>
          <w:rFonts w:hint="eastAsia"/>
        </w:rPr>
      </w:pPr>
      <w:r>
        <w:rPr>
          <w:rFonts w:hint="eastAsia"/>
        </w:rPr>
        <w:t>To re-read that text is to see immediately that the word “forever” is both prominent and crucial.</w:t>
      </w:r>
    </w:p>
    <w:p w14:paraId="61478EE2">
      <w:pPr>
        <w:pStyle w:val="9"/>
        <w:spacing w:before="17"/>
        <w:ind w:left="0"/>
        <w:jc w:val="left"/>
        <w:rPr>
          <w:rFonts w:hint="eastAsia"/>
        </w:rPr>
      </w:pPr>
      <w:r>
        <w:rPr>
          <w:rFonts w:hint="eastAsia"/>
        </w:rPr>
        <w:t>重读那段经文，会立刻看到“永远”这个词既突出又至关重要。</w:t>
      </w:r>
    </w:p>
    <w:p w14:paraId="6D1361E0">
      <w:pPr>
        <w:pStyle w:val="9"/>
        <w:spacing w:before="17"/>
        <w:ind w:left="0"/>
        <w:jc w:val="left"/>
        <w:rPr>
          <w:rFonts w:hint="eastAsia"/>
        </w:rPr>
      </w:pPr>
    </w:p>
    <w:p w14:paraId="2D2900CF">
      <w:pPr>
        <w:pStyle w:val="9"/>
        <w:spacing w:before="17"/>
        <w:ind w:left="0"/>
        <w:jc w:val="left"/>
        <w:rPr>
          <w:rFonts w:hint="eastAsia"/>
        </w:rPr>
      </w:pPr>
      <w:r>
        <w:rPr>
          <w:rFonts w:hint="eastAsia"/>
        </w:rPr>
        <w:t>Israel will dwell in the land forever (25a).</w:t>
      </w:r>
    </w:p>
    <w:p w14:paraId="044A7E4F">
      <w:pPr>
        <w:pStyle w:val="9"/>
        <w:spacing w:before="17"/>
        <w:ind w:left="0"/>
        <w:jc w:val="left"/>
        <w:rPr>
          <w:rFonts w:hint="eastAsia"/>
        </w:rPr>
      </w:pPr>
      <w:r>
        <w:rPr>
          <w:rFonts w:hint="eastAsia"/>
        </w:rPr>
        <w:t>以色列将永远住在那地（25a）。</w:t>
      </w:r>
    </w:p>
    <w:p w14:paraId="67E96B34">
      <w:pPr>
        <w:pStyle w:val="9"/>
        <w:spacing w:before="17"/>
        <w:ind w:left="0"/>
        <w:jc w:val="left"/>
        <w:rPr>
          <w:rFonts w:hint="eastAsia"/>
        </w:rPr>
      </w:pPr>
    </w:p>
    <w:p w14:paraId="73E9C7EF">
      <w:pPr>
        <w:pStyle w:val="9"/>
        <w:spacing w:before="17"/>
        <w:ind w:left="0"/>
        <w:jc w:val="left"/>
        <w:rPr>
          <w:rFonts w:hint="eastAsia"/>
        </w:rPr>
      </w:pPr>
      <w:r>
        <w:rPr>
          <w:rFonts w:hint="eastAsia"/>
        </w:rPr>
        <w:t>The Messianic son of David will be their Prince forever (25b).</w:t>
      </w:r>
    </w:p>
    <w:p w14:paraId="17DA7225">
      <w:pPr>
        <w:pStyle w:val="9"/>
        <w:spacing w:before="17"/>
        <w:ind w:left="0"/>
        <w:jc w:val="left"/>
        <w:rPr>
          <w:rFonts w:hint="eastAsia"/>
        </w:rPr>
      </w:pPr>
      <w:r>
        <w:rPr>
          <w:rFonts w:hint="eastAsia"/>
        </w:rPr>
        <w:t>大卫的弥赛亚子孙将永远作他们的王（25b）。</w:t>
      </w:r>
    </w:p>
    <w:p w14:paraId="3CE9B264">
      <w:pPr>
        <w:pStyle w:val="9"/>
        <w:spacing w:before="17"/>
        <w:ind w:left="0"/>
        <w:jc w:val="left"/>
        <w:rPr>
          <w:rFonts w:hint="eastAsia"/>
        </w:rPr>
      </w:pPr>
    </w:p>
    <w:p w14:paraId="508318C8">
      <w:pPr>
        <w:pStyle w:val="9"/>
        <w:spacing w:before="17"/>
        <w:ind w:left="0"/>
        <w:jc w:val="left"/>
        <w:rPr>
          <w:rFonts w:hint="eastAsia"/>
        </w:rPr>
      </w:pPr>
      <w:r>
        <w:rPr>
          <w:rFonts w:hint="eastAsia"/>
        </w:rPr>
        <w:t>God will enter into a covenant of peace with them forever (26a).</w:t>
      </w:r>
    </w:p>
    <w:p w14:paraId="21ED407D">
      <w:pPr>
        <w:pStyle w:val="9"/>
        <w:spacing w:before="17"/>
        <w:ind w:left="0"/>
        <w:jc w:val="left"/>
        <w:rPr>
          <w:rFonts w:hint="eastAsia"/>
        </w:rPr>
      </w:pPr>
      <w:r>
        <w:rPr>
          <w:rFonts w:hint="eastAsia"/>
        </w:rPr>
        <w:t>神将与他们立永远的和平之约（26a）。</w:t>
      </w:r>
    </w:p>
    <w:p w14:paraId="5EB18C03">
      <w:pPr>
        <w:pStyle w:val="9"/>
        <w:spacing w:before="17"/>
        <w:ind w:left="0"/>
        <w:jc w:val="left"/>
        <w:rPr>
          <w:rFonts w:hint="eastAsia"/>
        </w:rPr>
      </w:pPr>
    </w:p>
    <w:p w14:paraId="6A94C525">
      <w:pPr>
        <w:pStyle w:val="9"/>
        <w:spacing w:before="17"/>
        <w:ind w:left="0"/>
        <w:jc w:val="left"/>
        <w:rPr>
          <w:rFonts w:hint="eastAsia"/>
        </w:rPr>
      </w:pPr>
      <w:r>
        <w:rPr>
          <w:rFonts w:hint="eastAsia"/>
        </w:rPr>
        <w:t>And he will set his sanctuary in their midst forever (26b, 27, 28).</w:t>
      </w:r>
    </w:p>
    <w:p w14:paraId="5BBC3117">
      <w:pPr>
        <w:pStyle w:val="9"/>
        <w:spacing w:before="17"/>
        <w:ind w:left="0"/>
        <w:jc w:val="left"/>
        <w:rPr>
          <w:rFonts w:hint="eastAsia"/>
        </w:rPr>
      </w:pPr>
      <w:r>
        <w:rPr>
          <w:rFonts w:hint="eastAsia"/>
        </w:rPr>
        <w:t>祂将永远在他们中间设立祂的圣所（26b, 27, 28）。</w:t>
      </w:r>
    </w:p>
    <w:p w14:paraId="6F7BE676">
      <w:pPr>
        <w:pStyle w:val="9"/>
        <w:spacing w:before="17"/>
        <w:ind w:left="0"/>
        <w:jc w:val="left"/>
        <w:rPr>
          <w:rFonts w:hint="eastAsia"/>
        </w:rPr>
      </w:pPr>
    </w:p>
    <w:p w14:paraId="5006DBA8">
      <w:pPr>
        <w:pStyle w:val="9"/>
        <w:spacing w:before="17"/>
        <w:ind w:left="0"/>
        <w:jc w:val="left"/>
        <w:rPr>
          <w:rFonts w:hint="eastAsia"/>
        </w:rPr>
      </w:pPr>
      <w:r>
        <w:rPr>
          <w:rFonts w:hint="eastAsia"/>
        </w:rPr>
        <w:t>Here then is what life will be like in the eschaton, in the World to Come.</w:t>
      </w:r>
    </w:p>
    <w:p w14:paraId="4B2BF525">
      <w:pPr>
        <w:pStyle w:val="9"/>
        <w:spacing w:before="17"/>
        <w:ind w:left="0"/>
        <w:jc w:val="left"/>
        <w:rPr>
          <w:rFonts w:hint="eastAsia"/>
        </w:rPr>
      </w:pPr>
      <w:r>
        <w:rPr>
          <w:rFonts w:hint="eastAsia"/>
        </w:rPr>
        <w:t>那么，这就是在末世，在未来世界里，生活将会是怎样的。</w:t>
      </w:r>
    </w:p>
    <w:p w14:paraId="1FD8D637">
      <w:pPr>
        <w:pStyle w:val="9"/>
        <w:spacing w:before="17"/>
        <w:ind w:left="0"/>
        <w:jc w:val="left"/>
        <w:rPr>
          <w:rFonts w:hint="eastAsia"/>
        </w:rPr>
      </w:pPr>
    </w:p>
    <w:p w14:paraId="137D0F03">
      <w:pPr>
        <w:pStyle w:val="9"/>
        <w:spacing w:before="17"/>
        <w:ind w:left="0"/>
        <w:jc w:val="left"/>
        <w:rPr>
          <w:rFonts w:hint="eastAsia"/>
        </w:rPr>
      </w:pPr>
      <w:r>
        <w:rPr>
          <w:rFonts w:hint="eastAsia"/>
        </w:rPr>
        <w:t>Here, at long last, the promise of the Eternal Covenant will be fully realized.</w:t>
      </w:r>
    </w:p>
    <w:p w14:paraId="09ED2921">
      <w:pPr>
        <w:pStyle w:val="9"/>
        <w:spacing w:before="17"/>
        <w:ind w:left="0"/>
        <w:jc w:val="left"/>
        <w:rPr>
          <w:rFonts w:hint="eastAsia"/>
        </w:rPr>
      </w:pPr>
      <w:r>
        <w:rPr>
          <w:rFonts w:hint="eastAsia"/>
        </w:rPr>
        <w:t>在这里，永约的应许终将完全实现。</w:t>
      </w:r>
    </w:p>
    <w:p w14:paraId="112FC79E">
      <w:pPr>
        <w:pStyle w:val="9"/>
        <w:spacing w:before="17"/>
        <w:ind w:left="0"/>
        <w:jc w:val="left"/>
        <w:rPr>
          <w:rFonts w:hint="eastAsia"/>
        </w:rPr>
      </w:pPr>
    </w:p>
    <w:p w14:paraId="466ECD87">
      <w:pPr>
        <w:pStyle w:val="9"/>
        <w:spacing w:before="17"/>
        <w:ind w:left="0"/>
        <w:jc w:val="left"/>
        <w:rPr>
          <w:rFonts w:hint="eastAsia"/>
        </w:rPr>
      </w:pPr>
      <w:r>
        <w:rPr>
          <w:rFonts w:hint="eastAsia"/>
        </w:rPr>
        <w:t>Here the LORD will be "Israel’s" God, and they his people.</w:t>
      </w:r>
    </w:p>
    <w:p w14:paraId="559E0F46">
      <w:pPr>
        <w:pStyle w:val="9"/>
        <w:spacing w:before="17"/>
        <w:ind w:left="0"/>
        <w:jc w:val="left"/>
        <w:rPr>
          <w:rFonts w:hint="eastAsia"/>
        </w:rPr>
      </w:pPr>
      <w:r>
        <w:rPr>
          <w:rFonts w:hint="eastAsia"/>
        </w:rPr>
        <w:t>在这里，主将作“以色列”的神，他们将作祂的子民。</w:t>
      </w:r>
    </w:p>
    <w:p w14:paraId="334EDF02">
      <w:pPr>
        <w:pStyle w:val="9"/>
        <w:spacing w:before="17"/>
        <w:ind w:left="0"/>
        <w:jc w:val="left"/>
        <w:rPr>
          <w:rFonts w:hint="eastAsia"/>
        </w:rPr>
      </w:pPr>
    </w:p>
    <w:p w14:paraId="46A919CB">
      <w:pPr>
        <w:pStyle w:val="9"/>
        <w:spacing w:before="17"/>
        <w:ind w:left="0"/>
        <w:jc w:val="left"/>
        <w:rPr>
          <w:rFonts w:hint="eastAsia"/>
        </w:rPr>
      </w:pPr>
      <w:r>
        <w:rPr>
          <w:rFonts w:hint="eastAsia"/>
        </w:rPr>
        <w:t>Here, every impediment to their spiritual and physical union will be removed, and every blessing of that union enjoyed—forever (v. 27).</w:t>
      </w:r>
    </w:p>
    <w:p w14:paraId="7C516D6F">
      <w:pPr>
        <w:pStyle w:val="9"/>
        <w:spacing w:before="17"/>
        <w:ind w:left="0"/>
        <w:jc w:val="left"/>
        <w:rPr>
          <w:rFonts w:hint="eastAsia"/>
        </w:rPr>
      </w:pPr>
      <w:r>
        <w:rPr>
          <w:rFonts w:hint="eastAsia"/>
        </w:rPr>
        <w:t>在这里，他们属灵和属肉体联合的一切障碍都将被除去，那联合的一切祝福都将被享受——直到永远（第27节）。</w:t>
      </w:r>
    </w:p>
    <w:p w14:paraId="16E9FCEE">
      <w:pPr>
        <w:pStyle w:val="9"/>
        <w:spacing w:before="17"/>
        <w:ind w:left="0"/>
        <w:jc w:val="left"/>
        <w:rPr>
          <w:rFonts w:hint="eastAsia"/>
        </w:rPr>
      </w:pPr>
    </w:p>
    <w:p w14:paraId="0407BA55">
      <w:pPr>
        <w:pStyle w:val="9"/>
        <w:spacing w:before="17"/>
        <w:ind w:left="0"/>
        <w:jc w:val="left"/>
        <w:rPr>
          <w:rFonts w:hint="eastAsia"/>
        </w:rPr>
      </w:pPr>
      <w:r>
        <w:rPr>
          <w:rFonts w:hint="eastAsia"/>
        </w:rPr>
        <w:t>This is also the message of Ezekiel 40-48.</w:t>
      </w:r>
    </w:p>
    <w:p w14:paraId="5FD27576">
      <w:pPr>
        <w:pStyle w:val="9"/>
        <w:spacing w:before="17"/>
        <w:ind w:left="0"/>
        <w:jc w:val="left"/>
        <w:rPr>
          <w:rFonts w:hint="eastAsia"/>
        </w:rPr>
      </w:pPr>
      <w:r>
        <w:rPr>
          <w:rFonts w:hint="eastAsia"/>
        </w:rPr>
        <w:t>这也是以西结书40-48章的信息。</w:t>
      </w:r>
    </w:p>
    <w:p w14:paraId="3A464D5F">
      <w:pPr>
        <w:pStyle w:val="9"/>
        <w:spacing w:before="17"/>
        <w:ind w:left="0"/>
        <w:jc w:val="left"/>
        <w:rPr>
          <w:rFonts w:hint="eastAsia"/>
        </w:rPr>
      </w:pPr>
    </w:p>
    <w:p w14:paraId="0B09D1EA">
      <w:pPr>
        <w:pStyle w:val="9"/>
        <w:spacing w:before="17"/>
        <w:ind w:left="0"/>
        <w:jc w:val="left"/>
        <w:rPr>
          <w:rFonts w:hint="eastAsia"/>
        </w:rPr>
      </w:pPr>
      <w:r>
        <w:rPr>
          <w:rFonts w:hint="eastAsia"/>
        </w:rPr>
        <w:t>Here, however, the promise comes less by way of divine utterance, and more by way of divine vision (40:2).</w:t>
      </w:r>
    </w:p>
    <w:p w14:paraId="269A920A">
      <w:pPr>
        <w:pStyle w:val="9"/>
        <w:spacing w:before="17"/>
        <w:ind w:left="0"/>
        <w:jc w:val="left"/>
        <w:rPr>
          <w:rFonts w:hint="eastAsia"/>
        </w:rPr>
      </w:pPr>
      <w:r>
        <w:rPr>
          <w:rFonts w:hint="eastAsia"/>
        </w:rPr>
        <w:t>然而，在这里，应许更多地是藉着神的异象而非神的话语而来（40:2）。</w:t>
      </w:r>
    </w:p>
    <w:p w14:paraId="5959E22C">
      <w:pPr>
        <w:pStyle w:val="9"/>
        <w:spacing w:before="17"/>
        <w:ind w:left="0"/>
        <w:jc w:val="left"/>
        <w:rPr>
          <w:rFonts w:hint="eastAsia"/>
        </w:rPr>
      </w:pPr>
    </w:p>
    <w:p w14:paraId="2008C217">
      <w:pPr>
        <w:pStyle w:val="9"/>
        <w:spacing w:before="17"/>
        <w:ind w:left="0"/>
        <w:jc w:val="left"/>
        <w:rPr>
          <w:rFonts w:hint="eastAsia"/>
        </w:rPr>
      </w:pPr>
      <w:r>
        <w:rPr>
          <w:rFonts w:hint="eastAsia"/>
        </w:rPr>
        <w:t>All interpreters agree that the vision is vast, complex, and intimidating.</w:t>
      </w:r>
    </w:p>
    <w:p w14:paraId="01886765">
      <w:pPr>
        <w:pStyle w:val="9"/>
        <w:spacing w:before="17"/>
        <w:ind w:left="0"/>
        <w:jc w:val="left"/>
        <w:rPr>
          <w:rFonts w:hint="eastAsia"/>
        </w:rPr>
      </w:pPr>
      <w:r>
        <w:rPr>
          <w:rFonts w:hint="eastAsia"/>
        </w:rPr>
        <w:t>所有解经家都同意，这个异象是宏大、复杂且令人生畏的。</w:t>
      </w:r>
    </w:p>
    <w:p w14:paraId="1B680274">
      <w:pPr>
        <w:pStyle w:val="9"/>
        <w:spacing w:before="17"/>
        <w:ind w:left="0"/>
        <w:jc w:val="left"/>
        <w:rPr>
          <w:rFonts w:hint="eastAsia"/>
        </w:rPr>
      </w:pPr>
    </w:p>
    <w:p w14:paraId="3F642D0F">
      <w:pPr>
        <w:pStyle w:val="9"/>
        <w:spacing w:before="17"/>
        <w:ind w:left="0"/>
        <w:jc w:val="left"/>
        <w:rPr>
          <w:rFonts w:hint="eastAsia"/>
        </w:rPr>
      </w:pPr>
      <w:r>
        <w:rPr>
          <w:rFonts w:hint="eastAsia"/>
        </w:rPr>
        <w:t>Nevertheless, upon closer inspection we see something else, something thought-provoking and encouraging: The vision has a definite structure.</w:t>
      </w:r>
    </w:p>
    <w:p w14:paraId="3C70A75D">
      <w:pPr>
        <w:pStyle w:val="9"/>
        <w:spacing w:before="17"/>
        <w:ind w:left="0"/>
        <w:jc w:val="left"/>
        <w:rPr>
          <w:rFonts w:hint="eastAsia"/>
        </w:rPr>
      </w:pPr>
      <w:r>
        <w:rPr>
          <w:rFonts w:hint="eastAsia"/>
        </w:rPr>
        <w:t>然而，经过更仔细的审视，我们看到了别的东西，一些发人深省和令人鼓舞的东西：这个异象有一个明确的结构。</w:t>
      </w:r>
    </w:p>
    <w:p w14:paraId="74DF8BB8">
      <w:pPr>
        <w:pStyle w:val="9"/>
        <w:spacing w:before="17"/>
        <w:ind w:left="0"/>
        <w:jc w:val="left"/>
        <w:rPr>
          <w:rFonts w:hint="eastAsia"/>
        </w:rPr>
      </w:pPr>
    </w:p>
    <w:p w14:paraId="67E17E79">
      <w:pPr>
        <w:pStyle w:val="9"/>
        <w:spacing w:before="17"/>
        <w:ind w:left="0"/>
        <w:jc w:val="left"/>
        <w:rPr>
          <w:rFonts w:hint="eastAsia"/>
        </w:rPr>
      </w:pPr>
      <w:r>
        <w:rPr>
          <w:rFonts w:hint="eastAsia"/>
        </w:rPr>
        <w:t>Incorporating ideas and images familiar to every godly Israelite, Ezekiel’s vision depicts life in the World to Come under seven memorable motifs: (1) the everlasting Mountain of God (41:1-4), (2) the everlasting Temple of God (40:5-42:20), (3) the everlasting glory of God (43:1-2), (4) the everlasting worship of God (43:13-46:24), (5) the everlasting River of God (47:1-12), (6) the everlasting Homeland of God (47:13-48:29), and (7) the everlasting City of God (48: 30-35).</w:t>
      </w:r>
    </w:p>
    <w:p w14:paraId="74AD9EFE">
      <w:pPr>
        <w:pStyle w:val="9"/>
        <w:spacing w:before="17"/>
        <w:ind w:left="0"/>
        <w:jc w:val="left"/>
        <w:rPr>
          <w:rFonts w:hint="eastAsia"/>
        </w:rPr>
      </w:pPr>
      <w:r>
        <w:rPr>
          <w:rFonts w:hint="eastAsia"/>
        </w:rPr>
        <w:t>以西结的异象融合了每一位敬虔以色列人都熟悉的观念和意象，以七个令人难忘的主题描绘了未来世界的生活：（1）神永恒的山（41:1-4），（2）神永恒的殿（40:5-42:20），（3）神永恒的荣耀（43:1-2），（4）对神永恒的敬拜（43:13-46:24），（5）神永恒的河（47:1-12），（6）神永恒的家园（47:13-48:29），以及（7）神永恒的城（48:30-35）。</w:t>
      </w:r>
    </w:p>
    <w:p w14:paraId="3FAC38F8">
      <w:pPr>
        <w:pStyle w:val="9"/>
        <w:spacing w:before="17"/>
        <w:ind w:left="0"/>
        <w:jc w:val="left"/>
        <w:rPr>
          <w:rFonts w:hint="eastAsia"/>
        </w:rPr>
      </w:pPr>
    </w:p>
    <w:p w14:paraId="7DC09F30">
      <w:pPr>
        <w:pStyle w:val="9"/>
        <w:spacing w:before="17"/>
        <w:ind w:left="0"/>
        <w:jc w:val="left"/>
        <w:rPr>
          <w:rFonts w:hint="eastAsia"/>
        </w:rPr>
      </w:pPr>
      <w:r>
        <w:rPr>
          <w:rFonts w:hint="eastAsia"/>
        </w:rPr>
        <w:t>In a moment we will examine each of these powerful motifs.</w:t>
      </w:r>
    </w:p>
    <w:p w14:paraId="645ABE31">
      <w:pPr>
        <w:pStyle w:val="9"/>
        <w:spacing w:before="17"/>
        <w:ind w:left="0"/>
        <w:jc w:val="left"/>
        <w:rPr>
          <w:rFonts w:hint="eastAsia"/>
        </w:rPr>
      </w:pPr>
      <w:r>
        <w:rPr>
          <w:rFonts w:hint="eastAsia"/>
        </w:rPr>
        <w:t>稍后我们将逐一查考这些有力的主题。</w:t>
      </w:r>
    </w:p>
    <w:p w14:paraId="2F065E26">
      <w:pPr>
        <w:pStyle w:val="9"/>
        <w:spacing w:before="17"/>
        <w:ind w:left="0"/>
        <w:jc w:val="left"/>
        <w:rPr>
          <w:rFonts w:hint="eastAsia"/>
        </w:rPr>
      </w:pPr>
    </w:p>
    <w:p w14:paraId="4C74239B">
      <w:pPr>
        <w:pStyle w:val="9"/>
        <w:spacing w:before="17"/>
        <w:ind w:left="0"/>
        <w:jc w:val="left"/>
        <w:rPr>
          <w:rFonts w:hint="eastAsia"/>
        </w:rPr>
      </w:pPr>
      <w:r>
        <w:rPr>
          <w:rFonts w:hint="eastAsia"/>
        </w:rPr>
        <w:t>But first we must ask once again: How exactly is this vision to be interpreted?</w:t>
      </w:r>
    </w:p>
    <w:p w14:paraId="2551B37E">
      <w:pPr>
        <w:pStyle w:val="9"/>
        <w:spacing w:before="17"/>
        <w:ind w:left="0"/>
        <w:jc w:val="left"/>
        <w:rPr>
          <w:rFonts w:hint="eastAsia"/>
        </w:rPr>
      </w:pPr>
      <w:r>
        <w:rPr>
          <w:rFonts w:hint="eastAsia"/>
        </w:rPr>
        <w:t>但首先我们必须再次提问：这个异象究竟该如何解释？</w:t>
      </w:r>
    </w:p>
    <w:p w14:paraId="6D127B14">
      <w:pPr>
        <w:pStyle w:val="9"/>
        <w:spacing w:before="17"/>
        <w:ind w:left="0"/>
        <w:jc w:val="left"/>
        <w:rPr>
          <w:rFonts w:hint="eastAsia"/>
        </w:rPr>
      </w:pPr>
    </w:p>
    <w:p w14:paraId="05A198D9">
      <w:pPr>
        <w:pStyle w:val="9"/>
        <w:spacing w:before="17"/>
        <w:ind w:left="0"/>
        <w:jc w:val="left"/>
        <w:rPr>
          <w:rFonts w:hint="eastAsia"/>
        </w:rPr>
      </w:pPr>
      <w:r>
        <w:rPr>
          <w:rFonts w:hint="eastAsia"/>
        </w:rPr>
        <w:t>Happily, Church History strongly suggests the answer.</w:t>
      </w:r>
    </w:p>
    <w:p w14:paraId="6369A312">
      <w:pPr>
        <w:pStyle w:val="9"/>
        <w:spacing w:before="17"/>
        <w:ind w:left="0"/>
        <w:jc w:val="left"/>
        <w:rPr>
          <w:rFonts w:hint="eastAsia"/>
        </w:rPr>
      </w:pPr>
      <w:r>
        <w:rPr>
          <w:rFonts w:hint="eastAsia"/>
        </w:rPr>
        <w:t>幸运的是，教会历史强烈地暗示了答案。</w:t>
      </w:r>
    </w:p>
    <w:p w14:paraId="3D0057FA">
      <w:pPr>
        <w:pStyle w:val="9"/>
        <w:spacing w:before="17"/>
        <w:ind w:left="0"/>
        <w:jc w:val="left"/>
        <w:rPr>
          <w:rFonts w:hint="eastAsia"/>
        </w:rPr>
      </w:pPr>
    </w:p>
    <w:p w14:paraId="10F58434">
      <w:pPr>
        <w:pStyle w:val="9"/>
        <w:spacing w:before="17"/>
        <w:ind w:left="0"/>
        <w:jc w:val="left"/>
        <w:rPr>
          <w:rFonts w:hint="eastAsia"/>
        </w:rPr>
      </w:pPr>
      <w:r>
        <w:rPr>
          <w:rFonts w:hint="eastAsia"/>
        </w:rPr>
        <w:t>Confronted with an unavoidable decision to interpret this prophecy literally or figuratively, the vast majority of Christian commentators, from the Church fathers on, have opted for the figurative approach.</w:t>
      </w:r>
    </w:p>
    <w:p w14:paraId="61F21B31">
      <w:pPr>
        <w:pStyle w:val="9"/>
        <w:spacing w:before="17"/>
        <w:ind w:left="0"/>
        <w:jc w:val="left"/>
        <w:rPr>
          <w:rFonts w:hint="eastAsia"/>
        </w:rPr>
      </w:pPr>
      <w:r>
        <w:rPr>
          <w:rFonts w:hint="eastAsia"/>
        </w:rPr>
        <w:t>面对必须按字面或比喻来解释这个预言的无可避免的决定，从教父时代起，绝大多数基督教注释家都选择了比喻的方法。</w:t>
      </w:r>
    </w:p>
    <w:p w14:paraId="5215A8CA">
      <w:pPr>
        <w:pStyle w:val="9"/>
        <w:spacing w:before="17"/>
        <w:ind w:left="0"/>
        <w:jc w:val="left"/>
        <w:rPr>
          <w:rFonts w:hint="eastAsia"/>
        </w:rPr>
      </w:pPr>
    </w:p>
    <w:p w14:paraId="7B59542C">
      <w:pPr>
        <w:pStyle w:val="9"/>
        <w:spacing w:before="17"/>
        <w:ind w:left="0"/>
        <w:jc w:val="left"/>
        <w:rPr>
          <w:rFonts w:hint="eastAsia"/>
        </w:rPr>
      </w:pPr>
      <w:r>
        <w:rPr>
          <w:rFonts w:hint="eastAsia"/>
        </w:rPr>
        <w:t>William Biederwolf states the case this way:</w:t>
      </w:r>
    </w:p>
    <w:p w14:paraId="50AA9092">
      <w:pPr>
        <w:pStyle w:val="9"/>
        <w:spacing w:before="17"/>
        <w:ind w:left="0"/>
        <w:jc w:val="left"/>
        <w:rPr>
          <w:rFonts w:hint="eastAsia"/>
        </w:rPr>
      </w:pPr>
      <w:r>
        <w:rPr>
          <w:rFonts w:hint="eastAsia"/>
        </w:rPr>
        <w:t>威廉·白德沃夫（William Biederwolf）如此陈述：</w:t>
      </w:r>
    </w:p>
    <w:p w14:paraId="51AF67B1">
      <w:pPr>
        <w:pStyle w:val="9"/>
        <w:spacing w:before="17"/>
        <w:ind w:left="0"/>
        <w:jc w:val="left"/>
        <w:rPr>
          <w:rFonts w:hint="eastAsia"/>
        </w:rPr>
      </w:pPr>
    </w:p>
    <w:p w14:paraId="23F75351">
      <w:pPr>
        <w:pStyle w:val="9"/>
        <w:spacing w:before="17"/>
        <w:ind w:left="0"/>
        <w:jc w:val="left"/>
        <w:rPr>
          <w:rFonts w:hint="eastAsia"/>
        </w:rPr>
      </w:pPr>
      <w:r>
        <w:rPr>
          <w:rFonts w:hint="eastAsia"/>
        </w:rPr>
        <w:t>The prevailing view has been that it presents in grand outline the good in store for God’s people during the times of the Gospel; that it is a vision of spiritual realities pictorially presented … thus expressing under well-known (OT) symbols certain fundamental and eternal ideas with regard to the true worship of God.6</w:t>
      </w:r>
    </w:p>
    <w:p w14:paraId="48390065">
      <w:pPr>
        <w:pStyle w:val="9"/>
        <w:spacing w:before="17"/>
        <w:ind w:left="0"/>
        <w:jc w:val="left"/>
        <w:rPr>
          <w:rFonts w:hint="eastAsia"/>
        </w:rPr>
      </w:pPr>
      <w:r>
        <w:rPr>
          <w:rFonts w:hint="eastAsia"/>
        </w:rPr>
        <w:t>普遍的观点是，它以宏大的轮廓呈现了在福音时代为神子民预备的美好事物；它是一个以图画方式呈现的属灵现实的异象……从而在人所共知的（旧约）象征之下，表达了关于真实敬拜神的某些基本和永恒的观念。6</w:t>
      </w:r>
    </w:p>
    <w:p w14:paraId="1AE9FE28">
      <w:pPr>
        <w:pStyle w:val="9"/>
        <w:spacing w:before="17"/>
        <w:ind w:left="0"/>
        <w:jc w:val="left"/>
        <w:rPr>
          <w:rFonts w:hint="eastAsia"/>
        </w:rPr>
      </w:pPr>
    </w:p>
    <w:p w14:paraId="49E08856">
      <w:pPr>
        <w:pStyle w:val="9"/>
        <w:spacing w:before="17"/>
        <w:ind w:left="0"/>
        <w:jc w:val="left"/>
        <w:rPr>
          <w:rFonts w:hint="eastAsia"/>
        </w:rPr>
      </w:pPr>
      <w:r>
        <w:rPr>
          <w:rFonts w:hint="eastAsia"/>
        </w:rPr>
        <w:t>The reasons for this longstanding consensus are many, and well worth a brief discussion.</w:t>
      </w:r>
    </w:p>
    <w:p w14:paraId="250B31F0">
      <w:pPr>
        <w:pStyle w:val="9"/>
        <w:spacing w:before="17"/>
        <w:ind w:left="0"/>
        <w:jc w:val="left"/>
        <w:rPr>
          <w:rFonts w:hint="eastAsia"/>
        </w:rPr>
      </w:pPr>
      <w:r>
        <w:rPr>
          <w:rFonts w:hint="eastAsia"/>
        </w:rPr>
        <w:t>这个长期共识的原因有很多，值得简要讨论。</w:t>
      </w:r>
    </w:p>
    <w:p w14:paraId="3825BA92">
      <w:pPr>
        <w:pStyle w:val="9"/>
        <w:spacing w:before="17"/>
        <w:ind w:left="0"/>
        <w:jc w:val="left"/>
        <w:rPr>
          <w:rFonts w:hint="eastAsia"/>
        </w:rPr>
      </w:pPr>
    </w:p>
    <w:p w14:paraId="10B54089">
      <w:pPr>
        <w:pStyle w:val="9"/>
        <w:spacing w:before="17"/>
        <w:ind w:left="0"/>
        <w:jc w:val="left"/>
        <w:rPr>
          <w:rFonts w:hint="eastAsia"/>
        </w:rPr>
      </w:pPr>
      <w:r>
        <w:rPr>
          <w:rFonts w:hint="eastAsia"/>
        </w:rPr>
        <w:t>The Case for Figurative Interpretation</w:t>
      </w:r>
    </w:p>
    <w:p w14:paraId="23F18153">
      <w:pPr>
        <w:pStyle w:val="9"/>
        <w:spacing w:before="17"/>
        <w:ind w:left="0"/>
        <w:jc w:val="left"/>
        <w:rPr>
          <w:rFonts w:hint="eastAsia"/>
        </w:rPr>
      </w:pPr>
      <w:r>
        <w:rPr>
          <w:rFonts w:hint="eastAsia"/>
        </w:rPr>
        <w:t>支持比喻性解释的论据</w:t>
      </w:r>
    </w:p>
    <w:p w14:paraId="42C6D471">
      <w:pPr>
        <w:pStyle w:val="9"/>
        <w:spacing w:before="17"/>
        <w:ind w:left="0"/>
        <w:jc w:val="left"/>
        <w:rPr>
          <w:rFonts w:hint="eastAsia"/>
        </w:rPr>
      </w:pPr>
    </w:p>
    <w:p w14:paraId="38B31C3A">
      <w:pPr>
        <w:pStyle w:val="9"/>
        <w:spacing w:before="17"/>
        <w:ind w:left="0"/>
        <w:jc w:val="left"/>
        <w:rPr>
          <w:rFonts w:hint="eastAsia"/>
        </w:rPr>
      </w:pPr>
      <w:r>
        <w:rPr>
          <w:rFonts w:hint="eastAsia"/>
        </w:rPr>
        <w:t>To begin with, this is a vision, a medium of revelation that, in both Old and New Testament times, is uniformly couched in symbols (Daniel 2, 4, 7, 8, Zech. 1-6, Rev. 4-22).</w:t>
      </w:r>
    </w:p>
    <w:p w14:paraId="15DA8AB2">
      <w:pPr>
        <w:pStyle w:val="9"/>
        <w:spacing w:before="17"/>
        <w:ind w:left="0"/>
        <w:jc w:val="left"/>
        <w:rPr>
          <w:rFonts w:hint="eastAsia"/>
        </w:rPr>
      </w:pPr>
      <w:r>
        <w:rPr>
          <w:rFonts w:hint="eastAsia"/>
        </w:rPr>
        <w:t>首先，这是一个异象，一种启示的媒介，无论在旧约还是新约时代，都一致地以象征来表达（但以理书2, 4, 7, 8章，撒迦利亚书1-6章，启示录4-22章）。</w:t>
      </w:r>
    </w:p>
    <w:p w14:paraId="3CD3C57F">
      <w:pPr>
        <w:pStyle w:val="9"/>
        <w:spacing w:before="17"/>
        <w:ind w:left="0"/>
        <w:jc w:val="left"/>
        <w:rPr>
          <w:rFonts w:hint="eastAsia"/>
        </w:rPr>
      </w:pPr>
    </w:p>
    <w:p w14:paraId="1A53CC81">
      <w:pPr>
        <w:pStyle w:val="9"/>
        <w:spacing w:before="17"/>
        <w:ind w:left="0"/>
        <w:jc w:val="left"/>
        <w:rPr>
          <w:rFonts w:hint="eastAsia"/>
        </w:rPr>
      </w:pPr>
      <w:r>
        <w:rPr>
          <w:rFonts w:hint="eastAsia"/>
        </w:rPr>
        <w:t>The fact that the returning exiles of Ezra’s and Nehemiah’s day—and also the Jews of Herod’s day—never attempted to erect Ezekiel’s temple, or to reapportion the land along the lines mentioned in his prophecy, may well indicate that some leaders regarded the vision as “mysterious” and symbolic.</w:t>
      </w:r>
    </w:p>
    <w:p w14:paraId="1DFB8926">
      <w:pPr>
        <w:pStyle w:val="9"/>
        <w:spacing w:before="17"/>
        <w:ind w:left="0"/>
        <w:jc w:val="left"/>
        <w:rPr>
          <w:rFonts w:hint="eastAsia"/>
        </w:rPr>
      </w:pPr>
      <w:r>
        <w:rPr>
          <w:rFonts w:hint="eastAsia"/>
        </w:rPr>
        <w:t>以斯拉和尼希米时代回归的被掳者——以及希律时代的犹太人——从未试图建造以西结的圣殿，或按照他预言中提到的方式重新分配土地，这一事实很可能表明，一些领袖认为这个异象是“奥秘”和象征性的。</w:t>
      </w:r>
    </w:p>
    <w:p w14:paraId="4E7DFDD6">
      <w:pPr>
        <w:pStyle w:val="9"/>
        <w:spacing w:before="17"/>
        <w:ind w:left="0"/>
        <w:jc w:val="left"/>
        <w:rPr>
          <w:rFonts w:hint="eastAsia"/>
        </w:rPr>
      </w:pPr>
    </w:p>
    <w:p w14:paraId="45C2F147">
      <w:pPr>
        <w:pStyle w:val="9"/>
        <w:spacing w:before="17"/>
        <w:ind w:left="0"/>
        <w:jc w:val="left"/>
        <w:rPr>
          <w:rFonts w:hint="eastAsia"/>
        </w:rPr>
      </w:pPr>
      <w:r>
        <w:rPr>
          <w:rFonts w:hint="eastAsia"/>
        </w:rPr>
        <w:t>Certainly all agreed that it would be folly to undertake any such project in their own strength; that instead they must wait for the Messiah to come, who would explain to them all things (John 4:25, NIV).</w:t>
      </w:r>
    </w:p>
    <w:p w14:paraId="67126908">
      <w:pPr>
        <w:pStyle w:val="9"/>
        <w:spacing w:before="17"/>
        <w:ind w:left="0"/>
        <w:jc w:val="left"/>
        <w:rPr>
          <w:rFonts w:hint="eastAsia"/>
        </w:rPr>
      </w:pPr>
      <w:r>
        <w:rPr>
          <w:rFonts w:hint="eastAsia"/>
        </w:rPr>
        <w:t>当然，所有人都同意，靠自己的力量进行任何这样的工程都是愚蠢的；相反，他们必须等待弥赛亚的到来，祂会将一切事都向他们解释清楚（约翰福音4:25，新国际版）。</w:t>
      </w:r>
    </w:p>
    <w:p w14:paraId="54288B71">
      <w:pPr>
        <w:pStyle w:val="9"/>
        <w:spacing w:before="17"/>
        <w:ind w:left="0"/>
        <w:jc w:val="left"/>
        <w:rPr>
          <w:rFonts w:hint="eastAsia"/>
        </w:rPr>
      </w:pPr>
    </w:p>
    <w:p w14:paraId="18A75114">
      <w:pPr>
        <w:pStyle w:val="9"/>
        <w:spacing w:before="17"/>
        <w:ind w:left="0"/>
        <w:jc w:val="left"/>
        <w:rPr>
          <w:rFonts w:hint="eastAsia"/>
        </w:rPr>
      </w:pPr>
      <w:r>
        <w:rPr>
          <w:rFonts w:hint="eastAsia"/>
        </w:rPr>
        <w:t>Secondly, both the contents of the vision and its role as the capstone of Ezekiel’s Oracles of Good News clearly identify the subject matter as the everlasting World to Come.</w:t>
      </w:r>
    </w:p>
    <w:p w14:paraId="1AD52880">
      <w:pPr>
        <w:pStyle w:val="9"/>
        <w:spacing w:before="17"/>
        <w:ind w:left="0"/>
        <w:jc w:val="left"/>
        <w:rPr>
          <w:rFonts w:hint="eastAsia"/>
        </w:rPr>
      </w:pPr>
      <w:r>
        <w:rPr>
          <w:rFonts w:hint="eastAsia"/>
        </w:rPr>
        <w:t>其次，异象的内容及其作为以西结福音神谕压顶石的角色，都清楚地指明其主题是永恒的未来世界。</w:t>
      </w:r>
    </w:p>
    <w:p w14:paraId="1AD35C44">
      <w:pPr>
        <w:pStyle w:val="9"/>
        <w:spacing w:before="17"/>
        <w:ind w:left="0"/>
        <w:jc w:val="left"/>
        <w:rPr>
          <w:rFonts w:hint="eastAsia"/>
        </w:rPr>
      </w:pPr>
    </w:p>
    <w:p w14:paraId="16602AF5">
      <w:pPr>
        <w:pStyle w:val="9"/>
        <w:spacing w:before="17"/>
        <w:ind w:left="0"/>
        <w:jc w:val="left"/>
        <w:rPr>
          <w:rFonts w:hint="eastAsia"/>
        </w:rPr>
      </w:pPr>
      <w:r>
        <w:rPr>
          <w:rFonts w:hint="eastAsia"/>
        </w:rPr>
        <w:t>But for those steeped in NT eschatology, this means that the prophet must be giving us a “covenantally conditioned” revelation of the new heavens and the new earth (2 Peter 3:13, Rev. 21:1f).</w:t>
      </w:r>
    </w:p>
    <w:p w14:paraId="27EEB91A">
      <w:pPr>
        <w:pStyle w:val="9"/>
        <w:spacing w:before="17"/>
        <w:ind w:left="0"/>
        <w:jc w:val="left"/>
        <w:rPr>
          <w:rFonts w:hint="eastAsia"/>
        </w:rPr>
      </w:pPr>
      <w:r>
        <w:rPr>
          <w:rFonts w:hint="eastAsia"/>
        </w:rPr>
        <w:t>但对于那些沉浸在新约末世论中的人来说，这意味着先知必然是在给我们一个关于新天新地的“受圣约制约的”启示（彼得后书3:13，启示录21:1及以下）。</w:t>
      </w:r>
    </w:p>
    <w:p w14:paraId="2DFE3929">
      <w:pPr>
        <w:pStyle w:val="9"/>
        <w:spacing w:before="17"/>
        <w:ind w:left="0"/>
        <w:jc w:val="left"/>
        <w:rPr>
          <w:rFonts w:hint="eastAsia"/>
        </w:rPr>
      </w:pPr>
    </w:p>
    <w:p w14:paraId="7CF90DEE">
      <w:pPr>
        <w:pStyle w:val="9"/>
        <w:spacing w:before="17"/>
        <w:ind w:left="0"/>
        <w:jc w:val="left"/>
        <w:rPr>
          <w:rFonts w:hint="eastAsia"/>
        </w:rPr>
      </w:pPr>
      <w:r>
        <w:rPr>
          <w:rFonts w:hint="eastAsia"/>
        </w:rPr>
        <w:t>If so, the vision cannot be fulfilled in a temporary millennial era; nor can it be fulfilled literally, since the NT depicts the World to Come in vastly differently terms.</w:t>
      </w:r>
    </w:p>
    <w:p w14:paraId="6DF22CBD">
      <w:pPr>
        <w:pStyle w:val="9"/>
        <w:spacing w:before="17"/>
        <w:ind w:left="0"/>
        <w:jc w:val="left"/>
        <w:rPr>
          <w:rFonts w:hint="eastAsia"/>
        </w:rPr>
      </w:pPr>
      <w:r>
        <w:rPr>
          <w:rFonts w:hint="eastAsia"/>
        </w:rPr>
        <w:t>如果是这样，这个异象就不可能在一个暂时的千禧年时代应验；也不可能按字面应验，因为新约是以截然不同的措辞来描绘未来世界的。</w:t>
      </w:r>
    </w:p>
    <w:p w14:paraId="36DF8C9A">
      <w:pPr>
        <w:pStyle w:val="9"/>
        <w:spacing w:before="17"/>
        <w:ind w:left="0"/>
        <w:jc w:val="left"/>
        <w:rPr>
          <w:rFonts w:hint="eastAsia"/>
        </w:rPr>
      </w:pPr>
    </w:p>
    <w:p w14:paraId="35A1FBCF">
      <w:pPr>
        <w:pStyle w:val="9"/>
        <w:spacing w:before="17"/>
        <w:ind w:left="0"/>
        <w:jc w:val="left"/>
        <w:rPr>
          <w:rFonts w:hint="eastAsia"/>
        </w:rPr>
      </w:pPr>
      <w:r>
        <w:rPr>
          <w:rFonts w:hint="eastAsia"/>
        </w:rPr>
        <w:t>This brings us to our third point, namely, that the worship here envisioned is—covenantally speaking—neither fish nor fowl.</w:t>
      </w:r>
    </w:p>
    <w:p w14:paraId="3D1EF43F">
      <w:pPr>
        <w:pStyle w:val="9"/>
        <w:spacing w:before="17"/>
        <w:ind w:left="0"/>
        <w:jc w:val="left"/>
        <w:rPr>
          <w:rFonts w:hint="eastAsia"/>
        </w:rPr>
      </w:pPr>
      <w:r>
        <w:rPr>
          <w:rFonts w:hint="eastAsia"/>
        </w:rPr>
        <w:t>这带我们来到第三点，即这里所设想的敬拜——从圣约的角度来说——是不伦不类的。</w:t>
      </w:r>
    </w:p>
    <w:p w14:paraId="1319A120">
      <w:pPr>
        <w:pStyle w:val="9"/>
        <w:spacing w:before="17"/>
        <w:ind w:left="0"/>
        <w:jc w:val="left"/>
        <w:rPr>
          <w:rFonts w:hint="eastAsia"/>
        </w:rPr>
      </w:pPr>
    </w:p>
    <w:p w14:paraId="4A31E97C">
      <w:pPr>
        <w:pStyle w:val="9"/>
        <w:spacing w:before="17"/>
        <w:ind w:left="0"/>
        <w:jc w:val="left"/>
        <w:rPr>
          <w:rFonts w:hint="eastAsia"/>
        </w:rPr>
      </w:pPr>
      <w:r>
        <w:rPr>
          <w:rFonts w:hint="eastAsia"/>
        </w:rPr>
        <w:t>That is, it is governed neither by the Law of Moses (as other OTKP’s say it will be, Isaiah 2:3, Micah 4:21), nor by the Law of Christ contained in the NT (1 Cor. 9:21).</w:t>
      </w:r>
    </w:p>
    <w:p w14:paraId="6C2FE248">
      <w:pPr>
        <w:pStyle w:val="9"/>
        <w:spacing w:before="17"/>
        <w:ind w:left="0"/>
        <w:jc w:val="left"/>
        <w:rPr>
          <w:rFonts w:hint="eastAsia"/>
        </w:rPr>
      </w:pPr>
      <w:r>
        <w:rPr>
          <w:rFonts w:hint="eastAsia"/>
        </w:rPr>
        <w:t>也就是说，它既不受摩西律法的管辖（正如其他旧约国度预言所说的那样，以赛亚书2:3，弥迦书4:21），也不受新约中所包含的基督律法的管辖（哥林多前书9:21）。</w:t>
      </w:r>
    </w:p>
    <w:p w14:paraId="69772CD4">
      <w:pPr>
        <w:pStyle w:val="9"/>
        <w:spacing w:before="17"/>
        <w:ind w:left="0"/>
        <w:jc w:val="left"/>
        <w:rPr>
          <w:rFonts w:hint="eastAsia"/>
        </w:rPr>
      </w:pPr>
    </w:p>
    <w:p w14:paraId="1BD893A2">
      <w:pPr>
        <w:pStyle w:val="9"/>
        <w:spacing w:before="17"/>
        <w:ind w:left="0"/>
        <w:jc w:val="left"/>
        <w:rPr>
          <w:rFonts w:hint="eastAsia"/>
        </w:rPr>
      </w:pPr>
      <w:r>
        <w:rPr>
          <w:rFonts w:hint="eastAsia"/>
        </w:rPr>
        <w:t>Yes, there are certain similarities with the Mosaic Law: a temple, an altar, various offerings, feast days, new moons, Sabbaths, etc.</w:t>
      </w:r>
    </w:p>
    <w:p w14:paraId="1869C612">
      <w:pPr>
        <w:pStyle w:val="9"/>
        <w:spacing w:before="17"/>
        <w:ind w:left="0"/>
        <w:jc w:val="left"/>
        <w:rPr>
          <w:rFonts w:hint="eastAsia"/>
        </w:rPr>
      </w:pPr>
      <w:r>
        <w:rPr>
          <w:rFonts w:hint="eastAsia"/>
        </w:rPr>
        <w:t>是的，它与摩西律法有某些相似之处：一个圣殿、一个祭坛、各种献祭、节期、月朔、安息日等等。</w:t>
      </w:r>
    </w:p>
    <w:p w14:paraId="7D1F88FB">
      <w:pPr>
        <w:pStyle w:val="9"/>
        <w:spacing w:before="17"/>
        <w:ind w:left="0"/>
        <w:jc w:val="left"/>
        <w:rPr>
          <w:rFonts w:hint="eastAsia"/>
        </w:rPr>
      </w:pPr>
    </w:p>
    <w:p w14:paraId="5A826196">
      <w:pPr>
        <w:pStyle w:val="9"/>
        <w:spacing w:before="17"/>
        <w:ind w:left="0"/>
        <w:jc w:val="left"/>
        <w:rPr>
          <w:rFonts w:hint="eastAsia"/>
        </w:rPr>
      </w:pPr>
      <w:r>
        <w:rPr>
          <w:rFonts w:hint="eastAsia"/>
        </w:rPr>
        <w:t>Yet there are also dramatic differences, in the form of both changes and deletions.</w:t>
      </w:r>
    </w:p>
    <w:p w14:paraId="700ED892">
      <w:pPr>
        <w:pStyle w:val="9"/>
        <w:spacing w:before="17"/>
        <w:ind w:left="0"/>
        <w:jc w:val="left"/>
        <w:rPr>
          <w:rFonts w:hint="eastAsia"/>
        </w:rPr>
      </w:pPr>
      <w:r>
        <w:rPr>
          <w:rFonts w:hint="eastAsia"/>
        </w:rPr>
        <w:t>然而，也存在巨大的差异，表现为改变和删除。</w:t>
      </w:r>
    </w:p>
    <w:p w14:paraId="7E381FDB">
      <w:pPr>
        <w:pStyle w:val="9"/>
        <w:spacing w:before="17"/>
        <w:ind w:left="0"/>
        <w:jc w:val="left"/>
        <w:rPr>
          <w:rFonts w:hint="eastAsia"/>
        </w:rPr>
      </w:pPr>
    </w:p>
    <w:p w14:paraId="3B3ADCEE">
      <w:pPr>
        <w:pStyle w:val="9"/>
        <w:spacing w:before="17"/>
        <w:ind w:left="0"/>
        <w:jc w:val="left"/>
        <w:rPr>
          <w:rFonts w:hint="eastAsia"/>
        </w:rPr>
      </w:pPr>
      <w:r>
        <w:rPr>
          <w:rFonts w:hint="eastAsia"/>
        </w:rPr>
        <w:t>For example, much of the tabernacle furniture is gone (e.g., the Ark, the Golden Candlestick, the Table of Showbread, etc.).</w:t>
      </w:r>
    </w:p>
    <w:p w14:paraId="34FC55F5">
      <w:pPr>
        <w:pStyle w:val="9"/>
        <w:spacing w:before="17"/>
        <w:ind w:left="0"/>
        <w:jc w:val="left"/>
        <w:rPr>
          <w:rFonts w:hint="eastAsia"/>
        </w:rPr>
      </w:pPr>
      <w:r>
        <w:rPr>
          <w:rFonts w:hint="eastAsia"/>
        </w:rPr>
        <w:t>例如，许多会幕的器具都不见了（例如，约柜、金灯台、陈设饼的桌子等）。</w:t>
      </w:r>
    </w:p>
    <w:p w14:paraId="42921ED9">
      <w:pPr>
        <w:pStyle w:val="9"/>
        <w:spacing w:before="17"/>
        <w:ind w:left="0"/>
        <w:jc w:val="left"/>
        <w:rPr>
          <w:rFonts w:hint="eastAsia"/>
        </w:rPr>
      </w:pPr>
    </w:p>
    <w:p w14:paraId="6344F0BE">
      <w:pPr>
        <w:pStyle w:val="9"/>
        <w:spacing w:before="17"/>
        <w:ind w:left="0"/>
        <w:jc w:val="left"/>
        <w:rPr>
          <w:rFonts w:hint="eastAsia"/>
        </w:rPr>
      </w:pPr>
      <w:r>
        <w:rPr>
          <w:rFonts w:hint="eastAsia"/>
        </w:rPr>
        <w:t>There is no High Priest or Day of Atonement.</w:t>
      </w:r>
    </w:p>
    <w:p w14:paraId="681C4857">
      <w:pPr>
        <w:pStyle w:val="9"/>
        <w:spacing w:before="17"/>
        <w:ind w:left="0"/>
        <w:jc w:val="left"/>
        <w:rPr>
          <w:rFonts w:hint="eastAsia"/>
        </w:rPr>
      </w:pPr>
      <w:r>
        <w:rPr>
          <w:rFonts w:hint="eastAsia"/>
        </w:rPr>
        <w:t>没有大祭司或赎罪日。</w:t>
      </w:r>
    </w:p>
    <w:p w14:paraId="4335D907">
      <w:pPr>
        <w:pStyle w:val="9"/>
        <w:spacing w:before="17"/>
        <w:ind w:left="0"/>
        <w:jc w:val="left"/>
        <w:rPr>
          <w:rFonts w:hint="eastAsia"/>
        </w:rPr>
      </w:pPr>
    </w:p>
    <w:p w14:paraId="4ADB4238">
      <w:pPr>
        <w:pStyle w:val="9"/>
        <w:spacing w:before="17"/>
        <w:ind w:left="0"/>
        <w:jc w:val="left"/>
        <w:rPr>
          <w:rFonts w:hint="eastAsia"/>
        </w:rPr>
      </w:pPr>
      <w:r>
        <w:rPr>
          <w:rFonts w:hint="eastAsia"/>
        </w:rPr>
        <w:t>Most of the Levites have been barred from their traditional privileges.</w:t>
      </w:r>
    </w:p>
    <w:p w14:paraId="7F6DD131">
      <w:pPr>
        <w:pStyle w:val="9"/>
        <w:spacing w:before="17"/>
        <w:ind w:left="0"/>
        <w:jc w:val="left"/>
        <w:rPr>
          <w:rFonts w:hint="eastAsia"/>
        </w:rPr>
      </w:pPr>
      <w:r>
        <w:rPr>
          <w:rFonts w:hint="eastAsia"/>
        </w:rPr>
        <w:t>大多数利未人被剥夺了他们传统的特权。</w:t>
      </w:r>
    </w:p>
    <w:p w14:paraId="0243E3FC">
      <w:pPr>
        <w:pStyle w:val="9"/>
        <w:spacing w:before="17"/>
        <w:ind w:left="0"/>
        <w:jc w:val="left"/>
        <w:rPr>
          <w:rFonts w:hint="eastAsia"/>
        </w:rPr>
      </w:pPr>
    </w:p>
    <w:p w14:paraId="2430DFD3">
      <w:pPr>
        <w:pStyle w:val="9"/>
        <w:spacing w:before="17"/>
        <w:ind w:left="0"/>
        <w:jc w:val="left"/>
        <w:rPr>
          <w:rFonts w:hint="eastAsia"/>
        </w:rPr>
      </w:pPr>
      <w:r>
        <w:rPr>
          <w:rFonts w:hint="eastAsia"/>
        </w:rPr>
        <w:t>While the faithful sons of Zadok do indeed continue to serve at the altar and in the Holy Place, even they cannot enter the Holy of Holies.</w:t>
      </w:r>
    </w:p>
    <w:p w14:paraId="6AB82199">
      <w:pPr>
        <w:pStyle w:val="9"/>
        <w:spacing w:before="17"/>
        <w:ind w:left="0"/>
        <w:jc w:val="left"/>
        <w:rPr>
          <w:rFonts w:hint="eastAsia"/>
        </w:rPr>
      </w:pPr>
      <w:r>
        <w:rPr>
          <w:rFonts w:hint="eastAsia"/>
        </w:rPr>
        <w:t>虽然撒督的忠心子孙确实继续在祭坛和圣所服事，但即使是他们也不能进入至圣所。</w:t>
      </w:r>
    </w:p>
    <w:p w14:paraId="2DEC2F6A">
      <w:pPr>
        <w:pStyle w:val="9"/>
        <w:spacing w:before="17"/>
        <w:ind w:left="0"/>
        <w:jc w:val="left"/>
        <w:rPr>
          <w:rFonts w:hint="eastAsia"/>
        </w:rPr>
      </w:pPr>
    </w:p>
    <w:p w14:paraId="4D8CCA38">
      <w:pPr>
        <w:pStyle w:val="9"/>
        <w:spacing w:before="17"/>
        <w:ind w:left="0"/>
        <w:jc w:val="left"/>
        <w:rPr>
          <w:rFonts w:hint="eastAsia"/>
        </w:rPr>
      </w:pPr>
      <w:r>
        <w:rPr>
          <w:rFonts w:hint="eastAsia"/>
        </w:rPr>
        <w:t>The boundaries of the land are redrawn, the tribal allotments are radically restructured, and the City of God receives a new name, etc.</w:t>
      </w:r>
    </w:p>
    <w:p w14:paraId="7E861AFA">
      <w:pPr>
        <w:pStyle w:val="9"/>
        <w:spacing w:before="17"/>
        <w:ind w:left="0"/>
        <w:jc w:val="left"/>
        <w:rPr>
          <w:rFonts w:hint="eastAsia"/>
        </w:rPr>
      </w:pPr>
      <w:r>
        <w:rPr>
          <w:rFonts w:hint="eastAsia"/>
        </w:rPr>
        <w:t>土地的边界被重新划定，支派的分配被彻底重组，神的城被赋予了一个新名字，等等。</w:t>
      </w:r>
    </w:p>
    <w:p w14:paraId="05969AD4">
      <w:pPr>
        <w:pStyle w:val="9"/>
        <w:spacing w:before="17"/>
        <w:ind w:left="0"/>
        <w:jc w:val="left"/>
        <w:rPr>
          <w:rFonts w:hint="eastAsia"/>
        </w:rPr>
      </w:pPr>
    </w:p>
    <w:p w14:paraId="15346101">
      <w:pPr>
        <w:pStyle w:val="9"/>
        <w:spacing w:before="17"/>
        <w:ind w:left="0"/>
        <w:jc w:val="left"/>
        <w:rPr>
          <w:rFonts w:hint="eastAsia"/>
        </w:rPr>
      </w:pPr>
      <w:r>
        <w:rPr>
          <w:rFonts w:hint="eastAsia"/>
        </w:rPr>
        <w:t>Such discrepancies vis-à-vis the Law of Moses were deeply troubling to subsequent Jewish leaders, who in time refused even to read Ezekiel 40-48 in public, for fear of confusing the people.</w:t>
      </w:r>
    </w:p>
    <w:p w14:paraId="49D1E4AB">
      <w:pPr>
        <w:pStyle w:val="9"/>
        <w:spacing w:before="17"/>
        <w:ind w:left="0"/>
        <w:jc w:val="left"/>
        <w:rPr>
          <w:rFonts w:hint="eastAsia"/>
        </w:rPr>
      </w:pPr>
      <w:r>
        <w:rPr>
          <w:rFonts w:hint="eastAsia"/>
        </w:rPr>
        <w:t>与摩西律法相比，这种差异让后来的犹太领袖深感困扰，他们最终甚至拒绝在公共场合阅读以西结书40-48章，因为害怕使百姓感到困惑。</w:t>
      </w:r>
    </w:p>
    <w:p w14:paraId="4DCDBF2A">
      <w:pPr>
        <w:pStyle w:val="9"/>
        <w:spacing w:before="17"/>
        <w:ind w:left="0"/>
        <w:jc w:val="left"/>
        <w:rPr>
          <w:rFonts w:hint="eastAsia"/>
        </w:rPr>
      </w:pPr>
    </w:p>
    <w:p w14:paraId="0FEA303C">
      <w:pPr>
        <w:pStyle w:val="9"/>
        <w:spacing w:before="17"/>
        <w:ind w:left="0"/>
        <w:jc w:val="left"/>
        <w:rPr>
          <w:rFonts w:hint="eastAsia"/>
        </w:rPr>
      </w:pPr>
      <w:r>
        <w:rPr>
          <w:rFonts w:hint="eastAsia"/>
        </w:rPr>
        <w:t>However, had they understood the typological character of OT revelation, they would have realized that Ezekiel—and indeed Moses himself—was speaking “mystically” of the things of Christ and the Covenant to come (2 Cor. 3:12-18).</w:t>
      </w:r>
    </w:p>
    <w:p w14:paraId="2CD55B3A">
      <w:pPr>
        <w:pStyle w:val="9"/>
        <w:spacing w:before="17"/>
        <w:ind w:left="0"/>
        <w:jc w:val="left"/>
        <w:rPr>
          <w:rFonts w:hint="eastAsia"/>
        </w:rPr>
      </w:pPr>
      <w:r>
        <w:rPr>
          <w:rFonts w:hint="eastAsia"/>
        </w:rPr>
        <w:t>然而，如果他们理解了旧约启示的预表性质，他们就会意识到，以西结——甚至摩西本人——都在“奥秘地”谈论基督和将要来临之约的事（哥林多后书3:12-18）。</w:t>
      </w:r>
    </w:p>
    <w:p w14:paraId="26C2E806">
      <w:pPr>
        <w:pStyle w:val="9"/>
        <w:spacing w:before="17"/>
        <w:ind w:left="0"/>
        <w:jc w:val="left"/>
        <w:rPr>
          <w:rFonts w:hint="eastAsia"/>
        </w:rPr>
      </w:pPr>
    </w:p>
    <w:p w14:paraId="2E9684ED">
      <w:pPr>
        <w:pStyle w:val="9"/>
        <w:spacing w:before="17"/>
        <w:ind w:left="0"/>
        <w:jc w:val="left"/>
        <w:rPr>
          <w:rFonts w:hint="eastAsia"/>
        </w:rPr>
      </w:pPr>
      <w:r>
        <w:rPr>
          <w:rFonts w:hint="eastAsia"/>
        </w:rPr>
        <w:t>Fourthly, there are a number of phenomena within the vision itself that clearly indicate the prophet was speaking symbolically.</w:t>
      </w:r>
    </w:p>
    <w:p w14:paraId="3E9764E8">
      <w:pPr>
        <w:pStyle w:val="9"/>
        <w:spacing w:before="17"/>
        <w:ind w:left="0"/>
        <w:jc w:val="left"/>
        <w:rPr>
          <w:rFonts w:hint="eastAsia"/>
        </w:rPr>
      </w:pPr>
      <w:r>
        <w:rPr>
          <w:rFonts w:hint="eastAsia"/>
        </w:rPr>
        <w:t>第四，在异象本身中有一些现象清楚地表明先知是在象征性地说话。</w:t>
      </w:r>
    </w:p>
    <w:p w14:paraId="5DE96528">
      <w:pPr>
        <w:pStyle w:val="9"/>
        <w:spacing w:before="17"/>
        <w:ind w:left="0"/>
        <w:jc w:val="left"/>
        <w:rPr>
          <w:rFonts w:hint="eastAsia"/>
        </w:rPr>
      </w:pPr>
    </w:p>
    <w:p w14:paraId="0E64ADF5">
      <w:pPr>
        <w:pStyle w:val="9"/>
        <w:spacing w:before="17"/>
        <w:ind w:left="0"/>
        <w:jc w:val="left"/>
        <w:rPr>
          <w:rFonts w:hint="eastAsia"/>
        </w:rPr>
      </w:pPr>
      <w:r>
        <w:rPr>
          <w:rFonts w:hint="eastAsia"/>
        </w:rPr>
        <w:t>This is particularly true of 47:1-12, where we read of a River that will flow from beneath the Temple threshold and south of the altar; a river that not only grows without the help of tributaries, but also brings healing to whatever it touches, as do the mysterious trees situated on either side of its banks.</w:t>
      </w:r>
    </w:p>
    <w:p w14:paraId="588D06A6">
      <w:pPr>
        <w:pStyle w:val="9"/>
        <w:spacing w:before="17"/>
        <w:ind w:left="0"/>
        <w:jc w:val="left"/>
        <w:rPr>
          <w:rFonts w:hint="eastAsia"/>
        </w:rPr>
      </w:pPr>
      <w:r>
        <w:rPr>
          <w:rFonts w:hint="eastAsia"/>
        </w:rPr>
        <w:t>这一点在47:1-12中尤其明显，我们读到一条河将从殿的门槛下和祭坛南边流出；这条河不仅在没有支流帮助的情况下增长，而且凡它所到之处都带来医治，其两岸神秘的树木也是如此。</w:t>
      </w:r>
    </w:p>
    <w:p w14:paraId="0775B2B7">
      <w:pPr>
        <w:pStyle w:val="9"/>
        <w:spacing w:before="17"/>
        <w:ind w:left="0"/>
        <w:jc w:val="left"/>
        <w:rPr>
          <w:rFonts w:hint="eastAsia"/>
        </w:rPr>
      </w:pPr>
    </w:p>
    <w:p w14:paraId="41D45973">
      <w:pPr>
        <w:pStyle w:val="9"/>
        <w:spacing w:before="17"/>
        <w:ind w:left="0"/>
        <w:jc w:val="left"/>
        <w:rPr>
          <w:rFonts w:hint="eastAsia"/>
        </w:rPr>
      </w:pPr>
      <w:r>
        <w:rPr>
          <w:rFonts w:hint="eastAsia"/>
        </w:rPr>
        <w:t>Yes, it is indeed true that other parts of the vision lend themselves to a more literal interpretation.</w:t>
      </w:r>
    </w:p>
    <w:p w14:paraId="7633F4AE">
      <w:pPr>
        <w:pStyle w:val="9"/>
        <w:spacing w:before="17"/>
        <w:ind w:left="0"/>
        <w:jc w:val="left"/>
        <w:rPr>
          <w:rFonts w:hint="eastAsia"/>
        </w:rPr>
      </w:pPr>
      <w:r>
        <w:rPr>
          <w:rFonts w:hint="eastAsia"/>
        </w:rPr>
        <w:t>是的，异象的其他部分确实更适合字面解释。</w:t>
      </w:r>
    </w:p>
    <w:p w14:paraId="4A0F374D">
      <w:pPr>
        <w:pStyle w:val="9"/>
        <w:spacing w:before="17"/>
        <w:ind w:left="0"/>
        <w:jc w:val="left"/>
        <w:rPr>
          <w:rFonts w:hint="eastAsia"/>
        </w:rPr>
      </w:pPr>
    </w:p>
    <w:p w14:paraId="3A9D6078">
      <w:pPr>
        <w:pStyle w:val="9"/>
        <w:spacing w:before="17"/>
        <w:ind w:left="0"/>
        <w:jc w:val="left"/>
        <w:rPr>
          <w:rFonts w:hint="eastAsia"/>
        </w:rPr>
      </w:pPr>
      <w:r>
        <w:rPr>
          <w:rFonts w:hint="eastAsia"/>
        </w:rPr>
        <w:t>However, as soon as we read this portion, we immediately begin to wonder if both it and the vision as a whole are not meant symbolically.</w:t>
      </w:r>
    </w:p>
    <w:p w14:paraId="6DAE6E8F">
      <w:pPr>
        <w:pStyle w:val="9"/>
        <w:spacing w:before="17"/>
        <w:ind w:left="0"/>
        <w:jc w:val="left"/>
        <w:rPr>
          <w:rFonts w:hint="eastAsia"/>
        </w:rPr>
      </w:pPr>
      <w:r>
        <w:rPr>
          <w:rFonts w:hint="eastAsia"/>
        </w:rPr>
        <w:t>然而，一旦我们读到这一部分，我们立刻开始怀疑，它和整个异象是否都是象征性的。</w:t>
      </w:r>
    </w:p>
    <w:p w14:paraId="75A5063C">
      <w:pPr>
        <w:pStyle w:val="9"/>
        <w:spacing w:before="17"/>
        <w:ind w:left="0"/>
        <w:jc w:val="left"/>
        <w:rPr>
          <w:rFonts w:hint="eastAsia"/>
        </w:rPr>
      </w:pPr>
    </w:p>
    <w:p w14:paraId="25C13AC5">
      <w:pPr>
        <w:pStyle w:val="9"/>
        <w:spacing w:before="17"/>
        <w:ind w:left="0"/>
        <w:jc w:val="left"/>
        <w:rPr>
          <w:rFonts w:hint="eastAsia"/>
        </w:rPr>
      </w:pPr>
      <w:r>
        <w:rPr>
          <w:rFonts w:hint="eastAsia"/>
        </w:rPr>
        <w:t>Finally, and most importantly, we have the positive testimony of the NT.</w:t>
      </w:r>
    </w:p>
    <w:p w14:paraId="284C039B">
      <w:pPr>
        <w:pStyle w:val="9"/>
        <w:spacing w:before="17"/>
        <w:ind w:left="0"/>
        <w:jc w:val="left"/>
        <w:rPr>
          <w:rFonts w:hint="eastAsia"/>
        </w:rPr>
      </w:pPr>
      <w:r>
        <w:rPr>
          <w:rFonts w:hint="eastAsia"/>
        </w:rPr>
        <w:t>最后，也是最重要的，我们有新约的正面见证。</w:t>
      </w:r>
    </w:p>
    <w:p w14:paraId="0A3E31F7">
      <w:pPr>
        <w:pStyle w:val="9"/>
        <w:spacing w:before="17"/>
        <w:ind w:left="0"/>
        <w:jc w:val="left"/>
        <w:rPr>
          <w:rFonts w:hint="eastAsia"/>
        </w:rPr>
      </w:pPr>
    </w:p>
    <w:p w14:paraId="03C79848">
      <w:pPr>
        <w:pStyle w:val="9"/>
        <w:spacing w:before="17"/>
        <w:ind w:left="0"/>
        <w:jc w:val="left"/>
        <w:rPr>
          <w:rFonts w:hint="eastAsia"/>
        </w:rPr>
      </w:pPr>
      <w:r>
        <w:rPr>
          <w:rFonts w:hint="eastAsia"/>
        </w:rPr>
        <w:t>As we have seen, because of its teaching on the progress of Salvation History, the finality of the New Covenant in Christ, and the obsolescence of all the OT institutions that temporarily pictured that Covenant in type and shadow, the majority opinion of the Church down through the ages has been that we must indeed interpret this text figuratively.</w:t>
      </w:r>
    </w:p>
    <w:p w14:paraId="3452394D">
      <w:pPr>
        <w:pStyle w:val="9"/>
        <w:spacing w:before="17"/>
        <w:ind w:left="0"/>
        <w:jc w:val="left"/>
        <w:rPr>
          <w:rFonts w:hint="eastAsia"/>
        </w:rPr>
      </w:pPr>
      <w:r>
        <w:rPr>
          <w:rFonts w:hint="eastAsia"/>
        </w:rPr>
        <w:t>正如我们所见，由于其关于救赎历史进程、在基督里新约的终极性，以及所有暂时以预表和影像描绘那约的旧约制度已过时的教导，历代教会的主流观点一直是我们确实必须以比喻的方式来解释这段经文。</w:t>
      </w:r>
    </w:p>
    <w:p w14:paraId="7E7CB28D">
      <w:pPr>
        <w:pStyle w:val="9"/>
        <w:spacing w:before="17"/>
        <w:ind w:left="0"/>
        <w:jc w:val="left"/>
        <w:rPr>
          <w:rFonts w:hint="eastAsia"/>
        </w:rPr>
      </w:pPr>
    </w:p>
    <w:p w14:paraId="013EDA35">
      <w:pPr>
        <w:pStyle w:val="9"/>
        <w:spacing w:before="17"/>
        <w:ind w:left="0"/>
        <w:jc w:val="left"/>
        <w:rPr>
          <w:rFonts w:hint="eastAsia"/>
        </w:rPr>
      </w:pPr>
      <w:r>
        <w:rPr>
          <w:rFonts w:hint="eastAsia"/>
        </w:rPr>
        <w:t>And indeed, the NT explicitly encourages us to do so, referring at least six times to this vision in the portion of the Revelation devoted to describing the experience of the Church in the new heavens and the new earth (Rev. 21:10, 11, 12, 27, 22:1, 2).</w:t>
      </w:r>
    </w:p>
    <w:p w14:paraId="60EFB45A">
      <w:pPr>
        <w:pStyle w:val="9"/>
        <w:spacing w:before="17"/>
        <w:ind w:left="0"/>
        <w:jc w:val="left"/>
        <w:rPr>
          <w:rFonts w:hint="eastAsia"/>
        </w:rPr>
      </w:pPr>
      <w:r>
        <w:rPr>
          <w:rFonts w:hint="eastAsia"/>
        </w:rPr>
        <w:t>而且，新约确实明确地鼓励我们这样做，在启示录中专门描述教会在新天新地经历的部分，至少六次提及这个异象（启示录21:10, 11, 12, 27, 22:1, 2）。</w:t>
      </w:r>
    </w:p>
    <w:p w14:paraId="779905FA">
      <w:pPr>
        <w:pStyle w:val="9"/>
        <w:spacing w:before="17"/>
        <w:ind w:left="0"/>
        <w:jc w:val="left"/>
        <w:rPr>
          <w:rFonts w:hint="eastAsia"/>
        </w:rPr>
      </w:pPr>
    </w:p>
    <w:p w14:paraId="5830D9E6">
      <w:pPr>
        <w:pStyle w:val="9"/>
        <w:spacing w:before="17"/>
        <w:ind w:left="0"/>
        <w:jc w:val="left"/>
        <w:rPr>
          <w:rFonts w:hint="eastAsia"/>
        </w:rPr>
      </w:pPr>
      <w:r>
        <w:rPr>
          <w:rFonts w:hint="eastAsia"/>
        </w:rPr>
        <w:t>The implications of this could hardly be clearer: Ezekiel’s vision does not pertain to the thousand year reign of Christ (Rev. 20), but rather to the new World that Christ will create after “the thousand years,” after the Last Battle, and at his Parousia (Ezek. 38-39, Rev. 21-22).</w:t>
      </w:r>
    </w:p>
    <w:p w14:paraId="10FD777F">
      <w:pPr>
        <w:pStyle w:val="9"/>
        <w:spacing w:before="17"/>
        <w:ind w:left="0"/>
        <w:jc w:val="left"/>
        <w:rPr>
          <w:rFonts w:hint="eastAsia"/>
        </w:rPr>
      </w:pPr>
      <w:r>
        <w:rPr>
          <w:rFonts w:hint="eastAsia"/>
        </w:rPr>
        <w:t>这其中的含义再清楚不过了：以西结的异象不关乎基督的千年统治（启示录20章），而是关乎基督在“那千年”之后、在末日之战之后、以及在祂再临时将创造的新世界（以西结书38-39章，启示录21-22章）。</w:t>
      </w:r>
    </w:p>
    <w:p w14:paraId="0E0D27C3">
      <w:pPr>
        <w:pStyle w:val="9"/>
        <w:spacing w:before="17"/>
        <w:ind w:left="0"/>
        <w:jc w:val="left"/>
        <w:rPr>
          <w:rFonts w:hint="eastAsia"/>
        </w:rPr>
      </w:pPr>
    </w:p>
    <w:p w14:paraId="59783F22">
      <w:pPr>
        <w:pStyle w:val="9"/>
        <w:spacing w:before="17"/>
        <w:ind w:left="0"/>
        <w:jc w:val="left"/>
        <w:rPr>
          <w:rFonts w:hint="eastAsia"/>
        </w:rPr>
      </w:pPr>
      <w:r>
        <w:rPr>
          <w:rFonts w:hint="eastAsia"/>
        </w:rPr>
        <w:t>This, by the way, was the conclusion of the great German commentator, C. F. Keil.</w:t>
      </w:r>
    </w:p>
    <w:p w14:paraId="6885CA9E">
      <w:pPr>
        <w:pStyle w:val="9"/>
        <w:spacing w:before="17"/>
        <w:ind w:left="0"/>
        <w:jc w:val="left"/>
        <w:rPr>
          <w:rFonts w:hint="eastAsia"/>
        </w:rPr>
      </w:pPr>
      <w:r>
        <w:rPr>
          <w:rFonts w:hint="eastAsia"/>
        </w:rPr>
        <w:t>顺便一提，这是伟大的德国注释家C. F. 基尔（Keil）的结论。</w:t>
      </w:r>
    </w:p>
    <w:p w14:paraId="4030FF5C">
      <w:pPr>
        <w:pStyle w:val="9"/>
        <w:spacing w:before="17"/>
        <w:ind w:left="0"/>
        <w:jc w:val="left"/>
        <w:rPr>
          <w:rFonts w:hint="eastAsia"/>
        </w:rPr>
      </w:pPr>
    </w:p>
    <w:p w14:paraId="6CEB6E24">
      <w:pPr>
        <w:pStyle w:val="9"/>
        <w:spacing w:before="17"/>
        <w:ind w:left="0"/>
        <w:jc w:val="left"/>
        <w:rPr>
          <w:rFonts w:hint="eastAsia"/>
        </w:rPr>
      </w:pPr>
      <w:r>
        <w:rPr>
          <w:rFonts w:hint="eastAsia"/>
        </w:rPr>
        <w:t>Summarizing his interpretation of Ezekiel’s vision, Biederwolf writes:</w:t>
      </w:r>
    </w:p>
    <w:p w14:paraId="7D78555C">
      <w:pPr>
        <w:pStyle w:val="9"/>
        <w:spacing w:before="17"/>
        <w:ind w:left="0"/>
        <w:jc w:val="left"/>
        <w:rPr>
          <w:rFonts w:hint="eastAsia"/>
        </w:rPr>
      </w:pPr>
      <w:r>
        <w:rPr>
          <w:rFonts w:hint="eastAsia"/>
        </w:rPr>
        <w:t>白德沃夫（Biederwolf）在总结他对以西结异象的解释时写道：</w:t>
      </w:r>
    </w:p>
    <w:p w14:paraId="56CD60AC">
      <w:pPr>
        <w:pStyle w:val="9"/>
        <w:spacing w:before="17"/>
        <w:ind w:left="0"/>
        <w:jc w:val="left"/>
        <w:rPr>
          <w:rFonts w:hint="eastAsia"/>
        </w:rPr>
      </w:pPr>
    </w:p>
    <w:p w14:paraId="3FDF9587">
      <w:pPr>
        <w:pStyle w:val="9"/>
        <w:spacing w:before="17"/>
        <w:ind w:left="0"/>
        <w:jc w:val="left"/>
        <w:rPr>
          <w:rFonts w:hint="eastAsia"/>
        </w:rPr>
      </w:pPr>
      <w:r>
        <w:rPr>
          <w:rFonts w:hint="eastAsia"/>
        </w:rPr>
        <w:t>The vision of Ezekiel he understands not as depicting the rise and development of the new Kingdom of God (i.e., the Church of Christ), but—since Ezekiel sees the temple as a finished building—(as) the Kingdom of God established by Christ in its perfect form.</w:t>
      </w:r>
    </w:p>
    <w:p w14:paraId="042EAA29">
      <w:pPr>
        <w:pStyle w:val="9"/>
        <w:spacing w:before="17"/>
        <w:ind w:left="0"/>
        <w:jc w:val="left"/>
        <w:rPr>
          <w:rFonts w:hint="eastAsia"/>
        </w:rPr>
      </w:pPr>
      <w:r>
        <w:rPr>
          <w:rFonts w:hint="eastAsia"/>
        </w:rPr>
        <w:t>他理解以西结的异象并非描绘神的新国度（即基督的教会）的兴起与发展，而是——因为以西结看到圣殿是一座已完工的建筑——（描绘）由基督建立的、处于其完美形态的神的国度。</w:t>
      </w:r>
    </w:p>
    <w:p w14:paraId="527F43BC">
      <w:pPr>
        <w:pStyle w:val="9"/>
        <w:spacing w:before="17"/>
        <w:ind w:left="0"/>
        <w:jc w:val="left"/>
        <w:rPr>
          <w:rFonts w:hint="eastAsia"/>
        </w:rPr>
      </w:pPr>
    </w:p>
    <w:p w14:paraId="1A70413A">
      <w:pPr>
        <w:pStyle w:val="9"/>
        <w:spacing w:before="17"/>
        <w:ind w:left="0"/>
        <w:jc w:val="left"/>
        <w:rPr>
          <w:rFonts w:hint="eastAsia"/>
        </w:rPr>
      </w:pPr>
      <w:r>
        <w:rPr>
          <w:rFonts w:hint="eastAsia"/>
        </w:rPr>
        <w:t>It is the Old Testament outline of the New Testament picture of the heavenly Jerusalem of the New Earth, as set forth in Rev. 21-22.</w:t>
      </w:r>
    </w:p>
    <w:p w14:paraId="3EEED824">
      <w:pPr>
        <w:pStyle w:val="9"/>
        <w:spacing w:before="17"/>
        <w:ind w:left="0"/>
        <w:jc w:val="left"/>
        <w:rPr>
          <w:rFonts w:hint="eastAsia"/>
        </w:rPr>
      </w:pPr>
      <w:r>
        <w:rPr>
          <w:rFonts w:hint="eastAsia"/>
        </w:rPr>
        <w:t>这是对新约中关于新地上属天耶路撒冷之图景的旧约式勾勒，正如启示录21-22章所阐述的。</w:t>
      </w:r>
    </w:p>
    <w:p w14:paraId="3257C22E">
      <w:pPr>
        <w:pStyle w:val="9"/>
        <w:spacing w:before="17"/>
        <w:ind w:left="0"/>
        <w:jc w:val="left"/>
        <w:rPr>
          <w:rFonts w:hint="eastAsia"/>
        </w:rPr>
      </w:pPr>
    </w:p>
    <w:p w14:paraId="015AEF4C">
      <w:pPr>
        <w:pStyle w:val="9"/>
        <w:spacing w:before="17"/>
        <w:ind w:left="0"/>
        <w:jc w:val="left"/>
        <w:rPr>
          <w:rFonts w:hint="eastAsia"/>
        </w:rPr>
      </w:pPr>
      <w:r>
        <w:rPr>
          <w:rFonts w:hint="eastAsia"/>
        </w:rPr>
        <w:t>It is the Father’s house of many mansions, heaven itself, the city of God coming down from heaven upon the New Earth, built of gold, precious stones and pearls, and illumined with the light of the glory of the Lord, all of which takes place after the final judgment has been consummated.7</w:t>
      </w:r>
    </w:p>
    <w:p w14:paraId="7FB2E757">
      <w:pPr>
        <w:pStyle w:val="9"/>
        <w:spacing w:before="17"/>
        <w:ind w:left="0"/>
        <w:jc w:val="left"/>
        <w:rPr>
          <w:rFonts w:hint="eastAsia"/>
        </w:rPr>
      </w:pPr>
      <w:r>
        <w:rPr>
          <w:rFonts w:hint="eastAsia"/>
        </w:rPr>
        <w:t>它是父家里有许多住处的地方，是天国本身，是神的城从天而降在新地上，用金、宝石和珍珠建造，并被主荣耀的光所照亮，所有这一切都发生在最后的审判完成之后。7</w:t>
      </w:r>
    </w:p>
    <w:p w14:paraId="2518964F">
      <w:pPr>
        <w:pStyle w:val="9"/>
        <w:spacing w:before="17"/>
        <w:ind w:left="0"/>
        <w:jc w:val="left"/>
        <w:rPr>
          <w:rFonts w:hint="eastAsia"/>
        </w:rPr>
      </w:pPr>
    </w:p>
    <w:p w14:paraId="0B6355B8">
      <w:pPr>
        <w:pStyle w:val="9"/>
        <w:spacing w:before="17"/>
        <w:ind w:left="0"/>
        <w:jc w:val="left"/>
        <w:rPr>
          <w:rFonts w:hint="eastAsia"/>
        </w:rPr>
      </w:pPr>
      <w:r>
        <w:rPr>
          <w:rFonts w:hint="eastAsia"/>
        </w:rPr>
        <w:t>Premillennarian Dissension</w:t>
      </w:r>
    </w:p>
    <w:p w14:paraId="3CA719C7">
      <w:pPr>
        <w:pStyle w:val="9"/>
        <w:spacing w:before="17"/>
        <w:ind w:left="0"/>
        <w:jc w:val="left"/>
        <w:rPr>
          <w:rFonts w:hint="eastAsia"/>
        </w:rPr>
      </w:pPr>
      <w:r>
        <w:rPr>
          <w:rFonts w:hint="eastAsia"/>
        </w:rPr>
        <w:t>前千禧年派的异议</w:t>
      </w:r>
    </w:p>
    <w:p w14:paraId="5CD8689A">
      <w:pPr>
        <w:pStyle w:val="9"/>
        <w:spacing w:before="17"/>
        <w:ind w:left="0"/>
        <w:jc w:val="left"/>
        <w:rPr>
          <w:rFonts w:hint="eastAsia"/>
        </w:rPr>
      </w:pPr>
    </w:p>
    <w:p w14:paraId="5EF9E240">
      <w:pPr>
        <w:pStyle w:val="9"/>
        <w:spacing w:before="17"/>
        <w:ind w:left="0"/>
        <w:jc w:val="left"/>
        <w:rPr>
          <w:rFonts w:hint="eastAsia"/>
        </w:rPr>
      </w:pPr>
      <w:r>
        <w:rPr>
          <w:rFonts w:hint="eastAsia"/>
        </w:rPr>
        <w:t>Despite the historic consensus in favor of a figurative, New Covenant interpretation of this text, many modern evangelicals dissent.</w:t>
      </w:r>
    </w:p>
    <w:p w14:paraId="2217C775">
      <w:pPr>
        <w:pStyle w:val="9"/>
        <w:spacing w:before="17"/>
        <w:ind w:left="0"/>
        <w:jc w:val="left"/>
        <w:rPr>
          <w:rFonts w:hint="eastAsia"/>
        </w:rPr>
      </w:pPr>
      <w:r>
        <w:rPr>
          <w:rFonts w:hint="eastAsia"/>
        </w:rPr>
        <w:t>尽管历史上对这段经文的比喻性、新约式解释存在共识，但许多现代福音派人士持不同意见。</w:t>
      </w:r>
    </w:p>
    <w:p w14:paraId="37FC0EBB">
      <w:pPr>
        <w:pStyle w:val="9"/>
        <w:spacing w:before="17"/>
        <w:ind w:left="0"/>
        <w:jc w:val="left"/>
        <w:rPr>
          <w:rFonts w:hint="eastAsia"/>
        </w:rPr>
      </w:pPr>
    </w:p>
    <w:p w14:paraId="3EC3B678">
      <w:pPr>
        <w:pStyle w:val="9"/>
        <w:spacing w:before="17"/>
        <w:ind w:left="0"/>
        <w:jc w:val="left"/>
        <w:rPr>
          <w:rFonts w:hint="eastAsia"/>
        </w:rPr>
      </w:pPr>
      <w:r>
        <w:rPr>
          <w:rFonts w:hint="eastAsia"/>
        </w:rPr>
        <w:t>They include such notable premillennarians as D. Brown, A. Bonar, A. Gaebelein, A. Saphir, G. Morgan, C. Scofield, C. Feinberg, D. Pentecost, M. Unger, J. Walvoord, C. Ryrie, and J. McArthur.</w:t>
      </w:r>
    </w:p>
    <w:p w14:paraId="1721E680">
      <w:pPr>
        <w:pStyle w:val="9"/>
        <w:spacing w:before="17"/>
        <w:ind w:left="0"/>
        <w:jc w:val="left"/>
        <w:rPr>
          <w:rFonts w:hint="eastAsia"/>
        </w:rPr>
      </w:pPr>
      <w:r>
        <w:rPr>
          <w:rFonts w:hint="eastAsia"/>
        </w:rPr>
        <w:t>他们包括像D.布朗、A.博纳、A.加伯林、A.萨菲尔、G.摩根、C.司可福、C.范伯格、D.彭德科、M.安格、J.华富德、C.莱瑞和J.麦克阿瑟等著名的前千禧年派学者。</w:t>
      </w:r>
    </w:p>
    <w:p w14:paraId="2A4C566D">
      <w:pPr>
        <w:pStyle w:val="9"/>
        <w:spacing w:before="17"/>
        <w:ind w:left="0"/>
        <w:jc w:val="left"/>
        <w:rPr>
          <w:rFonts w:hint="eastAsia"/>
        </w:rPr>
      </w:pPr>
    </w:p>
    <w:p w14:paraId="5D094E80">
      <w:pPr>
        <w:pStyle w:val="9"/>
        <w:spacing w:before="17"/>
        <w:ind w:left="0"/>
        <w:jc w:val="left"/>
        <w:rPr>
          <w:rFonts w:hint="eastAsia"/>
        </w:rPr>
      </w:pPr>
      <w:r>
        <w:rPr>
          <w:rFonts w:hint="eastAsia"/>
        </w:rPr>
        <w:t>Though differences exist among them, all would agree with Gaebelein when he writes:</w:t>
      </w:r>
    </w:p>
    <w:p w14:paraId="5B5CDF80">
      <w:pPr>
        <w:pStyle w:val="9"/>
        <w:spacing w:before="17"/>
        <w:ind w:left="0"/>
        <w:jc w:val="left"/>
        <w:rPr>
          <w:rFonts w:hint="eastAsia"/>
        </w:rPr>
      </w:pPr>
      <w:r>
        <w:rPr>
          <w:rFonts w:hint="eastAsia"/>
        </w:rPr>
        <w:t>尽管他们之间存在差异，但当加伯林（Gaebelein）写道：</w:t>
      </w:r>
    </w:p>
    <w:p w14:paraId="6E6A030E">
      <w:pPr>
        <w:pStyle w:val="9"/>
        <w:spacing w:before="17"/>
        <w:ind w:left="0"/>
        <w:jc w:val="left"/>
        <w:rPr>
          <w:rFonts w:hint="eastAsia"/>
        </w:rPr>
      </w:pPr>
    </w:p>
    <w:p w14:paraId="66761659">
      <w:pPr>
        <w:pStyle w:val="9"/>
        <w:spacing w:before="17"/>
        <w:ind w:left="0"/>
        <w:jc w:val="left"/>
        <w:rPr>
          <w:rFonts w:hint="eastAsia"/>
        </w:rPr>
      </w:pPr>
      <w:r>
        <w:rPr>
          <w:rFonts w:hint="eastAsia"/>
        </w:rPr>
        <w:t>The true interpretation is the literal one, which looks upon these chapters as a prophecy yet unfulfilled and to be fulfilled when Israel has been restored by the Shepherd and when His glory is once more manifested in the midst of His people.</w:t>
      </w:r>
    </w:p>
    <w:p w14:paraId="44C2DC63">
      <w:pPr>
        <w:pStyle w:val="9"/>
        <w:spacing w:before="17"/>
        <w:ind w:left="0"/>
        <w:jc w:val="left"/>
        <w:rPr>
          <w:rFonts w:hint="eastAsia"/>
        </w:rPr>
      </w:pPr>
      <w:r>
        <w:rPr>
          <w:rFonts w:hint="eastAsia"/>
        </w:rPr>
        <w:t>真正的解释是字面解释，它将这几章视为一个尚未应验、并将在以色列被那位牧者复兴、祂的荣耀再次显现在祂子民中间时应验的预言。</w:t>
      </w:r>
    </w:p>
    <w:p w14:paraId="4E86C0D9">
      <w:pPr>
        <w:pStyle w:val="9"/>
        <w:spacing w:before="17"/>
        <w:ind w:left="0"/>
        <w:jc w:val="left"/>
        <w:rPr>
          <w:rFonts w:hint="eastAsia"/>
        </w:rPr>
      </w:pPr>
    </w:p>
    <w:p w14:paraId="45072B40">
      <w:pPr>
        <w:pStyle w:val="9"/>
        <w:spacing w:before="17"/>
        <w:ind w:left="0"/>
        <w:jc w:val="left"/>
        <w:rPr>
          <w:rFonts w:hint="eastAsia"/>
        </w:rPr>
      </w:pPr>
      <w:r>
        <w:rPr>
          <w:rFonts w:hint="eastAsia"/>
        </w:rPr>
        <w:t>This great building seen in his prophetic vision will then come into existence and will be accomplished.8</w:t>
      </w:r>
    </w:p>
    <w:p w14:paraId="4EF461FE">
      <w:pPr>
        <w:pStyle w:val="9"/>
        <w:spacing w:before="17"/>
        <w:ind w:left="0"/>
        <w:jc w:val="left"/>
        <w:rPr>
          <w:rFonts w:hint="eastAsia"/>
        </w:rPr>
      </w:pPr>
      <w:r>
        <w:rPr>
          <w:rFonts w:hint="eastAsia"/>
        </w:rPr>
        <w:t>在他先知异象中所见的这座宏伟建筑届时将会出现并得以建成。8</w:t>
      </w:r>
    </w:p>
    <w:p w14:paraId="22C3A36B">
      <w:pPr>
        <w:pStyle w:val="9"/>
        <w:spacing w:before="17"/>
        <w:ind w:left="0"/>
        <w:jc w:val="left"/>
        <w:rPr>
          <w:rFonts w:hint="eastAsia"/>
        </w:rPr>
      </w:pPr>
    </w:p>
    <w:p w14:paraId="57C80BA4">
      <w:pPr>
        <w:pStyle w:val="9"/>
        <w:spacing w:before="17"/>
        <w:ind w:left="0"/>
        <w:jc w:val="left"/>
        <w:rPr>
          <w:rFonts w:hint="eastAsia"/>
        </w:rPr>
      </w:pPr>
      <w:r>
        <w:rPr>
          <w:rFonts w:hint="eastAsia"/>
        </w:rPr>
        <w:t>Merrill Unger is equally dogmatic, asserting, “Ezekiel’s temple is a literal future sanctuary to be constructed in Palestine as outlined during the Millennium.”9</w:t>
      </w:r>
    </w:p>
    <w:p w14:paraId="207A5957">
      <w:pPr>
        <w:pStyle w:val="9"/>
        <w:spacing w:before="17"/>
        <w:ind w:left="0"/>
        <w:jc w:val="left"/>
        <w:rPr>
          <w:rFonts w:hint="eastAsia"/>
        </w:rPr>
      </w:pPr>
      <w:r>
        <w:rPr>
          <w:rFonts w:hint="eastAsia"/>
        </w:rPr>
        <w:t>梅里尔·安格（Merrill Unger）也同样武断地断言：“以西结的圣殿是一个字面意义上的未来圣所，将在千禧年期间按照所勾勒的蓝图在巴勒斯坦建造。”9</w:t>
      </w:r>
    </w:p>
    <w:p w14:paraId="17D75151">
      <w:pPr>
        <w:pStyle w:val="9"/>
        <w:spacing w:before="17"/>
        <w:ind w:left="0"/>
        <w:jc w:val="left"/>
        <w:rPr>
          <w:rFonts w:hint="eastAsia"/>
        </w:rPr>
      </w:pPr>
    </w:p>
    <w:p w14:paraId="641ECD7E">
      <w:pPr>
        <w:pStyle w:val="9"/>
        <w:spacing w:before="17"/>
        <w:ind w:left="0"/>
        <w:jc w:val="left"/>
        <w:rPr>
          <w:rFonts w:hint="eastAsia"/>
        </w:rPr>
      </w:pPr>
      <w:r>
        <w:rPr>
          <w:rFonts w:hint="eastAsia"/>
        </w:rPr>
        <w:t>Walvoord, likewise assuming that literalism is the only lawful approach to OTKP, goes so far as to say, “The only (view) which provides any intelligent explanation of this portion of Scripture is that which assigns Ezekiel’s temple to the future millennial period.”10</w:t>
      </w:r>
    </w:p>
    <w:p w14:paraId="2B9BE9F0">
      <w:pPr>
        <w:pStyle w:val="9"/>
        <w:spacing w:before="17"/>
        <w:ind w:left="0"/>
        <w:jc w:val="left"/>
        <w:rPr>
          <w:rFonts w:hint="eastAsia"/>
        </w:rPr>
      </w:pPr>
      <w:r>
        <w:rPr>
          <w:rFonts w:hint="eastAsia"/>
        </w:rPr>
        <w:t>华富德（Walvoord）同样假定字面主义是解释旧约国度预言的唯一合法方法，他甚至说：“唯一能对这部分经文提供任何明智解释的（观点），就是将以西结的圣殿归于未来的千禧年时期。”10</w:t>
      </w:r>
    </w:p>
    <w:p w14:paraId="4F34D8DE">
      <w:pPr>
        <w:pStyle w:val="9"/>
        <w:spacing w:before="17"/>
        <w:ind w:left="0"/>
        <w:jc w:val="left"/>
        <w:rPr>
          <w:rFonts w:hint="eastAsia"/>
        </w:rPr>
      </w:pPr>
    </w:p>
    <w:p w14:paraId="789AB8F2">
      <w:pPr>
        <w:pStyle w:val="9"/>
        <w:spacing w:before="17"/>
        <w:ind w:left="0"/>
        <w:jc w:val="left"/>
        <w:rPr>
          <w:rFonts w:hint="eastAsia"/>
        </w:rPr>
      </w:pPr>
      <w:r>
        <w:rPr>
          <w:rFonts w:hint="eastAsia"/>
        </w:rPr>
        <w:t>We have already seen, however, that there are a great many reasons for believing that it is, in fact, the literalism of the premillennarians that is unlawful; that Ezekiel himself, the whole edifice of NT eschatology, and a great many texts found in the Revelation, all concur in urging upon us a figurative, New Covenant interpretation of this “mysterious” vision.</w:t>
      </w:r>
    </w:p>
    <w:p w14:paraId="541FE8CD">
      <w:pPr>
        <w:pStyle w:val="9"/>
        <w:spacing w:before="17"/>
        <w:ind w:left="0"/>
        <w:jc w:val="left"/>
        <w:rPr>
          <w:rFonts w:hint="eastAsia"/>
        </w:rPr>
      </w:pPr>
      <w:r>
        <w:rPr>
          <w:rFonts w:hint="eastAsia"/>
        </w:rPr>
        <w:t>然而，我们已经看到，有许多理由相信，事实上，前千禧年派的字面主义才是非法的；以西结本人，整个新约末世论的架构，以及启示录中发现的许多经文，都一致地敦促我们对这个“奥秘”的异象采纳一种比喻性的、新约的解释。</w:t>
      </w:r>
    </w:p>
    <w:p w14:paraId="1A16EC70">
      <w:pPr>
        <w:pStyle w:val="9"/>
        <w:spacing w:before="17"/>
        <w:ind w:left="0"/>
        <w:jc w:val="left"/>
        <w:rPr>
          <w:rFonts w:hint="eastAsia"/>
        </w:rPr>
      </w:pPr>
    </w:p>
    <w:p w14:paraId="4343E39B">
      <w:pPr>
        <w:pStyle w:val="9"/>
        <w:spacing w:before="17"/>
        <w:ind w:left="0"/>
        <w:jc w:val="left"/>
        <w:rPr>
          <w:rFonts w:hint="eastAsia"/>
        </w:rPr>
      </w:pPr>
      <w:r>
        <w:rPr>
          <w:rFonts w:hint="eastAsia"/>
        </w:rPr>
        <w:t>I need not, then, devote a great deal of time to a critique of the premillennial view.</w:t>
      </w:r>
    </w:p>
    <w:p w14:paraId="44D9AB64">
      <w:pPr>
        <w:pStyle w:val="9"/>
        <w:spacing w:before="17"/>
        <w:ind w:left="0"/>
        <w:jc w:val="left"/>
        <w:rPr>
          <w:rFonts w:hint="eastAsia"/>
        </w:rPr>
      </w:pPr>
      <w:r>
        <w:rPr>
          <w:rFonts w:hint="eastAsia"/>
        </w:rPr>
        <w:t>因此，我无需花费大量时间来批判前千禧年派的观点。</w:t>
      </w:r>
    </w:p>
    <w:p w14:paraId="555899BA">
      <w:pPr>
        <w:pStyle w:val="9"/>
        <w:spacing w:before="17"/>
        <w:ind w:left="0"/>
        <w:jc w:val="left"/>
        <w:rPr>
          <w:rFonts w:hint="eastAsia"/>
        </w:rPr>
      </w:pPr>
    </w:p>
    <w:p w14:paraId="1084C69D">
      <w:pPr>
        <w:pStyle w:val="9"/>
        <w:spacing w:before="17"/>
        <w:ind w:left="0"/>
        <w:jc w:val="left"/>
        <w:rPr>
          <w:rFonts w:hint="eastAsia"/>
        </w:rPr>
      </w:pPr>
      <w:r>
        <w:rPr>
          <w:rFonts w:hint="eastAsia"/>
        </w:rPr>
        <w:t>Nevertheless, because this particular OTKP looms so large in the premillennarian canon, we will do well to spotlight some of the major problems incurred by going down this interpretive road.</w:t>
      </w:r>
    </w:p>
    <w:p w14:paraId="6EB846E5">
      <w:pPr>
        <w:pStyle w:val="9"/>
        <w:spacing w:before="17"/>
        <w:ind w:left="0"/>
        <w:jc w:val="left"/>
        <w:rPr>
          <w:rFonts w:hint="eastAsia"/>
        </w:rPr>
      </w:pPr>
      <w:r>
        <w:rPr>
          <w:rFonts w:hint="eastAsia"/>
        </w:rPr>
        <w:t>然而，由于这个特定的旧约国度预言在前千禧年派的正典中占有如此重要的地位，我们最好还是重点指出走上这条解释道路所招致的一些主要问题。</w:t>
      </w:r>
    </w:p>
    <w:p w14:paraId="2354A150">
      <w:pPr>
        <w:pStyle w:val="9"/>
        <w:spacing w:before="17"/>
        <w:ind w:left="0"/>
        <w:jc w:val="left"/>
        <w:rPr>
          <w:rFonts w:hint="eastAsia"/>
        </w:rPr>
      </w:pPr>
    </w:p>
    <w:p w14:paraId="7E62340E">
      <w:pPr>
        <w:pStyle w:val="9"/>
        <w:spacing w:before="17"/>
        <w:ind w:left="0"/>
        <w:jc w:val="left"/>
        <w:rPr>
          <w:rFonts w:hint="eastAsia"/>
        </w:rPr>
      </w:pPr>
      <w:r>
        <w:rPr>
          <w:rFonts w:hint="eastAsia"/>
        </w:rPr>
        <w:t>Premillennarian Problems</w:t>
      </w:r>
    </w:p>
    <w:p w14:paraId="0BAABDF9">
      <w:pPr>
        <w:pStyle w:val="9"/>
        <w:spacing w:before="17"/>
        <w:ind w:left="0"/>
        <w:jc w:val="left"/>
        <w:rPr>
          <w:rFonts w:hint="eastAsia"/>
        </w:rPr>
      </w:pPr>
      <w:r>
        <w:rPr>
          <w:rFonts w:hint="eastAsia"/>
        </w:rPr>
        <w:t>前千禧年派的问题</w:t>
      </w:r>
    </w:p>
    <w:p w14:paraId="01CE181F">
      <w:pPr>
        <w:pStyle w:val="9"/>
        <w:spacing w:before="17"/>
        <w:ind w:left="0"/>
        <w:jc w:val="left"/>
        <w:rPr>
          <w:rFonts w:hint="eastAsia"/>
        </w:rPr>
      </w:pPr>
    </w:p>
    <w:p w14:paraId="5E833B29">
      <w:pPr>
        <w:pStyle w:val="9"/>
        <w:spacing w:before="17"/>
        <w:ind w:left="0"/>
        <w:jc w:val="left"/>
        <w:rPr>
          <w:rFonts w:hint="eastAsia"/>
        </w:rPr>
      </w:pPr>
      <w:r>
        <w:rPr>
          <w:rFonts w:hint="eastAsia"/>
        </w:rPr>
        <w:t>First, the passage gives no indication whatsoever that the conditions described herein will last only for a thousand years.</w:t>
      </w:r>
    </w:p>
    <w:p w14:paraId="3C001F73">
      <w:pPr>
        <w:pStyle w:val="9"/>
        <w:spacing w:before="17"/>
        <w:ind w:left="0"/>
        <w:jc w:val="left"/>
        <w:rPr>
          <w:rFonts w:hint="eastAsia"/>
        </w:rPr>
      </w:pPr>
      <w:r>
        <w:rPr>
          <w:rFonts w:hint="eastAsia"/>
        </w:rPr>
        <w:t>首先，这段经文完全没有迹象表明此处描述的状况将只持续一千年。</w:t>
      </w:r>
    </w:p>
    <w:p w14:paraId="6FE20065">
      <w:pPr>
        <w:pStyle w:val="9"/>
        <w:spacing w:before="17"/>
        <w:ind w:left="0"/>
        <w:jc w:val="left"/>
        <w:rPr>
          <w:rFonts w:hint="eastAsia"/>
        </w:rPr>
      </w:pPr>
    </w:p>
    <w:p w14:paraId="23E798EB">
      <w:pPr>
        <w:pStyle w:val="9"/>
        <w:spacing w:before="17"/>
        <w:ind w:left="0"/>
        <w:jc w:val="left"/>
        <w:rPr>
          <w:rFonts w:hint="eastAsia"/>
        </w:rPr>
      </w:pPr>
      <w:r>
        <w:rPr>
          <w:rFonts w:hint="eastAsia"/>
        </w:rPr>
        <w:t>To the contrary, God explicitly states that this Temple will remain the seat of his throne and the footstool of his feet forever (43:7).</w:t>
      </w:r>
    </w:p>
    <w:p w14:paraId="17F071F9">
      <w:pPr>
        <w:pStyle w:val="9"/>
        <w:spacing w:before="17"/>
        <w:ind w:left="0"/>
        <w:jc w:val="left"/>
        <w:rPr>
          <w:rFonts w:hint="eastAsia"/>
        </w:rPr>
      </w:pPr>
      <w:r>
        <w:rPr>
          <w:rFonts w:hint="eastAsia"/>
        </w:rPr>
        <w:t>相反，神明确指出，这殿将永远是祂宝座的所在和祂脚凳之处（43:7）。</w:t>
      </w:r>
    </w:p>
    <w:p w14:paraId="65AD93A9">
      <w:pPr>
        <w:pStyle w:val="9"/>
        <w:spacing w:before="17"/>
        <w:ind w:left="0"/>
        <w:jc w:val="left"/>
        <w:rPr>
          <w:rFonts w:hint="eastAsia"/>
        </w:rPr>
      </w:pPr>
    </w:p>
    <w:p w14:paraId="78D0FA13">
      <w:pPr>
        <w:pStyle w:val="9"/>
        <w:spacing w:before="17"/>
        <w:ind w:left="0"/>
        <w:jc w:val="left"/>
        <w:rPr>
          <w:rFonts w:hint="eastAsia"/>
        </w:rPr>
      </w:pPr>
      <w:r>
        <w:rPr>
          <w:rFonts w:hint="eastAsia"/>
        </w:rPr>
        <w:t>It is in this Temple, this Land, and this City that he will dwell among his people forever (43:9).</w:t>
      </w:r>
    </w:p>
    <w:p w14:paraId="6A31AD6A">
      <w:pPr>
        <w:pStyle w:val="9"/>
        <w:spacing w:before="17"/>
        <w:ind w:left="0"/>
        <w:jc w:val="left"/>
        <w:rPr>
          <w:rFonts w:hint="eastAsia"/>
        </w:rPr>
      </w:pPr>
      <w:r>
        <w:rPr>
          <w:rFonts w:hint="eastAsia"/>
        </w:rPr>
        <w:t>正是在这殿、这地和这城中，祂将永远住在祂的子民中间（43:9）。</w:t>
      </w:r>
    </w:p>
    <w:p w14:paraId="1386836D">
      <w:pPr>
        <w:pStyle w:val="9"/>
        <w:spacing w:before="17"/>
        <w:ind w:left="0"/>
        <w:jc w:val="left"/>
        <w:rPr>
          <w:rFonts w:hint="eastAsia"/>
        </w:rPr>
      </w:pPr>
    </w:p>
    <w:p w14:paraId="326AC285">
      <w:pPr>
        <w:pStyle w:val="9"/>
        <w:spacing w:before="17"/>
        <w:ind w:left="0"/>
        <w:jc w:val="left"/>
        <w:rPr>
          <w:rFonts w:hint="eastAsia"/>
        </w:rPr>
      </w:pPr>
      <w:r>
        <w:rPr>
          <w:rFonts w:hint="eastAsia"/>
        </w:rPr>
        <w:t>But even if God had not so spoken (both here and in Ezekiel 37:24-28), who can read the text as a whole without concluding that it is indeed designed to encourage God’s people with a vision of the eternal World to Come: a world from which all foreign enemies have been disbarred; a world in which God himself permanently dwells among them; and a world into which he continually sends healing waters so as to effect and maintain the ultimate restoration all things?</w:t>
      </w:r>
    </w:p>
    <w:p w14:paraId="2F2C12D7">
      <w:pPr>
        <w:pStyle w:val="9"/>
        <w:spacing w:before="17"/>
        <w:ind w:left="0"/>
        <w:jc w:val="left"/>
        <w:rPr>
          <w:rFonts w:hint="eastAsia"/>
        </w:rPr>
      </w:pPr>
      <w:r>
        <w:rPr>
          <w:rFonts w:hint="eastAsia"/>
        </w:rPr>
        <w:t>但即使神没有这样说（在这里和以西结书37:24-28中），谁能通读整篇经文而不得出结论，它确实是为了用一个永恒的未来世界的异象来鼓励神的子民：一个所有外敌都被排除在外的世界；一个神自己永久居住在他们中间的世界；以及一个祂不断地送出医治之水以实现并维持万物最终复兴的世界？</w:t>
      </w:r>
    </w:p>
    <w:p w14:paraId="6B208E7B">
      <w:pPr>
        <w:pStyle w:val="9"/>
        <w:spacing w:before="17"/>
        <w:ind w:left="0"/>
        <w:jc w:val="left"/>
        <w:rPr>
          <w:rFonts w:hint="eastAsia"/>
        </w:rPr>
      </w:pPr>
    </w:p>
    <w:p w14:paraId="17CE5F8E">
      <w:pPr>
        <w:pStyle w:val="9"/>
        <w:spacing w:before="17"/>
        <w:ind w:left="0"/>
        <w:jc w:val="left"/>
        <w:rPr>
          <w:rFonts w:hint="eastAsia"/>
        </w:rPr>
      </w:pPr>
      <w:r>
        <w:rPr>
          <w:rFonts w:hint="eastAsia"/>
        </w:rPr>
        <w:t>Secondly, on the assumption that our text does indeed speak of the World to Come, a literal interpretation requires us to believe that sin and death will endure forever (42:13,19, 44:27, 43:18, 27, 44:25, 45:15).</w:t>
      </w:r>
    </w:p>
    <w:p w14:paraId="7CDA14B2">
      <w:pPr>
        <w:pStyle w:val="9"/>
        <w:spacing w:before="17"/>
        <w:ind w:left="0"/>
        <w:jc w:val="left"/>
        <w:rPr>
          <w:rFonts w:hint="eastAsia"/>
        </w:rPr>
      </w:pPr>
      <w:r>
        <w:rPr>
          <w:rFonts w:hint="eastAsia"/>
        </w:rPr>
        <w:t>其次，假设我们的经文确实在谈论未来世界，那么字面解释就要求我们相信罪和死将永远存留（42:13,19, 44:27, 43:18, 27, 44:25, 45:15）。</w:t>
      </w:r>
    </w:p>
    <w:p w14:paraId="53DF6796">
      <w:pPr>
        <w:pStyle w:val="9"/>
        <w:spacing w:before="17"/>
        <w:ind w:left="0"/>
        <w:jc w:val="left"/>
        <w:rPr>
          <w:rFonts w:hint="eastAsia"/>
        </w:rPr>
      </w:pPr>
    </w:p>
    <w:p w14:paraId="74540701">
      <w:pPr>
        <w:pStyle w:val="9"/>
        <w:spacing w:before="17"/>
        <w:ind w:left="0"/>
        <w:jc w:val="left"/>
        <w:rPr>
          <w:rFonts w:hint="eastAsia"/>
        </w:rPr>
      </w:pPr>
      <w:r>
        <w:rPr>
          <w:rFonts w:hint="eastAsia"/>
        </w:rPr>
        <w:t>Yet the NT assures us that in the new heavens and the new earth, they shall be utterly swallowed up in victory (1 Cor. 15:20-28, 50-58, Rev. 21:4).</w:t>
      </w:r>
    </w:p>
    <w:p w14:paraId="5F8959D4">
      <w:pPr>
        <w:pStyle w:val="9"/>
        <w:spacing w:before="17"/>
        <w:ind w:left="0"/>
        <w:jc w:val="left"/>
        <w:rPr>
          <w:rFonts w:hint="eastAsia"/>
        </w:rPr>
      </w:pPr>
      <w:r>
        <w:rPr>
          <w:rFonts w:hint="eastAsia"/>
        </w:rPr>
        <w:t>然而新约向我们保证，在新天新地里，它们将被得胜完全吞灭（哥林多前书15:20-28, 50-58，启示录21:4）。</w:t>
      </w:r>
    </w:p>
    <w:p w14:paraId="639A2A33">
      <w:pPr>
        <w:pStyle w:val="9"/>
        <w:spacing w:before="17"/>
        <w:ind w:left="0"/>
        <w:jc w:val="left"/>
        <w:rPr>
          <w:rFonts w:hint="eastAsia"/>
        </w:rPr>
      </w:pPr>
    </w:p>
    <w:p w14:paraId="147D95F7">
      <w:pPr>
        <w:pStyle w:val="9"/>
        <w:spacing w:before="17"/>
        <w:ind w:left="0"/>
        <w:jc w:val="left"/>
        <w:rPr>
          <w:rFonts w:hint="eastAsia"/>
        </w:rPr>
      </w:pPr>
      <w:r>
        <w:rPr>
          <w:rFonts w:hint="eastAsia"/>
        </w:rPr>
        <w:t>A covenantal and typological interpretation of Ezekiel is the only way of escape.</w:t>
      </w:r>
    </w:p>
    <w:p w14:paraId="1ACA151E">
      <w:pPr>
        <w:pStyle w:val="9"/>
        <w:spacing w:before="17"/>
        <w:ind w:left="0"/>
        <w:jc w:val="left"/>
        <w:rPr>
          <w:rFonts w:hint="eastAsia"/>
        </w:rPr>
      </w:pPr>
      <w:r>
        <w:rPr>
          <w:rFonts w:hint="eastAsia"/>
        </w:rPr>
        <w:t>对以西结书进行圣约性和预表性的解释是唯一的出路。</w:t>
      </w:r>
    </w:p>
    <w:p w14:paraId="5CFD8C09">
      <w:pPr>
        <w:pStyle w:val="9"/>
        <w:spacing w:before="17"/>
        <w:ind w:left="0"/>
        <w:jc w:val="left"/>
        <w:rPr>
          <w:rFonts w:hint="eastAsia"/>
        </w:rPr>
      </w:pPr>
    </w:p>
    <w:p w14:paraId="0BF50A78">
      <w:pPr>
        <w:pStyle w:val="9"/>
        <w:spacing w:before="17"/>
        <w:ind w:left="0"/>
        <w:jc w:val="left"/>
        <w:rPr>
          <w:rFonts w:hint="eastAsia"/>
        </w:rPr>
      </w:pPr>
      <w:r>
        <w:rPr>
          <w:rFonts w:hint="eastAsia"/>
        </w:rPr>
        <w:t>Thirdly, even if we dodged these reasonable conclusions by allowing that the vision describes a temporary, millennial phase of the Kingdom, the literal method of interpretation would still require us to affirm that in the Millennium God will once again command his Jewish priests to offer animal sacrifices in order to make atonement for sin(s) (43:26, 45:17, 45:20).</w:t>
      </w:r>
    </w:p>
    <w:p w14:paraId="78F3F7BB">
      <w:pPr>
        <w:pStyle w:val="9"/>
        <w:spacing w:before="17"/>
        <w:ind w:left="0"/>
        <w:jc w:val="left"/>
        <w:rPr>
          <w:rFonts w:hint="eastAsia"/>
        </w:rPr>
      </w:pPr>
      <w:r>
        <w:rPr>
          <w:rFonts w:hint="eastAsia"/>
        </w:rPr>
        <w:t>第三，即使我们通过允许这异象描述一个暂时的、千禧年的国度阶段来回避这些合理的结论，字面解释法仍然要求我们肯定，在千禧年中，神将再次命令祂的犹太祭司献上动物祭，以为罪（复数）赎罪（43:26, 45:17, 45:20）。</w:t>
      </w:r>
    </w:p>
    <w:p w14:paraId="78D815BC">
      <w:pPr>
        <w:pStyle w:val="9"/>
        <w:spacing w:before="17"/>
        <w:ind w:left="0"/>
        <w:jc w:val="left"/>
        <w:rPr>
          <w:rFonts w:hint="eastAsia"/>
        </w:rPr>
      </w:pPr>
    </w:p>
    <w:p w14:paraId="522EABD4">
      <w:pPr>
        <w:pStyle w:val="9"/>
        <w:spacing w:before="17"/>
        <w:ind w:left="0"/>
        <w:jc w:val="left"/>
        <w:rPr>
          <w:rFonts w:hint="eastAsia"/>
        </w:rPr>
      </w:pPr>
      <w:r>
        <w:rPr>
          <w:rFonts w:hint="eastAsia"/>
        </w:rPr>
        <w:t>This is, of course, scandalous to a mind saturated in NT truth.</w:t>
      </w:r>
    </w:p>
    <w:p w14:paraId="17DE22CB">
      <w:pPr>
        <w:pStyle w:val="9"/>
        <w:spacing w:before="17"/>
        <w:ind w:left="0"/>
        <w:jc w:val="left"/>
        <w:rPr>
          <w:rFonts w:hint="eastAsia"/>
        </w:rPr>
      </w:pPr>
      <w:r>
        <w:rPr>
          <w:rFonts w:hint="eastAsia"/>
        </w:rPr>
        <w:t>这对于一个沉浸在新约真理中的头脑来说，当然是令人反感的。</w:t>
      </w:r>
    </w:p>
    <w:p w14:paraId="56C1711F">
      <w:pPr>
        <w:pStyle w:val="9"/>
        <w:spacing w:before="17"/>
        <w:ind w:left="0"/>
        <w:jc w:val="left"/>
        <w:rPr>
          <w:rFonts w:hint="eastAsia"/>
        </w:rPr>
      </w:pPr>
    </w:p>
    <w:p w14:paraId="10734703">
      <w:pPr>
        <w:pStyle w:val="9"/>
        <w:spacing w:before="17"/>
        <w:ind w:left="0"/>
        <w:jc w:val="left"/>
        <w:rPr>
          <w:rFonts w:hint="eastAsia"/>
        </w:rPr>
      </w:pPr>
      <w:r>
        <w:rPr>
          <w:rFonts w:hint="eastAsia"/>
        </w:rPr>
        <w:t>Every student of Christ and the apostles understands that OT animal sacrifices had no intrinsic redemptive power, but were instead mere types and shadows of the one true sacrifice for sin: Christ crucified (John 1:29, 36, Mt. 20:28, Heb. 10:1-18).</w:t>
      </w:r>
    </w:p>
    <w:p w14:paraId="2FEC164C">
      <w:pPr>
        <w:pStyle w:val="9"/>
        <w:spacing w:before="17"/>
        <w:ind w:left="0"/>
        <w:jc w:val="left"/>
        <w:rPr>
          <w:rFonts w:hint="eastAsia"/>
        </w:rPr>
      </w:pPr>
      <w:r>
        <w:rPr>
          <w:rFonts w:hint="eastAsia"/>
        </w:rPr>
        <w:t>每一位学习基督和使徒的人都明白，旧约的动物献祭没有内在的救赎能力，而只是那一次为罪献上的真祭的预表和影像：被钉十字架的基督（约翰福音1:29, 36，马太福音20:28，希伯来书10:1-18）。</w:t>
      </w:r>
    </w:p>
    <w:p w14:paraId="2A485AB2">
      <w:pPr>
        <w:pStyle w:val="9"/>
        <w:spacing w:before="17"/>
        <w:ind w:left="0"/>
        <w:jc w:val="left"/>
        <w:rPr>
          <w:rFonts w:hint="eastAsia"/>
        </w:rPr>
      </w:pPr>
    </w:p>
    <w:p w14:paraId="33A7DD47">
      <w:pPr>
        <w:pStyle w:val="9"/>
        <w:spacing w:before="17"/>
        <w:ind w:left="0"/>
        <w:jc w:val="left"/>
        <w:rPr>
          <w:rFonts w:hint="eastAsia"/>
        </w:rPr>
      </w:pPr>
      <w:r>
        <w:rPr>
          <w:rFonts w:hint="eastAsia"/>
        </w:rPr>
        <w:t>Indeed, in order to underscore the omni-sufficiency of this sacrifice, the writer to the Hebrews asserts on at least four separate occasions that it was a “once and for all” sacrifice; that it was offered once for all God’s people (whether OT saints or New), once for all their sins (past, present, and future), and therefore once for all time (Heb. 7:27, 9:12, 26, 10:12).</w:t>
      </w:r>
    </w:p>
    <w:p w14:paraId="7E9496EF">
      <w:pPr>
        <w:pStyle w:val="9"/>
        <w:spacing w:before="17"/>
        <w:ind w:left="0"/>
        <w:jc w:val="left"/>
        <w:rPr>
          <w:rFonts w:hint="eastAsia"/>
        </w:rPr>
      </w:pPr>
      <w:r>
        <w:rPr>
          <w:rFonts w:hint="eastAsia"/>
        </w:rPr>
        <w:t>事实上，为了强调这次献祭的全能充足性，希伯来书的作者至少在四个不同的场合断言，那是一次“一劳永逸”的献祭；那是一次为神所有的子民（无论是旧约圣徒还是新约圣徒）、为他们所有的罪（过去、现在和将来）献上的祭，因此是一次为所有时间献上的祭（希伯来书7:27, 9:12, 26, 10:12）。</w:t>
      </w:r>
    </w:p>
    <w:p w14:paraId="03013C50">
      <w:pPr>
        <w:pStyle w:val="9"/>
        <w:spacing w:before="17"/>
        <w:ind w:left="0"/>
        <w:jc w:val="left"/>
        <w:rPr>
          <w:rFonts w:hint="eastAsia"/>
        </w:rPr>
      </w:pPr>
    </w:p>
    <w:p w14:paraId="085D9F00">
      <w:pPr>
        <w:pStyle w:val="9"/>
        <w:spacing w:before="17"/>
        <w:ind w:left="0"/>
        <w:jc w:val="left"/>
        <w:rPr>
          <w:rFonts w:hint="eastAsia"/>
        </w:rPr>
      </w:pPr>
      <w:r>
        <w:rPr>
          <w:rFonts w:hint="eastAsia"/>
        </w:rPr>
        <w:t>And there is more.</w:t>
      </w:r>
    </w:p>
    <w:p w14:paraId="1C7B2158">
      <w:pPr>
        <w:pStyle w:val="9"/>
        <w:spacing w:before="17"/>
        <w:ind w:left="0"/>
        <w:jc w:val="left"/>
        <w:rPr>
          <w:rFonts w:hint="eastAsia"/>
        </w:rPr>
      </w:pPr>
      <w:r>
        <w:rPr>
          <w:rFonts w:hint="eastAsia"/>
        </w:rPr>
        <w:t>还有更多。</w:t>
      </w:r>
    </w:p>
    <w:p w14:paraId="6580336B">
      <w:pPr>
        <w:pStyle w:val="9"/>
        <w:spacing w:before="17"/>
        <w:ind w:left="0"/>
        <w:jc w:val="left"/>
        <w:rPr>
          <w:rFonts w:hint="eastAsia"/>
        </w:rPr>
      </w:pPr>
    </w:p>
    <w:p w14:paraId="24E81F58">
      <w:pPr>
        <w:pStyle w:val="9"/>
        <w:spacing w:before="17"/>
        <w:ind w:left="0"/>
        <w:jc w:val="left"/>
        <w:rPr>
          <w:rFonts w:hint="eastAsia"/>
        </w:rPr>
      </w:pPr>
      <w:r>
        <w:rPr>
          <w:rFonts w:hint="eastAsia"/>
        </w:rPr>
        <w:t>In order to highlight still further the absolute finality and eternal efficacy of Christ’s sacrifice for sin, the same writer repeatedly associates it with his heavenly priesthood.</w:t>
      </w:r>
    </w:p>
    <w:p w14:paraId="0B83A170">
      <w:pPr>
        <w:pStyle w:val="9"/>
        <w:spacing w:before="17"/>
        <w:ind w:left="0"/>
        <w:jc w:val="left"/>
        <w:rPr>
          <w:rFonts w:hint="eastAsia"/>
        </w:rPr>
      </w:pPr>
      <w:r>
        <w:rPr>
          <w:rFonts w:hint="eastAsia"/>
        </w:rPr>
        <w:t>为了进一步凸显基督为罪所献之祭的绝对终极性和永恒功效，同一位作者反复将其与祂属天的祭司职分联系起来。</w:t>
      </w:r>
    </w:p>
    <w:p w14:paraId="166E2615">
      <w:pPr>
        <w:pStyle w:val="9"/>
        <w:spacing w:before="17"/>
        <w:ind w:left="0"/>
        <w:jc w:val="left"/>
        <w:rPr>
          <w:rFonts w:hint="eastAsia"/>
        </w:rPr>
      </w:pPr>
    </w:p>
    <w:p w14:paraId="0C54AF80">
      <w:pPr>
        <w:pStyle w:val="9"/>
        <w:spacing w:before="17"/>
        <w:ind w:left="0"/>
        <w:jc w:val="left"/>
        <w:rPr>
          <w:rFonts w:hint="eastAsia"/>
        </w:rPr>
      </w:pPr>
      <w:r>
        <w:rPr>
          <w:rFonts w:hint="eastAsia"/>
        </w:rPr>
        <w:t>Having died, risen, and ascended into the Holiest of All (i.e., heaven), our Great High Priest and Sacrifice now appears in the presence of God the Father for us, and he will do so forever, pleading the legal merits of his righteous life and atoning death on behalf of his own (Heb. 7:11-28, 9:24).</w:t>
      </w:r>
    </w:p>
    <w:p w14:paraId="0F9182D2">
      <w:pPr>
        <w:pStyle w:val="9"/>
        <w:spacing w:before="17"/>
        <w:ind w:left="0"/>
        <w:jc w:val="left"/>
        <w:rPr>
          <w:rFonts w:hint="eastAsia"/>
        </w:rPr>
      </w:pPr>
      <w:r>
        <w:rPr>
          <w:rFonts w:hint="eastAsia"/>
        </w:rPr>
        <w:t>我们的大祭司和祭物，在死了、复活了、并升入至圣所（即天堂）之后，如今在父神面前为我们显现，并且祂将永远如此，为祂自己的人代求祂公义生命和赎罪死亡的法理功绩（希伯来书7:11-28, 9:24）。</w:t>
      </w:r>
    </w:p>
    <w:p w14:paraId="7346C6B0">
      <w:pPr>
        <w:pStyle w:val="9"/>
        <w:spacing w:before="17"/>
        <w:ind w:left="0"/>
        <w:jc w:val="left"/>
        <w:rPr>
          <w:rFonts w:hint="eastAsia"/>
        </w:rPr>
      </w:pPr>
    </w:p>
    <w:p w14:paraId="1DBD6B11">
      <w:pPr>
        <w:pStyle w:val="9"/>
        <w:spacing w:before="17"/>
        <w:ind w:left="0"/>
        <w:jc w:val="left"/>
        <w:rPr>
          <w:rFonts w:hint="eastAsia"/>
        </w:rPr>
      </w:pPr>
      <w:r>
        <w:rPr>
          <w:rFonts w:hint="eastAsia"/>
        </w:rPr>
        <w:t>Just as the OT foretold, Christ is an eternal High Priest according to the order of Melchizedek (Psalm 110:4, Heb. 7:1f).</w:t>
      </w:r>
    </w:p>
    <w:p w14:paraId="4301DDF2">
      <w:pPr>
        <w:pStyle w:val="9"/>
        <w:spacing w:before="17"/>
        <w:ind w:left="0"/>
        <w:jc w:val="left"/>
        <w:rPr>
          <w:rFonts w:hint="eastAsia"/>
        </w:rPr>
      </w:pPr>
      <w:r>
        <w:rPr>
          <w:rFonts w:hint="eastAsia"/>
        </w:rPr>
        <w:t>正如旧约所预言的，基督是照着麦基洗德的等次永远为祭司（诗篇110:4，希伯来书7:1及以下）。</w:t>
      </w:r>
    </w:p>
    <w:p w14:paraId="6DF8A458">
      <w:pPr>
        <w:pStyle w:val="9"/>
        <w:spacing w:before="17"/>
        <w:ind w:left="0"/>
        <w:jc w:val="left"/>
        <w:rPr>
          <w:rFonts w:hint="eastAsia"/>
        </w:rPr>
      </w:pPr>
    </w:p>
    <w:p w14:paraId="1044D347">
      <w:pPr>
        <w:pStyle w:val="9"/>
        <w:spacing w:before="17"/>
        <w:ind w:left="0"/>
        <w:jc w:val="left"/>
        <w:rPr>
          <w:rFonts w:hint="eastAsia"/>
        </w:rPr>
      </w:pPr>
      <w:r>
        <w:rPr>
          <w:rFonts w:hint="eastAsia"/>
        </w:rPr>
        <w:t>Is it, then, even possible, let alone tolerable, to think that God will once again ordain a thousand year regime of animal sacrifices—Mosaic or otherwise—in a future millennium?</w:t>
      </w:r>
    </w:p>
    <w:p w14:paraId="01BD72FE">
      <w:pPr>
        <w:pStyle w:val="9"/>
        <w:spacing w:before="17"/>
        <w:ind w:left="0"/>
        <w:jc w:val="left"/>
        <w:rPr>
          <w:rFonts w:hint="eastAsia"/>
        </w:rPr>
      </w:pPr>
      <w:r>
        <w:rPr>
          <w:rFonts w:hint="eastAsia"/>
        </w:rPr>
        <w:t>那么，在未来的千禧年中，认为神会再次命定一个为期千年的动物献祭制度——无论是摩西式的还是其他式的——这难道是可能的，更不用说可容忍的吗？</w:t>
      </w:r>
    </w:p>
    <w:p w14:paraId="6CD412B1">
      <w:pPr>
        <w:pStyle w:val="9"/>
        <w:spacing w:before="17"/>
        <w:ind w:left="0"/>
        <w:jc w:val="left"/>
        <w:rPr>
          <w:rFonts w:hint="eastAsia"/>
        </w:rPr>
      </w:pPr>
    </w:p>
    <w:p w14:paraId="547A6531">
      <w:pPr>
        <w:pStyle w:val="9"/>
        <w:spacing w:before="17"/>
        <w:ind w:left="0"/>
        <w:jc w:val="left"/>
        <w:rPr>
          <w:rFonts w:hint="eastAsia"/>
        </w:rPr>
      </w:pPr>
      <w:r>
        <w:rPr>
          <w:rFonts w:hint="eastAsia"/>
        </w:rPr>
        <w:t>“Yes,” say the premillennarians, “it is, since those sacrifices will serve Israel and the nations as a temporary memorial of Christ’s sacrifice, in much the same way that the Lord’s Supper has served the Church as a temporary memorial of his death on our behalf.”</w:t>
      </w:r>
    </w:p>
    <w:p w14:paraId="41022A39">
      <w:pPr>
        <w:pStyle w:val="9"/>
        <w:spacing w:before="17"/>
        <w:ind w:left="0"/>
        <w:jc w:val="left"/>
        <w:rPr>
          <w:rFonts w:hint="eastAsia"/>
        </w:rPr>
      </w:pPr>
      <w:r>
        <w:rPr>
          <w:rFonts w:hint="eastAsia"/>
        </w:rPr>
        <w:t>前千禧年派说：“是的，是可能的，因为那些献祭将作为基督献祭的暂时记念，为以色列和列国服务，就像主的晚餐曾作为祂为我们受死的暂时记念，为教会服务一样。”</w:t>
      </w:r>
    </w:p>
    <w:p w14:paraId="20AA9923">
      <w:pPr>
        <w:pStyle w:val="9"/>
        <w:spacing w:before="17"/>
        <w:ind w:left="0"/>
        <w:jc w:val="left"/>
        <w:rPr>
          <w:rFonts w:hint="eastAsia"/>
        </w:rPr>
      </w:pPr>
    </w:p>
    <w:p w14:paraId="34E7DC11">
      <w:pPr>
        <w:pStyle w:val="9"/>
        <w:spacing w:before="17"/>
        <w:ind w:left="0"/>
        <w:jc w:val="left"/>
        <w:rPr>
          <w:rFonts w:hint="eastAsia"/>
        </w:rPr>
      </w:pPr>
      <w:r>
        <w:rPr>
          <w:rFonts w:hint="eastAsia"/>
        </w:rPr>
        <w:t>But for many reasons, this “solution” is deeply problematic.</w:t>
      </w:r>
    </w:p>
    <w:p w14:paraId="735C0906">
      <w:pPr>
        <w:pStyle w:val="9"/>
        <w:spacing w:before="17"/>
        <w:ind w:left="0"/>
        <w:jc w:val="left"/>
        <w:rPr>
          <w:rFonts w:hint="eastAsia"/>
        </w:rPr>
      </w:pPr>
      <w:r>
        <w:rPr>
          <w:rFonts w:hint="eastAsia"/>
        </w:rPr>
        <w:t>但出于许多原因，这个“解决方案”问题重重。</w:t>
      </w:r>
    </w:p>
    <w:p w14:paraId="687705DE">
      <w:pPr>
        <w:pStyle w:val="9"/>
        <w:spacing w:before="17"/>
        <w:ind w:left="0"/>
        <w:jc w:val="left"/>
        <w:rPr>
          <w:rFonts w:hint="eastAsia"/>
        </w:rPr>
      </w:pPr>
    </w:p>
    <w:p w14:paraId="34AD02A7">
      <w:pPr>
        <w:pStyle w:val="9"/>
        <w:spacing w:before="17"/>
        <w:ind w:left="0"/>
        <w:jc w:val="left"/>
        <w:rPr>
          <w:rFonts w:hint="eastAsia"/>
        </w:rPr>
      </w:pPr>
      <w:r>
        <w:rPr>
          <w:rFonts w:hint="eastAsia"/>
        </w:rPr>
        <w:t>First, the text itself says nothing whatsoever about temporary memorial sacrifices.</w:t>
      </w:r>
    </w:p>
    <w:p w14:paraId="44EB32CC">
      <w:pPr>
        <w:pStyle w:val="9"/>
        <w:spacing w:before="17"/>
        <w:ind w:left="0"/>
        <w:jc w:val="left"/>
        <w:rPr>
          <w:rFonts w:hint="eastAsia"/>
        </w:rPr>
      </w:pPr>
      <w:r>
        <w:rPr>
          <w:rFonts w:hint="eastAsia"/>
        </w:rPr>
        <w:t>首先，经文本身完全没有提到暂时的记念性献祭。</w:t>
      </w:r>
    </w:p>
    <w:p w14:paraId="41DEB168">
      <w:pPr>
        <w:pStyle w:val="9"/>
        <w:spacing w:before="17"/>
        <w:ind w:left="0"/>
        <w:jc w:val="left"/>
        <w:rPr>
          <w:rFonts w:hint="eastAsia"/>
        </w:rPr>
      </w:pPr>
    </w:p>
    <w:p w14:paraId="5CAED829">
      <w:pPr>
        <w:pStyle w:val="9"/>
        <w:spacing w:before="17"/>
        <w:ind w:left="0"/>
        <w:jc w:val="left"/>
        <w:rPr>
          <w:rFonts w:hint="eastAsia"/>
        </w:rPr>
      </w:pPr>
      <w:r>
        <w:rPr>
          <w:rFonts w:hint="eastAsia"/>
        </w:rPr>
        <w:t>Secondly, why would Israel even need a memorial, when, according to the usual premillennial scenario, the glorified Christ himself will be present before their very eyes, ruling in their very midst?</w:t>
      </w:r>
    </w:p>
    <w:p w14:paraId="411CB5B2">
      <w:pPr>
        <w:pStyle w:val="9"/>
        <w:spacing w:before="17"/>
        <w:ind w:left="0"/>
        <w:jc w:val="left"/>
        <w:rPr>
          <w:rFonts w:hint="eastAsia"/>
        </w:rPr>
      </w:pPr>
      <w:r>
        <w:rPr>
          <w:rFonts w:hint="eastAsia"/>
        </w:rPr>
        <w:t>其次，根据通常的前千禧年派设想，既然得荣耀的基督自己将亲身显现在他们眼前，在他们中间掌权，以色列为何还需要一个记念物呢？</w:t>
      </w:r>
    </w:p>
    <w:p w14:paraId="4D71C2E8">
      <w:pPr>
        <w:pStyle w:val="9"/>
        <w:spacing w:before="17"/>
        <w:ind w:left="0"/>
        <w:jc w:val="left"/>
        <w:rPr>
          <w:rFonts w:hint="eastAsia"/>
        </w:rPr>
      </w:pPr>
    </w:p>
    <w:p w14:paraId="699F9221">
      <w:pPr>
        <w:pStyle w:val="9"/>
        <w:spacing w:before="17"/>
        <w:ind w:left="0"/>
        <w:jc w:val="left"/>
        <w:rPr>
          <w:rFonts w:hint="eastAsia"/>
        </w:rPr>
      </w:pPr>
      <w:r>
        <w:rPr>
          <w:rFonts w:hint="eastAsia"/>
        </w:rPr>
        <w:t>Thirdly, while the NT does indeed represent the Lord’s Supper as a memorial (Luke 22:19, 1 Cor. 11:24-25), it ascribes to the Supper no power to atone for sin.</w:t>
      </w:r>
    </w:p>
    <w:p w14:paraId="25081C3B">
      <w:pPr>
        <w:pStyle w:val="9"/>
        <w:spacing w:before="17"/>
        <w:ind w:left="0"/>
        <w:jc w:val="left"/>
        <w:rPr>
          <w:rFonts w:hint="eastAsia"/>
        </w:rPr>
      </w:pPr>
      <w:r>
        <w:rPr>
          <w:rFonts w:hint="eastAsia"/>
        </w:rPr>
        <w:t>第三，虽然新约确实将主的晚餐描绘为一种记念（路加福音22:19，哥林多前书11:24-25），但它并未赋予晚餐赎罪的能力。</w:t>
      </w:r>
    </w:p>
    <w:p w14:paraId="251ABF28">
      <w:pPr>
        <w:pStyle w:val="9"/>
        <w:spacing w:before="17"/>
        <w:ind w:left="0"/>
        <w:jc w:val="left"/>
        <w:rPr>
          <w:rFonts w:hint="eastAsia"/>
        </w:rPr>
      </w:pPr>
    </w:p>
    <w:p w14:paraId="7629196B">
      <w:pPr>
        <w:pStyle w:val="9"/>
        <w:spacing w:before="17"/>
        <w:ind w:left="0"/>
        <w:jc w:val="left"/>
        <w:rPr>
          <w:rFonts w:hint="eastAsia"/>
        </w:rPr>
      </w:pPr>
      <w:r>
        <w:rPr>
          <w:rFonts w:hint="eastAsia"/>
        </w:rPr>
        <w:t>But in Ezekiel’s vision, God explicitly states that these sacrifices do atone, both for sinful objects and sinful persons (43:26, 45:17, 45:20).</w:t>
      </w:r>
    </w:p>
    <w:p w14:paraId="44A63A26">
      <w:pPr>
        <w:pStyle w:val="9"/>
        <w:spacing w:before="17"/>
        <w:ind w:left="0"/>
        <w:jc w:val="left"/>
        <w:rPr>
          <w:rFonts w:hint="eastAsia"/>
        </w:rPr>
      </w:pPr>
      <w:r>
        <w:rPr>
          <w:rFonts w:hint="eastAsia"/>
        </w:rPr>
        <w:t>但在以西结的异象中，神明确指出这些献祭确实能赎罪，既为有罪的物件，也为有罪的人（43:26, 45:17, 45:20）。</w:t>
      </w:r>
    </w:p>
    <w:p w14:paraId="1275A2DD">
      <w:pPr>
        <w:pStyle w:val="9"/>
        <w:spacing w:before="17"/>
        <w:ind w:left="0"/>
        <w:jc w:val="left"/>
        <w:rPr>
          <w:rFonts w:hint="eastAsia"/>
        </w:rPr>
      </w:pPr>
    </w:p>
    <w:p w14:paraId="25FC5F51">
      <w:pPr>
        <w:pStyle w:val="9"/>
        <w:spacing w:before="17"/>
        <w:ind w:left="0"/>
        <w:jc w:val="left"/>
        <w:rPr>
          <w:rFonts w:hint="eastAsia"/>
        </w:rPr>
      </w:pPr>
      <w:r>
        <w:rPr>
          <w:rFonts w:hint="eastAsia"/>
        </w:rPr>
        <w:t>This in turn raises the question of how millennial Jews will be justified.</w:t>
      </w:r>
    </w:p>
    <w:p w14:paraId="5FED8FA2">
      <w:pPr>
        <w:pStyle w:val="9"/>
        <w:spacing w:before="17"/>
        <w:ind w:left="0"/>
        <w:jc w:val="left"/>
        <w:rPr>
          <w:rFonts w:hint="eastAsia"/>
        </w:rPr>
      </w:pPr>
      <w:r>
        <w:rPr>
          <w:rFonts w:hint="eastAsia"/>
        </w:rPr>
        <w:t>这反过来又提出了千禧年时期的犹太人将如何称义的问题。</w:t>
      </w:r>
    </w:p>
    <w:p w14:paraId="5225F63D">
      <w:pPr>
        <w:pStyle w:val="9"/>
        <w:spacing w:before="17"/>
        <w:ind w:left="0"/>
        <w:jc w:val="left"/>
        <w:rPr>
          <w:rFonts w:hint="eastAsia"/>
        </w:rPr>
      </w:pPr>
    </w:p>
    <w:p w14:paraId="66B4D3B2">
      <w:pPr>
        <w:pStyle w:val="9"/>
        <w:spacing w:before="17"/>
        <w:ind w:left="0"/>
        <w:jc w:val="left"/>
        <w:rPr>
          <w:rFonts w:hint="eastAsia"/>
        </w:rPr>
      </w:pPr>
      <w:r>
        <w:rPr>
          <w:rFonts w:hint="eastAsia"/>
        </w:rPr>
        <w:t>Will it be by simple faith in the finished work of Christ, as the premillennarians insist, or will it be by faith in the efficacy of animal sacrifices, as the text itself asserts?</w:t>
      </w:r>
    </w:p>
    <w:p w14:paraId="47E930D1">
      <w:pPr>
        <w:pStyle w:val="9"/>
        <w:spacing w:before="17"/>
        <w:ind w:left="0"/>
        <w:jc w:val="left"/>
        <w:rPr>
          <w:rFonts w:hint="eastAsia"/>
        </w:rPr>
      </w:pPr>
      <w:r>
        <w:rPr>
          <w:rFonts w:hint="eastAsia"/>
        </w:rPr>
        <w:t>是像前千禧年派所坚持的那样，单单凭信心相信基督已完成的工作，还是像经文本身所断言的那样，凭信心相信动物献祭的功效？</w:t>
      </w:r>
    </w:p>
    <w:p w14:paraId="25BE636C">
      <w:pPr>
        <w:pStyle w:val="9"/>
        <w:spacing w:before="17"/>
        <w:ind w:left="0"/>
        <w:jc w:val="left"/>
        <w:rPr>
          <w:rFonts w:hint="eastAsia"/>
        </w:rPr>
      </w:pPr>
    </w:p>
    <w:p w14:paraId="166CFFAF">
      <w:pPr>
        <w:pStyle w:val="9"/>
        <w:spacing w:before="17"/>
        <w:ind w:left="0"/>
        <w:jc w:val="left"/>
        <w:rPr>
          <w:rFonts w:hint="eastAsia"/>
        </w:rPr>
      </w:pPr>
      <w:r>
        <w:rPr>
          <w:rFonts w:hint="eastAsia"/>
        </w:rPr>
        <w:t>But again, the weightiest objection to the idea of future animal sacrifices is found in the positive teaching of the NT, where we learn that Christ, having fulfilled the typology of animal sacrifices by his atoning death, made those sacrifices obsolete, with the result that they have forever passed away (Heb. 8:13, 10:12).</w:t>
      </w:r>
    </w:p>
    <w:p w14:paraId="3A7E58E8">
      <w:pPr>
        <w:pStyle w:val="9"/>
        <w:spacing w:before="17"/>
        <w:ind w:left="0"/>
        <w:jc w:val="left"/>
        <w:rPr>
          <w:rFonts w:hint="eastAsia"/>
        </w:rPr>
      </w:pPr>
      <w:r>
        <w:rPr>
          <w:rFonts w:hint="eastAsia"/>
        </w:rPr>
        <w:t>但是，对未来动物献祭观念最有力的反对意见，再次见于新约的正面教导，在那里我们学到，基督藉着祂的赎罪死亡，成全了动物献祭的预表，从而使那些献祭变得过时，结果是它们已经永远过去了（希伯来书8:13, 10:12）。</w:t>
      </w:r>
    </w:p>
    <w:p w14:paraId="78D9CBCC">
      <w:pPr>
        <w:pStyle w:val="9"/>
        <w:spacing w:before="17"/>
        <w:ind w:left="0"/>
        <w:jc w:val="left"/>
        <w:rPr>
          <w:rFonts w:hint="eastAsia"/>
        </w:rPr>
      </w:pPr>
    </w:p>
    <w:p w14:paraId="1B75C999">
      <w:pPr>
        <w:pStyle w:val="9"/>
        <w:spacing w:before="17"/>
        <w:ind w:left="0"/>
        <w:jc w:val="left"/>
        <w:rPr>
          <w:rFonts w:hint="eastAsia"/>
        </w:rPr>
      </w:pPr>
      <w:r>
        <w:rPr>
          <w:rFonts w:hint="eastAsia"/>
        </w:rPr>
        <w:t>Would God break his own Word by ordaining a needlessly painful thousand year return to the weak, beggarly, and useless elements of the OT service of worship (Psalm 145:9, Prov. 12:10, Gal. 4:8-11, Heb. 7:18)?</w:t>
      </w:r>
    </w:p>
    <w:p w14:paraId="4AF9E91A">
      <w:pPr>
        <w:pStyle w:val="9"/>
        <w:spacing w:before="17"/>
        <w:ind w:left="0"/>
        <w:jc w:val="left"/>
        <w:rPr>
          <w:rFonts w:hint="eastAsia"/>
        </w:rPr>
      </w:pPr>
      <w:r>
        <w:rPr>
          <w:rFonts w:hint="eastAsia"/>
        </w:rPr>
        <w:t>神会藉着命定一个毫无必要的、痛苦的、长达千年的回归，回到旧约敬拜事奉那软弱、贫乏、无用的蒙学中，从而违背祂自己的话语吗（诗篇145:9，箴言12:10，加拉太书4:8-11，希伯来书7:18）？</w:t>
      </w:r>
    </w:p>
    <w:p w14:paraId="3C73A259">
      <w:pPr>
        <w:pStyle w:val="9"/>
        <w:spacing w:before="17"/>
        <w:ind w:left="0"/>
        <w:jc w:val="left"/>
        <w:rPr>
          <w:rFonts w:hint="eastAsia"/>
        </w:rPr>
      </w:pPr>
    </w:p>
    <w:p w14:paraId="41327B73">
      <w:pPr>
        <w:pStyle w:val="9"/>
        <w:spacing w:before="17"/>
        <w:ind w:left="0"/>
        <w:jc w:val="left"/>
        <w:rPr>
          <w:rFonts w:hint="eastAsia"/>
        </w:rPr>
      </w:pPr>
      <w:r>
        <w:rPr>
          <w:rFonts w:hint="eastAsia"/>
        </w:rPr>
        <w:t>Perish the thought!</w:t>
      </w:r>
    </w:p>
    <w:p w14:paraId="2542C83D">
      <w:pPr>
        <w:pStyle w:val="9"/>
        <w:spacing w:before="17"/>
        <w:ind w:left="0"/>
        <w:jc w:val="left"/>
        <w:rPr>
          <w:rFonts w:hint="eastAsia"/>
        </w:rPr>
      </w:pPr>
      <w:r>
        <w:rPr>
          <w:rFonts w:hint="eastAsia"/>
        </w:rPr>
        <w:t>这念头当灭！</w:t>
      </w:r>
    </w:p>
    <w:p w14:paraId="65CFF58A">
      <w:pPr>
        <w:pStyle w:val="9"/>
        <w:spacing w:before="17"/>
        <w:ind w:left="0"/>
        <w:jc w:val="left"/>
        <w:rPr>
          <w:rFonts w:hint="eastAsia"/>
        </w:rPr>
      </w:pPr>
    </w:p>
    <w:p w14:paraId="4A325121">
      <w:pPr>
        <w:pStyle w:val="9"/>
        <w:spacing w:before="17"/>
        <w:ind w:left="0"/>
        <w:jc w:val="left"/>
        <w:rPr>
          <w:rFonts w:hint="eastAsia"/>
        </w:rPr>
      </w:pPr>
      <w:r>
        <w:rPr>
          <w:rFonts w:hint="eastAsia"/>
        </w:rPr>
        <w:t>For all these reasons, we conclude that the premillennial interpretation of Ezekiel’s vision of Israel’s life and worship in the World to Come is impossible.</w:t>
      </w:r>
    </w:p>
    <w:p w14:paraId="43FDCC51">
      <w:pPr>
        <w:pStyle w:val="9"/>
        <w:spacing w:before="17"/>
        <w:ind w:left="0"/>
        <w:jc w:val="left"/>
        <w:rPr>
          <w:rFonts w:hint="eastAsia"/>
        </w:rPr>
      </w:pPr>
      <w:r>
        <w:rPr>
          <w:rFonts w:hint="eastAsia"/>
        </w:rPr>
        <w:t>基于所有这些原因，我们得出结论，前千禧年派对以西结关于以色列在未来世界的生活和敬拜之异象的解释是不可能的。</w:t>
      </w:r>
    </w:p>
    <w:p w14:paraId="0DAD120C">
      <w:pPr>
        <w:pStyle w:val="9"/>
        <w:spacing w:before="17"/>
        <w:ind w:left="0"/>
        <w:jc w:val="left"/>
        <w:rPr>
          <w:rFonts w:hint="eastAsia"/>
        </w:rPr>
      </w:pPr>
    </w:p>
    <w:p w14:paraId="15E933E8">
      <w:pPr>
        <w:pStyle w:val="9"/>
        <w:spacing w:before="17"/>
        <w:ind w:left="0"/>
        <w:jc w:val="left"/>
        <w:rPr>
          <w:rFonts w:hint="eastAsia"/>
        </w:rPr>
      </w:pPr>
      <w:r>
        <w:rPr>
          <w:rFonts w:hint="eastAsia"/>
        </w:rPr>
        <w:t>An Overview of Ezekiel 40-48</w:t>
      </w:r>
    </w:p>
    <w:p w14:paraId="0690131E">
      <w:pPr>
        <w:pStyle w:val="9"/>
        <w:spacing w:before="17"/>
        <w:ind w:left="0"/>
        <w:jc w:val="left"/>
        <w:rPr>
          <w:rFonts w:hint="eastAsia"/>
        </w:rPr>
      </w:pPr>
      <w:r>
        <w:rPr>
          <w:rFonts w:hint="eastAsia"/>
        </w:rPr>
        <w:t>以西结书40-48章概述</w:t>
      </w:r>
    </w:p>
    <w:p w14:paraId="0A652B5E">
      <w:pPr>
        <w:pStyle w:val="9"/>
        <w:spacing w:before="17"/>
        <w:ind w:left="0"/>
        <w:jc w:val="left"/>
        <w:rPr>
          <w:rFonts w:hint="eastAsia"/>
        </w:rPr>
      </w:pPr>
    </w:p>
    <w:p w14:paraId="44EB8423">
      <w:pPr>
        <w:pStyle w:val="9"/>
        <w:spacing w:before="17"/>
        <w:ind w:left="0"/>
        <w:jc w:val="left"/>
        <w:rPr>
          <w:rFonts w:hint="eastAsia"/>
        </w:rPr>
      </w:pPr>
      <w:r>
        <w:rPr>
          <w:rFonts w:hint="eastAsia"/>
        </w:rPr>
        <w:t>Having ruled out the premillennial approach, it appears that there is only one route open to us: We must apply the NCH so as to uncover the NT truth here embedded in OT language and imagery.</w:t>
      </w:r>
    </w:p>
    <w:p w14:paraId="4A9197CA">
      <w:pPr>
        <w:pStyle w:val="9"/>
        <w:spacing w:before="17"/>
        <w:ind w:left="0"/>
        <w:jc w:val="left"/>
        <w:rPr>
          <w:rFonts w:hint="eastAsia"/>
        </w:rPr>
      </w:pPr>
      <w:r>
        <w:rPr>
          <w:rFonts w:hint="eastAsia"/>
        </w:rPr>
        <w:t>排除了前千禧年派的方法之后，看来我们只有一条路可走：我们必须应用新约圣经解释法（NCH），以揭示这里嵌入在旧约语言和意象中的新约真理。</w:t>
      </w:r>
    </w:p>
    <w:p w14:paraId="3EAA0C75">
      <w:pPr>
        <w:pStyle w:val="9"/>
        <w:spacing w:before="17"/>
        <w:ind w:left="0"/>
        <w:jc w:val="left"/>
        <w:rPr>
          <w:rFonts w:hint="eastAsia"/>
        </w:rPr>
      </w:pPr>
    </w:p>
    <w:p w14:paraId="24B22B12">
      <w:pPr>
        <w:pStyle w:val="9"/>
        <w:spacing w:before="17"/>
        <w:ind w:left="0"/>
        <w:jc w:val="left"/>
        <w:rPr>
          <w:rFonts w:hint="eastAsia"/>
        </w:rPr>
      </w:pPr>
      <w:r>
        <w:rPr>
          <w:rFonts w:hint="eastAsia"/>
        </w:rPr>
        <w:t>In other words, we must adopt an amillennial interpretation.</w:t>
      </w:r>
    </w:p>
    <w:p w14:paraId="130479B3">
      <w:pPr>
        <w:pStyle w:val="9"/>
        <w:spacing w:before="17"/>
        <w:ind w:left="0"/>
        <w:jc w:val="left"/>
        <w:rPr>
          <w:rFonts w:hint="eastAsia"/>
        </w:rPr>
      </w:pPr>
      <w:r>
        <w:rPr>
          <w:rFonts w:hint="eastAsia"/>
        </w:rPr>
        <w:t>换句话说，我们必须采纳一种无千禧年派的解释。</w:t>
      </w:r>
    </w:p>
    <w:p w14:paraId="3EE58787">
      <w:pPr>
        <w:pStyle w:val="9"/>
        <w:spacing w:before="17"/>
        <w:ind w:left="0"/>
        <w:jc w:val="left"/>
        <w:rPr>
          <w:rFonts w:hint="eastAsia"/>
        </w:rPr>
      </w:pPr>
    </w:p>
    <w:p w14:paraId="3D54FAFB">
      <w:pPr>
        <w:pStyle w:val="9"/>
        <w:spacing w:before="17"/>
        <w:ind w:left="0"/>
        <w:jc w:val="left"/>
        <w:rPr>
          <w:rFonts w:hint="eastAsia"/>
        </w:rPr>
      </w:pPr>
      <w:r>
        <w:rPr>
          <w:rFonts w:hint="eastAsia"/>
        </w:rPr>
        <w:t>While limitations of space prevent me doing so in great detail, I think it only fair to my premillennarian brethren that I make an honest effort to open up this challenging text at least a little, especially since it is among the two or three most difficult OTKP’s in all of Scripture.</w:t>
      </w:r>
    </w:p>
    <w:p w14:paraId="71F72361">
      <w:pPr>
        <w:pStyle w:val="9"/>
        <w:spacing w:before="17"/>
        <w:ind w:left="0"/>
        <w:jc w:val="left"/>
        <w:rPr>
          <w:rFonts w:hint="eastAsia"/>
        </w:rPr>
      </w:pPr>
      <w:r>
        <w:rPr>
          <w:rFonts w:hint="eastAsia"/>
        </w:rPr>
        <w:t>虽然篇幅所限，我无法非常详细地这样做，但我认为，为了对我的前千禧年派弟兄们公平起见，我应该诚实地努力至少稍微解开这段具有挑战性的经文，特别是因为它是在所有圣经中最难解的两三个旧约国度预言之一。</w:t>
      </w:r>
    </w:p>
    <w:p w14:paraId="57D7505F">
      <w:pPr>
        <w:pStyle w:val="9"/>
        <w:spacing w:before="17"/>
        <w:ind w:left="0"/>
        <w:jc w:val="left"/>
        <w:rPr>
          <w:rFonts w:hint="eastAsia"/>
        </w:rPr>
      </w:pPr>
    </w:p>
    <w:p w14:paraId="73B215FA">
      <w:pPr>
        <w:pStyle w:val="9"/>
        <w:spacing w:before="17"/>
        <w:ind w:left="0"/>
        <w:jc w:val="left"/>
        <w:rPr>
          <w:rFonts w:hint="eastAsia"/>
        </w:rPr>
      </w:pPr>
      <w:r>
        <w:rPr>
          <w:rFonts w:hint="eastAsia"/>
        </w:rPr>
        <w:t>Here, then, is my approach.</w:t>
      </w:r>
    </w:p>
    <w:p w14:paraId="5DA28332">
      <w:pPr>
        <w:pStyle w:val="9"/>
        <w:spacing w:before="17"/>
        <w:ind w:left="0"/>
        <w:jc w:val="left"/>
        <w:rPr>
          <w:rFonts w:hint="eastAsia"/>
        </w:rPr>
      </w:pPr>
      <w:r>
        <w:rPr>
          <w:rFonts w:hint="eastAsia"/>
        </w:rPr>
        <w:t>那么，这就是我的方法。</w:t>
      </w:r>
    </w:p>
    <w:p w14:paraId="688919C2">
      <w:pPr>
        <w:pStyle w:val="9"/>
        <w:spacing w:before="17"/>
        <w:ind w:left="0"/>
        <w:jc w:val="left"/>
        <w:rPr>
          <w:rFonts w:hint="eastAsia"/>
        </w:rPr>
      </w:pPr>
    </w:p>
    <w:p w14:paraId="20B4B5AD">
      <w:pPr>
        <w:pStyle w:val="9"/>
        <w:spacing w:before="17"/>
        <w:ind w:left="0"/>
        <w:jc w:val="left"/>
        <w:rPr>
          <w:rFonts w:hint="eastAsia"/>
        </w:rPr>
      </w:pPr>
      <w:r>
        <w:rPr>
          <w:rFonts w:hint="eastAsia"/>
        </w:rPr>
        <w:t>In the pages ahead I will comment at some length on each of the seven sections mentioned above.</w:t>
      </w:r>
    </w:p>
    <w:p w14:paraId="106154C9">
      <w:pPr>
        <w:pStyle w:val="9"/>
        <w:spacing w:before="17"/>
        <w:ind w:left="0"/>
        <w:jc w:val="left"/>
        <w:rPr>
          <w:rFonts w:hint="eastAsia"/>
        </w:rPr>
      </w:pPr>
      <w:r>
        <w:rPr>
          <w:rFonts w:hint="eastAsia"/>
        </w:rPr>
        <w:t>在接下来的篇幅中，我将对上面提到的七个部分中的每一个进行一些篇幅较长的评论。</w:t>
      </w:r>
    </w:p>
    <w:p w14:paraId="7E93BA2B">
      <w:pPr>
        <w:pStyle w:val="9"/>
        <w:spacing w:before="17"/>
        <w:ind w:left="0"/>
        <w:jc w:val="left"/>
        <w:rPr>
          <w:rFonts w:hint="eastAsia"/>
        </w:rPr>
      </w:pPr>
    </w:p>
    <w:p w14:paraId="0B10E504">
      <w:pPr>
        <w:pStyle w:val="9"/>
        <w:spacing w:before="17"/>
        <w:ind w:left="0"/>
        <w:jc w:val="left"/>
        <w:rPr>
          <w:rFonts w:hint="eastAsia"/>
        </w:rPr>
      </w:pPr>
      <w:r>
        <w:rPr>
          <w:rFonts w:hint="eastAsia"/>
        </w:rPr>
        <w:t>Following Keil, my thesis will be that these nine chapters do indeed describe the life of God’s people in the eschaton, in the new heavens and the new earth.</w:t>
      </w:r>
    </w:p>
    <w:p w14:paraId="7CEC8D5D">
      <w:pPr>
        <w:pStyle w:val="9"/>
        <w:spacing w:before="17"/>
        <w:ind w:left="0"/>
        <w:jc w:val="left"/>
        <w:rPr>
          <w:rFonts w:hint="eastAsia"/>
        </w:rPr>
      </w:pPr>
      <w:r>
        <w:rPr>
          <w:rFonts w:hint="eastAsia"/>
        </w:rPr>
        <w:t>跟随基尔（Keil）的观点，我的论点是，这九章确实描述了神子民在末世，在新天新地中的生活。</w:t>
      </w:r>
    </w:p>
    <w:p w14:paraId="60279DA3">
      <w:pPr>
        <w:pStyle w:val="9"/>
        <w:spacing w:before="17"/>
        <w:ind w:left="0"/>
        <w:jc w:val="left"/>
        <w:rPr>
          <w:rFonts w:hint="eastAsia"/>
        </w:rPr>
      </w:pPr>
    </w:p>
    <w:p w14:paraId="2343F25D">
      <w:pPr>
        <w:pStyle w:val="9"/>
        <w:spacing w:before="17"/>
        <w:ind w:left="0"/>
        <w:jc w:val="left"/>
        <w:rPr>
          <w:rFonts w:hint="eastAsia"/>
        </w:rPr>
      </w:pPr>
      <w:r>
        <w:rPr>
          <w:rFonts w:hint="eastAsia"/>
        </w:rPr>
        <w:t>I will argue that in giving this climactic vision to Ezekiel, the Spirit of God was using ideas and imagery drawn from the entire corpus of OT revelation (but especially from the Law) to picture the Church in the World to Come as the Israel of God, now returned to the Paradise of God, all through the Person and Work of the Christ of God.</w:t>
      </w:r>
    </w:p>
    <w:p w14:paraId="1ACDDE37">
      <w:pPr>
        <w:pStyle w:val="9"/>
        <w:spacing w:before="17"/>
        <w:ind w:left="0"/>
        <w:jc w:val="left"/>
        <w:rPr>
          <w:rFonts w:hint="eastAsia"/>
        </w:rPr>
      </w:pPr>
      <w:r>
        <w:rPr>
          <w:rFonts w:hint="eastAsia"/>
        </w:rPr>
        <w:t>我将论证，在将这个高潮性的异象赐给以西结时，神的灵正在使用从整个旧约启示（特别是从律法）中提取的观念和意象，来描绘在未来世界中的教会，如同神的以色列，如今已藉着神的基督之位格和工作，回归到神的乐园。</w:t>
      </w:r>
    </w:p>
    <w:p w14:paraId="647AB4CE">
      <w:pPr>
        <w:pStyle w:val="9"/>
        <w:spacing w:before="17"/>
        <w:ind w:left="0"/>
        <w:jc w:val="left"/>
        <w:rPr>
          <w:rFonts w:hint="eastAsia"/>
        </w:rPr>
      </w:pPr>
    </w:p>
    <w:p w14:paraId="1965F585">
      <w:pPr>
        <w:pStyle w:val="9"/>
        <w:spacing w:before="17"/>
        <w:ind w:left="0"/>
        <w:jc w:val="left"/>
        <w:rPr>
          <w:rFonts w:hint="eastAsia"/>
        </w:rPr>
      </w:pPr>
      <w:r>
        <w:rPr>
          <w:rFonts w:hint="eastAsia"/>
        </w:rPr>
        <w:t>With the Master’s keys firmly in hand, we are ready to begin!</w:t>
      </w:r>
    </w:p>
    <w:p w14:paraId="789CDDC6">
      <w:pPr>
        <w:pStyle w:val="9"/>
        <w:spacing w:before="17"/>
        <w:ind w:left="0"/>
        <w:jc w:val="left"/>
        <w:rPr>
          <w:rFonts w:hint="eastAsia"/>
        </w:rPr>
      </w:pPr>
      <w:r>
        <w:rPr>
          <w:rFonts w:hint="eastAsia"/>
        </w:rPr>
        <w:t>将主的钥匙牢牢握在手中，我们准备好开始了！</w:t>
      </w:r>
    </w:p>
    <w:p w14:paraId="5D4BBE16">
      <w:pPr>
        <w:pStyle w:val="9"/>
        <w:spacing w:before="17"/>
        <w:ind w:left="0"/>
        <w:jc w:val="left"/>
        <w:rPr>
          <w:rFonts w:hint="eastAsia"/>
        </w:rPr>
      </w:pPr>
    </w:p>
    <w:p w14:paraId="2C7CADDB">
      <w:pPr>
        <w:pStyle w:val="9"/>
        <w:spacing w:before="17"/>
        <w:ind w:left="0"/>
        <w:jc w:val="left"/>
        <w:rPr>
          <w:rFonts w:hint="eastAsia"/>
        </w:rPr>
      </w:pPr>
      <w:r>
        <w:rPr>
          <w:rFonts w:hint="eastAsia"/>
        </w:rPr>
        <w:t>The Everlasting Mountain (40:1-4)</w:t>
      </w:r>
    </w:p>
    <w:p w14:paraId="14ED7544">
      <w:pPr>
        <w:pStyle w:val="9"/>
        <w:spacing w:before="17"/>
        <w:ind w:left="0"/>
        <w:jc w:val="left"/>
        <w:rPr>
          <w:rFonts w:hint="eastAsia"/>
        </w:rPr>
      </w:pPr>
      <w:r>
        <w:rPr>
          <w:rFonts w:hint="eastAsia"/>
        </w:rPr>
        <w:t>永恒的山（40:1-4）</w:t>
      </w:r>
    </w:p>
    <w:p w14:paraId="654478A2">
      <w:pPr>
        <w:pStyle w:val="9"/>
        <w:spacing w:before="17"/>
        <w:ind w:left="0"/>
        <w:jc w:val="left"/>
        <w:rPr>
          <w:rFonts w:hint="eastAsia"/>
        </w:rPr>
      </w:pPr>
    </w:p>
    <w:p w14:paraId="3256AAF3">
      <w:pPr>
        <w:pStyle w:val="9"/>
        <w:spacing w:before="17"/>
        <w:ind w:left="0"/>
        <w:jc w:val="left"/>
        <w:rPr>
          <w:rFonts w:hint="eastAsia"/>
        </w:rPr>
      </w:pPr>
      <w:r>
        <w:rPr>
          <w:rFonts w:hint="eastAsia"/>
        </w:rPr>
        <w:t>These verses set the stage for Ezekiel’s grand tour of life in the World to Come.</w:t>
      </w:r>
    </w:p>
    <w:p w14:paraId="39313EF5">
      <w:pPr>
        <w:pStyle w:val="9"/>
        <w:spacing w:before="17"/>
        <w:ind w:left="0"/>
        <w:jc w:val="left"/>
        <w:rPr>
          <w:rFonts w:hint="eastAsia"/>
        </w:rPr>
      </w:pPr>
      <w:r>
        <w:rPr>
          <w:rFonts w:hint="eastAsia"/>
        </w:rPr>
        <w:t>这几节经文为以西结对未来世界生活的宏大游览设定了舞台。</w:t>
      </w:r>
    </w:p>
    <w:p w14:paraId="34C86F26">
      <w:pPr>
        <w:pStyle w:val="9"/>
        <w:spacing w:before="17"/>
        <w:ind w:left="0"/>
        <w:jc w:val="left"/>
        <w:rPr>
          <w:rFonts w:hint="eastAsia"/>
        </w:rPr>
      </w:pPr>
    </w:p>
    <w:p w14:paraId="7EB8D0C5">
      <w:pPr>
        <w:pStyle w:val="9"/>
        <w:spacing w:before="17"/>
        <w:ind w:left="0"/>
        <w:jc w:val="left"/>
        <w:rPr>
          <w:rFonts w:hint="eastAsia"/>
        </w:rPr>
      </w:pPr>
      <w:r>
        <w:rPr>
          <w:rFonts w:hint="eastAsia"/>
        </w:rPr>
        <w:t>In a vision, the prophet is transported to the land of Israel, where he is set atop a very high Mountain.</w:t>
      </w:r>
    </w:p>
    <w:p w14:paraId="72B863C6">
      <w:pPr>
        <w:pStyle w:val="9"/>
        <w:spacing w:before="17"/>
        <w:ind w:left="0"/>
        <w:jc w:val="left"/>
        <w:rPr>
          <w:rFonts w:hint="eastAsia"/>
        </w:rPr>
      </w:pPr>
      <w:r>
        <w:rPr>
          <w:rFonts w:hint="eastAsia"/>
        </w:rPr>
        <w:t>在一个异象中，先知被带到以色列地，被安置在一座极高的山上。</w:t>
      </w:r>
    </w:p>
    <w:p w14:paraId="7AEA1F18">
      <w:pPr>
        <w:pStyle w:val="9"/>
        <w:spacing w:before="17"/>
        <w:ind w:left="0"/>
        <w:jc w:val="left"/>
        <w:rPr>
          <w:rFonts w:hint="eastAsia"/>
        </w:rPr>
      </w:pPr>
    </w:p>
    <w:p w14:paraId="05961EED">
      <w:pPr>
        <w:pStyle w:val="9"/>
        <w:spacing w:before="17"/>
        <w:ind w:left="0"/>
        <w:jc w:val="left"/>
        <w:rPr>
          <w:rFonts w:hint="eastAsia"/>
        </w:rPr>
      </w:pPr>
      <w:r>
        <w:rPr>
          <w:rFonts w:hint="eastAsia"/>
        </w:rPr>
        <w:t>Upon its southern slopes he sees a structure like a city (1-2).</w:t>
      </w:r>
    </w:p>
    <w:p w14:paraId="65596DC4">
      <w:pPr>
        <w:pStyle w:val="9"/>
        <w:spacing w:before="17"/>
        <w:ind w:left="0"/>
        <w:jc w:val="left"/>
        <w:rPr>
          <w:rFonts w:hint="eastAsia"/>
        </w:rPr>
      </w:pPr>
      <w:r>
        <w:rPr>
          <w:rFonts w:hint="eastAsia"/>
        </w:rPr>
        <w:t>在其南坡上，他看见一个仿佛是城的建筑（1-2节）。</w:t>
      </w:r>
    </w:p>
    <w:p w14:paraId="78125F1B">
      <w:pPr>
        <w:pStyle w:val="9"/>
        <w:spacing w:before="17"/>
        <w:ind w:left="0"/>
        <w:jc w:val="left"/>
        <w:rPr>
          <w:rFonts w:hint="eastAsia"/>
        </w:rPr>
      </w:pPr>
    </w:p>
    <w:p w14:paraId="5C48896A">
      <w:pPr>
        <w:pStyle w:val="9"/>
        <w:spacing w:before="17"/>
        <w:ind w:left="0"/>
        <w:jc w:val="left"/>
        <w:rPr>
          <w:rFonts w:hint="eastAsia"/>
        </w:rPr>
      </w:pPr>
      <w:r>
        <w:rPr>
          <w:rFonts w:hint="eastAsia"/>
        </w:rPr>
        <w:t>Suddenly an angel appears, who takes him to the structure and urges him to listen carefully so that he (Ezekiel) may relate all he hears to God’s people, thereby encouraging their hearts (3-5).</w:t>
      </w:r>
    </w:p>
    <w:p w14:paraId="54B803CF">
      <w:pPr>
        <w:pStyle w:val="9"/>
        <w:spacing w:before="17"/>
        <w:ind w:left="0"/>
        <w:jc w:val="left"/>
        <w:rPr>
          <w:rFonts w:hint="eastAsia"/>
        </w:rPr>
      </w:pPr>
      <w:r>
        <w:rPr>
          <w:rFonts w:hint="eastAsia"/>
        </w:rPr>
        <w:t>忽然一位天使出现，带他到那建筑那里，并敦促他仔细聆听，以便他（以西结）能将所听见的一切都告诉神的子民，从而鼓励他们的心（3-5节）。</w:t>
      </w:r>
    </w:p>
    <w:p w14:paraId="3D5D6149">
      <w:pPr>
        <w:pStyle w:val="9"/>
        <w:spacing w:before="17"/>
        <w:ind w:left="0"/>
        <w:jc w:val="left"/>
        <w:rPr>
          <w:rFonts w:hint="eastAsia"/>
        </w:rPr>
      </w:pPr>
    </w:p>
    <w:p w14:paraId="3A3F3219">
      <w:pPr>
        <w:pStyle w:val="9"/>
        <w:spacing w:before="17"/>
        <w:ind w:left="0"/>
        <w:jc w:val="left"/>
        <w:rPr>
          <w:rFonts w:hint="eastAsia"/>
        </w:rPr>
      </w:pPr>
      <w:r>
        <w:rPr>
          <w:rFonts w:hint="eastAsia"/>
        </w:rPr>
        <w:t>The tour is about to begin.</w:t>
      </w:r>
    </w:p>
    <w:p w14:paraId="50B77D7A">
      <w:pPr>
        <w:pStyle w:val="9"/>
        <w:spacing w:before="17"/>
        <w:ind w:left="0"/>
        <w:jc w:val="left"/>
        <w:rPr>
          <w:rFonts w:hint="eastAsia"/>
        </w:rPr>
      </w:pPr>
      <w:r>
        <w:rPr>
          <w:rFonts w:hint="eastAsia"/>
        </w:rPr>
        <w:t>游览即将开始。</w:t>
      </w:r>
    </w:p>
    <w:p w14:paraId="1DDEC914">
      <w:pPr>
        <w:pStyle w:val="9"/>
        <w:spacing w:before="17"/>
        <w:ind w:left="0"/>
        <w:jc w:val="left"/>
        <w:rPr>
          <w:rFonts w:hint="eastAsia"/>
        </w:rPr>
      </w:pPr>
    </w:p>
    <w:p w14:paraId="1CFC54F3">
      <w:pPr>
        <w:pStyle w:val="9"/>
        <w:spacing w:before="17"/>
        <w:ind w:left="0"/>
        <w:jc w:val="left"/>
        <w:rPr>
          <w:rFonts w:hint="eastAsia"/>
        </w:rPr>
      </w:pPr>
      <w:r>
        <w:rPr>
          <w:rFonts w:hint="eastAsia"/>
        </w:rPr>
        <w:t>Again, this is a vision.</w:t>
      </w:r>
    </w:p>
    <w:p w14:paraId="5A5EF542">
      <w:pPr>
        <w:pStyle w:val="9"/>
        <w:spacing w:before="17"/>
        <w:ind w:left="0"/>
        <w:jc w:val="left"/>
        <w:rPr>
          <w:rFonts w:hint="eastAsia"/>
        </w:rPr>
      </w:pPr>
      <w:r>
        <w:rPr>
          <w:rFonts w:hint="eastAsia"/>
        </w:rPr>
        <w:t>再次强调，这是一个异象。</w:t>
      </w:r>
    </w:p>
    <w:p w14:paraId="0FBADE30">
      <w:pPr>
        <w:pStyle w:val="9"/>
        <w:spacing w:before="17"/>
        <w:ind w:left="0"/>
        <w:jc w:val="left"/>
        <w:rPr>
          <w:rFonts w:hint="eastAsia"/>
        </w:rPr>
      </w:pPr>
    </w:p>
    <w:p w14:paraId="4292140F">
      <w:pPr>
        <w:pStyle w:val="9"/>
        <w:spacing w:before="17"/>
        <w:ind w:left="0"/>
        <w:jc w:val="left"/>
        <w:rPr>
          <w:rFonts w:hint="eastAsia"/>
        </w:rPr>
      </w:pPr>
      <w:r>
        <w:rPr>
          <w:rFonts w:hint="eastAsia"/>
        </w:rPr>
        <w:t>As such, it is only natural to expect that its contents are symbolic (cf., Daniel 2, 4, 7, 8, Zech. 1-6, Rev. 4-22).</w:t>
      </w:r>
    </w:p>
    <w:p w14:paraId="2A5A6B9D">
      <w:pPr>
        <w:pStyle w:val="9"/>
        <w:spacing w:before="17"/>
        <w:ind w:left="0"/>
        <w:jc w:val="left"/>
        <w:rPr>
          <w:rFonts w:hint="eastAsia"/>
        </w:rPr>
      </w:pPr>
      <w:r>
        <w:rPr>
          <w:rFonts w:hint="eastAsia"/>
        </w:rPr>
        <w:t>因此，很自然地可以预期其内容是象征性的（参看，但以理书2, 4, 7, 8章，撒迦利亚书1-6章，启示录4-22章）。</w:t>
      </w:r>
    </w:p>
    <w:p w14:paraId="79B6F8DB">
      <w:pPr>
        <w:pStyle w:val="9"/>
        <w:spacing w:before="17"/>
        <w:ind w:left="0"/>
        <w:jc w:val="left"/>
        <w:rPr>
          <w:rFonts w:hint="eastAsia"/>
        </w:rPr>
      </w:pPr>
    </w:p>
    <w:p w14:paraId="2732F9F5">
      <w:pPr>
        <w:pStyle w:val="9"/>
        <w:spacing w:before="17"/>
        <w:ind w:left="0"/>
        <w:jc w:val="left"/>
        <w:rPr>
          <w:rFonts w:hint="eastAsia"/>
        </w:rPr>
      </w:pPr>
      <w:r>
        <w:rPr>
          <w:rFonts w:hint="eastAsia"/>
        </w:rPr>
        <w:t>And indeed, we have already seen that the NT attaches rich symbolic meaning to each and every one of the fundamental elements of Ezekiel’s vision: the Mountain, the Temple, the Service of Worship, the City, and the Promised Land.</w:t>
      </w:r>
    </w:p>
    <w:p w14:paraId="4A1B73DF">
      <w:pPr>
        <w:pStyle w:val="9"/>
        <w:spacing w:before="17"/>
        <w:ind w:left="0"/>
        <w:jc w:val="left"/>
        <w:rPr>
          <w:rFonts w:hint="eastAsia"/>
        </w:rPr>
      </w:pPr>
      <w:r>
        <w:rPr>
          <w:rFonts w:hint="eastAsia"/>
        </w:rPr>
        <w:t>事实上，我们已经看到，新约对以西结异象的每一个基本元素都赋予了丰富的象征意义：山、殿、敬拜的服事、城和应许之地。</w:t>
      </w:r>
    </w:p>
    <w:p w14:paraId="60DFC6B1">
      <w:pPr>
        <w:pStyle w:val="9"/>
        <w:spacing w:before="17"/>
        <w:ind w:left="0"/>
        <w:jc w:val="left"/>
        <w:rPr>
          <w:rFonts w:hint="eastAsia"/>
        </w:rPr>
      </w:pPr>
    </w:p>
    <w:p w14:paraId="60919F43">
      <w:pPr>
        <w:pStyle w:val="9"/>
        <w:spacing w:before="17"/>
        <w:ind w:left="0"/>
        <w:jc w:val="left"/>
        <w:rPr>
          <w:rFonts w:hint="eastAsia"/>
        </w:rPr>
      </w:pPr>
      <w:r>
        <w:rPr>
          <w:rFonts w:hint="eastAsia"/>
        </w:rPr>
        <w:t>Therefore, like Ezekiel’s angel, it (the NT) must be our guide.</w:t>
      </w:r>
    </w:p>
    <w:p w14:paraId="5CE263D9">
      <w:pPr>
        <w:pStyle w:val="9"/>
        <w:spacing w:before="17"/>
        <w:ind w:left="0"/>
        <w:jc w:val="left"/>
        <w:rPr>
          <w:rFonts w:hint="eastAsia"/>
        </w:rPr>
      </w:pPr>
      <w:r>
        <w:rPr>
          <w:rFonts w:hint="eastAsia"/>
        </w:rPr>
        <w:t>因此，就像以西结的天使一样，它（新约）必须是我们的向导。</w:t>
      </w:r>
    </w:p>
    <w:p w14:paraId="5E7517CD">
      <w:pPr>
        <w:pStyle w:val="9"/>
        <w:spacing w:before="17"/>
        <w:ind w:left="0"/>
        <w:jc w:val="left"/>
        <w:rPr>
          <w:rFonts w:hint="eastAsia"/>
        </w:rPr>
      </w:pPr>
    </w:p>
    <w:p w14:paraId="3606AF7D">
      <w:pPr>
        <w:pStyle w:val="9"/>
        <w:spacing w:before="17"/>
        <w:ind w:left="0"/>
        <w:jc w:val="left"/>
        <w:rPr>
          <w:rFonts w:hint="eastAsia"/>
        </w:rPr>
      </w:pPr>
      <w:r>
        <w:rPr>
          <w:rFonts w:hint="eastAsia"/>
        </w:rPr>
        <w:t>In these introductory verses, the central symbol is the very high Mountain.</w:t>
      </w:r>
    </w:p>
    <w:p w14:paraId="02263D95">
      <w:pPr>
        <w:pStyle w:val="9"/>
        <w:spacing w:before="17"/>
        <w:ind w:left="0"/>
        <w:jc w:val="left"/>
        <w:rPr>
          <w:rFonts w:hint="eastAsia"/>
        </w:rPr>
      </w:pPr>
      <w:r>
        <w:rPr>
          <w:rFonts w:hint="eastAsia"/>
        </w:rPr>
        <w:t>在这些引言的经文中，中心的象征是那座极高的山。</w:t>
      </w:r>
    </w:p>
    <w:p w14:paraId="74B2D088">
      <w:pPr>
        <w:pStyle w:val="9"/>
        <w:spacing w:before="17"/>
        <w:ind w:left="0"/>
        <w:jc w:val="left"/>
        <w:rPr>
          <w:rFonts w:hint="eastAsia"/>
        </w:rPr>
      </w:pPr>
    </w:p>
    <w:p w14:paraId="17251A75">
      <w:pPr>
        <w:pStyle w:val="9"/>
        <w:spacing w:before="17"/>
        <w:ind w:left="0"/>
        <w:jc w:val="left"/>
        <w:rPr>
          <w:rFonts w:hint="eastAsia"/>
        </w:rPr>
      </w:pPr>
      <w:r>
        <w:rPr>
          <w:rFonts w:hint="eastAsia"/>
        </w:rPr>
        <w:t>Its significance is illuminated by Israel’s history.</w:t>
      </w:r>
    </w:p>
    <w:p w14:paraId="4B185B43">
      <w:pPr>
        <w:pStyle w:val="9"/>
        <w:spacing w:before="17"/>
        <w:ind w:left="0"/>
        <w:jc w:val="left"/>
        <w:rPr>
          <w:rFonts w:hint="eastAsia"/>
        </w:rPr>
      </w:pPr>
      <w:r>
        <w:rPr>
          <w:rFonts w:hint="eastAsia"/>
        </w:rPr>
        <w:t>它的意义由以色列的历史所阐明。</w:t>
      </w:r>
    </w:p>
    <w:p w14:paraId="77B98404">
      <w:pPr>
        <w:pStyle w:val="9"/>
        <w:spacing w:before="17"/>
        <w:ind w:left="0"/>
        <w:jc w:val="left"/>
        <w:rPr>
          <w:rFonts w:hint="eastAsia"/>
        </w:rPr>
      </w:pPr>
    </w:p>
    <w:p w14:paraId="37F81290">
      <w:pPr>
        <w:pStyle w:val="9"/>
        <w:spacing w:before="17"/>
        <w:ind w:left="0"/>
        <w:jc w:val="left"/>
        <w:rPr>
          <w:rFonts w:hint="eastAsia"/>
        </w:rPr>
      </w:pPr>
      <w:r>
        <w:rPr>
          <w:rFonts w:hint="eastAsia"/>
        </w:rPr>
        <w:t>As Moses received the pattern for ethnic Israel’s ceremonial worship on Mt. Sinai, so Ezekiel beholds—in modified OT imagery—the pattern for eschatological Israel’s ceremonial worship on this Mountain (Ex. 24-31).</w:t>
      </w:r>
    </w:p>
    <w:p w14:paraId="0381EA12">
      <w:pPr>
        <w:pStyle w:val="9"/>
        <w:spacing w:before="17"/>
        <w:ind w:left="0"/>
        <w:jc w:val="left"/>
        <w:rPr>
          <w:rFonts w:hint="eastAsia"/>
        </w:rPr>
      </w:pPr>
      <w:r>
        <w:rPr>
          <w:rFonts w:hint="eastAsia"/>
        </w:rPr>
        <w:t>正如摩西在西奈山上领受了以色列民族礼仪性敬拜的样式，以西结也在这座山上看到了——以修改过的旧约意象——末世以色列礼仪性敬拜的样式（出埃及记24-31章）。</w:t>
      </w:r>
    </w:p>
    <w:p w14:paraId="367C257C">
      <w:pPr>
        <w:pStyle w:val="9"/>
        <w:spacing w:before="17"/>
        <w:ind w:left="0"/>
        <w:jc w:val="left"/>
        <w:rPr>
          <w:rFonts w:hint="eastAsia"/>
        </w:rPr>
      </w:pPr>
    </w:p>
    <w:p w14:paraId="738DEF1F">
      <w:pPr>
        <w:pStyle w:val="9"/>
        <w:spacing w:before="17"/>
        <w:ind w:left="0"/>
        <w:jc w:val="left"/>
        <w:rPr>
          <w:rFonts w:hint="eastAsia"/>
        </w:rPr>
      </w:pPr>
      <w:r>
        <w:rPr>
          <w:rFonts w:hint="eastAsia"/>
        </w:rPr>
        <w:t>As Moses surveyed ethnic Israel’s temporary Promised Land from the heights of Mt. Nebo, so Ezekiel surveys eschatological Israel’s eternal Promised Land from the heights of this Mountain (Deut. 32:48-52).</w:t>
      </w:r>
    </w:p>
    <w:p w14:paraId="486E8B2B">
      <w:pPr>
        <w:pStyle w:val="9"/>
        <w:spacing w:before="17"/>
        <w:ind w:left="0"/>
        <w:jc w:val="left"/>
        <w:rPr>
          <w:rFonts w:hint="eastAsia"/>
        </w:rPr>
      </w:pPr>
      <w:r>
        <w:rPr>
          <w:rFonts w:hint="eastAsia"/>
        </w:rPr>
        <w:t>正如摩西从尼波山顶俯瞰以色列民族暂时的应许之地，以西结也从这座山顶俯瞰末世以色列永恒的应许之地（申命记32:48-52）。</w:t>
      </w:r>
    </w:p>
    <w:p w14:paraId="0A002F38">
      <w:pPr>
        <w:pStyle w:val="9"/>
        <w:spacing w:before="17"/>
        <w:ind w:left="0"/>
        <w:jc w:val="left"/>
        <w:rPr>
          <w:rFonts w:hint="eastAsia"/>
        </w:rPr>
      </w:pPr>
    </w:p>
    <w:p w14:paraId="799D1270">
      <w:pPr>
        <w:pStyle w:val="9"/>
        <w:spacing w:before="17"/>
        <w:ind w:left="0"/>
        <w:jc w:val="left"/>
        <w:rPr>
          <w:rFonts w:hint="eastAsia"/>
        </w:rPr>
      </w:pPr>
      <w:r>
        <w:rPr>
          <w:rFonts w:hint="eastAsia"/>
        </w:rPr>
        <w:t>And as ethnic Israel worshiped God in his temple situated atop Mt. Zion, so—according to Ezekiel—eschatological Israel will worship God in his Temple atop this high Mountain, this eschatological Zion (2 Chron. 5:1ff).</w:t>
      </w:r>
    </w:p>
    <w:p w14:paraId="4038E57F">
      <w:pPr>
        <w:pStyle w:val="9"/>
        <w:spacing w:before="17"/>
        <w:ind w:left="0"/>
        <w:jc w:val="left"/>
        <w:rPr>
          <w:rFonts w:hint="eastAsia"/>
        </w:rPr>
      </w:pPr>
      <w:r>
        <w:rPr>
          <w:rFonts w:hint="eastAsia"/>
        </w:rPr>
        <w:t>正如以色列民族在位于锡安山顶的祂的殿中敬拜神，照以西结所说——末世的以色列也将在位于这座高山，即末世的锡安之上的祂的殿中敬拜神（历代志下5:1及以下）。</w:t>
      </w:r>
    </w:p>
    <w:p w14:paraId="53093973">
      <w:pPr>
        <w:pStyle w:val="9"/>
        <w:spacing w:before="17"/>
        <w:ind w:left="0"/>
        <w:jc w:val="left"/>
        <w:rPr>
          <w:rFonts w:hint="eastAsia"/>
        </w:rPr>
      </w:pPr>
    </w:p>
    <w:p w14:paraId="6C0775BE">
      <w:pPr>
        <w:pStyle w:val="9"/>
        <w:spacing w:before="17"/>
        <w:ind w:left="0"/>
        <w:jc w:val="left"/>
        <w:rPr>
          <w:rFonts w:hint="eastAsia"/>
        </w:rPr>
      </w:pPr>
      <w:r>
        <w:rPr>
          <w:rFonts w:hint="eastAsia"/>
        </w:rPr>
        <w:t>But what exactly does the Mountain represent?</w:t>
      </w:r>
    </w:p>
    <w:p w14:paraId="64D56BA0">
      <w:pPr>
        <w:pStyle w:val="9"/>
        <w:spacing w:before="17"/>
        <w:ind w:left="0"/>
        <w:jc w:val="left"/>
        <w:rPr>
          <w:rFonts w:hint="eastAsia"/>
        </w:rPr>
      </w:pPr>
      <w:r>
        <w:rPr>
          <w:rFonts w:hint="eastAsia"/>
        </w:rPr>
        <w:t>但这座山究竟代表什么？</w:t>
      </w:r>
    </w:p>
    <w:p w14:paraId="76F49481">
      <w:pPr>
        <w:pStyle w:val="9"/>
        <w:spacing w:before="17"/>
        <w:ind w:left="0"/>
        <w:jc w:val="left"/>
        <w:rPr>
          <w:rFonts w:hint="eastAsia"/>
        </w:rPr>
      </w:pPr>
    </w:p>
    <w:p w14:paraId="33B38898">
      <w:pPr>
        <w:pStyle w:val="9"/>
        <w:spacing w:before="17"/>
        <w:ind w:left="0"/>
        <w:jc w:val="left"/>
        <w:rPr>
          <w:rFonts w:hint="eastAsia"/>
        </w:rPr>
      </w:pPr>
      <w:r>
        <w:rPr>
          <w:rFonts w:hint="eastAsia"/>
        </w:rPr>
        <w:t>As we saw earlier, even the OT prophets used this particular symbol to represent the new heavens and the new earth; a fully transformed World from which every trace of moral and natural evil has been removed, so that the glory of God may fully dwell therein (Isaiah 11:9, 25:6-8, 57:13, 65:25, Joel 3:14-17).</w:t>
      </w:r>
    </w:p>
    <w:p w14:paraId="327FB158">
      <w:pPr>
        <w:pStyle w:val="9"/>
        <w:spacing w:before="17"/>
        <w:ind w:left="0"/>
        <w:jc w:val="left"/>
        <w:rPr>
          <w:rFonts w:hint="eastAsia"/>
        </w:rPr>
      </w:pPr>
      <w:r>
        <w:rPr>
          <w:rFonts w:hint="eastAsia"/>
        </w:rPr>
        <w:t>正如我们先前所见，即使是旧约的先知们也用这个特定的象征来代表新天新地；一个完全被改变的世界，其中道德和自然的邪恶痕迹已全部被除去，以致神的荣耀可以完全居住其中（以赛亚书11:9, 25:6-8, 57:13, 65:25, 约珥书3:14-17）。</w:t>
      </w:r>
    </w:p>
    <w:p w14:paraId="577CE9FD">
      <w:pPr>
        <w:pStyle w:val="9"/>
        <w:spacing w:before="17"/>
        <w:ind w:left="0"/>
        <w:jc w:val="left"/>
        <w:rPr>
          <w:rFonts w:hint="eastAsia"/>
        </w:rPr>
      </w:pPr>
    </w:p>
    <w:p w14:paraId="14529B30">
      <w:pPr>
        <w:pStyle w:val="9"/>
        <w:spacing w:before="17"/>
        <w:ind w:left="0"/>
        <w:jc w:val="left"/>
        <w:rPr>
          <w:rFonts w:hint="eastAsia"/>
        </w:rPr>
      </w:pPr>
      <w:r>
        <w:rPr>
          <w:rFonts w:hint="eastAsia"/>
        </w:rPr>
        <w:t>This interpretation is confirmed by Revelation 21:1-11.</w:t>
      </w:r>
    </w:p>
    <w:p w14:paraId="0050B9A7">
      <w:pPr>
        <w:pStyle w:val="9"/>
        <w:spacing w:before="17"/>
        <w:ind w:left="0"/>
        <w:jc w:val="left"/>
        <w:rPr>
          <w:rFonts w:hint="eastAsia"/>
        </w:rPr>
      </w:pPr>
      <w:r>
        <w:rPr>
          <w:rFonts w:hint="eastAsia"/>
        </w:rPr>
        <w:t>这个解释由启示录21:1-11所证实。</w:t>
      </w:r>
    </w:p>
    <w:p w14:paraId="442D8802">
      <w:pPr>
        <w:pStyle w:val="9"/>
        <w:spacing w:before="17"/>
        <w:ind w:left="0"/>
        <w:jc w:val="left"/>
        <w:rPr>
          <w:rFonts w:hint="eastAsia"/>
        </w:rPr>
      </w:pPr>
    </w:p>
    <w:p w14:paraId="2E743C29">
      <w:pPr>
        <w:pStyle w:val="9"/>
        <w:spacing w:before="17"/>
        <w:ind w:left="0"/>
        <w:jc w:val="left"/>
        <w:rPr>
          <w:rFonts w:hint="eastAsia"/>
        </w:rPr>
      </w:pPr>
      <w:r>
        <w:rPr>
          <w:rFonts w:hint="eastAsia"/>
        </w:rPr>
        <w:t>There we learn that John, just like Ezekiel, was carried away in the Spirit to a great and high Mountain.</w:t>
      </w:r>
    </w:p>
    <w:p w14:paraId="52E1D766">
      <w:pPr>
        <w:pStyle w:val="9"/>
        <w:spacing w:before="17"/>
        <w:ind w:left="0"/>
        <w:jc w:val="left"/>
        <w:rPr>
          <w:rFonts w:hint="eastAsia"/>
        </w:rPr>
      </w:pPr>
      <w:r>
        <w:rPr>
          <w:rFonts w:hint="eastAsia"/>
        </w:rPr>
        <w:t>在那里我们得知，约翰，就像以西结一样，被圣灵带到一座高大的山上。</w:t>
      </w:r>
    </w:p>
    <w:p w14:paraId="0B6DF874">
      <w:pPr>
        <w:pStyle w:val="9"/>
        <w:spacing w:before="17"/>
        <w:ind w:left="0"/>
        <w:jc w:val="left"/>
        <w:rPr>
          <w:rFonts w:hint="eastAsia"/>
        </w:rPr>
      </w:pPr>
    </w:p>
    <w:p w14:paraId="50DB85F5">
      <w:pPr>
        <w:pStyle w:val="9"/>
        <w:spacing w:before="17"/>
        <w:ind w:left="0"/>
        <w:jc w:val="left"/>
        <w:rPr>
          <w:rFonts w:hint="eastAsia"/>
        </w:rPr>
      </w:pPr>
      <w:r>
        <w:rPr>
          <w:rFonts w:hint="eastAsia"/>
        </w:rPr>
        <w:t>What did he see?</w:t>
      </w:r>
    </w:p>
    <w:p w14:paraId="583AB28D">
      <w:pPr>
        <w:pStyle w:val="9"/>
        <w:spacing w:before="17"/>
        <w:ind w:left="0"/>
        <w:jc w:val="left"/>
        <w:rPr>
          <w:rFonts w:hint="eastAsia"/>
        </w:rPr>
      </w:pPr>
      <w:r>
        <w:rPr>
          <w:rFonts w:hint="eastAsia"/>
        </w:rPr>
        <w:t>他看见了什么？</w:t>
      </w:r>
    </w:p>
    <w:p w14:paraId="0469C866">
      <w:pPr>
        <w:pStyle w:val="9"/>
        <w:spacing w:before="17"/>
        <w:ind w:left="0"/>
        <w:jc w:val="left"/>
        <w:rPr>
          <w:rFonts w:hint="eastAsia"/>
        </w:rPr>
      </w:pPr>
    </w:p>
    <w:p w14:paraId="7EE9A581">
      <w:pPr>
        <w:pStyle w:val="9"/>
        <w:spacing w:before="17"/>
        <w:ind w:left="0"/>
        <w:jc w:val="left"/>
        <w:rPr>
          <w:rFonts w:hint="eastAsia"/>
        </w:rPr>
      </w:pPr>
      <w:r>
        <w:rPr>
          <w:rFonts w:hint="eastAsia"/>
        </w:rPr>
        <w:t>The Holy City—New Jerusalem—coming down out of heaven from God (21:10-11).</w:t>
      </w:r>
    </w:p>
    <w:p w14:paraId="5CBE738B">
      <w:pPr>
        <w:pStyle w:val="9"/>
        <w:spacing w:before="17"/>
        <w:ind w:left="0"/>
        <w:jc w:val="left"/>
        <w:rPr>
          <w:rFonts w:hint="eastAsia"/>
        </w:rPr>
      </w:pPr>
      <w:r>
        <w:rPr>
          <w:rFonts w:hint="eastAsia"/>
        </w:rPr>
        <w:t>圣城——新耶路撒冷——从天、从神那里降下来（21:10-11）。</w:t>
      </w:r>
    </w:p>
    <w:p w14:paraId="2D263F59">
      <w:pPr>
        <w:pStyle w:val="9"/>
        <w:spacing w:before="17"/>
        <w:ind w:left="0"/>
        <w:jc w:val="left"/>
        <w:rPr>
          <w:rFonts w:hint="eastAsia"/>
        </w:rPr>
      </w:pPr>
    </w:p>
    <w:p w14:paraId="6BCAC0F3">
      <w:pPr>
        <w:pStyle w:val="9"/>
        <w:spacing w:before="17"/>
        <w:ind w:left="0"/>
        <w:jc w:val="left"/>
        <w:rPr>
          <w:rFonts w:hint="eastAsia"/>
        </w:rPr>
      </w:pPr>
      <w:r>
        <w:rPr>
          <w:rFonts w:hint="eastAsia"/>
        </w:rPr>
        <w:t>And where, in fact, did the Holy City settle, there to remain forever?</w:t>
      </w:r>
    </w:p>
    <w:p w14:paraId="298D9015">
      <w:pPr>
        <w:pStyle w:val="9"/>
        <w:spacing w:before="17"/>
        <w:ind w:left="0"/>
        <w:jc w:val="left"/>
        <w:rPr>
          <w:rFonts w:hint="eastAsia"/>
        </w:rPr>
      </w:pPr>
      <w:r>
        <w:rPr>
          <w:rFonts w:hint="eastAsia"/>
        </w:rPr>
        <w:t>事实上，圣城定居在哪里，永远留在那里呢？</w:t>
      </w:r>
    </w:p>
    <w:p w14:paraId="1662916C">
      <w:pPr>
        <w:pStyle w:val="9"/>
        <w:spacing w:before="17"/>
        <w:ind w:left="0"/>
        <w:jc w:val="left"/>
        <w:rPr>
          <w:rFonts w:hint="eastAsia"/>
        </w:rPr>
      </w:pPr>
    </w:p>
    <w:p w14:paraId="1EF2764C">
      <w:pPr>
        <w:pStyle w:val="9"/>
        <w:spacing w:before="17"/>
        <w:ind w:left="0"/>
        <w:jc w:val="left"/>
        <w:rPr>
          <w:rFonts w:hint="eastAsia"/>
        </w:rPr>
      </w:pPr>
      <w:r>
        <w:rPr>
          <w:rFonts w:hint="eastAsia"/>
        </w:rPr>
        <w:t>It settled upon a new earth, for the former heavens and the former earth had passed away (vv. 21:1-2).</w:t>
      </w:r>
    </w:p>
    <w:p w14:paraId="782E9EF9">
      <w:pPr>
        <w:pStyle w:val="9"/>
        <w:spacing w:before="17"/>
        <w:ind w:left="0"/>
        <w:jc w:val="left"/>
        <w:rPr>
          <w:rFonts w:hint="eastAsia"/>
        </w:rPr>
      </w:pPr>
      <w:r>
        <w:rPr>
          <w:rFonts w:hint="eastAsia"/>
        </w:rPr>
        <w:t>它定居在一个新地上，因为先前的天和先前的地都过去了（21:1-2节）。</w:t>
      </w:r>
    </w:p>
    <w:p w14:paraId="3027CC1A">
      <w:pPr>
        <w:pStyle w:val="9"/>
        <w:spacing w:before="17"/>
        <w:ind w:left="0"/>
        <w:jc w:val="left"/>
        <w:rPr>
          <w:rFonts w:hint="eastAsia"/>
        </w:rPr>
      </w:pPr>
    </w:p>
    <w:p w14:paraId="35A8F059">
      <w:pPr>
        <w:pStyle w:val="9"/>
        <w:spacing w:before="17"/>
        <w:ind w:left="0"/>
        <w:jc w:val="left"/>
        <w:rPr>
          <w:rFonts w:hint="eastAsia"/>
        </w:rPr>
      </w:pPr>
      <w:r>
        <w:rPr>
          <w:rFonts w:hint="eastAsia"/>
        </w:rPr>
        <w:t>Thus, John, in accordance with the principle of Progressive Revelation, was given to see what Ezekiel could not: The Mountain of God is none other than the new earth, the glorious home of Christ’s glorified Bride and God’s glorified people (21:3).</w:t>
      </w:r>
    </w:p>
    <w:p w14:paraId="67291E85">
      <w:pPr>
        <w:pStyle w:val="9"/>
        <w:spacing w:before="17"/>
        <w:ind w:left="0"/>
        <w:jc w:val="left"/>
        <w:rPr>
          <w:rFonts w:hint="eastAsia"/>
        </w:rPr>
      </w:pPr>
      <w:r>
        <w:rPr>
          <w:rFonts w:hint="eastAsia"/>
        </w:rPr>
        <w:t>因此，约翰，按照渐进启示的原则，得以看见以西结所不能见的：神的山就是新地，是基督得荣耀的新妇和神得荣耀的子民那荣耀的家（21:3）。</w:t>
      </w:r>
    </w:p>
    <w:p w14:paraId="67884268">
      <w:pPr>
        <w:pStyle w:val="9"/>
        <w:spacing w:before="17"/>
        <w:ind w:left="0"/>
        <w:jc w:val="left"/>
        <w:rPr>
          <w:rFonts w:hint="eastAsia"/>
        </w:rPr>
      </w:pPr>
    </w:p>
    <w:p w14:paraId="11417951">
      <w:pPr>
        <w:pStyle w:val="9"/>
        <w:spacing w:before="17"/>
        <w:ind w:left="0"/>
        <w:jc w:val="left"/>
        <w:rPr>
          <w:rFonts w:hint="eastAsia"/>
        </w:rPr>
      </w:pPr>
      <w:r>
        <w:rPr>
          <w:rFonts w:hint="eastAsia"/>
        </w:rPr>
        <w:t>For the present, the Church is a light shining in the darkness of this fallen world; she is as a City upon a high Hill (Mt. 5:14, John 1:5).</w:t>
      </w:r>
    </w:p>
    <w:p w14:paraId="7BC170C3">
      <w:pPr>
        <w:pStyle w:val="9"/>
        <w:spacing w:before="17"/>
        <w:ind w:left="0"/>
        <w:jc w:val="left"/>
        <w:rPr>
          <w:rFonts w:hint="eastAsia"/>
        </w:rPr>
      </w:pPr>
      <w:r>
        <w:rPr>
          <w:rFonts w:hint="eastAsia"/>
        </w:rPr>
        <w:t>目前，教会是在这堕落世界黑暗中发光的光；她就像一座立在高山上的城（马太福音5:14，约翰福音1:5）。</w:t>
      </w:r>
    </w:p>
    <w:p w14:paraId="05C9210D">
      <w:pPr>
        <w:pStyle w:val="9"/>
        <w:spacing w:before="17"/>
        <w:ind w:left="0"/>
        <w:jc w:val="left"/>
        <w:rPr>
          <w:rFonts w:hint="eastAsia"/>
        </w:rPr>
      </w:pPr>
    </w:p>
    <w:p w14:paraId="68262B94">
      <w:pPr>
        <w:pStyle w:val="9"/>
        <w:spacing w:before="17"/>
        <w:ind w:left="0"/>
        <w:jc w:val="left"/>
        <w:rPr>
          <w:rFonts w:hint="eastAsia"/>
        </w:rPr>
      </w:pPr>
      <w:r>
        <w:rPr>
          <w:rFonts w:hint="eastAsia"/>
        </w:rPr>
        <w:t>However, in that day—according to Ezekiel and John—she will shine like a City on a Mountain, the highest Mountain of all!</w:t>
      </w:r>
    </w:p>
    <w:p w14:paraId="37D68522">
      <w:pPr>
        <w:pStyle w:val="9"/>
        <w:spacing w:before="17"/>
        <w:ind w:left="0"/>
        <w:jc w:val="left"/>
        <w:rPr>
          <w:rFonts w:hint="eastAsia"/>
        </w:rPr>
      </w:pPr>
      <w:r>
        <w:rPr>
          <w:rFonts w:hint="eastAsia"/>
        </w:rPr>
        <w:t>然而，在那日——根据以西结和约翰——她将像一座山上的城那样发光，是所有山中最高的山！</w:t>
      </w:r>
    </w:p>
    <w:p w14:paraId="48813DA3">
      <w:pPr>
        <w:pStyle w:val="9"/>
        <w:spacing w:before="17"/>
        <w:ind w:left="0"/>
        <w:jc w:val="left"/>
        <w:rPr>
          <w:rFonts w:hint="eastAsia"/>
        </w:rPr>
      </w:pPr>
    </w:p>
    <w:p w14:paraId="2BC799DC">
      <w:pPr>
        <w:pStyle w:val="9"/>
        <w:spacing w:before="17"/>
        <w:ind w:left="0"/>
        <w:jc w:val="left"/>
        <w:rPr>
          <w:rFonts w:hint="eastAsia"/>
        </w:rPr>
      </w:pPr>
      <w:r>
        <w:rPr>
          <w:rFonts w:hint="eastAsia"/>
        </w:rPr>
        <w:t>The Everlasting Temple (40:5-42:20)</w:t>
      </w:r>
    </w:p>
    <w:p w14:paraId="75856E7E">
      <w:pPr>
        <w:pStyle w:val="9"/>
        <w:spacing w:before="17"/>
        <w:ind w:left="0"/>
        <w:jc w:val="left"/>
        <w:rPr>
          <w:rFonts w:hint="eastAsia"/>
        </w:rPr>
      </w:pPr>
      <w:r>
        <w:rPr>
          <w:rFonts w:hint="eastAsia"/>
        </w:rPr>
        <w:t>永恒的殿（40:5-42:20）</w:t>
      </w:r>
    </w:p>
    <w:p w14:paraId="7A2B759B">
      <w:pPr>
        <w:pStyle w:val="9"/>
        <w:spacing w:before="17"/>
        <w:ind w:left="0"/>
        <w:jc w:val="left"/>
        <w:rPr>
          <w:rFonts w:hint="eastAsia"/>
        </w:rPr>
      </w:pPr>
    </w:p>
    <w:p w14:paraId="31EAD791">
      <w:pPr>
        <w:pStyle w:val="9"/>
        <w:spacing w:before="17"/>
        <w:ind w:left="0"/>
        <w:jc w:val="left"/>
        <w:rPr>
          <w:rFonts w:hint="eastAsia"/>
        </w:rPr>
      </w:pPr>
      <w:r>
        <w:rPr>
          <w:rFonts w:hint="eastAsia"/>
        </w:rPr>
        <w:t>This portion of the vision describes the Temple Area and its contents.</w:t>
      </w:r>
    </w:p>
    <w:p w14:paraId="2A3B3559">
      <w:pPr>
        <w:pStyle w:val="9"/>
        <w:spacing w:before="17"/>
        <w:ind w:left="0"/>
        <w:jc w:val="left"/>
        <w:rPr>
          <w:rFonts w:hint="eastAsia"/>
        </w:rPr>
      </w:pPr>
      <w:r>
        <w:rPr>
          <w:rFonts w:hint="eastAsia"/>
        </w:rPr>
        <w:t>这部分异象描述了圣殿区域及其内容。</w:t>
      </w:r>
    </w:p>
    <w:p w14:paraId="209CB682">
      <w:pPr>
        <w:pStyle w:val="9"/>
        <w:spacing w:before="17"/>
        <w:ind w:left="0"/>
        <w:jc w:val="left"/>
        <w:rPr>
          <w:rFonts w:hint="eastAsia"/>
        </w:rPr>
      </w:pPr>
    </w:p>
    <w:p w14:paraId="53CF95C7">
      <w:pPr>
        <w:pStyle w:val="9"/>
        <w:spacing w:before="17"/>
        <w:ind w:left="0"/>
        <w:jc w:val="left"/>
        <w:rPr>
          <w:rFonts w:hint="eastAsia"/>
        </w:rPr>
      </w:pPr>
      <w:r>
        <w:rPr>
          <w:rFonts w:hint="eastAsia"/>
        </w:rPr>
        <w:t>Ezekiel’s journey begins here because in the World to Come the Temple— or rather the worship of him who inhabits the Temple—will be of first importance.</w:t>
      </w:r>
    </w:p>
    <w:p w14:paraId="0F65BDBA">
      <w:pPr>
        <w:pStyle w:val="9"/>
        <w:spacing w:before="17"/>
        <w:ind w:left="0"/>
        <w:jc w:val="left"/>
        <w:rPr>
          <w:rFonts w:hint="eastAsia"/>
        </w:rPr>
      </w:pPr>
      <w:r>
        <w:rPr>
          <w:rFonts w:hint="eastAsia"/>
        </w:rPr>
        <w:t>以西结的旅程从这里开始，因为在未来世界里，圣殿——或者更确切地说，对居住在圣殿中那位的敬拜——将是首要的。</w:t>
      </w:r>
    </w:p>
    <w:p w14:paraId="72782E3F">
      <w:pPr>
        <w:pStyle w:val="9"/>
        <w:spacing w:before="17"/>
        <w:ind w:left="0"/>
        <w:jc w:val="left"/>
        <w:rPr>
          <w:rFonts w:hint="eastAsia"/>
        </w:rPr>
      </w:pPr>
    </w:p>
    <w:p w14:paraId="2816DBCF">
      <w:pPr>
        <w:pStyle w:val="9"/>
        <w:spacing w:before="17"/>
        <w:ind w:left="0"/>
        <w:jc w:val="left"/>
        <w:rPr>
          <w:rFonts w:hint="eastAsia"/>
        </w:rPr>
      </w:pPr>
      <w:r>
        <w:rPr>
          <w:rFonts w:hint="eastAsia"/>
        </w:rPr>
        <w:t>Also, as he learns later in his tour, the Temple Area will be situated at the absolute center of the Land.</w:t>
      </w:r>
    </w:p>
    <w:p w14:paraId="6833FC97">
      <w:pPr>
        <w:pStyle w:val="9"/>
        <w:spacing w:before="17"/>
        <w:ind w:left="0"/>
        <w:jc w:val="left"/>
        <w:rPr>
          <w:rFonts w:hint="eastAsia"/>
        </w:rPr>
      </w:pPr>
      <w:r>
        <w:rPr>
          <w:rFonts w:hint="eastAsia"/>
        </w:rPr>
        <w:t>此外，正如他在稍后的游览中得知的，圣殿区域将位于那地的绝对中心。</w:t>
      </w:r>
    </w:p>
    <w:p w14:paraId="04931D8D">
      <w:pPr>
        <w:pStyle w:val="9"/>
        <w:spacing w:before="17"/>
        <w:ind w:left="0"/>
        <w:jc w:val="left"/>
        <w:rPr>
          <w:rFonts w:hint="eastAsia"/>
        </w:rPr>
      </w:pPr>
    </w:p>
    <w:p w14:paraId="16E63ECB">
      <w:pPr>
        <w:pStyle w:val="9"/>
        <w:spacing w:before="17"/>
        <w:ind w:left="0"/>
        <w:jc w:val="left"/>
        <w:rPr>
          <w:rFonts w:hint="eastAsia"/>
        </w:rPr>
      </w:pPr>
      <w:r>
        <w:rPr>
          <w:rFonts w:hint="eastAsia"/>
        </w:rPr>
        <w:t>Thus, by speaking first of the center of life in the World to Come, the Spirit alerts us to the fact that in the eschaton the worship of God in Christ will lie at the heart of all things.</w:t>
      </w:r>
    </w:p>
    <w:p w14:paraId="2D76A2CB">
      <w:pPr>
        <w:pStyle w:val="9"/>
        <w:spacing w:before="17"/>
        <w:ind w:left="0"/>
        <w:jc w:val="left"/>
        <w:rPr>
          <w:rFonts w:hint="eastAsia"/>
        </w:rPr>
      </w:pPr>
      <w:r>
        <w:rPr>
          <w:rFonts w:hint="eastAsia"/>
        </w:rPr>
        <w:t>因此，藉着首先谈论未来世界生活的中心，圣灵提醒我们，在末世，在基督里对神的敬拜将是万事的核心。</w:t>
      </w:r>
    </w:p>
    <w:p w14:paraId="5D225D9C">
      <w:pPr>
        <w:pStyle w:val="9"/>
        <w:spacing w:before="17"/>
        <w:ind w:left="0"/>
        <w:jc w:val="left"/>
        <w:rPr>
          <w:rFonts w:hint="eastAsia"/>
        </w:rPr>
      </w:pPr>
    </w:p>
    <w:p w14:paraId="2458DBB7">
      <w:pPr>
        <w:pStyle w:val="9"/>
        <w:spacing w:before="17"/>
        <w:ind w:left="0"/>
        <w:jc w:val="left"/>
        <w:rPr>
          <w:rFonts w:hint="eastAsia"/>
        </w:rPr>
      </w:pPr>
      <w:r>
        <w:rPr>
          <w:rFonts w:hint="eastAsia"/>
        </w:rPr>
        <w:t>If we limit ourselves to the essentials, the plan of the Temple Area is fairly easy to describe.11</w:t>
      </w:r>
    </w:p>
    <w:p w14:paraId="04C89DF5">
      <w:pPr>
        <w:pStyle w:val="9"/>
        <w:spacing w:before="17"/>
        <w:ind w:left="0"/>
        <w:jc w:val="left"/>
        <w:rPr>
          <w:rFonts w:hint="eastAsia"/>
        </w:rPr>
      </w:pPr>
      <w:r>
        <w:rPr>
          <w:rFonts w:hint="eastAsia"/>
        </w:rPr>
        <w:t>如果我们只关注要点，圣殿区域的平面图相当容易描述。11</w:t>
      </w:r>
    </w:p>
    <w:p w14:paraId="2CD38783">
      <w:pPr>
        <w:pStyle w:val="9"/>
        <w:spacing w:before="17"/>
        <w:ind w:left="0"/>
        <w:jc w:val="left"/>
        <w:rPr>
          <w:rFonts w:hint="eastAsia"/>
        </w:rPr>
      </w:pPr>
    </w:p>
    <w:p w14:paraId="440304CE">
      <w:pPr>
        <w:pStyle w:val="9"/>
        <w:spacing w:before="17"/>
        <w:ind w:left="0"/>
        <w:jc w:val="left"/>
        <w:rPr>
          <w:rFonts w:hint="eastAsia"/>
        </w:rPr>
      </w:pPr>
      <w:r>
        <w:rPr>
          <w:rFonts w:hint="eastAsia"/>
        </w:rPr>
        <w:t>It is a perfect square (42:15-20).</w:t>
      </w:r>
    </w:p>
    <w:p w14:paraId="41C138CE">
      <w:pPr>
        <w:pStyle w:val="9"/>
        <w:spacing w:before="17"/>
        <w:ind w:left="0"/>
        <w:jc w:val="left"/>
        <w:rPr>
          <w:rFonts w:hint="eastAsia"/>
        </w:rPr>
      </w:pPr>
      <w:r>
        <w:rPr>
          <w:rFonts w:hint="eastAsia"/>
        </w:rPr>
        <w:t>它是一个完美的正方形（42:15-20）。</w:t>
      </w:r>
    </w:p>
    <w:p w14:paraId="2C9BFBD0">
      <w:pPr>
        <w:pStyle w:val="9"/>
        <w:spacing w:before="17"/>
        <w:ind w:left="0"/>
        <w:jc w:val="left"/>
        <w:rPr>
          <w:rFonts w:hint="eastAsia"/>
        </w:rPr>
      </w:pPr>
    </w:p>
    <w:p w14:paraId="4568D0C8">
      <w:pPr>
        <w:pStyle w:val="9"/>
        <w:spacing w:before="17"/>
        <w:ind w:left="0"/>
        <w:jc w:val="left"/>
        <w:rPr>
          <w:rFonts w:hint="eastAsia"/>
        </w:rPr>
      </w:pPr>
      <w:r>
        <w:rPr>
          <w:rFonts w:hint="eastAsia"/>
        </w:rPr>
        <w:t>At the exact center is the altar (43:13-17).</w:t>
      </w:r>
    </w:p>
    <w:p w14:paraId="462CC401">
      <w:pPr>
        <w:pStyle w:val="9"/>
        <w:spacing w:before="17"/>
        <w:ind w:left="0"/>
        <w:jc w:val="left"/>
        <w:rPr>
          <w:rFonts w:hint="eastAsia"/>
        </w:rPr>
      </w:pPr>
      <w:r>
        <w:rPr>
          <w:rFonts w:hint="eastAsia"/>
        </w:rPr>
        <w:t>正中央是祭坛（43:13-17）。</w:t>
      </w:r>
    </w:p>
    <w:p w14:paraId="10A9503E">
      <w:pPr>
        <w:pStyle w:val="9"/>
        <w:spacing w:before="17"/>
        <w:ind w:left="0"/>
        <w:jc w:val="left"/>
        <w:rPr>
          <w:rFonts w:hint="eastAsia"/>
        </w:rPr>
      </w:pPr>
    </w:p>
    <w:p w14:paraId="03E49963">
      <w:pPr>
        <w:pStyle w:val="9"/>
        <w:spacing w:before="17"/>
        <w:ind w:left="0"/>
        <w:jc w:val="left"/>
        <w:rPr>
          <w:rFonts w:hint="eastAsia"/>
        </w:rPr>
      </w:pPr>
      <w:r>
        <w:rPr>
          <w:rFonts w:hint="eastAsia"/>
        </w:rPr>
        <w:t>Behind the altar, to the West, stands the Sanctuary, or the Temple itself.</w:t>
      </w:r>
    </w:p>
    <w:p w14:paraId="00FFCC94">
      <w:pPr>
        <w:pStyle w:val="9"/>
        <w:spacing w:before="17"/>
        <w:ind w:left="0"/>
        <w:jc w:val="left"/>
        <w:rPr>
          <w:rFonts w:hint="eastAsia"/>
        </w:rPr>
      </w:pPr>
      <w:r>
        <w:rPr>
          <w:rFonts w:hint="eastAsia"/>
        </w:rPr>
        <w:t>祭坛后面，向西，矗立着圣所，即圣殿本身。</w:t>
      </w:r>
    </w:p>
    <w:p w14:paraId="6C45AFCB">
      <w:pPr>
        <w:pStyle w:val="9"/>
        <w:spacing w:before="17"/>
        <w:ind w:left="0"/>
        <w:jc w:val="left"/>
        <w:rPr>
          <w:rFonts w:hint="eastAsia"/>
        </w:rPr>
      </w:pPr>
    </w:p>
    <w:p w14:paraId="3F5EFDCD">
      <w:pPr>
        <w:pStyle w:val="9"/>
        <w:spacing w:before="17"/>
        <w:ind w:left="0"/>
        <w:jc w:val="left"/>
        <w:rPr>
          <w:rFonts w:hint="eastAsia"/>
        </w:rPr>
      </w:pPr>
      <w:r>
        <w:rPr>
          <w:rFonts w:hint="eastAsia"/>
        </w:rPr>
        <w:t>Elevated upon its base, it is comprised of the Most Holy Place (another perfect square), the Holy Place, and a portico.</w:t>
      </w:r>
    </w:p>
    <w:p w14:paraId="3335F605">
      <w:pPr>
        <w:pStyle w:val="9"/>
        <w:spacing w:before="17"/>
        <w:ind w:left="0"/>
        <w:jc w:val="left"/>
        <w:rPr>
          <w:rFonts w:hint="eastAsia"/>
        </w:rPr>
      </w:pPr>
      <w:r>
        <w:rPr>
          <w:rFonts w:hint="eastAsia"/>
        </w:rPr>
        <w:t>它高立在其基座上，由至圣所（另一个完美的正方形）、圣所和廊子组成。</w:t>
      </w:r>
    </w:p>
    <w:p w14:paraId="3C79B2A6">
      <w:pPr>
        <w:pStyle w:val="9"/>
        <w:spacing w:before="17"/>
        <w:ind w:left="0"/>
        <w:jc w:val="left"/>
        <w:rPr>
          <w:rFonts w:hint="eastAsia"/>
        </w:rPr>
      </w:pPr>
    </w:p>
    <w:p w14:paraId="28C3C9B4">
      <w:pPr>
        <w:pStyle w:val="9"/>
        <w:spacing w:before="17"/>
        <w:ind w:left="0"/>
        <w:jc w:val="left"/>
        <w:rPr>
          <w:rFonts w:hint="eastAsia"/>
        </w:rPr>
      </w:pPr>
      <w:r>
        <w:rPr>
          <w:rFonts w:hint="eastAsia"/>
        </w:rPr>
        <w:t>The whole structure is enclosed on the North, South, and West by three galleries containing 90 side rooms (41:5-11).</w:t>
      </w:r>
    </w:p>
    <w:p w14:paraId="22C39E57">
      <w:pPr>
        <w:pStyle w:val="9"/>
        <w:spacing w:before="17"/>
        <w:ind w:left="0"/>
        <w:jc w:val="left"/>
        <w:rPr>
          <w:rFonts w:hint="eastAsia"/>
        </w:rPr>
      </w:pPr>
      <w:r>
        <w:rPr>
          <w:rFonts w:hint="eastAsia"/>
        </w:rPr>
        <w:t>整个建筑在北、南、西三面被三层楼廊环绕，共有90间旁屋（41:5-11）。</w:t>
      </w:r>
    </w:p>
    <w:p w14:paraId="1D30A3D7">
      <w:pPr>
        <w:pStyle w:val="9"/>
        <w:spacing w:before="17"/>
        <w:ind w:left="0"/>
        <w:jc w:val="left"/>
        <w:rPr>
          <w:rFonts w:hint="eastAsia"/>
        </w:rPr>
      </w:pPr>
    </w:p>
    <w:p w14:paraId="455D6627">
      <w:pPr>
        <w:pStyle w:val="9"/>
        <w:spacing w:before="17"/>
        <w:ind w:left="0"/>
        <w:jc w:val="left"/>
        <w:rPr>
          <w:rFonts w:hint="eastAsia"/>
        </w:rPr>
      </w:pPr>
      <w:r>
        <w:rPr>
          <w:rFonts w:hint="eastAsia"/>
        </w:rPr>
        <w:t>The Sanctuary and the altar are enclosed by a small rectangular court (40:47).</w:t>
      </w:r>
    </w:p>
    <w:p w14:paraId="6F0E3801">
      <w:pPr>
        <w:pStyle w:val="9"/>
        <w:spacing w:before="17"/>
        <w:ind w:left="0"/>
        <w:jc w:val="left"/>
        <w:rPr>
          <w:rFonts w:hint="eastAsia"/>
        </w:rPr>
      </w:pPr>
      <w:r>
        <w:rPr>
          <w:rFonts w:hint="eastAsia"/>
        </w:rPr>
        <w:t>圣所和祭坛被一个小长方形的院子围起来（40:47）。</w:t>
      </w:r>
    </w:p>
    <w:p w14:paraId="2AF75668">
      <w:pPr>
        <w:pStyle w:val="9"/>
        <w:spacing w:before="17"/>
        <w:ind w:left="0"/>
        <w:jc w:val="left"/>
        <w:rPr>
          <w:rFonts w:hint="eastAsia"/>
        </w:rPr>
      </w:pPr>
    </w:p>
    <w:p w14:paraId="3816B364">
      <w:pPr>
        <w:pStyle w:val="9"/>
        <w:spacing w:before="17"/>
        <w:ind w:left="0"/>
        <w:jc w:val="left"/>
        <w:rPr>
          <w:rFonts w:hint="eastAsia"/>
        </w:rPr>
      </w:pPr>
      <w:r>
        <w:rPr>
          <w:rFonts w:hint="eastAsia"/>
        </w:rPr>
        <w:t>On either side of the Sanctuary, just outside this court, are buildings with more chambers for the priests (42:1-10).</w:t>
      </w:r>
    </w:p>
    <w:p w14:paraId="16F3AE72">
      <w:pPr>
        <w:pStyle w:val="9"/>
        <w:spacing w:before="17"/>
        <w:ind w:left="0"/>
        <w:jc w:val="left"/>
        <w:rPr>
          <w:rFonts w:hint="eastAsia"/>
        </w:rPr>
      </w:pPr>
      <w:r>
        <w:rPr>
          <w:rFonts w:hint="eastAsia"/>
        </w:rPr>
        <w:t>在圣所的两侧，就在这个院子外面，有一些建筑，里面有更多给祭司的屋子（42:1-10）。</w:t>
      </w:r>
    </w:p>
    <w:p w14:paraId="14970F8E">
      <w:pPr>
        <w:pStyle w:val="9"/>
        <w:spacing w:before="17"/>
        <w:ind w:left="0"/>
        <w:jc w:val="left"/>
        <w:rPr>
          <w:rFonts w:hint="eastAsia"/>
        </w:rPr>
      </w:pPr>
    </w:p>
    <w:p w14:paraId="7F634B0D">
      <w:pPr>
        <w:pStyle w:val="9"/>
        <w:spacing w:before="17"/>
        <w:ind w:left="0"/>
        <w:jc w:val="left"/>
        <w:rPr>
          <w:rFonts w:hint="eastAsia"/>
        </w:rPr>
      </w:pPr>
      <w:r>
        <w:rPr>
          <w:rFonts w:hint="eastAsia"/>
        </w:rPr>
        <w:t>Behind the Sanctuary to the West are three separate buildings, two of which contain utensils for the preparation of the various sacrifices (46:19-20).</w:t>
      </w:r>
    </w:p>
    <w:p w14:paraId="7A78DB03">
      <w:pPr>
        <w:pStyle w:val="9"/>
        <w:spacing w:before="17"/>
        <w:ind w:left="0"/>
        <w:jc w:val="left"/>
        <w:rPr>
          <w:rFonts w:hint="eastAsia"/>
        </w:rPr>
      </w:pPr>
      <w:r>
        <w:rPr>
          <w:rFonts w:hint="eastAsia"/>
        </w:rPr>
        <w:t>圣所后面向西有三座独立的建筑，其中两座存放着预备各种祭物的器具（46:19-20）。</w:t>
      </w:r>
    </w:p>
    <w:p w14:paraId="6CA5CF3F">
      <w:pPr>
        <w:pStyle w:val="9"/>
        <w:spacing w:before="17"/>
        <w:ind w:left="0"/>
        <w:jc w:val="left"/>
        <w:rPr>
          <w:rFonts w:hint="eastAsia"/>
        </w:rPr>
      </w:pPr>
    </w:p>
    <w:p w14:paraId="73394638">
      <w:pPr>
        <w:pStyle w:val="9"/>
        <w:spacing w:before="17"/>
        <w:ind w:left="0"/>
        <w:jc w:val="left"/>
        <w:rPr>
          <w:rFonts w:hint="eastAsia"/>
        </w:rPr>
      </w:pPr>
      <w:r>
        <w:rPr>
          <w:rFonts w:hint="eastAsia"/>
        </w:rPr>
        <w:t>On the North, East, and South sides of the Temple court there are gateways, each containing chambers for the Temple guards (40:28-38).</w:t>
      </w:r>
    </w:p>
    <w:p w14:paraId="06DAF2D0">
      <w:pPr>
        <w:pStyle w:val="9"/>
        <w:spacing w:before="17"/>
        <w:ind w:left="0"/>
        <w:jc w:val="left"/>
        <w:rPr>
          <w:rFonts w:hint="eastAsia"/>
        </w:rPr>
      </w:pPr>
      <w:r>
        <w:rPr>
          <w:rFonts w:hint="eastAsia"/>
        </w:rPr>
        <w:t>在殿院的北、东、南三面都有门洞，每个门洞都包含给殿卫的屋子（40:28-38）。</w:t>
      </w:r>
    </w:p>
    <w:p w14:paraId="1FD91AEB">
      <w:pPr>
        <w:pStyle w:val="9"/>
        <w:spacing w:before="17"/>
        <w:ind w:left="0"/>
        <w:jc w:val="left"/>
        <w:rPr>
          <w:rFonts w:hint="eastAsia"/>
        </w:rPr>
      </w:pPr>
    </w:p>
    <w:p w14:paraId="0559B55D">
      <w:pPr>
        <w:pStyle w:val="9"/>
        <w:spacing w:before="17"/>
        <w:ind w:left="0"/>
        <w:jc w:val="left"/>
        <w:rPr>
          <w:rFonts w:hint="eastAsia"/>
        </w:rPr>
      </w:pPr>
      <w:r>
        <w:rPr>
          <w:rFonts w:hint="eastAsia"/>
        </w:rPr>
        <w:t>Surrounding the entire Temple Area is a large outer court, bounded by four high walls each measuring 500 cubits in length.</w:t>
      </w:r>
    </w:p>
    <w:p w14:paraId="6774E948">
      <w:pPr>
        <w:pStyle w:val="9"/>
        <w:spacing w:before="17"/>
        <w:ind w:left="0"/>
        <w:jc w:val="left"/>
        <w:rPr>
          <w:rFonts w:hint="eastAsia"/>
        </w:rPr>
      </w:pPr>
      <w:r>
        <w:rPr>
          <w:rFonts w:hint="eastAsia"/>
        </w:rPr>
        <w:t>整个圣殿区域被一个大的外院环绕，由四面高墙界定，每面墙长500肘。</w:t>
      </w:r>
    </w:p>
    <w:p w14:paraId="6BF374C7">
      <w:pPr>
        <w:pStyle w:val="9"/>
        <w:spacing w:before="17"/>
        <w:ind w:left="0"/>
        <w:jc w:val="left"/>
        <w:rPr>
          <w:rFonts w:hint="eastAsia"/>
        </w:rPr>
      </w:pPr>
    </w:p>
    <w:p w14:paraId="6668C34F">
      <w:pPr>
        <w:pStyle w:val="9"/>
        <w:spacing w:before="17"/>
        <w:ind w:left="0"/>
        <w:jc w:val="left"/>
        <w:rPr>
          <w:rFonts w:hint="eastAsia"/>
        </w:rPr>
      </w:pPr>
      <w:r>
        <w:rPr>
          <w:rFonts w:hint="eastAsia"/>
        </w:rPr>
        <w:t>Thus, it too is a perfect square.</w:t>
      </w:r>
    </w:p>
    <w:p w14:paraId="733BEDC0">
      <w:pPr>
        <w:pStyle w:val="9"/>
        <w:spacing w:before="17"/>
        <w:ind w:left="0"/>
        <w:jc w:val="left"/>
        <w:rPr>
          <w:rFonts w:hint="eastAsia"/>
        </w:rPr>
      </w:pPr>
      <w:r>
        <w:rPr>
          <w:rFonts w:hint="eastAsia"/>
        </w:rPr>
        <w:t>因此，它也是一个完美的正方形。</w:t>
      </w:r>
    </w:p>
    <w:p w14:paraId="511F753D">
      <w:pPr>
        <w:pStyle w:val="9"/>
        <w:spacing w:before="17"/>
        <w:ind w:left="0"/>
        <w:jc w:val="left"/>
        <w:rPr>
          <w:rFonts w:hint="eastAsia"/>
        </w:rPr>
      </w:pPr>
    </w:p>
    <w:p w14:paraId="71EBF750">
      <w:pPr>
        <w:pStyle w:val="9"/>
        <w:spacing w:before="17"/>
        <w:ind w:left="0"/>
        <w:jc w:val="left"/>
        <w:rPr>
          <w:rFonts w:hint="eastAsia"/>
        </w:rPr>
      </w:pPr>
      <w:r>
        <w:rPr>
          <w:rFonts w:hint="eastAsia"/>
        </w:rPr>
        <w:t>In the middle of the Northern, Eastern, and Southern walls there are large gates, each with chambers for the Temple guards (40:5, 16-20).</w:t>
      </w:r>
    </w:p>
    <w:p w14:paraId="3158E2F8">
      <w:pPr>
        <w:pStyle w:val="9"/>
        <w:spacing w:before="17"/>
        <w:ind w:left="0"/>
        <w:jc w:val="left"/>
        <w:rPr>
          <w:rFonts w:hint="eastAsia"/>
        </w:rPr>
      </w:pPr>
      <w:r>
        <w:rPr>
          <w:rFonts w:hint="eastAsia"/>
        </w:rPr>
        <w:t>在北、东、南三面的墙中间有大门，每个门都有给殿卫的屋子（40:5, 16-20）。</w:t>
      </w:r>
    </w:p>
    <w:p w14:paraId="364093E8">
      <w:pPr>
        <w:pStyle w:val="9"/>
        <w:spacing w:before="17"/>
        <w:ind w:left="0"/>
        <w:jc w:val="left"/>
        <w:rPr>
          <w:rFonts w:hint="eastAsia"/>
        </w:rPr>
      </w:pPr>
    </w:p>
    <w:p w14:paraId="77E058DD">
      <w:pPr>
        <w:pStyle w:val="9"/>
        <w:spacing w:before="17"/>
        <w:ind w:left="0"/>
        <w:jc w:val="left"/>
        <w:rPr>
          <w:rFonts w:hint="eastAsia"/>
        </w:rPr>
      </w:pPr>
      <w:r>
        <w:rPr>
          <w:rFonts w:hint="eastAsia"/>
        </w:rPr>
        <w:t>Ezekiel’s tour was “outside-in” and “inside-out.”</w:t>
      </w:r>
    </w:p>
    <w:p w14:paraId="09FAEA3A">
      <w:pPr>
        <w:pStyle w:val="9"/>
        <w:spacing w:before="17"/>
        <w:ind w:left="0"/>
        <w:jc w:val="left"/>
        <w:rPr>
          <w:rFonts w:hint="eastAsia"/>
        </w:rPr>
      </w:pPr>
      <w:r>
        <w:rPr>
          <w:rFonts w:hint="eastAsia"/>
        </w:rPr>
        <w:t>以西结的游览是“由外而内”和“由内而外”的。</w:t>
      </w:r>
    </w:p>
    <w:p w14:paraId="4CCF3E35">
      <w:pPr>
        <w:pStyle w:val="9"/>
        <w:spacing w:before="17"/>
        <w:ind w:left="0"/>
        <w:jc w:val="left"/>
        <w:rPr>
          <w:rFonts w:hint="eastAsia"/>
        </w:rPr>
      </w:pPr>
    </w:p>
    <w:p w14:paraId="3FEBF440">
      <w:pPr>
        <w:pStyle w:val="9"/>
        <w:spacing w:before="17"/>
        <w:ind w:left="0"/>
        <w:jc w:val="left"/>
        <w:rPr>
          <w:rFonts w:hint="eastAsia"/>
        </w:rPr>
      </w:pPr>
      <w:r>
        <w:rPr>
          <w:rFonts w:hint="eastAsia"/>
        </w:rPr>
        <w:t>He enters through the Eastern Gate of the outer court, proceeds towards the Most Holy Place of the Temple (which he does not enter), and exits again through the Eastern Gate.</w:t>
      </w:r>
    </w:p>
    <w:p w14:paraId="2D5C7AFA">
      <w:pPr>
        <w:pStyle w:val="9"/>
        <w:spacing w:before="17"/>
        <w:ind w:left="0"/>
        <w:jc w:val="left"/>
        <w:rPr>
          <w:rFonts w:hint="eastAsia"/>
        </w:rPr>
      </w:pPr>
      <w:r>
        <w:rPr>
          <w:rFonts w:hint="eastAsia"/>
        </w:rPr>
        <w:t>他从外院的东门进入，走向殿的至圣所（他没有进去），再从东门出去。</w:t>
      </w:r>
    </w:p>
    <w:p w14:paraId="16BC5333">
      <w:pPr>
        <w:pStyle w:val="9"/>
        <w:spacing w:before="17"/>
        <w:ind w:left="0"/>
        <w:jc w:val="left"/>
        <w:rPr>
          <w:rFonts w:hint="eastAsia"/>
        </w:rPr>
      </w:pPr>
    </w:p>
    <w:p w14:paraId="057CB2A6">
      <w:pPr>
        <w:pStyle w:val="9"/>
        <w:spacing w:before="17"/>
        <w:ind w:left="0"/>
        <w:jc w:val="left"/>
        <w:rPr>
          <w:rFonts w:hint="eastAsia"/>
        </w:rPr>
      </w:pPr>
      <w:r>
        <w:rPr>
          <w:rFonts w:hint="eastAsia"/>
        </w:rPr>
        <w:t>While it is undoubtedly true that each element of this vision contains rich typological significance, we cannot see the trees until we behold the forest.</w:t>
      </w:r>
    </w:p>
    <w:p w14:paraId="515CB4C4">
      <w:pPr>
        <w:pStyle w:val="9"/>
        <w:spacing w:before="17"/>
        <w:ind w:left="0"/>
        <w:jc w:val="left"/>
        <w:rPr>
          <w:rFonts w:hint="eastAsia"/>
        </w:rPr>
      </w:pPr>
      <w:r>
        <w:rPr>
          <w:rFonts w:hint="eastAsia"/>
        </w:rPr>
        <w:t>虽然这个异象的每一个元素无疑都含有丰富的预表意义，但我们必须先见森林，才能见树木。</w:t>
      </w:r>
    </w:p>
    <w:p w14:paraId="7958E03C">
      <w:pPr>
        <w:pStyle w:val="9"/>
        <w:spacing w:before="17"/>
        <w:ind w:left="0"/>
        <w:jc w:val="left"/>
        <w:rPr>
          <w:rFonts w:hint="eastAsia"/>
        </w:rPr>
      </w:pPr>
    </w:p>
    <w:p w14:paraId="7153D72C">
      <w:pPr>
        <w:pStyle w:val="9"/>
        <w:spacing w:before="17"/>
        <w:ind w:left="0"/>
        <w:jc w:val="left"/>
        <w:rPr>
          <w:rFonts w:hint="eastAsia"/>
        </w:rPr>
      </w:pPr>
      <w:r>
        <w:rPr>
          <w:rFonts w:hint="eastAsia"/>
        </w:rPr>
        <w:t>In other words, we must first ask ourselves, “What does the Temple Area as a whole symbolize?”</w:t>
      </w:r>
    </w:p>
    <w:p w14:paraId="7B2DAF8D">
      <w:pPr>
        <w:pStyle w:val="9"/>
        <w:spacing w:before="17"/>
        <w:ind w:left="0"/>
        <w:jc w:val="left"/>
        <w:rPr>
          <w:rFonts w:hint="eastAsia"/>
        </w:rPr>
      </w:pPr>
      <w:r>
        <w:rPr>
          <w:rFonts w:hint="eastAsia"/>
        </w:rPr>
        <w:t>换句话说，我们必须首先问自己：“整个圣殿区域象征着什么？”</w:t>
      </w:r>
    </w:p>
    <w:p w14:paraId="4CE17287">
      <w:pPr>
        <w:pStyle w:val="9"/>
        <w:spacing w:before="17"/>
        <w:ind w:left="0"/>
        <w:jc w:val="left"/>
        <w:rPr>
          <w:rFonts w:hint="eastAsia"/>
        </w:rPr>
      </w:pPr>
    </w:p>
    <w:p w14:paraId="678D5BFD">
      <w:pPr>
        <w:pStyle w:val="9"/>
        <w:spacing w:before="17"/>
        <w:ind w:left="0"/>
        <w:jc w:val="left"/>
        <w:rPr>
          <w:rFonts w:hint="eastAsia"/>
        </w:rPr>
      </w:pPr>
      <w:r>
        <w:rPr>
          <w:rFonts w:hint="eastAsia"/>
        </w:rPr>
        <w:t>The NT answers in no uncertain terms.</w:t>
      </w:r>
    </w:p>
    <w:p w14:paraId="5BA8B374">
      <w:pPr>
        <w:pStyle w:val="9"/>
        <w:spacing w:before="17"/>
        <w:ind w:left="0"/>
        <w:jc w:val="left"/>
        <w:rPr>
          <w:rFonts w:hint="eastAsia"/>
        </w:rPr>
      </w:pPr>
      <w:r>
        <w:rPr>
          <w:rFonts w:hint="eastAsia"/>
        </w:rPr>
        <w:t>新约毫不含糊地回答了。</w:t>
      </w:r>
    </w:p>
    <w:p w14:paraId="3D58FDED">
      <w:pPr>
        <w:pStyle w:val="9"/>
        <w:spacing w:before="17"/>
        <w:ind w:left="0"/>
        <w:jc w:val="left"/>
        <w:rPr>
          <w:rFonts w:hint="eastAsia"/>
        </w:rPr>
      </w:pPr>
    </w:p>
    <w:p w14:paraId="497E5EAE">
      <w:pPr>
        <w:pStyle w:val="9"/>
        <w:spacing w:before="17"/>
        <w:ind w:left="0"/>
        <w:jc w:val="left"/>
        <w:rPr>
          <w:rFonts w:hint="eastAsia"/>
        </w:rPr>
      </w:pPr>
      <w:r>
        <w:rPr>
          <w:rFonts w:hint="eastAsia"/>
        </w:rPr>
        <w:t>Jesus said, “Destroy this temple and I will raise it up in three days” (John 2:18).</w:t>
      </w:r>
    </w:p>
    <w:p w14:paraId="762760A5">
      <w:pPr>
        <w:pStyle w:val="9"/>
        <w:spacing w:before="17"/>
        <w:ind w:left="0"/>
        <w:jc w:val="left"/>
        <w:rPr>
          <w:rFonts w:hint="eastAsia"/>
        </w:rPr>
      </w:pPr>
      <w:r>
        <w:rPr>
          <w:rFonts w:hint="eastAsia"/>
        </w:rPr>
        <w:t>耶稣说：“你们拆毁这殿，我三日内要再建立起来”（约翰福音2:18）。</w:t>
      </w:r>
    </w:p>
    <w:p w14:paraId="30862F55">
      <w:pPr>
        <w:pStyle w:val="9"/>
        <w:spacing w:before="17"/>
        <w:ind w:left="0"/>
        <w:jc w:val="left"/>
        <w:rPr>
          <w:rFonts w:hint="eastAsia"/>
        </w:rPr>
      </w:pPr>
    </w:p>
    <w:p w14:paraId="4FB5F5F9">
      <w:pPr>
        <w:pStyle w:val="9"/>
        <w:spacing w:before="17"/>
        <w:ind w:left="0"/>
        <w:jc w:val="left"/>
        <w:rPr>
          <w:rFonts w:hint="eastAsia"/>
        </w:rPr>
      </w:pPr>
      <w:r>
        <w:rPr>
          <w:rFonts w:hint="eastAsia"/>
        </w:rPr>
        <w:t>For Christ, the Temple of God was—and would be—his body.</w:t>
      </w:r>
    </w:p>
    <w:p w14:paraId="092E06F1">
      <w:pPr>
        <w:pStyle w:val="9"/>
        <w:spacing w:before="17"/>
        <w:ind w:left="0"/>
        <w:jc w:val="left"/>
        <w:rPr>
          <w:rFonts w:hint="eastAsia"/>
        </w:rPr>
      </w:pPr>
      <w:r>
        <w:rPr>
          <w:rFonts w:hint="eastAsia"/>
        </w:rPr>
        <w:t>对基督而言，神的殿曾是——并且将是——祂的身体。</w:t>
      </w:r>
    </w:p>
    <w:p w14:paraId="2849E083">
      <w:pPr>
        <w:pStyle w:val="9"/>
        <w:spacing w:before="17"/>
        <w:ind w:left="0"/>
        <w:jc w:val="left"/>
        <w:rPr>
          <w:rFonts w:hint="eastAsia"/>
        </w:rPr>
      </w:pPr>
    </w:p>
    <w:p w14:paraId="6447B98D">
      <w:pPr>
        <w:pStyle w:val="9"/>
        <w:spacing w:before="17"/>
        <w:ind w:left="0"/>
        <w:jc w:val="left"/>
        <w:rPr>
          <w:rFonts w:hint="eastAsia"/>
        </w:rPr>
      </w:pPr>
      <w:r>
        <w:rPr>
          <w:rFonts w:hint="eastAsia"/>
        </w:rPr>
        <w:t>The apostle Paul elaborates, declaring that God the Father gave Christ to be head over all things to the Church, which is his Body, the fullness of him who fills all in all (Eph. 1:22-23, 5:22ff).</w:t>
      </w:r>
    </w:p>
    <w:p w14:paraId="3A11E2D8">
      <w:pPr>
        <w:pStyle w:val="9"/>
        <w:spacing w:before="17"/>
        <w:ind w:left="0"/>
        <w:jc w:val="left"/>
        <w:rPr>
          <w:rFonts w:hint="eastAsia"/>
        </w:rPr>
      </w:pPr>
      <w:r>
        <w:rPr>
          <w:rFonts w:hint="eastAsia"/>
        </w:rPr>
        <w:t>使徒保罗详述道，父神赐基督为教会作万有之首，教会是祂的身体，是那充满万有者所充满的（以弗所书1:22-23, 5:22及以下）。</w:t>
      </w:r>
    </w:p>
    <w:p w14:paraId="449F67FB">
      <w:pPr>
        <w:pStyle w:val="9"/>
        <w:spacing w:before="17"/>
        <w:ind w:left="0"/>
        <w:jc w:val="left"/>
        <w:rPr>
          <w:rFonts w:hint="eastAsia"/>
        </w:rPr>
      </w:pPr>
    </w:p>
    <w:p w14:paraId="091B0278">
      <w:pPr>
        <w:pStyle w:val="9"/>
        <w:spacing w:before="17"/>
        <w:ind w:left="0"/>
        <w:jc w:val="left"/>
        <w:rPr>
          <w:rFonts w:hint="eastAsia"/>
        </w:rPr>
      </w:pPr>
      <w:r>
        <w:rPr>
          <w:rFonts w:hint="eastAsia"/>
        </w:rPr>
        <w:t>So then, the Temple is not simply Jesus’ physical body, but rather his mystical Body, the Church, of which he is the Head.</w:t>
      </w:r>
    </w:p>
    <w:p w14:paraId="62F9E35F">
      <w:pPr>
        <w:pStyle w:val="9"/>
        <w:spacing w:before="17"/>
        <w:ind w:left="0"/>
        <w:jc w:val="left"/>
        <w:rPr>
          <w:rFonts w:hint="eastAsia"/>
        </w:rPr>
      </w:pPr>
      <w:r>
        <w:rPr>
          <w:rFonts w:hint="eastAsia"/>
        </w:rPr>
        <w:t>所以，圣殿不仅仅是耶稣的肉身，而是祂奥秘的身体，即教会，祂是这教会的头。</w:t>
      </w:r>
    </w:p>
    <w:p w14:paraId="3FB761DB">
      <w:pPr>
        <w:pStyle w:val="9"/>
        <w:spacing w:before="17"/>
        <w:ind w:left="0"/>
        <w:jc w:val="left"/>
        <w:rPr>
          <w:rFonts w:hint="eastAsia"/>
        </w:rPr>
      </w:pPr>
    </w:p>
    <w:p w14:paraId="2A902B02">
      <w:pPr>
        <w:pStyle w:val="9"/>
        <w:spacing w:before="17"/>
        <w:ind w:left="0"/>
        <w:jc w:val="left"/>
        <w:rPr>
          <w:rFonts w:hint="eastAsia"/>
        </w:rPr>
      </w:pPr>
      <w:r>
        <w:rPr>
          <w:rFonts w:hint="eastAsia"/>
        </w:rPr>
        <w:t>Paul states this explicitly, affirming that Christ’s ever-expanding Church is a “holy Temple in the Lord, in whom (the saints) are being built together into a dwelling place of God by the Spirit” (Eph. 2:21-21).</w:t>
      </w:r>
    </w:p>
    <w:p w14:paraId="5663D503">
      <w:pPr>
        <w:pStyle w:val="9"/>
        <w:spacing w:before="17"/>
        <w:ind w:left="0"/>
        <w:jc w:val="left"/>
        <w:rPr>
          <w:rFonts w:hint="eastAsia"/>
        </w:rPr>
      </w:pPr>
      <w:r>
        <w:rPr>
          <w:rFonts w:hint="eastAsia"/>
        </w:rPr>
        <w:t>保罗明确地陈述了这一点，申明基督不断扩展的教会是“主里的圣殿，（圣徒）在祂里面同被建造，成为神藉着圣灵居住的所在”（以弗所书2:21-21）。</w:t>
      </w:r>
    </w:p>
    <w:p w14:paraId="7351A783">
      <w:pPr>
        <w:pStyle w:val="9"/>
        <w:spacing w:before="17"/>
        <w:ind w:left="0"/>
        <w:jc w:val="left"/>
        <w:rPr>
          <w:rFonts w:hint="eastAsia"/>
        </w:rPr>
      </w:pPr>
    </w:p>
    <w:p w14:paraId="07242F43">
      <w:pPr>
        <w:pStyle w:val="9"/>
        <w:spacing w:before="17"/>
        <w:ind w:left="0"/>
        <w:jc w:val="left"/>
        <w:rPr>
          <w:rFonts w:hint="eastAsia"/>
        </w:rPr>
      </w:pPr>
      <w:r>
        <w:rPr>
          <w:rFonts w:hint="eastAsia"/>
        </w:rPr>
        <w:t>These NT passages reveal the true sphere of fulfillment of Ezekiel’s vision of the Temple Area.</w:t>
      </w:r>
    </w:p>
    <w:p w14:paraId="0E3C01BC">
      <w:pPr>
        <w:pStyle w:val="9"/>
        <w:spacing w:before="17"/>
        <w:ind w:left="0"/>
        <w:jc w:val="left"/>
        <w:rPr>
          <w:rFonts w:hint="eastAsia"/>
        </w:rPr>
      </w:pPr>
      <w:r>
        <w:rPr>
          <w:rFonts w:hint="eastAsia"/>
        </w:rPr>
        <w:t>这些新约经文揭示了以西结关于圣殿区域异象的真正应验范畴。</w:t>
      </w:r>
    </w:p>
    <w:p w14:paraId="351272A7">
      <w:pPr>
        <w:pStyle w:val="9"/>
        <w:spacing w:before="17"/>
        <w:ind w:left="0"/>
        <w:jc w:val="left"/>
        <w:rPr>
          <w:rFonts w:hint="eastAsia"/>
        </w:rPr>
      </w:pPr>
    </w:p>
    <w:p w14:paraId="227AA70F">
      <w:pPr>
        <w:pStyle w:val="9"/>
        <w:spacing w:before="17"/>
        <w:ind w:left="0"/>
        <w:jc w:val="left"/>
        <w:rPr>
          <w:rFonts w:hint="eastAsia"/>
        </w:rPr>
      </w:pPr>
      <w:r>
        <w:rPr>
          <w:rFonts w:hint="eastAsia"/>
        </w:rPr>
        <w:t>In other words, God was using OT ideas and images to give him a glimpse of the Church—the Body of Christ—as she will exist in the eschaton.</w:t>
      </w:r>
    </w:p>
    <w:p w14:paraId="411E4E0B">
      <w:pPr>
        <w:pStyle w:val="9"/>
        <w:spacing w:before="17"/>
        <w:ind w:left="0"/>
        <w:jc w:val="left"/>
        <w:rPr>
          <w:rFonts w:hint="eastAsia"/>
        </w:rPr>
      </w:pPr>
      <w:r>
        <w:rPr>
          <w:rFonts w:hint="eastAsia"/>
        </w:rPr>
        <w:t>换句话说，神正在使用旧约的观念和意象，让他得以一瞥教会——基督的身体——在末世将存在的样式。</w:t>
      </w:r>
    </w:p>
    <w:p w14:paraId="072848CD">
      <w:pPr>
        <w:pStyle w:val="9"/>
        <w:spacing w:before="17"/>
        <w:ind w:left="0"/>
        <w:jc w:val="left"/>
        <w:rPr>
          <w:rFonts w:hint="eastAsia"/>
        </w:rPr>
      </w:pPr>
    </w:p>
    <w:p w14:paraId="3F0165D3">
      <w:pPr>
        <w:pStyle w:val="9"/>
        <w:spacing w:before="17"/>
        <w:ind w:left="0"/>
        <w:jc w:val="left"/>
        <w:rPr>
          <w:rFonts w:hint="eastAsia"/>
        </w:rPr>
      </w:pPr>
      <w:r>
        <w:rPr>
          <w:rFonts w:hint="eastAsia"/>
        </w:rPr>
        <w:t>John the Revelator confirms that this vision was indeed symbolic.</w:t>
      </w:r>
    </w:p>
    <w:p w14:paraId="7595C712">
      <w:pPr>
        <w:pStyle w:val="9"/>
        <w:spacing w:before="17"/>
        <w:ind w:left="0"/>
        <w:jc w:val="left"/>
        <w:rPr>
          <w:rFonts w:hint="eastAsia"/>
        </w:rPr>
      </w:pPr>
      <w:r>
        <w:rPr>
          <w:rFonts w:hint="eastAsia"/>
        </w:rPr>
        <w:t>启示者约翰证实了这个异象确实是象征性的。</w:t>
      </w:r>
    </w:p>
    <w:p w14:paraId="2425D2A6">
      <w:pPr>
        <w:pStyle w:val="9"/>
        <w:spacing w:before="17"/>
        <w:ind w:left="0"/>
        <w:jc w:val="left"/>
        <w:rPr>
          <w:rFonts w:hint="eastAsia"/>
        </w:rPr>
      </w:pPr>
    </w:p>
    <w:p w14:paraId="4CF8DFA5">
      <w:pPr>
        <w:pStyle w:val="9"/>
        <w:spacing w:before="17"/>
        <w:ind w:left="0"/>
        <w:jc w:val="left"/>
        <w:rPr>
          <w:rFonts w:hint="eastAsia"/>
        </w:rPr>
      </w:pPr>
      <w:r>
        <w:rPr>
          <w:rFonts w:hint="eastAsia"/>
        </w:rPr>
        <w:t>In a vision of his own he describes the new earth.</w:t>
      </w:r>
    </w:p>
    <w:p w14:paraId="5C5904BD">
      <w:pPr>
        <w:pStyle w:val="9"/>
        <w:spacing w:before="17"/>
        <w:ind w:left="0"/>
        <w:jc w:val="left"/>
        <w:rPr>
          <w:rFonts w:hint="eastAsia"/>
        </w:rPr>
      </w:pPr>
      <w:r>
        <w:rPr>
          <w:rFonts w:hint="eastAsia"/>
        </w:rPr>
        <w:t>在他自己的一个异象中，他描述了新地。</w:t>
      </w:r>
    </w:p>
    <w:p w14:paraId="43D21650">
      <w:pPr>
        <w:pStyle w:val="9"/>
        <w:spacing w:before="17"/>
        <w:ind w:left="0"/>
        <w:jc w:val="left"/>
        <w:rPr>
          <w:rFonts w:hint="eastAsia"/>
        </w:rPr>
      </w:pPr>
    </w:p>
    <w:p w14:paraId="07A7400B">
      <w:pPr>
        <w:pStyle w:val="9"/>
        <w:spacing w:before="17"/>
        <w:ind w:left="0"/>
        <w:jc w:val="left"/>
        <w:rPr>
          <w:rFonts w:hint="eastAsia"/>
        </w:rPr>
      </w:pPr>
      <w:r>
        <w:rPr>
          <w:rFonts w:hint="eastAsia"/>
        </w:rPr>
        <w:t>However, he sees no temple in it.</w:t>
      </w:r>
    </w:p>
    <w:p w14:paraId="10C6E046">
      <w:pPr>
        <w:pStyle w:val="9"/>
        <w:spacing w:before="17"/>
        <w:ind w:left="0"/>
        <w:jc w:val="left"/>
        <w:rPr>
          <w:rFonts w:hint="eastAsia"/>
        </w:rPr>
      </w:pPr>
      <w:r>
        <w:rPr>
          <w:rFonts w:hint="eastAsia"/>
        </w:rPr>
        <w:t>然而，他未见城内有殿。</w:t>
      </w:r>
    </w:p>
    <w:p w14:paraId="469F1313">
      <w:pPr>
        <w:pStyle w:val="9"/>
        <w:spacing w:before="17"/>
        <w:ind w:left="0"/>
        <w:jc w:val="left"/>
        <w:rPr>
          <w:rFonts w:hint="eastAsia"/>
        </w:rPr>
      </w:pPr>
    </w:p>
    <w:p w14:paraId="11BD25BF">
      <w:pPr>
        <w:pStyle w:val="9"/>
        <w:spacing w:before="17"/>
        <w:ind w:left="0"/>
        <w:jc w:val="left"/>
        <w:rPr>
          <w:rFonts w:hint="eastAsia"/>
        </w:rPr>
      </w:pPr>
      <w:r>
        <w:rPr>
          <w:rFonts w:hint="eastAsia"/>
        </w:rPr>
        <w:t>Why?</w:t>
      </w:r>
    </w:p>
    <w:p w14:paraId="0DC23909">
      <w:pPr>
        <w:pStyle w:val="9"/>
        <w:spacing w:before="17"/>
        <w:ind w:left="0"/>
        <w:jc w:val="left"/>
        <w:rPr>
          <w:rFonts w:hint="eastAsia"/>
        </w:rPr>
      </w:pPr>
      <w:r>
        <w:rPr>
          <w:rFonts w:hint="eastAsia"/>
        </w:rPr>
        <w:t>为什么？</w:t>
      </w:r>
    </w:p>
    <w:p w14:paraId="4490CB93">
      <w:pPr>
        <w:pStyle w:val="9"/>
        <w:spacing w:before="17"/>
        <w:ind w:left="0"/>
        <w:jc w:val="left"/>
        <w:rPr>
          <w:rFonts w:hint="eastAsia"/>
        </w:rPr>
      </w:pPr>
    </w:p>
    <w:p w14:paraId="23FF3394">
      <w:pPr>
        <w:pStyle w:val="9"/>
        <w:spacing w:before="17"/>
        <w:ind w:left="0"/>
        <w:jc w:val="left"/>
        <w:rPr>
          <w:rFonts w:hint="eastAsia"/>
          <w:b w:val="0"/>
          <w:bCs w:val="0"/>
        </w:rPr>
      </w:pPr>
      <w:r>
        <w:rPr>
          <w:rFonts w:hint="eastAsia"/>
          <w:b w:val="0"/>
          <w:bCs w:val="0"/>
        </w:rPr>
        <w:t>Because “ . . . the Lord God Almighty and the Lamb are its Temple” (Rev. 21:22).</w:t>
      </w:r>
    </w:p>
    <w:p w14:paraId="06A6A8C8">
      <w:pPr>
        <w:pStyle w:val="9"/>
        <w:spacing w:before="17"/>
        <w:ind w:left="0"/>
        <w:jc w:val="left"/>
        <w:rPr>
          <w:rFonts w:hint="eastAsia"/>
          <w:b w:val="0"/>
          <w:bCs w:val="0"/>
        </w:rPr>
      </w:pPr>
      <w:r>
        <w:rPr>
          <w:rFonts w:hint="eastAsia"/>
          <w:b w:val="0"/>
          <w:bCs w:val="0"/>
        </w:rPr>
        <w:t>因为“……主神全能者和羔羊为城的殿”（启示录21:22）。</w:t>
      </w:r>
    </w:p>
    <w:p w14:paraId="37957C62">
      <w:pPr>
        <w:pStyle w:val="9"/>
        <w:spacing w:before="17"/>
        <w:ind w:left="0"/>
        <w:jc w:val="left"/>
        <w:rPr>
          <w:rFonts w:hint="eastAsia"/>
          <w:b w:val="0"/>
          <w:bCs w:val="0"/>
        </w:rPr>
      </w:pPr>
    </w:p>
    <w:p w14:paraId="01AED107">
      <w:pPr>
        <w:pStyle w:val="9"/>
        <w:spacing w:before="17"/>
        <w:ind w:left="0"/>
        <w:jc w:val="left"/>
        <w:rPr>
          <w:rFonts w:hint="eastAsia"/>
          <w:b w:val="0"/>
          <w:bCs w:val="0"/>
        </w:rPr>
      </w:pPr>
      <w:r>
        <w:rPr>
          <w:rFonts w:hint="eastAsia"/>
          <w:b w:val="0"/>
          <w:bCs w:val="0"/>
        </w:rPr>
        <w:t>Thus, in the World to Come (the very theme of Ezekiel’s prophecy) there will be no Temple made of wood or stone.</w:t>
      </w:r>
    </w:p>
    <w:p w14:paraId="05EF1383">
      <w:pPr>
        <w:pStyle w:val="9"/>
        <w:spacing w:before="17"/>
        <w:ind w:left="0"/>
        <w:jc w:val="left"/>
        <w:rPr>
          <w:rFonts w:hint="eastAsia"/>
          <w:b w:val="0"/>
          <w:bCs w:val="0"/>
        </w:rPr>
      </w:pPr>
      <w:r>
        <w:rPr>
          <w:rFonts w:hint="eastAsia"/>
          <w:b w:val="0"/>
          <w:bCs w:val="0"/>
        </w:rPr>
        <w:t>因此，在未来世界里（这正是以西结预言的主题），将没有用木或石造的殿。</w:t>
      </w:r>
    </w:p>
    <w:p w14:paraId="5FFFB365">
      <w:pPr>
        <w:pStyle w:val="9"/>
        <w:spacing w:before="17"/>
        <w:ind w:left="0"/>
        <w:jc w:val="left"/>
        <w:rPr>
          <w:rFonts w:hint="eastAsia"/>
          <w:b w:val="0"/>
          <w:bCs w:val="0"/>
        </w:rPr>
      </w:pPr>
    </w:p>
    <w:p w14:paraId="18A50BE6">
      <w:pPr>
        <w:pStyle w:val="9"/>
        <w:spacing w:before="17"/>
        <w:ind w:left="0"/>
        <w:jc w:val="left"/>
        <w:rPr>
          <w:rFonts w:hint="eastAsia"/>
          <w:b w:val="0"/>
          <w:bCs w:val="0"/>
        </w:rPr>
      </w:pPr>
      <w:r>
        <w:rPr>
          <w:rFonts w:hint="eastAsia"/>
          <w:b w:val="0"/>
          <w:bCs w:val="0"/>
        </w:rPr>
        <w:t>However, John does see a holy city, adorned as a Bride for her Husband, and declares that she herself is the tabernacle (or temple) of God, the place where He will live and be among them forever (21:1-4).</w:t>
      </w:r>
    </w:p>
    <w:p w14:paraId="5A78475C">
      <w:pPr>
        <w:pStyle w:val="9"/>
        <w:spacing w:before="17"/>
        <w:ind w:left="0"/>
        <w:jc w:val="left"/>
        <w:rPr>
          <w:rFonts w:hint="eastAsia"/>
          <w:b w:val="0"/>
          <w:bCs w:val="0"/>
        </w:rPr>
      </w:pPr>
      <w:r>
        <w:rPr>
          <w:rFonts w:hint="eastAsia"/>
          <w:b w:val="0"/>
          <w:bCs w:val="0"/>
        </w:rPr>
        <w:t>然而，约翰确实看见一座圣城，妆饰好了，如同新妇预备给她的丈夫，并宣称她自己就是神的帐幕（或殿），是祂将永远与他们同住、在他们中间的地方（21:1-4）。</w:t>
      </w:r>
    </w:p>
    <w:p w14:paraId="55EE95F9">
      <w:pPr>
        <w:pStyle w:val="9"/>
        <w:spacing w:before="17"/>
        <w:ind w:left="0"/>
        <w:jc w:val="left"/>
        <w:rPr>
          <w:rFonts w:hint="eastAsia"/>
          <w:b w:val="0"/>
          <w:bCs w:val="0"/>
        </w:rPr>
      </w:pPr>
    </w:p>
    <w:p w14:paraId="3BC7819D">
      <w:pPr>
        <w:pStyle w:val="9"/>
        <w:spacing w:before="17"/>
        <w:ind w:left="0"/>
        <w:jc w:val="left"/>
        <w:rPr>
          <w:rFonts w:hint="eastAsia"/>
          <w:b w:val="0"/>
          <w:bCs w:val="0"/>
        </w:rPr>
      </w:pPr>
      <w:r>
        <w:rPr>
          <w:rFonts w:hint="eastAsia"/>
          <w:b w:val="0"/>
          <w:bCs w:val="0"/>
        </w:rPr>
        <w:t>In short, John tells us that Ezekiel’s vision of the eschatological Temple of God is fulfilled in the glorified Body of Christ.</w:t>
      </w:r>
    </w:p>
    <w:p w14:paraId="6359BE08">
      <w:pPr>
        <w:pStyle w:val="9"/>
        <w:spacing w:before="17"/>
        <w:ind w:left="0"/>
        <w:jc w:val="left"/>
        <w:rPr>
          <w:rFonts w:hint="eastAsia"/>
          <w:b w:val="0"/>
          <w:bCs w:val="0"/>
        </w:rPr>
      </w:pPr>
      <w:r>
        <w:rPr>
          <w:rFonts w:hint="eastAsia"/>
          <w:b w:val="0"/>
          <w:bCs w:val="0"/>
        </w:rPr>
        <w:t>简而言之，约翰告诉我们，以西结关于末世神殿的异象，在得荣耀的基督身体里得以应验。</w:t>
      </w:r>
    </w:p>
    <w:p w14:paraId="18772C19">
      <w:pPr>
        <w:pStyle w:val="9"/>
        <w:spacing w:before="17"/>
        <w:ind w:left="0"/>
        <w:jc w:val="left"/>
        <w:rPr>
          <w:rFonts w:hint="eastAsia"/>
          <w:b w:val="0"/>
          <w:bCs w:val="0"/>
        </w:rPr>
      </w:pPr>
    </w:p>
    <w:p w14:paraId="70FB568C">
      <w:pPr>
        <w:pStyle w:val="9"/>
        <w:spacing w:before="17"/>
        <w:ind w:left="0"/>
        <w:jc w:val="left"/>
        <w:rPr>
          <w:rFonts w:hint="eastAsia"/>
          <w:b w:val="0"/>
          <w:bCs w:val="0"/>
        </w:rPr>
      </w:pPr>
      <w:r>
        <w:rPr>
          <w:rFonts w:hint="eastAsia"/>
          <w:b w:val="0"/>
          <w:bCs w:val="0"/>
        </w:rPr>
        <w:t>We conclude, then, with Duguid, that Ezekiel’s vision of the Temple Area is “architectural theology”, that it uses OT temple imagery to set forth important theological truths about Christ and the Church.</w:t>
      </w:r>
    </w:p>
    <w:p w14:paraId="2FD52E91">
      <w:pPr>
        <w:pStyle w:val="9"/>
        <w:spacing w:before="17"/>
        <w:ind w:left="0"/>
        <w:jc w:val="left"/>
        <w:rPr>
          <w:rFonts w:hint="eastAsia"/>
          <w:b w:val="0"/>
          <w:bCs w:val="0"/>
        </w:rPr>
      </w:pPr>
      <w:r>
        <w:rPr>
          <w:rFonts w:hint="eastAsia"/>
          <w:b w:val="0"/>
          <w:bCs w:val="0"/>
        </w:rPr>
        <w:t>因此，我们与杜圭德（Duguid）一同得出结论，以西结关于圣殿区域的异象是“建筑神学”，它使用旧约圣殿的意象来阐述关于基督和教会的重要神学真理。</w:t>
      </w:r>
    </w:p>
    <w:p w14:paraId="00750EE0">
      <w:pPr>
        <w:pStyle w:val="9"/>
        <w:spacing w:before="17"/>
        <w:ind w:left="0"/>
        <w:jc w:val="left"/>
        <w:rPr>
          <w:rFonts w:hint="eastAsia"/>
          <w:b w:val="0"/>
          <w:bCs w:val="0"/>
        </w:rPr>
      </w:pPr>
    </w:p>
    <w:p w14:paraId="512F35E9">
      <w:pPr>
        <w:pStyle w:val="9"/>
        <w:spacing w:before="17"/>
        <w:ind w:left="0"/>
        <w:jc w:val="left"/>
        <w:rPr>
          <w:rFonts w:hint="eastAsia"/>
          <w:b w:val="0"/>
          <w:bCs w:val="0"/>
        </w:rPr>
      </w:pPr>
      <w:r>
        <w:rPr>
          <w:rFonts w:hint="eastAsia"/>
          <w:b w:val="0"/>
          <w:bCs w:val="0"/>
        </w:rPr>
        <w:t>In particular, we may say that in this early portion of the vision the Spirit uses OT type and shadow to picture the completed Body of Christ, enjoying the life of Christ, because of the merits of the Work of Christ, even as it awaits the gift of the glory of God the Father at the Coming of Christ.</w:t>
      </w:r>
    </w:p>
    <w:p w14:paraId="27B2C2F2">
      <w:pPr>
        <w:pStyle w:val="9"/>
        <w:spacing w:before="17"/>
        <w:ind w:left="0"/>
        <w:jc w:val="left"/>
        <w:rPr>
          <w:rFonts w:hint="eastAsia"/>
          <w:b w:val="0"/>
          <w:bCs w:val="0"/>
        </w:rPr>
      </w:pPr>
      <w:r>
        <w:rPr>
          <w:rFonts w:hint="eastAsia"/>
          <w:b w:val="0"/>
          <w:bCs w:val="0"/>
        </w:rPr>
        <w:t>特别是，我们可以说，在这个异象的早期部分，圣灵使用旧约的预表和影像来描绘那已完工的基督的身体，享受着基督的生命，因着基督工作的功劳，同时等待着在基督降临时父神荣耀的恩赐。</w:t>
      </w:r>
    </w:p>
    <w:p w14:paraId="0165A353">
      <w:pPr>
        <w:pStyle w:val="9"/>
        <w:spacing w:before="17"/>
        <w:ind w:left="0"/>
        <w:jc w:val="left"/>
        <w:rPr>
          <w:rFonts w:hint="eastAsia"/>
          <w:b w:val="0"/>
          <w:bCs w:val="0"/>
        </w:rPr>
      </w:pPr>
    </w:p>
    <w:p w14:paraId="7123C6BA">
      <w:pPr>
        <w:pStyle w:val="9"/>
        <w:spacing w:before="17"/>
        <w:ind w:left="0"/>
        <w:jc w:val="left"/>
        <w:rPr>
          <w:rFonts w:hint="eastAsia"/>
          <w:b w:val="0"/>
          <w:bCs w:val="0"/>
        </w:rPr>
      </w:pPr>
      <w:r>
        <w:rPr>
          <w:rFonts w:hint="eastAsia"/>
          <w:b w:val="0"/>
          <w:bCs w:val="0"/>
        </w:rPr>
        <w:t>This thesis requires further explanation.</w:t>
      </w:r>
    </w:p>
    <w:p w14:paraId="2769280A">
      <w:pPr>
        <w:pStyle w:val="9"/>
        <w:spacing w:before="17"/>
        <w:ind w:left="0"/>
        <w:jc w:val="left"/>
        <w:rPr>
          <w:rFonts w:hint="eastAsia"/>
          <w:b w:val="0"/>
          <w:bCs w:val="0"/>
        </w:rPr>
      </w:pPr>
      <w:r>
        <w:rPr>
          <w:rFonts w:hint="eastAsia"/>
          <w:b w:val="0"/>
          <w:bCs w:val="0"/>
        </w:rPr>
        <w:t>这个论点需要进一步解释。</w:t>
      </w:r>
    </w:p>
    <w:p w14:paraId="44074CB4">
      <w:pPr>
        <w:pStyle w:val="9"/>
        <w:spacing w:before="17"/>
        <w:ind w:left="0"/>
        <w:jc w:val="left"/>
        <w:rPr>
          <w:rFonts w:hint="eastAsia"/>
          <w:b w:val="0"/>
          <w:bCs w:val="0"/>
        </w:rPr>
      </w:pPr>
    </w:p>
    <w:p w14:paraId="7DE03CAC">
      <w:pPr>
        <w:pStyle w:val="9"/>
        <w:spacing w:before="17"/>
        <w:ind w:left="0"/>
        <w:jc w:val="left"/>
        <w:rPr>
          <w:rFonts w:hint="eastAsia"/>
          <w:b w:val="0"/>
          <w:bCs w:val="0"/>
        </w:rPr>
      </w:pPr>
      <w:r>
        <w:rPr>
          <w:rFonts w:hint="eastAsia"/>
          <w:b w:val="0"/>
          <w:bCs w:val="0"/>
        </w:rPr>
        <w:t>It is best, however, to offer it as we look at some of the more important details of Ezekiel’s vision of the Temple Area.</w:t>
      </w:r>
    </w:p>
    <w:p w14:paraId="16CC9B1B">
      <w:pPr>
        <w:pStyle w:val="9"/>
        <w:spacing w:before="17"/>
        <w:ind w:left="0"/>
        <w:jc w:val="left"/>
        <w:rPr>
          <w:rFonts w:hint="eastAsia"/>
          <w:b w:val="0"/>
          <w:bCs w:val="0"/>
        </w:rPr>
      </w:pPr>
      <w:r>
        <w:rPr>
          <w:rFonts w:hint="eastAsia"/>
          <w:b w:val="0"/>
          <w:bCs w:val="0"/>
        </w:rPr>
        <w:t>然而，最好是在我们察看以西结关于圣殿区域异象的一些更重要的细节时来提供它。</w:t>
      </w:r>
    </w:p>
    <w:p w14:paraId="24BA6ACC">
      <w:pPr>
        <w:pStyle w:val="9"/>
        <w:spacing w:before="17"/>
        <w:ind w:left="0"/>
        <w:jc w:val="left"/>
        <w:rPr>
          <w:rFonts w:hint="eastAsia"/>
          <w:b w:val="0"/>
          <w:bCs w:val="0"/>
        </w:rPr>
      </w:pPr>
    </w:p>
    <w:p w14:paraId="0D779FEB">
      <w:pPr>
        <w:pStyle w:val="9"/>
        <w:spacing w:before="17"/>
        <w:ind w:left="0"/>
        <w:jc w:val="left"/>
        <w:rPr>
          <w:rFonts w:hint="eastAsia"/>
          <w:b w:val="0"/>
          <w:bCs w:val="0"/>
        </w:rPr>
      </w:pPr>
      <w:r>
        <w:rPr>
          <w:rFonts w:hint="eastAsia"/>
          <w:b w:val="0"/>
          <w:bCs w:val="0"/>
        </w:rPr>
        <w:t>1.The Outer Walls (40:5, 16-20)</w:t>
      </w:r>
    </w:p>
    <w:p w14:paraId="1C6461A7">
      <w:pPr>
        <w:pStyle w:val="9"/>
        <w:spacing w:before="17"/>
        <w:ind w:left="0"/>
        <w:jc w:val="left"/>
        <w:rPr>
          <w:rFonts w:hint="eastAsia"/>
          <w:b w:val="0"/>
          <w:bCs w:val="0"/>
        </w:rPr>
      </w:pPr>
      <w:r>
        <w:rPr>
          <w:rFonts w:hint="eastAsia"/>
          <w:b w:val="0"/>
          <w:bCs w:val="0"/>
        </w:rPr>
        <w:t>1. 外墙（40:5, 16-20）</w:t>
      </w:r>
    </w:p>
    <w:p w14:paraId="4BC7C8DC">
      <w:pPr>
        <w:pStyle w:val="9"/>
        <w:spacing w:before="17"/>
        <w:ind w:left="0"/>
        <w:jc w:val="left"/>
        <w:rPr>
          <w:rFonts w:hint="eastAsia"/>
          <w:b w:val="0"/>
          <w:bCs w:val="0"/>
        </w:rPr>
      </w:pPr>
    </w:p>
    <w:p w14:paraId="62FB4645">
      <w:pPr>
        <w:pStyle w:val="9"/>
        <w:spacing w:before="17"/>
        <w:ind w:left="0"/>
        <w:jc w:val="left"/>
        <w:rPr>
          <w:rFonts w:hint="eastAsia"/>
          <w:b w:val="0"/>
          <w:bCs w:val="0"/>
        </w:rPr>
      </w:pPr>
      <w:r>
        <w:rPr>
          <w:rFonts w:hint="eastAsia"/>
          <w:b w:val="0"/>
          <w:bCs w:val="0"/>
        </w:rPr>
        <w:t>The outer walls—which are very high, thick, and strong—are “walls of salvation” (40:5, 16-20; Isaiah 60:18).</w:t>
      </w:r>
    </w:p>
    <w:p w14:paraId="5B64B9AC">
      <w:pPr>
        <w:pStyle w:val="9"/>
        <w:spacing w:before="17"/>
        <w:ind w:left="0"/>
        <w:jc w:val="left"/>
        <w:rPr>
          <w:rFonts w:hint="eastAsia"/>
          <w:b w:val="0"/>
          <w:bCs w:val="0"/>
        </w:rPr>
      </w:pPr>
      <w:r>
        <w:rPr>
          <w:rFonts w:hint="eastAsia"/>
          <w:b w:val="0"/>
          <w:bCs w:val="0"/>
        </w:rPr>
        <w:t>外墙——非常高、厚、坚固——是“拯救的墙”（40:5, 16-20；以赛亚书60:18）。</w:t>
      </w:r>
    </w:p>
    <w:p w14:paraId="5BD298A2">
      <w:pPr>
        <w:pStyle w:val="9"/>
        <w:spacing w:before="17"/>
        <w:ind w:left="0"/>
        <w:jc w:val="left"/>
        <w:rPr>
          <w:rFonts w:hint="eastAsia"/>
          <w:b w:val="0"/>
          <w:bCs w:val="0"/>
        </w:rPr>
      </w:pPr>
    </w:p>
    <w:p w14:paraId="772B73E0">
      <w:pPr>
        <w:pStyle w:val="9"/>
        <w:spacing w:before="17"/>
        <w:ind w:left="0"/>
        <w:jc w:val="left"/>
        <w:rPr>
          <w:rFonts w:hint="eastAsia"/>
          <w:b w:val="0"/>
          <w:bCs w:val="0"/>
        </w:rPr>
      </w:pPr>
      <w:r>
        <w:rPr>
          <w:rFonts w:hint="eastAsia"/>
          <w:b w:val="0"/>
          <w:bCs w:val="0"/>
        </w:rPr>
        <w:t>They represent the mighty power of the Person and Work of Christ “to separate the holy from the common”; to deliver and preserve his Body from the presence, power, and penalty of sin (42:20).</w:t>
      </w:r>
    </w:p>
    <w:p w14:paraId="092E5F67">
      <w:pPr>
        <w:pStyle w:val="9"/>
        <w:spacing w:before="17"/>
        <w:ind w:left="0"/>
        <w:jc w:val="left"/>
        <w:rPr>
          <w:rFonts w:hint="eastAsia"/>
          <w:b w:val="0"/>
          <w:bCs w:val="0"/>
        </w:rPr>
      </w:pPr>
      <w:r>
        <w:rPr>
          <w:rFonts w:hint="eastAsia"/>
          <w:b w:val="0"/>
          <w:bCs w:val="0"/>
        </w:rPr>
        <w:t>它们代表基督位格和工作的大能，用以“分别圣的和俗的”；用以拯救并保守祂的身体脱离罪的同在、权势和刑罚（42:20）。</w:t>
      </w:r>
    </w:p>
    <w:p w14:paraId="1D121591">
      <w:pPr>
        <w:pStyle w:val="9"/>
        <w:spacing w:before="17"/>
        <w:ind w:left="0"/>
        <w:jc w:val="left"/>
        <w:rPr>
          <w:rFonts w:hint="eastAsia"/>
          <w:b w:val="0"/>
          <w:bCs w:val="0"/>
        </w:rPr>
      </w:pPr>
    </w:p>
    <w:p w14:paraId="1C2E32A1">
      <w:pPr>
        <w:pStyle w:val="9"/>
        <w:spacing w:before="17"/>
        <w:ind w:left="0"/>
        <w:jc w:val="left"/>
        <w:rPr>
          <w:rFonts w:hint="eastAsia"/>
          <w:b w:val="0"/>
          <w:bCs w:val="0"/>
        </w:rPr>
      </w:pPr>
      <w:r>
        <w:rPr>
          <w:rFonts w:hint="eastAsia"/>
          <w:b w:val="0"/>
          <w:bCs w:val="0"/>
        </w:rPr>
        <w:t>Even today, through the sanctifying work of the Spirit, the High King of Heaven has erected a legal and spiritual barrier between his Church on the one hand, and the world, the flesh, the devil, and the judgments of God on the other (Ex. 14:19-20, John 17:15, 2 Cor. 6:14-7:1, 1 Pet. 1:1-2, Rev. 18:4).</w:t>
      </w:r>
    </w:p>
    <w:p w14:paraId="07A28220">
      <w:pPr>
        <w:pStyle w:val="9"/>
        <w:spacing w:before="17"/>
        <w:ind w:left="0"/>
        <w:jc w:val="left"/>
        <w:rPr>
          <w:rFonts w:hint="eastAsia"/>
          <w:b w:val="0"/>
          <w:bCs w:val="0"/>
        </w:rPr>
      </w:pPr>
      <w:r>
        <w:rPr>
          <w:rFonts w:hint="eastAsia"/>
          <w:b w:val="0"/>
          <w:bCs w:val="0"/>
        </w:rPr>
        <w:t>即使在今天，藉着圣灵使人成圣的工作，天上的至高君王也已在祂的教会与世界、肉体、魔鬼和神的审判之间，设立了一道法理上和属灵上的屏障（出埃及记14:19-20，约翰福音17:15，哥林多后书6:14-7:1，彼得前书1:1-2，启示录18:4）。</w:t>
      </w:r>
    </w:p>
    <w:p w14:paraId="4DB39AB5">
      <w:pPr>
        <w:pStyle w:val="9"/>
        <w:spacing w:before="17"/>
        <w:ind w:left="0"/>
        <w:jc w:val="left"/>
        <w:rPr>
          <w:rFonts w:hint="eastAsia"/>
          <w:b w:val="0"/>
          <w:bCs w:val="0"/>
        </w:rPr>
      </w:pPr>
    </w:p>
    <w:p w14:paraId="3E340184">
      <w:pPr>
        <w:pStyle w:val="9"/>
        <w:spacing w:before="17"/>
        <w:ind w:left="0"/>
        <w:jc w:val="left"/>
        <w:rPr>
          <w:rFonts w:hint="eastAsia"/>
          <w:b w:val="0"/>
          <w:bCs w:val="0"/>
        </w:rPr>
      </w:pPr>
      <w:r>
        <w:rPr>
          <w:rFonts w:hint="eastAsia"/>
          <w:b w:val="0"/>
          <w:bCs w:val="0"/>
        </w:rPr>
        <w:t>In the Age to Come, that barrier will be perfect and complete.</w:t>
      </w:r>
    </w:p>
    <w:p w14:paraId="51B535EB">
      <w:pPr>
        <w:pStyle w:val="9"/>
        <w:spacing w:before="17"/>
        <w:ind w:left="0"/>
        <w:jc w:val="left"/>
        <w:rPr>
          <w:rFonts w:hint="eastAsia"/>
          <w:b w:val="0"/>
          <w:bCs w:val="0"/>
        </w:rPr>
      </w:pPr>
      <w:r>
        <w:rPr>
          <w:rFonts w:hint="eastAsia"/>
          <w:b w:val="0"/>
          <w:bCs w:val="0"/>
        </w:rPr>
        <w:t>在将来的世代，那道屏障将是完美和完全的。</w:t>
      </w:r>
    </w:p>
    <w:p w14:paraId="06E15FD9">
      <w:pPr>
        <w:pStyle w:val="9"/>
        <w:spacing w:before="17"/>
        <w:ind w:left="0"/>
        <w:jc w:val="left"/>
        <w:rPr>
          <w:rFonts w:hint="eastAsia"/>
          <w:b w:val="0"/>
          <w:bCs w:val="0"/>
        </w:rPr>
      </w:pPr>
    </w:p>
    <w:p w14:paraId="5E0DBDCD">
      <w:pPr>
        <w:pStyle w:val="9"/>
        <w:spacing w:before="17"/>
        <w:ind w:left="0"/>
        <w:jc w:val="left"/>
        <w:rPr>
          <w:rFonts w:hint="eastAsia"/>
          <w:b w:val="0"/>
          <w:bCs w:val="0"/>
        </w:rPr>
      </w:pPr>
      <w:r>
        <w:rPr>
          <w:rFonts w:hint="eastAsia"/>
          <w:b w:val="0"/>
          <w:bCs w:val="0"/>
        </w:rPr>
        <w:t>The sin and defilement that entered ethnic Israel’s former temple area will never enter spiritual Israel’s eschatological Temple Area (Ezek. 8-9, Rev. 22:15).</w:t>
      </w:r>
    </w:p>
    <w:p w14:paraId="1F3C408C">
      <w:pPr>
        <w:pStyle w:val="9"/>
        <w:spacing w:before="17"/>
        <w:ind w:left="0"/>
        <w:jc w:val="left"/>
        <w:rPr>
          <w:rFonts w:hint="eastAsia"/>
          <w:b w:val="0"/>
          <w:bCs w:val="0"/>
        </w:rPr>
      </w:pPr>
      <w:r>
        <w:rPr>
          <w:rFonts w:hint="eastAsia"/>
          <w:b w:val="0"/>
          <w:bCs w:val="0"/>
        </w:rPr>
        <w:t>曾进入血统以色列先前圣殿区域的罪和污秽，将永不能进入属灵以色列末世的圣殿区域（以西结书8-9章，启示录22:15）。</w:t>
      </w:r>
    </w:p>
    <w:p w14:paraId="03608078">
      <w:pPr>
        <w:pStyle w:val="9"/>
        <w:spacing w:before="17"/>
        <w:ind w:left="0"/>
        <w:jc w:val="left"/>
        <w:rPr>
          <w:rFonts w:hint="eastAsia"/>
          <w:b w:val="0"/>
          <w:bCs w:val="0"/>
        </w:rPr>
      </w:pPr>
    </w:p>
    <w:p w14:paraId="00B043FC">
      <w:pPr>
        <w:pStyle w:val="9"/>
        <w:spacing w:before="17"/>
        <w:ind w:left="0"/>
        <w:jc w:val="left"/>
        <w:rPr>
          <w:rFonts w:hint="eastAsia"/>
          <w:b w:val="0"/>
          <w:bCs w:val="0"/>
        </w:rPr>
      </w:pPr>
      <w:r>
        <w:rPr>
          <w:rFonts w:hint="eastAsia"/>
          <w:b w:val="0"/>
          <w:bCs w:val="0"/>
        </w:rPr>
        <w:t>The God who abandoned ethnic Israel’s earthly sanctuary will never abandon spiritual Israel’s heavenly sanctuary (Ezek. 10).</w:t>
      </w:r>
    </w:p>
    <w:p w14:paraId="67F2A62D">
      <w:pPr>
        <w:pStyle w:val="9"/>
        <w:spacing w:before="17"/>
        <w:ind w:left="0"/>
        <w:jc w:val="left"/>
        <w:rPr>
          <w:rFonts w:hint="eastAsia"/>
          <w:b w:val="0"/>
          <w:bCs w:val="0"/>
        </w:rPr>
      </w:pPr>
      <w:r>
        <w:rPr>
          <w:rFonts w:hint="eastAsia"/>
          <w:b w:val="0"/>
          <w:bCs w:val="0"/>
        </w:rPr>
        <w:t>曾离弃血统以色列属地圣所的神，将永不离弃属灵以色列属天的圣所（以西结书10章）。</w:t>
      </w:r>
    </w:p>
    <w:p w14:paraId="73CF9791">
      <w:pPr>
        <w:pStyle w:val="9"/>
        <w:spacing w:before="17"/>
        <w:ind w:left="0"/>
        <w:jc w:val="left"/>
        <w:rPr>
          <w:rFonts w:hint="eastAsia"/>
          <w:b w:val="0"/>
          <w:bCs w:val="0"/>
        </w:rPr>
      </w:pPr>
    </w:p>
    <w:p w14:paraId="1855F9DB">
      <w:pPr>
        <w:pStyle w:val="9"/>
        <w:spacing w:before="17"/>
        <w:ind w:left="0"/>
        <w:jc w:val="left"/>
        <w:rPr>
          <w:rFonts w:hint="eastAsia"/>
          <w:b w:val="0"/>
          <w:bCs w:val="0"/>
        </w:rPr>
      </w:pPr>
      <w:r>
        <w:rPr>
          <w:rFonts w:hint="eastAsia"/>
          <w:b w:val="0"/>
          <w:bCs w:val="0"/>
        </w:rPr>
        <w:t>In the words of one commentator, the World to Come will be a “Paradise with Walls”— walls of salvation that mightily keep evil out and God in.</w:t>
      </w:r>
    </w:p>
    <w:p w14:paraId="6969406E">
      <w:pPr>
        <w:pStyle w:val="9"/>
        <w:spacing w:before="17"/>
        <w:ind w:left="0"/>
        <w:jc w:val="left"/>
        <w:rPr>
          <w:rFonts w:hint="eastAsia"/>
          <w:b w:val="0"/>
          <w:bCs w:val="0"/>
        </w:rPr>
      </w:pPr>
      <w:r>
        <w:rPr>
          <w:rFonts w:hint="eastAsia"/>
          <w:b w:val="0"/>
          <w:bCs w:val="0"/>
        </w:rPr>
        <w:t>用一位注释家的话说，未来世界将是一个“有墙的乐园”——是拯救的墙，大能地将邪恶挡在外面，将神留在里面。</w:t>
      </w:r>
    </w:p>
    <w:p w14:paraId="347375C5">
      <w:pPr>
        <w:pStyle w:val="9"/>
        <w:spacing w:before="17"/>
        <w:ind w:left="0"/>
        <w:jc w:val="left"/>
        <w:rPr>
          <w:rFonts w:hint="eastAsia"/>
          <w:b w:val="0"/>
          <w:bCs w:val="0"/>
        </w:rPr>
      </w:pPr>
    </w:p>
    <w:p w14:paraId="3953AFFD">
      <w:pPr>
        <w:pStyle w:val="9"/>
        <w:spacing w:before="17"/>
        <w:ind w:left="0"/>
        <w:jc w:val="left"/>
        <w:rPr>
          <w:rFonts w:hint="eastAsia"/>
          <w:b w:val="0"/>
          <w:bCs w:val="0"/>
        </w:rPr>
      </w:pPr>
      <w:r>
        <w:rPr>
          <w:rFonts w:hint="eastAsia"/>
          <w:b w:val="0"/>
          <w:bCs w:val="0"/>
        </w:rPr>
        <w:t>Therefore, it will be a world that can never fall again.</w:t>
      </w:r>
    </w:p>
    <w:p w14:paraId="7A2D2C4E">
      <w:pPr>
        <w:pStyle w:val="9"/>
        <w:spacing w:before="17"/>
        <w:ind w:left="0"/>
        <w:jc w:val="left"/>
        <w:rPr>
          <w:rFonts w:hint="eastAsia"/>
          <w:b w:val="0"/>
          <w:bCs w:val="0"/>
        </w:rPr>
      </w:pPr>
      <w:r>
        <w:rPr>
          <w:rFonts w:hint="eastAsia"/>
          <w:b w:val="0"/>
          <w:bCs w:val="0"/>
        </w:rPr>
        <w:t>因此，那将是一个永不再堕落的世界。</w:t>
      </w:r>
    </w:p>
    <w:p w14:paraId="2CB23BE0">
      <w:pPr>
        <w:pStyle w:val="9"/>
        <w:spacing w:before="17"/>
        <w:ind w:left="0"/>
        <w:jc w:val="left"/>
        <w:rPr>
          <w:rFonts w:hint="eastAsia"/>
          <w:b w:val="0"/>
          <w:bCs w:val="0"/>
        </w:rPr>
      </w:pPr>
    </w:p>
    <w:p w14:paraId="25BD5072">
      <w:pPr>
        <w:pStyle w:val="9"/>
        <w:spacing w:before="17"/>
        <w:ind w:left="0"/>
        <w:jc w:val="left"/>
        <w:rPr>
          <w:rFonts w:hint="eastAsia"/>
          <w:b w:val="0"/>
          <w:bCs w:val="0"/>
        </w:rPr>
      </w:pPr>
      <w:r>
        <w:rPr>
          <w:rFonts w:hint="eastAsia"/>
          <w:b w:val="0"/>
          <w:bCs w:val="0"/>
        </w:rPr>
        <w:t>2.Gates and Gateways (40:6-27)</w:t>
      </w:r>
    </w:p>
    <w:p w14:paraId="186EF137">
      <w:pPr>
        <w:pStyle w:val="9"/>
        <w:spacing w:before="17"/>
        <w:ind w:left="0"/>
        <w:jc w:val="left"/>
        <w:rPr>
          <w:rFonts w:hint="eastAsia"/>
          <w:b w:val="0"/>
          <w:bCs w:val="0"/>
        </w:rPr>
      </w:pPr>
      <w:r>
        <w:rPr>
          <w:rFonts w:hint="eastAsia"/>
          <w:b w:val="0"/>
          <w:bCs w:val="0"/>
        </w:rPr>
        <w:t>2. 门和门洞（40:6-27）</w:t>
      </w:r>
    </w:p>
    <w:p w14:paraId="544CB2F6">
      <w:pPr>
        <w:pStyle w:val="9"/>
        <w:spacing w:before="17"/>
        <w:ind w:left="0"/>
        <w:jc w:val="left"/>
        <w:rPr>
          <w:rFonts w:hint="eastAsia"/>
          <w:b w:val="0"/>
          <w:bCs w:val="0"/>
        </w:rPr>
      </w:pPr>
    </w:p>
    <w:p w14:paraId="4C8B22A1">
      <w:pPr>
        <w:pStyle w:val="9"/>
        <w:spacing w:before="17"/>
        <w:ind w:left="0"/>
        <w:jc w:val="left"/>
        <w:rPr>
          <w:rFonts w:hint="eastAsia"/>
          <w:b w:val="0"/>
          <w:bCs w:val="0"/>
        </w:rPr>
      </w:pPr>
      <w:r>
        <w:rPr>
          <w:rFonts w:hint="eastAsia"/>
          <w:b w:val="0"/>
          <w:bCs w:val="0"/>
        </w:rPr>
        <w:t>The three gates in the walls surrounding the outer court, and the three gateways to the inner court, all symbolize spiritual access, access made possible by the redemptive work of the triune God.</w:t>
      </w:r>
    </w:p>
    <w:p w14:paraId="38CC561C">
      <w:pPr>
        <w:pStyle w:val="9"/>
        <w:spacing w:before="17"/>
        <w:ind w:left="0"/>
        <w:jc w:val="left"/>
        <w:rPr>
          <w:rFonts w:hint="eastAsia"/>
          <w:b w:val="0"/>
          <w:bCs w:val="0"/>
        </w:rPr>
      </w:pPr>
      <w:r>
        <w:rPr>
          <w:rFonts w:hint="eastAsia"/>
          <w:b w:val="0"/>
          <w:bCs w:val="0"/>
        </w:rPr>
        <w:t>环绕外院墙上的三座门，以及通往内院的三座门洞，都象征着属灵的通路，这通路是藉着三一神的救赎工作而成为可能的。</w:t>
      </w:r>
    </w:p>
    <w:p w14:paraId="1DCE9724">
      <w:pPr>
        <w:pStyle w:val="9"/>
        <w:spacing w:before="17"/>
        <w:ind w:left="0"/>
        <w:jc w:val="left"/>
        <w:rPr>
          <w:rFonts w:hint="eastAsia"/>
          <w:b w:val="0"/>
          <w:bCs w:val="0"/>
        </w:rPr>
      </w:pPr>
    </w:p>
    <w:p w14:paraId="5A83E184">
      <w:pPr>
        <w:pStyle w:val="9"/>
        <w:spacing w:before="17"/>
        <w:ind w:left="0"/>
        <w:jc w:val="left"/>
        <w:rPr>
          <w:rFonts w:hint="eastAsia"/>
          <w:b w:val="0"/>
          <w:bCs w:val="0"/>
        </w:rPr>
      </w:pPr>
      <w:r>
        <w:rPr>
          <w:rFonts w:hint="eastAsia"/>
          <w:b w:val="0"/>
          <w:bCs w:val="0"/>
        </w:rPr>
        <w:t>Because of that work, God the Father, by the Holy Spirit, can henceforth gain access to the Body of Christ, just as he did on the Day of Pentecost, and just as he has done ever since, whenever he calls a saint to newness of life in his Son (John 14:15-24, Acts 2:1f).</w:t>
      </w:r>
    </w:p>
    <w:p w14:paraId="44BB6FC0">
      <w:pPr>
        <w:pStyle w:val="9"/>
        <w:spacing w:before="17"/>
        <w:ind w:left="0"/>
        <w:jc w:val="left"/>
        <w:rPr>
          <w:rFonts w:hint="eastAsia"/>
          <w:b w:val="0"/>
          <w:bCs w:val="0"/>
        </w:rPr>
      </w:pPr>
      <w:r>
        <w:rPr>
          <w:rFonts w:hint="eastAsia"/>
          <w:b w:val="0"/>
          <w:bCs w:val="0"/>
        </w:rPr>
        <w:t>因着那工作，父神藉着圣灵，从此可以进入基督的身体，正如祂在五旬节那天所做的一样，也正如祂自那时以来，每当祂呼召一个圣徒在祂儿子里得着新生命时所做的一样（约翰福音14:15-24，使徒行传2:1及以下）。</w:t>
      </w:r>
    </w:p>
    <w:p w14:paraId="4E23B4FD">
      <w:pPr>
        <w:pStyle w:val="9"/>
        <w:spacing w:before="17"/>
        <w:ind w:left="0"/>
        <w:jc w:val="left"/>
        <w:rPr>
          <w:rFonts w:hint="eastAsia"/>
          <w:b w:val="0"/>
          <w:bCs w:val="0"/>
        </w:rPr>
      </w:pPr>
    </w:p>
    <w:p w14:paraId="7DB3355D">
      <w:pPr>
        <w:pStyle w:val="9"/>
        <w:spacing w:before="17"/>
        <w:ind w:left="0"/>
        <w:jc w:val="left"/>
        <w:rPr>
          <w:rFonts w:hint="eastAsia"/>
          <w:b w:val="0"/>
          <w:bCs w:val="0"/>
        </w:rPr>
      </w:pPr>
      <w:r>
        <w:rPr>
          <w:rFonts w:hint="eastAsia"/>
          <w:b w:val="0"/>
          <w:bCs w:val="0"/>
        </w:rPr>
        <w:t>Because of that work, the saints now have access in one Spirit to the Father (Eph. 2:18), and to the everlasting grace in which they now stand (Rom. 5:1-2, NKJV).</w:t>
      </w:r>
    </w:p>
    <w:p w14:paraId="57CE7A2B">
      <w:pPr>
        <w:pStyle w:val="9"/>
        <w:spacing w:before="17"/>
        <w:ind w:left="0"/>
        <w:jc w:val="left"/>
        <w:rPr>
          <w:rFonts w:hint="eastAsia"/>
          <w:b w:val="0"/>
          <w:bCs w:val="0"/>
        </w:rPr>
      </w:pPr>
      <w:r>
        <w:rPr>
          <w:rFonts w:hint="eastAsia"/>
          <w:b w:val="0"/>
          <w:bCs w:val="0"/>
        </w:rPr>
        <w:t>因着那工作，圣徒们如今在一个灵里得以进到父面前（以弗所书2:18），并得以站在这永恒的恩典中（罗马书5:1-2，新英王钦定本）。</w:t>
      </w:r>
    </w:p>
    <w:p w14:paraId="02F2D817">
      <w:pPr>
        <w:pStyle w:val="9"/>
        <w:spacing w:before="17"/>
        <w:ind w:left="0"/>
        <w:jc w:val="left"/>
        <w:rPr>
          <w:rFonts w:hint="eastAsia"/>
          <w:b w:val="0"/>
          <w:bCs w:val="0"/>
        </w:rPr>
      </w:pPr>
    </w:p>
    <w:p w14:paraId="61C98557">
      <w:pPr>
        <w:pStyle w:val="9"/>
        <w:spacing w:before="17"/>
        <w:ind w:left="0"/>
        <w:jc w:val="left"/>
        <w:rPr>
          <w:rFonts w:hint="eastAsia"/>
          <w:b w:val="0"/>
          <w:bCs w:val="0"/>
        </w:rPr>
      </w:pPr>
      <w:r>
        <w:rPr>
          <w:rFonts w:hint="eastAsia"/>
          <w:b w:val="0"/>
          <w:bCs w:val="0"/>
        </w:rPr>
        <w:t>Also, because of that same work, the God of glory will gain consummate access to the Body of Christ at the Parousia on the Last Day (Ezek. 43:1-4, Rev. 21:3, 11, 23).</w:t>
      </w:r>
    </w:p>
    <w:p w14:paraId="0B788FDA">
      <w:pPr>
        <w:pStyle w:val="9"/>
        <w:spacing w:before="17"/>
        <w:ind w:left="0"/>
        <w:jc w:val="left"/>
        <w:rPr>
          <w:rFonts w:hint="eastAsia"/>
          <w:b w:val="0"/>
          <w:bCs w:val="0"/>
        </w:rPr>
      </w:pPr>
      <w:r>
        <w:rPr>
          <w:rFonts w:hint="eastAsia"/>
          <w:b w:val="0"/>
          <w:bCs w:val="0"/>
        </w:rPr>
        <w:t>也因着那同样的工作，荣耀的神将在末日基督再临时，完全进入基督的身体（以西结书43:1-4，启示录21:3, 11, 23）。</w:t>
      </w:r>
    </w:p>
    <w:p w14:paraId="0EF71277">
      <w:pPr>
        <w:pStyle w:val="9"/>
        <w:spacing w:before="17"/>
        <w:ind w:left="0"/>
        <w:jc w:val="left"/>
        <w:rPr>
          <w:rFonts w:hint="eastAsia"/>
          <w:b w:val="0"/>
          <w:bCs w:val="0"/>
        </w:rPr>
      </w:pPr>
    </w:p>
    <w:p w14:paraId="48912985">
      <w:pPr>
        <w:pStyle w:val="9"/>
        <w:spacing w:before="17"/>
        <w:ind w:left="0"/>
        <w:jc w:val="left"/>
        <w:rPr>
          <w:rFonts w:hint="eastAsia"/>
          <w:b w:val="0"/>
          <w:bCs w:val="0"/>
        </w:rPr>
      </w:pPr>
      <w:r>
        <w:rPr>
          <w:rFonts w:hint="eastAsia"/>
          <w:b w:val="0"/>
          <w:bCs w:val="0"/>
        </w:rPr>
        <w:t>Notably, the spiritual access described in Ezekiel’s vision is not unlimited: None but the priests may enter the Sanctuary, the Eastern Gate must remain closed except on Sabbaths and New Moons, etc.</w:t>
      </w:r>
    </w:p>
    <w:p w14:paraId="02433339">
      <w:pPr>
        <w:pStyle w:val="9"/>
        <w:spacing w:before="17"/>
        <w:ind w:left="0"/>
        <w:jc w:val="left"/>
        <w:rPr>
          <w:rFonts w:hint="eastAsia"/>
          <w:b w:val="0"/>
          <w:bCs w:val="0"/>
        </w:rPr>
      </w:pPr>
      <w:r>
        <w:rPr>
          <w:rFonts w:hint="eastAsia"/>
          <w:b w:val="0"/>
          <w:bCs w:val="0"/>
        </w:rPr>
        <w:t>值得注意的是，以西结异象中所描述的属灵通路并非没有限制：除了祭司，无人可以进入圣所；东门除了在安息日和月朔之外必须关闭，等等。</w:t>
      </w:r>
    </w:p>
    <w:p w14:paraId="41613648">
      <w:pPr>
        <w:pStyle w:val="9"/>
        <w:spacing w:before="17"/>
        <w:ind w:left="0"/>
        <w:jc w:val="left"/>
        <w:rPr>
          <w:rFonts w:hint="eastAsia"/>
          <w:b w:val="0"/>
          <w:bCs w:val="0"/>
        </w:rPr>
      </w:pPr>
    </w:p>
    <w:p w14:paraId="060AD816">
      <w:pPr>
        <w:pStyle w:val="9"/>
        <w:spacing w:before="17"/>
        <w:ind w:left="0"/>
        <w:jc w:val="left"/>
        <w:rPr>
          <w:rFonts w:hint="eastAsia"/>
          <w:b w:val="0"/>
          <w:bCs w:val="0"/>
        </w:rPr>
      </w:pPr>
      <w:r>
        <w:rPr>
          <w:rFonts w:hint="eastAsia"/>
          <w:b w:val="0"/>
          <w:bCs w:val="0"/>
        </w:rPr>
        <w:t>Such restrictions are fitting in a distinctly Old Testament revelation of the Kingdom, a revelation given at a time when the way into the Holiest of All was not yet made manifest (Heb. 9:8).</w:t>
      </w:r>
    </w:p>
    <w:p w14:paraId="3029F2E3">
      <w:pPr>
        <w:pStyle w:val="9"/>
        <w:spacing w:before="17"/>
        <w:ind w:left="0"/>
        <w:jc w:val="left"/>
        <w:rPr>
          <w:rFonts w:hint="eastAsia"/>
          <w:b w:val="0"/>
          <w:bCs w:val="0"/>
        </w:rPr>
      </w:pPr>
      <w:r>
        <w:rPr>
          <w:rFonts w:hint="eastAsia"/>
          <w:b w:val="0"/>
          <w:bCs w:val="0"/>
        </w:rPr>
        <w:t>这种限制在一个独特的旧约式国度启示中是合宜的，这个启示是在通往至圣所的路尚未显明的时候赐下的（希伯来书9:8）。</w:t>
      </w:r>
    </w:p>
    <w:p w14:paraId="55120383">
      <w:pPr>
        <w:pStyle w:val="9"/>
        <w:spacing w:before="17"/>
        <w:ind w:left="0"/>
        <w:jc w:val="left"/>
        <w:rPr>
          <w:rFonts w:hint="eastAsia"/>
          <w:b w:val="0"/>
          <w:bCs w:val="0"/>
        </w:rPr>
      </w:pPr>
    </w:p>
    <w:p w14:paraId="02ED5985">
      <w:pPr>
        <w:pStyle w:val="9"/>
        <w:spacing w:before="17"/>
        <w:ind w:left="0"/>
        <w:jc w:val="left"/>
        <w:rPr>
          <w:rFonts w:hint="eastAsia"/>
          <w:b w:val="0"/>
          <w:bCs w:val="0"/>
        </w:rPr>
      </w:pPr>
      <w:r>
        <w:rPr>
          <w:rFonts w:hint="eastAsia"/>
          <w:b w:val="0"/>
          <w:bCs w:val="0"/>
        </w:rPr>
        <w:t>Nevertheless, the restrictions are not without significance for NT believers in Jesus, since they serve to remind us that apart from Christ’s priestly work we have no access whatsoever to God.</w:t>
      </w:r>
    </w:p>
    <w:p w14:paraId="32127B9C">
      <w:pPr>
        <w:pStyle w:val="9"/>
        <w:spacing w:before="17"/>
        <w:ind w:left="0"/>
        <w:jc w:val="left"/>
        <w:rPr>
          <w:rFonts w:hint="eastAsia"/>
          <w:b w:val="0"/>
          <w:bCs w:val="0"/>
        </w:rPr>
      </w:pPr>
      <w:r>
        <w:rPr>
          <w:rFonts w:hint="eastAsia"/>
          <w:b w:val="0"/>
          <w:bCs w:val="0"/>
        </w:rPr>
        <w:t>然而，这些限制对信耶稣的新约信徒并非没有意义，因为它们提醒我们，若非基督的祭司工作，我们根本无法进到神面前。</w:t>
      </w:r>
    </w:p>
    <w:p w14:paraId="384D2064">
      <w:pPr>
        <w:pStyle w:val="9"/>
        <w:spacing w:before="17"/>
        <w:ind w:left="0"/>
        <w:jc w:val="left"/>
        <w:rPr>
          <w:rFonts w:hint="eastAsia"/>
          <w:b w:val="0"/>
          <w:bCs w:val="0"/>
        </w:rPr>
      </w:pPr>
    </w:p>
    <w:p w14:paraId="397B0B4F">
      <w:pPr>
        <w:pStyle w:val="9"/>
        <w:spacing w:before="17"/>
        <w:ind w:left="0"/>
        <w:jc w:val="left"/>
        <w:rPr>
          <w:rFonts w:hint="eastAsia"/>
          <w:b w:val="0"/>
          <w:bCs w:val="0"/>
        </w:rPr>
      </w:pPr>
      <w:r>
        <w:rPr>
          <w:rFonts w:hint="eastAsia"/>
          <w:b w:val="0"/>
          <w:bCs w:val="0"/>
        </w:rPr>
        <w:t>Happily, because of its infinite sufficiency, that work does indeed give God and (redeemed) man complete, unrestricted access to one another, as the Revelation picturesquely affirms (Rev. 21:25)</w:t>
      </w:r>
    </w:p>
    <w:p w14:paraId="346B96B9">
      <w:pPr>
        <w:pStyle w:val="9"/>
        <w:spacing w:before="17"/>
        <w:ind w:left="0"/>
        <w:jc w:val="left"/>
        <w:rPr>
          <w:rFonts w:hint="eastAsia"/>
          <w:b w:val="0"/>
          <w:bCs w:val="0"/>
        </w:rPr>
      </w:pPr>
      <w:r>
        <w:rPr>
          <w:rFonts w:hint="eastAsia"/>
          <w:b w:val="0"/>
          <w:bCs w:val="0"/>
        </w:rPr>
        <w:t>幸运的是，因其无限的充足性，那工作确实使神和（蒙救赎的）人得以完全、无限制地彼此相通，正如启示录所生动地肯定的（启示录21:25）。</w:t>
      </w:r>
    </w:p>
    <w:p w14:paraId="752965E7">
      <w:pPr>
        <w:pStyle w:val="9"/>
        <w:spacing w:before="17"/>
        <w:ind w:left="0"/>
        <w:jc w:val="left"/>
        <w:rPr>
          <w:rFonts w:hint="eastAsia"/>
          <w:b w:val="0"/>
          <w:bCs w:val="0"/>
        </w:rPr>
      </w:pPr>
    </w:p>
    <w:p w14:paraId="00A0B47C">
      <w:pPr>
        <w:pStyle w:val="9"/>
        <w:spacing w:before="17"/>
        <w:ind w:left="0"/>
        <w:jc w:val="left"/>
        <w:rPr>
          <w:rFonts w:hint="eastAsia"/>
          <w:b w:val="0"/>
          <w:bCs w:val="0"/>
        </w:rPr>
      </w:pPr>
      <w:r>
        <w:rPr>
          <w:rFonts w:hint="eastAsia"/>
          <w:b w:val="0"/>
          <w:bCs w:val="0"/>
        </w:rPr>
        <w:t>3.The Outer and Inner Courts (40:28-35)</w:t>
      </w:r>
    </w:p>
    <w:p w14:paraId="628C1A8A">
      <w:pPr>
        <w:pStyle w:val="9"/>
        <w:spacing w:before="17"/>
        <w:ind w:left="0"/>
        <w:jc w:val="left"/>
        <w:rPr>
          <w:rFonts w:hint="eastAsia"/>
          <w:b w:val="0"/>
          <w:bCs w:val="0"/>
        </w:rPr>
      </w:pPr>
      <w:r>
        <w:rPr>
          <w:rFonts w:hint="eastAsia"/>
          <w:b w:val="0"/>
          <w:bCs w:val="0"/>
        </w:rPr>
        <w:t>3. 外院和内院（40:28-35）</w:t>
      </w:r>
    </w:p>
    <w:p w14:paraId="56DC200A">
      <w:pPr>
        <w:pStyle w:val="9"/>
        <w:spacing w:before="17"/>
        <w:ind w:left="0"/>
        <w:jc w:val="left"/>
        <w:rPr>
          <w:rFonts w:hint="eastAsia"/>
          <w:b w:val="0"/>
          <w:bCs w:val="0"/>
        </w:rPr>
      </w:pPr>
    </w:p>
    <w:p w14:paraId="178B298F">
      <w:pPr>
        <w:pStyle w:val="9"/>
        <w:spacing w:before="17"/>
        <w:ind w:left="0"/>
        <w:jc w:val="left"/>
        <w:rPr>
          <w:rFonts w:hint="eastAsia"/>
          <w:b w:val="0"/>
          <w:bCs w:val="0"/>
        </w:rPr>
      </w:pPr>
      <w:r>
        <w:rPr>
          <w:rFonts w:hint="eastAsia"/>
          <w:b w:val="0"/>
          <w:bCs w:val="0"/>
        </w:rPr>
        <w:t>Next we have the two courts, both outer and inner.</w:t>
      </w:r>
    </w:p>
    <w:p w14:paraId="652529B6">
      <w:pPr>
        <w:pStyle w:val="9"/>
        <w:spacing w:before="17"/>
        <w:ind w:left="0"/>
        <w:jc w:val="left"/>
        <w:rPr>
          <w:rFonts w:hint="eastAsia"/>
          <w:b w:val="0"/>
          <w:bCs w:val="0"/>
        </w:rPr>
      </w:pPr>
      <w:r>
        <w:rPr>
          <w:rFonts w:hint="eastAsia"/>
          <w:b w:val="0"/>
          <w:bCs w:val="0"/>
        </w:rPr>
        <w:t>接下来是两个院子，外院和内院。</w:t>
      </w:r>
    </w:p>
    <w:p w14:paraId="0B99AEA1">
      <w:pPr>
        <w:pStyle w:val="9"/>
        <w:spacing w:before="17"/>
        <w:ind w:left="0"/>
        <w:jc w:val="left"/>
        <w:rPr>
          <w:rFonts w:hint="eastAsia"/>
          <w:b w:val="0"/>
          <w:bCs w:val="0"/>
        </w:rPr>
      </w:pPr>
    </w:p>
    <w:p w14:paraId="58B9D123">
      <w:pPr>
        <w:pStyle w:val="9"/>
        <w:spacing w:before="17"/>
        <w:ind w:left="0"/>
        <w:jc w:val="left"/>
        <w:rPr>
          <w:rFonts w:hint="eastAsia"/>
          <w:b w:val="0"/>
          <w:bCs w:val="0"/>
        </w:rPr>
      </w:pPr>
      <w:r>
        <w:rPr>
          <w:rFonts w:hint="eastAsia"/>
          <w:b w:val="0"/>
          <w:bCs w:val="0"/>
        </w:rPr>
        <w:t>More than any other element of the Temple Area, they bring to mind the idea of “holy ground” (Exodus 3:5).</w:t>
      </w:r>
    </w:p>
    <w:p w14:paraId="6E52ED8C">
      <w:pPr>
        <w:pStyle w:val="9"/>
        <w:spacing w:before="17"/>
        <w:ind w:left="0"/>
        <w:jc w:val="left"/>
        <w:rPr>
          <w:rFonts w:hint="eastAsia"/>
          <w:b w:val="0"/>
          <w:bCs w:val="0"/>
        </w:rPr>
      </w:pPr>
      <w:r>
        <w:rPr>
          <w:rFonts w:hint="eastAsia"/>
          <w:b w:val="0"/>
          <w:bCs w:val="0"/>
        </w:rPr>
        <w:t>比圣殿区域任何其他元素都更能让人想起“圣地”的观念（出埃及记3:5）。</w:t>
      </w:r>
    </w:p>
    <w:p w14:paraId="6EA7F0F5">
      <w:pPr>
        <w:pStyle w:val="9"/>
        <w:spacing w:before="17"/>
        <w:ind w:left="0"/>
        <w:jc w:val="left"/>
        <w:rPr>
          <w:rFonts w:hint="eastAsia"/>
          <w:b w:val="0"/>
          <w:bCs w:val="0"/>
        </w:rPr>
      </w:pPr>
    </w:p>
    <w:p w14:paraId="0CD96364">
      <w:pPr>
        <w:pStyle w:val="9"/>
        <w:spacing w:before="17"/>
        <w:ind w:left="0"/>
        <w:jc w:val="left"/>
        <w:rPr>
          <w:rFonts w:hint="eastAsia"/>
          <w:b w:val="0"/>
          <w:bCs w:val="0"/>
        </w:rPr>
      </w:pPr>
      <w:r>
        <w:rPr>
          <w:rFonts w:hint="eastAsia"/>
          <w:b w:val="0"/>
          <w:bCs w:val="0"/>
        </w:rPr>
        <w:t>It is ground created by the walls of salvation, and therefore suitable as a meeting place for God and (redeemed) man (Psalm 65:4).</w:t>
      </w:r>
    </w:p>
    <w:p w14:paraId="75ED739D">
      <w:pPr>
        <w:pStyle w:val="9"/>
        <w:spacing w:before="17"/>
        <w:ind w:left="0"/>
        <w:jc w:val="left"/>
        <w:rPr>
          <w:rFonts w:hint="eastAsia"/>
          <w:b w:val="0"/>
          <w:bCs w:val="0"/>
        </w:rPr>
      </w:pPr>
      <w:r>
        <w:rPr>
          <w:rFonts w:hint="eastAsia"/>
          <w:b w:val="0"/>
          <w:bCs w:val="0"/>
        </w:rPr>
        <w:t>这是由拯救的墙所创造的地，因此适合作为神与（蒙救赎的）人相会的地方（诗篇65:4）。</w:t>
      </w:r>
    </w:p>
    <w:p w14:paraId="451A54EA">
      <w:pPr>
        <w:pStyle w:val="9"/>
        <w:spacing w:before="17"/>
        <w:ind w:left="0"/>
        <w:jc w:val="left"/>
        <w:rPr>
          <w:rFonts w:hint="eastAsia"/>
          <w:b w:val="0"/>
          <w:bCs w:val="0"/>
        </w:rPr>
      </w:pPr>
    </w:p>
    <w:p w14:paraId="043B3954">
      <w:pPr>
        <w:pStyle w:val="9"/>
        <w:spacing w:before="17"/>
        <w:ind w:left="0"/>
        <w:jc w:val="left"/>
        <w:rPr>
          <w:rFonts w:hint="eastAsia"/>
          <w:b w:val="0"/>
          <w:bCs w:val="0"/>
        </w:rPr>
      </w:pPr>
      <w:r>
        <w:rPr>
          <w:rFonts w:hint="eastAsia"/>
          <w:b w:val="0"/>
          <w:bCs w:val="0"/>
        </w:rPr>
        <w:t>For the OT saints, the temple courts were a place of spiritual satisfaction (Psalm 84:2, 10), flourishing (Psalm 92:13), gratitude, joy, and praise (Psalm 100:4, 135:2-3).</w:t>
      </w:r>
    </w:p>
    <w:p w14:paraId="3C691FF9">
      <w:pPr>
        <w:pStyle w:val="9"/>
        <w:spacing w:before="17"/>
        <w:ind w:left="0"/>
        <w:jc w:val="left"/>
        <w:rPr>
          <w:rFonts w:hint="eastAsia"/>
          <w:b w:val="0"/>
          <w:bCs w:val="0"/>
        </w:rPr>
      </w:pPr>
      <w:r>
        <w:rPr>
          <w:rFonts w:hint="eastAsia"/>
          <w:b w:val="0"/>
          <w:bCs w:val="0"/>
        </w:rPr>
        <w:t>对旧约的圣徒而言，殿的院子是属灵满足（诗篇84:2, 10）、兴盛（诗篇92:13）、感恩、喜乐和赞美的地方（诗篇100:4, 135:2-3）。</w:t>
      </w:r>
    </w:p>
    <w:p w14:paraId="6D26DFB4">
      <w:pPr>
        <w:pStyle w:val="9"/>
        <w:spacing w:before="17"/>
        <w:ind w:left="0"/>
        <w:jc w:val="left"/>
        <w:rPr>
          <w:rFonts w:hint="eastAsia"/>
          <w:b w:val="0"/>
          <w:bCs w:val="0"/>
        </w:rPr>
      </w:pPr>
    </w:p>
    <w:p w14:paraId="2D64E31A">
      <w:pPr>
        <w:pStyle w:val="9"/>
        <w:spacing w:before="17"/>
        <w:ind w:left="0"/>
        <w:jc w:val="left"/>
        <w:rPr>
          <w:rFonts w:hint="eastAsia"/>
          <w:b w:val="0"/>
          <w:bCs w:val="0"/>
        </w:rPr>
      </w:pPr>
      <w:r>
        <w:rPr>
          <w:rFonts w:hint="eastAsia"/>
          <w:b w:val="0"/>
          <w:bCs w:val="0"/>
        </w:rPr>
        <w:t>In his vision of God’s eschatological courts, Ezekiel is therefore telling us that in that Day the LORD’s holy people/royal priesthood will be able to meet with God on the ground of Christ, and so enjoy all these blessings forever.</w:t>
      </w:r>
    </w:p>
    <w:p w14:paraId="608C4274">
      <w:pPr>
        <w:pStyle w:val="9"/>
        <w:spacing w:before="17"/>
        <w:ind w:left="0"/>
        <w:jc w:val="left"/>
        <w:rPr>
          <w:b w:val="0"/>
          <w:bCs w:val="0"/>
        </w:rPr>
      </w:pPr>
      <w:r>
        <w:rPr>
          <w:rFonts w:hint="eastAsia"/>
          <w:b w:val="0"/>
          <w:bCs w:val="0"/>
        </w:rPr>
        <w:t>因此，以西结在他关于神末世院子的异象中告诉我们，在那日，主的圣洁子民/君尊祭司将能在基督的根基上与神相会，从而永远享受所有这些祝福。</w:t>
      </w:r>
    </w:p>
    <w:p w14:paraId="2378792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4.The Chambers (40:38-44, 42:1-15)</w:t>
      </w:r>
    </w:p>
    <w:p w14:paraId="2AA3CC8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4. 厢房 (40:38-44, 42:1-15)</w:t>
      </w:r>
    </w:p>
    <w:p w14:paraId="296FD42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3F582F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Temple Area contains a great abundance of chambers.</w:t>
      </w:r>
    </w:p>
    <w:p w14:paraId="0C8F737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圣殿区域有大量的厢房。</w:t>
      </w:r>
    </w:p>
    <w:p w14:paraId="2CED6BE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B9F9E6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Embedded in the walls and the buildings, they are mostly for the use of the (Zadokite) priests, but also for singers and (Levitical) gatekeepers (40:39-45, 42:1-10, 46:19-24).</w:t>
      </w:r>
    </w:p>
    <w:p w14:paraId="1907416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这些厢房嵌入墙壁和建筑中，主要供（撒督派）祭司使用，也供歌唱者和（利未人）守门人使用 (40:39-45, 42:1-10, 46:19-24)。</w:t>
      </w:r>
    </w:p>
    <w:p w14:paraId="5238026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1ED9FF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calls to mind how Christ has strategically “set” each of his charismatically gifted children into his Body, so they may become vital, functioning members thereof (1 Cor. 12:18).</w:t>
      </w:r>
    </w:p>
    <w:p w14:paraId="0CFEC61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这让人想起基督如何战略性地将祂每一个有属灵恩赐的儿女“安放”在祂的身体里，使他们成为其中至关重要的、发挥功用的肢体 (林前 12:18)。</w:t>
      </w:r>
    </w:p>
    <w:p w14:paraId="2EC0615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CB3FAE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Each of his “royal priests” occupies an appointed niche and has an appointed ministry to fulfill (1 Peter 2:9, 4:10-11).</w:t>
      </w:r>
    </w:p>
    <w:p w14:paraId="7FF2896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祂的每一位“君尊的祭司”都占据一个指定的壁龛，并有指定的职事要去完成 (彼前 2:9, 4:10-11)。</w:t>
      </w:r>
    </w:p>
    <w:p w14:paraId="2FC1E4E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111D61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prophet’s vision also reminds us of the words of Christ, who said that in his Father’s house there are many dwelling places (John 14:2; NIV, “rooms”).</w:t>
      </w:r>
    </w:p>
    <w:p w14:paraId="3D3F6C4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先知的异象也让我们想起基督的话，祂说在祂父的家里有许多住处 (约 14:2；NIV作“房间”)。</w:t>
      </w:r>
    </w:p>
    <w:p w14:paraId="37D40E8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E371B6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These are not physical structures, but spiritual spheres of service.</w:t>
      </w:r>
    </w:p>
    <w:p w14:paraId="1E73F35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这些不是物质的结构，而是属灵的服事领域。</w:t>
      </w:r>
    </w:p>
    <w:p w14:paraId="05744C7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F36ABC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chambers in Ezekiel’s Temple vision depict the eternal gifts and callings of the saints (Luke 19:17).</w:t>
      </w:r>
    </w:p>
    <w:p w14:paraId="2003772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以西结圣殿异象中的厢房描绘了圣徒永恒的恩赐和呼召 (路 19:17)。</w:t>
      </w:r>
    </w:p>
    <w:p w14:paraId="70980F9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19649F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5.The Sanctuary, or Temple Building (40:48-41:26)</w:t>
      </w:r>
    </w:p>
    <w:p w14:paraId="06F83A5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 圣所，即圣殿建筑 (40:48-41:26)</w:t>
      </w:r>
    </w:p>
    <w:p w14:paraId="5E2C623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F9F68D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tri-partite structure—consisting of a portico, an outer sanctuary (the Holy Place), and an inner sanctuary (the Most Holy Place)—is the dwelling place of the Presence and Glory of God.</w:t>
      </w:r>
    </w:p>
    <w:p w14:paraId="3DE8A62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这个由三部分组成的结构——包括一个廊子、一个外圣所（圣所）和一个内圣所（至圣所）——是神同在和荣耀的居所。</w:t>
      </w:r>
    </w:p>
    <w:p w14:paraId="24A171F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ACB3E5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It displays four notable characteristics corresponding to its NT antitype, the Body of Christ.</w:t>
      </w:r>
    </w:p>
    <w:p w14:paraId="4A0AD44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它展示了四个显著的特征，与其新约的预表实体，即基督的身体相对应。</w:t>
      </w:r>
    </w:p>
    <w:p w14:paraId="2E59CA6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02C18C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First, the Sanctuary is elevated above all other structures in the Temple Area.</w:t>
      </w:r>
    </w:p>
    <w:p w14:paraId="64A7045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首先，圣所高悬于圣殿区域所有其他建筑之上。</w:t>
      </w:r>
    </w:p>
    <w:p w14:paraId="536EA10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D75684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Even in the World to Come, the Body of Christ will be seated in heavenly places; she will be high and lifted up, not spatially, but spiritually, in virtue of her surpassing holiness and intimacy with the Triune God (Isaiah 52:13, Eph. 2:6, Rev. 21:10).</w:t>
      </w:r>
    </w:p>
    <w:p w14:paraId="1306D07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即使在将来的世界里，基督的身体也将坐在天上；她将被高举，不是空间上的，而是灵性上的，因着她超凡的圣洁以及与三一神的亲密关系 (赛 52:13, 弗 2:6, 启 21:10)。</w:t>
      </w:r>
    </w:p>
    <w:p w14:paraId="6CD3275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AE2D6E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Secondly, the Sanctuary is protected, not only by walls, chambers, buildings, buffer zones, courts, and gates, but also by divine decree.</w:t>
      </w:r>
    </w:p>
    <w:p w14:paraId="35552C7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其次，圣所不仅受到墙壁、厢房、建筑、缓冲区、院子和门的保护，也受到神的谕令的保护。</w:t>
      </w:r>
    </w:p>
    <w:p w14:paraId="744DCB9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6E9ADC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is especially true of the Most Holy Place: Only God himself, and the angel whom he sent to the prophet, are permitted to enter by its exceedingly narrow door.</w:t>
      </w:r>
    </w:p>
    <w:p w14:paraId="4B2500A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至圣所尤其如此：只有神自己，以及祂差遣到先知那里的天使，才被允许从那极其狭窄的门进入。</w:t>
      </w:r>
    </w:p>
    <w:p w14:paraId="2B406D9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CD270B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If we think of this Sanctuary as a true physical structure, the message here is indeed a gloomy one, speaking as it does of sinful man’s exclusion from the Presence of the Holy God.</w:t>
      </w:r>
    </w:p>
    <w:p w14:paraId="5478F68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如果我们将这圣所看作一个真实的物质结构，那么这里的信息确实是令人沮丧的，因为它说的是有罪的人被排除在圣洁之神的同在之外。</w:t>
      </w:r>
    </w:p>
    <w:p w14:paraId="78524F4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35B27C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if, with John the Revelator, we think of the Sanctuary as a spiritual structure—as the Body of Christ itself—then suddenly we find Ezekiel giving us something vastly more encouraging: a holy people, filled with the Holy Spirit, indwelt by the holy God, and therefore eternally secure from every defilement and punishment of sin (Rev. 21:1-3, 17-18, 22, 27).</w:t>
      </w:r>
    </w:p>
    <w:p w14:paraId="2E27561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是，如果我们和启示者约翰一样，将圣所看作一个属灵的结构——即基督的身体本身——那么我们突然发现以西结给了我们一些远为鼓舞人心的东西：一群圣洁的子民，被圣灵充满，被圣洁的神内住，因此永远稳妥，免受罪的一切玷污和惩罚 (启 21:1-3, 17-18, 22, 27)。</w:t>
      </w:r>
    </w:p>
    <w:p w14:paraId="3DA2389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62BE93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Thirdly, the Sanctuary is ever served (and preserved) by sacrifice.</w:t>
      </w:r>
    </w:p>
    <w:p w14:paraId="185F33A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第三，圣所永远由献祭来服事（和保守）。</w:t>
      </w:r>
    </w:p>
    <w:p w14:paraId="2C30296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7ED7C3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As we have seen, an altar of sacrifice stands before it at the absolute center of the land.</w:t>
      </w:r>
    </w:p>
    <w:p w14:paraId="4416F09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正如我们所见，一座献祭的坛立在它前面，位于这片土地的绝对中心。</w:t>
      </w:r>
    </w:p>
    <w:p w14:paraId="68C8648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4E4928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Also, it is surrounded by various kinds of rooms that house priests and implements devoted to sacrifices for sin.</w:t>
      </w:r>
    </w:p>
    <w:p w14:paraId="3FD8717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此外，它周围有各种各样的房间，里面住着祭司，并存放着专用于赎罪祭的器具。</w:t>
      </w:r>
    </w:p>
    <w:p w14:paraId="0083436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C875B1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On this score, the NT blessedly relieves our distress.</w:t>
      </w:r>
    </w:p>
    <w:p w14:paraId="74E21DF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在这一点上，新约有福地解除了我们的困苦。</w:t>
      </w:r>
    </w:p>
    <w:p w14:paraId="62AA8D7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CA4F40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No, it is not that in the eschaton Jewish priests will offer animal sacrifices forever.</w:t>
      </w:r>
    </w:p>
    <w:p w14:paraId="6FD260C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不，这并非说在末世，犹太祭司会永远献上动物祭。</w:t>
      </w:r>
    </w:p>
    <w:p w14:paraId="7C8C77B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D9BAE8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Rather, it is that Christ, our eternal High Priest and Sacrifice, will ever live to present the merits of his once-for-all sacrifice to the Father; he will ever live to make intercession for his Body, so that the Presence of the Holy God may ever fill his Body (Isaiah 53:12, Rom. 8:34, Heb. 7:25, 27, 10:10).</w:t>
      </w:r>
    </w:p>
    <w:p w14:paraId="2145DE8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而是说，基督，我们永远的大祭司和祭物，将永远活着，将祂那一次献上、永远有效的祭的功劳呈献给父；祂将永远活着为祂的身体代求，使圣洁之神的同在可以永远充满祂的身体 (赛 53:12, 罗 8:34, 来 7:25, 27, 10:10)。</w:t>
      </w:r>
    </w:p>
    <w:p w14:paraId="4E5130A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A51FDE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Finally, the Sanctuary is a dwelling place, not only for God, but also for man.</w:t>
      </w:r>
    </w:p>
    <w:p w14:paraId="3CF87F6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最后，圣所不仅是神的居所，也是人的居所。</w:t>
      </w:r>
    </w:p>
    <w:p w14:paraId="3D43772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FEDC54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True, the priests cannot remain in it, or even enter the Most Holy Place.</w:t>
      </w:r>
    </w:p>
    <w:p w14:paraId="0E4C3F8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诚然，祭司不能留在其中，甚至不能进入至圣所。</w:t>
      </w:r>
    </w:p>
    <w:p w14:paraId="0A95351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2757C9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as we have seen, many of them live in the 90 side-chambers attached to it.</w:t>
      </w:r>
    </w:p>
    <w:p w14:paraId="1D96C62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但正如我们所见，他们中许多人住在附属于它的90间旁室里。</w:t>
      </w:r>
    </w:p>
    <w:p w14:paraId="070E86C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5D57AA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three tiers of galleries, each containing 30 (3x10) chambers, call to mind the redemptive work of the Holy Trinity: Together, the three Persons have created one many-membered Body of Christ, a holy priesthood that lives forever in (close proximity to) God, even as God lives forever in (close proximity to) it (John 17:23, 26, 1 Peter 2:5, Eph. 2:22).</w:t>
      </w:r>
    </w:p>
    <w:p w14:paraId="32E2191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三层楼廊，每层有30间 (3x10) 厢房，让人想起圣三一的救赎之工：三位一体共同创造了一个多肢体的基督身体，一个永远活在（紧邻）神里面的圣洁祭司体系，正如神永远活在（紧邻）它里面一样 (约 17:23, 26, 彼前 2:5, 弗 2:22)。</w:t>
      </w:r>
    </w:p>
    <w:p w14:paraId="0AE2ADE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72FA45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6.Palm Trees and Cherubim (41:15-20, 24-36)</w:t>
      </w:r>
    </w:p>
    <w:p w14:paraId="6EF2C73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6. 棕树和基路伯 (41:15-20, 24-36)</w:t>
      </w:r>
    </w:p>
    <w:p w14:paraId="244388C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517A56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passing, it is well worth noting that on the walls and door jambs of the Sanctuary Ezekiel saw carved images of palm trees and cherubim, situated one between the other.</w:t>
      </w:r>
    </w:p>
    <w:p w14:paraId="5A34BB9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顺便一提，很值得注意的是，在圣所的墙壁和门框上，以西结看到了棕树和基路伯的雕像，彼此相间排列。</w:t>
      </w:r>
    </w:p>
    <w:p w14:paraId="1AA861C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567868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Each cherub had two faces, one of a man, the other of a lion, with each face looking towards an adjacent palm tree (41:15-20).</w:t>
      </w:r>
    </w:p>
    <w:p w14:paraId="723BD33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每个基路伯有两个脸，一个是人的脸，另一个是狮子的脸，每个脸都朝向旁边的一棵棕树 (41:15-20)。</w:t>
      </w:r>
    </w:p>
    <w:p w14:paraId="7E32B81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4DAA84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the vision begins to incorporate inspiring pictures of Paradise regained.</w:t>
      </w:r>
    </w:p>
    <w:p w14:paraId="598EFD1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在这里，异象开始融入了复得乐园的激动人心的画面。</w:t>
      </w:r>
    </w:p>
    <w:p w14:paraId="2975C13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C00D65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palm trees remind us of Eden’s lush vegetation; indeed, of the Tree of Life itself.</w:t>
      </w:r>
    </w:p>
    <w:p w14:paraId="4145E56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棕树让我们想起伊甸园繁茂的植被；实际上，是生命树本身。</w:t>
      </w:r>
    </w:p>
    <w:p w14:paraId="5EEBCFD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766836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cherubim recall Adam and Eve’s expulsion and exile from the Garden (Gen. 3:24).</w:t>
      </w:r>
    </w:p>
    <w:p w14:paraId="7FE9A35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基路伯则让人回想起亚当和夏娃被逐出伊甸园并流放的情景 (创 3:24)。</w:t>
      </w:r>
    </w:p>
    <w:p w14:paraId="38AA8E7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2E610D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however, the holy angels—just like the walls of salvation—are not keeping God’s people out, but keeping them in.</w:t>
      </w:r>
    </w:p>
    <w:p w14:paraId="03964BA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然而，在这里，圣天使——就像救恩的墙垣一样——不是将神的子民挡在外面，而是将他们保守在里面。</w:t>
      </w:r>
    </w:p>
    <w:p w14:paraId="26D2401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8DC30E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the eschaton, the world will become a Temple- Garden for God’s people.</w:t>
      </w:r>
    </w:p>
    <w:p w14:paraId="70C34AA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在末世，世界将成为神子民的圣殿花园。</w:t>
      </w:r>
    </w:p>
    <w:p w14:paraId="12C5DBF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73F31E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mighty cherubim, whose faces embody the compassion of the Son of Man (Heb. 4:14-15) and the royal power of the Lion of the Tribe of Judah (Rev. 5:5), will stand watch, this time guaranteeing perpetual access to the Tree of Life.</w:t>
      </w:r>
    </w:p>
    <w:p w14:paraId="50F2BEE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大能的基路伯，其面孔体现了人子的怜悯 (来 4:14-15) 和犹大支派的狮子的君王权能 (启 5:5)，将站立守望，这一次要确保人可以永远靠近生命树。</w:t>
      </w:r>
    </w:p>
    <w:p w14:paraId="6235058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212CB6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Everlasting Glory (43:1-12)</w:t>
      </w:r>
    </w:p>
    <w:p w14:paraId="465FE9C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永恒的荣耀 (43:1-12)</w:t>
      </w:r>
    </w:p>
    <w:p w14:paraId="103C499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CBBA24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all its brevity, this is surely the high point of Ezekiel’s vision, the climactic Oracle of Good News.</w:t>
      </w:r>
    </w:p>
    <w:p w14:paraId="6935949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尽管篇幅简短，但这无疑是以西结异象的高潮，是福音神谕的顶点。</w:t>
      </w:r>
    </w:p>
    <w:p w14:paraId="3ED78DA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8CCC49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Years prior, he himself had received a heart-rending vision of the glory of the God of Israel departing from Solomon’s Temple (Ezek. 8-11).</w:t>
      </w:r>
    </w:p>
    <w:p w14:paraId="1887682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多年前，他自己曾领受一个令人心碎的异象，即以色列神的荣耀离开所罗门的圣殿 (结 8-11)。</w:t>
      </w:r>
    </w:p>
    <w:p w14:paraId="024FB64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82A125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However, where sin abounds, grace will much more abound.</w:t>
      </w:r>
    </w:p>
    <w:p w14:paraId="2CE45F3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然而，罪在哪里显多，恩典就更显多了。</w:t>
      </w:r>
    </w:p>
    <w:p w14:paraId="73FEECF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14F130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Therefore, in a corresponding vision, he now receives a countermanding promise: In that Day, the glory of God will return to the eschatological Temple.</w:t>
      </w:r>
    </w:p>
    <w:p w14:paraId="12A8C8C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因此，在一个相应的异象中，他现在领受了一个反向的应许：在那日，神的荣耀将回到末世的圣殿中。</w:t>
      </w:r>
    </w:p>
    <w:p w14:paraId="7BA84A1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93C133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And it will remain there forever, for in that Day Israel will become holy forever.</w:t>
      </w:r>
    </w:p>
    <w:p w14:paraId="3E85EDF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并且它将永远留在那里，因为在那日，以色列将永远成为圣洁。</w:t>
      </w:r>
    </w:p>
    <w:p w14:paraId="2C7E3CE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B70AFA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What exactly does this vision signify?</w:t>
      </w:r>
    </w:p>
    <w:p w14:paraId="6D95E44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这个异象究竟意味着什么？</w:t>
      </w:r>
    </w:p>
    <w:p w14:paraId="553AA93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F7DFB6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How exactly is it to be fulfilled?</w:t>
      </w:r>
    </w:p>
    <w:p w14:paraId="4C6121B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它究竟将如何应验？</w:t>
      </w:r>
    </w:p>
    <w:p w14:paraId="31E32E4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8048B7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As I suggested earlier—and as the details indicate—it points to nothing less than the gift of the fullness of the glory of God upon both man and nature at the Parousia of Christ.</w:t>
      </w:r>
    </w:p>
    <w:p w14:paraId="2C93DA0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正如我之前所建议的——也如细节所示——它指向的正是基督再临时神荣耀的丰满要作为恩赐临到人和自然界。</w:t>
      </w:r>
    </w:p>
    <w:p w14:paraId="7C6BA77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16FAA8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Yes, the glory of the LORD had indeed departed from Solomon’s temple because of ethnic Israel’s many sins.</w:t>
      </w:r>
    </w:p>
    <w:p w14:paraId="53D0F24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是的，耶和华的荣耀确实因以色列民族的诸多罪恶而离开了所罗门的圣殿。</w:t>
      </w:r>
    </w:p>
    <w:p w14:paraId="1A42548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588F6E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that was a mere emblem of a far greater departure: the departure of the glory of God— and the hope of the glory of God in its fullness—from man and nature because of the sin of Adam in Eden.</w:t>
      </w:r>
    </w:p>
    <w:p w14:paraId="5A2CDC0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但这仅仅是一个远为更重大的离开的表记：即神的荣耀——以及神荣耀丰满的盼望——因亚当在伊甸园的罪而离开了人和自然。</w:t>
      </w:r>
    </w:p>
    <w:p w14:paraId="621678D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A99F86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however, under OT type and shadow, Ezekiel gives us great good news: These tragic departures will all be answered with a glorious, redemptive Return.</w:t>
      </w:r>
    </w:p>
    <w:p w14:paraId="12B8DA2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然而，在这里，在旧约的预表和影像之下，以西结给了我们极大的好消息：这些悲剧性的离开都将以一个荣耀的、救赎性的回归来回应。</w:t>
      </w:r>
    </w:p>
    <w:p w14:paraId="6B28FC8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5F7FE0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NT explains how.</w:t>
      </w:r>
    </w:p>
    <w:p w14:paraId="667DD19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新约解释了如何实现。</w:t>
      </w:r>
    </w:p>
    <w:p w14:paraId="0D45A54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A347C2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When at last Christ’s Temple—his Church—is complete, he will come again in glory to consummate his redemptive work; to bestow upon his resurrected people and their world the fullness of the glory of God the Father (John 17:22, Phil. 2:11, Rev. 21:11, 23).</w:t>
      </w:r>
    </w:p>
    <w:p w14:paraId="0971414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当基督的圣殿——祂的教会——最终完工时，祂将荣耀再来，成全祂的救赎之工；将父神荣耀的丰满赐给祂复活的子民和他们的世界 (约 17:22, 腓 2:11, 启 21:11, 23)。</w:t>
      </w:r>
    </w:p>
    <w:p w14:paraId="49C0DD1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4B0FAA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details of the vision richly support this interpretation.</w:t>
      </w:r>
    </w:p>
    <w:p w14:paraId="6D89F1F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异象的细节丰富地支持了这一解释。</w:t>
      </w:r>
    </w:p>
    <w:p w14:paraId="23AD7C6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BC5623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First, Ezekiel sees the glory of the LORD coming from the way of the East (v. 2).</w:t>
      </w:r>
    </w:p>
    <w:p w14:paraId="33889A2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首先，以西结看见耶和华的荣耀从东而来 (第 2 节)。</w:t>
      </w:r>
    </w:p>
    <w:p w14:paraId="6C722BB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9AD3CC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is the place of the sun’s rising, whence the glorified Christ will appear to all at the dawning of the Age to Come (Mt. 24:27, 2 Peter 1:19).</w:t>
      </w:r>
    </w:p>
    <w:p w14:paraId="7D292A5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这是日出之地，得荣耀的基督将在未来世代的黎明时分从那里向所有人显现 (太 24:27, 彼后 1:19)。</w:t>
      </w:r>
    </w:p>
    <w:p w14:paraId="6D5119F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4B4E96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Secondly, the prophet also hears the voice of the LORD, which is as the sound of many waters (v. 2).</w:t>
      </w:r>
    </w:p>
    <w:p w14:paraId="474C140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其次，先知也听见主的声音，如同众水的声音 (第 2 节)。</w:t>
      </w:r>
    </w:p>
    <w:p w14:paraId="28FB5D7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072DC7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Thus did John describe the voice of the glorified Christ, when he appeared to him on the island of Patmos and spoke to him of his coming again (Rev. 1:7-8, 15).</w:t>
      </w:r>
    </w:p>
    <w:p w14:paraId="415E597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约翰就是这样描述得荣耀的基督的声音的，当时基督在拔摩岛向他显现，并对他讲说祂的再来 (启 1:7-8, 15)。</w:t>
      </w:r>
    </w:p>
    <w:p w14:paraId="2590274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7EDE09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Note also the astonishing declaration of the apostle Paul, that at his Coming Christ will descend from heaven with a shout (1 Thess. 4:16)!</w:t>
      </w:r>
    </w:p>
    <w:p w14:paraId="1C8EA4F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还要注意使徒保罗惊人的宣告，即基督再来时将伴随着呼叫声从天降临 (帖前 4:16)！</w:t>
      </w:r>
    </w:p>
    <w:p w14:paraId="660296F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2B03A5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Thirdly, when the LORD appeared to Ezekiel, the earth shone with his glory (v. 2).</w:t>
      </w:r>
    </w:p>
    <w:p w14:paraId="2B7854A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第三，当主向以西结显现时，地因祂的荣耀发光 (第 2 节)。</w:t>
      </w:r>
    </w:p>
    <w:p w14:paraId="41EBAEB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345E5C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too recalls John’s initial vision of the glory of Christ, whose face shone like the sun in its strength, and at whose Parousia the earth will be illumined by that same glory (Rev. 1:16, 18:1).</w:t>
      </w:r>
    </w:p>
    <w:p w14:paraId="64D40ED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这也让人回想起约翰最初看到的基督荣耀的异象，祂的面貌如同烈日放光，而在祂再临时，地将被同样的荣耀照亮 (启 1:16, 18:1)。</w:t>
      </w:r>
    </w:p>
    <w:p w14:paraId="302AF93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841ADC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Fourthly, Ezekiel records that the glory of the LORD will enter the Sanctuary through the East Gate(s) of the Temple Area (v. 5).</w:t>
      </w:r>
    </w:p>
    <w:p w14:paraId="5C549B3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第四，以西结记录耶和华的荣耀将从圣殿区域的东门进入圣所 (第 5 节)。</w:t>
      </w:r>
    </w:p>
    <w:p w14:paraId="52C5F09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60CFAD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Interestingly, in the days of his flesh, on Palm Sunday, Jesus entered Jerusalem by the East Gate.</w:t>
      </w:r>
    </w:p>
    <w:p w14:paraId="3D7A49B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有趣的是，在祂肉身的日子里，在棕榈主日，耶稣从东门进入耶路撒冷。</w:t>
      </w:r>
    </w:p>
    <w:p w14:paraId="298F383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64209C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That, however, was but a type and harbinger of a far greater entering still to come; an entering that will occur at his Parousia, when, at the resurrection of the dead, he will adorn his holy Bride-City with the glory of God the Father (Eph. 2:2, Rev. 21:3, 11).</w:t>
      </w:r>
    </w:p>
    <w:p w14:paraId="2D85402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然而，那只是一个预表和预兆，预示着一个远为更伟大的进入尚未来到；这个进入将在祂再临时发生，届时，在死人复活时，祂将用父神的荣耀装饰祂圣洁的新妇之城 (弗 2:2, 启 21:3, 11)。</w:t>
      </w:r>
    </w:p>
    <w:p w14:paraId="62A152E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DD9346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Fifthly, Ezekiel records that the glory of the LORD filled the house (v. 5).</w:t>
      </w:r>
    </w:p>
    <w:p w14:paraId="005429B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第五，以西结记录耶和华的荣光充满了殿 (第 5 节)。</w:t>
      </w:r>
    </w:p>
    <w:p w14:paraId="55A9049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7C68FF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Doubtless this was partially fulfilled on the Day of Pentecost, when the Spirit arrived on earth to fill the nascent Church (Acts 2:1f).</w:t>
      </w:r>
    </w:p>
    <w:p w14:paraId="3452CD5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无疑，这在五旬节那天部分应验了，当时圣灵降临地上，充满初生的教会 (徒 2:1及后)。</w:t>
      </w:r>
    </w:p>
    <w:p w14:paraId="1BE785B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B2E625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Yet even then the saints were not fully filled, owing to residual sin in their members; nor can the Church—Christ’s holy Temple—be fully filled until, as she reaches the end of the age, the Lord sets the last stone set in place (Mt. 24:14, 1 Peter 2:5).</w:t>
      </w:r>
    </w:p>
    <w:p w14:paraId="1EB1A2F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然而，即便那时，圣徒也没有被完全充满，因为他们肢体中仍有残余的罪；教会——基督的圣殿——也无法被完全充满，直到她到达世代的末了，主将最后一块石头安放妥当 (太 24:14, 彼前 2:5)。</w:t>
      </w:r>
    </w:p>
    <w:p w14:paraId="53A2A64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48E7C8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then, we have the final and complete infilling of God’s eschatological Temple; the infilling that renders his people perfectly holy, thereby by making them a perfectly suitable House for the Great King, a resting place where he may sit enthroned forever (43:7, Rev. 21:11).</w:t>
      </w:r>
    </w:p>
    <w:p w14:paraId="4705F8F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因此，这里我们看到了神末世圣殿的最终和完全的充满；这充满使祂的子民完全成圣，从而使他们成为一个完全适合伟大君王的殿宇，一个祂可以永远坐着为王的安息之所 (43:7, 启 21:11)。</w:t>
      </w:r>
    </w:p>
    <w:p w14:paraId="254033B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BCDB98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Finally, observe from verse 12 that when the Temple is at last filled with God’s glory, the whole area atop the Mountain will be most holy.</w:t>
      </w:r>
    </w:p>
    <w:p w14:paraId="212E55E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最后，从第12节观察到，当圣殿最终被神的荣耀充满时，山顶上的整个区域都将成为至圣。</w:t>
      </w:r>
    </w:p>
    <w:p w14:paraId="5543AE0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3503E6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in a type, is exactly what the apostle Paul taught his Roman brethren, declaring that when Christ returns to resurrect the saints to eternal life all creation will be set free from its slavery to corruption into the freedom of the glory of the children of God (Rom. 8:20-21).</w:t>
      </w:r>
    </w:p>
    <w:p w14:paraId="1402000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这在一个预表上，正是使徒保罗教导他罗马弟兄的，他宣告当基督回来使圣徒复活得永生时，所有受造之物都将脱离败坏的奴役，得享神儿女荣耀的自由 (罗 8:20-21)。</w:t>
      </w:r>
    </w:p>
    <w:p w14:paraId="1AC5989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592BE3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glorification of the Church ushers in the glorification of the world where she will live with God forever (Rev. 21:1-4).</w:t>
      </w:r>
    </w:p>
    <w:p w14:paraId="4AE2C45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教会的得荣，开启了世界的得荣，她将在那世界里与神永远同住 (启 21:1-4)。</w:t>
      </w:r>
    </w:p>
    <w:p w14:paraId="1C7575D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3C1C6D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that Day, the whole earth will become the High Mountain of the LORD.</w:t>
      </w:r>
    </w:p>
    <w:p w14:paraId="0E7D3BC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在那日，全地都将成为耶和华的圣山。</w:t>
      </w:r>
    </w:p>
    <w:p w14:paraId="3B3F6EE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E5A12F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Everlasting Worship (43:13-46:24)</w:t>
      </w:r>
    </w:p>
    <w:p w14:paraId="3DBFC11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永恒的敬拜 (43:13-46:24)</w:t>
      </w:r>
    </w:p>
    <w:p w14:paraId="4C093BC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73E26F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long and detailed section is designed to portray the manner of life and worship by which God’s restored Israel may—and surely will— maintain the perfect holiness of his eschatological Temple, thereby securing his presence and blessing in the land throughout the eternal Age to Come.</w:t>
      </w:r>
    </w:p>
    <w:p w14:paraId="5C0BB6C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这个漫长而详细的段落旨在描绘蒙神复兴的以色列可以——并且必将——借以维持祂末世圣殿完美圣洁的生活和敬拜方式，从而在永恒的未来世代里确保祂在这片土地上的同在和祝福。</w:t>
      </w:r>
    </w:p>
    <w:p w14:paraId="43A039F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24FB4F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How will this be accomplished?</w:t>
      </w:r>
    </w:p>
    <w:p w14:paraId="226436F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这将如何实现？</w:t>
      </w:r>
    </w:p>
    <w:p w14:paraId="735BA78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6CE113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response, Ezekiel gives us two notable modifications of the Mosaic Law.</w:t>
      </w:r>
    </w:p>
    <w:p w14:paraId="0FDAEB9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作为回应，以西结给了我们两个对摩西律法的显著修改。</w:t>
      </w:r>
    </w:p>
    <w:p w14:paraId="49497F6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F1B959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First, the Prince, the priests, and the people will continually offer a full spectrum of sacrifices, more than ever before.</w:t>
      </w:r>
    </w:p>
    <w:p w14:paraId="7C46D2A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首先，君王、祭司和百姓将持续不断地献上全方位的祭物，比以往任何时候都多。</w:t>
      </w:r>
    </w:p>
    <w:p w14:paraId="12798E1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52B5C6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And secondly, there will be, as Duguid has it, “a tightening of the holiness code.”</w:t>
      </w:r>
    </w:p>
    <w:p w14:paraId="6CF1634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其次，正如杜吉德（Duguid）所说，将会“收紧圣洁的法则”。</w:t>
      </w:r>
    </w:p>
    <w:p w14:paraId="78B8001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A162A6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Whether by restricted access to the temple precincts, or by new safeguards against spiritual defilements of any kind, there will never again be a recurrence of the desecration of the House of God, because of which Israel of old went into exile beneath the covenant curses.</w:t>
      </w:r>
    </w:p>
    <w:p w14:paraId="037A428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无论是通过限制进入圣殿区域，还是通过新的防范措施来抵御任何种类的属灵玷污，都绝不会再发生亵渎神殿宇的事情，正是因为这种亵渎，古时的以色列在约的咒诅下被掳。</w:t>
      </w:r>
    </w:p>
    <w:p w14:paraId="0DC0827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52A013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How are we to understand these new regulations?</w:t>
      </w:r>
    </w:p>
    <w:p w14:paraId="66219EA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我们该如何理解这些新的规定？</w:t>
      </w:r>
    </w:p>
    <w:p w14:paraId="48B1E64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E9D09A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the paragraphs ahead, I will suggest some answers.</w:t>
      </w:r>
    </w:p>
    <w:p w14:paraId="6AFA7C4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在接下来的段落中，我将提出一些答案。</w:t>
      </w:r>
    </w:p>
    <w:p w14:paraId="58A62B9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876B8A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Since the details are abundant and the symbolism complex, there is room for some difference of opinion as to their exact meaning.</w:t>
      </w:r>
    </w:p>
    <w:p w14:paraId="7B28579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由于细节丰富且象征意义复杂，对其确切含义的看法可能存在一些分歧。</w:t>
      </w:r>
    </w:p>
    <w:p w14:paraId="6F360CF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4E0EC0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Nevertheless, we shall not go far wrong if we remember yet again that here the Holy Spirit gave God’s OT saints a veiled revelation of the Church in her glory.</w:t>
      </w:r>
    </w:p>
    <w:p w14:paraId="71AF234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然而，我们若再次谨记，在此圣灵给了神旧约的圣徒一个关于教会荣耀的隐藏启示，我们就不会错得太远。</w:t>
      </w:r>
    </w:p>
    <w:p w14:paraId="0345484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973D1A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particular, he was using familiar ideas and images drawn from the OT ceremonial law to inspire them—and us—with a glorious hope of complete redemption and perpetual holiness through the Person and Work of his Son.</w:t>
      </w:r>
    </w:p>
    <w:p w14:paraId="12D5BDE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特别是，祂正在使用源自旧约礼仪律法的熟悉观念和意象，来激励他们——以及我们——怀有一个荣耀的盼望，即通过祂儿子的位格和工作，获得完全的救赎和永恒的圣洁。</w:t>
      </w:r>
    </w:p>
    <w:p w14:paraId="4CFE9DD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75BBCF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1.The Altar of Sacrifice (43:13-17)</w:t>
      </w:r>
    </w:p>
    <w:p w14:paraId="514AC9A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 献祭的坛 (43:13-17)</w:t>
      </w:r>
    </w:p>
    <w:p w14:paraId="3091DA3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F916F1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we learn of the dimensions and consecration of the altar of sacrifice.</w:t>
      </w:r>
    </w:p>
    <w:p w14:paraId="5156248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在这里我们了解到献祭之坛的尺寸和分别为圣的仪式。</w:t>
      </w:r>
    </w:p>
    <w:p w14:paraId="44BD1A2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4C3E31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It is a perfect square—a shape associated with holiness—situated not only at the absolute center of the Temple Area, but also at the center of the land itself.</w:t>
      </w:r>
    </w:p>
    <w:p w14:paraId="3F2A12B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它是一个完美的正方形——一个与圣洁相关的形状——不仅位于圣殿区域的绝对中心，也位于这片土地本身的中心。</w:t>
      </w:r>
    </w:p>
    <w:p w14:paraId="4B096A3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870159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message is clear: The eternal holiness (and blessedness) of God’s people will be based upon—will be centered around—the eternal efficacy of Christ’s sacrifice, whether his active or passive obedience (Heb. 7:27, Rev. 5:6ff).</w:t>
      </w:r>
    </w:p>
    <w:p w14:paraId="5BD4F4D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信息是清晰的：神子民永恒的圣洁（和福气）将建立在——将围绕着——基督献祭的永恒功效，无论是祂主动的顺服还是被动的顺服 (来 7:27, 启 5:6及后)。</w:t>
      </w:r>
    </w:p>
    <w:p w14:paraId="24C5DC7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A3F206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As under the Mosaic Law, so here: The altar must be consecrated, cleansed, and atoned for by means of sacrifice, a sign of its defilement and intrinsic “uselessness” (v. 26; Exodus 29:36-7, Heb. 7:18).</w:t>
      </w:r>
    </w:p>
    <w:p w14:paraId="7295528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如同在摩西律法之下，这里也是如此：祭坛必须通过献祭来分别为圣、洁净和赎罪，这是其被玷污和内在“无用”的记号 (第 26 节；出 29:36-7, 来 7:18)。</w:t>
      </w:r>
    </w:p>
    <w:p w14:paraId="3FDB023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4D58F3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NT gives us the meaning: Jesus, by his willingness to die upon the Cross, consecrates it, transforming a tree of cursing into a Tree of Life, with the result that, henceforth and forever, his people—a royal priesthood—may offer up spiritual sacrifices acceptable to God (Gal. 3:13, 1 Peter 2:5, 9, 24).</w:t>
      </w:r>
    </w:p>
    <w:p w14:paraId="0165CC6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新约给了我们其意义：耶稣，借着祂甘愿死在十字架上，使其分别为圣，将一棵咒诅的树变成一棵生命树，结果是，从今以后直到永远，祂的子民——一个君尊的祭司体系——可以献上蒙神悦纳的属灵祭物 (加 3:13, 彼前 2:5, 9, 24)。</w:t>
      </w:r>
    </w:p>
    <w:p w14:paraId="3091B6D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24932F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2.The Prince and his Dynasty (44:1-3)</w:t>
      </w:r>
    </w:p>
    <w:p w14:paraId="4186ECF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 君王和他的王朝 (44:1-3)</w:t>
      </w:r>
    </w:p>
    <w:p w14:paraId="52C0CA1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7AD7D0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we encounter the first of many new restrictions: The Prince (and his royal successors) are indeed privileged to sit and eat in the Eastern Gate, but they may not enter the Temple Area by it, for the glory of the LORD has entered there.</w:t>
      </w:r>
    </w:p>
    <w:p w14:paraId="5B7FD84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在这里我们遇到许多新限制中的第一个：君王（和他的王室继承人）确实有特权在东门坐下吃喝，但他们不可从那里进入圣殿区域，因为耶和华的荣耀已经从那里进入了。</w:t>
      </w:r>
    </w:p>
    <w:p w14:paraId="5AD2CC6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6E62F1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law recalls the sinful ways of Israel’s former kings, who had presumptuously violated the holy precincts (43:7-8).</w:t>
      </w:r>
    </w:p>
    <w:p w14:paraId="762243E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这条律法让人回想起以色列先前列王的罪行，他们曾擅自侵犯圣地 (43:7-8)。</w:t>
      </w:r>
    </w:p>
    <w:p w14:paraId="279F163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4A7CD1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never again.</w:t>
      </w:r>
    </w:p>
    <w:p w14:paraId="43D5CD2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但绝不再会。</w:t>
      </w:r>
    </w:p>
    <w:p w14:paraId="385BCE9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892488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Why?</w:t>
      </w:r>
    </w:p>
    <w:p w14:paraId="5A6E669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为什么？</w:t>
      </w:r>
    </w:p>
    <w:p w14:paraId="1DB118F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34AA9F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Because in that Day, God alone will be King, and the royal household mere princes!</w:t>
      </w:r>
    </w:p>
    <w:p w14:paraId="31D8E28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因为在那日，唯有神是王，王室成员仅仅是君王！</w:t>
      </w:r>
    </w:p>
    <w:p w14:paraId="40B1AB3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F2AC73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And also because the prince’s access to the Temple area will be limited to the outer court.</w:t>
      </w:r>
    </w:p>
    <w:p w14:paraId="7C6D4E1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也因为君王进入圣殿区域的权限将被限制在外院。</w:t>
      </w:r>
    </w:p>
    <w:p w14:paraId="2DF0C65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5895E0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What is the NT “translation” of these mysteries?</w:t>
      </w:r>
    </w:p>
    <w:p w14:paraId="13AC385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这些奥秘的新约“翻译”是什么？</w:t>
      </w:r>
    </w:p>
    <w:p w14:paraId="52379DA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F642D4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reasons that will become clear below, I lean to the view that the princes typify the Church as a whole; the Church as a royal priesthood; the Church as the everlasting dynasty of the greater King David, ruling and reigning in life by Christ (2 Sam. 7:12-16, Rom. 5:17,1 Peter 2:9, Rev. 5:10).</w:t>
      </w:r>
    </w:p>
    <w:p w14:paraId="2CA6BA3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出于下文将变得清晰的理由，我倾向于认为这些君王预表了整个教会；教会作为一个君尊的祭司体系；教会作为更伟大的大卫王的永恒王朝，借着基督在生命中作王掌权 (撒下 7:12-16, 罗 5:17, 彼前 2:9, 启 5:10)。</w:t>
      </w:r>
    </w:p>
    <w:p w14:paraId="0D79412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6EB7D2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in that Day, says the NT, each one will serve the Great King within their proper sphere, in accordance with the nature and limits of the authority given to them.</w:t>
      </w:r>
    </w:p>
    <w:p w14:paraId="1F95AD2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因为新约说，在那日，每个人都将在他们适当的领域内服事伟大的君王，遵照赐给他们的权柄的性质和限制。</w:t>
      </w:r>
    </w:p>
    <w:p w14:paraId="46FBADB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3B787A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Therefore, they will never violate, but rather beautify, the good order of the Temple of God (Luke 19:11-27, 1 Cor. 14:40).</w:t>
      </w:r>
    </w:p>
    <w:p w14:paraId="1193A66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因此，他们绝不会破坏，反而会美化神殿宇的美好秩序 (路 19:11-27, 林前 14:40)。</w:t>
      </w:r>
    </w:p>
    <w:p w14:paraId="6B34DD9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73D402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3.The Law for Foreigners (44:4-9)</w:t>
      </w:r>
    </w:p>
    <w:p w14:paraId="37C9AE1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3. 为外邦人所立的律法 (44:4-9)</w:t>
      </w:r>
    </w:p>
    <w:p w14:paraId="65E3C16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265016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God issues a second restriction, and it is absolute: No foreigner, uncircumcised in heart or flesh, shall ever enter his sanctuary.</w:t>
      </w:r>
    </w:p>
    <w:p w14:paraId="042341C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在此神颁布了第二条限制，而且是绝对的：凡心中或肉体未受割礼的外邦人，永不得进入祂的圣所。</w:t>
      </w:r>
    </w:p>
    <w:p w14:paraId="104774A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CF2759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NT explains: Only those circumcised in heart by regeneration, and in the flesh by the resurrection and glorification of their bodies, will inherit the (perfected) Kingdom of God (John 3:5, Col. 2:11, 1 Cor. 15:50f, Rev. 22:15).</w:t>
      </w:r>
    </w:p>
    <w:p w14:paraId="2FCCE6B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新约解释说：只有那些借着重生而心里受割礼的，以及借着身体复活和得荣而在肉身受割礼的，才能承受（完全的）神的国 (约 3:5, 西 2:11, 林前 15:50及后, 启 22:15)。</w:t>
      </w:r>
    </w:p>
    <w:p w14:paraId="61A04E2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819DA2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4.The Eternal twofold Priesthood (44:10-13)</w:t>
      </w:r>
    </w:p>
    <w:p w14:paraId="066D46F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4. 永恒的双重祭司职分 (44:10-13)</w:t>
      </w:r>
    </w:p>
    <w:p w14:paraId="752A1D3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262BCA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Now Ezekiel learns about the eschatological priesthood.</w:t>
      </w:r>
    </w:p>
    <w:p w14:paraId="649AA2D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现在以西结了解到关于末世的祭司职分。</w:t>
      </w:r>
    </w:p>
    <w:p w14:paraId="53A7F99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3881D0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Two main revelations are involved.</w:t>
      </w:r>
    </w:p>
    <w:p w14:paraId="4716A31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其中涉及两个主要的启示。</w:t>
      </w:r>
    </w:p>
    <w:p w14:paraId="4F5B229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5FFB81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First, the great bulk of Levites—who, along with the nation as a whole, strayed into idolatry—will bear their iniquity and shame by forfeiting some of their former privileges, some of their former access to God’s “holy things.”</w:t>
      </w:r>
    </w:p>
    <w:p w14:paraId="6A6DC9D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首先，绝大多数利未人——他们和整个国家一样，走偏陷入偶像崇拜——将因失去一些他们先前的特权，一些他们先前接触神“圣物”的权利，而担当他们的罪孽和羞辱。</w:t>
      </w:r>
    </w:p>
    <w:p w14:paraId="3FEEFC2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E06ACE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sons of Zadok, on the other hand, will be allowed to offer sacrifices at God’s altar, enter the Holy Place, and minister at his table, since they alone among all the Levites remained faithful amidst the widespread rebellion.</w:t>
      </w:r>
    </w:p>
    <w:p w14:paraId="6F0D4BF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另一方面，撒督的子孙将被允许在神的坛上献祭，进入圣所，并在祂的桌前事奉，因为在所有利未人中，只有他们在普遍的悖逆中保持了忠心。</w:t>
      </w:r>
    </w:p>
    <w:p w14:paraId="5A59464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B28664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Secondly, in the World to Come, God will hold the Zadokite priesthood to a new and higher standard of ceremonial holiness.</w:t>
      </w:r>
    </w:p>
    <w:p w14:paraId="6312DFC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其次，在将来的世界里，神将要求撒督派祭司遵守一个新的、更高的礼仪圣洁标准。</w:t>
      </w:r>
    </w:p>
    <w:p w14:paraId="691B7D2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40B099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particular, they will follow new rules pertaining to attire, appearance, diet, married life, ministerial duties, and purification from limited contacts with the dead.</w:t>
      </w:r>
    </w:p>
    <w:p w14:paraId="1635FDA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特别是，他们将遵循关于服装、外表、饮食、婚姻生活、事工职责以及从与死者有限接触中洁净自己的新规则。</w:t>
      </w:r>
    </w:p>
    <w:p w14:paraId="144C631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46096B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Corresponding to this greater holiness and ministerial privilege, there will be a greater inheritance: The LORD himself will be their treasured possession, and they will have as their food all the various offerings that a worshipful people bring to their God.</w:t>
      </w:r>
    </w:p>
    <w:p w14:paraId="5AC8D74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与这种更高的圣洁和事工特权相对应，将有一个更大的产业：主自己将是他们珍贵的产业，他们将以敬拜的百姓带给他们神的所有各种祭物为食。</w:t>
      </w:r>
    </w:p>
    <w:p w14:paraId="133498E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DD15A4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What NT truths lie hidden beneath this elaborate OT typology?</w:t>
      </w:r>
    </w:p>
    <w:p w14:paraId="2026769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在这精细的旧约预表之下，隐藏着什么新约真理呢？</w:t>
      </w:r>
    </w:p>
    <w:p w14:paraId="39D53D1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747570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Duguid argues that here the vision depicts the condition of the saints in the World to Come from two different angles.</w:t>
      </w:r>
    </w:p>
    <w:p w14:paraId="2AD8BEB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杜吉德（Duguid）认为，这里的异象从两个不同的角度描绘了圣徒在未来世界中的状况。</w:t>
      </w:r>
    </w:p>
    <w:p w14:paraId="772ADA6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E556AB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On the one hand, Ezekiel has the great bulk of Levites living and serving in the Temple, not because of their own faithfulness (which faded away like a morning cloud, Hosea 6:4), but because of God’s, manifested previously in his gracious covenant with Levi and his children (Mal. 2:5).</w:t>
      </w:r>
    </w:p>
    <w:p w14:paraId="4CDCF23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一方面，以西结看到绝大多数利未人住在圣殿并服事，不是因为他们自己的忠心（那忠心如早晨的云雾消散，何 6:4），而是因为神的信实，这信实先前在祂与利未及其子孙所立的恩典之约中显明出来 (玛 2:5)。</w:t>
      </w:r>
    </w:p>
    <w:p w14:paraId="3FB51D5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2E843C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Duguid, this corresponds to NT teaching about the ground of the saints presence in the Kingdom: They will live and serve there owing solely to the gift of the miracle of (new) birth into the priestly family of the Greater Levi, and also to the divine imputation of his righteousness to God’s chosen and believing seed (1 Cor. 1:30-31, Heb. 2:17, 9:24).</w:t>
      </w:r>
    </w:p>
    <w:p w14:paraId="5289EED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对于杜吉德来说，这与新约关于圣徒在天国中存在的根基的教导相对应：他们将在那里生活和服事，完全是由于（新生）的奇迹这一恩赐，使他们生入更伟大的利未的祭司家族，也是由于神将祂的义归算给神所拣选和相信的后裔 (林前 1:30-31, 来 2:17, 9:24)。</w:t>
      </w:r>
    </w:p>
    <w:p w14:paraId="1FF8816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C30E59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On the other hand, the prophet declares that the Zadokites will enjoy special privileges because of their extraordinary level of faithfulness amidst widespread apostasy.</w:t>
      </w:r>
    </w:p>
    <w:p w14:paraId="787B559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另一方面，先知宣告撒督人将因其在普遍的叛道中非凡的忠心而享有特殊的特权。</w:t>
      </w:r>
    </w:p>
    <w:p w14:paraId="53EAA13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63B370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According to Duguid, this corresponds to NT teaching about the ground of the saints’ status in the Kingdom: Higher levels of covenant obedience, labor, and self-sacrifice will result in higher levels of intimacy with God and priestly service in his eternal Temple, the Church (Mt. 19:21, 28, 1 Cor. 3:11-15, 2 Cor. 9:6, Heb. 6:10).</w:t>
      </w:r>
    </w:p>
    <w:p w14:paraId="71B4E4D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根据杜吉德的说法，这与新约关于圣徒在天国中地位的根基的教导相对应：更高水平的守约顺服、劳苦和自我牺牲将带来与神更亲密的关系以及在祂永恒的圣殿——教会中更高水平的祭司服事 (太 19:21, 28, 林前 3:11-15, 林后 9:6, 来 6:10)。</w:t>
      </w:r>
    </w:p>
    <w:p w14:paraId="5FF5BEA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2D4FAA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short, for Duguid, the Zadokites are the cream of the Christian crop.</w:t>
      </w:r>
    </w:p>
    <w:p w14:paraId="07A1289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简而言之，对于杜吉德来说，撒督人是基督徒中的精英。</w:t>
      </w:r>
    </w:p>
    <w:p w14:paraId="069983D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7F1C70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While this approach definitely draws upon some solid NT truth, I believe there is another interpretation that better fits the text, more highly exalts Christ, and less sharply divides his Church into successes and failures.</w:t>
      </w:r>
    </w:p>
    <w:p w14:paraId="61CC495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虽然这种方法确实借鉴了一些坚实的新约真理，但我相信还有另一种解释更符合经文，更高地尊崇基督，并且不那么尖锐地将祂的教会划分为成功者和失败者。</w:t>
      </w:r>
    </w:p>
    <w:p w14:paraId="398D465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129A3A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the Zadokites stand for Christ himself.</w:t>
      </w:r>
    </w:p>
    <w:p w14:paraId="01C9A7E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在这里，撒督人代表基督自己。</w:t>
      </w:r>
    </w:p>
    <w:p w14:paraId="7B839DA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6B7A83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OT offers strong support for this idea.</w:t>
      </w:r>
    </w:p>
    <w:p w14:paraId="5552839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旧约为这个观点提供了强有力的支持。</w:t>
      </w:r>
    </w:p>
    <w:p w14:paraId="0191FDD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3DB074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the days of Samuel, God told unfaithful Eli that he would raise up “. . . a faithful priest, who will do according to what is in my heart and in my mind” (2 Sam. 2:35).</w:t>
      </w:r>
    </w:p>
    <w:p w14:paraId="06D18E9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在撒母耳的日子里，神告诉不忠的以利，祂要兴起“……一个忠心的祭司，他必照我的心意而行” (撒上 2:35)。</w:t>
      </w:r>
    </w:p>
    <w:p w14:paraId="5460B3E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5F11D1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According to The Reformation Study Bible, the fulfillment came in the person of Zadok, who served as High Priest alongside Abiathar under David, and who came to preeminence under Solomon.</w:t>
      </w:r>
    </w:p>
    <w:p w14:paraId="327A010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根据《宗教改革研读本圣经》，这个应验实现在撒督身上，他与亚比亚他一同在大卫手下担任大祭司，并在所罗门手下声名显赫。</w:t>
      </w:r>
    </w:p>
    <w:p w14:paraId="385391D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CEF15D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descendants of Zadok held the high priesthood from the time of Solomon to the time of Antiochus Epiphanes and the Maccabees.12</w:t>
      </w:r>
    </w:p>
    <w:p w14:paraId="46136B0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撒督的后裔从所罗门时代一直到安提阿古·伊皮法尼斯和马加比时代都担任大祭司的职位。12</w:t>
      </w:r>
    </w:p>
    <w:p w14:paraId="44E3F07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0FF773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As for NT teaching, it takes us a giant step forward, revealing the Messianic significance of God’s word to Eli: It is Christ—and Christ alone—who is the faithful High Priest of his people (Heb. 2:17).</w:t>
      </w:r>
    </w:p>
    <w:p w14:paraId="05EDBFE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至于新约的教导，它让我们向前迈出了一大步，揭示了神对以利的话的弥赛亚意义：是基督——唯独基督——才是祂子民忠心的大祭司 (来 2:17)。</w:t>
      </w:r>
    </w:p>
    <w:p w14:paraId="0EFF86B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AC8BB5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It appears, then, that in Ezekiel’s vision, the Zadokite priesthood stands as a familiar and time- honored OT emblem of the faithful Messianic Priest whom God promised in the days of Samuel, and whom he finally sent in the person of his incarnate Son.</w:t>
      </w:r>
    </w:p>
    <w:p w14:paraId="3F2435A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因此，看来在以西结的异象中，撒督派祭司职分是旧约中一个熟悉且历史悠久的象征，代表着神在撒母耳时代所应许的忠心弥赛亚祭司，以及祂最终以道成肉身的儿子差来的那位。</w:t>
      </w:r>
    </w:p>
    <w:p w14:paraId="36CB378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C64A44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There is much in the text itself to confirm this thesis; much to cause us to think of Christ.</w:t>
      </w:r>
    </w:p>
    <w:p w14:paraId="5741B8B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经文本身有很多地方可以证实这个论点；很多地方让我们想到基督。</w:t>
      </w:r>
    </w:p>
    <w:p w14:paraId="28D5557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6EE29D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First, God will call the Zadokites to serve under unprecedented standards of ceremonial holiness: They must be dressed in white linen, untainted by the “sweat” of fleshly human works (vv. 17-18; Luke 1:35, John 8:29, Heb. 7:26, Rev. 1:9ff); their appearance must conform to God’s creation norm, with no nods to pagan fashion, faith, or practice (v. 20, Rom. 5:12ff, Heb. 7:26); God alone must be their delight, their sole source of holy intoxication (v. 21; Mt. 27:34, Luke 10:21f, John 4:32); in marriage, they must be equally yoked, bound to a wife made in their own image and likeness (v. 22; John 3:29, Eph. 5:22ff, Col. 3:8-11); they shall have no contact with death, save in the service of their near and dear relatives (v. 25; Isaiah 53:4-6, Mark 10:45, John 10:11, 15); and when the effects of such contact are cleansed away, they shall enter the sanctuary with a sin offering, to minister there because of the dead (vv. 26-27; Acts 2:22-36, 1 Peter 1:21, Heb. 7:25, 9:12, 24).</w:t>
      </w:r>
    </w:p>
    <w:p w14:paraId="0028022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首先，神将呼召撒督人在前所未有的礼仪圣洁标准下服事：他们必须穿细麻衣，不被属肉体之人工作的“汗”所玷污（17-18节；路 1:35, 约 8:29, 来 7:26, 启 1:9及后）；他们的外貌必须符合神创造的规范，不迎合异教的风尚、信仰或习俗（20节, 罗 5:12及后, 来 7:26）；唯独神必须是他们的喜乐，他们圣洁陶醉的唯一源泉（21节；太 27:34, 路 10:21及后, 约 4:32）；在婚姻中，他们必须同负一轭，与照着自己形象和样式所造的妻子结合（22节；约 3:29, 弗 5:22及后, 西 3:8-11）；他们不可接触死亡，除非是为了服事他们的近亲（25节；赛 53:4-6, 可 10:45, 约 10:11, 15）；当这种接触的影响被洁净后，他们要带着赎罪祭进入圣所，为死人而在那里事奉（26-27节；徒 2:22-36, 彼前 1:21, 来 7:25, 9:12, 24）。</w:t>
      </w:r>
    </w:p>
    <w:p w14:paraId="6F88869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01DFF6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By reading the NT texts that I have cited here, you will see the astonishing ways in which Jesus of Nazareth fulfills all these criteria!</w:t>
      </w:r>
    </w:p>
    <w:p w14:paraId="79FE79C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通过阅读我在这里引用的新约经文，你将看到拿撒勒人耶稣如何以惊人的方式满足所有这些标准！</w:t>
      </w:r>
    </w:p>
    <w:p w14:paraId="7CAEBAC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9A22A1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Secondly, God will call Zadokites to privileged positions of ministry: to teach (v. 23; Mt. 23:8, 10), to judge (v. 24; John 5:22, Eph. 1:22), to preside over all God’s feasts and Sabbaths (v. 24; Mark 2:28, Luke 22:15, 1 Cor. 5:8), to draw near to God, to minister to God, and to serve God in behalf of his people for the forgiveness of their sins (vv. 15-16; John 14:2, 6, 1 Tim. 2:5, Heb. 7:25, 9:12, 24).</w:t>
      </w:r>
    </w:p>
    <w:p w14:paraId="3F60690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其次，神将呼召撒督人担任有特权的事奉职位：去教导（23节；太 23:8, 10），去审判（24节；约 5:22, 弗 1:22），去主持神所有的节期和安息日（24节；可 2:28, 路 22:15, 林前 5:8），去亲近神，去服事神，并代表祂的子民服事神以赦免他们的罪（15-16节；约 14:2, 6, 提前 2:5, 来 7:25, 9:12, 24）。</w:t>
      </w:r>
    </w:p>
    <w:p w14:paraId="50CF151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80F3A7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Again, in all these things we see the Person and Work of Christ.</w:t>
      </w:r>
    </w:p>
    <w:p w14:paraId="4E0D7F0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再次，在所有这些事上，我们看到了基督的位格和工作。</w:t>
      </w:r>
    </w:p>
    <w:p w14:paraId="32DDD01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5985CF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Finally, God (the Father) will bestow upon them extraordinary honor and blessing: He himself will be their inheritance, their exceedingly great reward for faithfully keeping the charge of God’s sanctuary, even when the people strayed far from him (vv. 28, 15; Isaiah 59:16, John 5:23, Phil. 2:9f); they shall savor and draw strength from all the good things that the people of God offer through them (vv. 29-30; Heb. 13:15, Rev. 5:8-14); and they shall never taste of death, save the sacrificial death by which God gives life to his own (v. 31; Heb. 2:14-15, 1 Peter 1:18ff).</w:t>
      </w:r>
    </w:p>
    <w:p w14:paraId="06667EF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最后，神（父）将赐予他们非凡的尊荣和祝福：祂自己将是他们的产业，是他们忠心看守神圣所的极大赏赐，即使在百姓远离祂时也是如此（28, 15节；赛 59:16, 约 5:23, 腓 2:9及后）；他们将品尝并从神的子民通过他们所献上的一切美物中汲取力量（29-30节；来 13:15, 启 5:8-14）；他们将永不尝死味，除了那神借以赐生命给属祂之人的祭牲之死（31节；来 2:14-15, 彼前 1:18及后）。</w:t>
      </w:r>
    </w:p>
    <w:p w14:paraId="703DF6A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611DED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Cannot all of these things be affirmed of Christ and his relation to the Father?</w:t>
      </w:r>
    </w:p>
    <w:p w14:paraId="4AB967D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这一切不都可以用来肯定基督以及祂与父的关系吗？</w:t>
      </w:r>
    </w:p>
    <w:p w14:paraId="7BF9C65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BE54A3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what of the rest of the Levites, what do they signify?</w:t>
      </w:r>
    </w:p>
    <w:p w14:paraId="1D55340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但其余的利未人呢，他们代表什么？</w:t>
      </w:r>
    </w:p>
    <w:p w14:paraId="6AB6F44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1898BD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I would largely concur with Duguid, arguing that they picture Christ’s Church as a whole.</w:t>
      </w:r>
    </w:p>
    <w:p w14:paraId="52C90EA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在这里，我很大程度上同意杜吉德的观点，认为他们描绘了基督的整个教会。</w:t>
      </w:r>
    </w:p>
    <w:p w14:paraId="37935C8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F3A4F1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the completed Kingdom, they will indeed bear their iniquity and shame, for like their father Adam, and like Israel’s unfaithful Levites, they abandoned their glorious priestly calling by creation—to draw near to God and minister to him and one another—and fell instead into abominable idolatries, religious or otherwise (vv. 10, 12, 13; Rom. 1:18-25, 1 Peter 4:3).</w:t>
      </w:r>
    </w:p>
    <w:p w14:paraId="4DE3366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完备的国度里，他们确实要担当自己的罪孽和羞辱，因为他们像他们的父亚当，又像以色列不忠的利未人一样，离弃了他们受造时荣耀的祭司呼召——即亲近神、服事祂并彼此服事——反而陷入了可憎的偶像崇拜，无论是宗教上的还是其他的（10, 12, 13节；罗 1:18-25, 彼前 4:3）。</w:t>
      </w:r>
    </w:p>
    <w:p w14:paraId="482F56E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ED0786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how exactly will they bear their iniquity and shame?</w:t>
      </w:r>
    </w:p>
    <w:p w14:paraId="44AD01D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但他们究竟将如何担当自己的罪孽和羞辱呢？</w:t>
      </w:r>
    </w:p>
    <w:p w14:paraId="265F127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3981EC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Certainly not by undergoing eternal punishment, for here Ezekiel sees that the merciful and gracious God will not only grant them access to his sanctuary, but also give them “charge over the house and all that shall be done in it” (vv. 11, 14; Rom. 5:2, Eph. 3:12, 1 Peter 2:5).</w:t>
      </w:r>
    </w:p>
    <w:p w14:paraId="28850C8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当然不是通过承受永恒的惩罚，因为在这里以西结看到，满有怜悯和恩典的神不仅会准许他们进入祂的圣所，而且还会让他们“管理殿宇和其中所做的一切事”（11, 14节；罗 5:2, 弗 3:12, 彼前 2:5）。</w:t>
      </w:r>
    </w:p>
    <w:p w14:paraId="761124C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40D4B7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So then, they will remain a holy and eternal priesthood, but their “punishment” will consist in this: They will minister to God at one remove from Zadok; they will serve God by serving Zadok; Zadok will become, as it were, the one mediator between God and Levi (v. 13; John 14:6, 1 Tim. 2:5).</w:t>
      </w:r>
    </w:p>
    <w:p w14:paraId="22F7DF7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所以，他们将保持为一个圣洁和永恒的祭司体系，但他们的“惩罚”将在于此：他们将隔着撒督来事奉神；他们将通过服事撒督来服事神；撒督将成为，可以说是，神与利未之间的唯一中保（13节；约 14:6, 提前 2:5）。</w:t>
      </w:r>
    </w:p>
    <w:p w14:paraId="35E47A4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20E8A8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Again, the NT illumines all this.</w:t>
      </w:r>
    </w:p>
    <w:p w14:paraId="02CD7F1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再次，新约阐明了这一切。</w:t>
      </w:r>
    </w:p>
    <w:p w14:paraId="58C564C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D6B0B8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Looking upon Christ’s “rich wounds,” believers in Jesus will indeed be eternally reminded of the dreadful sins that put him to such a dreadful death (Rev. 5:6, 9ff).</w:t>
      </w:r>
    </w:p>
    <w:p w14:paraId="42AAF59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注视着基督“丰富的伤痕”，信耶稣的人确实会永远被提醒那些将祂置于如此可怕死亡的可怕罪恶 (启 5:6, 9及后)。</w:t>
      </w:r>
    </w:p>
    <w:p w14:paraId="20F0E6D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5031AF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strange to tell, in this “shame” there will be no admixture of sorrow; only of joy and gratitude to a loving Savior who so mercifully and graciously qualified his people to be a kingdom and priests to his God (Col. 1:12, Jude 1:24, Rev. 1:6, 5:10, 21:4).</w:t>
      </w:r>
    </w:p>
    <w:p w14:paraId="61AF322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但说来奇怪，在这种“羞辱”中，将不会掺杂悲伤；只有对一位慈爱的救主的喜乐和感恩，祂如此仁慈和恩典地使祂的子民有资格成为国度和祭司，归于祂的神 (西 1:12, 犹 1:24, 启 1:6, 5:10, 21:4)。</w:t>
      </w:r>
    </w:p>
    <w:p w14:paraId="1049095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CCE330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5.The Division of the Land (45:1-8)</w:t>
      </w:r>
    </w:p>
    <w:p w14:paraId="0D7479D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 土地的划分 (45:1-8)</w:t>
      </w:r>
    </w:p>
    <w:p w14:paraId="28CA613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37B96A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Next, God begins to show Ezekiel the new division of the land in the World to Come (cf., 48:8-22).</w:t>
      </w:r>
    </w:p>
    <w:p w14:paraId="590790C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接下来，神开始向以西结展示将来世界里土地的新划分 (参 48:8-22)。</w:t>
      </w:r>
    </w:p>
    <w:p w14:paraId="43FE59D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7739FE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His concern here is exclusively with the LORD’s portion, a Holy District that belongs to no tribe, but to God alone.</w:t>
      </w:r>
    </w:p>
    <w:p w14:paraId="05CDCC2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祂在这里的关注完全在于耶和华的分，一个不属于任何支派，唯独属于神的圣区。</w:t>
      </w:r>
    </w:p>
    <w:p w14:paraId="04C0D28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C2114A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Situated in the midst of the land, it is a perfect square, 25,000 cubits by 25,000 cubits.</w:t>
      </w:r>
    </w:p>
    <w:p w14:paraId="5442F47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它位于土地的中央，是一个完美的正方形，长宽各为25,000肘。</w:t>
      </w:r>
    </w:p>
    <w:p w14:paraId="3BD44F3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230E7D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the midst of the Holy District is the Temple Area, another perfect square.</w:t>
      </w:r>
    </w:p>
    <w:p w14:paraId="11F2D18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圣区的中央是圣殿区域，又一个完美的正方形。</w:t>
      </w:r>
    </w:p>
    <w:p w14:paraId="0902B1E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9F46B3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To the South of the Temple Area is the City, yet another perfect square.</w:t>
      </w:r>
    </w:p>
    <w:p w14:paraId="2CBAE67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圣殿区域的南面是那城，还是一个完美的正方形。</w:t>
      </w:r>
    </w:p>
    <w:p w14:paraId="1BB1D88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278DE7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Notably, every sector of the eschatological nation is represented as living in, or dwelling adjacent to, the Holy District: the Prince, the Zadokite priests, the Levites, and “the whole house of Israel” (i.e., those who possess and maintain the City and its environs).</w:t>
      </w:r>
    </w:p>
    <w:p w14:paraId="110F5C5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值得注意的是，末世国度的每一个部分都被描绘为居住在圣区之内或邻近圣区：君王、撒督派祭司、利未人，以及“以色列全家”（即那些拥有并维护那城及其周边地区的人）。</w:t>
      </w:r>
    </w:p>
    <w:p w14:paraId="758F835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746B01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according to Duguid, is the beginning of Ezekiel’s “theological geography lesson.”</w:t>
      </w:r>
    </w:p>
    <w:p w14:paraId="3AFE64D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根据杜吉德的说法，这是以西结“神学地理课”的开始。</w:t>
      </w:r>
    </w:p>
    <w:p w14:paraId="5EF89F3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B612A1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angel is not giving him a map of the World to Come, but is instead disclosing profound truths about spiritual conditions to be experienced in that World.</w:t>
      </w:r>
    </w:p>
    <w:p w14:paraId="32264A9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天使不是在给他一张未来世界的地图，而是在揭示关于在那个世界里将要经历的属灵状况的深刻真理。</w:t>
      </w:r>
    </w:p>
    <w:p w14:paraId="6836347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3F7D05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main message is that the life of God’s people will be centered around the Temple; that in all their diverse activities, there will be one essential activity: the worship of God through Christ on the ground of Christ’s priestly work (Eph. 3:20-21, 1 Peter 2:5, Rev. 7:9-17).</w:t>
      </w:r>
    </w:p>
    <w:p w14:paraId="0BB7DE5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主要的信息是，神子民的生活将以圣殿为中心；在他们所有多样的活动中，将有一个核心活动：基于基督的祭司工作，通过基督敬拜神 (弗 3:20-21, 彼前 2:5, 启 7:9-17)。</w:t>
      </w:r>
    </w:p>
    <w:p w14:paraId="2555F78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0ED22E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Another message, strikingly communicated by the presence of so many perfect squares, is that life in that world will be perfect: perfectly holy, and therefore perfectly harmonious.</w:t>
      </w:r>
    </w:p>
    <w:p w14:paraId="010B187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另一个信息，由如此多完美正方形的存在而引人注目地传达出来，即那个世界里的生活将是完美的：完全圣洁，因此完全和谐。</w:t>
      </w:r>
    </w:p>
    <w:p w14:paraId="4D7A3AC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E749E6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All of God’s people will be (squarely) bundled together in the (square) bundle of the living (1 Sam. 25:29)!</w:t>
      </w:r>
    </w:p>
    <w:p w14:paraId="70F8D9A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神所有的子民都将被（方方正正地）包裹在活人的（方形）包裹里 (撒上 25:29)！</w:t>
      </w:r>
    </w:p>
    <w:p w14:paraId="4618A8E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F329A6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the Revelation, the Spirit takes up this beautiful motif one final time, representing the Church as a City foursquare—and as a Temple foursquare—situated in the new heavens and the new earth (Rev. 21:1- 3,16).</w:t>
      </w:r>
    </w:p>
    <w:p w14:paraId="4D2978D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在启示录中，圣灵最后一次采用了这个美丽的主题，将教会描绘成一座四方的城——以及一座四方的殿——坐落在新天新地中 (启 21:1-3,16)。</w:t>
      </w:r>
    </w:p>
    <w:p w14:paraId="23FBC2C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4C2788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6.The Princely Dynasty (45:9-46:24)</w:t>
      </w:r>
    </w:p>
    <w:p w14:paraId="48B596C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6. 君王王朝 (45:9-46:24)</w:t>
      </w:r>
    </w:p>
    <w:p w14:paraId="5528BA3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5BEACA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this section God continues his revelation of Temple-centered life in the World to Come, focusing on various ordinances of worship.</w:t>
      </w:r>
    </w:p>
    <w:p w14:paraId="4CDABB2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在这部分，神继续祂关于未来世界以圣殿为中心的生活的启示，重点关注各种敬拜的条例。</w:t>
      </w:r>
    </w:p>
    <w:p w14:paraId="5D98DDA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8A8BB8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Having just described the new spiritual leaders of the eschatological nation, he now turns his attention to the new temporal leaders.</w:t>
      </w:r>
    </w:p>
    <w:p w14:paraId="6918326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祂刚刚描述了末世国度的新属灵领袖，现在祂将注意力转向新的属世领袖。</w:t>
      </w:r>
    </w:p>
    <w:p w14:paraId="27295AD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0A165E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Importantly, he does not refer to them as kings, but as princes, thus signaling to his people that in the eschaton God’s original purpose for his holy nation will indeed be fulfilled: The royal dynasty will remain, but God alone will be King (1 Sam. 8:7, 1 Cor. 15:28).</w:t>
      </w:r>
    </w:p>
    <w:p w14:paraId="2743ECE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重要的是，祂没有称他们为王，而是称为君王，从而向祂的子民表明，在末世，神对祂圣洁国度的最初旨意确实会实现：王室王朝将存留，但唯有神是王 (撒上 8:7, 林前 15:28)。</w:t>
      </w:r>
    </w:p>
    <w:p w14:paraId="7D53843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59EC8A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 close examination of the ordinances unveiled here reveals a striking fact: The primary duties of the Prince (and his dynasty) pertain to the worship of God in the Temple.</w:t>
      </w:r>
    </w:p>
    <w:p w14:paraId="790D0DF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仔细研究这里揭示的条例，会发现一个惊人的事实：君王（及其王朝）的主要职责与在圣殿中敬拜神有关。</w:t>
      </w:r>
    </w:p>
    <w:p w14:paraId="654395C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F8112C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To be sure, he must faithfully administer justice and righteousness in the land (45:9-12, 46:16-18).</w:t>
      </w:r>
    </w:p>
    <w:p w14:paraId="0E42546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诚然，他必须忠心地在地上施行公平和公义 (45:9-12, 46:16-18)。</w:t>
      </w:r>
    </w:p>
    <w:p w14:paraId="732FC01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07848B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even more importantly, he must co-labor with the priests and the people in the full round of Temple worship.</w:t>
      </w:r>
    </w:p>
    <w:p w14:paraId="4528F73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但更重要的是，他必须与祭司和百姓同工，参与圣殿敬拜的全部过程。</w:t>
      </w:r>
    </w:p>
    <w:p w14:paraId="196D2CA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84A3D6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Indeed, along with the priests, he will serve as a kind of mediator between God and the people.</w:t>
      </w:r>
    </w:p>
    <w:p w14:paraId="13E77A1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确实，他将与祭司一起，在神与人之间担当一种中保的角色。</w:t>
      </w:r>
    </w:p>
    <w:p w14:paraId="2B88D1E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1D66AC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example, he must receive the sin offerings of the people and present them to the priests, who in turn will present them to God (45:9-12).</w:t>
      </w:r>
    </w:p>
    <w:p w14:paraId="594BEC9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例如，他必须接收百姓的赎罪祭，并将其交给祭司，祭司再将其献给神 (45:9-12)。</w:t>
      </w:r>
    </w:p>
    <w:p w14:paraId="1A9A659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9BFA74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Out of his own means he must supply the offerings for the various Feasts, such as the Passover and the Feast of Tabernacles (45:18-25).</w:t>
      </w:r>
    </w:p>
    <w:p w14:paraId="1AC8541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他必须用自己的财物供应各种节期的祭物，例如逾越节和住棚节 (45:18-25)。</w:t>
      </w:r>
    </w:p>
    <w:p w14:paraId="51D2A8C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04B49D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According to a very strict regime, he and the people must worship together on the Sabbath and at the New Moons, gathering just outside the Eastern Gate of the inner court to present a great abundance of sacrifices and offerings (46:1-8).</w:t>
      </w:r>
    </w:p>
    <w:p w14:paraId="0C311A5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根据一个非常严格的制度，他和百姓必须在安息日和月朔一同敬拜，聚集在内院东门外，献上大量的祭物和供物 (46:1-8)。</w:t>
      </w:r>
    </w:p>
    <w:p w14:paraId="3DD01BE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69A109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And on the Feast Days, both he and the people must enter and exit the Temple together (46:9-12).</w:t>
      </w:r>
    </w:p>
    <w:p w14:paraId="5FA11DE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在节期，他和百姓必须一同进出圣殿 (46:9-12)。</w:t>
      </w:r>
    </w:p>
    <w:p w14:paraId="63352BD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E241DD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Does the prince have a role to play in the daily offerings (46:13-15)?</w:t>
      </w:r>
    </w:p>
    <w:p w14:paraId="0154A5B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君王在每日的献祭中扮演角色吗 (46:13-15)？</w:t>
      </w:r>
    </w:p>
    <w:p w14:paraId="3BD22D5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13BFEA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If not, they appear to be the only ones left altogether in the hands of the priests.</w:t>
      </w:r>
    </w:p>
    <w:p w14:paraId="741F500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如果不是，那这似乎是唯一完全留给祭司处理的事情。</w:t>
      </w:r>
    </w:p>
    <w:p w14:paraId="70379F0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7DCB4F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Thus, the overall message of this section is quite clear: The Prince—or rather the royal dynasty that will serve under Yahweh the King—is a royal priesthood.</w:t>
      </w:r>
    </w:p>
    <w:p w14:paraId="107B051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因此，这部分的总信息相当清晰：君王——或者说，将在耶和华君王之下服事的王室王朝——是一个君尊的祭司体系。</w:t>
      </w:r>
    </w:p>
    <w:p w14:paraId="0A9E58C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D9DE58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then, in a prophecy full of complex OT symbolism, we have a picture of the Church as a spiritual dynasty—the spiritual seed of God’s greater David, the High King of Heaven—and as a royal priesthood, offering up eternal spiritual sacrifices acceptable to God (Rom. 12:1).</w:t>
      </w:r>
    </w:p>
    <w:p w14:paraId="6A4E618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因此，在这里，在一个充满复杂旧约象征的预言中，我们看到了教会的图画，她是一个属灵的王朝——神更伟大的大卫，天上至高君王的属灵后裔——又是一个君尊的祭司体系，献上蒙神悦纳的永恒属灵祭物 (罗 12:1)。</w:t>
      </w:r>
    </w:p>
    <w:p w14:paraId="18FDE4A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CB5860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royal priesthood was first glimpsed in king David (himself a prince beneath the sovereign Yahweh), who donned an ephod and danced before the LORD, thus leading his kinsmen in the worship of their true King (2 Sam. 6:1f).</w:t>
      </w:r>
    </w:p>
    <w:p w14:paraId="2110C69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这个君尊的祭司体系最早在君王大卫（他本人是在至高主耶和华之下的君王）身上瞥见，他穿上以弗得，在耶和华面前跳舞，从而带领他的亲族敬拜他们真正的王 (撒下 6:1及后)。</w:t>
      </w:r>
    </w:p>
    <w:p w14:paraId="6363E6E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341C34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Shortly thereafter it was mystically promised to Israel in the Davidic Covenant (2 Sam. 7:8-17, Psalm 89:19-37).</w:t>
      </w:r>
    </w:p>
    <w:p w14:paraId="7852A7B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此后不久，它在大卫之约中被神秘地应许给以色列 (撒下 7:8-17, 诗 89:19-37)。</w:t>
      </w:r>
    </w:p>
    <w:p w14:paraId="5A96921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EB4616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Later it was foreshadowed in Solomon and other Israelite kings, who, like David, ministered in tandem with the Levites in behalf of his people (1 Kings 8, 2 Chron. 20).</w:t>
      </w:r>
    </w:p>
    <w:p w14:paraId="60FCB69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后来它在所罗门和其他以色列王身上得到预示，他们像大卫一样，与利未人一同为祂的百姓服事 (王上 8, 代下 20)。</w:t>
      </w:r>
    </w:p>
    <w:p w14:paraId="50603D8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F5F2B3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Finally, on the Day of Pentecost it was born, beginning immediately to offer manifold spiritual sacrifices to God through Christ, as indeed it will continue to do until the end of the Age (Acts 2, Rom. 12:1, 1 Peter 2:9, Rev. 1:6, 5:10).</w:t>
      </w:r>
    </w:p>
    <w:p w14:paraId="5DC5F2A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最终，在五旬节那天它诞生了，立即开始通过基督向神献上多样的属灵祭物，并且它确实会持续这样做，直到世代的末了 (徒 2, 罗 12:1, 彼前 2:9, 启 1:6, 5:10)。</w:t>
      </w:r>
    </w:p>
    <w:p w14:paraId="76485B3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BAB7D4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according to the vision here given to Ezekiel, Christ’s royal priesthood is to exercise their ministry to all eternity.</w:t>
      </w:r>
    </w:p>
    <w:p w14:paraId="13E8CEC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但根据这里赐给以西结的异象，基督的君尊祭司体系要永远履行他们的事工。</w:t>
      </w:r>
    </w:p>
    <w:p w14:paraId="7B9748F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B16E1D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That is, in the new heavens and the new earth they will use whatever spiritual authority, gifts, privileges, and prerogatives they may have received from God to facilitate —to mediate to their kinsmen—the eternal worship of God through Christ (Luke 19:17, Heb. 13:15, Rev. 5:10, 22:5).</w:t>
      </w:r>
    </w:p>
    <w:p w14:paraId="0F4260D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也就是说，在新天新地里，他们将使用他们从神那里领受的任何属灵权柄、恩赐、特权和权力，来促成——向他们的亲族传递——通过基督对神的永恒敬拜 (路 19:17, 来 13:15, 启 5:10, 22:5)。</w:t>
      </w:r>
    </w:p>
    <w:p w14:paraId="2F99B40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A71CD0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To say it as Ezekiel might be pleased to say it, in the World to Come the Church as royal priesthood will team up with the Church as Levitical priesthood, so that together, through Christ, whether in word or deed, they may offer up an eternal sacrifice of praise to God; so that the one holy nation may dwell in the Promised Land together with their God and King, forever enjoying the manifold blessings of their Eternal Covenant with him (Gal. 6:16, 1 Peter 2:5, Heb. 13:15, Rev. 4, 5).</w:t>
      </w:r>
    </w:p>
    <w:p w14:paraId="612C84D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用以西结可能会乐于说的方式来说，在将来的世界里，作为君尊祭司体系的教会将与作为利未祭司体系的教会合作，以便他们一起，通过基督，无论是言语还是行为，都可以向神献上永恒的赞美之祭；以便那一个圣洁的国度可以与他们的神和王一同居住在应许之地，永远享受他们与祂所立永恒之约的多重祝福 (加 6:16, 彼前 2:5, 来 13:15, 启 4, 5)。</w:t>
      </w:r>
    </w:p>
    <w:p w14:paraId="034DCAC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D20F28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Everlasting Wholeness (47:1-12)</w:t>
      </w:r>
    </w:p>
    <w:p w14:paraId="17F5D30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永恒的完整 (47:1-12)</w:t>
      </w:r>
    </w:p>
    <w:p w14:paraId="5CE9EC9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5ECE65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short but beloved portion of Ezekiel’s vision might aptly be called the Restoration of All Things (Mt. 19:28, Acts 3:21).</w:t>
      </w:r>
    </w:p>
    <w:p w14:paraId="29ADCC5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以西结异象中这个简短但备受喜爱的部分，可以恰当地被称为“万物复兴” (太 19:28, 徒 3:21)。</w:t>
      </w:r>
    </w:p>
    <w:p w14:paraId="38E5F6F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F5F264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Under rich types, it depicts God, through Christ, by the Spirit, bestowing everlasting wholeness upon his creation; transforming our present sin-cursed earth into the Land of Promise; turning the former things into the new heavens and the new earth (Rom. 8:18-25, Rev. 21:1, 5).</w:t>
      </w:r>
    </w:p>
    <w:p w14:paraId="00FB2A1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它以丰富的预表描绘了神，通过基督，藉着圣灵，将永恒的完整赐给祂的创造物；将我们现今被罪咒诅的地土转变为应许之地；将旧事变为新天新地 (罗 8:18-25, 启 21:1, 5)。</w:t>
      </w:r>
    </w:p>
    <w:p w14:paraId="65E5997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FF4360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narrative is well worth a brief retelling.</w:t>
      </w:r>
    </w:p>
    <w:p w14:paraId="7B26871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这个叙述很值得简要复述。</w:t>
      </w:r>
    </w:p>
    <w:p w14:paraId="6C45D59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348149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prophet is now brought to the door of the Temple.</w:t>
      </w:r>
    </w:p>
    <w:p w14:paraId="29B429B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先知现在被带到殿门口。</w:t>
      </w:r>
    </w:p>
    <w:p w14:paraId="28FADE3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E9B369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There he sees a little stream of water welling up from beneath the threshold, flowing just south of the altar (where the Laver was situated in former times), and then out through the two East Gates of the Temple District (vv. 1-2; 1 Kings 7:23f).</w:t>
      </w:r>
    </w:p>
    <w:p w14:paraId="1196171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在那里，他看见一道细流从殿的门槛下涌出，流向祭坛的南边（古时铜海所在之处），然后穿过圣殿区的两个东门流出 (1-2节；王上 7:23及后)。</w:t>
      </w:r>
    </w:p>
    <w:p w14:paraId="1374157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1A6AD3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Mysteriously enough, the further the stream flows, the deeper and wider it becomes, until at last it is an unfordable River (vv. 3-5).</w:t>
      </w:r>
    </w:p>
    <w:p w14:paraId="63D8D9E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神秘的是，这水流得越远，就变得越深越宽，直到最后成为一条不可逾越的河 (3-5节)。</w:t>
      </w:r>
    </w:p>
    <w:p w14:paraId="10F9D59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C90280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Suddenly, the prophet notices a great many trees growing on the two banks of the River (vv. 6-7).</w:t>
      </w:r>
    </w:p>
    <w:p w14:paraId="491FF2A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突然，先知注意到河的两岸长着许多树木 (6-7节)。</w:t>
      </w:r>
    </w:p>
    <w:p w14:paraId="2C80DA0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456F98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At this point, the angel explains all: The River will first go east, then south, and then through the desert, until at last it empties into (something like) the Dead Sea, whose (salty) waters will therefore be healed (v. 8).</w:t>
      </w:r>
    </w:p>
    <w:p w14:paraId="12C2AD5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此时，天使解释了一切：这河将先向东流，然后向南，再穿过沙漠，直到最后流入（类似）死海，其（咸）水因此将被治愈 (第 8 节)。</w:t>
      </w:r>
    </w:p>
    <w:p w14:paraId="32DD4A2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A80872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Indeed, everywhere it goes, the River will bring life, so much so that (what seems to be) the Dead Sea itself will again be filled with fish.</w:t>
      </w:r>
    </w:p>
    <w:p w14:paraId="753DB0C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的确，这河所到之处，都将带来生命，以至于（似乎是）死海本身也将再次充满鱼类。</w:t>
      </w:r>
    </w:p>
    <w:p w14:paraId="28D1670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40FEAB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As a result, fishermen, with nets in hand, will station themselves all along its shores, even from En Gedi to En Eglaim (v. 10); however, its swamps and marshes will be left for salt (v. 11).</w:t>
      </w:r>
    </w:p>
    <w:p w14:paraId="7ECBF17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结果，渔夫们手拿渔网，将沿着其岸边站立，甚至从隐基底到隐以革莲都是如此 (第 10 节)；然而，其沼泽和洼地将留作产盐之地 (第 11 节)。</w:t>
      </w:r>
    </w:p>
    <w:p w14:paraId="698D824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269AC3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All kinds of trees will grow along the banks of the River, trees whose leaves will never wither, and whose fruit will never fail.</w:t>
      </w:r>
    </w:p>
    <w:p w14:paraId="0328100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各种树木将沿着河岸生长，这些树的叶子永不枯干，果实永不耗尽。</w:t>
      </w:r>
    </w:p>
    <w:p w14:paraId="27B9DDC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0D13EC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water continually flowing from the Sanctuary will give them eternal life, so that their fruit will ever serve for food, and their leaves for healing (12).</w:t>
      </w:r>
    </w:p>
    <w:p w14:paraId="42AD60E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从圣所不断流出的水将赋予它们永恒的生命，因此它们的果实将永远用作食物，它们的叶子将用作医治 (12)。</w:t>
      </w:r>
    </w:p>
    <w:p w14:paraId="2C5512F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DF401C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Again, I reckon this to be a vision of the Restoration of All Things.</w:t>
      </w:r>
    </w:p>
    <w:p w14:paraId="2C70D6B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再次，我认为这是一个万物复兴的异象。</w:t>
      </w:r>
    </w:p>
    <w:p w14:paraId="1EC86C3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ED5878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we have a “mysterious” OT picture of what Christ will accomplish at his Parousia, when he subjects all things to himself by the exertion of his mighty power; when he consummates his redemptive work by making all things new (Phil. 3:21, Rev. 21:5).</w:t>
      </w:r>
    </w:p>
    <w:p w14:paraId="4CDEE60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在这里，我们有一个“神秘的”旧约图景，描绘了基督在祂再临时将要成就的事，届时祂将运用祂的大能使万物服于自己；届时祂将通过使万物更新来完成祂的救赎之工 (腓 3:21, 启 21:5)。</w:t>
      </w:r>
    </w:p>
    <w:p w14:paraId="105941A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D1DFF9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It is important to note, however, that the vision also gives us a kind of retrospective; that it also pictures something of the works of God by which this, the final goal of Salvation History, has now been reached.</w:t>
      </w:r>
    </w:p>
    <w:p w14:paraId="73EAB9E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然而，需要注意的是，这个异象也给了我们一种回顾；它也描绘了神的一些作为，借着这些作为，救赎历史的最终目标如今得以实现。</w:t>
      </w:r>
    </w:p>
    <w:p w14:paraId="37E0EDD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30E40F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We can better understand all this by bringing NT light to bear on some of the symbols involved.</w:t>
      </w:r>
    </w:p>
    <w:p w14:paraId="14DECAB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通过将新约之光照在其中一些象征上，我们可以更好地理解这一切。</w:t>
      </w:r>
    </w:p>
    <w:p w14:paraId="4C8CB17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0DD109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waters are, of course, the life-giving Spirit of God, long promised by his OT prophets (Psalm 46:6, Isaiah 44:3, Ezek. 39:29, Joel 2:28, 3:18, Zech. 14:8).</w:t>
      </w:r>
    </w:p>
    <w:p w14:paraId="0D0AF76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这水，当然是赐生命的神的灵，是祂旧约先知们早已应许的 (诗 46:6, 赛 44:3, 结 39:29, 珥 2:28, 3:18, 亚 14:8)。</w:t>
      </w:r>
    </w:p>
    <w:p w14:paraId="630B774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257FE8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They flow forth from the Temple of God, which typifies both the Person of Christ (John 2:19, 4:10-14, 7:37-39, Acts 2:33), and the Body of Christ, his Church (Eph. 1:23, 2:22).</w:t>
      </w:r>
    </w:p>
    <w:p w14:paraId="09A537C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它们从神的殿中流出，这殿既预表基督的位格 (约 2:19, 4:10-14, 7:37-39, 徒 2:33)，也预表基督的身体，即祂的教会 (弗 1:23, 2:22)。</w:t>
      </w:r>
    </w:p>
    <w:p w14:paraId="588B259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61F706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the Era of Proclamation, they flowed through faithful Christians (who are fishers of men) to Jerusalem, Judea, Samaria, and the uttermost parts of the earth (Mt. 4:19, John 20:22-23, Acts 2, 10).</w:t>
      </w:r>
    </w:p>
    <w:p w14:paraId="3D04D87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在宣讲时代，它们通过忠心的基督徒（他们是得人的渔夫）流向耶路撒冷、犹太、撒玛利亚，直到地极 (太 4:19, 约 20:22-23, 徒 2, 10)。</w:t>
      </w:r>
    </w:p>
    <w:p w14:paraId="725121A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2E26EF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Now, at the Parousia, they flow through Christ himself into all creation.</w:t>
      </w:r>
    </w:p>
    <w:p w14:paraId="0ADFEA5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现在，在再临时，它们通过基督自己流入所有受造之物。</w:t>
      </w:r>
    </w:p>
    <w:p w14:paraId="7B0D1F1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82C800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Other details are rich with significance.</w:t>
      </w:r>
    </w:p>
    <w:p w14:paraId="4E9BE8E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其他细节也富有深意。</w:t>
      </w:r>
    </w:p>
    <w:p w14:paraId="4FBAE76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EFB73E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waters pass by the altar: They are given solely on the ground of Christ’s substitutionary life and death.</w:t>
      </w:r>
    </w:p>
    <w:p w14:paraId="7B638F0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水流经过祭坛：它们是单单基于基督替代性的生和死而赐下的。</w:t>
      </w:r>
    </w:p>
    <w:p w14:paraId="48D9A23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8D2AC6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They also pass over the site historically reserved for the laver: They provide spiritual cleansing from the guilt and stain of sin (John 13:10, 1 Cor. 6:11, Titus 3:5).</w:t>
      </w:r>
    </w:p>
    <w:p w14:paraId="66BAC85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它们也流过历史上为洗濯盆保留的位置：它们提供属灵的洁净，洗去罪的咎与污 (约 13:10, 林前 6:11, 多 3:5)。</w:t>
      </w:r>
    </w:p>
    <w:p w14:paraId="7A1260E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25D67A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Also, as they flow outward, they grow from a trickle to a mighty rushing River.</w:t>
      </w:r>
    </w:p>
    <w:p w14:paraId="0FDF9E6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此外，当它们向外流淌时，它们从涓涓细流变成汹涌的大河。</w:t>
      </w:r>
    </w:p>
    <w:p w14:paraId="5455FAD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B73DFF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again we have a retrospective, a picture of the infallible advance of the Kingdom of the Son, of which Jesus himself often spoke (Mt. 13:31-33).</w:t>
      </w:r>
    </w:p>
    <w:p w14:paraId="2ABF86B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这里我们又一次看到了回顾，一幅描绘神子国度无误进展的图画，耶稣自己也常谈及此事 (太 13:31-33)。</w:t>
      </w:r>
    </w:p>
    <w:p w14:paraId="7D70AB8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90CBFB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above all, this is a picture of the mighty work of the Spirit at Christ’s return, when he raises the dead, transforms the living, lifts the (salt of the) curse from nature, swallows up death in victory, and floods the whole creation with the healing, life-giving glory of God (Rom. 8:18-25, Phil. 3:21, 1 Cor. 15:51ff).</w:t>
      </w:r>
    </w:p>
    <w:p w14:paraId="4BBEE3C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但最重要的是，这是一幅描绘基督再来时圣灵大能工作的图画，届时祂使死人复活，改变活人，从自然界解除（盐的）咒诅，在得胜中吞灭死亡，并用神医治、赐生命的荣耀充满整个受造界 (罗 8:18-25, 腓 3:21, 林前 15:51及后)。</w:t>
      </w:r>
    </w:p>
    <w:p w14:paraId="0171515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4F9E53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that Day, only the swamps and marshes surrounding the Dead Sea (which covers the ruins of Sodom and Gomorrah) will be left in salt.</w:t>
      </w:r>
    </w:p>
    <w:p w14:paraId="67A841E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在那日，只有环绕死海（覆盖着所多玛和蛾摩拉的废墟）的沼泽和洼地将留在盐中。</w:t>
      </w:r>
    </w:p>
    <w:p w14:paraId="7C46F11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E1AA24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That is to say, only those who have refused to take the water of life will eternally remain under the curse and judgment of God (Deut. 29:23; Mt. 25:46, John 4:10, 7:38, Jude 1:7, Rev. 18:2).</w:t>
      </w:r>
    </w:p>
    <w:p w14:paraId="16E5035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也就是说，只有那些拒绝接受生命水的人将永远留在神的咒诅和审判之下 (申 29:23; 太 25:46, 约 4:10, 7:38, 犹 1:7, 启 18:2)。</w:t>
      </w:r>
    </w:p>
    <w:p w14:paraId="58A16A9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E38856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passing, we should note that this particular OTKP is outstanding for taking up the biblical motif of Paradise Lost and Regained.</w:t>
      </w:r>
    </w:p>
    <w:p w14:paraId="4A3EE2B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顺便一提，我们应注意到这个特定的旧约关键预言（OTKP）在采用失乐园与复乐园的圣经主题方面表现突出。</w:t>
      </w:r>
    </w:p>
    <w:p w14:paraId="7B56836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08B113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waters flowing from beneath the Temple threshold remind us of the great River that flowed out of Eden (Gen. 2:10-14).</w:t>
      </w:r>
    </w:p>
    <w:p w14:paraId="4B38121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从殿的门槛下流出的水让我们想起从伊甸流出的大河 (创 2:10-14)。</w:t>
      </w:r>
    </w:p>
    <w:p w14:paraId="766CD60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F0DA6A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trees on either side of the River —trees that nourish and heal—remind us of the Tree of Life that stood in the midst of the Garden (Gen. 2:9, 3:22, 24).</w:t>
      </w:r>
    </w:p>
    <w:p w14:paraId="5921787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河两岸的树——能滋养和医治的树——让我们想起立在园子当中的生命树 (创 2:9, 3:22, 24)。</w:t>
      </w:r>
    </w:p>
    <w:p w14:paraId="1668FD4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045CF2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As for Paradise itself, it is true that Ezekiel, like all the OT prophets, typically describes it in terms of the Promised Land.</w:t>
      </w:r>
    </w:p>
    <w:p w14:paraId="5338493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至于乐园本身，确实，以西结像所有旧约先知一样，通常用应许之地的词汇来描述它。</w:t>
      </w:r>
    </w:p>
    <w:p w14:paraId="56924EA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96E049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That was only natural: Since he and his contemporaries lived under the Law, the prophetic Spirit was pleased to frame the promise of the Eternal Covenant in terms drawn from the Law; in terms of an eternal restoration to life with God in the land (Deut. 30:1-10).</w:t>
      </w:r>
    </w:p>
    <w:p w14:paraId="40947A0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那很自然：因为他和他的同代人生活在律法之下，预言的灵乐于用从律法中提取的词汇来构建永恒之约的应许；即在应许之地上与神同在、永恒复兴生命的词汇 (申 30:1-10)。</w:t>
      </w:r>
    </w:p>
    <w:p w14:paraId="75819F9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CA0E13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the Revelation, however, “true truth” comes out.</w:t>
      </w:r>
    </w:p>
    <w:p w14:paraId="29073D2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然而，在启示录中，“真正的真理”显露出来。</w:t>
      </w:r>
    </w:p>
    <w:p w14:paraId="66E8F5E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8F85BF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There we see what Ezekiel only hints at here: When Christ returns, the River of Life will indeed transform all creation into the Promised Land.</w:t>
      </w:r>
    </w:p>
    <w:p w14:paraId="26CAEE8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在那里我们看到了以西结在此处仅作暗示的内容：当基督再来时，生命河确实会将所有受造之物转变为应许之地。</w:t>
      </w:r>
    </w:p>
    <w:p w14:paraId="52B0E7C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25F2F4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more than this, it will transform the Promised Land into Paradise itself.</w:t>
      </w:r>
    </w:p>
    <w:p w14:paraId="36B3150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但不仅如此，它还将把应许之地转变为乐园本身。</w:t>
      </w:r>
    </w:p>
    <w:p w14:paraId="4BF5007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CEF25E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There the River will ever flow; there the Tree of Life will ever nourish and heal; and there the Last Adam will ever dwell, in glory, with his beloved Bride (Rev. 21:1-2, 22:1-2, 14).</w:t>
      </w:r>
    </w:p>
    <w:p w14:paraId="091B262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在那里，河将永远流淌；在那里，生命树将永远滋养和医治；在那里，末后的亚当将永远在荣耀中与祂所爱的新妇同住 (启 21:1-2, 22:1-2, 14)。</w:t>
      </w:r>
    </w:p>
    <w:p w14:paraId="13E5CBB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BEDD46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Everlasting Homeland (47:13-48:29)</w:t>
      </w:r>
    </w:p>
    <w:p w14:paraId="785AD8E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永恒的家园 (47:13-48:29)</w:t>
      </w:r>
    </w:p>
    <w:p w14:paraId="727DC26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D1F54A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Having spoken to the prophet about the Temple at the heart of the Holy District, and the Holy District at the heart of the land, God now brings Ezekiel’s grand tour to a close by unveiling the boundaries and distribution of the Promised Land itself.</w:t>
      </w:r>
    </w:p>
    <w:p w14:paraId="2AED099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在向先知讲述了位于圣区中心的圣殿，以及位于土地中心的圣区之后，神现在通过揭示应许之地本身的疆界和分配，来结束以西结的宏大之旅。</w:t>
      </w:r>
    </w:p>
    <w:p w14:paraId="28EFD58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6D698E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the central theme is inheritance.</w:t>
      </w:r>
    </w:p>
    <w:p w14:paraId="75D40D1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在这里，中心主题是产业。</w:t>
      </w:r>
    </w:p>
    <w:p w14:paraId="5830236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729D32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is the land that God will cause his people to inherit, and this is the place where he will cause them to inherit an everlasting life of God-centered and Christ- centered worship.</w:t>
      </w:r>
    </w:p>
    <w:p w14:paraId="308ED6C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这就是神要让祂的子民承受为业的土地，这就是祂要让他们承受一个以神为中心、以基督为中心的永恒敬拜生活的地方。</w:t>
      </w:r>
    </w:p>
    <w:p w14:paraId="2BD324A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28C79B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Thus, as in the Revelation, so here: The Spirit is giving us a picture of the eschatological Church worshiping God in the new heavens and the new earth.</w:t>
      </w:r>
    </w:p>
    <w:p w14:paraId="57261FD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因此，正如在启示录中一样，这里也是如此：圣灵正在给我们一幅末世教会在新天新地敬拜神的图画。</w:t>
      </w:r>
    </w:p>
    <w:p w14:paraId="18777B3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DF6B13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47:15-23, Ezekiel learns about the borders of Israel’s eschatological homeland.</w:t>
      </w:r>
    </w:p>
    <w:p w14:paraId="1CCD5E3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 47:15-23，以西结了解到以色列末世家园的疆界。</w:t>
      </w:r>
    </w:p>
    <w:p w14:paraId="412478B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783321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They are patterned after the ideal given to Moses (Num. 34:1- 12).</w:t>
      </w:r>
    </w:p>
    <w:p w14:paraId="0ACCEEB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它们是仿照赐给摩西的理想模式（民 34:1-12）。</w:t>
      </w:r>
    </w:p>
    <w:p w14:paraId="757CE38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B89656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message is: In the eschaton, the LORD will bring to pass what Joshua could not, but what God’s Greater Joshua could and did.</w:t>
      </w:r>
    </w:p>
    <w:p w14:paraId="13A2C6D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信息是：在末世，主将成就约书亚所不能成就的，但神更伟大的约书亚能够并且已经成就了。</w:t>
      </w:r>
    </w:p>
    <w:p w14:paraId="679FC83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D050C0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At long last, his people will enter his rest; they will fully occupy the Land of Promise (Heb. 3:7-4:10).</w:t>
      </w:r>
    </w:p>
    <w:p w14:paraId="0A908E8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最终，祂的子民将进入祂的安息；他们将完全占有应许之地 (来 3:7-4:10)。</w:t>
      </w:r>
    </w:p>
    <w:p w14:paraId="157872C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D94D01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Moreover, God himself explicitly tells us that this is the land he promised to Abraham, Isaac, and Jacob; the same land that the apostles identified as the World to Come and the new heavens and the new earth (Gen. 12:7, 15:18-21, 22:17, 28:4, Psalm 37:11; Mt. 5:5, Rom. 4:13, 8:18f, 2 Peter 3:13).</w:t>
      </w:r>
    </w:p>
    <w:p w14:paraId="24B1770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此外，神自己明确告诉我们，这就是祂应许给亚伯拉罕、以撒和雅各的土地；这同一片土地，使徒们认定为将来的世界和新天新地 (创 12:7, 15:18-21, 22:17, 28:4, 诗 37:11; 太 5:5, 罗 4:13, 8:18及后, 彼后 3:13)。</w:t>
      </w:r>
    </w:p>
    <w:p w14:paraId="7596BE4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37145F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And there is more.</w:t>
      </w:r>
    </w:p>
    <w:p w14:paraId="520827D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还有更多。</w:t>
      </w:r>
    </w:p>
    <w:p w14:paraId="02C5B36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0D5A88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It appears, for example, that the eastern boundaries of the five northern tribes reach almost to the Euphrates River (47:15-17, 48:1-5).</w:t>
      </w:r>
    </w:p>
    <w:p w14:paraId="1F0B75F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例如，五个北方支派的东部边界似乎几乎到达幼发拉底河 (47:15-17, 48:1-5)。</w:t>
      </w:r>
    </w:p>
    <w:p w14:paraId="58C30A9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6D8B82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recalls the glory days of the United Kingdom, days that pictured the universal dominion of Solomon’s greater Son—the Lord Jesus Christ—in the Age to Come (Psalm 72, I Kings 4:20-21).</w:t>
      </w:r>
    </w:p>
    <w:p w14:paraId="0B6D2E6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这让人回想起统一王国的荣耀日子，那些日子描绘了所罗门更伟大的儿子——主耶稣基督——在未来世代的普世统治 (诗 72, 王上 4:20-21)。</w:t>
      </w:r>
    </w:p>
    <w:p w14:paraId="0E67AC8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D3CFE4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Also, here there are no longer any tribes living across the Jordan.</w:t>
      </w:r>
    </w:p>
    <w:p w14:paraId="4D231FE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此外，这里再也没有支派住在约旦河对岸了。</w:t>
      </w:r>
    </w:p>
    <w:p w14:paraId="15FF5D3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0B4154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tells us that in the Age to Come all Israel, being bound together in Immanuel himself, will gladly dwell together in Immanuel’s Land (Josh. 22:19, Isaiah 8:8, John 10:16, Rom. 8:16-17, Heb. 12:22).</w:t>
      </w:r>
    </w:p>
    <w:p w14:paraId="55F99AE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这告诉我们，在将来的世代，所有以色列人，在以马内利自己里面被联结在一起，将乐意地一同居住在以马内利之地 (书 22:19, 赛 8:8, 约 10:16, 罗 8:16-17, 来 12:22)。</w:t>
      </w:r>
    </w:p>
    <w:p w14:paraId="5F1AF12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094F0F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Finally, we learn that the right of inheritance is given not only to Israelites, but also to resident aliens (vv. 21-23).</w:t>
      </w:r>
    </w:p>
    <w:p w14:paraId="3951935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最后，我们得知承受产业的权利不仅给予以色列人，也给予寄居的外邦人 (21-23节)。</w:t>
      </w:r>
    </w:p>
    <w:p w14:paraId="3134FE0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27904F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depicts NT teaching to the effect that citizenship in God’s Kingdom is not based upon physical birth or descent, but solely upon a God-given, faith-filled desire to live with Immanuel himself, and so—at his Second Coming—in his everlasting land (Isaiah 8:8).</w:t>
      </w:r>
    </w:p>
    <w:p w14:paraId="44E51BC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这描绘了新约的教导，即神国度的公民身份不是基于肉体的出生或血统，而是单单基于神所赐予的、充满信心地渴望与以马内利自己同住，并因此——在祂第二次降临时——住在祂永恒的土地上 (赛 8:8)。</w:t>
      </w:r>
    </w:p>
    <w:p w14:paraId="61F40CC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D1A7F3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Whether Jew or Gentile, all such persons are the true sons of Abraham; therefore, along with father Abraham himself, they will inherit the Promised Land (Rom. 4:9-25, 8:12-17, Mt. 8:11, Gal. 3:28, Eph. 2:11- 22).</w:t>
      </w:r>
    </w:p>
    <w:p w14:paraId="6B120EE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无论是犹太人还是外邦人，所有这样的人都是亚伯拉罕真正的子孙；因此，他们将与父亚伯拉罕一同承受应许之地为业 (罗 4:9-25, 8:12-17, 太 8:11, 加 3:28, 弗 2:11-22)。</w:t>
      </w:r>
    </w:p>
    <w:p w14:paraId="3E23739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278C77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48:1-29 the theme of inheritance is especially prominent.</w:t>
      </w:r>
    </w:p>
    <w:p w14:paraId="12A8F78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 48:1-29 中，产业的主题尤其突出。</w:t>
      </w:r>
    </w:p>
    <w:p w14:paraId="0C84871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4EE763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new homeland was indeed promised in days of old, but forfeited by sin.</w:t>
      </w:r>
    </w:p>
    <w:p w14:paraId="4D0D577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新的家园确实在古时被应许，但因罪而丧失。</w:t>
      </w:r>
    </w:p>
    <w:p w14:paraId="1DD5A69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D5FE45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Now, however, grace has abounded, and it is fully inherited at last.</w:t>
      </w:r>
    </w:p>
    <w:p w14:paraId="25DBDA2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然而现在，恩典已经丰盛，它最终被完全继承了。</w:t>
      </w:r>
    </w:p>
    <w:p w14:paraId="3B26F5F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9885A2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passage—which discusses the territorial allotments in the new Israel—displays a remarkable symmetry.</w:t>
      </w:r>
    </w:p>
    <w:p w14:paraId="6E6D57F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这段经文——讨论了新以色列的领土分配——展现出非凡的对称性。</w:t>
      </w:r>
    </w:p>
    <w:p w14:paraId="22F69C6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2FF7BD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essence, God divides the Land into 13 parallel strips, the length of each one running from west to east.</w:t>
      </w:r>
    </w:p>
    <w:p w14:paraId="3FB2C98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实质上，神将这片土地划分为13个平行的条带，每个条带的长度都从西向东延伸。</w:t>
      </w:r>
    </w:p>
    <w:p w14:paraId="5743D4A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09A7D9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First, he allots the seven northern strips: the northern-most to Dan, after whom comes Asher, Naphtali, Manasseh, Ephraim, Reuben, and Judah (48:1-7).</w:t>
      </w:r>
    </w:p>
    <w:p w14:paraId="395CE6E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首先，祂分配了七个北方的条带：最北边的给但，其后是亚设、拿弗他利、玛拿西、以法莲、流便和犹大 (48:1-7)。</w:t>
      </w:r>
    </w:p>
    <w:p w14:paraId="1FCA46E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49DB35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Then—at considerable length, so as to emphasize its importance— he allots the territories within the central Holy Strip (48:8-22).</w:t>
      </w:r>
    </w:p>
    <w:p w14:paraId="32BF219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然后——以相当长的篇幅，以强调其重要性——祂分配了中央圣地带内的领土 (48:8-22)。</w:t>
      </w:r>
    </w:p>
    <w:p w14:paraId="3490B70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83BC21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At its own center lies the Holy District, a perfect square which itself is divided into three strips.</w:t>
      </w:r>
    </w:p>
    <w:p w14:paraId="2F7CB24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在其中心是圣区，一个完美的正方形，其本身被划分为三个条带。</w:t>
      </w:r>
    </w:p>
    <w:p w14:paraId="4ADF25D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230087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topmost is the territory of the Levites; the central contains the temple and the territory of the (Zadokite) priests; the lowermost contains the City, its surrounding open spaces, and the pasturelands cultivated by City workers drawn from the several tribes of Israel.</w:t>
      </w:r>
    </w:p>
    <w:p w14:paraId="3B8C9AC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最上面的是利未人的领土；中间是圣殿和（撒督派）祭司的领土；最下面是那城、其周围的空地，以及由从以色列各支派抽调来的城市工人耕种的牧场。</w:t>
      </w:r>
    </w:p>
    <w:p w14:paraId="130CD68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1F7359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On either side of the Holy District are the territories of the Prince.</w:t>
      </w:r>
    </w:p>
    <w:p w14:paraId="714D287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圣区的两边是君王的领土。</w:t>
      </w:r>
    </w:p>
    <w:p w14:paraId="5F86A15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5D4418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Finally, God allots the territories of the five southern tribes: Benjamin (closest to the Holy Strip), followed by Simeon, Issachar, Zebulun, and Gad (48:23-29).</w:t>
      </w:r>
    </w:p>
    <w:p w14:paraId="3F236DD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最后，神分配了五个南方支派的领土：便雅悯（最靠近圣地带），其后是西缅、以萨迦、西布伦和迦得 (48:23-29)。</w:t>
      </w:r>
    </w:p>
    <w:p w14:paraId="53F0ABB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6E86D2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again, as Duguid puts it, we have “theology in geographical form.”</w:t>
      </w:r>
    </w:p>
    <w:p w14:paraId="77A4BC6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这里再次，如杜吉德所说，我们看到了“地理形式的神学”。</w:t>
      </w:r>
    </w:p>
    <w:p w14:paraId="0EE3477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B645CD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picture is loaded with theological significance, a significance that should expand the mind and rejoice the heart of believers in Jesus.</w:t>
      </w:r>
    </w:p>
    <w:p w14:paraId="56BF159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这幅图画充满了神学意义，这种意义应该能扩展耶稣信徒的心智，并使他们的心喜悦。</w:t>
      </w:r>
    </w:p>
    <w:p w14:paraId="70141FC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69B496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Let us take a moment to explore it.</w:t>
      </w:r>
    </w:p>
    <w:p w14:paraId="024321F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让我们花点时间来探讨它。</w:t>
      </w:r>
    </w:p>
    <w:p w14:paraId="47D2DB9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309C69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We have already seen that the Temple-centeredness of Israel’s eschatological homeland depicts, under OT type and shadow, the God- centered and Christ-centered worship of the Church in the World to Come (Rev. 4-5, 7).</w:t>
      </w:r>
    </w:p>
    <w:p w14:paraId="70FACA9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我们已经看到，以色列末世家园以圣殿为中心，这在旧约的预表和影像之下，描绘了教会在未来世界里以神为中心和以基督为中心的敬拜 (启 4-5, 7)。</w:t>
      </w:r>
    </w:p>
    <w:p w14:paraId="285A483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7995AD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So too does the orientation of the tribal territories, which, like the door of the Temple itself, is towards the East.</w:t>
      </w:r>
    </w:p>
    <w:p w14:paraId="5ACD471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支派领土的朝向也是如此，它像圣殿的门一样，朝向东方。</w:t>
      </w:r>
    </w:p>
    <w:p w14:paraId="21D9599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49FE66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we glimpse the spiritual orientation of God’s eschatological people, who, through all eternity, will gaze eastward, looking expectantly for fresh dawnings of the glory of the LORD over the Land, and fresh entrances of his glory through the Temple Gates.</w:t>
      </w:r>
    </w:p>
    <w:p w14:paraId="383BA6E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在这里，我们瞥见了神末世子民的属灵方向，他们将永远向东凝视，期盼着耶和华荣耀的新曙光照耀这片土地，以及祂的荣耀从殿门重新进入。</w:t>
      </w:r>
    </w:p>
    <w:p w14:paraId="5948591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1ABBFD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According to a slightly different metaphor, the orientation of the tribal allotments pictures the Bride of Christ, who, through all eternity, will watch for fresh visitations of her Beloved; of the One who, at the close of her arduous pilgrimage upon the earth, suddenly rose like the Morning Star, and—in power and great glory—circled the Earth from east to west, gathering her to his side, so that in the end he might bring her to his everlasting home (Ezek. 43:1-5, Mt. 2:1, 24:27, 25:1f, John 14:1f, 2 Peter 1:19, Rev. 2:28, 7:2, 22:16).</w:t>
      </w:r>
    </w:p>
    <w:p w14:paraId="70A1147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根据一个略有不同的比喻，支派分配的朝向描绘了基督的新妇，她将永远守望她良人的新探访；就是那位在她艰辛的地上朝圣之旅结束时，突然像晨星一样升起，并——带着权能和极大的荣耀——从东到西环绕地球，将她聚集到祂身边，以便最终祂能将她带到祂永恒的家 (结 43:1-5, 太 2:1, 24:27, 25:1及后, 约 14:1及后, 彼后 1:19, 启 2:28, 7:2, 22:16)。</w:t>
      </w:r>
    </w:p>
    <w:p w14:paraId="0A1BBF9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AADA34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According to 47:13-14, each tribe will receive an equal allotment of land for a permanent possession.</w:t>
      </w:r>
    </w:p>
    <w:p w14:paraId="6961637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根据 47:13-14，每个支派将得到相等的地业作为永久的产业。</w:t>
      </w:r>
    </w:p>
    <w:p w14:paraId="35ADA1D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637F8B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recalls Jesus’ Parable of the Workers in the Vineyard, wherein we find the compassionate landowner giving each laborer a denarius, irrespective of how long he worked (Mt. 20:1-16).</w:t>
      </w:r>
    </w:p>
    <w:p w14:paraId="3D061D7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这让人想起耶稣在葡萄园工人的比喻，其中我们看到慈悲的园主给每个工人一钱银子，不论他工作了多久 (太 20:1-16)。</w:t>
      </w:r>
    </w:p>
    <w:p w14:paraId="297EB8C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61B579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It also reminds us of his Parable of the Wedding Feast, where entrance to the Feast is said to depend not upon what one has done, but simply upon the possession of a proper wedding garment (Mt. 22:1-14).</w:t>
      </w:r>
    </w:p>
    <w:p w14:paraId="363FDB2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这也让我们想起祂的婚宴比喻，其中说到进入宴席不取决于人做了什么，而仅仅取决于是否穿着合宜的礼服 (太 22:1-14)。</w:t>
      </w:r>
    </w:p>
    <w:p w14:paraId="4275856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BAFEE0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All three texts teach the same glorious NT truth: While the saints standing in the Kingdom may indeed be a reward for their own good works, their presence in the Kingdom is an inheritance, a gracious gift of God, bequeathed to them through the Christ who so lovingly and effectually worked on their behalf (Mt. 25:34, Gal. 3:26-4:7, Rom. 8:12-17, Rev. 21:7).</w:t>
      </w:r>
    </w:p>
    <w:p w14:paraId="6727BE1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三段经文都教导了同一个荣耀的新约真理：虽然圣徒在天国中的地位确实可能是对他们自己善行的奖赏，但他们在天国中的存在本身是一种产业，是神恩典的礼物，是通过那位如此慈爱和有效地为他们工作的基督遗赠给他们的 (太 25:34, 加 3:26-4:7, 罗 8:12-17, 启 21:7)。</w:t>
      </w:r>
    </w:p>
    <w:p w14:paraId="368D497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23DD3A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precise arrangement of the twelve tribes also seems to convey NT truth.</w:t>
      </w:r>
    </w:p>
    <w:p w14:paraId="370FC56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十二支派的精确排列似乎也传达了新约的真理。</w:t>
      </w:r>
    </w:p>
    <w:p w14:paraId="7A6F1EB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AE9C4D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example, in the new order, Benjamin will be situated south of the Holy District, while Judah will lie to its north.</w:t>
      </w:r>
    </w:p>
    <w:p w14:paraId="6F425BE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例如，在新的秩序中，便雅悯将位于圣区的南部，而犹大则位于其北部。</w:t>
      </w:r>
    </w:p>
    <w:p w14:paraId="3311730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D122DC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Under the Divided Monarchy, these two tribes constituted the entire Southern Kingdom.</w:t>
      </w:r>
    </w:p>
    <w:p w14:paraId="633660E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在分裂王国时期，这两个支派构成了整个南国。</w:t>
      </w:r>
    </w:p>
    <w:p w14:paraId="78AD4FE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6AB89D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message, then, is that the eschatological division of the land into northern and southern regions will in no way reflect a spiritual division rooted in sin.</w:t>
      </w:r>
    </w:p>
    <w:p w14:paraId="5CB9B21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那么，信息就是，末世土地划分为南北区域绝不反映根植于罪的属灵分裂。</w:t>
      </w:r>
    </w:p>
    <w:p w14:paraId="30F7090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C156FD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To the contrary, here all former divisions have been overcome, for now all the tribes are perfectly united around the central sanctuary and under the Prince.</w:t>
      </w:r>
    </w:p>
    <w:p w14:paraId="2ACF2D9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相反，这里所有先前的分裂都已被克服，因为现在所有的支派都完美地围绕着中央圣所并在君王的治理下联合起来。</w:t>
      </w:r>
    </w:p>
    <w:p w14:paraId="7BAF6B6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54068E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Certainly this pictures the perfect spiritual unity of the Church around her great High Priest and Sacrifice; perhaps it also pictures her spiritual unity around the Prince of Life, the High King who nevertheless reigns at all times in glad submission to his Royal Father (Acts 3:15, 5:31, 1 Cor. 15:27-28).</w:t>
      </w:r>
    </w:p>
    <w:p w14:paraId="57DAA74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这当然描绘了教会围绕其伟大的大祭司和祭物的完美属灵合一；或许它也描绘了她围绕生命之君的属灵合一，这位至高君王在任何时候都乐意地顺服于祂的君王天父而作王 (徒 3:15, 5:31, 林前 15:27-28)。</w:t>
      </w:r>
    </w:p>
    <w:p w14:paraId="79572D7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D57C8E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eschatological Israel, the blood of Christ will have broken down every dividing wall, with the result that to all eternity there will be one flock, one kingdom, and one holy nation living in the land (Ezek. 34:23, 37:24, Zech. 14:9, John 10:16, Gal. 3:28, Eph. 2:11-22, 4:1f, 1 Peter 2:9).</w:t>
      </w:r>
    </w:p>
    <w:p w14:paraId="41B1FAC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在末世的以色列，基督的血将拆毁所有隔断的墙，结果是，直到永远，都将只有一个羊群，一个国度，一个圣洁的国民住在那地 (结 34:23, 37:24, 亚 14:9, 约 10:16, 加 3:28, 弗 2:11-22, 4:1及后, 彼前 2:9)。</w:t>
      </w:r>
    </w:p>
    <w:p w14:paraId="1A4993C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A83099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We observe also that the eight tribes closest to the Temple are the descendants of Jacob’s wives (Leah and Rachel), while the four tribes situated at the extremities of the land are the descendants of their handmaids, Bilhah and Zilpah (Gen. 30:1-13).</w:t>
      </w:r>
    </w:p>
    <w:p w14:paraId="330C891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我们也观察到，离圣殿最近的八个支派是雅各妻子（利亚和拉结）的后代，而位于土地两端的四个支派是她们使女辟拉和悉帕的后代 (创 30:1-13)。</w:t>
      </w:r>
    </w:p>
    <w:p w14:paraId="23A60F8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FE62F4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Since the OT prophets often represented the Gentiles as (blessed) servants of eschatological Israel, Ezekiel may have done the same here, by way of vision (Isaiah 49:22-23, 60:1-14).</w:t>
      </w:r>
    </w:p>
    <w:p w14:paraId="0803CAF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由于旧约先知常常将外邦人描绘成末世以色列的（蒙福的）仆人，以西结可能在这里也通过异象做了同样的事 (赛 49:22-23, 60:1-14)。</w:t>
      </w:r>
    </w:p>
    <w:p w14:paraId="5CD7057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7FFA8C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If so, the lesson is not that in the eschaton the Gentiles will be second-class citizens dwelling at maximal distance from Christ, but rather that God, in the last days prior to the Consummation, graciously grafted them into the vine of Israel, making them “handmaids” of the (Jewish) heirs of the Kingdom, but also co-heirs with them of the glorious covenant promises given to Abraham and his seed (John 10:16, Rom. 4:1f, 11:11-24, Gal. 3:1-14, Eph. 2:11-22).</w:t>
      </w:r>
    </w:p>
    <w:p w14:paraId="3CCB0E7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如果是这样，教训就不是说在末世外邦人将是住在离基督最远之处的二等公民，而是说神，在最终成全之前的末期，恩慈地将他们嫁接到以色列的葡萄树上，使他们成为国度（犹太）继承人的“使女”，但也与他们一同承受赐给亚伯拉罕和他后裔的荣耀之约的应许 (约 10:16, 罗 4:1及后, 11:11-24, 加 3:1-14, 弗 2:11-22)。</w:t>
      </w:r>
    </w:p>
    <w:p w14:paraId="65C4650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FC33F0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Everlasting City (48:30-35)</w:t>
      </w:r>
    </w:p>
    <w:p w14:paraId="74DFEAD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永恒之城 (48:30-35)</w:t>
      </w:r>
    </w:p>
    <w:p w14:paraId="3E8E3B0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8668DB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Fascinatingly, the capstone of Ezekiel’s vision of the World to Come is devoted to a subject almost completely overlooked in all that has gone before: the City.</w:t>
      </w:r>
    </w:p>
    <w:p w14:paraId="208C300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令人着迷的是，以西结关于未来世界异象的顶点，是专门讨论一个在之前几乎完全被忽略的主题：那城。</w:t>
      </w:r>
    </w:p>
    <w:p w14:paraId="63B7B52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7FE100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the exiles—and indeed for godly Jews of all subsequent generations—“the City” could be none other than Jerusalem, the very same Jerusalem whose eschatological restoration is sung by OT prophet after prophet.</w:t>
      </w:r>
    </w:p>
    <w:p w14:paraId="776FAA7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对于被掳者——以及后来所有世代敬虔的犹太人——“那城”不可能是别处，只能是耶路撒冷，就是那同一个耶路撒冷，其末世的复兴被旧约一位又一位先知所歌颂。</w:t>
      </w:r>
    </w:p>
    <w:p w14:paraId="06EC1F7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60B6C9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It is, then, quite understandable that the Spirit of God, having devoted 95% of Ezekiel’s vision to a description of Israel’s Temple- Centered life in her eschatological homeland, should bring the prophecy to a close with a few words about the future of the Holy City, Jerusalem.</w:t>
      </w:r>
    </w:p>
    <w:p w14:paraId="68C2A95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因此，神的灵将以西结异象的95%用于描述以色列在其末世家园中以圣殿为中心的生活之后，用几句话来讲述圣城耶路撒冷的未来，以此结束预言，是完全可以理解的。</w:t>
      </w:r>
    </w:p>
    <w:p w14:paraId="3F7AF18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EF0F1F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By so aligning Ezekiel’s message with the rest of OTKP, the Spirit would only strengthen Israel’s ancient hope of eternal life in the land with their faithful, covenant-keeping God.</w:t>
      </w:r>
    </w:p>
    <w:p w14:paraId="116B6BA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通过将以西结的信息与其余的旧约关键预言（OTKP）对齐，圣灵只会加强以色列古老的盼望，即在那片土地上与他们信实守约的神同享永生。</w:t>
      </w:r>
    </w:p>
    <w:p w14:paraId="0C8F9EA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9E7A9B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And yet, with the benefit of NT hindsight, we can see clearly that the City God actually had in mind was very different than the one the OT saints had in mind.</w:t>
      </w:r>
    </w:p>
    <w:p w14:paraId="0A1094C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然而，借着新约的后见之明，我们可以清楚地看到，神心中实际想到的那城，与旧约圣徒心中所想的城截然不同。</w:t>
      </w:r>
    </w:p>
    <w:p w14:paraId="4B4A156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2F2833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is apparent from certain curiosities within the text itself, and also from explicit NT teaching, especially as that is found in the Revelation.</w:t>
      </w:r>
    </w:p>
    <w:p w14:paraId="5B49050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这一点从经文本身的一些奇特之处，以及新约明确的教导中都很明显，尤其是在启示录中找到的教导。</w:t>
      </w:r>
    </w:p>
    <w:p w14:paraId="68B528E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6F017F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Concerning the curiosities, we observe in chapters 40-48 that the word “Jerusalem” does not appear once.</w:t>
      </w:r>
    </w:p>
    <w:p w14:paraId="72FDC27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关于奇特之处，我们观察到在第40-48章中，“耶路撒冷”这个词一次也没有出现。</w:t>
      </w:r>
    </w:p>
    <w:p w14:paraId="0F071F3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989F9B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Also, Ezekiel’s City lies outside the Temple Area, whereas in historical times the Temple was always situated inside the walls of Jerusalem.</w:t>
      </w:r>
    </w:p>
    <w:p w14:paraId="1066B42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此外，以西结的城位于圣殿区域之外，而在历史时期，圣殿总是位于耶路撒冷的城墙之内。</w:t>
      </w:r>
    </w:p>
    <w:p w14:paraId="2786EAE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3D333D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Similarly, Ezekiel’s City is clearly subordinate to the Temple, since the Temple alone is situated in the midst of the Holy District.</w:t>
      </w:r>
    </w:p>
    <w:p w14:paraId="028811D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同样，以西结的城显然是次于圣殿的，因为只有圣殿位于圣区的中央。</w:t>
      </w:r>
    </w:p>
    <w:p w14:paraId="005B6F0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48BE3B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Note also that the tribal names of the twelve territorial allotments differ from the tribal names on the twelve gates of the City: The latter include Levi and Joseph, but exclude Ephraim and Manasseh.</w:t>
      </w:r>
    </w:p>
    <w:p w14:paraId="496E1E5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还要注意的是，十二个领土分配的支派名称与城上十二个门的支派名称不同：后者包括利未和约瑟，但不包括以法莲和玛拿西。</w:t>
      </w:r>
    </w:p>
    <w:p w14:paraId="62F139E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4B8CBC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Finally, and most tellingly, God assigns the City a completely new name: The LORD is There.</w:t>
      </w:r>
    </w:p>
    <w:p w14:paraId="47D8EDB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最后，也是最具说服力的是，神给那城起了一个全新的名字：耶和华的所在。</w:t>
      </w:r>
    </w:p>
    <w:p w14:paraId="14A1170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A15D1D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We conclude, then, that the text loudly and repeatedly hints at a great eschatological mystery: The Eternal City of God will be different from the Jerusalem of old; it will have a new nature, a new identity, and therefore a new name.</w:t>
      </w:r>
    </w:p>
    <w:p w14:paraId="7AF5709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因此，我们得出结论，经文大声并反复地暗示着一个伟大的末世奥秘：神永恒的城将不同于古时的耶路撒冷；它将有新的性质，新的身份，因此也有新的名字。</w:t>
      </w:r>
    </w:p>
    <w:p w14:paraId="52728C1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68FDCB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As we have seen, in the NT the mystery is finally unveiled: The true and everlasting City is not made of brick and mortar, but of living stones; the saints themselves are not only the Temple of God, but also the Jerusalem of God (John 4:21, Gal. 4:26, Heb. 12:22, 1 Peter 2:5, Rev. 3:12).</w:t>
      </w:r>
    </w:p>
    <w:p w14:paraId="68442FB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正如我们所见，在新约中，这个奥秘最终被揭开：真实永恒的城不是由砖瓦构成，而是由活石构成；圣徒们自己不仅是神的殿，也是神的耶路撒冷 (约 4:21, 加 4:26, 来 12:22, 彼前 2:5, 启 3:12)。</w:t>
      </w:r>
    </w:p>
    <w:p w14:paraId="18C4737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7AAE2C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Knowing this, they steadfastly persevere in their pilgrimage through this fallen world, eagerly awaiting their Lord’s return and the manifestation, in glory, of the eternal City whose Builder and Maker is God (Col. 3:1-3, Heb. 11:10, 16, 13:14).</w:t>
      </w:r>
    </w:p>
    <w:p w14:paraId="2952228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知道了这一点，他们在这个堕落的世界中坚定地持守他们的朝圣之旅，热切地等待他们主的再来，以及那座其建造者和制作者是神的永恒之城在荣耀中的显现 (西 3:1-3, 来 11:10, 16, 13:14)。</w:t>
      </w:r>
    </w:p>
    <w:p w14:paraId="3EB73B2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B16511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Notably, this theme is especially prominent in the Revelation, where God’s elect hear the Spirit calling them out of the Great City (Babylon) and into the Holy City, the New Jerusalem (Rev. 11:8, 16:19, 18:1ff).</w:t>
      </w:r>
    </w:p>
    <w:p w14:paraId="300D7D0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值得注意的是，这个主题在启示录中尤为突出，在那里，神的选民听到圣灵呼召他们出那大城（巴比伦），进入圣城，新耶路撒冷 (启 11:8, 16:19, 18:1及后)。</w:t>
      </w:r>
    </w:p>
    <w:p w14:paraId="55E517F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56B28A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Neither is a physical structure, both are spiritual populations; they are distinct realms with distinct rulers, whether Satan or Christ.</w:t>
      </w:r>
    </w:p>
    <w:p w14:paraId="1672E5E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两者都不是物质结构，都是属灵的群体；它们是不同的领域，有不同的统治者，无论是撒旦还是基督。</w:t>
      </w:r>
    </w:p>
    <w:p w14:paraId="5EF1DF7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3B69EA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As Ezekiel himself saw, just prior to the Consummation, Satan’s forces will attack the Beloved City (Ezek. 38-39, Rev. 20:9).</w:t>
      </w:r>
    </w:p>
    <w:p w14:paraId="6ABB703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正如以西结自己所见，就在最终成全之前，撒旦的军队将攻击那蒙爱的城 (结 38-39, 启 20:9)。</w:t>
      </w:r>
    </w:p>
    <w:p w14:paraId="4E7FA5E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B5ECEB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But God—in Christ—will intervene to destroy the Great City and glorify the Holy City; a City that will be without stain or wrinkle or any such thing; a City that will be worthy to be called the Bride and the Wife of the Lamb (Eph. 5:27, Rev. 18:1f, 21:1-2, 9).</w:t>
      </w:r>
    </w:p>
    <w:p w14:paraId="64B5482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但神——在基督里——将介入，摧毁那大城，并荣耀那圣城；一座没有玷污、皱纹等类的城；一座配称为羔羊的新妇和妻子的城 (弗 5:27, 启 18:1及后, 21:1-2, 9)。</w:t>
      </w:r>
    </w:p>
    <w:p w14:paraId="7033EDF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285581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is the City that all God’s people—from Abraham on—have seen, sang, and faithfully striven to enter by the narrow gate (Luke 13:24).</w:t>
      </w:r>
    </w:p>
    <w:p w14:paraId="76FDC55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这就是所有神的子民——从亚伯拉罕起——都已看见、歌唱，并忠心地努力从窄门进入的城 (路 13:24)。</w:t>
      </w:r>
    </w:p>
    <w:p w14:paraId="693ABE8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A99A26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6.Ezekiel and the Revelation</w:t>
      </w:r>
    </w:p>
    <w:p w14:paraId="13EF812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6. 以西结书与启示录</w:t>
      </w:r>
    </w:p>
    <w:p w14:paraId="3A617F6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153114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 want to conclude this long chapter with a few words about the usefulness of the Revelation for helping us discern the true meaning of certain OTKP’s.</w:t>
      </w:r>
    </w:p>
    <w:p w14:paraId="0DA63E4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我想用几句话来结束这漫长的一章，谈谈启示录在帮助我们辨别某些旧约关键预言（OTKP）的真正含义方面的用处。</w:t>
      </w:r>
    </w:p>
    <w:p w14:paraId="4C762C2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A2A787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Its great value is rooted in two fundamental facts.</w:t>
      </w:r>
    </w:p>
    <w:p w14:paraId="4A465FF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它的巨大价值植根于两个基本事实。</w:t>
      </w:r>
    </w:p>
    <w:p w14:paraId="2524892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CC9931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On the one hand, the Revelation is very much like OTKP in that it uses OT ideas and images to convey NT truth.</w:t>
      </w:r>
    </w:p>
    <w:p w14:paraId="211916C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一方面，启示录与旧约关键预言非常相似，因为它使用旧约的观念和意象来传达新约的真理。</w:t>
      </w:r>
    </w:p>
    <w:p w14:paraId="1BEFDA9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998C5F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On the other hand, it is different from OTKP in that it goes on to incorporate specifically New Testament ideas and images, thereby pointing the way to a proper interpretation of the Old.</w:t>
      </w:r>
    </w:p>
    <w:p w14:paraId="0B0C1CF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另一方面，它又与旧约关键预言不同，因为它进而融入了具体的新约观念和意象，从而为正确解释旧约指明了方向。</w:t>
      </w:r>
    </w:p>
    <w:p w14:paraId="1787FE4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257091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other words, just like the Gospels and the Epistles, the Revelation confirms the New Covenant Hermeneutic.</w:t>
      </w:r>
    </w:p>
    <w:p w14:paraId="468B6F6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换句话说，就像福音书和书信一样，启示录证实了新约解释学。</w:t>
      </w:r>
    </w:p>
    <w:p w14:paraId="1F35811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54B758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It does so, however, by using apocalyptic rather than didactic language.</w:t>
      </w:r>
    </w:p>
    <w:p w14:paraId="2DCE741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然而，它是通过使用启示文学而非教导性语言来做到这一点的。</w:t>
      </w:r>
    </w:p>
    <w:p w14:paraId="73B9072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CDD301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Two illustrations from the book of Ezekiel should make this important point clear, and also serve to undergird the New Covenant interpretations I have offered in this chapter.</w:t>
      </w:r>
    </w:p>
    <w:p w14:paraId="1DAE5B2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以西结书中的两个例子应该能清楚地说明这个重要观点，并为我在本章中提供的新约解释提供支持。</w:t>
      </w:r>
    </w:p>
    <w:p w14:paraId="7DCF5AB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60A673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Two Views of the Last Battle</w:t>
      </w:r>
    </w:p>
    <w:p w14:paraId="0651709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关于最后战役的两种观点</w:t>
      </w:r>
    </w:p>
    <w:p w14:paraId="24A494F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83E0BE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our study of Ezekiel 34-39, I argued that the prophet used OT ideas and images to describe the Last Battle, the final clash between Christ and Satan, the Church and the World.</w:t>
      </w:r>
    </w:p>
    <w:p w14:paraId="6AD1B7C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在我们对以西结书34-39章的研究中，我论证了先知使用旧约的观念和意象来描述最后的战役，即基督与撒旦、教会与世界之间的最终冲突。</w:t>
      </w:r>
    </w:p>
    <w:p w14:paraId="589E2A4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8E7FDB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Revelation positively confirms this view.</w:t>
      </w:r>
    </w:p>
    <w:p w14:paraId="26A500C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启示录明确地证实了这一观点。</w:t>
      </w:r>
    </w:p>
    <w:p w14:paraId="2C095F0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BA7C2F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primary proof text is Rev. 20:7-10, where the Spirit identifies the eschatological opponent of God’s people as Gog and Magog.</w:t>
      </w:r>
    </w:p>
    <w:p w14:paraId="08EFF54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主要的证据经文是启示录20:7-10，其中圣灵将神子民的末世对手认定为歌革和玛各。</w:t>
      </w:r>
    </w:p>
    <w:p w14:paraId="4ABE844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DB6666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Observe, however, that in the Revelation the Holy Spirit subtly departs from Ezekiel’s portrait of the battle so as to encourage an ecclesiological interpretation of both texts.</w:t>
      </w:r>
    </w:p>
    <w:p w14:paraId="3C579ED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然而，请注意，在启示录中，圣灵巧妙地偏离了以西结对这场战役的描绘，以鼓励对这两段经文进行教会论的解释。</w:t>
      </w:r>
    </w:p>
    <w:p w14:paraId="2BD0F51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63B8E4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example, here in the Revelation, Gog and Magog come up upon “the breadth of the earth” (i.e., the whole world, wherever Christians are living).</w:t>
      </w:r>
    </w:p>
    <w:p w14:paraId="3890461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例如，在启示录这里，歌革和玛各上来遍满了“全地”（即整个世界，无论基督徒住在何处）。</w:t>
      </w:r>
    </w:p>
    <w:p w14:paraId="376AA47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B64ED8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they surround “the camp of the saints” (i.e., Christians everywhere, who are “encamped,” like Israel after the Exodus, in the wilderness of this fallen world-system).</w:t>
      </w:r>
    </w:p>
    <w:p w14:paraId="5831CF0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在这里，他们围住“圣徒的营”（即各地的基督徒，他们像出埃及后的以色列人一样，“安营”在这个堕落世界体系的旷野中）。</w:t>
      </w:r>
    </w:p>
    <w:p w14:paraId="5966172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BB33D0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And here they surround “the Beloved City” (i.e., Christ’s beloved Church, a City built of living stones).</w:t>
      </w:r>
    </w:p>
    <w:p w14:paraId="5B91A9D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在这里，他们围住“那蒙爱的城”（即基督所爱的教会，一座由活石建成的城）。</w:t>
      </w:r>
    </w:p>
    <w:p w14:paraId="6B722C2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AF6250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That the Spirit here has the Church in view is further confirmed by 20:4-6, where we learn that it is only the followers of Jesus—many of whom were faithful unto death in the face the Beast’s persecutions—who enter heaven to reign with Christ throughout the thousand years.</w:t>
      </w:r>
    </w:p>
    <w:p w14:paraId="0C113D3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圣灵在此心中所想的是教会，这一点在20:4-6中得到进一步证实，我们从那里得知，只有耶稣的跟随者——其中许多人在面对兽的迫害时至死忠心——才能进入天堂，与基督一同作王一千年。</w:t>
      </w:r>
    </w:p>
    <w:p w14:paraId="70AA191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998EF7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helps us to identify the “saints” of Rev. 20:9 who are to endure the Last Battle at the end of the thousand years: They too are the followers of Jesus (Rev. 1:9).</w:t>
      </w:r>
    </w:p>
    <w:p w14:paraId="69A8ED1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这有助于我们识别启示录20:9中要在千年结束时忍受最后战役的“圣徒”：他们也是耶稣的跟随者（启1:9）。</w:t>
      </w:r>
    </w:p>
    <w:p w14:paraId="354784C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C72963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We conclude, then, that Revelation 20—and a great many other NT texts—identifies the true contestants of the Last Battle as the Church and the World; and that here the Spirit of God is teaching us to read Ezekiel 38- 39 as giving all of God’s people a veiled OT revelation of this very thing (Mt. 24:15, 21, 2 Thess. 2:1f, 1 John 2:18, Rev. 11:7-10, 16:12-16, 19:17- 21).</w:t>
      </w:r>
    </w:p>
    <w:p w14:paraId="26A31F5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我们得出结论，启示录20章——以及许多其他新约经文——将最后战役的真正参与者认定为教会和世界；并且在这里，神的灵正在教导我们，要将以西结书38-39章读作是给所有神的子民一个关于此事的隐藏的旧约启示 (太 24:15, 21, 帖后 2:1及后, 约一 2:18, 启 11:7-10, 16:12-16, 19:17-21)。</w:t>
      </w:r>
    </w:p>
    <w:p w14:paraId="2A2480C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987F8B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Two Views of the World to Come</w:t>
      </w:r>
    </w:p>
    <w:p w14:paraId="2236C88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关于未来世界的两种观点</w:t>
      </w:r>
    </w:p>
    <w:p w14:paraId="6AD0B36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3215E2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brings us to our second illustration.</w:t>
      </w:r>
    </w:p>
    <w:p w14:paraId="6A273A2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这把我们带到了第二个例证。</w:t>
      </w:r>
    </w:p>
    <w:p w14:paraId="04EA912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571D17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the course of our study, I have argued that Ezekiel 40-48 uses OT types and shadows to describe the life of God’s people in the eschaton, in the new heavens and the new earth.</w:t>
      </w:r>
    </w:p>
    <w:p w14:paraId="1836440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在我们的研究过程中，我论证了以西结书40-48章使用旧约的预表和影像来描述神子民在末世，在新天新地中的生活。</w:t>
      </w:r>
    </w:p>
    <w:p w14:paraId="5F6162F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DD8739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Revelation 21-22 confirms this view.</w:t>
      </w:r>
    </w:p>
    <w:p w14:paraId="2E918070">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启示录21-22章证实了这一观点。</w:t>
      </w:r>
    </w:p>
    <w:p w14:paraId="2CA9E5B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A1891C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Indeed, it is safe to say that these two chapters serve as a kind of NT commentary on Ezekiel’s final vision.</w:t>
      </w:r>
    </w:p>
    <w:p w14:paraId="2951CA8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的确，可以有把握地说，这两章可以作为对以西结最终异象的一种新约注释。</w:t>
      </w:r>
    </w:p>
    <w:p w14:paraId="5125D83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48CBCD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many similarities tell us that John’s vision is actually based on Ezekiel’s.</w:t>
      </w:r>
    </w:p>
    <w:p w14:paraId="4681201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许多相似之处告诉我们，约翰的异象实际上是基于以西结的异象。</w:t>
      </w:r>
    </w:p>
    <w:p w14:paraId="143EFFC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87DC21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However, the many differences—the many additions and NT elucidations— tell us that John’s vision is also meant to interpret Ezekiel’s.</w:t>
      </w:r>
    </w:p>
    <w:p w14:paraId="57256C6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然而，许多不同之处——许多补充和新约的阐明——告诉我们，约翰的异象也意在解释以西结的异象。</w:t>
      </w:r>
    </w:p>
    <w:p w14:paraId="209FA65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C1DF04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other words, here in Revelation 21-22 the Spirit of God uses apocalyptic language— signs and symbols, frequently drawn from the OT—to confirm what the more didactic Gospels and Epistles positively teach: All OTKP—including Ezekiel 40-48—is fulfilled under the New Covenant that Christ introduced, and in the twofold spiritual Kingdom that he brought into the world.</w:t>
      </w:r>
    </w:p>
    <w:p w14:paraId="3EF18E6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换句话说，在启示录21-22章这里，神的灵使用启示文学的语言——记号和象征，常常取自旧约——来确认那些更具教导性的福音书和书信所明确教导的：所有旧约关键预言——包括以西结书40-48章——都在基督所引入的新约之下，以及在祂带入世界的双重属灵国度中得到应验。</w:t>
      </w:r>
    </w:p>
    <w:p w14:paraId="7F63853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2C787D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Let us take a moment to illustrate how this works.</w:t>
      </w:r>
    </w:p>
    <w:p w14:paraId="2B1F2D6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让我们花点时间来说明这是如何运作的。</w:t>
      </w:r>
    </w:p>
    <w:p w14:paraId="343ED63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18A332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Like Ezekiel, John is carried away in the Spirit to a great and high Mountain, upon which he sees a City (Ezek. 40:2, Rev. 21:10).</w:t>
      </w:r>
    </w:p>
    <w:p w14:paraId="538C7C3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像以西结一样，约翰在灵里被带到一座高大的山，在山上他看到一座城 (结 40:2, 启 21:10)。</w:t>
      </w:r>
    </w:p>
    <w:p w14:paraId="11C1F40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64BA03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Here, however, we learn what the Mountain represents: The new heavens and the new earth.</w:t>
      </w:r>
    </w:p>
    <w:p w14:paraId="1F29723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然而，在这里，我们了解到这座山代表什么：新天新地。</w:t>
      </w:r>
    </w:p>
    <w:p w14:paraId="3255FE6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3EF542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just as John sees the Holy City “coming down from heaven” to alight upon the Mountain (21:10), so too he sees it coming down from a new heaven to alight upon a new earth (21:1-2).</w:t>
      </w:r>
    </w:p>
    <w:p w14:paraId="279DF05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因为正如约翰看见圣城“从天而降”落在山上 (21:10)，他也看见它从一个新天降下，落在一个新地上 (21:1-2)。</w:t>
      </w:r>
    </w:p>
    <w:p w14:paraId="6F7CDDB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A9833D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two are one: the Mountain and the New Earth.</w:t>
      </w:r>
    </w:p>
    <w:p w14:paraId="497935C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两者是合一的：那山和新地。</w:t>
      </w:r>
    </w:p>
    <w:p w14:paraId="07FACB13">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B72449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So then, Ezekiel’s Mountain (and the land as well) stands for the new world that Christ will create at his Parousia, a world in which there will no longer be any curse, tears, mourning, pain, or death (Rev. 21:2, 22:3).</w:t>
      </w:r>
    </w:p>
    <w:p w14:paraId="34600C3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所以，以西结的山（以及那地）代表基督在祂再临时将要创造的新世界，一个不再有任何咒诅、眼泪、悲哀、疼痛或死亡的世界 (启 21:2, 22:3)。</w:t>
      </w:r>
    </w:p>
    <w:p w14:paraId="5F2D8EB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DB2143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Like Ezekiel, John sees a City (Ezek. 40:2, Rev. 21:2, 10).</w:t>
      </w:r>
    </w:p>
    <w:p w14:paraId="15A63BA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像以西结一样，约翰看到一座城 (结 40:2, 启 21:2, 10)。</w:t>
      </w:r>
    </w:p>
    <w:p w14:paraId="587C16A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A15A4D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Or, to be more precise, Ezekiel saw “a structure like a City”—which was the Temple —while John saw a City, but no Temple, for the Lord God, the Almighty, and the Lamb are its Temple (Rev. 21:22).</w:t>
      </w:r>
    </w:p>
    <w:p w14:paraId="3A805F7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或者，更准确地说，以西结看到“一个仿佛是城的建筑”——那就是圣殿——而约翰看到一座城，却没有殿，因为主神、全能者和羔羊是城的殿 (启 21:22)。</w:t>
      </w:r>
    </w:p>
    <w:p w14:paraId="764E972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1CBDD4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Already, the two visions begin to converge.</w:t>
      </w:r>
    </w:p>
    <w:p w14:paraId="4E5B758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两个异象已经开始趋于一致。</w:t>
      </w:r>
    </w:p>
    <w:p w14:paraId="4080E21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61AF74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And the convergence continues, for just as Ezekiel beholds the glory of God entering the Temple, so John beholds the City “having the glory of God” (Ezek. 43:1-5, Rev. 21:11).</w:t>
      </w:r>
    </w:p>
    <w:p w14:paraId="03B4AF1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并且这种趋同还在继续，因为正如以西结看见神的荣耀进入圣殿，约翰也看见那城“有神的荣耀” (结 43:1-5, 启 21:11)。</w:t>
      </w:r>
    </w:p>
    <w:p w14:paraId="7B3C085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AFA6C6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Thus, God and the Lamb are the Temple in which the City dwells, but the City is the Temple in which God and the Lamb dwell!</w:t>
      </w:r>
    </w:p>
    <w:p w14:paraId="7C9553A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因此，神和羔羊是那城所居住的殿，但那城也是神和羔羊所居住的殿！</w:t>
      </w:r>
    </w:p>
    <w:p w14:paraId="06E5057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75521C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John’s is a “Temple-City” where God “will dwell among the sons of Israel forever” (Ezek. 43:7); where “he shall dwell among them, and they shall be his people, and God himself shall be among them” (Rev. 21:3).</w:t>
      </w:r>
    </w:p>
    <w:p w14:paraId="4899AB6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约翰看到的是一个“圣殿之城”，在那里神“要永远住在以色列人中间” (结 43:7)；在那里“祂要与人同住，他们要作祂的子民。神要亲自与他们同在” (启 21:3)。</w:t>
      </w:r>
    </w:p>
    <w:p w14:paraId="7EC4261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E66C95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the glorified Temple-City, the promise of the Eternal Covenant is fully fulfilled (Ezek. 37:27).</w:t>
      </w:r>
    </w:p>
    <w:p w14:paraId="314D002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在得荣耀的圣殿之城中，永恒之约的应许得到完全的应验 (结 37:27)。</w:t>
      </w:r>
    </w:p>
    <w:p w14:paraId="0BB5310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9728C9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Like Ezekiel, John sees the names of the twelve tribes of Israel on the gates of the City (Ezek. 48:31-34, Rev. 21:12).</w:t>
      </w:r>
    </w:p>
    <w:p w14:paraId="3FBCC7B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像以西结一样，约翰看到以色列十二个支派的名字在城的门上 (结 48:31-34, 启 21:12)。</w:t>
      </w:r>
    </w:p>
    <w:p w14:paraId="130A54C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32E1AA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However, John also sees the names of the twelve apostles written on the foundation stones of the City walls (Rev. 21:14).</w:t>
      </w:r>
    </w:p>
    <w:p w14:paraId="0099CF7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然而，约翰也看到十二使徒的名字写在城墙的根基上 (启 21:14)。</w:t>
      </w:r>
    </w:p>
    <w:p w14:paraId="75F5071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01FE96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beautiful symbolism confirms two crucial NT truths: The City is the Church, the antitype of OT Jerusalem; and the Church—comprised of all God’s saints, both OT and New—is the one true eternal habitation of God, built upon the foundation of Christ’s holy apostles and prophets, Christ Jesus himself being the chief cornerstone (Gal. 4:26, Eph. 2:20).</w:t>
      </w:r>
    </w:p>
    <w:p w14:paraId="6A18153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个美丽的象征主义证实了两个关键的新约真理：那城是教会，是旧约耶路撒冷的预表实体；而教会——由所有神的圣徒，包括旧约和新约的圣徒组成——是神唯一真实永恒的居所，建立在基督的圣使徒和先知的根基上，基督耶稣自己为房角石 (加 4:26, 弗 2:20)。</w:t>
      </w:r>
    </w:p>
    <w:p w14:paraId="5BF3B4FC">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07FE21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Ezekiel, then, beheld the Church, but he could not yet behold the foundation of the Church, God having foreseen something better, such that the OT prophet(s) could not be made complete apart from the NT saints (Heb. 11:39-40).</w:t>
      </w:r>
    </w:p>
    <w:p w14:paraId="72AF36F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那么，以西结看见了教会，但他还不能看见教会的根基，因为神预备了一件更美的事，叫旧约的先知若不与新约的圣徒同得，就不能完全 (来 11:39-40)。</w:t>
      </w:r>
    </w:p>
    <w:p w14:paraId="4D4109B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1F41B4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Like Ezekiel, John hears that no foreigners can enter God’s sanctuary (Ezek. 44:9, Rev. 21:27).</w:t>
      </w:r>
    </w:p>
    <w:p w14:paraId="1C3429C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像以西结一样，约翰听说没有外邦人能进入神的圣所 (结 44:9, 启 21:27)。</w:t>
      </w:r>
    </w:p>
    <w:p w14:paraId="36B5F15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848039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In John’s case, however, the meaning of “foreigners” finally becomes clear: They are (willful) strangers to God’s Covenant of Grace, which, in NT times, was offered in Christ; having spurned it, they remain in their sins, under judgment, outside the City (Rev. 22:10-15).</w:t>
      </w:r>
    </w:p>
    <w:p w14:paraId="499267B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然而，在约翰的情况中，“外邦人”的含义最终变得清晰：他们是（故意）对神的恩典之约陌生的人，这约在新约时代是在基督里提供的；他们弃绝了它，便仍在自己的罪中，在审判之下，在城外 (启 22:10-15)。</w:t>
      </w:r>
    </w:p>
    <w:p w14:paraId="750EB74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9998C69">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Finally, like Ezekiel, John saw the River of the Water of Life flowing from the throne of God; and on either side of the River, trees bearing fruit for food and leaves for healing (Ezek. 47:1, 7, 12; Rev. 22:1-2).</w:t>
      </w:r>
    </w:p>
    <w:p w14:paraId="5889FAC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最后，像以西结一样，约翰看见生命水的河从神的宝座流出来；在河的两边，有结出果子供食物、叶子可医治的树 (结 47:1, 7, 12; 启 22:1-2)。</w:t>
      </w:r>
    </w:p>
    <w:p w14:paraId="43617954">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7D05CAF">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John, however, sees much more, and much to illumine the true meaning of Ezekiel’s vision.</w:t>
      </w:r>
    </w:p>
    <w:p w14:paraId="07409CB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然而，约翰看到了更多，而且很多东西都阐明了以西结异象的真正含义。</w:t>
      </w:r>
    </w:p>
    <w:p w14:paraId="6EF2BC1A">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4AC1476">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For example, he beholds the water flowing from the throne of God and of the Lamb (22:1).</w:t>
      </w:r>
    </w:p>
    <w:p w14:paraId="5DE553B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例如，他看见水从神和羔羊的宝座流出来 (22:1)。</w:t>
      </w:r>
    </w:p>
    <w:p w14:paraId="6D94291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DB7026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This confirms that the water does indeed represent the Holy Spirit, whom God, in both stages of the Kingdom, pours out richly upon his people (and his new creation) through Christ (Acts 2:33, Titus 3:6).</w:t>
      </w:r>
    </w:p>
    <w:p w14:paraId="31B589DB">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这证实了水确实代表圣灵，神在国度的两个阶段中，都通过基督将圣灵丰丰富富地浇灌在祂的子民（和祂的新创造）身上 (徒 2:33, 多 3:6)。</w:t>
      </w:r>
    </w:p>
    <w:p w14:paraId="71D4854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6B73FCE">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Very importantly, John also identifies the trees as the Tree of Life (22:2).</w:t>
      </w:r>
    </w:p>
    <w:p w14:paraId="159026E8">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非常重要的是，约翰还将这些树认定为生命树 (22:2)。</w:t>
      </w:r>
    </w:p>
    <w:p w14:paraId="6E79578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C9417C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The message here, aptly situated at the end of the NT canon, is that through the Last Adam—the One who perfectly fulfilled the Covenant of Works in behalf of his people—the saints have returned to Paradise; indeed, they now enjoy Eternal Life in all its fullness, the same Life offered to man in Eden, but forfeited when the First Adam fell into sin.</w:t>
      </w:r>
    </w:p>
    <w:p w14:paraId="539FAA5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这里的信息，恰当地位于新约正典的末尾，是说通过末后的亚当——那位为祂的子民完美地履行了行为之约的主——圣徒们已经回到了乐园；的确，他们现在享受着完全丰盛的永生，就是在伊甸园提供给人类，但因首先的亚当堕入罪中而丧失的生命。</w:t>
      </w:r>
    </w:p>
    <w:p w14:paraId="70F84DE7">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142B4C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To all eternity, the twelve crops of fruit—emblematic of the divine life of Christ bestowed because of his fruitful Work—will sustain God’s people; to all eternity the leaves of the Tree—emblematic of the restorative power of Christ’s life and work—will bring ever-increasing wholeness to the nations of the saints (Rev. 22:2).</w:t>
      </w:r>
    </w:p>
    <w:p w14:paraId="2B668E1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直到永远，那十二样果子——象征着因基督丰硕的圣工而赐下的神圣生命——将供养神的子民；直到永远，那树的叶子——象征着基督生命和工作的恢复大能——将为圣徒的万民带来不断增长的完整 (启 22:2)。</w:t>
      </w:r>
    </w:p>
    <w:p w14:paraId="3B3DBAB2">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D83BFD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We conclude, then, that the Revelation is indeed a precious resource for opening up the meaning of Ezekiel’s Oracle of Good News, and of OTKP in general.</w:t>
      </w:r>
    </w:p>
    <w:p w14:paraId="29B3D065">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因此，我们得出结论，启示录确实是揭示以西结福音神谕以及一般旧约关键预言意义的宝贵资源。</w:t>
      </w:r>
    </w:p>
    <w:p w14:paraId="4F9DBA8D">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C903361">
      <w:pPr>
        <w:pStyle w:val="9"/>
        <w:spacing w:after="0" w:line="249" w:lineRule="auto"/>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However, that usefulness is useful only to those who are well established in NT eschatology and the NCH, both of which the Revelation presupposes and abundantly confirms.</w:t>
      </w:r>
    </w:p>
    <w:p w14:paraId="1BA9A46A">
      <w:pPr>
        <w:pStyle w:val="9"/>
        <w:spacing w:after="0" w:line="249" w:lineRule="auto"/>
        <w:rPr>
          <w:b w:val="0"/>
          <w:bCs w:val="0"/>
        </w:rPr>
        <w:sectPr>
          <w:pgSz w:w="12240" w:h="15840"/>
          <w:pgMar w:top="1380" w:right="1440" w:bottom="280" w:left="1440" w:header="720" w:footer="720" w:gutter="0"/>
          <w:cols w:space="720" w:num="1"/>
        </w:sectPr>
      </w:pPr>
      <w:r>
        <w:rPr>
          <w:rFonts w:hint="default" w:ascii="Times New Roman" w:hAnsi="Times New Roman" w:eastAsia="Times New Roman" w:cs="Times New Roman"/>
          <w:b w:val="0"/>
          <w:bCs w:val="0"/>
          <w:i w:val="0"/>
          <w:iCs w:val="0"/>
          <w:color w:val="231F20"/>
          <w:spacing w:val="0"/>
          <w:w w:val="100"/>
          <w:sz w:val="30"/>
          <w:szCs w:val="30"/>
          <w:lang w:val="en-US" w:eastAsia="en-US" w:bidi="ar-SA"/>
        </w:rPr>
        <w:t>然而，这种用处只有对那些在新约末世论和新约解释学（NCH）方面根基稳固的人才有用，而启示录既预设了这两者，又丰丰富富地证实了它们。</w:t>
      </w:r>
    </w:p>
    <w:p w14:paraId="7C2945A1">
      <w:pPr>
        <w:pStyle w:val="9"/>
        <w:spacing w:before="11"/>
        <w:ind w:left="0"/>
        <w:jc w:val="left"/>
        <w:rPr>
          <w:rFonts w:hint="eastAsia"/>
          <w:sz w:val="30"/>
          <w:szCs w:val="30"/>
        </w:rPr>
      </w:pPr>
      <w:bookmarkStart w:id="46" w:name="_bookmark92"/>
      <w:bookmarkEnd w:id="46"/>
    </w:p>
    <w:p w14:paraId="728DDD9E">
      <w:pPr>
        <w:pStyle w:val="2"/>
        <w:bidi w:val="0"/>
        <w:rPr>
          <w:rFonts w:hint="eastAsia"/>
        </w:rPr>
      </w:pPr>
      <w:r>
        <w:rPr>
          <w:rFonts w:hint="eastAsia"/>
        </w:rPr>
        <w:t>Chapter 17</w:t>
      </w:r>
    </w:p>
    <w:p w14:paraId="159A99FE">
      <w:pPr>
        <w:pStyle w:val="2"/>
        <w:bidi w:val="0"/>
        <w:rPr>
          <w:rFonts w:hint="eastAsia"/>
        </w:rPr>
      </w:pPr>
      <w:r>
        <w:rPr>
          <w:rFonts w:hint="eastAsia"/>
        </w:rPr>
        <w:t>第17章</w:t>
      </w:r>
    </w:p>
    <w:p w14:paraId="50FE95A3">
      <w:pPr>
        <w:pStyle w:val="9"/>
        <w:spacing w:before="11"/>
        <w:ind w:left="0"/>
        <w:jc w:val="left"/>
        <w:rPr>
          <w:rFonts w:hint="eastAsia"/>
          <w:sz w:val="30"/>
          <w:szCs w:val="30"/>
        </w:rPr>
      </w:pPr>
    </w:p>
    <w:p w14:paraId="0D0C9B34">
      <w:pPr>
        <w:pStyle w:val="9"/>
        <w:spacing w:before="11"/>
        <w:ind w:left="0"/>
        <w:jc w:val="left"/>
        <w:rPr>
          <w:rFonts w:hint="eastAsia"/>
          <w:sz w:val="30"/>
          <w:szCs w:val="30"/>
        </w:rPr>
      </w:pPr>
      <w:r>
        <w:rPr>
          <w:rFonts w:hint="eastAsia"/>
          <w:sz w:val="30"/>
          <w:szCs w:val="30"/>
        </w:rPr>
        <w:t>OT Kingdom Prophecies Considered: Ezekiel</w:t>
      </w:r>
    </w:p>
    <w:p w14:paraId="78B17ECE">
      <w:pPr>
        <w:pStyle w:val="9"/>
        <w:spacing w:before="11"/>
        <w:ind w:left="0"/>
        <w:jc w:val="left"/>
        <w:rPr>
          <w:rFonts w:hint="eastAsia"/>
          <w:sz w:val="30"/>
          <w:szCs w:val="30"/>
        </w:rPr>
      </w:pPr>
      <w:r>
        <w:rPr>
          <w:rFonts w:hint="eastAsia"/>
          <w:sz w:val="30"/>
          <w:szCs w:val="30"/>
        </w:rPr>
        <w:t>旧约国度预言探讨：以西结书</w:t>
      </w:r>
    </w:p>
    <w:p w14:paraId="5F5958C1">
      <w:pPr>
        <w:pStyle w:val="9"/>
        <w:spacing w:before="11"/>
        <w:ind w:left="0"/>
        <w:jc w:val="left"/>
        <w:rPr>
          <w:rFonts w:hint="eastAsia"/>
          <w:sz w:val="30"/>
          <w:szCs w:val="30"/>
        </w:rPr>
      </w:pPr>
    </w:p>
    <w:p w14:paraId="16C0B3F0">
      <w:pPr>
        <w:pStyle w:val="9"/>
        <w:spacing w:before="11"/>
        <w:ind w:left="0"/>
        <w:jc w:val="left"/>
        <w:rPr>
          <w:rFonts w:hint="eastAsia"/>
          <w:sz w:val="30"/>
          <w:szCs w:val="30"/>
        </w:rPr>
      </w:pPr>
      <w:r>
        <w:rPr>
          <w:rFonts w:hint="eastAsia"/>
          <w:sz w:val="30"/>
          <w:szCs w:val="30"/>
        </w:rPr>
        <w:t>OT Kingdom Prophecies Considered: Daniel</w:t>
      </w:r>
    </w:p>
    <w:p w14:paraId="47502B1C">
      <w:pPr>
        <w:pStyle w:val="9"/>
        <w:spacing w:before="11"/>
        <w:ind w:left="0"/>
        <w:jc w:val="left"/>
        <w:rPr>
          <w:rFonts w:hint="eastAsia"/>
          <w:sz w:val="30"/>
          <w:szCs w:val="30"/>
        </w:rPr>
      </w:pPr>
      <w:r>
        <w:rPr>
          <w:rFonts w:hint="eastAsia"/>
          <w:sz w:val="30"/>
          <w:szCs w:val="30"/>
        </w:rPr>
        <w:t>旧约国度预言探讨：但以理书</w:t>
      </w:r>
    </w:p>
    <w:p w14:paraId="1B75E97E">
      <w:pPr>
        <w:pStyle w:val="9"/>
        <w:spacing w:before="11"/>
        <w:ind w:left="0"/>
        <w:jc w:val="left"/>
        <w:rPr>
          <w:rFonts w:hint="eastAsia"/>
          <w:sz w:val="30"/>
          <w:szCs w:val="30"/>
        </w:rPr>
      </w:pPr>
    </w:p>
    <w:p w14:paraId="698F81F2">
      <w:pPr>
        <w:pStyle w:val="9"/>
        <w:spacing w:before="11"/>
        <w:ind w:left="0"/>
        <w:jc w:val="left"/>
        <w:rPr>
          <w:rFonts w:hint="eastAsia"/>
          <w:sz w:val="30"/>
          <w:szCs w:val="30"/>
        </w:rPr>
      </w:pPr>
      <w:r>
        <w:rPr>
          <w:rFonts w:hint="eastAsia"/>
          <w:sz w:val="30"/>
          <w:szCs w:val="30"/>
        </w:rPr>
        <w:t>IN THIS CHAPTER we turn our attention to the second great prophet of the exile, Daniel.</w:t>
      </w:r>
    </w:p>
    <w:p w14:paraId="2506A9B6">
      <w:pPr>
        <w:pStyle w:val="9"/>
        <w:spacing w:before="11"/>
        <w:ind w:left="0"/>
        <w:jc w:val="left"/>
        <w:rPr>
          <w:rFonts w:hint="eastAsia"/>
          <w:sz w:val="30"/>
          <w:szCs w:val="30"/>
        </w:rPr>
      </w:pPr>
      <w:r>
        <w:rPr>
          <w:rFonts w:hint="eastAsia"/>
          <w:sz w:val="30"/>
          <w:szCs w:val="30"/>
        </w:rPr>
        <w:t>在本章中，我们将注意力转向第二位伟大的被掳先知，但以理。</w:t>
      </w:r>
    </w:p>
    <w:p w14:paraId="61966AC3">
      <w:pPr>
        <w:pStyle w:val="9"/>
        <w:spacing w:before="11"/>
        <w:ind w:left="0"/>
        <w:jc w:val="left"/>
        <w:rPr>
          <w:rFonts w:hint="eastAsia"/>
          <w:sz w:val="30"/>
          <w:szCs w:val="30"/>
        </w:rPr>
      </w:pPr>
    </w:p>
    <w:p w14:paraId="2613AA22">
      <w:pPr>
        <w:pStyle w:val="9"/>
        <w:spacing w:before="11"/>
        <w:ind w:left="0"/>
        <w:jc w:val="left"/>
        <w:rPr>
          <w:rFonts w:hint="eastAsia"/>
          <w:sz w:val="30"/>
          <w:szCs w:val="30"/>
        </w:rPr>
      </w:pPr>
      <w:r>
        <w:rPr>
          <w:rFonts w:hint="eastAsia"/>
          <w:sz w:val="30"/>
          <w:szCs w:val="30"/>
        </w:rPr>
        <w:t>As in the case of Ezekiel, so here: There are some things that are hard to understand, things that have therefore become controversial.</w:t>
      </w:r>
    </w:p>
    <w:p w14:paraId="67F94C98">
      <w:pPr>
        <w:pStyle w:val="9"/>
        <w:spacing w:before="11"/>
        <w:ind w:left="0"/>
        <w:jc w:val="left"/>
        <w:rPr>
          <w:rFonts w:hint="eastAsia"/>
          <w:sz w:val="30"/>
          <w:szCs w:val="30"/>
        </w:rPr>
      </w:pPr>
      <w:r>
        <w:rPr>
          <w:rFonts w:hint="eastAsia"/>
          <w:sz w:val="30"/>
          <w:szCs w:val="30"/>
        </w:rPr>
        <w:t>与以西结书的情况一样，这里也是如此：有些事情难以理解，因此变得富有争议。</w:t>
      </w:r>
    </w:p>
    <w:p w14:paraId="2D617D87">
      <w:pPr>
        <w:pStyle w:val="9"/>
        <w:spacing w:before="11"/>
        <w:ind w:left="0"/>
        <w:jc w:val="left"/>
        <w:rPr>
          <w:rFonts w:hint="eastAsia"/>
          <w:sz w:val="30"/>
          <w:szCs w:val="30"/>
        </w:rPr>
      </w:pPr>
    </w:p>
    <w:p w14:paraId="31C1EBA6">
      <w:pPr>
        <w:pStyle w:val="9"/>
        <w:spacing w:before="11"/>
        <w:ind w:left="0"/>
        <w:jc w:val="left"/>
        <w:rPr>
          <w:rFonts w:hint="eastAsia"/>
          <w:sz w:val="30"/>
          <w:szCs w:val="30"/>
        </w:rPr>
      </w:pPr>
      <w:r>
        <w:rPr>
          <w:rFonts w:hint="eastAsia"/>
          <w:sz w:val="30"/>
          <w:szCs w:val="30"/>
        </w:rPr>
        <w:t>However, with Christ and the apostles at our side, I trust we shall find ourselves well able to close in on the true meaning of these precious and beloved OT prophecies of the Kingdom of God.</w:t>
      </w:r>
    </w:p>
    <w:p w14:paraId="070329D0">
      <w:pPr>
        <w:pStyle w:val="9"/>
        <w:spacing w:before="11"/>
        <w:ind w:left="0"/>
        <w:jc w:val="left"/>
        <w:rPr>
          <w:rFonts w:hint="eastAsia"/>
          <w:sz w:val="30"/>
          <w:szCs w:val="30"/>
        </w:rPr>
      </w:pPr>
      <w:r>
        <w:rPr>
          <w:rFonts w:hint="eastAsia"/>
          <w:sz w:val="30"/>
          <w:szCs w:val="30"/>
        </w:rPr>
        <w:t>然而，有基督和使徒们在我们身边，我相信我们将能很好地接近这些关于神国度的宝贵而受人喜爱的旧约预言的真正含义。</w:t>
      </w:r>
    </w:p>
    <w:p w14:paraId="0C6F8758">
      <w:pPr>
        <w:pStyle w:val="9"/>
        <w:spacing w:before="11"/>
        <w:ind w:left="0"/>
        <w:jc w:val="left"/>
        <w:rPr>
          <w:rFonts w:hint="eastAsia"/>
          <w:sz w:val="30"/>
          <w:szCs w:val="30"/>
        </w:rPr>
      </w:pPr>
    </w:p>
    <w:p w14:paraId="025E6650">
      <w:pPr>
        <w:pStyle w:val="9"/>
        <w:spacing w:before="11"/>
        <w:ind w:left="0"/>
        <w:jc w:val="left"/>
        <w:rPr>
          <w:rFonts w:hint="eastAsia"/>
          <w:sz w:val="30"/>
          <w:szCs w:val="30"/>
        </w:rPr>
      </w:pPr>
      <w:r>
        <w:rPr>
          <w:rFonts w:hint="eastAsia"/>
          <w:sz w:val="30"/>
          <w:szCs w:val="30"/>
        </w:rPr>
        <w:t>1.The Triumph of the Kingdom</w:t>
      </w:r>
    </w:p>
    <w:p w14:paraId="540CBB09">
      <w:pPr>
        <w:pStyle w:val="9"/>
        <w:spacing w:before="11"/>
        <w:ind w:left="0"/>
        <w:jc w:val="left"/>
        <w:rPr>
          <w:rFonts w:hint="eastAsia"/>
          <w:sz w:val="30"/>
          <w:szCs w:val="30"/>
        </w:rPr>
      </w:pPr>
      <w:r>
        <w:rPr>
          <w:rFonts w:hint="eastAsia"/>
          <w:sz w:val="30"/>
          <w:szCs w:val="30"/>
        </w:rPr>
        <w:t>(Daniel 7)</w:t>
      </w:r>
    </w:p>
    <w:p w14:paraId="40739FCE">
      <w:pPr>
        <w:pStyle w:val="9"/>
        <w:spacing w:before="11"/>
        <w:ind w:left="0"/>
        <w:jc w:val="left"/>
        <w:rPr>
          <w:rFonts w:hint="eastAsia"/>
          <w:sz w:val="30"/>
          <w:szCs w:val="30"/>
        </w:rPr>
      </w:pPr>
      <w:r>
        <w:rPr>
          <w:rFonts w:hint="eastAsia"/>
          <w:sz w:val="30"/>
          <w:szCs w:val="30"/>
        </w:rPr>
        <w:t>1. 国度的得胜</w:t>
      </w:r>
    </w:p>
    <w:p w14:paraId="120BFB9D">
      <w:pPr>
        <w:pStyle w:val="9"/>
        <w:spacing w:before="11"/>
        <w:ind w:left="0"/>
        <w:jc w:val="left"/>
        <w:rPr>
          <w:rFonts w:hint="eastAsia"/>
          <w:sz w:val="30"/>
          <w:szCs w:val="30"/>
        </w:rPr>
      </w:pPr>
      <w:r>
        <w:rPr>
          <w:rFonts w:hint="eastAsia"/>
          <w:sz w:val="30"/>
          <w:szCs w:val="30"/>
        </w:rPr>
        <w:t>(但以理书第7章)</w:t>
      </w:r>
    </w:p>
    <w:p w14:paraId="2CF0E71F">
      <w:pPr>
        <w:pStyle w:val="9"/>
        <w:spacing w:before="11"/>
        <w:ind w:left="0"/>
        <w:jc w:val="left"/>
        <w:rPr>
          <w:rFonts w:hint="eastAsia"/>
          <w:sz w:val="30"/>
          <w:szCs w:val="30"/>
        </w:rPr>
      </w:pPr>
    </w:p>
    <w:p w14:paraId="12097451">
      <w:pPr>
        <w:pStyle w:val="9"/>
        <w:spacing w:before="11"/>
        <w:ind w:left="0"/>
        <w:jc w:val="left"/>
        <w:rPr>
          <w:rFonts w:hint="eastAsia"/>
          <w:sz w:val="30"/>
          <w:szCs w:val="30"/>
        </w:rPr>
      </w:pPr>
      <w:r>
        <w:rPr>
          <w:rFonts w:hint="eastAsia"/>
          <w:sz w:val="30"/>
          <w:szCs w:val="30"/>
        </w:rPr>
        <w:t>The apocalyptic vision here under consideration is one of a number found in the book of Daniel in which we behold the course, conflict, and climax of Salvation History from the time of the Babylonian Empire until the coming of the Kingdom of God in its glorious fullness at the end of the age (Dan. 2, 7, 9, 11, 12).</w:t>
      </w:r>
    </w:p>
    <w:p w14:paraId="2C7F7605">
      <w:pPr>
        <w:pStyle w:val="9"/>
        <w:spacing w:before="11"/>
        <w:ind w:left="0"/>
        <w:jc w:val="left"/>
        <w:rPr>
          <w:rFonts w:hint="eastAsia"/>
          <w:sz w:val="30"/>
          <w:szCs w:val="30"/>
        </w:rPr>
      </w:pPr>
      <w:r>
        <w:rPr>
          <w:rFonts w:hint="eastAsia"/>
          <w:sz w:val="30"/>
          <w:szCs w:val="30"/>
        </w:rPr>
        <w:t>我们在此探讨的启示性异象，是但以理书中所见的众多异象之一，在其中我们看到救赎历史从巴比伦帝国时期直到世代末了神国度以其荣耀的丰满降临为止的进程、冲突和高潮 (但 2, 7, 9, 11, 12)。</w:t>
      </w:r>
    </w:p>
    <w:p w14:paraId="02DE60B3">
      <w:pPr>
        <w:pStyle w:val="9"/>
        <w:spacing w:before="11"/>
        <w:ind w:left="0"/>
        <w:jc w:val="left"/>
        <w:rPr>
          <w:rFonts w:hint="eastAsia"/>
          <w:sz w:val="30"/>
          <w:szCs w:val="30"/>
        </w:rPr>
      </w:pPr>
    </w:p>
    <w:p w14:paraId="1FFC5074">
      <w:pPr>
        <w:pStyle w:val="9"/>
        <w:spacing w:before="11"/>
        <w:ind w:left="0"/>
        <w:jc w:val="left"/>
        <w:rPr>
          <w:rFonts w:hint="eastAsia"/>
          <w:sz w:val="30"/>
          <w:szCs w:val="30"/>
        </w:rPr>
      </w:pPr>
      <w:r>
        <w:rPr>
          <w:rFonts w:hint="eastAsia"/>
          <w:sz w:val="30"/>
          <w:szCs w:val="30"/>
        </w:rPr>
        <w:t>The purpose of these visions is clear: to give God’s suffering people hope.</w:t>
      </w:r>
    </w:p>
    <w:p w14:paraId="4D36B825">
      <w:pPr>
        <w:pStyle w:val="9"/>
        <w:spacing w:before="11"/>
        <w:ind w:left="0"/>
        <w:jc w:val="left"/>
        <w:rPr>
          <w:rFonts w:hint="eastAsia"/>
          <w:sz w:val="30"/>
          <w:szCs w:val="30"/>
        </w:rPr>
      </w:pPr>
      <w:r>
        <w:rPr>
          <w:rFonts w:hint="eastAsia"/>
          <w:sz w:val="30"/>
          <w:szCs w:val="30"/>
        </w:rPr>
        <w:t>这些异象的目的是明确的：给予神受苦的子民盼望。</w:t>
      </w:r>
    </w:p>
    <w:p w14:paraId="5C13BCE0">
      <w:pPr>
        <w:pStyle w:val="9"/>
        <w:spacing w:before="11"/>
        <w:ind w:left="0"/>
        <w:jc w:val="left"/>
        <w:rPr>
          <w:rFonts w:hint="eastAsia"/>
          <w:sz w:val="30"/>
          <w:szCs w:val="30"/>
        </w:rPr>
      </w:pPr>
    </w:p>
    <w:p w14:paraId="7D1B384B">
      <w:pPr>
        <w:pStyle w:val="9"/>
        <w:spacing w:before="11"/>
        <w:ind w:left="0"/>
        <w:jc w:val="left"/>
        <w:rPr>
          <w:rFonts w:hint="eastAsia"/>
          <w:sz w:val="30"/>
          <w:szCs w:val="30"/>
        </w:rPr>
      </w:pPr>
      <w:r>
        <w:rPr>
          <w:rFonts w:hint="eastAsia"/>
          <w:sz w:val="30"/>
          <w:szCs w:val="30"/>
        </w:rPr>
        <w:t>The method is also clear: to impart hope by means of repeated symbolic representations of God’s absolute sovereignty over history, the necessity—and brevity—of holy suffering on the part of his saints, the final overthrow of his (and his people’s) enemies, and the final rescue, restoration, and vindication of the saints on the Day of Judgment, when the Kingdom of God appears in its fullness, triumphing once and for all over the evil kingdoms of this fallen world.</w:t>
      </w:r>
    </w:p>
    <w:p w14:paraId="66D591F9">
      <w:pPr>
        <w:pStyle w:val="9"/>
        <w:spacing w:before="11"/>
        <w:ind w:left="0"/>
        <w:jc w:val="left"/>
        <w:rPr>
          <w:rFonts w:hint="eastAsia"/>
          <w:sz w:val="30"/>
          <w:szCs w:val="30"/>
        </w:rPr>
      </w:pPr>
      <w:r>
        <w:rPr>
          <w:rFonts w:hint="eastAsia"/>
          <w:sz w:val="30"/>
          <w:szCs w:val="30"/>
        </w:rPr>
        <w:t>方法也是明确的：通过反复使用象征性的表述，来传递盼望，这些表述关乎神对历史的绝对主权，关乎祂圣徒圣洁受苦的必要性——及其短暂性，关乎祂（和祂子民）的仇敌最终被推翻，以及在审判日圣徒最终的拯救、恢复和辩白，那时神的国度将以其丰满显现，一劳永逸地战胜这个堕落世界的邪恶国度。</w:t>
      </w:r>
    </w:p>
    <w:p w14:paraId="6DAC7E7A">
      <w:pPr>
        <w:pStyle w:val="9"/>
        <w:spacing w:before="11"/>
        <w:ind w:left="0"/>
        <w:jc w:val="left"/>
        <w:rPr>
          <w:rFonts w:hint="eastAsia"/>
          <w:sz w:val="30"/>
          <w:szCs w:val="30"/>
        </w:rPr>
      </w:pPr>
    </w:p>
    <w:p w14:paraId="3B1732ED">
      <w:pPr>
        <w:pStyle w:val="9"/>
        <w:spacing w:before="11"/>
        <w:ind w:left="0"/>
        <w:jc w:val="left"/>
        <w:rPr>
          <w:rFonts w:hint="eastAsia"/>
          <w:sz w:val="30"/>
          <w:szCs w:val="30"/>
        </w:rPr>
      </w:pPr>
      <w:r>
        <w:rPr>
          <w:rFonts w:hint="eastAsia"/>
          <w:sz w:val="30"/>
          <w:szCs w:val="30"/>
        </w:rPr>
        <w:t>Needless to say, these prophecies are of great eschatological importance.</w:t>
      </w:r>
    </w:p>
    <w:p w14:paraId="7E2775DB">
      <w:pPr>
        <w:pStyle w:val="9"/>
        <w:spacing w:before="11"/>
        <w:ind w:left="0"/>
        <w:jc w:val="left"/>
        <w:rPr>
          <w:rFonts w:hint="eastAsia"/>
          <w:sz w:val="30"/>
          <w:szCs w:val="30"/>
        </w:rPr>
      </w:pPr>
      <w:r>
        <w:rPr>
          <w:rFonts w:hint="eastAsia"/>
          <w:sz w:val="30"/>
          <w:szCs w:val="30"/>
        </w:rPr>
        <w:t>不言而喻，这些预言具有重大的末世论意义。</w:t>
      </w:r>
    </w:p>
    <w:p w14:paraId="237CB8F4">
      <w:pPr>
        <w:pStyle w:val="9"/>
        <w:spacing w:before="11"/>
        <w:ind w:left="0"/>
        <w:jc w:val="left"/>
        <w:rPr>
          <w:rFonts w:hint="eastAsia"/>
          <w:sz w:val="30"/>
          <w:szCs w:val="30"/>
        </w:rPr>
      </w:pPr>
    </w:p>
    <w:p w14:paraId="392B3DD5">
      <w:pPr>
        <w:pStyle w:val="9"/>
        <w:spacing w:before="11"/>
        <w:ind w:left="0"/>
        <w:jc w:val="left"/>
        <w:rPr>
          <w:rFonts w:hint="eastAsia"/>
          <w:sz w:val="30"/>
          <w:szCs w:val="30"/>
        </w:rPr>
      </w:pPr>
      <w:r>
        <w:rPr>
          <w:rFonts w:hint="eastAsia"/>
          <w:sz w:val="30"/>
          <w:szCs w:val="30"/>
        </w:rPr>
        <w:t>But given the nuance and complexity of the symbolism involved, how are we to interpret them with confidence?</w:t>
      </w:r>
    </w:p>
    <w:p w14:paraId="0C341997">
      <w:pPr>
        <w:pStyle w:val="9"/>
        <w:spacing w:before="11"/>
        <w:ind w:left="0"/>
        <w:jc w:val="left"/>
        <w:rPr>
          <w:rFonts w:hint="eastAsia"/>
          <w:sz w:val="30"/>
          <w:szCs w:val="30"/>
        </w:rPr>
      </w:pPr>
      <w:r>
        <w:rPr>
          <w:rFonts w:hint="eastAsia"/>
          <w:sz w:val="30"/>
          <w:szCs w:val="30"/>
        </w:rPr>
        <w:t>但鉴于其中所涉象征主义的细微之处和复杂性，我们如何才能满怀信心地解释它们呢？</w:t>
      </w:r>
    </w:p>
    <w:p w14:paraId="5794D88B">
      <w:pPr>
        <w:pStyle w:val="9"/>
        <w:spacing w:before="11"/>
        <w:ind w:left="0"/>
        <w:jc w:val="left"/>
        <w:rPr>
          <w:rFonts w:hint="eastAsia"/>
          <w:sz w:val="30"/>
          <w:szCs w:val="30"/>
        </w:rPr>
      </w:pPr>
    </w:p>
    <w:p w14:paraId="7677EA76">
      <w:pPr>
        <w:pStyle w:val="9"/>
        <w:spacing w:before="11"/>
        <w:ind w:left="0"/>
        <w:jc w:val="left"/>
        <w:rPr>
          <w:rFonts w:hint="eastAsia"/>
          <w:sz w:val="30"/>
          <w:szCs w:val="30"/>
        </w:rPr>
      </w:pPr>
      <w:r>
        <w:rPr>
          <w:rFonts w:hint="eastAsia"/>
          <w:sz w:val="30"/>
          <w:szCs w:val="30"/>
        </w:rPr>
        <w:t>Again, the answer is found in the NCH.</w:t>
      </w:r>
    </w:p>
    <w:p w14:paraId="150D5F18">
      <w:pPr>
        <w:pStyle w:val="9"/>
        <w:spacing w:before="11"/>
        <w:ind w:left="0"/>
        <w:jc w:val="left"/>
        <w:rPr>
          <w:rFonts w:hint="eastAsia"/>
          <w:sz w:val="30"/>
          <w:szCs w:val="30"/>
        </w:rPr>
      </w:pPr>
      <w:r>
        <w:rPr>
          <w:rFonts w:hint="eastAsia"/>
          <w:sz w:val="30"/>
          <w:szCs w:val="30"/>
        </w:rPr>
        <w:t>再次，答案在新约解释学（NCH）中可以找到。</w:t>
      </w:r>
    </w:p>
    <w:p w14:paraId="7E33B2E8">
      <w:pPr>
        <w:pStyle w:val="9"/>
        <w:spacing w:before="11"/>
        <w:ind w:left="0"/>
        <w:jc w:val="left"/>
        <w:rPr>
          <w:rFonts w:hint="eastAsia"/>
          <w:sz w:val="30"/>
          <w:szCs w:val="30"/>
        </w:rPr>
      </w:pPr>
    </w:p>
    <w:p w14:paraId="40E3A628">
      <w:pPr>
        <w:pStyle w:val="9"/>
        <w:spacing w:before="11"/>
        <w:ind w:left="0"/>
        <w:jc w:val="left"/>
        <w:rPr>
          <w:rFonts w:hint="eastAsia"/>
          <w:sz w:val="30"/>
          <w:szCs w:val="30"/>
        </w:rPr>
      </w:pPr>
      <w:r>
        <w:rPr>
          <w:rFonts w:hint="eastAsia"/>
          <w:sz w:val="30"/>
          <w:szCs w:val="30"/>
        </w:rPr>
        <w:t>We will approach these daunting OT visions with confidence only when we realize that the NCH alone is able to open them up; indeed, when we realize that our Lord meant it to open them up, so that we, his NT people, more even than his Old, might walk with clarity, boldness, and joy through great tribulation, even to the end of the Age.</w:t>
      </w:r>
    </w:p>
    <w:p w14:paraId="0C85C2FF">
      <w:pPr>
        <w:pStyle w:val="9"/>
        <w:spacing w:before="11"/>
        <w:ind w:left="0"/>
        <w:jc w:val="left"/>
        <w:rPr>
          <w:rFonts w:hint="eastAsia"/>
          <w:sz w:val="30"/>
          <w:szCs w:val="30"/>
        </w:rPr>
      </w:pPr>
      <w:r>
        <w:rPr>
          <w:rFonts w:hint="eastAsia"/>
          <w:sz w:val="30"/>
          <w:szCs w:val="30"/>
        </w:rPr>
        <w:t>只有当我们认识到唯有新约解释学能够解开这些令人望而生畏的旧约异象时，我们才能满怀信心地去处理它们；的确，当我们认识到我们的主意在用它来解开这些异象，以便我们，祂的新约子民，比祂的旧约子民更能，在经历大患难时，带着清晰、坦然和喜乐行走，直到世代的末了。</w:t>
      </w:r>
    </w:p>
    <w:p w14:paraId="54A70E3E">
      <w:pPr>
        <w:pStyle w:val="9"/>
        <w:spacing w:before="11"/>
        <w:ind w:left="0"/>
        <w:jc w:val="left"/>
        <w:rPr>
          <w:rFonts w:hint="eastAsia"/>
          <w:sz w:val="30"/>
          <w:szCs w:val="30"/>
        </w:rPr>
      </w:pPr>
    </w:p>
    <w:p w14:paraId="25126E16">
      <w:pPr>
        <w:pStyle w:val="9"/>
        <w:spacing w:before="11"/>
        <w:ind w:left="0"/>
        <w:jc w:val="left"/>
        <w:rPr>
          <w:rFonts w:hint="eastAsia"/>
          <w:sz w:val="30"/>
          <w:szCs w:val="30"/>
        </w:rPr>
      </w:pPr>
      <w:r>
        <w:rPr>
          <w:rFonts w:hint="eastAsia"/>
          <w:sz w:val="30"/>
          <w:szCs w:val="30"/>
        </w:rPr>
        <w:t>Let us pause, then, for a brief look at Daniel 7, and see if all this is so.</w:t>
      </w:r>
    </w:p>
    <w:p w14:paraId="015F5023">
      <w:pPr>
        <w:pStyle w:val="9"/>
        <w:spacing w:before="11"/>
        <w:ind w:left="0"/>
        <w:jc w:val="left"/>
        <w:rPr>
          <w:rFonts w:hint="eastAsia"/>
          <w:sz w:val="30"/>
          <w:szCs w:val="30"/>
        </w:rPr>
      </w:pPr>
      <w:r>
        <w:rPr>
          <w:rFonts w:hint="eastAsia"/>
          <w:sz w:val="30"/>
          <w:szCs w:val="30"/>
        </w:rPr>
        <w:t>那么，让我们暂停一下，简要地看一下但以理书第7章，看看是否果真如此。</w:t>
      </w:r>
    </w:p>
    <w:p w14:paraId="26196E33">
      <w:pPr>
        <w:pStyle w:val="9"/>
        <w:spacing w:before="11"/>
        <w:ind w:left="0"/>
        <w:jc w:val="left"/>
        <w:rPr>
          <w:rFonts w:hint="eastAsia"/>
          <w:sz w:val="30"/>
          <w:szCs w:val="30"/>
        </w:rPr>
      </w:pPr>
    </w:p>
    <w:p w14:paraId="3A320980">
      <w:pPr>
        <w:pStyle w:val="9"/>
        <w:spacing w:before="11"/>
        <w:ind w:left="0"/>
        <w:jc w:val="left"/>
        <w:rPr>
          <w:rFonts w:hint="eastAsia"/>
          <w:sz w:val="30"/>
          <w:szCs w:val="30"/>
        </w:rPr>
      </w:pPr>
      <w:r>
        <w:rPr>
          <w:rFonts w:hint="eastAsia"/>
          <w:sz w:val="30"/>
          <w:szCs w:val="30"/>
        </w:rPr>
        <w:t>In particular, let us see if the NCH manifests the deep meaning of the text, positively confirms the twofold spiritual Kingdom of NT eschatology, and enables us confidently to decide between the amillennial and premillennial interpretations of this prophecy.</w:t>
      </w:r>
    </w:p>
    <w:p w14:paraId="11B42282">
      <w:pPr>
        <w:pStyle w:val="9"/>
        <w:spacing w:before="11"/>
        <w:ind w:left="0"/>
        <w:jc w:val="left"/>
        <w:rPr>
          <w:rFonts w:hint="eastAsia"/>
          <w:sz w:val="30"/>
          <w:szCs w:val="30"/>
        </w:rPr>
      </w:pPr>
      <w:r>
        <w:rPr>
          <w:rFonts w:hint="eastAsia"/>
          <w:sz w:val="30"/>
          <w:szCs w:val="30"/>
        </w:rPr>
        <w:t>特别是，让我们看看新约解释学是否彰显了经文的深层含义，是否明确证实了新约末世论中双重属灵国度的概念，并使我们能够自信地在对此预言的无千禧年论和前千禧年论解释之间做出决定。</w:t>
      </w:r>
    </w:p>
    <w:p w14:paraId="516F543F">
      <w:pPr>
        <w:pStyle w:val="9"/>
        <w:spacing w:before="11"/>
        <w:ind w:left="0"/>
        <w:jc w:val="left"/>
        <w:rPr>
          <w:rFonts w:hint="eastAsia"/>
          <w:sz w:val="30"/>
          <w:szCs w:val="30"/>
        </w:rPr>
      </w:pPr>
    </w:p>
    <w:p w14:paraId="5983A979">
      <w:pPr>
        <w:pStyle w:val="9"/>
        <w:spacing w:before="11"/>
        <w:ind w:left="0"/>
        <w:jc w:val="left"/>
        <w:rPr>
          <w:rFonts w:hint="eastAsia"/>
          <w:sz w:val="30"/>
          <w:szCs w:val="30"/>
        </w:rPr>
      </w:pPr>
      <w:r>
        <w:rPr>
          <w:rFonts w:hint="eastAsia"/>
          <w:sz w:val="30"/>
          <w:szCs w:val="30"/>
        </w:rPr>
        <w:t>The Four Beasts (vv. 1-8)</w:t>
      </w:r>
    </w:p>
    <w:p w14:paraId="04E2A0B6">
      <w:pPr>
        <w:pStyle w:val="9"/>
        <w:spacing w:before="11"/>
        <w:ind w:left="0"/>
        <w:jc w:val="left"/>
        <w:rPr>
          <w:rFonts w:hint="eastAsia"/>
          <w:sz w:val="30"/>
          <w:szCs w:val="30"/>
        </w:rPr>
      </w:pPr>
      <w:r>
        <w:rPr>
          <w:rFonts w:hint="eastAsia"/>
          <w:sz w:val="30"/>
          <w:szCs w:val="30"/>
        </w:rPr>
        <w:t>四兽 (第1-8节)</w:t>
      </w:r>
    </w:p>
    <w:p w14:paraId="63640D3F">
      <w:pPr>
        <w:pStyle w:val="9"/>
        <w:spacing w:before="11"/>
        <w:ind w:left="0"/>
        <w:jc w:val="left"/>
        <w:rPr>
          <w:rFonts w:hint="eastAsia"/>
          <w:sz w:val="30"/>
          <w:szCs w:val="30"/>
        </w:rPr>
      </w:pPr>
    </w:p>
    <w:p w14:paraId="698C6A19">
      <w:pPr>
        <w:pStyle w:val="9"/>
        <w:spacing w:before="11"/>
        <w:ind w:left="0"/>
        <w:jc w:val="left"/>
        <w:rPr>
          <w:rFonts w:hint="eastAsia"/>
          <w:sz w:val="30"/>
          <w:szCs w:val="30"/>
        </w:rPr>
      </w:pPr>
      <w:r>
        <w:rPr>
          <w:rFonts w:hint="eastAsia"/>
          <w:sz w:val="30"/>
          <w:szCs w:val="30"/>
        </w:rPr>
        <w:t>In the first year of Belshazzar, king of Babylon, Daniel had a dream in which he beheld visions from God.</w:t>
      </w:r>
    </w:p>
    <w:p w14:paraId="7BA6B490">
      <w:pPr>
        <w:pStyle w:val="9"/>
        <w:spacing w:before="11"/>
        <w:ind w:left="0"/>
        <w:jc w:val="left"/>
        <w:rPr>
          <w:rFonts w:hint="eastAsia"/>
          <w:sz w:val="30"/>
          <w:szCs w:val="30"/>
        </w:rPr>
      </w:pPr>
      <w:r>
        <w:rPr>
          <w:rFonts w:hint="eastAsia"/>
          <w:sz w:val="30"/>
          <w:szCs w:val="30"/>
        </w:rPr>
        <w:t>巴比伦王伯沙撒元年，但以理在梦中得见从神而来的异象。</w:t>
      </w:r>
    </w:p>
    <w:p w14:paraId="7668C42E">
      <w:pPr>
        <w:pStyle w:val="9"/>
        <w:spacing w:before="11"/>
        <w:ind w:left="0"/>
        <w:jc w:val="left"/>
        <w:rPr>
          <w:rFonts w:hint="eastAsia"/>
          <w:sz w:val="30"/>
          <w:szCs w:val="30"/>
        </w:rPr>
      </w:pPr>
    </w:p>
    <w:p w14:paraId="0697B422">
      <w:pPr>
        <w:pStyle w:val="9"/>
        <w:spacing w:before="11"/>
        <w:ind w:left="0"/>
        <w:jc w:val="left"/>
        <w:rPr>
          <w:rFonts w:hint="eastAsia"/>
          <w:sz w:val="30"/>
          <w:szCs w:val="30"/>
        </w:rPr>
      </w:pPr>
      <w:r>
        <w:rPr>
          <w:rFonts w:hint="eastAsia"/>
          <w:sz w:val="30"/>
          <w:szCs w:val="30"/>
        </w:rPr>
        <w:t>In the first part of his vision he saw the four winds of heaven stir up the Great Sea in such a manner that four great and terrifying beasts rose up out of it, one after another (vv. 1-3).</w:t>
      </w:r>
    </w:p>
    <w:p w14:paraId="2FD5BE95">
      <w:pPr>
        <w:pStyle w:val="9"/>
        <w:spacing w:before="11"/>
        <w:ind w:left="0"/>
        <w:jc w:val="left"/>
        <w:rPr>
          <w:rFonts w:hint="eastAsia"/>
          <w:sz w:val="30"/>
          <w:szCs w:val="30"/>
        </w:rPr>
      </w:pPr>
      <w:r>
        <w:rPr>
          <w:rFonts w:hint="eastAsia"/>
          <w:sz w:val="30"/>
          <w:szCs w:val="30"/>
        </w:rPr>
        <w:t>在他异象的第一部分，他看见天的四风搅动大海，以至于四个巨大而可怕的兽相继从海中上来 (第1-3节)。</w:t>
      </w:r>
    </w:p>
    <w:p w14:paraId="6E372A63">
      <w:pPr>
        <w:pStyle w:val="9"/>
        <w:spacing w:before="11"/>
        <w:ind w:left="0"/>
        <w:jc w:val="left"/>
        <w:rPr>
          <w:rFonts w:hint="eastAsia"/>
          <w:sz w:val="30"/>
          <w:szCs w:val="30"/>
        </w:rPr>
      </w:pPr>
    </w:p>
    <w:p w14:paraId="50EDD24F">
      <w:pPr>
        <w:pStyle w:val="9"/>
        <w:spacing w:before="11"/>
        <w:ind w:left="0"/>
        <w:jc w:val="left"/>
        <w:rPr>
          <w:rFonts w:hint="eastAsia"/>
          <w:sz w:val="30"/>
          <w:szCs w:val="30"/>
        </w:rPr>
      </w:pPr>
      <w:r>
        <w:rPr>
          <w:rFonts w:hint="eastAsia"/>
          <w:sz w:val="30"/>
          <w:szCs w:val="30"/>
        </w:rPr>
        <w:t>The first was like a lion, the second like a bear, the third like a leopard (vv. 4-6).</w:t>
      </w:r>
    </w:p>
    <w:p w14:paraId="6D8B1AF8">
      <w:pPr>
        <w:pStyle w:val="9"/>
        <w:spacing w:before="11"/>
        <w:ind w:left="0"/>
        <w:jc w:val="left"/>
        <w:rPr>
          <w:rFonts w:hint="eastAsia"/>
          <w:sz w:val="30"/>
          <w:szCs w:val="30"/>
        </w:rPr>
      </w:pPr>
      <w:r>
        <w:rPr>
          <w:rFonts w:hint="eastAsia"/>
          <w:sz w:val="30"/>
          <w:szCs w:val="30"/>
        </w:rPr>
        <w:t>第一个像狮子，第二个像熊，第三个像豹 (第4-6节)。</w:t>
      </w:r>
    </w:p>
    <w:p w14:paraId="381006E3">
      <w:pPr>
        <w:pStyle w:val="9"/>
        <w:spacing w:before="11"/>
        <w:ind w:left="0"/>
        <w:jc w:val="left"/>
        <w:rPr>
          <w:rFonts w:hint="eastAsia"/>
          <w:sz w:val="30"/>
          <w:szCs w:val="30"/>
        </w:rPr>
      </w:pPr>
    </w:p>
    <w:p w14:paraId="70BFE0C3">
      <w:pPr>
        <w:pStyle w:val="9"/>
        <w:spacing w:before="11"/>
        <w:ind w:left="0"/>
        <w:jc w:val="left"/>
        <w:rPr>
          <w:rFonts w:hint="eastAsia"/>
          <w:sz w:val="30"/>
          <w:szCs w:val="30"/>
        </w:rPr>
      </w:pPr>
      <w:r>
        <w:rPr>
          <w:rFonts w:hint="eastAsia"/>
          <w:sz w:val="30"/>
          <w:szCs w:val="30"/>
        </w:rPr>
        <w:t>The fourth—stronger and more dreadful than the rest—was largely indescribable, though Daniel does manage to convey its strength and rapacity by mentioning its iron teeth (well suited for devouring) and its powerful feet (well suited for trampling).</w:t>
      </w:r>
    </w:p>
    <w:p w14:paraId="6B8553E8">
      <w:pPr>
        <w:pStyle w:val="9"/>
        <w:spacing w:before="11"/>
        <w:ind w:left="0"/>
        <w:jc w:val="left"/>
        <w:rPr>
          <w:rFonts w:hint="eastAsia"/>
          <w:sz w:val="30"/>
          <w:szCs w:val="30"/>
        </w:rPr>
      </w:pPr>
      <w:r>
        <w:rPr>
          <w:rFonts w:hint="eastAsia"/>
          <w:sz w:val="30"/>
          <w:szCs w:val="30"/>
        </w:rPr>
        <w:t>第四个——比其余的更强壮、更可怕——基本上难以形容，尽管但以理确实通过提及它的铁牙（非常适合吞吃）和它强有力的脚（非常适合践踏）来传达它的力量和残暴。</w:t>
      </w:r>
    </w:p>
    <w:p w14:paraId="6271E742">
      <w:pPr>
        <w:pStyle w:val="9"/>
        <w:spacing w:before="11"/>
        <w:ind w:left="0"/>
        <w:jc w:val="left"/>
        <w:rPr>
          <w:rFonts w:hint="eastAsia"/>
          <w:sz w:val="30"/>
          <w:szCs w:val="30"/>
        </w:rPr>
      </w:pPr>
    </w:p>
    <w:p w14:paraId="1C36675F">
      <w:pPr>
        <w:pStyle w:val="9"/>
        <w:spacing w:before="11"/>
        <w:ind w:left="0"/>
        <w:jc w:val="left"/>
        <w:rPr>
          <w:rFonts w:hint="eastAsia"/>
          <w:sz w:val="30"/>
          <w:szCs w:val="30"/>
        </w:rPr>
      </w:pPr>
      <w:r>
        <w:rPr>
          <w:rFonts w:hint="eastAsia"/>
          <w:sz w:val="30"/>
          <w:szCs w:val="30"/>
        </w:rPr>
        <w:t>This beast had ten horns (cf., Dan. 2:41-45).</w:t>
      </w:r>
    </w:p>
    <w:p w14:paraId="068AA377">
      <w:pPr>
        <w:pStyle w:val="9"/>
        <w:spacing w:before="11"/>
        <w:ind w:left="0"/>
        <w:jc w:val="left"/>
        <w:rPr>
          <w:rFonts w:hint="eastAsia"/>
          <w:sz w:val="30"/>
          <w:szCs w:val="30"/>
        </w:rPr>
      </w:pPr>
      <w:r>
        <w:rPr>
          <w:rFonts w:hint="eastAsia"/>
          <w:sz w:val="30"/>
          <w:szCs w:val="30"/>
        </w:rPr>
        <w:t>这兽有十个角 (参 但 2:41-45)。</w:t>
      </w:r>
    </w:p>
    <w:p w14:paraId="4E8F1A12">
      <w:pPr>
        <w:pStyle w:val="9"/>
        <w:spacing w:before="11"/>
        <w:ind w:left="0"/>
        <w:jc w:val="left"/>
        <w:rPr>
          <w:rFonts w:hint="eastAsia"/>
          <w:sz w:val="30"/>
          <w:szCs w:val="30"/>
        </w:rPr>
      </w:pPr>
    </w:p>
    <w:p w14:paraId="2A6FB6B4">
      <w:pPr>
        <w:pStyle w:val="9"/>
        <w:spacing w:before="11"/>
        <w:ind w:left="0"/>
        <w:jc w:val="left"/>
        <w:rPr>
          <w:rFonts w:hint="eastAsia"/>
          <w:sz w:val="30"/>
          <w:szCs w:val="30"/>
        </w:rPr>
      </w:pPr>
      <w:r>
        <w:rPr>
          <w:rFonts w:hint="eastAsia"/>
          <w:sz w:val="30"/>
          <w:szCs w:val="30"/>
        </w:rPr>
        <w:t>While contemplating the horns, Daniel saw a little horn rising from among the ten: It tore out three horns by the roots, had the eyes of a man, and spoke boastful words (7-8).</w:t>
      </w:r>
    </w:p>
    <w:p w14:paraId="35B15F8F">
      <w:pPr>
        <w:pStyle w:val="9"/>
        <w:spacing w:before="11"/>
        <w:ind w:left="0"/>
        <w:jc w:val="left"/>
        <w:rPr>
          <w:rFonts w:hint="eastAsia"/>
          <w:sz w:val="30"/>
          <w:szCs w:val="30"/>
        </w:rPr>
      </w:pPr>
      <w:r>
        <w:rPr>
          <w:rFonts w:hint="eastAsia"/>
          <w:sz w:val="30"/>
          <w:szCs w:val="30"/>
        </w:rPr>
        <w:t>正当他观看这些角的时候，但以理看见一个小角从十角中长出来：它把三个角连根拔起，有人的眼睛，说夸大的话 (7-8节)。</w:t>
      </w:r>
    </w:p>
    <w:p w14:paraId="34771DF7">
      <w:pPr>
        <w:pStyle w:val="9"/>
        <w:spacing w:before="11"/>
        <w:ind w:left="0"/>
        <w:jc w:val="left"/>
        <w:rPr>
          <w:rFonts w:hint="eastAsia"/>
          <w:sz w:val="30"/>
          <w:szCs w:val="30"/>
        </w:rPr>
      </w:pPr>
    </w:p>
    <w:p w14:paraId="3CD8CAC1">
      <w:pPr>
        <w:pStyle w:val="9"/>
        <w:spacing w:before="11"/>
        <w:ind w:left="0"/>
        <w:jc w:val="left"/>
        <w:rPr>
          <w:rFonts w:hint="eastAsia"/>
          <w:sz w:val="30"/>
          <w:szCs w:val="30"/>
        </w:rPr>
      </w:pPr>
      <w:r>
        <w:rPr>
          <w:rFonts w:hint="eastAsia"/>
          <w:sz w:val="30"/>
          <w:szCs w:val="30"/>
        </w:rPr>
        <w:t>The message of this vision—which is almost identical with that of Nebuchadnezzar’s dream of a huge, four-part statue (chapter 2)—is clear: The sovereign God has decreed that between the days of Daniel and the coming of the Kingdom of God in its fullness, four earthly kings/kingdoms shall arise, like monstrous predatory beasts, out of the turbulent sea of fallen humanity (Dan. 2:24ff; Isaiah 7:12, 13, 57:20).</w:t>
      </w:r>
    </w:p>
    <w:p w14:paraId="0A24F4C1">
      <w:pPr>
        <w:pStyle w:val="9"/>
        <w:spacing w:before="11"/>
        <w:ind w:left="0"/>
        <w:jc w:val="left"/>
        <w:rPr>
          <w:rFonts w:hint="eastAsia"/>
          <w:sz w:val="30"/>
          <w:szCs w:val="30"/>
        </w:rPr>
      </w:pPr>
      <w:r>
        <w:rPr>
          <w:rFonts w:hint="eastAsia"/>
          <w:sz w:val="30"/>
          <w:szCs w:val="30"/>
        </w:rPr>
        <w:t>这个异象的信息——与尼布甲尼撒关于一个巨大四段式雕像的梦（第2章）几乎相同——是清晰的：拥有至高主权的神已经命定，在但以理的日子和神的国度以其丰满降临之间，将有四个地上的君王/国度兴起，像怪异的掠食性野兽一样，从堕落人类的汹涌大海中出来 (但 2:24及后；赛 7:12, 13, 57:20)。</w:t>
      </w:r>
    </w:p>
    <w:p w14:paraId="6190FB78">
      <w:pPr>
        <w:pStyle w:val="9"/>
        <w:spacing w:before="11"/>
        <w:ind w:left="0"/>
        <w:jc w:val="left"/>
        <w:rPr>
          <w:rFonts w:hint="eastAsia"/>
          <w:sz w:val="30"/>
          <w:szCs w:val="30"/>
        </w:rPr>
      </w:pPr>
    </w:p>
    <w:p w14:paraId="0F5C1EBC">
      <w:pPr>
        <w:pStyle w:val="9"/>
        <w:spacing w:before="11"/>
        <w:ind w:left="0"/>
        <w:jc w:val="left"/>
        <w:rPr>
          <w:rFonts w:hint="eastAsia"/>
          <w:sz w:val="30"/>
          <w:szCs w:val="30"/>
        </w:rPr>
      </w:pPr>
      <w:r>
        <w:rPr>
          <w:rFonts w:hint="eastAsia"/>
          <w:sz w:val="30"/>
          <w:szCs w:val="30"/>
        </w:rPr>
        <w:t>Because of details embedded in the symbols used to describe the four beasts, conservative commentators are nearly unanimous in identifying them as Babylon, Medo- Persia, Greece, and Rome.</w:t>
      </w:r>
    </w:p>
    <w:p w14:paraId="18A33441">
      <w:pPr>
        <w:pStyle w:val="9"/>
        <w:spacing w:before="11"/>
        <w:ind w:left="0"/>
        <w:jc w:val="left"/>
        <w:rPr>
          <w:rFonts w:hint="eastAsia"/>
          <w:sz w:val="30"/>
          <w:szCs w:val="30"/>
        </w:rPr>
      </w:pPr>
      <w:r>
        <w:rPr>
          <w:rFonts w:hint="eastAsia"/>
          <w:sz w:val="30"/>
          <w:szCs w:val="30"/>
        </w:rPr>
        <w:t>因为用以描述四兽的象征中所嵌入的细节，保守派解经家几乎一致地将它们认定为巴比伦、玛代-波斯、希腊和罗马。</w:t>
      </w:r>
    </w:p>
    <w:p w14:paraId="6DFE034D">
      <w:pPr>
        <w:pStyle w:val="9"/>
        <w:spacing w:before="11"/>
        <w:ind w:left="0"/>
        <w:jc w:val="left"/>
        <w:rPr>
          <w:rFonts w:hint="eastAsia"/>
          <w:sz w:val="30"/>
          <w:szCs w:val="30"/>
        </w:rPr>
      </w:pPr>
    </w:p>
    <w:p w14:paraId="03688F64">
      <w:pPr>
        <w:pStyle w:val="9"/>
        <w:spacing w:before="11"/>
        <w:ind w:left="0"/>
        <w:jc w:val="left"/>
        <w:rPr>
          <w:rFonts w:hint="eastAsia"/>
          <w:sz w:val="30"/>
          <w:szCs w:val="30"/>
        </w:rPr>
      </w:pPr>
      <w:r>
        <w:rPr>
          <w:rFonts w:hint="eastAsia"/>
          <w:sz w:val="30"/>
          <w:szCs w:val="30"/>
        </w:rPr>
        <w:t>As we have seen, the NT further illumines this vision by unveiling Satan as the invisible ruler of all the kingdoms of this world (Luke 4:5, John 12:31, Eph. 6:12, 1 John 5:19); as he who summons one evil empire after another onto the stage of history (Rev. 13:1); as he who, since the days of Babel, seeks to use proud and wicked men to consolidate the entire world-system around himself, thereby usurping the worship of God and mimicking his absolute sovereignty (Mt. 4:8-10).</w:t>
      </w:r>
    </w:p>
    <w:p w14:paraId="4954F2B2">
      <w:pPr>
        <w:pStyle w:val="9"/>
        <w:spacing w:before="11"/>
        <w:ind w:left="0"/>
        <w:jc w:val="left"/>
        <w:rPr>
          <w:rFonts w:hint="eastAsia"/>
          <w:sz w:val="30"/>
          <w:szCs w:val="30"/>
        </w:rPr>
      </w:pPr>
      <w:r>
        <w:rPr>
          <w:rFonts w:hint="eastAsia"/>
          <w:sz w:val="30"/>
          <w:szCs w:val="30"/>
        </w:rPr>
        <w:t>正如我们所见，新约通过揭示撒旦为这世界所有国度无形的统治者，进一步阐明了这个异象 (路 4:5, 约 12:31, 弗 6:12, 约一 5:19)；祂是那位将一个又一个邪恶帝国召唤到历史舞台上的 (启 13:1)；祂是那位自巴别塔时代以来，就试图利用骄傲和邪恶的人来巩固整个世界体系围绕祂自己，从而篡夺对神的敬拜并模仿祂绝对主权的 (太 4:8-10)。</w:t>
      </w:r>
    </w:p>
    <w:p w14:paraId="11D6D63E">
      <w:pPr>
        <w:pStyle w:val="9"/>
        <w:spacing w:before="11"/>
        <w:ind w:left="0"/>
        <w:jc w:val="left"/>
        <w:rPr>
          <w:rFonts w:hint="eastAsia"/>
          <w:sz w:val="30"/>
          <w:szCs w:val="30"/>
        </w:rPr>
      </w:pPr>
    </w:p>
    <w:p w14:paraId="39B85E71">
      <w:pPr>
        <w:pStyle w:val="9"/>
        <w:spacing w:before="11"/>
        <w:ind w:left="0"/>
        <w:jc w:val="left"/>
        <w:rPr>
          <w:rFonts w:hint="eastAsia"/>
          <w:sz w:val="30"/>
          <w:szCs w:val="30"/>
        </w:rPr>
      </w:pPr>
      <w:r>
        <w:rPr>
          <w:rFonts w:hint="eastAsia"/>
          <w:sz w:val="30"/>
          <w:szCs w:val="30"/>
        </w:rPr>
        <w:t>One day, according to Daniel and the NT writers, he will get his wish—and much more besides (2 Thess. 2:1f, Rev. 11:5, 16:14).</w:t>
      </w:r>
    </w:p>
    <w:p w14:paraId="667850BB">
      <w:pPr>
        <w:pStyle w:val="9"/>
        <w:spacing w:before="11"/>
        <w:ind w:left="0"/>
        <w:jc w:val="left"/>
        <w:rPr>
          <w:rFonts w:hint="eastAsia"/>
          <w:sz w:val="30"/>
          <w:szCs w:val="30"/>
        </w:rPr>
      </w:pPr>
      <w:r>
        <w:rPr>
          <w:rFonts w:hint="eastAsia"/>
          <w:sz w:val="30"/>
          <w:szCs w:val="30"/>
        </w:rPr>
        <w:t>根据但以理和新约作者的说法，有一天，祂将得偿所愿——甚至远不止于此 (帖后 2:1及后, 启 11:5, 16:14)。</w:t>
      </w:r>
    </w:p>
    <w:p w14:paraId="755F2D9B">
      <w:pPr>
        <w:pStyle w:val="9"/>
        <w:spacing w:before="11"/>
        <w:ind w:left="0"/>
        <w:jc w:val="left"/>
        <w:rPr>
          <w:rFonts w:hint="eastAsia"/>
          <w:sz w:val="30"/>
          <w:szCs w:val="30"/>
        </w:rPr>
      </w:pPr>
    </w:p>
    <w:p w14:paraId="23BD3C95">
      <w:pPr>
        <w:pStyle w:val="9"/>
        <w:spacing w:before="11"/>
        <w:ind w:left="0"/>
        <w:jc w:val="left"/>
        <w:rPr>
          <w:rFonts w:hint="eastAsia"/>
          <w:sz w:val="30"/>
          <w:szCs w:val="30"/>
        </w:rPr>
      </w:pPr>
      <w:r>
        <w:rPr>
          <w:rFonts w:hint="eastAsia"/>
          <w:sz w:val="30"/>
          <w:szCs w:val="30"/>
        </w:rPr>
        <w:t>The Ancient of Days (vv. 9-12)</w:t>
      </w:r>
    </w:p>
    <w:p w14:paraId="547E0FE1">
      <w:pPr>
        <w:pStyle w:val="9"/>
        <w:spacing w:before="11"/>
        <w:ind w:left="0"/>
        <w:jc w:val="left"/>
        <w:rPr>
          <w:rFonts w:hint="eastAsia"/>
          <w:sz w:val="30"/>
          <w:szCs w:val="30"/>
        </w:rPr>
      </w:pPr>
      <w:r>
        <w:rPr>
          <w:rFonts w:hint="eastAsia"/>
          <w:sz w:val="30"/>
          <w:szCs w:val="30"/>
        </w:rPr>
        <w:t>亘古常在者 (第9-12节)</w:t>
      </w:r>
    </w:p>
    <w:p w14:paraId="3F0F9186">
      <w:pPr>
        <w:pStyle w:val="9"/>
        <w:spacing w:before="11"/>
        <w:ind w:left="0"/>
        <w:jc w:val="left"/>
        <w:rPr>
          <w:rFonts w:hint="eastAsia"/>
          <w:sz w:val="30"/>
          <w:szCs w:val="30"/>
        </w:rPr>
      </w:pPr>
    </w:p>
    <w:p w14:paraId="64F96492">
      <w:pPr>
        <w:pStyle w:val="9"/>
        <w:spacing w:before="11"/>
        <w:ind w:left="0"/>
        <w:jc w:val="left"/>
        <w:rPr>
          <w:rFonts w:hint="eastAsia"/>
          <w:sz w:val="30"/>
          <w:szCs w:val="30"/>
        </w:rPr>
      </w:pPr>
      <w:r>
        <w:rPr>
          <w:rFonts w:hint="eastAsia"/>
          <w:sz w:val="30"/>
          <w:szCs w:val="30"/>
        </w:rPr>
        <w:t>Even as the little horn continues to exalt himself, Daniel beholds the chariot-throne of God arriving upon the scene for final judgment.</w:t>
      </w:r>
    </w:p>
    <w:p w14:paraId="2CB3393B">
      <w:pPr>
        <w:pStyle w:val="9"/>
        <w:spacing w:before="11"/>
        <w:ind w:left="0"/>
        <w:jc w:val="left"/>
        <w:rPr>
          <w:rFonts w:hint="eastAsia"/>
          <w:sz w:val="30"/>
          <w:szCs w:val="30"/>
        </w:rPr>
      </w:pPr>
      <w:r>
        <w:rPr>
          <w:rFonts w:hint="eastAsia"/>
          <w:sz w:val="30"/>
          <w:szCs w:val="30"/>
        </w:rPr>
        <w:t>正当那小角继续高抬自己时，但以理看见神的战车宝座驾临现场，进行最后的审判。</w:t>
      </w:r>
    </w:p>
    <w:p w14:paraId="768E9EB0">
      <w:pPr>
        <w:pStyle w:val="9"/>
        <w:spacing w:before="11"/>
        <w:ind w:left="0"/>
        <w:jc w:val="left"/>
        <w:rPr>
          <w:rFonts w:hint="eastAsia"/>
          <w:sz w:val="30"/>
          <w:szCs w:val="30"/>
        </w:rPr>
      </w:pPr>
    </w:p>
    <w:p w14:paraId="5DD9850B">
      <w:pPr>
        <w:pStyle w:val="9"/>
        <w:spacing w:before="11"/>
        <w:ind w:left="0"/>
        <w:jc w:val="left"/>
        <w:rPr>
          <w:rFonts w:hint="eastAsia"/>
          <w:sz w:val="30"/>
          <w:szCs w:val="30"/>
        </w:rPr>
      </w:pPr>
      <w:r>
        <w:rPr>
          <w:rFonts w:hint="eastAsia"/>
          <w:sz w:val="30"/>
          <w:szCs w:val="30"/>
        </w:rPr>
        <w:t>Other thrones are set up, and the Ancient of Days—he who was, and is, and is to come—takes his seat (Rev. 4:8).</w:t>
      </w:r>
    </w:p>
    <w:p w14:paraId="7E3CF571">
      <w:pPr>
        <w:pStyle w:val="9"/>
        <w:spacing w:before="11"/>
        <w:ind w:left="0"/>
        <w:jc w:val="left"/>
        <w:rPr>
          <w:rFonts w:hint="eastAsia"/>
          <w:sz w:val="30"/>
          <w:szCs w:val="30"/>
        </w:rPr>
      </w:pPr>
      <w:r>
        <w:rPr>
          <w:rFonts w:hint="eastAsia"/>
          <w:sz w:val="30"/>
          <w:szCs w:val="30"/>
        </w:rPr>
        <w:t>别的宝座也设立了，那亘古常在者——昔在、今在、以后永在的全能者——坐下了 (启 4:8)。</w:t>
      </w:r>
    </w:p>
    <w:p w14:paraId="3B648E6A">
      <w:pPr>
        <w:pStyle w:val="9"/>
        <w:spacing w:before="11"/>
        <w:ind w:left="0"/>
        <w:jc w:val="left"/>
        <w:rPr>
          <w:rFonts w:hint="eastAsia"/>
          <w:sz w:val="30"/>
          <w:szCs w:val="30"/>
        </w:rPr>
      </w:pPr>
    </w:p>
    <w:p w14:paraId="3E95F464">
      <w:pPr>
        <w:pStyle w:val="9"/>
        <w:spacing w:before="11"/>
        <w:ind w:left="0"/>
        <w:jc w:val="left"/>
        <w:rPr>
          <w:rFonts w:hint="eastAsia"/>
          <w:sz w:val="30"/>
          <w:szCs w:val="30"/>
        </w:rPr>
      </w:pPr>
      <w:r>
        <w:rPr>
          <w:rFonts w:hint="eastAsia"/>
          <w:sz w:val="30"/>
          <w:szCs w:val="30"/>
        </w:rPr>
        <w:t>His garment and his hair are as white as snow and wool, emblems of his holiness, righteousness, and age-old eternity.</w:t>
      </w:r>
    </w:p>
    <w:p w14:paraId="55F47CFC">
      <w:pPr>
        <w:pStyle w:val="9"/>
        <w:spacing w:before="11"/>
        <w:ind w:left="0"/>
        <w:jc w:val="left"/>
        <w:rPr>
          <w:rFonts w:hint="eastAsia"/>
          <w:sz w:val="30"/>
          <w:szCs w:val="30"/>
        </w:rPr>
      </w:pPr>
      <w:r>
        <w:rPr>
          <w:rFonts w:hint="eastAsia"/>
          <w:sz w:val="30"/>
          <w:szCs w:val="30"/>
        </w:rPr>
        <w:t>祂的衣服和头发白如雪、如羊毛，是祂圣洁、公义和亘古永恒的象征。</w:t>
      </w:r>
    </w:p>
    <w:p w14:paraId="0A4C9617">
      <w:pPr>
        <w:pStyle w:val="9"/>
        <w:spacing w:before="11"/>
        <w:ind w:left="0"/>
        <w:jc w:val="left"/>
        <w:rPr>
          <w:rFonts w:hint="eastAsia"/>
          <w:sz w:val="30"/>
          <w:szCs w:val="30"/>
        </w:rPr>
      </w:pPr>
    </w:p>
    <w:p w14:paraId="32B1402D">
      <w:pPr>
        <w:pStyle w:val="9"/>
        <w:spacing w:before="11"/>
        <w:ind w:left="0"/>
        <w:jc w:val="left"/>
        <w:rPr>
          <w:rFonts w:hint="eastAsia"/>
          <w:sz w:val="30"/>
          <w:szCs w:val="30"/>
        </w:rPr>
      </w:pPr>
      <w:r>
        <w:rPr>
          <w:rFonts w:hint="eastAsia"/>
          <w:sz w:val="30"/>
          <w:szCs w:val="30"/>
        </w:rPr>
        <w:t>His throne and its wheels are ablaze with fire, a token of his wrath, now fully kindled (v. 9).</w:t>
      </w:r>
    </w:p>
    <w:p w14:paraId="52AD3CB7">
      <w:pPr>
        <w:pStyle w:val="9"/>
        <w:spacing w:before="11"/>
        <w:ind w:left="0"/>
        <w:jc w:val="left"/>
        <w:rPr>
          <w:rFonts w:hint="eastAsia"/>
          <w:sz w:val="30"/>
          <w:szCs w:val="30"/>
        </w:rPr>
      </w:pPr>
      <w:r>
        <w:rPr>
          <w:rFonts w:hint="eastAsia"/>
          <w:sz w:val="30"/>
          <w:szCs w:val="30"/>
        </w:rPr>
        <w:t>祂的宝座和其轮子都如火焰，是祂忿怒的标记，如今已完全燃起 (第9节)。</w:t>
      </w:r>
    </w:p>
    <w:p w14:paraId="5DB659FF">
      <w:pPr>
        <w:pStyle w:val="9"/>
        <w:spacing w:before="11"/>
        <w:ind w:left="0"/>
        <w:jc w:val="left"/>
        <w:rPr>
          <w:rFonts w:hint="eastAsia"/>
          <w:sz w:val="30"/>
          <w:szCs w:val="30"/>
        </w:rPr>
      </w:pPr>
    </w:p>
    <w:p w14:paraId="14538DA2">
      <w:pPr>
        <w:pStyle w:val="9"/>
        <w:spacing w:before="11"/>
        <w:ind w:left="0"/>
        <w:jc w:val="left"/>
        <w:rPr>
          <w:rFonts w:hint="eastAsia"/>
          <w:sz w:val="30"/>
          <w:szCs w:val="30"/>
        </w:rPr>
      </w:pPr>
      <w:r>
        <w:rPr>
          <w:rFonts w:hint="eastAsia"/>
          <w:sz w:val="30"/>
          <w:szCs w:val="30"/>
        </w:rPr>
        <w:t>A stream of fire pours forth from before him, ready to engulf his enemies.</w:t>
      </w:r>
    </w:p>
    <w:p w14:paraId="6AC137AE">
      <w:pPr>
        <w:pStyle w:val="9"/>
        <w:spacing w:before="11"/>
        <w:ind w:left="0"/>
        <w:jc w:val="left"/>
        <w:rPr>
          <w:rFonts w:hint="eastAsia"/>
          <w:sz w:val="30"/>
          <w:szCs w:val="30"/>
        </w:rPr>
      </w:pPr>
      <w:r>
        <w:rPr>
          <w:rFonts w:hint="eastAsia"/>
          <w:sz w:val="30"/>
          <w:szCs w:val="30"/>
        </w:rPr>
        <w:t>有火像河涌出，从祂面前流出，准备吞没祂的仇敌。</w:t>
      </w:r>
    </w:p>
    <w:p w14:paraId="28B4CD95">
      <w:pPr>
        <w:pStyle w:val="9"/>
        <w:spacing w:before="11"/>
        <w:ind w:left="0"/>
        <w:jc w:val="left"/>
        <w:rPr>
          <w:rFonts w:hint="eastAsia"/>
          <w:sz w:val="30"/>
          <w:szCs w:val="30"/>
        </w:rPr>
      </w:pPr>
    </w:p>
    <w:p w14:paraId="747B3BC7">
      <w:pPr>
        <w:pStyle w:val="9"/>
        <w:spacing w:before="11"/>
        <w:ind w:left="0"/>
        <w:jc w:val="left"/>
        <w:rPr>
          <w:rFonts w:hint="eastAsia"/>
          <w:sz w:val="30"/>
          <w:szCs w:val="30"/>
        </w:rPr>
      </w:pPr>
      <w:r>
        <w:rPr>
          <w:rFonts w:hint="eastAsia"/>
          <w:sz w:val="30"/>
          <w:szCs w:val="30"/>
        </w:rPr>
        <w:t>Ten thousand times ten thousand holy ones stand before him, ministering to him.</w:t>
      </w:r>
    </w:p>
    <w:p w14:paraId="12BBC453">
      <w:pPr>
        <w:pStyle w:val="9"/>
        <w:spacing w:before="11"/>
        <w:ind w:left="0"/>
        <w:jc w:val="left"/>
        <w:rPr>
          <w:rFonts w:hint="eastAsia"/>
          <w:sz w:val="30"/>
          <w:szCs w:val="30"/>
        </w:rPr>
      </w:pPr>
      <w:r>
        <w:rPr>
          <w:rFonts w:hint="eastAsia"/>
          <w:sz w:val="30"/>
          <w:szCs w:val="30"/>
        </w:rPr>
        <w:t>有千千万万的圣者站在祂面前事奉祂。</w:t>
      </w:r>
    </w:p>
    <w:p w14:paraId="1FE11540">
      <w:pPr>
        <w:pStyle w:val="9"/>
        <w:spacing w:before="11"/>
        <w:ind w:left="0"/>
        <w:jc w:val="left"/>
        <w:rPr>
          <w:rFonts w:hint="eastAsia"/>
          <w:sz w:val="30"/>
          <w:szCs w:val="30"/>
        </w:rPr>
      </w:pPr>
    </w:p>
    <w:p w14:paraId="1AECD241">
      <w:pPr>
        <w:pStyle w:val="9"/>
        <w:spacing w:before="11"/>
        <w:ind w:left="0"/>
        <w:jc w:val="left"/>
        <w:rPr>
          <w:rFonts w:hint="eastAsia"/>
          <w:sz w:val="30"/>
          <w:szCs w:val="30"/>
        </w:rPr>
      </w:pPr>
      <w:r>
        <w:rPr>
          <w:rFonts w:hint="eastAsia"/>
          <w:sz w:val="30"/>
          <w:szCs w:val="30"/>
        </w:rPr>
        <w:t>The court is seated and the books are opened: The Judgment has begun (v. 10).</w:t>
      </w:r>
    </w:p>
    <w:p w14:paraId="31EFE058">
      <w:pPr>
        <w:pStyle w:val="9"/>
        <w:spacing w:before="11"/>
        <w:ind w:left="0"/>
        <w:jc w:val="left"/>
        <w:rPr>
          <w:rFonts w:hint="eastAsia"/>
          <w:sz w:val="30"/>
          <w:szCs w:val="30"/>
        </w:rPr>
      </w:pPr>
      <w:r>
        <w:rPr>
          <w:rFonts w:hint="eastAsia"/>
          <w:sz w:val="30"/>
          <w:szCs w:val="30"/>
        </w:rPr>
        <w:t>案卷展开，审判的法庭坐下了：审判已经开始 (第10节)。</w:t>
      </w:r>
    </w:p>
    <w:p w14:paraId="120EA926">
      <w:pPr>
        <w:pStyle w:val="9"/>
        <w:spacing w:before="11"/>
        <w:ind w:left="0"/>
        <w:jc w:val="left"/>
        <w:rPr>
          <w:rFonts w:hint="eastAsia"/>
          <w:sz w:val="30"/>
          <w:szCs w:val="30"/>
        </w:rPr>
      </w:pPr>
    </w:p>
    <w:p w14:paraId="0F4FB3C2">
      <w:pPr>
        <w:pStyle w:val="9"/>
        <w:spacing w:before="11"/>
        <w:ind w:left="0"/>
        <w:jc w:val="left"/>
        <w:rPr>
          <w:rFonts w:hint="eastAsia"/>
          <w:sz w:val="30"/>
          <w:szCs w:val="30"/>
        </w:rPr>
      </w:pPr>
      <w:r>
        <w:rPr>
          <w:rFonts w:hint="eastAsia"/>
          <w:sz w:val="30"/>
          <w:szCs w:val="30"/>
        </w:rPr>
        <w:t>As soon as it does, the little horn is forever silenced, for the body of the beast from which it arose is now slain and cast into the blazing fires of hell (v. 11).</w:t>
      </w:r>
    </w:p>
    <w:p w14:paraId="027DA54A">
      <w:pPr>
        <w:pStyle w:val="9"/>
        <w:spacing w:before="11"/>
        <w:ind w:left="0"/>
        <w:jc w:val="left"/>
        <w:rPr>
          <w:rFonts w:hint="eastAsia"/>
          <w:sz w:val="30"/>
          <w:szCs w:val="30"/>
        </w:rPr>
      </w:pPr>
      <w:r>
        <w:rPr>
          <w:rFonts w:hint="eastAsia"/>
          <w:sz w:val="30"/>
          <w:szCs w:val="30"/>
        </w:rPr>
        <w:t>审判一开始，那小角就永远静默了，因为它所从出的兽的身体如今被杀，扔在燃烧的地狱之火中 (第11节)。</w:t>
      </w:r>
    </w:p>
    <w:p w14:paraId="35A249CB">
      <w:pPr>
        <w:pStyle w:val="9"/>
        <w:spacing w:before="11"/>
        <w:ind w:left="0"/>
        <w:jc w:val="left"/>
        <w:rPr>
          <w:rFonts w:hint="eastAsia"/>
          <w:sz w:val="30"/>
          <w:szCs w:val="30"/>
        </w:rPr>
      </w:pPr>
    </w:p>
    <w:p w14:paraId="181EA758">
      <w:pPr>
        <w:pStyle w:val="9"/>
        <w:spacing w:before="11"/>
        <w:ind w:left="0"/>
        <w:jc w:val="left"/>
        <w:rPr>
          <w:rFonts w:hint="eastAsia"/>
          <w:sz w:val="30"/>
          <w:szCs w:val="30"/>
        </w:rPr>
      </w:pPr>
      <w:r>
        <w:rPr>
          <w:rFonts w:hint="eastAsia"/>
          <w:sz w:val="30"/>
          <w:szCs w:val="30"/>
        </w:rPr>
        <w:t>So too, we assume, are the rest of the beasts, whose dominion was lately taken away, but who were allowed to live on (as members of the fourth beast?) for a little time (v. 12).</w:t>
      </w:r>
    </w:p>
    <w:p w14:paraId="0039F4A7">
      <w:pPr>
        <w:pStyle w:val="9"/>
        <w:spacing w:before="11"/>
        <w:ind w:left="0"/>
        <w:jc w:val="left"/>
        <w:rPr>
          <w:rFonts w:hint="eastAsia"/>
          <w:sz w:val="30"/>
          <w:szCs w:val="30"/>
        </w:rPr>
      </w:pPr>
      <w:r>
        <w:rPr>
          <w:rFonts w:hint="eastAsia"/>
          <w:sz w:val="30"/>
          <w:szCs w:val="30"/>
        </w:rPr>
        <w:t>我们也推测，其余的兽也是如此，它们的权柄最近被夺去，但被允许存活片时（作为第四兽的成员吗？）(第12节)。</w:t>
      </w:r>
    </w:p>
    <w:p w14:paraId="5F0AF8B9">
      <w:pPr>
        <w:pStyle w:val="9"/>
        <w:spacing w:before="11"/>
        <w:ind w:left="0"/>
        <w:jc w:val="left"/>
        <w:rPr>
          <w:rFonts w:hint="eastAsia"/>
          <w:sz w:val="30"/>
          <w:szCs w:val="30"/>
        </w:rPr>
      </w:pPr>
    </w:p>
    <w:p w14:paraId="35DB975B">
      <w:pPr>
        <w:pStyle w:val="9"/>
        <w:spacing w:before="11"/>
        <w:ind w:left="0"/>
        <w:jc w:val="left"/>
        <w:rPr>
          <w:rFonts w:hint="eastAsia"/>
          <w:sz w:val="30"/>
          <w:szCs w:val="30"/>
        </w:rPr>
      </w:pPr>
      <w:r>
        <w:rPr>
          <w:rFonts w:hint="eastAsia"/>
          <w:sz w:val="30"/>
          <w:szCs w:val="30"/>
        </w:rPr>
        <w:t>There can be no reasonable doubt that this majestic vision depicts the Last Judgment.</w:t>
      </w:r>
    </w:p>
    <w:p w14:paraId="3FE26BB8">
      <w:pPr>
        <w:pStyle w:val="9"/>
        <w:spacing w:before="11"/>
        <w:ind w:left="0"/>
        <w:jc w:val="left"/>
        <w:rPr>
          <w:rFonts w:hint="eastAsia"/>
          <w:sz w:val="30"/>
          <w:szCs w:val="30"/>
        </w:rPr>
      </w:pPr>
      <w:r>
        <w:rPr>
          <w:rFonts w:hint="eastAsia"/>
          <w:sz w:val="30"/>
          <w:szCs w:val="30"/>
        </w:rPr>
        <w:t>毫无疑问，这个威严的异象描绘的是最后的审判。</w:t>
      </w:r>
    </w:p>
    <w:p w14:paraId="1B50B657">
      <w:pPr>
        <w:pStyle w:val="9"/>
        <w:spacing w:before="11"/>
        <w:ind w:left="0"/>
        <w:jc w:val="left"/>
        <w:rPr>
          <w:rFonts w:hint="eastAsia"/>
          <w:sz w:val="30"/>
          <w:szCs w:val="30"/>
        </w:rPr>
      </w:pPr>
    </w:p>
    <w:p w14:paraId="41555772">
      <w:pPr>
        <w:pStyle w:val="9"/>
        <w:spacing w:before="11"/>
        <w:ind w:left="0"/>
        <w:jc w:val="left"/>
        <w:rPr>
          <w:rFonts w:hint="eastAsia"/>
          <w:sz w:val="30"/>
          <w:szCs w:val="30"/>
        </w:rPr>
      </w:pPr>
      <w:r>
        <w:rPr>
          <w:rFonts w:hint="eastAsia"/>
          <w:sz w:val="30"/>
          <w:szCs w:val="30"/>
        </w:rPr>
        <w:t>As we have just seen, it is preceded by the destruction of the final earthly kingdom, and it is followed by the saints taking possession of the everlasting Kingdom of the Most High (7:18, 26-27).</w:t>
      </w:r>
    </w:p>
    <w:p w14:paraId="0F8021FB">
      <w:pPr>
        <w:pStyle w:val="9"/>
        <w:spacing w:before="11"/>
        <w:ind w:left="0"/>
        <w:jc w:val="left"/>
        <w:rPr>
          <w:rFonts w:hint="eastAsia"/>
          <w:sz w:val="30"/>
          <w:szCs w:val="30"/>
        </w:rPr>
      </w:pPr>
      <w:r>
        <w:rPr>
          <w:rFonts w:hint="eastAsia"/>
          <w:sz w:val="30"/>
          <w:szCs w:val="30"/>
        </w:rPr>
        <w:t>正如我们刚才所见，它的前面是最后一个地上国度的毁灭，它的后面是圣徒得着至高者永恒的国度 (7:18, 26-27)。</w:t>
      </w:r>
    </w:p>
    <w:p w14:paraId="7D62B93C">
      <w:pPr>
        <w:pStyle w:val="9"/>
        <w:spacing w:before="11"/>
        <w:ind w:left="0"/>
        <w:jc w:val="left"/>
        <w:rPr>
          <w:rFonts w:hint="eastAsia"/>
          <w:sz w:val="30"/>
          <w:szCs w:val="30"/>
        </w:rPr>
      </w:pPr>
    </w:p>
    <w:p w14:paraId="10B9E22A">
      <w:pPr>
        <w:pStyle w:val="9"/>
        <w:spacing w:before="11"/>
        <w:ind w:left="0"/>
        <w:jc w:val="left"/>
        <w:rPr>
          <w:rFonts w:hint="eastAsia"/>
          <w:sz w:val="30"/>
          <w:szCs w:val="30"/>
        </w:rPr>
      </w:pPr>
      <w:r>
        <w:rPr>
          <w:rFonts w:hint="eastAsia"/>
          <w:sz w:val="30"/>
          <w:szCs w:val="30"/>
        </w:rPr>
        <w:t>But if this is so, then NT teaching concerning the Last Judgment must be brought to bear upon the passage before us.</w:t>
      </w:r>
    </w:p>
    <w:p w14:paraId="515C2D91">
      <w:pPr>
        <w:pStyle w:val="9"/>
        <w:spacing w:before="11"/>
        <w:ind w:left="0"/>
        <w:jc w:val="left"/>
        <w:rPr>
          <w:rFonts w:hint="eastAsia"/>
          <w:sz w:val="30"/>
          <w:szCs w:val="30"/>
        </w:rPr>
      </w:pPr>
      <w:r>
        <w:rPr>
          <w:rFonts w:hint="eastAsia"/>
          <w:sz w:val="30"/>
          <w:szCs w:val="30"/>
        </w:rPr>
        <w:t>但如果真是如此，那么关于最后审判的新约教导就必须应用到我们面前的这段经文上。</w:t>
      </w:r>
    </w:p>
    <w:p w14:paraId="043969FD">
      <w:pPr>
        <w:pStyle w:val="9"/>
        <w:spacing w:before="11"/>
        <w:ind w:left="0"/>
        <w:jc w:val="left"/>
        <w:rPr>
          <w:rFonts w:hint="eastAsia"/>
          <w:sz w:val="30"/>
          <w:szCs w:val="30"/>
        </w:rPr>
      </w:pPr>
    </w:p>
    <w:p w14:paraId="26882905">
      <w:pPr>
        <w:pStyle w:val="9"/>
        <w:spacing w:before="11"/>
        <w:ind w:left="0"/>
        <w:jc w:val="left"/>
        <w:rPr>
          <w:rFonts w:hint="eastAsia"/>
          <w:sz w:val="30"/>
          <w:szCs w:val="30"/>
        </w:rPr>
      </w:pPr>
      <w:r>
        <w:rPr>
          <w:rFonts w:hint="eastAsia"/>
          <w:sz w:val="30"/>
          <w:szCs w:val="30"/>
        </w:rPr>
        <w:t>When it is, wonderful things begin to appear before our eyes!</w:t>
      </w:r>
    </w:p>
    <w:p w14:paraId="75D5AF7B">
      <w:pPr>
        <w:pStyle w:val="9"/>
        <w:spacing w:before="11"/>
        <w:ind w:left="0"/>
        <w:jc w:val="left"/>
        <w:rPr>
          <w:rFonts w:hint="eastAsia"/>
          <w:sz w:val="30"/>
          <w:szCs w:val="30"/>
        </w:rPr>
      </w:pPr>
      <w:r>
        <w:rPr>
          <w:rFonts w:hint="eastAsia"/>
          <w:sz w:val="30"/>
          <w:szCs w:val="30"/>
        </w:rPr>
        <w:t>当它被应用时，奇妙的事情就开始出现在我们眼前！</w:t>
      </w:r>
    </w:p>
    <w:p w14:paraId="47432009">
      <w:pPr>
        <w:pStyle w:val="9"/>
        <w:spacing w:before="11"/>
        <w:ind w:left="0"/>
        <w:jc w:val="left"/>
        <w:rPr>
          <w:rFonts w:hint="eastAsia"/>
          <w:sz w:val="30"/>
          <w:szCs w:val="30"/>
        </w:rPr>
      </w:pPr>
    </w:p>
    <w:p w14:paraId="6379E6D5">
      <w:pPr>
        <w:pStyle w:val="9"/>
        <w:spacing w:before="11"/>
        <w:ind w:left="0"/>
        <w:jc w:val="left"/>
        <w:rPr>
          <w:rFonts w:hint="eastAsia"/>
          <w:sz w:val="30"/>
          <w:szCs w:val="30"/>
        </w:rPr>
      </w:pPr>
      <w:r>
        <w:rPr>
          <w:rFonts w:hint="eastAsia"/>
          <w:sz w:val="30"/>
          <w:szCs w:val="30"/>
        </w:rPr>
        <w:t>Who, for example, is the Ancient of Days?</w:t>
      </w:r>
    </w:p>
    <w:p w14:paraId="546C9C5A">
      <w:pPr>
        <w:pStyle w:val="9"/>
        <w:spacing w:before="11"/>
        <w:ind w:left="0"/>
        <w:jc w:val="left"/>
        <w:rPr>
          <w:rFonts w:hint="eastAsia"/>
          <w:sz w:val="30"/>
          <w:szCs w:val="30"/>
        </w:rPr>
      </w:pPr>
      <w:r>
        <w:rPr>
          <w:rFonts w:hint="eastAsia"/>
          <w:sz w:val="30"/>
          <w:szCs w:val="30"/>
        </w:rPr>
        <w:t>例如，谁是亘古常在者？</w:t>
      </w:r>
    </w:p>
    <w:p w14:paraId="5473E3B8">
      <w:pPr>
        <w:pStyle w:val="9"/>
        <w:spacing w:before="11"/>
        <w:ind w:left="0"/>
        <w:jc w:val="left"/>
        <w:rPr>
          <w:rFonts w:hint="eastAsia"/>
          <w:sz w:val="30"/>
          <w:szCs w:val="30"/>
        </w:rPr>
      </w:pPr>
    </w:p>
    <w:p w14:paraId="5FFD7101">
      <w:pPr>
        <w:pStyle w:val="9"/>
        <w:spacing w:before="11"/>
        <w:ind w:left="0"/>
        <w:jc w:val="left"/>
        <w:rPr>
          <w:rFonts w:hint="eastAsia"/>
          <w:sz w:val="30"/>
          <w:szCs w:val="30"/>
        </w:rPr>
      </w:pPr>
      <w:r>
        <w:rPr>
          <w:rFonts w:hint="eastAsia"/>
          <w:sz w:val="30"/>
          <w:szCs w:val="30"/>
        </w:rPr>
        <w:t>Verse 7:13 (and Revelation 4) make it clear that this is indeed the One we immediately think of: God the Father.</w:t>
      </w:r>
    </w:p>
    <w:p w14:paraId="7931C336">
      <w:pPr>
        <w:pStyle w:val="9"/>
        <w:spacing w:before="11"/>
        <w:ind w:left="0"/>
        <w:jc w:val="left"/>
        <w:rPr>
          <w:rFonts w:hint="eastAsia"/>
          <w:sz w:val="30"/>
          <w:szCs w:val="30"/>
        </w:rPr>
      </w:pPr>
      <w:r>
        <w:rPr>
          <w:rFonts w:hint="eastAsia"/>
          <w:sz w:val="30"/>
          <w:szCs w:val="30"/>
        </w:rPr>
        <w:t>第7:13节（以及启示录第4章）清楚地表明，这确实是我们立刻想到的那一位：父神。</w:t>
      </w:r>
    </w:p>
    <w:p w14:paraId="6237223E">
      <w:pPr>
        <w:pStyle w:val="9"/>
        <w:spacing w:before="11"/>
        <w:ind w:left="0"/>
        <w:jc w:val="left"/>
        <w:rPr>
          <w:rFonts w:hint="eastAsia"/>
          <w:sz w:val="30"/>
          <w:szCs w:val="30"/>
        </w:rPr>
      </w:pPr>
    </w:p>
    <w:p w14:paraId="5011C45D">
      <w:pPr>
        <w:pStyle w:val="9"/>
        <w:spacing w:before="11"/>
        <w:ind w:left="0"/>
        <w:jc w:val="left"/>
        <w:rPr>
          <w:rFonts w:hint="eastAsia"/>
          <w:sz w:val="30"/>
          <w:szCs w:val="30"/>
        </w:rPr>
      </w:pPr>
      <w:r>
        <w:rPr>
          <w:rFonts w:hint="eastAsia"/>
          <w:sz w:val="30"/>
          <w:szCs w:val="30"/>
        </w:rPr>
        <w:t>Yet the NT calls for a more nuanced answer, since there we also learn that God the Father has committed all judgment to the Son (John 5:22), and that all must appear before the Judgment Seat of Christ (Mt. 25:31:f, Acts 17:31, 2 Cor. 5:10).</w:t>
      </w:r>
    </w:p>
    <w:p w14:paraId="36E2C2D9">
      <w:pPr>
        <w:pStyle w:val="9"/>
        <w:spacing w:before="11"/>
        <w:ind w:left="0"/>
        <w:jc w:val="left"/>
        <w:rPr>
          <w:rFonts w:hint="eastAsia"/>
          <w:sz w:val="30"/>
          <w:szCs w:val="30"/>
        </w:rPr>
      </w:pPr>
      <w:r>
        <w:rPr>
          <w:rFonts w:hint="eastAsia"/>
          <w:sz w:val="30"/>
          <w:szCs w:val="30"/>
        </w:rPr>
        <w:t>然而，新约要求一个更细致的答案，因为在那里我们也得知，父神已将所有审判都交给了子 (约 5:22)，并且所有人都必须出现在基督的审判台前 (太 25:31及后, 徒 17:31, 林后 5:10)。</w:t>
      </w:r>
    </w:p>
    <w:p w14:paraId="7CB2E548">
      <w:pPr>
        <w:pStyle w:val="9"/>
        <w:spacing w:before="11"/>
        <w:ind w:left="0"/>
        <w:jc w:val="left"/>
        <w:rPr>
          <w:rFonts w:hint="eastAsia"/>
          <w:sz w:val="30"/>
          <w:szCs w:val="30"/>
        </w:rPr>
      </w:pPr>
    </w:p>
    <w:p w14:paraId="2D0463BB">
      <w:pPr>
        <w:pStyle w:val="9"/>
        <w:spacing w:before="11"/>
        <w:ind w:left="0"/>
        <w:jc w:val="left"/>
        <w:rPr>
          <w:rFonts w:hint="eastAsia"/>
          <w:sz w:val="30"/>
          <w:szCs w:val="30"/>
        </w:rPr>
      </w:pPr>
      <w:r>
        <w:rPr>
          <w:rFonts w:hint="eastAsia"/>
          <w:sz w:val="30"/>
          <w:szCs w:val="30"/>
        </w:rPr>
        <w:t>The Ancient of Days of vv. 9-10 is, then, God the Father acting through Christ—the very Christ who, when he came to John on Patmos, appeared in the form of the Ancient of Days (Rev. 1:14)!</w:t>
      </w:r>
    </w:p>
    <w:p w14:paraId="2A43039D">
      <w:pPr>
        <w:pStyle w:val="9"/>
        <w:spacing w:before="11"/>
        <w:ind w:left="0"/>
        <w:jc w:val="left"/>
        <w:rPr>
          <w:rFonts w:hint="eastAsia"/>
          <w:sz w:val="30"/>
          <w:szCs w:val="30"/>
        </w:rPr>
      </w:pPr>
      <w:r>
        <w:rPr>
          <w:rFonts w:hint="eastAsia"/>
          <w:sz w:val="30"/>
          <w:szCs w:val="30"/>
        </w:rPr>
        <w:t>因此，第9-10节的亘古常在者，是父神通过基督行事——正是那位基督，当祂在拔摩岛向约翰显现时，祂是以亘古常在者的形象出现的 (启 1:14)！</w:t>
      </w:r>
    </w:p>
    <w:p w14:paraId="0C09D96A">
      <w:pPr>
        <w:pStyle w:val="9"/>
        <w:spacing w:before="11"/>
        <w:ind w:left="0"/>
        <w:jc w:val="left"/>
        <w:rPr>
          <w:rFonts w:hint="eastAsia"/>
          <w:sz w:val="30"/>
          <w:szCs w:val="30"/>
        </w:rPr>
      </w:pPr>
    </w:p>
    <w:p w14:paraId="622BE27A">
      <w:pPr>
        <w:pStyle w:val="9"/>
        <w:spacing w:before="11"/>
        <w:ind w:left="0"/>
        <w:jc w:val="left"/>
        <w:rPr>
          <w:rFonts w:hint="eastAsia"/>
          <w:sz w:val="30"/>
          <w:szCs w:val="30"/>
        </w:rPr>
      </w:pPr>
      <w:r>
        <w:rPr>
          <w:rFonts w:hint="eastAsia"/>
          <w:sz w:val="30"/>
          <w:szCs w:val="30"/>
        </w:rPr>
        <w:t>The NCH answers other questions, as well.</w:t>
      </w:r>
    </w:p>
    <w:p w14:paraId="6A469D49">
      <w:pPr>
        <w:pStyle w:val="9"/>
        <w:spacing w:before="11"/>
        <w:ind w:left="0"/>
        <w:jc w:val="left"/>
        <w:rPr>
          <w:rFonts w:hint="eastAsia"/>
          <w:sz w:val="30"/>
          <w:szCs w:val="30"/>
        </w:rPr>
      </w:pPr>
      <w:r>
        <w:rPr>
          <w:rFonts w:hint="eastAsia"/>
          <w:sz w:val="30"/>
          <w:szCs w:val="30"/>
        </w:rPr>
        <w:t>新约解释学也回答了其他问题。</w:t>
      </w:r>
    </w:p>
    <w:p w14:paraId="6311996C">
      <w:pPr>
        <w:pStyle w:val="9"/>
        <w:spacing w:before="11"/>
        <w:ind w:left="0"/>
        <w:jc w:val="left"/>
        <w:rPr>
          <w:rFonts w:hint="eastAsia"/>
          <w:sz w:val="30"/>
          <w:szCs w:val="30"/>
        </w:rPr>
      </w:pPr>
    </w:p>
    <w:p w14:paraId="521E3099">
      <w:pPr>
        <w:pStyle w:val="9"/>
        <w:spacing w:before="11"/>
        <w:ind w:left="0"/>
        <w:jc w:val="left"/>
        <w:rPr>
          <w:rFonts w:hint="eastAsia"/>
          <w:sz w:val="30"/>
          <w:szCs w:val="30"/>
        </w:rPr>
      </w:pPr>
      <w:r>
        <w:rPr>
          <w:rFonts w:hint="eastAsia"/>
          <w:sz w:val="30"/>
          <w:szCs w:val="30"/>
        </w:rPr>
        <w:t>Where shall the Judgment Seat of Christ appear?</w:t>
      </w:r>
    </w:p>
    <w:p w14:paraId="6B659A13">
      <w:pPr>
        <w:pStyle w:val="9"/>
        <w:spacing w:before="11"/>
        <w:ind w:left="0"/>
        <w:jc w:val="left"/>
        <w:rPr>
          <w:rFonts w:hint="eastAsia"/>
          <w:sz w:val="30"/>
          <w:szCs w:val="30"/>
        </w:rPr>
      </w:pPr>
      <w:r>
        <w:rPr>
          <w:rFonts w:hint="eastAsia"/>
          <w:sz w:val="30"/>
          <w:szCs w:val="30"/>
        </w:rPr>
        <w:t>基督的审判台将出现在哪里？</w:t>
      </w:r>
    </w:p>
    <w:p w14:paraId="09E400D8">
      <w:pPr>
        <w:pStyle w:val="9"/>
        <w:spacing w:before="11"/>
        <w:ind w:left="0"/>
        <w:jc w:val="left"/>
        <w:rPr>
          <w:rFonts w:hint="eastAsia"/>
          <w:sz w:val="30"/>
          <w:szCs w:val="30"/>
        </w:rPr>
      </w:pPr>
    </w:p>
    <w:p w14:paraId="30568D48">
      <w:pPr>
        <w:pStyle w:val="9"/>
        <w:spacing w:before="11"/>
        <w:ind w:left="0"/>
        <w:jc w:val="left"/>
        <w:rPr>
          <w:rFonts w:hint="eastAsia"/>
          <w:sz w:val="30"/>
          <w:szCs w:val="30"/>
        </w:rPr>
      </w:pPr>
      <w:r>
        <w:rPr>
          <w:rFonts w:hint="eastAsia"/>
          <w:sz w:val="30"/>
          <w:szCs w:val="30"/>
        </w:rPr>
        <w:t>According to the NT, it will appear in the skies above the earth (Mt. 19:29, 1 Thess. 4:13-18, Rev. 20:11-21:2).</w:t>
      </w:r>
    </w:p>
    <w:p w14:paraId="24186E9B">
      <w:pPr>
        <w:pStyle w:val="9"/>
        <w:spacing w:before="11"/>
        <w:ind w:left="0"/>
        <w:jc w:val="left"/>
        <w:rPr>
          <w:rFonts w:hint="eastAsia"/>
          <w:sz w:val="30"/>
          <w:szCs w:val="30"/>
        </w:rPr>
      </w:pPr>
      <w:r>
        <w:rPr>
          <w:rFonts w:hint="eastAsia"/>
          <w:sz w:val="30"/>
          <w:szCs w:val="30"/>
        </w:rPr>
        <w:t>根据新约，它将出现在地上的天空中 (太 19:29, 帖前 4:13-18, 启 20:11-21:2)。</w:t>
      </w:r>
    </w:p>
    <w:p w14:paraId="028AC567">
      <w:pPr>
        <w:pStyle w:val="9"/>
        <w:spacing w:before="11"/>
        <w:ind w:left="0"/>
        <w:jc w:val="left"/>
        <w:rPr>
          <w:rFonts w:hint="eastAsia"/>
          <w:sz w:val="30"/>
          <w:szCs w:val="30"/>
        </w:rPr>
      </w:pPr>
    </w:p>
    <w:p w14:paraId="168FCAF2">
      <w:pPr>
        <w:pStyle w:val="9"/>
        <w:spacing w:before="11"/>
        <w:ind w:left="0"/>
        <w:jc w:val="left"/>
        <w:rPr>
          <w:rFonts w:hint="eastAsia"/>
          <w:sz w:val="30"/>
          <w:szCs w:val="30"/>
        </w:rPr>
      </w:pPr>
      <w:r>
        <w:rPr>
          <w:rFonts w:hint="eastAsia"/>
          <w:sz w:val="30"/>
          <w:szCs w:val="30"/>
        </w:rPr>
        <w:t>Who are the thousands of thousands who stand before him and minister to him?</w:t>
      </w:r>
    </w:p>
    <w:p w14:paraId="79CA6D39">
      <w:pPr>
        <w:pStyle w:val="9"/>
        <w:spacing w:before="11"/>
        <w:ind w:left="0"/>
        <w:jc w:val="left"/>
        <w:rPr>
          <w:rFonts w:hint="eastAsia"/>
          <w:sz w:val="30"/>
          <w:szCs w:val="30"/>
        </w:rPr>
      </w:pPr>
      <w:r>
        <w:rPr>
          <w:rFonts w:hint="eastAsia"/>
          <w:sz w:val="30"/>
          <w:szCs w:val="30"/>
        </w:rPr>
        <w:t>站在祂面前事奉祂的千千万万是谁？</w:t>
      </w:r>
    </w:p>
    <w:p w14:paraId="010D3E83">
      <w:pPr>
        <w:pStyle w:val="9"/>
        <w:spacing w:before="11"/>
        <w:ind w:left="0"/>
        <w:jc w:val="left"/>
        <w:rPr>
          <w:rFonts w:hint="eastAsia"/>
          <w:sz w:val="30"/>
          <w:szCs w:val="30"/>
        </w:rPr>
      </w:pPr>
    </w:p>
    <w:p w14:paraId="33546630">
      <w:pPr>
        <w:pStyle w:val="9"/>
        <w:spacing w:before="11"/>
        <w:ind w:left="0"/>
        <w:jc w:val="left"/>
        <w:rPr>
          <w:rFonts w:hint="eastAsia"/>
          <w:sz w:val="30"/>
          <w:szCs w:val="30"/>
        </w:rPr>
      </w:pPr>
      <w:r>
        <w:rPr>
          <w:rFonts w:hint="eastAsia"/>
          <w:sz w:val="30"/>
          <w:szCs w:val="30"/>
        </w:rPr>
        <w:t>Doubtless they include the holy angels, but also the glorified saints, rejoicing in their new resurrection bodies and exulting in the justice of God (Mt. 13:43, 24:29-31, 1 Cor. 15:50-58, 1 Thess. 4:13-18, Rev. 15:1-4, 16:6, 19:11-21).</w:t>
      </w:r>
    </w:p>
    <w:p w14:paraId="19F9E29E">
      <w:pPr>
        <w:pStyle w:val="9"/>
        <w:spacing w:before="11"/>
        <w:ind w:left="0"/>
        <w:jc w:val="left"/>
        <w:rPr>
          <w:rFonts w:hint="eastAsia"/>
          <w:sz w:val="30"/>
          <w:szCs w:val="30"/>
        </w:rPr>
      </w:pPr>
      <w:r>
        <w:rPr>
          <w:rFonts w:hint="eastAsia"/>
          <w:sz w:val="30"/>
          <w:szCs w:val="30"/>
        </w:rPr>
        <w:t>无疑，他们包括圣天使，也包括得荣耀的圣徒，他们在新的复活身体中欢欣，并因神的公义而欢腾 (太 13:43, 24:29-31, 林前 15:50-58, 帖前 4:13-18, 启 15:1-4, 16:6, 19:11-21)。</w:t>
      </w:r>
    </w:p>
    <w:p w14:paraId="584F363A">
      <w:pPr>
        <w:pStyle w:val="9"/>
        <w:spacing w:before="11"/>
        <w:ind w:left="0"/>
        <w:jc w:val="left"/>
        <w:rPr>
          <w:rFonts w:hint="eastAsia"/>
          <w:sz w:val="30"/>
          <w:szCs w:val="30"/>
        </w:rPr>
      </w:pPr>
    </w:p>
    <w:p w14:paraId="1FC283E5">
      <w:pPr>
        <w:pStyle w:val="9"/>
        <w:spacing w:before="11"/>
        <w:ind w:left="0"/>
        <w:jc w:val="left"/>
        <w:rPr>
          <w:rFonts w:hint="eastAsia"/>
          <w:sz w:val="30"/>
          <w:szCs w:val="30"/>
        </w:rPr>
      </w:pPr>
      <w:r>
        <w:rPr>
          <w:rFonts w:hint="eastAsia"/>
          <w:sz w:val="30"/>
          <w:szCs w:val="30"/>
        </w:rPr>
        <w:t>Who is seated upon the other thrones that were “put in place,” presumably around the throne of Christ itself?</w:t>
      </w:r>
    </w:p>
    <w:p w14:paraId="49689EB8">
      <w:pPr>
        <w:pStyle w:val="9"/>
        <w:spacing w:before="11"/>
        <w:ind w:left="0"/>
        <w:jc w:val="left"/>
        <w:rPr>
          <w:rFonts w:hint="eastAsia"/>
          <w:sz w:val="30"/>
          <w:szCs w:val="30"/>
        </w:rPr>
      </w:pPr>
      <w:r>
        <w:rPr>
          <w:rFonts w:hint="eastAsia"/>
          <w:sz w:val="30"/>
          <w:szCs w:val="30"/>
        </w:rPr>
        <w:t>那些被“安设”的、大概是围绕基督宝座的其他宝座上坐着的是谁？</w:t>
      </w:r>
    </w:p>
    <w:p w14:paraId="20A71E22">
      <w:pPr>
        <w:pStyle w:val="9"/>
        <w:spacing w:before="11"/>
        <w:ind w:left="0"/>
        <w:jc w:val="left"/>
        <w:rPr>
          <w:rFonts w:hint="eastAsia"/>
          <w:sz w:val="30"/>
          <w:szCs w:val="30"/>
        </w:rPr>
      </w:pPr>
    </w:p>
    <w:p w14:paraId="250D2244">
      <w:pPr>
        <w:pStyle w:val="9"/>
        <w:spacing w:before="11"/>
        <w:ind w:left="0"/>
        <w:jc w:val="left"/>
        <w:rPr>
          <w:rFonts w:hint="eastAsia"/>
          <w:sz w:val="30"/>
          <w:szCs w:val="30"/>
        </w:rPr>
      </w:pPr>
      <w:r>
        <w:rPr>
          <w:rFonts w:hint="eastAsia"/>
          <w:sz w:val="30"/>
          <w:szCs w:val="30"/>
        </w:rPr>
        <w:t>Again the NT answers richly, assuring us that the thrones belong to the saints of Christ, who, under him, will judge both men and angels (Rom. 16:20, 1 Cor. 6:1-3, Rev. 4:4, 19:11- 21).</w:t>
      </w:r>
    </w:p>
    <w:p w14:paraId="46306445">
      <w:pPr>
        <w:pStyle w:val="9"/>
        <w:spacing w:before="11"/>
        <w:ind w:left="0"/>
        <w:jc w:val="left"/>
        <w:rPr>
          <w:rFonts w:hint="eastAsia"/>
          <w:sz w:val="30"/>
          <w:szCs w:val="30"/>
        </w:rPr>
      </w:pPr>
      <w:r>
        <w:rPr>
          <w:rFonts w:hint="eastAsia"/>
          <w:sz w:val="30"/>
          <w:szCs w:val="30"/>
        </w:rPr>
        <w:t>新约再次丰富地回答了我们，向我们保证这些宝座属于基督的圣徒，他们将在祂的权下审判人和天使 (罗 16:20, 林前 6:1-3, 启 4:4, 19:11-21)。</w:t>
      </w:r>
    </w:p>
    <w:p w14:paraId="6B5F228A">
      <w:pPr>
        <w:pStyle w:val="9"/>
        <w:spacing w:before="11"/>
        <w:ind w:left="0"/>
        <w:jc w:val="left"/>
        <w:rPr>
          <w:rFonts w:hint="eastAsia"/>
          <w:sz w:val="30"/>
          <w:szCs w:val="30"/>
        </w:rPr>
      </w:pPr>
    </w:p>
    <w:p w14:paraId="443D8447">
      <w:pPr>
        <w:pStyle w:val="9"/>
        <w:spacing w:before="11"/>
        <w:ind w:left="0"/>
        <w:jc w:val="left"/>
        <w:rPr>
          <w:rFonts w:hint="eastAsia"/>
          <w:sz w:val="30"/>
          <w:szCs w:val="30"/>
        </w:rPr>
      </w:pPr>
      <w:r>
        <w:rPr>
          <w:rFonts w:hint="eastAsia"/>
          <w:sz w:val="30"/>
          <w:szCs w:val="30"/>
        </w:rPr>
        <w:t>And what of the books that were opened when the court sat for judgment?</w:t>
      </w:r>
    </w:p>
    <w:p w14:paraId="734D358B">
      <w:pPr>
        <w:pStyle w:val="9"/>
        <w:spacing w:before="11"/>
        <w:ind w:left="0"/>
        <w:jc w:val="left"/>
        <w:rPr>
          <w:rFonts w:hint="eastAsia"/>
          <w:sz w:val="30"/>
          <w:szCs w:val="30"/>
        </w:rPr>
      </w:pPr>
      <w:r>
        <w:rPr>
          <w:rFonts w:hint="eastAsia"/>
          <w:sz w:val="30"/>
          <w:szCs w:val="30"/>
        </w:rPr>
        <w:t>当法庭坐下审判时展开的案卷又是什么呢？</w:t>
      </w:r>
    </w:p>
    <w:p w14:paraId="4AAC0A41">
      <w:pPr>
        <w:pStyle w:val="9"/>
        <w:spacing w:before="11"/>
        <w:ind w:left="0"/>
        <w:jc w:val="left"/>
        <w:rPr>
          <w:rFonts w:hint="eastAsia"/>
          <w:sz w:val="30"/>
          <w:szCs w:val="30"/>
        </w:rPr>
      </w:pPr>
    </w:p>
    <w:p w14:paraId="675E1D98">
      <w:pPr>
        <w:pStyle w:val="9"/>
        <w:spacing w:before="11"/>
        <w:ind w:left="0"/>
        <w:jc w:val="left"/>
        <w:rPr>
          <w:rFonts w:hint="eastAsia"/>
          <w:sz w:val="30"/>
          <w:szCs w:val="30"/>
        </w:rPr>
      </w:pPr>
      <w:r>
        <w:rPr>
          <w:rFonts w:hint="eastAsia"/>
          <w:sz w:val="30"/>
          <w:szCs w:val="30"/>
        </w:rPr>
        <w:t>The NT clearly identifies them as the Book of Life, and also as the books in which are recorded the deeds of all men, so that all may be judged according to their works (Luke 10:20, Rev. 20:12).</w:t>
      </w:r>
    </w:p>
    <w:p w14:paraId="144AFCAE">
      <w:pPr>
        <w:pStyle w:val="9"/>
        <w:spacing w:before="11"/>
        <w:ind w:left="0"/>
        <w:jc w:val="left"/>
        <w:rPr>
          <w:rFonts w:hint="eastAsia"/>
          <w:sz w:val="30"/>
          <w:szCs w:val="30"/>
        </w:rPr>
      </w:pPr>
      <w:r>
        <w:rPr>
          <w:rFonts w:hint="eastAsia"/>
          <w:sz w:val="30"/>
          <w:szCs w:val="30"/>
        </w:rPr>
        <w:t>新约清楚地将它们认定为生命册，也认定为记录了所有人行为的案卷，以便所有人都可以按他们的行为受审判 (路 10:20, 启 20:12)。</w:t>
      </w:r>
    </w:p>
    <w:p w14:paraId="5E93683F">
      <w:pPr>
        <w:pStyle w:val="9"/>
        <w:spacing w:before="11"/>
        <w:ind w:left="0"/>
        <w:jc w:val="left"/>
        <w:rPr>
          <w:rFonts w:hint="eastAsia"/>
          <w:sz w:val="30"/>
          <w:szCs w:val="30"/>
        </w:rPr>
      </w:pPr>
    </w:p>
    <w:p w14:paraId="149F0B13">
      <w:pPr>
        <w:pStyle w:val="9"/>
        <w:spacing w:before="11"/>
        <w:ind w:left="0"/>
        <w:jc w:val="left"/>
        <w:rPr>
          <w:rFonts w:hint="eastAsia"/>
          <w:sz w:val="30"/>
          <w:szCs w:val="30"/>
        </w:rPr>
      </w:pPr>
      <w:r>
        <w:rPr>
          <w:rFonts w:hint="eastAsia"/>
          <w:sz w:val="30"/>
          <w:szCs w:val="30"/>
        </w:rPr>
        <w:t>We conclude, then, that the NCH does indeed fully illuminate this majestic and mysterious OT revelation of the Last Judgment.</w:t>
      </w:r>
    </w:p>
    <w:p w14:paraId="0EBCC5EC">
      <w:pPr>
        <w:pStyle w:val="9"/>
        <w:spacing w:before="11"/>
        <w:ind w:left="0"/>
        <w:jc w:val="left"/>
        <w:rPr>
          <w:rFonts w:hint="eastAsia"/>
          <w:sz w:val="30"/>
          <w:szCs w:val="30"/>
        </w:rPr>
      </w:pPr>
      <w:r>
        <w:rPr>
          <w:rFonts w:hint="eastAsia"/>
          <w:sz w:val="30"/>
          <w:szCs w:val="30"/>
        </w:rPr>
        <w:t>因此，我们得出结论，新约解释学确实完全阐明了这个关于最后审判的威严而神秘的旧约启示。</w:t>
      </w:r>
    </w:p>
    <w:p w14:paraId="7DD2D3C0">
      <w:pPr>
        <w:pStyle w:val="9"/>
        <w:spacing w:before="11"/>
        <w:ind w:left="0"/>
        <w:jc w:val="left"/>
        <w:rPr>
          <w:rFonts w:hint="eastAsia"/>
          <w:sz w:val="30"/>
          <w:szCs w:val="30"/>
        </w:rPr>
      </w:pPr>
    </w:p>
    <w:p w14:paraId="0A37A776">
      <w:pPr>
        <w:pStyle w:val="9"/>
        <w:spacing w:before="11"/>
        <w:ind w:left="0"/>
        <w:jc w:val="left"/>
        <w:rPr>
          <w:rFonts w:hint="eastAsia"/>
          <w:sz w:val="30"/>
          <w:szCs w:val="30"/>
        </w:rPr>
      </w:pPr>
      <w:r>
        <w:rPr>
          <w:rFonts w:hint="eastAsia"/>
          <w:sz w:val="30"/>
          <w:szCs w:val="30"/>
        </w:rPr>
        <w:t>The Coronation of the Divine Son of Man (vv. 13-14)</w:t>
      </w:r>
    </w:p>
    <w:p w14:paraId="6B70E32F">
      <w:pPr>
        <w:pStyle w:val="9"/>
        <w:spacing w:before="11"/>
        <w:ind w:left="0"/>
        <w:jc w:val="left"/>
        <w:rPr>
          <w:rFonts w:hint="eastAsia"/>
          <w:sz w:val="30"/>
          <w:szCs w:val="30"/>
        </w:rPr>
      </w:pPr>
      <w:r>
        <w:rPr>
          <w:rFonts w:hint="eastAsia"/>
          <w:sz w:val="30"/>
          <w:szCs w:val="30"/>
        </w:rPr>
        <w:t>神圣人子的加冕 (第13-14节)</w:t>
      </w:r>
    </w:p>
    <w:p w14:paraId="552AD381">
      <w:pPr>
        <w:pStyle w:val="9"/>
        <w:spacing w:before="11"/>
        <w:ind w:left="0"/>
        <w:jc w:val="left"/>
        <w:rPr>
          <w:rFonts w:hint="eastAsia"/>
          <w:sz w:val="30"/>
          <w:szCs w:val="30"/>
        </w:rPr>
      </w:pPr>
    </w:p>
    <w:p w14:paraId="30324A87">
      <w:pPr>
        <w:pStyle w:val="9"/>
        <w:spacing w:before="11"/>
        <w:ind w:left="0"/>
        <w:jc w:val="left"/>
        <w:rPr>
          <w:rFonts w:hint="eastAsia"/>
          <w:sz w:val="30"/>
          <w:szCs w:val="30"/>
        </w:rPr>
      </w:pPr>
      <w:r>
        <w:rPr>
          <w:rFonts w:hint="eastAsia"/>
          <w:sz w:val="30"/>
          <w:szCs w:val="30"/>
        </w:rPr>
        <w:t>As Daniel continues to watch, still another vision appears before his inward eye.</w:t>
      </w:r>
    </w:p>
    <w:p w14:paraId="2618447F">
      <w:pPr>
        <w:pStyle w:val="9"/>
        <w:spacing w:before="11"/>
        <w:ind w:left="0"/>
        <w:jc w:val="left"/>
        <w:rPr>
          <w:rFonts w:hint="eastAsia"/>
          <w:sz w:val="30"/>
          <w:szCs w:val="30"/>
        </w:rPr>
      </w:pPr>
      <w:r>
        <w:rPr>
          <w:rFonts w:hint="eastAsia"/>
          <w:sz w:val="30"/>
          <w:szCs w:val="30"/>
        </w:rPr>
        <w:t>当但以理继续观看时，又一个异象出现在他的心眼之前。</w:t>
      </w:r>
    </w:p>
    <w:p w14:paraId="075CDC57">
      <w:pPr>
        <w:pStyle w:val="9"/>
        <w:spacing w:before="11"/>
        <w:ind w:left="0"/>
        <w:jc w:val="left"/>
        <w:rPr>
          <w:rFonts w:hint="eastAsia"/>
          <w:sz w:val="30"/>
          <w:szCs w:val="30"/>
        </w:rPr>
      </w:pPr>
    </w:p>
    <w:p w14:paraId="710E7FB1">
      <w:pPr>
        <w:pStyle w:val="9"/>
        <w:spacing w:before="11"/>
        <w:ind w:left="0"/>
        <w:jc w:val="left"/>
        <w:rPr>
          <w:rFonts w:hint="eastAsia"/>
          <w:sz w:val="30"/>
          <w:szCs w:val="30"/>
        </w:rPr>
      </w:pPr>
      <w:r>
        <w:rPr>
          <w:rFonts w:hint="eastAsia"/>
          <w:sz w:val="30"/>
          <w:szCs w:val="30"/>
        </w:rPr>
        <w:t>He beholds a Personage—One like a Son of Man—coming with the clouds of heaven to the Ancient of Days.</w:t>
      </w:r>
    </w:p>
    <w:p w14:paraId="7B1D5022">
      <w:pPr>
        <w:pStyle w:val="9"/>
        <w:spacing w:before="11"/>
        <w:ind w:left="0"/>
        <w:jc w:val="left"/>
        <w:rPr>
          <w:rFonts w:hint="eastAsia"/>
          <w:sz w:val="30"/>
          <w:szCs w:val="30"/>
        </w:rPr>
      </w:pPr>
      <w:r>
        <w:rPr>
          <w:rFonts w:hint="eastAsia"/>
          <w:sz w:val="30"/>
          <w:szCs w:val="30"/>
        </w:rPr>
        <w:t>祂看见一位人物——一位像人子的——驾着天云来到亘古常在者面前。</w:t>
      </w:r>
    </w:p>
    <w:p w14:paraId="7244C6BD">
      <w:pPr>
        <w:pStyle w:val="9"/>
        <w:spacing w:before="11"/>
        <w:ind w:left="0"/>
        <w:jc w:val="left"/>
        <w:rPr>
          <w:rFonts w:hint="eastAsia"/>
          <w:sz w:val="30"/>
          <w:szCs w:val="30"/>
        </w:rPr>
      </w:pPr>
    </w:p>
    <w:p w14:paraId="0E7F9971">
      <w:pPr>
        <w:pStyle w:val="9"/>
        <w:spacing w:before="11"/>
        <w:ind w:left="0"/>
        <w:jc w:val="left"/>
        <w:rPr>
          <w:rFonts w:hint="eastAsia"/>
          <w:sz w:val="30"/>
          <w:szCs w:val="30"/>
        </w:rPr>
      </w:pPr>
      <w:r>
        <w:rPr>
          <w:rFonts w:hint="eastAsia"/>
          <w:sz w:val="30"/>
          <w:szCs w:val="30"/>
        </w:rPr>
        <w:t>An entourage, presumably of angels, brings him near to the throne (v. 13).</w:t>
      </w:r>
    </w:p>
    <w:p w14:paraId="7E199EC4">
      <w:pPr>
        <w:pStyle w:val="9"/>
        <w:spacing w:before="11"/>
        <w:ind w:left="0"/>
        <w:jc w:val="left"/>
        <w:rPr>
          <w:rFonts w:hint="eastAsia"/>
          <w:sz w:val="30"/>
          <w:szCs w:val="30"/>
        </w:rPr>
      </w:pPr>
      <w:r>
        <w:rPr>
          <w:rFonts w:hint="eastAsia"/>
          <w:sz w:val="30"/>
          <w:szCs w:val="30"/>
        </w:rPr>
        <w:t>一个随行队伍，大概是天使，将祂引到宝座前 (第13节)。</w:t>
      </w:r>
    </w:p>
    <w:p w14:paraId="355C87B2">
      <w:pPr>
        <w:pStyle w:val="9"/>
        <w:spacing w:before="11"/>
        <w:ind w:left="0"/>
        <w:jc w:val="left"/>
        <w:rPr>
          <w:rFonts w:hint="eastAsia"/>
          <w:sz w:val="30"/>
          <w:szCs w:val="30"/>
        </w:rPr>
      </w:pPr>
    </w:p>
    <w:p w14:paraId="313F1DF4">
      <w:pPr>
        <w:pStyle w:val="9"/>
        <w:spacing w:before="11"/>
        <w:ind w:left="0"/>
        <w:jc w:val="left"/>
        <w:rPr>
          <w:rFonts w:hint="eastAsia"/>
          <w:sz w:val="30"/>
          <w:szCs w:val="30"/>
        </w:rPr>
      </w:pPr>
      <w:r>
        <w:rPr>
          <w:rFonts w:hint="eastAsia"/>
          <w:sz w:val="30"/>
          <w:szCs w:val="30"/>
        </w:rPr>
        <w:t>At this point, God gives him dominion, glory, and a kingdom—or a right of sovereignty —so that all peoples, nations, and languages might serve him.</w:t>
      </w:r>
    </w:p>
    <w:p w14:paraId="385EB430">
      <w:pPr>
        <w:pStyle w:val="9"/>
        <w:spacing w:before="11"/>
        <w:ind w:left="0"/>
        <w:jc w:val="left"/>
        <w:rPr>
          <w:rFonts w:hint="eastAsia"/>
          <w:sz w:val="30"/>
          <w:szCs w:val="30"/>
        </w:rPr>
      </w:pPr>
      <w:r>
        <w:rPr>
          <w:rFonts w:hint="eastAsia"/>
          <w:sz w:val="30"/>
          <w:szCs w:val="30"/>
        </w:rPr>
        <w:t>此时，神赐给祂权柄、荣耀和国度——或主权——使各方、各国、各族的人都事奉祂。</w:t>
      </w:r>
    </w:p>
    <w:p w14:paraId="3953E6D7">
      <w:pPr>
        <w:pStyle w:val="9"/>
        <w:spacing w:before="11"/>
        <w:ind w:left="0"/>
        <w:jc w:val="left"/>
        <w:rPr>
          <w:rFonts w:hint="eastAsia"/>
          <w:sz w:val="30"/>
          <w:szCs w:val="30"/>
        </w:rPr>
      </w:pPr>
    </w:p>
    <w:p w14:paraId="06846CCC">
      <w:pPr>
        <w:pStyle w:val="9"/>
        <w:spacing w:before="11"/>
        <w:ind w:left="0"/>
        <w:jc w:val="left"/>
        <w:rPr>
          <w:rFonts w:hint="eastAsia"/>
          <w:sz w:val="30"/>
          <w:szCs w:val="30"/>
        </w:rPr>
      </w:pPr>
      <w:r>
        <w:rPr>
          <w:rFonts w:hint="eastAsia"/>
          <w:sz w:val="30"/>
          <w:szCs w:val="30"/>
        </w:rPr>
        <w:t>Unlike the dominion of the four beasts, the dominion of the Son of Man will be everlasting.</w:t>
      </w:r>
    </w:p>
    <w:p w14:paraId="4C6541C4">
      <w:pPr>
        <w:pStyle w:val="9"/>
        <w:spacing w:before="11"/>
        <w:ind w:left="0"/>
        <w:jc w:val="left"/>
        <w:rPr>
          <w:rFonts w:hint="eastAsia"/>
          <w:sz w:val="30"/>
          <w:szCs w:val="30"/>
        </w:rPr>
      </w:pPr>
      <w:r>
        <w:rPr>
          <w:rFonts w:hint="eastAsia"/>
          <w:sz w:val="30"/>
          <w:szCs w:val="30"/>
        </w:rPr>
        <w:t>与四兽的权柄不同，人子的权柄是永恒的。</w:t>
      </w:r>
    </w:p>
    <w:p w14:paraId="48C5D760">
      <w:pPr>
        <w:pStyle w:val="9"/>
        <w:spacing w:before="11"/>
        <w:ind w:left="0"/>
        <w:jc w:val="left"/>
        <w:rPr>
          <w:rFonts w:hint="eastAsia"/>
          <w:sz w:val="30"/>
          <w:szCs w:val="30"/>
        </w:rPr>
      </w:pPr>
    </w:p>
    <w:p w14:paraId="0FDAEFDC">
      <w:pPr>
        <w:pStyle w:val="9"/>
        <w:spacing w:before="11"/>
        <w:ind w:left="0"/>
        <w:jc w:val="left"/>
        <w:rPr>
          <w:rFonts w:hint="eastAsia"/>
          <w:sz w:val="30"/>
          <w:szCs w:val="30"/>
        </w:rPr>
      </w:pPr>
      <w:r>
        <w:rPr>
          <w:rFonts w:hint="eastAsia"/>
          <w:sz w:val="30"/>
          <w:szCs w:val="30"/>
        </w:rPr>
        <w:t>Unlike the kingdoms of the four beasts, the Kingdom of the Son of Man—which is the fruit of his dominion—will never pass away or be destroyed (v. 14).</w:t>
      </w:r>
    </w:p>
    <w:p w14:paraId="056EB8E1">
      <w:pPr>
        <w:pStyle w:val="9"/>
        <w:spacing w:before="11"/>
        <w:ind w:left="0"/>
        <w:jc w:val="left"/>
        <w:rPr>
          <w:rFonts w:hint="eastAsia"/>
          <w:sz w:val="30"/>
          <w:szCs w:val="30"/>
        </w:rPr>
      </w:pPr>
      <w:r>
        <w:rPr>
          <w:rFonts w:hint="eastAsia"/>
          <w:sz w:val="30"/>
          <w:szCs w:val="30"/>
        </w:rPr>
        <w:t>与四兽的国度不同，人子的国度——是祂权柄的果实——将永不废去，也不会被毁坏 (v. 14)。</w:t>
      </w:r>
    </w:p>
    <w:p w14:paraId="5067212C">
      <w:pPr>
        <w:pStyle w:val="9"/>
        <w:spacing w:before="11"/>
        <w:ind w:left="0"/>
        <w:jc w:val="left"/>
        <w:rPr>
          <w:rFonts w:hint="eastAsia"/>
          <w:sz w:val="30"/>
          <w:szCs w:val="30"/>
        </w:rPr>
      </w:pPr>
    </w:p>
    <w:p w14:paraId="7D8F73C3">
      <w:pPr>
        <w:pStyle w:val="9"/>
        <w:spacing w:before="11"/>
        <w:ind w:left="0"/>
        <w:jc w:val="left"/>
        <w:rPr>
          <w:rFonts w:hint="eastAsia"/>
          <w:sz w:val="30"/>
          <w:szCs w:val="30"/>
        </w:rPr>
      </w:pPr>
      <w:r>
        <w:rPr>
          <w:rFonts w:hint="eastAsia"/>
          <w:sz w:val="30"/>
          <w:szCs w:val="30"/>
        </w:rPr>
        <w:t>Regarding this brief, opaque text, three great questions arise, questions that only the NT can answer in such a way as to bring clarity and conviction: (1) Who is the One like a Son of Man, (2) What is the nature of the transfer of authority here envisioned, and (3) When exactly does the transfer occur?</w:t>
      </w:r>
    </w:p>
    <w:p w14:paraId="08F521E1">
      <w:pPr>
        <w:pStyle w:val="9"/>
        <w:spacing w:before="11"/>
        <w:ind w:left="0"/>
        <w:jc w:val="left"/>
        <w:rPr>
          <w:rFonts w:hint="eastAsia"/>
          <w:sz w:val="30"/>
          <w:szCs w:val="30"/>
        </w:rPr>
      </w:pPr>
      <w:r>
        <w:rPr>
          <w:rFonts w:hint="eastAsia"/>
          <w:sz w:val="30"/>
          <w:szCs w:val="30"/>
        </w:rPr>
        <w:t>关于这段简短而晦涩的经文，产生了三个大问题，这些问题只有新约才能以带来清晰和确信的方式来回答：(1) 那位像人子的是谁，(2) 这里所预见的权柄移交的性质是什么，以及 (3) 移交究竟何时发生？</w:t>
      </w:r>
    </w:p>
    <w:p w14:paraId="07283E9A">
      <w:pPr>
        <w:pStyle w:val="9"/>
        <w:spacing w:before="11"/>
        <w:ind w:left="0"/>
        <w:jc w:val="left"/>
        <w:rPr>
          <w:rFonts w:hint="eastAsia"/>
          <w:sz w:val="30"/>
          <w:szCs w:val="30"/>
        </w:rPr>
      </w:pPr>
    </w:p>
    <w:p w14:paraId="2816F191">
      <w:pPr>
        <w:pStyle w:val="9"/>
        <w:spacing w:before="11"/>
        <w:ind w:left="0"/>
        <w:jc w:val="left"/>
        <w:rPr>
          <w:rFonts w:hint="eastAsia"/>
          <w:sz w:val="30"/>
          <w:szCs w:val="30"/>
        </w:rPr>
      </w:pPr>
      <w:r>
        <w:rPr>
          <w:rFonts w:hint="eastAsia"/>
          <w:sz w:val="30"/>
          <w:szCs w:val="30"/>
        </w:rPr>
        <w:t>As for the One like a Son of Man, nearly all evangelical commentators identify him as the Messiah, the divine-human Lord Jesus Christ (Dan. 9:25-26).</w:t>
      </w:r>
    </w:p>
    <w:p w14:paraId="1FC437EA">
      <w:pPr>
        <w:pStyle w:val="9"/>
        <w:spacing w:before="11"/>
        <w:ind w:left="0"/>
        <w:jc w:val="left"/>
        <w:rPr>
          <w:rFonts w:hint="eastAsia"/>
          <w:sz w:val="30"/>
          <w:szCs w:val="30"/>
        </w:rPr>
      </w:pPr>
      <w:r>
        <w:rPr>
          <w:rFonts w:hint="eastAsia"/>
          <w:sz w:val="30"/>
          <w:szCs w:val="30"/>
        </w:rPr>
        <w:t>至于那位像人子的，几乎所有福音派解经家都将祂认定为弥赛亚，即神人二性的主耶稣基督 (但 9:25-26)。</w:t>
      </w:r>
    </w:p>
    <w:p w14:paraId="4EF4F3DA">
      <w:pPr>
        <w:pStyle w:val="9"/>
        <w:spacing w:before="11"/>
        <w:ind w:left="0"/>
        <w:jc w:val="left"/>
        <w:rPr>
          <w:rFonts w:hint="eastAsia"/>
          <w:sz w:val="30"/>
          <w:szCs w:val="30"/>
        </w:rPr>
      </w:pPr>
    </w:p>
    <w:p w14:paraId="33F59A63">
      <w:pPr>
        <w:pStyle w:val="9"/>
        <w:spacing w:before="11"/>
        <w:ind w:left="0"/>
        <w:jc w:val="left"/>
        <w:rPr>
          <w:rFonts w:hint="eastAsia"/>
          <w:sz w:val="30"/>
          <w:szCs w:val="30"/>
        </w:rPr>
      </w:pPr>
      <w:r>
        <w:rPr>
          <w:rFonts w:hint="eastAsia"/>
          <w:sz w:val="30"/>
          <w:szCs w:val="30"/>
        </w:rPr>
        <w:t>True, our text displays a certain parallel between the inheritance of the Son of Man (v. 14) and the inheritance of the saints (vv. 18, 27), suggesting to some that the Son of Man symbolizes the saints.</w:t>
      </w:r>
    </w:p>
    <w:p w14:paraId="79BAA311">
      <w:pPr>
        <w:pStyle w:val="9"/>
        <w:spacing w:before="11"/>
        <w:ind w:left="0"/>
        <w:jc w:val="left"/>
        <w:rPr>
          <w:rFonts w:hint="eastAsia"/>
          <w:sz w:val="30"/>
          <w:szCs w:val="30"/>
        </w:rPr>
      </w:pPr>
      <w:r>
        <w:rPr>
          <w:rFonts w:hint="eastAsia"/>
          <w:sz w:val="30"/>
          <w:szCs w:val="30"/>
        </w:rPr>
        <w:t>诚然，我们的经文在人子的产业（第14节）和圣徒的产业（第18, 27节）之间显示出某种平行关系，这让一些人认为人子象征着圣徒。</w:t>
      </w:r>
    </w:p>
    <w:p w14:paraId="7B653090">
      <w:pPr>
        <w:pStyle w:val="9"/>
        <w:spacing w:before="11"/>
        <w:ind w:left="0"/>
        <w:jc w:val="left"/>
        <w:rPr>
          <w:rFonts w:hint="eastAsia"/>
          <w:sz w:val="30"/>
          <w:szCs w:val="30"/>
        </w:rPr>
      </w:pPr>
    </w:p>
    <w:p w14:paraId="3FF6BCBB">
      <w:pPr>
        <w:pStyle w:val="9"/>
        <w:spacing w:before="11"/>
        <w:ind w:left="0"/>
        <w:jc w:val="left"/>
        <w:rPr>
          <w:rFonts w:hint="eastAsia"/>
          <w:sz w:val="30"/>
          <w:szCs w:val="30"/>
        </w:rPr>
      </w:pPr>
      <w:r>
        <w:rPr>
          <w:rFonts w:hint="eastAsia"/>
          <w:sz w:val="30"/>
          <w:szCs w:val="30"/>
        </w:rPr>
        <w:t>But Daniel explicitly identifies this Personage as One who is like a Son of Man, and he uses the singular pronoun throughout to speak of him.</w:t>
      </w:r>
    </w:p>
    <w:p w14:paraId="284DD93B">
      <w:pPr>
        <w:pStyle w:val="9"/>
        <w:spacing w:before="11"/>
        <w:ind w:left="0"/>
        <w:jc w:val="left"/>
        <w:rPr>
          <w:rFonts w:hint="eastAsia"/>
          <w:sz w:val="30"/>
          <w:szCs w:val="30"/>
        </w:rPr>
      </w:pPr>
      <w:r>
        <w:rPr>
          <w:rFonts w:hint="eastAsia"/>
          <w:sz w:val="30"/>
          <w:szCs w:val="30"/>
        </w:rPr>
        <w:t>但但以理明确地将这位人物认定为一位像人子的，并且在论及祂时一直使用单数代词。</w:t>
      </w:r>
    </w:p>
    <w:p w14:paraId="61102D2F">
      <w:pPr>
        <w:pStyle w:val="9"/>
        <w:spacing w:before="11"/>
        <w:ind w:left="0"/>
        <w:jc w:val="left"/>
        <w:rPr>
          <w:rFonts w:hint="eastAsia"/>
          <w:sz w:val="30"/>
          <w:szCs w:val="30"/>
        </w:rPr>
      </w:pPr>
    </w:p>
    <w:p w14:paraId="026C5ECC">
      <w:pPr>
        <w:pStyle w:val="9"/>
        <w:spacing w:before="11"/>
        <w:ind w:left="0"/>
        <w:jc w:val="left"/>
        <w:rPr>
          <w:rFonts w:hint="eastAsia"/>
          <w:sz w:val="30"/>
          <w:szCs w:val="30"/>
        </w:rPr>
      </w:pPr>
      <w:r>
        <w:rPr>
          <w:rFonts w:hint="eastAsia"/>
          <w:sz w:val="30"/>
          <w:szCs w:val="30"/>
        </w:rPr>
        <w:t>As for the parallelism, the NT explains all, declaring that through Christ the saints will indeed reign (and judge) upon the earth (Rev. 2:26-27, 5:10).</w:t>
      </w:r>
    </w:p>
    <w:p w14:paraId="3A71A52F">
      <w:pPr>
        <w:pStyle w:val="9"/>
        <w:spacing w:before="11"/>
        <w:ind w:left="0"/>
        <w:jc w:val="left"/>
        <w:rPr>
          <w:rFonts w:hint="eastAsia"/>
          <w:sz w:val="30"/>
          <w:szCs w:val="30"/>
        </w:rPr>
      </w:pPr>
      <w:r>
        <w:rPr>
          <w:rFonts w:hint="eastAsia"/>
          <w:sz w:val="30"/>
          <w:szCs w:val="30"/>
        </w:rPr>
        <w:t>至于这种平行关系，新约解释了一切，宣告说通过基督，圣徒们确实将在地上作王（和审判）(启 2:26-27, 5:10)。</w:t>
      </w:r>
    </w:p>
    <w:p w14:paraId="72F6F602">
      <w:pPr>
        <w:pStyle w:val="9"/>
        <w:spacing w:before="11"/>
        <w:ind w:left="0"/>
        <w:jc w:val="left"/>
        <w:rPr>
          <w:rFonts w:hint="eastAsia"/>
          <w:sz w:val="30"/>
          <w:szCs w:val="30"/>
        </w:rPr>
      </w:pPr>
    </w:p>
    <w:p w14:paraId="5B74044A">
      <w:pPr>
        <w:pStyle w:val="9"/>
        <w:spacing w:before="11"/>
        <w:ind w:left="0"/>
        <w:jc w:val="left"/>
        <w:rPr>
          <w:rFonts w:hint="eastAsia"/>
          <w:sz w:val="30"/>
          <w:szCs w:val="30"/>
        </w:rPr>
      </w:pPr>
      <w:r>
        <w:rPr>
          <w:rFonts w:hint="eastAsia"/>
          <w:sz w:val="30"/>
          <w:szCs w:val="30"/>
        </w:rPr>
        <w:t>Very importantly, in the days of his flesh, the Lord Jesus over and again spoke of himself as the Son of Man; it was, by far, his favorite self-designation, meant not only to identify him as the Messiah, but as a divine Messiah whose true origin is heaven itself.</w:t>
      </w:r>
    </w:p>
    <w:p w14:paraId="7F3E8FCC">
      <w:pPr>
        <w:pStyle w:val="9"/>
        <w:spacing w:before="11"/>
        <w:ind w:left="0"/>
        <w:jc w:val="left"/>
        <w:rPr>
          <w:rFonts w:hint="eastAsia"/>
          <w:sz w:val="30"/>
          <w:szCs w:val="30"/>
        </w:rPr>
      </w:pPr>
      <w:r>
        <w:rPr>
          <w:rFonts w:hint="eastAsia"/>
          <w:sz w:val="30"/>
          <w:szCs w:val="30"/>
        </w:rPr>
        <w:t>非常重要的是，在祂肉身的日子里，主耶稣一次又一次地称自己为“人子”；这到目前为止是祂最喜欢的自我称谓，不仅意在表明祂是弥赛亚，而且是一位其真正源头是天上的神圣弥赛亚。</w:t>
      </w:r>
    </w:p>
    <w:p w14:paraId="4C00C536">
      <w:pPr>
        <w:pStyle w:val="9"/>
        <w:spacing w:before="11"/>
        <w:ind w:left="0"/>
        <w:jc w:val="left"/>
        <w:rPr>
          <w:rFonts w:hint="eastAsia"/>
          <w:sz w:val="30"/>
          <w:szCs w:val="30"/>
        </w:rPr>
      </w:pPr>
    </w:p>
    <w:p w14:paraId="5DC42CCC">
      <w:pPr>
        <w:pStyle w:val="9"/>
        <w:spacing w:before="11"/>
        <w:ind w:left="0"/>
        <w:jc w:val="left"/>
        <w:rPr>
          <w:rFonts w:hint="eastAsia"/>
          <w:sz w:val="30"/>
          <w:szCs w:val="30"/>
        </w:rPr>
      </w:pPr>
      <w:r>
        <w:rPr>
          <w:rFonts w:hint="eastAsia"/>
          <w:sz w:val="30"/>
          <w:szCs w:val="30"/>
        </w:rPr>
        <w:t>Notably, towards the end of his earthly course he explicitly cited this text while speaking to the Sanhedrin about his Parousia, lest there should be any confusion at all about which “Son of Man” he understood himself to be (Mt. 26:64, Mark 14:62)!</w:t>
      </w:r>
    </w:p>
    <w:p w14:paraId="19635D46">
      <w:pPr>
        <w:pStyle w:val="9"/>
        <w:spacing w:before="11"/>
        <w:ind w:left="0"/>
        <w:jc w:val="left"/>
        <w:rPr>
          <w:rFonts w:hint="eastAsia"/>
          <w:sz w:val="30"/>
          <w:szCs w:val="30"/>
        </w:rPr>
      </w:pPr>
      <w:r>
        <w:rPr>
          <w:rFonts w:hint="eastAsia"/>
          <w:sz w:val="30"/>
          <w:szCs w:val="30"/>
        </w:rPr>
        <w:t>值得注意的是，在祂地上行程的末期，祂在对公会讲论祂的再临时，明确引用了这段经文，以免对祂理解自己是哪一位“人子”有任何混淆 (太 26:64, 可 14:62)！</w:t>
      </w:r>
    </w:p>
    <w:p w14:paraId="49D16406">
      <w:pPr>
        <w:pStyle w:val="9"/>
        <w:spacing w:before="11"/>
        <w:ind w:left="0"/>
        <w:jc w:val="left"/>
        <w:rPr>
          <w:rFonts w:hint="eastAsia"/>
          <w:sz w:val="30"/>
          <w:szCs w:val="30"/>
        </w:rPr>
      </w:pPr>
    </w:p>
    <w:p w14:paraId="64E53F3B">
      <w:pPr>
        <w:pStyle w:val="9"/>
        <w:spacing w:before="11"/>
        <w:ind w:left="0"/>
        <w:jc w:val="left"/>
        <w:rPr>
          <w:rFonts w:hint="eastAsia"/>
          <w:sz w:val="30"/>
          <w:szCs w:val="30"/>
        </w:rPr>
      </w:pPr>
      <w:r>
        <w:rPr>
          <w:rFonts w:hint="eastAsia"/>
          <w:sz w:val="30"/>
          <w:szCs w:val="30"/>
        </w:rPr>
        <w:t>But what about the nature and timing of the transfer of authority from the Ancient of Days to his Messiah?</w:t>
      </w:r>
    </w:p>
    <w:p w14:paraId="26F13C5F">
      <w:pPr>
        <w:pStyle w:val="9"/>
        <w:spacing w:before="11"/>
        <w:ind w:left="0"/>
        <w:jc w:val="left"/>
        <w:rPr>
          <w:rFonts w:hint="eastAsia"/>
          <w:sz w:val="30"/>
          <w:szCs w:val="30"/>
        </w:rPr>
      </w:pPr>
      <w:r>
        <w:rPr>
          <w:rFonts w:hint="eastAsia"/>
          <w:sz w:val="30"/>
          <w:szCs w:val="30"/>
        </w:rPr>
        <w:t>但是，从亘古常在者到祂的弥赛亚的权柄移交的性质和时间又是如何呢？</w:t>
      </w:r>
    </w:p>
    <w:p w14:paraId="2565E3EF">
      <w:pPr>
        <w:pStyle w:val="9"/>
        <w:spacing w:before="11"/>
        <w:ind w:left="0"/>
        <w:jc w:val="left"/>
        <w:rPr>
          <w:rFonts w:hint="eastAsia"/>
          <w:sz w:val="30"/>
          <w:szCs w:val="30"/>
        </w:rPr>
      </w:pPr>
    </w:p>
    <w:p w14:paraId="76958961">
      <w:pPr>
        <w:pStyle w:val="9"/>
        <w:spacing w:before="11"/>
        <w:ind w:left="0"/>
        <w:jc w:val="left"/>
        <w:rPr>
          <w:rFonts w:hint="eastAsia"/>
          <w:sz w:val="30"/>
          <w:szCs w:val="30"/>
        </w:rPr>
      </w:pPr>
      <w:r>
        <w:rPr>
          <w:rFonts w:hint="eastAsia"/>
          <w:sz w:val="30"/>
          <w:szCs w:val="30"/>
        </w:rPr>
        <w:t>Admittedly, the most natural reading of the text—apart from any reference to explicit NT teaching on the subject— is to say that God will bestow absolute and universal sovereignty upon the Messiah at the Judgment described in the vision immediately preceding; and, indeed, that it may well be the Messiah himself who executes that Judgment (vv. 9-12).</w:t>
      </w:r>
    </w:p>
    <w:p w14:paraId="54266A5D">
      <w:pPr>
        <w:pStyle w:val="9"/>
        <w:spacing w:before="11"/>
        <w:ind w:left="0"/>
        <w:jc w:val="left"/>
        <w:rPr>
          <w:rFonts w:hint="eastAsia"/>
          <w:sz w:val="30"/>
          <w:szCs w:val="30"/>
        </w:rPr>
      </w:pPr>
      <w:r>
        <w:rPr>
          <w:rFonts w:hint="eastAsia"/>
          <w:sz w:val="30"/>
          <w:szCs w:val="30"/>
        </w:rPr>
        <w:t>无可否认，对这段经文最自然的解读——撇开任何关于此主题的明确新约教导——是说神将在紧接其前的异象中所描述的审判时，将绝对和普世的主权赐给弥赛亚；而且，确实，执行那审判的可能正是弥赛亚自己 (第9-12节)。</w:t>
      </w:r>
    </w:p>
    <w:p w14:paraId="25B251B3">
      <w:pPr>
        <w:pStyle w:val="9"/>
        <w:spacing w:before="11"/>
        <w:ind w:left="0"/>
        <w:jc w:val="left"/>
        <w:rPr>
          <w:rFonts w:hint="eastAsia"/>
          <w:sz w:val="30"/>
          <w:szCs w:val="30"/>
        </w:rPr>
      </w:pPr>
    </w:p>
    <w:p w14:paraId="43282F52">
      <w:pPr>
        <w:pStyle w:val="9"/>
        <w:spacing w:before="11"/>
        <w:ind w:left="0"/>
        <w:jc w:val="left"/>
        <w:rPr>
          <w:rFonts w:hint="eastAsia"/>
          <w:sz w:val="30"/>
          <w:szCs w:val="30"/>
        </w:rPr>
      </w:pPr>
      <w:r>
        <w:rPr>
          <w:rFonts w:hint="eastAsia"/>
          <w:sz w:val="30"/>
          <w:szCs w:val="30"/>
        </w:rPr>
        <w:t>Interestingly, certain OT apocrypha, along with several NT texts, make it clear that this was indeed the impression of at least some Jews in Jesus’ day, possibly including John the Baptizer himself (Mt. 3:12, John 12:34).1</w:t>
      </w:r>
    </w:p>
    <w:p w14:paraId="72A8A33D">
      <w:pPr>
        <w:pStyle w:val="9"/>
        <w:spacing w:before="11"/>
        <w:ind w:left="0"/>
        <w:jc w:val="left"/>
        <w:rPr>
          <w:rFonts w:hint="eastAsia"/>
          <w:sz w:val="30"/>
          <w:szCs w:val="30"/>
        </w:rPr>
      </w:pPr>
      <w:r>
        <w:rPr>
          <w:rFonts w:hint="eastAsia"/>
          <w:sz w:val="30"/>
          <w:szCs w:val="30"/>
        </w:rPr>
        <w:t>有趣的是，某些旧约次经，以及几段新约经文，都清楚地表明这确实是耶稣时代至少一些犹太人的印象，可能包括施洗约翰本人 (太 3:12, 约 12:34)。1</w:t>
      </w:r>
    </w:p>
    <w:p w14:paraId="0A829824">
      <w:pPr>
        <w:pStyle w:val="9"/>
        <w:spacing w:before="11"/>
        <w:ind w:left="0"/>
        <w:jc w:val="left"/>
        <w:rPr>
          <w:rFonts w:hint="eastAsia"/>
          <w:sz w:val="30"/>
          <w:szCs w:val="30"/>
        </w:rPr>
      </w:pPr>
    </w:p>
    <w:p w14:paraId="57A652EE">
      <w:pPr>
        <w:pStyle w:val="9"/>
        <w:spacing w:before="11"/>
        <w:ind w:left="0"/>
        <w:jc w:val="left"/>
        <w:rPr>
          <w:rFonts w:hint="eastAsia"/>
          <w:sz w:val="30"/>
          <w:szCs w:val="30"/>
        </w:rPr>
      </w:pPr>
      <w:r>
        <w:rPr>
          <w:rFonts w:hint="eastAsia"/>
          <w:sz w:val="30"/>
          <w:szCs w:val="30"/>
        </w:rPr>
        <w:t>However, the ambiguity here is considerable, and it stands as an open invitation to search the NT for much-needed help.</w:t>
      </w:r>
    </w:p>
    <w:p w14:paraId="29299538">
      <w:pPr>
        <w:pStyle w:val="9"/>
        <w:spacing w:before="11"/>
        <w:ind w:left="0"/>
        <w:jc w:val="left"/>
        <w:rPr>
          <w:rFonts w:hint="eastAsia"/>
          <w:sz w:val="30"/>
          <w:szCs w:val="30"/>
        </w:rPr>
      </w:pPr>
      <w:r>
        <w:rPr>
          <w:rFonts w:hint="eastAsia"/>
          <w:sz w:val="30"/>
          <w:szCs w:val="30"/>
        </w:rPr>
        <w:t>然而，这里的模糊性是相当大的，它像一个公开的邀请，促使我们去新约中寻求亟需的帮助。</w:t>
      </w:r>
    </w:p>
    <w:p w14:paraId="4B17B05B">
      <w:pPr>
        <w:pStyle w:val="9"/>
        <w:spacing w:before="11"/>
        <w:ind w:left="0"/>
        <w:jc w:val="left"/>
        <w:rPr>
          <w:rFonts w:hint="eastAsia"/>
          <w:sz w:val="30"/>
          <w:szCs w:val="30"/>
        </w:rPr>
      </w:pPr>
    </w:p>
    <w:p w14:paraId="0C3DBCAC">
      <w:pPr>
        <w:pStyle w:val="9"/>
        <w:spacing w:before="11"/>
        <w:ind w:left="0"/>
        <w:jc w:val="left"/>
        <w:rPr>
          <w:rFonts w:hint="eastAsia"/>
          <w:sz w:val="30"/>
          <w:szCs w:val="30"/>
        </w:rPr>
      </w:pPr>
      <w:r>
        <w:rPr>
          <w:rFonts w:hint="eastAsia"/>
          <w:sz w:val="30"/>
          <w:szCs w:val="30"/>
        </w:rPr>
        <w:t>Happily, the NT does not disappoint.</w:t>
      </w:r>
    </w:p>
    <w:p w14:paraId="52817BFF">
      <w:pPr>
        <w:pStyle w:val="9"/>
        <w:spacing w:before="11"/>
        <w:ind w:left="0"/>
        <w:jc w:val="left"/>
        <w:rPr>
          <w:rFonts w:hint="eastAsia"/>
          <w:sz w:val="30"/>
          <w:szCs w:val="30"/>
        </w:rPr>
      </w:pPr>
      <w:r>
        <w:rPr>
          <w:rFonts w:hint="eastAsia"/>
          <w:sz w:val="30"/>
          <w:szCs w:val="30"/>
        </w:rPr>
        <w:t>幸运的是，新约没有让人失望。</w:t>
      </w:r>
    </w:p>
    <w:p w14:paraId="2DB4E79C">
      <w:pPr>
        <w:pStyle w:val="9"/>
        <w:spacing w:before="11"/>
        <w:ind w:left="0"/>
        <w:jc w:val="left"/>
        <w:rPr>
          <w:rFonts w:hint="eastAsia"/>
          <w:sz w:val="30"/>
          <w:szCs w:val="30"/>
        </w:rPr>
      </w:pPr>
    </w:p>
    <w:p w14:paraId="5A912606">
      <w:pPr>
        <w:pStyle w:val="9"/>
        <w:spacing w:before="11"/>
        <w:ind w:left="0"/>
        <w:jc w:val="left"/>
        <w:rPr>
          <w:rFonts w:hint="eastAsia"/>
          <w:sz w:val="30"/>
          <w:szCs w:val="30"/>
        </w:rPr>
      </w:pPr>
      <w:r>
        <w:rPr>
          <w:rFonts w:hint="eastAsia"/>
          <w:sz w:val="30"/>
          <w:szCs w:val="30"/>
        </w:rPr>
        <w:t>When was it, according to the NT, that Christ came to the Ancient of Days, riding upon the clouds of heaven (v. 13)?</w:t>
      </w:r>
    </w:p>
    <w:p w14:paraId="22A9D898">
      <w:pPr>
        <w:pStyle w:val="9"/>
        <w:spacing w:before="11"/>
        <w:ind w:left="0"/>
        <w:jc w:val="left"/>
        <w:rPr>
          <w:rFonts w:hint="eastAsia"/>
          <w:sz w:val="30"/>
          <w:szCs w:val="30"/>
        </w:rPr>
      </w:pPr>
      <w:r>
        <w:rPr>
          <w:rFonts w:hint="eastAsia"/>
          <w:sz w:val="30"/>
          <w:szCs w:val="30"/>
        </w:rPr>
        <w:t>根据新约，基督是何时驾着天云来到亘古常在者面前的（第13节）？</w:t>
      </w:r>
    </w:p>
    <w:p w14:paraId="1F62D1C3">
      <w:pPr>
        <w:pStyle w:val="9"/>
        <w:spacing w:before="11"/>
        <w:ind w:left="0"/>
        <w:jc w:val="left"/>
        <w:rPr>
          <w:rFonts w:hint="eastAsia"/>
          <w:sz w:val="30"/>
          <w:szCs w:val="30"/>
        </w:rPr>
      </w:pPr>
    </w:p>
    <w:p w14:paraId="1957AB90">
      <w:pPr>
        <w:pStyle w:val="9"/>
        <w:spacing w:before="11"/>
        <w:ind w:left="0"/>
        <w:jc w:val="left"/>
        <w:rPr>
          <w:rFonts w:hint="eastAsia"/>
          <w:sz w:val="30"/>
          <w:szCs w:val="30"/>
        </w:rPr>
      </w:pPr>
      <w:r>
        <w:rPr>
          <w:rFonts w:hint="eastAsia"/>
          <w:sz w:val="30"/>
          <w:szCs w:val="30"/>
        </w:rPr>
        <w:t>And when was it that God gave him dominion, glory, and absolute sovereignty over all creation, so that in the end all peoples, nations, and men of every tongue might serve both him and his Father (v. 14)?</w:t>
      </w:r>
    </w:p>
    <w:p w14:paraId="3A0CB9FA">
      <w:pPr>
        <w:pStyle w:val="9"/>
        <w:spacing w:before="11"/>
        <w:ind w:left="0"/>
        <w:jc w:val="left"/>
        <w:rPr>
          <w:rFonts w:hint="eastAsia"/>
          <w:sz w:val="30"/>
          <w:szCs w:val="30"/>
        </w:rPr>
      </w:pPr>
      <w:r>
        <w:rPr>
          <w:rFonts w:hint="eastAsia"/>
          <w:sz w:val="30"/>
          <w:szCs w:val="30"/>
        </w:rPr>
        <w:t>神又是在何时将权柄、荣耀和对所有受造物的绝对主权赐给祂，以至于最终各方、各国、各族的人都事奉祂和祂的父（第14节）？</w:t>
      </w:r>
    </w:p>
    <w:p w14:paraId="2912A9BA">
      <w:pPr>
        <w:pStyle w:val="9"/>
        <w:spacing w:before="11"/>
        <w:ind w:left="0"/>
        <w:jc w:val="left"/>
        <w:rPr>
          <w:rFonts w:hint="eastAsia"/>
          <w:sz w:val="30"/>
          <w:szCs w:val="30"/>
        </w:rPr>
      </w:pPr>
    </w:p>
    <w:p w14:paraId="6CF7CABC">
      <w:pPr>
        <w:pStyle w:val="9"/>
        <w:spacing w:before="11"/>
        <w:ind w:left="0"/>
        <w:jc w:val="left"/>
        <w:rPr>
          <w:rFonts w:hint="eastAsia"/>
          <w:sz w:val="30"/>
          <w:szCs w:val="30"/>
        </w:rPr>
      </w:pPr>
      <w:r>
        <w:rPr>
          <w:rFonts w:hint="eastAsia"/>
          <w:sz w:val="30"/>
          <w:szCs w:val="30"/>
        </w:rPr>
        <w:t>As we have already seen, both Jesus and his apostles answer fulsomely: All this occurred when the Father highly exalted Christ by raising him from the dead, catching him up into heaven on clouds of glory, seating him at his own right hand, and bestowing upon him all authority in heaven and earth, so that he might apply and consummate the redemption that he achieved through his humiliation on earth, thereby bringing the Kingdom to its full, final, and glorious form (Luke 19:12, Mt. 28:18ff, Acts 1:9-11, 2:22-36, Phil. 2:5-11, Heb. 1:1-3).</w:t>
      </w:r>
    </w:p>
    <w:p w14:paraId="338F664F">
      <w:pPr>
        <w:pStyle w:val="9"/>
        <w:spacing w:before="11"/>
        <w:ind w:left="0"/>
        <w:jc w:val="left"/>
        <w:rPr>
          <w:rFonts w:hint="eastAsia"/>
          <w:sz w:val="30"/>
          <w:szCs w:val="30"/>
        </w:rPr>
      </w:pPr>
      <w:r>
        <w:rPr>
          <w:rFonts w:hint="eastAsia"/>
          <w:sz w:val="30"/>
          <w:szCs w:val="30"/>
        </w:rPr>
        <w:t>正如我们已经看到的，耶稣和祂的使徒们都详尽地回答了：这一切都发生在父神通过使基督从死里复活，用荣耀的云彩将祂接到天上，让祂坐在自己右边，并将天上地下所有的权柄都赐给祂，从而高举基督的时候，以便祂可以应用并完成祂在地上卑微时所成就的救赎，从而使国度达到其完整、最终和荣耀的形态 (路 19:12, 太 28:18及后, 徒 1:9-11, 2:22-36, 腓 2:5-11, 来 1:1-3)。</w:t>
      </w:r>
    </w:p>
    <w:p w14:paraId="619B3371">
      <w:pPr>
        <w:pStyle w:val="9"/>
        <w:spacing w:before="11"/>
        <w:ind w:left="0"/>
        <w:jc w:val="left"/>
        <w:rPr>
          <w:rFonts w:hint="eastAsia"/>
          <w:sz w:val="30"/>
          <w:szCs w:val="30"/>
        </w:rPr>
      </w:pPr>
    </w:p>
    <w:p w14:paraId="64C94E92">
      <w:pPr>
        <w:pStyle w:val="9"/>
        <w:spacing w:before="11"/>
        <w:ind w:left="0"/>
        <w:jc w:val="left"/>
        <w:rPr>
          <w:rFonts w:hint="eastAsia"/>
          <w:sz w:val="30"/>
          <w:szCs w:val="30"/>
        </w:rPr>
      </w:pPr>
      <w:r>
        <w:rPr>
          <w:rFonts w:hint="eastAsia"/>
          <w:sz w:val="30"/>
          <w:szCs w:val="30"/>
        </w:rPr>
        <w:t>On this score, Rev. 4-5 is of special importance.</w:t>
      </w:r>
    </w:p>
    <w:p w14:paraId="3BEFF7B2">
      <w:pPr>
        <w:pStyle w:val="9"/>
        <w:spacing w:before="11"/>
        <w:ind w:left="0"/>
        <w:jc w:val="left"/>
        <w:rPr>
          <w:rFonts w:hint="eastAsia"/>
          <w:sz w:val="30"/>
          <w:szCs w:val="30"/>
        </w:rPr>
      </w:pPr>
      <w:r>
        <w:rPr>
          <w:rFonts w:hint="eastAsia"/>
          <w:sz w:val="30"/>
          <w:szCs w:val="30"/>
        </w:rPr>
        <w:t>在这一点上，启示录4-5章尤为重要。</w:t>
      </w:r>
    </w:p>
    <w:p w14:paraId="1B42E556">
      <w:pPr>
        <w:pStyle w:val="9"/>
        <w:spacing w:before="11"/>
        <w:ind w:left="0"/>
        <w:jc w:val="left"/>
        <w:rPr>
          <w:rFonts w:hint="eastAsia"/>
          <w:sz w:val="30"/>
          <w:szCs w:val="30"/>
        </w:rPr>
      </w:pPr>
    </w:p>
    <w:p w14:paraId="371AE67B">
      <w:pPr>
        <w:pStyle w:val="9"/>
        <w:spacing w:before="11"/>
        <w:ind w:left="0"/>
        <w:jc w:val="left"/>
        <w:rPr>
          <w:rFonts w:hint="eastAsia"/>
          <w:sz w:val="30"/>
          <w:szCs w:val="30"/>
        </w:rPr>
      </w:pPr>
      <w:r>
        <w:rPr>
          <w:rFonts w:hint="eastAsia"/>
          <w:sz w:val="30"/>
          <w:szCs w:val="30"/>
        </w:rPr>
        <w:t>Indeed, one might well argue that these two chapters constitute a NT elaboration of Dan. 7:9-14.</w:t>
      </w:r>
    </w:p>
    <w:p w14:paraId="0A76790B">
      <w:pPr>
        <w:pStyle w:val="9"/>
        <w:spacing w:before="11"/>
        <w:ind w:left="0"/>
        <w:jc w:val="left"/>
        <w:rPr>
          <w:rFonts w:hint="eastAsia"/>
          <w:sz w:val="30"/>
          <w:szCs w:val="30"/>
        </w:rPr>
      </w:pPr>
      <w:r>
        <w:rPr>
          <w:rFonts w:hint="eastAsia"/>
          <w:sz w:val="30"/>
          <w:szCs w:val="30"/>
        </w:rPr>
        <w:t>的确，人们很可以说这两章构成了对但以理书7:9-14的新约阐述。</w:t>
      </w:r>
    </w:p>
    <w:p w14:paraId="36B96BF6">
      <w:pPr>
        <w:pStyle w:val="9"/>
        <w:spacing w:before="11"/>
        <w:ind w:left="0"/>
        <w:jc w:val="left"/>
        <w:rPr>
          <w:rFonts w:hint="eastAsia"/>
          <w:sz w:val="30"/>
          <w:szCs w:val="30"/>
        </w:rPr>
      </w:pPr>
    </w:p>
    <w:p w14:paraId="15F4E972">
      <w:pPr>
        <w:pStyle w:val="9"/>
        <w:spacing w:before="11"/>
        <w:ind w:left="0"/>
        <w:jc w:val="left"/>
        <w:rPr>
          <w:rFonts w:hint="eastAsia"/>
          <w:sz w:val="30"/>
          <w:szCs w:val="30"/>
        </w:rPr>
      </w:pPr>
      <w:r>
        <w:rPr>
          <w:rFonts w:hint="eastAsia"/>
          <w:sz w:val="30"/>
          <w:szCs w:val="30"/>
        </w:rPr>
        <w:t>In Revelation 4 we behold the Ancient of Days, the eternal Creator and Judge of the world, seated in glory upon his throne.</w:t>
      </w:r>
    </w:p>
    <w:p w14:paraId="1F2B727F">
      <w:pPr>
        <w:pStyle w:val="9"/>
        <w:spacing w:before="11"/>
        <w:ind w:left="0"/>
        <w:jc w:val="left"/>
        <w:rPr>
          <w:rFonts w:hint="eastAsia"/>
          <w:sz w:val="30"/>
          <w:szCs w:val="30"/>
        </w:rPr>
      </w:pPr>
      <w:r>
        <w:rPr>
          <w:rFonts w:hint="eastAsia"/>
          <w:sz w:val="30"/>
          <w:szCs w:val="30"/>
        </w:rPr>
        <w:t>在启示录第4章，我们看见亘古常在者，世界的永恒创造主和审判主，荣耀地坐在祂的宝座上。</w:t>
      </w:r>
    </w:p>
    <w:p w14:paraId="01B298FD">
      <w:pPr>
        <w:pStyle w:val="9"/>
        <w:spacing w:before="11"/>
        <w:ind w:left="0"/>
        <w:jc w:val="left"/>
        <w:rPr>
          <w:rFonts w:hint="eastAsia"/>
          <w:sz w:val="30"/>
          <w:szCs w:val="30"/>
        </w:rPr>
      </w:pPr>
    </w:p>
    <w:p w14:paraId="2327FECF">
      <w:pPr>
        <w:pStyle w:val="9"/>
        <w:spacing w:before="11"/>
        <w:ind w:left="0"/>
        <w:jc w:val="left"/>
        <w:rPr>
          <w:rFonts w:hint="eastAsia"/>
          <w:sz w:val="30"/>
          <w:szCs w:val="30"/>
        </w:rPr>
      </w:pPr>
      <w:r>
        <w:rPr>
          <w:rFonts w:hint="eastAsia"/>
          <w:sz w:val="30"/>
          <w:szCs w:val="30"/>
        </w:rPr>
        <w:t>In Revelation 5 we then behold the Redeemer.</w:t>
      </w:r>
    </w:p>
    <w:p w14:paraId="61C03E86">
      <w:pPr>
        <w:pStyle w:val="9"/>
        <w:spacing w:before="11"/>
        <w:ind w:left="0"/>
        <w:jc w:val="left"/>
        <w:rPr>
          <w:rFonts w:hint="eastAsia"/>
          <w:sz w:val="30"/>
          <w:szCs w:val="30"/>
        </w:rPr>
      </w:pPr>
      <w:r>
        <w:rPr>
          <w:rFonts w:hint="eastAsia"/>
          <w:sz w:val="30"/>
          <w:szCs w:val="30"/>
        </w:rPr>
        <w:t>在启示录第5章，我们接着看见了救赎主。</w:t>
      </w:r>
    </w:p>
    <w:p w14:paraId="073F17E8">
      <w:pPr>
        <w:pStyle w:val="9"/>
        <w:spacing w:before="11"/>
        <w:ind w:left="0"/>
        <w:jc w:val="left"/>
        <w:rPr>
          <w:rFonts w:hint="eastAsia"/>
          <w:sz w:val="30"/>
          <w:szCs w:val="30"/>
        </w:rPr>
      </w:pPr>
    </w:p>
    <w:p w14:paraId="50B38D86">
      <w:pPr>
        <w:pStyle w:val="9"/>
        <w:spacing w:before="11"/>
        <w:ind w:left="0"/>
        <w:jc w:val="left"/>
        <w:rPr>
          <w:rFonts w:hint="eastAsia"/>
          <w:sz w:val="30"/>
          <w:szCs w:val="30"/>
        </w:rPr>
      </w:pPr>
      <w:r>
        <w:rPr>
          <w:rFonts w:hint="eastAsia"/>
          <w:sz w:val="30"/>
          <w:szCs w:val="30"/>
        </w:rPr>
        <w:t>Using apocalyptic imagery quite reminiscent of Daniel 7, the Spirit here depicts the session of the Lord Jesus Christ.</w:t>
      </w:r>
    </w:p>
    <w:p w14:paraId="752A96DC">
      <w:pPr>
        <w:pStyle w:val="9"/>
        <w:spacing w:before="11"/>
        <w:ind w:left="0"/>
        <w:jc w:val="left"/>
        <w:rPr>
          <w:rFonts w:hint="eastAsia"/>
          <w:sz w:val="30"/>
          <w:szCs w:val="30"/>
        </w:rPr>
      </w:pPr>
      <w:r>
        <w:rPr>
          <w:rFonts w:hint="eastAsia"/>
          <w:sz w:val="30"/>
          <w:szCs w:val="30"/>
        </w:rPr>
        <w:t>圣灵在这里使用与但以理书第7章极为相似的启示文学意象，描绘了主耶稣基督的升座。</w:t>
      </w:r>
    </w:p>
    <w:p w14:paraId="50E5884B">
      <w:pPr>
        <w:pStyle w:val="9"/>
        <w:spacing w:before="11"/>
        <w:ind w:left="0"/>
        <w:jc w:val="left"/>
        <w:rPr>
          <w:rFonts w:hint="eastAsia"/>
          <w:sz w:val="30"/>
          <w:szCs w:val="30"/>
        </w:rPr>
      </w:pPr>
    </w:p>
    <w:p w14:paraId="2D999EBA">
      <w:pPr>
        <w:pStyle w:val="9"/>
        <w:spacing w:before="11"/>
        <w:ind w:left="0"/>
        <w:jc w:val="left"/>
        <w:rPr>
          <w:rFonts w:hint="eastAsia"/>
          <w:sz w:val="30"/>
          <w:szCs w:val="30"/>
        </w:rPr>
      </w:pPr>
      <w:r>
        <w:rPr>
          <w:rFonts w:hint="eastAsia"/>
          <w:sz w:val="30"/>
          <w:szCs w:val="30"/>
        </w:rPr>
        <w:t>Having “prevailed” on earth to fulfill all righteousness and atone for the sins of his people, the Lion/Lamb enters heaven, comes before the Father, and, in taking a scroll from his hand, receives all authority in heaven and on earth (Rev. 5:1-7, 12).</w:t>
      </w:r>
    </w:p>
    <w:p w14:paraId="0AE74B36">
      <w:pPr>
        <w:pStyle w:val="9"/>
        <w:spacing w:before="11"/>
        <w:ind w:left="0"/>
        <w:jc w:val="left"/>
        <w:rPr>
          <w:rFonts w:hint="eastAsia"/>
          <w:sz w:val="30"/>
          <w:szCs w:val="30"/>
        </w:rPr>
      </w:pPr>
      <w:r>
        <w:rPr>
          <w:rFonts w:hint="eastAsia"/>
          <w:sz w:val="30"/>
          <w:szCs w:val="30"/>
        </w:rPr>
        <w:t>那位狮子/羔羊在地上“得胜”了，成就了一切的义，并为祂子民的罪赎罪，然后进入天堂，来到父面前，从祂手中接过书卷，从而领受了天上地下所有的权柄 (启 5:1-7, 12)。</w:t>
      </w:r>
    </w:p>
    <w:p w14:paraId="0C143DA1">
      <w:pPr>
        <w:pStyle w:val="9"/>
        <w:spacing w:before="11"/>
        <w:ind w:left="0"/>
        <w:jc w:val="left"/>
        <w:rPr>
          <w:rFonts w:hint="eastAsia"/>
          <w:sz w:val="30"/>
          <w:szCs w:val="30"/>
        </w:rPr>
      </w:pPr>
    </w:p>
    <w:p w14:paraId="3316B819">
      <w:pPr>
        <w:pStyle w:val="9"/>
        <w:spacing w:before="11"/>
        <w:ind w:left="0"/>
        <w:jc w:val="left"/>
        <w:rPr>
          <w:rFonts w:hint="eastAsia"/>
          <w:sz w:val="30"/>
          <w:szCs w:val="30"/>
        </w:rPr>
      </w:pPr>
      <w:r>
        <w:rPr>
          <w:rFonts w:hint="eastAsia"/>
          <w:sz w:val="30"/>
          <w:szCs w:val="30"/>
        </w:rPr>
        <w:t>Henceforth, he is authorized to “break the seals” on God’s last will and testament.</w:t>
      </w:r>
    </w:p>
    <w:p w14:paraId="46922A8C">
      <w:pPr>
        <w:pStyle w:val="9"/>
        <w:spacing w:before="11"/>
        <w:ind w:left="0"/>
        <w:jc w:val="left"/>
        <w:rPr>
          <w:rFonts w:hint="eastAsia"/>
          <w:sz w:val="30"/>
          <w:szCs w:val="30"/>
        </w:rPr>
      </w:pPr>
      <w:r>
        <w:rPr>
          <w:rFonts w:hint="eastAsia"/>
          <w:sz w:val="30"/>
          <w:szCs w:val="30"/>
        </w:rPr>
        <w:t>从此，祂被授权“揭开”神最后遗嘱上的“印”。</w:t>
      </w:r>
    </w:p>
    <w:p w14:paraId="41A62D81">
      <w:pPr>
        <w:pStyle w:val="9"/>
        <w:spacing w:before="11"/>
        <w:ind w:left="0"/>
        <w:jc w:val="left"/>
        <w:rPr>
          <w:rFonts w:hint="eastAsia"/>
          <w:sz w:val="30"/>
          <w:szCs w:val="30"/>
        </w:rPr>
      </w:pPr>
    </w:p>
    <w:p w14:paraId="6269F0F6">
      <w:pPr>
        <w:pStyle w:val="9"/>
        <w:spacing w:before="11"/>
        <w:ind w:left="0"/>
        <w:jc w:val="left"/>
        <w:rPr>
          <w:rFonts w:hint="eastAsia"/>
          <w:sz w:val="30"/>
          <w:szCs w:val="30"/>
        </w:rPr>
      </w:pPr>
      <w:r>
        <w:rPr>
          <w:rFonts w:hint="eastAsia"/>
          <w:sz w:val="30"/>
          <w:szCs w:val="30"/>
        </w:rPr>
        <w:t>That is, he is commissioned to superintend the remainder of Salvation History with a view to applying the merits of his redemptive work to the elect, gathering in a people for God’s possession from every tribe, tongue, people and nation, thereby creating a kingdom of priests who will inherit (the fullness of) eternal life and who will everlastingly reign upon the earth (Rev. 5:8-14).</w:t>
      </w:r>
    </w:p>
    <w:p w14:paraId="7A8374AE">
      <w:pPr>
        <w:pStyle w:val="9"/>
        <w:spacing w:before="11"/>
        <w:ind w:left="0"/>
        <w:jc w:val="left"/>
        <w:rPr>
          <w:rFonts w:hint="eastAsia"/>
          <w:sz w:val="30"/>
          <w:szCs w:val="30"/>
        </w:rPr>
      </w:pPr>
      <w:r>
        <w:rPr>
          <w:rFonts w:hint="eastAsia"/>
          <w:sz w:val="30"/>
          <w:szCs w:val="30"/>
        </w:rPr>
        <w:t>也就是说，祂被委任去监管救赎历史的其余部分，以期将祂救赎工作的功劳应用到选民身上，从各族、各方、各民、各国中招聚一群属神的子民，从而创造一个祭司的国度，他们将承受（丰满的）永生，并将在地上永远作王 (启 5:8-14)。</w:t>
      </w:r>
    </w:p>
    <w:p w14:paraId="1C67891E">
      <w:pPr>
        <w:pStyle w:val="9"/>
        <w:spacing w:before="11"/>
        <w:ind w:left="0"/>
        <w:jc w:val="left"/>
        <w:rPr>
          <w:rFonts w:hint="eastAsia"/>
          <w:sz w:val="30"/>
          <w:szCs w:val="30"/>
        </w:rPr>
      </w:pPr>
    </w:p>
    <w:p w14:paraId="3A03D3BD">
      <w:pPr>
        <w:pStyle w:val="9"/>
        <w:spacing w:before="11"/>
        <w:ind w:left="0"/>
        <w:jc w:val="left"/>
        <w:rPr>
          <w:rFonts w:hint="eastAsia"/>
          <w:sz w:val="30"/>
          <w:szCs w:val="30"/>
        </w:rPr>
      </w:pPr>
      <w:r>
        <w:rPr>
          <w:rFonts w:hint="eastAsia"/>
          <w:sz w:val="30"/>
          <w:szCs w:val="30"/>
        </w:rPr>
        <w:t>This is Daniel 7:9-14, writ large.</w:t>
      </w:r>
    </w:p>
    <w:p w14:paraId="786ED8BE">
      <w:pPr>
        <w:pStyle w:val="9"/>
        <w:spacing w:before="11"/>
        <w:ind w:left="0"/>
        <w:jc w:val="left"/>
        <w:rPr>
          <w:rFonts w:hint="eastAsia"/>
          <w:sz w:val="30"/>
          <w:szCs w:val="30"/>
        </w:rPr>
      </w:pPr>
      <w:r>
        <w:rPr>
          <w:rFonts w:hint="eastAsia"/>
          <w:sz w:val="30"/>
          <w:szCs w:val="30"/>
        </w:rPr>
        <w:t>这就是但以理书7:9-14的宏大篇章。</w:t>
      </w:r>
    </w:p>
    <w:p w14:paraId="46C4EB74">
      <w:pPr>
        <w:pStyle w:val="9"/>
        <w:spacing w:before="11"/>
        <w:ind w:left="0"/>
        <w:jc w:val="left"/>
        <w:rPr>
          <w:rFonts w:hint="eastAsia"/>
          <w:sz w:val="30"/>
          <w:szCs w:val="30"/>
        </w:rPr>
      </w:pPr>
    </w:p>
    <w:p w14:paraId="48E572FC">
      <w:pPr>
        <w:pStyle w:val="9"/>
        <w:spacing w:before="11"/>
        <w:ind w:left="0"/>
        <w:jc w:val="left"/>
        <w:rPr>
          <w:rFonts w:hint="eastAsia"/>
          <w:sz w:val="30"/>
          <w:szCs w:val="30"/>
        </w:rPr>
      </w:pPr>
      <w:r>
        <w:rPr>
          <w:rFonts w:hint="eastAsia"/>
          <w:sz w:val="30"/>
          <w:szCs w:val="30"/>
        </w:rPr>
        <w:t>But this line of interpretation raises a legitimate question: Why, in Daniel 7, would the Spirit represent the heavenly reign of Christ as coming after the Last Judgment?</w:t>
      </w:r>
    </w:p>
    <w:p w14:paraId="5726626E">
      <w:pPr>
        <w:pStyle w:val="9"/>
        <w:spacing w:before="11"/>
        <w:ind w:left="0"/>
        <w:jc w:val="left"/>
        <w:rPr>
          <w:rFonts w:hint="eastAsia"/>
          <w:sz w:val="30"/>
          <w:szCs w:val="30"/>
        </w:rPr>
      </w:pPr>
      <w:r>
        <w:rPr>
          <w:rFonts w:hint="eastAsia"/>
          <w:sz w:val="30"/>
          <w:szCs w:val="30"/>
        </w:rPr>
        <w:t>但这种解释路线提出了一个合理的问题：为什么在但以理书第7章，圣灵会将基督在天上的统治描绘成在最后审判之后发生？</w:t>
      </w:r>
    </w:p>
    <w:p w14:paraId="2387DE95">
      <w:pPr>
        <w:pStyle w:val="9"/>
        <w:spacing w:before="11"/>
        <w:ind w:left="0"/>
        <w:jc w:val="left"/>
        <w:rPr>
          <w:rFonts w:hint="eastAsia"/>
          <w:sz w:val="30"/>
          <w:szCs w:val="30"/>
        </w:rPr>
      </w:pPr>
    </w:p>
    <w:p w14:paraId="6312CE94">
      <w:pPr>
        <w:pStyle w:val="9"/>
        <w:spacing w:before="11"/>
        <w:ind w:left="0"/>
        <w:jc w:val="left"/>
        <w:rPr>
          <w:rFonts w:hint="eastAsia"/>
          <w:sz w:val="30"/>
          <w:szCs w:val="30"/>
        </w:rPr>
      </w:pPr>
      <w:r>
        <w:rPr>
          <w:rFonts w:hint="eastAsia"/>
          <w:sz w:val="30"/>
          <w:szCs w:val="30"/>
        </w:rPr>
        <w:t>Several answers, rooted in NT eschatology, come to mind.</w:t>
      </w:r>
    </w:p>
    <w:p w14:paraId="2B030252">
      <w:pPr>
        <w:pStyle w:val="9"/>
        <w:spacing w:before="11"/>
        <w:ind w:left="0"/>
        <w:jc w:val="left"/>
        <w:rPr>
          <w:rFonts w:hint="eastAsia"/>
          <w:sz w:val="30"/>
          <w:szCs w:val="30"/>
        </w:rPr>
      </w:pPr>
      <w:r>
        <w:rPr>
          <w:rFonts w:hint="eastAsia"/>
          <w:sz w:val="30"/>
          <w:szCs w:val="30"/>
        </w:rPr>
        <w:t>几个根植于新约末世论的答案浮现在脑海。</w:t>
      </w:r>
    </w:p>
    <w:p w14:paraId="4B10CA76">
      <w:pPr>
        <w:pStyle w:val="9"/>
        <w:spacing w:before="11"/>
        <w:ind w:left="0"/>
        <w:jc w:val="left"/>
        <w:rPr>
          <w:rFonts w:hint="eastAsia"/>
          <w:sz w:val="30"/>
          <w:szCs w:val="30"/>
        </w:rPr>
      </w:pPr>
    </w:p>
    <w:p w14:paraId="0A8927D9">
      <w:pPr>
        <w:pStyle w:val="9"/>
        <w:spacing w:before="11"/>
        <w:ind w:left="0"/>
        <w:jc w:val="left"/>
        <w:rPr>
          <w:rFonts w:hint="eastAsia"/>
          <w:sz w:val="30"/>
          <w:szCs w:val="30"/>
        </w:rPr>
      </w:pPr>
      <w:r>
        <w:rPr>
          <w:rFonts w:hint="eastAsia"/>
          <w:sz w:val="30"/>
          <w:szCs w:val="30"/>
        </w:rPr>
        <w:t>First, the text itself hints that here we are in fact dealing with two visions rather than one, for both begin with the telltale introductory phrase: “I saw in my vision by night” (vv. 2-12, 13-14).</w:t>
      </w:r>
    </w:p>
    <w:p w14:paraId="0734ED33">
      <w:pPr>
        <w:pStyle w:val="9"/>
        <w:spacing w:before="11"/>
        <w:ind w:left="0"/>
        <w:jc w:val="left"/>
        <w:rPr>
          <w:rFonts w:hint="eastAsia"/>
          <w:sz w:val="30"/>
          <w:szCs w:val="30"/>
        </w:rPr>
      </w:pPr>
      <w:r>
        <w:rPr>
          <w:rFonts w:hint="eastAsia"/>
          <w:sz w:val="30"/>
          <w:szCs w:val="30"/>
        </w:rPr>
        <w:t>首先，经文本身暗示我们这里实际上处理的是两个异象，而不是一个，因为两者都以那个标志性的引言短语开始：“我在夜间的异象中观看” (第2-12节, 13-14节)。</w:t>
      </w:r>
    </w:p>
    <w:p w14:paraId="26B1E9FB">
      <w:pPr>
        <w:pStyle w:val="9"/>
        <w:spacing w:before="11"/>
        <w:ind w:left="0"/>
        <w:jc w:val="left"/>
        <w:rPr>
          <w:rFonts w:hint="eastAsia"/>
          <w:sz w:val="30"/>
          <w:szCs w:val="30"/>
        </w:rPr>
      </w:pPr>
    </w:p>
    <w:p w14:paraId="71D81CD9">
      <w:pPr>
        <w:pStyle w:val="9"/>
        <w:spacing w:before="11"/>
        <w:ind w:left="0"/>
        <w:jc w:val="left"/>
        <w:rPr>
          <w:rFonts w:hint="eastAsia"/>
          <w:sz w:val="30"/>
          <w:szCs w:val="30"/>
        </w:rPr>
      </w:pPr>
      <w:r>
        <w:rPr>
          <w:rFonts w:hint="eastAsia"/>
          <w:sz w:val="30"/>
          <w:szCs w:val="30"/>
        </w:rPr>
        <w:t>Yes, the chapter as a whole may indeed be reckoned as a single vision; but at the very least, these verbal markers suggest that 7:13-14 touches upon a new (though related) theme.</w:t>
      </w:r>
    </w:p>
    <w:p w14:paraId="6137CE6A">
      <w:pPr>
        <w:pStyle w:val="9"/>
        <w:spacing w:before="11"/>
        <w:ind w:left="0"/>
        <w:jc w:val="left"/>
        <w:rPr>
          <w:rFonts w:hint="eastAsia"/>
          <w:sz w:val="30"/>
          <w:szCs w:val="30"/>
        </w:rPr>
      </w:pPr>
      <w:r>
        <w:rPr>
          <w:rFonts w:hint="eastAsia"/>
          <w:sz w:val="30"/>
          <w:szCs w:val="30"/>
        </w:rPr>
        <w:t>是的，整章或许可以被算作一个单一的异象；但至少，这些言语标记表明7:13-14触及了一个新的（尽管相关的）主题。</w:t>
      </w:r>
    </w:p>
    <w:p w14:paraId="5FEF0129">
      <w:pPr>
        <w:pStyle w:val="9"/>
        <w:spacing w:before="11"/>
        <w:ind w:left="0"/>
        <w:jc w:val="left"/>
        <w:rPr>
          <w:rFonts w:hint="eastAsia"/>
          <w:sz w:val="30"/>
          <w:szCs w:val="30"/>
        </w:rPr>
      </w:pPr>
    </w:p>
    <w:p w14:paraId="4C9357A5">
      <w:pPr>
        <w:pStyle w:val="9"/>
        <w:spacing w:before="11"/>
        <w:ind w:left="0"/>
        <w:jc w:val="left"/>
        <w:rPr>
          <w:rFonts w:hint="eastAsia"/>
          <w:sz w:val="30"/>
          <w:szCs w:val="30"/>
        </w:rPr>
      </w:pPr>
      <w:r>
        <w:rPr>
          <w:rFonts w:hint="eastAsia"/>
          <w:sz w:val="30"/>
          <w:szCs w:val="30"/>
        </w:rPr>
        <w:t>The NT, as we have just seen, seems to confirm this very thing in Revelation 4-5, where first we have a vision of God the Father as Judge, and then a vision of the Lord Jesus Christ as the High King of Heaven, with divine authority to rescue his people from the Judge.</w:t>
      </w:r>
    </w:p>
    <w:p w14:paraId="7DFAC894">
      <w:pPr>
        <w:pStyle w:val="9"/>
        <w:spacing w:before="11"/>
        <w:ind w:left="0"/>
        <w:jc w:val="left"/>
        <w:rPr>
          <w:rFonts w:hint="eastAsia"/>
          <w:sz w:val="30"/>
          <w:szCs w:val="30"/>
        </w:rPr>
      </w:pPr>
      <w:r>
        <w:rPr>
          <w:rFonts w:hint="eastAsia"/>
          <w:sz w:val="30"/>
          <w:szCs w:val="30"/>
        </w:rPr>
        <w:t>正如我们刚才所见，新约在启示录4-5章中似乎证实了这一点，在那里我们首先看到一个父神作为审判主的异象，然后看到一个主耶稣基督作为天上至高君王的异象，祂拥有神圣的权柄，能从审判主手中拯救祂的子民。</w:t>
      </w:r>
    </w:p>
    <w:p w14:paraId="574EC479">
      <w:pPr>
        <w:pStyle w:val="9"/>
        <w:spacing w:before="11"/>
        <w:ind w:left="0"/>
        <w:jc w:val="left"/>
        <w:rPr>
          <w:rFonts w:hint="eastAsia"/>
          <w:sz w:val="30"/>
          <w:szCs w:val="30"/>
        </w:rPr>
      </w:pPr>
    </w:p>
    <w:p w14:paraId="3D62C604">
      <w:pPr>
        <w:pStyle w:val="9"/>
        <w:spacing w:before="11"/>
        <w:ind w:left="0"/>
        <w:jc w:val="left"/>
        <w:rPr>
          <w:rFonts w:hint="eastAsia"/>
          <w:sz w:val="30"/>
          <w:szCs w:val="30"/>
        </w:rPr>
      </w:pPr>
      <w:r>
        <w:rPr>
          <w:rFonts w:hint="eastAsia"/>
          <w:sz w:val="30"/>
          <w:szCs w:val="30"/>
        </w:rPr>
        <w:t>Secondly, the burden of Daniel 7 is to speak of the great inversion of rulership that will occur at the end of Salvation History.</w:t>
      </w:r>
    </w:p>
    <w:p w14:paraId="06FD1A98">
      <w:pPr>
        <w:pStyle w:val="9"/>
        <w:spacing w:before="11"/>
        <w:ind w:left="0"/>
        <w:jc w:val="left"/>
        <w:rPr>
          <w:rFonts w:hint="eastAsia"/>
          <w:sz w:val="30"/>
          <w:szCs w:val="30"/>
        </w:rPr>
      </w:pPr>
      <w:r>
        <w:rPr>
          <w:rFonts w:hint="eastAsia"/>
          <w:sz w:val="30"/>
          <w:szCs w:val="30"/>
        </w:rPr>
        <w:t>其次，但以理书第7章的重点是讲述在救赎历史的末了将要发生的统治权的巨大颠倒。</w:t>
      </w:r>
    </w:p>
    <w:p w14:paraId="11798F6E">
      <w:pPr>
        <w:pStyle w:val="9"/>
        <w:spacing w:before="11"/>
        <w:ind w:left="0"/>
        <w:jc w:val="left"/>
        <w:rPr>
          <w:rFonts w:hint="eastAsia"/>
          <w:sz w:val="30"/>
          <w:szCs w:val="30"/>
        </w:rPr>
      </w:pPr>
    </w:p>
    <w:p w14:paraId="1EC50F0F">
      <w:pPr>
        <w:pStyle w:val="9"/>
        <w:spacing w:before="11"/>
        <w:ind w:left="0"/>
        <w:jc w:val="left"/>
        <w:rPr>
          <w:rFonts w:hint="eastAsia"/>
          <w:sz w:val="30"/>
          <w:szCs w:val="30"/>
        </w:rPr>
      </w:pPr>
      <w:r>
        <w:rPr>
          <w:rFonts w:hint="eastAsia"/>
          <w:sz w:val="30"/>
          <w:szCs w:val="30"/>
        </w:rPr>
        <w:t>It is, then, altogether fitting for the Spirit to touch on Christ’s heavenly reign in such a way as to emphasize its end result, precisely as he does in verse 14.</w:t>
      </w:r>
    </w:p>
    <w:p w14:paraId="4B4B5F97">
      <w:pPr>
        <w:pStyle w:val="9"/>
        <w:spacing w:before="11"/>
        <w:ind w:left="0"/>
        <w:jc w:val="left"/>
        <w:rPr>
          <w:rFonts w:hint="eastAsia"/>
          <w:sz w:val="30"/>
          <w:szCs w:val="30"/>
        </w:rPr>
      </w:pPr>
      <w:r>
        <w:rPr>
          <w:rFonts w:hint="eastAsia"/>
          <w:sz w:val="30"/>
          <w:szCs w:val="30"/>
        </w:rPr>
        <w:t>因此，圣灵以一种强调其最终结果的方式来触及基督在天上的统治是完全恰当的，正如祂在第14节中所做的那样。</w:t>
      </w:r>
    </w:p>
    <w:p w14:paraId="4BD9286F">
      <w:pPr>
        <w:pStyle w:val="9"/>
        <w:spacing w:before="11"/>
        <w:ind w:left="0"/>
        <w:jc w:val="left"/>
        <w:rPr>
          <w:rFonts w:hint="eastAsia"/>
          <w:sz w:val="30"/>
          <w:szCs w:val="30"/>
        </w:rPr>
      </w:pPr>
    </w:p>
    <w:p w14:paraId="4B645F6B">
      <w:pPr>
        <w:pStyle w:val="9"/>
        <w:spacing w:before="11"/>
        <w:ind w:left="0"/>
        <w:jc w:val="left"/>
        <w:rPr>
          <w:rFonts w:hint="eastAsia"/>
          <w:sz w:val="30"/>
          <w:szCs w:val="30"/>
        </w:rPr>
      </w:pPr>
      <w:r>
        <w:rPr>
          <w:rFonts w:hint="eastAsia"/>
          <w:sz w:val="30"/>
          <w:szCs w:val="30"/>
        </w:rPr>
        <w:t>Finally, the sequence of the two visions effectively underscores a pervasive biblical theme: The Messianic Son of Man is subordinate to the Ancient of Days; the Ancient of Days is the fountainhead of all divine authority, from whom the Son of Man will receive the right to rule in such a way as to create the eternal Kingdom of God.</w:t>
      </w:r>
    </w:p>
    <w:p w14:paraId="167795F5">
      <w:pPr>
        <w:pStyle w:val="9"/>
        <w:spacing w:before="11"/>
        <w:ind w:left="0"/>
        <w:jc w:val="left"/>
        <w:rPr>
          <w:rFonts w:hint="eastAsia"/>
          <w:sz w:val="30"/>
          <w:szCs w:val="30"/>
        </w:rPr>
      </w:pPr>
      <w:r>
        <w:rPr>
          <w:rFonts w:hint="eastAsia"/>
          <w:sz w:val="30"/>
          <w:szCs w:val="30"/>
        </w:rPr>
        <w:t>最后，这两个异象的顺序有效地强调了一个普遍的圣经主题：弥赛亚人子是次于亘古常在者的；亘古常在者是所有神圣权柄的源头，人子将从祂那里领受统治的权利，从而创造出神永恒的国度。</w:t>
      </w:r>
    </w:p>
    <w:p w14:paraId="72653C2A">
      <w:pPr>
        <w:pStyle w:val="9"/>
        <w:spacing w:before="11"/>
        <w:ind w:left="0"/>
        <w:jc w:val="left"/>
        <w:rPr>
          <w:rFonts w:hint="eastAsia"/>
          <w:sz w:val="30"/>
          <w:szCs w:val="30"/>
        </w:rPr>
      </w:pPr>
    </w:p>
    <w:p w14:paraId="251FBA75">
      <w:pPr>
        <w:pStyle w:val="9"/>
        <w:spacing w:before="11"/>
        <w:ind w:left="0"/>
        <w:jc w:val="left"/>
        <w:rPr>
          <w:rFonts w:hint="eastAsia"/>
          <w:sz w:val="30"/>
          <w:szCs w:val="30"/>
        </w:rPr>
      </w:pPr>
      <w:r>
        <w:rPr>
          <w:rFonts w:hint="eastAsia"/>
          <w:sz w:val="30"/>
          <w:szCs w:val="30"/>
        </w:rPr>
        <w:t>As we have seen, the NT fleshes out this important theme in a number of texts, especially 1 Corinthians 15:20-28.2, 3</w:t>
      </w:r>
    </w:p>
    <w:p w14:paraId="73F0267C">
      <w:pPr>
        <w:pStyle w:val="9"/>
        <w:spacing w:before="11"/>
        <w:ind w:left="0"/>
        <w:jc w:val="left"/>
        <w:rPr>
          <w:rFonts w:hint="eastAsia"/>
          <w:sz w:val="30"/>
          <w:szCs w:val="30"/>
        </w:rPr>
      </w:pPr>
      <w:r>
        <w:rPr>
          <w:rFonts w:hint="eastAsia"/>
          <w:sz w:val="30"/>
          <w:szCs w:val="30"/>
        </w:rPr>
        <w:t>正如我们所见，新约在许多经文中充实了这个重要主题，特别是哥林多前书15:20-28。2, 3</w:t>
      </w:r>
    </w:p>
    <w:p w14:paraId="0707AB7B">
      <w:pPr>
        <w:pStyle w:val="9"/>
        <w:spacing w:before="11"/>
        <w:ind w:left="0"/>
        <w:jc w:val="left"/>
        <w:rPr>
          <w:rFonts w:hint="eastAsia"/>
          <w:sz w:val="30"/>
          <w:szCs w:val="30"/>
        </w:rPr>
      </w:pPr>
    </w:p>
    <w:p w14:paraId="2584EFAF">
      <w:pPr>
        <w:pStyle w:val="9"/>
        <w:spacing w:before="11"/>
        <w:ind w:left="0"/>
        <w:jc w:val="left"/>
        <w:rPr>
          <w:rFonts w:hint="eastAsia"/>
          <w:sz w:val="30"/>
          <w:szCs w:val="30"/>
        </w:rPr>
      </w:pPr>
      <w:r>
        <w:rPr>
          <w:rFonts w:hint="eastAsia"/>
          <w:sz w:val="30"/>
          <w:szCs w:val="30"/>
        </w:rPr>
        <w:t>Given that Daniel received this vision in an era when God was pleased to conceal or veil the mystery of the Eternal Covenant, it should not surprise us that here much eschatological truth is fused, hidden, or (purposely) left unclear.</w:t>
      </w:r>
    </w:p>
    <w:p w14:paraId="7E7ECCB1">
      <w:pPr>
        <w:pStyle w:val="9"/>
        <w:spacing w:before="11"/>
        <w:ind w:left="0"/>
        <w:jc w:val="left"/>
        <w:rPr>
          <w:rFonts w:hint="eastAsia"/>
          <w:sz w:val="30"/>
          <w:szCs w:val="30"/>
        </w:rPr>
      </w:pPr>
      <w:r>
        <w:rPr>
          <w:rFonts w:hint="eastAsia"/>
          <w:sz w:val="30"/>
          <w:szCs w:val="30"/>
        </w:rPr>
        <w:t>鉴于但以理领受这个异象的时代，神乐意隐藏或遮盖永恒之约的奥秘，因此在这里许多末世论的真理被融合、隐藏或（有意）地未作明确说明，我们不应感到惊讶。</w:t>
      </w:r>
    </w:p>
    <w:p w14:paraId="3B3352DF">
      <w:pPr>
        <w:pStyle w:val="9"/>
        <w:spacing w:before="11"/>
        <w:ind w:left="0"/>
        <w:jc w:val="left"/>
        <w:rPr>
          <w:rFonts w:hint="eastAsia"/>
          <w:sz w:val="30"/>
          <w:szCs w:val="30"/>
        </w:rPr>
      </w:pPr>
    </w:p>
    <w:p w14:paraId="0C993C36">
      <w:pPr>
        <w:pStyle w:val="9"/>
        <w:spacing w:before="11"/>
        <w:ind w:left="0"/>
        <w:jc w:val="left"/>
        <w:rPr>
          <w:rFonts w:hint="eastAsia"/>
          <w:sz w:val="30"/>
          <w:szCs w:val="30"/>
        </w:rPr>
      </w:pPr>
      <w:r>
        <w:rPr>
          <w:rFonts w:hint="eastAsia"/>
          <w:sz w:val="30"/>
          <w:szCs w:val="30"/>
        </w:rPr>
        <w:t>This includes the two stages of the Kingdom, the Messiah’s heavenly reign, its distinctly redemptive character, the exact sequence of events leading up to the Judgment, the Messiah’s role in the Judgment, and his role in the coming of the Kingdom in its fullness.</w:t>
      </w:r>
    </w:p>
    <w:p w14:paraId="204A81AF">
      <w:pPr>
        <w:pStyle w:val="9"/>
        <w:spacing w:before="11"/>
        <w:ind w:left="0"/>
        <w:jc w:val="left"/>
        <w:rPr>
          <w:rFonts w:hint="eastAsia"/>
          <w:sz w:val="30"/>
          <w:szCs w:val="30"/>
        </w:rPr>
      </w:pPr>
      <w:r>
        <w:rPr>
          <w:rFonts w:hint="eastAsia"/>
          <w:sz w:val="30"/>
          <w:szCs w:val="30"/>
        </w:rPr>
        <w:t>这包括国度的两个阶段、弥赛亚在天上的统治、其独特的救赎性质、导致审判的确切事件顺序、弥赛亚在审判中的角色，以及祂在国度以其丰满降临中的角色。</w:t>
      </w:r>
    </w:p>
    <w:p w14:paraId="44B5BCAF">
      <w:pPr>
        <w:pStyle w:val="9"/>
        <w:spacing w:before="11"/>
        <w:ind w:left="0"/>
        <w:jc w:val="left"/>
        <w:rPr>
          <w:rFonts w:hint="eastAsia"/>
          <w:sz w:val="30"/>
          <w:szCs w:val="30"/>
        </w:rPr>
      </w:pPr>
    </w:p>
    <w:p w14:paraId="70100BF6">
      <w:pPr>
        <w:pStyle w:val="9"/>
        <w:spacing w:before="11"/>
        <w:ind w:left="0"/>
        <w:jc w:val="left"/>
        <w:rPr>
          <w:rFonts w:hint="eastAsia"/>
          <w:sz w:val="30"/>
          <w:szCs w:val="30"/>
        </w:rPr>
      </w:pPr>
      <w:r>
        <w:rPr>
          <w:rFonts w:hint="eastAsia"/>
          <w:sz w:val="30"/>
          <w:szCs w:val="30"/>
        </w:rPr>
        <w:t>But in the NT—and especially in Revelation 4-5—all is unveiled, clarified, and set in good order.</w:t>
      </w:r>
    </w:p>
    <w:p w14:paraId="117D6771">
      <w:pPr>
        <w:pStyle w:val="9"/>
        <w:spacing w:before="11"/>
        <w:ind w:left="0"/>
        <w:jc w:val="left"/>
        <w:rPr>
          <w:rFonts w:hint="eastAsia"/>
          <w:sz w:val="30"/>
          <w:szCs w:val="30"/>
        </w:rPr>
      </w:pPr>
      <w:r>
        <w:rPr>
          <w:rFonts w:hint="eastAsia"/>
          <w:sz w:val="30"/>
          <w:szCs w:val="30"/>
        </w:rPr>
        <w:t>但在新约中——尤其是在启示录4-5章——一切都被揭示、澄清并安排得井然有序。</w:t>
      </w:r>
    </w:p>
    <w:p w14:paraId="6281E5A9">
      <w:pPr>
        <w:pStyle w:val="9"/>
        <w:spacing w:before="11"/>
        <w:ind w:left="0"/>
        <w:jc w:val="left"/>
        <w:rPr>
          <w:rFonts w:hint="eastAsia"/>
          <w:sz w:val="30"/>
          <w:szCs w:val="30"/>
        </w:rPr>
      </w:pPr>
    </w:p>
    <w:p w14:paraId="16DBB203">
      <w:pPr>
        <w:pStyle w:val="9"/>
        <w:spacing w:before="11"/>
        <w:ind w:left="0"/>
        <w:jc w:val="left"/>
        <w:rPr>
          <w:rFonts w:hint="eastAsia"/>
          <w:sz w:val="30"/>
          <w:szCs w:val="30"/>
        </w:rPr>
      </w:pPr>
      <w:r>
        <w:rPr>
          <w:rFonts w:hint="eastAsia"/>
          <w:sz w:val="30"/>
          <w:szCs w:val="30"/>
        </w:rPr>
        <w:t>Therefore, the NT mysteries of the Kingdom—and the NCH that is built upon them—have prevailed, not only to open up Daniel 7, but all OTKP.</w:t>
      </w:r>
    </w:p>
    <w:p w14:paraId="1E09C126">
      <w:pPr>
        <w:pStyle w:val="9"/>
        <w:spacing w:before="11"/>
        <w:ind w:left="0"/>
        <w:jc w:val="left"/>
        <w:rPr>
          <w:rFonts w:hint="eastAsia"/>
          <w:sz w:val="30"/>
          <w:szCs w:val="30"/>
        </w:rPr>
      </w:pPr>
      <w:r>
        <w:rPr>
          <w:rFonts w:hint="eastAsia"/>
          <w:sz w:val="30"/>
          <w:szCs w:val="30"/>
        </w:rPr>
        <w:t>因此，国度的新约奥秘——以及建立在其上的新约解释学——已经得胜，不仅解开了但以理书第7章，也解开了所有旧约国度预言。</w:t>
      </w:r>
    </w:p>
    <w:p w14:paraId="1D2FB926">
      <w:pPr>
        <w:pStyle w:val="9"/>
        <w:spacing w:before="11"/>
        <w:ind w:left="0"/>
        <w:jc w:val="left"/>
        <w:rPr>
          <w:rFonts w:hint="eastAsia"/>
          <w:sz w:val="30"/>
          <w:szCs w:val="30"/>
        </w:rPr>
      </w:pPr>
    </w:p>
    <w:p w14:paraId="36A26FE3">
      <w:pPr>
        <w:pStyle w:val="9"/>
        <w:spacing w:before="11"/>
        <w:ind w:left="0"/>
        <w:jc w:val="left"/>
        <w:rPr>
          <w:rFonts w:hint="eastAsia"/>
          <w:sz w:val="30"/>
          <w:szCs w:val="30"/>
        </w:rPr>
      </w:pPr>
      <w:r>
        <w:rPr>
          <w:rFonts w:hint="eastAsia"/>
          <w:sz w:val="30"/>
          <w:szCs w:val="30"/>
        </w:rPr>
        <w:t>Without them we are at sea.</w:t>
      </w:r>
    </w:p>
    <w:p w14:paraId="67407D16">
      <w:pPr>
        <w:pStyle w:val="9"/>
        <w:spacing w:before="11"/>
        <w:ind w:left="0"/>
        <w:jc w:val="left"/>
        <w:rPr>
          <w:rFonts w:hint="eastAsia"/>
          <w:sz w:val="30"/>
          <w:szCs w:val="30"/>
        </w:rPr>
      </w:pPr>
      <w:r>
        <w:rPr>
          <w:rFonts w:hint="eastAsia"/>
          <w:sz w:val="30"/>
          <w:szCs w:val="30"/>
        </w:rPr>
        <w:t>没有它们，我们就像在海上漂泊。</w:t>
      </w:r>
    </w:p>
    <w:p w14:paraId="31B010C4">
      <w:pPr>
        <w:pStyle w:val="9"/>
        <w:spacing w:before="11"/>
        <w:ind w:left="0"/>
        <w:jc w:val="left"/>
        <w:rPr>
          <w:rFonts w:hint="eastAsia"/>
          <w:sz w:val="30"/>
          <w:szCs w:val="30"/>
        </w:rPr>
      </w:pPr>
    </w:p>
    <w:p w14:paraId="6C630752">
      <w:pPr>
        <w:pStyle w:val="9"/>
        <w:spacing w:before="11"/>
        <w:ind w:left="0"/>
        <w:jc w:val="left"/>
        <w:rPr>
          <w:rFonts w:hint="eastAsia"/>
          <w:sz w:val="30"/>
          <w:szCs w:val="30"/>
        </w:rPr>
      </w:pPr>
      <w:r>
        <w:rPr>
          <w:rFonts w:hint="eastAsia"/>
          <w:sz w:val="30"/>
          <w:szCs w:val="30"/>
        </w:rPr>
        <w:t>With them, we reach our desired haven and stand confidently upon solid ground.</w:t>
      </w:r>
    </w:p>
    <w:p w14:paraId="05138E49">
      <w:pPr>
        <w:pStyle w:val="9"/>
        <w:spacing w:before="11"/>
        <w:ind w:left="0"/>
        <w:jc w:val="left"/>
        <w:rPr>
          <w:rFonts w:hint="eastAsia"/>
          <w:sz w:val="30"/>
          <w:szCs w:val="30"/>
        </w:rPr>
      </w:pPr>
      <w:r>
        <w:rPr>
          <w:rFonts w:hint="eastAsia"/>
          <w:sz w:val="30"/>
          <w:szCs w:val="30"/>
        </w:rPr>
        <w:t>有了它们，我们便到达了我们所盼望的港湾，并自信地站在坚实的土地上。</w:t>
      </w:r>
    </w:p>
    <w:p w14:paraId="177EEC93">
      <w:pPr>
        <w:pStyle w:val="9"/>
        <w:spacing w:before="11"/>
        <w:ind w:left="0"/>
        <w:jc w:val="left"/>
        <w:rPr>
          <w:rFonts w:hint="eastAsia"/>
          <w:sz w:val="30"/>
          <w:szCs w:val="30"/>
        </w:rPr>
      </w:pPr>
    </w:p>
    <w:p w14:paraId="3F27002B">
      <w:pPr>
        <w:pStyle w:val="9"/>
        <w:spacing w:before="11"/>
        <w:ind w:left="0"/>
        <w:jc w:val="left"/>
        <w:rPr>
          <w:rFonts w:hint="eastAsia"/>
          <w:sz w:val="30"/>
          <w:szCs w:val="30"/>
        </w:rPr>
      </w:pPr>
      <w:r>
        <w:rPr>
          <w:rFonts w:hint="eastAsia"/>
          <w:sz w:val="30"/>
          <w:szCs w:val="30"/>
        </w:rPr>
        <w:t>The Vision Interpreted (vv. 15-28)</w:t>
      </w:r>
    </w:p>
    <w:p w14:paraId="511566B3">
      <w:pPr>
        <w:pStyle w:val="9"/>
        <w:spacing w:before="11"/>
        <w:ind w:left="0"/>
        <w:jc w:val="left"/>
        <w:rPr>
          <w:rFonts w:hint="eastAsia"/>
          <w:sz w:val="30"/>
          <w:szCs w:val="30"/>
        </w:rPr>
      </w:pPr>
      <w:r>
        <w:rPr>
          <w:rFonts w:hint="eastAsia"/>
          <w:sz w:val="30"/>
          <w:szCs w:val="30"/>
        </w:rPr>
        <w:t>异象的解释 (第15-28节)</w:t>
      </w:r>
    </w:p>
    <w:p w14:paraId="66F4D33E">
      <w:pPr>
        <w:pStyle w:val="9"/>
        <w:spacing w:before="11"/>
        <w:ind w:left="0"/>
        <w:jc w:val="left"/>
        <w:rPr>
          <w:rFonts w:hint="eastAsia"/>
          <w:sz w:val="30"/>
          <w:szCs w:val="30"/>
        </w:rPr>
      </w:pPr>
    </w:p>
    <w:p w14:paraId="70BD53ED">
      <w:pPr>
        <w:pStyle w:val="9"/>
        <w:spacing w:before="11"/>
        <w:ind w:left="0"/>
        <w:jc w:val="left"/>
        <w:rPr>
          <w:rFonts w:hint="eastAsia"/>
          <w:sz w:val="30"/>
          <w:szCs w:val="30"/>
        </w:rPr>
      </w:pPr>
      <w:r>
        <w:rPr>
          <w:rFonts w:hint="eastAsia"/>
          <w:sz w:val="30"/>
          <w:szCs w:val="30"/>
        </w:rPr>
        <w:t>As the vision draws to a close, Daniel inquires as to the meaning of what he has just seen, and receives a measure of further illumination from one of the angels involved.</w:t>
      </w:r>
    </w:p>
    <w:p w14:paraId="39C41355">
      <w:pPr>
        <w:pStyle w:val="9"/>
        <w:spacing w:before="11"/>
        <w:ind w:left="0"/>
        <w:jc w:val="left"/>
        <w:rPr>
          <w:rFonts w:hint="eastAsia"/>
          <w:sz w:val="30"/>
          <w:szCs w:val="30"/>
        </w:rPr>
      </w:pPr>
      <w:r>
        <w:rPr>
          <w:rFonts w:hint="eastAsia"/>
          <w:sz w:val="30"/>
          <w:szCs w:val="30"/>
        </w:rPr>
        <w:t>当异象接近尾声时，但以理询问他刚才所见之事的意义，并从其中一位天使那里得到了一定程度的进一步启示。</w:t>
      </w:r>
    </w:p>
    <w:p w14:paraId="585B3F65">
      <w:pPr>
        <w:pStyle w:val="9"/>
        <w:spacing w:before="11"/>
        <w:ind w:left="0"/>
        <w:jc w:val="left"/>
        <w:rPr>
          <w:rFonts w:hint="eastAsia"/>
          <w:sz w:val="30"/>
          <w:szCs w:val="30"/>
        </w:rPr>
      </w:pPr>
    </w:p>
    <w:p w14:paraId="7FF45419">
      <w:pPr>
        <w:pStyle w:val="9"/>
        <w:spacing w:before="11"/>
        <w:ind w:left="0"/>
        <w:jc w:val="left"/>
        <w:rPr>
          <w:rFonts w:hint="eastAsia"/>
          <w:sz w:val="30"/>
          <w:szCs w:val="30"/>
        </w:rPr>
      </w:pPr>
      <w:r>
        <w:rPr>
          <w:rFonts w:hint="eastAsia"/>
          <w:sz w:val="30"/>
          <w:szCs w:val="30"/>
        </w:rPr>
        <w:t>The section falls nicely into four parts.</w:t>
      </w:r>
    </w:p>
    <w:p w14:paraId="70E6930F">
      <w:pPr>
        <w:pStyle w:val="9"/>
        <w:spacing w:before="11"/>
        <w:ind w:left="0"/>
        <w:jc w:val="left"/>
        <w:rPr>
          <w:rFonts w:hint="eastAsia"/>
          <w:sz w:val="30"/>
          <w:szCs w:val="30"/>
        </w:rPr>
      </w:pPr>
      <w:r>
        <w:rPr>
          <w:rFonts w:hint="eastAsia"/>
          <w:sz w:val="30"/>
          <w:szCs w:val="30"/>
        </w:rPr>
        <w:t>这部分可以很好地分为四个部分。</w:t>
      </w:r>
    </w:p>
    <w:p w14:paraId="50974113">
      <w:pPr>
        <w:pStyle w:val="9"/>
        <w:spacing w:before="11"/>
        <w:ind w:left="0"/>
        <w:jc w:val="left"/>
        <w:rPr>
          <w:rFonts w:hint="eastAsia"/>
          <w:sz w:val="30"/>
          <w:szCs w:val="30"/>
        </w:rPr>
      </w:pPr>
    </w:p>
    <w:p w14:paraId="5C9CAF9C">
      <w:pPr>
        <w:pStyle w:val="9"/>
        <w:spacing w:before="11"/>
        <w:ind w:left="0"/>
        <w:jc w:val="left"/>
        <w:rPr>
          <w:rFonts w:hint="eastAsia"/>
          <w:sz w:val="30"/>
          <w:szCs w:val="30"/>
        </w:rPr>
      </w:pPr>
      <w:r>
        <w:rPr>
          <w:rFonts w:hint="eastAsia"/>
          <w:sz w:val="30"/>
          <w:szCs w:val="30"/>
        </w:rPr>
        <w:t>I will comment briefly on each one, highlighting aspects of special relevance for our study.</w:t>
      </w:r>
    </w:p>
    <w:p w14:paraId="6427E1BB">
      <w:pPr>
        <w:pStyle w:val="9"/>
        <w:spacing w:before="11"/>
        <w:ind w:left="0"/>
        <w:jc w:val="left"/>
        <w:rPr>
          <w:rFonts w:hint="eastAsia"/>
          <w:sz w:val="30"/>
          <w:szCs w:val="30"/>
        </w:rPr>
      </w:pPr>
      <w:r>
        <w:rPr>
          <w:rFonts w:hint="eastAsia"/>
          <w:sz w:val="30"/>
          <w:szCs w:val="30"/>
        </w:rPr>
        <w:t>我将简要评论每一个部分，突出与我们研究特别相关的方面。</w:t>
      </w:r>
    </w:p>
    <w:p w14:paraId="547EF1A0">
      <w:pPr>
        <w:pStyle w:val="9"/>
        <w:spacing w:before="11"/>
        <w:ind w:left="0"/>
        <w:jc w:val="left"/>
        <w:rPr>
          <w:rFonts w:hint="eastAsia"/>
          <w:sz w:val="30"/>
          <w:szCs w:val="30"/>
        </w:rPr>
      </w:pPr>
    </w:p>
    <w:p w14:paraId="0AEBB52B">
      <w:pPr>
        <w:pStyle w:val="9"/>
        <w:spacing w:before="11"/>
        <w:ind w:left="0"/>
        <w:jc w:val="left"/>
        <w:rPr>
          <w:rFonts w:hint="eastAsia"/>
          <w:sz w:val="30"/>
          <w:szCs w:val="30"/>
        </w:rPr>
      </w:pPr>
      <w:r>
        <w:rPr>
          <w:rFonts w:hint="eastAsia"/>
          <w:sz w:val="30"/>
          <w:szCs w:val="30"/>
        </w:rPr>
        <w:t>In verses 15-18 we find the prophet—grieved and troubled at the persecutions yet in store for God’s people—asking for more light on the vision as a whole.</w:t>
      </w:r>
    </w:p>
    <w:p w14:paraId="08C7F386">
      <w:pPr>
        <w:pStyle w:val="9"/>
        <w:spacing w:before="11"/>
        <w:ind w:left="0"/>
        <w:jc w:val="left"/>
        <w:rPr>
          <w:rFonts w:hint="eastAsia"/>
          <w:sz w:val="30"/>
          <w:szCs w:val="30"/>
        </w:rPr>
      </w:pPr>
      <w:r>
        <w:rPr>
          <w:rFonts w:hint="eastAsia"/>
          <w:sz w:val="30"/>
          <w:szCs w:val="30"/>
        </w:rPr>
        <w:t>在第15-18节，我们发现先知——因神子民将要面临的迫害而悲伤和烦恼——请求对整个异象有更多的光照。</w:t>
      </w:r>
    </w:p>
    <w:p w14:paraId="7D9E0304">
      <w:pPr>
        <w:pStyle w:val="9"/>
        <w:spacing w:before="11"/>
        <w:ind w:left="0"/>
        <w:jc w:val="left"/>
        <w:rPr>
          <w:rFonts w:hint="eastAsia"/>
          <w:sz w:val="30"/>
          <w:szCs w:val="30"/>
        </w:rPr>
      </w:pPr>
    </w:p>
    <w:p w14:paraId="7293185A">
      <w:pPr>
        <w:pStyle w:val="9"/>
        <w:spacing w:before="11"/>
        <w:ind w:left="0"/>
        <w:jc w:val="left"/>
        <w:rPr>
          <w:rFonts w:hint="eastAsia"/>
          <w:sz w:val="30"/>
          <w:szCs w:val="30"/>
        </w:rPr>
      </w:pPr>
      <w:r>
        <w:rPr>
          <w:rFonts w:hint="eastAsia"/>
          <w:sz w:val="30"/>
          <w:szCs w:val="30"/>
        </w:rPr>
        <w:t>One of the angels in attendance responds, identifying the four beasts as four kings/kingdoms that will arise “out of the earth.”</w:t>
      </w:r>
    </w:p>
    <w:p w14:paraId="2A1F5393">
      <w:pPr>
        <w:pStyle w:val="9"/>
        <w:spacing w:before="11"/>
        <w:ind w:left="0"/>
        <w:jc w:val="left"/>
        <w:rPr>
          <w:rFonts w:hint="eastAsia"/>
          <w:sz w:val="30"/>
          <w:szCs w:val="30"/>
        </w:rPr>
      </w:pPr>
      <w:r>
        <w:rPr>
          <w:rFonts w:hint="eastAsia"/>
          <w:sz w:val="30"/>
          <w:szCs w:val="30"/>
        </w:rPr>
        <w:t>一位侍立的天使回应，将四兽认定为将从“地上”兴起的四个君王/国度。</w:t>
      </w:r>
    </w:p>
    <w:p w14:paraId="0A061CC7">
      <w:pPr>
        <w:pStyle w:val="9"/>
        <w:spacing w:before="11"/>
        <w:ind w:left="0"/>
        <w:jc w:val="left"/>
        <w:rPr>
          <w:rFonts w:hint="eastAsia"/>
          <w:sz w:val="30"/>
          <w:szCs w:val="30"/>
        </w:rPr>
      </w:pPr>
    </w:p>
    <w:p w14:paraId="50D2E4B8">
      <w:pPr>
        <w:pStyle w:val="9"/>
        <w:spacing w:before="11"/>
        <w:ind w:left="0"/>
        <w:jc w:val="left"/>
        <w:rPr>
          <w:rFonts w:hint="eastAsia"/>
          <w:sz w:val="30"/>
          <w:szCs w:val="30"/>
        </w:rPr>
      </w:pPr>
      <w:r>
        <w:rPr>
          <w:rFonts w:hint="eastAsia"/>
          <w:sz w:val="30"/>
          <w:szCs w:val="30"/>
        </w:rPr>
        <w:t>However, the emphasis here, as elsewhere, falls upon the eternal Kingdom of God, which the Most High—the sovereign LORD of all history—will bestow upon the saints from heaven above (cf., Dan. 2:44-45).</w:t>
      </w:r>
    </w:p>
    <w:p w14:paraId="0757F8FC">
      <w:pPr>
        <w:pStyle w:val="9"/>
        <w:spacing w:before="11"/>
        <w:ind w:left="0"/>
        <w:jc w:val="left"/>
        <w:rPr>
          <w:rFonts w:hint="eastAsia"/>
          <w:sz w:val="30"/>
          <w:szCs w:val="30"/>
        </w:rPr>
      </w:pPr>
      <w:r>
        <w:rPr>
          <w:rFonts w:hint="eastAsia"/>
          <w:sz w:val="30"/>
          <w:szCs w:val="30"/>
        </w:rPr>
        <w:t>然而，这里的重点，如同别处一样，落在了神永恒的国度上，至高者——所有历史的主宰耶和华——将从天上的高处将这国度赐给圣徒 (参 但 2:44-45)。</w:t>
      </w:r>
    </w:p>
    <w:p w14:paraId="51F2495E">
      <w:pPr>
        <w:pStyle w:val="9"/>
        <w:spacing w:before="11"/>
        <w:ind w:left="0"/>
        <w:jc w:val="left"/>
        <w:rPr>
          <w:rFonts w:hint="eastAsia"/>
          <w:sz w:val="30"/>
          <w:szCs w:val="30"/>
        </w:rPr>
      </w:pPr>
    </w:p>
    <w:p w14:paraId="0E5B3AFA">
      <w:pPr>
        <w:pStyle w:val="9"/>
        <w:spacing w:before="11"/>
        <w:ind w:left="0"/>
        <w:jc w:val="left"/>
        <w:rPr>
          <w:rFonts w:hint="eastAsia"/>
          <w:sz w:val="30"/>
          <w:szCs w:val="30"/>
        </w:rPr>
      </w:pPr>
      <w:r>
        <w:rPr>
          <w:rFonts w:hint="eastAsia"/>
          <w:sz w:val="30"/>
          <w:szCs w:val="30"/>
        </w:rPr>
        <w:t>As we have seen, verses 13-14, supplemented by an abundance of NT teaching, reveal that God will accomplish the final reversal at the Parousia of the glorified Son of Man.</w:t>
      </w:r>
    </w:p>
    <w:p w14:paraId="2E21750D">
      <w:pPr>
        <w:pStyle w:val="9"/>
        <w:spacing w:before="11"/>
        <w:ind w:left="0"/>
        <w:jc w:val="left"/>
        <w:rPr>
          <w:rFonts w:hint="eastAsia"/>
          <w:sz w:val="30"/>
          <w:szCs w:val="30"/>
        </w:rPr>
      </w:pPr>
      <w:r>
        <w:rPr>
          <w:rFonts w:hint="eastAsia"/>
          <w:sz w:val="30"/>
          <w:szCs w:val="30"/>
        </w:rPr>
        <w:t>正如我们所见，第13-14节，辅以大量的新约教导，揭示了神将在得荣耀的人子再临时完成最终的逆转。</w:t>
      </w:r>
    </w:p>
    <w:p w14:paraId="7F2CEFE4">
      <w:pPr>
        <w:pStyle w:val="9"/>
        <w:spacing w:before="11"/>
        <w:ind w:left="0"/>
        <w:jc w:val="left"/>
        <w:rPr>
          <w:rFonts w:hint="eastAsia"/>
          <w:sz w:val="30"/>
          <w:szCs w:val="30"/>
        </w:rPr>
      </w:pPr>
    </w:p>
    <w:p w14:paraId="151EB85C">
      <w:pPr>
        <w:pStyle w:val="9"/>
        <w:spacing w:before="11"/>
        <w:ind w:left="0"/>
        <w:jc w:val="left"/>
        <w:rPr>
          <w:rFonts w:hint="eastAsia"/>
          <w:sz w:val="30"/>
          <w:szCs w:val="30"/>
        </w:rPr>
      </w:pPr>
      <w:r>
        <w:rPr>
          <w:rFonts w:hint="eastAsia"/>
          <w:sz w:val="30"/>
          <w:szCs w:val="30"/>
        </w:rPr>
        <w:t>This is the blessed hope of all the saints, both OT and New (Titus 2:13).</w:t>
      </w:r>
    </w:p>
    <w:p w14:paraId="796E68EB">
      <w:pPr>
        <w:pStyle w:val="9"/>
        <w:spacing w:before="11"/>
        <w:ind w:left="0"/>
        <w:jc w:val="left"/>
        <w:rPr>
          <w:rFonts w:hint="eastAsia"/>
          <w:sz w:val="30"/>
          <w:szCs w:val="30"/>
        </w:rPr>
      </w:pPr>
      <w:r>
        <w:rPr>
          <w:rFonts w:hint="eastAsia"/>
          <w:sz w:val="30"/>
          <w:szCs w:val="30"/>
        </w:rPr>
        <w:t>这是所有圣徒，无论是旧约还是新约圣徒，有福的盼望 (多 2:13)。</w:t>
      </w:r>
    </w:p>
    <w:p w14:paraId="40965327">
      <w:pPr>
        <w:pStyle w:val="9"/>
        <w:spacing w:before="11"/>
        <w:ind w:left="0"/>
        <w:jc w:val="left"/>
        <w:rPr>
          <w:rFonts w:hint="eastAsia"/>
          <w:sz w:val="30"/>
          <w:szCs w:val="30"/>
        </w:rPr>
      </w:pPr>
    </w:p>
    <w:p w14:paraId="057CBC56">
      <w:pPr>
        <w:pStyle w:val="9"/>
        <w:spacing w:before="11"/>
        <w:ind w:left="0"/>
        <w:jc w:val="left"/>
        <w:rPr>
          <w:rFonts w:hint="eastAsia"/>
          <w:sz w:val="30"/>
          <w:szCs w:val="30"/>
        </w:rPr>
      </w:pPr>
      <w:r>
        <w:rPr>
          <w:rFonts w:hint="eastAsia"/>
          <w:sz w:val="30"/>
          <w:szCs w:val="30"/>
        </w:rPr>
        <w:t>In verses 18-20, Daniel relates that even after this general explanation he remained curious about the details surrounding the fourth beast.</w:t>
      </w:r>
    </w:p>
    <w:p w14:paraId="48E3880F">
      <w:pPr>
        <w:pStyle w:val="9"/>
        <w:spacing w:before="11"/>
        <w:ind w:left="0"/>
        <w:jc w:val="left"/>
        <w:rPr>
          <w:rFonts w:hint="eastAsia"/>
          <w:sz w:val="30"/>
          <w:szCs w:val="30"/>
        </w:rPr>
      </w:pPr>
      <w:r>
        <w:rPr>
          <w:rFonts w:hint="eastAsia"/>
          <w:sz w:val="30"/>
          <w:szCs w:val="30"/>
        </w:rPr>
        <w:t>在第18-20节，但以理叙述说，即使在得到这个总体的解释之后，他仍然对围绕第四兽的细节感到好奇。</w:t>
      </w:r>
    </w:p>
    <w:p w14:paraId="5AD2C08D">
      <w:pPr>
        <w:pStyle w:val="9"/>
        <w:spacing w:before="11"/>
        <w:ind w:left="0"/>
        <w:jc w:val="left"/>
        <w:rPr>
          <w:rFonts w:hint="eastAsia"/>
          <w:sz w:val="30"/>
          <w:szCs w:val="30"/>
        </w:rPr>
      </w:pPr>
    </w:p>
    <w:p w14:paraId="7B5F1B1A">
      <w:pPr>
        <w:pStyle w:val="9"/>
        <w:spacing w:before="11"/>
        <w:ind w:left="0"/>
        <w:jc w:val="left"/>
        <w:rPr>
          <w:rFonts w:hint="eastAsia"/>
          <w:sz w:val="30"/>
          <w:szCs w:val="30"/>
        </w:rPr>
      </w:pPr>
      <w:r>
        <w:rPr>
          <w:rFonts w:hint="eastAsia"/>
          <w:sz w:val="30"/>
          <w:szCs w:val="30"/>
        </w:rPr>
        <w:t>As if in answer to his curiosity, the vision suddenly resumes, and he sees the little horn making war against the saints and prevailing over them (v. 21).</w:t>
      </w:r>
    </w:p>
    <w:p w14:paraId="722C2DC2">
      <w:pPr>
        <w:pStyle w:val="9"/>
        <w:spacing w:before="11"/>
        <w:ind w:left="0"/>
        <w:jc w:val="left"/>
        <w:rPr>
          <w:rFonts w:hint="eastAsia"/>
          <w:sz w:val="30"/>
          <w:szCs w:val="30"/>
        </w:rPr>
      </w:pPr>
      <w:r>
        <w:rPr>
          <w:rFonts w:hint="eastAsia"/>
          <w:sz w:val="30"/>
          <w:szCs w:val="30"/>
        </w:rPr>
        <w:t>仿佛是为了回答他的好奇，异象突然重新开始，他看见小角与圣民争战，并且胜了他们 (第21节)。</w:t>
      </w:r>
    </w:p>
    <w:p w14:paraId="62956B4B">
      <w:pPr>
        <w:pStyle w:val="9"/>
        <w:spacing w:before="11"/>
        <w:ind w:left="0"/>
        <w:jc w:val="left"/>
        <w:rPr>
          <w:rFonts w:hint="eastAsia"/>
          <w:sz w:val="30"/>
          <w:szCs w:val="30"/>
        </w:rPr>
      </w:pPr>
    </w:p>
    <w:p w14:paraId="65FD9C10">
      <w:pPr>
        <w:pStyle w:val="9"/>
        <w:spacing w:before="11"/>
        <w:ind w:left="0"/>
        <w:jc w:val="left"/>
        <w:rPr>
          <w:rFonts w:hint="eastAsia"/>
          <w:sz w:val="30"/>
          <w:szCs w:val="30"/>
        </w:rPr>
      </w:pPr>
      <w:r>
        <w:rPr>
          <w:rFonts w:hint="eastAsia"/>
          <w:sz w:val="30"/>
          <w:szCs w:val="30"/>
        </w:rPr>
        <w:t>In a moment, the angel will explain the meaning of these ominous words.</w:t>
      </w:r>
    </w:p>
    <w:p w14:paraId="5CF568E8">
      <w:pPr>
        <w:pStyle w:val="9"/>
        <w:spacing w:before="11"/>
        <w:ind w:left="0"/>
        <w:jc w:val="left"/>
        <w:rPr>
          <w:rFonts w:hint="eastAsia"/>
          <w:sz w:val="30"/>
          <w:szCs w:val="30"/>
        </w:rPr>
      </w:pPr>
      <w:r>
        <w:rPr>
          <w:rFonts w:hint="eastAsia"/>
          <w:sz w:val="30"/>
          <w:szCs w:val="30"/>
        </w:rPr>
        <w:t>片刻之后，天使将解释这些不祥之语的意义。</w:t>
      </w:r>
    </w:p>
    <w:p w14:paraId="3F32BE13">
      <w:pPr>
        <w:pStyle w:val="9"/>
        <w:spacing w:before="11"/>
        <w:ind w:left="0"/>
        <w:jc w:val="left"/>
        <w:rPr>
          <w:rFonts w:hint="eastAsia"/>
          <w:sz w:val="30"/>
          <w:szCs w:val="30"/>
        </w:rPr>
      </w:pPr>
    </w:p>
    <w:p w14:paraId="0EA7A1BA">
      <w:pPr>
        <w:pStyle w:val="9"/>
        <w:spacing w:before="11"/>
        <w:ind w:left="0"/>
        <w:jc w:val="left"/>
        <w:rPr>
          <w:rFonts w:hint="eastAsia"/>
          <w:sz w:val="30"/>
          <w:szCs w:val="30"/>
        </w:rPr>
      </w:pPr>
      <w:r>
        <w:rPr>
          <w:rFonts w:hint="eastAsia"/>
          <w:sz w:val="30"/>
          <w:szCs w:val="30"/>
        </w:rPr>
        <w:t>But first the prophet’s vision ends with yet another sighting of the coming of the Ancient of Days (who is Christ at his Parousia), vindicating the faith (and the faithfulness) of the saints, and bestowing upon them the joys of eternal kingdom life (1 Thess. 3:1-10).</w:t>
      </w:r>
    </w:p>
    <w:p w14:paraId="16EE3AB6">
      <w:pPr>
        <w:pStyle w:val="9"/>
        <w:spacing w:before="11"/>
        <w:ind w:left="0"/>
        <w:jc w:val="left"/>
        <w:rPr>
          <w:rFonts w:hint="eastAsia"/>
          <w:sz w:val="30"/>
          <w:szCs w:val="30"/>
        </w:rPr>
      </w:pPr>
      <w:r>
        <w:rPr>
          <w:rFonts w:hint="eastAsia"/>
          <w:sz w:val="30"/>
          <w:szCs w:val="30"/>
        </w:rPr>
        <w:t>但首先，先知的异象以再次看见亘古常在者（即基督在祂再临时）的降临而结束，祂要为圣徒的信心（和忠心）辩白，并将永恒国度生活的喜乐赐给他们 (帖前 3:1-10)。</w:t>
      </w:r>
    </w:p>
    <w:p w14:paraId="4A183751">
      <w:pPr>
        <w:pStyle w:val="9"/>
        <w:spacing w:before="11"/>
        <w:ind w:left="0"/>
        <w:jc w:val="left"/>
        <w:rPr>
          <w:rFonts w:hint="eastAsia"/>
          <w:sz w:val="30"/>
          <w:szCs w:val="30"/>
        </w:rPr>
      </w:pPr>
    </w:p>
    <w:p w14:paraId="6A536FCE">
      <w:pPr>
        <w:pStyle w:val="9"/>
        <w:spacing w:before="11"/>
        <w:ind w:left="0"/>
        <w:jc w:val="left"/>
        <w:rPr>
          <w:rFonts w:hint="eastAsia"/>
          <w:sz w:val="30"/>
          <w:szCs w:val="30"/>
        </w:rPr>
      </w:pPr>
      <w:r>
        <w:rPr>
          <w:rFonts w:hint="eastAsia"/>
          <w:sz w:val="30"/>
          <w:szCs w:val="30"/>
        </w:rPr>
        <w:t>Now the motif of the entire vision—indeed, of the entire book—is clear: God faithfully warns of coming conflict so as to produce endurance; then he graciously promises coming triumph so as to produce courage, hope, and eager expectation.</w:t>
      </w:r>
    </w:p>
    <w:p w14:paraId="0ADBF646">
      <w:pPr>
        <w:pStyle w:val="9"/>
        <w:spacing w:before="11"/>
        <w:ind w:left="0"/>
        <w:jc w:val="left"/>
        <w:rPr>
          <w:rFonts w:hint="eastAsia"/>
          <w:sz w:val="30"/>
          <w:szCs w:val="30"/>
        </w:rPr>
      </w:pPr>
      <w:r>
        <w:rPr>
          <w:rFonts w:hint="eastAsia"/>
          <w:sz w:val="30"/>
          <w:szCs w:val="30"/>
        </w:rPr>
        <w:t>现在，整个异象——实际上是整本书——的主题是清晰的：神信实地警告将要到来的冲突，以产生忍耐；然后祂恩慈地应许将要到来的得胜，以产生勇气、盼望和热切的期待。</w:t>
      </w:r>
    </w:p>
    <w:p w14:paraId="3036C624">
      <w:pPr>
        <w:pStyle w:val="9"/>
        <w:spacing w:before="11"/>
        <w:ind w:left="0"/>
        <w:jc w:val="left"/>
        <w:rPr>
          <w:rFonts w:hint="eastAsia"/>
          <w:sz w:val="30"/>
          <w:szCs w:val="30"/>
        </w:rPr>
      </w:pPr>
    </w:p>
    <w:p w14:paraId="4592B113">
      <w:pPr>
        <w:pStyle w:val="9"/>
        <w:spacing w:before="11"/>
        <w:ind w:left="0"/>
        <w:jc w:val="left"/>
        <w:rPr>
          <w:rFonts w:hint="eastAsia"/>
          <w:sz w:val="30"/>
          <w:szCs w:val="30"/>
        </w:rPr>
      </w:pPr>
      <w:r>
        <w:rPr>
          <w:rFonts w:hint="eastAsia"/>
          <w:sz w:val="30"/>
          <w:szCs w:val="30"/>
        </w:rPr>
        <w:t>In verses 23-27, we have the angel’s (partial) explanation of the vision of the fourth beast.</w:t>
      </w:r>
    </w:p>
    <w:p w14:paraId="7FFF8734">
      <w:pPr>
        <w:pStyle w:val="9"/>
        <w:spacing w:before="11"/>
        <w:ind w:left="0"/>
        <w:jc w:val="left"/>
        <w:rPr>
          <w:rFonts w:hint="eastAsia"/>
          <w:sz w:val="30"/>
          <w:szCs w:val="30"/>
        </w:rPr>
      </w:pPr>
      <w:r>
        <w:rPr>
          <w:rFonts w:hint="eastAsia"/>
          <w:sz w:val="30"/>
          <w:szCs w:val="30"/>
        </w:rPr>
        <w:t>在第23-27节，我们看到天使对第四兽异象的（部分）解释。</w:t>
      </w:r>
    </w:p>
    <w:p w14:paraId="094E8B38">
      <w:pPr>
        <w:pStyle w:val="9"/>
        <w:spacing w:before="11"/>
        <w:ind w:left="0"/>
        <w:jc w:val="left"/>
        <w:rPr>
          <w:rFonts w:hint="eastAsia"/>
          <w:sz w:val="30"/>
          <w:szCs w:val="30"/>
        </w:rPr>
      </w:pPr>
    </w:p>
    <w:p w14:paraId="2F4D3BDD">
      <w:pPr>
        <w:pStyle w:val="9"/>
        <w:spacing w:before="11"/>
        <w:ind w:left="0"/>
        <w:jc w:val="left"/>
        <w:rPr>
          <w:rFonts w:hint="eastAsia"/>
          <w:sz w:val="30"/>
          <w:szCs w:val="30"/>
        </w:rPr>
      </w:pPr>
      <w:r>
        <w:rPr>
          <w:rFonts w:hint="eastAsia"/>
          <w:sz w:val="30"/>
          <w:szCs w:val="30"/>
        </w:rPr>
        <w:t>Several key points—much illumined by the NT—may be made.</w:t>
      </w:r>
    </w:p>
    <w:p w14:paraId="66539128">
      <w:pPr>
        <w:pStyle w:val="9"/>
        <w:spacing w:before="11"/>
        <w:ind w:left="0"/>
        <w:jc w:val="left"/>
        <w:rPr>
          <w:rFonts w:hint="eastAsia"/>
          <w:sz w:val="30"/>
          <w:szCs w:val="30"/>
        </w:rPr>
      </w:pPr>
      <w:r>
        <w:rPr>
          <w:rFonts w:hint="eastAsia"/>
          <w:sz w:val="30"/>
          <w:szCs w:val="30"/>
        </w:rPr>
        <w:t>可以提出几个关键点——这些点都深受新约的启示。</w:t>
      </w:r>
    </w:p>
    <w:p w14:paraId="7F2B9030">
      <w:pPr>
        <w:pStyle w:val="9"/>
        <w:spacing w:before="11"/>
        <w:ind w:left="0"/>
        <w:jc w:val="left"/>
        <w:rPr>
          <w:rFonts w:hint="eastAsia"/>
          <w:sz w:val="30"/>
          <w:szCs w:val="30"/>
        </w:rPr>
      </w:pPr>
    </w:p>
    <w:p w14:paraId="7F3756F6">
      <w:pPr>
        <w:pStyle w:val="9"/>
        <w:spacing w:before="11"/>
        <w:ind w:left="0"/>
        <w:jc w:val="left"/>
        <w:rPr>
          <w:rFonts w:hint="eastAsia"/>
          <w:sz w:val="30"/>
          <w:szCs w:val="30"/>
        </w:rPr>
      </w:pPr>
      <w:r>
        <w:rPr>
          <w:rFonts w:hint="eastAsia"/>
          <w:sz w:val="30"/>
          <w:szCs w:val="30"/>
        </w:rPr>
        <w:t>First, the fourth beast, which is emblematic of the final earthly kingdom, will be different from all the rest, largely because it will succeed in devouring the whole earth (v. 23).</w:t>
      </w:r>
    </w:p>
    <w:p w14:paraId="7FF37600">
      <w:pPr>
        <w:pStyle w:val="9"/>
        <w:spacing w:before="11"/>
        <w:ind w:left="0"/>
        <w:jc w:val="left"/>
        <w:rPr>
          <w:rFonts w:hint="eastAsia"/>
          <w:sz w:val="30"/>
          <w:szCs w:val="30"/>
        </w:rPr>
      </w:pPr>
      <w:r>
        <w:rPr>
          <w:rFonts w:hint="eastAsia"/>
          <w:sz w:val="30"/>
          <w:szCs w:val="30"/>
        </w:rPr>
        <w:t>首先，第四兽，是最终地上王国的象征，将与所有其余的不同，主要是因为它将成功吞吃全地 (第23节)。</w:t>
      </w:r>
    </w:p>
    <w:p w14:paraId="57582A05">
      <w:pPr>
        <w:pStyle w:val="9"/>
        <w:spacing w:before="11"/>
        <w:ind w:left="0"/>
        <w:jc w:val="left"/>
        <w:rPr>
          <w:rFonts w:hint="eastAsia"/>
          <w:sz w:val="30"/>
          <w:szCs w:val="30"/>
        </w:rPr>
      </w:pPr>
    </w:p>
    <w:p w14:paraId="189DB56F">
      <w:pPr>
        <w:pStyle w:val="9"/>
        <w:spacing w:before="11"/>
        <w:ind w:left="0"/>
        <w:jc w:val="left"/>
        <w:rPr>
          <w:rFonts w:hint="eastAsia"/>
          <w:sz w:val="30"/>
          <w:szCs w:val="30"/>
        </w:rPr>
      </w:pPr>
      <w:r>
        <w:rPr>
          <w:rFonts w:hint="eastAsia"/>
          <w:sz w:val="30"/>
          <w:szCs w:val="30"/>
        </w:rPr>
        <w:t>Here, the global hegemony of the ancient Roman Empire is partly in view.</w:t>
      </w:r>
    </w:p>
    <w:p w14:paraId="02E37A9C">
      <w:pPr>
        <w:pStyle w:val="9"/>
        <w:spacing w:before="11"/>
        <w:ind w:left="0"/>
        <w:jc w:val="left"/>
        <w:rPr>
          <w:rFonts w:hint="eastAsia"/>
          <w:sz w:val="30"/>
          <w:szCs w:val="30"/>
        </w:rPr>
      </w:pPr>
      <w:r>
        <w:rPr>
          <w:rFonts w:hint="eastAsia"/>
          <w:sz w:val="30"/>
          <w:szCs w:val="30"/>
        </w:rPr>
        <w:t>在这里，古罗马帝国的全球霸权是部分考虑的因素。</w:t>
      </w:r>
    </w:p>
    <w:p w14:paraId="317422EC">
      <w:pPr>
        <w:pStyle w:val="9"/>
        <w:spacing w:before="11"/>
        <w:ind w:left="0"/>
        <w:jc w:val="left"/>
        <w:rPr>
          <w:rFonts w:hint="eastAsia"/>
          <w:sz w:val="30"/>
          <w:szCs w:val="30"/>
        </w:rPr>
      </w:pPr>
    </w:p>
    <w:p w14:paraId="7B455546">
      <w:pPr>
        <w:pStyle w:val="9"/>
        <w:spacing w:before="11"/>
        <w:ind w:left="0"/>
        <w:jc w:val="left"/>
        <w:rPr>
          <w:rFonts w:hint="eastAsia"/>
          <w:sz w:val="30"/>
          <w:szCs w:val="30"/>
        </w:rPr>
      </w:pPr>
      <w:r>
        <w:rPr>
          <w:rFonts w:hint="eastAsia"/>
          <w:sz w:val="30"/>
          <w:szCs w:val="30"/>
        </w:rPr>
        <w:t>However, that very hegemony anticipates something far greater, something eschatological, and the true burden of this verse: In the days of the fourth beast, Satan will finally achieve his age-old purpose—manifested from the very beginning at Babel —of creating a counterfeit kingdom that overspreads the entire world (Gen. 11:1-9).</w:t>
      </w:r>
    </w:p>
    <w:p w14:paraId="2A0A31DB">
      <w:pPr>
        <w:pStyle w:val="9"/>
        <w:spacing w:before="11"/>
        <w:ind w:left="0"/>
        <w:jc w:val="left"/>
        <w:rPr>
          <w:rFonts w:hint="eastAsia"/>
          <w:sz w:val="30"/>
          <w:szCs w:val="30"/>
        </w:rPr>
      </w:pPr>
      <w:r>
        <w:rPr>
          <w:rFonts w:hint="eastAsia"/>
          <w:sz w:val="30"/>
          <w:szCs w:val="30"/>
        </w:rPr>
        <w:t>然而，正是这种霸权预示着一件远为更重大的事，一件末世论的事，以及这节经文的真正重点：在第四兽的日子里，撒旦将最终实现他古老的目的——从巴别塔一开始就显明出来的——即创造一个遍布全世界的伪冒国度 (创 11:1-9)。</w:t>
      </w:r>
    </w:p>
    <w:p w14:paraId="4924E750">
      <w:pPr>
        <w:pStyle w:val="9"/>
        <w:spacing w:before="11"/>
        <w:ind w:left="0"/>
        <w:jc w:val="left"/>
        <w:rPr>
          <w:rFonts w:hint="eastAsia"/>
          <w:sz w:val="30"/>
          <w:szCs w:val="30"/>
        </w:rPr>
      </w:pPr>
    </w:p>
    <w:p w14:paraId="7A69A53E">
      <w:pPr>
        <w:pStyle w:val="9"/>
        <w:spacing w:before="11"/>
        <w:ind w:left="0"/>
        <w:jc w:val="left"/>
        <w:rPr>
          <w:rFonts w:hint="eastAsia"/>
          <w:sz w:val="30"/>
          <w:szCs w:val="30"/>
        </w:rPr>
      </w:pPr>
      <w:r>
        <w:rPr>
          <w:rFonts w:hint="eastAsia"/>
          <w:sz w:val="30"/>
          <w:szCs w:val="30"/>
        </w:rPr>
        <w:t>Later, John will foresee much the same thing, writing, “And all the world marveled and followed the beast” (Rev. 13:3; 12:9, 16:4).</w:t>
      </w:r>
    </w:p>
    <w:p w14:paraId="3F3D2666">
      <w:pPr>
        <w:pStyle w:val="9"/>
        <w:spacing w:before="11"/>
        <w:ind w:left="0"/>
        <w:jc w:val="left"/>
        <w:rPr>
          <w:rFonts w:hint="eastAsia"/>
          <w:sz w:val="30"/>
          <w:szCs w:val="30"/>
        </w:rPr>
      </w:pPr>
      <w:r>
        <w:rPr>
          <w:rFonts w:hint="eastAsia"/>
          <w:sz w:val="30"/>
          <w:szCs w:val="30"/>
        </w:rPr>
        <w:t>后来，约翰将预见到大致相同的事情，写道：“全地的人都希奇跟从那兽” (启 13:3; 12:9, 16:4)。</w:t>
      </w:r>
    </w:p>
    <w:p w14:paraId="2CA31DD3">
      <w:pPr>
        <w:pStyle w:val="9"/>
        <w:spacing w:before="11"/>
        <w:ind w:left="0"/>
        <w:jc w:val="left"/>
        <w:rPr>
          <w:rFonts w:hint="eastAsia"/>
          <w:sz w:val="30"/>
          <w:szCs w:val="30"/>
        </w:rPr>
      </w:pPr>
    </w:p>
    <w:p w14:paraId="117E0123">
      <w:pPr>
        <w:pStyle w:val="9"/>
        <w:spacing w:before="11"/>
        <w:ind w:left="0"/>
        <w:jc w:val="left"/>
        <w:rPr>
          <w:rFonts w:hint="eastAsia"/>
          <w:sz w:val="30"/>
          <w:szCs w:val="30"/>
        </w:rPr>
      </w:pPr>
      <w:r>
        <w:rPr>
          <w:rFonts w:hint="eastAsia"/>
          <w:sz w:val="30"/>
          <w:szCs w:val="30"/>
        </w:rPr>
        <w:t>Only “the saints”—the true spiritual Church of all generations, but especially of the last generation—will refuse to marvel, follow, worship, and otherwise receive his mark of ownership (Rev. 13:8, 17:8, 20:4).</w:t>
      </w:r>
    </w:p>
    <w:p w14:paraId="26A6F86A">
      <w:pPr>
        <w:pStyle w:val="9"/>
        <w:spacing w:before="11"/>
        <w:ind w:left="0"/>
        <w:jc w:val="left"/>
        <w:rPr>
          <w:rFonts w:hint="eastAsia"/>
          <w:sz w:val="30"/>
          <w:szCs w:val="30"/>
        </w:rPr>
      </w:pPr>
      <w:r>
        <w:rPr>
          <w:rFonts w:hint="eastAsia"/>
          <w:sz w:val="30"/>
          <w:szCs w:val="30"/>
        </w:rPr>
        <w:t>只有“圣徒”——所有世代，特别是末后世代真正的属灵教会——才会拒绝希奇、跟从、敬拜，或以其他方式接受祂所有权的印记 (启 13:8, 17:8, 20:4)。</w:t>
      </w:r>
    </w:p>
    <w:p w14:paraId="2B1C0176">
      <w:pPr>
        <w:pStyle w:val="9"/>
        <w:spacing w:before="11"/>
        <w:ind w:left="0"/>
        <w:jc w:val="left"/>
        <w:rPr>
          <w:rFonts w:hint="eastAsia"/>
          <w:sz w:val="30"/>
          <w:szCs w:val="30"/>
        </w:rPr>
      </w:pPr>
    </w:p>
    <w:p w14:paraId="5D10BEB6">
      <w:pPr>
        <w:pStyle w:val="9"/>
        <w:spacing w:before="11"/>
        <w:ind w:left="0"/>
        <w:jc w:val="left"/>
        <w:rPr>
          <w:rFonts w:hint="eastAsia"/>
          <w:sz w:val="30"/>
          <w:szCs w:val="30"/>
        </w:rPr>
      </w:pPr>
      <w:r>
        <w:rPr>
          <w:rFonts w:hint="eastAsia"/>
          <w:sz w:val="30"/>
          <w:szCs w:val="30"/>
        </w:rPr>
        <w:t>Secondly, the verbiage of verse 24 suggests to some commentators that the life of the fourth beast is destined to unfold in three separate stages.</w:t>
      </w:r>
    </w:p>
    <w:p w14:paraId="480EA3EC">
      <w:pPr>
        <w:pStyle w:val="9"/>
        <w:spacing w:before="11"/>
        <w:ind w:left="0"/>
        <w:jc w:val="left"/>
        <w:rPr>
          <w:rFonts w:hint="eastAsia"/>
          <w:sz w:val="30"/>
          <w:szCs w:val="30"/>
        </w:rPr>
      </w:pPr>
      <w:r>
        <w:rPr>
          <w:rFonts w:hint="eastAsia"/>
          <w:sz w:val="30"/>
          <w:szCs w:val="30"/>
        </w:rPr>
        <w:t>其次，第24节的措辞向一些解经家暗示，第四兽的生命注定要分三个独立的阶段展开。</w:t>
      </w:r>
    </w:p>
    <w:p w14:paraId="7B927787">
      <w:pPr>
        <w:pStyle w:val="9"/>
        <w:spacing w:before="11"/>
        <w:ind w:left="0"/>
        <w:jc w:val="left"/>
        <w:rPr>
          <w:rFonts w:hint="eastAsia"/>
          <w:sz w:val="30"/>
          <w:szCs w:val="30"/>
        </w:rPr>
      </w:pPr>
    </w:p>
    <w:p w14:paraId="73AED117">
      <w:pPr>
        <w:pStyle w:val="9"/>
        <w:spacing w:before="11"/>
        <w:ind w:left="0"/>
        <w:jc w:val="left"/>
        <w:rPr>
          <w:rFonts w:hint="eastAsia"/>
          <w:sz w:val="30"/>
          <w:szCs w:val="30"/>
        </w:rPr>
      </w:pPr>
      <w:r>
        <w:rPr>
          <w:rFonts w:hint="eastAsia"/>
          <w:sz w:val="30"/>
          <w:szCs w:val="30"/>
        </w:rPr>
        <w:t>In the first, the beast arises from the Great Sea: This marks the advent of the ancient Roman Empire.</w:t>
      </w:r>
    </w:p>
    <w:p w14:paraId="2CF3B0F4">
      <w:pPr>
        <w:pStyle w:val="9"/>
        <w:spacing w:before="11"/>
        <w:ind w:left="0"/>
        <w:jc w:val="left"/>
        <w:rPr>
          <w:rFonts w:hint="eastAsia"/>
          <w:sz w:val="30"/>
          <w:szCs w:val="30"/>
        </w:rPr>
      </w:pPr>
      <w:r>
        <w:rPr>
          <w:rFonts w:hint="eastAsia"/>
          <w:sz w:val="30"/>
          <w:szCs w:val="30"/>
        </w:rPr>
        <w:t>第一阶段，兽从大海中上来：这标志着古罗马帝国的来临。</w:t>
      </w:r>
    </w:p>
    <w:p w14:paraId="569CE527">
      <w:pPr>
        <w:pStyle w:val="9"/>
        <w:spacing w:before="11"/>
        <w:ind w:left="0"/>
        <w:jc w:val="left"/>
        <w:rPr>
          <w:rFonts w:hint="eastAsia"/>
          <w:sz w:val="30"/>
          <w:szCs w:val="30"/>
        </w:rPr>
      </w:pPr>
    </w:p>
    <w:p w14:paraId="5A91EDA5">
      <w:pPr>
        <w:pStyle w:val="9"/>
        <w:spacing w:before="11"/>
        <w:ind w:left="0"/>
        <w:jc w:val="left"/>
        <w:rPr>
          <w:rFonts w:hint="eastAsia"/>
          <w:sz w:val="30"/>
          <w:szCs w:val="30"/>
        </w:rPr>
      </w:pPr>
      <w:r>
        <w:rPr>
          <w:rFonts w:hint="eastAsia"/>
          <w:sz w:val="30"/>
          <w:szCs w:val="30"/>
        </w:rPr>
        <w:t>In the second, “ten” horns (i.e., kings/kingdoms) arise from head of the Beast: This marks the totality (symbolized by the number ten) of the serial manifestations of Greco-Roman culture subsequent to the fall of ancient Rome.</w:t>
      </w:r>
    </w:p>
    <w:p w14:paraId="21255197">
      <w:pPr>
        <w:pStyle w:val="9"/>
        <w:spacing w:before="11"/>
        <w:ind w:left="0"/>
        <w:jc w:val="left"/>
        <w:rPr>
          <w:rFonts w:hint="eastAsia"/>
          <w:sz w:val="30"/>
          <w:szCs w:val="30"/>
        </w:rPr>
      </w:pPr>
      <w:r>
        <w:rPr>
          <w:rFonts w:hint="eastAsia"/>
          <w:sz w:val="30"/>
          <w:szCs w:val="30"/>
        </w:rPr>
        <w:t>第二阶段，“十”个角（即君王/国度）从兽头上长出：这标志着古罗马陷落后希腊-罗马文化一系列表现形式的总和（由数字十象征）。</w:t>
      </w:r>
    </w:p>
    <w:p w14:paraId="1A56E757">
      <w:pPr>
        <w:pStyle w:val="9"/>
        <w:spacing w:before="11"/>
        <w:ind w:left="0"/>
        <w:jc w:val="left"/>
        <w:rPr>
          <w:rFonts w:hint="eastAsia"/>
          <w:sz w:val="30"/>
          <w:szCs w:val="30"/>
        </w:rPr>
      </w:pPr>
    </w:p>
    <w:p w14:paraId="29DD3786">
      <w:pPr>
        <w:pStyle w:val="9"/>
        <w:spacing w:before="11"/>
        <w:ind w:left="0"/>
        <w:jc w:val="left"/>
        <w:rPr>
          <w:rFonts w:hint="eastAsia"/>
          <w:sz w:val="30"/>
          <w:szCs w:val="30"/>
        </w:rPr>
      </w:pPr>
      <w:r>
        <w:rPr>
          <w:rFonts w:hint="eastAsia"/>
          <w:sz w:val="30"/>
          <w:szCs w:val="30"/>
        </w:rPr>
        <w:t>In the third, one final horn arises, subduing “three” of its ten predecessors.</w:t>
      </w:r>
    </w:p>
    <w:p w14:paraId="53764EA1">
      <w:pPr>
        <w:pStyle w:val="9"/>
        <w:spacing w:before="11"/>
        <w:ind w:left="0"/>
        <w:jc w:val="left"/>
        <w:rPr>
          <w:rFonts w:hint="eastAsia"/>
          <w:sz w:val="30"/>
          <w:szCs w:val="30"/>
        </w:rPr>
      </w:pPr>
      <w:r>
        <w:rPr>
          <w:rFonts w:hint="eastAsia"/>
          <w:sz w:val="30"/>
          <w:szCs w:val="30"/>
        </w:rPr>
        <w:t>第三阶段，一个最后的角长出，制伏了它十个前任中的“三个”。</w:t>
      </w:r>
    </w:p>
    <w:p w14:paraId="6B32FF56">
      <w:pPr>
        <w:pStyle w:val="9"/>
        <w:spacing w:before="11"/>
        <w:ind w:left="0"/>
        <w:jc w:val="left"/>
        <w:rPr>
          <w:rFonts w:hint="eastAsia"/>
          <w:sz w:val="30"/>
          <w:szCs w:val="30"/>
        </w:rPr>
      </w:pPr>
    </w:p>
    <w:p w14:paraId="7681ABB0">
      <w:pPr>
        <w:pStyle w:val="9"/>
        <w:spacing w:before="11"/>
        <w:ind w:left="0"/>
        <w:jc w:val="left"/>
        <w:rPr>
          <w:rFonts w:hint="eastAsia"/>
          <w:sz w:val="30"/>
          <w:szCs w:val="30"/>
        </w:rPr>
      </w:pPr>
      <w:r>
        <w:rPr>
          <w:rFonts w:hint="eastAsia"/>
          <w:sz w:val="30"/>
          <w:szCs w:val="30"/>
        </w:rPr>
        <w:t>This speaks of the final eschatological embodiment of the Roman Empire, achieved by the Antichrist, who suddenly consolidates the residuum of Roman power and influence (symbolized by the number 3).</w:t>
      </w:r>
    </w:p>
    <w:p w14:paraId="25D4E52A">
      <w:pPr>
        <w:pStyle w:val="9"/>
        <w:spacing w:before="11"/>
        <w:ind w:left="0"/>
        <w:jc w:val="left"/>
        <w:rPr>
          <w:rFonts w:hint="eastAsia"/>
          <w:sz w:val="30"/>
          <w:szCs w:val="30"/>
        </w:rPr>
      </w:pPr>
      <w:r>
        <w:rPr>
          <w:rFonts w:hint="eastAsia"/>
          <w:sz w:val="30"/>
          <w:szCs w:val="30"/>
        </w:rPr>
        <w:t>这说的是罗马帝国的最终末世化身，由敌基督所实现，他突然巩固了罗马权力和影响力的残余（由数字3象征）。</w:t>
      </w:r>
    </w:p>
    <w:p w14:paraId="30B70045">
      <w:pPr>
        <w:pStyle w:val="9"/>
        <w:spacing w:before="11"/>
        <w:ind w:left="0"/>
        <w:jc w:val="left"/>
        <w:rPr>
          <w:rFonts w:hint="eastAsia"/>
          <w:sz w:val="30"/>
          <w:szCs w:val="30"/>
        </w:rPr>
      </w:pPr>
    </w:p>
    <w:p w14:paraId="1AD1C89D">
      <w:pPr>
        <w:pStyle w:val="9"/>
        <w:spacing w:before="11"/>
        <w:ind w:left="0"/>
        <w:jc w:val="left"/>
        <w:rPr>
          <w:rFonts w:hint="eastAsia"/>
          <w:sz w:val="30"/>
          <w:szCs w:val="30"/>
        </w:rPr>
      </w:pPr>
      <w:r>
        <w:rPr>
          <w:rFonts w:hint="eastAsia"/>
          <w:sz w:val="30"/>
          <w:szCs w:val="30"/>
        </w:rPr>
        <w:t>This approach, advocated by E. J. Young, is quite attractive in that it allows us to see how, from the time of Christ right up to the Consummation, the territories, peoples, and culture of the ancient Roman Empire remain near the center of the drama of world history.4</w:t>
      </w:r>
    </w:p>
    <w:p w14:paraId="6C5FEE34">
      <w:pPr>
        <w:pStyle w:val="9"/>
        <w:spacing w:before="11"/>
        <w:ind w:left="0"/>
        <w:jc w:val="left"/>
        <w:rPr>
          <w:rFonts w:hint="eastAsia"/>
          <w:sz w:val="30"/>
          <w:szCs w:val="30"/>
        </w:rPr>
      </w:pPr>
      <w:r>
        <w:rPr>
          <w:rFonts w:hint="eastAsia"/>
          <w:sz w:val="30"/>
          <w:szCs w:val="30"/>
        </w:rPr>
        <w:t>这种由E. J. 杨所倡导的方法相当有吸引力，因为它让我们看到，从基督的时代一直到最终的成全，古罗马帝国的领土、人民和文化如何始终处于世界历史戏剧的中心附近。4</w:t>
      </w:r>
    </w:p>
    <w:p w14:paraId="5C51EC5C">
      <w:pPr>
        <w:pStyle w:val="9"/>
        <w:spacing w:before="11"/>
        <w:ind w:left="0"/>
        <w:jc w:val="left"/>
        <w:rPr>
          <w:rFonts w:hint="eastAsia"/>
          <w:sz w:val="30"/>
          <w:szCs w:val="30"/>
        </w:rPr>
      </w:pPr>
    </w:p>
    <w:p w14:paraId="6BF2F3BC">
      <w:pPr>
        <w:pStyle w:val="9"/>
        <w:spacing w:before="11"/>
        <w:ind w:left="0"/>
        <w:jc w:val="left"/>
        <w:rPr>
          <w:rFonts w:hint="eastAsia"/>
          <w:sz w:val="30"/>
          <w:szCs w:val="30"/>
        </w:rPr>
      </w:pPr>
      <w:r>
        <w:rPr>
          <w:rFonts w:hint="eastAsia"/>
          <w:sz w:val="30"/>
          <w:szCs w:val="30"/>
        </w:rPr>
        <w:t>There are, of course, other views.</w:t>
      </w:r>
    </w:p>
    <w:p w14:paraId="096FAE61">
      <w:pPr>
        <w:pStyle w:val="9"/>
        <w:spacing w:before="11"/>
        <w:ind w:left="0"/>
        <w:jc w:val="left"/>
        <w:rPr>
          <w:rFonts w:hint="eastAsia"/>
          <w:sz w:val="30"/>
          <w:szCs w:val="30"/>
        </w:rPr>
      </w:pPr>
      <w:r>
        <w:rPr>
          <w:rFonts w:hint="eastAsia"/>
          <w:sz w:val="30"/>
          <w:szCs w:val="30"/>
        </w:rPr>
        <w:t>当然，也有其他的观点。</w:t>
      </w:r>
    </w:p>
    <w:p w14:paraId="461E5E1C">
      <w:pPr>
        <w:pStyle w:val="9"/>
        <w:spacing w:before="11"/>
        <w:ind w:left="0"/>
        <w:jc w:val="left"/>
        <w:rPr>
          <w:rFonts w:hint="eastAsia"/>
          <w:sz w:val="30"/>
          <w:szCs w:val="30"/>
        </w:rPr>
      </w:pPr>
    </w:p>
    <w:p w14:paraId="7087F557">
      <w:pPr>
        <w:pStyle w:val="9"/>
        <w:spacing w:before="11"/>
        <w:ind w:left="0"/>
        <w:jc w:val="left"/>
        <w:rPr>
          <w:rFonts w:hint="eastAsia"/>
          <w:sz w:val="30"/>
          <w:szCs w:val="30"/>
        </w:rPr>
      </w:pPr>
      <w:r>
        <w:rPr>
          <w:rFonts w:hint="eastAsia"/>
          <w:sz w:val="30"/>
          <w:szCs w:val="30"/>
        </w:rPr>
        <w:t>For example, many of our dispensational brethren, adopting a highly futuristic interpretation of this verse, look for an end time confederacy of ten European nations, over (the remnant of) which the Antichrist will rule after subduing three of them.</w:t>
      </w:r>
    </w:p>
    <w:p w14:paraId="41B7AD86">
      <w:pPr>
        <w:pStyle w:val="9"/>
        <w:spacing w:before="11"/>
        <w:ind w:left="0"/>
        <w:jc w:val="left"/>
        <w:rPr>
          <w:rFonts w:hint="eastAsia"/>
          <w:sz w:val="30"/>
          <w:szCs w:val="30"/>
        </w:rPr>
      </w:pPr>
      <w:r>
        <w:rPr>
          <w:rFonts w:hint="eastAsia"/>
          <w:sz w:val="30"/>
          <w:szCs w:val="30"/>
        </w:rPr>
        <w:t>例如，我们的许多时代论弟兄，采用对此节经文高度未来主义的解释，寻找一个由十个欧洲国家组成的末世联盟，敌基督在制伏其中三个之后，将统治其（残余部分）。</w:t>
      </w:r>
    </w:p>
    <w:p w14:paraId="628FAFCE">
      <w:pPr>
        <w:pStyle w:val="9"/>
        <w:spacing w:before="11"/>
        <w:ind w:left="0"/>
        <w:jc w:val="left"/>
        <w:rPr>
          <w:rFonts w:hint="eastAsia"/>
          <w:sz w:val="30"/>
          <w:szCs w:val="30"/>
        </w:rPr>
      </w:pPr>
    </w:p>
    <w:p w14:paraId="39396699">
      <w:pPr>
        <w:pStyle w:val="9"/>
        <w:spacing w:before="11"/>
        <w:ind w:left="0"/>
        <w:jc w:val="left"/>
        <w:rPr>
          <w:rFonts w:hint="eastAsia"/>
          <w:sz w:val="30"/>
          <w:szCs w:val="30"/>
        </w:rPr>
      </w:pPr>
      <w:r>
        <w:rPr>
          <w:rFonts w:hint="eastAsia"/>
          <w:sz w:val="30"/>
          <w:szCs w:val="30"/>
        </w:rPr>
        <w:t>However, this approach seems too futuristic: Certainly the text itself does not teach it explicitly.</w:t>
      </w:r>
    </w:p>
    <w:p w14:paraId="4D97E6D8">
      <w:pPr>
        <w:pStyle w:val="9"/>
        <w:spacing w:before="11"/>
        <w:ind w:left="0"/>
        <w:jc w:val="left"/>
        <w:rPr>
          <w:rFonts w:hint="eastAsia"/>
          <w:sz w:val="30"/>
          <w:szCs w:val="30"/>
        </w:rPr>
      </w:pPr>
      <w:r>
        <w:rPr>
          <w:rFonts w:hint="eastAsia"/>
          <w:sz w:val="30"/>
          <w:szCs w:val="30"/>
        </w:rPr>
        <w:t>然而，这种方法似乎过于未来主义：当然，经文本身并未明确教导这一点。</w:t>
      </w:r>
    </w:p>
    <w:p w14:paraId="1101C073">
      <w:pPr>
        <w:pStyle w:val="9"/>
        <w:spacing w:before="11"/>
        <w:ind w:left="0"/>
        <w:jc w:val="left"/>
        <w:rPr>
          <w:rFonts w:hint="eastAsia"/>
          <w:sz w:val="30"/>
          <w:szCs w:val="30"/>
        </w:rPr>
      </w:pPr>
    </w:p>
    <w:p w14:paraId="3184D876">
      <w:pPr>
        <w:pStyle w:val="9"/>
        <w:spacing w:before="11"/>
        <w:ind w:left="0"/>
        <w:jc w:val="left"/>
        <w:rPr>
          <w:rFonts w:hint="eastAsia"/>
          <w:sz w:val="30"/>
          <w:szCs w:val="30"/>
        </w:rPr>
      </w:pPr>
      <w:r>
        <w:rPr>
          <w:rFonts w:hint="eastAsia"/>
          <w:sz w:val="30"/>
          <w:szCs w:val="30"/>
        </w:rPr>
        <w:t>Moreover, if the numbers ten and three are meant symbolically, then the dispensational view becomes a prescription for fruitless speculation and failed “fulfillments” based upon the ebb and flow of European politics.</w:t>
      </w:r>
    </w:p>
    <w:p w14:paraId="0A56CBC1">
      <w:pPr>
        <w:pStyle w:val="9"/>
        <w:spacing w:before="11"/>
        <w:ind w:left="0"/>
        <w:jc w:val="left"/>
        <w:rPr>
          <w:rFonts w:hint="eastAsia"/>
          <w:sz w:val="30"/>
          <w:szCs w:val="30"/>
        </w:rPr>
      </w:pPr>
      <w:r>
        <w:rPr>
          <w:rFonts w:hint="eastAsia"/>
          <w:sz w:val="30"/>
          <w:szCs w:val="30"/>
        </w:rPr>
        <w:t>此外，如果数字十和三是象征性的，那么时代论的观点就成了基于欧洲政治潮起潮落的徒劳猜测和失败“应验”的处方。</w:t>
      </w:r>
    </w:p>
    <w:p w14:paraId="4B2187A6">
      <w:pPr>
        <w:pStyle w:val="9"/>
        <w:spacing w:before="11"/>
        <w:ind w:left="0"/>
        <w:jc w:val="left"/>
        <w:rPr>
          <w:rFonts w:hint="eastAsia"/>
          <w:sz w:val="30"/>
          <w:szCs w:val="30"/>
        </w:rPr>
      </w:pPr>
    </w:p>
    <w:p w14:paraId="4BA1F7E8">
      <w:pPr>
        <w:pStyle w:val="9"/>
        <w:spacing w:before="11"/>
        <w:ind w:left="0"/>
        <w:jc w:val="left"/>
        <w:rPr>
          <w:rFonts w:hint="eastAsia"/>
          <w:sz w:val="30"/>
          <w:szCs w:val="30"/>
        </w:rPr>
      </w:pPr>
      <w:r>
        <w:rPr>
          <w:rFonts w:hint="eastAsia"/>
          <w:sz w:val="30"/>
          <w:szCs w:val="30"/>
        </w:rPr>
        <w:t>By my lights, Young’s approach is far preferable.</w:t>
      </w:r>
    </w:p>
    <w:p w14:paraId="616DAC07">
      <w:pPr>
        <w:pStyle w:val="9"/>
        <w:spacing w:before="11"/>
        <w:ind w:left="0"/>
        <w:jc w:val="left"/>
        <w:rPr>
          <w:rFonts w:hint="eastAsia"/>
          <w:sz w:val="30"/>
          <w:szCs w:val="30"/>
        </w:rPr>
      </w:pPr>
      <w:r>
        <w:rPr>
          <w:rFonts w:hint="eastAsia"/>
          <w:sz w:val="30"/>
          <w:szCs w:val="30"/>
        </w:rPr>
        <w:t>在我看来，杨的方法远为可取。</w:t>
      </w:r>
    </w:p>
    <w:p w14:paraId="59C1F14C">
      <w:pPr>
        <w:pStyle w:val="9"/>
        <w:spacing w:before="11"/>
        <w:ind w:left="0"/>
        <w:jc w:val="left"/>
        <w:rPr>
          <w:rFonts w:hint="eastAsia"/>
          <w:sz w:val="30"/>
          <w:szCs w:val="30"/>
        </w:rPr>
      </w:pPr>
    </w:p>
    <w:p w14:paraId="0CB05859">
      <w:pPr>
        <w:pStyle w:val="9"/>
        <w:spacing w:before="11"/>
        <w:ind w:left="0"/>
        <w:jc w:val="left"/>
        <w:rPr>
          <w:rFonts w:hint="eastAsia"/>
          <w:sz w:val="30"/>
          <w:szCs w:val="30"/>
        </w:rPr>
      </w:pPr>
      <w:r>
        <w:rPr>
          <w:rFonts w:hint="eastAsia"/>
          <w:sz w:val="30"/>
          <w:szCs w:val="30"/>
        </w:rPr>
        <w:t>Verse 25 sketches the character and career of the Antichrist.</w:t>
      </w:r>
    </w:p>
    <w:p w14:paraId="5B5A748C">
      <w:pPr>
        <w:pStyle w:val="9"/>
        <w:spacing w:before="11"/>
        <w:ind w:left="0"/>
        <w:jc w:val="left"/>
        <w:rPr>
          <w:rFonts w:hint="eastAsia"/>
          <w:sz w:val="30"/>
          <w:szCs w:val="30"/>
        </w:rPr>
      </w:pPr>
      <w:r>
        <w:rPr>
          <w:rFonts w:hint="eastAsia"/>
          <w:sz w:val="30"/>
          <w:szCs w:val="30"/>
        </w:rPr>
        <w:t>第25节勾勒了敌基督的品格和生涯。</w:t>
      </w:r>
    </w:p>
    <w:p w14:paraId="767F8F4F">
      <w:pPr>
        <w:pStyle w:val="9"/>
        <w:spacing w:before="11"/>
        <w:ind w:left="0"/>
        <w:jc w:val="left"/>
        <w:rPr>
          <w:rFonts w:hint="eastAsia"/>
          <w:sz w:val="30"/>
          <w:szCs w:val="30"/>
        </w:rPr>
      </w:pPr>
    </w:p>
    <w:p w14:paraId="49CE5AB2">
      <w:pPr>
        <w:pStyle w:val="9"/>
        <w:spacing w:before="11"/>
        <w:ind w:left="0"/>
        <w:jc w:val="left"/>
        <w:rPr>
          <w:rFonts w:hint="eastAsia"/>
          <w:sz w:val="30"/>
          <w:szCs w:val="30"/>
        </w:rPr>
      </w:pPr>
      <w:r>
        <w:rPr>
          <w:rFonts w:hint="eastAsia"/>
          <w:sz w:val="30"/>
          <w:szCs w:val="30"/>
        </w:rPr>
        <w:t>He is arrogant and blasphemous; he will attempt to alter well-established customs and laws (including many pertaining to religious observances); and—for a brief, divinely ordained season—he will “wear out” the saints (i.e., persecute them to the point of apparent defeat).</w:t>
      </w:r>
    </w:p>
    <w:p w14:paraId="7772DD86">
      <w:pPr>
        <w:pStyle w:val="9"/>
        <w:spacing w:before="11"/>
        <w:ind w:left="0"/>
        <w:jc w:val="left"/>
        <w:rPr>
          <w:rFonts w:hint="eastAsia"/>
          <w:sz w:val="30"/>
          <w:szCs w:val="30"/>
        </w:rPr>
      </w:pPr>
      <w:r>
        <w:rPr>
          <w:rFonts w:hint="eastAsia"/>
          <w:sz w:val="30"/>
          <w:szCs w:val="30"/>
        </w:rPr>
        <w:t>祂是傲慢和亵渎的；祂会试图改变既定的风俗和律法（包括许多与宗教仪式有关的）；并且——在一个短暂的、神所命定的季节里——祂将“折磨”圣徒（即迫害他们到看似失败的地步）。</w:t>
      </w:r>
    </w:p>
    <w:p w14:paraId="473D8C41">
      <w:pPr>
        <w:pStyle w:val="9"/>
        <w:spacing w:before="11"/>
        <w:ind w:left="0"/>
        <w:jc w:val="left"/>
        <w:rPr>
          <w:rFonts w:hint="eastAsia"/>
          <w:sz w:val="30"/>
          <w:szCs w:val="30"/>
        </w:rPr>
      </w:pPr>
    </w:p>
    <w:p w14:paraId="601D2D19">
      <w:pPr>
        <w:pStyle w:val="9"/>
        <w:spacing w:before="11"/>
        <w:ind w:left="0"/>
        <w:jc w:val="left"/>
        <w:rPr>
          <w:rFonts w:hint="eastAsia"/>
          <w:sz w:val="30"/>
          <w:szCs w:val="30"/>
        </w:rPr>
      </w:pPr>
      <w:r>
        <w:rPr>
          <w:rFonts w:hint="eastAsia"/>
          <w:sz w:val="30"/>
          <w:szCs w:val="30"/>
        </w:rPr>
        <w:t>This, as we have seen, is none other than the Last Battle, which, according to the NT, will be pitched by the Man of Lawlessness and his subservient world-system against the true spiritual Church of Christ (Mt. 24:9-13, 2 Thess. 2:1f, Rev. 11:7-10, 16:14, 20:8).</w:t>
      </w:r>
    </w:p>
    <w:p w14:paraId="6D112F38">
      <w:pPr>
        <w:pStyle w:val="9"/>
        <w:spacing w:before="11"/>
        <w:ind w:left="0"/>
        <w:jc w:val="left"/>
        <w:rPr>
          <w:rFonts w:hint="eastAsia"/>
          <w:sz w:val="30"/>
          <w:szCs w:val="30"/>
        </w:rPr>
      </w:pPr>
      <w:r>
        <w:rPr>
          <w:rFonts w:hint="eastAsia"/>
          <w:sz w:val="30"/>
          <w:szCs w:val="30"/>
        </w:rPr>
        <w:t>正如我们所见，这正是最后的战役，根据新约，这场战役将由不法之人及其顺从的世界体系向基督真正的属灵教会发起 (太 24:9-13, 帖后 2:1及后, 启 11:7-10, 16:14, 20:8)。</w:t>
      </w:r>
    </w:p>
    <w:p w14:paraId="2764014F">
      <w:pPr>
        <w:pStyle w:val="9"/>
        <w:spacing w:before="11"/>
        <w:ind w:left="0"/>
        <w:jc w:val="left"/>
        <w:rPr>
          <w:rFonts w:hint="eastAsia"/>
          <w:sz w:val="30"/>
          <w:szCs w:val="30"/>
        </w:rPr>
      </w:pPr>
    </w:p>
    <w:p w14:paraId="534AD414">
      <w:pPr>
        <w:pStyle w:val="9"/>
        <w:spacing w:before="11"/>
        <w:ind w:left="0"/>
        <w:jc w:val="left"/>
        <w:rPr>
          <w:rFonts w:hint="eastAsia"/>
          <w:sz w:val="30"/>
          <w:szCs w:val="30"/>
        </w:rPr>
      </w:pPr>
      <w:r>
        <w:rPr>
          <w:rFonts w:hint="eastAsia"/>
          <w:sz w:val="30"/>
          <w:szCs w:val="30"/>
        </w:rPr>
        <w:t>In verses 26-27 the angel brings his message to a close by once again sounding a note of final triumph.</w:t>
      </w:r>
    </w:p>
    <w:p w14:paraId="62371426">
      <w:pPr>
        <w:pStyle w:val="9"/>
        <w:spacing w:before="11"/>
        <w:ind w:left="0"/>
        <w:jc w:val="left"/>
        <w:rPr>
          <w:rFonts w:hint="eastAsia"/>
          <w:sz w:val="30"/>
          <w:szCs w:val="30"/>
        </w:rPr>
      </w:pPr>
      <w:r>
        <w:rPr>
          <w:rFonts w:hint="eastAsia"/>
          <w:sz w:val="30"/>
          <w:szCs w:val="30"/>
        </w:rPr>
        <w:t>在第26-27节，天使再次奏响最后胜利的音符，结束了他的信息。</w:t>
      </w:r>
    </w:p>
    <w:p w14:paraId="6A0B29FA">
      <w:pPr>
        <w:pStyle w:val="9"/>
        <w:spacing w:before="11"/>
        <w:ind w:left="0"/>
        <w:jc w:val="left"/>
        <w:rPr>
          <w:rFonts w:hint="eastAsia"/>
          <w:sz w:val="30"/>
          <w:szCs w:val="30"/>
        </w:rPr>
      </w:pPr>
    </w:p>
    <w:p w14:paraId="3F663C8F">
      <w:pPr>
        <w:pStyle w:val="9"/>
        <w:spacing w:before="11"/>
        <w:ind w:left="0"/>
        <w:jc w:val="left"/>
        <w:rPr>
          <w:rFonts w:hint="eastAsia"/>
          <w:sz w:val="30"/>
          <w:szCs w:val="30"/>
        </w:rPr>
      </w:pPr>
      <w:r>
        <w:rPr>
          <w:rFonts w:hint="eastAsia"/>
          <w:sz w:val="30"/>
          <w:szCs w:val="30"/>
        </w:rPr>
        <w:t>The NT fully illumines his words.</w:t>
      </w:r>
    </w:p>
    <w:p w14:paraId="61B53D2F">
      <w:pPr>
        <w:pStyle w:val="9"/>
        <w:spacing w:before="11"/>
        <w:ind w:left="0"/>
        <w:jc w:val="left"/>
        <w:rPr>
          <w:rFonts w:hint="eastAsia"/>
          <w:sz w:val="30"/>
          <w:szCs w:val="30"/>
        </w:rPr>
      </w:pPr>
      <w:r>
        <w:rPr>
          <w:rFonts w:hint="eastAsia"/>
          <w:sz w:val="30"/>
          <w:szCs w:val="30"/>
        </w:rPr>
        <w:t>新约完全阐明了他的话。</w:t>
      </w:r>
    </w:p>
    <w:p w14:paraId="74F3A2FB">
      <w:pPr>
        <w:pStyle w:val="9"/>
        <w:spacing w:before="11"/>
        <w:ind w:left="0"/>
        <w:jc w:val="left"/>
        <w:rPr>
          <w:rFonts w:hint="eastAsia"/>
          <w:sz w:val="30"/>
          <w:szCs w:val="30"/>
        </w:rPr>
      </w:pPr>
    </w:p>
    <w:p w14:paraId="6555AD4B">
      <w:pPr>
        <w:pStyle w:val="9"/>
        <w:spacing w:before="11"/>
        <w:ind w:left="0"/>
        <w:jc w:val="left"/>
        <w:rPr>
          <w:rFonts w:hint="eastAsia"/>
          <w:sz w:val="30"/>
          <w:szCs w:val="30"/>
        </w:rPr>
      </w:pPr>
      <w:r>
        <w:rPr>
          <w:rFonts w:hint="eastAsia"/>
          <w:sz w:val="30"/>
          <w:szCs w:val="30"/>
        </w:rPr>
        <w:t>At Christ’s return, the Son of Man will execute final judgment, destroying not only the Antichrist and his followers, but also “the dragon” that inspired and empowered them all (Mt. 25:41, 2 Thess. 2:8, Rev. 17:14, 19:19-21, 20:10).</w:t>
      </w:r>
    </w:p>
    <w:p w14:paraId="5533C2A8">
      <w:pPr>
        <w:pStyle w:val="9"/>
        <w:spacing w:before="11"/>
        <w:ind w:left="0"/>
        <w:jc w:val="left"/>
        <w:rPr>
          <w:rFonts w:hint="eastAsia"/>
          <w:sz w:val="30"/>
          <w:szCs w:val="30"/>
        </w:rPr>
      </w:pPr>
      <w:r>
        <w:rPr>
          <w:rFonts w:hint="eastAsia"/>
          <w:sz w:val="30"/>
          <w:szCs w:val="30"/>
        </w:rPr>
        <w:t>在基督再来时，人子将执行最后的审判，不仅要摧毁敌基督和他的跟随者，还要摧毁那激励并赋予他们所有人能力的“龙” (太 25:41, 帖后 2:8, 启 17:14, 19:19-21, 20:10)。</w:t>
      </w:r>
    </w:p>
    <w:p w14:paraId="071AD50D">
      <w:pPr>
        <w:pStyle w:val="9"/>
        <w:spacing w:before="11"/>
        <w:ind w:left="0"/>
        <w:jc w:val="left"/>
        <w:rPr>
          <w:rFonts w:hint="eastAsia"/>
          <w:sz w:val="30"/>
          <w:szCs w:val="30"/>
        </w:rPr>
      </w:pPr>
    </w:p>
    <w:p w14:paraId="0D42BCD9">
      <w:pPr>
        <w:pStyle w:val="9"/>
        <w:spacing w:before="11"/>
        <w:ind w:left="0"/>
        <w:jc w:val="left"/>
        <w:rPr>
          <w:rFonts w:hint="eastAsia"/>
          <w:sz w:val="30"/>
          <w:szCs w:val="30"/>
        </w:rPr>
      </w:pPr>
      <w:r>
        <w:rPr>
          <w:rFonts w:hint="eastAsia"/>
          <w:sz w:val="30"/>
          <w:szCs w:val="30"/>
        </w:rPr>
        <w:t>After this, the kingdoms of the world will become the (universal) Kingdom of our Lord and of his Christ; and he—and the saints with him— will reign forever and ever, amen (v. 27, 1 Cor. 15:28, Rev. 11:5, 22:5).</w:t>
      </w:r>
    </w:p>
    <w:p w14:paraId="0B2F3A41">
      <w:pPr>
        <w:pStyle w:val="9"/>
        <w:spacing w:before="11"/>
        <w:ind w:left="0"/>
        <w:jc w:val="left"/>
        <w:rPr>
          <w:rFonts w:hint="eastAsia"/>
          <w:sz w:val="30"/>
          <w:szCs w:val="30"/>
        </w:rPr>
      </w:pPr>
      <w:r>
        <w:rPr>
          <w:rFonts w:hint="eastAsia"/>
          <w:sz w:val="30"/>
          <w:szCs w:val="30"/>
        </w:rPr>
        <w:t>此后，世上的国将成为我们主和祂基督的（普世）国度；祂——以及与祂同在的圣徒——将作王，直到永永远远，阿们 (第27节, 林前 15:28, 启 11:5, 22:5)。</w:t>
      </w:r>
    </w:p>
    <w:p w14:paraId="69DD496B">
      <w:pPr>
        <w:pStyle w:val="9"/>
        <w:spacing w:before="11"/>
        <w:ind w:left="0"/>
        <w:jc w:val="left"/>
        <w:rPr>
          <w:rFonts w:hint="eastAsia"/>
          <w:sz w:val="30"/>
          <w:szCs w:val="30"/>
        </w:rPr>
      </w:pPr>
    </w:p>
    <w:p w14:paraId="77ACC747">
      <w:pPr>
        <w:pStyle w:val="9"/>
        <w:spacing w:before="11"/>
        <w:ind w:left="0"/>
        <w:jc w:val="left"/>
        <w:rPr>
          <w:rFonts w:hint="eastAsia"/>
          <w:sz w:val="30"/>
          <w:szCs w:val="30"/>
        </w:rPr>
      </w:pPr>
      <w:r>
        <w:rPr>
          <w:rFonts w:hint="eastAsia"/>
          <w:sz w:val="30"/>
          <w:szCs w:val="30"/>
        </w:rPr>
        <w:t>Conclusion</w:t>
      </w:r>
    </w:p>
    <w:p w14:paraId="20CE634D">
      <w:pPr>
        <w:pStyle w:val="9"/>
        <w:spacing w:before="11"/>
        <w:ind w:left="0"/>
        <w:jc w:val="left"/>
        <w:rPr>
          <w:rFonts w:hint="eastAsia"/>
          <w:sz w:val="30"/>
          <w:szCs w:val="30"/>
        </w:rPr>
      </w:pPr>
      <w:r>
        <w:rPr>
          <w:rFonts w:hint="eastAsia"/>
          <w:sz w:val="30"/>
          <w:szCs w:val="30"/>
        </w:rPr>
        <w:t>结论</w:t>
      </w:r>
    </w:p>
    <w:p w14:paraId="2F1BBF3F">
      <w:pPr>
        <w:pStyle w:val="9"/>
        <w:spacing w:before="11"/>
        <w:ind w:left="0"/>
        <w:jc w:val="left"/>
        <w:rPr>
          <w:rFonts w:hint="eastAsia"/>
          <w:sz w:val="30"/>
          <w:szCs w:val="30"/>
        </w:rPr>
      </w:pPr>
    </w:p>
    <w:p w14:paraId="3F1A7FCF">
      <w:pPr>
        <w:pStyle w:val="9"/>
        <w:spacing w:before="11"/>
        <w:ind w:left="0"/>
        <w:jc w:val="left"/>
        <w:rPr>
          <w:rFonts w:hint="eastAsia"/>
          <w:sz w:val="30"/>
          <w:szCs w:val="30"/>
        </w:rPr>
      </w:pPr>
      <w:r>
        <w:rPr>
          <w:rFonts w:hint="eastAsia"/>
          <w:sz w:val="30"/>
          <w:szCs w:val="30"/>
        </w:rPr>
        <w:t>We have seen that the NCH richly opens up this majestic but mysterious OTKP, giving us a simple, biblically coherent interpretation, thereby greatly encouraging the NT saints of all times.</w:t>
      </w:r>
    </w:p>
    <w:p w14:paraId="1C0D7DF6">
      <w:pPr>
        <w:pStyle w:val="9"/>
        <w:spacing w:before="11"/>
        <w:ind w:left="0"/>
        <w:jc w:val="left"/>
        <w:rPr>
          <w:rFonts w:hint="eastAsia"/>
          <w:sz w:val="30"/>
          <w:szCs w:val="30"/>
        </w:rPr>
      </w:pPr>
      <w:r>
        <w:rPr>
          <w:rFonts w:hint="eastAsia"/>
          <w:sz w:val="30"/>
          <w:szCs w:val="30"/>
        </w:rPr>
        <w:t>我们已经看到，新约解释学（NCH）丰富地解开了这个威严而神秘的旧约国度预言，给了我们一个简单、符合圣经的连贯解释，从而极大地鼓励了所有时代的新约圣徒。</w:t>
      </w:r>
    </w:p>
    <w:p w14:paraId="60641E36">
      <w:pPr>
        <w:pStyle w:val="9"/>
        <w:spacing w:before="11"/>
        <w:ind w:left="0"/>
        <w:jc w:val="left"/>
        <w:rPr>
          <w:rFonts w:hint="eastAsia"/>
          <w:sz w:val="30"/>
          <w:szCs w:val="30"/>
        </w:rPr>
      </w:pPr>
    </w:p>
    <w:p w14:paraId="132D27FB">
      <w:pPr>
        <w:pStyle w:val="9"/>
        <w:spacing w:before="11"/>
        <w:ind w:left="0"/>
        <w:jc w:val="left"/>
        <w:rPr>
          <w:rFonts w:hint="eastAsia"/>
          <w:sz w:val="30"/>
          <w:szCs w:val="30"/>
        </w:rPr>
      </w:pPr>
      <w:r>
        <w:rPr>
          <w:rFonts w:hint="eastAsia"/>
          <w:sz w:val="30"/>
          <w:szCs w:val="30"/>
        </w:rPr>
        <w:t>Alas, premillennial views do not fare so well.</w:t>
      </w:r>
    </w:p>
    <w:p w14:paraId="7B54A3CB">
      <w:pPr>
        <w:pStyle w:val="9"/>
        <w:spacing w:before="11"/>
        <w:ind w:left="0"/>
        <w:jc w:val="left"/>
        <w:rPr>
          <w:rFonts w:hint="eastAsia"/>
          <w:sz w:val="30"/>
          <w:szCs w:val="30"/>
        </w:rPr>
      </w:pPr>
      <w:r>
        <w:rPr>
          <w:rFonts w:hint="eastAsia"/>
          <w:sz w:val="30"/>
          <w:szCs w:val="30"/>
        </w:rPr>
        <w:t>唉，前千禧年论的观点就没那么好了。</w:t>
      </w:r>
    </w:p>
    <w:p w14:paraId="311B18E9">
      <w:pPr>
        <w:pStyle w:val="9"/>
        <w:spacing w:before="11"/>
        <w:ind w:left="0"/>
        <w:jc w:val="left"/>
        <w:rPr>
          <w:rFonts w:hint="eastAsia"/>
          <w:sz w:val="30"/>
          <w:szCs w:val="30"/>
        </w:rPr>
      </w:pPr>
    </w:p>
    <w:p w14:paraId="25E51980">
      <w:pPr>
        <w:pStyle w:val="9"/>
        <w:spacing w:before="11"/>
        <w:ind w:left="0"/>
        <w:jc w:val="left"/>
        <w:rPr>
          <w:rFonts w:hint="eastAsia"/>
          <w:sz w:val="30"/>
          <w:szCs w:val="30"/>
        </w:rPr>
      </w:pPr>
      <w:r>
        <w:rPr>
          <w:rFonts w:hint="eastAsia"/>
          <w:sz w:val="30"/>
          <w:szCs w:val="30"/>
        </w:rPr>
        <w:t>Premillennarians assert, for example, that verses 9-12 do not describe the Last Judgment at all, but instead speak of a lesser judgment that will immediately precede Christ’s millennial reign.</w:t>
      </w:r>
    </w:p>
    <w:p w14:paraId="403C2F8B">
      <w:pPr>
        <w:pStyle w:val="9"/>
        <w:spacing w:before="11"/>
        <w:ind w:left="0"/>
        <w:jc w:val="left"/>
        <w:rPr>
          <w:rFonts w:hint="eastAsia"/>
          <w:sz w:val="30"/>
          <w:szCs w:val="30"/>
        </w:rPr>
      </w:pPr>
      <w:r>
        <w:rPr>
          <w:rFonts w:hint="eastAsia"/>
          <w:sz w:val="30"/>
          <w:szCs w:val="30"/>
        </w:rPr>
        <w:t>例如，前千禧年论者断言，第9-12节根本不是描述最后的审判，而是讲述一个较小的审判，这个审判将紧接在基督的千禧年统治之前。</w:t>
      </w:r>
    </w:p>
    <w:p w14:paraId="4F94E71A">
      <w:pPr>
        <w:pStyle w:val="9"/>
        <w:spacing w:before="11"/>
        <w:ind w:left="0"/>
        <w:jc w:val="left"/>
        <w:rPr>
          <w:rFonts w:hint="eastAsia"/>
          <w:sz w:val="30"/>
          <w:szCs w:val="30"/>
        </w:rPr>
      </w:pPr>
    </w:p>
    <w:p w14:paraId="0762F486">
      <w:pPr>
        <w:pStyle w:val="9"/>
        <w:spacing w:before="11"/>
        <w:ind w:left="0"/>
        <w:jc w:val="left"/>
        <w:rPr>
          <w:rFonts w:hint="eastAsia"/>
          <w:sz w:val="30"/>
          <w:szCs w:val="30"/>
        </w:rPr>
      </w:pPr>
      <w:r>
        <w:rPr>
          <w:rFonts w:hint="eastAsia"/>
          <w:sz w:val="30"/>
          <w:szCs w:val="30"/>
        </w:rPr>
        <w:t>Regarding verses 13-14, some among them, following Scofield, argue that Daniel is describing a special “investiture” in heaven, by which Christ, just prior to his millennial reign, will receive authority from the Father to descend to the earth and rule there.</w:t>
      </w:r>
    </w:p>
    <w:p w14:paraId="7BE57928">
      <w:pPr>
        <w:pStyle w:val="9"/>
        <w:spacing w:before="11"/>
        <w:ind w:left="0"/>
        <w:jc w:val="left"/>
        <w:rPr>
          <w:rFonts w:hint="eastAsia"/>
          <w:sz w:val="30"/>
          <w:szCs w:val="30"/>
        </w:rPr>
      </w:pPr>
      <w:r>
        <w:rPr>
          <w:rFonts w:hint="eastAsia"/>
          <w:sz w:val="30"/>
          <w:szCs w:val="30"/>
        </w:rPr>
        <w:t>关于第13-14节，他们中的一些人，跟随司可福的观点，认为但以理正在描述一个在天上的特殊“授权仪式”，基督在祂的千禧年统治之前，将从父那里领受权柄，降到地上并在那里统治。</w:t>
      </w:r>
    </w:p>
    <w:p w14:paraId="44C94FF1">
      <w:pPr>
        <w:pStyle w:val="9"/>
        <w:spacing w:before="11"/>
        <w:ind w:left="0"/>
        <w:jc w:val="left"/>
        <w:rPr>
          <w:rFonts w:hint="eastAsia"/>
          <w:sz w:val="30"/>
          <w:szCs w:val="30"/>
        </w:rPr>
      </w:pPr>
    </w:p>
    <w:p w14:paraId="162B52D9">
      <w:pPr>
        <w:pStyle w:val="9"/>
        <w:spacing w:before="11"/>
        <w:ind w:left="0"/>
        <w:jc w:val="left"/>
        <w:rPr>
          <w:rFonts w:hint="eastAsia"/>
          <w:sz w:val="30"/>
          <w:szCs w:val="30"/>
        </w:rPr>
      </w:pPr>
      <w:r>
        <w:rPr>
          <w:rFonts w:hint="eastAsia"/>
          <w:sz w:val="30"/>
          <w:szCs w:val="30"/>
        </w:rPr>
        <w:t>Others—such as Fausset, Walvoord, and Pentecost—contend that these verses, and verses 26-27 as well, simply describe Christ’s Second Coming in order to inaugurate his millennial kingdom upon the earth.</w:t>
      </w:r>
    </w:p>
    <w:p w14:paraId="19424BB1">
      <w:pPr>
        <w:pStyle w:val="9"/>
        <w:spacing w:before="11"/>
        <w:ind w:left="0"/>
        <w:jc w:val="left"/>
        <w:rPr>
          <w:rFonts w:hint="eastAsia"/>
          <w:sz w:val="30"/>
          <w:szCs w:val="30"/>
        </w:rPr>
      </w:pPr>
      <w:r>
        <w:rPr>
          <w:rFonts w:hint="eastAsia"/>
          <w:sz w:val="30"/>
          <w:szCs w:val="30"/>
        </w:rPr>
        <w:t>其他人——例如福塞特、华富德和潘特科斯特——则主张这些经文，以及第26-27节，仅仅是描述基督的第二次降临，以便在地上开启祂的千禧年国度。</w:t>
      </w:r>
    </w:p>
    <w:p w14:paraId="3BD71101">
      <w:pPr>
        <w:pStyle w:val="9"/>
        <w:spacing w:before="11"/>
        <w:ind w:left="0"/>
        <w:jc w:val="left"/>
        <w:rPr>
          <w:rFonts w:hint="eastAsia"/>
          <w:sz w:val="30"/>
          <w:szCs w:val="30"/>
        </w:rPr>
      </w:pPr>
    </w:p>
    <w:p w14:paraId="59BEF401">
      <w:pPr>
        <w:pStyle w:val="9"/>
        <w:spacing w:before="11"/>
        <w:ind w:left="0"/>
        <w:jc w:val="left"/>
        <w:rPr>
          <w:rFonts w:hint="eastAsia"/>
          <w:sz w:val="30"/>
          <w:szCs w:val="30"/>
        </w:rPr>
      </w:pPr>
      <w:r>
        <w:rPr>
          <w:rFonts w:hint="eastAsia"/>
          <w:sz w:val="30"/>
          <w:szCs w:val="30"/>
        </w:rPr>
        <w:t>The great difficulty with all such views—apart from the fact that they are needlessly complicated and confusing—is that they miss the thrust of the chapter as a whole.</w:t>
      </w:r>
    </w:p>
    <w:p w14:paraId="549231C7">
      <w:pPr>
        <w:pStyle w:val="9"/>
        <w:spacing w:before="11"/>
        <w:ind w:left="0"/>
        <w:jc w:val="left"/>
        <w:rPr>
          <w:rFonts w:hint="eastAsia"/>
          <w:sz w:val="30"/>
          <w:szCs w:val="30"/>
        </w:rPr>
      </w:pPr>
      <w:r>
        <w:rPr>
          <w:rFonts w:hint="eastAsia"/>
          <w:sz w:val="30"/>
          <w:szCs w:val="30"/>
        </w:rPr>
        <w:t>所有这些观点的巨大困难——除了它们不必要地复杂和混乱之外——在于它们错失了整章的要点。</w:t>
      </w:r>
    </w:p>
    <w:p w14:paraId="11F56D1E">
      <w:pPr>
        <w:pStyle w:val="9"/>
        <w:spacing w:before="11"/>
        <w:ind w:left="0"/>
        <w:jc w:val="left"/>
        <w:rPr>
          <w:rFonts w:hint="eastAsia"/>
          <w:sz w:val="30"/>
          <w:szCs w:val="30"/>
        </w:rPr>
      </w:pPr>
    </w:p>
    <w:p w14:paraId="09FF9221">
      <w:pPr>
        <w:pStyle w:val="9"/>
        <w:spacing w:before="11"/>
        <w:ind w:left="0"/>
        <w:jc w:val="left"/>
        <w:rPr>
          <w:rFonts w:hint="eastAsia"/>
          <w:sz w:val="30"/>
          <w:szCs w:val="30"/>
        </w:rPr>
      </w:pPr>
      <w:r>
        <w:rPr>
          <w:rFonts w:hint="eastAsia"/>
          <w:sz w:val="30"/>
          <w:szCs w:val="30"/>
        </w:rPr>
        <w:t>Again, the Spirit’s evident purpose in giving Daniel this vision was to illumine, prepare, strengthen, and encourage all the saints of subsequent times with a revelation of the entire course of “the kingdoms of this world;” a revelation of all that must occur up to and including the Consummation, after which God’s everlasting Kingdom will appear in its glorious fullness.</w:t>
      </w:r>
    </w:p>
    <w:p w14:paraId="3E10EF84">
      <w:pPr>
        <w:pStyle w:val="9"/>
        <w:spacing w:before="11"/>
        <w:ind w:left="0"/>
        <w:jc w:val="left"/>
        <w:rPr>
          <w:rFonts w:hint="eastAsia"/>
          <w:sz w:val="30"/>
          <w:szCs w:val="30"/>
        </w:rPr>
      </w:pPr>
      <w:r>
        <w:rPr>
          <w:rFonts w:hint="eastAsia"/>
          <w:sz w:val="30"/>
          <w:szCs w:val="30"/>
        </w:rPr>
        <w:t>再次，圣灵赐给但以理这个异象的明显目的，是为了用一个关于“这世界列国”全部进程的启示来光照、预备、坚固和鼓励后来所有时代的圣徒；一个关于直到并包括最终成全时必须发生的一切的启示，此后神永恒的国度将以其荣耀的丰满显现。</w:t>
      </w:r>
    </w:p>
    <w:p w14:paraId="6C2861C2">
      <w:pPr>
        <w:pStyle w:val="9"/>
        <w:spacing w:before="11"/>
        <w:ind w:left="0"/>
        <w:jc w:val="left"/>
        <w:rPr>
          <w:rFonts w:hint="eastAsia"/>
          <w:sz w:val="30"/>
          <w:szCs w:val="30"/>
        </w:rPr>
      </w:pPr>
    </w:p>
    <w:p w14:paraId="3F21246F">
      <w:pPr>
        <w:pStyle w:val="9"/>
        <w:spacing w:before="11"/>
        <w:ind w:left="0"/>
        <w:jc w:val="left"/>
        <w:rPr>
          <w:rFonts w:hint="eastAsia"/>
          <w:sz w:val="30"/>
          <w:szCs w:val="30"/>
        </w:rPr>
      </w:pPr>
      <w:r>
        <w:rPr>
          <w:rFonts w:hint="eastAsia"/>
          <w:sz w:val="30"/>
          <w:szCs w:val="30"/>
        </w:rPr>
        <w:t>Premillennarians, bound by their own eschatology, are forced to deny this, and to assert that Daniel 7 merely takes us to the end of the Era of Proclamation, after which there is still much more to come: the Millennium, the (last) Last Battle (i.e., at the end of the Millennium), and the (last) Last Judgment—all of which the Spirit neglected to mention, not only here, but in chapter 2 as well!</w:t>
      </w:r>
    </w:p>
    <w:p w14:paraId="44001BB4">
      <w:pPr>
        <w:pStyle w:val="9"/>
        <w:spacing w:before="11"/>
        <w:ind w:left="0"/>
        <w:jc w:val="left"/>
        <w:rPr>
          <w:rFonts w:hint="eastAsia"/>
          <w:sz w:val="30"/>
          <w:szCs w:val="30"/>
        </w:rPr>
      </w:pPr>
      <w:r>
        <w:rPr>
          <w:rFonts w:hint="eastAsia"/>
          <w:sz w:val="30"/>
          <w:szCs w:val="30"/>
        </w:rPr>
        <w:t>前千禧年论者，受他们自己末世论的束缚，被迫否认这一点，并断言但以理书第7章仅仅带我们到宣讲时代的结束，之后还有更多的事情要来：千禧年、(最后的)最后战役（即在千禧年结束时），以及(最后的)最后审判——所有这些，圣灵都忽略了提及，不仅在这里，在第2章也是如此！</w:t>
      </w:r>
    </w:p>
    <w:p w14:paraId="72E51995">
      <w:pPr>
        <w:pStyle w:val="9"/>
        <w:spacing w:before="11"/>
        <w:ind w:left="0"/>
        <w:jc w:val="left"/>
        <w:rPr>
          <w:rFonts w:hint="eastAsia"/>
          <w:sz w:val="30"/>
          <w:szCs w:val="30"/>
        </w:rPr>
      </w:pPr>
    </w:p>
    <w:p w14:paraId="2AEDC61A">
      <w:pPr>
        <w:pStyle w:val="9"/>
        <w:spacing w:before="11"/>
        <w:ind w:left="0"/>
        <w:jc w:val="left"/>
        <w:rPr>
          <w:rFonts w:hint="eastAsia"/>
          <w:sz w:val="30"/>
          <w:szCs w:val="30"/>
        </w:rPr>
      </w:pPr>
      <w:r>
        <w:rPr>
          <w:rFonts w:hint="eastAsia"/>
          <w:sz w:val="30"/>
          <w:szCs w:val="30"/>
        </w:rPr>
        <w:t>The net effect of this error is to eclipse the grandeur of what God actually revealed, becloud the vision of the saints, and defer their fondest dreams for an extra thousand years!</w:t>
      </w:r>
    </w:p>
    <w:p w14:paraId="1ED635BA">
      <w:pPr>
        <w:pStyle w:val="9"/>
        <w:spacing w:before="11"/>
        <w:ind w:left="0"/>
        <w:jc w:val="left"/>
        <w:rPr>
          <w:rFonts w:hint="eastAsia"/>
          <w:sz w:val="30"/>
          <w:szCs w:val="30"/>
        </w:rPr>
      </w:pPr>
      <w:r>
        <w:rPr>
          <w:rFonts w:hint="eastAsia"/>
          <w:sz w:val="30"/>
          <w:szCs w:val="30"/>
        </w:rPr>
        <w:t>这个错误的最终结果是，遮蔽了神实际启示的宏伟，蒙蔽了圣徒的异象，并将他们最热切的梦想推迟了一千年！</w:t>
      </w:r>
    </w:p>
    <w:p w14:paraId="6F4E8FE8">
      <w:pPr>
        <w:pStyle w:val="9"/>
        <w:spacing w:before="11"/>
        <w:ind w:left="0"/>
        <w:jc w:val="left"/>
        <w:rPr>
          <w:rFonts w:hint="eastAsia"/>
          <w:sz w:val="30"/>
          <w:szCs w:val="30"/>
        </w:rPr>
      </w:pPr>
    </w:p>
    <w:p w14:paraId="0A36555D">
      <w:pPr>
        <w:pStyle w:val="9"/>
        <w:spacing w:before="11"/>
        <w:ind w:left="0"/>
        <w:jc w:val="left"/>
        <w:rPr>
          <w:rFonts w:hint="eastAsia"/>
          <w:sz w:val="30"/>
          <w:szCs w:val="30"/>
        </w:rPr>
      </w:pPr>
      <w:r>
        <w:rPr>
          <w:rFonts w:hint="eastAsia"/>
          <w:sz w:val="30"/>
          <w:szCs w:val="30"/>
        </w:rPr>
        <w:t>We conclude, then, that unlike premillennarian literalism, the NCH gives us a profoundly satisfying interpretation of Daniel 7; an interpretation that richly equips Christ’s Church for the dramatic closing scenes of the present evil age, even as it kindles their hopes for a glorious, everlasting, heavenly Kingdom soon to come!</w:t>
      </w:r>
    </w:p>
    <w:p w14:paraId="48CABD4E">
      <w:pPr>
        <w:pStyle w:val="9"/>
        <w:spacing w:before="11"/>
        <w:ind w:left="0"/>
        <w:jc w:val="left"/>
        <w:rPr>
          <w:rFonts w:hint="eastAsia"/>
          <w:sz w:val="30"/>
          <w:szCs w:val="30"/>
        </w:rPr>
      </w:pPr>
      <w:r>
        <w:rPr>
          <w:rFonts w:hint="eastAsia"/>
          <w:sz w:val="30"/>
          <w:szCs w:val="30"/>
        </w:rPr>
        <w:t>因此，我们得出结论，与前千禧年派的字面主义不同，新约解释学（NCH）为我们提供了一个对但以理书第7章极为令人满意的解释；一个丰富地装备基督教会，以面对现今邪恶世代戏剧性收场场景的解释，同时也点燃了他们对一个荣耀、永恒、属天的国度即将来临的盼望！</w:t>
      </w:r>
    </w:p>
    <w:p w14:paraId="15E2C04C">
      <w:pPr>
        <w:pStyle w:val="9"/>
        <w:spacing w:before="11"/>
        <w:ind w:left="0"/>
        <w:jc w:val="left"/>
        <w:rPr>
          <w:rFonts w:hint="eastAsia"/>
          <w:sz w:val="30"/>
          <w:szCs w:val="30"/>
        </w:rPr>
      </w:pPr>
    </w:p>
    <w:p w14:paraId="5399A99E">
      <w:pPr>
        <w:pStyle w:val="9"/>
        <w:spacing w:before="11"/>
        <w:ind w:left="0"/>
        <w:jc w:val="left"/>
        <w:rPr>
          <w:rFonts w:hint="eastAsia"/>
          <w:sz w:val="30"/>
          <w:szCs w:val="30"/>
        </w:rPr>
      </w:pPr>
      <w:r>
        <w:rPr>
          <w:rFonts w:hint="eastAsia"/>
          <w:sz w:val="30"/>
          <w:szCs w:val="30"/>
        </w:rPr>
        <w:t>2.Daniel’s Prophecy of the Seventy Sevens</w:t>
      </w:r>
    </w:p>
    <w:p w14:paraId="4B5F7093">
      <w:pPr>
        <w:pStyle w:val="9"/>
        <w:spacing w:before="11"/>
        <w:ind w:left="0"/>
        <w:jc w:val="left"/>
        <w:rPr>
          <w:rFonts w:hint="eastAsia"/>
          <w:sz w:val="30"/>
          <w:szCs w:val="30"/>
        </w:rPr>
      </w:pPr>
      <w:r>
        <w:rPr>
          <w:rFonts w:hint="eastAsia"/>
          <w:sz w:val="30"/>
          <w:szCs w:val="30"/>
        </w:rPr>
        <w:t>(Daniel 9:24-27)</w:t>
      </w:r>
    </w:p>
    <w:p w14:paraId="07934333">
      <w:pPr>
        <w:pStyle w:val="9"/>
        <w:spacing w:before="11"/>
        <w:ind w:left="0"/>
        <w:jc w:val="left"/>
        <w:rPr>
          <w:rFonts w:hint="eastAsia"/>
          <w:sz w:val="30"/>
          <w:szCs w:val="30"/>
        </w:rPr>
      </w:pPr>
      <w:r>
        <w:rPr>
          <w:rFonts w:hint="eastAsia"/>
          <w:sz w:val="30"/>
          <w:szCs w:val="30"/>
        </w:rPr>
        <w:t>2. 但以理关于七十个七的预言</w:t>
      </w:r>
    </w:p>
    <w:p w14:paraId="7FA3825E">
      <w:pPr>
        <w:pStyle w:val="9"/>
        <w:spacing w:before="11"/>
        <w:ind w:left="0"/>
        <w:jc w:val="left"/>
        <w:rPr>
          <w:rFonts w:hint="eastAsia"/>
          <w:sz w:val="30"/>
          <w:szCs w:val="30"/>
        </w:rPr>
      </w:pPr>
      <w:r>
        <w:rPr>
          <w:rFonts w:hint="eastAsia"/>
          <w:sz w:val="30"/>
          <w:szCs w:val="30"/>
        </w:rPr>
        <w:t>(但以理书 9:24-27)</w:t>
      </w:r>
    </w:p>
    <w:p w14:paraId="7D73C5E8">
      <w:pPr>
        <w:pStyle w:val="9"/>
        <w:spacing w:before="11"/>
        <w:ind w:left="0"/>
        <w:jc w:val="left"/>
        <w:rPr>
          <w:rFonts w:hint="eastAsia"/>
          <w:sz w:val="30"/>
          <w:szCs w:val="30"/>
        </w:rPr>
      </w:pPr>
    </w:p>
    <w:p w14:paraId="1EA6AE55">
      <w:pPr>
        <w:pStyle w:val="9"/>
        <w:spacing w:before="11"/>
        <w:ind w:left="0"/>
        <w:jc w:val="left"/>
        <w:rPr>
          <w:rFonts w:hint="eastAsia"/>
          <w:sz w:val="30"/>
          <w:szCs w:val="30"/>
        </w:rPr>
      </w:pPr>
      <w:r>
        <w:rPr>
          <w:rFonts w:hint="eastAsia"/>
          <w:sz w:val="30"/>
          <w:szCs w:val="30"/>
        </w:rPr>
        <w:t>The year is 539 B.C. Daniel, still in captivity under Darius the Mede, has been reading the prophet Jeremiah (Jer. 25:11-12, 29:10).</w:t>
      </w:r>
    </w:p>
    <w:p w14:paraId="7A80B35B">
      <w:pPr>
        <w:pStyle w:val="9"/>
        <w:spacing w:before="11"/>
        <w:ind w:left="0"/>
        <w:jc w:val="left"/>
        <w:rPr>
          <w:rFonts w:hint="eastAsia"/>
          <w:sz w:val="30"/>
          <w:szCs w:val="30"/>
        </w:rPr>
      </w:pPr>
      <w:r>
        <w:rPr>
          <w:rFonts w:hint="eastAsia"/>
          <w:sz w:val="30"/>
          <w:szCs w:val="30"/>
        </w:rPr>
        <w:t>公元前539年。但以理仍在玛代人大利乌手下被掳，他一直在阅读先知耶利米的书 (耶 25:11-12, 29:10)。</w:t>
      </w:r>
    </w:p>
    <w:p w14:paraId="2F9A5709">
      <w:pPr>
        <w:pStyle w:val="9"/>
        <w:spacing w:before="11"/>
        <w:ind w:left="0"/>
        <w:jc w:val="left"/>
        <w:rPr>
          <w:rFonts w:hint="eastAsia"/>
          <w:sz w:val="30"/>
          <w:szCs w:val="30"/>
        </w:rPr>
      </w:pPr>
    </w:p>
    <w:p w14:paraId="2F57814F">
      <w:pPr>
        <w:pStyle w:val="9"/>
        <w:spacing w:before="11"/>
        <w:ind w:left="0"/>
        <w:jc w:val="left"/>
        <w:rPr>
          <w:rFonts w:hint="eastAsia"/>
          <w:sz w:val="30"/>
          <w:szCs w:val="30"/>
        </w:rPr>
      </w:pPr>
      <w:r>
        <w:rPr>
          <w:rFonts w:hint="eastAsia"/>
          <w:sz w:val="30"/>
          <w:szCs w:val="30"/>
        </w:rPr>
        <w:t>He realizes that the 70 years of Jerusalem’s desolation are nearing an end, but also that many captive Jews remain unbroken and impenitent (v. 13).</w:t>
      </w:r>
    </w:p>
    <w:p w14:paraId="65236841">
      <w:pPr>
        <w:pStyle w:val="9"/>
        <w:spacing w:before="11"/>
        <w:ind w:left="0"/>
        <w:jc w:val="left"/>
        <w:rPr>
          <w:rFonts w:hint="eastAsia"/>
          <w:sz w:val="30"/>
          <w:szCs w:val="30"/>
        </w:rPr>
      </w:pPr>
      <w:r>
        <w:rPr>
          <w:rFonts w:hint="eastAsia"/>
          <w:sz w:val="30"/>
          <w:szCs w:val="30"/>
        </w:rPr>
        <w:t>他意识到耶路撒冷荒凉的70年快要结束了，但也意识到许多被掳的犹太人仍然顽固不化，不知悔改 (第13节)。</w:t>
      </w:r>
    </w:p>
    <w:p w14:paraId="7ADCAEA1">
      <w:pPr>
        <w:pStyle w:val="9"/>
        <w:spacing w:before="11"/>
        <w:ind w:left="0"/>
        <w:jc w:val="left"/>
        <w:rPr>
          <w:rFonts w:hint="eastAsia"/>
          <w:sz w:val="30"/>
          <w:szCs w:val="30"/>
        </w:rPr>
      </w:pPr>
    </w:p>
    <w:p w14:paraId="167C2BDE">
      <w:pPr>
        <w:pStyle w:val="9"/>
        <w:spacing w:before="11"/>
        <w:ind w:left="0"/>
        <w:jc w:val="left"/>
        <w:rPr>
          <w:rFonts w:hint="eastAsia"/>
          <w:sz w:val="30"/>
          <w:szCs w:val="30"/>
        </w:rPr>
      </w:pPr>
      <w:r>
        <w:rPr>
          <w:rFonts w:hint="eastAsia"/>
          <w:sz w:val="30"/>
          <w:szCs w:val="30"/>
        </w:rPr>
        <w:t>They are not spiritually qualified for the great restoration promised decades earlier.</w:t>
      </w:r>
    </w:p>
    <w:p w14:paraId="304EEDD3">
      <w:pPr>
        <w:pStyle w:val="9"/>
        <w:spacing w:before="11"/>
        <w:ind w:left="0"/>
        <w:jc w:val="left"/>
        <w:rPr>
          <w:rFonts w:hint="eastAsia"/>
          <w:sz w:val="30"/>
          <w:szCs w:val="30"/>
        </w:rPr>
      </w:pPr>
      <w:r>
        <w:rPr>
          <w:rFonts w:hint="eastAsia"/>
          <w:sz w:val="30"/>
          <w:szCs w:val="30"/>
        </w:rPr>
        <w:t>他们在属灵上没有资格获得几十年前所应许的伟大复兴。</w:t>
      </w:r>
    </w:p>
    <w:p w14:paraId="3E33EF55">
      <w:pPr>
        <w:pStyle w:val="9"/>
        <w:spacing w:before="11"/>
        <w:ind w:left="0"/>
        <w:jc w:val="left"/>
        <w:rPr>
          <w:rFonts w:hint="eastAsia"/>
          <w:sz w:val="30"/>
          <w:szCs w:val="30"/>
        </w:rPr>
      </w:pPr>
    </w:p>
    <w:p w14:paraId="48FD50E6">
      <w:pPr>
        <w:pStyle w:val="9"/>
        <w:spacing w:before="11"/>
        <w:ind w:left="0"/>
        <w:jc w:val="left"/>
        <w:rPr>
          <w:rFonts w:hint="eastAsia"/>
          <w:sz w:val="30"/>
          <w:szCs w:val="30"/>
        </w:rPr>
      </w:pPr>
      <w:r>
        <w:rPr>
          <w:rFonts w:hint="eastAsia"/>
          <w:sz w:val="30"/>
          <w:szCs w:val="30"/>
        </w:rPr>
        <w:t>So Daniel prays (vv. 3-23).</w:t>
      </w:r>
    </w:p>
    <w:p w14:paraId="28ECD5EA">
      <w:pPr>
        <w:pStyle w:val="9"/>
        <w:spacing w:before="11"/>
        <w:ind w:left="0"/>
        <w:jc w:val="left"/>
        <w:rPr>
          <w:rFonts w:hint="eastAsia"/>
          <w:sz w:val="30"/>
          <w:szCs w:val="30"/>
        </w:rPr>
      </w:pPr>
      <w:r>
        <w:rPr>
          <w:rFonts w:hint="eastAsia"/>
          <w:sz w:val="30"/>
          <w:szCs w:val="30"/>
        </w:rPr>
        <w:t>于是但以理祷告 (第3-23节)。</w:t>
      </w:r>
    </w:p>
    <w:p w14:paraId="0110C10A">
      <w:pPr>
        <w:pStyle w:val="9"/>
        <w:spacing w:before="11"/>
        <w:ind w:left="0"/>
        <w:jc w:val="left"/>
        <w:rPr>
          <w:rFonts w:hint="eastAsia"/>
          <w:sz w:val="30"/>
          <w:szCs w:val="30"/>
        </w:rPr>
      </w:pPr>
    </w:p>
    <w:p w14:paraId="78C16DF6">
      <w:pPr>
        <w:pStyle w:val="9"/>
        <w:spacing w:before="11"/>
        <w:ind w:left="0"/>
        <w:jc w:val="left"/>
        <w:rPr>
          <w:rFonts w:hint="eastAsia"/>
          <w:sz w:val="30"/>
          <w:szCs w:val="30"/>
        </w:rPr>
      </w:pPr>
      <w:r>
        <w:rPr>
          <w:rFonts w:hint="eastAsia"/>
          <w:sz w:val="30"/>
          <w:szCs w:val="30"/>
        </w:rPr>
        <w:t>First, he rehearses and confesses the sin of God’s covenant-breaking people (vv. 3-10).</w:t>
      </w:r>
    </w:p>
    <w:p w14:paraId="1AB6B3C0">
      <w:pPr>
        <w:pStyle w:val="9"/>
        <w:spacing w:before="11"/>
        <w:ind w:left="0"/>
        <w:jc w:val="left"/>
        <w:rPr>
          <w:rFonts w:hint="eastAsia"/>
          <w:sz w:val="30"/>
          <w:szCs w:val="30"/>
        </w:rPr>
      </w:pPr>
      <w:r>
        <w:rPr>
          <w:rFonts w:hint="eastAsia"/>
          <w:sz w:val="30"/>
          <w:szCs w:val="30"/>
        </w:rPr>
        <w:t>首先，他复述并承认神那背约之民的罪 (第3-10节)。</w:t>
      </w:r>
    </w:p>
    <w:p w14:paraId="0690BFE5">
      <w:pPr>
        <w:pStyle w:val="9"/>
        <w:spacing w:before="11"/>
        <w:ind w:left="0"/>
        <w:jc w:val="left"/>
        <w:rPr>
          <w:rFonts w:hint="eastAsia"/>
          <w:sz w:val="30"/>
          <w:szCs w:val="30"/>
        </w:rPr>
      </w:pPr>
    </w:p>
    <w:p w14:paraId="0BBF699A">
      <w:pPr>
        <w:pStyle w:val="9"/>
        <w:spacing w:before="11"/>
        <w:ind w:left="0"/>
        <w:jc w:val="left"/>
        <w:rPr>
          <w:rFonts w:hint="eastAsia"/>
          <w:sz w:val="30"/>
          <w:szCs w:val="30"/>
        </w:rPr>
      </w:pPr>
      <w:r>
        <w:rPr>
          <w:rFonts w:hint="eastAsia"/>
          <w:sz w:val="30"/>
          <w:szCs w:val="30"/>
        </w:rPr>
        <w:t>Then he acknowledges God’s justice in sending them into captivity (vv. 11-15).</w:t>
      </w:r>
    </w:p>
    <w:p w14:paraId="1FEFF259">
      <w:pPr>
        <w:pStyle w:val="9"/>
        <w:spacing w:before="11"/>
        <w:ind w:left="0"/>
        <w:jc w:val="left"/>
        <w:rPr>
          <w:rFonts w:hint="eastAsia"/>
          <w:sz w:val="30"/>
          <w:szCs w:val="30"/>
        </w:rPr>
      </w:pPr>
      <w:r>
        <w:rPr>
          <w:rFonts w:hint="eastAsia"/>
          <w:sz w:val="30"/>
          <w:szCs w:val="30"/>
        </w:rPr>
        <w:t>然后他承认神将他们掳去是公义的 (第11-15节)。</w:t>
      </w:r>
    </w:p>
    <w:p w14:paraId="2C796A17">
      <w:pPr>
        <w:pStyle w:val="9"/>
        <w:spacing w:before="11"/>
        <w:ind w:left="0"/>
        <w:jc w:val="left"/>
        <w:rPr>
          <w:rFonts w:hint="eastAsia"/>
          <w:sz w:val="30"/>
          <w:szCs w:val="30"/>
        </w:rPr>
      </w:pPr>
    </w:p>
    <w:p w14:paraId="4D71429E">
      <w:pPr>
        <w:pStyle w:val="9"/>
        <w:spacing w:before="11"/>
        <w:ind w:left="0"/>
        <w:jc w:val="left"/>
        <w:rPr>
          <w:rFonts w:hint="eastAsia"/>
          <w:sz w:val="30"/>
          <w:szCs w:val="30"/>
        </w:rPr>
      </w:pPr>
      <w:r>
        <w:rPr>
          <w:rFonts w:hint="eastAsia"/>
          <w:sz w:val="30"/>
          <w:szCs w:val="30"/>
        </w:rPr>
        <w:t>Finally, he makes his petition.</w:t>
      </w:r>
    </w:p>
    <w:p w14:paraId="1FCCC25F">
      <w:pPr>
        <w:pStyle w:val="9"/>
        <w:spacing w:before="11"/>
        <w:ind w:left="0"/>
        <w:jc w:val="left"/>
        <w:rPr>
          <w:rFonts w:hint="eastAsia"/>
          <w:sz w:val="30"/>
          <w:szCs w:val="30"/>
        </w:rPr>
      </w:pPr>
      <w:r>
        <w:rPr>
          <w:rFonts w:hint="eastAsia"/>
          <w:sz w:val="30"/>
          <w:szCs w:val="30"/>
        </w:rPr>
        <w:t>最后，他提出他的恳求。</w:t>
      </w:r>
    </w:p>
    <w:p w14:paraId="4613FF33">
      <w:pPr>
        <w:pStyle w:val="9"/>
        <w:spacing w:before="11"/>
        <w:ind w:left="0"/>
        <w:jc w:val="left"/>
        <w:rPr>
          <w:rFonts w:hint="eastAsia"/>
          <w:sz w:val="30"/>
          <w:szCs w:val="30"/>
        </w:rPr>
      </w:pPr>
    </w:p>
    <w:p w14:paraId="2E7E1A22">
      <w:pPr>
        <w:pStyle w:val="9"/>
        <w:spacing w:before="11"/>
        <w:ind w:left="0"/>
        <w:jc w:val="left"/>
        <w:rPr>
          <w:rFonts w:hint="eastAsia"/>
          <w:sz w:val="30"/>
          <w:szCs w:val="30"/>
        </w:rPr>
      </w:pPr>
      <w:r>
        <w:rPr>
          <w:rFonts w:hint="eastAsia"/>
          <w:sz w:val="30"/>
          <w:szCs w:val="30"/>
        </w:rPr>
        <w:t>Appealing solely to God’s mercy, grace, and zeal for the honor of his Name, he pleads with the LORD to fulfill his promise given through Jeremiah: to restore his City, his Sanctuary, and his Holy Mountain (vv. 16- 19).</w:t>
      </w:r>
    </w:p>
    <w:p w14:paraId="1AAC9F7C">
      <w:pPr>
        <w:pStyle w:val="9"/>
        <w:spacing w:before="11"/>
        <w:ind w:left="0"/>
        <w:jc w:val="left"/>
        <w:rPr>
          <w:rFonts w:hint="eastAsia"/>
          <w:sz w:val="30"/>
          <w:szCs w:val="30"/>
        </w:rPr>
      </w:pPr>
      <w:r>
        <w:rPr>
          <w:rFonts w:hint="eastAsia"/>
          <w:sz w:val="30"/>
          <w:szCs w:val="30"/>
        </w:rPr>
        <w:t>他单单诉诸于神的怜悯、恩典和为祂名誉的热心，恳求主实现祂通过耶利米所赐的应许：复兴祂的城、祂的圣所和祂的圣山 (第16-19节)。</w:t>
      </w:r>
    </w:p>
    <w:p w14:paraId="72DA18C2">
      <w:pPr>
        <w:pStyle w:val="9"/>
        <w:spacing w:before="11"/>
        <w:ind w:left="0"/>
        <w:jc w:val="left"/>
        <w:rPr>
          <w:rFonts w:hint="eastAsia"/>
          <w:sz w:val="30"/>
          <w:szCs w:val="30"/>
        </w:rPr>
      </w:pPr>
    </w:p>
    <w:p w14:paraId="4DCA3C30">
      <w:pPr>
        <w:pStyle w:val="9"/>
        <w:spacing w:before="11"/>
        <w:ind w:left="0"/>
        <w:jc w:val="left"/>
        <w:rPr>
          <w:rFonts w:hint="eastAsia"/>
          <w:sz w:val="30"/>
          <w:szCs w:val="30"/>
        </w:rPr>
      </w:pPr>
      <w:r>
        <w:rPr>
          <w:rFonts w:hint="eastAsia"/>
          <w:sz w:val="30"/>
          <w:szCs w:val="30"/>
        </w:rPr>
        <w:t>His words are not in vain.</w:t>
      </w:r>
    </w:p>
    <w:p w14:paraId="38F5DAE3">
      <w:pPr>
        <w:pStyle w:val="9"/>
        <w:spacing w:before="11"/>
        <w:ind w:left="0"/>
        <w:jc w:val="left"/>
        <w:rPr>
          <w:rFonts w:hint="eastAsia"/>
          <w:sz w:val="30"/>
          <w:szCs w:val="30"/>
        </w:rPr>
      </w:pPr>
      <w:r>
        <w:rPr>
          <w:rFonts w:hint="eastAsia"/>
          <w:sz w:val="30"/>
          <w:szCs w:val="30"/>
        </w:rPr>
        <w:t>他的话没有白费。</w:t>
      </w:r>
    </w:p>
    <w:p w14:paraId="2B651766">
      <w:pPr>
        <w:pStyle w:val="9"/>
        <w:spacing w:before="11"/>
        <w:ind w:left="0"/>
        <w:jc w:val="left"/>
        <w:rPr>
          <w:rFonts w:hint="eastAsia"/>
          <w:sz w:val="30"/>
          <w:szCs w:val="30"/>
        </w:rPr>
      </w:pPr>
    </w:p>
    <w:p w14:paraId="22B39FBF">
      <w:pPr>
        <w:pStyle w:val="9"/>
        <w:spacing w:before="11"/>
        <w:ind w:left="0"/>
        <w:jc w:val="left"/>
        <w:rPr>
          <w:rFonts w:hint="eastAsia"/>
          <w:sz w:val="30"/>
          <w:szCs w:val="30"/>
        </w:rPr>
      </w:pPr>
      <w:r>
        <w:rPr>
          <w:rFonts w:hint="eastAsia"/>
          <w:sz w:val="30"/>
          <w:szCs w:val="30"/>
        </w:rPr>
        <w:t>Even as he is praying, the angel Gabriel arrives and stands before him, declaring to Daniel that God has heard his prayer and answered it.</w:t>
      </w:r>
    </w:p>
    <w:p w14:paraId="525B2B71">
      <w:pPr>
        <w:pStyle w:val="9"/>
        <w:spacing w:before="11"/>
        <w:ind w:left="0"/>
        <w:jc w:val="left"/>
        <w:rPr>
          <w:rFonts w:hint="eastAsia"/>
          <w:sz w:val="30"/>
          <w:szCs w:val="30"/>
        </w:rPr>
      </w:pPr>
      <w:r>
        <w:rPr>
          <w:rFonts w:hint="eastAsia"/>
          <w:sz w:val="30"/>
          <w:szCs w:val="30"/>
        </w:rPr>
        <w:t>正当他祷告的时候，天使加百列来到他面前，向但以理宣告神已经听了他的祷告并应允了。</w:t>
      </w:r>
    </w:p>
    <w:p w14:paraId="1FC0CC58">
      <w:pPr>
        <w:pStyle w:val="9"/>
        <w:spacing w:before="11"/>
        <w:ind w:left="0"/>
        <w:jc w:val="left"/>
        <w:rPr>
          <w:rFonts w:hint="eastAsia"/>
          <w:sz w:val="30"/>
          <w:szCs w:val="30"/>
        </w:rPr>
      </w:pPr>
    </w:p>
    <w:p w14:paraId="27A5AC82">
      <w:pPr>
        <w:pStyle w:val="9"/>
        <w:spacing w:before="11"/>
        <w:ind w:left="0"/>
        <w:jc w:val="left"/>
        <w:rPr>
          <w:rFonts w:hint="eastAsia"/>
          <w:sz w:val="30"/>
          <w:szCs w:val="30"/>
        </w:rPr>
      </w:pPr>
      <w:r>
        <w:rPr>
          <w:rFonts w:hint="eastAsia"/>
          <w:sz w:val="30"/>
          <w:szCs w:val="30"/>
        </w:rPr>
        <w:t>He (Gabriel) has been sent to give Daniel “insight and understanding” about the coming Restoration (vv. 20-23).</w:t>
      </w:r>
    </w:p>
    <w:p w14:paraId="148152AC">
      <w:pPr>
        <w:pStyle w:val="9"/>
        <w:spacing w:before="11"/>
        <w:ind w:left="0"/>
        <w:jc w:val="left"/>
        <w:rPr>
          <w:rFonts w:hint="eastAsia"/>
          <w:sz w:val="30"/>
          <w:szCs w:val="30"/>
        </w:rPr>
      </w:pPr>
      <w:r>
        <w:rPr>
          <w:rFonts w:hint="eastAsia"/>
          <w:sz w:val="30"/>
          <w:szCs w:val="30"/>
        </w:rPr>
        <w:t>他（加百列）被差来，要赐给但以理关于将要来临的复兴的“智慧和聪明” (第20-23节)。</w:t>
      </w:r>
    </w:p>
    <w:p w14:paraId="1E59ED56">
      <w:pPr>
        <w:pStyle w:val="9"/>
        <w:spacing w:before="11"/>
        <w:ind w:left="0"/>
        <w:jc w:val="left"/>
        <w:rPr>
          <w:rFonts w:hint="eastAsia"/>
          <w:sz w:val="30"/>
          <w:szCs w:val="30"/>
        </w:rPr>
      </w:pPr>
    </w:p>
    <w:p w14:paraId="45372CFE">
      <w:pPr>
        <w:pStyle w:val="9"/>
        <w:spacing w:before="11"/>
        <w:ind w:left="0"/>
        <w:jc w:val="left"/>
        <w:rPr>
          <w:rFonts w:hint="eastAsia"/>
          <w:sz w:val="30"/>
          <w:szCs w:val="30"/>
        </w:rPr>
      </w:pPr>
      <w:r>
        <w:rPr>
          <w:rFonts w:hint="eastAsia"/>
          <w:sz w:val="30"/>
          <w:szCs w:val="30"/>
        </w:rPr>
        <w:t>In the four long verses that follow, he does just that (vv. 24-27).</w:t>
      </w:r>
    </w:p>
    <w:p w14:paraId="1AE5E9A3">
      <w:pPr>
        <w:pStyle w:val="9"/>
        <w:spacing w:before="11"/>
        <w:ind w:left="0"/>
        <w:jc w:val="left"/>
        <w:rPr>
          <w:rFonts w:hint="eastAsia"/>
          <w:sz w:val="30"/>
          <w:szCs w:val="30"/>
        </w:rPr>
      </w:pPr>
      <w:r>
        <w:rPr>
          <w:rFonts w:hint="eastAsia"/>
          <w:sz w:val="30"/>
          <w:szCs w:val="30"/>
        </w:rPr>
        <w:t>在接下来的四节长经文中，他正是这样做的 (第24-27节)。</w:t>
      </w:r>
    </w:p>
    <w:p w14:paraId="1BE20436">
      <w:pPr>
        <w:pStyle w:val="9"/>
        <w:spacing w:before="11"/>
        <w:ind w:left="0"/>
        <w:jc w:val="left"/>
        <w:rPr>
          <w:rFonts w:hint="eastAsia"/>
          <w:sz w:val="30"/>
          <w:szCs w:val="30"/>
        </w:rPr>
      </w:pPr>
    </w:p>
    <w:p w14:paraId="781EB052">
      <w:pPr>
        <w:pStyle w:val="9"/>
        <w:spacing w:before="11"/>
        <w:ind w:left="0"/>
        <w:jc w:val="left"/>
        <w:rPr>
          <w:rFonts w:hint="eastAsia"/>
          <w:sz w:val="30"/>
          <w:szCs w:val="30"/>
        </w:rPr>
      </w:pPr>
      <w:r>
        <w:rPr>
          <w:rFonts w:hint="eastAsia"/>
          <w:sz w:val="30"/>
          <w:szCs w:val="30"/>
        </w:rPr>
        <w:t>Are you familiar with this famous OTKP, often referred to as the prophecy of Daniel’s Seventy Sevens (or Weeks)?</w:t>
      </w:r>
    </w:p>
    <w:p w14:paraId="67ABDD46">
      <w:pPr>
        <w:pStyle w:val="9"/>
        <w:spacing w:before="11"/>
        <w:ind w:left="0"/>
        <w:jc w:val="left"/>
        <w:rPr>
          <w:rFonts w:hint="eastAsia"/>
          <w:sz w:val="30"/>
          <w:szCs w:val="30"/>
        </w:rPr>
      </w:pPr>
      <w:r>
        <w:rPr>
          <w:rFonts w:hint="eastAsia"/>
          <w:sz w:val="30"/>
          <w:szCs w:val="30"/>
        </w:rPr>
        <w:t>你是否熟悉这个著名的旧约国度预言，常被称为但以理的七十个七（或七十周）的预言？</w:t>
      </w:r>
    </w:p>
    <w:p w14:paraId="380D4679">
      <w:pPr>
        <w:pStyle w:val="9"/>
        <w:spacing w:before="11"/>
        <w:ind w:left="0"/>
        <w:jc w:val="left"/>
        <w:rPr>
          <w:rFonts w:hint="eastAsia"/>
          <w:sz w:val="30"/>
          <w:szCs w:val="30"/>
        </w:rPr>
      </w:pPr>
    </w:p>
    <w:p w14:paraId="088FE573">
      <w:pPr>
        <w:pStyle w:val="9"/>
        <w:spacing w:before="11"/>
        <w:ind w:left="0"/>
        <w:jc w:val="left"/>
        <w:rPr>
          <w:rFonts w:hint="eastAsia"/>
          <w:sz w:val="30"/>
          <w:szCs w:val="30"/>
        </w:rPr>
      </w:pPr>
      <w:r>
        <w:rPr>
          <w:rFonts w:hint="eastAsia"/>
          <w:sz w:val="30"/>
          <w:szCs w:val="30"/>
        </w:rPr>
        <w:t>If so, you know one thing for sure: A whole host of commentators have been seeking insight and understanding ever since!</w:t>
      </w:r>
    </w:p>
    <w:p w14:paraId="1A22C4B2">
      <w:pPr>
        <w:pStyle w:val="9"/>
        <w:spacing w:before="11"/>
        <w:ind w:left="0"/>
        <w:jc w:val="left"/>
        <w:rPr>
          <w:rFonts w:hint="eastAsia"/>
          <w:sz w:val="30"/>
          <w:szCs w:val="30"/>
        </w:rPr>
      </w:pPr>
      <w:r>
        <w:rPr>
          <w:rFonts w:hint="eastAsia"/>
          <w:sz w:val="30"/>
          <w:szCs w:val="30"/>
        </w:rPr>
        <w:t>如果是，你肯定知道一件事：从那时起，一大批解经家就一直在寻求智慧和聪明！</w:t>
      </w:r>
    </w:p>
    <w:p w14:paraId="542CD97B">
      <w:pPr>
        <w:pStyle w:val="9"/>
        <w:spacing w:before="11"/>
        <w:ind w:left="0"/>
        <w:jc w:val="left"/>
        <w:rPr>
          <w:rFonts w:hint="eastAsia"/>
          <w:sz w:val="30"/>
          <w:szCs w:val="30"/>
        </w:rPr>
      </w:pPr>
    </w:p>
    <w:p w14:paraId="0B5E41F0">
      <w:pPr>
        <w:pStyle w:val="9"/>
        <w:spacing w:before="11"/>
        <w:ind w:left="0"/>
        <w:jc w:val="left"/>
        <w:rPr>
          <w:rFonts w:hint="eastAsia"/>
          <w:sz w:val="30"/>
          <w:szCs w:val="30"/>
        </w:rPr>
      </w:pPr>
      <w:r>
        <w:rPr>
          <w:rFonts w:hint="eastAsia"/>
          <w:sz w:val="30"/>
          <w:szCs w:val="30"/>
        </w:rPr>
        <w:t>In the paragraphs ahead, we will find out why.</w:t>
      </w:r>
    </w:p>
    <w:p w14:paraId="28763D42">
      <w:pPr>
        <w:pStyle w:val="9"/>
        <w:spacing w:before="11"/>
        <w:ind w:left="0"/>
        <w:jc w:val="left"/>
        <w:rPr>
          <w:rFonts w:hint="eastAsia"/>
          <w:sz w:val="30"/>
          <w:szCs w:val="30"/>
        </w:rPr>
      </w:pPr>
      <w:r>
        <w:rPr>
          <w:rFonts w:hint="eastAsia"/>
          <w:sz w:val="30"/>
          <w:szCs w:val="30"/>
        </w:rPr>
        <w:t>在接下来的段落中，我们会找出原因。</w:t>
      </w:r>
    </w:p>
    <w:p w14:paraId="1D5CCF3A">
      <w:pPr>
        <w:pStyle w:val="9"/>
        <w:spacing w:before="11"/>
        <w:ind w:left="0"/>
        <w:jc w:val="left"/>
        <w:rPr>
          <w:rFonts w:hint="eastAsia"/>
          <w:sz w:val="30"/>
          <w:szCs w:val="30"/>
        </w:rPr>
      </w:pPr>
    </w:p>
    <w:p w14:paraId="632C7B8A">
      <w:pPr>
        <w:pStyle w:val="9"/>
        <w:spacing w:before="11"/>
        <w:ind w:left="0"/>
        <w:jc w:val="left"/>
        <w:rPr>
          <w:rFonts w:hint="eastAsia"/>
          <w:sz w:val="30"/>
          <w:szCs w:val="30"/>
        </w:rPr>
      </w:pPr>
      <w:r>
        <w:rPr>
          <w:rFonts w:hint="eastAsia"/>
          <w:sz w:val="30"/>
          <w:szCs w:val="30"/>
        </w:rPr>
        <w:t>The Three Main Views</w:t>
      </w:r>
    </w:p>
    <w:p w14:paraId="2B25F4AC">
      <w:pPr>
        <w:pStyle w:val="9"/>
        <w:spacing w:before="11"/>
        <w:ind w:left="0"/>
        <w:jc w:val="left"/>
        <w:rPr>
          <w:rFonts w:hint="eastAsia"/>
          <w:sz w:val="30"/>
          <w:szCs w:val="30"/>
        </w:rPr>
      </w:pPr>
      <w:r>
        <w:rPr>
          <w:rFonts w:hint="eastAsia"/>
          <w:sz w:val="30"/>
          <w:szCs w:val="30"/>
        </w:rPr>
        <w:t>三种主要观点</w:t>
      </w:r>
    </w:p>
    <w:p w14:paraId="0A403EAF">
      <w:pPr>
        <w:pStyle w:val="9"/>
        <w:spacing w:before="11"/>
        <w:ind w:left="0"/>
        <w:jc w:val="left"/>
        <w:rPr>
          <w:rFonts w:hint="eastAsia"/>
          <w:sz w:val="30"/>
          <w:szCs w:val="30"/>
        </w:rPr>
      </w:pPr>
    </w:p>
    <w:p w14:paraId="47896D8E">
      <w:pPr>
        <w:pStyle w:val="9"/>
        <w:spacing w:before="11"/>
        <w:ind w:left="0"/>
        <w:jc w:val="left"/>
        <w:rPr>
          <w:rFonts w:hint="eastAsia"/>
          <w:sz w:val="30"/>
          <w:szCs w:val="30"/>
        </w:rPr>
      </w:pPr>
      <w:r>
        <w:rPr>
          <w:rFonts w:hint="eastAsia"/>
          <w:sz w:val="30"/>
          <w:szCs w:val="30"/>
        </w:rPr>
        <w:t>Close students of this short but complex OTKP know that interpreters differ widely on the exact meaning of dozens of the details found herein.</w:t>
      </w:r>
    </w:p>
    <w:p w14:paraId="14ABB1DB">
      <w:pPr>
        <w:pStyle w:val="9"/>
        <w:spacing w:before="11"/>
        <w:ind w:left="0"/>
        <w:jc w:val="left"/>
        <w:rPr>
          <w:rFonts w:hint="eastAsia"/>
          <w:sz w:val="30"/>
          <w:szCs w:val="30"/>
        </w:rPr>
      </w:pPr>
      <w:r>
        <w:rPr>
          <w:rFonts w:hint="eastAsia"/>
          <w:sz w:val="30"/>
          <w:szCs w:val="30"/>
        </w:rPr>
        <w:t>仔细研究这个简短但复杂的旧约国度预言的学生知道，解经家们对其中发现的几十个细节的确切含义有很大的分歧。</w:t>
      </w:r>
    </w:p>
    <w:p w14:paraId="6C1C6793">
      <w:pPr>
        <w:pStyle w:val="9"/>
        <w:spacing w:before="11"/>
        <w:ind w:left="0"/>
        <w:jc w:val="left"/>
        <w:rPr>
          <w:rFonts w:hint="eastAsia"/>
          <w:sz w:val="30"/>
          <w:szCs w:val="30"/>
        </w:rPr>
      </w:pPr>
    </w:p>
    <w:p w14:paraId="2FD7B774">
      <w:pPr>
        <w:pStyle w:val="9"/>
        <w:spacing w:before="11"/>
        <w:ind w:left="0"/>
        <w:jc w:val="left"/>
        <w:rPr>
          <w:rFonts w:hint="eastAsia"/>
          <w:sz w:val="30"/>
          <w:szCs w:val="30"/>
        </w:rPr>
      </w:pPr>
      <w:r>
        <w:rPr>
          <w:rFonts w:hint="eastAsia"/>
          <w:sz w:val="30"/>
          <w:szCs w:val="30"/>
        </w:rPr>
        <w:t>To give but one illustration, Biederwolf cites at least eleven different opinions as to when, historically, the seventy sevens start.5</w:t>
      </w:r>
    </w:p>
    <w:p w14:paraId="015F7C95">
      <w:pPr>
        <w:pStyle w:val="9"/>
        <w:spacing w:before="11"/>
        <w:ind w:left="0"/>
        <w:jc w:val="left"/>
        <w:rPr>
          <w:rFonts w:hint="eastAsia"/>
          <w:sz w:val="30"/>
          <w:szCs w:val="30"/>
        </w:rPr>
      </w:pPr>
      <w:r>
        <w:rPr>
          <w:rFonts w:hint="eastAsia"/>
          <w:sz w:val="30"/>
          <w:szCs w:val="30"/>
        </w:rPr>
        <w:t>举一个例子，比德沃夫（Biederwolf）至少引用了十一种不同的观点，关于七十个七在历史上何时开始。5</w:t>
      </w:r>
    </w:p>
    <w:p w14:paraId="5A4848A1">
      <w:pPr>
        <w:pStyle w:val="9"/>
        <w:spacing w:before="11"/>
        <w:ind w:left="0"/>
        <w:jc w:val="left"/>
        <w:rPr>
          <w:rFonts w:hint="eastAsia"/>
          <w:sz w:val="30"/>
          <w:szCs w:val="30"/>
        </w:rPr>
      </w:pPr>
    </w:p>
    <w:p w14:paraId="51D56B1A">
      <w:pPr>
        <w:pStyle w:val="9"/>
        <w:spacing w:before="11"/>
        <w:ind w:left="0"/>
        <w:jc w:val="left"/>
        <w:rPr>
          <w:rFonts w:hint="eastAsia"/>
          <w:sz w:val="30"/>
          <w:szCs w:val="30"/>
        </w:rPr>
      </w:pPr>
      <w:r>
        <w:rPr>
          <w:rFonts w:hint="eastAsia"/>
          <w:sz w:val="30"/>
          <w:szCs w:val="30"/>
        </w:rPr>
        <w:t>This is hardly an auspicious beginning!</w:t>
      </w:r>
    </w:p>
    <w:p w14:paraId="2756DC3A">
      <w:pPr>
        <w:pStyle w:val="9"/>
        <w:spacing w:before="11"/>
        <w:ind w:left="0"/>
        <w:jc w:val="left"/>
        <w:rPr>
          <w:rFonts w:hint="eastAsia"/>
          <w:sz w:val="30"/>
          <w:szCs w:val="30"/>
        </w:rPr>
      </w:pPr>
      <w:r>
        <w:rPr>
          <w:rFonts w:hint="eastAsia"/>
          <w:sz w:val="30"/>
          <w:szCs w:val="30"/>
        </w:rPr>
        <w:t>这很难说是一个吉利的开始！</w:t>
      </w:r>
    </w:p>
    <w:p w14:paraId="762DAF30">
      <w:pPr>
        <w:pStyle w:val="9"/>
        <w:spacing w:before="11"/>
        <w:ind w:left="0"/>
        <w:jc w:val="left"/>
        <w:rPr>
          <w:rFonts w:hint="eastAsia"/>
          <w:sz w:val="30"/>
          <w:szCs w:val="30"/>
        </w:rPr>
      </w:pPr>
    </w:p>
    <w:p w14:paraId="7D19A9A3">
      <w:pPr>
        <w:pStyle w:val="9"/>
        <w:spacing w:before="11"/>
        <w:ind w:left="0"/>
        <w:jc w:val="left"/>
        <w:rPr>
          <w:rFonts w:hint="eastAsia"/>
          <w:sz w:val="30"/>
          <w:szCs w:val="30"/>
        </w:rPr>
      </w:pPr>
      <w:r>
        <w:rPr>
          <w:rFonts w:hint="eastAsia"/>
          <w:sz w:val="30"/>
          <w:szCs w:val="30"/>
        </w:rPr>
        <w:t>And yet, when we stand back and look at the history of interpretation surrounding this prophecy, we discover something both interesting and encouraging: In the end, the vast majority of conservative commentators espouse one of three main views.</w:t>
      </w:r>
    </w:p>
    <w:p w14:paraId="42EE5E7F">
      <w:pPr>
        <w:pStyle w:val="9"/>
        <w:spacing w:before="11"/>
        <w:ind w:left="0"/>
        <w:jc w:val="left"/>
        <w:rPr>
          <w:rFonts w:hint="eastAsia"/>
          <w:sz w:val="30"/>
          <w:szCs w:val="30"/>
        </w:rPr>
      </w:pPr>
      <w:r>
        <w:rPr>
          <w:rFonts w:hint="eastAsia"/>
          <w:sz w:val="30"/>
          <w:szCs w:val="30"/>
        </w:rPr>
        <w:t>然而，当我们退后一步，审视围绕这个预言的解释史时，我们发现了一些既有趣又令人鼓舞的事情：最终，绝大多数保守派解经家都支持三种主要观点之一。</w:t>
      </w:r>
    </w:p>
    <w:p w14:paraId="7AC75CA1">
      <w:pPr>
        <w:pStyle w:val="9"/>
        <w:spacing w:before="11"/>
        <w:ind w:left="0"/>
        <w:jc w:val="left"/>
        <w:rPr>
          <w:rFonts w:hint="eastAsia"/>
          <w:sz w:val="30"/>
          <w:szCs w:val="30"/>
        </w:rPr>
      </w:pPr>
    </w:p>
    <w:p w14:paraId="399C00B9">
      <w:pPr>
        <w:pStyle w:val="9"/>
        <w:spacing w:before="11"/>
        <w:ind w:left="0"/>
        <w:jc w:val="left"/>
        <w:rPr>
          <w:rFonts w:hint="eastAsia"/>
          <w:sz w:val="30"/>
          <w:szCs w:val="30"/>
        </w:rPr>
      </w:pPr>
      <w:r>
        <w:rPr>
          <w:rFonts w:hint="eastAsia"/>
          <w:sz w:val="30"/>
          <w:szCs w:val="30"/>
        </w:rPr>
        <w:t>My purpose in this section is briefly to introduce them, and then to explain why I believe that the Lord is now putting his finger on the one that is true.</w:t>
      </w:r>
    </w:p>
    <w:p w14:paraId="69E45FA8">
      <w:pPr>
        <w:pStyle w:val="9"/>
        <w:spacing w:before="11"/>
        <w:ind w:left="0"/>
        <w:jc w:val="left"/>
        <w:rPr>
          <w:rFonts w:hint="eastAsia"/>
          <w:sz w:val="30"/>
          <w:szCs w:val="30"/>
        </w:rPr>
      </w:pPr>
      <w:r>
        <w:rPr>
          <w:rFonts w:hint="eastAsia"/>
          <w:sz w:val="30"/>
          <w:szCs w:val="30"/>
        </w:rPr>
        <w:t>我在本节的目的是简要介绍它们，然后解释为什么我相信主现在正指出那一个为真。</w:t>
      </w:r>
    </w:p>
    <w:p w14:paraId="131C1DE4">
      <w:pPr>
        <w:pStyle w:val="9"/>
        <w:spacing w:before="11"/>
        <w:ind w:left="0"/>
        <w:jc w:val="left"/>
        <w:rPr>
          <w:rFonts w:hint="eastAsia"/>
          <w:sz w:val="30"/>
          <w:szCs w:val="30"/>
        </w:rPr>
      </w:pPr>
    </w:p>
    <w:p w14:paraId="22978C2F">
      <w:pPr>
        <w:pStyle w:val="9"/>
        <w:spacing w:before="11"/>
        <w:ind w:left="0"/>
        <w:jc w:val="left"/>
        <w:rPr>
          <w:rFonts w:hint="eastAsia"/>
          <w:sz w:val="30"/>
          <w:szCs w:val="30"/>
        </w:rPr>
      </w:pPr>
      <w:r>
        <w:rPr>
          <w:rFonts w:hint="eastAsia"/>
          <w:sz w:val="30"/>
          <w:szCs w:val="30"/>
        </w:rPr>
        <w:t>The Traditional First Advent View (TFAV)</w:t>
      </w:r>
    </w:p>
    <w:p w14:paraId="19FA64E4">
      <w:pPr>
        <w:pStyle w:val="9"/>
        <w:spacing w:before="11"/>
        <w:ind w:left="0"/>
        <w:jc w:val="left"/>
        <w:rPr>
          <w:rFonts w:hint="eastAsia"/>
          <w:sz w:val="30"/>
          <w:szCs w:val="30"/>
        </w:rPr>
      </w:pPr>
      <w:r>
        <w:rPr>
          <w:rFonts w:hint="eastAsia"/>
          <w:sz w:val="30"/>
          <w:szCs w:val="30"/>
        </w:rPr>
        <w:t>传统第一次降临观 (TFAV)</w:t>
      </w:r>
    </w:p>
    <w:p w14:paraId="72B8A6D4">
      <w:pPr>
        <w:pStyle w:val="9"/>
        <w:spacing w:before="11"/>
        <w:ind w:left="0"/>
        <w:jc w:val="left"/>
        <w:rPr>
          <w:rFonts w:hint="eastAsia"/>
          <w:sz w:val="30"/>
          <w:szCs w:val="30"/>
        </w:rPr>
      </w:pPr>
    </w:p>
    <w:p w14:paraId="4D65A49F">
      <w:pPr>
        <w:pStyle w:val="9"/>
        <w:spacing w:before="11"/>
        <w:ind w:left="0"/>
        <w:jc w:val="left"/>
        <w:rPr>
          <w:rFonts w:hint="eastAsia"/>
          <w:sz w:val="30"/>
          <w:szCs w:val="30"/>
        </w:rPr>
      </w:pPr>
      <w:r>
        <w:rPr>
          <w:rFonts w:hint="eastAsia"/>
          <w:sz w:val="30"/>
          <w:szCs w:val="30"/>
        </w:rPr>
        <w:t>First, we have what I will call the Traditional First Advent View.</w:t>
      </w:r>
    </w:p>
    <w:p w14:paraId="21899931">
      <w:pPr>
        <w:pStyle w:val="9"/>
        <w:spacing w:before="11"/>
        <w:ind w:left="0"/>
        <w:jc w:val="left"/>
        <w:rPr>
          <w:rFonts w:hint="eastAsia"/>
          <w:sz w:val="30"/>
          <w:szCs w:val="30"/>
        </w:rPr>
      </w:pPr>
      <w:r>
        <w:rPr>
          <w:rFonts w:hint="eastAsia"/>
          <w:sz w:val="30"/>
          <w:szCs w:val="30"/>
        </w:rPr>
        <w:t>首先，我们有我称之为“传统第一次降临观”的观点。</w:t>
      </w:r>
    </w:p>
    <w:p w14:paraId="133C29BD">
      <w:pPr>
        <w:pStyle w:val="9"/>
        <w:spacing w:before="11"/>
        <w:ind w:left="0"/>
        <w:jc w:val="left"/>
        <w:rPr>
          <w:rFonts w:hint="eastAsia"/>
          <w:sz w:val="30"/>
          <w:szCs w:val="30"/>
        </w:rPr>
      </w:pPr>
    </w:p>
    <w:p w14:paraId="1FDBC922">
      <w:pPr>
        <w:pStyle w:val="9"/>
        <w:spacing w:before="11"/>
        <w:ind w:left="0"/>
        <w:jc w:val="left"/>
        <w:rPr>
          <w:rFonts w:hint="eastAsia"/>
          <w:sz w:val="30"/>
          <w:szCs w:val="30"/>
        </w:rPr>
      </w:pPr>
      <w:r>
        <w:rPr>
          <w:rFonts w:hint="eastAsia"/>
          <w:sz w:val="30"/>
          <w:szCs w:val="30"/>
        </w:rPr>
        <w:t>It has been around from the beginning, and is still popular today.</w:t>
      </w:r>
    </w:p>
    <w:p w14:paraId="781B9FAA">
      <w:pPr>
        <w:pStyle w:val="9"/>
        <w:spacing w:before="11"/>
        <w:ind w:left="0"/>
        <w:jc w:val="left"/>
        <w:rPr>
          <w:rFonts w:hint="eastAsia"/>
          <w:sz w:val="30"/>
          <w:szCs w:val="30"/>
        </w:rPr>
      </w:pPr>
      <w:r>
        <w:rPr>
          <w:rFonts w:hint="eastAsia"/>
          <w:sz w:val="30"/>
          <w:szCs w:val="30"/>
        </w:rPr>
        <w:t>它从一开始就存在，至今仍然很受欢迎。</w:t>
      </w:r>
    </w:p>
    <w:p w14:paraId="4C283358">
      <w:pPr>
        <w:pStyle w:val="9"/>
        <w:spacing w:before="11"/>
        <w:ind w:left="0"/>
        <w:jc w:val="left"/>
        <w:rPr>
          <w:rFonts w:hint="eastAsia"/>
          <w:sz w:val="30"/>
          <w:szCs w:val="30"/>
        </w:rPr>
      </w:pPr>
    </w:p>
    <w:p w14:paraId="65120EBF">
      <w:pPr>
        <w:pStyle w:val="9"/>
        <w:spacing w:before="11"/>
        <w:ind w:left="0"/>
        <w:jc w:val="left"/>
        <w:rPr>
          <w:rFonts w:hint="eastAsia"/>
          <w:sz w:val="30"/>
          <w:szCs w:val="30"/>
        </w:rPr>
      </w:pPr>
      <w:r>
        <w:rPr>
          <w:rFonts w:hint="eastAsia"/>
          <w:sz w:val="30"/>
          <w:szCs w:val="30"/>
        </w:rPr>
        <w:t>The basic idea here is that the terminus ad quem—the goal or end point—of the seventy sevens is the first advent of Christ.</w:t>
      </w:r>
    </w:p>
    <w:p w14:paraId="4FAA4FC6">
      <w:pPr>
        <w:pStyle w:val="9"/>
        <w:spacing w:before="11"/>
        <w:ind w:left="0"/>
        <w:jc w:val="left"/>
        <w:rPr>
          <w:rFonts w:hint="eastAsia"/>
          <w:sz w:val="30"/>
          <w:szCs w:val="30"/>
        </w:rPr>
      </w:pPr>
      <w:r>
        <w:rPr>
          <w:rFonts w:hint="eastAsia"/>
          <w:sz w:val="30"/>
          <w:szCs w:val="30"/>
        </w:rPr>
        <w:t>这里的基本思想是，七十个七的终点——目标或终点——是基督的第一次降临。</w:t>
      </w:r>
    </w:p>
    <w:p w14:paraId="650823FF">
      <w:pPr>
        <w:pStyle w:val="9"/>
        <w:spacing w:before="11"/>
        <w:ind w:left="0"/>
        <w:jc w:val="left"/>
        <w:rPr>
          <w:rFonts w:hint="eastAsia"/>
          <w:sz w:val="30"/>
          <w:szCs w:val="30"/>
        </w:rPr>
      </w:pPr>
    </w:p>
    <w:p w14:paraId="75AF8EBA">
      <w:pPr>
        <w:pStyle w:val="9"/>
        <w:spacing w:before="11"/>
        <w:ind w:left="0"/>
        <w:jc w:val="left"/>
        <w:rPr>
          <w:rFonts w:hint="eastAsia"/>
          <w:sz w:val="30"/>
          <w:szCs w:val="30"/>
        </w:rPr>
      </w:pPr>
      <w:r>
        <w:rPr>
          <w:rFonts w:hint="eastAsia"/>
          <w:sz w:val="30"/>
          <w:szCs w:val="30"/>
        </w:rPr>
        <w:t>Regarding the seventy sevens themselves, there are differences of opinion.</w:t>
      </w:r>
    </w:p>
    <w:p w14:paraId="5DFF7402">
      <w:pPr>
        <w:pStyle w:val="9"/>
        <w:spacing w:before="11"/>
        <w:ind w:left="0"/>
        <w:jc w:val="left"/>
        <w:rPr>
          <w:rFonts w:hint="eastAsia"/>
          <w:sz w:val="30"/>
          <w:szCs w:val="30"/>
        </w:rPr>
      </w:pPr>
      <w:r>
        <w:rPr>
          <w:rFonts w:hint="eastAsia"/>
          <w:sz w:val="30"/>
          <w:szCs w:val="30"/>
        </w:rPr>
        <w:t>关于七十个七本身，存在不同的意见。</w:t>
      </w:r>
    </w:p>
    <w:p w14:paraId="52CB8BC8">
      <w:pPr>
        <w:pStyle w:val="9"/>
        <w:spacing w:before="11"/>
        <w:ind w:left="0"/>
        <w:jc w:val="left"/>
        <w:rPr>
          <w:rFonts w:hint="eastAsia"/>
          <w:sz w:val="30"/>
          <w:szCs w:val="30"/>
        </w:rPr>
      </w:pPr>
    </w:p>
    <w:p w14:paraId="593BBB5E">
      <w:pPr>
        <w:pStyle w:val="9"/>
        <w:spacing w:before="11"/>
        <w:ind w:left="0"/>
        <w:jc w:val="left"/>
        <w:rPr>
          <w:rFonts w:hint="eastAsia"/>
          <w:sz w:val="30"/>
          <w:szCs w:val="30"/>
        </w:rPr>
      </w:pPr>
      <w:r>
        <w:rPr>
          <w:rFonts w:hint="eastAsia"/>
          <w:sz w:val="30"/>
          <w:szCs w:val="30"/>
        </w:rPr>
        <w:t>Some say they are 490 consecutive years, a commitment that forces them to look for a viable historical starting point.</w:t>
      </w:r>
    </w:p>
    <w:p w14:paraId="16B2CCC5">
      <w:pPr>
        <w:pStyle w:val="9"/>
        <w:spacing w:before="11"/>
        <w:ind w:left="0"/>
        <w:jc w:val="left"/>
        <w:rPr>
          <w:rFonts w:hint="eastAsia"/>
          <w:sz w:val="30"/>
          <w:szCs w:val="30"/>
        </w:rPr>
      </w:pPr>
      <w:r>
        <w:rPr>
          <w:rFonts w:hint="eastAsia"/>
          <w:sz w:val="30"/>
          <w:szCs w:val="30"/>
        </w:rPr>
        <w:t>有些人说它们是连续的490年，这个承诺迫使他们去寻找一个可行的历史起点。</w:t>
      </w:r>
    </w:p>
    <w:p w14:paraId="0EF54AB7">
      <w:pPr>
        <w:pStyle w:val="9"/>
        <w:spacing w:before="11"/>
        <w:ind w:left="0"/>
        <w:jc w:val="left"/>
        <w:rPr>
          <w:rFonts w:hint="eastAsia"/>
          <w:sz w:val="30"/>
          <w:szCs w:val="30"/>
        </w:rPr>
      </w:pPr>
    </w:p>
    <w:p w14:paraId="067A3402">
      <w:pPr>
        <w:pStyle w:val="9"/>
        <w:spacing w:before="11"/>
        <w:ind w:left="0"/>
        <w:jc w:val="left"/>
        <w:rPr>
          <w:rFonts w:hint="eastAsia"/>
          <w:sz w:val="30"/>
          <w:szCs w:val="30"/>
        </w:rPr>
      </w:pPr>
      <w:r>
        <w:rPr>
          <w:rFonts w:hint="eastAsia"/>
          <w:sz w:val="30"/>
          <w:szCs w:val="30"/>
        </w:rPr>
        <w:t>Others argue that they are symbolic, a commitment that delivers them from unwelcome computations and manipulations.</w:t>
      </w:r>
    </w:p>
    <w:p w14:paraId="7E267FF8">
      <w:pPr>
        <w:pStyle w:val="9"/>
        <w:spacing w:before="11"/>
        <w:ind w:left="0"/>
        <w:jc w:val="left"/>
        <w:rPr>
          <w:rFonts w:hint="eastAsia"/>
          <w:sz w:val="30"/>
          <w:szCs w:val="30"/>
        </w:rPr>
      </w:pPr>
      <w:r>
        <w:rPr>
          <w:rFonts w:hint="eastAsia"/>
          <w:sz w:val="30"/>
          <w:szCs w:val="30"/>
        </w:rPr>
        <w:t>其他人则认为它们是象征性的，这个承诺使他们摆脱了不受欢迎的计算和操纵。</w:t>
      </w:r>
    </w:p>
    <w:p w14:paraId="2DB3EF42">
      <w:pPr>
        <w:pStyle w:val="9"/>
        <w:spacing w:before="11"/>
        <w:ind w:left="0"/>
        <w:jc w:val="left"/>
        <w:rPr>
          <w:rFonts w:hint="eastAsia"/>
          <w:sz w:val="30"/>
          <w:szCs w:val="30"/>
        </w:rPr>
      </w:pPr>
    </w:p>
    <w:p w14:paraId="33DA334D">
      <w:pPr>
        <w:pStyle w:val="9"/>
        <w:spacing w:before="11"/>
        <w:ind w:left="0"/>
        <w:jc w:val="left"/>
        <w:rPr>
          <w:rFonts w:hint="eastAsia"/>
          <w:sz w:val="30"/>
          <w:szCs w:val="30"/>
        </w:rPr>
      </w:pPr>
      <w:r>
        <w:rPr>
          <w:rFonts w:hint="eastAsia"/>
          <w:sz w:val="30"/>
          <w:szCs w:val="30"/>
        </w:rPr>
        <w:t>But all agree that the great burden of the prophecy is to unveil the redemptive instrument—the New Covenant, and the Christ of the New Covenant—by which God will make an end of sins, bring in everlasting righteousness, and so create, once and for all, his eschatological City, Sanctuary, and Mountain (v. 24).</w:t>
      </w:r>
    </w:p>
    <w:p w14:paraId="3E7331D8">
      <w:pPr>
        <w:pStyle w:val="9"/>
        <w:spacing w:before="11"/>
        <w:ind w:left="0"/>
        <w:jc w:val="left"/>
        <w:rPr>
          <w:rFonts w:hint="eastAsia"/>
          <w:sz w:val="30"/>
          <w:szCs w:val="30"/>
        </w:rPr>
      </w:pPr>
      <w:r>
        <w:rPr>
          <w:rFonts w:hint="eastAsia"/>
          <w:sz w:val="30"/>
          <w:szCs w:val="30"/>
        </w:rPr>
        <w:t>但所有人都同意，这个预言的重大负担是揭示那个救赎的工具——新约，以及新约的基督——神将借此止住罪过，引进永义，从而一劳永逸地创造出祂末世的城、圣所和山 (第24节)。</w:t>
      </w:r>
    </w:p>
    <w:p w14:paraId="13B30B6B">
      <w:pPr>
        <w:pStyle w:val="9"/>
        <w:spacing w:before="11"/>
        <w:ind w:left="0"/>
        <w:jc w:val="left"/>
        <w:rPr>
          <w:rFonts w:hint="eastAsia"/>
          <w:sz w:val="30"/>
          <w:szCs w:val="30"/>
        </w:rPr>
      </w:pPr>
    </w:p>
    <w:p w14:paraId="3165D956">
      <w:pPr>
        <w:pStyle w:val="9"/>
        <w:spacing w:before="11"/>
        <w:ind w:left="0"/>
        <w:jc w:val="left"/>
        <w:rPr>
          <w:rFonts w:hint="eastAsia"/>
          <w:sz w:val="30"/>
          <w:szCs w:val="30"/>
        </w:rPr>
      </w:pPr>
      <w:r>
        <w:rPr>
          <w:rFonts w:hint="eastAsia"/>
          <w:sz w:val="30"/>
          <w:szCs w:val="30"/>
        </w:rPr>
        <w:t>How will God do this?</w:t>
      </w:r>
    </w:p>
    <w:p w14:paraId="792E8EAD">
      <w:pPr>
        <w:pStyle w:val="9"/>
        <w:spacing w:before="11"/>
        <w:ind w:left="0"/>
        <w:jc w:val="left"/>
        <w:rPr>
          <w:rFonts w:hint="eastAsia"/>
          <w:sz w:val="30"/>
          <w:szCs w:val="30"/>
        </w:rPr>
      </w:pPr>
      <w:r>
        <w:rPr>
          <w:rFonts w:hint="eastAsia"/>
          <w:sz w:val="30"/>
          <w:szCs w:val="30"/>
        </w:rPr>
        <w:t>神将如何做到这一点？</w:t>
      </w:r>
    </w:p>
    <w:p w14:paraId="7DB0C649">
      <w:pPr>
        <w:pStyle w:val="9"/>
        <w:spacing w:before="11"/>
        <w:ind w:left="0"/>
        <w:jc w:val="left"/>
        <w:rPr>
          <w:rFonts w:hint="eastAsia"/>
          <w:sz w:val="30"/>
          <w:szCs w:val="30"/>
        </w:rPr>
      </w:pPr>
    </w:p>
    <w:p w14:paraId="1E0E9D39">
      <w:pPr>
        <w:pStyle w:val="9"/>
        <w:spacing w:before="11"/>
        <w:ind w:left="0"/>
        <w:jc w:val="left"/>
        <w:rPr>
          <w:rFonts w:hint="eastAsia"/>
          <w:sz w:val="30"/>
          <w:szCs w:val="30"/>
        </w:rPr>
      </w:pPr>
      <w:r>
        <w:rPr>
          <w:rFonts w:hint="eastAsia"/>
          <w:sz w:val="30"/>
          <w:szCs w:val="30"/>
        </w:rPr>
        <w:t>Turning to the text itself, proponents of the TFAV reply: He will send a Messiah, an Anointed One, a holy Priest and Sacrifice, who, by God’s foreordination, will be cut off for the sins of his people (v. 25, 26).</w:t>
      </w:r>
    </w:p>
    <w:p w14:paraId="1A93F270">
      <w:pPr>
        <w:pStyle w:val="9"/>
        <w:spacing w:before="11"/>
        <w:ind w:left="0"/>
        <w:jc w:val="left"/>
        <w:rPr>
          <w:rFonts w:hint="eastAsia"/>
          <w:sz w:val="30"/>
          <w:szCs w:val="30"/>
        </w:rPr>
      </w:pPr>
      <w:r>
        <w:rPr>
          <w:rFonts w:hint="eastAsia"/>
          <w:sz w:val="30"/>
          <w:szCs w:val="30"/>
        </w:rPr>
        <w:t>转向经文本身，传统第一次降临观的支持者回答说：祂将差遣一位弥赛亚，一位受膏者，一位圣洁的祭司和祭物，祂将按照神的预定，为祂子民的罪被剪除 (第25, 26节)。</w:t>
      </w:r>
    </w:p>
    <w:p w14:paraId="40C24D98">
      <w:pPr>
        <w:pStyle w:val="9"/>
        <w:spacing w:before="11"/>
        <w:ind w:left="0"/>
        <w:jc w:val="left"/>
        <w:rPr>
          <w:rFonts w:hint="eastAsia"/>
          <w:sz w:val="30"/>
          <w:szCs w:val="30"/>
        </w:rPr>
      </w:pPr>
    </w:p>
    <w:p w14:paraId="6427ADD6">
      <w:pPr>
        <w:pStyle w:val="9"/>
        <w:spacing w:before="11"/>
        <w:ind w:left="0"/>
        <w:jc w:val="left"/>
        <w:rPr>
          <w:rFonts w:hint="eastAsia"/>
          <w:sz w:val="30"/>
          <w:szCs w:val="30"/>
        </w:rPr>
      </w:pPr>
      <w:r>
        <w:rPr>
          <w:rFonts w:hint="eastAsia"/>
          <w:sz w:val="30"/>
          <w:szCs w:val="30"/>
        </w:rPr>
        <w:t>Because of this, he will be able to make a firm covenant with them—a New Covenant—and in so doing will bring the Old Covenant sacrifices and burnt offerings to an end (v. 27).</w:t>
      </w:r>
    </w:p>
    <w:p w14:paraId="68B0CF6A">
      <w:pPr>
        <w:pStyle w:val="9"/>
        <w:spacing w:before="11"/>
        <w:ind w:left="0"/>
        <w:jc w:val="left"/>
        <w:rPr>
          <w:rFonts w:hint="eastAsia"/>
          <w:sz w:val="30"/>
          <w:szCs w:val="30"/>
        </w:rPr>
      </w:pPr>
      <w:r>
        <w:rPr>
          <w:rFonts w:hint="eastAsia"/>
          <w:sz w:val="30"/>
          <w:szCs w:val="30"/>
        </w:rPr>
        <w:t>因此，祂将能与他们立坚固的约——一个新约——并藉此使旧约的祭祀和燔祭都止息 (第27节)。</w:t>
      </w:r>
    </w:p>
    <w:p w14:paraId="157D8F99">
      <w:pPr>
        <w:pStyle w:val="9"/>
        <w:spacing w:before="11"/>
        <w:ind w:left="0"/>
        <w:jc w:val="left"/>
        <w:rPr>
          <w:rFonts w:hint="eastAsia"/>
          <w:sz w:val="30"/>
          <w:szCs w:val="30"/>
        </w:rPr>
      </w:pPr>
    </w:p>
    <w:p w14:paraId="70A7D0C8">
      <w:pPr>
        <w:pStyle w:val="9"/>
        <w:spacing w:before="11"/>
        <w:ind w:left="0"/>
        <w:jc w:val="left"/>
        <w:rPr>
          <w:rFonts w:hint="eastAsia"/>
          <w:sz w:val="30"/>
          <w:szCs w:val="30"/>
        </w:rPr>
      </w:pPr>
      <w:r>
        <w:rPr>
          <w:rFonts w:hint="eastAsia"/>
          <w:sz w:val="30"/>
          <w:szCs w:val="30"/>
        </w:rPr>
        <w:t>And that is not all that will be brought to an end.</w:t>
      </w:r>
    </w:p>
    <w:p w14:paraId="7D41A70A">
      <w:pPr>
        <w:pStyle w:val="9"/>
        <w:spacing w:before="11"/>
        <w:ind w:left="0"/>
        <w:jc w:val="left"/>
        <w:rPr>
          <w:rFonts w:hint="eastAsia"/>
          <w:sz w:val="30"/>
          <w:szCs w:val="30"/>
        </w:rPr>
      </w:pPr>
      <w:r>
        <w:rPr>
          <w:rFonts w:hint="eastAsia"/>
          <w:sz w:val="30"/>
          <w:szCs w:val="30"/>
        </w:rPr>
        <w:t>这还不是所有将被终结的事。</w:t>
      </w:r>
    </w:p>
    <w:p w14:paraId="79DD1586">
      <w:pPr>
        <w:pStyle w:val="9"/>
        <w:spacing w:before="11"/>
        <w:ind w:left="0"/>
        <w:jc w:val="left"/>
        <w:rPr>
          <w:rFonts w:hint="eastAsia"/>
          <w:sz w:val="30"/>
          <w:szCs w:val="30"/>
        </w:rPr>
      </w:pPr>
    </w:p>
    <w:p w14:paraId="6537E05D">
      <w:pPr>
        <w:pStyle w:val="9"/>
        <w:spacing w:before="11"/>
        <w:ind w:left="0"/>
        <w:jc w:val="left"/>
        <w:rPr>
          <w:rFonts w:hint="eastAsia"/>
          <w:sz w:val="30"/>
          <w:szCs w:val="30"/>
        </w:rPr>
      </w:pPr>
      <w:r>
        <w:rPr>
          <w:rFonts w:hint="eastAsia"/>
          <w:sz w:val="30"/>
          <w:szCs w:val="30"/>
        </w:rPr>
        <w:t>For another prince will come—the Roman general Titus—to destroy the former city (Herod’s Jerusalem) and the former sanctuary (Herod’s Temple) (v. 26).</w:t>
      </w:r>
    </w:p>
    <w:p w14:paraId="11501A29">
      <w:pPr>
        <w:pStyle w:val="9"/>
        <w:spacing w:before="11"/>
        <w:ind w:left="0"/>
        <w:jc w:val="left"/>
        <w:rPr>
          <w:rFonts w:hint="eastAsia"/>
          <w:sz w:val="30"/>
          <w:szCs w:val="30"/>
        </w:rPr>
      </w:pPr>
      <w:r>
        <w:rPr>
          <w:rFonts w:hint="eastAsia"/>
          <w:sz w:val="30"/>
          <w:szCs w:val="30"/>
        </w:rPr>
        <w:t>因为将有另一位君王要来——罗马将军提多——要毁灭那先前的城（希律的耶路撒冷）和先前的圣所（希律的圣殿）(第26节)。</w:t>
      </w:r>
    </w:p>
    <w:p w14:paraId="575C5FCC">
      <w:pPr>
        <w:pStyle w:val="9"/>
        <w:spacing w:before="11"/>
        <w:ind w:left="0"/>
        <w:jc w:val="left"/>
        <w:rPr>
          <w:rFonts w:hint="eastAsia"/>
          <w:sz w:val="30"/>
          <w:szCs w:val="30"/>
        </w:rPr>
      </w:pPr>
    </w:p>
    <w:p w14:paraId="08BE7DE6">
      <w:pPr>
        <w:pStyle w:val="9"/>
        <w:spacing w:before="11"/>
        <w:ind w:left="0"/>
        <w:jc w:val="left"/>
        <w:rPr>
          <w:rFonts w:hint="eastAsia"/>
          <w:sz w:val="30"/>
          <w:szCs w:val="30"/>
        </w:rPr>
      </w:pPr>
      <w:r>
        <w:rPr>
          <w:rFonts w:hint="eastAsia"/>
          <w:sz w:val="30"/>
          <w:szCs w:val="30"/>
        </w:rPr>
        <w:t>This is indeed a divine judgment against the Jews, who rejected their Messiah.</w:t>
      </w:r>
    </w:p>
    <w:p w14:paraId="332079C6">
      <w:pPr>
        <w:pStyle w:val="9"/>
        <w:spacing w:before="11"/>
        <w:ind w:left="0"/>
        <w:jc w:val="left"/>
        <w:rPr>
          <w:rFonts w:hint="eastAsia"/>
          <w:sz w:val="30"/>
          <w:szCs w:val="30"/>
        </w:rPr>
      </w:pPr>
      <w:r>
        <w:rPr>
          <w:rFonts w:hint="eastAsia"/>
          <w:sz w:val="30"/>
          <w:szCs w:val="30"/>
        </w:rPr>
        <w:t>这确实是对拒绝他们弥赛亚的犹太人的一次神圣审判。</w:t>
      </w:r>
    </w:p>
    <w:p w14:paraId="04A26C8E">
      <w:pPr>
        <w:pStyle w:val="9"/>
        <w:spacing w:before="11"/>
        <w:ind w:left="0"/>
        <w:jc w:val="left"/>
        <w:rPr>
          <w:rFonts w:hint="eastAsia"/>
          <w:sz w:val="30"/>
          <w:szCs w:val="30"/>
        </w:rPr>
      </w:pPr>
    </w:p>
    <w:p w14:paraId="30765661">
      <w:pPr>
        <w:pStyle w:val="9"/>
        <w:spacing w:before="11"/>
        <w:ind w:left="0"/>
        <w:jc w:val="left"/>
        <w:rPr>
          <w:rFonts w:hint="eastAsia"/>
          <w:sz w:val="30"/>
          <w:szCs w:val="30"/>
        </w:rPr>
      </w:pPr>
      <w:r>
        <w:rPr>
          <w:rFonts w:hint="eastAsia"/>
          <w:sz w:val="30"/>
          <w:szCs w:val="30"/>
        </w:rPr>
        <w:t>But it is also a message from God: Christ’s death has rendered the temple (and it sacrifices) abominable in his sight; therefore, he has decreed its perpetual desolation, a desolation that began with Titus’ assault (v. 27).</w:t>
      </w:r>
    </w:p>
    <w:p w14:paraId="424EF2DC">
      <w:pPr>
        <w:pStyle w:val="9"/>
        <w:spacing w:before="11"/>
        <w:ind w:left="0"/>
        <w:jc w:val="left"/>
        <w:rPr>
          <w:rFonts w:hint="eastAsia"/>
          <w:sz w:val="30"/>
          <w:szCs w:val="30"/>
        </w:rPr>
      </w:pPr>
      <w:r>
        <w:rPr>
          <w:rFonts w:hint="eastAsia"/>
          <w:sz w:val="30"/>
          <w:szCs w:val="30"/>
        </w:rPr>
        <w:t>但这也是来自神的信息：基督的死已使圣殿（及其祭祀）在祂眼中成为可憎的；因此，祂命定了它永远的荒凉，这荒凉始于提多的攻击 (第27节)。</w:t>
      </w:r>
    </w:p>
    <w:p w14:paraId="390F67C0">
      <w:pPr>
        <w:pStyle w:val="9"/>
        <w:spacing w:before="11"/>
        <w:ind w:left="0"/>
        <w:jc w:val="left"/>
        <w:rPr>
          <w:rFonts w:hint="eastAsia"/>
          <w:sz w:val="30"/>
          <w:szCs w:val="30"/>
        </w:rPr>
      </w:pPr>
    </w:p>
    <w:p w14:paraId="7835F1FB">
      <w:pPr>
        <w:pStyle w:val="9"/>
        <w:spacing w:before="11"/>
        <w:ind w:left="0"/>
        <w:jc w:val="left"/>
        <w:rPr>
          <w:rFonts w:hint="eastAsia"/>
          <w:sz w:val="30"/>
          <w:szCs w:val="30"/>
        </w:rPr>
      </w:pPr>
      <w:r>
        <w:rPr>
          <w:rFonts w:hint="eastAsia"/>
          <w:sz w:val="30"/>
          <w:szCs w:val="30"/>
        </w:rPr>
        <w:t>There is, however, great good news.</w:t>
      </w:r>
    </w:p>
    <w:p w14:paraId="3B65CF59">
      <w:pPr>
        <w:pStyle w:val="9"/>
        <w:spacing w:before="11"/>
        <w:ind w:left="0"/>
        <w:jc w:val="left"/>
        <w:rPr>
          <w:rFonts w:hint="eastAsia"/>
          <w:sz w:val="30"/>
          <w:szCs w:val="30"/>
        </w:rPr>
      </w:pPr>
      <w:r>
        <w:rPr>
          <w:rFonts w:hint="eastAsia"/>
          <w:sz w:val="30"/>
          <w:szCs w:val="30"/>
        </w:rPr>
        <w:t>然而，有极大的好消息。</w:t>
      </w:r>
    </w:p>
    <w:p w14:paraId="024267BD">
      <w:pPr>
        <w:pStyle w:val="9"/>
        <w:spacing w:before="11"/>
        <w:ind w:left="0"/>
        <w:jc w:val="left"/>
        <w:rPr>
          <w:rFonts w:hint="eastAsia"/>
          <w:sz w:val="30"/>
          <w:szCs w:val="30"/>
        </w:rPr>
      </w:pPr>
    </w:p>
    <w:p w14:paraId="06EBFEC2">
      <w:pPr>
        <w:pStyle w:val="9"/>
        <w:spacing w:before="11"/>
        <w:ind w:left="0"/>
        <w:jc w:val="left"/>
        <w:rPr>
          <w:rFonts w:hint="eastAsia"/>
          <w:sz w:val="30"/>
          <w:szCs w:val="30"/>
        </w:rPr>
      </w:pPr>
      <w:r>
        <w:rPr>
          <w:rFonts w:hint="eastAsia"/>
          <w:sz w:val="30"/>
          <w:szCs w:val="30"/>
        </w:rPr>
        <w:t>When the Messiah comes, and when he makes a New Covenant with his own, a new City and a new Temple will arise—the Church.</w:t>
      </w:r>
    </w:p>
    <w:p w14:paraId="12439FCF">
      <w:pPr>
        <w:pStyle w:val="9"/>
        <w:spacing w:before="11"/>
        <w:ind w:left="0"/>
        <w:jc w:val="left"/>
        <w:rPr>
          <w:rFonts w:hint="eastAsia"/>
          <w:sz w:val="30"/>
          <w:szCs w:val="30"/>
        </w:rPr>
      </w:pPr>
      <w:r>
        <w:rPr>
          <w:rFonts w:hint="eastAsia"/>
          <w:sz w:val="30"/>
          <w:szCs w:val="30"/>
        </w:rPr>
        <w:t>当弥赛亚来临，当祂与属祂的人立下新约时，一座新的城和一座新的殿将兴起——即教会。</w:t>
      </w:r>
    </w:p>
    <w:p w14:paraId="48BE5DF1">
      <w:pPr>
        <w:pStyle w:val="9"/>
        <w:spacing w:before="11"/>
        <w:ind w:left="0"/>
        <w:jc w:val="left"/>
        <w:rPr>
          <w:rFonts w:hint="eastAsia"/>
          <w:sz w:val="30"/>
          <w:szCs w:val="30"/>
        </w:rPr>
      </w:pPr>
    </w:p>
    <w:p w14:paraId="3899D355">
      <w:pPr>
        <w:pStyle w:val="9"/>
        <w:spacing w:before="11"/>
        <w:ind w:left="0"/>
        <w:jc w:val="left"/>
        <w:rPr>
          <w:rFonts w:hint="eastAsia"/>
          <w:sz w:val="30"/>
          <w:szCs w:val="30"/>
        </w:rPr>
      </w:pPr>
      <w:r>
        <w:rPr>
          <w:rFonts w:hint="eastAsia"/>
          <w:sz w:val="30"/>
          <w:szCs w:val="30"/>
        </w:rPr>
        <w:t>As the NT teaches, it is in the Church that God, throughout the Days of the Messiah, will accomplish the great eschatological Restoration that he promised through Jeremiah, and for which the prophet Daniel so fervently prayed (v.24).</w:t>
      </w:r>
    </w:p>
    <w:p w14:paraId="66788F03">
      <w:pPr>
        <w:pStyle w:val="9"/>
        <w:spacing w:before="11"/>
        <w:ind w:left="0"/>
        <w:jc w:val="left"/>
        <w:rPr>
          <w:rFonts w:hint="eastAsia"/>
          <w:sz w:val="30"/>
          <w:szCs w:val="30"/>
        </w:rPr>
      </w:pPr>
      <w:r>
        <w:rPr>
          <w:rFonts w:hint="eastAsia"/>
          <w:sz w:val="30"/>
          <w:szCs w:val="30"/>
        </w:rPr>
        <w:t>正如新约所教导的，正是在教会中，神在整个弥赛亚的日子里，将完成祂通过耶利米所应许的伟大的末世复兴，这也是先知但以理如此热切祷告的 (第24节)。</w:t>
      </w:r>
    </w:p>
    <w:p w14:paraId="4A0F88D0">
      <w:pPr>
        <w:pStyle w:val="9"/>
        <w:spacing w:before="11"/>
        <w:ind w:left="0"/>
        <w:jc w:val="left"/>
        <w:rPr>
          <w:rFonts w:hint="eastAsia"/>
          <w:sz w:val="30"/>
          <w:szCs w:val="30"/>
        </w:rPr>
      </w:pPr>
    </w:p>
    <w:p w14:paraId="51B078A6">
      <w:pPr>
        <w:pStyle w:val="9"/>
        <w:spacing w:before="11"/>
        <w:ind w:left="0"/>
        <w:jc w:val="left"/>
        <w:rPr>
          <w:rFonts w:hint="eastAsia"/>
          <w:sz w:val="30"/>
          <w:szCs w:val="30"/>
        </w:rPr>
      </w:pPr>
      <w:r>
        <w:rPr>
          <w:rFonts w:hint="eastAsia"/>
          <w:sz w:val="30"/>
          <w:szCs w:val="30"/>
        </w:rPr>
        <w:t>Modern proponents of the TFAV include Iain Duguid, Ernst Hengstenberg, Meredith Kline, Edward Pusey, Kim Riddlebarger, and E. J. Young.</w:t>
      </w:r>
    </w:p>
    <w:p w14:paraId="09DD11E4">
      <w:pPr>
        <w:pStyle w:val="9"/>
        <w:spacing w:before="11"/>
        <w:ind w:left="0"/>
        <w:jc w:val="left"/>
        <w:rPr>
          <w:rFonts w:hint="eastAsia"/>
          <w:sz w:val="30"/>
          <w:szCs w:val="30"/>
        </w:rPr>
      </w:pPr>
      <w:r>
        <w:rPr>
          <w:rFonts w:hint="eastAsia"/>
          <w:sz w:val="30"/>
          <w:szCs w:val="30"/>
        </w:rPr>
        <w:t>传统第一次降临观的现代支持者包括伊恩·杜吉德、恩斯特·亨斯滕伯格、梅雷迪思·克莱恩、爱德华·普西、金·里德尔巴格和E. J. 杨。</w:t>
      </w:r>
    </w:p>
    <w:p w14:paraId="0D0CE694">
      <w:pPr>
        <w:pStyle w:val="9"/>
        <w:spacing w:before="11"/>
        <w:ind w:left="0"/>
        <w:jc w:val="left"/>
        <w:rPr>
          <w:rFonts w:hint="eastAsia"/>
          <w:sz w:val="30"/>
          <w:szCs w:val="30"/>
        </w:rPr>
      </w:pPr>
    </w:p>
    <w:p w14:paraId="7A643329">
      <w:pPr>
        <w:pStyle w:val="9"/>
        <w:spacing w:before="11"/>
        <w:ind w:left="0"/>
        <w:jc w:val="left"/>
        <w:rPr>
          <w:rFonts w:hint="eastAsia"/>
          <w:sz w:val="30"/>
          <w:szCs w:val="30"/>
        </w:rPr>
      </w:pPr>
      <w:r>
        <w:rPr>
          <w:rFonts w:hint="eastAsia"/>
          <w:sz w:val="30"/>
          <w:szCs w:val="30"/>
        </w:rPr>
        <w:t>A Critique of the TFAV</w:t>
      </w:r>
    </w:p>
    <w:p w14:paraId="602C9E52">
      <w:pPr>
        <w:pStyle w:val="9"/>
        <w:spacing w:before="11"/>
        <w:ind w:left="0"/>
        <w:jc w:val="left"/>
        <w:rPr>
          <w:rFonts w:hint="eastAsia"/>
          <w:sz w:val="30"/>
          <w:szCs w:val="30"/>
        </w:rPr>
      </w:pPr>
      <w:r>
        <w:rPr>
          <w:rFonts w:hint="eastAsia"/>
          <w:sz w:val="30"/>
          <w:szCs w:val="30"/>
        </w:rPr>
        <w:t>对传统第一次降临观的批判</w:t>
      </w:r>
    </w:p>
    <w:p w14:paraId="416FABC0">
      <w:pPr>
        <w:pStyle w:val="9"/>
        <w:spacing w:before="11"/>
        <w:ind w:left="0"/>
        <w:jc w:val="left"/>
        <w:rPr>
          <w:rFonts w:hint="eastAsia"/>
          <w:sz w:val="30"/>
          <w:szCs w:val="30"/>
        </w:rPr>
      </w:pPr>
    </w:p>
    <w:p w14:paraId="10061D0E">
      <w:pPr>
        <w:pStyle w:val="9"/>
        <w:spacing w:before="11"/>
        <w:ind w:left="0"/>
        <w:jc w:val="left"/>
        <w:rPr>
          <w:rFonts w:hint="eastAsia"/>
          <w:sz w:val="30"/>
          <w:szCs w:val="30"/>
        </w:rPr>
      </w:pPr>
      <w:r>
        <w:rPr>
          <w:rFonts w:hint="eastAsia"/>
          <w:sz w:val="30"/>
          <w:szCs w:val="30"/>
        </w:rPr>
        <w:t>Because of the fluidity—indeed, the ambiguity—of the language of this prophecy, the TFAV seems, at first glance, to open it up quite well.</w:t>
      </w:r>
    </w:p>
    <w:p w14:paraId="2E371B72">
      <w:pPr>
        <w:pStyle w:val="9"/>
        <w:spacing w:before="11"/>
        <w:ind w:left="0"/>
        <w:jc w:val="left"/>
        <w:rPr>
          <w:rFonts w:hint="eastAsia"/>
          <w:sz w:val="30"/>
          <w:szCs w:val="30"/>
        </w:rPr>
      </w:pPr>
      <w:r>
        <w:rPr>
          <w:rFonts w:hint="eastAsia"/>
          <w:sz w:val="30"/>
          <w:szCs w:val="30"/>
        </w:rPr>
        <w:t>由于这个预言语言的流动性——实际上是模糊性——传统第一次降临观乍一看似乎很好地解开了它。</w:t>
      </w:r>
    </w:p>
    <w:p w14:paraId="6817DAAF">
      <w:pPr>
        <w:pStyle w:val="9"/>
        <w:spacing w:before="11"/>
        <w:ind w:left="0"/>
        <w:jc w:val="left"/>
        <w:rPr>
          <w:rFonts w:hint="eastAsia"/>
          <w:sz w:val="30"/>
          <w:szCs w:val="30"/>
        </w:rPr>
      </w:pPr>
    </w:p>
    <w:p w14:paraId="077684B4">
      <w:pPr>
        <w:pStyle w:val="9"/>
        <w:spacing w:before="11"/>
        <w:ind w:left="0"/>
        <w:jc w:val="left"/>
        <w:rPr>
          <w:rFonts w:hint="eastAsia"/>
          <w:sz w:val="30"/>
          <w:szCs w:val="30"/>
        </w:rPr>
      </w:pPr>
      <w:r>
        <w:rPr>
          <w:rFonts w:hint="eastAsia"/>
          <w:sz w:val="30"/>
          <w:szCs w:val="30"/>
        </w:rPr>
        <w:t>However, upon closer inspection, we encounter some serious problems.</w:t>
      </w:r>
    </w:p>
    <w:p w14:paraId="4D44C7A8">
      <w:pPr>
        <w:pStyle w:val="9"/>
        <w:spacing w:before="11"/>
        <w:ind w:left="0"/>
        <w:jc w:val="left"/>
        <w:rPr>
          <w:rFonts w:hint="eastAsia"/>
          <w:sz w:val="30"/>
          <w:szCs w:val="30"/>
        </w:rPr>
      </w:pPr>
      <w:r>
        <w:rPr>
          <w:rFonts w:hint="eastAsia"/>
          <w:sz w:val="30"/>
          <w:szCs w:val="30"/>
        </w:rPr>
        <w:t>然而，经过更仔细的检查，我们遇到了一些严重的问题。</w:t>
      </w:r>
    </w:p>
    <w:p w14:paraId="4E96407E">
      <w:pPr>
        <w:pStyle w:val="9"/>
        <w:spacing w:before="11"/>
        <w:ind w:left="0"/>
        <w:jc w:val="left"/>
        <w:rPr>
          <w:rFonts w:hint="eastAsia"/>
          <w:sz w:val="30"/>
          <w:szCs w:val="30"/>
        </w:rPr>
      </w:pPr>
    </w:p>
    <w:p w14:paraId="1540A0FC">
      <w:pPr>
        <w:pStyle w:val="9"/>
        <w:spacing w:before="11"/>
        <w:ind w:left="0"/>
        <w:jc w:val="left"/>
        <w:rPr>
          <w:rFonts w:hint="eastAsia"/>
          <w:sz w:val="30"/>
          <w:szCs w:val="30"/>
        </w:rPr>
      </w:pPr>
      <w:r>
        <w:rPr>
          <w:rFonts w:hint="eastAsia"/>
          <w:sz w:val="30"/>
          <w:szCs w:val="30"/>
        </w:rPr>
        <w:t>If, for example, the great Restoration envisioned in verse 24 is fulfilled under the New Covenant, why should the terminus ad quem of the prophecy be the first advent of Christ, rather than the second, when that restoration will be complete?</w:t>
      </w:r>
    </w:p>
    <w:p w14:paraId="150E4569">
      <w:pPr>
        <w:pStyle w:val="9"/>
        <w:spacing w:before="11"/>
        <w:ind w:left="0"/>
        <w:jc w:val="left"/>
        <w:rPr>
          <w:rFonts w:hint="eastAsia"/>
          <w:sz w:val="30"/>
          <w:szCs w:val="30"/>
        </w:rPr>
      </w:pPr>
      <w:r>
        <w:rPr>
          <w:rFonts w:hint="eastAsia"/>
          <w:sz w:val="30"/>
          <w:szCs w:val="30"/>
        </w:rPr>
        <w:t>例如，如果第24节所预见的伟大复兴是在新约之下实现的，为什么预言的终点应该是基督的第一次降临，而不是第二次降临，那时复兴才会完全？</w:t>
      </w:r>
    </w:p>
    <w:p w14:paraId="671D5FEC">
      <w:pPr>
        <w:pStyle w:val="9"/>
        <w:spacing w:before="11"/>
        <w:ind w:left="0"/>
        <w:jc w:val="left"/>
        <w:rPr>
          <w:rFonts w:hint="eastAsia"/>
          <w:sz w:val="30"/>
          <w:szCs w:val="30"/>
        </w:rPr>
      </w:pPr>
    </w:p>
    <w:p w14:paraId="23A67508">
      <w:pPr>
        <w:pStyle w:val="9"/>
        <w:spacing w:before="11"/>
        <w:ind w:left="0"/>
        <w:jc w:val="left"/>
        <w:rPr>
          <w:rFonts w:hint="eastAsia"/>
          <w:sz w:val="30"/>
          <w:szCs w:val="30"/>
        </w:rPr>
      </w:pPr>
      <w:r>
        <w:rPr>
          <w:rFonts w:hint="eastAsia"/>
          <w:sz w:val="30"/>
          <w:szCs w:val="30"/>
        </w:rPr>
        <w:t>What of the sixty-two sevens of verses 25 and 26: Why do the proponents of the TFAV simply add them to the first seven, rather than pause to probe a little deeper for their special significance?</w:t>
      </w:r>
    </w:p>
    <w:p w14:paraId="23EEBCB3">
      <w:pPr>
        <w:pStyle w:val="9"/>
        <w:spacing w:before="11"/>
        <w:ind w:left="0"/>
        <w:jc w:val="left"/>
        <w:rPr>
          <w:rFonts w:hint="eastAsia"/>
          <w:sz w:val="30"/>
          <w:szCs w:val="30"/>
        </w:rPr>
      </w:pPr>
      <w:r>
        <w:rPr>
          <w:rFonts w:hint="eastAsia"/>
          <w:sz w:val="30"/>
          <w:szCs w:val="30"/>
        </w:rPr>
        <w:t>第25和26节的六十二个七又如何：为什么传统第一次降临观的支持者只是把它们加到第一个七上，而不是停下来更深入地探究它们的特殊意义？</w:t>
      </w:r>
    </w:p>
    <w:p w14:paraId="4A7404D7">
      <w:pPr>
        <w:pStyle w:val="9"/>
        <w:spacing w:before="11"/>
        <w:ind w:left="0"/>
        <w:jc w:val="left"/>
        <w:rPr>
          <w:rFonts w:hint="eastAsia"/>
          <w:sz w:val="30"/>
          <w:szCs w:val="30"/>
        </w:rPr>
      </w:pPr>
    </w:p>
    <w:p w14:paraId="32605BF4">
      <w:pPr>
        <w:pStyle w:val="9"/>
        <w:spacing w:before="11"/>
        <w:ind w:left="0"/>
        <w:jc w:val="left"/>
        <w:rPr>
          <w:rFonts w:hint="eastAsia"/>
          <w:sz w:val="30"/>
          <w:szCs w:val="30"/>
        </w:rPr>
      </w:pPr>
      <w:r>
        <w:rPr>
          <w:rFonts w:hint="eastAsia"/>
          <w:sz w:val="30"/>
          <w:szCs w:val="30"/>
        </w:rPr>
        <w:t>Why do they assert that the “he” of verse 27—the one who will confirm a covenant with many—is Christ, when the person spoken of in the immediately preceding verse (v.26) is the prince (allegedly Titus) who will destroy the city and the sanctuary?</w:t>
      </w:r>
    </w:p>
    <w:p w14:paraId="728ACA61">
      <w:pPr>
        <w:pStyle w:val="9"/>
        <w:spacing w:before="11"/>
        <w:ind w:left="0"/>
        <w:jc w:val="left"/>
        <w:rPr>
          <w:rFonts w:hint="eastAsia"/>
          <w:sz w:val="30"/>
          <w:szCs w:val="30"/>
        </w:rPr>
      </w:pPr>
      <w:r>
        <w:rPr>
          <w:rFonts w:hint="eastAsia"/>
          <w:sz w:val="30"/>
          <w:szCs w:val="30"/>
        </w:rPr>
        <w:t>他们为何断言第27节的“他”——那与许多人坚定盟约的——是基督，而紧接其前一节（第26节）所说的人是那将要毁灭这城和圣所的君王（据称是提多）？</w:t>
      </w:r>
    </w:p>
    <w:p w14:paraId="76598051">
      <w:pPr>
        <w:pStyle w:val="9"/>
        <w:spacing w:before="11"/>
        <w:ind w:left="0"/>
        <w:jc w:val="left"/>
        <w:rPr>
          <w:rFonts w:hint="eastAsia"/>
          <w:sz w:val="30"/>
          <w:szCs w:val="30"/>
        </w:rPr>
      </w:pPr>
    </w:p>
    <w:p w14:paraId="75C26652">
      <w:pPr>
        <w:pStyle w:val="9"/>
        <w:spacing w:before="11"/>
        <w:ind w:left="0"/>
        <w:jc w:val="left"/>
        <w:rPr>
          <w:rFonts w:hint="eastAsia"/>
          <w:sz w:val="30"/>
          <w:szCs w:val="30"/>
        </w:rPr>
      </w:pPr>
      <w:r>
        <w:rPr>
          <w:rFonts w:hint="eastAsia"/>
          <w:sz w:val="30"/>
          <w:szCs w:val="30"/>
        </w:rPr>
        <w:t>Why, if the “he” of verse 27 is Christ, does the angel again point to his death here (“He will bring an end to sacrifice and offering”), when, in verse 26, he has already spoken of the (alleged) destruction of Herod’s city and sanctuary?</w:t>
      </w:r>
    </w:p>
    <w:p w14:paraId="549F2EEC">
      <w:pPr>
        <w:pStyle w:val="9"/>
        <w:spacing w:before="11"/>
        <w:ind w:left="0"/>
        <w:jc w:val="left"/>
        <w:rPr>
          <w:rFonts w:hint="eastAsia"/>
          <w:sz w:val="30"/>
          <w:szCs w:val="30"/>
        </w:rPr>
      </w:pPr>
      <w:r>
        <w:rPr>
          <w:rFonts w:hint="eastAsia"/>
          <w:sz w:val="30"/>
          <w:szCs w:val="30"/>
        </w:rPr>
        <w:t>如果第27节的“他”是基督，为什么天使在这里再次指向祂的死（“祂必使祭祀与供献止息”），而在第26节，他已经说到了（据称的）希律之城和圣所的毁灭？</w:t>
      </w:r>
    </w:p>
    <w:p w14:paraId="1061D029">
      <w:pPr>
        <w:pStyle w:val="9"/>
        <w:spacing w:before="11"/>
        <w:ind w:left="0"/>
        <w:jc w:val="left"/>
        <w:rPr>
          <w:rFonts w:hint="eastAsia"/>
          <w:sz w:val="30"/>
          <w:szCs w:val="30"/>
        </w:rPr>
      </w:pPr>
    </w:p>
    <w:p w14:paraId="73B5B8CF">
      <w:pPr>
        <w:pStyle w:val="9"/>
        <w:spacing w:before="11"/>
        <w:ind w:left="0"/>
        <w:jc w:val="left"/>
        <w:rPr>
          <w:rFonts w:hint="eastAsia"/>
          <w:sz w:val="30"/>
          <w:szCs w:val="30"/>
        </w:rPr>
      </w:pPr>
      <w:r>
        <w:rPr>
          <w:rFonts w:hint="eastAsia"/>
          <w:sz w:val="30"/>
          <w:szCs w:val="30"/>
        </w:rPr>
        <w:t>Why, if this is Christ, will he establish a covenant with many only for one seven, rather than forever (v. 27)?</w:t>
      </w:r>
    </w:p>
    <w:p w14:paraId="352FA305">
      <w:pPr>
        <w:pStyle w:val="9"/>
        <w:spacing w:before="11"/>
        <w:ind w:left="0"/>
        <w:jc w:val="left"/>
        <w:rPr>
          <w:rFonts w:hint="eastAsia"/>
          <w:sz w:val="30"/>
          <w:szCs w:val="30"/>
        </w:rPr>
      </w:pPr>
      <w:r>
        <w:rPr>
          <w:rFonts w:hint="eastAsia"/>
          <w:sz w:val="30"/>
          <w:szCs w:val="30"/>
        </w:rPr>
        <w:t>如果这是基督，祂为何只与许多人立一个七的约，而不是永远立约（第27节）？</w:t>
      </w:r>
    </w:p>
    <w:p w14:paraId="65B9A507">
      <w:pPr>
        <w:pStyle w:val="9"/>
        <w:spacing w:before="11"/>
        <w:ind w:left="0"/>
        <w:jc w:val="left"/>
        <w:rPr>
          <w:rFonts w:hint="eastAsia"/>
          <w:sz w:val="30"/>
          <w:szCs w:val="30"/>
        </w:rPr>
      </w:pPr>
    </w:p>
    <w:p w14:paraId="573F5755">
      <w:pPr>
        <w:pStyle w:val="9"/>
        <w:spacing w:before="11"/>
        <w:ind w:left="0"/>
        <w:jc w:val="left"/>
        <w:rPr>
          <w:rFonts w:hint="eastAsia"/>
          <w:sz w:val="30"/>
          <w:szCs w:val="30"/>
        </w:rPr>
      </w:pPr>
      <w:r>
        <w:rPr>
          <w:rFonts w:hint="eastAsia"/>
          <w:sz w:val="30"/>
          <w:szCs w:val="30"/>
        </w:rPr>
        <w:t>Why is the prophecy silent as to what occurs in the last half of the seventieth seven, after Christ brings an end to sacrifice and offering (v. 27)?</w:t>
      </w:r>
    </w:p>
    <w:p w14:paraId="7DE9D1EB">
      <w:pPr>
        <w:pStyle w:val="9"/>
        <w:spacing w:before="11"/>
        <w:ind w:left="0"/>
        <w:jc w:val="left"/>
        <w:rPr>
          <w:rFonts w:hint="eastAsia"/>
          <w:sz w:val="30"/>
          <w:szCs w:val="30"/>
        </w:rPr>
      </w:pPr>
      <w:r>
        <w:rPr>
          <w:rFonts w:hint="eastAsia"/>
          <w:sz w:val="30"/>
          <w:szCs w:val="30"/>
        </w:rPr>
        <w:t>为什么预言对第七十个七的后半部分，在基督使祭祀和供献止息之后发生的事保持沉默（第27节）？</w:t>
      </w:r>
    </w:p>
    <w:p w14:paraId="389F32AE">
      <w:pPr>
        <w:pStyle w:val="9"/>
        <w:spacing w:before="11"/>
        <w:ind w:left="0"/>
        <w:jc w:val="left"/>
        <w:rPr>
          <w:rFonts w:hint="eastAsia"/>
          <w:sz w:val="30"/>
          <w:szCs w:val="30"/>
        </w:rPr>
      </w:pPr>
    </w:p>
    <w:p w14:paraId="25306F88">
      <w:pPr>
        <w:pStyle w:val="9"/>
        <w:spacing w:before="11"/>
        <w:ind w:left="0"/>
        <w:jc w:val="left"/>
        <w:rPr>
          <w:rFonts w:hint="eastAsia"/>
          <w:sz w:val="30"/>
          <w:szCs w:val="30"/>
        </w:rPr>
      </w:pPr>
      <w:r>
        <w:rPr>
          <w:rFonts w:hint="eastAsia"/>
          <w:sz w:val="30"/>
          <w:szCs w:val="30"/>
        </w:rPr>
        <w:t>And why does it conclude with such a great emphasis upon the destruction of the temple?</w:t>
      </w:r>
    </w:p>
    <w:p w14:paraId="6D6BFB71">
      <w:pPr>
        <w:pStyle w:val="9"/>
        <w:spacing w:before="11"/>
        <w:ind w:left="0"/>
        <w:jc w:val="left"/>
        <w:rPr>
          <w:rFonts w:hint="eastAsia"/>
          <w:sz w:val="30"/>
          <w:szCs w:val="30"/>
        </w:rPr>
      </w:pPr>
      <w:r>
        <w:rPr>
          <w:rFonts w:hint="eastAsia"/>
          <w:sz w:val="30"/>
          <w:szCs w:val="30"/>
        </w:rPr>
        <w:t>为何它以如此强调圣殿的毁灭而告终？</w:t>
      </w:r>
    </w:p>
    <w:p w14:paraId="7366223F">
      <w:pPr>
        <w:pStyle w:val="9"/>
        <w:spacing w:before="11"/>
        <w:ind w:left="0"/>
        <w:jc w:val="left"/>
        <w:rPr>
          <w:rFonts w:hint="eastAsia"/>
          <w:sz w:val="30"/>
          <w:szCs w:val="30"/>
        </w:rPr>
      </w:pPr>
    </w:p>
    <w:p w14:paraId="1D560089">
      <w:pPr>
        <w:pStyle w:val="9"/>
        <w:spacing w:before="11"/>
        <w:ind w:left="0"/>
        <w:jc w:val="left"/>
        <w:rPr>
          <w:rFonts w:hint="eastAsia"/>
          <w:sz w:val="30"/>
          <w:szCs w:val="30"/>
        </w:rPr>
      </w:pPr>
      <w:r>
        <w:rPr>
          <w:rFonts w:hint="eastAsia"/>
          <w:sz w:val="30"/>
          <w:szCs w:val="30"/>
        </w:rPr>
        <w:t>Is this not an odd way of wrapping up a divine revelation meant to unveil the Messianic restoration of all things!</w:t>
      </w:r>
    </w:p>
    <w:p w14:paraId="7279E53F">
      <w:pPr>
        <w:pStyle w:val="9"/>
        <w:spacing w:before="11"/>
        <w:ind w:left="0"/>
        <w:jc w:val="left"/>
        <w:rPr>
          <w:rFonts w:hint="eastAsia"/>
          <w:sz w:val="30"/>
          <w:szCs w:val="30"/>
        </w:rPr>
      </w:pPr>
      <w:r>
        <w:rPr>
          <w:rFonts w:hint="eastAsia"/>
          <w:sz w:val="30"/>
          <w:szCs w:val="30"/>
        </w:rPr>
        <w:t>这难道不是一种奇怪的方式来结束一个旨在揭示万物弥赛亚式复兴的神圣启示吗！</w:t>
      </w:r>
    </w:p>
    <w:p w14:paraId="59EF2D8C">
      <w:pPr>
        <w:pStyle w:val="9"/>
        <w:spacing w:before="11"/>
        <w:ind w:left="0"/>
        <w:jc w:val="left"/>
        <w:rPr>
          <w:rFonts w:hint="eastAsia"/>
          <w:sz w:val="30"/>
          <w:szCs w:val="30"/>
        </w:rPr>
      </w:pPr>
    </w:p>
    <w:p w14:paraId="2DB5C5A9">
      <w:pPr>
        <w:pStyle w:val="9"/>
        <w:spacing w:before="11"/>
        <w:ind w:left="0"/>
        <w:jc w:val="left"/>
        <w:rPr>
          <w:rFonts w:hint="eastAsia"/>
          <w:sz w:val="30"/>
          <w:szCs w:val="30"/>
        </w:rPr>
      </w:pPr>
      <w:r>
        <w:rPr>
          <w:rFonts w:hint="eastAsia"/>
          <w:sz w:val="30"/>
          <w:szCs w:val="30"/>
        </w:rPr>
        <w:t>Perhaps, then, in light of all these troubling questions, there is a more satisfying interpretation than the one offered in the TFAV.</w:t>
      </w:r>
    </w:p>
    <w:p w14:paraId="3DB9F5F6">
      <w:pPr>
        <w:pStyle w:val="9"/>
        <w:spacing w:before="11"/>
        <w:ind w:left="0"/>
        <w:jc w:val="left"/>
        <w:rPr>
          <w:rFonts w:hint="eastAsia"/>
          <w:sz w:val="30"/>
          <w:szCs w:val="30"/>
        </w:rPr>
      </w:pPr>
      <w:r>
        <w:rPr>
          <w:rFonts w:hint="eastAsia"/>
          <w:sz w:val="30"/>
          <w:szCs w:val="30"/>
        </w:rPr>
        <w:t>那么，或许鉴于所有这些令人困扰的问题，有一个比传统第一次降临观所提供的更令人满意的解释。</w:t>
      </w:r>
    </w:p>
    <w:p w14:paraId="752475B0">
      <w:pPr>
        <w:pStyle w:val="9"/>
        <w:spacing w:before="11"/>
        <w:ind w:left="0"/>
        <w:jc w:val="left"/>
        <w:rPr>
          <w:rFonts w:hint="eastAsia"/>
          <w:sz w:val="30"/>
          <w:szCs w:val="30"/>
        </w:rPr>
      </w:pPr>
    </w:p>
    <w:p w14:paraId="74E6AA3F">
      <w:pPr>
        <w:pStyle w:val="9"/>
        <w:spacing w:before="11"/>
        <w:ind w:left="0"/>
        <w:jc w:val="left"/>
        <w:rPr>
          <w:rFonts w:hint="eastAsia"/>
          <w:sz w:val="30"/>
          <w:szCs w:val="30"/>
        </w:rPr>
      </w:pPr>
      <w:r>
        <w:rPr>
          <w:rFonts w:hint="eastAsia"/>
          <w:sz w:val="30"/>
          <w:szCs w:val="30"/>
        </w:rPr>
        <w:t>The Dispensational Two-Advent View (DTAV)</w:t>
      </w:r>
    </w:p>
    <w:p w14:paraId="08BD0785">
      <w:pPr>
        <w:pStyle w:val="9"/>
        <w:spacing w:before="11"/>
        <w:ind w:left="0"/>
        <w:jc w:val="left"/>
        <w:rPr>
          <w:rFonts w:hint="eastAsia"/>
          <w:sz w:val="30"/>
          <w:szCs w:val="30"/>
        </w:rPr>
      </w:pPr>
      <w:r>
        <w:rPr>
          <w:rFonts w:hint="eastAsia"/>
          <w:sz w:val="30"/>
          <w:szCs w:val="30"/>
        </w:rPr>
        <w:t>时代论两次降临观 (DTAV)</w:t>
      </w:r>
    </w:p>
    <w:p w14:paraId="593767B0">
      <w:pPr>
        <w:pStyle w:val="9"/>
        <w:spacing w:before="11"/>
        <w:ind w:left="0"/>
        <w:jc w:val="left"/>
        <w:rPr>
          <w:rFonts w:hint="eastAsia"/>
          <w:sz w:val="30"/>
          <w:szCs w:val="30"/>
        </w:rPr>
      </w:pPr>
    </w:p>
    <w:p w14:paraId="3FBA0F55">
      <w:pPr>
        <w:pStyle w:val="9"/>
        <w:spacing w:before="11"/>
        <w:ind w:left="0"/>
        <w:jc w:val="left"/>
        <w:rPr>
          <w:rFonts w:hint="eastAsia"/>
          <w:sz w:val="30"/>
          <w:szCs w:val="30"/>
        </w:rPr>
      </w:pPr>
      <w:r>
        <w:rPr>
          <w:rFonts w:hint="eastAsia"/>
          <w:sz w:val="30"/>
          <w:szCs w:val="30"/>
        </w:rPr>
        <w:t>The second view is the Dispensational Two-Advent View.</w:t>
      </w:r>
    </w:p>
    <w:p w14:paraId="08BB1092">
      <w:pPr>
        <w:pStyle w:val="9"/>
        <w:spacing w:before="11"/>
        <w:ind w:left="0"/>
        <w:jc w:val="left"/>
        <w:rPr>
          <w:rFonts w:hint="eastAsia"/>
          <w:sz w:val="30"/>
          <w:szCs w:val="30"/>
        </w:rPr>
      </w:pPr>
      <w:r>
        <w:rPr>
          <w:rFonts w:hint="eastAsia"/>
          <w:sz w:val="30"/>
          <w:szCs w:val="30"/>
        </w:rPr>
        <w:t>第二种观点是时代论两次降临观。</w:t>
      </w:r>
    </w:p>
    <w:p w14:paraId="38712684">
      <w:pPr>
        <w:pStyle w:val="9"/>
        <w:spacing w:before="11"/>
        <w:ind w:left="0"/>
        <w:jc w:val="left"/>
        <w:rPr>
          <w:rFonts w:hint="eastAsia"/>
          <w:sz w:val="30"/>
          <w:szCs w:val="30"/>
        </w:rPr>
      </w:pPr>
    </w:p>
    <w:p w14:paraId="274298FA">
      <w:pPr>
        <w:pStyle w:val="9"/>
        <w:spacing w:before="11"/>
        <w:ind w:left="0"/>
        <w:jc w:val="left"/>
        <w:rPr>
          <w:rFonts w:hint="eastAsia"/>
          <w:sz w:val="30"/>
          <w:szCs w:val="30"/>
        </w:rPr>
      </w:pPr>
      <w:r>
        <w:rPr>
          <w:rFonts w:hint="eastAsia"/>
          <w:sz w:val="30"/>
          <w:szCs w:val="30"/>
        </w:rPr>
        <w:t>Unlike the TFAV, it holds that here Daniel refers not only to Christ’s first advent, but also to his second, when he comes again at the end of a seven year season of tribulation for ethnic Israel.</w:t>
      </w:r>
    </w:p>
    <w:p w14:paraId="5586BBDB">
      <w:pPr>
        <w:pStyle w:val="9"/>
        <w:spacing w:before="11"/>
        <w:ind w:left="0"/>
        <w:jc w:val="left"/>
        <w:rPr>
          <w:rFonts w:hint="eastAsia"/>
          <w:sz w:val="30"/>
          <w:szCs w:val="30"/>
        </w:rPr>
      </w:pPr>
      <w:r>
        <w:rPr>
          <w:rFonts w:hint="eastAsia"/>
          <w:sz w:val="30"/>
          <w:szCs w:val="30"/>
        </w:rPr>
        <w:t>与传统第一次降临观不同，它认为但以理在这里不仅指基督的第一次降临，也指祂的第二次降临，那时祂将在为以色列民族设定的七年大灾难季节结束时再次降临。</w:t>
      </w:r>
    </w:p>
    <w:p w14:paraId="78CB73A1">
      <w:pPr>
        <w:pStyle w:val="9"/>
        <w:spacing w:before="11"/>
        <w:ind w:left="0"/>
        <w:jc w:val="left"/>
        <w:rPr>
          <w:rFonts w:hint="eastAsia"/>
          <w:sz w:val="30"/>
          <w:szCs w:val="30"/>
        </w:rPr>
      </w:pPr>
    </w:p>
    <w:p w14:paraId="2ADE1E61">
      <w:pPr>
        <w:pStyle w:val="9"/>
        <w:spacing w:before="11"/>
        <w:ind w:left="0"/>
        <w:jc w:val="left"/>
        <w:rPr>
          <w:rFonts w:hint="eastAsia"/>
          <w:sz w:val="30"/>
          <w:szCs w:val="30"/>
        </w:rPr>
      </w:pPr>
      <w:r>
        <w:rPr>
          <w:rFonts w:hint="eastAsia"/>
          <w:sz w:val="30"/>
          <w:szCs w:val="30"/>
        </w:rPr>
        <w:t>This view has little historic precedent, having arisen in mid-19th century England among the Plymouth Brethren.</w:t>
      </w:r>
    </w:p>
    <w:p w14:paraId="108A5E20">
      <w:pPr>
        <w:pStyle w:val="9"/>
        <w:spacing w:before="11"/>
        <w:ind w:left="0"/>
        <w:jc w:val="left"/>
        <w:rPr>
          <w:rFonts w:hint="eastAsia"/>
          <w:sz w:val="30"/>
          <w:szCs w:val="30"/>
        </w:rPr>
      </w:pPr>
      <w:r>
        <w:rPr>
          <w:rFonts w:hint="eastAsia"/>
          <w:sz w:val="30"/>
          <w:szCs w:val="30"/>
        </w:rPr>
        <w:t>这种观点几乎没有历史先例，它是在19世纪中叶的英国，在普利茅斯弟兄会中兴起的。</w:t>
      </w:r>
    </w:p>
    <w:p w14:paraId="2BCBF02B">
      <w:pPr>
        <w:pStyle w:val="9"/>
        <w:spacing w:before="11"/>
        <w:ind w:left="0"/>
        <w:jc w:val="left"/>
        <w:rPr>
          <w:rFonts w:hint="eastAsia"/>
          <w:sz w:val="30"/>
          <w:szCs w:val="30"/>
        </w:rPr>
      </w:pPr>
    </w:p>
    <w:p w14:paraId="6575ABFD">
      <w:pPr>
        <w:pStyle w:val="9"/>
        <w:spacing w:before="11"/>
        <w:ind w:left="0"/>
        <w:jc w:val="left"/>
        <w:rPr>
          <w:rFonts w:hint="eastAsia"/>
          <w:sz w:val="30"/>
          <w:szCs w:val="30"/>
        </w:rPr>
      </w:pPr>
      <w:r>
        <w:rPr>
          <w:rFonts w:hint="eastAsia"/>
          <w:sz w:val="30"/>
          <w:szCs w:val="30"/>
        </w:rPr>
        <w:t>And yet, for reasons discussed earlier, it has become widely popular in evangelical circles.</w:t>
      </w:r>
    </w:p>
    <w:p w14:paraId="70F01EDC">
      <w:pPr>
        <w:pStyle w:val="9"/>
        <w:spacing w:before="11"/>
        <w:ind w:left="0"/>
        <w:jc w:val="left"/>
        <w:rPr>
          <w:rFonts w:hint="eastAsia"/>
          <w:sz w:val="30"/>
          <w:szCs w:val="30"/>
        </w:rPr>
      </w:pPr>
      <w:r>
        <w:rPr>
          <w:rFonts w:hint="eastAsia"/>
          <w:sz w:val="30"/>
          <w:szCs w:val="30"/>
        </w:rPr>
        <w:t>然而，由于前面讨论的原因，它在福音派圈子中变得非常流行。</w:t>
      </w:r>
    </w:p>
    <w:p w14:paraId="5DF6F650">
      <w:pPr>
        <w:pStyle w:val="9"/>
        <w:spacing w:before="11"/>
        <w:ind w:left="0"/>
        <w:jc w:val="left"/>
        <w:rPr>
          <w:rFonts w:hint="eastAsia"/>
          <w:sz w:val="30"/>
          <w:szCs w:val="30"/>
        </w:rPr>
      </w:pPr>
    </w:p>
    <w:p w14:paraId="3236DE96">
      <w:pPr>
        <w:pStyle w:val="9"/>
        <w:spacing w:before="11"/>
        <w:ind w:left="0"/>
        <w:jc w:val="left"/>
        <w:rPr>
          <w:rFonts w:hint="eastAsia"/>
          <w:sz w:val="30"/>
          <w:szCs w:val="30"/>
        </w:rPr>
      </w:pPr>
      <w:r>
        <w:rPr>
          <w:rFonts w:hint="eastAsia"/>
          <w:sz w:val="30"/>
          <w:szCs w:val="30"/>
        </w:rPr>
        <w:t>Far and away, it is the most complex and controversial of the three interpretations.</w:t>
      </w:r>
    </w:p>
    <w:p w14:paraId="2CBDB12C">
      <w:pPr>
        <w:pStyle w:val="9"/>
        <w:spacing w:before="11"/>
        <w:ind w:left="0"/>
        <w:jc w:val="left"/>
        <w:rPr>
          <w:rFonts w:hint="eastAsia"/>
          <w:sz w:val="30"/>
          <w:szCs w:val="30"/>
        </w:rPr>
      </w:pPr>
      <w:r>
        <w:rPr>
          <w:rFonts w:hint="eastAsia"/>
          <w:sz w:val="30"/>
          <w:szCs w:val="30"/>
        </w:rPr>
        <w:t>到目前为止，它是三种解释中最复杂和最具争议的。</w:t>
      </w:r>
    </w:p>
    <w:p w14:paraId="71FB1C1D">
      <w:pPr>
        <w:pStyle w:val="9"/>
        <w:spacing w:before="11"/>
        <w:ind w:left="0"/>
        <w:jc w:val="left"/>
        <w:rPr>
          <w:rFonts w:hint="eastAsia"/>
          <w:sz w:val="30"/>
          <w:szCs w:val="30"/>
        </w:rPr>
      </w:pPr>
    </w:p>
    <w:p w14:paraId="55F3A8C6">
      <w:pPr>
        <w:pStyle w:val="9"/>
        <w:spacing w:before="11"/>
        <w:ind w:left="0"/>
        <w:jc w:val="left"/>
        <w:rPr>
          <w:rFonts w:hint="eastAsia"/>
          <w:sz w:val="30"/>
          <w:szCs w:val="30"/>
        </w:rPr>
      </w:pPr>
      <w:r>
        <w:rPr>
          <w:rFonts w:hint="eastAsia"/>
          <w:sz w:val="30"/>
          <w:szCs w:val="30"/>
        </w:rPr>
        <w:t>If, however, we confine ourselves to the basics, it is fairly easy to describe and understand.</w:t>
      </w:r>
    </w:p>
    <w:p w14:paraId="68B29BE3">
      <w:pPr>
        <w:pStyle w:val="9"/>
        <w:spacing w:before="11"/>
        <w:ind w:left="0"/>
        <w:jc w:val="left"/>
        <w:rPr>
          <w:rFonts w:hint="eastAsia"/>
          <w:sz w:val="30"/>
          <w:szCs w:val="30"/>
        </w:rPr>
      </w:pPr>
      <w:r>
        <w:rPr>
          <w:rFonts w:hint="eastAsia"/>
          <w:sz w:val="30"/>
          <w:szCs w:val="30"/>
        </w:rPr>
        <w:t>然而，如果我们只局限于基础知识，它就相当容易描述和理解。</w:t>
      </w:r>
    </w:p>
    <w:p w14:paraId="51023FBF">
      <w:pPr>
        <w:pStyle w:val="9"/>
        <w:spacing w:before="11"/>
        <w:ind w:left="0"/>
        <w:jc w:val="left"/>
        <w:rPr>
          <w:rFonts w:hint="eastAsia"/>
          <w:sz w:val="30"/>
          <w:szCs w:val="30"/>
        </w:rPr>
      </w:pPr>
    </w:p>
    <w:p w14:paraId="05B67040">
      <w:pPr>
        <w:pStyle w:val="9"/>
        <w:spacing w:before="11"/>
        <w:ind w:left="0"/>
        <w:jc w:val="left"/>
        <w:rPr>
          <w:rFonts w:hint="eastAsia"/>
          <w:sz w:val="30"/>
          <w:szCs w:val="30"/>
        </w:rPr>
      </w:pPr>
      <w:r>
        <w:rPr>
          <w:rFonts w:hint="eastAsia"/>
          <w:sz w:val="30"/>
          <w:szCs w:val="30"/>
        </w:rPr>
        <w:t>Let us briefly survey it, verse by verse.</w:t>
      </w:r>
    </w:p>
    <w:p w14:paraId="194EDB6E">
      <w:pPr>
        <w:pStyle w:val="9"/>
        <w:spacing w:before="11"/>
        <w:ind w:left="0"/>
        <w:jc w:val="left"/>
        <w:rPr>
          <w:rFonts w:hint="eastAsia"/>
          <w:sz w:val="30"/>
          <w:szCs w:val="30"/>
        </w:rPr>
      </w:pPr>
      <w:r>
        <w:rPr>
          <w:rFonts w:hint="eastAsia"/>
          <w:sz w:val="30"/>
          <w:szCs w:val="30"/>
        </w:rPr>
        <w:t>让我们逐节简要地考察它。</w:t>
      </w:r>
    </w:p>
    <w:p w14:paraId="1E90AAFB">
      <w:pPr>
        <w:pStyle w:val="9"/>
        <w:spacing w:before="11"/>
        <w:ind w:left="0"/>
        <w:jc w:val="left"/>
        <w:rPr>
          <w:rFonts w:hint="eastAsia"/>
          <w:sz w:val="30"/>
          <w:szCs w:val="30"/>
        </w:rPr>
      </w:pPr>
    </w:p>
    <w:p w14:paraId="190B13EA">
      <w:pPr>
        <w:pStyle w:val="9"/>
        <w:spacing w:before="11"/>
        <w:ind w:left="0"/>
        <w:jc w:val="left"/>
        <w:rPr>
          <w:rFonts w:hint="eastAsia"/>
          <w:sz w:val="30"/>
          <w:szCs w:val="30"/>
        </w:rPr>
      </w:pPr>
      <w:r>
        <w:rPr>
          <w:rFonts w:hint="eastAsia"/>
          <w:sz w:val="30"/>
          <w:szCs w:val="30"/>
        </w:rPr>
        <w:t>Dispensationalists reckon the seventy sevens of verse 24 as 490 calendar years.</w:t>
      </w:r>
    </w:p>
    <w:p w14:paraId="5A4140E3">
      <w:pPr>
        <w:pStyle w:val="9"/>
        <w:spacing w:before="11"/>
        <w:ind w:left="0"/>
        <w:jc w:val="left"/>
        <w:rPr>
          <w:rFonts w:hint="eastAsia"/>
          <w:sz w:val="30"/>
          <w:szCs w:val="30"/>
        </w:rPr>
      </w:pPr>
      <w:r>
        <w:rPr>
          <w:rFonts w:hint="eastAsia"/>
          <w:sz w:val="30"/>
          <w:szCs w:val="30"/>
        </w:rPr>
        <w:t>时代论者将第24节的七十个七算作490个日历年。</w:t>
      </w:r>
    </w:p>
    <w:p w14:paraId="4349F3B5">
      <w:pPr>
        <w:pStyle w:val="9"/>
        <w:spacing w:before="11"/>
        <w:ind w:left="0"/>
        <w:jc w:val="left"/>
        <w:rPr>
          <w:rFonts w:hint="eastAsia"/>
          <w:sz w:val="30"/>
          <w:szCs w:val="30"/>
        </w:rPr>
      </w:pPr>
    </w:p>
    <w:p w14:paraId="23C2DDDC">
      <w:pPr>
        <w:pStyle w:val="9"/>
        <w:spacing w:before="11"/>
        <w:ind w:left="0"/>
        <w:jc w:val="left"/>
        <w:rPr>
          <w:rFonts w:hint="eastAsia"/>
          <w:sz w:val="30"/>
          <w:szCs w:val="30"/>
        </w:rPr>
      </w:pPr>
      <w:r>
        <w:rPr>
          <w:rFonts w:hint="eastAsia"/>
          <w:sz w:val="30"/>
          <w:szCs w:val="30"/>
        </w:rPr>
        <w:t>They acknowledge that the six blessings here promised to Daniel’s people are achieved by the earthly work of Christ, and that these blessings will reach their full fruition in the new heavens and the new earth.</w:t>
      </w:r>
    </w:p>
    <w:p w14:paraId="37CDBE49">
      <w:pPr>
        <w:pStyle w:val="9"/>
        <w:spacing w:before="11"/>
        <w:ind w:left="0"/>
        <w:jc w:val="left"/>
        <w:rPr>
          <w:rFonts w:hint="eastAsia"/>
          <w:sz w:val="30"/>
          <w:szCs w:val="30"/>
        </w:rPr>
      </w:pPr>
      <w:r>
        <w:rPr>
          <w:rFonts w:hint="eastAsia"/>
          <w:sz w:val="30"/>
          <w:szCs w:val="30"/>
        </w:rPr>
        <w:t>他们承认，这里应许给但以理子民的六样福气是通过基督在地上的工作实现的，并且这些福气将在新天新地中达到完全的实现。</w:t>
      </w:r>
    </w:p>
    <w:p w14:paraId="2F850033">
      <w:pPr>
        <w:pStyle w:val="9"/>
        <w:spacing w:before="11"/>
        <w:ind w:left="0"/>
        <w:jc w:val="left"/>
        <w:rPr>
          <w:rFonts w:hint="eastAsia"/>
          <w:sz w:val="30"/>
          <w:szCs w:val="30"/>
        </w:rPr>
      </w:pPr>
    </w:p>
    <w:p w14:paraId="0B92AF67">
      <w:pPr>
        <w:pStyle w:val="9"/>
        <w:spacing w:before="11"/>
        <w:ind w:left="0"/>
        <w:jc w:val="left"/>
        <w:rPr>
          <w:rFonts w:hint="eastAsia"/>
          <w:sz w:val="30"/>
          <w:szCs w:val="30"/>
        </w:rPr>
      </w:pPr>
      <w:r>
        <w:rPr>
          <w:rFonts w:hint="eastAsia"/>
          <w:sz w:val="30"/>
          <w:szCs w:val="30"/>
        </w:rPr>
        <w:t>Nevertheless, in a major departure from the TFAV, they do not agree that Daniel’s people and city appear here primarily as OT types of the eschatological People and City of God: the Church.</w:t>
      </w:r>
    </w:p>
    <w:p w14:paraId="237E0D7C">
      <w:pPr>
        <w:pStyle w:val="9"/>
        <w:spacing w:before="11"/>
        <w:ind w:left="0"/>
        <w:jc w:val="left"/>
        <w:rPr>
          <w:rFonts w:hint="eastAsia"/>
          <w:sz w:val="30"/>
          <w:szCs w:val="30"/>
        </w:rPr>
      </w:pPr>
      <w:r>
        <w:rPr>
          <w:rFonts w:hint="eastAsia"/>
          <w:sz w:val="30"/>
          <w:szCs w:val="30"/>
        </w:rPr>
        <w:t>然而，与传统第一次降临观的一个重大分歧在于，他们不同意但以理的子民和城在这里主要作为末世神的子民和城——即教会——的旧约预表出现。</w:t>
      </w:r>
    </w:p>
    <w:p w14:paraId="724D752F">
      <w:pPr>
        <w:pStyle w:val="9"/>
        <w:spacing w:before="11"/>
        <w:ind w:left="0"/>
        <w:jc w:val="left"/>
        <w:rPr>
          <w:rFonts w:hint="eastAsia"/>
          <w:sz w:val="30"/>
          <w:szCs w:val="30"/>
        </w:rPr>
      </w:pPr>
    </w:p>
    <w:p w14:paraId="6F55A066">
      <w:pPr>
        <w:pStyle w:val="9"/>
        <w:spacing w:before="11"/>
        <w:ind w:left="0"/>
        <w:jc w:val="left"/>
        <w:rPr>
          <w:rFonts w:hint="eastAsia"/>
          <w:sz w:val="30"/>
          <w:szCs w:val="30"/>
        </w:rPr>
      </w:pPr>
      <w:r>
        <w:rPr>
          <w:rFonts w:hint="eastAsia"/>
          <w:sz w:val="30"/>
          <w:szCs w:val="30"/>
        </w:rPr>
        <w:t>Instead, dispensationalists insist that Gabriel is speaking primarily of spiritual blessings that God will bestow upon ethnic Israel in the Millennium; in the Dispensation of the (earthly, Jewish, and Messianic) Kingdom that is (allegedly) the true theme of all OTKP.</w:t>
      </w:r>
    </w:p>
    <w:p w14:paraId="2E0E2369">
      <w:pPr>
        <w:pStyle w:val="9"/>
        <w:spacing w:before="11"/>
        <w:ind w:left="0"/>
        <w:jc w:val="left"/>
        <w:rPr>
          <w:rFonts w:hint="eastAsia"/>
          <w:sz w:val="30"/>
          <w:szCs w:val="30"/>
        </w:rPr>
      </w:pPr>
      <w:r>
        <w:rPr>
          <w:rFonts w:hint="eastAsia"/>
          <w:sz w:val="30"/>
          <w:szCs w:val="30"/>
        </w:rPr>
        <w:t>相反，时代论者坚持认为，加百列主要是在讲神将在千禧年中赐予以色列民族的属灵福气；在那个（属地的、犹太的、弥赛亚的）国度的时代中，那（据称）是所有旧约国度预言的真正主题。</w:t>
      </w:r>
    </w:p>
    <w:p w14:paraId="7A014E38">
      <w:pPr>
        <w:pStyle w:val="9"/>
        <w:spacing w:before="11"/>
        <w:ind w:left="0"/>
        <w:jc w:val="left"/>
        <w:rPr>
          <w:rFonts w:hint="eastAsia"/>
          <w:sz w:val="30"/>
          <w:szCs w:val="30"/>
        </w:rPr>
      </w:pPr>
    </w:p>
    <w:p w14:paraId="34FA66C5">
      <w:pPr>
        <w:pStyle w:val="9"/>
        <w:spacing w:before="11"/>
        <w:ind w:left="0"/>
        <w:jc w:val="left"/>
        <w:rPr>
          <w:rFonts w:hint="eastAsia"/>
          <w:sz w:val="30"/>
          <w:szCs w:val="30"/>
        </w:rPr>
      </w:pPr>
      <w:r>
        <w:rPr>
          <w:rFonts w:hint="eastAsia"/>
          <w:sz w:val="30"/>
          <w:szCs w:val="30"/>
        </w:rPr>
        <w:t>The subject matter of verse 25 is the (events of the) first 69 weeks.</w:t>
      </w:r>
    </w:p>
    <w:p w14:paraId="0866380A">
      <w:pPr>
        <w:pStyle w:val="9"/>
        <w:spacing w:before="11"/>
        <w:ind w:left="0"/>
        <w:jc w:val="left"/>
        <w:rPr>
          <w:rFonts w:hint="eastAsia"/>
          <w:sz w:val="30"/>
          <w:szCs w:val="30"/>
        </w:rPr>
      </w:pPr>
      <w:r>
        <w:rPr>
          <w:rFonts w:hint="eastAsia"/>
          <w:sz w:val="30"/>
          <w:szCs w:val="30"/>
        </w:rPr>
        <w:t>第25节的主题是（事件的）前69个七。</w:t>
      </w:r>
    </w:p>
    <w:p w14:paraId="49B02525">
      <w:pPr>
        <w:pStyle w:val="9"/>
        <w:spacing w:before="11"/>
        <w:ind w:left="0"/>
        <w:jc w:val="left"/>
        <w:rPr>
          <w:rFonts w:hint="eastAsia"/>
          <w:sz w:val="30"/>
          <w:szCs w:val="30"/>
        </w:rPr>
      </w:pPr>
    </w:p>
    <w:p w14:paraId="2BE5D9DD">
      <w:pPr>
        <w:pStyle w:val="9"/>
        <w:spacing w:before="11"/>
        <w:ind w:left="0"/>
        <w:jc w:val="left"/>
        <w:rPr>
          <w:rFonts w:hint="eastAsia"/>
          <w:sz w:val="30"/>
          <w:szCs w:val="30"/>
        </w:rPr>
      </w:pPr>
      <w:r>
        <w:rPr>
          <w:rFonts w:hint="eastAsia"/>
          <w:sz w:val="30"/>
          <w:szCs w:val="30"/>
        </w:rPr>
        <w:t>These total 483 calendar years.</w:t>
      </w:r>
    </w:p>
    <w:p w14:paraId="43CDC7DD">
      <w:pPr>
        <w:pStyle w:val="9"/>
        <w:spacing w:before="11"/>
        <w:ind w:left="0"/>
        <w:jc w:val="left"/>
        <w:rPr>
          <w:rFonts w:hint="eastAsia"/>
          <w:sz w:val="30"/>
          <w:szCs w:val="30"/>
        </w:rPr>
      </w:pPr>
      <w:r>
        <w:rPr>
          <w:rFonts w:hint="eastAsia"/>
          <w:sz w:val="30"/>
          <w:szCs w:val="30"/>
        </w:rPr>
        <w:t>这些总计为483个日历年。</w:t>
      </w:r>
    </w:p>
    <w:p w14:paraId="064A4826">
      <w:pPr>
        <w:pStyle w:val="9"/>
        <w:spacing w:before="11"/>
        <w:ind w:left="0"/>
        <w:jc w:val="left"/>
        <w:rPr>
          <w:rFonts w:hint="eastAsia"/>
          <w:sz w:val="30"/>
          <w:szCs w:val="30"/>
        </w:rPr>
      </w:pPr>
    </w:p>
    <w:p w14:paraId="6FCAAD44">
      <w:pPr>
        <w:pStyle w:val="9"/>
        <w:spacing w:before="11"/>
        <w:ind w:left="0"/>
        <w:jc w:val="left"/>
        <w:rPr>
          <w:rFonts w:hint="eastAsia"/>
          <w:sz w:val="30"/>
          <w:szCs w:val="30"/>
        </w:rPr>
      </w:pPr>
      <w:r>
        <w:rPr>
          <w:rFonts w:hint="eastAsia"/>
          <w:sz w:val="30"/>
          <w:szCs w:val="30"/>
        </w:rPr>
        <w:t>According to (most) dispensationalists, they began in 445 B.C., when king Artaxerxes issued a decree authorizing the restoration of Jerusalem, which was indeed rebuilt in stressful times under the leadership of Nehemiah (Neh. 2:1f).</w:t>
      </w:r>
    </w:p>
    <w:p w14:paraId="33E76A3C">
      <w:pPr>
        <w:pStyle w:val="9"/>
        <w:spacing w:before="11"/>
        <w:ind w:left="0"/>
        <w:jc w:val="left"/>
        <w:rPr>
          <w:rFonts w:hint="eastAsia"/>
          <w:sz w:val="30"/>
          <w:szCs w:val="30"/>
        </w:rPr>
      </w:pPr>
      <w:r>
        <w:rPr>
          <w:rFonts w:hint="eastAsia"/>
          <w:sz w:val="30"/>
          <w:szCs w:val="30"/>
        </w:rPr>
        <w:t>根据（大多数）时代论者的说法，它们始于公元前445年，当时亚达薛西王颁布了一项授权修复耶路撒冷的法令，耶路撒冷确实在尼希米的领导下，在艰难的时期得以重建 (尼 2:1及后)。</w:t>
      </w:r>
    </w:p>
    <w:p w14:paraId="2DBD9D10">
      <w:pPr>
        <w:pStyle w:val="9"/>
        <w:spacing w:before="11"/>
        <w:ind w:left="0"/>
        <w:jc w:val="left"/>
        <w:rPr>
          <w:rFonts w:hint="eastAsia"/>
          <w:sz w:val="30"/>
          <w:szCs w:val="30"/>
        </w:rPr>
      </w:pPr>
    </w:p>
    <w:p w14:paraId="57EF7DAA">
      <w:pPr>
        <w:pStyle w:val="9"/>
        <w:spacing w:before="11"/>
        <w:ind w:left="0"/>
        <w:jc w:val="left"/>
        <w:rPr>
          <w:rFonts w:hint="eastAsia"/>
          <w:sz w:val="30"/>
          <w:szCs w:val="30"/>
        </w:rPr>
      </w:pPr>
      <w:r>
        <w:rPr>
          <w:rFonts w:hint="eastAsia"/>
          <w:sz w:val="30"/>
          <w:szCs w:val="30"/>
        </w:rPr>
        <w:t>They ended either at the birth of Messiah the Prince or at his triumphal entry into Jerusalem.</w:t>
      </w:r>
    </w:p>
    <w:p w14:paraId="5B3EBF2F">
      <w:pPr>
        <w:pStyle w:val="9"/>
        <w:spacing w:before="11"/>
        <w:ind w:left="0"/>
        <w:jc w:val="left"/>
        <w:rPr>
          <w:rFonts w:hint="eastAsia"/>
          <w:sz w:val="30"/>
          <w:szCs w:val="30"/>
        </w:rPr>
      </w:pPr>
      <w:r>
        <w:rPr>
          <w:rFonts w:hint="eastAsia"/>
          <w:sz w:val="30"/>
          <w:szCs w:val="30"/>
        </w:rPr>
        <w:t>它们的终点要么是弥赛亚君王的诞生，要么是祂荣入耶路撒冷。</w:t>
      </w:r>
    </w:p>
    <w:p w14:paraId="222BAAC4">
      <w:pPr>
        <w:pStyle w:val="9"/>
        <w:spacing w:before="11"/>
        <w:ind w:left="0"/>
        <w:jc w:val="left"/>
        <w:rPr>
          <w:rFonts w:hint="eastAsia"/>
          <w:sz w:val="30"/>
          <w:szCs w:val="30"/>
        </w:rPr>
      </w:pPr>
    </w:p>
    <w:p w14:paraId="31D5BD02">
      <w:pPr>
        <w:pStyle w:val="9"/>
        <w:spacing w:before="11"/>
        <w:ind w:left="0"/>
        <w:jc w:val="left"/>
        <w:rPr>
          <w:rFonts w:hint="eastAsia"/>
          <w:sz w:val="30"/>
          <w:szCs w:val="30"/>
        </w:rPr>
      </w:pPr>
      <w:r>
        <w:rPr>
          <w:rFonts w:hint="eastAsia"/>
          <w:sz w:val="30"/>
          <w:szCs w:val="30"/>
        </w:rPr>
        <w:t>Notably, dispensationalists cannot quite make this scheme chronologically viable, and so resort to massaging the numbers involved.</w:t>
      </w:r>
    </w:p>
    <w:p w14:paraId="34B98BFC">
      <w:pPr>
        <w:pStyle w:val="9"/>
        <w:spacing w:before="11"/>
        <w:ind w:left="0"/>
        <w:jc w:val="left"/>
        <w:rPr>
          <w:rFonts w:hint="eastAsia"/>
          <w:sz w:val="30"/>
          <w:szCs w:val="30"/>
        </w:rPr>
      </w:pPr>
      <w:r>
        <w:rPr>
          <w:rFonts w:hint="eastAsia"/>
          <w:sz w:val="30"/>
          <w:szCs w:val="30"/>
        </w:rPr>
        <w:t>值得注意的是，时代论者无法使这个方案在年代上完全可行，因此 resorted to 操纵所涉及的数字。</w:t>
      </w:r>
    </w:p>
    <w:p w14:paraId="40719B55">
      <w:pPr>
        <w:pStyle w:val="9"/>
        <w:spacing w:before="11"/>
        <w:ind w:left="0"/>
        <w:jc w:val="left"/>
        <w:rPr>
          <w:rFonts w:hint="eastAsia"/>
          <w:sz w:val="30"/>
          <w:szCs w:val="30"/>
        </w:rPr>
      </w:pPr>
    </w:p>
    <w:p w14:paraId="2A041D4C">
      <w:pPr>
        <w:pStyle w:val="9"/>
        <w:spacing w:before="11"/>
        <w:ind w:left="0"/>
        <w:jc w:val="left"/>
        <w:rPr>
          <w:rFonts w:hint="eastAsia"/>
          <w:sz w:val="30"/>
          <w:szCs w:val="30"/>
        </w:rPr>
      </w:pPr>
      <w:r>
        <w:rPr>
          <w:rFonts w:hint="eastAsia"/>
          <w:sz w:val="30"/>
          <w:szCs w:val="30"/>
        </w:rPr>
        <w:t>Some suggest that Artaxerxes actually issued his decree in 455 BC, while others say that here the Spirit reckons a year as 360 days.6</w:t>
      </w:r>
    </w:p>
    <w:p w14:paraId="086ADF6D">
      <w:pPr>
        <w:pStyle w:val="9"/>
        <w:spacing w:before="11"/>
        <w:ind w:left="0"/>
        <w:jc w:val="left"/>
        <w:rPr>
          <w:rFonts w:hint="eastAsia"/>
          <w:sz w:val="30"/>
          <w:szCs w:val="30"/>
        </w:rPr>
      </w:pPr>
      <w:r>
        <w:rPr>
          <w:rFonts w:hint="eastAsia"/>
          <w:sz w:val="30"/>
          <w:szCs w:val="30"/>
        </w:rPr>
        <w:t>一些人认为亚达薛西实际上是在公元前455年颁布他的法令，而另一些人则说，这里的圣灵将一年算作360天。6</w:t>
      </w:r>
    </w:p>
    <w:p w14:paraId="38B4BFE2">
      <w:pPr>
        <w:pStyle w:val="9"/>
        <w:spacing w:before="11"/>
        <w:ind w:left="0"/>
        <w:jc w:val="left"/>
        <w:rPr>
          <w:rFonts w:hint="eastAsia"/>
          <w:sz w:val="30"/>
          <w:szCs w:val="30"/>
        </w:rPr>
      </w:pPr>
    </w:p>
    <w:p w14:paraId="33C77F8A">
      <w:pPr>
        <w:pStyle w:val="9"/>
        <w:spacing w:before="11"/>
        <w:ind w:left="0"/>
        <w:jc w:val="left"/>
        <w:rPr>
          <w:rFonts w:hint="eastAsia"/>
          <w:sz w:val="30"/>
          <w:szCs w:val="30"/>
        </w:rPr>
      </w:pPr>
      <w:r>
        <w:rPr>
          <w:rFonts w:hint="eastAsia"/>
          <w:sz w:val="30"/>
          <w:szCs w:val="30"/>
        </w:rPr>
        <w:t>Along with the proponents of the TFAV, dispensationalists hold that verse 26 speaks of (1) the rejection and death of Christ, who thereby “has nothing” of his royal prerogatives, (2) the coming of the Roman “prince” Titus, and (3) the destruction of Jerusalem in 70 AD by Titus’ legions.</w:t>
      </w:r>
    </w:p>
    <w:p w14:paraId="490E5F53">
      <w:pPr>
        <w:pStyle w:val="9"/>
        <w:spacing w:before="11"/>
        <w:ind w:left="0"/>
        <w:jc w:val="left"/>
        <w:rPr>
          <w:rFonts w:hint="eastAsia"/>
          <w:sz w:val="30"/>
          <w:szCs w:val="30"/>
        </w:rPr>
      </w:pPr>
      <w:r>
        <w:rPr>
          <w:rFonts w:hint="eastAsia"/>
          <w:sz w:val="30"/>
          <w:szCs w:val="30"/>
        </w:rPr>
        <w:t>与传统第一次降临观的支持者一样，时代论者认为第26节讲述了（1）基督的被弃和死亡，祂因此“一无所有”，没有祂的君王特权，（2）罗马“君王”提多的到来，以及（3）公元70年耶路撒冷被提多的军团摧毁。</w:t>
      </w:r>
    </w:p>
    <w:p w14:paraId="3C3E276E">
      <w:pPr>
        <w:pStyle w:val="9"/>
        <w:spacing w:before="11"/>
        <w:ind w:left="0"/>
        <w:jc w:val="left"/>
        <w:rPr>
          <w:rFonts w:hint="eastAsia"/>
          <w:sz w:val="30"/>
          <w:szCs w:val="30"/>
        </w:rPr>
      </w:pPr>
    </w:p>
    <w:p w14:paraId="74499FB8">
      <w:pPr>
        <w:pStyle w:val="9"/>
        <w:spacing w:before="11"/>
        <w:ind w:left="0"/>
        <w:jc w:val="left"/>
        <w:rPr>
          <w:rFonts w:hint="eastAsia"/>
          <w:sz w:val="30"/>
          <w:szCs w:val="30"/>
        </w:rPr>
      </w:pPr>
      <w:r>
        <w:rPr>
          <w:rFonts w:hint="eastAsia"/>
          <w:sz w:val="30"/>
          <w:szCs w:val="30"/>
        </w:rPr>
        <w:t>However, upon reaching verse 27, dispensationalists diverge sharply from their traditional brethren.</w:t>
      </w:r>
    </w:p>
    <w:p w14:paraId="7D6DABD7">
      <w:pPr>
        <w:pStyle w:val="9"/>
        <w:spacing w:before="11"/>
        <w:ind w:left="0"/>
        <w:jc w:val="left"/>
        <w:rPr>
          <w:rFonts w:hint="eastAsia"/>
          <w:sz w:val="30"/>
          <w:szCs w:val="30"/>
        </w:rPr>
      </w:pPr>
      <w:r>
        <w:rPr>
          <w:rFonts w:hint="eastAsia"/>
          <w:sz w:val="30"/>
          <w:szCs w:val="30"/>
        </w:rPr>
        <w:t>然而，到了第27节，时代论者与他们的传统派弟兄出现了急剧的分歧。</w:t>
      </w:r>
    </w:p>
    <w:p w14:paraId="2F70CD0F">
      <w:pPr>
        <w:pStyle w:val="9"/>
        <w:spacing w:before="11"/>
        <w:ind w:left="0"/>
        <w:jc w:val="left"/>
        <w:rPr>
          <w:rFonts w:hint="eastAsia"/>
          <w:sz w:val="30"/>
          <w:szCs w:val="30"/>
        </w:rPr>
      </w:pPr>
    </w:p>
    <w:p w14:paraId="18431640">
      <w:pPr>
        <w:pStyle w:val="9"/>
        <w:spacing w:before="11"/>
        <w:ind w:left="0"/>
        <w:jc w:val="left"/>
        <w:rPr>
          <w:rFonts w:hint="eastAsia"/>
          <w:sz w:val="30"/>
          <w:szCs w:val="30"/>
        </w:rPr>
      </w:pPr>
      <w:r>
        <w:rPr>
          <w:rFonts w:hint="eastAsia"/>
          <w:sz w:val="30"/>
          <w:szCs w:val="30"/>
        </w:rPr>
        <w:t>Here, they say, the Spirit suddenly lifts us up and carries us ahead to certain dramatic events that must befall ethnic Israel at the close of the present evil age.</w:t>
      </w:r>
    </w:p>
    <w:p w14:paraId="154C78BF">
      <w:pPr>
        <w:pStyle w:val="9"/>
        <w:spacing w:before="11"/>
        <w:ind w:left="0"/>
        <w:jc w:val="left"/>
        <w:rPr>
          <w:rFonts w:hint="eastAsia"/>
          <w:sz w:val="30"/>
          <w:szCs w:val="30"/>
        </w:rPr>
      </w:pPr>
      <w:r>
        <w:rPr>
          <w:rFonts w:hint="eastAsia"/>
          <w:sz w:val="30"/>
          <w:szCs w:val="30"/>
        </w:rPr>
        <w:t>他们说，在这里，圣灵突然将我们提升，带我们前往某些戏剧性的事件，这些事件必定在现今邪恶世代结束时降临在以色列民族身上。</w:t>
      </w:r>
    </w:p>
    <w:p w14:paraId="42897B21">
      <w:pPr>
        <w:pStyle w:val="9"/>
        <w:spacing w:before="11"/>
        <w:ind w:left="0"/>
        <w:jc w:val="left"/>
        <w:rPr>
          <w:rFonts w:hint="eastAsia"/>
          <w:sz w:val="30"/>
          <w:szCs w:val="30"/>
        </w:rPr>
      </w:pPr>
    </w:p>
    <w:p w14:paraId="7D41E9B0">
      <w:pPr>
        <w:pStyle w:val="9"/>
        <w:spacing w:before="11"/>
        <w:ind w:left="0"/>
        <w:jc w:val="left"/>
        <w:rPr>
          <w:rFonts w:hint="eastAsia"/>
          <w:sz w:val="30"/>
          <w:szCs w:val="30"/>
        </w:rPr>
      </w:pPr>
      <w:r>
        <w:rPr>
          <w:rFonts w:hint="eastAsia"/>
          <w:sz w:val="30"/>
          <w:szCs w:val="30"/>
        </w:rPr>
        <w:t>Obviously, this raises an important question: What in the world happens during the intervening years?</w:t>
      </w:r>
    </w:p>
    <w:p w14:paraId="624E3E2F">
      <w:pPr>
        <w:pStyle w:val="9"/>
        <w:spacing w:before="11"/>
        <w:ind w:left="0"/>
        <w:jc w:val="left"/>
        <w:rPr>
          <w:rFonts w:hint="eastAsia"/>
          <w:sz w:val="30"/>
          <w:szCs w:val="30"/>
        </w:rPr>
      </w:pPr>
      <w:r>
        <w:rPr>
          <w:rFonts w:hint="eastAsia"/>
          <w:sz w:val="30"/>
          <w:szCs w:val="30"/>
        </w:rPr>
        <w:t>显然，这提出了一个重要问题：在这期间到底发生了什么？</w:t>
      </w:r>
    </w:p>
    <w:p w14:paraId="5E9DA50D">
      <w:pPr>
        <w:pStyle w:val="9"/>
        <w:spacing w:before="11"/>
        <w:ind w:left="0"/>
        <w:jc w:val="left"/>
        <w:rPr>
          <w:rFonts w:hint="eastAsia"/>
          <w:sz w:val="30"/>
          <w:szCs w:val="30"/>
        </w:rPr>
      </w:pPr>
    </w:p>
    <w:p w14:paraId="4D66165E">
      <w:pPr>
        <w:pStyle w:val="9"/>
        <w:spacing w:before="11"/>
        <w:ind w:left="0"/>
        <w:jc w:val="left"/>
        <w:rPr>
          <w:rFonts w:hint="eastAsia"/>
          <w:sz w:val="30"/>
          <w:szCs w:val="30"/>
        </w:rPr>
      </w:pPr>
      <w:r>
        <w:rPr>
          <w:rFonts w:hint="eastAsia"/>
          <w:sz w:val="30"/>
          <w:szCs w:val="30"/>
        </w:rPr>
        <w:t>With scant help from the text itself, dispensationalists respond by asserting that throughout this time God is pursuing a different plan for a different people.</w:t>
      </w:r>
    </w:p>
    <w:p w14:paraId="3FEE51BD">
      <w:pPr>
        <w:pStyle w:val="9"/>
        <w:spacing w:before="11"/>
        <w:ind w:left="0"/>
        <w:jc w:val="left"/>
        <w:rPr>
          <w:rFonts w:hint="eastAsia"/>
          <w:sz w:val="30"/>
          <w:szCs w:val="30"/>
        </w:rPr>
      </w:pPr>
      <w:r>
        <w:rPr>
          <w:rFonts w:hint="eastAsia"/>
          <w:sz w:val="30"/>
          <w:szCs w:val="30"/>
        </w:rPr>
        <w:t>时代论者在经文本身几乎没有提供帮助的情况下，通过断言在这整个时期，神正在为一群不同的人追求一个不同的计划来回应。</w:t>
      </w:r>
    </w:p>
    <w:p w14:paraId="5A572A71">
      <w:pPr>
        <w:pStyle w:val="9"/>
        <w:spacing w:before="11"/>
        <w:ind w:left="0"/>
        <w:jc w:val="left"/>
        <w:rPr>
          <w:rFonts w:hint="eastAsia"/>
          <w:sz w:val="30"/>
          <w:szCs w:val="30"/>
        </w:rPr>
      </w:pPr>
    </w:p>
    <w:p w14:paraId="397CEA2D">
      <w:pPr>
        <w:pStyle w:val="9"/>
        <w:spacing w:before="11"/>
        <w:ind w:left="0"/>
        <w:jc w:val="left"/>
        <w:rPr>
          <w:rFonts w:hint="eastAsia"/>
          <w:sz w:val="30"/>
          <w:szCs w:val="30"/>
        </w:rPr>
      </w:pPr>
      <w:r>
        <w:rPr>
          <w:rFonts w:hint="eastAsia"/>
          <w:sz w:val="30"/>
          <w:szCs w:val="30"/>
        </w:rPr>
        <w:t>The plan is the “mystery” of the Dispensation (or Era) of the Church.</w:t>
      </w:r>
    </w:p>
    <w:p w14:paraId="1CDA8965">
      <w:pPr>
        <w:pStyle w:val="9"/>
        <w:spacing w:before="11"/>
        <w:ind w:left="0"/>
        <w:jc w:val="left"/>
        <w:rPr>
          <w:rFonts w:hint="eastAsia"/>
          <w:sz w:val="30"/>
          <w:szCs w:val="30"/>
        </w:rPr>
      </w:pPr>
      <w:r>
        <w:rPr>
          <w:rFonts w:hint="eastAsia"/>
          <w:sz w:val="30"/>
          <w:szCs w:val="30"/>
        </w:rPr>
        <w:t>这个计划是教会时代（或纪元）的“奥秘”。</w:t>
      </w:r>
    </w:p>
    <w:p w14:paraId="3E029717">
      <w:pPr>
        <w:pStyle w:val="9"/>
        <w:spacing w:before="11"/>
        <w:ind w:left="0"/>
        <w:jc w:val="left"/>
        <w:rPr>
          <w:rFonts w:hint="eastAsia"/>
          <w:sz w:val="30"/>
          <w:szCs w:val="30"/>
        </w:rPr>
      </w:pPr>
    </w:p>
    <w:p w14:paraId="73AA5330">
      <w:pPr>
        <w:pStyle w:val="9"/>
        <w:spacing w:before="11"/>
        <w:ind w:left="0"/>
        <w:jc w:val="left"/>
        <w:rPr>
          <w:rFonts w:hint="eastAsia"/>
          <w:sz w:val="30"/>
          <w:szCs w:val="30"/>
        </w:rPr>
      </w:pPr>
      <w:r>
        <w:rPr>
          <w:rFonts w:hint="eastAsia"/>
          <w:sz w:val="30"/>
          <w:szCs w:val="30"/>
        </w:rPr>
        <w:t>The people are the Church itself, the Bride of Christ.</w:t>
      </w:r>
    </w:p>
    <w:p w14:paraId="528D8C00">
      <w:pPr>
        <w:pStyle w:val="9"/>
        <w:spacing w:before="11"/>
        <w:ind w:left="0"/>
        <w:jc w:val="left"/>
        <w:rPr>
          <w:rFonts w:hint="eastAsia"/>
          <w:sz w:val="30"/>
          <w:szCs w:val="30"/>
        </w:rPr>
      </w:pPr>
      <w:r>
        <w:rPr>
          <w:rFonts w:hint="eastAsia"/>
          <w:sz w:val="30"/>
          <w:szCs w:val="30"/>
        </w:rPr>
        <w:t>这群人就是教会本身，基督的新妇。</w:t>
      </w:r>
    </w:p>
    <w:p w14:paraId="576B14C3">
      <w:pPr>
        <w:pStyle w:val="9"/>
        <w:spacing w:before="11"/>
        <w:ind w:left="0"/>
        <w:jc w:val="left"/>
        <w:rPr>
          <w:rFonts w:hint="eastAsia"/>
          <w:sz w:val="30"/>
          <w:szCs w:val="30"/>
        </w:rPr>
      </w:pPr>
    </w:p>
    <w:p w14:paraId="35925366">
      <w:pPr>
        <w:pStyle w:val="9"/>
        <w:spacing w:before="11"/>
        <w:ind w:left="0"/>
        <w:jc w:val="left"/>
        <w:rPr>
          <w:rFonts w:hint="eastAsia"/>
          <w:sz w:val="30"/>
          <w:szCs w:val="30"/>
        </w:rPr>
      </w:pPr>
      <w:r>
        <w:rPr>
          <w:rFonts w:hint="eastAsia"/>
          <w:sz w:val="30"/>
          <w:szCs w:val="30"/>
        </w:rPr>
        <w:t>According to dispensationalists, the OT prophets—including Daniel—did not foresee or speak of either, since their sole concern was to encourage the OT saints with promises of Christ’s millennial Kingdom.</w:t>
      </w:r>
    </w:p>
    <w:p w14:paraId="00B70B1C">
      <w:pPr>
        <w:pStyle w:val="9"/>
        <w:spacing w:before="11"/>
        <w:ind w:left="0"/>
        <w:jc w:val="left"/>
        <w:rPr>
          <w:rFonts w:hint="eastAsia"/>
          <w:sz w:val="30"/>
          <w:szCs w:val="30"/>
        </w:rPr>
      </w:pPr>
      <w:r>
        <w:rPr>
          <w:rFonts w:hint="eastAsia"/>
          <w:sz w:val="30"/>
          <w:szCs w:val="30"/>
        </w:rPr>
        <w:t>根据时代论者的说法，旧约先知——包括但以理——没有预见或谈论这两者，因为他们唯一的关切是用基督千禧年国度的应许来鼓励旧约圣徒。</w:t>
      </w:r>
    </w:p>
    <w:p w14:paraId="2E16613A">
      <w:pPr>
        <w:pStyle w:val="9"/>
        <w:spacing w:before="11"/>
        <w:ind w:left="0"/>
        <w:jc w:val="left"/>
        <w:rPr>
          <w:rFonts w:hint="eastAsia"/>
          <w:sz w:val="30"/>
          <w:szCs w:val="30"/>
        </w:rPr>
      </w:pPr>
    </w:p>
    <w:p w14:paraId="75059862">
      <w:pPr>
        <w:pStyle w:val="9"/>
        <w:spacing w:before="11"/>
        <w:ind w:left="0"/>
        <w:jc w:val="left"/>
        <w:rPr>
          <w:rFonts w:hint="eastAsia"/>
          <w:sz w:val="30"/>
          <w:szCs w:val="30"/>
        </w:rPr>
      </w:pPr>
      <w:r>
        <w:rPr>
          <w:rFonts w:hint="eastAsia"/>
          <w:sz w:val="30"/>
          <w:szCs w:val="30"/>
        </w:rPr>
        <w:t>Moreover, they did not foresee still another mystery, one that will bring the Church Era to a close: the Rapture.</w:t>
      </w:r>
    </w:p>
    <w:p w14:paraId="14C006B4">
      <w:pPr>
        <w:pStyle w:val="9"/>
        <w:spacing w:before="11"/>
        <w:ind w:left="0"/>
        <w:jc w:val="left"/>
        <w:rPr>
          <w:rFonts w:hint="eastAsia"/>
          <w:sz w:val="30"/>
          <w:szCs w:val="30"/>
        </w:rPr>
      </w:pPr>
      <w:r>
        <w:rPr>
          <w:rFonts w:hint="eastAsia"/>
          <w:sz w:val="30"/>
          <w:szCs w:val="30"/>
        </w:rPr>
        <w:t>此外，他们没有预见到另一个奥秘，一个将结束教会时代的奥秘：被提。</w:t>
      </w:r>
    </w:p>
    <w:p w14:paraId="0878C8B9">
      <w:pPr>
        <w:pStyle w:val="9"/>
        <w:spacing w:before="11"/>
        <w:ind w:left="0"/>
        <w:jc w:val="left"/>
        <w:rPr>
          <w:rFonts w:hint="eastAsia"/>
          <w:sz w:val="30"/>
          <w:szCs w:val="30"/>
        </w:rPr>
      </w:pPr>
    </w:p>
    <w:p w14:paraId="7CC14FB6">
      <w:pPr>
        <w:pStyle w:val="9"/>
        <w:spacing w:before="11"/>
        <w:ind w:left="0"/>
        <w:jc w:val="left"/>
        <w:rPr>
          <w:rFonts w:hint="eastAsia"/>
          <w:sz w:val="30"/>
          <w:szCs w:val="30"/>
        </w:rPr>
      </w:pPr>
      <w:r>
        <w:rPr>
          <w:rFonts w:hint="eastAsia"/>
          <w:sz w:val="30"/>
          <w:szCs w:val="30"/>
        </w:rPr>
        <w:t>At the Rapture, God will send the glorified Christ secretly to lift his Bride into the skies above the earth and then carry her away to heaven, where she will be safe and secure from the vicissitudes of the seven terrible years now to begin: the Tribulation (Mt. 24:6, 15, 1 Thess. 4, 1 Thess. 4:13ff, Rev. 7:14).</w:t>
      </w:r>
    </w:p>
    <w:p w14:paraId="6A3EA898">
      <w:pPr>
        <w:pStyle w:val="9"/>
        <w:spacing w:before="11"/>
        <w:ind w:left="0"/>
        <w:jc w:val="left"/>
        <w:rPr>
          <w:rFonts w:hint="eastAsia"/>
          <w:sz w:val="30"/>
          <w:szCs w:val="30"/>
        </w:rPr>
      </w:pPr>
      <w:r>
        <w:rPr>
          <w:rFonts w:hint="eastAsia"/>
          <w:sz w:val="30"/>
          <w:szCs w:val="30"/>
        </w:rPr>
        <w:t>在被提时，神将差遣得荣耀的基督秘密地将祂的新妇提到地上的空中，然后将她带到天上，在那里她将安全稳妥，免受即将开始的七个可怕年日——大灾难——的变迁 (太 24:6, 15, 帖前 4, 帖前 4:13及后, 启 7:14)。</w:t>
      </w:r>
    </w:p>
    <w:p w14:paraId="4BD2CE9B">
      <w:pPr>
        <w:pStyle w:val="9"/>
        <w:spacing w:before="11"/>
        <w:ind w:left="0"/>
        <w:jc w:val="left"/>
        <w:rPr>
          <w:rFonts w:hint="eastAsia"/>
          <w:sz w:val="30"/>
          <w:szCs w:val="30"/>
        </w:rPr>
      </w:pPr>
    </w:p>
    <w:p w14:paraId="49C8BA64">
      <w:pPr>
        <w:pStyle w:val="9"/>
        <w:spacing w:before="11"/>
        <w:ind w:left="0"/>
        <w:jc w:val="left"/>
        <w:rPr>
          <w:rFonts w:hint="eastAsia"/>
          <w:sz w:val="30"/>
          <w:szCs w:val="30"/>
        </w:rPr>
      </w:pPr>
      <w:r>
        <w:rPr>
          <w:rFonts w:hint="eastAsia"/>
          <w:sz w:val="30"/>
          <w:szCs w:val="30"/>
        </w:rPr>
        <w:t>In sum, dispensationalists hold that God has placed a great “parenthesis”—a huge temporal gulf, now some two millennia long— between the end of verse 26 and the beginning of verse 27.</w:t>
      </w:r>
    </w:p>
    <w:p w14:paraId="7E8DFEB9">
      <w:pPr>
        <w:pStyle w:val="9"/>
        <w:spacing w:before="11"/>
        <w:ind w:left="0"/>
        <w:jc w:val="left"/>
        <w:rPr>
          <w:rFonts w:hint="eastAsia"/>
          <w:sz w:val="30"/>
          <w:szCs w:val="30"/>
        </w:rPr>
      </w:pPr>
      <w:r>
        <w:rPr>
          <w:rFonts w:hint="eastAsia"/>
          <w:sz w:val="30"/>
          <w:szCs w:val="30"/>
        </w:rPr>
        <w:t>总而言之，时代论者认为，神在第26节的结尾和第27节的开头之间放置了一个巨大的“括号”——一个巨大的时间鸿沟，现在已有大约两千年之久。</w:t>
      </w:r>
    </w:p>
    <w:p w14:paraId="198F73E1">
      <w:pPr>
        <w:pStyle w:val="9"/>
        <w:spacing w:before="11"/>
        <w:ind w:left="0"/>
        <w:jc w:val="left"/>
        <w:rPr>
          <w:rFonts w:hint="eastAsia"/>
          <w:sz w:val="30"/>
          <w:szCs w:val="30"/>
        </w:rPr>
      </w:pPr>
    </w:p>
    <w:p w14:paraId="639FFD34">
      <w:pPr>
        <w:pStyle w:val="9"/>
        <w:spacing w:before="11"/>
        <w:ind w:left="0"/>
        <w:jc w:val="left"/>
        <w:rPr>
          <w:rFonts w:hint="eastAsia"/>
          <w:sz w:val="30"/>
          <w:szCs w:val="30"/>
        </w:rPr>
      </w:pPr>
      <w:r>
        <w:rPr>
          <w:rFonts w:hint="eastAsia"/>
          <w:sz w:val="30"/>
          <w:szCs w:val="30"/>
        </w:rPr>
        <w:t>Again, they call this gulf the mystery of the Church Era.</w:t>
      </w:r>
    </w:p>
    <w:p w14:paraId="5CF1CA16">
      <w:pPr>
        <w:pStyle w:val="9"/>
        <w:spacing w:before="11"/>
        <w:ind w:left="0"/>
        <w:jc w:val="left"/>
        <w:rPr>
          <w:rFonts w:hint="eastAsia"/>
          <w:sz w:val="30"/>
          <w:szCs w:val="30"/>
        </w:rPr>
      </w:pPr>
      <w:r>
        <w:rPr>
          <w:rFonts w:hint="eastAsia"/>
          <w:sz w:val="30"/>
          <w:szCs w:val="30"/>
        </w:rPr>
        <w:t>再次，他们称这个鸿沟为教会时代的奥秘。</w:t>
      </w:r>
    </w:p>
    <w:p w14:paraId="4D6AB228">
      <w:pPr>
        <w:pStyle w:val="9"/>
        <w:spacing w:before="11"/>
        <w:ind w:left="0"/>
        <w:jc w:val="left"/>
        <w:rPr>
          <w:rFonts w:hint="eastAsia"/>
          <w:sz w:val="30"/>
          <w:szCs w:val="30"/>
        </w:rPr>
      </w:pPr>
    </w:p>
    <w:p w14:paraId="3E1C7994">
      <w:pPr>
        <w:pStyle w:val="9"/>
        <w:spacing w:before="11"/>
        <w:ind w:left="0"/>
        <w:jc w:val="left"/>
        <w:rPr>
          <w:rFonts w:hint="eastAsia"/>
          <w:sz w:val="30"/>
          <w:szCs w:val="30"/>
        </w:rPr>
      </w:pPr>
      <w:r>
        <w:rPr>
          <w:rFonts w:hint="eastAsia"/>
          <w:sz w:val="30"/>
          <w:szCs w:val="30"/>
        </w:rPr>
        <w:t>When it began, God’s prophetic time clock—his stated plans for ethnic Israel—stopped (v. 26).</w:t>
      </w:r>
    </w:p>
    <w:p w14:paraId="2464AF14">
      <w:pPr>
        <w:pStyle w:val="9"/>
        <w:spacing w:before="11"/>
        <w:ind w:left="0"/>
        <w:jc w:val="left"/>
        <w:rPr>
          <w:rFonts w:hint="eastAsia"/>
          <w:sz w:val="30"/>
          <w:szCs w:val="30"/>
        </w:rPr>
      </w:pPr>
      <w:r>
        <w:rPr>
          <w:rFonts w:hint="eastAsia"/>
          <w:sz w:val="30"/>
          <w:szCs w:val="30"/>
        </w:rPr>
        <w:t>当它开始时，神的预言时钟——祂为以色列民族设定的计划——停止了 (第26节)。</w:t>
      </w:r>
    </w:p>
    <w:p w14:paraId="2818C8E6">
      <w:pPr>
        <w:pStyle w:val="9"/>
        <w:spacing w:before="11"/>
        <w:ind w:left="0"/>
        <w:jc w:val="left"/>
        <w:rPr>
          <w:rFonts w:hint="eastAsia"/>
          <w:sz w:val="30"/>
          <w:szCs w:val="30"/>
        </w:rPr>
      </w:pPr>
    </w:p>
    <w:p w14:paraId="2C9C5C09">
      <w:pPr>
        <w:pStyle w:val="9"/>
        <w:spacing w:before="11"/>
        <w:ind w:left="0"/>
        <w:jc w:val="left"/>
        <w:rPr>
          <w:rFonts w:hint="eastAsia"/>
          <w:sz w:val="30"/>
          <w:szCs w:val="30"/>
        </w:rPr>
      </w:pPr>
      <w:r>
        <w:rPr>
          <w:rFonts w:hint="eastAsia"/>
          <w:sz w:val="30"/>
          <w:szCs w:val="30"/>
        </w:rPr>
        <w:t>But as soon as the Rapture occurs, it will start to tick again (v. 27)!</w:t>
      </w:r>
    </w:p>
    <w:p w14:paraId="182B10F5">
      <w:pPr>
        <w:pStyle w:val="9"/>
        <w:spacing w:before="11"/>
        <w:ind w:left="0"/>
        <w:jc w:val="left"/>
        <w:rPr>
          <w:rFonts w:hint="eastAsia"/>
          <w:sz w:val="30"/>
          <w:szCs w:val="30"/>
        </w:rPr>
      </w:pPr>
      <w:r>
        <w:rPr>
          <w:rFonts w:hint="eastAsia"/>
          <w:sz w:val="30"/>
          <w:szCs w:val="30"/>
        </w:rPr>
        <w:t>但一旦被提发生，它将再次开始滴答作响 (第27节)！</w:t>
      </w:r>
    </w:p>
    <w:p w14:paraId="509EBF15">
      <w:pPr>
        <w:pStyle w:val="9"/>
        <w:spacing w:before="11"/>
        <w:ind w:left="0"/>
        <w:jc w:val="left"/>
        <w:rPr>
          <w:rFonts w:hint="eastAsia"/>
          <w:sz w:val="30"/>
          <w:szCs w:val="30"/>
        </w:rPr>
      </w:pPr>
    </w:p>
    <w:p w14:paraId="636A86B4">
      <w:pPr>
        <w:pStyle w:val="9"/>
        <w:spacing w:before="11"/>
        <w:ind w:left="0"/>
        <w:jc w:val="left"/>
        <w:rPr>
          <w:rFonts w:hint="eastAsia"/>
          <w:sz w:val="30"/>
          <w:szCs w:val="30"/>
        </w:rPr>
      </w:pPr>
      <w:r>
        <w:rPr>
          <w:rFonts w:hint="eastAsia"/>
          <w:sz w:val="30"/>
          <w:szCs w:val="30"/>
        </w:rPr>
        <w:t>What will the seventieth week—the Tribulation era—look like?</w:t>
      </w:r>
    </w:p>
    <w:p w14:paraId="5FD0CF15">
      <w:pPr>
        <w:pStyle w:val="9"/>
        <w:spacing w:before="11"/>
        <w:ind w:left="0"/>
        <w:jc w:val="left"/>
        <w:rPr>
          <w:rFonts w:hint="eastAsia"/>
          <w:sz w:val="30"/>
          <w:szCs w:val="30"/>
        </w:rPr>
      </w:pPr>
      <w:r>
        <w:rPr>
          <w:rFonts w:hint="eastAsia"/>
          <w:sz w:val="30"/>
          <w:szCs w:val="30"/>
        </w:rPr>
        <w:t>第七十个七——大灾难时代——会是什么样子？</w:t>
      </w:r>
    </w:p>
    <w:p w14:paraId="67132E5B">
      <w:pPr>
        <w:pStyle w:val="9"/>
        <w:spacing w:before="11"/>
        <w:ind w:left="0"/>
        <w:jc w:val="left"/>
        <w:rPr>
          <w:rFonts w:hint="eastAsia"/>
          <w:sz w:val="30"/>
          <w:szCs w:val="30"/>
        </w:rPr>
      </w:pPr>
    </w:p>
    <w:p w14:paraId="33DE2245">
      <w:pPr>
        <w:pStyle w:val="9"/>
        <w:spacing w:before="11"/>
        <w:ind w:left="0"/>
        <w:jc w:val="left"/>
        <w:rPr>
          <w:rFonts w:hint="eastAsia"/>
          <w:sz w:val="30"/>
          <w:szCs w:val="30"/>
        </w:rPr>
      </w:pPr>
      <w:r>
        <w:rPr>
          <w:rFonts w:hint="eastAsia"/>
          <w:sz w:val="30"/>
          <w:szCs w:val="30"/>
        </w:rPr>
        <w:t>In reply, dispensationalists take us to verse 27.</w:t>
      </w:r>
    </w:p>
    <w:p w14:paraId="74306E87">
      <w:pPr>
        <w:pStyle w:val="9"/>
        <w:spacing w:before="11"/>
        <w:ind w:left="0"/>
        <w:jc w:val="left"/>
        <w:rPr>
          <w:rFonts w:hint="eastAsia"/>
          <w:sz w:val="30"/>
          <w:szCs w:val="30"/>
        </w:rPr>
      </w:pPr>
      <w:r>
        <w:rPr>
          <w:rFonts w:hint="eastAsia"/>
          <w:sz w:val="30"/>
          <w:szCs w:val="30"/>
        </w:rPr>
        <w:t>作为回答，时代论者将我们带到第27节。</w:t>
      </w:r>
    </w:p>
    <w:p w14:paraId="0A58C73C">
      <w:pPr>
        <w:pStyle w:val="9"/>
        <w:spacing w:before="11"/>
        <w:ind w:left="0"/>
        <w:jc w:val="left"/>
        <w:rPr>
          <w:rFonts w:hint="eastAsia"/>
          <w:sz w:val="30"/>
          <w:szCs w:val="30"/>
        </w:rPr>
      </w:pPr>
    </w:p>
    <w:p w14:paraId="24279B42">
      <w:pPr>
        <w:pStyle w:val="9"/>
        <w:spacing w:before="11"/>
        <w:ind w:left="0"/>
        <w:jc w:val="left"/>
        <w:rPr>
          <w:rFonts w:hint="eastAsia"/>
          <w:sz w:val="30"/>
          <w:szCs w:val="30"/>
        </w:rPr>
      </w:pPr>
      <w:r>
        <w:rPr>
          <w:rFonts w:hint="eastAsia"/>
          <w:sz w:val="30"/>
          <w:szCs w:val="30"/>
        </w:rPr>
        <w:t>The “he” with which it begins is not, they say, the prince of verse 26 (i.e., Titus).</w:t>
      </w:r>
    </w:p>
    <w:p w14:paraId="69D2C6EE">
      <w:pPr>
        <w:pStyle w:val="9"/>
        <w:spacing w:before="11"/>
        <w:ind w:left="0"/>
        <w:jc w:val="left"/>
        <w:rPr>
          <w:rFonts w:hint="eastAsia"/>
          <w:sz w:val="30"/>
          <w:szCs w:val="30"/>
        </w:rPr>
      </w:pPr>
      <w:r>
        <w:rPr>
          <w:rFonts w:hint="eastAsia"/>
          <w:sz w:val="30"/>
          <w:szCs w:val="30"/>
        </w:rPr>
        <w:t>他们说，它开头的“他”不是第26节的君王（即提多）。</w:t>
      </w:r>
    </w:p>
    <w:p w14:paraId="745DC370">
      <w:pPr>
        <w:pStyle w:val="9"/>
        <w:spacing w:before="11"/>
        <w:ind w:left="0"/>
        <w:jc w:val="left"/>
        <w:rPr>
          <w:rFonts w:hint="eastAsia"/>
          <w:sz w:val="30"/>
          <w:szCs w:val="30"/>
        </w:rPr>
      </w:pPr>
    </w:p>
    <w:p w14:paraId="458585A7">
      <w:pPr>
        <w:pStyle w:val="9"/>
        <w:spacing w:before="11"/>
        <w:ind w:left="0"/>
        <w:jc w:val="left"/>
        <w:rPr>
          <w:rFonts w:hint="eastAsia"/>
          <w:sz w:val="30"/>
          <w:szCs w:val="30"/>
        </w:rPr>
      </w:pPr>
      <w:r>
        <w:rPr>
          <w:rFonts w:hint="eastAsia"/>
          <w:sz w:val="30"/>
          <w:szCs w:val="30"/>
        </w:rPr>
        <w:t>No, it is the “little horn” of Daniel 7, the Antichrist.</w:t>
      </w:r>
    </w:p>
    <w:p w14:paraId="794F9888">
      <w:pPr>
        <w:pStyle w:val="9"/>
        <w:spacing w:before="11"/>
        <w:ind w:left="0"/>
        <w:jc w:val="left"/>
        <w:rPr>
          <w:rFonts w:hint="eastAsia"/>
          <w:sz w:val="30"/>
          <w:szCs w:val="30"/>
        </w:rPr>
      </w:pPr>
      <w:r>
        <w:rPr>
          <w:rFonts w:hint="eastAsia"/>
          <w:sz w:val="30"/>
          <w:szCs w:val="30"/>
        </w:rPr>
        <w:t>不，它是但以理书第7章的“小角”，敌基督。</w:t>
      </w:r>
    </w:p>
    <w:p w14:paraId="0D198D27">
      <w:pPr>
        <w:pStyle w:val="9"/>
        <w:spacing w:before="11"/>
        <w:ind w:left="0"/>
        <w:jc w:val="left"/>
        <w:rPr>
          <w:rFonts w:hint="eastAsia"/>
          <w:sz w:val="30"/>
          <w:szCs w:val="30"/>
        </w:rPr>
      </w:pPr>
    </w:p>
    <w:p w14:paraId="579101FE">
      <w:pPr>
        <w:pStyle w:val="9"/>
        <w:spacing w:before="11"/>
        <w:ind w:left="0"/>
        <w:jc w:val="left"/>
        <w:rPr>
          <w:rFonts w:hint="eastAsia"/>
          <w:sz w:val="30"/>
          <w:szCs w:val="30"/>
        </w:rPr>
      </w:pPr>
      <w:r>
        <w:rPr>
          <w:rFonts w:hint="eastAsia"/>
          <w:sz w:val="30"/>
          <w:szCs w:val="30"/>
        </w:rPr>
        <w:t>This wicked prince will enter into a seven-year covenant with “many” Jews, presumably guaranteeing them certain political and religious prerogatives.</w:t>
      </w:r>
    </w:p>
    <w:p w14:paraId="12769F4B">
      <w:pPr>
        <w:pStyle w:val="9"/>
        <w:spacing w:before="11"/>
        <w:ind w:left="0"/>
        <w:jc w:val="left"/>
        <w:rPr>
          <w:rFonts w:hint="eastAsia"/>
          <w:sz w:val="30"/>
          <w:szCs w:val="30"/>
        </w:rPr>
      </w:pPr>
      <w:r>
        <w:rPr>
          <w:rFonts w:hint="eastAsia"/>
          <w:sz w:val="30"/>
          <w:szCs w:val="30"/>
        </w:rPr>
        <w:t>这个邪恶的君王将与“许多”犹太人签订一个为期七年的盟约，大概是保证他们某些政治和宗教特权。</w:t>
      </w:r>
    </w:p>
    <w:p w14:paraId="68C7015B">
      <w:pPr>
        <w:pStyle w:val="9"/>
        <w:spacing w:before="11"/>
        <w:ind w:left="0"/>
        <w:jc w:val="left"/>
        <w:rPr>
          <w:rFonts w:hint="eastAsia"/>
          <w:sz w:val="30"/>
          <w:szCs w:val="30"/>
        </w:rPr>
      </w:pPr>
    </w:p>
    <w:p w14:paraId="3654FD5B">
      <w:pPr>
        <w:pStyle w:val="9"/>
        <w:spacing w:before="11"/>
        <w:ind w:left="0"/>
        <w:jc w:val="left"/>
        <w:rPr>
          <w:rFonts w:hint="eastAsia"/>
          <w:sz w:val="30"/>
          <w:szCs w:val="30"/>
        </w:rPr>
      </w:pPr>
      <w:r>
        <w:rPr>
          <w:rFonts w:hint="eastAsia"/>
          <w:sz w:val="30"/>
          <w:szCs w:val="30"/>
        </w:rPr>
        <w:t>However, mid way into the final week, he will break the covenant by suppressing Jewish ritual worship, “desolating” the (restored) temple with his abominable idolatries, and launching a fierce persecution against Israel.</w:t>
      </w:r>
    </w:p>
    <w:p w14:paraId="4F8AFAE8">
      <w:pPr>
        <w:pStyle w:val="9"/>
        <w:spacing w:before="11"/>
        <w:ind w:left="0"/>
        <w:jc w:val="left"/>
        <w:rPr>
          <w:rFonts w:hint="eastAsia"/>
          <w:sz w:val="30"/>
          <w:szCs w:val="30"/>
        </w:rPr>
      </w:pPr>
      <w:r>
        <w:rPr>
          <w:rFonts w:hint="eastAsia"/>
          <w:sz w:val="30"/>
          <w:szCs w:val="30"/>
        </w:rPr>
        <w:t>然而，在最后一个七的中途，他将通过压制犹太人的仪式性敬拜，用他可憎的偶像崇拜“使（修复的）圣殿荒凉”，并对以色列发起猛烈的迫害来破坏盟约。</w:t>
      </w:r>
    </w:p>
    <w:p w14:paraId="7C6A594B">
      <w:pPr>
        <w:pStyle w:val="9"/>
        <w:spacing w:before="11"/>
        <w:ind w:left="0"/>
        <w:jc w:val="left"/>
        <w:rPr>
          <w:rFonts w:hint="eastAsia"/>
          <w:sz w:val="30"/>
          <w:szCs w:val="30"/>
        </w:rPr>
      </w:pPr>
    </w:p>
    <w:p w14:paraId="0A30752E">
      <w:pPr>
        <w:pStyle w:val="9"/>
        <w:spacing w:before="11"/>
        <w:ind w:left="0"/>
        <w:jc w:val="left"/>
        <w:rPr>
          <w:rFonts w:hint="eastAsia"/>
          <w:sz w:val="30"/>
          <w:szCs w:val="30"/>
        </w:rPr>
      </w:pPr>
      <w:r>
        <w:rPr>
          <w:rFonts w:hint="eastAsia"/>
          <w:sz w:val="30"/>
          <w:szCs w:val="30"/>
        </w:rPr>
        <w:t>In other words, for three and a half years Israel (along with the persecuting world-system) will endure what dispensationalists call “the Great Tribulation.”</w:t>
      </w:r>
    </w:p>
    <w:p w14:paraId="025617A3">
      <w:pPr>
        <w:pStyle w:val="9"/>
        <w:spacing w:before="11"/>
        <w:ind w:left="0"/>
        <w:jc w:val="left"/>
        <w:rPr>
          <w:rFonts w:hint="eastAsia"/>
          <w:sz w:val="30"/>
          <w:szCs w:val="30"/>
        </w:rPr>
      </w:pPr>
      <w:r>
        <w:rPr>
          <w:rFonts w:hint="eastAsia"/>
          <w:sz w:val="30"/>
          <w:szCs w:val="30"/>
        </w:rPr>
        <w:t>换句话说，在三年半的时间里，以色列（以及迫害人的世界体系）将忍受时代论者所称的“大灾难”。</w:t>
      </w:r>
    </w:p>
    <w:p w14:paraId="033FC67A">
      <w:pPr>
        <w:pStyle w:val="9"/>
        <w:spacing w:before="11"/>
        <w:ind w:left="0"/>
        <w:jc w:val="left"/>
        <w:rPr>
          <w:rFonts w:hint="eastAsia"/>
          <w:sz w:val="30"/>
          <w:szCs w:val="30"/>
        </w:rPr>
      </w:pPr>
    </w:p>
    <w:p w14:paraId="561E1CCA">
      <w:pPr>
        <w:pStyle w:val="9"/>
        <w:spacing w:before="11"/>
        <w:ind w:left="0"/>
        <w:jc w:val="left"/>
        <w:rPr>
          <w:rFonts w:hint="eastAsia"/>
          <w:sz w:val="30"/>
          <w:szCs w:val="30"/>
        </w:rPr>
      </w:pPr>
      <w:r>
        <w:rPr>
          <w:rFonts w:hint="eastAsia"/>
          <w:sz w:val="30"/>
          <w:szCs w:val="30"/>
        </w:rPr>
        <w:t>However, Christ himself—at his visible coming again in power and glory—will bring all hostilities to an end.</w:t>
      </w:r>
    </w:p>
    <w:p w14:paraId="42A80E65">
      <w:pPr>
        <w:pStyle w:val="9"/>
        <w:spacing w:before="11"/>
        <w:ind w:left="0"/>
        <w:jc w:val="left"/>
        <w:rPr>
          <w:rFonts w:hint="eastAsia"/>
          <w:sz w:val="30"/>
          <w:szCs w:val="30"/>
        </w:rPr>
      </w:pPr>
      <w:r>
        <w:rPr>
          <w:rFonts w:hint="eastAsia"/>
          <w:sz w:val="30"/>
          <w:szCs w:val="30"/>
        </w:rPr>
        <w:t>然而，基督自己——在祂带着权能和荣耀再次可见地降临时——将结束所有的敌对。</w:t>
      </w:r>
    </w:p>
    <w:p w14:paraId="7C2CAFCD">
      <w:pPr>
        <w:pStyle w:val="9"/>
        <w:spacing w:before="11"/>
        <w:ind w:left="0"/>
        <w:jc w:val="left"/>
        <w:rPr>
          <w:rFonts w:hint="eastAsia"/>
          <w:sz w:val="30"/>
          <w:szCs w:val="30"/>
        </w:rPr>
      </w:pPr>
    </w:p>
    <w:p w14:paraId="0C9860AA">
      <w:pPr>
        <w:pStyle w:val="9"/>
        <w:spacing w:before="11"/>
        <w:ind w:left="0"/>
        <w:jc w:val="left"/>
        <w:rPr>
          <w:rFonts w:hint="eastAsia"/>
          <w:sz w:val="30"/>
          <w:szCs w:val="30"/>
        </w:rPr>
      </w:pPr>
      <w:r>
        <w:rPr>
          <w:rFonts w:hint="eastAsia"/>
          <w:sz w:val="30"/>
          <w:szCs w:val="30"/>
        </w:rPr>
        <w:t>When he appears, he will pour out complete destruction upon the Antichrist (and his followers), after which he will introduce the manifold blessings of the thousand-year Messianic reign upon the earth (v. 24).</w:t>
      </w:r>
    </w:p>
    <w:p w14:paraId="7F578FB8">
      <w:pPr>
        <w:pStyle w:val="9"/>
        <w:spacing w:before="11"/>
        <w:ind w:left="0"/>
        <w:jc w:val="left"/>
        <w:rPr>
          <w:rFonts w:hint="eastAsia"/>
          <w:sz w:val="30"/>
          <w:szCs w:val="30"/>
        </w:rPr>
      </w:pPr>
      <w:r>
        <w:rPr>
          <w:rFonts w:hint="eastAsia"/>
          <w:sz w:val="30"/>
          <w:szCs w:val="30"/>
        </w:rPr>
        <w:t>当祂显现时，祂将把完全的毁灭倾倒在敌基督（和他的跟随者）身上，之后祂将在地上引入千年弥赛亚统治的多重祝福 (第24节)。</w:t>
      </w:r>
    </w:p>
    <w:p w14:paraId="29907E2C">
      <w:pPr>
        <w:pStyle w:val="9"/>
        <w:spacing w:before="11"/>
        <w:ind w:left="0"/>
        <w:jc w:val="left"/>
        <w:rPr>
          <w:rFonts w:hint="eastAsia"/>
          <w:sz w:val="30"/>
          <w:szCs w:val="30"/>
        </w:rPr>
      </w:pPr>
    </w:p>
    <w:p w14:paraId="2BAF0F67">
      <w:pPr>
        <w:pStyle w:val="9"/>
        <w:spacing w:before="11"/>
        <w:ind w:left="0"/>
        <w:jc w:val="left"/>
        <w:rPr>
          <w:rFonts w:hint="eastAsia"/>
          <w:sz w:val="30"/>
          <w:szCs w:val="30"/>
        </w:rPr>
      </w:pPr>
      <w:r>
        <w:rPr>
          <w:rFonts w:hint="eastAsia"/>
          <w:sz w:val="30"/>
          <w:szCs w:val="30"/>
        </w:rPr>
        <w:t>Daniel 9: The Rock of Dispensationalism</w:t>
      </w:r>
    </w:p>
    <w:p w14:paraId="01368641">
      <w:pPr>
        <w:pStyle w:val="9"/>
        <w:spacing w:before="11"/>
        <w:ind w:left="0"/>
        <w:jc w:val="left"/>
        <w:rPr>
          <w:rFonts w:hint="eastAsia"/>
          <w:sz w:val="30"/>
          <w:szCs w:val="30"/>
        </w:rPr>
      </w:pPr>
      <w:r>
        <w:rPr>
          <w:rFonts w:hint="eastAsia"/>
          <w:sz w:val="30"/>
          <w:szCs w:val="30"/>
        </w:rPr>
        <w:t>但以理书第9章：时代论的基石</w:t>
      </w:r>
    </w:p>
    <w:p w14:paraId="693F03FA">
      <w:pPr>
        <w:pStyle w:val="9"/>
        <w:spacing w:before="11"/>
        <w:ind w:left="0"/>
        <w:jc w:val="left"/>
        <w:rPr>
          <w:rFonts w:hint="eastAsia"/>
          <w:sz w:val="30"/>
          <w:szCs w:val="30"/>
        </w:rPr>
      </w:pPr>
    </w:p>
    <w:p w14:paraId="59ED4322">
      <w:pPr>
        <w:pStyle w:val="9"/>
        <w:spacing w:before="11"/>
        <w:ind w:left="0"/>
        <w:jc w:val="left"/>
        <w:rPr>
          <w:rFonts w:hint="eastAsia"/>
          <w:sz w:val="30"/>
          <w:szCs w:val="30"/>
        </w:rPr>
      </w:pPr>
      <w:r>
        <w:rPr>
          <w:rFonts w:hint="eastAsia"/>
          <w:sz w:val="30"/>
          <w:szCs w:val="30"/>
        </w:rPr>
        <w:t>Before commenting further, I want very much to emphasize that this text—or rather this interpretation of it—is foundational to the entire dispensational system; that it grounds the dispensational picture of all Salvation History.</w:t>
      </w:r>
    </w:p>
    <w:p w14:paraId="1F7E33FB">
      <w:pPr>
        <w:pStyle w:val="9"/>
        <w:spacing w:before="11"/>
        <w:ind w:left="0"/>
        <w:jc w:val="left"/>
        <w:rPr>
          <w:rFonts w:hint="eastAsia"/>
          <w:sz w:val="30"/>
          <w:szCs w:val="30"/>
        </w:rPr>
      </w:pPr>
      <w:r>
        <w:rPr>
          <w:rFonts w:hint="eastAsia"/>
          <w:sz w:val="30"/>
          <w:szCs w:val="30"/>
        </w:rPr>
        <w:t>在进一步评论之前，我非常想强调，这段经文——或者说，对它的这种解释——是整个时代论体系的基础；它为时代论对所有救赎历史的描绘提供了依据。</w:t>
      </w:r>
    </w:p>
    <w:p w14:paraId="3E65D4F7">
      <w:pPr>
        <w:pStyle w:val="9"/>
        <w:spacing w:before="11"/>
        <w:ind w:left="0"/>
        <w:jc w:val="left"/>
        <w:rPr>
          <w:rFonts w:hint="eastAsia"/>
          <w:sz w:val="30"/>
          <w:szCs w:val="30"/>
        </w:rPr>
      </w:pPr>
    </w:p>
    <w:p w14:paraId="356DED0D">
      <w:pPr>
        <w:pStyle w:val="9"/>
        <w:spacing w:before="11"/>
        <w:ind w:left="0"/>
        <w:jc w:val="left"/>
        <w:rPr>
          <w:rFonts w:hint="eastAsia"/>
          <w:sz w:val="30"/>
          <w:szCs w:val="30"/>
        </w:rPr>
      </w:pPr>
      <w:r>
        <w:rPr>
          <w:rFonts w:hint="eastAsia"/>
          <w:sz w:val="30"/>
          <w:szCs w:val="30"/>
        </w:rPr>
        <w:t>We can best understand why this is true by considering once again some of the key propositions it involves, propositions that at any number of points put Dispensationalism and orthodox Protestantism in opposite corners of the theological ring.</w:t>
      </w:r>
    </w:p>
    <w:p w14:paraId="6E7BC5D2">
      <w:pPr>
        <w:pStyle w:val="9"/>
        <w:spacing w:before="11"/>
        <w:ind w:left="0"/>
        <w:jc w:val="left"/>
        <w:rPr>
          <w:rFonts w:hint="eastAsia"/>
          <w:sz w:val="30"/>
          <w:szCs w:val="30"/>
        </w:rPr>
      </w:pPr>
      <w:r>
        <w:rPr>
          <w:rFonts w:hint="eastAsia"/>
          <w:sz w:val="30"/>
          <w:szCs w:val="30"/>
        </w:rPr>
        <w:t>我们最好通过再次思考它所涉及的一些关键命题来理解为什么这是真的，这些命题在许多点上将时代论和正统新教置于神学擂台的对立角落。</w:t>
      </w:r>
    </w:p>
    <w:p w14:paraId="28D6E076">
      <w:pPr>
        <w:pStyle w:val="9"/>
        <w:spacing w:before="11"/>
        <w:ind w:left="0"/>
        <w:jc w:val="left"/>
        <w:rPr>
          <w:rFonts w:hint="eastAsia"/>
          <w:sz w:val="30"/>
          <w:szCs w:val="30"/>
        </w:rPr>
      </w:pPr>
    </w:p>
    <w:p w14:paraId="7AFA4DC2">
      <w:pPr>
        <w:pStyle w:val="9"/>
        <w:spacing w:before="11"/>
        <w:ind w:left="0"/>
        <w:jc w:val="left"/>
        <w:rPr>
          <w:rFonts w:hint="eastAsia"/>
          <w:sz w:val="30"/>
          <w:szCs w:val="30"/>
        </w:rPr>
      </w:pPr>
      <w:r>
        <w:rPr>
          <w:rFonts w:hint="eastAsia"/>
          <w:sz w:val="30"/>
          <w:szCs w:val="30"/>
        </w:rPr>
        <w:t>There are at least seven of them: (1) God does not have one eschatological blessing for one new and unified people (i.e., eternal life for Jews and Gentiles, members together of the Body of Christ), but two different blessings for two different peoples (earthly blessings for Israel and heavenly blessings for the Church); (2) the people of God spoken of in OTKP are not spiritual Israel (i.e., the Church), but ethnic Israel; (3) the sphere of fulfillment of OTKP is not a two-staged spiritual kingdom introduced by Christ under the New Covenant, but a future millennial kingdom introduced by Christ under the Davidic Covenant; (4) there will not be one, but (at least) two eschatological comings of Christ: the first for his Church (the Rapture), and the second for ethnic Israel (the Parousia); (5) God has been pleased to use a single OT text (Dan. 9:24-27), rather than a multitude of NT texts, to reveal the true structure of Salvation History; (6) God has been pleased to use a single OT text (Dan. 9:24-27), rather than a multitude of NT texts, to give us the key to the Olivet Discourse, the Revelation, and other major NT prophetic passages; and, (7) God’s Church —both Catholic and Protestant—has more or less completely misunderstood this crucial OT passage, and has therefore misunderstood his Plan of Salvation for some 1850 years!</w:t>
      </w:r>
    </w:p>
    <w:p w14:paraId="02B1A7EC">
      <w:pPr>
        <w:pStyle w:val="9"/>
        <w:spacing w:before="11"/>
        <w:ind w:left="0"/>
        <w:jc w:val="left"/>
        <w:rPr>
          <w:rFonts w:hint="eastAsia"/>
          <w:sz w:val="30"/>
          <w:szCs w:val="30"/>
        </w:rPr>
      </w:pPr>
      <w:r>
        <w:rPr>
          <w:rFonts w:hint="eastAsia"/>
          <w:sz w:val="30"/>
          <w:szCs w:val="30"/>
        </w:rPr>
        <w:t>至少有七个这样的命题：(1) 神不是为一群新的、统一的子民（即犹太人和外邦人同为基督身体的成员，得享永生）预备一种末世的祝福，而是为两群不同的人预备两种不同的祝福（为以色列预备属地的祝福，为教会预备属天的祝福）；(2) 在旧约国度预言中提到的神的子民不是属灵的以色列（即教会），而是以色列民族；(3) 旧约国度预言的应验范围不是基督在新约下引入的两阶段属灵国度，而是基督在大卫之约下引入的未来千禧年国度；(4) 基督的末世降临将不是一次，而是（至少）两次：第一次为祂的教会（被提），第二次为以色列民族（再临）；(5) 神乐意使用一段旧约经文（但 9:24-27），而不是众多新约经文，来揭示救赎历史的真实结构；(6) 神乐意使用一段旧约经文（但 9:24-27），而不是众多新约经文，来给我们解开橄榄山讲论、启示录和其他主要新约预言段落的关键；以及，(7) 神的教会——无论是天主教还是新教——或多或少地完全误解了这段关键的旧约经文，并因此误解了祂的救赎计划长达约1850年！</w:t>
      </w:r>
    </w:p>
    <w:p w14:paraId="6614387E">
      <w:pPr>
        <w:pStyle w:val="9"/>
        <w:spacing w:before="11"/>
        <w:ind w:left="0"/>
        <w:jc w:val="left"/>
        <w:rPr>
          <w:rFonts w:hint="eastAsia"/>
          <w:sz w:val="30"/>
          <w:szCs w:val="30"/>
        </w:rPr>
      </w:pPr>
    </w:p>
    <w:p w14:paraId="00D9B35D">
      <w:pPr>
        <w:pStyle w:val="9"/>
        <w:spacing w:before="11"/>
        <w:ind w:left="0"/>
        <w:jc w:val="left"/>
        <w:rPr>
          <w:rFonts w:hint="eastAsia"/>
          <w:sz w:val="30"/>
          <w:szCs w:val="30"/>
        </w:rPr>
      </w:pPr>
      <w:r>
        <w:rPr>
          <w:rFonts w:hint="eastAsia"/>
          <w:sz w:val="30"/>
          <w:szCs w:val="30"/>
        </w:rPr>
        <w:t>A Critique of the DTAV</w:t>
      </w:r>
    </w:p>
    <w:p w14:paraId="304ECAA1">
      <w:pPr>
        <w:pStyle w:val="9"/>
        <w:spacing w:before="11"/>
        <w:ind w:left="0"/>
        <w:jc w:val="left"/>
        <w:rPr>
          <w:rFonts w:hint="eastAsia"/>
          <w:sz w:val="30"/>
          <w:szCs w:val="30"/>
        </w:rPr>
      </w:pPr>
      <w:r>
        <w:rPr>
          <w:rFonts w:hint="eastAsia"/>
          <w:sz w:val="30"/>
          <w:szCs w:val="30"/>
        </w:rPr>
        <w:t>对时代论两次降临观的批判</w:t>
      </w:r>
    </w:p>
    <w:p w14:paraId="3FBAB46A">
      <w:pPr>
        <w:pStyle w:val="9"/>
        <w:spacing w:before="11"/>
        <w:ind w:left="0"/>
        <w:jc w:val="left"/>
        <w:rPr>
          <w:rFonts w:hint="eastAsia"/>
          <w:sz w:val="30"/>
          <w:szCs w:val="30"/>
        </w:rPr>
      </w:pPr>
    </w:p>
    <w:p w14:paraId="5A403B33">
      <w:pPr>
        <w:pStyle w:val="9"/>
        <w:spacing w:before="11"/>
        <w:ind w:left="0"/>
        <w:jc w:val="left"/>
        <w:rPr>
          <w:rFonts w:hint="eastAsia"/>
          <w:sz w:val="30"/>
          <w:szCs w:val="30"/>
        </w:rPr>
      </w:pPr>
      <w:r>
        <w:rPr>
          <w:rFonts w:hint="eastAsia"/>
          <w:sz w:val="30"/>
          <w:szCs w:val="30"/>
        </w:rPr>
        <w:t>Yes, for dispensationalists like C. I. Scofield, J. Walvoord, L. S. Chafer, D. Pentecost, C. Ryrie, J. MacArthur, C. Smith, T. Ice, T. LaHaye, D. Jeremiah, and many more, a very great deal rides upon this distinctive interpretation of Daniel 9:24-27.</w:t>
      </w:r>
    </w:p>
    <w:p w14:paraId="42F30CEC">
      <w:pPr>
        <w:pStyle w:val="9"/>
        <w:spacing w:before="11"/>
        <w:ind w:left="0"/>
        <w:jc w:val="left"/>
        <w:rPr>
          <w:rFonts w:hint="eastAsia"/>
          <w:sz w:val="30"/>
          <w:szCs w:val="30"/>
        </w:rPr>
      </w:pPr>
      <w:r>
        <w:rPr>
          <w:rFonts w:hint="eastAsia"/>
          <w:sz w:val="30"/>
          <w:szCs w:val="30"/>
        </w:rPr>
        <w:t>是的，对于像司可福、华富德、查菲、潘特科斯特、赖瑞、麦克阿瑟、史密斯、艾斯、赖海、耶利米等许多时代论者来说，对但以理书9:24-27的这种独特解释至关重要。</w:t>
      </w:r>
    </w:p>
    <w:p w14:paraId="4FE53163">
      <w:pPr>
        <w:pStyle w:val="9"/>
        <w:spacing w:before="11"/>
        <w:ind w:left="0"/>
        <w:jc w:val="left"/>
        <w:rPr>
          <w:rFonts w:hint="eastAsia"/>
          <w:sz w:val="30"/>
          <w:szCs w:val="30"/>
        </w:rPr>
      </w:pPr>
    </w:p>
    <w:p w14:paraId="65F54241">
      <w:pPr>
        <w:pStyle w:val="9"/>
        <w:spacing w:before="11"/>
        <w:ind w:left="0"/>
        <w:jc w:val="left"/>
        <w:rPr>
          <w:rFonts w:hint="eastAsia"/>
          <w:sz w:val="30"/>
          <w:szCs w:val="30"/>
        </w:rPr>
      </w:pPr>
      <w:r>
        <w:rPr>
          <w:rFonts w:hint="eastAsia"/>
          <w:sz w:val="30"/>
          <w:szCs w:val="30"/>
        </w:rPr>
        <w:t>But is it viable?</w:t>
      </w:r>
    </w:p>
    <w:p w14:paraId="0C8F9DBD">
      <w:pPr>
        <w:pStyle w:val="9"/>
        <w:spacing w:before="11"/>
        <w:ind w:left="0"/>
        <w:jc w:val="left"/>
        <w:rPr>
          <w:rFonts w:hint="eastAsia"/>
          <w:sz w:val="30"/>
          <w:szCs w:val="30"/>
        </w:rPr>
      </w:pPr>
      <w:r>
        <w:rPr>
          <w:rFonts w:hint="eastAsia"/>
          <w:sz w:val="30"/>
          <w:szCs w:val="30"/>
        </w:rPr>
        <w:t>但这可行吗？</w:t>
      </w:r>
    </w:p>
    <w:p w14:paraId="4DBB952E">
      <w:pPr>
        <w:pStyle w:val="9"/>
        <w:spacing w:before="11"/>
        <w:ind w:left="0"/>
        <w:jc w:val="left"/>
        <w:rPr>
          <w:rFonts w:hint="eastAsia"/>
          <w:sz w:val="30"/>
          <w:szCs w:val="30"/>
        </w:rPr>
      </w:pPr>
    </w:p>
    <w:p w14:paraId="7F8CEDF6">
      <w:pPr>
        <w:pStyle w:val="9"/>
        <w:spacing w:before="11"/>
        <w:ind w:left="0"/>
        <w:jc w:val="left"/>
        <w:rPr>
          <w:rFonts w:hint="eastAsia"/>
          <w:sz w:val="30"/>
          <w:szCs w:val="30"/>
        </w:rPr>
      </w:pPr>
      <w:r>
        <w:rPr>
          <w:rFonts w:hint="eastAsia"/>
          <w:sz w:val="30"/>
          <w:szCs w:val="30"/>
        </w:rPr>
        <w:t>Our previous study of NT eschatology strongly suggests it is not.</w:t>
      </w:r>
    </w:p>
    <w:p w14:paraId="13D7383C">
      <w:pPr>
        <w:pStyle w:val="9"/>
        <w:spacing w:before="11"/>
        <w:ind w:left="0"/>
        <w:jc w:val="left"/>
        <w:rPr>
          <w:rFonts w:hint="eastAsia"/>
          <w:sz w:val="30"/>
          <w:szCs w:val="30"/>
        </w:rPr>
      </w:pPr>
      <w:r>
        <w:rPr>
          <w:rFonts w:hint="eastAsia"/>
          <w:sz w:val="30"/>
          <w:szCs w:val="30"/>
        </w:rPr>
        <w:t>我们先前对新约末世论的研究强烈表明它不可行。</w:t>
      </w:r>
    </w:p>
    <w:p w14:paraId="66C3EEFB">
      <w:pPr>
        <w:pStyle w:val="9"/>
        <w:spacing w:before="11"/>
        <w:ind w:left="0"/>
        <w:jc w:val="left"/>
        <w:rPr>
          <w:rFonts w:hint="eastAsia"/>
          <w:sz w:val="30"/>
          <w:szCs w:val="30"/>
        </w:rPr>
      </w:pPr>
    </w:p>
    <w:p w14:paraId="5A1221D2">
      <w:pPr>
        <w:pStyle w:val="9"/>
        <w:spacing w:before="11"/>
        <w:ind w:left="0"/>
        <w:jc w:val="left"/>
        <w:rPr>
          <w:rFonts w:hint="eastAsia"/>
          <w:sz w:val="30"/>
          <w:szCs w:val="30"/>
        </w:rPr>
      </w:pPr>
      <w:r>
        <w:rPr>
          <w:rFonts w:hint="eastAsia"/>
          <w:sz w:val="30"/>
          <w:szCs w:val="30"/>
        </w:rPr>
        <w:t>Moreover, when we closely examine the text itself, we find a good deal to awaken serious doubts about the soundness of the DTAV.</w:t>
      </w:r>
    </w:p>
    <w:p w14:paraId="79E23450">
      <w:pPr>
        <w:pStyle w:val="9"/>
        <w:spacing w:before="11"/>
        <w:ind w:left="0"/>
        <w:jc w:val="left"/>
        <w:rPr>
          <w:rFonts w:hint="eastAsia"/>
          <w:sz w:val="30"/>
          <w:szCs w:val="30"/>
        </w:rPr>
      </w:pPr>
      <w:r>
        <w:rPr>
          <w:rFonts w:hint="eastAsia"/>
          <w:sz w:val="30"/>
          <w:szCs w:val="30"/>
        </w:rPr>
        <w:t>此外，当我们仔细研究经文本身时，我们发现了很多足以唤起对时代论两次降临观可靠性的严重怀疑。</w:t>
      </w:r>
    </w:p>
    <w:p w14:paraId="185223E9">
      <w:pPr>
        <w:pStyle w:val="9"/>
        <w:spacing w:before="11"/>
        <w:ind w:left="0"/>
        <w:jc w:val="left"/>
        <w:rPr>
          <w:rFonts w:hint="eastAsia"/>
          <w:sz w:val="30"/>
          <w:szCs w:val="30"/>
        </w:rPr>
      </w:pPr>
    </w:p>
    <w:p w14:paraId="662F2E2B">
      <w:pPr>
        <w:pStyle w:val="9"/>
        <w:spacing w:before="11"/>
        <w:ind w:left="0"/>
        <w:jc w:val="left"/>
        <w:rPr>
          <w:rFonts w:hint="eastAsia"/>
          <w:sz w:val="30"/>
          <w:szCs w:val="30"/>
        </w:rPr>
      </w:pPr>
      <w:r>
        <w:rPr>
          <w:rFonts w:hint="eastAsia"/>
          <w:sz w:val="30"/>
          <w:szCs w:val="30"/>
        </w:rPr>
        <w:t>Let us pause again to consider some of the major problems involved.</w:t>
      </w:r>
    </w:p>
    <w:p w14:paraId="5D4E0A02">
      <w:pPr>
        <w:pStyle w:val="9"/>
        <w:spacing w:before="11"/>
        <w:ind w:left="0"/>
        <w:jc w:val="left"/>
        <w:rPr>
          <w:rFonts w:hint="eastAsia"/>
          <w:sz w:val="30"/>
          <w:szCs w:val="30"/>
        </w:rPr>
      </w:pPr>
      <w:r>
        <w:rPr>
          <w:rFonts w:hint="eastAsia"/>
          <w:sz w:val="30"/>
          <w:szCs w:val="30"/>
        </w:rPr>
        <w:t>让我们再次停下来，思考其中一些主要问题。</w:t>
      </w:r>
    </w:p>
    <w:p w14:paraId="4F253A2F">
      <w:pPr>
        <w:pStyle w:val="9"/>
        <w:spacing w:before="11"/>
        <w:ind w:left="0"/>
        <w:jc w:val="left"/>
        <w:rPr>
          <w:rFonts w:hint="eastAsia"/>
          <w:sz w:val="30"/>
          <w:szCs w:val="30"/>
        </w:rPr>
      </w:pPr>
    </w:p>
    <w:p w14:paraId="7B0C2E84">
      <w:pPr>
        <w:pStyle w:val="9"/>
        <w:spacing w:before="11"/>
        <w:ind w:left="0"/>
        <w:jc w:val="left"/>
        <w:rPr>
          <w:rFonts w:hint="eastAsia"/>
          <w:sz w:val="30"/>
          <w:szCs w:val="30"/>
        </w:rPr>
      </w:pPr>
      <w:r>
        <w:rPr>
          <w:rFonts w:hint="eastAsia"/>
          <w:sz w:val="30"/>
          <w:szCs w:val="30"/>
        </w:rPr>
        <w:t>Is it really the case that the seventy sevens are 490 literal years?</w:t>
      </w:r>
    </w:p>
    <w:p w14:paraId="30DCDBD7">
      <w:pPr>
        <w:pStyle w:val="9"/>
        <w:spacing w:before="11"/>
        <w:ind w:left="0"/>
        <w:jc w:val="left"/>
        <w:rPr>
          <w:rFonts w:hint="eastAsia"/>
          <w:sz w:val="30"/>
          <w:szCs w:val="30"/>
        </w:rPr>
      </w:pPr>
      <w:r>
        <w:rPr>
          <w:rFonts w:hint="eastAsia"/>
          <w:sz w:val="30"/>
          <w:szCs w:val="30"/>
        </w:rPr>
        <w:t>七十个七真的是490个字面上的年吗？</w:t>
      </w:r>
    </w:p>
    <w:p w14:paraId="138B429F">
      <w:pPr>
        <w:pStyle w:val="9"/>
        <w:spacing w:before="11"/>
        <w:ind w:left="0"/>
        <w:jc w:val="left"/>
        <w:rPr>
          <w:rFonts w:hint="eastAsia"/>
          <w:sz w:val="30"/>
          <w:szCs w:val="30"/>
        </w:rPr>
      </w:pPr>
    </w:p>
    <w:p w14:paraId="1C9C49E0">
      <w:pPr>
        <w:pStyle w:val="9"/>
        <w:spacing w:before="11"/>
        <w:ind w:left="0"/>
        <w:jc w:val="left"/>
        <w:rPr>
          <w:rFonts w:hint="eastAsia"/>
          <w:sz w:val="30"/>
          <w:szCs w:val="30"/>
        </w:rPr>
      </w:pPr>
      <w:r>
        <w:rPr>
          <w:rFonts w:hint="eastAsia"/>
          <w:sz w:val="30"/>
          <w:szCs w:val="30"/>
        </w:rPr>
        <w:t>Do not the particular numbers employed at least hint at a symbolic meaning?</w:t>
      </w:r>
    </w:p>
    <w:p w14:paraId="2BDE292D">
      <w:pPr>
        <w:pStyle w:val="9"/>
        <w:spacing w:before="11"/>
        <w:ind w:left="0"/>
        <w:jc w:val="left"/>
        <w:rPr>
          <w:rFonts w:hint="eastAsia"/>
          <w:sz w:val="30"/>
          <w:szCs w:val="30"/>
        </w:rPr>
      </w:pPr>
      <w:r>
        <w:rPr>
          <w:rFonts w:hint="eastAsia"/>
          <w:sz w:val="30"/>
          <w:szCs w:val="30"/>
        </w:rPr>
        <w:t>所使用的特定数字难道不至少暗示了一种象征意义吗？</w:t>
      </w:r>
    </w:p>
    <w:p w14:paraId="1BE8DF5F">
      <w:pPr>
        <w:pStyle w:val="9"/>
        <w:spacing w:before="11"/>
        <w:ind w:left="0"/>
        <w:jc w:val="left"/>
        <w:rPr>
          <w:rFonts w:hint="eastAsia"/>
          <w:sz w:val="30"/>
          <w:szCs w:val="30"/>
        </w:rPr>
      </w:pPr>
    </w:p>
    <w:p w14:paraId="26D9AEC4">
      <w:pPr>
        <w:pStyle w:val="9"/>
        <w:spacing w:before="11"/>
        <w:ind w:left="0"/>
        <w:jc w:val="left"/>
        <w:rPr>
          <w:rFonts w:hint="eastAsia"/>
          <w:sz w:val="30"/>
          <w:szCs w:val="30"/>
        </w:rPr>
      </w:pPr>
      <w:r>
        <w:rPr>
          <w:rFonts w:hint="eastAsia"/>
          <w:sz w:val="30"/>
          <w:szCs w:val="30"/>
        </w:rPr>
        <w:t>Considering the character, reach, and ultimacy of the blessings promised in verse 24, is it likely that they are temporary, lasting only a thousand years; and that they are reserved more or less exclusively for ethnic Israel and the (physical) Jerusalem below (Gal. 4:25-26)?</w:t>
      </w:r>
    </w:p>
    <w:p w14:paraId="700441D3">
      <w:pPr>
        <w:pStyle w:val="9"/>
        <w:spacing w:before="11"/>
        <w:ind w:left="0"/>
        <w:jc w:val="left"/>
        <w:rPr>
          <w:rFonts w:hint="eastAsia"/>
          <w:sz w:val="30"/>
          <w:szCs w:val="30"/>
        </w:rPr>
      </w:pPr>
      <w:r>
        <w:rPr>
          <w:rFonts w:hint="eastAsia"/>
          <w:sz w:val="30"/>
          <w:szCs w:val="30"/>
        </w:rPr>
        <w:t>考虑到第24节所应许的祝福的性质、范围和终极性，它们可能只是暂时的，只持续一千年吗？并且它们或多或少是专门为以色列民族和地上的（物质的）耶路撒冷保留的吗（加 4:25-26）？</w:t>
      </w:r>
    </w:p>
    <w:p w14:paraId="5F446885">
      <w:pPr>
        <w:pStyle w:val="9"/>
        <w:spacing w:before="11"/>
        <w:ind w:left="0"/>
        <w:jc w:val="left"/>
        <w:rPr>
          <w:rFonts w:hint="eastAsia"/>
          <w:sz w:val="30"/>
          <w:szCs w:val="30"/>
        </w:rPr>
      </w:pPr>
    </w:p>
    <w:p w14:paraId="3CFE2DE6">
      <w:pPr>
        <w:pStyle w:val="9"/>
        <w:spacing w:before="11"/>
        <w:ind w:left="0"/>
        <w:jc w:val="left"/>
        <w:rPr>
          <w:rFonts w:hint="eastAsia"/>
          <w:sz w:val="30"/>
          <w:szCs w:val="30"/>
        </w:rPr>
      </w:pPr>
      <w:r>
        <w:rPr>
          <w:rFonts w:hint="eastAsia"/>
          <w:sz w:val="30"/>
          <w:szCs w:val="30"/>
        </w:rPr>
        <w:t>Is it exegetically certain that Messiah the Prince appears at the end of the 69 weeks?</w:t>
      </w:r>
    </w:p>
    <w:p w14:paraId="75570D6A">
      <w:pPr>
        <w:pStyle w:val="9"/>
        <w:spacing w:before="11"/>
        <w:ind w:left="0"/>
        <w:jc w:val="left"/>
        <w:rPr>
          <w:rFonts w:hint="eastAsia"/>
          <w:sz w:val="30"/>
          <w:szCs w:val="30"/>
        </w:rPr>
      </w:pPr>
      <w:r>
        <w:rPr>
          <w:rFonts w:hint="eastAsia"/>
          <w:sz w:val="30"/>
          <w:szCs w:val="30"/>
        </w:rPr>
        <w:t>从解经上可以确定弥赛亚君王是在69个七结束时出现的吗？</w:t>
      </w:r>
    </w:p>
    <w:p w14:paraId="61A3A511">
      <w:pPr>
        <w:pStyle w:val="9"/>
        <w:spacing w:before="11"/>
        <w:ind w:left="0"/>
        <w:jc w:val="left"/>
        <w:rPr>
          <w:rFonts w:hint="eastAsia"/>
          <w:sz w:val="30"/>
          <w:szCs w:val="30"/>
        </w:rPr>
      </w:pPr>
    </w:p>
    <w:p w14:paraId="317FD438">
      <w:pPr>
        <w:pStyle w:val="9"/>
        <w:spacing w:before="11"/>
        <w:ind w:left="0"/>
        <w:jc w:val="left"/>
        <w:rPr>
          <w:rFonts w:hint="eastAsia"/>
          <w:sz w:val="30"/>
          <w:szCs w:val="30"/>
        </w:rPr>
      </w:pPr>
      <w:r>
        <w:rPr>
          <w:rFonts w:hint="eastAsia"/>
          <w:sz w:val="30"/>
          <w:szCs w:val="30"/>
        </w:rPr>
        <w:t>Could it be that he appears instead at the end of the first seven (v. 25)?</w:t>
      </w:r>
    </w:p>
    <w:p w14:paraId="66BB8DD2">
      <w:pPr>
        <w:pStyle w:val="9"/>
        <w:spacing w:before="11"/>
        <w:ind w:left="0"/>
        <w:jc w:val="left"/>
        <w:rPr>
          <w:rFonts w:hint="eastAsia"/>
          <w:sz w:val="30"/>
          <w:szCs w:val="30"/>
        </w:rPr>
      </w:pPr>
      <w:r>
        <w:rPr>
          <w:rFonts w:hint="eastAsia"/>
          <w:sz w:val="30"/>
          <w:szCs w:val="30"/>
        </w:rPr>
        <w:t>祂是否可能是在第一个七结束时出现的（第25节）？</w:t>
      </w:r>
    </w:p>
    <w:p w14:paraId="1465CAE9">
      <w:pPr>
        <w:pStyle w:val="9"/>
        <w:spacing w:before="11"/>
        <w:ind w:left="0"/>
        <w:jc w:val="left"/>
        <w:rPr>
          <w:rFonts w:hint="eastAsia"/>
          <w:sz w:val="30"/>
          <w:szCs w:val="30"/>
        </w:rPr>
      </w:pPr>
    </w:p>
    <w:p w14:paraId="6F53B6EB">
      <w:pPr>
        <w:pStyle w:val="9"/>
        <w:spacing w:before="11"/>
        <w:ind w:left="0"/>
        <w:jc w:val="left"/>
        <w:rPr>
          <w:rFonts w:hint="eastAsia"/>
          <w:sz w:val="30"/>
          <w:szCs w:val="30"/>
        </w:rPr>
      </w:pPr>
      <w:r>
        <w:rPr>
          <w:rFonts w:hint="eastAsia"/>
          <w:sz w:val="30"/>
          <w:szCs w:val="30"/>
        </w:rPr>
        <w:t>Is it really the case that the people of the prince to come are the soldiers of Titus (v. 26)?</w:t>
      </w:r>
    </w:p>
    <w:p w14:paraId="00A630DB">
      <w:pPr>
        <w:pStyle w:val="9"/>
        <w:spacing w:before="11"/>
        <w:ind w:left="0"/>
        <w:jc w:val="left"/>
        <w:rPr>
          <w:rFonts w:hint="eastAsia"/>
          <w:sz w:val="30"/>
          <w:szCs w:val="30"/>
        </w:rPr>
      </w:pPr>
      <w:r>
        <w:rPr>
          <w:rFonts w:hint="eastAsia"/>
          <w:sz w:val="30"/>
          <w:szCs w:val="30"/>
        </w:rPr>
        <w:t>那将要来的君王的民真的是提多的士兵吗（第26节）？</w:t>
      </w:r>
    </w:p>
    <w:p w14:paraId="088F5369">
      <w:pPr>
        <w:pStyle w:val="9"/>
        <w:spacing w:before="11"/>
        <w:ind w:left="0"/>
        <w:jc w:val="left"/>
        <w:rPr>
          <w:rFonts w:hint="eastAsia"/>
          <w:sz w:val="30"/>
          <w:szCs w:val="30"/>
        </w:rPr>
      </w:pPr>
    </w:p>
    <w:p w14:paraId="779828DE">
      <w:pPr>
        <w:pStyle w:val="9"/>
        <w:spacing w:before="11"/>
        <w:ind w:left="0"/>
        <w:jc w:val="left"/>
        <w:rPr>
          <w:rFonts w:hint="eastAsia"/>
          <w:sz w:val="30"/>
          <w:szCs w:val="30"/>
        </w:rPr>
      </w:pPr>
      <w:r>
        <w:rPr>
          <w:rFonts w:hint="eastAsia"/>
          <w:sz w:val="30"/>
          <w:szCs w:val="30"/>
        </w:rPr>
        <w:t>Could it be that they are actually the followers of the Antichrist, and that their assault is not against Herod’s (physical) city and temple, but against Christ’s (spiritual) City and Sanctuary: the Church?</w:t>
      </w:r>
    </w:p>
    <w:p w14:paraId="1CF17B47">
      <w:pPr>
        <w:pStyle w:val="9"/>
        <w:spacing w:before="11"/>
        <w:ind w:left="0"/>
        <w:jc w:val="left"/>
        <w:rPr>
          <w:rFonts w:hint="eastAsia"/>
          <w:sz w:val="30"/>
          <w:szCs w:val="30"/>
        </w:rPr>
      </w:pPr>
      <w:r>
        <w:rPr>
          <w:rFonts w:hint="eastAsia"/>
          <w:sz w:val="30"/>
          <w:szCs w:val="30"/>
        </w:rPr>
        <w:t>他们是否实际上是敌基督的追随者，他们的攻击不是针对希律的（物质的）城和殿，而是针对基督的（属灵的）城和圣所：即教会？</w:t>
      </w:r>
    </w:p>
    <w:p w14:paraId="3055A9AA">
      <w:pPr>
        <w:pStyle w:val="9"/>
        <w:spacing w:before="11"/>
        <w:ind w:left="0"/>
        <w:jc w:val="left"/>
        <w:rPr>
          <w:rFonts w:hint="eastAsia"/>
          <w:sz w:val="30"/>
          <w:szCs w:val="30"/>
        </w:rPr>
      </w:pPr>
    </w:p>
    <w:p w14:paraId="7262E9AD">
      <w:pPr>
        <w:pStyle w:val="9"/>
        <w:spacing w:before="11"/>
        <w:ind w:left="0"/>
        <w:jc w:val="left"/>
        <w:rPr>
          <w:rFonts w:hint="eastAsia"/>
          <w:sz w:val="30"/>
          <w:szCs w:val="30"/>
        </w:rPr>
      </w:pPr>
      <w:r>
        <w:rPr>
          <w:rFonts w:hint="eastAsia"/>
          <w:sz w:val="30"/>
          <w:szCs w:val="30"/>
        </w:rPr>
        <w:t>By what possible biblical justification can we insert over 2000 years of Church history between verses 26 and 27, especially since the “he” of verse 27 clearly refers either to the Messiah or to “the prince to come” of verse 26?</w:t>
      </w:r>
    </w:p>
    <w:p w14:paraId="77F08480">
      <w:pPr>
        <w:pStyle w:val="9"/>
        <w:spacing w:before="11"/>
        <w:ind w:left="0"/>
        <w:jc w:val="left"/>
        <w:rPr>
          <w:rFonts w:hint="eastAsia"/>
          <w:sz w:val="30"/>
          <w:szCs w:val="30"/>
        </w:rPr>
      </w:pPr>
      <w:r>
        <w:rPr>
          <w:rFonts w:hint="eastAsia"/>
          <w:sz w:val="30"/>
          <w:szCs w:val="30"/>
        </w:rPr>
        <w:t>有什么可能的圣经依据，可以在第26节和第27节之间插入超过2000年的教会历史，特别是当第27节的“他”明显指的是弥赛亚或第26节的“那将要来的君王”时？</w:t>
      </w:r>
    </w:p>
    <w:p w14:paraId="6C3D8841">
      <w:pPr>
        <w:pStyle w:val="9"/>
        <w:spacing w:before="11"/>
        <w:ind w:left="0"/>
        <w:jc w:val="left"/>
        <w:rPr>
          <w:rFonts w:hint="eastAsia"/>
          <w:sz w:val="30"/>
          <w:szCs w:val="30"/>
        </w:rPr>
      </w:pPr>
    </w:p>
    <w:p w14:paraId="4DFDE14F">
      <w:pPr>
        <w:pStyle w:val="9"/>
        <w:spacing w:before="11"/>
        <w:ind w:left="0"/>
        <w:jc w:val="left"/>
        <w:rPr>
          <w:rFonts w:hint="eastAsia"/>
          <w:sz w:val="30"/>
          <w:szCs w:val="30"/>
        </w:rPr>
      </w:pPr>
      <w:r>
        <w:rPr>
          <w:rFonts w:hint="eastAsia"/>
          <w:sz w:val="30"/>
          <w:szCs w:val="30"/>
        </w:rPr>
        <w:t>And again, seeing that the Spirit’s central concern in Daniel is to disclose the stages and grand finale of Salvation History, how is it that in verse 27 he takes us, not to the Consummation, but merely to the beginning of the Millennium, during which—and at the end of which—so much more of eschatological interest is (supposed) to occur?</w:t>
      </w:r>
    </w:p>
    <w:p w14:paraId="1B7A5621">
      <w:pPr>
        <w:pStyle w:val="9"/>
        <w:spacing w:before="11"/>
        <w:ind w:left="0"/>
        <w:jc w:val="left"/>
        <w:rPr>
          <w:rFonts w:hint="eastAsia"/>
          <w:sz w:val="30"/>
          <w:szCs w:val="30"/>
        </w:rPr>
      </w:pPr>
      <w:r>
        <w:rPr>
          <w:rFonts w:hint="eastAsia"/>
          <w:sz w:val="30"/>
          <w:szCs w:val="30"/>
        </w:rPr>
        <w:t>再次，既然圣灵在但以理书中的中心关切是揭示救赎历史的各个阶段和宏伟的结局，为何在第27节祂却不带我们到最终的成全，而仅仅是到千禧年的开始，在此期间——以及其末了——还有如此多具有末世论意义的事情（被认为）要发生？</w:t>
      </w:r>
    </w:p>
    <w:p w14:paraId="5FDB0DD8">
      <w:pPr>
        <w:pStyle w:val="9"/>
        <w:spacing w:before="11"/>
        <w:ind w:left="0"/>
        <w:jc w:val="left"/>
        <w:rPr>
          <w:rFonts w:hint="eastAsia"/>
          <w:sz w:val="30"/>
          <w:szCs w:val="30"/>
        </w:rPr>
      </w:pPr>
    </w:p>
    <w:p w14:paraId="3C7C1268">
      <w:pPr>
        <w:pStyle w:val="9"/>
        <w:spacing w:before="11"/>
        <w:ind w:left="0"/>
        <w:jc w:val="left"/>
        <w:rPr>
          <w:rFonts w:hint="eastAsia"/>
          <w:sz w:val="30"/>
          <w:szCs w:val="30"/>
        </w:rPr>
      </w:pPr>
      <w:r>
        <w:rPr>
          <w:rFonts w:hint="eastAsia"/>
          <w:sz w:val="30"/>
          <w:szCs w:val="30"/>
        </w:rPr>
        <w:t>Questions like these cast long shadows of doubt over the DTAV, even as they hint at a far more satisfying interpretation.</w:t>
      </w:r>
    </w:p>
    <w:p w14:paraId="352817C2">
      <w:pPr>
        <w:pStyle w:val="9"/>
        <w:spacing w:before="11"/>
        <w:ind w:left="0"/>
        <w:jc w:val="left"/>
        <w:rPr>
          <w:rFonts w:hint="eastAsia"/>
          <w:sz w:val="30"/>
          <w:szCs w:val="30"/>
        </w:rPr>
      </w:pPr>
      <w:r>
        <w:rPr>
          <w:rFonts w:hint="eastAsia"/>
          <w:sz w:val="30"/>
          <w:szCs w:val="30"/>
        </w:rPr>
        <w:t>像这样的问题给时代论两次降临观投下了长长的怀疑阴影，同时也暗示了一个远为更令人满意的解释。</w:t>
      </w:r>
    </w:p>
    <w:p w14:paraId="145EB086">
      <w:pPr>
        <w:pStyle w:val="9"/>
        <w:spacing w:before="11"/>
        <w:ind w:left="0"/>
        <w:jc w:val="left"/>
        <w:rPr>
          <w:rFonts w:hint="eastAsia"/>
          <w:sz w:val="30"/>
          <w:szCs w:val="30"/>
        </w:rPr>
      </w:pPr>
    </w:p>
    <w:p w14:paraId="4FDA5CA1">
      <w:pPr>
        <w:pStyle w:val="9"/>
        <w:spacing w:before="11"/>
        <w:ind w:left="0"/>
        <w:jc w:val="left"/>
        <w:rPr>
          <w:rFonts w:hint="eastAsia"/>
          <w:sz w:val="30"/>
          <w:szCs w:val="30"/>
        </w:rPr>
      </w:pPr>
      <w:r>
        <w:rPr>
          <w:rFonts w:hint="eastAsia"/>
          <w:sz w:val="30"/>
          <w:szCs w:val="30"/>
        </w:rPr>
        <w:t>We will consider it now.</w:t>
      </w:r>
    </w:p>
    <w:p w14:paraId="350E54AD">
      <w:pPr>
        <w:pStyle w:val="9"/>
        <w:spacing w:before="11"/>
        <w:ind w:left="0"/>
        <w:jc w:val="left"/>
        <w:rPr>
          <w:rFonts w:hint="eastAsia"/>
          <w:sz w:val="30"/>
          <w:szCs w:val="30"/>
        </w:rPr>
      </w:pPr>
      <w:r>
        <w:rPr>
          <w:rFonts w:hint="eastAsia"/>
          <w:sz w:val="30"/>
          <w:szCs w:val="30"/>
        </w:rPr>
        <w:t>我们现在就来考虑它。</w:t>
      </w:r>
    </w:p>
    <w:p w14:paraId="3CAA7C13">
      <w:pPr>
        <w:pStyle w:val="9"/>
        <w:spacing w:before="11"/>
        <w:ind w:left="0"/>
        <w:jc w:val="left"/>
        <w:rPr>
          <w:rFonts w:hint="eastAsia"/>
          <w:sz w:val="30"/>
          <w:szCs w:val="30"/>
        </w:rPr>
      </w:pPr>
    </w:p>
    <w:p w14:paraId="7FB83E40">
      <w:pPr>
        <w:pStyle w:val="9"/>
        <w:spacing w:before="11"/>
        <w:ind w:left="0"/>
        <w:jc w:val="left"/>
        <w:rPr>
          <w:rFonts w:hint="eastAsia"/>
          <w:sz w:val="30"/>
          <w:szCs w:val="30"/>
        </w:rPr>
      </w:pPr>
      <w:r>
        <w:rPr>
          <w:rFonts w:hint="eastAsia"/>
          <w:sz w:val="30"/>
          <w:szCs w:val="30"/>
        </w:rPr>
        <w:t>The Reformed Two-Advent View (RTAV)</w:t>
      </w:r>
    </w:p>
    <w:p w14:paraId="69C828AC">
      <w:pPr>
        <w:pStyle w:val="9"/>
        <w:spacing w:before="11"/>
        <w:ind w:left="0"/>
        <w:jc w:val="left"/>
        <w:rPr>
          <w:rFonts w:hint="eastAsia"/>
          <w:sz w:val="30"/>
          <w:szCs w:val="30"/>
        </w:rPr>
      </w:pPr>
      <w:r>
        <w:rPr>
          <w:rFonts w:hint="eastAsia"/>
          <w:sz w:val="30"/>
          <w:szCs w:val="30"/>
        </w:rPr>
        <w:t>改革宗两次降临观 (RTAV)</w:t>
      </w:r>
    </w:p>
    <w:p w14:paraId="0E5B18D9">
      <w:pPr>
        <w:pStyle w:val="9"/>
        <w:spacing w:before="11"/>
        <w:ind w:left="0"/>
        <w:jc w:val="left"/>
        <w:rPr>
          <w:rFonts w:hint="eastAsia"/>
          <w:sz w:val="30"/>
          <w:szCs w:val="30"/>
        </w:rPr>
      </w:pPr>
    </w:p>
    <w:p w14:paraId="549E19CF">
      <w:pPr>
        <w:pStyle w:val="9"/>
        <w:spacing w:before="11"/>
        <w:ind w:left="0"/>
        <w:jc w:val="left"/>
        <w:rPr>
          <w:rFonts w:hint="eastAsia"/>
          <w:sz w:val="30"/>
          <w:szCs w:val="30"/>
        </w:rPr>
      </w:pPr>
      <w:r>
        <w:rPr>
          <w:rFonts w:hint="eastAsia"/>
          <w:sz w:val="30"/>
          <w:szCs w:val="30"/>
        </w:rPr>
        <w:t>I have called our third and final interpretation the Reformed Two-Advent View.</w:t>
      </w:r>
    </w:p>
    <w:p w14:paraId="519F1CB7">
      <w:pPr>
        <w:pStyle w:val="9"/>
        <w:spacing w:before="11"/>
        <w:ind w:left="0"/>
        <w:jc w:val="left"/>
        <w:rPr>
          <w:rFonts w:hint="eastAsia"/>
          <w:sz w:val="30"/>
          <w:szCs w:val="30"/>
        </w:rPr>
      </w:pPr>
      <w:r>
        <w:rPr>
          <w:rFonts w:hint="eastAsia"/>
          <w:sz w:val="30"/>
          <w:szCs w:val="30"/>
        </w:rPr>
        <w:t>我将我们的第三个也是最后一个解释称为“改革宗两次降临观”。</w:t>
      </w:r>
    </w:p>
    <w:p w14:paraId="1764C9F3">
      <w:pPr>
        <w:pStyle w:val="9"/>
        <w:spacing w:before="11"/>
        <w:ind w:left="0"/>
        <w:jc w:val="left"/>
        <w:rPr>
          <w:rFonts w:hint="eastAsia"/>
          <w:sz w:val="30"/>
          <w:szCs w:val="30"/>
        </w:rPr>
      </w:pPr>
    </w:p>
    <w:p w14:paraId="653CC370">
      <w:pPr>
        <w:pStyle w:val="9"/>
        <w:spacing w:before="11"/>
        <w:ind w:left="0"/>
        <w:jc w:val="left"/>
        <w:rPr>
          <w:rFonts w:hint="eastAsia"/>
          <w:sz w:val="30"/>
          <w:szCs w:val="30"/>
        </w:rPr>
      </w:pPr>
      <w:r>
        <w:rPr>
          <w:rFonts w:hint="eastAsia"/>
          <w:sz w:val="30"/>
          <w:szCs w:val="30"/>
        </w:rPr>
        <w:t>It is Reformed because it is grounded in the amillennial eschatology of the leaders and creeds of the classic Reformation.</w:t>
      </w:r>
    </w:p>
    <w:p w14:paraId="36DDCE6D">
      <w:pPr>
        <w:pStyle w:val="9"/>
        <w:spacing w:before="11"/>
        <w:ind w:left="0"/>
        <w:jc w:val="left"/>
        <w:rPr>
          <w:rFonts w:hint="eastAsia"/>
          <w:sz w:val="30"/>
          <w:szCs w:val="30"/>
        </w:rPr>
      </w:pPr>
      <w:r>
        <w:rPr>
          <w:rFonts w:hint="eastAsia"/>
          <w:sz w:val="30"/>
          <w:szCs w:val="30"/>
        </w:rPr>
        <w:t>它是改革宗的，因为它植根于经典宗教改革领袖和信条的无千禧年末世论。</w:t>
      </w:r>
    </w:p>
    <w:p w14:paraId="61A92042">
      <w:pPr>
        <w:pStyle w:val="9"/>
        <w:spacing w:before="11"/>
        <w:ind w:left="0"/>
        <w:jc w:val="left"/>
        <w:rPr>
          <w:rFonts w:hint="eastAsia"/>
          <w:sz w:val="30"/>
          <w:szCs w:val="30"/>
        </w:rPr>
      </w:pPr>
    </w:p>
    <w:p w14:paraId="7B96BE6E">
      <w:pPr>
        <w:pStyle w:val="9"/>
        <w:spacing w:before="11"/>
        <w:ind w:left="0"/>
        <w:jc w:val="left"/>
        <w:rPr>
          <w:rFonts w:hint="eastAsia"/>
          <w:sz w:val="30"/>
          <w:szCs w:val="30"/>
        </w:rPr>
      </w:pPr>
      <w:r>
        <w:rPr>
          <w:rFonts w:hint="eastAsia"/>
          <w:sz w:val="30"/>
          <w:szCs w:val="30"/>
        </w:rPr>
        <w:t>It is Two-Advent because it finds Daniel referring both to the first and second advents of Christ.</w:t>
      </w:r>
    </w:p>
    <w:p w14:paraId="5191C730">
      <w:pPr>
        <w:pStyle w:val="9"/>
        <w:spacing w:before="11"/>
        <w:ind w:left="0"/>
        <w:jc w:val="left"/>
        <w:rPr>
          <w:rFonts w:hint="eastAsia"/>
          <w:sz w:val="30"/>
          <w:szCs w:val="30"/>
        </w:rPr>
      </w:pPr>
      <w:r>
        <w:rPr>
          <w:rFonts w:hint="eastAsia"/>
          <w:sz w:val="30"/>
          <w:szCs w:val="30"/>
        </w:rPr>
        <w:t>它是两次降临的，因为它发现但以理同时提到了基督的第一次和第二次降临。</w:t>
      </w:r>
    </w:p>
    <w:p w14:paraId="3042E7FE">
      <w:pPr>
        <w:pStyle w:val="9"/>
        <w:spacing w:before="11"/>
        <w:ind w:left="0"/>
        <w:jc w:val="left"/>
        <w:rPr>
          <w:rFonts w:hint="eastAsia"/>
          <w:sz w:val="30"/>
          <w:szCs w:val="30"/>
        </w:rPr>
      </w:pPr>
    </w:p>
    <w:p w14:paraId="563EB1A0">
      <w:pPr>
        <w:pStyle w:val="9"/>
        <w:spacing w:before="11"/>
        <w:ind w:left="0"/>
        <w:jc w:val="left"/>
        <w:rPr>
          <w:rFonts w:hint="eastAsia"/>
          <w:sz w:val="30"/>
          <w:szCs w:val="30"/>
        </w:rPr>
      </w:pPr>
      <w:r>
        <w:rPr>
          <w:rFonts w:hint="eastAsia"/>
          <w:sz w:val="30"/>
          <w:szCs w:val="30"/>
        </w:rPr>
        <w:t>Like the DTAV, the RTAV is a recent historical development, having arisen in the late 19th century, though in its basic hermeneutical approach it is much like the TFAV.</w:t>
      </w:r>
    </w:p>
    <w:p w14:paraId="7AA5CF29">
      <w:pPr>
        <w:pStyle w:val="9"/>
        <w:spacing w:before="11"/>
        <w:ind w:left="0"/>
        <w:jc w:val="left"/>
        <w:rPr>
          <w:rFonts w:hint="eastAsia"/>
          <w:sz w:val="30"/>
          <w:szCs w:val="30"/>
        </w:rPr>
      </w:pPr>
      <w:r>
        <w:rPr>
          <w:rFonts w:hint="eastAsia"/>
          <w:sz w:val="30"/>
          <w:szCs w:val="30"/>
        </w:rPr>
        <w:t>像时代论两次降临观一样，改革宗两次降临观也是一个近代的历史发展，兴起于19世纪晚期，尽管其基本的解释学方法与传统第一次降临观非常相似。</w:t>
      </w:r>
    </w:p>
    <w:p w14:paraId="16142285">
      <w:pPr>
        <w:pStyle w:val="9"/>
        <w:spacing w:before="11"/>
        <w:ind w:left="0"/>
        <w:jc w:val="left"/>
        <w:rPr>
          <w:rFonts w:hint="eastAsia"/>
          <w:sz w:val="30"/>
          <w:szCs w:val="30"/>
        </w:rPr>
      </w:pPr>
    </w:p>
    <w:p w14:paraId="02CC49D2">
      <w:pPr>
        <w:pStyle w:val="9"/>
        <w:spacing w:before="11"/>
        <w:ind w:left="0"/>
        <w:jc w:val="left"/>
        <w:rPr>
          <w:rFonts w:hint="eastAsia"/>
          <w:sz w:val="30"/>
          <w:szCs w:val="30"/>
        </w:rPr>
      </w:pPr>
      <w:r>
        <w:rPr>
          <w:rFonts w:hint="eastAsia"/>
          <w:sz w:val="30"/>
          <w:szCs w:val="30"/>
        </w:rPr>
        <w:t>Leading proponents include T. Kliefoth, C. F. Keil, and, in our day, C. H. Leupold.</w:t>
      </w:r>
    </w:p>
    <w:p w14:paraId="27BD5B57">
      <w:pPr>
        <w:pStyle w:val="9"/>
        <w:spacing w:before="11"/>
        <w:ind w:left="0"/>
        <w:jc w:val="left"/>
        <w:rPr>
          <w:rFonts w:hint="eastAsia"/>
          <w:sz w:val="30"/>
          <w:szCs w:val="30"/>
        </w:rPr>
      </w:pPr>
      <w:r>
        <w:rPr>
          <w:rFonts w:hint="eastAsia"/>
          <w:sz w:val="30"/>
          <w:szCs w:val="30"/>
        </w:rPr>
        <w:t>主要的支持者包括T. 克利福斯，C. F. 凯尔，以及在我们这个时代，C. H. 卢波德。</w:t>
      </w:r>
    </w:p>
    <w:p w14:paraId="1DAACE79">
      <w:pPr>
        <w:pStyle w:val="9"/>
        <w:spacing w:before="11"/>
        <w:ind w:left="0"/>
        <w:jc w:val="left"/>
        <w:rPr>
          <w:rFonts w:hint="eastAsia"/>
          <w:sz w:val="30"/>
          <w:szCs w:val="30"/>
        </w:rPr>
      </w:pPr>
    </w:p>
    <w:p w14:paraId="756ADC05">
      <w:pPr>
        <w:pStyle w:val="9"/>
        <w:spacing w:before="11"/>
        <w:ind w:left="0"/>
        <w:jc w:val="left"/>
        <w:rPr>
          <w:rFonts w:hint="eastAsia"/>
          <w:sz w:val="30"/>
          <w:szCs w:val="30"/>
        </w:rPr>
      </w:pPr>
      <w:r>
        <w:rPr>
          <w:rFonts w:hint="eastAsia"/>
          <w:sz w:val="30"/>
          <w:szCs w:val="30"/>
        </w:rPr>
        <w:t>My indebtedness to Leupold's fine Exposition of Daniel will soon become clear.7</w:t>
      </w:r>
    </w:p>
    <w:p w14:paraId="3D70F2D5">
      <w:pPr>
        <w:pStyle w:val="9"/>
        <w:spacing w:before="11"/>
        <w:ind w:left="0"/>
        <w:jc w:val="left"/>
        <w:rPr>
          <w:rFonts w:hint="eastAsia"/>
          <w:sz w:val="30"/>
          <w:szCs w:val="30"/>
        </w:rPr>
      </w:pPr>
      <w:r>
        <w:rPr>
          <w:rFonts w:hint="eastAsia"/>
          <w:sz w:val="30"/>
          <w:szCs w:val="30"/>
        </w:rPr>
        <w:t>我对卢波德出色的《但以理书注释》的感激之情很快就会变得清晰。7</w:t>
      </w:r>
    </w:p>
    <w:p w14:paraId="686412A2">
      <w:pPr>
        <w:pStyle w:val="9"/>
        <w:spacing w:before="11"/>
        <w:ind w:left="0"/>
        <w:jc w:val="left"/>
        <w:rPr>
          <w:rFonts w:hint="eastAsia"/>
          <w:sz w:val="30"/>
          <w:szCs w:val="30"/>
        </w:rPr>
      </w:pPr>
    </w:p>
    <w:p w14:paraId="2C819EA1">
      <w:pPr>
        <w:pStyle w:val="9"/>
        <w:spacing w:before="11"/>
        <w:ind w:left="0"/>
        <w:jc w:val="left"/>
        <w:rPr>
          <w:rFonts w:hint="eastAsia"/>
          <w:sz w:val="30"/>
          <w:szCs w:val="30"/>
        </w:rPr>
      </w:pPr>
      <w:r>
        <w:rPr>
          <w:rFonts w:hint="eastAsia"/>
          <w:sz w:val="30"/>
          <w:szCs w:val="30"/>
        </w:rPr>
        <w:t>By my lights, the RTAV is easily the most satisfying interpretation of Daniel 9.</w:t>
      </w:r>
    </w:p>
    <w:p w14:paraId="645F3D10">
      <w:pPr>
        <w:pStyle w:val="9"/>
        <w:spacing w:before="11"/>
        <w:ind w:left="0"/>
        <w:jc w:val="left"/>
        <w:rPr>
          <w:rFonts w:hint="eastAsia"/>
          <w:sz w:val="30"/>
          <w:szCs w:val="30"/>
        </w:rPr>
      </w:pPr>
      <w:r>
        <w:rPr>
          <w:rFonts w:hint="eastAsia"/>
          <w:sz w:val="30"/>
          <w:szCs w:val="30"/>
        </w:rPr>
        <w:t>在我看来，改革宗两次降临观无疑是但以理书第9章最令人满意的解释。</w:t>
      </w:r>
    </w:p>
    <w:p w14:paraId="142B15D2">
      <w:pPr>
        <w:pStyle w:val="9"/>
        <w:spacing w:before="11"/>
        <w:ind w:left="0"/>
        <w:jc w:val="left"/>
        <w:rPr>
          <w:rFonts w:hint="eastAsia"/>
          <w:sz w:val="30"/>
          <w:szCs w:val="30"/>
        </w:rPr>
      </w:pPr>
    </w:p>
    <w:p w14:paraId="66115724">
      <w:pPr>
        <w:pStyle w:val="9"/>
        <w:spacing w:before="11"/>
        <w:ind w:left="0"/>
        <w:jc w:val="left"/>
        <w:rPr>
          <w:rFonts w:hint="eastAsia"/>
          <w:sz w:val="30"/>
          <w:szCs w:val="30"/>
        </w:rPr>
      </w:pPr>
      <w:r>
        <w:rPr>
          <w:rFonts w:hint="eastAsia"/>
          <w:sz w:val="30"/>
          <w:szCs w:val="30"/>
        </w:rPr>
        <w:t>Unlike the other two schemes, it harmonizes perfectly with the details of the text itself, and also with the majestic purpose and contents of Daniel’s other prophecies.</w:t>
      </w:r>
    </w:p>
    <w:p w14:paraId="2F5AAD45">
      <w:pPr>
        <w:pStyle w:val="9"/>
        <w:spacing w:before="11"/>
        <w:ind w:left="0"/>
        <w:jc w:val="left"/>
        <w:rPr>
          <w:rFonts w:hint="eastAsia"/>
          <w:sz w:val="30"/>
          <w:szCs w:val="30"/>
        </w:rPr>
      </w:pPr>
      <w:r>
        <w:rPr>
          <w:rFonts w:hint="eastAsia"/>
          <w:sz w:val="30"/>
          <w:szCs w:val="30"/>
        </w:rPr>
        <w:t>与其他两种方案不同，它与经文本身的细节，以及但以理其他预言的宏伟目的和内容完美协调。</w:t>
      </w:r>
    </w:p>
    <w:p w14:paraId="5A1F1D33">
      <w:pPr>
        <w:pStyle w:val="9"/>
        <w:spacing w:before="11"/>
        <w:ind w:left="0"/>
        <w:jc w:val="left"/>
        <w:rPr>
          <w:rFonts w:hint="eastAsia"/>
          <w:sz w:val="30"/>
          <w:szCs w:val="30"/>
        </w:rPr>
      </w:pPr>
    </w:p>
    <w:p w14:paraId="0D18B351">
      <w:pPr>
        <w:pStyle w:val="9"/>
        <w:spacing w:before="11"/>
        <w:ind w:left="0"/>
        <w:jc w:val="left"/>
        <w:rPr>
          <w:rFonts w:hint="eastAsia"/>
          <w:sz w:val="30"/>
          <w:szCs w:val="30"/>
        </w:rPr>
      </w:pPr>
      <w:r>
        <w:rPr>
          <w:rFonts w:hint="eastAsia"/>
          <w:sz w:val="30"/>
          <w:szCs w:val="30"/>
        </w:rPr>
        <w:t>More than this, it abundantly confirms, and is illumined by, NT eschatology.</w:t>
      </w:r>
    </w:p>
    <w:p w14:paraId="7D997DC4">
      <w:pPr>
        <w:pStyle w:val="9"/>
        <w:spacing w:before="11"/>
        <w:ind w:left="0"/>
        <w:jc w:val="left"/>
        <w:rPr>
          <w:rFonts w:hint="eastAsia"/>
          <w:sz w:val="30"/>
          <w:szCs w:val="30"/>
        </w:rPr>
      </w:pPr>
      <w:r>
        <w:rPr>
          <w:rFonts w:hint="eastAsia"/>
          <w:sz w:val="30"/>
          <w:szCs w:val="30"/>
        </w:rPr>
        <w:t>不仅如此，它还被新约末世论所充分证实和阐明。</w:t>
      </w:r>
    </w:p>
    <w:p w14:paraId="7F838E28">
      <w:pPr>
        <w:pStyle w:val="9"/>
        <w:spacing w:before="11"/>
        <w:ind w:left="0"/>
        <w:jc w:val="left"/>
        <w:rPr>
          <w:rFonts w:hint="eastAsia"/>
          <w:sz w:val="30"/>
          <w:szCs w:val="30"/>
        </w:rPr>
      </w:pPr>
    </w:p>
    <w:p w14:paraId="574970C8">
      <w:pPr>
        <w:pStyle w:val="9"/>
        <w:spacing w:before="11"/>
        <w:ind w:left="0"/>
        <w:jc w:val="left"/>
        <w:rPr>
          <w:rFonts w:hint="eastAsia"/>
          <w:sz w:val="30"/>
          <w:szCs w:val="30"/>
        </w:rPr>
      </w:pPr>
      <w:r>
        <w:rPr>
          <w:rFonts w:hint="eastAsia"/>
          <w:sz w:val="30"/>
          <w:szCs w:val="30"/>
        </w:rPr>
        <w:t>As a result, it not only fills us with confidence as to its truth, but also gives us, as Leupold declares, “… one of the grandest revelations of the course and climax of Salvation History to be found in the prophetic Word.”8</w:t>
      </w:r>
    </w:p>
    <w:p w14:paraId="66F15C64">
      <w:pPr>
        <w:pStyle w:val="9"/>
        <w:spacing w:before="11"/>
        <w:ind w:left="0"/>
        <w:jc w:val="left"/>
        <w:rPr>
          <w:rFonts w:hint="eastAsia"/>
          <w:sz w:val="30"/>
          <w:szCs w:val="30"/>
        </w:rPr>
      </w:pPr>
      <w:r>
        <w:rPr>
          <w:rFonts w:hint="eastAsia"/>
          <w:sz w:val="30"/>
          <w:szCs w:val="30"/>
        </w:rPr>
        <w:t>结果，它不仅使我们对它的真理充满信心，而且，正如卢波德所宣告的，“……是 prophetic Word 中可以找到的关于救赎历史进程和高潮最宏伟的启示之一。”8</w:t>
      </w:r>
    </w:p>
    <w:p w14:paraId="44DE793D">
      <w:pPr>
        <w:pStyle w:val="9"/>
        <w:spacing w:before="11"/>
        <w:ind w:left="0"/>
        <w:jc w:val="left"/>
        <w:rPr>
          <w:rFonts w:hint="eastAsia"/>
          <w:sz w:val="30"/>
          <w:szCs w:val="30"/>
        </w:rPr>
      </w:pPr>
    </w:p>
    <w:p w14:paraId="1AF4DE7C">
      <w:pPr>
        <w:pStyle w:val="9"/>
        <w:spacing w:before="11"/>
        <w:ind w:left="0"/>
        <w:jc w:val="left"/>
        <w:rPr>
          <w:rFonts w:hint="eastAsia"/>
          <w:sz w:val="30"/>
          <w:szCs w:val="30"/>
        </w:rPr>
      </w:pPr>
      <w:r>
        <w:rPr>
          <w:rFonts w:hint="eastAsia"/>
          <w:sz w:val="30"/>
          <w:szCs w:val="30"/>
        </w:rPr>
        <w:t>Let us take a moment to examine this view in some detail.</w:t>
      </w:r>
    </w:p>
    <w:p w14:paraId="4C6F2C08">
      <w:pPr>
        <w:pStyle w:val="9"/>
        <w:spacing w:before="11"/>
        <w:ind w:left="0"/>
        <w:jc w:val="left"/>
        <w:rPr>
          <w:rFonts w:hint="eastAsia"/>
          <w:sz w:val="30"/>
          <w:szCs w:val="30"/>
        </w:rPr>
      </w:pPr>
      <w:r>
        <w:rPr>
          <w:rFonts w:hint="eastAsia"/>
          <w:sz w:val="30"/>
          <w:szCs w:val="30"/>
        </w:rPr>
        <w:t>让我们花点时间来详细审视这个观点。</w:t>
      </w:r>
    </w:p>
    <w:p w14:paraId="17FD37A2">
      <w:pPr>
        <w:pStyle w:val="9"/>
        <w:spacing w:before="11"/>
        <w:ind w:left="0"/>
        <w:jc w:val="left"/>
        <w:rPr>
          <w:rFonts w:hint="eastAsia"/>
          <w:sz w:val="30"/>
          <w:szCs w:val="30"/>
        </w:rPr>
      </w:pPr>
    </w:p>
    <w:p w14:paraId="02E2003B">
      <w:pPr>
        <w:pStyle w:val="9"/>
        <w:spacing w:before="11"/>
        <w:ind w:left="0"/>
        <w:jc w:val="left"/>
        <w:rPr>
          <w:rFonts w:hint="eastAsia"/>
          <w:sz w:val="30"/>
          <w:szCs w:val="30"/>
        </w:rPr>
      </w:pPr>
      <w:r>
        <w:rPr>
          <w:rFonts w:hint="eastAsia"/>
          <w:sz w:val="30"/>
          <w:szCs w:val="30"/>
        </w:rPr>
        <w:t>My approach will be to go through our text verse by verse, offering interpretations guided by the RTAV.</w:t>
      </w:r>
    </w:p>
    <w:p w14:paraId="19F8E257">
      <w:pPr>
        <w:pStyle w:val="9"/>
        <w:spacing w:before="11"/>
        <w:ind w:left="0"/>
        <w:jc w:val="left"/>
        <w:rPr>
          <w:rFonts w:hint="eastAsia"/>
          <w:sz w:val="30"/>
          <w:szCs w:val="30"/>
        </w:rPr>
      </w:pPr>
      <w:r>
        <w:rPr>
          <w:rFonts w:hint="eastAsia"/>
          <w:sz w:val="30"/>
          <w:szCs w:val="30"/>
        </w:rPr>
        <w:t>我的方法将是逐节查考我们的经文，提供由改革宗两次降临观指导的解释。</w:t>
      </w:r>
    </w:p>
    <w:p w14:paraId="0E2C43D2">
      <w:pPr>
        <w:pStyle w:val="9"/>
        <w:spacing w:before="11"/>
        <w:ind w:left="0"/>
        <w:jc w:val="left"/>
        <w:rPr>
          <w:rFonts w:hint="eastAsia"/>
          <w:sz w:val="30"/>
          <w:szCs w:val="30"/>
        </w:rPr>
      </w:pPr>
    </w:p>
    <w:p w14:paraId="1418D744">
      <w:pPr>
        <w:pStyle w:val="9"/>
        <w:spacing w:before="11"/>
        <w:ind w:left="0"/>
        <w:jc w:val="left"/>
        <w:rPr>
          <w:rFonts w:hint="eastAsia"/>
          <w:sz w:val="30"/>
          <w:szCs w:val="30"/>
        </w:rPr>
      </w:pPr>
      <w:r>
        <w:rPr>
          <w:rFonts w:hint="eastAsia"/>
          <w:sz w:val="30"/>
          <w:szCs w:val="30"/>
        </w:rPr>
        <w:t>The translation, with slight (and significant) modifications imported from other versions, is that of the very literal New American Standard Bible.</w:t>
      </w:r>
    </w:p>
    <w:p w14:paraId="0A8456E3">
      <w:pPr>
        <w:pStyle w:val="9"/>
        <w:spacing w:before="11"/>
        <w:ind w:left="0"/>
        <w:jc w:val="left"/>
        <w:rPr>
          <w:rFonts w:hint="eastAsia"/>
          <w:sz w:val="30"/>
          <w:szCs w:val="30"/>
        </w:rPr>
      </w:pPr>
      <w:r>
        <w:rPr>
          <w:rFonts w:hint="eastAsia"/>
          <w:sz w:val="30"/>
          <w:szCs w:val="30"/>
        </w:rPr>
        <w:t>这里的翻译，是采用非常字面的《新美国标准圣经》的版本，并从其他版本中引入了一些微小（且重要）的修改。</w:t>
      </w:r>
    </w:p>
    <w:p w14:paraId="188CB99B">
      <w:pPr>
        <w:pStyle w:val="9"/>
        <w:spacing w:before="11"/>
        <w:ind w:left="0"/>
        <w:jc w:val="left"/>
        <w:rPr>
          <w:rFonts w:hint="eastAsia"/>
          <w:sz w:val="30"/>
          <w:szCs w:val="30"/>
        </w:rPr>
      </w:pPr>
    </w:p>
    <w:p w14:paraId="4E81BC11">
      <w:pPr>
        <w:pStyle w:val="9"/>
        <w:spacing w:before="11"/>
        <w:ind w:left="0"/>
        <w:jc w:val="left"/>
        <w:rPr>
          <w:rFonts w:hint="eastAsia"/>
          <w:sz w:val="30"/>
          <w:szCs w:val="30"/>
        </w:rPr>
      </w:pPr>
      <w:r>
        <w:rPr>
          <w:rFonts w:hint="eastAsia"/>
          <w:sz w:val="30"/>
          <w:szCs w:val="30"/>
        </w:rPr>
        <w:t>Verse 24</w:t>
      </w:r>
    </w:p>
    <w:p w14:paraId="25711D4E">
      <w:pPr>
        <w:pStyle w:val="9"/>
        <w:spacing w:before="11"/>
        <w:ind w:left="0"/>
        <w:jc w:val="left"/>
        <w:rPr>
          <w:rFonts w:hint="eastAsia"/>
          <w:sz w:val="30"/>
          <w:szCs w:val="30"/>
        </w:rPr>
      </w:pPr>
      <w:r>
        <w:rPr>
          <w:rFonts w:hint="eastAsia"/>
          <w:sz w:val="30"/>
          <w:szCs w:val="30"/>
        </w:rPr>
        <w:t>第24节</w:t>
      </w:r>
    </w:p>
    <w:p w14:paraId="2CFE24D6">
      <w:pPr>
        <w:pStyle w:val="9"/>
        <w:spacing w:before="11"/>
        <w:ind w:left="0"/>
        <w:jc w:val="left"/>
        <w:rPr>
          <w:rFonts w:hint="eastAsia"/>
          <w:sz w:val="30"/>
          <w:szCs w:val="30"/>
        </w:rPr>
      </w:pPr>
    </w:p>
    <w:p w14:paraId="44051219">
      <w:pPr>
        <w:pStyle w:val="9"/>
        <w:spacing w:before="11"/>
        <w:ind w:left="0"/>
        <w:jc w:val="left"/>
        <w:rPr>
          <w:rFonts w:hint="eastAsia"/>
          <w:sz w:val="30"/>
          <w:szCs w:val="30"/>
        </w:rPr>
      </w:pPr>
      <w:r>
        <w:rPr>
          <w:rFonts w:hint="eastAsia"/>
          <w:sz w:val="30"/>
          <w:szCs w:val="30"/>
        </w:rPr>
        <w:t>Seventy sevens have been decreed over your people and over your holy city, to finish (the) transgression, to make an end of sins, and to make atonement for iniquity; to bring in everlasting righteousness, to seal up vision and prophecy, and to anoint the Most Holy.</w:t>
      </w:r>
    </w:p>
    <w:p w14:paraId="7F4FCF6D">
      <w:pPr>
        <w:pStyle w:val="9"/>
        <w:spacing w:before="11"/>
        <w:ind w:left="0"/>
        <w:jc w:val="left"/>
        <w:rPr>
          <w:rFonts w:hint="eastAsia"/>
          <w:sz w:val="30"/>
          <w:szCs w:val="30"/>
        </w:rPr>
      </w:pPr>
      <w:r>
        <w:rPr>
          <w:rFonts w:hint="eastAsia"/>
          <w:sz w:val="30"/>
          <w:szCs w:val="30"/>
        </w:rPr>
        <w:t>为你本国之民和你圣城，已经定了七十个七，要止住（那）罪过，除净罪恶，赎尽罪孽；引进永义，封住异象和预言，并膏至圣者。</w:t>
      </w:r>
    </w:p>
    <w:p w14:paraId="53DD4EDC">
      <w:pPr>
        <w:pStyle w:val="9"/>
        <w:spacing w:before="11"/>
        <w:ind w:left="0"/>
        <w:jc w:val="left"/>
        <w:rPr>
          <w:rFonts w:hint="eastAsia"/>
          <w:sz w:val="30"/>
          <w:szCs w:val="30"/>
        </w:rPr>
      </w:pPr>
    </w:p>
    <w:p w14:paraId="6C18EA24">
      <w:pPr>
        <w:pStyle w:val="9"/>
        <w:spacing w:before="11"/>
        <w:ind w:left="0"/>
        <w:jc w:val="left"/>
        <w:rPr>
          <w:rFonts w:hint="eastAsia"/>
          <w:sz w:val="30"/>
          <w:szCs w:val="30"/>
        </w:rPr>
      </w:pPr>
      <w:r>
        <w:rPr>
          <w:rFonts w:hint="eastAsia"/>
          <w:sz w:val="30"/>
          <w:szCs w:val="30"/>
        </w:rPr>
        <w:t>In this verse, Daniel gives us the theme of the entire prophecy.</w:t>
      </w:r>
    </w:p>
    <w:p w14:paraId="0FFECA0C">
      <w:pPr>
        <w:pStyle w:val="9"/>
        <w:spacing w:before="11"/>
        <w:ind w:left="0"/>
        <w:jc w:val="left"/>
        <w:rPr>
          <w:rFonts w:hint="eastAsia"/>
          <w:sz w:val="30"/>
          <w:szCs w:val="30"/>
        </w:rPr>
      </w:pPr>
      <w:r>
        <w:rPr>
          <w:rFonts w:hint="eastAsia"/>
          <w:sz w:val="30"/>
          <w:szCs w:val="30"/>
        </w:rPr>
        <w:t>在这一节中，但以理给了我们整个预言的主题。</w:t>
      </w:r>
    </w:p>
    <w:p w14:paraId="02AA4B57">
      <w:pPr>
        <w:pStyle w:val="9"/>
        <w:spacing w:before="11"/>
        <w:ind w:left="0"/>
        <w:jc w:val="left"/>
        <w:rPr>
          <w:rFonts w:hint="eastAsia"/>
          <w:sz w:val="30"/>
          <w:szCs w:val="30"/>
        </w:rPr>
      </w:pPr>
    </w:p>
    <w:p w14:paraId="62F91832">
      <w:pPr>
        <w:pStyle w:val="9"/>
        <w:spacing w:before="11"/>
        <w:ind w:left="0"/>
        <w:jc w:val="left"/>
        <w:rPr>
          <w:rFonts w:hint="eastAsia"/>
          <w:sz w:val="30"/>
          <w:szCs w:val="30"/>
        </w:rPr>
      </w:pPr>
      <w:r>
        <w:rPr>
          <w:rFonts w:hint="eastAsia"/>
          <w:sz w:val="30"/>
          <w:szCs w:val="30"/>
        </w:rPr>
        <w:t>It is, as it were, a condensed (and rather cryptic) heading, of which all that follows is a detailed elaboration.</w:t>
      </w:r>
    </w:p>
    <w:p w14:paraId="488469FC">
      <w:pPr>
        <w:pStyle w:val="9"/>
        <w:spacing w:before="11"/>
        <w:ind w:left="0"/>
        <w:jc w:val="left"/>
        <w:rPr>
          <w:rFonts w:hint="eastAsia"/>
          <w:sz w:val="30"/>
          <w:szCs w:val="30"/>
        </w:rPr>
      </w:pPr>
      <w:r>
        <w:rPr>
          <w:rFonts w:hint="eastAsia"/>
          <w:sz w:val="30"/>
          <w:szCs w:val="30"/>
        </w:rPr>
        <w:t>它可以说是一个浓缩的（且相当神秘的）标题，其后所有内容都是详细的阐述。</w:t>
      </w:r>
    </w:p>
    <w:p w14:paraId="35FE718B">
      <w:pPr>
        <w:pStyle w:val="9"/>
        <w:spacing w:before="11"/>
        <w:ind w:left="0"/>
        <w:jc w:val="left"/>
        <w:rPr>
          <w:rFonts w:hint="eastAsia"/>
          <w:sz w:val="30"/>
          <w:szCs w:val="30"/>
        </w:rPr>
      </w:pPr>
    </w:p>
    <w:p w14:paraId="5B04EB51">
      <w:pPr>
        <w:pStyle w:val="9"/>
        <w:spacing w:before="11"/>
        <w:ind w:left="0"/>
        <w:jc w:val="left"/>
        <w:rPr>
          <w:rFonts w:hint="eastAsia"/>
          <w:sz w:val="30"/>
          <w:szCs w:val="30"/>
        </w:rPr>
      </w:pPr>
      <w:r>
        <w:rPr>
          <w:rFonts w:hint="eastAsia"/>
          <w:sz w:val="30"/>
          <w:szCs w:val="30"/>
        </w:rPr>
        <w:t>What is that theme?</w:t>
      </w:r>
    </w:p>
    <w:p w14:paraId="2CE689C3">
      <w:pPr>
        <w:pStyle w:val="9"/>
        <w:spacing w:before="11"/>
        <w:ind w:left="0"/>
        <w:jc w:val="left"/>
        <w:rPr>
          <w:rFonts w:hint="eastAsia"/>
          <w:sz w:val="30"/>
          <w:szCs w:val="30"/>
        </w:rPr>
      </w:pPr>
      <w:r>
        <w:rPr>
          <w:rFonts w:hint="eastAsia"/>
          <w:sz w:val="30"/>
          <w:szCs w:val="30"/>
        </w:rPr>
        <w:t>那个主题是什么？</w:t>
      </w:r>
    </w:p>
    <w:p w14:paraId="6F638D8F">
      <w:pPr>
        <w:pStyle w:val="9"/>
        <w:spacing w:before="11"/>
        <w:ind w:left="0"/>
        <w:jc w:val="left"/>
        <w:rPr>
          <w:rFonts w:hint="eastAsia"/>
          <w:sz w:val="30"/>
          <w:szCs w:val="30"/>
        </w:rPr>
      </w:pPr>
    </w:p>
    <w:p w14:paraId="3261CCBA">
      <w:pPr>
        <w:pStyle w:val="9"/>
        <w:spacing w:before="11"/>
        <w:ind w:left="0"/>
        <w:jc w:val="left"/>
        <w:rPr>
          <w:rFonts w:hint="eastAsia"/>
          <w:sz w:val="30"/>
          <w:szCs w:val="30"/>
        </w:rPr>
      </w:pPr>
      <w:r>
        <w:rPr>
          <w:rFonts w:hint="eastAsia"/>
          <w:sz w:val="30"/>
          <w:szCs w:val="30"/>
        </w:rPr>
        <w:t>Advocates of the RTAV would sum it up this way: God has decreed a set period of time in which he will fulfill all his redemptive purpose and plan; in which he will bestow all his redemptive promises upon all his redeemed people.</w:t>
      </w:r>
    </w:p>
    <w:p w14:paraId="15BEA0FB">
      <w:pPr>
        <w:pStyle w:val="9"/>
        <w:spacing w:before="11"/>
        <w:ind w:left="0"/>
        <w:jc w:val="left"/>
        <w:rPr>
          <w:rFonts w:hint="eastAsia"/>
          <w:sz w:val="30"/>
          <w:szCs w:val="30"/>
        </w:rPr>
      </w:pPr>
      <w:r>
        <w:rPr>
          <w:rFonts w:hint="eastAsia"/>
          <w:sz w:val="30"/>
          <w:szCs w:val="30"/>
        </w:rPr>
        <w:t>改革宗两次降临观的支持者会这样总结：神已经命定了一段特定的时间，在这段时间里，祂将实现祂所有的救赎旨意和计划；在这段时间里，祂将把祂所有的救赎应许赐给祂所有被赎的子民。</w:t>
      </w:r>
    </w:p>
    <w:p w14:paraId="4BFD40FE">
      <w:pPr>
        <w:pStyle w:val="9"/>
        <w:spacing w:before="11"/>
        <w:ind w:left="0"/>
        <w:jc w:val="left"/>
        <w:rPr>
          <w:rFonts w:hint="eastAsia"/>
          <w:sz w:val="30"/>
          <w:szCs w:val="30"/>
        </w:rPr>
      </w:pPr>
    </w:p>
    <w:p w14:paraId="18623BA2">
      <w:pPr>
        <w:pStyle w:val="9"/>
        <w:spacing w:before="11"/>
        <w:ind w:left="0"/>
        <w:jc w:val="left"/>
        <w:rPr>
          <w:rFonts w:hint="eastAsia"/>
          <w:sz w:val="30"/>
          <w:szCs w:val="30"/>
        </w:rPr>
      </w:pPr>
      <w:r>
        <w:rPr>
          <w:rFonts w:hint="eastAsia"/>
          <w:sz w:val="30"/>
          <w:szCs w:val="30"/>
        </w:rPr>
        <w:t>In other words, here Gabriel declares that the prophecy to follow will give us the remainder of all Salvation History, from Daniel’s day to the Parousia of Christ, the Judgment, and the advent of the World to Come.</w:t>
      </w:r>
    </w:p>
    <w:p w14:paraId="0AA99E79">
      <w:pPr>
        <w:pStyle w:val="9"/>
        <w:spacing w:before="11"/>
        <w:ind w:left="0"/>
        <w:jc w:val="left"/>
        <w:rPr>
          <w:rFonts w:hint="eastAsia"/>
          <w:sz w:val="30"/>
          <w:szCs w:val="30"/>
        </w:rPr>
      </w:pPr>
      <w:r>
        <w:rPr>
          <w:rFonts w:hint="eastAsia"/>
          <w:sz w:val="30"/>
          <w:szCs w:val="30"/>
        </w:rPr>
        <w:t>换句话说，在这里，加百列宣告接下来的预言将给我们展示救赎历史的全部余下部分，从但以理的日子到基督的再临、审判，以及未来世界的来临。</w:t>
      </w:r>
    </w:p>
    <w:p w14:paraId="70532102">
      <w:pPr>
        <w:pStyle w:val="9"/>
        <w:spacing w:before="11"/>
        <w:ind w:left="0"/>
        <w:jc w:val="left"/>
        <w:rPr>
          <w:rFonts w:hint="eastAsia"/>
          <w:sz w:val="30"/>
          <w:szCs w:val="30"/>
        </w:rPr>
      </w:pPr>
    </w:p>
    <w:p w14:paraId="1A986C6B">
      <w:pPr>
        <w:pStyle w:val="9"/>
        <w:spacing w:before="11"/>
        <w:ind w:left="0"/>
        <w:jc w:val="left"/>
        <w:rPr>
          <w:rFonts w:hint="eastAsia"/>
          <w:sz w:val="30"/>
          <w:szCs w:val="30"/>
        </w:rPr>
      </w:pPr>
      <w:r>
        <w:rPr>
          <w:rFonts w:hint="eastAsia"/>
          <w:sz w:val="30"/>
          <w:szCs w:val="30"/>
        </w:rPr>
        <w:t>It will survey all that the LORD will do between now and the Consummation to bring his people and their world into the eternal Kingdom of God.</w:t>
      </w:r>
    </w:p>
    <w:p w14:paraId="75E6BE5D">
      <w:pPr>
        <w:pStyle w:val="9"/>
        <w:spacing w:before="11"/>
        <w:ind w:left="0"/>
        <w:jc w:val="left"/>
        <w:rPr>
          <w:rFonts w:hint="eastAsia"/>
          <w:sz w:val="30"/>
          <w:szCs w:val="30"/>
        </w:rPr>
      </w:pPr>
      <w:r>
        <w:rPr>
          <w:rFonts w:hint="eastAsia"/>
          <w:sz w:val="30"/>
          <w:szCs w:val="30"/>
        </w:rPr>
        <w:t>它将综述主从现在到最终成全之间将要做的所有事，以将祂的子民和他们的世界带入神永恒的国度。</w:t>
      </w:r>
    </w:p>
    <w:p w14:paraId="75150063">
      <w:pPr>
        <w:pStyle w:val="9"/>
        <w:spacing w:before="11"/>
        <w:ind w:left="0"/>
        <w:jc w:val="left"/>
        <w:rPr>
          <w:rFonts w:hint="eastAsia"/>
          <w:sz w:val="30"/>
          <w:szCs w:val="30"/>
        </w:rPr>
      </w:pPr>
    </w:p>
    <w:p w14:paraId="39957DF5">
      <w:pPr>
        <w:pStyle w:val="9"/>
        <w:spacing w:before="11"/>
        <w:ind w:left="0"/>
        <w:jc w:val="left"/>
        <w:rPr>
          <w:rFonts w:hint="eastAsia"/>
          <w:sz w:val="30"/>
          <w:szCs w:val="30"/>
        </w:rPr>
      </w:pPr>
      <w:r>
        <w:rPr>
          <w:rFonts w:hint="eastAsia"/>
          <w:sz w:val="30"/>
          <w:szCs w:val="30"/>
        </w:rPr>
        <w:t>This soul-stirring interpretation is more than confirmed at the very outset.</w:t>
      </w:r>
    </w:p>
    <w:p w14:paraId="66C10F2E">
      <w:pPr>
        <w:pStyle w:val="9"/>
        <w:spacing w:before="11"/>
        <w:ind w:left="0"/>
        <w:jc w:val="left"/>
        <w:rPr>
          <w:rFonts w:hint="eastAsia"/>
          <w:sz w:val="30"/>
          <w:szCs w:val="30"/>
        </w:rPr>
      </w:pPr>
      <w:r>
        <w:rPr>
          <w:rFonts w:hint="eastAsia"/>
          <w:sz w:val="30"/>
          <w:szCs w:val="30"/>
        </w:rPr>
        <w:t>这个激动人心的解释从一开始就得到了充分的证实。</w:t>
      </w:r>
    </w:p>
    <w:p w14:paraId="465FB1EB">
      <w:pPr>
        <w:pStyle w:val="9"/>
        <w:spacing w:before="11"/>
        <w:ind w:left="0"/>
        <w:jc w:val="left"/>
        <w:rPr>
          <w:rFonts w:hint="eastAsia"/>
          <w:sz w:val="30"/>
          <w:szCs w:val="30"/>
        </w:rPr>
      </w:pPr>
    </w:p>
    <w:p w14:paraId="7F307992">
      <w:pPr>
        <w:pStyle w:val="9"/>
        <w:spacing w:before="11"/>
        <w:ind w:left="0"/>
        <w:jc w:val="left"/>
        <w:rPr>
          <w:rFonts w:hint="eastAsia"/>
          <w:sz w:val="30"/>
          <w:szCs w:val="30"/>
        </w:rPr>
      </w:pPr>
      <w:r>
        <w:rPr>
          <w:rFonts w:hint="eastAsia"/>
          <w:sz w:val="30"/>
          <w:szCs w:val="30"/>
        </w:rPr>
        <w:t>Gabriel declares that seventy sevens are decreed over the people of God and the Holy City.</w:t>
      </w:r>
    </w:p>
    <w:p w14:paraId="2D995D6B">
      <w:pPr>
        <w:pStyle w:val="9"/>
        <w:spacing w:before="11"/>
        <w:ind w:left="0"/>
        <w:jc w:val="left"/>
        <w:rPr>
          <w:rFonts w:hint="eastAsia"/>
          <w:sz w:val="30"/>
          <w:szCs w:val="30"/>
        </w:rPr>
      </w:pPr>
      <w:r>
        <w:rPr>
          <w:rFonts w:hint="eastAsia"/>
          <w:sz w:val="30"/>
          <w:szCs w:val="30"/>
        </w:rPr>
        <w:t>加百列宣告，为神的子民和圣城已经定了七十个七。</w:t>
      </w:r>
    </w:p>
    <w:p w14:paraId="0A7A72DA">
      <w:pPr>
        <w:pStyle w:val="9"/>
        <w:spacing w:before="11"/>
        <w:ind w:left="0"/>
        <w:jc w:val="left"/>
        <w:rPr>
          <w:rFonts w:hint="eastAsia"/>
          <w:sz w:val="30"/>
          <w:szCs w:val="30"/>
        </w:rPr>
      </w:pPr>
    </w:p>
    <w:p w14:paraId="41AFCD0B">
      <w:pPr>
        <w:pStyle w:val="9"/>
        <w:spacing w:before="11"/>
        <w:ind w:left="0"/>
        <w:jc w:val="left"/>
        <w:rPr>
          <w:rFonts w:hint="eastAsia"/>
          <w:sz w:val="30"/>
          <w:szCs w:val="30"/>
        </w:rPr>
      </w:pPr>
      <w:r>
        <w:rPr>
          <w:rFonts w:hint="eastAsia"/>
          <w:sz w:val="30"/>
          <w:szCs w:val="30"/>
        </w:rPr>
        <w:t>He says nothing of years, or weeks of years.</w:t>
      </w:r>
    </w:p>
    <w:p w14:paraId="62DA2067">
      <w:pPr>
        <w:pStyle w:val="9"/>
        <w:spacing w:before="11"/>
        <w:ind w:left="0"/>
        <w:jc w:val="left"/>
        <w:rPr>
          <w:rFonts w:hint="eastAsia"/>
          <w:sz w:val="30"/>
          <w:szCs w:val="30"/>
        </w:rPr>
      </w:pPr>
      <w:r>
        <w:rPr>
          <w:rFonts w:hint="eastAsia"/>
          <w:sz w:val="30"/>
          <w:szCs w:val="30"/>
        </w:rPr>
        <w:t>祂没有说多少年，或多少个七年。</w:t>
      </w:r>
    </w:p>
    <w:p w14:paraId="49784786">
      <w:pPr>
        <w:pStyle w:val="9"/>
        <w:spacing w:before="11"/>
        <w:ind w:left="0"/>
        <w:jc w:val="left"/>
        <w:rPr>
          <w:rFonts w:hint="eastAsia"/>
          <w:sz w:val="30"/>
          <w:szCs w:val="30"/>
        </w:rPr>
      </w:pPr>
    </w:p>
    <w:p w14:paraId="52B57ADF">
      <w:pPr>
        <w:pStyle w:val="9"/>
        <w:spacing w:before="11"/>
        <w:ind w:left="0"/>
        <w:jc w:val="left"/>
        <w:rPr>
          <w:rFonts w:hint="eastAsia"/>
          <w:sz w:val="30"/>
          <w:szCs w:val="30"/>
        </w:rPr>
      </w:pPr>
      <w:r>
        <w:rPr>
          <w:rFonts w:hint="eastAsia"/>
          <w:sz w:val="30"/>
          <w:szCs w:val="30"/>
        </w:rPr>
        <w:t>Manifestly, these numbers are symbolic.</w:t>
      </w:r>
    </w:p>
    <w:p w14:paraId="4C77B513">
      <w:pPr>
        <w:pStyle w:val="9"/>
        <w:spacing w:before="11"/>
        <w:ind w:left="0"/>
        <w:jc w:val="left"/>
        <w:rPr>
          <w:rFonts w:hint="eastAsia"/>
          <w:sz w:val="30"/>
          <w:szCs w:val="30"/>
        </w:rPr>
      </w:pPr>
      <w:r>
        <w:rPr>
          <w:rFonts w:hint="eastAsia"/>
          <w:sz w:val="30"/>
          <w:szCs w:val="30"/>
        </w:rPr>
        <w:t>显然，这些数字是象征性的。</w:t>
      </w:r>
    </w:p>
    <w:p w14:paraId="681BDEEC">
      <w:pPr>
        <w:pStyle w:val="9"/>
        <w:spacing w:before="11"/>
        <w:ind w:left="0"/>
        <w:jc w:val="left"/>
        <w:rPr>
          <w:rFonts w:hint="eastAsia"/>
          <w:sz w:val="30"/>
          <w:szCs w:val="30"/>
        </w:rPr>
      </w:pPr>
    </w:p>
    <w:p w14:paraId="4E4726C9">
      <w:pPr>
        <w:pStyle w:val="9"/>
        <w:spacing w:before="11"/>
        <w:ind w:left="0"/>
        <w:jc w:val="left"/>
        <w:rPr>
          <w:rFonts w:hint="eastAsia"/>
          <w:sz w:val="30"/>
          <w:szCs w:val="30"/>
        </w:rPr>
      </w:pPr>
      <w:r>
        <w:rPr>
          <w:rFonts w:hint="eastAsia"/>
          <w:sz w:val="30"/>
          <w:szCs w:val="30"/>
        </w:rPr>
        <w:t>But why were they chosen, and what do they mean?</w:t>
      </w:r>
    </w:p>
    <w:p w14:paraId="312D418F">
      <w:pPr>
        <w:pStyle w:val="9"/>
        <w:spacing w:before="11"/>
        <w:ind w:left="0"/>
        <w:jc w:val="left"/>
        <w:rPr>
          <w:rFonts w:hint="eastAsia"/>
          <w:sz w:val="30"/>
          <w:szCs w:val="30"/>
        </w:rPr>
      </w:pPr>
      <w:r>
        <w:rPr>
          <w:rFonts w:hint="eastAsia"/>
          <w:sz w:val="30"/>
          <w:szCs w:val="30"/>
        </w:rPr>
        <w:t>但它们为何被选中，又意味着什么？</w:t>
      </w:r>
    </w:p>
    <w:p w14:paraId="3AC5A027">
      <w:pPr>
        <w:pStyle w:val="9"/>
        <w:spacing w:before="11"/>
        <w:ind w:left="0"/>
        <w:jc w:val="left"/>
        <w:rPr>
          <w:rFonts w:hint="eastAsia"/>
          <w:sz w:val="30"/>
          <w:szCs w:val="30"/>
        </w:rPr>
      </w:pPr>
    </w:p>
    <w:p w14:paraId="4412138A">
      <w:pPr>
        <w:pStyle w:val="9"/>
        <w:spacing w:before="11"/>
        <w:ind w:left="0"/>
        <w:jc w:val="left"/>
        <w:rPr>
          <w:rFonts w:hint="eastAsia"/>
          <w:sz w:val="30"/>
          <w:szCs w:val="30"/>
        </w:rPr>
      </w:pPr>
      <w:r>
        <w:rPr>
          <w:rFonts w:hint="eastAsia"/>
          <w:sz w:val="30"/>
          <w:szCs w:val="30"/>
        </w:rPr>
        <w:t>Doubtless they allude to the seventy years of Israel’s exile and captivity, and therefore appear here by way of a grand promise: In the seventy sevens ahead, God will fully deliver his people from their exile and captivity, and fully restore them to all his covenant blessings.</w:t>
      </w:r>
    </w:p>
    <w:p w14:paraId="6BC30367">
      <w:pPr>
        <w:pStyle w:val="9"/>
        <w:spacing w:before="11"/>
        <w:ind w:left="0"/>
        <w:jc w:val="left"/>
        <w:rPr>
          <w:rFonts w:hint="eastAsia"/>
          <w:sz w:val="30"/>
          <w:szCs w:val="30"/>
        </w:rPr>
      </w:pPr>
      <w:r>
        <w:rPr>
          <w:rFonts w:hint="eastAsia"/>
          <w:sz w:val="30"/>
          <w:szCs w:val="30"/>
        </w:rPr>
        <w:t>无疑，它们暗指以色列被掳流亡的七十年，因此在这里以一个宏伟的应许出现：在未来的七十个七中，神将完全拯救祂的子民脱离他们的流亡和被掳，并完全恢复他们享有祂所有的约中祝福。</w:t>
      </w:r>
    </w:p>
    <w:p w14:paraId="523C5D3E">
      <w:pPr>
        <w:pStyle w:val="9"/>
        <w:spacing w:before="11"/>
        <w:ind w:left="0"/>
        <w:jc w:val="left"/>
        <w:rPr>
          <w:rFonts w:hint="eastAsia"/>
          <w:sz w:val="30"/>
          <w:szCs w:val="30"/>
        </w:rPr>
      </w:pPr>
    </w:p>
    <w:p w14:paraId="631836ED">
      <w:pPr>
        <w:pStyle w:val="9"/>
        <w:spacing w:before="11"/>
        <w:ind w:left="0"/>
        <w:jc w:val="left"/>
        <w:rPr>
          <w:rFonts w:hint="eastAsia"/>
          <w:sz w:val="30"/>
          <w:szCs w:val="30"/>
        </w:rPr>
      </w:pPr>
      <w:r>
        <w:rPr>
          <w:rFonts w:hint="eastAsia"/>
          <w:sz w:val="30"/>
          <w:szCs w:val="30"/>
        </w:rPr>
        <w:t>The key word here is “fully.”</w:t>
      </w:r>
    </w:p>
    <w:p w14:paraId="6614A686">
      <w:pPr>
        <w:pStyle w:val="9"/>
        <w:spacing w:before="11"/>
        <w:ind w:left="0"/>
        <w:jc w:val="left"/>
        <w:rPr>
          <w:rFonts w:hint="eastAsia"/>
          <w:sz w:val="30"/>
          <w:szCs w:val="30"/>
        </w:rPr>
      </w:pPr>
      <w:r>
        <w:rPr>
          <w:rFonts w:hint="eastAsia"/>
          <w:sz w:val="30"/>
          <w:szCs w:val="30"/>
        </w:rPr>
        <w:t>这里的关键词是“完全地”。</w:t>
      </w:r>
    </w:p>
    <w:p w14:paraId="0CC10275">
      <w:pPr>
        <w:pStyle w:val="9"/>
        <w:spacing w:before="11"/>
        <w:ind w:left="0"/>
        <w:jc w:val="left"/>
        <w:rPr>
          <w:rFonts w:hint="eastAsia"/>
          <w:sz w:val="30"/>
          <w:szCs w:val="30"/>
        </w:rPr>
      </w:pPr>
    </w:p>
    <w:p w14:paraId="038B4308">
      <w:pPr>
        <w:pStyle w:val="9"/>
        <w:spacing w:before="11"/>
        <w:ind w:left="0"/>
        <w:jc w:val="left"/>
        <w:rPr>
          <w:rFonts w:hint="eastAsia"/>
          <w:sz w:val="30"/>
          <w:szCs w:val="30"/>
        </w:rPr>
      </w:pPr>
      <w:r>
        <w:rPr>
          <w:rFonts w:hint="eastAsia"/>
          <w:sz w:val="30"/>
          <w:szCs w:val="30"/>
        </w:rPr>
        <w:t>In the Bible, the numbers seven and ten symbolize fullness, perfection, and completion.</w:t>
      </w:r>
    </w:p>
    <w:p w14:paraId="10A00AFC">
      <w:pPr>
        <w:pStyle w:val="9"/>
        <w:spacing w:before="11"/>
        <w:ind w:left="0"/>
        <w:jc w:val="left"/>
        <w:rPr>
          <w:rFonts w:hint="eastAsia"/>
          <w:sz w:val="30"/>
          <w:szCs w:val="30"/>
        </w:rPr>
      </w:pPr>
      <w:r>
        <w:rPr>
          <w:rFonts w:hint="eastAsia"/>
          <w:sz w:val="30"/>
          <w:szCs w:val="30"/>
        </w:rPr>
        <w:t>在圣经中，数字七和十象征着丰满、完美和完全。</w:t>
      </w:r>
    </w:p>
    <w:p w14:paraId="28D22073">
      <w:pPr>
        <w:pStyle w:val="9"/>
        <w:spacing w:before="11"/>
        <w:ind w:left="0"/>
        <w:jc w:val="left"/>
        <w:rPr>
          <w:rFonts w:hint="eastAsia"/>
          <w:sz w:val="30"/>
          <w:szCs w:val="30"/>
        </w:rPr>
      </w:pPr>
    </w:p>
    <w:p w14:paraId="19865418">
      <w:pPr>
        <w:pStyle w:val="9"/>
        <w:spacing w:before="11"/>
        <w:ind w:left="0"/>
        <w:jc w:val="left"/>
        <w:rPr>
          <w:rFonts w:hint="eastAsia"/>
          <w:sz w:val="30"/>
          <w:szCs w:val="30"/>
        </w:rPr>
      </w:pPr>
      <w:r>
        <w:rPr>
          <w:rFonts w:hint="eastAsia"/>
          <w:sz w:val="30"/>
          <w:szCs w:val="30"/>
        </w:rPr>
        <w:t>Seventy sevens, being 7x7x10, mystically expresses perfect completeness (see Mt. 18:22).</w:t>
      </w:r>
    </w:p>
    <w:p w14:paraId="405883B1">
      <w:pPr>
        <w:pStyle w:val="9"/>
        <w:spacing w:before="11"/>
        <w:ind w:left="0"/>
        <w:jc w:val="left"/>
        <w:rPr>
          <w:rFonts w:hint="eastAsia"/>
          <w:sz w:val="30"/>
          <w:szCs w:val="30"/>
        </w:rPr>
      </w:pPr>
      <w:r>
        <w:rPr>
          <w:rFonts w:hint="eastAsia"/>
          <w:sz w:val="30"/>
          <w:szCs w:val="30"/>
        </w:rPr>
        <w:t>七十个七，即7x7x10，神秘地表达了完美的完整性 (见 太 18:22)。</w:t>
      </w:r>
    </w:p>
    <w:p w14:paraId="444C982F">
      <w:pPr>
        <w:pStyle w:val="9"/>
        <w:spacing w:before="11"/>
        <w:ind w:left="0"/>
        <w:jc w:val="left"/>
        <w:rPr>
          <w:rFonts w:hint="eastAsia"/>
          <w:sz w:val="30"/>
          <w:szCs w:val="30"/>
        </w:rPr>
      </w:pPr>
    </w:p>
    <w:p w14:paraId="4331E892">
      <w:pPr>
        <w:pStyle w:val="9"/>
        <w:spacing w:before="11"/>
        <w:ind w:left="0"/>
        <w:jc w:val="left"/>
        <w:rPr>
          <w:rFonts w:hint="eastAsia"/>
          <w:sz w:val="30"/>
          <w:szCs w:val="30"/>
        </w:rPr>
      </w:pPr>
      <w:r>
        <w:rPr>
          <w:rFonts w:hint="eastAsia"/>
          <w:sz w:val="30"/>
          <w:szCs w:val="30"/>
        </w:rPr>
        <w:t>So then, speaking as he did, Gabriel was simply saying, “God has decreed a set period of time within which he will fulfill, perfect, and complete his redemptive purposes.</w:t>
      </w:r>
    </w:p>
    <w:p w14:paraId="00F4F478">
      <w:pPr>
        <w:pStyle w:val="9"/>
        <w:spacing w:before="11"/>
        <w:ind w:left="0"/>
        <w:jc w:val="left"/>
        <w:rPr>
          <w:rFonts w:hint="eastAsia"/>
          <w:sz w:val="30"/>
          <w:szCs w:val="30"/>
        </w:rPr>
      </w:pPr>
      <w:r>
        <w:rPr>
          <w:rFonts w:hint="eastAsia"/>
          <w:sz w:val="30"/>
          <w:szCs w:val="30"/>
        </w:rPr>
        <w:t>所以，加百列这样说，其实只是在说：“神已经命定了一段特定的时间，在这段时间内，祂将实现、成全并完成祂的救赎旨意。</w:t>
      </w:r>
    </w:p>
    <w:p w14:paraId="08E78F71">
      <w:pPr>
        <w:pStyle w:val="9"/>
        <w:spacing w:before="11"/>
        <w:ind w:left="0"/>
        <w:jc w:val="left"/>
        <w:rPr>
          <w:rFonts w:hint="eastAsia"/>
          <w:sz w:val="30"/>
          <w:szCs w:val="30"/>
        </w:rPr>
      </w:pPr>
    </w:p>
    <w:p w14:paraId="4FCD870B">
      <w:pPr>
        <w:pStyle w:val="9"/>
        <w:spacing w:before="11"/>
        <w:ind w:left="0"/>
        <w:jc w:val="left"/>
        <w:rPr>
          <w:rFonts w:hint="eastAsia"/>
          <w:sz w:val="30"/>
          <w:szCs w:val="30"/>
        </w:rPr>
      </w:pPr>
      <w:r>
        <w:rPr>
          <w:rFonts w:hint="eastAsia"/>
          <w:sz w:val="30"/>
          <w:szCs w:val="30"/>
        </w:rPr>
        <w:t>I am about to tell you what will happen in it.”</w:t>
      </w:r>
    </w:p>
    <w:p w14:paraId="6071AD8F">
      <w:pPr>
        <w:pStyle w:val="9"/>
        <w:spacing w:before="11"/>
        <w:ind w:left="0"/>
        <w:jc w:val="left"/>
        <w:rPr>
          <w:rFonts w:hint="eastAsia"/>
          <w:sz w:val="30"/>
          <w:szCs w:val="30"/>
        </w:rPr>
      </w:pPr>
      <w:r>
        <w:rPr>
          <w:rFonts w:hint="eastAsia"/>
          <w:sz w:val="30"/>
          <w:szCs w:val="30"/>
        </w:rPr>
        <w:t>我将要告诉你在这段时间里会发生什么。”</w:t>
      </w:r>
    </w:p>
    <w:p w14:paraId="575711CB">
      <w:pPr>
        <w:pStyle w:val="9"/>
        <w:spacing w:before="11"/>
        <w:ind w:left="0"/>
        <w:jc w:val="left"/>
        <w:rPr>
          <w:rFonts w:hint="eastAsia"/>
          <w:sz w:val="30"/>
          <w:szCs w:val="30"/>
        </w:rPr>
      </w:pPr>
    </w:p>
    <w:p w14:paraId="78C42177">
      <w:pPr>
        <w:pStyle w:val="9"/>
        <w:spacing w:before="11"/>
        <w:ind w:left="0"/>
        <w:jc w:val="left"/>
        <w:rPr>
          <w:rFonts w:hint="eastAsia"/>
          <w:sz w:val="30"/>
          <w:szCs w:val="30"/>
        </w:rPr>
      </w:pPr>
      <w:r>
        <w:rPr>
          <w:rFonts w:hint="eastAsia"/>
          <w:sz w:val="30"/>
          <w:szCs w:val="30"/>
        </w:rPr>
        <w:t>Leupold puts it this way: “The seventy heptads is the period in which the divine work of greatest moment is brought to perfection."9</w:t>
      </w:r>
    </w:p>
    <w:p w14:paraId="65D80116">
      <w:pPr>
        <w:pStyle w:val="9"/>
        <w:spacing w:before="11"/>
        <w:ind w:left="0"/>
        <w:jc w:val="left"/>
        <w:rPr>
          <w:rFonts w:hint="eastAsia"/>
          <w:sz w:val="30"/>
          <w:szCs w:val="30"/>
        </w:rPr>
      </w:pPr>
      <w:r>
        <w:rPr>
          <w:rFonts w:hint="eastAsia"/>
          <w:sz w:val="30"/>
          <w:szCs w:val="30"/>
        </w:rPr>
        <w:t>卢波德这样说：“七十个七的周期是神最重大的工作达到完美的时期。”9</w:t>
      </w:r>
    </w:p>
    <w:p w14:paraId="14CFEBDB">
      <w:pPr>
        <w:pStyle w:val="9"/>
        <w:spacing w:before="11"/>
        <w:ind w:left="0"/>
        <w:jc w:val="left"/>
        <w:rPr>
          <w:rFonts w:hint="eastAsia"/>
          <w:sz w:val="30"/>
          <w:szCs w:val="30"/>
        </w:rPr>
      </w:pPr>
    </w:p>
    <w:p w14:paraId="0EED00E6">
      <w:pPr>
        <w:pStyle w:val="9"/>
        <w:spacing w:before="11"/>
        <w:ind w:left="0"/>
        <w:jc w:val="left"/>
        <w:rPr>
          <w:rFonts w:hint="eastAsia"/>
          <w:sz w:val="30"/>
          <w:szCs w:val="30"/>
        </w:rPr>
      </w:pPr>
      <w:r>
        <w:rPr>
          <w:rFonts w:hint="eastAsia"/>
          <w:sz w:val="30"/>
          <w:szCs w:val="30"/>
        </w:rPr>
        <w:t>If this interpretation is correct, it means that the terminus ad quem of the prophecy is indeed the Parousia of Christ at the end of the age.</w:t>
      </w:r>
    </w:p>
    <w:p w14:paraId="042D386F">
      <w:pPr>
        <w:pStyle w:val="9"/>
        <w:spacing w:before="11"/>
        <w:ind w:left="0"/>
        <w:jc w:val="left"/>
        <w:rPr>
          <w:rFonts w:hint="eastAsia"/>
          <w:sz w:val="30"/>
          <w:szCs w:val="30"/>
        </w:rPr>
      </w:pPr>
      <w:r>
        <w:rPr>
          <w:rFonts w:hint="eastAsia"/>
          <w:sz w:val="30"/>
          <w:szCs w:val="30"/>
        </w:rPr>
        <w:t>如果这个解释是正确的，那就意味着这个预言的终点确实是世代末了基督的再临。</w:t>
      </w:r>
    </w:p>
    <w:p w14:paraId="2B901E3A">
      <w:pPr>
        <w:pStyle w:val="9"/>
        <w:spacing w:before="11"/>
        <w:ind w:left="0"/>
        <w:jc w:val="left"/>
        <w:rPr>
          <w:rFonts w:hint="eastAsia"/>
          <w:sz w:val="30"/>
          <w:szCs w:val="30"/>
        </w:rPr>
      </w:pPr>
    </w:p>
    <w:p w14:paraId="55ADA4CE">
      <w:pPr>
        <w:pStyle w:val="9"/>
        <w:spacing w:before="11"/>
        <w:ind w:left="0"/>
        <w:jc w:val="left"/>
        <w:rPr>
          <w:rFonts w:hint="eastAsia"/>
          <w:sz w:val="30"/>
          <w:szCs w:val="30"/>
        </w:rPr>
      </w:pPr>
      <w:r>
        <w:rPr>
          <w:rFonts w:hint="eastAsia"/>
          <w:sz w:val="30"/>
          <w:szCs w:val="30"/>
        </w:rPr>
        <w:t>This in turn implies that the seventy sevens are not calendar years, and that henceforth no calculations (or 360 day years) are possible or needed.</w:t>
      </w:r>
    </w:p>
    <w:p w14:paraId="32016635">
      <w:pPr>
        <w:pStyle w:val="9"/>
        <w:spacing w:before="11"/>
        <w:ind w:left="0"/>
        <w:jc w:val="left"/>
        <w:rPr>
          <w:rFonts w:hint="eastAsia"/>
          <w:sz w:val="30"/>
          <w:szCs w:val="30"/>
        </w:rPr>
      </w:pPr>
      <w:r>
        <w:rPr>
          <w:rFonts w:hint="eastAsia"/>
          <w:sz w:val="30"/>
          <w:szCs w:val="30"/>
        </w:rPr>
        <w:t>这又意味着七十个七不是日历年，因此从今往后，任何计算（或360天的年）都是不可能也不需要的。</w:t>
      </w:r>
    </w:p>
    <w:p w14:paraId="4324BFDE">
      <w:pPr>
        <w:pStyle w:val="9"/>
        <w:spacing w:before="11"/>
        <w:ind w:left="0"/>
        <w:jc w:val="left"/>
        <w:rPr>
          <w:rFonts w:hint="eastAsia"/>
          <w:sz w:val="30"/>
          <w:szCs w:val="30"/>
        </w:rPr>
      </w:pPr>
    </w:p>
    <w:p w14:paraId="04347379">
      <w:pPr>
        <w:pStyle w:val="9"/>
        <w:spacing w:before="11"/>
        <w:ind w:left="0"/>
        <w:jc w:val="left"/>
        <w:rPr>
          <w:rFonts w:hint="eastAsia"/>
          <w:sz w:val="30"/>
          <w:szCs w:val="30"/>
        </w:rPr>
      </w:pPr>
      <w:r>
        <w:rPr>
          <w:rFonts w:hint="eastAsia"/>
          <w:sz w:val="30"/>
          <w:szCs w:val="30"/>
        </w:rPr>
        <w:t>What a relief!</w:t>
      </w:r>
    </w:p>
    <w:p w14:paraId="48E5203A">
      <w:pPr>
        <w:pStyle w:val="9"/>
        <w:spacing w:before="11"/>
        <w:ind w:left="0"/>
        <w:jc w:val="left"/>
        <w:rPr>
          <w:rFonts w:hint="eastAsia"/>
          <w:sz w:val="30"/>
          <w:szCs w:val="30"/>
        </w:rPr>
      </w:pPr>
      <w:r>
        <w:rPr>
          <w:rFonts w:hint="eastAsia"/>
          <w:sz w:val="30"/>
          <w:szCs w:val="30"/>
        </w:rPr>
        <w:t>真是松了一口气！</w:t>
      </w:r>
    </w:p>
    <w:p w14:paraId="1583B5D8">
      <w:pPr>
        <w:pStyle w:val="9"/>
        <w:spacing w:before="11"/>
        <w:ind w:left="0"/>
        <w:jc w:val="left"/>
        <w:rPr>
          <w:rFonts w:hint="eastAsia"/>
          <w:sz w:val="30"/>
          <w:szCs w:val="30"/>
        </w:rPr>
      </w:pPr>
    </w:p>
    <w:p w14:paraId="3B974637">
      <w:pPr>
        <w:pStyle w:val="9"/>
        <w:spacing w:before="11"/>
        <w:ind w:left="0"/>
        <w:jc w:val="left"/>
        <w:rPr>
          <w:rFonts w:hint="eastAsia"/>
          <w:sz w:val="30"/>
          <w:szCs w:val="30"/>
        </w:rPr>
      </w:pPr>
      <w:r>
        <w:rPr>
          <w:rFonts w:hint="eastAsia"/>
          <w:sz w:val="30"/>
          <w:szCs w:val="30"/>
        </w:rPr>
        <w:t>God’s decree concerns Daniel’s people and his Holy City.</w:t>
      </w:r>
    </w:p>
    <w:p w14:paraId="5B4FCFCA">
      <w:pPr>
        <w:pStyle w:val="9"/>
        <w:spacing w:before="11"/>
        <w:ind w:left="0"/>
        <w:jc w:val="left"/>
        <w:rPr>
          <w:rFonts w:hint="eastAsia"/>
          <w:sz w:val="30"/>
          <w:szCs w:val="30"/>
        </w:rPr>
      </w:pPr>
      <w:r>
        <w:rPr>
          <w:rFonts w:hint="eastAsia"/>
          <w:sz w:val="30"/>
          <w:szCs w:val="30"/>
        </w:rPr>
        <w:t>神的谕旨关乎但以理的民和他的圣城。</w:t>
      </w:r>
    </w:p>
    <w:p w14:paraId="2A31088B">
      <w:pPr>
        <w:pStyle w:val="9"/>
        <w:spacing w:before="11"/>
        <w:ind w:left="0"/>
        <w:jc w:val="left"/>
        <w:rPr>
          <w:rFonts w:hint="eastAsia"/>
          <w:sz w:val="30"/>
          <w:szCs w:val="30"/>
        </w:rPr>
      </w:pPr>
    </w:p>
    <w:p w14:paraId="660365C7">
      <w:pPr>
        <w:pStyle w:val="9"/>
        <w:spacing w:before="11"/>
        <w:ind w:left="0"/>
        <w:jc w:val="left"/>
        <w:rPr>
          <w:rFonts w:hint="eastAsia"/>
          <w:sz w:val="30"/>
          <w:szCs w:val="30"/>
        </w:rPr>
      </w:pPr>
      <w:r>
        <w:rPr>
          <w:rFonts w:hint="eastAsia"/>
          <w:sz w:val="30"/>
          <w:szCs w:val="30"/>
        </w:rPr>
        <w:t>Who and what are they?</w:t>
      </w:r>
    </w:p>
    <w:p w14:paraId="2AB2CE77">
      <w:pPr>
        <w:pStyle w:val="9"/>
        <w:spacing w:before="11"/>
        <w:ind w:left="0"/>
        <w:jc w:val="left"/>
        <w:rPr>
          <w:rFonts w:hint="eastAsia"/>
          <w:sz w:val="30"/>
          <w:szCs w:val="30"/>
        </w:rPr>
      </w:pPr>
      <w:r>
        <w:rPr>
          <w:rFonts w:hint="eastAsia"/>
          <w:sz w:val="30"/>
          <w:szCs w:val="30"/>
        </w:rPr>
        <w:t>他们是谁，又是什么？</w:t>
      </w:r>
    </w:p>
    <w:p w14:paraId="13512266">
      <w:pPr>
        <w:pStyle w:val="9"/>
        <w:spacing w:before="11"/>
        <w:ind w:left="0"/>
        <w:jc w:val="left"/>
        <w:rPr>
          <w:rFonts w:hint="eastAsia"/>
          <w:sz w:val="30"/>
          <w:szCs w:val="30"/>
        </w:rPr>
      </w:pPr>
    </w:p>
    <w:p w14:paraId="26BEE4DC">
      <w:pPr>
        <w:pStyle w:val="9"/>
        <w:spacing w:before="11"/>
        <w:ind w:left="0"/>
        <w:jc w:val="left"/>
        <w:rPr>
          <w:rFonts w:hint="eastAsia"/>
          <w:sz w:val="30"/>
          <w:szCs w:val="30"/>
        </w:rPr>
      </w:pPr>
      <w:r>
        <w:rPr>
          <w:rFonts w:hint="eastAsia"/>
          <w:sz w:val="30"/>
          <w:szCs w:val="30"/>
        </w:rPr>
        <w:t>Here, we must take care.</w:t>
      </w:r>
    </w:p>
    <w:p w14:paraId="158AD626">
      <w:pPr>
        <w:pStyle w:val="9"/>
        <w:spacing w:before="11"/>
        <w:ind w:left="0"/>
        <w:jc w:val="left"/>
        <w:rPr>
          <w:rFonts w:hint="eastAsia"/>
          <w:sz w:val="30"/>
          <w:szCs w:val="30"/>
        </w:rPr>
      </w:pPr>
      <w:r>
        <w:rPr>
          <w:rFonts w:hint="eastAsia"/>
          <w:sz w:val="30"/>
          <w:szCs w:val="30"/>
        </w:rPr>
        <w:t>在这里，我们必须小心。</w:t>
      </w:r>
    </w:p>
    <w:p w14:paraId="3681ADB5">
      <w:pPr>
        <w:pStyle w:val="9"/>
        <w:spacing w:before="11"/>
        <w:ind w:left="0"/>
        <w:jc w:val="left"/>
        <w:rPr>
          <w:rFonts w:hint="eastAsia"/>
          <w:sz w:val="30"/>
          <w:szCs w:val="30"/>
        </w:rPr>
      </w:pPr>
    </w:p>
    <w:p w14:paraId="160E08DE">
      <w:pPr>
        <w:pStyle w:val="9"/>
        <w:spacing w:before="11"/>
        <w:ind w:left="0"/>
        <w:jc w:val="left"/>
        <w:rPr>
          <w:rFonts w:hint="eastAsia"/>
          <w:sz w:val="30"/>
          <w:szCs w:val="30"/>
        </w:rPr>
      </w:pPr>
      <w:r>
        <w:rPr>
          <w:rFonts w:hint="eastAsia"/>
          <w:sz w:val="30"/>
          <w:szCs w:val="30"/>
        </w:rPr>
        <w:t>The Jerusalem of verse 25a is indeed earthly Jerusalem, and the people who rebuilt it were indeed ethnic Jews.</w:t>
      </w:r>
    </w:p>
    <w:p w14:paraId="746106B8">
      <w:pPr>
        <w:pStyle w:val="9"/>
        <w:spacing w:before="11"/>
        <w:ind w:left="0"/>
        <w:jc w:val="left"/>
        <w:rPr>
          <w:rFonts w:hint="eastAsia"/>
          <w:sz w:val="30"/>
          <w:szCs w:val="30"/>
        </w:rPr>
      </w:pPr>
      <w:r>
        <w:rPr>
          <w:rFonts w:hint="eastAsia"/>
          <w:sz w:val="30"/>
          <w:szCs w:val="30"/>
        </w:rPr>
        <w:t>第25a节的耶路撒冷确实是地上的耶路撒冷，重建它的人也确实是犹太民族。</w:t>
      </w:r>
    </w:p>
    <w:p w14:paraId="4DD68C92">
      <w:pPr>
        <w:pStyle w:val="9"/>
        <w:spacing w:before="11"/>
        <w:ind w:left="0"/>
        <w:jc w:val="left"/>
        <w:rPr>
          <w:rFonts w:hint="eastAsia"/>
          <w:sz w:val="30"/>
          <w:szCs w:val="30"/>
        </w:rPr>
      </w:pPr>
    </w:p>
    <w:p w14:paraId="321D0EC4">
      <w:pPr>
        <w:pStyle w:val="9"/>
        <w:spacing w:before="11"/>
        <w:ind w:left="0"/>
        <w:jc w:val="left"/>
        <w:rPr>
          <w:rFonts w:hint="eastAsia"/>
          <w:sz w:val="30"/>
          <w:szCs w:val="30"/>
        </w:rPr>
      </w:pPr>
      <w:r>
        <w:rPr>
          <w:rFonts w:hint="eastAsia"/>
          <w:sz w:val="30"/>
          <w:szCs w:val="30"/>
        </w:rPr>
        <w:t>But as I will argue in a moment, the City of verse 25b, and the City and Sanctuary of verses 26-27, are different.</w:t>
      </w:r>
    </w:p>
    <w:p w14:paraId="32CAFA03">
      <w:pPr>
        <w:pStyle w:val="9"/>
        <w:spacing w:before="11"/>
        <w:ind w:left="0"/>
        <w:jc w:val="left"/>
        <w:rPr>
          <w:rFonts w:hint="eastAsia"/>
          <w:sz w:val="30"/>
          <w:szCs w:val="30"/>
        </w:rPr>
      </w:pPr>
      <w:r>
        <w:rPr>
          <w:rFonts w:hint="eastAsia"/>
          <w:sz w:val="30"/>
          <w:szCs w:val="30"/>
        </w:rPr>
        <w:t>但正如我稍后将要论证的，第25b节的城，以及第26-27节的城和圣所，是不同的。</w:t>
      </w:r>
    </w:p>
    <w:p w14:paraId="273D1988">
      <w:pPr>
        <w:pStyle w:val="9"/>
        <w:spacing w:before="11"/>
        <w:ind w:left="0"/>
        <w:jc w:val="left"/>
        <w:rPr>
          <w:rFonts w:hint="eastAsia"/>
          <w:sz w:val="30"/>
          <w:szCs w:val="30"/>
        </w:rPr>
      </w:pPr>
    </w:p>
    <w:p w14:paraId="60B3F984">
      <w:pPr>
        <w:pStyle w:val="9"/>
        <w:spacing w:before="11"/>
        <w:ind w:left="0"/>
        <w:jc w:val="left"/>
        <w:rPr>
          <w:rFonts w:hint="eastAsia"/>
          <w:sz w:val="30"/>
          <w:szCs w:val="30"/>
        </w:rPr>
      </w:pPr>
      <w:r>
        <w:rPr>
          <w:rFonts w:hint="eastAsia"/>
          <w:sz w:val="30"/>
          <w:szCs w:val="30"/>
        </w:rPr>
        <w:t>They appear after the coming of Messiah the Prince (25b).</w:t>
      </w:r>
    </w:p>
    <w:p w14:paraId="3C161B58">
      <w:pPr>
        <w:pStyle w:val="9"/>
        <w:spacing w:before="11"/>
        <w:ind w:left="0"/>
        <w:jc w:val="left"/>
        <w:rPr>
          <w:rFonts w:hint="eastAsia"/>
          <w:sz w:val="30"/>
          <w:szCs w:val="30"/>
        </w:rPr>
      </w:pPr>
      <w:r>
        <w:rPr>
          <w:rFonts w:hint="eastAsia"/>
          <w:sz w:val="30"/>
          <w:szCs w:val="30"/>
        </w:rPr>
        <w:t>它们出现在弥赛亚君王降临之后（25b）。</w:t>
      </w:r>
    </w:p>
    <w:p w14:paraId="6B1C14B5">
      <w:pPr>
        <w:pStyle w:val="9"/>
        <w:spacing w:before="11"/>
        <w:ind w:left="0"/>
        <w:jc w:val="left"/>
        <w:rPr>
          <w:rFonts w:hint="eastAsia"/>
          <w:sz w:val="30"/>
          <w:szCs w:val="30"/>
        </w:rPr>
      </w:pPr>
    </w:p>
    <w:p w14:paraId="6A2927F3">
      <w:pPr>
        <w:pStyle w:val="9"/>
        <w:spacing w:before="11"/>
        <w:ind w:left="0"/>
        <w:jc w:val="left"/>
        <w:rPr>
          <w:rFonts w:hint="eastAsia"/>
          <w:sz w:val="30"/>
          <w:szCs w:val="30"/>
        </w:rPr>
      </w:pPr>
      <w:r>
        <w:rPr>
          <w:rFonts w:hint="eastAsia"/>
          <w:sz w:val="30"/>
          <w:szCs w:val="30"/>
        </w:rPr>
        <w:t>They arise in NT times, under the New Covenant.</w:t>
      </w:r>
    </w:p>
    <w:p w14:paraId="39BA56D6">
      <w:pPr>
        <w:pStyle w:val="9"/>
        <w:spacing w:before="11"/>
        <w:ind w:left="0"/>
        <w:jc w:val="left"/>
        <w:rPr>
          <w:rFonts w:hint="eastAsia"/>
          <w:sz w:val="30"/>
          <w:szCs w:val="30"/>
        </w:rPr>
      </w:pPr>
      <w:r>
        <w:rPr>
          <w:rFonts w:hint="eastAsia"/>
          <w:sz w:val="30"/>
          <w:szCs w:val="30"/>
        </w:rPr>
        <w:t>它们兴起于新约时代，在新约之下。</w:t>
      </w:r>
    </w:p>
    <w:p w14:paraId="2D5B8764">
      <w:pPr>
        <w:pStyle w:val="9"/>
        <w:spacing w:before="11"/>
        <w:ind w:left="0"/>
        <w:jc w:val="left"/>
        <w:rPr>
          <w:rFonts w:hint="eastAsia"/>
          <w:sz w:val="30"/>
          <w:szCs w:val="30"/>
        </w:rPr>
      </w:pPr>
    </w:p>
    <w:p w14:paraId="17F3DD9B">
      <w:pPr>
        <w:pStyle w:val="9"/>
        <w:spacing w:before="11"/>
        <w:ind w:left="0"/>
        <w:jc w:val="left"/>
        <w:rPr>
          <w:rFonts w:hint="eastAsia"/>
          <w:sz w:val="30"/>
          <w:szCs w:val="30"/>
        </w:rPr>
      </w:pPr>
      <w:r>
        <w:rPr>
          <w:rFonts w:hint="eastAsia"/>
          <w:sz w:val="30"/>
          <w:szCs w:val="30"/>
        </w:rPr>
        <w:t>Therefore, according to the NCH, they represent Christ’s Church.</w:t>
      </w:r>
    </w:p>
    <w:p w14:paraId="32AEC736">
      <w:pPr>
        <w:pStyle w:val="9"/>
        <w:spacing w:before="11"/>
        <w:ind w:left="0"/>
        <w:jc w:val="left"/>
        <w:rPr>
          <w:rFonts w:hint="eastAsia"/>
          <w:sz w:val="30"/>
          <w:szCs w:val="30"/>
        </w:rPr>
      </w:pPr>
      <w:r>
        <w:rPr>
          <w:rFonts w:hint="eastAsia"/>
          <w:sz w:val="30"/>
          <w:szCs w:val="30"/>
        </w:rPr>
        <w:t>因此，根据新约解释学，它们代表基督的教会。</w:t>
      </w:r>
    </w:p>
    <w:p w14:paraId="571826BF">
      <w:pPr>
        <w:pStyle w:val="9"/>
        <w:spacing w:before="11"/>
        <w:ind w:left="0"/>
        <w:jc w:val="left"/>
        <w:rPr>
          <w:rFonts w:hint="eastAsia"/>
          <w:sz w:val="30"/>
          <w:szCs w:val="30"/>
        </w:rPr>
      </w:pPr>
    </w:p>
    <w:p w14:paraId="3A2F7F43">
      <w:pPr>
        <w:pStyle w:val="9"/>
        <w:spacing w:before="11"/>
        <w:ind w:left="0"/>
        <w:jc w:val="left"/>
        <w:rPr>
          <w:rFonts w:hint="eastAsia"/>
          <w:sz w:val="30"/>
          <w:szCs w:val="30"/>
        </w:rPr>
      </w:pPr>
      <w:r>
        <w:rPr>
          <w:rFonts w:hint="eastAsia"/>
          <w:sz w:val="30"/>
          <w:szCs w:val="30"/>
        </w:rPr>
        <w:t>And as we have seen, Daniel and his godly OT compatriots will be members thereof in excellent standing (John 10:16, Heb. 11:40)!</w:t>
      </w:r>
    </w:p>
    <w:p w14:paraId="4E5AEB90">
      <w:pPr>
        <w:pStyle w:val="9"/>
        <w:spacing w:before="11"/>
        <w:ind w:left="0"/>
        <w:jc w:val="left"/>
        <w:rPr>
          <w:rFonts w:hint="eastAsia"/>
          <w:sz w:val="30"/>
          <w:szCs w:val="30"/>
        </w:rPr>
      </w:pPr>
      <w:r>
        <w:rPr>
          <w:rFonts w:hint="eastAsia"/>
          <w:sz w:val="30"/>
          <w:szCs w:val="30"/>
        </w:rPr>
        <w:t>而且正如我们所见，但以理和他敬虔的旧约同胞将成为其中声誉卓著的成员 (约 10:16, 来 11:40)！</w:t>
      </w:r>
    </w:p>
    <w:p w14:paraId="4A1BA658">
      <w:pPr>
        <w:pStyle w:val="9"/>
        <w:spacing w:before="11"/>
        <w:ind w:left="0"/>
        <w:jc w:val="left"/>
        <w:rPr>
          <w:rFonts w:hint="eastAsia"/>
          <w:sz w:val="30"/>
          <w:szCs w:val="30"/>
        </w:rPr>
      </w:pPr>
    </w:p>
    <w:p w14:paraId="063B2EAD">
      <w:pPr>
        <w:pStyle w:val="9"/>
        <w:spacing w:before="11"/>
        <w:ind w:left="0"/>
        <w:jc w:val="left"/>
        <w:rPr>
          <w:rFonts w:hint="eastAsia"/>
          <w:sz w:val="30"/>
          <w:szCs w:val="30"/>
        </w:rPr>
      </w:pPr>
      <w:r>
        <w:rPr>
          <w:rFonts w:hint="eastAsia"/>
          <w:sz w:val="30"/>
          <w:szCs w:val="30"/>
        </w:rPr>
        <w:t>Gabriel now unveils six redemptive blessings that God will bestow upon his total “Israel” over the course of the seventy sevens (Gal. 6:16).</w:t>
      </w:r>
    </w:p>
    <w:p w14:paraId="37B87E51">
      <w:pPr>
        <w:pStyle w:val="9"/>
        <w:spacing w:before="11"/>
        <w:ind w:left="0"/>
        <w:jc w:val="left"/>
        <w:rPr>
          <w:rFonts w:hint="eastAsia"/>
          <w:sz w:val="30"/>
          <w:szCs w:val="30"/>
        </w:rPr>
      </w:pPr>
      <w:r>
        <w:rPr>
          <w:rFonts w:hint="eastAsia"/>
          <w:sz w:val="30"/>
          <w:szCs w:val="30"/>
        </w:rPr>
        <w:t>加百列现在揭示了神在七十个七的过程中将赐给祂全部“以色列”的六样救赎性祝福 (加 6:16)。</w:t>
      </w:r>
    </w:p>
    <w:p w14:paraId="0B29A47F">
      <w:pPr>
        <w:pStyle w:val="9"/>
        <w:spacing w:before="11"/>
        <w:ind w:left="0"/>
        <w:jc w:val="left"/>
        <w:rPr>
          <w:rFonts w:hint="eastAsia"/>
          <w:sz w:val="30"/>
          <w:szCs w:val="30"/>
        </w:rPr>
      </w:pPr>
    </w:p>
    <w:p w14:paraId="4EF7F5D8">
      <w:pPr>
        <w:pStyle w:val="9"/>
        <w:spacing w:before="11"/>
        <w:ind w:left="0"/>
        <w:jc w:val="left"/>
        <w:rPr>
          <w:rFonts w:hint="eastAsia"/>
          <w:sz w:val="30"/>
          <w:szCs w:val="30"/>
        </w:rPr>
      </w:pPr>
      <w:r>
        <w:rPr>
          <w:rFonts w:hint="eastAsia"/>
          <w:sz w:val="30"/>
          <w:szCs w:val="30"/>
        </w:rPr>
        <w:t>They appear in two triads: The first three pertain to redemptive rescue from sin, the second three to redemptive restoration to eternal life.</w:t>
      </w:r>
    </w:p>
    <w:p w14:paraId="5266E25E">
      <w:pPr>
        <w:pStyle w:val="9"/>
        <w:spacing w:before="11"/>
        <w:ind w:left="0"/>
        <w:jc w:val="left"/>
        <w:rPr>
          <w:rFonts w:hint="eastAsia"/>
          <w:sz w:val="30"/>
          <w:szCs w:val="30"/>
        </w:rPr>
      </w:pPr>
      <w:r>
        <w:rPr>
          <w:rFonts w:hint="eastAsia"/>
          <w:sz w:val="30"/>
          <w:szCs w:val="30"/>
        </w:rPr>
        <w:t>它们以两个三元组出现：前三个关乎从罪中得救的救赎，后三个关乎恢复永生的救赎。</w:t>
      </w:r>
    </w:p>
    <w:p w14:paraId="1E0A2EBF">
      <w:pPr>
        <w:pStyle w:val="9"/>
        <w:spacing w:before="11"/>
        <w:ind w:left="0"/>
        <w:jc w:val="left"/>
        <w:rPr>
          <w:rFonts w:hint="eastAsia"/>
          <w:sz w:val="30"/>
          <w:szCs w:val="30"/>
        </w:rPr>
      </w:pPr>
    </w:p>
    <w:p w14:paraId="30496C22">
      <w:pPr>
        <w:pStyle w:val="9"/>
        <w:spacing w:before="11"/>
        <w:ind w:left="0"/>
        <w:jc w:val="left"/>
        <w:rPr>
          <w:rFonts w:hint="eastAsia"/>
          <w:sz w:val="30"/>
          <w:szCs w:val="30"/>
        </w:rPr>
      </w:pPr>
      <w:r>
        <w:rPr>
          <w:rFonts w:hint="eastAsia"/>
          <w:sz w:val="30"/>
          <w:szCs w:val="30"/>
        </w:rPr>
        <w:t>While textual peculiarities make the exact translation of some these words difficult, the basic message is clear enough, and the NCH richly helps us to uncover the meanings involved.</w:t>
      </w:r>
    </w:p>
    <w:p w14:paraId="703DD283">
      <w:pPr>
        <w:pStyle w:val="9"/>
        <w:spacing w:before="11"/>
        <w:ind w:left="0"/>
        <w:jc w:val="left"/>
        <w:rPr>
          <w:rFonts w:hint="eastAsia"/>
          <w:sz w:val="30"/>
          <w:szCs w:val="30"/>
        </w:rPr>
      </w:pPr>
      <w:r>
        <w:rPr>
          <w:rFonts w:hint="eastAsia"/>
          <w:sz w:val="30"/>
          <w:szCs w:val="30"/>
        </w:rPr>
        <w:t>虽然文本的特殊性使得其中一些词语的确切翻译变得困难，但基本信息足够清晰，而新约解释学则丰富地帮助我们揭示其中涉及的含义。</w:t>
      </w:r>
    </w:p>
    <w:p w14:paraId="3D032A0B">
      <w:pPr>
        <w:pStyle w:val="9"/>
        <w:spacing w:before="11"/>
        <w:ind w:left="0"/>
        <w:jc w:val="left"/>
        <w:rPr>
          <w:rFonts w:hint="eastAsia"/>
          <w:sz w:val="30"/>
          <w:szCs w:val="30"/>
        </w:rPr>
      </w:pPr>
    </w:p>
    <w:p w14:paraId="767EE9F5">
      <w:pPr>
        <w:pStyle w:val="9"/>
        <w:spacing w:before="11"/>
        <w:ind w:left="0"/>
        <w:jc w:val="left"/>
        <w:rPr>
          <w:rFonts w:hint="eastAsia"/>
          <w:sz w:val="30"/>
          <w:szCs w:val="30"/>
        </w:rPr>
      </w:pPr>
      <w:r>
        <w:rPr>
          <w:rFonts w:hint="eastAsia"/>
          <w:sz w:val="30"/>
          <w:szCs w:val="30"/>
        </w:rPr>
        <w:t>My take is as follows.</w:t>
      </w:r>
    </w:p>
    <w:p w14:paraId="711B0F1B">
      <w:pPr>
        <w:pStyle w:val="9"/>
        <w:spacing w:before="11"/>
        <w:ind w:left="0"/>
        <w:jc w:val="left"/>
        <w:rPr>
          <w:rFonts w:hint="eastAsia"/>
          <w:sz w:val="30"/>
          <w:szCs w:val="30"/>
        </w:rPr>
      </w:pPr>
      <w:r>
        <w:rPr>
          <w:rFonts w:hint="eastAsia"/>
          <w:sz w:val="30"/>
          <w:szCs w:val="30"/>
        </w:rPr>
        <w:t>我的看法如下。</w:t>
      </w:r>
    </w:p>
    <w:p w14:paraId="1F266AAA">
      <w:pPr>
        <w:pStyle w:val="9"/>
        <w:spacing w:before="11"/>
        <w:ind w:left="0"/>
        <w:jc w:val="left"/>
        <w:rPr>
          <w:rFonts w:hint="eastAsia"/>
          <w:sz w:val="30"/>
          <w:szCs w:val="30"/>
        </w:rPr>
      </w:pPr>
    </w:p>
    <w:p w14:paraId="0287F371">
      <w:pPr>
        <w:pStyle w:val="9"/>
        <w:spacing w:before="11"/>
        <w:ind w:left="0"/>
        <w:jc w:val="left"/>
        <w:rPr>
          <w:rFonts w:hint="eastAsia"/>
          <w:sz w:val="30"/>
          <w:szCs w:val="30"/>
        </w:rPr>
      </w:pPr>
      <w:r>
        <w:rPr>
          <w:rFonts w:hint="eastAsia"/>
          <w:sz w:val="30"/>
          <w:szCs w:val="30"/>
        </w:rPr>
        <w:t>By the end of the seventy sevens—and because of the total redemptive work of Christ, both in his humiliation and exaltation—God will have completely: (1) finished (or restrained) the transgression of his people (i.e., stopped their transgressing, as well as the power of their former transgressions to condemn them); (2) made an end of (or sealed up, concealed) their sins (i.e., stopped their sinning, as well as the power of their sins to condemn them); (3) made atonement through Christ for their iniquity, thereby reconciling them to God; (4) brought in everlasting righteousness (i.e., imputed and imparted Christ’s righteousness to his people, so that in the end they may dwell where perfect righteousness dwells, 2 Peter 3:13); (5) sealed up vision and prophecy (i.e., fulfilled all previous canonical visions and prophecies); and, (6) anointed the Most Holy (i.e., bestowed divine glory and perfect holiness upon his eschatological Sanctuary, which is the Body and Bride of his Son, the Church, Eph. 3:21, Rev. 21:1-11).</w:t>
      </w:r>
    </w:p>
    <w:p w14:paraId="2759D576">
      <w:pPr>
        <w:pStyle w:val="9"/>
        <w:spacing w:before="11"/>
        <w:ind w:left="0"/>
        <w:jc w:val="left"/>
        <w:rPr>
          <w:rFonts w:hint="eastAsia"/>
          <w:sz w:val="30"/>
          <w:szCs w:val="30"/>
        </w:rPr>
      </w:pPr>
      <w:r>
        <w:rPr>
          <w:rFonts w:hint="eastAsia"/>
          <w:sz w:val="30"/>
          <w:szCs w:val="30"/>
        </w:rPr>
        <w:t>到七十个七结束时——并且因为基督完全的救赎工作，包括祂的降卑和高升——神将完全地：(1) 结束（或遏制）祂子民的过犯（即，停止他们的过犯，以及他们先前过犯定罪的能力）；(2) 终结（或封存、隐藏）他们的罪（即，停止他们的犯罪，以及他们罪恶定罪的能力）；(3) 通过基督为他们的罪孽赎罪，从而使他们与神和好；(4) 引进永义（即，将基督的义归算并赋予祂的子民，以便最终他们可以住在有完全公义居住的地方，彼后3:13）；(5) 封住异象和预言（即，应验所有先前的正典异象和预言）；以及，(6) 膏抹至圣所（即，将神圣的荣耀和完美的圣洁赐给祂末世的圣所，即祂儿子的身体和新妇，教会，弗3:21，启21:1-11）。</w:t>
      </w:r>
    </w:p>
    <w:p w14:paraId="4F1D30C0">
      <w:pPr>
        <w:pStyle w:val="9"/>
        <w:spacing w:before="11"/>
        <w:ind w:left="0"/>
        <w:jc w:val="left"/>
        <w:rPr>
          <w:rFonts w:hint="eastAsia"/>
          <w:sz w:val="30"/>
          <w:szCs w:val="30"/>
        </w:rPr>
      </w:pPr>
    </w:p>
    <w:p w14:paraId="5ADC5C64">
      <w:pPr>
        <w:pStyle w:val="9"/>
        <w:spacing w:before="11"/>
        <w:ind w:left="0"/>
        <w:jc w:val="left"/>
        <w:rPr>
          <w:rFonts w:hint="eastAsia"/>
          <w:sz w:val="30"/>
          <w:szCs w:val="30"/>
        </w:rPr>
      </w:pPr>
      <w:r>
        <w:rPr>
          <w:rFonts w:hint="eastAsia"/>
          <w:sz w:val="30"/>
          <w:szCs w:val="30"/>
        </w:rPr>
        <w:t>These are all Kingdom blessings, to be introduced by the New Covenant that will create the Kingdom.</w:t>
      </w:r>
    </w:p>
    <w:p w14:paraId="512779D0">
      <w:pPr>
        <w:pStyle w:val="9"/>
        <w:spacing w:before="11"/>
        <w:ind w:left="0"/>
        <w:jc w:val="left"/>
        <w:rPr>
          <w:rFonts w:hint="eastAsia"/>
          <w:sz w:val="30"/>
          <w:szCs w:val="30"/>
        </w:rPr>
      </w:pPr>
      <w:r>
        <w:rPr>
          <w:rFonts w:hint="eastAsia"/>
          <w:sz w:val="30"/>
          <w:szCs w:val="30"/>
        </w:rPr>
        <w:t>这些都是国度的祝福，将由创造国度的新约所引入。</w:t>
      </w:r>
    </w:p>
    <w:p w14:paraId="3A54A49E">
      <w:pPr>
        <w:pStyle w:val="9"/>
        <w:spacing w:before="11"/>
        <w:ind w:left="0"/>
        <w:jc w:val="left"/>
        <w:rPr>
          <w:rFonts w:hint="eastAsia"/>
          <w:sz w:val="30"/>
          <w:szCs w:val="30"/>
        </w:rPr>
      </w:pPr>
    </w:p>
    <w:p w14:paraId="28D8D53C">
      <w:pPr>
        <w:pStyle w:val="9"/>
        <w:spacing w:before="11"/>
        <w:ind w:left="0"/>
        <w:jc w:val="left"/>
        <w:rPr>
          <w:rFonts w:hint="eastAsia"/>
          <w:sz w:val="30"/>
          <w:szCs w:val="30"/>
        </w:rPr>
      </w:pPr>
      <w:r>
        <w:rPr>
          <w:rFonts w:hint="eastAsia"/>
          <w:sz w:val="30"/>
          <w:szCs w:val="30"/>
        </w:rPr>
        <w:t>Therefore, since the Kingdom comes in two stages, there is a sense in which we Christians already enjoy them; there is a sense (largely forensic) in which we have already taken possession of them.</w:t>
      </w:r>
    </w:p>
    <w:p w14:paraId="1F2336EE">
      <w:pPr>
        <w:pStyle w:val="9"/>
        <w:spacing w:before="11"/>
        <w:ind w:left="0"/>
        <w:jc w:val="left"/>
        <w:rPr>
          <w:rFonts w:hint="eastAsia"/>
          <w:sz w:val="30"/>
          <w:szCs w:val="30"/>
        </w:rPr>
      </w:pPr>
      <w:r>
        <w:rPr>
          <w:rFonts w:hint="eastAsia"/>
          <w:sz w:val="30"/>
          <w:szCs w:val="30"/>
        </w:rPr>
        <w:t>因此，既然国度分两个阶段来临，在某种意义上，我们基督徒已经享受了它们；在某种（主要是法理上的）意义上，我们已经拥有了它们。</w:t>
      </w:r>
    </w:p>
    <w:p w14:paraId="63A248E6">
      <w:pPr>
        <w:pStyle w:val="9"/>
        <w:spacing w:before="11"/>
        <w:ind w:left="0"/>
        <w:jc w:val="left"/>
        <w:rPr>
          <w:rFonts w:hint="eastAsia"/>
          <w:sz w:val="30"/>
          <w:szCs w:val="30"/>
        </w:rPr>
      </w:pPr>
    </w:p>
    <w:p w14:paraId="6A577E94">
      <w:pPr>
        <w:pStyle w:val="9"/>
        <w:spacing w:before="11"/>
        <w:ind w:left="0"/>
        <w:jc w:val="left"/>
        <w:rPr>
          <w:rFonts w:hint="eastAsia"/>
          <w:sz w:val="30"/>
          <w:szCs w:val="30"/>
        </w:rPr>
      </w:pPr>
      <w:r>
        <w:rPr>
          <w:rFonts w:hint="eastAsia"/>
          <w:sz w:val="30"/>
          <w:szCs w:val="30"/>
        </w:rPr>
        <w:t>Nevertheless, the accent here definitely falls upon the end, the eschaton, the final state.</w:t>
      </w:r>
    </w:p>
    <w:p w14:paraId="06B1C4E7">
      <w:pPr>
        <w:pStyle w:val="9"/>
        <w:spacing w:before="11"/>
        <w:ind w:left="0"/>
        <w:jc w:val="left"/>
        <w:rPr>
          <w:rFonts w:hint="eastAsia"/>
          <w:sz w:val="30"/>
          <w:szCs w:val="30"/>
        </w:rPr>
      </w:pPr>
      <w:r>
        <w:rPr>
          <w:rFonts w:hint="eastAsia"/>
          <w:sz w:val="30"/>
          <w:szCs w:val="30"/>
        </w:rPr>
        <w:t>然而，这里的重点无疑是落在末了，末世，最终的状态上。</w:t>
      </w:r>
    </w:p>
    <w:p w14:paraId="6B304540">
      <w:pPr>
        <w:pStyle w:val="9"/>
        <w:spacing w:before="11"/>
        <w:ind w:left="0"/>
        <w:jc w:val="left"/>
        <w:rPr>
          <w:rFonts w:hint="eastAsia"/>
          <w:sz w:val="30"/>
          <w:szCs w:val="30"/>
        </w:rPr>
      </w:pPr>
    </w:p>
    <w:p w14:paraId="2E5206CB">
      <w:pPr>
        <w:pStyle w:val="9"/>
        <w:spacing w:before="11"/>
        <w:ind w:left="0"/>
        <w:jc w:val="left"/>
        <w:rPr>
          <w:rFonts w:hint="eastAsia"/>
          <w:sz w:val="30"/>
          <w:szCs w:val="30"/>
        </w:rPr>
      </w:pPr>
      <w:r>
        <w:rPr>
          <w:rFonts w:hint="eastAsia"/>
          <w:sz w:val="30"/>
          <w:szCs w:val="30"/>
        </w:rPr>
        <w:t>Commenting on the blessings of the completed Kingdom, and indicating Gabriel’s purpose in declaring them to Daniel, Leupold writes:</w:t>
      </w:r>
    </w:p>
    <w:p w14:paraId="6AFCF57D">
      <w:pPr>
        <w:pStyle w:val="9"/>
        <w:spacing w:before="11"/>
        <w:ind w:left="0"/>
        <w:jc w:val="left"/>
        <w:rPr>
          <w:rFonts w:hint="eastAsia"/>
          <w:sz w:val="30"/>
          <w:szCs w:val="30"/>
        </w:rPr>
      </w:pPr>
      <w:r>
        <w:rPr>
          <w:rFonts w:hint="eastAsia"/>
          <w:sz w:val="30"/>
          <w:szCs w:val="30"/>
        </w:rPr>
        <w:t>在评论完备国度的祝福，并指出加百列向但以理宣告这些祝福的目的时，卢波德写道：</w:t>
      </w:r>
    </w:p>
    <w:p w14:paraId="07249048">
      <w:pPr>
        <w:pStyle w:val="9"/>
        <w:spacing w:before="11"/>
        <w:ind w:left="0"/>
        <w:jc w:val="left"/>
        <w:rPr>
          <w:rFonts w:hint="eastAsia"/>
          <w:sz w:val="30"/>
          <w:szCs w:val="30"/>
        </w:rPr>
      </w:pPr>
    </w:p>
    <w:p w14:paraId="6DDF9958">
      <w:pPr>
        <w:pStyle w:val="9"/>
        <w:spacing w:before="11"/>
        <w:ind w:left="0"/>
        <w:jc w:val="left"/>
        <w:rPr>
          <w:rFonts w:hint="eastAsia"/>
          <w:sz w:val="30"/>
          <w:szCs w:val="30"/>
        </w:rPr>
      </w:pPr>
      <w:r>
        <w:rPr>
          <w:rFonts w:hint="eastAsia"/>
          <w:sz w:val="30"/>
          <w:szCs w:val="30"/>
        </w:rPr>
        <w:t>In these six statements we have the sum of all the good things that God promised to men perfectly realized.</w:t>
      </w:r>
    </w:p>
    <w:p w14:paraId="699971A5">
      <w:pPr>
        <w:pStyle w:val="9"/>
        <w:spacing w:before="11"/>
        <w:ind w:left="0"/>
        <w:jc w:val="left"/>
        <w:rPr>
          <w:rFonts w:hint="eastAsia"/>
          <w:sz w:val="30"/>
          <w:szCs w:val="30"/>
        </w:rPr>
      </w:pPr>
      <w:r>
        <w:rPr>
          <w:rFonts w:hint="eastAsia"/>
          <w:sz w:val="30"/>
          <w:szCs w:val="30"/>
        </w:rPr>
        <w:t>在这六项声明中，我们看到了神应许给人类的所有美好事物完美实现的总和。</w:t>
      </w:r>
    </w:p>
    <w:p w14:paraId="13392042">
      <w:pPr>
        <w:pStyle w:val="9"/>
        <w:spacing w:before="11"/>
        <w:ind w:left="0"/>
        <w:jc w:val="left"/>
        <w:rPr>
          <w:rFonts w:hint="eastAsia"/>
          <w:sz w:val="30"/>
          <w:szCs w:val="30"/>
        </w:rPr>
      </w:pPr>
    </w:p>
    <w:p w14:paraId="415D0BFD">
      <w:pPr>
        <w:pStyle w:val="9"/>
        <w:spacing w:before="11"/>
        <w:ind w:left="0"/>
        <w:jc w:val="left"/>
        <w:rPr>
          <w:rFonts w:hint="eastAsia"/>
          <w:sz w:val="30"/>
          <w:szCs w:val="30"/>
        </w:rPr>
      </w:pPr>
      <w:r>
        <w:rPr>
          <w:rFonts w:hint="eastAsia"/>
          <w:sz w:val="30"/>
          <w:szCs w:val="30"/>
        </w:rPr>
        <w:t>With this verse we stand at the ultimate goal of the history of the Kingdom of God.</w:t>
      </w:r>
    </w:p>
    <w:p w14:paraId="7FCCE6A0">
      <w:pPr>
        <w:pStyle w:val="9"/>
        <w:spacing w:before="11"/>
        <w:ind w:left="0"/>
        <w:jc w:val="left"/>
        <w:rPr>
          <w:rFonts w:hint="eastAsia"/>
          <w:sz w:val="30"/>
          <w:szCs w:val="30"/>
        </w:rPr>
      </w:pPr>
      <w:r>
        <w:rPr>
          <w:rFonts w:hint="eastAsia"/>
          <w:sz w:val="30"/>
          <w:szCs w:val="30"/>
        </w:rPr>
        <w:t>有了这一节，我们便站在了神国度历史的最终目标上。</w:t>
      </w:r>
    </w:p>
    <w:p w14:paraId="79F244DF">
      <w:pPr>
        <w:pStyle w:val="9"/>
        <w:spacing w:before="11"/>
        <w:ind w:left="0"/>
        <w:jc w:val="left"/>
        <w:rPr>
          <w:rFonts w:hint="eastAsia"/>
          <w:sz w:val="30"/>
          <w:szCs w:val="30"/>
        </w:rPr>
      </w:pPr>
    </w:p>
    <w:p w14:paraId="5E804531">
      <w:pPr>
        <w:pStyle w:val="9"/>
        <w:spacing w:before="11"/>
        <w:ind w:left="0"/>
        <w:jc w:val="left"/>
        <w:rPr>
          <w:rFonts w:hint="eastAsia"/>
          <w:sz w:val="30"/>
          <w:szCs w:val="30"/>
        </w:rPr>
      </w:pPr>
      <w:r>
        <w:rPr>
          <w:rFonts w:hint="eastAsia"/>
          <w:sz w:val="30"/>
          <w:szCs w:val="30"/>
        </w:rPr>
        <w:t>What follows will unfold the successive stages by which this goal is realized and present the main features to be looked for and borne in mind by the people of God.</w:t>
      </w:r>
    </w:p>
    <w:p w14:paraId="069AB115">
      <w:pPr>
        <w:pStyle w:val="9"/>
        <w:spacing w:before="11"/>
        <w:ind w:left="0"/>
        <w:jc w:val="left"/>
        <w:rPr>
          <w:rFonts w:hint="eastAsia"/>
          <w:sz w:val="30"/>
          <w:szCs w:val="30"/>
        </w:rPr>
      </w:pPr>
      <w:r>
        <w:rPr>
          <w:rFonts w:hint="eastAsia"/>
          <w:sz w:val="30"/>
          <w:szCs w:val="30"/>
        </w:rPr>
        <w:t>接下来的内容将展开实现这一目标的各个阶段，并呈现出神子民应当寻求和铭记的主要特征。</w:t>
      </w:r>
    </w:p>
    <w:p w14:paraId="0723AA6C">
      <w:pPr>
        <w:pStyle w:val="9"/>
        <w:spacing w:before="11"/>
        <w:ind w:left="0"/>
        <w:jc w:val="left"/>
        <w:rPr>
          <w:rFonts w:hint="eastAsia"/>
          <w:sz w:val="30"/>
          <w:szCs w:val="30"/>
        </w:rPr>
      </w:pPr>
    </w:p>
    <w:p w14:paraId="585A9089">
      <w:pPr>
        <w:pStyle w:val="9"/>
        <w:spacing w:before="11"/>
        <w:ind w:left="0"/>
        <w:jc w:val="left"/>
        <w:rPr>
          <w:rFonts w:hint="eastAsia"/>
          <w:sz w:val="30"/>
          <w:szCs w:val="30"/>
        </w:rPr>
      </w:pPr>
      <w:r>
        <w:rPr>
          <w:rFonts w:hint="eastAsia"/>
          <w:sz w:val="30"/>
          <w:szCs w:val="30"/>
        </w:rPr>
        <w:t>We have just seen the essentials of God’s program for the ages.10</w:t>
      </w:r>
    </w:p>
    <w:p w14:paraId="7133F3FB">
      <w:pPr>
        <w:pStyle w:val="9"/>
        <w:spacing w:before="11"/>
        <w:ind w:left="0"/>
        <w:jc w:val="left"/>
        <w:rPr>
          <w:rFonts w:hint="eastAsia"/>
          <w:sz w:val="30"/>
          <w:szCs w:val="30"/>
        </w:rPr>
      </w:pPr>
      <w:r>
        <w:rPr>
          <w:rFonts w:hint="eastAsia"/>
          <w:sz w:val="30"/>
          <w:szCs w:val="30"/>
        </w:rPr>
        <w:t>我们刚刚看到了神为万世所定的计划的要点。10</w:t>
      </w:r>
    </w:p>
    <w:p w14:paraId="32853170">
      <w:pPr>
        <w:pStyle w:val="9"/>
        <w:spacing w:before="11"/>
        <w:ind w:left="0"/>
        <w:jc w:val="left"/>
        <w:rPr>
          <w:rFonts w:hint="eastAsia"/>
          <w:sz w:val="30"/>
          <w:szCs w:val="30"/>
        </w:rPr>
      </w:pPr>
    </w:p>
    <w:p w14:paraId="4AB8F52F">
      <w:pPr>
        <w:pStyle w:val="9"/>
        <w:spacing w:before="11"/>
        <w:ind w:left="0"/>
        <w:jc w:val="left"/>
        <w:rPr>
          <w:rFonts w:hint="eastAsia"/>
          <w:sz w:val="30"/>
          <w:szCs w:val="30"/>
        </w:rPr>
      </w:pPr>
      <w:r>
        <w:rPr>
          <w:rFonts w:hint="eastAsia"/>
          <w:sz w:val="30"/>
          <w:szCs w:val="30"/>
        </w:rPr>
        <w:t>Verse 25</w:t>
      </w:r>
    </w:p>
    <w:p w14:paraId="3C2A5FA9">
      <w:pPr>
        <w:pStyle w:val="9"/>
        <w:spacing w:before="11"/>
        <w:ind w:left="0"/>
        <w:jc w:val="left"/>
        <w:rPr>
          <w:rFonts w:hint="eastAsia"/>
          <w:sz w:val="30"/>
          <w:szCs w:val="30"/>
        </w:rPr>
      </w:pPr>
      <w:r>
        <w:rPr>
          <w:rFonts w:hint="eastAsia"/>
          <w:sz w:val="30"/>
          <w:szCs w:val="30"/>
        </w:rPr>
        <w:t>第25节</w:t>
      </w:r>
    </w:p>
    <w:p w14:paraId="563A95CC">
      <w:pPr>
        <w:pStyle w:val="9"/>
        <w:spacing w:before="11"/>
        <w:ind w:left="0"/>
        <w:jc w:val="left"/>
        <w:rPr>
          <w:rFonts w:hint="eastAsia"/>
          <w:sz w:val="30"/>
          <w:szCs w:val="30"/>
        </w:rPr>
      </w:pPr>
    </w:p>
    <w:p w14:paraId="2FF996D8">
      <w:pPr>
        <w:pStyle w:val="9"/>
        <w:spacing w:before="11"/>
        <w:ind w:left="0"/>
        <w:jc w:val="left"/>
        <w:rPr>
          <w:rFonts w:hint="eastAsia"/>
          <w:sz w:val="30"/>
          <w:szCs w:val="30"/>
        </w:rPr>
      </w:pPr>
      <w:r>
        <w:rPr>
          <w:rFonts w:hint="eastAsia"/>
          <w:sz w:val="30"/>
          <w:szCs w:val="30"/>
        </w:rPr>
        <w:t>So you are to know and discern that from the issuing of a decree to restore and to rebuild Jerusalem until Messiah the Prince there will be seven sevens; and for sixty-two sevens it will be built again with open square and moat (or wall), even in troubled times.</w:t>
      </w:r>
    </w:p>
    <w:p w14:paraId="5B5F66C2">
      <w:pPr>
        <w:pStyle w:val="9"/>
        <w:spacing w:before="11"/>
        <w:ind w:left="0"/>
        <w:jc w:val="left"/>
        <w:rPr>
          <w:rFonts w:hint="eastAsia"/>
          <w:sz w:val="30"/>
          <w:szCs w:val="30"/>
        </w:rPr>
      </w:pPr>
      <w:r>
        <w:rPr>
          <w:rFonts w:hint="eastAsia"/>
          <w:sz w:val="30"/>
          <w:szCs w:val="30"/>
        </w:rPr>
        <w:t>你当知道，当明白，从出令重新建造耶路撒冷，直到有受膏君的时候，必有七个七；又有六十二个七，那时候，耶路撒冷城连街带濠都必在艰难中重新建造。</w:t>
      </w:r>
    </w:p>
    <w:p w14:paraId="1A5C98A9">
      <w:pPr>
        <w:pStyle w:val="9"/>
        <w:spacing w:before="11"/>
        <w:ind w:left="0"/>
        <w:jc w:val="left"/>
        <w:rPr>
          <w:rFonts w:hint="eastAsia"/>
          <w:sz w:val="30"/>
          <w:szCs w:val="30"/>
        </w:rPr>
      </w:pPr>
    </w:p>
    <w:p w14:paraId="5F100DB7">
      <w:pPr>
        <w:pStyle w:val="9"/>
        <w:spacing w:before="11"/>
        <w:ind w:left="0"/>
        <w:jc w:val="left"/>
        <w:rPr>
          <w:rFonts w:hint="eastAsia"/>
          <w:sz w:val="30"/>
          <w:szCs w:val="30"/>
        </w:rPr>
      </w:pPr>
      <w:r>
        <w:rPr>
          <w:rFonts w:hint="eastAsia"/>
          <w:sz w:val="30"/>
          <w:szCs w:val="30"/>
        </w:rPr>
        <w:t>This verse spans the bulk of the remainder of Salvation History: 69 of the 70 sevens.</w:t>
      </w:r>
    </w:p>
    <w:p w14:paraId="5A25236B">
      <w:pPr>
        <w:pStyle w:val="9"/>
        <w:spacing w:before="11"/>
        <w:ind w:left="0"/>
        <w:jc w:val="left"/>
        <w:rPr>
          <w:rFonts w:hint="eastAsia"/>
          <w:sz w:val="30"/>
          <w:szCs w:val="30"/>
        </w:rPr>
      </w:pPr>
      <w:r>
        <w:rPr>
          <w:rFonts w:hint="eastAsia"/>
          <w:sz w:val="30"/>
          <w:szCs w:val="30"/>
        </w:rPr>
        <w:t>这节经文跨越了救赎历史剩余部分的大部分：70个七中的69个。</w:t>
      </w:r>
    </w:p>
    <w:p w14:paraId="5F4474A5">
      <w:pPr>
        <w:pStyle w:val="9"/>
        <w:spacing w:before="11"/>
        <w:ind w:left="0"/>
        <w:jc w:val="left"/>
        <w:rPr>
          <w:rFonts w:hint="eastAsia"/>
          <w:sz w:val="30"/>
          <w:szCs w:val="30"/>
        </w:rPr>
      </w:pPr>
    </w:p>
    <w:p w14:paraId="57D60679">
      <w:pPr>
        <w:pStyle w:val="9"/>
        <w:spacing w:before="11"/>
        <w:ind w:left="0"/>
        <w:jc w:val="left"/>
        <w:rPr>
          <w:rFonts w:hint="eastAsia"/>
          <w:sz w:val="30"/>
          <w:szCs w:val="30"/>
        </w:rPr>
      </w:pPr>
      <w:r>
        <w:rPr>
          <w:rFonts w:hint="eastAsia"/>
          <w:sz w:val="30"/>
          <w:szCs w:val="30"/>
        </w:rPr>
        <w:t>According to the ESV, the marginal reading of the ASV, and the advocates of the RTAV, it is properly divided into two distinct parts: the first seven, and the 62 sevens that follow it.</w:t>
      </w:r>
    </w:p>
    <w:p w14:paraId="7554E41A">
      <w:pPr>
        <w:pStyle w:val="9"/>
        <w:spacing w:before="11"/>
        <w:ind w:left="0"/>
        <w:jc w:val="left"/>
        <w:rPr>
          <w:rFonts w:hint="eastAsia"/>
          <w:sz w:val="30"/>
          <w:szCs w:val="30"/>
        </w:rPr>
      </w:pPr>
      <w:r>
        <w:rPr>
          <w:rFonts w:hint="eastAsia"/>
          <w:sz w:val="30"/>
          <w:szCs w:val="30"/>
        </w:rPr>
        <w:t>根据ESV，ASV的旁注读法，以及改革宗两次降临观的支持者的观点，它被恰当地分为两个不同的部分：第一个七，以及其后的六十二个七。</w:t>
      </w:r>
    </w:p>
    <w:p w14:paraId="3B4C5B89">
      <w:pPr>
        <w:pStyle w:val="9"/>
        <w:spacing w:before="11"/>
        <w:ind w:left="0"/>
        <w:jc w:val="left"/>
        <w:rPr>
          <w:rFonts w:hint="eastAsia"/>
          <w:sz w:val="30"/>
          <w:szCs w:val="30"/>
        </w:rPr>
      </w:pPr>
    </w:p>
    <w:p w14:paraId="40E73E90">
      <w:pPr>
        <w:pStyle w:val="9"/>
        <w:spacing w:before="11"/>
        <w:ind w:left="0"/>
        <w:jc w:val="left"/>
        <w:rPr>
          <w:rFonts w:hint="eastAsia"/>
          <w:sz w:val="30"/>
          <w:szCs w:val="30"/>
        </w:rPr>
      </w:pPr>
      <w:r>
        <w:rPr>
          <w:rFonts w:hint="eastAsia"/>
          <w:sz w:val="30"/>
          <w:szCs w:val="30"/>
        </w:rPr>
        <w:t>The first seven begins with a decree to restore and rebuild earthly Jerusalem.</w:t>
      </w:r>
    </w:p>
    <w:p w14:paraId="4E834A6C">
      <w:pPr>
        <w:pStyle w:val="9"/>
        <w:spacing w:before="11"/>
        <w:ind w:left="0"/>
        <w:jc w:val="left"/>
        <w:rPr>
          <w:rFonts w:hint="eastAsia"/>
          <w:sz w:val="30"/>
          <w:szCs w:val="30"/>
        </w:rPr>
      </w:pPr>
      <w:r>
        <w:rPr>
          <w:rFonts w:hint="eastAsia"/>
          <w:sz w:val="30"/>
          <w:szCs w:val="30"/>
        </w:rPr>
        <w:t>第一个七始于一道修复和重建地上耶路撒冷的谕旨。</w:t>
      </w:r>
    </w:p>
    <w:p w14:paraId="4CB68164">
      <w:pPr>
        <w:pStyle w:val="9"/>
        <w:spacing w:before="11"/>
        <w:ind w:left="0"/>
        <w:jc w:val="left"/>
        <w:rPr>
          <w:rFonts w:hint="eastAsia"/>
          <w:sz w:val="30"/>
          <w:szCs w:val="30"/>
        </w:rPr>
      </w:pPr>
    </w:p>
    <w:p w14:paraId="657B984E">
      <w:pPr>
        <w:pStyle w:val="9"/>
        <w:spacing w:before="11"/>
        <w:ind w:left="0"/>
        <w:jc w:val="left"/>
        <w:rPr>
          <w:rFonts w:hint="eastAsia"/>
          <w:sz w:val="30"/>
          <w:szCs w:val="30"/>
        </w:rPr>
      </w:pPr>
      <w:r>
        <w:rPr>
          <w:rFonts w:hint="eastAsia"/>
          <w:sz w:val="30"/>
          <w:szCs w:val="30"/>
        </w:rPr>
        <w:t>Most likely it is the decree issued by Cyrus in 538 BC, though the precise date is of little importance, since the first “seven” is not a week of years, but an era of Salvation History whose exact duration we neither know nor need to know (Ezra 1:1- 4, Isaiah 44:28; cf., Dan. 9:23).</w:t>
      </w:r>
    </w:p>
    <w:p w14:paraId="1BEAE6B7">
      <w:pPr>
        <w:pStyle w:val="9"/>
        <w:spacing w:before="11"/>
        <w:ind w:left="0"/>
        <w:jc w:val="left"/>
        <w:rPr>
          <w:rFonts w:hint="eastAsia"/>
          <w:sz w:val="30"/>
          <w:szCs w:val="30"/>
        </w:rPr>
      </w:pPr>
      <w:r>
        <w:rPr>
          <w:rFonts w:hint="eastAsia"/>
          <w:sz w:val="30"/>
          <w:szCs w:val="30"/>
        </w:rPr>
        <w:t>很可能是公元前538年居鲁士颁布的谕旨，尽管确切日期并不重要，因为第一个“七”不是一个七年期，而是救赎历史的一个时代，其确切持续时间我们既不知道也不需要知道 (拉 1:1-4, 赛 44:28; 参 但 9:23)。</w:t>
      </w:r>
    </w:p>
    <w:p w14:paraId="131A33B3">
      <w:pPr>
        <w:pStyle w:val="9"/>
        <w:spacing w:before="11"/>
        <w:ind w:left="0"/>
        <w:jc w:val="left"/>
        <w:rPr>
          <w:rFonts w:hint="eastAsia"/>
          <w:sz w:val="30"/>
          <w:szCs w:val="30"/>
        </w:rPr>
      </w:pPr>
    </w:p>
    <w:p w14:paraId="4559D096">
      <w:pPr>
        <w:pStyle w:val="9"/>
        <w:spacing w:before="11"/>
        <w:ind w:left="0"/>
        <w:jc w:val="left"/>
        <w:rPr>
          <w:rFonts w:hint="eastAsia"/>
          <w:sz w:val="30"/>
          <w:szCs w:val="30"/>
        </w:rPr>
      </w:pPr>
      <w:r>
        <w:rPr>
          <w:rFonts w:hint="eastAsia"/>
          <w:sz w:val="30"/>
          <w:szCs w:val="30"/>
        </w:rPr>
        <w:t>The first seven ends with the coming of Messiah the Prince.</w:t>
      </w:r>
    </w:p>
    <w:p w14:paraId="7D149FCB">
      <w:pPr>
        <w:pStyle w:val="9"/>
        <w:spacing w:before="11"/>
        <w:ind w:left="0"/>
        <w:jc w:val="left"/>
        <w:rPr>
          <w:rFonts w:hint="eastAsia"/>
          <w:sz w:val="30"/>
          <w:szCs w:val="30"/>
        </w:rPr>
      </w:pPr>
      <w:r>
        <w:rPr>
          <w:rFonts w:hint="eastAsia"/>
          <w:sz w:val="30"/>
          <w:szCs w:val="30"/>
        </w:rPr>
        <w:t>第一个七以弥赛亚君王的降临而告终。</w:t>
      </w:r>
    </w:p>
    <w:p w14:paraId="6FEDA559">
      <w:pPr>
        <w:pStyle w:val="9"/>
        <w:spacing w:before="11"/>
        <w:ind w:left="0"/>
        <w:jc w:val="left"/>
        <w:rPr>
          <w:rFonts w:hint="eastAsia"/>
          <w:sz w:val="30"/>
          <w:szCs w:val="30"/>
        </w:rPr>
      </w:pPr>
    </w:p>
    <w:p w14:paraId="3E645F84">
      <w:pPr>
        <w:pStyle w:val="9"/>
        <w:spacing w:before="11"/>
        <w:ind w:left="0"/>
        <w:jc w:val="left"/>
        <w:rPr>
          <w:rFonts w:hint="eastAsia"/>
          <w:sz w:val="30"/>
          <w:szCs w:val="30"/>
        </w:rPr>
      </w:pPr>
      <w:r>
        <w:rPr>
          <w:rFonts w:hint="eastAsia"/>
          <w:sz w:val="30"/>
          <w:szCs w:val="30"/>
        </w:rPr>
        <w:t>This is first advent of Christ, through whose earthly work—through whose humiliation—all the blessings of v. 24 were purchased and are thereafter bestowed.</w:t>
      </w:r>
    </w:p>
    <w:p w14:paraId="30E85A0D">
      <w:pPr>
        <w:pStyle w:val="9"/>
        <w:spacing w:before="11"/>
        <w:ind w:left="0"/>
        <w:jc w:val="left"/>
        <w:rPr>
          <w:rFonts w:hint="eastAsia"/>
          <w:sz w:val="30"/>
          <w:szCs w:val="30"/>
        </w:rPr>
      </w:pPr>
      <w:r>
        <w:rPr>
          <w:rFonts w:hint="eastAsia"/>
          <w:sz w:val="30"/>
          <w:szCs w:val="30"/>
        </w:rPr>
        <w:t>这是基督的第一次降临，通过祂在地上的工作——通过祂的降卑——第24节的所有祝福都被买赎，并在此后被赐下。</w:t>
      </w:r>
    </w:p>
    <w:p w14:paraId="527E57F8">
      <w:pPr>
        <w:pStyle w:val="9"/>
        <w:spacing w:before="11"/>
        <w:ind w:left="0"/>
        <w:jc w:val="left"/>
        <w:rPr>
          <w:rFonts w:hint="eastAsia"/>
          <w:sz w:val="30"/>
          <w:szCs w:val="30"/>
        </w:rPr>
      </w:pPr>
    </w:p>
    <w:p w14:paraId="5DF18395">
      <w:pPr>
        <w:pStyle w:val="9"/>
        <w:spacing w:before="11"/>
        <w:ind w:left="0"/>
        <w:jc w:val="left"/>
        <w:rPr>
          <w:rFonts w:hint="eastAsia"/>
          <w:sz w:val="30"/>
          <w:szCs w:val="30"/>
        </w:rPr>
      </w:pPr>
      <w:r>
        <w:rPr>
          <w:rFonts w:hint="eastAsia"/>
          <w:sz w:val="30"/>
          <w:szCs w:val="30"/>
        </w:rPr>
        <w:t>Now the 62 sevens begin.</w:t>
      </w:r>
    </w:p>
    <w:p w14:paraId="01039DCE">
      <w:pPr>
        <w:pStyle w:val="9"/>
        <w:spacing w:before="11"/>
        <w:ind w:left="0"/>
        <w:jc w:val="left"/>
        <w:rPr>
          <w:rFonts w:hint="eastAsia"/>
          <w:sz w:val="30"/>
          <w:szCs w:val="30"/>
        </w:rPr>
      </w:pPr>
      <w:r>
        <w:rPr>
          <w:rFonts w:hint="eastAsia"/>
          <w:sz w:val="30"/>
          <w:szCs w:val="30"/>
        </w:rPr>
        <w:t>现在，六十二个七开始了。</w:t>
      </w:r>
    </w:p>
    <w:p w14:paraId="101A1808">
      <w:pPr>
        <w:pStyle w:val="9"/>
        <w:spacing w:before="11"/>
        <w:ind w:left="0"/>
        <w:jc w:val="left"/>
        <w:rPr>
          <w:rFonts w:hint="eastAsia"/>
          <w:sz w:val="30"/>
          <w:szCs w:val="30"/>
        </w:rPr>
      </w:pPr>
    </w:p>
    <w:p w14:paraId="5DA27212">
      <w:pPr>
        <w:pStyle w:val="9"/>
        <w:spacing w:before="11"/>
        <w:ind w:left="0"/>
        <w:jc w:val="left"/>
        <w:rPr>
          <w:rFonts w:hint="eastAsia"/>
          <w:sz w:val="30"/>
          <w:szCs w:val="30"/>
        </w:rPr>
      </w:pPr>
      <w:r>
        <w:rPr>
          <w:rFonts w:hint="eastAsia"/>
          <w:sz w:val="30"/>
          <w:szCs w:val="30"/>
        </w:rPr>
        <w:t>They too symbolize an era, the era in which Christ builds his Church.</w:t>
      </w:r>
    </w:p>
    <w:p w14:paraId="155231E0">
      <w:pPr>
        <w:pStyle w:val="9"/>
        <w:spacing w:before="11"/>
        <w:ind w:left="0"/>
        <w:jc w:val="left"/>
        <w:rPr>
          <w:rFonts w:hint="eastAsia"/>
          <w:sz w:val="30"/>
          <w:szCs w:val="30"/>
        </w:rPr>
      </w:pPr>
      <w:r>
        <w:rPr>
          <w:rFonts w:hint="eastAsia"/>
          <w:sz w:val="30"/>
          <w:szCs w:val="30"/>
        </w:rPr>
        <w:t>它们也象征着一个时代，即基督建立祂教会的时代。</w:t>
      </w:r>
    </w:p>
    <w:p w14:paraId="04B53E52">
      <w:pPr>
        <w:pStyle w:val="9"/>
        <w:spacing w:before="11"/>
        <w:ind w:left="0"/>
        <w:jc w:val="left"/>
        <w:rPr>
          <w:rFonts w:hint="eastAsia"/>
          <w:sz w:val="30"/>
          <w:szCs w:val="30"/>
        </w:rPr>
      </w:pPr>
    </w:p>
    <w:p w14:paraId="34B1BF26">
      <w:pPr>
        <w:pStyle w:val="9"/>
        <w:spacing w:before="11"/>
        <w:ind w:left="0"/>
        <w:jc w:val="left"/>
        <w:rPr>
          <w:rFonts w:hint="eastAsia"/>
          <w:sz w:val="30"/>
          <w:szCs w:val="30"/>
        </w:rPr>
      </w:pPr>
      <w:r>
        <w:rPr>
          <w:rFonts w:hint="eastAsia"/>
          <w:sz w:val="30"/>
          <w:szCs w:val="30"/>
        </w:rPr>
        <w:t>However, here Gabriel uses OT typological language to speak of NT realities, casting the growth of the Church in terms of the growth of the City of God.</w:t>
      </w:r>
    </w:p>
    <w:p w14:paraId="7E813CF0">
      <w:pPr>
        <w:pStyle w:val="9"/>
        <w:spacing w:before="11"/>
        <w:ind w:left="0"/>
        <w:jc w:val="left"/>
        <w:rPr>
          <w:rFonts w:hint="eastAsia"/>
          <w:sz w:val="30"/>
          <w:szCs w:val="30"/>
        </w:rPr>
      </w:pPr>
      <w:r>
        <w:rPr>
          <w:rFonts w:hint="eastAsia"/>
          <w:sz w:val="30"/>
          <w:szCs w:val="30"/>
        </w:rPr>
        <w:t>然而，在这里加百列使用旧约预表语言来讲述新约的现实，将教会的成长描绘成神之城的成长。</w:t>
      </w:r>
    </w:p>
    <w:p w14:paraId="59E35B47">
      <w:pPr>
        <w:pStyle w:val="9"/>
        <w:spacing w:before="11"/>
        <w:ind w:left="0"/>
        <w:jc w:val="left"/>
        <w:rPr>
          <w:rFonts w:hint="eastAsia"/>
          <w:sz w:val="30"/>
          <w:szCs w:val="30"/>
        </w:rPr>
      </w:pPr>
    </w:p>
    <w:p w14:paraId="7FB9BDCB">
      <w:pPr>
        <w:pStyle w:val="9"/>
        <w:spacing w:before="11"/>
        <w:ind w:left="0"/>
        <w:jc w:val="left"/>
        <w:rPr>
          <w:rFonts w:hint="eastAsia"/>
          <w:sz w:val="30"/>
          <w:szCs w:val="30"/>
        </w:rPr>
      </w:pPr>
      <w:r>
        <w:rPr>
          <w:rFonts w:hint="eastAsia"/>
          <w:sz w:val="30"/>
          <w:szCs w:val="30"/>
        </w:rPr>
        <w:t>The reference to its open square (or streets) suggests expansive growth outwards.</w:t>
      </w:r>
    </w:p>
    <w:p w14:paraId="6291AAD1">
      <w:pPr>
        <w:pStyle w:val="9"/>
        <w:spacing w:before="11"/>
        <w:ind w:left="0"/>
        <w:jc w:val="left"/>
        <w:rPr>
          <w:rFonts w:hint="eastAsia"/>
          <w:sz w:val="30"/>
          <w:szCs w:val="30"/>
        </w:rPr>
      </w:pPr>
      <w:r>
        <w:rPr>
          <w:rFonts w:hint="eastAsia"/>
          <w:sz w:val="30"/>
          <w:szCs w:val="30"/>
        </w:rPr>
        <w:t>提及它的广场（或街道）表明向外的扩张性增长。</w:t>
      </w:r>
    </w:p>
    <w:p w14:paraId="42075CBE">
      <w:pPr>
        <w:pStyle w:val="9"/>
        <w:spacing w:before="11"/>
        <w:ind w:left="0"/>
        <w:jc w:val="left"/>
        <w:rPr>
          <w:rFonts w:hint="eastAsia"/>
          <w:sz w:val="30"/>
          <w:szCs w:val="30"/>
        </w:rPr>
      </w:pPr>
    </w:p>
    <w:p w14:paraId="4C0A437E">
      <w:pPr>
        <w:pStyle w:val="9"/>
        <w:spacing w:before="11"/>
        <w:ind w:left="0"/>
        <w:jc w:val="left"/>
        <w:rPr>
          <w:rFonts w:hint="eastAsia"/>
          <w:sz w:val="30"/>
          <w:szCs w:val="30"/>
        </w:rPr>
      </w:pPr>
      <w:r>
        <w:rPr>
          <w:rFonts w:hint="eastAsia"/>
          <w:sz w:val="30"/>
          <w:szCs w:val="30"/>
        </w:rPr>
        <w:t>The reference to a moat or wall suggests divine protection.</w:t>
      </w:r>
    </w:p>
    <w:p w14:paraId="37BD771D">
      <w:pPr>
        <w:pStyle w:val="9"/>
        <w:spacing w:before="11"/>
        <w:ind w:left="0"/>
        <w:jc w:val="left"/>
        <w:rPr>
          <w:rFonts w:hint="eastAsia"/>
          <w:sz w:val="30"/>
          <w:szCs w:val="30"/>
        </w:rPr>
      </w:pPr>
      <w:r>
        <w:rPr>
          <w:rFonts w:hint="eastAsia"/>
          <w:sz w:val="30"/>
          <w:szCs w:val="30"/>
        </w:rPr>
        <w:t>提及护城河或城墙表明神的保护。</w:t>
      </w:r>
    </w:p>
    <w:p w14:paraId="3AC07731">
      <w:pPr>
        <w:pStyle w:val="9"/>
        <w:spacing w:before="11"/>
        <w:ind w:left="0"/>
        <w:jc w:val="left"/>
        <w:rPr>
          <w:rFonts w:hint="eastAsia"/>
          <w:sz w:val="30"/>
          <w:szCs w:val="30"/>
        </w:rPr>
      </w:pPr>
    </w:p>
    <w:p w14:paraId="701406A8">
      <w:pPr>
        <w:pStyle w:val="9"/>
        <w:spacing w:before="11"/>
        <w:ind w:left="0"/>
        <w:jc w:val="left"/>
        <w:rPr>
          <w:rFonts w:hint="eastAsia"/>
          <w:sz w:val="30"/>
          <w:szCs w:val="30"/>
        </w:rPr>
      </w:pPr>
      <w:r>
        <w:rPr>
          <w:rFonts w:hint="eastAsia"/>
          <w:sz w:val="30"/>
          <w:szCs w:val="30"/>
        </w:rPr>
        <w:t>Pointing to the very real but also limited success of world evangelization, Leupold paraphrases, “She shall again be built extensively, yet within fixed limits.”11</w:t>
      </w:r>
    </w:p>
    <w:p w14:paraId="69753552">
      <w:pPr>
        <w:pStyle w:val="9"/>
        <w:spacing w:before="11"/>
        <w:ind w:left="0"/>
        <w:jc w:val="left"/>
        <w:rPr>
          <w:rFonts w:hint="eastAsia"/>
          <w:sz w:val="30"/>
          <w:szCs w:val="30"/>
        </w:rPr>
      </w:pPr>
      <w:r>
        <w:rPr>
          <w:rFonts w:hint="eastAsia"/>
          <w:sz w:val="30"/>
          <w:szCs w:val="30"/>
        </w:rPr>
        <w:t>卢波德在指出世界福音传播非常真实但也有限的成功时，转述道：“她将再次被广泛地建造，但仍在固定的界限之内。”11</w:t>
      </w:r>
    </w:p>
    <w:p w14:paraId="2DA01015">
      <w:pPr>
        <w:pStyle w:val="9"/>
        <w:spacing w:before="11"/>
        <w:ind w:left="0"/>
        <w:jc w:val="left"/>
        <w:rPr>
          <w:rFonts w:hint="eastAsia"/>
          <w:sz w:val="30"/>
          <w:szCs w:val="30"/>
        </w:rPr>
      </w:pPr>
    </w:p>
    <w:p w14:paraId="353084BB">
      <w:pPr>
        <w:pStyle w:val="9"/>
        <w:spacing w:before="11"/>
        <w:ind w:left="0"/>
        <w:jc w:val="left"/>
        <w:rPr>
          <w:rFonts w:hint="eastAsia"/>
          <w:sz w:val="30"/>
          <w:szCs w:val="30"/>
        </w:rPr>
      </w:pPr>
      <w:r>
        <w:rPr>
          <w:rFonts w:hint="eastAsia"/>
          <w:sz w:val="30"/>
          <w:szCs w:val="30"/>
        </w:rPr>
        <w:t>The growth shall occur “in troubled times,” a phrase echoed in the Revelation, where the Spirit refers to the Church Era (and indeed to all Salvation History) as “the great tribulation.”</w:t>
      </w:r>
    </w:p>
    <w:p w14:paraId="7BA70A9F">
      <w:pPr>
        <w:pStyle w:val="9"/>
        <w:spacing w:before="11"/>
        <w:ind w:left="0"/>
        <w:jc w:val="left"/>
        <w:rPr>
          <w:rFonts w:hint="eastAsia"/>
          <w:sz w:val="30"/>
          <w:szCs w:val="30"/>
        </w:rPr>
      </w:pPr>
      <w:r>
        <w:rPr>
          <w:rFonts w:hint="eastAsia"/>
          <w:sz w:val="30"/>
          <w:szCs w:val="30"/>
        </w:rPr>
        <w:t>这增长将发生在“艰难的时期”，这个短语在启示录中得到了呼应，在那里圣灵将教会时代（实际上是所有救赎历史）称为“大患难”。</w:t>
      </w:r>
    </w:p>
    <w:p w14:paraId="767C704E">
      <w:pPr>
        <w:pStyle w:val="9"/>
        <w:spacing w:before="11"/>
        <w:ind w:left="0"/>
        <w:jc w:val="left"/>
        <w:rPr>
          <w:rFonts w:hint="eastAsia"/>
          <w:sz w:val="30"/>
          <w:szCs w:val="30"/>
        </w:rPr>
      </w:pPr>
    </w:p>
    <w:p w14:paraId="38535082">
      <w:pPr>
        <w:pStyle w:val="9"/>
        <w:spacing w:before="11"/>
        <w:ind w:left="0"/>
        <w:jc w:val="left"/>
        <w:rPr>
          <w:rFonts w:hint="eastAsia"/>
          <w:sz w:val="30"/>
          <w:szCs w:val="30"/>
        </w:rPr>
      </w:pPr>
      <w:r>
        <w:rPr>
          <w:rFonts w:hint="eastAsia"/>
          <w:sz w:val="30"/>
          <w:szCs w:val="30"/>
        </w:rPr>
        <w:t>Yes, God has decreed the rearing up of Christ’s Church; but he has also decreed much trouble for the saints who will build it (Rev. 7:14; Acts 14:22, Rom. 5:3, 2 Cor. 1:4, 1 Thess. 3:4).</w:t>
      </w:r>
    </w:p>
    <w:p w14:paraId="35775CD5">
      <w:pPr>
        <w:pStyle w:val="9"/>
        <w:spacing w:before="11"/>
        <w:ind w:left="0"/>
        <w:jc w:val="left"/>
        <w:rPr>
          <w:rFonts w:hint="eastAsia"/>
          <w:sz w:val="30"/>
          <w:szCs w:val="30"/>
        </w:rPr>
      </w:pPr>
      <w:r>
        <w:rPr>
          <w:rFonts w:hint="eastAsia"/>
          <w:sz w:val="30"/>
          <w:szCs w:val="30"/>
        </w:rPr>
        <w:t>是的，神已经命定要建立基督的教会；但祂也命定了建造它的圣徒将要经历许多患难 (启 7:14; 徒 14:22, 罗 5:3, 林后 1:4, 帖前 3:4)。</w:t>
      </w:r>
    </w:p>
    <w:p w14:paraId="039FDDDF">
      <w:pPr>
        <w:pStyle w:val="9"/>
        <w:spacing w:before="11"/>
        <w:ind w:left="0"/>
        <w:jc w:val="left"/>
        <w:rPr>
          <w:rFonts w:hint="eastAsia"/>
          <w:sz w:val="30"/>
          <w:szCs w:val="30"/>
        </w:rPr>
      </w:pPr>
    </w:p>
    <w:p w14:paraId="50B08650">
      <w:pPr>
        <w:pStyle w:val="9"/>
        <w:spacing w:before="11"/>
        <w:ind w:left="0"/>
        <w:jc w:val="left"/>
        <w:rPr>
          <w:rFonts w:hint="eastAsia"/>
          <w:sz w:val="30"/>
          <w:szCs w:val="30"/>
        </w:rPr>
      </w:pPr>
      <w:r>
        <w:rPr>
          <w:rFonts w:hint="eastAsia"/>
          <w:sz w:val="30"/>
          <w:szCs w:val="30"/>
        </w:rPr>
        <w:t>This division of the 69 weeks into two distinct eras (an OT and a New) is decisive for the interpretation of the prophecy as a whole, seeing that it places Christ’s first advent at the end of the first seven, rather than at the end of the 69.</w:t>
      </w:r>
    </w:p>
    <w:p w14:paraId="6728DE86">
      <w:pPr>
        <w:pStyle w:val="9"/>
        <w:spacing w:before="11"/>
        <w:ind w:left="0"/>
        <w:jc w:val="left"/>
        <w:rPr>
          <w:rFonts w:hint="eastAsia"/>
          <w:sz w:val="30"/>
          <w:szCs w:val="30"/>
        </w:rPr>
      </w:pPr>
      <w:r>
        <w:rPr>
          <w:rFonts w:hint="eastAsia"/>
          <w:sz w:val="30"/>
          <w:szCs w:val="30"/>
        </w:rPr>
        <w:t>将69个七划分为两个不同的时代（一个旧约时代和一个新约时代）对于整个预言的解释是决定性的，因为它将基督的第一次降临放在第一个七的末尾，而不是69个七的末尾。</w:t>
      </w:r>
    </w:p>
    <w:p w14:paraId="6B086E90">
      <w:pPr>
        <w:pStyle w:val="9"/>
        <w:spacing w:before="11"/>
        <w:ind w:left="0"/>
        <w:jc w:val="left"/>
        <w:rPr>
          <w:rFonts w:hint="eastAsia"/>
          <w:sz w:val="30"/>
          <w:szCs w:val="30"/>
        </w:rPr>
      </w:pPr>
    </w:p>
    <w:p w14:paraId="0EEAF450">
      <w:pPr>
        <w:pStyle w:val="9"/>
        <w:spacing w:before="11"/>
        <w:ind w:left="0"/>
        <w:jc w:val="left"/>
        <w:rPr>
          <w:rFonts w:hint="eastAsia"/>
          <w:sz w:val="30"/>
          <w:szCs w:val="30"/>
        </w:rPr>
      </w:pPr>
      <w:r>
        <w:rPr>
          <w:rFonts w:hint="eastAsia"/>
          <w:sz w:val="30"/>
          <w:szCs w:val="30"/>
        </w:rPr>
        <w:t>In particular, it radically challenges the interpretation of verses 26-27 offered in the TFAV and the DTAV.</w:t>
      </w:r>
    </w:p>
    <w:p w14:paraId="16A8189E">
      <w:pPr>
        <w:pStyle w:val="9"/>
        <w:spacing w:before="11"/>
        <w:ind w:left="0"/>
        <w:jc w:val="left"/>
        <w:rPr>
          <w:rFonts w:hint="eastAsia"/>
          <w:sz w:val="30"/>
          <w:szCs w:val="30"/>
        </w:rPr>
      </w:pPr>
      <w:r>
        <w:rPr>
          <w:rFonts w:hint="eastAsia"/>
          <w:sz w:val="30"/>
          <w:szCs w:val="30"/>
        </w:rPr>
        <w:t>特别是，它从根本上挑战了传统第一次降临观和时代论两次降临观对第26-27节的解释。</w:t>
      </w:r>
    </w:p>
    <w:p w14:paraId="4A2C9FC2">
      <w:pPr>
        <w:pStyle w:val="9"/>
        <w:spacing w:before="11"/>
        <w:ind w:left="0"/>
        <w:jc w:val="left"/>
        <w:rPr>
          <w:rFonts w:hint="eastAsia"/>
          <w:sz w:val="30"/>
          <w:szCs w:val="30"/>
        </w:rPr>
      </w:pPr>
    </w:p>
    <w:p w14:paraId="49472B95">
      <w:pPr>
        <w:pStyle w:val="9"/>
        <w:spacing w:before="11"/>
        <w:ind w:left="0"/>
        <w:jc w:val="left"/>
        <w:rPr>
          <w:rFonts w:hint="eastAsia"/>
          <w:sz w:val="30"/>
          <w:szCs w:val="30"/>
        </w:rPr>
      </w:pPr>
      <w:r>
        <w:rPr>
          <w:rFonts w:hint="eastAsia"/>
          <w:sz w:val="30"/>
          <w:szCs w:val="30"/>
        </w:rPr>
        <w:t>However, the superiority of this approach to verse 25 is so clear that one wonders how we could have missed it for so long!</w:t>
      </w:r>
    </w:p>
    <w:p w14:paraId="17902D3F">
      <w:pPr>
        <w:pStyle w:val="9"/>
        <w:spacing w:before="11"/>
        <w:ind w:left="0"/>
        <w:jc w:val="left"/>
        <w:rPr>
          <w:rFonts w:hint="eastAsia"/>
          <w:sz w:val="30"/>
          <w:szCs w:val="30"/>
        </w:rPr>
      </w:pPr>
      <w:r>
        <w:rPr>
          <w:rFonts w:hint="eastAsia"/>
          <w:sz w:val="30"/>
          <w:szCs w:val="30"/>
        </w:rPr>
        <w:t>然而，这种处理第25节的方法的优越性是如此明显，以至于让人奇怪我们怎么会错过了这么久！</w:t>
      </w:r>
    </w:p>
    <w:p w14:paraId="364748E5">
      <w:pPr>
        <w:pStyle w:val="9"/>
        <w:spacing w:before="11"/>
        <w:ind w:left="0"/>
        <w:jc w:val="left"/>
        <w:rPr>
          <w:rFonts w:hint="eastAsia"/>
          <w:sz w:val="30"/>
          <w:szCs w:val="30"/>
        </w:rPr>
      </w:pPr>
    </w:p>
    <w:p w14:paraId="2FB9818E">
      <w:pPr>
        <w:pStyle w:val="9"/>
        <w:spacing w:before="11"/>
        <w:ind w:left="0"/>
        <w:jc w:val="left"/>
        <w:rPr>
          <w:rFonts w:hint="eastAsia"/>
          <w:sz w:val="30"/>
          <w:szCs w:val="30"/>
        </w:rPr>
      </w:pPr>
      <w:r>
        <w:rPr>
          <w:rFonts w:hint="eastAsia"/>
          <w:sz w:val="30"/>
          <w:szCs w:val="30"/>
        </w:rPr>
        <w:t>Above all, it immediately helps us to understand why Gabriel did not simply refer to 69 sevens, but instead to seven sevens and 62 sevens.</w:t>
      </w:r>
    </w:p>
    <w:p w14:paraId="57DF747C">
      <w:pPr>
        <w:pStyle w:val="9"/>
        <w:spacing w:before="11"/>
        <w:ind w:left="0"/>
        <w:jc w:val="left"/>
        <w:rPr>
          <w:rFonts w:hint="eastAsia"/>
          <w:sz w:val="30"/>
          <w:szCs w:val="30"/>
        </w:rPr>
      </w:pPr>
      <w:r>
        <w:rPr>
          <w:rFonts w:hint="eastAsia"/>
          <w:sz w:val="30"/>
          <w:szCs w:val="30"/>
        </w:rPr>
        <w:t>最重要的是，它立即帮助我们理解为什么加百列不只是简单地提到69个七，而是提到了七个七和62个七。</w:t>
      </w:r>
    </w:p>
    <w:p w14:paraId="1501EFA0">
      <w:pPr>
        <w:pStyle w:val="9"/>
        <w:spacing w:before="11"/>
        <w:ind w:left="0"/>
        <w:jc w:val="left"/>
        <w:rPr>
          <w:rFonts w:hint="eastAsia"/>
          <w:sz w:val="30"/>
          <w:szCs w:val="30"/>
        </w:rPr>
      </w:pPr>
    </w:p>
    <w:p w14:paraId="412E37D0">
      <w:pPr>
        <w:pStyle w:val="9"/>
        <w:spacing w:before="11"/>
        <w:ind w:left="0"/>
        <w:jc w:val="left"/>
        <w:rPr>
          <w:rFonts w:hint="eastAsia"/>
          <w:sz w:val="30"/>
          <w:szCs w:val="30"/>
        </w:rPr>
      </w:pPr>
      <w:r>
        <w:rPr>
          <w:rFonts w:hint="eastAsia"/>
          <w:sz w:val="30"/>
          <w:szCs w:val="30"/>
        </w:rPr>
        <w:t>Moreover, as we are about to see, once we accept this framework, it sheds an abundance of fascinating—and eschatologically vital—light on the 70th seven of verses 26-27.</w:t>
      </w:r>
    </w:p>
    <w:p w14:paraId="257EA866">
      <w:pPr>
        <w:pStyle w:val="9"/>
        <w:spacing w:before="11"/>
        <w:ind w:left="0"/>
        <w:jc w:val="left"/>
        <w:rPr>
          <w:rFonts w:hint="eastAsia"/>
          <w:sz w:val="30"/>
          <w:szCs w:val="30"/>
        </w:rPr>
      </w:pPr>
      <w:r>
        <w:rPr>
          <w:rFonts w:hint="eastAsia"/>
          <w:sz w:val="30"/>
          <w:szCs w:val="30"/>
        </w:rPr>
        <w:t>此外，正如我们即将看到的，一旦我们接受了这个框架，它就为第26-27节的第七十个七投下了大量迷人的——并且在末世论上至关重要的——光芒。</w:t>
      </w:r>
    </w:p>
    <w:p w14:paraId="3D573DC6">
      <w:pPr>
        <w:pStyle w:val="9"/>
        <w:spacing w:before="11"/>
        <w:ind w:left="0"/>
        <w:jc w:val="left"/>
        <w:rPr>
          <w:rFonts w:hint="eastAsia"/>
          <w:sz w:val="30"/>
          <w:szCs w:val="30"/>
        </w:rPr>
      </w:pPr>
    </w:p>
    <w:p w14:paraId="6995FF8F">
      <w:pPr>
        <w:pStyle w:val="9"/>
        <w:spacing w:before="11"/>
        <w:ind w:left="0"/>
        <w:jc w:val="left"/>
        <w:rPr>
          <w:rFonts w:hint="eastAsia"/>
          <w:sz w:val="30"/>
          <w:szCs w:val="30"/>
        </w:rPr>
      </w:pPr>
      <w:r>
        <w:rPr>
          <w:rFonts w:hint="eastAsia"/>
          <w:sz w:val="30"/>
          <w:szCs w:val="30"/>
        </w:rPr>
        <w:t>We turn to them now.</w:t>
      </w:r>
    </w:p>
    <w:p w14:paraId="090E1F69">
      <w:pPr>
        <w:pStyle w:val="9"/>
        <w:spacing w:before="11"/>
        <w:ind w:left="0"/>
        <w:jc w:val="left"/>
        <w:rPr>
          <w:rFonts w:hint="eastAsia"/>
          <w:sz w:val="30"/>
          <w:szCs w:val="30"/>
        </w:rPr>
      </w:pPr>
      <w:r>
        <w:rPr>
          <w:rFonts w:hint="eastAsia"/>
          <w:sz w:val="30"/>
          <w:szCs w:val="30"/>
        </w:rPr>
        <w:t>我们现在转向它们。</w:t>
      </w:r>
    </w:p>
    <w:p w14:paraId="214430C6">
      <w:pPr>
        <w:pStyle w:val="9"/>
        <w:spacing w:before="11"/>
        <w:ind w:left="0"/>
        <w:jc w:val="left"/>
        <w:rPr>
          <w:rFonts w:hint="eastAsia"/>
          <w:sz w:val="30"/>
          <w:szCs w:val="30"/>
        </w:rPr>
      </w:pPr>
    </w:p>
    <w:p w14:paraId="7C36322F">
      <w:pPr>
        <w:pStyle w:val="9"/>
        <w:spacing w:before="11"/>
        <w:ind w:left="0"/>
        <w:jc w:val="left"/>
        <w:rPr>
          <w:rFonts w:hint="eastAsia"/>
          <w:sz w:val="30"/>
          <w:szCs w:val="30"/>
        </w:rPr>
      </w:pPr>
      <w:r>
        <w:rPr>
          <w:rFonts w:hint="eastAsia"/>
          <w:sz w:val="30"/>
          <w:szCs w:val="30"/>
        </w:rPr>
        <w:t>Verse 26</w:t>
      </w:r>
    </w:p>
    <w:p w14:paraId="21D8A884">
      <w:pPr>
        <w:pStyle w:val="9"/>
        <w:spacing w:before="11"/>
        <w:ind w:left="0"/>
        <w:jc w:val="left"/>
        <w:rPr>
          <w:rFonts w:hint="eastAsia"/>
          <w:sz w:val="30"/>
          <w:szCs w:val="30"/>
        </w:rPr>
      </w:pPr>
      <w:r>
        <w:rPr>
          <w:rFonts w:hint="eastAsia"/>
          <w:sz w:val="30"/>
          <w:szCs w:val="30"/>
        </w:rPr>
        <w:t>第26节</w:t>
      </w:r>
    </w:p>
    <w:p w14:paraId="18A93CC2">
      <w:pPr>
        <w:pStyle w:val="9"/>
        <w:spacing w:before="11"/>
        <w:ind w:left="0"/>
        <w:jc w:val="left"/>
        <w:rPr>
          <w:rFonts w:hint="eastAsia"/>
          <w:sz w:val="30"/>
          <w:szCs w:val="30"/>
        </w:rPr>
      </w:pPr>
    </w:p>
    <w:p w14:paraId="426A65C1">
      <w:pPr>
        <w:pStyle w:val="9"/>
        <w:spacing w:before="11"/>
        <w:ind w:left="0"/>
        <w:jc w:val="left"/>
        <w:rPr>
          <w:rFonts w:hint="eastAsia"/>
          <w:sz w:val="30"/>
          <w:szCs w:val="30"/>
        </w:rPr>
      </w:pPr>
      <w:r>
        <w:rPr>
          <w:rFonts w:hint="eastAsia"/>
          <w:sz w:val="30"/>
          <w:szCs w:val="30"/>
        </w:rPr>
        <w:t>Then after the 62 sevens the Messiah will be cut off and have nothing, and the people of the prince who is to come will destroy the city and the sanctuary.</w:t>
      </w:r>
    </w:p>
    <w:p w14:paraId="046D1F00">
      <w:pPr>
        <w:pStyle w:val="9"/>
        <w:spacing w:before="11"/>
        <w:ind w:left="0"/>
        <w:jc w:val="left"/>
        <w:rPr>
          <w:rFonts w:hint="eastAsia"/>
          <w:sz w:val="30"/>
          <w:szCs w:val="30"/>
        </w:rPr>
      </w:pPr>
      <w:r>
        <w:rPr>
          <w:rFonts w:hint="eastAsia"/>
          <w:sz w:val="30"/>
          <w:szCs w:val="30"/>
        </w:rPr>
        <w:t>过了六十二个七，弥赛亚必被剪除，一无所有；必有一王的民来毁灭这城和圣所。</w:t>
      </w:r>
    </w:p>
    <w:p w14:paraId="1640E1C3">
      <w:pPr>
        <w:pStyle w:val="9"/>
        <w:spacing w:before="11"/>
        <w:ind w:left="0"/>
        <w:jc w:val="left"/>
        <w:rPr>
          <w:rFonts w:hint="eastAsia"/>
          <w:sz w:val="30"/>
          <w:szCs w:val="30"/>
        </w:rPr>
      </w:pPr>
    </w:p>
    <w:p w14:paraId="200AFE9F">
      <w:pPr>
        <w:pStyle w:val="9"/>
        <w:spacing w:before="11"/>
        <w:ind w:left="0"/>
        <w:jc w:val="left"/>
        <w:rPr>
          <w:rFonts w:hint="eastAsia"/>
          <w:sz w:val="30"/>
          <w:szCs w:val="30"/>
        </w:rPr>
      </w:pPr>
      <w:r>
        <w:rPr>
          <w:rFonts w:hint="eastAsia"/>
          <w:sz w:val="30"/>
          <w:szCs w:val="30"/>
        </w:rPr>
        <w:t>And its (or, his) end will come with a flood; even to the end there will be war; desolations are decreed.</w:t>
      </w:r>
    </w:p>
    <w:p w14:paraId="47C2C4E1">
      <w:pPr>
        <w:pStyle w:val="9"/>
        <w:spacing w:before="11"/>
        <w:ind w:left="0"/>
        <w:jc w:val="left"/>
        <w:rPr>
          <w:rFonts w:hint="eastAsia"/>
          <w:sz w:val="30"/>
          <w:szCs w:val="30"/>
        </w:rPr>
      </w:pPr>
      <w:r>
        <w:rPr>
          <w:rFonts w:hint="eastAsia"/>
          <w:sz w:val="30"/>
          <w:szCs w:val="30"/>
        </w:rPr>
        <w:t>它的（或，他的）结局必有洪水；直到末了，必有争战；荒凉的事已经定了。</w:t>
      </w:r>
    </w:p>
    <w:p w14:paraId="37A3B4ED">
      <w:pPr>
        <w:pStyle w:val="9"/>
        <w:spacing w:before="11"/>
        <w:ind w:left="0"/>
        <w:jc w:val="left"/>
        <w:rPr>
          <w:rFonts w:hint="eastAsia"/>
          <w:sz w:val="30"/>
          <w:szCs w:val="30"/>
        </w:rPr>
      </w:pPr>
    </w:p>
    <w:p w14:paraId="36899B21">
      <w:pPr>
        <w:pStyle w:val="9"/>
        <w:spacing w:before="11"/>
        <w:ind w:left="0"/>
        <w:jc w:val="left"/>
        <w:rPr>
          <w:rFonts w:hint="eastAsia"/>
          <w:sz w:val="30"/>
          <w:szCs w:val="30"/>
        </w:rPr>
      </w:pPr>
      <w:r>
        <w:rPr>
          <w:rFonts w:hint="eastAsia"/>
          <w:sz w:val="30"/>
          <w:szCs w:val="30"/>
        </w:rPr>
        <w:t>This is the first of two verses dealing with the seventieth seven; with the third and final stage of Salvation History.</w:t>
      </w:r>
    </w:p>
    <w:p w14:paraId="6AF85AA8">
      <w:pPr>
        <w:pStyle w:val="9"/>
        <w:spacing w:before="11"/>
        <w:ind w:left="0"/>
        <w:jc w:val="left"/>
        <w:rPr>
          <w:rFonts w:hint="eastAsia"/>
          <w:sz w:val="30"/>
          <w:szCs w:val="30"/>
        </w:rPr>
      </w:pPr>
      <w:r>
        <w:rPr>
          <w:rFonts w:hint="eastAsia"/>
          <w:sz w:val="30"/>
          <w:szCs w:val="30"/>
        </w:rPr>
        <w:t>这是处理第七十个七的两节经文中的第一节；即救赎历史的第三个也是最后一个阶段。</w:t>
      </w:r>
    </w:p>
    <w:p w14:paraId="490BB490">
      <w:pPr>
        <w:pStyle w:val="9"/>
        <w:spacing w:before="11"/>
        <w:ind w:left="0"/>
        <w:jc w:val="left"/>
        <w:rPr>
          <w:rFonts w:hint="eastAsia"/>
          <w:sz w:val="30"/>
          <w:szCs w:val="30"/>
        </w:rPr>
      </w:pPr>
    </w:p>
    <w:p w14:paraId="1881FB9C">
      <w:pPr>
        <w:pStyle w:val="9"/>
        <w:spacing w:before="11"/>
        <w:ind w:left="0"/>
        <w:jc w:val="left"/>
        <w:rPr>
          <w:rFonts w:hint="eastAsia"/>
          <w:sz w:val="30"/>
          <w:szCs w:val="30"/>
        </w:rPr>
      </w:pPr>
      <w:r>
        <w:rPr>
          <w:rFonts w:hint="eastAsia"/>
          <w:sz w:val="30"/>
          <w:szCs w:val="30"/>
        </w:rPr>
        <w:t>Again, it is not a week of seven literal years, as repeated exposure to dispensational claims may incline us to believe.</w:t>
      </w:r>
    </w:p>
    <w:p w14:paraId="3D82719F">
      <w:pPr>
        <w:pStyle w:val="9"/>
        <w:spacing w:before="11"/>
        <w:ind w:left="0"/>
        <w:jc w:val="left"/>
        <w:rPr>
          <w:rFonts w:hint="eastAsia"/>
          <w:sz w:val="30"/>
          <w:szCs w:val="30"/>
        </w:rPr>
      </w:pPr>
      <w:r>
        <w:rPr>
          <w:rFonts w:hint="eastAsia"/>
          <w:sz w:val="30"/>
          <w:szCs w:val="30"/>
        </w:rPr>
        <w:t>再次，它不是一个七个字面年的七，正如反复接触时代论的主张可能使我们相信的那样。</w:t>
      </w:r>
    </w:p>
    <w:p w14:paraId="607BF4E8">
      <w:pPr>
        <w:pStyle w:val="9"/>
        <w:spacing w:before="11"/>
        <w:ind w:left="0"/>
        <w:jc w:val="left"/>
        <w:rPr>
          <w:rFonts w:hint="eastAsia"/>
          <w:sz w:val="30"/>
          <w:szCs w:val="30"/>
        </w:rPr>
      </w:pPr>
    </w:p>
    <w:p w14:paraId="553C2D1C">
      <w:pPr>
        <w:pStyle w:val="9"/>
        <w:spacing w:before="11"/>
        <w:ind w:left="0"/>
        <w:jc w:val="left"/>
        <w:rPr>
          <w:rFonts w:hint="eastAsia"/>
          <w:sz w:val="30"/>
          <w:szCs w:val="30"/>
        </w:rPr>
      </w:pPr>
      <w:r>
        <w:rPr>
          <w:rFonts w:hint="eastAsia"/>
          <w:sz w:val="30"/>
          <w:szCs w:val="30"/>
        </w:rPr>
        <w:t>No, it is an era of brief but uncertain duration, the era in which God will bring Salvation History to a close in final conflict, final judgment, and final redemption.</w:t>
      </w:r>
    </w:p>
    <w:p w14:paraId="5EFA9713">
      <w:pPr>
        <w:pStyle w:val="9"/>
        <w:spacing w:before="11"/>
        <w:ind w:left="0"/>
        <w:jc w:val="left"/>
        <w:rPr>
          <w:rFonts w:hint="eastAsia"/>
          <w:sz w:val="30"/>
          <w:szCs w:val="30"/>
        </w:rPr>
      </w:pPr>
      <w:r>
        <w:rPr>
          <w:rFonts w:hint="eastAsia"/>
          <w:sz w:val="30"/>
          <w:szCs w:val="30"/>
        </w:rPr>
        <w:t>不，它是一个短暂但不确定持续时间的时代，在这个时代中，神将以最后的冲突、最后的审判和最后的救赎来结束救赎历史。</w:t>
      </w:r>
    </w:p>
    <w:p w14:paraId="2BF391AA">
      <w:pPr>
        <w:pStyle w:val="9"/>
        <w:spacing w:before="11"/>
        <w:ind w:left="0"/>
        <w:jc w:val="left"/>
        <w:rPr>
          <w:rFonts w:hint="eastAsia"/>
          <w:sz w:val="30"/>
          <w:szCs w:val="30"/>
        </w:rPr>
      </w:pPr>
    </w:p>
    <w:p w14:paraId="019A62FA">
      <w:pPr>
        <w:pStyle w:val="9"/>
        <w:spacing w:before="11"/>
        <w:ind w:left="0"/>
        <w:jc w:val="left"/>
        <w:rPr>
          <w:rFonts w:hint="eastAsia"/>
          <w:sz w:val="30"/>
          <w:szCs w:val="30"/>
        </w:rPr>
      </w:pPr>
      <w:r>
        <w:rPr>
          <w:rFonts w:hint="eastAsia"/>
          <w:sz w:val="30"/>
          <w:szCs w:val="30"/>
        </w:rPr>
        <w:t>This interpretation buttresses the RTAV, since it finds Daniel doing here exactly what we would expect, exactly what he has done before, and exactly what he will do again: giving us nothing less than the Consummation, the dramatic closing scenes of God’s plan for the ages.</w:t>
      </w:r>
    </w:p>
    <w:p w14:paraId="60541FDA">
      <w:pPr>
        <w:pStyle w:val="9"/>
        <w:spacing w:before="11"/>
        <w:ind w:left="0"/>
        <w:jc w:val="left"/>
        <w:rPr>
          <w:rFonts w:hint="eastAsia"/>
          <w:sz w:val="30"/>
          <w:szCs w:val="30"/>
        </w:rPr>
      </w:pPr>
      <w:r>
        <w:rPr>
          <w:rFonts w:hint="eastAsia"/>
          <w:sz w:val="30"/>
          <w:szCs w:val="30"/>
        </w:rPr>
        <w:t>这个解释支持了改革宗两次降临观，因为它发现但以理在这里所做的，正是我们所期望的，正是祂以前所做的，也正是祂将再次做的：给我们展示的正是最终的成全，即神为万世所定计划的戏剧性收场。</w:t>
      </w:r>
    </w:p>
    <w:p w14:paraId="005DDACB">
      <w:pPr>
        <w:pStyle w:val="9"/>
        <w:spacing w:before="11"/>
        <w:ind w:left="0"/>
        <w:jc w:val="left"/>
        <w:rPr>
          <w:rFonts w:hint="eastAsia"/>
          <w:sz w:val="30"/>
          <w:szCs w:val="30"/>
        </w:rPr>
      </w:pPr>
    </w:p>
    <w:p w14:paraId="0AD3D916">
      <w:pPr>
        <w:pStyle w:val="9"/>
        <w:spacing w:before="11"/>
        <w:ind w:left="0"/>
        <w:jc w:val="left"/>
        <w:rPr>
          <w:rFonts w:hint="eastAsia"/>
          <w:sz w:val="30"/>
          <w:szCs w:val="30"/>
        </w:rPr>
      </w:pPr>
      <w:r>
        <w:rPr>
          <w:rFonts w:hint="eastAsia"/>
          <w:sz w:val="30"/>
          <w:szCs w:val="30"/>
        </w:rPr>
        <w:t>I say it with respect: On this score, the other two views are not worthy to be compared.</w:t>
      </w:r>
    </w:p>
    <w:p w14:paraId="454179FA">
      <w:pPr>
        <w:pStyle w:val="9"/>
        <w:spacing w:before="11"/>
        <w:ind w:left="0"/>
        <w:jc w:val="left"/>
        <w:rPr>
          <w:rFonts w:hint="eastAsia"/>
          <w:sz w:val="30"/>
          <w:szCs w:val="30"/>
        </w:rPr>
      </w:pPr>
      <w:r>
        <w:rPr>
          <w:rFonts w:hint="eastAsia"/>
          <w:sz w:val="30"/>
          <w:szCs w:val="30"/>
        </w:rPr>
        <w:t>我恭敬地说：在这一点上，其他两种观点不值一比。</w:t>
      </w:r>
    </w:p>
    <w:p w14:paraId="7CFFBB71">
      <w:pPr>
        <w:pStyle w:val="9"/>
        <w:spacing w:before="11"/>
        <w:ind w:left="0"/>
        <w:jc w:val="left"/>
        <w:rPr>
          <w:rFonts w:hint="eastAsia"/>
          <w:sz w:val="30"/>
          <w:szCs w:val="30"/>
        </w:rPr>
      </w:pPr>
    </w:p>
    <w:p w14:paraId="37901F64">
      <w:pPr>
        <w:pStyle w:val="9"/>
        <w:spacing w:before="11"/>
        <w:ind w:left="0"/>
        <w:jc w:val="left"/>
        <w:rPr>
          <w:rFonts w:hint="eastAsia"/>
          <w:sz w:val="30"/>
          <w:szCs w:val="30"/>
        </w:rPr>
      </w:pPr>
      <w:r>
        <w:rPr>
          <w:rFonts w:hint="eastAsia"/>
          <w:sz w:val="30"/>
          <w:szCs w:val="30"/>
        </w:rPr>
        <w:t>The theme of verse 26 is the end time agony of the true spiritual Church of Christ.</w:t>
      </w:r>
    </w:p>
    <w:p w14:paraId="19C9FBB7">
      <w:pPr>
        <w:pStyle w:val="9"/>
        <w:spacing w:before="11"/>
        <w:ind w:left="0"/>
        <w:jc w:val="left"/>
        <w:rPr>
          <w:rFonts w:hint="eastAsia"/>
          <w:sz w:val="30"/>
          <w:szCs w:val="30"/>
        </w:rPr>
      </w:pPr>
      <w:r>
        <w:rPr>
          <w:rFonts w:hint="eastAsia"/>
          <w:sz w:val="30"/>
          <w:szCs w:val="30"/>
        </w:rPr>
        <w:t>第26节的主题是基督真实属灵教会在末世的痛苦。</w:t>
      </w:r>
    </w:p>
    <w:p w14:paraId="7B371BB7">
      <w:pPr>
        <w:pStyle w:val="9"/>
        <w:spacing w:before="11"/>
        <w:ind w:left="0"/>
        <w:jc w:val="left"/>
        <w:rPr>
          <w:rFonts w:hint="eastAsia"/>
          <w:sz w:val="30"/>
          <w:szCs w:val="30"/>
        </w:rPr>
      </w:pPr>
    </w:p>
    <w:p w14:paraId="63A8ACAE">
      <w:pPr>
        <w:pStyle w:val="9"/>
        <w:spacing w:before="11"/>
        <w:ind w:left="0"/>
        <w:jc w:val="left"/>
        <w:rPr>
          <w:rFonts w:hint="eastAsia"/>
          <w:sz w:val="30"/>
          <w:szCs w:val="30"/>
        </w:rPr>
      </w:pPr>
      <w:r>
        <w:rPr>
          <w:rFonts w:hint="eastAsia"/>
          <w:sz w:val="30"/>
          <w:szCs w:val="30"/>
        </w:rPr>
        <w:t>The close of the present evil age is near.</w:t>
      </w:r>
    </w:p>
    <w:p w14:paraId="52BEB7AC">
      <w:pPr>
        <w:pStyle w:val="9"/>
        <w:spacing w:before="11"/>
        <w:ind w:left="0"/>
        <w:jc w:val="left"/>
        <w:rPr>
          <w:rFonts w:hint="eastAsia"/>
          <w:sz w:val="30"/>
          <w:szCs w:val="30"/>
        </w:rPr>
      </w:pPr>
      <w:r>
        <w:rPr>
          <w:rFonts w:hint="eastAsia"/>
          <w:sz w:val="30"/>
          <w:szCs w:val="30"/>
        </w:rPr>
        <w:t>现今邪恶世代的终结临近了。</w:t>
      </w:r>
    </w:p>
    <w:p w14:paraId="71574DEA">
      <w:pPr>
        <w:pStyle w:val="9"/>
        <w:spacing w:before="11"/>
        <w:ind w:left="0"/>
        <w:jc w:val="left"/>
        <w:rPr>
          <w:rFonts w:hint="eastAsia"/>
          <w:sz w:val="30"/>
          <w:szCs w:val="30"/>
        </w:rPr>
      </w:pPr>
    </w:p>
    <w:p w14:paraId="2B5360B0">
      <w:pPr>
        <w:pStyle w:val="9"/>
        <w:spacing w:before="11"/>
        <w:ind w:left="0"/>
        <w:jc w:val="left"/>
        <w:rPr>
          <w:rFonts w:hint="eastAsia"/>
          <w:sz w:val="30"/>
          <w:szCs w:val="30"/>
        </w:rPr>
      </w:pPr>
      <w:r>
        <w:rPr>
          <w:rFonts w:hint="eastAsia"/>
          <w:sz w:val="30"/>
          <w:szCs w:val="30"/>
        </w:rPr>
        <w:t>The Great Commission is nearly accomplished.</w:t>
      </w:r>
    </w:p>
    <w:p w14:paraId="6152D3D0">
      <w:pPr>
        <w:pStyle w:val="9"/>
        <w:spacing w:before="11"/>
        <w:ind w:left="0"/>
        <w:jc w:val="left"/>
        <w:rPr>
          <w:rFonts w:hint="eastAsia"/>
          <w:sz w:val="30"/>
          <w:szCs w:val="30"/>
        </w:rPr>
      </w:pPr>
      <w:r>
        <w:rPr>
          <w:rFonts w:hint="eastAsia"/>
          <w:sz w:val="30"/>
          <w:szCs w:val="30"/>
        </w:rPr>
        <w:t>大使命几乎完成了。</w:t>
      </w:r>
    </w:p>
    <w:p w14:paraId="322C6B22">
      <w:pPr>
        <w:pStyle w:val="9"/>
        <w:spacing w:before="11"/>
        <w:ind w:left="0"/>
        <w:jc w:val="left"/>
        <w:rPr>
          <w:rFonts w:hint="eastAsia"/>
          <w:sz w:val="30"/>
          <w:szCs w:val="30"/>
        </w:rPr>
      </w:pPr>
    </w:p>
    <w:p w14:paraId="7663504D">
      <w:pPr>
        <w:pStyle w:val="9"/>
        <w:spacing w:before="11"/>
        <w:ind w:left="0"/>
        <w:jc w:val="left"/>
        <w:rPr>
          <w:rFonts w:hint="eastAsia"/>
          <w:sz w:val="30"/>
          <w:szCs w:val="30"/>
        </w:rPr>
      </w:pPr>
      <w:r>
        <w:rPr>
          <w:rFonts w:hint="eastAsia"/>
          <w:sz w:val="30"/>
          <w:szCs w:val="30"/>
        </w:rPr>
        <w:t>Lawlessness abounds, and deep darkness covers the earth.</w:t>
      </w:r>
    </w:p>
    <w:p w14:paraId="3081FAF2">
      <w:pPr>
        <w:pStyle w:val="9"/>
        <w:spacing w:before="11"/>
        <w:ind w:left="0"/>
        <w:jc w:val="left"/>
        <w:rPr>
          <w:rFonts w:hint="eastAsia"/>
          <w:sz w:val="30"/>
          <w:szCs w:val="30"/>
        </w:rPr>
      </w:pPr>
      <w:r>
        <w:rPr>
          <w:rFonts w:hint="eastAsia"/>
          <w:sz w:val="30"/>
          <w:szCs w:val="30"/>
        </w:rPr>
        <w:t>不法的事增多，深沉的黑暗遮盖大地。</w:t>
      </w:r>
    </w:p>
    <w:p w14:paraId="7E82629A">
      <w:pPr>
        <w:pStyle w:val="9"/>
        <w:spacing w:before="11"/>
        <w:ind w:left="0"/>
        <w:jc w:val="left"/>
        <w:rPr>
          <w:rFonts w:hint="eastAsia"/>
          <w:sz w:val="30"/>
          <w:szCs w:val="30"/>
        </w:rPr>
      </w:pPr>
    </w:p>
    <w:p w14:paraId="48FFC2E8">
      <w:pPr>
        <w:pStyle w:val="9"/>
        <w:spacing w:before="11"/>
        <w:ind w:left="0"/>
        <w:jc w:val="left"/>
        <w:rPr>
          <w:rFonts w:hint="eastAsia"/>
          <w:sz w:val="30"/>
          <w:szCs w:val="30"/>
        </w:rPr>
      </w:pPr>
      <w:r>
        <w:rPr>
          <w:rFonts w:hint="eastAsia"/>
          <w:sz w:val="30"/>
          <w:szCs w:val="30"/>
        </w:rPr>
        <w:t>At this point, says the angel, the Messiah will be cut off and have nothing.</w:t>
      </w:r>
    </w:p>
    <w:p w14:paraId="1473510D">
      <w:pPr>
        <w:pStyle w:val="9"/>
        <w:spacing w:before="11"/>
        <w:ind w:left="0"/>
        <w:jc w:val="left"/>
        <w:rPr>
          <w:rFonts w:hint="eastAsia"/>
          <w:sz w:val="30"/>
          <w:szCs w:val="30"/>
        </w:rPr>
      </w:pPr>
      <w:r>
        <w:rPr>
          <w:rFonts w:hint="eastAsia"/>
          <w:sz w:val="30"/>
          <w:szCs w:val="30"/>
        </w:rPr>
        <w:t>此时，天使说，弥赛亚将被剪除，一无所有。</w:t>
      </w:r>
    </w:p>
    <w:p w14:paraId="44AF3CE5">
      <w:pPr>
        <w:pStyle w:val="9"/>
        <w:spacing w:before="11"/>
        <w:ind w:left="0"/>
        <w:jc w:val="left"/>
        <w:rPr>
          <w:rFonts w:hint="eastAsia"/>
          <w:sz w:val="30"/>
          <w:szCs w:val="30"/>
        </w:rPr>
      </w:pPr>
    </w:p>
    <w:p w14:paraId="44FCB2DC">
      <w:pPr>
        <w:pStyle w:val="9"/>
        <w:spacing w:before="11"/>
        <w:ind w:left="0"/>
        <w:jc w:val="left"/>
        <w:rPr>
          <w:rFonts w:hint="eastAsia"/>
          <w:sz w:val="30"/>
          <w:szCs w:val="30"/>
        </w:rPr>
      </w:pPr>
      <w:r>
        <w:rPr>
          <w:rFonts w:hint="eastAsia"/>
          <w:sz w:val="30"/>
          <w:szCs w:val="30"/>
        </w:rPr>
        <w:t>Obviously, this cannot refer to his atoning death, as argued by the two other views.</w:t>
      </w:r>
    </w:p>
    <w:p w14:paraId="36C94AC6">
      <w:pPr>
        <w:pStyle w:val="9"/>
        <w:spacing w:before="11"/>
        <w:ind w:left="0"/>
        <w:jc w:val="left"/>
        <w:rPr>
          <w:rFonts w:hint="eastAsia"/>
          <w:sz w:val="30"/>
          <w:szCs w:val="30"/>
        </w:rPr>
      </w:pPr>
      <w:r>
        <w:rPr>
          <w:rFonts w:hint="eastAsia"/>
          <w:sz w:val="30"/>
          <w:szCs w:val="30"/>
        </w:rPr>
        <w:t>显然，这不能指祂的赎罪之死，正如另外两种观点所主张的那样。</w:t>
      </w:r>
    </w:p>
    <w:p w14:paraId="268B447A">
      <w:pPr>
        <w:pStyle w:val="9"/>
        <w:spacing w:before="11"/>
        <w:ind w:left="0"/>
        <w:jc w:val="left"/>
        <w:rPr>
          <w:rFonts w:hint="eastAsia"/>
          <w:sz w:val="30"/>
          <w:szCs w:val="30"/>
        </w:rPr>
      </w:pPr>
    </w:p>
    <w:p w14:paraId="37E2BAC6">
      <w:pPr>
        <w:pStyle w:val="9"/>
        <w:spacing w:before="11"/>
        <w:ind w:left="0"/>
        <w:jc w:val="left"/>
        <w:rPr>
          <w:rFonts w:hint="eastAsia"/>
          <w:sz w:val="30"/>
          <w:szCs w:val="30"/>
        </w:rPr>
      </w:pPr>
      <w:r>
        <w:rPr>
          <w:rFonts w:hint="eastAsia"/>
          <w:sz w:val="30"/>
          <w:szCs w:val="30"/>
        </w:rPr>
        <w:t>But what does it mean?</w:t>
      </w:r>
    </w:p>
    <w:p w14:paraId="072EB614">
      <w:pPr>
        <w:pStyle w:val="9"/>
        <w:spacing w:before="11"/>
        <w:ind w:left="0"/>
        <w:jc w:val="left"/>
        <w:rPr>
          <w:rFonts w:hint="eastAsia"/>
          <w:sz w:val="30"/>
          <w:szCs w:val="30"/>
        </w:rPr>
      </w:pPr>
      <w:r>
        <w:rPr>
          <w:rFonts w:hint="eastAsia"/>
          <w:sz w:val="30"/>
          <w:szCs w:val="30"/>
        </w:rPr>
        <w:t>但这又是什么意思呢？</w:t>
      </w:r>
    </w:p>
    <w:p w14:paraId="2C97EC33">
      <w:pPr>
        <w:pStyle w:val="9"/>
        <w:spacing w:before="11"/>
        <w:ind w:left="0"/>
        <w:jc w:val="left"/>
        <w:rPr>
          <w:rFonts w:hint="eastAsia"/>
          <w:sz w:val="30"/>
          <w:szCs w:val="30"/>
        </w:rPr>
      </w:pPr>
    </w:p>
    <w:p w14:paraId="1390C19F">
      <w:pPr>
        <w:pStyle w:val="9"/>
        <w:spacing w:before="11"/>
        <w:ind w:left="0"/>
        <w:jc w:val="left"/>
        <w:rPr>
          <w:rFonts w:hint="eastAsia"/>
          <w:sz w:val="30"/>
          <w:szCs w:val="30"/>
        </w:rPr>
      </w:pPr>
      <w:r>
        <w:rPr>
          <w:rFonts w:hint="eastAsia"/>
          <w:sz w:val="30"/>
          <w:szCs w:val="30"/>
        </w:rPr>
        <w:t>Leupold suggests that the “cutting off” is best illuminated by the “having nothing”:</w:t>
      </w:r>
    </w:p>
    <w:p w14:paraId="1D9FDF84">
      <w:pPr>
        <w:pStyle w:val="9"/>
        <w:spacing w:before="11"/>
        <w:ind w:left="0"/>
        <w:jc w:val="left"/>
        <w:rPr>
          <w:rFonts w:hint="eastAsia"/>
          <w:sz w:val="30"/>
          <w:szCs w:val="30"/>
        </w:rPr>
      </w:pPr>
      <w:r>
        <w:rPr>
          <w:rFonts w:hint="eastAsia"/>
          <w:sz w:val="30"/>
          <w:szCs w:val="30"/>
        </w:rPr>
        <w:t>卢波德认为，“剪除”最好通过“一无所有”来阐明：</w:t>
      </w:r>
    </w:p>
    <w:p w14:paraId="3A3CF67E">
      <w:pPr>
        <w:pStyle w:val="9"/>
        <w:spacing w:before="11"/>
        <w:ind w:left="0"/>
        <w:jc w:val="left"/>
        <w:rPr>
          <w:rFonts w:hint="eastAsia"/>
          <w:sz w:val="30"/>
          <w:szCs w:val="30"/>
        </w:rPr>
      </w:pPr>
    </w:p>
    <w:p w14:paraId="275D5ADF">
      <w:pPr>
        <w:pStyle w:val="9"/>
        <w:spacing w:before="11"/>
        <w:ind w:left="0"/>
        <w:jc w:val="left"/>
        <w:rPr>
          <w:rFonts w:hint="eastAsia"/>
          <w:sz w:val="30"/>
          <w:szCs w:val="30"/>
        </w:rPr>
      </w:pPr>
      <w:r>
        <w:rPr>
          <w:rFonts w:hint="eastAsia"/>
          <w:sz w:val="30"/>
          <w:szCs w:val="30"/>
        </w:rPr>
        <w:t>(The “having nothing”) implies that he shall not have that which normally might be expected to fall to his lot, such as followers, influence, and the like.</w:t>
      </w:r>
    </w:p>
    <w:p w14:paraId="1D2EB1BB">
      <w:pPr>
        <w:pStyle w:val="9"/>
        <w:spacing w:before="11"/>
        <w:ind w:left="0"/>
        <w:jc w:val="left"/>
        <w:rPr>
          <w:rFonts w:hint="eastAsia"/>
          <w:sz w:val="30"/>
          <w:szCs w:val="30"/>
        </w:rPr>
      </w:pPr>
      <w:r>
        <w:rPr>
          <w:rFonts w:hint="eastAsia"/>
          <w:sz w:val="30"/>
          <w:szCs w:val="30"/>
        </w:rPr>
        <w:t>（“一无所有”）意味着祂将不会拥有通常可以期望归于祂的东西，例如追随者、影响力等等。</w:t>
      </w:r>
    </w:p>
    <w:p w14:paraId="2B4D965D">
      <w:pPr>
        <w:pStyle w:val="9"/>
        <w:spacing w:before="11"/>
        <w:ind w:left="0"/>
        <w:jc w:val="left"/>
        <w:rPr>
          <w:rFonts w:hint="eastAsia"/>
          <w:sz w:val="30"/>
          <w:szCs w:val="30"/>
        </w:rPr>
      </w:pPr>
    </w:p>
    <w:p w14:paraId="5B918FCD">
      <w:pPr>
        <w:pStyle w:val="9"/>
        <w:spacing w:before="11"/>
        <w:ind w:left="0"/>
        <w:jc w:val="left"/>
        <w:rPr>
          <w:rFonts w:hint="eastAsia"/>
          <w:sz w:val="30"/>
          <w:szCs w:val="30"/>
        </w:rPr>
      </w:pPr>
      <w:r>
        <w:rPr>
          <w:rFonts w:hint="eastAsia"/>
          <w:sz w:val="30"/>
          <w:szCs w:val="30"/>
        </w:rPr>
        <w:t>If that is the case, then the preceding statement must have involved his being “cut off” in the sense of losing all influence and prestige that he ever had before men.</w:t>
      </w:r>
    </w:p>
    <w:p w14:paraId="2165F554">
      <w:pPr>
        <w:pStyle w:val="9"/>
        <w:spacing w:before="11"/>
        <w:ind w:left="0"/>
        <w:jc w:val="left"/>
        <w:rPr>
          <w:rFonts w:hint="eastAsia"/>
          <w:sz w:val="30"/>
          <w:szCs w:val="30"/>
        </w:rPr>
      </w:pPr>
      <w:r>
        <w:rPr>
          <w:rFonts w:hint="eastAsia"/>
          <w:sz w:val="30"/>
          <w:szCs w:val="30"/>
        </w:rPr>
        <w:t>如果是这样，那么前面的陈述必定涉及祂被“剪除”的意义，即失去了祂在人面前曾有的一切影响力和威望。</w:t>
      </w:r>
    </w:p>
    <w:p w14:paraId="01612647">
      <w:pPr>
        <w:pStyle w:val="9"/>
        <w:spacing w:before="11"/>
        <w:ind w:left="0"/>
        <w:jc w:val="left"/>
        <w:rPr>
          <w:rFonts w:hint="eastAsia"/>
          <w:sz w:val="30"/>
          <w:szCs w:val="30"/>
        </w:rPr>
      </w:pPr>
    </w:p>
    <w:p w14:paraId="671D4F30">
      <w:pPr>
        <w:pStyle w:val="9"/>
        <w:spacing w:before="11"/>
        <w:ind w:left="0"/>
        <w:jc w:val="left"/>
        <w:rPr>
          <w:rFonts w:hint="eastAsia"/>
          <w:sz w:val="30"/>
          <w:szCs w:val="30"/>
        </w:rPr>
      </w:pPr>
      <w:r>
        <w:rPr>
          <w:rFonts w:hint="eastAsia"/>
          <w:sz w:val="30"/>
          <w:szCs w:val="30"/>
        </w:rPr>
        <w:t>The season of the successful building of the City and the Sanctuary is at an end.</w:t>
      </w:r>
    </w:p>
    <w:p w14:paraId="0F2EE941">
      <w:pPr>
        <w:pStyle w:val="9"/>
        <w:spacing w:before="11"/>
        <w:ind w:left="0"/>
        <w:jc w:val="left"/>
        <w:rPr>
          <w:rFonts w:hint="eastAsia"/>
          <w:sz w:val="30"/>
          <w:szCs w:val="30"/>
        </w:rPr>
      </w:pPr>
      <w:r>
        <w:rPr>
          <w:rFonts w:hint="eastAsia"/>
          <w:sz w:val="30"/>
          <w:szCs w:val="30"/>
        </w:rPr>
        <w:t>成功建造城和圣所的季节已经结束。</w:t>
      </w:r>
    </w:p>
    <w:p w14:paraId="3211F0D8">
      <w:pPr>
        <w:pStyle w:val="9"/>
        <w:spacing w:before="11"/>
        <w:ind w:left="0"/>
        <w:jc w:val="left"/>
        <w:rPr>
          <w:rFonts w:hint="eastAsia"/>
          <w:sz w:val="30"/>
          <w:szCs w:val="30"/>
        </w:rPr>
      </w:pPr>
    </w:p>
    <w:p w14:paraId="579B9055">
      <w:pPr>
        <w:pStyle w:val="9"/>
        <w:spacing w:before="11"/>
        <w:ind w:left="0"/>
        <w:jc w:val="left"/>
        <w:rPr>
          <w:rFonts w:hint="eastAsia"/>
          <w:sz w:val="30"/>
          <w:szCs w:val="30"/>
        </w:rPr>
      </w:pPr>
      <w:r>
        <w:rPr>
          <w:rFonts w:hint="eastAsia"/>
          <w:sz w:val="30"/>
          <w:szCs w:val="30"/>
        </w:rPr>
        <w:t>As far as the world is concerned, Messiah shall be a dead issue.</w:t>
      </w:r>
    </w:p>
    <w:p w14:paraId="46223799">
      <w:pPr>
        <w:pStyle w:val="9"/>
        <w:spacing w:before="11"/>
        <w:ind w:left="0"/>
        <w:jc w:val="left"/>
        <w:rPr>
          <w:rFonts w:hint="eastAsia"/>
          <w:sz w:val="30"/>
          <w:szCs w:val="30"/>
        </w:rPr>
      </w:pPr>
      <w:r>
        <w:rPr>
          <w:rFonts w:hint="eastAsia"/>
          <w:sz w:val="30"/>
          <w:szCs w:val="30"/>
        </w:rPr>
        <w:t>就世界而言，弥赛亚将成为一个死议题。</w:t>
      </w:r>
    </w:p>
    <w:p w14:paraId="0FCF4128">
      <w:pPr>
        <w:pStyle w:val="9"/>
        <w:spacing w:before="11"/>
        <w:ind w:left="0"/>
        <w:jc w:val="left"/>
        <w:rPr>
          <w:rFonts w:hint="eastAsia"/>
          <w:sz w:val="30"/>
          <w:szCs w:val="30"/>
        </w:rPr>
      </w:pPr>
    </w:p>
    <w:p w14:paraId="74F97CA9">
      <w:pPr>
        <w:pStyle w:val="9"/>
        <w:spacing w:before="11"/>
        <w:ind w:left="0"/>
        <w:jc w:val="left"/>
        <w:rPr>
          <w:rFonts w:hint="eastAsia"/>
          <w:sz w:val="30"/>
          <w:szCs w:val="30"/>
        </w:rPr>
      </w:pPr>
      <w:r>
        <w:rPr>
          <w:rFonts w:hint="eastAsia"/>
          <w:sz w:val="30"/>
          <w:szCs w:val="30"/>
        </w:rPr>
        <w:t>His cause will seem to have failed.12</w:t>
      </w:r>
    </w:p>
    <w:p w14:paraId="7E8CC980">
      <w:pPr>
        <w:pStyle w:val="9"/>
        <w:spacing w:before="11"/>
        <w:ind w:left="0"/>
        <w:jc w:val="left"/>
        <w:rPr>
          <w:rFonts w:hint="eastAsia"/>
          <w:sz w:val="30"/>
          <w:szCs w:val="30"/>
        </w:rPr>
      </w:pPr>
      <w:r>
        <w:rPr>
          <w:rFonts w:hint="eastAsia"/>
          <w:sz w:val="30"/>
          <w:szCs w:val="30"/>
        </w:rPr>
        <w:t>祂的事业将看似已经失败。12</w:t>
      </w:r>
    </w:p>
    <w:p w14:paraId="063F46BD">
      <w:pPr>
        <w:pStyle w:val="9"/>
        <w:spacing w:before="11"/>
        <w:ind w:left="0"/>
        <w:jc w:val="left"/>
        <w:rPr>
          <w:rFonts w:hint="eastAsia"/>
          <w:sz w:val="30"/>
          <w:szCs w:val="30"/>
        </w:rPr>
      </w:pPr>
    </w:p>
    <w:p w14:paraId="1C644A7E">
      <w:pPr>
        <w:pStyle w:val="9"/>
        <w:spacing w:before="11"/>
        <w:ind w:left="0"/>
        <w:jc w:val="left"/>
        <w:rPr>
          <w:rFonts w:hint="eastAsia"/>
          <w:sz w:val="30"/>
          <w:szCs w:val="30"/>
        </w:rPr>
      </w:pPr>
      <w:r>
        <w:rPr>
          <w:rFonts w:hint="eastAsia"/>
          <w:sz w:val="30"/>
          <w:szCs w:val="30"/>
        </w:rPr>
        <w:t>At that time—amidst such widespread apostasy from the law and Gospel of God—the world-system will take action: The people of the prince who is to come will destroy the City and the Sanctuary (2 Thess. 2:1ff).</w:t>
      </w:r>
    </w:p>
    <w:p w14:paraId="1D9ABB04">
      <w:pPr>
        <w:pStyle w:val="9"/>
        <w:spacing w:before="11"/>
        <w:ind w:left="0"/>
        <w:jc w:val="left"/>
        <w:rPr>
          <w:rFonts w:hint="eastAsia"/>
          <w:sz w:val="30"/>
          <w:szCs w:val="30"/>
        </w:rPr>
      </w:pPr>
      <w:r>
        <w:rPr>
          <w:rFonts w:hint="eastAsia"/>
          <w:sz w:val="30"/>
          <w:szCs w:val="30"/>
        </w:rPr>
        <w:t>那时——在对神的律法和福音普遍叛教的情况下——世界体系将采取行动：那将要来的君王的民将毁灭那城和圣所 (帖后 2:1及后)。</w:t>
      </w:r>
    </w:p>
    <w:p w14:paraId="6C9EDD0C">
      <w:pPr>
        <w:pStyle w:val="9"/>
        <w:spacing w:before="11"/>
        <w:ind w:left="0"/>
        <w:jc w:val="left"/>
        <w:rPr>
          <w:rFonts w:hint="eastAsia"/>
          <w:sz w:val="30"/>
          <w:szCs w:val="30"/>
        </w:rPr>
      </w:pPr>
    </w:p>
    <w:p w14:paraId="7CAB2A5D">
      <w:pPr>
        <w:pStyle w:val="9"/>
        <w:spacing w:before="11"/>
        <w:ind w:left="0"/>
        <w:jc w:val="left"/>
        <w:rPr>
          <w:rFonts w:hint="eastAsia"/>
          <w:sz w:val="30"/>
          <w:szCs w:val="30"/>
        </w:rPr>
      </w:pPr>
      <w:r>
        <w:rPr>
          <w:rFonts w:hint="eastAsia"/>
          <w:sz w:val="30"/>
          <w:szCs w:val="30"/>
        </w:rPr>
        <w:t>The prince is not Titus, but the Antichrist, the very Antichrist whom we meet over and again in Daniel’s visions (7:8, 11, 21-22, 24-26, 11:36ff).</w:t>
      </w:r>
    </w:p>
    <w:p w14:paraId="3CE15066">
      <w:pPr>
        <w:pStyle w:val="9"/>
        <w:spacing w:before="11"/>
        <w:ind w:left="0"/>
        <w:jc w:val="left"/>
        <w:rPr>
          <w:rFonts w:hint="eastAsia"/>
          <w:sz w:val="30"/>
          <w:szCs w:val="30"/>
        </w:rPr>
      </w:pPr>
      <w:r>
        <w:rPr>
          <w:rFonts w:hint="eastAsia"/>
          <w:sz w:val="30"/>
          <w:szCs w:val="30"/>
        </w:rPr>
        <w:t>这位君王不是提多，而是敌基督，就是我们在但以理的异象中一再遇到的那位敌基督 (7:8, 11, 21-22, 24-26, 11:36及后)。</w:t>
      </w:r>
    </w:p>
    <w:p w14:paraId="284B941E">
      <w:pPr>
        <w:pStyle w:val="9"/>
        <w:spacing w:before="11"/>
        <w:ind w:left="0"/>
        <w:jc w:val="left"/>
        <w:rPr>
          <w:rFonts w:hint="eastAsia"/>
          <w:sz w:val="30"/>
          <w:szCs w:val="30"/>
        </w:rPr>
      </w:pPr>
    </w:p>
    <w:p w14:paraId="73F81D2A">
      <w:pPr>
        <w:pStyle w:val="9"/>
        <w:spacing w:before="11"/>
        <w:ind w:left="0"/>
        <w:jc w:val="left"/>
        <w:rPr>
          <w:rFonts w:hint="eastAsia"/>
          <w:sz w:val="30"/>
          <w:szCs w:val="30"/>
        </w:rPr>
      </w:pPr>
      <w:r>
        <w:rPr>
          <w:rFonts w:hint="eastAsia"/>
          <w:sz w:val="30"/>
          <w:szCs w:val="30"/>
        </w:rPr>
        <w:t>His people are the eschatological seed of the serpent (Gen. 3:15), the “sons of the evil one” (Mt. 13:38), the followers of the Beast (Rev. 13:1f).</w:t>
      </w:r>
    </w:p>
    <w:p w14:paraId="5A724D1E">
      <w:pPr>
        <w:pStyle w:val="9"/>
        <w:spacing w:before="11"/>
        <w:ind w:left="0"/>
        <w:jc w:val="left"/>
        <w:rPr>
          <w:rFonts w:hint="eastAsia"/>
          <w:sz w:val="30"/>
          <w:szCs w:val="30"/>
        </w:rPr>
      </w:pPr>
      <w:r>
        <w:rPr>
          <w:rFonts w:hint="eastAsia"/>
          <w:sz w:val="30"/>
          <w:szCs w:val="30"/>
        </w:rPr>
        <w:t>祂的民是蛇的末世后裔 (创 3:15)，是“那恶者之子” (太 13:38)，是兽的跟随者 (启 13:1及后)。</w:t>
      </w:r>
    </w:p>
    <w:p w14:paraId="7FB3EF88">
      <w:pPr>
        <w:pStyle w:val="9"/>
        <w:spacing w:before="11"/>
        <w:ind w:left="0"/>
        <w:jc w:val="left"/>
        <w:rPr>
          <w:rFonts w:hint="eastAsia"/>
          <w:sz w:val="30"/>
          <w:szCs w:val="30"/>
        </w:rPr>
      </w:pPr>
    </w:p>
    <w:p w14:paraId="63D90A55">
      <w:pPr>
        <w:pStyle w:val="9"/>
        <w:spacing w:before="11"/>
        <w:ind w:left="0"/>
        <w:jc w:val="left"/>
        <w:rPr>
          <w:rFonts w:hint="eastAsia"/>
          <w:sz w:val="30"/>
          <w:szCs w:val="30"/>
        </w:rPr>
      </w:pPr>
      <w:r>
        <w:rPr>
          <w:rFonts w:hint="eastAsia"/>
          <w:sz w:val="30"/>
          <w:szCs w:val="30"/>
        </w:rPr>
        <w:t>As for the City and the Sanctuary, Leupold opines: “These represent the visible institution called the Church.</w:t>
      </w:r>
    </w:p>
    <w:p w14:paraId="7D2B1105">
      <w:pPr>
        <w:pStyle w:val="9"/>
        <w:spacing w:before="11"/>
        <w:ind w:left="0"/>
        <w:jc w:val="left"/>
        <w:rPr>
          <w:rFonts w:hint="eastAsia"/>
          <w:sz w:val="30"/>
          <w:szCs w:val="30"/>
        </w:rPr>
      </w:pPr>
      <w:r>
        <w:rPr>
          <w:rFonts w:hint="eastAsia"/>
          <w:sz w:val="30"/>
          <w:szCs w:val="30"/>
        </w:rPr>
        <w:t>至于那城和圣所，卢波德认为：“这些代表着被称为教会的可见机构。</w:t>
      </w:r>
    </w:p>
    <w:p w14:paraId="4F93B14F">
      <w:pPr>
        <w:pStyle w:val="9"/>
        <w:spacing w:before="11"/>
        <w:ind w:left="0"/>
        <w:jc w:val="left"/>
        <w:rPr>
          <w:rFonts w:hint="eastAsia"/>
          <w:sz w:val="30"/>
          <w:szCs w:val="30"/>
        </w:rPr>
      </w:pPr>
    </w:p>
    <w:p w14:paraId="10B57610">
      <w:pPr>
        <w:pStyle w:val="9"/>
        <w:spacing w:before="11"/>
        <w:ind w:left="0"/>
        <w:jc w:val="left"/>
        <w:rPr>
          <w:rFonts w:hint="eastAsia"/>
          <w:sz w:val="30"/>
          <w:szCs w:val="30"/>
        </w:rPr>
      </w:pPr>
      <w:r>
        <w:rPr>
          <w:rFonts w:hint="eastAsia"/>
          <w:sz w:val="30"/>
          <w:szCs w:val="30"/>
        </w:rPr>
        <w:t>These shall be destroyed, and with them the influence of the Christ that we now still know and feel to be abroad in the earth.”13</w:t>
      </w:r>
    </w:p>
    <w:p w14:paraId="7BFB0B54">
      <w:pPr>
        <w:pStyle w:val="9"/>
        <w:spacing w:before="11"/>
        <w:ind w:left="0"/>
        <w:jc w:val="left"/>
        <w:rPr>
          <w:rFonts w:hint="eastAsia"/>
          <w:sz w:val="30"/>
          <w:szCs w:val="30"/>
        </w:rPr>
      </w:pPr>
      <w:r>
        <w:rPr>
          <w:rFonts w:hint="eastAsia"/>
          <w:sz w:val="30"/>
          <w:szCs w:val="30"/>
        </w:rPr>
        <w:t>这些将被摧毁，随之而去的，还有我们现在仍然知道并感觉到遍布于地的基督的影响力。”13</w:t>
      </w:r>
    </w:p>
    <w:p w14:paraId="0689925D">
      <w:pPr>
        <w:pStyle w:val="9"/>
        <w:spacing w:before="11"/>
        <w:ind w:left="0"/>
        <w:jc w:val="left"/>
        <w:rPr>
          <w:rFonts w:hint="eastAsia"/>
          <w:sz w:val="30"/>
          <w:szCs w:val="30"/>
        </w:rPr>
      </w:pPr>
    </w:p>
    <w:p w14:paraId="4FD1D30A">
      <w:pPr>
        <w:pStyle w:val="9"/>
        <w:spacing w:before="11"/>
        <w:ind w:left="0"/>
        <w:jc w:val="left"/>
        <w:rPr>
          <w:rFonts w:hint="eastAsia"/>
          <w:sz w:val="30"/>
          <w:szCs w:val="30"/>
        </w:rPr>
      </w:pPr>
      <w:r>
        <w:rPr>
          <w:rFonts w:hint="eastAsia"/>
          <w:sz w:val="30"/>
          <w:szCs w:val="30"/>
        </w:rPr>
        <w:t>Doubtless this destruction will involve a new measure of Christian martyrdom.</w:t>
      </w:r>
    </w:p>
    <w:p w14:paraId="0E74C2E0">
      <w:pPr>
        <w:pStyle w:val="9"/>
        <w:spacing w:before="11"/>
        <w:ind w:left="0"/>
        <w:jc w:val="left"/>
        <w:rPr>
          <w:rFonts w:hint="eastAsia"/>
          <w:sz w:val="30"/>
          <w:szCs w:val="30"/>
        </w:rPr>
      </w:pPr>
      <w:r>
        <w:rPr>
          <w:rFonts w:hint="eastAsia"/>
          <w:sz w:val="30"/>
          <w:szCs w:val="30"/>
        </w:rPr>
        <w:t>无疑，这种毁灭将涉及新一轮的基督徒殉道。</w:t>
      </w:r>
    </w:p>
    <w:p w14:paraId="6C17DFA0">
      <w:pPr>
        <w:pStyle w:val="9"/>
        <w:spacing w:before="11"/>
        <w:ind w:left="0"/>
        <w:jc w:val="left"/>
        <w:rPr>
          <w:rFonts w:hint="eastAsia"/>
          <w:sz w:val="30"/>
          <w:szCs w:val="30"/>
        </w:rPr>
      </w:pPr>
    </w:p>
    <w:p w14:paraId="7912A126">
      <w:pPr>
        <w:pStyle w:val="9"/>
        <w:spacing w:before="11"/>
        <w:ind w:left="0"/>
        <w:jc w:val="left"/>
        <w:rPr>
          <w:rFonts w:hint="eastAsia"/>
          <w:sz w:val="30"/>
          <w:szCs w:val="30"/>
        </w:rPr>
      </w:pPr>
      <w:r>
        <w:rPr>
          <w:rFonts w:hint="eastAsia"/>
          <w:sz w:val="30"/>
          <w:szCs w:val="30"/>
        </w:rPr>
        <w:t>Nevertheless, the primary meaning is that religious freedom for Christians will be universally denied, and the institutional Church forced underground.</w:t>
      </w:r>
    </w:p>
    <w:p w14:paraId="77EAAEFB">
      <w:pPr>
        <w:pStyle w:val="9"/>
        <w:spacing w:before="11"/>
        <w:ind w:left="0"/>
        <w:jc w:val="left"/>
        <w:rPr>
          <w:rFonts w:hint="eastAsia"/>
          <w:sz w:val="30"/>
          <w:szCs w:val="30"/>
        </w:rPr>
      </w:pPr>
      <w:r>
        <w:rPr>
          <w:rFonts w:hint="eastAsia"/>
          <w:sz w:val="30"/>
          <w:szCs w:val="30"/>
        </w:rPr>
        <w:t>然而，其主要含义是，基督徒的宗教自由将被普遍剥夺，而体制性教会将被迫转入地下。</w:t>
      </w:r>
    </w:p>
    <w:p w14:paraId="4D1F69BA">
      <w:pPr>
        <w:pStyle w:val="9"/>
        <w:spacing w:before="11"/>
        <w:ind w:left="0"/>
        <w:jc w:val="left"/>
        <w:rPr>
          <w:rFonts w:hint="eastAsia"/>
          <w:sz w:val="30"/>
          <w:szCs w:val="30"/>
        </w:rPr>
      </w:pPr>
    </w:p>
    <w:p w14:paraId="66CC2C58">
      <w:pPr>
        <w:pStyle w:val="9"/>
        <w:spacing w:before="11"/>
        <w:ind w:left="0"/>
        <w:jc w:val="left"/>
        <w:rPr>
          <w:rFonts w:hint="eastAsia"/>
          <w:sz w:val="30"/>
          <w:szCs w:val="30"/>
        </w:rPr>
      </w:pPr>
      <w:r>
        <w:rPr>
          <w:rFonts w:hint="eastAsia"/>
          <w:sz w:val="30"/>
          <w:szCs w:val="30"/>
        </w:rPr>
        <w:t>Daniel has already seen this coming (7:21, 25).</w:t>
      </w:r>
    </w:p>
    <w:p w14:paraId="716B4467">
      <w:pPr>
        <w:pStyle w:val="9"/>
        <w:spacing w:before="11"/>
        <w:ind w:left="0"/>
        <w:jc w:val="left"/>
        <w:rPr>
          <w:rFonts w:hint="eastAsia"/>
          <w:sz w:val="30"/>
          <w:szCs w:val="30"/>
        </w:rPr>
      </w:pPr>
      <w:r>
        <w:rPr>
          <w:rFonts w:hint="eastAsia"/>
          <w:sz w:val="30"/>
          <w:szCs w:val="30"/>
        </w:rPr>
        <w:t>但以理已经预见到这一点 (7:21, 25)。</w:t>
      </w:r>
    </w:p>
    <w:p w14:paraId="71E510D7">
      <w:pPr>
        <w:pStyle w:val="9"/>
        <w:spacing w:before="11"/>
        <w:ind w:left="0"/>
        <w:jc w:val="left"/>
        <w:rPr>
          <w:rFonts w:hint="eastAsia"/>
          <w:sz w:val="30"/>
          <w:szCs w:val="30"/>
        </w:rPr>
      </w:pPr>
    </w:p>
    <w:p w14:paraId="621BB6F0">
      <w:pPr>
        <w:pStyle w:val="9"/>
        <w:spacing w:before="11"/>
        <w:ind w:left="0"/>
        <w:jc w:val="left"/>
        <w:rPr>
          <w:rFonts w:hint="eastAsia"/>
          <w:sz w:val="30"/>
          <w:szCs w:val="30"/>
        </w:rPr>
      </w:pPr>
      <w:r>
        <w:rPr>
          <w:rFonts w:hint="eastAsia"/>
          <w:sz w:val="30"/>
          <w:szCs w:val="30"/>
        </w:rPr>
        <w:t>It is explicitly predicted in 2 Thessalonians 2:3-4.</w:t>
      </w:r>
    </w:p>
    <w:p w14:paraId="669FE126">
      <w:pPr>
        <w:pStyle w:val="9"/>
        <w:spacing w:before="11"/>
        <w:ind w:left="0"/>
        <w:jc w:val="left"/>
        <w:rPr>
          <w:rFonts w:hint="eastAsia"/>
          <w:sz w:val="30"/>
          <w:szCs w:val="30"/>
        </w:rPr>
      </w:pPr>
      <w:r>
        <w:rPr>
          <w:rFonts w:hint="eastAsia"/>
          <w:sz w:val="30"/>
          <w:szCs w:val="30"/>
        </w:rPr>
        <w:t>这在帖撒罗尼迦后书2:3-4中有明确的预言。</w:t>
      </w:r>
    </w:p>
    <w:p w14:paraId="257E1AA3">
      <w:pPr>
        <w:pStyle w:val="9"/>
        <w:spacing w:before="11"/>
        <w:ind w:left="0"/>
        <w:jc w:val="left"/>
        <w:rPr>
          <w:rFonts w:hint="eastAsia"/>
          <w:sz w:val="30"/>
          <w:szCs w:val="30"/>
        </w:rPr>
      </w:pPr>
    </w:p>
    <w:p w14:paraId="7E9E8593">
      <w:pPr>
        <w:pStyle w:val="9"/>
        <w:spacing w:before="11"/>
        <w:ind w:left="0"/>
        <w:jc w:val="left"/>
        <w:rPr>
          <w:rFonts w:hint="eastAsia"/>
          <w:sz w:val="30"/>
          <w:szCs w:val="30"/>
        </w:rPr>
      </w:pPr>
      <w:r>
        <w:rPr>
          <w:rFonts w:hint="eastAsia"/>
          <w:sz w:val="30"/>
          <w:szCs w:val="30"/>
        </w:rPr>
        <w:t>It appears also in Revelation 11:7-10, where the Spirit represents the end time Church under the image of two OT witnesses; witnesses whom the Beast kills and leaves for dead on the bloody streets of the City of Man, just as he did their Lord.</w:t>
      </w:r>
    </w:p>
    <w:p w14:paraId="29BF68C0">
      <w:pPr>
        <w:pStyle w:val="9"/>
        <w:spacing w:before="11"/>
        <w:ind w:left="0"/>
        <w:jc w:val="left"/>
        <w:rPr>
          <w:rFonts w:hint="eastAsia"/>
          <w:sz w:val="30"/>
          <w:szCs w:val="30"/>
        </w:rPr>
      </w:pPr>
      <w:r>
        <w:rPr>
          <w:rFonts w:hint="eastAsia"/>
          <w:sz w:val="30"/>
          <w:szCs w:val="30"/>
        </w:rPr>
        <w:t>它也出现在启示录11:7-10中，在那里圣灵用两个旧约见证人的形象来代表末世的教会；这些见证人被兽所杀，并被弃尸在人之城的血腥街道上，就像他们的主一样。</w:t>
      </w:r>
    </w:p>
    <w:p w14:paraId="00079BEC">
      <w:pPr>
        <w:pStyle w:val="9"/>
        <w:spacing w:before="11"/>
        <w:ind w:left="0"/>
        <w:jc w:val="left"/>
        <w:rPr>
          <w:rFonts w:hint="eastAsia"/>
          <w:sz w:val="30"/>
          <w:szCs w:val="30"/>
        </w:rPr>
      </w:pPr>
    </w:p>
    <w:p w14:paraId="4F734589">
      <w:pPr>
        <w:pStyle w:val="9"/>
        <w:spacing w:before="11"/>
        <w:ind w:left="0"/>
        <w:jc w:val="left"/>
        <w:rPr>
          <w:rFonts w:hint="eastAsia"/>
          <w:sz w:val="30"/>
          <w:szCs w:val="30"/>
        </w:rPr>
      </w:pPr>
      <w:r>
        <w:rPr>
          <w:rFonts w:hint="eastAsia"/>
          <w:sz w:val="30"/>
          <w:szCs w:val="30"/>
        </w:rPr>
        <w:t>Regarding the final sentence of this verse, Leupold contends that it is the Antichrist whose end will come with a flood of divine judgment at Christ’s Parousia.</w:t>
      </w:r>
    </w:p>
    <w:p w14:paraId="3982FE7C">
      <w:pPr>
        <w:pStyle w:val="9"/>
        <w:spacing w:before="11"/>
        <w:ind w:left="0"/>
        <w:jc w:val="left"/>
        <w:rPr>
          <w:rFonts w:hint="eastAsia"/>
          <w:sz w:val="30"/>
          <w:szCs w:val="30"/>
        </w:rPr>
      </w:pPr>
      <w:r>
        <w:rPr>
          <w:rFonts w:hint="eastAsia"/>
          <w:sz w:val="30"/>
          <w:szCs w:val="30"/>
        </w:rPr>
        <w:t>关于这节经文的最后一句话，卢波德主张是敌基督，他的结局将在基督再临时随着神圣审判的洪水而来。</w:t>
      </w:r>
    </w:p>
    <w:p w14:paraId="564E99A7">
      <w:pPr>
        <w:pStyle w:val="9"/>
        <w:spacing w:before="11"/>
        <w:ind w:left="0"/>
        <w:jc w:val="left"/>
        <w:rPr>
          <w:rFonts w:hint="eastAsia"/>
          <w:sz w:val="30"/>
          <w:szCs w:val="30"/>
        </w:rPr>
      </w:pPr>
    </w:p>
    <w:p w14:paraId="14EEFC87">
      <w:pPr>
        <w:pStyle w:val="9"/>
        <w:spacing w:before="11"/>
        <w:ind w:left="0"/>
        <w:jc w:val="left"/>
        <w:rPr>
          <w:rFonts w:hint="eastAsia"/>
          <w:sz w:val="30"/>
          <w:szCs w:val="30"/>
        </w:rPr>
      </w:pPr>
      <w:r>
        <w:rPr>
          <w:rFonts w:hint="eastAsia"/>
          <w:sz w:val="30"/>
          <w:szCs w:val="30"/>
        </w:rPr>
        <w:t>Like Pharaoh and his obedient armies, he will be utterly swept away (2 Thess. 2: 8, Rev. 15:1-4).</w:t>
      </w:r>
    </w:p>
    <w:p w14:paraId="182226E7">
      <w:pPr>
        <w:pStyle w:val="9"/>
        <w:spacing w:before="11"/>
        <w:ind w:left="0"/>
        <w:jc w:val="left"/>
        <w:rPr>
          <w:rFonts w:hint="eastAsia"/>
          <w:sz w:val="30"/>
          <w:szCs w:val="30"/>
        </w:rPr>
      </w:pPr>
      <w:r>
        <w:rPr>
          <w:rFonts w:hint="eastAsia"/>
          <w:sz w:val="30"/>
          <w:szCs w:val="30"/>
        </w:rPr>
        <w:t>就像法老和他顺从的军队一样，他将被彻底扫除 (帖后 2:8, 启 15:1-4)。</w:t>
      </w:r>
    </w:p>
    <w:p w14:paraId="3E77D8F5">
      <w:pPr>
        <w:pStyle w:val="9"/>
        <w:spacing w:before="11"/>
        <w:ind w:left="0"/>
        <w:jc w:val="left"/>
        <w:rPr>
          <w:rFonts w:hint="eastAsia"/>
          <w:sz w:val="30"/>
          <w:szCs w:val="30"/>
        </w:rPr>
      </w:pPr>
    </w:p>
    <w:p w14:paraId="7AC05767">
      <w:pPr>
        <w:pStyle w:val="9"/>
        <w:spacing w:before="11"/>
        <w:ind w:left="0"/>
        <w:jc w:val="left"/>
        <w:rPr>
          <w:rFonts w:hint="eastAsia"/>
          <w:sz w:val="30"/>
          <w:szCs w:val="30"/>
        </w:rPr>
      </w:pPr>
      <w:r>
        <w:rPr>
          <w:rFonts w:hint="eastAsia"/>
          <w:sz w:val="30"/>
          <w:szCs w:val="30"/>
        </w:rPr>
        <w:t>This could be.</w:t>
      </w:r>
    </w:p>
    <w:p w14:paraId="58B41622">
      <w:pPr>
        <w:pStyle w:val="9"/>
        <w:spacing w:before="11"/>
        <w:ind w:left="0"/>
        <w:jc w:val="left"/>
        <w:rPr>
          <w:rFonts w:hint="eastAsia"/>
          <w:sz w:val="30"/>
          <w:szCs w:val="30"/>
        </w:rPr>
      </w:pPr>
      <w:r>
        <w:rPr>
          <w:rFonts w:hint="eastAsia"/>
          <w:sz w:val="30"/>
          <w:szCs w:val="30"/>
        </w:rPr>
        <w:t>这有可能是。</w:t>
      </w:r>
    </w:p>
    <w:p w14:paraId="7DD92CCC">
      <w:pPr>
        <w:pStyle w:val="9"/>
        <w:spacing w:before="11"/>
        <w:ind w:left="0"/>
        <w:jc w:val="left"/>
        <w:rPr>
          <w:rFonts w:hint="eastAsia"/>
          <w:sz w:val="30"/>
          <w:szCs w:val="30"/>
        </w:rPr>
      </w:pPr>
    </w:p>
    <w:p w14:paraId="52DC752E">
      <w:pPr>
        <w:pStyle w:val="9"/>
        <w:spacing w:before="11"/>
        <w:ind w:left="0"/>
        <w:jc w:val="left"/>
        <w:rPr>
          <w:rFonts w:hint="eastAsia"/>
          <w:sz w:val="30"/>
          <w:szCs w:val="30"/>
        </w:rPr>
      </w:pPr>
      <w:r>
        <w:rPr>
          <w:rFonts w:hint="eastAsia"/>
          <w:sz w:val="30"/>
          <w:szCs w:val="30"/>
        </w:rPr>
        <w:t>However, the context seems to favor the idea that here too the outward, institutional Church is in view: Her end will come with a flood of opposition and persecution (Psalm 18:4, Isaiah 59:19).</w:t>
      </w:r>
    </w:p>
    <w:p w14:paraId="77298F75">
      <w:pPr>
        <w:pStyle w:val="9"/>
        <w:spacing w:before="11"/>
        <w:ind w:left="0"/>
        <w:jc w:val="left"/>
        <w:rPr>
          <w:rFonts w:hint="eastAsia"/>
          <w:sz w:val="30"/>
          <w:szCs w:val="30"/>
        </w:rPr>
      </w:pPr>
      <w:r>
        <w:rPr>
          <w:rFonts w:hint="eastAsia"/>
          <w:sz w:val="30"/>
          <w:szCs w:val="30"/>
        </w:rPr>
        <w:t>然而，上下文似乎更支持这里的观点，即这里所指的是外在的、体制性的教会：她的结局将随着反对和迫害的洪水而来 (诗 18:4, 赛 59:19)。</w:t>
      </w:r>
    </w:p>
    <w:p w14:paraId="76BC4F38">
      <w:pPr>
        <w:pStyle w:val="9"/>
        <w:spacing w:before="11"/>
        <w:ind w:left="0"/>
        <w:jc w:val="left"/>
        <w:rPr>
          <w:rFonts w:hint="eastAsia"/>
          <w:sz w:val="30"/>
          <w:szCs w:val="30"/>
        </w:rPr>
      </w:pPr>
    </w:p>
    <w:p w14:paraId="36620A8E">
      <w:pPr>
        <w:pStyle w:val="9"/>
        <w:spacing w:before="11"/>
        <w:ind w:left="0"/>
        <w:jc w:val="left"/>
        <w:rPr>
          <w:rFonts w:hint="eastAsia"/>
          <w:sz w:val="30"/>
          <w:szCs w:val="30"/>
        </w:rPr>
      </w:pPr>
      <w:r>
        <w:rPr>
          <w:rFonts w:hint="eastAsia"/>
          <w:sz w:val="30"/>
          <w:szCs w:val="30"/>
        </w:rPr>
        <w:t>To the very end of the seventieth seven, there will be war against the saints (Rev. 12:15, 17).</w:t>
      </w:r>
    </w:p>
    <w:p w14:paraId="5049720C">
      <w:pPr>
        <w:pStyle w:val="9"/>
        <w:spacing w:before="11"/>
        <w:ind w:left="0"/>
        <w:jc w:val="left"/>
        <w:rPr>
          <w:rFonts w:hint="eastAsia"/>
          <w:sz w:val="30"/>
          <w:szCs w:val="30"/>
        </w:rPr>
      </w:pPr>
      <w:r>
        <w:rPr>
          <w:rFonts w:hint="eastAsia"/>
          <w:sz w:val="30"/>
          <w:szCs w:val="30"/>
        </w:rPr>
        <w:t>直到第七十个七的末了，都必有与圣徒的争战 (启 12:15, 17)。</w:t>
      </w:r>
    </w:p>
    <w:p w14:paraId="65C894D2">
      <w:pPr>
        <w:pStyle w:val="9"/>
        <w:spacing w:before="11"/>
        <w:ind w:left="0"/>
        <w:jc w:val="left"/>
        <w:rPr>
          <w:rFonts w:hint="eastAsia"/>
          <w:sz w:val="30"/>
          <w:szCs w:val="30"/>
        </w:rPr>
      </w:pPr>
    </w:p>
    <w:p w14:paraId="69F74B49">
      <w:pPr>
        <w:pStyle w:val="9"/>
        <w:spacing w:before="11"/>
        <w:ind w:left="0"/>
        <w:jc w:val="left"/>
        <w:rPr>
          <w:rFonts w:hint="eastAsia"/>
          <w:sz w:val="30"/>
          <w:szCs w:val="30"/>
        </w:rPr>
      </w:pPr>
      <w:r>
        <w:rPr>
          <w:rFonts w:hint="eastAsia"/>
          <w:sz w:val="30"/>
          <w:szCs w:val="30"/>
        </w:rPr>
        <w:t>Desolations—both of the institutional Church and her persecutors—are determined (Rev. 11:1-2).</w:t>
      </w:r>
    </w:p>
    <w:p w14:paraId="5E00CFB4">
      <w:pPr>
        <w:pStyle w:val="9"/>
        <w:spacing w:before="11"/>
        <w:ind w:left="0"/>
        <w:jc w:val="left"/>
        <w:rPr>
          <w:rFonts w:hint="eastAsia"/>
          <w:sz w:val="30"/>
          <w:szCs w:val="30"/>
        </w:rPr>
      </w:pPr>
      <w:r>
        <w:rPr>
          <w:rFonts w:hint="eastAsia"/>
          <w:sz w:val="30"/>
          <w:szCs w:val="30"/>
        </w:rPr>
        <w:t>荒凉——既指体制性教会的，也指其迫害者的——是已经命定的 (启 11:1-2)。</w:t>
      </w:r>
    </w:p>
    <w:p w14:paraId="615DAB2E">
      <w:pPr>
        <w:pStyle w:val="9"/>
        <w:spacing w:before="11"/>
        <w:ind w:left="0"/>
        <w:jc w:val="left"/>
        <w:rPr>
          <w:rFonts w:hint="eastAsia"/>
          <w:sz w:val="30"/>
          <w:szCs w:val="30"/>
        </w:rPr>
      </w:pPr>
    </w:p>
    <w:p w14:paraId="7325EE95">
      <w:pPr>
        <w:pStyle w:val="9"/>
        <w:spacing w:before="11"/>
        <w:ind w:left="0"/>
        <w:jc w:val="left"/>
        <w:rPr>
          <w:rFonts w:hint="eastAsia"/>
          <w:sz w:val="30"/>
          <w:szCs w:val="30"/>
        </w:rPr>
      </w:pPr>
      <w:r>
        <w:rPr>
          <w:rFonts w:hint="eastAsia"/>
          <w:sz w:val="30"/>
          <w:szCs w:val="30"/>
        </w:rPr>
        <w:t>Verse 27</w:t>
      </w:r>
    </w:p>
    <w:p w14:paraId="19A14ADF">
      <w:pPr>
        <w:pStyle w:val="9"/>
        <w:spacing w:before="11"/>
        <w:ind w:left="0"/>
        <w:jc w:val="left"/>
        <w:rPr>
          <w:rFonts w:hint="eastAsia"/>
          <w:sz w:val="30"/>
          <w:szCs w:val="30"/>
        </w:rPr>
      </w:pPr>
      <w:r>
        <w:rPr>
          <w:rFonts w:hint="eastAsia"/>
          <w:sz w:val="30"/>
          <w:szCs w:val="30"/>
        </w:rPr>
        <w:t>第27节</w:t>
      </w:r>
    </w:p>
    <w:p w14:paraId="18A98E4A">
      <w:pPr>
        <w:pStyle w:val="9"/>
        <w:spacing w:before="11"/>
        <w:ind w:left="0"/>
        <w:jc w:val="left"/>
        <w:rPr>
          <w:rFonts w:hint="eastAsia"/>
          <w:sz w:val="30"/>
          <w:szCs w:val="30"/>
        </w:rPr>
      </w:pPr>
    </w:p>
    <w:p w14:paraId="040D20F3">
      <w:pPr>
        <w:pStyle w:val="9"/>
        <w:spacing w:before="11"/>
        <w:ind w:left="0"/>
        <w:jc w:val="left"/>
        <w:rPr>
          <w:rFonts w:hint="eastAsia"/>
          <w:sz w:val="30"/>
          <w:szCs w:val="30"/>
        </w:rPr>
      </w:pPr>
      <w:r>
        <w:rPr>
          <w:rFonts w:hint="eastAsia"/>
          <w:sz w:val="30"/>
          <w:szCs w:val="30"/>
        </w:rPr>
        <w:t>And he will make a firm covenant with many for one week, but in the middle of the week he will put a stop to sacrifice and offering; and on the wing of abominations will come one who makes desolate, even until a complete destruction—one that is decreed—is poured out on the desolator.</w:t>
      </w:r>
    </w:p>
    <w:p w14:paraId="254C1385">
      <w:pPr>
        <w:pStyle w:val="9"/>
        <w:spacing w:before="11"/>
        <w:ind w:left="0"/>
        <w:jc w:val="left"/>
        <w:rPr>
          <w:rFonts w:hint="eastAsia"/>
          <w:sz w:val="30"/>
          <w:szCs w:val="30"/>
        </w:rPr>
      </w:pPr>
      <w:r>
        <w:rPr>
          <w:rFonts w:hint="eastAsia"/>
          <w:sz w:val="30"/>
          <w:szCs w:val="30"/>
        </w:rPr>
        <w:t>他必与许多人坚定盟约，为期一周；在一周之半，他必使祭祀与供献止息；行毁坏可憎的，必乘驾翅膀而来，直到所定的结局，就是那完全的毁灭，都倾倒在那行毁坏者的身上。</w:t>
      </w:r>
    </w:p>
    <w:p w14:paraId="2D7EFBFC">
      <w:pPr>
        <w:pStyle w:val="9"/>
        <w:spacing w:before="11"/>
        <w:ind w:left="0"/>
        <w:jc w:val="left"/>
        <w:rPr>
          <w:rFonts w:hint="eastAsia"/>
          <w:sz w:val="30"/>
          <w:szCs w:val="30"/>
        </w:rPr>
      </w:pPr>
    </w:p>
    <w:p w14:paraId="22137799">
      <w:pPr>
        <w:pStyle w:val="9"/>
        <w:spacing w:before="11"/>
        <w:ind w:left="0"/>
        <w:jc w:val="left"/>
        <w:rPr>
          <w:rFonts w:hint="eastAsia"/>
          <w:sz w:val="30"/>
          <w:szCs w:val="30"/>
        </w:rPr>
      </w:pPr>
      <w:r>
        <w:rPr>
          <w:rFonts w:hint="eastAsia"/>
          <w:sz w:val="30"/>
          <w:szCs w:val="30"/>
        </w:rPr>
        <w:t>Here Gabriel further instructs Daniel about the key events of the seventieth seven, this time with a concluding emphasis upon the destruction of the destroyer, the Antichrist.</w:t>
      </w:r>
    </w:p>
    <w:p w14:paraId="1008BD11">
      <w:pPr>
        <w:pStyle w:val="9"/>
        <w:spacing w:before="11"/>
        <w:ind w:left="0"/>
        <w:jc w:val="left"/>
        <w:rPr>
          <w:rFonts w:hint="eastAsia"/>
          <w:sz w:val="30"/>
          <w:szCs w:val="30"/>
        </w:rPr>
      </w:pPr>
      <w:r>
        <w:rPr>
          <w:rFonts w:hint="eastAsia"/>
          <w:sz w:val="30"/>
          <w:szCs w:val="30"/>
        </w:rPr>
        <w:t>在这里，加百列进一步指示但以理关于第七十个七的关键事件，这次的结尾重点在于毁灭那毁灭者，即敌基督。</w:t>
      </w:r>
    </w:p>
    <w:p w14:paraId="1F7D078C">
      <w:pPr>
        <w:pStyle w:val="9"/>
        <w:spacing w:before="11"/>
        <w:ind w:left="0"/>
        <w:jc w:val="left"/>
        <w:rPr>
          <w:rFonts w:hint="eastAsia"/>
          <w:sz w:val="30"/>
          <w:szCs w:val="30"/>
        </w:rPr>
      </w:pPr>
    </w:p>
    <w:p w14:paraId="28DF3B27">
      <w:pPr>
        <w:pStyle w:val="9"/>
        <w:spacing w:before="11"/>
        <w:ind w:left="0"/>
        <w:jc w:val="left"/>
        <w:rPr>
          <w:rFonts w:hint="eastAsia"/>
          <w:sz w:val="30"/>
          <w:szCs w:val="30"/>
        </w:rPr>
      </w:pPr>
      <w:r>
        <w:rPr>
          <w:rFonts w:hint="eastAsia"/>
          <w:sz w:val="30"/>
          <w:szCs w:val="30"/>
        </w:rPr>
        <w:t>As the long verse opens, we learn that throughout the final seven, he (the Antichrist) will cause a strong covenant to prevail over “the many.”</w:t>
      </w:r>
    </w:p>
    <w:p w14:paraId="09E7696C">
      <w:pPr>
        <w:pStyle w:val="9"/>
        <w:spacing w:before="11"/>
        <w:ind w:left="0"/>
        <w:jc w:val="left"/>
        <w:rPr>
          <w:rFonts w:hint="eastAsia"/>
          <w:sz w:val="30"/>
          <w:szCs w:val="30"/>
        </w:rPr>
      </w:pPr>
      <w:r>
        <w:rPr>
          <w:rFonts w:hint="eastAsia"/>
          <w:sz w:val="30"/>
          <w:szCs w:val="30"/>
        </w:rPr>
        <w:t>在这节长经文的开头，我们得知在最后的七中，他（敌基督）将使一个坚固的约胜过“许多人”。</w:t>
      </w:r>
    </w:p>
    <w:p w14:paraId="3C2D0940">
      <w:pPr>
        <w:pStyle w:val="9"/>
        <w:spacing w:before="11"/>
        <w:ind w:left="0"/>
        <w:jc w:val="left"/>
        <w:rPr>
          <w:rFonts w:hint="eastAsia"/>
          <w:sz w:val="30"/>
          <w:szCs w:val="30"/>
        </w:rPr>
      </w:pPr>
    </w:p>
    <w:p w14:paraId="52A2802C">
      <w:pPr>
        <w:pStyle w:val="9"/>
        <w:spacing w:before="11"/>
        <w:ind w:left="0"/>
        <w:jc w:val="left"/>
        <w:rPr>
          <w:rFonts w:hint="eastAsia"/>
          <w:sz w:val="30"/>
          <w:szCs w:val="30"/>
        </w:rPr>
      </w:pPr>
      <w:r>
        <w:rPr>
          <w:rFonts w:hint="eastAsia"/>
          <w:sz w:val="30"/>
          <w:szCs w:val="30"/>
        </w:rPr>
        <w:t>Leupold explains:</w:t>
      </w:r>
    </w:p>
    <w:p w14:paraId="0D71C092">
      <w:pPr>
        <w:pStyle w:val="9"/>
        <w:spacing w:before="11"/>
        <w:ind w:left="0"/>
        <w:jc w:val="left"/>
        <w:rPr>
          <w:rFonts w:hint="eastAsia"/>
          <w:sz w:val="30"/>
          <w:szCs w:val="30"/>
        </w:rPr>
      </w:pPr>
      <w:r>
        <w:rPr>
          <w:rFonts w:hint="eastAsia"/>
          <w:sz w:val="30"/>
          <w:szCs w:val="30"/>
        </w:rPr>
        <w:t>卢波德解释说：</w:t>
      </w:r>
    </w:p>
    <w:p w14:paraId="3203F020">
      <w:pPr>
        <w:pStyle w:val="9"/>
        <w:spacing w:before="11"/>
        <w:ind w:left="0"/>
        <w:jc w:val="left"/>
        <w:rPr>
          <w:rFonts w:hint="eastAsia"/>
          <w:sz w:val="30"/>
          <w:szCs w:val="30"/>
        </w:rPr>
      </w:pPr>
    </w:p>
    <w:p w14:paraId="1B7E8250">
      <w:pPr>
        <w:pStyle w:val="9"/>
        <w:spacing w:before="11"/>
        <w:ind w:left="0"/>
        <w:jc w:val="left"/>
        <w:rPr>
          <w:rFonts w:hint="eastAsia"/>
          <w:sz w:val="30"/>
          <w:szCs w:val="30"/>
        </w:rPr>
      </w:pPr>
      <w:r>
        <w:rPr>
          <w:rFonts w:hint="eastAsia"/>
          <w:sz w:val="30"/>
          <w:szCs w:val="30"/>
        </w:rPr>
        <w:t>The idea is that as he seeks to take the place of the Christ, so he shall imitate Him in some way.</w:t>
      </w:r>
    </w:p>
    <w:p w14:paraId="18FE04C9">
      <w:pPr>
        <w:pStyle w:val="9"/>
        <w:spacing w:before="11"/>
        <w:ind w:left="0"/>
        <w:jc w:val="left"/>
        <w:rPr>
          <w:rFonts w:hint="eastAsia"/>
          <w:sz w:val="30"/>
          <w:szCs w:val="30"/>
        </w:rPr>
      </w:pPr>
      <w:r>
        <w:rPr>
          <w:rFonts w:hint="eastAsia"/>
          <w:sz w:val="30"/>
          <w:szCs w:val="30"/>
        </w:rPr>
        <w:t>意思是，当他试图取代基督的位置时，他将在某种程度上模仿祂。</w:t>
      </w:r>
    </w:p>
    <w:p w14:paraId="2D98FDC7">
      <w:pPr>
        <w:pStyle w:val="9"/>
        <w:spacing w:before="11"/>
        <w:ind w:left="0"/>
        <w:jc w:val="left"/>
        <w:rPr>
          <w:rFonts w:hint="eastAsia"/>
          <w:sz w:val="30"/>
          <w:szCs w:val="30"/>
        </w:rPr>
      </w:pPr>
    </w:p>
    <w:p w14:paraId="448B12DB">
      <w:pPr>
        <w:pStyle w:val="9"/>
        <w:spacing w:before="11"/>
        <w:ind w:left="0"/>
        <w:jc w:val="left"/>
        <w:rPr>
          <w:rFonts w:hint="eastAsia"/>
          <w:sz w:val="30"/>
          <w:szCs w:val="30"/>
        </w:rPr>
      </w:pPr>
      <w:r>
        <w:rPr>
          <w:rFonts w:hint="eastAsia"/>
          <w:sz w:val="30"/>
          <w:szCs w:val="30"/>
        </w:rPr>
        <w:t>As the Lord made a covenant with his own to give them strong assurances as to what he would do, so Antichrist will inaugurate a covenant that will prevail; which is to say, compel the masses to accept it and abide by it.</w:t>
      </w:r>
    </w:p>
    <w:p w14:paraId="2614F875">
      <w:pPr>
        <w:pStyle w:val="9"/>
        <w:spacing w:before="11"/>
        <w:ind w:left="0"/>
        <w:jc w:val="left"/>
        <w:rPr>
          <w:rFonts w:hint="eastAsia"/>
          <w:sz w:val="30"/>
          <w:szCs w:val="30"/>
        </w:rPr>
      </w:pPr>
      <w:r>
        <w:rPr>
          <w:rFonts w:hint="eastAsia"/>
          <w:sz w:val="30"/>
          <w:szCs w:val="30"/>
        </w:rPr>
        <w:t>正如主与属祂的人立约，给他们坚定的保证，说明祂将要做什么，敌基督也将开启一个将要得胜的约；也就是说，强迫大众接受并遵守它。</w:t>
      </w:r>
    </w:p>
    <w:p w14:paraId="2097BCFD">
      <w:pPr>
        <w:pStyle w:val="9"/>
        <w:spacing w:before="11"/>
        <w:ind w:left="0"/>
        <w:jc w:val="left"/>
        <w:rPr>
          <w:rFonts w:hint="eastAsia"/>
          <w:sz w:val="30"/>
          <w:szCs w:val="30"/>
        </w:rPr>
      </w:pPr>
    </w:p>
    <w:p w14:paraId="534E4F68">
      <w:pPr>
        <w:pStyle w:val="9"/>
        <w:spacing w:before="11"/>
        <w:ind w:left="0"/>
        <w:jc w:val="left"/>
        <w:rPr>
          <w:rFonts w:hint="eastAsia"/>
          <w:sz w:val="30"/>
          <w:szCs w:val="30"/>
        </w:rPr>
      </w:pPr>
      <w:r>
        <w:rPr>
          <w:rFonts w:hint="eastAsia"/>
          <w:sz w:val="30"/>
          <w:szCs w:val="30"/>
        </w:rPr>
        <w:t>It shall not, therefore, be a gracious covenant of love, as are the Lord’s covenants, but a covenant of terror, compulsion, and violence.14</w:t>
      </w:r>
    </w:p>
    <w:p w14:paraId="1C5D70DD">
      <w:pPr>
        <w:pStyle w:val="9"/>
        <w:spacing w:before="11"/>
        <w:ind w:left="0"/>
        <w:jc w:val="left"/>
        <w:rPr>
          <w:rFonts w:hint="eastAsia"/>
          <w:sz w:val="30"/>
          <w:szCs w:val="30"/>
        </w:rPr>
      </w:pPr>
      <w:r>
        <w:rPr>
          <w:rFonts w:hint="eastAsia"/>
          <w:sz w:val="30"/>
          <w:szCs w:val="30"/>
        </w:rPr>
        <w:t>因此，它将不是一个恩典和爱的约，像主的约那样，而是一个恐怖、强迫和暴力的约。14</w:t>
      </w:r>
    </w:p>
    <w:p w14:paraId="79422FDE">
      <w:pPr>
        <w:pStyle w:val="9"/>
        <w:spacing w:before="11"/>
        <w:ind w:left="0"/>
        <w:jc w:val="left"/>
        <w:rPr>
          <w:rFonts w:hint="eastAsia"/>
          <w:sz w:val="30"/>
          <w:szCs w:val="30"/>
        </w:rPr>
      </w:pPr>
    </w:p>
    <w:p w14:paraId="38B099C4">
      <w:pPr>
        <w:pStyle w:val="9"/>
        <w:spacing w:before="11"/>
        <w:ind w:left="0"/>
        <w:jc w:val="left"/>
        <w:rPr>
          <w:rFonts w:hint="eastAsia"/>
          <w:sz w:val="30"/>
          <w:szCs w:val="30"/>
        </w:rPr>
      </w:pPr>
      <w:r>
        <w:rPr>
          <w:rFonts w:hint="eastAsia"/>
          <w:sz w:val="30"/>
          <w:szCs w:val="30"/>
        </w:rPr>
        <w:t>C. F. Keil, an early proponent of the RTAV, concurs.</w:t>
      </w:r>
    </w:p>
    <w:p w14:paraId="20374B4C">
      <w:pPr>
        <w:pStyle w:val="9"/>
        <w:spacing w:before="11"/>
        <w:ind w:left="0"/>
        <w:jc w:val="left"/>
        <w:rPr>
          <w:rFonts w:hint="eastAsia"/>
          <w:sz w:val="30"/>
          <w:szCs w:val="30"/>
        </w:rPr>
      </w:pPr>
      <w:r>
        <w:rPr>
          <w:rFonts w:hint="eastAsia"/>
          <w:sz w:val="30"/>
          <w:szCs w:val="30"/>
        </w:rPr>
        <w:t>C. F. 凯尔，改革宗两次降临观的早期支持者，表示同意。</w:t>
      </w:r>
    </w:p>
    <w:p w14:paraId="645A3ED7">
      <w:pPr>
        <w:pStyle w:val="9"/>
        <w:spacing w:before="11"/>
        <w:ind w:left="0"/>
        <w:jc w:val="left"/>
        <w:rPr>
          <w:rFonts w:hint="eastAsia"/>
          <w:sz w:val="30"/>
          <w:szCs w:val="30"/>
        </w:rPr>
      </w:pPr>
    </w:p>
    <w:p w14:paraId="65EBE003">
      <w:pPr>
        <w:pStyle w:val="9"/>
        <w:spacing w:before="11"/>
        <w:ind w:left="0"/>
        <w:jc w:val="left"/>
        <w:rPr>
          <w:rFonts w:hint="eastAsia"/>
          <w:sz w:val="30"/>
          <w:szCs w:val="30"/>
        </w:rPr>
      </w:pPr>
      <w:r>
        <w:rPr>
          <w:rFonts w:hint="eastAsia"/>
          <w:sz w:val="30"/>
          <w:szCs w:val="30"/>
        </w:rPr>
        <w:t>Highlighting the religious dimension of the Antichrist’s “agreement” with the world, he writes, “The ungodly prince shall impose upon the mass of the people a strong covenant that they should follow him and give themselves to him as their God” (Rev. 13:4).15</w:t>
      </w:r>
    </w:p>
    <w:p w14:paraId="1E3CFB17">
      <w:pPr>
        <w:pStyle w:val="9"/>
        <w:spacing w:before="11"/>
        <w:ind w:left="0"/>
        <w:jc w:val="left"/>
        <w:rPr>
          <w:rFonts w:hint="eastAsia"/>
          <w:sz w:val="30"/>
          <w:szCs w:val="30"/>
        </w:rPr>
      </w:pPr>
      <w:r>
        <w:rPr>
          <w:rFonts w:hint="eastAsia"/>
          <w:sz w:val="30"/>
          <w:szCs w:val="30"/>
        </w:rPr>
        <w:t>他强调了敌基督与世界“协议”的宗教层面，写道：“那不敬虔的君王将强加给大众一个坚固的约，要他们跟随他，并将自己献给他，作为他们的神” (启 13:4)。15</w:t>
      </w:r>
    </w:p>
    <w:p w14:paraId="0767D8F6">
      <w:pPr>
        <w:pStyle w:val="9"/>
        <w:spacing w:before="11"/>
        <w:ind w:left="0"/>
        <w:jc w:val="left"/>
        <w:rPr>
          <w:rFonts w:hint="eastAsia"/>
          <w:sz w:val="30"/>
          <w:szCs w:val="30"/>
        </w:rPr>
      </w:pPr>
    </w:p>
    <w:p w14:paraId="2AB52206">
      <w:pPr>
        <w:pStyle w:val="9"/>
        <w:spacing w:before="11"/>
        <w:ind w:left="0"/>
        <w:jc w:val="left"/>
        <w:rPr>
          <w:rFonts w:hint="eastAsia"/>
          <w:sz w:val="30"/>
          <w:szCs w:val="30"/>
        </w:rPr>
      </w:pPr>
      <w:r>
        <w:rPr>
          <w:rFonts w:hint="eastAsia"/>
          <w:sz w:val="30"/>
          <w:szCs w:val="30"/>
        </w:rPr>
        <w:t>The interpretation offered by these two outstanding commentators is compelling, seeing that 2 Thessalonians 2:1f supplies a more or less identical picture of the purpose, character, and career of the Man of Lawlessness.</w:t>
      </w:r>
    </w:p>
    <w:p w14:paraId="162AB2A4">
      <w:pPr>
        <w:pStyle w:val="9"/>
        <w:spacing w:before="11"/>
        <w:ind w:left="0"/>
        <w:jc w:val="left"/>
        <w:rPr>
          <w:rFonts w:hint="eastAsia"/>
          <w:sz w:val="30"/>
          <w:szCs w:val="30"/>
        </w:rPr>
      </w:pPr>
      <w:r>
        <w:rPr>
          <w:rFonts w:hint="eastAsia"/>
          <w:sz w:val="30"/>
          <w:szCs w:val="30"/>
        </w:rPr>
        <w:t>这两位杰出解经家所提供的解释是令人信服的，因为帖撒罗尼迦后书2:1及后提供了一个或多或少相同的关于不法之人的目的、品格和生涯的图景。</w:t>
      </w:r>
    </w:p>
    <w:p w14:paraId="682FA177">
      <w:pPr>
        <w:pStyle w:val="9"/>
        <w:spacing w:before="11"/>
        <w:ind w:left="0"/>
        <w:jc w:val="left"/>
        <w:rPr>
          <w:rFonts w:hint="eastAsia"/>
          <w:sz w:val="30"/>
          <w:szCs w:val="30"/>
        </w:rPr>
      </w:pPr>
    </w:p>
    <w:p w14:paraId="3C02523B">
      <w:pPr>
        <w:pStyle w:val="9"/>
        <w:spacing w:before="11"/>
        <w:ind w:left="0"/>
        <w:jc w:val="left"/>
        <w:rPr>
          <w:rFonts w:hint="eastAsia"/>
          <w:sz w:val="30"/>
          <w:szCs w:val="30"/>
        </w:rPr>
      </w:pPr>
      <w:r>
        <w:rPr>
          <w:rFonts w:hint="eastAsia"/>
          <w:sz w:val="30"/>
          <w:szCs w:val="30"/>
        </w:rPr>
        <w:t>How will the global rule of the Antichrist affect the Church?</w:t>
      </w:r>
    </w:p>
    <w:p w14:paraId="2F2EF0D0">
      <w:pPr>
        <w:pStyle w:val="9"/>
        <w:spacing w:before="11"/>
        <w:ind w:left="0"/>
        <w:jc w:val="left"/>
        <w:rPr>
          <w:rFonts w:hint="eastAsia"/>
          <w:sz w:val="30"/>
          <w:szCs w:val="30"/>
        </w:rPr>
      </w:pPr>
      <w:r>
        <w:rPr>
          <w:rFonts w:hint="eastAsia"/>
          <w:sz w:val="30"/>
          <w:szCs w:val="30"/>
        </w:rPr>
        <w:t>敌基督的全球统治将如何影响教会？</w:t>
      </w:r>
    </w:p>
    <w:p w14:paraId="1CBA4D03">
      <w:pPr>
        <w:pStyle w:val="9"/>
        <w:spacing w:before="11"/>
        <w:ind w:left="0"/>
        <w:jc w:val="left"/>
        <w:rPr>
          <w:rFonts w:hint="eastAsia"/>
          <w:sz w:val="30"/>
          <w:szCs w:val="30"/>
        </w:rPr>
      </w:pPr>
    </w:p>
    <w:p w14:paraId="1732696D">
      <w:pPr>
        <w:pStyle w:val="9"/>
        <w:spacing w:before="11"/>
        <w:ind w:left="0"/>
        <w:jc w:val="left"/>
        <w:rPr>
          <w:rFonts w:hint="eastAsia"/>
          <w:sz w:val="30"/>
          <w:szCs w:val="30"/>
        </w:rPr>
      </w:pPr>
      <w:r>
        <w:rPr>
          <w:rFonts w:hint="eastAsia"/>
          <w:sz w:val="30"/>
          <w:szCs w:val="30"/>
        </w:rPr>
        <w:t>In a reprise of the message of verse 26, Gabriel answers by declaring that in the middle of the last seven he will put a stop to sacrifice and offering.</w:t>
      </w:r>
    </w:p>
    <w:p w14:paraId="27010BA2">
      <w:pPr>
        <w:pStyle w:val="9"/>
        <w:spacing w:before="11"/>
        <w:ind w:left="0"/>
        <w:jc w:val="left"/>
        <w:rPr>
          <w:rFonts w:hint="eastAsia"/>
          <w:sz w:val="30"/>
          <w:szCs w:val="30"/>
        </w:rPr>
      </w:pPr>
      <w:r>
        <w:rPr>
          <w:rFonts w:hint="eastAsia"/>
          <w:sz w:val="30"/>
          <w:szCs w:val="30"/>
        </w:rPr>
        <w:t>在对第26节信息的重述中，加百列回答说，在最后一个七的中途，他将使祭祀和供献止息。</w:t>
      </w:r>
    </w:p>
    <w:p w14:paraId="1B37B78F">
      <w:pPr>
        <w:pStyle w:val="9"/>
        <w:spacing w:before="11"/>
        <w:ind w:left="0"/>
        <w:jc w:val="left"/>
        <w:rPr>
          <w:rFonts w:hint="eastAsia"/>
          <w:sz w:val="30"/>
          <w:szCs w:val="30"/>
        </w:rPr>
      </w:pPr>
    </w:p>
    <w:p w14:paraId="503DC8C3">
      <w:pPr>
        <w:pStyle w:val="9"/>
        <w:spacing w:before="11"/>
        <w:ind w:left="0"/>
        <w:jc w:val="left"/>
        <w:rPr>
          <w:rFonts w:hint="eastAsia"/>
          <w:sz w:val="30"/>
          <w:szCs w:val="30"/>
        </w:rPr>
      </w:pPr>
      <w:r>
        <w:rPr>
          <w:rFonts w:hint="eastAsia"/>
          <w:sz w:val="30"/>
          <w:szCs w:val="30"/>
        </w:rPr>
        <w:t>This means that (roughly) half way through his hegemony, he will suddenly turn against the Church and suppress her public worship.</w:t>
      </w:r>
    </w:p>
    <w:p w14:paraId="5FA3CDAE">
      <w:pPr>
        <w:pStyle w:val="9"/>
        <w:spacing w:before="11"/>
        <w:ind w:left="0"/>
        <w:jc w:val="left"/>
        <w:rPr>
          <w:rFonts w:hint="eastAsia"/>
          <w:sz w:val="30"/>
          <w:szCs w:val="30"/>
        </w:rPr>
      </w:pPr>
      <w:r>
        <w:rPr>
          <w:rFonts w:hint="eastAsia"/>
          <w:sz w:val="30"/>
          <w:szCs w:val="30"/>
        </w:rPr>
        <w:t>这意味着，在他霸权（大致）过半时，他将突然转而反对教会，并压制其公开敬拜。</w:t>
      </w:r>
    </w:p>
    <w:p w14:paraId="2DBB710A">
      <w:pPr>
        <w:pStyle w:val="9"/>
        <w:spacing w:before="11"/>
        <w:ind w:left="0"/>
        <w:jc w:val="left"/>
        <w:rPr>
          <w:rFonts w:hint="eastAsia"/>
          <w:sz w:val="30"/>
          <w:szCs w:val="30"/>
        </w:rPr>
      </w:pPr>
    </w:p>
    <w:p w14:paraId="7A2B6BA9">
      <w:pPr>
        <w:pStyle w:val="9"/>
        <w:spacing w:before="11"/>
        <w:ind w:left="0"/>
        <w:jc w:val="left"/>
        <w:rPr>
          <w:rFonts w:hint="eastAsia"/>
          <w:sz w:val="30"/>
          <w:szCs w:val="30"/>
        </w:rPr>
      </w:pPr>
      <w:r>
        <w:rPr>
          <w:rFonts w:hint="eastAsia"/>
          <w:sz w:val="30"/>
          <w:szCs w:val="30"/>
        </w:rPr>
        <w:t>At this point, he will become “one who makes desolate,” a destroyer.</w:t>
      </w:r>
    </w:p>
    <w:p w14:paraId="1D2114CE">
      <w:pPr>
        <w:pStyle w:val="9"/>
        <w:spacing w:before="11"/>
        <w:ind w:left="0"/>
        <w:jc w:val="left"/>
        <w:rPr>
          <w:rFonts w:hint="eastAsia"/>
          <w:sz w:val="30"/>
          <w:szCs w:val="30"/>
        </w:rPr>
      </w:pPr>
      <w:r>
        <w:rPr>
          <w:rFonts w:hint="eastAsia"/>
          <w:sz w:val="30"/>
          <w:szCs w:val="30"/>
        </w:rPr>
        <w:t>此时，他将成为“那行毁坏的”，一个毁灭者。</w:t>
      </w:r>
    </w:p>
    <w:p w14:paraId="6179D8E1">
      <w:pPr>
        <w:pStyle w:val="9"/>
        <w:spacing w:before="11"/>
        <w:ind w:left="0"/>
        <w:jc w:val="left"/>
        <w:rPr>
          <w:rFonts w:hint="eastAsia"/>
          <w:sz w:val="30"/>
          <w:szCs w:val="30"/>
        </w:rPr>
      </w:pPr>
    </w:p>
    <w:p w14:paraId="6EDE4CD1">
      <w:pPr>
        <w:pStyle w:val="9"/>
        <w:spacing w:before="11"/>
        <w:ind w:left="0"/>
        <w:jc w:val="left"/>
        <w:rPr>
          <w:rFonts w:hint="eastAsia"/>
          <w:sz w:val="30"/>
          <w:szCs w:val="30"/>
        </w:rPr>
      </w:pPr>
      <w:r>
        <w:rPr>
          <w:rFonts w:hint="eastAsia"/>
          <w:sz w:val="30"/>
          <w:szCs w:val="30"/>
        </w:rPr>
        <w:t>With destructive intent, he will now come against the saints “upon the wing of abominations.”</w:t>
      </w:r>
    </w:p>
    <w:p w14:paraId="35C320E0">
      <w:pPr>
        <w:pStyle w:val="9"/>
        <w:spacing w:before="11"/>
        <w:ind w:left="0"/>
        <w:jc w:val="left"/>
        <w:rPr>
          <w:rFonts w:hint="eastAsia"/>
          <w:sz w:val="30"/>
          <w:szCs w:val="30"/>
        </w:rPr>
      </w:pPr>
      <w:r>
        <w:rPr>
          <w:rFonts w:hint="eastAsia"/>
          <w:sz w:val="30"/>
          <w:szCs w:val="30"/>
        </w:rPr>
        <w:t>带着毁灭的意图，他现在将“驾着可憎之物的翅膀”来攻击圣徒。</w:t>
      </w:r>
    </w:p>
    <w:p w14:paraId="21917C38">
      <w:pPr>
        <w:pStyle w:val="9"/>
        <w:spacing w:before="11"/>
        <w:ind w:left="0"/>
        <w:jc w:val="left"/>
        <w:rPr>
          <w:rFonts w:hint="eastAsia"/>
          <w:sz w:val="30"/>
          <w:szCs w:val="30"/>
        </w:rPr>
      </w:pPr>
    </w:p>
    <w:p w14:paraId="45815703">
      <w:pPr>
        <w:pStyle w:val="9"/>
        <w:spacing w:before="11"/>
        <w:ind w:left="0"/>
        <w:jc w:val="left"/>
        <w:rPr>
          <w:rFonts w:hint="eastAsia"/>
          <w:sz w:val="30"/>
          <w:szCs w:val="30"/>
        </w:rPr>
      </w:pPr>
      <w:r>
        <w:rPr>
          <w:rFonts w:hint="eastAsia"/>
          <w:sz w:val="30"/>
          <w:szCs w:val="30"/>
        </w:rPr>
        <w:t>That is, he will fly into global power and influence—and so to apparent victory over Christ’s little flock—riding upon the persuasive force of detestable idols: a counterfeit gospel (i.e., religion, ideology) and counterfeit signs and wonders that seem to validate it (Mt. 24:23-24, 2 Thess. 2:8-12).</w:t>
      </w:r>
    </w:p>
    <w:p w14:paraId="74FC54B5">
      <w:pPr>
        <w:pStyle w:val="9"/>
        <w:spacing w:before="11"/>
        <w:ind w:left="0"/>
        <w:jc w:val="left"/>
        <w:rPr>
          <w:rFonts w:hint="eastAsia"/>
          <w:sz w:val="30"/>
          <w:szCs w:val="30"/>
        </w:rPr>
      </w:pPr>
      <w:r>
        <w:rPr>
          <w:rFonts w:hint="eastAsia"/>
          <w:sz w:val="30"/>
          <w:szCs w:val="30"/>
        </w:rPr>
        <w:t>也就是说，他将驾驭可憎偶像的说服力——即伪冒的福音（即宗教、意识形态）和似乎证实它的伪冒神迹奇事——飞入全球权力和影响力的中心，从而在基督的小羊群上取得表面的胜利 (太 24:23-24, 帖后 2:8-12)。</w:t>
      </w:r>
    </w:p>
    <w:p w14:paraId="171D9CB5">
      <w:pPr>
        <w:pStyle w:val="9"/>
        <w:spacing w:before="11"/>
        <w:ind w:left="0"/>
        <w:jc w:val="left"/>
        <w:rPr>
          <w:rFonts w:hint="eastAsia"/>
          <w:sz w:val="30"/>
          <w:szCs w:val="30"/>
        </w:rPr>
      </w:pPr>
    </w:p>
    <w:p w14:paraId="3212E1F8">
      <w:pPr>
        <w:pStyle w:val="9"/>
        <w:spacing w:before="11"/>
        <w:ind w:left="0"/>
        <w:jc w:val="left"/>
        <w:rPr>
          <w:rFonts w:hint="eastAsia"/>
          <w:sz w:val="30"/>
          <w:szCs w:val="30"/>
        </w:rPr>
      </w:pPr>
      <w:r>
        <w:rPr>
          <w:rFonts w:hint="eastAsia"/>
          <w:sz w:val="30"/>
          <w:szCs w:val="30"/>
        </w:rPr>
        <w:t>This will indeed be the Church’s darkest hour (Mt. 24:21, Rev. 13:7).</w:t>
      </w:r>
    </w:p>
    <w:p w14:paraId="0A38794F">
      <w:pPr>
        <w:pStyle w:val="9"/>
        <w:spacing w:before="11"/>
        <w:ind w:left="0"/>
        <w:jc w:val="left"/>
        <w:rPr>
          <w:rFonts w:hint="eastAsia"/>
          <w:sz w:val="30"/>
          <w:szCs w:val="30"/>
        </w:rPr>
      </w:pPr>
      <w:r>
        <w:rPr>
          <w:rFonts w:hint="eastAsia"/>
          <w:sz w:val="30"/>
          <w:szCs w:val="30"/>
        </w:rPr>
        <w:t>这确实将是教会最黑暗的时刻 (太 24:21, 启 13:7)。</w:t>
      </w:r>
    </w:p>
    <w:p w14:paraId="7036F984">
      <w:pPr>
        <w:pStyle w:val="9"/>
        <w:spacing w:before="11"/>
        <w:ind w:left="0"/>
        <w:jc w:val="left"/>
        <w:rPr>
          <w:rFonts w:hint="eastAsia"/>
          <w:sz w:val="30"/>
          <w:szCs w:val="30"/>
        </w:rPr>
      </w:pPr>
    </w:p>
    <w:p w14:paraId="08A891B2">
      <w:pPr>
        <w:pStyle w:val="9"/>
        <w:spacing w:before="11"/>
        <w:ind w:left="0"/>
        <w:jc w:val="left"/>
        <w:rPr>
          <w:rFonts w:hint="eastAsia"/>
          <w:sz w:val="30"/>
          <w:szCs w:val="30"/>
        </w:rPr>
      </w:pPr>
      <w:r>
        <w:rPr>
          <w:rFonts w:hint="eastAsia"/>
          <w:sz w:val="30"/>
          <w:szCs w:val="30"/>
        </w:rPr>
        <w:t>Yet it is, after all, only an hour, and one that her Redeemer himself has triumphantly passed through.</w:t>
      </w:r>
    </w:p>
    <w:p w14:paraId="4E1A35F1">
      <w:pPr>
        <w:pStyle w:val="9"/>
        <w:spacing w:before="11"/>
        <w:ind w:left="0"/>
        <w:jc w:val="left"/>
        <w:rPr>
          <w:rFonts w:hint="eastAsia"/>
          <w:sz w:val="30"/>
          <w:szCs w:val="30"/>
        </w:rPr>
      </w:pPr>
      <w:r>
        <w:rPr>
          <w:rFonts w:hint="eastAsia"/>
          <w:sz w:val="30"/>
          <w:szCs w:val="30"/>
        </w:rPr>
        <w:t>然而，这毕竟只是一个时辰，而且是她的救赎主自己已经胜利地经过的时辰。</w:t>
      </w:r>
    </w:p>
    <w:p w14:paraId="687C21BE">
      <w:pPr>
        <w:pStyle w:val="9"/>
        <w:spacing w:before="11"/>
        <w:ind w:left="0"/>
        <w:jc w:val="left"/>
        <w:rPr>
          <w:rFonts w:hint="eastAsia"/>
          <w:sz w:val="30"/>
          <w:szCs w:val="30"/>
        </w:rPr>
      </w:pPr>
    </w:p>
    <w:p w14:paraId="43225EA2">
      <w:pPr>
        <w:pStyle w:val="9"/>
        <w:spacing w:before="11"/>
        <w:ind w:left="0"/>
        <w:jc w:val="left"/>
        <w:rPr>
          <w:rFonts w:hint="eastAsia"/>
          <w:sz w:val="30"/>
          <w:szCs w:val="30"/>
        </w:rPr>
      </w:pPr>
      <w:r>
        <w:rPr>
          <w:rFonts w:hint="eastAsia"/>
          <w:sz w:val="30"/>
          <w:szCs w:val="30"/>
        </w:rPr>
        <w:t>Therefore, it is an hour of hope.</w:t>
      </w:r>
    </w:p>
    <w:p w14:paraId="7EFAAF08">
      <w:pPr>
        <w:pStyle w:val="9"/>
        <w:spacing w:before="11"/>
        <w:ind w:left="0"/>
        <w:jc w:val="left"/>
        <w:rPr>
          <w:rFonts w:hint="eastAsia"/>
          <w:sz w:val="30"/>
          <w:szCs w:val="30"/>
        </w:rPr>
      </w:pPr>
      <w:r>
        <w:rPr>
          <w:rFonts w:hint="eastAsia"/>
          <w:sz w:val="30"/>
          <w:szCs w:val="30"/>
        </w:rPr>
        <w:t>因此，这是一个充满盼望的时辰。</w:t>
      </w:r>
    </w:p>
    <w:p w14:paraId="0B6C1FE2">
      <w:pPr>
        <w:pStyle w:val="9"/>
        <w:spacing w:before="11"/>
        <w:ind w:left="0"/>
        <w:jc w:val="left"/>
        <w:rPr>
          <w:rFonts w:hint="eastAsia"/>
          <w:sz w:val="30"/>
          <w:szCs w:val="30"/>
        </w:rPr>
      </w:pPr>
    </w:p>
    <w:p w14:paraId="1DAA6B16">
      <w:pPr>
        <w:pStyle w:val="9"/>
        <w:spacing w:before="11"/>
        <w:ind w:left="0"/>
        <w:jc w:val="left"/>
        <w:rPr>
          <w:rFonts w:hint="eastAsia"/>
          <w:sz w:val="30"/>
          <w:szCs w:val="30"/>
        </w:rPr>
      </w:pPr>
      <w:r>
        <w:rPr>
          <w:rFonts w:hint="eastAsia"/>
          <w:sz w:val="30"/>
          <w:szCs w:val="30"/>
        </w:rPr>
        <w:t>For no sooner will the counterfeit prince launch his great war against the saints, than the glorified Christ will appear in the skies above the Earth to rescue them.</w:t>
      </w:r>
    </w:p>
    <w:p w14:paraId="02C8C90D">
      <w:pPr>
        <w:pStyle w:val="9"/>
        <w:spacing w:before="11"/>
        <w:ind w:left="0"/>
        <w:jc w:val="left"/>
        <w:rPr>
          <w:rFonts w:hint="eastAsia"/>
          <w:sz w:val="30"/>
          <w:szCs w:val="30"/>
        </w:rPr>
      </w:pPr>
      <w:r>
        <w:rPr>
          <w:rFonts w:hint="eastAsia"/>
          <w:sz w:val="30"/>
          <w:szCs w:val="30"/>
        </w:rPr>
        <w:t>因为那伪冒的君王刚一发动对圣徒的大战，得荣耀的基督就将出现在地上的天空中来拯救他们。</w:t>
      </w:r>
    </w:p>
    <w:p w14:paraId="314B849B">
      <w:pPr>
        <w:pStyle w:val="9"/>
        <w:spacing w:before="11"/>
        <w:ind w:left="0"/>
        <w:jc w:val="left"/>
        <w:rPr>
          <w:rFonts w:hint="eastAsia"/>
          <w:sz w:val="30"/>
          <w:szCs w:val="30"/>
        </w:rPr>
      </w:pPr>
    </w:p>
    <w:p w14:paraId="3C287F0C">
      <w:pPr>
        <w:pStyle w:val="9"/>
        <w:spacing w:before="11"/>
        <w:ind w:left="0"/>
        <w:jc w:val="left"/>
        <w:rPr>
          <w:rFonts w:hint="eastAsia"/>
          <w:sz w:val="30"/>
          <w:szCs w:val="30"/>
        </w:rPr>
      </w:pPr>
      <w:r>
        <w:rPr>
          <w:rFonts w:hint="eastAsia"/>
          <w:sz w:val="30"/>
          <w:szCs w:val="30"/>
        </w:rPr>
        <w:t>Then, in the Judgment that follows, he will pour out complete destruction upon all who thought to destroy his own: Apollyon, Antichrist, and "the many" who so foolishly followed them into the Last Battle (Mt. 24:29-31, 25:31ff, 1 Thess. 4:13f, 2 Thess. 1:3-10, 2:8, 11-12, Rev. 19:20, 20:10).16</w:t>
      </w:r>
    </w:p>
    <w:p w14:paraId="7A61D736">
      <w:pPr>
        <w:pStyle w:val="9"/>
        <w:spacing w:before="11"/>
        <w:ind w:left="0"/>
        <w:jc w:val="left"/>
        <w:rPr>
          <w:sz w:val="15"/>
        </w:rPr>
      </w:pPr>
      <w:r>
        <w:rPr>
          <w:rFonts w:hint="eastAsia"/>
          <w:sz w:val="30"/>
          <w:szCs w:val="30"/>
        </w:rPr>
        <w:t>然后，在随后的审判中，祂将把完全的毁灭倾倒在所有想毁灭属祂之人的人身上：亚玻伦、敌基督，以及那些如此愚蠢地跟随他们进入最后战役的“许多人” (太 24:29-31, 25:31及后, 帖前 4:13及后, 帖后 1:3-10, 2:8, 11-12, 启 19:20, 20:10)。16</w:t>
      </w:r>
    </w:p>
    <w:p w14:paraId="5AF9492A">
      <w:pPr>
        <w:pStyle w:val="9"/>
        <w:spacing w:before="72"/>
        <w:ind w:left="0"/>
        <w:jc w:val="left"/>
      </w:pPr>
    </w:p>
    <w:p w14:paraId="214E5232">
      <w:pPr>
        <w:pStyle w:val="9"/>
        <w:spacing w:after="0" w:line="249" w:lineRule="auto"/>
        <w:rPr>
          <w:rFonts w:hint="eastAsia"/>
          <w:color w:val="231F20"/>
          <w:spacing w:val="-2"/>
        </w:rPr>
      </w:pPr>
      <w:r>
        <w:rPr>
          <w:rFonts w:hint="eastAsia"/>
          <w:color w:val="231F20"/>
          <w:spacing w:val="-2"/>
        </w:rPr>
        <w:t>Conclusion</w:t>
      </w:r>
    </w:p>
    <w:p w14:paraId="012A39D6">
      <w:pPr>
        <w:pStyle w:val="9"/>
        <w:spacing w:after="0" w:line="249" w:lineRule="auto"/>
        <w:rPr>
          <w:rFonts w:hint="eastAsia"/>
          <w:color w:val="231F20"/>
          <w:spacing w:val="-2"/>
        </w:rPr>
      </w:pPr>
      <w:r>
        <w:rPr>
          <w:rFonts w:hint="eastAsia"/>
          <w:color w:val="231F20"/>
          <w:spacing w:val="-2"/>
        </w:rPr>
        <w:t>结论</w:t>
      </w:r>
    </w:p>
    <w:p w14:paraId="439488CF">
      <w:pPr>
        <w:pStyle w:val="9"/>
        <w:spacing w:after="0" w:line="249" w:lineRule="auto"/>
        <w:rPr>
          <w:rFonts w:hint="eastAsia"/>
          <w:color w:val="231F20"/>
          <w:spacing w:val="-2"/>
        </w:rPr>
      </w:pPr>
    </w:p>
    <w:p w14:paraId="00AB0F26">
      <w:pPr>
        <w:pStyle w:val="9"/>
        <w:spacing w:after="0" w:line="249" w:lineRule="auto"/>
        <w:rPr>
          <w:rFonts w:hint="eastAsia"/>
          <w:color w:val="231F20"/>
          <w:spacing w:val="-2"/>
        </w:rPr>
      </w:pPr>
      <w:r>
        <w:rPr>
          <w:rFonts w:hint="eastAsia"/>
          <w:color w:val="231F20"/>
          <w:spacing w:val="-2"/>
        </w:rPr>
        <w:t>The prophecy of Daniel’s Seventy Sevens—possibly the most difficult in the entire prophetic canon—is a case study in the indispensability of the New Covenant Hermeneutic.</w:t>
      </w:r>
    </w:p>
    <w:p w14:paraId="1CFF7D09">
      <w:pPr>
        <w:pStyle w:val="9"/>
        <w:spacing w:after="0" w:line="249" w:lineRule="auto"/>
        <w:rPr>
          <w:rFonts w:hint="eastAsia"/>
          <w:color w:val="231F20"/>
          <w:spacing w:val="-2"/>
        </w:rPr>
      </w:pPr>
      <w:r>
        <w:rPr>
          <w:rFonts w:hint="eastAsia"/>
          <w:color w:val="231F20"/>
          <w:spacing w:val="-2"/>
        </w:rPr>
        <w:t>但以理的七十个七的预言——可能是整个预言正典中最难懂的——是新约解释学不可或缺性的一个案例研究。</w:t>
      </w:r>
    </w:p>
    <w:p w14:paraId="793169CB">
      <w:pPr>
        <w:pStyle w:val="9"/>
        <w:spacing w:after="0" w:line="249" w:lineRule="auto"/>
        <w:rPr>
          <w:rFonts w:hint="eastAsia"/>
          <w:color w:val="231F20"/>
          <w:spacing w:val="-2"/>
        </w:rPr>
      </w:pPr>
    </w:p>
    <w:p w14:paraId="55C4091B">
      <w:pPr>
        <w:pStyle w:val="9"/>
        <w:spacing w:after="0" w:line="249" w:lineRule="auto"/>
        <w:rPr>
          <w:rFonts w:hint="eastAsia"/>
          <w:color w:val="231F20"/>
          <w:spacing w:val="-2"/>
        </w:rPr>
      </w:pPr>
      <w:r>
        <w:rPr>
          <w:rFonts w:hint="eastAsia"/>
          <w:color w:val="231F20"/>
          <w:spacing w:val="-2"/>
        </w:rPr>
        <w:t>Without it, the vision is a maze; a labyrinth from which there is no escape.</w:t>
      </w:r>
    </w:p>
    <w:p w14:paraId="1D0E8475">
      <w:pPr>
        <w:pStyle w:val="9"/>
        <w:spacing w:after="0" w:line="249" w:lineRule="auto"/>
        <w:rPr>
          <w:rFonts w:hint="eastAsia"/>
          <w:color w:val="231F20"/>
          <w:spacing w:val="-2"/>
        </w:rPr>
      </w:pPr>
      <w:r>
        <w:rPr>
          <w:rFonts w:hint="eastAsia"/>
          <w:color w:val="231F20"/>
          <w:spacing w:val="-2"/>
        </w:rPr>
        <w:t>没有它，这个异象就是一个迷宫；一座无法逃脱的迷津。</w:t>
      </w:r>
    </w:p>
    <w:p w14:paraId="4A87F63B">
      <w:pPr>
        <w:pStyle w:val="9"/>
        <w:spacing w:after="0" w:line="249" w:lineRule="auto"/>
        <w:rPr>
          <w:rFonts w:hint="eastAsia"/>
          <w:color w:val="231F20"/>
          <w:spacing w:val="-2"/>
        </w:rPr>
      </w:pPr>
    </w:p>
    <w:p w14:paraId="24CE53BA">
      <w:pPr>
        <w:pStyle w:val="9"/>
        <w:spacing w:after="0" w:line="249" w:lineRule="auto"/>
        <w:rPr>
          <w:rFonts w:hint="eastAsia"/>
          <w:color w:val="231F20"/>
          <w:spacing w:val="-2"/>
        </w:rPr>
      </w:pPr>
      <w:r>
        <w:rPr>
          <w:rFonts w:hint="eastAsia"/>
          <w:color w:val="231F20"/>
          <w:spacing w:val="-2"/>
        </w:rPr>
        <w:t>With it, the way into the open field of truth becomes clear at last.</w:t>
      </w:r>
    </w:p>
    <w:p w14:paraId="6D4DC967">
      <w:pPr>
        <w:pStyle w:val="9"/>
        <w:spacing w:after="0" w:line="249" w:lineRule="auto"/>
        <w:rPr>
          <w:rFonts w:hint="eastAsia"/>
          <w:color w:val="231F20"/>
          <w:spacing w:val="-2"/>
        </w:rPr>
      </w:pPr>
      <w:r>
        <w:rPr>
          <w:rFonts w:hint="eastAsia"/>
          <w:color w:val="231F20"/>
          <w:spacing w:val="-2"/>
        </w:rPr>
        <w:t>有了它，通往真理开阔之地的道路最终变得清晰。</w:t>
      </w:r>
    </w:p>
    <w:p w14:paraId="2F3EB914">
      <w:pPr>
        <w:pStyle w:val="9"/>
        <w:spacing w:after="0" w:line="249" w:lineRule="auto"/>
        <w:rPr>
          <w:rFonts w:hint="eastAsia"/>
          <w:color w:val="231F20"/>
          <w:spacing w:val="-2"/>
        </w:rPr>
      </w:pPr>
    </w:p>
    <w:p w14:paraId="6CAF2BDE">
      <w:pPr>
        <w:pStyle w:val="9"/>
        <w:spacing w:after="0" w:line="249" w:lineRule="auto"/>
        <w:rPr>
          <w:rFonts w:hint="eastAsia"/>
          <w:color w:val="231F20"/>
          <w:spacing w:val="-2"/>
        </w:rPr>
      </w:pPr>
      <w:r>
        <w:rPr>
          <w:rFonts w:hint="eastAsia"/>
          <w:color w:val="231F20"/>
          <w:spacing w:val="-2"/>
        </w:rPr>
        <w:t>Our survey of the three main interpretations has made this evident.</w:t>
      </w:r>
    </w:p>
    <w:p w14:paraId="1C02DA6E">
      <w:pPr>
        <w:pStyle w:val="9"/>
        <w:spacing w:after="0" w:line="249" w:lineRule="auto"/>
        <w:rPr>
          <w:rFonts w:hint="eastAsia"/>
          <w:color w:val="231F20"/>
          <w:spacing w:val="-2"/>
        </w:rPr>
      </w:pPr>
      <w:r>
        <w:rPr>
          <w:rFonts w:hint="eastAsia"/>
          <w:color w:val="231F20"/>
          <w:spacing w:val="-2"/>
        </w:rPr>
        <w:t>我们对三种主要解释的考察已经使这一点显而易见。</w:t>
      </w:r>
    </w:p>
    <w:p w14:paraId="2F11422A">
      <w:pPr>
        <w:pStyle w:val="9"/>
        <w:spacing w:after="0" w:line="249" w:lineRule="auto"/>
        <w:rPr>
          <w:rFonts w:hint="eastAsia"/>
          <w:color w:val="231F20"/>
          <w:spacing w:val="-2"/>
        </w:rPr>
      </w:pPr>
    </w:p>
    <w:p w14:paraId="12791F8A">
      <w:pPr>
        <w:pStyle w:val="9"/>
        <w:spacing w:after="0" w:line="249" w:lineRule="auto"/>
        <w:rPr>
          <w:rFonts w:hint="eastAsia"/>
          <w:color w:val="231F20"/>
          <w:spacing w:val="-2"/>
        </w:rPr>
      </w:pPr>
      <w:r>
        <w:rPr>
          <w:rFonts w:hint="eastAsia"/>
          <w:color w:val="231F20"/>
          <w:spacing w:val="-2"/>
        </w:rPr>
        <w:t>Because the advocates of the TFAV have indeed grasped the true structure of NT eschatology, as well as the importance of the NCH, they have produced a fairly viable interpretation, one that has understandably remained popular over the years.</w:t>
      </w:r>
    </w:p>
    <w:p w14:paraId="1B4D1553">
      <w:pPr>
        <w:pStyle w:val="9"/>
        <w:spacing w:after="0" w:line="249" w:lineRule="auto"/>
        <w:rPr>
          <w:rFonts w:hint="eastAsia"/>
          <w:color w:val="231F20"/>
          <w:spacing w:val="-2"/>
        </w:rPr>
      </w:pPr>
      <w:r>
        <w:rPr>
          <w:rFonts w:hint="eastAsia"/>
          <w:color w:val="231F20"/>
          <w:spacing w:val="-2"/>
        </w:rPr>
        <w:t>因为传统第一次降临观（TFAV）的支持者确实掌握了新约末世论的真实结构，以及新约解释学（NCH）的重要性，他们提出了一个相当可行的解释，这个解释多年来一直很受欢迎，这是可以理解的。</w:t>
      </w:r>
    </w:p>
    <w:p w14:paraId="53630692">
      <w:pPr>
        <w:pStyle w:val="9"/>
        <w:spacing w:after="0" w:line="249" w:lineRule="auto"/>
        <w:rPr>
          <w:rFonts w:hint="eastAsia"/>
          <w:color w:val="231F20"/>
          <w:spacing w:val="-2"/>
        </w:rPr>
      </w:pPr>
    </w:p>
    <w:p w14:paraId="128A0132">
      <w:pPr>
        <w:pStyle w:val="9"/>
        <w:spacing w:after="0" w:line="249" w:lineRule="auto"/>
        <w:rPr>
          <w:rFonts w:hint="eastAsia"/>
          <w:color w:val="231F20"/>
          <w:spacing w:val="-2"/>
        </w:rPr>
      </w:pPr>
      <w:r>
        <w:rPr>
          <w:rFonts w:hint="eastAsia"/>
          <w:color w:val="231F20"/>
          <w:spacing w:val="-2"/>
        </w:rPr>
        <w:t>However, we have seen that upon closer inspection it fails to do justice to the nuances of the text itself, and also to the grand theme and substance of the book as a whole.</w:t>
      </w:r>
    </w:p>
    <w:p w14:paraId="328AFEC8">
      <w:pPr>
        <w:pStyle w:val="9"/>
        <w:spacing w:after="0" w:line="249" w:lineRule="auto"/>
        <w:rPr>
          <w:rFonts w:hint="eastAsia"/>
          <w:color w:val="231F20"/>
          <w:spacing w:val="-2"/>
        </w:rPr>
      </w:pPr>
      <w:r>
        <w:rPr>
          <w:rFonts w:hint="eastAsia"/>
          <w:color w:val="231F20"/>
          <w:spacing w:val="-2"/>
        </w:rPr>
        <w:t>然而，我们已经看到，在更仔细的审视下，它未能恰当地处理经文本身的细微之处，也未能恰当处理整本书宏大的主题和实质。</w:t>
      </w:r>
    </w:p>
    <w:p w14:paraId="3E8C3D7F">
      <w:pPr>
        <w:pStyle w:val="9"/>
        <w:spacing w:after="0" w:line="249" w:lineRule="auto"/>
        <w:rPr>
          <w:rFonts w:hint="eastAsia"/>
          <w:color w:val="231F20"/>
          <w:spacing w:val="-2"/>
        </w:rPr>
      </w:pPr>
    </w:p>
    <w:p w14:paraId="7FEF3255">
      <w:pPr>
        <w:pStyle w:val="9"/>
        <w:spacing w:after="0" w:line="249" w:lineRule="auto"/>
        <w:rPr>
          <w:rFonts w:hint="eastAsia"/>
          <w:color w:val="231F20"/>
          <w:spacing w:val="-2"/>
        </w:rPr>
      </w:pPr>
      <w:r>
        <w:rPr>
          <w:rFonts w:hint="eastAsia"/>
          <w:color w:val="231F20"/>
          <w:spacing w:val="-2"/>
        </w:rPr>
        <w:t>Meanwhile, advocates of the DTAV, having largely misunderstood NT eschatology and imposed an alien OT hermeneutic upon it, have given us an exotic interpretation that is exegetically untenable and theologically flawed.</w:t>
      </w:r>
    </w:p>
    <w:p w14:paraId="03DC72AC">
      <w:pPr>
        <w:pStyle w:val="9"/>
        <w:spacing w:after="0" w:line="249" w:lineRule="auto"/>
        <w:rPr>
          <w:rFonts w:hint="eastAsia"/>
          <w:color w:val="231F20"/>
          <w:spacing w:val="-2"/>
        </w:rPr>
      </w:pPr>
      <w:r>
        <w:rPr>
          <w:rFonts w:hint="eastAsia"/>
          <w:color w:val="231F20"/>
          <w:spacing w:val="-2"/>
        </w:rPr>
        <w:t>与此同时，时代论两次降临观（DTAV）的支持者，在很大程度上误解了新约末世论，并将一种外来的旧约解释学强加其上，给了我们一个奇异的解释，这个解释在解经上站不住脚，在神学上也有缺陷。</w:t>
      </w:r>
    </w:p>
    <w:p w14:paraId="3CDF64CC">
      <w:pPr>
        <w:pStyle w:val="9"/>
        <w:spacing w:after="0" w:line="249" w:lineRule="auto"/>
        <w:rPr>
          <w:rFonts w:hint="eastAsia"/>
          <w:color w:val="231F20"/>
          <w:spacing w:val="-2"/>
        </w:rPr>
      </w:pPr>
    </w:p>
    <w:p w14:paraId="61BD6832">
      <w:pPr>
        <w:pStyle w:val="9"/>
        <w:spacing w:after="0" w:line="249" w:lineRule="auto"/>
        <w:rPr>
          <w:rFonts w:hint="eastAsia"/>
          <w:color w:val="231F20"/>
          <w:spacing w:val="-2"/>
        </w:rPr>
      </w:pPr>
      <w:r>
        <w:rPr>
          <w:rFonts w:hint="eastAsia"/>
          <w:color w:val="231F20"/>
          <w:spacing w:val="-2"/>
        </w:rPr>
        <w:t>The widespread popularity of this view therefore reflects a serious failure on the part of the modern evangelical church to grasp the true structure of NT theology, and the NCH that naturally flows from it.</w:t>
      </w:r>
    </w:p>
    <w:p w14:paraId="615B8CF7">
      <w:pPr>
        <w:pStyle w:val="9"/>
        <w:spacing w:after="0" w:line="249" w:lineRule="auto"/>
        <w:rPr>
          <w:rFonts w:hint="eastAsia"/>
          <w:color w:val="231F20"/>
          <w:spacing w:val="-2"/>
        </w:rPr>
      </w:pPr>
      <w:r>
        <w:rPr>
          <w:rFonts w:hint="eastAsia"/>
          <w:color w:val="231F20"/>
          <w:spacing w:val="-2"/>
        </w:rPr>
        <w:t>因此，这种观点的广泛流传反映了一个严重的失败，即现代福音派教会未能掌握新约神学的真实结构，以及从中自然流出的新约解释学。</w:t>
      </w:r>
    </w:p>
    <w:p w14:paraId="09CB9FCA">
      <w:pPr>
        <w:pStyle w:val="9"/>
        <w:spacing w:after="0" w:line="249" w:lineRule="auto"/>
        <w:rPr>
          <w:rFonts w:hint="eastAsia"/>
          <w:color w:val="231F20"/>
          <w:spacing w:val="-2"/>
        </w:rPr>
      </w:pPr>
    </w:p>
    <w:p w14:paraId="39D77198">
      <w:pPr>
        <w:pStyle w:val="9"/>
        <w:spacing w:after="0" w:line="249" w:lineRule="auto"/>
        <w:rPr>
          <w:rFonts w:hint="eastAsia"/>
          <w:color w:val="231F20"/>
          <w:spacing w:val="-2"/>
        </w:rPr>
      </w:pPr>
      <w:r>
        <w:rPr>
          <w:rFonts w:hint="eastAsia"/>
          <w:color w:val="231F20"/>
          <w:spacing w:val="-2"/>
        </w:rPr>
        <w:t>Happily, it appears that Dispensationalism is now on the wane.</w:t>
      </w:r>
    </w:p>
    <w:p w14:paraId="04E80D2B">
      <w:pPr>
        <w:pStyle w:val="9"/>
        <w:spacing w:after="0" w:line="249" w:lineRule="auto"/>
        <w:rPr>
          <w:rFonts w:hint="eastAsia"/>
          <w:color w:val="231F20"/>
          <w:spacing w:val="-2"/>
        </w:rPr>
      </w:pPr>
      <w:r>
        <w:rPr>
          <w:rFonts w:hint="eastAsia"/>
          <w:color w:val="231F20"/>
          <w:spacing w:val="-2"/>
        </w:rPr>
        <w:t>令人欣慰的是，时代论似乎正在衰落。</w:t>
      </w:r>
    </w:p>
    <w:p w14:paraId="06D22331">
      <w:pPr>
        <w:pStyle w:val="9"/>
        <w:spacing w:after="0" w:line="249" w:lineRule="auto"/>
        <w:rPr>
          <w:rFonts w:hint="eastAsia"/>
          <w:color w:val="231F20"/>
          <w:spacing w:val="-2"/>
        </w:rPr>
      </w:pPr>
    </w:p>
    <w:p w14:paraId="5DD23EA8">
      <w:pPr>
        <w:pStyle w:val="9"/>
        <w:spacing w:after="0" w:line="249" w:lineRule="auto"/>
        <w:rPr>
          <w:rFonts w:hint="eastAsia"/>
          <w:color w:val="231F20"/>
          <w:spacing w:val="-2"/>
        </w:rPr>
      </w:pPr>
      <w:r>
        <w:rPr>
          <w:rFonts w:hint="eastAsia"/>
          <w:color w:val="231F20"/>
          <w:spacing w:val="-2"/>
        </w:rPr>
        <w:t>I do not think it can be otherwise, seeing that in the end the Spirit of Truth must (and will) draw Christ’s true spiritual Church back to the NT, where alone she will receive the keys to OTKP, Daniel 9, and all the rest of the eschatological truth she will need to stand strong amidst the rigors of the last of the last days.</w:t>
      </w:r>
    </w:p>
    <w:p w14:paraId="1EDD3904">
      <w:pPr>
        <w:pStyle w:val="9"/>
        <w:spacing w:after="0" w:line="249" w:lineRule="auto"/>
        <w:rPr>
          <w:rFonts w:hint="eastAsia"/>
          <w:color w:val="231F20"/>
          <w:spacing w:val="-2"/>
        </w:rPr>
      </w:pPr>
      <w:r>
        <w:rPr>
          <w:rFonts w:hint="eastAsia"/>
          <w:color w:val="231F20"/>
          <w:spacing w:val="-2"/>
        </w:rPr>
        <w:t>我认为不可能有别的结果，因为最终，真理的圣灵必须（也将会）将基督真实的属灵教会带回到新约，唯有在那里，她才能领受解开旧约国度预言、但以理书第9章以及所有其余末世论真理的关键，这些是她在末后日子的末期严峻考验中站立得稳所需要的。</w:t>
      </w:r>
    </w:p>
    <w:p w14:paraId="64DF5F90">
      <w:pPr>
        <w:pStyle w:val="9"/>
        <w:spacing w:after="0" w:line="249" w:lineRule="auto"/>
        <w:rPr>
          <w:rFonts w:hint="eastAsia"/>
          <w:color w:val="231F20"/>
          <w:spacing w:val="-2"/>
        </w:rPr>
      </w:pPr>
    </w:p>
    <w:p w14:paraId="5DE9D661">
      <w:pPr>
        <w:pStyle w:val="9"/>
        <w:spacing w:after="0" w:line="249" w:lineRule="auto"/>
        <w:rPr>
          <w:rFonts w:hint="eastAsia"/>
          <w:color w:val="231F20"/>
          <w:spacing w:val="-2"/>
        </w:rPr>
      </w:pPr>
      <w:r>
        <w:rPr>
          <w:rFonts w:hint="eastAsia"/>
          <w:color w:val="231F20"/>
          <w:spacing w:val="-2"/>
        </w:rPr>
        <w:t>The NT itself promises this very thing.</w:t>
      </w:r>
    </w:p>
    <w:p w14:paraId="6D8A3BDA">
      <w:pPr>
        <w:pStyle w:val="9"/>
        <w:spacing w:after="0" w:line="249" w:lineRule="auto"/>
        <w:rPr>
          <w:rFonts w:hint="eastAsia"/>
          <w:color w:val="231F20"/>
          <w:spacing w:val="-2"/>
        </w:rPr>
      </w:pPr>
      <w:r>
        <w:rPr>
          <w:rFonts w:hint="eastAsia"/>
          <w:color w:val="231F20"/>
          <w:spacing w:val="-2"/>
        </w:rPr>
        <w:t>新约本身就应许了这件事。</w:t>
      </w:r>
    </w:p>
    <w:p w14:paraId="3F297ECF">
      <w:pPr>
        <w:pStyle w:val="9"/>
        <w:spacing w:after="0" w:line="249" w:lineRule="auto"/>
        <w:rPr>
          <w:rFonts w:hint="eastAsia"/>
          <w:color w:val="231F20"/>
          <w:spacing w:val="-2"/>
        </w:rPr>
      </w:pPr>
    </w:p>
    <w:p w14:paraId="7893519A">
      <w:pPr>
        <w:pStyle w:val="9"/>
        <w:spacing w:after="0" w:line="249" w:lineRule="auto"/>
        <w:rPr>
          <w:rFonts w:hint="eastAsia"/>
          <w:color w:val="231F20"/>
          <w:spacing w:val="-2"/>
        </w:rPr>
      </w:pPr>
      <w:r>
        <w:rPr>
          <w:rFonts w:hint="eastAsia"/>
          <w:color w:val="231F20"/>
          <w:spacing w:val="-2"/>
        </w:rPr>
        <w:t>It tells us that the Lord loves his Bride (John 13:1); that he will prepare her for the Last Battle (John 16:13); and indeed, that one day he will cause her to attain to the unity of the faith, right down to eschatological faith (Eph. 4:11f).</w:t>
      </w:r>
    </w:p>
    <w:p w14:paraId="7B006BB0">
      <w:pPr>
        <w:pStyle w:val="9"/>
        <w:spacing w:after="0" w:line="249" w:lineRule="auto"/>
        <w:rPr>
          <w:rFonts w:hint="eastAsia"/>
          <w:color w:val="231F20"/>
          <w:spacing w:val="-2"/>
        </w:rPr>
      </w:pPr>
      <w:r>
        <w:rPr>
          <w:rFonts w:hint="eastAsia"/>
          <w:color w:val="231F20"/>
          <w:spacing w:val="-2"/>
        </w:rPr>
        <w:t>它告诉我们，主爱祂的新妇 (约 13:1)；祂将为她预备好迎接最后的战役 (约 16:13)；并且，确实有一天，祂将使她达到信仰的合一，直到末世论信仰的合一 (弗 4:11及后)。</w:t>
      </w:r>
    </w:p>
    <w:p w14:paraId="514449AC">
      <w:pPr>
        <w:pStyle w:val="9"/>
        <w:spacing w:after="0" w:line="249" w:lineRule="auto"/>
        <w:rPr>
          <w:rFonts w:hint="eastAsia"/>
          <w:color w:val="231F20"/>
          <w:spacing w:val="-2"/>
        </w:rPr>
      </w:pPr>
    </w:p>
    <w:p w14:paraId="443A9F78">
      <w:pPr>
        <w:pStyle w:val="9"/>
        <w:spacing w:after="0" w:line="249" w:lineRule="auto"/>
        <w:rPr>
          <w:rFonts w:hint="eastAsia"/>
          <w:color w:val="231F20"/>
          <w:spacing w:val="-2"/>
        </w:rPr>
      </w:pPr>
      <w:r>
        <w:rPr>
          <w:rFonts w:hint="eastAsia"/>
          <w:color w:val="231F20"/>
          <w:spacing w:val="-2"/>
        </w:rPr>
        <w:t>When he does, I believe he will draw her to the Reformed Two Advent View of Daniel 9.</w:t>
      </w:r>
    </w:p>
    <w:p w14:paraId="581C4E50">
      <w:pPr>
        <w:pStyle w:val="9"/>
        <w:spacing w:after="0" w:line="249" w:lineRule="auto"/>
        <w:rPr>
          <w:rFonts w:hint="eastAsia"/>
          <w:color w:val="231F20"/>
          <w:spacing w:val="-2"/>
        </w:rPr>
      </w:pPr>
      <w:r>
        <w:rPr>
          <w:rFonts w:hint="eastAsia"/>
          <w:color w:val="231F20"/>
          <w:spacing w:val="-2"/>
        </w:rPr>
        <w:t>当祂这样做时，我相信祂会将她引向但以理书第9章的改革宗两次降临观。</w:t>
      </w:r>
    </w:p>
    <w:p w14:paraId="7A18D93C">
      <w:pPr>
        <w:pStyle w:val="9"/>
        <w:spacing w:after="0" w:line="249" w:lineRule="auto"/>
        <w:rPr>
          <w:rFonts w:hint="eastAsia"/>
          <w:color w:val="231F20"/>
          <w:spacing w:val="-2"/>
        </w:rPr>
      </w:pPr>
    </w:p>
    <w:p w14:paraId="23657DEC">
      <w:pPr>
        <w:pStyle w:val="9"/>
        <w:spacing w:after="0" w:line="249" w:lineRule="auto"/>
        <w:rPr>
          <w:rFonts w:hint="eastAsia"/>
          <w:color w:val="231F20"/>
          <w:spacing w:val="-2"/>
        </w:rPr>
      </w:pPr>
      <w:r>
        <w:rPr>
          <w:rFonts w:hint="eastAsia"/>
          <w:color w:val="231F20"/>
          <w:spacing w:val="-2"/>
        </w:rPr>
        <w:t>Again, the reasons are many.</w:t>
      </w:r>
    </w:p>
    <w:p w14:paraId="57D52961">
      <w:pPr>
        <w:pStyle w:val="9"/>
        <w:spacing w:after="0" w:line="249" w:lineRule="auto"/>
        <w:rPr>
          <w:rFonts w:hint="eastAsia"/>
          <w:color w:val="231F20"/>
          <w:spacing w:val="-2"/>
        </w:rPr>
      </w:pPr>
      <w:r>
        <w:rPr>
          <w:rFonts w:hint="eastAsia"/>
          <w:color w:val="231F20"/>
          <w:spacing w:val="-2"/>
        </w:rPr>
        <w:t>再次，理由是多方面的。</w:t>
      </w:r>
    </w:p>
    <w:p w14:paraId="659893CA">
      <w:pPr>
        <w:pStyle w:val="9"/>
        <w:spacing w:after="0" w:line="249" w:lineRule="auto"/>
        <w:rPr>
          <w:rFonts w:hint="eastAsia"/>
          <w:color w:val="231F20"/>
          <w:spacing w:val="-2"/>
        </w:rPr>
      </w:pPr>
    </w:p>
    <w:p w14:paraId="4FB3A2FC">
      <w:pPr>
        <w:pStyle w:val="9"/>
        <w:spacing w:after="0" w:line="249" w:lineRule="auto"/>
        <w:rPr>
          <w:rFonts w:hint="eastAsia"/>
          <w:color w:val="231F20"/>
          <w:spacing w:val="-2"/>
        </w:rPr>
      </w:pPr>
      <w:r>
        <w:rPr>
          <w:rFonts w:hint="eastAsia"/>
          <w:color w:val="231F20"/>
          <w:spacing w:val="-2"/>
        </w:rPr>
        <w:t>This view includes all the strengths of the other two, while avoiding their weaknesses.</w:t>
      </w:r>
    </w:p>
    <w:p w14:paraId="59E4FB45">
      <w:pPr>
        <w:pStyle w:val="9"/>
        <w:spacing w:after="0" w:line="249" w:lineRule="auto"/>
        <w:rPr>
          <w:rFonts w:hint="eastAsia"/>
          <w:color w:val="231F20"/>
          <w:spacing w:val="-2"/>
        </w:rPr>
      </w:pPr>
      <w:r>
        <w:rPr>
          <w:rFonts w:hint="eastAsia"/>
          <w:color w:val="231F20"/>
          <w:spacing w:val="-2"/>
        </w:rPr>
        <w:t>这个观点包含了另外两种观点的所有优点，同时避免了它们的弱点。</w:t>
      </w:r>
    </w:p>
    <w:p w14:paraId="74A7F39F">
      <w:pPr>
        <w:pStyle w:val="9"/>
        <w:spacing w:after="0" w:line="249" w:lineRule="auto"/>
        <w:rPr>
          <w:rFonts w:hint="eastAsia"/>
          <w:color w:val="231F20"/>
          <w:spacing w:val="-2"/>
        </w:rPr>
      </w:pPr>
    </w:p>
    <w:p w14:paraId="3C6F6EE5">
      <w:pPr>
        <w:pStyle w:val="9"/>
        <w:spacing w:after="0" w:line="249" w:lineRule="auto"/>
        <w:rPr>
          <w:rFonts w:hint="eastAsia"/>
          <w:color w:val="231F20"/>
          <w:spacing w:val="-2"/>
        </w:rPr>
      </w:pPr>
      <w:r>
        <w:rPr>
          <w:rFonts w:hint="eastAsia"/>
          <w:color w:val="231F20"/>
          <w:spacing w:val="-2"/>
        </w:rPr>
        <w:t>It is true to the text, and true to the context: the Book of Daniel as a whole.</w:t>
      </w:r>
    </w:p>
    <w:p w14:paraId="0B7AF431">
      <w:pPr>
        <w:pStyle w:val="9"/>
        <w:spacing w:after="0" w:line="249" w:lineRule="auto"/>
        <w:rPr>
          <w:rFonts w:hint="eastAsia"/>
          <w:color w:val="231F20"/>
          <w:spacing w:val="-2"/>
        </w:rPr>
      </w:pPr>
      <w:r>
        <w:rPr>
          <w:rFonts w:hint="eastAsia"/>
          <w:color w:val="231F20"/>
          <w:spacing w:val="-2"/>
        </w:rPr>
        <w:t>它忠于经文，也忠于上下文：即整本但以理书。</w:t>
      </w:r>
    </w:p>
    <w:p w14:paraId="086D9F21">
      <w:pPr>
        <w:pStyle w:val="9"/>
        <w:spacing w:after="0" w:line="249" w:lineRule="auto"/>
        <w:rPr>
          <w:rFonts w:hint="eastAsia"/>
          <w:color w:val="231F20"/>
          <w:spacing w:val="-2"/>
        </w:rPr>
      </w:pPr>
    </w:p>
    <w:p w14:paraId="2C68FFD0">
      <w:pPr>
        <w:pStyle w:val="9"/>
        <w:spacing w:after="0" w:line="249" w:lineRule="auto"/>
        <w:rPr>
          <w:rFonts w:hint="eastAsia"/>
          <w:color w:val="231F20"/>
          <w:spacing w:val="-2"/>
        </w:rPr>
      </w:pPr>
      <w:r>
        <w:rPr>
          <w:rFonts w:hint="eastAsia"/>
          <w:color w:val="231F20"/>
          <w:spacing w:val="-2"/>
        </w:rPr>
        <w:t>It harmonizes perfectly with NT eschatology, and draws upon it richly for a right understanding.</w:t>
      </w:r>
    </w:p>
    <w:p w14:paraId="29CE72EC">
      <w:pPr>
        <w:pStyle w:val="9"/>
        <w:spacing w:after="0" w:line="249" w:lineRule="auto"/>
        <w:rPr>
          <w:rFonts w:hint="eastAsia"/>
          <w:color w:val="231F20"/>
          <w:spacing w:val="-2"/>
        </w:rPr>
      </w:pPr>
      <w:r>
        <w:rPr>
          <w:rFonts w:hint="eastAsia"/>
          <w:color w:val="231F20"/>
          <w:spacing w:val="-2"/>
        </w:rPr>
        <w:t>它与新约末世论完美协调，并从中丰富地汲取养分以获得正确的理解。</w:t>
      </w:r>
    </w:p>
    <w:p w14:paraId="1214D351">
      <w:pPr>
        <w:pStyle w:val="9"/>
        <w:spacing w:after="0" w:line="249" w:lineRule="auto"/>
        <w:rPr>
          <w:rFonts w:hint="eastAsia"/>
          <w:color w:val="231F20"/>
          <w:spacing w:val="-2"/>
        </w:rPr>
      </w:pPr>
    </w:p>
    <w:p w14:paraId="05269AFB">
      <w:pPr>
        <w:pStyle w:val="9"/>
        <w:spacing w:after="0" w:line="249" w:lineRule="auto"/>
        <w:rPr>
          <w:rFonts w:hint="eastAsia"/>
          <w:color w:val="231F20"/>
          <w:spacing w:val="-2"/>
        </w:rPr>
      </w:pPr>
      <w:r>
        <w:rPr>
          <w:rFonts w:hint="eastAsia"/>
          <w:color w:val="231F20"/>
          <w:spacing w:val="-2"/>
        </w:rPr>
        <w:t>But best of all—to my mind at least—is the intriguing fact that the RTAV seems to come at just the right time.</w:t>
      </w:r>
    </w:p>
    <w:p w14:paraId="14E67432">
      <w:pPr>
        <w:pStyle w:val="9"/>
        <w:spacing w:after="0" w:line="249" w:lineRule="auto"/>
        <w:rPr>
          <w:rFonts w:hint="eastAsia"/>
          <w:color w:val="231F20"/>
          <w:spacing w:val="-2"/>
        </w:rPr>
      </w:pPr>
      <w:r>
        <w:rPr>
          <w:rFonts w:hint="eastAsia"/>
          <w:color w:val="231F20"/>
          <w:spacing w:val="-2"/>
        </w:rPr>
        <w:t>但最妙的是——至少在我看来——改革宗两次降临观似乎恰逢其时，这一事实耐人寻味。</w:t>
      </w:r>
    </w:p>
    <w:p w14:paraId="4A0CC355">
      <w:pPr>
        <w:pStyle w:val="9"/>
        <w:spacing w:after="0" w:line="249" w:lineRule="auto"/>
        <w:rPr>
          <w:rFonts w:hint="eastAsia"/>
          <w:color w:val="231F20"/>
          <w:spacing w:val="-2"/>
        </w:rPr>
      </w:pPr>
    </w:p>
    <w:p w14:paraId="4D350F5A">
      <w:pPr>
        <w:pStyle w:val="9"/>
        <w:spacing w:after="0" w:line="249" w:lineRule="auto"/>
        <w:rPr>
          <w:rFonts w:hint="eastAsia"/>
          <w:color w:val="231F20"/>
          <w:spacing w:val="-2"/>
        </w:rPr>
      </w:pPr>
      <w:r>
        <w:rPr>
          <w:rFonts w:hint="eastAsia"/>
          <w:color w:val="231F20"/>
          <w:spacing w:val="-2"/>
        </w:rPr>
        <w:t>Somehow, it perfectly suits the dark, difficult, and dangerous days through which the global Church is now passing.</w:t>
      </w:r>
    </w:p>
    <w:p w14:paraId="034B4D8C">
      <w:pPr>
        <w:pStyle w:val="9"/>
        <w:spacing w:after="0" w:line="249" w:lineRule="auto"/>
        <w:rPr>
          <w:rFonts w:hint="eastAsia"/>
          <w:color w:val="231F20"/>
          <w:spacing w:val="-2"/>
        </w:rPr>
      </w:pPr>
      <w:r>
        <w:rPr>
          <w:rFonts w:hint="eastAsia"/>
          <w:color w:val="231F20"/>
          <w:spacing w:val="-2"/>
        </w:rPr>
        <w:t>不知怎地，它完美地契合了全球教会目前正在经历的黑暗、艰难和危险的日子。</w:t>
      </w:r>
    </w:p>
    <w:p w14:paraId="37292858">
      <w:pPr>
        <w:pStyle w:val="9"/>
        <w:spacing w:after="0" w:line="249" w:lineRule="auto"/>
        <w:rPr>
          <w:rFonts w:hint="eastAsia"/>
          <w:color w:val="231F20"/>
          <w:spacing w:val="-2"/>
        </w:rPr>
      </w:pPr>
    </w:p>
    <w:p w14:paraId="3689EF80">
      <w:pPr>
        <w:pStyle w:val="9"/>
        <w:spacing w:after="0" w:line="249" w:lineRule="auto"/>
        <w:rPr>
          <w:rFonts w:hint="eastAsia"/>
          <w:color w:val="231F20"/>
          <w:spacing w:val="-2"/>
        </w:rPr>
      </w:pPr>
      <w:r>
        <w:rPr>
          <w:rFonts w:hint="eastAsia"/>
          <w:color w:val="231F20"/>
          <w:spacing w:val="-2"/>
        </w:rPr>
        <w:t>In other words, this interpretation of Daniel’s prophecy of the Seventy Sevens may well be an eschatological gift from the exalted Lord himself; a special opening of our understanding by which, even now, he is supplying his beloved Bride with just the right mix of tough realism, steadfast hope, and eager expectation, so that she will be fully prepared for the return of her beloved Husband, the High King of Heaven (Luke 24:35, John 16:13, 2 Tim. 3:1f, 1 Peter 4:1-2, 12-13).</w:t>
      </w:r>
    </w:p>
    <w:p w14:paraId="169EE981">
      <w:pPr>
        <w:pStyle w:val="9"/>
        <w:spacing w:after="0" w:line="249" w:lineRule="auto"/>
        <w:sectPr>
          <w:pgSz w:w="12240" w:h="15840"/>
          <w:pgMar w:top="1380" w:right="1440" w:bottom="280" w:left="1440" w:header="720" w:footer="720" w:gutter="0"/>
          <w:cols w:space="720" w:num="1"/>
        </w:sectPr>
      </w:pPr>
      <w:r>
        <w:rPr>
          <w:rFonts w:hint="eastAsia"/>
          <w:color w:val="231F20"/>
          <w:spacing w:val="-2"/>
        </w:rPr>
        <w:t>换句话说，对但以理七十个七预言的这种解释，很可能就是来自被高举的主自己的一个末世论恩赐；是我们悟性的一次特殊开启，借此，即使是现在，祂也在为祂所爱的新妇提供恰到好处的坚韧现实主义、坚定盼望和热切期待的组合，以便她能为她所爱的丈夫，天上至高君王的回归做好充分的准备 (路 24:35, 约 16:13, 提后 3:1及后, 彼前 4:1-2, 12-13)。</w:t>
      </w:r>
    </w:p>
    <w:p w14:paraId="581D8785">
      <w:pPr>
        <w:pStyle w:val="2"/>
        <w:bidi w:val="0"/>
        <w:rPr>
          <w:rFonts w:hint="eastAsia"/>
        </w:rPr>
      </w:pPr>
      <w:bookmarkStart w:id="47" w:name="_bookmark108"/>
      <w:bookmarkEnd w:id="47"/>
      <w:bookmarkStart w:id="48" w:name="Chapter 18: OT Kingdom Prophecies Consid"/>
      <w:bookmarkEnd w:id="48"/>
      <w:r>
        <w:rPr>
          <w:rFonts w:hint="eastAsia"/>
        </w:rPr>
        <w:t>Chapter 18</w:t>
      </w:r>
    </w:p>
    <w:p w14:paraId="5FB471D0">
      <w:pPr>
        <w:pStyle w:val="2"/>
        <w:bidi w:val="0"/>
        <w:rPr>
          <w:rFonts w:hint="eastAsia"/>
        </w:rPr>
      </w:pPr>
      <w:r>
        <w:rPr>
          <w:rFonts w:hint="eastAsia"/>
        </w:rPr>
        <w:t>第18章</w:t>
      </w:r>
    </w:p>
    <w:p w14:paraId="4B802739">
      <w:pPr>
        <w:pStyle w:val="9"/>
        <w:spacing w:before="13" w:line="249" w:lineRule="auto"/>
        <w:ind w:right="98" w:firstLine="450"/>
        <w:rPr>
          <w:rFonts w:hint="eastAsia"/>
          <w:color w:val="231F20"/>
        </w:rPr>
      </w:pPr>
    </w:p>
    <w:p w14:paraId="04E100AB">
      <w:pPr>
        <w:pStyle w:val="3"/>
        <w:bidi w:val="0"/>
        <w:rPr>
          <w:rFonts w:hint="eastAsia"/>
        </w:rPr>
      </w:pPr>
      <w:r>
        <w:rPr>
          <w:rFonts w:hint="eastAsia"/>
        </w:rPr>
        <w:t>OT Kingdom Prophecies Considered: Zechariah</w:t>
      </w:r>
    </w:p>
    <w:p w14:paraId="41DCFB0C">
      <w:pPr>
        <w:pStyle w:val="3"/>
        <w:bidi w:val="0"/>
        <w:rPr>
          <w:rFonts w:hint="eastAsia"/>
        </w:rPr>
      </w:pPr>
      <w:r>
        <w:rPr>
          <w:rFonts w:hint="eastAsia"/>
        </w:rPr>
        <w:t>旧约国度预言探讨：撒迦利亚书</w:t>
      </w:r>
    </w:p>
    <w:p w14:paraId="4F7EA8E2">
      <w:pPr>
        <w:pStyle w:val="9"/>
        <w:spacing w:before="13" w:line="249" w:lineRule="auto"/>
        <w:ind w:right="98" w:firstLine="450"/>
        <w:rPr>
          <w:rFonts w:hint="eastAsia"/>
          <w:color w:val="231F20"/>
        </w:rPr>
      </w:pPr>
    </w:p>
    <w:p w14:paraId="5B28D919">
      <w:pPr>
        <w:pStyle w:val="9"/>
        <w:spacing w:before="13" w:line="249" w:lineRule="auto"/>
        <w:ind w:right="98" w:firstLine="450"/>
        <w:rPr>
          <w:rFonts w:hint="eastAsia"/>
          <w:color w:val="231F20"/>
        </w:rPr>
      </w:pPr>
      <w:r>
        <w:rPr>
          <w:rFonts w:hint="eastAsia"/>
          <w:color w:val="231F20"/>
        </w:rPr>
        <w:t>WE TURN OUR attention now to the most prolific—and most fascinating—of the three post-exilic prophets: Zechariah (fl. 500 BC).</w:t>
      </w:r>
    </w:p>
    <w:p w14:paraId="00385ECD">
      <w:pPr>
        <w:pStyle w:val="9"/>
        <w:spacing w:before="13" w:line="249" w:lineRule="auto"/>
        <w:ind w:right="98" w:firstLine="450"/>
        <w:rPr>
          <w:rFonts w:hint="eastAsia"/>
          <w:color w:val="231F20"/>
        </w:rPr>
      </w:pPr>
      <w:r>
        <w:rPr>
          <w:rFonts w:hint="eastAsia"/>
          <w:color w:val="231F20"/>
        </w:rPr>
        <w:t>我们现在将注意力转向三位被掳后先知中著作最丰富——也最引人入胜的一位：撒迦利亚（约公元前500年活跃）。</w:t>
      </w:r>
    </w:p>
    <w:p w14:paraId="4CFA2710">
      <w:pPr>
        <w:pStyle w:val="9"/>
        <w:spacing w:before="13" w:line="249" w:lineRule="auto"/>
        <w:ind w:right="98" w:firstLine="450"/>
        <w:rPr>
          <w:rFonts w:hint="eastAsia"/>
          <w:color w:val="231F20"/>
        </w:rPr>
      </w:pPr>
    </w:p>
    <w:p w14:paraId="1D7F675E">
      <w:pPr>
        <w:pStyle w:val="9"/>
        <w:spacing w:before="13" w:line="249" w:lineRule="auto"/>
        <w:ind w:right="98" w:firstLine="450"/>
        <w:rPr>
          <w:rFonts w:hint="eastAsia"/>
          <w:color w:val="231F20"/>
        </w:rPr>
      </w:pPr>
      <w:r>
        <w:rPr>
          <w:rFonts w:hint="eastAsia"/>
          <w:color w:val="231F20"/>
        </w:rPr>
        <w:t>Like his rough contemporaries, Haggai and Malachi, this great OT priest, seer, and martyr comforted a subjugated and much enfeebled nation with visions and prophecies of a glorious future.</w:t>
      </w:r>
    </w:p>
    <w:p w14:paraId="3B35F861">
      <w:pPr>
        <w:pStyle w:val="9"/>
        <w:spacing w:before="13" w:line="249" w:lineRule="auto"/>
        <w:ind w:right="98" w:firstLine="450"/>
        <w:rPr>
          <w:rFonts w:hint="eastAsia"/>
          <w:color w:val="231F20"/>
        </w:rPr>
      </w:pPr>
      <w:r>
        <w:rPr>
          <w:rFonts w:hint="eastAsia"/>
          <w:color w:val="231F20"/>
        </w:rPr>
        <w:t>像他大致的同代人，哈该和玛拉基一样，这位伟大的旧约祭司、先见和殉道者，用荣耀未来的异象和预言安慰了一个被征服且大为衰弱的民族。</w:t>
      </w:r>
    </w:p>
    <w:p w14:paraId="26D6D019">
      <w:pPr>
        <w:pStyle w:val="9"/>
        <w:spacing w:before="13" w:line="249" w:lineRule="auto"/>
        <w:ind w:right="98" w:firstLine="450"/>
        <w:rPr>
          <w:rFonts w:hint="eastAsia"/>
          <w:color w:val="231F20"/>
        </w:rPr>
      </w:pPr>
    </w:p>
    <w:p w14:paraId="367CA4FA">
      <w:pPr>
        <w:pStyle w:val="9"/>
        <w:spacing w:before="13" w:line="249" w:lineRule="auto"/>
        <w:ind w:right="98" w:firstLine="450"/>
        <w:rPr>
          <w:rFonts w:hint="eastAsia"/>
          <w:color w:val="231F20"/>
        </w:rPr>
      </w:pPr>
      <w:r>
        <w:rPr>
          <w:rFonts w:hint="eastAsia"/>
          <w:color w:val="231F20"/>
        </w:rPr>
        <w:t>Over and again, he spoke of the coming of the Messiah, the final defeat of Israel’s enemies, and the final restoration of God’s people, land, temple, priesthood, and holy city—Jerusalem.</w:t>
      </w:r>
    </w:p>
    <w:p w14:paraId="3CC41B5D">
      <w:pPr>
        <w:pStyle w:val="9"/>
        <w:spacing w:before="13" w:line="249" w:lineRule="auto"/>
        <w:ind w:right="98" w:firstLine="450"/>
        <w:rPr>
          <w:rFonts w:hint="eastAsia"/>
          <w:color w:val="231F20"/>
        </w:rPr>
      </w:pPr>
      <w:r>
        <w:rPr>
          <w:rFonts w:hint="eastAsia"/>
          <w:color w:val="231F20"/>
        </w:rPr>
        <w:t>他一次又一次地讲论弥赛亚的降临，以色列仇敌的最终失败，以及神子民、土地、圣殿、祭司职分和圣城——耶路撒冷——的最终复兴。</w:t>
      </w:r>
    </w:p>
    <w:p w14:paraId="573C80EF">
      <w:pPr>
        <w:pStyle w:val="9"/>
        <w:spacing w:before="13" w:line="249" w:lineRule="auto"/>
        <w:ind w:right="98" w:firstLine="450"/>
        <w:rPr>
          <w:rFonts w:hint="eastAsia"/>
          <w:color w:val="231F20"/>
        </w:rPr>
      </w:pPr>
    </w:p>
    <w:p w14:paraId="6BCE02F5">
      <w:pPr>
        <w:pStyle w:val="9"/>
        <w:spacing w:before="13" w:line="249" w:lineRule="auto"/>
        <w:ind w:right="98" w:firstLine="450"/>
        <w:rPr>
          <w:rFonts w:hint="eastAsia"/>
          <w:color w:val="231F20"/>
        </w:rPr>
      </w:pPr>
      <w:r>
        <w:rPr>
          <w:rFonts w:hint="eastAsia"/>
          <w:color w:val="231F20"/>
        </w:rPr>
        <w:t>Our focus in the present chapter is Zechariah 12-14.</w:t>
      </w:r>
    </w:p>
    <w:p w14:paraId="323580A7">
      <w:pPr>
        <w:pStyle w:val="9"/>
        <w:spacing w:before="13" w:line="249" w:lineRule="auto"/>
        <w:ind w:right="98" w:firstLine="450"/>
        <w:rPr>
          <w:rFonts w:hint="eastAsia"/>
          <w:color w:val="231F20"/>
        </w:rPr>
      </w:pPr>
      <w:r>
        <w:rPr>
          <w:rFonts w:hint="eastAsia"/>
          <w:color w:val="231F20"/>
        </w:rPr>
        <w:t>本章的焦点是撒迦利亚书12-14章。</w:t>
      </w:r>
    </w:p>
    <w:p w14:paraId="09D5E367">
      <w:pPr>
        <w:pStyle w:val="9"/>
        <w:spacing w:before="13" w:line="249" w:lineRule="auto"/>
        <w:ind w:right="98" w:firstLine="450"/>
        <w:rPr>
          <w:rFonts w:hint="eastAsia"/>
          <w:color w:val="231F20"/>
        </w:rPr>
      </w:pPr>
    </w:p>
    <w:p w14:paraId="1BFC8437">
      <w:pPr>
        <w:pStyle w:val="9"/>
        <w:spacing w:before="13" w:line="249" w:lineRule="auto"/>
        <w:ind w:right="98" w:firstLine="450"/>
        <w:rPr>
          <w:rFonts w:hint="eastAsia"/>
          <w:color w:val="231F20"/>
        </w:rPr>
      </w:pPr>
      <w:r>
        <w:rPr>
          <w:rFonts w:hint="eastAsia"/>
          <w:color w:val="231F20"/>
        </w:rPr>
        <w:t>It is the second of two lengthy prophetic oracles dealing with the future Kingdom of God.</w:t>
      </w:r>
    </w:p>
    <w:p w14:paraId="7BD59B11">
      <w:pPr>
        <w:pStyle w:val="9"/>
        <w:spacing w:before="13" w:line="249" w:lineRule="auto"/>
        <w:ind w:right="98" w:firstLine="450"/>
        <w:rPr>
          <w:rFonts w:hint="eastAsia"/>
          <w:color w:val="231F20"/>
        </w:rPr>
      </w:pPr>
      <w:r>
        <w:rPr>
          <w:rFonts w:hint="eastAsia"/>
          <w:color w:val="231F20"/>
        </w:rPr>
        <w:t>这是关于未来神国度的两篇长篇神谕中的第二篇。</w:t>
      </w:r>
    </w:p>
    <w:p w14:paraId="0CAFE266">
      <w:pPr>
        <w:pStyle w:val="9"/>
        <w:spacing w:before="13" w:line="249" w:lineRule="auto"/>
        <w:ind w:right="98" w:firstLine="450"/>
        <w:rPr>
          <w:rFonts w:hint="eastAsia"/>
          <w:color w:val="231F20"/>
        </w:rPr>
      </w:pPr>
    </w:p>
    <w:p w14:paraId="326CF119">
      <w:pPr>
        <w:pStyle w:val="9"/>
        <w:spacing w:before="13" w:line="249" w:lineRule="auto"/>
        <w:ind w:right="98" w:firstLine="450"/>
        <w:rPr>
          <w:rFonts w:hint="eastAsia"/>
          <w:color w:val="231F20"/>
        </w:rPr>
      </w:pPr>
      <w:r>
        <w:rPr>
          <w:rFonts w:hint="eastAsia"/>
          <w:color w:val="231F20"/>
        </w:rPr>
        <w:t>In order to understand the second well, let us look briefly at the first.</w:t>
      </w:r>
    </w:p>
    <w:p w14:paraId="069FC73D">
      <w:pPr>
        <w:pStyle w:val="9"/>
        <w:spacing w:before="13" w:line="249" w:lineRule="auto"/>
        <w:ind w:right="98" w:firstLine="450"/>
        <w:rPr>
          <w:rFonts w:hint="eastAsia"/>
          <w:color w:val="231F20"/>
        </w:rPr>
      </w:pPr>
      <w:r>
        <w:rPr>
          <w:rFonts w:hint="eastAsia"/>
          <w:color w:val="231F20"/>
        </w:rPr>
        <w:t>为了很好地理解第二篇，让我们简要地看一下第一篇。</w:t>
      </w:r>
    </w:p>
    <w:p w14:paraId="58821FAC">
      <w:pPr>
        <w:pStyle w:val="9"/>
        <w:spacing w:before="13" w:line="249" w:lineRule="auto"/>
        <w:ind w:right="98" w:firstLine="450"/>
        <w:rPr>
          <w:rFonts w:hint="eastAsia"/>
          <w:color w:val="231F20"/>
        </w:rPr>
      </w:pPr>
    </w:p>
    <w:p w14:paraId="4B90EAE5">
      <w:pPr>
        <w:pStyle w:val="9"/>
        <w:spacing w:before="13" w:line="249" w:lineRule="auto"/>
        <w:ind w:right="98" w:firstLine="450"/>
        <w:rPr>
          <w:rFonts w:hint="eastAsia"/>
          <w:color w:val="231F20"/>
        </w:rPr>
      </w:pPr>
      <w:r>
        <w:rPr>
          <w:rFonts w:hint="eastAsia"/>
          <w:color w:val="231F20"/>
        </w:rPr>
        <w:t>Zechariah 9-11</w:t>
      </w:r>
    </w:p>
    <w:p w14:paraId="7637D43F">
      <w:pPr>
        <w:pStyle w:val="9"/>
        <w:spacing w:before="13" w:line="249" w:lineRule="auto"/>
        <w:ind w:right="98" w:firstLine="450"/>
        <w:rPr>
          <w:rFonts w:hint="eastAsia"/>
          <w:color w:val="231F20"/>
        </w:rPr>
      </w:pPr>
      <w:r>
        <w:rPr>
          <w:rFonts w:hint="eastAsia"/>
          <w:color w:val="231F20"/>
        </w:rPr>
        <w:t>撒迦利亚书 9-11</w:t>
      </w:r>
    </w:p>
    <w:p w14:paraId="32FADBB5">
      <w:pPr>
        <w:pStyle w:val="9"/>
        <w:spacing w:before="13" w:line="249" w:lineRule="auto"/>
        <w:ind w:right="98" w:firstLine="450"/>
        <w:rPr>
          <w:rFonts w:hint="eastAsia"/>
          <w:color w:val="231F20"/>
        </w:rPr>
      </w:pPr>
    </w:p>
    <w:p w14:paraId="11EF0A1F">
      <w:pPr>
        <w:pStyle w:val="9"/>
        <w:spacing w:before="13" w:line="249" w:lineRule="auto"/>
        <w:ind w:right="98" w:firstLine="450"/>
        <w:rPr>
          <w:rFonts w:hint="eastAsia"/>
          <w:color w:val="231F20"/>
        </w:rPr>
      </w:pPr>
      <w:r>
        <w:rPr>
          <w:rFonts w:hint="eastAsia"/>
          <w:color w:val="231F20"/>
        </w:rPr>
        <w:t>In essence, these three chapters constitute a single word of promise: In days ahead, God will send the Messiah, a mighty warrior-king who will lead Israel—fully regathered to her homeland in a Second Exodus from all the nations where God had scattered them—to victory over her perennial foes, and then to the eternal enjoyment of his covenant promises and blessings (9:1-10:12).</w:t>
      </w:r>
    </w:p>
    <w:p w14:paraId="785BDB87">
      <w:pPr>
        <w:pStyle w:val="9"/>
        <w:spacing w:before="13" w:line="249" w:lineRule="auto"/>
        <w:ind w:right="98" w:firstLine="450"/>
        <w:rPr>
          <w:rFonts w:hint="eastAsia"/>
          <w:color w:val="231F20"/>
        </w:rPr>
      </w:pPr>
      <w:r>
        <w:rPr>
          <w:rFonts w:hint="eastAsia"/>
          <w:color w:val="231F20"/>
        </w:rPr>
        <w:t>实质上，这三章构成了一个单一的应许之言：在未来的日子里，神将差遣弥赛亚，一位大能的战士君王，祂将带领以色列——在第二次出埃及中从神曾将他们分散到的万国中完全召集回到他们的家园——战胜他们长久的仇敌，然后永远享受祂的约中应许和祝福 (9:1-10:12)。</w:t>
      </w:r>
    </w:p>
    <w:p w14:paraId="428F000D">
      <w:pPr>
        <w:pStyle w:val="9"/>
        <w:spacing w:before="13" w:line="249" w:lineRule="auto"/>
        <w:ind w:right="98" w:firstLine="450"/>
        <w:rPr>
          <w:rFonts w:hint="eastAsia"/>
          <w:color w:val="231F20"/>
        </w:rPr>
      </w:pPr>
    </w:p>
    <w:p w14:paraId="1F6C1D42">
      <w:pPr>
        <w:pStyle w:val="9"/>
        <w:spacing w:before="13" w:line="249" w:lineRule="auto"/>
        <w:ind w:right="98" w:firstLine="450"/>
        <w:rPr>
          <w:rFonts w:hint="eastAsia"/>
          <w:color w:val="231F20"/>
        </w:rPr>
      </w:pPr>
      <w:r>
        <w:rPr>
          <w:rFonts w:hint="eastAsia"/>
          <w:color w:val="231F20"/>
        </w:rPr>
        <w:t>We observe, however, that this oracle concludes on a dark and mysterious note: Far from following their Messiah, it appears that Israel’s wicked leaders will actually reject their God-sent Shepherd-King, thereby annulling the Old Covenant, forfeiting God’s protection, and exposing the nation to destruction (11:1ff)!</w:t>
      </w:r>
    </w:p>
    <w:p w14:paraId="211AA4E4">
      <w:pPr>
        <w:pStyle w:val="9"/>
        <w:spacing w:before="13" w:line="249" w:lineRule="auto"/>
        <w:ind w:right="98" w:firstLine="450"/>
        <w:rPr>
          <w:rFonts w:hint="eastAsia"/>
          <w:color w:val="231F20"/>
        </w:rPr>
      </w:pPr>
      <w:r>
        <w:rPr>
          <w:rFonts w:hint="eastAsia"/>
          <w:color w:val="231F20"/>
        </w:rPr>
        <w:t>然而，我们观察到，这篇神谕以一个黑暗而神秘的音符结束：以色列邪恶的领袖们远非跟随他们的弥赛亚，反而似乎会拒绝他们神所差来的牧者君王，从而废除了旧约，丧失了神的保护，并使国家暴露于毁灭之中 (11:1及后)！</w:t>
      </w:r>
    </w:p>
    <w:p w14:paraId="65D12F25">
      <w:pPr>
        <w:pStyle w:val="9"/>
        <w:spacing w:before="13" w:line="249" w:lineRule="auto"/>
        <w:ind w:right="98" w:firstLine="450"/>
        <w:rPr>
          <w:rFonts w:hint="eastAsia"/>
          <w:color w:val="231F20"/>
        </w:rPr>
      </w:pPr>
    </w:p>
    <w:p w14:paraId="02B010C5">
      <w:pPr>
        <w:pStyle w:val="9"/>
        <w:spacing w:before="13" w:line="249" w:lineRule="auto"/>
        <w:ind w:right="98" w:firstLine="450"/>
        <w:rPr>
          <w:rFonts w:hint="eastAsia"/>
          <w:color w:val="231F20"/>
        </w:rPr>
      </w:pPr>
      <w:r>
        <w:rPr>
          <w:rFonts w:hint="eastAsia"/>
          <w:color w:val="231F20"/>
        </w:rPr>
        <w:t>And yet, in spite of all this, God will still have mercy upon a portion of his people, whom Zechariahs calls “the afflicted of the flock” (10:2; 11:7, 11; 13:7).</w:t>
      </w:r>
    </w:p>
    <w:p w14:paraId="39DC54CC">
      <w:pPr>
        <w:pStyle w:val="9"/>
        <w:spacing w:before="13" w:line="249" w:lineRule="auto"/>
        <w:ind w:right="98" w:firstLine="450"/>
        <w:rPr>
          <w:rFonts w:hint="eastAsia"/>
          <w:color w:val="231F20"/>
        </w:rPr>
      </w:pPr>
      <w:r>
        <w:rPr>
          <w:rFonts w:hint="eastAsia"/>
          <w:color w:val="231F20"/>
        </w:rPr>
        <w:t>然而，尽管如此，神仍将怜悯祂子民中的一部分，撒迦利亚称他们为“羊群中的困苦者” (10:2; 11:7, 11; 13:7)。</w:t>
      </w:r>
    </w:p>
    <w:p w14:paraId="2A60798F">
      <w:pPr>
        <w:pStyle w:val="9"/>
        <w:spacing w:before="13" w:line="249" w:lineRule="auto"/>
        <w:ind w:right="98" w:firstLine="450"/>
        <w:rPr>
          <w:rFonts w:hint="eastAsia"/>
          <w:color w:val="231F20"/>
        </w:rPr>
      </w:pPr>
    </w:p>
    <w:p w14:paraId="5C53622C">
      <w:pPr>
        <w:pStyle w:val="9"/>
        <w:spacing w:before="13" w:line="249" w:lineRule="auto"/>
        <w:ind w:right="98" w:firstLine="450"/>
        <w:rPr>
          <w:rFonts w:hint="eastAsia"/>
          <w:color w:val="231F20"/>
        </w:rPr>
      </w:pPr>
      <w:r>
        <w:rPr>
          <w:rFonts w:hint="eastAsia"/>
          <w:color w:val="231F20"/>
        </w:rPr>
        <w:t>How are we to resolve this apparent contradiction?</w:t>
      </w:r>
    </w:p>
    <w:p w14:paraId="7D3A392F">
      <w:pPr>
        <w:pStyle w:val="9"/>
        <w:spacing w:before="13" w:line="249" w:lineRule="auto"/>
        <w:ind w:right="98" w:firstLine="450"/>
        <w:rPr>
          <w:rFonts w:hint="eastAsia"/>
          <w:color w:val="231F20"/>
        </w:rPr>
      </w:pPr>
      <w:r>
        <w:rPr>
          <w:rFonts w:hint="eastAsia"/>
          <w:color w:val="231F20"/>
        </w:rPr>
        <w:t>我们该如何解决这个明显的矛盾呢？</w:t>
      </w:r>
    </w:p>
    <w:p w14:paraId="42611008">
      <w:pPr>
        <w:pStyle w:val="9"/>
        <w:spacing w:before="13" w:line="249" w:lineRule="auto"/>
        <w:ind w:right="98" w:firstLine="450"/>
        <w:rPr>
          <w:rFonts w:hint="eastAsia"/>
          <w:color w:val="231F20"/>
        </w:rPr>
      </w:pPr>
    </w:p>
    <w:p w14:paraId="42845171">
      <w:pPr>
        <w:pStyle w:val="9"/>
        <w:spacing w:before="13" w:line="249" w:lineRule="auto"/>
        <w:ind w:right="98" w:firstLine="450"/>
        <w:rPr>
          <w:rFonts w:hint="eastAsia"/>
          <w:color w:val="231F20"/>
        </w:rPr>
      </w:pPr>
      <w:r>
        <w:rPr>
          <w:rFonts w:hint="eastAsia"/>
          <w:color w:val="231F20"/>
        </w:rPr>
        <w:t>Here, NT hindsight gives us much-needed insight: The afflicted of the flock are a remnant of elect Jews (Rom. 9:6ff), called by God to recognize the divine-human Messiah (11:11; John 1:14, 6:40), enlist in his spiritual army (10:5f, 2 Cor. 10:4-6, 2 Tim. 2:4), preach his Gospel (9:10, 10:4f, 2 Cor. 2:14-16), gather eschatological “Judah” and “Ephraim” from the four corners of the earth to their spiritual homeland (9:11-17, 10:6; Titus 2:11-14), and—together with their new-born Gentile brethren—follow him to consummate victory on the Day of the LORD (9:11-17; Rev. 6:1-2, 19:11-16).</w:t>
      </w:r>
    </w:p>
    <w:p w14:paraId="4076167A">
      <w:pPr>
        <w:pStyle w:val="9"/>
        <w:spacing w:before="13" w:line="249" w:lineRule="auto"/>
        <w:ind w:right="98" w:firstLine="450"/>
        <w:rPr>
          <w:rFonts w:hint="eastAsia"/>
          <w:color w:val="231F20"/>
        </w:rPr>
      </w:pPr>
      <w:r>
        <w:rPr>
          <w:rFonts w:hint="eastAsia"/>
          <w:color w:val="231F20"/>
        </w:rPr>
        <w:t>在这里，新约的后见之明给了我们亟需的洞见：羊群中的困苦者是蒙拣选的犹太人的余民 (罗 9:6及后)，被神呼召去认识神人二性的弥赛亚 (11:11; 约 1:14, 6:40)，加入祂的属灵军队 (10:5及后, 林后 10:4-6, 提后 2:4)，传讲祂的福音 (9:10, 10:4及后, 林后 2:14-16)，从地极四方招聚末世的“犹大”和“以法莲”回到他们属灵的家园 (9:11-17, 10:6; 多 2:11-14)，并——与他们新生的外邦弟兄一同——跟随祂在主的日子里取得完全的胜利 (9:11-17; 启 6:1-2, 19:11-16)。</w:t>
      </w:r>
    </w:p>
    <w:p w14:paraId="74FACF43">
      <w:pPr>
        <w:pStyle w:val="9"/>
        <w:spacing w:before="13" w:line="249" w:lineRule="auto"/>
        <w:ind w:right="98" w:firstLine="450"/>
        <w:rPr>
          <w:rFonts w:hint="eastAsia"/>
          <w:color w:val="231F20"/>
        </w:rPr>
      </w:pPr>
    </w:p>
    <w:p w14:paraId="2ABBB1F5">
      <w:pPr>
        <w:pStyle w:val="9"/>
        <w:spacing w:before="13" w:line="249" w:lineRule="auto"/>
        <w:ind w:right="98" w:firstLine="450"/>
        <w:rPr>
          <w:rFonts w:hint="eastAsia"/>
          <w:color w:val="231F20"/>
        </w:rPr>
      </w:pPr>
      <w:r>
        <w:rPr>
          <w:rFonts w:hint="eastAsia"/>
          <w:color w:val="231F20"/>
        </w:rPr>
        <w:t>We find, then, that Zechariah’s first oracle is primarily fulfilled in the first stage of the Kingdom; the stage in which Christ, through his humiliation and exaltation, purchases the “the Israel of God,” gathers her out of the Domain of Darkness, and leads her in triumphant Gospel combat beneath the banner of the High King of Heaven.</w:t>
      </w:r>
    </w:p>
    <w:p w14:paraId="2837400D">
      <w:pPr>
        <w:pStyle w:val="9"/>
        <w:spacing w:before="13" w:line="249" w:lineRule="auto"/>
        <w:ind w:right="98" w:firstLine="450"/>
        <w:rPr>
          <w:rFonts w:hint="eastAsia"/>
          <w:color w:val="231F20"/>
        </w:rPr>
      </w:pPr>
      <w:r>
        <w:rPr>
          <w:rFonts w:hint="eastAsia"/>
          <w:color w:val="231F20"/>
        </w:rPr>
        <w:t>因此，我们发现撒迦利亚的第一个神谕主要在国度的第一阶段应验；在那个阶段，基督通过祂的降卑和高升，买赎了“神的以色列”，将她从黑暗的权势中召集出来，并在天上至高君王的旗帜下带领她进行得胜的福音争战。</w:t>
      </w:r>
    </w:p>
    <w:p w14:paraId="63B80A9D">
      <w:pPr>
        <w:pStyle w:val="9"/>
        <w:spacing w:before="13" w:line="249" w:lineRule="auto"/>
        <w:ind w:right="98" w:firstLine="450"/>
        <w:rPr>
          <w:rFonts w:hint="eastAsia"/>
          <w:color w:val="231F20"/>
        </w:rPr>
      </w:pPr>
    </w:p>
    <w:p w14:paraId="17B843E7">
      <w:pPr>
        <w:pStyle w:val="9"/>
        <w:spacing w:before="13" w:line="249" w:lineRule="auto"/>
        <w:ind w:right="98" w:firstLine="450"/>
        <w:rPr>
          <w:rFonts w:hint="eastAsia"/>
          <w:color w:val="231F20"/>
        </w:rPr>
      </w:pPr>
      <w:r>
        <w:rPr>
          <w:rFonts w:hint="eastAsia"/>
          <w:color w:val="231F20"/>
        </w:rPr>
        <w:t>Zechariah 12-14</w:t>
      </w:r>
    </w:p>
    <w:p w14:paraId="49B1C9DD">
      <w:pPr>
        <w:pStyle w:val="9"/>
        <w:spacing w:before="13" w:line="249" w:lineRule="auto"/>
        <w:ind w:right="98" w:firstLine="450"/>
        <w:rPr>
          <w:rFonts w:hint="eastAsia"/>
          <w:color w:val="231F20"/>
        </w:rPr>
      </w:pPr>
      <w:r>
        <w:rPr>
          <w:rFonts w:hint="eastAsia"/>
          <w:color w:val="231F20"/>
        </w:rPr>
        <w:t>撒迦利亚书 12-14</w:t>
      </w:r>
    </w:p>
    <w:p w14:paraId="6AF34850">
      <w:pPr>
        <w:pStyle w:val="9"/>
        <w:spacing w:before="13" w:line="249" w:lineRule="auto"/>
        <w:ind w:right="98" w:firstLine="450"/>
        <w:rPr>
          <w:rFonts w:hint="eastAsia"/>
          <w:color w:val="231F20"/>
        </w:rPr>
      </w:pPr>
    </w:p>
    <w:p w14:paraId="129FFB4F">
      <w:pPr>
        <w:pStyle w:val="9"/>
        <w:spacing w:before="13" w:line="249" w:lineRule="auto"/>
        <w:ind w:right="98" w:firstLine="450"/>
        <w:rPr>
          <w:rFonts w:hint="eastAsia"/>
          <w:color w:val="231F20"/>
        </w:rPr>
      </w:pPr>
      <w:r>
        <w:rPr>
          <w:rFonts w:hint="eastAsia"/>
          <w:color w:val="231F20"/>
        </w:rPr>
        <w:t>This brings us to Zechariah’s second oracle, found in chapters 12-14.</w:t>
      </w:r>
    </w:p>
    <w:p w14:paraId="508A6FF3">
      <w:pPr>
        <w:pStyle w:val="9"/>
        <w:spacing w:before="13" w:line="249" w:lineRule="auto"/>
        <w:ind w:right="98" w:firstLine="450"/>
        <w:rPr>
          <w:rFonts w:hint="eastAsia"/>
          <w:color w:val="231F20"/>
        </w:rPr>
      </w:pPr>
      <w:r>
        <w:rPr>
          <w:rFonts w:hint="eastAsia"/>
          <w:color w:val="231F20"/>
        </w:rPr>
        <w:t>这把我们带到了撒迦利亚的第二个神谕，见于第12-14章。</w:t>
      </w:r>
    </w:p>
    <w:p w14:paraId="24288B2F">
      <w:pPr>
        <w:pStyle w:val="9"/>
        <w:spacing w:before="13" w:line="249" w:lineRule="auto"/>
        <w:ind w:right="98" w:firstLine="450"/>
        <w:rPr>
          <w:rFonts w:hint="eastAsia"/>
          <w:color w:val="231F20"/>
        </w:rPr>
      </w:pPr>
    </w:p>
    <w:p w14:paraId="6545B198">
      <w:pPr>
        <w:pStyle w:val="9"/>
        <w:spacing w:before="13" w:line="249" w:lineRule="auto"/>
        <w:ind w:right="98" w:firstLine="450"/>
        <w:rPr>
          <w:rFonts w:hint="eastAsia"/>
          <w:color w:val="231F20"/>
        </w:rPr>
      </w:pPr>
      <w:r>
        <w:rPr>
          <w:rFonts w:hint="eastAsia"/>
          <w:color w:val="231F20"/>
        </w:rPr>
        <w:t>Here again his theme is the coming Kingdom, but this time with an emphasis upon the Consummation.</w:t>
      </w:r>
    </w:p>
    <w:p w14:paraId="27CD66FB">
      <w:pPr>
        <w:pStyle w:val="9"/>
        <w:spacing w:before="13" w:line="249" w:lineRule="auto"/>
        <w:ind w:right="98" w:firstLine="450"/>
        <w:rPr>
          <w:rFonts w:hint="eastAsia"/>
          <w:color w:val="231F20"/>
        </w:rPr>
      </w:pPr>
      <w:r>
        <w:rPr>
          <w:rFonts w:hint="eastAsia"/>
          <w:color w:val="231F20"/>
        </w:rPr>
        <w:t>在这里，他的主题再次是将要来临的国度，但这一次的重点在于最终的成全。</w:t>
      </w:r>
    </w:p>
    <w:p w14:paraId="2C4CA4A0">
      <w:pPr>
        <w:pStyle w:val="9"/>
        <w:spacing w:before="13" w:line="249" w:lineRule="auto"/>
        <w:ind w:right="98" w:firstLine="450"/>
        <w:rPr>
          <w:rFonts w:hint="eastAsia"/>
          <w:color w:val="231F20"/>
        </w:rPr>
      </w:pPr>
    </w:p>
    <w:p w14:paraId="35BDAFF8">
      <w:pPr>
        <w:pStyle w:val="9"/>
        <w:spacing w:before="13" w:line="249" w:lineRule="auto"/>
        <w:ind w:right="98" w:firstLine="450"/>
        <w:rPr>
          <w:rFonts w:hint="eastAsia"/>
          <w:color w:val="231F20"/>
        </w:rPr>
      </w:pPr>
      <w:r>
        <w:rPr>
          <w:rFonts w:hint="eastAsia"/>
          <w:color w:val="231F20"/>
        </w:rPr>
        <w:t>I have entitled it “Jerusalem in that Day,” since here the expression “in that Day” occurs some 15 times!</w:t>
      </w:r>
    </w:p>
    <w:p w14:paraId="53689493">
      <w:pPr>
        <w:pStyle w:val="9"/>
        <w:spacing w:before="13" w:line="249" w:lineRule="auto"/>
        <w:ind w:right="98" w:firstLine="450"/>
        <w:rPr>
          <w:rFonts w:hint="eastAsia"/>
          <w:color w:val="231F20"/>
        </w:rPr>
      </w:pPr>
      <w:r>
        <w:rPr>
          <w:rFonts w:hint="eastAsia"/>
          <w:color w:val="231F20"/>
        </w:rPr>
        <w:t>我给它取名为“那日的耶路撒冷”，因为在这里，“那日”这个表达出现了约15次！</w:t>
      </w:r>
    </w:p>
    <w:p w14:paraId="0B5B4479">
      <w:pPr>
        <w:pStyle w:val="9"/>
        <w:spacing w:before="13" w:line="249" w:lineRule="auto"/>
        <w:ind w:right="98" w:firstLine="450"/>
        <w:rPr>
          <w:rFonts w:hint="eastAsia"/>
          <w:color w:val="231F20"/>
        </w:rPr>
      </w:pPr>
    </w:p>
    <w:p w14:paraId="74C4AB10">
      <w:pPr>
        <w:pStyle w:val="9"/>
        <w:spacing w:before="13" w:line="249" w:lineRule="auto"/>
        <w:ind w:right="98" w:firstLine="450"/>
        <w:rPr>
          <w:rFonts w:hint="eastAsia"/>
          <w:color w:val="231F20"/>
        </w:rPr>
      </w:pPr>
      <w:r>
        <w:rPr>
          <w:rFonts w:hint="eastAsia"/>
          <w:color w:val="231F20"/>
        </w:rPr>
        <w:t>To read the oracle itself is to see why: In essence, it is a series of prophetic “snapshots,” most of which look ahead to one or another facet of the eschatological “Day” wherein God will bring his Kingdom purposes to complete fulfillment.</w:t>
      </w:r>
    </w:p>
    <w:p w14:paraId="73D01025">
      <w:pPr>
        <w:pStyle w:val="9"/>
        <w:spacing w:before="13" w:line="249" w:lineRule="auto"/>
        <w:ind w:right="98" w:firstLine="450"/>
        <w:rPr>
          <w:rFonts w:hint="eastAsia"/>
          <w:color w:val="231F20"/>
        </w:rPr>
      </w:pPr>
      <w:r>
        <w:rPr>
          <w:rFonts w:hint="eastAsia"/>
          <w:color w:val="231F20"/>
        </w:rPr>
        <w:t>读一读这篇神谕本身就会明白原因：实质上，它是一系列预言性的“快照”，其中大多数都展望了末世的“那日”的某个方面，在那日，神将使祂的国度旨意得到完全的实现。</w:t>
      </w:r>
    </w:p>
    <w:p w14:paraId="1F5A5BFB">
      <w:pPr>
        <w:pStyle w:val="9"/>
        <w:spacing w:before="13" w:line="249" w:lineRule="auto"/>
        <w:ind w:right="98" w:firstLine="450"/>
        <w:rPr>
          <w:rFonts w:hint="eastAsia"/>
          <w:color w:val="231F20"/>
        </w:rPr>
      </w:pPr>
    </w:p>
    <w:p w14:paraId="2F141FA3">
      <w:pPr>
        <w:pStyle w:val="9"/>
        <w:spacing w:before="13" w:line="249" w:lineRule="auto"/>
        <w:ind w:right="98" w:firstLine="450"/>
        <w:rPr>
          <w:rFonts w:hint="eastAsia"/>
          <w:color w:val="231F20"/>
        </w:rPr>
      </w:pPr>
      <w:r>
        <w:rPr>
          <w:rFonts w:hint="eastAsia"/>
          <w:color w:val="231F20"/>
        </w:rPr>
        <w:t>As we shall see, the prophet does indeed include a few references to the Era of Proclamation.</w:t>
      </w:r>
    </w:p>
    <w:p w14:paraId="6B88CD58">
      <w:pPr>
        <w:pStyle w:val="9"/>
        <w:spacing w:before="13" w:line="249" w:lineRule="auto"/>
        <w:ind w:right="98" w:firstLine="450"/>
        <w:rPr>
          <w:rFonts w:hint="eastAsia"/>
          <w:color w:val="231F20"/>
        </w:rPr>
      </w:pPr>
      <w:r>
        <w:rPr>
          <w:rFonts w:hint="eastAsia"/>
          <w:color w:val="231F20"/>
        </w:rPr>
        <w:t>正如我们将要看到的，先知确实包含了一些对宣讲时代的提及。</w:t>
      </w:r>
    </w:p>
    <w:p w14:paraId="2012A379">
      <w:pPr>
        <w:pStyle w:val="9"/>
        <w:spacing w:before="13" w:line="249" w:lineRule="auto"/>
        <w:ind w:right="98" w:firstLine="450"/>
        <w:rPr>
          <w:rFonts w:hint="eastAsia"/>
          <w:color w:val="231F20"/>
        </w:rPr>
      </w:pPr>
    </w:p>
    <w:p w14:paraId="28AC43A4">
      <w:pPr>
        <w:pStyle w:val="9"/>
        <w:spacing w:before="13" w:line="249" w:lineRule="auto"/>
        <w:ind w:right="98" w:firstLine="450"/>
        <w:rPr>
          <w:rFonts w:hint="eastAsia"/>
          <w:color w:val="231F20"/>
        </w:rPr>
      </w:pPr>
      <w:r>
        <w:rPr>
          <w:rFonts w:hint="eastAsia"/>
          <w:color w:val="231F20"/>
        </w:rPr>
        <w:t>But again, the emphasis here clearly falls upon the Consummation; upon the Day in which the LORD God will intervene in history one last time to execute final judgment upon Israel’s enemies, administer final redemption to his people, and usher them into the everlasting age of blessing and worship for which they have patiently waited, hoped, and longed, generation after generation.</w:t>
      </w:r>
    </w:p>
    <w:p w14:paraId="0A6B7C44">
      <w:pPr>
        <w:pStyle w:val="9"/>
        <w:spacing w:before="13" w:line="249" w:lineRule="auto"/>
        <w:ind w:right="98" w:firstLine="450"/>
        <w:rPr>
          <w:rFonts w:hint="eastAsia"/>
          <w:color w:val="231F20"/>
        </w:rPr>
      </w:pPr>
      <w:r>
        <w:rPr>
          <w:rFonts w:hint="eastAsia"/>
          <w:color w:val="231F20"/>
        </w:rPr>
        <w:t>但再次，这里的重点显然落在最终的成全上；落在那日，主神将最后一次介入历史，对以色列的仇敌执行最后的审判，对祂的子民施行最后的救赎，并引导他们进入他们一代又一代耐心等待、盼望和渴望的永恒祝福与敬拜的世代。</w:t>
      </w:r>
    </w:p>
    <w:p w14:paraId="64DF30BD">
      <w:pPr>
        <w:pStyle w:val="9"/>
        <w:spacing w:before="13" w:line="249" w:lineRule="auto"/>
        <w:ind w:right="98" w:firstLine="450"/>
        <w:rPr>
          <w:rFonts w:hint="eastAsia"/>
          <w:color w:val="231F20"/>
        </w:rPr>
      </w:pPr>
    </w:p>
    <w:p w14:paraId="75EF7ECE">
      <w:pPr>
        <w:pStyle w:val="9"/>
        <w:spacing w:before="13" w:line="249" w:lineRule="auto"/>
        <w:ind w:right="98" w:firstLine="450"/>
        <w:rPr>
          <w:rFonts w:hint="eastAsia"/>
          <w:color w:val="231F20"/>
        </w:rPr>
      </w:pPr>
      <w:r>
        <w:rPr>
          <w:rFonts w:hint="eastAsia"/>
          <w:color w:val="231F20"/>
        </w:rPr>
        <w:t>In short, the “burden” of Zechariah’s final oracle is to reveal the final acts of God in the final stages of Salvation History.</w:t>
      </w:r>
    </w:p>
    <w:p w14:paraId="11ABAB6B">
      <w:pPr>
        <w:pStyle w:val="9"/>
        <w:spacing w:before="13" w:line="249" w:lineRule="auto"/>
        <w:ind w:right="98" w:firstLine="450"/>
        <w:rPr>
          <w:rFonts w:hint="eastAsia"/>
          <w:color w:val="231F20"/>
        </w:rPr>
      </w:pPr>
      <w:r>
        <w:rPr>
          <w:rFonts w:hint="eastAsia"/>
          <w:color w:val="231F20"/>
        </w:rPr>
        <w:t>简而言之，撒迦利亚最后神谕的“重担”是揭示神在救赎历史最后阶段的最后作为。</w:t>
      </w:r>
    </w:p>
    <w:p w14:paraId="2F346D37">
      <w:pPr>
        <w:pStyle w:val="9"/>
        <w:spacing w:before="13" w:line="249" w:lineRule="auto"/>
        <w:ind w:right="98" w:firstLine="450"/>
        <w:rPr>
          <w:rFonts w:hint="eastAsia"/>
          <w:color w:val="231F20"/>
        </w:rPr>
      </w:pPr>
    </w:p>
    <w:p w14:paraId="5F786721">
      <w:pPr>
        <w:pStyle w:val="9"/>
        <w:spacing w:before="13" w:line="249" w:lineRule="auto"/>
        <w:ind w:right="98" w:firstLine="450"/>
        <w:rPr>
          <w:rFonts w:hint="eastAsia"/>
          <w:color w:val="231F20"/>
        </w:rPr>
      </w:pPr>
      <w:r>
        <w:rPr>
          <w:rFonts w:hint="eastAsia"/>
          <w:color w:val="231F20"/>
        </w:rPr>
        <w:t>Interpretive Approaches</w:t>
      </w:r>
    </w:p>
    <w:p w14:paraId="689AFA19">
      <w:pPr>
        <w:pStyle w:val="9"/>
        <w:spacing w:before="13" w:line="249" w:lineRule="auto"/>
        <w:ind w:right="98" w:firstLine="450"/>
        <w:rPr>
          <w:rFonts w:hint="eastAsia"/>
          <w:color w:val="231F20"/>
        </w:rPr>
      </w:pPr>
      <w:r>
        <w:rPr>
          <w:rFonts w:hint="eastAsia"/>
          <w:color w:val="231F20"/>
        </w:rPr>
        <w:t>解释方法</w:t>
      </w:r>
    </w:p>
    <w:p w14:paraId="3ED88A1A">
      <w:pPr>
        <w:pStyle w:val="9"/>
        <w:spacing w:before="13" w:line="249" w:lineRule="auto"/>
        <w:ind w:right="98" w:firstLine="450"/>
        <w:rPr>
          <w:rFonts w:hint="eastAsia"/>
          <w:color w:val="231F20"/>
        </w:rPr>
      </w:pPr>
    </w:p>
    <w:p w14:paraId="37D437DF">
      <w:pPr>
        <w:pStyle w:val="9"/>
        <w:spacing w:before="13" w:line="249" w:lineRule="auto"/>
        <w:ind w:right="98" w:firstLine="450"/>
        <w:rPr>
          <w:rFonts w:hint="eastAsia"/>
          <w:color w:val="231F20"/>
        </w:rPr>
      </w:pPr>
      <w:r>
        <w:rPr>
          <w:rFonts w:hint="eastAsia"/>
          <w:color w:val="231F20"/>
        </w:rPr>
        <w:t>As every student of the prophetic Scriptures knows, Zechariah 12-14 contains especially difficult and controversial OTKP’s.</w:t>
      </w:r>
    </w:p>
    <w:p w14:paraId="7FE94140">
      <w:pPr>
        <w:pStyle w:val="9"/>
        <w:spacing w:before="13" w:line="249" w:lineRule="auto"/>
        <w:ind w:right="98" w:firstLine="450"/>
        <w:rPr>
          <w:rFonts w:hint="eastAsia"/>
          <w:color w:val="231F20"/>
        </w:rPr>
      </w:pPr>
      <w:r>
        <w:rPr>
          <w:rFonts w:hint="eastAsia"/>
          <w:color w:val="231F20"/>
        </w:rPr>
        <w:t>正如每一位研读预言性经文的学生所知，撒迦利亚书12-14章包含了特别困难和有争议的旧约国度预言。</w:t>
      </w:r>
    </w:p>
    <w:p w14:paraId="42036C9D">
      <w:pPr>
        <w:pStyle w:val="9"/>
        <w:spacing w:before="13" w:line="249" w:lineRule="auto"/>
        <w:ind w:right="98" w:firstLine="450"/>
        <w:rPr>
          <w:rFonts w:hint="eastAsia"/>
          <w:color w:val="231F20"/>
        </w:rPr>
      </w:pPr>
    </w:p>
    <w:p w14:paraId="7901A992">
      <w:pPr>
        <w:pStyle w:val="9"/>
        <w:spacing w:before="13" w:line="249" w:lineRule="auto"/>
        <w:ind w:right="98" w:firstLine="450"/>
        <w:rPr>
          <w:rFonts w:hint="eastAsia"/>
          <w:color w:val="231F20"/>
        </w:rPr>
      </w:pPr>
      <w:r>
        <w:rPr>
          <w:rFonts w:hint="eastAsia"/>
          <w:color w:val="231F20"/>
        </w:rPr>
        <w:t>Therefore, we do well to ask at the outset: What method of prophetic interpretation will best guide us through the maze of competing views, and bring us safely to the insight and certainty we desire?</w:t>
      </w:r>
    </w:p>
    <w:p w14:paraId="7346FBC5">
      <w:pPr>
        <w:pStyle w:val="9"/>
        <w:spacing w:before="13" w:line="249" w:lineRule="auto"/>
        <w:ind w:right="98" w:firstLine="450"/>
        <w:rPr>
          <w:rFonts w:hint="eastAsia"/>
          <w:color w:val="231F20"/>
        </w:rPr>
      </w:pPr>
      <w:r>
        <w:rPr>
          <w:rFonts w:hint="eastAsia"/>
          <w:color w:val="231F20"/>
        </w:rPr>
        <w:t>因此，我们最好在一开始就问：哪种预言解释方法能最好地引导我们穿过众说纷纭的迷宫，并安全地带我们到达我们所渴望的洞见和确定性？</w:t>
      </w:r>
    </w:p>
    <w:p w14:paraId="3FA1ED6C">
      <w:pPr>
        <w:pStyle w:val="9"/>
        <w:spacing w:before="13" w:line="249" w:lineRule="auto"/>
        <w:ind w:right="98" w:firstLine="450"/>
        <w:rPr>
          <w:rFonts w:hint="eastAsia"/>
          <w:color w:val="231F20"/>
        </w:rPr>
      </w:pPr>
    </w:p>
    <w:p w14:paraId="73E028FA">
      <w:pPr>
        <w:pStyle w:val="9"/>
        <w:spacing w:before="13" w:line="249" w:lineRule="auto"/>
        <w:ind w:right="98" w:firstLine="450"/>
        <w:rPr>
          <w:rFonts w:hint="eastAsia"/>
          <w:color w:val="231F20"/>
        </w:rPr>
      </w:pPr>
      <w:r>
        <w:rPr>
          <w:rFonts w:hint="eastAsia"/>
          <w:color w:val="231F20"/>
        </w:rPr>
        <w:t>As we have seen, our premillennarian brethren are not shy about answering: We must use the method of prophetic literalism.</w:t>
      </w:r>
    </w:p>
    <w:p w14:paraId="069D896D">
      <w:pPr>
        <w:pStyle w:val="9"/>
        <w:spacing w:before="13" w:line="249" w:lineRule="auto"/>
        <w:ind w:right="98" w:firstLine="450"/>
        <w:rPr>
          <w:rFonts w:hint="eastAsia"/>
          <w:color w:val="231F20"/>
        </w:rPr>
      </w:pPr>
      <w:r>
        <w:rPr>
          <w:rFonts w:hint="eastAsia"/>
          <w:color w:val="231F20"/>
        </w:rPr>
        <w:t>正如我们所见，我们的前千禧年派弟兄们毫不羞怯地回答：我们必须使用预言字面主义的方法。</w:t>
      </w:r>
    </w:p>
    <w:p w14:paraId="02A13609">
      <w:pPr>
        <w:pStyle w:val="9"/>
        <w:spacing w:before="13" w:line="249" w:lineRule="auto"/>
        <w:ind w:right="98" w:firstLine="450"/>
        <w:rPr>
          <w:rFonts w:hint="eastAsia"/>
          <w:color w:val="231F20"/>
        </w:rPr>
      </w:pPr>
    </w:p>
    <w:p w14:paraId="50487980">
      <w:pPr>
        <w:pStyle w:val="9"/>
        <w:spacing w:before="13" w:line="249" w:lineRule="auto"/>
        <w:ind w:right="98" w:firstLine="450"/>
        <w:rPr>
          <w:rFonts w:hint="eastAsia"/>
          <w:color w:val="231F20"/>
        </w:rPr>
      </w:pPr>
      <w:r>
        <w:rPr>
          <w:rFonts w:hint="eastAsia"/>
          <w:color w:val="231F20"/>
        </w:rPr>
        <w:t>Wayne Grudem, a respected historic premillennarian, is among them.</w:t>
      </w:r>
    </w:p>
    <w:p w14:paraId="64D952D5">
      <w:pPr>
        <w:pStyle w:val="9"/>
        <w:spacing w:before="13" w:line="249" w:lineRule="auto"/>
        <w:ind w:right="98" w:firstLine="450"/>
        <w:rPr>
          <w:rFonts w:hint="eastAsia"/>
          <w:color w:val="231F20"/>
        </w:rPr>
      </w:pPr>
      <w:r>
        <w:rPr>
          <w:rFonts w:hint="eastAsia"/>
          <w:color w:val="231F20"/>
        </w:rPr>
        <w:t>韦恩·格鲁登，一位受人尊敬的历史前千禧年论者，就是其中之一。</w:t>
      </w:r>
    </w:p>
    <w:p w14:paraId="64AD6114">
      <w:pPr>
        <w:pStyle w:val="9"/>
        <w:spacing w:before="13" w:line="249" w:lineRule="auto"/>
        <w:ind w:right="98" w:firstLine="450"/>
        <w:rPr>
          <w:rFonts w:hint="eastAsia"/>
          <w:color w:val="231F20"/>
        </w:rPr>
      </w:pPr>
    </w:p>
    <w:p w14:paraId="57C24BB0">
      <w:pPr>
        <w:pStyle w:val="9"/>
        <w:spacing w:before="13" w:line="249" w:lineRule="auto"/>
        <w:ind w:right="98" w:firstLine="450"/>
        <w:rPr>
          <w:rFonts w:hint="eastAsia"/>
          <w:color w:val="231F20"/>
        </w:rPr>
      </w:pPr>
      <w:r>
        <w:rPr>
          <w:rFonts w:hint="eastAsia"/>
          <w:color w:val="231F20"/>
        </w:rPr>
        <w:t>Citing Zechariah 14:5-17, he writes:</w:t>
      </w:r>
    </w:p>
    <w:p w14:paraId="3CF1C8E1">
      <w:pPr>
        <w:pStyle w:val="9"/>
        <w:spacing w:before="13" w:line="249" w:lineRule="auto"/>
        <w:ind w:right="98" w:firstLine="450"/>
        <w:rPr>
          <w:rFonts w:hint="eastAsia"/>
          <w:color w:val="231F20"/>
        </w:rPr>
      </w:pPr>
      <w:r>
        <w:rPr>
          <w:rFonts w:hint="eastAsia"/>
          <w:color w:val="231F20"/>
        </w:rPr>
        <w:t>他引用撒迦利亚书14:5-17写道：</w:t>
      </w:r>
    </w:p>
    <w:p w14:paraId="13A61E31">
      <w:pPr>
        <w:pStyle w:val="9"/>
        <w:spacing w:before="13" w:line="249" w:lineRule="auto"/>
        <w:ind w:right="98" w:firstLine="450"/>
        <w:rPr>
          <w:rFonts w:hint="eastAsia"/>
          <w:color w:val="231F20"/>
        </w:rPr>
      </w:pPr>
    </w:p>
    <w:p w14:paraId="5095D99C">
      <w:pPr>
        <w:pStyle w:val="9"/>
        <w:spacing w:before="13" w:line="249" w:lineRule="auto"/>
        <w:ind w:right="98" w:firstLine="450"/>
        <w:rPr>
          <w:rFonts w:hint="eastAsia"/>
          <w:color w:val="231F20"/>
        </w:rPr>
      </w:pPr>
      <w:r>
        <w:rPr>
          <w:rFonts w:hint="eastAsia"/>
          <w:color w:val="231F20"/>
        </w:rPr>
        <w:t>Here again the description does not fit the present (Church) age, for the Lord is King over all the earth in this situation.</w:t>
      </w:r>
    </w:p>
    <w:p w14:paraId="22AD0023">
      <w:pPr>
        <w:pStyle w:val="9"/>
        <w:spacing w:before="13" w:line="249" w:lineRule="auto"/>
        <w:ind w:right="98" w:firstLine="450"/>
        <w:rPr>
          <w:rFonts w:hint="eastAsia"/>
          <w:color w:val="231F20"/>
        </w:rPr>
      </w:pPr>
      <w:r>
        <w:rPr>
          <w:rFonts w:hint="eastAsia"/>
          <w:color w:val="231F20"/>
        </w:rPr>
        <w:t>这里的描述再次不符合现今的（教会）时代，因为在这种情况下，主是全地之王。</w:t>
      </w:r>
    </w:p>
    <w:p w14:paraId="430A4818">
      <w:pPr>
        <w:pStyle w:val="9"/>
        <w:spacing w:before="13" w:line="249" w:lineRule="auto"/>
        <w:ind w:right="98" w:firstLine="450"/>
        <w:rPr>
          <w:rFonts w:hint="eastAsia"/>
          <w:color w:val="231F20"/>
        </w:rPr>
      </w:pPr>
    </w:p>
    <w:p w14:paraId="6845EE8C">
      <w:pPr>
        <w:pStyle w:val="9"/>
        <w:spacing w:before="13" w:line="249" w:lineRule="auto"/>
        <w:ind w:right="98" w:firstLine="450"/>
        <w:rPr>
          <w:rFonts w:hint="eastAsia"/>
          <w:color w:val="231F20"/>
        </w:rPr>
      </w:pPr>
      <w:r>
        <w:rPr>
          <w:rFonts w:hint="eastAsia"/>
          <w:color w:val="231F20"/>
        </w:rPr>
        <w:t>But it does not fit the eternal state, either, because of the disobedience and rebellion against the Lord that is clearly present … (Passages like this) indicate some future stage in the history of redemption which is far greater than the present church age but which still does not see the removal of all sin and rebellion and death from the earth.”1</w:t>
      </w:r>
    </w:p>
    <w:p w14:paraId="580839F1">
      <w:pPr>
        <w:pStyle w:val="9"/>
        <w:spacing w:before="13" w:line="249" w:lineRule="auto"/>
        <w:ind w:right="98" w:firstLine="450"/>
        <w:rPr>
          <w:rFonts w:hint="eastAsia"/>
          <w:color w:val="231F20"/>
        </w:rPr>
      </w:pPr>
      <w:r>
        <w:rPr>
          <w:rFonts w:hint="eastAsia"/>
          <w:color w:val="231F20"/>
        </w:rPr>
        <w:t>但它也不符合永恒的状态，因为明显存在着对主的不顺服和悖逆……（像这样的经文）表明在救赎历史的某个未来阶段，它远比现今的教会时代伟大，但仍未见到所有罪、悖逆和死亡从地上被除去。”1</w:t>
      </w:r>
    </w:p>
    <w:p w14:paraId="3A278FE6">
      <w:pPr>
        <w:pStyle w:val="9"/>
        <w:spacing w:before="13" w:line="249" w:lineRule="auto"/>
        <w:ind w:right="98" w:firstLine="450"/>
        <w:rPr>
          <w:rFonts w:hint="eastAsia"/>
          <w:color w:val="231F20"/>
        </w:rPr>
      </w:pPr>
    </w:p>
    <w:p w14:paraId="12ECDF80">
      <w:pPr>
        <w:pStyle w:val="9"/>
        <w:spacing w:before="13" w:line="249" w:lineRule="auto"/>
        <w:ind w:right="98" w:firstLine="450"/>
        <w:rPr>
          <w:rFonts w:hint="eastAsia"/>
          <w:color w:val="231F20"/>
        </w:rPr>
      </w:pPr>
      <w:r>
        <w:rPr>
          <w:rFonts w:hint="eastAsia"/>
          <w:color w:val="231F20"/>
        </w:rPr>
        <w:t>In this defense of premillennialism, Grudem does not openly espouse prophetic literalism.</w:t>
      </w:r>
    </w:p>
    <w:p w14:paraId="05ADC7AF">
      <w:pPr>
        <w:pStyle w:val="9"/>
        <w:spacing w:before="13" w:line="249" w:lineRule="auto"/>
        <w:ind w:right="98" w:firstLine="450"/>
        <w:rPr>
          <w:rFonts w:hint="eastAsia"/>
          <w:color w:val="231F20"/>
        </w:rPr>
      </w:pPr>
      <w:r>
        <w:rPr>
          <w:rFonts w:hint="eastAsia"/>
          <w:color w:val="231F20"/>
        </w:rPr>
        <w:t>在这篇为前千禧年论的辩护中，格鲁登并未公开支持预言的字面主义。</w:t>
      </w:r>
    </w:p>
    <w:p w14:paraId="6AF9145A">
      <w:pPr>
        <w:pStyle w:val="9"/>
        <w:spacing w:before="13" w:line="249" w:lineRule="auto"/>
        <w:ind w:right="98" w:firstLine="450"/>
        <w:rPr>
          <w:rFonts w:hint="eastAsia"/>
          <w:color w:val="231F20"/>
        </w:rPr>
      </w:pPr>
    </w:p>
    <w:p w14:paraId="46F3FDBC">
      <w:pPr>
        <w:pStyle w:val="9"/>
        <w:spacing w:before="13" w:line="249" w:lineRule="auto"/>
        <w:ind w:right="98" w:firstLine="450"/>
        <w:rPr>
          <w:rFonts w:hint="eastAsia"/>
          <w:color w:val="231F20"/>
        </w:rPr>
      </w:pPr>
      <w:r>
        <w:rPr>
          <w:rFonts w:hint="eastAsia"/>
          <w:color w:val="231F20"/>
        </w:rPr>
        <w:t>Nevertheless, it is quite clear that he approaches Zechariah’s prophecy—and all OTKP—on the assumption that it is indeed the only valid method of prophetic interpretation.</w:t>
      </w:r>
    </w:p>
    <w:p w14:paraId="1BFE1EB7">
      <w:pPr>
        <w:pStyle w:val="9"/>
        <w:spacing w:before="13" w:line="249" w:lineRule="auto"/>
        <w:ind w:right="98" w:firstLine="450"/>
        <w:rPr>
          <w:rFonts w:hint="eastAsia"/>
          <w:color w:val="231F20"/>
        </w:rPr>
      </w:pPr>
      <w:r>
        <w:rPr>
          <w:rFonts w:hint="eastAsia"/>
          <w:color w:val="231F20"/>
        </w:rPr>
        <w:t>然而，很明显，他对撒迦利亚的预言——以及所有旧约国度预言——的解释，是基于这样一个假设，即它确实是唯一有效的预言解释方法。</w:t>
      </w:r>
    </w:p>
    <w:p w14:paraId="4DE1B5ED">
      <w:pPr>
        <w:pStyle w:val="9"/>
        <w:spacing w:before="13" w:line="249" w:lineRule="auto"/>
        <w:ind w:right="98" w:firstLine="450"/>
        <w:rPr>
          <w:rFonts w:hint="eastAsia"/>
          <w:color w:val="231F20"/>
        </w:rPr>
      </w:pPr>
    </w:p>
    <w:p w14:paraId="45C65904">
      <w:pPr>
        <w:pStyle w:val="9"/>
        <w:spacing w:before="13" w:line="249" w:lineRule="auto"/>
        <w:ind w:right="98" w:firstLine="450"/>
        <w:rPr>
          <w:rFonts w:hint="eastAsia"/>
          <w:color w:val="231F20"/>
        </w:rPr>
      </w:pPr>
      <w:r>
        <w:rPr>
          <w:rFonts w:hint="eastAsia"/>
          <w:color w:val="231F20"/>
        </w:rPr>
        <w:t>And if Grudem is right, then his conclusion is also right: Zechariah’s oracle must be fulfilled in the eschatological agony, conversion, and millennial exaltation of ethnic Israel.</w:t>
      </w:r>
    </w:p>
    <w:p w14:paraId="41A9D780">
      <w:pPr>
        <w:pStyle w:val="9"/>
        <w:spacing w:before="13" w:line="249" w:lineRule="auto"/>
        <w:ind w:right="98" w:firstLine="450"/>
        <w:rPr>
          <w:rFonts w:hint="eastAsia"/>
          <w:color w:val="231F20"/>
        </w:rPr>
      </w:pPr>
      <w:r>
        <w:rPr>
          <w:rFonts w:hint="eastAsia"/>
          <w:color w:val="231F20"/>
        </w:rPr>
        <w:t>如果格鲁登是对的，那么他的结论也是对的：撒迦利亚的神谕必须在以色列民族的末世苦难、归信和千禧年高举中应验。</w:t>
      </w:r>
    </w:p>
    <w:p w14:paraId="4C791776">
      <w:pPr>
        <w:pStyle w:val="9"/>
        <w:spacing w:before="13" w:line="249" w:lineRule="auto"/>
        <w:ind w:right="98" w:firstLine="450"/>
        <w:rPr>
          <w:rFonts w:hint="eastAsia"/>
          <w:color w:val="231F20"/>
        </w:rPr>
      </w:pPr>
    </w:p>
    <w:p w14:paraId="19B9CB76">
      <w:pPr>
        <w:pStyle w:val="9"/>
        <w:spacing w:before="13" w:line="249" w:lineRule="auto"/>
        <w:ind w:right="98" w:firstLine="450"/>
        <w:rPr>
          <w:rFonts w:hint="eastAsia"/>
          <w:color w:val="231F20"/>
        </w:rPr>
      </w:pPr>
      <w:r>
        <w:rPr>
          <w:rFonts w:hint="eastAsia"/>
          <w:color w:val="231F20"/>
        </w:rPr>
        <w:t>For the prophetic literalist who is trying to honor NT revelation, there is simply no other option.</w:t>
      </w:r>
    </w:p>
    <w:p w14:paraId="78B62F83">
      <w:pPr>
        <w:pStyle w:val="9"/>
        <w:spacing w:before="13" w:line="249" w:lineRule="auto"/>
        <w:ind w:right="98" w:firstLine="450"/>
        <w:rPr>
          <w:rFonts w:hint="eastAsia"/>
          <w:color w:val="231F20"/>
        </w:rPr>
      </w:pPr>
      <w:r>
        <w:rPr>
          <w:rFonts w:hint="eastAsia"/>
          <w:color w:val="231F20"/>
        </w:rPr>
        <w:t>对于试图尊重启示录的预言字面主义者来说，根本没有其他选择。</w:t>
      </w:r>
    </w:p>
    <w:p w14:paraId="411E4805">
      <w:pPr>
        <w:pStyle w:val="9"/>
        <w:spacing w:before="13" w:line="249" w:lineRule="auto"/>
        <w:ind w:right="98" w:firstLine="450"/>
        <w:rPr>
          <w:rFonts w:hint="eastAsia"/>
          <w:color w:val="231F20"/>
        </w:rPr>
      </w:pPr>
    </w:p>
    <w:p w14:paraId="4289744F">
      <w:pPr>
        <w:pStyle w:val="9"/>
        <w:spacing w:before="13" w:line="249" w:lineRule="auto"/>
        <w:ind w:right="98" w:firstLine="450"/>
        <w:rPr>
          <w:rFonts w:hint="eastAsia"/>
          <w:color w:val="231F20"/>
        </w:rPr>
      </w:pPr>
      <w:r>
        <w:rPr>
          <w:rFonts w:hint="eastAsia"/>
          <w:color w:val="231F20"/>
        </w:rPr>
        <w:t>However, as natural as this approach may appear to be, we have seen repeatedly that the NT positively rejects it both by precept and example.</w:t>
      </w:r>
    </w:p>
    <w:p w14:paraId="0E32AAFD">
      <w:pPr>
        <w:pStyle w:val="9"/>
        <w:spacing w:before="13" w:line="249" w:lineRule="auto"/>
        <w:ind w:right="98" w:firstLine="450"/>
        <w:rPr>
          <w:rFonts w:hint="eastAsia"/>
          <w:color w:val="231F20"/>
        </w:rPr>
      </w:pPr>
      <w:r>
        <w:rPr>
          <w:rFonts w:hint="eastAsia"/>
          <w:color w:val="231F20"/>
        </w:rPr>
        <w:t>然而，尽管这种方法可能看起来很自然，我们已多次看到新约通过教训和榜样明确地拒绝了它。</w:t>
      </w:r>
    </w:p>
    <w:p w14:paraId="4C83A709">
      <w:pPr>
        <w:pStyle w:val="9"/>
        <w:spacing w:before="13" w:line="249" w:lineRule="auto"/>
        <w:ind w:right="98" w:firstLine="450"/>
        <w:rPr>
          <w:rFonts w:hint="eastAsia"/>
          <w:color w:val="231F20"/>
        </w:rPr>
      </w:pPr>
    </w:p>
    <w:p w14:paraId="5AFFEF09">
      <w:pPr>
        <w:pStyle w:val="9"/>
        <w:spacing w:before="13" w:line="249" w:lineRule="auto"/>
        <w:ind w:right="98" w:firstLine="450"/>
        <w:rPr>
          <w:rFonts w:hint="eastAsia"/>
          <w:color w:val="231F20"/>
        </w:rPr>
      </w:pPr>
      <w:r>
        <w:rPr>
          <w:rFonts w:hint="eastAsia"/>
          <w:color w:val="231F20"/>
        </w:rPr>
        <w:t>For again, both Christ and the apostles consistently teach that the true sphere of fulfillment of all OTKP is the New Covenant, and also the new spiritual nation to which it gives birth: the eschatological “Israel of God,” the Church (comprised of Jew and Gentile).</w:t>
      </w:r>
    </w:p>
    <w:p w14:paraId="326AD20A">
      <w:pPr>
        <w:pStyle w:val="9"/>
        <w:spacing w:before="13" w:line="249" w:lineRule="auto"/>
        <w:ind w:right="98" w:firstLine="450"/>
        <w:rPr>
          <w:rFonts w:hint="eastAsia"/>
          <w:color w:val="231F20"/>
        </w:rPr>
      </w:pPr>
      <w:r>
        <w:rPr>
          <w:rFonts w:hint="eastAsia"/>
          <w:color w:val="231F20"/>
        </w:rPr>
        <w:t>因为再次，基督和使徒们都一致教导，所有旧约国度预言的真正应验范围是新约，以及它所产生的新的属灵国度：即末世的“神的以色列”，教会（由犹太人和外邦人组成）。</w:t>
      </w:r>
    </w:p>
    <w:p w14:paraId="24CC5276">
      <w:pPr>
        <w:pStyle w:val="9"/>
        <w:spacing w:before="13" w:line="249" w:lineRule="auto"/>
        <w:ind w:right="98" w:firstLine="450"/>
        <w:rPr>
          <w:rFonts w:hint="eastAsia"/>
          <w:color w:val="231F20"/>
        </w:rPr>
      </w:pPr>
    </w:p>
    <w:p w14:paraId="674A8C14">
      <w:pPr>
        <w:pStyle w:val="9"/>
        <w:spacing w:before="13" w:line="249" w:lineRule="auto"/>
        <w:ind w:right="98" w:firstLine="450"/>
        <w:rPr>
          <w:rFonts w:hint="eastAsia"/>
          <w:color w:val="231F20"/>
        </w:rPr>
      </w:pPr>
      <w:r>
        <w:rPr>
          <w:rFonts w:hint="eastAsia"/>
          <w:color w:val="231F20"/>
        </w:rPr>
        <w:t>But if this is so, then we cannot interpret this or any other OTKP literally.</w:t>
      </w:r>
    </w:p>
    <w:p w14:paraId="7F7455FB">
      <w:pPr>
        <w:pStyle w:val="9"/>
        <w:spacing w:before="13" w:line="249" w:lineRule="auto"/>
        <w:ind w:right="98" w:firstLine="450"/>
        <w:rPr>
          <w:rFonts w:hint="eastAsia"/>
          <w:color w:val="231F20"/>
        </w:rPr>
      </w:pPr>
      <w:r>
        <w:rPr>
          <w:rFonts w:hint="eastAsia"/>
          <w:color w:val="231F20"/>
        </w:rPr>
        <w:t>但如果真是如此，那么我们就不能按字面意思来解释这个或任何其他的旧约国度预言。</w:t>
      </w:r>
    </w:p>
    <w:p w14:paraId="08F6089F">
      <w:pPr>
        <w:pStyle w:val="9"/>
        <w:spacing w:before="13" w:line="249" w:lineRule="auto"/>
        <w:ind w:right="98" w:firstLine="450"/>
        <w:rPr>
          <w:rFonts w:hint="eastAsia"/>
          <w:color w:val="231F20"/>
        </w:rPr>
      </w:pPr>
    </w:p>
    <w:p w14:paraId="0D63031F">
      <w:pPr>
        <w:pStyle w:val="9"/>
        <w:spacing w:before="13" w:line="249" w:lineRule="auto"/>
        <w:ind w:right="98" w:firstLine="450"/>
        <w:rPr>
          <w:rFonts w:hint="eastAsia"/>
          <w:color w:val="231F20"/>
        </w:rPr>
      </w:pPr>
      <w:r>
        <w:rPr>
          <w:rFonts w:hint="eastAsia"/>
          <w:color w:val="231F20"/>
        </w:rPr>
        <w:t>Rather, we must interpret it eschatologically, covenantally, typologically, and ecclesiologically.</w:t>
      </w:r>
    </w:p>
    <w:p w14:paraId="1B24E531">
      <w:pPr>
        <w:pStyle w:val="9"/>
        <w:spacing w:before="13" w:line="249" w:lineRule="auto"/>
        <w:ind w:right="98" w:firstLine="450"/>
        <w:rPr>
          <w:rFonts w:hint="eastAsia"/>
          <w:color w:val="231F20"/>
        </w:rPr>
      </w:pPr>
      <w:r>
        <w:rPr>
          <w:rFonts w:hint="eastAsia"/>
          <w:color w:val="231F20"/>
        </w:rPr>
        <w:t>相反，我们必须从末世论、圣约论、预表论和教会论的角度来解释它。</w:t>
      </w:r>
    </w:p>
    <w:p w14:paraId="52B7E4A0">
      <w:pPr>
        <w:pStyle w:val="9"/>
        <w:spacing w:before="13" w:line="249" w:lineRule="auto"/>
        <w:ind w:right="98" w:firstLine="450"/>
        <w:rPr>
          <w:rFonts w:hint="eastAsia"/>
          <w:color w:val="231F20"/>
        </w:rPr>
      </w:pPr>
    </w:p>
    <w:p w14:paraId="50FF54C5">
      <w:pPr>
        <w:pStyle w:val="9"/>
        <w:spacing w:before="13" w:line="249" w:lineRule="auto"/>
        <w:ind w:right="98" w:firstLine="450"/>
        <w:rPr>
          <w:rFonts w:hint="eastAsia"/>
          <w:color w:val="231F20"/>
        </w:rPr>
      </w:pPr>
      <w:r>
        <w:rPr>
          <w:rFonts w:hint="eastAsia"/>
          <w:color w:val="231F20"/>
        </w:rPr>
        <w:t>We must understand it as a “veiled” and “mysterious” representation of life under the New Covenant; life in one or both of the stages of the spiritual Kingdom that the New Covenant creates.</w:t>
      </w:r>
    </w:p>
    <w:p w14:paraId="7DF198C6">
      <w:pPr>
        <w:pStyle w:val="9"/>
        <w:spacing w:before="13" w:line="249" w:lineRule="auto"/>
        <w:ind w:right="98" w:firstLine="450"/>
        <w:rPr>
          <w:rFonts w:hint="eastAsia"/>
          <w:color w:val="231F20"/>
        </w:rPr>
      </w:pPr>
      <w:r>
        <w:rPr>
          <w:rFonts w:hint="eastAsia"/>
          <w:color w:val="231F20"/>
        </w:rPr>
        <w:t>我们必须将其理解为对新约之下生活的“隐藏”和“奥秘”的表述；即在新约所创造的属灵国度的一个或两个阶段中的生活。</w:t>
      </w:r>
    </w:p>
    <w:p w14:paraId="7765C1F7">
      <w:pPr>
        <w:pStyle w:val="9"/>
        <w:spacing w:before="13" w:line="249" w:lineRule="auto"/>
        <w:ind w:right="98" w:firstLine="450"/>
        <w:rPr>
          <w:rFonts w:hint="eastAsia"/>
          <w:color w:val="231F20"/>
        </w:rPr>
      </w:pPr>
    </w:p>
    <w:p w14:paraId="56DF2F32">
      <w:pPr>
        <w:pStyle w:val="9"/>
        <w:spacing w:before="13" w:line="249" w:lineRule="auto"/>
        <w:ind w:right="98" w:firstLine="450"/>
        <w:rPr>
          <w:rFonts w:hint="eastAsia"/>
          <w:color w:val="231F20"/>
        </w:rPr>
      </w:pPr>
      <w:r>
        <w:rPr>
          <w:rFonts w:hint="eastAsia"/>
          <w:color w:val="231F20"/>
        </w:rPr>
        <w:t>Importantly, to adopt this approach is to see immediately that in Zechariah’s great oracle, God was speaking not only to OT Jews, but also—and primarily—to the Christian Church, supplying her with the wisdom, strength, and comfort she will need for her arduous pilgrimage through the Domain of Darkness, especially as she enters the last of the last days (Col. 2:2, Eph. 4:3, 13).</w:t>
      </w:r>
    </w:p>
    <w:p w14:paraId="5F4531B6">
      <w:pPr>
        <w:pStyle w:val="9"/>
        <w:spacing w:before="13" w:line="249" w:lineRule="auto"/>
        <w:ind w:right="98" w:firstLine="450"/>
        <w:rPr>
          <w:rFonts w:hint="eastAsia"/>
          <w:color w:val="231F20"/>
        </w:rPr>
      </w:pPr>
      <w:r>
        <w:rPr>
          <w:rFonts w:hint="eastAsia"/>
          <w:color w:val="231F20"/>
        </w:rPr>
        <w:t>重要的是，采纳这种方法，就会立刻看到，在撒迦利亚的伟大神谕中，神不仅对旧约的犹太人说话，也——而且主要是——对基督教会说话，为她供应她在穿越黑暗权势的艰辛朝圣之旅中所需要的智慧、力量和安慰，特别是在她进入末后日子的末期时 (西 2:2, 弗 4:3, 13)。</w:t>
      </w:r>
    </w:p>
    <w:p w14:paraId="55CB7441">
      <w:pPr>
        <w:pStyle w:val="9"/>
        <w:spacing w:before="13" w:line="249" w:lineRule="auto"/>
        <w:ind w:right="98" w:firstLine="450"/>
        <w:rPr>
          <w:rFonts w:hint="eastAsia"/>
          <w:color w:val="231F20"/>
        </w:rPr>
      </w:pPr>
    </w:p>
    <w:p w14:paraId="0478CFC6">
      <w:pPr>
        <w:pStyle w:val="9"/>
        <w:spacing w:before="13" w:line="249" w:lineRule="auto"/>
        <w:ind w:right="98" w:firstLine="450"/>
        <w:rPr>
          <w:rFonts w:hint="eastAsia"/>
          <w:color w:val="231F20"/>
        </w:rPr>
      </w:pPr>
      <w:r>
        <w:rPr>
          <w:rFonts w:hint="eastAsia"/>
          <w:color w:val="231F20"/>
        </w:rPr>
        <w:t>A Critique of Premillennial Approaches</w:t>
      </w:r>
    </w:p>
    <w:p w14:paraId="1F8EB786">
      <w:pPr>
        <w:pStyle w:val="9"/>
        <w:spacing w:before="13" w:line="249" w:lineRule="auto"/>
        <w:ind w:right="98" w:firstLine="450"/>
        <w:rPr>
          <w:rFonts w:hint="eastAsia"/>
          <w:color w:val="231F20"/>
        </w:rPr>
      </w:pPr>
      <w:r>
        <w:rPr>
          <w:rFonts w:hint="eastAsia"/>
          <w:color w:val="231F20"/>
        </w:rPr>
        <w:t>对前千禧年论方法的批判</w:t>
      </w:r>
    </w:p>
    <w:p w14:paraId="228E6C35">
      <w:pPr>
        <w:pStyle w:val="9"/>
        <w:spacing w:before="13" w:line="249" w:lineRule="auto"/>
        <w:ind w:right="98" w:firstLine="450"/>
        <w:rPr>
          <w:rFonts w:hint="eastAsia"/>
          <w:color w:val="231F20"/>
        </w:rPr>
      </w:pPr>
    </w:p>
    <w:p w14:paraId="2F372CDC">
      <w:pPr>
        <w:pStyle w:val="9"/>
        <w:spacing w:before="13" w:line="249" w:lineRule="auto"/>
        <w:ind w:right="98" w:firstLine="450"/>
        <w:rPr>
          <w:rFonts w:hint="eastAsia"/>
          <w:color w:val="231F20"/>
        </w:rPr>
      </w:pPr>
      <w:r>
        <w:rPr>
          <w:rFonts w:hint="eastAsia"/>
          <w:color w:val="231F20"/>
        </w:rPr>
        <w:t>I have suggested that the NCH gives us the best possible understanding of Zechariah 12-14.</w:t>
      </w:r>
    </w:p>
    <w:p w14:paraId="0F0E0D33">
      <w:pPr>
        <w:pStyle w:val="9"/>
        <w:spacing w:before="13" w:line="249" w:lineRule="auto"/>
        <w:ind w:right="98" w:firstLine="450"/>
        <w:rPr>
          <w:rFonts w:hint="eastAsia"/>
          <w:color w:val="231F20"/>
        </w:rPr>
      </w:pPr>
      <w:r>
        <w:rPr>
          <w:rFonts w:hint="eastAsia"/>
          <w:color w:val="231F20"/>
        </w:rPr>
        <w:t>我已建议，新约解释学（NCH）为我们提供了对撒迦利亚书12-14章最好的理解。</w:t>
      </w:r>
    </w:p>
    <w:p w14:paraId="7731B433">
      <w:pPr>
        <w:pStyle w:val="9"/>
        <w:spacing w:before="13" w:line="249" w:lineRule="auto"/>
        <w:ind w:right="98" w:firstLine="450"/>
        <w:rPr>
          <w:rFonts w:hint="eastAsia"/>
          <w:color w:val="231F20"/>
        </w:rPr>
      </w:pPr>
    </w:p>
    <w:p w14:paraId="2735621D">
      <w:pPr>
        <w:pStyle w:val="9"/>
        <w:spacing w:before="13" w:line="249" w:lineRule="auto"/>
        <w:ind w:right="98" w:firstLine="450"/>
        <w:rPr>
          <w:rFonts w:hint="eastAsia"/>
          <w:color w:val="231F20"/>
        </w:rPr>
      </w:pPr>
      <w:r>
        <w:rPr>
          <w:rFonts w:hint="eastAsia"/>
          <w:color w:val="231F20"/>
        </w:rPr>
        <w:t>We should rejoice that it does, seeing that premillennial views involve so many intractable problems.</w:t>
      </w:r>
    </w:p>
    <w:p w14:paraId="0467F971">
      <w:pPr>
        <w:pStyle w:val="9"/>
        <w:spacing w:before="13" w:line="249" w:lineRule="auto"/>
        <w:ind w:right="98" w:firstLine="450"/>
        <w:rPr>
          <w:rFonts w:hint="eastAsia"/>
          <w:color w:val="231F20"/>
        </w:rPr>
      </w:pPr>
      <w:r>
        <w:rPr>
          <w:rFonts w:hint="eastAsia"/>
          <w:color w:val="231F20"/>
        </w:rPr>
        <w:t>我们应当为此欢欣，因为前千禧年论的观点涉及如此多棘手的问题。</w:t>
      </w:r>
    </w:p>
    <w:p w14:paraId="64B0E7EA">
      <w:pPr>
        <w:pStyle w:val="9"/>
        <w:spacing w:before="13" w:line="249" w:lineRule="auto"/>
        <w:ind w:right="98" w:firstLine="450"/>
        <w:rPr>
          <w:rFonts w:hint="eastAsia"/>
          <w:color w:val="231F20"/>
        </w:rPr>
      </w:pPr>
    </w:p>
    <w:p w14:paraId="35B91964">
      <w:pPr>
        <w:pStyle w:val="9"/>
        <w:spacing w:before="13" w:line="249" w:lineRule="auto"/>
        <w:ind w:right="98" w:firstLine="450"/>
        <w:rPr>
          <w:rFonts w:hint="eastAsia"/>
          <w:color w:val="231F20"/>
        </w:rPr>
      </w:pPr>
      <w:r>
        <w:rPr>
          <w:rFonts w:hint="eastAsia"/>
          <w:color w:val="231F20"/>
        </w:rPr>
        <w:t>Because of the popularity of those views, let us mention a few of the most important.</w:t>
      </w:r>
    </w:p>
    <w:p w14:paraId="1D4283A0">
      <w:pPr>
        <w:pStyle w:val="9"/>
        <w:spacing w:before="13" w:line="249" w:lineRule="auto"/>
        <w:ind w:right="98" w:firstLine="450"/>
        <w:rPr>
          <w:rFonts w:hint="eastAsia"/>
          <w:color w:val="231F20"/>
        </w:rPr>
      </w:pPr>
      <w:r>
        <w:rPr>
          <w:rFonts w:hint="eastAsia"/>
          <w:color w:val="231F20"/>
        </w:rPr>
        <w:t>由于那些观点的流行，让我们提一下其中几个最重要的。</w:t>
      </w:r>
    </w:p>
    <w:p w14:paraId="3116341F">
      <w:pPr>
        <w:pStyle w:val="9"/>
        <w:spacing w:before="13" w:line="249" w:lineRule="auto"/>
        <w:ind w:right="98" w:firstLine="450"/>
        <w:rPr>
          <w:rFonts w:hint="eastAsia"/>
          <w:color w:val="231F20"/>
        </w:rPr>
      </w:pPr>
    </w:p>
    <w:p w14:paraId="13F8BD76">
      <w:pPr>
        <w:pStyle w:val="9"/>
        <w:spacing w:before="13" w:line="249" w:lineRule="auto"/>
        <w:ind w:right="98" w:firstLine="450"/>
        <w:rPr>
          <w:rFonts w:hint="eastAsia"/>
          <w:color w:val="231F20"/>
        </w:rPr>
      </w:pPr>
      <w:r>
        <w:rPr>
          <w:rFonts w:hint="eastAsia"/>
          <w:color w:val="231F20"/>
        </w:rPr>
        <w:t>First, the oracle says nothing at all about a temporary millennial reign of Christ.</w:t>
      </w:r>
    </w:p>
    <w:p w14:paraId="44979400">
      <w:pPr>
        <w:pStyle w:val="9"/>
        <w:spacing w:before="13" w:line="249" w:lineRule="auto"/>
        <w:ind w:right="98" w:firstLine="450"/>
        <w:rPr>
          <w:rFonts w:hint="eastAsia"/>
          <w:color w:val="231F20"/>
        </w:rPr>
      </w:pPr>
      <w:r>
        <w:rPr>
          <w:rFonts w:hint="eastAsia"/>
          <w:color w:val="231F20"/>
        </w:rPr>
        <w:t>首先，神谕完全没有提到基督暂时的千禧年统治。</w:t>
      </w:r>
    </w:p>
    <w:p w14:paraId="532167DE">
      <w:pPr>
        <w:pStyle w:val="9"/>
        <w:spacing w:before="13" w:line="249" w:lineRule="auto"/>
        <w:ind w:right="98" w:firstLine="450"/>
        <w:rPr>
          <w:rFonts w:hint="eastAsia"/>
          <w:color w:val="231F20"/>
        </w:rPr>
      </w:pPr>
    </w:p>
    <w:p w14:paraId="12843C55">
      <w:pPr>
        <w:pStyle w:val="9"/>
        <w:spacing w:before="13" w:line="249" w:lineRule="auto"/>
        <w:ind w:right="98" w:firstLine="450"/>
        <w:rPr>
          <w:rFonts w:hint="eastAsia"/>
          <w:color w:val="231F20"/>
        </w:rPr>
      </w:pPr>
      <w:r>
        <w:rPr>
          <w:rFonts w:hint="eastAsia"/>
          <w:color w:val="231F20"/>
        </w:rPr>
        <w:t>Anyone who reads the text objectively, refusing to import millennial presuppositions into it, will see immediately that Zechariah is speaking of the conversion of eschatological Israel, the Last Battle, the Day of the LORD, and the eternal worship of the World to Come.</w:t>
      </w:r>
    </w:p>
    <w:p w14:paraId="73E7F43B">
      <w:pPr>
        <w:pStyle w:val="9"/>
        <w:spacing w:before="13" w:line="249" w:lineRule="auto"/>
        <w:ind w:right="98" w:firstLine="450"/>
        <w:rPr>
          <w:rFonts w:hint="eastAsia"/>
          <w:color w:val="231F20"/>
        </w:rPr>
      </w:pPr>
      <w:r>
        <w:rPr>
          <w:rFonts w:hint="eastAsia"/>
          <w:color w:val="231F20"/>
        </w:rPr>
        <w:t>任何客观地阅读这段经文，拒绝将千禧年的预设带入其中的人，都会立刻看到撒迦利亚正在讲论末世以色列的归信、最后的战役、主的日子，以及未来世界永恒的敬拜。</w:t>
      </w:r>
    </w:p>
    <w:p w14:paraId="2BA08CC7">
      <w:pPr>
        <w:pStyle w:val="9"/>
        <w:spacing w:before="13" w:line="249" w:lineRule="auto"/>
        <w:ind w:right="98" w:firstLine="450"/>
        <w:rPr>
          <w:rFonts w:hint="eastAsia"/>
          <w:color w:val="231F20"/>
        </w:rPr>
      </w:pPr>
    </w:p>
    <w:p w14:paraId="6DC4B4B5">
      <w:pPr>
        <w:pStyle w:val="9"/>
        <w:spacing w:before="13" w:line="249" w:lineRule="auto"/>
        <w:ind w:right="98" w:firstLine="450"/>
        <w:rPr>
          <w:rFonts w:hint="eastAsia"/>
          <w:color w:val="231F20"/>
        </w:rPr>
      </w:pPr>
      <w:r>
        <w:rPr>
          <w:rFonts w:hint="eastAsia"/>
          <w:color w:val="231F20"/>
        </w:rPr>
        <w:t>It is completely counterintuitive to think that an oracle so grand—so cosmic—in its scale, should have as its terminus ad quem a temporary millennial reign of the Messiah, rather than the ultimate glories of the perfected Kingdom of God.</w:t>
      </w:r>
    </w:p>
    <w:p w14:paraId="6445145A">
      <w:pPr>
        <w:pStyle w:val="9"/>
        <w:spacing w:before="13" w:line="249" w:lineRule="auto"/>
        <w:ind w:right="98" w:firstLine="450"/>
        <w:rPr>
          <w:rFonts w:hint="eastAsia"/>
          <w:color w:val="231F20"/>
        </w:rPr>
      </w:pPr>
      <w:r>
        <w:rPr>
          <w:rFonts w:hint="eastAsia"/>
          <w:color w:val="231F20"/>
        </w:rPr>
        <w:t>认为一个在规模上如此宏伟——如此宇宙性——的神谕，其终点竟是弥赛亚暂时的千禧年统治，而不是神完全国度的终极荣耀，这完全是反直觉的。</w:t>
      </w:r>
    </w:p>
    <w:p w14:paraId="2A76EB77">
      <w:pPr>
        <w:pStyle w:val="9"/>
        <w:spacing w:before="13" w:line="249" w:lineRule="auto"/>
        <w:ind w:right="98" w:firstLine="450"/>
        <w:rPr>
          <w:rFonts w:hint="eastAsia"/>
          <w:color w:val="231F20"/>
        </w:rPr>
      </w:pPr>
    </w:p>
    <w:p w14:paraId="259C84A4">
      <w:pPr>
        <w:pStyle w:val="9"/>
        <w:spacing w:before="13" w:line="249" w:lineRule="auto"/>
        <w:ind w:right="98" w:firstLine="450"/>
        <w:rPr>
          <w:rFonts w:hint="eastAsia"/>
          <w:color w:val="231F20"/>
        </w:rPr>
      </w:pPr>
      <w:r>
        <w:rPr>
          <w:rFonts w:hint="eastAsia"/>
          <w:color w:val="231F20"/>
        </w:rPr>
        <w:t>Secondly, we have already seen that this oracle gives us one of at least five different OT prophecies of the Last Battle.</w:t>
      </w:r>
    </w:p>
    <w:p w14:paraId="2F4D3BCB">
      <w:pPr>
        <w:pStyle w:val="9"/>
        <w:spacing w:before="13" w:line="249" w:lineRule="auto"/>
        <w:ind w:right="98" w:firstLine="450"/>
        <w:rPr>
          <w:rFonts w:hint="eastAsia"/>
          <w:color w:val="231F20"/>
        </w:rPr>
      </w:pPr>
      <w:r>
        <w:rPr>
          <w:rFonts w:hint="eastAsia"/>
          <w:color w:val="231F20"/>
        </w:rPr>
        <w:t>其次，我们已经看到，这个神谕给了我们至少五个关于最后战役的不同旧约预言之一。</w:t>
      </w:r>
    </w:p>
    <w:p w14:paraId="3CBC73BA">
      <w:pPr>
        <w:pStyle w:val="9"/>
        <w:spacing w:before="13" w:line="249" w:lineRule="auto"/>
        <w:ind w:right="98" w:firstLine="450"/>
        <w:rPr>
          <w:rFonts w:hint="eastAsia"/>
          <w:color w:val="231F20"/>
        </w:rPr>
      </w:pPr>
    </w:p>
    <w:p w14:paraId="4D0225BD">
      <w:pPr>
        <w:pStyle w:val="9"/>
        <w:spacing w:before="13" w:line="249" w:lineRule="auto"/>
        <w:ind w:right="98" w:firstLine="450"/>
        <w:rPr>
          <w:rFonts w:hint="eastAsia"/>
          <w:color w:val="231F20"/>
        </w:rPr>
      </w:pPr>
      <w:r>
        <w:rPr>
          <w:rFonts w:hint="eastAsia"/>
          <w:color w:val="231F20"/>
        </w:rPr>
        <w:t>We have also seen that if we interpret them all literally, it is impossible to reconcile the conflicting data.</w:t>
      </w:r>
    </w:p>
    <w:p w14:paraId="1228A25F">
      <w:pPr>
        <w:pStyle w:val="9"/>
        <w:spacing w:before="13" w:line="249" w:lineRule="auto"/>
        <w:ind w:right="98" w:firstLine="450"/>
        <w:rPr>
          <w:rFonts w:hint="eastAsia"/>
          <w:color w:val="231F20"/>
        </w:rPr>
      </w:pPr>
      <w:r>
        <w:rPr>
          <w:rFonts w:hint="eastAsia"/>
          <w:color w:val="231F20"/>
        </w:rPr>
        <w:t>我们也已经看到，如果我们全部按字面意思来解释它们，就不可能调和相互冲突的数据。</w:t>
      </w:r>
    </w:p>
    <w:p w14:paraId="51C29E5F">
      <w:pPr>
        <w:pStyle w:val="9"/>
        <w:spacing w:before="13" w:line="249" w:lineRule="auto"/>
        <w:ind w:right="98" w:firstLine="450"/>
        <w:rPr>
          <w:rFonts w:hint="eastAsia"/>
          <w:color w:val="231F20"/>
        </w:rPr>
      </w:pPr>
    </w:p>
    <w:p w14:paraId="22CF0C58">
      <w:pPr>
        <w:pStyle w:val="9"/>
        <w:spacing w:before="13" w:line="249" w:lineRule="auto"/>
        <w:ind w:right="98" w:firstLine="450"/>
        <w:rPr>
          <w:rFonts w:hint="eastAsia"/>
          <w:color w:val="231F20"/>
        </w:rPr>
      </w:pPr>
      <w:r>
        <w:rPr>
          <w:rFonts w:hint="eastAsia"/>
          <w:color w:val="231F20"/>
        </w:rPr>
        <w:t>Therefore, the only viable solution is to affirm, with the NCH, that in each such prophecy the Spirit is giving us a symbolic—a typologically veiled— revelation of the final clash between the Church and the World, a clash whose true nature is fully disclosed only in the NT.</w:t>
      </w:r>
    </w:p>
    <w:p w14:paraId="24D7D14B">
      <w:pPr>
        <w:pStyle w:val="9"/>
        <w:spacing w:before="13" w:line="249" w:lineRule="auto"/>
        <w:ind w:right="98" w:firstLine="450"/>
        <w:rPr>
          <w:rFonts w:hint="eastAsia"/>
          <w:color w:val="231F20"/>
        </w:rPr>
      </w:pPr>
      <w:r>
        <w:rPr>
          <w:rFonts w:hint="eastAsia"/>
          <w:color w:val="231F20"/>
        </w:rPr>
        <w:t>因此，唯一可行的解决方案是，与新约解释学（NCH）一同肯定，在每一个这样的预言中，圣灵都在给我们一个象征性的——一个预表性地隐藏的——关于教会与世界之间最后冲突的启示，这个冲突的真实性质只有在新约中才被完全揭示。</w:t>
      </w:r>
    </w:p>
    <w:p w14:paraId="491CEC08">
      <w:pPr>
        <w:pStyle w:val="9"/>
        <w:spacing w:before="13" w:line="249" w:lineRule="auto"/>
        <w:ind w:right="98" w:firstLine="450"/>
        <w:rPr>
          <w:rFonts w:hint="eastAsia"/>
          <w:color w:val="231F20"/>
        </w:rPr>
      </w:pPr>
    </w:p>
    <w:p w14:paraId="2AC74B8B">
      <w:pPr>
        <w:pStyle w:val="9"/>
        <w:spacing w:before="13" w:line="249" w:lineRule="auto"/>
        <w:ind w:right="98" w:firstLine="450"/>
        <w:rPr>
          <w:rFonts w:hint="eastAsia"/>
          <w:color w:val="231F20"/>
        </w:rPr>
      </w:pPr>
      <w:r>
        <w:rPr>
          <w:rFonts w:hint="eastAsia"/>
          <w:color w:val="231F20"/>
        </w:rPr>
        <w:t>This approach alone retains the divine inspiration, inerrancy, and perspicuity of Scripture.</w:t>
      </w:r>
    </w:p>
    <w:p w14:paraId="2C911401">
      <w:pPr>
        <w:pStyle w:val="9"/>
        <w:spacing w:before="13" w:line="249" w:lineRule="auto"/>
        <w:ind w:right="98" w:firstLine="450"/>
        <w:rPr>
          <w:rFonts w:hint="eastAsia"/>
          <w:color w:val="231F20"/>
        </w:rPr>
      </w:pPr>
      <w:r>
        <w:rPr>
          <w:rFonts w:hint="eastAsia"/>
          <w:color w:val="231F20"/>
        </w:rPr>
        <w:t>唯有这种方法才能保留圣经的神圣默示、无误性和清晰性。</w:t>
      </w:r>
    </w:p>
    <w:p w14:paraId="0AFD4866">
      <w:pPr>
        <w:pStyle w:val="9"/>
        <w:spacing w:before="13" w:line="249" w:lineRule="auto"/>
        <w:ind w:right="98" w:firstLine="450"/>
        <w:rPr>
          <w:rFonts w:hint="eastAsia"/>
          <w:color w:val="231F20"/>
        </w:rPr>
      </w:pPr>
    </w:p>
    <w:p w14:paraId="234D7492">
      <w:pPr>
        <w:pStyle w:val="9"/>
        <w:spacing w:before="13" w:line="249" w:lineRule="auto"/>
        <w:ind w:right="98" w:firstLine="450"/>
        <w:rPr>
          <w:rFonts w:hint="eastAsia"/>
          <w:color w:val="231F20"/>
        </w:rPr>
      </w:pPr>
      <w:r>
        <w:rPr>
          <w:rFonts w:hint="eastAsia"/>
          <w:color w:val="231F20"/>
        </w:rPr>
        <w:t>Thirdly, there is the problem of anachronisms.</w:t>
      </w:r>
    </w:p>
    <w:p w14:paraId="5200A91D">
      <w:pPr>
        <w:pStyle w:val="9"/>
        <w:spacing w:before="13" w:line="249" w:lineRule="auto"/>
        <w:ind w:right="98" w:firstLine="450"/>
        <w:rPr>
          <w:rFonts w:hint="eastAsia"/>
          <w:color w:val="231F20"/>
        </w:rPr>
      </w:pPr>
      <w:r>
        <w:rPr>
          <w:rFonts w:hint="eastAsia"/>
          <w:color w:val="231F20"/>
        </w:rPr>
        <w:t>第三，存在时代错乱的问题。</w:t>
      </w:r>
    </w:p>
    <w:p w14:paraId="024DB175">
      <w:pPr>
        <w:pStyle w:val="9"/>
        <w:spacing w:before="13" w:line="249" w:lineRule="auto"/>
        <w:ind w:right="98" w:firstLine="450"/>
        <w:rPr>
          <w:rFonts w:hint="eastAsia"/>
          <w:color w:val="231F20"/>
        </w:rPr>
      </w:pPr>
    </w:p>
    <w:p w14:paraId="134B53D7">
      <w:pPr>
        <w:pStyle w:val="9"/>
        <w:spacing w:before="13" w:line="249" w:lineRule="auto"/>
        <w:ind w:right="98" w:firstLine="450"/>
        <w:rPr>
          <w:rFonts w:hint="eastAsia"/>
          <w:color w:val="231F20"/>
        </w:rPr>
      </w:pPr>
      <w:r>
        <w:rPr>
          <w:rFonts w:hint="eastAsia"/>
          <w:color w:val="231F20"/>
        </w:rPr>
        <w:t>Do we really want to say, for example, that in our technologically advanced age the nations of the earth will come up against ethnic Israel riding horses, camels, and donkeys; or that they will bring cattle with them to serve as food (12:4, 14:15)?</w:t>
      </w:r>
    </w:p>
    <w:p w14:paraId="0D70159A">
      <w:pPr>
        <w:pStyle w:val="9"/>
        <w:spacing w:before="13" w:line="249" w:lineRule="auto"/>
        <w:ind w:right="98" w:firstLine="450"/>
        <w:rPr>
          <w:rFonts w:hint="eastAsia"/>
          <w:color w:val="231F20"/>
        </w:rPr>
      </w:pPr>
      <w:r>
        <w:rPr>
          <w:rFonts w:hint="eastAsia"/>
          <w:color w:val="231F20"/>
        </w:rPr>
        <w:t>例如，我们真的想说，在我们这个技术先进的时代，地上的列国会骑着马、骆驼和驴来攻击以色列民族吗？或者说，他们会带着牛来作食物吗 (12:4, 14:15)？</w:t>
      </w:r>
    </w:p>
    <w:p w14:paraId="42224243">
      <w:pPr>
        <w:pStyle w:val="9"/>
        <w:spacing w:before="13" w:line="249" w:lineRule="auto"/>
        <w:ind w:right="98" w:firstLine="450"/>
        <w:rPr>
          <w:rFonts w:hint="eastAsia"/>
          <w:color w:val="231F20"/>
        </w:rPr>
      </w:pPr>
    </w:p>
    <w:p w14:paraId="0FD84929">
      <w:pPr>
        <w:pStyle w:val="9"/>
        <w:spacing w:before="13" w:line="249" w:lineRule="auto"/>
        <w:ind w:right="98" w:firstLine="450"/>
        <w:rPr>
          <w:rFonts w:hint="eastAsia"/>
          <w:color w:val="231F20"/>
        </w:rPr>
      </w:pPr>
      <w:r>
        <w:rPr>
          <w:rFonts w:hint="eastAsia"/>
          <w:color w:val="231F20"/>
        </w:rPr>
        <w:t>Fourthly, there are theological problems.</w:t>
      </w:r>
    </w:p>
    <w:p w14:paraId="6F586FAB">
      <w:pPr>
        <w:pStyle w:val="9"/>
        <w:spacing w:before="13" w:line="249" w:lineRule="auto"/>
        <w:ind w:right="98" w:firstLine="450"/>
        <w:rPr>
          <w:rFonts w:hint="eastAsia"/>
          <w:color w:val="231F20"/>
        </w:rPr>
      </w:pPr>
      <w:r>
        <w:rPr>
          <w:rFonts w:hint="eastAsia"/>
          <w:color w:val="231F20"/>
        </w:rPr>
        <w:t>第四，存在神学问题。</w:t>
      </w:r>
    </w:p>
    <w:p w14:paraId="657FE5AA">
      <w:pPr>
        <w:pStyle w:val="9"/>
        <w:spacing w:before="13" w:line="249" w:lineRule="auto"/>
        <w:ind w:right="98" w:firstLine="450"/>
        <w:rPr>
          <w:rFonts w:hint="eastAsia"/>
          <w:color w:val="231F20"/>
        </w:rPr>
      </w:pPr>
    </w:p>
    <w:p w14:paraId="35E490D5">
      <w:pPr>
        <w:pStyle w:val="9"/>
        <w:spacing w:before="13" w:line="249" w:lineRule="auto"/>
        <w:ind w:right="98" w:firstLine="450"/>
        <w:rPr>
          <w:rFonts w:hint="eastAsia"/>
          <w:color w:val="231F20"/>
        </w:rPr>
      </w:pPr>
      <w:r>
        <w:rPr>
          <w:rFonts w:hint="eastAsia"/>
          <w:color w:val="231F20"/>
        </w:rPr>
        <w:t>How is it that in the Millennium—when Christ himself is allegedly seated upon his throne in Jerusalem—that Israel and the nations will revert to observing the Mosaic Law; a Law that, according to the NT, Christ himself fulfilled and rendered obsolete (Mt. 5:17, Rom. 10:4, Heb. 8:13)?</w:t>
      </w:r>
    </w:p>
    <w:p w14:paraId="005B049E">
      <w:pPr>
        <w:pStyle w:val="9"/>
        <w:spacing w:before="13" w:line="249" w:lineRule="auto"/>
        <w:ind w:right="98" w:firstLine="450"/>
        <w:rPr>
          <w:rFonts w:hint="eastAsia"/>
          <w:color w:val="231F20"/>
        </w:rPr>
      </w:pPr>
      <w:r>
        <w:rPr>
          <w:rFonts w:hint="eastAsia"/>
          <w:color w:val="231F20"/>
        </w:rPr>
        <w:t>在千禧年中——据说基督自己坐在耶路撒冷的宝座上时——以色列和列国怎么会回到遵守摩西律法呢？根据新约，基督自己成全并废除了那律法 (太 5:17, 罗 10:4, 来 8:13)。</w:t>
      </w:r>
    </w:p>
    <w:p w14:paraId="44572118">
      <w:pPr>
        <w:pStyle w:val="9"/>
        <w:spacing w:before="13" w:line="249" w:lineRule="auto"/>
        <w:ind w:right="98" w:firstLine="450"/>
        <w:rPr>
          <w:rFonts w:hint="eastAsia"/>
          <w:color w:val="231F20"/>
        </w:rPr>
      </w:pPr>
    </w:p>
    <w:p w14:paraId="14C2213F">
      <w:pPr>
        <w:pStyle w:val="9"/>
        <w:spacing w:before="13" w:line="249" w:lineRule="auto"/>
        <w:ind w:right="98" w:firstLine="450"/>
        <w:rPr>
          <w:rFonts w:hint="eastAsia"/>
          <w:color w:val="231F20"/>
        </w:rPr>
      </w:pPr>
      <w:r>
        <w:rPr>
          <w:rFonts w:hint="eastAsia"/>
          <w:color w:val="231F20"/>
        </w:rPr>
        <w:t>In particular, will parents really take it upon themselves to administer Mosaic sanctions by executing the false prophet who sprang from their loins (13:2-4; Deut. 18:20, 13:13)?</w:t>
      </w:r>
    </w:p>
    <w:p w14:paraId="1E0FA23A">
      <w:pPr>
        <w:pStyle w:val="9"/>
        <w:spacing w:before="13" w:line="249" w:lineRule="auto"/>
        <w:ind w:right="98" w:firstLine="450"/>
        <w:rPr>
          <w:rFonts w:hint="eastAsia"/>
          <w:color w:val="231F20"/>
        </w:rPr>
      </w:pPr>
      <w:r>
        <w:rPr>
          <w:rFonts w:hint="eastAsia"/>
          <w:color w:val="231F20"/>
        </w:rPr>
        <w:t>特别是，父母真的会亲自执行摩西律法的制裁，处死从他们腰中出来的假先知吗（13:2-4；申 18:20, 13:13）？</w:t>
      </w:r>
    </w:p>
    <w:p w14:paraId="4ADAF0EE">
      <w:pPr>
        <w:pStyle w:val="9"/>
        <w:spacing w:before="13" w:line="249" w:lineRule="auto"/>
        <w:ind w:right="98" w:firstLine="450"/>
        <w:rPr>
          <w:rFonts w:hint="eastAsia"/>
          <w:color w:val="231F20"/>
        </w:rPr>
      </w:pPr>
    </w:p>
    <w:p w14:paraId="7F054B70">
      <w:pPr>
        <w:pStyle w:val="9"/>
        <w:spacing w:before="13" w:line="249" w:lineRule="auto"/>
        <w:ind w:right="98" w:firstLine="450"/>
        <w:rPr>
          <w:rFonts w:hint="eastAsia"/>
          <w:color w:val="231F20"/>
        </w:rPr>
      </w:pPr>
      <w:r>
        <w:rPr>
          <w:rFonts w:hint="eastAsia"/>
          <w:color w:val="231F20"/>
        </w:rPr>
        <w:t>Will the nations really go up to a physical Jerusalem to join ethnic Israel in observing the Feast of Booths (14:16)?</w:t>
      </w:r>
    </w:p>
    <w:p w14:paraId="656AFD1D">
      <w:pPr>
        <w:pStyle w:val="9"/>
        <w:spacing w:before="13" w:line="249" w:lineRule="auto"/>
        <w:ind w:right="98" w:firstLine="450"/>
        <w:rPr>
          <w:rFonts w:hint="eastAsia"/>
          <w:color w:val="231F20"/>
        </w:rPr>
      </w:pPr>
      <w:r>
        <w:rPr>
          <w:rFonts w:hint="eastAsia"/>
          <w:color w:val="231F20"/>
        </w:rPr>
        <w:t>列国真的会到一个物质的耶路撒冷去，与以色列民族一同守住棚节吗（14:16）？</w:t>
      </w:r>
    </w:p>
    <w:p w14:paraId="7897813B">
      <w:pPr>
        <w:pStyle w:val="9"/>
        <w:spacing w:before="13" w:line="249" w:lineRule="auto"/>
        <w:ind w:right="98" w:firstLine="450"/>
        <w:rPr>
          <w:rFonts w:hint="eastAsia"/>
          <w:color w:val="231F20"/>
        </w:rPr>
      </w:pPr>
    </w:p>
    <w:p w14:paraId="397A1AE5">
      <w:pPr>
        <w:pStyle w:val="9"/>
        <w:spacing w:before="13" w:line="249" w:lineRule="auto"/>
        <w:ind w:right="98" w:firstLine="450"/>
        <w:rPr>
          <w:rFonts w:hint="eastAsia"/>
          <w:color w:val="231F20"/>
        </w:rPr>
      </w:pPr>
      <w:r>
        <w:rPr>
          <w:rFonts w:hint="eastAsia"/>
          <w:color w:val="231F20"/>
        </w:rPr>
        <w:t>Will they really bring animal sacrifices to a physical Temple; and will priests really lay those sacrifices upon a physical altar, or boil them in physical cooking pots (14:20-21)?</w:t>
      </w:r>
    </w:p>
    <w:p w14:paraId="337CC3AB">
      <w:pPr>
        <w:pStyle w:val="9"/>
        <w:spacing w:before="13" w:line="249" w:lineRule="auto"/>
        <w:ind w:right="98" w:firstLine="450"/>
        <w:rPr>
          <w:rFonts w:hint="eastAsia"/>
          <w:color w:val="231F20"/>
        </w:rPr>
      </w:pPr>
      <w:r>
        <w:rPr>
          <w:rFonts w:hint="eastAsia"/>
          <w:color w:val="231F20"/>
        </w:rPr>
        <w:t>他们真的会把动物祭物带到一个物质的圣殿吗？祭司真的会把那些祭物放在一个物质的祭坛上，或在物质的锅里煮吗（14:20-21）？</w:t>
      </w:r>
    </w:p>
    <w:p w14:paraId="571F5FF3">
      <w:pPr>
        <w:pStyle w:val="9"/>
        <w:spacing w:before="13" w:line="249" w:lineRule="auto"/>
        <w:ind w:right="98" w:firstLine="450"/>
        <w:rPr>
          <w:rFonts w:hint="eastAsia"/>
          <w:color w:val="231F20"/>
        </w:rPr>
      </w:pPr>
    </w:p>
    <w:p w14:paraId="4E8B332F">
      <w:pPr>
        <w:pStyle w:val="9"/>
        <w:spacing w:before="13" w:line="249" w:lineRule="auto"/>
        <w:ind w:right="98" w:firstLine="450"/>
        <w:rPr>
          <w:rFonts w:hint="eastAsia"/>
          <w:color w:val="231F20"/>
        </w:rPr>
      </w:pPr>
      <w:r>
        <w:rPr>
          <w:rFonts w:hint="eastAsia"/>
          <w:color w:val="231F20"/>
        </w:rPr>
        <w:t>The mind steeped in NT revelation simply cannot bring itself to assent to such propositions.</w:t>
      </w:r>
    </w:p>
    <w:p w14:paraId="53E1311A">
      <w:pPr>
        <w:pStyle w:val="9"/>
        <w:spacing w:before="13" w:line="249" w:lineRule="auto"/>
        <w:ind w:right="98" w:firstLine="450"/>
        <w:rPr>
          <w:rFonts w:hint="eastAsia"/>
          <w:color w:val="231F20"/>
        </w:rPr>
      </w:pPr>
      <w:r>
        <w:rPr>
          <w:rFonts w:hint="eastAsia"/>
          <w:color w:val="231F20"/>
        </w:rPr>
        <w:t>一个沉浸在新约启示中的头脑，根本无法同意这样的主张。</w:t>
      </w:r>
    </w:p>
    <w:p w14:paraId="7E77C862">
      <w:pPr>
        <w:pStyle w:val="9"/>
        <w:spacing w:before="13" w:line="249" w:lineRule="auto"/>
        <w:ind w:right="98" w:firstLine="450"/>
        <w:rPr>
          <w:rFonts w:hint="eastAsia"/>
          <w:color w:val="231F20"/>
        </w:rPr>
      </w:pPr>
    </w:p>
    <w:p w14:paraId="0F320089">
      <w:pPr>
        <w:pStyle w:val="9"/>
        <w:spacing w:before="13" w:line="249" w:lineRule="auto"/>
        <w:ind w:right="98" w:firstLine="450"/>
        <w:rPr>
          <w:rFonts w:hint="eastAsia"/>
          <w:color w:val="231F20"/>
        </w:rPr>
      </w:pPr>
      <w:r>
        <w:rPr>
          <w:rFonts w:hint="eastAsia"/>
          <w:color w:val="231F20"/>
        </w:rPr>
        <w:t>Instead, it looks immediately and instinctively for NT antitypes; for the NT spiritual realities of which all these mysterious pictures are OT types, shadows, and symbols.</w:t>
      </w:r>
    </w:p>
    <w:p w14:paraId="71AD76D2">
      <w:pPr>
        <w:pStyle w:val="9"/>
        <w:spacing w:before="13" w:line="249" w:lineRule="auto"/>
        <w:ind w:right="98" w:firstLine="450"/>
        <w:rPr>
          <w:rFonts w:hint="eastAsia"/>
          <w:color w:val="231F20"/>
        </w:rPr>
      </w:pPr>
      <w:r>
        <w:rPr>
          <w:rFonts w:hint="eastAsia"/>
          <w:color w:val="231F20"/>
        </w:rPr>
        <w:t>相反，它会立即并本能地寻找新约的预表实体；寻找所有这些神秘图画所代表的旧约预表、影像和象征的新约属灵现实。</w:t>
      </w:r>
    </w:p>
    <w:p w14:paraId="5EF3998E">
      <w:pPr>
        <w:pStyle w:val="9"/>
        <w:spacing w:before="13" w:line="249" w:lineRule="auto"/>
        <w:ind w:right="98" w:firstLine="450"/>
        <w:rPr>
          <w:rFonts w:hint="eastAsia"/>
          <w:color w:val="231F20"/>
        </w:rPr>
      </w:pPr>
    </w:p>
    <w:p w14:paraId="2F583CD5">
      <w:pPr>
        <w:pStyle w:val="9"/>
        <w:spacing w:before="13" w:line="249" w:lineRule="auto"/>
        <w:ind w:right="98" w:firstLine="450"/>
        <w:rPr>
          <w:rFonts w:hint="eastAsia"/>
          <w:color w:val="231F20"/>
        </w:rPr>
      </w:pPr>
      <w:r>
        <w:rPr>
          <w:rFonts w:hint="eastAsia"/>
          <w:color w:val="231F20"/>
        </w:rPr>
        <w:t>Finally, what about the bearing of the rest of the book upon the interpretation of this particular oracle?</w:t>
      </w:r>
    </w:p>
    <w:p w14:paraId="760B51E4">
      <w:pPr>
        <w:pStyle w:val="9"/>
        <w:spacing w:before="13" w:line="249" w:lineRule="auto"/>
        <w:ind w:right="98" w:firstLine="450"/>
        <w:rPr>
          <w:rFonts w:hint="eastAsia"/>
          <w:color w:val="231F20"/>
        </w:rPr>
      </w:pPr>
      <w:r>
        <w:rPr>
          <w:rFonts w:hint="eastAsia"/>
          <w:color w:val="231F20"/>
        </w:rPr>
        <w:t>最后，关于这本书的其余部分对此特定神谕解释的影响如何？</w:t>
      </w:r>
    </w:p>
    <w:p w14:paraId="1D46E831">
      <w:pPr>
        <w:pStyle w:val="9"/>
        <w:spacing w:before="13" w:line="249" w:lineRule="auto"/>
        <w:ind w:right="98" w:firstLine="450"/>
        <w:rPr>
          <w:rFonts w:hint="eastAsia"/>
          <w:color w:val="231F20"/>
        </w:rPr>
      </w:pPr>
    </w:p>
    <w:p w14:paraId="6D516C16">
      <w:pPr>
        <w:pStyle w:val="9"/>
        <w:spacing w:before="13" w:line="249" w:lineRule="auto"/>
        <w:ind w:right="98" w:firstLine="450"/>
        <w:rPr>
          <w:rFonts w:hint="eastAsia"/>
          <w:color w:val="231F20"/>
        </w:rPr>
      </w:pPr>
      <w:r>
        <w:rPr>
          <w:rFonts w:hint="eastAsia"/>
          <w:color w:val="231F20"/>
        </w:rPr>
        <w:t>Was there ever an OT prophet whose writing more fully embodied the “apocalyptic” mode of divine revelation than Zechariah?</w:t>
      </w:r>
    </w:p>
    <w:p w14:paraId="4500C3A9">
      <w:pPr>
        <w:pStyle w:val="9"/>
        <w:spacing w:before="13" w:line="249" w:lineRule="auto"/>
        <w:ind w:right="98" w:firstLine="450"/>
        <w:rPr>
          <w:rFonts w:hint="eastAsia"/>
          <w:color w:val="231F20"/>
        </w:rPr>
      </w:pPr>
      <w:r>
        <w:rPr>
          <w:rFonts w:hint="eastAsia"/>
          <w:color w:val="231F20"/>
        </w:rPr>
        <w:t>曾有哪位旧约先知的写作比撒迦利亚更充分地体现了神圣启示的“启示文学”模式吗？</w:t>
      </w:r>
    </w:p>
    <w:p w14:paraId="3562AA44">
      <w:pPr>
        <w:pStyle w:val="9"/>
        <w:spacing w:before="13" w:line="249" w:lineRule="auto"/>
        <w:ind w:right="98" w:firstLine="450"/>
        <w:rPr>
          <w:rFonts w:hint="eastAsia"/>
          <w:color w:val="231F20"/>
        </w:rPr>
      </w:pPr>
    </w:p>
    <w:p w14:paraId="09260180">
      <w:pPr>
        <w:pStyle w:val="9"/>
        <w:spacing w:before="13" w:line="249" w:lineRule="auto"/>
        <w:ind w:right="98" w:firstLine="450"/>
        <w:rPr>
          <w:rFonts w:hint="eastAsia"/>
          <w:color w:val="231F20"/>
        </w:rPr>
      </w:pPr>
      <w:r>
        <w:rPr>
          <w:rFonts w:hint="eastAsia"/>
          <w:color w:val="231F20"/>
        </w:rPr>
        <w:t>Was there ever a prophet who more consistently edified and encouraged God’s OT people by clothing his great eschatological revelations in vision and symbol?</w:t>
      </w:r>
    </w:p>
    <w:p w14:paraId="5593480F">
      <w:pPr>
        <w:pStyle w:val="9"/>
        <w:spacing w:before="13" w:line="249" w:lineRule="auto"/>
        <w:ind w:right="98" w:firstLine="450"/>
        <w:rPr>
          <w:rFonts w:hint="eastAsia"/>
          <w:color w:val="231F20"/>
        </w:rPr>
      </w:pPr>
      <w:r>
        <w:rPr>
          <w:rFonts w:hint="eastAsia"/>
          <w:color w:val="231F20"/>
        </w:rPr>
        <w:t>曾有哪位先知比他更一贯地用异象和象征来包装他伟大的末世论启示，从而造就和鼓励神的旧约子民吗？</w:t>
      </w:r>
    </w:p>
    <w:p w14:paraId="3CC2A8D2">
      <w:pPr>
        <w:pStyle w:val="9"/>
        <w:spacing w:before="13" w:line="249" w:lineRule="auto"/>
        <w:ind w:right="98" w:firstLine="450"/>
        <w:rPr>
          <w:rFonts w:hint="eastAsia"/>
          <w:color w:val="231F20"/>
        </w:rPr>
      </w:pPr>
    </w:p>
    <w:p w14:paraId="56E3963E">
      <w:pPr>
        <w:pStyle w:val="9"/>
        <w:spacing w:before="13" w:line="249" w:lineRule="auto"/>
        <w:ind w:right="98" w:firstLine="450"/>
        <w:rPr>
          <w:rFonts w:hint="eastAsia"/>
          <w:color w:val="231F20"/>
        </w:rPr>
      </w:pPr>
      <w:r>
        <w:rPr>
          <w:rFonts w:hint="eastAsia"/>
          <w:color w:val="231F20"/>
        </w:rPr>
        <w:t>If, as all agree, the first half of Zechariah’s book (Zech. 1-8) is completely devoted to eight mystical visions loaded with Messianic and Kingdom symbolism, is it not likely that the second half of the book (Zech. 9-14), which is devoted to two great prophetic oracles, is loaded with Messianic and Kingdom symbolism, as well?</w:t>
      </w:r>
    </w:p>
    <w:p w14:paraId="27D2738D">
      <w:pPr>
        <w:pStyle w:val="9"/>
        <w:spacing w:before="13" w:line="249" w:lineRule="auto"/>
        <w:ind w:right="98" w:firstLine="450"/>
        <w:rPr>
          <w:rFonts w:hint="eastAsia"/>
          <w:color w:val="231F20"/>
        </w:rPr>
      </w:pPr>
      <w:r>
        <w:rPr>
          <w:rFonts w:hint="eastAsia"/>
          <w:color w:val="231F20"/>
        </w:rPr>
        <w:t>如果，正如所有人所同意的，撒迦利亚书的前半部分（亚 1-8）完全是关于八个充满弥赛亚和国度象征主义的神秘异象，那么这本书的后半部分（亚 9-14），即关于两个伟大的预言神谕，是否也可能充满了弥赛亚和国度的象征主义呢？</w:t>
      </w:r>
    </w:p>
    <w:p w14:paraId="77A1214A">
      <w:pPr>
        <w:pStyle w:val="9"/>
        <w:spacing w:before="13" w:line="249" w:lineRule="auto"/>
        <w:ind w:right="98" w:firstLine="450"/>
        <w:rPr>
          <w:rFonts w:hint="eastAsia"/>
          <w:color w:val="231F20"/>
        </w:rPr>
      </w:pPr>
    </w:p>
    <w:p w14:paraId="41EEE6FE">
      <w:pPr>
        <w:pStyle w:val="9"/>
        <w:spacing w:before="13" w:line="249" w:lineRule="auto"/>
        <w:ind w:right="98" w:firstLine="450"/>
        <w:rPr>
          <w:rFonts w:hint="eastAsia"/>
          <w:color w:val="231F20"/>
        </w:rPr>
      </w:pPr>
      <w:r>
        <w:rPr>
          <w:rFonts w:hint="eastAsia"/>
          <w:color w:val="231F20"/>
        </w:rPr>
        <w:t>Indeed, since the first half of the book also contains a number of prophecies, and the second half also contains a number of visions, is it not clear that the whole book is apocalyptic through and through, and that we must therefore interpret it symbolically, rather than literally?</w:t>
      </w:r>
    </w:p>
    <w:p w14:paraId="72EBFB8A">
      <w:pPr>
        <w:pStyle w:val="9"/>
        <w:spacing w:before="13" w:line="249" w:lineRule="auto"/>
        <w:ind w:right="98" w:firstLine="450"/>
        <w:rPr>
          <w:rFonts w:hint="eastAsia"/>
          <w:color w:val="231F20"/>
        </w:rPr>
      </w:pPr>
      <w:r>
        <w:rPr>
          <w:rFonts w:hint="eastAsia"/>
          <w:color w:val="231F20"/>
        </w:rPr>
        <w:t>的确，既然书的前半部分也包含了一些预言，后半部分也包含了一些异象，那么整本书从头到尾都是启示文学的，我们因此必须象征性地而非字面地来解释它，这不是很清楚吗？</w:t>
      </w:r>
    </w:p>
    <w:p w14:paraId="54161937">
      <w:pPr>
        <w:pStyle w:val="9"/>
        <w:spacing w:before="13" w:line="249" w:lineRule="auto"/>
        <w:ind w:right="98" w:firstLine="450"/>
        <w:rPr>
          <w:rFonts w:hint="eastAsia"/>
          <w:color w:val="231F20"/>
        </w:rPr>
      </w:pPr>
    </w:p>
    <w:p w14:paraId="11ABC4E8">
      <w:pPr>
        <w:pStyle w:val="9"/>
        <w:spacing w:before="13" w:line="249" w:lineRule="auto"/>
        <w:ind w:right="98" w:firstLine="450"/>
        <w:rPr>
          <w:rFonts w:hint="eastAsia"/>
          <w:color w:val="231F20"/>
        </w:rPr>
      </w:pPr>
      <w:r>
        <w:rPr>
          <w:rFonts w:hint="eastAsia"/>
          <w:color w:val="231F20"/>
        </w:rPr>
        <w:t>We conclude, then, from evidence found both in the OT and the New, that premillennial interpretations of Zechariah 12-14 are fatally flawed, and that our only hope of penetrating to the deep meaning of this great oracle lies in the skillful use of the NCH.</w:t>
      </w:r>
    </w:p>
    <w:p w14:paraId="521850D1">
      <w:pPr>
        <w:pStyle w:val="9"/>
        <w:spacing w:before="13" w:line="249" w:lineRule="auto"/>
        <w:ind w:right="98" w:firstLine="450"/>
        <w:rPr>
          <w:rFonts w:hint="eastAsia"/>
          <w:color w:val="231F20"/>
        </w:rPr>
      </w:pPr>
      <w:r>
        <w:rPr>
          <w:rFonts w:hint="eastAsia"/>
          <w:color w:val="231F20"/>
        </w:rPr>
        <w:t>因此，我们从旧约和新约中找到的证据得出结论，对撒迦利亚书12-14章的前千禧年论解释是有致命缺陷的，我们唯一能深入理解这伟大神谕深层含义的希望，在于娴熟地运用新约解释学。</w:t>
      </w:r>
    </w:p>
    <w:p w14:paraId="3B5E9062">
      <w:pPr>
        <w:pStyle w:val="9"/>
        <w:spacing w:before="13" w:line="249" w:lineRule="auto"/>
        <w:ind w:right="98" w:firstLine="450"/>
        <w:rPr>
          <w:rFonts w:hint="eastAsia"/>
          <w:color w:val="231F20"/>
        </w:rPr>
      </w:pPr>
    </w:p>
    <w:p w14:paraId="4D63EBB7">
      <w:pPr>
        <w:pStyle w:val="9"/>
        <w:spacing w:before="13" w:line="249" w:lineRule="auto"/>
        <w:ind w:right="98" w:firstLine="450"/>
        <w:rPr>
          <w:rFonts w:hint="eastAsia"/>
          <w:color w:val="231F20"/>
        </w:rPr>
      </w:pPr>
      <w:r>
        <w:rPr>
          <w:rFonts w:hint="eastAsia"/>
          <w:color w:val="231F20"/>
        </w:rPr>
        <w:t>In a moment, we will attempt this very thing.</w:t>
      </w:r>
    </w:p>
    <w:p w14:paraId="760F0D4D">
      <w:pPr>
        <w:pStyle w:val="9"/>
        <w:spacing w:before="13" w:line="249" w:lineRule="auto"/>
        <w:ind w:right="98" w:firstLine="450"/>
        <w:rPr>
          <w:rFonts w:hint="eastAsia"/>
          <w:color w:val="231F20"/>
        </w:rPr>
      </w:pPr>
      <w:r>
        <w:rPr>
          <w:rFonts w:hint="eastAsia"/>
          <w:color w:val="231F20"/>
        </w:rPr>
        <w:t>片刻之后，我们将尝试这件事。</w:t>
      </w:r>
    </w:p>
    <w:p w14:paraId="07211C71">
      <w:pPr>
        <w:pStyle w:val="9"/>
        <w:spacing w:before="13" w:line="249" w:lineRule="auto"/>
        <w:ind w:right="98" w:firstLine="450"/>
        <w:rPr>
          <w:rFonts w:hint="eastAsia"/>
          <w:color w:val="231F20"/>
        </w:rPr>
      </w:pPr>
    </w:p>
    <w:p w14:paraId="6FB1FEF0">
      <w:pPr>
        <w:pStyle w:val="9"/>
        <w:spacing w:before="13" w:line="249" w:lineRule="auto"/>
        <w:ind w:right="98" w:firstLine="450"/>
        <w:rPr>
          <w:rFonts w:hint="eastAsia"/>
          <w:color w:val="231F20"/>
        </w:rPr>
      </w:pPr>
      <w:r>
        <w:rPr>
          <w:rFonts w:hint="eastAsia"/>
          <w:color w:val="231F20"/>
        </w:rPr>
        <w:t>First, however, I must offer one further introductory word.</w:t>
      </w:r>
    </w:p>
    <w:p w14:paraId="4419FD1C">
      <w:pPr>
        <w:pStyle w:val="9"/>
        <w:spacing w:before="13" w:line="249" w:lineRule="auto"/>
        <w:ind w:right="98" w:firstLine="450"/>
        <w:rPr>
          <w:rFonts w:hint="eastAsia"/>
          <w:color w:val="231F20"/>
        </w:rPr>
      </w:pPr>
      <w:r>
        <w:rPr>
          <w:rFonts w:hint="eastAsia"/>
          <w:color w:val="231F20"/>
        </w:rPr>
        <w:t>然而，首先，我必须再作一个引言。</w:t>
      </w:r>
    </w:p>
    <w:p w14:paraId="086EE6B2">
      <w:pPr>
        <w:pStyle w:val="9"/>
        <w:spacing w:before="13" w:line="249" w:lineRule="auto"/>
        <w:ind w:right="98" w:firstLine="450"/>
        <w:rPr>
          <w:rFonts w:hint="eastAsia"/>
          <w:color w:val="231F20"/>
        </w:rPr>
      </w:pPr>
    </w:p>
    <w:p w14:paraId="354762E2">
      <w:pPr>
        <w:pStyle w:val="9"/>
        <w:spacing w:before="13" w:line="249" w:lineRule="auto"/>
        <w:ind w:right="98" w:firstLine="450"/>
        <w:rPr>
          <w:rFonts w:hint="eastAsia"/>
          <w:color w:val="231F20"/>
        </w:rPr>
      </w:pPr>
      <w:r>
        <w:rPr>
          <w:rFonts w:hint="eastAsia"/>
          <w:color w:val="231F20"/>
        </w:rPr>
        <w:t>Snapshots Ahead</w:t>
      </w:r>
    </w:p>
    <w:p w14:paraId="11D5602C">
      <w:pPr>
        <w:pStyle w:val="9"/>
        <w:spacing w:before="13" w:line="249" w:lineRule="auto"/>
        <w:ind w:right="98" w:firstLine="450"/>
        <w:rPr>
          <w:rFonts w:hint="eastAsia"/>
          <w:color w:val="231F20"/>
        </w:rPr>
      </w:pPr>
      <w:r>
        <w:rPr>
          <w:rFonts w:hint="eastAsia"/>
          <w:color w:val="231F20"/>
        </w:rPr>
        <w:t>前方的快照</w:t>
      </w:r>
    </w:p>
    <w:p w14:paraId="4F89E74C">
      <w:pPr>
        <w:pStyle w:val="9"/>
        <w:spacing w:before="13" w:line="249" w:lineRule="auto"/>
        <w:ind w:right="98" w:firstLine="450"/>
        <w:rPr>
          <w:rFonts w:hint="eastAsia"/>
          <w:color w:val="231F20"/>
        </w:rPr>
      </w:pPr>
    </w:p>
    <w:p w14:paraId="04FB922D">
      <w:pPr>
        <w:pStyle w:val="9"/>
        <w:spacing w:before="13" w:line="249" w:lineRule="auto"/>
        <w:ind w:right="98" w:firstLine="450"/>
        <w:rPr>
          <w:rFonts w:hint="eastAsia"/>
          <w:color w:val="231F20"/>
        </w:rPr>
      </w:pPr>
      <w:r>
        <w:rPr>
          <w:rFonts w:hint="eastAsia"/>
          <w:color w:val="231F20"/>
        </w:rPr>
        <w:t>As mentioned above, Zechariah’s final oracle is composed of a series of prophetic “snapshots.”</w:t>
      </w:r>
    </w:p>
    <w:p w14:paraId="72EACDBF">
      <w:pPr>
        <w:pStyle w:val="9"/>
        <w:spacing w:before="13" w:line="249" w:lineRule="auto"/>
        <w:ind w:right="98" w:firstLine="450"/>
        <w:rPr>
          <w:rFonts w:hint="eastAsia"/>
          <w:color w:val="231F20"/>
        </w:rPr>
      </w:pPr>
      <w:r>
        <w:rPr>
          <w:rFonts w:hint="eastAsia"/>
          <w:color w:val="231F20"/>
        </w:rPr>
        <w:t>如上所述，撒迦利亚的最后神谕是由一系列预言性的“快照”组成的。</w:t>
      </w:r>
    </w:p>
    <w:p w14:paraId="298CBEA3">
      <w:pPr>
        <w:pStyle w:val="9"/>
        <w:spacing w:before="13" w:line="249" w:lineRule="auto"/>
        <w:ind w:right="98" w:firstLine="450"/>
        <w:rPr>
          <w:rFonts w:hint="eastAsia"/>
          <w:color w:val="231F20"/>
        </w:rPr>
      </w:pPr>
    </w:p>
    <w:p w14:paraId="2595D0F1">
      <w:pPr>
        <w:pStyle w:val="9"/>
        <w:spacing w:before="13" w:line="249" w:lineRule="auto"/>
        <w:ind w:right="98" w:firstLine="450"/>
        <w:rPr>
          <w:rFonts w:hint="eastAsia"/>
          <w:color w:val="231F20"/>
        </w:rPr>
      </w:pPr>
      <w:r>
        <w:rPr>
          <w:rFonts w:hint="eastAsia"/>
          <w:color w:val="231F20"/>
        </w:rPr>
        <w:t>The Reformation Study Bible explains it this way:</w:t>
      </w:r>
    </w:p>
    <w:p w14:paraId="4FB1A9CD">
      <w:pPr>
        <w:pStyle w:val="9"/>
        <w:spacing w:before="13" w:line="249" w:lineRule="auto"/>
        <w:ind w:right="98" w:firstLine="450"/>
        <w:rPr>
          <w:rFonts w:hint="eastAsia"/>
          <w:color w:val="231F20"/>
        </w:rPr>
      </w:pPr>
      <w:r>
        <w:rPr>
          <w:rFonts w:hint="eastAsia"/>
          <w:color w:val="231F20"/>
        </w:rPr>
        <w:t>《宗教改革研读本圣经》这样解释：</w:t>
      </w:r>
    </w:p>
    <w:p w14:paraId="25DC33B4">
      <w:pPr>
        <w:pStyle w:val="9"/>
        <w:spacing w:before="13" w:line="249" w:lineRule="auto"/>
        <w:ind w:right="98" w:firstLine="450"/>
        <w:rPr>
          <w:rFonts w:hint="eastAsia"/>
          <w:color w:val="231F20"/>
        </w:rPr>
      </w:pPr>
    </w:p>
    <w:p w14:paraId="6A42A5DD">
      <w:pPr>
        <w:pStyle w:val="9"/>
        <w:spacing w:before="13" w:line="249" w:lineRule="auto"/>
        <w:ind w:right="98" w:firstLine="450"/>
        <w:rPr>
          <w:rFonts w:hint="eastAsia"/>
          <w:color w:val="231F20"/>
        </w:rPr>
      </w:pPr>
      <w:r>
        <w:rPr>
          <w:rFonts w:hint="eastAsia"/>
          <w:color w:val="231F20"/>
        </w:rPr>
        <w:t>Our understanding of the teaching of Zechariah is greatly helped when we recognize that the prophet gives pictures of the future in snapshot fashion, in which the pictures are not placed in any particular sequence.</w:t>
      </w:r>
    </w:p>
    <w:p w14:paraId="12339FB5">
      <w:pPr>
        <w:pStyle w:val="9"/>
        <w:spacing w:before="13" w:line="249" w:lineRule="auto"/>
        <w:ind w:right="98" w:firstLine="450"/>
        <w:rPr>
          <w:rFonts w:hint="eastAsia"/>
          <w:color w:val="231F20"/>
        </w:rPr>
      </w:pPr>
      <w:r>
        <w:rPr>
          <w:rFonts w:hint="eastAsia"/>
          <w:color w:val="231F20"/>
        </w:rPr>
        <w:t>当我们认识到先知以快照的方式给出未来的图画，并且这些图画并非按任何特定顺序排列时，我们对撒迦利亚教导的理解就会得到极大的帮助。</w:t>
      </w:r>
    </w:p>
    <w:p w14:paraId="2E2FB8EA">
      <w:pPr>
        <w:pStyle w:val="9"/>
        <w:spacing w:before="13" w:line="249" w:lineRule="auto"/>
        <w:ind w:right="98" w:firstLine="450"/>
        <w:rPr>
          <w:rFonts w:hint="eastAsia"/>
          <w:color w:val="231F20"/>
        </w:rPr>
      </w:pPr>
    </w:p>
    <w:p w14:paraId="2F1D2CCB">
      <w:pPr>
        <w:pStyle w:val="9"/>
        <w:spacing w:before="13" w:line="249" w:lineRule="auto"/>
        <w:ind w:right="98" w:firstLine="450"/>
        <w:rPr>
          <w:rFonts w:hint="eastAsia"/>
          <w:color w:val="231F20"/>
        </w:rPr>
      </w:pPr>
      <w:r>
        <w:rPr>
          <w:rFonts w:hint="eastAsia"/>
          <w:color w:val="231F20"/>
        </w:rPr>
        <w:t>When we read a passage, we see only what is happening in that snapshot, not how it relates to the other snapshots.2</w:t>
      </w:r>
    </w:p>
    <w:p w14:paraId="0F35BA18">
      <w:pPr>
        <w:pStyle w:val="9"/>
        <w:spacing w:before="13" w:line="249" w:lineRule="auto"/>
        <w:ind w:right="98" w:firstLine="450"/>
        <w:rPr>
          <w:rFonts w:hint="eastAsia"/>
          <w:color w:val="231F20"/>
        </w:rPr>
      </w:pPr>
      <w:r>
        <w:rPr>
          <w:rFonts w:hint="eastAsia"/>
          <w:color w:val="231F20"/>
        </w:rPr>
        <w:t>当我们阅读一段经文时，我们只看到那个快照中发生的事情，而不是它与其他快照的关系。2</w:t>
      </w:r>
    </w:p>
    <w:p w14:paraId="4EC9EEC2">
      <w:pPr>
        <w:pStyle w:val="9"/>
        <w:spacing w:before="13" w:line="249" w:lineRule="auto"/>
        <w:ind w:right="98" w:firstLine="450"/>
        <w:rPr>
          <w:rFonts w:hint="eastAsia"/>
          <w:color w:val="231F20"/>
        </w:rPr>
      </w:pPr>
    </w:p>
    <w:p w14:paraId="400C4ABB">
      <w:pPr>
        <w:pStyle w:val="9"/>
        <w:spacing w:before="13" w:line="249" w:lineRule="auto"/>
        <w:ind w:right="98" w:firstLine="450"/>
        <w:rPr>
          <w:rFonts w:hint="eastAsia"/>
          <w:color w:val="231F20"/>
        </w:rPr>
      </w:pPr>
      <w:r>
        <w:rPr>
          <w:rFonts w:hint="eastAsia"/>
          <w:color w:val="231F20"/>
        </w:rPr>
        <w:t>In this helpful observation, the key word is sequence.</w:t>
      </w:r>
    </w:p>
    <w:p w14:paraId="54F04C7B">
      <w:pPr>
        <w:pStyle w:val="9"/>
        <w:spacing w:before="13" w:line="249" w:lineRule="auto"/>
        <w:ind w:right="98" w:firstLine="450"/>
        <w:rPr>
          <w:rFonts w:hint="eastAsia"/>
          <w:color w:val="231F20"/>
        </w:rPr>
      </w:pPr>
      <w:r>
        <w:rPr>
          <w:rFonts w:hint="eastAsia"/>
          <w:color w:val="231F20"/>
        </w:rPr>
        <w:t>在这个有益的观察中，关键词是“顺序”。</w:t>
      </w:r>
    </w:p>
    <w:p w14:paraId="77733F16">
      <w:pPr>
        <w:pStyle w:val="9"/>
        <w:spacing w:before="13" w:line="249" w:lineRule="auto"/>
        <w:ind w:right="98" w:firstLine="450"/>
        <w:rPr>
          <w:rFonts w:hint="eastAsia"/>
          <w:color w:val="231F20"/>
        </w:rPr>
      </w:pPr>
    </w:p>
    <w:p w14:paraId="305139E7">
      <w:pPr>
        <w:pStyle w:val="9"/>
        <w:spacing w:before="13" w:line="249" w:lineRule="auto"/>
        <w:ind w:right="98" w:firstLine="450"/>
        <w:rPr>
          <w:rFonts w:hint="eastAsia"/>
          <w:color w:val="231F20"/>
        </w:rPr>
      </w:pPr>
      <w:r>
        <w:rPr>
          <w:rFonts w:hint="eastAsia"/>
          <w:color w:val="231F20"/>
        </w:rPr>
        <w:t>Yes, the snapshots are related, but thematically, rather than chronologically.</w:t>
      </w:r>
    </w:p>
    <w:p w14:paraId="4EF6125C">
      <w:pPr>
        <w:pStyle w:val="9"/>
        <w:spacing w:before="13" w:line="249" w:lineRule="auto"/>
        <w:ind w:right="98" w:firstLine="450"/>
        <w:rPr>
          <w:rFonts w:hint="eastAsia"/>
          <w:color w:val="231F20"/>
        </w:rPr>
      </w:pPr>
      <w:r>
        <w:rPr>
          <w:rFonts w:hint="eastAsia"/>
          <w:color w:val="231F20"/>
        </w:rPr>
        <w:t>是的，这些快照是相关的，但是主题上的，而不是时间上的。</w:t>
      </w:r>
    </w:p>
    <w:p w14:paraId="63F72765">
      <w:pPr>
        <w:pStyle w:val="9"/>
        <w:spacing w:before="13" w:line="249" w:lineRule="auto"/>
        <w:ind w:right="98" w:firstLine="450"/>
        <w:rPr>
          <w:rFonts w:hint="eastAsia"/>
          <w:color w:val="231F20"/>
        </w:rPr>
      </w:pPr>
    </w:p>
    <w:p w14:paraId="6637BF96">
      <w:pPr>
        <w:pStyle w:val="9"/>
        <w:spacing w:before="13" w:line="249" w:lineRule="auto"/>
        <w:ind w:right="98" w:firstLine="450"/>
        <w:rPr>
          <w:rFonts w:hint="eastAsia"/>
          <w:color w:val="231F20"/>
        </w:rPr>
      </w:pPr>
      <w:r>
        <w:rPr>
          <w:rFonts w:hint="eastAsia"/>
          <w:color w:val="231F20"/>
        </w:rPr>
        <w:t>We see this vividly in the frequent appearance of the eschatological marker “in that Day.”</w:t>
      </w:r>
    </w:p>
    <w:p w14:paraId="2B53088F">
      <w:pPr>
        <w:pStyle w:val="9"/>
        <w:spacing w:before="13" w:line="249" w:lineRule="auto"/>
        <w:ind w:right="98" w:firstLine="450"/>
        <w:rPr>
          <w:rFonts w:hint="eastAsia"/>
          <w:color w:val="231F20"/>
        </w:rPr>
      </w:pPr>
      <w:r>
        <w:rPr>
          <w:rFonts w:hint="eastAsia"/>
          <w:color w:val="231F20"/>
        </w:rPr>
        <w:t>我们在末世论标记“那日”的频繁出现中生动地看到了这一点。</w:t>
      </w:r>
    </w:p>
    <w:p w14:paraId="5440E862">
      <w:pPr>
        <w:pStyle w:val="9"/>
        <w:spacing w:before="13" w:line="249" w:lineRule="auto"/>
        <w:ind w:right="98" w:firstLine="450"/>
        <w:rPr>
          <w:rFonts w:hint="eastAsia"/>
          <w:color w:val="231F20"/>
        </w:rPr>
      </w:pPr>
    </w:p>
    <w:p w14:paraId="65781AD6">
      <w:pPr>
        <w:pStyle w:val="9"/>
        <w:spacing w:before="13" w:line="249" w:lineRule="auto"/>
        <w:ind w:right="98" w:firstLine="450"/>
        <w:rPr>
          <w:rFonts w:hint="eastAsia"/>
          <w:color w:val="231F20"/>
        </w:rPr>
      </w:pPr>
      <w:r>
        <w:rPr>
          <w:rFonts w:hint="eastAsia"/>
          <w:color w:val="231F20"/>
        </w:rPr>
        <w:t>Through the use of this expression, the Spirit is letting us know that he is now speaking of the two-staged Kingdom of God and Christ.</w:t>
      </w:r>
    </w:p>
    <w:p w14:paraId="42C57D40">
      <w:pPr>
        <w:pStyle w:val="9"/>
        <w:spacing w:before="13" w:line="249" w:lineRule="auto"/>
        <w:ind w:right="98" w:firstLine="450"/>
        <w:rPr>
          <w:rFonts w:hint="eastAsia"/>
          <w:color w:val="231F20"/>
        </w:rPr>
      </w:pPr>
      <w:r>
        <w:rPr>
          <w:rFonts w:hint="eastAsia"/>
          <w:color w:val="231F20"/>
        </w:rPr>
        <w:t>通过使用这个表达，圣灵让我们知道祂现在正在讲论神和基督的两阶段国度。</w:t>
      </w:r>
    </w:p>
    <w:p w14:paraId="57C34EFF">
      <w:pPr>
        <w:pStyle w:val="9"/>
        <w:spacing w:before="13" w:line="249" w:lineRule="auto"/>
        <w:ind w:right="98" w:firstLine="450"/>
        <w:rPr>
          <w:rFonts w:hint="eastAsia"/>
          <w:color w:val="231F20"/>
        </w:rPr>
      </w:pPr>
    </w:p>
    <w:p w14:paraId="4F67AD72">
      <w:pPr>
        <w:pStyle w:val="9"/>
        <w:spacing w:before="13" w:line="249" w:lineRule="auto"/>
        <w:ind w:right="98" w:firstLine="450"/>
        <w:rPr>
          <w:rFonts w:hint="eastAsia"/>
          <w:color w:val="231F20"/>
        </w:rPr>
      </w:pPr>
      <w:r>
        <w:rPr>
          <w:rFonts w:hint="eastAsia"/>
          <w:color w:val="231F20"/>
        </w:rPr>
        <w:t>But through its use he is also letting us know that he is now giving us yet another cameo; yet another fresh miniature portrait of some event or characteristic of life proper to that (particular stage of the) Kingdom.</w:t>
      </w:r>
    </w:p>
    <w:p w14:paraId="1279BBDD">
      <w:pPr>
        <w:pStyle w:val="9"/>
        <w:spacing w:before="13" w:line="249" w:lineRule="auto"/>
        <w:ind w:right="98" w:firstLine="450"/>
        <w:rPr>
          <w:rFonts w:hint="eastAsia"/>
          <w:color w:val="231F20"/>
        </w:rPr>
      </w:pPr>
      <w:r>
        <w:rPr>
          <w:rFonts w:hint="eastAsia"/>
          <w:color w:val="231F20"/>
        </w:rPr>
        <w:t>但通过它的使用，祂也让我们知道，祂现在正在给我们另一个客串；另一个关于那个（国度特定阶段）生命中某个事件或特征的崭新微型肖像。</w:t>
      </w:r>
    </w:p>
    <w:p w14:paraId="2019CA85">
      <w:pPr>
        <w:pStyle w:val="9"/>
        <w:spacing w:before="13" w:line="249" w:lineRule="auto"/>
        <w:ind w:right="98" w:firstLine="450"/>
        <w:rPr>
          <w:rFonts w:hint="eastAsia"/>
          <w:color w:val="231F20"/>
        </w:rPr>
      </w:pPr>
    </w:p>
    <w:p w14:paraId="6445265A">
      <w:pPr>
        <w:pStyle w:val="9"/>
        <w:spacing w:before="13" w:line="249" w:lineRule="auto"/>
        <w:ind w:right="98" w:firstLine="450"/>
        <w:rPr>
          <w:rFonts w:hint="eastAsia"/>
          <w:color w:val="231F20"/>
        </w:rPr>
      </w:pPr>
      <w:r>
        <w:rPr>
          <w:rFonts w:hint="eastAsia"/>
          <w:color w:val="231F20"/>
        </w:rPr>
        <w:t>Does the oracle as a whole have any chronological drift or momentum?</w:t>
      </w:r>
    </w:p>
    <w:p w14:paraId="567CF27C">
      <w:pPr>
        <w:pStyle w:val="9"/>
        <w:spacing w:before="13" w:line="249" w:lineRule="auto"/>
        <w:ind w:right="98" w:firstLine="450"/>
        <w:rPr>
          <w:rFonts w:hint="eastAsia"/>
          <w:color w:val="231F20"/>
        </w:rPr>
      </w:pPr>
      <w:r>
        <w:rPr>
          <w:rFonts w:hint="eastAsia"/>
          <w:color w:val="231F20"/>
        </w:rPr>
        <w:t>整个神谕是否有任何时间上的漂移或动力？</w:t>
      </w:r>
    </w:p>
    <w:p w14:paraId="72B0272A">
      <w:pPr>
        <w:pStyle w:val="9"/>
        <w:spacing w:before="13" w:line="249" w:lineRule="auto"/>
        <w:ind w:right="98" w:firstLine="450"/>
        <w:rPr>
          <w:rFonts w:hint="eastAsia"/>
          <w:color w:val="231F20"/>
        </w:rPr>
      </w:pPr>
    </w:p>
    <w:p w14:paraId="5244EA85">
      <w:pPr>
        <w:pStyle w:val="9"/>
        <w:spacing w:before="13" w:line="249" w:lineRule="auto"/>
        <w:ind w:right="98" w:firstLine="450"/>
        <w:rPr>
          <w:rFonts w:hint="eastAsia"/>
          <w:color w:val="231F20"/>
        </w:rPr>
      </w:pPr>
      <w:r>
        <w:rPr>
          <w:rFonts w:hint="eastAsia"/>
          <w:color w:val="231F20"/>
        </w:rPr>
        <w:t>To be sure.</w:t>
      </w:r>
    </w:p>
    <w:p w14:paraId="462D55C2">
      <w:pPr>
        <w:pStyle w:val="9"/>
        <w:spacing w:before="13" w:line="249" w:lineRule="auto"/>
        <w:ind w:right="98" w:firstLine="450"/>
        <w:rPr>
          <w:rFonts w:hint="eastAsia"/>
          <w:color w:val="231F20"/>
        </w:rPr>
      </w:pPr>
      <w:r>
        <w:rPr>
          <w:rFonts w:hint="eastAsia"/>
          <w:color w:val="231F20"/>
        </w:rPr>
        <w:t>当然有。</w:t>
      </w:r>
    </w:p>
    <w:p w14:paraId="5B12C25F">
      <w:pPr>
        <w:pStyle w:val="9"/>
        <w:spacing w:before="13" w:line="249" w:lineRule="auto"/>
        <w:ind w:right="98" w:firstLine="450"/>
        <w:rPr>
          <w:rFonts w:hint="eastAsia"/>
          <w:color w:val="231F20"/>
        </w:rPr>
      </w:pPr>
    </w:p>
    <w:p w14:paraId="32605C37">
      <w:pPr>
        <w:pStyle w:val="9"/>
        <w:spacing w:before="13" w:line="249" w:lineRule="auto"/>
        <w:ind w:right="98" w:firstLine="450"/>
        <w:rPr>
          <w:rFonts w:hint="eastAsia"/>
          <w:color w:val="231F20"/>
        </w:rPr>
      </w:pPr>
      <w:r>
        <w:rPr>
          <w:rFonts w:hint="eastAsia"/>
          <w:color w:val="231F20"/>
        </w:rPr>
        <w:t>Moreover, once we abandon premillennial literalism and futurism in favor of the NCH, we are able to see it clearly.</w:t>
      </w:r>
    </w:p>
    <w:p w14:paraId="22E09E3E">
      <w:pPr>
        <w:pStyle w:val="9"/>
        <w:spacing w:before="13" w:line="249" w:lineRule="auto"/>
        <w:ind w:right="98" w:firstLine="450"/>
        <w:rPr>
          <w:rFonts w:hint="eastAsia"/>
          <w:color w:val="231F20"/>
        </w:rPr>
      </w:pPr>
      <w:r>
        <w:rPr>
          <w:rFonts w:hint="eastAsia"/>
          <w:color w:val="231F20"/>
        </w:rPr>
        <w:t>此外，一旦我们放弃前千禧年派的字面主义和未来主义，转而支持新约解释学，我们就能清楚地看到它。</w:t>
      </w:r>
    </w:p>
    <w:p w14:paraId="5C97BD91">
      <w:pPr>
        <w:pStyle w:val="9"/>
        <w:spacing w:before="13" w:line="249" w:lineRule="auto"/>
        <w:ind w:right="98" w:firstLine="450"/>
        <w:rPr>
          <w:rFonts w:hint="eastAsia"/>
          <w:color w:val="231F20"/>
        </w:rPr>
      </w:pPr>
    </w:p>
    <w:p w14:paraId="055B28DA">
      <w:pPr>
        <w:pStyle w:val="9"/>
        <w:spacing w:before="13" w:line="249" w:lineRule="auto"/>
        <w:ind w:right="98" w:firstLine="450"/>
        <w:rPr>
          <w:rFonts w:hint="eastAsia"/>
          <w:color w:val="231F20"/>
        </w:rPr>
      </w:pPr>
      <w:r>
        <w:rPr>
          <w:rFonts w:hint="eastAsia"/>
          <w:color w:val="231F20"/>
        </w:rPr>
        <w:t>Broadly speaking, it turns out that the prophecy is much like Ezekiel 36-39: It passes from the Era of Proclamation and Probation (the Kingdom of the Son), through the Last Battle and the Day of the Lord, into the World to Come (the Kingdom of the Father).</w:t>
      </w:r>
    </w:p>
    <w:p w14:paraId="6B28FF3C">
      <w:pPr>
        <w:pStyle w:val="9"/>
        <w:spacing w:before="13" w:line="249" w:lineRule="auto"/>
        <w:ind w:right="98" w:firstLine="450"/>
        <w:rPr>
          <w:rFonts w:hint="eastAsia"/>
          <w:color w:val="231F20"/>
        </w:rPr>
      </w:pPr>
      <w:r>
        <w:rPr>
          <w:rFonts w:hint="eastAsia"/>
          <w:color w:val="231F20"/>
        </w:rPr>
        <w:t>广义上讲，这个预言很像以西结书36-39章：它从宣讲与试炼的时代（神子的国度），经过最后的战役和主的日子，进入将来的世界（父的国度）。</w:t>
      </w:r>
    </w:p>
    <w:p w14:paraId="2CAFE50B">
      <w:pPr>
        <w:pStyle w:val="9"/>
        <w:spacing w:before="13" w:line="249" w:lineRule="auto"/>
        <w:ind w:right="98" w:firstLine="450"/>
        <w:rPr>
          <w:rFonts w:hint="eastAsia"/>
          <w:color w:val="231F20"/>
        </w:rPr>
      </w:pPr>
    </w:p>
    <w:p w14:paraId="2B675F17">
      <w:pPr>
        <w:pStyle w:val="9"/>
        <w:spacing w:before="13" w:line="249" w:lineRule="auto"/>
        <w:ind w:right="98" w:firstLine="450"/>
        <w:rPr>
          <w:rFonts w:hint="eastAsia"/>
          <w:color w:val="231F20"/>
        </w:rPr>
      </w:pPr>
      <w:r>
        <w:rPr>
          <w:rFonts w:hint="eastAsia"/>
          <w:color w:val="231F20"/>
        </w:rPr>
        <w:t>Nevertheless, even as we bear this overall perspective in mind, we must recognize that each snapshot stands more or less on its own.</w:t>
      </w:r>
    </w:p>
    <w:p w14:paraId="2E22BB65">
      <w:pPr>
        <w:pStyle w:val="9"/>
        <w:spacing w:before="13" w:line="249" w:lineRule="auto"/>
        <w:ind w:right="98" w:firstLine="450"/>
        <w:rPr>
          <w:rFonts w:hint="eastAsia"/>
          <w:color w:val="231F20"/>
        </w:rPr>
      </w:pPr>
      <w:r>
        <w:rPr>
          <w:rFonts w:hint="eastAsia"/>
          <w:color w:val="231F20"/>
        </w:rPr>
        <w:t>然而，即使我们牢记这个总体视角，我们也必须认识到每个快照或多或少都是独立的。</w:t>
      </w:r>
    </w:p>
    <w:p w14:paraId="54030A46">
      <w:pPr>
        <w:pStyle w:val="9"/>
        <w:spacing w:before="13" w:line="249" w:lineRule="auto"/>
        <w:ind w:right="98" w:firstLine="450"/>
        <w:rPr>
          <w:rFonts w:hint="eastAsia"/>
          <w:color w:val="231F20"/>
        </w:rPr>
      </w:pPr>
    </w:p>
    <w:p w14:paraId="12A03B8B">
      <w:pPr>
        <w:pStyle w:val="9"/>
        <w:spacing w:before="13" w:line="249" w:lineRule="auto"/>
        <w:ind w:right="98" w:firstLine="450"/>
        <w:rPr>
          <w:rFonts w:hint="eastAsia"/>
          <w:color w:val="231F20"/>
        </w:rPr>
      </w:pPr>
      <w:r>
        <w:rPr>
          <w:rFonts w:hint="eastAsia"/>
          <w:color w:val="231F20"/>
        </w:rPr>
        <w:t>Yes, its exact place in the total oracle will help us to interpret it; but having received that help, we must look for its essential meaning in the OT symbols themselves, and in the NT truths to which those symbols so mysteriously point.</w:t>
      </w:r>
    </w:p>
    <w:p w14:paraId="79D9DEE5">
      <w:pPr>
        <w:pStyle w:val="9"/>
        <w:spacing w:before="13" w:line="249" w:lineRule="auto"/>
        <w:ind w:right="98" w:firstLine="450"/>
        <w:rPr>
          <w:rFonts w:hint="eastAsia"/>
          <w:color w:val="231F20"/>
        </w:rPr>
      </w:pPr>
      <w:r>
        <w:rPr>
          <w:rFonts w:hint="eastAsia"/>
          <w:color w:val="231F20"/>
        </w:rPr>
        <w:t>是的，它在整个神谕中的确切位置将帮助我们解释它；但得到那个帮助后，我们必须在旧约象征本身中，以及在那些象征如此神秘地指向的新约真理中，寻找它的基本意义。</w:t>
      </w:r>
    </w:p>
    <w:p w14:paraId="791CF0A2">
      <w:pPr>
        <w:pStyle w:val="9"/>
        <w:spacing w:before="13" w:line="249" w:lineRule="auto"/>
        <w:ind w:right="98" w:firstLine="450"/>
        <w:rPr>
          <w:rFonts w:hint="eastAsia"/>
          <w:color w:val="231F20"/>
        </w:rPr>
      </w:pPr>
    </w:p>
    <w:p w14:paraId="19FEA226">
      <w:pPr>
        <w:pStyle w:val="9"/>
        <w:spacing w:before="13" w:line="249" w:lineRule="auto"/>
        <w:ind w:right="98" w:firstLine="450"/>
        <w:rPr>
          <w:rFonts w:hint="eastAsia"/>
          <w:color w:val="231F20"/>
        </w:rPr>
      </w:pPr>
      <w:r>
        <w:rPr>
          <w:rFonts w:hint="eastAsia"/>
          <w:color w:val="231F20"/>
        </w:rPr>
        <w:t>With all this as introduction, we are ready at long last to begin our exegetical journey through Zechariah 12-14.</w:t>
      </w:r>
    </w:p>
    <w:p w14:paraId="1FA7EBA6">
      <w:pPr>
        <w:pStyle w:val="9"/>
        <w:spacing w:before="13" w:line="249" w:lineRule="auto"/>
        <w:ind w:right="98" w:firstLine="450"/>
        <w:rPr>
          <w:rFonts w:hint="eastAsia"/>
          <w:color w:val="231F20"/>
        </w:rPr>
      </w:pPr>
      <w:r>
        <w:rPr>
          <w:rFonts w:hint="eastAsia"/>
          <w:color w:val="231F20"/>
        </w:rPr>
        <w:t>有了这一切作为引言，我们终于准备好开始我们对撒迦利亚书12-14章的解经之旅。</w:t>
      </w:r>
    </w:p>
    <w:p w14:paraId="0CF2D9B3">
      <w:pPr>
        <w:pStyle w:val="9"/>
        <w:spacing w:before="13" w:line="249" w:lineRule="auto"/>
        <w:ind w:right="98" w:firstLine="450"/>
        <w:rPr>
          <w:rFonts w:hint="eastAsia"/>
          <w:color w:val="231F20"/>
        </w:rPr>
      </w:pPr>
    </w:p>
    <w:p w14:paraId="657FE3B5">
      <w:pPr>
        <w:pStyle w:val="9"/>
        <w:spacing w:before="13" w:line="249" w:lineRule="auto"/>
        <w:ind w:right="98" w:firstLine="450"/>
        <w:rPr>
          <w:rFonts w:hint="eastAsia"/>
          <w:color w:val="231F20"/>
        </w:rPr>
      </w:pPr>
      <w:r>
        <w:rPr>
          <w:rFonts w:hint="eastAsia"/>
          <w:color w:val="231F20"/>
        </w:rPr>
        <w:t>Strong in the LORD (12:1-9)</w:t>
      </w:r>
    </w:p>
    <w:p w14:paraId="3E2BFA5E">
      <w:pPr>
        <w:pStyle w:val="9"/>
        <w:spacing w:before="13" w:line="249" w:lineRule="auto"/>
        <w:ind w:right="98" w:firstLine="450"/>
        <w:rPr>
          <w:rFonts w:hint="eastAsia"/>
          <w:color w:val="231F20"/>
        </w:rPr>
      </w:pPr>
      <w:r>
        <w:rPr>
          <w:rFonts w:hint="eastAsia"/>
          <w:color w:val="231F20"/>
        </w:rPr>
        <w:t>靠主刚强 (12:1-9)</w:t>
      </w:r>
    </w:p>
    <w:p w14:paraId="024C00FF">
      <w:pPr>
        <w:pStyle w:val="9"/>
        <w:spacing w:before="13" w:line="249" w:lineRule="auto"/>
        <w:ind w:right="98" w:firstLine="450"/>
        <w:rPr>
          <w:rFonts w:hint="eastAsia"/>
          <w:color w:val="231F20"/>
        </w:rPr>
      </w:pPr>
    </w:p>
    <w:p w14:paraId="32BF89F8">
      <w:pPr>
        <w:pStyle w:val="9"/>
        <w:spacing w:before="13" w:line="249" w:lineRule="auto"/>
        <w:ind w:right="98" w:firstLine="450"/>
        <w:rPr>
          <w:rFonts w:hint="eastAsia"/>
          <w:color w:val="231F20"/>
        </w:rPr>
      </w:pPr>
      <w:r>
        <w:rPr>
          <w:rFonts w:hint="eastAsia"/>
          <w:color w:val="231F20"/>
        </w:rPr>
        <w:t>The opening prophecy, highly reminiscent of material found in chapters 9-10, sounds the theme of the oracle as a whole: In the eschatological conflict between “Israel” and the nations (i.e., between the Church and the World), God will be the strength of his people, leading them through much suffering to final triumph.</w:t>
      </w:r>
    </w:p>
    <w:p w14:paraId="35D82176">
      <w:pPr>
        <w:pStyle w:val="9"/>
        <w:spacing w:before="13" w:line="249" w:lineRule="auto"/>
        <w:ind w:right="98" w:firstLine="450"/>
        <w:rPr>
          <w:rFonts w:hint="eastAsia"/>
          <w:color w:val="231F20"/>
        </w:rPr>
      </w:pPr>
      <w:r>
        <w:rPr>
          <w:rFonts w:hint="eastAsia"/>
          <w:color w:val="231F20"/>
        </w:rPr>
        <w:t>开篇的预言，与第9-10章中的内容极为相似，奏响了整个神谕的主题：在“以色列”与列国（即教会与世界）的末世冲突中，神将是祂子民的力量，带领他们经过许多苦难，最终得胜。</w:t>
      </w:r>
    </w:p>
    <w:p w14:paraId="65C0713D">
      <w:pPr>
        <w:pStyle w:val="9"/>
        <w:spacing w:before="13" w:line="249" w:lineRule="auto"/>
        <w:ind w:right="98" w:firstLine="450"/>
        <w:rPr>
          <w:rFonts w:hint="eastAsia"/>
          <w:color w:val="231F20"/>
        </w:rPr>
      </w:pPr>
    </w:p>
    <w:p w14:paraId="76F972F4">
      <w:pPr>
        <w:pStyle w:val="9"/>
        <w:spacing w:before="13" w:line="249" w:lineRule="auto"/>
        <w:ind w:right="98" w:firstLine="450"/>
        <w:rPr>
          <w:rFonts w:hint="eastAsia"/>
          <w:color w:val="231F20"/>
        </w:rPr>
      </w:pPr>
      <w:r>
        <w:rPr>
          <w:rFonts w:hint="eastAsia"/>
          <w:color w:val="231F20"/>
        </w:rPr>
        <w:t>Importantly, here the phrase “in that day” recurs five separate times.</w:t>
      </w:r>
    </w:p>
    <w:p w14:paraId="2DAC115D">
      <w:pPr>
        <w:pStyle w:val="9"/>
        <w:spacing w:before="13" w:line="249" w:lineRule="auto"/>
        <w:ind w:right="98" w:firstLine="450"/>
        <w:rPr>
          <w:rFonts w:hint="eastAsia"/>
          <w:color w:val="231F20"/>
        </w:rPr>
      </w:pPr>
      <w:r>
        <w:rPr>
          <w:rFonts w:hint="eastAsia"/>
          <w:color w:val="231F20"/>
        </w:rPr>
        <w:t>重要的是，在这里“那日”这个短语重复出现了五次。</w:t>
      </w:r>
    </w:p>
    <w:p w14:paraId="09125A55">
      <w:pPr>
        <w:pStyle w:val="9"/>
        <w:spacing w:before="13" w:line="249" w:lineRule="auto"/>
        <w:ind w:right="98" w:firstLine="450"/>
        <w:rPr>
          <w:rFonts w:hint="eastAsia"/>
          <w:color w:val="231F20"/>
        </w:rPr>
      </w:pPr>
    </w:p>
    <w:p w14:paraId="051D6C85">
      <w:pPr>
        <w:pStyle w:val="9"/>
        <w:spacing w:before="13" w:line="249" w:lineRule="auto"/>
        <w:ind w:right="98" w:firstLine="450"/>
        <w:rPr>
          <w:rFonts w:hint="eastAsia"/>
          <w:color w:val="231F20"/>
        </w:rPr>
      </w:pPr>
      <w:r>
        <w:rPr>
          <w:rFonts w:hint="eastAsia"/>
          <w:color w:val="231F20"/>
        </w:rPr>
        <w:t>The NCH would have us receive this as a sign that we are dealing with events to occur in the eschatological era, which is the New Covenant era, the Kingdom era, and the Church era.</w:t>
      </w:r>
    </w:p>
    <w:p w14:paraId="02A0344B">
      <w:pPr>
        <w:pStyle w:val="9"/>
        <w:spacing w:before="13" w:line="249" w:lineRule="auto"/>
        <w:ind w:right="98" w:firstLine="450"/>
        <w:rPr>
          <w:rFonts w:hint="eastAsia"/>
          <w:color w:val="231F20"/>
        </w:rPr>
      </w:pPr>
      <w:r>
        <w:rPr>
          <w:rFonts w:hint="eastAsia"/>
          <w:color w:val="231F20"/>
        </w:rPr>
        <w:t>新约解释学（NCH）会让我们将这视为一个信号，即我们正在处理将在末世时代发生的事件，也就是新约时代、国度时代和教会时代。</w:t>
      </w:r>
    </w:p>
    <w:p w14:paraId="423593A3">
      <w:pPr>
        <w:pStyle w:val="9"/>
        <w:spacing w:before="13" w:line="249" w:lineRule="auto"/>
        <w:ind w:right="98" w:firstLine="450"/>
        <w:rPr>
          <w:rFonts w:hint="eastAsia"/>
          <w:color w:val="231F20"/>
        </w:rPr>
      </w:pPr>
    </w:p>
    <w:p w14:paraId="22179E64">
      <w:pPr>
        <w:pStyle w:val="9"/>
        <w:spacing w:before="13" w:line="249" w:lineRule="auto"/>
        <w:ind w:right="98" w:firstLine="450"/>
        <w:rPr>
          <w:rFonts w:hint="eastAsia"/>
          <w:color w:val="231F20"/>
        </w:rPr>
      </w:pPr>
      <w:r>
        <w:rPr>
          <w:rFonts w:hint="eastAsia"/>
          <w:color w:val="231F20"/>
        </w:rPr>
        <w:t>We must, then, with the Spirit’s help, endeavor to “decode” the prophecy, so as to discern the NT meanings here embedded in OT language and imagery.</w:t>
      </w:r>
    </w:p>
    <w:p w14:paraId="1F6B4E04">
      <w:pPr>
        <w:pStyle w:val="9"/>
        <w:spacing w:before="13" w:line="249" w:lineRule="auto"/>
        <w:ind w:right="98" w:firstLine="450"/>
        <w:rPr>
          <w:rFonts w:hint="eastAsia"/>
          <w:color w:val="231F20"/>
        </w:rPr>
      </w:pPr>
      <w:r>
        <w:rPr>
          <w:rFonts w:hint="eastAsia"/>
          <w:color w:val="231F20"/>
        </w:rPr>
        <w:t>因此，我们必须在圣灵的帮助下，努力“解码”这个预言，以便辨别出这里嵌入旧约语言和意象中的新约含义。</w:t>
      </w:r>
    </w:p>
    <w:p w14:paraId="6246A8F7">
      <w:pPr>
        <w:pStyle w:val="9"/>
        <w:spacing w:before="13" w:line="249" w:lineRule="auto"/>
        <w:ind w:right="98" w:firstLine="450"/>
        <w:rPr>
          <w:rFonts w:hint="eastAsia"/>
          <w:color w:val="231F20"/>
        </w:rPr>
      </w:pPr>
    </w:p>
    <w:p w14:paraId="18C53C8D">
      <w:pPr>
        <w:pStyle w:val="9"/>
        <w:spacing w:before="13" w:line="249" w:lineRule="auto"/>
        <w:ind w:right="98" w:firstLine="450"/>
        <w:rPr>
          <w:rFonts w:hint="eastAsia"/>
          <w:color w:val="231F20"/>
        </w:rPr>
      </w:pPr>
      <w:r>
        <w:rPr>
          <w:rFonts w:hint="eastAsia"/>
          <w:color w:val="231F20"/>
        </w:rPr>
        <w:t>Since each of the nine verses in our snapshot is a prophetic nugget in its own right, I will briefly comment upon them one verse at a time.</w:t>
      </w:r>
    </w:p>
    <w:p w14:paraId="2B54D3F8">
      <w:pPr>
        <w:pStyle w:val="9"/>
        <w:spacing w:before="13" w:line="249" w:lineRule="auto"/>
        <w:ind w:right="98" w:firstLine="450"/>
        <w:rPr>
          <w:rFonts w:hint="eastAsia"/>
          <w:color w:val="231F20"/>
        </w:rPr>
      </w:pPr>
      <w:r>
        <w:rPr>
          <w:rFonts w:hint="eastAsia"/>
          <w:color w:val="231F20"/>
        </w:rPr>
        <w:t>由于我们快照中的九节经文本身都是预言的精华，我将逐节简要评论它们。</w:t>
      </w:r>
    </w:p>
    <w:p w14:paraId="0523B146">
      <w:pPr>
        <w:pStyle w:val="9"/>
        <w:spacing w:before="13" w:line="249" w:lineRule="auto"/>
        <w:ind w:right="98" w:firstLine="450"/>
        <w:rPr>
          <w:rFonts w:hint="eastAsia"/>
          <w:color w:val="231F20"/>
        </w:rPr>
      </w:pPr>
    </w:p>
    <w:p w14:paraId="66D9CB43">
      <w:pPr>
        <w:pStyle w:val="9"/>
        <w:spacing w:before="13" w:line="249" w:lineRule="auto"/>
        <w:ind w:right="98" w:firstLine="450"/>
        <w:rPr>
          <w:rFonts w:hint="eastAsia"/>
          <w:color w:val="231F20"/>
        </w:rPr>
      </w:pPr>
      <w:r>
        <w:rPr>
          <w:rFonts w:hint="eastAsia"/>
          <w:color w:val="231F20"/>
        </w:rPr>
        <w:t>In verse 1, Zechariah characterizes the entire forthcoming oracle (chapters 12-14) as “the burden of the word of the LORD concerning Israel.”</w:t>
      </w:r>
    </w:p>
    <w:p w14:paraId="3D955FA8">
      <w:pPr>
        <w:pStyle w:val="9"/>
        <w:spacing w:before="13" w:line="249" w:lineRule="auto"/>
        <w:ind w:right="98" w:firstLine="450"/>
        <w:rPr>
          <w:rFonts w:hint="eastAsia"/>
          <w:color w:val="231F20"/>
        </w:rPr>
      </w:pPr>
      <w:r>
        <w:rPr>
          <w:rFonts w:hint="eastAsia"/>
          <w:color w:val="231F20"/>
        </w:rPr>
        <w:t>在第1节，撒迦利亚将即将到来的整个神谕（第12-14章）定性为“论以色列的耶和华的默示”。</w:t>
      </w:r>
    </w:p>
    <w:p w14:paraId="68ED1BCF">
      <w:pPr>
        <w:pStyle w:val="9"/>
        <w:spacing w:before="13" w:line="249" w:lineRule="auto"/>
        <w:ind w:right="98" w:firstLine="450"/>
        <w:rPr>
          <w:rFonts w:hint="eastAsia"/>
          <w:color w:val="231F20"/>
        </w:rPr>
      </w:pPr>
    </w:p>
    <w:p w14:paraId="7B0A1D72">
      <w:pPr>
        <w:pStyle w:val="9"/>
        <w:spacing w:before="13" w:line="249" w:lineRule="auto"/>
        <w:ind w:right="98" w:firstLine="450"/>
        <w:rPr>
          <w:rFonts w:hint="eastAsia"/>
          <w:color w:val="231F20"/>
        </w:rPr>
      </w:pPr>
      <w:r>
        <w:rPr>
          <w:rFonts w:hint="eastAsia"/>
          <w:color w:val="231F20"/>
        </w:rPr>
        <w:t>It is a burden not only because it brings heavy tidings, but also because it burdens the prophet with a sense of urgency to deliver it to God’s people.</w:t>
      </w:r>
    </w:p>
    <w:p w14:paraId="6E255D01">
      <w:pPr>
        <w:pStyle w:val="9"/>
        <w:spacing w:before="13" w:line="249" w:lineRule="auto"/>
        <w:ind w:right="98" w:firstLine="450"/>
        <w:rPr>
          <w:rFonts w:hint="eastAsia"/>
          <w:color w:val="231F20"/>
        </w:rPr>
      </w:pPr>
      <w:r>
        <w:rPr>
          <w:rFonts w:hint="eastAsia"/>
          <w:color w:val="231F20"/>
        </w:rPr>
        <w:t>这是一个重担，不仅因为它带来了沉重的消息，也因为它使先知感到一种将它传达给神子民的紧迫感。</w:t>
      </w:r>
    </w:p>
    <w:p w14:paraId="1865F6CD">
      <w:pPr>
        <w:pStyle w:val="9"/>
        <w:spacing w:before="13" w:line="249" w:lineRule="auto"/>
        <w:ind w:right="98" w:firstLine="450"/>
        <w:rPr>
          <w:rFonts w:hint="eastAsia"/>
          <w:color w:val="231F20"/>
        </w:rPr>
      </w:pPr>
    </w:p>
    <w:p w14:paraId="55F0A80B">
      <w:pPr>
        <w:pStyle w:val="9"/>
        <w:spacing w:before="13" w:line="249" w:lineRule="auto"/>
        <w:ind w:right="98" w:firstLine="450"/>
        <w:rPr>
          <w:rFonts w:hint="eastAsia"/>
          <w:color w:val="231F20"/>
        </w:rPr>
      </w:pPr>
      <w:r>
        <w:rPr>
          <w:rFonts w:hint="eastAsia"/>
          <w:color w:val="231F20"/>
        </w:rPr>
        <w:t>It concerns, not ethnic Israel, but eschatological “Israel:” the Church, which will be composed of Jews and Gentiles living and serving together as one family and one nation under Christ (Gal. 6:16, Eph. 2:15, Rev. 12:1f).</w:t>
      </w:r>
    </w:p>
    <w:p w14:paraId="14D9B6F0">
      <w:pPr>
        <w:pStyle w:val="9"/>
        <w:spacing w:before="13" w:line="249" w:lineRule="auto"/>
        <w:ind w:right="98" w:firstLine="450"/>
        <w:rPr>
          <w:rFonts w:hint="eastAsia"/>
          <w:color w:val="231F20"/>
        </w:rPr>
      </w:pPr>
      <w:r>
        <w:rPr>
          <w:rFonts w:hint="eastAsia"/>
          <w:color w:val="231F20"/>
        </w:rPr>
        <w:t>它关乎的不是以色列民族，而是末世的“以色列”：即教会，它将由犹太人和外邦人组成，在基督之下作为一个家庭和一个国家一同生活和服事 (加 6:16, 弗 2:15, 启 12:1及后)。</w:t>
      </w:r>
    </w:p>
    <w:p w14:paraId="130C63CA">
      <w:pPr>
        <w:pStyle w:val="9"/>
        <w:spacing w:before="13" w:line="249" w:lineRule="auto"/>
        <w:ind w:right="98" w:firstLine="450"/>
        <w:rPr>
          <w:rFonts w:hint="eastAsia"/>
          <w:color w:val="231F20"/>
        </w:rPr>
      </w:pPr>
    </w:p>
    <w:p w14:paraId="6572E529">
      <w:pPr>
        <w:pStyle w:val="9"/>
        <w:spacing w:before="13" w:line="249" w:lineRule="auto"/>
        <w:ind w:right="98" w:firstLine="450"/>
        <w:rPr>
          <w:rFonts w:hint="eastAsia"/>
          <w:color w:val="231F20"/>
        </w:rPr>
      </w:pPr>
      <w:r>
        <w:rPr>
          <w:rFonts w:hint="eastAsia"/>
          <w:color w:val="231F20"/>
        </w:rPr>
        <w:t>Importantly, the oracle emanates from the Creator and Sustainer of the cosmos, the One who is sovereign over all history for the sake of his people and his glory (Rom. 8:28, Eph. 1:11-12).</w:t>
      </w:r>
    </w:p>
    <w:p w14:paraId="6C1FA6AF">
      <w:pPr>
        <w:pStyle w:val="9"/>
        <w:spacing w:before="13" w:line="249" w:lineRule="auto"/>
        <w:ind w:right="98" w:firstLine="450"/>
        <w:rPr>
          <w:rFonts w:hint="eastAsia"/>
          <w:color w:val="231F20"/>
        </w:rPr>
      </w:pPr>
      <w:r>
        <w:rPr>
          <w:rFonts w:hint="eastAsia"/>
          <w:color w:val="231F20"/>
        </w:rPr>
        <w:t>重要的是，神谕源于宇宙的创造主和维系者，那位为了祂子民和祂的荣耀而主宰所有历史的主宰 (罗 8:28, 弗 1:11-12)。</w:t>
      </w:r>
    </w:p>
    <w:p w14:paraId="0848C56B">
      <w:pPr>
        <w:pStyle w:val="9"/>
        <w:spacing w:before="13" w:line="249" w:lineRule="auto"/>
        <w:ind w:right="98" w:firstLine="450"/>
        <w:rPr>
          <w:rFonts w:hint="eastAsia"/>
          <w:color w:val="231F20"/>
        </w:rPr>
      </w:pPr>
    </w:p>
    <w:p w14:paraId="54E325C9">
      <w:pPr>
        <w:pStyle w:val="9"/>
        <w:spacing w:before="13" w:line="249" w:lineRule="auto"/>
        <w:ind w:right="98" w:firstLine="450"/>
        <w:rPr>
          <w:rFonts w:hint="eastAsia"/>
          <w:color w:val="231F20"/>
        </w:rPr>
      </w:pPr>
      <w:r>
        <w:rPr>
          <w:rFonts w:hint="eastAsia"/>
          <w:color w:val="231F20"/>
        </w:rPr>
        <w:t>Since Zechariah will speak of the Consummation later in his oracle, we may safely conclude that here, in the opening snapshot, his focus is largely upon the Church’s spiritual warfare throughout the entire Era of Proclamation and Probation; throughout the first stage of the Kingdom; throughout the stage that the Holy Spirit, in the Revelation, refers to as “the Great Tribulation” (Acts 14:22, Rev. 7:14).</w:t>
      </w:r>
    </w:p>
    <w:p w14:paraId="2A76178A">
      <w:pPr>
        <w:pStyle w:val="9"/>
        <w:spacing w:before="13" w:line="249" w:lineRule="auto"/>
        <w:ind w:right="98" w:firstLine="450"/>
        <w:rPr>
          <w:rFonts w:hint="eastAsia"/>
          <w:color w:val="231F20"/>
        </w:rPr>
      </w:pPr>
      <w:r>
        <w:rPr>
          <w:rFonts w:hint="eastAsia"/>
          <w:color w:val="231F20"/>
        </w:rPr>
        <w:t>由于撒迦利亚将在他的神谕后面谈到最终的成全，我们可以有把握地得出结论，在这里，在开篇的快照中，他的焦点主要是在整个宣讲与试炼时代中教会的属灵争战；在国度的第一阶段；在圣灵在启示录中称为“大患难”的那个阶段 (徒 14:22, 启 7:14)。</w:t>
      </w:r>
    </w:p>
    <w:p w14:paraId="3217BC69">
      <w:pPr>
        <w:pStyle w:val="9"/>
        <w:spacing w:before="13" w:line="249" w:lineRule="auto"/>
        <w:ind w:right="98" w:firstLine="450"/>
        <w:rPr>
          <w:rFonts w:hint="eastAsia"/>
          <w:color w:val="231F20"/>
        </w:rPr>
      </w:pPr>
    </w:p>
    <w:p w14:paraId="1E8ED1FF">
      <w:pPr>
        <w:pStyle w:val="9"/>
        <w:spacing w:before="13" w:line="249" w:lineRule="auto"/>
        <w:ind w:right="98" w:firstLine="450"/>
        <w:rPr>
          <w:rFonts w:hint="eastAsia"/>
          <w:color w:val="231F20"/>
        </w:rPr>
      </w:pPr>
      <w:r>
        <w:rPr>
          <w:rFonts w:hint="eastAsia"/>
          <w:color w:val="231F20"/>
        </w:rPr>
        <w:t>According to verse 2, the sovereign God has purposed to make the Church—the NT City of God (Gal. 4:26, Heb. 12:22)—a cup that causes reeling to all the (hostile) peoples around her.</w:t>
      </w:r>
    </w:p>
    <w:p w14:paraId="1FABE4DA">
      <w:pPr>
        <w:pStyle w:val="9"/>
        <w:spacing w:before="13" w:line="249" w:lineRule="auto"/>
        <w:ind w:right="98" w:firstLine="450"/>
        <w:rPr>
          <w:rFonts w:hint="eastAsia"/>
          <w:color w:val="231F20"/>
        </w:rPr>
      </w:pPr>
      <w:r>
        <w:rPr>
          <w:rFonts w:hint="eastAsia"/>
          <w:color w:val="231F20"/>
        </w:rPr>
        <w:t>根据第2节，拥有至高主权的神定意要使教会——新约的神之城（加 4:26, 来 12:22）——成为一个使周围所有（敌对）民族东倒西歪的杯。</w:t>
      </w:r>
    </w:p>
    <w:p w14:paraId="033D2B8A">
      <w:pPr>
        <w:pStyle w:val="9"/>
        <w:spacing w:before="13" w:line="249" w:lineRule="auto"/>
        <w:ind w:right="98" w:firstLine="450"/>
        <w:rPr>
          <w:rFonts w:hint="eastAsia"/>
          <w:color w:val="231F20"/>
        </w:rPr>
      </w:pPr>
    </w:p>
    <w:p w14:paraId="56724D8C">
      <w:pPr>
        <w:pStyle w:val="9"/>
        <w:spacing w:before="13" w:line="249" w:lineRule="auto"/>
        <w:ind w:right="98" w:firstLine="450"/>
        <w:rPr>
          <w:rFonts w:hint="eastAsia"/>
          <w:color w:val="231F20"/>
        </w:rPr>
      </w:pPr>
      <w:r>
        <w:rPr>
          <w:rFonts w:hint="eastAsia"/>
          <w:color w:val="231F20"/>
        </w:rPr>
        <w:t>All who reject her Gospel and attack her will become drunk with God’s judicial blindness, and will therefore stagger and fall beneath his judgments (Jer. 25:15-16, 2 Thess. 2:1ff).</w:t>
      </w:r>
    </w:p>
    <w:p w14:paraId="385796E4">
      <w:pPr>
        <w:pStyle w:val="9"/>
        <w:spacing w:before="13" w:line="249" w:lineRule="auto"/>
        <w:ind w:right="98" w:firstLine="450"/>
        <w:rPr>
          <w:rFonts w:hint="eastAsia"/>
          <w:color w:val="231F20"/>
        </w:rPr>
      </w:pPr>
      <w:r>
        <w:rPr>
          <w:rFonts w:hint="eastAsia"/>
          <w:color w:val="231F20"/>
        </w:rPr>
        <w:t>所有拒绝她福音并攻击她的人，都将因神的司法性眼瞎而沉醉，因此将在祂的审判下跌倒 (耶 25:15-16, 帖后 2:1及后)。</w:t>
      </w:r>
    </w:p>
    <w:p w14:paraId="253958F9">
      <w:pPr>
        <w:pStyle w:val="9"/>
        <w:spacing w:before="13" w:line="249" w:lineRule="auto"/>
        <w:ind w:right="98" w:firstLine="450"/>
        <w:rPr>
          <w:rFonts w:hint="eastAsia"/>
          <w:color w:val="231F20"/>
        </w:rPr>
      </w:pPr>
    </w:p>
    <w:p w14:paraId="2C07FA91">
      <w:pPr>
        <w:pStyle w:val="9"/>
        <w:spacing w:before="13" w:line="249" w:lineRule="auto"/>
        <w:ind w:right="98" w:firstLine="450"/>
        <w:rPr>
          <w:rFonts w:hint="eastAsia"/>
          <w:color w:val="231F20"/>
        </w:rPr>
      </w:pPr>
      <w:r>
        <w:rPr>
          <w:rFonts w:hint="eastAsia"/>
          <w:color w:val="231F20"/>
        </w:rPr>
        <w:t>Such is the fate of all who would harm his (gospel) prophets; of all who would touch the apple of his eye (Psalm 105:15, Zech. 2:8, Rev. 11:5).</w:t>
      </w:r>
    </w:p>
    <w:p w14:paraId="27932131">
      <w:pPr>
        <w:pStyle w:val="9"/>
        <w:spacing w:before="13" w:line="249" w:lineRule="auto"/>
        <w:ind w:right="98" w:firstLine="450"/>
        <w:rPr>
          <w:rFonts w:hint="eastAsia"/>
          <w:color w:val="231F20"/>
        </w:rPr>
      </w:pPr>
      <w:r>
        <w:rPr>
          <w:rFonts w:hint="eastAsia"/>
          <w:color w:val="231F20"/>
        </w:rPr>
        <w:t>凡伤害祂（福音）先知的人，凡触摸祂眼中瞳人的人，他们的命运都是如此 (诗 105:15, 亚 2:8, 启 11:5)。</w:t>
      </w:r>
    </w:p>
    <w:p w14:paraId="2ACA6DCD">
      <w:pPr>
        <w:pStyle w:val="9"/>
        <w:spacing w:before="13" w:line="249" w:lineRule="auto"/>
        <w:ind w:right="98" w:firstLine="450"/>
        <w:rPr>
          <w:rFonts w:hint="eastAsia"/>
          <w:color w:val="231F20"/>
        </w:rPr>
      </w:pPr>
    </w:p>
    <w:p w14:paraId="2BCD3337">
      <w:pPr>
        <w:pStyle w:val="9"/>
        <w:spacing w:before="13" w:line="249" w:lineRule="auto"/>
        <w:ind w:right="98" w:firstLine="450"/>
        <w:rPr>
          <w:rFonts w:hint="eastAsia"/>
          <w:color w:val="231F20"/>
        </w:rPr>
      </w:pPr>
      <w:r>
        <w:rPr>
          <w:rFonts w:hint="eastAsia"/>
          <w:color w:val="231F20"/>
        </w:rPr>
        <w:t>The eschatological siege—mounted throughout the Church Era—will not only be against the capital city of the holy nation (i.e., Church leaders and public institutions), but against the tribal villages as well (i.e., the laity themselves).</w:t>
      </w:r>
    </w:p>
    <w:p w14:paraId="1225C055">
      <w:pPr>
        <w:pStyle w:val="9"/>
        <w:spacing w:before="13" w:line="249" w:lineRule="auto"/>
        <w:ind w:right="98" w:firstLine="450"/>
        <w:rPr>
          <w:rFonts w:hint="eastAsia"/>
          <w:color w:val="231F20"/>
        </w:rPr>
      </w:pPr>
      <w:r>
        <w:rPr>
          <w:rFonts w:hint="eastAsia"/>
          <w:color w:val="231F20"/>
        </w:rPr>
        <w:t>末世的围攻——在整个教会时代发起——不仅将针对圣洁国度的首都（即教会领袖和公共机构），也将针对支派的村庄（即平信徒本身）。</w:t>
      </w:r>
    </w:p>
    <w:p w14:paraId="209050BA">
      <w:pPr>
        <w:pStyle w:val="9"/>
        <w:spacing w:before="13" w:line="249" w:lineRule="auto"/>
        <w:ind w:right="98" w:firstLine="450"/>
        <w:rPr>
          <w:rFonts w:hint="eastAsia"/>
          <w:color w:val="231F20"/>
        </w:rPr>
      </w:pPr>
    </w:p>
    <w:p w14:paraId="71BBA97C">
      <w:pPr>
        <w:pStyle w:val="9"/>
        <w:spacing w:before="13" w:line="249" w:lineRule="auto"/>
        <w:ind w:right="98" w:firstLine="450"/>
        <w:rPr>
          <w:rFonts w:hint="eastAsia"/>
          <w:color w:val="231F20"/>
        </w:rPr>
      </w:pPr>
      <w:r>
        <w:rPr>
          <w:rFonts w:hint="eastAsia"/>
          <w:color w:val="231F20"/>
        </w:rPr>
        <w:t>All who would live godly in Christ Jesus will suffer persecution (Mt. 5:10-12, 1 Thess. 3:1-4, 2 Tim. 3:12).</w:t>
      </w:r>
    </w:p>
    <w:p w14:paraId="29F75E33">
      <w:pPr>
        <w:pStyle w:val="9"/>
        <w:spacing w:before="13" w:line="249" w:lineRule="auto"/>
        <w:ind w:right="98" w:firstLine="450"/>
        <w:rPr>
          <w:rFonts w:hint="eastAsia"/>
          <w:color w:val="231F20"/>
        </w:rPr>
      </w:pPr>
      <w:r>
        <w:rPr>
          <w:rFonts w:hint="eastAsia"/>
          <w:color w:val="231F20"/>
        </w:rPr>
        <w:t>凡立志在基督耶稣里敬虔度日的，都必受逼迫 (太 5:10-12, 帖前 3:1-4, 提后 3:12)。</w:t>
      </w:r>
    </w:p>
    <w:p w14:paraId="7D19AF13">
      <w:pPr>
        <w:pStyle w:val="9"/>
        <w:spacing w:before="13" w:line="249" w:lineRule="auto"/>
        <w:ind w:right="98" w:firstLine="450"/>
        <w:rPr>
          <w:rFonts w:hint="eastAsia"/>
          <w:color w:val="231F20"/>
        </w:rPr>
      </w:pPr>
    </w:p>
    <w:p w14:paraId="12A97B09">
      <w:pPr>
        <w:pStyle w:val="9"/>
        <w:spacing w:before="13" w:line="249" w:lineRule="auto"/>
        <w:ind w:right="98" w:firstLine="450"/>
        <w:rPr>
          <w:rFonts w:hint="eastAsia"/>
          <w:color w:val="231F20"/>
        </w:rPr>
      </w:pPr>
      <w:r>
        <w:rPr>
          <w:rFonts w:hint="eastAsia"/>
          <w:color w:val="231F20"/>
        </w:rPr>
        <w:t>In verse 3 the imagery changes, though the message remains much the same.</w:t>
      </w:r>
    </w:p>
    <w:p w14:paraId="763E8F7D">
      <w:pPr>
        <w:pStyle w:val="9"/>
        <w:spacing w:before="13" w:line="249" w:lineRule="auto"/>
        <w:ind w:right="98" w:firstLine="450"/>
        <w:rPr>
          <w:rFonts w:hint="eastAsia"/>
          <w:color w:val="231F20"/>
        </w:rPr>
      </w:pPr>
      <w:r>
        <w:rPr>
          <w:rFonts w:hint="eastAsia"/>
          <w:color w:val="231F20"/>
        </w:rPr>
        <w:t>在第3节，意象改变了，但信息大致相同。</w:t>
      </w:r>
    </w:p>
    <w:p w14:paraId="38F4F644">
      <w:pPr>
        <w:pStyle w:val="9"/>
        <w:spacing w:before="13" w:line="249" w:lineRule="auto"/>
        <w:ind w:right="98" w:firstLine="450"/>
        <w:rPr>
          <w:rFonts w:hint="eastAsia"/>
          <w:color w:val="231F20"/>
        </w:rPr>
      </w:pPr>
    </w:p>
    <w:p w14:paraId="51F00702">
      <w:pPr>
        <w:pStyle w:val="9"/>
        <w:spacing w:before="13" w:line="249" w:lineRule="auto"/>
        <w:ind w:right="98" w:firstLine="450"/>
        <w:rPr>
          <w:rFonts w:hint="eastAsia"/>
          <w:color w:val="231F20"/>
        </w:rPr>
      </w:pPr>
      <w:r>
        <w:rPr>
          <w:rFonts w:hint="eastAsia"/>
          <w:color w:val="231F20"/>
        </w:rPr>
        <w:t>In the eschatological Era, God will place the Church as a stone before all peoples.</w:t>
      </w:r>
    </w:p>
    <w:p w14:paraId="1F3D76BF">
      <w:pPr>
        <w:pStyle w:val="9"/>
        <w:spacing w:before="13" w:line="249" w:lineRule="auto"/>
        <w:ind w:right="98" w:firstLine="450"/>
        <w:rPr>
          <w:rFonts w:hint="eastAsia"/>
          <w:color w:val="231F20"/>
        </w:rPr>
      </w:pPr>
      <w:r>
        <w:rPr>
          <w:rFonts w:hint="eastAsia"/>
          <w:color w:val="231F20"/>
        </w:rPr>
        <w:t>在末世时代，神将把教会当作一块石头放在万民面前。</w:t>
      </w:r>
    </w:p>
    <w:p w14:paraId="3A0170FC">
      <w:pPr>
        <w:pStyle w:val="9"/>
        <w:spacing w:before="13" w:line="249" w:lineRule="auto"/>
        <w:ind w:right="98" w:firstLine="450"/>
        <w:rPr>
          <w:rFonts w:hint="eastAsia"/>
          <w:color w:val="231F20"/>
        </w:rPr>
      </w:pPr>
    </w:p>
    <w:p w14:paraId="04D837DC">
      <w:pPr>
        <w:pStyle w:val="9"/>
        <w:spacing w:before="13" w:line="249" w:lineRule="auto"/>
        <w:ind w:right="98" w:firstLine="450"/>
        <w:rPr>
          <w:rFonts w:hint="eastAsia"/>
          <w:color w:val="231F20"/>
        </w:rPr>
      </w:pPr>
      <w:r>
        <w:rPr>
          <w:rFonts w:hint="eastAsia"/>
          <w:color w:val="231F20"/>
        </w:rPr>
        <w:t>Those who build their lives upon this stone—by building them upon the Christ whom the Church proclaims—will live (Mt. 7:24ff; 1 Tim. 3:15).</w:t>
      </w:r>
    </w:p>
    <w:p w14:paraId="29C8B91F">
      <w:pPr>
        <w:pStyle w:val="9"/>
        <w:spacing w:before="13" w:line="249" w:lineRule="auto"/>
        <w:ind w:right="98" w:firstLine="450"/>
        <w:rPr>
          <w:rFonts w:hint="eastAsia"/>
          <w:color w:val="231F20"/>
        </w:rPr>
      </w:pPr>
      <w:r>
        <w:rPr>
          <w:rFonts w:hint="eastAsia"/>
          <w:color w:val="231F20"/>
        </w:rPr>
        <w:t>那些将他们的生命建立在这块石头上——即建立在教会所宣讲的基督之上——的人将得生 (太 7:24及后; 提前 3:15)。</w:t>
      </w:r>
    </w:p>
    <w:p w14:paraId="3626300A">
      <w:pPr>
        <w:pStyle w:val="9"/>
        <w:spacing w:before="13" w:line="249" w:lineRule="auto"/>
        <w:ind w:right="98" w:firstLine="450"/>
        <w:rPr>
          <w:rFonts w:hint="eastAsia"/>
          <w:color w:val="231F20"/>
        </w:rPr>
      </w:pPr>
    </w:p>
    <w:p w14:paraId="393FFC32">
      <w:pPr>
        <w:pStyle w:val="9"/>
        <w:spacing w:before="13" w:line="249" w:lineRule="auto"/>
        <w:ind w:right="98" w:firstLine="450"/>
        <w:rPr>
          <w:rFonts w:hint="eastAsia"/>
          <w:color w:val="231F20"/>
        </w:rPr>
      </w:pPr>
      <w:r>
        <w:rPr>
          <w:rFonts w:hint="eastAsia"/>
          <w:color w:val="231F20"/>
        </w:rPr>
        <w:t>But those who stumble over it (1 Peter 2:4-8) and thereafter seek to “lift” it out of their way via persecution, will be severely injured.</w:t>
      </w:r>
    </w:p>
    <w:p w14:paraId="30556779">
      <w:pPr>
        <w:pStyle w:val="9"/>
        <w:spacing w:before="13" w:line="249" w:lineRule="auto"/>
        <w:ind w:right="98" w:firstLine="450"/>
        <w:rPr>
          <w:rFonts w:hint="eastAsia"/>
          <w:color w:val="231F20"/>
        </w:rPr>
      </w:pPr>
      <w:r>
        <w:rPr>
          <w:rFonts w:hint="eastAsia"/>
          <w:color w:val="231F20"/>
        </w:rPr>
        <w:t>但那些在其上绊倒的人（彼前 2:4-8），并此后试图通过迫害将其从他们的道路上“挪开”的人，将受到重伤。</w:t>
      </w:r>
    </w:p>
    <w:p w14:paraId="3D9B4400">
      <w:pPr>
        <w:pStyle w:val="9"/>
        <w:spacing w:before="13" w:line="249" w:lineRule="auto"/>
        <w:ind w:right="98" w:firstLine="450"/>
        <w:rPr>
          <w:rFonts w:hint="eastAsia"/>
          <w:color w:val="231F20"/>
        </w:rPr>
      </w:pPr>
    </w:p>
    <w:p w14:paraId="61C39031">
      <w:pPr>
        <w:pStyle w:val="9"/>
        <w:spacing w:before="13" w:line="249" w:lineRule="auto"/>
        <w:ind w:right="98" w:firstLine="450"/>
        <w:rPr>
          <w:rFonts w:hint="eastAsia"/>
          <w:color w:val="231F20"/>
        </w:rPr>
      </w:pPr>
      <w:r>
        <w:rPr>
          <w:rFonts w:hint="eastAsia"/>
          <w:color w:val="231F20"/>
        </w:rPr>
        <w:t>Indeed, Jesus, the Head of the Church, says that all such persons will be ground to dust and scattered like powder (Mt. 21:44).</w:t>
      </w:r>
    </w:p>
    <w:p w14:paraId="54D17364">
      <w:pPr>
        <w:pStyle w:val="9"/>
        <w:spacing w:before="13" w:line="249" w:lineRule="auto"/>
        <w:ind w:right="98" w:firstLine="450"/>
        <w:rPr>
          <w:rFonts w:hint="eastAsia"/>
          <w:color w:val="231F20"/>
        </w:rPr>
      </w:pPr>
      <w:r>
        <w:rPr>
          <w:rFonts w:hint="eastAsia"/>
          <w:color w:val="231F20"/>
        </w:rPr>
        <w:t>的确，教会的元首耶稣说，所有这样的人都将被砸得粉碎，散如粉末 (太 21:44)。</w:t>
      </w:r>
    </w:p>
    <w:p w14:paraId="04B776B9">
      <w:pPr>
        <w:pStyle w:val="9"/>
        <w:spacing w:before="13" w:line="249" w:lineRule="auto"/>
        <w:ind w:right="98" w:firstLine="450"/>
        <w:rPr>
          <w:rFonts w:hint="eastAsia"/>
          <w:color w:val="231F20"/>
        </w:rPr>
      </w:pPr>
    </w:p>
    <w:p w14:paraId="177A17F1">
      <w:pPr>
        <w:pStyle w:val="9"/>
        <w:spacing w:before="13" w:line="249" w:lineRule="auto"/>
        <w:ind w:right="98" w:firstLine="450"/>
        <w:rPr>
          <w:rFonts w:hint="eastAsia"/>
          <w:color w:val="231F20"/>
        </w:rPr>
      </w:pPr>
      <w:r>
        <w:rPr>
          <w:rFonts w:hint="eastAsia"/>
          <w:color w:val="231F20"/>
        </w:rPr>
        <w:t>Throughout the Era of Proclamation, many (unbelieving) peoples will gather against the Church; at the end of the age, all will (14:2).</w:t>
      </w:r>
    </w:p>
    <w:p w14:paraId="0B1F4AFB">
      <w:pPr>
        <w:pStyle w:val="9"/>
        <w:spacing w:before="13" w:line="249" w:lineRule="auto"/>
        <w:ind w:right="98" w:firstLine="450"/>
        <w:rPr>
          <w:rFonts w:hint="eastAsia"/>
          <w:color w:val="231F20"/>
        </w:rPr>
      </w:pPr>
      <w:r>
        <w:rPr>
          <w:rFonts w:hint="eastAsia"/>
          <w:color w:val="231F20"/>
        </w:rPr>
        <w:t>在整个宣讲时代，许多（不信的）民族将聚集起来攻击教会；在世代的末了，所有的都将如此 (14:2)。</w:t>
      </w:r>
    </w:p>
    <w:p w14:paraId="407D0079">
      <w:pPr>
        <w:pStyle w:val="9"/>
        <w:spacing w:before="13" w:line="249" w:lineRule="auto"/>
        <w:ind w:right="98" w:firstLine="450"/>
        <w:rPr>
          <w:rFonts w:hint="eastAsia"/>
          <w:color w:val="231F20"/>
        </w:rPr>
      </w:pPr>
    </w:p>
    <w:p w14:paraId="437DD305">
      <w:pPr>
        <w:pStyle w:val="9"/>
        <w:spacing w:before="13" w:line="249" w:lineRule="auto"/>
        <w:ind w:right="98" w:firstLine="450"/>
        <w:rPr>
          <w:rFonts w:hint="eastAsia"/>
          <w:color w:val="231F20"/>
        </w:rPr>
      </w:pPr>
      <w:r>
        <w:rPr>
          <w:rFonts w:hint="eastAsia"/>
          <w:color w:val="231F20"/>
        </w:rPr>
        <w:t>In verse 4 the Spirit uses OT martial imagery to promise that throughout the Era of Proclamation God will continually watch over—and rise to the defense of—his eschatological “house of Judah,” the redeemed tribe of his Messianic Son, the Church.</w:t>
      </w:r>
    </w:p>
    <w:p w14:paraId="2FD13E91">
      <w:pPr>
        <w:pStyle w:val="9"/>
        <w:spacing w:before="13" w:line="249" w:lineRule="auto"/>
        <w:ind w:right="98" w:firstLine="450"/>
        <w:rPr>
          <w:rFonts w:hint="eastAsia"/>
          <w:color w:val="231F20"/>
        </w:rPr>
      </w:pPr>
      <w:r>
        <w:rPr>
          <w:rFonts w:hint="eastAsia"/>
          <w:color w:val="231F20"/>
        </w:rPr>
        <w:t>在第4节，圣灵使用旧约的战争意象来应许，在整个宣讲时代，神将持续看顾——并起来保卫——祂末世的“犹大家”，即祂弥赛亚儿子的被赎支派，教会。</w:t>
      </w:r>
    </w:p>
    <w:p w14:paraId="5CB9DC48">
      <w:pPr>
        <w:pStyle w:val="9"/>
        <w:spacing w:before="13" w:line="249" w:lineRule="auto"/>
        <w:ind w:right="98" w:firstLine="450"/>
        <w:rPr>
          <w:rFonts w:hint="eastAsia"/>
          <w:color w:val="231F20"/>
        </w:rPr>
      </w:pPr>
    </w:p>
    <w:p w14:paraId="55EFCE9B">
      <w:pPr>
        <w:pStyle w:val="9"/>
        <w:spacing w:before="13" w:line="249" w:lineRule="auto"/>
        <w:ind w:right="98" w:firstLine="450"/>
        <w:rPr>
          <w:rFonts w:hint="eastAsia"/>
          <w:color w:val="231F20"/>
        </w:rPr>
      </w:pPr>
      <w:r>
        <w:rPr>
          <w:rFonts w:hint="eastAsia"/>
          <w:color w:val="231F20"/>
        </w:rPr>
        <w:t>This calls to mind the many occasions in which God confounded the plans of the enemies of Christ’s apostles, so that they might fully proclaim the Gospel to one and all, and so finish their course victoriously, with great joy (Acts 4:1-27, 5:17ff, 12:1-19, 13:4-12, 16:16- 40, 18:1-17, 19:21ff, 20:24, 2 Tim. 4:18).</w:t>
      </w:r>
    </w:p>
    <w:p w14:paraId="43660A9C">
      <w:pPr>
        <w:pStyle w:val="9"/>
        <w:spacing w:before="13" w:line="249" w:lineRule="auto"/>
        <w:ind w:right="98" w:firstLine="450"/>
        <w:rPr>
          <w:rFonts w:hint="eastAsia"/>
          <w:color w:val="231F20"/>
        </w:rPr>
      </w:pPr>
      <w:r>
        <w:rPr>
          <w:rFonts w:hint="eastAsia"/>
          <w:color w:val="231F20"/>
        </w:rPr>
        <w:t>这让人想起许多场合，神挫败了基督使徒仇敌的计谋，使他们可以向所有人充分宣讲福音，从而带着极大的喜乐，胜利地跑完他们的路程 (徒 4:1-27, 5:17及后, 12:1-19, 13:4-12, 16:16-40, 18:1-17, 19:21及后, 20:24, 提后 4:18)。</w:t>
      </w:r>
    </w:p>
    <w:p w14:paraId="422D463A">
      <w:pPr>
        <w:pStyle w:val="9"/>
        <w:spacing w:before="13" w:line="249" w:lineRule="auto"/>
        <w:ind w:right="98" w:firstLine="450"/>
        <w:rPr>
          <w:rFonts w:hint="eastAsia"/>
          <w:color w:val="231F20"/>
        </w:rPr>
      </w:pPr>
    </w:p>
    <w:p w14:paraId="0E643214">
      <w:pPr>
        <w:pStyle w:val="9"/>
        <w:spacing w:before="13" w:line="249" w:lineRule="auto"/>
        <w:ind w:right="98" w:firstLine="450"/>
        <w:rPr>
          <w:rFonts w:hint="eastAsia"/>
          <w:color w:val="231F20"/>
        </w:rPr>
      </w:pPr>
      <w:r>
        <w:rPr>
          <w:rFonts w:hint="eastAsia"/>
          <w:color w:val="231F20"/>
        </w:rPr>
        <w:t>Verses 5-6 depict the gladness and dynamism of the eschatological “clans of Judah”—that is, of Church leaders serving all throughout the Era of Proclamation.</w:t>
      </w:r>
    </w:p>
    <w:p w14:paraId="3F919DA2">
      <w:pPr>
        <w:pStyle w:val="9"/>
        <w:spacing w:before="13" w:line="249" w:lineRule="auto"/>
        <w:ind w:right="98" w:firstLine="450"/>
        <w:rPr>
          <w:rFonts w:hint="eastAsia"/>
          <w:color w:val="231F20"/>
        </w:rPr>
      </w:pPr>
      <w:r>
        <w:rPr>
          <w:rFonts w:hint="eastAsia"/>
          <w:color w:val="231F20"/>
        </w:rPr>
        <w:t>第5-6节描绘了末世“犹大族长”的喜乐和活力——即在整个宣讲时代服事的教会领袖。</w:t>
      </w:r>
    </w:p>
    <w:p w14:paraId="7BC7A5E0">
      <w:pPr>
        <w:pStyle w:val="9"/>
        <w:spacing w:before="13" w:line="249" w:lineRule="auto"/>
        <w:ind w:right="98" w:firstLine="450"/>
        <w:rPr>
          <w:rFonts w:hint="eastAsia"/>
          <w:color w:val="231F20"/>
        </w:rPr>
      </w:pPr>
    </w:p>
    <w:p w14:paraId="40805EBA">
      <w:pPr>
        <w:pStyle w:val="9"/>
        <w:spacing w:before="13" w:line="249" w:lineRule="auto"/>
        <w:ind w:right="98" w:firstLine="450"/>
        <w:rPr>
          <w:rFonts w:hint="eastAsia"/>
          <w:color w:val="231F20"/>
        </w:rPr>
      </w:pPr>
      <w:r>
        <w:rPr>
          <w:rFonts w:hint="eastAsia"/>
          <w:color w:val="231F20"/>
        </w:rPr>
        <w:t>In verse 5 we find them reveling in the spiritual vitality, loyalty, and support of “the inhabitants of Jerusalem;” glorying in the gifts and graces of everyday Christians eager to serve the cause of Christ.</w:t>
      </w:r>
    </w:p>
    <w:p w14:paraId="7CD07FAC">
      <w:pPr>
        <w:pStyle w:val="9"/>
        <w:spacing w:before="13" w:line="249" w:lineRule="auto"/>
        <w:ind w:right="98" w:firstLine="450"/>
        <w:rPr>
          <w:rFonts w:hint="eastAsia"/>
          <w:color w:val="231F20"/>
        </w:rPr>
      </w:pPr>
      <w:r>
        <w:rPr>
          <w:rFonts w:hint="eastAsia"/>
          <w:color w:val="231F20"/>
        </w:rPr>
        <w:t>在第5节，我们发现他们陶醉于“耶路撒冷居民”的属灵活力、忠诚和支持；因着渴望服事基督事业的普通基督徒的恩赐和恩典而夸耀。</w:t>
      </w:r>
    </w:p>
    <w:p w14:paraId="2A634528">
      <w:pPr>
        <w:pStyle w:val="9"/>
        <w:spacing w:before="13" w:line="249" w:lineRule="auto"/>
        <w:ind w:right="98" w:firstLine="450"/>
        <w:rPr>
          <w:rFonts w:hint="eastAsia"/>
          <w:color w:val="231F20"/>
        </w:rPr>
      </w:pPr>
    </w:p>
    <w:p w14:paraId="7E2C0335">
      <w:pPr>
        <w:pStyle w:val="9"/>
        <w:spacing w:before="13" w:line="249" w:lineRule="auto"/>
        <w:ind w:right="98" w:firstLine="450"/>
        <w:rPr>
          <w:rFonts w:hint="eastAsia"/>
          <w:color w:val="231F20"/>
        </w:rPr>
      </w:pPr>
      <w:r>
        <w:rPr>
          <w:rFonts w:hint="eastAsia"/>
          <w:color w:val="231F20"/>
        </w:rPr>
        <w:t>Here, one thinks of the apostle Paul, effusing over the prayers, outreach, and generosity of the Gentile assemblies he had founded (2 Cor. 8, 9; Phil. 1:3- 11, 4:10ff, 1 Thess. 1, 2).</w:t>
      </w:r>
    </w:p>
    <w:p w14:paraId="00903B52">
      <w:pPr>
        <w:pStyle w:val="9"/>
        <w:spacing w:before="13" w:line="249" w:lineRule="auto"/>
        <w:ind w:right="98" w:firstLine="450"/>
        <w:rPr>
          <w:rFonts w:hint="eastAsia"/>
          <w:color w:val="231F20"/>
        </w:rPr>
      </w:pPr>
      <w:r>
        <w:rPr>
          <w:rFonts w:hint="eastAsia"/>
          <w:color w:val="231F20"/>
        </w:rPr>
        <w:t>在这里，人们会想到使徒保罗，他对所建立的外邦教会的祷告、外展和慷慨大加赞赏 (林后 8, 9; 腓 1:3-11, 4:10及后, 帖前 1, 2)。</w:t>
      </w:r>
    </w:p>
    <w:p w14:paraId="55ED8012">
      <w:pPr>
        <w:pStyle w:val="9"/>
        <w:spacing w:before="13" w:line="249" w:lineRule="auto"/>
        <w:ind w:right="98" w:firstLine="450"/>
        <w:rPr>
          <w:rFonts w:hint="eastAsia"/>
          <w:color w:val="231F20"/>
        </w:rPr>
      </w:pPr>
    </w:p>
    <w:p w14:paraId="3824E456">
      <w:pPr>
        <w:pStyle w:val="9"/>
        <w:spacing w:before="13" w:line="249" w:lineRule="auto"/>
        <w:ind w:right="98" w:firstLine="450"/>
        <w:rPr>
          <w:rFonts w:hint="eastAsia"/>
          <w:color w:val="231F20"/>
        </w:rPr>
      </w:pPr>
      <w:r>
        <w:rPr>
          <w:rFonts w:hint="eastAsia"/>
          <w:color w:val="231F20"/>
        </w:rPr>
        <w:t>Verse 6 pictures the great unction and effectiveness of these latter-day Gospel warriors: Ablaze with the Spirit, they will be led in triumph in Christ, diffusing the knowledge of the Redeemer in every place, and infallibly building up his Church (2 Cor. 2:14-17, Eph. 4:7-16).</w:t>
      </w:r>
    </w:p>
    <w:p w14:paraId="6CF16AD5">
      <w:pPr>
        <w:pStyle w:val="9"/>
        <w:spacing w:before="13" w:line="249" w:lineRule="auto"/>
        <w:ind w:right="98" w:firstLine="450"/>
        <w:rPr>
          <w:rFonts w:hint="eastAsia"/>
          <w:color w:val="231F20"/>
        </w:rPr>
      </w:pPr>
      <w:r>
        <w:rPr>
          <w:rFonts w:hint="eastAsia"/>
          <w:color w:val="231F20"/>
        </w:rPr>
        <w:t>第6节描绘了这些末日福音战士伟大的恩膏和果效：被圣灵点燃，他们将在基督里被带领夸胜，在各处散发救赎主的知识，并无误地建立祂的教会 (林后 2:14-17, 弗 4:7-16)。</w:t>
      </w:r>
    </w:p>
    <w:p w14:paraId="6FDDE4BE">
      <w:pPr>
        <w:pStyle w:val="9"/>
        <w:spacing w:before="13" w:line="249" w:lineRule="auto"/>
        <w:ind w:right="98" w:firstLine="450"/>
        <w:rPr>
          <w:rFonts w:hint="eastAsia"/>
          <w:color w:val="231F20"/>
        </w:rPr>
      </w:pPr>
    </w:p>
    <w:p w14:paraId="69FD57D7">
      <w:pPr>
        <w:pStyle w:val="9"/>
        <w:spacing w:before="13" w:line="249" w:lineRule="auto"/>
        <w:ind w:right="98" w:firstLine="450"/>
        <w:rPr>
          <w:rFonts w:hint="eastAsia"/>
          <w:color w:val="231F20"/>
        </w:rPr>
      </w:pPr>
      <w:r>
        <w:rPr>
          <w:rFonts w:hint="eastAsia"/>
          <w:color w:val="231F20"/>
        </w:rPr>
        <w:t>Some (i.e., those who are being saved) they will “consume on the right hand,” torching their opposition to Christ, and so transforming them into spiritual brethren and fellow-citizens of the Jerusalem above (Phil. 3:20).</w:t>
      </w:r>
    </w:p>
    <w:p w14:paraId="5FE1A7CF">
      <w:pPr>
        <w:pStyle w:val="9"/>
        <w:spacing w:before="13" w:line="249" w:lineRule="auto"/>
        <w:ind w:right="98" w:firstLine="450"/>
        <w:rPr>
          <w:rFonts w:hint="eastAsia"/>
          <w:color w:val="231F20"/>
        </w:rPr>
      </w:pPr>
      <w:r>
        <w:rPr>
          <w:rFonts w:hint="eastAsia"/>
          <w:color w:val="231F20"/>
        </w:rPr>
        <w:t>有些人（即那些正在得救的人），他们将在“右边吞灭”，烧尽他们对基督的反对，从而将他们转变为属灵的弟兄和天上耶路撒冷的同胞 (腓 3:20)。</w:t>
      </w:r>
    </w:p>
    <w:p w14:paraId="07CF2748">
      <w:pPr>
        <w:pStyle w:val="9"/>
        <w:spacing w:before="13" w:line="249" w:lineRule="auto"/>
        <w:ind w:right="98" w:firstLine="450"/>
        <w:rPr>
          <w:rFonts w:hint="eastAsia"/>
          <w:color w:val="231F20"/>
        </w:rPr>
      </w:pPr>
    </w:p>
    <w:p w14:paraId="54060BE6">
      <w:pPr>
        <w:pStyle w:val="9"/>
        <w:spacing w:before="13" w:line="249" w:lineRule="auto"/>
        <w:ind w:right="98" w:firstLine="450"/>
        <w:rPr>
          <w:rFonts w:hint="eastAsia"/>
          <w:color w:val="231F20"/>
        </w:rPr>
      </w:pPr>
      <w:r>
        <w:rPr>
          <w:rFonts w:hint="eastAsia"/>
          <w:color w:val="231F20"/>
        </w:rPr>
        <w:t>Others (i.e., those who are perishing), they will “consume on the left hand,” consigning them, through their own impenitence, to the fires of judgment (John 3:19-21, 20:23, Acts 13:46).</w:t>
      </w:r>
    </w:p>
    <w:p w14:paraId="6F3F3484">
      <w:pPr>
        <w:pStyle w:val="9"/>
        <w:spacing w:before="13" w:line="249" w:lineRule="auto"/>
        <w:ind w:right="98" w:firstLine="450"/>
        <w:rPr>
          <w:rFonts w:hint="eastAsia"/>
          <w:color w:val="231F20"/>
        </w:rPr>
      </w:pPr>
      <w:r>
        <w:rPr>
          <w:rFonts w:hint="eastAsia"/>
          <w:color w:val="231F20"/>
        </w:rPr>
        <w:t>另一些人（即那些正在灭亡的人），他们将在“左边吞灭”，通过他们自己的不悔改，将他们交付给审判之火 (约 3:19-21, 20:23, 徒 13:46)。</w:t>
      </w:r>
    </w:p>
    <w:p w14:paraId="141AA11C">
      <w:pPr>
        <w:pStyle w:val="9"/>
        <w:spacing w:before="13" w:line="249" w:lineRule="auto"/>
        <w:ind w:right="98" w:firstLine="450"/>
        <w:rPr>
          <w:rFonts w:hint="eastAsia"/>
          <w:color w:val="231F20"/>
        </w:rPr>
      </w:pPr>
    </w:p>
    <w:p w14:paraId="4D66A501">
      <w:pPr>
        <w:pStyle w:val="9"/>
        <w:spacing w:before="13" w:line="249" w:lineRule="auto"/>
        <w:ind w:right="98" w:firstLine="450"/>
        <w:rPr>
          <w:rFonts w:hint="eastAsia"/>
          <w:color w:val="231F20"/>
        </w:rPr>
      </w:pPr>
      <w:r>
        <w:rPr>
          <w:rFonts w:hint="eastAsia"/>
          <w:color w:val="231F20"/>
        </w:rPr>
        <w:t>At the end of the Era of Proclamation, when the battle is over and the victory complete, all the inhabitants of Jerusalem will dwell securely in their eternal home(s), with none to frighten or attack again (John 14:3).</w:t>
      </w:r>
    </w:p>
    <w:p w14:paraId="2F580434">
      <w:pPr>
        <w:pStyle w:val="9"/>
        <w:spacing w:before="13" w:line="249" w:lineRule="auto"/>
        <w:ind w:right="98" w:firstLine="450"/>
        <w:rPr>
          <w:rFonts w:hint="eastAsia"/>
          <w:color w:val="231F20"/>
        </w:rPr>
      </w:pPr>
      <w:r>
        <w:rPr>
          <w:rFonts w:hint="eastAsia"/>
          <w:color w:val="231F20"/>
        </w:rPr>
        <w:t>在宣讲时代的末了，当争战结束，胜利完全时，所有耶路撒冷的居民都将安然居住在他们永恒的家园中，再也没有人来恐吓或攻击 (约 14:3)。</w:t>
      </w:r>
    </w:p>
    <w:p w14:paraId="2C5DD82C">
      <w:pPr>
        <w:pStyle w:val="9"/>
        <w:spacing w:before="13" w:line="249" w:lineRule="auto"/>
        <w:ind w:right="98" w:firstLine="450"/>
        <w:rPr>
          <w:rFonts w:hint="eastAsia"/>
          <w:color w:val="231F20"/>
        </w:rPr>
      </w:pPr>
    </w:p>
    <w:p w14:paraId="570B3C02">
      <w:pPr>
        <w:pStyle w:val="9"/>
        <w:spacing w:before="13" w:line="249" w:lineRule="auto"/>
        <w:ind w:right="98" w:firstLine="450"/>
        <w:rPr>
          <w:rFonts w:hint="eastAsia"/>
          <w:color w:val="231F20"/>
        </w:rPr>
      </w:pPr>
      <w:r>
        <w:rPr>
          <w:rFonts w:hint="eastAsia"/>
          <w:color w:val="231F20"/>
        </w:rPr>
        <w:t>The message of verse 7—a prophetic nugget best interpreted in isolation from verses 5-6—is that “in that Day” God will pour a new social dynamic into the eschatological nation: None of his people will glory above the rest.</w:t>
      </w:r>
    </w:p>
    <w:p w14:paraId="2E26F03A">
      <w:pPr>
        <w:pStyle w:val="9"/>
        <w:spacing w:before="13" w:line="249" w:lineRule="auto"/>
        <w:ind w:right="98" w:firstLine="450"/>
        <w:rPr>
          <w:rFonts w:hint="eastAsia"/>
          <w:color w:val="231F20"/>
        </w:rPr>
      </w:pPr>
      <w:r>
        <w:rPr>
          <w:rFonts w:hint="eastAsia"/>
          <w:color w:val="231F20"/>
        </w:rPr>
        <w:t>第7节的信息——一个最好与第5-6节分开解释的预言精华——是“那日”神将向末世的国度倾注一种新的社会动力：祂的子民中没有人会比其余的人更夸耀。</w:t>
      </w:r>
    </w:p>
    <w:p w14:paraId="59B855FA">
      <w:pPr>
        <w:pStyle w:val="9"/>
        <w:spacing w:before="13" w:line="249" w:lineRule="auto"/>
        <w:ind w:right="98" w:firstLine="450"/>
        <w:rPr>
          <w:rFonts w:hint="eastAsia"/>
          <w:color w:val="231F20"/>
        </w:rPr>
      </w:pPr>
    </w:p>
    <w:p w14:paraId="06D7BE8C">
      <w:pPr>
        <w:pStyle w:val="9"/>
        <w:spacing w:before="13" w:line="249" w:lineRule="auto"/>
        <w:ind w:right="98" w:firstLine="450"/>
        <w:rPr>
          <w:rFonts w:hint="eastAsia"/>
          <w:color w:val="231F20"/>
        </w:rPr>
      </w:pPr>
      <w:r>
        <w:rPr>
          <w:rFonts w:hint="eastAsia"/>
          <w:color w:val="231F20"/>
        </w:rPr>
        <w:t>Special honors will no longer be accorded to a royal family, or to the inhabitants of a capital city (let Rome take note!).</w:t>
      </w:r>
    </w:p>
    <w:p w14:paraId="6F8D9E30">
      <w:pPr>
        <w:pStyle w:val="9"/>
        <w:spacing w:before="13" w:line="249" w:lineRule="auto"/>
        <w:ind w:right="98" w:firstLine="450"/>
        <w:rPr>
          <w:rFonts w:hint="eastAsia"/>
          <w:color w:val="231F20"/>
        </w:rPr>
      </w:pPr>
      <w:r>
        <w:rPr>
          <w:rFonts w:hint="eastAsia"/>
          <w:color w:val="231F20"/>
        </w:rPr>
        <w:t>特殊的尊荣将不再授予王室，或首都的居民（让罗马注意！）。</w:t>
      </w:r>
    </w:p>
    <w:p w14:paraId="26331D6D">
      <w:pPr>
        <w:pStyle w:val="9"/>
        <w:spacing w:before="13" w:line="249" w:lineRule="auto"/>
        <w:ind w:right="98" w:firstLine="450"/>
        <w:rPr>
          <w:rFonts w:hint="eastAsia"/>
          <w:color w:val="231F20"/>
        </w:rPr>
      </w:pPr>
    </w:p>
    <w:p w14:paraId="2CF40688">
      <w:pPr>
        <w:pStyle w:val="9"/>
        <w:spacing w:before="13" w:line="249" w:lineRule="auto"/>
        <w:ind w:right="98" w:firstLine="450"/>
        <w:rPr>
          <w:rFonts w:hint="eastAsia"/>
          <w:color w:val="231F20"/>
        </w:rPr>
      </w:pPr>
      <w:r>
        <w:rPr>
          <w:rFonts w:hint="eastAsia"/>
          <w:color w:val="231F20"/>
        </w:rPr>
        <w:t>Instead, God will distribute the gifts of his Spirit in such a way as to preclude divisions in Christ’s Body; in such a way that the members of the Body will have the same care one for another (1 Cor. 12:22-25).</w:t>
      </w:r>
    </w:p>
    <w:p w14:paraId="17532F5E">
      <w:pPr>
        <w:pStyle w:val="9"/>
        <w:spacing w:before="13" w:line="249" w:lineRule="auto"/>
        <w:ind w:right="98" w:firstLine="450"/>
        <w:rPr>
          <w:rFonts w:hint="eastAsia"/>
          <w:color w:val="231F20"/>
        </w:rPr>
      </w:pPr>
      <w:r>
        <w:rPr>
          <w:rFonts w:hint="eastAsia"/>
          <w:color w:val="231F20"/>
        </w:rPr>
        <w:t>相反，神将以一种方式分赐祂的圣灵恩赐，以杜绝基督身体里的分裂；以一种方式使身体的肢体彼此相顾 (林前 12:22-25)。</w:t>
      </w:r>
    </w:p>
    <w:p w14:paraId="5226D8BB">
      <w:pPr>
        <w:pStyle w:val="9"/>
        <w:spacing w:before="13" w:line="249" w:lineRule="auto"/>
        <w:ind w:right="98" w:firstLine="450"/>
        <w:rPr>
          <w:rFonts w:hint="eastAsia"/>
          <w:color w:val="231F20"/>
        </w:rPr>
      </w:pPr>
    </w:p>
    <w:p w14:paraId="47AB4CD2">
      <w:pPr>
        <w:pStyle w:val="9"/>
        <w:spacing w:before="13" w:line="249" w:lineRule="auto"/>
        <w:ind w:right="98" w:firstLine="450"/>
        <w:rPr>
          <w:rFonts w:hint="eastAsia"/>
          <w:color w:val="231F20"/>
        </w:rPr>
      </w:pPr>
      <w:r>
        <w:rPr>
          <w:rFonts w:hint="eastAsia"/>
          <w:color w:val="231F20"/>
        </w:rPr>
        <w:t>Therefore, far from seeking to exalt himself, he who is greatest in that Day wlll be the servant of all (Mark 9:35); each will regard his brother as more important than himself (Phil. 2:3); and all will seek glory and honor, not for themselves, but for Christ (2 Cor. 10:17, Gal. 6:14).</w:t>
      </w:r>
    </w:p>
    <w:p w14:paraId="4260211C">
      <w:pPr>
        <w:pStyle w:val="9"/>
        <w:spacing w:before="13" w:line="249" w:lineRule="auto"/>
        <w:ind w:right="98" w:firstLine="450"/>
        <w:rPr>
          <w:rFonts w:hint="eastAsia"/>
          <w:color w:val="231F20"/>
        </w:rPr>
      </w:pPr>
      <w:r>
        <w:rPr>
          <w:rFonts w:hint="eastAsia"/>
          <w:color w:val="231F20"/>
        </w:rPr>
        <w:t>因此，那日为大的，远非寻求高抬自己，反倒要做众人的仆人 (可 9:35)；各人要看别人比自己强 (腓 2:3)；并且所有人都将寻求荣耀和尊贵，不是为自己，而是为基督 (林后 10:17, 加 6:14)。</w:t>
      </w:r>
    </w:p>
    <w:p w14:paraId="71083DB4">
      <w:pPr>
        <w:pStyle w:val="9"/>
        <w:spacing w:before="13" w:line="249" w:lineRule="auto"/>
        <w:ind w:right="98" w:firstLine="450"/>
        <w:rPr>
          <w:rFonts w:hint="eastAsia"/>
          <w:color w:val="231F20"/>
        </w:rPr>
      </w:pPr>
    </w:p>
    <w:p w14:paraId="16C3CD1F">
      <w:pPr>
        <w:pStyle w:val="9"/>
        <w:spacing w:before="13" w:line="249" w:lineRule="auto"/>
        <w:ind w:right="98" w:firstLine="450"/>
        <w:rPr>
          <w:rFonts w:hint="eastAsia"/>
          <w:color w:val="231F20"/>
        </w:rPr>
      </w:pPr>
      <w:r>
        <w:rPr>
          <w:rFonts w:hint="eastAsia"/>
          <w:color w:val="231F20"/>
        </w:rPr>
        <w:t>Verse 8 uses vivid OT imagery to declare that throughout the Era of Proclamation the LORD will defend his NT warriors and make them mighty through God for the tearing down of (spiritual) strongholds (2 Cor. 10:4f).</w:t>
      </w:r>
    </w:p>
    <w:p w14:paraId="743867B9">
      <w:pPr>
        <w:pStyle w:val="9"/>
        <w:spacing w:before="13" w:line="249" w:lineRule="auto"/>
        <w:ind w:right="98" w:firstLine="450"/>
        <w:rPr>
          <w:rFonts w:hint="eastAsia"/>
          <w:color w:val="231F20"/>
        </w:rPr>
      </w:pPr>
      <w:r>
        <w:rPr>
          <w:rFonts w:hint="eastAsia"/>
          <w:color w:val="231F20"/>
        </w:rPr>
        <w:t>第8节使用生动的旧约意象宣告，在整个宣讲时代，主将保卫祂的新约战士，并使他们在神面前有能力，可以攻破（属灵的）坚固营垒 (林后 10:4及后)。</w:t>
      </w:r>
    </w:p>
    <w:p w14:paraId="54CE2FDF">
      <w:pPr>
        <w:pStyle w:val="9"/>
        <w:spacing w:before="13" w:line="249" w:lineRule="auto"/>
        <w:ind w:right="98" w:firstLine="450"/>
        <w:rPr>
          <w:rFonts w:hint="eastAsia"/>
          <w:color w:val="231F20"/>
        </w:rPr>
      </w:pPr>
    </w:p>
    <w:p w14:paraId="6B9DE34F">
      <w:pPr>
        <w:pStyle w:val="9"/>
        <w:spacing w:before="13" w:line="249" w:lineRule="auto"/>
        <w:ind w:right="98" w:firstLine="450"/>
        <w:rPr>
          <w:rFonts w:hint="eastAsia"/>
          <w:color w:val="231F20"/>
        </w:rPr>
      </w:pPr>
      <w:r>
        <w:rPr>
          <w:rFonts w:hint="eastAsia"/>
          <w:color w:val="231F20"/>
        </w:rPr>
        <w:t>Though their bodies may indeed feed the flames, not a hair of their head (i.e., their regenerate souls) will perish (Luke 21:18, John 17:11, 15, 1 Cor. 13:3).</w:t>
      </w:r>
    </w:p>
    <w:p w14:paraId="2DDDC13C">
      <w:pPr>
        <w:pStyle w:val="9"/>
        <w:spacing w:before="13" w:line="249" w:lineRule="auto"/>
        <w:ind w:right="98" w:firstLine="450"/>
        <w:rPr>
          <w:rFonts w:hint="eastAsia"/>
          <w:color w:val="231F20"/>
        </w:rPr>
      </w:pPr>
      <w:r>
        <w:rPr>
          <w:rFonts w:hint="eastAsia"/>
          <w:color w:val="231F20"/>
        </w:rPr>
        <w:t>虽然他们的身体确实可能喂饱火焰，但他们的一根头发（即他们重生的灵魂）也不会 погибать (路 21:18, 约 17:11, 15, 林前 13:3)。</w:t>
      </w:r>
    </w:p>
    <w:p w14:paraId="3456F1A5">
      <w:pPr>
        <w:pStyle w:val="9"/>
        <w:spacing w:before="13" w:line="249" w:lineRule="auto"/>
        <w:ind w:right="98" w:firstLine="450"/>
        <w:rPr>
          <w:rFonts w:hint="eastAsia"/>
          <w:color w:val="231F20"/>
        </w:rPr>
      </w:pPr>
    </w:p>
    <w:p w14:paraId="0AFDBEFD">
      <w:pPr>
        <w:pStyle w:val="9"/>
        <w:spacing w:before="13" w:line="249" w:lineRule="auto"/>
        <w:ind w:right="98" w:firstLine="450"/>
        <w:rPr>
          <w:rFonts w:hint="eastAsia"/>
          <w:color w:val="231F20"/>
        </w:rPr>
      </w:pPr>
      <w:r>
        <w:rPr>
          <w:rFonts w:hint="eastAsia"/>
          <w:color w:val="231F20"/>
        </w:rPr>
        <w:t>In and of themselves they are a picture of spiritual weakness and poverty, but they can do all things through Christ who strengthens them, even to the extent of casting (spiritual) mountains into the depths of the sea (Zech. 4:6-7; Mt. 5:3, 21:21, 2 Cor. 12:9, Phil. 4:13).</w:t>
      </w:r>
    </w:p>
    <w:p w14:paraId="3AC11311">
      <w:pPr>
        <w:pStyle w:val="9"/>
        <w:spacing w:before="13" w:line="249" w:lineRule="auto"/>
        <w:ind w:right="98" w:firstLine="450"/>
        <w:rPr>
          <w:rFonts w:hint="eastAsia"/>
          <w:color w:val="231F20"/>
        </w:rPr>
      </w:pPr>
      <w:r>
        <w:rPr>
          <w:rFonts w:hint="eastAsia"/>
          <w:color w:val="231F20"/>
        </w:rPr>
        <w:t>他们本身是属灵软弱和贫穷的写照，但靠着那加给他们力量的基督，他们凡事都能做，甚至能将（属灵的）山投在海的深处 (亚 4:6-7; 太 5:3, 21:21, 林后 12:9, 腓 4:13)。</w:t>
      </w:r>
    </w:p>
    <w:p w14:paraId="6CF842EB">
      <w:pPr>
        <w:pStyle w:val="9"/>
        <w:spacing w:before="13" w:line="249" w:lineRule="auto"/>
        <w:ind w:right="98" w:firstLine="450"/>
        <w:rPr>
          <w:rFonts w:hint="eastAsia"/>
          <w:color w:val="231F20"/>
        </w:rPr>
      </w:pPr>
    </w:p>
    <w:p w14:paraId="7BBD2C8C">
      <w:pPr>
        <w:pStyle w:val="9"/>
        <w:spacing w:before="13" w:line="249" w:lineRule="auto"/>
        <w:ind w:right="98" w:firstLine="450"/>
        <w:rPr>
          <w:rFonts w:hint="eastAsia"/>
          <w:color w:val="231F20"/>
        </w:rPr>
      </w:pPr>
      <w:r>
        <w:rPr>
          <w:rFonts w:hint="eastAsia"/>
          <w:color w:val="231F20"/>
        </w:rPr>
        <w:t>Through them, God’s eschatological Zerubbabel will build his Church (Zech. 4:1-10, Mt. 16:18).</w:t>
      </w:r>
    </w:p>
    <w:p w14:paraId="7BF46DB6">
      <w:pPr>
        <w:pStyle w:val="9"/>
        <w:spacing w:before="13" w:line="249" w:lineRule="auto"/>
        <w:ind w:right="98" w:firstLine="450"/>
        <w:rPr>
          <w:rFonts w:hint="eastAsia"/>
          <w:color w:val="231F20"/>
        </w:rPr>
      </w:pPr>
      <w:r>
        <w:rPr>
          <w:rFonts w:hint="eastAsia"/>
          <w:color w:val="231F20"/>
        </w:rPr>
        <w:t>通过他们，神末世的所罗巴伯将建立祂的教会 (亚 4:1-10, 太 16:18)。</w:t>
      </w:r>
    </w:p>
    <w:p w14:paraId="2324AB5D">
      <w:pPr>
        <w:pStyle w:val="9"/>
        <w:spacing w:before="13" w:line="249" w:lineRule="auto"/>
        <w:ind w:right="98" w:firstLine="450"/>
        <w:rPr>
          <w:rFonts w:hint="eastAsia"/>
          <w:color w:val="231F20"/>
        </w:rPr>
      </w:pPr>
    </w:p>
    <w:p w14:paraId="7815A193">
      <w:pPr>
        <w:pStyle w:val="9"/>
        <w:spacing w:before="13" w:line="249" w:lineRule="auto"/>
        <w:ind w:right="98" w:firstLine="450"/>
        <w:rPr>
          <w:rFonts w:hint="eastAsia"/>
          <w:color w:val="231F20"/>
        </w:rPr>
      </w:pPr>
      <w:r>
        <w:rPr>
          <w:rFonts w:hint="eastAsia"/>
          <w:color w:val="231F20"/>
        </w:rPr>
        <w:t>While verse 9 is indeed applicable to the entire Church era, its contents and position at the end of this prophetic snapshot suggest that here the Spirit is mainly looking ahead to the Day of the LORD, a theme to be taken up in chapter 14.</w:t>
      </w:r>
    </w:p>
    <w:p w14:paraId="78AA1E37">
      <w:pPr>
        <w:pStyle w:val="9"/>
        <w:spacing w:before="13" w:line="249" w:lineRule="auto"/>
        <w:ind w:right="98" w:firstLine="450"/>
        <w:rPr>
          <w:rFonts w:hint="eastAsia"/>
          <w:color w:val="231F20"/>
        </w:rPr>
      </w:pPr>
      <w:r>
        <w:rPr>
          <w:rFonts w:hint="eastAsia"/>
          <w:color w:val="231F20"/>
        </w:rPr>
        <w:t>虽然第9节确实适用于整个教会时代，但其内容和在这个预言性快照末尾的位置表明，这里的圣灵主要是在展望主的日子，这个主题将在第14章中讨论。</w:t>
      </w:r>
    </w:p>
    <w:p w14:paraId="22F0834E">
      <w:pPr>
        <w:pStyle w:val="9"/>
        <w:spacing w:before="13" w:line="249" w:lineRule="auto"/>
        <w:ind w:right="98" w:firstLine="450"/>
        <w:rPr>
          <w:rFonts w:hint="eastAsia"/>
          <w:color w:val="231F20"/>
        </w:rPr>
      </w:pPr>
    </w:p>
    <w:p w14:paraId="03E5A7E2">
      <w:pPr>
        <w:pStyle w:val="9"/>
        <w:spacing w:before="13" w:line="249" w:lineRule="auto"/>
        <w:ind w:right="98" w:firstLine="450"/>
        <w:rPr>
          <w:rFonts w:hint="eastAsia"/>
          <w:color w:val="231F20"/>
        </w:rPr>
      </w:pPr>
      <w:r>
        <w:rPr>
          <w:rFonts w:hint="eastAsia"/>
          <w:color w:val="231F20"/>
        </w:rPr>
        <w:t>If so, the judgment here in view will be the one which immediately follows the Last Battle, when Christ descends from heaven to rescue his beleaguered Bride and to destroy the assembled enemies of God, once and for all (14:2f, Rev. 19:11ff).</w:t>
      </w:r>
    </w:p>
    <w:p w14:paraId="66986085">
      <w:pPr>
        <w:pStyle w:val="9"/>
        <w:spacing w:before="13" w:line="249" w:lineRule="auto"/>
        <w:ind w:right="98" w:firstLine="450"/>
        <w:rPr>
          <w:rFonts w:hint="eastAsia"/>
          <w:color w:val="231F20"/>
        </w:rPr>
      </w:pPr>
      <w:r>
        <w:rPr>
          <w:rFonts w:hint="eastAsia"/>
          <w:color w:val="231F20"/>
        </w:rPr>
        <w:t>如果是这样，这里所说的审判将是紧接在最后战役之后的那个审判，那时基督从天降临，拯救祂被围困的新妇，并一劳永逸地摧毁聚集起来的神的仇敌 (14:2及后, 启 19:11及后)。</w:t>
      </w:r>
    </w:p>
    <w:p w14:paraId="68F3F741">
      <w:pPr>
        <w:pStyle w:val="9"/>
        <w:spacing w:before="13" w:line="249" w:lineRule="auto"/>
        <w:ind w:right="98" w:firstLine="450"/>
        <w:rPr>
          <w:rFonts w:hint="eastAsia"/>
          <w:color w:val="231F20"/>
        </w:rPr>
      </w:pPr>
    </w:p>
    <w:p w14:paraId="7CDE9986">
      <w:pPr>
        <w:pStyle w:val="9"/>
        <w:spacing w:before="13" w:line="249" w:lineRule="auto"/>
        <w:ind w:right="98" w:firstLine="450"/>
        <w:rPr>
          <w:rFonts w:hint="eastAsia"/>
          <w:color w:val="231F20"/>
        </w:rPr>
      </w:pPr>
      <w:r>
        <w:rPr>
          <w:rFonts w:hint="eastAsia"/>
          <w:color w:val="231F20"/>
        </w:rPr>
        <w:t>Before Strength, Tears (12:10-14)</w:t>
      </w:r>
    </w:p>
    <w:p w14:paraId="4C6CB86B">
      <w:pPr>
        <w:pStyle w:val="9"/>
        <w:spacing w:before="13" w:line="249" w:lineRule="auto"/>
        <w:ind w:right="98" w:firstLine="450"/>
        <w:rPr>
          <w:rFonts w:hint="eastAsia"/>
          <w:color w:val="231F20"/>
        </w:rPr>
      </w:pPr>
      <w:r>
        <w:rPr>
          <w:rFonts w:hint="eastAsia"/>
          <w:color w:val="231F20"/>
        </w:rPr>
        <w:t>先有眼泪，后有力量 (12:10-14)</w:t>
      </w:r>
    </w:p>
    <w:p w14:paraId="35E3DE95">
      <w:pPr>
        <w:pStyle w:val="9"/>
        <w:spacing w:before="13" w:line="249" w:lineRule="auto"/>
        <w:ind w:right="98" w:firstLine="450"/>
        <w:rPr>
          <w:rFonts w:hint="eastAsia"/>
          <w:color w:val="231F20"/>
        </w:rPr>
      </w:pPr>
    </w:p>
    <w:p w14:paraId="41C43932">
      <w:pPr>
        <w:pStyle w:val="9"/>
        <w:spacing w:before="13" w:line="249" w:lineRule="auto"/>
        <w:ind w:right="98" w:firstLine="450"/>
        <w:rPr>
          <w:rFonts w:hint="eastAsia"/>
          <w:color w:val="231F20"/>
        </w:rPr>
      </w:pPr>
      <w:r>
        <w:rPr>
          <w:rFonts w:hint="eastAsia"/>
          <w:color w:val="231F20"/>
        </w:rPr>
        <w:t>How is it that eschatological Jerusalem will become a cup of reeling to the nations (12:2); how is it that God will so zealously come to her aid (12:4, 9); how is it that his people will find such great strength for the battle (12:5-7)?</w:t>
      </w:r>
    </w:p>
    <w:p w14:paraId="26129865">
      <w:pPr>
        <w:pStyle w:val="9"/>
        <w:spacing w:before="13" w:line="249" w:lineRule="auto"/>
        <w:ind w:right="98" w:firstLine="450"/>
        <w:rPr>
          <w:rFonts w:hint="eastAsia"/>
          <w:color w:val="231F20"/>
        </w:rPr>
      </w:pPr>
      <w:r>
        <w:rPr>
          <w:rFonts w:hint="eastAsia"/>
          <w:color w:val="231F20"/>
        </w:rPr>
        <w:t>末世的耶路撒冷如何成为令列国东倒西歪的杯（12:2）；神又如何如此热心地来帮助她（12:4, 9）；祂的子民又如何为争战找到如此大的力量（12:5-7）？</w:t>
      </w:r>
    </w:p>
    <w:p w14:paraId="5388DCC2">
      <w:pPr>
        <w:pStyle w:val="9"/>
        <w:spacing w:before="13" w:line="249" w:lineRule="auto"/>
        <w:ind w:right="98" w:firstLine="450"/>
        <w:rPr>
          <w:rFonts w:hint="eastAsia"/>
          <w:color w:val="231F20"/>
        </w:rPr>
      </w:pPr>
    </w:p>
    <w:p w14:paraId="7C265F9D">
      <w:pPr>
        <w:pStyle w:val="9"/>
        <w:spacing w:before="13" w:line="249" w:lineRule="auto"/>
        <w:ind w:right="98" w:firstLine="450"/>
        <w:rPr>
          <w:rFonts w:hint="eastAsia"/>
          <w:color w:val="231F20"/>
        </w:rPr>
      </w:pPr>
      <w:r>
        <w:rPr>
          <w:rFonts w:hint="eastAsia"/>
          <w:color w:val="231F20"/>
        </w:rPr>
        <w:t>Zechariah’s next prophetic snapshot supplies the answer: They will enjoy these blessings because “in that Day” God will grant them deep, Spirit-wrought repentance and faith in Christ (12:10-14).</w:t>
      </w:r>
    </w:p>
    <w:p w14:paraId="163EB9B5">
      <w:pPr>
        <w:pStyle w:val="9"/>
        <w:spacing w:before="13" w:line="249" w:lineRule="auto"/>
        <w:ind w:right="98" w:firstLine="450"/>
        <w:rPr>
          <w:rFonts w:hint="eastAsia"/>
          <w:color w:val="231F20"/>
        </w:rPr>
      </w:pPr>
      <w:r>
        <w:rPr>
          <w:rFonts w:hint="eastAsia"/>
          <w:color w:val="231F20"/>
        </w:rPr>
        <w:t>撒迦利亚的下一个预言性快照提供了答案：他们将享受这些祝福，因为“那日”神将赐给他们深刻的、圣灵所作的悔改和对基督的信心 (12:10-14)。</w:t>
      </w:r>
    </w:p>
    <w:p w14:paraId="79B852CA">
      <w:pPr>
        <w:pStyle w:val="9"/>
        <w:spacing w:before="13" w:line="249" w:lineRule="auto"/>
        <w:ind w:right="98" w:firstLine="450"/>
        <w:rPr>
          <w:rFonts w:hint="eastAsia"/>
          <w:color w:val="231F20"/>
        </w:rPr>
      </w:pPr>
    </w:p>
    <w:p w14:paraId="4D35DBFD">
      <w:pPr>
        <w:pStyle w:val="9"/>
        <w:spacing w:before="13" w:line="249" w:lineRule="auto"/>
        <w:ind w:right="98" w:firstLine="450"/>
        <w:rPr>
          <w:rFonts w:hint="eastAsia"/>
          <w:color w:val="231F20"/>
        </w:rPr>
      </w:pPr>
      <w:r>
        <w:rPr>
          <w:rFonts w:hint="eastAsia"/>
          <w:color w:val="231F20"/>
        </w:rPr>
        <w:t>This will be the key to their eschatological victory.</w:t>
      </w:r>
    </w:p>
    <w:p w14:paraId="7F647ACD">
      <w:pPr>
        <w:pStyle w:val="9"/>
        <w:spacing w:before="13" w:line="249" w:lineRule="auto"/>
        <w:ind w:right="98" w:firstLine="450"/>
        <w:rPr>
          <w:rFonts w:hint="eastAsia"/>
          <w:color w:val="231F20"/>
        </w:rPr>
      </w:pPr>
      <w:r>
        <w:rPr>
          <w:rFonts w:hint="eastAsia"/>
          <w:color w:val="231F20"/>
        </w:rPr>
        <w:t>这将是他们末世胜利的关键。</w:t>
      </w:r>
    </w:p>
    <w:p w14:paraId="41EBAE9F">
      <w:pPr>
        <w:pStyle w:val="9"/>
        <w:spacing w:before="13" w:line="249" w:lineRule="auto"/>
        <w:ind w:right="98" w:firstLine="450"/>
        <w:rPr>
          <w:rFonts w:hint="eastAsia"/>
          <w:color w:val="231F20"/>
        </w:rPr>
      </w:pPr>
    </w:p>
    <w:p w14:paraId="28F00074">
      <w:pPr>
        <w:pStyle w:val="9"/>
        <w:spacing w:before="13" w:line="249" w:lineRule="auto"/>
        <w:ind w:right="98" w:firstLine="450"/>
        <w:rPr>
          <w:rFonts w:hint="eastAsia"/>
          <w:color w:val="231F20"/>
        </w:rPr>
      </w:pPr>
      <w:r>
        <w:rPr>
          <w:rFonts w:hint="eastAsia"/>
          <w:color w:val="231F20"/>
        </w:rPr>
        <w:t>Why?</w:t>
      </w:r>
    </w:p>
    <w:p w14:paraId="65EAF64D">
      <w:pPr>
        <w:pStyle w:val="9"/>
        <w:spacing w:before="13" w:line="249" w:lineRule="auto"/>
        <w:ind w:right="98" w:firstLine="450"/>
        <w:rPr>
          <w:rFonts w:hint="eastAsia"/>
          <w:color w:val="231F20"/>
        </w:rPr>
      </w:pPr>
      <w:r>
        <w:rPr>
          <w:rFonts w:hint="eastAsia"/>
          <w:color w:val="231F20"/>
        </w:rPr>
        <w:t>为什么？</w:t>
      </w:r>
    </w:p>
    <w:p w14:paraId="511776D7">
      <w:pPr>
        <w:pStyle w:val="9"/>
        <w:spacing w:before="13" w:line="249" w:lineRule="auto"/>
        <w:ind w:right="98" w:firstLine="450"/>
        <w:rPr>
          <w:rFonts w:hint="eastAsia"/>
          <w:color w:val="231F20"/>
        </w:rPr>
      </w:pPr>
    </w:p>
    <w:p w14:paraId="35181227">
      <w:pPr>
        <w:pStyle w:val="9"/>
        <w:spacing w:before="13" w:line="249" w:lineRule="auto"/>
        <w:ind w:right="98" w:firstLine="450"/>
        <w:rPr>
          <w:rFonts w:hint="eastAsia"/>
          <w:color w:val="231F20"/>
        </w:rPr>
      </w:pPr>
      <w:r>
        <w:rPr>
          <w:rFonts w:hint="eastAsia"/>
          <w:color w:val="231F20"/>
        </w:rPr>
        <w:t>Because this kind of repentance and faith will be the earmark of their regeneration and justification; because regeneration and justification will make them members of the New Covenant nation; and because the parties to the New Covenant are destined to inherit the promise of the New Covenant: redemptive rescue from every enemy of the Domain of Darkness, and redemptive restoration to all the blessings of eternal life.</w:t>
      </w:r>
    </w:p>
    <w:p w14:paraId="0A956811">
      <w:pPr>
        <w:pStyle w:val="9"/>
        <w:spacing w:before="13" w:line="249" w:lineRule="auto"/>
        <w:ind w:right="98" w:firstLine="450"/>
        <w:rPr>
          <w:rFonts w:hint="eastAsia"/>
          <w:color w:val="231F20"/>
        </w:rPr>
      </w:pPr>
      <w:r>
        <w:rPr>
          <w:rFonts w:hint="eastAsia"/>
          <w:color w:val="231F20"/>
        </w:rPr>
        <w:t>因为这种悔改和信心将是他们重生和称义的标记；因为重生和称义将使他们成为新约国度的成员；又因为新约的缔约方注定要承受新约的应许：从黑暗权势的每一个仇敌手中得到救赎性的拯救，并恢复到永生的一切祝福中。</w:t>
      </w:r>
    </w:p>
    <w:p w14:paraId="1D49B152">
      <w:pPr>
        <w:pStyle w:val="9"/>
        <w:spacing w:before="13" w:line="249" w:lineRule="auto"/>
        <w:ind w:right="98" w:firstLine="450"/>
        <w:rPr>
          <w:rFonts w:hint="eastAsia"/>
          <w:color w:val="231F20"/>
        </w:rPr>
      </w:pPr>
    </w:p>
    <w:p w14:paraId="04050CF1">
      <w:pPr>
        <w:pStyle w:val="9"/>
        <w:spacing w:before="13" w:line="249" w:lineRule="auto"/>
        <w:ind w:right="98" w:firstLine="450"/>
        <w:rPr>
          <w:rFonts w:hint="eastAsia"/>
          <w:color w:val="231F20"/>
        </w:rPr>
      </w:pPr>
      <w:r>
        <w:rPr>
          <w:rFonts w:hint="eastAsia"/>
          <w:color w:val="231F20"/>
        </w:rPr>
        <w:t>Such a people— with such a covenant-keeping God on their side—cannot fail to triumph in the great eschatological clash of the kingdoms!</w:t>
      </w:r>
    </w:p>
    <w:p w14:paraId="43451606">
      <w:pPr>
        <w:pStyle w:val="9"/>
        <w:spacing w:before="13" w:line="249" w:lineRule="auto"/>
        <w:ind w:right="98" w:firstLine="450"/>
        <w:rPr>
          <w:rFonts w:hint="eastAsia"/>
          <w:color w:val="231F20"/>
        </w:rPr>
      </w:pPr>
      <w:r>
        <w:rPr>
          <w:rFonts w:hint="eastAsia"/>
          <w:color w:val="231F20"/>
        </w:rPr>
        <w:t>这样一群人——有这样一位守约的神在他们这边——在国度间伟大的末世冲突中，不可能不取得胜利！</w:t>
      </w:r>
    </w:p>
    <w:p w14:paraId="0B0CA93F">
      <w:pPr>
        <w:pStyle w:val="9"/>
        <w:spacing w:before="13" w:line="249" w:lineRule="auto"/>
        <w:ind w:right="98" w:firstLine="450"/>
        <w:rPr>
          <w:rFonts w:hint="eastAsia"/>
          <w:color w:val="231F20"/>
        </w:rPr>
      </w:pPr>
    </w:p>
    <w:p w14:paraId="34555234">
      <w:pPr>
        <w:pStyle w:val="9"/>
        <w:spacing w:before="13" w:line="249" w:lineRule="auto"/>
        <w:ind w:right="98" w:firstLine="450"/>
        <w:rPr>
          <w:rFonts w:hint="eastAsia"/>
          <w:color w:val="231F20"/>
        </w:rPr>
      </w:pPr>
      <w:r>
        <w:rPr>
          <w:rFonts w:hint="eastAsia"/>
          <w:color w:val="231F20"/>
        </w:rPr>
        <w:t>When will this beautiful prophecy be fulfilled?</w:t>
      </w:r>
    </w:p>
    <w:p w14:paraId="69D4CB40">
      <w:pPr>
        <w:pStyle w:val="9"/>
        <w:spacing w:before="13" w:line="249" w:lineRule="auto"/>
        <w:ind w:right="98" w:firstLine="450"/>
        <w:rPr>
          <w:rFonts w:hint="eastAsia"/>
          <w:color w:val="231F20"/>
        </w:rPr>
      </w:pPr>
      <w:r>
        <w:rPr>
          <w:rFonts w:hint="eastAsia"/>
          <w:color w:val="231F20"/>
        </w:rPr>
        <w:t>这个美丽的预言何时会应验？</w:t>
      </w:r>
    </w:p>
    <w:p w14:paraId="30FCC6D1">
      <w:pPr>
        <w:pStyle w:val="9"/>
        <w:spacing w:before="13" w:line="249" w:lineRule="auto"/>
        <w:ind w:right="98" w:firstLine="450"/>
        <w:rPr>
          <w:rFonts w:hint="eastAsia"/>
          <w:color w:val="231F20"/>
        </w:rPr>
      </w:pPr>
    </w:p>
    <w:p w14:paraId="4C026303">
      <w:pPr>
        <w:pStyle w:val="9"/>
        <w:spacing w:before="13" w:line="249" w:lineRule="auto"/>
        <w:ind w:right="98" w:firstLine="450"/>
        <w:rPr>
          <w:rFonts w:hint="eastAsia"/>
          <w:color w:val="231F20"/>
        </w:rPr>
      </w:pPr>
      <w:r>
        <w:rPr>
          <w:rFonts w:hint="eastAsia"/>
          <w:color w:val="231F20"/>
        </w:rPr>
        <w:t>Premillennial interpreters, bound by their literalist hermeneutic, feel compelled to interpret it ethnically, and therefore futuristically.</w:t>
      </w:r>
    </w:p>
    <w:p w14:paraId="7114FA6C">
      <w:pPr>
        <w:pStyle w:val="9"/>
        <w:spacing w:before="13" w:line="249" w:lineRule="auto"/>
        <w:ind w:right="98" w:firstLine="450"/>
        <w:rPr>
          <w:rFonts w:hint="eastAsia"/>
          <w:color w:val="231F20"/>
        </w:rPr>
      </w:pPr>
      <w:r>
        <w:rPr>
          <w:rFonts w:hint="eastAsia"/>
          <w:color w:val="231F20"/>
        </w:rPr>
        <w:t>前千禧年论的解释者，受他们字面主义解释学的束缚，觉得有必要从民族的角度来解释它，因此是未来主义的。</w:t>
      </w:r>
    </w:p>
    <w:p w14:paraId="399D34C5">
      <w:pPr>
        <w:pStyle w:val="9"/>
        <w:spacing w:before="13" w:line="249" w:lineRule="auto"/>
        <w:ind w:right="98" w:firstLine="450"/>
        <w:rPr>
          <w:rFonts w:hint="eastAsia"/>
          <w:color w:val="231F20"/>
        </w:rPr>
      </w:pPr>
    </w:p>
    <w:p w14:paraId="0BA55A48">
      <w:pPr>
        <w:pStyle w:val="9"/>
        <w:spacing w:before="13" w:line="249" w:lineRule="auto"/>
        <w:ind w:right="98" w:firstLine="450"/>
        <w:rPr>
          <w:rFonts w:hint="eastAsia"/>
          <w:color w:val="231F20"/>
        </w:rPr>
      </w:pPr>
      <w:r>
        <w:rPr>
          <w:rFonts w:hint="eastAsia"/>
          <w:color w:val="231F20"/>
        </w:rPr>
        <w:t>John MacArthur writes, “Israel’s repentance will come because they look to Jesus, the One whom they rejected and crucified, in faith at the Second Advent.” 3</w:t>
      </w:r>
    </w:p>
    <w:p w14:paraId="4FE79611">
      <w:pPr>
        <w:pStyle w:val="9"/>
        <w:spacing w:before="13" w:line="249" w:lineRule="auto"/>
        <w:ind w:right="98" w:firstLine="450"/>
        <w:rPr>
          <w:rFonts w:hint="eastAsia"/>
          <w:color w:val="231F20"/>
        </w:rPr>
      </w:pPr>
      <w:r>
        <w:rPr>
          <w:rFonts w:hint="eastAsia"/>
          <w:color w:val="231F20"/>
        </w:rPr>
        <w:t>约翰·麦克阿瑟写道：“以色列的悔改将会来临，因为他们在第二次降临时，凭信心仰望他们曾拒绝和钉十字架的那位耶稣。” 3</w:t>
      </w:r>
    </w:p>
    <w:p w14:paraId="7D0F3B4C">
      <w:pPr>
        <w:pStyle w:val="9"/>
        <w:spacing w:before="13" w:line="249" w:lineRule="auto"/>
        <w:ind w:right="98" w:firstLine="450"/>
        <w:rPr>
          <w:rFonts w:hint="eastAsia"/>
          <w:color w:val="231F20"/>
        </w:rPr>
      </w:pPr>
    </w:p>
    <w:p w14:paraId="46DEC988">
      <w:pPr>
        <w:pStyle w:val="9"/>
        <w:spacing w:before="13" w:line="249" w:lineRule="auto"/>
        <w:ind w:right="98" w:firstLine="450"/>
        <w:rPr>
          <w:rFonts w:hint="eastAsia"/>
          <w:color w:val="231F20"/>
        </w:rPr>
      </w:pPr>
      <w:r>
        <w:rPr>
          <w:rFonts w:hint="eastAsia"/>
          <w:color w:val="231F20"/>
        </w:rPr>
        <w:t>But this view is deeply problematic.</w:t>
      </w:r>
    </w:p>
    <w:p w14:paraId="5FAC96F7">
      <w:pPr>
        <w:pStyle w:val="9"/>
        <w:spacing w:before="13" w:line="249" w:lineRule="auto"/>
        <w:ind w:right="98" w:firstLine="450"/>
        <w:rPr>
          <w:rFonts w:hint="eastAsia"/>
          <w:color w:val="231F20"/>
        </w:rPr>
      </w:pPr>
      <w:r>
        <w:rPr>
          <w:rFonts w:hint="eastAsia"/>
          <w:color w:val="231F20"/>
        </w:rPr>
        <w:t>但这种观点问题重重。</w:t>
      </w:r>
    </w:p>
    <w:p w14:paraId="0C279360">
      <w:pPr>
        <w:pStyle w:val="9"/>
        <w:spacing w:before="13" w:line="249" w:lineRule="auto"/>
        <w:ind w:right="98" w:firstLine="450"/>
        <w:rPr>
          <w:rFonts w:hint="eastAsia"/>
          <w:color w:val="231F20"/>
        </w:rPr>
      </w:pPr>
    </w:p>
    <w:p w14:paraId="39AA5546">
      <w:pPr>
        <w:pStyle w:val="9"/>
        <w:spacing w:before="13" w:line="249" w:lineRule="auto"/>
        <w:ind w:right="98" w:firstLine="450"/>
        <w:rPr>
          <w:rFonts w:hint="eastAsia"/>
          <w:color w:val="231F20"/>
        </w:rPr>
      </w:pPr>
      <w:r>
        <w:rPr>
          <w:rFonts w:hint="eastAsia"/>
          <w:color w:val="231F20"/>
        </w:rPr>
        <w:t>How did the Jews described in 12:1-9 enjoy such strength and blessing from God if they were not yet converted to Christ?</w:t>
      </w:r>
    </w:p>
    <w:p w14:paraId="549D5B76">
      <w:pPr>
        <w:pStyle w:val="9"/>
        <w:spacing w:before="13" w:line="249" w:lineRule="auto"/>
        <w:ind w:right="98" w:firstLine="450"/>
        <w:rPr>
          <w:rFonts w:hint="eastAsia"/>
          <w:color w:val="231F20"/>
        </w:rPr>
      </w:pPr>
      <w:r>
        <w:rPr>
          <w:rFonts w:hint="eastAsia"/>
          <w:color w:val="231F20"/>
        </w:rPr>
        <w:t>如果12:1-9中所描述的犹太人尚未归信基督，他们如何能从神那里享受到如此的力量和祝福？</w:t>
      </w:r>
    </w:p>
    <w:p w14:paraId="48EC974F">
      <w:pPr>
        <w:pStyle w:val="9"/>
        <w:spacing w:before="13" w:line="249" w:lineRule="auto"/>
        <w:ind w:right="98" w:firstLine="450"/>
        <w:rPr>
          <w:rFonts w:hint="eastAsia"/>
          <w:color w:val="231F20"/>
        </w:rPr>
      </w:pPr>
    </w:p>
    <w:p w14:paraId="18150370">
      <w:pPr>
        <w:pStyle w:val="9"/>
        <w:spacing w:before="13" w:line="249" w:lineRule="auto"/>
        <w:ind w:right="98" w:firstLine="450"/>
        <w:rPr>
          <w:rFonts w:hint="eastAsia"/>
          <w:color w:val="231F20"/>
        </w:rPr>
      </w:pPr>
      <w:r>
        <w:rPr>
          <w:rFonts w:hint="eastAsia"/>
          <w:color w:val="231F20"/>
        </w:rPr>
        <w:t>How shall the houses of David, Nathan, Levi, and Shimei suddenly reappear on the stage of history just prior to Christ’s return?</w:t>
      </w:r>
    </w:p>
    <w:p w14:paraId="42D097D0">
      <w:pPr>
        <w:pStyle w:val="9"/>
        <w:spacing w:before="13" w:line="249" w:lineRule="auto"/>
        <w:ind w:right="98" w:firstLine="450"/>
        <w:rPr>
          <w:rFonts w:hint="eastAsia"/>
          <w:color w:val="231F20"/>
        </w:rPr>
      </w:pPr>
      <w:r>
        <w:rPr>
          <w:rFonts w:hint="eastAsia"/>
          <w:color w:val="231F20"/>
        </w:rPr>
        <w:t>大卫家、拿单家、利未家和示每家，如何能在基督再来之前突然重现于历史舞台？</w:t>
      </w:r>
    </w:p>
    <w:p w14:paraId="07E03F57">
      <w:pPr>
        <w:pStyle w:val="9"/>
        <w:spacing w:before="13" w:line="249" w:lineRule="auto"/>
        <w:ind w:right="98" w:firstLine="450"/>
        <w:rPr>
          <w:rFonts w:hint="eastAsia"/>
          <w:color w:val="231F20"/>
        </w:rPr>
      </w:pPr>
    </w:p>
    <w:p w14:paraId="4A4ED87B">
      <w:pPr>
        <w:pStyle w:val="9"/>
        <w:spacing w:before="13" w:line="249" w:lineRule="auto"/>
        <w:ind w:right="98" w:firstLine="450"/>
        <w:rPr>
          <w:rFonts w:hint="eastAsia"/>
          <w:color w:val="231F20"/>
        </w:rPr>
      </w:pPr>
      <w:r>
        <w:rPr>
          <w:rFonts w:hint="eastAsia"/>
          <w:color w:val="231F20"/>
        </w:rPr>
        <w:t>And how can Israel’s national conversion be effected by the visible return of Christ, when, according to pervasive NT teaching, God’s pleasure and purpose in NT times is to save sinners strictly by the “foolishness of preaching” (Mt. 28:18ff, John 17:17, Romans 10:14ff, 1 Cor. 1:21)?</w:t>
      </w:r>
    </w:p>
    <w:p w14:paraId="2AA2D7CA">
      <w:pPr>
        <w:pStyle w:val="9"/>
        <w:spacing w:before="13" w:line="249" w:lineRule="auto"/>
        <w:ind w:right="98" w:firstLine="450"/>
        <w:rPr>
          <w:rFonts w:hint="eastAsia"/>
          <w:color w:val="231F20"/>
        </w:rPr>
      </w:pPr>
      <w:r>
        <w:rPr>
          <w:rFonts w:hint="eastAsia"/>
          <w:color w:val="231F20"/>
        </w:rPr>
        <w:t>当根据普遍的新约教导，神在新约时代的喜悦和旨意是严格通过“传道的愚拙”来拯救罪人时，以色列民族的归信又如何能通过基督可见的再来实现呢（太 28:18及后, 约 17:17, 罗 10:14及后, 林前 1:21）？</w:t>
      </w:r>
    </w:p>
    <w:p w14:paraId="670C982F">
      <w:pPr>
        <w:pStyle w:val="9"/>
        <w:spacing w:before="13" w:line="249" w:lineRule="auto"/>
        <w:ind w:right="98" w:firstLine="450"/>
        <w:rPr>
          <w:rFonts w:hint="eastAsia"/>
          <w:color w:val="231F20"/>
        </w:rPr>
      </w:pPr>
    </w:p>
    <w:p w14:paraId="71DDF002">
      <w:pPr>
        <w:pStyle w:val="9"/>
        <w:spacing w:before="13" w:line="249" w:lineRule="auto"/>
        <w:ind w:right="98" w:firstLine="450"/>
        <w:rPr>
          <w:rFonts w:hint="eastAsia"/>
          <w:color w:val="231F20"/>
        </w:rPr>
      </w:pPr>
      <w:r>
        <w:rPr>
          <w:rFonts w:hint="eastAsia"/>
          <w:color w:val="231F20"/>
        </w:rPr>
        <w:t>No, premillennial literalism cannot uncover the meaning of this prophecy, nor can it illumine the time of its fulfillment.</w:t>
      </w:r>
    </w:p>
    <w:p w14:paraId="1DF3539A">
      <w:pPr>
        <w:pStyle w:val="9"/>
        <w:spacing w:before="13" w:line="249" w:lineRule="auto"/>
        <w:ind w:right="98" w:firstLine="450"/>
        <w:rPr>
          <w:rFonts w:hint="eastAsia"/>
          <w:color w:val="231F20"/>
        </w:rPr>
      </w:pPr>
      <w:r>
        <w:rPr>
          <w:rFonts w:hint="eastAsia"/>
          <w:color w:val="231F20"/>
        </w:rPr>
        <w:t>不，前千禧年派的字面主义无法揭示这个预言的意义，也无法阐明其应验的时间。</w:t>
      </w:r>
    </w:p>
    <w:p w14:paraId="2FAFF1E4">
      <w:pPr>
        <w:pStyle w:val="9"/>
        <w:spacing w:before="13" w:line="249" w:lineRule="auto"/>
        <w:ind w:right="98" w:firstLine="450"/>
        <w:rPr>
          <w:rFonts w:hint="eastAsia"/>
          <w:color w:val="231F20"/>
        </w:rPr>
      </w:pPr>
    </w:p>
    <w:p w14:paraId="0361FD0B">
      <w:pPr>
        <w:pStyle w:val="9"/>
        <w:spacing w:before="13" w:line="249" w:lineRule="auto"/>
        <w:ind w:right="98" w:firstLine="450"/>
        <w:rPr>
          <w:rFonts w:hint="eastAsia"/>
          <w:color w:val="231F20"/>
        </w:rPr>
      </w:pPr>
      <w:r>
        <w:rPr>
          <w:rFonts w:hint="eastAsia"/>
          <w:color w:val="231F20"/>
        </w:rPr>
        <w:t>But the NCH can.</w:t>
      </w:r>
    </w:p>
    <w:p w14:paraId="5ABC4AB8">
      <w:pPr>
        <w:pStyle w:val="9"/>
        <w:spacing w:before="13" w:line="249" w:lineRule="auto"/>
        <w:ind w:right="98" w:firstLine="450"/>
        <w:rPr>
          <w:rFonts w:hint="eastAsia"/>
          <w:color w:val="231F20"/>
        </w:rPr>
      </w:pPr>
      <w:r>
        <w:rPr>
          <w:rFonts w:hint="eastAsia"/>
          <w:color w:val="231F20"/>
        </w:rPr>
        <w:t>但新约解释学可以。</w:t>
      </w:r>
    </w:p>
    <w:p w14:paraId="406B267C">
      <w:pPr>
        <w:pStyle w:val="9"/>
        <w:spacing w:before="13" w:line="249" w:lineRule="auto"/>
        <w:ind w:right="98" w:firstLine="450"/>
        <w:rPr>
          <w:rFonts w:hint="eastAsia"/>
          <w:color w:val="231F20"/>
        </w:rPr>
      </w:pPr>
    </w:p>
    <w:p w14:paraId="235E8FE1">
      <w:pPr>
        <w:pStyle w:val="9"/>
        <w:spacing w:before="13" w:line="249" w:lineRule="auto"/>
        <w:ind w:right="98" w:firstLine="450"/>
        <w:rPr>
          <w:rFonts w:hint="eastAsia"/>
          <w:color w:val="231F20"/>
        </w:rPr>
      </w:pPr>
      <w:r>
        <w:rPr>
          <w:rFonts w:hint="eastAsia"/>
          <w:color w:val="231F20"/>
        </w:rPr>
        <w:t>Let us therefore bring that hermeneutic to the text for a closer look.</w:t>
      </w:r>
    </w:p>
    <w:p w14:paraId="6322123C">
      <w:pPr>
        <w:pStyle w:val="9"/>
        <w:spacing w:before="13" w:line="249" w:lineRule="auto"/>
        <w:ind w:right="98" w:firstLine="450"/>
        <w:rPr>
          <w:rFonts w:hint="eastAsia"/>
          <w:color w:val="231F20"/>
        </w:rPr>
      </w:pPr>
      <w:r>
        <w:rPr>
          <w:rFonts w:hint="eastAsia"/>
          <w:color w:val="231F20"/>
        </w:rPr>
        <w:t>因此，让我们将这种解释学应用到经文中，进行更仔细的审视。</w:t>
      </w:r>
    </w:p>
    <w:p w14:paraId="0C3B46AC">
      <w:pPr>
        <w:pStyle w:val="9"/>
        <w:spacing w:before="13" w:line="249" w:lineRule="auto"/>
        <w:ind w:right="98" w:firstLine="450"/>
        <w:rPr>
          <w:rFonts w:hint="eastAsia"/>
          <w:color w:val="231F20"/>
        </w:rPr>
      </w:pPr>
    </w:p>
    <w:p w14:paraId="72B5CF89">
      <w:pPr>
        <w:pStyle w:val="9"/>
        <w:spacing w:before="13" w:line="249" w:lineRule="auto"/>
        <w:ind w:right="98" w:firstLine="450"/>
        <w:rPr>
          <w:rFonts w:hint="eastAsia"/>
          <w:color w:val="231F20"/>
        </w:rPr>
      </w:pPr>
      <w:r>
        <w:rPr>
          <w:rFonts w:hint="eastAsia"/>
          <w:color w:val="231F20"/>
        </w:rPr>
        <w:t>Zechariah’s words will be fulfilled “in that Day,” that is, in the eschatological era, the New Covenant era (12:11).</w:t>
      </w:r>
    </w:p>
    <w:p w14:paraId="7B9EDC7A">
      <w:pPr>
        <w:pStyle w:val="9"/>
        <w:spacing w:before="13" w:line="249" w:lineRule="auto"/>
        <w:ind w:right="98" w:firstLine="450"/>
        <w:rPr>
          <w:rFonts w:hint="eastAsia"/>
          <w:color w:val="231F20"/>
        </w:rPr>
      </w:pPr>
      <w:r>
        <w:rPr>
          <w:rFonts w:hint="eastAsia"/>
          <w:color w:val="231F20"/>
        </w:rPr>
        <w:t>撒迦利亚的话将在“那日”应验，即在末世时代，新约时代 (12:11)。</w:t>
      </w:r>
    </w:p>
    <w:p w14:paraId="56FB84E2">
      <w:pPr>
        <w:pStyle w:val="9"/>
        <w:spacing w:before="13" w:line="249" w:lineRule="auto"/>
        <w:ind w:right="98" w:firstLine="450"/>
        <w:rPr>
          <w:rFonts w:hint="eastAsia"/>
          <w:color w:val="231F20"/>
        </w:rPr>
      </w:pPr>
    </w:p>
    <w:p w14:paraId="2381C598">
      <w:pPr>
        <w:pStyle w:val="9"/>
        <w:spacing w:before="13" w:line="249" w:lineRule="auto"/>
        <w:ind w:right="98" w:firstLine="450"/>
        <w:rPr>
          <w:rFonts w:hint="eastAsia"/>
          <w:color w:val="231F20"/>
        </w:rPr>
      </w:pPr>
      <w:r>
        <w:rPr>
          <w:rFonts w:hint="eastAsia"/>
          <w:color w:val="231F20"/>
        </w:rPr>
        <w:t>Moreover, as the words themselves make clear, they will be fulfilled in the first stage of that Era: The Era of Proclamation and Probation.</w:t>
      </w:r>
    </w:p>
    <w:p w14:paraId="4FECC332">
      <w:pPr>
        <w:pStyle w:val="9"/>
        <w:spacing w:before="13" w:line="249" w:lineRule="auto"/>
        <w:ind w:right="98" w:firstLine="450"/>
        <w:rPr>
          <w:rFonts w:hint="eastAsia"/>
          <w:color w:val="231F20"/>
        </w:rPr>
      </w:pPr>
      <w:r>
        <w:rPr>
          <w:rFonts w:hint="eastAsia"/>
          <w:color w:val="231F20"/>
        </w:rPr>
        <w:t>此外，正如话语本身所表明的，它们将在那个时代的第一阶段应验：即宣讲与试炼的时代。</w:t>
      </w:r>
    </w:p>
    <w:p w14:paraId="426AB3CB">
      <w:pPr>
        <w:pStyle w:val="9"/>
        <w:spacing w:before="13" w:line="249" w:lineRule="auto"/>
        <w:ind w:right="98" w:firstLine="450"/>
        <w:rPr>
          <w:rFonts w:hint="eastAsia"/>
          <w:color w:val="231F20"/>
        </w:rPr>
      </w:pPr>
    </w:p>
    <w:p w14:paraId="4CB75251">
      <w:pPr>
        <w:pStyle w:val="9"/>
        <w:spacing w:before="13" w:line="249" w:lineRule="auto"/>
        <w:ind w:right="98" w:firstLine="450"/>
        <w:rPr>
          <w:rFonts w:hint="eastAsia"/>
          <w:color w:val="231F20"/>
        </w:rPr>
      </w:pPr>
      <w:r>
        <w:rPr>
          <w:rFonts w:hint="eastAsia"/>
          <w:color w:val="231F20"/>
        </w:rPr>
        <w:t>Verse 10 gives us the theme, verses 11-14 elaborate.</w:t>
      </w:r>
    </w:p>
    <w:p w14:paraId="048DCA7A">
      <w:pPr>
        <w:pStyle w:val="9"/>
        <w:spacing w:before="13" w:line="249" w:lineRule="auto"/>
        <w:ind w:right="98" w:firstLine="450"/>
        <w:rPr>
          <w:rFonts w:hint="eastAsia"/>
          <w:color w:val="231F20"/>
        </w:rPr>
      </w:pPr>
      <w:r>
        <w:rPr>
          <w:rFonts w:hint="eastAsia"/>
          <w:color w:val="231F20"/>
        </w:rPr>
        <w:t>第10节给了我们主题，第11-14节则加以阐述。</w:t>
      </w:r>
    </w:p>
    <w:p w14:paraId="6E30FF1E">
      <w:pPr>
        <w:pStyle w:val="9"/>
        <w:spacing w:before="13" w:line="249" w:lineRule="auto"/>
        <w:ind w:right="98" w:firstLine="450"/>
        <w:rPr>
          <w:rFonts w:hint="eastAsia"/>
          <w:color w:val="231F20"/>
        </w:rPr>
      </w:pPr>
    </w:p>
    <w:p w14:paraId="385D582E">
      <w:pPr>
        <w:pStyle w:val="9"/>
        <w:spacing w:before="13" w:line="249" w:lineRule="auto"/>
        <w:ind w:right="98" w:firstLine="450"/>
        <w:rPr>
          <w:rFonts w:hint="eastAsia"/>
          <w:color w:val="231F20"/>
        </w:rPr>
      </w:pPr>
      <w:r>
        <w:rPr>
          <w:rFonts w:hint="eastAsia"/>
          <w:color w:val="231F20"/>
        </w:rPr>
        <w:t>Each phrase of the long first verse is rich with meaning and deeply affecting.</w:t>
      </w:r>
    </w:p>
    <w:p w14:paraId="19E41921">
      <w:pPr>
        <w:pStyle w:val="9"/>
        <w:spacing w:before="13" w:line="249" w:lineRule="auto"/>
        <w:ind w:right="98" w:firstLine="450"/>
        <w:rPr>
          <w:rFonts w:hint="eastAsia"/>
          <w:color w:val="231F20"/>
        </w:rPr>
      </w:pPr>
      <w:r>
        <w:rPr>
          <w:rFonts w:hint="eastAsia"/>
          <w:color w:val="231F20"/>
        </w:rPr>
        <w:t>这长长的第一节经文的每一个短语都富有深意，感人至深。</w:t>
      </w:r>
    </w:p>
    <w:p w14:paraId="10028291">
      <w:pPr>
        <w:pStyle w:val="9"/>
        <w:spacing w:before="13" w:line="249" w:lineRule="auto"/>
        <w:ind w:right="98" w:firstLine="450"/>
        <w:rPr>
          <w:rFonts w:hint="eastAsia"/>
          <w:color w:val="231F20"/>
        </w:rPr>
      </w:pPr>
    </w:p>
    <w:p w14:paraId="4B2796A7">
      <w:pPr>
        <w:pStyle w:val="9"/>
        <w:spacing w:before="13" w:line="249" w:lineRule="auto"/>
        <w:ind w:right="98" w:firstLine="450"/>
        <w:rPr>
          <w:rFonts w:hint="eastAsia"/>
          <w:color w:val="231F20"/>
        </w:rPr>
      </w:pPr>
      <w:r>
        <w:rPr>
          <w:rFonts w:hint="eastAsia"/>
          <w:color w:val="231F20"/>
        </w:rPr>
        <w:t>In that Day, the sovereign God will pour out his Spirit upon the house of David and the inhabitants of Jerusalem.</w:t>
      </w:r>
    </w:p>
    <w:p w14:paraId="19E7D9AD">
      <w:pPr>
        <w:pStyle w:val="9"/>
        <w:spacing w:before="13" w:line="249" w:lineRule="auto"/>
        <w:ind w:right="98" w:firstLine="450"/>
        <w:rPr>
          <w:rFonts w:hint="eastAsia"/>
          <w:color w:val="231F20"/>
        </w:rPr>
      </w:pPr>
      <w:r>
        <w:rPr>
          <w:rFonts w:hint="eastAsia"/>
          <w:color w:val="231F20"/>
        </w:rPr>
        <w:t>那日，拥有至高主权的神必将祂的灵浇灌在大卫家和耶路撒冷居民的身上。</w:t>
      </w:r>
    </w:p>
    <w:p w14:paraId="0DB389FF">
      <w:pPr>
        <w:pStyle w:val="9"/>
        <w:spacing w:before="13" w:line="249" w:lineRule="auto"/>
        <w:ind w:right="98" w:firstLine="450"/>
        <w:rPr>
          <w:rFonts w:hint="eastAsia"/>
          <w:color w:val="231F20"/>
        </w:rPr>
      </w:pPr>
    </w:p>
    <w:p w14:paraId="71363BED">
      <w:pPr>
        <w:pStyle w:val="9"/>
        <w:spacing w:before="13" w:line="249" w:lineRule="auto"/>
        <w:ind w:right="98" w:firstLine="450"/>
        <w:rPr>
          <w:rFonts w:hint="eastAsia"/>
          <w:color w:val="231F20"/>
        </w:rPr>
      </w:pPr>
      <w:r>
        <w:rPr>
          <w:rFonts w:hint="eastAsia"/>
          <w:color w:val="231F20"/>
        </w:rPr>
        <w:t>In other words, beginning at Pentecost and continuing right up to the Consummation, he will pour out his Spirit upon his elect, both Jew and Gentile (Acts 2:1ff).</w:t>
      </w:r>
    </w:p>
    <w:p w14:paraId="4BD9917E">
      <w:pPr>
        <w:pStyle w:val="9"/>
        <w:spacing w:before="13" w:line="249" w:lineRule="auto"/>
        <w:ind w:right="98" w:firstLine="450"/>
        <w:rPr>
          <w:rFonts w:hint="eastAsia"/>
          <w:color w:val="231F20"/>
        </w:rPr>
      </w:pPr>
      <w:r>
        <w:rPr>
          <w:rFonts w:hint="eastAsia"/>
          <w:color w:val="231F20"/>
        </w:rPr>
        <w:t>换句话说，从五旬节开始，一直持续到最终的成全，祂将把祂的灵浇灌在祂的选民身上，无论是犹太人还是外邦人 (徒 2:1及后)。</w:t>
      </w:r>
    </w:p>
    <w:p w14:paraId="27F263B7">
      <w:pPr>
        <w:pStyle w:val="9"/>
        <w:spacing w:before="13" w:line="249" w:lineRule="auto"/>
        <w:ind w:right="98" w:firstLine="450"/>
        <w:rPr>
          <w:rFonts w:hint="eastAsia"/>
          <w:color w:val="231F20"/>
        </w:rPr>
      </w:pPr>
    </w:p>
    <w:p w14:paraId="3226D871">
      <w:pPr>
        <w:pStyle w:val="9"/>
        <w:spacing w:before="13" w:line="249" w:lineRule="auto"/>
        <w:ind w:right="98" w:firstLine="450"/>
        <w:rPr>
          <w:rFonts w:hint="eastAsia"/>
          <w:color w:val="231F20"/>
        </w:rPr>
      </w:pPr>
      <w:r>
        <w:rPr>
          <w:rFonts w:hint="eastAsia"/>
          <w:color w:val="231F20"/>
        </w:rPr>
        <w:t>As the NT teaches, these are God’s latter-day Israel (Gal. 6:16), his royal priesthood (1 Peter 2:9), and his chosen city of habitation (Gal. 4:26, Eph. 2:22, Rev. 21:1-4).</w:t>
      </w:r>
    </w:p>
    <w:p w14:paraId="350F6D1D">
      <w:pPr>
        <w:pStyle w:val="9"/>
        <w:spacing w:before="13" w:line="249" w:lineRule="auto"/>
        <w:ind w:right="98" w:firstLine="450"/>
        <w:rPr>
          <w:rFonts w:hint="eastAsia"/>
          <w:color w:val="231F20"/>
        </w:rPr>
      </w:pPr>
      <w:r>
        <w:rPr>
          <w:rFonts w:hint="eastAsia"/>
          <w:color w:val="231F20"/>
        </w:rPr>
        <w:t>正如新约所教导的，这些是神末后的以色列 (加 6:16)，是祂君尊的祭司 (彼前 2:9)，是祂所拣选的居住之城 (加 4:26, 弗 2:22, 启 21:1-4)。</w:t>
      </w:r>
    </w:p>
    <w:p w14:paraId="3D8BC6B1">
      <w:pPr>
        <w:pStyle w:val="9"/>
        <w:spacing w:before="13" w:line="249" w:lineRule="auto"/>
        <w:ind w:right="98" w:firstLine="450"/>
        <w:rPr>
          <w:rFonts w:hint="eastAsia"/>
          <w:color w:val="231F20"/>
        </w:rPr>
      </w:pPr>
    </w:p>
    <w:p w14:paraId="6286F7F2">
      <w:pPr>
        <w:pStyle w:val="9"/>
        <w:spacing w:before="13" w:line="249" w:lineRule="auto"/>
        <w:ind w:right="98" w:firstLine="450"/>
        <w:rPr>
          <w:rFonts w:hint="eastAsia"/>
          <w:color w:val="231F20"/>
        </w:rPr>
      </w:pPr>
      <w:r>
        <w:rPr>
          <w:rFonts w:hint="eastAsia"/>
          <w:color w:val="231F20"/>
        </w:rPr>
        <w:t>When the Spirit falls upon them, he will be to them “a Spirit of grace and supplication.”</w:t>
      </w:r>
    </w:p>
    <w:p w14:paraId="23D6227A">
      <w:pPr>
        <w:pStyle w:val="9"/>
        <w:spacing w:before="13" w:line="249" w:lineRule="auto"/>
        <w:ind w:right="98" w:firstLine="450"/>
        <w:rPr>
          <w:rFonts w:hint="eastAsia"/>
          <w:color w:val="231F20"/>
        </w:rPr>
      </w:pPr>
      <w:r>
        <w:rPr>
          <w:rFonts w:hint="eastAsia"/>
          <w:color w:val="231F20"/>
        </w:rPr>
        <w:t>当圣灵降在他们身上时，祂对他们将是“一个施恩和恳求的灵”。</w:t>
      </w:r>
    </w:p>
    <w:p w14:paraId="10F11725">
      <w:pPr>
        <w:pStyle w:val="9"/>
        <w:spacing w:before="13" w:line="249" w:lineRule="auto"/>
        <w:ind w:right="98" w:firstLine="450"/>
        <w:rPr>
          <w:rFonts w:hint="eastAsia"/>
          <w:color w:val="231F20"/>
        </w:rPr>
      </w:pPr>
    </w:p>
    <w:p w14:paraId="4CE1BE5A">
      <w:pPr>
        <w:pStyle w:val="9"/>
        <w:spacing w:before="13" w:line="249" w:lineRule="auto"/>
        <w:ind w:right="98" w:firstLine="450"/>
        <w:rPr>
          <w:rFonts w:hint="eastAsia"/>
          <w:color w:val="231F20"/>
        </w:rPr>
      </w:pPr>
      <w:r>
        <w:rPr>
          <w:rFonts w:hint="eastAsia"/>
          <w:color w:val="231F20"/>
        </w:rPr>
        <w:t>That is, he will graciously make known to them the grace of God provided in Christ, and he will move them to supplicate God and Christ for a salvation they desperately need (John 1:14, Acts 2:37, Acts 11:18, 16:30, 20:24, Eph. 2:8-9, Titus 2:11-14).</w:t>
      </w:r>
    </w:p>
    <w:p w14:paraId="3010689F">
      <w:pPr>
        <w:pStyle w:val="9"/>
        <w:spacing w:before="13" w:line="249" w:lineRule="auto"/>
        <w:ind w:right="98" w:firstLine="450"/>
        <w:rPr>
          <w:rFonts w:hint="eastAsia"/>
          <w:color w:val="231F20"/>
        </w:rPr>
      </w:pPr>
      <w:r>
        <w:rPr>
          <w:rFonts w:hint="eastAsia"/>
          <w:color w:val="231F20"/>
        </w:rPr>
        <w:t>也就是说，祂将恩慈地让他们认识到神在基督里所预备的恩典，并且祂将感动他们向神和基督恳求他们迫切需要的救恩 (约 1:14, 徒 2:37, 徒 11:18, 16:30, 20:24, 弗 2:8-9, 多 2:11-14)。</w:t>
      </w:r>
    </w:p>
    <w:p w14:paraId="34B62643">
      <w:pPr>
        <w:pStyle w:val="9"/>
        <w:spacing w:before="13" w:line="249" w:lineRule="auto"/>
        <w:ind w:right="98" w:firstLine="450"/>
        <w:rPr>
          <w:rFonts w:hint="eastAsia"/>
          <w:color w:val="231F20"/>
        </w:rPr>
      </w:pPr>
    </w:p>
    <w:p w14:paraId="7A4B1966">
      <w:pPr>
        <w:pStyle w:val="9"/>
        <w:spacing w:before="13" w:line="249" w:lineRule="auto"/>
        <w:ind w:right="98" w:firstLine="450"/>
        <w:rPr>
          <w:rFonts w:hint="eastAsia"/>
          <w:color w:val="231F20"/>
        </w:rPr>
      </w:pPr>
      <w:r>
        <w:rPr>
          <w:rFonts w:hint="eastAsia"/>
          <w:color w:val="231F20"/>
        </w:rPr>
        <w:t>In this process, the NT saints of all generations “… will look upon (him) whom they pierced.”</w:t>
      </w:r>
    </w:p>
    <w:p w14:paraId="544DF5D2">
      <w:pPr>
        <w:pStyle w:val="9"/>
        <w:spacing w:before="13" w:line="249" w:lineRule="auto"/>
        <w:ind w:right="98" w:firstLine="450"/>
        <w:rPr>
          <w:rFonts w:hint="eastAsia"/>
          <w:color w:val="231F20"/>
        </w:rPr>
      </w:pPr>
      <w:r>
        <w:rPr>
          <w:rFonts w:hint="eastAsia"/>
          <w:color w:val="231F20"/>
        </w:rPr>
        <w:t>在这个过程中，所有世代的新约圣徒“……必仰望（他）所扎的人”。</w:t>
      </w:r>
    </w:p>
    <w:p w14:paraId="247B6030">
      <w:pPr>
        <w:pStyle w:val="9"/>
        <w:spacing w:before="13" w:line="249" w:lineRule="auto"/>
        <w:ind w:right="98" w:firstLine="450"/>
        <w:rPr>
          <w:rFonts w:hint="eastAsia"/>
          <w:color w:val="231F20"/>
        </w:rPr>
      </w:pPr>
    </w:p>
    <w:p w14:paraId="1FAE2E5A">
      <w:pPr>
        <w:pStyle w:val="9"/>
        <w:spacing w:before="13" w:line="249" w:lineRule="auto"/>
        <w:ind w:right="98" w:firstLine="450"/>
        <w:rPr>
          <w:rFonts w:hint="eastAsia"/>
          <w:color w:val="231F20"/>
        </w:rPr>
      </w:pPr>
      <w:r>
        <w:rPr>
          <w:rFonts w:hint="eastAsia"/>
          <w:color w:val="231F20"/>
        </w:rPr>
        <w:t>The NT explains: When Christ is lifted up through the preaching of the Cross (John 3:14-15, 12:32), the Spirit will enable God’s people to look upon him (Christ), behold his deity (John 1:14, 6:40, 14:9), and see that, in a very real sense, it was they themselves who nailed him to the Tree.</w:t>
      </w:r>
    </w:p>
    <w:p w14:paraId="1BAB225D">
      <w:pPr>
        <w:pStyle w:val="9"/>
        <w:spacing w:before="13" w:line="249" w:lineRule="auto"/>
        <w:ind w:right="98" w:firstLine="450"/>
        <w:rPr>
          <w:rFonts w:hint="eastAsia"/>
          <w:color w:val="231F20"/>
        </w:rPr>
      </w:pPr>
      <w:r>
        <w:rPr>
          <w:rFonts w:hint="eastAsia"/>
          <w:color w:val="231F20"/>
        </w:rPr>
        <w:t>新约解释说：当基督通过十字架的传讲被高举时 (约 3:14-15, 12:32)，圣灵将使神的子民能够仰望祂（基督），看见祂的神性 (约 1:14, 6:40, 14:9)，并看到，在一种非常真实的意义上，是他们自己将祂钉在了那树上。</w:t>
      </w:r>
    </w:p>
    <w:p w14:paraId="10363CF1">
      <w:pPr>
        <w:pStyle w:val="9"/>
        <w:spacing w:before="13" w:line="249" w:lineRule="auto"/>
        <w:ind w:right="98" w:firstLine="450"/>
        <w:rPr>
          <w:rFonts w:hint="eastAsia"/>
          <w:color w:val="231F20"/>
        </w:rPr>
      </w:pPr>
    </w:p>
    <w:p w14:paraId="2C5F1601">
      <w:pPr>
        <w:pStyle w:val="9"/>
        <w:spacing w:before="13" w:line="249" w:lineRule="auto"/>
        <w:ind w:right="98" w:firstLine="450"/>
        <w:rPr>
          <w:rFonts w:hint="eastAsia"/>
          <w:color w:val="231F20"/>
        </w:rPr>
      </w:pPr>
      <w:r>
        <w:rPr>
          <w:rFonts w:hint="eastAsia"/>
          <w:color w:val="231F20"/>
        </w:rPr>
        <w:t>How so?</w:t>
      </w:r>
    </w:p>
    <w:p w14:paraId="5A13F31C">
      <w:pPr>
        <w:pStyle w:val="9"/>
        <w:spacing w:before="13" w:line="249" w:lineRule="auto"/>
        <w:ind w:right="98" w:firstLine="450"/>
        <w:rPr>
          <w:rFonts w:hint="eastAsia"/>
          <w:color w:val="231F20"/>
        </w:rPr>
      </w:pPr>
      <w:r>
        <w:rPr>
          <w:rFonts w:hint="eastAsia"/>
          <w:color w:val="231F20"/>
        </w:rPr>
        <w:t>怎么会这样？</w:t>
      </w:r>
    </w:p>
    <w:p w14:paraId="14D657E9">
      <w:pPr>
        <w:pStyle w:val="9"/>
        <w:spacing w:before="13" w:line="249" w:lineRule="auto"/>
        <w:ind w:right="98" w:firstLine="450"/>
        <w:rPr>
          <w:rFonts w:hint="eastAsia"/>
          <w:color w:val="231F20"/>
        </w:rPr>
      </w:pPr>
    </w:p>
    <w:p w14:paraId="5470F3B0">
      <w:pPr>
        <w:pStyle w:val="9"/>
        <w:spacing w:before="13" w:line="249" w:lineRule="auto"/>
        <w:ind w:right="98" w:firstLine="450"/>
        <w:rPr>
          <w:rFonts w:hint="eastAsia"/>
          <w:color w:val="231F20"/>
        </w:rPr>
      </w:pPr>
      <w:r>
        <w:rPr>
          <w:rFonts w:hint="eastAsia"/>
          <w:color w:val="231F20"/>
        </w:rPr>
        <w:t>Because the (God-ordained) death that he died, he died not for his own sins, but for theirs (Mark 10:45, Rom. 6:10,1 Peter 3:18, Rev. 5:1ff).</w:t>
      </w:r>
    </w:p>
    <w:p w14:paraId="207B6F39">
      <w:pPr>
        <w:pStyle w:val="9"/>
        <w:spacing w:before="13" w:line="249" w:lineRule="auto"/>
        <w:ind w:right="98" w:firstLine="450"/>
        <w:rPr>
          <w:rFonts w:hint="eastAsia"/>
          <w:color w:val="231F20"/>
        </w:rPr>
      </w:pPr>
      <w:r>
        <w:rPr>
          <w:rFonts w:hint="eastAsia"/>
          <w:color w:val="231F20"/>
        </w:rPr>
        <w:t>因为祂（神所命定的）死，不是为自己的罪死，而是为他们的罪死 (可 10:45, 罗 6:10, 彼前 3:18, 启 5:1及后)。</w:t>
      </w:r>
    </w:p>
    <w:p w14:paraId="4231D2AF">
      <w:pPr>
        <w:pStyle w:val="9"/>
        <w:spacing w:before="13" w:line="249" w:lineRule="auto"/>
        <w:ind w:right="98" w:firstLine="450"/>
        <w:rPr>
          <w:rFonts w:hint="eastAsia"/>
          <w:color w:val="231F20"/>
        </w:rPr>
      </w:pPr>
    </w:p>
    <w:p w14:paraId="36B28821">
      <w:pPr>
        <w:pStyle w:val="9"/>
        <w:spacing w:before="13" w:line="249" w:lineRule="auto"/>
        <w:ind w:right="98" w:firstLine="450"/>
        <w:rPr>
          <w:rFonts w:hint="eastAsia"/>
          <w:color w:val="231F20"/>
        </w:rPr>
      </w:pPr>
      <w:r>
        <w:rPr>
          <w:rFonts w:hint="eastAsia"/>
          <w:color w:val="231F20"/>
        </w:rPr>
        <w:t>Moreover, the same Spirit will enable these newborn saints not only to look upon Christ as the God-Man, but also to look to Christ as their Redeemer; he will enable them to trust, obey, and believe in Christ—and Christ alone—for the salvation of their immortal souls (John 4:14-15, 6:29, 40, Heb. 12:2).</w:t>
      </w:r>
    </w:p>
    <w:p w14:paraId="1B518E3E">
      <w:pPr>
        <w:pStyle w:val="9"/>
        <w:spacing w:before="13" w:line="249" w:lineRule="auto"/>
        <w:ind w:right="98" w:firstLine="450"/>
        <w:rPr>
          <w:rFonts w:hint="eastAsia"/>
          <w:color w:val="231F20"/>
        </w:rPr>
      </w:pPr>
      <w:r>
        <w:rPr>
          <w:rFonts w:hint="eastAsia"/>
          <w:color w:val="231F20"/>
        </w:rPr>
        <w:t>此外，同一个圣灵将使这些新生的圣徒不仅能仰望基督为神人，也能仰望基督为他们的救赎主；祂将使他们能信靠、顺服并相信基督——唯独基督——以拯救他们不朽的灵魂 (约 4:14-15, 6:29, 40, 来 12:2)。</w:t>
      </w:r>
    </w:p>
    <w:p w14:paraId="2ECF493F">
      <w:pPr>
        <w:pStyle w:val="9"/>
        <w:spacing w:before="13" w:line="249" w:lineRule="auto"/>
        <w:ind w:right="98" w:firstLine="450"/>
        <w:rPr>
          <w:rFonts w:hint="eastAsia"/>
          <w:color w:val="231F20"/>
        </w:rPr>
      </w:pPr>
    </w:p>
    <w:p w14:paraId="3B9A0A35">
      <w:pPr>
        <w:pStyle w:val="9"/>
        <w:spacing w:before="13" w:line="249" w:lineRule="auto"/>
        <w:ind w:right="98" w:firstLine="450"/>
        <w:rPr>
          <w:rFonts w:hint="eastAsia"/>
          <w:color w:val="231F20"/>
        </w:rPr>
      </w:pPr>
      <w:r>
        <w:rPr>
          <w:rFonts w:hint="eastAsia"/>
          <w:color w:val="231F20"/>
        </w:rPr>
        <w:t>In the end, the fruit of this spiritual rebirth will be joy unspeakable and full of glory; but the birth itself will not be without mourning and tears (Luke 15:7, John 16:21, 1 Peter 1:8).</w:t>
      </w:r>
    </w:p>
    <w:p w14:paraId="68010F36">
      <w:pPr>
        <w:pStyle w:val="9"/>
        <w:spacing w:before="13" w:line="249" w:lineRule="auto"/>
        <w:ind w:right="98" w:firstLine="450"/>
        <w:rPr>
          <w:rFonts w:hint="eastAsia"/>
          <w:color w:val="231F20"/>
        </w:rPr>
      </w:pPr>
      <w:r>
        <w:rPr>
          <w:rFonts w:hint="eastAsia"/>
          <w:color w:val="231F20"/>
        </w:rPr>
        <w:t>最终，这种属灵重生的果实将是说不出来、满有荣光的大喜乐；但重生本身不会没有哀恸和眼泪 (路 15:7, 约 16:21, 彼前 1:8)。</w:t>
      </w:r>
    </w:p>
    <w:p w14:paraId="2F4B4250">
      <w:pPr>
        <w:pStyle w:val="9"/>
        <w:spacing w:before="13" w:line="249" w:lineRule="auto"/>
        <w:ind w:right="98" w:firstLine="450"/>
        <w:rPr>
          <w:rFonts w:hint="eastAsia"/>
          <w:color w:val="231F20"/>
        </w:rPr>
      </w:pPr>
    </w:p>
    <w:p w14:paraId="029F3D29">
      <w:pPr>
        <w:pStyle w:val="9"/>
        <w:spacing w:before="13" w:line="249" w:lineRule="auto"/>
        <w:ind w:right="98" w:firstLine="450"/>
        <w:rPr>
          <w:rFonts w:hint="eastAsia"/>
          <w:color w:val="231F20"/>
        </w:rPr>
      </w:pPr>
      <w:r>
        <w:rPr>
          <w:rFonts w:hint="eastAsia"/>
          <w:color w:val="231F20"/>
        </w:rPr>
        <w:t>This is the theme of the rest of the prophecy.</w:t>
      </w:r>
    </w:p>
    <w:p w14:paraId="6A790D69">
      <w:pPr>
        <w:pStyle w:val="9"/>
        <w:spacing w:before="13" w:line="249" w:lineRule="auto"/>
        <w:ind w:right="98" w:firstLine="450"/>
        <w:rPr>
          <w:rFonts w:hint="eastAsia"/>
          <w:color w:val="231F20"/>
        </w:rPr>
      </w:pPr>
      <w:r>
        <w:rPr>
          <w:rFonts w:hint="eastAsia"/>
          <w:color w:val="231F20"/>
        </w:rPr>
        <w:t>这就是其余预言的主题。</w:t>
      </w:r>
    </w:p>
    <w:p w14:paraId="56BB15A4">
      <w:pPr>
        <w:pStyle w:val="9"/>
        <w:spacing w:before="13" w:line="249" w:lineRule="auto"/>
        <w:ind w:right="98" w:firstLine="450"/>
        <w:rPr>
          <w:rFonts w:hint="eastAsia"/>
          <w:color w:val="231F20"/>
        </w:rPr>
      </w:pPr>
    </w:p>
    <w:p w14:paraId="1F584E84">
      <w:pPr>
        <w:pStyle w:val="9"/>
        <w:spacing w:before="13" w:line="249" w:lineRule="auto"/>
        <w:ind w:right="98" w:firstLine="450"/>
        <w:rPr>
          <w:rFonts w:hint="eastAsia"/>
          <w:color w:val="231F20"/>
        </w:rPr>
      </w:pPr>
      <w:r>
        <w:rPr>
          <w:rFonts w:hint="eastAsia"/>
          <w:color w:val="231F20"/>
        </w:rPr>
        <w:t>Conviction of sin—and corresponding sorrow over all that sin has cost God, Christ, and man—will run deep, deep as the grieving of parents over the loss of their only son (12:10); or deep as the grieving of a whole nation over the loss of a godly and beloved king (12:11; 2 Chron. 35:20-27, Mt. 26:75, Luke 7:36-50, John 16:8-14).</w:t>
      </w:r>
    </w:p>
    <w:p w14:paraId="48D2610C">
      <w:pPr>
        <w:pStyle w:val="9"/>
        <w:spacing w:before="13" w:line="249" w:lineRule="auto"/>
        <w:ind w:right="98" w:firstLine="450"/>
        <w:rPr>
          <w:rFonts w:hint="eastAsia"/>
          <w:color w:val="231F20"/>
        </w:rPr>
      </w:pPr>
      <w:r>
        <w:rPr>
          <w:rFonts w:hint="eastAsia"/>
          <w:color w:val="231F20"/>
        </w:rPr>
        <w:t>对罪的自觉——以及对罪给神、基督和人带来的一切代价的相应悲伤——将深深地、深深地，如同父母失去独子的悲痛 (12:10)；或如同整个国家失去一位敬虔和受人爱戴的君王的悲痛 (12:11; 代下 35:20-27, 太 26:75, 路 7:36-50, 约 16:8-14)。</w:t>
      </w:r>
    </w:p>
    <w:p w14:paraId="03EDD7C1">
      <w:pPr>
        <w:pStyle w:val="9"/>
        <w:spacing w:before="13" w:line="249" w:lineRule="auto"/>
        <w:ind w:right="98" w:firstLine="450"/>
        <w:rPr>
          <w:rFonts w:hint="eastAsia"/>
          <w:color w:val="231F20"/>
        </w:rPr>
      </w:pPr>
    </w:p>
    <w:p w14:paraId="27E6EADD">
      <w:pPr>
        <w:pStyle w:val="9"/>
        <w:spacing w:before="13" w:line="249" w:lineRule="auto"/>
        <w:ind w:right="98" w:firstLine="450"/>
        <w:rPr>
          <w:rFonts w:hint="eastAsia"/>
          <w:color w:val="231F20"/>
        </w:rPr>
      </w:pPr>
      <w:r>
        <w:rPr>
          <w:rFonts w:hint="eastAsia"/>
          <w:color w:val="231F20"/>
        </w:rPr>
        <w:t>This sorrow will also be universal: It will touch every inhabitant of the land, every marriage, every generation of every family (e.g., David and his son, Nathan; Levi and his grandson, Shimei), and every institution (e.g., kings, priests, people), (11- 14).</w:t>
      </w:r>
    </w:p>
    <w:p w14:paraId="0488BFD7">
      <w:pPr>
        <w:pStyle w:val="9"/>
        <w:spacing w:before="13" w:line="249" w:lineRule="auto"/>
        <w:ind w:right="98" w:firstLine="450"/>
        <w:rPr>
          <w:rFonts w:hint="eastAsia"/>
          <w:color w:val="231F20"/>
        </w:rPr>
      </w:pPr>
      <w:r>
        <w:rPr>
          <w:rFonts w:hint="eastAsia"/>
          <w:color w:val="231F20"/>
        </w:rPr>
        <w:t>这种悲伤也将是普遍的：它将触及这片土地上的每一位居民，每一桩婚姻，每一个家庭的每一代人（例如，大卫和他的儿子拿单；利未和他的孙子示每），以及每一个机构（例如，君王、祭司、百姓），(11-14)。</w:t>
      </w:r>
    </w:p>
    <w:p w14:paraId="6F657647">
      <w:pPr>
        <w:pStyle w:val="9"/>
        <w:spacing w:before="13" w:line="249" w:lineRule="auto"/>
        <w:ind w:right="98" w:firstLine="450"/>
        <w:rPr>
          <w:rFonts w:hint="eastAsia"/>
          <w:color w:val="231F20"/>
        </w:rPr>
      </w:pPr>
    </w:p>
    <w:p w14:paraId="4596CF41">
      <w:pPr>
        <w:pStyle w:val="9"/>
        <w:spacing w:before="13" w:line="249" w:lineRule="auto"/>
        <w:ind w:right="98" w:firstLine="450"/>
        <w:rPr>
          <w:rFonts w:hint="eastAsia"/>
          <w:color w:val="231F20"/>
        </w:rPr>
      </w:pPr>
      <w:r>
        <w:rPr>
          <w:rFonts w:hint="eastAsia"/>
          <w:color w:val="231F20"/>
        </w:rPr>
        <w:t>And yet Zechariah’s words are indeed glad tidings, for here, draped in OT type and shadow, is yet another proclamation of one of the great promises of the Kingdom: Through the eschatological gift of the Spirit— and the resulting gifts of repentance, faith, and a new, circumcised heart— all of God’s people will be holy (Deut. 30:6, Jer. 31:31-34, Ezek. 36:24-32, 1 Peter 1:16, Phil. 3:3, Col. 2:11, Heb. 8:6-13).</w:t>
      </w:r>
    </w:p>
    <w:p w14:paraId="2FEAF692">
      <w:pPr>
        <w:pStyle w:val="9"/>
        <w:spacing w:before="13" w:line="249" w:lineRule="auto"/>
        <w:ind w:right="98" w:firstLine="450"/>
        <w:rPr>
          <w:rFonts w:hint="eastAsia"/>
          <w:color w:val="231F20"/>
        </w:rPr>
      </w:pPr>
      <w:r>
        <w:rPr>
          <w:rFonts w:hint="eastAsia"/>
          <w:color w:val="231F20"/>
        </w:rPr>
        <w:t>然而，撒迦利亚的话确实是好消息，因为在这里，披着旧约的预表和影像，又是对国度伟大应许之一的另一番宣告：通过末世圣灵的恩赐——以及由此而来的悔改、信心和一颗新的、受了割礼的心——神所有的子民都将成为圣洁 (申 30:6, 耶 31:31-34, 结 36:24-32, 彼前 1:16, 腓 3:3, 西 2:11, 来 8:6-13)。</w:t>
      </w:r>
    </w:p>
    <w:p w14:paraId="09F4BFD6">
      <w:pPr>
        <w:pStyle w:val="9"/>
        <w:spacing w:before="13" w:line="249" w:lineRule="auto"/>
        <w:ind w:right="98" w:firstLine="450"/>
        <w:rPr>
          <w:rFonts w:hint="eastAsia"/>
          <w:color w:val="231F20"/>
        </w:rPr>
      </w:pPr>
    </w:p>
    <w:p w14:paraId="3450F1B1">
      <w:pPr>
        <w:pStyle w:val="9"/>
        <w:spacing w:before="13" w:line="249" w:lineRule="auto"/>
        <w:ind w:right="98" w:firstLine="450"/>
        <w:rPr>
          <w:rFonts w:hint="eastAsia"/>
          <w:color w:val="231F20"/>
        </w:rPr>
      </w:pPr>
      <w:r>
        <w:rPr>
          <w:rFonts w:hint="eastAsia"/>
          <w:color w:val="231F20"/>
        </w:rPr>
        <w:t>All of God’s people will be born again (John 3:3, 7, 1 Peter 1:23).</w:t>
      </w:r>
    </w:p>
    <w:p w14:paraId="0F0C47DF">
      <w:pPr>
        <w:pStyle w:val="9"/>
        <w:spacing w:before="13" w:line="249" w:lineRule="auto"/>
        <w:ind w:right="98" w:firstLine="450"/>
        <w:rPr>
          <w:rFonts w:hint="eastAsia"/>
          <w:color w:val="231F20"/>
        </w:rPr>
      </w:pPr>
      <w:r>
        <w:rPr>
          <w:rFonts w:hint="eastAsia"/>
          <w:color w:val="231F20"/>
        </w:rPr>
        <w:t>神所有的子民都将重生 (约 3:3, 7, 彼前 1:23)。</w:t>
      </w:r>
    </w:p>
    <w:p w14:paraId="3F033C38">
      <w:pPr>
        <w:pStyle w:val="9"/>
        <w:spacing w:before="13" w:line="249" w:lineRule="auto"/>
        <w:ind w:right="98" w:firstLine="450"/>
        <w:rPr>
          <w:rFonts w:hint="eastAsia"/>
          <w:color w:val="231F20"/>
        </w:rPr>
      </w:pPr>
    </w:p>
    <w:p w14:paraId="4E3B873D">
      <w:pPr>
        <w:pStyle w:val="9"/>
        <w:spacing w:before="13" w:line="249" w:lineRule="auto"/>
        <w:ind w:right="98" w:firstLine="450"/>
        <w:rPr>
          <w:rFonts w:hint="eastAsia"/>
          <w:color w:val="231F20"/>
        </w:rPr>
      </w:pPr>
      <w:r>
        <w:rPr>
          <w:rFonts w:hint="eastAsia"/>
          <w:color w:val="231F20"/>
        </w:rPr>
        <w:t>In passing, I want to acknowledge an element of truth present in premillennial interpretations of this passage.</w:t>
      </w:r>
    </w:p>
    <w:p w14:paraId="07B0986A">
      <w:pPr>
        <w:pStyle w:val="9"/>
        <w:spacing w:before="13" w:line="249" w:lineRule="auto"/>
        <w:ind w:right="98" w:firstLine="450"/>
        <w:rPr>
          <w:rFonts w:hint="eastAsia"/>
          <w:color w:val="231F20"/>
        </w:rPr>
      </w:pPr>
      <w:r>
        <w:rPr>
          <w:rFonts w:hint="eastAsia"/>
          <w:color w:val="231F20"/>
        </w:rPr>
        <w:t>顺便一提，我想承认在前千禧年论对这段经文的解释中存在着一个真理的元素。</w:t>
      </w:r>
    </w:p>
    <w:p w14:paraId="3A8C4AA7">
      <w:pPr>
        <w:pStyle w:val="9"/>
        <w:spacing w:before="13" w:line="249" w:lineRule="auto"/>
        <w:ind w:right="98" w:firstLine="450"/>
        <w:rPr>
          <w:rFonts w:hint="eastAsia"/>
          <w:color w:val="231F20"/>
        </w:rPr>
      </w:pPr>
    </w:p>
    <w:p w14:paraId="0611C2EE">
      <w:pPr>
        <w:pStyle w:val="9"/>
        <w:spacing w:before="13" w:line="249" w:lineRule="auto"/>
        <w:ind w:right="98" w:firstLine="450"/>
        <w:rPr>
          <w:rFonts w:hint="eastAsia"/>
          <w:color w:val="231F20"/>
        </w:rPr>
      </w:pPr>
      <w:r>
        <w:rPr>
          <w:rFonts w:hint="eastAsia"/>
          <w:color w:val="231F20"/>
        </w:rPr>
        <w:t>Premillennarians say that this is an OT prophecy of the latter-day conversion of ethnic Israel.</w:t>
      </w:r>
    </w:p>
    <w:p w14:paraId="6A550AF3">
      <w:pPr>
        <w:pStyle w:val="9"/>
        <w:spacing w:before="13" w:line="249" w:lineRule="auto"/>
        <w:ind w:right="98" w:firstLine="450"/>
        <w:rPr>
          <w:rFonts w:hint="eastAsia"/>
          <w:color w:val="231F20"/>
        </w:rPr>
      </w:pPr>
      <w:r>
        <w:rPr>
          <w:rFonts w:hint="eastAsia"/>
          <w:color w:val="231F20"/>
        </w:rPr>
        <w:t>前千禧年论者说，这是一个关于末后日子以色列民族归信的旧约预言。</w:t>
      </w:r>
    </w:p>
    <w:p w14:paraId="0C849896">
      <w:pPr>
        <w:pStyle w:val="9"/>
        <w:spacing w:before="13" w:line="249" w:lineRule="auto"/>
        <w:ind w:right="98" w:firstLine="450"/>
        <w:rPr>
          <w:rFonts w:hint="eastAsia"/>
          <w:color w:val="231F20"/>
        </w:rPr>
      </w:pPr>
    </w:p>
    <w:p w14:paraId="1123D38E">
      <w:pPr>
        <w:pStyle w:val="9"/>
        <w:spacing w:before="13" w:line="249" w:lineRule="auto"/>
        <w:ind w:right="98" w:firstLine="450"/>
        <w:rPr>
          <w:rFonts w:hint="eastAsia"/>
          <w:color w:val="231F20"/>
        </w:rPr>
      </w:pPr>
      <w:r>
        <w:rPr>
          <w:rFonts w:hint="eastAsia"/>
          <w:color w:val="231F20"/>
        </w:rPr>
        <w:t>In part they are right, for whenever a Jewish man or woman is called to Christ, it is fulfilled (Rom. 11:5).</w:t>
      </w:r>
    </w:p>
    <w:p w14:paraId="06986B56">
      <w:pPr>
        <w:pStyle w:val="9"/>
        <w:spacing w:before="13" w:line="249" w:lineRule="auto"/>
        <w:ind w:right="98" w:firstLine="450"/>
        <w:rPr>
          <w:rFonts w:hint="eastAsia"/>
          <w:color w:val="231F20"/>
        </w:rPr>
      </w:pPr>
      <w:r>
        <w:rPr>
          <w:rFonts w:hint="eastAsia"/>
          <w:color w:val="231F20"/>
        </w:rPr>
        <w:t>他们部分是对的，因为每当一个犹太男人或女人被呼召归向基督时，它就应验了 (罗 11:5)。</w:t>
      </w:r>
    </w:p>
    <w:p w14:paraId="3D848DF3">
      <w:pPr>
        <w:pStyle w:val="9"/>
        <w:spacing w:before="13" w:line="249" w:lineRule="auto"/>
        <w:ind w:right="98" w:firstLine="450"/>
        <w:rPr>
          <w:rFonts w:hint="eastAsia"/>
          <w:color w:val="231F20"/>
        </w:rPr>
      </w:pPr>
    </w:p>
    <w:p w14:paraId="6F0408E5">
      <w:pPr>
        <w:pStyle w:val="9"/>
        <w:spacing w:before="13" w:line="249" w:lineRule="auto"/>
        <w:ind w:right="98" w:firstLine="450"/>
        <w:rPr>
          <w:rFonts w:hint="eastAsia"/>
          <w:color w:val="231F20"/>
        </w:rPr>
      </w:pPr>
      <w:r>
        <w:rPr>
          <w:rFonts w:hint="eastAsia"/>
          <w:color w:val="231F20"/>
        </w:rPr>
        <w:t>It will also be fulfilled when God, at the end of the age, through the preaching of the Gospel, calls a great multitude of Jews to faith in the first of Israel’s “firstborn” sons, thus grafting (much of) ethnic Israel back into the vine of Abraham, the father of all the faithful (Rom. 4:1ff, 8:29, 11:11-32, Col. 1:18, Heb. 1:6, 12:23).</w:t>
      </w:r>
    </w:p>
    <w:p w14:paraId="65DCC961">
      <w:pPr>
        <w:pStyle w:val="9"/>
        <w:spacing w:before="13" w:line="249" w:lineRule="auto"/>
        <w:ind w:right="98" w:firstLine="450"/>
        <w:rPr>
          <w:rFonts w:hint="eastAsia"/>
          <w:color w:val="231F20"/>
        </w:rPr>
      </w:pPr>
      <w:r>
        <w:rPr>
          <w:rFonts w:hint="eastAsia"/>
          <w:color w:val="231F20"/>
        </w:rPr>
        <w:t>当神在世代的末了，通过传讲福音，呼召一大群犹太人信靠以色列“长子”中的第一位时，它也将应验，从而将（大部分）以色列民族重新嫁接到亚伯拉罕这棵所有信徒之父的葡萄树上 (罗 4:1及后, 8:29, 11:11-32, 西 1:18, 来 1:6, 12:23)。</w:t>
      </w:r>
    </w:p>
    <w:p w14:paraId="5A17489F">
      <w:pPr>
        <w:pStyle w:val="9"/>
        <w:spacing w:before="13" w:line="249" w:lineRule="auto"/>
        <w:ind w:right="98" w:firstLine="450"/>
        <w:rPr>
          <w:rFonts w:hint="eastAsia"/>
          <w:color w:val="231F20"/>
        </w:rPr>
      </w:pPr>
    </w:p>
    <w:p w14:paraId="3BEFC22E">
      <w:pPr>
        <w:pStyle w:val="9"/>
        <w:spacing w:before="13" w:line="249" w:lineRule="auto"/>
        <w:ind w:right="98" w:firstLine="450"/>
        <w:rPr>
          <w:rFonts w:hint="eastAsia"/>
          <w:color w:val="231F20"/>
        </w:rPr>
      </w:pPr>
      <w:r>
        <w:rPr>
          <w:rFonts w:hint="eastAsia"/>
          <w:color w:val="231F20"/>
        </w:rPr>
        <w:t>We must understand, however, that these are only partial fulfillments of our text, and that Zechariah 12:10-14 is fully fulfilled, neither in Jewish converts alone, nor in Gentile converts alone, but in all converts; in the One New Man and the One New Nation that is the Spirit-filled Body of Christ, composed of believing Jews and Gentiles (Eph. 2:15, 1 Peter 2:9).</w:t>
      </w:r>
    </w:p>
    <w:p w14:paraId="225BC641">
      <w:pPr>
        <w:pStyle w:val="9"/>
        <w:spacing w:before="13" w:line="249" w:lineRule="auto"/>
        <w:ind w:right="98" w:firstLine="450"/>
        <w:rPr>
          <w:rFonts w:hint="eastAsia"/>
          <w:color w:val="231F20"/>
        </w:rPr>
      </w:pPr>
      <w:r>
        <w:rPr>
          <w:rFonts w:hint="eastAsia"/>
          <w:color w:val="231F20"/>
        </w:rPr>
        <w:t>然而，我们必须明白，这些只是我们经文的部分应验，而撒迦利亚书12:10-14的完全应验，既不在于单单的犹太归信者，也不在于单单的外邦归信者，而在于所有的归信者；在于那一个新人和一个新国度，即由相信的犹太人和外邦人组成的、被圣灵充满的基督身体 (弗 2:15, 彼前 2:9)。</w:t>
      </w:r>
    </w:p>
    <w:p w14:paraId="57B30981">
      <w:pPr>
        <w:pStyle w:val="9"/>
        <w:spacing w:before="13" w:line="249" w:lineRule="auto"/>
        <w:ind w:right="98" w:firstLine="450"/>
        <w:rPr>
          <w:rFonts w:hint="eastAsia"/>
          <w:color w:val="231F20"/>
        </w:rPr>
      </w:pPr>
    </w:p>
    <w:p w14:paraId="294CC820">
      <w:pPr>
        <w:pStyle w:val="9"/>
        <w:spacing w:before="13" w:line="249" w:lineRule="auto"/>
        <w:ind w:right="98" w:firstLine="450"/>
        <w:rPr>
          <w:rFonts w:hint="eastAsia"/>
          <w:color w:val="231F20"/>
        </w:rPr>
      </w:pPr>
      <w:r>
        <w:rPr>
          <w:rFonts w:hint="eastAsia"/>
          <w:color w:val="231F20"/>
        </w:rPr>
        <w:t>So then, our premillennarian brothers are correct when they assert that this prophecy is fulfilled among latter-day Jews.</w:t>
      </w:r>
    </w:p>
    <w:p w14:paraId="4DDFA16A">
      <w:pPr>
        <w:pStyle w:val="9"/>
        <w:spacing w:before="13" w:line="249" w:lineRule="auto"/>
        <w:ind w:right="98" w:firstLine="450"/>
        <w:rPr>
          <w:rFonts w:hint="eastAsia"/>
          <w:color w:val="231F20"/>
        </w:rPr>
      </w:pPr>
      <w:r>
        <w:rPr>
          <w:rFonts w:hint="eastAsia"/>
          <w:color w:val="231F20"/>
        </w:rPr>
        <w:t>那么，我们的前千禧年派弟兄们断言这个预言在末后的犹太人中应验是正确的。</w:t>
      </w:r>
    </w:p>
    <w:p w14:paraId="754BB0BD">
      <w:pPr>
        <w:pStyle w:val="9"/>
        <w:spacing w:before="13" w:line="249" w:lineRule="auto"/>
        <w:ind w:right="98" w:firstLine="450"/>
        <w:rPr>
          <w:rFonts w:hint="eastAsia"/>
          <w:color w:val="231F20"/>
        </w:rPr>
      </w:pPr>
    </w:p>
    <w:p w14:paraId="5401C29B">
      <w:pPr>
        <w:pStyle w:val="9"/>
        <w:spacing w:before="13" w:line="249" w:lineRule="auto"/>
        <w:ind w:right="98" w:firstLine="450"/>
        <w:rPr>
          <w:rFonts w:hint="eastAsia"/>
          <w:color w:val="231F20"/>
        </w:rPr>
      </w:pPr>
      <w:r>
        <w:rPr>
          <w:rFonts w:hint="eastAsia"/>
          <w:color w:val="231F20"/>
        </w:rPr>
        <w:t>But they err when they say it is fulfilled exclusively among latter-day Jews, exclusively at the end of the age, and exclusively at the Second Coming of Christ.</w:t>
      </w:r>
    </w:p>
    <w:p w14:paraId="47D6F73E">
      <w:pPr>
        <w:pStyle w:val="9"/>
        <w:spacing w:before="13" w:line="249" w:lineRule="auto"/>
        <w:ind w:right="98" w:firstLine="450"/>
        <w:rPr>
          <w:rFonts w:hint="eastAsia"/>
          <w:color w:val="231F20"/>
        </w:rPr>
      </w:pPr>
      <w:r>
        <w:rPr>
          <w:rFonts w:hint="eastAsia"/>
          <w:color w:val="231F20"/>
        </w:rPr>
        <w:t>但他们错了，当他们说它只在末后的犹太人中应验，只在世代的末了应验，并且只在基督的第二次降临时应验。</w:t>
      </w:r>
    </w:p>
    <w:p w14:paraId="6B32FEFB">
      <w:pPr>
        <w:pStyle w:val="9"/>
        <w:spacing w:before="13" w:line="249" w:lineRule="auto"/>
        <w:ind w:right="98" w:firstLine="450"/>
        <w:rPr>
          <w:rFonts w:hint="eastAsia"/>
          <w:color w:val="231F20"/>
        </w:rPr>
      </w:pPr>
    </w:p>
    <w:p w14:paraId="5CEF78CA">
      <w:pPr>
        <w:pStyle w:val="9"/>
        <w:spacing w:before="13" w:line="249" w:lineRule="auto"/>
        <w:ind w:right="98" w:firstLine="450"/>
        <w:rPr>
          <w:rFonts w:hint="eastAsia"/>
          <w:color w:val="231F20"/>
        </w:rPr>
      </w:pPr>
      <w:r>
        <w:rPr>
          <w:rFonts w:hint="eastAsia"/>
          <w:color w:val="231F20"/>
        </w:rPr>
        <w:t>Thanks be to God for the NCH, which helps to see all these things clearly, and so to make our way, together, towards his amazing eschatological truth!</w:t>
      </w:r>
    </w:p>
    <w:p w14:paraId="2202DE99">
      <w:pPr>
        <w:pStyle w:val="9"/>
        <w:spacing w:before="13" w:line="249" w:lineRule="auto"/>
        <w:ind w:right="98" w:firstLine="450"/>
        <w:rPr>
          <w:rFonts w:hint="eastAsia"/>
          <w:color w:val="231F20"/>
        </w:rPr>
      </w:pPr>
      <w:r>
        <w:rPr>
          <w:rFonts w:hint="eastAsia"/>
          <w:color w:val="231F20"/>
        </w:rPr>
        <w:t>感谢神赐下新约解释学，它帮助我们清楚地看到所有这些事情，从而让我们能一起走向祂奇妙的末世论真理！</w:t>
      </w:r>
    </w:p>
    <w:p w14:paraId="6527ECD6">
      <w:pPr>
        <w:pStyle w:val="9"/>
        <w:spacing w:before="13" w:line="249" w:lineRule="auto"/>
        <w:ind w:right="98" w:firstLine="450"/>
        <w:rPr>
          <w:rFonts w:hint="eastAsia"/>
          <w:color w:val="231F20"/>
        </w:rPr>
      </w:pPr>
    </w:p>
    <w:p w14:paraId="6873D50D">
      <w:pPr>
        <w:pStyle w:val="9"/>
        <w:spacing w:before="13" w:line="249" w:lineRule="auto"/>
        <w:ind w:right="98" w:firstLine="450"/>
        <w:rPr>
          <w:rFonts w:hint="eastAsia"/>
          <w:color w:val="231F20"/>
        </w:rPr>
      </w:pPr>
      <w:r>
        <w:rPr>
          <w:rFonts w:hint="eastAsia"/>
          <w:color w:val="231F20"/>
        </w:rPr>
        <w:t>After Tears, Cleansing (13:1-6)</w:t>
      </w:r>
    </w:p>
    <w:p w14:paraId="6E941569">
      <w:pPr>
        <w:pStyle w:val="9"/>
        <w:spacing w:before="13" w:line="249" w:lineRule="auto"/>
        <w:ind w:right="98" w:firstLine="450"/>
        <w:rPr>
          <w:rFonts w:hint="eastAsia"/>
          <w:color w:val="231F20"/>
        </w:rPr>
      </w:pPr>
      <w:r>
        <w:rPr>
          <w:rFonts w:hint="eastAsia"/>
          <w:color w:val="231F20"/>
        </w:rPr>
        <w:t>眼泪之后，是洁净 (13:1-6)</w:t>
      </w:r>
    </w:p>
    <w:p w14:paraId="1528DBF2">
      <w:pPr>
        <w:pStyle w:val="9"/>
        <w:spacing w:before="13" w:line="249" w:lineRule="auto"/>
        <w:ind w:right="98" w:firstLine="450"/>
        <w:rPr>
          <w:rFonts w:hint="eastAsia"/>
          <w:color w:val="231F20"/>
        </w:rPr>
      </w:pPr>
    </w:p>
    <w:p w14:paraId="65886140">
      <w:pPr>
        <w:pStyle w:val="9"/>
        <w:spacing w:before="13" w:line="249" w:lineRule="auto"/>
        <w:ind w:right="98" w:firstLine="450"/>
        <w:rPr>
          <w:rFonts w:hint="eastAsia"/>
          <w:color w:val="231F20"/>
        </w:rPr>
      </w:pPr>
      <w:r>
        <w:rPr>
          <w:rFonts w:hint="eastAsia"/>
          <w:color w:val="231F20"/>
        </w:rPr>
        <w:t>This is the third prophetic snapshot in Zechariah’s oracle.</w:t>
      </w:r>
    </w:p>
    <w:p w14:paraId="27EA3E71">
      <w:pPr>
        <w:pStyle w:val="9"/>
        <w:spacing w:before="13" w:line="249" w:lineRule="auto"/>
        <w:ind w:right="98" w:firstLine="450"/>
        <w:rPr>
          <w:rFonts w:hint="eastAsia"/>
          <w:color w:val="231F20"/>
        </w:rPr>
      </w:pPr>
      <w:r>
        <w:rPr>
          <w:rFonts w:hint="eastAsia"/>
          <w:color w:val="231F20"/>
        </w:rPr>
        <w:t>这是撒迦利亚神谕中的第三个预言性快照。</w:t>
      </w:r>
    </w:p>
    <w:p w14:paraId="67217FC8">
      <w:pPr>
        <w:pStyle w:val="9"/>
        <w:spacing w:before="13" w:line="249" w:lineRule="auto"/>
        <w:ind w:right="98" w:firstLine="450"/>
        <w:rPr>
          <w:rFonts w:hint="eastAsia"/>
          <w:color w:val="231F20"/>
        </w:rPr>
      </w:pPr>
    </w:p>
    <w:p w14:paraId="35B91602">
      <w:pPr>
        <w:pStyle w:val="9"/>
        <w:spacing w:before="13" w:line="249" w:lineRule="auto"/>
        <w:ind w:right="98" w:firstLine="450"/>
        <w:rPr>
          <w:rFonts w:hint="eastAsia"/>
          <w:color w:val="231F20"/>
        </w:rPr>
      </w:pPr>
      <w:r>
        <w:rPr>
          <w:rFonts w:hint="eastAsia"/>
          <w:color w:val="231F20"/>
        </w:rPr>
        <w:t>Aided by the NCH, we can readily discern its essential meaning: In the New Covenant Era, and as a result of Christ’s atoning sacrifice for sin, God will sanctify his Church, purging it—and ultimately the whole world—of idolatry, false religion, and the deceiving spirits that are behind them.</w:t>
      </w:r>
    </w:p>
    <w:p w14:paraId="5F7CC90D">
      <w:pPr>
        <w:pStyle w:val="9"/>
        <w:spacing w:before="13" w:line="249" w:lineRule="auto"/>
        <w:ind w:right="98" w:firstLine="450"/>
        <w:rPr>
          <w:rFonts w:hint="eastAsia"/>
          <w:color w:val="231F20"/>
        </w:rPr>
      </w:pPr>
      <w:r>
        <w:rPr>
          <w:rFonts w:hint="eastAsia"/>
          <w:color w:val="231F20"/>
        </w:rPr>
        <w:t>在新约解释学的帮助下，我们可以轻易地辨别出它的基本含义：在新约时代，并且作为基督为罪赎罪的牺牲的结果，神将使祂的教会成圣，洁除它——并最终洁除整个世界——的偶像崇拜、虚假宗教，以及它们背后的欺骗之灵。</w:t>
      </w:r>
    </w:p>
    <w:p w14:paraId="36A45620">
      <w:pPr>
        <w:pStyle w:val="9"/>
        <w:spacing w:before="13" w:line="249" w:lineRule="auto"/>
        <w:ind w:right="98" w:firstLine="450"/>
        <w:rPr>
          <w:rFonts w:hint="eastAsia"/>
          <w:color w:val="231F20"/>
        </w:rPr>
      </w:pPr>
    </w:p>
    <w:p w14:paraId="7D5958EC">
      <w:pPr>
        <w:pStyle w:val="9"/>
        <w:spacing w:before="13" w:line="249" w:lineRule="auto"/>
        <w:ind w:right="98" w:firstLine="450"/>
        <w:rPr>
          <w:rFonts w:hint="eastAsia"/>
          <w:color w:val="231F20"/>
        </w:rPr>
      </w:pPr>
      <w:r>
        <w:rPr>
          <w:rFonts w:hint="eastAsia"/>
          <w:color w:val="231F20"/>
        </w:rPr>
        <w:t>God’s people themselves will have a role in this, as they use Church discipline— wherever and whenever necessary— to maintain the spiritual purity of their assemblies.</w:t>
      </w:r>
    </w:p>
    <w:p w14:paraId="14583912">
      <w:pPr>
        <w:pStyle w:val="9"/>
        <w:spacing w:before="13" w:line="249" w:lineRule="auto"/>
        <w:ind w:right="98" w:firstLine="450"/>
        <w:rPr>
          <w:rFonts w:hint="eastAsia"/>
          <w:color w:val="231F20"/>
        </w:rPr>
      </w:pPr>
      <w:r>
        <w:rPr>
          <w:rFonts w:hint="eastAsia"/>
          <w:color w:val="231F20"/>
        </w:rPr>
        <w:t>神的子民自己也将在这其中扮演一个角色，因为他们将使用教会纪律——在任何必要的地方和任何必要的时候——来维持他们聚会的属灵纯洁。</w:t>
      </w:r>
    </w:p>
    <w:p w14:paraId="1F65F423">
      <w:pPr>
        <w:pStyle w:val="9"/>
        <w:spacing w:before="13" w:line="249" w:lineRule="auto"/>
        <w:ind w:right="98" w:firstLine="450"/>
        <w:rPr>
          <w:rFonts w:hint="eastAsia"/>
          <w:color w:val="231F20"/>
        </w:rPr>
      </w:pPr>
    </w:p>
    <w:p w14:paraId="4E648442">
      <w:pPr>
        <w:pStyle w:val="9"/>
        <w:spacing w:before="13" w:line="249" w:lineRule="auto"/>
        <w:ind w:right="98" w:firstLine="450"/>
        <w:rPr>
          <w:rFonts w:hint="eastAsia"/>
          <w:color w:val="231F20"/>
        </w:rPr>
      </w:pPr>
      <w:r>
        <w:rPr>
          <w:rFonts w:hint="eastAsia"/>
          <w:color w:val="231F20"/>
        </w:rPr>
        <w:t>Let us look briefly at the text itself to see exactly how the Spirit conveys this encouraging message.</w:t>
      </w:r>
    </w:p>
    <w:p w14:paraId="5360BA5A">
      <w:pPr>
        <w:pStyle w:val="9"/>
        <w:spacing w:before="13" w:line="249" w:lineRule="auto"/>
        <w:ind w:right="98" w:firstLine="450"/>
        <w:rPr>
          <w:rFonts w:hint="eastAsia"/>
          <w:color w:val="231F20"/>
        </w:rPr>
      </w:pPr>
      <w:r>
        <w:rPr>
          <w:rFonts w:hint="eastAsia"/>
          <w:color w:val="231F20"/>
        </w:rPr>
        <w:t>让我们简要地看一下经文本身，看看圣灵究竟是如何传达这个鼓舞人心的信息的。</w:t>
      </w:r>
    </w:p>
    <w:p w14:paraId="48350028">
      <w:pPr>
        <w:pStyle w:val="9"/>
        <w:spacing w:before="13" w:line="249" w:lineRule="auto"/>
        <w:ind w:right="98" w:firstLine="450"/>
        <w:rPr>
          <w:rFonts w:hint="eastAsia"/>
          <w:color w:val="231F20"/>
        </w:rPr>
      </w:pPr>
    </w:p>
    <w:p w14:paraId="355A5424">
      <w:pPr>
        <w:pStyle w:val="9"/>
        <w:spacing w:before="13" w:line="249" w:lineRule="auto"/>
        <w:ind w:right="98" w:firstLine="450"/>
        <w:rPr>
          <w:rFonts w:hint="eastAsia"/>
          <w:color w:val="231F20"/>
        </w:rPr>
      </w:pPr>
      <w:r>
        <w:rPr>
          <w:rFonts w:hint="eastAsia"/>
          <w:color w:val="231F20"/>
        </w:rPr>
        <w:t>In verse 1 God unveils the basis, or ground, of his sanctifying work in the Church.</w:t>
      </w:r>
    </w:p>
    <w:p w14:paraId="037EC52B">
      <w:pPr>
        <w:pStyle w:val="9"/>
        <w:spacing w:before="13" w:line="249" w:lineRule="auto"/>
        <w:ind w:right="98" w:firstLine="450"/>
        <w:rPr>
          <w:rFonts w:hint="eastAsia"/>
          <w:color w:val="231F20"/>
        </w:rPr>
      </w:pPr>
      <w:r>
        <w:rPr>
          <w:rFonts w:hint="eastAsia"/>
          <w:color w:val="231F20"/>
        </w:rPr>
        <w:t>在第1节，神揭示了祂在教会中成圣工作的基础或根基。</w:t>
      </w:r>
    </w:p>
    <w:p w14:paraId="1FC6AA85">
      <w:pPr>
        <w:pStyle w:val="9"/>
        <w:spacing w:before="13" w:line="249" w:lineRule="auto"/>
        <w:ind w:right="98" w:firstLine="450"/>
        <w:rPr>
          <w:rFonts w:hint="eastAsia"/>
          <w:color w:val="231F20"/>
        </w:rPr>
      </w:pPr>
    </w:p>
    <w:p w14:paraId="14C9FC38">
      <w:pPr>
        <w:pStyle w:val="9"/>
        <w:spacing w:before="13" w:line="249" w:lineRule="auto"/>
        <w:ind w:right="98" w:firstLine="450"/>
        <w:rPr>
          <w:rFonts w:hint="eastAsia"/>
          <w:color w:val="231F20"/>
        </w:rPr>
      </w:pPr>
      <w:r>
        <w:rPr>
          <w:rFonts w:hint="eastAsia"/>
          <w:color w:val="231F20"/>
        </w:rPr>
        <w:t>Every phrase is rich with meaning.</w:t>
      </w:r>
    </w:p>
    <w:p w14:paraId="3DF57938">
      <w:pPr>
        <w:pStyle w:val="9"/>
        <w:spacing w:before="13" w:line="249" w:lineRule="auto"/>
        <w:ind w:right="98" w:firstLine="450"/>
        <w:rPr>
          <w:rFonts w:hint="eastAsia"/>
          <w:color w:val="231F20"/>
        </w:rPr>
      </w:pPr>
      <w:r>
        <w:rPr>
          <w:rFonts w:hint="eastAsia"/>
          <w:color w:val="231F20"/>
        </w:rPr>
        <w:t>每个短语都富有深意。</w:t>
      </w:r>
    </w:p>
    <w:p w14:paraId="78B098EE">
      <w:pPr>
        <w:pStyle w:val="9"/>
        <w:spacing w:before="13" w:line="249" w:lineRule="auto"/>
        <w:ind w:right="98" w:firstLine="450"/>
        <w:rPr>
          <w:rFonts w:hint="eastAsia"/>
          <w:color w:val="231F20"/>
        </w:rPr>
      </w:pPr>
    </w:p>
    <w:p w14:paraId="4FEB7992">
      <w:pPr>
        <w:pStyle w:val="9"/>
        <w:spacing w:before="13" w:line="249" w:lineRule="auto"/>
        <w:ind w:right="98" w:firstLine="450"/>
        <w:rPr>
          <w:rFonts w:hint="eastAsia"/>
          <w:color w:val="231F20"/>
        </w:rPr>
      </w:pPr>
      <w:r>
        <w:rPr>
          <w:rFonts w:hint="eastAsia"/>
          <w:color w:val="231F20"/>
        </w:rPr>
        <w:t>“In that Day,” points ahead to the Era of Fulfillment, especially the Era of Proclamation.</w:t>
      </w:r>
    </w:p>
    <w:p w14:paraId="4BE34B92">
      <w:pPr>
        <w:pStyle w:val="9"/>
        <w:spacing w:before="13" w:line="249" w:lineRule="auto"/>
        <w:ind w:right="98" w:firstLine="450"/>
        <w:rPr>
          <w:rFonts w:hint="eastAsia"/>
          <w:color w:val="231F20"/>
        </w:rPr>
      </w:pPr>
      <w:r>
        <w:rPr>
          <w:rFonts w:hint="eastAsia"/>
          <w:color w:val="231F20"/>
        </w:rPr>
        <w:t>“那日，” 指向应验的时代，特别是宣讲的时代。</w:t>
      </w:r>
    </w:p>
    <w:p w14:paraId="5E5BC464">
      <w:pPr>
        <w:pStyle w:val="9"/>
        <w:spacing w:before="13" w:line="249" w:lineRule="auto"/>
        <w:ind w:right="98" w:firstLine="450"/>
        <w:rPr>
          <w:rFonts w:hint="eastAsia"/>
          <w:color w:val="231F20"/>
        </w:rPr>
      </w:pPr>
    </w:p>
    <w:p w14:paraId="4B83EE02">
      <w:pPr>
        <w:pStyle w:val="9"/>
        <w:spacing w:before="13" w:line="249" w:lineRule="auto"/>
        <w:ind w:right="98" w:firstLine="450"/>
        <w:rPr>
          <w:rFonts w:hint="eastAsia"/>
          <w:color w:val="231F20"/>
        </w:rPr>
      </w:pPr>
      <w:r>
        <w:rPr>
          <w:rFonts w:hint="eastAsia"/>
          <w:color w:val="231F20"/>
        </w:rPr>
        <w:t>“A fountain will be opened”—at Calvary, where Christ’s blood will be shed in order to make atonement for sin; in order to secure the regeneration, sanctification, and eventual glorification of God’s covenant people (Mk. 14:24, Rom. 3:25, 8:29-30).</w:t>
      </w:r>
    </w:p>
    <w:p w14:paraId="7EC41153">
      <w:pPr>
        <w:pStyle w:val="9"/>
        <w:spacing w:before="13" w:line="249" w:lineRule="auto"/>
        <w:ind w:right="98" w:firstLine="450"/>
        <w:rPr>
          <w:rFonts w:hint="eastAsia"/>
          <w:color w:val="231F20"/>
        </w:rPr>
      </w:pPr>
      <w:r>
        <w:rPr>
          <w:rFonts w:hint="eastAsia"/>
          <w:color w:val="231F20"/>
        </w:rPr>
        <w:t>“一个泉源将被打开”——在加略山，基督的血将在那里流出，为罪赎罪；为了确保神立约子民的重生、成圣和最终的得荣 (可 14:24, 罗 3:25, 8:29-30)。</w:t>
      </w:r>
    </w:p>
    <w:p w14:paraId="4EB47706">
      <w:pPr>
        <w:pStyle w:val="9"/>
        <w:spacing w:before="13" w:line="249" w:lineRule="auto"/>
        <w:ind w:right="98" w:firstLine="450"/>
        <w:rPr>
          <w:rFonts w:hint="eastAsia"/>
          <w:color w:val="231F20"/>
        </w:rPr>
      </w:pPr>
    </w:p>
    <w:p w14:paraId="556DDF72">
      <w:pPr>
        <w:pStyle w:val="9"/>
        <w:spacing w:before="13" w:line="249" w:lineRule="auto"/>
        <w:ind w:right="98" w:firstLine="450"/>
        <w:rPr>
          <w:rFonts w:hint="eastAsia"/>
          <w:color w:val="231F20"/>
        </w:rPr>
      </w:pPr>
      <w:r>
        <w:rPr>
          <w:rFonts w:hint="eastAsia"/>
          <w:color w:val="231F20"/>
        </w:rPr>
        <w:t>“For the house of David, and the inhabitants of Jerusalem”—for the Messiah’s spiritual seed, and for God’s spiritual City: the Church of all ages (Luke 1:32-33, John 10:11, 15, Acts 20:28, Eph. 5:25).</w:t>
      </w:r>
    </w:p>
    <w:p w14:paraId="57E5B98B">
      <w:pPr>
        <w:pStyle w:val="9"/>
        <w:spacing w:before="13" w:line="249" w:lineRule="auto"/>
        <w:ind w:right="98" w:firstLine="450"/>
        <w:rPr>
          <w:rFonts w:hint="eastAsia"/>
          <w:color w:val="231F20"/>
        </w:rPr>
      </w:pPr>
      <w:r>
        <w:rPr>
          <w:rFonts w:hint="eastAsia"/>
          <w:color w:val="231F20"/>
        </w:rPr>
        <w:t>“为大卫家和耶路撒冷的居民”——为弥赛亚的属灵后裔，也为神的属灵之城：即所有时代的教会 (路 1:32-33, 约 10:11, 15, 徒 20:28, 弗 5:25)。</w:t>
      </w:r>
    </w:p>
    <w:p w14:paraId="556EE446">
      <w:pPr>
        <w:pStyle w:val="9"/>
        <w:spacing w:before="13" w:line="249" w:lineRule="auto"/>
        <w:ind w:right="98" w:firstLine="450"/>
        <w:rPr>
          <w:rFonts w:hint="eastAsia"/>
          <w:color w:val="231F20"/>
        </w:rPr>
      </w:pPr>
    </w:p>
    <w:p w14:paraId="43E5C755">
      <w:pPr>
        <w:pStyle w:val="9"/>
        <w:spacing w:before="13" w:line="249" w:lineRule="auto"/>
        <w:ind w:right="98" w:firstLine="450"/>
        <w:rPr>
          <w:rFonts w:hint="eastAsia"/>
          <w:color w:val="231F20"/>
        </w:rPr>
      </w:pPr>
      <w:r>
        <w:rPr>
          <w:rFonts w:hint="eastAsia"/>
          <w:color w:val="231F20"/>
        </w:rPr>
        <w:t>“For sin and impurity”—not only to forgive it, but also to wash it away; to cleanse (the souls of) God’s people from all inward defilement.</w:t>
      </w:r>
    </w:p>
    <w:p w14:paraId="45019A55">
      <w:pPr>
        <w:pStyle w:val="9"/>
        <w:spacing w:before="13" w:line="249" w:lineRule="auto"/>
        <w:ind w:right="98" w:firstLine="450"/>
        <w:rPr>
          <w:rFonts w:hint="eastAsia"/>
          <w:color w:val="231F20"/>
        </w:rPr>
      </w:pPr>
      <w:r>
        <w:rPr>
          <w:rFonts w:hint="eastAsia"/>
          <w:color w:val="231F20"/>
        </w:rPr>
        <w:t>“为罪和不洁”——不仅是为赦免它，也是为洗净它；为洁净神子民（的灵魂）脱离一切内心的玷污。</w:t>
      </w:r>
    </w:p>
    <w:p w14:paraId="1CB3F18B">
      <w:pPr>
        <w:pStyle w:val="9"/>
        <w:spacing w:before="13" w:line="249" w:lineRule="auto"/>
        <w:ind w:right="98" w:firstLine="450"/>
        <w:rPr>
          <w:rFonts w:hint="eastAsia"/>
          <w:color w:val="231F20"/>
        </w:rPr>
      </w:pPr>
    </w:p>
    <w:p w14:paraId="2B184A00">
      <w:pPr>
        <w:pStyle w:val="9"/>
        <w:spacing w:before="13" w:line="249" w:lineRule="auto"/>
        <w:ind w:right="98" w:firstLine="450"/>
        <w:rPr>
          <w:rFonts w:hint="eastAsia"/>
          <w:color w:val="231F20"/>
        </w:rPr>
      </w:pPr>
      <w:r>
        <w:rPr>
          <w:rFonts w:hint="eastAsia"/>
          <w:color w:val="231F20"/>
        </w:rPr>
        <w:t>Again, such cleansing— such sanctification—is the focus of our text, a focus shared by the apostle when he wrote of Christ that “… (he) gave himself for us, that he might redeem us from every lawless deed and purify for himself a people for his own possession, zealous for good works” (Titus 2:14; 2 Cor. 7:1, Eph. 4:26- 27, Col. 1:22, John 1:9).</w:t>
      </w:r>
    </w:p>
    <w:p w14:paraId="20B2A56A">
      <w:pPr>
        <w:pStyle w:val="9"/>
        <w:spacing w:before="13" w:line="249" w:lineRule="auto"/>
        <w:ind w:right="98" w:firstLine="450"/>
        <w:rPr>
          <w:rFonts w:hint="eastAsia"/>
          <w:color w:val="231F20"/>
        </w:rPr>
      </w:pPr>
      <w:r>
        <w:rPr>
          <w:rFonts w:hint="eastAsia"/>
          <w:color w:val="231F20"/>
        </w:rPr>
        <w:t>再次，这种洁净——这种成圣——是我们经文的焦点，使徒在论及基督时也分享了这个焦点，他写道：“……（祂）为我们舍了自己，要赎我们脱离一切罪恶，又洁净我们，特作自己的子民，热心为善” (多 2:14; 林后 7:1, 弗 4:26-27, 西 1:22, 约一 1:9)。</w:t>
      </w:r>
    </w:p>
    <w:p w14:paraId="43F7121A">
      <w:pPr>
        <w:pStyle w:val="9"/>
        <w:spacing w:before="13" w:line="249" w:lineRule="auto"/>
        <w:ind w:right="98" w:firstLine="450"/>
        <w:rPr>
          <w:rFonts w:hint="eastAsia"/>
          <w:color w:val="231F20"/>
        </w:rPr>
      </w:pPr>
    </w:p>
    <w:p w14:paraId="21EBACBE">
      <w:pPr>
        <w:pStyle w:val="9"/>
        <w:spacing w:before="13" w:line="249" w:lineRule="auto"/>
        <w:ind w:right="98" w:firstLine="450"/>
        <w:rPr>
          <w:rFonts w:hint="eastAsia"/>
          <w:color w:val="231F20"/>
        </w:rPr>
      </w:pPr>
      <w:r>
        <w:rPr>
          <w:rFonts w:hint="eastAsia"/>
          <w:color w:val="231F20"/>
        </w:rPr>
        <w:t>Verse 2 specifies two results of the open fountain of Christ’s blood.</w:t>
      </w:r>
    </w:p>
    <w:p w14:paraId="6F011878">
      <w:pPr>
        <w:pStyle w:val="9"/>
        <w:spacing w:before="13" w:line="249" w:lineRule="auto"/>
        <w:ind w:right="98" w:firstLine="450"/>
        <w:rPr>
          <w:rFonts w:hint="eastAsia"/>
          <w:color w:val="231F20"/>
        </w:rPr>
      </w:pPr>
      <w:r>
        <w:rPr>
          <w:rFonts w:hint="eastAsia"/>
          <w:color w:val="231F20"/>
        </w:rPr>
        <w:t>第2节指出了基督宝血敞开的泉源的两个结果。</w:t>
      </w:r>
    </w:p>
    <w:p w14:paraId="6C37960E">
      <w:pPr>
        <w:pStyle w:val="9"/>
        <w:spacing w:before="13" w:line="249" w:lineRule="auto"/>
        <w:ind w:right="98" w:firstLine="450"/>
        <w:rPr>
          <w:rFonts w:hint="eastAsia"/>
          <w:color w:val="231F20"/>
        </w:rPr>
      </w:pPr>
    </w:p>
    <w:p w14:paraId="0893C9DC">
      <w:pPr>
        <w:pStyle w:val="9"/>
        <w:spacing w:before="13" w:line="249" w:lineRule="auto"/>
        <w:ind w:right="98" w:firstLine="450"/>
        <w:rPr>
          <w:rFonts w:hint="eastAsia"/>
          <w:color w:val="231F20"/>
        </w:rPr>
      </w:pPr>
      <w:r>
        <w:rPr>
          <w:rFonts w:hint="eastAsia"/>
          <w:color w:val="231F20"/>
        </w:rPr>
        <w:t>First, God will cut off the names of the idols from the land.</w:t>
      </w:r>
    </w:p>
    <w:p w14:paraId="2E2DF69C">
      <w:pPr>
        <w:pStyle w:val="9"/>
        <w:spacing w:before="13" w:line="249" w:lineRule="auto"/>
        <w:ind w:right="98" w:firstLine="450"/>
        <w:rPr>
          <w:rFonts w:hint="eastAsia"/>
          <w:color w:val="231F20"/>
        </w:rPr>
      </w:pPr>
      <w:r>
        <w:rPr>
          <w:rFonts w:hint="eastAsia"/>
          <w:color w:val="231F20"/>
        </w:rPr>
        <w:t>首先，神将从那地剪除偶像的名。</w:t>
      </w:r>
    </w:p>
    <w:p w14:paraId="3507F9D9">
      <w:pPr>
        <w:pStyle w:val="9"/>
        <w:spacing w:before="13" w:line="249" w:lineRule="auto"/>
        <w:ind w:right="98" w:firstLine="450"/>
        <w:rPr>
          <w:rFonts w:hint="eastAsia"/>
          <w:color w:val="231F20"/>
        </w:rPr>
      </w:pPr>
    </w:p>
    <w:p w14:paraId="3A6B6BE2">
      <w:pPr>
        <w:pStyle w:val="9"/>
        <w:spacing w:before="13" w:line="249" w:lineRule="auto"/>
        <w:ind w:right="98" w:firstLine="450"/>
        <w:rPr>
          <w:rFonts w:hint="eastAsia"/>
          <w:color w:val="231F20"/>
        </w:rPr>
      </w:pPr>
      <w:r>
        <w:rPr>
          <w:rFonts w:hint="eastAsia"/>
          <w:color w:val="231F20"/>
        </w:rPr>
        <w:t>That is, by the regenerating and sanctifying work of the Spirit, he will remove the names of every false god from the lips of his NT people, seeing that henceforth they will desire only to call upon his name and the name of his Son (Ezek. 36:25, 1 Cor. 1:2, 8:1-6, 2 Tim. 2:22).</w:t>
      </w:r>
    </w:p>
    <w:p w14:paraId="601865D6">
      <w:pPr>
        <w:pStyle w:val="9"/>
        <w:spacing w:before="13" w:line="249" w:lineRule="auto"/>
        <w:ind w:right="98" w:firstLine="450"/>
        <w:rPr>
          <w:rFonts w:hint="eastAsia"/>
          <w:color w:val="231F20"/>
        </w:rPr>
      </w:pPr>
      <w:r>
        <w:rPr>
          <w:rFonts w:hint="eastAsia"/>
          <w:color w:val="231F20"/>
        </w:rPr>
        <w:t>也就是说，通过圣灵的重生和成圣之工，祂将从祂新约子民的口中除去所有假神的名字，因为从今以后，他们将只渴望呼求祂的名和祂儿子的名 (结 36:25, 林前 1:2, 8:1-6, 提后 2:22)。</w:t>
      </w:r>
    </w:p>
    <w:p w14:paraId="1C8CD350">
      <w:pPr>
        <w:pStyle w:val="9"/>
        <w:spacing w:before="13" w:line="249" w:lineRule="auto"/>
        <w:ind w:right="98" w:firstLine="450"/>
        <w:rPr>
          <w:rFonts w:hint="eastAsia"/>
          <w:color w:val="231F20"/>
        </w:rPr>
      </w:pPr>
    </w:p>
    <w:p w14:paraId="3613A644">
      <w:pPr>
        <w:pStyle w:val="9"/>
        <w:spacing w:before="13" w:line="249" w:lineRule="auto"/>
        <w:ind w:right="98" w:firstLine="450"/>
        <w:rPr>
          <w:rFonts w:hint="eastAsia"/>
          <w:color w:val="231F20"/>
        </w:rPr>
      </w:pPr>
      <w:r>
        <w:rPr>
          <w:rFonts w:hint="eastAsia"/>
          <w:color w:val="231F20"/>
        </w:rPr>
        <w:t>And secondly, he will remove the false prophets and the unclean spirit from the land.</w:t>
      </w:r>
    </w:p>
    <w:p w14:paraId="332A9CC0">
      <w:pPr>
        <w:pStyle w:val="9"/>
        <w:spacing w:before="13" w:line="249" w:lineRule="auto"/>
        <w:ind w:right="98" w:firstLine="450"/>
        <w:rPr>
          <w:rFonts w:hint="eastAsia"/>
          <w:color w:val="231F20"/>
        </w:rPr>
      </w:pPr>
      <w:r>
        <w:rPr>
          <w:rFonts w:hint="eastAsia"/>
          <w:color w:val="231F20"/>
        </w:rPr>
        <w:t>其次，祂将从那地除去假先知和污秽的灵。</w:t>
      </w:r>
    </w:p>
    <w:p w14:paraId="3C26FEF7">
      <w:pPr>
        <w:pStyle w:val="9"/>
        <w:spacing w:before="13" w:line="249" w:lineRule="auto"/>
        <w:ind w:right="98" w:firstLine="450"/>
        <w:rPr>
          <w:rFonts w:hint="eastAsia"/>
          <w:color w:val="231F20"/>
        </w:rPr>
      </w:pPr>
    </w:p>
    <w:p w14:paraId="1C3E7120">
      <w:pPr>
        <w:pStyle w:val="9"/>
        <w:spacing w:before="13" w:line="249" w:lineRule="auto"/>
        <w:ind w:right="98" w:firstLine="450"/>
        <w:rPr>
          <w:rFonts w:hint="eastAsia"/>
          <w:color w:val="231F20"/>
        </w:rPr>
      </w:pPr>
      <w:r>
        <w:rPr>
          <w:rFonts w:hint="eastAsia"/>
          <w:color w:val="231F20"/>
        </w:rPr>
        <w:t>In other words, he will remove false prophets, false teachers, and the deceiving spirits that animate them, from the Church, a people seated in heavenly places in Christ, and therefore justly referred to here as the inhabitants of Immanuel’s Land (1 Tim. 4:1-3, 2 Tim. 3:1ff, Heb. 12:22, 2 Peter 2:1f, 1 John 4:1-6).</w:t>
      </w:r>
    </w:p>
    <w:p w14:paraId="09771AF9">
      <w:pPr>
        <w:pStyle w:val="9"/>
        <w:spacing w:before="13" w:line="249" w:lineRule="auto"/>
        <w:ind w:right="98" w:firstLine="450"/>
        <w:rPr>
          <w:rFonts w:hint="eastAsia"/>
          <w:color w:val="231F20"/>
        </w:rPr>
      </w:pPr>
      <w:r>
        <w:rPr>
          <w:rFonts w:hint="eastAsia"/>
          <w:color w:val="231F20"/>
        </w:rPr>
        <w:t>换句话说，祂将从教会中除去假先知、假教师以及激动他们的欺骗之灵，教会是一群在基督里坐在天上的人，因此在这里被公正地称为以马内利之地的居民 (提前 4:1-3, 提后 3:1及后, 来 12:22, 彼后 2:1及后, 约一 4:1-6)。</w:t>
      </w:r>
    </w:p>
    <w:p w14:paraId="5C4218E1">
      <w:pPr>
        <w:pStyle w:val="9"/>
        <w:spacing w:before="13" w:line="249" w:lineRule="auto"/>
        <w:ind w:right="98" w:firstLine="450"/>
        <w:rPr>
          <w:rFonts w:hint="eastAsia"/>
          <w:color w:val="231F20"/>
        </w:rPr>
      </w:pPr>
    </w:p>
    <w:p w14:paraId="5D775789">
      <w:pPr>
        <w:pStyle w:val="9"/>
        <w:spacing w:before="13" w:line="249" w:lineRule="auto"/>
        <w:ind w:right="98" w:firstLine="450"/>
        <w:rPr>
          <w:rFonts w:hint="eastAsia"/>
          <w:color w:val="231F20"/>
        </w:rPr>
      </w:pPr>
      <w:r>
        <w:rPr>
          <w:rFonts w:hint="eastAsia"/>
          <w:color w:val="231F20"/>
        </w:rPr>
        <w:t>Verse 3 intimates one way in which the cleansing will come about.</w:t>
      </w:r>
    </w:p>
    <w:p w14:paraId="358E43BB">
      <w:pPr>
        <w:pStyle w:val="9"/>
        <w:spacing w:before="13" w:line="249" w:lineRule="auto"/>
        <w:ind w:right="98" w:firstLine="450"/>
        <w:rPr>
          <w:rFonts w:hint="eastAsia"/>
          <w:color w:val="231F20"/>
        </w:rPr>
      </w:pPr>
      <w:r>
        <w:rPr>
          <w:rFonts w:hint="eastAsia"/>
          <w:color w:val="231F20"/>
        </w:rPr>
        <w:t>第3节暗示了洁净将以一种方式实现。</w:t>
      </w:r>
    </w:p>
    <w:p w14:paraId="1738BEE9">
      <w:pPr>
        <w:pStyle w:val="9"/>
        <w:spacing w:before="13" w:line="249" w:lineRule="auto"/>
        <w:ind w:right="98" w:firstLine="450"/>
        <w:rPr>
          <w:rFonts w:hint="eastAsia"/>
          <w:color w:val="231F20"/>
        </w:rPr>
      </w:pPr>
    </w:p>
    <w:p w14:paraId="0CD10647">
      <w:pPr>
        <w:pStyle w:val="9"/>
        <w:spacing w:before="13" w:line="249" w:lineRule="auto"/>
        <w:ind w:right="98" w:firstLine="450"/>
        <w:rPr>
          <w:rFonts w:hint="eastAsia"/>
          <w:color w:val="231F20"/>
        </w:rPr>
      </w:pPr>
      <w:r>
        <w:rPr>
          <w:rFonts w:hint="eastAsia"/>
          <w:color w:val="231F20"/>
        </w:rPr>
        <w:t>Under the Law, false prophets who enticed Israel to serve other gods were punishable by death; and indeed, relatives of such prophets—including their parents—were specifically warned not to hesitate in delivering them up to that punishment (Deut. 13:6-11).</w:t>
      </w:r>
    </w:p>
    <w:p w14:paraId="6B6EAA07">
      <w:pPr>
        <w:pStyle w:val="9"/>
        <w:spacing w:before="13" w:line="249" w:lineRule="auto"/>
        <w:ind w:right="98" w:firstLine="450"/>
        <w:rPr>
          <w:rFonts w:hint="eastAsia"/>
          <w:color w:val="231F20"/>
        </w:rPr>
      </w:pPr>
      <w:r>
        <w:rPr>
          <w:rFonts w:hint="eastAsia"/>
          <w:color w:val="231F20"/>
        </w:rPr>
        <w:t>根据律法，引诱以色列去事奉别神的假先知当被处死；而且，这类先知的亲属——包括他们的父母——被特别警告，不要犹豫将他们交出受那刑罚 (申 13:6-11)。</w:t>
      </w:r>
    </w:p>
    <w:p w14:paraId="7E6EC32B">
      <w:pPr>
        <w:pStyle w:val="9"/>
        <w:spacing w:before="13" w:line="249" w:lineRule="auto"/>
        <w:ind w:right="98" w:firstLine="450"/>
        <w:rPr>
          <w:rFonts w:hint="eastAsia"/>
          <w:color w:val="231F20"/>
        </w:rPr>
      </w:pPr>
    </w:p>
    <w:p w14:paraId="767E9EC1">
      <w:pPr>
        <w:pStyle w:val="9"/>
        <w:spacing w:before="13" w:line="249" w:lineRule="auto"/>
        <w:ind w:right="98" w:firstLine="450"/>
        <w:rPr>
          <w:rFonts w:hint="eastAsia"/>
          <w:color w:val="231F20"/>
        </w:rPr>
      </w:pPr>
      <w:r>
        <w:rPr>
          <w:rFonts w:hint="eastAsia"/>
          <w:color w:val="231F20"/>
        </w:rPr>
        <w:t>In our text, God is therefore saying that “in that Day” eschatological Israel will, at long last, rise eagerly to the fulfillment of their duty under the Law.</w:t>
      </w:r>
    </w:p>
    <w:p w14:paraId="66C51CFA">
      <w:pPr>
        <w:pStyle w:val="9"/>
        <w:spacing w:before="13" w:line="249" w:lineRule="auto"/>
        <w:ind w:right="98" w:firstLine="450"/>
        <w:rPr>
          <w:rFonts w:hint="eastAsia"/>
          <w:color w:val="231F20"/>
        </w:rPr>
      </w:pPr>
      <w:r>
        <w:rPr>
          <w:rFonts w:hint="eastAsia"/>
          <w:color w:val="231F20"/>
        </w:rPr>
        <w:t>因此，在我们的经文中，神是在说“那日”末世的以色列终将热切地起来，履行他们在律法下的责任。</w:t>
      </w:r>
    </w:p>
    <w:p w14:paraId="22CB893F">
      <w:pPr>
        <w:pStyle w:val="9"/>
        <w:spacing w:before="13" w:line="249" w:lineRule="auto"/>
        <w:ind w:right="98" w:firstLine="450"/>
        <w:rPr>
          <w:rFonts w:hint="eastAsia"/>
          <w:color w:val="231F20"/>
        </w:rPr>
      </w:pPr>
    </w:p>
    <w:p w14:paraId="38B50208">
      <w:pPr>
        <w:pStyle w:val="9"/>
        <w:spacing w:before="13" w:line="249" w:lineRule="auto"/>
        <w:ind w:right="98" w:firstLine="450"/>
        <w:rPr>
          <w:rFonts w:hint="eastAsia"/>
          <w:color w:val="231F20"/>
        </w:rPr>
      </w:pPr>
      <w:r>
        <w:rPr>
          <w:rFonts w:hint="eastAsia"/>
          <w:color w:val="231F20"/>
        </w:rPr>
        <w:t>Zealous for the presence of the Holy One of Israel in their midst, they will be willing even to hand their own (spiritual) children over to death.</w:t>
      </w:r>
    </w:p>
    <w:p w14:paraId="335EEDBF">
      <w:pPr>
        <w:pStyle w:val="9"/>
        <w:spacing w:before="13" w:line="249" w:lineRule="auto"/>
        <w:ind w:right="98" w:firstLine="450"/>
        <w:rPr>
          <w:rFonts w:hint="eastAsia"/>
          <w:color w:val="231F20"/>
        </w:rPr>
      </w:pPr>
      <w:r>
        <w:rPr>
          <w:rFonts w:hint="eastAsia"/>
          <w:color w:val="231F20"/>
        </w:rPr>
        <w:t>他们因以色列圣者在他们中间的同在而满怀热心，甚至愿意将自己的（属灵）儿女交于死地。</w:t>
      </w:r>
    </w:p>
    <w:p w14:paraId="12410972">
      <w:pPr>
        <w:pStyle w:val="9"/>
        <w:spacing w:before="13" w:line="249" w:lineRule="auto"/>
        <w:ind w:right="98" w:firstLine="450"/>
        <w:rPr>
          <w:rFonts w:hint="eastAsia"/>
          <w:color w:val="231F20"/>
        </w:rPr>
      </w:pPr>
    </w:p>
    <w:p w14:paraId="0E24E578">
      <w:pPr>
        <w:pStyle w:val="9"/>
        <w:spacing w:before="13" w:line="249" w:lineRule="auto"/>
        <w:ind w:right="98" w:firstLine="450"/>
        <w:rPr>
          <w:rFonts w:hint="eastAsia"/>
          <w:color w:val="231F20"/>
        </w:rPr>
      </w:pPr>
      <w:r>
        <w:rPr>
          <w:rFonts w:hint="eastAsia"/>
          <w:color w:val="231F20"/>
        </w:rPr>
        <w:t>The NT fulfillment of this prophecy is not difficult to see: In the Era of Proclamation, Christian parents will subject even their own children— whether physical or spiritual—to Church discipline, discipline up to and including the spiritual “death penalty” of excommunication (Mt. 18:15-18, 1 Cor. 5:1-5, 1 John 2:19, 4:1-4, Rev. 2:2).</w:t>
      </w:r>
    </w:p>
    <w:p w14:paraId="4EB9EF1B">
      <w:pPr>
        <w:pStyle w:val="9"/>
        <w:spacing w:before="13" w:line="249" w:lineRule="auto"/>
        <w:ind w:right="98" w:firstLine="450"/>
        <w:rPr>
          <w:rFonts w:hint="eastAsia"/>
          <w:color w:val="231F20"/>
        </w:rPr>
      </w:pPr>
      <w:r>
        <w:rPr>
          <w:rFonts w:hint="eastAsia"/>
          <w:color w:val="231F20"/>
        </w:rPr>
        <w:t>这个预言的新约应验不难看出：在宣讲时代，基督徒父母甚至会将他们自己的儿女——无论是肉身的还是属灵的——置于教会纪律之下，纪律甚至包括属灵的“死刑”，即逐出教会 (太 18:15-18, 林前 5:1-5, 约一 2:19, 4:1-4, 启 2:2)。</w:t>
      </w:r>
    </w:p>
    <w:p w14:paraId="2022F72B">
      <w:pPr>
        <w:pStyle w:val="9"/>
        <w:spacing w:before="13" w:line="249" w:lineRule="auto"/>
        <w:ind w:right="98" w:firstLine="450"/>
        <w:rPr>
          <w:rFonts w:hint="eastAsia"/>
          <w:color w:val="231F20"/>
        </w:rPr>
      </w:pPr>
    </w:p>
    <w:p w14:paraId="658F6013">
      <w:pPr>
        <w:pStyle w:val="9"/>
        <w:spacing w:before="13" w:line="249" w:lineRule="auto"/>
        <w:ind w:right="98" w:firstLine="450"/>
        <w:rPr>
          <w:rFonts w:hint="eastAsia"/>
          <w:color w:val="231F20"/>
        </w:rPr>
      </w:pPr>
      <w:r>
        <w:rPr>
          <w:rFonts w:hint="eastAsia"/>
          <w:color w:val="231F20"/>
        </w:rPr>
        <w:t>However, they will do so in love and hope; love for their souls, and hope that through such discipline they (the children) will again be restored to life among the people of God (1 Cor. 5:5, 2 Cor. 2:3f).</w:t>
      </w:r>
    </w:p>
    <w:p w14:paraId="1625A4AD">
      <w:pPr>
        <w:pStyle w:val="9"/>
        <w:spacing w:before="13" w:line="249" w:lineRule="auto"/>
        <w:ind w:right="98" w:firstLine="450"/>
        <w:rPr>
          <w:rFonts w:hint="eastAsia"/>
          <w:color w:val="231F20"/>
        </w:rPr>
      </w:pPr>
      <w:r>
        <w:rPr>
          <w:rFonts w:hint="eastAsia"/>
          <w:color w:val="231F20"/>
        </w:rPr>
        <w:t>然而，他们这样做是出于爱和盼望；爱他们的灵魂，并盼望通过这样的纪律，他们（儿女）能再次在神的子民中恢复生命 (林前 5:5, 林后 2:3及后)。</w:t>
      </w:r>
    </w:p>
    <w:p w14:paraId="32D26EB9">
      <w:pPr>
        <w:pStyle w:val="9"/>
        <w:spacing w:before="13" w:line="249" w:lineRule="auto"/>
        <w:ind w:right="98" w:firstLine="450"/>
        <w:rPr>
          <w:rFonts w:hint="eastAsia"/>
          <w:color w:val="231F20"/>
        </w:rPr>
      </w:pPr>
    </w:p>
    <w:p w14:paraId="326740DB">
      <w:pPr>
        <w:pStyle w:val="9"/>
        <w:spacing w:before="13" w:line="249" w:lineRule="auto"/>
        <w:ind w:right="98" w:firstLine="450"/>
        <w:rPr>
          <w:rFonts w:hint="eastAsia"/>
          <w:color w:val="231F20"/>
        </w:rPr>
      </w:pPr>
      <w:r>
        <w:rPr>
          <w:rFonts w:hint="eastAsia"/>
          <w:color w:val="231F20"/>
        </w:rPr>
        <w:t>Thus shall the Holy Spirit—and the Holy People— preserve the spiritual purity of Immanuel’s Land: the Church of Christ.</w:t>
      </w:r>
    </w:p>
    <w:p w14:paraId="6420541B">
      <w:pPr>
        <w:pStyle w:val="9"/>
        <w:spacing w:before="13" w:line="249" w:lineRule="auto"/>
        <w:ind w:right="98" w:firstLine="450"/>
        <w:rPr>
          <w:rFonts w:hint="eastAsia"/>
          <w:color w:val="231F20"/>
        </w:rPr>
      </w:pPr>
      <w:r>
        <w:rPr>
          <w:rFonts w:hint="eastAsia"/>
          <w:color w:val="231F20"/>
        </w:rPr>
        <w:t>如此，圣灵——和圣民——将保守以马内利之地的属灵纯洁：即基督的教会。</w:t>
      </w:r>
    </w:p>
    <w:p w14:paraId="7302C609">
      <w:pPr>
        <w:pStyle w:val="9"/>
        <w:spacing w:before="13" w:line="249" w:lineRule="auto"/>
        <w:ind w:right="98" w:firstLine="450"/>
        <w:rPr>
          <w:rFonts w:hint="eastAsia"/>
          <w:color w:val="231F20"/>
        </w:rPr>
      </w:pPr>
    </w:p>
    <w:p w14:paraId="6C084E57">
      <w:pPr>
        <w:pStyle w:val="9"/>
        <w:spacing w:before="13" w:line="249" w:lineRule="auto"/>
        <w:ind w:right="98" w:firstLine="450"/>
        <w:rPr>
          <w:rFonts w:hint="eastAsia"/>
          <w:color w:val="231F20"/>
        </w:rPr>
      </w:pPr>
      <w:r>
        <w:rPr>
          <w:rFonts w:hint="eastAsia"/>
          <w:color w:val="231F20"/>
        </w:rPr>
        <w:t>Verses 4-6 picture a Day when the Spirit-filled people of God will be so vigilant and so discerning that false prophets will not dare to ply their wicked trade among them.</w:t>
      </w:r>
    </w:p>
    <w:p w14:paraId="399EE4F1">
      <w:pPr>
        <w:pStyle w:val="9"/>
        <w:spacing w:before="13" w:line="249" w:lineRule="auto"/>
        <w:ind w:right="98" w:firstLine="450"/>
        <w:rPr>
          <w:rFonts w:hint="eastAsia"/>
          <w:color w:val="231F20"/>
        </w:rPr>
      </w:pPr>
      <w:r>
        <w:rPr>
          <w:rFonts w:hint="eastAsia"/>
          <w:color w:val="231F20"/>
        </w:rPr>
        <w:t>第4-6节描绘了一个日子，那时被圣灵充满的神的子民将如此警醒和有分辨力，以至于假先知不敢在他们中间从事他们邪恶的勾当。</w:t>
      </w:r>
    </w:p>
    <w:p w14:paraId="5A65C97F">
      <w:pPr>
        <w:pStyle w:val="9"/>
        <w:spacing w:before="13" w:line="249" w:lineRule="auto"/>
        <w:ind w:right="98" w:firstLine="450"/>
        <w:rPr>
          <w:rFonts w:hint="eastAsia"/>
          <w:color w:val="231F20"/>
        </w:rPr>
      </w:pPr>
    </w:p>
    <w:p w14:paraId="0FC66C4C">
      <w:pPr>
        <w:pStyle w:val="9"/>
        <w:spacing w:before="13" w:line="249" w:lineRule="auto"/>
        <w:ind w:right="98" w:firstLine="450"/>
        <w:rPr>
          <w:rFonts w:hint="eastAsia"/>
          <w:color w:val="231F20"/>
        </w:rPr>
      </w:pPr>
      <w:r>
        <w:rPr>
          <w:rFonts w:hint="eastAsia"/>
          <w:color w:val="231F20"/>
        </w:rPr>
        <w:t>Verse 6, which alludes to the physical self-abuse practiced by the worshipers of pagan gods (Lev. 19:28, 1 Kings 18:28), is a parable of what will occur: When eschatological Israelites confront false prophets wearing the telltale marks of their idolatrous faith (e.g., error, immorality, confusion, disunity, etc.), they (the false prophets) will try, unsuccessfully, to conceal the truth with outright lies.</w:t>
      </w:r>
    </w:p>
    <w:p w14:paraId="05F69749">
      <w:pPr>
        <w:pStyle w:val="9"/>
        <w:spacing w:before="13" w:line="249" w:lineRule="auto"/>
        <w:ind w:right="98" w:firstLine="450"/>
        <w:rPr>
          <w:rFonts w:hint="eastAsia"/>
          <w:color w:val="231F20"/>
        </w:rPr>
      </w:pPr>
      <w:r>
        <w:rPr>
          <w:rFonts w:hint="eastAsia"/>
          <w:color w:val="231F20"/>
        </w:rPr>
        <w:t>第6节，暗指异教神明崇拜者所行的身体自残（利 19:28, 王上 18:28），是一个将要发生之事的比喻：当末世的以色列人面对佩戴着他们偶像崇拜信仰明显标记（例如，错误、不道德、混乱、不合一等）的假先知时，他们（假先知）会试图，但不会成功地，用彻头彻尾的谎言来掩盖真相。</w:t>
      </w:r>
    </w:p>
    <w:p w14:paraId="47D6BE41">
      <w:pPr>
        <w:pStyle w:val="9"/>
        <w:spacing w:before="13" w:line="249" w:lineRule="auto"/>
        <w:ind w:right="98" w:firstLine="450"/>
        <w:rPr>
          <w:rFonts w:hint="eastAsia"/>
          <w:color w:val="231F20"/>
        </w:rPr>
      </w:pPr>
    </w:p>
    <w:p w14:paraId="76B8881F">
      <w:pPr>
        <w:pStyle w:val="9"/>
        <w:spacing w:before="13" w:line="249" w:lineRule="auto"/>
        <w:ind w:right="98" w:firstLine="450"/>
        <w:rPr>
          <w:rFonts w:hint="eastAsia"/>
          <w:color w:val="231F20"/>
        </w:rPr>
      </w:pPr>
      <w:r>
        <w:rPr>
          <w:rFonts w:hint="eastAsia"/>
          <w:color w:val="231F20"/>
        </w:rPr>
        <w:t>Many NT texts—and the bloody theological battlefield of Church history—display the fulfillment of this prophecy: Always and everywhere, ravenous spiritual wolves—false brethren, false teachers, and false prophets dressed up as Christ’s sheep— have sought to infiltrate the Lord’s folds and win a following, only to be discovered, reproved, and expelled by the faithful undershepherds of the flock (Mt. 7:15, Acts 20:29, Gal. 2:1-5, 6:13, 2 Peter 2:1, Jude 1:4, Titus 1:10-16, 1 John 4:1f, Rev. 2:2).</w:t>
      </w:r>
    </w:p>
    <w:p w14:paraId="7D06EB5D">
      <w:pPr>
        <w:pStyle w:val="9"/>
        <w:spacing w:before="13" w:line="249" w:lineRule="auto"/>
        <w:ind w:right="98" w:firstLine="450"/>
        <w:rPr>
          <w:rFonts w:hint="eastAsia"/>
          <w:color w:val="231F20"/>
        </w:rPr>
      </w:pPr>
      <w:r>
        <w:rPr>
          <w:rFonts w:hint="eastAsia"/>
          <w:color w:val="231F20"/>
        </w:rPr>
        <w:t>许多新约经文——以及教会历史上血腥的神学战场——都展示了这个预言的应验：随时随地，贪婪的属灵豺狼——假弟兄、假教师和装扮成基督羊群的假先知——都试图渗透主的羊圈，赢得追随者，结果却被忠心的牧人发现、责备并驱逐出羊群 (太 7:15, 徒 20:29, 加 2:1-5, 6:13, 彼后 2:1, 犹 1:4, 多 1:10-16, 约一 4:1及后, 启 2:2)。</w:t>
      </w:r>
    </w:p>
    <w:p w14:paraId="2962D79B">
      <w:pPr>
        <w:pStyle w:val="9"/>
        <w:spacing w:before="13" w:line="249" w:lineRule="auto"/>
        <w:ind w:right="98" w:firstLine="450"/>
        <w:rPr>
          <w:rFonts w:hint="eastAsia"/>
          <w:color w:val="231F20"/>
        </w:rPr>
      </w:pPr>
    </w:p>
    <w:p w14:paraId="48E2EB9E">
      <w:pPr>
        <w:pStyle w:val="9"/>
        <w:spacing w:before="13" w:line="249" w:lineRule="auto"/>
        <w:ind w:right="98" w:firstLine="450"/>
        <w:rPr>
          <w:rFonts w:hint="eastAsia"/>
          <w:color w:val="231F20"/>
        </w:rPr>
      </w:pPr>
      <w:r>
        <w:rPr>
          <w:rFonts w:hint="eastAsia"/>
          <w:color w:val="231F20"/>
        </w:rPr>
        <w:t>The Stricken Shepherd, the Gathered Flock (13:7-9)</w:t>
      </w:r>
    </w:p>
    <w:p w14:paraId="59C1CCC4">
      <w:pPr>
        <w:pStyle w:val="9"/>
        <w:spacing w:before="13" w:line="249" w:lineRule="auto"/>
        <w:ind w:right="98" w:firstLine="450"/>
        <w:rPr>
          <w:rFonts w:hint="eastAsia"/>
          <w:color w:val="231F20"/>
        </w:rPr>
      </w:pPr>
      <w:r>
        <w:rPr>
          <w:rFonts w:hint="eastAsia"/>
          <w:color w:val="231F20"/>
        </w:rPr>
        <w:t>被击打的牧人，被聚集的羊群 (13:7-9)</w:t>
      </w:r>
    </w:p>
    <w:p w14:paraId="08E610E4">
      <w:pPr>
        <w:pStyle w:val="9"/>
        <w:spacing w:before="13" w:line="249" w:lineRule="auto"/>
        <w:ind w:right="98" w:firstLine="450"/>
        <w:rPr>
          <w:rFonts w:hint="eastAsia"/>
          <w:color w:val="231F20"/>
        </w:rPr>
      </w:pPr>
    </w:p>
    <w:p w14:paraId="3A004FBE">
      <w:pPr>
        <w:pStyle w:val="9"/>
        <w:spacing w:before="13" w:line="249" w:lineRule="auto"/>
        <w:ind w:right="98" w:firstLine="450"/>
        <w:rPr>
          <w:rFonts w:hint="eastAsia"/>
          <w:color w:val="231F20"/>
        </w:rPr>
      </w:pPr>
      <w:r>
        <w:rPr>
          <w:rFonts w:hint="eastAsia"/>
          <w:color w:val="231F20"/>
        </w:rPr>
        <w:t>We come now to the fourth prophetic snapshot of Zechariah’s oracle.</w:t>
      </w:r>
    </w:p>
    <w:p w14:paraId="260A8E57">
      <w:pPr>
        <w:pStyle w:val="9"/>
        <w:spacing w:before="13" w:line="249" w:lineRule="auto"/>
        <w:ind w:right="98" w:firstLine="450"/>
        <w:rPr>
          <w:rFonts w:hint="eastAsia"/>
          <w:color w:val="231F20"/>
        </w:rPr>
      </w:pPr>
      <w:r>
        <w:rPr>
          <w:rFonts w:hint="eastAsia"/>
          <w:color w:val="231F20"/>
        </w:rPr>
        <w:t>我们现在来到撒迦利亚神谕的第四个预言性快照。</w:t>
      </w:r>
    </w:p>
    <w:p w14:paraId="72D8F9CD">
      <w:pPr>
        <w:pStyle w:val="9"/>
        <w:spacing w:before="13" w:line="249" w:lineRule="auto"/>
        <w:ind w:right="98" w:firstLine="450"/>
        <w:rPr>
          <w:rFonts w:hint="eastAsia"/>
          <w:color w:val="231F20"/>
        </w:rPr>
      </w:pPr>
    </w:p>
    <w:p w14:paraId="22DBB79F">
      <w:pPr>
        <w:pStyle w:val="9"/>
        <w:spacing w:before="13" w:line="249" w:lineRule="auto"/>
        <w:ind w:right="98" w:firstLine="450"/>
        <w:rPr>
          <w:rFonts w:hint="eastAsia"/>
          <w:color w:val="231F20"/>
        </w:rPr>
      </w:pPr>
      <w:r>
        <w:rPr>
          <w:rFonts w:hint="eastAsia"/>
          <w:color w:val="231F20"/>
        </w:rPr>
        <w:t>Quite fittingly, it brings the first part of the oracle—the part dealing with the Era of Proclamation—to a close (12:1-13:9), even as it transitions to the second and concluding part, the part dealing with the Consummation and the World to Come (14:1ff).</w:t>
      </w:r>
    </w:p>
    <w:p w14:paraId="38F4A42A">
      <w:pPr>
        <w:pStyle w:val="9"/>
        <w:spacing w:before="13" w:line="249" w:lineRule="auto"/>
        <w:ind w:right="98" w:firstLine="450"/>
        <w:rPr>
          <w:rFonts w:hint="eastAsia"/>
          <w:color w:val="231F20"/>
        </w:rPr>
      </w:pPr>
      <w:r>
        <w:rPr>
          <w:rFonts w:hint="eastAsia"/>
          <w:color w:val="231F20"/>
        </w:rPr>
        <w:t>很恰当地，它结束了神谕的第一部分——即处理宣讲时代的部分 (12:1-13:9)，同时也过渡到第二部分也是结尾部分，即处理最终成全和未来世界的部分 (14:1及后)。</w:t>
      </w:r>
    </w:p>
    <w:p w14:paraId="714D64A6">
      <w:pPr>
        <w:pStyle w:val="9"/>
        <w:spacing w:before="13" w:line="249" w:lineRule="auto"/>
        <w:ind w:right="98" w:firstLine="450"/>
        <w:rPr>
          <w:rFonts w:hint="eastAsia"/>
          <w:color w:val="231F20"/>
        </w:rPr>
      </w:pPr>
    </w:p>
    <w:p w14:paraId="41924DC0">
      <w:pPr>
        <w:pStyle w:val="9"/>
        <w:spacing w:before="13" w:line="249" w:lineRule="auto"/>
        <w:ind w:right="98" w:firstLine="450"/>
        <w:rPr>
          <w:rFonts w:hint="eastAsia"/>
          <w:color w:val="231F20"/>
        </w:rPr>
      </w:pPr>
      <w:r>
        <w:rPr>
          <w:rFonts w:hint="eastAsia"/>
          <w:color w:val="231F20"/>
        </w:rPr>
        <w:t>The great theme here is the God-ordained atoning death of the Good and Faithful Shepherd of God’s flock—the Lord Jesus Christ—and the subsequent gathering of the flock (the Church) that will infallibly issue from it.</w:t>
      </w:r>
    </w:p>
    <w:p w14:paraId="44529B45">
      <w:pPr>
        <w:pStyle w:val="9"/>
        <w:spacing w:before="13" w:line="249" w:lineRule="auto"/>
        <w:ind w:right="98" w:firstLine="450"/>
        <w:rPr>
          <w:rFonts w:hint="eastAsia"/>
          <w:color w:val="231F20"/>
        </w:rPr>
      </w:pPr>
      <w:r>
        <w:rPr>
          <w:rFonts w:hint="eastAsia"/>
          <w:color w:val="231F20"/>
        </w:rPr>
        <w:t>这里伟大的主题是神所命定的、神羊群的良善忠信牧者——主耶稣基督——的赎罪之死，以及随后必然从中产生的羊群（教会）的聚集。</w:t>
      </w:r>
    </w:p>
    <w:p w14:paraId="5E1746FB">
      <w:pPr>
        <w:pStyle w:val="9"/>
        <w:spacing w:before="13" w:line="249" w:lineRule="auto"/>
        <w:ind w:right="98" w:firstLine="450"/>
        <w:rPr>
          <w:rFonts w:hint="eastAsia"/>
          <w:color w:val="231F20"/>
        </w:rPr>
      </w:pPr>
    </w:p>
    <w:p w14:paraId="155468AB">
      <w:pPr>
        <w:pStyle w:val="9"/>
        <w:spacing w:before="13" w:line="249" w:lineRule="auto"/>
        <w:ind w:right="98" w:firstLine="450"/>
        <w:rPr>
          <w:rFonts w:hint="eastAsia"/>
          <w:color w:val="231F20"/>
        </w:rPr>
      </w:pPr>
      <w:r>
        <w:rPr>
          <w:rFonts w:hint="eastAsia"/>
          <w:color w:val="231F20"/>
        </w:rPr>
        <w:t>Accordingly, like those preceding it, this snapshot spans the entire Era of Proclamation, teaching us yet again (13:1) that through the Work of Christ (in the days of his humiliation) all the previously promised blessings of the Kingdom will flow to God’s people: strength for victorious spiritual warfare (12:1-9), tears of repentance in token of justifying faith (12:10-14), and inward spiritual cleansing, resulting in outward covenant loyalty to God (13:1-6).</w:t>
      </w:r>
    </w:p>
    <w:p w14:paraId="2CE7F551">
      <w:pPr>
        <w:pStyle w:val="9"/>
        <w:spacing w:before="13" w:line="249" w:lineRule="auto"/>
        <w:ind w:right="98" w:firstLine="450"/>
        <w:rPr>
          <w:rFonts w:hint="eastAsia"/>
          <w:color w:val="231F20"/>
        </w:rPr>
      </w:pPr>
      <w:r>
        <w:rPr>
          <w:rFonts w:hint="eastAsia"/>
          <w:color w:val="231F20"/>
        </w:rPr>
        <w:t>因此，像前面的快照一样，这个快照跨越了整个宣讲时代，再次教导我们（13:1），通过基督的工作（在祂降卑的日子里），所有先前应许的国度祝福都将流向神的子民：得胜属灵争战的力量（12:1-9），作为称义信心的标记的悔改眼泪（12:10-14），以及内在的属灵洁净，从而产生对外在的对神守约的忠诚（13:1-6）。</w:t>
      </w:r>
    </w:p>
    <w:p w14:paraId="60EC0302">
      <w:pPr>
        <w:pStyle w:val="9"/>
        <w:spacing w:before="13" w:line="249" w:lineRule="auto"/>
        <w:ind w:right="98" w:firstLine="450"/>
        <w:rPr>
          <w:rFonts w:hint="eastAsia"/>
          <w:color w:val="231F20"/>
        </w:rPr>
      </w:pPr>
    </w:p>
    <w:p w14:paraId="03F0FD50">
      <w:pPr>
        <w:pStyle w:val="9"/>
        <w:spacing w:before="13" w:line="249" w:lineRule="auto"/>
        <w:ind w:right="98" w:firstLine="450"/>
        <w:rPr>
          <w:rFonts w:hint="eastAsia"/>
          <w:color w:val="231F20"/>
        </w:rPr>
      </w:pPr>
      <w:r>
        <w:rPr>
          <w:rFonts w:hint="eastAsia"/>
          <w:color w:val="231F20"/>
        </w:rPr>
        <w:t>Let us explore these ideas by looking briefly at each of the three verses comprising our text.</w:t>
      </w:r>
    </w:p>
    <w:p w14:paraId="61CB9C9E">
      <w:pPr>
        <w:pStyle w:val="9"/>
        <w:spacing w:before="13" w:line="249" w:lineRule="auto"/>
        <w:ind w:right="98" w:firstLine="450"/>
        <w:rPr>
          <w:rFonts w:hint="eastAsia"/>
          <w:color w:val="231F20"/>
        </w:rPr>
      </w:pPr>
      <w:r>
        <w:rPr>
          <w:rFonts w:hint="eastAsia"/>
          <w:color w:val="231F20"/>
        </w:rPr>
        <w:t>让我们通过简要地审视构成我们经文的三节经文来探讨这些思想。</w:t>
      </w:r>
    </w:p>
    <w:p w14:paraId="7473E13E">
      <w:pPr>
        <w:pStyle w:val="9"/>
        <w:spacing w:before="13" w:line="249" w:lineRule="auto"/>
        <w:ind w:right="98" w:firstLine="450"/>
        <w:rPr>
          <w:rFonts w:hint="eastAsia"/>
          <w:color w:val="231F20"/>
        </w:rPr>
      </w:pPr>
    </w:p>
    <w:p w14:paraId="5C86B324">
      <w:pPr>
        <w:pStyle w:val="9"/>
        <w:spacing w:before="13" w:line="249" w:lineRule="auto"/>
        <w:ind w:right="98" w:firstLine="450"/>
        <w:rPr>
          <w:rFonts w:hint="eastAsia"/>
          <w:color w:val="231F20"/>
        </w:rPr>
      </w:pPr>
      <w:r>
        <w:rPr>
          <w:rFonts w:hint="eastAsia"/>
          <w:color w:val="231F20"/>
        </w:rPr>
        <w:t>As the prophecy opens (verse 7), we hear the voice of the LORD commanding a sword to awaken against his Shepherd, against the Man who is his Associate.</w:t>
      </w:r>
    </w:p>
    <w:p w14:paraId="1BB1D736">
      <w:pPr>
        <w:pStyle w:val="9"/>
        <w:spacing w:before="13" w:line="249" w:lineRule="auto"/>
        <w:ind w:right="98" w:firstLine="450"/>
        <w:rPr>
          <w:rFonts w:hint="eastAsia"/>
          <w:color w:val="231F20"/>
        </w:rPr>
      </w:pPr>
      <w:r>
        <w:rPr>
          <w:rFonts w:hint="eastAsia"/>
          <w:color w:val="231F20"/>
        </w:rPr>
        <w:t>当预言开始时（第7节），我们听到主的声音，命令刀剑兴起，攻击祂的牧人，攻击那作祂同伴的人。</w:t>
      </w:r>
    </w:p>
    <w:p w14:paraId="47DDE145">
      <w:pPr>
        <w:pStyle w:val="9"/>
        <w:spacing w:before="13" w:line="249" w:lineRule="auto"/>
        <w:ind w:right="98" w:firstLine="450"/>
        <w:rPr>
          <w:rFonts w:hint="eastAsia"/>
          <w:color w:val="231F20"/>
        </w:rPr>
      </w:pPr>
    </w:p>
    <w:p w14:paraId="0B7242B0">
      <w:pPr>
        <w:pStyle w:val="9"/>
        <w:spacing w:before="13" w:line="249" w:lineRule="auto"/>
        <w:ind w:right="98" w:firstLine="450"/>
        <w:rPr>
          <w:rFonts w:hint="eastAsia"/>
          <w:color w:val="231F20"/>
        </w:rPr>
      </w:pPr>
      <w:r>
        <w:rPr>
          <w:rFonts w:hint="eastAsia"/>
          <w:color w:val="231F20"/>
        </w:rPr>
        <w:t>This cryptic line anticipates whole tracts of NT theology.</w:t>
      </w:r>
    </w:p>
    <w:p w14:paraId="0BF895B1">
      <w:pPr>
        <w:pStyle w:val="9"/>
        <w:spacing w:before="13" w:line="249" w:lineRule="auto"/>
        <w:ind w:right="98" w:firstLine="450"/>
        <w:rPr>
          <w:rFonts w:hint="eastAsia"/>
          <w:color w:val="231F20"/>
        </w:rPr>
      </w:pPr>
      <w:r>
        <w:rPr>
          <w:rFonts w:hint="eastAsia"/>
          <w:color w:val="231F20"/>
        </w:rPr>
        <w:t>这句神秘的话预示了整片新约神学的领域。</w:t>
      </w:r>
    </w:p>
    <w:p w14:paraId="1D99E414">
      <w:pPr>
        <w:pStyle w:val="9"/>
        <w:spacing w:before="13" w:line="249" w:lineRule="auto"/>
        <w:ind w:right="98" w:firstLine="450"/>
        <w:rPr>
          <w:rFonts w:hint="eastAsia"/>
          <w:color w:val="231F20"/>
        </w:rPr>
      </w:pPr>
    </w:p>
    <w:p w14:paraId="128A8384">
      <w:pPr>
        <w:pStyle w:val="9"/>
        <w:spacing w:before="13" w:line="249" w:lineRule="auto"/>
        <w:ind w:right="98" w:firstLine="450"/>
        <w:rPr>
          <w:rFonts w:hint="eastAsia"/>
          <w:color w:val="231F20"/>
        </w:rPr>
      </w:pPr>
      <w:r>
        <w:rPr>
          <w:rFonts w:hint="eastAsia"/>
          <w:color w:val="231F20"/>
        </w:rPr>
        <w:t>The sword of the LORD, emblematic of divine retribution for sin, has been asleep, seeing that in ages past God mercifully “passed over” the sins of his people (Isaiah 66:16, Jer. 50:35-37, Ezek. 21:1ff, Rom. 3:25).</w:t>
      </w:r>
    </w:p>
    <w:p w14:paraId="2A333A37">
      <w:pPr>
        <w:pStyle w:val="9"/>
        <w:spacing w:before="13" w:line="249" w:lineRule="auto"/>
        <w:ind w:right="98" w:firstLine="450"/>
        <w:rPr>
          <w:rFonts w:hint="eastAsia"/>
          <w:color w:val="231F20"/>
        </w:rPr>
      </w:pPr>
      <w:r>
        <w:rPr>
          <w:rFonts w:hint="eastAsia"/>
          <w:color w:val="231F20"/>
        </w:rPr>
        <w:t>耶和华的刀，象征着对罪的神圣报应，一直沉睡着，因为在过去的时代，神仁慈地“宽容”了祂子民的罪 (赛 66:16, 耶 50:35-37, 结 21:1及后, 罗 3:25)。</w:t>
      </w:r>
    </w:p>
    <w:p w14:paraId="3826B587">
      <w:pPr>
        <w:pStyle w:val="9"/>
        <w:spacing w:before="13" w:line="249" w:lineRule="auto"/>
        <w:ind w:right="98" w:firstLine="450"/>
        <w:rPr>
          <w:rFonts w:hint="eastAsia"/>
          <w:color w:val="231F20"/>
        </w:rPr>
      </w:pPr>
    </w:p>
    <w:p w14:paraId="43AB2172">
      <w:pPr>
        <w:pStyle w:val="9"/>
        <w:spacing w:before="13" w:line="249" w:lineRule="auto"/>
        <w:ind w:right="98" w:firstLine="450"/>
        <w:rPr>
          <w:rFonts w:hint="eastAsia"/>
          <w:color w:val="231F20"/>
        </w:rPr>
      </w:pPr>
      <w:r>
        <w:rPr>
          <w:rFonts w:hint="eastAsia"/>
          <w:color w:val="231F20"/>
        </w:rPr>
        <w:t>Now, however, by his all-controlling Providence, the God of Justice awakens it on Mt. Golgotha, so that it may fall, in mercy and grace, upon a Substitute, the very One he has appointed to be the eternal Shepherd of his people (Isaiah 53:2ff, Zech. 13:1; Mt. 27:46, Mark 10:45, John 3:14-16, 12:27-33, Acts 2:23, 4:27-28).</w:t>
      </w:r>
    </w:p>
    <w:p w14:paraId="62E5C84D">
      <w:pPr>
        <w:pStyle w:val="9"/>
        <w:spacing w:before="13" w:line="249" w:lineRule="auto"/>
        <w:ind w:right="98" w:firstLine="450"/>
        <w:rPr>
          <w:rFonts w:hint="eastAsia"/>
          <w:color w:val="231F20"/>
        </w:rPr>
      </w:pPr>
      <w:r>
        <w:rPr>
          <w:rFonts w:hint="eastAsia"/>
          <w:color w:val="231F20"/>
        </w:rPr>
        <w:t>然而，现在，借着祂全能的护理，公义的神在各各他山上唤醒了它，使它能带着怜悯和恩典，落在一位替代者身上，正是祂所指定的那位，要作祂子民永远的牧者 (赛 53:2及后, 亚 13:1; 太 27:46, 可 10:45, 约 3:14-16, 12:27-33, 徒 2:23, 4:27-28)。</w:t>
      </w:r>
    </w:p>
    <w:p w14:paraId="3EDEA84C">
      <w:pPr>
        <w:pStyle w:val="9"/>
        <w:spacing w:before="13" w:line="249" w:lineRule="auto"/>
        <w:ind w:right="98" w:firstLine="450"/>
        <w:rPr>
          <w:rFonts w:hint="eastAsia"/>
          <w:color w:val="231F20"/>
        </w:rPr>
      </w:pPr>
    </w:p>
    <w:p w14:paraId="7150A0A7">
      <w:pPr>
        <w:pStyle w:val="9"/>
        <w:spacing w:before="13" w:line="249" w:lineRule="auto"/>
        <w:ind w:right="98" w:firstLine="450"/>
        <w:rPr>
          <w:rFonts w:hint="eastAsia"/>
          <w:color w:val="231F20"/>
        </w:rPr>
      </w:pPr>
      <w:r>
        <w:rPr>
          <w:rFonts w:hint="eastAsia"/>
          <w:color w:val="231F20"/>
        </w:rPr>
        <w:t>So that the great work of atonement may be accomplished, this Shepherd will stand before God in two ways.</w:t>
      </w:r>
    </w:p>
    <w:p w14:paraId="760B8B2D">
      <w:pPr>
        <w:pStyle w:val="9"/>
        <w:spacing w:before="13" w:line="249" w:lineRule="auto"/>
        <w:ind w:right="98" w:firstLine="450"/>
        <w:rPr>
          <w:rFonts w:hint="eastAsia"/>
          <w:color w:val="231F20"/>
        </w:rPr>
      </w:pPr>
      <w:r>
        <w:rPr>
          <w:rFonts w:hint="eastAsia"/>
          <w:color w:val="231F20"/>
        </w:rPr>
        <w:t>为了完成伟大的赎罪之工，这位牧人将以两种方式站在神面前。</w:t>
      </w:r>
    </w:p>
    <w:p w14:paraId="48478B9B">
      <w:pPr>
        <w:pStyle w:val="9"/>
        <w:spacing w:before="13" w:line="249" w:lineRule="auto"/>
        <w:ind w:right="98" w:firstLine="450"/>
        <w:rPr>
          <w:rFonts w:hint="eastAsia"/>
          <w:color w:val="231F20"/>
        </w:rPr>
      </w:pPr>
    </w:p>
    <w:p w14:paraId="7CBCB3B0">
      <w:pPr>
        <w:pStyle w:val="9"/>
        <w:spacing w:before="13" w:line="249" w:lineRule="auto"/>
        <w:ind w:right="98" w:firstLine="450"/>
        <w:rPr>
          <w:rFonts w:hint="eastAsia"/>
          <w:color w:val="231F20"/>
        </w:rPr>
      </w:pPr>
      <w:r>
        <w:rPr>
          <w:rFonts w:hint="eastAsia"/>
          <w:color w:val="231F20"/>
        </w:rPr>
        <w:t>First, he will be “the Man,” the Last Adam, who will serve as the Head, Representative, and Substitute of his people; and who, in that capacity, will bear in his own person the just penalty for their sins (John 10:11, Rom. 3:21-26, 5:12ff, 1 Peter 2:24, 3:18).</w:t>
      </w:r>
    </w:p>
    <w:p w14:paraId="7B4F3E68">
      <w:pPr>
        <w:pStyle w:val="9"/>
        <w:spacing w:before="13" w:line="249" w:lineRule="auto"/>
        <w:ind w:right="98" w:firstLine="450"/>
        <w:rPr>
          <w:rFonts w:hint="eastAsia"/>
          <w:color w:val="231F20"/>
        </w:rPr>
      </w:pPr>
      <w:r>
        <w:rPr>
          <w:rFonts w:hint="eastAsia"/>
          <w:color w:val="231F20"/>
        </w:rPr>
        <w:t>首先，祂将是“那人”，末后的亚当，将作祂子民的元首、代表和替代者；并且，以那个身份，祂将亲自担当他们罪的公义刑罚 (约 10:11, 罗 3:21-26, 5:12及后, 彼前 2:24, 3:18)。</w:t>
      </w:r>
    </w:p>
    <w:p w14:paraId="1E7F3500">
      <w:pPr>
        <w:pStyle w:val="9"/>
        <w:spacing w:before="13" w:line="249" w:lineRule="auto"/>
        <w:ind w:right="98" w:firstLine="450"/>
        <w:rPr>
          <w:rFonts w:hint="eastAsia"/>
          <w:color w:val="231F20"/>
        </w:rPr>
      </w:pPr>
    </w:p>
    <w:p w14:paraId="72DA7060">
      <w:pPr>
        <w:pStyle w:val="9"/>
        <w:spacing w:before="13" w:line="249" w:lineRule="auto"/>
        <w:ind w:right="98" w:firstLine="450"/>
        <w:rPr>
          <w:rFonts w:hint="eastAsia"/>
          <w:color w:val="231F20"/>
        </w:rPr>
      </w:pPr>
      <w:r>
        <w:rPr>
          <w:rFonts w:hint="eastAsia"/>
          <w:color w:val="231F20"/>
        </w:rPr>
        <w:t>But secondly, he will also be God’s Amith: not just a man, but also a divine (and therefore a holy) Peer, Friend, and Companion to the Father.</w:t>
      </w:r>
    </w:p>
    <w:p w14:paraId="55E8840B">
      <w:pPr>
        <w:pStyle w:val="9"/>
        <w:spacing w:before="13" w:line="249" w:lineRule="auto"/>
        <w:ind w:right="98" w:firstLine="450"/>
        <w:rPr>
          <w:rFonts w:hint="eastAsia"/>
          <w:color w:val="231F20"/>
        </w:rPr>
      </w:pPr>
      <w:r>
        <w:rPr>
          <w:rFonts w:hint="eastAsia"/>
          <w:color w:val="231F20"/>
        </w:rPr>
        <w:t>但其次，祂也将是神的密友：不仅是一个人，也是一位神圣的（因此是圣洁的）与父同等、朋友和同伴。</w:t>
      </w:r>
    </w:p>
    <w:p w14:paraId="24ED4B2C">
      <w:pPr>
        <w:pStyle w:val="9"/>
        <w:spacing w:before="13" w:line="249" w:lineRule="auto"/>
        <w:ind w:right="98" w:firstLine="450"/>
        <w:rPr>
          <w:rFonts w:hint="eastAsia"/>
          <w:color w:val="231F20"/>
        </w:rPr>
      </w:pPr>
    </w:p>
    <w:p w14:paraId="7B134A45">
      <w:pPr>
        <w:pStyle w:val="9"/>
        <w:spacing w:before="13" w:line="249" w:lineRule="auto"/>
        <w:ind w:right="98" w:firstLine="450"/>
        <w:rPr>
          <w:rFonts w:hint="eastAsia"/>
          <w:color w:val="231F20"/>
        </w:rPr>
      </w:pPr>
      <w:r>
        <w:rPr>
          <w:rFonts w:hint="eastAsia"/>
          <w:color w:val="231F20"/>
        </w:rPr>
        <w:t>As such, he will be in perfect tune and walk in perfect step with the Father’s nature, purpose, plan, presence, and power.</w:t>
      </w:r>
    </w:p>
    <w:p w14:paraId="4CEEF8A6">
      <w:pPr>
        <w:pStyle w:val="9"/>
        <w:spacing w:before="13" w:line="249" w:lineRule="auto"/>
        <w:ind w:right="98" w:firstLine="450"/>
        <w:rPr>
          <w:rFonts w:hint="eastAsia"/>
          <w:color w:val="231F20"/>
        </w:rPr>
      </w:pPr>
      <w:r>
        <w:rPr>
          <w:rFonts w:hint="eastAsia"/>
          <w:color w:val="231F20"/>
        </w:rPr>
        <w:t>因此，祂将与父的本性、旨意、计划、同在和能力完全协调，并行走得完全一致。</w:t>
      </w:r>
    </w:p>
    <w:p w14:paraId="211D76CA">
      <w:pPr>
        <w:pStyle w:val="9"/>
        <w:spacing w:before="13" w:line="249" w:lineRule="auto"/>
        <w:ind w:right="98" w:firstLine="450"/>
        <w:rPr>
          <w:rFonts w:hint="eastAsia"/>
          <w:color w:val="231F20"/>
        </w:rPr>
      </w:pPr>
    </w:p>
    <w:p w14:paraId="2CAA5A7D">
      <w:pPr>
        <w:pStyle w:val="9"/>
        <w:spacing w:before="13" w:line="249" w:lineRule="auto"/>
        <w:ind w:right="98" w:firstLine="450"/>
        <w:rPr>
          <w:rFonts w:hint="eastAsia"/>
          <w:color w:val="231F20"/>
        </w:rPr>
      </w:pPr>
      <w:r>
        <w:rPr>
          <w:rFonts w:hint="eastAsia"/>
          <w:color w:val="231F20"/>
        </w:rPr>
        <w:t>Therefore, he will win a perfect righteousness for his own, later to be imputed to every afflicted sheep that puts his trust in him (John 8:29, 55, Rom. 3:26, 5:1, 2 Cor. 5:21)!</w:t>
      </w:r>
    </w:p>
    <w:p w14:paraId="50684FFD">
      <w:pPr>
        <w:pStyle w:val="9"/>
        <w:spacing w:before="13" w:line="249" w:lineRule="auto"/>
        <w:ind w:right="98" w:firstLine="450"/>
        <w:rPr>
          <w:rFonts w:hint="eastAsia"/>
          <w:color w:val="231F20"/>
        </w:rPr>
      </w:pPr>
      <w:r>
        <w:rPr>
          <w:rFonts w:hint="eastAsia"/>
          <w:color w:val="231F20"/>
        </w:rPr>
        <w:t>因此，祂将为属祂的人赢得完全的义，这义后来将归算给每一只信靠祂的受苦的羊 (约 8:29, 55, 罗 3:26, 5:1, 林后 5:21)！</w:t>
      </w:r>
    </w:p>
    <w:p w14:paraId="7490AD12">
      <w:pPr>
        <w:pStyle w:val="9"/>
        <w:spacing w:before="13" w:line="249" w:lineRule="auto"/>
        <w:ind w:right="98" w:firstLine="450"/>
        <w:rPr>
          <w:rFonts w:hint="eastAsia"/>
          <w:color w:val="231F20"/>
        </w:rPr>
      </w:pPr>
    </w:p>
    <w:p w14:paraId="4A03D110">
      <w:pPr>
        <w:pStyle w:val="9"/>
        <w:spacing w:before="13" w:line="249" w:lineRule="auto"/>
        <w:ind w:right="98" w:firstLine="450"/>
        <w:rPr>
          <w:rFonts w:hint="eastAsia"/>
          <w:color w:val="231F20"/>
        </w:rPr>
      </w:pPr>
      <w:r>
        <w:rPr>
          <w:rFonts w:hint="eastAsia"/>
          <w:color w:val="231F20"/>
        </w:rPr>
        <w:t>When God strikes his Shepherd, the sheep will be scattered.</w:t>
      </w:r>
    </w:p>
    <w:p w14:paraId="1EE313C8">
      <w:pPr>
        <w:pStyle w:val="9"/>
        <w:spacing w:before="13" w:line="249" w:lineRule="auto"/>
        <w:ind w:right="98" w:firstLine="450"/>
        <w:rPr>
          <w:rFonts w:hint="eastAsia"/>
          <w:color w:val="231F20"/>
        </w:rPr>
      </w:pPr>
      <w:r>
        <w:rPr>
          <w:rFonts w:hint="eastAsia"/>
          <w:color w:val="231F20"/>
        </w:rPr>
        <w:t>当神击打祂的牧人时，羊就分散了。</w:t>
      </w:r>
    </w:p>
    <w:p w14:paraId="7960CA40">
      <w:pPr>
        <w:pStyle w:val="9"/>
        <w:spacing w:before="13" w:line="249" w:lineRule="auto"/>
        <w:ind w:right="98" w:firstLine="450"/>
        <w:rPr>
          <w:rFonts w:hint="eastAsia"/>
          <w:color w:val="231F20"/>
        </w:rPr>
      </w:pPr>
    </w:p>
    <w:p w14:paraId="12ACFAB6">
      <w:pPr>
        <w:pStyle w:val="9"/>
        <w:spacing w:before="13" w:line="249" w:lineRule="auto"/>
        <w:ind w:right="98" w:firstLine="450"/>
        <w:rPr>
          <w:rFonts w:hint="eastAsia"/>
          <w:color w:val="231F20"/>
        </w:rPr>
      </w:pPr>
      <w:r>
        <w:rPr>
          <w:rFonts w:hint="eastAsia"/>
          <w:color w:val="231F20"/>
        </w:rPr>
        <w:t>There will be two kinds of them.</w:t>
      </w:r>
    </w:p>
    <w:p w14:paraId="2EF08669">
      <w:pPr>
        <w:pStyle w:val="9"/>
        <w:spacing w:before="13" w:line="249" w:lineRule="auto"/>
        <w:ind w:right="98" w:firstLine="450"/>
        <w:rPr>
          <w:rFonts w:hint="eastAsia"/>
          <w:color w:val="231F20"/>
        </w:rPr>
      </w:pPr>
      <w:r>
        <w:rPr>
          <w:rFonts w:hint="eastAsia"/>
          <w:color w:val="231F20"/>
        </w:rPr>
        <w:t>它们将有两种。</w:t>
      </w:r>
    </w:p>
    <w:p w14:paraId="4F00B79D">
      <w:pPr>
        <w:pStyle w:val="9"/>
        <w:spacing w:before="13" w:line="249" w:lineRule="auto"/>
        <w:ind w:right="98" w:firstLine="450"/>
        <w:rPr>
          <w:rFonts w:hint="eastAsia"/>
          <w:color w:val="231F20"/>
        </w:rPr>
      </w:pPr>
    </w:p>
    <w:p w14:paraId="0E8397B5">
      <w:pPr>
        <w:pStyle w:val="9"/>
        <w:spacing w:before="13" w:line="249" w:lineRule="auto"/>
        <w:ind w:right="98" w:firstLine="450"/>
        <w:rPr>
          <w:rFonts w:hint="eastAsia"/>
          <w:color w:val="231F20"/>
        </w:rPr>
      </w:pPr>
      <w:r>
        <w:rPr>
          <w:rFonts w:hint="eastAsia"/>
          <w:color w:val="231F20"/>
        </w:rPr>
        <w:t>First, there are “the little ones,” loyal but frightened and disoriented Jewish disciples of the Good Shepherd who are temporarily scattered but later regathered (Mt. 26:31).</w:t>
      </w:r>
    </w:p>
    <w:p w14:paraId="270940F2">
      <w:pPr>
        <w:pStyle w:val="9"/>
        <w:spacing w:before="13" w:line="249" w:lineRule="auto"/>
        <w:ind w:right="98" w:firstLine="450"/>
        <w:rPr>
          <w:rFonts w:hint="eastAsia"/>
          <w:color w:val="231F20"/>
        </w:rPr>
      </w:pPr>
      <w:r>
        <w:rPr>
          <w:rFonts w:hint="eastAsia"/>
          <w:color w:val="231F20"/>
        </w:rPr>
        <w:t>首先，有“小子们”，他们是良善牧人忠心但受惊和迷失方向的犹太门徒，他们暂时被分散，但后来又被召集回来 (太 26:31)。</w:t>
      </w:r>
    </w:p>
    <w:p w14:paraId="021F612D">
      <w:pPr>
        <w:pStyle w:val="9"/>
        <w:spacing w:before="13" w:line="249" w:lineRule="auto"/>
        <w:ind w:right="98" w:firstLine="450"/>
        <w:rPr>
          <w:rFonts w:hint="eastAsia"/>
          <w:color w:val="231F20"/>
        </w:rPr>
      </w:pPr>
    </w:p>
    <w:p w14:paraId="4ABFF14D">
      <w:pPr>
        <w:pStyle w:val="9"/>
        <w:spacing w:before="13" w:line="249" w:lineRule="auto"/>
        <w:ind w:right="98" w:firstLine="450"/>
        <w:rPr>
          <w:rFonts w:hint="eastAsia"/>
          <w:color w:val="231F20"/>
        </w:rPr>
      </w:pPr>
      <w:r>
        <w:rPr>
          <w:rFonts w:hint="eastAsia"/>
          <w:color w:val="231F20"/>
        </w:rPr>
        <w:t>But secondly, there are impenitent Jews who ought to have followed their Messiah, but refused to, and who will therefore be scattered permanently, through divine judgment at the hands of Rome (Mt. 8:12, 23:36-39, Luke 21:20-22).</w:t>
      </w:r>
    </w:p>
    <w:p w14:paraId="062787D8">
      <w:pPr>
        <w:pStyle w:val="9"/>
        <w:spacing w:before="13" w:line="249" w:lineRule="auto"/>
        <w:ind w:right="98" w:firstLine="450"/>
        <w:rPr>
          <w:rFonts w:hint="eastAsia"/>
          <w:color w:val="231F20"/>
        </w:rPr>
      </w:pPr>
      <w:r>
        <w:rPr>
          <w:rFonts w:hint="eastAsia"/>
          <w:color w:val="231F20"/>
        </w:rPr>
        <w:t>但其次，还有不悔改的犹太人，他们本该跟随他们的弥赛亚，却拒绝了，因此将因罗马人手下的神圣审判而永久分散 (太 8:12, 23:36-39, 路 21:20-22)。</w:t>
      </w:r>
    </w:p>
    <w:p w14:paraId="7D0DC01F">
      <w:pPr>
        <w:pStyle w:val="9"/>
        <w:spacing w:before="13" w:line="249" w:lineRule="auto"/>
        <w:ind w:right="98" w:firstLine="450"/>
        <w:rPr>
          <w:rFonts w:hint="eastAsia"/>
          <w:color w:val="231F20"/>
        </w:rPr>
      </w:pPr>
    </w:p>
    <w:p w14:paraId="12E44737">
      <w:pPr>
        <w:pStyle w:val="9"/>
        <w:spacing w:before="13" w:line="249" w:lineRule="auto"/>
        <w:ind w:right="98" w:firstLine="450"/>
        <w:rPr>
          <w:rFonts w:hint="eastAsia"/>
          <w:color w:val="231F20"/>
        </w:rPr>
      </w:pPr>
      <w:r>
        <w:rPr>
          <w:rFonts w:hint="eastAsia"/>
          <w:color w:val="231F20"/>
        </w:rPr>
        <w:t>Here Zechariah anticipates NT teaching to the effect that the Good Shepherd’s death will indeed result in judgment, but much more in mercy, seeing that, because of it, God will be able to lay his hand upon the little ones—the afflicted of the flock (11:7, 11)—for salvation.</w:t>
      </w:r>
    </w:p>
    <w:p w14:paraId="2160A05B">
      <w:pPr>
        <w:pStyle w:val="9"/>
        <w:spacing w:before="13" w:line="249" w:lineRule="auto"/>
        <w:ind w:right="98" w:firstLine="450"/>
        <w:rPr>
          <w:rFonts w:hint="eastAsia"/>
          <w:color w:val="231F20"/>
        </w:rPr>
      </w:pPr>
      <w:r>
        <w:rPr>
          <w:rFonts w:hint="eastAsia"/>
          <w:color w:val="231F20"/>
        </w:rPr>
        <w:t>在这里，撒迦利亚预见到了新约的教导，即良善牧人的死确实会带来审判，但更多的是带来怜悯，因为借着它，神将能够将祂的手放在那些小子们——羊群中的困苦者（11:7, 11）——身上，以施行拯救。</w:t>
      </w:r>
    </w:p>
    <w:p w14:paraId="4E0D93A9">
      <w:pPr>
        <w:pStyle w:val="9"/>
        <w:spacing w:before="13" w:line="249" w:lineRule="auto"/>
        <w:ind w:right="98" w:firstLine="450"/>
        <w:rPr>
          <w:rFonts w:hint="eastAsia"/>
          <w:color w:val="231F20"/>
        </w:rPr>
      </w:pPr>
    </w:p>
    <w:p w14:paraId="7CB50CAB">
      <w:pPr>
        <w:pStyle w:val="9"/>
        <w:spacing w:before="13" w:line="249" w:lineRule="auto"/>
        <w:ind w:right="98" w:firstLine="450"/>
        <w:rPr>
          <w:rFonts w:hint="eastAsia"/>
          <w:color w:val="231F20"/>
        </w:rPr>
      </w:pPr>
      <w:r>
        <w:rPr>
          <w:rFonts w:hint="eastAsia"/>
          <w:color w:val="231F20"/>
        </w:rPr>
        <w:t>He will be able—and he will begin—to gather his eschatological flock, the spiritual Israel of God (Gal. 6:16).</w:t>
      </w:r>
    </w:p>
    <w:p w14:paraId="0F043EEC">
      <w:pPr>
        <w:pStyle w:val="9"/>
        <w:spacing w:before="13" w:line="249" w:lineRule="auto"/>
        <w:ind w:right="98" w:firstLine="450"/>
        <w:rPr>
          <w:rFonts w:hint="eastAsia"/>
          <w:color w:val="231F20"/>
        </w:rPr>
      </w:pPr>
      <w:r>
        <w:rPr>
          <w:rFonts w:hint="eastAsia"/>
          <w:color w:val="231F20"/>
        </w:rPr>
        <w:t>祂将能够——并且祂将开始——聚集祂末世的羊群，即神的属灵以色列 (加 6:16)。</w:t>
      </w:r>
    </w:p>
    <w:p w14:paraId="2FDEF7E6">
      <w:pPr>
        <w:pStyle w:val="9"/>
        <w:spacing w:before="13" w:line="249" w:lineRule="auto"/>
        <w:ind w:right="98" w:firstLine="450"/>
        <w:rPr>
          <w:rFonts w:hint="eastAsia"/>
          <w:color w:val="231F20"/>
        </w:rPr>
      </w:pPr>
    </w:p>
    <w:p w14:paraId="063C7ACD">
      <w:pPr>
        <w:pStyle w:val="9"/>
        <w:spacing w:before="13" w:line="249" w:lineRule="auto"/>
        <w:ind w:right="98" w:firstLine="450"/>
        <w:rPr>
          <w:rFonts w:hint="eastAsia"/>
          <w:color w:val="231F20"/>
        </w:rPr>
      </w:pPr>
      <w:r>
        <w:rPr>
          <w:rFonts w:hint="eastAsia"/>
          <w:color w:val="231F20"/>
        </w:rPr>
        <w:t>Verses 8-9 speak of this very thing.</w:t>
      </w:r>
    </w:p>
    <w:p w14:paraId="79F3F2DD">
      <w:pPr>
        <w:pStyle w:val="9"/>
        <w:spacing w:before="13" w:line="249" w:lineRule="auto"/>
        <w:ind w:right="98" w:firstLine="450"/>
        <w:rPr>
          <w:rFonts w:hint="eastAsia"/>
          <w:color w:val="231F20"/>
        </w:rPr>
      </w:pPr>
      <w:r>
        <w:rPr>
          <w:rFonts w:hint="eastAsia"/>
          <w:color w:val="231F20"/>
        </w:rPr>
        <w:t>第8-9节讲的正是这件事。</w:t>
      </w:r>
    </w:p>
    <w:p w14:paraId="5EED0B96">
      <w:pPr>
        <w:pStyle w:val="9"/>
        <w:spacing w:before="13" w:line="249" w:lineRule="auto"/>
        <w:ind w:right="98" w:firstLine="450"/>
        <w:rPr>
          <w:rFonts w:hint="eastAsia"/>
          <w:color w:val="231F20"/>
        </w:rPr>
      </w:pPr>
    </w:p>
    <w:p w14:paraId="7C9C73D5">
      <w:pPr>
        <w:pStyle w:val="9"/>
        <w:spacing w:before="13" w:line="249" w:lineRule="auto"/>
        <w:ind w:right="98" w:firstLine="450"/>
        <w:rPr>
          <w:rFonts w:hint="eastAsia"/>
          <w:color w:val="231F20"/>
        </w:rPr>
      </w:pPr>
      <w:r>
        <w:rPr>
          <w:rFonts w:hint="eastAsia"/>
          <w:color w:val="231F20"/>
        </w:rPr>
        <w:t>Note carefully that at this juncture the prophecy enters the eschatological era, the last days; days in which the exalted Christ spearheads the thrust of the Gospel into the earth, so that he may enter into covenant with all his people (v.9).</w:t>
      </w:r>
    </w:p>
    <w:p w14:paraId="71954760">
      <w:pPr>
        <w:pStyle w:val="9"/>
        <w:spacing w:before="13" w:line="249" w:lineRule="auto"/>
        <w:ind w:right="98" w:firstLine="450"/>
        <w:rPr>
          <w:rFonts w:hint="eastAsia"/>
          <w:color w:val="231F20"/>
        </w:rPr>
      </w:pPr>
      <w:r>
        <w:rPr>
          <w:rFonts w:hint="eastAsia"/>
          <w:color w:val="231F20"/>
        </w:rPr>
        <w:t>请仔细注意，在此 juncture 预言进入了末世时代，即末后的日子；在这些日子里，被高举的基督带头将福音的冲击力推向世界，以便祂可以与祂所有的子民立约 (第9节)。</w:t>
      </w:r>
    </w:p>
    <w:p w14:paraId="273FEB21">
      <w:pPr>
        <w:pStyle w:val="9"/>
        <w:spacing w:before="13" w:line="249" w:lineRule="auto"/>
        <w:ind w:right="98" w:firstLine="450"/>
        <w:rPr>
          <w:rFonts w:hint="eastAsia"/>
          <w:color w:val="231F20"/>
        </w:rPr>
      </w:pPr>
    </w:p>
    <w:p w14:paraId="6A99C501">
      <w:pPr>
        <w:pStyle w:val="9"/>
        <w:spacing w:before="13" w:line="249" w:lineRule="auto"/>
        <w:ind w:right="98" w:firstLine="450"/>
        <w:rPr>
          <w:rFonts w:hint="eastAsia"/>
          <w:color w:val="231F20"/>
        </w:rPr>
      </w:pPr>
      <w:r>
        <w:rPr>
          <w:rFonts w:hint="eastAsia"/>
          <w:color w:val="231F20"/>
        </w:rPr>
        <w:t>Therefore, “all the land” of verse 8 cannot refer simply to Palestine (as premillennarians claim), but rather to that which OT Palestine typified: the whole earth, the earth that in the end will become Immanuel’s Land (2:12, 3:9, 9:16, 12:12, 13:2; Rom. 4:13).</w:t>
      </w:r>
    </w:p>
    <w:p w14:paraId="3A65E604">
      <w:pPr>
        <w:pStyle w:val="9"/>
        <w:spacing w:before="13" w:line="249" w:lineRule="auto"/>
        <w:ind w:right="98" w:firstLine="450"/>
        <w:rPr>
          <w:rFonts w:hint="eastAsia"/>
          <w:color w:val="231F20"/>
        </w:rPr>
      </w:pPr>
      <w:r>
        <w:rPr>
          <w:rFonts w:hint="eastAsia"/>
          <w:color w:val="231F20"/>
        </w:rPr>
        <w:t>因此，第8节的“全地”不能仅仅指巴勒斯坦（如前千禧年论者所声称），而是指旧约巴勒斯坦所预表的：整个地球，那最终将成为以马内利之地的地球 (2:12, 3:9, 9:16, 12:12, 13:2; 罗 4:13)。</w:t>
      </w:r>
    </w:p>
    <w:p w14:paraId="04874E50">
      <w:pPr>
        <w:pStyle w:val="9"/>
        <w:spacing w:before="13" w:line="249" w:lineRule="auto"/>
        <w:ind w:right="98" w:firstLine="450"/>
        <w:rPr>
          <w:rFonts w:hint="eastAsia"/>
          <w:color w:val="231F20"/>
        </w:rPr>
      </w:pPr>
    </w:p>
    <w:p w14:paraId="4E0440B2">
      <w:pPr>
        <w:pStyle w:val="9"/>
        <w:spacing w:before="13" w:line="249" w:lineRule="auto"/>
        <w:ind w:right="98" w:firstLine="450"/>
        <w:rPr>
          <w:rFonts w:hint="eastAsia"/>
          <w:color w:val="231F20"/>
        </w:rPr>
      </w:pPr>
      <w:r>
        <w:rPr>
          <w:rFonts w:hint="eastAsia"/>
          <w:color w:val="231F20"/>
        </w:rPr>
        <w:t>Says one commentator, “This is not to be taken in a literal sense, but as representing the domain covered by the Kingdom of God.”4</w:t>
      </w:r>
    </w:p>
    <w:p w14:paraId="2B19F0D7">
      <w:pPr>
        <w:pStyle w:val="9"/>
        <w:spacing w:before="13" w:line="249" w:lineRule="auto"/>
        <w:ind w:right="98" w:firstLine="450"/>
        <w:rPr>
          <w:rFonts w:hint="eastAsia"/>
          <w:color w:val="231F20"/>
        </w:rPr>
      </w:pPr>
      <w:r>
        <w:rPr>
          <w:rFonts w:hint="eastAsia"/>
          <w:color w:val="231F20"/>
        </w:rPr>
        <w:t>一位解经家说：“这不应按字面意思来理解，而是代表神国度所覆盖的领域。”4</w:t>
      </w:r>
    </w:p>
    <w:p w14:paraId="5FE16721">
      <w:pPr>
        <w:pStyle w:val="9"/>
        <w:spacing w:before="13" w:line="249" w:lineRule="auto"/>
        <w:ind w:right="98" w:firstLine="450"/>
        <w:rPr>
          <w:rFonts w:hint="eastAsia"/>
          <w:color w:val="231F20"/>
        </w:rPr>
      </w:pPr>
    </w:p>
    <w:p w14:paraId="631D471F">
      <w:pPr>
        <w:pStyle w:val="9"/>
        <w:spacing w:before="13" w:line="249" w:lineRule="auto"/>
        <w:ind w:right="98" w:firstLine="450"/>
        <w:rPr>
          <w:rFonts w:hint="eastAsia"/>
          <w:color w:val="231F20"/>
        </w:rPr>
      </w:pPr>
      <w:r>
        <w:rPr>
          <w:rFonts w:hint="eastAsia"/>
          <w:color w:val="231F20"/>
        </w:rPr>
        <w:t>If this view is correct, the message of verse 8 is solemn indeed, but comforting as well: By the end of Era of Proclamation, “two parts”—i.e., the larger portion—of all who hear the Gospel will perish from “the land” through their willful disobedience to it.</w:t>
      </w:r>
    </w:p>
    <w:p w14:paraId="55483C42">
      <w:pPr>
        <w:pStyle w:val="9"/>
        <w:spacing w:before="13" w:line="249" w:lineRule="auto"/>
        <w:ind w:right="98" w:firstLine="450"/>
        <w:rPr>
          <w:rFonts w:hint="eastAsia"/>
          <w:color w:val="231F20"/>
        </w:rPr>
      </w:pPr>
      <w:r>
        <w:rPr>
          <w:rFonts w:hint="eastAsia"/>
          <w:color w:val="231F20"/>
        </w:rPr>
        <w:t>如果这个观点是正确的，那么第8节的信息确实是严肃的，但也是安慰的：到宣讲时代的末了，所有听到福音的人中，“三分之二”——即较大的部分——将因他们故意不顺从而从“这地”灭亡。</w:t>
      </w:r>
    </w:p>
    <w:p w14:paraId="4511A845">
      <w:pPr>
        <w:pStyle w:val="9"/>
        <w:spacing w:before="13" w:line="249" w:lineRule="auto"/>
        <w:ind w:right="98" w:firstLine="450"/>
        <w:rPr>
          <w:rFonts w:hint="eastAsia"/>
          <w:color w:val="231F20"/>
        </w:rPr>
      </w:pPr>
    </w:p>
    <w:p w14:paraId="305DB75E">
      <w:pPr>
        <w:pStyle w:val="9"/>
        <w:spacing w:before="13" w:line="249" w:lineRule="auto"/>
        <w:ind w:right="98" w:firstLine="450"/>
        <w:rPr>
          <w:rFonts w:hint="eastAsia"/>
          <w:color w:val="231F20"/>
        </w:rPr>
      </w:pPr>
      <w:r>
        <w:rPr>
          <w:rFonts w:hint="eastAsia"/>
          <w:color w:val="231F20"/>
        </w:rPr>
        <w:t>However, through God’s sovereign grace (v. 9), one part—i.e., a smaller portion, an elect remnant, a little flock —will be gathered safely into his Shepherd’s fold, and will therefore remain in the Land.</w:t>
      </w:r>
    </w:p>
    <w:p w14:paraId="655F2D6D">
      <w:pPr>
        <w:pStyle w:val="9"/>
        <w:spacing w:before="13" w:line="249" w:lineRule="auto"/>
        <w:ind w:right="98" w:firstLine="450"/>
        <w:rPr>
          <w:rFonts w:hint="eastAsia"/>
          <w:color w:val="231F20"/>
        </w:rPr>
      </w:pPr>
      <w:r>
        <w:rPr>
          <w:rFonts w:hint="eastAsia"/>
          <w:color w:val="231F20"/>
        </w:rPr>
        <w:t>然而，通过神至高的恩典（第9节），一部分——即一小部分，一个蒙拣选的余民，一小群羊——将被安全地聚集到祂牧人的羊圈里，因此将留在那地。</w:t>
      </w:r>
    </w:p>
    <w:p w14:paraId="35CADF45">
      <w:pPr>
        <w:pStyle w:val="9"/>
        <w:spacing w:before="13" w:line="249" w:lineRule="auto"/>
        <w:ind w:right="98" w:firstLine="450"/>
        <w:rPr>
          <w:rFonts w:hint="eastAsia"/>
          <w:color w:val="231F20"/>
        </w:rPr>
      </w:pPr>
    </w:p>
    <w:p w14:paraId="75942E9A">
      <w:pPr>
        <w:pStyle w:val="9"/>
        <w:spacing w:before="13" w:line="249" w:lineRule="auto"/>
        <w:ind w:right="98" w:firstLine="450"/>
        <w:rPr>
          <w:rFonts w:hint="eastAsia"/>
          <w:color w:val="231F20"/>
        </w:rPr>
      </w:pPr>
      <w:r>
        <w:rPr>
          <w:rFonts w:hint="eastAsia"/>
          <w:color w:val="231F20"/>
        </w:rPr>
        <w:t>Having safely passed through the Judgment, they will inherit eternal life in the new heavens and the new earth (Mt. 7:13-14, Luke 12:32, 1 Cor. 1:26-31, Eph. 1:6, 2:8-9, 1 Peter 2:4-10).5</w:t>
      </w:r>
    </w:p>
    <w:p w14:paraId="231EFBDC">
      <w:pPr>
        <w:pStyle w:val="9"/>
        <w:spacing w:before="13" w:line="249" w:lineRule="auto"/>
        <w:ind w:right="98" w:firstLine="450"/>
        <w:rPr>
          <w:rFonts w:hint="eastAsia"/>
          <w:color w:val="231F20"/>
        </w:rPr>
      </w:pPr>
      <w:r>
        <w:rPr>
          <w:rFonts w:hint="eastAsia"/>
          <w:color w:val="231F20"/>
        </w:rPr>
        <w:t>安全地经过审判之后，他们将在新天新地中承受永生 (太 7:13-14, 路 12:32, 林前 1:26-31, 弗 1:6, 2:8-9, 彼前 2:4-10)。5</w:t>
      </w:r>
    </w:p>
    <w:p w14:paraId="3A0D20EC">
      <w:pPr>
        <w:pStyle w:val="9"/>
        <w:spacing w:before="13" w:line="249" w:lineRule="auto"/>
        <w:ind w:right="98" w:firstLine="450"/>
        <w:rPr>
          <w:rFonts w:hint="eastAsia"/>
          <w:color w:val="231F20"/>
        </w:rPr>
      </w:pPr>
    </w:p>
    <w:p w14:paraId="430EF1F5">
      <w:pPr>
        <w:pStyle w:val="9"/>
        <w:spacing w:before="13" w:line="249" w:lineRule="auto"/>
        <w:ind w:right="98" w:firstLine="450"/>
        <w:rPr>
          <w:rFonts w:hint="eastAsia"/>
          <w:color w:val="231F20"/>
        </w:rPr>
      </w:pPr>
      <w:r>
        <w:rPr>
          <w:rFonts w:hint="eastAsia"/>
          <w:color w:val="231F20"/>
        </w:rPr>
        <w:t>This line of interpretation seems thoroughly vindicated by verse 9, where we hear God making marvelous promises that resonate deeply in the heart of every NT believer.</w:t>
      </w:r>
    </w:p>
    <w:p w14:paraId="22146D50">
      <w:pPr>
        <w:pStyle w:val="9"/>
        <w:spacing w:before="13" w:line="249" w:lineRule="auto"/>
        <w:ind w:right="98" w:firstLine="450"/>
        <w:rPr>
          <w:rFonts w:hint="eastAsia"/>
          <w:color w:val="231F20"/>
        </w:rPr>
      </w:pPr>
      <w:r>
        <w:rPr>
          <w:rFonts w:hint="eastAsia"/>
          <w:color w:val="231F20"/>
        </w:rPr>
        <w:t>这条解释路线似乎被第9节彻底证实了，在那里我们听到神作出了奇妙的应许，这些应许在每一位新约信徒的心中产生深深的共鸣。</w:t>
      </w:r>
    </w:p>
    <w:p w14:paraId="6AB48CA2">
      <w:pPr>
        <w:pStyle w:val="9"/>
        <w:spacing w:before="13" w:line="249" w:lineRule="auto"/>
        <w:ind w:right="98" w:firstLine="450"/>
        <w:rPr>
          <w:rFonts w:hint="eastAsia"/>
          <w:color w:val="231F20"/>
        </w:rPr>
      </w:pPr>
    </w:p>
    <w:p w14:paraId="38AD442E">
      <w:pPr>
        <w:pStyle w:val="9"/>
        <w:spacing w:before="13" w:line="249" w:lineRule="auto"/>
        <w:ind w:right="98" w:firstLine="450"/>
        <w:rPr>
          <w:rFonts w:hint="eastAsia"/>
          <w:color w:val="231F20"/>
        </w:rPr>
      </w:pPr>
      <w:r>
        <w:rPr>
          <w:rFonts w:hint="eastAsia"/>
          <w:color w:val="231F20"/>
        </w:rPr>
        <w:t>First, he will bring the Shepherd’s flock through the fire: Despite all manner of painful temptations and persecutions, God will preserve his elect in Christ until they safely enter the World to Come (John 10:29, 17:15, 1 Cor. 1:4-9, 10:13, Jude 1:1).</w:t>
      </w:r>
    </w:p>
    <w:p w14:paraId="33757896">
      <w:pPr>
        <w:pStyle w:val="9"/>
        <w:spacing w:before="13" w:line="249" w:lineRule="auto"/>
        <w:ind w:right="98" w:firstLine="450"/>
        <w:rPr>
          <w:rFonts w:hint="eastAsia"/>
          <w:color w:val="231F20"/>
        </w:rPr>
      </w:pPr>
      <w:r>
        <w:rPr>
          <w:rFonts w:hint="eastAsia"/>
          <w:color w:val="231F20"/>
        </w:rPr>
        <w:t>首先，祂将带领牧人的羊群经过火炼：尽管有各种痛苦的试探和迫害，神将在基督里保守祂的选民，直到他们安全地进入将来的世界 (约 10:29, 17:15, 林前 1:4-9, 10:13, 犹 1:1)。</w:t>
      </w:r>
    </w:p>
    <w:p w14:paraId="239942B3">
      <w:pPr>
        <w:pStyle w:val="9"/>
        <w:spacing w:before="13" w:line="249" w:lineRule="auto"/>
        <w:ind w:right="98" w:firstLine="450"/>
        <w:rPr>
          <w:rFonts w:hint="eastAsia"/>
          <w:color w:val="231F20"/>
        </w:rPr>
      </w:pPr>
    </w:p>
    <w:p w14:paraId="37A2C2B4">
      <w:pPr>
        <w:pStyle w:val="9"/>
        <w:spacing w:before="13" w:line="249" w:lineRule="auto"/>
        <w:ind w:right="98" w:firstLine="450"/>
        <w:rPr>
          <w:rFonts w:hint="eastAsia"/>
          <w:color w:val="231F20"/>
        </w:rPr>
      </w:pPr>
      <w:r>
        <w:rPr>
          <w:rFonts w:hint="eastAsia"/>
          <w:color w:val="231F20"/>
        </w:rPr>
        <w:t>And secondly, he will test and refine them, even as men test and refine silver and gold.</w:t>
      </w:r>
    </w:p>
    <w:p w14:paraId="3A840758">
      <w:pPr>
        <w:pStyle w:val="9"/>
        <w:spacing w:before="13" w:line="249" w:lineRule="auto"/>
        <w:ind w:right="98" w:firstLine="450"/>
        <w:rPr>
          <w:rFonts w:hint="eastAsia"/>
          <w:color w:val="231F20"/>
        </w:rPr>
      </w:pPr>
      <w:r>
        <w:rPr>
          <w:rFonts w:hint="eastAsia"/>
          <w:color w:val="231F20"/>
        </w:rPr>
        <w:t>其次，祂要试验他们，熬炼他们，如同人试验熬炼金银一样。</w:t>
      </w:r>
    </w:p>
    <w:p w14:paraId="27F6CAC6">
      <w:pPr>
        <w:pStyle w:val="9"/>
        <w:spacing w:before="13" w:line="249" w:lineRule="auto"/>
        <w:ind w:right="98" w:firstLine="450"/>
        <w:rPr>
          <w:rFonts w:hint="eastAsia"/>
          <w:color w:val="231F20"/>
        </w:rPr>
      </w:pPr>
    </w:p>
    <w:p w14:paraId="5DAE9D1D">
      <w:pPr>
        <w:pStyle w:val="9"/>
        <w:spacing w:before="13" w:line="249" w:lineRule="auto"/>
        <w:ind w:right="98" w:firstLine="450"/>
        <w:rPr>
          <w:rFonts w:hint="eastAsia"/>
          <w:color w:val="231F20"/>
        </w:rPr>
      </w:pPr>
      <w:r>
        <w:rPr>
          <w:rFonts w:hint="eastAsia"/>
          <w:color w:val="231F20"/>
        </w:rPr>
        <w:t>This immediately calls to mind the words of the apostle Peter, who encouraged believers to understand that God uses manifold trials as a kind of holy fire by which to purify the faith and character of his people, so that at the revelation of Christ they themselves may receive praise, glory, and honor from him (1 Peter 1:6-9; Proverbs 17:3, Isaiah 43:2, John 15:2, Rom. 5:1-5, Eph. 5:25-27, Heb. 12:1ff)!</w:t>
      </w:r>
    </w:p>
    <w:p w14:paraId="43FEB911">
      <w:pPr>
        <w:pStyle w:val="9"/>
        <w:spacing w:before="13" w:line="249" w:lineRule="auto"/>
        <w:ind w:right="98" w:firstLine="450"/>
        <w:rPr>
          <w:rFonts w:hint="eastAsia"/>
          <w:color w:val="231F20"/>
        </w:rPr>
      </w:pPr>
      <w:r>
        <w:rPr>
          <w:rFonts w:hint="eastAsia"/>
          <w:color w:val="231F20"/>
        </w:rPr>
        <w:t>这立刻让人想起使徒彼得的话，他鼓励信徒明白，神使用百般的试炼作为一种圣火，借此来洁净祂子民的信心和品格，以便在基督显现的时候，他们自己可以从祂那里得到称赞、荣耀和尊贵 (彼前 1:6-9; 箴 17:3, 赛 43:2, 约 15:2, 罗 5:1-5, 弗 5:25-27, 来 12:1及后)！</w:t>
      </w:r>
    </w:p>
    <w:p w14:paraId="41D21E59">
      <w:pPr>
        <w:pStyle w:val="9"/>
        <w:spacing w:before="13" w:line="249" w:lineRule="auto"/>
        <w:ind w:right="98" w:firstLine="450"/>
        <w:rPr>
          <w:rFonts w:hint="eastAsia"/>
          <w:color w:val="231F20"/>
        </w:rPr>
      </w:pPr>
    </w:p>
    <w:p w14:paraId="55D14146">
      <w:pPr>
        <w:pStyle w:val="9"/>
        <w:spacing w:before="13" w:line="249" w:lineRule="auto"/>
        <w:ind w:right="98" w:firstLine="450"/>
        <w:rPr>
          <w:rFonts w:hint="eastAsia"/>
          <w:color w:val="231F20"/>
        </w:rPr>
      </w:pPr>
      <w:r>
        <w:rPr>
          <w:rFonts w:hint="eastAsia"/>
          <w:color w:val="231F20"/>
        </w:rPr>
        <w:t>Verse 9—and the prophecy as a whole—concludes, appropriately enough, with a reiteration of the great covenant formula.</w:t>
      </w:r>
    </w:p>
    <w:p w14:paraId="29F00E47">
      <w:pPr>
        <w:pStyle w:val="9"/>
        <w:spacing w:before="13" w:line="249" w:lineRule="auto"/>
        <w:ind w:right="98" w:firstLine="450"/>
        <w:rPr>
          <w:rFonts w:hint="eastAsia"/>
          <w:color w:val="231F20"/>
        </w:rPr>
      </w:pPr>
      <w:r>
        <w:rPr>
          <w:rFonts w:hint="eastAsia"/>
          <w:color w:val="231F20"/>
        </w:rPr>
        <w:t>第9节——以及整个预言——恰当地以重申伟大的圣约公式来结束。</w:t>
      </w:r>
    </w:p>
    <w:p w14:paraId="59A5A820">
      <w:pPr>
        <w:pStyle w:val="9"/>
        <w:spacing w:before="13" w:line="249" w:lineRule="auto"/>
        <w:ind w:right="98" w:firstLine="450"/>
        <w:rPr>
          <w:rFonts w:hint="eastAsia"/>
          <w:color w:val="231F20"/>
        </w:rPr>
      </w:pPr>
    </w:p>
    <w:p w14:paraId="015F90FD">
      <w:pPr>
        <w:pStyle w:val="9"/>
        <w:spacing w:before="13" w:line="249" w:lineRule="auto"/>
        <w:ind w:right="98" w:firstLine="450"/>
        <w:rPr>
          <w:rFonts w:hint="eastAsia"/>
          <w:color w:val="231F20"/>
        </w:rPr>
      </w:pPr>
      <w:r>
        <w:rPr>
          <w:rFonts w:hint="eastAsia"/>
          <w:color w:val="231F20"/>
        </w:rPr>
        <w:t>God’s people will call on his Name, and he will answer them; he will say, “They are My people,” and they will say, “The LORD is my God.”</w:t>
      </w:r>
    </w:p>
    <w:p w14:paraId="1598B283">
      <w:pPr>
        <w:pStyle w:val="9"/>
        <w:spacing w:before="13" w:line="249" w:lineRule="auto"/>
        <w:ind w:right="98" w:firstLine="450"/>
        <w:rPr>
          <w:rFonts w:hint="eastAsia"/>
          <w:color w:val="231F20"/>
        </w:rPr>
      </w:pPr>
      <w:r>
        <w:rPr>
          <w:rFonts w:hint="eastAsia"/>
          <w:color w:val="231F20"/>
        </w:rPr>
        <w:t>神的子民将求告祂的名，祂就应允他们；祂要说：“这是我的子民。”他们也要说：“耶和华是我的神。”</w:t>
      </w:r>
    </w:p>
    <w:p w14:paraId="6211E325">
      <w:pPr>
        <w:pStyle w:val="9"/>
        <w:spacing w:before="13" w:line="249" w:lineRule="auto"/>
        <w:ind w:right="98" w:firstLine="450"/>
        <w:rPr>
          <w:rFonts w:hint="eastAsia"/>
          <w:color w:val="231F20"/>
        </w:rPr>
      </w:pPr>
    </w:p>
    <w:p w14:paraId="238BBE63">
      <w:pPr>
        <w:pStyle w:val="9"/>
        <w:spacing w:before="13" w:line="249" w:lineRule="auto"/>
        <w:ind w:right="98" w:firstLine="450"/>
        <w:rPr>
          <w:rFonts w:hint="eastAsia"/>
          <w:color w:val="231F20"/>
        </w:rPr>
      </w:pPr>
      <w:r>
        <w:rPr>
          <w:rFonts w:hint="eastAsia"/>
          <w:color w:val="231F20"/>
        </w:rPr>
        <w:t>When exactly will all this happen?</w:t>
      </w:r>
    </w:p>
    <w:p w14:paraId="7A8F0A3E">
      <w:pPr>
        <w:pStyle w:val="9"/>
        <w:spacing w:before="13" w:line="249" w:lineRule="auto"/>
        <w:ind w:right="98" w:firstLine="450"/>
        <w:rPr>
          <w:rFonts w:hint="eastAsia"/>
          <w:color w:val="231F20"/>
        </w:rPr>
      </w:pPr>
      <w:r>
        <w:rPr>
          <w:rFonts w:hint="eastAsia"/>
          <w:color w:val="231F20"/>
        </w:rPr>
        <w:t>这一切究竟何时会发生？</w:t>
      </w:r>
    </w:p>
    <w:p w14:paraId="2D874F8D">
      <w:pPr>
        <w:pStyle w:val="9"/>
        <w:spacing w:before="13" w:line="249" w:lineRule="auto"/>
        <w:ind w:right="98" w:firstLine="450"/>
        <w:rPr>
          <w:rFonts w:hint="eastAsia"/>
          <w:color w:val="231F20"/>
        </w:rPr>
      </w:pPr>
    </w:p>
    <w:p w14:paraId="45A54ECF">
      <w:pPr>
        <w:pStyle w:val="9"/>
        <w:spacing w:before="13" w:line="249" w:lineRule="auto"/>
        <w:ind w:right="98" w:firstLine="450"/>
        <w:rPr>
          <w:rFonts w:hint="eastAsia"/>
          <w:color w:val="231F20"/>
        </w:rPr>
      </w:pPr>
      <w:r>
        <w:rPr>
          <w:rFonts w:hint="eastAsia"/>
          <w:color w:val="231F20"/>
        </w:rPr>
        <w:t>Doubtless it will happen throughout the entire Era of Proclamation: It will happen when, in the fires of conviction, God’s people first call upon Christ for salvation (Luke 18:13, Acts 2:37f); and it will happen later, when, in the fires of temptation and persecution, they call upon him for strength and deliverance (Rom. 15:30- 32, Phil. 4:13, 2 Tim. 4:18).</w:t>
      </w:r>
    </w:p>
    <w:p w14:paraId="6E7AC159">
      <w:pPr>
        <w:pStyle w:val="9"/>
        <w:spacing w:before="13" w:line="249" w:lineRule="auto"/>
        <w:ind w:right="98" w:firstLine="450"/>
        <w:rPr>
          <w:rFonts w:hint="eastAsia"/>
          <w:color w:val="231F20"/>
        </w:rPr>
      </w:pPr>
      <w:r>
        <w:rPr>
          <w:rFonts w:hint="eastAsia"/>
          <w:color w:val="231F20"/>
        </w:rPr>
        <w:t>无疑，这将在整个宣讲时代发生：它将在神的子民在定罪的火焰中初次呼求基督拯救时发生（路 18:13, 徒 2:37及后）；它也将在后来，当他们在试探和迫害的火焰中呼求祂赐予力量和拯救时发生（罗 15:30-32, 腓 4:13, 提后 4:18）。</w:t>
      </w:r>
    </w:p>
    <w:p w14:paraId="2A7EFE4B">
      <w:pPr>
        <w:pStyle w:val="9"/>
        <w:spacing w:before="13" w:line="249" w:lineRule="auto"/>
        <w:ind w:right="98" w:firstLine="450"/>
        <w:rPr>
          <w:rFonts w:hint="eastAsia"/>
          <w:color w:val="231F20"/>
        </w:rPr>
      </w:pPr>
    </w:p>
    <w:p w14:paraId="773975DF">
      <w:pPr>
        <w:pStyle w:val="9"/>
        <w:spacing w:before="13" w:line="249" w:lineRule="auto"/>
        <w:ind w:right="98" w:firstLine="450"/>
        <w:rPr>
          <w:rFonts w:hint="eastAsia"/>
          <w:color w:val="231F20"/>
        </w:rPr>
      </w:pPr>
      <w:r>
        <w:rPr>
          <w:rFonts w:hint="eastAsia"/>
          <w:color w:val="231F20"/>
        </w:rPr>
        <w:t>However, to judge from its position in the text, it may well be that the Spirit especially has in view the end of the age, when the saints will have finished passing through the fires; when they will have finally entered the World to Come; when they now call upon the Name of the LORD in eternal praise, thanksgiving, and adoration.</w:t>
      </w:r>
    </w:p>
    <w:p w14:paraId="4676A491">
      <w:pPr>
        <w:pStyle w:val="9"/>
        <w:spacing w:before="13" w:line="249" w:lineRule="auto"/>
        <w:ind w:right="98" w:firstLine="450"/>
        <w:rPr>
          <w:rFonts w:hint="eastAsia"/>
          <w:color w:val="231F20"/>
        </w:rPr>
      </w:pPr>
      <w:r>
        <w:rPr>
          <w:rFonts w:hint="eastAsia"/>
          <w:color w:val="231F20"/>
        </w:rPr>
        <w:t>然而，从其在经文中的位置来判断，很可能圣灵特别着眼于世代的末了，那时圣徒们将已经过火炼；那时他们将最终进入将来的世界；那时他们现在以永恒的赞美、感恩和敬拜来呼求主的名。</w:t>
      </w:r>
    </w:p>
    <w:p w14:paraId="3E0ECB6E">
      <w:pPr>
        <w:pStyle w:val="9"/>
        <w:spacing w:before="13" w:line="249" w:lineRule="auto"/>
        <w:ind w:right="98" w:firstLine="450"/>
        <w:rPr>
          <w:rFonts w:hint="eastAsia"/>
          <w:color w:val="231F20"/>
        </w:rPr>
      </w:pPr>
    </w:p>
    <w:p w14:paraId="3894DDBB">
      <w:pPr>
        <w:pStyle w:val="9"/>
        <w:spacing w:before="13" w:line="249" w:lineRule="auto"/>
        <w:ind w:right="98" w:firstLine="450"/>
        <w:rPr>
          <w:rFonts w:hint="eastAsia"/>
          <w:color w:val="231F20"/>
        </w:rPr>
      </w:pPr>
      <w:r>
        <w:rPr>
          <w:rFonts w:hint="eastAsia"/>
          <w:color w:val="231F20"/>
        </w:rPr>
        <w:t>The Revelation certainly seems to confirm this: When John beholds the Holy City descending to the new earth as a Bride adorned for her Husband, he also hears these triumphant words: “Behold, the tabernacle of God is among men, and he shall dwell among them, and they shall be his people, and God himself shall be among them” (Rev. 21:3).</w:t>
      </w:r>
    </w:p>
    <w:p w14:paraId="091CED17">
      <w:pPr>
        <w:pStyle w:val="9"/>
        <w:spacing w:before="13" w:line="249" w:lineRule="auto"/>
        <w:ind w:right="98" w:firstLine="450"/>
        <w:rPr>
          <w:rFonts w:hint="eastAsia"/>
          <w:color w:val="231F20"/>
        </w:rPr>
      </w:pPr>
      <w:r>
        <w:rPr>
          <w:rFonts w:hint="eastAsia"/>
          <w:color w:val="231F20"/>
        </w:rPr>
        <w:t>启示录当然似乎证实了这一点：当约翰看见圣城如新妇妆饰整齐，为丈夫预备好了，从天降到新地时，他也听到这些得胜的话：“看哪，神的帐幕在人间。祂要与人同住，他们要作祂的子民。神要亲自与他们同在” (启 21:3)。</w:t>
      </w:r>
    </w:p>
    <w:p w14:paraId="43241B6D">
      <w:pPr>
        <w:pStyle w:val="9"/>
        <w:spacing w:before="13" w:line="249" w:lineRule="auto"/>
        <w:ind w:right="98" w:firstLine="450"/>
        <w:rPr>
          <w:rFonts w:hint="eastAsia"/>
          <w:color w:val="231F20"/>
        </w:rPr>
      </w:pPr>
    </w:p>
    <w:p w14:paraId="33BE2FAC">
      <w:pPr>
        <w:pStyle w:val="9"/>
        <w:spacing w:before="13" w:line="249" w:lineRule="auto"/>
        <w:ind w:right="98" w:firstLine="450"/>
        <w:rPr>
          <w:rFonts w:hint="eastAsia"/>
          <w:color w:val="231F20"/>
        </w:rPr>
      </w:pPr>
      <w:r>
        <w:rPr>
          <w:rFonts w:hint="eastAsia"/>
          <w:color w:val="231F20"/>
        </w:rPr>
        <w:t>Here, the days of fire are over; here the everlasting Day of glory has begun!</w:t>
      </w:r>
    </w:p>
    <w:p w14:paraId="2257E4E4">
      <w:pPr>
        <w:pStyle w:val="9"/>
        <w:spacing w:before="13" w:line="249" w:lineRule="auto"/>
        <w:ind w:right="98" w:firstLine="450"/>
        <w:rPr>
          <w:rFonts w:hint="eastAsia"/>
          <w:color w:val="231F20"/>
        </w:rPr>
      </w:pPr>
      <w:r>
        <w:rPr>
          <w:rFonts w:hint="eastAsia"/>
          <w:color w:val="231F20"/>
        </w:rPr>
        <w:t>在这里，火的日子结束了；在这里，永恒荣耀的日子开始了！</w:t>
      </w:r>
    </w:p>
    <w:p w14:paraId="2C9525EF">
      <w:pPr>
        <w:pStyle w:val="9"/>
        <w:spacing w:before="13" w:line="249" w:lineRule="auto"/>
        <w:ind w:right="98" w:firstLine="450"/>
        <w:rPr>
          <w:rFonts w:hint="eastAsia"/>
          <w:color w:val="231F20"/>
        </w:rPr>
      </w:pPr>
    </w:p>
    <w:p w14:paraId="1635D718">
      <w:pPr>
        <w:pStyle w:val="9"/>
        <w:spacing w:before="13" w:line="249" w:lineRule="auto"/>
        <w:ind w:right="98" w:firstLine="450"/>
        <w:rPr>
          <w:rFonts w:hint="eastAsia"/>
          <w:color w:val="231F20"/>
        </w:rPr>
      </w:pPr>
      <w:r>
        <w:rPr>
          <w:rFonts w:hint="eastAsia"/>
          <w:color w:val="231F20"/>
        </w:rPr>
        <w:t>Many commentators, and especially premillennarians, assert that this prophecy refers exclusively to God’s dealings with ethnic Israel.</w:t>
      </w:r>
    </w:p>
    <w:p w14:paraId="2E7ECB2A">
      <w:pPr>
        <w:pStyle w:val="9"/>
        <w:spacing w:before="13" w:line="249" w:lineRule="auto"/>
        <w:ind w:right="98" w:firstLine="450"/>
        <w:rPr>
          <w:rFonts w:hint="eastAsia"/>
          <w:color w:val="231F20"/>
        </w:rPr>
      </w:pPr>
      <w:r>
        <w:rPr>
          <w:rFonts w:hint="eastAsia"/>
          <w:color w:val="231F20"/>
        </w:rPr>
        <w:t>许多解经家，特别是前千禧年论者，断言这个预言专指神与以色列民族的交往。</w:t>
      </w:r>
    </w:p>
    <w:p w14:paraId="1B2068DC">
      <w:pPr>
        <w:pStyle w:val="9"/>
        <w:spacing w:before="13" w:line="249" w:lineRule="auto"/>
        <w:ind w:right="98" w:firstLine="450"/>
        <w:rPr>
          <w:rFonts w:hint="eastAsia"/>
          <w:color w:val="231F20"/>
        </w:rPr>
      </w:pPr>
    </w:p>
    <w:p w14:paraId="75DB5A17">
      <w:pPr>
        <w:pStyle w:val="9"/>
        <w:spacing w:before="13" w:line="249" w:lineRule="auto"/>
        <w:ind w:right="98" w:firstLine="450"/>
        <w:rPr>
          <w:rFonts w:hint="eastAsia"/>
          <w:color w:val="231F20"/>
        </w:rPr>
      </w:pPr>
      <w:r>
        <w:rPr>
          <w:rFonts w:hint="eastAsia"/>
          <w:color w:val="231F20"/>
        </w:rPr>
        <w:t>However, as I have tried to show in my exegesis of it, the logic of the NCH, the text itself, and the context surrounding it, all argue against it.</w:t>
      </w:r>
    </w:p>
    <w:p w14:paraId="0A25B89E">
      <w:pPr>
        <w:pStyle w:val="9"/>
        <w:spacing w:before="13" w:line="249" w:lineRule="auto"/>
        <w:ind w:right="98" w:firstLine="450"/>
        <w:rPr>
          <w:rFonts w:hint="eastAsia"/>
          <w:color w:val="231F20"/>
        </w:rPr>
      </w:pPr>
      <w:r>
        <w:rPr>
          <w:rFonts w:hint="eastAsia"/>
          <w:color w:val="231F20"/>
        </w:rPr>
        <w:t>然而，正如我在对其的解经中所试图展示的，新约解释学的逻辑、经文本身，以及其周围的上下文，都反对这种说法。</w:t>
      </w:r>
    </w:p>
    <w:p w14:paraId="359E5E6D">
      <w:pPr>
        <w:pStyle w:val="9"/>
        <w:spacing w:before="13" w:line="249" w:lineRule="auto"/>
        <w:ind w:right="98" w:firstLine="450"/>
        <w:rPr>
          <w:rFonts w:hint="eastAsia"/>
          <w:color w:val="231F20"/>
        </w:rPr>
      </w:pPr>
    </w:p>
    <w:p w14:paraId="13F61539">
      <w:pPr>
        <w:pStyle w:val="9"/>
        <w:spacing w:before="13" w:line="249" w:lineRule="auto"/>
        <w:ind w:right="98" w:firstLine="450"/>
        <w:rPr>
          <w:rFonts w:hint="eastAsia"/>
          <w:color w:val="231F20"/>
        </w:rPr>
      </w:pPr>
      <w:r>
        <w:rPr>
          <w:rFonts w:hint="eastAsia"/>
          <w:color w:val="231F20"/>
        </w:rPr>
        <w:t>Will Jewish disciples of Jesus be able to see themselves in this text?</w:t>
      </w:r>
    </w:p>
    <w:p w14:paraId="51548B7F">
      <w:pPr>
        <w:pStyle w:val="9"/>
        <w:spacing w:before="13" w:line="249" w:lineRule="auto"/>
        <w:ind w:right="98" w:firstLine="450"/>
        <w:rPr>
          <w:rFonts w:hint="eastAsia"/>
          <w:color w:val="231F20"/>
        </w:rPr>
      </w:pPr>
      <w:r>
        <w:rPr>
          <w:rFonts w:hint="eastAsia"/>
          <w:color w:val="231F20"/>
        </w:rPr>
        <w:t>耶稣的犹太门徒能在这段经文中看到自己吗？</w:t>
      </w:r>
    </w:p>
    <w:p w14:paraId="561BBB92">
      <w:pPr>
        <w:pStyle w:val="9"/>
        <w:spacing w:before="13" w:line="249" w:lineRule="auto"/>
        <w:ind w:right="98" w:firstLine="450"/>
        <w:rPr>
          <w:rFonts w:hint="eastAsia"/>
          <w:color w:val="231F20"/>
        </w:rPr>
      </w:pPr>
    </w:p>
    <w:p w14:paraId="731D1FCF">
      <w:pPr>
        <w:pStyle w:val="9"/>
        <w:spacing w:before="13" w:line="249" w:lineRule="auto"/>
        <w:ind w:right="98" w:firstLine="450"/>
        <w:rPr>
          <w:rFonts w:hint="eastAsia"/>
          <w:color w:val="231F20"/>
        </w:rPr>
      </w:pPr>
      <w:r>
        <w:rPr>
          <w:rFonts w:hint="eastAsia"/>
          <w:color w:val="231F20"/>
        </w:rPr>
        <w:t>Yes.</w:t>
      </w:r>
    </w:p>
    <w:p w14:paraId="76EB6A5C">
      <w:pPr>
        <w:pStyle w:val="9"/>
        <w:spacing w:before="13" w:line="249" w:lineRule="auto"/>
        <w:ind w:right="98" w:firstLine="450"/>
        <w:rPr>
          <w:rFonts w:hint="eastAsia"/>
          <w:color w:val="231F20"/>
        </w:rPr>
      </w:pPr>
      <w:r>
        <w:rPr>
          <w:rFonts w:hint="eastAsia"/>
          <w:color w:val="231F20"/>
        </w:rPr>
        <w:t>是的。</w:t>
      </w:r>
    </w:p>
    <w:p w14:paraId="5DC9C469">
      <w:pPr>
        <w:pStyle w:val="9"/>
        <w:spacing w:before="13" w:line="249" w:lineRule="auto"/>
        <w:ind w:right="98" w:firstLine="450"/>
        <w:rPr>
          <w:rFonts w:hint="eastAsia"/>
          <w:color w:val="231F20"/>
        </w:rPr>
      </w:pPr>
    </w:p>
    <w:p w14:paraId="03F1CADC">
      <w:pPr>
        <w:pStyle w:val="9"/>
        <w:spacing w:before="13" w:line="249" w:lineRule="auto"/>
        <w:ind w:right="98" w:firstLine="450"/>
        <w:rPr>
          <w:rFonts w:hint="eastAsia"/>
          <w:color w:val="231F20"/>
        </w:rPr>
      </w:pPr>
      <w:r>
        <w:rPr>
          <w:rFonts w:hint="eastAsia"/>
          <w:color w:val="231F20"/>
        </w:rPr>
        <w:t>Will God’s latter-day dealings with ethnic Israel fulfill it?</w:t>
      </w:r>
    </w:p>
    <w:p w14:paraId="77C22430">
      <w:pPr>
        <w:pStyle w:val="9"/>
        <w:spacing w:before="13" w:line="249" w:lineRule="auto"/>
        <w:ind w:right="98" w:firstLine="450"/>
        <w:rPr>
          <w:rFonts w:hint="eastAsia"/>
          <w:color w:val="231F20"/>
        </w:rPr>
      </w:pPr>
      <w:r>
        <w:rPr>
          <w:rFonts w:hint="eastAsia"/>
          <w:color w:val="231F20"/>
        </w:rPr>
        <w:t>神在末后日子与以色列民族的交往会应验它吗？</w:t>
      </w:r>
    </w:p>
    <w:p w14:paraId="48B660A1">
      <w:pPr>
        <w:pStyle w:val="9"/>
        <w:spacing w:before="13" w:line="249" w:lineRule="auto"/>
        <w:ind w:right="98" w:firstLine="450"/>
        <w:rPr>
          <w:rFonts w:hint="eastAsia"/>
          <w:color w:val="231F20"/>
        </w:rPr>
      </w:pPr>
    </w:p>
    <w:p w14:paraId="78DADEB4">
      <w:pPr>
        <w:pStyle w:val="9"/>
        <w:spacing w:before="13" w:line="249" w:lineRule="auto"/>
        <w:ind w:right="98" w:firstLine="450"/>
        <w:rPr>
          <w:rFonts w:hint="eastAsia"/>
          <w:color w:val="231F20"/>
        </w:rPr>
      </w:pPr>
      <w:r>
        <w:rPr>
          <w:rFonts w:hint="eastAsia"/>
          <w:color w:val="231F20"/>
        </w:rPr>
        <w:t>To be sure.</w:t>
      </w:r>
    </w:p>
    <w:p w14:paraId="7C154D1D">
      <w:pPr>
        <w:pStyle w:val="9"/>
        <w:spacing w:before="13" w:line="249" w:lineRule="auto"/>
        <w:ind w:right="98" w:firstLine="450"/>
        <w:rPr>
          <w:rFonts w:hint="eastAsia"/>
          <w:color w:val="231F20"/>
        </w:rPr>
      </w:pPr>
      <w:r>
        <w:rPr>
          <w:rFonts w:hint="eastAsia"/>
          <w:color w:val="231F20"/>
        </w:rPr>
        <w:t>当然会。</w:t>
      </w:r>
    </w:p>
    <w:p w14:paraId="734CBD6A">
      <w:pPr>
        <w:pStyle w:val="9"/>
        <w:spacing w:before="13" w:line="249" w:lineRule="auto"/>
        <w:ind w:right="98" w:firstLine="450"/>
        <w:rPr>
          <w:rFonts w:hint="eastAsia"/>
          <w:color w:val="231F20"/>
        </w:rPr>
      </w:pPr>
    </w:p>
    <w:p w14:paraId="7E0EF318">
      <w:pPr>
        <w:pStyle w:val="9"/>
        <w:spacing w:before="13" w:line="249" w:lineRule="auto"/>
        <w:ind w:right="98" w:firstLine="450"/>
        <w:rPr>
          <w:rFonts w:hint="eastAsia"/>
          <w:color w:val="231F20"/>
        </w:rPr>
      </w:pPr>
      <w:r>
        <w:rPr>
          <w:rFonts w:hint="eastAsia"/>
          <w:color w:val="231F20"/>
        </w:rPr>
        <w:t>But again, this is not because Zechariah’s words refer exclusively to ethnic Israel.</w:t>
      </w:r>
    </w:p>
    <w:p w14:paraId="7236E9DF">
      <w:pPr>
        <w:pStyle w:val="9"/>
        <w:spacing w:before="13" w:line="249" w:lineRule="auto"/>
        <w:ind w:right="98" w:firstLine="450"/>
        <w:rPr>
          <w:rFonts w:hint="eastAsia"/>
          <w:color w:val="231F20"/>
        </w:rPr>
      </w:pPr>
      <w:r>
        <w:rPr>
          <w:rFonts w:hint="eastAsia"/>
          <w:color w:val="231F20"/>
        </w:rPr>
        <w:t>但再次，这并非因为撒迦利亚的话专指以色列民族。</w:t>
      </w:r>
    </w:p>
    <w:p w14:paraId="69550563">
      <w:pPr>
        <w:pStyle w:val="9"/>
        <w:spacing w:before="13" w:line="249" w:lineRule="auto"/>
        <w:ind w:right="98" w:firstLine="450"/>
        <w:rPr>
          <w:rFonts w:hint="eastAsia"/>
          <w:color w:val="231F20"/>
        </w:rPr>
      </w:pPr>
    </w:p>
    <w:p w14:paraId="0613437C">
      <w:pPr>
        <w:pStyle w:val="9"/>
        <w:spacing w:before="13" w:line="249" w:lineRule="auto"/>
        <w:ind w:right="98" w:firstLine="450"/>
        <w:rPr>
          <w:rFonts w:hint="eastAsia"/>
          <w:color w:val="231F20"/>
        </w:rPr>
      </w:pPr>
      <w:r>
        <w:rPr>
          <w:rFonts w:hint="eastAsia"/>
          <w:color w:val="231F20"/>
        </w:rPr>
        <w:t>Rather, it is because they refer comprehensively to the eschatological “Israel of God”— the Church—and because elect Jews are part of that Church; it is because they are part of the one flock that has the one Shepherd as its Head (John 10:16, Gal. 6:16).</w:t>
      </w:r>
    </w:p>
    <w:p w14:paraId="3CACE056">
      <w:pPr>
        <w:pStyle w:val="9"/>
        <w:spacing w:before="13" w:line="249" w:lineRule="auto"/>
        <w:ind w:right="98" w:firstLine="450"/>
        <w:rPr>
          <w:rFonts w:hint="eastAsia"/>
          <w:color w:val="231F20"/>
        </w:rPr>
      </w:pPr>
      <w:r>
        <w:rPr>
          <w:rFonts w:hint="eastAsia"/>
          <w:color w:val="231F20"/>
        </w:rPr>
        <w:t>而是因为它们全面地指末世的“神的以色列”——即教会——并且因为蒙拣选的犹太人是那教会的一部分；这是因为他们是那以一位牧人为元首的一个羊群的一部分 (约 10:16, 加 6:16)。</w:t>
      </w:r>
    </w:p>
    <w:p w14:paraId="19995E90">
      <w:pPr>
        <w:pStyle w:val="9"/>
        <w:spacing w:before="13" w:line="249" w:lineRule="auto"/>
        <w:ind w:right="98" w:firstLine="450"/>
        <w:rPr>
          <w:rFonts w:hint="eastAsia"/>
          <w:color w:val="231F20"/>
        </w:rPr>
      </w:pPr>
    </w:p>
    <w:p w14:paraId="4C94E49C">
      <w:pPr>
        <w:pStyle w:val="9"/>
        <w:spacing w:before="13" w:line="249" w:lineRule="auto"/>
        <w:ind w:right="98" w:firstLine="450"/>
        <w:rPr>
          <w:rFonts w:hint="eastAsia"/>
          <w:color w:val="231F20"/>
        </w:rPr>
      </w:pPr>
      <w:r>
        <w:rPr>
          <w:rFonts w:hint="eastAsia"/>
          <w:color w:val="231F20"/>
        </w:rPr>
        <w:t>Therefore, I would concur with these comments found in the Reformation Study Bible:</w:t>
      </w:r>
    </w:p>
    <w:p w14:paraId="19760C71">
      <w:pPr>
        <w:pStyle w:val="9"/>
        <w:spacing w:before="13" w:line="249" w:lineRule="auto"/>
        <w:ind w:right="98" w:firstLine="450"/>
        <w:rPr>
          <w:rFonts w:hint="eastAsia"/>
          <w:color w:val="231F20"/>
        </w:rPr>
      </w:pPr>
      <w:r>
        <w:rPr>
          <w:rFonts w:hint="eastAsia"/>
          <w:color w:val="231F20"/>
        </w:rPr>
        <w:t>因此，我同意《宗教改革研读本圣经》中的这些评论：</w:t>
      </w:r>
    </w:p>
    <w:p w14:paraId="7F6764FB">
      <w:pPr>
        <w:pStyle w:val="9"/>
        <w:spacing w:before="13" w:line="249" w:lineRule="auto"/>
        <w:ind w:right="98" w:firstLine="450"/>
        <w:rPr>
          <w:rFonts w:hint="eastAsia"/>
          <w:color w:val="231F20"/>
        </w:rPr>
      </w:pPr>
    </w:p>
    <w:p w14:paraId="492984AD">
      <w:pPr>
        <w:pStyle w:val="9"/>
        <w:spacing w:before="13" w:line="249" w:lineRule="auto"/>
        <w:ind w:right="98" w:firstLine="450"/>
        <w:rPr>
          <w:rFonts w:hint="eastAsia"/>
          <w:color w:val="231F20"/>
        </w:rPr>
      </w:pPr>
      <w:r>
        <w:rPr>
          <w:rFonts w:hint="eastAsia"/>
          <w:color w:val="231F20"/>
        </w:rPr>
        <w:t>These verses envision God’s chosen Shepherd who suffers at the hand of God (v. 7).</w:t>
      </w:r>
    </w:p>
    <w:p w14:paraId="563F5DB0">
      <w:pPr>
        <w:pStyle w:val="9"/>
        <w:spacing w:before="13" w:line="249" w:lineRule="auto"/>
        <w:ind w:right="98" w:firstLine="450"/>
        <w:rPr>
          <w:rFonts w:hint="eastAsia"/>
          <w:color w:val="231F20"/>
        </w:rPr>
      </w:pPr>
      <w:r>
        <w:rPr>
          <w:rFonts w:hint="eastAsia"/>
          <w:color w:val="231F20"/>
        </w:rPr>
        <w:t>这些经文预见了神所拣选的牧者在神的手下受苦（第7节）。</w:t>
      </w:r>
    </w:p>
    <w:p w14:paraId="536B7C63">
      <w:pPr>
        <w:pStyle w:val="9"/>
        <w:spacing w:before="13" w:line="249" w:lineRule="auto"/>
        <w:ind w:right="98" w:firstLine="450"/>
        <w:rPr>
          <w:rFonts w:hint="eastAsia"/>
          <w:color w:val="231F20"/>
        </w:rPr>
      </w:pPr>
    </w:p>
    <w:p w14:paraId="023F976D">
      <w:pPr>
        <w:pStyle w:val="9"/>
        <w:spacing w:before="13" w:line="249" w:lineRule="auto"/>
        <w:ind w:right="98" w:firstLine="450"/>
        <w:rPr>
          <w:rFonts w:hint="eastAsia"/>
          <w:color w:val="231F20"/>
        </w:rPr>
      </w:pPr>
      <w:r>
        <w:rPr>
          <w:rFonts w:hint="eastAsia"/>
          <w:color w:val="231F20"/>
        </w:rPr>
        <w:t>Out of this judgment emerges the true people of God (v. 9).</w:t>
      </w:r>
    </w:p>
    <w:p w14:paraId="3197A16A">
      <w:pPr>
        <w:pStyle w:val="9"/>
        <w:spacing w:before="13" w:line="249" w:lineRule="auto"/>
        <w:ind w:right="98" w:firstLine="450"/>
        <w:rPr>
          <w:rFonts w:hint="eastAsia"/>
          <w:color w:val="231F20"/>
        </w:rPr>
      </w:pPr>
      <w:r>
        <w:rPr>
          <w:rFonts w:hint="eastAsia"/>
          <w:color w:val="231F20"/>
        </w:rPr>
        <w:t>从这场审判中，出现了神真正的子民（第9节）。</w:t>
      </w:r>
    </w:p>
    <w:p w14:paraId="41EE85EA">
      <w:pPr>
        <w:pStyle w:val="9"/>
        <w:spacing w:before="13" w:line="249" w:lineRule="auto"/>
        <w:ind w:right="98" w:firstLine="450"/>
        <w:rPr>
          <w:rFonts w:hint="eastAsia"/>
          <w:color w:val="231F20"/>
        </w:rPr>
      </w:pPr>
    </w:p>
    <w:p w14:paraId="15F073A1">
      <w:pPr>
        <w:pStyle w:val="9"/>
        <w:spacing w:before="13" w:line="249" w:lineRule="auto"/>
        <w:ind w:right="98" w:firstLine="450"/>
        <w:rPr>
          <w:rFonts w:hint="eastAsia"/>
          <w:color w:val="231F20"/>
        </w:rPr>
      </w:pPr>
      <w:r>
        <w:rPr>
          <w:rFonts w:hint="eastAsia"/>
          <w:color w:val="231F20"/>
        </w:rPr>
        <w:t>No clearer picture of Jesus and his suffering Church is given in the Old Testament.6</w:t>
      </w:r>
    </w:p>
    <w:p w14:paraId="528DC630">
      <w:pPr>
        <w:pStyle w:val="9"/>
        <w:spacing w:before="13" w:line="249" w:lineRule="auto"/>
        <w:ind w:right="98" w:firstLine="450"/>
        <w:rPr>
          <w:rFonts w:hint="eastAsia"/>
          <w:color w:val="231F20"/>
        </w:rPr>
      </w:pPr>
      <w:r>
        <w:rPr>
          <w:rFonts w:hint="eastAsia"/>
          <w:color w:val="231F20"/>
        </w:rPr>
        <w:t>旧约中没有比这更清晰的关于耶稣和祂受苦教会的图画了。6</w:t>
      </w:r>
    </w:p>
    <w:p w14:paraId="6F5997B6">
      <w:pPr>
        <w:pStyle w:val="9"/>
        <w:spacing w:before="13" w:line="249" w:lineRule="auto"/>
        <w:ind w:right="98" w:firstLine="450"/>
        <w:rPr>
          <w:rFonts w:hint="eastAsia"/>
          <w:color w:val="231F20"/>
        </w:rPr>
      </w:pPr>
    </w:p>
    <w:p w14:paraId="405DDFB3">
      <w:pPr>
        <w:pStyle w:val="9"/>
        <w:spacing w:before="13" w:line="249" w:lineRule="auto"/>
        <w:ind w:right="98" w:firstLine="450"/>
        <w:rPr>
          <w:rFonts w:hint="eastAsia"/>
          <w:color w:val="231F20"/>
        </w:rPr>
      </w:pPr>
      <w:r>
        <w:rPr>
          <w:rFonts w:hint="eastAsia"/>
          <w:color w:val="231F20"/>
        </w:rPr>
        <w:t>The Last Battle (14:1-2)</w:t>
      </w:r>
    </w:p>
    <w:p w14:paraId="33F34C80">
      <w:pPr>
        <w:pStyle w:val="9"/>
        <w:spacing w:before="13" w:line="249" w:lineRule="auto"/>
        <w:ind w:right="98" w:firstLine="450"/>
        <w:rPr>
          <w:rFonts w:hint="eastAsia"/>
          <w:color w:val="231F20"/>
        </w:rPr>
      </w:pPr>
      <w:r>
        <w:rPr>
          <w:rFonts w:hint="eastAsia"/>
          <w:color w:val="231F20"/>
        </w:rPr>
        <w:t>最后的战役 (14:1-2)</w:t>
      </w:r>
    </w:p>
    <w:p w14:paraId="4E519057">
      <w:pPr>
        <w:pStyle w:val="9"/>
        <w:spacing w:before="13" w:line="249" w:lineRule="auto"/>
        <w:ind w:right="98" w:firstLine="450"/>
        <w:rPr>
          <w:rFonts w:hint="eastAsia"/>
          <w:color w:val="231F20"/>
        </w:rPr>
      </w:pPr>
    </w:p>
    <w:p w14:paraId="7F0A2D61">
      <w:pPr>
        <w:pStyle w:val="9"/>
        <w:spacing w:before="13" w:line="249" w:lineRule="auto"/>
        <w:ind w:right="98" w:firstLine="450"/>
        <w:rPr>
          <w:rFonts w:hint="eastAsia"/>
          <w:color w:val="231F20"/>
        </w:rPr>
      </w:pPr>
      <w:r>
        <w:rPr>
          <w:rFonts w:hint="eastAsia"/>
          <w:color w:val="231F20"/>
        </w:rPr>
        <w:t>Like the prophecies of Daniel and Ezekiel, Zechariah’s oracle has eschatological momentum: It is ever moving towards the grand finale of Salvation History.</w:t>
      </w:r>
    </w:p>
    <w:p w14:paraId="4D88E3AC">
      <w:pPr>
        <w:pStyle w:val="9"/>
        <w:spacing w:before="13" w:line="249" w:lineRule="auto"/>
        <w:ind w:right="98" w:firstLine="450"/>
        <w:rPr>
          <w:rFonts w:hint="eastAsia"/>
          <w:color w:val="231F20"/>
        </w:rPr>
      </w:pPr>
      <w:r>
        <w:rPr>
          <w:rFonts w:hint="eastAsia"/>
          <w:color w:val="231F20"/>
        </w:rPr>
        <w:t>像但以理书和以西结书的预言一样，撒迦利亚的神谕具有末世论的动力：它总是朝着救赎历史的宏伟结局移动。</w:t>
      </w:r>
    </w:p>
    <w:p w14:paraId="2454BABC">
      <w:pPr>
        <w:pStyle w:val="9"/>
        <w:spacing w:before="13" w:line="249" w:lineRule="auto"/>
        <w:ind w:right="98" w:firstLine="450"/>
        <w:rPr>
          <w:rFonts w:hint="eastAsia"/>
          <w:color w:val="231F20"/>
        </w:rPr>
      </w:pPr>
    </w:p>
    <w:p w14:paraId="13519B1A">
      <w:pPr>
        <w:pStyle w:val="9"/>
        <w:spacing w:before="13" w:line="249" w:lineRule="auto"/>
        <w:ind w:right="98" w:firstLine="450"/>
        <w:rPr>
          <w:rFonts w:hint="eastAsia"/>
          <w:color w:val="231F20"/>
        </w:rPr>
      </w:pPr>
      <w:r>
        <w:rPr>
          <w:rFonts w:hint="eastAsia"/>
          <w:color w:val="231F20"/>
        </w:rPr>
        <w:t>Here in chapter 14, which brings both the oracle and the book to a close, Zechariah reaches his goal: a colorful mosaic of five prophetic snapshots, all dealing with the majestic events of the Consummation and with the life of the World to Come.</w:t>
      </w:r>
    </w:p>
    <w:p w14:paraId="3C594C6C">
      <w:pPr>
        <w:pStyle w:val="9"/>
        <w:spacing w:before="13" w:line="249" w:lineRule="auto"/>
        <w:ind w:right="98" w:firstLine="450"/>
        <w:rPr>
          <w:rFonts w:hint="eastAsia"/>
          <w:color w:val="231F20"/>
        </w:rPr>
      </w:pPr>
      <w:r>
        <w:rPr>
          <w:rFonts w:hint="eastAsia"/>
          <w:color w:val="231F20"/>
        </w:rPr>
        <w:t>在第14章，它既结束了神谕，也结束了整本书，撒迦利亚达到了他的目标：一个由五个预言性快照组成的色彩斑斓的马赛克，全都涉及最终成全的威严事件以及未来世界的生活。</w:t>
      </w:r>
    </w:p>
    <w:p w14:paraId="21F6F00E">
      <w:pPr>
        <w:pStyle w:val="9"/>
        <w:spacing w:before="13" w:line="249" w:lineRule="auto"/>
        <w:ind w:right="98" w:firstLine="450"/>
        <w:rPr>
          <w:rFonts w:hint="eastAsia"/>
          <w:color w:val="231F20"/>
        </w:rPr>
      </w:pPr>
    </w:p>
    <w:p w14:paraId="216FD480">
      <w:pPr>
        <w:pStyle w:val="9"/>
        <w:spacing w:before="13" w:line="249" w:lineRule="auto"/>
        <w:ind w:right="98" w:firstLine="450"/>
        <w:rPr>
          <w:rFonts w:hint="eastAsia"/>
          <w:color w:val="231F20"/>
        </w:rPr>
      </w:pPr>
      <w:r>
        <w:rPr>
          <w:rFonts w:hint="eastAsia"/>
          <w:color w:val="231F20"/>
        </w:rPr>
        <w:t>Having already addressed many of these prophecies in earlier portions of this book, my comments here will be somewhat briefer.</w:t>
      </w:r>
    </w:p>
    <w:p w14:paraId="470095CD">
      <w:pPr>
        <w:pStyle w:val="9"/>
        <w:spacing w:before="13" w:line="249" w:lineRule="auto"/>
        <w:ind w:right="98" w:firstLine="450"/>
        <w:rPr>
          <w:rFonts w:hint="eastAsia"/>
          <w:color w:val="231F20"/>
        </w:rPr>
      </w:pPr>
      <w:r>
        <w:rPr>
          <w:rFonts w:hint="eastAsia"/>
          <w:color w:val="231F20"/>
        </w:rPr>
        <w:t>由于在本书的前面部分已经讨论过许多这些预言，我在这里的评论会稍作简略。</w:t>
      </w:r>
    </w:p>
    <w:p w14:paraId="10E7C2D9">
      <w:pPr>
        <w:pStyle w:val="9"/>
        <w:spacing w:before="13" w:line="249" w:lineRule="auto"/>
        <w:ind w:right="98" w:firstLine="450"/>
        <w:rPr>
          <w:rFonts w:hint="eastAsia"/>
          <w:color w:val="231F20"/>
        </w:rPr>
      </w:pPr>
    </w:p>
    <w:p w14:paraId="6ED3C29A">
      <w:pPr>
        <w:pStyle w:val="9"/>
        <w:spacing w:before="13" w:line="249" w:lineRule="auto"/>
        <w:ind w:right="98" w:firstLine="450"/>
        <w:rPr>
          <w:rFonts w:hint="eastAsia"/>
          <w:color w:val="231F20"/>
        </w:rPr>
      </w:pPr>
      <w:r>
        <w:rPr>
          <w:rFonts w:hint="eastAsia"/>
          <w:color w:val="231F20"/>
        </w:rPr>
        <w:t>I have entitled the first snapshot The Last Battle (14:1-2).</w:t>
      </w:r>
    </w:p>
    <w:p w14:paraId="22037B32">
      <w:pPr>
        <w:pStyle w:val="9"/>
        <w:spacing w:before="13" w:line="249" w:lineRule="auto"/>
        <w:ind w:right="98" w:firstLine="450"/>
        <w:rPr>
          <w:rFonts w:hint="eastAsia"/>
          <w:color w:val="231F20"/>
        </w:rPr>
      </w:pPr>
      <w:r>
        <w:rPr>
          <w:rFonts w:hint="eastAsia"/>
          <w:color w:val="231F20"/>
        </w:rPr>
        <w:t>我给第一个快照取名为“最后的战役”(14:1-2)。</w:t>
      </w:r>
    </w:p>
    <w:p w14:paraId="3F45DED5">
      <w:pPr>
        <w:pStyle w:val="9"/>
        <w:spacing w:before="13" w:line="249" w:lineRule="auto"/>
        <w:ind w:right="98" w:firstLine="450"/>
        <w:rPr>
          <w:rFonts w:hint="eastAsia"/>
          <w:color w:val="231F20"/>
        </w:rPr>
      </w:pPr>
    </w:p>
    <w:p w14:paraId="69D47342">
      <w:pPr>
        <w:pStyle w:val="9"/>
        <w:spacing w:before="13" w:line="249" w:lineRule="auto"/>
        <w:ind w:right="98" w:firstLine="450"/>
        <w:rPr>
          <w:rFonts w:hint="eastAsia"/>
          <w:color w:val="231F20"/>
        </w:rPr>
      </w:pPr>
      <w:r>
        <w:rPr>
          <w:rFonts w:hint="eastAsia"/>
          <w:color w:val="231F20"/>
        </w:rPr>
        <w:t>Here Zechariah picks up a theme first mentioned in 12:1-9, bringing it to its logical conclusion: The age-long warfare between the Church and the World will culminate in a final, decisive clash between the two.</w:t>
      </w:r>
    </w:p>
    <w:p w14:paraId="249F9E21">
      <w:pPr>
        <w:pStyle w:val="9"/>
        <w:spacing w:before="13" w:line="249" w:lineRule="auto"/>
        <w:ind w:right="98" w:firstLine="450"/>
        <w:rPr>
          <w:rFonts w:hint="eastAsia"/>
          <w:color w:val="231F20"/>
        </w:rPr>
      </w:pPr>
      <w:r>
        <w:rPr>
          <w:rFonts w:hint="eastAsia"/>
          <w:color w:val="231F20"/>
        </w:rPr>
        <w:t>在这里，撒迦利亚拾起了12:1-9中首次提到的主题，并将其推向逻辑的结论：教会与世界之间长达世代的战争将在两者之间的一场最终、决定性的冲突中达到高潮。</w:t>
      </w:r>
    </w:p>
    <w:p w14:paraId="47EA495E">
      <w:pPr>
        <w:pStyle w:val="9"/>
        <w:spacing w:before="13" w:line="249" w:lineRule="auto"/>
        <w:ind w:right="98" w:firstLine="450"/>
        <w:rPr>
          <w:rFonts w:hint="eastAsia"/>
          <w:color w:val="231F20"/>
        </w:rPr>
      </w:pPr>
    </w:p>
    <w:p w14:paraId="4D6B39DB">
      <w:pPr>
        <w:pStyle w:val="9"/>
        <w:spacing w:before="13" w:line="249" w:lineRule="auto"/>
        <w:ind w:right="98" w:firstLine="450"/>
        <w:rPr>
          <w:rFonts w:hint="eastAsia"/>
          <w:color w:val="231F20"/>
        </w:rPr>
      </w:pPr>
      <w:r>
        <w:rPr>
          <w:rFonts w:hint="eastAsia"/>
          <w:color w:val="231F20"/>
        </w:rPr>
        <w:t>As ever, this revelation of the Last Battle is instructive, forthright, and sobering, but also laden with comfort.</w:t>
      </w:r>
    </w:p>
    <w:p w14:paraId="6C6EFFD3">
      <w:pPr>
        <w:pStyle w:val="9"/>
        <w:spacing w:before="13" w:line="249" w:lineRule="auto"/>
        <w:ind w:right="98" w:firstLine="450"/>
        <w:rPr>
          <w:rFonts w:hint="eastAsia"/>
          <w:color w:val="231F20"/>
        </w:rPr>
      </w:pPr>
      <w:r>
        <w:rPr>
          <w:rFonts w:hint="eastAsia"/>
          <w:color w:val="231F20"/>
        </w:rPr>
        <w:t>一如既往，对最后战役的这个启示是富有教益、坦率和发人深省的，但也充满了安慰。</w:t>
      </w:r>
    </w:p>
    <w:p w14:paraId="6A47E361">
      <w:pPr>
        <w:pStyle w:val="9"/>
        <w:spacing w:before="13" w:line="249" w:lineRule="auto"/>
        <w:ind w:right="98" w:firstLine="450"/>
        <w:rPr>
          <w:rFonts w:hint="eastAsia"/>
          <w:color w:val="231F20"/>
        </w:rPr>
      </w:pPr>
    </w:p>
    <w:p w14:paraId="75BE1945">
      <w:pPr>
        <w:pStyle w:val="9"/>
        <w:spacing w:before="13" w:line="249" w:lineRule="auto"/>
        <w:ind w:right="98" w:firstLine="450"/>
        <w:rPr>
          <w:rFonts w:hint="eastAsia"/>
          <w:color w:val="231F20"/>
        </w:rPr>
      </w:pPr>
      <w:r>
        <w:rPr>
          <w:rFonts w:hint="eastAsia"/>
          <w:color w:val="231F20"/>
        </w:rPr>
        <w:t>Indeed, verse 1 sounds the note of final victory at the very outset, a note that resonates throughout the entire chapter: In the end, God will effect a great judicial inversion, such that the manifold “goods” maliciously taken from his people—their work, their property, their health, their honor, their right to public worship, their very lives—will be restored to them once and for all (Mt. 10:29-30, Luke 6:20-26, Heb. 10:34).</w:t>
      </w:r>
    </w:p>
    <w:p w14:paraId="51E4A46E">
      <w:pPr>
        <w:pStyle w:val="9"/>
        <w:spacing w:before="13" w:line="249" w:lineRule="auto"/>
        <w:ind w:right="98" w:firstLine="450"/>
        <w:rPr>
          <w:rFonts w:hint="eastAsia"/>
          <w:color w:val="231F20"/>
        </w:rPr>
      </w:pPr>
      <w:r>
        <w:rPr>
          <w:rFonts w:hint="eastAsia"/>
          <w:color w:val="231F20"/>
        </w:rPr>
        <w:t>的确，第1节从一开始就奏响了最后胜利的音符，这个音符在整章中回响：最终，神将实现一次伟大的司法逆转，以至于从祂子民那里恶意夺走的种种“财物”——他们的工作、他们的财产、他们的健康、他们的荣誉、他们公开敬拜的权利、他们自己的生命——都将一劳永逸地归还给他们 (太 10:29-30, 路 6:20-26, 来 10:34)。</w:t>
      </w:r>
    </w:p>
    <w:p w14:paraId="6E5F3EB6">
      <w:pPr>
        <w:pStyle w:val="9"/>
        <w:spacing w:before="13" w:line="249" w:lineRule="auto"/>
        <w:ind w:right="98" w:firstLine="450"/>
        <w:rPr>
          <w:rFonts w:hint="eastAsia"/>
          <w:color w:val="231F20"/>
        </w:rPr>
      </w:pPr>
    </w:p>
    <w:p w14:paraId="6835373D">
      <w:pPr>
        <w:pStyle w:val="9"/>
        <w:spacing w:before="13" w:line="249" w:lineRule="auto"/>
        <w:ind w:right="98" w:firstLine="450"/>
        <w:rPr>
          <w:rFonts w:hint="eastAsia"/>
          <w:color w:val="231F20"/>
        </w:rPr>
      </w:pPr>
      <w:r>
        <w:rPr>
          <w:rFonts w:hint="eastAsia"/>
          <w:color w:val="231F20"/>
        </w:rPr>
        <w:t>Like Israel’s heroes of old, Christ will plunder the plunderers, and will cause the meek who trust in him to inherit the land (Gen. 14:1ff, 1 Sam. 30:1f, Psalm 37:9, 11, Mt. 5:5).</w:t>
      </w:r>
    </w:p>
    <w:p w14:paraId="7E05C0BB">
      <w:pPr>
        <w:pStyle w:val="9"/>
        <w:spacing w:before="13" w:line="249" w:lineRule="auto"/>
        <w:ind w:right="98" w:firstLine="450"/>
        <w:rPr>
          <w:rFonts w:hint="eastAsia"/>
          <w:color w:val="231F20"/>
        </w:rPr>
      </w:pPr>
      <w:r>
        <w:rPr>
          <w:rFonts w:hint="eastAsia"/>
          <w:color w:val="231F20"/>
        </w:rPr>
        <w:t>像以色列古时的英雄一样，基督将掳掠那掳掠人的，并使信靠祂的温柔人承受地土 (创 14:1及后, 撒上 30:1及后, 诗 37:9, 11, 太 5:5)。</w:t>
      </w:r>
    </w:p>
    <w:p w14:paraId="6F770EE2">
      <w:pPr>
        <w:pStyle w:val="9"/>
        <w:spacing w:before="13" w:line="249" w:lineRule="auto"/>
        <w:ind w:right="98" w:firstLine="450"/>
        <w:rPr>
          <w:rFonts w:hint="eastAsia"/>
          <w:color w:val="231F20"/>
        </w:rPr>
      </w:pPr>
    </w:p>
    <w:p w14:paraId="4369CB97">
      <w:pPr>
        <w:pStyle w:val="9"/>
        <w:spacing w:before="13" w:line="249" w:lineRule="auto"/>
        <w:ind w:right="98" w:firstLine="450"/>
        <w:rPr>
          <w:rFonts w:hint="eastAsia"/>
          <w:color w:val="231F20"/>
        </w:rPr>
      </w:pPr>
      <w:r>
        <w:rPr>
          <w:rFonts w:hint="eastAsia"/>
          <w:color w:val="231F20"/>
        </w:rPr>
        <w:t>Verse 2 gives us the Last Battle itself.</w:t>
      </w:r>
    </w:p>
    <w:p w14:paraId="592E595A">
      <w:pPr>
        <w:pStyle w:val="9"/>
        <w:spacing w:before="13" w:line="249" w:lineRule="auto"/>
        <w:ind w:right="98" w:firstLine="450"/>
        <w:rPr>
          <w:rFonts w:hint="eastAsia"/>
          <w:color w:val="231F20"/>
        </w:rPr>
      </w:pPr>
      <w:r>
        <w:rPr>
          <w:rFonts w:hint="eastAsia"/>
          <w:color w:val="231F20"/>
        </w:rPr>
        <w:t>第2节给了我们最后的战役本身。</w:t>
      </w:r>
    </w:p>
    <w:p w14:paraId="07281EA1">
      <w:pPr>
        <w:pStyle w:val="9"/>
        <w:spacing w:before="13" w:line="249" w:lineRule="auto"/>
        <w:ind w:right="98" w:firstLine="450"/>
        <w:rPr>
          <w:rFonts w:hint="eastAsia"/>
          <w:color w:val="231F20"/>
        </w:rPr>
      </w:pPr>
    </w:p>
    <w:p w14:paraId="5E9B7FBB">
      <w:pPr>
        <w:pStyle w:val="9"/>
        <w:spacing w:before="13" w:line="249" w:lineRule="auto"/>
        <w:ind w:right="98" w:firstLine="450"/>
        <w:rPr>
          <w:rFonts w:hint="eastAsia"/>
          <w:color w:val="231F20"/>
        </w:rPr>
      </w:pPr>
      <w:r>
        <w:rPr>
          <w:rFonts w:hint="eastAsia"/>
          <w:color w:val="231F20"/>
        </w:rPr>
        <w:t>As elsewhere, so here: The Spirit uses images drawn from Israel’s long history of attack by hostile nations to picture the final assault of a consolidated world-system against the visible Church (Psalm 48, Ezek. 38-39; Rev. 20:9).</w:t>
      </w:r>
    </w:p>
    <w:p w14:paraId="0BE16FF1">
      <w:pPr>
        <w:pStyle w:val="9"/>
        <w:spacing w:before="13" w:line="249" w:lineRule="auto"/>
        <w:ind w:right="98" w:firstLine="450"/>
        <w:rPr>
          <w:rFonts w:hint="eastAsia"/>
          <w:color w:val="231F20"/>
        </w:rPr>
      </w:pPr>
      <w:r>
        <w:rPr>
          <w:rFonts w:hint="eastAsia"/>
          <w:color w:val="231F20"/>
        </w:rPr>
        <w:t>如同别处一样，这里也是如此：圣灵使用从以色列悠久的被敌国攻击的历史中提取的意象，来描绘一个统一的世界体系对可见教会的最后攻击 (诗 48, 结 38-39; 启 20:9)。</w:t>
      </w:r>
    </w:p>
    <w:p w14:paraId="73C7A58A">
      <w:pPr>
        <w:pStyle w:val="9"/>
        <w:spacing w:before="13" w:line="249" w:lineRule="auto"/>
        <w:ind w:right="98" w:firstLine="450"/>
        <w:rPr>
          <w:rFonts w:hint="eastAsia"/>
          <w:color w:val="231F20"/>
        </w:rPr>
      </w:pPr>
    </w:p>
    <w:p w14:paraId="50DADAEE">
      <w:pPr>
        <w:pStyle w:val="9"/>
        <w:spacing w:before="13" w:line="249" w:lineRule="auto"/>
        <w:ind w:right="98" w:firstLine="450"/>
        <w:rPr>
          <w:rFonts w:hint="eastAsia"/>
          <w:color w:val="231F20"/>
        </w:rPr>
      </w:pPr>
      <w:r>
        <w:rPr>
          <w:rFonts w:hint="eastAsia"/>
          <w:color w:val="231F20"/>
        </w:rPr>
        <w:t>God himself, through the secret workings of his Providence, will bring it to pass, in part to sanctify the Bride of Christ, in part to move sinners to repentance (13:9, Ezek. 38:4, Eph. 5:27, 2 Thess. 1:3f, 2:3, Rev. 13:5-10).</w:t>
      </w:r>
    </w:p>
    <w:p w14:paraId="7FFB6EED">
      <w:pPr>
        <w:pStyle w:val="9"/>
        <w:spacing w:before="13" w:line="249" w:lineRule="auto"/>
        <w:ind w:right="98" w:firstLine="450"/>
        <w:rPr>
          <w:rFonts w:hint="eastAsia"/>
          <w:color w:val="231F20"/>
        </w:rPr>
      </w:pPr>
      <w:r>
        <w:rPr>
          <w:rFonts w:hint="eastAsia"/>
          <w:color w:val="231F20"/>
        </w:rPr>
        <w:t>神自己，通过祂护理的秘密运作，将使之发生，部分是为了使基督的新妇成圣，部分是为了感动罪人悔改 (13:9, 结 38:4, 弗 5:27, 帖后 1:3及后, 2:3, 启 13:5-10)。</w:t>
      </w:r>
    </w:p>
    <w:p w14:paraId="661895F9">
      <w:pPr>
        <w:pStyle w:val="9"/>
        <w:spacing w:before="13" w:line="249" w:lineRule="auto"/>
        <w:ind w:right="98" w:firstLine="450"/>
        <w:rPr>
          <w:rFonts w:hint="eastAsia"/>
          <w:color w:val="231F20"/>
        </w:rPr>
      </w:pPr>
    </w:p>
    <w:p w14:paraId="648C878D">
      <w:pPr>
        <w:pStyle w:val="9"/>
        <w:spacing w:before="13" w:line="249" w:lineRule="auto"/>
        <w:ind w:right="98" w:firstLine="450"/>
        <w:rPr>
          <w:rFonts w:hint="eastAsia"/>
          <w:color w:val="231F20"/>
        </w:rPr>
      </w:pPr>
      <w:r>
        <w:rPr>
          <w:rFonts w:hint="eastAsia"/>
          <w:color w:val="231F20"/>
        </w:rPr>
        <w:t>Since, according to 1 Cor. 15:46, the “natural” (i.e., physical) events and institutions of OT history were meant to picture spiritual NT realities, we cannot assume that the specific forms of suffering mentioned here will literally come to pass.</w:t>
      </w:r>
    </w:p>
    <w:p w14:paraId="75B63148">
      <w:pPr>
        <w:pStyle w:val="9"/>
        <w:spacing w:before="13" w:line="249" w:lineRule="auto"/>
        <w:ind w:right="98" w:firstLine="450"/>
        <w:rPr>
          <w:rFonts w:hint="eastAsia"/>
          <w:color w:val="231F20"/>
        </w:rPr>
      </w:pPr>
      <w:r>
        <w:rPr>
          <w:rFonts w:hint="eastAsia"/>
          <w:color w:val="231F20"/>
        </w:rPr>
        <w:t>既然，根据哥林多前书15:46，旧约历史中“属血气的”（即物质的）事件和制度意在描绘属灵的新约现实，我们就不能假设这里提到的具体苦难形式会按字面意思发生。</w:t>
      </w:r>
    </w:p>
    <w:p w14:paraId="2F1DE87E">
      <w:pPr>
        <w:pStyle w:val="9"/>
        <w:spacing w:before="13" w:line="249" w:lineRule="auto"/>
        <w:ind w:right="98" w:firstLine="450"/>
        <w:rPr>
          <w:rFonts w:hint="eastAsia"/>
          <w:color w:val="231F20"/>
        </w:rPr>
      </w:pPr>
    </w:p>
    <w:p w14:paraId="44B3532D">
      <w:pPr>
        <w:pStyle w:val="9"/>
        <w:spacing w:before="13" w:line="249" w:lineRule="auto"/>
        <w:ind w:right="98" w:firstLine="450"/>
        <w:rPr>
          <w:rFonts w:hint="eastAsia"/>
          <w:color w:val="231F20"/>
        </w:rPr>
      </w:pPr>
      <w:r>
        <w:rPr>
          <w:rFonts w:hint="eastAsia"/>
          <w:color w:val="231F20"/>
        </w:rPr>
        <w:t>According to the NCH, the essential message of our text is simply that a Satanically controlled world government will maliciously and effectively suppress—though not completely destroy—the visible Church (2 Thess. 2:1ff, Rev. 13:5-10).</w:t>
      </w:r>
    </w:p>
    <w:p w14:paraId="4A916E63">
      <w:pPr>
        <w:pStyle w:val="9"/>
        <w:spacing w:before="13" w:line="249" w:lineRule="auto"/>
        <w:ind w:right="98" w:firstLine="450"/>
        <w:rPr>
          <w:rFonts w:hint="eastAsia"/>
          <w:color w:val="231F20"/>
        </w:rPr>
      </w:pPr>
      <w:r>
        <w:rPr>
          <w:rFonts w:hint="eastAsia"/>
          <w:color w:val="231F20"/>
        </w:rPr>
        <w:t>根据新约解释学，我们经文的基本信息仅仅是，一个受撒旦控制的世界政府将恶意有效地压制——尽管不是完全摧毁——可见的教会 (帖后 2:1及后, 启 13:5-10)。</w:t>
      </w:r>
    </w:p>
    <w:p w14:paraId="0850CD2D">
      <w:pPr>
        <w:pStyle w:val="9"/>
        <w:spacing w:before="13" w:line="249" w:lineRule="auto"/>
        <w:ind w:right="98" w:firstLine="450"/>
        <w:rPr>
          <w:rFonts w:hint="eastAsia"/>
          <w:color w:val="231F20"/>
        </w:rPr>
      </w:pPr>
    </w:p>
    <w:p w14:paraId="33BC9712">
      <w:pPr>
        <w:pStyle w:val="9"/>
        <w:spacing w:before="13" w:line="249" w:lineRule="auto"/>
        <w:ind w:right="98" w:firstLine="450"/>
        <w:rPr>
          <w:rFonts w:hint="eastAsia"/>
          <w:color w:val="231F20"/>
        </w:rPr>
      </w:pPr>
      <w:r>
        <w:rPr>
          <w:rFonts w:hint="eastAsia"/>
          <w:color w:val="231F20"/>
        </w:rPr>
        <w:t>Nevertheless, Zechariah 14:2, pervasive NT teaching, Church history, and current events themselves all agree in reminding us that God has indeed appointed his children to holy tribulation, and that the purifying fires of the Last Battle will be as intense as any they have ever known (Acts 14:22, 1 Thess. 3:1-5, 2 Tim. 3:12, Heb. 11:35-40, Rev. 11:7- 13).</w:t>
      </w:r>
    </w:p>
    <w:p w14:paraId="51232AEE">
      <w:pPr>
        <w:pStyle w:val="9"/>
        <w:spacing w:before="13" w:line="249" w:lineRule="auto"/>
        <w:ind w:right="98" w:firstLine="450"/>
        <w:rPr>
          <w:rFonts w:hint="eastAsia"/>
          <w:color w:val="231F20"/>
        </w:rPr>
      </w:pPr>
      <w:r>
        <w:rPr>
          <w:rFonts w:hint="eastAsia"/>
          <w:color w:val="231F20"/>
        </w:rPr>
        <w:t>然而，撒迦利亚书14:2，普遍的新约教导，教会历史，以及当前的事件本身，都一致提醒我们，神确实命定了祂的儿女要经历圣洁的患难，并且最后战役的洁净之火将像他们所知道的任何火一样猛烈 (徒 14:22, 帖前 3:1-5, 提后 3:12, 来 11:35-40, 启 11:7-13)。</w:t>
      </w:r>
    </w:p>
    <w:p w14:paraId="566E7FF4">
      <w:pPr>
        <w:pStyle w:val="9"/>
        <w:spacing w:before="13" w:line="249" w:lineRule="auto"/>
        <w:ind w:right="98" w:firstLine="450"/>
        <w:rPr>
          <w:rFonts w:hint="eastAsia"/>
          <w:color w:val="231F20"/>
        </w:rPr>
      </w:pPr>
    </w:p>
    <w:p w14:paraId="24F0C202">
      <w:pPr>
        <w:pStyle w:val="9"/>
        <w:spacing w:before="13" w:line="249" w:lineRule="auto"/>
        <w:ind w:right="98" w:firstLine="450"/>
        <w:rPr>
          <w:rFonts w:hint="eastAsia"/>
          <w:color w:val="231F20"/>
        </w:rPr>
      </w:pPr>
      <w:r>
        <w:rPr>
          <w:rFonts w:hint="eastAsia"/>
          <w:color w:val="231F20"/>
        </w:rPr>
        <w:t>Thankfully, that tribulation will be as brief as it is intense, and will be followed immediately by joy unspeakable and full of glory.</w:t>
      </w:r>
    </w:p>
    <w:p w14:paraId="2C3E53F2">
      <w:pPr>
        <w:pStyle w:val="9"/>
        <w:spacing w:before="13" w:line="249" w:lineRule="auto"/>
        <w:ind w:right="98" w:firstLine="450"/>
        <w:rPr>
          <w:rFonts w:hint="eastAsia"/>
          <w:color w:val="231F20"/>
        </w:rPr>
      </w:pPr>
      <w:r>
        <w:rPr>
          <w:rFonts w:hint="eastAsia"/>
          <w:color w:val="231F20"/>
        </w:rPr>
        <w:t>幸而，那患难虽然猛烈，却也短暂，其后将立即有说不出来、满有荣光的大喜乐。</w:t>
      </w:r>
    </w:p>
    <w:p w14:paraId="3A741B80">
      <w:pPr>
        <w:pStyle w:val="9"/>
        <w:spacing w:before="13" w:line="249" w:lineRule="auto"/>
        <w:ind w:right="98" w:firstLine="450"/>
        <w:rPr>
          <w:rFonts w:hint="eastAsia"/>
          <w:color w:val="231F20"/>
        </w:rPr>
      </w:pPr>
    </w:p>
    <w:p w14:paraId="5BD1DACF">
      <w:pPr>
        <w:pStyle w:val="9"/>
        <w:spacing w:before="13" w:line="249" w:lineRule="auto"/>
        <w:ind w:right="98" w:firstLine="450"/>
        <w:rPr>
          <w:rFonts w:hint="eastAsia"/>
          <w:color w:val="231F20"/>
        </w:rPr>
      </w:pPr>
      <w:r>
        <w:rPr>
          <w:rFonts w:hint="eastAsia"/>
          <w:color w:val="231F20"/>
        </w:rPr>
        <w:t>The Day of the LORD (14:3-5)</w:t>
      </w:r>
    </w:p>
    <w:p w14:paraId="63BB1A77">
      <w:pPr>
        <w:pStyle w:val="9"/>
        <w:spacing w:before="13" w:line="249" w:lineRule="auto"/>
        <w:ind w:right="98" w:firstLine="450"/>
        <w:rPr>
          <w:rFonts w:hint="eastAsia"/>
          <w:color w:val="231F20"/>
        </w:rPr>
      </w:pPr>
      <w:r>
        <w:rPr>
          <w:rFonts w:hint="eastAsia"/>
          <w:color w:val="231F20"/>
        </w:rPr>
        <w:t>主的日子 (14:3-5)</w:t>
      </w:r>
    </w:p>
    <w:p w14:paraId="6056EAB6">
      <w:pPr>
        <w:pStyle w:val="9"/>
        <w:spacing w:before="13" w:line="249" w:lineRule="auto"/>
        <w:ind w:right="98" w:firstLine="450"/>
        <w:rPr>
          <w:rFonts w:hint="eastAsia"/>
          <w:color w:val="231F20"/>
        </w:rPr>
      </w:pPr>
    </w:p>
    <w:p w14:paraId="4929F8C4">
      <w:pPr>
        <w:pStyle w:val="9"/>
        <w:spacing w:before="13" w:line="249" w:lineRule="auto"/>
        <w:ind w:right="98" w:firstLine="450"/>
        <w:rPr>
          <w:rFonts w:hint="eastAsia"/>
          <w:color w:val="231F20"/>
        </w:rPr>
      </w:pPr>
      <w:r>
        <w:rPr>
          <w:rFonts w:hint="eastAsia"/>
          <w:color w:val="231F20"/>
        </w:rPr>
        <w:t>According to the NT, it is Christ himself who will bring the Last Battle to a close at his Parousia, when he arrives in power and glory in the skies above the earth to destroy his enemies and to glorify both his people and their world (Mt. 13:36-43, 24:29-31, 1 Cor. 15:20-28, 2 Thess. 1, 2, 2 Peter 3, Rev. 11:11-19, 14:14-20, 16:17-21, 19:11-21, 20:7-15).</w:t>
      </w:r>
    </w:p>
    <w:p w14:paraId="37BFDC19">
      <w:pPr>
        <w:pStyle w:val="9"/>
        <w:spacing w:before="13" w:line="249" w:lineRule="auto"/>
        <w:ind w:right="98" w:firstLine="450"/>
        <w:rPr>
          <w:rFonts w:hint="eastAsia"/>
          <w:color w:val="231F20"/>
        </w:rPr>
      </w:pPr>
      <w:r>
        <w:rPr>
          <w:rFonts w:hint="eastAsia"/>
          <w:color w:val="231F20"/>
        </w:rPr>
        <w:t>根据新约，正是基督自己在祂的再临时，当祂带着权能和荣耀来到地上的空中，摧毁祂的仇敌，并荣耀祂的子民和他们的世界时，将结束最后的战役 (太 13:36-43, 24:29-31, 林前 15:20-28, 帖后 1, 2, 彼后 3, 启 11:11-19, 14:14-20, 16:17-21, 19:11-21, 20:7-15)。</w:t>
      </w:r>
    </w:p>
    <w:p w14:paraId="6D1A076A">
      <w:pPr>
        <w:pStyle w:val="9"/>
        <w:spacing w:before="13" w:line="249" w:lineRule="auto"/>
        <w:ind w:right="98" w:firstLine="450"/>
        <w:rPr>
          <w:rFonts w:hint="eastAsia"/>
          <w:color w:val="231F20"/>
        </w:rPr>
      </w:pPr>
    </w:p>
    <w:p w14:paraId="38D2563D">
      <w:pPr>
        <w:pStyle w:val="9"/>
        <w:spacing w:before="13" w:line="249" w:lineRule="auto"/>
        <w:ind w:right="98" w:firstLine="450"/>
        <w:rPr>
          <w:rFonts w:hint="eastAsia"/>
          <w:color w:val="231F20"/>
        </w:rPr>
      </w:pPr>
      <w:r>
        <w:rPr>
          <w:rFonts w:hint="eastAsia"/>
          <w:color w:val="231F20"/>
        </w:rPr>
        <w:t>According to the NCH, the snapshot before us is a symbolic picture of that very thing.</w:t>
      </w:r>
    </w:p>
    <w:p w14:paraId="62CB6E19">
      <w:pPr>
        <w:pStyle w:val="9"/>
        <w:spacing w:before="13" w:line="249" w:lineRule="auto"/>
        <w:ind w:right="98" w:firstLine="450"/>
        <w:rPr>
          <w:rFonts w:hint="eastAsia"/>
          <w:color w:val="231F20"/>
        </w:rPr>
      </w:pPr>
      <w:r>
        <w:rPr>
          <w:rFonts w:hint="eastAsia"/>
          <w:color w:val="231F20"/>
        </w:rPr>
        <w:t>根据新约解释学，我们面前的快照正是那件事的象征性图画。</w:t>
      </w:r>
    </w:p>
    <w:p w14:paraId="326101B5">
      <w:pPr>
        <w:pStyle w:val="9"/>
        <w:spacing w:before="13" w:line="249" w:lineRule="auto"/>
        <w:ind w:right="98" w:firstLine="450"/>
        <w:rPr>
          <w:rFonts w:hint="eastAsia"/>
          <w:color w:val="231F20"/>
        </w:rPr>
      </w:pPr>
    </w:p>
    <w:p w14:paraId="19C0B5A0">
      <w:pPr>
        <w:pStyle w:val="9"/>
        <w:spacing w:before="13" w:line="249" w:lineRule="auto"/>
        <w:ind w:right="98" w:firstLine="450"/>
        <w:rPr>
          <w:rFonts w:hint="eastAsia"/>
          <w:color w:val="231F20"/>
        </w:rPr>
      </w:pPr>
      <w:r>
        <w:rPr>
          <w:rFonts w:hint="eastAsia"/>
          <w:color w:val="231F20"/>
        </w:rPr>
        <w:t>Let us see if our text—and its context—justifies this important conclusion.</w:t>
      </w:r>
    </w:p>
    <w:p w14:paraId="1A41458C">
      <w:pPr>
        <w:pStyle w:val="9"/>
        <w:spacing w:before="13" w:line="249" w:lineRule="auto"/>
        <w:ind w:right="98" w:firstLine="450"/>
        <w:rPr>
          <w:rFonts w:hint="eastAsia"/>
          <w:color w:val="231F20"/>
        </w:rPr>
      </w:pPr>
      <w:r>
        <w:rPr>
          <w:rFonts w:hint="eastAsia"/>
          <w:color w:val="231F20"/>
        </w:rPr>
        <w:t>让我们看看我们的经文——以及其上下文——是否证实了这个重要的结论。</w:t>
      </w:r>
    </w:p>
    <w:p w14:paraId="7133286A">
      <w:pPr>
        <w:pStyle w:val="9"/>
        <w:spacing w:before="13" w:line="249" w:lineRule="auto"/>
        <w:ind w:right="98" w:firstLine="450"/>
        <w:rPr>
          <w:rFonts w:hint="eastAsia"/>
          <w:color w:val="231F20"/>
        </w:rPr>
      </w:pPr>
    </w:p>
    <w:p w14:paraId="67A8B2D8">
      <w:pPr>
        <w:pStyle w:val="9"/>
        <w:spacing w:before="13" w:line="249" w:lineRule="auto"/>
        <w:ind w:right="98" w:firstLine="450"/>
        <w:rPr>
          <w:rFonts w:hint="eastAsia"/>
          <w:color w:val="231F20"/>
        </w:rPr>
      </w:pPr>
      <w:r>
        <w:rPr>
          <w:rFonts w:hint="eastAsia"/>
          <w:color w:val="231F20"/>
        </w:rPr>
        <w:t>Verse 3 tells us that at the time of “Jerusalem’s” eschatological agony, the LORD himself will go forth and fight against her foes, even as he did on many previous occasions in Israel’s history (Exodus 14:1ff, 15:1-18, Isaiah 36-37, Rev. 15:2-3).</w:t>
      </w:r>
    </w:p>
    <w:p w14:paraId="22E241DD">
      <w:pPr>
        <w:pStyle w:val="9"/>
        <w:spacing w:before="13" w:line="249" w:lineRule="auto"/>
        <w:ind w:right="98" w:firstLine="450"/>
        <w:rPr>
          <w:rFonts w:hint="eastAsia"/>
          <w:color w:val="231F20"/>
        </w:rPr>
      </w:pPr>
      <w:r>
        <w:rPr>
          <w:rFonts w:hint="eastAsia"/>
          <w:color w:val="231F20"/>
        </w:rPr>
        <w:t>第3节告诉我们，在“耶路撒冷”末世苦难的时候，主自己将出去，与她的仇敌争战，正如祂在以色列历史中许多先前的场合所做的那样 (出 14:1及后, 15:1-18, 赛 36-37, 启 15:2-3)。</w:t>
      </w:r>
    </w:p>
    <w:p w14:paraId="70C70133">
      <w:pPr>
        <w:pStyle w:val="9"/>
        <w:spacing w:before="13" w:line="249" w:lineRule="auto"/>
        <w:ind w:right="98" w:firstLine="450"/>
        <w:rPr>
          <w:rFonts w:hint="eastAsia"/>
          <w:color w:val="231F20"/>
        </w:rPr>
      </w:pPr>
    </w:p>
    <w:p w14:paraId="30BC297A">
      <w:pPr>
        <w:pStyle w:val="9"/>
        <w:spacing w:before="13" w:line="249" w:lineRule="auto"/>
        <w:ind w:right="98" w:firstLine="450"/>
        <w:rPr>
          <w:rFonts w:hint="eastAsia"/>
          <w:color w:val="231F20"/>
        </w:rPr>
      </w:pPr>
      <w:r>
        <w:rPr>
          <w:rFonts w:hint="eastAsia"/>
          <w:color w:val="231F20"/>
        </w:rPr>
        <w:t>This will be the last of them, the great and notable Day of the LORD.</w:t>
      </w:r>
    </w:p>
    <w:p w14:paraId="509F9B21">
      <w:pPr>
        <w:pStyle w:val="9"/>
        <w:spacing w:before="13" w:line="249" w:lineRule="auto"/>
        <w:ind w:right="98" w:firstLine="450"/>
        <w:rPr>
          <w:rFonts w:hint="eastAsia"/>
          <w:color w:val="231F20"/>
        </w:rPr>
      </w:pPr>
      <w:r>
        <w:rPr>
          <w:rFonts w:hint="eastAsia"/>
          <w:color w:val="231F20"/>
        </w:rPr>
        <w:t>这将是它们的最后一次，是主伟大而显赫的日子。</w:t>
      </w:r>
    </w:p>
    <w:p w14:paraId="62CC9413">
      <w:pPr>
        <w:pStyle w:val="9"/>
        <w:spacing w:before="13" w:line="249" w:lineRule="auto"/>
        <w:ind w:right="98" w:firstLine="450"/>
        <w:rPr>
          <w:rFonts w:hint="eastAsia"/>
          <w:color w:val="231F20"/>
        </w:rPr>
      </w:pPr>
    </w:p>
    <w:p w14:paraId="78A8B272">
      <w:pPr>
        <w:pStyle w:val="9"/>
        <w:spacing w:before="13" w:line="249" w:lineRule="auto"/>
        <w:ind w:right="98" w:firstLine="450"/>
        <w:rPr>
          <w:rFonts w:hint="eastAsia"/>
          <w:color w:val="231F20"/>
        </w:rPr>
      </w:pPr>
      <w:r>
        <w:rPr>
          <w:rFonts w:hint="eastAsia"/>
          <w:color w:val="231F20"/>
        </w:rPr>
        <w:t>However, from the NT we know that the Day of the LORD will in fact be the Day of the Lord Jesus Christ at his Parousia (2 Cor. 1:14, Phil. 2:16, 2 Thess. 2:2, 2 Peter 3:4, 10).</w:t>
      </w:r>
    </w:p>
    <w:p w14:paraId="69B7E9DC">
      <w:pPr>
        <w:pStyle w:val="9"/>
        <w:spacing w:before="13" w:line="249" w:lineRule="auto"/>
        <w:ind w:right="98" w:firstLine="450"/>
        <w:rPr>
          <w:rFonts w:hint="eastAsia"/>
          <w:color w:val="231F20"/>
        </w:rPr>
      </w:pPr>
      <w:r>
        <w:rPr>
          <w:rFonts w:hint="eastAsia"/>
          <w:color w:val="231F20"/>
        </w:rPr>
        <w:t>然而，我们从新约知道，主的日子实际上将是主耶稣基督在祂再临时的日子 (林后 1:14, 腓 2:16, 帖后 2:2, 彼后 3:4, 10)。</w:t>
      </w:r>
    </w:p>
    <w:p w14:paraId="07AEBC4F">
      <w:pPr>
        <w:pStyle w:val="9"/>
        <w:spacing w:before="13" w:line="249" w:lineRule="auto"/>
        <w:ind w:right="98" w:firstLine="450"/>
        <w:rPr>
          <w:rFonts w:hint="eastAsia"/>
          <w:color w:val="231F20"/>
        </w:rPr>
      </w:pPr>
    </w:p>
    <w:p w14:paraId="5645CD3E">
      <w:pPr>
        <w:pStyle w:val="9"/>
        <w:spacing w:before="13" w:line="249" w:lineRule="auto"/>
        <w:ind w:right="98" w:firstLine="450"/>
        <w:rPr>
          <w:rFonts w:hint="eastAsia"/>
          <w:color w:val="231F20"/>
        </w:rPr>
      </w:pPr>
      <w:r>
        <w:rPr>
          <w:rFonts w:hint="eastAsia"/>
          <w:color w:val="231F20"/>
        </w:rPr>
        <w:t>Therefore, this particular snapshot is indeed fulfilled at Christ’s Parousia, and must be interpreted accordingly.</w:t>
      </w:r>
    </w:p>
    <w:p w14:paraId="0100194E">
      <w:pPr>
        <w:pStyle w:val="9"/>
        <w:spacing w:before="13" w:line="249" w:lineRule="auto"/>
        <w:ind w:right="98" w:firstLine="450"/>
        <w:rPr>
          <w:rFonts w:hint="eastAsia"/>
          <w:color w:val="231F20"/>
        </w:rPr>
      </w:pPr>
      <w:r>
        <w:rPr>
          <w:rFonts w:hint="eastAsia"/>
          <w:color w:val="231F20"/>
        </w:rPr>
        <w:t>因此，这个特定的快照确实在基督再临时应验，并且必须据此来解释。</w:t>
      </w:r>
    </w:p>
    <w:p w14:paraId="0E8F5ECB">
      <w:pPr>
        <w:pStyle w:val="9"/>
        <w:spacing w:before="13" w:line="249" w:lineRule="auto"/>
        <w:ind w:right="98" w:firstLine="450"/>
        <w:rPr>
          <w:rFonts w:hint="eastAsia"/>
          <w:color w:val="231F20"/>
        </w:rPr>
      </w:pPr>
    </w:p>
    <w:p w14:paraId="4AE9D7F9">
      <w:pPr>
        <w:pStyle w:val="9"/>
        <w:spacing w:before="13" w:line="249" w:lineRule="auto"/>
        <w:ind w:right="98" w:firstLine="450"/>
        <w:rPr>
          <w:rFonts w:hint="eastAsia"/>
          <w:color w:val="231F20"/>
        </w:rPr>
      </w:pPr>
      <w:r>
        <w:rPr>
          <w:rFonts w:hint="eastAsia"/>
          <w:color w:val="231F20"/>
        </w:rPr>
        <w:t>Verse 4 pictures the LORD creating an unexpected way of escape for his people; verse 5 pictures them using it.</w:t>
      </w:r>
    </w:p>
    <w:p w14:paraId="2EAADA89">
      <w:pPr>
        <w:pStyle w:val="9"/>
        <w:spacing w:before="13" w:line="249" w:lineRule="auto"/>
        <w:ind w:right="98" w:firstLine="450"/>
        <w:rPr>
          <w:rFonts w:hint="eastAsia"/>
          <w:color w:val="231F20"/>
        </w:rPr>
      </w:pPr>
      <w:r>
        <w:rPr>
          <w:rFonts w:hint="eastAsia"/>
          <w:color w:val="231F20"/>
        </w:rPr>
        <w:t>第4节描绘了主为祂的子民创造了一条意想不到的逃生之路；第5节描绘了他们使用它。</w:t>
      </w:r>
    </w:p>
    <w:p w14:paraId="032102D8">
      <w:pPr>
        <w:pStyle w:val="9"/>
        <w:spacing w:before="13" w:line="249" w:lineRule="auto"/>
        <w:ind w:right="98" w:firstLine="450"/>
        <w:rPr>
          <w:rFonts w:hint="eastAsia"/>
          <w:color w:val="231F20"/>
        </w:rPr>
      </w:pPr>
    </w:p>
    <w:p w14:paraId="2AA49C5F">
      <w:pPr>
        <w:pStyle w:val="9"/>
        <w:spacing w:before="13" w:line="249" w:lineRule="auto"/>
        <w:ind w:right="98" w:firstLine="450"/>
        <w:rPr>
          <w:rFonts w:hint="eastAsia"/>
          <w:color w:val="231F20"/>
        </w:rPr>
      </w:pPr>
      <w:r>
        <w:rPr>
          <w:rFonts w:hint="eastAsia"/>
          <w:color w:val="231F20"/>
        </w:rPr>
        <w:t>This is God’s way with all his people, both OT and New (1 Cor. 10:13).</w:t>
      </w:r>
    </w:p>
    <w:p w14:paraId="7CD4C4F5">
      <w:pPr>
        <w:pStyle w:val="9"/>
        <w:spacing w:before="13" w:line="249" w:lineRule="auto"/>
        <w:ind w:right="98" w:firstLine="450"/>
        <w:rPr>
          <w:rFonts w:hint="eastAsia"/>
          <w:color w:val="231F20"/>
        </w:rPr>
      </w:pPr>
      <w:r>
        <w:rPr>
          <w:rFonts w:hint="eastAsia"/>
          <w:color w:val="231F20"/>
        </w:rPr>
        <w:t>这是神对待祂所有子民的方式，无论是旧约还是新约的子民 (林前 10:13)。</w:t>
      </w:r>
    </w:p>
    <w:p w14:paraId="042582E1">
      <w:pPr>
        <w:pStyle w:val="9"/>
        <w:spacing w:before="13" w:line="249" w:lineRule="auto"/>
        <w:ind w:right="98" w:firstLine="450"/>
        <w:rPr>
          <w:rFonts w:hint="eastAsia"/>
          <w:color w:val="231F20"/>
        </w:rPr>
      </w:pPr>
    </w:p>
    <w:p w14:paraId="046C3BF4">
      <w:pPr>
        <w:pStyle w:val="9"/>
        <w:spacing w:before="13" w:line="249" w:lineRule="auto"/>
        <w:ind w:right="98" w:firstLine="450"/>
        <w:rPr>
          <w:rFonts w:hint="eastAsia"/>
          <w:color w:val="231F20"/>
        </w:rPr>
      </w:pPr>
      <w:r>
        <w:rPr>
          <w:rFonts w:hint="eastAsia"/>
          <w:color w:val="231F20"/>
        </w:rPr>
        <w:t>Quite intentionally, the imagery used here reminds us of Israel’s miraculous deliverance at the Red Sea (Exodus 14:1ff).</w:t>
      </w:r>
    </w:p>
    <w:p w14:paraId="53D7CFF2">
      <w:pPr>
        <w:pStyle w:val="9"/>
        <w:spacing w:before="13" w:line="249" w:lineRule="auto"/>
        <w:ind w:right="98" w:firstLine="450"/>
        <w:rPr>
          <w:rFonts w:hint="eastAsia"/>
          <w:color w:val="231F20"/>
        </w:rPr>
      </w:pPr>
      <w:r>
        <w:rPr>
          <w:rFonts w:hint="eastAsia"/>
          <w:color w:val="231F20"/>
        </w:rPr>
        <w:t>很明显，这里使用的意象是有意让我们想起以色列在红海的神奇拯救 (出 14:1及后)。</w:t>
      </w:r>
    </w:p>
    <w:p w14:paraId="3581EC4F">
      <w:pPr>
        <w:pStyle w:val="9"/>
        <w:spacing w:before="13" w:line="249" w:lineRule="auto"/>
        <w:ind w:right="98" w:firstLine="450"/>
        <w:rPr>
          <w:rFonts w:hint="eastAsia"/>
          <w:color w:val="231F20"/>
        </w:rPr>
      </w:pPr>
    </w:p>
    <w:p w14:paraId="63CA9A95">
      <w:pPr>
        <w:pStyle w:val="9"/>
        <w:spacing w:before="13" w:line="249" w:lineRule="auto"/>
        <w:ind w:right="98" w:firstLine="450"/>
        <w:rPr>
          <w:rFonts w:hint="eastAsia"/>
          <w:color w:val="231F20"/>
        </w:rPr>
      </w:pPr>
      <w:r>
        <w:rPr>
          <w:rFonts w:hint="eastAsia"/>
          <w:color w:val="231F20"/>
        </w:rPr>
        <w:t>Importantly, verse 4 is not telling us that Christ will literally stand upon the Mount of Olives; or that he will literally split it apart so as to create a literal valley.</w:t>
      </w:r>
    </w:p>
    <w:p w14:paraId="015A84BE">
      <w:pPr>
        <w:pStyle w:val="9"/>
        <w:spacing w:before="13" w:line="249" w:lineRule="auto"/>
        <w:ind w:right="98" w:firstLine="450"/>
        <w:rPr>
          <w:rFonts w:hint="eastAsia"/>
          <w:color w:val="231F20"/>
        </w:rPr>
      </w:pPr>
      <w:r>
        <w:rPr>
          <w:rFonts w:hint="eastAsia"/>
          <w:color w:val="231F20"/>
        </w:rPr>
        <w:t>重要的是，第4节并不是告诉我们基督会按字面意思站在橄榄山上；或者说祂会按字面意思将它劈开，从而创造一个字面上的山谷。</w:t>
      </w:r>
    </w:p>
    <w:p w14:paraId="50DF38DC">
      <w:pPr>
        <w:pStyle w:val="9"/>
        <w:spacing w:before="13" w:line="249" w:lineRule="auto"/>
        <w:ind w:right="98" w:firstLine="450"/>
        <w:rPr>
          <w:rFonts w:hint="eastAsia"/>
          <w:color w:val="231F20"/>
        </w:rPr>
      </w:pPr>
    </w:p>
    <w:p w14:paraId="00147100">
      <w:pPr>
        <w:pStyle w:val="9"/>
        <w:spacing w:before="13" w:line="249" w:lineRule="auto"/>
        <w:ind w:right="98" w:firstLine="450"/>
        <w:rPr>
          <w:rFonts w:hint="eastAsia"/>
          <w:color w:val="231F20"/>
        </w:rPr>
      </w:pPr>
      <w:r>
        <w:rPr>
          <w:rFonts w:hint="eastAsia"/>
          <w:color w:val="231F20"/>
        </w:rPr>
        <w:t>Similarly, verse 5 is not predicting that literal Jews of a physical Jerusalem will flee to the tiny village of Azel.</w:t>
      </w:r>
    </w:p>
    <w:p w14:paraId="61CE66CD">
      <w:pPr>
        <w:pStyle w:val="9"/>
        <w:spacing w:before="13" w:line="249" w:lineRule="auto"/>
        <w:ind w:right="98" w:firstLine="450"/>
        <w:rPr>
          <w:rFonts w:hint="eastAsia"/>
          <w:color w:val="231F20"/>
        </w:rPr>
      </w:pPr>
      <w:r>
        <w:rPr>
          <w:rFonts w:hint="eastAsia"/>
          <w:color w:val="231F20"/>
        </w:rPr>
        <w:t>同样，第5节也不是预言一个物质耶路撒冷的字面犹太人会逃到小村庄亚萨。</w:t>
      </w:r>
    </w:p>
    <w:p w14:paraId="52136BC7">
      <w:pPr>
        <w:pStyle w:val="9"/>
        <w:spacing w:before="13" w:line="249" w:lineRule="auto"/>
        <w:ind w:right="98" w:firstLine="450"/>
        <w:rPr>
          <w:rFonts w:hint="eastAsia"/>
          <w:color w:val="231F20"/>
        </w:rPr>
      </w:pPr>
    </w:p>
    <w:p w14:paraId="5F937385">
      <w:pPr>
        <w:pStyle w:val="9"/>
        <w:spacing w:before="13" w:line="249" w:lineRule="auto"/>
        <w:ind w:right="98" w:firstLine="450"/>
        <w:rPr>
          <w:rFonts w:hint="eastAsia"/>
          <w:color w:val="231F20"/>
        </w:rPr>
      </w:pPr>
      <w:r>
        <w:rPr>
          <w:rFonts w:hint="eastAsia"/>
          <w:color w:val="231F20"/>
        </w:rPr>
        <w:t>Those who take this approach fall into confusion by abandoning the NCH, which teaches us to interpret this prophecy figuratively, in terms of NT truth.7</w:t>
      </w:r>
    </w:p>
    <w:p w14:paraId="43206947">
      <w:pPr>
        <w:pStyle w:val="9"/>
        <w:spacing w:before="13" w:line="249" w:lineRule="auto"/>
        <w:ind w:right="98" w:firstLine="450"/>
        <w:rPr>
          <w:rFonts w:hint="eastAsia"/>
          <w:color w:val="231F20"/>
        </w:rPr>
      </w:pPr>
      <w:r>
        <w:rPr>
          <w:rFonts w:hint="eastAsia"/>
          <w:color w:val="231F20"/>
        </w:rPr>
        <w:t>采纳这种方法的人，因放弃了新约解释学而陷入混乱，新约解释学教导我们要根据新约真理，比喻性地解释这个预言。7</w:t>
      </w:r>
    </w:p>
    <w:p w14:paraId="51CC8687">
      <w:pPr>
        <w:pStyle w:val="9"/>
        <w:spacing w:before="13" w:line="249" w:lineRule="auto"/>
        <w:ind w:right="98" w:firstLine="450"/>
        <w:rPr>
          <w:rFonts w:hint="eastAsia"/>
          <w:color w:val="231F20"/>
        </w:rPr>
      </w:pPr>
    </w:p>
    <w:p w14:paraId="7815C024">
      <w:pPr>
        <w:pStyle w:val="9"/>
        <w:spacing w:before="13" w:line="249" w:lineRule="auto"/>
        <w:ind w:right="98" w:firstLine="450"/>
        <w:rPr>
          <w:rFonts w:hint="eastAsia"/>
          <w:color w:val="231F20"/>
        </w:rPr>
      </w:pPr>
      <w:r>
        <w:rPr>
          <w:rFonts w:hint="eastAsia"/>
          <w:color w:val="231F20"/>
        </w:rPr>
        <w:t>What then is the real message of verses 4-5?</w:t>
      </w:r>
    </w:p>
    <w:p w14:paraId="02EBBDD9">
      <w:pPr>
        <w:pStyle w:val="9"/>
        <w:spacing w:before="13" w:line="249" w:lineRule="auto"/>
        <w:ind w:right="98" w:firstLine="450"/>
        <w:rPr>
          <w:rFonts w:hint="eastAsia"/>
          <w:color w:val="231F20"/>
        </w:rPr>
      </w:pPr>
      <w:r>
        <w:rPr>
          <w:rFonts w:hint="eastAsia"/>
          <w:color w:val="231F20"/>
        </w:rPr>
        <w:t>那么，第4-5节的真正信息是什么？</w:t>
      </w:r>
    </w:p>
    <w:p w14:paraId="20186470">
      <w:pPr>
        <w:pStyle w:val="9"/>
        <w:spacing w:before="13" w:line="249" w:lineRule="auto"/>
        <w:ind w:right="98" w:firstLine="450"/>
        <w:rPr>
          <w:rFonts w:hint="eastAsia"/>
          <w:color w:val="231F20"/>
        </w:rPr>
      </w:pPr>
    </w:p>
    <w:p w14:paraId="239E2F11">
      <w:pPr>
        <w:pStyle w:val="9"/>
        <w:spacing w:before="13" w:line="249" w:lineRule="auto"/>
        <w:ind w:right="98" w:firstLine="450"/>
        <w:rPr>
          <w:rFonts w:hint="eastAsia"/>
          <w:color w:val="231F20"/>
        </w:rPr>
      </w:pPr>
      <w:r>
        <w:rPr>
          <w:rFonts w:hint="eastAsia"/>
          <w:color w:val="231F20"/>
        </w:rPr>
        <w:t>We begin to receive our answer when we remember that a number of OT texts picture the God of judgment treading upon the high places of the earth so as to split valleys and melt mountains beneath his omnipotent feet (Psalm 97:5, Isaiah 64:1-2, Micah 1:3-4, Nahum 1:5).</w:t>
      </w:r>
    </w:p>
    <w:p w14:paraId="05033C72">
      <w:pPr>
        <w:pStyle w:val="9"/>
        <w:spacing w:before="13" w:line="249" w:lineRule="auto"/>
        <w:ind w:right="98" w:firstLine="450"/>
        <w:rPr>
          <w:rFonts w:hint="eastAsia"/>
          <w:color w:val="231F20"/>
        </w:rPr>
      </w:pPr>
      <w:r>
        <w:rPr>
          <w:rFonts w:hint="eastAsia"/>
          <w:color w:val="231F20"/>
        </w:rPr>
        <w:t>当我们记起一些旧约经文描绘审判的神践踏地的高处，以至于山谷在祂全能的脚下裂开，群山熔化时，我们开始得到答案 (诗 97:5, 赛 64:1-2, 弥 1:3-4, 鸿 1:5)。</w:t>
      </w:r>
    </w:p>
    <w:p w14:paraId="1C20E34E">
      <w:pPr>
        <w:pStyle w:val="9"/>
        <w:spacing w:before="13" w:line="249" w:lineRule="auto"/>
        <w:ind w:right="98" w:firstLine="450"/>
        <w:rPr>
          <w:rFonts w:hint="eastAsia"/>
          <w:color w:val="231F20"/>
        </w:rPr>
      </w:pPr>
    </w:p>
    <w:p w14:paraId="03D4D0F9">
      <w:pPr>
        <w:pStyle w:val="9"/>
        <w:spacing w:before="13" w:line="249" w:lineRule="auto"/>
        <w:ind w:right="98" w:firstLine="450"/>
        <w:rPr>
          <w:rFonts w:hint="eastAsia"/>
          <w:color w:val="231F20"/>
        </w:rPr>
      </w:pPr>
      <w:r>
        <w:rPr>
          <w:rFonts w:hint="eastAsia"/>
          <w:color w:val="231F20"/>
        </w:rPr>
        <w:t>Similarly, we remember that in OT times the LORD was faithful not only to rescue his people from coming destruction, but also to provide them with cities—or other places—of refuge, to which they could flee (Gen. 19:20-26, Numbers 35:9f, Joshua 6:1ff, 1 Sam. 24:22).</w:t>
      </w:r>
    </w:p>
    <w:p w14:paraId="2D2596EA">
      <w:pPr>
        <w:pStyle w:val="9"/>
        <w:spacing w:before="13" w:line="249" w:lineRule="auto"/>
        <w:ind w:right="98" w:firstLine="450"/>
        <w:rPr>
          <w:rFonts w:hint="eastAsia"/>
          <w:color w:val="231F20"/>
        </w:rPr>
      </w:pPr>
      <w:r>
        <w:rPr>
          <w:rFonts w:hint="eastAsia"/>
          <w:color w:val="231F20"/>
        </w:rPr>
        <w:t>同样，我们记得在旧约时代，主不仅信实地拯救祂的子民脱离将临的毁灭，也为他们提供逃城——或其他地方——作为避难所，他们可以逃到那里 (创 19:20-26, 民 35:9及后, 书 6:1及后, 撒上 24:22)。</w:t>
      </w:r>
    </w:p>
    <w:p w14:paraId="699B9ACF">
      <w:pPr>
        <w:pStyle w:val="9"/>
        <w:spacing w:before="13" w:line="249" w:lineRule="auto"/>
        <w:ind w:right="98" w:firstLine="450"/>
        <w:rPr>
          <w:rFonts w:hint="eastAsia"/>
          <w:color w:val="231F20"/>
        </w:rPr>
      </w:pPr>
    </w:p>
    <w:p w14:paraId="0BAEA51C">
      <w:pPr>
        <w:pStyle w:val="9"/>
        <w:spacing w:before="13" w:line="249" w:lineRule="auto"/>
        <w:ind w:right="98" w:firstLine="450"/>
        <w:rPr>
          <w:rFonts w:hint="eastAsia"/>
          <w:color w:val="231F20"/>
        </w:rPr>
      </w:pPr>
      <w:r>
        <w:rPr>
          <w:rFonts w:hint="eastAsia"/>
          <w:color w:val="231F20"/>
        </w:rPr>
        <w:t>Bearing all this in mind, we can readily discern the essential character of the promise found in these verses: In the Day of the LORD, when the world itself is about to undergo final destruction, the presence and power of the covenant-keeping God of Israel will descend to the earth and draw near to his beloved, persecuted City.</w:t>
      </w:r>
    </w:p>
    <w:p w14:paraId="1C6EF8D3">
      <w:pPr>
        <w:pStyle w:val="9"/>
        <w:spacing w:before="13" w:line="249" w:lineRule="auto"/>
        <w:ind w:right="98" w:firstLine="450"/>
        <w:rPr>
          <w:rFonts w:hint="eastAsia"/>
          <w:color w:val="231F20"/>
        </w:rPr>
      </w:pPr>
      <w:r>
        <w:rPr>
          <w:rFonts w:hint="eastAsia"/>
          <w:color w:val="231F20"/>
        </w:rPr>
        <w:t>牢记这一切，我们可以轻易地辨别出这些经文中所发现的应许的基本特征：在主的日子，当世界本身将要经历最后的毁灭时，守约的以色列神的同在和能力将降到地上，并靠近祂所爱的、受迫害的城。</w:t>
      </w:r>
    </w:p>
    <w:p w14:paraId="23D4B1FB">
      <w:pPr>
        <w:pStyle w:val="9"/>
        <w:spacing w:before="13" w:line="249" w:lineRule="auto"/>
        <w:ind w:right="98" w:firstLine="450"/>
        <w:rPr>
          <w:rFonts w:hint="eastAsia"/>
          <w:color w:val="231F20"/>
        </w:rPr>
      </w:pPr>
    </w:p>
    <w:p w14:paraId="38DC7888">
      <w:pPr>
        <w:pStyle w:val="9"/>
        <w:spacing w:before="13" w:line="249" w:lineRule="auto"/>
        <w:ind w:right="98" w:firstLine="450"/>
        <w:rPr>
          <w:rFonts w:hint="eastAsia"/>
          <w:color w:val="231F20"/>
        </w:rPr>
      </w:pPr>
      <w:r>
        <w:rPr>
          <w:rFonts w:hint="eastAsia"/>
          <w:color w:val="231F20"/>
        </w:rPr>
        <w:t>Then he will supernaturally open a way for his people to flee eastward towards him (for the LORD likes to come to his children from the East: Isaiah 63:1, Ezek. 43:4, Rev. 7:2), and so find safety in an appointed City of Refuge.</w:t>
      </w:r>
    </w:p>
    <w:p w14:paraId="35843949">
      <w:pPr>
        <w:pStyle w:val="9"/>
        <w:spacing w:before="13" w:line="249" w:lineRule="auto"/>
        <w:ind w:right="98" w:firstLine="450"/>
        <w:rPr>
          <w:rFonts w:hint="eastAsia"/>
          <w:color w:val="231F20"/>
        </w:rPr>
      </w:pPr>
      <w:r>
        <w:rPr>
          <w:rFonts w:hint="eastAsia"/>
          <w:color w:val="231F20"/>
        </w:rPr>
        <w:t>然后祂将超自然地为祂的子民开辟一条向东逃向祂的道路（因为主喜欢从东方来到祂的儿女这里：赛 63:1, 结 43:4, 启 7:2），从而在指定的逃城中找到安全。</w:t>
      </w:r>
    </w:p>
    <w:p w14:paraId="022CE277">
      <w:pPr>
        <w:pStyle w:val="9"/>
        <w:spacing w:before="13" w:line="249" w:lineRule="auto"/>
        <w:ind w:right="98" w:firstLine="450"/>
        <w:rPr>
          <w:rFonts w:hint="eastAsia"/>
          <w:color w:val="231F20"/>
        </w:rPr>
      </w:pPr>
    </w:p>
    <w:p w14:paraId="3FD3B87D">
      <w:pPr>
        <w:pStyle w:val="9"/>
        <w:spacing w:before="13" w:line="249" w:lineRule="auto"/>
        <w:ind w:right="98" w:firstLine="450"/>
        <w:rPr>
          <w:rFonts w:hint="eastAsia"/>
          <w:color w:val="231F20"/>
        </w:rPr>
      </w:pPr>
      <w:r>
        <w:rPr>
          <w:rFonts w:hint="eastAsia"/>
          <w:color w:val="231F20"/>
        </w:rPr>
        <w:t>When the last of his redeemed children have entered that City, the LORD himself will come, with all his holy ones, executing final judgment upon all of his and Israel’s enemies.</w:t>
      </w:r>
    </w:p>
    <w:p w14:paraId="1262C168">
      <w:pPr>
        <w:pStyle w:val="9"/>
        <w:spacing w:before="13" w:line="249" w:lineRule="auto"/>
        <w:ind w:right="98" w:firstLine="450"/>
        <w:rPr>
          <w:rFonts w:hint="eastAsia"/>
          <w:color w:val="231F20"/>
        </w:rPr>
      </w:pPr>
      <w:r>
        <w:rPr>
          <w:rFonts w:hint="eastAsia"/>
          <w:color w:val="231F20"/>
        </w:rPr>
        <w:t>当祂最后一位被赎的儿女进入那城时，主自己将带着祂所有的圣者降临，对祂和以色列所有的仇敌执行最后的审判。</w:t>
      </w:r>
    </w:p>
    <w:p w14:paraId="05A2E5E0">
      <w:pPr>
        <w:pStyle w:val="9"/>
        <w:spacing w:before="13" w:line="249" w:lineRule="auto"/>
        <w:ind w:right="98" w:firstLine="450"/>
        <w:rPr>
          <w:rFonts w:hint="eastAsia"/>
          <w:color w:val="231F20"/>
        </w:rPr>
      </w:pPr>
    </w:p>
    <w:p w14:paraId="65368A9C">
      <w:pPr>
        <w:pStyle w:val="9"/>
        <w:spacing w:before="13" w:line="249" w:lineRule="auto"/>
        <w:ind w:right="98" w:firstLine="450"/>
        <w:rPr>
          <w:rFonts w:hint="eastAsia"/>
          <w:color w:val="231F20"/>
        </w:rPr>
      </w:pPr>
      <w:r>
        <w:rPr>
          <w:rFonts w:hint="eastAsia"/>
          <w:color w:val="231F20"/>
        </w:rPr>
        <w:t>It requires but a small step into the NT to see exactly how these broad theological promises will be fulfilled: In the Day of the Lord Jesus, the glorified Christ himself will descend from heaven to the skies just above the earth, circling the globe from east to west, even as the earth and its works begin to melt with intense heat (Mt. 24:27, 2 Peter 3, Rev. 7:2).</w:t>
      </w:r>
    </w:p>
    <w:p w14:paraId="5962F3F2">
      <w:pPr>
        <w:pStyle w:val="9"/>
        <w:spacing w:before="13" w:line="249" w:lineRule="auto"/>
        <w:ind w:right="98" w:firstLine="450"/>
        <w:rPr>
          <w:rFonts w:hint="eastAsia"/>
          <w:color w:val="231F20"/>
        </w:rPr>
      </w:pPr>
      <w:r>
        <w:rPr>
          <w:rFonts w:hint="eastAsia"/>
          <w:color w:val="231F20"/>
        </w:rPr>
        <w:t>只需向新约迈出一小步，就能清楚地看到这些宽泛的神学应许将如何应验：在主耶稣的日子，得荣耀的基督自己将从天降临到地上的空中，从东到西环绕全球，同时地和其上的工程都开始因烈火熔化 (太 24:27, 彼后 3, 启 7:2)。</w:t>
      </w:r>
    </w:p>
    <w:p w14:paraId="4D633954">
      <w:pPr>
        <w:pStyle w:val="9"/>
        <w:spacing w:before="13" w:line="249" w:lineRule="auto"/>
        <w:ind w:right="98" w:firstLine="450"/>
        <w:rPr>
          <w:rFonts w:hint="eastAsia"/>
          <w:color w:val="231F20"/>
        </w:rPr>
      </w:pPr>
    </w:p>
    <w:p w14:paraId="15B91B93">
      <w:pPr>
        <w:pStyle w:val="9"/>
        <w:spacing w:before="13" w:line="249" w:lineRule="auto"/>
        <w:ind w:right="98" w:firstLine="450"/>
        <w:rPr>
          <w:rFonts w:hint="eastAsia"/>
          <w:color w:val="231F20"/>
        </w:rPr>
      </w:pPr>
      <w:r>
        <w:rPr>
          <w:rFonts w:hint="eastAsia"/>
          <w:color w:val="231F20"/>
        </w:rPr>
        <w:t>By his Spirit and through the agency of his holy angels he will swiftly draw near to his people (his Beloved City) wherever they may be, and will supernaturally open a way through the air for his saints to fly to him, who is their one true City of Refuge (Mt. 13:36-43, 1 Thess. 4:13ff).</w:t>
      </w:r>
    </w:p>
    <w:p w14:paraId="6285D4CA">
      <w:pPr>
        <w:pStyle w:val="9"/>
        <w:spacing w:before="13" w:line="249" w:lineRule="auto"/>
        <w:ind w:right="98" w:firstLine="450"/>
        <w:rPr>
          <w:rFonts w:hint="eastAsia"/>
          <w:color w:val="231F20"/>
        </w:rPr>
      </w:pPr>
      <w:r>
        <w:rPr>
          <w:rFonts w:hint="eastAsia"/>
          <w:color w:val="231F20"/>
        </w:rPr>
        <w:t>借着祂的灵，并通过祂圣天使的作为，祂将迅速地靠近祂的子民（祂所爱的城），无论他们在何处，并将在空中超自然地为祂的圣徒开辟一条道路，飞向祂，祂是他们唯一真正的逃城 (太 13:36-43, 帖前 4:13及后)。</w:t>
      </w:r>
    </w:p>
    <w:p w14:paraId="36BA00F3">
      <w:pPr>
        <w:pStyle w:val="9"/>
        <w:spacing w:before="13" w:line="249" w:lineRule="auto"/>
        <w:ind w:right="98" w:firstLine="450"/>
        <w:rPr>
          <w:rFonts w:hint="eastAsia"/>
          <w:color w:val="231F20"/>
        </w:rPr>
      </w:pPr>
    </w:p>
    <w:p w14:paraId="2E3DA338">
      <w:pPr>
        <w:pStyle w:val="9"/>
        <w:spacing w:before="13" w:line="249" w:lineRule="auto"/>
        <w:ind w:right="98" w:firstLine="450"/>
        <w:rPr>
          <w:rFonts w:hint="eastAsia"/>
          <w:color w:val="231F20"/>
        </w:rPr>
      </w:pPr>
      <w:r>
        <w:rPr>
          <w:rFonts w:hint="eastAsia"/>
          <w:color w:val="231F20"/>
        </w:rPr>
        <w:t>When in this way he has gathered all his children safely to his side, he, they, and all the holy angels will “come” in such a way as to consign the enemies of God— both human and angelic–to the fires of God’s eternal judgment (Mt. 13:42, 25:31ff, Rom. 16:20, 1 Cor. 6:2, Rev. 19:20, 20:10).</w:t>
      </w:r>
    </w:p>
    <w:p w14:paraId="055E5CE3">
      <w:pPr>
        <w:pStyle w:val="9"/>
        <w:spacing w:before="13" w:line="249" w:lineRule="auto"/>
        <w:ind w:right="98" w:firstLine="450"/>
        <w:rPr>
          <w:rFonts w:hint="eastAsia"/>
          <w:color w:val="231F20"/>
        </w:rPr>
      </w:pPr>
      <w:r>
        <w:rPr>
          <w:rFonts w:hint="eastAsia"/>
          <w:color w:val="231F20"/>
        </w:rPr>
        <w:t>当祂以这种方式将祂所有的儿女安全地聚集到祂身边时，祂、他们和所有的圣天使将以一种方式“降临”，将神的仇敌——无论是人还是天使——都交付给神永恒审判的火焰 (太 13:42, 25:31及后, 罗 16:20, 林前 6:2, 启 19:20, 20:10)。</w:t>
      </w:r>
    </w:p>
    <w:p w14:paraId="3F804215">
      <w:pPr>
        <w:pStyle w:val="9"/>
        <w:spacing w:before="13" w:line="249" w:lineRule="auto"/>
        <w:ind w:right="98" w:firstLine="450"/>
        <w:rPr>
          <w:rFonts w:hint="eastAsia"/>
          <w:color w:val="231F20"/>
        </w:rPr>
      </w:pPr>
    </w:p>
    <w:p w14:paraId="4DAF5AFF">
      <w:pPr>
        <w:pStyle w:val="9"/>
        <w:spacing w:before="13" w:line="249" w:lineRule="auto"/>
        <w:ind w:right="98" w:firstLine="450"/>
        <w:rPr>
          <w:rFonts w:hint="eastAsia"/>
          <w:color w:val="231F20"/>
        </w:rPr>
      </w:pPr>
      <w:r>
        <w:rPr>
          <w:rFonts w:hint="eastAsia"/>
          <w:color w:val="231F20"/>
        </w:rPr>
        <w:t>The World to Come (14:6-11)</w:t>
      </w:r>
    </w:p>
    <w:p w14:paraId="647DBF1C">
      <w:pPr>
        <w:pStyle w:val="9"/>
        <w:spacing w:before="13" w:line="249" w:lineRule="auto"/>
        <w:ind w:right="98" w:firstLine="450"/>
        <w:rPr>
          <w:rFonts w:hint="eastAsia"/>
          <w:color w:val="231F20"/>
        </w:rPr>
      </w:pPr>
      <w:r>
        <w:rPr>
          <w:rFonts w:hint="eastAsia"/>
          <w:color w:val="231F20"/>
        </w:rPr>
        <w:t>将来的世界 (14:6-11)</w:t>
      </w:r>
    </w:p>
    <w:p w14:paraId="79E53CD7">
      <w:pPr>
        <w:pStyle w:val="9"/>
        <w:spacing w:before="13" w:line="249" w:lineRule="auto"/>
        <w:ind w:right="98" w:firstLine="450"/>
        <w:rPr>
          <w:rFonts w:hint="eastAsia"/>
          <w:color w:val="231F20"/>
        </w:rPr>
      </w:pPr>
    </w:p>
    <w:p w14:paraId="64C7100E">
      <w:pPr>
        <w:pStyle w:val="9"/>
        <w:spacing w:before="13" w:line="249" w:lineRule="auto"/>
        <w:ind w:right="98" w:firstLine="450"/>
        <w:rPr>
          <w:rFonts w:hint="eastAsia"/>
          <w:color w:val="231F20"/>
        </w:rPr>
      </w:pPr>
      <w:r>
        <w:rPr>
          <w:rFonts w:hint="eastAsia"/>
          <w:color w:val="231F20"/>
        </w:rPr>
        <w:t>Having promised and pictured Israel’s victory in the Last Battle, Zechariah’s oracle now transitions to the eschaton, to the final state.</w:t>
      </w:r>
    </w:p>
    <w:p w14:paraId="051BDB97">
      <w:pPr>
        <w:pStyle w:val="9"/>
        <w:spacing w:before="13" w:line="249" w:lineRule="auto"/>
        <w:ind w:right="98" w:firstLine="450"/>
        <w:rPr>
          <w:rFonts w:hint="eastAsia"/>
          <w:color w:val="231F20"/>
        </w:rPr>
      </w:pPr>
      <w:r>
        <w:rPr>
          <w:rFonts w:hint="eastAsia"/>
          <w:color w:val="231F20"/>
        </w:rPr>
        <w:t>在应许并描绘了以色列在最后战役中的胜利之后，撒迦利亚的神谕现在过渡到末世，到最终的状态。</w:t>
      </w:r>
    </w:p>
    <w:p w14:paraId="1262C807">
      <w:pPr>
        <w:pStyle w:val="9"/>
        <w:spacing w:before="13" w:line="249" w:lineRule="auto"/>
        <w:ind w:right="98" w:firstLine="450"/>
        <w:rPr>
          <w:rFonts w:hint="eastAsia"/>
          <w:color w:val="231F20"/>
        </w:rPr>
      </w:pPr>
    </w:p>
    <w:p w14:paraId="2B18FA56">
      <w:pPr>
        <w:pStyle w:val="9"/>
        <w:spacing w:before="13" w:line="249" w:lineRule="auto"/>
        <w:ind w:right="98" w:firstLine="450"/>
        <w:rPr>
          <w:rFonts w:hint="eastAsia"/>
          <w:color w:val="231F20"/>
        </w:rPr>
      </w:pPr>
      <w:r>
        <w:rPr>
          <w:rFonts w:hint="eastAsia"/>
          <w:color w:val="231F20"/>
        </w:rPr>
        <w:t>The remaining verses constitute three large-scale snapshots, all of which feature a series of mini-snapshots.</w:t>
      </w:r>
    </w:p>
    <w:p w14:paraId="3D744124">
      <w:pPr>
        <w:pStyle w:val="9"/>
        <w:spacing w:before="13" w:line="249" w:lineRule="auto"/>
        <w:ind w:right="98" w:firstLine="450"/>
        <w:rPr>
          <w:rFonts w:hint="eastAsia"/>
          <w:color w:val="231F20"/>
        </w:rPr>
      </w:pPr>
      <w:r>
        <w:rPr>
          <w:rFonts w:hint="eastAsia"/>
          <w:color w:val="231F20"/>
        </w:rPr>
        <w:t>剩下的经文构成了三个大规模的快照，每一个都包含一系列的小快照。</w:t>
      </w:r>
    </w:p>
    <w:p w14:paraId="66E42672">
      <w:pPr>
        <w:pStyle w:val="9"/>
        <w:spacing w:before="13" w:line="249" w:lineRule="auto"/>
        <w:ind w:right="98" w:firstLine="450"/>
        <w:rPr>
          <w:rFonts w:hint="eastAsia"/>
          <w:color w:val="231F20"/>
        </w:rPr>
      </w:pPr>
    </w:p>
    <w:p w14:paraId="5AE406E4">
      <w:pPr>
        <w:pStyle w:val="9"/>
        <w:spacing w:before="13" w:line="249" w:lineRule="auto"/>
        <w:ind w:right="98" w:firstLine="450"/>
        <w:rPr>
          <w:rFonts w:hint="eastAsia"/>
          <w:color w:val="231F20"/>
        </w:rPr>
      </w:pPr>
      <w:r>
        <w:rPr>
          <w:rFonts w:hint="eastAsia"/>
          <w:color w:val="231F20"/>
        </w:rPr>
        <w:t>They are (1) the World to Come (14:6-11), (2) the Judgment to Come (14:12-15), and (3) the Worship to Come (14:16-21).</w:t>
      </w:r>
    </w:p>
    <w:p w14:paraId="4752CB85">
      <w:pPr>
        <w:pStyle w:val="9"/>
        <w:spacing w:before="13" w:line="249" w:lineRule="auto"/>
        <w:ind w:right="98" w:firstLine="450"/>
        <w:rPr>
          <w:rFonts w:hint="eastAsia"/>
          <w:color w:val="231F20"/>
        </w:rPr>
      </w:pPr>
      <w:r>
        <w:rPr>
          <w:rFonts w:hint="eastAsia"/>
          <w:color w:val="231F20"/>
        </w:rPr>
        <w:t>它们是（1）将来的世界（14:6-11），（2）将来的审判（14:12-15），以及（3）将来的敬拜（14:16-21）。</w:t>
      </w:r>
    </w:p>
    <w:p w14:paraId="44D9BA13">
      <w:pPr>
        <w:pStyle w:val="9"/>
        <w:spacing w:before="13" w:line="249" w:lineRule="auto"/>
        <w:ind w:right="98" w:firstLine="450"/>
        <w:rPr>
          <w:rFonts w:hint="eastAsia"/>
          <w:color w:val="231F20"/>
        </w:rPr>
      </w:pPr>
    </w:p>
    <w:p w14:paraId="3EBFF82F">
      <w:pPr>
        <w:pStyle w:val="9"/>
        <w:spacing w:before="13" w:line="249" w:lineRule="auto"/>
        <w:ind w:right="98" w:firstLine="450"/>
        <w:rPr>
          <w:rFonts w:hint="eastAsia"/>
          <w:color w:val="231F20"/>
        </w:rPr>
      </w:pPr>
      <w:r>
        <w:rPr>
          <w:rFonts w:hint="eastAsia"/>
          <w:color w:val="231F20"/>
        </w:rPr>
        <w:t>The prophecy of the World to Come is itself divided into two parts: Verses 6-8 use OT imagery to describe the new heavens and the new earth; verses 9-11 use OT imagery to describe (life in) the New Jerusalem.</w:t>
      </w:r>
    </w:p>
    <w:p w14:paraId="4CC2B007">
      <w:pPr>
        <w:pStyle w:val="9"/>
        <w:spacing w:before="13" w:line="249" w:lineRule="auto"/>
        <w:ind w:right="98" w:firstLine="450"/>
        <w:rPr>
          <w:rFonts w:hint="eastAsia"/>
          <w:color w:val="231F20"/>
        </w:rPr>
      </w:pPr>
      <w:r>
        <w:rPr>
          <w:rFonts w:hint="eastAsia"/>
          <w:color w:val="231F20"/>
        </w:rPr>
        <w:t>关于未来世界的预言本身分为两个部分：第6-8节使用旧约意象来描述新天新地；第9-11节使用旧约意象来描述（在新耶路撒冷中的）生活。</w:t>
      </w:r>
    </w:p>
    <w:p w14:paraId="1AF58D70">
      <w:pPr>
        <w:pStyle w:val="9"/>
        <w:spacing w:before="13" w:line="249" w:lineRule="auto"/>
        <w:ind w:right="98" w:firstLine="450"/>
        <w:rPr>
          <w:rFonts w:hint="eastAsia"/>
          <w:color w:val="231F20"/>
        </w:rPr>
      </w:pPr>
    </w:p>
    <w:p w14:paraId="31770C17">
      <w:pPr>
        <w:pStyle w:val="9"/>
        <w:spacing w:before="13" w:line="249" w:lineRule="auto"/>
        <w:ind w:right="98" w:firstLine="450"/>
        <w:rPr>
          <w:rFonts w:hint="eastAsia"/>
          <w:color w:val="231F20"/>
        </w:rPr>
      </w:pPr>
      <w:r>
        <w:rPr>
          <w:rFonts w:hint="eastAsia"/>
          <w:color w:val="231F20"/>
        </w:rPr>
        <w:t>Our first mini-snapshot (vv. 6-8) points to a radical transformation of the physical heavens, a transformation that the NT says will occur at “the restoration of all things,” when Christ returns (Mt. 19:28, Acts 3:21, Rom. 8:21, Phil. 3:21).</w:t>
      </w:r>
    </w:p>
    <w:p w14:paraId="36B74268">
      <w:pPr>
        <w:pStyle w:val="9"/>
        <w:spacing w:before="13" w:line="249" w:lineRule="auto"/>
        <w:ind w:right="98" w:firstLine="450"/>
        <w:rPr>
          <w:rFonts w:hint="eastAsia"/>
          <w:color w:val="231F20"/>
        </w:rPr>
      </w:pPr>
      <w:r>
        <w:rPr>
          <w:rFonts w:hint="eastAsia"/>
          <w:color w:val="231F20"/>
        </w:rPr>
        <w:t>我们的第一个小快照（第6-8节）指向物质诸天的根本性转变，新约说这种转变将在基督再来时，“万物复兴”的时候发生 (太 19:28, 徒 3:21, 罗 8:21, 腓 3:21)。</w:t>
      </w:r>
    </w:p>
    <w:p w14:paraId="3EEEB241">
      <w:pPr>
        <w:pStyle w:val="9"/>
        <w:spacing w:before="13" w:line="249" w:lineRule="auto"/>
        <w:ind w:right="98" w:firstLine="450"/>
        <w:rPr>
          <w:rFonts w:hint="eastAsia"/>
          <w:color w:val="231F20"/>
        </w:rPr>
      </w:pPr>
    </w:p>
    <w:p w14:paraId="22F2B30D">
      <w:pPr>
        <w:pStyle w:val="9"/>
        <w:spacing w:before="13" w:line="249" w:lineRule="auto"/>
        <w:ind w:right="98" w:firstLine="450"/>
        <w:rPr>
          <w:rFonts w:hint="eastAsia"/>
          <w:color w:val="231F20"/>
        </w:rPr>
      </w:pPr>
      <w:r>
        <w:rPr>
          <w:rFonts w:hint="eastAsia"/>
          <w:color w:val="231F20"/>
        </w:rPr>
        <w:t>The Hebrew text of verses 6-7 favors the rendering of the NAS and the NKJV.</w:t>
      </w:r>
    </w:p>
    <w:p w14:paraId="65F184BE">
      <w:pPr>
        <w:pStyle w:val="9"/>
        <w:spacing w:before="13" w:line="249" w:lineRule="auto"/>
        <w:ind w:right="98" w:firstLine="450"/>
        <w:rPr>
          <w:rFonts w:hint="eastAsia"/>
          <w:color w:val="231F20"/>
        </w:rPr>
      </w:pPr>
      <w:r>
        <w:rPr>
          <w:rFonts w:hint="eastAsia"/>
          <w:color w:val="231F20"/>
        </w:rPr>
        <w:t>第6-7节的希伯来文文本支持NAS和NKJV的翻译。</w:t>
      </w:r>
    </w:p>
    <w:p w14:paraId="676760B5">
      <w:pPr>
        <w:pStyle w:val="9"/>
        <w:spacing w:before="13" w:line="249" w:lineRule="auto"/>
        <w:ind w:right="98" w:firstLine="450"/>
        <w:rPr>
          <w:rFonts w:hint="eastAsia"/>
          <w:color w:val="231F20"/>
        </w:rPr>
      </w:pPr>
    </w:p>
    <w:p w14:paraId="6675D1C3">
      <w:pPr>
        <w:pStyle w:val="9"/>
        <w:spacing w:before="13" w:line="249" w:lineRule="auto"/>
        <w:ind w:right="98" w:firstLine="450"/>
        <w:rPr>
          <w:rFonts w:hint="eastAsia"/>
          <w:color w:val="231F20"/>
        </w:rPr>
      </w:pPr>
      <w:r>
        <w:rPr>
          <w:rFonts w:hint="eastAsia"/>
          <w:color w:val="231F20"/>
        </w:rPr>
        <w:t>We may paraphrase it as follows: In the (physical) world to come there will be no natural light, for the luminaries of the former world—the sun, moon, and stars—will have passed away.</w:t>
      </w:r>
    </w:p>
    <w:p w14:paraId="3F90C3F9">
      <w:pPr>
        <w:pStyle w:val="9"/>
        <w:spacing w:before="13" w:line="249" w:lineRule="auto"/>
        <w:ind w:right="98" w:firstLine="450"/>
        <w:rPr>
          <w:rFonts w:hint="eastAsia"/>
          <w:color w:val="231F20"/>
        </w:rPr>
      </w:pPr>
      <w:r>
        <w:rPr>
          <w:rFonts w:hint="eastAsia"/>
          <w:color w:val="231F20"/>
        </w:rPr>
        <w:t>我们可以这样转述它：在（物质的）未来世界里，将没有自然光，因为先前世界的光体——日、月、星——都将过去。</w:t>
      </w:r>
    </w:p>
    <w:p w14:paraId="58BB6898">
      <w:pPr>
        <w:pStyle w:val="9"/>
        <w:spacing w:before="13" w:line="249" w:lineRule="auto"/>
        <w:ind w:right="98" w:firstLine="450"/>
        <w:rPr>
          <w:rFonts w:hint="eastAsia"/>
          <w:color w:val="231F20"/>
        </w:rPr>
      </w:pPr>
    </w:p>
    <w:p w14:paraId="49C3440C">
      <w:pPr>
        <w:pStyle w:val="9"/>
        <w:spacing w:before="13" w:line="249" w:lineRule="auto"/>
        <w:ind w:right="98" w:firstLine="450"/>
        <w:rPr>
          <w:rFonts w:hint="eastAsia"/>
          <w:color w:val="231F20"/>
        </w:rPr>
      </w:pPr>
      <w:r>
        <w:rPr>
          <w:rFonts w:hint="eastAsia"/>
          <w:color w:val="231F20"/>
        </w:rPr>
        <w:t>The result, for God’s people, will be something altogether new: a ‘Day” that is neither day nor night as they once knew them, but an eternal Day whose exact nature is known only to the LORD.</w:t>
      </w:r>
    </w:p>
    <w:p w14:paraId="6CEAB262">
      <w:pPr>
        <w:pStyle w:val="9"/>
        <w:spacing w:before="13" w:line="249" w:lineRule="auto"/>
        <w:ind w:right="98" w:firstLine="450"/>
        <w:rPr>
          <w:rFonts w:hint="eastAsia"/>
          <w:color w:val="231F20"/>
        </w:rPr>
      </w:pPr>
      <w:r>
        <w:rPr>
          <w:rFonts w:hint="eastAsia"/>
          <w:color w:val="231F20"/>
        </w:rPr>
        <w:t>结果，对神的子民来说，将是全新的事物：一个既非他们曾经认识的白昼也非黑夜的“日子”，而是一个永恒的日子，其确切的性质只有主知道。</w:t>
      </w:r>
    </w:p>
    <w:p w14:paraId="2EEF8C28">
      <w:pPr>
        <w:pStyle w:val="9"/>
        <w:spacing w:before="13" w:line="249" w:lineRule="auto"/>
        <w:ind w:right="98" w:firstLine="450"/>
        <w:rPr>
          <w:rFonts w:hint="eastAsia"/>
          <w:color w:val="231F20"/>
        </w:rPr>
      </w:pPr>
    </w:p>
    <w:p w14:paraId="67690971">
      <w:pPr>
        <w:pStyle w:val="9"/>
        <w:spacing w:before="13" w:line="249" w:lineRule="auto"/>
        <w:ind w:right="98" w:firstLine="450"/>
        <w:rPr>
          <w:rFonts w:hint="eastAsia"/>
          <w:color w:val="231F20"/>
        </w:rPr>
      </w:pPr>
      <w:r>
        <w:rPr>
          <w:rFonts w:hint="eastAsia"/>
          <w:color w:val="231F20"/>
        </w:rPr>
        <w:t>Happily, the NT sheds further light on this mysterious promise, teaching us that it is Christ himself who will “diminish” the luminaries at his Parousia (Mt. 24:29, 2 Peter 3:10,Rev. 6:13); that in the World to Come, the glory of God and the Lamb will illumine all things, both inwardly and outwardly (Rev. 21:11, 23, 22:5); and that this “unique” eschatological Day will stand as a perpetual testimony and reminder: Because of Christ, the Domain of Darkness has passed away once and for all (Rom. 13:12).</w:t>
      </w:r>
    </w:p>
    <w:p w14:paraId="75294A20">
      <w:pPr>
        <w:pStyle w:val="9"/>
        <w:spacing w:before="13" w:line="249" w:lineRule="auto"/>
        <w:ind w:right="98" w:firstLine="450"/>
        <w:rPr>
          <w:rFonts w:hint="eastAsia"/>
          <w:color w:val="231F20"/>
        </w:rPr>
      </w:pPr>
      <w:r>
        <w:rPr>
          <w:rFonts w:hint="eastAsia"/>
          <w:color w:val="231F20"/>
        </w:rPr>
        <w:t>幸而，新约对这个神秘的应许投下了更多的光，教导我们，是基督自己在祂的再临时将“使”光体变暗（太 24:29, 彼后 3:10, 启 6:13）；在将来的世界里，神和羔羊的荣耀将照亮万物，无论是内在的还是外在的（启 21:11, 23, 22:5）；并且这个“独特的”末世之日将作为永恒的见证和提醒：因为基督，黑暗的权势已经一去不复返了（罗 13:12）。</w:t>
      </w:r>
    </w:p>
    <w:p w14:paraId="6B698B72">
      <w:pPr>
        <w:pStyle w:val="9"/>
        <w:spacing w:before="13" w:line="249" w:lineRule="auto"/>
        <w:ind w:right="98" w:firstLine="450"/>
        <w:rPr>
          <w:rFonts w:hint="eastAsia"/>
          <w:color w:val="231F20"/>
        </w:rPr>
      </w:pPr>
    </w:p>
    <w:p w14:paraId="285A6DB5">
      <w:pPr>
        <w:pStyle w:val="9"/>
        <w:spacing w:before="13" w:line="249" w:lineRule="auto"/>
        <w:ind w:right="98" w:firstLine="450"/>
        <w:rPr>
          <w:rFonts w:hint="eastAsia"/>
          <w:color w:val="231F20"/>
        </w:rPr>
      </w:pPr>
      <w:r>
        <w:rPr>
          <w:rFonts w:hint="eastAsia"/>
          <w:color w:val="231F20"/>
        </w:rPr>
        <w:t>Verse 8 reprises the great OT theme of the eschatological River of God (Psalm 46:4, 65:9, Ezek. 47:1-12, Joel 3:18).</w:t>
      </w:r>
    </w:p>
    <w:p w14:paraId="785B0621">
      <w:pPr>
        <w:pStyle w:val="9"/>
        <w:spacing w:before="13" w:line="249" w:lineRule="auto"/>
        <w:ind w:right="98" w:firstLine="450"/>
        <w:rPr>
          <w:rFonts w:hint="eastAsia"/>
          <w:color w:val="231F20"/>
        </w:rPr>
      </w:pPr>
      <w:r>
        <w:rPr>
          <w:rFonts w:hint="eastAsia"/>
          <w:color w:val="231F20"/>
        </w:rPr>
        <w:t>第8节重述了旧约中关于末世神河的伟大主题（诗 46:4, 65:9, 结 47:1-12, 珥 3:18）。</w:t>
      </w:r>
    </w:p>
    <w:p w14:paraId="47A169B7">
      <w:pPr>
        <w:pStyle w:val="9"/>
        <w:spacing w:before="13" w:line="249" w:lineRule="auto"/>
        <w:ind w:right="98" w:firstLine="450"/>
        <w:rPr>
          <w:rFonts w:hint="eastAsia"/>
          <w:color w:val="231F20"/>
        </w:rPr>
      </w:pPr>
    </w:p>
    <w:p w14:paraId="47F134B9">
      <w:pPr>
        <w:pStyle w:val="9"/>
        <w:spacing w:before="13" w:line="249" w:lineRule="auto"/>
        <w:ind w:right="98" w:firstLine="450"/>
        <w:rPr>
          <w:rFonts w:hint="eastAsia"/>
          <w:color w:val="231F20"/>
        </w:rPr>
      </w:pPr>
      <w:r>
        <w:rPr>
          <w:rFonts w:hint="eastAsia"/>
          <w:color w:val="231F20"/>
        </w:rPr>
        <w:t>The living waters are, of course, the very life of the living God, streaming into the new creation from God the Father, through Christ the Son, by the Holy Spirit (Acts 2:33, Phil. 1:19).</w:t>
      </w:r>
    </w:p>
    <w:p w14:paraId="36F7F5E4">
      <w:pPr>
        <w:pStyle w:val="9"/>
        <w:spacing w:before="13" w:line="249" w:lineRule="auto"/>
        <w:ind w:right="98" w:firstLine="450"/>
        <w:rPr>
          <w:rFonts w:hint="eastAsia"/>
          <w:color w:val="231F20"/>
        </w:rPr>
      </w:pPr>
      <w:r>
        <w:rPr>
          <w:rFonts w:hint="eastAsia"/>
          <w:color w:val="231F20"/>
        </w:rPr>
        <w:t>这活水，当然是活神的生命本身，从父神，通过子基督，藉着圣灵，涌入新的创造中 (徒 2:33, 腓 1:19)。</w:t>
      </w:r>
    </w:p>
    <w:p w14:paraId="2FE66B82">
      <w:pPr>
        <w:pStyle w:val="9"/>
        <w:spacing w:before="13" w:line="249" w:lineRule="auto"/>
        <w:ind w:right="98" w:firstLine="450"/>
        <w:rPr>
          <w:rFonts w:hint="eastAsia"/>
          <w:color w:val="231F20"/>
        </w:rPr>
      </w:pPr>
    </w:p>
    <w:p w14:paraId="23D2A724">
      <w:pPr>
        <w:pStyle w:val="9"/>
        <w:spacing w:before="13" w:line="249" w:lineRule="auto"/>
        <w:ind w:right="98" w:firstLine="450"/>
        <w:rPr>
          <w:rFonts w:hint="eastAsia"/>
          <w:color w:val="231F20"/>
        </w:rPr>
      </w:pPr>
      <w:r>
        <w:rPr>
          <w:rFonts w:hint="eastAsia"/>
          <w:color w:val="231F20"/>
        </w:rPr>
        <w:t>Interestingly, the prophet sees them flowing out of (New) Jerusalem; that is, out of the Church, the eternal people of God (Rev. 21:2).</w:t>
      </w:r>
    </w:p>
    <w:p w14:paraId="2F98975E">
      <w:pPr>
        <w:pStyle w:val="9"/>
        <w:spacing w:before="13" w:line="249" w:lineRule="auto"/>
        <w:ind w:right="98" w:firstLine="450"/>
        <w:rPr>
          <w:rFonts w:hint="eastAsia"/>
          <w:color w:val="231F20"/>
        </w:rPr>
      </w:pPr>
      <w:r>
        <w:rPr>
          <w:rFonts w:hint="eastAsia"/>
          <w:color w:val="231F20"/>
        </w:rPr>
        <w:t>有趣的是，先知看见它们从（新）耶路撒冷流出；也就是说，从教会，神永恒的子民流出 (启 21:2)。</w:t>
      </w:r>
    </w:p>
    <w:p w14:paraId="312EA8E9">
      <w:pPr>
        <w:pStyle w:val="9"/>
        <w:spacing w:before="13" w:line="249" w:lineRule="auto"/>
        <w:ind w:right="98" w:firstLine="450"/>
        <w:rPr>
          <w:rFonts w:hint="eastAsia"/>
          <w:color w:val="231F20"/>
        </w:rPr>
      </w:pPr>
    </w:p>
    <w:p w14:paraId="3FB0F5D9">
      <w:pPr>
        <w:pStyle w:val="9"/>
        <w:spacing w:before="13" w:line="249" w:lineRule="auto"/>
        <w:ind w:right="98" w:firstLine="450"/>
        <w:rPr>
          <w:rFonts w:hint="eastAsia"/>
          <w:color w:val="231F20"/>
        </w:rPr>
      </w:pPr>
      <w:r>
        <w:rPr>
          <w:rFonts w:hint="eastAsia"/>
          <w:color w:val="231F20"/>
        </w:rPr>
        <w:t>He also sees that the river will flow both east and west, filling the seas on either side of the City, both in summer and in winter (i.e., year round).</w:t>
      </w:r>
    </w:p>
    <w:p w14:paraId="3D8D68D7">
      <w:pPr>
        <w:pStyle w:val="9"/>
        <w:spacing w:before="13" w:line="249" w:lineRule="auto"/>
        <w:ind w:right="98" w:firstLine="450"/>
        <w:rPr>
          <w:rFonts w:hint="eastAsia"/>
          <w:color w:val="231F20"/>
        </w:rPr>
      </w:pPr>
      <w:r>
        <w:rPr>
          <w:rFonts w:hint="eastAsia"/>
          <w:color w:val="231F20"/>
        </w:rPr>
        <w:t>他也看见那河将向东向西流，充满城两边的海，无论冬夏都是如此（即全年）。</w:t>
      </w:r>
    </w:p>
    <w:p w14:paraId="598656E3">
      <w:pPr>
        <w:pStyle w:val="9"/>
        <w:spacing w:before="13" w:line="249" w:lineRule="auto"/>
        <w:ind w:right="98" w:firstLine="450"/>
        <w:rPr>
          <w:rFonts w:hint="eastAsia"/>
          <w:color w:val="231F20"/>
        </w:rPr>
      </w:pPr>
    </w:p>
    <w:p w14:paraId="4138570F">
      <w:pPr>
        <w:pStyle w:val="9"/>
        <w:spacing w:before="13" w:line="249" w:lineRule="auto"/>
        <w:ind w:right="98" w:firstLine="450"/>
        <w:rPr>
          <w:rFonts w:hint="eastAsia"/>
          <w:color w:val="231F20"/>
        </w:rPr>
      </w:pPr>
      <w:r>
        <w:rPr>
          <w:rFonts w:hint="eastAsia"/>
          <w:color w:val="231F20"/>
        </w:rPr>
        <w:t>However, Rev. 21:1 tells us there will be no seas in the World to Come; meanwhile, Zech 14:6-7 (along with several texts in the Revelation) assures us there will be no seasons.</w:t>
      </w:r>
    </w:p>
    <w:p w14:paraId="2AAB835B">
      <w:pPr>
        <w:pStyle w:val="9"/>
        <w:spacing w:before="13" w:line="249" w:lineRule="auto"/>
        <w:ind w:right="98" w:firstLine="450"/>
        <w:rPr>
          <w:rFonts w:hint="eastAsia"/>
          <w:color w:val="231F20"/>
        </w:rPr>
      </w:pPr>
      <w:r>
        <w:rPr>
          <w:rFonts w:hint="eastAsia"/>
          <w:color w:val="231F20"/>
        </w:rPr>
        <w:t>然而，启示录21:1告诉我们，在将来的世界里将不再有海；同时，撒迦利亚书14:6-7（以及启示录中的几段经文）向我们保证将不再有季节。</w:t>
      </w:r>
    </w:p>
    <w:p w14:paraId="356B4ABB">
      <w:pPr>
        <w:pStyle w:val="9"/>
        <w:spacing w:before="13" w:line="249" w:lineRule="auto"/>
        <w:ind w:right="98" w:firstLine="450"/>
        <w:rPr>
          <w:rFonts w:hint="eastAsia"/>
          <w:color w:val="231F20"/>
        </w:rPr>
      </w:pPr>
    </w:p>
    <w:p w14:paraId="206CA100">
      <w:pPr>
        <w:pStyle w:val="9"/>
        <w:spacing w:before="13" w:line="249" w:lineRule="auto"/>
        <w:ind w:right="98" w:firstLine="450"/>
        <w:rPr>
          <w:rFonts w:hint="eastAsia"/>
          <w:color w:val="231F20"/>
        </w:rPr>
      </w:pPr>
      <w:r>
        <w:rPr>
          <w:rFonts w:hint="eastAsia"/>
          <w:color w:val="231F20"/>
        </w:rPr>
        <w:t>The meaning, then, is figurative and theological: In that Day, the life of God will continually replenish the creation of God, and will do so through the people of God (see Rom. 8:20-23).</w:t>
      </w:r>
    </w:p>
    <w:p w14:paraId="2820D639">
      <w:pPr>
        <w:pStyle w:val="9"/>
        <w:spacing w:before="13" w:line="249" w:lineRule="auto"/>
        <w:ind w:right="98" w:firstLine="450"/>
        <w:rPr>
          <w:rFonts w:hint="eastAsia"/>
          <w:color w:val="231F20"/>
        </w:rPr>
      </w:pPr>
      <w:r>
        <w:rPr>
          <w:rFonts w:hint="eastAsia"/>
          <w:color w:val="231F20"/>
        </w:rPr>
        <w:t>那么，其意义是比喻性的和神学性的：在那日，神的生命将持续不断地补充神的创造，并将通过神的子民来做到这一点 (见 罗 8:20-23)。</w:t>
      </w:r>
    </w:p>
    <w:p w14:paraId="4769E9BA">
      <w:pPr>
        <w:pStyle w:val="9"/>
        <w:spacing w:before="13" w:line="249" w:lineRule="auto"/>
        <w:ind w:right="98" w:firstLine="450"/>
        <w:rPr>
          <w:rFonts w:hint="eastAsia"/>
          <w:color w:val="231F20"/>
        </w:rPr>
      </w:pPr>
    </w:p>
    <w:p w14:paraId="5FA9A035">
      <w:pPr>
        <w:pStyle w:val="9"/>
        <w:spacing w:before="13" w:line="249" w:lineRule="auto"/>
        <w:ind w:right="98" w:firstLine="450"/>
        <w:rPr>
          <w:rFonts w:hint="eastAsia"/>
          <w:color w:val="231F20"/>
        </w:rPr>
      </w:pPr>
      <w:r>
        <w:rPr>
          <w:rFonts w:hint="eastAsia"/>
          <w:color w:val="231F20"/>
        </w:rPr>
        <w:t>Even now, the saints enjoy a foretaste of this life-giving ministry, building one another up through the ongoing exercise of their spiritual gifts (1 Cor. 12:7, Eph. 4:11-16, 1 Peter 4:10).</w:t>
      </w:r>
    </w:p>
    <w:p w14:paraId="4866710E">
      <w:pPr>
        <w:pStyle w:val="9"/>
        <w:spacing w:before="13" w:line="249" w:lineRule="auto"/>
        <w:ind w:right="98" w:firstLine="450"/>
        <w:rPr>
          <w:rFonts w:hint="eastAsia"/>
          <w:color w:val="231F20"/>
        </w:rPr>
      </w:pPr>
      <w:r>
        <w:rPr>
          <w:rFonts w:hint="eastAsia"/>
          <w:color w:val="231F20"/>
        </w:rPr>
        <w:t>即使是现在，圣徒们也享受着这种赐生命事工的预尝，通过持续运用他们的属灵恩赐来彼此建立 (林前 12:7, 弗 4:11-16, 彼前 4:10)。</w:t>
      </w:r>
    </w:p>
    <w:p w14:paraId="0A65A904">
      <w:pPr>
        <w:pStyle w:val="9"/>
        <w:spacing w:before="13" w:line="249" w:lineRule="auto"/>
        <w:ind w:right="98" w:firstLine="450"/>
        <w:rPr>
          <w:rFonts w:hint="eastAsia"/>
          <w:color w:val="231F20"/>
        </w:rPr>
      </w:pPr>
    </w:p>
    <w:p w14:paraId="7DC2A407">
      <w:pPr>
        <w:pStyle w:val="9"/>
        <w:spacing w:before="13" w:line="249" w:lineRule="auto"/>
        <w:ind w:right="98" w:firstLine="450"/>
        <w:rPr>
          <w:rFonts w:hint="eastAsia"/>
          <w:color w:val="231F20"/>
        </w:rPr>
      </w:pPr>
      <w:r>
        <w:rPr>
          <w:rFonts w:hint="eastAsia"/>
          <w:color w:val="231F20"/>
        </w:rPr>
        <w:t>However, to know exactly what this will look like in the World to Come, they shall doubtless have to wait for the Day itself!</w:t>
      </w:r>
    </w:p>
    <w:p w14:paraId="21C0EEFE">
      <w:pPr>
        <w:pStyle w:val="9"/>
        <w:spacing w:before="13" w:line="249" w:lineRule="auto"/>
        <w:ind w:right="98" w:firstLine="450"/>
        <w:rPr>
          <w:rFonts w:hint="eastAsia"/>
          <w:color w:val="231F20"/>
        </w:rPr>
      </w:pPr>
      <w:r>
        <w:rPr>
          <w:rFonts w:hint="eastAsia"/>
          <w:color w:val="231F20"/>
        </w:rPr>
        <w:t>然而，要想确切地知道这在将来的世界里会是什么样子，他们无疑必须等到那日本身！</w:t>
      </w:r>
    </w:p>
    <w:p w14:paraId="090C5AEC">
      <w:pPr>
        <w:pStyle w:val="9"/>
        <w:spacing w:before="13" w:line="249" w:lineRule="auto"/>
        <w:ind w:right="98" w:firstLine="450"/>
        <w:rPr>
          <w:rFonts w:hint="eastAsia"/>
          <w:color w:val="231F20"/>
        </w:rPr>
      </w:pPr>
    </w:p>
    <w:p w14:paraId="22091797">
      <w:pPr>
        <w:pStyle w:val="9"/>
        <w:spacing w:before="13" w:line="249" w:lineRule="auto"/>
        <w:ind w:right="98" w:firstLine="450"/>
        <w:rPr>
          <w:rFonts w:hint="eastAsia"/>
          <w:color w:val="231F20"/>
        </w:rPr>
      </w:pPr>
      <w:r>
        <w:rPr>
          <w:rFonts w:hint="eastAsia"/>
          <w:color w:val="231F20"/>
        </w:rPr>
        <w:t>The theme of our second mini-snapshot (vv. 9-11) is the eternal security of the eschatological City of God, forever dwelling in the Land of God.</w:t>
      </w:r>
    </w:p>
    <w:p w14:paraId="616E6049">
      <w:pPr>
        <w:pStyle w:val="9"/>
        <w:spacing w:before="13" w:line="249" w:lineRule="auto"/>
        <w:ind w:right="98" w:firstLine="450"/>
        <w:rPr>
          <w:rFonts w:hint="eastAsia"/>
          <w:color w:val="231F20"/>
        </w:rPr>
      </w:pPr>
      <w:r>
        <w:rPr>
          <w:rFonts w:hint="eastAsia"/>
          <w:color w:val="231F20"/>
        </w:rPr>
        <w:t>我们第二个小快照（第9-11节）的主题是末世神之城的永恒安全，永远居住在神的土地上。</w:t>
      </w:r>
    </w:p>
    <w:p w14:paraId="1BF9A5BE">
      <w:pPr>
        <w:pStyle w:val="9"/>
        <w:spacing w:before="13" w:line="249" w:lineRule="auto"/>
        <w:ind w:right="98" w:firstLine="450"/>
        <w:rPr>
          <w:rFonts w:hint="eastAsia"/>
          <w:color w:val="231F20"/>
        </w:rPr>
      </w:pPr>
    </w:p>
    <w:p w14:paraId="60E8221E">
      <w:pPr>
        <w:pStyle w:val="9"/>
        <w:spacing w:before="13" w:line="249" w:lineRule="auto"/>
        <w:ind w:right="98" w:firstLine="450"/>
        <w:rPr>
          <w:rFonts w:hint="eastAsia"/>
          <w:color w:val="231F20"/>
        </w:rPr>
      </w:pPr>
      <w:r>
        <w:rPr>
          <w:rFonts w:hint="eastAsia"/>
          <w:color w:val="231F20"/>
        </w:rPr>
        <w:t>The NCH opens it up richly.</w:t>
      </w:r>
    </w:p>
    <w:p w14:paraId="5806DC9C">
      <w:pPr>
        <w:pStyle w:val="9"/>
        <w:spacing w:before="13" w:line="249" w:lineRule="auto"/>
        <w:ind w:right="98" w:firstLine="450"/>
        <w:rPr>
          <w:rFonts w:hint="eastAsia"/>
          <w:color w:val="231F20"/>
        </w:rPr>
      </w:pPr>
      <w:r>
        <w:rPr>
          <w:rFonts w:hint="eastAsia"/>
          <w:color w:val="231F20"/>
        </w:rPr>
        <w:t>新约解释学丰富地解开了它。</w:t>
      </w:r>
    </w:p>
    <w:p w14:paraId="66FA91DB">
      <w:pPr>
        <w:pStyle w:val="9"/>
        <w:spacing w:before="13" w:line="249" w:lineRule="auto"/>
        <w:ind w:right="98" w:firstLine="450"/>
        <w:rPr>
          <w:rFonts w:hint="eastAsia"/>
          <w:color w:val="231F20"/>
        </w:rPr>
      </w:pPr>
    </w:p>
    <w:p w14:paraId="3F59E118">
      <w:pPr>
        <w:pStyle w:val="9"/>
        <w:spacing w:before="13" w:line="249" w:lineRule="auto"/>
        <w:ind w:right="98" w:firstLine="450"/>
        <w:rPr>
          <w:rFonts w:hint="eastAsia"/>
          <w:color w:val="231F20"/>
        </w:rPr>
      </w:pPr>
      <w:r>
        <w:rPr>
          <w:rFonts w:hint="eastAsia"/>
          <w:color w:val="231F20"/>
        </w:rPr>
        <w:t>Verse 9 promises that in the eschaton the completed Kingdom of the Triune God—his direct redemptive reign—will be universal and absolute.</w:t>
      </w:r>
    </w:p>
    <w:p w14:paraId="5E4CFF43">
      <w:pPr>
        <w:pStyle w:val="9"/>
        <w:spacing w:before="13" w:line="249" w:lineRule="auto"/>
        <w:ind w:right="98" w:firstLine="450"/>
        <w:rPr>
          <w:rFonts w:hint="eastAsia"/>
          <w:color w:val="231F20"/>
        </w:rPr>
      </w:pPr>
      <w:r>
        <w:rPr>
          <w:rFonts w:hint="eastAsia"/>
          <w:color w:val="231F20"/>
        </w:rPr>
        <w:t>第9节应许，在末世，三一神完备的国度——祂直接的救赎性统治——将是普世和绝对的。</w:t>
      </w:r>
    </w:p>
    <w:p w14:paraId="0FA0BF1C">
      <w:pPr>
        <w:pStyle w:val="9"/>
        <w:spacing w:before="13" w:line="249" w:lineRule="auto"/>
        <w:ind w:right="98" w:firstLine="450"/>
        <w:rPr>
          <w:rFonts w:hint="eastAsia"/>
          <w:color w:val="231F20"/>
        </w:rPr>
      </w:pPr>
    </w:p>
    <w:p w14:paraId="6BC16260">
      <w:pPr>
        <w:pStyle w:val="9"/>
        <w:spacing w:before="13" w:line="249" w:lineRule="auto"/>
        <w:ind w:right="98" w:firstLine="450"/>
        <w:rPr>
          <w:rFonts w:hint="eastAsia"/>
          <w:color w:val="231F20"/>
        </w:rPr>
      </w:pPr>
      <w:r>
        <w:rPr>
          <w:rFonts w:hint="eastAsia"/>
          <w:color w:val="231F20"/>
        </w:rPr>
        <w:t>For this reason, his Name—Father, Son, and Holy Spirit—will be the only name, since all other names and all other gods will have been swept away in the Judgment.</w:t>
      </w:r>
    </w:p>
    <w:p w14:paraId="698EF017">
      <w:pPr>
        <w:pStyle w:val="9"/>
        <w:spacing w:before="13" w:line="249" w:lineRule="auto"/>
        <w:ind w:right="98" w:firstLine="450"/>
        <w:rPr>
          <w:rFonts w:hint="eastAsia"/>
          <w:color w:val="231F20"/>
        </w:rPr>
      </w:pPr>
      <w:r>
        <w:rPr>
          <w:rFonts w:hint="eastAsia"/>
          <w:color w:val="231F20"/>
        </w:rPr>
        <w:t>因此，祂的名——父、子、圣灵——将是唯一的名字，因为所有其他的名字和所有其他的神都将在审判中被扫除。</w:t>
      </w:r>
    </w:p>
    <w:p w14:paraId="56BC1516">
      <w:pPr>
        <w:pStyle w:val="9"/>
        <w:spacing w:before="13" w:line="249" w:lineRule="auto"/>
        <w:ind w:right="98" w:firstLine="450"/>
        <w:rPr>
          <w:rFonts w:hint="eastAsia"/>
          <w:color w:val="231F20"/>
        </w:rPr>
      </w:pPr>
    </w:p>
    <w:p w14:paraId="5F878205">
      <w:pPr>
        <w:pStyle w:val="9"/>
        <w:spacing w:before="13" w:line="249" w:lineRule="auto"/>
        <w:ind w:right="98" w:firstLine="450"/>
        <w:rPr>
          <w:rFonts w:hint="eastAsia"/>
          <w:color w:val="231F20"/>
        </w:rPr>
      </w:pPr>
      <w:r>
        <w:rPr>
          <w:rFonts w:hint="eastAsia"/>
          <w:color w:val="231F20"/>
        </w:rPr>
        <w:t>God Triune will be all in all (Micah 4:5, John 17:6, Acts 4:12, 1 Cor. 8:6, 15:28, 2 Cor. 10:5, Phil. 2:9-11).</w:t>
      </w:r>
    </w:p>
    <w:p w14:paraId="7A507A84">
      <w:pPr>
        <w:pStyle w:val="9"/>
        <w:spacing w:before="13" w:line="249" w:lineRule="auto"/>
        <w:ind w:right="98" w:firstLine="450"/>
        <w:rPr>
          <w:rFonts w:hint="eastAsia"/>
          <w:color w:val="231F20"/>
        </w:rPr>
      </w:pPr>
      <w:r>
        <w:rPr>
          <w:rFonts w:hint="eastAsia"/>
          <w:color w:val="231F20"/>
        </w:rPr>
        <w:t>三一神将是万有中的万有 (弥 4:5, 约 17:6, 徒 4:12, 林前 8:6, 15:28, 林后 10:5, 腓 2:9-11)。</w:t>
      </w:r>
    </w:p>
    <w:p w14:paraId="2A2C6C3D">
      <w:pPr>
        <w:pStyle w:val="9"/>
        <w:spacing w:before="13" w:line="249" w:lineRule="auto"/>
        <w:ind w:right="98" w:firstLine="450"/>
        <w:rPr>
          <w:rFonts w:hint="eastAsia"/>
          <w:color w:val="231F20"/>
        </w:rPr>
      </w:pPr>
    </w:p>
    <w:p w14:paraId="7C8DFCD1">
      <w:pPr>
        <w:pStyle w:val="9"/>
        <w:spacing w:before="13" w:line="249" w:lineRule="auto"/>
        <w:ind w:right="98" w:firstLine="450"/>
        <w:rPr>
          <w:rFonts w:hint="eastAsia"/>
          <w:color w:val="231F20"/>
        </w:rPr>
      </w:pPr>
      <w:r>
        <w:rPr>
          <w:rFonts w:hint="eastAsia"/>
          <w:color w:val="231F20"/>
        </w:rPr>
        <w:t>In verse 10 we learn that the exaltation of the sovereign LORD over all creation will bring with it a corresponding exaltation of his people (Mt. 13:33, 1 Cor. 3:21-23, Col. 3:4, Rev. 21:7).</w:t>
      </w:r>
    </w:p>
    <w:p w14:paraId="4B0A0BA7">
      <w:pPr>
        <w:pStyle w:val="9"/>
        <w:spacing w:before="13" w:line="249" w:lineRule="auto"/>
        <w:ind w:right="98" w:firstLine="450"/>
        <w:rPr>
          <w:rFonts w:hint="eastAsia"/>
          <w:color w:val="231F20"/>
        </w:rPr>
      </w:pPr>
      <w:r>
        <w:rPr>
          <w:rFonts w:hint="eastAsia"/>
          <w:color w:val="231F20"/>
        </w:rPr>
        <w:t>在第10节，我们得知拥有至高主权的耶和华在所有受造物之上的高举，将带来祂子民相应的高举 (太 13:33, 林前 3:21-23, 西 3:4, 启 21:7)。</w:t>
      </w:r>
    </w:p>
    <w:p w14:paraId="1C0FA3DF">
      <w:pPr>
        <w:pStyle w:val="9"/>
        <w:spacing w:before="13" w:line="249" w:lineRule="auto"/>
        <w:ind w:right="98" w:firstLine="450"/>
        <w:rPr>
          <w:rFonts w:hint="eastAsia"/>
          <w:color w:val="231F20"/>
        </w:rPr>
      </w:pPr>
    </w:p>
    <w:p w14:paraId="39E5B68F">
      <w:pPr>
        <w:pStyle w:val="9"/>
        <w:spacing w:before="13" w:line="249" w:lineRule="auto"/>
        <w:ind w:right="98" w:firstLine="450"/>
        <w:rPr>
          <w:rFonts w:hint="eastAsia"/>
          <w:color w:val="231F20"/>
        </w:rPr>
      </w:pPr>
      <w:r>
        <w:rPr>
          <w:rFonts w:hint="eastAsia"/>
          <w:color w:val="231F20"/>
        </w:rPr>
        <w:t>Commentator Richard Phillips does a masterful job of addressing the particulars and probing the symbolism:</w:t>
      </w:r>
    </w:p>
    <w:p w14:paraId="40DA303C">
      <w:pPr>
        <w:pStyle w:val="9"/>
        <w:spacing w:before="13" w:line="249" w:lineRule="auto"/>
        <w:ind w:right="98" w:firstLine="450"/>
        <w:rPr>
          <w:rFonts w:hint="eastAsia"/>
          <w:color w:val="231F20"/>
        </w:rPr>
      </w:pPr>
      <w:r>
        <w:rPr>
          <w:rFonts w:hint="eastAsia"/>
          <w:color w:val="231F20"/>
        </w:rPr>
        <w:t>解经家理查德·菲利普斯在处理细节和探究象征意义方面做得非常出色：</w:t>
      </w:r>
    </w:p>
    <w:p w14:paraId="55668A6C">
      <w:pPr>
        <w:pStyle w:val="9"/>
        <w:spacing w:before="13" w:line="249" w:lineRule="auto"/>
        <w:ind w:right="98" w:firstLine="450"/>
        <w:rPr>
          <w:rFonts w:hint="eastAsia"/>
          <w:color w:val="231F20"/>
        </w:rPr>
      </w:pPr>
    </w:p>
    <w:p w14:paraId="44B7766C">
      <w:pPr>
        <w:pStyle w:val="9"/>
        <w:spacing w:before="13" w:line="249" w:lineRule="auto"/>
        <w:ind w:right="98" w:firstLine="450"/>
        <w:rPr>
          <w:rFonts w:hint="eastAsia"/>
          <w:color w:val="231F20"/>
        </w:rPr>
      </w:pPr>
      <w:r>
        <w:rPr>
          <w:rFonts w:hint="eastAsia"/>
          <w:color w:val="231F20"/>
        </w:rPr>
        <w:t>Verse 10 tells of the exaltation of Jerusalem, which is (presently) situated among larger hills in uneven country … Jerusalem’s surrounding terrain is to be flattened out; the territory of Judah, bounded by Geba and Rimmon, becomes like the Arabah, which is the plain through which the Jordan River flows.</w:t>
      </w:r>
    </w:p>
    <w:p w14:paraId="785A0016">
      <w:pPr>
        <w:pStyle w:val="9"/>
        <w:spacing w:before="13" w:line="249" w:lineRule="auto"/>
        <w:ind w:right="98" w:firstLine="450"/>
        <w:rPr>
          <w:rFonts w:hint="eastAsia"/>
          <w:color w:val="231F20"/>
        </w:rPr>
      </w:pPr>
      <w:r>
        <w:rPr>
          <w:rFonts w:hint="eastAsia"/>
          <w:color w:val="231F20"/>
        </w:rPr>
        <w:t>第10节讲述了耶路撒冷的高举，它（目前）坐落在不平坦地区较大的山丘之间……耶路撒冷周围的地形将被夷平；犹大的领土，以迦巴和临门为界，变得像亚拉巴，即约旦河流经的平原。</w:t>
      </w:r>
    </w:p>
    <w:p w14:paraId="0DE7CCEA">
      <w:pPr>
        <w:pStyle w:val="9"/>
        <w:spacing w:before="13" w:line="249" w:lineRule="auto"/>
        <w:ind w:right="98" w:firstLine="450"/>
        <w:rPr>
          <w:rFonts w:hint="eastAsia"/>
          <w:color w:val="231F20"/>
        </w:rPr>
      </w:pPr>
    </w:p>
    <w:p w14:paraId="6F290FFA">
      <w:pPr>
        <w:pStyle w:val="9"/>
        <w:spacing w:before="13" w:line="249" w:lineRule="auto"/>
        <w:ind w:right="98" w:firstLine="450"/>
        <w:rPr>
          <w:rFonts w:hint="eastAsia"/>
          <w:color w:val="231F20"/>
        </w:rPr>
      </w:pPr>
      <w:r>
        <w:rPr>
          <w:rFonts w:hint="eastAsia"/>
          <w:color w:val="231F20"/>
        </w:rPr>
        <w:t>The hills are made level to form a plateau wall, while Jerusalem is raised up to be seen by all around.</w:t>
      </w:r>
    </w:p>
    <w:p w14:paraId="36A90AF9">
      <w:pPr>
        <w:pStyle w:val="9"/>
        <w:spacing w:before="13" w:line="249" w:lineRule="auto"/>
        <w:ind w:right="98" w:firstLine="450"/>
        <w:rPr>
          <w:rFonts w:hint="eastAsia"/>
          <w:color w:val="231F20"/>
        </w:rPr>
      </w:pPr>
      <w:r>
        <w:rPr>
          <w:rFonts w:hint="eastAsia"/>
          <w:color w:val="231F20"/>
        </w:rPr>
        <w:t>群山被夷为平地，形成一个高原墙，而耶路撒冷则被高举，让周围所有的人都能看见。</w:t>
      </w:r>
    </w:p>
    <w:p w14:paraId="626E2BAD">
      <w:pPr>
        <w:pStyle w:val="9"/>
        <w:spacing w:before="13" w:line="249" w:lineRule="auto"/>
        <w:ind w:right="98" w:firstLine="450"/>
        <w:rPr>
          <w:rFonts w:hint="eastAsia"/>
          <w:color w:val="231F20"/>
        </w:rPr>
      </w:pPr>
    </w:p>
    <w:p w14:paraId="5EDF7F6B">
      <w:pPr>
        <w:pStyle w:val="9"/>
        <w:spacing w:before="13" w:line="249" w:lineRule="auto"/>
        <w:ind w:right="98" w:firstLine="450"/>
        <w:rPr>
          <w:rFonts w:hint="eastAsia"/>
          <w:color w:val="231F20"/>
        </w:rPr>
      </w:pPr>
      <w:r>
        <w:rPr>
          <w:rFonts w:hint="eastAsia"/>
          <w:color w:val="231F20"/>
        </w:rPr>
        <w:t>This verse gives the dimensions of the city in its greatest days; the whole city will be made secure and will rise up exalted … The point here is theological rather than topographical; it is the prophetic ideal achieved in the glorification of God’s Mountain and City.8</w:t>
      </w:r>
    </w:p>
    <w:p w14:paraId="5989DF20">
      <w:pPr>
        <w:pStyle w:val="9"/>
        <w:spacing w:before="13" w:line="249" w:lineRule="auto"/>
        <w:ind w:right="98" w:firstLine="450"/>
        <w:rPr>
          <w:rFonts w:hint="eastAsia"/>
          <w:color w:val="231F20"/>
        </w:rPr>
      </w:pPr>
      <w:r>
        <w:rPr>
          <w:rFonts w:hint="eastAsia"/>
          <w:color w:val="231F20"/>
        </w:rPr>
        <w:t>这节经文给出了这座城在其最伟大时期的尺寸；整座城将被保护，并将被高举……这里的重点是神学的，而不是地形学的；它是在神的山和城的荣耀中实现的预言理想。8</w:t>
      </w:r>
    </w:p>
    <w:p w14:paraId="581470C4">
      <w:pPr>
        <w:pStyle w:val="9"/>
        <w:spacing w:before="13" w:line="249" w:lineRule="auto"/>
        <w:ind w:right="98" w:firstLine="450"/>
        <w:rPr>
          <w:rFonts w:hint="eastAsia"/>
          <w:color w:val="231F20"/>
        </w:rPr>
      </w:pPr>
    </w:p>
    <w:p w14:paraId="3D810B16">
      <w:pPr>
        <w:pStyle w:val="9"/>
        <w:spacing w:before="13" w:line="249" w:lineRule="auto"/>
        <w:ind w:right="98" w:firstLine="450"/>
        <w:rPr>
          <w:rFonts w:hint="eastAsia"/>
          <w:color w:val="231F20"/>
        </w:rPr>
      </w:pPr>
      <w:r>
        <w:rPr>
          <w:rFonts w:hint="eastAsia"/>
          <w:color w:val="231F20"/>
        </w:rPr>
        <w:t>Phillips is telling us that verse 10 is a tightly knit skein of word-pictures mystically depicting events to occur at and after the Parousia.</w:t>
      </w:r>
    </w:p>
    <w:p w14:paraId="1A09E561">
      <w:pPr>
        <w:pStyle w:val="9"/>
        <w:spacing w:before="13" w:line="249" w:lineRule="auto"/>
        <w:ind w:right="98" w:firstLine="450"/>
        <w:rPr>
          <w:rFonts w:hint="eastAsia"/>
          <w:color w:val="231F20"/>
        </w:rPr>
      </w:pPr>
      <w:r>
        <w:rPr>
          <w:rFonts w:hint="eastAsia"/>
          <w:color w:val="231F20"/>
        </w:rPr>
        <w:t>菲利普斯告诉我们，第10节是一束紧密交织的文字图画，神秘地描绘了在再临时及其后将要发生的事件。</w:t>
      </w:r>
    </w:p>
    <w:p w14:paraId="12282236">
      <w:pPr>
        <w:pStyle w:val="9"/>
        <w:spacing w:before="13" w:line="249" w:lineRule="auto"/>
        <w:ind w:right="98" w:firstLine="450"/>
        <w:rPr>
          <w:rFonts w:hint="eastAsia"/>
          <w:color w:val="231F20"/>
        </w:rPr>
      </w:pPr>
    </w:p>
    <w:p w14:paraId="413BCCF0">
      <w:pPr>
        <w:pStyle w:val="9"/>
        <w:spacing w:before="13" w:line="249" w:lineRule="auto"/>
        <w:ind w:right="98" w:firstLine="450"/>
        <w:rPr>
          <w:rFonts w:hint="eastAsia"/>
          <w:color w:val="231F20"/>
        </w:rPr>
      </w:pPr>
      <w:r>
        <w:rPr>
          <w:rFonts w:hint="eastAsia"/>
          <w:color w:val="231F20"/>
        </w:rPr>
        <w:t>First, the hills and mountains surrounding Zion will be leveled.</w:t>
      </w:r>
    </w:p>
    <w:p w14:paraId="356B5651">
      <w:pPr>
        <w:pStyle w:val="9"/>
        <w:spacing w:before="13" w:line="249" w:lineRule="auto"/>
        <w:ind w:right="98" w:firstLine="450"/>
        <w:rPr>
          <w:rFonts w:hint="eastAsia"/>
          <w:color w:val="231F20"/>
        </w:rPr>
      </w:pPr>
      <w:r>
        <w:rPr>
          <w:rFonts w:hint="eastAsia"/>
          <w:color w:val="231F20"/>
        </w:rPr>
        <w:t>首先，环绕锡安的丘陵和山脉将被夷为平地。</w:t>
      </w:r>
    </w:p>
    <w:p w14:paraId="45249373">
      <w:pPr>
        <w:pStyle w:val="9"/>
        <w:spacing w:before="13" w:line="249" w:lineRule="auto"/>
        <w:ind w:right="98" w:firstLine="450"/>
        <w:rPr>
          <w:rFonts w:hint="eastAsia"/>
          <w:color w:val="231F20"/>
        </w:rPr>
      </w:pPr>
    </w:p>
    <w:p w14:paraId="1779DC45">
      <w:pPr>
        <w:pStyle w:val="9"/>
        <w:spacing w:before="13" w:line="249" w:lineRule="auto"/>
        <w:ind w:right="98" w:firstLine="450"/>
        <w:rPr>
          <w:rFonts w:hint="eastAsia"/>
          <w:color w:val="231F20"/>
        </w:rPr>
      </w:pPr>
      <w:r>
        <w:rPr>
          <w:rFonts w:hint="eastAsia"/>
          <w:color w:val="231F20"/>
        </w:rPr>
        <w:t>That is, all that is sinfully high and lifted up will be brought low, even unto destruction (Isaiah 2:12, 17; Luke 1:52, Rev. 14:8, 17:9, 18, 18:1ff).</w:t>
      </w:r>
    </w:p>
    <w:p w14:paraId="685024C1">
      <w:pPr>
        <w:pStyle w:val="9"/>
        <w:spacing w:before="13" w:line="249" w:lineRule="auto"/>
        <w:ind w:right="98" w:firstLine="450"/>
        <w:rPr>
          <w:rFonts w:hint="eastAsia"/>
          <w:color w:val="231F20"/>
        </w:rPr>
      </w:pPr>
      <w:r>
        <w:rPr>
          <w:rFonts w:hint="eastAsia"/>
          <w:color w:val="231F20"/>
        </w:rPr>
        <w:t>也就是说，所有罪恶地高举的都将被降卑，甚至被毁灭 (赛 2:12, 17; 路 1:52, 启 14:8, 17:9, 18, 18:1及后)。</w:t>
      </w:r>
    </w:p>
    <w:p w14:paraId="278F666D">
      <w:pPr>
        <w:pStyle w:val="9"/>
        <w:spacing w:before="13" w:line="249" w:lineRule="auto"/>
        <w:ind w:right="98" w:firstLine="450"/>
        <w:rPr>
          <w:rFonts w:hint="eastAsia"/>
          <w:color w:val="231F20"/>
        </w:rPr>
      </w:pPr>
    </w:p>
    <w:p w14:paraId="14477D34">
      <w:pPr>
        <w:pStyle w:val="9"/>
        <w:spacing w:before="13" w:line="249" w:lineRule="auto"/>
        <w:ind w:right="98" w:firstLine="450"/>
        <w:rPr>
          <w:rFonts w:hint="eastAsia"/>
          <w:color w:val="231F20"/>
        </w:rPr>
      </w:pPr>
      <w:r>
        <w:rPr>
          <w:rFonts w:hint="eastAsia"/>
          <w:color w:val="231F20"/>
        </w:rPr>
        <w:t>Secondly, the territory of Judah will become a (well-watered) plain: A supernaturally purged and transformed creation will become the inheritance of Messiah’s tribe, and will henceforth serve as the staging area for the City of God (Rom. 8:20-21, Peter 3:13, Rev. 21:1-3).</w:t>
      </w:r>
    </w:p>
    <w:p w14:paraId="604188AA">
      <w:pPr>
        <w:pStyle w:val="9"/>
        <w:spacing w:before="13" w:line="249" w:lineRule="auto"/>
        <w:ind w:right="98" w:firstLine="450"/>
        <w:rPr>
          <w:rFonts w:hint="eastAsia"/>
          <w:color w:val="231F20"/>
        </w:rPr>
      </w:pPr>
      <w:r>
        <w:rPr>
          <w:rFonts w:hint="eastAsia"/>
          <w:color w:val="231F20"/>
        </w:rPr>
        <w:t>其次，犹大的领土将成为一个（水源充足的）平原：一个被超自然洁净和转变的受造界将成为弥赛亚支派的产业，并从此作为神之城的集结地 (罗 8:20-21, 彼后 3:13, 启 21:1-3)。</w:t>
      </w:r>
    </w:p>
    <w:p w14:paraId="4C1E949C">
      <w:pPr>
        <w:pStyle w:val="9"/>
        <w:spacing w:before="13" w:line="249" w:lineRule="auto"/>
        <w:ind w:right="98" w:firstLine="450"/>
        <w:rPr>
          <w:rFonts w:hint="eastAsia"/>
          <w:color w:val="231F20"/>
        </w:rPr>
      </w:pPr>
    </w:p>
    <w:p w14:paraId="6E4237E3">
      <w:pPr>
        <w:pStyle w:val="9"/>
        <w:spacing w:before="13" w:line="249" w:lineRule="auto"/>
        <w:ind w:right="98" w:firstLine="450"/>
        <w:rPr>
          <w:rFonts w:hint="eastAsia"/>
          <w:color w:val="231F20"/>
        </w:rPr>
      </w:pPr>
      <w:r>
        <w:rPr>
          <w:rFonts w:hint="eastAsia"/>
          <w:color w:val="231F20"/>
        </w:rPr>
        <w:t>Thirdly, Mt. Zion—and the Holy City that rests upon it—will be lifted up: The natural world will be glorified (thus becoming the Holy Mountain of God), and so too will the saints, who shall have that world as their eternal home (Isaiah 11:9, 65:25, Rom. 8:20-23, Heb. 12:22, Rev. 21:10).</w:t>
      </w:r>
    </w:p>
    <w:p w14:paraId="067C1E5F">
      <w:pPr>
        <w:pStyle w:val="9"/>
        <w:spacing w:before="13" w:line="249" w:lineRule="auto"/>
        <w:ind w:right="98" w:firstLine="450"/>
        <w:rPr>
          <w:rFonts w:hint="eastAsia"/>
          <w:color w:val="231F20"/>
        </w:rPr>
      </w:pPr>
      <w:r>
        <w:rPr>
          <w:rFonts w:hint="eastAsia"/>
          <w:color w:val="231F20"/>
        </w:rPr>
        <w:t>第三，锡安山——以及坐落其上的圣城——将被高举：自然世界将得荣耀（从而成为神的圣山），圣徒们也将得荣耀，他们将以那个世界为他们永恒的家 (赛 11:9, 65:25, 罗 8:20-23, 来 12:22, 启 21:10)。</w:t>
      </w:r>
    </w:p>
    <w:p w14:paraId="0FDF1199">
      <w:pPr>
        <w:pStyle w:val="9"/>
        <w:spacing w:before="13" w:line="249" w:lineRule="auto"/>
        <w:ind w:right="98" w:firstLine="450"/>
        <w:rPr>
          <w:rFonts w:hint="eastAsia"/>
          <w:color w:val="231F20"/>
        </w:rPr>
      </w:pPr>
    </w:p>
    <w:p w14:paraId="20838DD3">
      <w:pPr>
        <w:pStyle w:val="9"/>
        <w:spacing w:before="13" w:line="249" w:lineRule="auto"/>
        <w:ind w:right="98" w:firstLine="450"/>
        <w:rPr>
          <w:rFonts w:hint="eastAsia"/>
          <w:color w:val="231F20"/>
        </w:rPr>
      </w:pPr>
      <w:r>
        <w:rPr>
          <w:rFonts w:hint="eastAsia"/>
          <w:color w:val="231F20"/>
        </w:rPr>
        <w:t>Finally, the Holy City will be restored to her greatest dimensions: The dimensions of the Church’s eschatological City are the dimensions of Eden itself, and of all that was offered to man in Eden at the Tree of Life (Rev. 22:1-2, 14).</w:t>
      </w:r>
    </w:p>
    <w:p w14:paraId="2F1A9006">
      <w:pPr>
        <w:pStyle w:val="9"/>
        <w:spacing w:before="13" w:line="249" w:lineRule="auto"/>
        <w:ind w:right="98" w:firstLine="450"/>
        <w:rPr>
          <w:rFonts w:hint="eastAsia"/>
          <w:color w:val="231F20"/>
        </w:rPr>
      </w:pPr>
      <w:r>
        <w:rPr>
          <w:rFonts w:hint="eastAsia"/>
          <w:color w:val="231F20"/>
        </w:rPr>
        <w:t>最后，圣城将恢复到她最伟大的尺寸：教会末世之城的尺寸就是伊甸园本身的尺寸，以及在伊甸园生命树旁提供给人类的一切的尺寸 (启 22:1-2, 14)。</w:t>
      </w:r>
    </w:p>
    <w:p w14:paraId="0860810C">
      <w:pPr>
        <w:pStyle w:val="9"/>
        <w:spacing w:before="13" w:line="249" w:lineRule="auto"/>
        <w:ind w:right="98" w:firstLine="450"/>
        <w:rPr>
          <w:rFonts w:hint="eastAsia"/>
          <w:color w:val="231F20"/>
        </w:rPr>
      </w:pPr>
    </w:p>
    <w:p w14:paraId="4B7902F0">
      <w:pPr>
        <w:pStyle w:val="9"/>
        <w:spacing w:before="13" w:line="249" w:lineRule="auto"/>
        <w:ind w:right="98" w:firstLine="450"/>
        <w:rPr>
          <w:rFonts w:hint="eastAsia"/>
          <w:color w:val="231F20"/>
        </w:rPr>
      </w:pPr>
      <w:r>
        <w:rPr>
          <w:rFonts w:hint="eastAsia"/>
          <w:color w:val="231F20"/>
        </w:rPr>
        <w:t>In passing, we should note, with Phillips, that the exaltation of Jerusalem described here speaks not only of the consummation of the saints’ redemption, but also of the great moral inversion that it represents.</w:t>
      </w:r>
    </w:p>
    <w:p w14:paraId="5FCEEC4D">
      <w:pPr>
        <w:pStyle w:val="9"/>
        <w:spacing w:before="13" w:line="249" w:lineRule="auto"/>
        <w:ind w:right="98" w:firstLine="450"/>
        <w:rPr>
          <w:rFonts w:hint="eastAsia"/>
          <w:color w:val="231F20"/>
        </w:rPr>
      </w:pPr>
      <w:r>
        <w:rPr>
          <w:rFonts w:hint="eastAsia"/>
          <w:color w:val="231F20"/>
        </w:rPr>
        <w:t>顺便一提，我们应该和菲利普斯一同注意到，这里描述的耶路撒冷的高举不仅说的是圣徒救赎的完成，也说的是它所代表的巨大的道德颠倒。</w:t>
      </w:r>
    </w:p>
    <w:p w14:paraId="47A930A0">
      <w:pPr>
        <w:pStyle w:val="9"/>
        <w:spacing w:before="13" w:line="249" w:lineRule="auto"/>
        <w:ind w:right="98" w:firstLine="450"/>
        <w:rPr>
          <w:rFonts w:hint="eastAsia"/>
          <w:color w:val="231F20"/>
        </w:rPr>
      </w:pPr>
    </w:p>
    <w:p w14:paraId="20D3FC9B">
      <w:pPr>
        <w:pStyle w:val="9"/>
        <w:spacing w:before="13" w:line="249" w:lineRule="auto"/>
        <w:ind w:right="98" w:firstLine="450"/>
        <w:rPr>
          <w:rFonts w:hint="eastAsia"/>
          <w:color w:val="231F20"/>
        </w:rPr>
      </w:pPr>
      <w:r>
        <w:rPr>
          <w:rFonts w:hint="eastAsia"/>
          <w:color w:val="231F20"/>
        </w:rPr>
        <w:t>The Holy City—presently small, hidden, despised, powerless, and persecuted amidst “the Great City” that is the fallen world-system—will suddenly be found to praise, honor, and glory at the revelation of Christ (1 Peter 1:13, Rev. 11:2, 8, 17:6, 18:1ff, 21:2).</w:t>
      </w:r>
    </w:p>
    <w:p w14:paraId="179E4A66">
      <w:pPr>
        <w:pStyle w:val="9"/>
        <w:spacing w:before="13" w:line="249" w:lineRule="auto"/>
        <w:ind w:right="98" w:firstLine="450"/>
        <w:rPr>
          <w:rFonts w:hint="eastAsia"/>
          <w:color w:val="231F20"/>
        </w:rPr>
      </w:pPr>
      <w:r>
        <w:rPr>
          <w:rFonts w:hint="eastAsia"/>
          <w:color w:val="231F20"/>
        </w:rPr>
        <w:t>圣城——目前在堕落世界体系的“大城”中微小、隐藏、被藐视、无能和受迫害——在基督显现时，将突然被发现值得称赞、尊贵和荣耀 (彼前 1:13, 启 11:2, 8, 17:6, 18:1及后, 21:2)。</w:t>
      </w:r>
    </w:p>
    <w:p w14:paraId="5B33F6E8">
      <w:pPr>
        <w:pStyle w:val="9"/>
        <w:spacing w:before="13" w:line="249" w:lineRule="auto"/>
        <w:ind w:right="98" w:firstLine="450"/>
        <w:rPr>
          <w:rFonts w:hint="eastAsia"/>
          <w:color w:val="231F20"/>
        </w:rPr>
      </w:pPr>
    </w:p>
    <w:p w14:paraId="0626487F">
      <w:pPr>
        <w:pStyle w:val="9"/>
        <w:spacing w:before="13" w:line="249" w:lineRule="auto"/>
        <w:ind w:right="98" w:firstLine="450"/>
        <w:rPr>
          <w:rFonts w:hint="eastAsia"/>
          <w:color w:val="231F20"/>
        </w:rPr>
      </w:pPr>
      <w:r>
        <w:rPr>
          <w:rFonts w:hint="eastAsia"/>
          <w:color w:val="231F20"/>
        </w:rPr>
        <w:t>As Jesus taught us: In that Day, the poor will become rich, the hungry will be satisfied, and the sorrowful will rejoice, for the meek, at long last, shall inherit the earth (Mt. 5:5, Luke 6:20-23).</w:t>
      </w:r>
    </w:p>
    <w:p w14:paraId="4C78E6C0">
      <w:pPr>
        <w:pStyle w:val="9"/>
        <w:spacing w:before="13" w:line="249" w:lineRule="auto"/>
        <w:ind w:right="98" w:firstLine="450"/>
        <w:rPr>
          <w:rFonts w:hint="eastAsia"/>
          <w:color w:val="231F20"/>
        </w:rPr>
      </w:pPr>
      <w:r>
        <w:rPr>
          <w:rFonts w:hint="eastAsia"/>
          <w:color w:val="231F20"/>
        </w:rPr>
        <w:t>正如耶稣所教导我们的：在那日，贫穷的将要富足，饥饿的将要得饱足，哀恸的将要喜乐，因为温柔的人，最终将承受地土 (太 5:5, 路 6:20-23)。</w:t>
      </w:r>
    </w:p>
    <w:p w14:paraId="5747D81A">
      <w:pPr>
        <w:pStyle w:val="9"/>
        <w:spacing w:before="13" w:line="249" w:lineRule="auto"/>
        <w:ind w:right="98" w:firstLine="450"/>
        <w:rPr>
          <w:rFonts w:hint="eastAsia"/>
          <w:color w:val="231F20"/>
        </w:rPr>
      </w:pPr>
    </w:p>
    <w:p w14:paraId="3B211597">
      <w:pPr>
        <w:pStyle w:val="9"/>
        <w:spacing w:before="13" w:line="249" w:lineRule="auto"/>
        <w:ind w:right="98" w:firstLine="450"/>
        <w:rPr>
          <w:rFonts w:hint="eastAsia"/>
          <w:color w:val="231F20"/>
        </w:rPr>
      </w:pPr>
      <w:r>
        <w:rPr>
          <w:rFonts w:hint="eastAsia"/>
          <w:color w:val="231F20"/>
        </w:rPr>
        <w:t>Verse 11 brings the prophecy to a close: Settled on the Mountain of God, secure in Christ, and redeemed from the Curse of the Law, the Holy City will experience the life of God, with God, forever (Rom. 8:1, Gal. 3:13, Rev. 22:3).</w:t>
      </w:r>
    </w:p>
    <w:p w14:paraId="76E52443">
      <w:pPr>
        <w:pStyle w:val="9"/>
        <w:spacing w:before="13" w:line="249" w:lineRule="auto"/>
        <w:ind w:right="98" w:firstLine="450"/>
        <w:rPr>
          <w:rFonts w:hint="eastAsia"/>
          <w:color w:val="231F20"/>
        </w:rPr>
      </w:pPr>
      <w:r>
        <w:rPr>
          <w:rFonts w:hint="eastAsia"/>
          <w:color w:val="231F20"/>
        </w:rPr>
        <w:t>第11节结束了预言：圣城安居在神的山上，在基督里稳固，并从律法的咒诅中被救赎，将永远与神同在，经历神的生命 (罗 8:1, 加 3:13, 启 22:3)。</w:t>
      </w:r>
    </w:p>
    <w:p w14:paraId="62A934E5">
      <w:pPr>
        <w:pStyle w:val="9"/>
        <w:spacing w:before="13" w:line="249" w:lineRule="auto"/>
        <w:ind w:right="98" w:firstLine="450"/>
        <w:rPr>
          <w:rFonts w:hint="eastAsia"/>
          <w:color w:val="231F20"/>
        </w:rPr>
      </w:pPr>
    </w:p>
    <w:p w14:paraId="3694AFF8">
      <w:pPr>
        <w:pStyle w:val="9"/>
        <w:spacing w:before="13" w:line="249" w:lineRule="auto"/>
        <w:ind w:right="98" w:firstLine="450"/>
        <w:rPr>
          <w:rFonts w:hint="eastAsia"/>
          <w:color w:val="231F20"/>
        </w:rPr>
      </w:pPr>
      <w:r>
        <w:rPr>
          <w:rFonts w:hint="eastAsia"/>
          <w:color w:val="231F20"/>
        </w:rPr>
        <w:t>The Judgment to Come (14:12-15)</w:t>
      </w:r>
    </w:p>
    <w:p w14:paraId="79C26ACE">
      <w:pPr>
        <w:pStyle w:val="9"/>
        <w:spacing w:before="13" w:line="249" w:lineRule="auto"/>
        <w:ind w:right="98" w:firstLine="450"/>
        <w:rPr>
          <w:rFonts w:hint="eastAsia"/>
          <w:color w:val="231F20"/>
        </w:rPr>
      </w:pPr>
      <w:r>
        <w:rPr>
          <w:rFonts w:hint="eastAsia"/>
          <w:color w:val="231F20"/>
        </w:rPr>
        <w:t>将来的审判 (14:12-15)</w:t>
      </w:r>
    </w:p>
    <w:p w14:paraId="3638E0C8">
      <w:pPr>
        <w:pStyle w:val="9"/>
        <w:spacing w:before="13" w:line="249" w:lineRule="auto"/>
        <w:ind w:right="98" w:firstLine="450"/>
        <w:rPr>
          <w:rFonts w:hint="eastAsia"/>
          <w:color w:val="231F20"/>
        </w:rPr>
      </w:pPr>
    </w:p>
    <w:p w14:paraId="44B16F80">
      <w:pPr>
        <w:pStyle w:val="9"/>
        <w:spacing w:before="13" w:line="249" w:lineRule="auto"/>
        <w:ind w:right="98" w:firstLine="450"/>
        <w:rPr>
          <w:rFonts w:hint="eastAsia"/>
          <w:color w:val="231F20"/>
        </w:rPr>
      </w:pPr>
      <w:r>
        <w:rPr>
          <w:rFonts w:hint="eastAsia"/>
          <w:color w:val="231F20"/>
        </w:rPr>
        <w:t>These verses, which reprise the battle imagery of 12:1-4, draw heavily upon OT Law and history to depict the eschatological defeat of the enemies of Christ’s Church at his Parousia, and the eternal punishment to follow (Mt. 24:29-25:46, 1 Thess. 1, 2 Thess. 2, Rev. 11:7-13, Rev. 14:14-20, 19:11-21, 20:7-15).</w:t>
      </w:r>
    </w:p>
    <w:p w14:paraId="3E6DE3C5">
      <w:pPr>
        <w:pStyle w:val="9"/>
        <w:spacing w:before="13" w:line="249" w:lineRule="auto"/>
        <w:ind w:right="98" w:firstLine="450"/>
        <w:rPr>
          <w:rFonts w:hint="eastAsia"/>
          <w:color w:val="231F20"/>
        </w:rPr>
      </w:pPr>
      <w:r>
        <w:rPr>
          <w:rFonts w:hint="eastAsia"/>
          <w:color w:val="231F20"/>
        </w:rPr>
        <w:t>这些经文重述了12:1-4的争战意象，大量借鉴了旧约律法和历史，来描绘在基督再临时，祂教会的仇敌的末世性失败，以及随之而来的永恒惩罚 (太 24:29-25:46, 帖前 1, 帖后 2, 启 11:7-13, 启 14:14-20, 19:11-21, 20:7-15)。</w:t>
      </w:r>
    </w:p>
    <w:p w14:paraId="4CC8E321">
      <w:pPr>
        <w:pStyle w:val="9"/>
        <w:spacing w:before="13" w:line="249" w:lineRule="auto"/>
        <w:ind w:right="98" w:firstLine="450"/>
        <w:rPr>
          <w:rFonts w:hint="eastAsia"/>
          <w:color w:val="231F20"/>
        </w:rPr>
      </w:pPr>
    </w:p>
    <w:p w14:paraId="513842CC">
      <w:pPr>
        <w:pStyle w:val="9"/>
        <w:spacing w:before="13" w:line="249" w:lineRule="auto"/>
        <w:ind w:right="98" w:firstLine="450"/>
        <w:rPr>
          <w:rFonts w:hint="eastAsia"/>
          <w:color w:val="231F20"/>
        </w:rPr>
      </w:pPr>
      <w:r>
        <w:rPr>
          <w:rFonts w:hint="eastAsia"/>
          <w:color w:val="231F20"/>
        </w:rPr>
        <w:t>Verse 12, a ghastly portrait of the eternal destruction of the wicked in hell, represents their torments in terms of the plagues that formerly befell God’s enemies, whether in Egypt (Ex. 7-12), or, more aptly, at the gates of Jerusalem itself, where the Angel of the Lord struck the Assyrian army and rescued the trembling but trusting people of God (Isaiah 36-37; cf. Lev. 26:16, Deut. 28:22, 2 Thess. 1:9, Rev. 20:10,14).</w:t>
      </w:r>
    </w:p>
    <w:p w14:paraId="44554CA3">
      <w:pPr>
        <w:pStyle w:val="9"/>
        <w:spacing w:before="13" w:line="249" w:lineRule="auto"/>
        <w:ind w:right="98" w:firstLine="450"/>
        <w:rPr>
          <w:rFonts w:hint="eastAsia"/>
          <w:color w:val="231F20"/>
        </w:rPr>
      </w:pPr>
      <w:r>
        <w:rPr>
          <w:rFonts w:hint="eastAsia"/>
          <w:color w:val="231F20"/>
        </w:rPr>
        <w:t>第12节，一幅描绘地狱中恶人永恒毁灭的可怕肖像，用曾降在神仇敌身上的灾殃来代表他们的折磨，无论是在埃及（出 7-12），还是更恰当地，在耶路撒冷城门口，在那里主的使者击打了亚述军队，并拯救了颤抖但信靠神的人民（赛 36-37；参 利 26:16, 申 28:22, 帖后 1:9, 启 20:10, 14）。</w:t>
      </w:r>
    </w:p>
    <w:p w14:paraId="198BCE21">
      <w:pPr>
        <w:pStyle w:val="9"/>
        <w:spacing w:before="13" w:line="249" w:lineRule="auto"/>
        <w:ind w:right="98" w:firstLine="450"/>
        <w:rPr>
          <w:rFonts w:hint="eastAsia"/>
          <w:color w:val="231F20"/>
        </w:rPr>
      </w:pPr>
    </w:p>
    <w:p w14:paraId="7F674F90">
      <w:pPr>
        <w:pStyle w:val="9"/>
        <w:spacing w:before="13" w:line="249" w:lineRule="auto"/>
        <w:ind w:right="98" w:firstLine="450"/>
        <w:rPr>
          <w:rFonts w:hint="eastAsia"/>
          <w:color w:val="231F20"/>
        </w:rPr>
      </w:pPr>
      <w:r>
        <w:rPr>
          <w:rFonts w:hint="eastAsia"/>
          <w:color w:val="231F20"/>
        </w:rPr>
        <w:t>Verse 13 tells us that, as in OT times, so again at the Last Battle: God will judge his enemies by confusing their thoughts, undermining their unity, and turning their hand one against another (Judges 7:22, 1 Sam. 14:20).</w:t>
      </w:r>
    </w:p>
    <w:p w14:paraId="6B125A95">
      <w:pPr>
        <w:pStyle w:val="9"/>
        <w:spacing w:before="13" w:line="249" w:lineRule="auto"/>
        <w:ind w:right="98" w:firstLine="450"/>
        <w:rPr>
          <w:rFonts w:hint="eastAsia"/>
          <w:color w:val="231F20"/>
        </w:rPr>
      </w:pPr>
      <w:r>
        <w:rPr>
          <w:rFonts w:hint="eastAsia"/>
          <w:color w:val="231F20"/>
        </w:rPr>
        <w:t>第13节告诉我们，如同在旧约时代，在最后的战役中也是如此：神将通过混乱祂仇敌的思想，破坏他们的团结，并使他们自相残杀来审判他们 (士 7:22, 撒上 14:20)。</w:t>
      </w:r>
    </w:p>
    <w:p w14:paraId="054DDBB7">
      <w:pPr>
        <w:pStyle w:val="9"/>
        <w:spacing w:before="13" w:line="249" w:lineRule="auto"/>
        <w:ind w:right="98" w:firstLine="450"/>
        <w:rPr>
          <w:rFonts w:hint="eastAsia"/>
          <w:color w:val="231F20"/>
        </w:rPr>
      </w:pPr>
    </w:p>
    <w:p w14:paraId="778646F2">
      <w:pPr>
        <w:pStyle w:val="9"/>
        <w:spacing w:before="13" w:line="249" w:lineRule="auto"/>
        <w:ind w:right="98" w:firstLine="450"/>
        <w:rPr>
          <w:rFonts w:hint="eastAsia"/>
          <w:color w:val="231F20"/>
        </w:rPr>
      </w:pPr>
      <w:r>
        <w:rPr>
          <w:rFonts w:hint="eastAsia"/>
          <w:color w:val="231F20"/>
        </w:rPr>
        <w:t>The final destruction of Antichrist’s kingdom will be heralded by the preliminary destructiveness of war within his kingdom (Dan. 11:36ff, Rev. 17:16-18).</w:t>
      </w:r>
    </w:p>
    <w:p w14:paraId="3A7E72A6">
      <w:pPr>
        <w:pStyle w:val="9"/>
        <w:spacing w:before="13" w:line="249" w:lineRule="auto"/>
        <w:ind w:right="98" w:firstLine="450"/>
        <w:rPr>
          <w:rFonts w:hint="eastAsia"/>
          <w:color w:val="231F20"/>
        </w:rPr>
      </w:pPr>
      <w:r>
        <w:rPr>
          <w:rFonts w:hint="eastAsia"/>
          <w:color w:val="231F20"/>
        </w:rPr>
        <w:t>敌基督国度的最终毁灭，将由其国度内部战争的初步毁灭性所预示 (但 11:36及后, 启 17:16-18)。</w:t>
      </w:r>
    </w:p>
    <w:p w14:paraId="3D185FBC">
      <w:pPr>
        <w:pStyle w:val="9"/>
        <w:spacing w:before="13" w:line="249" w:lineRule="auto"/>
        <w:ind w:right="98" w:firstLine="450"/>
        <w:rPr>
          <w:rFonts w:hint="eastAsia"/>
          <w:color w:val="231F20"/>
        </w:rPr>
      </w:pPr>
    </w:p>
    <w:p w14:paraId="5937586F">
      <w:pPr>
        <w:pStyle w:val="9"/>
        <w:spacing w:before="13" w:line="249" w:lineRule="auto"/>
        <w:ind w:right="98" w:firstLine="450"/>
        <w:rPr>
          <w:rFonts w:hint="eastAsia"/>
          <w:color w:val="231F20"/>
        </w:rPr>
      </w:pPr>
      <w:r>
        <w:rPr>
          <w:rFonts w:hint="eastAsia"/>
          <w:color w:val="231F20"/>
        </w:rPr>
        <w:t>Conceivably, this verse also portrays the eternal hatred and conflict of the wicked in hell.</w:t>
      </w:r>
    </w:p>
    <w:p w14:paraId="0786885F">
      <w:pPr>
        <w:pStyle w:val="9"/>
        <w:spacing w:before="13" w:line="249" w:lineRule="auto"/>
        <w:ind w:right="98" w:firstLine="450"/>
        <w:rPr>
          <w:rFonts w:hint="eastAsia"/>
          <w:color w:val="231F20"/>
        </w:rPr>
      </w:pPr>
      <w:r>
        <w:rPr>
          <w:rFonts w:hint="eastAsia"/>
          <w:color w:val="231F20"/>
        </w:rPr>
        <w:t>可以想见，这节经文也描绘了地狱中恶人永恒的仇恨和冲突。</w:t>
      </w:r>
    </w:p>
    <w:p w14:paraId="6C4C0BC7">
      <w:pPr>
        <w:pStyle w:val="9"/>
        <w:spacing w:before="13" w:line="249" w:lineRule="auto"/>
        <w:ind w:right="98" w:firstLine="450"/>
        <w:rPr>
          <w:rFonts w:hint="eastAsia"/>
          <w:color w:val="231F20"/>
        </w:rPr>
      </w:pPr>
    </w:p>
    <w:p w14:paraId="17B2F467">
      <w:pPr>
        <w:pStyle w:val="9"/>
        <w:spacing w:before="13" w:line="249" w:lineRule="auto"/>
        <w:ind w:right="98" w:firstLine="450"/>
        <w:rPr>
          <w:rFonts w:hint="eastAsia"/>
          <w:color w:val="231F20"/>
        </w:rPr>
      </w:pPr>
      <w:r>
        <w:rPr>
          <w:rFonts w:hint="eastAsia"/>
          <w:color w:val="231F20"/>
        </w:rPr>
        <w:t>Verse 14 enlarges upon 14:1, speaking of the eschatological plunder to occur after the Last Battle.</w:t>
      </w:r>
    </w:p>
    <w:p w14:paraId="33FD8EEB">
      <w:pPr>
        <w:pStyle w:val="9"/>
        <w:spacing w:before="13" w:line="249" w:lineRule="auto"/>
        <w:ind w:right="98" w:firstLine="450"/>
        <w:rPr>
          <w:rFonts w:hint="eastAsia"/>
          <w:color w:val="231F20"/>
        </w:rPr>
      </w:pPr>
      <w:r>
        <w:rPr>
          <w:rFonts w:hint="eastAsia"/>
          <w:color w:val="231F20"/>
        </w:rPr>
        <w:t>第14节扩展了14:1的内容，讲述了最后战役后将要发生的末世性掠夺。</w:t>
      </w:r>
    </w:p>
    <w:p w14:paraId="448126CC">
      <w:pPr>
        <w:pStyle w:val="9"/>
        <w:spacing w:before="13" w:line="249" w:lineRule="auto"/>
        <w:ind w:right="98" w:firstLine="450"/>
        <w:rPr>
          <w:rFonts w:hint="eastAsia"/>
          <w:color w:val="231F20"/>
        </w:rPr>
      </w:pPr>
    </w:p>
    <w:p w14:paraId="5C1D6034">
      <w:pPr>
        <w:pStyle w:val="9"/>
        <w:spacing w:before="13" w:line="249" w:lineRule="auto"/>
        <w:ind w:right="98" w:firstLine="450"/>
        <w:rPr>
          <w:rFonts w:hint="eastAsia"/>
          <w:color w:val="231F20"/>
        </w:rPr>
      </w:pPr>
      <w:r>
        <w:rPr>
          <w:rFonts w:hint="eastAsia"/>
          <w:color w:val="231F20"/>
        </w:rPr>
        <w:t>The royal tribe (the Church) will fight bravely in defense of the Holy City (also the Church), teaching, preaching, and encouraging one another in such a way that they will endure to the end, and so be saved (14:14, NAS, NIV; Mt. 10:22, Acts 14:22, 1 Thess. 3:2-3, Rev. 2:10).</w:t>
      </w:r>
    </w:p>
    <w:p w14:paraId="514C9FDD">
      <w:pPr>
        <w:pStyle w:val="9"/>
        <w:spacing w:before="13" w:line="249" w:lineRule="auto"/>
        <w:ind w:right="98" w:firstLine="450"/>
        <w:rPr>
          <w:rFonts w:hint="eastAsia"/>
          <w:color w:val="231F20"/>
        </w:rPr>
      </w:pPr>
      <w:r>
        <w:rPr>
          <w:rFonts w:hint="eastAsia"/>
          <w:color w:val="231F20"/>
        </w:rPr>
        <w:t>王室支派（教会）将为保卫圣城（也是教会）而英勇作战，彼此教导、传道和鼓励，以至于他们能忍耐到底，从而得救 (14:14, NAS, NIV; 太 10:22, 徒 14:22, 帖前 3:2-3, 启 2:10)。</w:t>
      </w:r>
    </w:p>
    <w:p w14:paraId="66ABA3A2">
      <w:pPr>
        <w:pStyle w:val="9"/>
        <w:spacing w:before="13" w:line="249" w:lineRule="auto"/>
        <w:ind w:right="98" w:firstLine="450"/>
        <w:rPr>
          <w:rFonts w:hint="eastAsia"/>
          <w:color w:val="231F20"/>
        </w:rPr>
      </w:pPr>
    </w:p>
    <w:p w14:paraId="339288CB">
      <w:pPr>
        <w:pStyle w:val="9"/>
        <w:spacing w:before="13" w:line="249" w:lineRule="auto"/>
        <w:ind w:right="98" w:firstLine="450"/>
        <w:rPr>
          <w:rFonts w:hint="eastAsia"/>
          <w:color w:val="231F20"/>
        </w:rPr>
      </w:pPr>
      <w:r>
        <w:rPr>
          <w:rFonts w:hint="eastAsia"/>
          <w:color w:val="231F20"/>
        </w:rPr>
        <w:t>As a reward for their faithfulness, Christ, at his return, will cause the world and its wealth, now purged of sin, to pass forever into the custody of the saints (Luke 19:15f).</w:t>
      </w:r>
    </w:p>
    <w:p w14:paraId="79308D6C">
      <w:pPr>
        <w:pStyle w:val="9"/>
        <w:spacing w:before="13" w:line="249" w:lineRule="auto"/>
        <w:ind w:right="98" w:firstLine="450"/>
        <w:rPr>
          <w:rFonts w:hint="eastAsia"/>
          <w:color w:val="231F20"/>
        </w:rPr>
      </w:pPr>
      <w:r>
        <w:rPr>
          <w:rFonts w:hint="eastAsia"/>
          <w:color w:val="231F20"/>
        </w:rPr>
        <w:t>作为对他们忠心的奖赏，基督在祂再来时，将使世界及其财富，如今已洁净了罪，永远交由圣徒保管 (路 19:15及后)。</w:t>
      </w:r>
    </w:p>
    <w:p w14:paraId="483F2181">
      <w:pPr>
        <w:pStyle w:val="9"/>
        <w:spacing w:before="13" w:line="249" w:lineRule="auto"/>
        <w:ind w:right="98" w:firstLine="450"/>
        <w:rPr>
          <w:rFonts w:hint="eastAsia"/>
          <w:color w:val="231F20"/>
        </w:rPr>
      </w:pPr>
    </w:p>
    <w:p w14:paraId="37C72A5F">
      <w:pPr>
        <w:pStyle w:val="9"/>
        <w:spacing w:before="13" w:line="249" w:lineRule="auto"/>
        <w:ind w:right="98" w:firstLine="450"/>
        <w:rPr>
          <w:rFonts w:hint="eastAsia"/>
          <w:color w:val="231F20"/>
        </w:rPr>
      </w:pPr>
      <w:r>
        <w:rPr>
          <w:rFonts w:hint="eastAsia"/>
          <w:color w:val="231F20"/>
        </w:rPr>
        <w:t>In that Day, all things will be theirs, they will be Christ’s, and Christ will be God’s (1 Cor. 3:21-23).</w:t>
      </w:r>
    </w:p>
    <w:p w14:paraId="5D8FC7ED">
      <w:pPr>
        <w:pStyle w:val="9"/>
        <w:spacing w:before="13" w:line="249" w:lineRule="auto"/>
        <w:ind w:right="98" w:firstLine="450"/>
        <w:rPr>
          <w:rFonts w:hint="eastAsia"/>
          <w:color w:val="231F20"/>
        </w:rPr>
      </w:pPr>
      <w:r>
        <w:rPr>
          <w:rFonts w:hint="eastAsia"/>
          <w:color w:val="231F20"/>
        </w:rPr>
        <w:t>那日，万有都是他们的，他们是属基督的，基督是属神的 (林前 3:21-23)。</w:t>
      </w:r>
    </w:p>
    <w:p w14:paraId="399D8C02">
      <w:pPr>
        <w:pStyle w:val="9"/>
        <w:spacing w:before="13" w:line="249" w:lineRule="auto"/>
        <w:ind w:right="98" w:firstLine="450"/>
        <w:rPr>
          <w:rFonts w:hint="eastAsia"/>
          <w:color w:val="231F20"/>
        </w:rPr>
      </w:pPr>
    </w:p>
    <w:p w14:paraId="60B88A40">
      <w:pPr>
        <w:pStyle w:val="9"/>
        <w:spacing w:before="13" w:line="249" w:lineRule="auto"/>
        <w:ind w:right="98" w:firstLine="450"/>
        <w:rPr>
          <w:rFonts w:hint="eastAsia"/>
          <w:color w:val="231F20"/>
        </w:rPr>
      </w:pPr>
      <w:r>
        <w:rPr>
          <w:rFonts w:hint="eastAsia"/>
          <w:color w:val="231F20"/>
        </w:rPr>
        <w:t>The humble in Christ will inherit the earth (Mt. 5:5).</w:t>
      </w:r>
    </w:p>
    <w:p w14:paraId="60BF4AD2">
      <w:pPr>
        <w:pStyle w:val="9"/>
        <w:spacing w:before="13" w:line="249" w:lineRule="auto"/>
        <w:ind w:right="98" w:firstLine="450"/>
        <w:rPr>
          <w:rFonts w:hint="eastAsia"/>
          <w:color w:val="231F20"/>
        </w:rPr>
      </w:pPr>
      <w:r>
        <w:rPr>
          <w:rFonts w:hint="eastAsia"/>
          <w:color w:val="231F20"/>
        </w:rPr>
        <w:t>在基督里的谦卑人必承受地土 (太 5:5)。</w:t>
      </w:r>
    </w:p>
    <w:p w14:paraId="4A27AF4B">
      <w:pPr>
        <w:pStyle w:val="9"/>
        <w:spacing w:before="13" w:line="249" w:lineRule="auto"/>
        <w:ind w:right="98" w:firstLine="450"/>
        <w:rPr>
          <w:rFonts w:hint="eastAsia"/>
          <w:color w:val="231F20"/>
        </w:rPr>
      </w:pPr>
    </w:p>
    <w:p w14:paraId="4B63F741">
      <w:pPr>
        <w:pStyle w:val="9"/>
        <w:spacing w:after="0" w:line="249" w:lineRule="auto"/>
        <w:rPr>
          <w:rFonts w:hint="eastAsia"/>
          <w:color w:val="231F20"/>
        </w:rPr>
      </w:pPr>
      <w:r>
        <w:rPr>
          <w:rFonts w:hint="eastAsia"/>
          <w:color w:val="231F20"/>
        </w:rPr>
        <w:t>Verse 15 declares that the final plague will fall even upon the animals that carried God’s enemies into battle.</w:t>
      </w:r>
    </w:p>
    <w:p w14:paraId="55533432">
      <w:pPr>
        <w:pStyle w:val="9"/>
        <w:spacing w:after="0" w:line="249" w:lineRule="auto"/>
        <w:rPr>
          <w:rFonts w:hint="eastAsia"/>
          <w:color w:val="231F20"/>
        </w:rPr>
      </w:pPr>
      <w:r>
        <w:rPr>
          <w:rFonts w:hint="eastAsia"/>
          <w:color w:val="231F20"/>
        </w:rPr>
        <w:t>第15节宣告最后的灾殃甚至会降在运载神的仇敌进入战场的动物身上。</w:t>
      </w:r>
    </w:p>
    <w:p w14:paraId="1942EFE2">
      <w:pPr>
        <w:pStyle w:val="9"/>
        <w:spacing w:after="0" w:line="249" w:lineRule="auto"/>
        <w:rPr>
          <w:rFonts w:hint="eastAsia"/>
          <w:color w:val="231F20"/>
        </w:rPr>
      </w:pPr>
    </w:p>
    <w:p w14:paraId="3A5BA1D0">
      <w:pPr>
        <w:pStyle w:val="9"/>
        <w:spacing w:after="0" w:line="249" w:lineRule="auto"/>
        <w:rPr>
          <w:rFonts w:hint="eastAsia"/>
          <w:color w:val="231F20"/>
        </w:rPr>
      </w:pPr>
      <w:r>
        <w:rPr>
          <w:rFonts w:hint="eastAsia"/>
          <w:color w:val="231F20"/>
        </w:rPr>
        <w:t>This recalls the “ban” under which God placed all living things when he sent Joshua into Canaan; into the land of the Amorite, whose iniquity had then grown full (Gen. 15:16, Deut. 20:16-18).</w:t>
      </w:r>
    </w:p>
    <w:p w14:paraId="0AF92ABE">
      <w:pPr>
        <w:pStyle w:val="9"/>
        <w:spacing w:after="0" w:line="249" w:lineRule="auto"/>
        <w:rPr>
          <w:rFonts w:hint="eastAsia"/>
          <w:color w:val="231F20"/>
        </w:rPr>
      </w:pPr>
      <w:r>
        <w:rPr>
          <w:rFonts w:hint="eastAsia"/>
          <w:color w:val="231F20"/>
        </w:rPr>
        <w:t>这让人回想起当神差遣约书亚进入迦南时，祂将所有活物置于其下的“禁令”；进入亚摩利人的地，那时他们的罪孽已经满盈 (创 15:16, 申 20:16-18)。</w:t>
      </w:r>
    </w:p>
    <w:p w14:paraId="3D985AA0">
      <w:pPr>
        <w:pStyle w:val="9"/>
        <w:spacing w:after="0" w:line="249" w:lineRule="auto"/>
        <w:rPr>
          <w:rFonts w:hint="eastAsia"/>
          <w:color w:val="231F20"/>
        </w:rPr>
      </w:pPr>
    </w:p>
    <w:p w14:paraId="52FC1E25">
      <w:pPr>
        <w:pStyle w:val="9"/>
        <w:spacing w:after="0" w:line="249" w:lineRule="auto"/>
        <w:rPr>
          <w:rFonts w:hint="eastAsia"/>
          <w:color w:val="231F20"/>
        </w:rPr>
      </w:pPr>
      <w:r>
        <w:rPr>
          <w:rFonts w:hint="eastAsia"/>
          <w:color w:val="231F20"/>
        </w:rPr>
        <w:t>The NT meaning is this: When the world’s iniquity is finally complete, Christ, God’s eschatological Joshua, will return and utterly destroy it.</w:t>
      </w:r>
    </w:p>
    <w:p w14:paraId="500D4BAD">
      <w:pPr>
        <w:pStyle w:val="9"/>
        <w:spacing w:after="0" w:line="249" w:lineRule="auto"/>
        <w:rPr>
          <w:rFonts w:hint="eastAsia"/>
          <w:color w:val="231F20"/>
        </w:rPr>
      </w:pPr>
      <w:r>
        <w:rPr>
          <w:rFonts w:hint="eastAsia"/>
          <w:color w:val="231F20"/>
        </w:rPr>
        <w:t>新约的意义是：当世界的罪孽最终满盈时，基督，神末世的约书亚，将要回来，并彻底毁灭它。</w:t>
      </w:r>
    </w:p>
    <w:p w14:paraId="40B8C707">
      <w:pPr>
        <w:pStyle w:val="9"/>
        <w:spacing w:after="0" w:line="249" w:lineRule="auto"/>
        <w:rPr>
          <w:rFonts w:hint="eastAsia"/>
          <w:color w:val="231F20"/>
        </w:rPr>
      </w:pPr>
    </w:p>
    <w:p w14:paraId="59D207E1">
      <w:pPr>
        <w:pStyle w:val="9"/>
        <w:spacing w:after="0" w:line="249" w:lineRule="auto"/>
        <w:rPr>
          <w:rFonts w:hint="eastAsia"/>
          <w:color w:val="231F20"/>
        </w:rPr>
      </w:pPr>
      <w:r>
        <w:rPr>
          <w:rFonts w:hint="eastAsia"/>
          <w:color w:val="231F20"/>
        </w:rPr>
        <w:t>The former things will pass away, so that new and eternal things may spring forth (Isaiah 42:9, 1 Cor. 7:31, 1 John 2:17).</w:t>
      </w:r>
    </w:p>
    <w:p w14:paraId="43C25C17">
      <w:pPr>
        <w:pStyle w:val="9"/>
        <w:spacing w:after="0" w:line="249" w:lineRule="auto"/>
        <w:rPr>
          <w:rFonts w:hint="eastAsia"/>
          <w:color w:val="231F20"/>
        </w:rPr>
      </w:pPr>
      <w:r>
        <w:rPr>
          <w:rFonts w:hint="eastAsia"/>
          <w:color w:val="231F20"/>
        </w:rPr>
        <w:t>旧事已过，好叫新的和永恒的事物可以生发出来 (赛 42:9, 林前 7:31, 约一 2:17)。</w:t>
      </w:r>
    </w:p>
    <w:p w14:paraId="2BF48FB3">
      <w:pPr>
        <w:pStyle w:val="9"/>
        <w:spacing w:after="0" w:line="249" w:lineRule="auto"/>
        <w:rPr>
          <w:rFonts w:hint="eastAsia"/>
          <w:color w:val="231F20"/>
        </w:rPr>
      </w:pPr>
    </w:p>
    <w:p w14:paraId="25CFB9C1">
      <w:pPr>
        <w:pStyle w:val="9"/>
        <w:spacing w:after="0" w:line="249" w:lineRule="auto"/>
        <w:rPr>
          <w:rFonts w:hint="eastAsia"/>
          <w:color w:val="231F20"/>
        </w:rPr>
      </w:pPr>
      <w:r>
        <w:rPr>
          <w:rFonts w:hint="eastAsia"/>
          <w:color w:val="231F20"/>
        </w:rPr>
        <w:t>God himself will make all things new, and will bestow those things upon his beloved sons and daughters, who will be heirs of God and joint heirs with Christ (Gal. 4:1-2, Rom. 8:17, Rev. 21:1-5, 7).</w:t>
      </w:r>
    </w:p>
    <w:p w14:paraId="431BAA9F">
      <w:pPr>
        <w:pStyle w:val="9"/>
        <w:spacing w:after="0" w:line="249" w:lineRule="auto"/>
        <w:rPr>
          <w:rFonts w:hint="eastAsia"/>
          <w:color w:val="231F20"/>
        </w:rPr>
      </w:pPr>
      <w:r>
        <w:rPr>
          <w:rFonts w:hint="eastAsia"/>
          <w:color w:val="231F20"/>
        </w:rPr>
        <w:t>神自己将要更新万物，并将那些事物赐给祂所爱的儿女，他们将是神的后嗣，并与基督同作后嗣 (加 4:1-2, 罗 8:17, 启 21:1-5, 7)。</w:t>
      </w:r>
    </w:p>
    <w:p w14:paraId="031A20C4">
      <w:pPr>
        <w:pStyle w:val="9"/>
        <w:spacing w:after="0" w:line="249" w:lineRule="auto"/>
        <w:rPr>
          <w:rFonts w:hint="eastAsia"/>
          <w:color w:val="231F20"/>
        </w:rPr>
      </w:pPr>
    </w:p>
    <w:p w14:paraId="539E3EA2">
      <w:pPr>
        <w:pStyle w:val="9"/>
        <w:spacing w:after="0" w:line="249" w:lineRule="auto"/>
        <w:rPr>
          <w:rFonts w:hint="eastAsia"/>
          <w:color w:val="231F20"/>
        </w:rPr>
      </w:pPr>
      <w:r>
        <w:rPr>
          <w:rFonts w:hint="eastAsia"/>
          <w:color w:val="231F20"/>
        </w:rPr>
        <w:t>The Worship to Come (14:16-21)</w:t>
      </w:r>
    </w:p>
    <w:p w14:paraId="79AB66C8">
      <w:pPr>
        <w:pStyle w:val="9"/>
        <w:spacing w:after="0" w:line="249" w:lineRule="auto"/>
        <w:rPr>
          <w:rFonts w:hint="eastAsia"/>
          <w:color w:val="231F20"/>
        </w:rPr>
      </w:pPr>
      <w:r>
        <w:rPr>
          <w:rFonts w:hint="eastAsia"/>
          <w:color w:val="231F20"/>
        </w:rPr>
        <w:t>将来的敬拜 (14:16-21)</w:t>
      </w:r>
    </w:p>
    <w:p w14:paraId="2FD3BAEF">
      <w:pPr>
        <w:pStyle w:val="9"/>
        <w:spacing w:after="0" w:line="249" w:lineRule="auto"/>
        <w:rPr>
          <w:rFonts w:hint="eastAsia"/>
          <w:color w:val="231F20"/>
        </w:rPr>
      </w:pPr>
    </w:p>
    <w:p w14:paraId="0E815D45">
      <w:pPr>
        <w:pStyle w:val="9"/>
        <w:spacing w:after="0" w:line="249" w:lineRule="auto"/>
        <w:rPr>
          <w:rFonts w:hint="eastAsia"/>
          <w:color w:val="231F20"/>
        </w:rPr>
      </w:pPr>
      <w:r>
        <w:rPr>
          <w:rFonts w:hint="eastAsia"/>
          <w:color w:val="231F20"/>
        </w:rPr>
        <w:t>Our final snapshot pictures worship in the World to Come.</w:t>
      </w:r>
    </w:p>
    <w:p w14:paraId="1DE7053C">
      <w:pPr>
        <w:pStyle w:val="9"/>
        <w:spacing w:after="0" w:line="249" w:lineRule="auto"/>
        <w:rPr>
          <w:rFonts w:hint="eastAsia"/>
          <w:color w:val="231F20"/>
        </w:rPr>
      </w:pPr>
      <w:r>
        <w:rPr>
          <w:rFonts w:hint="eastAsia"/>
          <w:color w:val="231F20"/>
        </w:rPr>
        <w:t>我们最后的快照描绘了在未来世界中的敬拜。</w:t>
      </w:r>
    </w:p>
    <w:p w14:paraId="6C9ED7C0">
      <w:pPr>
        <w:pStyle w:val="9"/>
        <w:spacing w:after="0" w:line="249" w:lineRule="auto"/>
        <w:rPr>
          <w:rFonts w:hint="eastAsia"/>
          <w:color w:val="231F20"/>
        </w:rPr>
      </w:pPr>
    </w:p>
    <w:p w14:paraId="2B9BD506">
      <w:pPr>
        <w:pStyle w:val="9"/>
        <w:spacing w:after="0" w:line="249" w:lineRule="auto"/>
        <w:rPr>
          <w:rFonts w:hint="eastAsia"/>
          <w:color w:val="231F20"/>
        </w:rPr>
      </w:pPr>
      <w:r>
        <w:rPr>
          <w:rFonts w:hint="eastAsia"/>
          <w:color w:val="231F20"/>
        </w:rPr>
        <w:t>It is divided into two parts.</w:t>
      </w:r>
    </w:p>
    <w:p w14:paraId="137E40A6">
      <w:pPr>
        <w:pStyle w:val="9"/>
        <w:spacing w:after="0" w:line="249" w:lineRule="auto"/>
        <w:rPr>
          <w:rFonts w:hint="eastAsia"/>
          <w:color w:val="231F20"/>
        </w:rPr>
      </w:pPr>
      <w:r>
        <w:rPr>
          <w:rFonts w:hint="eastAsia"/>
          <w:color w:val="231F20"/>
        </w:rPr>
        <w:t>它分为两个部分。</w:t>
      </w:r>
    </w:p>
    <w:p w14:paraId="62BF7A03">
      <w:pPr>
        <w:pStyle w:val="9"/>
        <w:spacing w:after="0" w:line="249" w:lineRule="auto"/>
        <w:rPr>
          <w:rFonts w:hint="eastAsia"/>
          <w:color w:val="231F20"/>
        </w:rPr>
      </w:pPr>
    </w:p>
    <w:p w14:paraId="171B231D">
      <w:pPr>
        <w:pStyle w:val="9"/>
        <w:spacing w:after="0" w:line="249" w:lineRule="auto"/>
        <w:rPr>
          <w:rFonts w:hint="eastAsia"/>
          <w:color w:val="231F20"/>
        </w:rPr>
      </w:pPr>
      <w:r>
        <w:rPr>
          <w:rFonts w:hint="eastAsia"/>
          <w:color w:val="231F20"/>
        </w:rPr>
        <w:t>The first speaks of the eschatological Feast of Booths (vv. 16-19), the second of the perfect holiness of eschatological Judah and Jerusalem (vv. 20-21).</w:t>
      </w:r>
    </w:p>
    <w:p w14:paraId="08815541">
      <w:pPr>
        <w:pStyle w:val="9"/>
        <w:spacing w:after="0" w:line="249" w:lineRule="auto"/>
        <w:rPr>
          <w:rFonts w:hint="eastAsia"/>
          <w:color w:val="231F20"/>
        </w:rPr>
      </w:pPr>
      <w:r>
        <w:rPr>
          <w:rFonts w:hint="eastAsia"/>
          <w:color w:val="231F20"/>
        </w:rPr>
        <w:t>第一部分讲论末世的住棚节（第16-19节），第二部分讲论末世犹大和耶路撒冷的完美圣洁（第20-21节）。</w:t>
      </w:r>
    </w:p>
    <w:p w14:paraId="395F275B">
      <w:pPr>
        <w:pStyle w:val="9"/>
        <w:spacing w:after="0" w:line="249" w:lineRule="auto"/>
        <w:rPr>
          <w:rFonts w:hint="eastAsia"/>
          <w:color w:val="231F20"/>
        </w:rPr>
      </w:pPr>
    </w:p>
    <w:p w14:paraId="5C95E16F">
      <w:pPr>
        <w:pStyle w:val="9"/>
        <w:spacing w:after="0" w:line="249" w:lineRule="auto"/>
        <w:rPr>
          <w:rFonts w:hint="eastAsia"/>
          <w:color w:val="231F20"/>
        </w:rPr>
      </w:pPr>
      <w:r>
        <w:rPr>
          <w:rFonts w:hint="eastAsia"/>
          <w:color w:val="231F20"/>
        </w:rPr>
        <w:t>Earlier, we discussed the reasons why a literal, premillennial interpretation of this text is impossible.</w:t>
      </w:r>
    </w:p>
    <w:p w14:paraId="64BF9527">
      <w:pPr>
        <w:pStyle w:val="9"/>
        <w:spacing w:after="0" w:line="249" w:lineRule="auto"/>
        <w:rPr>
          <w:rFonts w:hint="eastAsia"/>
          <w:color w:val="231F20"/>
        </w:rPr>
      </w:pPr>
      <w:r>
        <w:rPr>
          <w:rFonts w:hint="eastAsia"/>
          <w:color w:val="231F20"/>
        </w:rPr>
        <w:t>早些时候，我们讨论了为什么对这段经文进行字面的、前千禧年论的解释是不可能的。</w:t>
      </w:r>
    </w:p>
    <w:p w14:paraId="3361132D">
      <w:pPr>
        <w:pStyle w:val="9"/>
        <w:spacing w:after="0" w:line="249" w:lineRule="auto"/>
        <w:rPr>
          <w:rFonts w:hint="eastAsia"/>
          <w:color w:val="231F20"/>
        </w:rPr>
      </w:pPr>
    </w:p>
    <w:p w14:paraId="628F34D0">
      <w:pPr>
        <w:pStyle w:val="9"/>
        <w:spacing w:after="0" w:line="249" w:lineRule="auto"/>
        <w:rPr>
          <w:rFonts w:hint="eastAsia"/>
          <w:color w:val="231F20"/>
        </w:rPr>
      </w:pPr>
      <w:r>
        <w:rPr>
          <w:rFonts w:hint="eastAsia"/>
          <w:color w:val="231F20"/>
        </w:rPr>
        <w:t>Let us therefore see what help the NCH can offer us in disclosing the deep, NT meaning of Zechariah’s words.</w:t>
      </w:r>
    </w:p>
    <w:p w14:paraId="16528CEA">
      <w:pPr>
        <w:pStyle w:val="9"/>
        <w:spacing w:after="0" w:line="249" w:lineRule="auto"/>
        <w:rPr>
          <w:rFonts w:hint="eastAsia"/>
          <w:color w:val="231F20"/>
        </w:rPr>
      </w:pPr>
      <w:r>
        <w:rPr>
          <w:rFonts w:hint="eastAsia"/>
          <w:color w:val="231F20"/>
        </w:rPr>
        <w:t>因此，让我们看看新约解释学能为我们揭示撒迦利亚话语深层的新约意义提供什么帮助。</w:t>
      </w:r>
    </w:p>
    <w:p w14:paraId="1140CDDB">
      <w:pPr>
        <w:pStyle w:val="9"/>
        <w:spacing w:after="0" w:line="249" w:lineRule="auto"/>
        <w:rPr>
          <w:rFonts w:hint="eastAsia"/>
          <w:color w:val="231F20"/>
        </w:rPr>
      </w:pPr>
    </w:p>
    <w:p w14:paraId="0BF8BAB0">
      <w:pPr>
        <w:pStyle w:val="9"/>
        <w:spacing w:after="0" w:line="249" w:lineRule="auto"/>
        <w:rPr>
          <w:rFonts w:hint="eastAsia"/>
          <w:color w:val="231F20"/>
        </w:rPr>
      </w:pPr>
      <w:r>
        <w:rPr>
          <w:rFonts w:hint="eastAsia"/>
          <w:color w:val="231F20"/>
        </w:rPr>
        <w:t>On the surface of things, the message of verses 16-19 is quite simple: In the World to Come there will be two different kinds of nations (or families).</w:t>
      </w:r>
    </w:p>
    <w:p w14:paraId="1A767A4E">
      <w:pPr>
        <w:pStyle w:val="9"/>
        <w:spacing w:after="0" w:line="249" w:lineRule="auto"/>
        <w:rPr>
          <w:rFonts w:hint="eastAsia"/>
          <w:color w:val="231F20"/>
        </w:rPr>
      </w:pPr>
      <w:r>
        <w:rPr>
          <w:rFonts w:hint="eastAsia"/>
          <w:color w:val="231F20"/>
        </w:rPr>
        <w:t>从表面上看，第16-19节的信息相当简单：在将来的世界里，将有两种不同的国家（或家族）。</w:t>
      </w:r>
    </w:p>
    <w:p w14:paraId="05E4997B">
      <w:pPr>
        <w:pStyle w:val="9"/>
        <w:spacing w:after="0" w:line="249" w:lineRule="auto"/>
        <w:rPr>
          <w:rFonts w:hint="eastAsia"/>
          <w:color w:val="231F20"/>
        </w:rPr>
      </w:pPr>
    </w:p>
    <w:p w14:paraId="310E933F">
      <w:pPr>
        <w:pStyle w:val="9"/>
        <w:spacing w:after="0" w:line="249" w:lineRule="auto"/>
        <w:rPr>
          <w:rFonts w:hint="eastAsia"/>
          <w:color w:val="231F20"/>
        </w:rPr>
      </w:pPr>
      <w:r>
        <w:rPr>
          <w:rFonts w:hint="eastAsia"/>
          <w:color w:val="231F20"/>
        </w:rPr>
        <w:t>Both of them, at one time or another prior to the Judgment, came up with hostile intent against Jerusalem (v. 16).</w:t>
      </w:r>
    </w:p>
    <w:p w14:paraId="6FCFF1A7">
      <w:pPr>
        <w:pStyle w:val="9"/>
        <w:spacing w:after="0" w:line="249" w:lineRule="auto"/>
        <w:rPr>
          <w:rFonts w:hint="eastAsia"/>
          <w:color w:val="231F20"/>
        </w:rPr>
      </w:pPr>
      <w:r>
        <w:rPr>
          <w:rFonts w:hint="eastAsia"/>
          <w:color w:val="231F20"/>
        </w:rPr>
        <w:t>它们两者，在审判前的某个时候，都曾怀着敌意来攻击耶路撒冷（第16节）。</w:t>
      </w:r>
    </w:p>
    <w:p w14:paraId="04FFBBA1">
      <w:pPr>
        <w:pStyle w:val="9"/>
        <w:spacing w:after="0" w:line="249" w:lineRule="auto"/>
        <w:rPr>
          <w:rFonts w:hint="eastAsia"/>
          <w:color w:val="231F20"/>
        </w:rPr>
      </w:pPr>
    </w:p>
    <w:p w14:paraId="64405F22">
      <w:pPr>
        <w:pStyle w:val="9"/>
        <w:spacing w:after="0" w:line="249" w:lineRule="auto"/>
        <w:rPr>
          <w:rFonts w:hint="eastAsia"/>
          <w:color w:val="231F20"/>
        </w:rPr>
      </w:pPr>
      <w:r>
        <w:rPr>
          <w:rFonts w:hint="eastAsia"/>
          <w:color w:val="231F20"/>
        </w:rPr>
        <w:t>Now, however, the first group goes up annually (and eternally), not to attack Jerusalem, but rather to worship God as their King, and also to celebrate the Feast of Booths in Jerusalem’s holy precincts.</w:t>
      </w:r>
    </w:p>
    <w:p w14:paraId="695F541C">
      <w:pPr>
        <w:pStyle w:val="9"/>
        <w:spacing w:after="0" w:line="249" w:lineRule="auto"/>
        <w:rPr>
          <w:rFonts w:hint="eastAsia"/>
          <w:color w:val="231F20"/>
        </w:rPr>
      </w:pPr>
      <w:r>
        <w:rPr>
          <w:rFonts w:hint="eastAsia"/>
          <w:color w:val="231F20"/>
        </w:rPr>
        <w:t>然而，现在，第一组每年（且永远）上去，不是为了攻击耶路撒冷，而是为了敬拜神为他们的王，并在耶路撒冷的圣地庆祝住棚节。</w:t>
      </w:r>
    </w:p>
    <w:p w14:paraId="535D8326">
      <w:pPr>
        <w:pStyle w:val="9"/>
        <w:spacing w:after="0" w:line="249" w:lineRule="auto"/>
        <w:rPr>
          <w:rFonts w:hint="eastAsia"/>
          <w:color w:val="231F20"/>
        </w:rPr>
      </w:pPr>
    </w:p>
    <w:p w14:paraId="420EACE7">
      <w:pPr>
        <w:pStyle w:val="9"/>
        <w:spacing w:after="0" w:line="249" w:lineRule="auto"/>
        <w:rPr>
          <w:rFonts w:hint="eastAsia"/>
          <w:color w:val="231F20"/>
        </w:rPr>
      </w:pPr>
      <w:r>
        <w:rPr>
          <w:rFonts w:hint="eastAsia"/>
          <w:color w:val="231F20"/>
        </w:rPr>
        <w:t>Meanwhile, the other group, which apparently has Egypt as its head, consists of stiff-necked nations that persistently refuse to go up.</w:t>
      </w:r>
    </w:p>
    <w:p w14:paraId="62951AC4">
      <w:pPr>
        <w:pStyle w:val="9"/>
        <w:spacing w:after="0" w:line="249" w:lineRule="auto"/>
        <w:rPr>
          <w:rFonts w:hint="eastAsia"/>
          <w:color w:val="231F20"/>
        </w:rPr>
      </w:pPr>
      <w:r>
        <w:rPr>
          <w:rFonts w:hint="eastAsia"/>
          <w:color w:val="231F20"/>
        </w:rPr>
        <w:t>与此同时，另一组，显然以埃及为首，由顽固不化的国家组成，它们执意拒绝上去。</w:t>
      </w:r>
    </w:p>
    <w:p w14:paraId="2443B9EC">
      <w:pPr>
        <w:pStyle w:val="9"/>
        <w:spacing w:after="0" w:line="249" w:lineRule="auto"/>
        <w:rPr>
          <w:rFonts w:hint="eastAsia"/>
          <w:color w:val="231F20"/>
        </w:rPr>
      </w:pPr>
    </w:p>
    <w:p w14:paraId="1B2EEA95">
      <w:pPr>
        <w:pStyle w:val="9"/>
        <w:spacing w:after="0" w:line="249" w:lineRule="auto"/>
        <w:rPr>
          <w:rFonts w:hint="eastAsia"/>
          <w:color w:val="231F20"/>
        </w:rPr>
      </w:pPr>
      <w:r>
        <w:rPr>
          <w:rFonts w:hint="eastAsia"/>
          <w:color w:val="231F20"/>
        </w:rPr>
        <w:t>These the LORD will punish with a plague of drought (vv. 17-19).</w:t>
      </w:r>
    </w:p>
    <w:p w14:paraId="5481F2EF">
      <w:pPr>
        <w:pStyle w:val="9"/>
        <w:spacing w:after="0" w:line="249" w:lineRule="auto"/>
        <w:rPr>
          <w:rFonts w:hint="eastAsia"/>
          <w:color w:val="231F20"/>
        </w:rPr>
      </w:pPr>
      <w:r>
        <w:rPr>
          <w:rFonts w:hint="eastAsia"/>
          <w:color w:val="231F20"/>
        </w:rPr>
        <w:t>主将用干旱的灾殃惩罚这些国家（第17-19节）。</w:t>
      </w:r>
    </w:p>
    <w:p w14:paraId="62BF7065">
      <w:pPr>
        <w:pStyle w:val="9"/>
        <w:spacing w:after="0" w:line="249" w:lineRule="auto"/>
        <w:rPr>
          <w:rFonts w:hint="eastAsia"/>
          <w:color w:val="231F20"/>
        </w:rPr>
      </w:pPr>
    </w:p>
    <w:p w14:paraId="6FA51C67">
      <w:pPr>
        <w:pStyle w:val="9"/>
        <w:spacing w:after="0" w:line="249" w:lineRule="auto"/>
        <w:rPr>
          <w:rFonts w:hint="eastAsia"/>
          <w:color w:val="231F20"/>
        </w:rPr>
      </w:pPr>
      <w:r>
        <w:rPr>
          <w:rFonts w:hint="eastAsia"/>
          <w:color w:val="231F20"/>
        </w:rPr>
        <w:t>How can we best understand the meaning of this mysterious prophecy?</w:t>
      </w:r>
    </w:p>
    <w:p w14:paraId="4972E197">
      <w:pPr>
        <w:pStyle w:val="9"/>
        <w:spacing w:after="0" w:line="249" w:lineRule="auto"/>
        <w:rPr>
          <w:rFonts w:hint="eastAsia"/>
          <w:color w:val="231F20"/>
        </w:rPr>
      </w:pPr>
      <w:r>
        <w:rPr>
          <w:rFonts w:hint="eastAsia"/>
          <w:color w:val="231F20"/>
        </w:rPr>
        <w:t>我们如何才能最好地理解这个神秘预言的意义？</w:t>
      </w:r>
    </w:p>
    <w:p w14:paraId="16030CE4">
      <w:pPr>
        <w:pStyle w:val="9"/>
        <w:spacing w:after="0" w:line="249" w:lineRule="auto"/>
        <w:rPr>
          <w:rFonts w:hint="eastAsia"/>
          <w:color w:val="231F20"/>
        </w:rPr>
      </w:pPr>
    </w:p>
    <w:p w14:paraId="2A65C94F">
      <w:pPr>
        <w:pStyle w:val="9"/>
        <w:spacing w:after="0" w:line="249" w:lineRule="auto"/>
        <w:rPr>
          <w:rFonts w:hint="eastAsia"/>
          <w:color w:val="231F20"/>
        </w:rPr>
      </w:pPr>
      <w:r>
        <w:rPr>
          <w:rFonts w:hint="eastAsia"/>
          <w:color w:val="231F20"/>
        </w:rPr>
        <w:t>To begin with, we must ponder for a moment the typological meaning of the Feast of Booths.</w:t>
      </w:r>
    </w:p>
    <w:p w14:paraId="45838805">
      <w:pPr>
        <w:pStyle w:val="9"/>
        <w:spacing w:after="0" w:line="249" w:lineRule="auto"/>
        <w:rPr>
          <w:rFonts w:hint="eastAsia"/>
          <w:color w:val="231F20"/>
        </w:rPr>
      </w:pPr>
      <w:r>
        <w:rPr>
          <w:rFonts w:hint="eastAsia"/>
          <w:color w:val="231F20"/>
        </w:rPr>
        <w:t>首先，我们必须默想片刻住棚节的预表意义。</w:t>
      </w:r>
    </w:p>
    <w:p w14:paraId="1CAD377D">
      <w:pPr>
        <w:pStyle w:val="9"/>
        <w:spacing w:after="0" w:line="249" w:lineRule="auto"/>
        <w:rPr>
          <w:rFonts w:hint="eastAsia"/>
          <w:color w:val="231F20"/>
        </w:rPr>
      </w:pPr>
    </w:p>
    <w:p w14:paraId="44AE5D54">
      <w:pPr>
        <w:pStyle w:val="9"/>
        <w:spacing w:after="0" w:line="249" w:lineRule="auto"/>
        <w:rPr>
          <w:rFonts w:hint="eastAsia"/>
          <w:color w:val="231F20"/>
        </w:rPr>
      </w:pPr>
      <w:r>
        <w:rPr>
          <w:rFonts w:hint="eastAsia"/>
          <w:color w:val="231F20"/>
        </w:rPr>
        <w:t>A look at Leviticus 23:33-34 reveals that this was an especially joyful feast celebrated at harvest time, wherein Israel was to commemorate not only their great deliverance from Egypt, but also God’s faithfulness in leading them through the wilderness of Sinai (where they camped in “booths” or “tabernacles”) into the Promised Land.</w:t>
      </w:r>
    </w:p>
    <w:p w14:paraId="1033D686">
      <w:pPr>
        <w:pStyle w:val="9"/>
        <w:spacing w:after="0" w:line="249" w:lineRule="auto"/>
        <w:rPr>
          <w:rFonts w:hint="eastAsia"/>
          <w:color w:val="231F20"/>
        </w:rPr>
      </w:pPr>
      <w:r>
        <w:rPr>
          <w:rFonts w:hint="eastAsia"/>
          <w:color w:val="231F20"/>
        </w:rPr>
        <w:t>查考利未记23:33-34揭示，这是一个在收割时节庆祝的特别欢乐的节期，以色列要藉此不仅记念他们从埃及得蒙的伟大拯救，也记念神信实地带领他们经过西奈的旷野（他们在那里住在“棚”或“会幕”里）进入应许之地。</w:t>
      </w:r>
    </w:p>
    <w:p w14:paraId="4B579FB6">
      <w:pPr>
        <w:pStyle w:val="9"/>
        <w:spacing w:after="0" w:line="249" w:lineRule="auto"/>
        <w:rPr>
          <w:rFonts w:hint="eastAsia"/>
          <w:color w:val="231F20"/>
        </w:rPr>
      </w:pPr>
    </w:p>
    <w:p w14:paraId="770C5612">
      <w:pPr>
        <w:pStyle w:val="9"/>
        <w:spacing w:after="0" w:line="249" w:lineRule="auto"/>
        <w:rPr>
          <w:rFonts w:hint="eastAsia"/>
          <w:color w:val="231F20"/>
        </w:rPr>
      </w:pPr>
      <w:r>
        <w:rPr>
          <w:rFonts w:hint="eastAsia"/>
          <w:color w:val="231F20"/>
        </w:rPr>
        <w:t>Here is the key to understanding Zechariah’s prophecy, a prophecy designed to comfort devout OT saints with a picture of the eternal worship of the glorified Church, and so cast in the language and imagery of Israel’s most joyful OT feast!</w:t>
      </w:r>
    </w:p>
    <w:p w14:paraId="21E3BA20">
      <w:pPr>
        <w:pStyle w:val="9"/>
        <w:spacing w:after="0" w:line="249" w:lineRule="auto"/>
        <w:rPr>
          <w:rFonts w:hint="eastAsia"/>
          <w:color w:val="231F20"/>
        </w:rPr>
      </w:pPr>
      <w:r>
        <w:rPr>
          <w:rFonts w:hint="eastAsia"/>
          <w:color w:val="231F20"/>
        </w:rPr>
        <w:t>这就是理解撒迦利亚预言的关键，这个预言旨在用得荣耀教会永恒敬拜的图画来安慰敬虔的旧约圣徒，因此是用以色列最欢乐的旧约节期的语言和意象来表达的！</w:t>
      </w:r>
    </w:p>
    <w:p w14:paraId="2856D144">
      <w:pPr>
        <w:pStyle w:val="9"/>
        <w:spacing w:after="0" w:line="249" w:lineRule="auto"/>
        <w:rPr>
          <w:rFonts w:hint="eastAsia"/>
          <w:color w:val="231F20"/>
        </w:rPr>
      </w:pPr>
    </w:p>
    <w:p w14:paraId="3F1233F7">
      <w:pPr>
        <w:pStyle w:val="9"/>
        <w:spacing w:after="0" w:line="249" w:lineRule="auto"/>
        <w:rPr>
          <w:rFonts w:hint="eastAsia"/>
          <w:color w:val="231F20"/>
        </w:rPr>
      </w:pPr>
      <w:r>
        <w:rPr>
          <w:rFonts w:hint="eastAsia"/>
          <w:color w:val="231F20"/>
        </w:rPr>
        <w:t>This background information—along with the NCH—enables us to see all things clearly.</w:t>
      </w:r>
    </w:p>
    <w:p w14:paraId="45C4CEA0">
      <w:pPr>
        <w:pStyle w:val="9"/>
        <w:spacing w:after="0" w:line="249" w:lineRule="auto"/>
        <w:rPr>
          <w:rFonts w:hint="eastAsia"/>
          <w:color w:val="231F20"/>
        </w:rPr>
      </w:pPr>
      <w:r>
        <w:rPr>
          <w:rFonts w:hint="eastAsia"/>
          <w:color w:val="231F20"/>
        </w:rPr>
        <w:t>这个背景信息——连同新约解释学——使我们能清楚地看到所有事情。</w:t>
      </w:r>
    </w:p>
    <w:p w14:paraId="2F9E4107">
      <w:pPr>
        <w:pStyle w:val="9"/>
        <w:spacing w:after="0" w:line="249" w:lineRule="auto"/>
        <w:rPr>
          <w:rFonts w:hint="eastAsia"/>
          <w:color w:val="231F20"/>
        </w:rPr>
      </w:pPr>
    </w:p>
    <w:p w14:paraId="6CE1DC29">
      <w:pPr>
        <w:pStyle w:val="9"/>
        <w:spacing w:after="0" w:line="249" w:lineRule="auto"/>
        <w:rPr>
          <w:rFonts w:hint="eastAsia"/>
          <w:color w:val="231F20"/>
        </w:rPr>
      </w:pPr>
      <w:r>
        <w:rPr>
          <w:rFonts w:hint="eastAsia"/>
          <w:color w:val="231F20"/>
        </w:rPr>
        <w:t>For example, now we can see that Zechariah’s eschatological Feast of Booths will indeed be a harvest feast, since here, in the World to Come, all the saints will have been gathered into the barn of God’s completed Kingdom (Mt. 13:30, John 4:38, Rev. 14:14-16).</w:t>
      </w:r>
    </w:p>
    <w:p w14:paraId="4B037302">
      <w:pPr>
        <w:pStyle w:val="9"/>
        <w:spacing w:after="0" w:line="249" w:lineRule="auto"/>
        <w:rPr>
          <w:rFonts w:hint="eastAsia"/>
          <w:color w:val="231F20"/>
        </w:rPr>
      </w:pPr>
      <w:r>
        <w:rPr>
          <w:rFonts w:hint="eastAsia"/>
          <w:color w:val="231F20"/>
        </w:rPr>
        <w:t>例如，现在我们可以看到撒迦利亚的末世住棚节确实将是一个收割的节期，因为在这里，在将来的世界里，所有的圣徒都将被收进神完备国度的谷仓里 (太 13:30, 约 4:38, 启 14:14-16)。</w:t>
      </w:r>
    </w:p>
    <w:p w14:paraId="5C770CF6">
      <w:pPr>
        <w:pStyle w:val="9"/>
        <w:spacing w:after="0" w:line="249" w:lineRule="auto"/>
        <w:rPr>
          <w:rFonts w:hint="eastAsia"/>
          <w:color w:val="231F20"/>
        </w:rPr>
      </w:pPr>
    </w:p>
    <w:p w14:paraId="1A8A4C3C">
      <w:pPr>
        <w:pStyle w:val="9"/>
        <w:spacing w:after="0" w:line="249" w:lineRule="auto"/>
        <w:rPr>
          <w:rFonts w:hint="eastAsia"/>
          <w:color w:val="231F20"/>
        </w:rPr>
      </w:pPr>
      <w:r>
        <w:rPr>
          <w:rFonts w:hint="eastAsia"/>
          <w:color w:val="231F20"/>
        </w:rPr>
        <w:t>Formerly, they were temporary enemies of God and of his people; but Christ, at various times prior to the Judgment, harvested them through the Gospel and turned them into eternal friends (Mt. 9:37, Acts 26:17-18, Rom. 5:8, 1 Tim. 1:12-12, Titus 3:3f).</w:t>
      </w:r>
    </w:p>
    <w:p w14:paraId="7A64C1E9">
      <w:pPr>
        <w:pStyle w:val="9"/>
        <w:spacing w:after="0" w:line="249" w:lineRule="auto"/>
        <w:rPr>
          <w:rFonts w:hint="eastAsia"/>
          <w:color w:val="231F20"/>
        </w:rPr>
      </w:pPr>
      <w:r>
        <w:rPr>
          <w:rFonts w:hint="eastAsia"/>
          <w:color w:val="231F20"/>
        </w:rPr>
        <w:t>从前，他们是神和祂子民暂时的仇敌；但基督，在审判前的不同时期，通过福音收割了他们，并将他们变成了永远的朋友 (太 9:37, 徒 26:17-18, 罗 5:8, 提前 1:12-12, 多 3:3及后)。</w:t>
      </w:r>
    </w:p>
    <w:p w14:paraId="59827FD7">
      <w:pPr>
        <w:pStyle w:val="9"/>
        <w:spacing w:after="0" w:line="249" w:lineRule="auto"/>
        <w:rPr>
          <w:rFonts w:hint="eastAsia"/>
          <w:color w:val="231F20"/>
        </w:rPr>
      </w:pPr>
    </w:p>
    <w:p w14:paraId="57BDE2D6">
      <w:pPr>
        <w:pStyle w:val="9"/>
        <w:spacing w:after="0" w:line="249" w:lineRule="auto"/>
        <w:rPr>
          <w:rFonts w:hint="eastAsia"/>
          <w:color w:val="231F20"/>
        </w:rPr>
      </w:pPr>
      <w:r>
        <w:rPr>
          <w:rFonts w:hint="eastAsia"/>
          <w:color w:val="231F20"/>
        </w:rPr>
        <w:t>Also, this will be an everlasting Feast: The saints will forever “go up” in worship, through Christ, unto God their King (1 Peter 2:5, Rev. 7:9-10, 14:1-4).</w:t>
      </w:r>
    </w:p>
    <w:p w14:paraId="1CA9CC37">
      <w:pPr>
        <w:pStyle w:val="9"/>
        <w:spacing w:after="0" w:line="249" w:lineRule="auto"/>
        <w:rPr>
          <w:rFonts w:hint="eastAsia"/>
          <w:color w:val="231F20"/>
        </w:rPr>
      </w:pPr>
      <w:r>
        <w:rPr>
          <w:rFonts w:hint="eastAsia"/>
          <w:color w:val="231F20"/>
        </w:rPr>
        <w:t>此外，这将是一个永恒的节期：圣徒将永远通过基督“上去”敬拜，朝见他们的王神 (彼前 2:5, 启 7:9-10, 14:1-4)。</w:t>
      </w:r>
    </w:p>
    <w:p w14:paraId="1FEAFB55">
      <w:pPr>
        <w:pStyle w:val="9"/>
        <w:spacing w:after="0" w:line="249" w:lineRule="auto"/>
        <w:rPr>
          <w:rFonts w:hint="eastAsia"/>
          <w:color w:val="231F20"/>
        </w:rPr>
      </w:pPr>
    </w:p>
    <w:p w14:paraId="6695891C">
      <w:pPr>
        <w:pStyle w:val="9"/>
        <w:spacing w:after="0" w:line="249" w:lineRule="auto"/>
        <w:rPr>
          <w:rFonts w:hint="eastAsia"/>
          <w:color w:val="231F20"/>
        </w:rPr>
      </w:pPr>
      <w:r>
        <w:rPr>
          <w:rFonts w:hint="eastAsia"/>
          <w:color w:val="231F20"/>
        </w:rPr>
        <w:t>Finally, this will be a joyful Feast: In his City—and as his City—Christ’s people will ever rejoice, not only in the hour of their own personal deliverance from the Domain of Darkness, but also in the subsequent faithfulness of their Good Shepherd, who safely led his flock through the deadly wilderness of this present evil age, past the Judgment, and into the Promised Land (John 6:38-40, Gal. 1:4, Phil. 1:6, Rev. 12:7-17, 19:11).</w:t>
      </w:r>
    </w:p>
    <w:p w14:paraId="589DC491">
      <w:pPr>
        <w:pStyle w:val="9"/>
        <w:spacing w:after="0" w:line="249" w:lineRule="auto"/>
        <w:rPr>
          <w:rFonts w:hint="eastAsia"/>
          <w:color w:val="231F20"/>
        </w:rPr>
      </w:pPr>
      <w:r>
        <w:rPr>
          <w:rFonts w:hint="eastAsia"/>
          <w:color w:val="231F20"/>
        </w:rPr>
        <w:t>最后，这将是一个欢乐的节期：在祂的城里——并作为祂的城——基督的子民将永远欢欣，不仅在他们自己从黑暗权势中得救的时刻，也在他们良善牧人随后的信实中，祂安全地带领祂的羊群经过现今邪恶世代致命的旷野，越过审判，进入应许之地 (约 6:38-40, 加 1:4, 腓 1:6, 启 12:7-17, 19:11)。</w:t>
      </w:r>
    </w:p>
    <w:p w14:paraId="024C51F2">
      <w:pPr>
        <w:pStyle w:val="9"/>
        <w:spacing w:after="0" w:line="249" w:lineRule="auto"/>
        <w:rPr>
          <w:rFonts w:hint="eastAsia"/>
          <w:color w:val="231F20"/>
        </w:rPr>
      </w:pPr>
    </w:p>
    <w:p w14:paraId="1F956094">
      <w:pPr>
        <w:pStyle w:val="9"/>
        <w:spacing w:after="0" w:line="249" w:lineRule="auto"/>
        <w:rPr>
          <w:rFonts w:hint="eastAsia"/>
          <w:color w:val="231F20"/>
        </w:rPr>
      </w:pPr>
      <w:r>
        <w:rPr>
          <w:rFonts w:hint="eastAsia"/>
          <w:color w:val="231F20"/>
        </w:rPr>
        <w:t>But what are we to make of Egypt, and of the families of the earth that follow Egypt’s lead in refusing to go up?</w:t>
      </w:r>
    </w:p>
    <w:p w14:paraId="2C7C7E1D">
      <w:pPr>
        <w:pStyle w:val="9"/>
        <w:spacing w:after="0" w:line="249" w:lineRule="auto"/>
        <w:rPr>
          <w:rFonts w:hint="eastAsia"/>
          <w:color w:val="231F20"/>
        </w:rPr>
      </w:pPr>
      <w:r>
        <w:rPr>
          <w:rFonts w:hint="eastAsia"/>
          <w:color w:val="231F20"/>
        </w:rPr>
        <w:t>但我们该如何看待埃及，以及那些跟随埃及的带领而拒绝上去的地上万族呢？</w:t>
      </w:r>
    </w:p>
    <w:p w14:paraId="5E457EDB">
      <w:pPr>
        <w:pStyle w:val="9"/>
        <w:spacing w:after="0" w:line="249" w:lineRule="auto"/>
        <w:rPr>
          <w:rFonts w:hint="eastAsia"/>
          <w:color w:val="231F20"/>
        </w:rPr>
      </w:pPr>
    </w:p>
    <w:p w14:paraId="6284BF46">
      <w:pPr>
        <w:pStyle w:val="9"/>
        <w:spacing w:after="0" w:line="249" w:lineRule="auto"/>
        <w:rPr>
          <w:rFonts w:hint="eastAsia"/>
          <w:color w:val="231F20"/>
        </w:rPr>
      </w:pPr>
      <w:r>
        <w:rPr>
          <w:rFonts w:hint="eastAsia"/>
          <w:color w:val="231F20"/>
        </w:rPr>
        <w:t>Clearly, these typify all men and nations who refused to participate in the eschatological exodus; who refused to accept spiritual rescue from the Domain of Darkness, and spiritual transfer into the Kingdom of God’s beloved Son (Col. 1:13); who refused to follow in the footsteps of Moses, who esteemed the reproach of Christ greater riches than the treasures of Egypt (i.e., of the fallen world- system); who refused to walk with Christ through the wilderness of this world to the Promised Land (Heb. 11:26, Rev. 12:1f).</w:t>
      </w:r>
    </w:p>
    <w:p w14:paraId="4EDD7CB2">
      <w:pPr>
        <w:pStyle w:val="9"/>
        <w:spacing w:after="0" w:line="249" w:lineRule="auto"/>
        <w:rPr>
          <w:rFonts w:hint="eastAsia"/>
          <w:color w:val="231F20"/>
        </w:rPr>
      </w:pPr>
      <w:r>
        <w:rPr>
          <w:rFonts w:hint="eastAsia"/>
          <w:color w:val="231F20"/>
        </w:rPr>
        <w:t>显然，这些预表了所有拒绝参与末世出埃及的人和国家；他们拒绝接受从黑暗权势中得蒙的属灵拯救，以及被属灵地转移到神爱子的国度里（西 1:13）；他们拒绝跟随摩西的脚踪，摩西看为基督受的凌辱比埃及的财物更宝贵（即堕落世界体系的财物）；他们拒绝与基督一同走过这世界的旷野，进入应许之地（来 11:26, 启 12:1及后）。</w:t>
      </w:r>
    </w:p>
    <w:p w14:paraId="7E1B38CF">
      <w:pPr>
        <w:pStyle w:val="9"/>
        <w:spacing w:after="0" w:line="249" w:lineRule="auto"/>
        <w:rPr>
          <w:rFonts w:hint="eastAsia"/>
          <w:color w:val="231F20"/>
        </w:rPr>
      </w:pPr>
    </w:p>
    <w:p w14:paraId="2075FDA1">
      <w:pPr>
        <w:pStyle w:val="9"/>
        <w:spacing w:after="0" w:line="249" w:lineRule="auto"/>
        <w:rPr>
          <w:rFonts w:hint="eastAsia"/>
          <w:color w:val="231F20"/>
        </w:rPr>
      </w:pPr>
      <w:r>
        <w:rPr>
          <w:rFonts w:hint="eastAsia"/>
          <w:color w:val="231F20"/>
        </w:rPr>
        <w:t>Puzzlingly, we find these rebellious nations still upon the earth, yet far from Zion and Jerusalem, where the friends of God celebrate the Feasts of God.</w:t>
      </w:r>
    </w:p>
    <w:p w14:paraId="7C527792">
      <w:pPr>
        <w:pStyle w:val="9"/>
        <w:spacing w:after="0" w:line="249" w:lineRule="auto"/>
        <w:rPr>
          <w:rFonts w:hint="eastAsia"/>
          <w:color w:val="231F20"/>
        </w:rPr>
      </w:pPr>
      <w:r>
        <w:rPr>
          <w:rFonts w:hint="eastAsia"/>
          <w:color w:val="231F20"/>
        </w:rPr>
        <w:t>令人困惑的是，我们发现这些悖逆的国家仍然在地上，却远离锡安和耶路撒冷，在那里神的友人们庆祝神的节期。</w:t>
      </w:r>
    </w:p>
    <w:p w14:paraId="078FA743">
      <w:pPr>
        <w:pStyle w:val="9"/>
        <w:spacing w:after="0" w:line="249" w:lineRule="auto"/>
        <w:rPr>
          <w:rFonts w:hint="eastAsia"/>
          <w:color w:val="231F20"/>
        </w:rPr>
      </w:pPr>
    </w:p>
    <w:p w14:paraId="3B91AE29">
      <w:pPr>
        <w:pStyle w:val="9"/>
        <w:spacing w:after="0" w:line="249" w:lineRule="auto"/>
        <w:rPr>
          <w:rFonts w:hint="eastAsia"/>
          <w:color w:val="231F20"/>
        </w:rPr>
      </w:pPr>
      <w:r>
        <w:rPr>
          <w:rFonts w:hint="eastAsia"/>
          <w:color w:val="231F20"/>
        </w:rPr>
        <w:t>But in Revelation 22—which also describes the World to Come—the puzzle is solved.</w:t>
      </w:r>
    </w:p>
    <w:p w14:paraId="29E36DF3">
      <w:pPr>
        <w:pStyle w:val="9"/>
        <w:spacing w:after="0" w:line="249" w:lineRule="auto"/>
        <w:rPr>
          <w:rFonts w:hint="eastAsia"/>
          <w:color w:val="231F20"/>
        </w:rPr>
      </w:pPr>
      <w:r>
        <w:rPr>
          <w:rFonts w:hint="eastAsia"/>
          <w:color w:val="231F20"/>
        </w:rPr>
        <w:t>但在启示录22章——那里也描述了将来的世界——这个谜题被解开了。</w:t>
      </w:r>
    </w:p>
    <w:p w14:paraId="438FB41A">
      <w:pPr>
        <w:pStyle w:val="9"/>
        <w:spacing w:after="0" w:line="249" w:lineRule="auto"/>
        <w:rPr>
          <w:rFonts w:hint="eastAsia"/>
          <w:color w:val="231F20"/>
        </w:rPr>
      </w:pPr>
    </w:p>
    <w:p w14:paraId="2D763990">
      <w:pPr>
        <w:pStyle w:val="9"/>
        <w:spacing w:after="0" w:line="249" w:lineRule="auto"/>
        <w:rPr>
          <w:rFonts w:hint="eastAsia"/>
          <w:color w:val="231F20"/>
        </w:rPr>
      </w:pPr>
      <w:r>
        <w:rPr>
          <w:rFonts w:hint="eastAsia"/>
          <w:color w:val="231F20"/>
        </w:rPr>
        <w:t>Here again we find these nations far from Jerusalem, outside the gates of the Holy City (Rev. 22:15).</w:t>
      </w:r>
    </w:p>
    <w:p w14:paraId="57B2DAA6">
      <w:pPr>
        <w:pStyle w:val="9"/>
        <w:spacing w:after="0" w:line="249" w:lineRule="auto"/>
        <w:rPr>
          <w:rFonts w:hint="eastAsia"/>
          <w:color w:val="231F20"/>
        </w:rPr>
      </w:pPr>
      <w:r>
        <w:rPr>
          <w:rFonts w:hint="eastAsia"/>
          <w:color w:val="231F20"/>
        </w:rPr>
        <w:t>在这里我们再次发现这些国家远离耶路撒冷，在圣城的门外（启 22:15）。</w:t>
      </w:r>
    </w:p>
    <w:p w14:paraId="6DE0F9CF">
      <w:pPr>
        <w:pStyle w:val="9"/>
        <w:spacing w:after="0" w:line="249" w:lineRule="auto"/>
        <w:rPr>
          <w:rFonts w:hint="eastAsia"/>
          <w:color w:val="231F20"/>
        </w:rPr>
      </w:pPr>
    </w:p>
    <w:p w14:paraId="06B91F82">
      <w:pPr>
        <w:pStyle w:val="9"/>
        <w:spacing w:after="0" w:line="249" w:lineRule="auto"/>
        <w:rPr>
          <w:rFonts w:hint="eastAsia"/>
          <w:color w:val="231F20"/>
        </w:rPr>
      </w:pPr>
      <w:r>
        <w:rPr>
          <w:rFonts w:hint="eastAsia"/>
          <w:color w:val="231F20"/>
        </w:rPr>
        <w:t>Now, however, we have learned that in fact they are in the Lake of Fire (Isaiah 66:24, Rev. 19:20, 20:10, 14).</w:t>
      </w:r>
    </w:p>
    <w:p w14:paraId="3E7958B3">
      <w:pPr>
        <w:pStyle w:val="9"/>
        <w:spacing w:after="0" w:line="249" w:lineRule="auto"/>
        <w:rPr>
          <w:rFonts w:hint="eastAsia"/>
          <w:color w:val="231F20"/>
        </w:rPr>
      </w:pPr>
      <w:r>
        <w:rPr>
          <w:rFonts w:hint="eastAsia"/>
          <w:color w:val="231F20"/>
        </w:rPr>
        <w:t>然而，现在我们得知，他们实际上是在火湖里（赛 66:24, 启 19:20, 20:10, 14）。</w:t>
      </w:r>
    </w:p>
    <w:p w14:paraId="359B1719">
      <w:pPr>
        <w:pStyle w:val="9"/>
        <w:spacing w:after="0" w:line="249" w:lineRule="auto"/>
        <w:rPr>
          <w:rFonts w:hint="eastAsia"/>
          <w:color w:val="231F20"/>
        </w:rPr>
      </w:pPr>
    </w:p>
    <w:p w14:paraId="4AB822AA">
      <w:pPr>
        <w:pStyle w:val="9"/>
        <w:spacing w:after="0" w:line="249" w:lineRule="auto"/>
        <w:rPr>
          <w:rFonts w:hint="eastAsia"/>
          <w:color w:val="231F20"/>
        </w:rPr>
      </w:pPr>
      <w:r>
        <w:rPr>
          <w:rFonts w:hint="eastAsia"/>
          <w:color w:val="231F20"/>
        </w:rPr>
        <w:t>It is, therefore, in death (and hell) that the impenitent enemies of God will endure the very plague of drought that they chose for themselves in life, when they refused to drink of the Rock, and to follow the Rock, that God offered them in the Gospel (Mt. 12:43 NAS, Luke 16:24, John 7:37, 1 Cor. 10:4, Rev. 21:6, 22:17).</w:t>
      </w:r>
    </w:p>
    <w:p w14:paraId="3E715F60">
      <w:pPr>
        <w:pStyle w:val="9"/>
        <w:spacing w:after="0" w:line="249" w:lineRule="auto"/>
        <w:rPr>
          <w:rFonts w:hint="eastAsia"/>
          <w:color w:val="231F20"/>
        </w:rPr>
      </w:pPr>
      <w:r>
        <w:rPr>
          <w:rFonts w:hint="eastAsia"/>
          <w:color w:val="231F20"/>
        </w:rPr>
        <w:t>因此，正是在死亡（和地狱）中，神不悔改的仇敌将忍受他们生前为自己选择的干旱之灾，那时他们拒绝喝那磐石的水，也拒绝跟随那磐石，就是神在福音中提供给他们的（太 12:43 NAS, 路 16:24, 约 7:37, 林前 10:4, 启 21:6, 22:17）。</w:t>
      </w:r>
    </w:p>
    <w:p w14:paraId="5F8F1940">
      <w:pPr>
        <w:pStyle w:val="9"/>
        <w:spacing w:after="0" w:line="249" w:lineRule="auto"/>
        <w:rPr>
          <w:rFonts w:hint="eastAsia"/>
          <w:color w:val="231F20"/>
        </w:rPr>
      </w:pPr>
    </w:p>
    <w:p w14:paraId="41DFAD1D">
      <w:pPr>
        <w:pStyle w:val="9"/>
        <w:spacing w:after="0" w:line="249" w:lineRule="auto"/>
        <w:rPr>
          <w:rFonts w:hint="eastAsia"/>
          <w:color w:val="231F20"/>
        </w:rPr>
      </w:pPr>
      <w:r>
        <w:rPr>
          <w:rFonts w:hint="eastAsia"/>
          <w:color w:val="231F20"/>
        </w:rPr>
        <w:t>Part two of our prophecy (vv. 20-22) celebrates the perfect, all- pervading holiness of the World to Come.</w:t>
      </w:r>
    </w:p>
    <w:p w14:paraId="17754D4C">
      <w:pPr>
        <w:pStyle w:val="9"/>
        <w:spacing w:after="0" w:line="249" w:lineRule="auto"/>
        <w:rPr>
          <w:rFonts w:hint="eastAsia"/>
          <w:color w:val="231F20"/>
        </w:rPr>
      </w:pPr>
      <w:r>
        <w:rPr>
          <w:rFonts w:hint="eastAsia"/>
          <w:color w:val="231F20"/>
        </w:rPr>
        <w:t>我们预言的第二部分（第20-22节）颂扬了未来世界完美、无所不在的圣洁。</w:t>
      </w:r>
    </w:p>
    <w:p w14:paraId="3F075E78">
      <w:pPr>
        <w:pStyle w:val="9"/>
        <w:spacing w:after="0" w:line="249" w:lineRule="auto"/>
        <w:rPr>
          <w:rFonts w:hint="eastAsia"/>
          <w:color w:val="231F20"/>
        </w:rPr>
      </w:pPr>
    </w:p>
    <w:p w14:paraId="7605DDB8">
      <w:pPr>
        <w:pStyle w:val="9"/>
        <w:spacing w:after="0" w:line="249" w:lineRule="auto"/>
        <w:rPr>
          <w:rFonts w:hint="eastAsia"/>
          <w:color w:val="231F20"/>
        </w:rPr>
      </w:pPr>
      <w:r>
        <w:rPr>
          <w:rFonts w:hint="eastAsia"/>
          <w:color w:val="231F20"/>
        </w:rPr>
        <w:t>In that world, the distinction between holy and common, clean and unclean, has completely disappeared (Acts 10:15).</w:t>
      </w:r>
    </w:p>
    <w:p w14:paraId="132F582C">
      <w:pPr>
        <w:pStyle w:val="9"/>
        <w:spacing w:after="0" w:line="249" w:lineRule="auto"/>
        <w:rPr>
          <w:rFonts w:hint="eastAsia"/>
          <w:color w:val="231F20"/>
        </w:rPr>
      </w:pPr>
      <w:r>
        <w:rPr>
          <w:rFonts w:hint="eastAsia"/>
          <w:color w:val="231F20"/>
        </w:rPr>
        <w:t>在那个世界里，圣与俗、洁净与不洁净的区别已完全消失（徒 10:15）。</w:t>
      </w:r>
    </w:p>
    <w:p w14:paraId="079EFC11">
      <w:pPr>
        <w:pStyle w:val="9"/>
        <w:spacing w:after="0" w:line="249" w:lineRule="auto"/>
        <w:rPr>
          <w:rFonts w:hint="eastAsia"/>
          <w:color w:val="231F20"/>
        </w:rPr>
      </w:pPr>
    </w:p>
    <w:p w14:paraId="6F2DA8E7">
      <w:pPr>
        <w:pStyle w:val="9"/>
        <w:spacing w:after="0" w:line="249" w:lineRule="auto"/>
        <w:rPr>
          <w:rFonts w:hint="eastAsia"/>
          <w:color w:val="231F20"/>
        </w:rPr>
      </w:pPr>
      <w:r>
        <w:rPr>
          <w:rFonts w:hint="eastAsia"/>
          <w:color w:val="231F20"/>
        </w:rPr>
        <w:t>The bells on the horses are holy.</w:t>
      </w:r>
    </w:p>
    <w:p w14:paraId="7C9BFB02">
      <w:pPr>
        <w:pStyle w:val="9"/>
        <w:spacing w:after="0" w:line="249" w:lineRule="auto"/>
        <w:rPr>
          <w:rFonts w:hint="eastAsia"/>
          <w:color w:val="231F20"/>
        </w:rPr>
      </w:pPr>
      <w:r>
        <w:rPr>
          <w:rFonts w:hint="eastAsia"/>
          <w:color w:val="231F20"/>
        </w:rPr>
        <w:t>马的铃铛是圣洁的。</w:t>
      </w:r>
    </w:p>
    <w:p w14:paraId="4A77548C">
      <w:pPr>
        <w:pStyle w:val="9"/>
        <w:spacing w:after="0" w:line="249" w:lineRule="auto"/>
        <w:rPr>
          <w:rFonts w:hint="eastAsia"/>
          <w:color w:val="231F20"/>
        </w:rPr>
      </w:pPr>
    </w:p>
    <w:p w14:paraId="7F7FAA94">
      <w:pPr>
        <w:pStyle w:val="9"/>
        <w:spacing w:after="0" w:line="249" w:lineRule="auto"/>
        <w:rPr>
          <w:rFonts w:hint="eastAsia"/>
          <w:color w:val="231F20"/>
        </w:rPr>
      </w:pPr>
      <w:r>
        <w:rPr>
          <w:rFonts w:hint="eastAsia"/>
          <w:color w:val="231F20"/>
        </w:rPr>
        <w:t>The cooking pots in the LORD’s house are holy—as holy as the altar itself.</w:t>
      </w:r>
    </w:p>
    <w:p w14:paraId="05BAD458">
      <w:pPr>
        <w:pStyle w:val="9"/>
        <w:spacing w:after="0" w:line="249" w:lineRule="auto"/>
        <w:rPr>
          <w:rFonts w:hint="eastAsia"/>
          <w:color w:val="231F20"/>
        </w:rPr>
      </w:pPr>
      <w:r>
        <w:rPr>
          <w:rFonts w:hint="eastAsia"/>
          <w:color w:val="231F20"/>
        </w:rPr>
        <w:t>主殿里的锅是圣洁的——像祭坛本身一样圣洁。</w:t>
      </w:r>
    </w:p>
    <w:p w14:paraId="37650CF3">
      <w:pPr>
        <w:pStyle w:val="9"/>
        <w:spacing w:after="0" w:line="249" w:lineRule="auto"/>
        <w:rPr>
          <w:rFonts w:hint="eastAsia"/>
          <w:color w:val="231F20"/>
        </w:rPr>
      </w:pPr>
    </w:p>
    <w:p w14:paraId="2FD7DCFD">
      <w:pPr>
        <w:pStyle w:val="9"/>
        <w:spacing w:after="0" w:line="249" w:lineRule="auto"/>
        <w:rPr>
          <w:rFonts w:hint="eastAsia"/>
          <w:color w:val="231F20"/>
        </w:rPr>
      </w:pPr>
      <w:r>
        <w:rPr>
          <w:rFonts w:hint="eastAsia"/>
          <w:color w:val="231F20"/>
        </w:rPr>
        <w:t>Yes, even the cooking pots in the houses of the people of Jerusalem and Judah are holy, so holy that men may boil their sacrifices to God in them.</w:t>
      </w:r>
    </w:p>
    <w:p w14:paraId="4B3431B7">
      <w:pPr>
        <w:pStyle w:val="9"/>
        <w:spacing w:after="0" w:line="249" w:lineRule="auto"/>
        <w:rPr>
          <w:rFonts w:hint="eastAsia"/>
          <w:color w:val="231F20"/>
        </w:rPr>
      </w:pPr>
      <w:r>
        <w:rPr>
          <w:rFonts w:hint="eastAsia"/>
          <w:color w:val="231F20"/>
        </w:rPr>
        <w:t>是的，甚至在耶路撒冷和犹大百姓家里的锅也是圣洁的，圣洁到一个地步，人可以在其中煮献给神的祭物。</w:t>
      </w:r>
    </w:p>
    <w:p w14:paraId="6B7AF849">
      <w:pPr>
        <w:pStyle w:val="9"/>
        <w:spacing w:after="0" w:line="249" w:lineRule="auto"/>
        <w:rPr>
          <w:rFonts w:hint="eastAsia"/>
          <w:color w:val="231F20"/>
        </w:rPr>
      </w:pPr>
    </w:p>
    <w:p w14:paraId="7B147DD1">
      <w:pPr>
        <w:pStyle w:val="9"/>
        <w:spacing w:after="0" w:line="249" w:lineRule="auto"/>
        <w:rPr>
          <w:rFonts w:hint="eastAsia"/>
          <w:color w:val="231F20"/>
        </w:rPr>
      </w:pPr>
      <w:r>
        <w:rPr>
          <w:rFonts w:hint="eastAsia"/>
          <w:color w:val="231F20"/>
        </w:rPr>
        <w:t>Here the boundary between sacred and the profane has been obliterated.</w:t>
      </w:r>
    </w:p>
    <w:p w14:paraId="6C6BC747">
      <w:pPr>
        <w:pStyle w:val="9"/>
        <w:spacing w:after="0" w:line="249" w:lineRule="auto"/>
        <w:rPr>
          <w:rFonts w:hint="eastAsia"/>
          <w:color w:val="231F20"/>
        </w:rPr>
      </w:pPr>
      <w:r>
        <w:rPr>
          <w:rFonts w:hint="eastAsia"/>
          <w:color w:val="231F20"/>
        </w:rPr>
        <w:t>在这里，神圣与世俗的界限已被抹去。</w:t>
      </w:r>
    </w:p>
    <w:p w14:paraId="0708A7E2">
      <w:pPr>
        <w:pStyle w:val="9"/>
        <w:spacing w:after="0" w:line="249" w:lineRule="auto"/>
        <w:rPr>
          <w:rFonts w:hint="eastAsia"/>
          <w:color w:val="231F20"/>
        </w:rPr>
      </w:pPr>
    </w:p>
    <w:p w14:paraId="7DC3E6CA">
      <w:pPr>
        <w:pStyle w:val="9"/>
        <w:spacing w:after="0" w:line="249" w:lineRule="auto"/>
        <w:rPr>
          <w:rFonts w:hint="eastAsia"/>
          <w:color w:val="231F20"/>
        </w:rPr>
      </w:pPr>
      <w:r>
        <w:rPr>
          <w:rFonts w:hint="eastAsia"/>
          <w:color w:val="231F20"/>
        </w:rPr>
        <w:t>Here, every act is an act of worship, every day is the Lord’s Day.</w:t>
      </w:r>
    </w:p>
    <w:p w14:paraId="68FFAC7A">
      <w:pPr>
        <w:pStyle w:val="9"/>
        <w:spacing w:after="0" w:line="249" w:lineRule="auto"/>
        <w:rPr>
          <w:rFonts w:hint="eastAsia"/>
          <w:color w:val="231F20"/>
        </w:rPr>
      </w:pPr>
      <w:r>
        <w:rPr>
          <w:rFonts w:hint="eastAsia"/>
          <w:color w:val="231F20"/>
        </w:rPr>
        <w:t>在这里，每一个行为都是敬拜的行为，每一天都是主的日子。</w:t>
      </w:r>
    </w:p>
    <w:p w14:paraId="208432C1">
      <w:pPr>
        <w:pStyle w:val="9"/>
        <w:spacing w:after="0" w:line="249" w:lineRule="auto"/>
        <w:rPr>
          <w:rFonts w:hint="eastAsia"/>
          <w:color w:val="231F20"/>
        </w:rPr>
      </w:pPr>
    </w:p>
    <w:p w14:paraId="69997AB3">
      <w:pPr>
        <w:pStyle w:val="9"/>
        <w:spacing w:after="0" w:line="249" w:lineRule="auto"/>
        <w:rPr>
          <w:rFonts w:hint="eastAsia"/>
          <w:color w:val="231F20"/>
        </w:rPr>
      </w:pPr>
      <w:r>
        <w:rPr>
          <w:rFonts w:hint="eastAsia"/>
          <w:color w:val="231F20"/>
        </w:rPr>
        <w:t>Here, every Canaanite—a type of unregenerate, sinful man—has been expelled (14:21, Rom. 16:17-20, 1 John 2:19, Rev. 22:15).</w:t>
      </w:r>
    </w:p>
    <w:p w14:paraId="4AF25188">
      <w:pPr>
        <w:pStyle w:val="9"/>
        <w:spacing w:after="0" w:line="249" w:lineRule="auto"/>
        <w:rPr>
          <w:rFonts w:hint="eastAsia"/>
          <w:color w:val="231F20"/>
        </w:rPr>
      </w:pPr>
      <w:r>
        <w:rPr>
          <w:rFonts w:hint="eastAsia"/>
          <w:color w:val="231F20"/>
        </w:rPr>
        <w:t>在这里，每个迦南人——一个未重生、有罪之人的预表——都被驱逐了（14:21, 罗 16:17-20, 约一 2:19, 启 22:15）。</w:t>
      </w:r>
    </w:p>
    <w:p w14:paraId="3D05D261">
      <w:pPr>
        <w:pStyle w:val="9"/>
        <w:spacing w:after="0" w:line="249" w:lineRule="auto"/>
        <w:rPr>
          <w:rFonts w:hint="eastAsia"/>
          <w:color w:val="231F20"/>
        </w:rPr>
      </w:pPr>
    </w:p>
    <w:p w14:paraId="37E13104">
      <w:pPr>
        <w:pStyle w:val="9"/>
        <w:spacing w:after="0" w:line="249" w:lineRule="auto"/>
        <w:rPr>
          <w:rFonts w:hint="eastAsia"/>
          <w:color w:val="231F20"/>
        </w:rPr>
      </w:pPr>
      <w:r>
        <w:rPr>
          <w:rFonts w:hint="eastAsia"/>
          <w:color w:val="231F20"/>
        </w:rPr>
        <w:t>Here, Israel itself has become the eternal house of the gracious, loving Redeemer who fought triumphantly in their behalf: the LORD of hosts (14:21, Eph. 2:22).</w:t>
      </w:r>
    </w:p>
    <w:p w14:paraId="7E083AA4">
      <w:pPr>
        <w:pStyle w:val="9"/>
        <w:spacing w:after="0" w:line="249" w:lineRule="auto"/>
        <w:rPr>
          <w:rFonts w:hint="eastAsia"/>
          <w:color w:val="231F20"/>
        </w:rPr>
      </w:pPr>
      <w:r>
        <w:rPr>
          <w:rFonts w:hint="eastAsia"/>
          <w:color w:val="231F20"/>
        </w:rPr>
        <w:t>在这里，以色列本身已成为那为他们得胜争战的恩慈、慈爱的救赎主——万军之耶和华——永恒的殿（14:21, 弗 2:22）。</w:t>
      </w:r>
    </w:p>
    <w:p w14:paraId="1CEA99E5">
      <w:pPr>
        <w:pStyle w:val="9"/>
        <w:spacing w:after="0" w:line="249" w:lineRule="auto"/>
        <w:rPr>
          <w:rFonts w:hint="eastAsia"/>
          <w:color w:val="231F20"/>
        </w:rPr>
      </w:pPr>
    </w:p>
    <w:p w14:paraId="4DE9626E">
      <w:pPr>
        <w:pStyle w:val="9"/>
        <w:spacing w:after="0" w:line="249" w:lineRule="auto"/>
        <w:rPr>
          <w:rFonts w:hint="eastAsia"/>
          <w:color w:val="231F20"/>
        </w:rPr>
      </w:pPr>
      <w:r>
        <w:rPr>
          <w:rFonts w:hint="eastAsia"/>
          <w:color w:val="231F20"/>
        </w:rPr>
        <w:t>For this reason, in that Day the saints will weep no more, but in an eternal celebration of the Feast of Booths they will rejoice in the Lion of the Tribe of Judah; in the Holy One of Israel who, by his righteous life and atoning death, so mightily prevailed that he made both them and their world forever holy, even as he is holy (1 Peter 1:15-16, Rev. 5:5, 21:2, 22:11).</w:t>
      </w:r>
    </w:p>
    <w:p w14:paraId="63ED7CBD">
      <w:pPr>
        <w:pStyle w:val="9"/>
        <w:spacing w:after="0" w:line="249" w:lineRule="auto"/>
        <w:rPr>
          <w:rFonts w:hint="eastAsia"/>
          <w:color w:val="231F20"/>
        </w:rPr>
      </w:pPr>
      <w:r>
        <w:rPr>
          <w:rFonts w:hint="eastAsia"/>
          <w:color w:val="231F20"/>
        </w:rPr>
        <w:t>因此，在那日，圣徒将不再哭泣，而是在永恒庆祝住棚节中，他们将因犹大支派的狮子而欢欣；因以色列的圣者而欢欣，祂借着祂公义的生命和赎罪的死亡，如此大能地得胜，以至于祂使他们和他们的世界永远成为圣洁，正如祂是圣洁的一样（彼前 1:15-16, 启 5:5, 21:2, 22:11）。</w:t>
      </w:r>
    </w:p>
    <w:p w14:paraId="73767508">
      <w:pPr>
        <w:pStyle w:val="9"/>
        <w:spacing w:after="0" w:line="249" w:lineRule="auto"/>
        <w:rPr>
          <w:rFonts w:hint="eastAsia"/>
          <w:color w:val="231F20"/>
        </w:rPr>
      </w:pPr>
    </w:p>
    <w:p w14:paraId="3E4A76B0">
      <w:pPr>
        <w:pStyle w:val="9"/>
        <w:spacing w:after="0" w:line="249" w:lineRule="auto"/>
        <w:rPr>
          <w:rFonts w:hint="eastAsia"/>
          <w:color w:val="231F20"/>
        </w:rPr>
      </w:pPr>
      <w:r>
        <w:rPr>
          <w:rFonts w:hint="eastAsia"/>
          <w:color w:val="231F20"/>
        </w:rPr>
        <w:t>Conclusion to Part 3</w:t>
      </w:r>
    </w:p>
    <w:p w14:paraId="06020A79">
      <w:pPr>
        <w:pStyle w:val="9"/>
        <w:spacing w:after="0" w:line="249" w:lineRule="auto"/>
        <w:rPr>
          <w:rFonts w:hint="eastAsia"/>
          <w:color w:val="231F20"/>
        </w:rPr>
      </w:pPr>
      <w:r>
        <w:rPr>
          <w:rFonts w:hint="eastAsia"/>
          <w:color w:val="231F20"/>
        </w:rPr>
        <w:t>第三部分结论</w:t>
      </w:r>
    </w:p>
    <w:p w14:paraId="691ED54F">
      <w:pPr>
        <w:pStyle w:val="9"/>
        <w:spacing w:after="0" w:line="249" w:lineRule="auto"/>
        <w:rPr>
          <w:rFonts w:hint="eastAsia"/>
          <w:color w:val="231F20"/>
        </w:rPr>
      </w:pPr>
    </w:p>
    <w:p w14:paraId="70F34815">
      <w:pPr>
        <w:pStyle w:val="9"/>
        <w:spacing w:after="0" w:line="249" w:lineRule="auto"/>
        <w:rPr>
          <w:rFonts w:hint="eastAsia"/>
          <w:color w:val="231F20"/>
        </w:rPr>
      </w:pPr>
      <w:r>
        <w:rPr>
          <w:rFonts w:hint="eastAsia"/>
          <w:color w:val="231F20"/>
        </w:rPr>
        <w:t>Thank you for joining me in a long, challenging journey over the rough terrain of OTKP.</w:t>
      </w:r>
    </w:p>
    <w:p w14:paraId="4123D97D">
      <w:pPr>
        <w:pStyle w:val="9"/>
        <w:spacing w:after="0" w:line="249" w:lineRule="auto"/>
        <w:rPr>
          <w:rFonts w:hint="eastAsia"/>
          <w:color w:val="231F20"/>
        </w:rPr>
      </w:pPr>
      <w:r>
        <w:rPr>
          <w:rFonts w:hint="eastAsia"/>
          <w:color w:val="231F20"/>
        </w:rPr>
        <w:t>感谢您与我一同走过旧约国度预言这片崎岖土地上的漫长而富有挑战性的旅程。</w:t>
      </w:r>
    </w:p>
    <w:p w14:paraId="416EFD0E">
      <w:pPr>
        <w:pStyle w:val="9"/>
        <w:spacing w:after="0" w:line="249" w:lineRule="auto"/>
        <w:rPr>
          <w:rFonts w:hint="eastAsia"/>
          <w:color w:val="231F20"/>
        </w:rPr>
      </w:pPr>
    </w:p>
    <w:p w14:paraId="704A33DF">
      <w:pPr>
        <w:pStyle w:val="9"/>
        <w:spacing w:after="0" w:line="249" w:lineRule="auto"/>
        <w:rPr>
          <w:rFonts w:hint="eastAsia"/>
          <w:color w:val="231F20"/>
        </w:rPr>
      </w:pPr>
      <w:r>
        <w:rPr>
          <w:rFonts w:hint="eastAsia"/>
          <w:color w:val="231F20"/>
        </w:rPr>
        <w:t>Hopefully, you have found it well worth the time and effort involved.</w:t>
      </w:r>
    </w:p>
    <w:p w14:paraId="1253ED73">
      <w:pPr>
        <w:pStyle w:val="9"/>
        <w:spacing w:after="0" w:line="249" w:lineRule="auto"/>
        <w:rPr>
          <w:rFonts w:hint="eastAsia"/>
          <w:color w:val="231F20"/>
        </w:rPr>
      </w:pPr>
      <w:r>
        <w:rPr>
          <w:rFonts w:hint="eastAsia"/>
          <w:color w:val="231F20"/>
        </w:rPr>
        <w:t>希望您觉得所付出的时间和努力是值得的。</w:t>
      </w:r>
    </w:p>
    <w:p w14:paraId="1457CA2C">
      <w:pPr>
        <w:pStyle w:val="9"/>
        <w:spacing w:after="0" w:line="249" w:lineRule="auto"/>
        <w:rPr>
          <w:rFonts w:hint="eastAsia"/>
          <w:color w:val="231F20"/>
        </w:rPr>
      </w:pPr>
    </w:p>
    <w:p w14:paraId="3358A4F4">
      <w:pPr>
        <w:pStyle w:val="9"/>
        <w:spacing w:after="0" w:line="249" w:lineRule="auto"/>
        <w:rPr>
          <w:rFonts w:hint="eastAsia"/>
          <w:color w:val="231F20"/>
        </w:rPr>
      </w:pPr>
      <w:r>
        <w:rPr>
          <w:rFonts w:hint="eastAsia"/>
          <w:color w:val="231F20"/>
        </w:rPr>
        <w:t>Speaking for myself, in thinking and writing about these challenging texts I have been impressed over and again with the power and fruitfulness of the NCH.</w:t>
      </w:r>
    </w:p>
    <w:p w14:paraId="20A15769">
      <w:pPr>
        <w:pStyle w:val="9"/>
        <w:spacing w:after="0" w:line="249" w:lineRule="auto"/>
        <w:rPr>
          <w:rFonts w:hint="eastAsia"/>
          <w:color w:val="231F20"/>
        </w:rPr>
      </w:pPr>
      <w:r>
        <w:rPr>
          <w:rFonts w:hint="eastAsia"/>
          <w:color w:val="231F20"/>
        </w:rPr>
        <w:t>就我个人而言，在思考和撰写这些富有挑战性的经文时，我一次又一次地被新约解释学（NCH）的力量和成果所折服。</w:t>
      </w:r>
    </w:p>
    <w:p w14:paraId="7A73EB72">
      <w:pPr>
        <w:pStyle w:val="9"/>
        <w:spacing w:after="0" w:line="249" w:lineRule="auto"/>
        <w:rPr>
          <w:rFonts w:hint="eastAsia"/>
          <w:color w:val="231F20"/>
        </w:rPr>
      </w:pPr>
    </w:p>
    <w:p w14:paraId="2C56B70F">
      <w:pPr>
        <w:pStyle w:val="9"/>
        <w:spacing w:after="0" w:line="249" w:lineRule="auto"/>
        <w:rPr>
          <w:rFonts w:hint="eastAsia"/>
          <w:color w:val="231F20"/>
        </w:rPr>
      </w:pPr>
      <w:r>
        <w:rPr>
          <w:rFonts w:hint="eastAsia"/>
          <w:color w:val="231F20"/>
        </w:rPr>
        <w:t>By way of conclusion to Part 3 of our study, let me touch briefly on four special blessings that come to mind.</w:t>
      </w:r>
    </w:p>
    <w:p w14:paraId="656F7361">
      <w:pPr>
        <w:pStyle w:val="9"/>
        <w:spacing w:after="0" w:line="249" w:lineRule="auto"/>
        <w:rPr>
          <w:rFonts w:hint="eastAsia"/>
          <w:color w:val="231F20"/>
        </w:rPr>
      </w:pPr>
      <w:r>
        <w:rPr>
          <w:rFonts w:hint="eastAsia"/>
          <w:color w:val="231F20"/>
        </w:rPr>
        <w:t>作为我们研究第三部分的结论，让我简要地谈谈我想到的四个特别的祝福。</w:t>
      </w:r>
    </w:p>
    <w:p w14:paraId="0A5534B6">
      <w:pPr>
        <w:pStyle w:val="9"/>
        <w:spacing w:after="0" w:line="249" w:lineRule="auto"/>
        <w:rPr>
          <w:rFonts w:hint="eastAsia"/>
          <w:color w:val="231F20"/>
        </w:rPr>
      </w:pPr>
    </w:p>
    <w:p w14:paraId="2AF20810">
      <w:pPr>
        <w:pStyle w:val="9"/>
        <w:spacing w:after="0" w:line="249" w:lineRule="auto"/>
        <w:rPr>
          <w:rFonts w:hint="eastAsia"/>
          <w:color w:val="231F20"/>
        </w:rPr>
      </w:pPr>
      <w:r>
        <w:rPr>
          <w:rFonts w:hint="eastAsia"/>
          <w:color w:val="231F20"/>
        </w:rPr>
        <w:t>First, the NCH wonderfully opens up OTKP.</w:t>
      </w:r>
    </w:p>
    <w:p w14:paraId="3E8B6E7C">
      <w:pPr>
        <w:pStyle w:val="9"/>
        <w:spacing w:after="0" w:line="249" w:lineRule="auto"/>
        <w:rPr>
          <w:rFonts w:hint="eastAsia"/>
          <w:color w:val="231F20"/>
        </w:rPr>
      </w:pPr>
      <w:r>
        <w:rPr>
          <w:rFonts w:hint="eastAsia"/>
          <w:color w:val="231F20"/>
        </w:rPr>
        <w:t>首先，新约解释学奇妙地解开了旧约国度预言。</w:t>
      </w:r>
    </w:p>
    <w:p w14:paraId="5DDB850E">
      <w:pPr>
        <w:pStyle w:val="9"/>
        <w:spacing w:after="0" w:line="249" w:lineRule="auto"/>
        <w:rPr>
          <w:rFonts w:hint="eastAsia"/>
          <w:color w:val="231F20"/>
        </w:rPr>
      </w:pPr>
    </w:p>
    <w:p w14:paraId="4F8820BC">
      <w:pPr>
        <w:pStyle w:val="9"/>
        <w:spacing w:after="0" w:line="249" w:lineRule="auto"/>
        <w:rPr>
          <w:rFonts w:hint="eastAsia"/>
          <w:color w:val="231F20"/>
        </w:rPr>
      </w:pPr>
      <w:r>
        <w:rPr>
          <w:rFonts w:hint="eastAsia"/>
          <w:color w:val="231F20"/>
        </w:rPr>
        <w:t>Above all, it does this by clarifying its true sphere of fulfillment, the New (and Eternal) Covenant in Christ, and the two-staged spiritual Kingdom that it creates.</w:t>
      </w:r>
    </w:p>
    <w:p w14:paraId="3896E38A">
      <w:pPr>
        <w:pStyle w:val="9"/>
        <w:spacing w:after="0" w:line="249" w:lineRule="auto"/>
        <w:rPr>
          <w:rFonts w:hint="eastAsia"/>
          <w:color w:val="231F20"/>
        </w:rPr>
      </w:pPr>
      <w:r>
        <w:rPr>
          <w:rFonts w:hint="eastAsia"/>
          <w:color w:val="231F20"/>
        </w:rPr>
        <w:t>最重要的是，它通过阐明其真正的应验范围来做到这一点，即在基督里的新（且永恒的）约，以及它所创造的两阶段属灵国度。</w:t>
      </w:r>
    </w:p>
    <w:p w14:paraId="2A11A831">
      <w:pPr>
        <w:pStyle w:val="9"/>
        <w:spacing w:after="0" w:line="249" w:lineRule="auto"/>
        <w:rPr>
          <w:rFonts w:hint="eastAsia"/>
          <w:color w:val="231F20"/>
        </w:rPr>
      </w:pPr>
    </w:p>
    <w:p w14:paraId="142E299E">
      <w:pPr>
        <w:pStyle w:val="9"/>
        <w:spacing w:after="0" w:line="249" w:lineRule="auto"/>
        <w:rPr>
          <w:rFonts w:hint="eastAsia"/>
          <w:color w:val="231F20"/>
        </w:rPr>
      </w:pPr>
      <w:r>
        <w:rPr>
          <w:rFonts w:hint="eastAsia"/>
          <w:color w:val="231F20"/>
        </w:rPr>
        <w:t>Once we are clear on this fundamental point, it is but a small step to mastering the typological method of OT prophetic interpretation, by which we learn to see NT spiritual realities promised and described under a type-laden veil of OT symbolism.</w:t>
      </w:r>
    </w:p>
    <w:p w14:paraId="3D81135E">
      <w:pPr>
        <w:pStyle w:val="9"/>
        <w:spacing w:after="0" w:line="249" w:lineRule="auto"/>
        <w:rPr>
          <w:rFonts w:hint="eastAsia"/>
          <w:color w:val="231F20"/>
        </w:rPr>
      </w:pPr>
      <w:r>
        <w:rPr>
          <w:rFonts w:hint="eastAsia"/>
          <w:color w:val="231F20"/>
        </w:rPr>
        <w:t>一旦我们明确了这个基本点，掌握旧约预言解释的预表法就只是一小步之遥，通过这种方法，我们学会在充满预表的旧约象征主义面纱下，看到被应许和描述的新约属灵现实。</w:t>
      </w:r>
    </w:p>
    <w:p w14:paraId="69E4D4A6">
      <w:pPr>
        <w:pStyle w:val="9"/>
        <w:spacing w:after="0" w:line="249" w:lineRule="auto"/>
        <w:rPr>
          <w:rFonts w:hint="eastAsia"/>
          <w:color w:val="231F20"/>
        </w:rPr>
      </w:pPr>
    </w:p>
    <w:p w14:paraId="4FFE6AD5">
      <w:pPr>
        <w:pStyle w:val="9"/>
        <w:spacing w:after="0" w:line="249" w:lineRule="auto"/>
        <w:rPr>
          <w:rFonts w:hint="eastAsia"/>
          <w:color w:val="231F20"/>
        </w:rPr>
      </w:pPr>
      <w:r>
        <w:rPr>
          <w:rFonts w:hint="eastAsia"/>
          <w:color w:val="231F20"/>
        </w:rPr>
        <w:t>The end result is that the NCH gives us skill, confidence, and good success in discerning the Spirit’s intended meaning in all OTKP.</w:t>
      </w:r>
    </w:p>
    <w:p w14:paraId="51EA2FF0">
      <w:pPr>
        <w:pStyle w:val="9"/>
        <w:spacing w:after="0" w:line="249" w:lineRule="auto"/>
        <w:rPr>
          <w:rFonts w:hint="eastAsia"/>
          <w:color w:val="231F20"/>
        </w:rPr>
      </w:pPr>
      <w:r>
        <w:rPr>
          <w:rFonts w:hint="eastAsia"/>
          <w:color w:val="231F20"/>
        </w:rPr>
        <w:t>最终结果是，新约解释学给了我们在辨别圣灵在所有旧约国度预言中意图的技巧、信心和良好的成功。</w:t>
      </w:r>
    </w:p>
    <w:p w14:paraId="6D0D1609">
      <w:pPr>
        <w:pStyle w:val="9"/>
        <w:spacing w:after="0" w:line="249" w:lineRule="auto"/>
        <w:rPr>
          <w:rFonts w:hint="eastAsia"/>
          <w:color w:val="231F20"/>
        </w:rPr>
      </w:pPr>
    </w:p>
    <w:p w14:paraId="05A90B39">
      <w:pPr>
        <w:pStyle w:val="9"/>
        <w:spacing w:after="0" w:line="249" w:lineRule="auto"/>
        <w:rPr>
          <w:rFonts w:hint="eastAsia"/>
          <w:color w:val="231F20"/>
        </w:rPr>
      </w:pPr>
      <w:r>
        <w:rPr>
          <w:rFonts w:hint="eastAsia"/>
          <w:color w:val="231F20"/>
        </w:rPr>
        <w:t>Secondly, the NCH properly exalts the New Testament, restoring it to its place of honor in the progress of divine revelation.</w:t>
      </w:r>
    </w:p>
    <w:p w14:paraId="11743C34">
      <w:pPr>
        <w:pStyle w:val="9"/>
        <w:spacing w:after="0" w:line="249" w:lineRule="auto"/>
        <w:rPr>
          <w:rFonts w:hint="eastAsia"/>
          <w:color w:val="231F20"/>
        </w:rPr>
      </w:pPr>
      <w:r>
        <w:rPr>
          <w:rFonts w:hint="eastAsia"/>
          <w:color w:val="231F20"/>
        </w:rPr>
        <w:t>其次，新约解释学恰当地高举了新约，将其恢复到在神圣启示进程中的尊荣地位。</w:t>
      </w:r>
    </w:p>
    <w:p w14:paraId="0D946BF1">
      <w:pPr>
        <w:pStyle w:val="9"/>
        <w:spacing w:after="0" w:line="249" w:lineRule="auto"/>
        <w:rPr>
          <w:rFonts w:hint="eastAsia"/>
          <w:color w:val="231F20"/>
        </w:rPr>
      </w:pPr>
    </w:p>
    <w:p w14:paraId="18BD75B0">
      <w:pPr>
        <w:pStyle w:val="9"/>
        <w:spacing w:after="0" w:line="249" w:lineRule="auto"/>
        <w:rPr>
          <w:rFonts w:hint="eastAsia"/>
          <w:color w:val="231F20"/>
        </w:rPr>
      </w:pPr>
      <w:r>
        <w:rPr>
          <w:rFonts w:hint="eastAsia"/>
          <w:color w:val="231F20"/>
        </w:rPr>
        <w:t>For too long, huge swaths of the evangelical community have seen the glory of Christ and the Gospel eclipsed by eschatologies mired in a literal interpretation of OT prophetic texts.</w:t>
      </w:r>
    </w:p>
    <w:p w14:paraId="72CE22DE">
      <w:pPr>
        <w:pStyle w:val="9"/>
        <w:spacing w:after="0" w:line="249" w:lineRule="auto"/>
        <w:rPr>
          <w:rFonts w:hint="eastAsia"/>
          <w:color w:val="231F20"/>
        </w:rPr>
      </w:pPr>
      <w:r>
        <w:rPr>
          <w:rFonts w:hint="eastAsia"/>
          <w:color w:val="231F20"/>
        </w:rPr>
        <w:t>太久以来，福音派社群的大片领域都见证了基督和福音的荣耀被那些深陷于对旧约预言经文字面解释的末世论所遮蔽。</w:t>
      </w:r>
    </w:p>
    <w:p w14:paraId="2FA42CBE">
      <w:pPr>
        <w:pStyle w:val="9"/>
        <w:spacing w:after="0" w:line="249" w:lineRule="auto"/>
        <w:rPr>
          <w:rFonts w:hint="eastAsia"/>
          <w:color w:val="231F20"/>
        </w:rPr>
      </w:pPr>
    </w:p>
    <w:p w14:paraId="538C3600">
      <w:pPr>
        <w:pStyle w:val="9"/>
        <w:spacing w:after="0" w:line="249" w:lineRule="auto"/>
        <w:rPr>
          <w:rFonts w:hint="eastAsia"/>
          <w:color w:val="231F20"/>
        </w:rPr>
      </w:pPr>
      <w:r>
        <w:rPr>
          <w:rFonts w:hint="eastAsia"/>
          <w:color w:val="231F20"/>
        </w:rPr>
        <w:t>The sad result has been that the Old Covenant overshadows the New; the Millennium overshadows the two-staged Kingdom of Christ; and ethnic Israel overshadows spiritual Israel, the Church.</w:t>
      </w:r>
    </w:p>
    <w:p w14:paraId="17A8F051">
      <w:pPr>
        <w:pStyle w:val="9"/>
        <w:spacing w:after="0" w:line="249" w:lineRule="auto"/>
        <w:rPr>
          <w:rFonts w:hint="eastAsia"/>
          <w:color w:val="231F20"/>
        </w:rPr>
      </w:pPr>
      <w:r>
        <w:rPr>
          <w:rFonts w:hint="eastAsia"/>
          <w:color w:val="231F20"/>
        </w:rPr>
        <w:t>可悲的结果是，旧约遮蔽了新约；千禧年遮蔽了基督的两阶段国度；以色列民族遮蔽了属灵的以色列，即教会。</w:t>
      </w:r>
    </w:p>
    <w:p w14:paraId="32BF67E2">
      <w:pPr>
        <w:pStyle w:val="9"/>
        <w:spacing w:after="0" w:line="249" w:lineRule="auto"/>
        <w:rPr>
          <w:rFonts w:hint="eastAsia"/>
          <w:color w:val="231F20"/>
        </w:rPr>
      </w:pPr>
    </w:p>
    <w:p w14:paraId="72B3328A">
      <w:pPr>
        <w:pStyle w:val="9"/>
        <w:spacing w:after="0" w:line="249" w:lineRule="auto"/>
        <w:rPr>
          <w:rFonts w:hint="eastAsia"/>
          <w:color w:val="231F20"/>
        </w:rPr>
      </w:pPr>
      <w:r>
        <w:rPr>
          <w:rFonts w:hint="eastAsia"/>
          <w:color w:val="231F20"/>
        </w:rPr>
        <w:t>The NCH heals this theological wound, disclosing Christ and the Eternal Covenant as the one true body towards which all former shadows bent; the one true goal towards which all Salvation History ran (Col. 2:17).</w:t>
      </w:r>
    </w:p>
    <w:p w14:paraId="082D8DAF">
      <w:pPr>
        <w:pStyle w:val="9"/>
        <w:spacing w:after="0" w:line="249" w:lineRule="auto"/>
        <w:rPr>
          <w:rFonts w:hint="eastAsia"/>
          <w:color w:val="231F20"/>
        </w:rPr>
      </w:pPr>
      <w:r>
        <w:rPr>
          <w:rFonts w:hint="eastAsia"/>
          <w:color w:val="231F20"/>
        </w:rPr>
        <w:t>新约解释学医治了这个神学创伤，揭示了基督和永恒之约是所有先前影像所指向的唯一真实实体；是所有救赎历史所奔向的唯一真实目标（西 2:17）。</w:t>
      </w:r>
    </w:p>
    <w:p w14:paraId="53AB3AB9">
      <w:pPr>
        <w:pStyle w:val="9"/>
        <w:spacing w:after="0" w:line="249" w:lineRule="auto"/>
        <w:rPr>
          <w:rFonts w:hint="eastAsia"/>
          <w:color w:val="231F20"/>
        </w:rPr>
      </w:pPr>
    </w:p>
    <w:p w14:paraId="611CDEBE">
      <w:pPr>
        <w:pStyle w:val="9"/>
        <w:spacing w:after="0" w:line="249" w:lineRule="auto"/>
        <w:rPr>
          <w:rFonts w:hint="eastAsia"/>
          <w:color w:val="231F20"/>
        </w:rPr>
      </w:pPr>
      <w:r>
        <w:rPr>
          <w:rFonts w:hint="eastAsia"/>
          <w:color w:val="231F20"/>
        </w:rPr>
        <w:t>Thirdly, the NCH marvelously discloses and magnifies the Christ- centered unity of the Scriptures.</w:t>
      </w:r>
    </w:p>
    <w:p w14:paraId="52D9ACF6">
      <w:pPr>
        <w:pStyle w:val="9"/>
        <w:spacing w:after="0" w:line="249" w:lineRule="auto"/>
        <w:rPr>
          <w:rFonts w:hint="eastAsia"/>
          <w:color w:val="231F20"/>
        </w:rPr>
      </w:pPr>
      <w:r>
        <w:rPr>
          <w:rFonts w:hint="eastAsia"/>
          <w:color w:val="231F20"/>
        </w:rPr>
        <w:t>第三，新约解释学奇妙地揭示并放大了圣经以基督为中心的统一性。</w:t>
      </w:r>
    </w:p>
    <w:p w14:paraId="3AF57D40">
      <w:pPr>
        <w:pStyle w:val="9"/>
        <w:spacing w:after="0" w:line="249" w:lineRule="auto"/>
        <w:rPr>
          <w:rFonts w:hint="eastAsia"/>
          <w:color w:val="231F20"/>
        </w:rPr>
      </w:pPr>
    </w:p>
    <w:p w14:paraId="06EA6A54">
      <w:pPr>
        <w:pStyle w:val="9"/>
        <w:spacing w:after="0" w:line="249" w:lineRule="auto"/>
        <w:rPr>
          <w:rFonts w:hint="eastAsia"/>
          <w:color w:val="231F20"/>
        </w:rPr>
      </w:pPr>
      <w:r>
        <w:rPr>
          <w:rFonts w:hint="eastAsia"/>
          <w:color w:val="231F20"/>
        </w:rPr>
        <w:t>Speaking of the OT Scriptures—and therefore of OTKP—the Lord Jesus himself said, “These are they that testify of me” (John 5:39).</w:t>
      </w:r>
    </w:p>
    <w:p w14:paraId="1D9F2F24">
      <w:pPr>
        <w:pStyle w:val="9"/>
        <w:spacing w:after="0" w:line="249" w:lineRule="auto"/>
        <w:rPr>
          <w:rFonts w:hint="eastAsia"/>
          <w:color w:val="231F20"/>
        </w:rPr>
      </w:pPr>
      <w:r>
        <w:rPr>
          <w:rFonts w:hint="eastAsia"/>
          <w:color w:val="231F20"/>
        </w:rPr>
        <w:t>论到旧约圣经——因此也论到旧约国度预言——主耶稣自己说：“给我作见证的就是这经”（约 5:39）。</w:t>
      </w:r>
    </w:p>
    <w:p w14:paraId="07E809C2">
      <w:pPr>
        <w:pStyle w:val="9"/>
        <w:spacing w:after="0" w:line="249" w:lineRule="auto"/>
        <w:rPr>
          <w:rFonts w:hint="eastAsia"/>
          <w:color w:val="231F20"/>
        </w:rPr>
      </w:pPr>
    </w:p>
    <w:p w14:paraId="77305492">
      <w:pPr>
        <w:pStyle w:val="9"/>
        <w:spacing w:after="0" w:line="249" w:lineRule="auto"/>
        <w:rPr>
          <w:rFonts w:hint="eastAsia"/>
          <w:color w:val="231F20"/>
        </w:rPr>
      </w:pPr>
      <w:r>
        <w:rPr>
          <w:rFonts w:hint="eastAsia"/>
          <w:color w:val="231F20"/>
        </w:rPr>
        <w:t>And they testify, not just of him, but also of the New Covenant that he introduced, and the two-staged spiritual Kingdom that it creates.</w:t>
      </w:r>
    </w:p>
    <w:p w14:paraId="2CA6E9A3">
      <w:pPr>
        <w:pStyle w:val="9"/>
        <w:spacing w:after="0" w:line="249" w:lineRule="auto"/>
        <w:rPr>
          <w:rFonts w:hint="eastAsia"/>
          <w:color w:val="231F20"/>
        </w:rPr>
      </w:pPr>
      <w:r>
        <w:rPr>
          <w:rFonts w:hint="eastAsia"/>
          <w:color w:val="231F20"/>
        </w:rPr>
        <w:t>它们不仅为祂作见证，也为祂所引入的新约，以及它所创造的两阶段属灵国度作见证。</w:t>
      </w:r>
    </w:p>
    <w:p w14:paraId="6A53A1E7">
      <w:pPr>
        <w:pStyle w:val="9"/>
        <w:spacing w:after="0" w:line="249" w:lineRule="auto"/>
        <w:rPr>
          <w:rFonts w:hint="eastAsia"/>
          <w:color w:val="231F20"/>
        </w:rPr>
      </w:pPr>
    </w:p>
    <w:p w14:paraId="767F786C">
      <w:pPr>
        <w:pStyle w:val="9"/>
        <w:spacing w:after="0" w:line="249" w:lineRule="auto"/>
        <w:rPr>
          <w:rFonts w:hint="eastAsia"/>
          <w:color w:val="231F20"/>
        </w:rPr>
      </w:pPr>
      <w:r>
        <w:rPr>
          <w:rFonts w:hint="eastAsia"/>
          <w:color w:val="231F20"/>
        </w:rPr>
        <w:t>Once we see this—and once we embrace the hermeneutic that it entails—then every tile in the vast mosaic of Scripture falls neatly into place, with the result that we fall down in awe before the majestic portrait of the Person and Work of Christ reflected therein.</w:t>
      </w:r>
    </w:p>
    <w:p w14:paraId="201F6C7D">
      <w:pPr>
        <w:pStyle w:val="9"/>
        <w:spacing w:after="0" w:line="249" w:lineRule="auto"/>
        <w:rPr>
          <w:rFonts w:hint="eastAsia"/>
          <w:color w:val="231F20"/>
        </w:rPr>
      </w:pPr>
      <w:r>
        <w:rPr>
          <w:rFonts w:hint="eastAsia"/>
          <w:color w:val="231F20"/>
        </w:rPr>
        <w:t>一旦我们看到这一点——一旦我们接受了它所蕴含的解释学——那么圣经这幅巨大马赛克中的每一块砖瓦都将整齐地归位，结果是我们将在其中反映出的基督位格和工作的威严肖像前肃然起敬。</w:t>
      </w:r>
    </w:p>
    <w:p w14:paraId="34B1835D">
      <w:pPr>
        <w:pStyle w:val="9"/>
        <w:spacing w:after="0" w:line="249" w:lineRule="auto"/>
        <w:rPr>
          <w:rFonts w:hint="eastAsia"/>
          <w:color w:val="231F20"/>
        </w:rPr>
      </w:pPr>
    </w:p>
    <w:p w14:paraId="2663CBD0">
      <w:pPr>
        <w:pStyle w:val="9"/>
        <w:spacing w:after="0" w:line="249" w:lineRule="auto"/>
        <w:rPr>
          <w:rFonts w:hint="eastAsia"/>
          <w:color w:val="231F20"/>
        </w:rPr>
      </w:pPr>
      <w:r>
        <w:rPr>
          <w:rFonts w:hint="eastAsia"/>
          <w:color w:val="231F20"/>
        </w:rPr>
        <w:t>Finally, the NCH helpfully prepares the Church for her arduous but victorious Gospel ministry at the end of the age.</w:t>
      </w:r>
    </w:p>
    <w:p w14:paraId="295DE367">
      <w:pPr>
        <w:pStyle w:val="9"/>
        <w:spacing w:after="0" w:line="249" w:lineRule="auto"/>
        <w:rPr>
          <w:rFonts w:hint="eastAsia"/>
          <w:color w:val="231F20"/>
        </w:rPr>
      </w:pPr>
      <w:r>
        <w:rPr>
          <w:rFonts w:hint="eastAsia"/>
          <w:color w:val="231F20"/>
        </w:rPr>
        <w:t>最后，新约解释学有助地预备教会，以迎接她在世代末了艰巨但得胜的福音事工。</w:t>
      </w:r>
    </w:p>
    <w:p w14:paraId="379D3DDE">
      <w:pPr>
        <w:pStyle w:val="9"/>
        <w:spacing w:after="0" w:line="249" w:lineRule="auto"/>
        <w:rPr>
          <w:rFonts w:hint="eastAsia"/>
          <w:color w:val="231F20"/>
        </w:rPr>
      </w:pPr>
    </w:p>
    <w:p w14:paraId="31B08938">
      <w:pPr>
        <w:pStyle w:val="9"/>
        <w:spacing w:after="0" w:line="249" w:lineRule="auto"/>
        <w:rPr>
          <w:rFonts w:hint="eastAsia"/>
          <w:color w:val="231F20"/>
        </w:rPr>
      </w:pPr>
      <w:r>
        <w:rPr>
          <w:rFonts w:hint="eastAsia"/>
          <w:color w:val="231F20"/>
        </w:rPr>
        <w:t>Henceforth, the sleek, sharply pointed shafts of OTKP—whether pre-exilic, exilic, or post-exilic —are deposited as so many arrows in her spiritual quiver.</w:t>
      </w:r>
    </w:p>
    <w:p w14:paraId="676A5F1B">
      <w:pPr>
        <w:pStyle w:val="9"/>
        <w:spacing w:after="0" w:line="249" w:lineRule="auto"/>
        <w:rPr>
          <w:rFonts w:hint="eastAsia"/>
          <w:color w:val="231F20"/>
        </w:rPr>
      </w:pPr>
      <w:r>
        <w:rPr>
          <w:rFonts w:hint="eastAsia"/>
          <w:color w:val="231F20"/>
        </w:rPr>
        <w:t>从此，旧约国度预言那光滑、尖锐的箭杆——无论是被掳前、被掳中，还是被掳后——都像许多箭一样存放在她属灵的箭袋里。</w:t>
      </w:r>
    </w:p>
    <w:p w14:paraId="05356600">
      <w:pPr>
        <w:pStyle w:val="9"/>
        <w:spacing w:after="0" w:line="249" w:lineRule="auto"/>
        <w:rPr>
          <w:rFonts w:hint="eastAsia"/>
          <w:color w:val="231F20"/>
        </w:rPr>
      </w:pPr>
    </w:p>
    <w:p w14:paraId="5D15BBB7">
      <w:pPr>
        <w:pStyle w:val="9"/>
        <w:spacing w:after="0" w:line="249" w:lineRule="auto"/>
        <w:rPr>
          <w:rFonts w:hint="eastAsia"/>
          <w:color w:val="231F20"/>
        </w:rPr>
      </w:pPr>
      <w:r>
        <w:rPr>
          <w:rFonts w:hint="eastAsia"/>
          <w:color w:val="231F20"/>
        </w:rPr>
        <w:t>Henceforth, she can draw them out to warn the wicked, evangelize the lost, and teach, exhort, and encourage the saints.</w:t>
      </w:r>
    </w:p>
    <w:p w14:paraId="70AFF0FF">
      <w:pPr>
        <w:pStyle w:val="9"/>
        <w:spacing w:after="0" w:line="249" w:lineRule="auto"/>
        <w:rPr>
          <w:rFonts w:hint="eastAsia"/>
          <w:color w:val="231F20"/>
        </w:rPr>
      </w:pPr>
      <w:r>
        <w:rPr>
          <w:rFonts w:hint="eastAsia"/>
          <w:color w:val="231F20"/>
        </w:rPr>
        <w:t>从此，她可以抽出它们来警告恶人，向失丧的人传福音，并教导、劝勉和鼓励圣徒。</w:t>
      </w:r>
    </w:p>
    <w:p w14:paraId="0F54731A">
      <w:pPr>
        <w:pStyle w:val="9"/>
        <w:spacing w:after="0" w:line="249" w:lineRule="auto"/>
        <w:rPr>
          <w:rFonts w:hint="eastAsia"/>
          <w:color w:val="231F20"/>
        </w:rPr>
      </w:pPr>
    </w:p>
    <w:p w14:paraId="2089997B">
      <w:pPr>
        <w:pStyle w:val="9"/>
        <w:spacing w:after="0" w:line="249" w:lineRule="auto"/>
        <w:rPr>
          <w:rFonts w:hint="eastAsia"/>
          <w:color w:val="231F20"/>
        </w:rPr>
      </w:pPr>
      <w:r>
        <w:rPr>
          <w:rFonts w:hint="eastAsia"/>
          <w:color w:val="231F20"/>
        </w:rPr>
        <w:t>Thus shall Christ’s NT scribes nourish one another with things old and new; thus shall they pass triumphantly through the Greatest Tribulation, the Last Battle, the Resurrection of the Dead, and the Last Judgment; and thus shall they enter the glorious World to Come, where they will live forever with their heavenly Husband and King, who at long last has returned for his beloved Bride and safely brought her home.</w:t>
      </w:r>
    </w:p>
    <w:p w14:paraId="7EFC72F2">
      <w:pPr>
        <w:pStyle w:val="9"/>
        <w:spacing w:after="0" w:line="249" w:lineRule="auto"/>
        <w:sectPr>
          <w:pgSz w:w="12240" w:h="15840"/>
          <w:pgMar w:top="1380" w:right="1440" w:bottom="280" w:left="1440" w:header="720" w:footer="720" w:gutter="0"/>
          <w:cols w:space="720" w:num="1"/>
        </w:sectPr>
      </w:pPr>
      <w:r>
        <w:rPr>
          <w:rFonts w:hint="eastAsia"/>
          <w:color w:val="231F20"/>
        </w:rPr>
        <w:t>如此，基督的新约文士将用新旧的事物彼此喂养；如此，他们将胜利地经过最大的患难、最后的战役、死人的复活和最后的审判；如此，他们将进入荣耀的未来世界，在那里他们将与他们天上的丈夫和君王永远同住，祂终于为祂所爱的新妇回来了，并安全地将她带回家。</w:t>
      </w:r>
    </w:p>
    <w:p w14:paraId="6270C41D">
      <w:pPr>
        <w:pStyle w:val="2"/>
        <w:bidi w:val="0"/>
        <w:rPr>
          <w:rFonts w:hint="eastAsia"/>
        </w:rPr>
      </w:pPr>
      <w:bookmarkStart w:id="49" w:name="Chapter 19: The Revelation: Purpose and "/>
      <w:bookmarkEnd w:id="49"/>
      <w:bookmarkStart w:id="50" w:name="_bookmark117"/>
      <w:bookmarkEnd w:id="50"/>
      <w:r>
        <w:rPr>
          <w:rFonts w:hint="eastAsia"/>
        </w:rPr>
        <w:t>Part 4 Understanding the Millennium</w:t>
      </w:r>
    </w:p>
    <w:p w14:paraId="7686FFE1">
      <w:pPr>
        <w:pStyle w:val="2"/>
        <w:bidi w:val="0"/>
        <w:rPr>
          <w:rFonts w:hint="eastAsia"/>
        </w:rPr>
      </w:pPr>
      <w:r>
        <w:rPr>
          <w:rFonts w:hint="eastAsia"/>
        </w:rPr>
        <w:t>第四部分 理解千禧年</w:t>
      </w:r>
    </w:p>
    <w:p w14:paraId="2C85FB8A">
      <w:pPr>
        <w:pStyle w:val="9"/>
        <w:spacing w:after="0" w:line="249" w:lineRule="auto"/>
        <w:rPr>
          <w:rFonts w:hint="eastAsia"/>
        </w:rPr>
      </w:pPr>
    </w:p>
    <w:p w14:paraId="757441FA">
      <w:pPr>
        <w:pStyle w:val="3"/>
        <w:bidi w:val="0"/>
        <w:rPr>
          <w:rFonts w:hint="eastAsia"/>
        </w:rPr>
      </w:pPr>
      <w:r>
        <w:rPr>
          <w:rFonts w:hint="eastAsia"/>
        </w:rPr>
        <w:t>Chapter 19</w:t>
      </w:r>
    </w:p>
    <w:p w14:paraId="7A4DCFD4">
      <w:pPr>
        <w:pStyle w:val="3"/>
        <w:bidi w:val="0"/>
        <w:rPr>
          <w:rFonts w:hint="eastAsia"/>
        </w:rPr>
      </w:pPr>
      <w:r>
        <w:rPr>
          <w:rFonts w:hint="eastAsia"/>
        </w:rPr>
        <w:t>第19章</w:t>
      </w:r>
    </w:p>
    <w:p w14:paraId="658D5AEE">
      <w:pPr>
        <w:pStyle w:val="9"/>
        <w:spacing w:after="0" w:line="249" w:lineRule="auto"/>
        <w:rPr>
          <w:rFonts w:hint="eastAsia"/>
        </w:rPr>
      </w:pPr>
    </w:p>
    <w:p w14:paraId="18E5C2F3">
      <w:pPr>
        <w:pStyle w:val="3"/>
        <w:bidi w:val="0"/>
        <w:rPr>
          <w:rFonts w:hint="eastAsia"/>
        </w:rPr>
      </w:pPr>
      <w:r>
        <w:rPr>
          <w:rFonts w:hint="eastAsia"/>
        </w:rPr>
        <w:t>The Revelation: Purpose and Literary Genre</w:t>
      </w:r>
    </w:p>
    <w:p w14:paraId="6ABAA985">
      <w:pPr>
        <w:pStyle w:val="3"/>
        <w:bidi w:val="0"/>
        <w:rPr>
          <w:rFonts w:hint="eastAsia"/>
        </w:rPr>
      </w:pPr>
      <w:r>
        <w:rPr>
          <w:rFonts w:hint="eastAsia"/>
        </w:rPr>
        <w:t>启示录：目的与文学体裁</w:t>
      </w:r>
    </w:p>
    <w:p w14:paraId="555065FB">
      <w:pPr>
        <w:pStyle w:val="9"/>
        <w:spacing w:after="0" w:line="249" w:lineRule="auto"/>
        <w:rPr>
          <w:rFonts w:hint="eastAsia"/>
        </w:rPr>
      </w:pPr>
    </w:p>
    <w:p w14:paraId="1A05AB82">
      <w:pPr>
        <w:pStyle w:val="9"/>
        <w:spacing w:after="0" w:line="249" w:lineRule="auto"/>
        <w:rPr>
          <w:rFonts w:hint="eastAsia"/>
        </w:rPr>
      </w:pPr>
      <w:r>
        <w:rPr>
          <w:rFonts w:hint="eastAsia"/>
        </w:rPr>
        <w:t>AT THE BEGINNING of our journey, we identified four fundamental flashpoints of controversy in the Great End Time Debate: The Kingdom of God, the proper interpretation of OTKP, the Millennium, and the Consummation.</w:t>
      </w:r>
    </w:p>
    <w:p w14:paraId="1B111B58">
      <w:pPr>
        <w:pStyle w:val="9"/>
        <w:spacing w:after="0" w:line="249" w:lineRule="auto"/>
        <w:rPr>
          <w:rFonts w:hint="eastAsia"/>
        </w:rPr>
      </w:pPr>
      <w:r>
        <w:rPr>
          <w:rFonts w:hint="eastAsia"/>
        </w:rPr>
        <w:t>在我们旅程的开始，我们确定了“末世大辩论”中四个基本的争议爆发点：神的国度、旧约国度预言（OTKP）的正确解释、千禧年，以及最终的成全。</w:t>
      </w:r>
    </w:p>
    <w:p w14:paraId="60BD2F16">
      <w:pPr>
        <w:pStyle w:val="9"/>
        <w:spacing w:after="0" w:line="249" w:lineRule="auto"/>
        <w:rPr>
          <w:rFonts w:hint="eastAsia"/>
        </w:rPr>
      </w:pPr>
    </w:p>
    <w:p w14:paraId="17565FB9">
      <w:pPr>
        <w:pStyle w:val="9"/>
        <w:spacing w:after="0" w:line="249" w:lineRule="auto"/>
        <w:rPr>
          <w:rFonts w:hint="eastAsia"/>
        </w:rPr>
      </w:pPr>
      <w:r>
        <w:rPr>
          <w:rFonts w:hint="eastAsia"/>
        </w:rPr>
        <w:t>Happily, our close study of the Kingdom supplied welcome insights into the other three questions.</w:t>
      </w:r>
    </w:p>
    <w:p w14:paraId="2765180A">
      <w:pPr>
        <w:pStyle w:val="9"/>
        <w:spacing w:after="0" w:line="249" w:lineRule="auto"/>
        <w:rPr>
          <w:rFonts w:hint="eastAsia"/>
        </w:rPr>
      </w:pPr>
      <w:r>
        <w:rPr>
          <w:rFonts w:hint="eastAsia"/>
        </w:rPr>
        <w:t>令人欣慰的是，我们对国度的深入研究为其他三个问题提供了受欢迎的见解。</w:t>
      </w:r>
    </w:p>
    <w:p w14:paraId="37B5D65E">
      <w:pPr>
        <w:pStyle w:val="9"/>
        <w:spacing w:after="0" w:line="249" w:lineRule="auto"/>
        <w:rPr>
          <w:rFonts w:hint="eastAsia"/>
        </w:rPr>
      </w:pPr>
    </w:p>
    <w:p w14:paraId="63E91C42">
      <w:pPr>
        <w:pStyle w:val="9"/>
        <w:spacing w:after="0" w:line="249" w:lineRule="auto"/>
        <w:rPr>
          <w:rFonts w:hint="eastAsia"/>
        </w:rPr>
      </w:pPr>
      <w:r>
        <w:rPr>
          <w:rFonts w:hint="eastAsia"/>
        </w:rPr>
        <w:t>Having learned that the Kingdom appears in two simple stages—the Kingdom of the Son (i.e., the heavenly, mediatorial reign of Christ) followed by the Kingdom of the Father (i.e., the glorified World to Come)—we realized that the thousand years of Revelation cannot be a third, intermediate stage of the Kingdom sandwiched between the other two, as premillennarians assert.</w:t>
      </w:r>
    </w:p>
    <w:p w14:paraId="1C02B4AC">
      <w:pPr>
        <w:pStyle w:val="9"/>
        <w:spacing w:after="0" w:line="249" w:lineRule="auto"/>
        <w:rPr>
          <w:rFonts w:hint="eastAsia"/>
        </w:rPr>
      </w:pPr>
      <w:r>
        <w:rPr>
          <w:rFonts w:hint="eastAsia"/>
        </w:rPr>
        <w:t>在了解到国度以两个简单的阶段出现——即子的国度（即基督在天上的中保统治）后是父的国度（即得荣耀的未来世界）——我们意识到启示录中的一千年不可能是夹在另外两个阶段之间的第三个中间阶段，正如前千禧年论者所主张的那样。</w:t>
      </w:r>
    </w:p>
    <w:p w14:paraId="1F989529">
      <w:pPr>
        <w:pStyle w:val="9"/>
        <w:spacing w:after="0" w:line="249" w:lineRule="auto"/>
        <w:rPr>
          <w:rFonts w:hint="eastAsia"/>
        </w:rPr>
      </w:pPr>
    </w:p>
    <w:p w14:paraId="24B0B80B">
      <w:pPr>
        <w:pStyle w:val="9"/>
        <w:spacing w:after="0" w:line="249" w:lineRule="auto"/>
        <w:rPr>
          <w:rFonts w:hint="eastAsia"/>
        </w:rPr>
      </w:pPr>
      <w:r>
        <w:rPr>
          <w:rFonts w:hint="eastAsia"/>
        </w:rPr>
        <w:t>Similarly, having learned that the two stages of the Kingdom are separated by a single Consummation at the Parousia of Christ, we realized that the Consummation cannot be fragmented into multiple comings, resurrections, and judgments, as premillennarians also assert.</w:t>
      </w:r>
    </w:p>
    <w:p w14:paraId="1AD50B72">
      <w:pPr>
        <w:pStyle w:val="9"/>
        <w:spacing w:after="0" w:line="249" w:lineRule="auto"/>
        <w:rPr>
          <w:rFonts w:hint="eastAsia"/>
        </w:rPr>
      </w:pPr>
      <w:r>
        <w:rPr>
          <w:rFonts w:hint="eastAsia"/>
        </w:rPr>
        <w:t>同样，在了解到国度的两个阶段是由基督再临时的一次性最终成全所分隔的之后，我们意识到最终的成全不能被分割成多次的降临、复活和审判，正如前千禧年论者也主张的那样。</w:t>
      </w:r>
    </w:p>
    <w:p w14:paraId="2CA8A6F6">
      <w:pPr>
        <w:pStyle w:val="9"/>
        <w:spacing w:after="0" w:line="249" w:lineRule="auto"/>
        <w:rPr>
          <w:rFonts w:hint="eastAsia"/>
        </w:rPr>
      </w:pPr>
    </w:p>
    <w:p w14:paraId="7DBED76A">
      <w:pPr>
        <w:pStyle w:val="9"/>
        <w:spacing w:after="0" w:line="249" w:lineRule="auto"/>
        <w:rPr>
          <w:rFonts w:hint="eastAsia"/>
        </w:rPr>
      </w:pPr>
      <w:r>
        <w:rPr>
          <w:rFonts w:hint="eastAsia"/>
        </w:rPr>
        <w:t>In short, our study of the Kingdom has gone far towards resolving the End Time Debate in favor of the classic amillennial view of Salvation History.</w:t>
      </w:r>
    </w:p>
    <w:p w14:paraId="67A0F1E0">
      <w:pPr>
        <w:pStyle w:val="9"/>
        <w:spacing w:after="0" w:line="249" w:lineRule="auto"/>
        <w:rPr>
          <w:rFonts w:hint="eastAsia"/>
        </w:rPr>
      </w:pPr>
      <w:r>
        <w:rPr>
          <w:rFonts w:hint="eastAsia"/>
        </w:rPr>
        <w:t>简而言之，我们对国度的研究，在解决末世辩论方面取得了很大进展，支持了经典的无千禧年派对救赎历史的观点。</w:t>
      </w:r>
    </w:p>
    <w:p w14:paraId="48EDC4AA">
      <w:pPr>
        <w:pStyle w:val="9"/>
        <w:spacing w:after="0" w:line="249" w:lineRule="auto"/>
        <w:rPr>
          <w:rFonts w:hint="eastAsia"/>
        </w:rPr>
      </w:pPr>
    </w:p>
    <w:p w14:paraId="028CE9F8">
      <w:pPr>
        <w:pStyle w:val="9"/>
        <w:spacing w:after="0" w:line="249" w:lineRule="auto"/>
        <w:rPr>
          <w:rFonts w:hint="eastAsia"/>
        </w:rPr>
      </w:pPr>
      <w:r>
        <w:rPr>
          <w:rFonts w:hint="eastAsia"/>
        </w:rPr>
        <w:t>It remains, however, for us to probe Revelation 20 itself.</w:t>
      </w:r>
    </w:p>
    <w:p w14:paraId="39EBCECA">
      <w:pPr>
        <w:pStyle w:val="9"/>
        <w:spacing w:after="0" w:line="249" w:lineRule="auto"/>
        <w:rPr>
          <w:rFonts w:hint="eastAsia"/>
        </w:rPr>
      </w:pPr>
      <w:r>
        <w:rPr>
          <w:rFonts w:hint="eastAsia"/>
        </w:rPr>
        <w:t>然而，我们仍需深入探讨启示录第20章本身。</w:t>
      </w:r>
    </w:p>
    <w:p w14:paraId="71D1B4B7">
      <w:pPr>
        <w:pStyle w:val="9"/>
        <w:spacing w:after="0" w:line="249" w:lineRule="auto"/>
        <w:rPr>
          <w:rFonts w:hint="eastAsia"/>
        </w:rPr>
      </w:pPr>
    </w:p>
    <w:p w14:paraId="791DEB66">
      <w:pPr>
        <w:pStyle w:val="9"/>
        <w:spacing w:after="0" w:line="249" w:lineRule="auto"/>
        <w:rPr>
          <w:rFonts w:hint="eastAsia"/>
        </w:rPr>
      </w:pPr>
      <w:r>
        <w:rPr>
          <w:rFonts w:hint="eastAsia"/>
        </w:rPr>
        <w:t>If it does not describe a future millennial reign of Christ on earth, what exactly does it describe?</w:t>
      </w:r>
    </w:p>
    <w:p w14:paraId="2966F4B9">
      <w:pPr>
        <w:pStyle w:val="9"/>
        <w:spacing w:after="0" w:line="249" w:lineRule="auto"/>
        <w:rPr>
          <w:rFonts w:hint="eastAsia"/>
        </w:rPr>
      </w:pPr>
      <w:r>
        <w:rPr>
          <w:rFonts w:hint="eastAsia"/>
        </w:rPr>
        <w:t>如果它不是描述未来基督在地上千禧年的统治，它究竟描述了什么？</w:t>
      </w:r>
    </w:p>
    <w:p w14:paraId="6B8FEC0B">
      <w:pPr>
        <w:pStyle w:val="9"/>
        <w:spacing w:after="0" w:line="249" w:lineRule="auto"/>
        <w:rPr>
          <w:rFonts w:hint="eastAsia"/>
        </w:rPr>
      </w:pPr>
    </w:p>
    <w:p w14:paraId="66CE0D4A">
      <w:pPr>
        <w:pStyle w:val="9"/>
        <w:spacing w:after="0" w:line="249" w:lineRule="auto"/>
        <w:rPr>
          <w:rFonts w:hint="eastAsia"/>
        </w:rPr>
      </w:pPr>
      <w:r>
        <w:rPr>
          <w:rFonts w:hint="eastAsia"/>
        </w:rPr>
        <w:t>If, as I have suggested along the way, it speaks of the Kingdom of the Son, is there anything in the Revelation broadly, or in Revelation 20 itself, to support this view?</w:t>
      </w:r>
    </w:p>
    <w:p w14:paraId="3B9BEB8B">
      <w:pPr>
        <w:pStyle w:val="9"/>
        <w:spacing w:after="0" w:line="249" w:lineRule="auto"/>
        <w:rPr>
          <w:rFonts w:hint="eastAsia"/>
        </w:rPr>
      </w:pPr>
      <w:r>
        <w:rPr>
          <w:rFonts w:hint="eastAsia"/>
        </w:rPr>
        <w:t>如果，正如我一路走来所建议的，它讲论的是子的国度，那么在启示录的整体中，或在启示录第20章本身，有什么可以支持这个观点呢？</w:t>
      </w:r>
    </w:p>
    <w:p w14:paraId="7033D4BD">
      <w:pPr>
        <w:pStyle w:val="9"/>
        <w:spacing w:after="0" w:line="249" w:lineRule="auto"/>
        <w:rPr>
          <w:rFonts w:hint="eastAsia"/>
        </w:rPr>
      </w:pPr>
    </w:p>
    <w:p w14:paraId="1C9280E8">
      <w:pPr>
        <w:pStyle w:val="9"/>
        <w:spacing w:after="0" w:line="249" w:lineRule="auto"/>
        <w:rPr>
          <w:rFonts w:hint="eastAsia"/>
        </w:rPr>
      </w:pPr>
      <w:r>
        <w:rPr>
          <w:rFonts w:hint="eastAsia"/>
        </w:rPr>
        <w:t>Our purpose in Part 4 of our journey is to find out.</w:t>
      </w:r>
    </w:p>
    <w:p w14:paraId="35FC37F4">
      <w:pPr>
        <w:pStyle w:val="9"/>
        <w:spacing w:after="0" w:line="249" w:lineRule="auto"/>
        <w:rPr>
          <w:rFonts w:hint="eastAsia"/>
        </w:rPr>
      </w:pPr>
      <w:r>
        <w:rPr>
          <w:rFonts w:hint="eastAsia"/>
        </w:rPr>
        <w:t>我们旅程第四部分的目的就是要找出答案。</w:t>
      </w:r>
    </w:p>
    <w:p w14:paraId="6A446FC2">
      <w:pPr>
        <w:pStyle w:val="9"/>
        <w:spacing w:after="0" w:line="249" w:lineRule="auto"/>
        <w:rPr>
          <w:rFonts w:hint="eastAsia"/>
        </w:rPr>
      </w:pPr>
    </w:p>
    <w:p w14:paraId="6EB7468E">
      <w:pPr>
        <w:pStyle w:val="9"/>
        <w:spacing w:after="0" w:line="249" w:lineRule="auto"/>
        <w:rPr>
          <w:rFonts w:hint="eastAsia"/>
        </w:rPr>
      </w:pPr>
      <w:r>
        <w:rPr>
          <w:rFonts w:hint="eastAsia"/>
        </w:rPr>
        <w:t>Let us begin, then, by getting a feel for the Revelation as a whole.</w:t>
      </w:r>
    </w:p>
    <w:p w14:paraId="4EE51B64">
      <w:pPr>
        <w:pStyle w:val="9"/>
        <w:spacing w:after="0" w:line="249" w:lineRule="auto"/>
        <w:rPr>
          <w:rFonts w:hint="eastAsia"/>
        </w:rPr>
      </w:pPr>
      <w:r>
        <w:rPr>
          <w:rFonts w:hint="eastAsia"/>
        </w:rPr>
        <w:t>那么，让我们首先对启示录有一个整体的感受。</w:t>
      </w:r>
    </w:p>
    <w:p w14:paraId="4F3B0F48">
      <w:pPr>
        <w:pStyle w:val="9"/>
        <w:spacing w:after="0" w:line="249" w:lineRule="auto"/>
        <w:rPr>
          <w:rFonts w:hint="eastAsia"/>
        </w:rPr>
      </w:pPr>
    </w:p>
    <w:p w14:paraId="2640B03B">
      <w:pPr>
        <w:pStyle w:val="9"/>
        <w:spacing w:after="0" w:line="249" w:lineRule="auto"/>
        <w:rPr>
          <w:rFonts w:hint="eastAsia"/>
        </w:rPr>
      </w:pPr>
      <w:r>
        <w:rPr>
          <w:rFonts w:hint="eastAsia"/>
        </w:rPr>
        <w:t>In particular, let us see if there is anything in the purpose, literary genre, and structure of the book that will help us better understand the Millennium of Revelation 20.</w:t>
      </w:r>
    </w:p>
    <w:p w14:paraId="027211AF">
      <w:pPr>
        <w:pStyle w:val="9"/>
        <w:spacing w:after="0" w:line="249" w:lineRule="auto"/>
        <w:rPr>
          <w:rFonts w:hint="eastAsia"/>
        </w:rPr>
      </w:pPr>
      <w:r>
        <w:rPr>
          <w:rFonts w:hint="eastAsia"/>
        </w:rPr>
        <w:t>特别是，让我们看看这本书的目的、文学体裁和结构中，是否有任何东西能帮助我们更好地理解启示录第20章的千禧年。</w:t>
      </w:r>
    </w:p>
    <w:p w14:paraId="7B8736A1">
      <w:pPr>
        <w:pStyle w:val="9"/>
        <w:spacing w:after="0" w:line="249" w:lineRule="auto"/>
        <w:rPr>
          <w:rFonts w:hint="eastAsia"/>
        </w:rPr>
      </w:pPr>
    </w:p>
    <w:p w14:paraId="2261C07A">
      <w:pPr>
        <w:pStyle w:val="9"/>
        <w:spacing w:after="0" w:line="249" w:lineRule="auto"/>
        <w:rPr>
          <w:rFonts w:hint="eastAsia"/>
        </w:rPr>
      </w:pPr>
      <w:r>
        <w:rPr>
          <w:rFonts w:hint="eastAsia"/>
        </w:rPr>
        <w:t>The Purpose of the Revelation</w:t>
      </w:r>
    </w:p>
    <w:p w14:paraId="7DD4E4DE">
      <w:pPr>
        <w:pStyle w:val="9"/>
        <w:spacing w:after="0" w:line="249" w:lineRule="auto"/>
        <w:rPr>
          <w:rFonts w:hint="eastAsia"/>
        </w:rPr>
      </w:pPr>
      <w:r>
        <w:rPr>
          <w:rFonts w:hint="eastAsia"/>
        </w:rPr>
        <w:t>启示录的目的</w:t>
      </w:r>
    </w:p>
    <w:p w14:paraId="3C3F36D2">
      <w:pPr>
        <w:pStyle w:val="9"/>
        <w:spacing w:after="0" w:line="249" w:lineRule="auto"/>
        <w:rPr>
          <w:rFonts w:hint="eastAsia"/>
        </w:rPr>
      </w:pPr>
    </w:p>
    <w:p w14:paraId="5EC908A4">
      <w:pPr>
        <w:pStyle w:val="9"/>
        <w:spacing w:after="0" w:line="249" w:lineRule="auto"/>
        <w:rPr>
          <w:rFonts w:hint="eastAsia"/>
        </w:rPr>
      </w:pPr>
      <w:r>
        <w:rPr>
          <w:rFonts w:hint="eastAsia"/>
        </w:rPr>
        <w:t>We begin to discern the purpose of the Revelation when we consider the circumstances in which it was given.</w:t>
      </w:r>
    </w:p>
    <w:p w14:paraId="1052C602">
      <w:pPr>
        <w:pStyle w:val="9"/>
        <w:spacing w:after="0" w:line="249" w:lineRule="auto"/>
        <w:rPr>
          <w:rFonts w:hint="eastAsia"/>
        </w:rPr>
      </w:pPr>
      <w:r>
        <w:rPr>
          <w:rFonts w:hint="eastAsia"/>
        </w:rPr>
        <w:t>当我们思考启示录被赐予时的情境时，我们开始辨别出它的目的。</w:t>
      </w:r>
    </w:p>
    <w:p w14:paraId="27F77ECF">
      <w:pPr>
        <w:pStyle w:val="9"/>
        <w:spacing w:after="0" w:line="249" w:lineRule="auto"/>
        <w:rPr>
          <w:rFonts w:hint="eastAsia"/>
        </w:rPr>
      </w:pPr>
    </w:p>
    <w:p w14:paraId="4C5A9CD7">
      <w:pPr>
        <w:pStyle w:val="9"/>
        <w:spacing w:after="0" w:line="249" w:lineRule="auto"/>
        <w:rPr>
          <w:rFonts w:hint="eastAsia"/>
        </w:rPr>
      </w:pPr>
      <w:r>
        <w:rPr>
          <w:rFonts w:hint="eastAsia"/>
        </w:rPr>
        <w:t>The year, according to most scholars, is around 95 A.D.1</w:t>
      </w:r>
    </w:p>
    <w:p w14:paraId="17C26E30">
      <w:pPr>
        <w:pStyle w:val="9"/>
        <w:spacing w:after="0" w:line="249" w:lineRule="auto"/>
        <w:rPr>
          <w:rFonts w:hint="eastAsia"/>
        </w:rPr>
      </w:pPr>
      <w:r>
        <w:rPr>
          <w:rFonts w:hint="eastAsia"/>
        </w:rPr>
        <w:t>根据大多数学者的说法，时间大约是公元95年。1</w:t>
      </w:r>
    </w:p>
    <w:p w14:paraId="2A9A72B4">
      <w:pPr>
        <w:pStyle w:val="9"/>
        <w:spacing w:after="0" w:line="249" w:lineRule="auto"/>
        <w:rPr>
          <w:rFonts w:hint="eastAsia"/>
        </w:rPr>
      </w:pPr>
    </w:p>
    <w:p w14:paraId="4B83DE74">
      <w:pPr>
        <w:pStyle w:val="9"/>
        <w:spacing w:after="0" w:line="249" w:lineRule="auto"/>
        <w:rPr>
          <w:rFonts w:hint="eastAsia"/>
        </w:rPr>
      </w:pPr>
      <w:r>
        <w:rPr>
          <w:rFonts w:hint="eastAsia"/>
        </w:rPr>
        <w:t>John, in all probability the last living apostle, is now in his 80’s (John 21:21-23).</w:t>
      </w:r>
    </w:p>
    <w:p w14:paraId="392E5D22">
      <w:pPr>
        <w:pStyle w:val="9"/>
        <w:spacing w:after="0" w:line="249" w:lineRule="auto"/>
        <w:rPr>
          <w:rFonts w:hint="eastAsia"/>
        </w:rPr>
      </w:pPr>
      <w:r>
        <w:rPr>
          <w:rFonts w:hint="eastAsia"/>
        </w:rPr>
        <w:t>约翰，很可能是最后一位在世的使徒，现在已经80多岁了（约 21:21-23）。</w:t>
      </w:r>
    </w:p>
    <w:p w14:paraId="1FBBEDB7">
      <w:pPr>
        <w:pStyle w:val="9"/>
        <w:spacing w:after="0" w:line="249" w:lineRule="auto"/>
        <w:rPr>
          <w:rFonts w:hint="eastAsia"/>
        </w:rPr>
      </w:pPr>
    </w:p>
    <w:p w14:paraId="4D408185">
      <w:pPr>
        <w:pStyle w:val="9"/>
        <w:spacing w:after="0" w:line="249" w:lineRule="auto"/>
        <w:rPr>
          <w:rFonts w:hint="eastAsia"/>
        </w:rPr>
      </w:pPr>
      <w:r>
        <w:rPr>
          <w:rFonts w:hint="eastAsia"/>
        </w:rPr>
        <w:t>Because of his faithfulness in preaching the Gospel, the Roman authorities have exiled him to a penal settlement on the island of Patmos (1:9, John 21:21-23).</w:t>
      </w:r>
    </w:p>
    <w:p w14:paraId="60AE7DB8">
      <w:pPr>
        <w:pStyle w:val="9"/>
        <w:spacing w:after="0" w:line="249" w:lineRule="auto"/>
        <w:rPr>
          <w:rFonts w:hint="eastAsia"/>
        </w:rPr>
      </w:pPr>
      <w:r>
        <w:rPr>
          <w:rFonts w:hint="eastAsia"/>
        </w:rPr>
        <w:t>因为他忠心地传讲福音，罗马当局将他流放到拔摩岛上的一个刑罚定居点（1:9, 约 21:21-23）。</w:t>
      </w:r>
    </w:p>
    <w:p w14:paraId="109630B2">
      <w:pPr>
        <w:pStyle w:val="9"/>
        <w:spacing w:after="0" w:line="249" w:lineRule="auto"/>
        <w:rPr>
          <w:rFonts w:hint="eastAsia"/>
        </w:rPr>
      </w:pPr>
    </w:p>
    <w:p w14:paraId="56CE33A1">
      <w:pPr>
        <w:pStyle w:val="9"/>
        <w:spacing w:after="0" w:line="249" w:lineRule="auto"/>
        <w:rPr>
          <w:rFonts w:hint="eastAsia"/>
        </w:rPr>
      </w:pPr>
      <w:r>
        <w:rPr>
          <w:rFonts w:hint="eastAsia"/>
        </w:rPr>
        <w:t>It has been over 60 years since Christ’s ascension.</w:t>
      </w:r>
    </w:p>
    <w:p w14:paraId="15A7BAE7">
      <w:pPr>
        <w:pStyle w:val="9"/>
        <w:spacing w:after="0" w:line="249" w:lineRule="auto"/>
        <w:rPr>
          <w:rFonts w:hint="eastAsia"/>
        </w:rPr>
      </w:pPr>
      <w:r>
        <w:rPr>
          <w:rFonts w:hint="eastAsia"/>
        </w:rPr>
        <w:t>基督升天已经超过60年了。</w:t>
      </w:r>
    </w:p>
    <w:p w14:paraId="4117E27B">
      <w:pPr>
        <w:pStyle w:val="9"/>
        <w:spacing w:after="0" w:line="249" w:lineRule="auto"/>
        <w:rPr>
          <w:rFonts w:hint="eastAsia"/>
        </w:rPr>
      </w:pPr>
    </w:p>
    <w:p w14:paraId="2DAC0D6F">
      <w:pPr>
        <w:pStyle w:val="9"/>
        <w:spacing w:after="0" w:line="249" w:lineRule="auto"/>
        <w:rPr>
          <w:rFonts w:hint="eastAsia"/>
        </w:rPr>
      </w:pPr>
      <w:r>
        <w:rPr>
          <w:rFonts w:hint="eastAsia"/>
        </w:rPr>
        <w:t>The Lord is tarrying, and among many believers the expectation of his Parousia is waning (2 Peter 3:1f).</w:t>
      </w:r>
    </w:p>
    <w:p w14:paraId="41DB7241">
      <w:pPr>
        <w:pStyle w:val="9"/>
        <w:spacing w:after="0" w:line="249" w:lineRule="auto"/>
        <w:rPr>
          <w:rFonts w:hint="eastAsia"/>
        </w:rPr>
      </w:pPr>
      <w:r>
        <w:rPr>
          <w:rFonts w:hint="eastAsia"/>
        </w:rPr>
        <w:t>主在耽延，许多信徒对祂再来的期望正在减弱（彼后 3:1及后）。</w:t>
      </w:r>
    </w:p>
    <w:p w14:paraId="1F19620C">
      <w:pPr>
        <w:pStyle w:val="9"/>
        <w:spacing w:after="0" w:line="249" w:lineRule="auto"/>
        <w:rPr>
          <w:rFonts w:hint="eastAsia"/>
        </w:rPr>
      </w:pPr>
    </w:p>
    <w:p w14:paraId="1315448A">
      <w:pPr>
        <w:pStyle w:val="9"/>
        <w:spacing w:after="0" w:line="249" w:lineRule="auto"/>
        <w:rPr>
          <w:rFonts w:hint="eastAsia"/>
        </w:rPr>
      </w:pPr>
      <w:r>
        <w:rPr>
          <w:rFonts w:hint="eastAsia"/>
        </w:rPr>
        <w:t>The demonic emperor Nero (A.D. 54-68), a vicious persecutor of the Roman Christians, has come and gone.</w:t>
      </w:r>
    </w:p>
    <w:p w14:paraId="5A791850">
      <w:pPr>
        <w:pStyle w:val="9"/>
        <w:spacing w:after="0" w:line="249" w:lineRule="auto"/>
        <w:rPr>
          <w:rFonts w:hint="eastAsia"/>
        </w:rPr>
      </w:pPr>
      <w:r>
        <w:rPr>
          <w:rFonts w:hint="eastAsia"/>
        </w:rPr>
        <w:t>那邪恶的皇帝尼禄（公元54-68年），一位残酷迫害罗马基督徒的人，已经来了又走了。</w:t>
      </w:r>
    </w:p>
    <w:p w14:paraId="542894A1">
      <w:pPr>
        <w:pStyle w:val="9"/>
        <w:spacing w:after="0" w:line="249" w:lineRule="auto"/>
        <w:rPr>
          <w:rFonts w:hint="eastAsia"/>
        </w:rPr>
      </w:pPr>
    </w:p>
    <w:p w14:paraId="4D4C665A">
      <w:pPr>
        <w:pStyle w:val="9"/>
        <w:spacing w:after="0" w:line="249" w:lineRule="auto"/>
        <w:rPr>
          <w:rFonts w:hint="eastAsia"/>
        </w:rPr>
      </w:pPr>
      <w:r>
        <w:rPr>
          <w:rFonts w:hint="eastAsia"/>
        </w:rPr>
        <w:t>Titus has decimated Jerusalem (70 A.D.).</w:t>
      </w:r>
    </w:p>
    <w:p w14:paraId="14D06D79">
      <w:pPr>
        <w:pStyle w:val="9"/>
        <w:spacing w:after="0" w:line="249" w:lineRule="auto"/>
        <w:rPr>
          <w:rFonts w:hint="eastAsia"/>
        </w:rPr>
      </w:pPr>
      <w:r>
        <w:rPr>
          <w:rFonts w:hint="eastAsia"/>
        </w:rPr>
        <w:t>提多已经摧毁了耶路撒冷（公元70年）。</w:t>
      </w:r>
    </w:p>
    <w:p w14:paraId="55CBDAAC">
      <w:pPr>
        <w:pStyle w:val="9"/>
        <w:spacing w:after="0" w:line="249" w:lineRule="auto"/>
        <w:rPr>
          <w:rFonts w:hint="eastAsia"/>
        </w:rPr>
      </w:pPr>
    </w:p>
    <w:p w14:paraId="7388F016">
      <w:pPr>
        <w:pStyle w:val="9"/>
        <w:spacing w:after="0" w:line="249" w:lineRule="auto"/>
        <w:rPr>
          <w:rFonts w:hint="eastAsia"/>
        </w:rPr>
      </w:pPr>
      <w:r>
        <w:rPr>
          <w:rFonts w:hint="eastAsia"/>
        </w:rPr>
        <w:t>Under Domitian (A.D. 81-89), persecution has spread throughout the Empire and reached Asia (A.D. 81-9).</w:t>
      </w:r>
    </w:p>
    <w:p w14:paraId="30E8FE08">
      <w:pPr>
        <w:pStyle w:val="9"/>
        <w:spacing w:after="0" w:line="249" w:lineRule="auto"/>
        <w:rPr>
          <w:rFonts w:hint="eastAsia"/>
        </w:rPr>
      </w:pPr>
      <w:r>
        <w:rPr>
          <w:rFonts w:hint="eastAsia"/>
        </w:rPr>
        <w:t>在图密善（公元81-89年）的统治下，迫害已经蔓延到整个帝国，并到达了亚细亚（公元81-9年）。</w:t>
      </w:r>
    </w:p>
    <w:p w14:paraId="4A08B0A9">
      <w:pPr>
        <w:pStyle w:val="9"/>
        <w:spacing w:after="0" w:line="249" w:lineRule="auto"/>
        <w:rPr>
          <w:rFonts w:hint="eastAsia"/>
        </w:rPr>
      </w:pPr>
    </w:p>
    <w:p w14:paraId="1415AFEE">
      <w:pPr>
        <w:pStyle w:val="9"/>
        <w:spacing w:after="0" w:line="249" w:lineRule="auto"/>
        <w:rPr>
          <w:rFonts w:hint="eastAsia"/>
        </w:rPr>
      </w:pPr>
      <w:r>
        <w:rPr>
          <w:rFonts w:hint="eastAsia"/>
        </w:rPr>
        <w:t>More is now looming (2:3, 10, 13).</w:t>
      </w:r>
    </w:p>
    <w:p w14:paraId="2CDE100D">
      <w:pPr>
        <w:pStyle w:val="9"/>
        <w:spacing w:after="0" w:line="249" w:lineRule="auto"/>
        <w:rPr>
          <w:rFonts w:hint="eastAsia"/>
        </w:rPr>
      </w:pPr>
      <w:r>
        <w:rPr>
          <w:rFonts w:hint="eastAsia"/>
        </w:rPr>
        <w:t>更多迫害现在正逼近（2:3, 10, 13）。</w:t>
      </w:r>
    </w:p>
    <w:p w14:paraId="3C4A2308">
      <w:pPr>
        <w:pStyle w:val="9"/>
        <w:spacing w:after="0" w:line="249" w:lineRule="auto"/>
        <w:rPr>
          <w:rFonts w:hint="eastAsia"/>
        </w:rPr>
      </w:pPr>
    </w:p>
    <w:p w14:paraId="22A8B435">
      <w:pPr>
        <w:pStyle w:val="9"/>
        <w:spacing w:after="0" w:line="249" w:lineRule="auto"/>
        <w:rPr>
          <w:rFonts w:hint="eastAsia"/>
        </w:rPr>
      </w:pPr>
      <w:r>
        <w:rPr>
          <w:rFonts w:hint="eastAsia"/>
        </w:rPr>
        <w:t>And beyond this external threat, there are internal, as well.</w:t>
      </w:r>
    </w:p>
    <w:p w14:paraId="40585125">
      <w:pPr>
        <w:pStyle w:val="9"/>
        <w:spacing w:after="0" w:line="249" w:lineRule="auto"/>
        <w:rPr>
          <w:rFonts w:hint="eastAsia"/>
        </w:rPr>
      </w:pPr>
      <w:r>
        <w:rPr>
          <w:rFonts w:hint="eastAsia"/>
        </w:rPr>
        <w:t>除了这个外在的威胁，还有内在的威胁。</w:t>
      </w:r>
    </w:p>
    <w:p w14:paraId="424BFCA5">
      <w:pPr>
        <w:pStyle w:val="9"/>
        <w:spacing w:after="0" w:line="249" w:lineRule="auto"/>
        <w:rPr>
          <w:rFonts w:hint="eastAsia"/>
        </w:rPr>
      </w:pPr>
    </w:p>
    <w:p w14:paraId="0E3DA681">
      <w:pPr>
        <w:pStyle w:val="9"/>
        <w:spacing w:after="0" w:line="249" w:lineRule="auto"/>
        <w:rPr>
          <w:rFonts w:hint="eastAsia"/>
        </w:rPr>
      </w:pPr>
      <w:r>
        <w:rPr>
          <w:rFonts w:hint="eastAsia"/>
        </w:rPr>
        <w:t>Heretical “Christian” sects have grown in size and number, whose members are seeking to penetrate the orthodox churches and draw away disciples (2:2, 6, 14-15, 20-24).</w:t>
      </w:r>
    </w:p>
    <w:p w14:paraId="0F1AD485">
      <w:pPr>
        <w:pStyle w:val="9"/>
        <w:spacing w:after="0" w:line="249" w:lineRule="auto"/>
        <w:rPr>
          <w:rFonts w:hint="eastAsia"/>
        </w:rPr>
      </w:pPr>
      <w:r>
        <w:rPr>
          <w:rFonts w:hint="eastAsia"/>
        </w:rPr>
        <w:t>异端的“基督教”派别在规模和数量上都有所增长，其成员正试图渗透到正统教会中，并引诱门徒离开（2:2, 6, 14-15, 20-24）。</w:t>
      </w:r>
    </w:p>
    <w:p w14:paraId="1B848B70">
      <w:pPr>
        <w:pStyle w:val="9"/>
        <w:spacing w:after="0" w:line="249" w:lineRule="auto"/>
        <w:rPr>
          <w:rFonts w:hint="eastAsia"/>
        </w:rPr>
      </w:pPr>
    </w:p>
    <w:p w14:paraId="76A3D2B4">
      <w:pPr>
        <w:pStyle w:val="9"/>
        <w:spacing w:after="0" w:line="249" w:lineRule="auto"/>
        <w:rPr>
          <w:rFonts w:hint="eastAsia"/>
        </w:rPr>
      </w:pPr>
      <w:r>
        <w:rPr>
          <w:rFonts w:hint="eastAsia"/>
        </w:rPr>
        <w:t>Some churches are even tolerating them in their midst (2:14f, 20f).</w:t>
      </w:r>
    </w:p>
    <w:p w14:paraId="7997D6F9">
      <w:pPr>
        <w:pStyle w:val="9"/>
        <w:spacing w:after="0" w:line="249" w:lineRule="auto"/>
        <w:rPr>
          <w:rFonts w:hint="eastAsia"/>
        </w:rPr>
      </w:pPr>
      <w:r>
        <w:rPr>
          <w:rFonts w:hint="eastAsia"/>
        </w:rPr>
        <w:t>有些教会甚至在他们中间容忍他们（2:14及后, 20及后）。</w:t>
      </w:r>
    </w:p>
    <w:p w14:paraId="5EA286AB">
      <w:pPr>
        <w:pStyle w:val="9"/>
        <w:spacing w:after="0" w:line="249" w:lineRule="auto"/>
        <w:rPr>
          <w:rFonts w:hint="eastAsia"/>
        </w:rPr>
      </w:pPr>
    </w:p>
    <w:p w14:paraId="1EFBFA01">
      <w:pPr>
        <w:pStyle w:val="9"/>
        <w:spacing w:after="0" w:line="249" w:lineRule="auto"/>
        <w:rPr>
          <w:rFonts w:hint="eastAsia"/>
        </w:rPr>
      </w:pPr>
      <w:r>
        <w:rPr>
          <w:rFonts w:hint="eastAsia"/>
        </w:rPr>
        <w:t>Meanwhile, others are in decline: The love of certain Christians is growing cold (2:4, 3:1-2); others, having thus far escaped the fires of persecution, are falling in love with the world, and sinking into apathy and hedonism (3:14-21).</w:t>
      </w:r>
    </w:p>
    <w:p w14:paraId="05C76575">
      <w:pPr>
        <w:pStyle w:val="9"/>
        <w:spacing w:after="0" w:line="249" w:lineRule="auto"/>
        <w:rPr>
          <w:rFonts w:hint="eastAsia"/>
        </w:rPr>
      </w:pPr>
      <w:r>
        <w:rPr>
          <w:rFonts w:hint="eastAsia"/>
        </w:rPr>
        <w:t>与此同时，另一些教会正在衰落：某些基督徒的爱心正在冷淡（2:4, 3:1-2）；另一些人，迄今为止逃脱了迫害的火焰，却爱上了世界，陷入了冷漠和享乐主义（3:14-21）。</w:t>
      </w:r>
    </w:p>
    <w:p w14:paraId="414A203E">
      <w:pPr>
        <w:pStyle w:val="9"/>
        <w:spacing w:after="0" w:line="249" w:lineRule="auto"/>
        <w:rPr>
          <w:rFonts w:hint="eastAsia"/>
        </w:rPr>
      </w:pPr>
    </w:p>
    <w:p w14:paraId="773D9B05">
      <w:pPr>
        <w:pStyle w:val="9"/>
        <w:spacing w:after="0" w:line="249" w:lineRule="auto"/>
        <w:rPr>
          <w:rFonts w:hint="eastAsia"/>
        </w:rPr>
      </w:pPr>
      <w:r>
        <w:rPr>
          <w:rFonts w:hint="eastAsia"/>
        </w:rPr>
        <w:t>The situation is dire.</w:t>
      </w:r>
    </w:p>
    <w:p w14:paraId="7A4BB458">
      <w:pPr>
        <w:pStyle w:val="9"/>
        <w:spacing w:after="0" w:line="249" w:lineRule="auto"/>
        <w:rPr>
          <w:rFonts w:hint="eastAsia"/>
        </w:rPr>
      </w:pPr>
      <w:r>
        <w:rPr>
          <w:rFonts w:hint="eastAsia"/>
        </w:rPr>
        <w:t>情况严峻。</w:t>
      </w:r>
    </w:p>
    <w:p w14:paraId="0F398A04">
      <w:pPr>
        <w:pStyle w:val="9"/>
        <w:spacing w:after="0" w:line="249" w:lineRule="auto"/>
        <w:rPr>
          <w:rFonts w:hint="eastAsia"/>
        </w:rPr>
      </w:pPr>
    </w:p>
    <w:p w14:paraId="39D6BEF3">
      <w:pPr>
        <w:pStyle w:val="9"/>
        <w:spacing w:after="0" w:line="249" w:lineRule="auto"/>
        <w:rPr>
          <w:rFonts w:hint="eastAsia"/>
        </w:rPr>
      </w:pPr>
      <w:r>
        <w:rPr>
          <w:rFonts w:hint="eastAsia"/>
        </w:rPr>
        <w:t>The faltering Church needs a word from the Lord.</w:t>
      </w:r>
    </w:p>
    <w:p w14:paraId="1FEA3550">
      <w:pPr>
        <w:pStyle w:val="9"/>
        <w:spacing w:after="0" w:line="249" w:lineRule="auto"/>
        <w:rPr>
          <w:rFonts w:hint="eastAsia"/>
        </w:rPr>
      </w:pPr>
      <w:r>
        <w:rPr>
          <w:rFonts w:hint="eastAsia"/>
        </w:rPr>
        <w:t>摇摇欲坠的教会需要从主而来的一句话。</w:t>
      </w:r>
    </w:p>
    <w:p w14:paraId="6E9616A0">
      <w:pPr>
        <w:pStyle w:val="9"/>
        <w:spacing w:after="0" w:line="249" w:lineRule="auto"/>
        <w:rPr>
          <w:rFonts w:hint="eastAsia"/>
        </w:rPr>
      </w:pPr>
    </w:p>
    <w:p w14:paraId="476B588A">
      <w:pPr>
        <w:pStyle w:val="9"/>
        <w:spacing w:after="0" w:line="249" w:lineRule="auto"/>
        <w:rPr>
          <w:rFonts w:hint="eastAsia"/>
        </w:rPr>
      </w:pPr>
      <w:r>
        <w:rPr>
          <w:rFonts w:hint="eastAsia"/>
        </w:rPr>
        <w:t>The Revelation as a Gift to the Universal Church</w:t>
      </w:r>
    </w:p>
    <w:p w14:paraId="302B0E4E">
      <w:pPr>
        <w:pStyle w:val="9"/>
        <w:spacing w:after="0" w:line="249" w:lineRule="auto"/>
        <w:rPr>
          <w:rFonts w:hint="eastAsia"/>
        </w:rPr>
      </w:pPr>
      <w:r>
        <w:rPr>
          <w:rFonts w:hint="eastAsia"/>
        </w:rPr>
        <w:t>启示录作为给普世教会的恩赐</w:t>
      </w:r>
    </w:p>
    <w:p w14:paraId="1156AB5A">
      <w:pPr>
        <w:pStyle w:val="9"/>
        <w:spacing w:after="0" w:line="249" w:lineRule="auto"/>
        <w:rPr>
          <w:rFonts w:hint="eastAsia"/>
        </w:rPr>
      </w:pPr>
    </w:p>
    <w:p w14:paraId="001E64C6">
      <w:pPr>
        <w:pStyle w:val="9"/>
        <w:spacing w:after="0" w:line="249" w:lineRule="auto"/>
        <w:rPr>
          <w:rFonts w:hint="eastAsia"/>
        </w:rPr>
      </w:pPr>
      <w:r>
        <w:rPr>
          <w:rFonts w:hint="eastAsia"/>
        </w:rPr>
        <w:t>The Revelation—all 22 chapters of it—is that word.</w:t>
      </w:r>
    </w:p>
    <w:p w14:paraId="7632AFDB">
      <w:pPr>
        <w:pStyle w:val="9"/>
        <w:spacing w:after="0" w:line="249" w:lineRule="auto"/>
        <w:rPr>
          <w:rFonts w:hint="eastAsia"/>
        </w:rPr>
      </w:pPr>
      <w:r>
        <w:rPr>
          <w:rFonts w:hint="eastAsia"/>
        </w:rPr>
        <w:t>启示录——全部22章——就是那句话。</w:t>
      </w:r>
    </w:p>
    <w:p w14:paraId="2CFB28D4">
      <w:pPr>
        <w:pStyle w:val="9"/>
        <w:spacing w:after="0" w:line="249" w:lineRule="auto"/>
        <w:rPr>
          <w:rFonts w:hint="eastAsia"/>
        </w:rPr>
      </w:pPr>
    </w:p>
    <w:p w14:paraId="19290F4F">
      <w:pPr>
        <w:pStyle w:val="9"/>
        <w:spacing w:after="0" w:line="249" w:lineRule="auto"/>
        <w:rPr>
          <w:rFonts w:hint="eastAsia"/>
        </w:rPr>
      </w:pPr>
      <w:r>
        <w:rPr>
          <w:rFonts w:hint="eastAsia"/>
        </w:rPr>
        <w:t>Notably, at the very outset it is described as a gift: a gift from God the Father—through Christ, through the Spirit,2 through angelic mediation, and through the apostle John —to the seven churches of Asia (Rev. 1:1-6, 9, 22:8).</w:t>
      </w:r>
    </w:p>
    <w:p w14:paraId="7B72B7D3">
      <w:pPr>
        <w:pStyle w:val="9"/>
        <w:spacing w:after="0" w:line="249" w:lineRule="auto"/>
        <w:rPr>
          <w:rFonts w:hint="eastAsia"/>
        </w:rPr>
      </w:pPr>
      <w:r>
        <w:rPr>
          <w:rFonts w:hint="eastAsia"/>
        </w:rPr>
        <w:t>值得注意的是，它在一开始就被描述为一个恩赐：一个来自父神的恩赐——通过基督，通过圣灵，2 通过天使的中介，并通过使徒约翰——给亚细亚的七个教会（启 1:1-6, 9, 22:8）。</w:t>
      </w:r>
    </w:p>
    <w:p w14:paraId="799BA188">
      <w:pPr>
        <w:pStyle w:val="9"/>
        <w:spacing w:after="0" w:line="249" w:lineRule="auto"/>
        <w:rPr>
          <w:rFonts w:hint="eastAsia"/>
        </w:rPr>
      </w:pPr>
    </w:p>
    <w:p w14:paraId="1283E5C9">
      <w:pPr>
        <w:pStyle w:val="9"/>
        <w:spacing w:after="0" w:line="249" w:lineRule="auto"/>
        <w:rPr>
          <w:rFonts w:hint="eastAsia"/>
        </w:rPr>
      </w:pPr>
      <w:r>
        <w:rPr>
          <w:rFonts w:hint="eastAsia"/>
        </w:rPr>
        <w:t>Seven, however, is the biblical number of perfection or completeness (Gen. 2:2,3).</w:t>
      </w:r>
    </w:p>
    <w:p w14:paraId="5F9DA011">
      <w:pPr>
        <w:pStyle w:val="9"/>
        <w:spacing w:after="0" w:line="249" w:lineRule="auto"/>
        <w:rPr>
          <w:rFonts w:hint="eastAsia"/>
        </w:rPr>
      </w:pPr>
      <w:r>
        <w:rPr>
          <w:rFonts w:hint="eastAsia"/>
        </w:rPr>
        <w:t>然而，七是圣经中完美或完全的数字（创 2:2,3）。</w:t>
      </w:r>
    </w:p>
    <w:p w14:paraId="2AEFFA7A">
      <w:pPr>
        <w:pStyle w:val="9"/>
        <w:spacing w:after="0" w:line="249" w:lineRule="auto"/>
        <w:rPr>
          <w:rFonts w:hint="eastAsia"/>
        </w:rPr>
      </w:pPr>
    </w:p>
    <w:p w14:paraId="3CD6287E">
      <w:pPr>
        <w:pStyle w:val="9"/>
        <w:spacing w:after="0" w:line="249" w:lineRule="auto"/>
        <w:rPr>
          <w:rFonts w:hint="eastAsia"/>
        </w:rPr>
      </w:pPr>
      <w:r>
        <w:rPr>
          <w:rFonts w:hint="eastAsia"/>
        </w:rPr>
        <w:t>The meaning is clear.</w:t>
      </w:r>
    </w:p>
    <w:p w14:paraId="73A0C4B1">
      <w:pPr>
        <w:pStyle w:val="9"/>
        <w:spacing w:after="0" w:line="249" w:lineRule="auto"/>
        <w:rPr>
          <w:rFonts w:hint="eastAsia"/>
        </w:rPr>
      </w:pPr>
      <w:r>
        <w:rPr>
          <w:rFonts w:hint="eastAsia"/>
        </w:rPr>
        <w:t>意思很清楚。</w:t>
      </w:r>
    </w:p>
    <w:p w14:paraId="37C3F22D">
      <w:pPr>
        <w:pStyle w:val="9"/>
        <w:spacing w:after="0" w:line="249" w:lineRule="auto"/>
        <w:rPr>
          <w:rFonts w:hint="eastAsia"/>
        </w:rPr>
      </w:pPr>
    </w:p>
    <w:p w14:paraId="783C6C9F">
      <w:pPr>
        <w:pStyle w:val="9"/>
        <w:spacing w:after="0" w:line="249" w:lineRule="auto"/>
        <w:rPr>
          <w:rFonts w:hint="eastAsia"/>
        </w:rPr>
      </w:pPr>
      <w:r>
        <w:rPr>
          <w:rFonts w:hint="eastAsia"/>
        </w:rPr>
        <w:t>God gave the Revelation, not just to the seven churches of Asia, but also to what the seven churches represent: the complete Church, the Universal Church.</w:t>
      </w:r>
    </w:p>
    <w:p w14:paraId="27E35C49">
      <w:pPr>
        <w:pStyle w:val="9"/>
        <w:spacing w:after="0" w:line="249" w:lineRule="auto"/>
        <w:rPr>
          <w:rFonts w:hint="eastAsia"/>
        </w:rPr>
      </w:pPr>
      <w:r>
        <w:rPr>
          <w:rFonts w:hint="eastAsia"/>
        </w:rPr>
        <w:t>神赐下启示录，不仅是给亚细亚的七个教会，也是给那七个教会所代表的：完整的教会，普世的教会。</w:t>
      </w:r>
    </w:p>
    <w:p w14:paraId="18E7B912">
      <w:pPr>
        <w:pStyle w:val="9"/>
        <w:spacing w:after="0" w:line="249" w:lineRule="auto"/>
        <w:rPr>
          <w:rFonts w:hint="eastAsia"/>
        </w:rPr>
      </w:pPr>
    </w:p>
    <w:p w14:paraId="7728BA67">
      <w:pPr>
        <w:pStyle w:val="9"/>
        <w:spacing w:after="0" w:line="249" w:lineRule="auto"/>
        <w:rPr>
          <w:rFonts w:hint="eastAsia"/>
        </w:rPr>
      </w:pPr>
      <w:r>
        <w:rPr>
          <w:rFonts w:hint="eastAsia"/>
        </w:rPr>
        <w:t>Likewise, the seven lampstands symbolize the one universal Church, especially in her present ministry as the Light of God and Christ to a world sunk in deep spiritual darkness (Rev. 1:13, 20)</w:t>
      </w:r>
    </w:p>
    <w:p w14:paraId="62EC4846">
      <w:pPr>
        <w:pStyle w:val="9"/>
        <w:spacing w:after="0" w:line="249" w:lineRule="auto"/>
        <w:rPr>
          <w:rFonts w:hint="eastAsia"/>
        </w:rPr>
      </w:pPr>
      <w:r>
        <w:rPr>
          <w:rFonts w:hint="eastAsia"/>
        </w:rPr>
        <w:t>同样，七个金灯台象征着一个普世的教会，特别是在她现今的事工中，作为神和基督的光，照亮一个沉沦在深沉属灵黑暗中的世界（启 1:13, 20）。</w:t>
      </w:r>
    </w:p>
    <w:p w14:paraId="6DEBCE9C">
      <w:pPr>
        <w:pStyle w:val="9"/>
        <w:spacing w:after="0" w:line="249" w:lineRule="auto"/>
        <w:rPr>
          <w:rFonts w:hint="eastAsia"/>
        </w:rPr>
      </w:pPr>
    </w:p>
    <w:p w14:paraId="70DFA5FE">
      <w:pPr>
        <w:pStyle w:val="9"/>
        <w:spacing w:after="0" w:line="249" w:lineRule="auto"/>
        <w:rPr>
          <w:rFonts w:hint="eastAsia"/>
        </w:rPr>
      </w:pPr>
      <w:r>
        <w:rPr>
          <w:rFonts w:hint="eastAsia"/>
        </w:rPr>
        <w:t>With the benefit of hindsight, we can see that history bears out this important truth.</w:t>
      </w:r>
    </w:p>
    <w:p w14:paraId="213DC1A3">
      <w:pPr>
        <w:pStyle w:val="9"/>
        <w:spacing w:after="0" w:line="249" w:lineRule="auto"/>
        <w:rPr>
          <w:rFonts w:hint="eastAsia"/>
        </w:rPr>
      </w:pPr>
      <w:r>
        <w:rPr>
          <w:rFonts w:hint="eastAsia"/>
        </w:rPr>
        <w:t>借着后见之明，我们可以看到历史证实了这个重要的真理。</w:t>
      </w:r>
    </w:p>
    <w:p w14:paraId="2D6F84A7">
      <w:pPr>
        <w:pStyle w:val="9"/>
        <w:spacing w:after="0" w:line="249" w:lineRule="auto"/>
        <w:rPr>
          <w:rFonts w:hint="eastAsia"/>
        </w:rPr>
      </w:pPr>
    </w:p>
    <w:p w14:paraId="21AF1600">
      <w:pPr>
        <w:pStyle w:val="9"/>
        <w:spacing w:after="0" w:line="249" w:lineRule="auto"/>
        <w:rPr>
          <w:rFonts w:hint="eastAsia"/>
        </w:rPr>
      </w:pPr>
      <w:r>
        <w:rPr>
          <w:rFonts w:hint="eastAsia"/>
        </w:rPr>
        <w:t>Like the seven churches, the universal Church has always had strengths and weaknesses; like the seven churches, it has always faced persecution, deception, and temptation; and like the seven churches, it has therefore always needed the Revelation.</w:t>
      </w:r>
    </w:p>
    <w:p w14:paraId="367C2ED0">
      <w:pPr>
        <w:pStyle w:val="9"/>
        <w:spacing w:after="0" w:line="249" w:lineRule="auto"/>
        <w:rPr>
          <w:rFonts w:hint="eastAsia"/>
        </w:rPr>
      </w:pPr>
      <w:r>
        <w:rPr>
          <w:rFonts w:hint="eastAsia"/>
        </w:rPr>
        <w:t>像七个教会一样，普世的教会总是有长处和短处；像七个教会一样，它总是面临迫害、欺骗和试探；因此，像七个教会一样，它总是需要启示录。</w:t>
      </w:r>
    </w:p>
    <w:p w14:paraId="7AE9B812">
      <w:pPr>
        <w:pStyle w:val="9"/>
        <w:spacing w:after="0" w:line="249" w:lineRule="auto"/>
        <w:rPr>
          <w:rFonts w:hint="eastAsia"/>
        </w:rPr>
      </w:pPr>
    </w:p>
    <w:p w14:paraId="5DE6B580">
      <w:pPr>
        <w:pStyle w:val="9"/>
        <w:spacing w:after="0" w:line="249" w:lineRule="auto"/>
        <w:rPr>
          <w:rFonts w:hint="eastAsia"/>
        </w:rPr>
      </w:pPr>
      <w:r>
        <w:rPr>
          <w:rFonts w:hint="eastAsia"/>
        </w:rPr>
        <w:t>The book is, then, a great gift from the head of the universal Church, to the universal Church, for the help of the universal Church.</w:t>
      </w:r>
    </w:p>
    <w:p w14:paraId="0003492C">
      <w:pPr>
        <w:pStyle w:val="9"/>
        <w:spacing w:after="0" w:line="249" w:lineRule="auto"/>
        <w:rPr>
          <w:rFonts w:hint="eastAsia"/>
        </w:rPr>
      </w:pPr>
      <w:r>
        <w:rPr>
          <w:rFonts w:hint="eastAsia"/>
        </w:rPr>
        <w:t>那么，这本书是来自普世教会元首的一份伟大恩赐，是给普世教会的，为了帮助普世教会。</w:t>
      </w:r>
    </w:p>
    <w:p w14:paraId="102AFF18">
      <w:pPr>
        <w:pStyle w:val="9"/>
        <w:spacing w:after="0" w:line="249" w:lineRule="auto"/>
        <w:rPr>
          <w:rFonts w:hint="eastAsia"/>
        </w:rPr>
      </w:pPr>
    </w:p>
    <w:p w14:paraId="5BBD8857">
      <w:pPr>
        <w:pStyle w:val="9"/>
        <w:spacing w:after="0" w:line="249" w:lineRule="auto"/>
        <w:rPr>
          <w:rFonts w:hint="eastAsia"/>
        </w:rPr>
      </w:pPr>
      <w:r>
        <w:rPr>
          <w:rFonts w:hint="eastAsia"/>
        </w:rPr>
        <w:t>Note carefully an important implication of this truth: the Revelation was not meant to be a closed book—not when it was given, not now, and not ever (Rev. 22:10).</w:t>
      </w:r>
    </w:p>
    <w:p w14:paraId="6BD1CA25">
      <w:pPr>
        <w:pStyle w:val="9"/>
        <w:spacing w:after="0" w:line="249" w:lineRule="auto"/>
        <w:rPr>
          <w:rFonts w:hint="eastAsia"/>
        </w:rPr>
      </w:pPr>
      <w:r>
        <w:rPr>
          <w:rFonts w:hint="eastAsia"/>
        </w:rPr>
        <w:t>请仔细注意这个真理的一个重要含义：启示录不是一本被封闭的书——无论是在它被赐下的时候，不是现在，也永远不是（启 22:10）。</w:t>
      </w:r>
    </w:p>
    <w:p w14:paraId="572E99F5">
      <w:pPr>
        <w:pStyle w:val="9"/>
        <w:spacing w:after="0" w:line="249" w:lineRule="auto"/>
        <w:rPr>
          <w:rFonts w:hint="eastAsia"/>
        </w:rPr>
      </w:pPr>
    </w:p>
    <w:p w14:paraId="77A76E72">
      <w:pPr>
        <w:pStyle w:val="9"/>
        <w:spacing w:after="0" w:line="249" w:lineRule="auto"/>
        <w:rPr>
          <w:rFonts w:hint="eastAsia"/>
        </w:rPr>
      </w:pPr>
      <w:r>
        <w:rPr>
          <w:rFonts w:hint="eastAsia"/>
        </w:rPr>
        <w:t>The Lord desires his whole Church—past, present, and future—to understand, obey, preach, and profit from the Revelation.</w:t>
      </w:r>
    </w:p>
    <w:p w14:paraId="41B7BD1A">
      <w:pPr>
        <w:pStyle w:val="9"/>
        <w:spacing w:after="0" w:line="249" w:lineRule="auto"/>
        <w:rPr>
          <w:rFonts w:hint="eastAsia"/>
        </w:rPr>
      </w:pPr>
      <w:r>
        <w:rPr>
          <w:rFonts w:hint="eastAsia"/>
        </w:rPr>
        <w:t>主渴望祂整个教会——过去、现在和未来——都能理解、顺服、传讲并从启示录中获益。</w:t>
      </w:r>
    </w:p>
    <w:p w14:paraId="6438DE86">
      <w:pPr>
        <w:pStyle w:val="9"/>
        <w:spacing w:after="0" w:line="249" w:lineRule="auto"/>
        <w:rPr>
          <w:rFonts w:hint="eastAsia"/>
        </w:rPr>
      </w:pPr>
    </w:p>
    <w:p w14:paraId="04E457C6">
      <w:pPr>
        <w:pStyle w:val="9"/>
        <w:spacing w:after="0" w:line="249" w:lineRule="auto"/>
        <w:rPr>
          <w:rFonts w:hint="eastAsia"/>
        </w:rPr>
      </w:pPr>
      <w:r>
        <w:rPr>
          <w:rFonts w:hint="eastAsia"/>
        </w:rPr>
        <w:t>And that includes chapter 20, as well!</w:t>
      </w:r>
    </w:p>
    <w:p w14:paraId="61F4136F">
      <w:pPr>
        <w:pStyle w:val="9"/>
        <w:spacing w:after="0" w:line="249" w:lineRule="auto"/>
        <w:rPr>
          <w:rFonts w:hint="eastAsia"/>
        </w:rPr>
      </w:pPr>
      <w:r>
        <w:rPr>
          <w:rFonts w:hint="eastAsia"/>
        </w:rPr>
        <w:t>那也包括第20章！</w:t>
      </w:r>
    </w:p>
    <w:p w14:paraId="56D9DA3C">
      <w:pPr>
        <w:pStyle w:val="9"/>
        <w:spacing w:after="0" w:line="249" w:lineRule="auto"/>
        <w:rPr>
          <w:rFonts w:hint="eastAsia"/>
        </w:rPr>
      </w:pPr>
    </w:p>
    <w:p w14:paraId="38667A5A">
      <w:pPr>
        <w:pStyle w:val="9"/>
        <w:spacing w:after="0" w:line="249" w:lineRule="auto"/>
        <w:rPr>
          <w:rFonts w:hint="eastAsia"/>
        </w:rPr>
      </w:pPr>
      <w:r>
        <w:rPr>
          <w:rFonts w:hint="eastAsia"/>
        </w:rPr>
        <w:t>The Revelation as a Prophecy to the Universal Church</w:t>
      </w:r>
    </w:p>
    <w:p w14:paraId="704AF864">
      <w:pPr>
        <w:pStyle w:val="9"/>
        <w:spacing w:after="0" w:line="249" w:lineRule="auto"/>
        <w:rPr>
          <w:rFonts w:hint="eastAsia"/>
        </w:rPr>
      </w:pPr>
      <w:r>
        <w:rPr>
          <w:rFonts w:hint="eastAsia"/>
        </w:rPr>
        <w:t>启示录作为给普世教会的预言</w:t>
      </w:r>
    </w:p>
    <w:p w14:paraId="1AA1920C">
      <w:pPr>
        <w:pStyle w:val="9"/>
        <w:spacing w:after="0" w:line="249" w:lineRule="auto"/>
        <w:rPr>
          <w:rFonts w:hint="eastAsia"/>
        </w:rPr>
      </w:pPr>
    </w:p>
    <w:p w14:paraId="068D26D0">
      <w:pPr>
        <w:pStyle w:val="9"/>
        <w:spacing w:after="0" w:line="249" w:lineRule="auto"/>
        <w:rPr>
          <w:rFonts w:hint="eastAsia"/>
        </w:rPr>
      </w:pPr>
      <w:r>
        <w:rPr>
          <w:rFonts w:hint="eastAsia"/>
        </w:rPr>
        <w:t>John also describes the Revelation as a prophecy (Rev. 22:10, 18).</w:t>
      </w:r>
    </w:p>
    <w:p w14:paraId="59933CD4">
      <w:pPr>
        <w:pStyle w:val="9"/>
        <w:spacing w:after="0" w:line="249" w:lineRule="auto"/>
        <w:rPr>
          <w:rFonts w:hint="eastAsia"/>
        </w:rPr>
      </w:pPr>
      <w:r>
        <w:rPr>
          <w:rFonts w:hint="eastAsia"/>
        </w:rPr>
        <w:t>约翰也将启示录描述为一个预言（启 22:10, 18）。</w:t>
      </w:r>
    </w:p>
    <w:p w14:paraId="2C715EC9">
      <w:pPr>
        <w:pStyle w:val="9"/>
        <w:spacing w:after="0" w:line="249" w:lineRule="auto"/>
        <w:rPr>
          <w:rFonts w:hint="eastAsia"/>
        </w:rPr>
      </w:pPr>
    </w:p>
    <w:p w14:paraId="4CBBF25E">
      <w:pPr>
        <w:pStyle w:val="9"/>
        <w:spacing w:after="0" w:line="249" w:lineRule="auto"/>
        <w:rPr>
          <w:rFonts w:hint="eastAsia"/>
        </w:rPr>
      </w:pPr>
      <w:r>
        <w:rPr>
          <w:rFonts w:hint="eastAsia"/>
        </w:rPr>
        <w:t>Now according to the apostle Paul, he who prophesies speaks to men for edification, exhortation, and comfort (1 Cor. 14:3).</w:t>
      </w:r>
    </w:p>
    <w:p w14:paraId="3678C49F">
      <w:pPr>
        <w:pStyle w:val="9"/>
        <w:spacing w:after="0" w:line="249" w:lineRule="auto"/>
        <w:rPr>
          <w:rFonts w:hint="eastAsia"/>
        </w:rPr>
      </w:pPr>
      <w:r>
        <w:rPr>
          <w:rFonts w:hint="eastAsia"/>
        </w:rPr>
        <w:t>现在根据使徒保罗的说法，作预言讲道的是对人说，要造就、安慰、劝勉人（林前 14:3）。</w:t>
      </w:r>
    </w:p>
    <w:p w14:paraId="183DBD77">
      <w:pPr>
        <w:pStyle w:val="9"/>
        <w:spacing w:after="0" w:line="249" w:lineRule="auto"/>
        <w:rPr>
          <w:rFonts w:hint="eastAsia"/>
        </w:rPr>
      </w:pPr>
    </w:p>
    <w:p w14:paraId="37887CB3">
      <w:pPr>
        <w:pStyle w:val="9"/>
        <w:spacing w:after="0" w:line="249" w:lineRule="auto"/>
        <w:rPr>
          <w:rFonts w:hint="eastAsia"/>
        </w:rPr>
      </w:pPr>
      <w:r>
        <w:rPr>
          <w:rFonts w:hint="eastAsia"/>
        </w:rPr>
        <w:t>This short definition wonderfully captures the flavor—and the purpose—of the book.</w:t>
      </w:r>
    </w:p>
    <w:p w14:paraId="33F87232">
      <w:pPr>
        <w:pStyle w:val="9"/>
        <w:spacing w:after="0" w:line="249" w:lineRule="auto"/>
        <w:rPr>
          <w:rFonts w:hint="eastAsia"/>
        </w:rPr>
      </w:pPr>
      <w:r>
        <w:rPr>
          <w:rFonts w:hint="eastAsia"/>
        </w:rPr>
        <w:t>这个简短的定义奇妙地抓住了这本书的韵味——和目的。</w:t>
      </w:r>
    </w:p>
    <w:p w14:paraId="7507F952">
      <w:pPr>
        <w:pStyle w:val="9"/>
        <w:spacing w:after="0" w:line="249" w:lineRule="auto"/>
        <w:rPr>
          <w:rFonts w:hint="eastAsia"/>
        </w:rPr>
      </w:pPr>
    </w:p>
    <w:p w14:paraId="4A936043">
      <w:pPr>
        <w:pStyle w:val="9"/>
        <w:spacing w:after="0" w:line="249" w:lineRule="auto"/>
        <w:rPr>
          <w:rFonts w:hint="eastAsia"/>
        </w:rPr>
      </w:pPr>
      <w:r>
        <w:rPr>
          <w:rFonts w:hint="eastAsia"/>
        </w:rPr>
        <w:t>Everywhere we turn, we hear the exalted Christ prophesying to his Church.</w:t>
      </w:r>
    </w:p>
    <w:p w14:paraId="05DDF724">
      <w:pPr>
        <w:pStyle w:val="9"/>
        <w:spacing w:after="0" w:line="249" w:lineRule="auto"/>
        <w:rPr>
          <w:rFonts w:hint="eastAsia"/>
        </w:rPr>
      </w:pPr>
      <w:r>
        <w:rPr>
          <w:rFonts w:hint="eastAsia"/>
        </w:rPr>
        <w:t>我们所到之处，都听到被高举的基督向祂的教会说预言。</w:t>
      </w:r>
    </w:p>
    <w:p w14:paraId="512A25CF">
      <w:pPr>
        <w:pStyle w:val="9"/>
        <w:spacing w:after="0" w:line="249" w:lineRule="auto"/>
        <w:rPr>
          <w:rFonts w:hint="eastAsia"/>
        </w:rPr>
      </w:pPr>
    </w:p>
    <w:p w14:paraId="50C3D63C">
      <w:pPr>
        <w:pStyle w:val="9"/>
        <w:spacing w:after="0" w:line="249" w:lineRule="auto"/>
        <w:rPr>
          <w:rFonts w:hint="eastAsia"/>
        </w:rPr>
      </w:pPr>
      <w:r>
        <w:rPr>
          <w:rFonts w:hint="eastAsia"/>
        </w:rPr>
        <w:t>Everywhere we find him teaching, warning, and encouraging her, so that she may “overcome” all opponents and safely enter the completed Kingdom at his return (2:11, 2:26, etc.).</w:t>
      </w:r>
    </w:p>
    <w:p w14:paraId="46EEC0AB">
      <w:pPr>
        <w:pStyle w:val="9"/>
        <w:spacing w:after="0" w:line="249" w:lineRule="auto"/>
        <w:rPr>
          <w:rFonts w:hint="eastAsia"/>
        </w:rPr>
      </w:pPr>
      <w:r>
        <w:rPr>
          <w:rFonts w:hint="eastAsia"/>
        </w:rPr>
        <w:t>我们随处可见祂教导、警告和鼓励她，以便她能“得胜”所有的对手，并在祂再来时安全地进入完备的国度（2:11, 2:26等）。</w:t>
      </w:r>
    </w:p>
    <w:p w14:paraId="07CD1D53">
      <w:pPr>
        <w:pStyle w:val="9"/>
        <w:spacing w:after="0" w:line="249" w:lineRule="auto"/>
        <w:rPr>
          <w:rFonts w:hint="eastAsia"/>
        </w:rPr>
      </w:pPr>
    </w:p>
    <w:p w14:paraId="34672881">
      <w:pPr>
        <w:pStyle w:val="9"/>
        <w:spacing w:after="0" w:line="249" w:lineRule="auto"/>
        <w:rPr>
          <w:rFonts w:hint="eastAsia"/>
        </w:rPr>
      </w:pPr>
      <w:r>
        <w:rPr>
          <w:rFonts w:hint="eastAsia"/>
        </w:rPr>
        <w:t>Since this idea is so important—namely, that the Revelation is essentially an extended prophecy—let us develop it a little further by looking at the three fundamental ways in which the High King of Heaven here prophesies to his beloved Bride.</w:t>
      </w:r>
    </w:p>
    <w:p w14:paraId="222C522A">
      <w:pPr>
        <w:pStyle w:val="9"/>
        <w:spacing w:after="0" w:line="249" w:lineRule="auto"/>
        <w:rPr>
          <w:rFonts w:hint="eastAsia"/>
        </w:rPr>
      </w:pPr>
      <w:r>
        <w:rPr>
          <w:rFonts w:hint="eastAsia"/>
        </w:rPr>
        <w:t>既然这个思想如此重要——即启示录本质上是一个扩展的预言——让我们通过考察天上至高君王在这里向祂所爱的新妇说预言的三种基本方式来进一步发展它。</w:t>
      </w:r>
    </w:p>
    <w:p w14:paraId="2D7860D6">
      <w:pPr>
        <w:pStyle w:val="9"/>
        <w:spacing w:after="0" w:line="249" w:lineRule="auto"/>
        <w:rPr>
          <w:rFonts w:hint="eastAsia"/>
        </w:rPr>
      </w:pPr>
    </w:p>
    <w:p w14:paraId="71314242">
      <w:pPr>
        <w:pStyle w:val="9"/>
        <w:spacing w:after="0" w:line="249" w:lineRule="auto"/>
        <w:rPr>
          <w:rFonts w:hint="eastAsia"/>
        </w:rPr>
      </w:pPr>
      <w:r>
        <w:rPr>
          <w:rFonts w:hint="eastAsia"/>
        </w:rPr>
        <w:t>The Prophet Teaches His Church</w:t>
      </w:r>
    </w:p>
    <w:p w14:paraId="76916A4E">
      <w:pPr>
        <w:pStyle w:val="9"/>
        <w:spacing w:after="0" w:line="249" w:lineRule="auto"/>
        <w:rPr>
          <w:rFonts w:hint="eastAsia"/>
        </w:rPr>
      </w:pPr>
      <w:r>
        <w:rPr>
          <w:rFonts w:hint="eastAsia"/>
        </w:rPr>
        <w:t>先知教导祂的教会</w:t>
      </w:r>
    </w:p>
    <w:p w14:paraId="36510EA8">
      <w:pPr>
        <w:pStyle w:val="9"/>
        <w:spacing w:after="0" w:line="249" w:lineRule="auto"/>
        <w:rPr>
          <w:rFonts w:hint="eastAsia"/>
        </w:rPr>
      </w:pPr>
    </w:p>
    <w:p w14:paraId="40A537EE">
      <w:pPr>
        <w:pStyle w:val="9"/>
        <w:spacing w:after="0" w:line="249" w:lineRule="auto"/>
        <w:rPr>
          <w:rFonts w:hint="eastAsia"/>
        </w:rPr>
      </w:pPr>
      <w:r>
        <w:rPr>
          <w:rFonts w:hint="eastAsia"/>
        </w:rPr>
        <w:t>First, Christ teaches the Church.</w:t>
      </w:r>
    </w:p>
    <w:p w14:paraId="3DD477D8">
      <w:pPr>
        <w:pStyle w:val="9"/>
        <w:spacing w:after="0" w:line="249" w:lineRule="auto"/>
        <w:rPr>
          <w:rFonts w:hint="eastAsia"/>
        </w:rPr>
      </w:pPr>
      <w:r>
        <w:rPr>
          <w:rFonts w:hint="eastAsia"/>
        </w:rPr>
        <w:t>首先，基督教导教会。</w:t>
      </w:r>
    </w:p>
    <w:p w14:paraId="0C3E23A4">
      <w:pPr>
        <w:pStyle w:val="9"/>
        <w:spacing w:after="0" w:line="249" w:lineRule="auto"/>
        <w:rPr>
          <w:rFonts w:hint="eastAsia"/>
        </w:rPr>
      </w:pPr>
    </w:p>
    <w:p w14:paraId="5D478DEC">
      <w:pPr>
        <w:pStyle w:val="9"/>
        <w:spacing w:after="0" w:line="249" w:lineRule="auto"/>
        <w:rPr>
          <w:rFonts w:hint="eastAsia"/>
        </w:rPr>
      </w:pPr>
      <w:r>
        <w:rPr>
          <w:rFonts w:hint="eastAsia"/>
        </w:rPr>
        <w:t>Here I especially have in mind the way he builds up the Church Militant in her understanding of her true place in the world and in history; in other words, the way in which he gives her a biblical worldview.</w:t>
      </w:r>
    </w:p>
    <w:p w14:paraId="01C0E231">
      <w:pPr>
        <w:pStyle w:val="9"/>
        <w:spacing w:after="0" w:line="249" w:lineRule="auto"/>
        <w:rPr>
          <w:rFonts w:hint="eastAsia"/>
        </w:rPr>
      </w:pPr>
      <w:r>
        <w:rPr>
          <w:rFonts w:hint="eastAsia"/>
        </w:rPr>
        <w:t>在这里，我特别指的是祂如何建立战斗的教会在她对自己在世界和历史中真正位置的理解上；换句话说，祂如何给予她一个圣经的世界观。</w:t>
      </w:r>
    </w:p>
    <w:p w14:paraId="27AC29CF">
      <w:pPr>
        <w:pStyle w:val="9"/>
        <w:spacing w:after="0" w:line="249" w:lineRule="auto"/>
        <w:rPr>
          <w:rFonts w:hint="eastAsia"/>
        </w:rPr>
      </w:pPr>
    </w:p>
    <w:p w14:paraId="4A4FDC39">
      <w:pPr>
        <w:pStyle w:val="9"/>
        <w:spacing w:after="0" w:line="249" w:lineRule="auto"/>
        <w:rPr>
          <w:rFonts w:hint="eastAsia"/>
        </w:rPr>
      </w:pPr>
      <w:r>
        <w:rPr>
          <w:rFonts w:hint="eastAsia"/>
        </w:rPr>
        <w:t>In this regard, Revelation 12 is central.</w:t>
      </w:r>
    </w:p>
    <w:p w14:paraId="3FFE4B80">
      <w:pPr>
        <w:pStyle w:val="9"/>
        <w:spacing w:after="0" w:line="249" w:lineRule="auto"/>
        <w:rPr>
          <w:rFonts w:hint="eastAsia"/>
        </w:rPr>
      </w:pPr>
      <w:r>
        <w:rPr>
          <w:rFonts w:hint="eastAsia"/>
        </w:rPr>
        <w:t>在这方面，启示录第12章是核心。</w:t>
      </w:r>
    </w:p>
    <w:p w14:paraId="13AF8EDF">
      <w:pPr>
        <w:pStyle w:val="9"/>
        <w:spacing w:after="0" w:line="249" w:lineRule="auto"/>
        <w:rPr>
          <w:rFonts w:hint="eastAsia"/>
        </w:rPr>
      </w:pPr>
    </w:p>
    <w:p w14:paraId="574B9B5D">
      <w:pPr>
        <w:pStyle w:val="9"/>
        <w:spacing w:after="0" w:line="249" w:lineRule="auto"/>
        <w:rPr>
          <w:rFonts w:hint="eastAsia"/>
        </w:rPr>
      </w:pPr>
      <w:r>
        <w:rPr>
          <w:rFonts w:hint="eastAsia"/>
        </w:rPr>
        <w:t>It begins with a vision of the Bride, God’s elect of all times and places.</w:t>
      </w:r>
    </w:p>
    <w:p w14:paraId="03BE84D8">
      <w:pPr>
        <w:pStyle w:val="9"/>
        <w:spacing w:after="0" w:line="249" w:lineRule="auto"/>
        <w:rPr>
          <w:rFonts w:hint="eastAsia"/>
        </w:rPr>
      </w:pPr>
      <w:r>
        <w:rPr>
          <w:rFonts w:hint="eastAsia"/>
        </w:rPr>
        <w:t>它以新妇的异象开始，即神在所有时间和地点所拣选的人。</w:t>
      </w:r>
    </w:p>
    <w:p w14:paraId="77E41D22">
      <w:pPr>
        <w:pStyle w:val="9"/>
        <w:spacing w:after="0" w:line="249" w:lineRule="auto"/>
        <w:rPr>
          <w:rFonts w:hint="eastAsia"/>
        </w:rPr>
      </w:pPr>
    </w:p>
    <w:p w14:paraId="6A9C2EBB">
      <w:pPr>
        <w:pStyle w:val="9"/>
        <w:spacing w:after="0" w:line="249" w:lineRule="auto"/>
        <w:rPr>
          <w:rFonts w:hint="eastAsia"/>
        </w:rPr>
      </w:pPr>
      <w:r>
        <w:rPr>
          <w:rFonts w:hint="eastAsia"/>
        </w:rPr>
        <w:t>From the very outset, we see her as God sees her: She is a heavenly Woman with an earthly mission (12:1).</w:t>
      </w:r>
    </w:p>
    <w:p w14:paraId="4A49869C">
      <w:pPr>
        <w:pStyle w:val="9"/>
        <w:spacing w:after="0" w:line="249" w:lineRule="auto"/>
        <w:rPr>
          <w:rFonts w:hint="eastAsia"/>
        </w:rPr>
      </w:pPr>
      <w:r>
        <w:rPr>
          <w:rFonts w:hint="eastAsia"/>
        </w:rPr>
        <w:t>从一开始，我们就看到她如同神看她一样：她是一位有属世使命的天上妇人（12:1）。</w:t>
      </w:r>
    </w:p>
    <w:p w14:paraId="003FC91F">
      <w:pPr>
        <w:pStyle w:val="9"/>
        <w:spacing w:after="0" w:line="249" w:lineRule="auto"/>
        <w:rPr>
          <w:rFonts w:hint="eastAsia"/>
        </w:rPr>
      </w:pPr>
    </w:p>
    <w:p w14:paraId="36B63691">
      <w:pPr>
        <w:pStyle w:val="9"/>
        <w:spacing w:after="0" w:line="249" w:lineRule="auto"/>
        <w:rPr>
          <w:rFonts w:hint="eastAsia"/>
        </w:rPr>
      </w:pPr>
      <w:r>
        <w:rPr>
          <w:rFonts w:hint="eastAsia"/>
        </w:rPr>
        <w:t>In her OT embodiment, she gives birth to the promised Seed of the Woman —to Christ (12:5a; Gen. 3:15).</w:t>
      </w:r>
    </w:p>
    <w:p w14:paraId="76103B56">
      <w:pPr>
        <w:pStyle w:val="9"/>
        <w:spacing w:after="0" w:line="249" w:lineRule="auto"/>
        <w:rPr>
          <w:rFonts w:hint="eastAsia"/>
        </w:rPr>
      </w:pPr>
      <w:r>
        <w:rPr>
          <w:rFonts w:hint="eastAsia"/>
        </w:rPr>
        <w:t>在她的旧约化身中，她生下了应许的女人的后裔——即基督（12:5a；创 3:15）。</w:t>
      </w:r>
    </w:p>
    <w:p w14:paraId="41037A56">
      <w:pPr>
        <w:pStyle w:val="9"/>
        <w:spacing w:after="0" w:line="249" w:lineRule="auto"/>
        <w:rPr>
          <w:rFonts w:hint="eastAsia"/>
        </w:rPr>
      </w:pPr>
    </w:p>
    <w:p w14:paraId="7905E72B">
      <w:pPr>
        <w:pStyle w:val="9"/>
        <w:spacing w:after="0" w:line="249" w:lineRule="auto"/>
        <w:rPr>
          <w:rFonts w:hint="eastAsia"/>
        </w:rPr>
      </w:pPr>
      <w:r>
        <w:rPr>
          <w:rFonts w:hint="eastAsia"/>
        </w:rPr>
        <w:t>When she does, the Dragon and his demonic minions try to kill the infant Jesus, but cannot (12:4).</w:t>
      </w:r>
    </w:p>
    <w:p w14:paraId="54B2A4B6">
      <w:pPr>
        <w:pStyle w:val="9"/>
        <w:spacing w:after="0" w:line="249" w:lineRule="auto"/>
        <w:rPr>
          <w:rFonts w:hint="eastAsia"/>
        </w:rPr>
      </w:pPr>
      <w:r>
        <w:rPr>
          <w:rFonts w:hint="eastAsia"/>
        </w:rPr>
        <w:t>当她这样做时，龙和它的魔鬼仆从试图杀死婴孩耶稣，但不能（12:4）。</w:t>
      </w:r>
    </w:p>
    <w:p w14:paraId="14436E24">
      <w:pPr>
        <w:pStyle w:val="9"/>
        <w:spacing w:after="0" w:line="249" w:lineRule="auto"/>
        <w:rPr>
          <w:rFonts w:hint="eastAsia"/>
        </w:rPr>
      </w:pPr>
    </w:p>
    <w:p w14:paraId="40C8ADC6">
      <w:pPr>
        <w:pStyle w:val="9"/>
        <w:spacing w:after="0" w:line="249" w:lineRule="auto"/>
        <w:rPr>
          <w:rFonts w:hint="eastAsia"/>
        </w:rPr>
      </w:pPr>
      <w:r>
        <w:rPr>
          <w:rFonts w:hint="eastAsia"/>
        </w:rPr>
        <w:t>Indeed, even when they do succeed in killing the Lamb of God, they altogether fail in “devouring” him, for he rises from the dead and ascends to the Father’s own right hand, where he now sits as High Prophet, Priest, and King of heaven.</w:t>
      </w:r>
    </w:p>
    <w:p w14:paraId="7E3DADFD">
      <w:pPr>
        <w:pStyle w:val="9"/>
        <w:spacing w:after="0" w:line="249" w:lineRule="auto"/>
        <w:rPr>
          <w:rFonts w:hint="eastAsia"/>
        </w:rPr>
      </w:pPr>
      <w:r>
        <w:rPr>
          <w:rFonts w:hint="eastAsia"/>
        </w:rPr>
        <w:t>的确，即使当他们真的成功地杀了神的羔羊时，他们也完全没有“吞吃”祂，因为祂从死里复活，升到父的右边，现在祂在那里作天上的大先知、大祭司和大君王。</w:t>
      </w:r>
    </w:p>
    <w:p w14:paraId="0949A78B">
      <w:pPr>
        <w:pStyle w:val="9"/>
        <w:spacing w:after="0" w:line="249" w:lineRule="auto"/>
        <w:rPr>
          <w:rFonts w:hint="eastAsia"/>
        </w:rPr>
      </w:pPr>
    </w:p>
    <w:p w14:paraId="3569F627">
      <w:pPr>
        <w:pStyle w:val="9"/>
        <w:spacing w:after="0" w:line="249" w:lineRule="auto"/>
        <w:rPr>
          <w:rFonts w:hint="eastAsia"/>
        </w:rPr>
      </w:pPr>
      <w:r>
        <w:rPr>
          <w:rFonts w:hint="eastAsia"/>
        </w:rPr>
        <w:t>And from that heavenly seat he shall soon come again, this time to act the part of a shepherd against the enemies of his flock, shattering them once and for all with a rod of iron (12:5b, Psalms 2:9, 23:4).</w:t>
      </w:r>
    </w:p>
    <w:p w14:paraId="14E753C3">
      <w:pPr>
        <w:pStyle w:val="9"/>
        <w:spacing w:after="0" w:line="249" w:lineRule="auto"/>
        <w:rPr>
          <w:rFonts w:hint="eastAsia"/>
        </w:rPr>
      </w:pPr>
      <w:r>
        <w:rPr>
          <w:rFonts w:hint="eastAsia"/>
        </w:rPr>
        <w:t>从那个天上的宝座上，祂将很快再来，这一次要扮演一个牧人的角色，来对付祂羊群的仇敌，用铁杖将他们一劳永逸地打碎（12:5b, 诗 2:9, 23:4）。</w:t>
      </w:r>
    </w:p>
    <w:p w14:paraId="639C407C">
      <w:pPr>
        <w:pStyle w:val="9"/>
        <w:spacing w:after="0" w:line="249" w:lineRule="auto"/>
        <w:rPr>
          <w:rFonts w:hint="eastAsia"/>
        </w:rPr>
      </w:pPr>
    </w:p>
    <w:p w14:paraId="5BD7CE4F">
      <w:pPr>
        <w:pStyle w:val="9"/>
        <w:spacing w:after="0" w:line="249" w:lineRule="auto"/>
        <w:rPr>
          <w:rFonts w:hint="eastAsia"/>
        </w:rPr>
      </w:pPr>
      <w:r>
        <w:rPr>
          <w:rFonts w:hint="eastAsia"/>
        </w:rPr>
        <w:t>For now, however, the Woman (i.e., the Bride in her specifically NT embodiment) must remain upon the earth.</w:t>
      </w:r>
    </w:p>
    <w:p w14:paraId="25BD1302">
      <w:pPr>
        <w:pStyle w:val="9"/>
        <w:spacing w:after="0" w:line="249" w:lineRule="auto"/>
        <w:rPr>
          <w:rFonts w:hint="eastAsia"/>
        </w:rPr>
      </w:pPr>
      <w:r>
        <w:rPr>
          <w:rFonts w:hint="eastAsia"/>
        </w:rPr>
        <w:t>然而，目前，那妇人（即新妇在其特定的新约化身中）必须留在地上。</w:t>
      </w:r>
    </w:p>
    <w:p w14:paraId="30E4B6A9">
      <w:pPr>
        <w:pStyle w:val="9"/>
        <w:spacing w:after="0" w:line="249" w:lineRule="auto"/>
        <w:rPr>
          <w:rFonts w:hint="eastAsia"/>
        </w:rPr>
      </w:pPr>
    </w:p>
    <w:p w14:paraId="37773F41">
      <w:pPr>
        <w:pStyle w:val="9"/>
        <w:spacing w:after="0" w:line="249" w:lineRule="auto"/>
        <w:rPr>
          <w:rFonts w:hint="eastAsia"/>
        </w:rPr>
      </w:pPr>
      <w:r>
        <w:rPr>
          <w:rFonts w:hint="eastAsia"/>
        </w:rPr>
        <w:t>Therefore, in an eschatological Exodus from the Domain of Darkness, she flees into the wilderness of this fallen evil world (12:6).</w:t>
      </w:r>
    </w:p>
    <w:p w14:paraId="4ED7EBDC">
      <w:pPr>
        <w:pStyle w:val="9"/>
        <w:spacing w:after="0" w:line="249" w:lineRule="auto"/>
        <w:rPr>
          <w:rFonts w:hint="eastAsia"/>
        </w:rPr>
      </w:pPr>
      <w:r>
        <w:rPr>
          <w:rFonts w:hint="eastAsia"/>
        </w:rPr>
        <w:t>因此，在一个末世的出埃及中，她从黑暗的权势下逃到这个堕落邪恶世界的旷野（12:6）。</w:t>
      </w:r>
    </w:p>
    <w:p w14:paraId="1FAA826C">
      <w:pPr>
        <w:pStyle w:val="9"/>
        <w:spacing w:after="0" w:line="249" w:lineRule="auto"/>
        <w:rPr>
          <w:rFonts w:hint="eastAsia"/>
        </w:rPr>
      </w:pPr>
    </w:p>
    <w:p w14:paraId="3298F995">
      <w:pPr>
        <w:pStyle w:val="9"/>
        <w:spacing w:after="0" w:line="249" w:lineRule="auto"/>
        <w:rPr>
          <w:rFonts w:hint="eastAsia"/>
        </w:rPr>
      </w:pPr>
      <w:r>
        <w:rPr>
          <w:rFonts w:hint="eastAsia"/>
        </w:rPr>
        <w:t>There she will remain for “1260 days” (or “a time, times, and a half a time,” or “42 months,” Rev. 11:2, 12:14, 13:5).</w:t>
      </w:r>
    </w:p>
    <w:p w14:paraId="2B6E789A">
      <w:pPr>
        <w:pStyle w:val="9"/>
        <w:spacing w:after="0" w:line="249" w:lineRule="auto"/>
        <w:rPr>
          <w:rFonts w:hint="eastAsia"/>
        </w:rPr>
      </w:pPr>
      <w:r>
        <w:rPr>
          <w:rFonts w:hint="eastAsia"/>
        </w:rPr>
        <w:t>她将在那里停留“一千二百六十日”（或“一载、二载、半载”，或“四十二个月”，启 11:2, 12:14, 13:5）。</w:t>
      </w:r>
    </w:p>
    <w:p w14:paraId="6908C50A">
      <w:pPr>
        <w:pStyle w:val="9"/>
        <w:spacing w:after="0" w:line="249" w:lineRule="auto"/>
        <w:rPr>
          <w:rFonts w:hint="eastAsia"/>
        </w:rPr>
      </w:pPr>
    </w:p>
    <w:p w14:paraId="09768BB0">
      <w:pPr>
        <w:pStyle w:val="9"/>
        <w:spacing w:after="0" w:line="249" w:lineRule="auto"/>
        <w:rPr>
          <w:rFonts w:hint="eastAsia"/>
        </w:rPr>
      </w:pPr>
      <w:r>
        <w:rPr>
          <w:rFonts w:hint="eastAsia"/>
        </w:rPr>
        <w:t>Recalling the prophet Elijah’s three and a half year exile in the wilderness, these symbolic numbers mark the entire inter-adventual era—the Era of Proclamation—as a season of exile and tribulation for the people of God (1 Kings 17:1f).</w:t>
      </w:r>
    </w:p>
    <w:p w14:paraId="43BFA01E">
      <w:pPr>
        <w:pStyle w:val="9"/>
        <w:spacing w:after="0" w:line="249" w:lineRule="auto"/>
        <w:rPr>
          <w:rFonts w:hint="eastAsia"/>
        </w:rPr>
      </w:pPr>
      <w:r>
        <w:rPr>
          <w:rFonts w:hint="eastAsia"/>
        </w:rPr>
        <w:t>这些象征性的数字让人想起先知以利亚在旷野中三年半的流亡，标志着整个两次降临之间的时代——即宣讲时代——是神子民流亡和患难的季节（王上 17:1及后）。</w:t>
      </w:r>
    </w:p>
    <w:p w14:paraId="1BA9C8F0">
      <w:pPr>
        <w:pStyle w:val="9"/>
        <w:spacing w:after="0" w:line="249" w:lineRule="auto"/>
        <w:rPr>
          <w:rFonts w:hint="eastAsia"/>
        </w:rPr>
      </w:pPr>
    </w:p>
    <w:p w14:paraId="14DB88B3">
      <w:pPr>
        <w:pStyle w:val="9"/>
        <w:spacing w:after="0" w:line="249" w:lineRule="auto"/>
        <w:rPr>
          <w:rFonts w:hint="eastAsia"/>
        </w:rPr>
      </w:pPr>
      <w:r>
        <w:rPr>
          <w:rFonts w:hint="eastAsia"/>
        </w:rPr>
        <w:t>They will not, however, endure it alone: The Lord will faithfully nourish and aid his people all throughout their long wilderness sojourn, even as he did Israel and Elijah in theirs (12:6, 14-16).</w:t>
      </w:r>
    </w:p>
    <w:p w14:paraId="046B2C51">
      <w:pPr>
        <w:pStyle w:val="9"/>
        <w:spacing w:after="0" w:line="249" w:lineRule="auto"/>
        <w:rPr>
          <w:rFonts w:hint="eastAsia"/>
        </w:rPr>
      </w:pPr>
      <w:r>
        <w:rPr>
          <w:rFonts w:hint="eastAsia"/>
        </w:rPr>
        <w:t>然而，他们不会独自忍受：主将在他们漫长的旷野旅程中，忠实地供养和帮助祂的子民，正如祂在以色列人和以利亚的旷野旅程中所做的那样（12:6, 14-16）。</w:t>
      </w:r>
    </w:p>
    <w:p w14:paraId="51AC7E59">
      <w:pPr>
        <w:pStyle w:val="9"/>
        <w:spacing w:after="0" w:line="249" w:lineRule="auto"/>
        <w:rPr>
          <w:rFonts w:hint="eastAsia"/>
        </w:rPr>
      </w:pPr>
    </w:p>
    <w:p w14:paraId="7F4A8423">
      <w:pPr>
        <w:pStyle w:val="9"/>
        <w:spacing w:after="0" w:line="249" w:lineRule="auto"/>
        <w:rPr>
          <w:rFonts w:hint="eastAsia"/>
        </w:rPr>
      </w:pPr>
      <w:r>
        <w:rPr>
          <w:rFonts w:hint="eastAsia"/>
        </w:rPr>
        <w:t>But what exactly will the Church in the wilderness be doing as she awaits Christ’s return?</w:t>
      </w:r>
    </w:p>
    <w:p w14:paraId="7215F15C">
      <w:pPr>
        <w:pStyle w:val="9"/>
        <w:spacing w:after="0" w:line="249" w:lineRule="auto"/>
        <w:rPr>
          <w:rFonts w:hint="eastAsia"/>
        </w:rPr>
      </w:pPr>
      <w:r>
        <w:rPr>
          <w:rFonts w:hint="eastAsia"/>
        </w:rPr>
        <w:t>但当教会在旷野中等待基督再来时，她究竟在做什么呢？</w:t>
      </w:r>
    </w:p>
    <w:p w14:paraId="4AD4A564">
      <w:pPr>
        <w:pStyle w:val="9"/>
        <w:spacing w:after="0" w:line="249" w:lineRule="auto"/>
        <w:rPr>
          <w:rFonts w:hint="eastAsia"/>
        </w:rPr>
      </w:pPr>
    </w:p>
    <w:p w14:paraId="34406A35">
      <w:pPr>
        <w:pStyle w:val="9"/>
        <w:spacing w:after="0" w:line="249" w:lineRule="auto"/>
        <w:rPr>
          <w:rFonts w:hint="eastAsia"/>
        </w:rPr>
      </w:pPr>
      <w:r>
        <w:rPr>
          <w:rFonts w:hint="eastAsia"/>
        </w:rPr>
        <w:t>The answer is found in verses 7-12: She will be waging war.</w:t>
      </w:r>
    </w:p>
    <w:p w14:paraId="6B7CD8BC">
      <w:pPr>
        <w:pStyle w:val="9"/>
        <w:spacing w:after="0" w:line="249" w:lineRule="auto"/>
        <w:rPr>
          <w:rFonts w:hint="eastAsia"/>
        </w:rPr>
      </w:pPr>
      <w:r>
        <w:rPr>
          <w:rFonts w:hint="eastAsia"/>
        </w:rPr>
        <w:t>答案在第7-12节：她将要争战。</w:t>
      </w:r>
    </w:p>
    <w:p w14:paraId="644B96C3">
      <w:pPr>
        <w:pStyle w:val="9"/>
        <w:spacing w:after="0" w:line="249" w:lineRule="auto"/>
        <w:rPr>
          <w:rFonts w:hint="eastAsia"/>
        </w:rPr>
      </w:pPr>
    </w:p>
    <w:p w14:paraId="15C6AE46">
      <w:pPr>
        <w:pStyle w:val="9"/>
        <w:spacing w:after="0" w:line="249" w:lineRule="auto"/>
        <w:rPr>
          <w:rFonts w:hint="eastAsia"/>
        </w:rPr>
      </w:pPr>
      <w:r>
        <w:rPr>
          <w:rFonts w:hint="eastAsia"/>
        </w:rPr>
        <w:t>Yes, the text itself says that Michael and his angels will wage war against the Dragon and his angels.</w:t>
      </w:r>
    </w:p>
    <w:p w14:paraId="0DA35B29">
      <w:pPr>
        <w:pStyle w:val="9"/>
        <w:spacing w:after="0" w:line="249" w:lineRule="auto"/>
        <w:rPr>
          <w:rFonts w:hint="eastAsia"/>
        </w:rPr>
      </w:pPr>
      <w:r>
        <w:rPr>
          <w:rFonts w:hint="eastAsia"/>
        </w:rPr>
        <w:t>是的，经文本身说米迦勒和他的使者将与龙和它的使者争战。</w:t>
      </w:r>
    </w:p>
    <w:p w14:paraId="18A9F23A">
      <w:pPr>
        <w:pStyle w:val="9"/>
        <w:spacing w:after="0" w:line="249" w:lineRule="auto"/>
        <w:rPr>
          <w:rFonts w:hint="eastAsia"/>
        </w:rPr>
      </w:pPr>
    </w:p>
    <w:p w14:paraId="59C4193E">
      <w:pPr>
        <w:pStyle w:val="9"/>
        <w:spacing w:after="0" w:line="249" w:lineRule="auto"/>
        <w:rPr>
          <w:rFonts w:hint="eastAsia"/>
        </w:rPr>
      </w:pPr>
      <w:r>
        <w:rPr>
          <w:rFonts w:hint="eastAsia"/>
        </w:rPr>
        <w:t>But on closer inspection, we realize that this is simply a picture of heaven’s part in a war that the saints will be waging on earth.</w:t>
      </w:r>
    </w:p>
    <w:p w14:paraId="4280DE70">
      <w:pPr>
        <w:pStyle w:val="9"/>
        <w:spacing w:after="0" w:line="249" w:lineRule="auto"/>
        <w:rPr>
          <w:rFonts w:hint="eastAsia"/>
        </w:rPr>
      </w:pPr>
      <w:r>
        <w:rPr>
          <w:rFonts w:hint="eastAsia"/>
        </w:rPr>
        <w:t>但经过更仔细的检查，我们意识到这仅仅是天堂在一场圣徒们将在地上进行的战争中所扮演角色的图景。</w:t>
      </w:r>
    </w:p>
    <w:p w14:paraId="3590959F">
      <w:pPr>
        <w:pStyle w:val="9"/>
        <w:spacing w:after="0" w:line="249" w:lineRule="auto"/>
        <w:rPr>
          <w:rFonts w:hint="eastAsia"/>
        </w:rPr>
      </w:pPr>
    </w:p>
    <w:p w14:paraId="3D69231D">
      <w:pPr>
        <w:pStyle w:val="9"/>
        <w:spacing w:after="0" w:line="249" w:lineRule="auto"/>
        <w:rPr>
          <w:rFonts w:hint="eastAsia"/>
        </w:rPr>
      </w:pPr>
      <w:r>
        <w:rPr>
          <w:rFonts w:hint="eastAsia"/>
        </w:rPr>
        <w:t>It is not a physical war, but a spiritual (2 Cor. 10:4, Eph. 6:12).</w:t>
      </w:r>
    </w:p>
    <w:p w14:paraId="5892A924">
      <w:pPr>
        <w:pStyle w:val="9"/>
        <w:spacing w:after="0" w:line="249" w:lineRule="auto"/>
        <w:rPr>
          <w:rFonts w:hint="eastAsia"/>
        </w:rPr>
      </w:pPr>
      <w:r>
        <w:rPr>
          <w:rFonts w:hint="eastAsia"/>
        </w:rPr>
        <w:t>这不是一场物质的战争，而是一场属灵的战争（林后 10:4, 弗 6:12）。</w:t>
      </w:r>
    </w:p>
    <w:p w14:paraId="2989CD88">
      <w:pPr>
        <w:pStyle w:val="9"/>
        <w:spacing w:after="0" w:line="249" w:lineRule="auto"/>
        <w:rPr>
          <w:rFonts w:hint="eastAsia"/>
        </w:rPr>
      </w:pPr>
    </w:p>
    <w:p w14:paraId="60DB362B">
      <w:pPr>
        <w:pStyle w:val="9"/>
        <w:spacing w:after="0" w:line="249" w:lineRule="auto"/>
        <w:rPr>
          <w:rFonts w:hint="eastAsia"/>
        </w:rPr>
      </w:pPr>
      <w:r>
        <w:rPr>
          <w:rFonts w:hint="eastAsia"/>
        </w:rPr>
        <w:t>It is the fulfillment of the Great Commission; the proclamation of the Gospel; the declaration of the saving power of the blood of the Lamb; the faithful testimony of the people of God to the Person and Work of the Christ of God (12:11).</w:t>
      </w:r>
    </w:p>
    <w:p w14:paraId="7DAF9712">
      <w:pPr>
        <w:pStyle w:val="9"/>
        <w:spacing w:after="0" w:line="249" w:lineRule="auto"/>
        <w:rPr>
          <w:rFonts w:hint="eastAsia"/>
        </w:rPr>
      </w:pPr>
      <w:r>
        <w:rPr>
          <w:rFonts w:hint="eastAsia"/>
        </w:rPr>
        <w:t>这是大使命的应验；是福音的宣讲；是羔羊宝血拯救大能的宣告；是神的子民对神所差基督的位格和工作的忠心见证（12:11）。</w:t>
      </w:r>
    </w:p>
    <w:p w14:paraId="75903E49">
      <w:pPr>
        <w:pStyle w:val="9"/>
        <w:spacing w:after="0" w:line="249" w:lineRule="auto"/>
        <w:rPr>
          <w:rFonts w:hint="eastAsia"/>
        </w:rPr>
      </w:pPr>
    </w:p>
    <w:p w14:paraId="7139A45A">
      <w:pPr>
        <w:pStyle w:val="9"/>
        <w:spacing w:after="0" w:line="249" w:lineRule="auto"/>
        <w:rPr>
          <w:rFonts w:hint="eastAsia"/>
        </w:rPr>
      </w:pPr>
      <w:r>
        <w:rPr>
          <w:rFonts w:hint="eastAsia"/>
        </w:rPr>
        <w:t>As they preach and teach—and as God’s elect everywhere hear the truth and receive it—the Kingdom of Christ continually pours into the earth (12:10).</w:t>
      </w:r>
    </w:p>
    <w:p w14:paraId="21CDDE5A">
      <w:pPr>
        <w:pStyle w:val="9"/>
        <w:spacing w:after="0" w:line="249" w:lineRule="auto"/>
        <w:rPr>
          <w:rFonts w:hint="eastAsia"/>
        </w:rPr>
      </w:pPr>
      <w:r>
        <w:rPr>
          <w:rFonts w:hint="eastAsia"/>
        </w:rPr>
        <w:t>当他们传道和教导时——当神在各地的选民听到真理并接受它时——基督的国度就不断地倾入世界（12:10）。</w:t>
      </w:r>
    </w:p>
    <w:p w14:paraId="60A2BD85">
      <w:pPr>
        <w:pStyle w:val="9"/>
        <w:spacing w:after="0" w:line="249" w:lineRule="auto"/>
        <w:rPr>
          <w:rFonts w:hint="eastAsia"/>
        </w:rPr>
      </w:pPr>
    </w:p>
    <w:p w14:paraId="6243EEF7">
      <w:pPr>
        <w:pStyle w:val="9"/>
        <w:spacing w:after="0" w:line="249" w:lineRule="auto"/>
        <w:rPr>
          <w:rFonts w:hint="eastAsia"/>
        </w:rPr>
      </w:pPr>
      <w:r>
        <w:rPr>
          <w:rFonts w:hint="eastAsia"/>
        </w:rPr>
        <w:t>As it does, the kingdom of Satan, who formerly deceived and ruled the whole world, is continually spoiled and cast to the ground (Mt. 12:29).</w:t>
      </w:r>
    </w:p>
    <w:p w14:paraId="3534FD3C">
      <w:pPr>
        <w:pStyle w:val="9"/>
        <w:spacing w:after="0" w:line="249" w:lineRule="auto"/>
        <w:rPr>
          <w:rFonts w:hint="eastAsia"/>
        </w:rPr>
      </w:pPr>
      <w:r>
        <w:rPr>
          <w:rFonts w:hint="eastAsia"/>
        </w:rPr>
        <w:t>当它这样做时，那先前欺骗和统治全世界的撒旦的国度，就不断地被掳掠并被摔在地上（太 12:29）。</w:t>
      </w:r>
    </w:p>
    <w:p w14:paraId="469CDD39">
      <w:pPr>
        <w:pStyle w:val="9"/>
        <w:spacing w:after="0" w:line="249" w:lineRule="auto"/>
        <w:rPr>
          <w:rFonts w:hint="eastAsia"/>
        </w:rPr>
      </w:pPr>
    </w:p>
    <w:p w14:paraId="0FE903AB">
      <w:pPr>
        <w:pStyle w:val="9"/>
        <w:spacing w:after="0" w:line="249" w:lineRule="auto"/>
        <w:rPr>
          <w:rFonts w:hint="eastAsia"/>
        </w:rPr>
      </w:pPr>
      <w:r>
        <w:rPr>
          <w:rFonts w:hint="eastAsia"/>
        </w:rPr>
        <w:t>Hence, Satan’s fury against the Woman; hence the Groom’s diligent watch-care over his beloved and persecuted Bride (12:13-17).</w:t>
      </w:r>
    </w:p>
    <w:p w14:paraId="5D6258B4">
      <w:pPr>
        <w:pStyle w:val="9"/>
        <w:spacing w:after="0" w:line="249" w:lineRule="auto"/>
        <w:rPr>
          <w:rFonts w:hint="eastAsia"/>
        </w:rPr>
      </w:pPr>
      <w:r>
        <w:rPr>
          <w:rFonts w:hint="eastAsia"/>
        </w:rPr>
        <w:t>因此，撒旦对那妇人的忿怒；因此，新郎对祂所爱和受迫害的新妇的殷勤看顾（12:13-17）。</w:t>
      </w:r>
    </w:p>
    <w:p w14:paraId="365F1FA7">
      <w:pPr>
        <w:pStyle w:val="9"/>
        <w:spacing w:after="0" w:line="249" w:lineRule="auto"/>
        <w:rPr>
          <w:rFonts w:hint="eastAsia"/>
        </w:rPr>
      </w:pPr>
    </w:p>
    <w:p w14:paraId="28D0BE21">
      <w:pPr>
        <w:pStyle w:val="9"/>
        <w:spacing w:after="0" w:line="249" w:lineRule="auto"/>
        <w:rPr>
          <w:rFonts w:hint="eastAsia"/>
        </w:rPr>
      </w:pPr>
      <w:r>
        <w:rPr>
          <w:rFonts w:hint="eastAsia"/>
        </w:rPr>
        <w:t>Here, then, in a prophetic vision of stupendous theological reach and power, we find Christ teaching the Church Militant who she is, what she is about, what she can expect, and upon whom she can count, as she makes her way out of eschatological Egypt, through the eschatological wilderness of Sin, and into the eschatological Promised Land.</w:t>
      </w:r>
    </w:p>
    <w:p w14:paraId="1F7F8B93">
      <w:pPr>
        <w:pStyle w:val="9"/>
        <w:spacing w:after="0" w:line="249" w:lineRule="auto"/>
        <w:rPr>
          <w:rFonts w:hint="eastAsia"/>
        </w:rPr>
      </w:pPr>
      <w:r>
        <w:rPr>
          <w:rFonts w:hint="eastAsia"/>
        </w:rPr>
        <w:t>因此，在这里，在一个具有巨大神学广度和能力的预言性异象中，我们发现基督正在教导战斗的教会她是谁，她是什么，她可以期待什么，以及她可以依靠谁，当她从末世的埃及出来，经过罪恶的末世旷野，进入末世的应许之地时。</w:t>
      </w:r>
    </w:p>
    <w:p w14:paraId="7AB9E09A">
      <w:pPr>
        <w:pStyle w:val="9"/>
        <w:spacing w:after="0" w:line="249" w:lineRule="auto"/>
        <w:rPr>
          <w:rFonts w:hint="eastAsia"/>
        </w:rPr>
      </w:pPr>
    </w:p>
    <w:p w14:paraId="7C6E250F">
      <w:pPr>
        <w:pStyle w:val="9"/>
        <w:spacing w:after="0" w:line="249" w:lineRule="auto"/>
        <w:rPr>
          <w:rFonts w:hint="eastAsia"/>
        </w:rPr>
      </w:pPr>
      <w:r>
        <w:rPr>
          <w:rFonts w:hint="eastAsia"/>
        </w:rPr>
        <w:t>Fittingly, this rich chapter stands in the middle of the book, for in many ways it supplies us with the keys to the whole book.</w:t>
      </w:r>
    </w:p>
    <w:p w14:paraId="5A36471A">
      <w:pPr>
        <w:pStyle w:val="9"/>
        <w:spacing w:after="0" w:line="249" w:lineRule="auto"/>
        <w:rPr>
          <w:rFonts w:hint="eastAsia"/>
        </w:rPr>
      </w:pPr>
      <w:r>
        <w:rPr>
          <w:rFonts w:hint="eastAsia"/>
        </w:rPr>
        <w:t>恰当地，这个丰富的章节位于书的中间，因为它在许多方面为我们提供了整本书的钥匙。</w:t>
      </w:r>
    </w:p>
    <w:p w14:paraId="2D80D552">
      <w:pPr>
        <w:pStyle w:val="9"/>
        <w:spacing w:after="0" w:line="249" w:lineRule="auto"/>
        <w:rPr>
          <w:rFonts w:hint="eastAsia"/>
        </w:rPr>
      </w:pPr>
    </w:p>
    <w:p w14:paraId="2E35318C">
      <w:pPr>
        <w:pStyle w:val="9"/>
        <w:spacing w:after="0" w:line="249" w:lineRule="auto"/>
        <w:rPr>
          <w:rFonts w:hint="eastAsia"/>
        </w:rPr>
      </w:pPr>
      <w:r>
        <w:rPr>
          <w:rFonts w:hint="eastAsia"/>
        </w:rPr>
        <w:t>Thanks be to God for such a wonderful prophetic gift!</w:t>
      </w:r>
    </w:p>
    <w:p w14:paraId="6387E531">
      <w:pPr>
        <w:pStyle w:val="9"/>
        <w:spacing w:after="0" w:line="249" w:lineRule="auto"/>
        <w:rPr>
          <w:rFonts w:hint="eastAsia"/>
        </w:rPr>
      </w:pPr>
      <w:r>
        <w:rPr>
          <w:rFonts w:hint="eastAsia"/>
        </w:rPr>
        <w:t>感谢神赐下如此奇妙的预言恩赐！</w:t>
      </w:r>
    </w:p>
    <w:p w14:paraId="79F07185">
      <w:pPr>
        <w:pStyle w:val="9"/>
        <w:spacing w:after="0" w:line="249" w:lineRule="auto"/>
        <w:rPr>
          <w:rFonts w:hint="eastAsia"/>
        </w:rPr>
      </w:pPr>
    </w:p>
    <w:p w14:paraId="30555A43">
      <w:pPr>
        <w:pStyle w:val="9"/>
        <w:spacing w:after="0" w:line="249" w:lineRule="auto"/>
        <w:rPr>
          <w:rFonts w:hint="eastAsia"/>
        </w:rPr>
      </w:pPr>
      <w:r>
        <w:rPr>
          <w:rFonts w:hint="eastAsia"/>
        </w:rPr>
        <w:t>The Prophet Exhorts His Church</w:t>
      </w:r>
    </w:p>
    <w:p w14:paraId="7DFD5B02">
      <w:pPr>
        <w:pStyle w:val="9"/>
        <w:spacing w:after="0" w:line="249" w:lineRule="auto"/>
        <w:rPr>
          <w:rFonts w:hint="eastAsia"/>
        </w:rPr>
      </w:pPr>
      <w:r>
        <w:rPr>
          <w:rFonts w:hint="eastAsia"/>
        </w:rPr>
        <w:t>先知劝勉祂的教会</w:t>
      </w:r>
    </w:p>
    <w:p w14:paraId="79BF16E3">
      <w:pPr>
        <w:pStyle w:val="9"/>
        <w:spacing w:after="0" w:line="249" w:lineRule="auto"/>
        <w:rPr>
          <w:rFonts w:hint="eastAsia"/>
        </w:rPr>
      </w:pPr>
    </w:p>
    <w:p w14:paraId="0902B652">
      <w:pPr>
        <w:pStyle w:val="9"/>
        <w:spacing w:after="0" w:line="249" w:lineRule="auto"/>
        <w:rPr>
          <w:rFonts w:hint="eastAsia"/>
        </w:rPr>
      </w:pPr>
      <w:r>
        <w:rPr>
          <w:rFonts w:hint="eastAsia"/>
        </w:rPr>
        <w:t>Secondly, the Lord exhorts the Church.</w:t>
      </w:r>
    </w:p>
    <w:p w14:paraId="3105CEE0">
      <w:pPr>
        <w:pStyle w:val="9"/>
        <w:spacing w:after="0" w:line="249" w:lineRule="auto"/>
        <w:rPr>
          <w:rFonts w:hint="eastAsia"/>
        </w:rPr>
      </w:pPr>
      <w:r>
        <w:rPr>
          <w:rFonts w:hint="eastAsia"/>
        </w:rPr>
        <w:t>其次，主劝勉教会。</w:t>
      </w:r>
    </w:p>
    <w:p w14:paraId="2659E5D4">
      <w:pPr>
        <w:pStyle w:val="9"/>
        <w:spacing w:after="0" w:line="249" w:lineRule="auto"/>
        <w:rPr>
          <w:rFonts w:hint="eastAsia"/>
        </w:rPr>
      </w:pPr>
    </w:p>
    <w:p w14:paraId="24B46967">
      <w:pPr>
        <w:pStyle w:val="9"/>
        <w:spacing w:after="0" w:line="249" w:lineRule="auto"/>
        <w:rPr>
          <w:rFonts w:hint="eastAsia"/>
        </w:rPr>
      </w:pPr>
      <w:r>
        <w:rPr>
          <w:rFonts w:hint="eastAsia"/>
        </w:rPr>
        <w:t>In particular, he exhorts her by teaching and warning about four great enemies that she will encounter over and again during her long journey through the wilderness of this world.</w:t>
      </w:r>
    </w:p>
    <w:p w14:paraId="6D0B00A4">
      <w:pPr>
        <w:pStyle w:val="9"/>
        <w:spacing w:after="0" w:line="249" w:lineRule="auto"/>
        <w:rPr>
          <w:rFonts w:hint="eastAsia"/>
        </w:rPr>
      </w:pPr>
      <w:r>
        <w:rPr>
          <w:rFonts w:hint="eastAsia"/>
        </w:rPr>
        <w:t>特别是，祂通过教导和警告她将在这个世界的旷野中漫长旅程中一再遇到的四个大仇敌来劝勉她。</w:t>
      </w:r>
    </w:p>
    <w:p w14:paraId="1E62015A">
      <w:pPr>
        <w:pStyle w:val="9"/>
        <w:spacing w:after="0" w:line="249" w:lineRule="auto"/>
        <w:rPr>
          <w:rFonts w:hint="eastAsia"/>
        </w:rPr>
      </w:pPr>
    </w:p>
    <w:p w14:paraId="75FC933C">
      <w:pPr>
        <w:pStyle w:val="9"/>
        <w:spacing w:after="0" w:line="249" w:lineRule="auto"/>
        <w:rPr>
          <w:rFonts w:hint="eastAsia"/>
        </w:rPr>
      </w:pPr>
      <w:r>
        <w:rPr>
          <w:rFonts w:hint="eastAsia"/>
        </w:rPr>
        <w:t>The first is the Dragon, that serpent of old who is called the devil and Satan (12:9).</w:t>
      </w:r>
    </w:p>
    <w:p w14:paraId="168C74F2">
      <w:pPr>
        <w:pStyle w:val="9"/>
        <w:spacing w:after="0" w:line="249" w:lineRule="auto"/>
        <w:rPr>
          <w:rFonts w:hint="eastAsia"/>
        </w:rPr>
      </w:pPr>
      <w:r>
        <w:rPr>
          <w:rFonts w:hint="eastAsia"/>
        </w:rPr>
        <w:t>第一个是龙，那古蛇，名叫魔鬼，又叫撒但（12:9）。</w:t>
      </w:r>
    </w:p>
    <w:p w14:paraId="44897113">
      <w:pPr>
        <w:pStyle w:val="9"/>
        <w:spacing w:after="0" w:line="249" w:lineRule="auto"/>
        <w:rPr>
          <w:rFonts w:hint="eastAsia"/>
        </w:rPr>
      </w:pPr>
    </w:p>
    <w:p w14:paraId="36511443">
      <w:pPr>
        <w:pStyle w:val="9"/>
        <w:spacing w:after="0" w:line="249" w:lineRule="auto"/>
        <w:rPr>
          <w:rFonts w:hint="eastAsia"/>
        </w:rPr>
      </w:pPr>
      <w:r>
        <w:rPr>
          <w:rFonts w:hint="eastAsia"/>
        </w:rPr>
        <w:t>He—along with his host of evil angels—is the invisible spiritual ruler of the fallen world-system through which the saints must pass on their way to the Promised Land.</w:t>
      </w:r>
    </w:p>
    <w:p w14:paraId="7791824B">
      <w:pPr>
        <w:pStyle w:val="9"/>
        <w:spacing w:after="0" w:line="249" w:lineRule="auto"/>
        <w:rPr>
          <w:rFonts w:hint="eastAsia"/>
        </w:rPr>
      </w:pPr>
      <w:r>
        <w:rPr>
          <w:rFonts w:hint="eastAsia"/>
        </w:rPr>
        <w:t>祂——连同祂邪恶天使的军队——是堕落世界体系的无形属灵统治者，圣徒们必须经过这个体系才能到达应许之地。</w:t>
      </w:r>
    </w:p>
    <w:p w14:paraId="1214FA36">
      <w:pPr>
        <w:pStyle w:val="9"/>
        <w:spacing w:after="0" w:line="249" w:lineRule="auto"/>
        <w:rPr>
          <w:rFonts w:hint="eastAsia"/>
        </w:rPr>
      </w:pPr>
    </w:p>
    <w:p w14:paraId="4DE082CA">
      <w:pPr>
        <w:pStyle w:val="9"/>
        <w:spacing w:after="0" w:line="249" w:lineRule="auto"/>
        <w:rPr>
          <w:rFonts w:hint="eastAsia"/>
        </w:rPr>
      </w:pPr>
      <w:r>
        <w:rPr>
          <w:rFonts w:hint="eastAsia"/>
        </w:rPr>
        <w:t>As we have seen, this teaching pervades the NT.</w:t>
      </w:r>
    </w:p>
    <w:p w14:paraId="320C8907">
      <w:pPr>
        <w:pStyle w:val="9"/>
        <w:spacing w:after="0" w:line="249" w:lineRule="auto"/>
        <w:rPr>
          <w:rFonts w:hint="eastAsia"/>
        </w:rPr>
      </w:pPr>
      <w:r>
        <w:rPr>
          <w:rFonts w:hint="eastAsia"/>
        </w:rPr>
        <w:t>正如我们所见，这个教导贯穿新约。</w:t>
      </w:r>
    </w:p>
    <w:p w14:paraId="692F7C80">
      <w:pPr>
        <w:pStyle w:val="9"/>
        <w:spacing w:after="0" w:line="249" w:lineRule="auto"/>
        <w:rPr>
          <w:rFonts w:hint="eastAsia"/>
        </w:rPr>
      </w:pPr>
    </w:p>
    <w:p w14:paraId="4C2CDF50">
      <w:pPr>
        <w:pStyle w:val="9"/>
        <w:spacing w:after="0" w:line="249" w:lineRule="auto"/>
        <w:rPr>
          <w:rFonts w:hint="eastAsia"/>
        </w:rPr>
      </w:pPr>
      <w:r>
        <w:rPr>
          <w:rFonts w:hint="eastAsia"/>
        </w:rPr>
        <w:t>However, in the Revelation the Spirit draws upon various OT texts to depict the world-system as an unholy trinity; an unholy idol that fallen, rebellious, and deceivable mankind is all too inclined to worship.</w:t>
      </w:r>
    </w:p>
    <w:p w14:paraId="396C63EC">
      <w:pPr>
        <w:pStyle w:val="9"/>
        <w:spacing w:after="0" w:line="249" w:lineRule="auto"/>
        <w:rPr>
          <w:rFonts w:hint="eastAsia"/>
        </w:rPr>
      </w:pPr>
      <w:r>
        <w:rPr>
          <w:rFonts w:hint="eastAsia"/>
        </w:rPr>
        <w:t>然而，在启示录中，圣灵借鉴了各种旧约经文，将世界体系描绘成一个不圣洁的三位一体；一个堕落、悖逆和易受欺骗的人类极易崇拜的不圣洁偶像。</w:t>
      </w:r>
    </w:p>
    <w:p w14:paraId="6C1D2D65">
      <w:pPr>
        <w:pStyle w:val="9"/>
        <w:spacing w:after="0" w:line="249" w:lineRule="auto"/>
        <w:rPr>
          <w:rFonts w:hint="eastAsia"/>
        </w:rPr>
      </w:pPr>
    </w:p>
    <w:p w14:paraId="4944B3D6">
      <w:pPr>
        <w:pStyle w:val="9"/>
        <w:spacing w:after="0" w:line="249" w:lineRule="auto"/>
        <w:rPr>
          <w:rFonts w:hint="eastAsia"/>
        </w:rPr>
      </w:pPr>
      <w:r>
        <w:rPr>
          <w:rFonts w:hint="eastAsia"/>
        </w:rPr>
        <w:t>It is comprised of the Beast, the False Prophet, and the Harlot.</w:t>
      </w:r>
    </w:p>
    <w:p w14:paraId="5C97E6C1">
      <w:pPr>
        <w:pStyle w:val="9"/>
        <w:spacing w:after="0" w:line="249" w:lineRule="auto"/>
        <w:rPr>
          <w:rFonts w:hint="eastAsia"/>
        </w:rPr>
      </w:pPr>
      <w:r>
        <w:rPr>
          <w:rFonts w:hint="eastAsia"/>
        </w:rPr>
        <w:t>它由兽、假先知和淫妇组成。</w:t>
      </w:r>
    </w:p>
    <w:p w14:paraId="6055BB3E">
      <w:pPr>
        <w:pStyle w:val="9"/>
        <w:spacing w:after="0" w:line="249" w:lineRule="auto"/>
        <w:rPr>
          <w:rFonts w:hint="eastAsia"/>
        </w:rPr>
      </w:pPr>
    </w:p>
    <w:p w14:paraId="4AAF900F">
      <w:pPr>
        <w:pStyle w:val="9"/>
        <w:spacing w:after="0" w:line="249" w:lineRule="auto"/>
        <w:rPr>
          <w:rFonts w:hint="eastAsia"/>
        </w:rPr>
      </w:pPr>
      <w:r>
        <w:rPr>
          <w:rFonts w:hint="eastAsia"/>
        </w:rPr>
        <w:t>As we are about to see, these OT symbols correspond to God-given institutions, originally designed for the good of mankind, but now co-opted and corrupted by the Dragon (13:1, 4, 16:13).</w:t>
      </w:r>
    </w:p>
    <w:p w14:paraId="5784286F">
      <w:pPr>
        <w:pStyle w:val="9"/>
        <w:spacing w:after="0" w:line="249" w:lineRule="auto"/>
        <w:rPr>
          <w:rFonts w:hint="eastAsia"/>
        </w:rPr>
      </w:pPr>
      <w:r>
        <w:rPr>
          <w:rFonts w:hint="eastAsia"/>
        </w:rPr>
        <w:t>正如我们即将看到的，这些旧约象征对应于神所赐的制度，这些制度最初是为了人类的福祉而设计的，但现在被龙所收编和败坏（13:1, 4, 16:13）。</w:t>
      </w:r>
    </w:p>
    <w:p w14:paraId="6B84FBC1">
      <w:pPr>
        <w:pStyle w:val="9"/>
        <w:spacing w:after="0" w:line="249" w:lineRule="auto"/>
        <w:rPr>
          <w:rFonts w:hint="eastAsia"/>
        </w:rPr>
      </w:pPr>
    </w:p>
    <w:p w14:paraId="19D1385E">
      <w:pPr>
        <w:pStyle w:val="9"/>
        <w:spacing w:after="0" w:line="249" w:lineRule="auto"/>
        <w:rPr>
          <w:rFonts w:hint="eastAsia"/>
        </w:rPr>
      </w:pPr>
      <w:r>
        <w:rPr>
          <w:rFonts w:hint="eastAsia"/>
        </w:rPr>
        <w:t>Ever since the Fall, he is the one enemy lurking behind the other three.</w:t>
      </w:r>
    </w:p>
    <w:p w14:paraId="6FFD447A">
      <w:pPr>
        <w:pStyle w:val="9"/>
        <w:spacing w:after="0" w:line="249" w:lineRule="auto"/>
        <w:rPr>
          <w:rFonts w:hint="eastAsia"/>
        </w:rPr>
      </w:pPr>
      <w:r>
        <w:rPr>
          <w:rFonts w:hint="eastAsia"/>
        </w:rPr>
        <w:t>自从堕落以来，祂是潜伏在另外三个敌人背后的唯一敌人。</w:t>
      </w:r>
    </w:p>
    <w:p w14:paraId="3A11466D">
      <w:pPr>
        <w:pStyle w:val="9"/>
        <w:spacing w:after="0" w:line="249" w:lineRule="auto"/>
        <w:rPr>
          <w:rFonts w:hint="eastAsia"/>
        </w:rPr>
      </w:pPr>
    </w:p>
    <w:p w14:paraId="15593F19">
      <w:pPr>
        <w:pStyle w:val="9"/>
        <w:spacing w:after="0" w:line="249" w:lineRule="auto"/>
        <w:rPr>
          <w:rFonts w:hint="eastAsia"/>
        </w:rPr>
      </w:pPr>
      <w:r>
        <w:rPr>
          <w:rFonts w:hint="eastAsia"/>
        </w:rPr>
        <w:t>Let the saints understand and beware (1 Peter. 5:8).</w:t>
      </w:r>
    </w:p>
    <w:p w14:paraId="0FC12CF8">
      <w:pPr>
        <w:pStyle w:val="9"/>
        <w:spacing w:after="0" w:line="249" w:lineRule="auto"/>
        <w:rPr>
          <w:rFonts w:hint="eastAsia"/>
        </w:rPr>
      </w:pPr>
      <w:r>
        <w:rPr>
          <w:rFonts w:hint="eastAsia"/>
        </w:rPr>
        <w:t>愿圣徒明白并警醒（彼前 5:8）。</w:t>
      </w:r>
    </w:p>
    <w:p w14:paraId="6FADAD11">
      <w:pPr>
        <w:pStyle w:val="9"/>
        <w:spacing w:after="0" w:line="249" w:lineRule="auto"/>
        <w:rPr>
          <w:rFonts w:hint="eastAsia"/>
        </w:rPr>
      </w:pPr>
    </w:p>
    <w:p w14:paraId="143370EA">
      <w:pPr>
        <w:pStyle w:val="9"/>
        <w:spacing w:after="0" w:line="249" w:lineRule="auto"/>
        <w:rPr>
          <w:rFonts w:hint="eastAsia"/>
        </w:rPr>
      </w:pPr>
      <w:r>
        <w:rPr>
          <w:rFonts w:hint="eastAsia"/>
        </w:rPr>
        <w:t>The second enemy is the Beast (13:1-4).</w:t>
      </w:r>
    </w:p>
    <w:p w14:paraId="1A329A36">
      <w:pPr>
        <w:pStyle w:val="9"/>
        <w:spacing w:after="0" w:line="249" w:lineRule="auto"/>
        <w:rPr>
          <w:rFonts w:hint="eastAsia"/>
        </w:rPr>
      </w:pPr>
      <w:r>
        <w:rPr>
          <w:rFonts w:hint="eastAsia"/>
        </w:rPr>
        <w:t>第二个敌人是兽（13:1-4）。</w:t>
      </w:r>
    </w:p>
    <w:p w14:paraId="379C110A">
      <w:pPr>
        <w:pStyle w:val="9"/>
        <w:spacing w:after="0" w:line="249" w:lineRule="auto"/>
        <w:rPr>
          <w:rFonts w:hint="eastAsia"/>
        </w:rPr>
      </w:pPr>
    </w:p>
    <w:p w14:paraId="151FF7E5">
      <w:pPr>
        <w:pStyle w:val="9"/>
        <w:spacing w:after="0" w:line="249" w:lineRule="auto"/>
        <w:rPr>
          <w:rFonts w:hint="eastAsia"/>
        </w:rPr>
      </w:pPr>
      <w:r>
        <w:rPr>
          <w:rFonts w:hint="eastAsia"/>
        </w:rPr>
        <w:t>This is the political or governmental face of the world-system (Daniel 7:1f).</w:t>
      </w:r>
    </w:p>
    <w:p w14:paraId="79C75F65">
      <w:pPr>
        <w:pStyle w:val="9"/>
        <w:spacing w:after="0" w:line="249" w:lineRule="auto"/>
        <w:rPr>
          <w:rFonts w:hint="eastAsia"/>
        </w:rPr>
      </w:pPr>
      <w:r>
        <w:rPr>
          <w:rFonts w:hint="eastAsia"/>
        </w:rPr>
        <w:t>这是世界体系的政治或政府面貌（但以理书7:1及后）。</w:t>
      </w:r>
    </w:p>
    <w:p w14:paraId="5D610AD1">
      <w:pPr>
        <w:pStyle w:val="9"/>
        <w:spacing w:after="0" w:line="249" w:lineRule="auto"/>
        <w:rPr>
          <w:rFonts w:hint="eastAsia"/>
        </w:rPr>
      </w:pPr>
    </w:p>
    <w:p w14:paraId="1877C3FC">
      <w:pPr>
        <w:pStyle w:val="9"/>
        <w:spacing w:after="0" w:line="249" w:lineRule="auto"/>
        <w:rPr>
          <w:rFonts w:hint="eastAsia"/>
        </w:rPr>
      </w:pPr>
      <w:r>
        <w:rPr>
          <w:rFonts w:hint="eastAsia"/>
        </w:rPr>
        <w:t>The NT teaches that civil government is a good, post-fall gift of God, designed to restrain evildoers through a faithful administration of his retributive justice (Rom. 13:1f).</w:t>
      </w:r>
    </w:p>
    <w:p w14:paraId="60FFF029">
      <w:pPr>
        <w:pStyle w:val="9"/>
        <w:spacing w:after="0" w:line="249" w:lineRule="auto"/>
        <w:rPr>
          <w:rFonts w:hint="eastAsia"/>
        </w:rPr>
      </w:pPr>
      <w:r>
        <w:rPr>
          <w:rFonts w:hint="eastAsia"/>
        </w:rPr>
        <w:t>新约教导说，民事政府是神在堕落后赐予的一项美善的恩赐，旨在通过忠实地施行祂的报应性公义来约束作恶者（罗 13:1及后）。</w:t>
      </w:r>
    </w:p>
    <w:p w14:paraId="0ED0B37A">
      <w:pPr>
        <w:pStyle w:val="9"/>
        <w:spacing w:after="0" w:line="249" w:lineRule="auto"/>
        <w:rPr>
          <w:rFonts w:hint="eastAsia"/>
        </w:rPr>
      </w:pPr>
    </w:p>
    <w:p w14:paraId="6D511080">
      <w:pPr>
        <w:pStyle w:val="9"/>
        <w:spacing w:after="0" w:line="249" w:lineRule="auto"/>
        <w:rPr>
          <w:rFonts w:hint="eastAsia"/>
        </w:rPr>
      </w:pPr>
      <w:r>
        <w:rPr>
          <w:rFonts w:hint="eastAsia"/>
        </w:rPr>
        <w:t>However, it also teaches that sin can and does corrupt human governments, sometimes to such an extent that they become unconscious instruments of the Satanic (2 Thess. 2:1f, Rev. 13:2, 4).</w:t>
      </w:r>
    </w:p>
    <w:p w14:paraId="5FA9D986">
      <w:pPr>
        <w:pStyle w:val="9"/>
        <w:spacing w:after="0" w:line="249" w:lineRule="auto"/>
        <w:rPr>
          <w:rFonts w:hint="eastAsia"/>
        </w:rPr>
      </w:pPr>
      <w:r>
        <w:rPr>
          <w:rFonts w:hint="eastAsia"/>
        </w:rPr>
        <w:t>然而，它也教导说，罪可以并且确实败坏人类政府，有时甚至达到一种程度，使它们成为撒旦无意识的工具（帖后 2:1及后, 启 13:2, 4）。</w:t>
      </w:r>
    </w:p>
    <w:p w14:paraId="731A9AF5">
      <w:pPr>
        <w:pStyle w:val="9"/>
        <w:spacing w:after="0" w:line="249" w:lineRule="auto"/>
        <w:rPr>
          <w:rFonts w:hint="eastAsia"/>
        </w:rPr>
      </w:pPr>
    </w:p>
    <w:p w14:paraId="0AC88176">
      <w:pPr>
        <w:pStyle w:val="9"/>
        <w:spacing w:after="0" w:line="249" w:lineRule="auto"/>
        <w:rPr>
          <w:rFonts w:hint="eastAsia"/>
        </w:rPr>
      </w:pPr>
      <w:r>
        <w:rPr>
          <w:rFonts w:hint="eastAsia"/>
        </w:rPr>
        <w:t>When this occurs, deceived sinners will worship the Beast, rather than God (13:4).</w:t>
      </w:r>
    </w:p>
    <w:p w14:paraId="071A876C">
      <w:pPr>
        <w:pStyle w:val="9"/>
        <w:spacing w:after="0" w:line="249" w:lineRule="auto"/>
        <w:rPr>
          <w:rFonts w:hint="eastAsia"/>
        </w:rPr>
      </w:pPr>
      <w:r>
        <w:rPr>
          <w:rFonts w:hint="eastAsia"/>
        </w:rPr>
        <w:t>当这种情况发生时，被欺骗的罪人将敬拜那兽，而不是神（13:4）。</w:t>
      </w:r>
    </w:p>
    <w:p w14:paraId="66FF9001">
      <w:pPr>
        <w:pStyle w:val="9"/>
        <w:spacing w:after="0" w:line="249" w:lineRule="auto"/>
        <w:rPr>
          <w:rFonts w:hint="eastAsia"/>
        </w:rPr>
      </w:pPr>
    </w:p>
    <w:p w14:paraId="7BBC2E63">
      <w:pPr>
        <w:pStyle w:val="9"/>
        <w:spacing w:after="0" w:line="249" w:lineRule="auto"/>
        <w:rPr>
          <w:rFonts w:hint="eastAsia"/>
        </w:rPr>
      </w:pPr>
      <w:r>
        <w:rPr>
          <w:rFonts w:hint="eastAsia"/>
        </w:rPr>
        <w:t>And when that occurs, the Beast will wage war against the people of God who, out of loyalty to their heavenly King, refuse to worship the Beast, and urge sinners to turn away from it towards Christ (11:7, 13:7, 17:14).</w:t>
      </w:r>
    </w:p>
    <w:p w14:paraId="2234FE9C">
      <w:pPr>
        <w:pStyle w:val="9"/>
        <w:spacing w:after="0" w:line="249" w:lineRule="auto"/>
        <w:rPr>
          <w:rFonts w:hint="eastAsia"/>
        </w:rPr>
      </w:pPr>
      <w:r>
        <w:rPr>
          <w:rFonts w:hint="eastAsia"/>
        </w:rPr>
        <w:t>当那发生时，那兽将与神的子民争战，他们出于对天上君王的忠诚，拒绝敬拜那兽，并敦促罪人离弃它转向基督（11:7, 13:7, 17:14）。</w:t>
      </w:r>
    </w:p>
    <w:p w14:paraId="55F06AAB">
      <w:pPr>
        <w:pStyle w:val="9"/>
        <w:spacing w:after="0" w:line="249" w:lineRule="auto"/>
        <w:rPr>
          <w:rFonts w:hint="eastAsia"/>
        </w:rPr>
      </w:pPr>
    </w:p>
    <w:p w14:paraId="2B59D6A0">
      <w:pPr>
        <w:pStyle w:val="9"/>
        <w:spacing w:after="0" w:line="249" w:lineRule="auto"/>
        <w:rPr>
          <w:rFonts w:hint="eastAsia"/>
        </w:rPr>
      </w:pPr>
      <w:r>
        <w:rPr>
          <w:rFonts w:hint="eastAsia"/>
        </w:rPr>
        <w:t>In the Revelation, Christ repeatedly exhorts his people concerning the Beast.</w:t>
      </w:r>
    </w:p>
    <w:p w14:paraId="1E685C39">
      <w:pPr>
        <w:pStyle w:val="9"/>
        <w:spacing w:after="0" w:line="249" w:lineRule="auto"/>
        <w:rPr>
          <w:rFonts w:hint="eastAsia"/>
        </w:rPr>
      </w:pPr>
      <w:r>
        <w:rPr>
          <w:rFonts w:hint="eastAsia"/>
        </w:rPr>
        <w:t>在启示录中，基督一再地劝勉祂的子民要提防那兽。</w:t>
      </w:r>
    </w:p>
    <w:p w14:paraId="656E43C9">
      <w:pPr>
        <w:pStyle w:val="9"/>
        <w:spacing w:after="0" w:line="249" w:lineRule="auto"/>
        <w:rPr>
          <w:rFonts w:hint="eastAsia"/>
        </w:rPr>
      </w:pPr>
    </w:p>
    <w:p w14:paraId="47241F16">
      <w:pPr>
        <w:pStyle w:val="9"/>
        <w:spacing w:after="0" w:line="249" w:lineRule="auto"/>
        <w:rPr>
          <w:rFonts w:hint="eastAsia"/>
        </w:rPr>
      </w:pPr>
      <w:r>
        <w:rPr>
          <w:rFonts w:hint="eastAsia"/>
        </w:rPr>
        <w:t>Above all, he warns them not to receive his mark—his name, or the number of his name—on their right hand or on their forehead (14:9, 11, 15:2, 20:4).</w:t>
      </w:r>
    </w:p>
    <w:p w14:paraId="6D76CB84">
      <w:pPr>
        <w:pStyle w:val="9"/>
        <w:spacing w:after="0" w:line="249" w:lineRule="auto"/>
        <w:rPr>
          <w:rFonts w:hint="eastAsia"/>
        </w:rPr>
      </w:pPr>
      <w:r>
        <w:rPr>
          <w:rFonts w:hint="eastAsia"/>
        </w:rPr>
        <w:t>最重要的是，祂警告他们不要在右手上或额上受祂的印记——祂的名字，或祂名字的数目（14:9, 11, 15:2, 20:4）。</w:t>
      </w:r>
    </w:p>
    <w:p w14:paraId="784F19DC">
      <w:pPr>
        <w:pStyle w:val="9"/>
        <w:spacing w:after="0" w:line="249" w:lineRule="auto"/>
        <w:rPr>
          <w:rFonts w:hint="eastAsia"/>
        </w:rPr>
      </w:pPr>
    </w:p>
    <w:p w14:paraId="08A05891">
      <w:pPr>
        <w:pStyle w:val="9"/>
        <w:spacing w:after="0" w:line="249" w:lineRule="auto"/>
        <w:rPr>
          <w:rFonts w:hint="eastAsia"/>
        </w:rPr>
      </w:pPr>
      <w:r>
        <w:rPr>
          <w:rFonts w:hint="eastAsia"/>
        </w:rPr>
        <w:t>Here again the Spirit draws upon OT imagery to speak symbolically to God’s NT people (Ezekiel 9).</w:t>
      </w:r>
    </w:p>
    <w:p w14:paraId="2FD1A5FD">
      <w:pPr>
        <w:pStyle w:val="9"/>
        <w:spacing w:after="0" w:line="249" w:lineRule="auto"/>
        <w:rPr>
          <w:rFonts w:hint="eastAsia"/>
        </w:rPr>
      </w:pPr>
      <w:r>
        <w:rPr>
          <w:rFonts w:hint="eastAsia"/>
        </w:rPr>
        <w:t>在这里，圣灵再次借鉴旧约的意象，象征性地对神的新约子民说话（以西结书第9章）。</w:t>
      </w:r>
    </w:p>
    <w:p w14:paraId="62439241">
      <w:pPr>
        <w:pStyle w:val="9"/>
        <w:spacing w:after="0" w:line="249" w:lineRule="auto"/>
        <w:rPr>
          <w:rFonts w:hint="eastAsia"/>
        </w:rPr>
      </w:pPr>
    </w:p>
    <w:p w14:paraId="76BF1F5A">
      <w:pPr>
        <w:pStyle w:val="9"/>
        <w:spacing w:after="0" w:line="249" w:lineRule="auto"/>
        <w:rPr>
          <w:rFonts w:hint="eastAsia"/>
        </w:rPr>
      </w:pPr>
      <w:r>
        <w:rPr>
          <w:rFonts w:hint="eastAsia"/>
        </w:rPr>
        <w:t>The saints now have the seal of the living God on their foreheads (7:3).</w:t>
      </w:r>
    </w:p>
    <w:p w14:paraId="7F1CA9CD">
      <w:pPr>
        <w:pStyle w:val="9"/>
        <w:spacing w:after="0" w:line="249" w:lineRule="auto"/>
        <w:rPr>
          <w:rFonts w:hint="eastAsia"/>
        </w:rPr>
      </w:pPr>
      <w:r>
        <w:rPr>
          <w:rFonts w:hint="eastAsia"/>
        </w:rPr>
        <w:t>圣徒如今在他们的额上有了永生神的印（7:3）。</w:t>
      </w:r>
    </w:p>
    <w:p w14:paraId="58C284FF">
      <w:pPr>
        <w:pStyle w:val="9"/>
        <w:spacing w:after="0" w:line="249" w:lineRule="auto"/>
        <w:rPr>
          <w:rFonts w:hint="eastAsia"/>
        </w:rPr>
      </w:pPr>
    </w:p>
    <w:p w14:paraId="253CCEDF">
      <w:pPr>
        <w:pStyle w:val="9"/>
        <w:spacing w:after="0" w:line="249" w:lineRule="auto"/>
        <w:rPr>
          <w:rFonts w:hint="eastAsia"/>
        </w:rPr>
      </w:pPr>
      <w:r>
        <w:rPr>
          <w:rFonts w:hint="eastAsia"/>
        </w:rPr>
        <w:t>In other words, because of their faith in Christ they now belong to the Father; they are his adopted sons and daughters, carrying his Name (Rom. 8:15, 1 Peter 1:17).</w:t>
      </w:r>
    </w:p>
    <w:p w14:paraId="5DE42E66">
      <w:pPr>
        <w:pStyle w:val="9"/>
        <w:spacing w:after="0" w:line="249" w:lineRule="auto"/>
        <w:rPr>
          <w:rFonts w:hint="eastAsia"/>
        </w:rPr>
      </w:pPr>
      <w:r>
        <w:rPr>
          <w:rFonts w:hint="eastAsia"/>
        </w:rPr>
        <w:t>换句话说，因为他们对基督的信心，他们现在属于父；他们是祂所收养的儿女，带着祂的名（罗 8:15, 彼前 1:17）。</w:t>
      </w:r>
    </w:p>
    <w:p w14:paraId="5122C852">
      <w:pPr>
        <w:pStyle w:val="9"/>
        <w:spacing w:after="0" w:line="249" w:lineRule="auto"/>
        <w:rPr>
          <w:rFonts w:hint="eastAsia"/>
        </w:rPr>
      </w:pPr>
    </w:p>
    <w:p w14:paraId="0AC4BE90">
      <w:pPr>
        <w:pStyle w:val="9"/>
        <w:spacing w:after="0" w:line="249" w:lineRule="auto"/>
        <w:rPr>
          <w:rFonts w:hint="eastAsia"/>
        </w:rPr>
      </w:pPr>
      <w:r>
        <w:rPr>
          <w:rFonts w:hint="eastAsia"/>
        </w:rPr>
        <w:t>How then shall they give their ultimate allegiance, whether in thought (symbolized by a mark on the forehead) or in deed (symbolized by a mark on the hand), to any mere man or human institution?</w:t>
      </w:r>
    </w:p>
    <w:p w14:paraId="688B8ACD">
      <w:pPr>
        <w:pStyle w:val="9"/>
        <w:spacing w:after="0" w:line="249" w:lineRule="auto"/>
        <w:rPr>
          <w:rFonts w:hint="eastAsia"/>
        </w:rPr>
      </w:pPr>
      <w:r>
        <w:rPr>
          <w:rFonts w:hint="eastAsia"/>
        </w:rPr>
        <w:t>那么，他们怎能将他们最终的忠诚，无论是在思想上（以额上的印记为象征）还是在行为上（以手上的印记为象征），给予任何区区凡人或人类机构呢？</w:t>
      </w:r>
    </w:p>
    <w:p w14:paraId="7AE67527">
      <w:pPr>
        <w:pStyle w:val="9"/>
        <w:spacing w:after="0" w:line="249" w:lineRule="auto"/>
        <w:rPr>
          <w:rFonts w:hint="eastAsia"/>
        </w:rPr>
      </w:pPr>
    </w:p>
    <w:p w14:paraId="2D8E39ED">
      <w:pPr>
        <w:pStyle w:val="9"/>
        <w:spacing w:after="0" w:line="249" w:lineRule="auto"/>
        <w:rPr>
          <w:rFonts w:hint="eastAsia"/>
        </w:rPr>
      </w:pPr>
      <w:r>
        <w:rPr>
          <w:rFonts w:hint="eastAsia"/>
        </w:rPr>
        <w:t>Note also that in Scripture six is the number of man (Gen. 1:26ff, Rev. 13:18, NIV), and three is the number of God Triune.</w:t>
      </w:r>
    </w:p>
    <w:p w14:paraId="071BA4D5">
      <w:pPr>
        <w:pStyle w:val="9"/>
        <w:spacing w:after="0" w:line="249" w:lineRule="auto"/>
        <w:rPr>
          <w:rFonts w:hint="eastAsia"/>
        </w:rPr>
      </w:pPr>
      <w:r>
        <w:rPr>
          <w:rFonts w:hint="eastAsia"/>
        </w:rPr>
        <w:t>还要注意的是，在圣经中，六是人的数字（创 1:26及后, 启 13:18, NIV），三是三一神的数字。</w:t>
      </w:r>
    </w:p>
    <w:p w14:paraId="2EC512C1">
      <w:pPr>
        <w:pStyle w:val="9"/>
        <w:spacing w:after="0" w:line="249" w:lineRule="auto"/>
        <w:rPr>
          <w:rFonts w:hint="eastAsia"/>
        </w:rPr>
      </w:pPr>
    </w:p>
    <w:p w14:paraId="609C0741">
      <w:pPr>
        <w:pStyle w:val="9"/>
        <w:spacing w:after="0" w:line="249" w:lineRule="auto"/>
        <w:rPr>
          <w:rFonts w:hint="eastAsia"/>
        </w:rPr>
      </w:pPr>
      <w:r>
        <w:rPr>
          <w:rFonts w:hint="eastAsia"/>
        </w:rPr>
        <w:t>Therefore, 666 is the number of man seeking to supplant the triune God; the number of man audaciously representing himself as the proper object of worship (13:16-18).</w:t>
      </w:r>
    </w:p>
    <w:p w14:paraId="35B958C8">
      <w:pPr>
        <w:pStyle w:val="9"/>
        <w:spacing w:after="0" w:line="249" w:lineRule="auto"/>
        <w:rPr>
          <w:rFonts w:hint="eastAsia"/>
        </w:rPr>
      </w:pPr>
      <w:r>
        <w:rPr>
          <w:rFonts w:hint="eastAsia"/>
        </w:rPr>
        <w:t>因此，666是人试图取代三一神的数字；是人胆敢将自己呈现为当受敬拜之对象的数字（13:16-18）。</w:t>
      </w:r>
    </w:p>
    <w:p w14:paraId="5FEDD3A4">
      <w:pPr>
        <w:pStyle w:val="9"/>
        <w:spacing w:after="0" w:line="249" w:lineRule="auto"/>
        <w:rPr>
          <w:rFonts w:hint="eastAsia"/>
        </w:rPr>
      </w:pPr>
    </w:p>
    <w:p w14:paraId="74A10B68">
      <w:pPr>
        <w:pStyle w:val="9"/>
        <w:spacing w:after="0" w:line="249" w:lineRule="auto"/>
        <w:rPr>
          <w:rFonts w:hint="eastAsia"/>
        </w:rPr>
      </w:pPr>
      <w:r>
        <w:rPr>
          <w:rFonts w:hint="eastAsia"/>
        </w:rPr>
        <w:t>The implications are clear: Men take the mark of the Beast whenever and wherever they worship the anti- christian, self-deifying State.</w:t>
      </w:r>
    </w:p>
    <w:p w14:paraId="6F3FA414">
      <w:pPr>
        <w:pStyle w:val="9"/>
        <w:spacing w:after="0" w:line="249" w:lineRule="auto"/>
        <w:rPr>
          <w:rFonts w:hint="eastAsia"/>
        </w:rPr>
      </w:pPr>
      <w:r>
        <w:rPr>
          <w:rFonts w:hint="eastAsia"/>
        </w:rPr>
        <w:t>其含义是清楚的：每当人们敬拜反基督、自我神化的国家时，他们就受了兽的印记。</w:t>
      </w:r>
    </w:p>
    <w:p w14:paraId="3596E94E">
      <w:pPr>
        <w:pStyle w:val="9"/>
        <w:spacing w:after="0" w:line="249" w:lineRule="auto"/>
        <w:rPr>
          <w:rFonts w:hint="eastAsia"/>
        </w:rPr>
      </w:pPr>
    </w:p>
    <w:p w14:paraId="0DE9373B">
      <w:pPr>
        <w:pStyle w:val="9"/>
        <w:spacing w:after="0" w:line="249" w:lineRule="auto"/>
        <w:rPr>
          <w:rFonts w:hint="eastAsia"/>
        </w:rPr>
      </w:pPr>
      <w:r>
        <w:rPr>
          <w:rFonts w:hint="eastAsia"/>
        </w:rPr>
        <w:t>And again, throughout the Revelation Christ warns his own that they must never do this evil thing.</w:t>
      </w:r>
    </w:p>
    <w:p w14:paraId="500A48D8">
      <w:pPr>
        <w:pStyle w:val="9"/>
        <w:spacing w:after="0" w:line="249" w:lineRule="auto"/>
        <w:rPr>
          <w:rFonts w:hint="eastAsia"/>
        </w:rPr>
      </w:pPr>
      <w:r>
        <w:rPr>
          <w:rFonts w:hint="eastAsia"/>
        </w:rPr>
        <w:t>再次，在整个启示录中，基督警告祂的子民，他们绝不能做这恶事。</w:t>
      </w:r>
    </w:p>
    <w:p w14:paraId="55188DFE">
      <w:pPr>
        <w:pStyle w:val="9"/>
        <w:spacing w:after="0" w:line="249" w:lineRule="auto"/>
        <w:rPr>
          <w:rFonts w:hint="eastAsia"/>
        </w:rPr>
      </w:pPr>
    </w:p>
    <w:p w14:paraId="4079E50E">
      <w:pPr>
        <w:pStyle w:val="9"/>
        <w:spacing w:after="0" w:line="249" w:lineRule="auto"/>
        <w:rPr>
          <w:rFonts w:hint="eastAsia"/>
        </w:rPr>
      </w:pPr>
      <w:r>
        <w:rPr>
          <w:rFonts w:hint="eastAsia"/>
        </w:rPr>
        <w:t>Additionally, the heavenly Prophet exhorts his people not to succumb to the threats or actual persecutions of the Beast, even if this means the loss of work, supply, reputation, or life itself (2:10, 13:17).</w:t>
      </w:r>
    </w:p>
    <w:p w14:paraId="2B2AF49D">
      <w:pPr>
        <w:pStyle w:val="9"/>
        <w:spacing w:after="0" w:line="249" w:lineRule="auto"/>
        <w:rPr>
          <w:rFonts w:hint="eastAsia"/>
        </w:rPr>
      </w:pPr>
      <w:r>
        <w:rPr>
          <w:rFonts w:hint="eastAsia"/>
        </w:rPr>
        <w:t>此外，天上的先知劝勉祂的子民不要屈服于兽的威胁或实际的迫害，即使这意味着失去工作、供应、名誉或生命本身（2:10, 13:17）。</w:t>
      </w:r>
    </w:p>
    <w:p w14:paraId="64086B47">
      <w:pPr>
        <w:pStyle w:val="9"/>
        <w:spacing w:after="0" w:line="249" w:lineRule="auto"/>
        <w:rPr>
          <w:rFonts w:hint="eastAsia"/>
        </w:rPr>
      </w:pPr>
    </w:p>
    <w:p w14:paraId="758DF8DC">
      <w:pPr>
        <w:pStyle w:val="9"/>
        <w:spacing w:after="0" w:line="249" w:lineRule="auto"/>
        <w:rPr>
          <w:rFonts w:hint="eastAsia"/>
        </w:rPr>
      </w:pPr>
      <w:r>
        <w:rPr>
          <w:rFonts w:hint="eastAsia"/>
        </w:rPr>
        <w:t>He buttresses this exhortation with a twofold promise: The Lord will always be at his suffering people’s side, and he has already prepared a victor’s wreath for each one who overcomes (2:10, 12:14-16).</w:t>
      </w:r>
    </w:p>
    <w:p w14:paraId="4A33864D">
      <w:pPr>
        <w:pStyle w:val="9"/>
        <w:spacing w:after="0" w:line="249" w:lineRule="auto"/>
        <w:rPr>
          <w:rFonts w:hint="eastAsia"/>
        </w:rPr>
      </w:pPr>
      <w:r>
        <w:rPr>
          <w:rFonts w:hint="eastAsia"/>
        </w:rPr>
        <w:t>祂用一个双重的应许来支持这个劝勉：主将永远在祂受苦的子民身边，并且祂已经为每一位得胜者预备了胜利者的冠冕（2:10, 12:14-16）。</w:t>
      </w:r>
    </w:p>
    <w:p w14:paraId="0C167391">
      <w:pPr>
        <w:pStyle w:val="9"/>
        <w:spacing w:after="0" w:line="249" w:lineRule="auto"/>
        <w:rPr>
          <w:rFonts w:hint="eastAsia"/>
        </w:rPr>
      </w:pPr>
    </w:p>
    <w:p w14:paraId="7476E49E">
      <w:pPr>
        <w:pStyle w:val="9"/>
        <w:spacing w:after="0" w:line="249" w:lineRule="auto"/>
        <w:rPr>
          <w:rFonts w:hint="eastAsia"/>
        </w:rPr>
      </w:pPr>
      <w:r>
        <w:rPr>
          <w:rFonts w:hint="eastAsia"/>
        </w:rPr>
        <w:t>Note carefully that in Revelation 20, as elsewhere in the book, Christ again exhorts the whole Church concerning the Beast: Those who refuse to receive his mark (of ownership), but instead remain faithful until death, will enter heaven as disembodied spirits, there to reign in life with their High King until he comes again at the end of the age to raise them from the dead and bestow upon them the glories of the World to Come (20:4-6).</w:t>
      </w:r>
    </w:p>
    <w:p w14:paraId="3C99954A">
      <w:pPr>
        <w:pStyle w:val="9"/>
        <w:spacing w:after="0" w:line="249" w:lineRule="auto"/>
        <w:rPr>
          <w:rFonts w:hint="eastAsia"/>
        </w:rPr>
      </w:pPr>
      <w:r>
        <w:rPr>
          <w:rFonts w:hint="eastAsia"/>
        </w:rPr>
        <w:t>请仔细注意，在启示录第20章，如同书中的别处一样，基督再次劝勉整个教会要提防那兽：那些拒绝接受祂的印记（所有权的印记），反而至死忠心的人，将作为无体的灵魂进入天堂，在那里与他们至高的君王在生命中作王，直到祂在世代的末了再来，使他们从死里复活，并将未来世界的荣耀赐给他们（20:4-6）。</w:t>
      </w:r>
    </w:p>
    <w:p w14:paraId="6F84CB2D">
      <w:pPr>
        <w:pStyle w:val="9"/>
        <w:spacing w:after="0" w:line="249" w:lineRule="auto"/>
        <w:rPr>
          <w:rFonts w:hint="eastAsia"/>
        </w:rPr>
      </w:pPr>
    </w:p>
    <w:p w14:paraId="6D29B7CF">
      <w:pPr>
        <w:pStyle w:val="9"/>
        <w:spacing w:after="0" w:line="249" w:lineRule="auto"/>
        <w:rPr>
          <w:rFonts w:hint="eastAsia"/>
        </w:rPr>
      </w:pPr>
      <w:r>
        <w:rPr>
          <w:rFonts w:hint="eastAsia"/>
        </w:rPr>
        <w:t>More on this later.</w:t>
      </w:r>
    </w:p>
    <w:p w14:paraId="414CD587">
      <w:pPr>
        <w:pStyle w:val="9"/>
        <w:spacing w:after="0" w:line="249" w:lineRule="auto"/>
        <w:rPr>
          <w:rFonts w:hint="eastAsia"/>
        </w:rPr>
      </w:pPr>
      <w:r>
        <w:rPr>
          <w:rFonts w:hint="eastAsia"/>
        </w:rPr>
        <w:t>稍后会更多地讨论这一点。</w:t>
      </w:r>
    </w:p>
    <w:p w14:paraId="60FBC335">
      <w:pPr>
        <w:pStyle w:val="9"/>
        <w:spacing w:after="0" w:line="249" w:lineRule="auto"/>
        <w:rPr>
          <w:rFonts w:hint="eastAsia"/>
        </w:rPr>
      </w:pPr>
    </w:p>
    <w:p w14:paraId="6B8E5419">
      <w:pPr>
        <w:pStyle w:val="9"/>
        <w:spacing w:after="0" w:line="249" w:lineRule="auto"/>
        <w:rPr>
          <w:rFonts w:hint="eastAsia"/>
        </w:rPr>
      </w:pPr>
      <w:r>
        <w:rPr>
          <w:rFonts w:hint="eastAsia"/>
        </w:rPr>
        <w:t>The third enemy is the False Prophet, also called the Beast from the Earth (Rev. 13:11-18, 16:12-16, 19:20, 20:10).</w:t>
      </w:r>
    </w:p>
    <w:p w14:paraId="5910BB6C">
      <w:pPr>
        <w:pStyle w:val="9"/>
        <w:spacing w:after="0" w:line="249" w:lineRule="auto"/>
        <w:rPr>
          <w:rFonts w:hint="eastAsia"/>
        </w:rPr>
      </w:pPr>
      <w:r>
        <w:rPr>
          <w:rFonts w:hint="eastAsia"/>
        </w:rPr>
        <w:t>第三个敌人是假先知，也称为地上的兽（启 13:11-18, 16:12-16, 19:20, 20:10）。</w:t>
      </w:r>
    </w:p>
    <w:p w14:paraId="52037ADF">
      <w:pPr>
        <w:pStyle w:val="9"/>
        <w:spacing w:after="0" w:line="249" w:lineRule="auto"/>
        <w:rPr>
          <w:rFonts w:hint="eastAsia"/>
        </w:rPr>
      </w:pPr>
    </w:p>
    <w:p w14:paraId="5A90BA1A">
      <w:pPr>
        <w:pStyle w:val="9"/>
        <w:spacing w:after="0" w:line="249" w:lineRule="auto"/>
        <w:rPr>
          <w:rFonts w:hint="eastAsia"/>
        </w:rPr>
      </w:pPr>
      <w:r>
        <w:rPr>
          <w:rFonts w:hint="eastAsia"/>
        </w:rPr>
        <w:t>A careful reading of the relevant texts shows that this beast symbolizes, not simply false religion, but false religion willingly pressed into the service of the self-deifying State.</w:t>
      </w:r>
    </w:p>
    <w:p w14:paraId="555FABA4">
      <w:pPr>
        <w:pStyle w:val="9"/>
        <w:spacing w:after="0" w:line="249" w:lineRule="auto"/>
        <w:rPr>
          <w:rFonts w:hint="eastAsia"/>
        </w:rPr>
      </w:pPr>
      <w:r>
        <w:rPr>
          <w:rFonts w:hint="eastAsia"/>
        </w:rPr>
        <w:t>仔细阅读相关经文表明，这兽象征的不仅仅是假宗教，而是甘愿为自我神化的国家服务的假宗教。</w:t>
      </w:r>
    </w:p>
    <w:p w14:paraId="3BD5D21C">
      <w:pPr>
        <w:pStyle w:val="9"/>
        <w:spacing w:after="0" w:line="249" w:lineRule="auto"/>
        <w:rPr>
          <w:rFonts w:hint="eastAsia"/>
        </w:rPr>
      </w:pPr>
    </w:p>
    <w:p w14:paraId="522040FA">
      <w:pPr>
        <w:pStyle w:val="9"/>
        <w:spacing w:after="0" w:line="249" w:lineRule="auto"/>
        <w:rPr>
          <w:rFonts w:hint="eastAsia"/>
        </w:rPr>
      </w:pPr>
      <w:r>
        <w:rPr>
          <w:rFonts w:hint="eastAsia"/>
        </w:rPr>
        <w:t>Energized by Satan (13:11), and authorized by the State itself (13:12), those people who function as the False Prophet use both coercion (13:12, 16-17) and religious deception (13:14-15) to set up “an image” to the Beast.</w:t>
      </w:r>
    </w:p>
    <w:p w14:paraId="51B8218C">
      <w:pPr>
        <w:pStyle w:val="9"/>
        <w:spacing w:after="0" w:line="249" w:lineRule="auto"/>
        <w:rPr>
          <w:rFonts w:hint="eastAsia"/>
        </w:rPr>
      </w:pPr>
      <w:r>
        <w:rPr>
          <w:rFonts w:hint="eastAsia"/>
        </w:rPr>
        <w:t>被撒旦所激励（13:11），并被国家本身所授权（13:12），那些扮演假先知角色的人，既使用强迫手段（13:12, 16-17），也使用宗教欺骗（13:14-15），来为那兽立一个“像”。</w:t>
      </w:r>
    </w:p>
    <w:p w14:paraId="1343D173">
      <w:pPr>
        <w:pStyle w:val="9"/>
        <w:spacing w:after="0" w:line="249" w:lineRule="auto"/>
        <w:rPr>
          <w:rFonts w:hint="eastAsia"/>
        </w:rPr>
      </w:pPr>
    </w:p>
    <w:p w14:paraId="165FD62B">
      <w:pPr>
        <w:pStyle w:val="9"/>
        <w:spacing w:after="0" w:line="249" w:lineRule="auto"/>
        <w:rPr>
          <w:rFonts w:hint="eastAsia"/>
        </w:rPr>
      </w:pPr>
      <w:r>
        <w:rPr>
          <w:rFonts w:hint="eastAsia"/>
        </w:rPr>
        <w:t>That is, they seek to organize, implement, and encourage the worship of the State and/or the person in whom the State is embodied at any given moment in history.</w:t>
      </w:r>
    </w:p>
    <w:p w14:paraId="4D72188B">
      <w:pPr>
        <w:pStyle w:val="9"/>
        <w:spacing w:after="0" w:line="249" w:lineRule="auto"/>
        <w:rPr>
          <w:rFonts w:hint="eastAsia"/>
        </w:rPr>
      </w:pPr>
      <w:r>
        <w:rPr>
          <w:rFonts w:hint="eastAsia"/>
        </w:rPr>
        <w:t>也就是说，他们寻求组织、实施和鼓励对国家和/或在历史任何特定时刻国家所化身之人的崇拜。</w:t>
      </w:r>
    </w:p>
    <w:p w14:paraId="297474D2">
      <w:pPr>
        <w:pStyle w:val="9"/>
        <w:spacing w:after="0" w:line="249" w:lineRule="auto"/>
        <w:rPr>
          <w:rFonts w:hint="eastAsia"/>
        </w:rPr>
      </w:pPr>
    </w:p>
    <w:p w14:paraId="7434142F">
      <w:pPr>
        <w:pStyle w:val="9"/>
        <w:spacing w:after="0" w:line="249" w:lineRule="auto"/>
        <w:rPr>
          <w:rFonts w:hint="eastAsia"/>
        </w:rPr>
      </w:pPr>
      <w:r>
        <w:rPr>
          <w:rFonts w:hint="eastAsia"/>
        </w:rPr>
        <w:t>The False Prophet is present throughout the entire Era of Proclamation.</w:t>
      </w:r>
    </w:p>
    <w:p w14:paraId="5611FC00">
      <w:pPr>
        <w:pStyle w:val="9"/>
        <w:spacing w:after="0" w:line="249" w:lineRule="auto"/>
        <w:rPr>
          <w:rFonts w:hint="eastAsia"/>
        </w:rPr>
      </w:pPr>
      <w:r>
        <w:rPr>
          <w:rFonts w:hint="eastAsia"/>
        </w:rPr>
        <w:t>假先知在整个宣讲时代都存在。</w:t>
      </w:r>
    </w:p>
    <w:p w14:paraId="47828EB7">
      <w:pPr>
        <w:pStyle w:val="9"/>
        <w:spacing w:after="0" w:line="249" w:lineRule="auto"/>
        <w:rPr>
          <w:rFonts w:hint="eastAsia"/>
        </w:rPr>
      </w:pPr>
    </w:p>
    <w:p w14:paraId="5911517E">
      <w:pPr>
        <w:pStyle w:val="9"/>
        <w:spacing w:after="0" w:line="249" w:lineRule="auto"/>
        <w:rPr>
          <w:rFonts w:hint="eastAsia"/>
        </w:rPr>
      </w:pPr>
      <w:r>
        <w:rPr>
          <w:rFonts w:hint="eastAsia"/>
        </w:rPr>
        <w:t>In John’s day he was embodied in “… the emperor cult and the Commune of Asia, a council of distinguished representatives promoting loyalty to the emperor.”3</w:t>
      </w:r>
    </w:p>
    <w:p w14:paraId="2E3B9CA8">
      <w:pPr>
        <w:pStyle w:val="9"/>
        <w:spacing w:after="0" w:line="249" w:lineRule="auto"/>
        <w:rPr>
          <w:rFonts w:hint="eastAsia"/>
        </w:rPr>
      </w:pPr>
      <w:r>
        <w:rPr>
          <w:rFonts w:hint="eastAsia"/>
        </w:rPr>
        <w:t>在约翰的时代，他化身为“……皇帝崇拜和亚细亚公社，一个由杰出代表组成的、促进对皇帝忠诚的议会。”3</w:t>
      </w:r>
    </w:p>
    <w:p w14:paraId="4BC51867">
      <w:pPr>
        <w:pStyle w:val="9"/>
        <w:spacing w:after="0" w:line="249" w:lineRule="auto"/>
        <w:rPr>
          <w:rFonts w:hint="eastAsia"/>
        </w:rPr>
      </w:pPr>
    </w:p>
    <w:p w14:paraId="5F33B24D">
      <w:pPr>
        <w:pStyle w:val="9"/>
        <w:spacing w:after="0" w:line="249" w:lineRule="auto"/>
        <w:rPr>
          <w:rFonts w:hint="eastAsia"/>
        </w:rPr>
      </w:pPr>
      <w:r>
        <w:rPr>
          <w:rFonts w:hint="eastAsia"/>
        </w:rPr>
        <w:t>In our own day, he rears his head wherever government propagandists encourage the adulation of the Chairman, the Fuehrer, the King, or the President.</w:t>
      </w:r>
    </w:p>
    <w:p w14:paraId="2662801D">
      <w:pPr>
        <w:pStyle w:val="9"/>
        <w:spacing w:after="0" w:line="249" w:lineRule="auto"/>
        <w:rPr>
          <w:rFonts w:hint="eastAsia"/>
        </w:rPr>
      </w:pPr>
      <w:r>
        <w:rPr>
          <w:rFonts w:hint="eastAsia"/>
        </w:rPr>
        <w:t>在我们这个时代，凡是政府宣传人员鼓励对主席、元首、国王或总统阿谀奉承的地方，他都抬起头来。</w:t>
      </w:r>
    </w:p>
    <w:p w14:paraId="065AD4D6">
      <w:pPr>
        <w:pStyle w:val="9"/>
        <w:spacing w:after="0" w:line="249" w:lineRule="auto"/>
        <w:rPr>
          <w:rFonts w:hint="eastAsia"/>
        </w:rPr>
      </w:pPr>
    </w:p>
    <w:p w14:paraId="396067E7">
      <w:pPr>
        <w:pStyle w:val="9"/>
        <w:spacing w:after="0" w:line="249" w:lineRule="auto"/>
        <w:rPr>
          <w:rFonts w:hint="eastAsia"/>
        </w:rPr>
      </w:pPr>
      <w:r>
        <w:rPr>
          <w:rFonts w:hint="eastAsia"/>
        </w:rPr>
        <w:t>Notably, Revelation 13:13-15 implies that in some instances Satan will actually empower the False Prophet(s) to deceive men with miraculous signs (Exodus 7:8-13).</w:t>
      </w:r>
    </w:p>
    <w:p w14:paraId="60DADA78">
      <w:pPr>
        <w:pStyle w:val="9"/>
        <w:spacing w:after="0" w:line="249" w:lineRule="auto"/>
        <w:rPr>
          <w:rFonts w:hint="eastAsia"/>
        </w:rPr>
      </w:pPr>
      <w:r>
        <w:rPr>
          <w:rFonts w:hint="eastAsia"/>
        </w:rPr>
        <w:t>值得注意的是，启示录13:13-15暗示，在某些情况下，撒旦实际上会赋予假先知能力，用奇迹来欺骗人（出 7:8-13）。</w:t>
      </w:r>
    </w:p>
    <w:p w14:paraId="6EC6284B">
      <w:pPr>
        <w:pStyle w:val="9"/>
        <w:spacing w:after="0" w:line="249" w:lineRule="auto"/>
        <w:rPr>
          <w:rFonts w:hint="eastAsia"/>
        </w:rPr>
      </w:pPr>
    </w:p>
    <w:p w14:paraId="66D14059">
      <w:pPr>
        <w:pStyle w:val="9"/>
        <w:spacing w:after="0" w:line="249" w:lineRule="auto"/>
        <w:rPr>
          <w:rFonts w:hint="eastAsia"/>
        </w:rPr>
      </w:pPr>
      <w:r>
        <w:rPr>
          <w:rFonts w:hint="eastAsia"/>
        </w:rPr>
        <w:t>Most assuredly, this will be the case at the end of the age.</w:t>
      </w:r>
    </w:p>
    <w:p w14:paraId="07246D4E">
      <w:pPr>
        <w:pStyle w:val="9"/>
        <w:spacing w:after="0" w:line="249" w:lineRule="auto"/>
        <w:rPr>
          <w:rFonts w:hint="eastAsia"/>
        </w:rPr>
      </w:pPr>
      <w:r>
        <w:rPr>
          <w:rFonts w:hint="eastAsia"/>
        </w:rPr>
        <w:t>毫无疑问，这在世代的末了将是如此。</w:t>
      </w:r>
    </w:p>
    <w:p w14:paraId="6FE322BD">
      <w:pPr>
        <w:pStyle w:val="9"/>
        <w:spacing w:after="0" w:line="249" w:lineRule="auto"/>
        <w:rPr>
          <w:rFonts w:hint="eastAsia"/>
        </w:rPr>
      </w:pPr>
    </w:p>
    <w:p w14:paraId="33001FDC">
      <w:pPr>
        <w:pStyle w:val="9"/>
        <w:spacing w:after="0" w:line="249" w:lineRule="auto"/>
        <w:rPr>
          <w:rFonts w:hint="eastAsia"/>
        </w:rPr>
      </w:pPr>
      <w:r>
        <w:rPr>
          <w:rFonts w:hint="eastAsia"/>
        </w:rPr>
        <w:t>The Gospels and epistles warn us that when the (final) Antichrist arises to deceive the whole world, he will perform “false signs and wonders” (Mt. 24:24, 2 Thess. 2:1-2, 9-12).</w:t>
      </w:r>
    </w:p>
    <w:p w14:paraId="54929080">
      <w:pPr>
        <w:pStyle w:val="9"/>
        <w:spacing w:after="0" w:line="249" w:lineRule="auto"/>
        <w:rPr>
          <w:rFonts w:hint="eastAsia"/>
        </w:rPr>
      </w:pPr>
      <w:r>
        <w:rPr>
          <w:rFonts w:hint="eastAsia"/>
        </w:rPr>
        <w:t>福音书和书信警告我们，当（最后的）敌基督兴起欺骗全世界时，他将行“假神迹奇事”（太 24:24, 帖后 2:1-2, 9-12）。</w:t>
      </w:r>
    </w:p>
    <w:p w14:paraId="4B3EE531">
      <w:pPr>
        <w:pStyle w:val="9"/>
        <w:spacing w:after="0" w:line="249" w:lineRule="auto"/>
        <w:rPr>
          <w:rFonts w:hint="eastAsia"/>
        </w:rPr>
      </w:pPr>
    </w:p>
    <w:p w14:paraId="305FD595">
      <w:pPr>
        <w:pStyle w:val="9"/>
        <w:spacing w:after="0" w:line="249" w:lineRule="auto"/>
        <w:rPr>
          <w:rFonts w:hint="eastAsia"/>
        </w:rPr>
      </w:pPr>
      <w:r>
        <w:rPr>
          <w:rFonts w:hint="eastAsia"/>
        </w:rPr>
        <w:t>Not surprisingly, we receive the same warning in the Revelation: John sees three unclean spirits coming out of the mouth of the Dragon, the Beast, and the False Prophet.</w:t>
      </w:r>
    </w:p>
    <w:p w14:paraId="1F1C5F88">
      <w:pPr>
        <w:pStyle w:val="9"/>
        <w:spacing w:after="0" w:line="249" w:lineRule="auto"/>
        <w:rPr>
          <w:rFonts w:hint="eastAsia"/>
        </w:rPr>
      </w:pPr>
      <w:r>
        <w:rPr>
          <w:rFonts w:hint="eastAsia"/>
        </w:rPr>
        <w:t>毫不奇怪，我们在启示录中也收到了同样的警告：约翰看见三个污秽的灵从龙口、兽口并假先知的口中出来。</w:t>
      </w:r>
    </w:p>
    <w:p w14:paraId="39567119">
      <w:pPr>
        <w:pStyle w:val="9"/>
        <w:spacing w:after="0" w:line="249" w:lineRule="auto"/>
        <w:rPr>
          <w:rFonts w:hint="eastAsia"/>
        </w:rPr>
      </w:pPr>
    </w:p>
    <w:p w14:paraId="7520DF27">
      <w:pPr>
        <w:pStyle w:val="9"/>
        <w:spacing w:after="0" w:line="249" w:lineRule="auto"/>
        <w:rPr>
          <w:rFonts w:hint="eastAsia"/>
        </w:rPr>
      </w:pPr>
      <w:r>
        <w:rPr>
          <w:rFonts w:hint="eastAsia"/>
        </w:rPr>
        <w:t>They are demonic spirits, performing signs and going abroad to the kings of the whole world, in order to assemble them for the battle of the Great Day of God the Almighty (16:12-16).</w:t>
      </w:r>
    </w:p>
    <w:p w14:paraId="219FDB92">
      <w:pPr>
        <w:pStyle w:val="9"/>
        <w:spacing w:after="0" w:line="249" w:lineRule="auto"/>
        <w:rPr>
          <w:rFonts w:hint="eastAsia"/>
        </w:rPr>
      </w:pPr>
      <w:r>
        <w:rPr>
          <w:rFonts w:hint="eastAsia"/>
        </w:rPr>
        <w:t>他们是鬼魔的灵，施行奇事，出去到普天下众王那里，叫他们在神全能者的大日聚集争战（16:12-16）。</w:t>
      </w:r>
    </w:p>
    <w:p w14:paraId="507E6761">
      <w:pPr>
        <w:pStyle w:val="9"/>
        <w:spacing w:after="0" w:line="249" w:lineRule="auto"/>
        <w:rPr>
          <w:rFonts w:hint="eastAsia"/>
        </w:rPr>
      </w:pPr>
    </w:p>
    <w:p w14:paraId="13C24538">
      <w:pPr>
        <w:pStyle w:val="9"/>
        <w:spacing w:after="0" w:line="249" w:lineRule="auto"/>
        <w:rPr>
          <w:rFonts w:hint="eastAsia"/>
        </w:rPr>
      </w:pPr>
      <w:r>
        <w:rPr>
          <w:rFonts w:hint="eastAsia"/>
        </w:rPr>
        <w:t>As I will argue later, Revelation 20:7-10, in remarkably similar language, predicts this very thing one final time.</w:t>
      </w:r>
    </w:p>
    <w:p w14:paraId="7942E98A">
      <w:pPr>
        <w:pStyle w:val="9"/>
        <w:spacing w:after="0" w:line="249" w:lineRule="auto"/>
        <w:rPr>
          <w:rFonts w:hint="eastAsia"/>
        </w:rPr>
      </w:pPr>
      <w:r>
        <w:rPr>
          <w:rFonts w:hint="eastAsia"/>
        </w:rPr>
        <w:t>正如我稍后将要论证的，启示录20:7-10，以惊人相似的语言，最后一次预言了这件事。</w:t>
      </w:r>
    </w:p>
    <w:p w14:paraId="37439F47">
      <w:pPr>
        <w:pStyle w:val="9"/>
        <w:spacing w:after="0" w:line="249" w:lineRule="auto"/>
        <w:rPr>
          <w:rFonts w:hint="eastAsia"/>
        </w:rPr>
      </w:pPr>
    </w:p>
    <w:p w14:paraId="6C34BF76">
      <w:pPr>
        <w:pStyle w:val="9"/>
        <w:spacing w:after="0" w:line="249" w:lineRule="auto"/>
        <w:rPr>
          <w:rFonts w:hint="eastAsia"/>
        </w:rPr>
      </w:pPr>
      <w:r>
        <w:rPr>
          <w:rFonts w:hint="eastAsia"/>
        </w:rPr>
        <w:t>Clearly, the High Prophet of Heaven very much desires his Church to be fully prepared for the last (embodiment of the) Beast, the last False Prophet, and the Last Battle.</w:t>
      </w:r>
    </w:p>
    <w:p w14:paraId="01AACEFE">
      <w:pPr>
        <w:pStyle w:val="9"/>
        <w:spacing w:after="0" w:line="249" w:lineRule="auto"/>
        <w:rPr>
          <w:rFonts w:hint="eastAsia"/>
        </w:rPr>
      </w:pPr>
      <w:r>
        <w:rPr>
          <w:rFonts w:hint="eastAsia"/>
        </w:rPr>
        <w:t>显然，天上的大先知非常渴望祂的教会为最后的（化身的）兽、最后的假先知和最后的战役做好充分的准备。</w:t>
      </w:r>
    </w:p>
    <w:p w14:paraId="7F260EDA">
      <w:pPr>
        <w:pStyle w:val="9"/>
        <w:spacing w:after="0" w:line="249" w:lineRule="auto"/>
        <w:rPr>
          <w:rFonts w:hint="eastAsia"/>
        </w:rPr>
      </w:pPr>
    </w:p>
    <w:p w14:paraId="7037F5E5">
      <w:pPr>
        <w:pStyle w:val="9"/>
        <w:spacing w:after="0" w:line="249" w:lineRule="auto"/>
        <w:rPr>
          <w:rFonts w:hint="eastAsia"/>
        </w:rPr>
      </w:pPr>
      <w:r>
        <w:rPr>
          <w:rFonts w:hint="eastAsia"/>
        </w:rPr>
        <w:t>The fourth and final enemy is the Great Harlot, also referred to as Babylon the Great and the Great City (17:1, 3, 5, 18).</w:t>
      </w:r>
    </w:p>
    <w:p w14:paraId="55593268">
      <w:pPr>
        <w:pStyle w:val="9"/>
        <w:spacing w:after="0" w:line="249" w:lineRule="auto"/>
        <w:rPr>
          <w:rFonts w:hint="eastAsia"/>
        </w:rPr>
      </w:pPr>
      <w:r>
        <w:rPr>
          <w:rFonts w:hint="eastAsia"/>
        </w:rPr>
        <w:t>第四个也是最后一个敌人是大淫妇，也称为大巴比伦和大城（17:1, 3, 5, 18）。</w:t>
      </w:r>
    </w:p>
    <w:p w14:paraId="29994C80">
      <w:pPr>
        <w:pStyle w:val="9"/>
        <w:spacing w:after="0" w:line="249" w:lineRule="auto"/>
        <w:rPr>
          <w:rFonts w:hint="eastAsia"/>
        </w:rPr>
      </w:pPr>
    </w:p>
    <w:p w14:paraId="540591F3">
      <w:pPr>
        <w:pStyle w:val="9"/>
        <w:spacing w:after="0" w:line="249" w:lineRule="auto"/>
        <w:rPr>
          <w:rFonts w:hint="eastAsia"/>
        </w:rPr>
      </w:pPr>
      <w:r>
        <w:rPr>
          <w:rFonts w:hint="eastAsia"/>
        </w:rPr>
        <w:t>The relevant chapters make it clear that the Harlot represents the economic, commercial, and cultural face of the world-system.</w:t>
      </w:r>
    </w:p>
    <w:p w14:paraId="216220EB">
      <w:pPr>
        <w:pStyle w:val="9"/>
        <w:spacing w:after="0" w:line="249" w:lineRule="auto"/>
        <w:rPr>
          <w:rFonts w:hint="eastAsia"/>
        </w:rPr>
      </w:pPr>
      <w:r>
        <w:rPr>
          <w:rFonts w:hint="eastAsia"/>
        </w:rPr>
        <w:t>相关章节清楚地表明，淫妇代表了世界体系的经济、商业和文化面貌。</w:t>
      </w:r>
    </w:p>
    <w:p w14:paraId="073B4755">
      <w:pPr>
        <w:pStyle w:val="9"/>
        <w:spacing w:after="0" w:line="249" w:lineRule="auto"/>
        <w:rPr>
          <w:rFonts w:hint="eastAsia"/>
        </w:rPr>
      </w:pPr>
    </w:p>
    <w:p w14:paraId="227606F8">
      <w:pPr>
        <w:pStyle w:val="9"/>
        <w:spacing w:after="0" w:line="249" w:lineRule="auto"/>
        <w:rPr>
          <w:rFonts w:hint="eastAsia"/>
        </w:rPr>
      </w:pPr>
      <w:r>
        <w:rPr>
          <w:rFonts w:hint="eastAsia"/>
        </w:rPr>
        <w:t>As such, she is not so much a persecutor or religious deceiver as she is a seductress (17:4).</w:t>
      </w:r>
    </w:p>
    <w:p w14:paraId="1A7083AC">
      <w:pPr>
        <w:pStyle w:val="9"/>
        <w:spacing w:after="0" w:line="249" w:lineRule="auto"/>
        <w:rPr>
          <w:rFonts w:hint="eastAsia"/>
        </w:rPr>
      </w:pPr>
      <w:r>
        <w:rPr>
          <w:rFonts w:hint="eastAsia"/>
        </w:rPr>
        <w:t>因此，她与其说是一个迫害者或宗教欺骗者，不如说是一个诱惑者（17:4）。</w:t>
      </w:r>
    </w:p>
    <w:p w14:paraId="0CE8188C">
      <w:pPr>
        <w:pStyle w:val="9"/>
        <w:spacing w:after="0" w:line="249" w:lineRule="auto"/>
        <w:rPr>
          <w:rFonts w:hint="eastAsia"/>
        </w:rPr>
      </w:pPr>
    </w:p>
    <w:p w14:paraId="1A5E9783">
      <w:pPr>
        <w:pStyle w:val="9"/>
        <w:spacing w:after="0" w:line="249" w:lineRule="auto"/>
        <w:rPr>
          <w:rFonts w:hint="eastAsia"/>
        </w:rPr>
      </w:pPr>
      <w:r>
        <w:rPr>
          <w:rFonts w:hint="eastAsia"/>
        </w:rPr>
        <w:t>In former times, she tempted the world through such luxurious commercial centers as Babylon, Tyre, and Sidon.</w:t>
      </w:r>
    </w:p>
    <w:p w14:paraId="6F83A7F5">
      <w:pPr>
        <w:pStyle w:val="9"/>
        <w:spacing w:after="0" w:line="249" w:lineRule="auto"/>
        <w:rPr>
          <w:rFonts w:hint="eastAsia"/>
        </w:rPr>
      </w:pPr>
      <w:r>
        <w:rPr>
          <w:rFonts w:hint="eastAsia"/>
        </w:rPr>
        <w:t>在从前，她通过像巴比伦、推罗和西顿这样的奢华商业中心来诱惑世界。</w:t>
      </w:r>
    </w:p>
    <w:p w14:paraId="0CA2D77D">
      <w:pPr>
        <w:pStyle w:val="9"/>
        <w:spacing w:after="0" w:line="249" w:lineRule="auto"/>
        <w:rPr>
          <w:rFonts w:hint="eastAsia"/>
        </w:rPr>
      </w:pPr>
    </w:p>
    <w:p w14:paraId="5E6AC862">
      <w:pPr>
        <w:pStyle w:val="9"/>
        <w:spacing w:after="0" w:line="249" w:lineRule="auto"/>
        <w:rPr>
          <w:rFonts w:hint="eastAsia"/>
        </w:rPr>
      </w:pPr>
      <w:r>
        <w:rPr>
          <w:rFonts w:hint="eastAsia"/>
        </w:rPr>
        <w:t>In John’s day, she tempted it through Rome.</w:t>
      </w:r>
    </w:p>
    <w:p w14:paraId="4BDADE12">
      <w:pPr>
        <w:pStyle w:val="9"/>
        <w:spacing w:after="0" w:line="249" w:lineRule="auto"/>
        <w:rPr>
          <w:rFonts w:hint="eastAsia"/>
        </w:rPr>
      </w:pPr>
      <w:r>
        <w:rPr>
          <w:rFonts w:hint="eastAsia"/>
        </w:rPr>
        <w:t>在约翰的时代，她通过罗马来诱惑它。</w:t>
      </w:r>
    </w:p>
    <w:p w14:paraId="0BDA2406">
      <w:pPr>
        <w:pStyle w:val="9"/>
        <w:spacing w:after="0" w:line="249" w:lineRule="auto"/>
        <w:rPr>
          <w:rFonts w:hint="eastAsia"/>
        </w:rPr>
      </w:pPr>
    </w:p>
    <w:p w14:paraId="34000B00">
      <w:pPr>
        <w:pStyle w:val="9"/>
        <w:spacing w:after="0" w:line="249" w:lineRule="auto"/>
        <w:rPr>
          <w:rFonts w:hint="eastAsia"/>
        </w:rPr>
      </w:pPr>
      <w:r>
        <w:rPr>
          <w:rFonts w:hint="eastAsia"/>
        </w:rPr>
        <w:t>In our own day, she tempts it through wealthy, pleasure-mad cities now situated all over the globe, and also through omnipresent electronic wizardry wherein she bares her ample bosom and offers herself freely for a simple click.</w:t>
      </w:r>
    </w:p>
    <w:p w14:paraId="6632AAA3">
      <w:pPr>
        <w:pStyle w:val="9"/>
        <w:spacing w:after="0" w:line="249" w:lineRule="auto"/>
        <w:rPr>
          <w:rFonts w:hint="eastAsia"/>
        </w:rPr>
      </w:pPr>
      <w:r>
        <w:rPr>
          <w:rFonts w:hint="eastAsia"/>
        </w:rPr>
        <w:t>在我们这个时代，她通过遍布全球的富裕、享乐疯狂的城市，也通过无所不在的电子巫术来诱惑它，她在其中袒露丰满的胸膛，只需轻轻一点便可自由地献出自己。</w:t>
      </w:r>
    </w:p>
    <w:p w14:paraId="4807D2C8">
      <w:pPr>
        <w:pStyle w:val="9"/>
        <w:spacing w:after="0" w:line="249" w:lineRule="auto"/>
        <w:rPr>
          <w:rFonts w:hint="eastAsia"/>
        </w:rPr>
      </w:pPr>
    </w:p>
    <w:p w14:paraId="64C8DC5C">
      <w:pPr>
        <w:pStyle w:val="9"/>
        <w:spacing w:after="0" w:line="249" w:lineRule="auto"/>
        <w:rPr>
          <w:rFonts w:hint="eastAsia"/>
        </w:rPr>
      </w:pPr>
      <w:r>
        <w:rPr>
          <w:rFonts w:hint="eastAsia"/>
        </w:rPr>
        <w:t>John sees that at any given moment the entire world-system is in bed with the Harlot, spiritually speaking: Nations, kings, and merchants—all have fallen to her allurements (18:3).</w:t>
      </w:r>
    </w:p>
    <w:p w14:paraId="35F89152">
      <w:pPr>
        <w:pStyle w:val="9"/>
        <w:spacing w:after="0" w:line="249" w:lineRule="auto"/>
        <w:rPr>
          <w:rFonts w:hint="eastAsia"/>
        </w:rPr>
      </w:pPr>
      <w:r>
        <w:rPr>
          <w:rFonts w:hint="eastAsia"/>
        </w:rPr>
        <w:t>约翰看见，在任何特定的时刻，整个世界体系都在与那淫妇同床共枕，从属灵的角度来说：列国、君王和商人——都已拜倒在她的诱惑之下（18:3）。</w:t>
      </w:r>
    </w:p>
    <w:p w14:paraId="21CE03AE">
      <w:pPr>
        <w:pStyle w:val="9"/>
        <w:spacing w:after="0" w:line="249" w:lineRule="auto"/>
        <w:rPr>
          <w:rFonts w:hint="eastAsia"/>
        </w:rPr>
      </w:pPr>
    </w:p>
    <w:p w14:paraId="34601183">
      <w:pPr>
        <w:pStyle w:val="9"/>
        <w:spacing w:after="0" w:line="249" w:lineRule="auto"/>
        <w:rPr>
          <w:rFonts w:hint="eastAsia"/>
        </w:rPr>
      </w:pPr>
      <w:r>
        <w:rPr>
          <w:rFonts w:hint="eastAsia"/>
        </w:rPr>
        <w:t>As a general rule, she likes to collude with the Beast and the False Prophet, doing all she can to persecute the Church (17:6) and entice saints and sinners alike with her sorceries (i.e., fake, demonic spiritualities, 18:23).</w:t>
      </w:r>
    </w:p>
    <w:p w14:paraId="3B65776F">
      <w:pPr>
        <w:pStyle w:val="9"/>
        <w:spacing w:after="0" w:line="249" w:lineRule="auto"/>
        <w:rPr>
          <w:rFonts w:hint="eastAsia"/>
        </w:rPr>
      </w:pPr>
      <w:r>
        <w:rPr>
          <w:rFonts w:hint="eastAsia"/>
        </w:rPr>
        <w:t>通常，她喜欢与兽和假先知勾结，尽其所能地迫害教会（17:6），并用她的巫术（即虚假的、魔鬼的灵性）来引诱圣徒和罪人（18:23）。</w:t>
      </w:r>
    </w:p>
    <w:p w14:paraId="2B52C65F">
      <w:pPr>
        <w:pStyle w:val="9"/>
        <w:spacing w:after="0" w:line="249" w:lineRule="auto"/>
        <w:rPr>
          <w:rFonts w:hint="eastAsia"/>
        </w:rPr>
      </w:pPr>
    </w:p>
    <w:p w14:paraId="5F1C365E">
      <w:pPr>
        <w:pStyle w:val="9"/>
        <w:spacing w:after="0" w:line="249" w:lineRule="auto"/>
        <w:rPr>
          <w:rFonts w:hint="eastAsia"/>
        </w:rPr>
      </w:pPr>
      <w:r>
        <w:rPr>
          <w:rFonts w:hint="eastAsia"/>
        </w:rPr>
        <w:t>Accordingly, no sooner do we begin to learn about the Harlot, than we hear the prophetic word of the Lord to his Church: “Come out of her, my people, that you may not share in her sins, and that you may not receive of her plagues” (18:4, 3:14-22).</w:t>
      </w:r>
    </w:p>
    <w:p w14:paraId="7B032867">
      <w:pPr>
        <w:pStyle w:val="9"/>
        <w:spacing w:after="0" w:line="249" w:lineRule="auto"/>
        <w:rPr>
          <w:rFonts w:hint="eastAsia"/>
        </w:rPr>
      </w:pPr>
      <w:r>
        <w:rPr>
          <w:rFonts w:hint="eastAsia"/>
        </w:rPr>
        <w:t>因此，我们刚一开始了解那淫妇，就听到了主对祂教会的预言之言：“我的民哪，你们要从那城出来，免得与她一同有罪，受她所受的灾殃”（18:4, 3:14-22）。</w:t>
      </w:r>
    </w:p>
    <w:p w14:paraId="2AE470C8">
      <w:pPr>
        <w:pStyle w:val="9"/>
        <w:spacing w:after="0" w:line="249" w:lineRule="auto"/>
        <w:rPr>
          <w:rFonts w:hint="eastAsia"/>
        </w:rPr>
      </w:pPr>
    </w:p>
    <w:p w14:paraId="56585108">
      <w:pPr>
        <w:pStyle w:val="9"/>
        <w:spacing w:after="0" w:line="249" w:lineRule="auto"/>
        <w:rPr>
          <w:rFonts w:hint="eastAsia"/>
        </w:rPr>
      </w:pPr>
      <w:r>
        <w:rPr>
          <w:rFonts w:hint="eastAsia"/>
        </w:rPr>
        <w:t>As he speaks, the saints receive both warning and promise: Satan’s woman, the Harlot, is doomed to destruction.</w:t>
      </w:r>
    </w:p>
    <w:p w14:paraId="3F34EE49">
      <w:pPr>
        <w:pStyle w:val="9"/>
        <w:spacing w:after="0" w:line="249" w:lineRule="auto"/>
        <w:rPr>
          <w:rFonts w:hint="eastAsia"/>
        </w:rPr>
      </w:pPr>
      <w:r>
        <w:rPr>
          <w:rFonts w:hint="eastAsia"/>
        </w:rPr>
        <w:t>当祂说话时，圣徒们既领受了警告，也领受了应许：撒但的女人，那淫妇，注定要被毁灭。</w:t>
      </w:r>
    </w:p>
    <w:p w14:paraId="058712EB">
      <w:pPr>
        <w:pStyle w:val="9"/>
        <w:spacing w:after="0" w:line="249" w:lineRule="auto"/>
        <w:rPr>
          <w:rFonts w:hint="eastAsia"/>
        </w:rPr>
      </w:pPr>
    </w:p>
    <w:p w14:paraId="3F267754">
      <w:pPr>
        <w:pStyle w:val="9"/>
        <w:spacing w:after="0" w:line="249" w:lineRule="auto"/>
        <w:rPr>
          <w:rFonts w:hint="eastAsia"/>
        </w:rPr>
      </w:pPr>
      <w:r>
        <w:rPr>
          <w:rFonts w:hint="eastAsia"/>
        </w:rPr>
        <w:t>In part, it will come at the hand of the Beast himself, who will one day turn against her (17:14-18).</w:t>
      </w:r>
    </w:p>
    <w:p w14:paraId="5A37BAA0">
      <w:pPr>
        <w:pStyle w:val="9"/>
        <w:spacing w:after="0" w:line="249" w:lineRule="auto"/>
        <w:rPr>
          <w:rFonts w:hint="eastAsia"/>
        </w:rPr>
      </w:pPr>
      <w:r>
        <w:rPr>
          <w:rFonts w:hint="eastAsia"/>
        </w:rPr>
        <w:t>部分地，这将来自那兽自己的手，他有一天会转而反对她（17:14-18）。</w:t>
      </w:r>
    </w:p>
    <w:p w14:paraId="4E378059">
      <w:pPr>
        <w:pStyle w:val="9"/>
        <w:spacing w:after="0" w:line="249" w:lineRule="auto"/>
        <w:rPr>
          <w:rFonts w:hint="eastAsia"/>
        </w:rPr>
      </w:pPr>
    </w:p>
    <w:p w14:paraId="2882AF78">
      <w:pPr>
        <w:pStyle w:val="9"/>
        <w:spacing w:after="0" w:line="249" w:lineRule="auto"/>
        <w:rPr>
          <w:rFonts w:hint="eastAsia"/>
        </w:rPr>
      </w:pPr>
      <w:r>
        <w:rPr>
          <w:rFonts w:hint="eastAsia"/>
        </w:rPr>
        <w:t>However, in far greater part it will come at the hand of Christ, who, in a single hour, will make her utterly desolate (18:19) and render her an eternal prison house of Satan and his demons (18:2).</w:t>
      </w:r>
    </w:p>
    <w:p w14:paraId="24734455">
      <w:pPr>
        <w:pStyle w:val="9"/>
        <w:spacing w:after="0" w:line="249" w:lineRule="auto"/>
        <w:rPr>
          <w:rFonts w:hint="eastAsia"/>
        </w:rPr>
      </w:pPr>
      <w:r>
        <w:rPr>
          <w:rFonts w:hint="eastAsia"/>
        </w:rPr>
        <w:t>然而，在远为更重要的部分，这将来自基督的手，祂将在一个时辰内使她全然荒凉（18:19），并将她变成撒但及其鬼魔永远的监狱（18:2）。</w:t>
      </w:r>
    </w:p>
    <w:p w14:paraId="021EABEC">
      <w:pPr>
        <w:pStyle w:val="9"/>
        <w:spacing w:after="0" w:line="249" w:lineRule="auto"/>
        <w:rPr>
          <w:rFonts w:hint="eastAsia"/>
        </w:rPr>
      </w:pPr>
    </w:p>
    <w:p w14:paraId="1506ECCC">
      <w:pPr>
        <w:pStyle w:val="9"/>
        <w:spacing w:after="0" w:line="249" w:lineRule="auto"/>
        <w:rPr>
          <w:rFonts w:hint="eastAsia"/>
        </w:rPr>
      </w:pPr>
      <w:r>
        <w:rPr>
          <w:rFonts w:hint="eastAsia"/>
        </w:rPr>
        <w:t>Meanwhile, Christ’s Woman—comprised of all who hear his call, flee the Great City, and loyally cling to him in faith—is destined for final rescue and restoration; is destined to become a Holy City and a glorious Bride, forever dwelling with God and Christ under brand new heavens in a brand new earth (19:7-8, 21:2).</w:t>
      </w:r>
    </w:p>
    <w:p w14:paraId="476D5422">
      <w:pPr>
        <w:pStyle w:val="9"/>
        <w:spacing w:after="0" w:line="249" w:lineRule="auto"/>
        <w:rPr>
          <w:rFonts w:hint="eastAsia"/>
        </w:rPr>
      </w:pPr>
      <w:r>
        <w:rPr>
          <w:rFonts w:hint="eastAsia"/>
        </w:rPr>
        <w:t>与此同时，基督的女人——由所有听到祂呼召、逃离那大城并凭信心忠心依附祂的人组成——注定要得到最终的拯救和恢复；注定要成为一座圣城和一位荣耀的新妇，永远在新天新地中与神和基督同住（19:7-8, 21:2）。</w:t>
      </w:r>
    </w:p>
    <w:p w14:paraId="47078AE5">
      <w:pPr>
        <w:pStyle w:val="9"/>
        <w:spacing w:after="0" w:line="249" w:lineRule="auto"/>
        <w:rPr>
          <w:rFonts w:hint="eastAsia"/>
        </w:rPr>
      </w:pPr>
    </w:p>
    <w:p w14:paraId="394E7A37">
      <w:pPr>
        <w:pStyle w:val="9"/>
        <w:spacing w:after="0" w:line="249" w:lineRule="auto"/>
        <w:rPr>
          <w:rFonts w:hint="eastAsia"/>
        </w:rPr>
      </w:pPr>
      <w:r>
        <w:rPr>
          <w:rFonts w:hint="eastAsia"/>
        </w:rPr>
        <w:t>Let all the saints be warned … and take heart.</w:t>
      </w:r>
    </w:p>
    <w:p w14:paraId="42373546">
      <w:pPr>
        <w:pStyle w:val="9"/>
        <w:spacing w:after="0" w:line="249" w:lineRule="auto"/>
        <w:rPr>
          <w:rFonts w:hint="eastAsia"/>
        </w:rPr>
      </w:pPr>
      <w:r>
        <w:rPr>
          <w:rFonts w:hint="eastAsia"/>
        </w:rPr>
        <w:t>愿所有圣徒都受警戒……并刚强壮胆。</w:t>
      </w:r>
    </w:p>
    <w:p w14:paraId="2B43E564">
      <w:pPr>
        <w:pStyle w:val="9"/>
        <w:spacing w:after="0" w:line="249" w:lineRule="auto"/>
        <w:rPr>
          <w:rFonts w:hint="eastAsia"/>
        </w:rPr>
      </w:pPr>
    </w:p>
    <w:p w14:paraId="27F8F5E7">
      <w:pPr>
        <w:pStyle w:val="9"/>
        <w:spacing w:after="0" w:line="249" w:lineRule="auto"/>
        <w:rPr>
          <w:rFonts w:hint="eastAsia"/>
        </w:rPr>
      </w:pPr>
      <w:r>
        <w:rPr>
          <w:rFonts w:hint="eastAsia"/>
        </w:rPr>
        <w:t>The Prophet Comforts His Church</w:t>
      </w:r>
    </w:p>
    <w:p w14:paraId="04AEB929">
      <w:pPr>
        <w:pStyle w:val="9"/>
        <w:spacing w:after="0" w:line="249" w:lineRule="auto"/>
        <w:rPr>
          <w:rFonts w:hint="eastAsia"/>
        </w:rPr>
      </w:pPr>
      <w:r>
        <w:rPr>
          <w:rFonts w:hint="eastAsia"/>
        </w:rPr>
        <w:t>先知安慰祂的教会</w:t>
      </w:r>
    </w:p>
    <w:p w14:paraId="0B12DC19">
      <w:pPr>
        <w:pStyle w:val="9"/>
        <w:spacing w:after="0" w:line="249" w:lineRule="auto"/>
        <w:rPr>
          <w:rFonts w:hint="eastAsia"/>
        </w:rPr>
      </w:pPr>
    </w:p>
    <w:p w14:paraId="0ED8F900">
      <w:pPr>
        <w:pStyle w:val="9"/>
        <w:spacing w:after="0" w:line="249" w:lineRule="auto"/>
        <w:rPr>
          <w:rFonts w:hint="eastAsia"/>
        </w:rPr>
      </w:pPr>
      <w:r>
        <w:rPr>
          <w:rFonts w:hint="eastAsia"/>
        </w:rPr>
        <w:t>Finally, the heavenly Prophet uses the Revelation to speak comfort to his Bride.</w:t>
      </w:r>
    </w:p>
    <w:p w14:paraId="608BAEDC">
      <w:pPr>
        <w:pStyle w:val="9"/>
        <w:spacing w:after="0" w:line="249" w:lineRule="auto"/>
        <w:rPr>
          <w:rFonts w:hint="eastAsia"/>
        </w:rPr>
      </w:pPr>
      <w:r>
        <w:rPr>
          <w:rFonts w:hint="eastAsia"/>
        </w:rPr>
        <w:t>最后，天上的先知用启示录来安慰祂的新妇。</w:t>
      </w:r>
    </w:p>
    <w:p w14:paraId="54EC4B4F">
      <w:pPr>
        <w:pStyle w:val="9"/>
        <w:spacing w:after="0" w:line="249" w:lineRule="auto"/>
        <w:rPr>
          <w:rFonts w:hint="eastAsia"/>
        </w:rPr>
      </w:pPr>
    </w:p>
    <w:p w14:paraId="739C2E8D">
      <w:pPr>
        <w:pStyle w:val="9"/>
        <w:spacing w:after="0" w:line="249" w:lineRule="auto"/>
        <w:rPr>
          <w:rFonts w:hint="eastAsia"/>
        </w:rPr>
      </w:pPr>
      <w:r>
        <w:rPr>
          <w:rFonts w:hint="eastAsia"/>
        </w:rPr>
        <w:t>Yes, as trembling Christians well know, the Revelation repeatedly issues warnings of inevitable tribulation and certain judgment.</w:t>
      </w:r>
    </w:p>
    <w:p w14:paraId="37AE226D">
      <w:pPr>
        <w:pStyle w:val="9"/>
        <w:spacing w:after="0" w:line="249" w:lineRule="auto"/>
        <w:rPr>
          <w:rFonts w:hint="eastAsia"/>
        </w:rPr>
      </w:pPr>
      <w:r>
        <w:rPr>
          <w:rFonts w:hint="eastAsia"/>
        </w:rPr>
        <w:t>是的，正如战兢的基督徒所熟知的，启示录一再地发出不可避免的患难和确定的审判的警告。</w:t>
      </w:r>
    </w:p>
    <w:p w14:paraId="5B45FDD4">
      <w:pPr>
        <w:pStyle w:val="9"/>
        <w:spacing w:after="0" w:line="249" w:lineRule="auto"/>
        <w:rPr>
          <w:rFonts w:hint="eastAsia"/>
        </w:rPr>
      </w:pPr>
    </w:p>
    <w:p w14:paraId="71A47B68">
      <w:pPr>
        <w:pStyle w:val="9"/>
        <w:spacing w:after="0" w:line="249" w:lineRule="auto"/>
        <w:rPr>
          <w:rFonts w:hint="eastAsia"/>
        </w:rPr>
      </w:pPr>
      <w:r>
        <w:rPr>
          <w:rFonts w:hint="eastAsia"/>
        </w:rPr>
        <w:t>However, the more they read, the more they realize how much comfort is offered along with those warnings, and how many different forms that comfort takes.</w:t>
      </w:r>
    </w:p>
    <w:p w14:paraId="3F2DEBF3">
      <w:pPr>
        <w:pStyle w:val="9"/>
        <w:spacing w:after="0" w:line="249" w:lineRule="auto"/>
        <w:rPr>
          <w:rFonts w:hint="eastAsia"/>
        </w:rPr>
      </w:pPr>
      <w:r>
        <w:rPr>
          <w:rFonts w:hint="eastAsia"/>
        </w:rPr>
        <w:t>然而，他们越读，就越意识到随着那些警告而来的安慰是何等多，以及那安慰以何等不同的形式呈现。</w:t>
      </w:r>
    </w:p>
    <w:p w14:paraId="319F306B">
      <w:pPr>
        <w:pStyle w:val="9"/>
        <w:spacing w:after="0" w:line="249" w:lineRule="auto"/>
        <w:rPr>
          <w:rFonts w:hint="eastAsia"/>
        </w:rPr>
      </w:pPr>
    </w:p>
    <w:p w14:paraId="05552B88">
      <w:pPr>
        <w:pStyle w:val="9"/>
        <w:spacing w:after="0" w:line="249" w:lineRule="auto"/>
        <w:rPr>
          <w:rFonts w:hint="eastAsia"/>
        </w:rPr>
      </w:pPr>
      <w:r>
        <w:rPr>
          <w:rFonts w:hint="eastAsia"/>
        </w:rPr>
        <w:t>For example, at the very outset of the book, Christ comforts his pilgrim people with a majestic vision of his own divine nature, covenant faithfulness, and Messianic glory (1:9-20).</w:t>
      </w:r>
    </w:p>
    <w:p w14:paraId="731332BF">
      <w:pPr>
        <w:pStyle w:val="9"/>
        <w:spacing w:after="0" w:line="249" w:lineRule="auto"/>
        <w:rPr>
          <w:rFonts w:hint="eastAsia"/>
        </w:rPr>
      </w:pPr>
      <w:r>
        <w:rPr>
          <w:rFonts w:hint="eastAsia"/>
        </w:rPr>
        <w:t>例如，在书的开篇，基督用一个关于祂自己神圣本性、守约信实和弥赛亚荣耀的威严异象来安慰祂的朝圣子民（1:9-20）。</w:t>
      </w:r>
    </w:p>
    <w:p w14:paraId="2BE9AFE9">
      <w:pPr>
        <w:pStyle w:val="9"/>
        <w:spacing w:after="0" w:line="249" w:lineRule="auto"/>
        <w:rPr>
          <w:rFonts w:hint="eastAsia"/>
        </w:rPr>
      </w:pPr>
    </w:p>
    <w:p w14:paraId="4DA10B50">
      <w:pPr>
        <w:pStyle w:val="9"/>
        <w:spacing w:after="0" w:line="249" w:lineRule="auto"/>
        <w:rPr>
          <w:rFonts w:hint="eastAsia"/>
        </w:rPr>
      </w:pPr>
      <w:r>
        <w:rPr>
          <w:rFonts w:hint="eastAsia"/>
        </w:rPr>
        <w:t>He then comforts them with manifold assurances of his presence in, and faithful watch-care over, all his churches, even as he manifests the tough love that he feels for each one (2:1-3:22).</w:t>
      </w:r>
    </w:p>
    <w:p w14:paraId="3E66BFFC">
      <w:pPr>
        <w:pStyle w:val="9"/>
        <w:spacing w:after="0" w:line="249" w:lineRule="auto"/>
        <w:rPr>
          <w:rFonts w:hint="eastAsia"/>
        </w:rPr>
      </w:pPr>
      <w:r>
        <w:rPr>
          <w:rFonts w:hint="eastAsia"/>
        </w:rPr>
        <w:t>然后，祂用祂在所有教会中的同在和忠心看顾的多重保证来安慰他们，同时也彰显了祂对每一个教会所怀有的严厉之爱（2:1-3:22）。</w:t>
      </w:r>
    </w:p>
    <w:p w14:paraId="52C7143C">
      <w:pPr>
        <w:pStyle w:val="9"/>
        <w:spacing w:after="0" w:line="249" w:lineRule="auto"/>
        <w:rPr>
          <w:rFonts w:hint="eastAsia"/>
        </w:rPr>
      </w:pPr>
    </w:p>
    <w:p w14:paraId="08DD369D">
      <w:pPr>
        <w:pStyle w:val="9"/>
        <w:spacing w:after="0" w:line="249" w:lineRule="auto"/>
        <w:rPr>
          <w:rFonts w:hint="eastAsia"/>
        </w:rPr>
      </w:pPr>
      <w:r>
        <w:rPr>
          <w:rFonts w:hint="eastAsia"/>
        </w:rPr>
        <w:t>He comforts them with rich, symbolic representations of his heavenly, mediatorial reign, the saints share in it, and his absolute sovereignty over all remaining history (4:1-5:14).</w:t>
      </w:r>
    </w:p>
    <w:p w14:paraId="0F6F5711">
      <w:pPr>
        <w:pStyle w:val="9"/>
        <w:spacing w:after="0" w:line="249" w:lineRule="auto"/>
        <w:rPr>
          <w:rFonts w:hint="eastAsia"/>
        </w:rPr>
      </w:pPr>
      <w:r>
        <w:rPr>
          <w:rFonts w:hint="eastAsia"/>
        </w:rPr>
        <w:t>祂用丰富、象征性的表述来安慰他们，这些表述关乎祂在天上的中保统治，圣徒在其中的份，以及祂对所有剩余历史的绝对主权（4:1-5:14）。</w:t>
      </w:r>
    </w:p>
    <w:p w14:paraId="44692EF0">
      <w:pPr>
        <w:pStyle w:val="9"/>
        <w:spacing w:after="0" w:line="249" w:lineRule="auto"/>
        <w:rPr>
          <w:rFonts w:hint="eastAsia"/>
        </w:rPr>
      </w:pPr>
    </w:p>
    <w:p w14:paraId="3124A619">
      <w:pPr>
        <w:pStyle w:val="9"/>
        <w:spacing w:after="0" w:line="249" w:lineRule="auto"/>
        <w:rPr>
          <w:rFonts w:hint="eastAsia"/>
        </w:rPr>
      </w:pPr>
      <w:r>
        <w:rPr>
          <w:rFonts w:hint="eastAsia"/>
        </w:rPr>
        <w:t>He comforts them with scenes of the spirits of departed believers safely home in heaven, praying for divine justice, and waiting eagerly for the resurrection of their bodies at his return to the earth (6:9-11, 20:4-6).</w:t>
      </w:r>
    </w:p>
    <w:p w14:paraId="3643BE19">
      <w:pPr>
        <w:pStyle w:val="9"/>
        <w:spacing w:after="0" w:line="249" w:lineRule="auto"/>
        <w:rPr>
          <w:rFonts w:hint="eastAsia"/>
        </w:rPr>
      </w:pPr>
      <w:r>
        <w:rPr>
          <w:rFonts w:hint="eastAsia"/>
        </w:rPr>
        <w:t>祂用已故信徒的灵魂安全回到天上，为神圣的公义祷告，并热切地等待他们身体在祂回到地上时复活的场景来安慰他们（6:9-11, 20:4-6）。</w:t>
      </w:r>
    </w:p>
    <w:p w14:paraId="733538E8">
      <w:pPr>
        <w:pStyle w:val="9"/>
        <w:spacing w:after="0" w:line="249" w:lineRule="auto"/>
        <w:rPr>
          <w:rFonts w:hint="eastAsia"/>
        </w:rPr>
      </w:pPr>
    </w:p>
    <w:p w14:paraId="519B7282">
      <w:pPr>
        <w:pStyle w:val="9"/>
        <w:spacing w:after="0" w:line="249" w:lineRule="auto"/>
        <w:rPr>
          <w:rFonts w:hint="eastAsia"/>
        </w:rPr>
      </w:pPr>
      <w:r>
        <w:rPr>
          <w:rFonts w:hint="eastAsia"/>
        </w:rPr>
        <w:t>He comforts them with portraits of his own Parousia in power and glory at the end of the age (14:14-20, 19:11-21).</w:t>
      </w:r>
    </w:p>
    <w:p w14:paraId="19F49E0A">
      <w:pPr>
        <w:pStyle w:val="9"/>
        <w:spacing w:after="0" w:line="249" w:lineRule="auto"/>
        <w:rPr>
          <w:rFonts w:hint="eastAsia"/>
        </w:rPr>
      </w:pPr>
      <w:r>
        <w:rPr>
          <w:rFonts w:hint="eastAsia"/>
        </w:rPr>
        <w:t>祂用祂自己在世代末了带着权能和荣耀再临的画像来安慰他们（14:14-20, 19:11-21）。</w:t>
      </w:r>
    </w:p>
    <w:p w14:paraId="6E742965">
      <w:pPr>
        <w:pStyle w:val="9"/>
        <w:spacing w:after="0" w:line="249" w:lineRule="auto"/>
        <w:rPr>
          <w:rFonts w:hint="eastAsia"/>
        </w:rPr>
      </w:pPr>
    </w:p>
    <w:p w14:paraId="7FDC5ACD">
      <w:pPr>
        <w:pStyle w:val="9"/>
        <w:spacing w:after="0" w:line="249" w:lineRule="auto"/>
        <w:rPr>
          <w:rFonts w:hint="eastAsia"/>
        </w:rPr>
      </w:pPr>
      <w:r>
        <w:rPr>
          <w:rFonts w:hint="eastAsia"/>
        </w:rPr>
        <w:t>In conjunction with that, he also comforts them with visions of ultimate justice: of final rewards for the faithful saints, and of final retribution against the persecuting and God-hating “inhabitants of the earth” (6:9-17, 11:11-19, 15:1-4, 16:17-21, 20:7-15).</w:t>
      </w:r>
    </w:p>
    <w:p w14:paraId="50B395BB">
      <w:pPr>
        <w:pStyle w:val="9"/>
        <w:spacing w:after="0" w:line="249" w:lineRule="auto"/>
        <w:rPr>
          <w:rFonts w:hint="eastAsia"/>
        </w:rPr>
      </w:pPr>
      <w:r>
        <w:rPr>
          <w:rFonts w:hint="eastAsia"/>
        </w:rPr>
        <w:t>与此相结合，祂也用终极公义的异象来安慰他们：即忠心圣徒的最终奖赏，以及对迫害和恨恶神的“地上居民”的最终报应（6:9-17, 11:11-19, 15:1-4, 16:17-21, 20:7-15）。</w:t>
      </w:r>
    </w:p>
    <w:p w14:paraId="7A0BF473">
      <w:pPr>
        <w:pStyle w:val="9"/>
        <w:spacing w:after="0" w:line="249" w:lineRule="auto"/>
        <w:rPr>
          <w:rFonts w:hint="eastAsia"/>
        </w:rPr>
      </w:pPr>
    </w:p>
    <w:p w14:paraId="54341EB4">
      <w:pPr>
        <w:pStyle w:val="9"/>
        <w:spacing w:after="0" w:line="249" w:lineRule="auto"/>
        <w:rPr>
          <w:rFonts w:hint="eastAsia"/>
        </w:rPr>
      </w:pPr>
      <w:r>
        <w:rPr>
          <w:rFonts w:hint="eastAsia"/>
        </w:rPr>
        <w:t>Similarly, he comforts them with several “sneak previews” of the glorified Church surrounding the throne of God Triune, exultantly lifting up the eternal worship that will fill the World to Come (7:9-17, 14:1-5).</w:t>
      </w:r>
    </w:p>
    <w:p w14:paraId="662FBB52">
      <w:pPr>
        <w:pStyle w:val="9"/>
        <w:spacing w:after="0" w:line="249" w:lineRule="auto"/>
        <w:rPr>
          <w:rFonts w:hint="eastAsia"/>
        </w:rPr>
      </w:pPr>
      <w:r>
        <w:rPr>
          <w:rFonts w:hint="eastAsia"/>
        </w:rPr>
        <w:t>同样，祂用几个“预告片”来安慰他们，这些预告片描绘了得荣耀的教会围绕三一神的宝座，欢欣鼓舞地献上将充满未来世界的永恒敬拜（7:9-17, 14:1-5）。</w:t>
      </w:r>
    </w:p>
    <w:p w14:paraId="1FE76298">
      <w:pPr>
        <w:pStyle w:val="9"/>
        <w:spacing w:after="0" w:line="249" w:lineRule="auto"/>
        <w:rPr>
          <w:rFonts w:hint="eastAsia"/>
        </w:rPr>
      </w:pPr>
    </w:p>
    <w:p w14:paraId="0930BBDA">
      <w:pPr>
        <w:pStyle w:val="9"/>
        <w:spacing w:after="0" w:line="249" w:lineRule="auto"/>
        <w:rPr>
          <w:rFonts w:hint="eastAsia"/>
        </w:rPr>
      </w:pPr>
      <w:r>
        <w:rPr>
          <w:rFonts w:hint="eastAsia"/>
        </w:rPr>
        <w:t>And, of course, he comforts them with two luminous chapters supplying mysterious, thought-provoking glimpses of the (eternal) life of the saints in the new heavens and the new earth (Rev. 21-22).</w:t>
      </w:r>
    </w:p>
    <w:p w14:paraId="0D8D1B4C">
      <w:pPr>
        <w:pStyle w:val="9"/>
        <w:spacing w:after="0" w:line="249" w:lineRule="auto"/>
        <w:rPr>
          <w:rFonts w:hint="eastAsia"/>
        </w:rPr>
      </w:pPr>
      <w:r>
        <w:rPr>
          <w:rFonts w:hint="eastAsia"/>
        </w:rPr>
        <w:t>当然，祂也用两章光辉的经文来安慰他们，这些经文提供了关于圣徒在新天新地中（永恒）生活的神秘、发人深省的一瞥（启 21-22）。</w:t>
      </w:r>
    </w:p>
    <w:p w14:paraId="22FCB386">
      <w:pPr>
        <w:pStyle w:val="9"/>
        <w:spacing w:after="0" w:line="249" w:lineRule="auto"/>
        <w:rPr>
          <w:rFonts w:hint="eastAsia"/>
        </w:rPr>
      </w:pPr>
    </w:p>
    <w:p w14:paraId="1469CECE">
      <w:pPr>
        <w:pStyle w:val="9"/>
        <w:spacing w:after="0" w:line="249" w:lineRule="auto"/>
        <w:rPr>
          <w:rFonts w:hint="eastAsia"/>
        </w:rPr>
      </w:pPr>
      <w:r>
        <w:rPr>
          <w:rFonts w:hint="eastAsia"/>
        </w:rPr>
        <w:t>Conclusion</w:t>
      </w:r>
    </w:p>
    <w:p w14:paraId="5A48F0DA">
      <w:pPr>
        <w:pStyle w:val="9"/>
        <w:spacing w:after="0" w:line="249" w:lineRule="auto"/>
        <w:rPr>
          <w:rFonts w:hint="eastAsia"/>
        </w:rPr>
      </w:pPr>
      <w:r>
        <w:rPr>
          <w:rFonts w:hint="eastAsia"/>
        </w:rPr>
        <w:t>结论</w:t>
      </w:r>
    </w:p>
    <w:p w14:paraId="1A0C8C39">
      <w:pPr>
        <w:pStyle w:val="9"/>
        <w:spacing w:after="0" w:line="249" w:lineRule="auto"/>
        <w:rPr>
          <w:rFonts w:hint="eastAsia"/>
        </w:rPr>
      </w:pPr>
    </w:p>
    <w:p w14:paraId="768B4557">
      <w:pPr>
        <w:pStyle w:val="9"/>
        <w:spacing w:after="0" w:line="249" w:lineRule="auto"/>
        <w:rPr>
          <w:rFonts w:hint="eastAsia"/>
        </w:rPr>
      </w:pPr>
      <w:r>
        <w:rPr>
          <w:rFonts w:hint="eastAsia"/>
        </w:rPr>
        <w:t>Summing up, we have seen that the great purpose of the Revelation is prophetic; that in it, God, through Christ, speaks to the universal Church in order to teach, warn, exhort, and comfort her, so that she might make a worthy and triumphant pilgrimage through the wilderness of this world into the eschatological Promised Land.</w:t>
      </w:r>
    </w:p>
    <w:p w14:paraId="5CF51C92">
      <w:pPr>
        <w:pStyle w:val="9"/>
        <w:spacing w:after="0" w:line="249" w:lineRule="auto"/>
        <w:rPr>
          <w:rFonts w:hint="eastAsia"/>
        </w:rPr>
      </w:pPr>
      <w:r>
        <w:rPr>
          <w:rFonts w:hint="eastAsia"/>
        </w:rPr>
        <w:t>总而言之，我们已经看到启示录的伟大目的是预言性的；在其中，神通过基督对普世的教会说话，以便教导、警告、劝勉和安慰她，使她可以经过这世界的旷野，进行一次有价值和得胜的朝圣，进入末世的应许之地。</w:t>
      </w:r>
    </w:p>
    <w:p w14:paraId="470EE5BD">
      <w:pPr>
        <w:pStyle w:val="9"/>
        <w:spacing w:after="0" w:line="249" w:lineRule="auto"/>
        <w:rPr>
          <w:rFonts w:hint="eastAsia"/>
        </w:rPr>
      </w:pPr>
    </w:p>
    <w:p w14:paraId="22FEA5D4">
      <w:pPr>
        <w:pStyle w:val="9"/>
        <w:spacing w:after="0" w:line="249" w:lineRule="auto"/>
        <w:rPr>
          <w:rFonts w:hint="eastAsia"/>
        </w:rPr>
      </w:pPr>
      <w:r>
        <w:rPr>
          <w:rFonts w:hint="eastAsia"/>
        </w:rPr>
        <w:t>This is highly relevant to Part 4 of our study for the very important reason that it naturally and powerfully inclines us to an “ecclesiastical” interpretation of Revelation 20.</w:t>
      </w:r>
    </w:p>
    <w:p w14:paraId="1F4B37C0">
      <w:pPr>
        <w:pStyle w:val="9"/>
        <w:spacing w:after="0" w:line="249" w:lineRule="auto"/>
        <w:rPr>
          <w:rFonts w:hint="eastAsia"/>
        </w:rPr>
      </w:pPr>
      <w:r>
        <w:rPr>
          <w:rFonts w:hint="eastAsia"/>
        </w:rPr>
        <w:t>这与我们第四部分的研究高度相关，一个非常重要的原因是，它自然而有力地使我们倾向于对启示录第20章进行一种“教会论的”解释。</w:t>
      </w:r>
    </w:p>
    <w:p w14:paraId="2844DD21">
      <w:pPr>
        <w:pStyle w:val="9"/>
        <w:spacing w:after="0" w:line="249" w:lineRule="auto"/>
        <w:rPr>
          <w:rFonts w:hint="eastAsia"/>
        </w:rPr>
      </w:pPr>
    </w:p>
    <w:p w14:paraId="3D57D41F">
      <w:pPr>
        <w:pStyle w:val="9"/>
        <w:spacing w:after="0" w:line="249" w:lineRule="auto"/>
        <w:rPr>
          <w:rFonts w:hint="eastAsia"/>
        </w:rPr>
      </w:pPr>
      <w:r>
        <w:rPr>
          <w:rFonts w:hint="eastAsia"/>
        </w:rPr>
        <w:t>In particular, it suggests that Revelation 20 cannot possibly be what many premillennarians claim it is: a divine afterthought, in which the Spirit suddenly shifts his focus from the Church to ethnic Israel, and from the Church era to a future Millennium.</w:t>
      </w:r>
    </w:p>
    <w:p w14:paraId="75485575">
      <w:pPr>
        <w:pStyle w:val="9"/>
        <w:spacing w:after="0" w:line="249" w:lineRule="auto"/>
        <w:rPr>
          <w:rFonts w:hint="eastAsia"/>
        </w:rPr>
      </w:pPr>
      <w:r>
        <w:rPr>
          <w:rFonts w:hint="eastAsia"/>
        </w:rPr>
        <w:t>特别是，它表明启示录第20章不可能是许多前千禧年论者所声称的那样：一个神圣的 afterthought，在其中圣灵突然将祂的焦点从教会转向以色列民族，从教会时代转向一个未来的千禧年。</w:t>
      </w:r>
    </w:p>
    <w:p w14:paraId="01FF1030">
      <w:pPr>
        <w:pStyle w:val="9"/>
        <w:spacing w:after="0" w:line="249" w:lineRule="auto"/>
        <w:rPr>
          <w:rFonts w:hint="eastAsia"/>
        </w:rPr>
      </w:pPr>
    </w:p>
    <w:p w14:paraId="1571C2E5">
      <w:pPr>
        <w:pStyle w:val="9"/>
        <w:spacing w:after="0" w:line="249" w:lineRule="auto"/>
        <w:rPr>
          <w:rFonts w:hint="eastAsia"/>
        </w:rPr>
      </w:pPr>
      <w:r>
        <w:rPr>
          <w:rFonts w:hint="eastAsia"/>
        </w:rPr>
        <w:t>No, just like the rest of the book, chapter 20 must also focus on the Church, and on the present evil age through which the Church makes her difficult pilgrimage (Rev. 12).</w:t>
      </w:r>
    </w:p>
    <w:p w14:paraId="0EC45818">
      <w:pPr>
        <w:pStyle w:val="9"/>
        <w:spacing w:after="0" w:line="249" w:lineRule="auto"/>
        <w:rPr>
          <w:rFonts w:hint="eastAsia"/>
        </w:rPr>
      </w:pPr>
      <w:r>
        <w:rPr>
          <w:rFonts w:hint="eastAsia"/>
        </w:rPr>
        <w:t>不，就像书的其余部分一样，第20章也必须聚焦于教会，以及教会正在经历其艰难朝圣之旅的现今邪恶世代（启 12）。</w:t>
      </w:r>
    </w:p>
    <w:p w14:paraId="440B6A4C">
      <w:pPr>
        <w:pStyle w:val="9"/>
        <w:spacing w:after="0" w:line="249" w:lineRule="auto"/>
        <w:rPr>
          <w:rFonts w:hint="eastAsia"/>
        </w:rPr>
      </w:pPr>
    </w:p>
    <w:p w14:paraId="77C15E72">
      <w:pPr>
        <w:pStyle w:val="9"/>
        <w:spacing w:after="0" w:line="249" w:lineRule="auto"/>
        <w:rPr>
          <w:rFonts w:hint="eastAsia"/>
        </w:rPr>
      </w:pPr>
      <w:r>
        <w:rPr>
          <w:rFonts w:hint="eastAsia"/>
        </w:rPr>
        <w:t>As we have just seen, this conclusion flows naturally from the One who gave it (the Head of the Church); from the ones to whom he gave it (the seven churches, emblematic of the universal Church); and from the purposes for which he gave it (to teach, warn, and comfort the Church).</w:t>
      </w:r>
    </w:p>
    <w:p w14:paraId="6C437B9F">
      <w:pPr>
        <w:pStyle w:val="9"/>
        <w:spacing w:after="0" w:line="249" w:lineRule="auto"/>
        <w:rPr>
          <w:rFonts w:hint="eastAsia"/>
        </w:rPr>
      </w:pPr>
      <w:r>
        <w:rPr>
          <w:rFonts w:hint="eastAsia"/>
        </w:rPr>
        <w:t>正如我们刚才所见，这个结论自然地源于赐予它的一位（教会的元首）；源于祂赐予的对象（七个教会，象征着普世的教会）；也源于祂赐予它的目的（为了教导、警告和安慰教会）。</w:t>
      </w:r>
    </w:p>
    <w:p w14:paraId="3476CF59">
      <w:pPr>
        <w:pStyle w:val="9"/>
        <w:spacing w:after="0" w:line="249" w:lineRule="auto"/>
        <w:rPr>
          <w:rFonts w:hint="eastAsia"/>
        </w:rPr>
      </w:pPr>
    </w:p>
    <w:p w14:paraId="7C625991">
      <w:pPr>
        <w:pStyle w:val="9"/>
        <w:spacing w:after="0" w:line="249" w:lineRule="auto"/>
        <w:rPr>
          <w:rFonts w:hint="eastAsia"/>
        </w:rPr>
      </w:pPr>
      <w:r>
        <w:rPr>
          <w:rFonts w:hint="eastAsia"/>
        </w:rPr>
        <w:t>Moreover, as we shall soon see, it also flows naturally from a careful study of the structure, contents, and symbolism of Revelation 20 itself.</w:t>
      </w:r>
    </w:p>
    <w:p w14:paraId="679CD006">
      <w:pPr>
        <w:pStyle w:val="9"/>
        <w:spacing w:after="0" w:line="249" w:lineRule="auto"/>
        <w:rPr>
          <w:rFonts w:hint="eastAsia"/>
        </w:rPr>
      </w:pPr>
      <w:r>
        <w:rPr>
          <w:rFonts w:hint="eastAsia"/>
        </w:rPr>
        <w:t>此外，正如我们很快将要看到的，它也自然地源于对启示录第20章本身的结构、内容和象征主义的仔细研究。</w:t>
      </w:r>
    </w:p>
    <w:p w14:paraId="7AC0B09C">
      <w:pPr>
        <w:pStyle w:val="9"/>
        <w:spacing w:after="0" w:line="249" w:lineRule="auto"/>
        <w:rPr>
          <w:rFonts w:hint="eastAsia"/>
        </w:rPr>
      </w:pPr>
    </w:p>
    <w:p w14:paraId="71DC07FF">
      <w:pPr>
        <w:pStyle w:val="9"/>
        <w:spacing w:after="0" w:line="249" w:lineRule="auto"/>
        <w:rPr>
          <w:rFonts w:hint="eastAsia"/>
        </w:rPr>
      </w:pPr>
      <w:r>
        <w:rPr>
          <w:rFonts w:hint="eastAsia"/>
        </w:rPr>
        <w:t>The Literary Genre of the Revelation</w:t>
      </w:r>
    </w:p>
    <w:p w14:paraId="3F2BD2E4">
      <w:pPr>
        <w:pStyle w:val="9"/>
        <w:spacing w:after="0" w:line="249" w:lineRule="auto"/>
        <w:rPr>
          <w:rFonts w:hint="eastAsia"/>
        </w:rPr>
      </w:pPr>
      <w:r>
        <w:rPr>
          <w:rFonts w:hint="eastAsia"/>
        </w:rPr>
        <w:t>启示录的文学体裁</w:t>
      </w:r>
    </w:p>
    <w:p w14:paraId="16335A58">
      <w:pPr>
        <w:pStyle w:val="9"/>
        <w:spacing w:after="0" w:line="249" w:lineRule="auto"/>
        <w:rPr>
          <w:rFonts w:hint="eastAsia"/>
        </w:rPr>
      </w:pPr>
    </w:p>
    <w:p w14:paraId="35BA96C6">
      <w:pPr>
        <w:pStyle w:val="9"/>
        <w:spacing w:after="0" w:line="249" w:lineRule="auto"/>
        <w:rPr>
          <w:rFonts w:hint="eastAsia"/>
        </w:rPr>
      </w:pPr>
      <w:r>
        <w:rPr>
          <w:rFonts w:hint="eastAsia"/>
        </w:rPr>
        <w:t>The Revelation is an outstanding example of a literary genre called biblical apocalyptic.</w:t>
      </w:r>
    </w:p>
    <w:p w14:paraId="7353FAEA">
      <w:pPr>
        <w:pStyle w:val="9"/>
        <w:spacing w:after="0" w:line="249" w:lineRule="auto"/>
        <w:rPr>
          <w:rFonts w:hint="eastAsia"/>
        </w:rPr>
      </w:pPr>
      <w:r>
        <w:rPr>
          <w:rFonts w:hint="eastAsia"/>
        </w:rPr>
        <w:t>启示录是被称为圣经启示文学的一种文学体裁的杰出范例。</w:t>
      </w:r>
    </w:p>
    <w:p w14:paraId="221CA13B">
      <w:pPr>
        <w:pStyle w:val="9"/>
        <w:spacing w:after="0" w:line="249" w:lineRule="auto"/>
        <w:rPr>
          <w:rFonts w:hint="eastAsia"/>
        </w:rPr>
      </w:pPr>
    </w:p>
    <w:p w14:paraId="36409EE4">
      <w:pPr>
        <w:pStyle w:val="9"/>
        <w:spacing w:after="0" w:line="249" w:lineRule="auto"/>
        <w:rPr>
          <w:rFonts w:hint="eastAsia"/>
        </w:rPr>
      </w:pPr>
      <w:r>
        <w:rPr>
          <w:rFonts w:hint="eastAsia"/>
        </w:rPr>
        <w:t>The Greek word apocalypsis conveys the idea of the removal of a veil, so that something once hidden is now revealed.</w:t>
      </w:r>
    </w:p>
    <w:p w14:paraId="454D03A6">
      <w:pPr>
        <w:pStyle w:val="9"/>
        <w:spacing w:after="0" w:line="249" w:lineRule="auto"/>
        <w:rPr>
          <w:rFonts w:hint="eastAsia"/>
        </w:rPr>
      </w:pPr>
      <w:r>
        <w:rPr>
          <w:rFonts w:hint="eastAsia"/>
        </w:rPr>
        <w:t>希腊词apocalypsis传达了揭开面纱的意思，使曾经隐藏的东西现在显露出来。</w:t>
      </w:r>
    </w:p>
    <w:p w14:paraId="0F3A0673">
      <w:pPr>
        <w:pStyle w:val="9"/>
        <w:spacing w:after="0" w:line="249" w:lineRule="auto"/>
        <w:rPr>
          <w:rFonts w:hint="eastAsia"/>
        </w:rPr>
      </w:pPr>
    </w:p>
    <w:p w14:paraId="23A8C6E0">
      <w:pPr>
        <w:pStyle w:val="9"/>
        <w:spacing w:after="0" w:line="249" w:lineRule="auto"/>
        <w:rPr>
          <w:rFonts w:hint="eastAsia"/>
        </w:rPr>
      </w:pPr>
      <w:r>
        <w:rPr>
          <w:rFonts w:hint="eastAsia"/>
        </w:rPr>
        <w:t>There is, then, a sense in which one might say that all Scripture is “apocalyptic,” since in all Scripture there is an unveiling of special God-given truths that sinful man could not otherwise know, understand, or enjoy.</w:t>
      </w:r>
    </w:p>
    <w:p w14:paraId="5A00FBE7">
      <w:pPr>
        <w:pStyle w:val="9"/>
        <w:spacing w:after="0" w:line="249" w:lineRule="auto"/>
        <w:rPr>
          <w:rFonts w:hint="eastAsia"/>
        </w:rPr>
      </w:pPr>
      <w:r>
        <w:rPr>
          <w:rFonts w:hint="eastAsia"/>
        </w:rPr>
        <w:t>那么，在某种意义上，可以说所有圣经都是“启示性的”，因为在所有圣经中，都揭示了罪人若非神特别赐予，否则无法知道、理解或享受的真理。</w:t>
      </w:r>
    </w:p>
    <w:p w14:paraId="349DF234">
      <w:pPr>
        <w:pStyle w:val="9"/>
        <w:spacing w:after="0" w:line="249" w:lineRule="auto"/>
        <w:rPr>
          <w:rFonts w:hint="eastAsia"/>
        </w:rPr>
      </w:pPr>
    </w:p>
    <w:p w14:paraId="6A38112D">
      <w:pPr>
        <w:pStyle w:val="9"/>
        <w:spacing w:after="0" w:line="249" w:lineRule="auto"/>
        <w:rPr>
          <w:rFonts w:hint="eastAsia"/>
        </w:rPr>
      </w:pPr>
      <w:r>
        <w:rPr>
          <w:rFonts w:hint="eastAsia"/>
        </w:rPr>
        <w:t>However, as a general rule, theologians use this word far more narrowly.</w:t>
      </w:r>
    </w:p>
    <w:p w14:paraId="748A7E49">
      <w:pPr>
        <w:pStyle w:val="9"/>
        <w:spacing w:after="0" w:line="249" w:lineRule="auto"/>
        <w:rPr>
          <w:rFonts w:hint="eastAsia"/>
        </w:rPr>
      </w:pPr>
      <w:r>
        <w:rPr>
          <w:rFonts w:hint="eastAsia"/>
        </w:rPr>
        <w:t>然而，通常情况下，神学家们更狭义地使用这个词。</w:t>
      </w:r>
    </w:p>
    <w:p w14:paraId="005AB8C2">
      <w:pPr>
        <w:pStyle w:val="9"/>
        <w:spacing w:after="0" w:line="249" w:lineRule="auto"/>
        <w:rPr>
          <w:rFonts w:hint="eastAsia"/>
        </w:rPr>
      </w:pPr>
    </w:p>
    <w:p w14:paraId="2A742193">
      <w:pPr>
        <w:pStyle w:val="9"/>
        <w:spacing w:after="0" w:line="249" w:lineRule="auto"/>
        <w:rPr>
          <w:rFonts w:hint="eastAsia"/>
        </w:rPr>
      </w:pPr>
      <w:r>
        <w:rPr>
          <w:rFonts w:hint="eastAsia"/>
        </w:rPr>
        <w:t>That is, they use it to speak of a particular kind of Scripture.</w:t>
      </w:r>
    </w:p>
    <w:p w14:paraId="36B72EAD">
      <w:pPr>
        <w:pStyle w:val="9"/>
        <w:spacing w:after="0" w:line="249" w:lineRule="auto"/>
        <w:rPr>
          <w:rFonts w:hint="eastAsia"/>
        </w:rPr>
      </w:pPr>
      <w:r>
        <w:rPr>
          <w:rFonts w:hint="eastAsia"/>
        </w:rPr>
        <w:t>也就是说，他们用它来指一种特定的经文。</w:t>
      </w:r>
    </w:p>
    <w:p w14:paraId="7AF0D875">
      <w:pPr>
        <w:pStyle w:val="9"/>
        <w:spacing w:after="0" w:line="249" w:lineRule="auto"/>
        <w:rPr>
          <w:rFonts w:hint="eastAsia"/>
        </w:rPr>
      </w:pPr>
    </w:p>
    <w:p w14:paraId="3150126F">
      <w:pPr>
        <w:pStyle w:val="9"/>
        <w:spacing w:after="0" w:line="249" w:lineRule="auto"/>
        <w:rPr>
          <w:rFonts w:hint="eastAsia"/>
        </w:rPr>
      </w:pPr>
      <w:r>
        <w:rPr>
          <w:rFonts w:hint="eastAsia"/>
        </w:rPr>
        <w:t>For such as these, biblical apocalyptic may be defined as predictive prophecy in which the Holy Spirit —using vision and symbol—unveils divine truth about the course, character, and consummation of Salvation History.</w:t>
      </w:r>
    </w:p>
    <w:p w14:paraId="40436D60">
      <w:pPr>
        <w:pStyle w:val="9"/>
        <w:spacing w:after="0" w:line="249" w:lineRule="auto"/>
        <w:rPr>
          <w:rFonts w:hint="eastAsia"/>
        </w:rPr>
      </w:pPr>
      <w:r>
        <w:rPr>
          <w:rFonts w:hint="eastAsia"/>
        </w:rPr>
        <w:t>对于这些人来说，圣经启示文学可以被定义为一种预言，在其中圣灵——使用异象和象征——揭示了关于救赎历史进程、特征和最终成全的神圣真理。</w:t>
      </w:r>
    </w:p>
    <w:p w14:paraId="4CAA42AE">
      <w:pPr>
        <w:pStyle w:val="9"/>
        <w:spacing w:after="0" w:line="249" w:lineRule="auto"/>
        <w:rPr>
          <w:rFonts w:hint="eastAsia"/>
        </w:rPr>
      </w:pPr>
    </w:p>
    <w:p w14:paraId="2AC55A40">
      <w:pPr>
        <w:pStyle w:val="9"/>
        <w:spacing w:after="0" w:line="249" w:lineRule="auto"/>
        <w:rPr>
          <w:rFonts w:hint="eastAsia"/>
        </w:rPr>
      </w:pPr>
      <w:r>
        <w:rPr>
          <w:rFonts w:hint="eastAsia"/>
        </w:rPr>
        <w:t>In our discussion of OTKP, we have run across this kind of literature more than once.</w:t>
      </w:r>
    </w:p>
    <w:p w14:paraId="5BF87A4B">
      <w:pPr>
        <w:pStyle w:val="9"/>
        <w:spacing w:after="0" w:line="249" w:lineRule="auto"/>
        <w:rPr>
          <w:rFonts w:hint="eastAsia"/>
        </w:rPr>
      </w:pPr>
      <w:r>
        <w:rPr>
          <w:rFonts w:hint="eastAsia"/>
        </w:rPr>
        <w:t>在我们对旧约国度预言的讨论中，我们不止一次地遇到过这种文学。</w:t>
      </w:r>
    </w:p>
    <w:p w14:paraId="778C5F0B">
      <w:pPr>
        <w:pStyle w:val="9"/>
        <w:spacing w:after="0" w:line="249" w:lineRule="auto"/>
        <w:rPr>
          <w:rFonts w:hint="eastAsia"/>
        </w:rPr>
      </w:pPr>
    </w:p>
    <w:p w14:paraId="18A7D61E">
      <w:pPr>
        <w:pStyle w:val="9"/>
        <w:spacing w:after="0" w:line="249" w:lineRule="auto"/>
        <w:rPr>
          <w:rFonts w:hint="eastAsia"/>
        </w:rPr>
      </w:pPr>
      <w:r>
        <w:rPr>
          <w:rFonts w:hint="eastAsia"/>
        </w:rPr>
        <w:t>For example, chapters 24-27 of Isaiah, which focus on final judgment and final redemption on the Day of the LORD, supply an outstanding example of pre-exilic apocalyptic.</w:t>
      </w:r>
    </w:p>
    <w:p w14:paraId="4283EE7B">
      <w:pPr>
        <w:pStyle w:val="9"/>
        <w:spacing w:after="0" w:line="249" w:lineRule="auto"/>
        <w:rPr>
          <w:rFonts w:hint="eastAsia"/>
        </w:rPr>
      </w:pPr>
      <w:r>
        <w:rPr>
          <w:rFonts w:hint="eastAsia"/>
        </w:rPr>
        <w:t>例如，以赛亚书第24-27章，聚焦于主的日子里的最后审判和最后救赎，提供了被掳前启示文学的一个杰出范例。</w:t>
      </w:r>
    </w:p>
    <w:p w14:paraId="60CAFCF1">
      <w:pPr>
        <w:pStyle w:val="9"/>
        <w:spacing w:after="0" w:line="249" w:lineRule="auto"/>
        <w:rPr>
          <w:rFonts w:hint="eastAsia"/>
        </w:rPr>
      </w:pPr>
    </w:p>
    <w:p w14:paraId="368E97EE">
      <w:pPr>
        <w:pStyle w:val="9"/>
        <w:spacing w:after="0" w:line="249" w:lineRule="auto"/>
        <w:rPr>
          <w:rFonts w:hint="eastAsia"/>
        </w:rPr>
      </w:pPr>
      <w:r>
        <w:rPr>
          <w:rFonts w:hint="eastAsia"/>
        </w:rPr>
        <w:t>From the season of Israel’s exile we have Daniel 7, which is likely the single greatest OT depiction of the course and character of Salvation History.</w:t>
      </w:r>
    </w:p>
    <w:p w14:paraId="50439F35">
      <w:pPr>
        <w:pStyle w:val="9"/>
        <w:spacing w:after="0" w:line="249" w:lineRule="auto"/>
        <w:rPr>
          <w:rFonts w:hint="eastAsia"/>
        </w:rPr>
      </w:pPr>
      <w:r>
        <w:rPr>
          <w:rFonts w:hint="eastAsia"/>
        </w:rPr>
        <w:t>从以色列被掳的季节，我们有但以理书第7章，这可能是旧约中对救赎历史进程和特征的最伟大的单一描绘。</w:t>
      </w:r>
    </w:p>
    <w:p w14:paraId="3EC6C402">
      <w:pPr>
        <w:pStyle w:val="9"/>
        <w:spacing w:after="0" w:line="249" w:lineRule="auto"/>
        <w:rPr>
          <w:rFonts w:hint="eastAsia"/>
        </w:rPr>
      </w:pPr>
    </w:p>
    <w:p w14:paraId="5B304121">
      <w:pPr>
        <w:pStyle w:val="9"/>
        <w:spacing w:after="0" w:line="249" w:lineRule="auto"/>
        <w:rPr>
          <w:rFonts w:hint="eastAsia"/>
        </w:rPr>
      </w:pPr>
      <w:r>
        <w:rPr>
          <w:rFonts w:hint="eastAsia"/>
        </w:rPr>
        <w:t>From the same era we also have Ezekiel 38-39, which is likely the single greatest OT depiction of the consummation of Salvation History; of the Last Battle and the Day of the LORD.</w:t>
      </w:r>
    </w:p>
    <w:p w14:paraId="274B3734">
      <w:pPr>
        <w:pStyle w:val="9"/>
        <w:spacing w:after="0" w:line="249" w:lineRule="auto"/>
        <w:rPr>
          <w:rFonts w:hint="eastAsia"/>
        </w:rPr>
      </w:pPr>
      <w:r>
        <w:rPr>
          <w:rFonts w:hint="eastAsia"/>
        </w:rPr>
        <w:t>从同一时代，我们还有以西结书38-39章，这可能是旧约中对救赎历史最终成全的最伟大的单一描绘；即最后的战役和主的日子。</w:t>
      </w:r>
    </w:p>
    <w:p w14:paraId="4768C400">
      <w:pPr>
        <w:pStyle w:val="9"/>
        <w:spacing w:after="0" w:line="249" w:lineRule="auto"/>
        <w:rPr>
          <w:rFonts w:hint="eastAsia"/>
        </w:rPr>
      </w:pPr>
    </w:p>
    <w:p w14:paraId="6DBA5160">
      <w:pPr>
        <w:pStyle w:val="9"/>
        <w:spacing w:after="0" w:line="249" w:lineRule="auto"/>
        <w:rPr>
          <w:rFonts w:hint="eastAsia"/>
        </w:rPr>
      </w:pPr>
      <w:r>
        <w:rPr>
          <w:rFonts w:hint="eastAsia"/>
        </w:rPr>
        <w:t>Finally, from post-exilic times we have the visions and prophecies of Zechariah, all of which again make rich use of symbols to display both the course and conclusion of Salvation History.</w:t>
      </w:r>
    </w:p>
    <w:p w14:paraId="305FF7E0">
      <w:pPr>
        <w:pStyle w:val="9"/>
        <w:spacing w:after="0" w:line="249" w:lineRule="auto"/>
        <w:rPr>
          <w:rFonts w:hint="eastAsia"/>
        </w:rPr>
      </w:pPr>
      <w:r>
        <w:rPr>
          <w:rFonts w:hint="eastAsia"/>
        </w:rPr>
        <w:t>最后，从被掳后的时期，我们有撒迦利亚的异象和预言，所有这些都再次丰富地使用象征来展示救赎历史的进程和结局。</w:t>
      </w:r>
    </w:p>
    <w:p w14:paraId="67041F30">
      <w:pPr>
        <w:pStyle w:val="9"/>
        <w:spacing w:after="0" w:line="249" w:lineRule="auto"/>
        <w:rPr>
          <w:rFonts w:hint="eastAsia"/>
        </w:rPr>
      </w:pPr>
    </w:p>
    <w:p w14:paraId="1CEE625A">
      <w:pPr>
        <w:pStyle w:val="9"/>
        <w:spacing w:after="0" w:line="249" w:lineRule="auto"/>
        <w:rPr>
          <w:rFonts w:hint="eastAsia"/>
        </w:rPr>
      </w:pPr>
      <w:r>
        <w:rPr>
          <w:rFonts w:hint="eastAsia"/>
        </w:rPr>
        <w:t>In the NT, apocalyptic texts are less plentiful, seeing that in NT times there is an unveiling of all that God had previously hidden under type, shadow, and symbol.</w:t>
      </w:r>
    </w:p>
    <w:p w14:paraId="7A07A3CF">
      <w:pPr>
        <w:pStyle w:val="9"/>
        <w:spacing w:after="0" w:line="249" w:lineRule="auto"/>
        <w:rPr>
          <w:rFonts w:hint="eastAsia"/>
        </w:rPr>
      </w:pPr>
      <w:r>
        <w:rPr>
          <w:rFonts w:hint="eastAsia"/>
        </w:rPr>
        <w:t>在新约中，启示文学的经文较少，因为在新约时代，神先前隐藏在预表、影像和象征之下的所有事物都被揭示了出来。</w:t>
      </w:r>
    </w:p>
    <w:p w14:paraId="4034D3FD">
      <w:pPr>
        <w:pStyle w:val="9"/>
        <w:spacing w:after="0" w:line="249" w:lineRule="auto"/>
        <w:rPr>
          <w:rFonts w:hint="eastAsia"/>
        </w:rPr>
      </w:pPr>
    </w:p>
    <w:p w14:paraId="4F9CCBCD">
      <w:pPr>
        <w:pStyle w:val="9"/>
        <w:spacing w:after="0" w:line="249" w:lineRule="auto"/>
        <w:rPr>
          <w:rFonts w:hint="eastAsia"/>
        </w:rPr>
      </w:pPr>
      <w:r>
        <w:rPr>
          <w:rFonts w:hint="eastAsia"/>
        </w:rPr>
        <w:t>Nevertheless, the NT is not without its apocalyptic elements.</w:t>
      </w:r>
    </w:p>
    <w:p w14:paraId="5B76A541">
      <w:pPr>
        <w:pStyle w:val="9"/>
        <w:spacing w:after="0" w:line="249" w:lineRule="auto"/>
        <w:rPr>
          <w:rFonts w:hint="eastAsia"/>
        </w:rPr>
      </w:pPr>
      <w:r>
        <w:rPr>
          <w:rFonts w:hint="eastAsia"/>
        </w:rPr>
        <w:t>然而，新约并非没有其启示文学的元素。</w:t>
      </w:r>
    </w:p>
    <w:p w14:paraId="65D4DC10">
      <w:pPr>
        <w:pStyle w:val="9"/>
        <w:spacing w:after="0" w:line="249" w:lineRule="auto"/>
        <w:rPr>
          <w:rFonts w:hint="eastAsia"/>
        </w:rPr>
      </w:pPr>
    </w:p>
    <w:p w14:paraId="012A205D">
      <w:pPr>
        <w:pStyle w:val="9"/>
        <w:spacing w:after="0" w:line="249" w:lineRule="auto"/>
        <w:rPr>
          <w:rFonts w:hint="eastAsia"/>
        </w:rPr>
      </w:pPr>
      <w:r>
        <w:rPr>
          <w:rFonts w:hint="eastAsia"/>
        </w:rPr>
        <w:t>Some of Jesus’ parables have an apocalyptic feel to them (Mt. 13:36-43, 47-50).</w:t>
      </w:r>
    </w:p>
    <w:p w14:paraId="01812EEE">
      <w:pPr>
        <w:pStyle w:val="9"/>
        <w:spacing w:after="0" w:line="249" w:lineRule="auto"/>
        <w:rPr>
          <w:rFonts w:hint="eastAsia"/>
        </w:rPr>
      </w:pPr>
      <w:r>
        <w:rPr>
          <w:rFonts w:hint="eastAsia"/>
        </w:rPr>
        <w:t>耶稣的一些比喻带有启示文学的感觉（太 13:36-43, 47-50）。</w:t>
      </w:r>
    </w:p>
    <w:p w14:paraId="4F6E2956">
      <w:pPr>
        <w:pStyle w:val="9"/>
        <w:spacing w:after="0" w:line="249" w:lineRule="auto"/>
        <w:rPr>
          <w:rFonts w:hint="eastAsia"/>
        </w:rPr>
      </w:pPr>
    </w:p>
    <w:p w14:paraId="199DCEC7">
      <w:pPr>
        <w:pStyle w:val="9"/>
        <w:spacing w:after="0" w:line="249" w:lineRule="auto"/>
        <w:rPr>
          <w:rFonts w:hint="eastAsia"/>
        </w:rPr>
      </w:pPr>
      <w:r>
        <w:rPr>
          <w:rFonts w:hint="eastAsia"/>
        </w:rPr>
        <w:t>His Olivet Discourse, alluding as it does to a number of OTKP’s, contains the marks of biblical apocalyptic (Mt. 24, Mark 13).</w:t>
      </w:r>
    </w:p>
    <w:p w14:paraId="1271CD0D">
      <w:pPr>
        <w:pStyle w:val="9"/>
        <w:spacing w:after="0" w:line="249" w:lineRule="auto"/>
        <w:rPr>
          <w:rFonts w:hint="eastAsia"/>
        </w:rPr>
      </w:pPr>
      <w:r>
        <w:rPr>
          <w:rFonts w:hint="eastAsia"/>
        </w:rPr>
        <w:t>祂的橄榄山讲论，因为它提到了许多旧约国度预言，所以包含了圣经启示文学的标记（太 24, 可 13）。</w:t>
      </w:r>
    </w:p>
    <w:p w14:paraId="7460CA85">
      <w:pPr>
        <w:pStyle w:val="9"/>
        <w:spacing w:after="0" w:line="249" w:lineRule="auto"/>
        <w:rPr>
          <w:rFonts w:hint="eastAsia"/>
        </w:rPr>
      </w:pPr>
    </w:p>
    <w:p w14:paraId="7674B6BD">
      <w:pPr>
        <w:pStyle w:val="9"/>
        <w:spacing w:after="0" w:line="249" w:lineRule="auto"/>
        <w:rPr>
          <w:rFonts w:hint="eastAsia"/>
        </w:rPr>
      </w:pPr>
      <w:r>
        <w:rPr>
          <w:rFonts w:hint="eastAsia"/>
        </w:rPr>
        <w:t>Similarly, Paul’s discourse on the Consummation, written to the Thessalonian Christians, draws frequently upon OT apocalyptic texts, even as it teaches on distinctly apocalyptic themes (2 Thess. 2).</w:t>
      </w:r>
    </w:p>
    <w:p w14:paraId="009F2389">
      <w:pPr>
        <w:pStyle w:val="9"/>
        <w:spacing w:after="0" w:line="249" w:lineRule="auto"/>
        <w:rPr>
          <w:rFonts w:hint="eastAsia"/>
        </w:rPr>
      </w:pPr>
      <w:r>
        <w:rPr>
          <w:rFonts w:hint="eastAsia"/>
        </w:rPr>
        <w:t>同样，保罗写给帖撒罗尼迦基督徒的关于最终成全的讲论，也频繁地借鉴了旧约的启示文学经文，同时它也教导了明显是启示文学的主题（帖后 2）。</w:t>
      </w:r>
    </w:p>
    <w:p w14:paraId="6980453B">
      <w:pPr>
        <w:pStyle w:val="9"/>
        <w:spacing w:after="0" w:line="249" w:lineRule="auto"/>
        <w:rPr>
          <w:rFonts w:hint="eastAsia"/>
        </w:rPr>
      </w:pPr>
    </w:p>
    <w:p w14:paraId="23F742D2">
      <w:pPr>
        <w:pStyle w:val="9"/>
        <w:spacing w:after="0" w:line="249" w:lineRule="auto"/>
        <w:rPr>
          <w:rFonts w:hint="eastAsia"/>
        </w:rPr>
      </w:pPr>
      <w:r>
        <w:rPr>
          <w:rFonts w:hint="eastAsia"/>
        </w:rPr>
        <w:t>And then there is the Revelation—a book that is manifestly apocalyptic, (almost) entirely apocalyptic, and uniquely apocalyptic vis-à-vis the rest of Holy Scripture.</w:t>
      </w:r>
    </w:p>
    <w:p w14:paraId="77459746">
      <w:pPr>
        <w:pStyle w:val="9"/>
        <w:spacing w:after="0" w:line="249" w:lineRule="auto"/>
        <w:rPr>
          <w:rFonts w:hint="eastAsia"/>
        </w:rPr>
      </w:pPr>
      <w:r>
        <w:rPr>
          <w:rFonts w:hint="eastAsia"/>
        </w:rPr>
        <w:t>然后是启示录——一本明显是启示文学的书，（几乎）完全是启示文学，并且与圣经其余部分相比是独一无二的启示文学。</w:t>
      </w:r>
    </w:p>
    <w:p w14:paraId="16ABBBD8">
      <w:pPr>
        <w:pStyle w:val="9"/>
        <w:spacing w:after="0" w:line="249" w:lineRule="auto"/>
        <w:rPr>
          <w:rFonts w:hint="eastAsia"/>
        </w:rPr>
      </w:pPr>
    </w:p>
    <w:p w14:paraId="14757CF0">
      <w:pPr>
        <w:pStyle w:val="9"/>
        <w:spacing w:after="0" w:line="249" w:lineRule="auto"/>
        <w:rPr>
          <w:rFonts w:hint="eastAsia"/>
        </w:rPr>
      </w:pPr>
      <w:r>
        <w:rPr>
          <w:rFonts w:hint="eastAsia"/>
        </w:rPr>
        <w:t>Do we wish to understand it properly?</w:t>
      </w:r>
    </w:p>
    <w:p w14:paraId="5FE8DF3E">
      <w:pPr>
        <w:pStyle w:val="9"/>
        <w:spacing w:after="0" w:line="249" w:lineRule="auto"/>
        <w:rPr>
          <w:rFonts w:hint="eastAsia"/>
        </w:rPr>
      </w:pPr>
      <w:r>
        <w:rPr>
          <w:rFonts w:hint="eastAsia"/>
        </w:rPr>
        <w:t>我们希望正确地理解它吗？</w:t>
      </w:r>
    </w:p>
    <w:p w14:paraId="551C0F85">
      <w:pPr>
        <w:pStyle w:val="9"/>
        <w:spacing w:after="0" w:line="249" w:lineRule="auto"/>
        <w:rPr>
          <w:rFonts w:hint="eastAsia"/>
        </w:rPr>
      </w:pPr>
    </w:p>
    <w:p w14:paraId="7C25BB60">
      <w:pPr>
        <w:pStyle w:val="9"/>
        <w:spacing w:after="0" w:line="249" w:lineRule="auto"/>
        <w:rPr>
          <w:rFonts w:hint="eastAsia"/>
        </w:rPr>
      </w:pPr>
      <w:r>
        <w:rPr>
          <w:rFonts w:hint="eastAsia"/>
        </w:rPr>
        <w:t>If so, we cannot ignore its genre.</w:t>
      </w:r>
    </w:p>
    <w:p w14:paraId="5B943454">
      <w:pPr>
        <w:pStyle w:val="9"/>
        <w:spacing w:after="0" w:line="249" w:lineRule="auto"/>
        <w:rPr>
          <w:rFonts w:hint="eastAsia"/>
        </w:rPr>
      </w:pPr>
      <w:r>
        <w:rPr>
          <w:rFonts w:hint="eastAsia"/>
        </w:rPr>
        <w:t>如果是，我们就不能忽略它的体裁。</w:t>
      </w:r>
    </w:p>
    <w:p w14:paraId="283CBEF8">
      <w:pPr>
        <w:pStyle w:val="9"/>
        <w:spacing w:after="0" w:line="249" w:lineRule="auto"/>
        <w:rPr>
          <w:rFonts w:hint="eastAsia"/>
        </w:rPr>
      </w:pPr>
    </w:p>
    <w:p w14:paraId="4AB1061F">
      <w:pPr>
        <w:pStyle w:val="9"/>
        <w:spacing w:after="0" w:line="249" w:lineRule="auto"/>
        <w:rPr>
          <w:rFonts w:hint="eastAsia"/>
        </w:rPr>
      </w:pPr>
      <w:r>
        <w:rPr>
          <w:rFonts w:hint="eastAsia"/>
        </w:rPr>
        <w:t>Nor can we ignore the unique way in which it embodies this genre.</w:t>
      </w:r>
    </w:p>
    <w:p w14:paraId="4ABA5817">
      <w:pPr>
        <w:pStyle w:val="9"/>
        <w:spacing w:after="0" w:line="249" w:lineRule="auto"/>
        <w:rPr>
          <w:rFonts w:hint="eastAsia"/>
        </w:rPr>
      </w:pPr>
      <w:r>
        <w:rPr>
          <w:rFonts w:hint="eastAsia"/>
        </w:rPr>
        <w:t>我们也不能忽略它体现这种体裁的独特方式。</w:t>
      </w:r>
    </w:p>
    <w:p w14:paraId="42B88C8C">
      <w:pPr>
        <w:pStyle w:val="9"/>
        <w:spacing w:after="0" w:line="249" w:lineRule="auto"/>
        <w:rPr>
          <w:rFonts w:hint="eastAsia"/>
        </w:rPr>
      </w:pPr>
    </w:p>
    <w:p w14:paraId="6A82E249">
      <w:pPr>
        <w:pStyle w:val="9"/>
        <w:spacing w:after="0" w:line="249" w:lineRule="auto"/>
        <w:rPr>
          <w:rFonts w:hint="eastAsia"/>
        </w:rPr>
      </w:pPr>
      <w:r>
        <w:rPr>
          <w:rFonts w:hint="eastAsia"/>
        </w:rPr>
        <w:t>Therefore, drawing upon the definition given above, let us take a few moments to examine the Revelation as a true but biblically unique instance of biblical apocalyptic.</w:t>
      </w:r>
    </w:p>
    <w:p w14:paraId="1C88E3F8">
      <w:pPr>
        <w:pStyle w:val="9"/>
        <w:spacing w:after="0" w:line="249" w:lineRule="auto"/>
        <w:rPr>
          <w:rFonts w:hint="eastAsia"/>
        </w:rPr>
      </w:pPr>
      <w:r>
        <w:rPr>
          <w:rFonts w:hint="eastAsia"/>
        </w:rPr>
        <w:t>因此，借鉴上面给出的定义，让我们花点时间来审视启示录，将其视为一个真实但圣经上独一无二的圣经启示文学实例。</w:t>
      </w:r>
    </w:p>
    <w:p w14:paraId="01710F2A">
      <w:pPr>
        <w:pStyle w:val="9"/>
        <w:spacing w:after="0" w:line="249" w:lineRule="auto"/>
        <w:rPr>
          <w:rFonts w:hint="eastAsia"/>
        </w:rPr>
      </w:pPr>
    </w:p>
    <w:p w14:paraId="017F0B80">
      <w:pPr>
        <w:pStyle w:val="9"/>
        <w:spacing w:after="0" w:line="249" w:lineRule="auto"/>
        <w:rPr>
          <w:rFonts w:hint="eastAsia"/>
        </w:rPr>
      </w:pPr>
      <w:r>
        <w:rPr>
          <w:rFonts w:hint="eastAsia"/>
        </w:rPr>
        <w:t>In what follows, I will characterize it as (1) a predictive prophecy, (2) singing the glory of the High King of heaven, (3) communicated by way of vision and symbol, and (4) serving as the Grand Finale of all Scripture.</w:t>
      </w:r>
    </w:p>
    <w:p w14:paraId="6631393E">
      <w:pPr>
        <w:pStyle w:val="9"/>
        <w:spacing w:after="0" w:line="249" w:lineRule="auto"/>
        <w:rPr>
          <w:rFonts w:hint="eastAsia"/>
        </w:rPr>
      </w:pPr>
      <w:r>
        <w:rPr>
          <w:rFonts w:hint="eastAsia"/>
        </w:rPr>
        <w:t>在下文中，我将把它定性为（1）一个预言，（2）歌颂天上至高君王的荣耀，（3）通过异象和象征来传达，以及（4）作为所有圣经的宏伟终曲。</w:t>
      </w:r>
    </w:p>
    <w:p w14:paraId="7B9676F2">
      <w:pPr>
        <w:pStyle w:val="9"/>
        <w:spacing w:after="0" w:line="249" w:lineRule="auto"/>
        <w:rPr>
          <w:rFonts w:hint="eastAsia"/>
        </w:rPr>
      </w:pPr>
    </w:p>
    <w:p w14:paraId="70C3240E">
      <w:pPr>
        <w:pStyle w:val="9"/>
        <w:spacing w:after="0" w:line="249" w:lineRule="auto"/>
        <w:rPr>
          <w:rFonts w:hint="eastAsia"/>
        </w:rPr>
      </w:pPr>
      <w:r>
        <w:rPr>
          <w:rFonts w:hint="eastAsia"/>
        </w:rPr>
        <w:t>A Predictive Prophecy</w:t>
      </w:r>
    </w:p>
    <w:p w14:paraId="1C5BA1C9">
      <w:pPr>
        <w:pStyle w:val="9"/>
        <w:spacing w:after="0" w:line="249" w:lineRule="auto"/>
        <w:rPr>
          <w:rFonts w:hint="eastAsia"/>
        </w:rPr>
      </w:pPr>
      <w:r>
        <w:rPr>
          <w:rFonts w:hint="eastAsia"/>
        </w:rPr>
        <w:t>一个预言</w:t>
      </w:r>
    </w:p>
    <w:p w14:paraId="663B0DED">
      <w:pPr>
        <w:pStyle w:val="9"/>
        <w:spacing w:after="0" w:line="249" w:lineRule="auto"/>
        <w:rPr>
          <w:rFonts w:hint="eastAsia"/>
        </w:rPr>
      </w:pPr>
    </w:p>
    <w:p w14:paraId="5957FA4C">
      <w:pPr>
        <w:pStyle w:val="9"/>
        <w:spacing w:after="0" w:line="249" w:lineRule="auto"/>
        <w:rPr>
          <w:rFonts w:hint="eastAsia"/>
        </w:rPr>
      </w:pPr>
      <w:r>
        <w:rPr>
          <w:rFonts w:hint="eastAsia"/>
        </w:rPr>
        <w:t>We have already discussed some of the ways in which the Revelation is a prophecy; the ways in which it teaches, warns, and comforts Christ’s Church.</w:t>
      </w:r>
    </w:p>
    <w:p w14:paraId="5CEA5BD0">
      <w:pPr>
        <w:pStyle w:val="9"/>
        <w:spacing w:after="0" w:line="249" w:lineRule="auto"/>
        <w:rPr>
          <w:rFonts w:hint="eastAsia"/>
        </w:rPr>
      </w:pPr>
      <w:r>
        <w:rPr>
          <w:rFonts w:hint="eastAsia"/>
        </w:rPr>
        <w:t>我们已经讨论了启示录在某些方面是一个预言；它教导、警告和安慰基督教会的方式。</w:t>
      </w:r>
    </w:p>
    <w:p w14:paraId="472359D8">
      <w:pPr>
        <w:pStyle w:val="9"/>
        <w:spacing w:after="0" w:line="249" w:lineRule="auto"/>
        <w:rPr>
          <w:rFonts w:hint="eastAsia"/>
        </w:rPr>
      </w:pPr>
    </w:p>
    <w:p w14:paraId="6AED2E61">
      <w:pPr>
        <w:pStyle w:val="9"/>
        <w:spacing w:after="0" w:line="249" w:lineRule="auto"/>
        <w:rPr>
          <w:rFonts w:hint="eastAsia"/>
        </w:rPr>
      </w:pPr>
      <w:r>
        <w:rPr>
          <w:rFonts w:hint="eastAsia"/>
        </w:rPr>
        <w:t>However, in doing so it frequently incorporates predictions of historical events yet future to the reader/hearer.</w:t>
      </w:r>
    </w:p>
    <w:p w14:paraId="748C009F">
      <w:pPr>
        <w:pStyle w:val="9"/>
        <w:spacing w:after="0" w:line="249" w:lineRule="auto"/>
        <w:rPr>
          <w:rFonts w:hint="eastAsia"/>
        </w:rPr>
      </w:pPr>
      <w:r>
        <w:rPr>
          <w:rFonts w:hint="eastAsia"/>
        </w:rPr>
        <w:t>然而，在这样做的时候，它频繁地包含了对读者/听者而言尚属未来的历史事件的预言。</w:t>
      </w:r>
    </w:p>
    <w:p w14:paraId="73C218CD">
      <w:pPr>
        <w:pStyle w:val="9"/>
        <w:spacing w:after="0" w:line="249" w:lineRule="auto"/>
        <w:rPr>
          <w:rFonts w:hint="eastAsia"/>
        </w:rPr>
      </w:pPr>
    </w:p>
    <w:p w14:paraId="223A72BD">
      <w:pPr>
        <w:pStyle w:val="9"/>
        <w:spacing w:after="0" w:line="249" w:lineRule="auto"/>
        <w:rPr>
          <w:rFonts w:hint="eastAsia"/>
        </w:rPr>
      </w:pPr>
      <w:r>
        <w:rPr>
          <w:rFonts w:hint="eastAsia"/>
        </w:rPr>
        <w:t>Therefore, this long prophecy clearly falls into the category of biblical apocalyptic.</w:t>
      </w:r>
    </w:p>
    <w:p w14:paraId="797845A2">
      <w:pPr>
        <w:pStyle w:val="9"/>
        <w:spacing w:after="0" w:line="249" w:lineRule="auto"/>
        <w:rPr>
          <w:rFonts w:hint="eastAsia"/>
        </w:rPr>
      </w:pPr>
      <w:r>
        <w:rPr>
          <w:rFonts w:hint="eastAsia"/>
        </w:rPr>
        <w:t>因此，这个长篇预言显然属于圣经启示文学的范畴。</w:t>
      </w:r>
    </w:p>
    <w:p w14:paraId="756778D4">
      <w:pPr>
        <w:pStyle w:val="9"/>
        <w:spacing w:after="0" w:line="249" w:lineRule="auto"/>
        <w:rPr>
          <w:rFonts w:hint="eastAsia"/>
        </w:rPr>
      </w:pPr>
    </w:p>
    <w:p w14:paraId="50BE6581">
      <w:pPr>
        <w:pStyle w:val="9"/>
        <w:spacing w:after="0" w:line="249" w:lineRule="auto"/>
        <w:rPr>
          <w:rFonts w:hint="eastAsia"/>
        </w:rPr>
      </w:pPr>
      <w:r>
        <w:rPr>
          <w:rFonts w:hint="eastAsia"/>
        </w:rPr>
        <w:t>It is, however, biblical apocalyptic of an extraordinary kind.</w:t>
      </w:r>
    </w:p>
    <w:p w14:paraId="23E2EE7A">
      <w:pPr>
        <w:pStyle w:val="9"/>
        <w:spacing w:after="0" w:line="249" w:lineRule="auto"/>
        <w:rPr>
          <w:rFonts w:hint="eastAsia"/>
        </w:rPr>
      </w:pPr>
      <w:r>
        <w:rPr>
          <w:rFonts w:hint="eastAsia"/>
        </w:rPr>
        <w:t>然而，它是一种非凡的圣经启示文学。</w:t>
      </w:r>
    </w:p>
    <w:p w14:paraId="1C232DA7">
      <w:pPr>
        <w:pStyle w:val="9"/>
        <w:spacing w:after="0" w:line="249" w:lineRule="auto"/>
        <w:rPr>
          <w:rFonts w:hint="eastAsia"/>
        </w:rPr>
      </w:pPr>
    </w:p>
    <w:p w14:paraId="1682378B">
      <w:pPr>
        <w:pStyle w:val="9"/>
        <w:spacing w:after="0" w:line="249" w:lineRule="auto"/>
        <w:rPr>
          <w:rFonts w:hint="eastAsia"/>
        </w:rPr>
      </w:pPr>
      <w:r>
        <w:rPr>
          <w:rFonts w:hint="eastAsia"/>
        </w:rPr>
        <w:t>Why?</w:t>
      </w:r>
    </w:p>
    <w:p w14:paraId="18753F6B">
      <w:pPr>
        <w:pStyle w:val="9"/>
        <w:spacing w:after="0" w:line="249" w:lineRule="auto"/>
        <w:rPr>
          <w:rFonts w:hint="eastAsia"/>
        </w:rPr>
      </w:pPr>
      <w:r>
        <w:rPr>
          <w:rFonts w:hint="eastAsia"/>
        </w:rPr>
        <w:t>为什么？</w:t>
      </w:r>
    </w:p>
    <w:p w14:paraId="337F6B9C">
      <w:pPr>
        <w:pStyle w:val="9"/>
        <w:spacing w:after="0" w:line="249" w:lineRule="auto"/>
        <w:rPr>
          <w:rFonts w:hint="eastAsia"/>
        </w:rPr>
      </w:pPr>
    </w:p>
    <w:p w14:paraId="0FAE63A7">
      <w:pPr>
        <w:pStyle w:val="9"/>
        <w:spacing w:after="0" w:line="249" w:lineRule="auto"/>
        <w:rPr>
          <w:rFonts w:hint="eastAsia"/>
        </w:rPr>
      </w:pPr>
      <w:r>
        <w:rPr>
          <w:rFonts w:hint="eastAsia"/>
        </w:rPr>
        <w:t>Because in making its predictions about the future, it tells us little or nothing new about the future.</w:t>
      </w:r>
    </w:p>
    <w:p w14:paraId="3689C5E1">
      <w:pPr>
        <w:pStyle w:val="9"/>
        <w:spacing w:after="0" w:line="249" w:lineRule="auto"/>
        <w:rPr>
          <w:rFonts w:hint="eastAsia"/>
        </w:rPr>
      </w:pPr>
      <w:r>
        <w:rPr>
          <w:rFonts w:hint="eastAsia"/>
        </w:rPr>
        <w:t>因为它在对未来作出预言时，几乎没有告诉我们任何关于未来的新信息。</w:t>
      </w:r>
    </w:p>
    <w:p w14:paraId="304E2E14">
      <w:pPr>
        <w:pStyle w:val="9"/>
        <w:spacing w:after="0" w:line="249" w:lineRule="auto"/>
        <w:rPr>
          <w:rFonts w:hint="eastAsia"/>
        </w:rPr>
      </w:pPr>
    </w:p>
    <w:p w14:paraId="3E7C5571">
      <w:pPr>
        <w:pStyle w:val="9"/>
        <w:spacing w:after="0" w:line="249" w:lineRule="auto"/>
        <w:rPr>
          <w:rFonts w:hint="eastAsia"/>
        </w:rPr>
      </w:pPr>
      <w:r>
        <w:rPr>
          <w:rFonts w:hint="eastAsia"/>
        </w:rPr>
        <w:t>That is, it tells us little or nothing that was not already foretold in OTKP under type, shadow, and symbol; or it tells us little or nothing that was not already unveiled, explained, and practically applied in the Gospels, the Acts, and the Epistles.</w:t>
      </w:r>
    </w:p>
    <w:p w14:paraId="7CFCB1FB">
      <w:pPr>
        <w:pStyle w:val="9"/>
        <w:spacing w:after="0" w:line="249" w:lineRule="auto"/>
        <w:rPr>
          <w:rFonts w:hint="eastAsia"/>
        </w:rPr>
      </w:pPr>
      <w:r>
        <w:rPr>
          <w:rFonts w:hint="eastAsia"/>
        </w:rPr>
        <w:t>也就是说，它几乎没有告诉我们任何在旧约国度预言中未曾以预表、影像和象征预言过的事情；或者说，它几乎没有告诉我们任何在福音书、使徒行传和书信中未曾揭示、解释和实际应用过的事情。</w:t>
      </w:r>
    </w:p>
    <w:p w14:paraId="1F74AAA5">
      <w:pPr>
        <w:pStyle w:val="9"/>
        <w:spacing w:after="0" w:line="249" w:lineRule="auto"/>
        <w:rPr>
          <w:rFonts w:hint="eastAsia"/>
        </w:rPr>
      </w:pPr>
    </w:p>
    <w:p w14:paraId="05537595">
      <w:pPr>
        <w:pStyle w:val="9"/>
        <w:spacing w:after="0" w:line="249" w:lineRule="auto"/>
        <w:rPr>
          <w:rFonts w:hint="eastAsia"/>
        </w:rPr>
      </w:pPr>
      <w:r>
        <w:rPr>
          <w:rFonts w:hint="eastAsia"/>
        </w:rPr>
        <w:t>Think for a moment about the prophetic themes we just discussed.</w:t>
      </w:r>
    </w:p>
    <w:p w14:paraId="2D301D36">
      <w:pPr>
        <w:pStyle w:val="9"/>
        <w:spacing w:after="0" w:line="249" w:lineRule="auto"/>
        <w:rPr>
          <w:rFonts w:hint="eastAsia"/>
        </w:rPr>
      </w:pPr>
      <w:r>
        <w:rPr>
          <w:rFonts w:hint="eastAsia"/>
        </w:rPr>
        <w:t>想一想我们刚才讨论的预言主题。</w:t>
      </w:r>
    </w:p>
    <w:p w14:paraId="27EACDEF">
      <w:pPr>
        <w:pStyle w:val="9"/>
        <w:spacing w:after="0" w:line="249" w:lineRule="auto"/>
        <w:rPr>
          <w:rFonts w:hint="eastAsia"/>
        </w:rPr>
      </w:pPr>
    </w:p>
    <w:p w14:paraId="24C69C2F">
      <w:pPr>
        <w:pStyle w:val="9"/>
        <w:spacing w:after="0" w:line="249" w:lineRule="auto"/>
        <w:rPr>
          <w:rFonts w:hint="eastAsia"/>
        </w:rPr>
      </w:pPr>
      <w:r>
        <w:rPr>
          <w:rFonts w:hint="eastAsia"/>
        </w:rPr>
        <w:t>In the Revelation, Christ gives John—and the Church—visions of the Dragon, the Beast, the False Prophet, and the Harlot.</w:t>
      </w:r>
    </w:p>
    <w:p w14:paraId="0D688401">
      <w:pPr>
        <w:pStyle w:val="9"/>
        <w:spacing w:after="0" w:line="249" w:lineRule="auto"/>
        <w:rPr>
          <w:rFonts w:hint="eastAsia"/>
        </w:rPr>
      </w:pPr>
      <w:r>
        <w:rPr>
          <w:rFonts w:hint="eastAsia"/>
        </w:rPr>
        <w:t>在启示录中，基督给了约翰——以及教会——关于龙、兽、假先知和淫妇的异象。</w:t>
      </w:r>
    </w:p>
    <w:p w14:paraId="7EA03EF8">
      <w:pPr>
        <w:pStyle w:val="9"/>
        <w:spacing w:after="0" w:line="249" w:lineRule="auto"/>
        <w:rPr>
          <w:rFonts w:hint="eastAsia"/>
        </w:rPr>
      </w:pPr>
    </w:p>
    <w:p w14:paraId="403EC9E8">
      <w:pPr>
        <w:pStyle w:val="9"/>
        <w:spacing w:after="0" w:line="249" w:lineRule="auto"/>
        <w:rPr>
          <w:rFonts w:hint="eastAsia"/>
        </w:rPr>
      </w:pPr>
      <w:r>
        <w:rPr>
          <w:rFonts w:hint="eastAsia"/>
        </w:rPr>
        <w:t>How are we to understand them?</w:t>
      </w:r>
    </w:p>
    <w:p w14:paraId="49C2F9F6">
      <w:pPr>
        <w:pStyle w:val="9"/>
        <w:spacing w:after="0" w:line="249" w:lineRule="auto"/>
        <w:rPr>
          <w:rFonts w:hint="eastAsia"/>
        </w:rPr>
      </w:pPr>
      <w:r>
        <w:rPr>
          <w:rFonts w:hint="eastAsia"/>
        </w:rPr>
        <w:t>我们该如何理解它们？</w:t>
      </w:r>
    </w:p>
    <w:p w14:paraId="5E316BC7">
      <w:pPr>
        <w:pStyle w:val="9"/>
        <w:spacing w:after="0" w:line="249" w:lineRule="auto"/>
        <w:rPr>
          <w:rFonts w:hint="eastAsia"/>
        </w:rPr>
      </w:pPr>
    </w:p>
    <w:p w14:paraId="60E6E93F">
      <w:pPr>
        <w:pStyle w:val="9"/>
        <w:spacing w:after="0" w:line="249" w:lineRule="auto"/>
        <w:rPr>
          <w:rFonts w:hint="eastAsia"/>
        </w:rPr>
      </w:pPr>
      <w:r>
        <w:rPr>
          <w:rFonts w:hint="eastAsia"/>
        </w:rPr>
        <w:t>The answer is: We could not possibly understand them unless Christ, in the rest of the NT, had already given us keys by which to unlock their meaning; unless he had given us straightforward didactic teaching about all four.</w:t>
      </w:r>
    </w:p>
    <w:p w14:paraId="79A4A49A">
      <w:pPr>
        <w:pStyle w:val="9"/>
        <w:spacing w:after="0" w:line="249" w:lineRule="auto"/>
        <w:rPr>
          <w:rFonts w:hint="eastAsia"/>
        </w:rPr>
      </w:pPr>
      <w:r>
        <w:rPr>
          <w:rFonts w:hint="eastAsia"/>
        </w:rPr>
        <w:t>答案是：我们不可能理解它们，除非基督，在新约的其余部分，已经给了我们解开它们意义的钥匙；除非祂已经给了我们关于这四者的直接教导。</w:t>
      </w:r>
    </w:p>
    <w:p w14:paraId="70247117">
      <w:pPr>
        <w:pStyle w:val="9"/>
        <w:spacing w:after="0" w:line="249" w:lineRule="auto"/>
        <w:rPr>
          <w:rFonts w:hint="eastAsia"/>
        </w:rPr>
      </w:pPr>
    </w:p>
    <w:p w14:paraId="181E49A7">
      <w:pPr>
        <w:pStyle w:val="9"/>
        <w:spacing w:after="0" w:line="249" w:lineRule="auto"/>
        <w:rPr>
          <w:rFonts w:hint="eastAsia"/>
        </w:rPr>
      </w:pPr>
      <w:r>
        <w:rPr>
          <w:rFonts w:hint="eastAsia"/>
        </w:rPr>
        <w:t>And the same is true of OT apocalyptic.</w:t>
      </w:r>
    </w:p>
    <w:p w14:paraId="633FCA39">
      <w:pPr>
        <w:pStyle w:val="9"/>
        <w:spacing w:after="0" w:line="249" w:lineRule="auto"/>
        <w:rPr>
          <w:rFonts w:hint="eastAsia"/>
        </w:rPr>
      </w:pPr>
      <w:r>
        <w:rPr>
          <w:rFonts w:hint="eastAsia"/>
        </w:rPr>
        <w:t>对于旧约启示文学也是如此。</w:t>
      </w:r>
    </w:p>
    <w:p w14:paraId="0478DE11">
      <w:pPr>
        <w:pStyle w:val="9"/>
        <w:spacing w:after="0" w:line="249" w:lineRule="auto"/>
        <w:rPr>
          <w:rFonts w:hint="eastAsia"/>
        </w:rPr>
      </w:pPr>
    </w:p>
    <w:p w14:paraId="2172B455">
      <w:pPr>
        <w:pStyle w:val="9"/>
        <w:spacing w:after="0" w:line="249" w:lineRule="auto"/>
        <w:rPr>
          <w:rFonts w:hint="eastAsia"/>
        </w:rPr>
      </w:pPr>
      <w:r>
        <w:rPr>
          <w:rFonts w:hint="eastAsia"/>
        </w:rPr>
        <w:t>How are we to understand the visions and prophecies of Isaiah, Daniel, Ezekiel, and Zechariah?</w:t>
      </w:r>
    </w:p>
    <w:p w14:paraId="7FFDCE9F">
      <w:pPr>
        <w:pStyle w:val="9"/>
        <w:spacing w:after="0" w:line="249" w:lineRule="auto"/>
        <w:rPr>
          <w:rFonts w:hint="eastAsia"/>
        </w:rPr>
      </w:pPr>
      <w:r>
        <w:rPr>
          <w:rFonts w:hint="eastAsia"/>
        </w:rPr>
        <w:t>我们该如何理解以赛亚、但以理、以西结和撒迦利亚的异象和预言呢？</w:t>
      </w:r>
    </w:p>
    <w:p w14:paraId="0E8DFE87">
      <w:pPr>
        <w:pStyle w:val="9"/>
        <w:spacing w:after="0" w:line="249" w:lineRule="auto"/>
        <w:rPr>
          <w:rFonts w:hint="eastAsia"/>
        </w:rPr>
      </w:pPr>
    </w:p>
    <w:p w14:paraId="44B82260">
      <w:pPr>
        <w:pStyle w:val="9"/>
        <w:spacing w:after="0" w:line="249" w:lineRule="auto"/>
        <w:rPr>
          <w:rFonts w:hint="eastAsia"/>
        </w:rPr>
      </w:pPr>
      <w:r>
        <w:rPr>
          <w:rFonts w:hint="eastAsia"/>
        </w:rPr>
        <w:t>The answer is: We cannot, apart from the revelations of the Didactic NT.</w:t>
      </w:r>
    </w:p>
    <w:p w14:paraId="6EDE070A">
      <w:pPr>
        <w:pStyle w:val="9"/>
        <w:spacing w:after="0" w:line="249" w:lineRule="auto"/>
        <w:rPr>
          <w:rFonts w:hint="eastAsia"/>
        </w:rPr>
      </w:pPr>
      <w:r>
        <w:rPr>
          <w:rFonts w:hint="eastAsia"/>
        </w:rPr>
        <w:t>答案是：我们不能，除非有教导性新约的启示。</w:t>
      </w:r>
    </w:p>
    <w:p w14:paraId="2F8CDC01">
      <w:pPr>
        <w:pStyle w:val="9"/>
        <w:spacing w:after="0" w:line="249" w:lineRule="auto"/>
        <w:rPr>
          <w:rFonts w:hint="eastAsia"/>
        </w:rPr>
      </w:pPr>
    </w:p>
    <w:p w14:paraId="200BA66D">
      <w:pPr>
        <w:pStyle w:val="9"/>
        <w:spacing w:after="0" w:line="249" w:lineRule="auto"/>
        <w:rPr>
          <w:rFonts w:hint="eastAsia"/>
        </w:rPr>
      </w:pPr>
      <w:r>
        <w:rPr>
          <w:rFonts w:hint="eastAsia"/>
        </w:rPr>
        <w:t>The latter is the hermeneutical key to the former.</w:t>
      </w:r>
    </w:p>
    <w:p w14:paraId="75D2CEA0">
      <w:pPr>
        <w:pStyle w:val="9"/>
        <w:spacing w:after="0" w:line="249" w:lineRule="auto"/>
        <w:rPr>
          <w:rFonts w:hint="eastAsia"/>
        </w:rPr>
      </w:pPr>
      <w:r>
        <w:rPr>
          <w:rFonts w:hint="eastAsia"/>
        </w:rPr>
        <w:t>后者是前者的解释学钥匙。</w:t>
      </w:r>
    </w:p>
    <w:p w14:paraId="622E92C3">
      <w:pPr>
        <w:pStyle w:val="9"/>
        <w:spacing w:after="0" w:line="249" w:lineRule="auto"/>
        <w:rPr>
          <w:rFonts w:hint="eastAsia"/>
        </w:rPr>
      </w:pPr>
    </w:p>
    <w:p w14:paraId="74BAEC6A">
      <w:pPr>
        <w:pStyle w:val="9"/>
        <w:spacing w:after="0" w:line="249" w:lineRule="auto"/>
        <w:rPr>
          <w:rFonts w:hint="eastAsia"/>
        </w:rPr>
      </w:pPr>
      <w:r>
        <w:rPr>
          <w:rFonts w:hint="eastAsia"/>
        </w:rPr>
        <w:t>This point cannot be overemphasized.</w:t>
      </w:r>
    </w:p>
    <w:p w14:paraId="54E916EF">
      <w:pPr>
        <w:pStyle w:val="9"/>
        <w:spacing w:after="0" w:line="249" w:lineRule="auto"/>
        <w:rPr>
          <w:rFonts w:hint="eastAsia"/>
        </w:rPr>
      </w:pPr>
      <w:r>
        <w:rPr>
          <w:rFonts w:hint="eastAsia"/>
        </w:rPr>
        <w:t>这一点怎么强调都不为过。</w:t>
      </w:r>
    </w:p>
    <w:p w14:paraId="7C278383">
      <w:pPr>
        <w:pStyle w:val="9"/>
        <w:spacing w:after="0" w:line="249" w:lineRule="auto"/>
        <w:rPr>
          <w:rFonts w:hint="eastAsia"/>
        </w:rPr>
      </w:pPr>
    </w:p>
    <w:p w14:paraId="6E525C78">
      <w:pPr>
        <w:pStyle w:val="9"/>
        <w:spacing w:after="0" w:line="249" w:lineRule="auto"/>
        <w:rPr>
          <w:rFonts w:hint="eastAsia"/>
        </w:rPr>
      </w:pPr>
      <w:r>
        <w:rPr>
          <w:rFonts w:hint="eastAsia"/>
        </w:rPr>
        <w:t>Yes, like all biblical apocalyptic, the Revelation contains predictive prophecy.</w:t>
      </w:r>
    </w:p>
    <w:p w14:paraId="54C936EB">
      <w:pPr>
        <w:pStyle w:val="9"/>
        <w:spacing w:after="0" w:line="249" w:lineRule="auto"/>
        <w:rPr>
          <w:rFonts w:hint="eastAsia"/>
        </w:rPr>
      </w:pPr>
      <w:r>
        <w:rPr>
          <w:rFonts w:hint="eastAsia"/>
        </w:rPr>
        <w:t>是的，像所有圣经启示文学一样，启示录包含了预言。</w:t>
      </w:r>
    </w:p>
    <w:p w14:paraId="6E136A58">
      <w:pPr>
        <w:pStyle w:val="9"/>
        <w:spacing w:after="0" w:line="249" w:lineRule="auto"/>
        <w:rPr>
          <w:rFonts w:hint="eastAsia"/>
        </w:rPr>
      </w:pPr>
    </w:p>
    <w:p w14:paraId="1E7CF03B">
      <w:pPr>
        <w:pStyle w:val="9"/>
        <w:spacing w:after="0" w:line="249" w:lineRule="auto"/>
        <w:rPr>
          <w:rFonts w:hint="eastAsia"/>
        </w:rPr>
      </w:pPr>
      <w:r>
        <w:rPr>
          <w:rFonts w:hint="eastAsia"/>
        </w:rPr>
        <w:t>But because of its unique place in the biblical canon—because it serves as the Grand Finale of all Scripture —the things it predicts in vision and symbol cannot be new.</w:t>
      </w:r>
    </w:p>
    <w:p w14:paraId="17A12536">
      <w:pPr>
        <w:pStyle w:val="9"/>
        <w:spacing w:after="0" w:line="249" w:lineRule="auto"/>
        <w:rPr>
          <w:rFonts w:hint="eastAsia"/>
        </w:rPr>
      </w:pPr>
      <w:r>
        <w:rPr>
          <w:rFonts w:hint="eastAsia"/>
        </w:rPr>
        <w:t>但由于它在圣经正典中的独特地位——因为它作为所有圣经的宏伟终曲——它在异象和象征中所预言的事物不可能是新的。</w:t>
      </w:r>
    </w:p>
    <w:p w14:paraId="4CB43B71">
      <w:pPr>
        <w:pStyle w:val="9"/>
        <w:spacing w:after="0" w:line="249" w:lineRule="auto"/>
        <w:rPr>
          <w:rFonts w:hint="eastAsia"/>
        </w:rPr>
      </w:pPr>
    </w:p>
    <w:p w14:paraId="06438144">
      <w:pPr>
        <w:pStyle w:val="9"/>
        <w:spacing w:after="0" w:line="249" w:lineRule="auto"/>
        <w:rPr>
          <w:rFonts w:hint="eastAsia"/>
        </w:rPr>
      </w:pPr>
      <w:r>
        <w:rPr>
          <w:rFonts w:hint="eastAsia"/>
        </w:rPr>
        <w:t>For if, in the Revelation, God meant to give us new truth about the future (e.g., new truth about a seven year Tribulation, or the career of the Antichrist, or a future millennium, etc.), he would also have had to give us more didactic revelation by which to interpret the symbols used to convey the new truth.</w:t>
      </w:r>
    </w:p>
    <w:p w14:paraId="34343BBD">
      <w:pPr>
        <w:pStyle w:val="9"/>
        <w:spacing w:after="0" w:line="249" w:lineRule="auto"/>
        <w:rPr>
          <w:rFonts w:hint="eastAsia"/>
        </w:rPr>
      </w:pPr>
      <w:r>
        <w:rPr>
          <w:rFonts w:hint="eastAsia"/>
        </w:rPr>
        <w:t>因为，如果在启示录中，神意在给我们关于未来的新真理（例如，关于七年大灾难的新真理，或敌基督的生涯，或未来的千禧年等），祂也必须给我们更多的教导性启示，借此来解释用以传达新真理的象征。</w:t>
      </w:r>
    </w:p>
    <w:p w14:paraId="22C4B73E">
      <w:pPr>
        <w:pStyle w:val="9"/>
        <w:spacing w:after="0" w:line="249" w:lineRule="auto"/>
        <w:rPr>
          <w:rFonts w:hint="eastAsia"/>
        </w:rPr>
      </w:pPr>
    </w:p>
    <w:p w14:paraId="3F37F5A5">
      <w:pPr>
        <w:pStyle w:val="9"/>
        <w:spacing w:after="0" w:line="249" w:lineRule="auto"/>
        <w:rPr>
          <w:rFonts w:hint="eastAsia"/>
        </w:rPr>
      </w:pPr>
      <w:r>
        <w:rPr>
          <w:rFonts w:hint="eastAsia"/>
        </w:rPr>
        <w:t>But he did not.</w:t>
      </w:r>
    </w:p>
    <w:p w14:paraId="5F8D6A47">
      <w:pPr>
        <w:pStyle w:val="9"/>
        <w:spacing w:after="0" w:line="249" w:lineRule="auto"/>
        <w:rPr>
          <w:rFonts w:hint="eastAsia"/>
        </w:rPr>
      </w:pPr>
      <w:r>
        <w:rPr>
          <w:rFonts w:hint="eastAsia"/>
        </w:rPr>
        <w:t>但祂没有。</w:t>
      </w:r>
    </w:p>
    <w:p w14:paraId="043D7063">
      <w:pPr>
        <w:pStyle w:val="9"/>
        <w:spacing w:after="0" w:line="249" w:lineRule="auto"/>
        <w:rPr>
          <w:rFonts w:hint="eastAsia"/>
        </w:rPr>
      </w:pPr>
    </w:p>
    <w:p w14:paraId="28B6FD7E">
      <w:pPr>
        <w:pStyle w:val="9"/>
        <w:spacing w:after="0" w:line="249" w:lineRule="auto"/>
        <w:rPr>
          <w:rFonts w:hint="eastAsia"/>
        </w:rPr>
      </w:pPr>
      <w:r>
        <w:rPr>
          <w:rFonts w:hint="eastAsia"/>
        </w:rPr>
        <w:t>Instead, he simply closed the canon with the Revelation.</w:t>
      </w:r>
    </w:p>
    <w:p w14:paraId="779BE5F6">
      <w:pPr>
        <w:pStyle w:val="9"/>
        <w:spacing w:after="0" w:line="249" w:lineRule="auto"/>
        <w:rPr>
          <w:rFonts w:hint="eastAsia"/>
        </w:rPr>
      </w:pPr>
      <w:r>
        <w:rPr>
          <w:rFonts w:hint="eastAsia"/>
        </w:rPr>
        <w:t>相反，祂只是用启示录结束了正典。</w:t>
      </w:r>
    </w:p>
    <w:p w14:paraId="6BCBC8B1">
      <w:pPr>
        <w:pStyle w:val="9"/>
        <w:spacing w:after="0" w:line="249" w:lineRule="auto"/>
        <w:rPr>
          <w:rFonts w:hint="eastAsia"/>
        </w:rPr>
      </w:pPr>
    </w:p>
    <w:p w14:paraId="0516B0D1">
      <w:pPr>
        <w:pStyle w:val="9"/>
        <w:spacing w:after="0" w:line="249" w:lineRule="auto"/>
        <w:rPr>
          <w:rFonts w:hint="eastAsia"/>
        </w:rPr>
      </w:pPr>
      <w:r>
        <w:rPr>
          <w:rFonts w:hint="eastAsia"/>
        </w:rPr>
        <w:t>Therefore, we may safely assume that the truth hidden beneath its symbols is old truth, and that everything we need to understand those symbols has been given to us previously in the rest of the NT.</w:t>
      </w:r>
    </w:p>
    <w:p w14:paraId="0963EC7E">
      <w:pPr>
        <w:pStyle w:val="9"/>
        <w:spacing w:after="0" w:line="249" w:lineRule="auto"/>
        <w:rPr>
          <w:rFonts w:hint="eastAsia"/>
        </w:rPr>
      </w:pPr>
      <w:r>
        <w:rPr>
          <w:rFonts w:hint="eastAsia"/>
        </w:rPr>
        <w:t>因此，我们可以有把握地假设，隐藏在其象征之下的真理是旧的真理，并且我们理解那些象征所需的一切，都已在其余的新约中预先给了我们。</w:t>
      </w:r>
    </w:p>
    <w:p w14:paraId="40DC2F9C">
      <w:pPr>
        <w:pStyle w:val="9"/>
        <w:spacing w:after="0" w:line="249" w:lineRule="auto"/>
        <w:rPr>
          <w:rFonts w:hint="eastAsia"/>
        </w:rPr>
      </w:pPr>
    </w:p>
    <w:p w14:paraId="2B786CE9">
      <w:pPr>
        <w:pStyle w:val="9"/>
        <w:spacing w:after="0" w:line="249" w:lineRule="auto"/>
        <w:rPr>
          <w:rFonts w:hint="eastAsia"/>
        </w:rPr>
      </w:pPr>
      <w:r>
        <w:rPr>
          <w:rFonts w:hint="eastAsia"/>
        </w:rPr>
        <w:t>In short, the Revelation is not a puzzle to be figured out; rather—for those who know their Bibles and understand NT eschatology—it is a celebration to be enjoyed.</w:t>
      </w:r>
    </w:p>
    <w:p w14:paraId="50B79BAE">
      <w:pPr>
        <w:pStyle w:val="9"/>
        <w:spacing w:after="0" w:line="249" w:lineRule="auto"/>
        <w:rPr>
          <w:rFonts w:hint="eastAsia"/>
        </w:rPr>
      </w:pPr>
      <w:r>
        <w:rPr>
          <w:rFonts w:hint="eastAsia"/>
        </w:rPr>
        <w:t>简而言之，启示录不是一个待解的谜题；相反——对于那些熟悉圣经并理解新约末世论的人来说——它是一场值得享受的庆典。</w:t>
      </w:r>
    </w:p>
    <w:p w14:paraId="1F611200">
      <w:pPr>
        <w:pStyle w:val="9"/>
        <w:spacing w:after="0" w:line="249" w:lineRule="auto"/>
        <w:rPr>
          <w:rFonts w:hint="eastAsia"/>
        </w:rPr>
      </w:pPr>
    </w:p>
    <w:p w14:paraId="1D9E81E9">
      <w:pPr>
        <w:pStyle w:val="9"/>
        <w:spacing w:after="0" w:line="249" w:lineRule="auto"/>
        <w:rPr>
          <w:rFonts w:hint="eastAsia"/>
        </w:rPr>
      </w:pPr>
      <w:r>
        <w:rPr>
          <w:rFonts w:hint="eastAsia"/>
        </w:rPr>
        <w:t>I will have more to say on this important point below.</w:t>
      </w:r>
    </w:p>
    <w:p w14:paraId="752A8C5F">
      <w:pPr>
        <w:pStyle w:val="9"/>
        <w:spacing w:after="0" w:line="249" w:lineRule="auto"/>
        <w:rPr>
          <w:rFonts w:hint="eastAsia"/>
        </w:rPr>
      </w:pPr>
      <w:r>
        <w:rPr>
          <w:rFonts w:hint="eastAsia"/>
        </w:rPr>
        <w:t>关于这个重要观点，我将在下面作更多说明。</w:t>
      </w:r>
    </w:p>
    <w:p w14:paraId="43579967">
      <w:pPr>
        <w:pStyle w:val="9"/>
        <w:spacing w:after="0" w:line="249" w:lineRule="auto"/>
        <w:rPr>
          <w:rFonts w:hint="eastAsia"/>
        </w:rPr>
      </w:pPr>
    </w:p>
    <w:p w14:paraId="60CBD6FE">
      <w:pPr>
        <w:pStyle w:val="9"/>
        <w:spacing w:after="0" w:line="249" w:lineRule="auto"/>
        <w:rPr>
          <w:rFonts w:hint="eastAsia"/>
        </w:rPr>
      </w:pPr>
      <w:r>
        <w:rPr>
          <w:rFonts w:hint="eastAsia"/>
        </w:rPr>
        <w:t>Singing the Glory of the High King of Heaven</w:t>
      </w:r>
    </w:p>
    <w:p w14:paraId="7F8C67A6">
      <w:pPr>
        <w:pStyle w:val="9"/>
        <w:spacing w:after="0" w:line="249" w:lineRule="auto"/>
        <w:rPr>
          <w:rFonts w:hint="eastAsia"/>
        </w:rPr>
      </w:pPr>
      <w:r>
        <w:rPr>
          <w:rFonts w:hint="eastAsia"/>
        </w:rPr>
        <w:t>歌颂天上至高君王的荣耀</w:t>
      </w:r>
    </w:p>
    <w:p w14:paraId="1F9E7D98">
      <w:pPr>
        <w:pStyle w:val="9"/>
        <w:spacing w:after="0" w:line="249" w:lineRule="auto"/>
        <w:rPr>
          <w:rFonts w:hint="eastAsia"/>
        </w:rPr>
      </w:pPr>
    </w:p>
    <w:p w14:paraId="0E977BA9">
      <w:pPr>
        <w:pStyle w:val="9"/>
        <w:spacing w:after="0" w:line="249" w:lineRule="auto"/>
        <w:rPr>
          <w:rFonts w:hint="eastAsia"/>
        </w:rPr>
      </w:pPr>
      <w:r>
        <w:rPr>
          <w:rFonts w:hint="eastAsia"/>
        </w:rPr>
        <w:t>Biblical apocalyptic is predictive prophecy with a particular theme.</w:t>
      </w:r>
    </w:p>
    <w:p w14:paraId="66C49970">
      <w:pPr>
        <w:pStyle w:val="9"/>
        <w:spacing w:after="0" w:line="249" w:lineRule="auto"/>
        <w:rPr>
          <w:rFonts w:hint="eastAsia"/>
        </w:rPr>
      </w:pPr>
      <w:r>
        <w:rPr>
          <w:rFonts w:hint="eastAsia"/>
        </w:rPr>
        <w:t>圣经启示文学是具有特定主题的预言。</w:t>
      </w:r>
    </w:p>
    <w:p w14:paraId="6A6F8503">
      <w:pPr>
        <w:pStyle w:val="9"/>
        <w:spacing w:after="0" w:line="249" w:lineRule="auto"/>
        <w:rPr>
          <w:rFonts w:hint="eastAsia"/>
        </w:rPr>
      </w:pPr>
    </w:p>
    <w:p w14:paraId="2C106AD4">
      <w:pPr>
        <w:pStyle w:val="9"/>
        <w:spacing w:after="0" w:line="249" w:lineRule="auto"/>
        <w:rPr>
          <w:rFonts w:hint="eastAsia"/>
        </w:rPr>
      </w:pPr>
      <w:r>
        <w:rPr>
          <w:rFonts w:hint="eastAsia"/>
        </w:rPr>
        <w:t>It likes to explore the course, character, and consummation of Salvation History, and to do so in ways that encourage God’s suffering people with the hope of final justice and redemption: of final rescue from the powers of evil, final retribution against the agents of evil, and final restoration to the promised covenant blessings of God.</w:t>
      </w:r>
    </w:p>
    <w:p w14:paraId="15B38EBE">
      <w:pPr>
        <w:pStyle w:val="9"/>
        <w:spacing w:after="0" w:line="249" w:lineRule="auto"/>
        <w:rPr>
          <w:rFonts w:hint="eastAsia"/>
        </w:rPr>
      </w:pPr>
      <w:r>
        <w:rPr>
          <w:rFonts w:hint="eastAsia"/>
        </w:rPr>
        <w:t>它喜欢探索救赎历史的进程、特征和最终的成全，并以一种方式来鼓励神受苦的子民，给予他们最终公义和救赎的盼望：即从邪恶权势中得到最终的拯救，对邪恶的代理人施行最终的报应，并最终恢复到神所应许的约中祝福。</w:t>
      </w:r>
    </w:p>
    <w:p w14:paraId="165F3072">
      <w:pPr>
        <w:pStyle w:val="9"/>
        <w:spacing w:after="0" w:line="249" w:lineRule="auto"/>
        <w:rPr>
          <w:rFonts w:hint="eastAsia"/>
        </w:rPr>
      </w:pPr>
    </w:p>
    <w:p w14:paraId="030A8542">
      <w:pPr>
        <w:pStyle w:val="9"/>
        <w:spacing w:after="0" w:line="249" w:lineRule="auto"/>
        <w:rPr>
          <w:rFonts w:hint="eastAsia"/>
        </w:rPr>
      </w:pPr>
      <w:r>
        <w:rPr>
          <w:rFonts w:hint="eastAsia"/>
        </w:rPr>
        <w:t>In our study of OTKP, we saw the manifold ways in which the Spirit developed these great themes in OT times.</w:t>
      </w:r>
    </w:p>
    <w:p w14:paraId="50FC1F2B">
      <w:pPr>
        <w:pStyle w:val="9"/>
        <w:spacing w:after="0" w:line="249" w:lineRule="auto"/>
        <w:rPr>
          <w:rFonts w:hint="eastAsia"/>
        </w:rPr>
      </w:pPr>
      <w:r>
        <w:rPr>
          <w:rFonts w:hint="eastAsia"/>
        </w:rPr>
        <w:t>在我们对旧约国度预言的研究中，我们看到了圣灵在旧约时代以多种方式发展这些伟大主题。</w:t>
      </w:r>
    </w:p>
    <w:p w14:paraId="6B7CA899">
      <w:pPr>
        <w:pStyle w:val="9"/>
        <w:spacing w:after="0" w:line="249" w:lineRule="auto"/>
        <w:rPr>
          <w:rFonts w:hint="eastAsia"/>
        </w:rPr>
      </w:pPr>
    </w:p>
    <w:p w14:paraId="091CBCB8">
      <w:pPr>
        <w:pStyle w:val="9"/>
        <w:spacing w:after="0" w:line="249" w:lineRule="auto"/>
        <w:rPr>
          <w:rFonts w:hint="eastAsia"/>
        </w:rPr>
      </w:pPr>
      <w:r>
        <w:rPr>
          <w:rFonts w:hint="eastAsia"/>
        </w:rPr>
        <w:t>In prophet after prophet, he spoke of a final regathering of God’s people; of their final restoration to the Promised Land; of the coming of the Messiah; of the advance of his kingdom in the Days of the Messiah; of the conversion of the Gentiles; of ongoing victory over God’s enemies; of the Last Battle, the Day of the Lord, the resurrection of the dead, and the eternal World to Come.</w:t>
      </w:r>
    </w:p>
    <w:p w14:paraId="0FD5264B">
      <w:pPr>
        <w:pStyle w:val="9"/>
        <w:spacing w:after="0" w:line="249" w:lineRule="auto"/>
        <w:rPr>
          <w:rFonts w:hint="eastAsia"/>
        </w:rPr>
      </w:pPr>
      <w:r>
        <w:rPr>
          <w:rFonts w:hint="eastAsia"/>
        </w:rPr>
        <w:t>在一位又一位先知中，祂讲论了神子民的最后聚集；他们最后恢复到应许之地；弥赛亚的降临；祂的国度在弥赛亚的日子里的进展；外邦人的归信；对神仇敌的持续胜利；最后的战役、主的日子、死人的复活，以及永恒的未来世界。</w:t>
      </w:r>
    </w:p>
    <w:p w14:paraId="7063ECC1">
      <w:pPr>
        <w:pStyle w:val="9"/>
        <w:spacing w:after="0" w:line="249" w:lineRule="auto"/>
        <w:rPr>
          <w:rFonts w:hint="eastAsia"/>
        </w:rPr>
      </w:pPr>
    </w:p>
    <w:p w14:paraId="45D09E8F">
      <w:pPr>
        <w:pStyle w:val="9"/>
        <w:spacing w:after="0" w:line="249" w:lineRule="auto"/>
        <w:rPr>
          <w:rFonts w:hint="eastAsia"/>
        </w:rPr>
      </w:pPr>
      <w:r>
        <w:rPr>
          <w:rFonts w:hint="eastAsia"/>
        </w:rPr>
        <w:t>Importantly, these themes are the sum and substance of NT eschatology, as well.</w:t>
      </w:r>
    </w:p>
    <w:p w14:paraId="3DDBBC38">
      <w:pPr>
        <w:pStyle w:val="9"/>
        <w:spacing w:after="0" w:line="249" w:lineRule="auto"/>
        <w:rPr>
          <w:rFonts w:hint="eastAsia"/>
        </w:rPr>
      </w:pPr>
      <w:r>
        <w:rPr>
          <w:rFonts w:hint="eastAsia"/>
        </w:rPr>
        <w:t>重要的是，这些主题也是新约末世论的总和与实质。</w:t>
      </w:r>
    </w:p>
    <w:p w14:paraId="1C2ABB03">
      <w:pPr>
        <w:pStyle w:val="9"/>
        <w:spacing w:after="0" w:line="249" w:lineRule="auto"/>
        <w:rPr>
          <w:rFonts w:hint="eastAsia"/>
        </w:rPr>
      </w:pPr>
    </w:p>
    <w:p w14:paraId="1C52430C">
      <w:pPr>
        <w:pStyle w:val="9"/>
        <w:spacing w:after="0" w:line="249" w:lineRule="auto"/>
        <w:rPr>
          <w:rFonts w:hint="eastAsia"/>
        </w:rPr>
      </w:pPr>
      <w:r>
        <w:rPr>
          <w:rFonts w:hint="eastAsia"/>
        </w:rPr>
        <w:t>However, in the OT “true truth” on these themes remained largely veiled under symbolic, typological language.</w:t>
      </w:r>
    </w:p>
    <w:p w14:paraId="15866EA3">
      <w:pPr>
        <w:pStyle w:val="9"/>
        <w:spacing w:after="0" w:line="249" w:lineRule="auto"/>
        <w:rPr>
          <w:rFonts w:hint="eastAsia"/>
        </w:rPr>
      </w:pPr>
      <w:r>
        <w:rPr>
          <w:rFonts w:hint="eastAsia"/>
        </w:rPr>
        <w:t>然而，在旧约中，关于这些主题的“真正真理”在很大程度上仍然被象征性的、预表性的语言所遮盖。</w:t>
      </w:r>
    </w:p>
    <w:p w14:paraId="7C01A1AD">
      <w:pPr>
        <w:pStyle w:val="9"/>
        <w:spacing w:after="0" w:line="249" w:lineRule="auto"/>
        <w:rPr>
          <w:rFonts w:hint="eastAsia"/>
        </w:rPr>
      </w:pPr>
    </w:p>
    <w:p w14:paraId="4936C271">
      <w:pPr>
        <w:pStyle w:val="9"/>
        <w:spacing w:after="0" w:line="249" w:lineRule="auto"/>
        <w:rPr>
          <w:rFonts w:hint="eastAsia"/>
        </w:rPr>
      </w:pPr>
      <w:r>
        <w:rPr>
          <w:rFonts w:hint="eastAsia"/>
        </w:rPr>
        <w:t>Moreover, because of this veiling, the exact sequence of the great eschatological events also remained obscure.</w:t>
      </w:r>
    </w:p>
    <w:p w14:paraId="0979796A">
      <w:pPr>
        <w:pStyle w:val="9"/>
        <w:spacing w:after="0" w:line="249" w:lineRule="auto"/>
        <w:rPr>
          <w:rFonts w:hint="eastAsia"/>
        </w:rPr>
      </w:pPr>
      <w:r>
        <w:rPr>
          <w:rFonts w:hint="eastAsia"/>
        </w:rPr>
        <w:t>此外，由于这种遮盖，伟大的末世事件的确切顺序也仍然模糊不清。</w:t>
      </w:r>
    </w:p>
    <w:p w14:paraId="2BF7BD37">
      <w:pPr>
        <w:pStyle w:val="9"/>
        <w:spacing w:after="0" w:line="249" w:lineRule="auto"/>
        <w:rPr>
          <w:rFonts w:hint="eastAsia"/>
        </w:rPr>
      </w:pPr>
    </w:p>
    <w:p w14:paraId="719DF1C8">
      <w:pPr>
        <w:pStyle w:val="9"/>
        <w:spacing w:after="0" w:line="249" w:lineRule="auto"/>
        <w:rPr>
          <w:rFonts w:hint="eastAsia"/>
        </w:rPr>
      </w:pPr>
      <w:r>
        <w:rPr>
          <w:rFonts w:hint="eastAsia"/>
        </w:rPr>
        <w:t>For this reason, God himself pronounced OTKP in general—and OT apocalyptic in particular—a closed book; but a closed book that would indeed be opened in the last days (Jer. 23:20, Dan. 12:4, Heb. 1:1f).</w:t>
      </w:r>
    </w:p>
    <w:p w14:paraId="28DC8912">
      <w:pPr>
        <w:pStyle w:val="9"/>
        <w:spacing w:after="0" w:line="249" w:lineRule="auto"/>
        <w:rPr>
          <w:rFonts w:hint="eastAsia"/>
        </w:rPr>
      </w:pPr>
      <w:r>
        <w:rPr>
          <w:rFonts w:hint="eastAsia"/>
        </w:rPr>
        <w:t>因此，神自己宣告旧约国度预言总的来说——特别是旧约启示文学——是一本封闭的书；但一本在末后的日子里确实会被打开的书（耶 23:20, 但 12:4, 来 1:1及后）。</w:t>
      </w:r>
    </w:p>
    <w:p w14:paraId="139C0987">
      <w:pPr>
        <w:pStyle w:val="9"/>
        <w:spacing w:after="0" w:line="249" w:lineRule="auto"/>
        <w:rPr>
          <w:rFonts w:hint="eastAsia"/>
        </w:rPr>
      </w:pPr>
    </w:p>
    <w:p w14:paraId="18F7F399">
      <w:pPr>
        <w:pStyle w:val="9"/>
        <w:spacing w:after="0" w:line="249" w:lineRule="auto"/>
        <w:rPr>
          <w:rFonts w:hint="eastAsia"/>
        </w:rPr>
      </w:pPr>
      <w:r>
        <w:rPr>
          <w:rFonts w:hint="eastAsia"/>
        </w:rPr>
        <w:t>When, however, we reach the NT, the wraps come off.</w:t>
      </w:r>
    </w:p>
    <w:p w14:paraId="3870AB48">
      <w:pPr>
        <w:pStyle w:val="9"/>
        <w:spacing w:after="0" w:line="249" w:lineRule="auto"/>
        <w:rPr>
          <w:rFonts w:hint="eastAsia"/>
        </w:rPr>
      </w:pPr>
      <w:r>
        <w:rPr>
          <w:rFonts w:hint="eastAsia"/>
        </w:rPr>
        <w:t>然而，当我们到达新约时，遮盖就被揭开了。</w:t>
      </w:r>
    </w:p>
    <w:p w14:paraId="5FB39E4E">
      <w:pPr>
        <w:pStyle w:val="9"/>
        <w:spacing w:after="0" w:line="249" w:lineRule="auto"/>
        <w:rPr>
          <w:rFonts w:hint="eastAsia"/>
        </w:rPr>
      </w:pPr>
    </w:p>
    <w:p w14:paraId="2037147B">
      <w:pPr>
        <w:pStyle w:val="9"/>
        <w:spacing w:after="0" w:line="249" w:lineRule="auto"/>
        <w:rPr>
          <w:rFonts w:hint="eastAsia"/>
        </w:rPr>
      </w:pPr>
      <w:r>
        <w:rPr>
          <w:rFonts w:hint="eastAsia"/>
        </w:rPr>
        <w:t>The mysteries of the Kingdom are revealed.</w:t>
      </w:r>
    </w:p>
    <w:p w14:paraId="5A791B94">
      <w:pPr>
        <w:pStyle w:val="9"/>
        <w:spacing w:after="0" w:line="249" w:lineRule="auto"/>
        <w:rPr>
          <w:rFonts w:hint="eastAsia"/>
        </w:rPr>
      </w:pPr>
      <w:r>
        <w:rPr>
          <w:rFonts w:hint="eastAsia"/>
        </w:rPr>
        <w:t>国度的奥秘被揭示了。</w:t>
      </w:r>
    </w:p>
    <w:p w14:paraId="2A31EAD2">
      <w:pPr>
        <w:pStyle w:val="9"/>
        <w:spacing w:after="0" w:line="249" w:lineRule="auto"/>
        <w:rPr>
          <w:rFonts w:hint="eastAsia"/>
        </w:rPr>
      </w:pPr>
    </w:p>
    <w:p w14:paraId="30F6D6F6">
      <w:pPr>
        <w:pStyle w:val="9"/>
        <w:spacing w:after="0" w:line="249" w:lineRule="auto"/>
        <w:rPr>
          <w:rFonts w:hint="eastAsia"/>
        </w:rPr>
      </w:pPr>
      <w:r>
        <w:rPr>
          <w:rFonts w:hint="eastAsia"/>
        </w:rPr>
        <w:t>The heart of Salvation History (the Eternal Covenant in Christ) is disclosed.</w:t>
      </w:r>
    </w:p>
    <w:p w14:paraId="75454DC5">
      <w:pPr>
        <w:pStyle w:val="9"/>
        <w:spacing w:after="0" w:line="249" w:lineRule="auto"/>
        <w:rPr>
          <w:rFonts w:hint="eastAsia"/>
        </w:rPr>
      </w:pPr>
      <w:r>
        <w:rPr>
          <w:rFonts w:hint="eastAsia"/>
        </w:rPr>
        <w:t>救赎历史的核心（在基督里的永恒之约）被揭示了。</w:t>
      </w:r>
    </w:p>
    <w:p w14:paraId="20712934">
      <w:pPr>
        <w:pStyle w:val="9"/>
        <w:spacing w:after="0" w:line="249" w:lineRule="auto"/>
        <w:rPr>
          <w:rFonts w:hint="eastAsia"/>
        </w:rPr>
      </w:pPr>
    </w:p>
    <w:p w14:paraId="43914133">
      <w:pPr>
        <w:pStyle w:val="9"/>
        <w:spacing w:after="0" w:line="249" w:lineRule="auto"/>
        <w:rPr>
          <w:rFonts w:hint="eastAsia"/>
        </w:rPr>
      </w:pPr>
      <w:r>
        <w:rPr>
          <w:rFonts w:hint="eastAsia"/>
        </w:rPr>
        <w:t>The character of Salvation History—that it consists of successive administrations of the Eternal Covenant—is manifested.</w:t>
      </w:r>
    </w:p>
    <w:p w14:paraId="50B78C08">
      <w:pPr>
        <w:pStyle w:val="9"/>
        <w:spacing w:after="0" w:line="249" w:lineRule="auto"/>
        <w:rPr>
          <w:rFonts w:hint="eastAsia"/>
        </w:rPr>
      </w:pPr>
      <w:r>
        <w:rPr>
          <w:rFonts w:hint="eastAsia"/>
        </w:rPr>
        <w:t>救赎历史的特征——即它由永恒之约的相继施行组成——被彰显出来。</w:t>
      </w:r>
    </w:p>
    <w:p w14:paraId="531C3D8F">
      <w:pPr>
        <w:pStyle w:val="9"/>
        <w:spacing w:after="0" w:line="249" w:lineRule="auto"/>
        <w:rPr>
          <w:rFonts w:hint="eastAsia"/>
        </w:rPr>
      </w:pPr>
    </w:p>
    <w:p w14:paraId="35BCFB86">
      <w:pPr>
        <w:pStyle w:val="9"/>
        <w:spacing w:after="0" w:line="249" w:lineRule="auto"/>
        <w:rPr>
          <w:rFonts w:hint="eastAsia"/>
        </w:rPr>
      </w:pPr>
      <w:r>
        <w:rPr>
          <w:rFonts w:hint="eastAsia"/>
        </w:rPr>
        <w:t>And the course of the Salvation History—the stages in which it unfolds, and the key events proper to each stage—is illumined once and for all.</w:t>
      </w:r>
    </w:p>
    <w:p w14:paraId="17C8BA83">
      <w:pPr>
        <w:pStyle w:val="9"/>
        <w:spacing w:after="0" w:line="249" w:lineRule="auto"/>
        <w:rPr>
          <w:rFonts w:hint="eastAsia"/>
        </w:rPr>
      </w:pPr>
      <w:r>
        <w:rPr>
          <w:rFonts w:hint="eastAsia"/>
        </w:rPr>
        <w:t>救赎历史的进程——即其展开的各个阶段，以及每个阶段的特定关键事件——被一劳永逸地阐明了。</w:t>
      </w:r>
    </w:p>
    <w:p w14:paraId="6B3155DA">
      <w:pPr>
        <w:pStyle w:val="9"/>
        <w:spacing w:after="0" w:line="249" w:lineRule="auto"/>
        <w:rPr>
          <w:rFonts w:hint="eastAsia"/>
        </w:rPr>
      </w:pPr>
    </w:p>
    <w:p w14:paraId="5BE63B1D">
      <w:pPr>
        <w:pStyle w:val="9"/>
        <w:spacing w:after="0" w:line="249" w:lineRule="auto"/>
        <w:rPr>
          <w:rFonts w:hint="eastAsia"/>
        </w:rPr>
      </w:pPr>
      <w:r>
        <w:rPr>
          <w:rFonts w:hint="eastAsia"/>
        </w:rPr>
        <w:t>As a result, God’s people hold in their hands, at long last, the key to understanding all Salvation History, all OTKP, and all OT apocalyptic!</w:t>
      </w:r>
    </w:p>
    <w:p w14:paraId="286E04FE">
      <w:pPr>
        <w:pStyle w:val="9"/>
        <w:spacing w:after="0" w:line="249" w:lineRule="auto"/>
        <w:rPr>
          <w:rFonts w:hint="eastAsia"/>
        </w:rPr>
      </w:pPr>
      <w:r>
        <w:rPr>
          <w:rFonts w:hint="eastAsia"/>
        </w:rPr>
        <w:t>结果，神的子民终于掌握了理解所有救赎历史、所有旧约国度预言和所有旧约启示文学的关键！</w:t>
      </w:r>
    </w:p>
    <w:p w14:paraId="32EB77B1">
      <w:pPr>
        <w:pStyle w:val="9"/>
        <w:spacing w:after="0" w:line="249" w:lineRule="auto"/>
        <w:rPr>
          <w:rFonts w:hint="eastAsia"/>
        </w:rPr>
      </w:pPr>
    </w:p>
    <w:p w14:paraId="05A912F7">
      <w:pPr>
        <w:pStyle w:val="9"/>
        <w:spacing w:after="0" w:line="249" w:lineRule="auto"/>
        <w:rPr>
          <w:rFonts w:hint="eastAsia"/>
        </w:rPr>
      </w:pPr>
      <w:r>
        <w:rPr>
          <w:rFonts w:hint="eastAsia"/>
        </w:rPr>
        <w:t>But if this is so, why, in the Revelation, would God revert to the use of biblical apocalyptic in order to prophesy to Christ’s pilgrim Church?</w:t>
      </w:r>
    </w:p>
    <w:p w14:paraId="68FDAEA6">
      <w:pPr>
        <w:pStyle w:val="9"/>
        <w:spacing w:after="0" w:line="249" w:lineRule="auto"/>
        <w:rPr>
          <w:rFonts w:hint="eastAsia"/>
        </w:rPr>
      </w:pPr>
      <w:r>
        <w:rPr>
          <w:rFonts w:hint="eastAsia"/>
        </w:rPr>
        <w:t>但如果真是如此，为什么在启示录中，神会回到使用圣经启示文学的方式来向基督的朝圣教会说预言呢？</w:t>
      </w:r>
    </w:p>
    <w:p w14:paraId="5456E63F">
      <w:pPr>
        <w:pStyle w:val="9"/>
        <w:spacing w:after="0" w:line="249" w:lineRule="auto"/>
        <w:rPr>
          <w:rFonts w:hint="eastAsia"/>
        </w:rPr>
      </w:pPr>
    </w:p>
    <w:p w14:paraId="6D6D161F">
      <w:pPr>
        <w:pStyle w:val="9"/>
        <w:spacing w:after="0" w:line="249" w:lineRule="auto"/>
        <w:rPr>
          <w:rFonts w:hint="eastAsia"/>
        </w:rPr>
      </w:pPr>
      <w:r>
        <w:rPr>
          <w:rFonts w:hint="eastAsia"/>
        </w:rPr>
        <w:t>I have already suggested an answer to this important question: He did so because he desired not only to teach, warn, and encourage the saints one final time (just as he had in the rest of the NT), but also to give them the Grand Finale of all Scripture.</w:t>
      </w:r>
    </w:p>
    <w:p w14:paraId="4E667E46">
      <w:pPr>
        <w:pStyle w:val="9"/>
        <w:spacing w:after="0" w:line="249" w:lineRule="auto"/>
        <w:rPr>
          <w:rFonts w:hint="eastAsia"/>
        </w:rPr>
      </w:pPr>
      <w:r>
        <w:rPr>
          <w:rFonts w:hint="eastAsia"/>
        </w:rPr>
        <w:t>我已经对这个重要问题提出了一个答案：祂这样做是因为祂不仅希望最后一次教导、警告和鼓励圣徒（就像祂在新约其余部分所做的那样），也希望给他们所有圣经的宏伟终曲。</w:t>
      </w:r>
    </w:p>
    <w:p w14:paraId="2F16C3BD">
      <w:pPr>
        <w:pStyle w:val="9"/>
        <w:spacing w:after="0" w:line="249" w:lineRule="auto"/>
        <w:rPr>
          <w:rFonts w:hint="eastAsia"/>
        </w:rPr>
      </w:pPr>
    </w:p>
    <w:p w14:paraId="017913AB">
      <w:pPr>
        <w:pStyle w:val="9"/>
        <w:spacing w:after="0" w:line="249" w:lineRule="auto"/>
        <w:rPr>
          <w:rFonts w:hint="eastAsia"/>
        </w:rPr>
      </w:pPr>
      <w:r>
        <w:rPr>
          <w:rFonts w:hint="eastAsia"/>
        </w:rPr>
        <w:t>That is, he desired to weave the Christ-centered history, poetry, prophecy, and doctrine of the whole Bible into the final movement of the great symphony of Scripture.</w:t>
      </w:r>
    </w:p>
    <w:p w14:paraId="6407EA39">
      <w:pPr>
        <w:pStyle w:val="9"/>
        <w:spacing w:after="0" w:line="249" w:lineRule="auto"/>
        <w:rPr>
          <w:rFonts w:hint="eastAsia"/>
        </w:rPr>
      </w:pPr>
      <w:r>
        <w:rPr>
          <w:rFonts w:hint="eastAsia"/>
        </w:rPr>
        <w:t>也就是说，祂渴望将整本圣经中以基督为中心的历史、诗歌、预言和教义编织到圣经这首伟大交响乐的最后一个乐章中。</w:t>
      </w:r>
    </w:p>
    <w:p w14:paraId="6106EC54">
      <w:pPr>
        <w:pStyle w:val="9"/>
        <w:spacing w:after="0" w:line="249" w:lineRule="auto"/>
        <w:rPr>
          <w:rFonts w:hint="eastAsia"/>
        </w:rPr>
      </w:pPr>
    </w:p>
    <w:p w14:paraId="2F91D8CC">
      <w:pPr>
        <w:pStyle w:val="9"/>
        <w:spacing w:after="0" w:line="249" w:lineRule="auto"/>
        <w:rPr>
          <w:rFonts w:hint="eastAsia"/>
        </w:rPr>
      </w:pPr>
      <w:r>
        <w:rPr>
          <w:rFonts w:hint="eastAsia"/>
        </w:rPr>
        <w:t>In the eyes of the High Poet of Heaven, biblical apocalyptic was apparently the perfect vehicle for doing this very thing.</w:t>
      </w:r>
    </w:p>
    <w:p w14:paraId="4998FDF4">
      <w:pPr>
        <w:pStyle w:val="9"/>
        <w:spacing w:after="0" w:line="249" w:lineRule="auto"/>
        <w:rPr>
          <w:rFonts w:hint="eastAsia"/>
        </w:rPr>
      </w:pPr>
      <w:r>
        <w:rPr>
          <w:rFonts w:hint="eastAsia"/>
        </w:rPr>
        <w:t>在天上至高诗人的眼中，圣经启示文学显然是做这件事的完美载体。</w:t>
      </w:r>
    </w:p>
    <w:p w14:paraId="66B4B215">
      <w:pPr>
        <w:pStyle w:val="9"/>
        <w:spacing w:after="0" w:line="249" w:lineRule="auto"/>
        <w:rPr>
          <w:rFonts w:hint="eastAsia"/>
        </w:rPr>
      </w:pPr>
    </w:p>
    <w:p w14:paraId="33B3BC2C">
      <w:pPr>
        <w:pStyle w:val="9"/>
        <w:spacing w:after="0" w:line="249" w:lineRule="auto"/>
        <w:rPr>
          <w:rFonts w:hint="eastAsia"/>
        </w:rPr>
      </w:pPr>
      <w:r>
        <w:rPr>
          <w:rFonts w:hint="eastAsia"/>
        </w:rPr>
        <w:t>We must, however, look a little closer.</w:t>
      </w:r>
    </w:p>
    <w:p w14:paraId="18F3A9F1">
      <w:pPr>
        <w:pStyle w:val="9"/>
        <w:spacing w:after="0" w:line="249" w:lineRule="auto"/>
        <w:rPr>
          <w:rFonts w:hint="eastAsia"/>
        </w:rPr>
      </w:pPr>
      <w:r>
        <w:rPr>
          <w:rFonts w:hint="eastAsia"/>
        </w:rPr>
        <w:t>然而，我们必须看得更仔细一些。</w:t>
      </w:r>
    </w:p>
    <w:p w14:paraId="42B55D52">
      <w:pPr>
        <w:pStyle w:val="9"/>
        <w:spacing w:after="0" w:line="249" w:lineRule="auto"/>
        <w:rPr>
          <w:rFonts w:hint="eastAsia"/>
        </w:rPr>
      </w:pPr>
    </w:p>
    <w:p w14:paraId="1D7235C4">
      <w:pPr>
        <w:pStyle w:val="9"/>
        <w:spacing w:after="0" w:line="249" w:lineRule="auto"/>
        <w:rPr>
          <w:rFonts w:hint="eastAsia"/>
        </w:rPr>
      </w:pPr>
      <w:r>
        <w:rPr>
          <w:rFonts w:hint="eastAsia"/>
        </w:rPr>
        <w:t>Yes, like all biblical apocalyptic the Revelation has as its theme the course, character, and consummation of Salvation History.</w:t>
      </w:r>
    </w:p>
    <w:p w14:paraId="6C681A66">
      <w:pPr>
        <w:pStyle w:val="9"/>
        <w:spacing w:after="0" w:line="249" w:lineRule="auto"/>
        <w:rPr>
          <w:rFonts w:hint="eastAsia"/>
        </w:rPr>
      </w:pPr>
      <w:r>
        <w:rPr>
          <w:rFonts w:hint="eastAsia"/>
        </w:rPr>
        <w:t>是的，像所有圣经启示文学一样，启示录的主题是救赎历史的进程、特征和最终的成全。</w:t>
      </w:r>
    </w:p>
    <w:p w14:paraId="0D66C620">
      <w:pPr>
        <w:pStyle w:val="9"/>
        <w:spacing w:after="0" w:line="249" w:lineRule="auto"/>
        <w:rPr>
          <w:rFonts w:hint="eastAsia"/>
        </w:rPr>
      </w:pPr>
    </w:p>
    <w:p w14:paraId="6DB176D1">
      <w:pPr>
        <w:pStyle w:val="9"/>
        <w:spacing w:after="0" w:line="249" w:lineRule="auto"/>
        <w:rPr>
          <w:rFonts w:hint="eastAsia"/>
        </w:rPr>
      </w:pPr>
      <w:r>
        <w:rPr>
          <w:rFonts w:hint="eastAsia"/>
        </w:rPr>
        <w:t>But here again it is unique, this time because its focus is largely on a particular portion of Salvation History: the Heavenly Mediatorial Reign of Christ.</w:t>
      </w:r>
    </w:p>
    <w:p w14:paraId="18FC6AD6">
      <w:pPr>
        <w:pStyle w:val="9"/>
        <w:spacing w:after="0" w:line="249" w:lineRule="auto"/>
        <w:rPr>
          <w:rFonts w:hint="eastAsia"/>
        </w:rPr>
      </w:pPr>
      <w:r>
        <w:rPr>
          <w:rFonts w:hint="eastAsia"/>
        </w:rPr>
        <w:t>但这里再次是独一无二的，这一次是因为它的焦点主要在救赎历史的一个特定部分：基督在天上的中保统治。</w:t>
      </w:r>
    </w:p>
    <w:p w14:paraId="08BD564F">
      <w:pPr>
        <w:pStyle w:val="9"/>
        <w:spacing w:after="0" w:line="249" w:lineRule="auto"/>
        <w:rPr>
          <w:rFonts w:hint="eastAsia"/>
        </w:rPr>
      </w:pPr>
    </w:p>
    <w:p w14:paraId="2C6CF957">
      <w:pPr>
        <w:pStyle w:val="9"/>
        <w:spacing w:after="0" w:line="249" w:lineRule="auto"/>
        <w:rPr>
          <w:rFonts w:hint="eastAsia"/>
        </w:rPr>
      </w:pPr>
      <w:r>
        <w:rPr>
          <w:rFonts w:hint="eastAsia"/>
        </w:rPr>
        <w:t>Or, to state the case more precisely, its focus is largely on the Exaltation of Christ; on all the eschatological acts and events by which the Father is pleased to honor the One who, out of love for him and his people, humbled himself even to the point of death on a cross (Phil. 2:1-11).</w:t>
      </w:r>
    </w:p>
    <w:p w14:paraId="126F0421">
      <w:pPr>
        <w:pStyle w:val="9"/>
        <w:spacing w:after="0" w:line="249" w:lineRule="auto"/>
        <w:rPr>
          <w:rFonts w:hint="eastAsia"/>
        </w:rPr>
      </w:pPr>
      <w:r>
        <w:rPr>
          <w:rFonts w:hint="eastAsia"/>
        </w:rPr>
        <w:t>或者，更准确地说，它的焦点主要在基督的被高举上；在所有末世的作为和事件上，父借此来荣耀那一位，祂出于对祂和祂子民的爱，自己卑微，甚至死在十字架上（腓 2:1-11）。</w:t>
      </w:r>
    </w:p>
    <w:p w14:paraId="48F9AE8E">
      <w:pPr>
        <w:pStyle w:val="9"/>
        <w:spacing w:after="0" w:line="249" w:lineRule="auto"/>
        <w:rPr>
          <w:rFonts w:hint="eastAsia"/>
        </w:rPr>
      </w:pPr>
    </w:p>
    <w:p w14:paraId="3BDCF192">
      <w:pPr>
        <w:pStyle w:val="9"/>
        <w:spacing w:after="0" w:line="249" w:lineRule="auto"/>
        <w:rPr>
          <w:rFonts w:hint="eastAsia"/>
        </w:rPr>
      </w:pPr>
      <w:r>
        <w:rPr>
          <w:rFonts w:hint="eastAsia"/>
        </w:rPr>
        <w:t>In a moment we will examine the structure of the Revelation, in order to see exactly how God accomplished this.</w:t>
      </w:r>
    </w:p>
    <w:p w14:paraId="5CD0B94B">
      <w:pPr>
        <w:pStyle w:val="9"/>
        <w:spacing w:after="0" w:line="249" w:lineRule="auto"/>
        <w:rPr>
          <w:rFonts w:hint="eastAsia"/>
        </w:rPr>
      </w:pPr>
      <w:r>
        <w:rPr>
          <w:rFonts w:hint="eastAsia"/>
        </w:rPr>
        <w:t>片刻之后，我们将审视启示录的结构，以确切地看到神是如何完成这件事的。</w:t>
      </w:r>
    </w:p>
    <w:p w14:paraId="38FA6F1F">
      <w:pPr>
        <w:pStyle w:val="9"/>
        <w:spacing w:after="0" w:line="249" w:lineRule="auto"/>
        <w:rPr>
          <w:rFonts w:hint="eastAsia"/>
        </w:rPr>
      </w:pPr>
    </w:p>
    <w:p w14:paraId="7D0FF458">
      <w:pPr>
        <w:pStyle w:val="9"/>
        <w:spacing w:after="0" w:line="249" w:lineRule="auto"/>
        <w:rPr>
          <w:rFonts w:hint="eastAsia"/>
        </w:rPr>
      </w:pPr>
      <w:r>
        <w:rPr>
          <w:rFonts w:hint="eastAsia"/>
        </w:rPr>
        <w:t>Here it suffices to say that in this unique expression of biblical apocalyptic God was pleased to draw upon all previous biblical revelation in order to focus the saints’ attention on the High King of Heaven: on his resurrection, ascension, and session at the right hand of the Father; on his absolute sovereignty over all the subsequent events of history; on his infallible declaration of the Gospel—through the Church Militant—to “the (sinful) inhabitants of the earth;” on his continual judgments against their enemies; on his rush to the rescue of his little flock in the days of the Last Battle; and especially on his glorious Parousia at the end of the age, when he himself will execute final judgment, administer final redemption, and bring in the new heavens and the new earth, the eternal home of God and the redeemed.</w:t>
      </w:r>
    </w:p>
    <w:p w14:paraId="700DB2FF">
      <w:pPr>
        <w:pStyle w:val="9"/>
        <w:spacing w:after="0" w:line="249" w:lineRule="auto"/>
        <w:rPr>
          <w:rFonts w:hint="eastAsia"/>
        </w:rPr>
      </w:pPr>
      <w:r>
        <w:rPr>
          <w:rFonts w:hint="eastAsia"/>
        </w:rPr>
        <w:t>这里只需说，在这种独特的圣经启示文学表达中，神乐意借鉴所有先前的圣经启示，以便将圣徒的注意力集中在天上至高的君王身上：在祂的复活、升天和在父右边的坐席上；在祂对所有随后历史事件的绝对主权上；在祂——通过战斗的教会——对“（有罪的）地上居民”的无误福音宣告上；在祂对他们仇敌的持续审判上；在祂在最后战役的日子里冲向拯救祂的小羊群上；特别是在祂在世代末了荣耀的再临时，那时祂自己将执行最后的审判，施行最后的救赎，并带入新天新地，即神和被赎者的永恒家园。</w:t>
      </w:r>
    </w:p>
    <w:p w14:paraId="7CCF883F">
      <w:pPr>
        <w:pStyle w:val="9"/>
        <w:spacing w:after="0" w:line="249" w:lineRule="auto"/>
        <w:rPr>
          <w:rFonts w:hint="eastAsia"/>
        </w:rPr>
      </w:pPr>
    </w:p>
    <w:p w14:paraId="6789A5B4">
      <w:pPr>
        <w:pStyle w:val="9"/>
        <w:spacing w:after="0" w:line="249" w:lineRule="auto"/>
        <w:rPr>
          <w:rFonts w:hint="eastAsia"/>
        </w:rPr>
      </w:pPr>
      <w:r>
        <w:rPr>
          <w:rFonts w:hint="eastAsia"/>
        </w:rPr>
        <w:t>Does all of this help us to understand Revelation 20?</w:t>
      </w:r>
    </w:p>
    <w:p w14:paraId="43192008">
      <w:pPr>
        <w:pStyle w:val="9"/>
        <w:spacing w:after="0" w:line="249" w:lineRule="auto"/>
        <w:rPr>
          <w:rFonts w:hint="eastAsia"/>
        </w:rPr>
      </w:pPr>
      <w:r>
        <w:rPr>
          <w:rFonts w:hint="eastAsia"/>
        </w:rPr>
        <w:t>这一切是否有助于我们理解启示录第20章？</w:t>
      </w:r>
    </w:p>
    <w:p w14:paraId="4A2A54B1">
      <w:pPr>
        <w:pStyle w:val="9"/>
        <w:spacing w:after="0" w:line="249" w:lineRule="auto"/>
        <w:rPr>
          <w:rFonts w:hint="eastAsia"/>
        </w:rPr>
      </w:pPr>
    </w:p>
    <w:p w14:paraId="4D21633D">
      <w:pPr>
        <w:pStyle w:val="9"/>
        <w:spacing w:after="0" w:line="249" w:lineRule="auto"/>
        <w:rPr>
          <w:rFonts w:hint="eastAsia"/>
        </w:rPr>
      </w:pPr>
      <w:r>
        <w:rPr>
          <w:rFonts w:hint="eastAsia"/>
        </w:rPr>
        <w:t>Indeed it does!</w:t>
      </w:r>
    </w:p>
    <w:p w14:paraId="77CA2D48">
      <w:pPr>
        <w:pStyle w:val="9"/>
        <w:spacing w:after="0" w:line="249" w:lineRule="auto"/>
        <w:rPr>
          <w:rFonts w:hint="eastAsia"/>
        </w:rPr>
      </w:pPr>
      <w:r>
        <w:rPr>
          <w:rFonts w:hint="eastAsia"/>
        </w:rPr>
        <w:t>确实如此！</w:t>
      </w:r>
    </w:p>
    <w:p w14:paraId="794B8C7E">
      <w:pPr>
        <w:pStyle w:val="9"/>
        <w:spacing w:after="0" w:line="249" w:lineRule="auto"/>
        <w:rPr>
          <w:rFonts w:hint="eastAsia"/>
        </w:rPr>
      </w:pPr>
    </w:p>
    <w:p w14:paraId="74B4EB8F">
      <w:pPr>
        <w:pStyle w:val="9"/>
        <w:spacing w:after="0" w:line="249" w:lineRule="auto"/>
        <w:rPr>
          <w:rFonts w:hint="eastAsia"/>
        </w:rPr>
      </w:pPr>
      <w:r>
        <w:rPr>
          <w:rFonts w:hint="eastAsia"/>
        </w:rPr>
        <w:t>For if the theological focus of the whole book is on the High King of Heaven— on the course, character, and consummation of his heavenly, mediatorial reign—how likely is it that this one chapter suddenly takes up the theme of a future earthly reign?</w:t>
      </w:r>
    </w:p>
    <w:p w14:paraId="03C7BACA">
      <w:pPr>
        <w:pStyle w:val="9"/>
        <w:spacing w:after="0" w:line="249" w:lineRule="auto"/>
        <w:rPr>
          <w:rFonts w:hint="eastAsia"/>
        </w:rPr>
      </w:pPr>
      <w:r>
        <w:rPr>
          <w:rFonts w:hint="eastAsia"/>
        </w:rPr>
        <w:t>因为，如果整本书的神学焦点都在天上至高的君王身上——在祂在天上的中保统治的进程、特征和最终的成全上——那么这一章突然转向未来地上统治的主题的可能性有多大？</w:t>
      </w:r>
    </w:p>
    <w:p w14:paraId="74554056">
      <w:pPr>
        <w:pStyle w:val="9"/>
        <w:spacing w:after="0" w:line="249" w:lineRule="auto"/>
        <w:rPr>
          <w:rFonts w:hint="eastAsia"/>
        </w:rPr>
      </w:pPr>
    </w:p>
    <w:p w14:paraId="7F4719E9">
      <w:pPr>
        <w:pStyle w:val="9"/>
        <w:spacing w:after="0" w:line="249" w:lineRule="auto"/>
        <w:rPr>
          <w:rFonts w:hint="eastAsia"/>
        </w:rPr>
      </w:pPr>
      <w:r>
        <w:rPr>
          <w:rFonts w:hint="eastAsia"/>
        </w:rPr>
        <w:t>No, the Revelation is a predictive prophecy that sings the glory of the High King of Heaven through and through.</w:t>
      </w:r>
    </w:p>
    <w:p w14:paraId="22498C99">
      <w:pPr>
        <w:pStyle w:val="9"/>
        <w:spacing w:after="0" w:line="249" w:lineRule="auto"/>
        <w:rPr>
          <w:rFonts w:hint="eastAsia"/>
        </w:rPr>
      </w:pPr>
      <w:r>
        <w:rPr>
          <w:rFonts w:hint="eastAsia"/>
        </w:rPr>
        <w:t>不，启示录是一个从头到尾歌颂天上至高君王荣耀的预言。</w:t>
      </w:r>
    </w:p>
    <w:p w14:paraId="7C99407E">
      <w:pPr>
        <w:pStyle w:val="9"/>
        <w:spacing w:after="0" w:line="249" w:lineRule="auto"/>
        <w:rPr>
          <w:rFonts w:hint="eastAsia"/>
        </w:rPr>
      </w:pPr>
    </w:p>
    <w:p w14:paraId="15B9E6FE">
      <w:pPr>
        <w:pStyle w:val="9"/>
        <w:spacing w:after="0" w:line="249" w:lineRule="auto"/>
        <w:rPr>
          <w:rFonts w:hint="eastAsia"/>
        </w:rPr>
      </w:pPr>
      <w:r>
        <w:rPr>
          <w:rFonts w:hint="eastAsia"/>
        </w:rPr>
        <w:t>To see this is to see the meaning of Revelation 20 as well.</w:t>
      </w:r>
    </w:p>
    <w:p w14:paraId="6AD0D78D">
      <w:pPr>
        <w:pStyle w:val="9"/>
        <w:spacing w:after="0" w:line="249" w:lineRule="auto"/>
        <w:rPr>
          <w:rFonts w:hint="eastAsia"/>
        </w:rPr>
      </w:pPr>
      <w:r>
        <w:rPr>
          <w:rFonts w:hint="eastAsia"/>
        </w:rPr>
        <w:t>看到这一点，也就看到了启示录第20章的意义。</w:t>
      </w:r>
    </w:p>
    <w:p w14:paraId="3D012D00">
      <w:pPr>
        <w:pStyle w:val="9"/>
        <w:spacing w:after="0" w:line="249" w:lineRule="auto"/>
        <w:rPr>
          <w:rFonts w:hint="eastAsia"/>
        </w:rPr>
      </w:pPr>
    </w:p>
    <w:p w14:paraId="7C74BBE9">
      <w:pPr>
        <w:pStyle w:val="9"/>
        <w:spacing w:after="0" w:line="249" w:lineRule="auto"/>
        <w:rPr>
          <w:rFonts w:hint="eastAsia"/>
        </w:rPr>
      </w:pPr>
      <w:r>
        <w:rPr>
          <w:rFonts w:hint="eastAsia"/>
        </w:rPr>
        <w:t>Communicated by Way of Vision and Symbol</w:t>
      </w:r>
    </w:p>
    <w:p w14:paraId="47CDD792">
      <w:pPr>
        <w:pStyle w:val="9"/>
        <w:spacing w:after="0" w:line="249" w:lineRule="auto"/>
        <w:rPr>
          <w:rFonts w:hint="eastAsia"/>
        </w:rPr>
      </w:pPr>
      <w:r>
        <w:rPr>
          <w:rFonts w:hint="eastAsia"/>
        </w:rPr>
        <w:t>通过异象和象征来传达</w:t>
      </w:r>
    </w:p>
    <w:p w14:paraId="19170840">
      <w:pPr>
        <w:pStyle w:val="9"/>
        <w:spacing w:after="0" w:line="249" w:lineRule="auto"/>
        <w:rPr>
          <w:rFonts w:hint="eastAsia"/>
        </w:rPr>
      </w:pPr>
    </w:p>
    <w:p w14:paraId="283A2054">
      <w:pPr>
        <w:pStyle w:val="9"/>
        <w:spacing w:after="0" w:line="249" w:lineRule="auto"/>
        <w:rPr>
          <w:rFonts w:hint="eastAsia"/>
        </w:rPr>
      </w:pPr>
      <w:r>
        <w:rPr>
          <w:rFonts w:hint="eastAsia"/>
        </w:rPr>
        <w:t>This is the third element of biblical apocalyptic, namely that it uses vision and symbol to communicate prophetic truth about Salvation History.</w:t>
      </w:r>
    </w:p>
    <w:p w14:paraId="59E0C2EE">
      <w:pPr>
        <w:pStyle w:val="9"/>
        <w:spacing w:after="0" w:line="249" w:lineRule="auto"/>
        <w:rPr>
          <w:rFonts w:hint="eastAsia"/>
        </w:rPr>
      </w:pPr>
      <w:r>
        <w:rPr>
          <w:rFonts w:hint="eastAsia"/>
        </w:rPr>
        <w:t>这是圣经启示文学的第三个元素，即它使用异象和象征来传达关于救赎历史的预言性真理。</w:t>
      </w:r>
    </w:p>
    <w:p w14:paraId="1EFA49F3">
      <w:pPr>
        <w:pStyle w:val="9"/>
        <w:spacing w:after="0" w:line="249" w:lineRule="auto"/>
        <w:rPr>
          <w:rFonts w:hint="eastAsia"/>
        </w:rPr>
      </w:pPr>
    </w:p>
    <w:p w14:paraId="313F327D">
      <w:pPr>
        <w:pStyle w:val="9"/>
        <w:spacing w:after="0" w:line="249" w:lineRule="auto"/>
        <w:rPr>
          <w:rFonts w:hint="eastAsia"/>
        </w:rPr>
      </w:pPr>
      <w:r>
        <w:rPr>
          <w:rFonts w:hint="eastAsia"/>
        </w:rPr>
        <w:t>But once again we find that the Revelation does this in a unique manner, since it uses vision and symbol, not to veil truth yet to come, but simply to celebrate truth previously unveiled in the Gospels, the Acts, and the Epistles.</w:t>
      </w:r>
    </w:p>
    <w:p w14:paraId="7E3D9AA9">
      <w:pPr>
        <w:pStyle w:val="9"/>
        <w:spacing w:after="0" w:line="249" w:lineRule="auto"/>
        <w:rPr>
          <w:rFonts w:hint="eastAsia"/>
        </w:rPr>
      </w:pPr>
      <w:r>
        <w:rPr>
          <w:rFonts w:hint="eastAsia"/>
        </w:rPr>
        <w:t>但我们再次发现，启示录以一种独特的方式这样做，因为它使用异象和象征，不是为了遮盖尚未来临的真理，而仅仅是为了庆祝先前在福音书、使徒行传和书信中已揭示的真理。</w:t>
      </w:r>
    </w:p>
    <w:p w14:paraId="0A6ED7C9">
      <w:pPr>
        <w:pStyle w:val="9"/>
        <w:spacing w:after="0" w:line="249" w:lineRule="auto"/>
        <w:rPr>
          <w:rFonts w:hint="eastAsia"/>
        </w:rPr>
      </w:pPr>
    </w:p>
    <w:p w14:paraId="70A2924A">
      <w:pPr>
        <w:pStyle w:val="9"/>
        <w:spacing w:after="0" w:line="249" w:lineRule="auto"/>
        <w:rPr>
          <w:rFonts w:hint="eastAsia"/>
        </w:rPr>
      </w:pPr>
      <w:r>
        <w:rPr>
          <w:rFonts w:hint="eastAsia"/>
        </w:rPr>
        <w:t>Therefore, its language is not really “mysterious,” since in the Didactic NT we already have the keys by which to understand it.</w:t>
      </w:r>
    </w:p>
    <w:p w14:paraId="3CB2FF31">
      <w:pPr>
        <w:pStyle w:val="9"/>
        <w:spacing w:after="0" w:line="249" w:lineRule="auto"/>
        <w:rPr>
          <w:rFonts w:hint="eastAsia"/>
        </w:rPr>
      </w:pPr>
      <w:r>
        <w:rPr>
          <w:rFonts w:hint="eastAsia"/>
        </w:rPr>
        <w:t>因此，它的语言并非真正“神秘”，因为在教导性新约中，我们已经有了理解它的钥匙。</w:t>
      </w:r>
    </w:p>
    <w:p w14:paraId="1C69CBB3">
      <w:pPr>
        <w:pStyle w:val="9"/>
        <w:spacing w:after="0" w:line="249" w:lineRule="auto"/>
        <w:rPr>
          <w:rFonts w:hint="eastAsia"/>
        </w:rPr>
      </w:pPr>
    </w:p>
    <w:p w14:paraId="1DD05E5D">
      <w:pPr>
        <w:pStyle w:val="9"/>
        <w:spacing w:after="0" w:line="249" w:lineRule="auto"/>
        <w:rPr>
          <w:rFonts w:hint="eastAsia"/>
        </w:rPr>
      </w:pPr>
      <w:r>
        <w:rPr>
          <w:rFonts w:hint="eastAsia"/>
        </w:rPr>
        <w:t>It is, however, still symbolic, with the result that we must interpret its images symbolically, rather than literally.</w:t>
      </w:r>
    </w:p>
    <w:p w14:paraId="54A7E8D8">
      <w:pPr>
        <w:pStyle w:val="9"/>
        <w:spacing w:after="0" w:line="249" w:lineRule="auto"/>
        <w:rPr>
          <w:rFonts w:hint="eastAsia"/>
        </w:rPr>
      </w:pPr>
      <w:r>
        <w:rPr>
          <w:rFonts w:hint="eastAsia"/>
        </w:rPr>
        <w:t>然而，它仍然是象征性的，结果是我们必须象征性地而非字面地来解释它的意象。</w:t>
      </w:r>
    </w:p>
    <w:p w14:paraId="1413CBFA">
      <w:pPr>
        <w:pStyle w:val="9"/>
        <w:spacing w:after="0" w:line="249" w:lineRule="auto"/>
        <w:rPr>
          <w:rFonts w:hint="eastAsia"/>
        </w:rPr>
      </w:pPr>
    </w:p>
    <w:p w14:paraId="59599390">
      <w:pPr>
        <w:pStyle w:val="9"/>
        <w:spacing w:after="0" w:line="249" w:lineRule="auto"/>
        <w:rPr>
          <w:rFonts w:hint="eastAsia"/>
        </w:rPr>
      </w:pPr>
      <w:r>
        <w:rPr>
          <w:rFonts w:hint="eastAsia"/>
        </w:rPr>
        <w:t>If there were any doubt about this, it should be quickly dispelled simply by looking at the first verse of the Revelation.</w:t>
      </w:r>
    </w:p>
    <w:p w14:paraId="1DAB4F71">
      <w:pPr>
        <w:pStyle w:val="9"/>
        <w:spacing w:after="0" w:line="249" w:lineRule="auto"/>
        <w:rPr>
          <w:rFonts w:hint="eastAsia"/>
        </w:rPr>
      </w:pPr>
      <w:r>
        <w:rPr>
          <w:rFonts w:hint="eastAsia"/>
        </w:rPr>
        <w:t>如果对此有任何疑问，只需看一看启示录的第一节经文就应该很快消除。</w:t>
      </w:r>
    </w:p>
    <w:p w14:paraId="1F469D3A">
      <w:pPr>
        <w:pStyle w:val="9"/>
        <w:spacing w:after="0" w:line="249" w:lineRule="auto"/>
        <w:rPr>
          <w:rFonts w:hint="eastAsia"/>
        </w:rPr>
      </w:pPr>
    </w:p>
    <w:p w14:paraId="0598B0F2">
      <w:pPr>
        <w:pStyle w:val="9"/>
        <w:spacing w:after="0" w:line="249" w:lineRule="auto"/>
        <w:rPr>
          <w:rFonts w:hint="eastAsia"/>
        </w:rPr>
      </w:pPr>
      <w:r>
        <w:rPr>
          <w:rFonts w:hint="eastAsia"/>
        </w:rPr>
        <w:t>There we learn that God “… sent and signified (the Revelation) by his angel to his servant John” (1:1).</w:t>
      </w:r>
    </w:p>
    <w:p w14:paraId="140EC228">
      <w:pPr>
        <w:pStyle w:val="9"/>
        <w:spacing w:after="0" w:line="249" w:lineRule="auto"/>
        <w:rPr>
          <w:rFonts w:hint="eastAsia"/>
        </w:rPr>
      </w:pPr>
      <w:r>
        <w:rPr>
          <w:rFonts w:hint="eastAsia"/>
        </w:rPr>
        <w:t>在那里我们得知，神“……差遣使者晓谕（启示录）祂的仆人约翰”（1:1）。</w:t>
      </w:r>
    </w:p>
    <w:p w14:paraId="2725466D">
      <w:pPr>
        <w:pStyle w:val="9"/>
        <w:spacing w:after="0" w:line="249" w:lineRule="auto"/>
        <w:rPr>
          <w:rFonts w:hint="eastAsia"/>
        </w:rPr>
      </w:pPr>
    </w:p>
    <w:p w14:paraId="2B65596B">
      <w:pPr>
        <w:pStyle w:val="9"/>
        <w:spacing w:after="0" w:line="249" w:lineRule="auto"/>
        <w:rPr>
          <w:rFonts w:hint="eastAsia"/>
        </w:rPr>
      </w:pPr>
      <w:r>
        <w:rPr>
          <w:rFonts w:hint="eastAsia"/>
        </w:rPr>
        <w:t>The Greek word for “signify” is semaino, a verb closely related to the noun semeion, meaning “sign.”</w:t>
      </w:r>
    </w:p>
    <w:p w14:paraId="7BD8BCD9">
      <w:pPr>
        <w:pStyle w:val="9"/>
        <w:spacing w:after="0" w:line="249" w:lineRule="auto"/>
        <w:rPr>
          <w:rFonts w:hint="eastAsia"/>
        </w:rPr>
      </w:pPr>
      <w:r>
        <w:rPr>
          <w:rFonts w:hint="eastAsia"/>
        </w:rPr>
        <w:t>“晓谕”的希腊词是semaino，这个动词与名词semeion密切相关，意为“记号”。</w:t>
      </w:r>
    </w:p>
    <w:p w14:paraId="742D3918">
      <w:pPr>
        <w:pStyle w:val="9"/>
        <w:spacing w:after="0" w:line="249" w:lineRule="auto"/>
        <w:rPr>
          <w:rFonts w:hint="eastAsia"/>
        </w:rPr>
      </w:pPr>
    </w:p>
    <w:p w14:paraId="3906CBE9">
      <w:pPr>
        <w:pStyle w:val="9"/>
        <w:spacing w:after="0" w:line="249" w:lineRule="auto"/>
        <w:rPr>
          <w:rFonts w:hint="eastAsia"/>
        </w:rPr>
      </w:pPr>
      <w:r>
        <w:rPr>
          <w:rFonts w:hint="eastAsia"/>
        </w:rPr>
        <w:t>So then, in choosing this particular word to describe the prophecy as a whole, the Spirit teaches and admonishes us to interpret the Revelation as a book of signs or symbols.</w:t>
      </w:r>
    </w:p>
    <w:p w14:paraId="0EA0D52F">
      <w:pPr>
        <w:pStyle w:val="9"/>
        <w:spacing w:after="0" w:line="249" w:lineRule="auto"/>
        <w:rPr>
          <w:rFonts w:hint="eastAsia"/>
        </w:rPr>
      </w:pPr>
      <w:r>
        <w:rPr>
          <w:rFonts w:hint="eastAsia"/>
        </w:rPr>
        <w:t>所以，在选择这个特定的词来描述整个预言时，圣灵教导并告诫我们要将启示录解释为一本记号或象征的书。</w:t>
      </w:r>
    </w:p>
    <w:p w14:paraId="28E6E656">
      <w:pPr>
        <w:pStyle w:val="9"/>
        <w:spacing w:after="0" w:line="249" w:lineRule="auto"/>
        <w:rPr>
          <w:rFonts w:hint="eastAsia"/>
        </w:rPr>
      </w:pPr>
    </w:p>
    <w:p w14:paraId="24D48CBD">
      <w:pPr>
        <w:pStyle w:val="9"/>
        <w:spacing w:after="0" w:line="249" w:lineRule="auto"/>
        <w:rPr>
          <w:rFonts w:hint="eastAsia"/>
        </w:rPr>
      </w:pPr>
      <w:r>
        <w:rPr>
          <w:rFonts w:hint="eastAsia"/>
        </w:rPr>
        <w:t>If we will obey him, we will not go far wrong.</w:t>
      </w:r>
    </w:p>
    <w:p w14:paraId="5EC71F38">
      <w:pPr>
        <w:pStyle w:val="9"/>
        <w:spacing w:after="0" w:line="249" w:lineRule="auto"/>
        <w:rPr>
          <w:rFonts w:hint="eastAsia"/>
        </w:rPr>
      </w:pPr>
      <w:r>
        <w:rPr>
          <w:rFonts w:hint="eastAsia"/>
        </w:rPr>
        <w:t>如果我们顺服祂，我们就不会错得太远。</w:t>
      </w:r>
    </w:p>
    <w:p w14:paraId="086BC209">
      <w:pPr>
        <w:pStyle w:val="9"/>
        <w:spacing w:after="0" w:line="249" w:lineRule="auto"/>
        <w:rPr>
          <w:rFonts w:hint="eastAsia"/>
        </w:rPr>
      </w:pPr>
    </w:p>
    <w:p w14:paraId="0D845F05">
      <w:pPr>
        <w:pStyle w:val="9"/>
        <w:spacing w:after="0" w:line="249" w:lineRule="auto"/>
        <w:rPr>
          <w:rFonts w:hint="eastAsia"/>
        </w:rPr>
      </w:pPr>
      <w:r>
        <w:rPr>
          <w:rFonts w:hint="eastAsia"/>
        </w:rPr>
        <w:t>It is true, or course, that all interpreters, whatever their eschatological persuasion, are ready to acknowledge that the Revelation contains symbols.</w:t>
      </w:r>
    </w:p>
    <w:p w14:paraId="4C3E0A1E">
      <w:pPr>
        <w:pStyle w:val="9"/>
        <w:spacing w:after="0" w:line="249" w:lineRule="auto"/>
        <w:rPr>
          <w:rFonts w:hint="eastAsia"/>
        </w:rPr>
      </w:pPr>
      <w:r>
        <w:rPr>
          <w:rFonts w:hint="eastAsia"/>
        </w:rPr>
        <w:t>当然，所有解经家，无论他们的末世论派别如何，都愿意承认启示录包含象征。</w:t>
      </w:r>
    </w:p>
    <w:p w14:paraId="22E432C5">
      <w:pPr>
        <w:pStyle w:val="9"/>
        <w:spacing w:after="0" w:line="249" w:lineRule="auto"/>
        <w:rPr>
          <w:rFonts w:hint="eastAsia"/>
        </w:rPr>
      </w:pPr>
    </w:p>
    <w:p w14:paraId="611BA36B">
      <w:pPr>
        <w:pStyle w:val="9"/>
        <w:spacing w:after="0" w:line="249" w:lineRule="auto"/>
        <w:rPr>
          <w:rFonts w:hint="eastAsia"/>
        </w:rPr>
      </w:pPr>
      <w:r>
        <w:rPr>
          <w:rFonts w:hint="eastAsia"/>
        </w:rPr>
        <w:t>However, some interpreters, while agreeing that the Revelation contains symbols, refuse to acknowledge that in virtue of its literary genre it is in fact a book of symbols, a book that must therefore be interpreted symbolically from start to finish.</w:t>
      </w:r>
    </w:p>
    <w:p w14:paraId="71547D24">
      <w:pPr>
        <w:pStyle w:val="9"/>
        <w:spacing w:after="0" w:line="249" w:lineRule="auto"/>
        <w:rPr>
          <w:rFonts w:hint="eastAsia"/>
        </w:rPr>
      </w:pPr>
      <w:r>
        <w:rPr>
          <w:rFonts w:hint="eastAsia"/>
        </w:rPr>
        <w:t>然而，一些解经家，虽然同意启示录包含象征，却拒绝承认，由于其文学体裁的缘故，它实际上是一本象征的书，一本因此必须从头到尾象征性地解释的书。</w:t>
      </w:r>
    </w:p>
    <w:p w14:paraId="29178A9B">
      <w:pPr>
        <w:pStyle w:val="9"/>
        <w:spacing w:after="0" w:line="249" w:lineRule="auto"/>
        <w:rPr>
          <w:rFonts w:hint="eastAsia"/>
        </w:rPr>
      </w:pPr>
    </w:p>
    <w:p w14:paraId="6A55328F">
      <w:pPr>
        <w:pStyle w:val="9"/>
        <w:spacing w:after="0" w:line="249" w:lineRule="auto"/>
        <w:rPr>
          <w:rFonts w:hint="eastAsia"/>
        </w:rPr>
      </w:pPr>
      <w:r>
        <w:rPr>
          <w:rFonts w:hint="eastAsia"/>
        </w:rPr>
        <w:t>The result of this refusal is an inconsistent hermeneutic.</w:t>
      </w:r>
    </w:p>
    <w:p w14:paraId="0F3CBEAF">
      <w:pPr>
        <w:pStyle w:val="9"/>
        <w:spacing w:after="0" w:line="249" w:lineRule="auto"/>
        <w:rPr>
          <w:rFonts w:hint="eastAsia"/>
        </w:rPr>
      </w:pPr>
      <w:r>
        <w:rPr>
          <w:rFonts w:hint="eastAsia"/>
        </w:rPr>
        <w:t>这种拒绝的结果是一种不一致的解释学。</w:t>
      </w:r>
    </w:p>
    <w:p w14:paraId="2E7CEF5E">
      <w:pPr>
        <w:pStyle w:val="9"/>
        <w:spacing w:after="0" w:line="249" w:lineRule="auto"/>
        <w:rPr>
          <w:rFonts w:hint="eastAsia"/>
        </w:rPr>
      </w:pPr>
    </w:p>
    <w:p w14:paraId="79D04F6C">
      <w:pPr>
        <w:pStyle w:val="9"/>
        <w:spacing w:after="0" w:line="249" w:lineRule="auto"/>
        <w:rPr>
          <w:rFonts w:hint="eastAsia"/>
        </w:rPr>
      </w:pPr>
      <w:r>
        <w:rPr>
          <w:rFonts w:hint="eastAsia"/>
        </w:rPr>
        <w:t>For example, pressured by the obvious, the prophetic literalist will readily concede that the sword coming from Christ’s mouth is a symbol for the word of God (1:16); or that the Spirit symbolizes the exalted Christ as a Lamb with seven horns and seven eyes in order to remind us that our Sacrifice for sin is now the omnipotent and omniscient High King and High Priest of Heaven (5:6).</w:t>
      </w:r>
    </w:p>
    <w:p w14:paraId="6546BF70">
      <w:pPr>
        <w:pStyle w:val="9"/>
        <w:spacing w:after="0" w:line="249" w:lineRule="auto"/>
        <w:rPr>
          <w:rFonts w:hint="eastAsia"/>
        </w:rPr>
      </w:pPr>
      <w:r>
        <w:rPr>
          <w:rFonts w:hint="eastAsia"/>
        </w:rPr>
        <w:t>例如，迫于明显的证据，预言字面主义者会欣然承认基督口中出来的刀是神话语的象征（1:16）；或者圣灵将高举的基督象征为有七角七眼的羔羊，以提醒我们我们为罪所献的祭如今是全能全知的天上至高君王和至高祭司（5:6）。</w:t>
      </w:r>
    </w:p>
    <w:p w14:paraId="0E21C5B3">
      <w:pPr>
        <w:pStyle w:val="9"/>
        <w:spacing w:after="0" w:line="249" w:lineRule="auto"/>
        <w:rPr>
          <w:rFonts w:hint="eastAsia"/>
        </w:rPr>
      </w:pPr>
    </w:p>
    <w:p w14:paraId="1ECE2B35">
      <w:pPr>
        <w:pStyle w:val="9"/>
        <w:spacing w:after="0" w:line="249" w:lineRule="auto"/>
        <w:rPr>
          <w:rFonts w:hint="eastAsia"/>
        </w:rPr>
      </w:pPr>
      <w:r>
        <w:rPr>
          <w:rFonts w:hint="eastAsia"/>
        </w:rPr>
        <w:t>When, however, the literalist comes to the 144,000 of all the tribes of the children of Israel (7:4); or to the Two Witnesses who prophesy and (briefly) perish on the streets of the Great City (11:8); or to Christ’s admonition to the saints against taking the mark of the Beast (13:16-18); or to the gathering of the kings of the whole world at the Mountain of Megiddo (16:14) … then he suddenly abandons the symbolic hermeneutic for a literal, thereby abandoning a consistent method of interpretation for an inconsistent.</w:t>
      </w:r>
    </w:p>
    <w:p w14:paraId="0606090D">
      <w:pPr>
        <w:pStyle w:val="9"/>
        <w:spacing w:after="0" w:line="249" w:lineRule="auto"/>
        <w:rPr>
          <w:rFonts w:hint="eastAsia"/>
        </w:rPr>
      </w:pPr>
      <w:r>
        <w:rPr>
          <w:rFonts w:hint="eastAsia"/>
        </w:rPr>
        <w:t>然而，当字面主义者读到以色列人各支派中十四万四千人时（7:4）；或读到在那大城街道上说预言并（短暂）灭亡的两个见证人时（11:8）；或读到基督告诫圣徒不要受兽的印记时（13:16-18）；或读到普天下众王聚集在米吉多山时（16:14）……他就突然放弃了象征性的解释学，转而采用字面的解释，从而放弃了一致的解释方法，转向了不一致的方法。</w:t>
      </w:r>
    </w:p>
    <w:p w14:paraId="5B658BEA">
      <w:pPr>
        <w:pStyle w:val="9"/>
        <w:spacing w:after="0" w:line="249" w:lineRule="auto"/>
        <w:rPr>
          <w:rFonts w:hint="eastAsia"/>
        </w:rPr>
      </w:pPr>
    </w:p>
    <w:p w14:paraId="4CDE5D4B">
      <w:pPr>
        <w:pStyle w:val="9"/>
        <w:spacing w:after="0" w:line="249" w:lineRule="auto"/>
        <w:rPr>
          <w:rFonts w:hint="eastAsia"/>
        </w:rPr>
      </w:pPr>
      <w:r>
        <w:rPr>
          <w:rFonts w:hint="eastAsia"/>
        </w:rPr>
        <w:t>How well I remember a certain respected prophetic literalist complain that a symbolic, typological hermeneutic will leave the prophetic interpreter “at sea,” bobbing up and down on the swells of mere subjectivity.</w:t>
      </w:r>
    </w:p>
    <w:p w14:paraId="6ED08B57">
      <w:pPr>
        <w:pStyle w:val="9"/>
        <w:spacing w:after="0" w:line="249" w:lineRule="auto"/>
        <w:rPr>
          <w:rFonts w:hint="eastAsia"/>
        </w:rPr>
      </w:pPr>
      <w:r>
        <w:rPr>
          <w:rFonts w:hint="eastAsia"/>
        </w:rPr>
        <w:t>我清楚地记得一位受人尊敬的预言字面主义者抱怨说，一个象征性的、预表性的解释学会让预言解释者“迷失方向”，在纯粹主观的浪潮中起伏不定。</w:t>
      </w:r>
    </w:p>
    <w:p w14:paraId="38B2735E">
      <w:pPr>
        <w:pStyle w:val="9"/>
        <w:spacing w:after="0" w:line="249" w:lineRule="auto"/>
        <w:rPr>
          <w:rFonts w:hint="eastAsia"/>
        </w:rPr>
      </w:pPr>
    </w:p>
    <w:p w14:paraId="3C8CFE01">
      <w:pPr>
        <w:pStyle w:val="9"/>
        <w:spacing w:after="0" w:line="249" w:lineRule="auto"/>
        <w:rPr>
          <w:rFonts w:hint="eastAsia"/>
        </w:rPr>
      </w:pPr>
      <w:r>
        <w:rPr>
          <w:rFonts w:hint="eastAsia"/>
        </w:rPr>
        <w:t>But perhaps it is really the literalist who is at sea, bobbing back and forth at his own good pleasure between two diametrically opposed approaches to the interpretation of apocalyptic literature in general, and the Revelation in particular.</w:t>
      </w:r>
    </w:p>
    <w:p w14:paraId="2332E205">
      <w:pPr>
        <w:pStyle w:val="9"/>
        <w:spacing w:after="0" w:line="249" w:lineRule="auto"/>
        <w:rPr>
          <w:rFonts w:hint="eastAsia"/>
        </w:rPr>
      </w:pPr>
      <w:r>
        <w:rPr>
          <w:rFonts w:hint="eastAsia"/>
        </w:rPr>
        <w:t>但或许真正迷失方向的是字面主义者，他在两种截然相反的解释启示文学，特别是启示录的方法之间，随心所欲地摇摆不定。</w:t>
      </w:r>
    </w:p>
    <w:p w14:paraId="50411B32">
      <w:pPr>
        <w:pStyle w:val="9"/>
        <w:spacing w:after="0" w:line="249" w:lineRule="auto"/>
        <w:rPr>
          <w:rFonts w:hint="eastAsia"/>
        </w:rPr>
      </w:pPr>
    </w:p>
    <w:p w14:paraId="0C5ABB93">
      <w:pPr>
        <w:pStyle w:val="9"/>
        <w:spacing w:after="0" w:line="249" w:lineRule="auto"/>
        <w:rPr>
          <w:rFonts w:hint="eastAsia"/>
        </w:rPr>
      </w:pPr>
      <w:r>
        <w:rPr>
          <w:rFonts w:hint="eastAsia"/>
        </w:rPr>
        <w:t>If, then, we hope to understand the Revelation—and especially chapter 20—we must recognize that it is indeed a unique instance of biblical apocalyptic; that it communicates previously revealed NT truth in vision and symbol; that it does so consistently, in all portions of the book (save for chapters 2-3, where didactic teaching predominates); and that in order to understand it, we must consistently adopt an appropriate hermeneutic.</w:t>
      </w:r>
    </w:p>
    <w:p w14:paraId="54AB7C1D">
      <w:pPr>
        <w:pStyle w:val="9"/>
        <w:spacing w:after="0" w:line="249" w:lineRule="auto"/>
        <w:rPr>
          <w:rFonts w:hint="eastAsia"/>
        </w:rPr>
      </w:pPr>
      <w:r>
        <w:rPr>
          <w:rFonts w:hint="eastAsia"/>
        </w:rPr>
        <w:t>那么，如果我们希望理解启示录——特别是第20章——我们必须认识到它确实是圣经启示文学的一个独特实例；它通过异象和象征来传达先前已揭示的新约真理；它在书的所有部分都一致地这样做（除了第2-3章，那里以教导性教义为主）；并且为了理解它，我们必须一致地采用一种适当的解释学。</w:t>
      </w:r>
    </w:p>
    <w:p w14:paraId="62B8E29E">
      <w:pPr>
        <w:pStyle w:val="9"/>
        <w:spacing w:after="0" w:line="249" w:lineRule="auto"/>
        <w:rPr>
          <w:rFonts w:hint="eastAsia"/>
        </w:rPr>
      </w:pPr>
    </w:p>
    <w:p w14:paraId="7AAB9978">
      <w:pPr>
        <w:pStyle w:val="9"/>
        <w:spacing w:after="0" w:line="249" w:lineRule="auto"/>
        <w:rPr>
          <w:rFonts w:hint="eastAsia"/>
        </w:rPr>
      </w:pPr>
      <w:r>
        <w:rPr>
          <w:rFonts w:hint="eastAsia"/>
        </w:rPr>
        <w:t>That would be the NCH, according to which we see all biblical prophecy as using types, shadows, and symbols to communicate “true truth”—NT truth —about Christ, the Eternal Covenant, and the twofold spiritual Kingdom he introduced under that covenant.</w:t>
      </w:r>
    </w:p>
    <w:p w14:paraId="25740F9C">
      <w:pPr>
        <w:pStyle w:val="9"/>
        <w:spacing w:after="0" w:line="249" w:lineRule="auto"/>
        <w:rPr>
          <w:rFonts w:hint="eastAsia"/>
        </w:rPr>
      </w:pPr>
      <w:r>
        <w:rPr>
          <w:rFonts w:hint="eastAsia"/>
        </w:rPr>
        <w:t>那就是新约解释学（NCH），根据它，我们看到所有圣经预言都使用预表、影像和象征来传达关于基督、永恒之约，以及祂在该约下引入的双重属灵国度的“真正真理”——即新约真理。</w:t>
      </w:r>
    </w:p>
    <w:p w14:paraId="13E8D793">
      <w:pPr>
        <w:pStyle w:val="9"/>
        <w:spacing w:after="0" w:line="249" w:lineRule="auto"/>
        <w:rPr>
          <w:rFonts w:hint="eastAsia"/>
        </w:rPr>
      </w:pPr>
    </w:p>
    <w:p w14:paraId="01B9BF02">
      <w:pPr>
        <w:pStyle w:val="9"/>
        <w:spacing w:after="0" w:line="249" w:lineRule="auto"/>
        <w:rPr>
          <w:rFonts w:hint="eastAsia"/>
        </w:rPr>
      </w:pPr>
      <w:r>
        <w:rPr>
          <w:rFonts w:hint="eastAsia"/>
        </w:rPr>
        <w:t>When we do, we will immediately understand the 144,000, the Two Witnesses, the Mark of the Beast, the Battle of Armageddon, and the thousand year reign of Christ proclaimed in Revelation 20.</w:t>
      </w:r>
    </w:p>
    <w:p w14:paraId="18DB0797">
      <w:pPr>
        <w:pStyle w:val="9"/>
        <w:spacing w:after="0" w:line="249" w:lineRule="auto"/>
        <w:rPr>
          <w:rFonts w:hint="eastAsia"/>
        </w:rPr>
      </w:pPr>
      <w:r>
        <w:rPr>
          <w:rFonts w:hint="eastAsia"/>
        </w:rPr>
        <w:t>当我们这样做时，我们将立刻理解十四万四千人、两个见证人、兽的印记、哈米吉多顿之战，以及启示录第20章所宣告的基督千年统治。</w:t>
      </w:r>
    </w:p>
    <w:p w14:paraId="56A0C8F3">
      <w:pPr>
        <w:pStyle w:val="9"/>
        <w:spacing w:after="0" w:line="249" w:lineRule="auto"/>
        <w:rPr>
          <w:rFonts w:hint="eastAsia"/>
        </w:rPr>
      </w:pPr>
    </w:p>
    <w:p w14:paraId="44AE8EA5">
      <w:pPr>
        <w:pStyle w:val="9"/>
        <w:spacing w:after="0" w:line="249" w:lineRule="auto"/>
        <w:rPr>
          <w:rFonts w:hint="eastAsia"/>
        </w:rPr>
      </w:pPr>
      <w:r>
        <w:rPr>
          <w:rFonts w:hint="eastAsia"/>
        </w:rPr>
        <w:t>Serving as the Grand Finale of All Scripture</w:t>
      </w:r>
    </w:p>
    <w:p w14:paraId="591A3E92">
      <w:pPr>
        <w:pStyle w:val="9"/>
        <w:spacing w:after="0" w:line="249" w:lineRule="auto"/>
        <w:rPr>
          <w:rFonts w:hint="eastAsia"/>
        </w:rPr>
      </w:pPr>
      <w:r>
        <w:rPr>
          <w:rFonts w:hint="eastAsia"/>
        </w:rPr>
        <w:t>作为所有圣经的宏伟终曲</w:t>
      </w:r>
    </w:p>
    <w:p w14:paraId="551D7C92">
      <w:pPr>
        <w:pStyle w:val="9"/>
        <w:spacing w:after="0" w:line="249" w:lineRule="auto"/>
        <w:rPr>
          <w:rFonts w:hint="eastAsia"/>
        </w:rPr>
      </w:pPr>
    </w:p>
    <w:p w14:paraId="552A3019">
      <w:pPr>
        <w:pStyle w:val="9"/>
        <w:spacing w:after="0" w:line="249" w:lineRule="auto"/>
        <w:rPr>
          <w:rFonts w:hint="eastAsia"/>
        </w:rPr>
      </w:pPr>
      <w:r>
        <w:rPr>
          <w:rFonts w:hint="eastAsia"/>
        </w:rPr>
        <w:t>I have argued that the Revelation is indeed an instance of biblical apocalyptic, but also that it is a unique instance, appearing as it does at the end of the Bible, where it serves as the Grand Finale of all Scripture; of all special revelation.</w:t>
      </w:r>
    </w:p>
    <w:p w14:paraId="039C4962">
      <w:pPr>
        <w:pStyle w:val="9"/>
        <w:spacing w:after="0" w:line="249" w:lineRule="auto"/>
        <w:rPr>
          <w:rFonts w:hint="eastAsia"/>
        </w:rPr>
      </w:pPr>
      <w:r>
        <w:rPr>
          <w:rFonts w:hint="eastAsia"/>
        </w:rPr>
        <w:t>我已论证，启示录确实是圣经启示文学的一个实例，但也是一个独特的实例，因为它出现在圣经的末尾，在那里它作为所有圣经；所有特殊启示的宏伟终曲。</w:t>
      </w:r>
    </w:p>
    <w:p w14:paraId="4B60B068">
      <w:pPr>
        <w:pStyle w:val="9"/>
        <w:spacing w:after="0" w:line="249" w:lineRule="auto"/>
        <w:rPr>
          <w:rFonts w:hint="eastAsia"/>
        </w:rPr>
      </w:pPr>
    </w:p>
    <w:p w14:paraId="00D342C6">
      <w:pPr>
        <w:pStyle w:val="9"/>
        <w:spacing w:after="0" w:line="249" w:lineRule="auto"/>
        <w:rPr>
          <w:rFonts w:hint="eastAsia"/>
        </w:rPr>
      </w:pPr>
      <w:r>
        <w:rPr>
          <w:rFonts w:hint="eastAsia"/>
        </w:rPr>
        <w:t>Since this point is so important for a proper understanding of the book as a whole, let us pause to consider it more closely.</w:t>
      </w:r>
    </w:p>
    <w:p w14:paraId="35103396">
      <w:pPr>
        <w:pStyle w:val="9"/>
        <w:spacing w:after="0" w:line="249" w:lineRule="auto"/>
        <w:rPr>
          <w:rFonts w:hint="eastAsia"/>
        </w:rPr>
      </w:pPr>
      <w:r>
        <w:rPr>
          <w:rFonts w:hint="eastAsia"/>
        </w:rPr>
        <w:t>既然这一点对于正确理解整本书如此重要，让我们暂停一下，更仔细地思考它。</w:t>
      </w:r>
    </w:p>
    <w:p w14:paraId="10C4C7F8">
      <w:pPr>
        <w:pStyle w:val="9"/>
        <w:spacing w:after="0" w:line="249" w:lineRule="auto"/>
        <w:rPr>
          <w:rFonts w:hint="eastAsia"/>
        </w:rPr>
      </w:pPr>
    </w:p>
    <w:p w14:paraId="040BB94B">
      <w:pPr>
        <w:pStyle w:val="9"/>
        <w:spacing w:after="0" w:line="249" w:lineRule="auto"/>
        <w:rPr>
          <w:rFonts w:hint="eastAsia"/>
        </w:rPr>
      </w:pPr>
      <w:r>
        <w:rPr>
          <w:rFonts w:hint="eastAsia"/>
        </w:rPr>
        <w:t>Think for a moment of your favorite symphony.</w:t>
      </w:r>
    </w:p>
    <w:p w14:paraId="47069552">
      <w:pPr>
        <w:pStyle w:val="9"/>
        <w:spacing w:after="0" w:line="249" w:lineRule="auto"/>
        <w:rPr>
          <w:rFonts w:hint="eastAsia"/>
        </w:rPr>
      </w:pPr>
      <w:r>
        <w:rPr>
          <w:rFonts w:hint="eastAsia"/>
        </w:rPr>
        <w:t>想一想你最喜欢的交响乐。</w:t>
      </w:r>
    </w:p>
    <w:p w14:paraId="078C6876">
      <w:pPr>
        <w:pStyle w:val="9"/>
        <w:spacing w:after="0" w:line="249" w:lineRule="auto"/>
        <w:rPr>
          <w:rFonts w:hint="eastAsia"/>
        </w:rPr>
      </w:pPr>
    </w:p>
    <w:p w14:paraId="785AE946">
      <w:pPr>
        <w:pStyle w:val="9"/>
        <w:spacing w:after="0" w:line="249" w:lineRule="auto"/>
        <w:rPr>
          <w:rFonts w:hint="eastAsia"/>
        </w:rPr>
      </w:pPr>
      <w:r>
        <w:rPr>
          <w:rFonts w:hint="eastAsia"/>
        </w:rPr>
        <w:t>Now think of its final movement.</w:t>
      </w:r>
    </w:p>
    <w:p w14:paraId="27D60E5E">
      <w:pPr>
        <w:pStyle w:val="9"/>
        <w:spacing w:after="0" w:line="249" w:lineRule="auto"/>
        <w:rPr>
          <w:rFonts w:hint="eastAsia"/>
        </w:rPr>
      </w:pPr>
      <w:r>
        <w:rPr>
          <w:rFonts w:hint="eastAsia"/>
        </w:rPr>
        <w:t>现在想想它的最后一个乐章。</w:t>
      </w:r>
    </w:p>
    <w:p w14:paraId="47352415">
      <w:pPr>
        <w:pStyle w:val="9"/>
        <w:spacing w:after="0" w:line="249" w:lineRule="auto"/>
        <w:rPr>
          <w:rFonts w:hint="eastAsia"/>
        </w:rPr>
      </w:pPr>
    </w:p>
    <w:p w14:paraId="4E718B40">
      <w:pPr>
        <w:pStyle w:val="9"/>
        <w:spacing w:after="0" w:line="249" w:lineRule="auto"/>
        <w:rPr>
          <w:rFonts w:hint="eastAsia"/>
        </w:rPr>
      </w:pPr>
      <w:r>
        <w:rPr>
          <w:rFonts w:hint="eastAsia"/>
        </w:rPr>
        <w:t>What is it that makes the final movement a grand finale?</w:t>
      </w:r>
    </w:p>
    <w:p w14:paraId="74FEACA2">
      <w:pPr>
        <w:pStyle w:val="9"/>
        <w:spacing w:after="0" w:line="249" w:lineRule="auto"/>
        <w:rPr>
          <w:rFonts w:hint="eastAsia"/>
        </w:rPr>
      </w:pPr>
      <w:r>
        <w:rPr>
          <w:rFonts w:hint="eastAsia"/>
        </w:rPr>
        <w:t>是什么让最后一个乐章成为宏伟的终曲？</w:t>
      </w:r>
    </w:p>
    <w:p w14:paraId="1505108D">
      <w:pPr>
        <w:pStyle w:val="9"/>
        <w:spacing w:after="0" w:line="249" w:lineRule="auto"/>
        <w:rPr>
          <w:rFonts w:hint="eastAsia"/>
        </w:rPr>
      </w:pPr>
    </w:p>
    <w:p w14:paraId="4B6B128F">
      <w:pPr>
        <w:pStyle w:val="9"/>
        <w:spacing w:after="0" w:line="249" w:lineRule="auto"/>
        <w:rPr>
          <w:rFonts w:hint="eastAsia"/>
        </w:rPr>
      </w:pPr>
      <w:r>
        <w:rPr>
          <w:rFonts w:hint="eastAsia"/>
        </w:rPr>
        <w:t>Three simple answers come to my mind.</w:t>
      </w:r>
    </w:p>
    <w:p w14:paraId="4C153BE7">
      <w:pPr>
        <w:pStyle w:val="9"/>
        <w:spacing w:after="0" w:line="249" w:lineRule="auto"/>
        <w:rPr>
          <w:rFonts w:hint="eastAsia"/>
        </w:rPr>
      </w:pPr>
      <w:r>
        <w:rPr>
          <w:rFonts w:hint="eastAsia"/>
        </w:rPr>
        <w:t>我想到了三个简单的答案。</w:t>
      </w:r>
    </w:p>
    <w:p w14:paraId="14745093">
      <w:pPr>
        <w:pStyle w:val="9"/>
        <w:spacing w:after="0" w:line="249" w:lineRule="auto"/>
        <w:rPr>
          <w:rFonts w:hint="eastAsia"/>
        </w:rPr>
      </w:pPr>
    </w:p>
    <w:p w14:paraId="49045C73">
      <w:pPr>
        <w:pStyle w:val="9"/>
        <w:spacing w:after="0" w:line="249" w:lineRule="auto"/>
        <w:rPr>
          <w:rFonts w:hint="eastAsia"/>
        </w:rPr>
      </w:pPr>
      <w:r>
        <w:rPr>
          <w:rFonts w:hint="eastAsia"/>
        </w:rPr>
        <w:t>First, it appears at the end of the symphony: There is no more music to come.</w:t>
      </w:r>
    </w:p>
    <w:p w14:paraId="0D8EFBA3">
      <w:pPr>
        <w:pStyle w:val="9"/>
        <w:spacing w:after="0" w:line="249" w:lineRule="auto"/>
        <w:rPr>
          <w:rFonts w:hint="eastAsia"/>
        </w:rPr>
      </w:pPr>
      <w:r>
        <w:rPr>
          <w:rFonts w:hint="eastAsia"/>
        </w:rPr>
        <w:t>首先，它出现在交响乐的结尾：再也没有音乐了。</w:t>
      </w:r>
    </w:p>
    <w:p w14:paraId="54CBB052">
      <w:pPr>
        <w:pStyle w:val="9"/>
        <w:spacing w:after="0" w:line="249" w:lineRule="auto"/>
        <w:rPr>
          <w:rFonts w:hint="eastAsia"/>
        </w:rPr>
      </w:pPr>
    </w:p>
    <w:p w14:paraId="7E4F8E6F">
      <w:pPr>
        <w:pStyle w:val="9"/>
        <w:spacing w:after="0" w:line="249" w:lineRule="auto"/>
        <w:rPr>
          <w:rFonts w:hint="eastAsia"/>
        </w:rPr>
      </w:pPr>
      <w:r>
        <w:rPr>
          <w:rFonts w:hint="eastAsia"/>
        </w:rPr>
        <w:t>Secondly, it reprises all the themes heard in the previous two or three movements.</w:t>
      </w:r>
    </w:p>
    <w:p w14:paraId="5A0B857D">
      <w:pPr>
        <w:pStyle w:val="9"/>
        <w:spacing w:after="0" w:line="249" w:lineRule="auto"/>
        <w:rPr>
          <w:rFonts w:hint="eastAsia"/>
        </w:rPr>
      </w:pPr>
      <w:r>
        <w:rPr>
          <w:rFonts w:hint="eastAsia"/>
        </w:rPr>
        <w:t>其次，它重现了前两三个乐章中听到的所有主题。</w:t>
      </w:r>
    </w:p>
    <w:p w14:paraId="5A37F01F">
      <w:pPr>
        <w:pStyle w:val="9"/>
        <w:spacing w:after="0" w:line="249" w:lineRule="auto"/>
        <w:rPr>
          <w:rFonts w:hint="eastAsia"/>
        </w:rPr>
      </w:pPr>
    </w:p>
    <w:p w14:paraId="6962F0FF">
      <w:pPr>
        <w:pStyle w:val="9"/>
        <w:spacing w:after="0" w:line="249" w:lineRule="auto"/>
        <w:rPr>
          <w:rFonts w:hint="eastAsia"/>
        </w:rPr>
      </w:pPr>
      <w:r>
        <w:rPr>
          <w:rFonts w:hint="eastAsia"/>
        </w:rPr>
        <w:t>However, when it does, it does so very “grandly.”</w:t>
      </w:r>
    </w:p>
    <w:p w14:paraId="54E05E34">
      <w:pPr>
        <w:pStyle w:val="9"/>
        <w:spacing w:after="0" w:line="249" w:lineRule="auto"/>
        <w:rPr>
          <w:rFonts w:hint="eastAsia"/>
        </w:rPr>
      </w:pPr>
      <w:r>
        <w:rPr>
          <w:rFonts w:hint="eastAsia"/>
        </w:rPr>
        <w:t>然而，当它这样做时，它做得非常“宏伟”。</w:t>
      </w:r>
    </w:p>
    <w:p w14:paraId="3E593B2E">
      <w:pPr>
        <w:pStyle w:val="9"/>
        <w:spacing w:after="0" w:line="249" w:lineRule="auto"/>
        <w:rPr>
          <w:rFonts w:hint="eastAsia"/>
        </w:rPr>
      </w:pPr>
    </w:p>
    <w:p w14:paraId="516673F6">
      <w:pPr>
        <w:pStyle w:val="9"/>
        <w:spacing w:after="0" w:line="249" w:lineRule="auto"/>
        <w:rPr>
          <w:rFonts w:hint="eastAsia"/>
        </w:rPr>
      </w:pPr>
      <w:r>
        <w:rPr>
          <w:rFonts w:hint="eastAsia"/>
        </w:rPr>
        <w:t>That is, it skillfully, artistically, and majestically weaves together all the earlier motifs, so that we not only hear them again, but also hear them afresh; hear them in new, startling, and beautiful relations with one another; hear them in such a way that the whole symphony is somehow poured into the last part of the symphony.</w:t>
      </w:r>
    </w:p>
    <w:p w14:paraId="79D21266">
      <w:pPr>
        <w:pStyle w:val="9"/>
        <w:spacing w:after="0" w:line="249" w:lineRule="auto"/>
        <w:rPr>
          <w:rFonts w:hint="eastAsia"/>
        </w:rPr>
      </w:pPr>
      <w:r>
        <w:rPr>
          <w:rFonts w:hint="eastAsia"/>
        </w:rPr>
        <w:t>也就是说，它巧妙地、艺术地、威严地将所有早先的主题编织在一起，使我们不仅能再次听到它们，也能以全新的方式听到它们；在新的、惊人的和美丽的关系中听到它们；以一种方式听到它们，仿佛整个交响乐都被倾注到交响乐的最后一部分。</w:t>
      </w:r>
    </w:p>
    <w:p w14:paraId="63C93836">
      <w:pPr>
        <w:pStyle w:val="9"/>
        <w:spacing w:after="0" w:line="249" w:lineRule="auto"/>
        <w:rPr>
          <w:rFonts w:hint="eastAsia"/>
        </w:rPr>
      </w:pPr>
    </w:p>
    <w:p w14:paraId="23E5E90C">
      <w:pPr>
        <w:pStyle w:val="9"/>
        <w:spacing w:after="0" w:line="249" w:lineRule="auto"/>
        <w:rPr>
          <w:rFonts w:hint="eastAsia"/>
        </w:rPr>
      </w:pPr>
      <w:r>
        <w:rPr>
          <w:rFonts w:hint="eastAsia"/>
        </w:rPr>
        <w:t>And thirdly, because it is a grand finale, it does not typically introduce new musical themes, but rather devotes itself more or less exclusively to a fresh, inspirational recapitulation of the old.</w:t>
      </w:r>
    </w:p>
    <w:p w14:paraId="1D0CFE24">
      <w:pPr>
        <w:pStyle w:val="9"/>
        <w:spacing w:after="0" w:line="249" w:lineRule="auto"/>
        <w:rPr>
          <w:rFonts w:hint="eastAsia"/>
        </w:rPr>
      </w:pPr>
      <w:r>
        <w:rPr>
          <w:rFonts w:hint="eastAsia"/>
        </w:rPr>
        <w:t>第三，因为它是一个宏伟的终曲，它通常不引入新的音乐主题，而是或多或少地专门致力于对旧主题的清新、鼓舞人心的重述。</w:t>
      </w:r>
    </w:p>
    <w:p w14:paraId="6DC0CDD9">
      <w:pPr>
        <w:pStyle w:val="9"/>
        <w:spacing w:after="0" w:line="249" w:lineRule="auto"/>
        <w:rPr>
          <w:rFonts w:hint="eastAsia"/>
        </w:rPr>
      </w:pPr>
    </w:p>
    <w:p w14:paraId="21A0707C">
      <w:pPr>
        <w:pStyle w:val="9"/>
        <w:spacing w:after="0" w:line="249" w:lineRule="auto"/>
        <w:rPr>
          <w:rFonts w:hint="eastAsia"/>
        </w:rPr>
      </w:pPr>
      <w:r>
        <w:rPr>
          <w:rFonts w:hint="eastAsia"/>
        </w:rPr>
        <w:t>All three of these observations apply to the Revelation, and in a way that helps us understand the book to its very depths.</w:t>
      </w:r>
    </w:p>
    <w:p w14:paraId="14698A3F">
      <w:pPr>
        <w:pStyle w:val="9"/>
        <w:spacing w:after="0" w:line="249" w:lineRule="auto"/>
        <w:rPr>
          <w:rFonts w:hint="eastAsia"/>
        </w:rPr>
      </w:pPr>
      <w:r>
        <w:rPr>
          <w:rFonts w:hint="eastAsia"/>
        </w:rPr>
        <w:t>所有这三点观察都适用于启示录，并且以一种帮助我们深入理解这本书的方式。</w:t>
      </w:r>
    </w:p>
    <w:p w14:paraId="1EFFA0E1">
      <w:pPr>
        <w:pStyle w:val="9"/>
        <w:spacing w:after="0" w:line="249" w:lineRule="auto"/>
        <w:rPr>
          <w:rFonts w:hint="eastAsia"/>
        </w:rPr>
      </w:pPr>
    </w:p>
    <w:p w14:paraId="45BAEEF2">
      <w:pPr>
        <w:pStyle w:val="9"/>
        <w:spacing w:after="0" w:line="249" w:lineRule="auto"/>
        <w:rPr>
          <w:rFonts w:hint="eastAsia"/>
        </w:rPr>
      </w:pPr>
      <w:r>
        <w:rPr>
          <w:rFonts w:hint="eastAsia"/>
        </w:rPr>
        <w:t>Like a grand finale, the Revelation appears at the end of the great symphony of biblical revelation.</w:t>
      </w:r>
    </w:p>
    <w:p w14:paraId="067B4F04">
      <w:pPr>
        <w:pStyle w:val="9"/>
        <w:spacing w:after="0" w:line="249" w:lineRule="auto"/>
        <w:rPr>
          <w:rFonts w:hint="eastAsia"/>
        </w:rPr>
      </w:pPr>
      <w:r>
        <w:rPr>
          <w:rFonts w:hint="eastAsia"/>
        </w:rPr>
        <w:t>像一个宏伟的终曲一样，启示录出现在圣经启示这首伟大交响乐的末尾。</w:t>
      </w:r>
    </w:p>
    <w:p w14:paraId="33956CF6">
      <w:pPr>
        <w:pStyle w:val="9"/>
        <w:spacing w:after="0" w:line="249" w:lineRule="auto"/>
        <w:rPr>
          <w:rFonts w:hint="eastAsia"/>
        </w:rPr>
      </w:pPr>
    </w:p>
    <w:p w14:paraId="2380AEEF">
      <w:pPr>
        <w:pStyle w:val="9"/>
        <w:spacing w:after="0" w:line="249" w:lineRule="auto"/>
        <w:rPr>
          <w:rFonts w:hint="eastAsia"/>
        </w:rPr>
      </w:pPr>
      <w:r>
        <w:rPr>
          <w:rFonts w:hint="eastAsia"/>
        </w:rPr>
        <w:t>Doubtless it was the last book of Holy Scripture to be given by God.</w:t>
      </w:r>
    </w:p>
    <w:p w14:paraId="46964AC8">
      <w:pPr>
        <w:pStyle w:val="9"/>
        <w:spacing w:after="0" w:line="249" w:lineRule="auto"/>
        <w:rPr>
          <w:rFonts w:hint="eastAsia"/>
        </w:rPr>
      </w:pPr>
      <w:r>
        <w:rPr>
          <w:rFonts w:hint="eastAsia"/>
        </w:rPr>
        <w:t>无疑，它是神所赐圣经的最后一本书。</w:t>
      </w:r>
    </w:p>
    <w:p w14:paraId="7937604A">
      <w:pPr>
        <w:pStyle w:val="9"/>
        <w:spacing w:after="0" w:line="249" w:lineRule="auto"/>
        <w:rPr>
          <w:rFonts w:hint="eastAsia"/>
        </w:rPr>
      </w:pPr>
    </w:p>
    <w:p w14:paraId="73EB5007">
      <w:pPr>
        <w:pStyle w:val="9"/>
        <w:spacing w:after="0" w:line="249" w:lineRule="auto"/>
        <w:rPr>
          <w:rFonts w:hint="eastAsia"/>
        </w:rPr>
      </w:pPr>
      <w:r>
        <w:rPr>
          <w:rFonts w:hint="eastAsia"/>
        </w:rPr>
        <w:t>Appropriately enough, it therefore appears as the last book of our Bible.</w:t>
      </w:r>
    </w:p>
    <w:p w14:paraId="2942A816">
      <w:pPr>
        <w:pStyle w:val="9"/>
        <w:spacing w:after="0" w:line="249" w:lineRule="auto"/>
        <w:rPr>
          <w:rFonts w:hint="eastAsia"/>
        </w:rPr>
      </w:pPr>
      <w:r>
        <w:rPr>
          <w:rFonts w:hint="eastAsia"/>
        </w:rPr>
        <w:t>因此，它恰当地作为我们圣经的最后一本书出现。</w:t>
      </w:r>
    </w:p>
    <w:p w14:paraId="7E247FE2">
      <w:pPr>
        <w:pStyle w:val="9"/>
        <w:spacing w:after="0" w:line="249" w:lineRule="auto"/>
        <w:rPr>
          <w:rFonts w:hint="eastAsia"/>
        </w:rPr>
      </w:pPr>
    </w:p>
    <w:p w14:paraId="027B709E">
      <w:pPr>
        <w:pStyle w:val="9"/>
        <w:spacing w:after="0" w:line="249" w:lineRule="auto"/>
        <w:rPr>
          <w:rFonts w:hint="eastAsia"/>
        </w:rPr>
      </w:pPr>
      <w:r>
        <w:rPr>
          <w:rFonts w:hint="eastAsia"/>
        </w:rPr>
        <w:t>Moreover, its contents veritably scream to us that it should be the last book, since it is so thoroughly taken up with the Last Things: the character and course of the Last Days, the Last Battle, the Last Resurrection and the Last Judgment, all of which occur at the Last Coming of the Last Man, the glorified Lord Jesus Christ.</w:t>
      </w:r>
    </w:p>
    <w:p w14:paraId="7BF125EF">
      <w:pPr>
        <w:pStyle w:val="9"/>
        <w:spacing w:after="0" w:line="249" w:lineRule="auto"/>
        <w:rPr>
          <w:rFonts w:hint="eastAsia"/>
        </w:rPr>
      </w:pPr>
      <w:r>
        <w:rPr>
          <w:rFonts w:hint="eastAsia"/>
        </w:rPr>
        <w:t>此外，其内容确实向我们大声宣告，它应该是最后一本书，因为它如此彻底地涉及末后的事：末后日子的特征和进程，最后的战役，最后的复活和最后的审判，所有这一切都发生在末后的人，得荣耀的主耶稣基督的最后降临时。</w:t>
      </w:r>
    </w:p>
    <w:p w14:paraId="76DE8BE3">
      <w:pPr>
        <w:pStyle w:val="9"/>
        <w:spacing w:after="0" w:line="249" w:lineRule="auto"/>
        <w:rPr>
          <w:rFonts w:hint="eastAsia"/>
        </w:rPr>
      </w:pPr>
    </w:p>
    <w:p w14:paraId="0894AA75">
      <w:pPr>
        <w:pStyle w:val="9"/>
        <w:spacing w:after="0" w:line="249" w:lineRule="auto"/>
        <w:rPr>
          <w:rFonts w:hint="eastAsia"/>
        </w:rPr>
      </w:pPr>
      <w:r>
        <w:rPr>
          <w:rFonts w:hint="eastAsia"/>
        </w:rPr>
        <w:t>The claims of Church History’s false prophets notwithstanding, Christians find it unthinkable that God, having given us a book like this, should give us any more, as indeed the Revelation itself implies (Rev. 21:18-19).</w:t>
      </w:r>
    </w:p>
    <w:p w14:paraId="6ACCD293">
      <w:pPr>
        <w:pStyle w:val="9"/>
        <w:spacing w:after="0" w:line="249" w:lineRule="auto"/>
        <w:rPr>
          <w:rFonts w:hint="eastAsia"/>
        </w:rPr>
      </w:pPr>
      <w:r>
        <w:rPr>
          <w:rFonts w:hint="eastAsia"/>
        </w:rPr>
        <w:t>尽管教会历史上的假先知有各种主张，基督徒们却觉得，神在赐给我们这样一本书之后，再赐给我们任何更多的书是不可思议的，正如启示录本身所暗示的那样（启 21:18-19）。</w:t>
      </w:r>
    </w:p>
    <w:p w14:paraId="710C3D48">
      <w:pPr>
        <w:pStyle w:val="9"/>
        <w:spacing w:after="0" w:line="249" w:lineRule="auto"/>
        <w:rPr>
          <w:rFonts w:hint="eastAsia"/>
        </w:rPr>
      </w:pPr>
    </w:p>
    <w:p w14:paraId="20C552F5">
      <w:pPr>
        <w:pStyle w:val="9"/>
        <w:spacing w:after="0" w:line="249" w:lineRule="auto"/>
        <w:rPr>
          <w:rFonts w:hint="eastAsia"/>
        </w:rPr>
      </w:pPr>
      <w:r>
        <w:rPr>
          <w:rFonts w:hint="eastAsia"/>
        </w:rPr>
        <w:t>The Revelation is the Book of the End, and so rightly belongs at the end of the Book; at the end of the symphony of Scripture as its final glorious movement (1:8, 2:26, 21:6, 22:13).</w:t>
      </w:r>
    </w:p>
    <w:p w14:paraId="05710AB5">
      <w:pPr>
        <w:pStyle w:val="9"/>
        <w:spacing w:after="0" w:line="249" w:lineRule="auto"/>
        <w:rPr>
          <w:rFonts w:hint="eastAsia"/>
        </w:rPr>
      </w:pPr>
      <w:r>
        <w:rPr>
          <w:rFonts w:hint="eastAsia"/>
        </w:rPr>
        <w:t>启示录是末日的书，因此理应位于书的末尾；位于圣经这首交响乐的末尾，作为其最后荣耀的乐章（1:8, 2:26, 21:6, 22:13）。</w:t>
      </w:r>
    </w:p>
    <w:p w14:paraId="3EAF6AF4">
      <w:pPr>
        <w:pStyle w:val="9"/>
        <w:spacing w:after="0" w:line="249" w:lineRule="auto"/>
        <w:rPr>
          <w:rFonts w:hint="eastAsia"/>
        </w:rPr>
      </w:pPr>
    </w:p>
    <w:p w14:paraId="1BCB4748">
      <w:pPr>
        <w:pStyle w:val="9"/>
        <w:spacing w:after="0" w:line="249" w:lineRule="auto"/>
        <w:rPr>
          <w:rFonts w:hint="eastAsia"/>
        </w:rPr>
      </w:pPr>
      <w:r>
        <w:rPr>
          <w:rFonts w:hint="eastAsia"/>
        </w:rPr>
        <w:t>Like a grand finale, the Revelation also incorporates and skillfully weaves together ideas and images from the preceding movements of Scripture, whether OT or New.</w:t>
      </w:r>
    </w:p>
    <w:p w14:paraId="17C5B8E8">
      <w:pPr>
        <w:pStyle w:val="9"/>
        <w:spacing w:after="0" w:line="249" w:lineRule="auto"/>
        <w:rPr>
          <w:rFonts w:hint="eastAsia"/>
        </w:rPr>
      </w:pPr>
      <w:r>
        <w:rPr>
          <w:rFonts w:hint="eastAsia"/>
        </w:rPr>
        <w:t>像一个宏伟的终曲一样，启示录也融合并巧妙地编织了来自圣经先前乐章的思想和意象，无论是旧约还是新约。</w:t>
      </w:r>
    </w:p>
    <w:p w14:paraId="03203008">
      <w:pPr>
        <w:pStyle w:val="9"/>
        <w:spacing w:after="0" w:line="249" w:lineRule="auto"/>
        <w:rPr>
          <w:rFonts w:hint="eastAsia"/>
        </w:rPr>
      </w:pPr>
    </w:p>
    <w:p w14:paraId="7B0E35E8">
      <w:pPr>
        <w:pStyle w:val="9"/>
        <w:spacing w:after="0" w:line="249" w:lineRule="auto"/>
        <w:rPr>
          <w:rFonts w:hint="eastAsia"/>
        </w:rPr>
      </w:pPr>
      <w:r>
        <w:rPr>
          <w:rFonts w:hint="eastAsia"/>
        </w:rPr>
        <w:t>Here, biblical allusions abound, whether to the Garden of Eden, Moses, the Exodus, Elijah, Mt. Zion, the Temple, the birth of Jesus, the cruelty of Herod, the preaching of the disciples two by two, Christ’s resurrection, ascension, session, heavenly reign, and Parousia.</w:t>
      </w:r>
    </w:p>
    <w:p w14:paraId="039C163F">
      <w:pPr>
        <w:pStyle w:val="9"/>
        <w:spacing w:after="0" w:line="249" w:lineRule="auto"/>
        <w:rPr>
          <w:rFonts w:hint="eastAsia"/>
        </w:rPr>
      </w:pPr>
      <w:r>
        <w:rPr>
          <w:rFonts w:hint="eastAsia"/>
        </w:rPr>
        <w:t>在这里，圣经的典故比比皆是，无论是关于伊甸园、摩西、出埃及、以利亚、锡安山、圣殿、耶稣的诞生、希律的残暴、门徒两个两个地传道、基督的复活、升天、坐席、在天上的统治，还是祂的再临。</w:t>
      </w:r>
    </w:p>
    <w:p w14:paraId="0D386768">
      <w:pPr>
        <w:pStyle w:val="9"/>
        <w:spacing w:after="0" w:line="249" w:lineRule="auto"/>
        <w:rPr>
          <w:rFonts w:hint="eastAsia"/>
        </w:rPr>
      </w:pPr>
    </w:p>
    <w:p w14:paraId="6113F784">
      <w:pPr>
        <w:pStyle w:val="9"/>
        <w:spacing w:after="0" w:line="249" w:lineRule="auto"/>
        <w:rPr>
          <w:rFonts w:hint="eastAsia"/>
        </w:rPr>
      </w:pPr>
      <w:r>
        <w:rPr>
          <w:rFonts w:hint="eastAsia"/>
        </w:rPr>
        <w:t>Indeed, the Revelation cites or alludes to so many biblical texts that when we delve into it we immediately find the center columns of our reference Bibles bulging at the seams!</w:t>
      </w:r>
    </w:p>
    <w:p w14:paraId="1F3413F4">
      <w:pPr>
        <w:pStyle w:val="9"/>
        <w:spacing w:after="0" w:line="249" w:lineRule="auto"/>
        <w:rPr>
          <w:rFonts w:hint="eastAsia"/>
        </w:rPr>
      </w:pPr>
      <w:r>
        <w:rPr>
          <w:rFonts w:hint="eastAsia"/>
        </w:rPr>
        <w:t>的确，启示录引用或提及了如此多的圣经经文，以至于当我们深入研究它时，我们立刻发现我们参考圣经的中心栏目都快要爆开了！</w:t>
      </w:r>
    </w:p>
    <w:p w14:paraId="46EFE34F">
      <w:pPr>
        <w:pStyle w:val="9"/>
        <w:spacing w:after="0" w:line="249" w:lineRule="auto"/>
        <w:rPr>
          <w:rFonts w:hint="eastAsia"/>
        </w:rPr>
      </w:pPr>
    </w:p>
    <w:p w14:paraId="752888A4">
      <w:pPr>
        <w:pStyle w:val="9"/>
        <w:spacing w:after="0" w:line="249" w:lineRule="auto"/>
        <w:rPr>
          <w:rFonts w:hint="eastAsia"/>
        </w:rPr>
      </w:pPr>
      <w:r>
        <w:rPr>
          <w:rFonts w:hint="eastAsia"/>
        </w:rPr>
        <w:t>Westcott and Hort counted nearly 400 references to the OT, and many later commentators argue that they found too few.</w:t>
      </w:r>
    </w:p>
    <w:p w14:paraId="53EC21C1">
      <w:pPr>
        <w:pStyle w:val="9"/>
        <w:spacing w:after="0" w:line="249" w:lineRule="auto"/>
        <w:rPr>
          <w:rFonts w:hint="eastAsia"/>
        </w:rPr>
      </w:pPr>
      <w:r>
        <w:rPr>
          <w:rFonts w:hint="eastAsia"/>
        </w:rPr>
        <w:t>韦斯科特和霍尔特统计了近400处对旧约的引用，许多后来的解经家则认为他们找得太少了。</w:t>
      </w:r>
    </w:p>
    <w:p w14:paraId="231FB8BC">
      <w:pPr>
        <w:pStyle w:val="9"/>
        <w:spacing w:after="0" w:line="249" w:lineRule="auto"/>
        <w:rPr>
          <w:rFonts w:hint="eastAsia"/>
        </w:rPr>
      </w:pPr>
    </w:p>
    <w:p w14:paraId="46067962">
      <w:pPr>
        <w:pStyle w:val="9"/>
        <w:spacing w:after="0" w:line="249" w:lineRule="auto"/>
        <w:rPr>
          <w:rFonts w:hint="eastAsia"/>
        </w:rPr>
      </w:pPr>
      <w:r>
        <w:rPr>
          <w:rFonts w:hint="eastAsia"/>
        </w:rPr>
        <w:t>In Revelation 12 alone, there are quotes from, or allusions to, Genesis, Exodus, Deuteronomy, Psalms, Song of Solomon, Isaiah, Hosea, Micah, Daniel, Zechariah, Matthew, Luke, John, 2 Corinthians, Galatians, 1 Peter, 1 John, and Jude.</w:t>
      </w:r>
    </w:p>
    <w:p w14:paraId="41FE9F91">
      <w:pPr>
        <w:pStyle w:val="9"/>
        <w:spacing w:after="0" w:line="249" w:lineRule="auto"/>
        <w:rPr>
          <w:rFonts w:hint="eastAsia"/>
        </w:rPr>
      </w:pPr>
      <w:r>
        <w:rPr>
          <w:rFonts w:hint="eastAsia"/>
        </w:rPr>
        <w:t>仅在启示录第12章，就有来自或提及创世记、出埃及记、申命记、诗篇、雅歌、以赛亚书、何西阿书、弥迦书、但以理书、撒迦利亚书、马太福音、路加福音、约翰福音、哥林多后书、加拉太书、彼得前书、约翰一书和犹大书的引文。</w:t>
      </w:r>
    </w:p>
    <w:p w14:paraId="222E4134">
      <w:pPr>
        <w:pStyle w:val="9"/>
        <w:spacing w:after="0" w:line="249" w:lineRule="auto"/>
        <w:rPr>
          <w:rFonts w:hint="eastAsia"/>
        </w:rPr>
      </w:pPr>
    </w:p>
    <w:p w14:paraId="15B3FDFE">
      <w:pPr>
        <w:pStyle w:val="9"/>
        <w:spacing w:after="0" w:line="249" w:lineRule="auto"/>
        <w:rPr>
          <w:rFonts w:hint="eastAsia"/>
        </w:rPr>
      </w:pPr>
      <w:r>
        <w:rPr>
          <w:rFonts w:hint="eastAsia"/>
        </w:rPr>
        <w:t>All of this makes it clear that the Revelation is not historical narrative, law, poetry, gospel, or epistle.</w:t>
      </w:r>
    </w:p>
    <w:p w14:paraId="23D22779">
      <w:pPr>
        <w:pStyle w:val="9"/>
        <w:spacing w:after="0" w:line="249" w:lineRule="auto"/>
        <w:rPr>
          <w:rFonts w:hint="eastAsia"/>
        </w:rPr>
      </w:pPr>
      <w:r>
        <w:rPr>
          <w:rFonts w:hint="eastAsia"/>
        </w:rPr>
        <w:t>所有这些都清楚地表明，启示录不是历史叙事、律法、诗歌、福音书或书信。</w:t>
      </w:r>
    </w:p>
    <w:p w14:paraId="0E90596E">
      <w:pPr>
        <w:pStyle w:val="9"/>
        <w:spacing w:after="0" w:line="249" w:lineRule="auto"/>
        <w:rPr>
          <w:rFonts w:hint="eastAsia"/>
        </w:rPr>
      </w:pPr>
    </w:p>
    <w:p w14:paraId="1F4A0515">
      <w:pPr>
        <w:pStyle w:val="9"/>
        <w:spacing w:after="0" w:line="249" w:lineRule="auto"/>
        <w:rPr>
          <w:rFonts w:hint="eastAsia"/>
        </w:rPr>
      </w:pPr>
      <w:r>
        <w:rPr>
          <w:rFonts w:hint="eastAsia"/>
        </w:rPr>
        <w:t>Rather, it is something unique, something completely new under the biblical sun: It is a final prophetic word to the universal Church, clothed in raiment from all that has gone before it, and so serving not only as a prophetic word, but also as the Grand Finale of all Scripture.</w:t>
      </w:r>
    </w:p>
    <w:p w14:paraId="41C6920E">
      <w:pPr>
        <w:pStyle w:val="9"/>
        <w:spacing w:after="0" w:line="249" w:lineRule="auto"/>
        <w:rPr>
          <w:rFonts w:hint="eastAsia"/>
        </w:rPr>
      </w:pPr>
      <w:r>
        <w:rPr>
          <w:rFonts w:hint="eastAsia"/>
        </w:rPr>
        <w:t>相反，它是一些独特的东西，是在圣经的阳光下全新的东西：它是给普世教会的最后预言之言，披着来自所有先前之事的衣袍，因此不仅作为一个预言之言，也作为所有圣经的宏伟终曲。</w:t>
      </w:r>
    </w:p>
    <w:p w14:paraId="31810BB1">
      <w:pPr>
        <w:pStyle w:val="9"/>
        <w:spacing w:after="0" w:line="249" w:lineRule="auto"/>
        <w:rPr>
          <w:rFonts w:hint="eastAsia"/>
        </w:rPr>
      </w:pPr>
    </w:p>
    <w:p w14:paraId="65360AAE">
      <w:pPr>
        <w:pStyle w:val="9"/>
        <w:spacing w:after="0" w:line="249" w:lineRule="auto"/>
        <w:rPr>
          <w:rFonts w:hint="eastAsia"/>
        </w:rPr>
      </w:pPr>
      <w:r>
        <w:rPr>
          <w:rFonts w:hint="eastAsia"/>
        </w:rPr>
        <w:t>If this is true, the implications are truly important.</w:t>
      </w:r>
    </w:p>
    <w:p w14:paraId="31FD6E2D">
      <w:pPr>
        <w:pStyle w:val="9"/>
        <w:spacing w:after="0" w:line="249" w:lineRule="auto"/>
        <w:rPr>
          <w:rFonts w:hint="eastAsia"/>
        </w:rPr>
      </w:pPr>
      <w:r>
        <w:rPr>
          <w:rFonts w:hint="eastAsia"/>
        </w:rPr>
        <w:t>如果这是真的，其含义就确实重要了。</w:t>
      </w:r>
    </w:p>
    <w:p w14:paraId="14CD5E49">
      <w:pPr>
        <w:pStyle w:val="9"/>
        <w:spacing w:after="0" w:line="249" w:lineRule="auto"/>
        <w:rPr>
          <w:rFonts w:hint="eastAsia"/>
        </w:rPr>
      </w:pPr>
    </w:p>
    <w:p w14:paraId="6F1CEC42">
      <w:pPr>
        <w:pStyle w:val="9"/>
        <w:spacing w:after="0" w:line="249" w:lineRule="auto"/>
        <w:rPr>
          <w:rFonts w:hint="eastAsia"/>
        </w:rPr>
      </w:pPr>
      <w:r>
        <w:rPr>
          <w:rFonts w:hint="eastAsia"/>
        </w:rPr>
        <w:t>For if the Revelation is indeed the Grand Finale of all Scripture, then we ought not to expect it to introduce any new doctrines.</w:t>
      </w:r>
    </w:p>
    <w:p w14:paraId="4B363A41">
      <w:pPr>
        <w:pStyle w:val="9"/>
        <w:spacing w:after="0" w:line="249" w:lineRule="auto"/>
        <w:rPr>
          <w:rFonts w:hint="eastAsia"/>
        </w:rPr>
      </w:pPr>
      <w:r>
        <w:rPr>
          <w:rFonts w:hint="eastAsia"/>
        </w:rPr>
        <w:t>因为，如果启示录确实是所有圣经的宏伟终曲，那么我们就不应期望它会引入任何新的教义。</w:t>
      </w:r>
    </w:p>
    <w:p w14:paraId="1DD8D198">
      <w:pPr>
        <w:pStyle w:val="9"/>
        <w:spacing w:after="0" w:line="249" w:lineRule="auto"/>
        <w:rPr>
          <w:rFonts w:hint="eastAsia"/>
        </w:rPr>
      </w:pPr>
    </w:p>
    <w:p w14:paraId="78ABC19A">
      <w:pPr>
        <w:pStyle w:val="9"/>
        <w:spacing w:after="0" w:line="249" w:lineRule="auto"/>
        <w:rPr>
          <w:rFonts w:hint="eastAsia"/>
        </w:rPr>
      </w:pPr>
      <w:r>
        <w:rPr>
          <w:rFonts w:hint="eastAsia"/>
        </w:rPr>
        <w:t>It is not the purpose of a grand finale to introduce new themes, but rather to recapitulate the old.</w:t>
      </w:r>
    </w:p>
    <w:p w14:paraId="65BEE3F7">
      <w:pPr>
        <w:pStyle w:val="9"/>
        <w:spacing w:after="0" w:line="249" w:lineRule="auto"/>
        <w:rPr>
          <w:rFonts w:hint="eastAsia"/>
        </w:rPr>
      </w:pPr>
      <w:r>
        <w:rPr>
          <w:rFonts w:hint="eastAsia"/>
        </w:rPr>
        <w:t>宏伟终曲的目的不是引入新的主题，而是重述旧的主题。</w:t>
      </w:r>
    </w:p>
    <w:p w14:paraId="40BDAFE7">
      <w:pPr>
        <w:pStyle w:val="9"/>
        <w:spacing w:after="0" w:line="249" w:lineRule="auto"/>
        <w:rPr>
          <w:rFonts w:hint="eastAsia"/>
        </w:rPr>
      </w:pPr>
    </w:p>
    <w:p w14:paraId="0B530483">
      <w:pPr>
        <w:pStyle w:val="9"/>
        <w:spacing w:after="0" w:line="249" w:lineRule="auto"/>
        <w:rPr>
          <w:rFonts w:hint="eastAsia"/>
        </w:rPr>
      </w:pPr>
      <w:r>
        <w:rPr>
          <w:rFonts w:hint="eastAsia"/>
        </w:rPr>
        <w:t>And when we closely examine the Revelation, that is precisely what we find.</w:t>
      </w:r>
    </w:p>
    <w:p w14:paraId="5AAB4635">
      <w:pPr>
        <w:pStyle w:val="9"/>
        <w:spacing w:after="0" w:line="249" w:lineRule="auto"/>
        <w:rPr>
          <w:rFonts w:hint="eastAsia"/>
        </w:rPr>
      </w:pPr>
      <w:r>
        <w:rPr>
          <w:rFonts w:hint="eastAsia"/>
        </w:rPr>
        <w:t>当我们仔细研究启示录时，我们发现的正是如此。</w:t>
      </w:r>
    </w:p>
    <w:p w14:paraId="5DEC36E1">
      <w:pPr>
        <w:pStyle w:val="9"/>
        <w:spacing w:after="0" w:line="249" w:lineRule="auto"/>
        <w:rPr>
          <w:rFonts w:hint="eastAsia"/>
        </w:rPr>
      </w:pPr>
    </w:p>
    <w:p w14:paraId="7B1A9EA8">
      <w:pPr>
        <w:pStyle w:val="9"/>
        <w:spacing w:after="0" w:line="249" w:lineRule="auto"/>
        <w:rPr>
          <w:rFonts w:hint="eastAsia"/>
        </w:rPr>
      </w:pPr>
      <w:r>
        <w:rPr>
          <w:rFonts w:hint="eastAsia"/>
        </w:rPr>
        <w:t>Here, there is nothing new; nothing other than what Christ and the apostles have already taught us in the Didactic NT; nothing new about the Holy Trinity, the creation, the Fall, the Eternal Covenant, the nature and structure of the Kingdom, or the Consummation at Christ’s coming.</w:t>
      </w:r>
    </w:p>
    <w:p w14:paraId="6FC4F020">
      <w:pPr>
        <w:pStyle w:val="9"/>
        <w:spacing w:after="0" w:line="249" w:lineRule="auto"/>
        <w:rPr>
          <w:rFonts w:hint="eastAsia"/>
        </w:rPr>
      </w:pPr>
      <w:r>
        <w:rPr>
          <w:rFonts w:hint="eastAsia"/>
        </w:rPr>
        <w:t>在这里，没有什么新东西；除了基督和使徒们在教导性新约中已经教导我们的，别无他物；关于圣三一、创造、堕落、永恒之约、国度的性质和结构，或基督降临时的最终成全，都没有新东西。</w:t>
      </w:r>
    </w:p>
    <w:p w14:paraId="51BAD522">
      <w:pPr>
        <w:pStyle w:val="9"/>
        <w:spacing w:after="0" w:line="249" w:lineRule="auto"/>
        <w:rPr>
          <w:rFonts w:hint="eastAsia"/>
        </w:rPr>
      </w:pPr>
    </w:p>
    <w:p w14:paraId="62E4A8B8">
      <w:pPr>
        <w:pStyle w:val="9"/>
        <w:spacing w:after="0" w:line="249" w:lineRule="auto"/>
        <w:rPr>
          <w:rFonts w:hint="eastAsia"/>
        </w:rPr>
      </w:pPr>
      <w:r>
        <w:rPr>
          <w:rFonts w:hint="eastAsia"/>
        </w:rPr>
        <w:t>What we do find is the Spirit speaking again—and over and over again—about all these “old” things.</w:t>
      </w:r>
    </w:p>
    <w:p w14:paraId="3DEEF88E">
      <w:pPr>
        <w:pStyle w:val="9"/>
        <w:spacing w:after="0" w:line="249" w:lineRule="auto"/>
        <w:rPr>
          <w:rFonts w:hint="eastAsia"/>
        </w:rPr>
      </w:pPr>
      <w:r>
        <w:rPr>
          <w:rFonts w:hint="eastAsia"/>
        </w:rPr>
        <w:t>我们所发现的，是圣灵一次又一次地讲论所有这些“旧”事。</w:t>
      </w:r>
    </w:p>
    <w:p w14:paraId="21D47724">
      <w:pPr>
        <w:pStyle w:val="9"/>
        <w:spacing w:after="0" w:line="249" w:lineRule="auto"/>
        <w:rPr>
          <w:rFonts w:hint="eastAsia"/>
        </w:rPr>
      </w:pPr>
    </w:p>
    <w:p w14:paraId="307C0257">
      <w:pPr>
        <w:pStyle w:val="9"/>
        <w:spacing w:after="0" w:line="249" w:lineRule="auto"/>
        <w:rPr>
          <w:rFonts w:hint="eastAsia"/>
        </w:rPr>
      </w:pPr>
      <w:r>
        <w:rPr>
          <w:rFonts w:hint="eastAsia"/>
        </w:rPr>
        <w:t>However, he does so in new and wondrous ways; in beautiful, powerful, and supremely inspiring visions and symbols; in a Grand Finale that incorporates and weaves together all that has gone before in Holy Scripture, even as it celebrates, one final time, the glory of the High King of Heaven.</w:t>
      </w:r>
    </w:p>
    <w:p w14:paraId="1D655B6F">
      <w:pPr>
        <w:pStyle w:val="9"/>
        <w:spacing w:after="0" w:line="249" w:lineRule="auto"/>
        <w:rPr>
          <w:rFonts w:hint="eastAsia"/>
        </w:rPr>
      </w:pPr>
      <w:r>
        <w:rPr>
          <w:rFonts w:hint="eastAsia"/>
        </w:rPr>
        <w:t>然而，祂以新的和奇妙的方式这样做；以美丽、有力、极富启发性的异象和象征来这样做；在一个宏伟的终曲中，融合并编织了圣经中所有先前的事物，同时也最后一次庆祝了天上至高君王的荣耀。</w:t>
      </w:r>
    </w:p>
    <w:p w14:paraId="3826AAE5">
      <w:pPr>
        <w:pStyle w:val="9"/>
        <w:spacing w:after="0" w:line="249" w:lineRule="auto"/>
        <w:rPr>
          <w:rFonts w:hint="eastAsia"/>
        </w:rPr>
      </w:pPr>
    </w:p>
    <w:p w14:paraId="2FA48470">
      <w:pPr>
        <w:pStyle w:val="9"/>
        <w:spacing w:after="0" w:line="249" w:lineRule="auto"/>
        <w:rPr>
          <w:rFonts w:hint="eastAsia"/>
        </w:rPr>
      </w:pPr>
      <w:r>
        <w:rPr>
          <w:rFonts w:hint="eastAsia"/>
        </w:rPr>
        <w:t>The application to our theme in Part 4 is easy to see.</w:t>
      </w:r>
    </w:p>
    <w:p w14:paraId="7494E4BF">
      <w:pPr>
        <w:pStyle w:val="9"/>
        <w:spacing w:after="0" w:line="249" w:lineRule="auto"/>
        <w:rPr>
          <w:rFonts w:hint="eastAsia"/>
        </w:rPr>
      </w:pPr>
      <w:r>
        <w:rPr>
          <w:rFonts w:hint="eastAsia"/>
        </w:rPr>
        <w:t>我们第四部分主题的应用是显而易见的。</w:t>
      </w:r>
    </w:p>
    <w:p w14:paraId="79CF6B89">
      <w:pPr>
        <w:pStyle w:val="9"/>
        <w:spacing w:after="0" w:line="249" w:lineRule="auto"/>
        <w:rPr>
          <w:rFonts w:hint="eastAsia"/>
        </w:rPr>
      </w:pPr>
    </w:p>
    <w:p w14:paraId="41F92F55">
      <w:pPr>
        <w:pStyle w:val="9"/>
        <w:spacing w:after="0" w:line="249" w:lineRule="auto"/>
        <w:rPr>
          <w:rFonts w:hint="eastAsia"/>
        </w:rPr>
      </w:pPr>
      <w:r>
        <w:rPr>
          <w:rFonts w:hint="eastAsia"/>
        </w:rPr>
        <w:t>If the Revelation really is the Grand Finale of all Scripture, how likely is it that just a few measures prior to its end (i.e., in chapter 20) the Lord Jesus would suddenly introduce a completely new eschatological theme (i.e., a future earthly stage of the Kingdom lasting a thousand years); a theme that would radically modify, if not completely overthrow, all he had previously taught us in the Didactic NT about the nature and structure of the Kingdom, the Consummation, the relationship of the Old Covenant to the New, and the proper interpretation of OTKP?</w:t>
      </w:r>
    </w:p>
    <w:p w14:paraId="70C1E84C">
      <w:pPr>
        <w:pStyle w:val="9"/>
        <w:spacing w:after="0" w:line="249" w:lineRule="auto"/>
        <w:rPr>
          <w:rFonts w:hint="eastAsia"/>
        </w:rPr>
      </w:pPr>
      <w:r>
        <w:rPr>
          <w:rFonts w:hint="eastAsia"/>
        </w:rPr>
        <w:t>如果启示录真的是所有圣经的宏伟终曲，那么在它结束前几节（即在第20章），主耶稣突然引入一个全新的末世论主题（即一个持续一千年的未来属地国度阶段）的可能性有多大？一个会从根本上修改，如果不是完全推翻，祂先前在教导性新约中教导我们的关于国度的性质和结构、最终的成全、旧约与新约的关系，以及旧约国度预言的正确解释的主题？</w:t>
      </w:r>
    </w:p>
    <w:p w14:paraId="626BA08F">
      <w:pPr>
        <w:pStyle w:val="9"/>
        <w:spacing w:after="0" w:line="249" w:lineRule="auto"/>
        <w:rPr>
          <w:rFonts w:hint="eastAsia"/>
        </w:rPr>
      </w:pPr>
    </w:p>
    <w:p w14:paraId="36AB7B27">
      <w:pPr>
        <w:pStyle w:val="9"/>
        <w:spacing w:after="0" w:line="249" w:lineRule="auto"/>
        <w:rPr>
          <w:rFonts w:hint="eastAsia"/>
        </w:rPr>
      </w:pPr>
      <w:r>
        <w:rPr>
          <w:rFonts w:hint="eastAsia"/>
        </w:rPr>
        <w:t>Answer: NOT likely.</w:t>
      </w:r>
    </w:p>
    <w:p w14:paraId="728AB92C">
      <w:pPr>
        <w:pStyle w:val="9"/>
        <w:spacing w:after="0" w:line="249" w:lineRule="auto"/>
        <w:rPr>
          <w:rFonts w:hint="eastAsia"/>
        </w:rPr>
      </w:pPr>
      <w:r>
        <w:rPr>
          <w:rFonts w:hint="eastAsia"/>
        </w:rPr>
        <w:t>答案：不太可能。</w:t>
      </w:r>
    </w:p>
    <w:p w14:paraId="435BD4F3">
      <w:pPr>
        <w:pStyle w:val="9"/>
        <w:spacing w:after="0" w:line="249" w:lineRule="auto"/>
        <w:rPr>
          <w:rFonts w:hint="eastAsia"/>
        </w:rPr>
      </w:pPr>
    </w:p>
    <w:p w14:paraId="034C9812">
      <w:pPr>
        <w:pStyle w:val="9"/>
        <w:spacing w:after="0" w:line="249" w:lineRule="auto"/>
        <w:rPr>
          <w:rFonts w:hint="eastAsia"/>
        </w:rPr>
      </w:pPr>
      <w:r>
        <w:rPr>
          <w:rFonts w:hint="eastAsia"/>
        </w:rPr>
        <w:t>Why?</w:t>
      </w:r>
    </w:p>
    <w:p w14:paraId="4FBC9270">
      <w:pPr>
        <w:pStyle w:val="9"/>
        <w:spacing w:after="0" w:line="249" w:lineRule="auto"/>
        <w:rPr>
          <w:rFonts w:hint="eastAsia"/>
        </w:rPr>
      </w:pPr>
      <w:r>
        <w:rPr>
          <w:rFonts w:hint="eastAsia"/>
        </w:rPr>
        <w:t>为什么？</w:t>
      </w:r>
    </w:p>
    <w:p w14:paraId="1570DC45">
      <w:pPr>
        <w:pStyle w:val="9"/>
        <w:spacing w:after="0" w:line="249" w:lineRule="auto"/>
        <w:rPr>
          <w:rFonts w:hint="eastAsia"/>
        </w:rPr>
      </w:pPr>
    </w:p>
    <w:p w14:paraId="57B250B1">
      <w:pPr>
        <w:pStyle w:val="9"/>
        <w:spacing w:after="0" w:line="249" w:lineRule="auto"/>
        <w:rPr>
          <w:rFonts w:hint="eastAsia"/>
        </w:rPr>
      </w:pPr>
      <w:r>
        <w:rPr>
          <w:rFonts w:hint="eastAsia"/>
        </w:rPr>
        <w:t>Because to do so would be to destroy the Grand Finale, belatedly and unexpectedly transforming the final movement of Scripture into the vehicle of a whole new movement; a new movement that must radically transform the Christian’s understanding of every movement that preceded it, even as it postpones the completed Kingdom—and the Christian’s completed joy—for an extra thousand years!</w:t>
      </w:r>
    </w:p>
    <w:p w14:paraId="623AE0CA">
      <w:pPr>
        <w:pStyle w:val="9"/>
        <w:spacing w:after="0" w:line="249" w:lineRule="auto"/>
        <w:rPr>
          <w:rFonts w:hint="eastAsia"/>
        </w:rPr>
      </w:pPr>
      <w:r>
        <w:rPr>
          <w:rFonts w:hint="eastAsia"/>
        </w:rPr>
        <w:t>为什么？因为这样做会破坏宏伟的终曲，迟来且出乎意料地将圣经的最后一个乐章变成一个全新乐章的载体；一个必须从根本上改变基督徒对所有先前乐章理解的新乐章，同时也将完备的国度——以及基督徒完备的喜乐——推迟了一千年！</w:t>
      </w:r>
    </w:p>
    <w:p w14:paraId="11846FDC">
      <w:pPr>
        <w:pStyle w:val="9"/>
        <w:spacing w:after="0" w:line="249" w:lineRule="auto"/>
        <w:rPr>
          <w:rFonts w:hint="eastAsia"/>
        </w:rPr>
      </w:pPr>
    </w:p>
    <w:p w14:paraId="2E4DD536">
      <w:pPr>
        <w:pStyle w:val="9"/>
        <w:spacing w:after="0" w:line="249" w:lineRule="auto"/>
        <w:rPr>
          <w:rFonts w:hint="eastAsia"/>
        </w:rPr>
      </w:pPr>
      <w:r>
        <w:rPr>
          <w:rFonts w:hint="eastAsia"/>
        </w:rPr>
        <w:t>No, not likely at all!</w:t>
      </w:r>
    </w:p>
    <w:p w14:paraId="22E531A9">
      <w:pPr>
        <w:pStyle w:val="9"/>
        <w:spacing w:after="0" w:line="249" w:lineRule="auto"/>
        <w:rPr>
          <w:rFonts w:hint="eastAsia"/>
        </w:rPr>
      </w:pPr>
      <w:r>
        <w:rPr>
          <w:rFonts w:hint="eastAsia"/>
        </w:rPr>
        <w:t>不，完全不可能！</w:t>
      </w:r>
    </w:p>
    <w:p w14:paraId="64DCA844">
      <w:pPr>
        <w:pStyle w:val="9"/>
        <w:spacing w:after="0" w:line="249" w:lineRule="auto"/>
        <w:rPr>
          <w:rFonts w:hint="eastAsia"/>
        </w:rPr>
      </w:pPr>
    </w:p>
    <w:p w14:paraId="7443BC33">
      <w:pPr>
        <w:pStyle w:val="9"/>
        <w:spacing w:after="0" w:line="249" w:lineRule="auto"/>
        <w:rPr>
          <w:rFonts w:hint="eastAsia"/>
        </w:rPr>
      </w:pPr>
      <w:r>
        <w:rPr>
          <w:rFonts w:hint="eastAsia"/>
        </w:rPr>
        <w:t>Conclusion</w:t>
      </w:r>
    </w:p>
    <w:p w14:paraId="29F47B38">
      <w:pPr>
        <w:pStyle w:val="9"/>
        <w:spacing w:after="0" w:line="249" w:lineRule="auto"/>
        <w:rPr>
          <w:rFonts w:hint="eastAsia"/>
        </w:rPr>
      </w:pPr>
      <w:r>
        <w:rPr>
          <w:rFonts w:hint="eastAsia"/>
        </w:rPr>
        <w:t>结论</w:t>
      </w:r>
    </w:p>
    <w:p w14:paraId="66784A52">
      <w:pPr>
        <w:pStyle w:val="9"/>
        <w:spacing w:after="0" w:line="249" w:lineRule="auto"/>
        <w:rPr>
          <w:rFonts w:hint="eastAsia"/>
        </w:rPr>
      </w:pPr>
    </w:p>
    <w:p w14:paraId="01CF6CAD">
      <w:pPr>
        <w:pStyle w:val="9"/>
        <w:spacing w:after="0" w:line="249" w:lineRule="auto"/>
        <w:rPr>
          <w:rFonts w:hint="eastAsia"/>
        </w:rPr>
      </w:pPr>
      <w:r>
        <w:rPr>
          <w:rFonts w:hint="eastAsia"/>
        </w:rPr>
        <w:t>We conclude, then, that a good understanding of the literary genre of the Revelation is most helpful for resolving the millennial controversy.</w:t>
      </w:r>
    </w:p>
    <w:p w14:paraId="24E7FF46">
      <w:pPr>
        <w:pStyle w:val="9"/>
        <w:spacing w:after="0" w:line="249" w:lineRule="auto"/>
        <w:rPr>
          <w:rFonts w:hint="eastAsia"/>
        </w:rPr>
      </w:pPr>
      <w:r>
        <w:rPr>
          <w:rFonts w:hint="eastAsia"/>
        </w:rPr>
        <w:t>因此，我们得出结论，对启示录文学体裁的良好理解，对于解决千禧年争议最有帮助。</w:t>
      </w:r>
    </w:p>
    <w:p w14:paraId="70946A89">
      <w:pPr>
        <w:pStyle w:val="9"/>
        <w:spacing w:after="0" w:line="249" w:lineRule="auto"/>
        <w:rPr>
          <w:rFonts w:hint="eastAsia"/>
        </w:rPr>
      </w:pPr>
    </w:p>
    <w:p w14:paraId="3E4E1BAC">
      <w:pPr>
        <w:pStyle w:val="9"/>
        <w:spacing w:after="0" w:line="249" w:lineRule="auto"/>
        <w:rPr>
          <w:rFonts w:hint="eastAsia"/>
        </w:rPr>
      </w:pPr>
      <w:r>
        <w:rPr>
          <w:rFonts w:hint="eastAsia"/>
        </w:rPr>
        <w:t>Yes, this book is an instance of biblical apocalyptic, but it is a unique instance.</w:t>
      </w:r>
    </w:p>
    <w:p w14:paraId="2C9DD0CF">
      <w:pPr>
        <w:pStyle w:val="9"/>
        <w:spacing w:after="0" w:line="249" w:lineRule="auto"/>
        <w:rPr>
          <w:rFonts w:hint="eastAsia"/>
        </w:rPr>
      </w:pPr>
      <w:r>
        <w:rPr>
          <w:rFonts w:hint="eastAsia"/>
        </w:rPr>
        <w:t>是的，这本书是圣经启示文学的一个实例，但它是一个独特的实例。</w:t>
      </w:r>
    </w:p>
    <w:p w14:paraId="0940A273">
      <w:pPr>
        <w:pStyle w:val="9"/>
        <w:spacing w:after="0" w:line="249" w:lineRule="auto"/>
        <w:rPr>
          <w:rFonts w:hint="eastAsia"/>
        </w:rPr>
      </w:pPr>
    </w:p>
    <w:p w14:paraId="39CA9B9F">
      <w:pPr>
        <w:pStyle w:val="9"/>
        <w:spacing w:after="0" w:line="249" w:lineRule="auto"/>
        <w:rPr>
          <w:rFonts w:hint="eastAsia"/>
        </w:rPr>
      </w:pPr>
      <w:r>
        <w:rPr>
          <w:rFonts w:hint="eastAsia"/>
        </w:rPr>
        <w:t>Yes, it contains predictive prophecy, but it predicts nothing new.</w:t>
      </w:r>
    </w:p>
    <w:p w14:paraId="7DAD75DC">
      <w:pPr>
        <w:pStyle w:val="9"/>
        <w:spacing w:after="0" w:line="249" w:lineRule="auto"/>
        <w:rPr>
          <w:rFonts w:hint="eastAsia"/>
        </w:rPr>
      </w:pPr>
      <w:r>
        <w:rPr>
          <w:rFonts w:hint="eastAsia"/>
        </w:rPr>
        <w:t>是的，它包含预言，但它没有预言任何新东西。</w:t>
      </w:r>
    </w:p>
    <w:p w14:paraId="69CDC75E">
      <w:pPr>
        <w:pStyle w:val="9"/>
        <w:spacing w:after="0" w:line="249" w:lineRule="auto"/>
        <w:rPr>
          <w:rFonts w:hint="eastAsia"/>
        </w:rPr>
      </w:pPr>
    </w:p>
    <w:p w14:paraId="2A7ECEB5">
      <w:pPr>
        <w:pStyle w:val="9"/>
        <w:spacing w:after="0" w:line="249" w:lineRule="auto"/>
        <w:rPr>
          <w:rFonts w:hint="eastAsia"/>
        </w:rPr>
      </w:pPr>
      <w:r>
        <w:rPr>
          <w:rFonts w:hint="eastAsia"/>
        </w:rPr>
        <w:t>Yes, it gives us the course, character, and consummation of Salvation History, but it tells us nothing new about them, preferring instead simply to exalt and sing the glories of the One who dwells at the center of them all.</w:t>
      </w:r>
    </w:p>
    <w:p w14:paraId="50565104">
      <w:pPr>
        <w:pStyle w:val="9"/>
        <w:spacing w:after="0" w:line="249" w:lineRule="auto"/>
        <w:rPr>
          <w:rFonts w:hint="eastAsia"/>
        </w:rPr>
      </w:pPr>
      <w:r>
        <w:rPr>
          <w:rFonts w:hint="eastAsia"/>
        </w:rPr>
        <w:t>是的，它给了我们救赎历史的进程、特征和最终的成全，但它没有告诉我们任何关于这些的新信息，而是宁愿简单地高举和歌颂那位居住在它们中心的主的荣耀。</w:t>
      </w:r>
    </w:p>
    <w:p w14:paraId="65278FD3">
      <w:pPr>
        <w:pStyle w:val="9"/>
        <w:spacing w:after="0" w:line="249" w:lineRule="auto"/>
        <w:rPr>
          <w:rFonts w:hint="eastAsia"/>
        </w:rPr>
      </w:pPr>
    </w:p>
    <w:p w14:paraId="3A539AAA">
      <w:pPr>
        <w:pStyle w:val="9"/>
        <w:spacing w:after="0" w:line="249" w:lineRule="auto"/>
        <w:rPr>
          <w:rFonts w:hint="eastAsia"/>
        </w:rPr>
      </w:pPr>
      <w:r>
        <w:rPr>
          <w:rFonts w:hint="eastAsia"/>
        </w:rPr>
        <w:t>And yes, it communicates in symbols, but in symbols whose meanings are old; symbols whose meanings have been disclosed previously in the Didactic NT, so that (for God’s NT scribes) the Revelation is an open book, and not a sealed one.</w:t>
      </w:r>
    </w:p>
    <w:p w14:paraId="5D040934">
      <w:pPr>
        <w:pStyle w:val="9"/>
        <w:spacing w:after="0" w:line="249" w:lineRule="auto"/>
        <w:rPr>
          <w:rFonts w:hint="eastAsia"/>
        </w:rPr>
      </w:pPr>
      <w:r>
        <w:rPr>
          <w:rFonts w:hint="eastAsia"/>
        </w:rPr>
        <w:t>是的，它用象征来交流，但这些象征的意义是古老的；这些象征的意义先前已在教导性新约中揭示出来，因此（对神的新约文士来说）启示录是一本打开的书，而不是一本被封印的书。</w:t>
      </w:r>
    </w:p>
    <w:p w14:paraId="67106BAC">
      <w:pPr>
        <w:pStyle w:val="9"/>
        <w:spacing w:after="0" w:line="249" w:lineRule="auto"/>
        <w:rPr>
          <w:rFonts w:hint="eastAsia"/>
        </w:rPr>
      </w:pPr>
    </w:p>
    <w:p w14:paraId="3C885EC2">
      <w:pPr>
        <w:pStyle w:val="9"/>
        <w:spacing w:after="0" w:line="249" w:lineRule="auto"/>
        <w:rPr>
          <w:rFonts w:hint="eastAsia"/>
        </w:rPr>
      </w:pPr>
      <w:r>
        <w:rPr>
          <w:rFonts w:hint="eastAsia"/>
        </w:rPr>
        <w:t>For all these reasons, I conclude that Revelation 20 cannot possibly be introducing new truth about a future millennial stage of the Kingdom; new truth that would radically modify, upend, and overthrow the old.</w:t>
      </w:r>
    </w:p>
    <w:p w14:paraId="34AA1243">
      <w:pPr>
        <w:pStyle w:val="9"/>
        <w:spacing w:after="0" w:line="249" w:lineRule="auto"/>
        <w:rPr>
          <w:rFonts w:hint="eastAsia"/>
        </w:rPr>
      </w:pPr>
      <w:r>
        <w:rPr>
          <w:rFonts w:hint="eastAsia"/>
        </w:rPr>
        <w:t>出于所有这些原因，我得出结论，启示录第20章不可能在引入关于未来千禧年国度阶段的新真理；新真理会从根本上修改、颠覆和推翻旧的真理。</w:t>
      </w:r>
    </w:p>
    <w:p w14:paraId="53CF2C5F">
      <w:pPr>
        <w:pStyle w:val="9"/>
        <w:spacing w:after="0" w:line="249" w:lineRule="auto"/>
        <w:rPr>
          <w:rFonts w:hint="eastAsia"/>
        </w:rPr>
      </w:pPr>
    </w:p>
    <w:p w14:paraId="24BC3D50">
      <w:pPr>
        <w:pStyle w:val="9"/>
        <w:spacing w:after="0" w:line="249" w:lineRule="auto"/>
        <w:rPr>
          <w:rFonts w:hint="eastAsia"/>
        </w:rPr>
      </w:pPr>
      <w:r>
        <w:rPr>
          <w:rFonts w:hint="eastAsia"/>
        </w:rPr>
        <w:t>Rather, Revelation 20—and indeed the book as a whole—must simply be giving us the Grand Finale of all Scripture.</w:t>
      </w:r>
    </w:p>
    <w:p w14:paraId="02D3982A">
      <w:pPr>
        <w:pStyle w:val="9"/>
        <w:spacing w:after="0" w:line="249" w:lineRule="auto"/>
        <w:rPr>
          <w:rFonts w:hint="eastAsia"/>
        </w:rPr>
      </w:pPr>
      <w:r>
        <w:rPr>
          <w:rFonts w:hint="eastAsia"/>
        </w:rPr>
        <w:t>相反，启示录第20章——实际上是整本书——必须仅仅是给我们所有圣经的宏伟终曲。</w:t>
      </w:r>
    </w:p>
    <w:p w14:paraId="4CD4B9E8">
      <w:pPr>
        <w:pStyle w:val="9"/>
        <w:spacing w:after="0" w:line="249" w:lineRule="auto"/>
        <w:rPr>
          <w:rFonts w:hint="eastAsia"/>
        </w:rPr>
      </w:pPr>
    </w:p>
    <w:p w14:paraId="7CC17AE5">
      <w:pPr>
        <w:pStyle w:val="9"/>
        <w:spacing w:after="0" w:line="249" w:lineRule="auto"/>
        <w:rPr>
          <w:rFonts w:hint="eastAsia"/>
        </w:rPr>
      </w:pPr>
      <w:r>
        <w:rPr>
          <w:rFonts w:hint="eastAsia"/>
        </w:rPr>
        <w:t>It must be recapitulating and celebrating old truths, albeit in a new and breathtakingly beautiful way; a way that, fittingly enough, exalts him who is the living heart of all divine revelation: the High King of Heaven, the Lord Jesus Christ.</w:t>
      </w:r>
    </w:p>
    <w:p w14:paraId="291BD354">
      <w:pPr>
        <w:pStyle w:val="9"/>
        <w:spacing w:after="0" w:line="249" w:lineRule="auto"/>
        <w:sectPr>
          <w:pgSz w:w="12240" w:h="15840"/>
          <w:pgMar w:top="1380" w:right="1440" w:bottom="280" w:left="1440" w:header="720" w:footer="720" w:gutter="0"/>
          <w:cols w:space="720" w:num="1"/>
        </w:sectPr>
      </w:pPr>
      <w:r>
        <w:rPr>
          <w:rFonts w:hint="eastAsia"/>
        </w:rPr>
        <w:t>它必须是在重述和庆祝旧的真理，尽管是以一种新的、令人惊叹的美丽方式；一种恰如其分地高举那位所有神圣启示活生生核心的方式：即天上至高的君王，主耶稣基督。</w:t>
      </w:r>
    </w:p>
    <w:p w14:paraId="26864C33">
      <w:pPr>
        <w:pStyle w:val="9"/>
        <w:spacing w:before="11"/>
        <w:ind w:left="0"/>
        <w:jc w:val="left"/>
        <w:rPr>
          <w:sz w:val="15"/>
        </w:rPr>
      </w:pPr>
      <w:bookmarkStart w:id="51" w:name="Chapter 20: The Revelation: Structure an"/>
      <w:bookmarkEnd w:id="51"/>
      <w:bookmarkStart w:id="52" w:name="_bookmark121"/>
      <w:bookmarkEnd w:id="52"/>
    </w:p>
    <w:p w14:paraId="464F4AA1">
      <w:pPr>
        <w:pStyle w:val="2"/>
        <w:bidi w:val="0"/>
        <w:rPr>
          <w:rFonts w:hint="eastAsia"/>
        </w:rPr>
      </w:pPr>
      <w:r>
        <w:rPr>
          <w:rFonts w:hint="eastAsia"/>
        </w:rPr>
        <w:t>Chapter 20</w:t>
      </w:r>
    </w:p>
    <w:p w14:paraId="0AA9D7EA">
      <w:pPr>
        <w:pStyle w:val="2"/>
        <w:bidi w:val="0"/>
        <w:rPr>
          <w:rFonts w:hint="eastAsia"/>
        </w:rPr>
      </w:pPr>
      <w:r>
        <w:rPr>
          <w:rFonts w:hint="eastAsia"/>
        </w:rPr>
        <w:t>第二十章</w:t>
      </w:r>
    </w:p>
    <w:p w14:paraId="2D016CCF">
      <w:pPr>
        <w:pStyle w:val="9"/>
        <w:spacing w:after="2" w:line="249" w:lineRule="auto"/>
        <w:ind w:right="97"/>
        <w:rPr>
          <w:rFonts w:hint="eastAsia"/>
          <w:color w:val="231F20"/>
        </w:rPr>
      </w:pPr>
    </w:p>
    <w:p w14:paraId="51FF22B3">
      <w:pPr>
        <w:pStyle w:val="3"/>
        <w:bidi w:val="0"/>
        <w:rPr>
          <w:rFonts w:hint="eastAsia"/>
        </w:rPr>
      </w:pPr>
      <w:r>
        <w:rPr>
          <w:rFonts w:hint="eastAsia"/>
        </w:rPr>
        <w:t>The Revelation: Structure and Key Symbols</w:t>
      </w:r>
    </w:p>
    <w:p w14:paraId="7FE4AD44">
      <w:pPr>
        <w:pStyle w:val="3"/>
        <w:bidi w:val="0"/>
        <w:rPr>
          <w:rFonts w:hint="eastAsia"/>
        </w:rPr>
      </w:pPr>
      <w:r>
        <w:rPr>
          <w:rFonts w:hint="eastAsia"/>
        </w:rPr>
        <w:t>《启示录》：结构与关键象征</w:t>
      </w:r>
    </w:p>
    <w:p w14:paraId="77579350">
      <w:pPr>
        <w:pStyle w:val="9"/>
        <w:spacing w:after="2" w:line="249" w:lineRule="auto"/>
        <w:ind w:right="97"/>
        <w:rPr>
          <w:rFonts w:hint="eastAsia"/>
          <w:color w:val="231F20"/>
        </w:rPr>
      </w:pPr>
    </w:p>
    <w:p w14:paraId="19E78DF4">
      <w:pPr>
        <w:pStyle w:val="9"/>
        <w:spacing w:after="2" w:line="249" w:lineRule="auto"/>
        <w:ind w:right="97"/>
        <w:rPr>
          <w:rFonts w:hint="eastAsia"/>
          <w:color w:val="231F20"/>
        </w:rPr>
      </w:pPr>
      <w:r>
        <w:rPr>
          <w:rFonts w:hint="eastAsia"/>
          <w:color w:val="231F20"/>
        </w:rPr>
        <w:t>THE REVELATION CAN be an intimidating book.</w:t>
      </w:r>
    </w:p>
    <w:p w14:paraId="48F216D0">
      <w:pPr>
        <w:pStyle w:val="9"/>
        <w:spacing w:after="2" w:line="249" w:lineRule="auto"/>
        <w:ind w:right="97"/>
        <w:rPr>
          <w:rFonts w:hint="eastAsia"/>
          <w:color w:val="231F20"/>
        </w:rPr>
      </w:pPr>
      <w:r>
        <w:rPr>
          <w:rFonts w:hint="eastAsia"/>
          <w:color w:val="231F20"/>
        </w:rPr>
        <w:t>《启示录》可能是一本令人望而生畏的书。</w:t>
      </w:r>
    </w:p>
    <w:p w14:paraId="11AE5680">
      <w:pPr>
        <w:pStyle w:val="9"/>
        <w:spacing w:after="2" w:line="249" w:lineRule="auto"/>
        <w:ind w:right="97"/>
        <w:rPr>
          <w:rFonts w:hint="eastAsia"/>
          <w:color w:val="231F20"/>
        </w:rPr>
      </w:pPr>
    </w:p>
    <w:p w14:paraId="792226E4">
      <w:pPr>
        <w:pStyle w:val="9"/>
        <w:spacing w:after="2" w:line="249" w:lineRule="auto"/>
        <w:ind w:right="97"/>
        <w:rPr>
          <w:rFonts w:hint="eastAsia"/>
          <w:color w:val="231F20"/>
        </w:rPr>
      </w:pPr>
      <w:r>
        <w:rPr>
          <w:rFonts w:hint="eastAsia"/>
          <w:color w:val="231F20"/>
        </w:rPr>
        <w:t>It is long, filled with mysterious visions and symbols, and at times overwhelming with its serial depictions of spiritual warfare and divine judgment.</w:t>
      </w:r>
    </w:p>
    <w:p w14:paraId="6AC7E27A">
      <w:pPr>
        <w:pStyle w:val="9"/>
        <w:spacing w:after="2" w:line="249" w:lineRule="auto"/>
        <w:ind w:right="97"/>
        <w:rPr>
          <w:rFonts w:hint="eastAsia"/>
          <w:color w:val="231F20"/>
        </w:rPr>
      </w:pPr>
      <w:r>
        <w:rPr>
          <w:rFonts w:hint="eastAsia"/>
          <w:color w:val="231F20"/>
        </w:rPr>
        <w:t>它篇幅很长，充满了神秘的异象和象征，其对属灵争战和神圣审判的连续描绘有时会让人感到难以承受。</w:t>
      </w:r>
    </w:p>
    <w:p w14:paraId="0178A520">
      <w:pPr>
        <w:pStyle w:val="9"/>
        <w:spacing w:after="2" w:line="249" w:lineRule="auto"/>
        <w:ind w:right="97"/>
        <w:rPr>
          <w:rFonts w:hint="eastAsia"/>
          <w:color w:val="231F20"/>
        </w:rPr>
      </w:pPr>
    </w:p>
    <w:p w14:paraId="0606E452">
      <w:pPr>
        <w:pStyle w:val="9"/>
        <w:spacing w:after="2" w:line="249" w:lineRule="auto"/>
        <w:ind w:right="97"/>
        <w:rPr>
          <w:rFonts w:hint="eastAsia"/>
          <w:color w:val="231F20"/>
        </w:rPr>
      </w:pPr>
      <w:r>
        <w:rPr>
          <w:rFonts w:hint="eastAsia"/>
          <w:color w:val="231F20"/>
        </w:rPr>
        <w:t>And yet, when we push past our fears and enter into it more deeply, we begin to see things: recurring themes, patterns, and cycles.</w:t>
      </w:r>
    </w:p>
    <w:p w14:paraId="42DBD4A6">
      <w:pPr>
        <w:pStyle w:val="9"/>
        <w:spacing w:after="2" w:line="249" w:lineRule="auto"/>
        <w:ind w:right="97"/>
        <w:rPr>
          <w:rFonts w:hint="eastAsia"/>
          <w:color w:val="231F20"/>
        </w:rPr>
      </w:pPr>
      <w:r>
        <w:rPr>
          <w:rFonts w:hint="eastAsia"/>
          <w:color w:val="231F20"/>
        </w:rPr>
        <w:t>然而，当我们克服恐惧，更深入地研读它时，我们开始看到一些东西：反复出现的主题、模式和循环。</w:t>
      </w:r>
    </w:p>
    <w:p w14:paraId="460A55FE">
      <w:pPr>
        <w:pStyle w:val="9"/>
        <w:spacing w:after="2" w:line="249" w:lineRule="auto"/>
        <w:ind w:right="97"/>
        <w:rPr>
          <w:rFonts w:hint="eastAsia"/>
          <w:color w:val="231F20"/>
        </w:rPr>
      </w:pPr>
    </w:p>
    <w:p w14:paraId="29F40AD2">
      <w:pPr>
        <w:pStyle w:val="9"/>
        <w:spacing w:after="2" w:line="249" w:lineRule="auto"/>
        <w:ind w:right="97"/>
        <w:rPr>
          <w:rFonts w:hint="eastAsia"/>
          <w:color w:val="231F20"/>
        </w:rPr>
      </w:pPr>
      <w:r>
        <w:rPr>
          <w:rFonts w:hint="eastAsia"/>
          <w:color w:val="231F20"/>
        </w:rPr>
        <w:t>Suddenly, perhaps after several readings, we realize that this prophecy has a structure; a structure so nuanced, complex, beautiful, and ingenious, that the hand of God himself must be behind it.</w:t>
      </w:r>
    </w:p>
    <w:p w14:paraId="7331D40C">
      <w:pPr>
        <w:pStyle w:val="9"/>
        <w:spacing w:after="2" w:line="249" w:lineRule="auto"/>
        <w:ind w:right="97"/>
        <w:rPr>
          <w:rFonts w:hint="eastAsia"/>
          <w:color w:val="231F20"/>
        </w:rPr>
      </w:pPr>
      <w:r>
        <w:rPr>
          <w:rFonts w:hint="eastAsia"/>
          <w:color w:val="231F20"/>
        </w:rPr>
        <w:t>突然之间，或许在阅读几遍之后，我们意识到这个预言有一个结构；一个如此细致入微、复杂、优美且巧妙的结构，其背后必然有上帝祂自己的手笔。</w:t>
      </w:r>
    </w:p>
    <w:p w14:paraId="29C9895A">
      <w:pPr>
        <w:pStyle w:val="9"/>
        <w:spacing w:after="2" w:line="249" w:lineRule="auto"/>
        <w:ind w:right="97"/>
        <w:rPr>
          <w:rFonts w:hint="eastAsia"/>
          <w:color w:val="231F20"/>
        </w:rPr>
      </w:pPr>
    </w:p>
    <w:p w14:paraId="5E3F44C6">
      <w:pPr>
        <w:pStyle w:val="9"/>
        <w:spacing w:after="2" w:line="249" w:lineRule="auto"/>
        <w:ind w:right="97"/>
        <w:rPr>
          <w:rFonts w:hint="eastAsia"/>
          <w:color w:val="231F20"/>
        </w:rPr>
      </w:pPr>
      <w:r>
        <w:rPr>
          <w:rFonts w:hint="eastAsia"/>
          <w:color w:val="231F20"/>
        </w:rPr>
        <w:t>Moreover, when we fully see this structure, we also see how to interpret the book as a whole, and chapter 20 in particular.</w:t>
      </w:r>
    </w:p>
    <w:p w14:paraId="373EE584">
      <w:pPr>
        <w:pStyle w:val="9"/>
        <w:spacing w:after="2" w:line="249" w:lineRule="auto"/>
        <w:ind w:right="97"/>
        <w:rPr>
          <w:rFonts w:hint="eastAsia"/>
          <w:color w:val="231F20"/>
        </w:rPr>
      </w:pPr>
      <w:r>
        <w:rPr>
          <w:rFonts w:hint="eastAsia"/>
          <w:color w:val="231F20"/>
        </w:rPr>
        <w:t>此外，当我们完全看清这个结构时，我们也就明白了如何解释整本书，特别是第二十章。</w:t>
      </w:r>
    </w:p>
    <w:p w14:paraId="17F67B46">
      <w:pPr>
        <w:pStyle w:val="9"/>
        <w:spacing w:after="2" w:line="249" w:lineRule="auto"/>
        <w:ind w:right="97"/>
        <w:rPr>
          <w:rFonts w:hint="eastAsia"/>
          <w:color w:val="231F20"/>
        </w:rPr>
      </w:pPr>
    </w:p>
    <w:p w14:paraId="3DBBFE4D">
      <w:pPr>
        <w:pStyle w:val="9"/>
        <w:spacing w:after="2" w:line="249" w:lineRule="auto"/>
        <w:ind w:right="97"/>
        <w:rPr>
          <w:rFonts w:hint="eastAsia"/>
          <w:color w:val="231F20"/>
        </w:rPr>
      </w:pPr>
      <w:r>
        <w:rPr>
          <w:rFonts w:hint="eastAsia"/>
          <w:color w:val="231F20"/>
        </w:rPr>
        <w:t>We must, then, devote some quality time to this crucial subject.</w:t>
      </w:r>
    </w:p>
    <w:p w14:paraId="7E6C150A">
      <w:pPr>
        <w:pStyle w:val="9"/>
        <w:spacing w:after="2" w:line="249" w:lineRule="auto"/>
        <w:ind w:right="97"/>
        <w:rPr>
          <w:rFonts w:hint="eastAsia"/>
          <w:color w:val="231F20"/>
        </w:rPr>
      </w:pPr>
      <w:r>
        <w:rPr>
          <w:rFonts w:hint="eastAsia"/>
          <w:color w:val="231F20"/>
        </w:rPr>
        <w:t>因此，我们必须花一些高质量的时间来探讨这个至关重要的主题。</w:t>
      </w:r>
    </w:p>
    <w:p w14:paraId="083623E5">
      <w:pPr>
        <w:pStyle w:val="9"/>
        <w:spacing w:after="2" w:line="249" w:lineRule="auto"/>
        <w:ind w:right="97"/>
        <w:rPr>
          <w:rFonts w:hint="eastAsia"/>
          <w:color w:val="231F20"/>
        </w:rPr>
      </w:pPr>
    </w:p>
    <w:p w14:paraId="6F9CF50F">
      <w:pPr>
        <w:pStyle w:val="9"/>
        <w:spacing w:after="2" w:line="249" w:lineRule="auto"/>
        <w:ind w:right="97"/>
        <w:rPr>
          <w:rFonts w:hint="eastAsia"/>
          <w:color w:val="231F20"/>
        </w:rPr>
      </w:pPr>
      <w:r>
        <w:rPr>
          <w:rFonts w:hint="eastAsia"/>
          <w:color w:val="231F20"/>
        </w:rPr>
        <w:t>Having considered a number of different views on the structure of the Revelation, I find that I return over and again to the ideas embodied in the chart below.</w:t>
      </w:r>
    </w:p>
    <w:p w14:paraId="271F2DC5">
      <w:pPr>
        <w:pStyle w:val="9"/>
        <w:spacing w:after="2" w:line="249" w:lineRule="auto"/>
        <w:ind w:right="97"/>
        <w:rPr>
          <w:rFonts w:hint="eastAsia"/>
          <w:color w:val="231F20"/>
        </w:rPr>
      </w:pPr>
      <w:r>
        <w:rPr>
          <w:rFonts w:hint="eastAsia"/>
          <w:color w:val="231F20"/>
        </w:rPr>
        <w:t>在考量了关于《启示录》结构的多种不同观点后，我发现自己一次又一次地回到下表中体现的观点。</w:t>
      </w:r>
    </w:p>
    <w:p w14:paraId="5B16022B">
      <w:pPr>
        <w:pStyle w:val="9"/>
        <w:spacing w:after="2" w:line="249" w:lineRule="auto"/>
        <w:ind w:right="97"/>
        <w:rPr>
          <w:rFonts w:hint="eastAsia"/>
          <w:color w:val="231F20"/>
        </w:rPr>
      </w:pPr>
    </w:p>
    <w:p w14:paraId="099A89AD">
      <w:pPr>
        <w:pStyle w:val="9"/>
        <w:spacing w:after="2" w:line="249" w:lineRule="auto"/>
        <w:ind w:right="97"/>
        <w:rPr>
          <w:rFonts w:hint="eastAsia"/>
          <w:color w:val="231F20"/>
        </w:rPr>
      </w:pPr>
      <w:r>
        <w:rPr>
          <w:rFonts w:hint="eastAsia"/>
          <w:color w:val="231F20"/>
        </w:rPr>
        <w:t>In a moment, we will let it guide us through a survey of the book itself.</w:t>
      </w:r>
    </w:p>
    <w:p w14:paraId="2271DA8B">
      <w:pPr>
        <w:pStyle w:val="9"/>
        <w:spacing w:after="2" w:line="249" w:lineRule="auto"/>
        <w:ind w:right="97"/>
        <w:rPr>
          <w:rFonts w:hint="eastAsia"/>
          <w:color w:val="231F20"/>
        </w:rPr>
      </w:pPr>
      <w:r>
        <w:rPr>
          <w:rFonts w:hint="eastAsia"/>
          <w:color w:val="231F20"/>
        </w:rPr>
        <w:t>稍后，我们将让它引导我们对这本书本身进行一番考察。</w:t>
      </w:r>
    </w:p>
    <w:p w14:paraId="25ADB699">
      <w:pPr>
        <w:pStyle w:val="9"/>
        <w:spacing w:after="2" w:line="249" w:lineRule="auto"/>
        <w:ind w:right="97"/>
        <w:rPr>
          <w:rFonts w:hint="eastAsia"/>
          <w:color w:val="231F20"/>
        </w:rPr>
      </w:pPr>
    </w:p>
    <w:p w14:paraId="7FC2BD91">
      <w:pPr>
        <w:pStyle w:val="9"/>
        <w:spacing w:after="2" w:line="249" w:lineRule="auto"/>
        <w:ind w:right="97"/>
        <w:rPr>
          <w:rFonts w:hint="eastAsia"/>
          <w:color w:val="231F20"/>
        </w:rPr>
      </w:pPr>
      <w:r>
        <w:rPr>
          <w:rFonts w:hint="eastAsia"/>
          <w:color w:val="231F20"/>
        </w:rPr>
        <w:t>First, however, a few preliminary remarks are in order.</w:t>
      </w:r>
    </w:p>
    <w:p w14:paraId="2D7FA521">
      <w:pPr>
        <w:pStyle w:val="9"/>
        <w:spacing w:after="2" w:line="249" w:lineRule="auto"/>
        <w:ind w:right="97"/>
        <w:rPr>
          <w:rFonts w:hint="eastAsia"/>
          <w:color w:val="231F20"/>
        </w:rPr>
      </w:pPr>
      <w:r>
        <w:rPr>
          <w:rFonts w:hint="eastAsia"/>
          <w:color w:val="231F20"/>
        </w:rPr>
        <w:t>然而，首先，有必要做一些初步的说明。</w:t>
      </w:r>
    </w:p>
    <w:p w14:paraId="20CE6BA5">
      <w:pPr>
        <w:pStyle w:val="9"/>
        <w:spacing w:after="2" w:line="249" w:lineRule="auto"/>
        <w:ind w:right="97"/>
        <w:rPr>
          <w:rFonts w:hint="eastAsia"/>
          <w:color w:val="231F20"/>
        </w:rPr>
      </w:pPr>
    </w:p>
    <w:p w14:paraId="3AB1D39A">
      <w:pPr>
        <w:pStyle w:val="9"/>
        <w:spacing w:after="2" w:line="249" w:lineRule="auto"/>
        <w:ind w:right="97"/>
        <w:rPr>
          <w:rFonts w:hint="eastAsia"/>
          <w:color w:val="231F20"/>
        </w:rPr>
      </w:pPr>
      <w:r>
        <w:rPr>
          <w:rFonts w:hint="eastAsia"/>
          <w:color w:val="231F20"/>
        </w:rPr>
        <w:t>As you can see, I have divided the book into five blocs.</w:t>
      </w:r>
    </w:p>
    <w:p w14:paraId="763CECFD">
      <w:pPr>
        <w:pStyle w:val="9"/>
        <w:spacing w:after="2" w:line="249" w:lineRule="auto"/>
        <w:ind w:right="97"/>
        <w:rPr>
          <w:rFonts w:hint="eastAsia"/>
          <w:color w:val="231F20"/>
        </w:rPr>
      </w:pPr>
      <w:r>
        <w:rPr>
          <w:rFonts w:hint="eastAsia"/>
          <w:color w:val="231F20"/>
        </w:rPr>
        <w:t>如你所见，我已将这本书分为五个区块。</w:t>
      </w:r>
    </w:p>
    <w:p w14:paraId="696785CB">
      <w:pPr>
        <w:pStyle w:val="9"/>
        <w:spacing w:after="2" w:line="249" w:lineRule="auto"/>
        <w:ind w:right="97"/>
        <w:rPr>
          <w:rFonts w:hint="eastAsia"/>
          <w:color w:val="231F20"/>
        </w:rPr>
      </w:pPr>
    </w:p>
    <w:p w14:paraId="3D2C3686">
      <w:pPr>
        <w:pStyle w:val="9"/>
        <w:spacing w:after="2" w:line="249" w:lineRule="auto"/>
        <w:ind w:right="97"/>
        <w:rPr>
          <w:rFonts w:hint="eastAsia"/>
          <w:color w:val="231F20"/>
        </w:rPr>
      </w:pPr>
      <w:r>
        <w:rPr>
          <w:rFonts w:hint="eastAsia"/>
          <w:color w:val="231F20"/>
        </w:rPr>
        <w:t>The titles beneath each one reflect my best effort to identify the main idea of the bloc, while at the same time keeping in view the central theme of the whole book: the Person and Work of Christ in his Exaltation.</w:t>
      </w:r>
    </w:p>
    <w:p w14:paraId="7CD752B2">
      <w:pPr>
        <w:pStyle w:val="9"/>
        <w:spacing w:after="2" w:line="249" w:lineRule="auto"/>
        <w:ind w:right="97"/>
        <w:rPr>
          <w:rFonts w:hint="eastAsia"/>
          <w:color w:val="231F20"/>
        </w:rPr>
      </w:pPr>
      <w:r>
        <w:rPr>
          <w:rFonts w:hint="eastAsia"/>
          <w:color w:val="231F20"/>
        </w:rPr>
        <w:t>每个区块下方的标题反映了我为识别该区块主要思想所做的最大努力，同时又兼顾了全书的中心主题：基督在祂高升中的位格与工作。</w:t>
      </w:r>
    </w:p>
    <w:p w14:paraId="34AC83A4">
      <w:pPr>
        <w:pStyle w:val="9"/>
        <w:spacing w:after="2" w:line="249" w:lineRule="auto"/>
        <w:ind w:right="97"/>
        <w:rPr>
          <w:rFonts w:hint="eastAsia"/>
          <w:color w:val="231F20"/>
        </w:rPr>
      </w:pPr>
    </w:p>
    <w:p w14:paraId="396939F1">
      <w:pPr>
        <w:pStyle w:val="9"/>
        <w:spacing w:after="2" w:line="249" w:lineRule="auto"/>
        <w:ind w:right="97"/>
        <w:rPr>
          <w:rFonts w:hint="eastAsia"/>
          <w:color w:val="231F20"/>
        </w:rPr>
      </w:pPr>
      <w:r>
        <w:rPr>
          <w:rFonts w:hint="eastAsia"/>
          <w:color w:val="231F20"/>
        </w:rPr>
        <w:t>Or, to say it more concisely: the High King of Heaven.</w:t>
      </w:r>
    </w:p>
    <w:p w14:paraId="5706C223">
      <w:pPr>
        <w:pStyle w:val="9"/>
        <w:spacing w:after="2" w:line="249" w:lineRule="auto"/>
        <w:ind w:right="97"/>
        <w:rPr>
          <w:rFonts w:hint="eastAsia"/>
          <w:color w:val="231F20"/>
        </w:rPr>
      </w:pPr>
      <w:r>
        <w:rPr>
          <w:rFonts w:hint="eastAsia"/>
          <w:color w:val="231F20"/>
        </w:rPr>
        <w:t>或者，更简洁地说：天上的至高君王。</w:t>
      </w:r>
    </w:p>
    <w:p w14:paraId="55D55D5A">
      <w:pPr>
        <w:pStyle w:val="9"/>
        <w:spacing w:after="2" w:line="249" w:lineRule="auto"/>
        <w:ind w:right="97"/>
        <w:rPr>
          <w:rFonts w:hint="eastAsia"/>
          <w:color w:val="231F20"/>
        </w:rPr>
      </w:pPr>
    </w:p>
    <w:p w14:paraId="13577B29">
      <w:pPr>
        <w:pStyle w:val="9"/>
        <w:spacing w:after="2" w:line="249" w:lineRule="auto"/>
        <w:ind w:right="97"/>
        <w:rPr>
          <w:rFonts w:hint="eastAsia"/>
          <w:color w:val="231F20"/>
        </w:rPr>
      </w:pPr>
      <w:r>
        <w:rPr>
          <w:rFonts w:hint="eastAsia"/>
          <w:color w:val="231F20"/>
        </w:rPr>
        <w:t>I am very pleased with the fact that the third bloc, which gives us the Investiture of the High King of Heaven (4-5), stands mid way between the other two.</w:t>
      </w:r>
    </w:p>
    <w:p w14:paraId="590A5AAC">
      <w:pPr>
        <w:pStyle w:val="9"/>
        <w:spacing w:after="2" w:line="249" w:lineRule="auto"/>
        <w:ind w:right="97"/>
        <w:rPr>
          <w:rFonts w:hint="eastAsia"/>
          <w:color w:val="231F20"/>
        </w:rPr>
      </w:pPr>
      <w:r>
        <w:rPr>
          <w:rFonts w:hint="eastAsia"/>
          <w:color w:val="231F20"/>
        </w:rPr>
        <w:t>我非常欣慰的是，第三个区块，即天上的至高君王授权典礼（第4-5章），恰好位于其他两个区块之间。</w:t>
      </w:r>
    </w:p>
    <w:p w14:paraId="04923D46">
      <w:pPr>
        <w:pStyle w:val="9"/>
        <w:spacing w:after="2" w:line="249" w:lineRule="auto"/>
        <w:ind w:right="97"/>
        <w:rPr>
          <w:rFonts w:hint="eastAsia"/>
          <w:color w:val="231F20"/>
        </w:rPr>
      </w:pPr>
    </w:p>
    <w:p w14:paraId="0C44D5D9">
      <w:pPr>
        <w:pStyle w:val="9"/>
        <w:spacing w:after="2" w:line="249" w:lineRule="auto"/>
        <w:ind w:right="97"/>
        <w:rPr>
          <w:rFonts w:hint="eastAsia"/>
          <w:color w:val="231F20"/>
        </w:rPr>
      </w:pPr>
      <w:r>
        <w:rPr>
          <w:rFonts w:hint="eastAsia"/>
          <w:color w:val="231F20"/>
        </w:rPr>
        <w:t>As we shall see in a moment, this is fitting, since this particular bloc is the theological high point and center of gravity of the whole prophecy.</w:t>
      </w:r>
    </w:p>
    <w:p w14:paraId="23DCDD52">
      <w:pPr>
        <w:pStyle w:val="9"/>
        <w:spacing w:after="2" w:line="249" w:lineRule="auto"/>
        <w:ind w:right="97"/>
        <w:rPr>
          <w:rFonts w:hint="eastAsia"/>
          <w:color w:val="231F20"/>
        </w:rPr>
      </w:pPr>
      <w:r>
        <w:rPr>
          <w:rFonts w:hint="eastAsia"/>
          <w:color w:val="231F20"/>
        </w:rPr>
        <w:t>我们稍后将看到，这是恰当的，因为这个特定的区块是整个预言的神学高潮和重心。</w:t>
      </w:r>
    </w:p>
    <w:p w14:paraId="7F84623E">
      <w:pPr>
        <w:pStyle w:val="9"/>
        <w:spacing w:after="2" w:line="249" w:lineRule="auto"/>
        <w:ind w:right="97"/>
        <w:rPr>
          <w:rFonts w:hint="eastAsia"/>
          <w:color w:val="231F20"/>
        </w:rPr>
      </w:pPr>
    </w:p>
    <w:p w14:paraId="3C6475C3">
      <w:pPr>
        <w:pStyle w:val="9"/>
        <w:spacing w:after="2" w:line="249" w:lineRule="auto"/>
        <w:ind w:right="97"/>
        <w:rPr>
          <w:rFonts w:hint="eastAsia"/>
          <w:color w:val="231F20"/>
        </w:rPr>
      </w:pPr>
      <w:r>
        <w:rPr>
          <w:rFonts w:hint="eastAsia"/>
          <w:color w:val="231F20"/>
        </w:rPr>
        <w:t>For consider: Because of his coronation as High King of Heaven, Christ can come to John in glory (1), and speak to the seven churches with supreme authority (2-3).</w:t>
      </w:r>
    </w:p>
    <w:p w14:paraId="031B874E">
      <w:pPr>
        <w:pStyle w:val="9"/>
        <w:spacing w:after="2" w:line="249" w:lineRule="auto"/>
        <w:ind w:right="97"/>
        <w:rPr>
          <w:rFonts w:hint="eastAsia"/>
          <w:color w:val="231F20"/>
        </w:rPr>
      </w:pPr>
      <w:r>
        <w:rPr>
          <w:rFonts w:hint="eastAsia"/>
          <w:color w:val="231F20"/>
        </w:rPr>
        <w:t>请思考：因为基督加冕为天上的至高君王，祂才能在荣耀中临到约翰（第1章），并以至高无上的权柄对七个教会说话（第2-3章）。</w:t>
      </w:r>
    </w:p>
    <w:p w14:paraId="1DC5F9BF">
      <w:pPr>
        <w:pStyle w:val="9"/>
        <w:spacing w:after="2" w:line="249" w:lineRule="auto"/>
        <w:ind w:right="97"/>
        <w:rPr>
          <w:rFonts w:hint="eastAsia"/>
          <w:color w:val="231F20"/>
        </w:rPr>
      </w:pPr>
    </w:p>
    <w:p w14:paraId="4115CAA3">
      <w:pPr>
        <w:pStyle w:val="9"/>
        <w:spacing w:after="2" w:line="249" w:lineRule="auto"/>
        <w:ind w:right="97"/>
        <w:rPr>
          <w:rFonts w:hint="eastAsia"/>
          <w:color w:val="231F20"/>
        </w:rPr>
      </w:pPr>
      <w:r>
        <w:rPr>
          <w:rFonts w:hint="eastAsia"/>
          <w:color w:val="231F20"/>
        </w:rPr>
        <w:t>Moreover, because of that same coronation, he can rule over the cosmos throughout the remaining years of Salvation History (6-20), and then, following his Parousia, bring his glorified Bride into the Kingdom of God in its full and final form (21-22).</w:t>
      </w:r>
    </w:p>
    <w:p w14:paraId="5F17E7F3">
      <w:pPr>
        <w:pStyle w:val="9"/>
        <w:spacing w:after="2" w:line="249" w:lineRule="auto"/>
        <w:ind w:right="97"/>
        <w:rPr>
          <w:rFonts w:hint="eastAsia"/>
          <w:color w:val="231F20"/>
        </w:rPr>
      </w:pPr>
      <w:r>
        <w:rPr>
          <w:rFonts w:hint="eastAsia"/>
          <w:color w:val="231F20"/>
        </w:rPr>
        <w:t>此外，因为同样的加冕礼，祂才能在救赎历史余下的年日里统治宇宙（第6-20章），然后在祂的主临（Parousia）之后，将祂荣耀的新妇带入上帝之国那完全和最终的形态中（第21-22章）。</w:t>
      </w:r>
    </w:p>
    <w:p w14:paraId="4F294902">
      <w:pPr>
        <w:pStyle w:val="9"/>
        <w:spacing w:after="2" w:line="249" w:lineRule="auto"/>
        <w:ind w:right="97"/>
        <w:rPr>
          <w:rFonts w:hint="eastAsia"/>
          <w:color w:val="231F20"/>
        </w:rPr>
      </w:pPr>
    </w:p>
    <w:p w14:paraId="1C289B72">
      <w:pPr>
        <w:pStyle w:val="9"/>
        <w:spacing w:after="2" w:line="249" w:lineRule="auto"/>
        <w:ind w:right="97"/>
        <w:rPr>
          <w:rFonts w:hint="eastAsia"/>
          <w:color w:val="231F20"/>
        </w:rPr>
      </w:pPr>
      <w:r>
        <w:rPr>
          <w:rFonts w:hint="eastAsia"/>
          <w:color w:val="231F20"/>
        </w:rPr>
        <w:t>Thus, chapters 4-5 hold the whole book together as one: as a single celebration of the Person and Work of the High King!</w:t>
      </w:r>
    </w:p>
    <w:p w14:paraId="3F3C021A">
      <w:pPr>
        <w:pStyle w:val="9"/>
        <w:spacing w:after="2" w:line="249" w:lineRule="auto"/>
        <w:ind w:right="97"/>
        <w:rPr>
          <w:color w:val="231F20"/>
        </w:rPr>
      </w:pPr>
      <w:r>
        <w:rPr>
          <w:rFonts w:hint="eastAsia"/>
          <w:color w:val="231F20"/>
        </w:rPr>
        <w:t>因此，第4-5章将整本书整合为一：作为对至高君王位格与工作的一次单一的庆典！</w:t>
      </w:r>
    </w:p>
    <w:p w14:paraId="1A9FC7AF">
      <w:pPr>
        <w:pStyle w:val="9"/>
        <w:spacing w:after="2" w:line="249" w:lineRule="auto"/>
        <w:ind w:right="97"/>
        <w:rPr>
          <w:color w:val="231F20"/>
        </w:rPr>
      </w:pPr>
    </w:p>
    <w:p w14:paraId="09CFE630">
      <w:pPr>
        <w:pStyle w:val="9"/>
        <w:spacing w:after="2" w:line="249" w:lineRule="auto"/>
        <w:ind w:right="97"/>
        <w:rPr>
          <w:color w:val="231F20"/>
        </w:rPr>
      </w:pPr>
    </w:p>
    <w:p w14:paraId="7A3CC15C">
      <w:pPr>
        <w:pStyle w:val="9"/>
        <w:spacing w:before="0"/>
        <w:ind w:left="2250"/>
        <w:jc w:val="left"/>
        <w:rPr>
          <w:sz w:val="20"/>
        </w:rPr>
      </w:pPr>
      <w:r>
        <w:rPr>
          <w:sz w:val="20"/>
        </w:rPr>
        <w:drawing>
          <wp:inline distT="0" distB="0" distL="0" distR="0">
            <wp:extent cx="3091180" cy="2962275"/>
            <wp:effectExtent l="0" t="0" r="0" b="0"/>
            <wp:docPr id="95" name="Image 95"/>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31" cstate="print"/>
                    <a:stretch>
                      <a:fillRect/>
                    </a:stretch>
                  </pic:blipFill>
                  <pic:spPr>
                    <a:xfrm>
                      <a:off x="0" y="0"/>
                      <a:ext cx="3091260" cy="2962655"/>
                    </a:xfrm>
                    <a:prstGeom prst="rect">
                      <a:avLst/>
                    </a:prstGeom>
                  </pic:spPr>
                </pic:pic>
              </a:graphicData>
            </a:graphic>
          </wp:inline>
        </w:drawing>
      </w:r>
    </w:p>
    <w:p w14:paraId="7F5F7313">
      <w:pPr>
        <w:pStyle w:val="9"/>
        <w:spacing w:before="0"/>
        <w:ind w:left="2250"/>
        <w:jc w:val="left"/>
        <w:rPr>
          <w:sz w:val="20"/>
        </w:rPr>
      </w:pPr>
      <w:r>
        <w:drawing>
          <wp:inline distT="0" distB="0" distL="114300" distR="114300">
            <wp:extent cx="3794760" cy="3648075"/>
            <wp:effectExtent l="0" t="0" r="0" b="952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32"/>
                    <a:stretch>
                      <a:fillRect/>
                    </a:stretch>
                  </pic:blipFill>
                  <pic:spPr>
                    <a:xfrm>
                      <a:off x="0" y="0"/>
                      <a:ext cx="3794760" cy="3648075"/>
                    </a:xfrm>
                    <a:prstGeom prst="rect">
                      <a:avLst/>
                    </a:prstGeom>
                    <a:noFill/>
                    <a:ln>
                      <a:noFill/>
                    </a:ln>
                  </pic:spPr>
                </pic:pic>
              </a:graphicData>
            </a:graphic>
          </wp:inline>
        </w:drawing>
      </w:r>
    </w:p>
    <w:p w14:paraId="2379FF04">
      <w:pPr>
        <w:pStyle w:val="9"/>
        <w:spacing w:before="17" w:line="249" w:lineRule="auto"/>
        <w:ind w:right="98" w:firstLine="450"/>
        <w:rPr>
          <w:rFonts w:hint="eastAsia"/>
          <w:color w:val="231F20"/>
        </w:rPr>
      </w:pPr>
      <w:bookmarkStart w:id="53" w:name="_bookmark122"/>
      <w:bookmarkEnd w:id="53"/>
      <w:r>
        <w:rPr>
          <w:rFonts w:hint="eastAsia"/>
          <w:color w:val="231F20"/>
        </w:rPr>
        <w:t>For the purposes of our study, the most important—and the most controversial—portion of my chart is bloc four.</w:t>
      </w:r>
    </w:p>
    <w:p w14:paraId="74636529">
      <w:pPr>
        <w:pStyle w:val="9"/>
        <w:spacing w:before="17" w:line="249" w:lineRule="auto"/>
        <w:ind w:right="98" w:firstLine="450"/>
        <w:rPr>
          <w:rFonts w:hint="eastAsia"/>
          <w:color w:val="231F20"/>
        </w:rPr>
      </w:pPr>
      <w:r>
        <w:rPr>
          <w:rFonts w:hint="eastAsia"/>
          <w:color w:val="231F20"/>
        </w:rPr>
        <w:t>为了我们研究的目的，我的图表中最重要的——也是最有争议的——部分是第四区块。</w:t>
      </w:r>
    </w:p>
    <w:p w14:paraId="5D601E51">
      <w:pPr>
        <w:pStyle w:val="9"/>
        <w:spacing w:before="17" w:line="249" w:lineRule="auto"/>
        <w:ind w:right="98" w:firstLine="450"/>
        <w:rPr>
          <w:rFonts w:hint="eastAsia"/>
          <w:color w:val="231F20"/>
        </w:rPr>
      </w:pPr>
    </w:p>
    <w:p w14:paraId="37D77448">
      <w:pPr>
        <w:pStyle w:val="9"/>
        <w:spacing w:before="17" w:line="249" w:lineRule="auto"/>
        <w:ind w:right="98" w:firstLine="450"/>
        <w:rPr>
          <w:rFonts w:hint="eastAsia"/>
          <w:color w:val="231F20"/>
        </w:rPr>
      </w:pPr>
      <w:r>
        <w:rPr>
          <w:rFonts w:hint="eastAsia"/>
          <w:color w:val="231F20"/>
        </w:rPr>
        <w:t>As you can see, there I suggest that chapters 6-20 are best understood as six separate apocalyptic cycles, each of which describes—in its own unique way, and for its own unique purposes—the course, character, and consummation of the spiritual reign of the High King of Heaven.</w:t>
      </w:r>
    </w:p>
    <w:p w14:paraId="7AC88C22">
      <w:pPr>
        <w:pStyle w:val="9"/>
        <w:spacing w:before="17" w:line="249" w:lineRule="auto"/>
        <w:ind w:right="98" w:firstLine="450"/>
        <w:rPr>
          <w:rFonts w:hint="eastAsia"/>
          <w:color w:val="231F20"/>
        </w:rPr>
      </w:pPr>
      <w:r>
        <w:rPr>
          <w:rFonts w:hint="eastAsia"/>
          <w:color w:val="231F20"/>
        </w:rPr>
        <w:t>如你所见，我在那里提出，第6-20章最好被理解为六个独立的末世性循环，每一个都以其独特的方式，并为其独特目的，描述了天上至高君王属灵统治的进程、特征和最终的成全。</w:t>
      </w:r>
    </w:p>
    <w:p w14:paraId="5BAEE16A">
      <w:pPr>
        <w:pStyle w:val="9"/>
        <w:spacing w:before="17" w:line="249" w:lineRule="auto"/>
        <w:ind w:right="98" w:firstLine="450"/>
        <w:rPr>
          <w:rFonts w:hint="eastAsia"/>
          <w:color w:val="231F20"/>
        </w:rPr>
      </w:pPr>
    </w:p>
    <w:p w14:paraId="47DD2FCA">
      <w:pPr>
        <w:pStyle w:val="9"/>
        <w:spacing w:before="17" w:line="249" w:lineRule="auto"/>
        <w:ind w:right="98" w:firstLine="450"/>
        <w:rPr>
          <w:rFonts w:hint="eastAsia"/>
          <w:color w:val="231F20"/>
        </w:rPr>
      </w:pPr>
      <w:r>
        <w:rPr>
          <w:rFonts w:hint="eastAsia"/>
          <w:color w:val="231F20"/>
        </w:rPr>
        <w:t>Since that’s a mouthful, let me break it down a little.</w:t>
      </w:r>
    </w:p>
    <w:p w14:paraId="5A800A89">
      <w:pPr>
        <w:pStyle w:val="9"/>
        <w:spacing w:before="17" w:line="249" w:lineRule="auto"/>
        <w:ind w:right="98" w:firstLine="450"/>
        <w:rPr>
          <w:rFonts w:hint="eastAsia"/>
          <w:color w:val="231F20"/>
        </w:rPr>
      </w:pPr>
      <w:r>
        <w:rPr>
          <w:rFonts w:hint="eastAsia"/>
          <w:color w:val="231F20"/>
        </w:rPr>
        <w:t>因为这话说起来有点绕口，让我来稍微分解一下。</w:t>
      </w:r>
    </w:p>
    <w:p w14:paraId="201FC308">
      <w:pPr>
        <w:pStyle w:val="9"/>
        <w:spacing w:before="17" w:line="249" w:lineRule="auto"/>
        <w:ind w:right="98" w:firstLine="450"/>
        <w:rPr>
          <w:rFonts w:hint="eastAsia"/>
          <w:color w:val="231F20"/>
        </w:rPr>
      </w:pPr>
    </w:p>
    <w:p w14:paraId="1B68E79D">
      <w:pPr>
        <w:pStyle w:val="9"/>
        <w:spacing w:before="17" w:line="249" w:lineRule="auto"/>
        <w:ind w:right="98" w:firstLine="450"/>
        <w:rPr>
          <w:rFonts w:hint="eastAsia"/>
          <w:color w:val="231F20"/>
        </w:rPr>
      </w:pPr>
      <w:r>
        <w:rPr>
          <w:rFonts w:hint="eastAsia"/>
          <w:color w:val="231F20"/>
        </w:rPr>
        <w:t>The idea here is really quite simple.</w:t>
      </w:r>
    </w:p>
    <w:p w14:paraId="49921E9F">
      <w:pPr>
        <w:pStyle w:val="9"/>
        <w:spacing w:before="17" w:line="249" w:lineRule="auto"/>
        <w:ind w:right="98" w:firstLine="450"/>
        <w:rPr>
          <w:rFonts w:hint="eastAsia"/>
          <w:color w:val="231F20"/>
        </w:rPr>
      </w:pPr>
      <w:r>
        <w:rPr>
          <w:rFonts w:hint="eastAsia"/>
          <w:color w:val="231F20"/>
        </w:rPr>
        <w:t>这里的想法其实很简单。</w:t>
      </w:r>
    </w:p>
    <w:p w14:paraId="0518E3F9">
      <w:pPr>
        <w:pStyle w:val="9"/>
        <w:spacing w:before="17" w:line="249" w:lineRule="auto"/>
        <w:ind w:right="98" w:firstLine="450"/>
        <w:rPr>
          <w:rFonts w:hint="eastAsia"/>
          <w:color w:val="231F20"/>
        </w:rPr>
      </w:pPr>
    </w:p>
    <w:p w14:paraId="430DEFFA">
      <w:pPr>
        <w:pStyle w:val="9"/>
        <w:spacing w:before="17" w:line="249" w:lineRule="auto"/>
        <w:ind w:right="98" w:firstLine="450"/>
        <w:rPr>
          <w:rFonts w:hint="eastAsia"/>
          <w:color w:val="231F20"/>
        </w:rPr>
      </w:pPr>
      <w:r>
        <w:rPr>
          <w:rFonts w:hint="eastAsia"/>
          <w:color w:val="231F20"/>
        </w:rPr>
        <w:t>This large bloc (6-20) is made up of six sub-blocs, or cycles (6-7, 8-11, 12-14, 15-16, 17-19, and 20).</w:t>
      </w:r>
    </w:p>
    <w:p w14:paraId="69DF1CB5">
      <w:pPr>
        <w:pStyle w:val="9"/>
        <w:spacing w:before="17" w:line="249" w:lineRule="auto"/>
        <w:ind w:right="98" w:firstLine="450"/>
        <w:rPr>
          <w:rFonts w:hint="eastAsia"/>
          <w:color w:val="231F20"/>
        </w:rPr>
      </w:pPr>
      <w:r>
        <w:rPr>
          <w:rFonts w:hint="eastAsia"/>
          <w:color w:val="231F20"/>
        </w:rPr>
        <w:t>这个大区块（6-20章）由六个子区块，或称循环（6-7章，8-11章，12-14章，15-16章，17-19章，以及20章）组成。</w:t>
      </w:r>
    </w:p>
    <w:p w14:paraId="6C2FFBD4">
      <w:pPr>
        <w:pStyle w:val="9"/>
        <w:spacing w:before="17" w:line="249" w:lineRule="auto"/>
        <w:ind w:right="98" w:firstLine="450"/>
        <w:rPr>
          <w:rFonts w:hint="eastAsia"/>
          <w:color w:val="231F20"/>
        </w:rPr>
      </w:pPr>
    </w:p>
    <w:p w14:paraId="1207AC16">
      <w:pPr>
        <w:pStyle w:val="9"/>
        <w:spacing w:before="17" w:line="249" w:lineRule="auto"/>
        <w:ind w:right="98" w:firstLine="450"/>
        <w:rPr>
          <w:rFonts w:hint="eastAsia"/>
          <w:color w:val="231F20"/>
        </w:rPr>
      </w:pPr>
      <w:r>
        <w:rPr>
          <w:rFonts w:hint="eastAsia"/>
          <w:color w:val="231F20"/>
        </w:rPr>
        <w:t>But in each of the cycles, the focus of the prophetic Spirit is always on the same time frame: the space of time between Christ’s first and second advents; the space of time during which the exalted Christ reigns as High King of heaven and earth.</w:t>
      </w:r>
    </w:p>
    <w:p w14:paraId="1A055F67">
      <w:pPr>
        <w:pStyle w:val="9"/>
        <w:spacing w:before="17" w:line="249" w:lineRule="auto"/>
        <w:ind w:right="98" w:firstLine="450"/>
        <w:rPr>
          <w:rFonts w:hint="eastAsia"/>
          <w:color w:val="231F20"/>
        </w:rPr>
      </w:pPr>
      <w:r>
        <w:rPr>
          <w:rFonts w:hint="eastAsia"/>
          <w:color w:val="231F20"/>
        </w:rPr>
        <w:t>但在每一个循环中，预言之灵的焦点始终在同一个时间框架上：基督第一次和第二次降临之间的时空；即被高举的基督作为天地至高君王施行统治的时空。</w:t>
      </w:r>
    </w:p>
    <w:p w14:paraId="72DA649F">
      <w:pPr>
        <w:pStyle w:val="9"/>
        <w:spacing w:before="17" w:line="249" w:lineRule="auto"/>
        <w:ind w:right="98" w:firstLine="450"/>
        <w:rPr>
          <w:rFonts w:hint="eastAsia"/>
          <w:color w:val="231F20"/>
        </w:rPr>
      </w:pPr>
    </w:p>
    <w:p w14:paraId="7E294A37">
      <w:pPr>
        <w:pStyle w:val="9"/>
        <w:spacing w:before="17" w:line="249" w:lineRule="auto"/>
        <w:ind w:right="98" w:firstLine="450"/>
        <w:rPr>
          <w:rFonts w:hint="eastAsia"/>
          <w:color w:val="231F20"/>
        </w:rPr>
      </w:pPr>
      <w:r>
        <w:rPr>
          <w:rFonts w:hint="eastAsia"/>
          <w:color w:val="231F20"/>
        </w:rPr>
        <w:t>This means that the fourth bloc of the Revelation—and the great bulk of the book—is actually made up of six separate visionary cycles, each one of which uses different ideas and images to cover the same historical ground;</w:t>
      </w:r>
    </w:p>
    <w:p w14:paraId="4DA1030E">
      <w:pPr>
        <w:pStyle w:val="9"/>
        <w:spacing w:before="17" w:line="249" w:lineRule="auto"/>
        <w:ind w:right="98" w:firstLine="450"/>
        <w:rPr>
          <w:rFonts w:hint="eastAsia"/>
          <w:color w:val="231F20"/>
        </w:rPr>
      </w:pPr>
      <w:r>
        <w:rPr>
          <w:rFonts w:hint="eastAsia"/>
          <w:color w:val="231F20"/>
        </w:rPr>
        <w:t>这意味着《启示录》的第四区块——也是这本书的绝大部分——实际上是由六个独立的异象循环组成的，每一个都使用不同的观念和意象来涵盖相同的历史范畴；</w:t>
      </w:r>
    </w:p>
    <w:p w14:paraId="5E7FE775">
      <w:pPr>
        <w:pStyle w:val="9"/>
        <w:spacing w:before="17" w:line="249" w:lineRule="auto"/>
        <w:ind w:right="98" w:firstLine="450"/>
        <w:rPr>
          <w:rFonts w:hint="eastAsia"/>
          <w:color w:val="231F20"/>
        </w:rPr>
      </w:pPr>
    </w:p>
    <w:p w14:paraId="44427802">
      <w:pPr>
        <w:pStyle w:val="9"/>
        <w:spacing w:before="17" w:line="249" w:lineRule="auto"/>
        <w:ind w:right="98" w:firstLine="450"/>
        <w:rPr>
          <w:rFonts w:hint="eastAsia"/>
          <w:color w:val="231F20"/>
        </w:rPr>
      </w:pPr>
      <w:r>
        <w:rPr>
          <w:rFonts w:hint="eastAsia"/>
          <w:color w:val="231F20"/>
        </w:rPr>
        <w:t>to rehearse, or recapitulate, the earthly impact of the heavenly reign of Christ.</w:t>
      </w:r>
    </w:p>
    <w:p w14:paraId="4B36D026">
      <w:pPr>
        <w:pStyle w:val="9"/>
        <w:spacing w:before="17" w:line="249" w:lineRule="auto"/>
        <w:ind w:right="98" w:firstLine="450"/>
        <w:rPr>
          <w:rFonts w:hint="eastAsia"/>
          <w:color w:val="231F20"/>
        </w:rPr>
      </w:pPr>
      <w:r>
        <w:rPr>
          <w:rFonts w:hint="eastAsia"/>
          <w:color w:val="231F20"/>
        </w:rPr>
        <w:t>为要重述，或概括，基督属天统治在地上所产生的影响。</w:t>
      </w:r>
    </w:p>
    <w:p w14:paraId="7ABE7068">
      <w:pPr>
        <w:pStyle w:val="9"/>
        <w:spacing w:before="17" w:line="249" w:lineRule="auto"/>
        <w:ind w:right="98" w:firstLine="450"/>
        <w:rPr>
          <w:rFonts w:hint="eastAsia"/>
          <w:color w:val="231F20"/>
        </w:rPr>
      </w:pPr>
    </w:p>
    <w:p w14:paraId="6B319CB8">
      <w:pPr>
        <w:pStyle w:val="9"/>
        <w:spacing w:before="17" w:line="249" w:lineRule="auto"/>
        <w:ind w:right="98" w:firstLine="450"/>
        <w:rPr>
          <w:rFonts w:hint="eastAsia"/>
          <w:color w:val="231F20"/>
        </w:rPr>
      </w:pPr>
      <w:r>
        <w:rPr>
          <w:rFonts w:hint="eastAsia"/>
          <w:color w:val="231F20"/>
        </w:rPr>
        <w:t>In the pages ahead, I will spotlight a number of lines of evidence favorable to this view.</w:t>
      </w:r>
    </w:p>
    <w:p w14:paraId="0C2B23EF">
      <w:pPr>
        <w:pStyle w:val="9"/>
        <w:spacing w:before="17" w:line="249" w:lineRule="auto"/>
        <w:ind w:right="98" w:firstLine="450"/>
        <w:rPr>
          <w:rFonts w:hint="eastAsia"/>
          <w:color w:val="231F20"/>
        </w:rPr>
      </w:pPr>
      <w:r>
        <w:rPr>
          <w:rFonts w:hint="eastAsia"/>
          <w:color w:val="231F20"/>
        </w:rPr>
        <w:t>在接下来的篇幅里，我将重点介绍一些支持此观点的证据。</w:t>
      </w:r>
    </w:p>
    <w:p w14:paraId="519501B5">
      <w:pPr>
        <w:pStyle w:val="9"/>
        <w:spacing w:before="17" w:line="249" w:lineRule="auto"/>
        <w:ind w:right="98" w:firstLine="450"/>
        <w:rPr>
          <w:rFonts w:hint="eastAsia"/>
          <w:color w:val="231F20"/>
        </w:rPr>
      </w:pPr>
    </w:p>
    <w:p w14:paraId="73866833">
      <w:pPr>
        <w:pStyle w:val="9"/>
        <w:spacing w:before="17" w:line="249" w:lineRule="auto"/>
        <w:ind w:right="98" w:firstLine="450"/>
        <w:rPr>
          <w:rFonts w:hint="eastAsia"/>
          <w:color w:val="231F20"/>
        </w:rPr>
      </w:pPr>
      <w:r>
        <w:rPr>
          <w:rFonts w:hint="eastAsia"/>
          <w:color w:val="231F20"/>
        </w:rPr>
        <w:t>For the moment, however, let us assume that the Holy Spirit has indeed structured this bloc of the prophecy as I have suggested.</w:t>
      </w:r>
    </w:p>
    <w:p w14:paraId="59E9BB1C">
      <w:pPr>
        <w:pStyle w:val="9"/>
        <w:spacing w:before="17" w:line="249" w:lineRule="auto"/>
        <w:ind w:right="98" w:firstLine="450"/>
        <w:rPr>
          <w:rFonts w:hint="eastAsia"/>
          <w:color w:val="231F20"/>
        </w:rPr>
      </w:pPr>
      <w:r>
        <w:rPr>
          <w:rFonts w:hint="eastAsia"/>
          <w:color w:val="231F20"/>
        </w:rPr>
        <w:t>然而，目前让我们假设，圣灵确实如我所建议的那样构建了这部分预言。</w:t>
      </w:r>
    </w:p>
    <w:p w14:paraId="57D9C7D0">
      <w:pPr>
        <w:pStyle w:val="9"/>
        <w:spacing w:before="17" w:line="249" w:lineRule="auto"/>
        <w:ind w:right="98" w:firstLine="450"/>
        <w:rPr>
          <w:rFonts w:hint="eastAsia"/>
          <w:color w:val="231F20"/>
        </w:rPr>
      </w:pPr>
    </w:p>
    <w:p w14:paraId="3F6D6DB8">
      <w:pPr>
        <w:pStyle w:val="9"/>
        <w:spacing w:before="17" w:line="249" w:lineRule="auto"/>
        <w:ind w:right="98" w:firstLine="450"/>
        <w:rPr>
          <w:rFonts w:hint="eastAsia"/>
          <w:color w:val="231F20"/>
        </w:rPr>
      </w:pPr>
      <w:r>
        <w:rPr>
          <w:rFonts w:hint="eastAsia"/>
          <w:color w:val="231F20"/>
        </w:rPr>
        <w:t>If so, there are a number of important implications for the interpretation of the book as a whole, and for Revelation 20 in particular.</w:t>
      </w:r>
    </w:p>
    <w:p w14:paraId="4592F2CF">
      <w:pPr>
        <w:pStyle w:val="9"/>
        <w:spacing w:before="17" w:line="249" w:lineRule="auto"/>
        <w:ind w:right="98" w:firstLine="450"/>
        <w:rPr>
          <w:rFonts w:hint="eastAsia"/>
          <w:color w:val="231F20"/>
        </w:rPr>
      </w:pPr>
      <w:r>
        <w:rPr>
          <w:rFonts w:hint="eastAsia"/>
          <w:color w:val="231F20"/>
        </w:rPr>
        <w:t>如果是这样，那么对于整本书的解释，特别是对《启示录》第二十章的解释，就会有许多重要的涵义。</w:t>
      </w:r>
    </w:p>
    <w:p w14:paraId="0AFE118E">
      <w:pPr>
        <w:pStyle w:val="9"/>
        <w:spacing w:before="17" w:line="249" w:lineRule="auto"/>
        <w:ind w:right="98" w:firstLine="450"/>
        <w:rPr>
          <w:rFonts w:hint="eastAsia"/>
          <w:color w:val="231F20"/>
        </w:rPr>
      </w:pPr>
    </w:p>
    <w:p w14:paraId="4DABB2FD">
      <w:pPr>
        <w:pStyle w:val="9"/>
        <w:spacing w:before="17" w:line="249" w:lineRule="auto"/>
        <w:ind w:right="98" w:firstLine="450"/>
        <w:rPr>
          <w:rFonts w:hint="eastAsia"/>
          <w:color w:val="231F20"/>
        </w:rPr>
      </w:pPr>
      <w:r>
        <w:rPr>
          <w:rFonts w:hint="eastAsia"/>
          <w:color w:val="231F20"/>
        </w:rPr>
        <w:t>Implications of the Cyclical View</w:t>
      </w:r>
    </w:p>
    <w:p w14:paraId="24288016">
      <w:pPr>
        <w:pStyle w:val="9"/>
        <w:spacing w:before="17" w:line="249" w:lineRule="auto"/>
        <w:ind w:right="98" w:firstLine="450"/>
        <w:rPr>
          <w:rFonts w:hint="eastAsia"/>
          <w:color w:val="231F20"/>
        </w:rPr>
      </w:pPr>
      <w:r>
        <w:rPr>
          <w:rFonts w:hint="eastAsia"/>
          <w:color w:val="231F20"/>
        </w:rPr>
        <w:t>循环观的涵义</w:t>
      </w:r>
    </w:p>
    <w:p w14:paraId="30C0FC69">
      <w:pPr>
        <w:pStyle w:val="9"/>
        <w:spacing w:before="17" w:line="249" w:lineRule="auto"/>
        <w:ind w:right="98" w:firstLine="450"/>
        <w:rPr>
          <w:rFonts w:hint="eastAsia"/>
          <w:color w:val="231F20"/>
        </w:rPr>
      </w:pPr>
    </w:p>
    <w:p w14:paraId="0B0C2F4B">
      <w:pPr>
        <w:pStyle w:val="9"/>
        <w:spacing w:before="17" w:line="249" w:lineRule="auto"/>
        <w:ind w:right="98" w:firstLine="450"/>
        <w:rPr>
          <w:rFonts w:hint="eastAsia"/>
          <w:color w:val="231F20"/>
        </w:rPr>
      </w:pPr>
      <w:r>
        <w:rPr>
          <w:rFonts w:hint="eastAsia"/>
          <w:color w:val="231F20"/>
        </w:rPr>
        <w:t>The first implication pertains to the way in which we must interpret the symbols that we meet in each of the six cycles.</w:t>
      </w:r>
    </w:p>
    <w:p w14:paraId="13FABA02">
      <w:pPr>
        <w:pStyle w:val="9"/>
        <w:spacing w:before="17" w:line="249" w:lineRule="auto"/>
        <w:ind w:right="98" w:firstLine="450"/>
        <w:rPr>
          <w:rFonts w:hint="eastAsia"/>
          <w:color w:val="231F20"/>
        </w:rPr>
      </w:pPr>
      <w:r>
        <w:rPr>
          <w:rFonts w:hint="eastAsia"/>
          <w:color w:val="231F20"/>
        </w:rPr>
        <w:t>第一个涵义关乎我们必须如何解释在六个循环中遇到的每一个象征。</w:t>
      </w:r>
    </w:p>
    <w:p w14:paraId="5611BC56">
      <w:pPr>
        <w:pStyle w:val="9"/>
        <w:spacing w:before="17" w:line="249" w:lineRule="auto"/>
        <w:ind w:right="98" w:firstLine="450"/>
        <w:rPr>
          <w:rFonts w:hint="eastAsia"/>
          <w:color w:val="231F20"/>
        </w:rPr>
      </w:pPr>
    </w:p>
    <w:p w14:paraId="73734835">
      <w:pPr>
        <w:pStyle w:val="9"/>
        <w:spacing w:before="17" w:line="249" w:lineRule="auto"/>
        <w:ind w:right="98" w:firstLine="450"/>
        <w:rPr>
          <w:rFonts w:hint="eastAsia"/>
          <w:color w:val="231F20"/>
        </w:rPr>
      </w:pPr>
      <w:r>
        <w:rPr>
          <w:rFonts w:hint="eastAsia"/>
          <w:color w:val="231F20"/>
        </w:rPr>
        <w:t>For example, if the cyclical view is correct, it means that we cannot interpret Revelation 6-20 as the preterists do.</w:t>
      </w:r>
    </w:p>
    <w:p w14:paraId="59E13F14">
      <w:pPr>
        <w:pStyle w:val="9"/>
        <w:spacing w:before="17" w:line="249" w:lineRule="auto"/>
        <w:ind w:right="98" w:firstLine="450"/>
        <w:rPr>
          <w:rFonts w:hint="eastAsia"/>
          <w:color w:val="231F20"/>
        </w:rPr>
      </w:pPr>
      <w:r>
        <w:rPr>
          <w:rFonts w:hint="eastAsia"/>
          <w:color w:val="231F20"/>
        </w:rPr>
        <w:t>例如，如果循环观是正确的，那就意味着我们不能像过去派那样解释《启示录》第6-20章。</w:t>
      </w:r>
    </w:p>
    <w:p w14:paraId="3418B3C2">
      <w:pPr>
        <w:pStyle w:val="9"/>
        <w:spacing w:before="17" w:line="249" w:lineRule="auto"/>
        <w:ind w:right="98" w:firstLine="450"/>
        <w:rPr>
          <w:rFonts w:hint="eastAsia"/>
          <w:color w:val="231F20"/>
        </w:rPr>
      </w:pPr>
    </w:p>
    <w:p w14:paraId="21B554CF">
      <w:pPr>
        <w:pStyle w:val="9"/>
        <w:spacing w:before="17" w:line="249" w:lineRule="auto"/>
        <w:ind w:right="98" w:firstLine="450"/>
        <w:rPr>
          <w:rFonts w:hint="eastAsia"/>
          <w:color w:val="231F20"/>
        </w:rPr>
      </w:pPr>
      <w:r>
        <w:rPr>
          <w:rFonts w:hint="eastAsia"/>
          <w:color w:val="231F20"/>
        </w:rPr>
        <w:t>They say that the focus here is largely, if not entirely, on events that took place at the very beginning of the Church Era; events that, for us, are already past.</w:t>
      </w:r>
    </w:p>
    <w:p w14:paraId="7B4DEA67">
      <w:pPr>
        <w:pStyle w:val="9"/>
        <w:spacing w:before="17" w:line="249" w:lineRule="auto"/>
        <w:ind w:right="98" w:firstLine="450"/>
        <w:rPr>
          <w:rFonts w:hint="eastAsia"/>
          <w:color w:val="231F20"/>
        </w:rPr>
      </w:pPr>
      <w:r>
        <w:rPr>
          <w:rFonts w:hint="eastAsia"/>
          <w:color w:val="231F20"/>
        </w:rPr>
        <w:t>他们说，这里的焦点主要，如果不是全部的话，是关于教会时代初期发生的事件；对我们而言，这些事件已经过去了。</w:t>
      </w:r>
    </w:p>
    <w:p w14:paraId="49D617CE">
      <w:pPr>
        <w:pStyle w:val="9"/>
        <w:spacing w:before="17" w:line="249" w:lineRule="auto"/>
        <w:ind w:right="98" w:firstLine="450"/>
        <w:rPr>
          <w:rFonts w:hint="eastAsia"/>
          <w:color w:val="231F20"/>
        </w:rPr>
      </w:pPr>
    </w:p>
    <w:p w14:paraId="65BB9812">
      <w:pPr>
        <w:pStyle w:val="9"/>
        <w:spacing w:before="17" w:line="249" w:lineRule="auto"/>
        <w:ind w:right="98" w:firstLine="450"/>
        <w:rPr>
          <w:rFonts w:hint="eastAsia"/>
          <w:color w:val="231F20"/>
        </w:rPr>
      </w:pPr>
      <w:r>
        <w:rPr>
          <w:rFonts w:hint="eastAsia"/>
          <w:color w:val="231F20"/>
        </w:rPr>
        <w:t>These include the fall of Jerusalem, the tyrannical power of Rome, and the vicissitudes of the early Church at the hand of Jew and Roman.</w:t>
      </w:r>
    </w:p>
    <w:p w14:paraId="57A5AF22">
      <w:pPr>
        <w:pStyle w:val="9"/>
        <w:spacing w:before="17" w:line="249" w:lineRule="auto"/>
        <w:ind w:right="98" w:firstLine="450"/>
        <w:rPr>
          <w:rFonts w:hint="eastAsia"/>
          <w:color w:val="231F20"/>
        </w:rPr>
      </w:pPr>
      <w:r>
        <w:rPr>
          <w:rFonts w:hint="eastAsia"/>
          <w:color w:val="231F20"/>
        </w:rPr>
        <w:t>这些事件包括耶路撒冷的陷落、罗马的暴虐政权，以及早期教会在犹太人和罗马人手中所经历的变迁。</w:t>
      </w:r>
    </w:p>
    <w:p w14:paraId="45CD675F">
      <w:pPr>
        <w:pStyle w:val="9"/>
        <w:spacing w:before="17" w:line="249" w:lineRule="auto"/>
        <w:ind w:right="98" w:firstLine="450"/>
        <w:rPr>
          <w:rFonts w:hint="eastAsia"/>
          <w:color w:val="231F20"/>
        </w:rPr>
      </w:pPr>
    </w:p>
    <w:p w14:paraId="5FEC9E01">
      <w:pPr>
        <w:pStyle w:val="9"/>
        <w:spacing w:before="17" w:line="249" w:lineRule="auto"/>
        <w:ind w:right="98" w:firstLine="450"/>
        <w:rPr>
          <w:rFonts w:hint="eastAsia"/>
          <w:color w:val="231F20"/>
        </w:rPr>
      </w:pPr>
      <w:r>
        <w:rPr>
          <w:rFonts w:hint="eastAsia"/>
          <w:color w:val="231F20"/>
        </w:rPr>
        <w:t>But if the true focus of 6-20 is the entire inter-adventual era, obviously the preterist interpretation cannot be correct.</w:t>
      </w:r>
    </w:p>
    <w:p w14:paraId="622EC3EC">
      <w:pPr>
        <w:pStyle w:val="9"/>
        <w:spacing w:before="17" w:line="249" w:lineRule="auto"/>
        <w:ind w:right="98" w:firstLine="450"/>
        <w:rPr>
          <w:rFonts w:hint="eastAsia"/>
          <w:color w:val="231F20"/>
        </w:rPr>
      </w:pPr>
      <w:r>
        <w:rPr>
          <w:rFonts w:hint="eastAsia"/>
          <w:color w:val="231F20"/>
        </w:rPr>
        <w:t>但如果第6-20章的真正焦点是整个两次降临之间的时代，那么过去派的解释显然不可能是正确的。</w:t>
      </w:r>
    </w:p>
    <w:p w14:paraId="30CD9E2F">
      <w:pPr>
        <w:pStyle w:val="9"/>
        <w:spacing w:before="17" w:line="249" w:lineRule="auto"/>
        <w:ind w:right="98" w:firstLine="450"/>
        <w:rPr>
          <w:rFonts w:hint="eastAsia"/>
          <w:color w:val="231F20"/>
        </w:rPr>
      </w:pPr>
    </w:p>
    <w:p w14:paraId="7481AE90">
      <w:pPr>
        <w:pStyle w:val="9"/>
        <w:spacing w:before="17" w:line="249" w:lineRule="auto"/>
        <w:ind w:right="98" w:firstLine="450"/>
        <w:rPr>
          <w:rFonts w:hint="eastAsia"/>
          <w:color w:val="231F20"/>
        </w:rPr>
      </w:pPr>
      <w:r>
        <w:rPr>
          <w:rFonts w:hint="eastAsia"/>
          <w:color w:val="231F20"/>
        </w:rPr>
        <w:t>Similarly, if the cyclical view is right, we cannot interpret Revelation 6-20 as the futurists do.</w:t>
      </w:r>
    </w:p>
    <w:p w14:paraId="6183ADE6">
      <w:pPr>
        <w:pStyle w:val="9"/>
        <w:spacing w:before="17" w:line="249" w:lineRule="auto"/>
        <w:ind w:right="98" w:firstLine="450"/>
        <w:rPr>
          <w:rFonts w:hint="eastAsia"/>
          <w:color w:val="231F20"/>
        </w:rPr>
      </w:pPr>
      <w:r>
        <w:rPr>
          <w:rFonts w:hint="eastAsia"/>
          <w:color w:val="231F20"/>
        </w:rPr>
        <w:t>同样，如果循环观是正确的，我们也不能像未来派那样解释《启示录》第6-20章。</w:t>
      </w:r>
    </w:p>
    <w:p w14:paraId="2C40A6A9">
      <w:pPr>
        <w:pStyle w:val="9"/>
        <w:spacing w:before="17" w:line="249" w:lineRule="auto"/>
        <w:ind w:right="98" w:firstLine="450"/>
        <w:rPr>
          <w:rFonts w:hint="eastAsia"/>
          <w:color w:val="231F20"/>
        </w:rPr>
      </w:pPr>
    </w:p>
    <w:p w14:paraId="3D533EFB">
      <w:pPr>
        <w:pStyle w:val="9"/>
        <w:spacing w:before="17" w:line="249" w:lineRule="auto"/>
        <w:ind w:right="98" w:firstLine="450"/>
        <w:rPr>
          <w:rFonts w:hint="eastAsia"/>
          <w:color w:val="231F20"/>
        </w:rPr>
      </w:pPr>
      <w:r>
        <w:rPr>
          <w:rFonts w:hint="eastAsia"/>
          <w:color w:val="231F20"/>
        </w:rPr>
        <w:t>They say that the focus here is largely, if not exclusively, on events that will occur at the very end of the age.</w:t>
      </w:r>
    </w:p>
    <w:p w14:paraId="0F5EA613">
      <w:pPr>
        <w:pStyle w:val="9"/>
        <w:spacing w:before="17" w:line="249" w:lineRule="auto"/>
        <w:ind w:right="98" w:firstLine="450"/>
        <w:rPr>
          <w:rFonts w:hint="eastAsia"/>
          <w:color w:val="231F20"/>
        </w:rPr>
      </w:pPr>
      <w:r>
        <w:rPr>
          <w:rFonts w:hint="eastAsia"/>
          <w:color w:val="231F20"/>
        </w:rPr>
        <w:t>他们说，这里的焦点主要，如果不是完全的话，是关于世代末了将要发生的事件。</w:t>
      </w:r>
    </w:p>
    <w:p w14:paraId="4D314C88">
      <w:pPr>
        <w:pStyle w:val="9"/>
        <w:spacing w:before="17" w:line="249" w:lineRule="auto"/>
        <w:ind w:right="98" w:firstLine="450"/>
        <w:rPr>
          <w:rFonts w:hint="eastAsia"/>
          <w:color w:val="231F20"/>
        </w:rPr>
      </w:pPr>
    </w:p>
    <w:p w14:paraId="370CA34B">
      <w:pPr>
        <w:pStyle w:val="9"/>
        <w:spacing w:before="17" w:line="249" w:lineRule="auto"/>
        <w:ind w:right="98" w:firstLine="450"/>
        <w:rPr>
          <w:rFonts w:hint="eastAsia"/>
          <w:color w:val="231F20"/>
        </w:rPr>
      </w:pPr>
      <w:r>
        <w:rPr>
          <w:rFonts w:hint="eastAsia"/>
          <w:color w:val="231F20"/>
        </w:rPr>
        <w:t>Yes, there are some differences among them.</w:t>
      </w:r>
    </w:p>
    <w:p w14:paraId="414F4139">
      <w:pPr>
        <w:pStyle w:val="9"/>
        <w:spacing w:before="17" w:line="249" w:lineRule="auto"/>
        <w:ind w:right="98" w:firstLine="450"/>
        <w:rPr>
          <w:rFonts w:hint="eastAsia"/>
          <w:color w:val="231F20"/>
        </w:rPr>
      </w:pPr>
      <w:r>
        <w:rPr>
          <w:rFonts w:hint="eastAsia"/>
          <w:color w:val="231F20"/>
        </w:rPr>
        <w:t>是的，他们之间存在一些差异。</w:t>
      </w:r>
    </w:p>
    <w:p w14:paraId="573DB2F4">
      <w:pPr>
        <w:pStyle w:val="9"/>
        <w:spacing w:before="17" w:line="249" w:lineRule="auto"/>
        <w:ind w:right="98" w:firstLine="450"/>
        <w:rPr>
          <w:rFonts w:hint="eastAsia"/>
          <w:color w:val="231F20"/>
        </w:rPr>
      </w:pPr>
    </w:p>
    <w:p w14:paraId="47D81540">
      <w:pPr>
        <w:pStyle w:val="9"/>
        <w:spacing w:before="17" w:line="249" w:lineRule="auto"/>
        <w:ind w:right="98" w:firstLine="450"/>
        <w:rPr>
          <w:rFonts w:hint="eastAsia"/>
          <w:color w:val="231F20"/>
        </w:rPr>
      </w:pPr>
      <w:r>
        <w:rPr>
          <w:rFonts w:hint="eastAsia"/>
          <w:color w:val="231F20"/>
        </w:rPr>
        <w:t>Moderate futurists like George Ladd say that the events will befall the Church.</w:t>
      </w:r>
    </w:p>
    <w:p w14:paraId="5F264311">
      <w:pPr>
        <w:pStyle w:val="9"/>
        <w:spacing w:before="17" w:line="249" w:lineRule="auto"/>
        <w:ind w:right="98" w:firstLine="450"/>
        <w:rPr>
          <w:rFonts w:hint="eastAsia"/>
          <w:color w:val="231F20"/>
        </w:rPr>
      </w:pPr>
      <w:r>
        <w:rPr>
          <w:rFonts w:hint="eastAsia"/>
          <w:color w:val="231F20"/>
        </w:rPr>
        <w:t>像乔治·赖德这样的温和未来派说，这些事件将降临在教会身上。</w:t>
      </w:r>
    </w:p>
    <w:p w14:paraId="2B59567D">
      <w:pPr>
        <w:pStyle w:val="9"/>
        <w:spacing w:before="17" w:line="249" w:lineRule="auto"/>
        <w:ind w:right="98" w:firstLine="450"/>
        <w:rPr>
          <w:rFonts w:hint="eastAsia"/>
          <w:color w:val="231F20"/>
        </w:rPr>
      </w:pPr>
    </w:p>
    <w:p w14:paraId="1D22F982">
      <w:pPr>
        <w:pStyle w:val="9"/>
        <w:spacing w:before="17" w:line="249" w:lineRule="auto"/>
        <w:ind w:right="98" w:firstLine="450"/>
        <w:rPr>
          <w:rFonts w:hint="eastAsia"/>
          <w:color w:val="231F20"/>
        </w:rPr>
      </w:pPr>
      <w:r>
        <w:rPr>
          <w:rFonts w:hint="eastAsia"/>
          <w:color w:val="231F20"/>
        </w:rPr>
        <w:t>Dispensational futurists, like John MacArthur, say they will befall latter-day Jews during a seven year Tribulation, after Christ has secretly carried his Church away to heaven at the Rapture.</w:t>
      </w:r>
    </w:p>
    <w:p w14:paraId="4720267F">
      <w:pPr>
        <w:pStyle w:val="9"/>
        <w:spacing w:before="17" w:line="249" w:lineRule="auto"/>
        <w:ind w:right="98" w:firstLine="450"/>
        <w:rPr>
          <w:rFonts w:hint="eastAsia"/>
          <w:color w:val="231F20"/>
        </w:rPr>
      </w:pPr>
      <w:r>
        <w:rPr>
          <w:rFonts w:hint="eastAsia"/>
          <w:color w:val="231F20"/>
        </w:rPr>
        <w:t>像约翰·麦克阿瑟这样的时代论未来派则说，这些事件将在七年大灾难期间降临在末后的犹太人身上，那时基督已在被提中将祂的教会秘密地带到天上。</w:t>
      </w:r>
    </w:p>
    <w:p w14:paraId="6A3041C9">
      <w:pPr>
        <w:pStyle w:val="9"/>
        <w:spacing w:before="17" w:line="249" w:lineRule="auto"/>
        <w:ind w:right="98" w:firstLine="450"/>
        <w:rPr>
          <w:rFonts w:hint="eastAsia"/>
          <w:color w:val="231F20"/>
        </w:rPr>
      </w:pPr>
    </w:p>
    <w:p w14:paraId="4B1B69DF">
      <w:pPr>
        <w:pStyle w:val="9"/>
        <w:spacing w:before="17" w:line="249" w:lineRule="auto"/>
        <w:ind w:right="98" w:firstLine="450"/>
        <w:rPr>
          <w:rFonts w:hint="eastAsia"/>
          <w:color w:val="231F20"/>
        </w:rPr>
      </w:pPr>
      <w:r>
        <w:rPr>
          <w:rFonts w:hint="eastAsia"/>
          <w:color w:val="231F20"/>
        </w:rPr>
        <w:t>But again, all futurists agree that chapters 6-20 are largely, if not entirely, fulfilled in the last of the last days.</w:t>
      </w:r>
    </w:p>
    <w:p w14:paraId="2CA9791A">
      <w:pPr>
        <w:pStyle w:val="9"/>
        <w:spacing w:before="17" w:line="249" w:lineRule="auto"/>
        <w:ind w:right="98" w:firstLine="450"/>
        <w:rPr>
          <w:rFonts w:hint="eastAsia"/>
          <w:color w:val="231F20"/>
        </w:rPr>
      </w:pPr>
      <w:r>
        <w:rPr>
          <w:rFonts w:hint="eastAsia"/>
          <w:color w:val="231F20"/>
        </w:rPr>
        <w:t>但再次强调，所有未来派都同意，第6-20章主要，如果不是全部的话，是在末后的末期应验的。</w:t>
      </w:r>
    </w:p>
    <w:p w14:paraId="66602B8E">
      <w:pPr>
        <w:pStyle w:val="9"/>
        <w:spacing w:before="17" w:line="249" w:lineRule="auto"/>
        <w:ind w:right="98" w:firstLine="450"/>
        <w:rPr>
          <w:rFonts w:hint="eastAsia"/>
          <w:color w:val="231F20"/>
        </w:rPr>
      </w:pPr>
    </w:p>
    <w:p w14:paraId="0770BD08">
      <w:pPr>
        <w:pStyle w:val="9"/>
        <w:spacing w:before="17" w:line="249" w:lineRule="auto"/>
        <w:ind w:right="98" w:firstLine="450"/>
        <w:rPr>
          <w:rFonts w:hint="eastAsia"/>
          <w:color w:val="231F20"/>
        </w:rPr>
      </w:pPr>
      <w:r>
        <w:rPr>
          <w:rFonts w:hint="eastAsia"/>
          <w:color w:val="231F20"/>
        </w:rPr>
        <w:t>However, if the true sphere of fulfillment of chapters 6-20 is the entire Church Era, during which Christ reigns as High King over all, obviously the futurist view cannot be correct either.</w:t>
      </w:r>
    </w:p>
    <w:p w14:paraId="63FFF448">
      <w:pPr>
        <w:pStyle w:val="9"/>
        <w:spacing w:before="17" w:line="249" w:lineRule="auto"/>
        <w:ind w:right="98" w:firstLine="450"/>
        <w:rPr>
          <w:rFonts w:hint="eastAsia"/>
          <w:color w:val="231F20"/>
        </w:rPr>
      </w:pPr>
      <w:r>
        <w:rPr>
          <w:rFonts w:hint="eastAsia"/>
          <w:color w:val="231F20"/>
        </w:rPr>
        <w:t>然而，如果第6-20章的真正应验范畴是整个教会时代，在此期间基督作为至高君王统治万有，那么未来派的观点显然也不可能是正确的。</w:t>
      </w:r>
    </w:p>
    <w:p w14:paraId="33B76F66">
      <w:pPr>
        <w:pStyle w:val="9"/>
        <w:spacing w:before="17" w:line="249" w:lineRule="auto"/>
        <w:ind w:right="98" w:firstLine="450"/>
        <w:rPr>
          <w:rFonts w:hint="eastAsia"/>
          <w:color w:val="231F20"/>
        </w:rPr>
      </w:pPr>
    </w:p>
    <w:p w14:paraId="1BF56182">
      <w:pPr>
        <w:pStyle w:val="9"/>
        <w:spacing w:before="17" w:line="249" w:lineRule="auto"/>
        <w:ind w:right="98" w:firstLine="450"/>
        <w:rPr>
          <w:rFonts w:hint="eastAsia"/>
          <w:color w:val="231F20"/>
        </w:rPr>
      </w:pPr>
      <w:r>
        <w:rPr>
          <w:rFonts w:hint="eastAsia"/>
          <w:color w:val="231F20"/>
        </w:rPr>
        <w:t>This brings us to a second and closely related implication.</w:t>
      </w:r>
    </w:p>
    <w:p w14:paraId="516B055B">
      <w:pPr>
        <w:pStyle w:val="9"/>
        <w:spacing w:before="17" w:line="249" w:lineRule="auto"/>
        <w:ind w:right="98" w:firstLine="450"/>
        <w:rPr>
          <w:rFonts w:hint="eastAsia"/>
          <w:color w:val="231F20"/>
        </w:rPr>
      </w:pPr>
      <w:r>
        <w:rPr>
          <w:rFonts w:hint="eastAsia"/>
          <w:color w:val="231F20"/>
        </w:rPr>
        <w:t>这就引出了第二个密切相关的涵义。</w:t>
      </w:r>
    </w:p>
    <w:p w14:paraId="2CBACD8F">
      <w:pPr>
        <w:pStyle w:val="9"/>
        <w:spacing w:before="17" w:line="249" w:lineRule="auto"/>
        <w:ind w:right="98" w:firstLine="450"/>
        <w:rPr>
          <w:rFonts w:hint="eastAsia"/>
          <w:color w:val="231F20"/>
        </w:rPr>
      </w:pPr>
    </w:p>
    <w:p w14:paraId="4BFC5F32">
      <w:pPr>
        <w:pStyle w:val="9"/>
        <w:spacing w:before="17" w:line="249" w:lineRule="auto"/>
        <w:ind w:right="98" w:firstLine="450"/>
        <w:rPr>
          <w:rFonts w:hint="eastAsia"/>
          <w:color w:val="231F20"/>
        </w:rPr>
      </w:pPr>
      <w:r>
        <w:rPr>
          <w:rFonts w:hint="eastAsia"/>
          <w:color w:val="231F20"/>
        </w:rPr>
        <w:t>If the cyclical view is correct, it means that when the Spirit uses a particular symbol to speak to God’s people, he is not, as a rule, referring to a concrete historical entity, whether a person, place, thing, or event.</w:t>
      </w:r>
    </w:p>
    <w:p w14:paraId="4069BFC2">
      <w:pPr>
        <w:pStyle w:val="9"/>
        <w:spacing w:before="17" w:line="249" w:lineRule="auto"/>
        <w:ind w:right="98" w:firstLine="450"/>
        <w:rPr>
          <w:rFonts w:hint="eastAsia"/>
          <w:color w:val="231F20"/>
        </w:rPr>
      </w:pPr>
      <w:r>
        <w:rPr>
          <w:rFonts w:hint="eastAsia"/>
          <w:color w:val="231F20"/>
        </w:rPr>
        <w:t>如果循环观是正确的，那就意味着当圣灵使用一个特定的象征来对上帝的子民说话时，祂通常不是指一个具体的历史实体，无论是人物、地点、事物还是事件。</w:t>
      </w:r>
    </w:p>
    <w:p w14:paraId="471484B8">
      <w:pPr>
        <w:pStyle w:val="9"/>
        <w:spacing w:before="17" w:line="249" w:lineRule="auto"/>
        <w:ind w:right="98" w:firstLine="450"/>
        <w:rPr>
          <w:rFonts w:hint="eastAsia"/>
          <w:color w:val="231F20"/>
        </w:rPr>
      </w:pPr>
    </w:p>
    <w:p w14:paraId="5441D1E5">
      <w:pPr>
        <w:pStyle w:val="9"/>
        <w:spacing w:before="17" w:line="249" w:lineRule="auto"/>
        <w:ind w:right="98" w:firstLine="450"/>
        <w:rPr>
          <w:rFonts w:hint="eastAsia"/>
          <w:color w:val="231F20"/>
        </w:rPr>
      </w:pPr>
      <w:r>
        <w:rPr>
          <w:rFonts w:hint="eastAsia"/>
          <w:color w:val="231F20"/>
        </w:rPr>
        <w:t>He cannot be.</w:t>
      </w:r>
    </w:p>
    <w:p w14:paraId="405315AF">
      <w:pPr>
        <w:pStyle w:val="9"/>
        <w:spacing w:before="17" w:line="249" w:lineRule="auto"/>
        <w:ind w:right="98" w:firstLine="450"/>
        <w:rPr>
          <w:rFonts w:hint="eastAsia"/>
          <w:color w:val="231F20"/>
        </w:rPr>
      </w:pPr>
      <w:r>
        <w:rPr>
          <w:rFonts w:hint="eastAsia"/>
          <w:color w:val="231F20"/>
        </w:rPr>
        <w:t>祂不可能是。</w:t>
      </w:r>
    </w:p>
    <w:p w14:paraId="003CAE1C">
      <w:pPr>
        <w:pStyle w:val="9"/>
        <w:spacing w:before="17" w:line="249" w:lineRule="auto"/>
        <w:ind w:right="98" w:firstLine="450"/>
        <w:rPr>
          <w:rFonts w:hint="eastAsia"/>
          <w:color w:val="231F20"/>
        </w:rPr>
      </w:pPr>
    </w:p>
    <w:p w14:paraId="569809BD">
      <w:pPr>
        <w:pStyle w:val="9"/>
        <w:spacing w:before="17" w:line="249" w:lineRule="auto"/>
        <w:ind w:right="98" w:firstLine="450"/>
        <w:rPr>
          <w:rFonts w:hint="eastAsia"/>
          <w:color w:val="231F20"/>
        </w:rPr>
      </w:pPr>
      <w:r>
        <w:rPr>
          <w:rFonts w:hint="eastAsia"/>
          <w:color w:val="231F20"/>
        </w:rPr>
        <w:t>Rather, he must be referring to a kind of historical entity that all the saints will encounter again and again throughout the Church Era.</w:t>
      </w:r>
    </w:p>
    <w:p w14:paraId="392BCBBE">
      <w:pPr>
        <w:pStyle w:val="9"/>
        <w:spacing w:before="17" w:line="249" w:lineRule="auto"/>
        <w:ind w:right="98" w:firstLine="450"/>
        <w:rPr>
          <w:rFonts w:hint="eastAsia"/>
          <w:color w:val="231F20"/>
        </w:rPr>
      </w:pPr>
      <w:r>
        <w:rPr>
          <w:rFonts w:hint="eastAsia"/>
          <w:color w:val="231F20"/>
        </w:rPr>
        <w:t>相反，祂必定是指一种历史实体，是所有圣徒在整个教会时代会一再遇到的。</w:t>
      </w:r>
    </w:p>
    <w:p w14:paraId="697FF43B">
      <w:pPr>
        <w:pStyle w:val="9"/>
        <w:spacing w:before="17" w:line="249" w:lineRule="auto"/>
        <w:ind w:right="98" w:firstLine="450"/>
        <w:rPr>
          <w:rFonts w:hint="eastAsia"/>
          <w:color w:val="231F20"/>
        </w:rPr>
      </w:pPr>
    </w:p>
    <w:p w14:paraId="0C930A95">
      <w:pPr>
        <w:pStyle w:val="9"/>
        <w:spacing w:before="17" w:line="249" w:lineRule="auto"/>
        <w:ind w:right="98" w:firstLine="450"/>
        <w:rPr>
          <w:rFonts w:hint="eastAsia"/>
          <w:color w:val="231F20"/>
        </w:rPr>
      </w:pPr>
      <w:r>
        <w:rPr>
          <w:rFonts w:hint="eastAsia"/>
          <w:color w:val="231F20"/>
        </w:rPr>
        <w:t>Let us consider an example.</w:t>
      </w:r>
    </w:p>
    <w:p w14:paraId="72215BBC">
      <w:pPr>
        <w:pStyle w:val="9"/>
        <w:spacing w:before="17" w:line="249" w:lineRule="auto"/>
        <w:ind w:right="98" w:firstLine="450"/>
        <w:rPr>
          <w:rFonts w:hint="eastAsia"/>
          <w:color w:val="231F20"/>
        </w:rPr>
      </w:pPr>
      <w:r>
        <w:rPr>
          <w:rFonts w:hint="eastAsia"/>
          <w:color w:val="231F20"/>
        </w:rPr>
        <w:t>让我们来看一个例子。</w:t>
      </w:r>
    </w:p>
    <w:p w14:paraId="15F79B50">
      <w:pPr>
        <w:pStyle w:val="9"/>
        <w:spacing w:before="17" w:line="249" w:lineRule="auto"/>
        <w:ind w:right="98" w:firstLine="450"/>
        <w:rPr>
          <w:rFonts w:hint="eastAsia"/>
          <w:color w:val="231F20"/>
        </w:rPr>
      </w:pPr>
    </w:p>
    <w:p w14:paraId="6FA13847">
      <w:pPr>
        <w:pStyle w:val="9"/>
        <w:spacing w:before="17" w:line="249" w:lineRule="auto"/>
        <w:ind w:right="98" w:firstLine="450"/>
        <w:rPr>
          <w:rFonts w:hint="eastAsia"/>
          <w:color w:val="231F20"/>
        </w:rPr>
      </w:pPr>
      <w:r>
        <w:rPr>
          <w:rFonts w:hint="eastAsia"/>
          <w:color w:val="231F20"/>
        </w:rPr>
        <w:t>Some preterists say that when the Spirit speaks of the Beast (Rev. 13:1f), he is speaking of the arch-persecutor of the early Church, emperor Nero.</w:t>
      </w:r>
    </w:p>
    <w:p w14:paraId="6CA049D1">
      <w:pPr>
        <w:pStyle w:val="9"/>
        <w:spacing w:before="17" w:line="249" w:lineRule="auto"/>
        <w:ind w:right="98" w:firstLine="450"/>
        <w:rPr>
          <w:rFonts w:hint="eastAsia"/>
          <w:color w:val="231F20"/>
        </w:rPr>
      </w:pPr>
      <w:r>
        <w:rPr>
          <w:rFonts w:hint="eastAsia"/>
          <w:color w:val="231F20"/>
        </w:rPr>
        <w:t>一些过去派说，当圣灵说到那兽（启13:1及以下）时，祂是在说早期教会的大迫害者，尼禄皇帝。</w:t>
      </w:r>
    </w:p>
    <w:p w14:paraId="2C02490A">
      <w:pPr>
        <w:pStyle w:val="9"/>
        <w:spacing w:before="17" w:line="249" w:lineRule="auto"/>
        <w:ind w:right="98" w:firstLine="450"/>
        <w:rPr>
          <w:rFonts w:hint="eastAsia"/>
          <w:color w:val="231F20"/>
        </w:rPr>
      </w:pPr>
    </w:p>
    <w:p w14:paraId="3932D7F2">
      <w:pPr>
        <w:pStyle w:val="9"/>
        <w:spacing w:before="17" w:line="249" w:lineRule="auto"/>
        <w:ind w:right="98" w:firstLine="450"/>
        <w:rPr>
          <w:rFonts w:hint="eastAsia"/>
          <w:color w:val="231F20"/>
        </w:rPr>
      </w:pPr>
      <w:r>
        <w:rPr>
          <w:rFonts w:hint="eastAsia"/>
          <w:color w:val="231F20"/>
        </w:rPr>
        <w:t>Meanwhile, most futurists say that when the Spirit speaks of the Beast, he is speaking of the Antichrist who will arise just prior to Christ’s return, whether to persecute the Church or ethnic Israel.</w:t>
      </w:r>
    </w:p>
    <w:p w14:paraId="6BD077FF">
      <w:pPr>
        <w:pStyle w:val="9"/>
        <w:spacing w:before="17" w:line="249" w:lineRule="auto"/>
        <w:ind w:right="98" w:firstLine="450"/>
        <w:rPr>
          <w:rFonts w:hint="eastAsia"/>
          <w:color w:val="231F20"/>
        </w:rPr>
      </w:pPr>
      <w:r>
        <w:rPr>
          <w:rFonts w:hint="eastAsia"/>
          <w:color w:val="231F20"/>
        </w:rPr>
        <w:t>同时，大多数未来派说，当圣灵说到那兽时，祂是在说敌基督，他将在基督再来之前出现，无论是迫害教会还是以色列民族。</w:t>
      </w:r>
    </w:p>
    <w:p w14:paraId="7EE8BE38">
      <w:pPr>
        <w:pStyle w:val="9"/>
        <w:spacing w:before="17" w:line="249" w:lineRule="auto"/>
        <w:ind w:right="98" w:firstLine="450"/>
        <w:rPr>
          <w:rFonts w:hint="eastAsia"/>
          <w:color w:val="231F20"/>
        </w:rPr>
      </w:pPr>
    </w:p>
    <w:p w14:paraId="3A040A8B">
      <w:pPr>
        <w:pStyle w:val="9"/>
        <w:spacing w:before="17" w:line="249" w:lineRule="auto"/>
        <w:ind w:right="98" w:firstLine="450"/>
        <w:rPr>
          <w:rFonts w:hint="eastAsia"/>
          <w:color w:val="231F20"/>
        </w:rPr>
      </w:pPr>
      <w:r>
        <w:rPr>
          <w:rFonts w:hint="eastAsia"/>
          <w:color w:val="231F20"/>
        </w:rPr>
        <w:t>If, however, we embrace the cyclical view, we immediately realize that it offers us a much richer approach; an approach that engages all Christians of all times; an approach that is capable of affirming the elements of truth present in both the preterist and futurist views.</w:t>
      </w:r>
    </w:p>
    <w:p w14:paraId="46696035">
      <w:pPr>
        <w:pStyle w:val="9"/>
        <w:spacing w:before="17" w:line="249" w:lineRule="auto"/>
        <w:ind w:right="98" w:firstLine="450"/>
        <w:rPr>
          <w:rFonts w:hint="eastAsia"/>
          <w:color w:val="231F20"/>
        </w:rPr>
      </w:pPr>
      <w:r>
        <w:rPr>
          <w:rFonts w:hint="eastAsia"/>
          <w:color w:val="231F20"/>
        </w:rPr>
        <w:t>然而，如果我们接受循环观，我们立刻会意识到它为我们提供了一种更丰富的方法；一种能让所有时代的所有基督徒都参与进来的方法；一种能够肯定过去派和未来派观点中都存在的真理元素的方法。</w:t>
      </w:r>
    </w:p>
    <w:p w14:paraId="2B04B156">
      <w:pPr>
        <w:pStyle w:val="9"/>
        <w:spacing w:before="17" w:line="249" w:lineRule="auto"/>
        <w:ind w:right="98" w:firstLine="450"/>
        <w:rPr>
          <w:rFonts w:hint="eastAsia"/>
          <w:color w:val="231F20"/>
        </w:rPr>
      </w:pPr>
    </w:p>
    <w:p w14:paraId="68C80E6E">
      <w:pPr>
        <w:pStyle w:val="9"/>
        <w:spacing w:before="17" w:line="249" w:lineRule="auto"/>
        <w:ind w:right="98" w:firstLine="450"/>
        <w:rPr>
          <w:rFonts w:hint="eastAsia"/>
          <w:color w:val="231F20"/>
        </w:rPr>
      </w:pPr>
      <w:r>
        <w:rPr>
          <w:rFonts w:hint="eastAsia"/>
          <w:color w:val="231F20"/>
        </w:rPr>
        <w:t>For now we see that in speaking of the Beast, the Spirit is actually speaking of a particular kind of historical phenomenon—in this case, the political or governmental face of Satan’s fallen world system, whenever and wherever it pops up in the course of Salvation History.</w:t>
      </w:r>
    </w:p>
    <w:p w14:paraId="0A17DD76">
      <w:pPr>
        <w:pStyle w:val="9"/>
        <w:spacing w:before="17" w:line="249" w:lineRule="auto"/>
        <w:ind w:right="98" w:firstLine="450"/>
        <w:rPr>
          <w:rFonts w:hint="eastAsia"/>
          <w:color w:val="231F20"/>
        </w:rPr>
      </w:pPr>
      <w:r>
        <w:rPr>
          <w:rFonts w:hint="eastAsia"/>
          <w:color w:val="231F20"/>
        </w:rPr>
        <w:t>因为现在我们看到，在谈论那兽时，圣灵实际上是在谈论一种特定的历史现象——在这种情况下，是撒但堕落的世界体系在政治或政府层面的面貌，无论它在救赎历史的进程中何时何地出现。</w:t>
      </w:r>
    </w:p>
    <w:p w14:paraId="645C528B">
      <w:pPr>
        <w:pStyle w:val="9"/>
        <w:spacing w:before="17" w:line="249" w:lineRule="auto"/>
        <w:ind w:right="98" w:firstLine="450"/>
        <w:rPr>
          <w:rFonts w:hint="eastAsia"/>
          <w:color w:val="231F20"/>
        </w:rPr>
      </w:pPr>
    </w:p>
    <w:p w14:paraId="7E79463F">
      <w:pPr>
        <w:pStyle w:val="9"/>
        <w:spacing w:before="17" w:line="249" w:lineRule="auto"/>
        <w:ind w:right="98" w:firstLine="450"/>
        <w:rPr>
          <w:rFonts w:hint="eastAsia"/>
          <w:color w:val="231F20"/>
        </w:rPr>
      </w:pPr>
      <w:r>
        <w:rPr>
          <w:rFonts w:hint="eastAsia"/>
          <w:color w:val="231F20"/>
        </w:rPr>
        <w:t>It is a face that could be embodied in Nero, Domitian, Lenin, Stalin, Hitler, Mao, Ceausescu, Pol Pot, this or that Ayatollah, the (last) Antichrist, or any of the persecuting institutions that these people represent.</w:t>
      </w:r>
    </w:p>
    <w:p w14:paraId="762B2640">
      <w:pPr>
        <w:pStyle w:val="9"/>
        <w:spacing w:before="17" w:line="249" w:lineRule="auto"/>
        <w:ind w:right="98" w:firstLine="450"/>
        <w:rPr>
          <w:rFonts w:hint="eastAsia"/>
          <w:color w:val="231F20"/>
        </w:rPr>
      </w:pPr>
      <w:r>
        <w:rPr>
          <w:rFonts w:hint="eastAsia"/>
          <w:color w:val="231F20"/>
        </w:rPr>
        <w:t>这个面貌可以体现在尼禄、图密善、列宁、斯大林、希特勒、毛泽东、齐奥塞斯库、波尔布特、某个阿亚图拉、（最后的）敌基督，或这些人所代表的任何迫害性机构中。</w:t>
      </w:r>
    </w:p>
    <w:p w14:paraId="1148221D">
      <w:pPr>
        <w:pStyle w:val="9"/>
        <w:spacing w:before="17" w:line="249" w:lineRule="auto"/>
        <w:ind w:right="98" w:firstLine="450"/>
        <w:rPr>
          <w:rFonts w:hint="eastAsia"/>
          <w:color w:val="231F20"/>
        </w:rPr>
      </w:pPr>
    </w:p>
    <w:p w14:paraId="0DEC1F16">
      <w:pPr>
        <w:pStyle w:val="9"/>
        <w:spacing w:before="17" w:line="249" w:lineRule="auto"/>
        <w:ind w:right="98" w:firstLine="450"/>
        <w:rPr>
          <w:rFonts w:hint="eastAsia"/>
          <w:color w:val="231F20"/>
        </w:rPr>
      </w:pPr>
      <w:r>
        <w:rPr>
          <w:rFonts w:hint="eastAsia"/>
          <w:color w:val="231F20"/>
        </w:rPr>
        <w:t>We find, then, that the cyclical view of Revelation 6-20 generates a particular hermeneutic, a particular way of understanding and applying the symbols found in this book.</w:t>
      </w:r>
    </w:p>
    <w:p w14:paraId="73197535">
      <w:pPr>
        <w:pStyle w:val="9"/>
        <w:spacing w:before="17" w:line="249" w:lineRule="auto"/>
        <w:ind w:right="98" w:firstLine="450"/>
        <w:rPr>
          <w:rFonts w:hint="eastAsia"/>
          <w:color w:val="231F20"/>
        </w:rPr>
      </w:pPr>
      <w:r>
        <w:rPr>
          <w:rFonts w:hint="eastAsia"/>
          <w:color w:val="231F20"/>
        </w:rPr>
        <w:t>于是我们发现，《启示录》第6-20章的循环观产生了一种特定的诠释学，一种理解和应用这本书中象征的特定方式。</w:t>
      </w:r>
    </w:p>
    <w:p w14:paraId="5C75E9D1">
      <w:pPr>
        <w:pStyle w:val="9"/>
        <w:spacing w:before="17" w:line="249" w:lineRule="auto"/>
        <w:ind w:right="98" w:firstLine="450"/>
        <w:rPr>
          <w:rFonts w:hint="eastAsia"/>
          <w:color w:val="231F20"/>
        </w:rPr>
      </w:pPr>
    </w:p>
    <w:p w14:paraId="1A0E7FE5">
      <w:pPr>
        <w:pStyle w:val="9"/>
        <w:spacing w:before="17" w:line="249" w:lineRule="auto"/>
        <w:ind w:right="98" w:firstLine="450"/>
        <w:rPr>
          <w:rFonts w:hint="eastAsia"/>
          <w:color w:val="231F20"/>
        </w:rPr>
      </w:pPr>
      <w:r>
        <w:rPr>
          <w:rFonts w:hint="eastAsia"/>
          <w:color w:val="231F20"/>
        </w:rPr>
        <w:t>Theologians refer to this as an “idealist” hermeneutic.</w:t>
      </w:r>
    </w:p>
    <w:p w14:paraId="7FC298C3">
      <w:pPr>
        <w:pStyle w:val="9"/>
        <w:spacing w:before="17" w:line="249" w:lineRule="auto"/>
        <w:ind w:right="98" w:firstLine="450"/>
        <w:rPr>
          <w:rFonts w:hint="eastAsia"/>
          <w:color w:val="231F20"/>
        </w:rPr>
      </w:pPr>
      <w:r>
        <w:rPr>
          <w:rFonts w:hint="eastAsia"/>
          <w:color w:val="231F20"/>
        </w:rPr>
        <w:t>神学家称之为“理念主义”诠释学。</w:t>
      </w:r>
    </w:p>
    <w:p w14:paraId="5FB80527">
      <w:pPr>
        <w:pStyle w:val="9"/>
        <w:spacing w:before="17" w:line="249" w:lineRule="auto"/>
        <w:ind w:right="98" w:firstLine="450"/>
        <w:rPr>
          <w:rFonts w:hint="eastAsia"/>
          <w:color w:val="231F20"/>
        </w:rPr>
      </w:pPr>
    </w:p>
    <w:p w14:paraId="1EF32073">
      <w:pPr>
        <w:pStyle w:val="9"/>
        <w:spacing w:before="17" w:line="249" w:lineRule="auto"/>
        <w:ind w:right="98" w:firstLine="450"/>
        <w:rPr>
          <w:rFonts w:hint="eastAsia"/>
          <w:color w:val="231F20"/>
        </w:rPr>
      </w:pPr>
      <w:r>
        <w:rPr>
          <w:rFonts w:hint="eastAsia"/>
          <w:color w:val="231F20"/>
        </w:rPr>
        <w:t>Here, they say, the symbols do not stand for unique historical persons or events, but rather for general ideas or principles that will manifest themselves all throughout the Church Era, and therefore in any number of historical persons, places, things, or events.</w:t>
      </w:r>
    </w:p>
    <w:p w14:paraId="6DE0643C">
      <w:pPr>
        <w:pStyle w:val="9"/>
        <w:spacing w:before="17" w:line="249" w:lineRule="auto"/>
        <w:ind w:right="98" w:firstLine="450"/>
        <w:rPr>
          <w:rFonts w:hint="eastAsia"/>
          <w:color w:val="231F20"/>
        </w:rPr>
      </w:pPr>
      <w:r>
        <w:rPr>
          <w:rFonts w:hint="eastAsia"/>
          <w:color w:val="231F20"/>
        </w:rPr>
        <w:t>他们说，这里的象征不代表独特的历史人物或事件，而是代表将在整个教会时代中不断显现的普遍观念或原则，因此会体现在任何数量的历史人物、地点、事物或事件中。</w:t>
      </w:r>
    </w:p>
    <w:p w14:paraId="3F869089">
      <w:pPr>
        <w:pStyle w:val="9"/>
        <w:spacing w:before="17" w:line="249" w:lineRule="auto"/>
        <w:ind w:right="98" w:firstLine="450"/>
        <w:rPr>
          <w:rFonts w:hint="eastAsia"/>
          <w:color w:val="231F20"/>
        </w:rPr>
      </w:pPr>
    </w:p>
    <w:p w14:paraId="08D74137">
      <w:pPr>
        <w:pStyle w:val="9"/>
        <w:spacing w:before="17" w:line="249" w:lineRule="auto"/>
        <w:ind w:right="98" w:firstLine="450"/>
        <w:rPr>
          <w:rFonts w:hint="eastAsia"/>
          <w:color w:val="231F20"/>
        </w:rPr>
      </w:pPr>
      <w:r>
        <w:rPr>
          <w:rFonts w:hint="eastAsia"/>
          <w:color w:val="231F20"/>
        </w:rPr>
        <w:t>William Hendriksen, an enthusiastic advocate of this hermeneutic, invites us to embrace an idealist approach to Revelation 6-20 when he writes:</w:t>
      </w:r>
    </w:p>
    <w:p w14:paraId="639D5EE6">
      <w:pPr>
        <w:pStyle w:val="9"/>
        <w:spacing w:before="17" w:line="249" w:lineRule="auto"/>
        <w:ind w:right="98" w:firstLine="450"/>
        <w:rPr>
          <w:rFonts w:hint="eastAsia"/>
          <w:color w:val="231F20"/>
        </w:rPr>
      </w:pPr>
      <w:r>
        <w:rPr>
          <w:rFonts w:hint="eastAsia"/>
          <w:color w:val="231F20"/>
        </w:rPr>
        <w:t>威廉·韩瑞森，这位诠释学的热心倡导者，在他写道时邀请我们接受一种对《启示录》第6-20章的理念主义方法：</w:t>
      </w:r>
    </w:p>
    <w:p w14:paraId="29AD6ECD">
      <w:pPr>
        <w:pStyle w:val="9"/>
        <w:spacing w:before="17" w:line="249" w:lineRule="auto"/>
        <w:ind w:right="98" w:firstLine="450"/>
        <w:rPr>
          <w:rFonts w:hint="eastAsia"/>
          <w:color w:val="231F20"/>
        </w:rPr>
      </w:pPr>
    </w:p>
    <w:p w14:paraId="07666395">
      <w:pPr>
        <w:pStyle w:val="9"/>
        <w:spacing w:before="17" w:line="249" w:lineRule="auto"/>
        <w:ind w:right="98" w:firstLine="450"/>
        <w:rPr>
          <w:rFonts w:hint="eastAsia"/>
          <w:color w:val="231F20"/>
        </w:rPr>
      </w:pPr>
      <w:r>
        <w:rPr>
          <w:rFonts w:hint="eastAsia"/>
          <w:color w:val="231F20"/>
        </w:rPr>
        <w:t>The seals, trumpets, bowls of wrath and similar symbols refer not to specific events, particular happenings, or details of history, but to principles—of human conduct and of divine moral government—that are operating throughout the history of the world, especially throughout the new (Christian) dispensation.1</w:t>
      </w:r>
    </w:p>
    <w:p w14:paraId="486E77DB">
      <w:pPr>
        <w:pStyle w:val="9"/>
        <w:spacing w:before="17" w:line="249" w:lineRule="auto"/>
        <w:ind w:right="98" w:firstLine="450"/>
        <w:rPr>
          <w:rFonts w:hint="eastAsia"/>
          <w:color w:val="231F20"/>
        </w:rPr>
      </w:pPr>
      <w:r>
        <w:rPr>
          <w:rFonts w:hint="eastAsia"/>
          <w:color w:val="231F20"/>
        </w:rPr>
        <w:t>印、号、碗所盛的忿怒以及类似的象征，并非指特定的事件、个别的发生，或历史的细节，而是指原则——人类行为的原则和神圣道德治理的原则——这些原则在整个世界历史中，尤其是在新的（基督教）时代中，都在运作。1</w:t>
      </w:r>
    </w:p>
    <w:p w14:paraId="76CCEE69">
      <w:pPr>
        <w:pStyle w:val="9"/>
        <w:spacing w:before="17" w:line="249" w:lineRule="auto"/>
        <w:ind w:right="98" w:firstLine="450"/>
        <w:rPr>
          <w:rFonts w:hint="eastAsia"/>
          <w:color w:val="231F20"/>
        </w:rPr>
      </w:pPr>
    </w:p>
    <w:p w14:paraId="1D4B11C7">
      <w:pPr>
        <w:pStyle w:val="9"/>
        <w:spacing w:before="17" w:line="249" w:lineRule="auto"/>
        <w:ind w:right="98" w:firstLine="450"/>
        <w:rPr>
          <w:rFonts w:hint="eastAsia"/>
          <w:color w:val="231F20"/>
        </w:rPr>
      </w:pPr>
      <w:r>
        <w:rPr>
          <w:rFonts w:hint="eastAsia"/>
          <w:color w:val="231F20"/>
        </w:rPr>
        <w:t>Now, while these ideas and this approach are extremely helpful, I would nevertheless issue a caveat.</w:t>
      </w:r>
    </w:p>
    <w:p w14:paraId="3569F461">
      <w:pPr>
        <w:pStyle w:val="9"/>
        <w:spacing w:before="17" w:line="249" w:lineRule="auto"/>
        <w:ind w:right="98" w:firstLine="450"/>
        <w:rPr>
          <w:rFonts w:hint="eastAsia"/>
          <w:color w:val="231F20"/>
        </w:rPr>
      </w:pPr>
      <w:r>
        <w:rPr>
          <w:rFonts w:hint="eastAsia"/>
          <w:color w:val="231F20"/>
        </w:rPr>
        <w:t>现在，虽然这些观念和这种方法极有帮助，我仍要提出一个告诫。</w:t>
      </w:r>
    </w:p>
    <w:p w14:paraId="75C36F79">
      <w:pPr>
        <w:pStyle w:val="9"/>
        <w:spacing w:before="17" w:line="249" w:lineRule="auto"/>
        <w:ind w:right="98" w:firstLine="450"/>
        <w:rPr>
          <w:rFonts w:hint="eastAsia"/>
          <w:color w:val="231F20"/>
        </w:rPr>
      </w:pPr>
    </w:p>
    <w:p w14:paraId="48CEDE82">
      <w:pPr>
        <w:pStyle w:val="9"/>
        <w:spacing w:before="17" w:line="249" w:lineRule="auto"/>
        <w:ind w:right="98" w:firstLine="450"/>
        <w:rPr>
          <w:rFonts w:hint="eastAsia"/>
          <w:color w:val="231F20"/>
        </w:rPr>
      </w:pPr>
      <w:r>
        <w:rPr>
          <w:rFonts w:hint="eastAsia"/>
          <w:color w:val="231F20"/>
        </w:rPr>
        <w:t>The Revelation is concerned not only with the course of the High King’s heavenly reign, but also with the Consummation by which he will bring it to a close.</w:t>
      </w:r>
    </w:p>
    <w:p w14:paraId="3B1E056F">
      <w:pPr>
        <w:pStyle w:val="9"/>
        <w:spacing w:before="17" w:line="249" w:lineRule="auto"/>
        <w:ind w:right="98" w:firstLine="450"/>
        <w:rPr>
          <w:rFonts w:hint="eastAsia"/>
          <w:color w:val="231F20"/>
        </w:rPr>
      </w:pPr>
      <w:r>
        <w:rPr>
          <w:rFonts w:hint="eastAsia"/>
          <w:color w:val="231F20"/>
        </w:rPr>
        <w:t>《启示录》不仅关注至高君王属天统治的进程，也关注祂将用来结束这统治的最终成全。</w:t>
      </w:r>
    </w:p>
    <w:p w14:paraId="407C0F22">
      <w:pPr>
        <w:pStyle w:val="9"/>
        <w:spacing w:before="17" w:line="249" w:lineRule="auto"/>
        <w:ind w:right="98" w:firstLine="450"/>
        <w:rPr>
          <w:rFonts w:hint="eastAsia"/>
          <w:color w:val="231F20"/>
        </w:rPr>
      </w:pPr>
    </w:p>
    <w:p w14:paraId="6B24BC76">
      <w:pPr>
        <w:pStyle w:val="9"/>
        <w:spacing w:before="17" w:line="249" w:lineRule="auto"/>
        <w:ind w:right="98" w:firstLine="450"/>
        <w:rPr>
          <w:rFonts w:hint="eastAsia"/>
          <w:color w:val="231F20"/>
        </w:rPr>
      </w:pPr>
      <w:r>
        <w:rPr>
          <w:rFonts w:hint="eastAsia"/>
          <w:color w:val="231F20"/>
        </w:rPr>
        <w:t>But if this so, it follows that the book can and must use some of its symbols to refer to unique historical events.</w:t>
      </w:r>
    </w:p>
    <w:p w14:paraId="076F4B7F">
      <w:pPr>
        <w:pStyle w:val="9"/>
        <w:spacing w:before="17" w:line="249" w:lineRule="auto"/>
        <w:ind w:right="98" w:firstLine="450"/>
        <w:rPr>
          <w:rFonts w:hint="eastAsia"/>
          <w:color w:val="231F20"/>
        </w:rPr>
      </w:pPr>
      <w:r>
        <w:rPr>
          <w:rFonts w:hint="eastAsia"/>
          <w:color w:val="231F20"/>
        </w:rPr>
        <w:t>但如果是这样，那么这本书就可能并且必须使用它的一些象征来指代独特的历史事件。</w:t>
      </w:r>
    </w:p>
    <w:p w14:paraId="1A55299D">
      <w:pPr>
        <w:pStyle w:val="9"/>
        <w:spacing w:before="17" w:line="249" w:lineRule="auto"/>
        <w:ind w:right="98" w:firstLine="450"/>
        <w:rPr>
          <w:rFonts w:hint="eastAsia"/>
          <w:color w:val="231F20"/>
        </w:rPr>
      </w:pPr>
    </w:p>
    <w:p w14:paraId="50BA2C49">
      <w:pPr>
        <w:pStyle w:val="9"/>
        <w:spacing w:before="17" w:line="249" w:lineRule="auto"/>
        <w:ind w:right="98" w:firstLine="450"/>
        <w:rPr>
          <w:rFonts w:hint="eastAsia"/>
          <w:color w:val="231F20"/>
        </w:rPr>
      </w:pPr>
      <w:r>
        <w:rPr>
          <w:rFonts w:hint="eastAsia"/>
          <w:color w:val="231F20"/>
        </w:rPr>
        <w:t>For example, in Revelation 11:3-6 we learn of the spiritual career of the Two Witnesses.</w:t>
      </w:r>
    </w:p>
    <w:p w14:paraId="2CF4C148">
      <w:pPr>
        <w:pStyle w:val="9"/>
        <w:spacing w:before="17" w:line="249" w:lineRule="auto"/>
        <w:ind w:right="98" w:firstLine="450"/>
        <w:rPr>
          <w:rFonts w:hint="eastAsia"/>
          <w:color w:val="231F20"/>
        </w:rPr>
      </w:pPr>
      <w:r>
        <w:rPr>
          <w:rFonts w:hint="eastAsia"/>
          <w:color w:val="231F20"/>
        </w:rPr>
        <w:t>例如，在《启示录》11:3-6中，我们了解到两个见证人的属灵生涯。</w:t>
      </w:r>
    </w:p>
    <w:p w14:paraId="5AADB2E3">
      <w:pPr>
        <w:pStyle w:val="9"/>
        <w:spacing w:before="17" w:line="249" w:lineRule="auto"/>
        <w:ind w:right="98" w:firstLine="450"/>
        <w:rPr>
          <w:rFonts w:hint="eastAsia"/>
          <w:color w:val="231F20"/>
        </w:rPr>
      </w:pPr>
    </w:p>
    <w:p w14:paraId="56CD2F4D">
      <w:pPr>
        <w:pStyle w:val="9"/>
        <w:spacing w:before="17" w:line="249" w:lineRule="auto"/>
        <w:ind w:right="98" w:firstLine="450"/>
        <w:rPr>
          <w:rFonts w:hint="eastAsia"/>
          <w:color w:val="231F20"/>
        </w:rPr>
      </w:pPr>
      <w:r>
        <w:rPr>
          <w:rFonts w:hint="eastAsia"/>
          <w:color w:val="231F20"/>
        </w:rPr>
        <w:t>Described in language and imagery reminiscent of Moses and Elijah—and also of the disciples whom Jesus sent out two by two to preach the Gospel of the Kingdom to Israel—they represent the witnessing Church.</w:t>
      </w:r>
    </w:p>
    <w:p w14:paraId="33775795">
      <w:pPr>
        <w:pStyle w:val="9"/>
        <w:spacing w:before="17" w:line="249" w:lineRule="auto"/>
        <w:ind w:right="98" w:firstLine="450"/>
        <w:rPr>
          <w:rFonts w:hint="eastAsia"/>
          <w:color w:val="231F20"/>
        </w:rPr>
      </w:pPr>
      <w:r>
        <w:rPr>
          <w:rFonts w:hint="eastAsia"/>
          <w:color w:val="231F20"/>
        </w:rPr>
        <w:t>用让人联想到摩西和以利亚——以及耶稣差派出去两个两个向以色列宣讲天国福音的门徒——的语言和意象来描述，他们代表作见证的教会。</w:t>
      </w:r>
    </w:p>
    <w:p w14:paraId="511D047A">
      <w:pPr>
        <w:pStyle w:val="9"/>
        <w:spacing w:before="17" w:line="249" w:lineRule="auto"/>
        <w:ind w:right="98" w:firstLine="450"/>
        <w:rPr>
          <w:rFonts w:hint="eastAsia"/>
          <w:color w:val="231F20"/>
        </w:rPr>
      </w:pPr>
    </w:p>
    <w:p w14:paraId="19C32CD5">
      <w:pPr>
        <w:pStyle w:val="9"/>
        <w:spacing w:before="17" w:line="249" w:lineRule="auto"/>
        <w:ind w:right="98" w:firstLine="450"/>
        <w:rPr>
          <w:rFonts w:hint="eastAsia"/>
          <w:color w:val="231F20"/>
        </w:rPr>
      </w:pPr>
      <w:r>
        <w:rPr>
          <w:rFonts w:hint="eastAsia"/>
          <w:color w:val="231F20"/>
        </w:rPr>
        <w:t>God calls them to prophesy (i.e., to preach the Gospel) for 1260 days, a number symbolizing the entire Church Era as a season of exile and persecution (see 1 Kings 17:1f).</w:t>
      </w:r>
    </w:p>
    <w:p w14:paraId="547713D5">
      <w:pPr>
        <w:pStyle w:val="9"/>
        <w:spacing w:before="17" w:line="249" w:lineRule="auto"/>
        <w:ind w:right="98" w:firstLine="450"/>
        <w:rPr>
          <w:rFonts w:hint="eastAsia"/>
          <w:color w:val="231F20"/>
        </w:rPr>
      </w:pPr>
      <w:r>
        <w:rPr>
          <w:rFonts w:hint="eastAsia"/>
          <w:color w:val="231F20"/>
        </w:rPr>
        <w:t>上帝呼召他们说预言（即传福音）1260天，这个数字象征着整个教会时代是一个流放和受迫害的时期（见王上17:1及以下）。</w:t>
      </w:r>
    </w:p>
    <w:p w14:paraId="124A4C77">
      <w:pPr>
        <w:pStyle w:val="9"/>
        <w:spacing w:before="17" w:line="249" w:lineRule="auto"/>
        <w:ind w:right="98" w:firstLine="450"/>
        <w:rPr>
          <w:rFonts w:hint="eastAsia"/>
          <w:color w:val="231F20"/>
        </w:rPr>
      </w:pPr>
    </w:p>
    <w:p w14:paraId="3E5207F1">
      <w:pPr>
        <w:pStyle w:val="9"/>
        <w:spacing w:before="17" w:line="249" w:lineRule="auto"/>
        <w:ind w:right="98" w:firstLine="450"/>
        <w:rPr>
          <w:rFonts w:hint="eastAsia"/>
          <w:color w:val="231F20"/>
        </w:rPr>
      </w:pPr>
      <w:r>
        <w:rPr>
          <w:rFonts w:hint="eastAsia"/>
          <w:color w:val="231F20"/>
        </w:rPr>
        <w:t>So then, all Christians of all times can see themselves in the Two Witnesses.</w:t>
      </w:r>
    </w:p>
    <w:p w14:paraId="34DD17F9">
      <w:pPr>
        <w:pStyle w:val="9"/>
        <w:spacing w:before="17" w:line="249" w:lineRule="auto"/>
        <w:ind w:right="98" w:firstLine="450"/>
        <w:rPr>
          <w:rFonts w:hint="eastAsia"/>
          <w:color w:val="231F20"/>
        </w:rPr>
      </w:pPr>
      <w:r>
        <w:rPr>
          <w:rFonts w:hint="eastAsia"/>
          <w:color w:val="231F20"/>
        </w:rPr>
        <w:t>因此，所有时代的所有基督徒都可以在这两个见证人身上看到自己的影子。</w:t>
      </w:r>
    </w:p>
    <w:p w14:paraId="1756DE56">
      <w:pPr>
        <w:pStyle w:val="9"/>
        <w:spacing w:before="17" w:line="249" w:lineRule="auto"/>
        <w:ind w:right="98" w:firstLine="450"/>
        <w:rPr>
          <w:rFonts w:hint="eastAsia"/>
          <w:color w:val="231F20"/>
        </w:rPr>
      </w:pPr>
    </w:p>
    <w:p w14:paraId="1B32B719">
      <w:pPr>
        <w:pStyle w:val="9"/>
        <w:spacing w:before="17" w:line="249" w:lineRule="auto"/>
        <w:ind w:right="98" w:firstLine="450"/>
        <w:rPr>
          <w:rFonts w:hint="eastAsia"/>
          <w:color w:val="231F20"/>
        </w:rPr>
      </w:pPr>
      <w:r>
        <w:rPr>
          <w:rFonts w:hint="eastAsia"/>
          <w:color w:val="231F20"/>
        </w:rPr>
        <w:t>However, when we reach verses 7-13, the focus narrows.</w:t>
      </w:r>
    </w:p>
    <w:p w14:paraId="40C8E1C8">
      <w:pPr>
        <w:pStyle w:val="9"/>
        <w:spacing w:before="17" w:line="249" w:lineRule="auto"/>
        <w:ind w:right="98" w:firstLine="450"/>
        <w:rPr>
          <w:rFonts w:hint="eastAsia"/>
          <w:color w:val="231F20"/>
        </w:rPr>
      </w:pPr>
      <w:r>
        <w:rPr>
          <w:rFonts w:hint="eastAsia"/>
          <w:color w:val="231F20"/>
        </w:rPr>
        <w:t>然而，当我们读到第7-13节时，焦点就收窄了。</w:t>
      </w:r>
    </w:p>
    <w:p w14:paraId="4645C1B8">
      <w:pPr>
        <w:pStyle w:val="9"/>
        <w:spacing w:before="17" w:line="249" w:lineRule="auto"/>
        <w:ind w:right="98" w:firstLine="450"/>
        <w:rPr>
          <w:rFonts w:hint="eastAsia"/>
          <w:color w:val="231F20"/>
        </w:rPr>
      </w:pPr>
    </w:p>
    <w:p w14:paraId="7719F26C">
      <w:pPr>
        <w:pStyle w:val="9"/>
        <w:spacing w:before="17" w:line="249" w:lineRule="auto"/>
        <w:ind w:right="98" w:firstLine="450"/>
        <w:rPr>
          <w:rFonts w:hint="eastAsia"/>
          <w:color w:val="231F20"/>
        </w:rPr>
      </w:pPr>
      <w:r>
        <w:rPr>
          <w:rFonts w:hint="eastAsia"/>
          <w:color w:val="231F20"/>
        </w:rPr>
        <w:t>Now the Spirit is speaking concretely about the last generation of witnessing Christians; the generation that will see the completion of the Great Commission (11:7); the generation that will see the Beast (hitherto restrained from thwarting the Church’s mission, 20:1-3) rise up out of the abyss (Satan’s dwelling), make war with them, overcome them, and “kill” (i.e., thoroughly suppress) them (11:7-10).</w:t>
      </w:r>
    </w:p>
    <w:p w14:paraId="31A20368">
      <w:pPr>
        <w:pStyle w:val="9"/>
        <w:spacing w:before="17" w:line="249" w:lineRule="auto"/>
        <w:ind w:right="98" w:firstLine="450"/>
        <w:rPr>
          <w:rFonts w:hint="eastAsia"/>
          <w:color w:val="231F20"/>
        </w:rPr>
      </w:pPr>
      <w:r>
        <w:rPr>
          <w:rFonts w:hint="eastAsia"/>
          <w:color w:val="231F20"/>
        </w:rPr>
        <w:t>现在圣灵正在具体地谈论最后一代的见证基督徒；那一代将看到大使命完成的基督徒（11:7）；那一代将看到兽（至今被约束，不能阻挠教会的使命，20:1-3）从无底坑（撒但的住处）上来，与他们交战，胜过他们，并“杀害”（即彻底镇压）他们（11:7-10）的基督徒。</w:t>
      </w:r>
    </w:p>
    <w:p w14:paraId="28FA129D">
      <w:pPr>
        <w:pStyle w:val="9"/>
        <w:spacing w:before="17" w:line="249" w:lineRule="auto"/>
        <w:ind w:right="98" w:firstLine="450"/>
        <w:rPr>
          <w:rFonts w:hint="eastAsia"/>
          <w:color w:val="231F20"/>
        </w:rPr>
      </w:pPr>
    </w:p>
    <w:p w14:paraId="7D2DC8BA">
      <w:pPr>
        <w:pStyle w:val="9"/>
        <w:spacing w:before="17" w:line="249" w:lineRule="auto"/>
        <w:ind w:right="98" w:firstLine="450"/>
        <w:rPr>
          <w:rFonts w:hint="eastAsia"/>
          <w:color w:val="231F20"/>
        </w:rPr>
      </w:pPr>
      <w:r>
        <w:rPr>
          <w:rFonts w:hint="eastAsia"/>
          <w:color w:val="231F20"/>
        </w:rPr>
        <w:t>And yet this is also the generation that will see the return of Christ in glory, the resurrection of the dead, and the Last Judgment (11:11- 19).</w:t>
      </w:r>
    </w:p>
    <w:p w14:paraId="528E8AC8">
      <w:pPr>
        <w:pStyle w:val="9"/>
        <w:spacing w:before="17" w:line="249" w:lineRule="auto"/>
        <w:ind w:right="98" w:firstLine="450"/>
        <w:rPr>
          <w:rFonts w:hint="eastAsia"/>
          <w:color w:val="231F20"/>
        </w:rPr>
      </w:pPr>
      <w:r>
        <w:rPr>
          <w:rFonts w:hint="eastAsia"/>
          <w:color w:val="231F20"/>
        </w:rPr>
        <w:t>然而，这也是将看到基督在荣耀中再来、死人复活和最后审判的那一代人（11:11-19）。</w:t>
      </w:r>
    </w:p>
    <w:p w14:paraId="1E4217F1">
      <w:pPr>
        <w:pStyle w:val="9"/>
        <w:spacing w:before="17" w:line="249" w:lineRule="auto"/>
        <w:ind w:right="98" w:firstLine="450"/>
        <w:rPr>
          <w:rFonts w:hint="eastAsia"/>
          <w:color w:val="231F20"/>
        </w:rPr>
      </w:pPr>
    </w:p>
    <w:p w14:paraId="28D3214C">
      <w:pPr>
        <w:pStyle w:val="9"/>
        <w:spacing w:before="17" w:line="249" w:lineRule="auto"/>
        <w:ind w:right="98" w:firstLine="450"/>
        <w:rPr>
          <w:rFonts w:hint="eastAsia"/>
          <w:color w:val="231F20"/>
        </w:rPr>
      </w:pPr>
      <w:r>
        <w:rPr>
          <w:rFonts w:hint="eastAsia"/>
          <w:color w:val="231F20"/>
        </w:rPr>
        <w:t>Here, then, the symbols do indeed point to unique events in a unique portion of Salvation History.</w:t>
      </w:r>
    </w:p>
    <w:p w14:paraId="4C829135">
      <w:pPr>
        <w:pStyle w:val="9"/>
        <w:spacing w:before="17" w:line="249" w:lineRule="auto"/>
        <w:ind w:right="98" w:firstLine="450"/>
        <w:rPr>
          <w:rFonts w:hint="eastAsia"/>
          <w:color w:val="231F20"/>
        </w:rPr>
      </w:pPr>
      <w:r>
        <w:rPr>
          <w:rFonts w:hint="eastAsia"/>
          <w:color w:val="231F20"/>
        </w:rPr>
        <w:t>所以，这里的象征确实指向救赎历史中一个独特部分里的独特事件。</w:t>
      </w:r>
    </w:p>
    <w:p w14:paraId="3B5BFEC2">
      <w:pPr>
        <w:pStyle w:val="9"/>
        <w:spacing w:before="17" w:line="249" w:lineRule="auto"/>
        <w:ind w:right="98" w:firstLine="450"/>
        <w:rPr>
          <w:rFonts w:hint="eastAsia"/>
          <w:color w:val="231F20"/>
        </w:rPr>
      </w:pPr>
    </w:p>
    <w:p w14:paraId="2B1AFC5B">
      <w:pPr>
        <w:pStyle w:val="9"/>
        <w:spacing w:before="17" w:line="249" w:lineRule="auto"/>
        <w:ind w:right="98" w:firstLine="450"/>
        <w:rPr>
          <w:rFonts w:hint="eastAsia"/>
          <w:color w:val="231F20"/>
        </w:rPr>
      </w:pPr>
      <w:r>
        <w:rPr>
          <w:rFonts w:hint="eastAsia"/>
          <w:color w:val="231F20"/>
        </w:rPr>
        <w:t>Here, the universal Church cannot see herself (much as she might like to), but only that portion of the Church that will serve Christ during the days of the Last Battle.</w:t>
      </w:r>
    </w:p>
    <w:p w14:paraId="321393A1">
      <w:pPr>
        <w:pStyle w:val="9"/>
        <w:spacing w:before="17" w:line="249" w:lineRule="auto"/>
        <w:ind w:right="98" w:firstLine="450"/>
        <w:rPr>
          <w:rFonts w:hint="eastAsia"/>
          <w:color w:val="231F20"/>
        </w:rPr>
      </w:pPr>
      <w:r>
        <w:rPr>
          <w:rFonts w:hint="eastAsia"/>
          <w:color w:val="231F20"/>
        </w:rPr>
        <w:t>在这里，普世教会看不到她自己（尽管她可能很想），只能看到在末日争战的日子里服事基督的那部分教会。</w:t>
      </w:r>
    </w:p>
    <w:p w14:paraId="35EFBAD9">
      <w:pPr>
        <w:pStyle w:val="9"/>
        <w:spacing w:before="17" w:line="249" w:lineRule="auto"/>
        <w:ind w:right="98" w:firstLine="450"/>
        <w:rPr>
          <w:rFonts w:hint="eastAsia"/>
          <w:color w:val="231F20"/>
        </w:rPr>
      </w:pPr>
    </w:p>
    <w:p w14:paraId="631D6AAF">
      <w:pPr>
        <w:pStyle w:val="9"/>
        <w:spacing w:before="17" w:line="249" w:lineRule="auto"/>
        <w:ind w:right="98" w:firstLine="450"/>
        <w:rPr>
          <w:rFonts w:hint="eastAsia"/>
          <w:color w:val="231F20"/>
        </w:rPr>
      </w:pPr>
      <w:r>
        <w:rPr>
          <w:rFonts w:hint="eastAsia"/>
          <w:color w:val="231F20"/>
        </w:rPr>
        <w:t>Speaking of caveats, it is also important to understand that while the six cycles of Revelation 6-20 do indeed traverse the same historical ground, there are notable differences between them.</w:t>
      </w:r>
    </w:p>
    <w:p w14:paraId="6A520CBA">
      <w:pPr>
        <w:pStyle w:val="9"/>
        <w:spacing w:before="17" w:line="249" w:lineRule="auto"/>
        <w:ind w:right="98" w:firstLine="450"/>
        <w:rPr>
          <w:rFonts w:hint="eastAsia"/>
          <w:color w:val="231F20"/>
        </w:rPr>
      </w:pPr>
      <w:r>
        <w:rPr>
          <w:rFonts w:hint="eastAsia"/>
          <w:color w:val="231F20"/>
        </w:rPr>
        <w:t>说到告诫，同样重要的是要理解，虽然《启示录》第6-20章的六个循环确实跨越了相同的历史范畴，但它们之间存在显著的差异。</w:t>
      </w:r>
    </w:p>
    <w:p w14:paraId="3EF2821E">
      <w:pPr>
        <w:pStyle w:val="9"/>
        <w:spacing w:before="17" w:line="249" w:lineRule="auto"/>
        <w:ind w:right="98" w:firstLine="450"/>
        <w:rPr>
          <w:rFonts w:hint="eastAsia"/>
          <w:color w:val="231F20"/>
        </w:rPr>
      </w:pPr>
    </w:p>
    <w:p w14:paraId="7119B699">
      <w:pPr>
        <w:pStyle w:val="9"/>
        <w:spacing w:before="17" w:line="249" w:lineRule="auto"/>
        <w:ind w:right="98" w:firstLine="450"/>
        <w:rPr>
          <w:rFonts w:hint="eastAsia"/>
          <w:color w:val="231F20"/>
        </w:rPr>
      </w:pPr>
      <w:r>
        <w:rPr>
          <w:rFonts w:hint="eastAsia"/>
          <w:color w:val="231F20"/>
        </w:rPr>
        <w:t>Of special importance is the fact that this large bloc of Scripture gives us a progressive revelation of divine truth about the Church Era.</w:t>
      </w:r>
    </w:p>
    <w:p w14:paraId="6F97120E">
      <w:pPr>
        <w:pStyle w:val="9"/>
        <w:spacing w:before="17" w:line="249" w:lineRule="auto"/>
        <w:ind w:right="98" w:firstLine="450"/>
        <w:rPr>
          <w:rFonts w:hint="eastAsia"/>
          <w:color w:val="231F20"/>
        </w:rPr>
      </w:pPr>
      <w:r>
        <w:rPr>
          <w:rFonts w:hint="eastAsia"/>
          <w:color w:val="231F20"/>
        </w:rPr>
        <w:t>特别重要的是，这段经文为我们提供了关于教会时代神圣真理的渐进启示。</w:t>
      </w:r>
    </w:p>
    <w:p w14:paraId="7F887D7D">
      <w:pPr>
        <w:pStyle w:val="9"/>
        <w:spacing w:before="17" w:line="249" w:lineRule="auto"/>
        <w:ind w:right="98" w:firstLine="450"/>
        <w:rPr>
          <w:rFonts w:hint="eastAsia"/>
          <w:color w:val="231F20"/>
        </w:rPr>
      </w:pPr>
    </w:p>
    <w:p w14:paraId="68E545C4">
      <w:pPr>
        <w:pStyle w:val="9"/>
        <w:spacing w:before="17" w:line="249" w:lineRule="auto"/>
        <w:ind w:right="98" w:firstLine="450"/>
        <w:rPr>
          <w:rFonts w:hint="eastAsia"/>
          <w:color w:val="231F20"/>
        </w:rPr>
      </w:pPr>
      <w:r>
        <w:rPr>
          <w:rFonts w:hint="eastAsia"/>
          <w:color w:val="231F20"/>
        </w:rPr>
        <w:t>For example, the deeper we progress into the cycles, the more we learn of the supernatural powers operating behind the scenes of the great cosmic battle; the more intense becomes the Church’s suffering; the more severe the world’s judgments; and the more vivid the portraits of the Last Battle, the Parousia, and the Last Judgment.</w:t>
      </w:r>
    </w:p>
    <w:p w14:paraId="565F8904">
      <w:pPr>
        <w:pStyle w:val="9"/>
        <w:spacing w:before="17" w:line="249" w:lineRule="auto"/>
        <w:ind w:right="98" w:firstLine="450"/>
        <w:rPr>
          <w:rFonts w:hint="eastAsia"/>
          <w:color w:val="231F20"/>
        </w:rPr>
      </w:pPr>
      <w:r>
        <w:rPr>
          <w:rFonts w:hint="eastAsia"/>
          <w:color w:val="231F20"/>
        </w:rPr>
        <w:t>例如，我们越深入这些循环，就越能了解到在宇宙大战幕后运作的超自然力量；教会的苦难就越发剧烈；世界的审判就越发严厉；末日争战、主临和最后审判的描绘也越发鲜活。</w:t>
      </w:r>
    </w:p>
    <w:p w14:paraId="320F37C2">
      <w:pPr>
        <w:pStyle w:val="9"/>
        <w:spacing w:before="17" w:line="249" w:lineRule="auto"/>
        <w:ind w:right="98" w:firstLine="450"/>
        <w:rPr>
          <w:rFonts w:hint="eastAsia"/>
          <w:color w:val="231F20"/>
        </w:rPr>
      </w:pPr>
    </w:p>
    <w:p w14:paraId="6EE7DCDD">
      <w:pPr>
        <w:pStyle w:val="9"/>
        <w:spacing w:before="17" w:line="249" w:lineRule="auto"/>
        <w:ind w:right="98" w:firstLine="450"/>
        <w:rPr>
          <w:rFonts w:hint="eastAsia"/>
          <w:color w:val="231F20"/>
        </w:rPr>
      </w:pPr>
      <w:r>
        <w:rPr>
          <w:rFonts w:hint="eastAsia"/>
          <w:color w:val="231F20"/>
        </w:rPr>
        <w:t>Referring to this tendency as progressive parallelism, Hendriksen writes:</w:t>
      </w:r>
    </w:p>
    <w:p w14:paraId="416ACBF5">
      <w:pPr>
        <w:pStyle w:val="9"/>
        <w:spacing w:before="17" w:line="249" w:lineRule="auto"/>
        <w:ind w:right="98" w:firstLine="450"/>
        <w:rPr>
          <w:rFonts w:hint="eastAsia"/>
          <w:color w:val="231F20"/>
        </w:rPr>
      </w:pPr>
      <w:r>
        <w:rPr>
          <w:rFonts w:hint="eastAsia"/>
          <w:color w:val="231F20"/>
        </w:rPr>
        <w:t>韩瑞森称这种趋势为递进的平行论，他写道：</w:t>
      </w:r>
    </w:p>
    <w:p w14:paraId="611ED2E0">
      <w:pPr>
        <w:pStyle w:val="9"/>
        <w:spacing w:before="17" w:line="249" w:lineRule="auto"/>
        <w:ind w:right="98" w:firstLine="450"/>
        <w:rPr>
          <w:rFonts w:hint="eastAsia"/>
          <w:color w:val="231F20"/>
        </w:rPr>
      </w:pPr>
    </w:p>
    <w:p w14:paraId="63714363">
      <w:pPr>
        <w:pStyle w:val="9"/>
        <w:spacing w:before="17" w:line="249" w:lineRule="auto"/>
        <w:ind w:right="98" w:firstLine="450"/>
        <w:rPr>
          <w:rFonts w:hint="eastAsia"/>
          <w:color w:val="231F20"/>
        </w:rPr>
      </w:pPr>
      <w:r>
        <w:rPr>
          <w:rFonts w:hint="eastAsia"/>
          <w:color w:val="231F20"/>
        </w:rPr>
        <w:t>Although all the sections of the Apocalypse run parallel and span the period between the first and second comings of Christ … yet there is also a degree of progress.</w:t>
      </w:r>
    </w:p>
    <w:p w14:paraId="51C5DC85">
      <w:pPr>
        <w:pStyle w:val="9"/>
        <w:spacing w:before="17" w:line="249" w:lineRule="auto"/>
        <w:ind w:right="98" w:firstLine="450"/>
        <w:rPr>
          <w:rFonts w:hint="eastAsia"/>
          <w:color w:val="231F20"/>
        </w:rPr>
      </w:pPr>
      <w:r>
        <w:rPr>
          <w:rFonts w:hint="eastAsia"/>
          <w:color w:val="231F20"/>
        </w:rPr>
        <w:t>尽管《启示录》的所有部分都是平行的，并且跨越了基督第一次和第二次降临之间的时期……但也有一定程度的进展。</w:t>
      </w:r>
    </w:p>
    <w:p w14:paraId="22DB771F">
      <w:pPr>
        <w:pStyle w:val="9"/>
        <w:spacing w:before="17" w:line="249" w:lineRule="auto"/>
        <w:ind w:right="98" w:firstLine="450"/>
        <w:rPr>
          <w:rFonts w:hint="eastAsia"/>
          <w:color w:val="231F20"/>
        </w:rPr>
      </w:pPr>
    </w:p>
    <w:p w14:paraId="7D8F7B19">
      <w:pPr>
        <w:pStyle w:val="9"/>
        <w:spacing w:before="17" w:line="249" w:lineRule="auto"/>
        <w:ind w:right="98" w:firstLine="450"/>
        <w:rPr>
          <w:rFonts w:hint="eastAsia"/>
          <w:color w:val="231F20"/>
        </w:rPr>
      </w:pPr>
      <w:r>
        <w:rPr>
          <w:rFonts w:hint="eastAsia"/>
          <w:color w:val="231F20"/>
        </w:rPr>
        <w:t>The closer we approach the end of the book the more our attention is directed to the final judgment and that which lies beyond it.</w:t>
      </w:r>
    </w:p>
    <w:p w14:paraId="310558E7">
      <w:pPr>
        <w:pStyle w:val="9"/>
        <w:spacing w:before="17" w:line="249" w:lineRule="auto"/>
        <w:ind w:right="98" w:firstLine="450"/>
        <w:rPr>
          <w:rFonts w:hint="eastAsia"/>
          <w:color w:val="231F20"/>
        </w:rPr>
      </w:pPr>
      <w:r>
        <w:rPr>
          <w:rFonts w:hint="eastAsia"/>
          <w:color w:val="231F20"/>
        </w:rPr>
        <w:t>我们越接近书的结尾，我们的注意力就越被引向最后的审判以及之后的事物。</w:t>
      </w:r>
    </w:p>
    <w:p w14:paraId="3763DD54">
      <w:pPr>
        <w:pStyle w:val="9"/>
        <w:spacing w:before="17" w:line="249" w:lineRule="auto"/>
        <w:ind w:right="98" w:firstLine="450"/>
        <w:rPr>
          <w:rFonts w:hint="eastAsia"/>
          <w:color w:val="231F20"/>
        </w:rPr>
      </w:pPr>
    </w:p>
    <w:p w14:paraId="151ECA2F">
      <w:pPr>
        <w:pStyle w:val="9"/>
        <w:spacing w:before="17" w:line="249" w:lineRule="auto"/>
        <w:ind w:right="98" w:firstLine="450"/>
        <w:rPr>
          <w:rFonts w:hint="eastAsia"/>
          <w:color w:val="231F20"/>
        </w:rPr>
      </w:pPr>
      <w:r>
        <w:rPr>
          <w:rFonts w:hint="eastAsia"/>
          <w:color w:val="231F20"/>
        </w:rPr>
        <w:t>The (several) sections are arranged, as it were, in an ascending, climactic order …</w:t>
      </w:r>
    </w:p>
    <w:p w14:paraId="7B5666B2">
      <w:pPr>
        <w:pStyle w:val="9"/>
        <w:spacing w:before="17" w:line="249" w:lineRule="auto"/>
        <w:ind w:right="98" w:firstLine="450"/>
        <w:rPr>
          <w:rFonts w:hint="eastAsia"/>
          <w:color w:val="231F20"/>
        </w:rPr>
      </w:pPr>
      <w:r>
        <w:rPr>
          <w:rFonts w:hint="eastAsia"/>
          <w:color w:val="231F20"/>
        </w:rPr>
        <w:t>这（几个）部分，可以说是按照一种上升的、高潮迭起的顺序排列的……</w:t>
      </w:r>
    </w:p>
    <w:p w14:paraId="6CB61444">
      <w:pPr>
        <w:pStyle w:val="9"/>
        <w:spacing w:before="17" w:line="249" w:lineRule="auto"/>
        <w:ind w:right="98" w:firstLine="450"/>
        <w:rPr>
          <w:rFonts w:hint="eastAsia"/>
          <w:color w:val="231F20"/>
        </w:rPr>
      </w:pPr>
    </w:p>
    <w:p w14:paraId="4F998B6F">
      <w:pPr>
        <w:pStyle w:val="9"/>
        <w:spacing w:before="17" w:line="249" w:lineRule="auto"/>
        <w:ind w:right="98" w:firstLine="450"/>
        <w:rPr>
          <w:rFonts w:hint="eastAsia"/>
          <w:color w:val="231F20"/>
        </w:rPr>
      </w:pPr>
      <w:r>
        <w:rPr>
          <w:rFonts w:hint="eastAsia"/>
          <w:color w:val="231F20"/>
        </w:rPr>
        <w:t>The final judgment is first announced, then introduced, then finally described.</w:t>
      </w:r>
    </w:p>
    <w:p w14:paraId="0D045E87">
      <w:pPr>
        <w:pStyle w:val="9"/>
        <w:spacing w:before="17" w:line="249" w:lineRule="auto"/>
        <w:ind w:right="98" w:firstLine="450"/>
        <w:rPr>
          <w:rFonts w:hint="eastAsia"/>
          <w:color w:val="231F20"/>
        </w:rPr>
      </w:pPr>
      <w:r>
        <w:rPr>
          <w:rFonts w:hint="eastAsia"/>
          <w:color w:val="231F20"/>
        </w:rPr>
        <w:t>最后的审判首先被宣告，然后被引入，最后被描述。</w:t>
      </w:r>
    </w:p>
    <w:p w14:paraId="3E3F5B55">
      <w:pPr>
        <w:pStyle w:val="9"/>
        <w:spacing w:before="17" w:line="249" w:lineRule="auto"/>
        <w:ind w:right="98" w:firstLine="450"/>
        <w:rPr>
          <w:rFonts w:hint="eastAsia"/>
          <w:color w:val="231F20"/>
        </w:rPr>
      </w:pPr>
    </w:p>
    <w:p w14:paraId="7771D867">
      <w:pPr>
        <w:pStyle w:val="9"/>
        <w:spacing w:before="17" w:line="249" w:lineRule="auto"/>
        <w:ind w:right="98" w:firstLine="450"/>
        <w:rPr>
          <w:rFonts w:hint="eastAsia"/>
          <w:color w:val="231F20"/>
        </w:rPr>
      </w:pPr>
      <w:r>
        <w:rPr>
          <w:rFonts w:hint="eastAsia"/>
          <w:color w:val="231F20"/>
        </w:rPr>
        <w:t>Similarly, the new heavens and earth are described more fully in the final section than in those which precede it … The book reveals a gradual progress in eschatological emphasis.2</w:t>
      </w:r>
    </w:p>
    <w:p w14:paraId="2DCEA408">
      <w:pPr>
        <w:pStyle w:val="9"/>
        <w:spacing w:before="17" w:line="249" w:lineRule="auto"/>
        <w:ind w:right="98" w:firstLine="450"/>
        <w:rPr>
          <w:rFonts w:hint="eastAsia"/>
          <w:color w:val="231F20"/>
        </w:rPr>
      </w:pPr>
      <w:r>
        <w:rPr>
          <w:rFonts w:hint="eastAsia"/>
          <w:color w:val="231F20"/>
        </w:rPr>
        <w:t>同样，新天新地在最后部分的描述比在之前的部分更充分……这本书揭示了在末世论重点上的渐进式进展。2</w:t>
      </w:r>
    </w:p>
    <w:p w14:paraId="520910FF">
      <w:pPr>
        <w:pStyle w:val="9"/>
        <w:spacing w:before="17" w:line="249" w:lineRule="auto"/>
        <w:ind w:right="98" w:firstLine="450"/>
        <w:rPr>
          <w:rFonts w:hint="eastAsia"/>
          <w:color w:val="231F20"/>
        </w:rPr>
      </w:pPr>
    </w:p>
    <w:p w14:paraId="016FE397">
      <w:pPr>
        <w:pStyle w:val="9"/>
        <w:spacing w:before="17" w:line="249" w:lineRule="auto"/>
        <w:ind w:right="98" w:firstLine="450"/>
        <w:rPr>
          <w:rFonts w:hint="eastAsia"/>
          <w:color w:val="231F20"/>
        </w:rPr>
      </w:pPr>
      <w:r>
        <w:rPr>
          <w:rFonts w:hint="eastAsia"/>
          <w:color w:val="231F20"/>
        </w:rPr>
        <w:t>The third and final implication of the cyclical view of Revelation 6-20 goes straight to the heart of the Great End Time Debate: If indeed chapter 20 properly falls into bloc four of the Revelation; if indeed, like the previous five cycles, it too describes the course of the reign of the High King of Heaven, then obviously it cannot be speaking of a future earthly kingdom set to appear after that reign.</w:t>
      </w:r>
    </w:p>
    <w:p w14:paraId="7BBFFC69">
      <w:pPr>
        <w:pStyle w:val="9"/>
        <w:spacing w:before="17" w:line="249" w:lineRule="auto"/>
        <w:ind w:right="98" w:firstLine="450"/>
        <w:rPr>
          <w:rFonts w:hint="eastAsia"/>
          <w:color w:val="231F20"/>
        </w:rPr>
      </w:pPr>
      <w:r>
        <w:rPr>
          <w:rFonts w:hint="eastAsia"/>
          <w:color w:val="231F20"/>
        </w:rPr>
        <w:t>《启示录》第6-20章循环观的第三个也是最后一个涵义直指末世大辩论的核心：如果第20章确实恰当地属于《启示录》的第四区块；如果它确实像之前的五个循环一样，也描述了天上至高君王统治的进程，那么它显然不可能是在谈论一个将在那统治之后出现的未来属地国度。</w:t>
      </w:r>
    </w:p>
    <w:p w14:paraId="6BD173A3">
      <w:pPr>
        <w:pStyle w:val="9"/>
        <w:spacing w:before="17" w:line="249" w:lineRule="auto"/>
        <w:ind w:right="98" w:firstLine="450"/>
        <w:rPr>
          <w:rFonts w:hint="eastAsia"/>
          <w:color w:val="231F20"/>
        </w:rPr>
      </w:pPr>
    </w:p>
    <w:p w14:paraId="5886CA92">
      <w:pPr>
        <w:pStyle w:val="9"/>
        <w:spacing w:before="17" w:line="249" w:lineRule="auto"/>
        <w:ind w:right="98" w:firstLine="450"/>
        <w:rPr>
          <w:rFonts w:hint="eastAsia"/>
          <w:color w:val="231F20"/>
        </w:rPr>
      </w:pPr>
      <w:r>
        <w:rPr>
          <w:rFonts w:hint="eastAsia"/>
          <w:color w:val="231F20"/>
        </w:rPr>
        <w:t>In short, if our chart really does give us the true structure of the Revelation, then the Revelation itself rules out premillennialism once and for all!</w:t>
      </w:r>
    </w:p>
    <w:p w14:paraId="692BB721">
      <w:pPr>
        <w:pStyle w:val="9"/>
        <w:spacing w:before="17" w:line="249" w:lineRule="auto"/>
        <w:ind w:right="98" w:firstLine="450"/>
        <w:rPr>
          <w:rFonts w:hint="eastAsia"/>
          <w:color w:val="231F20"/>
        </w:rPr>
      </w:pPr>
      <w:r>
        <w:rPr>
          <w:rFonts w:hint="eastAsia"/>
          <w:color w:val="231F20"/>
        </w:rPr>
        <w:t>简而言之，如果我们的图表确实给出了《启示录》的真实结构，那么《启示录》本身就一劳永逸地排除了前千禧年主义！</w:t>
      </w:r>
    </w:p>
    <w:p w14:paraId="6193C202">
      <w:pPr>
        <w:pStyle w:val="9"/>
        <w:spacing w:before="17" w:line="249" w:lineRule="auto"/>
        <w:ind w:right="98" w:firstLine="450"/>
        <w:rPr>
          <w:rFonts w:hint="eastAsia"/>
          <w:color w:val="231F20"/>
        </w:rPr>
      </w:pPr>
    </w:p>
    <w:p w14:paraId="41638F47">
      <w:pPr>
        <w:pStyle w:val="9"/>
        <w:spacing w:before="17" w:line="249" w:lineRule="auto"/>
        <w:ind w:right="98" w:firstLine="450"/>
        <w:rPr>
          <w:rFonts w:hint="eastAsia"/>
          <w:color w:val="231F20"/>
        </w:rPr>
      </w:pPr>
      <w:r>
        <w:rPr>
          <w:rFonts w:hint="eastAsia"/>
          <w:color w:val="231F20"/>
        </w:rPr>
        <w:t>A Survey of the Revelation</w:t>
      </w:r>
    </w:p>
    <w:p w14:paraId="0E7BDB65">
      <w:pPr>
        <w:pStyle w:val="9"/>
        <w:spacing w:before="17" w:line="249" w:lineRule="auto"/>
        <w:ind w:right="98" w:firstLine="450"/>
        <w:rPr>
          <w:rFonts w:hint="eastAsia"/>
          <w:color w:val="231F20"/>
        </w:rPr>
      </w:pPr>
      <w:r>
        <w:rPr>
          <w:rFonts w:hint="eastAsia"/>
          <w:color w:val="231F20"/>
        </w:rPr>
        <w:t>《启示录》概览</w:t>
      </w:r>
    </w:p>
    <w:p w14:paraId="034C4BEF">
      <w:pPr>
        <w:pStyle w:val="9"/>
        <w:spacing w:before="17" w:line="249" w:lineRule="auto"/>
        <w:ind w:right="98" w:firstLine="450"/>
        <w:rPr>
          <w:rFonts w:hint="eastAsia"/>
          <w:color w:val="231F20"/>
        </w:rPr>
      </w:pPr>
    </w:p>
    <w:p w14:paraId="6F187B80">
      <w:pPr>
        <w:pStyle w:val="9"/>
        <w:spacing w:before="17" w:line="249" w:lineRule="auto"/>
        <w:ind w:right="98" w:firstLine="450"/>
        <w:rPr>
          <w:rFonts w:hint="eastAsia"/>
          <w:color w:val="231F20"/>
        </w:rPr>
      </w:pPr>
      <w:r>
        <w:rPr>
          <w:rFonts w:hint="eastAsia"/>
          <w:color w:val="231F20"/>
        </w:rPr>
        <w:t>In this section, I want briefly to survey the Revelation as a whole.</w:t>
      </w:r>
    </w:p>
    <w:p w14:paraId="74C66792">
      <w:pPr>
        <w:pStyle w:val="9"/>
        <w:spacing w:before="17" w:line="249" w:lineRule="auto"/>
        <w:ind w:right="98" w:firstLine="450"/>
        <w:rPr>
          <w:rFonts w:hint="eastAsia"/>
          <w:color w:val="231F20"/>
        </w:rPr>
      </w:pPr>
      <w:r>
        <w:rPr>
          <w:rFonts w:hint="eastAsia"/>
          <w:color w:val="231F20"/>
        </w:rPr>
        <w:t>在这一部分，我想简要地概览一下整本《启示录》。</w:t>
      </w:r>
    </w:p>
    <w:p w14:paraId="6BBADF87">
      <w:pPr>
        <w:pStyle w:val="9"/>
        <w:spacing w:before="17" w:line="249" w:lineRule="auto"/>
        <w:ind w:right="98" w:firstLine="450"/>
        <w:rPr>
          <w:rFonts w:hint="eastAsia"/>
          <w:color w:val="231F20"/>
        </w:rPr>
      </w:pPr>
    </w:p>
    <w:p w14:paraId="30F3CBBB">
      <w:pPr>
        <w:pStyle w:val="9"/>
        <w:spacing w:before="17" w:line="249" w:lineRule="auto"/>
        <w:ind w:right="98" w:firstLine="450"/>
        <w:rPr>
          <w:rFonts w:hint="eastAsia"/>
          <w:color w:val="231F20"/>
        </w:rPr>
      </w:pPr>
      <w:r>
        <w:rPr>
          <w:rFonts w:hint="eastAsia"/>
          <w:color w:val="231F20"/>
        </w:rPr>
        <w:t>What follows is not meant as a detailed exegetical commentary.</w:t>
      </w:r>
    </w:p>
    <w:p w14:paraId="72A86152">
      <w:pPr>
        <w:pStyle w:val="9"/>
        <w:spacing w:before="17" w:line="249" w:lineRule="auto"/>
        <w:ind w:right="98" w:firstLine="450"/>
        <w:rPr>
          <w:rFonts w:hint="eastAsia"/>
          <w:color w:val="231F20"/>
        </w:rPr>
      </w:pPr>
      <w:r>
        <w:rPr>
          <w:rFonts w:hint="eastAsia"/>
          <w:color w:val="231F20"/>
        </w:rPr>
        <w:t>接下来的内容并非意在成为一份详细的解经式注释。</w:t>
      </w:r>
    </w:p>
    <w:p w14:paraId="5012FCDD">
      <w:pPr>
        <w:pStyle w:val="9"/>
        <w:spacing w:before="17" w:line="249" w:lineRule="auto"/>
        <w:ind w:right="98" w:firstLine="450"/>
        <w:rPr>
          <w:rFonts w:hint="eastAsia"/>
          <w:color w:val="231F20"/>
        </w:rPr>
      </w:pPr>
    </w:p>
    <w:p w14:paraId="639AC587">
      <w:pPr>
        <w:pStyle w:val="9"/>
        <w:spacing w:before="17" w:line="249" w:lineRule="auto"/>
        <w:ind w:right="98" w:firstLine="450"/>
        <w:rPr>
          <w:rFonts w:hint="eastAsia"/>
          <w:color w:val="231F20"/>
        </w:rPr>
      </w:pPr>
      <w:r>
        <w:rPr>
          <w:rFonts w:hint="eastAsia"/>
          <w:color w:val="231F20"/>
        </w:rPr>
        <w:t>It is, however, meant as a substantive overview for which I have two main goals.</w:t>
      </w:r>
    </w:p>
    <w:p w14:paraId="2715F771">
      <w:pPr>
        <w:pStyle w:val="9"/>
        <w:spacing w:before="17" w:line="249" w:lineRule="auto"/>
        <w:ind w:right="98" w:firstLine="450"/>
        <w:rPr>
          <w:rFonts w:hint="eastAsia"/>
          <w:color w:val="231F20"/>
        </w:rPr>
      </w:pPr>
      <w:r>
        <w:rPr>
          <w:rFonts w:hint="eastAsia"/>
          <w:color w:val="231F20"/>
        </w:rPr>
        <w:t>然而，它的意图是成为一个实质性的概述，对此我有两个主要目标。</w:t>
      </w:r>
    </w:p>
    <w:p w14:paraId="274E0D01">
      <w:pPr>
        <w:pStyle w:val="9"/>
        <w:spacing w:before="17" w:line="249" w:lineRule="auto"/>
        <w:ind w:right="98" w:firstLine="450"/>
        <w:rPr>
          <w:rFonts w:hint="eastAsia"/>
          <w:color w:val="231F20"/>
        </w:rPr>
      </w:pPr>
    </w:p>
    <w:p w14:paraId="58651A9B">
      <w:pPr>
        <w:pStyle w:val="9"/>
        <w:spacing w:before="17" w:line="249" w:lineRule="auto"/>
        <w:ind w:right="98" w:firstLine="450"/>
        <w:rPr>
          <w:rFonts w:hint="eastAsia"/>
          <w:color w:val="231F20"/>
        </w:rPr>
      </w:pPr>
      <w:r>
        <w:rPr>
          <w:rFonts w:hint="eastAsia"/>
          <w:color w:val="231F20"/>
        </w:rPr>
        <w:t>First, I want to show that the structure of the book is indeed as I have represented it in the chart above.</w:t>
      </w:r>
    </w:p>
    <w:p w14:paraId="4658B0E7">
      <w:pPr>
        <w:pStyle w:val="9"/>
        <w:spacing w:before="17" w:line="249" w:lineRule="auto"/>
        <w:ind w:right="98" w:firstLine="450"/>
        <w:rPr>
          <w:rFonts w:hint="eastAsia"/>
          <w:color w:val="231F20"/>
        </w:rPr>
      </w:pPr>
      <w:r>
        <w:rPr>
          <w:rFonts w:hint="eastAsia"/>
          <w:color w:val="231F20"/>
        </w:rPr>
        <w:t>首先，我想表明这本书的结构确实如我在上面的图表中所示。</w:t>
      </w:r>
    </w:p>
    <w:p w14:paraId="622C5B48">
      <w:pPr>
        <w:pStyle w:val="9"/>
        <w:spacing w:before="17" w:line="249" w:lineRule="auto"/>
        <w:ind w:right="98" w:firstLine="450"/>
        <w:rPr>
          <w:rFonts w:hint="eastAsia"/>
          <w:color w:val="231F20"/>
        </w:rPr>
      </w:pPr>
    </w:p>
    <w:p w14:paraId="26A5F27A">
      <w:pPr>
        <w:pStyle w:val="9"/>
        <w:spacing w:before="17" w:line="249" w:lineRule="auto"/>
        <w:ind w:right="98" w:firstLine="450"/>
        <w:rPr>
          <w:rFonts w:hint="eastAsia"/>
          <w:color w:val="231F20"/>
        </w:rPr>
      </w:pPr>
      <w:r>
        <w:rPr>
          <w:rFonts w:hint="eastAsia"/>
          <w:color w:val="231F20"/>
        </w:rPr>
        <w:t>More particularly, here I aim to show that the unifying theme of the whole book is the course, character, and consummation of Christ’s heavenly reign; that the fourth bloc of the book (chapters 6-20) really is a unit; that this bloc is a collection of six separate visionary cycles, each one of which spans the entire Church Era; that ever- increasingly it speaks to us of events associated with the Consummation (i.e., the Last Battle, the Parousia, the Resurrection, the Last Judgment, and the World to Come); and that Revelation 20 really does belong in this bloc.</w:t>
      </w:r>
    </w:p>
    <w:p w14:paraId="34553C20">
      <w:pPr>
        <w:pStyle w:val="9"/>
        <w:spacing w:before="17" w:line="249" w:lineRule="auto"/>
        <w:ind w:right="98" w:firstLine="450"/>
        <w:rPr>
          <w:rFonts w:hint="eastAsia"/>
          <w:color w:val="231F20"/>
        </w:rPr>
      </w:pPr>
      <w:r>
        <w:rPr>
          <w:rFonts w:hint="eastAsia"/>
          <w:color w:val="231F20"/>
        </w:rPr>
        <w:t>更具体地说，我在这里的目标是表明，整本书的统一主题是基督属天统治的进程、特征和最终的成全；书的第四区块（第6-20章）确实是一个单元；这个区块是六个独立异象循环的集合，每一个都横跨整个教会时代；它越来越多地向我们讲述与最终成全相关的事件（即末日争战、主临、复活、最后审判和将来的世界）；并且《启示录》第20章确实属于这个区块。</w:t>
      </w:r>
    </w:p>
    <w:p w14:paraId="3C2EC70C">
      <w:pPr>
        <w:pStyle w:val="9"/>
        <w:spacing w:before="17" w:line="249" w:lineRule="auto"/>
        <w:ind w:right="98" w:firstLine="450"/>
        <w:rPr>
          <w:rFonts w:hint="eastAsia"/>
          <w:color w:val="231F20"/>
        </w:rPr>
      </w:pPr>
    </w:p>
    <w:p w14:paraId="60C8A9E5">
      <w:pPr>
        <w:pStyle w:val="9"/>
        <w:spacing w:before="17" w:line="249" w:lineRule="auto"/>
        <w:ind w:right="98" w:firstLine="450"/>
        <w:rPr>
          <w:rFonts w:hint="eastAsia"/>
          <w:color w:val="231F20"/>
        </w:rPr>
      </w:pPr>
      <w:r>
        <w:rPr>
          <w:rFonts w:hint="eastAsia"/>
          <w:color w:val="231F20"/>
        </w:rPr>
        <w:t>Secondly, I want to use the NCH to open up the meaning of some of the key symbols of the book; to show that the Revelation—serving as the Grand Finale of all Scripture—repeatedly uses OT (and NT) symbols to communicate NT meanings, in order to instruct, exhort, and encourage Christ’s suffering pilgrim Church.</w:t>
      </w:r>
    </w:p>
    <w:p w14:paraId="08F41D5D">
      <w:pPr>
        <w:pStyle w:val="9"/>
        <w:spacing w:before="17" w:line="249" w:lineRule="auto"/>
        <w:ind w:right="98" w:firstLine="450"/>
        <w:rPr>
          <w:rFonts w:hint="eastAsia"/>
          <w:color w:val="231F20"/>
        </w:rPr>
      </w:pPr>
      <w:r>
        <w:rPr>
          <w:rFonts w:hint="eastAsia"/>
          <w:color w:val="231F20"/>
        </w:rPr>
        <w:t>其次，我想使用NCH来揭示书中一些关键象征的意义；以表明《启示录》——作为整本圣经的宏伟终章——反复使用旧约（和新约）的象征来传达新约的意义，为要教导、劝勉和鼓励基督受苦的朝圣教会。</w:t>
      </w:r>
    </w:p>
    <w:p w14:paraId="5790BCE4">
      <w:pPr>
        <w:pStyle w:val="9"/>
        <w:spacing w:before="17" w:line="249" w:lineRule="auto"/>
        <w:ind w:right="98" w:firstLine="450"/>
        <w:rPr>
          <w:rFonts w:hint="eastAsia"/>
          <w:color w:val="231F20"/>
        </w:rPr>
      </w:pPr>
    </w:p>
    <w:p w14:paraId="2369F08B">
      <w:pPr>
        <w:pStyle w:val="9"/>
        <w:spacing w:before="17" w:line="249" w:lineRule="auto"/>
        <w:ind w:right="98" w:firstLine="450"/>
        <w:rPr>
          <w:rFonts w:hint="eastAsia"/>
          <w:color w:val="231F20"/>
        </w:rPr>
      </w:pPr>
      <w:r>
        <w:rPr>
          <w:rFonts w:hint="eastAsia"/>
          <w:color w:val="231F20"/>
        </w:rPr>
        <w:t>And now, with Bibles firmly in hand, let us begin!</w:t>
      </w:r>
    </w:p>
    <w:p w14:paraId="051C25FC">
      <w:pPr>
        <w:pStyle w:val="9"/>
        <w:spacing w:before="17" w:line="249" w:lineRule="auto"/>
        <w:ind w:right="98" w:firstLine="450"/>
        <w:rPr>
          <w:rFonts w:hint="eastAsia"/>
          <w:color w:val="231F20"/>
        </w:rPr>
      </w:pPr>
      <w:r>
        <w:rPr>
          <w:rFonts w:hint="eastAsia"/>
          <w:color w:val="231F20"/>
        </w:rPr>
        <w:t>现在，让我们手持圣经，开始吧！</w:t>
      </w:r>
    </w:p>
    <w:p w14:paraId="137A8F78">
      <w:pPr>
        <w:pStyle w:val="9"/>
        <w:spacing w:before="17" w:line="249" w:lineRule="auto"/>
        <w:ind w:right="98" w:firstLine="450"/>
        <w:rPr>
          <w:rFonts w:hint="eastAsia"/>
          <w:color w:val="231F20"/>
        </w:rPr>
      </w:pPr>
    </w:p>
    <w:p w14:paraId="555851E7">
      <w:pPr>
        <w:pStyle w:val="9"/>
        <w:spacing w:before="17" w:line="249" w:lineRule="auto"/>
        <w:ind w:right="98" w:firstLine="450"/>
        <w:rPr>
          <w:rFonts w:hint="eastAsia"/>
          <w:color w:val="231F20"/>
        </w:rPr>
      </w:pPr>
      <w:r>
        <w:rPr>
          <w:rFonts w:hint="eastAsia"/>
          <w:color w:val="231F20"/>
        </w:rPr>
        <w:t>A Vision of the High King (1:1-20)</w:t>
      </w:r>
    </w:p>
    <w:p w14:paraId="459D3A8B">
      <w:pPr>
        <w:pStyle w:val="9"/>
        <w:spacing w:before="17" w:line="249" w:lineRule="auto"/>
        <w:ind w:right="98" w:firstLine="450"/>
        <w:rPr>
          <w:rFonts w:hint="eastAsia"/>
          <w:color w:val="231F20"/>
        </w:rPr>
      </w:pPr>
      <w:r>
        <w:rPr>
          <w:rFonts w:hint="eastAsia"/>
          <w:color w:val="231F20"/>
        </w:rPr>
        <w:t>至高君王的异象 (1:1-20)</w:t>
      </w:r>
    </w:p>
    <w:p w14:paraId="40E321BF">
      <w:pPr>
        <w:pStyle w:val="9"/>
        <w:spacing w:before="17" w:line="249" w:lineRule="auto"/>
        <w:ind w:right="98" w:firstLine="450"/>
        <w:rPr>
          <w:rFonts w:hint="eastAsia"/>
          <w:color w:val="231F20"/>
        </w:rPr>
      </w:pPr>
    </w:p>
    <w:p w14:paraId="533F6CAB">
      <w:pPr>
        <w:pStyle w:val="9"/>
        <w:spacing w:before="17" w:line="249" w:lineRule="auto"/>
        <w:ind w:right="98" w:firstLine="450"/>
        <w:rPr>
          <w:rFonts w:hint="eastAsia"/>
          <w:color w:val="231F20"/>
        </w:rPr>
      </w:pPr>
      <w:r>
        <w:rPr>
          <w:rFonts w:hint="eastAsia"/>
          <w:color w:val="231F20"/>
        </w:rPr>
        <w:t>Chapter 1 introduces the Revelation, and especially the One through whom God the Father was pleased to give it: the exalted Lord Jesus Christ.</w:t>
      </w:r>
    </w:p>
    <w:p w14:paraId="666D6B17">
      <w:pPr>
        <w:pStyle w:val="9"/>
        <w:spacing w:before="17" w:line="249" w:lineRule="auto"/>
        <w:ind w:right="98" w:firstLine="450"/>
        <w:rPr>
          <w:rFonts w:hint="eastAsia"/>
          <w:color w:val="231F20"/>
        </w:rPr>
      </w:pPr>
      <w:r>
        <w:rPr>
          <w:rFonts w:hint="eastAsia"/>
          <w:color w:val="231F20"/>
        </w:rPr>
        <w:t>第1章介绍了《启示录》，特别是父上帝乐意借着祂赐下启示的那一位：被高举的主耶稣基督。</w:t>
      </w:r>
    </w:p>
    <w:p w14:paraId="0964B3D7">
      <w:pPr>
        <w:pStyle w:val="9"/>
        <w:spacing w:before="17" w:line="249" w:lineRule="auto"/>
        <w:ind w:right="98" w:firstLine="450"/>
        <w:rPr>
          <w:rFonts w:hint="eastAsia"/>
          <w:color w:val="231F20"/>
        </w:rPr>
      </w:pPr>
    </w:p>
    <w:p w14:paraId="2E9F4F1C">
      <w:pPr>
        <w:pStyle w:val="9"/>
        <w:spacing w:before="17" w:line="249" w:lineRule="auto"/>
        <w:ind w:right="98" w:firstLine="450"/>
        <w:rPr>
          <w:rFonts w:hint="eastAsia"/>
          <w:color w:val="231F20"/>
        </w:rPr>
      </w:pPr>
      <w:r>
        <w:rPr>
          <w:rFonts w:hint="eastAsia"/>
          <w:color w:val="231F20"/>
        </w:rPr>
        <w:t>It is comprised of a short Prologue (1:1-3), a lengthy greeting (1:4-8), and a lengthier account of John’s vision of the glorified Son of Man (1:9-20).</w:t>
      </w:r>
    </w:p>
    <w:p w14:paraId="3452E64F">
      <w:pPr>
        <w:pStyle w:val="9"/>
        <w:spacing w:before="17" w:line="249" w:lineRule="auto"/>
        <w:ind w:right="98" w:firstLine="450"/>
        <w:rPr>
          <w:rFonts w:hint="eastAsia"/>
          <w:color w:val="231F20"/>
        </w:rPr>
      </w:pPr>
      <w:r>
        <w:rPr>
          <w:rFonts w:hint="eastAsia"/>
          <w:color w:val="231F20"/>
        </w:rPr>
        <w:t>它由一个简短的序言（1:1-3）、一段较长的问安（1:4-8）和一段更长的关于约翰看见荣耀人子的异象的记述（1:9-20）组成。</w:t>
      </w:r>
    </w:p>
    <w:p w14:paraId="7EC2D325">
      <w:pPr>
        <w:pStyle w:val="9"/>
        <w:spacing w:before="17" w:line="249" w:lineRule="auto"/>
        <w:ind w:right="98" w:firstLine="450"/>
        <w:rPr>
          <w:rFonts w:hint="eastAsia"/>
          <w:color w:val="231F20"/>
        </w:rPr>
      </w:pPr>
    </w:p>
    <w:p w14:paraId="35CD9759">
      <w:pPr>
        <w:pStyle w:val="9"/>
        <w:spacing w:before="17" w:line="249" w:lineRule="auto"/>
        <w:ind w:right="98" w:firstLine="450"/>
        <w:rPr>
          <w:rFonts w:hint="eastAsia"/>
          <w:color w:val="231F20"/>
        </w:rPr>
      </w:pPr>
      <w:r>
        <w:rPr>
          <w:rFonts w:hint="eastAsia"/>
          <w:color w:val="231F20"/>
        </w:rPr>
        <w:t>Importantly, the greeting gives us the eschatological framework of the whole book.</w:t>
      </w:r>
    </w:p>
    <w:p w14:paraId="507DD302">
      <w:pPr>
        <w:pStyle w:val="9"/>
        <w:spacing w:before="17" w:line="249" w:lineRule="auto"/>
        <w:ind w:right="98" w:firstLine="450"/>
        <w:rPr>
          <w:rFonts w:hint="eastAsia"/>
          <w:color w:val="231F20"/>
        </w:rPr>
      </w:pPr>
      <w:r>
        <w:rPr>
          <w:rFonts w:hint="eastAsia"/>
          <w:color w:val="231F20"/>
        </w:rPr>
        <w:t>重要的是，这段问安为我们提供了整本书的末世论框架。</w:t>
      </w:r>
    </w:p>
    <w:p w14:paraId="2EF4F3BB">
      <w:pPr>
        <w:pStyle w:val="9"/>
        <w:spacing w:before="17" w:line="249" w:lineRule="auto"/>
        <w:ind w:right="98" w:firstLine="450"/>
        <w:rPr>
          <w:rFonts w:hint="eastAsia"/>
          <w:color w:val="231F20"/>
        </w:rPr>
      </w:pPr>
    </w:p>
    <w:p w14:paraId="3027E3DC">
      <w:pPr>
        <w:pStyle w:val="9"/>
        <w:spacing w:before="17" w:line="249" w:lineRule="auto"/>
        <w:ind w:right="98" w:firstLine="450"/>
        <w:rPr>
          <w:rFonts w:hint="eastAsia"/>
          <w:color w:val="231F20"/>
        </w:rPr>
      </w:pPr>
      <w:r>
        <w:rPr>
          <w:rFonts w:hint="eastAsia"/>
          <w:color w:val="231F20"/>
        </w:rPr>
        <w:t>Even now, the divine Christ is the ruler of the kings of the earth (1:5).</w:t>
      </w:r>
    </w:p>
    <w:p w14:paraId="4D715AD1">
      <w:pPr>
        <w:pStyle w:val="9"/>
        <w:spacing w:before="17" w:line="249" w:lineRule="auto"/>
        <w:ind w:right="98" w:firstLine="450"/>
        <w:rPr>
          <w:rFonts w:hint="eastAsia"/>
          <w:color w:val="231F20"/>
        </w:rPr>
      </w:pPr>
      <w:r>
        <w:rPr>
          <w:rFonts w:hint="eastAsia"/>
          <w:color w:val="231F20"/>
        </w:rPr>
        <w:t>即使是现在，神圣的基督也是地上君王的元首（1:5）。</w:t>
      </w:r>
    </w:p>
    <w:p w14:paraId="03637C98">
      <w:pPr>
        <w:pStyle w:val="9"/>
        <w:spacing w:before="17" w:line="249" w:lineRule="auto"/>
        <w:ind w:right="98" w:firstLine="450"/>
        <w:rPr>
          <w:rFonts w:hint="eastAsia"/>
          <w:color w:val="231F20"/>
        </w:rPr>
      </w:pPr>
    </w:p>
    <w:p w14:paraId="14B54274">
      <w:pPr>
        <w:pStyle w:val="9"/>
        <w:spacing w:before="17" w:line="249" w:lineRule="auto"/>
        <w:ind w:right="98" w:firstLine="450"/>
        <w:rPr>
          <w:rFonts w:hint="eastAsia"/>
          <w:color w:val="231F20"/>
        </w:rPr>
      </w:pPr>
      <w:r>
        <w:rPr>
          <w:rFonts w:hint="eastAsia"/>
          <w:color w:val="231F20"/>
        </w:rPr>
        <w:t>Even now the saints are a Kingdom of priests to his God and Father (1:6).</w:t>
      </w:r>
    </w:p>
    <w:p w14:paraId="15C4DDDA">
      <w:pPr>
        <w:pStyle w:val="9"/>
        <w:spacing w:before="17" w:line="249" w:lineRule="auto"/>
        <w:ind w:right="98" w:firstLine="450"/>
        <w:rPr>
          <w:rFonts w:hint="eastAsia"/>
          <w:color w:val="231F20"/>
        </w:rPr>
      </w:pPr>
      <w:r>
        <w:rPr>
          <w:rFonts w:hint="eastAsia"/>
          <w:color w:val="231F20"/>
        </w:rPr>
        <w:t>即使是现在，圣徒也已成为一个国度，作祂上帝和父的祭司（1:6）。</w:t>
      </w:r>
    </w:p>
    <w:p w14:paraId="1AF47A39">
      <w:pPr>
        <w:pStyle w:val="9"/>
        <w:spacing w:before="17" w:line="249" w:lineRule="auto"/>
        <w:ind w:right="98" w:firstLine="450"/>
        <w:rPr>
          <w:rFonts w:hint="eastAsia"/>
          <w:color w:val="231F20"/>
        </w:rPr>
      </w:pPr>
    </w:p>
    <w:p w14:paraId="0A53D20D">
      <w:pPr>
        <w:pStyle w:val="9"/>
        <w:spacing w:before="17" w:line="249" w:lineRule="auto"/>
        <w:ind w:right="98" w:firstLine="450"/>
        <w:rPr>
          <w:rFonts w:hint="eastAsia"/>
          <w:color w:val="231F20"/>
        </w:rPr>
      </w:pPr>
      <w:r>
        <w:rPr>
          <w:rFonts w:hint="eastAsia"/>
          <w:color w:val="231F20"/>
        </w:rPr>
        <w:t>No, the Kingdom is not yet consummated.</w:t>
      </w:r>
    </w:p>
    <w:p w14:paraId="2A35E0DA">
      <w:pPr>
        <w:pStyle w:val="9"/>
        <w:spacing w:before="17" w:line="249" w:lineRule="auto"/>
        <w:ind w:right="98" w:firstLine="450"/>
        <w:rPr>
          <w:rFonts w:hint="eastAsia"/>
          <w:color w:val="231F20"/>
        </w:rPr>
      </w:pPr>
      <w:r>
        <w:rPr>
          <w:rFonts w:hint="eastAsia"/>
          <w:color w:val="231F20"/>
        </w:rPr>
        <w:t>不，这个国度尚未完全成全。</w:t>
      </w:r>
    </w:p>
    <w:p w14:paraId="5B057022">
      <w:pPr>
        <w:pStyle w:val="9"/>
        <w:spacing w:before="17" w:line="249" w:lineRule="auto"/>
        <w:ind w:right="98" w:firstLine="450"/>
        <w:rPr>
          <w:rFonts w:hint="eastAsia"/>
          <w:color w:val="231F20"/>
        </w:rPr>
      </w:pPr>
    </w:p>
    <w:p w14:paraId="3859DB8A">
      <w:pPr>
        <w:pStyle w:val="9"/>
        <w:spacing w:before="17" w:line="249" w:lineRule="auto"/>
        <w:ind w:right="98" w:firstLine="450"/>
        <w:rPr>
          <w:rFonts w:hint="eastAsia"/>
          <w:color w:val="231F20"/>
        </w:rPr>
      </w:pPr>
      <w:r>
        <w:rPr>
          <w:rFonts w:hint="eastAsia"/>
          <w:color w:val="231F20"/>
        </w:rPr>
        <w:t>For a season, believers must endure hardship.</w:t>
      </w:r>
    </w:p>
    <w:p w14:paraId="09D51E41">
      <w:pPr>
        <w:pStyle w:val="9"/>
        <w:spacing w:before="17" w:line="249" w:lineRule="auto"/>
        <w:ind w:right="98" w:firstLine="450"/>
        <w:rPr>
          <w:rFonts w:hint="eastAsia"/>
          <w:color w:val="231F20"/>
        </w:rPr>
      </w:pPr>
      <w:r>
        <w:rPr>
          <w:rFonts w:hint="eastAsia"/>
          <w:color w:val="231F20"/>
        </w:rPr>
        <w:t>在一个时期内，信徒必须忍受苦难。</w:t>
      </w:r>
    </w:p>
    <w:p w14:paraId="4C664FBC">
      <w:pPr>
        <w:pStyle w:val="9"/>
        <w:spacing w:before="17" w:line="249" w:lineRule="auto"/>
        <w:ind w:right="98" w:firstLine="450"/>
        <w:rPr>
          <w:rFonts w:hint="eastAsia"/>
          <w:color w:val="231F20"/>
        </w:rPr>
      </w:pPr>
    </w:p>
    <w:p w14:paraId="359D59CA">
      <w:pPr>
        <w:pStyle w:val="9"/>
        <w:spacing w:before="17" w:line="249" w:lineRule="auto"/>
        <w:ind w:right="98" w:firstLine="450"/>
        <w:rPr>
          <w:rFonts w:hint="eastAsia"/>
          <w:color w:val="231F20"/>
        </w:rPr>
      </w:pPr>
      <w:r>
        <w:rPr>
          <w:rFonts w:hint="eastAsia"/>
          <w:color w:val="231F20"/>
        </w:rPr>
        <w:t>Like the Lord they serve, they must be faithful witnesses (1:5).</w:t>
      </w:r>
    </w:p>
    <w:p w14:paraId="249DC9BE">
      <w:pPr>
        <w:pStyle w:val="9"/>
        <w:spacing w:before="17" w:line="249" w:lineRule="auto"/>
        <w:ind w:right="98" w:firstLine="450"/>
        <w:rPr>
          <w:rFonts w:hint="eastAsia"/>
          <w:color w:val="231F20"/>
        </w:rPr>
      </w:pPr>
      <w:r>
        <w:rPr>
          <w:rFonts w:hint="eastAsia"/>
          <w:color w:val="231F20"/>
        </w:rPr>
        <w:t>像他们所事奉的主一样，他们必须作忠心的见证人（1:5）。</w:t>
      </w:r>
    </w:p>
    <w:p w14:paraId="7E6E1BB4">
      <w:pPr>
        <w:pStyle w:val="9"/>
        <w:spacing w:before="17" w:line="249" w:lineRule="auto"/>
        <w:ind w:right="98" w:firstLine="450"/>
        <w:rPr>
          <w:rFonts w:hint="eastAsia"/>
          <w:color w:val="231F20"/>
        </w:rPr>
      </w:pPr>
    </w:p>
    <w:p w14:paraId="621C21D8">
      <w:pPr>
        <w:pStyle w:val="9"/>
        <w:spacing w:before="17" w:line="249" w:lineRule="auto"/>
        <w:ind w:right="98" w:firstLine="450"/>
        <w:rPr>
          <w:rFonts w:hint="eastAsia"/>
          <w:color w:val="231F20"/>
        </w:rPr>
      </w:pPr>
      <w:r>
        <w:rPr>
          <w:rFonts w:hint="eastAsia"/>
          <w:color w:val="231F20"/>
        </w:rPr>
        <w:t>Soon, however, there will be a Consummation (1:1, 3, 8).</w:t>
      </w:r>
    </w:p>
    <w:p w14:paraId="4E6C60F2">
      <w:pPr>
        <w:pStyle w:val="9"/>
        <w:spacing w:before="17" w:line="249" w:lineRule="auto"/>
        <w:ind w:right="98" w:firstLine="450"/>
        <w:rPr>
          <w:rFonts w:hint="eastAsia"/>
          <w:color w:val="231F20"/>
        </w:rPr>
      </w:pPr>
      <w:r>
        <w:rPr>
          <w:rFonts w:hint="eastAsia"/>
          <w:color w:val="231F20"/>
        </w:rPr>
        <w:t>然而，不久将有最终的成全（1:1, 3, 8）。</w:t>
      </w:r>
    </w:p>
    <w:p w14:paraId="509B7497">
      <w:pPr>
        <w:pStyle w:val="9"/>
        <w:spacing w:before="17" w:line="249" w:lineRule="auto"/>
        <w:ind w:right="98" w:firstLine="450"/>
        <w:rPr>
          <w:rFonts w:hint="eastAsia"/>
          <w:color w:val="231F20"/>
        </w:rPr>
      </w:pPr>
    </w:p>
    <w:p w14:paraId="2B7A5A02">
      <w:pPr>
        <w:pStyle w:val="9"/>
        <w:spacing w:before="17" w:line="249" w:lineRule="auto"/>
        <w:ind w:right="98" w:firstLine="450"/>
        <w:rPr>
          <w:rFonts w:hint="eastAsia"/>
          <w:color w:val="231F20"/>
        </w:rPr>
      </w:pPr>
      <w:r>
        <w:rPr>
          <w:rFonts w:hint="eastAsia"/>
          <w:color w:val="231F20"/>
        </w:rPr>
        <w:t>Christ will come again (1:8).</w:t>
      </w:r>
    </w:p>
    <w:p w14:paraId="2578FF5A">
      <w:pPr>
        <w:pStyle w:val="9"/>
        <w:spacing w:before="17" w:line="249" w:lineRule="auto"/>
        <w:ind w:right="98" w:firstLine="450"/>
        <w:rPr>
          <w:rFonts w:hint="eastAsia"/>
          <w:color w:val="231F20"/>
        </w:rPr>
      </w:pPr>
      <w:r>
        <w:rPr>
          <w:rFonts w:hint="eastAsia"/>
          <w:color w:val="231F20"/>
        </w:rPr>
        <w:t>基督将要再来（1:8）。</w:t>
      </w:r>
    </w:p>
    <w:p w14:paraId="48D7B3B4">
      <w:pPr>
        <w:pStyle w:val="9"/>
        <w:spacing w:before="17" w:line="249" w:lineRule="auto"/>
        <w:ind w:right="98" w:firstLine="450"/>
        <w:rPr>
          <w:rFonts w:hint="eastAsia"/>
          <w:color w:val="231F20"/>
        </w:rPr>
      </w:pPr>
    </w:p>
    <w:p w14:paraId="4DB9B63D">
      <w:pPr>
        <w:pStyle w:val="9"/>
        <w:spacing w:before="17" w:line="249" w:lineRule="auto"/>
        <w:ind w:right="98" w:firstLine="450"/>
        <w:rPr>
          <w:rFonts w:hint="eastAsia"/>
          <w:color w:val="231F20"/>
        </w:rPr>
      </w:pPr>
      <w:r>
        <w:rPr>
          <w:rFonts w:hint="eastAsia"/>
          <w:color w:val="231F20"/>
        </w:rPr>
        <w:t>When he does, every eye will see him, saint and sinner alike (1:7).</w:t>
      </w:r>
    </w:p>
    <w:p w14:paraId="236F3282">
      <w:pPr>
        <w:pStyle w:val="9"/>
        <w:spacing w:before="17" w:line="249" w:lineRule="auto"/>
        <w:ind w:right="98" w:firstLine="450"/>
        <w:rPr>
          <w:rFonts w:hint="eastAsia"/>
          <w:color w:val="231F20"/>
        </w:rPr>
      </w:pPr>
      <w:r>
        <w:rPr>
          <w:rFonts w:hint="eastAsia"/>
          <w:color w:val="231F20"/>
        </w:rPr>
        <w:t>当祂来的时候，万目都要看见祂，无论是圣徒还是罪人（1:7）。</w:t>
      </w:r>
    </w:p>
    <w:p w14:paraId="284D6B3B">
      <w:pPr>
        <w:pStyle w:val="9"/>
        <w:spacing w:before="17" w:line="249" w:lineRule="auto"/>
        <w:ind w:right="98" w:firstLine="450"/>
        <w:rPr>
          <w:rFonts w:hint="eastAsia"/>
          <w:color w:val="231F20"/>
        </w:rPr>
      </w:pPr>
    </w:p>
    <w:p w14:paraId="14170451">
      <w:pPr>
        <w:pStyle w:val="9"/>
        <w:spacing w:before="17" w:line="249" w:lineRule="auto"/>
        <w:ind w:right="98" w:firstLine="450"/>
        <w:rPr>
          <w:rFonts w:hint="eastAsia"/>
          <w:color w:val="231F20"/>
        </w:rPr>
      </w:pPr>
      <w:r>
        <w:rPr>
          <w:rFonts w:hint="eastAsia"/>
          <w:color w:val="231F20"/>
        </w:rPr>
        <w:t>When he does, all the tribes of the earth (i.e., the unbelieving persecutors of the Church) will wail, for he will come in final Judgment (8:13, 11:10, 12:12, 13:8, 17:2, 8).</w:t>
      </w:r>
    </w:p>
    <w:p w14:paraId="0A00A948">
      <w:pPr>
        <w:pStyle w:val="9"/>
        <w:spacing w:before="17" w:line="249" w:lineRule="auto"/>
        <w:ind w:right="98" w:firstLine="450"/>
        <w:rPr>
          <w:rFonts w:hint="eastAsia"/>
          <w:color w:val="231F20"/>
        </w:rPr>
      </w:pPr>
      <w:r>
        <w:rPr>
          <w:rFonts w:hint="eastAsia"/>
          <w:color w:val="231F20"/>
        </w:rPr>
        <w:t>当祂来的时候，地上的万族（即不信的、迫害教会的人）都要哀哭，因为祂将要来施行最后的审判（8:13, 11:10, 12:12, 13:8, 17:2, 8）。</w:t>
      </w:r>
    </w:p>
    <w:p w14:paraId="10C0BEA7">
      <w:pPr>
        <w:pStyle w:val="9"/>
        <w:spacing w:before="17" w:line="249" w:lineRule="auto"/>
        <w:ind w:right="98" w:firstLine="450"/>
        <w:rPr>
          <w:rFonts w:hint="eastAsia"/>
          <w:color w:val="231F20"/>
        </w:rPr>
      </w:pPr>
    </w:p>
    <w:p w14:paraId="65947FC6">
      <w:pPr>
        <w:pStyle w:val="9"/>
        <w:spacing w:before="17" w:line="249" w:lineRule="auto"/>
        <w:ind w:right="98" w:firstLine="450"/>
        <w:rPr>
          <w:rFonts w:hint="eastAsia"/>
          <w:color w:val="231F20"/>
        </w:rPr>
      </w:pPr>
      <w:r>
        <w:rPr>
          <w:rFonts w:hint="eastAsia"/>
          <w:color w:val="231F20"/>
        </w:rPr>
        <w:t>And when he does, he will bring in the fullness of the Kingdom, since he who comes is not only the divine Creator (the Alpha), but also the divine Consummator (the Omega) (1:8).</w:t>
      </w:r>
    </w:p>
    <w:p w14:paraId="25A0CCE5">
      <w:pPr>
        <w:pStyle w:val="9"/>
        <w:spacing w:before="17" w:line="249" w:lineRule="auto"/>
        <w:ind w:right="98" w:firstLine="450"/>
        <w:rPr>
          <w:rFonts w:hint="eastAsia"/>
          <w:color w:val="231F20"/>
        </w:rPr>
      </w:pPr>
      <w:r>
        <w:rPr>
          <w:rFonts w:hint="eastAsia"/>
          <w:color w:val="231F20"/>
        </w:rPr>
        <w:t>当祂来的时候，祂将带来国度的丰满，因为那要来的不仅是神圣的创造主（阿拉法），也是神圣的成全者（俄梅戛）（1:8）。</w:t>
      </w:r>
    </w:p>
    <w:p w14:paraId="6A117709">
      <w:pPr>
        <w:pStyle w:val="9"/>
        <w:spacing w:before="17" w:line="249" w:lineRule="auto"/>
        <w:ind w:right="98" w:firstLine="450"/>
        <w:rPr>
          <w:rFonts w:hint="eastAsia"/>
          <w:color w:val="231F20"/>
        </w:rPr>
      </w:pPr>
    </w:p>
    <w:p w14:paraId="2B3DE265">
      <w:pPr>
        <w:pStyle w:val="9"/>
        <w:spacing w:before="17" w:line="249" w:lineRule="auto"/>
        <w:ind w:right="98" w:firstLine="450"/>
        <w:rPr>
          <w:rFonts w:hint="eastAsia"/>
          <w:color w:val="231F20"/>
        </w:rPr>
      </w:pPr>
      <w:r>
        <w:rPr>
          <w:rFonts w:hint="eastAsia"/>
          <w:color w:val="231F20"/>
        </w:rPr>
        <w:t>So then, even here in his greeting (1:4-8) John affirms the simple, twofold structure of the Kingdom taught in the Didactic NT: the temporary Kingdom of the Son, followed by the eternal Kingdom of the Father (and the Son), separated by a single Consummation set to occur at the Parousia.</w:t>
      </w:r>
    </w:p>
    <w:p w14:paraId="2CE73776">
      <w:pPr>
        <w:pStyle w:val="9"/>
        <w:spacing w:before="17" w:line="249" w:lineRule="auto"/>
        <w:ind w:right="98" w:firstLine="450"/>
        <w:rPr>
          <w:rFonts w:hint="eastAsia"/>
          <w:color w:val="231F20"/>
        </w:rPr>
      </w:pPr>
      <w:r>
        <w:rPr>
          <w:rFonts w:hint="eastAsia"/>
          <w:color w:val="231F20"/>
        </w:rPr>
        <w:t>所以，即使在约翰的问安中（1:4-8），他也确认了教导性新约中所教导的国度的简单双重结构：暂时的圣子国度，其后是永恒的圣父（和圣子）国度，二者由将在主临（Parousia）时发生的单一的最终成全所分隔。</w:t>
      </w:r>
    </w:p>
    <w:p w14:paraId="7085503C">
      <w:pPr>
        <w:pStyle w:val="9"/>
        <w:spacing w:before="17" w:line="249" w:lineRule="auto"/>
        <w:ind w:right="98" w:firstLine="450"/>
        <w:rPr>
          <w:rFonts w:hint="eastAsia"/>
          <w:color w:val="231F20"/>
        </w:rPr>
      </w:pPr>
    </w:p>
    <w:p w14:paraId="5BDDF075">
      <w:pPr>
        <w:pStyle w:val="9"/>
        <w:spacing w:before="17" w:line="249" w:lineRule="auto"/>
        <w:ind w:right="98" w:firstLine="450"/>
        <w:rPr>
          <w:rFonts w:hint="eastAsia"/>
          <w:color w:val="231F20"/>
        </w:rPr>
      </w:pPr>
      <w:r>
        <w:rPr>
          <w:rFonts w:hint="eastAsia"/>
          <w:color w:val="231F20"/>
        </w:rPr>
        <w:t>Next comes John’s account of his vision of the High King (1:9-20).</w:t>
      </w:r>
    </w:p>
    <w:p w14:paraId="6D5CEE51">
      <w:pPr>
        <w:pStyle w:val="9"/>
        <w:spacing w:before="17" w:line="249" w:lineRule="auto"/>
        <w:ind w:right="98" w:firstLine="450"/>
        <w:rPr>
          <w:rFonts w:hint="eastAsia"/>
          <w:color w:val="231F20"/>
        </w:rPr>
      </w:pPr>
      <w:r>
        <w:rPr>
          <w:rFonts w:hint="eastAsia"/>
          <w:color w:val="231F20"/>
        </w:rPr>
        <w:t>接下来是约翰对他所见的至高君王异象的记述（1:9-20）。</w:t>
      </w:r>
    </w:p>
    <w:p w14:paraId="27830C79">
      <w:pPr>
        <w:pStyle w:val="9"/>
        <w:spacing w:before="17" w:line="249" w:lineRule="auto"/>
        <w:ind w:right="98" w:firstLine="450"/>
        <w:rPr>
          <w:rFonts w:hint="eastAsia"/>
          <w:color w:val="231F20"/>
        </w:rPr>
      </w:pPr>
    </w:p>
    <w:p w14:paraId="44D2A6CE">
      <w:pPr>
        <w:pStyle w:val="9"/>
        <w:spacing w:before="17" w:line="249" w:lineRule="auto"/>
        <w:ind w:right="98" w:firstLine="450"/>
        <w:rPr>
          <w:rFonts w:hint="eastAsia"/>
          <w:color w:val="231F20"/>
        </w:rPr>
      </w:pPr>
      <w:r>
        <w:rPr>
          <w:rFonts w:hint="eastAsia"/>
          <w:color w:val="231F20"/>
        </w:rPr>
        <w:t>It is readily divided into three parts.</w:t>
      </w:r>
    </w:p>
    <w:p w14:paraId="698F2364">
      <w:pPr>
        <w:pStyle w:val="9"/>
        <w:spacing w:before="17" w:line="249" w:lineRule="auto"/>
        <w:ind w:right="98" w:firstLine="450"/>
        <w:rPr>
          <w:rFonts w:hint="eastAsia"/>
          <w:color w:val="231F20"/>
        </w:rPr>
      </w:pPr>
      <w:r>
        <w:rPr>
          <w:rFonts w:hint="eastAsia"/>
          <w:color w:val="231F20"/>
        </w:rPr>
        <w:t>它很容易被分为三个部分。</w:t>
      </w:r>
    </w:p>
    <w:p w14:paraId="3C84941A">
      <w:pPr>
        <w:pStyle w:val="9"/>
        <w:spacing w:before="17" w:line="249" w:lineRule="auto"/>
        <w:ind w:right="98" w:firstLine="450"/>
        <w:rPr>
          <w:rFonts w:hint="eastAsia"/>
          <w:color w:val="231F20"/>
        </w:rPr>
      </w:pPr>
    </w:p>
    <w:p w14:paraId="38969C46">
      <w:pPr>
        <w:pStyle w:val="9"/>
        <w:spacing w:before="17" w:line="249" w:lineRule="auto"/>
        <w:ind w:right="98" w:firstLine="450"/>
        <w:rPr>
          <w:rFonts w:hint="eastAsia"/>
          <w:color w:val="231F20"/>
        </w:rPr>
      </w:pPr>
      <w:r>
        <w:rPr>
          <w:rFonts w:hint="eastAsia"/>
          <w:color w:val="231F20"/>
        </w:rPr>
        <w:t>In the first, he tells us where he was and what he was doing when the vision came to him (1:9-11).</w:t>
      </w:r>
    </w:p>
    <w:p w14:paraId="6038C4BD">
      <w:pPr>
        <w:pStyle w:val="9"/>
        <w:spacing w:before="17" w:line="249" w:lineRule="auto"/>
        <w:ind w:right="98" w:firstLine="450"/>
        <w:rPr>
          <w:rFonts w:hint="eastAsia"/>
          <w:color w:val="231F20"/>
        </w:rPr>
      </w:pPr>
      <w:r>
        <w:rPr>
          <w:rFonts w:hint="eastAsia"/>
          <w:color w:val="231F20"/>
        </w:rPr>
        <w:t>在第一部分，他告诉我们当异象临到他时，他在哪里，正在做什么（1:9-11）。</w:t>
      </w:r>
    </w:p>
    <w:p w14:paraId="7A8E19CC">
      <w:pPr>
        <w:pStyle w:val="9"/>
        <w:spacing w:before="17" w:line="249" w:lineRule="auto"/>
        <w:ind w:right="98" w:firstLine="450"/>
        <w:rPr>
          <w:rFonts w:hint="eastAsia"/>
          <w:color w:val="231F20"/>
        </w:rPr>
      </w:pPr>
    </w:p>
    <w:p w14:paraId="7F49BF35">
      <w:pPr>
        <w:pStyle w:val="9"/>
        <w:spacing w:before="17" w:line="249" w:lineRule="auto"/>
        <w:ind w:right="98" w:firstLine="450"/>
        <w:rPr>
          <w:rFonts w:hint="eastAsia"/>
          <w:color w:val="231F20"/>
        </w:rPr>
      </w:pPr>
      <w:r>
        <w:rPr>
          <w:rFonts w:hint="eastAsia"/>
          <w:color w:val="231F20"/>
        </w:rPr>
        <w:t>In the second, he tells us what he saw: One like a Son of Man—radiant with divine glory, dressed in priestly attire—standing in the midst of seven golden lampstands, with seven stars in his right hand, and with a sharp, two-edged sword coming from his mouth (1:12-16).</w:t>
      </w:r>
    </w:p>
    <w:p w14:paraId="58EDA9F2">
      <w:pPr>
        <w:pStyle w:val="9"/>
        <w:spacing w:before="17" w:line="249" w:lineRule="auto"/>
        <w:ind w:right="98" w:firstLine="450"/>
        <w:rPr>
          <w:rFonts w:hint="eastAsia"/>
          <w:color w:val="231F20"/>
        </w:rPr>
      </w:pPr>
      <w:r>
        <w:rPr>
          <w:rFonts w:hint="eastAsia"/>
          <w:color w:val="231F20"/>
        </w:rPr>
        <w:t>在第二部分，他告诉我们他看到了什么：一位像人子的——散发着神圣的荣耀，身穿祭司的服装——站在七个金灯台中间，右手拿着七颗星，口中出来一把两刃的利剑（1:12-16）。</w:t>
      </w:r>
    </w:p>
    <w:p w14:paraId="72745BC4">
      <w:pPr>
        <w:pStyle w:val="9"/>
        <w:spacing w:before="17" w:line="249" w:lineRule="auto"/>
        <w:ind w:right="98" w:firstLine="450"/>
        <w:rPr>
          <w:rFonts w:hint="eastAsia"/>
          <w:color w:val="231F20"/>
        </w:rPr>
      </w:pPr>
    </w:p>
    <w:p w14:paraId="2B9ABA00">
      <w:pPr>
        <w:pStyle w:val="9"/>
        <w:spacing w:before="17" w:line="249" w:lineRule="auto"/>
        <w:ind w:right="98" w:firstLine="450"/>
        <w:rPr>
          <w:rFonts w:hint="eastAsia"/>
          <w:color w:val="231F20"/>
        </w:rPr>
      </w:pPr>
      <w:r>
        <w:rPr>
          <w:rFonts w:hint="eastAsia"/>
          <w:color w:val="231F20"/>
        </w:rPr>
        <w:t>In the third, we read of John’s reaction (1:17), and of the meaning of the vision: The seven stars are the seven messengers of the seven churches in Asia (presumably sent to confer with the aged apostle); and the seven lampstands are the seven churches (1:18- 20).</w:t>
      </w:r>
    </w:p>
    <w:p w14:paraId="0128276A">
      <w:pPr>
        <w:pStyle w:val="9"/>
        <w:spacing w:before="17" w:line="249" w:lineRule="auto"/>
        <w:ind w:right="98" w:firstLine="450"/>
        <w:rPr>
          <w:rFonts w:hint="eastAsia"/>
          <w:color w:val="231F20"/>
        </w:rPr>
      </w:pPr>
      <w:r>
        <w:rPr>
          <w:rFonts w:hint="eastAsia"/>
          <w:color w:val="231F20"/>
        </w:rPr>
        <w:t>在第三部分，我们读到约翰的反应（1:17），以及异象的含义：七星是亚细亚七个教会的七个使者（大概是派来与年迈的使徒商议的）；七个灯台就是七个教会（1:18-20）。</w:t>
      </w:r>
    </w:p>
    <w:p w14:paraId="0FA2A878">
      <w:pPr>
        <w:pStyle w:val="9"/>
        <w:spacing w:before="17" w:line="249" w:lineRule="auto"/>
        <w:ind w:right="98" w:firstLine="450"/>
        <w:rPr>
          <w:rFonts w:hint="eastAsia"/>
          <w:color w:val="231F20"/>
        </w:rPr>
      </w:pPr>
    </w:p>
    <w:p w14:paraId="32067BCE">
      <w:pPr>
        <w:pStyle w:val="9"/>
        <w:spacing w:before="17" w:line="249" w:lineRule="auto"/>
        <w:ind w:right="98" w:firstLine="450"/>
        <w:rPr>
          <w:rFonts w:hint="eastAsia"/>
          <w:color w:val="231F20"/>
        </w:rPr>
      </w:pPr>
      <w:r>
        <w:rPr>
          <w:rFonts w:hint="eastAsia"/>
          <w:color w:val="231F20"/>
        </w:rPr>
        <w:t>Very importantly, here we get our first glimpse of the High King—and the High Priest—of Heaven.</w:t>
      </w:r>
    </w:p>
    <w:p w14:paraId="39E94554">
      <w:pPr>
        <w:pStyle w:val="9"/>
        <w:spacing w:before="17" w:line="249" w:lineRule="auto"/>
        <w:ind w:right="98" w:firstLine="450"/>
        <w:rPr>
          <w:rFonts w:hint="eastAsia"/>
          <w:color w:val="231F20"/>
        </w:rPr>
      </w:pPr>
      <w:r>
        <w:rPr>
          <w:rFonts w:hint="eastAsia"/>
          <w:color w:val="231F20"/>
        </w:rPr>
        <w:t>非常重要的是，在这里我们第一次瞥见了天上的至高君王——和至高祭司。</w:t>
      </w:r>
    </w:p>
    <w:p w14:paraId="5C0FDFB9">
      <w:pPr>
        <w:pStyle w:val="9"/>
        <w:spacing w:before="17" w:line="249" w:lineRule="auto"/>
        <w:ind w:right="98" w:firstLine="450"/>
        <w:rPr>
          <w:rFonts w:hint="eastAsia"/>
          <w:color w:val="231F20"/>
        </w:rPr>
      </w:pPr>
    </w:p>
    <w:p w14:paraId="1F300340">
      <w:pPr>
        <w:pStyle w:val="9"/>
        <w:spacing w:before="17" w:line="249" w:lineRule="auto"/>
        <w:ind w:right="98" w:firstLine="450"/>
        <w:rPr>
          <w:rFonts w:hint="eastAsia"/>
          <w:color w:val="231F20"/>
        </w:rPr>
      </w:pPr>
      <w:r>
        <w:rPr>
          <w:rFonts w:hint="eastAsia"/>
          <w:color w:val="231F20"/>
        </w:rPr>
        <w:t>As I argued earlier, the seven churches of Asia stand for the universal Church of all times and places.</w:t>
      </w:r>
    </w:p>
    <w:p w14:paraId="3AA484F0">
      <w:pPr>
        <w:pStyle w:val="9"/>
        <w:spacing w:before="17" w:line="249" w:lineRule="auto"/>
        <w:ind w:right="98" w:firstLine="450"/>
        <w:rPr>
          <w:rFonts w:hint="eastAsia"/>
          <w:color w:val="231F20"/>
        </w:rPr>
      </w:pPr>
      <w:r>
        <w:rPr>
          <w:rFonts w:hint="eastAsia"/>
          <w:color w:val="231F20"/>
        </w:rPr>
        <w:t>正如我之前所论证的，亚细亚的七个教会代表所有时代和地方的普世教会。</w:t>
      </w:r>
    </w:p>
    <w:p w14:paraId="25C93AEE">
      <w:pPr>
        <w:pStyle w:val="9"/>
        <w:spacing w:before="17" w:line="249" w:lineRule="auto"/>
        <w:ind w:right="98" w:firstLine="450"/>
        <w:rPr>
          <w:rFonts w:hint="eastAsia"/>
          <w:color w:val="231F20"/>
        </w:rPr>
      </w:pPr>
    </w:p>
    <w:p w14:paraId="68378591">
      <w:pPr>
        <w:pStyle w:val="9"/>
        <w:spacing w:before="17" w:line="249" w:lineRule="auto"/>
        <w:ind w:right="98" w:firstLine="450"/>
        <w:rPr>
          <w:rFonts w:hint="eastAsia"/>
          <w:color w:val="231F20"/>
        </w:rPr>
      </w:pPr>
      <w:r>
        <w:rPr>
          <w:rFonts w:hint="eastAsia"/>
          <w:color w:val="231F20"/>
        </w:rPr>
        <w:t>Therefore, the vision is telling us that even now Christ rules from heaven as High King over all his people, and in heaven as High Priest interceding for his people—this One who in the days of his flesh died in their behalf, but who now lives forevermore, holding in his hand the redemptive keys that have released them from Death and Hades (1:18, 20).</w:t>
      </w:r>
    </w:p>
    <w:p w14:paraId="1C5AB33E">
      <w:pPr>
        <w:pStyle w:val="9"/>
        <w:spacing w:before="17" w:line="249" w:lineRule="auto"/>
        <w:ind w:right="98" w:firstLine="450"/>
        <w:rPr>
          <w:rFonts w:hint="eastAsia"/>
          <w:color w:val="231F20"/>
        </w:rPr>
      </w:pPr>
      <w:r>
        <w:rPr>
          <w:rFonts w:hint="eastAsia"/>
          <w:color w:val="231F20"/>
        </w:rPr>
        <w:t>因此，这个异象告诉我们，即使是现在，基督仍在天上作为至高君王统治祂所有的子民，并在天上作为至高祭司为祂的子民代求——这位在祂肉身的日子里为他们而死，但如今活到永永远远，手里拿着救赎的钥匙，已将他们从死亡和阴间释放出来（1:18, 20）。</w:t>
      </w:r>
    </w:p>
    <w:p w14:paraId="0CDC8EBF">
      <w:pPr>
        <w:pStyle w:val="9"/>
        <w:spacing w:before="17" w:line="249" w:lineRule="auto"/>
        <w:ind w:right="98" w:firstLine="450"/>
        <w:rPr>
          <w:rFonts w:hint="eastAsia"/>
          <w:color w:val="231F20"/>
        </w:rPr>
      </w:pPr>
    </w:p>
    <w:p w14:paraId="0233D0BA">
      <w:pPr>
        <w:pStyle w:val="9"/>
        <w:spacing w:before="17" w:line="249" w:lineRule="auto"/>
        <w:ind w:right="98" w:firstLine="450"/>
        <w:rPr>
          <w:rFonts w:hint="eastAsia"/>
          <w:color w:val="231F20"/>
        </w:rPr>
      </w:pPr>
      <w:r>
        <w:rPr>
          <w:rFonts w:hint="eastAsia"/>
          <w:color w:val="231F20"/>
        </w:rPr>
        <w:t>So then, here we have our first encounter with the central character of the Revelation: the High King and High Priest of Heaven, the One whom the Spirit will faithfully celebrate in all that is about to come.3</w:t>
      </w:r>
    </w:p>
    <w:p w14:paraId="592AF57F">
      <w:pPr>
        <w:pStyle w:val="9"/>
        <w:spacing w:before="17" w:line="249" w:lineRule="auto"/>
        <w:ind w:right="98" w:firstLine="450"/>
        <w:rPr>
          <w:rFonts w:hint="eastAsia"/>
          <w:color w:val="231F20"/>
        </w:rPr>
      </w:pPr>
      <w:r>
        <w:rPr>
          <w:rFonts w:hint="eastAsia"/>
          <w:color w:val="231F20"/>
        </w:rPr>
        <w:t>所以，在这里我们第一次遇到了《启示录》的中心人物：天上的至高君王和至高祭司，圣灵将在接下来的一切事中忠实地颂扬祂。3</w:t>
      </w:r>
    </w:p>
    <w:p w14:paraId="0B55AB53">
      <w:pPr>
        <w:pStyle w:val="9"/>
        <w:spacing w:before="17" w:line="249" w:lineRule="auto"/>
        <w:ind w:right="98" w:firstLine="450"/>
        <w:rPr>
          <w:rFonts w:hint="eastAsia"/>
          <w:color w:val="231F20"/>
        </w:rPr>
      </w:pPr>
    </w:p>
    <w:p w14:paraId="1D1730B4">
      <w:pPr>
        <w:pStyle w:val="9"/>
        <w:spacing w:before="17" w:line="249" w:lineRule="auto"/>
        <w:ind w:right="98" w:firstLine="450"/>
        <w:rPr>
          <w:rFonts w:hint="eastAsia"/>
          <w:color w:val="231F20"/>
        </w:rPr>
      </w:pPr>
      <w:r>
        <w:rPr>
          <w:rFonts w:hint="eastAsia"/>
          <w:color w:val="231F20"/>
        </w:rPr>
        <w:t>The High King’s Messages to the Seven Churches (2:1-3:22)</w:t>
      </w:r>
    </w:p>
    <w:p w14:paraId="0749CD61">
      <w:pPr>
        <w:pStyle w:val="9"/>
        <w:spacing w:before="17" w:line="249" w:lineRule="auto"/>
        <w:ind w:right="98" w:firstLine="450"/>
        <w:rPr>
          <w:rFonts w:hint="eastAsia"/>
          <w:color w:val="231F20"/>
        </w:rPr>
      </w:pPr>
      <w:r>
        <w:rPr>
          <w:rFonts w:hint="eastAsia"/>
          <w:color w:val="231F20"/>
        </w:rPr>
        <w:t>至高君王给七个教会的信息 (2:1-3:22)</w:t>
      </w:r>
    </w:p>
    <w:p w14:paraId="34CEC98B">
      <w:pPr>
        <w:pStyle w:val="9"/>
        <w:spacing w:before="17" w:line="249" w:lineRule="auto"/>
        <w:ind w:right="98" w:firstLine="450"/>
        <w:rPr>
          <w:rFonts w:hint="eastAsia"/>
          <w:color w:val="231F20"/>
        </w:rPr>
      </w:pPr>
    </w:p>
    <w:p w14:paraId="59EE6092">
      <w:pPr>
        <w:pStyle w:val="9"/>
        <w:spacing w:before="17" w:line="249" w:lineRule="auto"/>
        <w:ind w:right="98" w:firstLine="450"/>
        <w:rPr>
          <w:rFonts w:hint="eastAsia"/>
          <w:color w:val="231F20"/>
        </w:rPr>
      </w:pPr>
      <w:r>
        <w:rPr>
          <w:rFonts w:hint="eastAsia"/>
          <w:color w:val="231F20"/>
        </w:rPr>
        <w:t>The second bloc of the Revelation consists of the High King’s seven messages to the seven churches in Asia.</w:t>
      </w:r>
    </w:p>
    <w:p w14:paraId="6786C048">
      <w:pPr>
        <w:pStyle w:val="9"/>
        <w:spacing w:before="17" w:line="249" w:lineRule="auto"/>
        <w:ind w:right="98" w:firstLine="450"/>
        <w:rPr>
          <w:rFonts w:hint="eastAsia"/>
          <w:color w:val="231F20"/>
        </w:rPr>
      </w:pPr>
      <w:r>
        <w:rPr>
          <w:rFonts w:hint="eastAsia"/>
          <w:color w:val="231F20"/>
        </w:rPr>
        <w:t>《启示录》的第二个区块包含了至高君王给亚细亚七个教会的七条信息。</w:t>
      </w:r>
    </w:p>
    <w:p w14:paraId="5DEE3BA5">
      <w:pPr>
        <w:pStyle w:val="9"/>
        <w:spacing w:before="17" w:line="249" w:lineRule="auto"/>
        <w:ind w:right="98" w:firstLine="450"/>
        <w:rPr>
          <w:rFonts w:hint="eastAsia"/>
          <w:color w:val="231F20"/>
        </w:rPr>
      </w:pPr>
    </w:p>
    <w:p w14:paraId="59D9FE48">
      <w:pPr>
        <w:pStyle w:val="9"/>
        <w:spacing w:before="17" w:line="249" w:lineRule="auto"/>
        <w:ind w:right="98" w:firstLine="450"/>
        <w:rPr>
          <w:rFonts w:hint="eastAsia"/>
          <w:color w:val="231F20"/>
        </w:rPr>
      </w:pPr>
      <w:r>
        <w:rPr>
          <w:rFonts w:hint="eastAsia"/>
          <w:color w:val="231F20"/>
        </w:rPr>
        <w:t>Here, with special force, we meet the High King as High Prophet; as the One who teaches, exhorts, and comforts not only these particular seven churches, but also the Universal Church that they represent.</w:t>
      </w:r>
    </w:p>
    <w:p w14:paraId="359FB212">
      <w:pPr>
        <w:pStyle w:val="9"/>
        <w:spacing w:before="17" w:line="249" w:lineRule="auto"/>
        <w:ind w:right="98" w:firstLine="450"/>
        <w:rPr>
          <w:rFonts w:hint="eastAsia"/>
          <w:color w:val="231F20"/>
        </w:rPr>
      </w:pPr>
      <w:r>
        <w:rPr>
          <w:rFonts w:hint="eastAsia"/>
          <w:color w:val="231F20"/>
        </w:rPr>
        <w:t>在这里，我们以一种特别有力的方式，遇见了作为至高先知的至高君王；祂不仅教导、劝勉和安慰这七个特定的教会，也教导、劝勉和安慰它们所代表的普世教会。</w:t>
      </w:r>
    </w:p>
    <w:p w14:paraId="48F29E96">
      <w:pPr>
        <w:pStyle w:val="9"/>
        <w:spacing w:before="17" w:line="249" w:lineRule="auto"/>
        <w:ind w:right="98" w:firstLine="450"/>
        <w:rPr>
          <w:rFonts w:hint="eastAsia"/>
          <w:color w:val="231F20"/>
        </w:rPr>
      </w:pPr>
    </w:p>
    <w:p w14:paraId="2C616972">
      <w:pPr>
        <w:pStyle w:val="9"/>
        <w:spacing w:before="17" w:line="249" w:lineRule="auto"/>
        <w:ind w:right="98" w:firstLine="450"/>
        <w:rPr>
          <w:rFonts w:hint="eastAsia"/>
          <w:color w:val="231F20"/>
        </w:rPr>
      </w:pPr>
      <w:r>
        <w:rPr>
          <w:rFonts w:hint="eastAsia"/>
          <w:color w:val="231F20"/>
        </w:rPr>
        <w:t>This point bears repetition and emphasis.</w:t>
      </w:r>
    </w:p>
    <w:p w14:paraId="3C7E0B4D">
      <w:pPr>
        <w:pStyle w:val="9"/>
        <w:spacing w:before="17" w:line="249" w:lineRule="auto"/>
        <w:ind w:right="98" w:firstLine="450"/>
        <w:rPr>
          <w:rFonts w:hint="eastAsia"/>
          <w:color w:val="231F20"/>
        </w:rPr>
      </w:pPr>
      <w:r>
        <w:rPr>
          <w:rFonts w:hint="eastAsia"/>
          <w:color w:val="231F20"/>
        </w:rPr>
        <w:t>这一点值得重复和强调。</w:t>
      </w:r>
    </w:p>
    <w:p w14:paraId="594D62B3">
      <w:pPr>
        <w:pStyle w:val="9"/>
        <w:spacing w:before="17" w:line="249" w:lineRule="auto"/>
        <w:ind w:right="98" w:firstLine="450"/>
        <w:rPr>
          <w:rFonts w:hint="eastAsia"/>
          <w:color w:val="231F20"/>
        </w:rPr>
      </w:pPr>
    </w:p>
    <w:p w14:paraId="011D582B">
      <w:pPr>
        <w:pStyle w:val="9"/>
        <w:spacing w:before="17" w:line="249" w:lineRule="auto"/>
        <w:ind w:right="98" w:firstLine="450"/>
        <w:rPr>
          <w:rFonts w:hint="eastAsia"/>
          <w:color w:val="231F20"/>
        </w:rPr>
      </w:pPr>
      <w:r>
        <w:rPr>
          <w:rFonts w:hint="eastAsia"/>
          <w:color w:val="231F20"/>
        </w:rPr>
        <w:t>Dispensational interpreters—who theorize that chapters 6-20 do not speak of the Church or the Church Era, but rather of Israel and the nations during a future seven-year period of Tribulation following the Rapture— effectively make the bulk of the book a mere curiosity to Christians of the Church Era.</w:t>
      </w:r>
    </w:p>
    <w:p w14:paraId="5538C930">
      <w:pPr>
        <w:pStyle w:val="9"/>
        <w:spacing w:before="17" w:line="249" w:lineRule="auto"/>
        <w:ind w:right="98" w:firstLine="450"/>
        <w:rPr>
          <w:rFonts w:hint="eastAsia"/>
          <w:color w:val="231F20"/>
        </w:rPr>
      </w:pPr>
      <w:r>
        <w:rPr>
          <w:rFonts w:hint="eastAsia"/>
          <w:color w:val="231F20"/>
        </w:rPr>
        <w:t>时代论的解释者们——他们理论化地认为第6-20章不是讲教会或教会时代，而是讲在被提之后未来七年大灾难期间的以色列和列国——实际上把这本书的大部分内容变成了对教会时代的基督徒来说仅仅是件奇闻异事。</w:t>
      </w:r>
    </w:p>
    <w:p w14:paraId="06AEE2EE">
      <w:pPr>
        <w:pStyle w:val="9"/>
        <w:spacing w:before="17" w:line="249" w:lineRule="auto"/>
        <w:ind w:right="98" w:firstLine="450"/>
        <w:rPr>
          <w:rFonts w:hint="eastAsia"/>
          <w:color w:val="231F20"/>
        </w:rPr>
      </w:pPr>
    </w:p>
    <w:p w14:paraId="19D69863">
      <w:pPr>
        <w:pStyle w:val="9"/>
        <w:spacing w:before="17" w:line="249" w:lineRule="auto"/>
        <w:ind w:right="98" w:firstLine="450"/>
        <w:rPr>
          <w:rFonts w:hint="eastAsia"/>
          <w:color w:val="231F20"/>
        </w:rPr>
      </w:pPr>
      <w:r>
        <w:rPr>
          <w:rFonts w:hint="eastAsia"/>
          <w:color w:val="231F20"/>
        </w:rPr>
        <w:t>After all, since they will not be present on earth in those days, why worry too much about what these chapters say?</w:t>
      </w:r>
    </w:p>
    <w:p w14:paraId="59F2490E">
      <w:pPr>
        <w:pStyle w:val="9"/>
        <w:spacing w:before="17" w:line="249" w:lineRule="auto"/>
        <w:ind w:right="98" w:firstLine="450"/>
        <w:rPr>
          <w:rFonts w:hint="eastAsia"/>
          <w:color w:val="231F20"/>
        </w:rPr>
      </w:pPr>
      <w:r>
        <w:rPr>
          <w:rFonts w:hint="eastAsia"/>
          <w:color w:val="231F20"/>
        </w:rPr>
        <w:t>毕竟，既然他们在那些日子里不会在地上，又何必太在意这些章节说了什么呢？</w:t>
      </w:r>
    </w:p>
    <w:p w14:paraId="20E5E739">
      <w:pPr>
        <w:pStyle w:val="9"/>
        <w:spacing w:before="17" w:line="249" w:lineRule="auto"/>
        <w:ind w:right="98" w:firstLine="450"/>
        <w:rPr>
          <w:rFonts w:hint="eastAsia"/>
          <w:color w:val="231F20"/>
        </w:rPr>
      </w:pPr>
    </w:p>
    <w:p w14:paraId="09A8A1E5">
      <w:pPr>
        <w:pStyle w:val="9"/>
        <w:spacing w:before="17" w:line="249" w:lineRule="auto"/>
        <w:ind w:right="98" w:firstLine="450"/>
        <w:rPr>
          <w:rFonts w:hint="eastAsia"/>
          <w:color w:val="231F20"/>
        </w:rPr>
      </w:pPr>
      <w:r>
        <w:rPr>
          <w:rFonts w:hint="eastAsia"/>
          <w:color w:val="231F20"/>
        </w:rPr>
        <w:t>However, Revelation 2-3 is a rebuke to all such notions.</w:t>
      </w:r>
    </w:p>
    <w:p w14:paraId="34E0002F">
      <w:pPr>
        <w:pStyle w:val="9"/>
        <w:spacing w:before="17" w:line="249" w:lineRule="auto"/>
        <w:ind w:right="98" w:firstLine="450"/>
        <w:rPr>
          <w:rFonts w:hint="eastAsia"/>
          <w:color w:val="231F20"/>
        </w:rPr>
      </w:pPr>
      <w:r>
        <w:rPr>
          <w:rFonts w:hint="eastAsia"/>
          <w:color w:val="231F20"/>
        </w:rPr>
        <w:t>然而，《启示录》第2-3章是对所有这类观念的斥责。</w:t>
      </w:r>
    </w:p>
    <w:p w14:paraId="3946F402">
      <w:pPr>
        <w:pStyle w:val="9"/>
        <w:spacing w:before="17" w:line="249" w:lineRule="auto"/>
        <w:ind w:right="98" w:firstLine="450"/>
        <w:rPr>
          <w:rFonts w:hint="eastAsia"/>
          <w:color w:val="231F20"/>
        </w:rPr>
      </w:pPr>
    </w:p>
    <w:p w14:paraId="7032EB6E">
      <w:pPr>
        <w:pStyle w:val="9"/>
        <w:spacing w:before="17" w:line="249" w:lineRule="auto"/>
        <w:ind w:right="98" w:firstLine="450"/>
        <w:rPr>
          <w:rFonts w:hint="eastAsia"/>
          <w:color w:val="231F20"/>
        </w:rPr>
      </w:pPr>
      <w:r>
        <w:rPr>
          <w:rFonts w:hint="eastAsia"/>
          <w:color w:val="231F20"/>
        </w:rPr>
        <w:t>As I argued earlier, here Christ says to the Church in “didactic” prophecy precisely what he will say to the Church in symbolic or apocalyptic prophecy in chapters 6-20.</w:t>
      </w:r>
    </w:p>
    <w:p w14:paraId="5B68BCB3">
      <w:pPr>
        <w:pStyle w:val="9"/>
        <w:spacing w:before="17" w:line="249" w:lineRule="auto"/>
        <w:ind w:right="98" w:firstLine="450"/>
        <w:rPr>
          <w:rFonts w:hint="eastAsia"/>
          <w:color w:val="231F20"/>
        </w:rPr>
      </w:pPr>
      <w:r>
        <w:rPr>
          <w:rFonts w:hint="eastAsia"/>
          <w:color w:val="231F20"/>
        </w:rPr>
        <w:t>正如我先前所论证的，基督在这里以“教导性”预言对教会所说的，正是祂将在第6-20章中以象征性或末世性预言对教会所说的。</w:t>
      </w:r>
    </w:p>
    <w:p w14:paraId="5F1AAF27">
      <w:pPr>
        <w:pStyle w:val="9"/>
        <w:spacing w:before="17" w:line="249" w:lineRule="auto"/>
        <w:ind w:right="98" w:firstLine="450"/>
        <w:rPr>
          <w:rFonts w:hint="eastAsia"/>
          <w:color w:val="231F20"/>
        </w:rPr>
      </w:pPr>
    </w:p>
    <w:p w14:paraId="000E7B83">
      <w:pPr>
        <w:pStyle w:val="9"/>
        <w:spacing w:before="17" w:line="249" w:lineRule="auto"/>
        <w:ind w:right="98" w:firstLine="450"/>
        <w:rPr>
          <w:rFonts w:hint="eastAsia"/>
          <w:color w:val="231F20"/>
        </w:rPr>
      </w:pPr>
      <w:r>
        <w:rPr>
          <w:rFonts w:hint="eastAsia"/>
          <w:color w:val="231F20"/>
        </w:rPr>
        <w:t>Here he speaks to the Church Universal; there he speaks to the Church Universal.</w:t>
      </w:r>
    </w:p>
    <w:p w14:paraId="6069C9E8">
      <w:pPr>
        <w:pStyle w:val="9"/>
        <w:spacing w:before="17" w:line="249" w:lineRule="auto"/>
        <w:ind w:right="98" w:firstLine="450"/>
        <w:rPr>
          <w:rFonts w:hint="eastAsia"/>
          <w:color w:val="231F20"/>
        </w:rPr>
      </w:pPr>
      <w:r>
        <w:rPr>
          <w:rFonts w:hint="eastAsia"/>
          <w:color w:val="231F20"/>
        </w:rPr>
        <w:t>祂在这里对普世教会说话；祂在那里也对普世教会说话。</w:t>
      </w:r>
    </w:p>
    <w:p w14:paraId="7317B7BB">
      <w:pPr>
        <w:pStyle w:val="9"/>
        <w:spacing w:before="17" w:line="249" w:lineRule="auto"/>
        <w:ind w:right="98" w:firstLine="450"/>
        <w:rPr>
          <w:rFonts w:hint="eastAsia"/>
          <w:color w:val="231F20"/>
        </w:rPr>
      </w:pPr>
    </w:p>
    <w:p w14:paraId="2A5202E2">
      <w:pPr>
        <w:pStyle w:val="9"/>
        <w:spacing w:before="17" w:line="249" w:lineRule="auto"/>
        <w:ind w:right="98" w:firstLine="450"/>
        <w:rPr>
          <w:rFonts w:hint="eastAsia"/>
          <w:color w:val="231F20"/>
        </w:rPr>
      </w:pPr>
      <w:r>
        <w:rPr>
          <w:rFonts w:hint="eastAsia"/>
          <w:color w:val="231F20"/>
        </w:rPr>
        <w:t>The Revelation is one book for one people.</w:t>
      </w:r>
    </w:p>
    <w:p w14:paraId="3312181D">
      <w:pPr>
        <w:pStyle w:val="9"/>
        <w:spacing w:before="17" w:line="249" w:lineRule="auto"/>
        <w:ind w:right="98" w:firstLine="450"/>
        <w:rPr>
          <w:rFonts w:hint="eastAsia"/>
          <w:color w:val="231F20"/>
        </w:rPr>
      </w:pPr>
      <w:r>
        <w:rPr>
          <w:rFonts w:hint="eastAsia"/>
          <w:color w:val="231F20"/>
        </w:rPr>
        <w:t>《启示录》是一本为同一个子民而写的书。</w:t>
      </w:r>
    </w:p>
    <w:p w14:paraId="09D01FA6">
      <w:pPr>
        <w:pStyle w:val="9"/>
        <w:spacing w:before="17" w:line="249" w:lineRule="auto"/>
        <w:ind w:right="98" w:firstLine="450"/>
        <w:rPr>
          <w:rFonts w:hint="eastAsia"/>
          <w:color w:val="231F20"/>
        </w:rPr>
      </w:pPr>
    </w:p>
    <w:p w14:paraId="1836FFE1">
      <w:pPr>
        <w:pStyle w:val="9"/>
        <w:spacing w:before="17" w:line="249" w:lineRule="auto"/>
        <w:ind w:right="98" w:firstLine="450"/>
        <w:rPr>
          <w:rFonts w:hint="eastAsia"/>
          <w:color w:val="231F20"/>
        </w:rPr>
      </w:pPr>
      <w:r>
        <w:rPr>
          <w:rFonts w:hint="eastAsia"/>
          <w:color w:val="231F20"/>
        </w:rPr>
        <w:t>For this reason, every member of Christ’s Church who reads, hears, and keeps every part of it will be blessed (1:3).</w:t>
      </w:r>
    </w:p>
    <w:p w14:paraId="6A5E3632">
      <w:pPr>
        <w:pStyle w:val="9"/>
        <w:spacing w:before="17" w:line="249" w:lineRule="auto"/>
        <w:ind w:right="98" w:firstLine="450"/>
        <w:rPr>
          <w:rFonts w:hint="eastAsia"/>
          <w:color w:val="231F20"/>
        </w:rPr>
      </w:pPr>
      <w:r>
        <w:rPr>
          <w:rFonts w:hint="eastAsia"/>
          <w:color w:val="231F20"/>
        </w:rPr>
        <w:t>因此，基督教会中每一位读、听并遵守这本书每一部分的成员都将蒙福（1:3）。</w:t>
      </w:r>
    </w:p>
    <w:p w14:paraId="7D0C91B8">
      <w:pPr>
        <w:pStyle w:val="9"/>
        <w:spacing w:before="17" w:line="249" w:lineRule="auto"/>
        <w:ind w:right="98" w:firstLine="450"/>
        <w:rPr>
          <w:rFonts w:hint="eastAsia"/>
          <w:color w:val="231F20"/>
        </w:rPr>
      </w:pPr>
    </w:p>
    <w:p w14:paraId="66C93886">
      <w:pPr>
        <w:pStyle w:val="9"/>
        <w:spacing w:before="17" w:line="249" w:lineRule="auto"/>
        <w:ind w:right="98" w:firstLine="450"/>
        <w:rPr>
          <w:rFonts w:hint="eastAsia"/>
          <w:color w:val="231F20"/>
        </w:rPr>
      </w:pPr>
      <w:r>
        <w:rPr>
          <w:rFonts w:hint="eastAsia"/>
          <w:color w:val="231F20"/>
        </w:rPr>
        <w:t>As a rule, each of the seven prophecies to the churches contains five elements.</w:t>
      </w:r>
    </w:p>
    <w:p w14:paraId="058D85D7">
      <w:pPr>
        <w:pStyle w:val="9"/>
        <w:spacing w:before="17" w:line="249" w:lineRule="auto"/>
        <w:ind w:right="98" w:firstLine="450"/>
        <w:rPr>
          <w:rFonts w:hint="eastAsia"/>
          <w:color w:val="231F20"/>
        </w:rPr>
      </w:pPr>
      <w:r>
        <w:rPr>
          <w:rFonts w:hint="eastAsia"/>
          <w:color w:val="231F20"/>
        </w:rPr>
        <w:t>通常，给七个教会的七个预言中的每一个都包含五个要素。</w:t>
      </w:r>
    </w:p>
    <w:p w14:paraId="0DB318F4">
      <w:pPr>
        <w:pStyle w:val="9"/>
        <w:spacing w:before="17" w:line="249" w:lineRule="auto"/>
        <w:ind w:right="98" w:firstLine="450"/>
        <w:rPr>
          <w:rFonts w:hint="eastAsia"/>
          <w:color w:val="231F20"/>
        </w:rPr>
      </w:pPr>
    </w:p>
    <w:p w14:paraId="3BEF095F">
      <w:pPr>
        <w:pStyle w:val="9"/>
        <w:spacing w:before="17" w:line="249" w:lineRule="auto"/>
        <w:ind w:right="98" w:firstLine="450"/>
        <w:rPr>
          <w:rFonts w:hint="eastAsia"/>
          <w:color w:val="231F20"/>
        </w:rPr>
      </w:pPr>
      <w:r>
        <w:rPr>
          <w:rFonts w:hint="eastAsia"/>
          <w:color w:val="231F20"/>
        </w:rPr>
        <w:t>They include (1) An opening self-description, highlighting one or another of Christ’s attributes or offices: his deity, sovereignty, eternal priesthood, or role as coming Judge, (2) whenever possible, words of commendation, whether for diligence, purity, or perseverance in the face of suffering, etc., (3) if necessary, words of reproof, whether for growing lovelessness, compromise, worldliness, etc., (4) if necessary, calls to repentance, usually issued with dire warnings to anyone inclined to ignore them, and finally, (5) ultimate promises to faithful and persevering saints who overcome every opponent, and so enter the completed Kingdom at his return.</w:t>
      </w:r>
    </w:p>
    <w:p w14:paraId="5B49DEEB">
      <w:pPr>
        <w:pStyle w:val="9"/>
        <w:spacing w:before="17" w:line="249" w:lineRule="auto"/>
        <w:ind w:right="98" w:firstLine="450"/>
        <w:rPr>
          <w:rFonts w:hint="eastAsia"/>
          <w:color w:val="231F20"/>
        </w:rPr>
      </w:pPr>
      <w:r>
        <w:rPr>
          <w:rFonts w:hint="eastAsia"/>
          <w:color w:val="231F20"/>
        </w:rPr>
        <w:t>它们包括：（1）开头的自我描述，突出基督的一个或多个属性或职分：祂的神性、主权、永恒的祭司职分，或作为将临审判官的角色；（2）在可能的情况下，称赞的话语，无论是针对勤勉、纯洁，还是在苦难面前的坚忍等；（3）在必要时，责备的话语，无论是针对爱心的衰退、妥协、世俗化等；（4）在必要时，呼召悔改，通常伴随着对任何倾向于忽视它们的人发出的严厉警告；以及最后，（5）对那些战胜一切对手、并在祂再来时进入那完全国度的忠心和坚忍的圣徒所作的终极应许。</w:t>
      </w:r>
    </w:p>
    <w:p w14:paraId="70398DBB">
      <w:pPr>
        <w:pStyle w:val="9"/>
        <w:spacing w:before="17" w:line="249" w:lineRule="auto"/>
        <w:ind w:right="98" w:firstLine="450"/>
        <w:rPr>
          <w:rFonts w:hint="eastAsia"/>
          <w:color w:val="231F20"/>
        </w:rPr>
      </w:pPr>
    </w:p>
    <w:p w14:paraId="48471A02">
      <w:pPr>
        <w:pStyle w:val="9"/>
        <w:spacing w:before="17" w:line="249" w:lineRule="auto"/>
        <w:ind w:right="98" w:firstLine="450"/>
        <w:rPr>
          <w:rFonts w:hint="eastAsia"/>
          <w:color w:val="231F20"/>
        </w:rPr>
      </w:pPr>
      <w:r>
        <w:rPr>
          <w:rFonts w:hint="eastAsia"/>
          <w:color w:val="231F20"/>
        </w:rPr>
        <w:t>Since this last point is so important, let us take a moment to explore it more fully.</w:t>
      </w:r>
    </w:p>
    <w:p w14:paraId="395565EB">
      <w:pPr>
        <w:pStyle w:val="9"/>
        <w:spacing w:before="17" w:line="249" w:lineRule="auto"/>
        <w:ind w:right="98" w:firstLine="450"/>
        <w:rPr>
          <w:rFonts w:hint="eastAsia"/>
          <w:color w:val="231F20"/>
        </w:rPr>
      </w:pPr>
      <w:r>
        <w:rPr>
          <w:rFonts w:hint="eastAsia"/>
          <w:color w:val="231F20"/>
        </w:rPr>
        <w:t>由于这最后一点如此重要，让我们花点时间更充分地探讨它。</w:t>
      </w:r>
    </w:p>
    <w:p w14:paraId="4CBE9DE8">
      <w:pPr>
        <w:pStyle w:val="9"/>
        <w:spacing w:before="17" w:line="249" w:lineRule="auto"/>
        <w:ind w:right="98" w:firstLine="450"/>
        <w:rPr>
          <w:rFonts w:hint="eastAsia"/>
          <w:color w:val="231F20"/>
        </w:rPr>
      </w:pPr>
    </w:p>
    <w:p w14:paraId="4F90411E">
      <w:pPr>
        <w:pStyle w:val="9"/>
        <w:spacing w:before="17" w:line="249" w:lineRule="auto"/>
        <w:ind w:right="98" w:firstLine="450"/>
        <w:rPr>
          <w:rFonts w:hint="eastAsia"/>
          <w:color w:val="231F20"/>
        </w:rPr>
      </w:pPr>
      <w:r>
        <w:rPr>
          <w:rFonts w:hint="eastAsia"/>
          <w:color w:val="231F20"/>
        </w:rPr>
        <w:t>As in bloc 1, so here: There is a definite eschatological outlook.</w:t>
      </w:r>
    </w:p>
    <w:p w14:paraId="00DE614B">
      <w:pPr>
        <w:pStyle w:val="9"/>
        <w:spacing w:before="17" w:line="249" w:lineRule="auto"/>
        <w:ind w:right="98" w:firstLine="450"/>
        <w:rPr>
          <w:rFonts w:hint="eastAsia"/>
          <w:color w:val="231F20"/>
        </w:rPr>
      </w:pPr>
      <w:r>
        <w:rPr>
          <w:rFonts w:hint="eastAsia"/>
          <w:color w:val="231F20"/>
        </w:rPr>
        <w:t>如同在第一区块一样，这里也是如此：有一个明确的末世论观点。</w:t>
      </w:r>
    </w:p>
    <w:p w14:paraId="71704605">
      <w:pPr>
        <w:pStyle w:val="9"/>
        <w:spacing w:before="17" w:line="249" w:lineRule="auto"/>
        <w:ind w:right="98" w:firstLine="450"/>
        <w:rPr>
          <w:rFonts w:hint="eastAsia"/>
          <w:color w:val="231F20"/>
        </w:rPr>
      </w:pPr>
    </w:p>
    <w:p w14:paraId="07DA7903">
      <w:pPr>
        <w:pStyle w:val="9"/>
        <w:spacing w:before="17" w:line="249" w:lineRule="auto"/>
        <w:ind w:right="98" w:firstLine="450"/>
        <w:rPr>
          <w:rFonts w:hint="eastAsia"/>
          <w:color w:val="231F20"/>
        </w:rPr>
      </w:pPr>
      <w:r>
        <w:rPr>
          <w:rFonts w:hint="eastAsia"/>
          <w:color w:val="231F20"/>
        </w:rPr>
        <w:t>When Christ issues his glorious promises to the overcoming Christians, he does not encourage them to look forward to a secret Rapture, or to life in heaven as a disembodied spirit, or to a premillennial Parousia, or to (their privileged role in) a future millennial stage of the Kingdom.</w:t>
      </w:r>
    </w:p>
    <w:p w14:paraId="4137475E">
      <w:pPr>
        <w:pStyle w:val="9"/>
        <w:spacing w:before="17" w:line="249" w:lineRule="auto"/>
        <w:ind w:right="98" w:firstLine="450"/>
        <w:rPr>
          <w:rFonts w:hint="eastAsia"/>
          <w:color w:val="231F20"/>
        </w:rPr>
      </w:pPr>
      <w:r>
        <w:rPr>
          <w:rFonts w:hint="eastAsia"/>
          <w:color w:val="231F20"/>
        </w:rPr>
        <w:t>当基督向得胜的基督徒发出祂荣耀的应许时，祂没有鼓励他们盼望一次秘密的被提，或是在天上作为脱离身体的灵魂生活，或是一次前千禧年的主临，或是（他们在其中享有的特权角色）国度未来的千禧年阶段。</w:t>
      </w:r>
    </w:p>
    <w:p w14:paraId="34708D56">
      <w:pPr>
        <w:pStyle w:val="9"/>
        <w:spacing w:before="17" w:line="249" w:lineRule="auto"/>
        <w:ind w:right="98" w:firstLine="450"/>
        <w:rPr>
          <w:rFonts w:hint="eastAsia"/>
          <w:color w:val="231F20"/>
        </w:rPr>
      </w:pPr>
    </w:p>
    <w:p w14:paraId="3A75E7AE">
      <w:pPr>
        <w:pStyle w:val="9"/>
        <w:spacing w:before="17" w:line="249" w:lineRule="auto"/>
        <w:ind w:right="98" w:firstLine="450"/>
        <w:rPr>
          <w:rFonts w:hint="eastAsia"/>
          <w:color w:val="231F20"/>
        </w:rPr>
      </w:pPr>
      <w:r>
        <w:rPr>
          <w:rFonts w:hint="eastAsia"/>
          <w:color w:val="231F20"/>
        </w:rPr>
        <w:t>No, he consistently places before them the ultimate goal and destiny of Salvation History: eternal life with God and Christ in the new heavens and the new earth, a destiny that they will inherit at his Coming.</w:t>
      </w:r>
    </w:p>
    <w:p w14:paraId="19B81582">
      <w:pPr>
        <w:pStyle w:val="9"/>
        <w:spacing w:before="17" w:line="249" w:lineRule="auto"/>
        <w:ind w:right="98" w:firstLine="450"/>
        <w:rPr>
          <w:rFonts w:hint="eastAsia"/>
          <w:color w:val="231F20"/>
        </w:rPr>
      </w:pPr>
      <w:r>
        <w:rPr>
          <w:rFonts w:hint="eastAsia"/>
          <w:color w:val="231F20"/>
        </w:rPr>
        <w:t>不，祂始终将救赎历史的最终目标和命运摆在他们面前：在新天新地中与上帝和基督同享永生，这是他们将在祂降临时继承的命运。</w:t>
      </w:r>
    </w:p>
    <w:p w14:paraId="1AF1E705">
      <w:pPr>
        <w:pStyle w:val="9"/>
        <w:spacing w:before="17" w:line="249" w:lineRule="auto"/>
        <w:ind w:right="98" w:firstLine="450"/>
        <w:rPr>
          <w:rFonts w:hint="eastAsia"/>
          <w:color w:val="231F20"/>
        </w:rPr>
      </w:pPr>
    </w:p>
    <w:p w14:paraId="65C53113">
      <w:pPr>
        <w:pStyle w:val="9"/>
        <w:spacing w:before="17" w:line="249" w:lineRule="auto"/>
        <w:ind w:right="98" w:firstLine="450"/>
        <w:rPr>
          <w:rFonts w:hint="eastAsia"/>
          <w:color w:val="231F20"/>
        </w:rPr>
      </w:pPr>
      <w:r>
        <w:rPr>
          <w:rFonts w:hint="eastAsia"/>
          <w:color w:val="231F20"/>
        </w:rPr>
        <w:t>Thus, in the High King’s messages to the Universal Church we encounter the same eschatological outlook that we found in bloc 1 of the Revelation and throughout the Didactic NT: There is but one spiritual Kingdom, divided into two simple stages, separated by a single Parousia of Christ in glory, which is the Blessed Hope of the Church.</w:t>
      </w:r>
    </w:p>
    <w:p w14:paraId="671C6D08">
      <w:pPr>
        <w:pStyle w:val="9"/>
        <w:spacing w:before="17" w:line="249" w:lineRule="auto"/>
        <w:ind w:right="98" w:firstLine="450"/>
        <w:rPr>
          <w:rFonts w:hint="eastAsia"/>
          <w:color w:val="231F20"/>
        </w:rPr>
      </w:pPr>
      <w:r>
        <w:rPr>
          <w:rFonts w:hint="eastAsia"/>
          <w:color w:val="231F20"/>
        </w:rPr>
        <w:t>因此，在至高君王给普世教会的信息中，我们遇到了与在《启示录》第一区块和整个教导性新约中所发现的相同的末世论观点：只有一个属灵的国度，分为两个简单的阶段，由基督在荣耀中的一次主临（Parousia）所分隔，这就是教会有福的盼望。</w:t>
      </w:r>
    </w:p>
    <w:p w14:paraId="2746C7C7">
      <w:pPr>
        <w:pStyle w:val="9"/>
        <w:spacing w:before="17" w:line="249" w:lineRule="auto"/>
        <w:ind w:right="98" w:firstLine="450"/>
        <w:rPr>
          <w:rFonts w:hint="eastAsia"/>
          <w:color w:val="231F20"/>
        </w:rPr>
      </w:pPr>
    </w:p>
    <w:p w14:paraId="11ABC3FB">
      <w:pPr>
        <w:pStyle w:val="9"/>
        <w:spacing w:before="17" w:line="249" w:lineRule="auto"/>
        <w:ind w:right="98" w:firstLine="450"/>
        <w:rPr>
          <w:rFonts w:hint="eastAsia"/>
          <w:color w:val="231F20"/>
        </w:rPr>
      </w:pPr>
      <w:r>
        <w:rPr>
          <w:rFonts w:hint="eastAsia"/>
          <w:color w:val="231F20"/>
        </w:rPr>
        <w:t>Let us confirm this point with a brief look at the relevant texts.</w:t>
      </w:r>
    </w:p>
    <w:p w14:paraId="02307549">
      <w:pPr>
        <w:pStyle w:val="9"/>
        <w:spacing w:before="17" w:line="249" w:lineRule="auto"/>
        <w:ind w:right="98" w:firstLine="450"/>
        <w:rPr>
          <w:rFonts w:hint="eastAsia"/>
          <w:color w:val="231F20"/>
        </w:rPr>
      </w:pPr>
      <w:r>
        <w:rPr>
          <w:rFonts w:hint="eastAsia"/>
          <w:color w:val="231F20"/>
        </w:rPr>
        <w:t>让我们通过简要查看相关经文来确认这一点。</w:t>
      </w:r>
    </w:p>
    <w:p w14:paraId="53D9139C">
      <w:pPr>
        <w:pStyle w:val="9"/>
        <w:spacing w:before="17" w:line="249" w:lineRule="auto"/>
        <w:ind w:right="98" w:firstLine="450"/>
        <w:rPr>
          <w:rFonts w:hint="eastAsia"/>
          <w:color w:val="231F20"/>
        </w:rPr>
      </w:pPr>
    </w:p>
    <w:p w14:paraId="34B56227">
      <w:pPr>
        <w:pStyle w:val="9"/>
        <w:spacing w:before="17" w:line="249" w:lineRule="auto"/>
        <w:ind w:right="98" w:firstLine="450"/>
        <w:rPr>
          <w:rFonts w:hint="eastAsia"/>
          <w:color w:val="231F20"/>
        </w:rPr>
      </w:pPr>
      <w:r>
        <w:rPr>
          <w:rFonts w:hint="eastAsia"/>
          <w:color w:val="231F20"/>
        </w:rPr>
        <w:t>The Lord’s promise to the church in Ephesus is this: “To the one who overcomes, I will grant to eat of the tree of life which is in the Paradise of God” (2:7).</w:t>
      </w:r>
    </w:p>
    <w:p w14:paraId="4C1CD7AB">
      <w:pPr>
        <w:pStyle w:val="9"/>
        <w:spacing w:before="17" w:line="249" w:lineRule="auto"/>
        <w:ind w:right="98" w:firstLine="450"/>
        <w:rPr>
          <w:rFonts w:hint="eastAsia"/>
          <w:color w:val="231F20"/>
        </w:rPr>
      </w:pPr>
      <w:r>
        <w:rPr>
          <w:rFonts w:hint="eastAsia"/>
          <w:color w:val="231F20"/>
        </w:rPr>
        <w:t>主给以弗所教会的应许是：“得胜的，我必将上帝乐园中生命树的果子赐给他吃”（2:7）。</w:t>
      </w:r>
    </w:p>
    <w:p w14:paraId="307F287F">
      <w:pPr>
        <w:pStyle w:val="9"/>
        <w:spacing w:before="17" w:line="249" w:lineRule="auto"/>
        <w:ind w:right="98" w:firstLine="450"/>
        <w:rPr>
          <w:rFonts w:hint="eastAsia"/>
          <w:color w:val="231F20"/>
        </w:rPr>
      </w:pPr>
    </w:p>
    <w:p w14:paraId="6B564FAA">
      <w:pPr>
        <w:pStyle w:val="9"/>
        <w:spacing w:before="17" w:line="249" w:lineRule="auto"/>
        <w:ind w:right="98" w:firstLine="450"/>
        <w:rPr>
          <w:rFonts w:hint="eastAsia"/>
          <w:color w:val="231F20"/>
        </w:rPr>
      </w:pPr>
      <w:r>
        <w:rPr>
          <w:rFonts w:hint="eastAsia"/>
          <w:color w:val="231F20"/>
        </w:rPr>
        <w:t>Revelation 22:2 and 14 show that he does not have in mind heaven during the intermediate state, but the new heavens and the new earth.</w:t>
      </w:r>
    </w:p>
    <w:p w14:paraId="13087A73">
      <w:pPr>
        <w:pStyle w:val="9"/>
        <w:spacing w:before="17" w:line="249" w:lineRule="auto"/>
        <w:ind w:right="98" w:firstLine="450"/>
        <w:rPr>
          <w:rFonts w:hint="eastAsia"/>
          <w:color w:val="231F20"/>
        </w:rPr>
      </w:pPr>
      <w:r>
        <w:rPr>
          <w:rFonts w:hint="eastAsia"/>
          <w:color w:val="231F20"/>
        </w:rPr>
        <w:t>《启示录》22:2和14表明，祂心中所想的不是中间状态的天堂，而是新天新地。</w:t>
      </w:r>
    </w:p>
    <w:p w14:paraId="0F3A8873">
      <w:pPr>
        <w:pStyle w:val="9"/>
        <w:spacing w:before="17" w:line="249" w:lineRule="auto"/>
        <w:ind w:right="98" w:firstLine="450"/>
        <w:rPr>
          <w:rFonts w:hint="eastAsia"/>
          <w:color w:val="231F20"/>
        </w:rPr>
      </w:pPr>
    </w:p>
    <w:p w14:paraId="4AB3A688">
      <w:pPr>
        <w:pStyle w:val="9"/>
        <w:spacing w:before="17" w:line="249" w:lineRule="auto"/>
        <w:ind w:right="98" w:firstLine="450"/>
        <w:rPr>
          <w:rFonts w:hint="eastAsia"/>
          <w:color w:val="231F20"/>
        </w:rPr>
      </w:pPr>
      <w:r>
        <w:rPr>
          <w:rFonts w:hint="eastAsia"/>
          <w:color w:val="231F20"/>
        </w:rPr>
        <w:t>To the church at Smyrna he declares: “The one who conquers will not be hurt by the second death.”</w:t>
      </w:r>
    </w:p>
    <w:p w14:paraId="6FA95B9A">
      <w:pPr>
        <w:pStyle w:val="9"/>
        <w:spacing w:before="17" w:line="249" w:lineRule="auto"/>
        <w:ind w:right="98" w:firstLine="450"/>
        <w:rPr>
          <w:rFonts w:hint="eastAsia"/>
          <w:color w:val="231F20"/>
        </w:rPr>
      </w:pPr>
      <w:r>
        <w:rPr>
          <w:rFonts w:hint="eastAsia"/>
          <w:color w:val="231F20"/>
        </w:rPr>
        <w:t>祂对士每拿教会宣告说：“得胜的，必不受第二次死的害。”</w:t>
      </w:r>
    </w:p>
    <w:p w14:paraId="5B4C00F8">
      <w:pPr>
        <w:pStyle w:val="9"/>
        <w:spacing w:before="17" w:line="249" w:lineRule="auto"/>
        <w:ind w:right="98" w:firstLine="450"/>
        <w:rPr>
          <w:rFonts w:hint="eastAsia"/>
          <w:color w:val="231F20"/>
        </w:rPr>
      </w:pPr>
    </w:p>
    <w:p w14:paraId="47C18656">
      <w:pPr>
        <w:pStyle w:val="9"/>
        <w:spacing w:before="17" w:line="249" w:lineRule="auto"/>
        <w:ind w:right="98" w:firstLine="450"/>
        <w:rPr>
          <w:rFonts w:hint="eastAsia"/>
          <w:color w:val="231F20"/>
        </w:rPr>
      </w:pPr>
      <w:r>
        <w:rPr>
          <w:rFonts w:hint="eastAsia"/>
          <w:color w:val="231F20"/>
        </w:rPr>
        <w:t>A look at Revelation 20:6, 14, and 21:18 shows that the second death is not temporary punishment in Hades, but eternal punishment in the Lake of Fire, administered after the general Resurrection and the Last Judgment.</w:t>
      </w:r>
    </w:p>
    <w:p w14:paraId="22AA1EF5">
      <w:pPr>
        <w:pStyle w:val="9"/>
        <w:spacing w:before="17" w:line="249" w:lineRule="auto"/>
        <w:ind w:right="98" w:firstLine="450"/>
        <w:rPr>
          <w:rFonts w:hint="eastAsia"/>
          <w:color w:val="231F20"/>
        </w:rPr>
      </w:pPr>
      <w:r>
        <w:rPr>
          <w:rFonts w:hint="eastAsia"/>
          <w:color w:val="231F20"/>
        </w:rPr>
        <w:t>查看《启示录》20:6, 14和21:18可以看出，第二次的死不是在阴间暂时的惩罚，而是在火湖里永恒的惩罚，是在普世复活和最后审判之后施行的。</w:t>
      </w:r>
    </w:p>
    <w:p w14:paraId="22F7C380">
      <w:pPr>
        <w:pStyle w:val="9"/>
        <w:spacing w:before="17" w:line="249" w:lineRule="auto"/>
        <w:ind w:right="98" w:firstLine="450"/>
        <w:rPr>
          <w:rFonts w:hint="eastAsia"/>
          <w:color w:val="231F20"/>
        </w:rPr>
      </w:pPr>
    </w:p>
    <w:p w14:paraId="070373D2">
      <w:pPr>
        <w:pStyle w:val="9"/>
        <w:spacing w:before="17" w:line="249" w:lineRule="auto"/>
        <w:ind w:right="98" w:firstLine="450"/>
        <w:rPr>
          <w:rFonts w:hint="eastAsia"/>
          <w:color w:val="231F20"/>
        </w:rPr>
      </w:pPr>
      <w:r>
        <w:rPr>
          <w:rFonts w:hint="eastAsia"/>
          <w:color w:val="231F20"/>
        </w:rPr>
        <w:t>Positively, Christ is therefore promising the overcomers in Smyrna that they will inherit eternal life in the new heavens and the new earth.</w:t>
      </w:r>
    </w:p>
    <w:p w14:paraId="3C44BEEB">
      <w:pPr>
        <w:pStyle w:val="9"/>
        <w:spacing w:before="17" w:line="249" w:lineRule="auto"/>
        <w:ind w:right="98" w:firstLine="450"/>
        <w:rPr>
          <w:rFonts w:hint="eastAsia"/>
          <w:color w:val="231F20"/>
        </w:rPr>
      </w:pPr>
      <w:r>
        <w:rPr>
          <w:rFonts w:hint="eastAsia"/>
          <w:color w:val="231F20"/>
        </w:rPr>
        <w:t>从积极的方面来说，基督因此应许士每拿的得胜者，他们将继承在新天新地里的永生。</w:t>
      </w:r>
    </w:p>
    <w:p w14:paraId="17F0F1FF">
      <w:pPr>
        <w:pStyle w:val="9"/>
        <w:spacing w:before="17" w:line="249" w:lineRule="auto"/>
        <w:ind w:right="98" w:firstLine="450"/>
        <w:rPr>
          <w:rFonts w:hint="eastAsia"/>
          <w:color w:val="231F20"/>
        </w:rPr>
      </w:pPr>
    </w:p>
    <w:p w14:paraId="098A653B">
      <w:pPr>
        <w:pStyle w:val="9"/>
        <w:spacing w:before="17" w:line="249" w:lineRule="auto"/>
        <w:ind w:right="98" w:firstLine="450"/>
        <w:rPr>
          <w:rFonts w:hint="eastAsia"/>
          <w:color w:val="231F20"/>
        </w:rPr>
      </w:pPr>
      <w:r>
        <w:rPr>
          <w:rFonts w:hint="eastAsia"/>
          <w:color w:val="231F20"/>
        </w:rPr>
        <w:t>To the believers in Pergamum the High King says: “To the one who overcomes I will give of the hidden manna, and I will give him a white stone, with a new name written on the stone that no one knows except the one who receives it” (2:17).</w:t>
      </w:r>
    </w:p>
    <w:p w14:paraId="5A2EABF7">
      <w:pPr>
        <w:pStyle w:val="9"/>
        <w:spacing w:before="17" w:line="249" w:lineRule="auto"/>
        <w:ind w:right="98" w:firstLine="450"/>
        <w:rPr>
          <w:rFonts w:hint="eastAsia"/>
          <w:color w:val="231F20"/>
        </w:rPr>
      </w:pPr>
      <w:r>
        <w:rPr>
          <w:rFonts w:hint="eastAsia"/>
          <w:color w:val="231F20"/>
        </w:rPr>
        <w:t>至高君王对别迦摩的信徒说：“得胜的，我必将那隐藏的吗哪赐给他，并赐他一块白石，石上写着新名，除了那领受的以外，没有人能认识”（2:17）。</w:t>
      </w:r>
    </w:p>
    <w:p w14:paraId="227F2768">
      <w:pPr>
        <w:pStyle w:val="9"/>
        <w:spacing w:before="17" w:line="249" w:lineRule="auto"/>
        <w:ind w:right="98" w:firstLine="450"/>
        <w:rPr>
          <w:rFonts w:hint="eastAsia"/>
          <w:color w:val="231F20"/>
        </w:rPr>
      </w:pPr>
    </w:p>
    <w:p w14:paraId="07641115">
      <w:pPr>
        <w:pStyle w:val="9"/>
        <w:spacing w:before="17" w:line="249" w:lineRule="auto"/>
        <w:ind w:right="98" w:firstLine="450"/>
        <w:rPr>
          <w:rFonts w:hint="eastAsia"/>
          <w:color w:val="231F20"/>
        </w:rPr>
      </w:pPr>
      <w:r>
        <w:rPr>
          <w:rFonts w:hint="eastAsia"/>
          <w:color w:val="231F20"/>
        </w:rPr>
        <w:t>Christ himself is the Manna.</w:t>
      </w:r>
    </w:p>
    <w:p w14:paraId="414D035A">
      <w:pPr>
        <w:pStyle w:val="9"/>
        <w:spacing w:before="17" w:line="249" w:lineRule="auto"/>
        <w:ind w:right="98" w:firstLine="450"/>
        <w:rPr>
          <w:rFonts w:hint="eastAsia"/>
          <w:color w:val="231F20"/>
        </w:rPr>
      </w:pPr>
      <w:r>
        <w:rPr>
          <w:rFonts w:hint="eastAsia"/>
          <w:color w:val="231F20"/>
        </w:rPr>
        <w:t>基督自己就是那吗哪。</w:t>
      </w:r>
    </w:p>
    <w:p w14:paraId="01130804">
      <w:pPr>
        <w:pStyle w:val="9"/>
        <w:spacing w:before="17" w:line="249" w:lineRule="auto"/>
        <w:ind w:right="98" w:firstLine="450"/>
        <w:rPr>
          <w:rFonts w:hint="eastAsia"/>
          <w:color w:val="231F20"/>
        </w:rPr>
      </w:pPr>
    </w:p>
    <w:p w14:paraId="5B437A9D">
      <w:pPr>
        <w:pStyle w:val="9"/>
        <w:spacing w:before="17" w:line="249" w:lineRule="auto"/>
        <w:ind w:right="98" w:firstLine="450"/>
        <w:rPr>
          <w:rFonts w:hint="eastAsia"/>
          <w:color w:val="231F20"/>
        </w:rPr>
      </w:pPr>
      <w:r>
        <w:rPr>
          <w:rFonts w:hint="eastAsia"/>
          <w:color w:val="231F20"/>
        </w:rPr>
        <w:t>For the moment, he is hidden in heaven, but at the Parousia he will give himself fully to his people (John 6:58, Col. 3:1f).</w:t>
      </w:r>
    </w:p>
    <w:p w14:paraId="25FC20FC">
      <w:pPr>
        <w:pStyle w:val="9"/>
        <w:spacing w:before="17" w:line="249" w:lineRule="auto"/>
        <w:ind w:right="98" w:firstLine="450"/>
        <w:rPr>
          <w:rFonts w:hint="eastAsia"/>
          <w:color w:val="231F20"/>
        </w:rPr>
      </w:pPr>
      <w:r>
        <w:rPr>
          <w:rFonts w:hint="eastAsia"/>
          <w:color w:val="231F20"/>
        </w:rPr>
        <w:t>目前，祂隐藏在天上，但在主临（Parousia）时，祂将把自己完全地赐给祂的子民（约翰福音6:58，歌罗西书3:1及以下）。</w:t>
      </w:r>
    </w:p>
    <w:p w14:paraId="7C7FB3E1">
      <w:pPr>
        <w:pStyle w:val="9"/>
        <w:spacing w:before="17" w:line="249" w:lineRule="auto"/>
        <w:ind w:right="98" w:firstLine="450"/>
        <w:rPr>
          <w:rFonts w:hint="eastAsia"/>
          <w:color w:val="231F20"/>
        </w:rPr>
      </w:pPr>
    </w:p>
    <w:p w14:paraId="52F3149C">
      <w:pPr>
        <w:pStyle w:val="9"/>
        <w:spacing w:before="17" w:line="249" w:lineRule="auto"/>
        <w:ind w:right="98" w:firstLine="450"/>
        <w:rPr>
          <w:rFonts w:hint="eastAsia"/>
          <w:color w:val="231F20"/>
        </w:rPr>
      </w:pPr>
      <w:r>
        <w:rPr>
          <w:rFonts w:hint="eastAsia"/>
          <w:color w:val="231F20"/>
        </w:rPr>
        <w:t>The exact meaning of the white stone is not clear: Some say it represents victory, others (final) acquittal.4</w:t>
      </w:r>
    </w:p>
    <w:p w14:paraId="61EDB587">
      <w:pPr>
        <w:pStyle w:val="9"/>
        <w:spacing w:before="17" w:line="249" w:lineRule="auto"/>
        <w:ind w:right="98" w:firstLine="450"/>
        <w:rPr>
          <w:rFonts w:hint="eastAsia"/>
          <w:color w:val="231F20"/>
        </w:rPr>
      </w:pPr>
      <w:r>
        <w:rPr>
          <w:rFonts w:hint="eastAsia"/>
          <w:color w:val="231F20"/>
        </w:rPr>
        <w:t>白石的确切含义尚不清楚：有人说它代表胜利，另一些人说代表（最终的）宣判无罪。4</w:t>
      </w:r>
    </w:p>
    <w:p w14:paraId="74A1A09F">
      <w:pPr>
        <w:pStyle w:val="9"/>
        <w:spacing w:before="17" w:line="249" w:lineRule="auto"/>
        <w:ind w:right="98" w:firstLine="450"/>
        <w:rPr>
          <w:rFonts w:hint="eastAsia"/>
          <w:color w:val="231F20"/>
        </w:rPr>
      </w:pPr>
    </w:p>
    <w:p w14:paraId="77F973D8">
      <w:pPr>
        <w:pStyle w:val="9"/>
        <w:spacing w:before="17" w:line="249" w:lineRule="auto"/>
        <w:ind w:right="98" w:firstLine="450"/>
        <w:rPr>
          <w:rFonts w:hint="eastAsia"/>
          <w:color w:val="231F20"/>
        </w:rPr>
      </w:pPr>
      <w:r>
        <w:rPr>
          <w:rFonts w:hint="eastAsia"/>
          <w:color w:val="231F20"/>
        </w:rPr>
        <w:t>Certainly its color calls to mind the shining robes of the glorified saints who will appear with their King at his Parousia (19:14), and who will thereafter worship God forever upon Mt. Zion (i.e., in the new heavens and the new earth, 3:4, 7:9, 13, 14:1f).</w:t>
      </w:r>
    </w:p>
    <w:p w14:paraId="62F6D515">
      <w:pPr>
        <w:pStyle w:val="9"/>
        <w:spacing w:before="17" w:line="249" w:lineRule="auto"/>
        <w:ind w:right="98" w:firstLine="450"/>
        <w:rPr>
          <w:rFonts w:hint="eastAsia"/>
          <w:color w:val="231F20"/>
        </w:rPr>
      </w:pPr>
      <w:r>
        <w:rPr>
          <w:rFonts w:hint="eastAsia"/>
          <w:color w:val="231F20"/>
        </w:rPr>
        <w:t>当然，它的颜色让人想起那些得荣耀的圣徒闪亮的袍子，他们将在他们的君王主临（Parousia）时与祂一同显现（19:14），此后将在锡安山上永远敬拜上帝（即，在新天新地里，3:4, 7:9, 13, 14:1及以下）。</w:t>
      </w:r>
    </w:p>
    <w:p w14:paraId="38C64AB2">
      <w:pPr>
        <w:pStyle w:val="9"/>
        <w:spacing w:before="17" w:line="249" w:lineRule="auto"/>
        <w:ind w:right="98" w:firstLine="450"/>
        <w:rPr>
          <w:rFonts w:hint="eastAsia"/>
          <w:color w:val="231F20"/>
        </w:rPr>
      </w:pPr>
    </w:p>
    <w:p w14:paraId="5B47A8DD">
      <w:pPr>
        <w:pStyle w:val="9"/>
        <w:spacing w:before="17" w:line="249" w:lineRule="auto"/>
        <w:ind w:right="98" w:firstLine="450"/>
        <w:rPr>
          <w:rFonts w:hint="eastAsia"/>
          <w:color w:val="231F20"/>
        </w:rPr>
      </w:pPr>
      <w:r>
        <w:rPr>
          <w:rFonts w:hint="eastAsia"/>
          <w:color w:val="231F20"/>
        </w:rPr>
        <w:t>As for the gift of a new name, Revelation 3:12 closely associates it with the World to Come, wherein the New Jerusalem shall dwell (see also 21:2); meanwhile, Revelation 19:2 and 16 suggest that it will be bestowed at the Parousia by the One who also will have a new Name.</w:t>
      </w:r>
    </w:p>
    <w:p w14:paraId="6A3DC518">
      <w:pPr>
        <w:pStyle w:val="9"/>
        <w:spacing w:before="17" w:line="249" w:lineRule="auto"/>
        <w:ind w:right="98" w:firstLine="450"/>
        <w:rPr>
          <w:rFonts w:hint="eastAsia"/>
          <w:color w:val="231F20"/>
        </w:rPr>
      </w:pPr>
      <w:r>
        <w:rPr>
          <w:rFonts w:hint="eastAsia"/>
          <w:color w:val="231F20"/>
        </w:rPr>
        <w:t>至于新名的恩赐，《启示录》3:12将其与将来的世界紧密联系在一起，新耶路撒冷将居住在其中（亦见21:2）；同时，《启示录》19:2和16暗示，这新名将在主临（Parousia）时由那位也将有新名的主所赐予。</w:t>
      </w:r>
    </w:p>
    <w:p w14:paraId="642F8297">
      <w:pPr>
        <w:pStyle w:val="9"/>
        <w:spacing w:before="17" w:line="249" w:lineRule="auto"/>
        <w:ind w:right="98" w:firstLine="450"/>
        <w:rPr>
          <w:rFonts w:hint="eastAsia"/>
          <w:color w:val="231F20"/>
        </w:rPr>
      </w:pPr>
    </w:p>
    <w:p w14:paraId="146FA118">
      <w:pPr>
        <w:pStyle w:val="9"/>
        <w:spacing w:before="17" w:line="249" w:lineRule="auto"/>
        <w:ind w:right="98" w:firstLine="450"/>
        <w:rPr>
          <w:rFonts w:hint="eastAsia"/>
          <w:color w:val="231F20"/>
        </w:rPr>
      </w:pPr>
      <w:r>
        <w:rPr>
          <w:rFonts w:hint="eastAsia"/>
          <w:color w:val="231F20"/>
        </w:rPr>
        <w:t>So then, everything in this promise directs the hope of the Christian to the Parousia, and to the new and eternal world that the Parousia will bring.</w:t>
      </w:r>
    </w:p>
    <w:p w14:paraId="6AB0E316">
      <w:pPr>
        <w:pStyle w:val="9"/>
        <w:spacing w:before="17" w:line="249" w:lineRule="auto"/>
        <w:ind w:right="98" w:firstLine="450"/>
        <w:rPr>
          <w:rFonts w:hint="eastAsia"/>
          <w:color w:val="231F20"/>
        </w:rPr>
      </w:pPr>
      <w:r>
        <w:rPr>
          <w:rFonts w:hint="eastAsia"/>
          <w:color w:val="231F20"/>
        </w:rPr>
        <w:t>所以，这个应许中的一切都将基督徒的盼望引向主临（Parousia），以及主临将带来的新的、永恒的世界。</w:t>
      </w:r>
    </w:p>
    <w:p w14:paraId="5B7FEAE8">
      <w:pPr>
        <w:pStyle w:val="9"/>
        <w:spacing w:before="17" w:line="249" w:lineRule="auto"/>
        <w:ind w:right="98" w:firstLine="450"/>
        <w:rPr>
          <w:rFonts w:hint="eastAsia"/>
          <w:color w:val="231F20"/>
        </w:rPr>
      </w:pPr>
    </w:p>
    <w:p w14:paraId="6C4DF9FB">
      <w:pPr>
        <w:pStyle w:val="9"/>
        <w:spacing w:before="17" w:line="249" w:lineRule="auto"/>
        <w:ind w:right="98" w:firstLine="450"/>
        <w:rPr>
          <w:rFonts w:hint="eastAsia"/>
          <w:color w:val="231F20"/>
        </w:rPr>
      </w:pPr>
      <w:r>
        <w:rPr>
          <w:rFonts w:hint="eastAsia"/>
          <w:color w:val="231F20"/>
        </w:rPr>
        <w:t>To the believers in Thyatira, the Lord says:</w:t>
      </w:r>
    </w:p>
    <w:p w14:paraId="1E256C36">
      <w:pPr>
        <w:pStyle w:val="9"/>
        <w:spacing w:before="17" w:line="249" w:lineRule="auto"/>
        <w:ind w:right="98" w:firstLine="450"/>
        <w:rPr>
          <w:rFonts w:hint="eastAsia"/>
          <w:color w:val="231F20"/>
        </w:rPr>
      </w:pPr>
      <w:r>
        <w:rPr>
          <w:rFonts w:hint="eastAsia"/>
          <w:color w:val="231F20"/>
        </w:rPr>
        <w:t>主对推雅推喇的信徒说：</w:t>
      </w:r>
    </w:p>
    <w:p w14:paraId="7D23DD4A">
      <w:pPr>
        <w:pStyle w:val="9"/>
        <w:spacing w:before="17" w:line="249" w:lineRule="auto"/>
        <w:ind w:right="98" w:firstLine="450"/>
        <w:rPr>
          <w:rFonts w:hint="eastAsia"/>
          <w:color w:val="231F20"/>
        </w:rPr>
      </w:pPr>
    </w:p>
    <w:p w14:paraId="49835263">
      <w:pPr>
        <w:pStyle w:val="9"/>
        <w:spacing w:before="17" w:line="249" w:lineRule="auto"/>
        <w:ind w:right="98" w:firstLine="450"/>
        <w:rPr>
          <w:rFonts w:hint="eastAsia"/>
          <w:color w:val="231F20"/>
        </w:rPr>
      </w:pPr>
      <w:r>
        <w:rPr>
          <w:rFonts w:hint="eastAsia"/>
          <w:color w:val="231F20"/>
        </w:rPr>
        <w:t>Only hold fast what you have until I come. The one who conquers and who keeps my works until the end, to him I will give authority over the nations, and he will rule them with a rod of iron, as when earthen pots are broken in pieces, even as I myself have received authority from my Father. And I will give him the morning star (2:25-28).</w:t>
      </w:r>
    </w:p>
    <w:p w14:paraId="3FECE17F">
      <w:pPr>
        <w:pStyle w:val="9"/>
        <w:spacing w:before="17" w:line="249" w:lineRule="auto"/>
        <w:ind w:right="98" w:firstLine="450"/>
        <w:rPr>
          <w:rFonts w:hint="eastAsia"/>
          <w:color w:val="231F20"/>
        </w:rPr>
      </w:pPr>
      <w:r>
        <w:rPr>
          <w:rFonts w:hint="eastAsia"/>
          <w:color w:val="231F20"/>
        </w:rPr>
        <w:t>但你们已经有的，总要持守，直等到我来。那得胜又遵守我命令到底的，我要赐给他权柄制伏列国，他必用铁杖辖管他们，将他们如同窑户的瓦器打得粉碎，像我从我父领受的权柄一样。我又要把晨星赐给他（2:25-28）。</w:t>
      </w:r>
    </w:p>
    <w:p w14:paraId="60E266C4">
      <w:pPr>
        <w:pStyle w:val="9"/>
        <w:spacing w:before="17" w:line="249" w:lineRule="auto"/>
        <w:ind w:right="98" w:firstLine="450"/>
        <w:rPr>
          <w:rFonts w:hint="eastAsia"/>
          <w:color w:val="231F20"/>
        </w:rPr>
      </w:pPr>
    </w:p>
    <w:p w14:paraId="45F34953">
      <w:pPr>
        <w:pStyle w:val="9"/>
        <w:spacing w:before="17" w:line="249" w:lineRule="auto"/>
        <w:ind w:right="98" w:firstLine="450"/>
        <w:rPr>
          <w:rFonts w:hint="eastAsia"/>
          <w:color w:val="231F20"/>
        </w:rPr>
      </w:pPr>
      <w:r>
        <w:rPr>
          <w:rFonts w:hint="eastAsia"/>
          <w:color w:val="231F20"/>
        </w:rPr>
        <w:t>Here again the Lord has in view the closing scenes of Salvation History, the end of all things (1 Peter 4:7).</w:t>
      </w:r>
    </w:p>
    <w:p w14:paraId="47AC3E72">
      <w:pPr>
        <w:pStyle w:val="9"/>
        <w:spacing w:before="17" w:line="249" w:lineRule="auto"/>
        <w:ind w:right="98" w:firstLine="450"/>
        <w:rPr>
          <w:rFonts w:hint="eastAsia"/>
          <w:color w:val="231F20"/>
        </w:rPr>
      </w:pPr>
      <w:r>
        <w:rPr>
          <w:rFonts w:hint="eastAsia"/>
          <w:color w:val="231F20"/>
        </w:rPr>
        <w:t>在这里，主再次着眼于救赎历史的闭幕场景，即万物的结局（彼得前书4:7）。</w:t>
      </w:r>
    </w:p>
    <w:p w14:paraId="01146182">
      <w:pPr>
        <w:pStyle w:val="9"/>
        <w:spacing w:before="17" w:line="249" w:lineRule="auto"/>
        <w:ind w:right="98" w:firstLine="450"/>
        <w:rPr>
          <w:rFonts w:hint="eastAsia"/>
          <w:color w:val="231F20"/>
        </w:rPr>
      </w:pPr>
    </w:p>
    <w:p w14:paraId="5CE3D99C">
      <w:pPr>
        <w:pStyle w:val="9"/>
        <w:spacing w:before="17" w:line="249" w:lineRule="auto"/>
        <w:ind w:right="98" w:firstLine="450"/>
        <w:rPr>
          <w:rFonts w:hint="eastAsia"/>
          <w:color w:val="231F20"/>
        </w:rPr>
      </w:pPr>
      <w:r>
        <w:rPr>
          <w:rFonts w:hint="eastAsia"/>
          <w:color w:val="231F20"/>
        </w:rPr>
        <w:t>Observe from v. 25 that he closely associates the end with his Parousia.</w:t>
      </w:r>
    </w:p>
    <w:p w14:paraId="47C2E829">
      <w:pPr>
        <w:pStyle w:val="9"/>
        <w:spacing w:before="17" w:line="249" w:lineRule="auto"/>
        <w:ind w:right="98" w:firstLine="450"/>
        <w:rPr>
          <w:rFonts w:hint="eastAsia"/>
          <w:color w:val="231F20"/>
        </w:rPr>
      </w:pPr>
      <w:r>
        <w:rPr>
          <w:rFonts w:hint="eastAsia"/>
          <w:color w:val="231F20"/>
        </w:rPr>
        <w:t>从第25节可以看出，祂将结局与祂的主临（Parousia）紧密联系在一起。</w:t>
      </w:r>
    </w:p>
    <w:p w14:paraId="39F4471C">
      <w:pPr>
        <w:pStyle w:val="9"/>
        <w:spacing w:before="17" w:line="249" w:lineRule="auto"/>
        <w:ind w:right="98" w:firstLine="450"/>
        <w:rPr>
          <w:rFonts w:hint="eastAsia"/>
          <w:color w:val="231F20"/>
        </w:rPr>
      </w:pPr>
    </w:p>
    <w:p w14:paraId="7D848BF6">
      <w:pPr>
        <w:pStyle w:val="9"/>
        <w:spacing w:before="17" w:line="249" w:lineRule="auto"/>
        <w:ind w:right="98" w:firstLine="450"/>
        <w:rPr>
          <w:rFonts w:hint="eastAsia"/>
          <w:color w:val="231F20"/>
        </w:rPr>
      </w:pPr>
      <w:r>
        <w:rPr>
          <w:rFonts w:hint="eastAsia"/>
          <w:color w:val="231F20"/>
        </w:rPr>
        <w:t>At that time, he will grant believers to have a share in administering the Last Judgment, even as the Father has granted Christ to execute it (John 5:27, Rom. 16:20, 1 Cor. 6:2).</w:t>
      </w:r>
    </w:p>
    <w:p w14:paraId="4018F47D">
      <w:pPr>
        <w:pStyle w:val="9"/>
        <w:spacing w:before="17" w:line="249" w:lineRule="auto"/>
        <w:ind w:right="98" w:firstLine="450"/>
        <w:rPr>
          <w:rFonts w:hint="eastAsia"/>
          <w:color w:val="231F20"/>
        </w:rPr>
      </w:pPr>
      <w:r>
        <w:rPr>
          <w:rFonts w:hint="eastAsia"/>
          <w:color w:val="231F20"/>
        </w:rPr>
        <w:t>到那时，祂将准许信徒有份于执行最后的审判，正如父已准许基督执行它一样（约翰福音5:27，罗马书16:20，哥林多前书6:2）。</w:t>
      </w:r>
    </w:p>
    <w:p w14:paraId="07406973">
      <w:pPr>
        <w:pStyle w:val="9"/>
        <w:spacing w:before="17" w:line="249" w:lineRule="auto"/>
        <w:ind w:right="98" w:firstLine="450"/>
        <w:rPr>
          <w:rFonts w:hint="eastAsia"/>
          <w:color w:val="231F20"/>
        </w:rPr>
      </w:pPr>
    </w:p>
    <w:p w14:paraId="1593422A">
      <w:pPr>
        <w:pStyle w:val="9"/>
        <w:spacing w:before="17" w:line="249" w:lineRule="auto"/>
        <w:ind w:right="98" w:firstLine="450"/>
        <w:rPr>
          <w:rFonts w:hint="eastAsia"/>
          <w:color w:val="231F20"/>
        </w:rPr>
      </w:pPr>
      <w:r>
        <w:rPr>
          <w:rFonts w:hint="eastAsia"/>
          <w:color w:val="231F20"/>
        </w:rPr>
        <w:t>It is not, as premillennarians assert, that they will rule over the nations for a thousand years with Christ, of which the text says not a word.</w:t>
      </w:r>
    </w:p>
    <w:p w14:paraId="66665710">
      <w:pPr>
        <w:pStyle w:val="9"/>
        <w:spacing w:before="17" w:line="249" w:lineRule="auto"/>
        <w:ind w:right="98" w:firstLine="450"/>
        <w:rPr>
          <w:rFonts w:hint="eastAsia"/>
          <w:color w:val="231F20"/>
        </w:rPr>
      </w:pPr>
      <w:r>
        <w:rPr>
          <w:rFonts w:hint="eastAsia"/>
          <w:color w:val="231F20"/>
        </w:rPr>
        <w:t>这并非像前千禧年主义者所断言的那样，他们将与基督一同统治列国一千年，对此经文只字未提。</w:t>
      </w:r>
    </w:p>
    <w:p w14:paraId="2D5331FC">
      <w:pPr>
        <w:pStyle w:val="9"/>
        <w:spacing w:before="17" w:line="249" w:lineRule="auto"/>
        <w:ind w:right="98" w:firstLine="450"/>
        <w:rPr>
          <w:rFonts w:hint="eastAsia"/>
          <w:color w:val="231F20"/>
        </w:rPr>
      </w:pPr>
    </w:p>
    <w:p w14:paraId="5459AE39">
      <w:pPr>
        <w:pStyle w:val="9"/>
        <w:spacing w:before="17" w:line="249" w:lineRule="auto"/>
        <w:ind w:right="98" w:firstLine="450"/>
        <w:rPr>
          <w:rFonts w:hint="eastAsia"/>
          <w:color w:val="231F20"/>
        </w:rPr>
      </w:pPr>
      <w:r>
        <w:rPr>
          <w:rFonts w:hint="eastAsia"/>
          <w:color w:val="231F20"/>
        </w:rPr>
        <w:t>Rather, it is that at the Judgment, they too, under Christ, will act the part of a shepherd (Gk., poimaino); a shepherd who uses his wooden club to destroy the enemies of the flock, even as a potter uses his iron rod to destroy rejected vessels of clay (2:27, Psalm 2:9-12).</w:t>
      </w:r>
    </w:p>
    <w:p w14:paraId="4D53462F">
      <w:pPr>
        <w:pStyle w:val="9"/>
        <w:spacing w:before="17" w:line="249" w:lineRule="auto"/>
        <w:ind w:right="98" w:firstLine="450"/>
        <w:rPr>
          <w:rFonts w:hint="eastAsia"/>
          <w:color w:val="231F20"/>
        </w:rPr>
      </w:pPr>
      <w:r>
        <w:rPr>
          <w:rFonts w:hint="eastAsia"/>
          <w:color w:val="231F20"/>
        </w:rPr>
        <w:t>而是说，在审判时，他们也将在基督之下，扮演牧人的角色（希腊文，poimaino）；一个用木棍摧毁羊群之敌的牧人，就像窑匠用铁杖打碎被弃的瓦器一样（2:27，诗篇2:9-12）。</w:t>
      </w:r>
    </w:p>
    <w:p w14:paraId="5A9FABC2">
      <w:pPr>
        <w:pStyle w:val="9"/>
        <w:spacing w:before="17" w:line="249" w:lineRule="auto"/>
        <w:ind w:right="98" w:firstLine="450"/>
        <w:rPr>
          <w:rFonts w:hint="eastAsia"/>
          <w:color w:val="231F20"/>
        </w:rPr>
      </w:pPr>
    </w:p>
    <w:p w14:paraId="7303E61F">
      <w:pPr>
        <w:pStyle w:val="9"/>
        <w:spacing w:before="17" w:line="249" w:lineRule="auto"/>
        <w:ind w:right="98" w:firstLine="450"/>
        <w:rPr>
          <w:rFonts w:hint="eastAsia"/>
          <w:color w:val="231F20"/>
        </w:rPr>
      </w:pPr>
      <w:r>
        <w:rPr>
          <w:rFonts w:hint="eastAsia"/>
          <w:color w:val="231F20"/>
        </w:rPr>
        <w:t>Observe also from v. 28 that in addition to granting believers a share in the Last Judgment, the Lord also will grant them the Morning Star.</w:t>
      </w:r>
    </w:p>
    <w:p w14:paraId="12C34829">
      <w:pPr>
        <w:pStyle w:val="9"/>
        <w:spacing w:before="17" w:line="249" w:lineRule="auto"/>
        <w:ind w:right="98" w:firstLine="450"/>
        <w:rPr>
          <w:rFonts w:hint="eastAsia"/>
          <w:color w:val="231F20"/>
        </w:rPr>
      </w:pPr>
      <w:r>
        <w:rPr>
          <w:rFonts w:hint="eastAsia"/>
          <w:color w:val="231F20"/>
        </w:rPr>
        <w:t>从第28节也可见，主除了准许信徒有份于最后的审判，还将赐给他们晨星。</w:t>
      </w:r>
    </w:p>
    <w:p w14:paraId="6E4C2986">
      <w:pPr>
        <w:pStyle w:val="9"/>
        <w:spacing w:before="17" w:line="249" w:lineRule="auto"/>
        <w:ind w:right="98" w:firstLine="450"/>
        <w:rPr>
          <w:rFonts w:hint="eastAsia"/>
          <w:color w:val="231F20"/>
        </w:rPr>
      </w:pPr>
    </w:p>
    <w:p w14:paraId="2907E8C4">
      <w:pPr>
        <w:pStyle w:val="9"/>
        <w:spacing w:before="17" w:line="249" w:lineRule="auto"/>
        <w:ind w:right="98" w:firstLine="450"/>
        <w:rPr>
          <w:rFonts w:hint="eastAsia"/>
          <w:color w:val="231F20"/>
        </w:rPr>
      </w:pPr>
      <w:r>
        <w:rPr>
          <w:rFonts w:hint="eastAsia"/>
          <w:color w:val="231F20"/>
        </w:rPr>
        <w:t>The morning star is Christ (22:16), but especially Christ at his Coming, which will mark the dawn of the Age to Come (2 Peter 1:19).</w:t>
      </w:r>
    </w:p>
    <w:p w14:paraId="119B455A">
      <w:pPr>
        <w:pStyle w:val="9"/>
        <w:spacing w:before="17" w:line="249" w:lineRule="auto"/>
        <w:ind w:right="98" w:firstLine="450"/>
        <w:rPr>
          <w:rFonts w:hint="eastAsia"/>
          <w:color w:val="231F20"/>
        </w:rPr>
      </w:pPr>
      <w:r>
        <w:rPr>
          <w:rFonts w:hint="eastAsia"/>
          <w:color w:val="231F20"/>
        </w:rPr>
        <w:t>晨星是基督（22:16），但特别是指祂降临时的基督，这将标志着将来世代的黎明（彼得后书1:19）。</w:t>
      </w:r>
    </w:p>
    <w:p w14:paraId="48B512BE">
      <w:pPr>
        <w:pStyle w:val="9"/>
        <w:spacing w:before="17" w:line="249" w:lineRule="auto"/>
        <w:ind w:right="98" w:firstLine="450"/>
        <w:rPr>
          <w:rFonts w:hint="eastAsia"/>
          <w:color w:val="231F20"/>
        </w:rPr>
      </w:pPr>
    </w:p>
    <w:p w14:paraId="69D9782E">
      <w:pPr>
        <w:pStyle w:val="9"/>
        <w:spacing w:before="17" w:line="249" w:lineRule="auto"/>
        <w:ind w:right="98" w:firstLine="450"/>
        <w:rPr>
          <w:rFonts w:hint="eastAsia"/>
          <w:color w:val="231F20"/>
        </w:rPr>
      </w:pPr>
      <w:r>
        <w:rPr>
          <w:rFonts w:hint="eastAsia"/>
          <w:color w:val="231F20"/>
        </w:rPr>
        <w:t>So then, this rich passage rivets the hope of the Thyatirans— and all Christians—on the end: the Last Judgment and the dawn of the new world that will come at the Parousia of the High King of Heaven.</w:t>
      </w:r>
    </w:p>
    <w:p w14:paraId="371C60D1">
      <w:pPr>
        <w:pStyle w:val="9"/>
        <w:spacing w:before="17" w:line="249" w:lineRule="auto"/>
        <w:ind w:right="98" w:firstLine="450"/>
        <w:rPr>
          <w:rFonts w:hint="eastAsia"/>
          <w:color w:val="231F20"/>
        </w:rPr>
      </w:pPr>
      <w:r>
        <w:rPr>
          <w:rFonts w:hint="eastAsia"/>
          <w:color w:val="231F20"/>
        </w:rPr>
        <w:t>所以，这段丰富的经文将推雅推喇信徒——以及所有基督徒——的盼望牢牢地定睛在末了：最后的审判和新世界的黎明，这将在天上至高君王的主临（Parousia）时来到。</w:t>
      </w:r>
    </w:p>
    <w:p w14:paraId="5ACEE5BE">
      <w:pPr>
        <w:pStyle w:val="9"/>
        <w:spacing w:before="17" w:line="249" w:lineRule="auto"/>
        <w:ind w:right="98" w:firstLine="450"/>
        <w:rPr>
          <w:rFonts w:hint="eastAsia"/>
          <w:color w:val="231F20"/>
        </w:rPr>
      </w:pPr>
    </w:p>
    <w:p w14:paraId="523F52EE">
      <w:pPr>
        <w:pStyle w:val="9"/>
        <w:spacing w:before="17" w:line="249" w:lineRule="auto"/>
        <w:ind w:right="98" w:firstLine="450"/>
        <w:rPr>
          <w:rFonts w:hint="eastAsia"/>
          <w:color w:val="231F20"/>
        </w:rPr>
      </w:pPr>
      <w:r>
        <w:rPr>
          <w:rFonts w:hint="eastAsia"/>
          <w:color w:val="231F20"/>
        </w:rPr>
        <w:t>To the overcomers at Sardis, Christ promises that they will walk with him in white, that he will never blot out their name from the Book of Life, and that he will confess their name before the Father and his holy angels (3:5).</w:t>
      </w:r>
    </w:p>
    <w:p w14:paraId="59DCF70B">
      <w:pPr>
        <w:pStyle w:val="9"/>
        <w:spacing w:before="17" w:line="249" w:lineRule="auto"/>
        <w:ind w:right="98" w:firstLine="450"/>
        <w:rPr>
          <w:rFonts w:hint="eastAsia"/>
          <w:color w:val="231F20"/>
        </w:rPr>
      </w:pPr>
      <w:r>
        <w:rPr>
          <w:rFonts w:hint="eastAsia"/>
          <w:color w:val="231F20"/>
        </w:rPr>
        <w:t>对撒狄的得胜者，基督应许他们将与祂同穿白衣，祂也必不从生命册上涂抹他们的名，且要在父和祂的众圣天使面前，认他们的名（3:5）。</w:t>
      </w:r>
    </w:p>
    <w:p w14:paraId="249D4B95">
      <w:pPr>
        <w:pStyle w:val="9"/>
        <w:spacing w:before="17" w:line="249" w:lineRule="auto"/>
        <w:ind w:right="98" w:firstLine="450"/>
        <w:rPr>
          <w:rFonts w:hint="eastAsia"/>
          <w:color w:val="231F20"/>
        </w:rPr>
      </w:pPr>
    </w:p>
    <w:p w14:paraId="20DD1137">
      <w:pPr>
        <w:pStyle w:val="9"/>
        <w:spacing w:before="17" w:line="249" w:lineRule="auto"/>
        <w:ind w:right="98" w:firstLine="450"/>
        <w:rPr>
          <w:rFonts w:hint="eastAsia"/>
          <w:color w:val="231F20"/>
        </w:rPr>
      </w:pPr>
      <w:r>
        <w:rPr>
          <w:rFonts w:hint="eastAsia"/>
          <w:color w:val="231F20"/>
        </w:rPr>
        <w:t>The last of these three blessings is a recurring theme in the NT: The saints are to maintain their good confession firm until the end, so that when Christ returns with all the holy angels for the Last Judgment he can confess them as true believers, and therefore grant them eternal life in the consummated Kingdom (Mt. 25:31, Mark 8:38, Luke 9:26, 12:8, 1 Tim. 6:12-13).</w:t>
      </w:r>
    </w:p>
    <w:p w14:paraId="1AD17710">
      <w:pPr>
        <w:pStyle w:val="9"/>
        <w:spacing w:before="17" w:line="249" w:lineRule="auto"/>
        <w:ind w:right="98" w:firstLine="450"/>
        <w:rPr>
          <w:rFonts w:hint="eastAsia"/>
          <w:color w:val="231F20"/>
        </w:rPr>
      </w:pPr>
      <w:r>
        <w:rPr>
          <w:rFonts w:hint="eastAsia"/>
          <w:color w:val="231F20"/>
        </w:rPr>
        <w:t>这三个福分中的最后一个是新约中一个反复出现的主题：圣徒要持守他们美好的认信直到末了，这样当基督为施行最后审判与众圣天使一同再来时，祂就能承认他们是真信徒，从而在成全的国度里赐给他们永生（太25:31，可8:38，路9:26，12:8，提前6:12-13）。</w:t>
      </w:r>
    </w:p>
    <w:p w14:paraId="0468EFD3">
      <w:pPr>
        <w:pStyle w:val="9"/>
        <w:spacing w:before="17" w:line="249" w:lineRule="auto"/>
        <w:ind w:right="98" w:firstLine="450"/>
        <w:rPr>
          <w:rFonts w:hint="eastAsia"/>
          <w:color w:val="231F20"/>
        </w:rPr>
      </w:pPr>
    </w:p>
    <w:p w14:paraId="07A4E507">
      <w:pPr>
        <w:pStyle w:val="9"/>
        <w:spacing w:before="17" w:line="249" w:lineRule="auto"/>
        <w:ind w:right="98" w:firstLine="450"/>
        <w:rPr>
          <w:rFonts w:hint="eastAsia"/>
          <w:color w:val="231F20"/>
        </w:rPr>
      </w:pPr>
      <w:r>
        <w:rPr>
          <w:rFonts w:hint="eastAsia"/>
          <w:color w:val="231F20"/>
        </w:rPr>
        <w:t>For Christ to confess their name in that Day is for them to enter the eternal World to Come (Mt. 25:31-46).5</w:t>
      </w:r>
    </w:p>
    <w:p w14:paraId="73C3938C">
      <w:pPr>
        <w:pStyle w:val="9"/>
        <w:spacing w:before="17" w:line="249" w:lineRule="auto"/>
        <w:ind w:right="98" w:firstLine="450"/>
        <w:rPr>
          <w:rFonts w:hint="eastAsia"/>
          <w:color w:val="231F20"/>
        </w:rPr>
      </w:pPr>
      <w:r>
        <w:rPr>
          <w:rFonts w:hint="eastAsia"/>
          <w:color w:val="231F20"/>
        </w:rPr>
        <w:t>基督在那日承认他们的名，就意味着他们将进入永恒的将来世界（太25:31-46）。5</w:t>
      </w:r>
    </w:p>
    <w:p w14:paraId="7BAC0BB7">
      <w:pPr>
        <w:pStyle w:val="9"/>
        <w:spacing w:before="17" w:line="249" w:lineRule="auto"/>
        <w:ind w:right="98" w:firstLine="450"/>
        <w:rPr>
          <w:rFonts w:hint="eastAsia"/>
          <w:color w:val="231F20"/>
        </w:rPr>
      </w:pPr>
    </w:p>
    <w:p w14:paraId="687E7E36">
      <w:pPr>
        <w:pStyle w:val="9"/>
        <w:spacing w:before="17" w:line="249" w:lineRule="auto"/>
        <w:ind w:right="98" w:firstLine="450"/>
        <w:rPr>
          <w:rFonts w:hint="eastAsia"/>
          <w:color w:val="231F20"/>
        </w:rPr>
      </w:pPr>
      <w:r>
        <w:rPr>
          <w:rFonts w:hint="eastAsia"/>
          <w:color w:val="231F20"/>
        </w:rPr>
        <w:t>To the overcomers at Philadelphia the High King promises that he will make them a pillar in the temple of his God; that they will never leave it; and that he will write on them his name, the name of his God, and the name of the City of his God, which is New Jerusalem (3:12).</w:t>
      </w:r>
    </w:p>
    <w:p w14:paraId="7CCAEACA">
      <w:pPr>
        <w:pStyle w:val="9"/>
        <w:spacing w:before="17" w:line="249" w:lineRule="auto"/>
        <w:ind w:right="98" w:firstLine="450"/>
        <w:rPr>
          <w:rFonts w:hint="eastAsia"/>
          <w:color w:val="231F20"/>
        </w:rPr>
      </w:pPr>
      <w:r>
        <w:rPr>
          <w:rFonts w:hint="eastAsia"/>
          <w:color w:val="231F20"/>
        </w:rPr>
        <w:t>对非拉铁非的得胜者，至高君王应许祂要叫他们在祂上帝的殿中作柱石；他们也必不再从那里出去；祂又要将祂上帝的名和祂上帝城的名，这城就是新耶路撒冷，并祂的新名，都写在他们上面（3:12）。</w:t>
      </w:r>
    </w:p>
    <w:p w14:paraId="1E04EF0D">
      <w:pPr>
        <w:pStyle w:val="9"/>
        <w:spacing w:before="17" w:line="249" w:lineRule="auto"/>
        <w:ind w:right="98" w:firstLine="450"/>
        <w:rPr>
          <w:rFonts w:hint="eastAsia"/>
          <w:color w:val="231F20"/>
        </w:rPr>
      </w:pPr>
    </w:p>
    <w:p w14:paraId="0C4F7E1C">
      <w:pPr>
        <w:pStyle w:val="9"/>
        <w:spacing w:before="17" w:line="249" w:lineRule="auto"/>
        <w:ind w:right="98" w:firstLine="450"/>
        <w:rPr>
          <w:rFonts w:hint="eastAsia"/>
          <w:color w:val="231F20"/>
        </w:rPr>
      </w:pPr>
      <w:r>
        <w:rPr>
          <w:rFonts w:hint="eastAsia"/>
          <w:color w:val="231F20"/>
        </w:rPr>
        <w:t>Here again the imagery anticipates John’s later depictions of the glorified Bride of Christ living with God—and as the Temple of God—in the new heavens and the new earth (21-22).</w:t>
      </w:r>
    </w:p>
    <w:p w14:paraId="20C36702">
      <w:pPr>
        <w:pStyle w:val="9"/>
        <w:spacing w:before="17" w:line="249" w:lineRule="auto"/>
        <w:ind w:right="98" w:firstLine="450"/>
        <w:rPr>
          <w:rFonts w:hint="eastAsia"/>
          <w:color w:val="231F20"/>
        </w:rPr>
      </w:pPr>
      <w:r>
        <w:rPr>
          <w:rFonts w:hint="eastAsia"/>
          <w:color w:val="231F20"/>
        </w:rPr>
        <w:t>这里的意象再次预示了约翰后来对得荣耀的基督新妇的描绘，她将在新天新地中与上帝同住——并作为上帝的殿（21-22章）。</w:t>
      </w:r>
    </w:p>
    <w:p w14:paraId="4DEDBBAE">
      <w:pPr>
        <w:pStyle w:val="9"/>
        <w:spacing w:before="17" w:line="249" w:lineRule="auto"/>
        <w:ind w:right="98" w:firstLine="450"/>
        <w:rPr>
          <w:rFonts w:hint="eastAsia"/>
          <w:color w:val="231F20"/>
        </w:rPr>
      </w:pPr>
    </w:p>
    <w:p w14:paraId="03A1F16A">
      <w:pPr>
        <w:pStyle w:val="9"/>
        <w:spacing w:before="17" w:line="249" w:lineRule="auto"/>
        <w:ind w:right="98" w:firstLine="450"/>
        <w:rPr>
          <w:rFonts w:hint="eastAsia"/>
          <w:color w:val="231F20"/>
        </w:rPr>
      </w:pPr>
      <w:r>
        <w:rPr>
          <w:rFonts w:hint="eastAsia"/>
          <w:color w:val="231F20"/>
        </w:rPr>
        <w:t>Finally, to the overcomers in Laodicea the King promises that he will grant them to sit with him on his throne, even as the Father granted that he should sit with him on his (3:21).</w:t>
      </w:r>
    </w:p>
    <w:p w14:paraId="32A91990">
      <w:pPr>
        <w:pStyle w:val="9"/>
        <w:spacing w:before="17" w:line="249" w:lineRule="auto"/>
        <w:ind w:right="98" w:firstLine="450"/>
        <w:rPr>
          <w:rFonts w:hint="eastAsia"/>
          <w:color w:val="231F20"/>
        </w:rPr>
      </w:pPr>
      <w:r>
        <w:rPr>
          <w:rFonts w:hint="eastAsia"/>
          <w:color w:val="231F20"/>
        </w:rPr>
        <w:t>最后，王对应许老底嘉的得胜者，祂要赐他们在祂宝座上与祂同坐，就如祂得了胜，在祂父的宝座上与祂同坐一般（3:21）。</w:t>
      </w:r>
    </w:p>
    <w:p w14:paraId="7CD3709B">
      <w:pPr>
        <w:pStyle w:val="9"/>
        <w:spacing w:before="17" w:line="249" w:lineRule="auto"/>
        <w:ind w:right="98" w:firstLine="450"/>
        <w:rPr>
          <w:rFonts w:hint="eastAsia"/>
          <w:color w:val="231F20"/>
        </w:rPr>
      </w:pPr>
    </w:p>
    <w:p w14:paraId="46AAA0B5">
      <w:pPr>
        <w:pStyle w:val="9"/>
        <w:spacing w:before="17" w:line="249" w:lineRule="auto"/>
        <w:ind w:right="98" w:firstLine="450"/>
        <w:rPr>
          <w:rFonts w:hint="eastAsia"/>
          <w:color w:val="231F20"/>
        </w:rPr>
      </w:pPr>
      <w:r>
        <w:rPr>
          <w:rFonts w:hint="eastAsia"/>
          <w:color w:val="231F20"/>
        </w:rPr>
        <w:t>Admittedly, this could be construed as a promise to the effect that the disembodied spirits of the saints will have a share in the heavenly mediatorial reign of Christ during the intermediate state (Rev. 20:4-6).</w:t>
      </w:r>
    </w:p>
    <w:p w14:paraId="7F340630">
      <w:pPr>
        <w:pStyle w:val="9"/>
        <w:spacing w:before="17" w:line="249" w:lineRule="auto"/>
        <w:ind w:right="98" w:firstLine="450"/>
        <w:rPr>
          <w:rFonts w:hint="eastAsia"/>
          <w:color w:val="231F20"/>
        </w:rPr>
      </w:pPr>
      <w:r>
        <w:rPr>
          <w:rFonts w:hint="eastAsia"/>
          <w:color w:val="231F20"/>
        </w:rPr>
        <w:t>诚然，这可以被解释为一个应许，即圣徒脱离身体的灵魂将在中间状态时有份于基督在天上的中保统治（启20:4-6）。</w:t>
      </w:r>
    </w:p>
    <w:p w14:paraId="30B68032">
      <w:pPr>
        <w:pStyle w:val="9"/>
        <w:spacing w:before="17" w:line="249" w:lineRule="auto"/>
        <w:ind w:right="98" w:firstLine="450"/>
        <w:rPr>
          <w:rFonts w:hint="eastAsia"/>
          <w:color w:val="231F20"/>
        </w:rPr>
      </w:pPr>
    </w:p>
    <w:p w14:paraId="201437F2">
      <w:pPr>
        <w:pStyle w:val="9"/>
        <w:spacing w:before="17" w:line="249" w:lineRule="auto"/>
        <w:ind w:right="98" w:firstLine="450"/>
        <w:rPr>
          <w:rFonts w:hint="eastAsia"/>
          <w:color w:val="231F20"/>
        </w:rPr>
      </w:pPr>
      <w:r>
        <w:rPr>
          <w:rFonts w:hint="eastAsia"/>
          <w:color w:val="231F20"/>
        </w:rPr>
        <w:t>However, all the preceding promises, which have had in view the final destiny of the saints, militate against this.</w:t>
      </w:r>
    </w:p>
    <w:p w14:paraId="4DFA0A90">
      <w:pPr>
        <w:pStyle w:val="9"/>
        <w:spacing w:before="17" w:line="249" w:lineRule="auto"/>
        <w:ind w:right="98" w:firstLine="450"/>
        <w:rPr>
          <w:rFonts w:hint="eastAsia"/>
          <w:color w:val="231F20"/>
        </w:rPr>
      </w:pPr>
      <w:r>
        <w:rPr>
          <w:rFonts w:hint="eastAsia"/>
          <w:color w:val="231F20"/>
        </w:rPr>
        <w:t>然而，所有之前的应许，都着眼于圣徒最终的命运，这与上述解释相悖。</w:t>
      </w:r>
    </w:p>
    <w:p w14:paraId="5710DB4B">
      <w:pPr>
        <w:pStyle w:val="9"/>
        <w:spacing w:before="17" w:line="249" w:lineRule="auto"/>
        <w:ind w:right="98" w:firstLine="450"/>
        <w:rPr>
          <w:rFonts w:hint="eastAsia"/>
          <w:color w:val="231F20"/>
        </w:rPr>
      </w:pPr>
    </w:p>
    <w:p w14:paraId="2A02D2DE">
      <w:pPr>
        <w:pStyle w:val="9"/>
        <w:spacing w:before="17" w:line="249" w:lineRule="auto"/>
        <w:ind w:right="98" w:firstLine="450"/>
        <w:rPr>
          <w:rFonts w:hint="eastAsia"/>
          <w:color w:val="231F20"/>
        </w:rPr>
      </w:pPr>
      <w:r>
        <w:rPr>
          <w:rFonts w:hint="eastAsia"/>
          <w:color w:val="231F20"/>
        </w:rPr>
        <w:t>It seems best, then, to view this as an echo of other NT texts that promise the victorious saints a measure of cosmic authority “in the regeneration,” in the Day when the kingdoms of this world will have become the Kingdom of our LORD and of his Christ (11:15; Daniel 7:18, 27, Mt. 28, Luke 19:17).</w:t>
      </w:r>
    </w:p>
    <w:p w14:paraId="6286DC63">
      <w:pPr>
        <w:pStyle w:val="9"/>
        <w:spacing w:before="17" w:line="249" w:lineRule="auto"/>
        <w:ind w:right="98" w:firstLine="450"/>
        <w:rPr>
          <w:rFonts w:hint="eastAsia"/>
          <w:color w:val="231F20"/>
        </w:rPr>
      </w:pPr>
      <w:r>
        <w:rPr>
          <w:rFonts w:hint="eastAsia"/>
          <w:color w:val="231F20"/>
        </w:rPr>
        <w:t>因此，最好将此视为对其他新约经文的回响，这些经文应许得胜的圣徒“在复兴的时候”将获得一定程度的宇宙权柄，即在世上的国成了我主和主基督的国的日子（11:15；但以理书7:18, 27，太28，路19:17）。</w:t>
      </w:r>
    </w:p>
    <w:p w14:paraId="1011760A">
      <w:pPr>
        <w:pStyle w:val="9"/>
        <w:spacing w:before="17" w:line="249" w:lineRule="auto"/>
        <w:ind w:right="98" w:firstLine="450"/>
        <w:rPr>
          <w:rFonts w:hint="eastAsia"/>
          <w:color w:val="231F20"/>
        </w:rPr>
      </w:pPr>
    </w:p>
    <w:p w14:paraId="2273689B">
      <w:pPr>
        <w:pStyle w:val="9"/>
        <w:spacing w:before="17" w:line="249" w:lineRule="auto"/>
        <w:ind w:right="98" w:firstLine="450"/>
        <w:rPr>
          <w:rFonts w:hint="eastAsia"/>
          <w:color w:val="231F20"/>
        </w:rPr>
      </w:pPr>
      <w:r>
        <w:rPr>
          <w:rFonts w:hint="eastAsia"/>
          <w:color w:val="231F20"/>
        </w:rPr>
        <w:t>Summing up, we have seen that bloc 2 of the Revelation is indeed a Message of the High King (and Prophet) of Heaven to his Universal Church.</w:t>
      </w:r>
    </w:p>
    <w:p w14:paraId="7CB3F26A">
      <w:pPr>
        <w:pStyle w:val="9"/>
        <w:spacing w:before="17" w:line="249" w:lineRule="auto"/>
        <w:ind w:right="98" w:firstLine="450"/>
        <w:rPr>
          <w:rFonts w:hint="eastAsia"/>
          <w:color w:val="231F20"/>
        </w:rPr>
      </w:pPr>
      <w:r>
        <w:rPr>
          <w:rFonts w:hint="eastAsia"/>
          <w:color w:val="231F20"/>
        </w:rPr>
        <w:t>总结来说，我们已经看到《启示录》的第二区块确实是天上的至高君王（和先知）给祂普世教会的信息。</w:t>
      </w:r>
    </w:p>
    <w:p w14:paraId="6D45D35A">
      <w:pPr>
        <w:pStyle w:val="9"/>
        <w:spacing w:before="17" w:line="249" w:lineRule="auto"/>
        <w:ind w:right="98" w:firstLine="450"/>
        <w:rPr>
          <w:rFonts w:hint="eastAsia"/>
          <w:color w:val="231F20"/>
        </w:rPr>
      </w:pPr>
    </w:p>
    <w:p w14:paraId="3B7342FF">
      <w:pPr>
        <w:pStyle w:val="9"/>
        <w:spacing w:before="17" w:line="249" w:lineRule="auto"/>
        <w:ind w:right="98" w:firstLine="450"/>
        <w:rPr>
          <w:rFonts w:hint="eastAsia"/>
          <w:color w:val="231F20"/>
        </w:rPr>
      </w:pPr>
      <w:r>
        <w:rPr>
          <w:rFonts w:hint="eastAsia"/>
          <w:color w:val="231F20"/>
        </w:rPr>
        <w:t>Moreover, we have seen that this bloc reflects a definite eschatological outlook, an outlook no different from that of the first bloc, and no different from that of the rest of the NT.</w:t>
      </w:r>
    </w:p>
    <w:p w14:paraId="303BBE5B">
      <w:pPr>
        <w:pStyle w:val="9"/>
        <w:spacing w:before="17" w:line="249" w:lineRule="auto"/>
        <w:ind w:right="98" w:firstLine="450"/>
        <w:rPr>
          <w:rFonts w:hint="eastAsia"/>
          <w:color w:val="231F20"/>
        </w:rPr>
      </w:pPr>
      <w:r>
        <w:rPr>
          <w:rFonts w:hint="eastAsia"/>
          <w:color w:val="231F20"/>
        </w:rPr>
        <w:t>此外，我们已经看到这个区块反映了一个明确的末世论观点，这个观点与第一区块的观点无异，也与新约其余部分的观点无异。</w:t>
      </w:r>
    </w:p>
    <w:p w14:paraId="21260EB3">
      <w:pPr>
        <w:pStyle w:val="9"/>
        <w:spacing w:before="17" w:line="249" w:lineRule="auto"/>
        <w:ind w:right="98" w:firstLine="450"/>
        <w:rPr>
          <w:rFonts w:hint="eastAsia"/>
          <w:color w:val="231F20"/>
        </w:rPr>
      </w:pPr>
    </w:p>
    <w:p w14:paraId="7039CECF">
      <w:pPr>
        <w:pStyle w:val="9"/>
        <w:spacing w:before="17" w:line="249" w:lineRule="auto"/>
        <w:ind w:right="98" w:firstLine="450"/>
        <w:rPr>
          <w:rFonts w:hint="eastAsia"/>
          <w:color w:val="231F20"/>
        </w:rPr>
      </w:pPr>
      <w:r>
        <w:rPr>
          <w:rFonts w:hint="eastAsia"/>
          <w:color w:val="231F20"/>
        </w:rPr>
        <w:t>According to this outlook, there is but one spiritual Kingdom, divided into two simple stages, separated by a single Parousia of Christ at the end of the age, when he himself will consummate Salvation History in final judgment and redemption.</w:t>
      </w:r>
    </w:p>
    <w:p w14:paraId="1768D1EE">
      <w:pPr>
        <w:pStyle w:val="9"/>
        <w:spacing w:before="17" w:line="249" w:lineRule="auto"/>
        <w:ind w:right="98" w:firstLine="450"/>
        <w:rPr>
          <w:rFonts w:hint="eastAsia"/>
          <w:color w:val="231F20"/>
        </w:rPr>
      </w:pPr>
      <w:r>
        <w:rPr>
          <w:rFonts w:hint="eastAsia"/>
          <w:color w:val="231F20"/>
        </w:rPr>
        <w:t>根据这个观点，只有一个属灵的国度，分为两个简单的阶段，由基督在世代末了的一次主临（Parousia）所分隔，届时祂自己将以最后的审判和救赎来成全救赎历史。</w:t>
      </w:r>
    </w:p>
    <w:p w14:paraId="31ADE614">
      <w:pPr>
        <w:pStyle w:val="9"/>
        <w:spacing w:before="17" w:line="249" w:lineRule="auto"/>
        <w:ind w:right="98" w:firstLine="450"/>
        <w:rPr>
          <w:rFonts w:hint="eastAsia"/>
          <w:color w:val="231F20"/>
        </w:rPr>
      </w:pPr>
    </w:p>
    <w:p w14:paraId="6C60C64A">
      <w:pPr>
        <w:pStyle w:val="9"/>
        <w:spacing w:before="17" w:line="249" w:lineRule="auto"/>
        <w:ind w:right="98" w:firstLine="450"/>
        <w:rPr>
          <w:rFonts w:hint="eastAsia"/>
          <w:color w:val="231F20"/>
        </w:rPr>
      </w:pPr>
      <w:r>
        <w:rPr>
          <w:rFonts w:hint="eastAsia"/>
          <w:color w:val="231F20"/>
        </w:rPr>
        <w:t>This perspective is especially evident in the Lord’s promises to the seven churches, which say nothing at all of multiple comings, multiple resurrections, multiple judgments, or a future millennial reign upon the earth.</w:t>
      </w:r>
    </w:p>
    <w:p w14:paraId="6ECFA12F">
      <w:pPr>
        <w:pStyle w:val="9"/>
        <w:spacing w:before="17" w:line="249" w:lineRule="auto"/>
        <w:ind w:right="98" w:firstLine="450"/>
        <w:rPr>
          <w:rFonts w:hint="eastAsia"/>
          <w:color w:val="231F20"/>
        </w:rPr>
      </w:pPr>
      <w:r>
        <w:rPr>
          <w:rFonts w:hint="eastAsia"/>
          <w:color w:val="231F20"/>
        </w:rPr>
        <w:t>这一观点在主给七个教会的应许中尤为明显，这些应许完全没有提及多次降临、多次复活、多次审判，或未来在地上千禧年的统治。</w:t>
      </w:r>
    </w:p>
    <w:p w14:paraId="2B10EBB2">
      <w:pPr>
        <w:pStyle w:val="9"/>
        <w:spacing w:before="17" w:line="249" w:lineRule="auto"/>
        <w:ind w:right="98" w:firstLine="450"/>
        <w:rPr>
          <w:rFonts w:hint="eastAsia"/>
          <w:color w:val="231F20"/>
        </w:rPr>
      </w:pPr>
    </w:p>
    <w:p w14:paraId="2342FAC3">
      <w:pPr>
        <w:pStyle w:val="9"/>
        <w:spacing w:before="17" w:line="249" w:lineRule="auto"/>
        <w:ind w:right="98" w:firstLine="450"/>
        <w:rPr>
          <w:rFonts w:hint="eastAsia"/>
          <w:color w:val="231F20"/>
        </w:rPr>
      </w:pPr>
      <w:r>
        <w:rPr>
          <w:rFonts w:hint="eastAsia"/>
          <w:color w:val="231F20"/>
        </w:rPr>
        <w:t>No, for the High King of Heaven the Blessed Hope of his Church is simply “the end,” when he comes again in glory to judge the world in righteousness and bestow upon his beloved Bride eternal life in the new heavens and the new earth.</w:t>
      </w:r>
    </w:p>
    <w:p w14:paraId="13B2DDE6">
      <w:pPr>
        <w:pStyle w:val="9"/>
        <w:spacing w:before="17" w:line="249" w:lineRule="auto"/>
        <w:ind w:right="98" w:firstLine="450"/>
        <w:rPr>
          <w:rFonts w:hint="eastAsia"/>
          <w:color w:val="231F20"/>
        </w:rPr>
      </w:pPr>
      <w:r>
        <w:rPr>
          <w:rFonts w:hint="eastAsia"/>
          <w:color w:val="231F20"/>
        </w:rPr>
        <w:t>不，对于天上的至高君王而言，祂教会的有福盼望仅仅是“末了”，那时祂在荣耀中再来，按公义审判世界，并将永生赐给祂挚爱的新妇，在新天新地里。</w:t>
      </w:r>
    </w:p>
    <w:p w14:paraId="74561169">
      <w:pPr>
        <w:pStyle w:val="9"/>
        <w:spacing w:before="17" w:line="249" w:lineRule="auto"/>
        <w:ind w:right="98" w:firstLine="450"/>
        <w:rPr>
          <w:rFonts w:hint="eastAsia"/>
          <w:color w:val="231F20"/>
        </w:rPr>
      </w:pPr>
    </w:p>
    <w:p w14:paraId="28A94331">
      <w:pPr>
        <w:pStyle w:val="9"/>
        <w:spacing w:before="17" w:line="249" w:lineRule="auto"/>
        <w:ind w:right="98" w:firstLine="450"/>
        <w:rPr>
          <w:rFonts w:hint="eastAsia"/>
          <w:color w:val="231F20"/>
        </w:rPr>
      </w:pPr>
      <w:r>
        <w:rPr>
          <w:rFonts w:hint="eastAsia"/>
          <w:color w:val="231F20"/>
        </w:rPr>
        <w:t>Does the rest of the Revelation confirm all of this?</w:t>
      </w:r>
    </w:p>
    <w:p w14:paraId="29FA1847">
      <w:pPr>
        <w:pStyle w:val="9"/>
        <w:spacing w:before="17" w:line="249" w:lineRule="auto"/>
        <w:ind w:right="98" w:firstLine="450"/>
        <w:rPr>
          <w:rFonts w:hint="eastAsia"/>
          <w:color w:val="231F20"/>
        </w:rPr>
      </w:pPr>
      <w:r>
        <w:rPr>
          <w:rFonts w:hint="eastAsia"/>
          <w:color w:val="231F20"/>
        </w:rPr>
        <w:t>《启示录》的其余部分是否证实了这一切？</w:t>
      </w:r>
    </w:p>
    <w:p w14:paraId="0DA06D9A">
      <w:pPr>
        <w:pStyle w:val="9"/>
        <w:spacing w:before="17" w:line="249" w:lineRule="auto"/>
        <w:ind w:right="98" w:firstLine="450"/>
        <w:rPr>
          <w:rFonts w:hint="eastAsia"/>
          <w:color w:val="231F20"/>
        </w:rPr>
      </w:pPr>
    </w:p>
    <w:p w14:paraId="4F940D04">
      <w:pPr>
        <w:pStyle w:val="9"/>
        <w:spacing w:before="17" w:line="249" w:lineRule="auto"/>
        <w:ind w:right="98" w:firstLine="450"/>
        <w:rPr>
          <w:rFonts w:hint="eastAsia"/>
          <w:color w:val="231F20"/>
        </w:rPr>
      </w:pPr>
      <w:r>
        <w:rPr>
          <w:rFonts w:hint="eastAsia"/>
          <w:color w:val="231F20"/>
        </w:rPr>
        <w:t>Does the High King of Heaven here say in “didactic prophecy” anything different from what he later says in “apocalyptic prophecy”?</w:t>
      </w:r>
    </w:p>
    <w:p w14:paraId="125144A2">
      <w:pPr>
        <w:pStyle w:val="9"/>
        <w:spacing w:before="17" w:line="249" w:lineRule="auto"/>
        <w:ind w:right="98" w:firstLine="450"/>
        <w:rPr>
          <w:rFonts w:hint="eastAsia"/>
          <w:color w:val="231F20"/>
        </w:rPr>
      </w:pPr>
      <w:r>
        <w:rPr>
          <w:rFonts w:hint="eastAsia"/>
          <w:color w:val="231F20"/>
        </w:rPr>
        <w:t>天上的至高君王在这里以“教导性预言”所说的，与祂后来在“末世性预言”中所说的有什么不同吗？</w:t>
      </w:r>
    </w:p>
    <w:p w14:paraId="3E1E499D">
      <w:pPr>
        <w:pStyle w:val="9"/>
        <w:spacing w:before="17" w:line="249" w:lineRule="auto"/>
        <w:ind w:right="98" w:firstLine="450"/>
        <w:rPr>
          <w:rFonts w:hint="eastAsia"/>
          <w:color w:val="231F20"/>
        </w:rPr>
      </w:pPr>
    </w:p>
    <w:p w14:paraId="7F174758">
      <w:pPr>
        <w:pStyle w:val="9"/>
        <w:spacing w:before="17" w:line="249" w:lineRule="auto"/>
        <w:ind w:right="98" w:firstLine="450"/>
        <w:rPr>
          <w:rFonts w:hint="eastAsia"/>
          <w:color w:val="231F20"/>
        </w:rPr>
      </w:pPr>
      <w:r>
        <w:rPr>
          <w:rFonts w:hint="eastAsia"/>
          <w:color w:val="231F20"/>
        </w:rPr>
        <w:t>Is the eschatological outlook here any different from the eschatological outlook of the rest of the book?</w:t>
      </w:r>
    </w:p>
    <w:p w14:paraId="4D110602">
      <w:pPr>
        <w:pStyle w:val="9"/>
        <w:spacing w:before="17" w:line="249" w:lineRule="auto"/>
        <w:ind w:right="98" w:firstLine="450"/>
        <w:rPr>
          <w:rFonts w:hint="eastAsia"/>
          <w:color w:val="231F20"/>
        </w:rPr>
      </w:pPr>
      <w:r>
        <w:rPr>
          <w:rFonts w:hint="eastAsia"/>
          <w:color w:val="231F20"/>
        </w:rPr>
        <w:t>这里的末世论观点与书的其余部分的末世论观点有任何不同吗？</w:t>
      </w:r>
    </w:p>
    <w:p w14:paraId="01FCB569">
      <w:pPr>
        <w:pStyle w:val="9"/>
        <w:spacing w:before="17" w:line="249" w:lineRule="auto"/>
        <w:ind w:right="98" w:firstLine="450"/>
        <w:rPr>
          <w:rFonts w:hint="eastAsia"/>
          <w:color w:val="231F20"/>
        </w:rPr>
      </w:pPr>
    </w:p>
    <w:p w14:paraId="78C3A939">
      <w:pPr>
        <w:pStyle w:val="9"/>
        <w:spacing w:before="17" w:line="249" w:lineRule="auto"/>
        <w:ind w:right="98" w:firstLine="450"/>
        <w:rPr>
          <w:rFonts w:hint="eastAsia"/>
          <w:color w:val="231F20"/>
        </w:rPr>
      </w:pPr>
      <w:r>
        <w:rPr>
          <w:rFonts w:hint="eastAsia"/>
          <w:color w:val="231F20"/>
        </w:rPr>
        <w:t>Let us continue our survey in order to find out!</w:t>
      </w:r>
    </w:p>
    <w:p w14:paraId="5098B448">
      <w:pPr>
        <w:pStyle w:val="9"/>
        <w:spacing w:before="17" w:line="249" w:lineRule="auto"/>
        <w:ind w:right="98" w:firstLine="450"/>
        <w:rPr>
          <w:rFonts w:hint="eastAsia"/>
          <w:color w:val="231F20"/>
        </w:rPr>
      </w:pPr>
      <w:r>
        <w:rPr>
          <w:rFonts w:hint="eastAsia"/>
          <w:color w:val="231F20"/>
        </w:rPr>
        <w:t>让我们继续我们的概览，以便找出答案！</w:t>
      </w:r>
    </w:p>
    <w:p w14:paraId="4FA11C42">
      <w:pPr>
        <w:pStyle w:val="9"/>
        <w:spacing w:before="17" w:line="249" w:lineRule="auto"/>
        <w:ind w:right="98" w:firstLine="450"/>
        <w:rPr>
          <w:rFonts w:hint="eastAsia"/>
          <w:color w:val="231F20"/>
        </w:rPr>
      </w:pPr>
    </w:p>
    <w:p w14:paraId="098B41C8">
      <w:pPr>
        <w:pStyle w:val="9"/>
        <w:spacing w:before="17" w:line="249" w:lineRule="auto"/>
        <w:ind w:right="98" w:firstLine="450"/>
        <w:rPr>
          <w:rFonts w:hint="eastAsia"/>
          <w:color w:val="231F20"/>
        </w:rPr>
      </w:pPr>
      <w:r>
        <w:rPr>
          <w:rFonts w:hint="eastAsia"/>
          <w:color w:val="231F20"/>
        </w:rPr>
        <w:t>The Investiture of the High King of Heaven (4-5)</w:t>
      </w:r>
    </w:p>
    <w:p w14:paraId="23AACC22">
      <w:pPr>
        <w:pStyle w:val="9"/>
        <w:spacing w:before="17" w:line="249" w:lineRule="auto"/>
        <w:ind w:right="98" w:firstLine="450"/>
        <w:rPr>
          <w:rFonts w:hint="eastAsia"/>
          <w:color w:val="231F20"/>
        </w:rPr>
      </w:pPr>
      <w:r>
        <w:rPr>
          <w:rFonts w:hint="eastAsia"/>
          <w:color w:val="231F20"/>
        </w:rPr>
        <w:t>天上的至高君王授权典礼 (4-5)</w:t>
      </w:r>
    </w:p>
    <w:p w14:paraId="60955828">
      <w:pPr>
        <w:pStyle w:val="9"/>
        <w:spacing w:before="17" w:line="249" w:lineRule="auto"/>
        <w:ind w:right="98" w:firstLine="450"/>
        <w:rPr>
          <w:rFonts w:hint="eastAsia"/>
          <w:color w:val="231F20"/>
        </w:rPr>
      </w:pPr>
    </w:p>
    <w:p w14:paraId="1BDDF021">
      <w:pPr>
        <w:pStyle w:val="9"/>
        <w:spacing w:before="17" w:line="249" w:lineRule="auto"/>
        <w:ind w:right="98" w:firstLine="450"/>
        <w:rPr>
          <w:rFonts w:hint="eastAsia"/>
          <w:color w:val="231F20"/>
        </w:rPr>
      </w:pPr>
      <w:r>
        <w:rPr>
          <w:rFonts w:hint="eastAsia"/>
          <w:color w:val="231F20"/>
        </w:rPr>
        <w:t>Arguably, these two chapters constitute the Mt. Everest of all Holy Scripture.</w:t>
      </w:r>
    </w:p>
    <w:p w14:paraId="1EA58BDF">
      <w:pPr>
        <w:pStyle w:val="9"/>
        <w:spacing w:before="17" w:line="249" w:lineRule="auto"/>
        <w:ind w:right="98" w:firstLine="450"/>
        <w:rPr>
          <w:rFonts w:hint="eastAsia"/>
          <w:color w:val="231F20"/>
        </w:rPr>
      </w:pPr>
      <w:r>
        <w:rPr>
          <w:rFonts w:hint="eastAsia"/>
          <w:color w:val="231F20"/>
        </w:rPr>
        <w:t>可以说，这两章构成了所有圣经中的珠穆朗玛峰。</w:t>
      </w:r>
    </w:p>
    <w:p w14:paraId="44276421">
      <w:pPr>
        <w:pStyle w:val="9"/>
        <w:spacing w:before="17" w:line="249" w:lineRule="auto"/>
        <w:ind w:right="98" w:firstLine="450"/>
        <w:rPr>
          <w:rFonts w:hint="eastAsia"/>
          <w:color w:val="231F20"/>
        </w:rPr>
      </w:pPr>
    </w:p>
    <w:p w14:paraId="3D4A085B">
      <w:pPr>
        <w:pStyle w:val="9"/>
        <w:spacing w:before="17" w:line="249" w:lineRule="auto"/>
        <w:ind w:right="98" w:firstLine="450"/>
        <w:rPr>
          <w:rFonts w:hint="eastAsia"/>
          <w:color w:val="231F20"/>
        </w:rPr>
      </w:pPr>
      <w:r>
        <w:rPr>
          <w:rFonts w:hint="eastAsia"/>
          <w:color w:val="231F20"/>
        </w:rPr>
        <w:t>They take us to the highest place, to heaven itself.</w:t>
      </w:r>
    </w:p>
    <w:p w14:paraId="77BE76C8">
      <w:pPr>
        <w:pStyle w:val="9"/>
        <w:spacing w:before="17" w:line="249" w:lineRule="auto"/>
        <w:ind w:right="98" w:firstLine="450"/>
        <w:rPr>
          <w:rFonts w:hint="eastAsia"/>
          <w:color w:val="231F20"/>
        </w:rPr>
      </w:pPr>
      <w:r>
        <w:rPr>
          <w:rFonts w:hint="eastAsia"/>
          <w:color w:val="231F20"/>
        </w:rPr>
        <w:t>它们带我们到最高之处，到天庭本身。</w:t>
      </w:r>
    </w:p>
    <w:p w14:paraId="61D04867">
      <w:pPr>
        <w:pStyle w:val="9"/>
        <w:spacing w:before="17" w:line="249" w:lineRule="auto"/>
        <w:ind w:right="98" w:firstLine="450"/>
        <w:rPr>
          <w:rFonts w:hint="eastAsia"/>
          <w:color w:val="231F20"/>
        </w:rPr>
      </w:pPr>
    </w:p>
    <w:p w14:paraId="0C3CBF97">
      <w:pPr>
        <w:pStyle w:val="9"/>
        <w:spacing w:before="17" w:line="249" w:lineRule="auto"/>
        <w:ind w:right="98" w:firstLine="450"/>
        <w:rPr>
          <w:rFonts w:hint="eastAsia"/>
          <w:color w:val="231F20"/>
        </w:rPr>
      </w:pPr>
      <w:r>
        <w:rPr>
          <w:rFonts w:hint="eastAsia"/>
          <w:color w:val="231F20"/>
        </w:rPr>
        <w:t>They plant us upon the supreme vantage, and give us the supreme vista—a sighting of all cosmic history, and of the sovereign God who ordained it.</w:t>
      </w:r>
    </w:p>
    <w:p w14:paraId="16086673">
      <w:pPr>
        <w:pStyle w:val="9"/>
        <w:spacing w:before="17" w:line="249" w:lineRule="auto"/>
        <w:ind w:right="98" w:firstLine="450"/>
        <w:rPr>
          <w:rFonts w:hint="eastAsia"/>
          <w:color w:val="231F20"/>
        </w:rPr>
      </w:pPr>
      <w:r>
        <w:rPr>
          <w:rFonts w:hint="eastAsia"/>
          <w:color w:val="231F20"/>
        </w:rPr>
        <w:t>它们将我们置于至高的有利位置，并给予我们至高的全景——一览所有宇宙历史，以及命定这一切的主宰上帝。</w:t>
      </w:r>
    </w:p>
    <w:p w14:paraId="42897487">
      <w:pPr>
        <w:pStyle w:val="9"/>
        <w:spacing w:before="17" w:line="249" w:lineRule="auto"/>
        <w:ind w:right="98" w:firstLine="450"/>
        <w:rPr>
          <w:rFonts w:hint="eastAsia"/>
          <w:color w:val="231F20"/>
        </w:rPr>
      </w:pPr>
    </w:p>
    <w:p w14:paraId="6C9B26F8">
      <w:pPr>
        <w:pStyle w:val="9"/>
        <w:spacing w:before="17" w:line="249" w:lineRule="auto"/>
        <w:ind w:right="98" w:firstLine="450"/>
        <w:rPr>
          <w:rFonts w:hint="eastAsia"/>
          <w:color w:val="231F20"/>
        </w:rPr>
      </w:pPr>
      <w:r>
        <w:rPr>
          <w:rFonts w:hint="eastAsia"/>
          <w:color w:val="231F20"/>
        </w:rPr>
        <w:t>Like nowhere else in the Bible, we behold Him: the all-glorious, all-sovereign, triune Creator, Judge, and Redeemer of the universe.</w:t>
      </w:r>
    </w:p>
    <w:p w14:paraId="5E2F9FAC">
      <w:pPr>
        <w:pStyle w:val="9"/>
        <w:spacing w:before="17" w:line="249" w:lineRule="auto"/>
        <w:ind w:right="98" w:firstLine="450"/>
        <w:rPr>
          <w:rFonts w:hint="eastAsia"/>
          <w:color w:val="231F20"/>
        </w:rPr>
      </w:pPr>
      <w:r>
        <w:rPr>
          <w:rFonts w:hint="eastAsia"/>
          <w:color w:val="231F20"/>
        </w:rPr>
        <w:t>像圣经中任何其他地方都无法比拟的，我们看见祂：那位全荣耀、全主权、三位一体的宇宙创造主、审判主和救赎主。</w:t>
      </w:r>
    </w:p>
    <w:p w14:paraId="45101AD4">
      <w:pPr>
        <w:pStyle w:val="9"/>
        <w:spacing w:before="17" w:line="249" w:lineRule="auto"/>
        <w:ind w:right="98" w:firstLine="450"/>
        <w:rPr>
          <w:rFonts w:hint="eastAsia"/>
          <w:color w:val="231F20"/>
        </w:rPr>
      </w:pPr>
    </w:p>
    <w:p w14:paraId="53ED4D30">
      <w:pPr>
        <w:pStyle w:val="9"/>
        <w:spacing w:before="17" w:line="249" w:lineRule="auto"/>
        <w:ind w:right="98" w:firstLine="450"/>
        <w:rPr>
          <w:rFonts w:hint="eastAsia"/>
          <w:color w:val="231F20"/>
        </w:rPr>
      </w:pPr>
      <w:r>
        <w:rPr>
          <w:rFonts w:hint="eastAsia"/>
          <w:color w:val="231F20"/>
        </w:rPr>
        <w:t>Small wonder, then, that at every turn we find both men and angels falling down before him, gratefully exalting the One who so graciously created them, and so mercifully redeemed them.</w:t>
      </w:r>
    </w:p>
    <w:p w14:paraId="0CBA67BC">
      <w:pPr>
        <w:pStyle w:val="9"/>
        <w:spacing w:before="17" w:line="249" w:lineRule="auto"/>
        <w:ind w:right="98" w:firstLine="450"/>
        <w:rPr>
          <w:rFonts w:hint="eastAsia"/>
          <w:color w:val="231F20"/>
        </w:rPr>
      </w:pPr>
      <w:r>
        <w:rPr>
          <w:rFonts w:hint="eastAsia"/>
          <w:color w:val="231F20"/>
        </w:rPr>
        <w:t>因此，不足为奇的是，我们处处发现人和天使都俯伏在祂面前，感恩地高举那位如此恩慈地创造了他们，又如此怜悯地救赎了他们的主。</w:t>
      </w:r>
    </w:p>
    <w:p w14:paraId="3F91CCF7">
      <w:pPr>
        <w:pStyle w:val="9"/>
        <w:spacing w:before="17" w:line="249" w:lineRule="auto"/>
        <w:ind w:right="98" w:firstLine="450"/>
        <w:rPr>
          <w:rFonts w:hint="eastAsia"/>
          <w:color w:val="231F20"/>
        </w:rPr>
      </w:pPr>
    </w:p>
    <w:p w14:paraId="41992313">
      <w:pPr>
        <w:pStyle w:val="9"/>
        <w:spacing w:before="17" w:line="249" w:lineRule="auto"/>
        <w:ind w:right="98" w:firstLine="450"/>
        <w:rPr>
          <w:rFonts w:hint="eastAsia"/>
          <w:color w:val="231F20"/>
        </w:rPr>
      </w:pPr>
      <w:r>
        <w:rPr>
          <w:rFonts w:hint="eastAsia"/>
          <w:color w:val="231F20"/>
        </w:rPr>
        <w:t>When we see what they see, we are moved to do the same.</w:t>
      </w:r>
    </w:p>
    <w:p w14:paraId="7D8FED4F">
      <w:pPr>
        <w:pStyle w:val="9"/>
        <w:spacing w:before="17" w:line="249" w:lineRule="auto"/>
        <w:ind w:right="98" w:firstLine="450"/>
        <w:rPr>
          <w:rFonts w:hint="eastAsia"/>
          <w:color w:val="231F20"/>
        </w:rPr>
      </w:pPr>
      <w:r>
        <w:rPr>
          <w:rFonts w:hint="eastAsia"/>
          <w:color w:val="231F20"/>
        </w:rPr>
        <w:t>当我们看到他们所看到的，我们也被感动去做同样的事。</w:t>
      </w:r>
    </w:p>
    <w:p w14:paraId="2DF3BA87">
      <w:pPr>
        <w:pStyle w:val="9"/>
        <w:spacing w:before="17" w:line="249" w:lineRule="auto"/>
        <w:ind w:right="98" w:firstLine="450"/>
        <w:rPr>
          <w:rFonts w:hint="eastAsia"/>
          <w:color w:val="231F20"/>
        </w:rPr>
      </w:pPr>
    </w:p>
    <w:p w14:paraId="712C8005">
      <w:pPr>
        <w:pStyle w:val="9"/>
        <w:spacing w:before="17" w:line="249" w:lineRule="auto"/>
        <w:ind w:right="98" w:firstLine="450"/>
        <w:rPr>
          <w:rFonts w:hint="eastAsia"/>
          <w:color w:val="231F20"/>
        </w:rPr>
      </w:pPr>
      <w:r>
        <w:rPr>
          <w:rFonts w:hint="eastAsia"/>
          <w:color w:val="231F20"/>
        </w:rPr>
        <w:t>While much could be said about these rich chapters, our primary concern here is to inquire into the role they play in the overall “argument” of the book.</w:t>
      </w:r>
    </w:p>
    <w:p w14:paraId="01FB78FB">
      <w:pPr>
        <w:pStyle w:val="9"/>
        <w:spacing w:before="17" w:line="249" w:lineRule="auto"/>
        <w:ind w:right="98" w:firstLine="450"/>
        <w:rPr>
          <w:rFonts w:hint="eastAsia"/>
          <w:color w:val="231F20"/>
        </w:rPr>
      </w:pPr>
      <w:r>
        <w:rPr>
          <w:rFonts w:hint="eastAsia"/>
          <w:color w:val="231F20"/>
        </w:rPr>
        <w:t>虽然关于这两章丰富的内容可以说很多，但我们这里的主要关切是探究它们在本书整体“论证”中所扮演的角色。</w:t>
      </w:r>
    </w:p>
    <w:p w14:paraId="54D1215A">
      <w:pPr>
        <w:pStyle w:val="9"/>
        <w:spacing w:before="17" w:line="249" w:lineRule="auto"/>
        <w:ind w:right="98" w:firstLine="450"/>
        <w:rPr>
          <w:rFonts w:hint="eastAsia"/>
          <w:color w:val="231F20"/>
        </w:rPr>
      </w:pPr>
    </w:p>
    <w:p w14:paraId="7947B453">
      <w:pPr>
        <w:pStyle w:val="9"/>
        <w:spacing w:before="17" w:line="249" w:lineRule="auto"/>
        <w:ind w:right="98" w:firstLine="450"/>
        <w:rPr>
          <w:rFonts w:hint="eastAsia"/>
          <w:color w:val="231F20"/>
        </w:rPr>
      </w:pPr>
      <w:r>
        <w:rPr>
          <w:rFonts w:hint="eastAsia"/>
          <w:color w:val="231F20"/>
        </w:rPr>
        <w:t>What is their function in relation to the rest of the Revelation; and how, if at all, does this illuminate its structure?</w:t>
      </w:r>
    </w:p>
    <w:p w14:paraId="36A54AF9">
      <w:pPr>
        <w:pStyle w:val="9"/>
        <w:spacing w:before="17" w:line="249" w:lineRule="auto"/>
        <w:ind w:right="98" w:firstLine="450"/>
        <w:rPr>
          <w:rFonts w:hint="eastAsia"/>
          <w:color w:val="231F20"/>
        </w:rPr>
      </w:pPr>
      <w:r>
        <w:rPr>
          <w:rFonts w:hint="eastAsia"/>
          <w:color w:val="231F20"/>
        </w:rPr>
        <w:t>它们相对于《启示录》其余部分的功能是什么；这又如何（如果能的话）阐明其结构？</w:t>
      </w:r>
    </w:p>
    <w:p w14:paraId="2B43D81A">
      <w:pPr>
        <w:pStyle w:val="9"/>
        <w:spacing w:before="17" w:line="249" w:lineRule="auto"/>
        <w:ind w:right="98" w:firstLine="450"/>
        <w:rPr>
          <w:rFonts w:hint="eastAsia"/>
          <w:color w:val="231F20"/>
        </w:rPr>
      </w:pPr>
    </w:p>
    <w:p w14:paraId="4F06B9F9">
      <w:pPr>
        <w:pStyle w:val="9"/>
        <w:spacing w:before="17" w:line="249" w:lineRule="auto"/>
        <w:ind w:right="98" w:firstLine="450"/>
        <w:rPr>
          <w:rFonts w:hint="eastAsia"/>
          <w:color w:val="231F20"/>
        </w:rPr>
      </w:pPr>
      <w:r>
        <w:rPr>
          <w:rFonts w:hint="eastAsia"/>
          <w:color w:val="231F20"/>
        </w:rPr>
        <w:t>My response to these questions involves three closely related theses.</w:t>
      </w:r>
    </w:p>
    <w:p w14:paraId="7AE0C86F">
      <w:pPr>
        <w:pStyle w:val="9"/>
        <w:spacing w:before="17" w:line="249" w:lineRule="auto"/>
        <w:ind w:right="98" w:firstLine="450"/>
        <w:rPr>
          <w:rFonts w:hint="eastAsia"/>
          <w:color w:val="231F20"/>
        </w:rPr>
      </w:pPr>
      <w:r>
        <w:rPr>
          <w:rFonts w:hint="eastAsia"/>
          <w:color w:val="231F20"/>
        </w:rPr>
        <w:t>我对这些问题的回答涉及三个紧密相关的论点。</w:t>
      </w:r>
    </w:p>
    <w:p w14:paraId="10222EBF">
      <w:pPr>
        <w:pStyle w:val="9"/>
        <w:spacing w:before="17" w:line="249" w:lineRule="auto"/>
        <w:ind w:right="98" w:firstLine="450"/>
        <w:rPr>
          <w:rFonts w:hint="eastAsia"/>
          <w:color w:val="231F20"/>
        </w:rPr>
      </w:pPr>
    </w:p>
    <w:p w14:paraId="4D2B08D1">
      <w:pPr>
        <w:pStyle w:val="9"/>
        <w:spacing w:before="17" w:line="249" w:lineRule="auto"/>
        <w:ind w:right="98" w:firstLine="450"/>
        <w:rPr>
          <w:rFonts w:hint="eastAsia"/>
          <w:color w:val="231F20"/>
        </w:rPr>
      </w:pPr>
      <w:r>
        <w:rPr>
          <w:rFonts w:hint="eastAsia"/>
          <w:color w:val="231F20"/>
        </w:rPr>
        <w:t>First, these chapters are clearly transitional.</w:t>
      </w:r>
    </w:p>
    <w:p w14:paraId="55D7A473">
      <w:pPr>
        <w:pStyle w:val="9"/>
        <w:spacing w:before="17" w:line="249" w:lineRule="auto"/>
        <w:ind w:right="98" w:firstLine="450"/>
        <w:rPr>
          <w:rFonts w:hint="eastAsia"/>
          <w:color w:val="231F20"/>
        </w:rPr>
      </w:pPr>
      <w:r>
        <w:rPr>
          <w:rFonts w:hint="eastAsia"/>
          <w:color w:val="231F20"/>
        </w:rPr>
        <w:t>首先，这两章显然是过渡性的。</w:t>
      </w:r>
    </w:p>
    <w:p w14:paraId="33C1633B">
      <w:pPr>
        <w:pStyle w:val="9"/>
        <w:spacing w:before="17" w:line="249" w:lineRule="auto"/>
        <w:ind w:right="98" w:firstLine="450"/>
        <w:rPr>
          <w:rFonts w:hint="eastAsia"/>
          <w:color w:val="231F20"/>
        </w:rPr>
      </w:pPr>
    </w:p>
    <w:p w14:paraId="4D727DAE">
      <w:pPr>
        <w:pStyle w:val="9"/>
        <w:spacing w:before="17" w:line="249" w:lineRule="auto"/>
        <w:ind w:right="98" w:firstLine="450"/>
        <w:rPr>
          <w:rFonts w:hint="eastAsia"/>
          <w:color w:val="231F20"/>
        </w:rPr>
      </w:pPr>
      <w:r>
        <w:rPr>
          <w:rFonts w:hint="eastAsia"/>
          <w:color w:val="231F20"/>
        </w:rPr>
        <w:t>They take us from the things that John has seen (chapter 1), and from the things that are (chapters 2-3); and they prepare us to behold the things that will be throughout the remainder of Church era and beyond (chapters 6-22; 1:19).</w:t>
      </w:r>
    </w:p>
    <w:p w14:paraId="6BE176EE">
      <w:pPr>
        <w:pStyle w:val="9"/>
        <w:spacing w:before="17" w:line="249" w:lineRule="auto"/>
        <w:ind w:right="98" w:firstLine="450"/>
        <w:rPr>
          <w:rFonts w:hint="eastAsia"/>
          <w:color w:val="231F20"/>
        </w:rPr>
      </w:pPr>
      <w:r>
        <w:rPr>
          <w:rFonts w:hint="eastAsia"/>
          <w:color w:val="231F20"/>
        </w:rPr>
        <w:t>它们带我们从约翰已经看见的事（第1章），和现今的事（第2-3章）中出来；并预备我们去看将来必成的事，贯穿教会时代的余下部分以及之后（第6-22章；1:19）。</w:t>
      </w:r>
    </w:p>
    <w:p w14:paraId="6A4D159D">
      <w:pPr>
        <w:pStyle w:val="9"/>
        <w:spacing w:before="17" w:line="249" w:lineRule="auto"/>
        <w:ind w:right="98" w:firstLine="450"/>
        <w:rPr>
          <w:rFonts w:hint="eastAsia"/>
          <w:color w:val="231F20"/>
        </w:rPr>
      </w:pPr>
    </w:p>
    <w:p w14:paraId="21D7050E">
      <w:pPr>
        <w:pStyle w:val="9"/>
        <w:spacing w:before="17" w:line="249" w:lineRule="auto"/>
        <w:ind w:right="98" w:firstLine="450"/>
        <w:rPr>
          <w:rFonts w:hint="eastAsia"/>
          <w:color w:val="231F20"/>
        </w:rPr>
      </w:pPr>
      <w:r>
        <w:rPr>
          <w:rFonts w:hint="eastAsia"/>
          <w:color w:val="231F20"/>
        </w:rPr>
        <w:t>Secondly, they are central, in the sense that they give us the Master Theme that holds the rest of the book together.</w:t>
      </w:r>
    </w:p>
    <w:p w14:paraId="5862A025">
      <w:pPr>
        <w:pStyle w:val="9"/>
        <w:spacing w:before="17" w:line="249" w:lineRule="auto"/>
        <w:ind w:right="98" w:firstLine="450"/>
        <w:rPr>
          <w:rFonts w:hint="eastAsia"/>
          <w:color w:val="231F20"/>
        </w:rPr>
      </w:pPr>
      <w:r>
        <w:rPr>
          <w:rFonts w:hint="eastAsia"/>
          <w:color w:val="231F20"/>
        </w:rPr>
        <w:t>其次，它们是核心的，因为它们为我们提供了将书的其余部分联系在一起的主旋律。</w:t>
      </w:r>
    </w:p>
    <w:p w14:paraId="3131E5E1">
      <w:pPr>
        <w:pStyle w:val="9"/>
        <w:spacing w:before="17" w:line="249" w:lineRule="auto"/>
        <w:ind w:right="98" w:firstLine="450"/>
        <w:rPr>
          <w:rFonts w:hint="eastAsia"/>
          <w:color w:val="231F20"/>
        </w:rPr>
      </w:pPr>
    </w:p>
    <w:p w14:paraId="571AF397">
      <w:pPr>
        <w:pStyle w:val="9"/>
        <w:spacing w:before="17" w:line="249" w:lineRule="auto"/>
        <w:ind w:right="98" w:firstLine="450"/>
        <w:rPr>
          <w:rFonts w:hint="eastAsia"/>
          <w:color w:val="231F20"/>
        </w:rPr>
      </w:pPr>
      <w:r>
        <w:rPr>
          <w:rFonts w:hint="eastAsia"/>
          <w:color w:val="231F20"/>
        </w:rPr>
        <w:t>As we are about to see, that theme is the exaltation of the Lord Jesus Christ.</w:t>
      </w:r>
    </w:p>
    <w:p w14:paraId="17A8BDB9">
      <w:pPr>
        <w:pStyle w:val="9"/>
        <w:spacing w:before="17" w:line="249" w:lineRule="auto"/>
        <w:ind w:right="98" w:firstLine="450"/>
        <w:rPr>
          <w:rFonts w:hint="eastAsia"/>
          <w:color w:val="231F20"/>
        </w:rPr>
      </w:pPr>
      <w:r>
        <w:rPr>
          <w:rFonts w:hint="eastAsia"/>
          <w:color w:val="231F20"/>
        </w:rPr>
        <w:t>正如我们将要看到的，那个主题就是主耶稣基督的被高举。</w:t>
      </w:r>
    </w:p>
    <w:p w14:paraId="5D4F64FE">
      <w:pPr>
        <w:pStyle w:val="9"/>
        <w:spacing w:before="17" w:line="249" w:lineRule="auto"/>
        <w:ind w:right="98" w:firstLine="450"/>
        <w:rPr>
          <w:rFonts w:hint="eastAsia"/>
          <w:color w:val="231F20"/>
        </w:rPr>
      </w:pPr>
    </w:p>
    <w:p w14:paraId="34FF9DEE">
      <w:pPr>
        <w:pStyle w:val="9"/>
        <w:spacing w:before="17" w:line="249" w:lineRule="auto"/>
        <w:ind w:right="98" w:firstLine="450"/>
        <w:rPr>
          <w:rFonts w:hint="eastAsia"/>
          <w:color w:val="231F20"/>
        </w:rPr>
      </w:pPr>
      <w:r>
        <w:rPr>
          <w:rFonts w:hint="eastAsia"/>
          <w:color w:val="231F20"/>
        </w:rPr>
        <w:t>More particularly, it is the exaltation of Christ as the High King of heaven and earth, with God-given authority to oversee and superintend all that remains of Salvation History up to and including his Parousia, when he will consummate all things in final judgment and redemption.</w:t>
      </w:r>
    </w:p>
    <w:p w14:paraId="38A92406">
      <w:pPr>
        <w:pStyle w:val="9"/>
        <w:spacing w:before="17" w:line="249" w:lineRule="auto"/>
        <w:ind w:right="98" w:firstLine="450"/>
        <w:rPr>
          <w:rFonts w:hint="eastAsia"/>
          <w:color w:val="231F20"/>
        </w:rPr>
      </w:pPr>
      <w:r>
        <w:rPr>
          <w:rFonts w:hint="eastAsia"/>
          <w:color w:val="231F20"/>
        </w:rPr>
        <w:t>更具体地说，是基督作为天地至高君王的被高举，祂拥有上帝所赐的权柄，来监督和管理救赎历史余下的一切，直到并包括祂的主临（Parousia），那时祂将以最后的审判和救赎来成全万事。</w:t>
      </w:r>
    </w:p>
    <w:p w14:paraId="208C28A1">
      <w:pPr>
        <w:pStyle w:val="9"/>
        <w:spacing w:before="17" w:line="249" w:lineRule="auto"/>
        <w:ind w:right="98" w:firstLine="450"/>
        <w:rPr>
          <w:rFonts w:hint="eastAsia"/>
          <w:color w:val="231F20"/>
        </w:rPr>
      </w:pPr>
    </w:p>
    <w:p w14:paraId="0871161F">
      <w:pPr>
        <w:pStyle w:val="9"/>
        <w:spacing w:before="17" w:line="249" w:lineRule="auto"/>
        <w:ind w:right="98" w:firstLine="450"/>
        <w:rPr>
          <w:rFonts w:hint="eastAsia"/>
          <w:color w:val="231F20"/>
        </w:rPr>
      </w:pPr>
      <w:r>
        <w:rPr>
          <w:rFonts w:hint="eastAsia"/>
          <w:color w:val="231F20"/>
        </w:rPr>
        <w:t>And thirdly, these chapters are unifying.</w:t>
      </w:r>
    </w:p>
    <w:p w14:paraId="3DD460AA">
      <w:pPr>
        <w:pStyle w:val="9"/>
        <w:spacing w:before="17" w:line="249" w:lineRule="auto"/>
        <w:ind w:right="98" w:firstLine="450"/>
        <w:rPr>
          <w:rFonts w:hint="eastAsia"/>
          <w:color w:val="231F20"/>
        </w:rPr>
      </w:pPr>
      <w:r>
        <w:rPr>
          <w:rFonts w:hint="eastAsia"/>
          <w:color w:val="231F20"/>
        </w:rPr>
        <w:t>第三，这两章是统一性的。</w:t>
      </w:r>
    </w:p>
    <w:p w14:paraId="76CAB12E">
      <w:pPr>
        <w:pStyle w:val="9"/>
        <w:spacing w:before="17" w:line="249" w:lineRule="auto"/>
        <w:ind w:right="98" w:firstLine="450"/>
        <w:rPr>
          <w:rFonts w:hint="eastAsia"/>
          <w:color w:val="231F20"/>
        </w:rPr>
      </w:pPr>
    </w:p>
    <w:p w14:paraId="57362983">
      <w:pPr>
        <w:pStyle w:val="9"/>
        <w:spacing w:before="17" w:line="249" w:lineRule="auto"/>
        <w:ind w:right="98" w:firstLine="450"/>
        <w:rPr>
          <w:rFonts w:hint="eastAsia"/>
          <w:color w:val="231F20"/>
        </w:rPr>
      </w:pPr>
      <w:r>
        <w:rPr>
          <w:rFonts w:hint="eastAsia"/>
          <w:color w:val="231F20"/>
        </w:rPr>
        <w:t>That is, they enable us to see how every bloc of the Revelation, each in its own way, is devoted to exploring the many-faceted glory of the High King.</w:t>
      </w:r>
    </w:p>
    <w:p w14:paraId="6B8B7175">
      <w:pPr>
        <w:pStyle w:val="9"/>
        <w:spacing w:before="17" w:line="249" w:lineRule="auto"/>
        <w:ind w:right="98" w:firstLine="450"/>
        <w:rPr>
          <w:rFonts w:hint="eastAsia"/>
          <w:color w:val="231F20"/>
        </w:rPr>
      </w:pPr>
      <w:r>
        <w:rPr>
          <w:rFonts w:hint="eastAsia"/>
          <w:color w:val="231F20"/>
        </w:rPr>
        <w:t>也就是说，它们使我们能够看到《启示录》的每一个区块，如何以其各自的方式，致力于探索至高君王多方面的荣耀。</w:t>
      </w:r>
    </w:p>
    <w:p w14:paraId="53A6D142">
      <w:pPr>
        <w:pStyle w:val="9"/>
        <w:spacing w:before="17" w:line="249" w:lineRule="auto"/>
        <w:ind w:right="98" w:firstLine="450"/>
        <w:rPr>
          <w:rFonts w:hint="eastAsia"/>
          <w:color w:val="231F20"/>
        </w:rPr>
      </w:pPr>
    </w:p>
    <w:p w14:paraId="57EC91F0">
      <w:pPr>
        <w:pStyle w:val="9"/>
        <w:spacing w:before="17" w:line="249" w:lineRule="auto"/>
        <w:ind w:right="98" w:firstLine="450"/>
        <w:rPr>
          <w:rFonts w:hint="eastAsia"/>
          <w:color w:val="231F20"/>
        </w:rPr>
      </w:pPr>
      <w:r>
        <w:rPr>
          <w:rFonts w:hint="eastAsia"/>
          <w:color w:val="231F20"/>
        </w:rPr>
        <w:t>And now—with all this to prepare us—let us take a few moments to see how chapters 4-5 communicate these glorious themes.</w:t>
      </w:r>
    </w:p>
    <w:p w14:paraId="7C5A2F65">
      <w:pPr>
        <w:pStyle w:val="9"/>
        <w:spacing w:before="17" w:line="249" w:lineRule="auto"/>
        <w:ind w:right="98" w:firstLine="450"/>
        <w:rPr>
          <w:rFonts w:hint="eastAsia"/>
          <w:color w:val="231F20"/>
        </w:rPr>
      </w:pPr>
      <w:r>
        <w:rPr>
          <w:rFonts w:hint="eastAsia"/>
          <w:color w:val="231F20"/>
        </w:rPr>
        <w:t>现在——有了这一切作为预备——让我们花些时间来看看第4-5章是如何传达这些荣耀主题的。</w:t>
      </w:r>
    </w:p>
    <w:p w14:paraId="25EE32F1">
      <w:pPr>
        <w:pStyle w:val="9"/>
        <w:spacing w:before="17" w:line="249" w:lineRule="auto"/>
        <w:ind w:right="98" w:firstLine="450"/>
        <w:rPr>
          <w:rFonts w:hint="eastAsia"/>
          <w:color w:val="231F20"/>
        </w:rPr>
      </w:pPr>
    </w:p>
    <w:p w14:paraId="355ED9BF">
      <w:pPr>
        <w:pStyle w:val="9"/>
        <w:spacing w:before="17" w:line="249" w:lineRule="auto"/>
        <w:ind w:right="98" w:firstLine="450"/>
        <w:rPr>
          <w:rFonts w:hint="eastAsia"/>
          <w:color w:val="231F20"/>
        </w:rPr>
      </w:pPr>
      <w:r>
        <w:rPr>
          <w:rFonts w:hint="eastAsia"/>
          <w:color w:val="231F20"/>
        </w:rPr>
        <w:t>1.The Glory of God the Father (Rev. 4)</w:t>
      </w:r>
    </w:p>
    <w:p w14:paraId="558B6365">
      <w:pPr>
        <w:pStyle w:val="9"/>
        <w:spacing w:before="17" w:line="249" w:lineRule="auto"/>
        <w:ind w:right="98" w:firstLine="450"/>
        <w:rPr>
          <w:rFonts w:hint="eastAsia"/>
          <w:color w:val="231F20"/>
        </w:rPr>
      </w:pPr>
      <w:r>
        <w:rPr>
          <w:rFonts w:hint="eastAsia"/>
          <w:color w:val="231F20"/>
        </w:rPr>
        <w:t>1.父上帝的荣耀（启4）</w:t>
      </w:r>
    </w:p>
    <w:p w14:paraId="6E5EFAC6">
      <w:pPr>
        <w:pStyle w:val="9"/>
        <w:spacing w:before="17" w:line="249" w:lineRule="auto"/>
        <w:ind w:right="98" w:firstLine="450"/>
        <w:rPr>
          <w:rFonts w:hint="eastAsia"/>
          <w:color w:val="231F20"/>
        </w:rPr>
      </w:pPr>
    </w:p>
    <w:p w14:paraId="17C15CBE">
      <w:pPr>
        <w:pStyle w:val="9"/>
        <w:spacing w:before="17" w:line="249" w:lineRule="auto"/>
        <w:ind w:right="98" w:firstLine="450"/>
        <w:rPr>
          <w:rFonts w:hint="eastAsia"/>
          <w:color w:val="231F20"/>
        </w:rPr>
      </w:pPr>
      <w:r>
        <w:rPr>
          <w:rFonts w:hint="eastAsia"/>
          <w:color w:val="231F20"/>
        </w:rPr>
        <w:t>In essence, chapter 4 is a revelation, in vision and symbol, of the glory of God the Father, especially in his role as the sovereign Creator and Judge of the universe.</w:t>
      </w:r>
    </w:p>
    <w:p w14:paraId="10B09CD6">
      <w:pPr>
        <w:pStyle w:val="9"/>
        <w:spacing w:before="17" w:line="249" w:lineRule="auto"/>
        <w:ind w:right="98" w:firstLine="450"/>
        <w:rPr>
          <w:rFonts w:hint="eastAsia"/>
          <w:color w:val="231F20"/>
        </w:rPr>
      </w:pPr>
      <w:r>
        <w:rPr>
          <w:rFonts w:hint="eastAsia"/>
          <w:color w:val="231F20"/>
        </w:rPr>
        <w:t>本质上，第4章是在异象和象征中，对父上帝荣耀的启示，特别是在祂作为宇宙主宰的创造主和审判主的角色上。</w:t>
      </w:r>
    </w:p>
    <w:p w14:paraId="538E7E78">
      <w:pPr>
        <w:pStyle w:val="9"/>
        <w:spacing w:before="17" w:line="249" w:lineRule="auto"/>
        <w:ind w:right="98" w:firstLine="450"/>
        <w:rPr>
          <w:rFonts w:hint="eastAsia"/>
          <w:color w:val="231F20"/>
        </w:rPr>
      </w:pPr>
    </w:p>
    <w:p w14:paraId="40E73FD1">
      <w:pPr>
        <w:pStyle w:val="9"/>
        <w:spacing w:before="17" w:line="249" w:lineRule="auto"/>
        <w:ind w:right="98" w:firstLine="450"/>
        <w:rPr>
          <w:rFonts w:hint="eastAsia"/>
          <w:color w:val="231F20"/>
        </w:rPr>
      </w:pPr>
      <w:r>
        <w:rPr>
          <w:rFonts w:hint="eastAsia"/>
          <w:color w:val="231F20"/>
        </w:rPr>
        <w:t>Accordingly, John beholds him seated upon a throne, a symbol of his universal sovereignty (4:2).</w:t>
      </w:r>
    </w:p>
    <w:p w14:paraId="76E927C8">
      <w:pPr>
        <w:pStyle w:val="9"/>
        <w:spacing w:before="17" w:line="249" w:lineRule="auto"/>
        <w:ind w:right="98" w:firstLine="450"/>
        <w:rPr>
          <w:rFonts w:hint="eastAsia"/>
          <w:color w:val="231F20"/>
        </w:rPr>
      </w:pPr>
      <w:r>
        <w:rPr>
          <w:rFonts w:hint="eastAsia"/>
          <w:color w:val="231F20"/>
        </w:rPr>
        <w:t>因此，约翰看见祂坐在一个宝座上，这是祂普世主权的象征（4:2）。</w:t>
      </w:r>
    </w:p>
    <w:p w14:paraId="1BC0B7FC">
      <w:pPr>
        <w:pStyle w:val="9"/>
        <w:spacing w:before="17" w:line="249" w:lineRule="auto"/>
        <w:ind w:right="98" w:firstLine="450"/>
        <w:rPr>
          <w:rFonts w:hint="eastAsia"/>
          <w:color w:val="231F20"/>
        </w:rPr>
      </w:pPr>
    </w:p>
    <w:p w14:paraId="55F261CB">
      <w:pPr>
        <w:pStyle w:val="9"/>
        <w:spacing w:before="17" w:line="249" w:lineRule="auto"/>
        <w:ind w:right="98" w:firstLine="450"/>
        <w:rPr>
          <w:rFonts w:hint="eastAsia"/>
          <w:color w:val="231F20"/>
        </w:rPr>
      </w:pPr>
      <w:r>
        <w:rPr>
          <w:rFonts w:hint="eastAsia"/>
          <w:color w:val="231F20"/>
        </w:rPr>
        <w:t>His appearance is as of jewels, representing the glory of his being and the riches of his character (4:3).</w:t>
      </w:r>
    </w:p>
    <w:p w14:paraId="5B3C64CA">
      <w:pPr>
        <w:pStyle w:val="9"/>
        <w:spacing w:before="17" w:line="249" w:lineRule="auto"/>
        <w:ind w:right="98" w:firstLine="450"/>
        <w:rPr>
          <w:rFonts w:hint="eastAsia"/>
          <w:color w:val="231F20"/>
        </w:rPr>
      </w:pPr>
      <w:r>
        <w:rPr>
          <w:rFonts w:hint="eastAsia"/>
          <w:color w:val="231F20"/>
        </w:rPr>
        <w:t>祂的样貌如同宝石，代表祂存在的荣耀和祂品格的丰盛（4:3）。</w:t>
      </w:r>
    </w:p>
    <w:p w14:paraId="4699C3F1">
      <w:pPr>
        <w:pStyle w:val="9"/>
        <w:spacing w:before="17" w:line="249" w:lineRule="auto"/>
        <w:ind w:right="98" w:firstLine="450"/>
        <w:rPr>
          <w:rFonts w:hint="eastAsia"/>
          <w:color w:val="231F20"/>
        </w:rPr>
      </w:pPr>
    </w:p>
    <w:p w14:paraId="5226E7FA">
      <w:pPr>
        <w:pStyle w:val="9"/>
        <w:spacing w:before="17" w:line="249" w:lineRule="auto"/>
        <w:ind w:right="98" w:firstLine="450"/>
        <w:rPr>
          <w:rFonts w:hint="eastAsia"/>
          <w:color w:val="231F20"/>
        </w:rPr>
      </w:pPr>
      <w:r>
        <w:rPr>
          <w:rFonts w:hint="eastAsia"/>
          <w:color w:val="231F20"/>
        </w:rPr>
        <w:t>Surrounding him are 24 elders dressed in white, wearing crowns, and seated upon thrones.</w:t>
      </w:r>
    </w:p>
    <w:p w14:paraId="5DB44978">
      <w:pPr>
        <w:pStyle w:val="9"/>
        <w:spacing w:before="17" w:line="249" w:lineRule="auto"/>
        <w:ind w:right="98" w:firstLine="450"/>
        <w:rPr>
          <w:rFonts w:hint="eastAsia"/>
          <w:color w:val="231F20"/>
        </w:rPr>
      </w:pPr>
      <w:r>
        <w:rPr>
          <w:rFonts w:hint="eastAsia"/>
          <w:color w:val="231F20"/>
        </w:rPr>
        <w:t>围绕着祂的是二十四位长老，身穿白衣，头戴冠冕，坐在宝座上。</w:t>
      </w:r>
    </w:p>
    <w:p w14:paraId="5F180DF0">
      <w:pPr>
        <w:pStyle w:val="9"/>
        <w:spacing w:before="17" w:line="249" w:lineRule="auto"/>
        <w:ind w:right="98" w:firstLine="450"/>
        <w:rPr>
          <w:rFonts w:hint="eastAsia"/>
          <w:color w:val="231F20"/>
        </w:rPr>
      </w:pPr>
    </w:p>
    <w:p w14:paraId="44E10469">
      <w:pPr>
        <w:pStyle w:val="9"/>
        <w:spacing w:before="17" w:line="249" w:lineRule="auto"/>
        <w:ind w:right="98" w:firstLine="450"/>
        <w:rPr>
          <w:rFonts w:hint="eastAsia"/>
          <w:color w:val="231F20"/>
        </w:rPr>
      </w:pPr>
      <w:r>
        <w:rPr>
          <w:rFonts w:hint="eastAsia"/>
          <w:color w:val="231F20"/>
        </w:rPr>
        <w:t>These picture the Universal Church (12 patriarchs representing the OT saints, plus 12 apostles representing the NT saints), which God has predestined to behold his glory and share in his eternal reign (4:4, 7:9-17).</w:t>
      </w:r>
    </w:p>
    <w:p w14:paraId="7BE3E5ED">
      <w:pPr>
        <w:pStyle w:val="9"/>
        <w:spacing w:before="17" w:line="249" w:lineRule="auto"/>
        <w:ind w:right="98" w:firstLine="450"/>
        <w:rPr>
          <w:rFonts w:hint="eastAsia"/>
          <w:color w:val="231F20"/>
        </w:rPr>
      </w:pPr>
      <w:r>
        <w:rPr>
          <w:rFonts w:hint="eastAsia"/>
          <w:color w:val="231F20"/>
        </w:rPr>
        <w:t>这些人描绘了普世教会（12位族长代表旧约圣徒，加上12位使徒代表新约圣徒），上帝已预定他们要看见祂的荣耀，并分享祂永恒的统治（4:4, 7:9-17）。</w:t>
      </w:r>
    </w:p>
    <w:p w14:paraId="3CB8C63C">
      <w:pPr>
        <w:pStyle w:val="9"/>
        <w:spacing w:before="17" w:line="249" w:lineRule="auto"/>
        <w:ind w:right="98" w:firstLine="450"/>
        <w:rPr>
          <w:rFonts w:hint="eastAsia"/>
          <w:color w:val="231F20"/>
        </w:rPr>
      </w:pPr>
    </w:p>
    <w:p w14:paraId="79BCDC82">
      <w:pPr>
        <w:pStyle w:val="9"/>
        <w:spacing w:before="17" w:line="249" w:lineRule="auto"/>
        <w:ind w:right="98" w:firstLine="450"/>
        <w:rPr>
          <w:rFonts w:hint="eastAsia"/>
          <w:color w:val="231F20"/>
        </w:rPr>
      </w:pPr>
      <w:r>
        <w:rPr>
          <w:rFonts w:hint="eastAsia"/>
          <w:color w:val="231F20"/>
        </w:rPr>
        <w:t>Very importantly, flashes of lightning and peals of thunder emanate from his throne, tokens of the dreadful wrath and terrifying judgments poised to go forth against all who rebel against Him (4:5-6, 5:6).</w:t>
      </w:r>
    </w:p>
    <w:p w14:paraId="2897445A">
      <w:pPr>
        <w:pStyle w:val="9"/>
        <w:spacing w:before="17" w:line="249" w:lineRule="auto"/>
        <w:ind w:right="98" w:firstLine="450"/>
        <w:rPr>
          <w:rFonts w:hint="eastAsia"/>
          <w:color w:val="231F20"/>
        </w:rPr>
      </w:pPr>
      <w:r>
        <w:rPr>
          <w:rFonts w:hint="eastAsia"/>
          <w:color w:val="231F20"/>
        </w:rPr>
        <w:t>非常重要的是，有闪电和雷轰从祂的宝座发出，这是那可怕的忿怒和骇人的审判即将降临在所有背叛祂的人身上的标志（4:5-6, 5:6）。</w:t>
      </w:r>
    </w:p>
    <w:p w14:paraId="769B02AB">
      <w:pPr>
        <w:pStyle w:val="9"/>
        <w:spacing w:before="17" w:line="249" w:lineRule="auto"/>
        <w:ind w:right="98" w:firstLine="450"/>
        <w:rPr>
          <w:rFonts w:hint="eastAsia"/>
          <w:color w:val="231F20"/>
        </w:rPr>
      </w:pPr>
    </w:p>
    <w:p w14:paraId="5C7E3601">
      <w:pPr>
        <w:pStyle w:val="9"/>
        <w:spacing w:before="17" w:line="249" w:lineRule="auto"/>
        <w:ind w:right="98" w:firstLine="450"/>
        <w:rPr>
          <w:rFonts w:hint="eastAsia"/>
          <w:color w:val="231F20"/>
        </w:rPr>
      </w:pPr>
      <w:r>
        <w:rPr>
          <w:rFonts w:hint="eastAsia"/>
          <w:color w:val="231F20"/>
        </w:rPr>
        <w:t>The cherubim and seraphim who always surround his throne understand this quite well, having profound insight into God’s holiness, eternity, and sovereignty—and who therefore worship him accordingly (4:6-8).</w:t>
      </w:r>
    </w:p>
    <w:p w14:paraId="643E4948">
      <w:pPr>
        <w:pStyle w:val="9"/>
        <w:spacing w:before="17" w:line="249" w:lineRule="auto"/>
        <w:ind w:right="98" w:firstLine="450"/>
        <w:rPr>
          <w:rFonts w:hint="eastAsia"/>
          <w:color w:val="231F20"/>
        </w:rPr>
      </w:pPr>
      <w:r>
        <w:rPr>
          <w:rFonts w:hint="eastAsia"/>
          <w:color w:val="231F20"/>
        </w:rPr>
        <w:t>那些总是围绕在祂宝座周围的基路伯和撒拉弗对此理解得非常清楚，他们对上帝的圣洁、永恒和主权有深刻的洞察力——因此他们也相应地敬拜祂（4:6-8）。</w:t>
      </w:r>
    </w:p>
    <w:p w14:paraId="081D45B1">
      <w:pPr>
        <w:pStyle w:val="9"/>
        <w:spacing w:before="17" w:line="249" w:lineRule="auto"/>
        <w:ind w:right="98" w:firstLine="450"/>
        <w:rPr>
          <w:rFonts w:hint="eastAsia"/>
          <w:color w:val="231F20"/>
        </w:rPr>
      </w:pPr>
    </w:p>
    <w:p w14:paraId="4296F814">
      <w:pPr>
        <w:pStyle w:val="9"/>
        <w:spacing w:before="17" w:line="249" w:lineRule="auto"/>
        <w:ind w:right="98" w:firstLine="450"/>
        <w:rPr>
          <w:rFonts w:hint="eastAsia"/>
          <w:color w:val="231F20"/>
        </w:rPr>
      </w:pPr>
      <w:r>
        <w:rPr>
          <w:rFonts w:hint="eastAsia"/>
          <w:color w:val="231F20"/>
        </w:rPr>
        <w:t>So too does the Church, here pictured in her eternal calling as a worshiper of the Fountainhead of all creation (4:9-11).</w:t>
      </w:r>
    </w:p>
    <w:p w14:paraId="7CF2AB67">
      <w:pPr>
        <w:pStyle w:val="9"/>
        <w:spacing w:before="17" w:line="249" w:lineRule="auto"/>
        <w:ind w:right="98" w:firstLine="450"/>
        <w:rPr>
          <w:rFonts w:hint="eastAsia"/>
          <w:color w:val="231F20"/>
        </w:rPr>
      </w:pPr>
      <w:r>
        <w:rPr>
          <w:rFonts w:hint="eastAsia"/>
          <w:color w:val="231F20"/>
        </w:rPr>
        <w:t>教会也是如此，在这里她被描绘为在她永恒的呼召中，作为万物源头的敬拜者（4:9-11）。</w:t>
      </w:r>
    </w:p>
    <w:p w14:paraId="2FF8EC9F">
      <w:pPr>
        <w:pStyle w:val="9"/>
        <w:spacing w:before="17" w:line="249" w:lineRule="auto"/>
        <w:ind w:right="98" w:firstLine="450"/>
        <w:rPr>
          <w:rFonts w:hint="eastAsia"/>
          <w:color w:val="231F20"/>
        </w:rPr>
      </w:pPr>
    </w:p>
    <w:p w14:paraId="05BADC6A">
      <w:pPr>
        <w:pStyle w:val="9"/>
        <w:spacing w:before="17" w:line="249" w:lineRule="auto"/>
        <w:ind w:right="98" w:firstLine="450"/>
        <w:rPr>
          <w:rFonts w:hint="eastAsia"/>
          <w:color w:val="231F20"/>
        </w:rPr>
      </w:pPr>
      <w:r>
        <w:rPr>
          <w:rFonts w:hint="eastAsia"/>
          <w:color w:val="231F20"/>
        </w:rPr>
        <w:t>We see, then, that chapter 4 sets the stage.</w:t>
      </w:r>
    </w:p>
    <w:p w14:paraId="7257086D">
      <w:pPr>
        <w:pStyle w:val="9"/>
        <w:spacing w:before="17" w:line="249" w:lineRule="auto"/>
        <w:ind w:right="98" w:firstLine="450"/>
        <w:rPr>
          <w:rFonts w:hint="eastAsia"/>
          <w:color w:val="231F20"/>
        </w:rPr>
      </w:pPr>
      <w:r>
        <w:rPr>
          <w:rFonts w:hint="eastAsia"/>
          <w:color w:val="231F20"/>
        </w:rPr>
        <w:t>因此我们看到，第4章设定了舞台。</w:t>
      </w:r>
    </w:p>
    <w:p w14:paraId="3B344C1E">
      <w:pPr>
        <w:pStyle w:val="9"/>
        <w:spacing w:before="17" w:line="249" w:lineRule="auto"/>
        <w:ind w:right="98" w:firstLine="450"/>
        <w:rPr>
          <w:rFonts w:hint="eastAsia"/>
          <w:color w:val="231F20"/>
        </w:rPr>
      </w:pPr>
    </w:p>
    <w:p w14:paraId="24375F27">
      <w:pPr>
        <w:pStyle w:val="9"/>
        <w:spacing w:before="17" w:line="249" w:lineRule="auto"/>
        <w:ind w:right="98" w:firstLine="450"/>
        <w:rPr>
          <w:rFonts w:hint="eastAsia"/>
          <w:color w:val="231F20"/>
        </w:rPr>
      </w:pPr>
      <w:r>
        <w:rPr>
          <w:rFonts w:hint="eastAsia"/>
          <w:color w:val="231F20"/>
        </w:rPr>
        <w:t>Yes, the holy Creator and Judge of the cosmos is radiant and majestic beyond description.</w:t>
      </w:r>
    </w:p>
    <w:p w14:paraId="252EF133">
      <w:pPr>
        <w:pStyle w:val="9"/>
        <w:spacing w:before="17" w:line="249" w:lineRule="auto"/>
        <w:ind w:right="98" w:firstLine="450"/>
        <w:rPr>
          <w:rFonts w:hint="eastAsia"/>
          <w:color w:val="231F20"/>
        </w:rPr>
      </w:pPr>
      <w:r>
        <w:rPr>
          <w:rFonts w:hint="eastAsia"/>
          <w:color w:val="231F20"/>
        </w:rPr>
        <w:t>是的，宇宙的圣洁创造主和审判主荣光焕发，威严无比，难以形容。</w:t>
      </w:r>
    </w:p>
    <w:p w14:paraId="6CB65766">
      <w:pPr>
        <w:pStyle w:val="9"/>
        <w:spacing w:before="17" w:line="249" w:lineRule="auto"/>
        <w:ind w:right="98" w:firstLine="450"/>
        <w:rPr>
          <w:rFonts w:hint="eastAsia"/>
          <w:color w:val="231F20"/>
        </w:rPr>
      </w:pPr>
    </w:p>
    <w:p w14:paraId="152D5135">
      <w:pPr>
        <w:pStyle w:val="9"/>
        <w:spacing w:before="17" w:line="249" w:lineRule="auto"/>
        <w:ind w:right="98" w:firstLine="450"/>
        <w:rPr>
          <w:rFonts w:hint="eastAsia"/>
          <w:color w:val="231F20"/>
        </w:rPr>
      </w:pPr>
      <w:r>
        <w:rPr>
          <w:rFonts w:hint="eastAsia"/>
          <w:color w:val="231F20"/>
        </w:rPr>
        <w:t>However, for this very reason he is also a mortal threat to the company of guilty sinners on the earth below, a mathematical set that includes every human being born to woman, save One.</w:t>
      </w:r>
    </w:p>
    <w:p w14:paraId="7F899FC3">
      <w:pPr>
        <w:pStyle w:val="9"/>
        <w:spacing w:before="17" w:line="249" w:lineRule="auto"/>
        <w:ind w:right="98" w:firstLine="450"/>
        <w:rPr>
          <w:rFonts w:hint="eastAsia"/>
          <w:color w:val="231F20"/>
        </w:rPr>
      </w:pPr>
      <w:r>
        <w:rPr>
          <w:rFonts w:hint="eastAsia"/>
          <w:color w:val="231F20"/>
        </w:rPr>
        <w:t>然而，正因为如此，祂对下面地上有罪的罪人群体也是一个致命的威胁，这个数学集合包括了妇人所生的每一个人，除了那一位之外。</w:t>
      </w:r>
    </w:p>
    <w:p w14:paraId="4A576A3F">
      <w:pPr>
        <w:pStyle w:val="9"/>
        <w:spacing w:before="17" w:line="249" w:lineRule="auto"/>
        <w:ind w:right="98" w:firstLine="450"/>
        <w:rPr>
          <w:rFonts w:hint="eastAsia"/>
          <w:color w:val="231F20"/>
        </w:rPr>
      </w:pPr>
    </w:p>
    <w:p w14:paraId="546546D4">
      <w:pPr>
        <w:pStyle w:val="9"/>
        <w:spacing w:before="17" w:line="249" w:lineRule="auto"/>
        <w:ind w:right="98" w:firstLine="450"/>
        <w:rPr>
          <w:rFonts w:hint="eastAsia"/>
          <w:color w:val="231F20"/>
        </w:rPr>
      </w:pPr>
      <w:r>
        <w:rPr>
          <w:rFonts w:hint="eastAsia"/>
          <w:color w:val="231F20"/>
        </w:rPr>
        <w:t>Happily, that One is about to take center stage.</w:t>
      </w:r>
    </w:p>
    <w:p w14:paraId="5F710B8E">
      <w:pPr>
        <w:pStyle w:val="9"/>
        <w:spacing w:before="17" w:line="249" w:lineRule="auto"/>
        <w:ind w:right="98" w:firstLine="450"/>
        <w:rPr>
          <w:rFonts w:hint="eastAsia"/>
          <w:color w:val="231F20"/>
        </w:rPr>
      </w:pPr>
      <w:r>
        <w:rPr>
          <w:rFonts w:hint="eastAsia"/>
          <w:color w:val="231F20"/>
        </w:rPr>
        <w:t>幸运的是，那一位即将登上中心舞台。</w:t>
      </w:r>
    </w:p>
    <w:p w14:paraId="413C29E9">
      <w:pPr>
        <w:pStyle w:val="9"/>
        <w:spacing w:before="17" w:line="249" w:lineRule="auto"/>
        <w:ind w:right="98" w:firstLine="450"/>
        <w:rPr>
          <w:rFonts w:hint="eastAsia"/>
          <w:color w:val="231F20"/>
        </w:rPr>
      </w:pPr>
    </w:p>
    <w:p w14:paraId="31BCC36E">
      <w:pPr>
        <w:pStyle w:val="9"/>
        <w:spacing w:before="17" w:line="249" w:lineRule="auto"/>
        <w:ind w:right="98" w:firstLine="450"/>
        <w:rPr>
          <w:rFonts w:hint="eastAsia"/>
          <w:color w:val="231F20"/>
        </w:rPr>
      </w:pPr>
      <w:r>
        <w:rPr>
          <w:rFonts w:hint="eastAsia"/>
          <w:color w:val="231F20"/>
        </w:rPr>
        <w:t>2.The Triumph of the Lamb (Rev. 5)</w:t>
      </w:r>
    </w:p>
    <w:p w14:paraId="0B914ACC">
      <w:pPr>
        <w:pStyle w:val="9"/>
        <w:spacing w:before="17" w:line="249" w:lineRule="auto"/>
        <w:ind w:right="98" w:firstLine="450"/>
        <w:rPr>
          <w:rFonts w:hint="eastAsia"/>
          <w:color w:val="231F20"/>
        </w:rPr>
      </w:pPr>
      <w:r>
        <w:rPr>
          <w:rFonts w:hint="eastAsia"/>
          <w:color w:val="231F20"/>
        </w:rPr>
        <w:t>2.羔羊的得胜（启5）</w:t>
      </w:r>
    </w:p>
    <w:p w14:paraId="0CE0D288">
      <w:pPr>
        <w:pStyle w:val="9"/>
        <w:spacing w:before="17" w:line="249" w:lineRule="auto"/>
        <w:ind w:right="98" w:firstLine="450"/>
        <w:rPr>
          <w:rFonts w:hint="eastAsia"/>
          <w:color w:val="231F20"/>
        </w:rPr>
      </w:pPr>
    </w:p>
    <w:p w14:paraId="27D326A9">
      <w:pPr>
        <w:pStyle w:val="9"/>
        <w:spacing w:before="17" w:line="249" w:lineRule="auto"/>
        <w:ind w:right="98" w:firstLine="450"/>
        <w:rPr>
          <w:rFonts w:hint="eastAsia"/>
          <w:color w:val="231F20"/>
        </w:rPr>
      </w:pPr>
      <w:r>
        <w:rPr>
          <w:rFonts w:hint="eastAsia"/>
          <w:color w:val="231F20"/>
        </w:rPr>
        <w:t>Chapter 5 gives us the Triumph of the Lamb and his Investiture as the High King of Heaven.</w:t>
      </w:r>
    </w:p>
    <w:p w14:paraId="3A709C92">
      <w:pPr>
        <w:pStyle w:val="9"/>
        <w:spacing w:before="17" w:line="249" w:lineRule="auto"/>
        <w:ind w:right="98" w:firstLine="450"/>
        <w:rPr>
          <w:rFonts w:hint="eastAsia"/>
          <w:color w:val="231F20"/>
        </w:rPr>
      </w:pPr>
      <w:r>
        <w:rPr>
          <w:rFonts w:hint="eastAsia"/>
          <w:color w:val="231F20"/>
        </w:rPr>
        <w:t>第5章向我们展示了羔羊的得胜和祂作为天上至高君王的授权典礼。</w:t>
      </w:r>
    </w:p>
    <w:p w14:paraId="42C1609B">
      <w:pPr>
        <w:pStyle w:val="9"/>
        <w:spacing w:before="17" w:line="249" w:lineRule="auto"/>
        <w:ind w:right="98" w:firstLine="450"/>
        <w:rPr>
          <w:rFonts w:hint="eastAsia"/>
          <w:color w:val="231F20"/>
        </w:rPr>
      </w:pPr>
    </w:p>
    <w:p w14:paraId="31B1D154">
      <w:pPr>
        <w:pStyle w:val="9"/>
        <w:spacing w:before="17" w:line="249" w:lineRule="auto"/>
        <w:ind w:right="98" w:firstLine="450"/>
        <w:rPr>
          <w:rFonts w:hint="eastAsia"/>
          <w:color w:val="231F20"/>
        </w:rPr>
      </w:pPr>
      <w:r>
        <w:rPr>
          <w:rFonts w:hint="eastAsia"/>
          <w:color w:val="231F20"/>
        </w:rPr>
        <w:t>It too uses vision and symbol, this time to show us God fulfilling his part in the Covenant of Redemption; to show us what happened when the resurrected Christ ascended into heaven and sat down at the right hand of the Father so as to become the High Priest, High Prophet, and High of King of the cosmos.</w:t>
      </w:r>
    </w:p>
    <w:p w14:paraId="06EBEA15">
      <w:pPr>
        <w:pStyle w:val="9"/>
        <w:spacing w:before="17" w:line="249" w:lineRule="auto"/>
        <w:ind w:right="98" w:firstLine="450"/>
        <w:rPr>
          <w:rFonts w:hint="eastAsia"/>
          <w:color w:val="231F20"/>
        </w:rPr>
      </w:pPr>
      <w:r>
        <w:rPr>
          <w:rFonts w:hint="eastAsia"/>
          <w:color w:val="231F20"/>
        </w:rPr>
        <w:t>它也使用异象和象征，这次是向我们展示上帝在救赎之约中履行祂的部分；向我们展示当复活的基督升天并坐在父的右边，从而成为宇宙的至高祭司、至高先知和至高君王时所发生的事。</w:t>
      </w:r>
    </w:p>
    <w:p w14:paraId="290DCD1E">
      <w:pPr>
        <w:pStyle w:val="9"/>
        <w:spacing w:before="17" w:line="249" w:lineRule="auto"/>
        <w:ind w:right="98" w:firstLine="450"/>
        <w:rPr>
          <w:rFonts w:hint="eastAsia"/>
          <w:color w:val="231F20"/>
        </w:rPr>
      </w:pPr>
    </w:p>
    <w:p w14:paraId="72DDF311">
      <w:pPr>
        <w:pStyle w:val="9"/>
        <w:spacing w:before="17" w:line="249" w:lineRule="auto"/>
        <w:ind w:right="98" w:firstLine="450"/>
        <w:rPr>
          <w:rFonts w:hint="eastAsia"/>
          <w:color w:val="231F20"/>
        </w:rPr>
      </w:pPr>
      <w:r>
        <w:rPr>
          <w:rFonts w:hint="eastAsia"/>
          <w:color w:val="231F20"/>
        </w:rPr>
        <w:t>Let us briefly explore the vision itself in order to see how the Spirit signifies these great truths.</w:t>
      </w:r>
    </w:p>
    <w:p w14:paraId="12462EE3">
      <w:pPr>
        <w:pStyle w:val="9"/>
        <w:spacing w:before="17" w:line="249" w:lineRule="auto"/>
        <w:ind w:right="98" w:firstLine="450"/>
        <w:rPr>
          <w:rFonts w:hint="eastAsia"/>
          <w:color w:val="231F20"/>
        </w:rPr>
      </w:pPr>
      <w:r>
        <w:rPr>
          <w:rFonts w:hint="eastAsia"/>
          <w:color w:val="231F20"/>
        </w:rPr>
        <w:t>让我们简要地探讨这个异象本身，以便看看圣灵是如何表明这些伟大真理的。</w:t>
      </w:r>
    </w:p>
    <w:p w14:paraId="34F5FDA4">
      <w:pPr>
        <w:pStyle w:val="9"/>
        <w:spacing w:before="17" w:line="249" w:lineRule="auto"/>
        <w:ind w:right="98" w:firstLine="450"/>
        <w:rPr>
          <w:rFonts w:hint="eastAsia"/>
          <w:color w:val="231F20"/>
        </w:rPr>
      </w:pPr>
    </w:p>
    <w:p w14:paraId="71A5854A">
      <w:pPr>
        <w:pStyle w:val="9"/>
        <w:spacing w:before="17" w:line="249" w:lineRule="auto"/>
        <w:ind w:right="98" w:firstLine="450"/>
        <w:rPr>
          <w:rFonts w:hint="eastAsia"/>
          <w:color w:val="231F20"/>
        </w:rPr>
      </w:pPr>
      <w:r>
        <w:rPr>
          <w:rFonts w:hint="eastAsia"/>
          <w:color w:val="231F20"/>
        </w:rPr>
        <w:t>In verse 1 John notices a scroll in the right hand of God, written within and without, sealed with seven seals.</w:t>
      </w:r>
    </w:p>
    <w:p w14:paraId="0C423038">
      <w:pPr>
        <w:pStyle w:val="9"/>
        <w:spacing w:before="17" w:line="249" w:lineRule="auto"/>
        <w:ind w:right="98" w:firstLine="450"/>
        <w:rPr>
          <w:rFonts w:hint="eastAsia"/>
          <w:color w:val="231F20"/>
        </w:rPr>
      </w:pPr>
      <w:r>
        <w:rPr>
          <w:rFonts w:hint="eastAsia"/>
          <w:color w:val="231F20"/>
        </w:rPr>
        <w:t>在第1节，约翰注意到上帝右手中有一个书卷，里外都写着字，用七印封严了。</w:t>
      </w:r>
    </w:p>
    <w:p w14:paraId="7EFB4550">
      <w:pPr>
        <w:pStyle w:val="9"/>
        <w:spacing w:before="17" w:line="249" w:lineRule="auto"/>
        <w:ind w:right="98" w:firstLine="450"/>
        <w:rPr>
          <w:rFonts w:hint="eastAsia"/>
          <w:color w:val="231F20"/>
        </w:rPr>
      </w:pPr>
    </w:p>
    <w:p w14:paraId="69D049F2">
      <w:pPr>
        <w:pStyle w:val="9"/>
        <w:spacing w:before="17" w:line="249" w:lineRule="auto"/>
        <w:ind w:right="98" w:firstLine="450"/>
        <w:rPr>
          <w:rFonts w:hint="eastAsia"/>
          <w:color w:val="231F20"/>
        </w:rPr>
      </w:pPr>
      <w:r>
        <w:rPr>
          <w:rFonts w:hint="eastAsia"/>
          <w:color w:val="231F20"/>
        </w:rPr>
        <w:t>According to many interpreters, it is a last will and testament, upon which is written, very fulsomely, the promise of the Eternal Covenant: Eternal life with the Triune God in the new heavens and the new earth.</w:t>
      </w:r>
    </w:p>
    <w:p w14:paraId="47816C3A">
      <w:pPr>
        <w:pStyle w:val="9"/>
        <w:spacing w:before="17" w:line="249" w:lineRule="auto"/>
        <w:ind w:right="98" w:firstLine="450"/>
        <w:rPr>
          <w:rFonts w:hint="eastAsia"/>
          <w:color w:val="231F20"/>
        </w:rPr>
      </w:pPr>
      <w:r>
        <w:rPr>
          <w:rFonts w:hint="eastAsia"/>
          <w:color w:val="231F20"/>
        </w:rPr>
        <w:t>根据许多解释者的说法，这是一份最后的遗嘱和证明，上面极其详尽地写着永恒之约的应许：在新天新地中与三一上帝同享永生。</w:t>
      </w:r>
    </w:p>
    <w:p w14:paraId="0D410A5A">
      <w:pPr>
        <w:pStyle w:val="9"/>
        <w:spacing w:before="17" w:line="249" w:lineRule="auto"/>
        <w:ind w:right="98" w:firstLine="450"/>
        <w:rPr>
          <w:rFonts w:hint="eastAsia"/>
          <w:color w:val="231F20"/>
        </w:rPr>
      </w:pPr>
    </w:p>
    <w:p w14:paraId="49983ED1">
      <w:pPr>
        <w:pStyle w:val="9"/>
        <w:spacing w:before="17" w:line="249" w:lineRule="auto"/>
        <w:ind w:right="98" w:firstLine="450"/>
        <w:rPr>
          <w:rFonts w:hint="eastAsia"/>
          <w:color w:val="231F20"/>
        </w:rPr>
      </w:pPr>
      <w:r>
        <w:rPr>
          <w:rFonts w:hint="eastAsia"/>
          <w:color w:val="231F20"/>
        </w:rPr>
        <w:t>When at last we reach chapters 21-22, we will learn more about its exact contents.</w:t>
      </w:r>
    </w:p>
    <w:p w14:paraId="6E862B35">
      <w:pPr>
        <w:pStyle w:val="9"/>
        <w:spacing w:before="17" w:line="249" w:lineRule="auto"/>
        <w:ind w:right="98" w:firstLine="450"/>
        <w:rPr>
          <w:rFonts w:hint="eastAsia"/>
          <w:color w:val="231F20"/>
        </w:rPr>
      </w:pPr>
      <w:r>
        <w:rPr>
          <w:rFonts w:hint="eastAsia"/>
          <w:color w:val="231F20"/>
        </w:rPr>
        <w:t>当我们最终读到第21-22章时，我们将更多地了解其确切内容。</w:t>
      </w:r>
    </w:p>
    <w:p w14:paraId="509B88F0">
      <w:pPr>
        <w:pStyle w:val="9"/>
        <w:spacing w:before="17" w:line="249" w:lineRule="auto"/>
        <w:ind w:right="98" w:firstLine="450"/>
        <w:rPr>
          <w:rFonts w:hint="eastAsia"/>
          <w:color w:val="231F20"/>
        </w:rPr>
      </w:pPr>
    </w:p>
    <w:p w14:paraId="0E900E47">
      <w:pPr>
        <w:pStyle w:val="9"/>
        <w:spacing w:before="17" w:line="249" w:lineRule="auto"/>
        <w:ind w:right="98" w:firstLine="450"/>
        <w:rPr>
          <w:rFonts w:hint="eastAsia"/>
          <w:color w:val="231F20"/>
        </w:rPr>
      </w:pPr>
      <w:r>
        <w:rPr>
          <w:rFonts w:hint="eastAsia"/>
          <w:color w:val="231F20"/>
        </w:rPr>
        <w:t>First, however, the seven seals must be opened; first the residue of Salvation History—the Era of Proclamation and Probation, the period of time between Christ’s Session and his Parousia— must run its course.6</w:t>
      </w:r>
    </w:p>
    <w:p w14:paraId="64B769AC">
      <w:pPr>
        <w:pStyle w:val="9"/>
        <w:spacing w:before="17" w:line="249" w:lineRule="auto"/>
        <w:ind w:right="98" w:firstLine="450"/>
        <w:rPr>
          <w:rFonts w:hint="eastAsia"/>
          <w:color w:val="231F20"/>
        </w:rPr>
      </w:pPr>
      <w:r>
        <w:rPr>
          <w:rFonts w:hint="eastAsia"/>
          <w:color w:val="231F20"/>
        </w:rPr>
        <w:t>然而，首先，七印必须被揭开；首先，救赎历史的余下部分——即宣讲与试验的时代，基督升天坐席与祂主临（Parousia）之间的时期——必须走完其历程。6</w:t>
      </w:r>
    </w:p>
    <w:p w14:paraId="38E9A744">
      <w:pPr>
        <w:pStyle w:val="9"/>
        <w:spacing w:before="17" w:line="249" w:lineRule="auto"/>
        <w:ind w:right="98" w:firstLine="450"/>
        <w:rPr>
          <w:rFonts w:hint="eastAsia"/>
          <w:color w:val="231F20"/>
        </w:rPr>
      </w:pPr>
    </w:p>
    <w:p w14:paraId="29215654">
      <w:pPr>
        <w:pStyle w:val="9"/>
        <w:spacing w:before="17" w:line="249" w:lineRule="auto"/>
        <w:ind w:right="98" w:firstLine="450"/>
        <w:rPr>
          <w:rFonts w:hint="eastAsia"/>
          <w:color w:val="231F20"/>
        </w:rPr>
      </w:pPr>
      <w:r>
        <w:rPr>
          <w:rFonts w:hint="eastAsia"/>
          <w:color w:val="231F20"/>
        </w:rPr>
        <w:t>In verses 2-4 the apostle receives a terrible shock: Precious as the gift is, it appears that the people of God are in no position to receive it!</w:t>
      </w:r>
    </w:p>
    <w:p w14:paraId="5ABD703A">
      <w:pPr>
        <w:pStyle w:val="9"/>
        <w:spacing w:before="17" w:line="249" w:lineRule="auto"/>
        <w:ind w:right="98" w:firstLine="450"/>
        <w:rPr>
          <w:rFonts w:hint="eastAsia"/>
          <w:color w:val="231F20"/>
        </w:rPr>
      </w:pPr>
      <w:r>
        <w:rPr>
          <w:rFonts w:hint="eastAsia"/>
          <w:color w:val="231F20"/>
        </w:rPr>
        <w:t>在第2-4节，使徒受到了一个可怕的冲击：虽然这恩赐是宝贵的，但上帝的子民似乎没有资格领受它！</w:t>
      </w:r>
    </w:p>
    <w:p w14:paraId="10ECF26D">
      <w:pPr>
        <w:pStyle w:val="9"/>
        <w:spacing w:before="17" w:line="249" w:lineRule="auto"/>
        <w:ind w:right="98" w:firstLine="450"/>
        <w:rPr>
          <w:rFonts w:hint="eastAsia"/>
          <w:color w:val="231F20"/>
        </w:rPr>
      </w:pPr>
    </w:p>
    <w:p w14:paraId="375EFE8B">
      <w:pPr>
        <w:pStyle w:val="9"/>
        <w:spacing w:before="17" w:line="249" w:lineRule="auto"/>
        <w:ind w:right="98" w:firstLine="450"/>
        <w:rPr>
          <w:rFonts w:hint="eastAsia"/>
          <w:color w:val="231F20"/>
        </w:rPr>
      </w:pPr>
      <w:r>
        <w:rPr>
          <w:rFonts w:hint="eastAsia"/>
          <w:color w:val="231F20"/>
        </w:rPr>
        <w:t>Certainly the loving Father desires to give it to them, seeing that he holds it in his hand.</w:t>
      </w:r>
    </w:p>
    <w:p w14:paraId="0E8A8916">
      <w:pPr>
        <w:pStyle w:val="9"/>
        <w:spacing w:before="17" w:line="249" w:lineRule="auto"/>
        <w:ind w:right="98" w:firstLine="450"/>
        <w:rPr>
          <w:rFonts w:hint="eastAsia"/>
          <w:color w:val="231F20"/>
        </w:rPr>
      </w:pPr>
      <w:r>
        <w:rPr>
          <w:rFonts w:hint="eastAsia"/>
          <w:color w:val="231F20"/>
        </w:rPr>
        <w:t>当然，慈爱的父渴望将它赐给他们，因为祂将它握在手中。</w:t>
      </w:r>
    </w:p>
    <w:p w14:paraId="5B3BF1FE">
      <w:pPr>
        <w:pStyle w:val="9"/>
        <w:spacing w:before="17" w:line="249" w:lineRule="auto"/>
        <w:ind w:right="98" w:firstLine="450"/>
        <w:rPr>
          <w:rFonts w:hint="eastAsia"/>
          <w:color w:val="231F20"/>
        </w:rPr>
      </w:pPr>
    </w:p>
    <w:p w14:paraId="2811C52A">
      <w:pPr>
        <w:pStyle w:val="9"/>
        <w:spacing w:before="17" w:line="249" w:lineRule="auto"/>
        <w:ind w:right="98" w:firstLine="450"/>
        <w:rPr>
          <w:rFonts w:hint="eastAsia"/>
          <w:color w:val="231F20"/>
        </w:rPr>
      </w:pPr>
      <w:r>
        <w:rPr>
          <w:rFonts w:hint="eastAsia"/>
          <w:color w:val="231F20"/>
        </w:rPr>
        <w:t>Yet just as certainly, this righteous Judge cannot give it to them, not unless he can find someone to mediate between them and him: someone to fulfill the righteous requirement of his law on their behalf, someone to pay the penalty for their having broken it, and someone who thereby both secures their righteousness and placates God’s wrath against them.</w:t>
      </w:r>
    </w:p>
    <w:p w14:paraId="6D09810F">
      <w:pPr>
        <w:pStyle w:val="9"/>
        <w:spacing w:before="17" w:line="249" w:lineRule="auto"/>
        <w:ind w:right="98" w:firstLine="450"/>
        <w:rPr>
          <w:rFonts w:hint="eastAsia"/>
          <w:color w:val="231F20"/>
        </w:rPr>
      </w:pPr>
      <w:r>
        <w:rPr>
          <w:rFonts w:hint="eastAsia"/>
          <w:color w:val="231F20"/>
        </w:rPr>
        <w:t>但同样确定的是，这位公义的审判主不能将它赐给他们，除非祂能找到一个人在他们和祂之间作中保：一个能替他们满足祂律法公义要求的人，一个能为他们违背律法而支付刑罚的人，以及一个能因此既确保他们的义，又平息上帝对他们忿怒的人。</w:t>
      </w:r>
    </w:p>
    <w:p w14:paraId="06526A07">
      <w:pPr>
        <w:pStyle w:val="9"/>
        <w:spacing w:before="17" w:line="249" w:lineRule="auto"/>
        <w:ind w:right="98" w:firstLine="450"/>
        <w:rPr>
          <w:rFonts w:hint="eastAsia"/>
          <w:color w:val="231F20"/>
        </w:rPr>
      </w:pPr>
    </w:p>
    <w:p w14:paraId="0E4CFB7A">
      <w:pPr>
        <w:pStyle w:val="9"/>
        <w:spacing w:before="17" w:line="249" w:lineRule="auto"/>
        <w:ind w:right="98" w:firstLine="450"/>
        <w:rPr>
          <w:rFonts w:hint="eastAsia"/>
          <w:color w:val="231F20"/>
        </w:rPr>
      </w:pPr>
      <w:r>
        <w:rPr>
          <w:rFonts w:hint="eastAsia"/>
          <w:color w:val="231F20"/>
        </w:rPr>
        <w:t>But as the apostle scans the cosmos, he finds no creature of God—neither man nor angel—who is “worthy” (i.e., qualified) to become such a mediator.</w:t>
      </w:r>
    </w:p>
    <w:p w14:paraId="1057C518">
      <w:pPr>
        <w:pStyle w:val="9"/>
        <w:spacing w:before="17" w:line="249" w:lineRule="auto"/>
        <w:ind w:right="98" w:firstLine="450"/>
        <w:rPr>
          <w:rFonts w:hint="eastAsia"/>
          <w:color w:val="231F20"/>
        </w:rPr>
      </w:pPr>
      <w:r>
        <w:rPr>
          <w:rFonts w:hint="eastAsia"/>
          <w:color w:val="231F20"/>
        </w:rPr>
        <w:t>但当使徒环顾宇宙时，他发现没有任何上帝的受造物——无论是人还是天使——是“配得”（即有资格）成为这样的中保的。</w:t>
      </w:r>
    </w:p>
    <w:p w14:paraId="672890E5">
      <w:pPr>
        <w:pStyle w:val="9"/>
        <w:spacing w:before="17" w:line="249" w:lineRule="auto"/>
        <w:ind w:right="98" w:firstLine="450"/>
        <w:rPr>
          <w:rFonts w:hint="eastAsia"/>
          <w:color w:val="231F20"/>
        </w:rPr>
      </w:pPr>
    </w:p>
    <w:p w14:paraId="2FA9CF1D">
      <w:pPr>
        <w:pStyle w:val="9"/>
        <w:spacing w:before="17" w:line="249" w:lineRule="auto"/>
        <w:ind w:right="98" w:firstLine="450"/>
        <w:rPr>
          <w:rFonts w:hint="eastAsia"/>
          <w:color w:val="231F20"/>
        </w:rPr>
      </w:pPr>
      <w:r>
        <w:rPr>
          <w:rFonts w:hint="eastAsia"/>
          <w:color w:val="231F20"/>
        </w:rPr>
        <w:t>There is no one in heaven or upon the earth who can win the prize of Eternal Life for the people of God.</w:t>
      </w:r>
    </w:p>
    <w:p w14:paraId="067141ED">
      <w:pPr>
        <w:pStyle w:val="9"/>
        <w:spacing w:before="17" w:line="249" w:lineRule="auto"/>
        <w:ind w:right="98" w:firstLine="450"/>
        <w:rPr>
          <w:rFonts w:hint="eastAsia"/>
          <w:color w:val="231F20"/>
        </w:rPr>
      </w:pPr>
      <w:r>
        <w:rPr>
          <w:rFonts w:hint="eastAsia"/>
          <w:color w:val="231F20"/>
        </w:rPr>
        <w:t>在天上或地上，没有人能为上帝的子民赢得永生这个奖赏。</w:t>
      </w:r>
    </w:p>
    <w:p w14:paraId="26BA109E">
      <w:pPr>
        <w:pStyle w:val="9"/>
        <w:spacing w:before="17" w:line="249" w:lineRule="auto"/>
        <w:ind w:right="98" w:firstLine="450"/>
        <w:rPr>
          <w:rFonts w:hint="eastAsia"/>
          <w:color w:val="231F20"/>
        </w:rPr>
      </w:pPr>
    </w:p>
    <w:p w14:paraId="0521FC5C">
      <w:pPr>
        <w:pStyle w:val="9"/>
        <w:spacing w:before="17" w:line="249" w:lineRule="auto"/>
        <w:ind w:right="98" w:firstLine="450"/>
        <w:rPr>
          <w:rFonts w:hint="eastAsia"/>
          <w:color w:val="231F20"/>
        </w:rPr>
      </w:pPr>
      <w:r>
        <w:rPr>
          <w:rFonts w:hint="eastAsia"/>
          <w:color w:val="231F20"/>
        </w:rPr>
        <w:t>Seeing the dreadful implications of this, the apostle sobs uncontrollably, despairing not only of the salvation of sinners, but also of the fulfillment of God’s original purpose for his creation.</w:t>
      </w:r>
    </w:p>
    <w:p w14:paraId="320DF630">
      <w:pPr>
        <w:pStyle w:val="9"/>
        <w:spacing w:before="17" w:line="249" w:lineRule="auto"/>
        <w:ind w:right="98" w:firstLine="450"/>
        <w:rPr>
          <w:rFonts w:hint="eastAsia"/>
          <w:color w:val="231F20"/>
        </w:rPr>
      </w:pPr>
      <w:r>
        <w:rPr>
          <w:rFonts w:hint="eastAsia"/>
          <w:color w:val="231F20"/>
        </w:rPr>
        <w:t>看到这可怕的后果，使徒无法控制地哭泣，不仅对罪人的得救感到绝望，也对上帝为其创造物所定的原始旨意的实现感到绝望。</w:t>
      </w:r>
    </w:p>
    <w:p w14:paraId="699F40A1">
      <w:pPr>
        <w:pStyle w:val="9"/>
        <w:spacing w:before="17" w:line="249" w:lineRule="auto"/>
        <w:ind w:right="98" w:firstLine="450"/>
        <w:rPr>
          <w:rFonts w:hint="eastAsia"/>
          <w:color w:val="231F20"/>
        </w:rPr>
      </w:pPr>
    </w:p>
    <w:p w14:paraId="6E57780F">
      <w:pPr>
        <w:pStyle w:val="9"/>
        <w:spacing w:before="17" w:line="249" w:lineRule="auto"/>
        <w:ind w:right="98" w:firstLine="450"/>
        <w:rPr>
          <w:rFonts w:hint="eastAsia"/>
          <w:color w:val="231F20"/>
        </w:rPr>
      </w:pPr>
      <w:r>
        <w:rPr>
          <w:rFonts w:hint="eastAsia"/>
          <w:color w:val="231F20"/>
        </w:rPr>
        <w:t>However, at this point one of the 24 elders brings John great good news: Weep not!</w:t>
      </w:r>
    </w:p>
    <w:p w14:paraId="6F5185FE">
      <w:pPr>
        <w:pStyle w:val="9"/>
        <w:spacing w:before="17" w:line="249" w:lineRule="auto"/>
        <w:ind w:right="98" w:firstLine="450"/>
        <w:rPr>
          <w:rFonts w:hint="eastAsia"/>
          <w:color w:val="231F20"/>
        </w:rPr>
      </w:pPr>
      <w:r>
        <w:rPr>
          <w:rFonts w:hint="eastAsia"/>
          <w:color w:val="231F20"/>
        </w:rPr>
        <w:t>然而，此时，二十四位长老中的一位给约翰带来了极大的好消息：不要哭！</w:t>
      </w:r>
    </w:p>
    <w:p w14:paraId="2806E529">
      <w:pPr>
        <w:pStyle w:val="9"/>
        <w:spacing w:before="17" w:line="249" w:lineRule="auto"/>
        <w:ind w:right="98" w:firstLine="450"/>
        <w:rPr>
          <w:rFonts w:hint="eastAsia"/>
          <w:color w:val="231F20"/>
        </w:rPr>
      </w:pPr>
    </w:p>
    <w:p w14:paraId="33E8FDFD">
      <w:pPr>
        <w:pStyle w:val="9"/>
        <w:spacing w:before="17" w:line="249" w:lineRule="auto"/>
        <w:ind w:right="98" w:firstLine="450"/>
        <w:rPr>
          <w:rFonts w:hint="eastAsia"/>
          <w:color w:val="231F20"/>
        </w:rPr>
      </w:pPr>
      <w:r>
        <w:rPr>
          <w:rFonts w:hint="eastAsia"/>
          <w:color w:val="231F20"/>
        </w:rPr>
        <w:t>There is indeed such a Mediator!</w:t>
      </w:r>
    </w:p>
    <w:p w14:paraId="21C53337">
      <w:pPr>
        <w:pStyle w:val="9"/>
        <w:spacing w:before="17" w:line="249" w:lineRule="auto"/>
        <w:ind w:right="98" w:firstLine="450"/>
        <w:rPr>
          <w:rFonts w:hint="eastAsia"/>
          <w:color w:val="231F20"/>
        </w:rPr>
      </w:pPr>
      <w:r>
        <w:rPr>
          <w:rFonts w:hint="eastAsia"/>
          <w:color w:val="231F20"/>
        </w:rPr>
        <w:t>确实有这样一位中保！</w:t>
      </w:r>
    </w:p>
    <w:p w14:paraId="2909AF0A">
      <w:pPr>
        <w:pStyle w:val="9"/>
        <w:spacing w:before="17" w:line="249" w:lineRule="auto"/>
        <w:ind w:right="98" w:firstLine="450"/>
        <w:rPr>
          <w:rFonts w:hint="eastAsia"/>
          <w:color w:val="231F20"/>
        </w:rPr>
      </w:pPr>
    </w:p>
    <w:p w14:paraId="763FB187">
      <w:pPr>
        <w:pStyle w:val="9"/>
        <w:spacing w:before="17" w:line="249" w:lineRule="auto"/>
        <w:ind w:right="98" w:firstLine="450"/>
        <w:rPr>
          <w:rFonts w:hint="eastAsia"/>
          <w:color w:val="231F20"/>
        </w:rPr>
      </w:pPr>
      <w:r>
        <w:rPr>
          <w:rFonts w:hint="eastAsia"/>
          <w:color w:val="231F20"/>
        </w:rPr>
        <w:t>He is the Lion of the Tribe of Judah (i.e., the triumphant Messiah himself) and the Root of David (i.e., the Divine Creator of the Messianic prototype).</w:t>
      </w:r>
    </w:p>
    <w:p w14:paraId="0D5A81C2">
      <w:pPr>
        <w:pStyle w:val="9"/>
        <w:spacing w:before="17" w:line="249" w:lineRule="auto"/>
        <w:ind w:right="98" w:firstLine="450"/>
        <w:rPr>
          <w:rFonts w:hint="eastAsia"/>
          <w:color w:val="231F20"/>
        </w:rPr>
      </w:pPr>
      <w:r>
        <w:rPr>
          <w:rFonts w:hint="eastAsia"/>
          <w:color w:val="231F20"/>
        </w:rPr>
        <w:t>祂是犹大支派的狮子（即得胜的弥赛亚自己）和大卫的根（即弥赛亚原型的神圣创造主）。</w:t>
      </w:r>
    </w:p>
    <w:p w14:paraId="25369424">
      <w:pPr>
        <w:pStyle w:val="9"/>
        <w:spacing w:before="17" w:line="249" w:lineRule="auto"/>
        <w:ind w:right="98" w:firstLine="450"/>
        <w:rPr>
          <w:rFonts w:hint="eastAsia"/>
          <w:color w:val="231F20"/>
        </w:rPr>
      </w:pPr>
    </w:p>
    <w:p w14:paraId="2641B311">
      <w:pPr>
        <w:pStyle w:val="9"/>
        <w:spacing w:before="17" w:line="249" w:lineRule="auto"/>
        <w:ind w:right="98" w:firstLine="450"/>
        <w:rPr>
          <w:rFonts w:hint="eastAsia"/>
          <w:color w:val="231F20"/>
        </w:rPr>
      </w:pPr>
      <w:r>
        <w:rPr>
          <w:rFonts w:hint="eastAsia"/>
          <w:color w:val="231F20"/>
        </w:rPr>
        <w:t>This One—the Messianic God-Man—has indeed prevailed, so as to open the scroll and bestow its blessed contents upon the saints.</w:t>
      </w:r>
    </w:p>
    <w:p w14:paraId="79307D1F">
      <w:pPr>
        <w:pStyle w:val="9"/>
        <w:spacing w:before="17" w:line="249" w:lineRule="auto"/>
        <w:ind w:right="98" w:firstLine="450"/>
        <w:rPr>
          <w:rFonts w:hint="eastAsia"/>
          <w:color w:val="231F20"/>
        </w:rPr>
      </w:pPr>
      <w:r>
        <w:rPr>
          <w:rFonts w:hint="eastAsia"/>
          <w:color w:val="231F20"/>
        </w:rPr>
        <w:t>这一位——弥赛亚式的神人——确实已经得胜，所以能够展开书卷，并将其蒙福的内容赐给圣徒。</w:t>
      </w:r>
    </w:p>
    <w:p w14:paraId="678EE906">
      <w:pPr>
        <w:pStyle w:val="9"/>
        <w:spacing w:before="17" w:line="249" w:lineRule="auto"/>
        <w:ind w:right="98" w:firstLine="450"/>
        <w:rPr>
          <w:rFonts w:hint="eastAsia"/>
          <w:color w:val="231F20"/>
        </w:rPr>
      </w:pPr>
    </w:p>
    <w:p w14:paraId="0667A0E3">
      <w:pPr>
        <w:pStyle w:val="9"/>
        <w:spacing w:before="17" w:line="249" w:lineRule="auto"/>
        <w:ind w:right="98" w:firstLine="450"/>
        <w:rPr>
          <w:rFonts w:hint="eastAsia"/>
          <w:color w:val="231F20"/>
        </w:rPr>
      </w:pPr>
      <w:r>
        <w:rPr>
          <w:rFonts w:hint="eastAsia"/>
          <w:color w:val="231F20"/>
        </w:rPr>
        <w:t>How exactly has he done this?</w:t>
      </w:r>
    </w:p>
    <w:p w14:paraId="717679C1">
      <w:pPr>
        <w:pStyle w:val="9"/>
        <w:spacing w:before="17" w:line="249" w:lineRule="auto"/>
        <w:ind w:right="98" w:firstLine="450"/>
        <w:rPr>
          <w:rFonts w:hint="eastAsia"/>
          <w:color w:val="231F20"/>
        </w:rPr>
      </w:pPr>
      <w:r>
        <w:rPr>
          <w:rFonts w:hint="eastAsia"/>
          <w:color w:val="231F20"/>
        </w:rPr>
        <w:t>祂究竟是如何做到这一点的？</w:t>
      </w:r>
    </w:p>
    <w:p w14:paraId="0779344B">
      <w:pPr>
        <w:pStyle w:val="9"/>
        <w:spacing w:before="17" w:line="249" w:lineRule="auto"/>
        <w:ind w:right="98" w:firstLine="450"/>
        <w:rPr>
          <w:rFonts w:hint="eastAsia"/>
          <w:color w:val="231F20"/>
        </w:rPr>
      </w:pPr>
    </w:p>
    <w:p w14:paraId="1DBDF6BE">
      <w:pPr>
        <w:pStyle w:val="9"/>
        <w:spacing w:before="17" w:line="249" w:lineRule="auto"/>
        <w:ind w:right="98" w:firstLine="450"/>
        <w:rPr>
          <w:rFonts w:hint="eastAsia"/>
          <w:color w:val="231F20"/>
        </w:rPr>
      </w:pPr>
      <w:r>
        <w:rPr>
          <w:rFonts w:hint="eastAsia"/>
          <w:color w:val="231F20"/>
        </w:rPr>
        <w:t>Verse 6 supplies the answer.</w:t>
      </w:r>
    </w:p>
    <w:p w14:paraId="07EF7CF5">
      <w:pPr>
        <w:pStyle w:val="9"/>
        <w:spacing w:before="17" w:line="249" w:lineRule="auto"/>
        <w:ind w:right="98" w:firstLine="450"/>
        <w:rPr>
          <w:rFonts w:hint="eastAsia"/>
          <w:color w:val="231F20"/>
        </w:rPr>
      </w:pPr>
      <w:r>
        <w:rPr>
          <w:rFonts w:hint="eastAsia"/>
          <w:color w:val="231F20"/>
        </w:rPr>
        <w:t>第6节提供了答案。</w:t>
      </w:r>
    </w:p>
    <w:p w14:paraId="69B75ABA">
      <w:pPr>
        <w:pStyle w:val="9"/>
        <w:spacing w:before="17" w:line="249" w:lineRule="auto"/>
        <w:ind w:right="98" w:firstLine="450"/>
        <w:rPr>
          <w:rFonts w:hint="eastAsia"/>
          <w:color w:val="231F20"/>
        </w:rPr>
      </w:pPr>
    </w:p>
    <w:p w14:paraId="2C1F639B">
      <w:pPr>
        <w:pStyle w:val="9"/>
        <w:spacing w:before="17" w:line="249" w:lineRule="auto"/>
        <w:ind w:right="98" w:firstLine="450"/>
        <w:rPr>
          <w:rFonts w:hint="eastAsia"/>
          <w:color w:val="231F20"/>
        </w:rPr>
      </w:pPr>
      <w:r>
        <w:rPr>
          <w:rFonts w:hint="eastAsia"/>
          <w:color w:val="231F20"/>
        </w:rPr>
        <w:t>In the days of his flesh, the Divine-Human Messiah fulfilled all righteousness; then, at the close of those days, he freely became the Lamb of God, an atoning Sacrifice who took away the sins of his people.</w:t>
      </w:r>
    </w:p>
    <w:p w14:paraId="1443BD73">
      <w:pPr>
        <w:pStyle w:val="9"/>
        <w:spacing w:before="17" w:line="249" w:lineRule="auto"/>
        <w:ind w:right="98" w:firstLine="450"/>
        <w:rPr>
          <w:rFonts w:hint="eastAsia"/>
          <w:color w:val="231F20"/>
        </w:rPr>
      </w:pPr>
      <w:r>
        <w:rPr>
          <w:rFonts w:hint="eastAsia"/>
          <w:color w:val="231F20"/>
        </w:rPr>
        <w:t>在祂肉身的日子里，这位神人弥赛亚成全了所有的义；然后，在那些日子的末了，祂甘愿成为上帝的羔羊，一个除去祂子民罪孽的赎罪祭。</w:t>
      </w:r>
    </w:p>
    <w:p w14:paraId="286E74D8">
      <w:pPr>
        <w:pStyle w:val="9"/>
        <w:spacing w:before="17" w:line="249" w:lineRule="auto"/>
        <w:ind w:right="98" w:firstLine="450"/>
        <w:rPr>
          <w:rFonts w:hint="eastAsia"/>
          <w:color w:val="231F20"/>
        </w:rPr>
      </w:pPr>
    </w:p>
    <w:p w14:paraId="6DD3A966">
      <w:pPr>
        <w:pStyle w:val="9"/>
        <w:spacing w:before="17" w:line="249" w:lineRule="auto"/>
        <w:ind w:right="98" w:firstLine="450"/>
        <w:rPr>
          <w:rFonts w:hint="eastAsia"/>
          <w:color w:val="231F20"/>
        </w:rPr>
      </w:pPr>
      <w:r>
        <w:rPr>
          <w:rFonts w:hint="eastAsia"/>
          <w:color w:val="231F20"/>
        </w:rPr>
        <w:t>Thus did he prevail to redeem them: to rescue them from every spiritual and physical enemy introduced at the Fall, and to restore them to every spiritual and physical friend promised at the Tree of Life.</w:t>
      </w:r>
    </w:p>
    <w:p w14:paraId="042F6A24">
      <w:pPr>
        <w:pStyle w:val="9"/>
        <w:spacing w:before="17" w:line="249" w:lineRule="auto"/>
        <w:ind w:right="98" w:firstLine="450"/>
        <w:rPr>
          <w:rFonts w:hint="eastAsia"/>
          <w:color w:val="231F20"/>
        </w:rPr>
      </w:pPr>
      <w:r>
        <w:rPr>
          <w:rFonts w:hint="eastAsia"/>
          <w:color w:val="231F20"/>
        </w:rPr>
        <w:t>祂就是这样得胜来救赎他们：将他们从堕落时引入的每一个属灵和属肉体的仇敌中拯救出来，并将他们恢复到生命树所应许的每一个属灵和属肉体的朋友那里。</w:t>
      </w:r>
    </w:p>
    <w:p w14:paraId="61B6E0DA">
      <w:pPr>
        <w:pStyle w:val="9"/>
        <w:spacing w:before="17" w:line="249" w:lineRule="auto"/>
        <w:ind w:right="98" w:firstLine="450"/>
        <w:rPr>
          <w:rFonts w:hint="eastAsia"/>
          <w:color w:val="231F20"/>
        </w:rPr>
      </w:pPr>
    </w:p>
    <w:p w14:paraId="60C027E4">
      <w:pPr>
        <w:pStyle w:val="9"/>
        <w:spacing w:before="17" w:line="249" w:lineRule="auto"/>
        <w:ind w:right="98" w:firstLine="450"/>
        <w:rPr>
          <w:rFonts w:hint="eastAsia"/>
          <w:color w:val="231F20"/>
        </w:rPr>
      </w:pPr>
      <w:r>
        <w:rPr>
          <w:rFonts w:hint="eastAsia"/>
          <w:color w:val="231F20"/>
        </w:rPr>
        <w:t>In short, the Lord Jesus Christ prevailed by fulfilling his part in the eternal Covenant of Redemption.</w:t>
      </w:r>
    </w:p>
    <w:p w14:paraId="6323300A">
      <w:pPr>
        <w:pStyle w:val="9"/>
        <w:spacing w:before="17" w:line="249" w:lineRule="auto"/>
        <w:ind w:right="98" w:firstLine="450"/>
        <w:rPr>
          <w:rFonts w:hint="eastAsia"/>
          <w:color w:val="231F20"/>
        </w:rPr>
      </w:pPr>
      <w:r>
        <w:rPr>
          <w:rFonts w:hint="eastAsia"/>
          <w:color w:val="231F20"/>
        </w:rPr>
        <w:t>简而言之，主耶稣基督是通过履行祂在永恒的救赎之约中的部分而得胜的。</w:t>
      </w:r>
    </w:p>
    <w:p w14:paraId="17B8E1ED">
      <w:pPr>
        <w:pStyle w:val="9"/>
        <w:spacing w:before="17" w:line="249" w:lineRule="auto"/>
        <w:ind w:right="98" w:firstLine="450"/>
        <w:rPr>
          <w:rFonts w:hint="eastAsia"/>
          <w:color w:val="231F20"/>
        </w:rPr>
      </w:pPr>
    </w:p>
    <w:p w14:paraId="7CB94C1F">
      <w:pPr>
        <w:pStyle w:val="9"/>
        <w:spacing w:before="17" w:line="249" w:lineRule="auto"/>
        <w:ind w:right="98" w:firstLine="450"/>
        <w:rPr>
          <w:rFonts w:hint="eastAsia"/>
          <w:color w:val="231F20"/>
        </w:rPr>
      </w:pPr>
      <w:r>
        <w:rPr>
          <w:rFonts w:hint="eastAsia"/>
          <w:color w:val="231F20"/>
        </w:rPr>
        <w:t>For this reason, John now sees him standing, all-triumphant, between the throne and the 24 elders, effectively serving as the (priestly) Mediator between God and man, shielding his children from the wrath to come, and granting them eternal life in the presence of his Father.</w:t>
      </w:r>
    </w:p>
    <w:p w14:paraId="4FD68FEC">
      <w:pPr>
        <w:pStyle w:val="9"/>
        <w:spacing w:before="17" w:line="249" w:lineRule="auto"/>
        <w:ind w:right="98" w:firstLine="450"/>
        <w:rPr>
          <w:rFonts w:hint="eastAsia"/>
          <w:color w:val="231F20"/>
        </w:rPr>
      </w:pPr>
      <w:r>
        <w:rPr>
          <w:rFonts w:hint="eastAsia"/>
          <w:color w:val="231F20"/>
        </w:rPr>
        <w:t>因此，约翰现在看见祂全胜地站立在宝座和二十四位长老之间，有效地担当了上帝与人之间的（祭司性）中保，保护祂的儿女免受将来的忿怒，并在祂父的面前赐给他们永生。</w:t>
      </w:r>
    </w:p>
    <w:p w14:paraId="593207F8">
      <w:pPr>
        <w:pStyle w:val="9"/>
        <w:spacing w:before="17" w:line="249" w:lineRule="auto"/>
        <w:ind w:right="98" w:firstLine="450"/>
        <w:rPr>
          <w:rFonts w:hint="eastAsia"/>
          <w:color w:val="231F20"/>
        </w:rPr>
      </w:pPr>
    </w:p>
    <w:p w14:paraId="110D18A3">
      <w:pPr>
        <w:pStyle w:val="9"/>
        <w:spacing w:before="17" w:line="249" w:lineRule="auto"/>
        <w:ind w:right="98" w:firstLine="450"/>
        <w:rPr>
          <w:rFonts w:hint="eastAsia"/>
          <w:color w:val="231F20"/>
        </w:rPr>
      </w:pPr>
      <w:r>
        <w:rPr>
          <w:rFonts w:hint="eastAsia"/>
          <w:color w:val="231F20"/>
        </w:rPr>
        <w:t>Importantly, he has seven horns, symbolizing his perfect power and authority.</w:t>
      </w:r>
    </w:p>
    <w:p w14:paraId="204851A8">
      <w:pPr>
        <w:pStyle w:val="9"/>
        <w:spacing w:before="17" w:line="249" w:lineRule="auto"/>
        <w:ind w:right="98" w:firstLine="450"/>
        <w:rPr>
          <w:rFonts w:hint="eastAsia"/>
          <w:color w:val="231F20"/>
        </w:rPr>
      </w:pPr>
      <w:r>
        <w:rPr>
          <w:rFonts w:hint="eastAsia"/>
          <w:color w:val="231F20"/>
        </w:rPr>
        <w:t>重要的是，祂有七角，象征祂完全的能力和权柄。</w:t>
      </w:r>
    </w:p>
    <w:p w14:paraId="31C492AA">
      <w:pPr>
        <w:pStyle w:val="9"/>
        <w:spacing w:before="17" w:line="249" w:lineRule="auto"/>
        <w:ind w:right="98" w:firstLine="450"/>
        <w:rPr>
          <w:rFonts w:hint="eastAsia"/>
          <w:color w:val="231F20"/>
        </w:rPr>
      </w:pPr>
    </w:p>
    <w:p w14:paraId="0EC137BD">
      <w:pPr>
        <w:pStyle w:val="9"/>
        <w:spacing w:before="17" w:line="249" w:lineRule="auto"/>
        <w:ind w:right="98" w:firstLine="450"/>
        <w:rPr>
          <w:rFonts w:hint="eastAsia"/>
          <w:color w:val="231F20"/>
        </w:rPr>
      </w:pPr>
      <w:r>
        <w:rPr>
          <w:rFonts w:hint="eastAsia"/>
          <w:color w:val="231F20"/>
        </w:rPr>
        <w:t>He also has seven eyes, symbolizing his perfect knowledge and his perfect spiritual union with the omnipresent, seven fold Spirit of God.</w:t>
      </w:r>
    </w:p>
    <w:p w14:paraId="7DBD479B">
      <w:pPr>
        <w:pStyle w:val="9"/>
        <w:spacing w:before="17" w:line="249" w:lineRule="auto"/>
        <w:ind w:right="98" w:firstLine="450"/>
        <w:rPr>
          <w:rFonts w:hint="eastAsia"/>
          <w:color w:val="231F20"/>
        </w:rPr>
      </w:pPr>
      <w:r>
        <w:rPr>
          <w:rFonts w:hint="eastAsia"/>
          <w:color w:val="231F20"/>
        </w:rPr>
        <w:t>祂也有七眼，象征祂完全的知识和祂与无所不在、七倍的上帝之灵完全的属灵联合。</w:t>
      </w:r>
    </w:p>
    <w:p w14:paraId="7B78E1FB">
      <w:pPr>
        <w:pStyle w:val="9"/>
        <w:spacing w:before="17" w:line="249" w:lineRule="auto"/>
        <w:ind w:right="98" w:firstLine="450"/>
        <w:rPr>
          <w:rFonts w:hint="eastAsia"/>
          <w:color w:val="231F20"/>
        </w:rPr>
      </w:pPr>
    </w:p>
    <w:p w14:paraId="4FCFE862">
      <w:pPr>
        <w:pStyle w:val="9"/>
        <w:spacing w:before="17" w:line="249" w:lineRule="auto"/>
        <w:ind w:right="98" w:firstLine="450"/>
        <w:rPr>
          <w:rFonts w:hint="eastAsia"/>
          <w:color w:val="231F20"/>
        </w:rPr>
      </w:pPr>
      <w:r>
        <w:rPr>
          <w:rFonts w:hint="eastAsia"/>
          <w:color w:val="231F20"/>
        </w:rPr>
        <w:t>But what exactly will he do with such great powers and privileges?</w:t>
      </w:r>
    </w:p>
    <w:p w14:paraId="4E7E50BB">
      <w:pPr>
        <w:pStyle w:val="9"/>
        <w:spacing w:before="17" w:line="249" w:lineRule="auto"/>
        <w:ind w:right="98" w:firstLine="450"/>
        <w:rPr>
          <w:rFonts w:hint="eastAsia"/>
          <w:color w:val="231F20"/>
        </w:rPr>
      </w:pPr>
      <w:r>
        <w:rPr>
          <w:rFonts w:hint="eastAsia"/>
          <w:color w:val="231F20"/>
        </w:rPr>
        <w:t>但祂究竟将用如此巨大的能力和特权做什么呢？</w:t>
      </w:r>
    </w:p>
    <w:p w14:paraId="24BED3A4">
      <w:pPr>
        <w:pStyle w:val="9"/>
        <w:spacing w:before="17" w:line="249" w:lineRule="auto"/>
        <w:ind w:right="98" w:firstLine="450"/>
        <w:rPr>
          <w:rFonts w:hint="eastAsia"/>
          <w:color w:val="231F20"/>
        </w:rPr>
      </w:pPr>
    </w:p>
    <w:p w14:paraId="41691D97">
      <w:pPr>
        <w:pStyle w:val="9"/>
        <w:spacing w:before="17" w:line="249" w:lineRule="auto"/>
        <w:ind w:right="98" w:firstLine="450"/>
        <w:rPr>
          <w:rFonts w:hint="eastAsia"/>
          <w:color w:val="231F20"/>
        </w:rPr>
      </w:pPr>
      <w:r>
        <w:rPr>
          <w:rFonts w:hint="eastAsia"/>
          <w:color w:val="231F20"/>
        </w:rPr>
        <w:t>In verse 7 we receive our answer.</w:t>
      </w:r>
    </w:p>
    <w:p w14:paraId="2F0FAE64">
      <w:pPr>
        <w:pStyle w:val="9"/>
        <w:spacing w:before="17" w:line="249" w:lineRule="auto"/>
        <w:ind w:right="98" w:firstLine="450"/>
        <w:rPr>
          <w:rFonts w:hint="eastAsia"/>
          <w:color w:val="231F20"/>
        </w:rPr>
      </w:pPr>
      <w:r>
        <w:rPr>
          <w:rFonts w:hint="eastAsia"/>
          <w:color w:val="231F20"/>
        </w:rPr>
        <w:t>在第7节我们得到了答案。</w:t>
      </w:r>
    </w:p>
    <w:p w14:paraId="3BCFB25B">
      <w:pPr>
        <w:pStyle w:val="9"/>
        <w:spacing w:before="17" w:line="249" w:lineRule="auto"/>
        <w:ind w:right="98" w:firstLine="450"/>
        <w:rPr>
          <w:rFonts w:hint="eastAsia"/>
          <w:color w:val="231F20"/>
        </w:rPr>
      </w:pPr>
    </w:p>
    <w:p w14:paraId="419B1AF7">
      <w:pPr>
        <w:pStyle w:val="9"/>
        <w:spacing w:before="17" w:line="249" w:lineRule="auto"/>
        <w:ind w:right="98" w:firstLine="450"/>
        <w:rPr>
          <w:rFonts w:hint="eastAsia"/>
          <w:color w:val="231F20"/>
        </w:rPr>
      </w:pPr>
      <w:r>
        <w:rPr>
          <w:rFonts w:hint="eastAsia"/>
          <w:color w:val="231F20"/>
        </w:rPr>
        <w:t>Having prevailed on earth for the redemption of his people, the Lamb now boldly approaches the Father to take the scroll from his right hand.</w:t>
      </w:r>
    </w:p>
    <w:p w14:paraId="3A92DD6C">
      <w:pPr>
        <w:pStyle w:val="9"/>
        <w:spacing w:before="17" w:line="249" w:lineRule="auto"/>
        <w:ind w:right="98" w:firstLine="450"/>
        <w:rPr>
          <w:rFonts w:hint="eastAsia"/>
          <w:color w:val="231F20"/>
        </w:rPr>
      </w:pPr>
      <w:r>
        <w:rPr>
          <w:rFonts w:hint="eastAsia"/>
          <w:color w:val="231F20"/>
        </w:rPr>
        <w:t>在地上为祂子民的救赎得胜之后，羔羊现在勇敢地走近父，从祂的右手中拿过书卷。</w:t>
      </w:r>
    </w:p>
    <w:p w14:paraId="5144B3BC">
      <w:pPr>
        <w:pStyle w:val="9"/>
        <w:spacing w:before="17" w:line="249" w:lineRule="auto"/>
        <w:ind w:right="98" w:firstLine="450"/>
        <w:rPr>
          <w:rFonts w:hint="eastAsia"/>
          <w:color w:val="231F20"/>
        </w:rPr>
      </w:pPr>
    </w:p>
    <w:p w14:paraId="5D2B772C">
      <w:pPr>
        <w:pStyle w:val="9"/>
        <w:spacing w:before="17" w:line="249" w:lineRule="auto"/>
        <w:ind w:right="98" w:firstLine="450"/>
        <w:rPr>
          <w:rFonts w:hint="eastAsia"/>
          <w:color w:val="231F20"/>
        </w:rPr>
      </w:pPr>
      <w:r>
        <w:rPr>
          <w:rFonts w:hint="eastAsia"/>
          <w:color w:val="231F20"/>
        </w:rPr>
        <w:t>The Father gladly yields it (5:7).</w:t>
      </w:r>
    </w:p>
    <w:p w14:paraId="244FDE91">
      <w:pPr>
        <w:pStyle w:val="9"/>
        <w:spacing w:before="17" w:line="249" w:lineRule="auto"/>
        <w:ind w:right="98" w:firstLine="450"/>
        <w:rPr>
          <w:rFonts w:hint="eastAsia"/>
          <w:color w:val="231F20"/>
        </w:rPr>
      </w:pPr>
      <w:r>
        <w:rPr>
          <w:rFonts w:hint="eastAsia"/>
          <w:color w:val="231F20"/>
        </w:rPr>
        <w:t>父欣然地将它交出（5:7）。</w:t>
      </w:r>
    </w:p>
    <w:p w14:paraId="44EBDB1C">
      <w:pPr>
        <w:pStyle w:val="9"/>
        <w:spacing w:before="17" w:line="249" w:lineRule="auto"/>
        <w:ind w:right="98" w:firstLine="450"/>
        <w:rPr>
          <w:rFonts w:hint="eastAsia"/>
          <w:color w:val="231F20"/>
        </w:rPr>
      </w:pPr>
    </w:p>
    <w:p w14:paraId="571BE171">
      <w:pPr>
        <w:pStyle w:val="9"/>
        <w:spacing w:before="17" w:line="249" w:lineRule="auto"/>
        <w:ind w:right="98" w:firstLine="450"/>
        <w:rPr>
          <w:rFonts w:hint="eastAsia"/>
          <w:color w:val="231F20"/>
        </w:rPr>
      </w:pPr>
      <w:r>
        <w:rPr>
          <w:rFonts w:hint="eastAsia"/>
          <w:color w:val="231F20"/>
        </w:rPr>
        <w:t>Here, then, in vision and symbol, we behold yet again one of the great “hinges” of Salvation History; the brief, God-appointed season when Salvation History swings out of the Era of Promise and into the Era of Fulfillment; the holy moment when God the Father gives all authority in heaven and earth to his triumphant Messianic Son, so that he (Christ) might bring in the Kingdom of God (Mt. 28:18ff, Acts 2:33-35, Eph. 1:15-23, Phil. 2:1-11).</w:t>
      </w:r>
    </w:p>
    <w:p w14:paraId="2FAC7FA5">
      <w:pPr>
        <w:pStyle w:val="9"/>
        <w:spacing w:before="17" w:line="249" w:lineRule="auto"/>
        <w:ind w:right="98" w:firstLine="450"/>
        <w:rPr>
          <w:rFonts w:hint="eastAsia"/>
          <w:color w:val="231F20"/>
        </w:rPr>
      </w:pPr>
      <w:r>
        <w:rPr>
          <w:rFonts w:hint="eastAsia"/>
          <w:color w:val="231F20"/>
        </w:rPr>
        <w:t>因此，在这里，在异象和象征中，我们再次看到了救赎历史的伟大“枢纽”之一；那上帝所定的短暂时期，当救赎历史从应许时代转向应验时代；那神圣的时刻，当父上帝将天上地下所有的权柄都赐给祂得胜的弥赛亚圣子，使祂（基督）能够带来上帝的国度（太28:18及以下，徒2:33-35，弗1:15-23，腓2:1-11）。</w:t>
      </w:r>
    </w:p>
    <w:p w14:paraId="64E47361">
      <w:pPr>
        <w:pStyle w:val="9"/>
        <w:spacing w:before="17" w:line="249" w:lineRule="auto"/>
        <w:ind w:right="98" w:firstLine="450"/>
        <w:rPr>
          <w:rFonts w:hint="eastAsia"/>
          <w:color w:val="231F20"/>
        </w:rPr>
      </w:pPr>
    </w:p>
    <w:p w14:paraId="18F27D3B">
      <w:pPr>
        <w:pStyle w:val="9"/>
        <w:spacing w:before="17" w:line="249" w:lineRule="auto"/>
        <w:ind w:right="98" w:firstLine="450"/>
        <w:rPr>
          <w:rFonts w:hint="eastAsia"/>
          <w:color w:val="231F20"/>
        </w:rPr>
      </w:pPr>
      <w:r>
        <w:rPr>
          <w:rFonts w:hint="eastAsia"/>
          <w:color w:val="231F20"/>
        </w:rPr>
        <w:t>As the rest of the NT has taught us, much indeed will flow from this climactic event.</w:t>
      </w:r>
    </w:p>
    <w:p w14:paraId="10DBEB4D">
      <w:pPr>
        <w:pStyle w:val="9"/>
        <w:spacing w:before="17" w:line="249" w:lineRule="auto"/>
        <w:ind w:right="98" w:firstLine="450"/>
        <w:rPr>
          <w:rFonts w:hint="eastAsia"/>
          <w:color w:val="231F20"/>
        </w:rPr>
      </w:pPr>
      <w:r>
        <w:rPr>
          <w:rFonts w:hint="eastAsia"/>
          <w:color w:val="231F20"/>
        </w:rPr>
        <w:t>正如新约其余部分所教导我们的，确实有很多事情会从这个高潮事件中产生。</w:t>
      </w:r>
    </w:p>
    <w:p w14:paraId="537D60E0">
      <w:pPr>
        <w:pStyle w:val="9"/>
        <w:spacing w:before="17" w:line="249" w:lineRule="auto"/>
        <w:ind w:right="98" w:firstLine="450"/>
        <w:rPr>
          <w:rFonts w:hint="eastAsia"/>
          <w:color w:val="231F20"/>
        </w:rPr>
      </w:pPr>
    </w:p>
    <w:p w14:paraId="5D3FC368">
      <w:pPr>
        <w:pStyle w:val="9"/>
        <w:spacing w:before="17" w:line="249" w:lineRule="auto"/>
        <w:ind w:right="98" w:firstLine="450"/>
        <w:rPr>
          <w:rFonts w:hint="eastAsia"/>
          <w:color w:val="231F20"/>
        </w:rPr>
      </w:pPr>
      <w:r>
        <w:rPr>
          <w:rFonts w:hint="eastAsia"/>
          <w:color w:val="231F20"/>
        </w:rPr>
        <w:t>Now the Lord Jesus Christ is High King of Heaven and Earth.</w:t>
      </w:r>
    </w:p>
    <w:p w14:paraId="51FF8DBE">
      <w:pPr>
        <w:pStyle w:val="9"/>
        <w:spacing w:before="17" w:line="249" w:lineRule="auto"/>
        <w:ind w:right="98" w:firstLine="450"/>
        <w:rPr>
          <w:rFonts w:hint="eastAsia"/>
          <w:color w:val="231F20"/>
        </w:rPr>
      </w:pPr>
      <w:r>
        <w:rPr>
          <w:rFonts w:hint="eastAsia"/>
          <w:color w:val="231F20"/>
        </w:rPr>
        <w:t>现在主耶稣基督是天地至高的君王。</w:t>
      </w:r>
    </w:p>
    <w:p w14:paraId="2EAB87A4">
      <w:pPr>
        <w:pStyle w:val="9"/>
        <w:spacing w:before="17" w:line="249" w:lineRule="auto"/>
        <w:ind w:right="98" w:firstLine="450"/>
        <w:rPr>
          <w:rFonts w:hint="eastAsia"/>
          <w:color w:val="231F20"/>
        </w:rPr>
      </w:pPr>
    </w:p>
    <w:p w14:paraId="69466848">
      <w:pPr>
        <w:pStyle w:val="9"/>
        <w:spacing w:before="17" w:line="249" w:lineRule="auto"/>
        <w:ind w:right="98" w:firstLine="450"/>
        <w:rPr>
          <w:rFonts w:hint="eastAsia"/>
          <w:color w:val="231F20"/>
        </w:rPr>
      </w:pPr>
      <w:r>
        <w:rPr>
          <w:rFonts w:hint="eastAsia"/>
          <w:color w:val="231F20"/>
        </w:rPr>
        <w:t>Now he has a commission from the Father to apply the redemption that he purchased on earth.</w:t>
      </w:r>
    </w:p>
    <w:p w14:paraId="7A0C826B">
      <w:pPr>
        <w:pStyle w:val="9"/>
        <w:spacing w:before="17" w:line="249" w:lineRule="auto"/>
        <w:ind w:right="98" w:firstLine="450"/>
        <w:rPr>
          <w:rFonts w:hint="eastAsia"/>
          <w:color w:val="231F20"/>
        </w:rPr>
      </w:pPr>
      <w:r>
        <w:rPr>
          <w:rFonts w:hint="eastAsia"/>
          <w:color w:val="231F20"/>
        </w:rPr>
        <w:t>现在祂从父那里领受了一个使命，要施行祂在地上所买赎的救恩。</w:t>
      </w:r>
    </w:p>
    <w:p w14:paraId="64320637">
      <w:pPr>
        <w:pStyle w:val="9"/>
        <w:spacing w:before="17" w:line="249" w:lineRule="auto"/>
        <w:ind w:right="98" w:firstLine="450"/>
        <w:rPr>
          <w:rFonts w:hint="eastAsia"/>
          <w:color w:val="231F20"/>
        </w:rPr>
      </w:pPr>
    </w:p>
    <w:p w14:paraId="1CB8629C">
      <w:pPr>
        <w:pStyle w:val="9"/>
        <w:spacing w:before="17" w:line="249" w:lineRule="auto"/>
        <w:ind w:right="98" w:firstLine="450"/>
        <w:rPr>
          <w:rFonts w:hint="eastAsia"/>
          <w:color w:val="231F20"/>
        </w:rPr>
      </w:pPr>
      <w:r>
        <w:rPr>
          <w:rFonts w:hint="eastAsia"/>
          <w:color w:val="231F20"/>
        </w:rPr>
        <w:t>Now he must send forth the life-giving Spirit; and now, by that same Spirit, he must beget his Church, empower her preaching, gather in her penitent believing members, and nourish, cherish, guide, equip, and protect her as she makes her pilgrim way through the wilderness of the world below.</w:t>
      </w:r>
    </w:p>
    <w:p w14:paraId="70D6D7D8">
      <w:pPr>
        <w:pStyle w:val="9"/>
        <w:spacing w:before="17" w:line="249" w:lineRule="auto"/>
        <w:ind w:right="98" w:firstLine="450"/>
        <w:rPr>
          <w:rFonts w:hint="eastAsia"/>
          <w:color w:val="231F20"/>
        </w:rPr>
      </w:pPr>
      <w:r>
        <w:rPr>
          <w:rFonts w:hint="eastAsia"/>
          <w:color w:val="231F20"/>
        </w:rPr>
        <w:t>现在祂必须差遣赐生命的圣灵；现在，靠着那同一位圣灵，祂必须生出祂的教会，赋予她讲道的能力，聚集她悔改信主的成员，并在她走过下面世界的旷野朝圣之路时，滋养、珍爱、引导、装备和保护她。</w:t>
      </w:r>
    </w:p>
    <w:p w14:paraId="61DC1A6A">
      <w:pPr>
        <w:pStyle w:val="9"/>
        <w:spacing w:before="17" w:line="249" w:lineRule="auto"/>
        <w:ind w:right="98" w:firstLine="450"/>
        <w:rPr>
          <w:rFonts w:hint="eastAsia"/>
          <w:color w:val="231F20"/>
        </w:rPr>
      </w:pPr>
    </w:p>
    <w:p w14:paraId="29BE6983">
      <w:pPr>
        <w:pStyle w:val="9"/>
        <w:spacing w:before="17" w:line="249" w:lineRule="auto"/>
        <w:ind w:right="98" w:firstLine="450"/>
        <w:rPr>
          <w:rFonts w:hint="eastAsia"/>
          <w:color w:val="231F20"/>
        </w:rPr>
      </w:pPr>
      <w:r>
        <w:rPr>
          <w:rFonts w:hint="eastAsia"/>
          <w:color w:val="231F20"/>
        </w:rPr>
        <w:t>Moreover, according to that same commission, he must not only apply the redemption that he purchased in his humiliation, but also consummate it at the end of the age.</w:t>
      </w:r>
    </w:p>
    <w:p w14:paraId="7D8C892A">
      <w:pPr>
        <w:pStyle w:val="9"/>
        <w:spacing w:before="17" w:line="249" w:lineRule="auto"/>
        <w:ind w:right="98" w:firstLine="450"/>
        <w:rPr>
          <w:rFonts w:hint="eastAsia"/>
          <w:color w:val="231F20"/>
        </w:rPr>
      </w:pPr>
      <w:r>
        <w:rPr>
          <w:rFonts w:hint="eastAsia"/>
          <w:color w:val="231F20"/>
        </w:rPr>
        <w:t>此外，根据那同一个使命，祂不仅必须施行祂在降卑中所买赎的救恩，也必须在世代的末了成全它。</w:t>
      </w:r>
    </w:p>
    <w:p w14:paraId="52EDB413">
      <w:pPr>
        <w:pStyle w:val="9"/>
        <w:spacing w:before="17" w:line="249" w:lineRule="auto"/>
        <w:ind w:right="98" w:firstLine="450"/>
        <w:rPr>
          <w:rFonts w:hint="eastAsia"/>
          <w:color w:val="231F20"/>
        </w:rPr>
      </w:pPr>
    </w:p>
    <w:p w14:paraId="366D7889">
      <w:pPr>
        <w:pStyle w:val="9"/>
        <w:spacing w:before="17" w:line="249" w:lineRule="auto"/>
        <w:ind w:right="98" w:firstLine="450"/>
        <w:rPr>
          <w:rFonts w:hint="eastAsia"/>
          <w:color w:val="231F20"/>
        </w:rPr>
      </w:pPr>
      <w:r>
        <w:rPr>
          <w:rFonts w:hint="eastAsia"/>
          <w:color w:val="231F20"/>
        </w:rPr>
        <w:t>This will occur at his Parousia, when he descends from heaven in power and great glory to destroy his enemies, glorify his Bride, recreate the cosmos, and welcome his Beloved Bride into her eternal home: the new heavens and new earth.</w:t>
      </w:r>
    </w:p>
    <w:p w14:paraId="6829338F">
      <w:pPr>
        <w:pStyle w:val="9"/>
        <w:spacing w:before="17" w:line="249" w:lineRule="auto"/>
        <w:ind w:right="98" w:firstLine="450"/>
        <w:rPr>
          <w:rFonts w:hint="eastAsia"/>
          <w:color w:val="231F20"/>
        </w:rPr>
      </w:pPr>
      <w:r>
        <w:rPr>
          <w:rFonts w:hint="eastAsia"/>
          <w:color w:val="231F20"/>
        </w:rPr>
        <w:t>这将在祂的主临（Parousia）时发生，那时祂将带着能力和极大的荣耀从天降临，摧毁祂的仇敌，荣耀祂的新妇，再造宇宙，并欢迎祂挚爱的新妇进入她永恒的家：新天新地。</w:t>
      </w:r>
    </w:p>
    <w:p w14:paraId="528D5997">
      <w:pPr>
        <w:pStyle w:val="9"/>
        <w:spacing w:before="17" w:line="249" w:lineRule="auto"/>
        <w:ind w:right="98" w:firstLine="450"/>
        <w:rPr>
          <w:rFonts w:hint="eastAsia"/>
          <w:color w:val="231F20"/>
        </w:rPr>
      </w:pPr>
    </w:p>
    <w:p w14:paraId="3386D0FC">
      <w:pPr>
        <w:pStyle w:val="9"/>
        <w:spacing w:before="17" w:line="249" w:lineRule="auto"/>
        <w:ind w:right="98" w:firstLine="450"/>
        <w:rPr>
          <w:rFonts w:hint="eastAsia"/>
          <w:color w:val="231F20"/>
        </w:rPr>
      </w:pPr>
      <w:r>
        <w:rPr>
          <w:rFonts w:hint="eastAsia"/>
          <w:color w:val="231F20"/>
        </w:rPr>
        <w:t>All of this and more were hidden away in that holy “season” of Salvation History when the triumphant Messianic Son boldly strode forth to to receive the scroll from his Father’s hand!</w:t>
      </w:r>
    </w:p>
    <w:p w14:paraId="1E43FDD7">
      <w:pPr>
        <w:pStyle w:val="9"/>
        <w:spacing w:before="17" w:line="249" w:lineRule="auto"/>
        <w:ind w:right="98" w:firstLine="450"/>
        <w:rPr>
          <w:rFonts w:hint="eastAsia"/>
          <w:color w:val="231F20"/>
        </w:rPr>
      </w:pPr>
      <w:r>
        <w:rPr>
          <w:rFonts w:hint="eastAsia"/>
          <w:color w:val="231F20"/>
        </w:rPr>
        <w:t>所有这一切以及更多，都隐藏在救赎历史中那个神圣的“时期”里，那时得胜的弥赛亚圣子勇敢地大步向前，从祂父的手中接受书卷！</w:t>
      </w:r>
    </w:p>
    <w:p w14:paraId="4434316E">
      <w:pPr>
        <w:pStyle w:val="9"/>
        <w:spacing w:before="17" w:line="249" w:lineRule="auto"/>
        <w:ind w:right="98" w:firstLine="450"/>
        <w:rPr>
          <w:rFonts w:hint="eastAsia"/>
          <w:color w:val="231F20"/>
        </w:rPr>
      </w:pPr>
    </w:p>
    <w:p w14:paraId="5E96D4AA">
      <w:pPr>
        <w:pStyle w:val="9"/>
        <w:spacing w:before="17" w:line="249" w:lineRule="auto"/>
        <w:ind w:right="98" w:firstLine="450"/>
        <w:rPr>
          <w:rFonts w:hint="eastAsia"/>
          <w:color w:val="231F20"/>
        </w:rPr>
      </w:pPr>
      <w:r>
        <w:rPr>
          <w:rFonts w:hint="eastAsia"/>
          <w:color w:val="231F20"/>
        </w:rPr>
        <w:t>Small wonder, then, that at this juncture all heaven breaks loose in highest praise to the conquering Lamb (5:8-10).</w:t>
      </w:r>
    </w:p>
    <w:p w14:paraId="37C4B45E">
      <w:pPr>
        <w:pStyle w:val="9"/>
        <w:spacing w:before="17" w:line="249" w:lineRule="auto"/>
        <w:ind w:right="98" w:firstLine="450"/>
        <w:rPr>
          <w:rFonts w:hint="eastAsia"/>
          <w:color w:val="231F20"/>
        </w:rPr>
      </w:pPr>
      <w:r>
        <w:rPr>
          <w:rFonts w:hint="eastAsia"/>
          <w:color w:val="231F20"/>
        </w:rPr>
        <w:t>因此，不足为奇的是，在这个时刻，整个天庭都爆发出对得胜羔羊的最高赞美（5:8-10）。</w:t>
      </w:r>
    </w:p>
    <w:p w14:paraId="7D9EE9CC">
      <w:pPr>
        <w:pStyle w:val="9"/>
        <w:spacing w:before="17" w:line="249" w:lineRule="auto"/>
        <w:ind w:right="98" w:firstLine="450"/>
        <w:rPr>
          <w:rFonts w:hint="eastAsia"/>
          <w:color w:val="231F20"/>
        </w:rPr>
      </w:pPr>
    </w:p>
    <w:p w14:paraId="743DEACA">
      <w:pPr>
        <w:pStyle w:val="9"/>
        <w:spacing w:before="17" w:line="249" w:lineRule="auto"/>
        <w:ind w:right="98" w:firstLine="450"/>
        <w:rPr>
          <w:rFonts w:hint="eastAsia"/>
          <w:color w:val="231F20"/>
        </w:rPr>
      </w:pPr>
      <w:r>
        <w:rPr>
          <w:rFonts w:hint="eastAsia"/>
          <w:color w:val="231F20"/>
        </w:rPr>
        <w:t>Observe how their song yet again discloses the outworking of the Covenant of Redemption: Because Christ has been faithful to complete his God-ordained work of humiliation, the Father—and all the Father’s sentient creatures—now reckon him worthy to be exalted as the High King of Heaven; worthy to be the One who applies the redemption that he purchased for them in the days of his flesh, and to create a Kingdom of Priests who will forever worship and reign upon the earth (Exodus 19:6, Rev. 5:10, 22:5).</w:t>
      </w:r>
    </w:p>
    <w:p w14:paraId="3E4119DB">
      <w:pPr>
        <w:pStyle w:val="9"/>
        <w:spacing w:before="17" w:line="249" w:lineRule="auto"/>
        <w:ind w:right="98" w:firstLine="450"/>
        <w:rPr>
          <w:rFonts w:hint="eastAsia"/>
          <w:color w:val="231F20"/>
        </w:rPr>
      </w:pPr>
      <w:r>
        <w:rPr>
          <w:rFonts w:hint="eastAsia"/>
          <w:color w:val="231F20"/>
        </w:rPr>
        <w:t>请看他们的歌如何再次揭示了救赎之约的运作：因为基督忠心地完成了祂上帝所命定的降卑工作，父——以及父所有有知觉的受造物——现在都认为祂配得被高举为天上的至高君王；配得成为那位施行祂在肉身的日子里为他们买赎的救恩的主，并创造一个祭司的国度，他们将在地上永远敬拜和作王（出埃及记19:6，启示录5:10，22:5）。</w:t>
      </w:r>
    </w:p>
    <w:p w14:paraId="05B94C62">
      <w:pPr>
        <w:pStyle w:val="9"/>
        <w:spacing w:before="17" w:line="249" w:lineRule="auto"/>
        <w:ind w:right="98" w:firstLine="450"/>
        <w:rPr>
          <w:rFonts w:hint="eastAsia"/>
          <w:color w:val="231F20"/>
        </w:rPr>
      </w:pPr>
    </w:p>
    <w:p w14:paraId="5AB4CABC">
      <w:pPr>
        <w:pStyle w:val="9"/>
        <w:spacing w:before="17" w:line="249" w:lineRule="auto"/>
        <w:ind w:right="98" w:firstLine="450"/>
        <w:rPr>
          <w:rFonts w:hint="eastAsia"/>
          <w:color w:val="231F20"/>
        </w:rPr>
      </w:pPr>
      <w:r>
        <w:rPr>
          <w:rFonts w:hint="eastAsia"/>
          <w:color w:val="231F20"/>
        </w:rPr>
        <w:t>The remainder of the chapter gives us a foretaste of that worship.</w:t>
      </w:r>
    </w:p>
    <w:p w14:paraId="109EB131">
      <w:pPr>
        <w:pStyle w:val="9"/>
        <w:spacing w:before="17" w:line="249" w:lineRule="auto"/>
        <w:ind w:right="98" w:firstLine="450"/>
        <w:rPr>
          <w:rFonts w:hint="eastAsia"/>
          <w:color w:val="231F20"/>
        </w:rPr>
      </w:pPr>
      <w:r>
        <w:rPr>
          <w:rFonts w:hint="eastAsia"/>
          <w:color w:val="231F20"/>
        </w:rPr>
        <w:t>本章的其余部分让我们预尝了那种敬拜。</w:t>
      </w:r>
    </w:p>
    <w:p w14:paraId="50BE7BE4">
      <w:pPr>
        <w:pStyle w:val="9"/>
        <w:spacing w:before="17" w:line="249" w:lineRule="auto"/>
        <w:ind w:right="98" w:firstLine="450"/>
        <w:rPr>
          <w:rFonts w:hint="eastAsia"/>
          <w:color w:val="231F20"/>
        </w:rPr>
      </w:pPr>
    </w:p>
    <w:p w14:paraId="12F30D46">
      <w:pPr>
        <w:pStyle w:val="9"/>
        <w:spacing w:before="17" w:line="249" w:lineRule="auto"/>
        <w:ind w:right="98" w:firstLine="450"/>
        <w:rPr>
          <w:rFonts w:hint="eastAsia"/>
          <w:color w:val="231F20"/>
        </w:rPr>
      </w:pPr>
      <w:r>
        <w:rPr>
          <w:rFonts w:hint="eastAsia"/>
          <w:color w:val="231F20"/>
        </w:rPr>
        <w:t>First, John hears all the holy angels—gathered close around the throne— declaring the worthiness of the Lamb to be so highly exalted (5:11-12).</w:t>
      </w:r>
    </w:p>
    <w:p w14:paraId="3E9AA919">
      <w:pPr>
        <w:pStyle w:val="9"/>
        <w:spacing w:before="17" w:line="249" w:lineRule="auto"/>
        <w:ind w:right="98" w:firstLine="450"/>
        <w:rPr>
          <w:rFonts w:hint="eastAsia"/>
          <w:color w:val="231F20"/>
        </w:rPr>
      </w:pPr>
      <w:r>
        <w:rPr>
          <w:rFonts w:hint="eastAsia"/>
          <w:color w:val="231F20"/>
        </w:rPr>
        <w:t>首先，约翰听到所有圣天使——紧紧围绕着宝座——宣告羔羊配得如此崇高的尊荣（5:11-12）。</w:t>
      </w:r>
    </w:p>
    <w:p w14:paraId="5B659057">
      <w:pPr>
        <w:pStyle w:val="9"/>
        <w:spacing w:before="17" w:line="249" w:lineRule="auto"/>
        <w:ind w:right="98" w:firstLine="450"/>
        <w:rPr>
          <w:rFonts w:hint="eastAsia"/>
          <w:color w:val="231F20"/>
        </w:rPr>
      </w:pPr>
    </w:p>
    <w:p w14:paraId="1E22CA41">
      <w:pPr>
        <w:pStyle w:val="9"/>
        <w:spacing w:before="17" w:line="249" w:lineRule="auto"/>
        <w:ind w:right="98" w:firstLine="450"/>
        <w:rPr>
          <w:rFonts w:hint="eastAsia"/>
          <w:color w:val="231F20"/>
        </w:rPr>
      </w:pPr>
      <w:r>
        <w:rPr>
          <w:rFonts w:hint="eastAsia"/>
          <w:color w:val="231F20"/>
        </w:rPr>
        <w:t>And then, as if in ever-widening circles, he hears all the rest of creation, which, in one way or another, even now is fulfilling the supreme purpose for which they were made: that they should be to the praise of the glory of God and the Lamb (5:13-14; Ex. 9:16, Psalm 76:10, Rom. 9:14f).</w:t>
      </w:r>
    </w:p>
    <w:p w14:paraId="0B597BE7">
      <w:pPr>
        <w:pStyle w:val="9"/>
        <w:spacing w:before="17" w:line="249" w:lineRule="auto"/>
        <w:ind w:right="98" w:firstLine="450"/>
        <w:rPr>
          <w:rFonts w:hint="eastAsia"/>
          <w:color w:val="231F20"/>
        </w:rPr>
      </w:pPr>
      <w:r>
        <w:rPr>
          <w:rFonts w:hint="eastAsia"/>
          <w:color w:val="231F20"/>
        </w:rPr>
        <w:t>然后，仿佛在一圈圈扩大的同心圆中，他听到所有其余的受造物，它们以这样或那样的方式，即使现在也在实现它们被造的至高目的：使荣耀归于上帝和羔羊（5:13-14；出9:16，诗篇76:10，罗9:14及以下）。</w:t>
      </w:r>
    </w:p>
    <w:p w14:paraId="0EFB1294">
      <w:pPr>
        <w:pStyle w:val="9"/>
        <w:spacing w:before="17" w:line="249" w:lineRule="auto"/>
        <w:ind w:right="98" w:firstLine="450"/>
        <w:rPr>
          <w:rFonts w:hint="eastAsia"/>
          <w:color w:val="231F20"/>
        </w:rPr>
      </w:pPr>
    </w:p>
    <w:p w14:paraId="3CE4CDB1">
      <w:pPr>
        <w:pStyle w:val="9"/>
        <w:spacing w:before="17" w:line="249" w:lineRule="auto"/>
        <w:ind w:right="98" w:firstLine="450"/>
        <w:rPr>
          <w:rFonts w:hint="eastAsia"/>
          <w:color w:val="231F20"/>
        </w:rPr>
      </w:pPr>
      <w:r>
        <w:rPr>
          <w:rFonts w:hint="eastAsia"/>
          <w:color w:val="231F20"/>
        </w:rPr>
        <w:t>Earlier, I suggested that these two chapters serve as the theological core —the conceptual center of gravity—of the entire Revelation.</w:t>
      </w:r>
    </w:p>
    <w:p w14:paraId="09544B1F">
      <w:pPr>
        <w:pStyle w:val="9"/>
        <w:spacing w:before="17" w:line="249" w:lineRule="auto"/>
        <w:ind w:right="98" w:firstLine="450"/>
        <w:rPr>
          <w:rFonts w:hint="eastAsia"/>
          <w:color w:val="231F20"/>
        </w:rPr>
      </w:pPr>
      <w:r>
        <w:rPr>
          <w:rFonts w:hint="eastAsia"/>
          <w:color w:val="231F20"/>
        </w:rPr>
        <w:t>早些时候，我曾提出这两章是整本《启示录》的神学核心——概念上的重心。</w:t>
      </w:r>
    </w:p>
    <w:p w14:paraId="7FEF6110">
      <w:pPr>
        <w:pStyle w:val="9"/>
        <w:spacing w:before="17" w:line="249" w:lineRule="auto"/>
        <w:ind w:right="98" w:firstLine="450"/>
        <w:rPr>
          <w:rFonts w:hint="eastAsia"/>
          <w:color w:val="231F20"/>
        </w:rPr>
      </w:pPr>
    </w:p>
    <w:p w14:paraId="55FD8A61">
      <w:pPr>
        <w:pStyle w:val="9"/>
        <w:spacing w:before="17" w:line="249" w:lineRule="auto"/>
        <w:ind w:right="98" w:firstLine="450"/>
        <w:rPr>
          <w:rFonts w:hint="eastAsia"/>
          <w:color w:val="231F20"/>
        </w:rPr>
      </w:pPr>
      <w:r>
        <w:rPr>
          <w:rFonts w:hint="eastAsia"/>
          <w:color w:val="231F20"/>
        </w:rPr>
        <w:t>Now we can see the reasons why.</w:t>
      </w:r>
    </w:p>
    <w:p w14:paraId="4BC828E4">
      <w:pPr>
        <w:pStyle w:val="9"/>
        <w:spacing w:before="17" w:line="249" w:lineRule="auto"/>
        <w:ind w:right="98" w:firstLine="450"/>
        <w:rPr>
          <w:rFonts w:hint="eastAsia"/>
          <w:color w:val="231F20"/>
        </w:rPr>
      </w:pPr>
      <w:r>
        <w:rPr>
          <w:rFonts w:hint="eastAsia"/>
          <w:color w:val="231F20"/>
        </w:rPr>
        <w:t>现在我们可以看到原因了。</w:t>
      </w:r>
    </w:p>
    <w:p w14:paraId="658F719A">
      <w:pPr>
        <w:pStyle w:val="9"/>
        <w:spacing w:before="17" w:line="249" w:lineRule="auto"/>
        <w:ind w:right="98" w:firstLine="450"/>
        <w:rPr>
          <w:rFonts w:hint="eastAsia"/>
          <w:color w:val="231F20"/>
        </w:rPr>
      </w:pPr>
    </w:p>
    <w:p w14:paraId="6461DC82">
      <w:pPr>
        <w:pStyle w:val="9"/>
        <w:spacing w:before="17" w:line="249" w:lineRule="auto"/>
        <w:ind w:right="98" w:firstLine="450"/>
        <w:rPr>
          <w:rFonts w:hint="eastAsia"/>
          <w:color w:val="231F20"/>
        </w:rPr>
      </w:pPr>
      <w:r>
        <w:rPr>
          <w:rFonts w:hint="eastAsia"/>
          <w:color w:val="231F20"/>
        </w:rPr>
        <w:t>On the one hand, they give us the theme of the whole book.</w:t>
      </w:r>
    </w:p>
    <w:p w14:paraId="174E7BE1">
      <w:pPr>
        <w:pStyle w:val="9"/>
        <w:spacing w:before="17" w:line="249" w:lineRule="auto"/>
        <w:ind w:right="98" w:firstLine="450"/>
        <w:rPr>
          <w:rFonts w:hint="eastAsia"/>
          <w:color w:val="231F20"/>
        </w:rPr>
      </w:pPr>
      <w:r>
        <w:rPr>
          <w:rFonts w:hint="eastAsia"/>
          <w:color w:val="231F20"/>
        </w:rPr>
        <w:t>一方面，它们为我们提供了整本书的主题。</w:t>
      </w:r>
    </w:p>
    <w:p w14:paraId="074C2529">
      <w:pPr>
        <w:pStyle w:val="9"/>
        <w:spacing w:before="17" w:line="249" w:lineRule="auto"/>
        <w:ind w:right="98" w:firstLine="450"/>
        <w:rPr>
          <w:rFonts w:hint="eastAsia"/>
          <w:color w:val="231F20"/>
        </w:rPr>
      </w:pPr>
    </w:p>
    <w:p w14:paraId="0C968A2F">
      <w:pPr>
        <w:pStyle w:val="9"/>
        <w:spacing w:before="17" w:line="249" w:lineRule="auto"/>
        <w:ind w:right="98" w:firstLine="450"/>
        <w:rPr>
          <w:rFonts w:hint="eastAsia"/>
          <w:color w:val="231F20"/>
        </w:rPr>
      </w:pPr>
      <w:r>
        <w:rPr>
          <w:rFonts w:hint="eastAsia"/>
          <w:color w:val="231F20"/>
        </w:rPr>
        <w:t>That is, by singing and celebrating Christ’s investiture, they introduce us to the High King of Heaven, the One who showed himself in supreme glory to John (chapter 1), spoke with supreme authority to the Universal Church (chapters 2-3), and will henceforth rule with supreme power as the sovereign Lord of all remaining Salvation History (chapters 6-22).</w:t>
      </w:r>
    </w:p>
    <w:p w14:paraId="5A6BFBBB">
      <w:pPr>
        <w:pStyle w:val="9"/>
        <w:spacing w:before="17" w:line="249" w:lineRule="auto"/>
        <w:ind w:right="98" w:firstLine="450"/>
        <w:rPr>
          <w:rFonts w:hint="eastAsia"/>
          <w:color w:val="231F20"/>
        </w:rPr>
      </w:pPr>
      <w:r>
        <w:rPr>
          <w:rFonts w:hint="eastAsia"/>
          <w:color w:val="231F20"/>
        </w:rPr>
        <w:t>也就是说，通过歌唱和庆祝基督的授权典礼，它们向我们介绍了天上的至高君王，那位曾以至高荣耀向约翰显现（第1章），以至高权柄对普世教会说话（第2-3章），并将从此以后以至高能力作为所有剩余救赎历史的主宰之主进行统治（第6-22章）的主。</w:t>
      </w:r>
    </w:p>
    <w:p w14:paraId="465398AB">
      <w:pPr>
        <w:pStyle w:val="9"/>
        <w:spacing w:before="17" w:line="249" w:lineRule="auto"/>
        <w:ind w:right="98" w:firstLine="450"/>
        <w:rPr>
          <w:rFonts w:hint="eastAsia"/>
          <w:color w:val="231F20"/>
        </w:rPr>
      </w:pPr>
    </w:p>
    <w:p w14:paraId="70AF138C">
      <w:pPr>
        <w:pStyle w:val="9"/>
        <w:spacing w:before="17" w:line="249" w:lineRule="auto"/>
        <w:ind w:right="98" w:firstLine="450"/>
        <w:rPr>
          <w:rFonts w:hint="eastAsia"/>
          <w:color w:val="231F20"/>
        </w:rPr>
      </w:pPr>
      <w:r>
        <w:rPr>
          <w:rFonts w:hint="eastAsia"/>
          <w:color w:val="231F20"/>
        </w:rPr>
        <w:t>On the other hand, through the symbol of the sealed scroll these chapters give us valuable insight into the structure of the book (6-22).</w:t>
      </w:r>
    </w:p>
    <w:p w14:paraId="73B0005C">
      <w:pPr>
        <w:pStyle w:val="9"/>
        <w:spacing w:before="17" w:line="249" w:lineRule="auto"/>
        <w:ind w:right="98" w:firstLine="450"/>
        <w:rPr>
          <w:rFonts w:hint="eastAsia"/>
          <w:color w:val="231F20"/>
        </w:rPr>
      </w:pPr>
      <w:r>
        <w:rPr>
          <w:rFonts w:hint="eastAsia"/>
          <w:color w:val="231F20"/>
        </w:rPr>
        <w:t>另一方面，通过被封印的书卷这一象征，这两章为我们提供了对本书结构（6-22章）的宝贵洞见。</w:t>
      </w:r>
    </w:p>
    <w:p w14:paraId="7ABC5661">
      <w:pPr>
        <w:pStyle w:val="9"/>
        <w:spacing w:before="17" w:line="249" w:lineRule="auto"/>
        <w:ind w:right="98" w:firstLine="450"/>
        <w:rPr>
          <w:rFonts w:hint="eastAsia"/>
          <w:color w:val="231F20"/>
        </w:rPr>
      </w:pPr>
    </w:p>
    <w:p w14:paraId="44A76243">
      <w:pPr>
        <w:pStyle w:val="9"/>
        <w:spacing w:before="17" w:line="249" w:lineRule="auto"/>
        <w:ind w:right="98" w:firstLine="450"/>
        <w:rPr>
          <w:rFonts w:hint="eastAsia"/>
          <w:color w:val="231F20"/>
        </w:rPr>
      </w:pPr>
      <w:r>
        <w:rPr>
          <w:rFonts w:hint="eastAsia"/>
          <w:color w:val="231F20"/>
        </w:rPr>
        <w:t>In particular, they teach us that the conquering Lamb is about to do two things:</w:t>
      </w:r>
    </w:p>
    <w:p w14:paraId="44A26C6B">
      <w:pPr>
        <w:pStyle w:val="9"/>
        <w:spacing w:before="17" w:line="249" w:lineRule="auto"/>
        <w:ind w:right="98" w:firstLine="450"/>
        <w:rPr>
          <w:rFonts w:hint="eastAsia"/>
          <w:color w:val="231F20"/>
        </w:rPr>
      </w:pPr>
      <w:r>
        <w:rPr>
          <w:rFonts w:hint="eastAsia"/>
          <w:color w:val="231F20"/>
        </w:rPr>
        <w:t>特别是，它们教导我们，得胜的羔羊即将做两件事：</w:t>
      </w:r>
    </w:p>
    <w:p w14:paraId="633D2791">
      <w:pPr>
        <w:pStyle w:val="9"/>
        <w:spacing w:before="17" w:line="249" w:lineRule="auto"/>
        <w:ind w:right="98" w:firstLine="450"/>
        <w:rPr>
          <w:rFonts w:hint="eastAsia"/>
          <w:color w:val="231F20"/>
        </w:rPr>
      </w:pPr>
    </w:p>
    <w:p w14:paraId="67BD45B8">
      <w:pPr>
        <w:pStyle w:val="9"/>
        <w:spacing w:before="17" w:line="249" w:lineRule="auto"/>
        <w:ind w:right="98" w:firstLine="450"/>
        <w:rPr>
          <w:rFonts w:hint="eastAsia"/>
          <w:color w:val="231F20"/>
        </w:rPr>
      </w:pPr>
      <w:r>
        <w:rPr>
          <w:rFonts w:hint="eastAsia"/>
          <w:color w:val="231F20"/>
        </w:rPr>
        <w:t>(1) remove the seals of the scroll, and (2) open it, with the result that all of God’s (redeemed) creatures can read, receive, and enjoy their contents.</w:t>
      </w:r>
    </w:p>
    <w:p w14:paraId="1CB7CB79">
      <w:pPr>
        <w:pStyle w:val="9"/>
        <w:spacing w:before="17" w:line="249" w:lineRule="auto"/>
        <w:ind w:right="98" w:firstLine="450"/>
        <w:rPr>
          <w:rFonts w:hint="eastAsia"/>
          <w:color w:val="231F20"/>
        </w:rPr>
      </w:pPr>
      <w:r>
        <w:rPr>
          <w:rFonts w:hint="eastAsia"/>
          <w:color w:val="231F20"/>
        </w:rPr>
        <w:t>（1）揭开书卷的印，（2）展开它，结果是所有上帝的（被赎的）受造物都能阅读、领受和享受其内容。</w:t>
      </w:r>
    </w:p>
    <w:p w14:paraId="62C88C10">
      <w:pPr>
        <w:pStyle w:val="9"/>
        <w:spacing w:before="17" w:line="249" w:lineRule="auto"/>
        <w:ind w:right="98" w:firstLine="450"/>
        <w:rPr>
          <w:rFonts w:hint="eastAsia"/>
          <w:color w:val="231F20"/>
        </w:rPr>
      </w:pPr>
    </w:p>
    <w:p w14:paraId="25BA430A">
      <w:pPr>
        <w:pStyle w:val="9"/>
        <w:spacing w:before="17" w:line="249" w:lineRule="auto"/>
        <w:ind w:right="98" w:firstLine="450"/>
        <w:rPr>
          <w:rFonts w:hint="eastAsia"/>
          <w:color w:val="231F20"/>
        </w:rPr>
      </w:pPr>
      <w:r>
        <w:rPr>
          <w:rFonts w:hint="eastAsia"/>
          <w:color w:val="231F20"/>
        </w:rPr>
        <w:t>This in turn suggests that the material ahead will likely be divided into two basic parts: (1) that which pertains to events prior to the saints receiving their inheritance, and (2) that which pertains to events at the receiving of their inheritance.</w:t>
      </w:r>
    </w:p>
    <w:p w14:paraId="62769018">
      <w:pPr>
        <w:pStyle w:val="9"/>
        <w:spacing w:before="17" w:line="249" w:lineRule="auto"/>
        <w:ind w:right="98" w:firstLine="450"/>
        <w:rPr>
          <w:rFonts w:hint="eastAsia"/>
          <w:color w:val="231F20"/>
        </w:rPr>
      </w:pPr>
      <w:r>
        <w:rPr>
          <w:rFonts w:hint="eastAsia"/>
          <w:color w:val="231F20"/>
        </w:rPr>
        <w:t>这反过来又暗示，接下来的材料很可能被分为两个基本部分：（1）与圣徒领受产业之前的事件有关的部分，和（2）与圣徒领受产业时的事件有关的部分。</w:t>
      </w:r>
    </w:p>
    <w:p w14:paraId="69363FA2">
      <w:pPr>
        <w:pStyle w:val="9"/>
        <w:spacing w:before="17" w:line="249" w:lineRule="auto"/>
        <w:ind w:right="98" w:firstLine="450"/>
        <w:rPr>
          <w:rFonts w:hint="eastAsia"/>
          <w:color w:val="231F20"/>
        </w:rPr>
      </w:pPr>
    </w:p>
    <w:p w14:paraId="3DDF021A">
      <w:pPr>
        <w:pStyle w:val="9"/>
        <w:spacing w:before="17" w:line="249" w:lineRule="auto"/>
        <w:ind w:right="98" w:firstLine="450"/>
        <w:rPr>
          <w:rFonts w:hint="eastAsia"/>
          <w:color w:val="231F20"/>
        </w:rPr>
      </w:pPr>
      <w:r>
        <w:rPr>
          <w:rFonts w:hint="eastAsia"/>
          <w:color w:val="231F20"/>
        </w:rPr>
        <w:t>And this is precisely the case.</w:t>
      </w:r>
    </w:p>
    <w:p w14:paraId="0EBDA1DE">
      <w:pPr>
        <w:pStyle w:val="9"/>
        <w:spacing w:before="17" w:line="249" w:lineRule="auto"/>
        <w:ind w:right="98" w:firstLine="450"/>
        <w:rPr>
          <w:rFonts w:hint="eastAsia"/>
          <w:color w:val="231F20"/>
        </w:rPr>
      </w:pPr>
      <w:r>
        <w:rPr>
          <w:rFonts w:hint="eastAsia"/>
          <w:color w:val="231F20"/>
        </w:rPr>
        <w:t>而情况正是如此。</w:t>
      </w:r>
    </w:p>
    <w:p w14:paraId="592F2778">
      <w:pPr>
        <w:pStyle w:val="9"/>
        <w:spacing w:before="17" w:line="249" w:lineRule="auto"/>
        <w:ind w:right="98" w:firstLine="450"/>
        <w:rPr>
          <w:rFonts w:hint="eastAsia"/>
          <w:color w:val="231F20"/>
        </w:rPr>
      </w:pPr>
    </w:p>
    <w:p w14:paraId="2B895621">
      <w:pPr>
        <w:pStyle w:val="9"/>
        <w:spacing w:before="17" w:line="249" w:lineRule="auto"/>
        <w:ind w:right="98" w:firstLine="450"/>
        <w:rPr>
          <w:rFonts w:hint="eastAsia"/>
          <w:color w:val="231F20"/>
        </w:rPr>
      </w:pPr>
      <w:r>
        <w:rPr>
          <w:rFonts w:hint="eastAsia"/>
          <w:color w:val="231F20"/>
        </w:rPr>
        <w:t>In chapters 6-20 we will indeed find Christ—on six separate occasions—disclosing what will take place prior to the advent of the new heavens and the new earth; giving us—on six separate occasions—the course, character, and consummation of the residue of Salvation History.</w:t>
      </w:r>
    </w:p>
    <w:p w14:paraId="3542D2F6">
      <w:pPr>
        <w:pStyle w:val="9"/>
        <w:spacing w:before="17" w:line="249" w:lineRule="auto"/>
        <w:ind w:right="98" w:firstLine="450"/>
        <w:rPr>
          <w:rFonts w:hint="eastAsia"/>
          <w:color w:val="231F20"/>
        </w:rPr>
      </w:pPr>
      <w:r>
        <w:rPr>
          <w:rFonts w:hint="eastAsia"/>
          <w:color w:val="231F20"/>
        </w:rPr>
        <w:t>在第6-20章中，我们确实会发现基督——在六个不同的场合——揭示了在新天新地来临之前将要发生的事情；在六个不同的场合——给我们展示了救赎历史余下部分的进程、特征和最终的成全。</w:t>
      </w:r>
    </w:p>
    <w:p w14:paraId="011ECF88">
      <w:pPr>
        <w:pStyle w:val="9"/>
        <w:spacing w:before="17" w:line="249" w:lineRule="auto"/>
        <w:ind w:right="98" w:firstLine="450"/>
        <w:rPr>
          <w:rFonts w:hint="eastAsia"/>
          <w:color w:val="231F20"/>
        </w:rPr>
      </w:pPr>
    </w:p>
    <w:p w14:paraId="35BFCD76">
      <w:pPr>
        <w:pStyle w:val="9"/>
        <w:spacing w:before="17" w:line="249" w:lineRule="auto"/>
        <w:ind w:right="98" w:firstLine="450"/>
        <w:rPr>
          <w:rFonts w:hint="eastAsia"/>
          <w:color w:val="231F20"/>
        </w:rPr>
      </w:pPr>
      <w:r>
        <w:rPr>
          <w:rFonts w:hint="eastAsia"/>
          <w:color w:val="231F20"/>
        </w:rPr>
        <w:t>Then, in chapters 21-22, we will find him disclosing the ultimate goal of Salvation History: Eternal Life in the new heavens and the new earth themselves.</w:t>
      </w:r>
    </w:p>
    <w:p w14:paraId="192F9D35">
      <w:pPr>
        <w:pStyle w:val="9"/>
        <w:spacing w:before="17" w:line="249" w:lineRule="auto"/>
        <w:ind w:right="98" w:firstLine="450"/>
        <w:rPr>
          <w:rFonts w:hint="eastAsia"/>
          <w:color w:val="231F20"/>
        </w:rPr>
      </w:pPr>
      <w:r>
        <w:rPr>
          <w:rFonts w:hint="eastAsia"/>
          <w:color w:val="231F20"/>
        </w:rPr>
        <w:t>然后，在第21-22章，我们会发现祂揭示了救赎历史的最终目标：在新天新地本身中的永生。</w:t>
      </w:r>
    </w:p>
    <w:p w14:paraId="7C81B58C">
      <w:pPr>
        <w:pStyle w:val="9"/>
        <w:spacing w:before="17" w:line="249" w:lineRule="auto"/>
        <w:ind w:right="98" w:firstLine="450"/>
        <w:rPr>
          <w:rFonts w:hint="eastAsia"/>
          <w:color w:val="231F20"/>
        </w:rPr>
      </w:pPr>
    </w:p>
    <w:p w14:paraId="4A025F2F">
      <w:pPr>
        <w:pStyle w:val="9"/>
        <w:spacing w:before="17" w:line="249" w:lineRule="auto"/>
        <w:ind w:right="98" w:firstLine="450"/>
        <w:rPr>
          <w:rFonts w:hint="eastAsia"/>
          <w:color w:val="231F20"/>
        </w:rPr>
      </w:pPr>
      <w:r>
        <w:rPr>
          <w:rFonts w:hint="eastAsia"/>
          <w:color w:val="231F20"/>
        </w:rPr>
        <w:t>In other words, chapters 6-20 correspond to Christ’s breaking the seven seals of the scroll; chapters 21-22 correspond to his making manifest its contents.</w:t>
      </w:r>
    </w:p>
    <w:p w14:paraId="14E89B6D">
      <w:pPr>
        <w:pStyle w:val="9"/>
        <w:spacing w:before="17" w:line="249" w:lineRule="auto"/>
        <w:ind w:right="98" w:firstLine="450"/>
        <w:rPr>
          <w:rFonts w:hint="eastAsia"/>
          <w:color w:val="231F20"/>
        </w:rPr>
      </w:pPr>
      <w:r>
        <w:rPr>
          <w:rFonts w:hint="eastAsia"/>
          <w:color w:val="231F20"/>
        </w:rPr>
        <w:t>换句话说，第6-20章对应于基督揭开书卷的七印；第21-22章对应于祂彰显其内容。</w:t>
      </w:r>
    </w:p>
    <w:p w14:paraId="4149FFC9">
      <w:pPr>
        <w:pStyle w:val="9"/>
        <w:spacing w:before="17" w:line="249" w:lineRule="auto"/>
        <w:ind w:right="98" w:firstLine="450"/>
        <w:rPr>
          <w:rFonts w:hint="eastAsia"/>
          <w:color w:val="231F20"/>
        </w:rPr>
      </w:pPr>
    </w:p>
    <w:p w14:paraId="553667C8">
      <w:pPr>
        <w:pStyle w:val="9"/>
        <w:spacing w:before="17" w:line="249" w:lineRule="auto"/>
        <w:ind w:right="98" w:firstLine="450"/>
        <w:rPr>
          <w:rFonts w:hint="eastAsia"/>
          <w:color w:val="231F20"/>
        </w:rPr>
      </w:pPr>
      <w:r>
        <w:rPr>
          <w:rFonts w:hint="eastAsia"/>
          <w:color w:val="231F20"/>
        </w:rPr>
        <w:t>Observe carefully that the whole story is therefore his story—his to tell, and his to bring to pass.</w:t>
      </w:r>
    </w:p>
    <w:p w14:paraId="2E50C432">
      <w:pPr>
        <w:pStyle w:val="9"/>
        <w:spacing w:before="17" w:line="249" w:lineRule="auto"/>
        <w:ind w:right="98" w:firstLine="450"/>
        <w:rPr>
          <w:rFonts w:hint="eastAsia"/>
          <w:color w:val="231F20"/>
        </w:rPr>
      </w:pPr>
      <w:r>
        <w:rPr>
          <w:rFonts w:hint="eastAsia"/>
          <w:color w:val="231F20"/>
        </w:rPr>
        <w:t>请仔细观察，整个故事因此是祂的故事——由祂来讲述，并由祂来成就。</w:t>
      </w:r>
    </w:p>
    <w:p w14:paraId="2CEEED56">
      <w:pPr>
        <w:pStyle w:val="9"/>
        <w:spacing w:before="17" w:line="249" w:lineRule="auto"/>
        <w:ind w:right="98" w:firstLine="450"/>
        <w:rPr>
          <w:rFonts w:hint="eastAsia"/>
          <w:color w:val="231F20"/>
        </w:rPr>
      </w:pPr>
    </w:p>
    <w:p w14:paraId="33BDA034">
      <w:pPr>
        <w:pStyle w:val="9"/>
        <w:spacing w:before="17" w:line="249" w:lineRule="auto"/>
        <w:ind w:right="98" w:firstLine="450"/>
        <w:rPr>
          <w:rFonts w:hint="eastAsia"/>
          <w:color w:val="231F20"/>
        </w:rPr>
      </w:pPr>
      <w:r>
        <w:rPr>
          <w:rFonts w:hint="eastAsia"/>
          <w:color w:val="231F20"/>
        </w:rPr>
        <w:t>And with this the Father is exceedingly well pleased, since it accords with his eternal purpose and plan, which is to bestow the highest possible glory and honor upon his beloved Son, whom he (the Father) has now exalted as High King of Heaven and Earth.</w:t>
      </w:r>
    </w:p>
    <w:p w14:paraId="0E4510DF">
      <w:pPr>
        <w:pStyle w:val="9"/>
        <w:spacing w:before="17" w:line="249" w:lineRule="auto"/>
        <w:ind w:right="98" w:firstLine="450"/>
        <w:rPr>
          <w:rFonts w:hint="eastAsia"/>
          <w:color w:val="231F20"/>
        </w:rPr>
      </w:pPr>
      <w:r>
        <w:rPr>
          <w:rFonts w:hint="eastAsia"/>
          <w:color w:val="231F20"/>
        </w:rPr>
        <w:t>父对此极为喜悦，因为它符合祂永恒的旨意和计划，即要将最高的荣耀和尊贵赐给祂的爱子，父（祂）现在已将祂高举为天地至高的君王。</w:t>
      </w:r>
    </w:p>
    <w:p w14:paraId="6DC94EED">
      <w:pPr>
        <w:pStyle w:val="9"/>
        <w:spacing w:before="17" w:line="249" w:lineRule="auto"/>
        <w:ind w:right="98" w:firstLine="450"/>
        <w:rPr>
          <w:rFonts w:hint="eastAsia"/>
          <w:color w:val="231F20"/>
        </w:rPr>
      </w:pPr>
    </w:p>
    <w:p w14:paraId="5DB7607E">
      <w:pPr>
        <w:pStyle w:val="9"/>
        <w:spacing w:before="17" w:line="249" w:lineRule="auto"/>
        <w:ind w:right="98" w:firstLine="450"/>
        <w:rPr>
          <w:rFonts w:hint="eastAsia"/>
          <w:color w:val="231F20"/>
        </w:rPr>
      </w:pPr>
      <w:r>
        <w:rPr>
          <w:rFonts w:hint="eastAsia"/>
          <w:color w:val="231F20"/>
        </w:rPr>
        <w:t>The Course, Character, and Consummation of the High King’s Heavenly Reign (6-20)</w:t>
      </w:r>
    </w:p>
    <w:p w14:paraId="29405BBC">
      <w:pPr>
        <w:pStyle w:val="9"/>
        <w:spacing w:before="17" w:line="249" w:lineRule="auto"/>
        <w:ind w:right="98" w:firstLine="450"/>
        <w:rPr>
          <w:rFonts w:hint="eastAsia"/>
          <w:color w:val="231F20"/>
        </w:rPr>
      </w:pPr>
      <w:r>
        <w:rPr>
          <w:rFonts w:hint="eastAsia"/>
          <w:color w:val="231F20"/>
        </w:rPr>
        <w:t>至高君王属天统治的进程、特征和最终成全 (6-20)</w:t>
      </w:r>
    </w:p>
    <w:p w14:paraId="3DA8788F">
      <w:pPr>
        <w:pStyle w:val="9"/>
        <w:spacing w:before="17" w:line="249" w:lineRule="auto"/>
        <w:ind w:right="98" w:firstLine="450"/>
        <w:rPr>
          <w:rFonts w:hint="eastAsia"/>
          <w:color w:val="231F20"/>
        </w:rPr>
      </w:pPr>
    </w:p>
    <w:p w14:paraId="392F3873">
      <w:pPr>
        <w:pStyle w:val="9"/>
        <w:spacing w:before="17" w:line="249" w:lineRule="auto"/>
        <w:ind w:right="98" w:firstLine="450"/>
        <w:rPr>
          <w:rFonts w:hint="eastAsia"/>
          <w:color w:val="231F20"/>
        </w:rPr>
      </w:pPr>
      <w:r>
        <w:rPr>
          <w:rFonts w:hint="eastAsia"/>
          <w:color w:val="231F20"/>
        </w:rPr>
        <w:t>We turn our attention now to the fourth bloc of the Revelation, chapters 6-20.</w:t>
      </w:r>
    </w:p>
    <w:p w14:paraId="48FDB1CB">
      <w:pPr>
        <w:pStyle w:val="9"/>
        <w:spacing w:before="17" w:line="249" w:lineRule="auto"/>
        <w:ind w:right="98" w:firstLine="450"/>
        <w:rPr>
          <w:rFonts w:hint="eastAsia"/>
          <w:color w:val="231F20"/>
        </w:rPr>
      </w:pPr>
      <w:r>
        <w:rPr>
          <w:rFonts w:hint="eastAsia"/>
          <w:color w:val="231F20"/>
        </w:rPr>
        <w:t>我们现在把注意力转向《启示录》的第四个区块，第6-20章。</w:t>
      </w:r>
    </w:p>
    <w:p w14:paraId="7EA21064">
      <w:pPr>
        <w:pStyle w:val="9"/>
        <w:spacing w:before="17" w:line="249" w:lineRule="auto"/>
        <w:ind w:right="98" w:firstLine="450"/>
        <w:rPr>
          <w:rFonts w:hint="eastAsia"/>
          <w:color w:val="231F20"/>
        </w:rPr>
      </w:pPr>
    </w:p>
    <w:p w14:paraId="395D86D3">
      <w:pPr>
        <w:pStyle w:val="9"/>
        <w:spacing w:before="17" w:line="249" w:lineRule="auto"/>
        <w:ind w:right="98" w:firstLine="450"/>
        <w:rPr>
          <w:rFonts w:hint="eastAsia"/>
          <w:color w:val="231F20"/>
        </w:rPr>
      </w:pPr>
      <w:r>
        <w:rPr>
          <w:rFonts w:hint="eastAsia"/>
          <w:color w:val="231F20"/>
        </w:rPr>
        <w:t>For reasons mentioned above, I have entitled it The Course, Character, and Consummation of the High King’s Heavenly Reign.</w:t>
      </w:r>
    </w:p>
    <w:p w14:paraId="76897A53">
      <w:pPr>
        <w:pStyle w:val="9"/>
        <w:spacing w:before="17" w:line="249" w:lineRule="auto"/>
        <w:ind w:right="98" w:firstLine="450"/>
        <w:rPr>
          <w:rFonts w:hint="eastAsia"/>
          <w:color w:val="231F20"/>
        </w:rPr>
      </w:pPr>
      <w:r>
        <w:rPr>
          <w:rFonts w:hint="eastAsia"/>
          <w:color w:val="231F20"/>
        </w:rPr>
        <w:t>由于上述原因，我给它取名为“至高君王属天统治的进程、特征和最终成全”。</w:t>
      </w:r>
    </w:p>
    <w:p w14:paraId="51D53390">
      <w:pPr>
        <w:pStyle w:val="9"/>
        <w:spacing w:before="17" w:line="249" w:lineRule="auto"/>
        <w:ind w:right="98" w:firstLine="450"/>
        <w:rPr>
          <w:rFonts w:hint="eastAsia"/>
          <w:color w:val="231F20"/>
        </w:rPr>
      </w:pPr>
    </w:p>
    <w:p w14:paraId="2353D517">
      <w:pPr>
        <w:pStyle w:val="9"/>
        <w:spacing w:before="17" w:line="249" w:lineRule="auto"/>
        <w:ind w:right="98" w:firstLine="450"/>
        <w:rPr>
          <w:rFonts w:hint="eastAsia"/>
          <w:color w:val="231F20"/>
        </w:rPr>
      </w:pPr>
      <w:r>
        <w:rPr>
          <w:rFonts w:hint="eastAsia"/>
          <w:color w:val="231F20"/>
        </w:rPr>
        <w:t>Is this title accurate?</w:t>
      </w:r>
    </w:p>
    <w:p w14:paraId="06A12A69">
      <w:pPr>
        <w:pStyle w:val="9"/>
        <w:spacing w:before="17" w:line="249" w:lineRule="auto"/>
        <w:ind w:right="98" w:firstLine="450"/>
        <w:rPr>
          <w:rFonts w:hint="eastAsia"/>
          <w:color w:val="231F20"/>
        </w:rPr>
      </w:pPr>
      <w:r>
        <w:rPr>
          <w:rFonts w:hint="eastAsia"/>
          <w:color w:val="231F20"/>
        </w:rPr>
        <w:t>这个标题准确吗？</w:t>
      </w:r>
    </w:p>
    <w:p w14:paraId="2AF3701F">
      <w:pPr>
        <w:pStyle w:val="9"/>
        <w:spacing w:before="17" w:line="249" w:lineRule="auto"/>
        <w:ind w:right="98" w:firstLine="450"/>
        <w:rPr>
          <w:rFonts w:hint="eastAsia"/>
          <w:color w:val="231F20"/>
        </w:rPr>
      </w:pPr>
    </w:p>
    <w:p w14:paraId="2232B50A">
      <w:pPr>
        <w:pStyle w:val="9"/>
        <w:spacing w:before="17" w:line="249" w:lineRule="auto"/>
        <w:ind w:right="98" w:firstLine="450"/>
        <w:rPr>
          <w:rFonts w:hint="eastAsia"/>
          <w:color w:val="231F20"/>
        </w:rPr>
      </w:pPr>
      <w:r>
        <w:rPr>
          <w:rFonts w:hint="eastAsia"/>
          <w:color w:val="231F20"/>
        </w:rPr>
        <w:t>Is this portion of the Revelation really comprised of six visionary cycles, each running parallel to the other; each traversing the era spanning from Christ’s session to his Parousia?</w:t>
      </w:r>
    </w:p>
    <w:p w14:paraId="2114613A">
      <w:pPr>
        <w:pStyle w:val="9"/>
        <w:spacing w:before="17" w:line="249" w:lineRule="auto"/>
        <w:ind w:right="98" w:firstLine="450"/>
        <w:rPr>
          <w:rFonts w:hint="eastAsia"/>
          <w:color w:val="231F20"/>
        </w:rPr>
      </w:pPr>
      <w:r>
        <w:rPr>
          <w:rFonts w:hint="eastAsia"/>
          <w:color w:val="231F20"/>
        </w:rPr>
        <w:t>《启示录》的这一部分真的由六个异象循环组成，每个循环都与其他循环并行；每个都跨越了从基督升天坐席到祂主临（Parousia）的时代吗？</w:t>
      </w:r>
    </w:p>
    <w:p w14:paraId="53ADF80B">
      <w:pPr>
        <w:pStyle w:val="9"/>
        <w:spacing w:before="17" w:line="249" w:lineRule="auto"/>
        <w:ind w:right="98" w:firstLine="450"/>
        <w:rPr>
          <w:rFonts w:hint="eastAsia"/>
          <w:color w:val="231F20"/>
        </w:rPr>
      </w:pPr>
    </w:p>
    <w:p w14:paraId="2E392FD0">
      <w:pPr>
        <w:pStyle w:val="9"/>
        <w:spacing w:before="17" w:line="249" w:lineRule="auto"/>
        <w:ind w:right="98" w:firstLine="450"/>
        <w:rPr>
          <w:rFonts w:hint="eastAsia"/>
          <w:color w:val="231F20"/>
        </w:rPr>
      </w:pPr>
      <w:r>
        <w:rPr>
          <w:rFonts w:hint="eastAsia"/>
          <w:color w:val="231F20"/>
        </w:rPr>
        <w:t>Can we see the beginning of the Church Era in the beginning portions of these cycles?</w:t>
      </w:r>
    </w:p>
    <w:p w14:paraId="3A51FBDE">
      <w:pPr>
        <w:pStyle w:val="9"/>
        <w:spacing w:before="17" w:line="249" w:lineRule="auto"/>
        <w:ind w:right="98" w:firstLine="450"/>
        <w:rPr>
          <w:rFonts w:hint="eastAsia"/>
          <w:color w:val="231F20"/>
        </w:rPr>
      </w:pPr>
      <w:r>
        <w:rPr>
          <w:rFonts w:hint="eastAsia"/>
          <w:color w:val="231F20"/>
        </w:rPr>
        <w:t>我们能在这些循环的开始部分看到教会时代的开端吗？</w:t>
      </w:r>
    </w:p>
    <w:p w14:paraId="39E491EA">
      <w:pPr>
        <w:pStyle w:val="9"/>
        <w:spacing w:before="17" w:line="249" w:lineRule="auto"/>
        <w:ind w:right="98" w:firstLine="450"/>
        <w:rPr>
          <w:rFonts w:hint="eastAsia"/>
          <w:color w:val="231F20"/>
        </w:rPr>
      </w:pPr>
    </w:p>
    <w:p w14:paraId="37FD396A">
      <w:pPr>
        <w:pStyle w:val="9"/>
        <w:spacing w:before="17" w:line="249" w:lineRule="auto"/>
        <w:ind w:right="98" w:firstLine="450"/>
        <w:rPr>
          <w:rFonts w:hint="eastAsia"/>
          <w:color w:val="231F20"/>
        </w:rPr>
      </w:pPr>
      <w:r>
        <w:rPr>
          <w:rFonts w:hint="eastAsia"/>
          <w:color w:val="231F20"/>
        </w:rPr>
        <w:t>Can we see the end at the end?</w:t>
      </w:r>
    </w:p>
    <w:p w14:paraId="1DFDBC14">
      <w:pPr>
        <w:pStyle w:val="9"/>
        <w:spacing w:before="17" w:line="249" w:lineRule="auto"/>
        <w:ind w:right="98" w:firstLine="450"/>
        <w:rPr>
          <w:rFonts w:hint="eastAsia"/>
          <w:color w:val="231F20"/>
        </w:rPr>
      </w:pPr>
      <w:r>
        <w:rPr>
          <w:rFonts w:hint="eastAsia"/>
          <w:color w:val="231F20"/>
        </w:rPr>
        <w:t>我们能在结尾看到末了吗？</w:t>
      </w:r>
    </w:p>
    <w:p w14:paraId="491FB0F1">
      <w:pPr>
        <w:pStyle w:val="9"/>
        <w:spacing w:before="17" w:line="249" w:lineRule="auto"/>
        <w:ind w:right="98" w:firstLine="450"/>
        <w:rPr>
          <w:rFonts w:hint="eastAsia"/>
          <w:color w:val="231F20"/>
        </w:rPr>
      </w:pPr>
    </w:p>
    <w:p w14:paraId="4A6913B4">
      <w:pPr>
        <w:pStyle w:val="9"/>
        <w:spacing w:before="17" w:line="249" w:lineRule="auto"/>
        <w:ind w:right="98" w:firstLine="450"/>
        <w:rPr>
          <w:rFonts w:hint="eastAsia"/>
          <w:color w:val="231F20"/>
        </w:rPr>
      </w:pPr>
      <w:r>
        <w:rPr>
          <w:rFonts w:hint="eastAsia"/>
          <w:color w:val="231F20"/>
        </w:rPr>
        <w:t>Also, is it true that the cycles are “progressive;” that the deeper we go into them, the more we behold “last of the last days,” the great eschatological events associated with the Consummation?</w:t>
      </w:r>
    </w:p>
    <w:p w14:paraId="7E19999F">
      <w:pPr>
        <w:pStyle w:val="9"/>
        <w:spacing w:before="17" w:line="249" w:lineRule="auto"/>
        <w:ind w:right="98" w:firstLine="450"/>
        <w:rPr>
          <w:rFonts w:hint="eastAsia"/>
          <w:color w:val="231F20"/>
        </w:rPr>
      </w:pPr>
      <w:r>
        <w:rPr>
          <w:rFonts w:hint="eastAsia"/>
          <w:color w:val="231F20"/>
        </w:rPr>
        <w:t>还有，这些循环是“递进的”这个说法是真的吗；即我们越深入其中，就越能看到“末后的末期”，那些与最终成全相关的重大末世事件？</w:t>
      </w:r>
    </w:p>
    <w:p w14:paraId="6A080284">
      <w:pPr>
        <w:pStyle w:val="9"/>
        <w:spacing w:before="17" w:line="249" w:lineRule="auto"/>
        <w:ind w:right="98" w:firstLine="450"/>
        <w:rPr>
          <w:rFonts w:hint="eastAsia"/>
          <w:color w:val="231F20"/>
        </w:rPr>
      </w:pPr>
    </w:p>
    <w:p w14:paraId="6CD77BD1">
      <w:pPr>
        <w:pStyle w:val="9"/>
        <w:spacing w:before="17" w:line="249" w:lineRule="auto"/>
        <w:ind w:right="98" w:firstLine="450"/>
        <w:rPr>
          <w:rFonts w:hint="eastAsia"/>
          <w:color w:val="231F20"/>
        </w:rPr>
      </w:pPr>
      <w:r>
        <w:rPr>
          <w:rFonts w:hint="eastAsia"/>
          <w:color w:val="231F20"/>
        </w:rPr>
        <w:t>But most importantly of all, is Revelation 20 really a part of this bloc?</w:t>
      </w:r>
    </w:p>
    <w:p w14:paraId="1501D65C">
      <w:pPr>
        <w:pStyle w:val="9"/>
        <w:spacing w:before="17" w:line="249" w:lineRule="auto"/>
        <w:ind w:right="98" w:firstLine="450"/>
        <w:rPr>
          <w:rFonts w:hint="eastAsia"/>
          <w:color w:val="231F20"/>
        </w:rPr>
      </w:pPr>
      <w:r>
        <w:rPr>
          <w:rFonts w:hint="eastAsia"/>
          <w:color w:val="231F20"/>
        </w:rPr>
        <w:t>但最重要的是，《启示录》第20章真的是这个区块的一部分吗？</w:t>
      </w:r>
    </w:p>
    <w:p w14:paraId="069A9BDE">
      <w:pPr>
        <w:pStyle w:val="9"/>
        <w:spacing w:before="17" w:line="249" w:lineRule="auto"/>
        <w:ind w:right="98" w:firstLine="450"/>
        <w:rPr>
          <w:rFonts w:hint="eastAsia"/>
          <w:color w:val="231F20"/>
        </w:rPr>
      </w:pPr>
    </w:p>
    <w:p w14:paraId="1B1F75CB">
      <w:pPr>
        <w:pStyle w:val="9"/>
        <w:spacing w:before="17" w:line="249" w:lineRule="auto"/>
        <w:ind w:right="98" w:firstLine="450"/>
        <w:rPr>
          <w:rFonts w:hint="eastAsia"/>
          <w:color w:val="231F20"/>
        </w:rPr>
      </w:pPr>
      <w:r>
        <w:rPr>
          <w:rFonts w:hint="eastAsia"/>
          <w:color w:val="231F20"/>
        </w:rPr>
        <w:t>Does it really describe the Church Era?</w:t>
      </w:r>
    </w:p>
    <w:p w14:paraId="20A04246">
      <w:pPr>
        <w:pStyle w:val="9"/>
        <w:spacing w:before="17" w:line="249" w:lineRule="auto"/>
        <w:ind w:right="98" w:firstLine="450"/>
        <w:rPr>
          <w:rFonts w:hint="eastAsia"/>
          <w:color w:val="231F20"/>
        </w:rPr>
      </w:pPr>
      <w:r>
        <w:rPr>
          <w:rFonts w:hint="eastAsia"/>
          <w:color w:val="231F20"/>
        </w:rPr>
        <w:t>它真的描述了教会时代吗？</w:t>
      </w:r>
    </w:p>
    <w:p w14:paraId="258D4037">
      <w:pPr>
        <w:pStyle w:val="9"/>
        <w:spacing w:before="17" w:line="249" w:lineRule="auto"/>
        <w:ind w:right="98" w:firstLine="450"/>
        <w:rPr>
          <w:rFonts w:hint="eastAsia"/>
          <w:color w:val="231F20"/>
        </w:rPr>
      </w:pPr>
    </w:p>
    <w:p w14:paraId="4144D1C0">
      <w:pPr>
        <w:pStyle w:val="9"/>
        <w:spacing w:before="17" w:line="249" w:lineRule="auto"/>
        <w:ind w:right="98" w:firstLine="450"/>
        <w:rPr>
          <w:rFonts w:hint="eastAsia"/>
          <w:color w:val="231F20"/>
        </w:rPr>
      </w:pPr>
      <w:r>
        <w:rPr>
          <w:rFonts w:hint="eastAsia"/>
          <w:color w:val="231F20"/>
        </w:rPr>
        <w:t>Or is it the case, as premillennarians assert, that this is actually a fifth bloc in its own right; that it describes (and suddenly introduces into NT eschatology) a second, intermediate stage of the Kingdom (i.e., a future Millennium); that it therefore properly occupies a position mid way between earlier prophecies about the Church Era (chapters 6-19) and later prophecies about the new heavens and the new earth (chapters 21-22)?</w:t>
      </w:r>
    </w:p>
    <w:p w14:paraId="6DA50A44">
      <w:pPr>
        <w:pStyle w:val="9"/>
        <w:spacing w:before="17" w:line="249" w:lineRule="auto"/>
        <w:ind w:right="98" w:firstLine="450"/>
        <w:rPr>
          <w:rFonts w:hint="eastAsia"/>
          <w:color w:val="231F20"/>
        </w:rPr>
      </w:pPr>
      <w:r>
        <w:rPr>
          <w:rFonts w:hint="eastAsia"/>
          <w:color w:val="231F20"/>
        </w:rPr>
        <w:t>或者，情况是否像前千禧年主义者所断言的那样，这实际上是它自己的第五个区块；它描述了（并突然引入新约末世论）国度的第二个中间阶段（即未来的千禧年）；因此它恰当地占据了早期关于教会时代的预言（第6-19章）和后来关于新天新地的预言（第21-22章）之间的位置？</w:t>
      </w:r>
    </w:p>
    <w:p w14:paraId="1E19C792">
      <w:pPr>
        <w:pStyle w:val="9"/>
        <w:spacing w:before="17" w:line="249" w:lineRule="auto"/>
        <w:ind w:right="98" w:firstLine="450"/>
        <w:rPr>
          <w:rFonts w:hint="eastAsia"/>
          <w:color w:val="231F20"/>
        </w:rPr>
      </w:pPr>
    </w:p>
    <w:p w14:paraId="3B080AAA">
      <w:pPr>
        <w:pStyle w:val="9"/>
        <w:spacing w:before="17" w:line="249" w:lineRule="auto"/>
        <w:ind w:right="98" w:firstLine="450"/>
        <w:rPr>
          <w:rFonts w:hint="eastAsia"/>
          <w:color w:val="231F20"/>
        </w:rPr>
      </w:pPr>
      <w:r>
        <w:rPr>
          <w:rFonts w:hint="eastAsia"/>
          <w:color w:val="231F20"/>
        </w:rPr>
        <w:t>With these crucial questions ever before us, let us briefly survey each of the six visionary cycles of Revelation 6-20, looking for answers.7</w:t>
      </w:r>
    </w:p>
    <w:p w14:paraId="5C2F1019">
      <w:pPr>
        <w:pStyle w:val="9"/>
        <w:spacing w:before="17" w:line="249" w:lineRule="auto"/>
        <w:ind w:right="98" w:firstLine="450"/>
        <w:rPr>
          <w:rFonts w:hint="eastAsia"/>
          <w:color w:val="231F20"/>
        </w:rPr>
      </w:pPr>
      <w:r>
        <w:rPr>
          <w:rFonts w:hint="eastAsia"/>
          <w:color w:val="231F20"/>
        </w:rPr>
        <w:t>带着这些至关重要的问题，让我们简要地考察《启示录》6-20章的六个异象循环，寻找答案。7</w:t>
      </w:r>
    </w:p>
    <w:p w14:paraId="4D1539D5">
      <w:pPr>
        <w:pStyle w:val="9"/>
        <w:spacing w:before="17" w:line="249" w:lineRule="auto"/>
        <w:ind w:right="98" w:firstLine="450"/>
        <w:rPr>
          <w:rFonts w:hint="eastAsia"/>
          <w:color w:val="231F20"/>
        </w:rPr>
      </w:pPr>
    </w:p>
    <w:p w14:paraId="69D9AC12">
      <w:pPr>
        <w:pStyle w:val="9"/>
        <w:spacing w:before="17" w:line="249" w:lineRule="auto"/>
        <w:ind w:right="98" w:firstLine="450"/>
        <w:rPr>
          <w:rFonts w:hint="eastAsia"/>
          <w:color w:val="231F20"/>
        </w:rPr>
      </w:pPr>
      <w:r>
        <w:rPr>
          <w:rFonts w:hint="eastAsia"/>
          <w:color w:val="231F20"/>
        </w:rPr>
        <w:t>1.The Six Seals (Rev. 6-7)</w:t>
      </w:r>
    </w:p>
    <w:p w14:paraId="0034B083">
      <w:pPr>
        <w:pStyle w:val="9"/>
        <w:spacing w:before="17" w:line="249" w:lineRule="auto"/>
        <w:ind w:right="98" w:firstLine="450"/>
        <w:rPr>
          <w:rFonts w:hint="eastAsia"/>
          <w:color w:val="231F20"/>
        </w:rPr>
      </w:pPr>
      <w:r>
        <w:rPr>
          <w:rFonts w:hint="eastAsia"/>
          <w:color w:val="231F20"/>
        </w:rPr>
        <w:t>1.六印（启6-7）</w:t>
      </w:r>
    </w:p>
    <w:p w14:paraId="4352D02D">
      <w:pPr>
        <w:pStyle w:val="9"/>
        <w:spacing w:before="17" w:line="249" w:lineRule="auto"/>
        <w:ind w:right="98" w:firstLine="450"/>
        <w:rPr>
          <w:rFonts w:hint="eastAsia"/>
          <w:color w:val="231F20"/>
        </w:rPr>
      </w:pPr>
    </w:p>
    <w:p w14:paraId="12FB139B">
      <w:pPr>
        <w:pStyle w:val="9"/>
        <w:spacing w:before="17" w:line="249" w:lineRule="auto"/>
        <w:ind w:right="98" w:firstLine="450"/>
        <w:rPr>
          <w:rFonts w:hint="eastAsia"/>
          <w:color w:val="231F20"/>
        </w:rPr>
      </w:pPr>
      <w:r>
        <w:rPr>
          <w:rFonts w:hint="eastAsia"/>
          <w:color w:val="231F20"/>
        </w:rPr>
        <w:t>Chapter six gives us Christ breaking six of the seven seals.</w:t>
      </w:r>
    </w:p>
    <w:p w14:paraId="2E61FBDD">
      <w:pPr>
        <w:pStyle w:val="9"/>
        <w:spacing w:before="17" w:line="249" w:lineRule="auto"/>
        <w:ind w:right="98" w:firstLine="450"/>
        <w:rPr>
          <w:rFonts w:hint="eastAsia"/>
          <w:color w:val="231F20"/>
        </w:rPr>
      </w:pPr>
      <w:r>
        <w:rPr>
          <w:rFonts w:hint="eastAsia"/>
          <w:color w:val="231F20"/>
        </w:rPr>
        <w:t>第六章给我们展示了基督揭开七印中的六印。</w:t>
      </w:r>
    </w:p>
    <w:p w14:paraId="7E2414EB">
      <w:pPr>
        <w:pStyle w:val="9"/>
        <w:spacing w:before="17" w:line="249" w:lineRule="auto"/>
        <w:ind w:right="98" w:firstLine="450"/>
        <w:rPr>
          <w:rFonts w:hint="eastAsia"/>
          <w:color w:val="231F20"/>
        </w:rPr>
      </w:pPr>
    </w:p>
    <w:p w14:paraId="7ED2B096">
      <w:pPr>
        <w:pStyle w:val="9"/>
        <w:spacing w:before="17" w:line="249" w:lineRule="auto"/>
        <w:ind w:right="98" w:firstLine="450"/>
        <w:rPr>
          <w:rFonts w:hint="eastAsia"/>
          <w:color w:val="231F20"/>
        </w:rPr>
      </w:pPr>
      <w:r>
        <w:rPr>
          <w:rFonts w:hint="eastAsia"/>
          <w:color w:val="231F20"/>
        </w:rPr>
        <w:t>As I will argue in a moment, chapter seven then gives us a preview of the glorified Church in the World to Come.</w:t>
      </w:r>
    </w:p>
    <w:p w14:paraId="10A5C681">
      <w:pPr>
        <w:pStyle w:val="9"/>
        <w:spacing w:before="17" w:line="249" w:lineRule="auto"/>
        <w:ind w:right="98" w:firstLine="450"/>
        <w:rPr>
          <w:rFonts w:hint="eastAsia"/>
          <w:color w:val="231F20"/>
        </w:rPr>
      </w:pPr>
      <w:r>
        <w:rPr>
          <w:rFonts w:hint="eastAsia"/>
          <w:color w:val="231F20"/>
        </w:rPr>
        <w:t>我稍后将论证，第七章接着为我们预告了在将来世界中得荣耀的教会。</w:t>
      </w:r>
    </w:p>
    <w:p w14:paraId="7CE09B69">
      <w:pPr>
        <w:pStyle w:val="9"/>
        <w:spacing w:before="17" w:line="249" w:lineRule="auto"/>
        <w:ind w:right="98" w:firstLine="450"/>
        <w:rPr>
          <w:rFonts w:hint="eastAsia"/>
          <w:color w:val="231F20"/>
        </w:rPr>
      </w:pPr>
    </w:p>
    <w:p w14:paraId="18DA3B6D">
      <w:pPr>
        <w:pStyle w:val="9"/>
        <w:spacing w:before="17" w:line="249" w:lineRule="auto"/>
        <w:ind w:right="98" w:firstLine="450"/>
        <w:rPr>
          <w:rFonts w:hint="eastAsia"/>
          <w:color w:val="231F20"/>
        </w:rPr>
      </w:pPr>
      <w:r>
        <w:rPr>
          <w:rFonts w:hint="eastAsia"/>
          <w:color w:val="231F20"/>
        </w:rPr>
        <w:t>If so, it means that chapter six should take us from the beginning of the Era of Proclamation to its end.</w:t>
      </w:r>
    </w:p>
    <w:p w14:paraId="63DC456B">
      <w:pPr>
        <w:pStyle w:val="9"/>
        <w:spacing w:before="17" w:line="249" w:lineRule="auto"/>
        <w:ind w:right="98" w:firstLine="450"/>
        <w:rPr>
          <w:rFonts w:hint="eastAsia"/>
          <w:color w:val="231F20"/>
        </w:rPr>
      </w:pPr>
      <w:r>
        <w:rPr>
          <w:rFonts w:hint="eastAsia"/>
          <w:color w:val="231F20"/>
        </w:rPr>
        <w:t>如果是这样，那就意味着第六章应该带我们从宣讲时代的开始直到其结束。</w:t>
      </w:r>
    </w:p>
    <w:p w14:paraId="35BDAA7A">
      <w:pPr>
        <w:pStyle w:val="9"/>
        <w:spacing w:before="17" w:line="249" w:lineRule="auto"/>
        <w:ind w:right="98" w:firstLine="450"/>
        <w:rPr>
          <w:rFonts w:hint="eastAsia"/>
          <w:color w:val="231F20"/>
        </w:rPr>
      </w:pPr>
    </w:p>
    <w:p w14:paraId="53B75509">
      <w:pPr>
        <w:pStyle w:val="9"/>
        <w:spacing w:before="17" w:line="249" w:lineRule="auto"/>
        <w:ind w:right="98" w:firstLine="450"/>
        <w:rPr>
          <w:rFonts w:hint="eastAsia"/>
          <w:color w:val="231F20"/>
        </w:rPr>
      </w:pPr>
      <w:r>
        <w:rPr>
          <w:rFonts w:hint="eastAsia"/>
          <w:color w:val="231F20"/>
        </w:rPr>
        <w:t>Let us now see if it does.</w:t>
      </w:r>
    </w:p>
    <w:p w14:paraId="187BF8F1">
      <w:pPr>
        <w:pStyle w:val="9"/>
        <w:spacing w:before="17" w:line="249" w:lineRule="auto"/>
        <w:ind w:right="98" w:firstLine="450"/>
        <w:rPr>
          <w:rFonts w:hint="eastAsia"/>
          <w:color w:val="231F20"/>
        </w:rPr>
      </w:pPr>
      <w:r>
        <w:rPr>
          <w:rFonts w:hint="eastAsia"/>
          <w:color w:val="231F20"/>
        </w:rPr>
        <w:t>现在让我们看看它是否如此。</w:t>
      </w:r>
    </w:p>
    <w:p w14:paraId="25346494">
      <w:pPr>
        <w:pStyle w:val="9"/>
        <w:spacing w:before="17" w:line="249" w:lineRule="auto"/>
        <w:ind w:right="98" w:firstLine="450"/>
        <w:rPr>
          <w:rFonts w:hint="eastAsia"/>
          <w:color w:val="231F20"/>
        </w:rPr>
      </w:pPr>
    </w:p>
    <w:p w14:paraId="40294013">
      <w:pPr>
        <w:pStyle w:val="9"/>
        <w:spacing w:before="17" w:line="249" w:lineRule="auto"/>
        <w:ind w:right="98" w:firstLine="450"/>
        <w:rPr>
          <w:rFonts w:hint="eastAsia"/>
          <w:color w:val="231F20"/>
        </w:rPr>
      </w:pPr>
      <w:r>
        <w:rPr>
          <w:rFonts w:hint="eastAsia"/>
          <w:color w:val="231F20"/>
        </w:rPr>
        <w:t>When Christ breaks the first seal, John beholds a rider upon a white horse.</w:t>
      </w:r>
    </w:p>
    <w:p w14:paraId="27CEC245">
      <w:pPr>
        <w:pStyle w:val="9"/>
        <w:spacing w:before="17" w:line="249" w:lineRule="auto"/>
        <w:ind w:right="98" w:firstLine="450"/>
        <w:rPr>
          <w:rFonts w:hint="eastAsia"/>
          <w:color w:val="231F20"/>
        </w:rPr>
      </w:pPr>
      <w:r>
        <w:rPr>
          <w:rFonts w:hint="eastAsia"/>
          <w:color w:val="231F20"/>
        </w:rPr>
        <w:t>当基督揭开第一印时，约翰看见一个骑白马的。</w:t>
      </w:r>
    </w:p>
    <w:p w14:paraId="53F7279A">
      <w:pPr>
        <w:pStyle w:val="9"/>
        <w:spacing w:before="17" w:line="249" w:lineRule="auto"/>
        <w:ind w:right="98" w:firstLine="450"/>
        <w:rPr>
          <w:rFonts w:hint="eastAsia"/>
          <w:color w:val="231F20"/>
        </w:rPr>
      </w:pPr>
    </w:p>
    <w:p w14:paraId="4F6A9142">
      <w:pPr>
        <w:pStyle w:val="9"/>
        <w:spacing w:before="17" w:line="249" w:lineRule="auto"/>
        <w:ind w:right="98" w:firstLine="450"/>
        <w:rPr>
          <w:rFonts w:hint="eastAsia"/>
          <w:color w:val="231F20"/>
        </w:rPr>
      </w:pPr>
      <w:r>
        <w:rPr>
          <w:rFonts w:hint="eastAsia"/>
          <w:color w:val="231F20"/>
        </w:rPr>
        <w:t>Both text and context confirm that this is Christ.</w:t>
      </w:r>
    </w:p>
    <w:p w14:paraId="3C38DE17">
      <w:pPr>
        <w:pStyle w:val="9"/>
        <w:spacing w:before="17" w:line="249" w:lineRule="auto"/>
        <w:ind w:right="98" w:firstLine="450"/>
        <w:rPr>
          <w:rFonts w:hint="eastAsia"/>
          <w:color w:val="231F20"/>
        </w:rPr>
      </w:pPr>
      <w:r>
        <w:rPr>
          <w:rFonts w:hint="eastAsia"/>
          <w:color w:val="231F20"/>
        </w:rPr>
        <w:t>经文和上下文都证实这就是基督。</w:t>
      </w:r>
    </w:p>
    <w:p w14:paraId="7A8D33EE">
      <w:pPr>
        <w:pStyle w:val="9"/>
        <w:spacing w:before="17" w:line="249" w:lineRule="auto"/>
        <w:ind w:right="98" w:firstLine="450"/>
        <w:rPr>
          <w:rFonts w:hint="eastAsia"/>
          <w:color w:val="231F20"/>
        </w:rPr>
      </w:pPr>
    </w:p>
    <w:p w14:paraId="621B6E0A">
      <w:pPr>
        <w:pStyle w:val="9"/>
        <w:spacing w:before="17" w:line="249" w:lineRule="auto"/>
        <w:ind w:right="98" w:firstLine="450"/>
        <w:rPr>
          <w:rFonts w:hint="eastAsia"/>
          <w:color w:val="231F20"/>
        </w:rPr>
      </w:pPr>
      <w:r>
        <w:rPr>
          <w:rFonts w:hint="eastAsia"/>
          <w:color w:val="231F20"/>
        </w:rPr>
        <w:t>The imagery is rooted in Psalm 45:3-5, a Messianic psalm.</w:t>
      </w:r>
    </w:p>
    <w:p w14:paraId="7A0FF7C4">
      <w:pPr>
        <w:pStyle w:val="9"/>
        <w:spacing w:before="17" w:line="249" w:lineRule="auto"/>
        <w:ind w:right="98" w:firstLine="450"/>
        <w:rPr>
          <w:rFonts w:hint="eastAsia"/>
          <w:color w:val="231F20"/>
        </w:rPr>
      </w:pPr>
      <w:r>
        <w:rPr>
          <w:rFonts w:hint="eastAsia"/>
          <w:color w:val="231F20"/>
        </w:rPr>
        <w:t>这个意象根植于诗篇45:3-5，一首弥赛亚诗篇。</w:t>
      </w:r>
    </w:p>
    <w:p w14:paraId="0C61EA90">
      <w:pPr>
        <w:pStyle w:val="9"/>
        <w:spacing w:before="17" w:line="249" w:lineRule="auto"/>
        <w:ind w:right="98" w:firstLine="450"/>
        <w:rPr>
          <w:rFonts w:hint="eastAsia"/>
          <w:color w:val="231F20"/>
        </w:rPr>
      </w:pPr>
    </w:p>
    <w:p w14:paraId="44116D95">
      <w:pPr>
        <w:pStyle w:val="9"/>
        <w:spacing w:before="17" w:line="249" w:lineRule="auto"/>
        <w:ind w:right="98" w:firstLine="450"/>
        <w:rPr>
          <w:rFonts w:hint="eastAsia"/>
          <w:color w:val="231F20"/>
        </w:rPr>
      </w:pPr>
      <w:r>
        <w:rPr>
          <w:rFonts w:hint="eastAsia"/>
          <w:color w:val="231F20"/>
        </w:rPr>
        <w:t>It is also nearly identical with Rev. 19:11, which clearly depicts the glorious Christ at his Parousia.</w:t>
      </w:r>
    </w:p>
    <w:p w14:paraId="1382EEAA">
      <w:pPr>
        <w:pStyle w:val="9"/>
        <w:spacing w:before="17" w:line="249" w:lineRule="auto"/>
        <w:ind w:right="98" w:firstLine="450"/>
        <w:rPr>
          <w:rFonts w:hint="eastAsia"/>
          <w:color w:val="231F20"/>
        </w:rPr>
      </w:pPr>
      <w:r>
        <w:rPr>
          <w:rFonts w:hint="eastAsia"/>
          <w:color w:val="231F20"/>
        </w:rPr>
        <w:t>它也与启示录19:11几乎相同，那里清楚地描绘了在祂主临（Parousia）时荣耀的基督。</w:t>
      </w:r>
    </w:p>
    <w:p w14:paraId="506F334D">
      <w:pPr>
        <w:pStyle w:val="9"/>
        <w:spacing w:before="17" w:line="249" w:lineRule="auto"/>
        <w:ind w:right="98" w:firstLine="450"/>
        <w:rPr>
          <w:rFonts w:hint="eastAsia"/>
          <w:color w:val="231F20"/>
        </w:rPr>
      </w:pPr>
    </w:p>
    <w:p w14:paraId="05AE480F">
      <w:pPr>
        <w:pStyle w:val="9"/>
        <w:spacing w:before="17" w:line="249" w:lineRule="auto"/>
        <w:ind w:right="98" w:firstLine="450"/>
        <w:rPr>
          <w:rFonts w:hint="eastAsia"/>
          <w:color w:val="231F20"/>
        </w:rPr>
      </w:pPr>
      <w:r>
        <w:rPr>
          <w:rFonts w:hint="eastAsia"/>
          <w:color w:val="231F20"/>
        </w:rPr>
        <w:t>The rider wears a crown: This is the High King of Heaven, who now holds all authority in heaven and on the earth (Mt. 28:18ff).</w:t>
      </w:r>
    </w:p>
    <w:p w14:paraId="36630E4F">
      <w:pPr>
        <w:pStyle w:val="9"/>
        <w:spacing w:before="17" w:line="249" w:lineRule="auto"/>
        <w:ind w:right="98" w:firstLine="450"/>
        <w:rPr>
          <w:rFonts w:hint="eastAsia"/>
          <w:color w:val="231F20"/>
        </w:rPr>
      </w:pPr>
      <w:r>
        <w:rPr>
          <w:rFonts w:hint="eastAsia"/>
          <w:color w:val="231F20"/>
        </w:rPr>
        <w:t>骑马的戴着冠冕：这是天上的至高君王，祂现在拥有天上地下所有的权柄（太28:18及以下）。</w:t>
      </w:r>
    </w:p>
    <w:p w14:paraId="506405CF">
      <w:pPr>
        <w:pStyle w:val="9"/>
        <w:spacing w:before="17" w:line="249" w:lineRule="auto"/>
        <w:ind w:right="98" w:firstLine="450"/>
        <w:rPr>
          <w:rFonts w:hint="eastAsia"/>
          <w:color w:val="231F20"/>
        </w:rPr>
      </w:pPr>
    </w:p>
    <w:p w14:paraId="2386EE2C">
      <w:pPr>
        <w:pStyle w:val="9"/>
        <w:spacing w:before="17" w:line="249" w:lineRule="auto"/>
        <w:ind w:right="98" w:firstLine="450"/>
        <w:rPr>
          <w:rFonts w:hint="eastAsia"/>
          <w:color w:val="231F20"/>
        </w:rPr>
      </w:pPr>
      <w:r>
        <w:rPr>
          <w:rFonts w:hint="eastAsia"/>
          <w:color w:val="231F20"/>
        </w:rPr>
        <w:t>He goes forth from heaven, conquering and to conquer.</w:t>
      </w:r>
    </w:p>
    <w:p w14:paraId="4EEC9755">
      <w:pPr>
        <w:pStyle w:val="9"/>
        <w:spacing w:before="17" w:line="249" w:lineRule="auto"/>
        <w:ind w:right="98" w:firstLine="450"/>
        <w:rPr>
          <w:rFonts w:hint="eastAsia"/>
          <w:color w:val="231F20"/>
        </w:rPr>
      </w:pPr>
      <w:r>
        <w:rPr>
          <w:rFonts w:hint="eastAsia"/>
          <w:color w:val="231F20"/>
        </w:rPr>
        <w:t>祂从天而出，胜了又要胜。</w:t>
      </w:r>
    </w:p>
    <w:p w14:paraId="009A5BD8">
      <w:pPr>
        <w:pStyle w:val="9"/>
        <w:spacing w:before="17" w:line="249" w:lineRule="auto"/>
        <w:ind w:right="98" w:firstLine="450"/>
        <w:rPr>
          <w:rFonts w:hint="eastAsia"/>
          <w:color w:val="231F20"/>
        </w:rPr>
      </w:pPr>
    </w:p>
    <w:p w14:paraId="43CFF8BF">
      <w:pPr>
        <w:pStyle w:val="9"/>
        <w:spacing w:before="17" w:line="249" w:lineRule="auto"/>
        <w:ind w:right="98" w:firstLine="450"/>
        <w:rPr>
          <w:rFonts w:hint="eastAsia"/>
          <w:color w:val="231F20"/>
        </w:rPr>
      </w:pPr>
      <w:r>
        <w:rPr>
          <w:rFonts w:hint="eastAsia"/>
          <w:color w:val="231F20"/>
        </w:rPr>
        <w:t>How?</w:t>
      </w:r>
    </w:p>
    <w:p w14:paraId="5515ED26">
      <w:pPr>
        <w:pStyle w:val="9"/>
        <w:spacing w:before="17" w:line="249" w:lineRule="auto"/>
        <w:ind w:right="98" w:firstLine="450"/>
        <w:rPr>
          <w:rFonts w:hint="eastAsia"/>
          <w:color w:val="231F20"/>
        </w:rPr>
      </w:pPr>
      <w:r>
        <w:rPr>
          <w:rFonts w:hint="eastAsia"/>
          <w:color w:val="231F20"/>
        </w:rPr>
        <w:t>如何做到？</w:t>
      </w:r>
    </w:p>
    <w:p w14:paraId="54E20BF3">
      <w:pPr>
        <w:pStyle w:val="9"/>
        <w:spacing w:before="17" w:line="249" w:lineRule="auto"/>
        <w:ind w:right="98" w:firstLine="450"/>
        <w:rPr>
          <w:rFonts w:hint="eastAsia"/>
          <w:color w:val="231F20"/>
        </w:rPr>
      </w:pPr>
    </w:p>
    <w:p w14:paraId="69F66446">
      <w:pPr>
        <w:pStyle w:val="9"/>
        <w:spacing w:before="17" w:line="249" w:lineRule="auto"/>
        <w:ind w:right="98" w:firstLine="450"/>
        <w:rPr>
          <w:rFonts w:hint="eastAsia"/>
          <w:color w:val="231F20"/>
        </w:rPr>
      </w:pPr>
      <w:r>
        <w:rPr>
          <w:rFonts w:hint="eastAsia"/>
          <w:color w:val="231F20"/>
        </w:rPr>
        <w:t>By the Spirit and through the Church, which proclaims a finished gospel that, in the case of God’s elect, releases Satan’s hold upon them, thereby shattering his evil kingdom (Mt. 12:29, John 12:31).</w:t>
      </w:r>
    </w:p>
    <w:p w14:paraId="736E65BC">
      <w:pPr>
        <w:pStyle w:val="9"/>
        <w:spacing w:before="17" w:line="249" w:lineRule="auto"/>
        <w:ind w:right="98" w:firstLine="450"/>
        <w:rPr>
          <w:rFonts w:hint="eastAsia"/>
          <w:color w:val="231F20"/>
        </w:rPr>
      </w:pPr>
      <w:r>
        <w:rPr>
          <w:rFonts w:hint="eastAsia"/>
          <w:color w:val="231F20"/>
        </w:rPr>
        <w:t>借着圣灵并通过教会，教会宣讲一个已完成的福音，对上帝的选民而言，这福音解除了撒但对他们的辖制，从而粉碎了他邪恶的国度（太12:29，约12:31）。</w:t>
      </w:r>
    </w:p>
    <w:p w14:paraId="44521BDD">
      <w:pPr>
        <w:pStyle w:val="9"/>
        <w:spacing w:before="17" w:line="249" w:lineRule="auto"/>
        <w:ind w:right="98" w:firstLine="450"/>
        <w:rPr>
          <w:rFonts w:hint="eastAsia"/>
          <w:color w:val="231F20"/>
        </w:rPr>
      </w:pPr>
    </w:p>
    <w:p w14:paraId="0B686B7B">
      <w:pPr>
        <w:pStyle w:val="9"/>
        <w:spacing w:before="17" w:line="249" w:lineRule="auto"/>
        <w:ind w:right="98" w:firstLine="450"/>
        <w:rPr>
          <w:rFonts w:hint="eastAsia"/>
          <w:color w:val="231F20"/>
        </w:rPr>
      </w:pPr>
      <w:r>
        <w:rPr>
          <w:rFonts w:hint="eastAsia"/>
          <w:color w:val="231F20"/>
        </w:rPr>
        <w:t>Historically, this verse began to be fulfilled at Pentecost, and has been being fulfilled ever since (Acts 2:1ff).</w:t>
      </w:r>
    </w:p>
    <w:p w14:paraId="2E7E2D14">
      <w:pPr>
        <w:pStyle w:val="9"/>
        <w:spacing w:before="17" w:line="249" w:lineRule="auto"/>
        <w:ind w:right="98" w:firstLine="450"/>
        <w:rPr>
          <w:rFonts w:hint="eastAsia"/>
          <w:color w:val="231F20"/>
        </w:rPr>
      </w:pPr>
      <w:r>
        <w:rPr>
          <w:rFonts w:hint="eastAsia"/>
          <w:color w:val="231F20"/>
        </w:rPr>
        <w:t>从历史上看，这节经文在五旬节开始应验，并且从那时起一直在应验（徒2:1及以下）。</w:t>
      </w:r>
    </w:p>
    <w:p w14:paraId="556607C5">
      <w:pPr>
        <w:pStyle w:val="9"/>
        <w:spacing w:before="17" w:line="249" w:lineRule="auto"/>
        <w:ind w:right="98" w:firstLine="450"/>
        <w:rPr>
          <w:rFonts w:hint="eastAsia"/>
          <w:color w:val="231F20"/>
        </w:rPr>
      </w:pPr>
    </w:p>
    <w:p w14:paraId="40FB663F">
      <w:pPr>
        <w:pStyle w:val="9"/>
        <w:spacing w:before="17" w:line="249" w:lineRule="auto"/>
        <w:ind w:right="98" w:firstLine="450"/>
        <w:rPr>
          <w:rFonts w:hint="eastAsia"/>
          <w:color w:val="231F20"/>
        </w:rPr>
      </w:pPr>
      <w:r>
        <w:rPr>
          <w:rFonts w:hint="eastAsia"/>
          <w:color w:val="231F20"/>
        </w:rPr>
        <w:t>To the very end, the High King will go forth from heaven—by the Spirit, through the Church, into the world— triumphantly gathering in his own (John 10:16, Titus 2:14).</w:t>
      </w:r>
    </w:p>
    <w:p w14:paraId="5104A4F4">
      <w:pPr>
        <w:pStyle w:val="9"/>
        <w:spacing w:before="17" w:line="249" w:lineRule="auto"/>
        <w:ind w:right="98" w:firstLine="450"/>
        <w:rPr>
          <w:rFonts w:hint="eastAsia"/>
          <w:color w:val="231F20"/>
        </w:rPr>
      </w:pPr>
      <w:r>
        <w:rPr>
          <w:rFonts w:hint="eastAsia"/>
          <w:color w:val="231F20"/>
        </w:rPr>
        <w:t>直到末了，至高君王都将从天而出——借着圣灵，通过教会，进入世界——胜利地聚集属祂自己的人（约翰福音10:16，提多书2:14）。</w:t>
      </w:r>
    </w:p>
    <w:p w14:paraId="2B01DC8F">
      <w:pPr>
        <w:pStyle w:val="9"/>
        <w:spacing w:before="17" w:line="249" w:lineRule="auto"/>
        <w:ind w:right="98" w:firstLine="450"/>
        <w:rPr>
          <w:rFonts w:hint="eastAsia"/>
          <w:color w:val="231F20"/>
        </w:rPr>
      </w:pPr>
    </w:p>
    <w:p w14:paraId="33C7C4EF">
      <w:pPr>
        <w:pStyle w:val="9"/>
        <w:spacing w:before="17" w:line="249" w:lineRule="auto"/>
        <w:ind w:right="98" w:firstLine="450"/>
        <w:rPr>
          <w:rFonts w:hint="eastAsia"/>
          <w:color w:val="231F20"/>
        </w:rPr>
      </w:pPr>
      <w:r>
        <w:rPr>
          <w:rFonts w:hint="eastAsia"/>
          <w:color w:val="231F20"/>
        </w:rPr>
        <w:t>We see, then, that the first seal does indeed correspond to the beginning the Era of Proclamation.</w:t>
      </w:r>
    </w:p>
    <w:p w14:paraId="77E5C601">
      <w:pPr>
        <w:pStyle w:val="9"/>
        <w:spacing w:before="17" w:line="249" w:lineRule="auto"/>
        <w:ind w:right="98" w:firstLine="450"/>
        <w:rPr>
          <w:rFonts w:hint="eastAsia"/>
          <w:color w:val="231F20"/>
        </w:rPr>
      </w:pPr>
      <w:r>
        <w:rPr>
          <w:rFonts w:hint="eastAsia"/>
          <w:color w:val="231F20"/>
        </w:rPr>
        <w:t>因此，我们看到，第一印确实对应于宣讲时代的开始。</w:t>
      </w:r>
    </w:p>
    <w:p w14:paraId="4B3AA00F">
      <w:pPr>
        <w:pStyle w:val="9"/>
        <w:spacing w:before="17" w:line="249" w:lineRule="auto"/>
        <w:ind w:right="98" w:firstLine="450"/>
        <w:rPr>
          <w:rFonts w:hint="eastAsia"/>
          <w:color w:val="231F20"/>
        </w:rPr>
      </w:pPr>
    </w:p>
    <w:p w14:paraId="09F97A87">
      <w:pPr>
        <w:pStyle w:val="9"/>
        <w:spacing w:before="17" w:line="249" w:lineRule="auto"/>
        <w:ind w:right="98" w:firstLine="450"/>
        <w:rPr>
          <w:rFonts w:hint="eastAsia"/>
          <w:color w:val="231F20"/>
        </w:rPr>
      </w:pPr>
      <w:r>
        <w:rPr>
          <w:rFonts w:hint="eastAsia"/>
          <w:color w:val="231F20"/>
        </w:rPr>
        <w:t>The next four seals may be briefly summarized.</w:t>
      </w:r>
    </w:p>
    <w:p w14:paraId="556BCF85">
      <w:pPr>
        <w:pStyle w:val="9"/>
        <w:spacing w:before="17" w:line="249" w:lineRule="auto"/>
        <w:ind w:right="98" w:firstLine="450"/>
        <w:rPr>
          <w:rFonts w:hint="eastAsia"/>
          <w:color w:val="231F20"/>
        </w:rPr>
      </w:pPr>
      <w:r>
        <w:rPr>
          <w:rFonts w:hint="eastAsia"/>
          <w:color w:val="231F20"/>
        </w:rPr>
        <w:t>接下来的四印可以简要概括。</w:t>
      </w:r>
    </w:p>
    <w:p w14:paraId="393C4A29">
      <w:pPr>
        <w:pStyle w:val="9"/>
        <w:spacing w:before="17" w:line="249" w:lineRule="auto"/>
        <w:ind w:right="98" w:firstLine="450"/>
        <w:rPr>
          <w:rFonts w:hint="eastAsia"/>
          <w:color w:val="231F20"/>
        </w:rPr>
      </w:pPr>
    </w:p>
    <w:p w14:paraId="1B7D52BD">
      <w:pPr>
        <w:pStyle w:val="9"/>
        <w:spacing w:before="17" w:line="249" w:lineRule="auto"/>
        <w:ind w:right="98" w:firstLine="450"/>
        <w:rPr>
          <w:rFonts w:hint="eastAsia"/>
          <w:color w:val="231F20"/>
        </w:rPr>
      </w:pPr>
      <w:r>
        <w:rPr>
          <w:rFonts w:hint="eastAsia"/>
          <w:color w:val="231F20"/>
        </w:rPr>
        <w:t>Importantly, they follow the opening of the first, showing that they represent the consequences of Christ’s going forth into the world with the Gospel.</w:t>
      </w:r>
    </w:p>
    <w:p w14:paraId="7B617050">
      <w:pPr>
        <w:pStyle w:val="9"/>
        <w:spacing w:before="17" w:line="249" w:lineRule="auto"/>
        <w:ind w:right="98" w:firstLine="450"/>
        <w:rPr>
          <w:rFonts w:hint="eastAsia"/>
          <w:color w:val="231F20"/>
        </w:rPr>
      </w:pPr>
      <w:r>
        <w:rPr>
          <w:rFonts w:hint="eastAsia"/>
          <w:color w:val="231F20"/>
        </w:rPr>
        <w:t>重要的是，它们跟随在第一印揭开之后，表明它们代表了基督带着福音进入世界所带来的后果。</w:t>
      </w:r>
    </w:p>
    <w:p w14:paraId="2AC3D29E">
      <w:pPr>
        <w:pStyle w:val="9"/>
        <w:spacing w:before="17" w:line="249" w:lineRule="auto"/>
        <w:ind w:right="98" w:firstLine="450"/>
        <w:rPr>
          <w:rFonts w:hint="eastAsia"/>
          <w:color w:val="231F20"/>
        </w:rPr>
      </w:pPr>
    </w:p>
    <w:p w14:paraId="2D2308E9">
      <w:pPr>
        <w:pStyle w:val="9"/>
        <w:spacing w:before="17" w:line="249" w:lineRule="auto"/>
        <w:ind w:right="98" w:firstLine="450"/>
        <w:rPr>
          <w:rFonts w:hint="eastAsia"/>
          <w:color w:val="231F20"/>
        </w:rPr>
      </w:pPr>
      <w:r>
        <w:rPr>
          <w:rFonts w:hint="eastAsia"/>
          <w:color w:val="231F20"/>
        </w:rPr>
        <w:t>The second seal therefore speaks of “war”—not war generically, but war against the saints; persecution for the sake of the Gospel (6:3-4; Mt. 10:34, Mk. 10:30, John 15:20, 2 Tim. 3:12).</w:t>
      </w:r>
    </w:p>
    <w:p w14:paraId="076E4D2F">
      <w:pPr>
        <w:pStyle w:val="9"/>
        <w:spacing w:before="17" w:line="249" w:lineRule="auto"/>
        <w:ind w:right="98" w:firstLine="450"/>
        <w:rPr>
          <w:rFonts w:hint="eastAsia"/>
          <w:color w:val="231F20"/>
        </w:rPr>
      </w:pPr>
      <w:r>
        <w:rPr>
          <w:rFonts w:hint="eastAsia"/>
          <w:color w:val="231F20"/>
        </w:rPr>
        <w:t>因此，第二印讲的是“战争”——不是泛指战争，而是针对圣徒的战争；为福音的缘故而受的迫害（6:3-4；太10:34，可10:30，约15:20，提后3:12）。</w:t>
      </w:r>
    </w:p>
    <w:p w14:paraId="05BADE61">
      <w:pPr>
        <w:pStyle w:val="9"/>
        <w:spacing w:before="17" w:line="249" w:lineRule="auto"/>
        <w:ind w:right="98" w:firstLine="450"/>
        <w:rPr>
          <w:rFonts w:hint="eastAsia"/>
          <w:color w:val="231F20"/>
        </w:rPr>
      </w:pPr>
    </w:p>
    <w:p w14:paraId="00D88935">
      <w:pPr>
        <w:pStyle w:val="9"/>
        <w:spacing w:before="17" w:line="249" w:lineRule="auto"/>
        <w:ind w:right="98" w:firstLine="450"/>
        <w:rPr>
          <w:rFonts w:hint="eastAsia"/>
          <w:color w:val="231F20"/>
        </w:rPr>
      </w:pPr>
      <w:r>
        <w:rPr>
          <w:rFonts w:hint="eastAsia"/>
          <w:color w:val="231F20"/>
        </w:rPr>
        <w:t>The third speaks of the penury of believers forced to live at the margins of society, even as their persecutors enjoy the oil and wine of worldly wealth (6:5-6; 13:17; Heb. 10:34).</w:t>
      </w:r>
    </w:p>
    <w:p w14:paraId="762AB436">
      <w:pPr>
        <w:pStyle w:val="9"/>
        <w:spacing w:before="17" w:line="249" w:lineRule="auto"/>
        <w:ind w:right="98" w:firstLine="450"/>
        <w:rPr>
          <w:rFonts w:hint="eastAsia"/>
          <w:color w:val="231F20"/>
        </w:rPr>
      </w:pPr>
      <w:r>
        <w:rPr>
          <w:rFonts w:hint="eastAsia"/>
          <w:color w:val="231F20"/>
        </w:rPr>
        <w:t>第三印讲的是信徒的贫困，他们被迫生活在社会边缘，而他们的迫害者却享受着世俗财富的油和酒（6:5-6；13:17；来10:34）。</w:t>
      </w:r>
    </w:p>
    <w:p w14:paraId="0D389057">
      <w:pPr>
        <w:pStyle w:val="9"/>
        <w:spacing w:before="17" w:line="249" w:lineRule="auto"/>
        <w:ind w:right="98" w:firstLine="450"/>
        <w:rPr>
          <w:rFonts w:hint="eastAsia"/>
          <w:color w:val="231F20"/>
        </w:rPr>
      </w:pPr>
    </w:p>
    <w:p w14:paraId="378451C2">
      <w:pPr>
        <w:pStyle w:val="9"/>
        <w:spacing w:before="17" w:line="249" w:lineRule="auto"/>
        <w:ind w:right="98" w:firstLine="450"/>
        <w:rPr>
          <w:rFonts w:hint="eastAsia"/>
          <w:color w:val="231F20"/>
        </w:rPr>
      </w:pPr>
      <w:r>
        <w:rPr>
          <w:rFonts w:hint="eastAsia"/>
          <w:color w:val="231F20"/>
        </w:rPr>
        <w:t>The fourth, cast in OT imagery, speaks of the whole spectrum of judgments that will befall sinners (and especially persecutors) throughout the Church Era; judgments that will indeed impact believers with a view to their sanctification, but will never engulf them, as they will the enemies of God (6:7-8; Ezek. 14:21, Mt. 24:6-8, Rom. 8:28).</w:t>
      </w:r>
    </w:p>
    <w:p w14:paraId="35B34584">
      <w:pPr>
        <w:pStyle w:val="9"/>
        <w:spacing w:before="17" w:line="249" w:lineRule="auto"/>
        <w:ind w:right="98" w:firstLine="450"/>
        <w:rPr>
          <w:rFonts w:hint="eastAsia"/>
          <w:color w:val="231F20"/>
        </w:rPr>
      </w:pPr>
      <w:r>
        <w:rPr>
          <w:rFonts w:hint="eastAsia"/>
          <w:color w:val="231F20"/>
        </w:rPr>
        <w:t>第四印，以旧约意象描绘，讲述了在整个教会时代将临到罪人（尤其是迫害者）身上的全方位审判；这些审判确实会为了使信徒成圣而影响他们，但绝不会像吞噬上帝的仇敌那样吞噬他们（6:7-8；结14:21，太24:6-8，罗8:28）。</w:t>
      </w:r>
    </w:p>
    <w:p w14:paraId="4525D3F5">
      <w:pPr>
        <w:pStyle w:val="9"/>
        <w:spacing w:before="17" w:line="249" w:lineRule="auto"/>
        <w:ind w:right="98" w:firstLine="450"/>
        <w:rPr>
          <w:rFonts w:hint="eastAsia"/>
          <w:color w:val="231F20"/>
        </w:rPr>
      </w:pPr>
    </w:p>
    <w:p w14:paraId="0C45184A">
      <w:pPr>
        <w:pStyle w:val="9"/>
        <w:spacing w:before="17" w:line="249" w:lineRule="auto"/>
        <w:ind w:right="98" w:firstLine="450"/>
        <w:rPr>
          <w:rFonts w:hint="eastAsia"/>
          <w:color w:val="231F20"/>
        </w:rPr>
      </w:pPr>
      <w:r>
        <w:rPr>
          <w:rFonts w:hint="eastAsia"/>
          <w:color w:val="231F20"/>
        </w:rPr>
        <w:t>Finally, the fifth seal warns of the inevitability of Christian martyrdom, even as it comforts the whole Church with assurances of final justice and public vindication at Christ’s return (6:9-11; Luke 21:16-18, 2 Thess. 1:3- 10).</w:t>
      </w:r>
    </w:p>
    <w:p w14:paraId="269FAFA5">
      <w:pPr>
        <w:pStyle w:val="9"/>
        <w:spacing w:before="17" w:line="249" w:lineRule="auto"/>
        <w:ind w:right="98" w:firstLine="450"/>
        <w:rPr>
          <w:rFonts w:hint="eastAsia"/>
          <w:color w:val="231F20"/>
        </w:rPr>
      </w:pPr>
      <w:r>
        <w:rPr>
          <w:rFonts w:hint="eastAsia"/>
          <w:color w:val="231F20"/>
        </w:rPr>
        <w:t>最后，第五印警告了基督徒殉道的不可避免性，同时也用基督再来时最终正义和公开平反的保证来安慰整个教会（6:9-11；路21:16-18，帖后1:3-10）。</w:t>
      </w:r>
    </w:p>
    <w:p w14:paraId="60611300">
      <w:pPr>
        <w:pStyle w:val="9"/>
        <w:spacing w:before="17" w:line="249" w:lineRule="auto"/>
        <w:ind w:right="98" w:firstLine="450"/>
        <w:rPr>
          <w:rFonts w:hint="eastAsia"/>
          <w:color w:val="231F20"/>
        </w:rPr>
      </w:pPr>
    </w:p>
    <w:p w14:paraId="683C5EF6">
      <w:pPr>
        <w:pStyle w:val="9"/>
        <w:spacing w:before="17" w:line="249" w:lineRule="auto"/>
        <w:ind w:right="98" w:firstLine="450"/>
        <w:rPr>
          <w:rFonts w:hint="eastAsia"/>
          <w:color w:val="231F20"/>
        </w:rPr>
      </w:pPr>
      <w:r>
        <w:rPr>
          <w:rFonts w:hint="eastAsia"/>
          <w:color w:val="231F20"/>
        </w:rPr>
        <w:t>Its position near the end of chapter 6 hints at what later visions will make explicit: persecution and martyrdom will greatly increase at the end of the age (11:7-10, 16:12f).</w:t>
      </w:r>
    </w:p>
    <w:p w14:paraId="2BEE0A27">
      <w:pPr>
        <w:pStyle w:val="9"/>
        <w:spacing w:before="17" w:line="249" w:lineRule="auto"/>
        <w:ind w:right="98" w:firstLine="450"/>
        <w:rPr>
          <w:rFonts w:hint="eastAsia"/>
          <w:color w:val="231F20"/>
        </w:rPr>
      </w:pPr>
      <w:r>
        <w:rPr>
          <w:rFonts w:hint="eastAsia"/>
          <w:color w:val="231F20"/>
        </w:rPr>
        <w:t>它在第6章末尾的位置暗示了后来异象将明确说明的事情：在世代的末了，迫害和殉道将大大增加（11:7-10，16:12及以下）。</w:t>
      </w:r>
    </w:p>
    <w:p w14:paraId="4E7C6491">
      <w:pPr>
        <w:pStyle w:val="9"/>
        <w:spacing w:before="17" w:line="249" w:lineRule="auto"/>
        <w:ind w:right="98" w:firstLine="450"/>
        <w:rPr>
          <w:rFonts w:hint="eastAsia"/>
          <w:color w:val="231F20"/>
        </w:rPr>
      </w:pPr>
    </w:p>
    <w:p w14:paraId="2D791C33">
      <w:pPr>
        <w:pStyle w:val="9"/>
        <w:spacing w:before="17" w:line="249" w:lineRule="auto"/>
        <w:ind w:right="98" w:firstLine="450"/>
        <w:rPr>
          <w:rFonts w:hint="eastAsia"/>
          <w:color w:val="231F20"/>
        </w:rPr>
      </w:pPr>
      <w:r>
        <w:rPr>
          <w:rFonts w:hint="eastAsia"/>
          <w:color w:val="231F20"/>
        </w:rPr>
        <w:t>This brings us to the sixth seal, and to what is manifestly a description of the Consummation at the Parousia of Christ (6:12-17).</w:t>
      </w:r>
    </w:p>
    <w:p w14:paraId="4D120F47">
      <w:pPr>
        <w:pStyle w:val="9"/>
        <w:spacing w:before="17" w:line="249" w:lineRule="auto"/>
        <w:ind w:right="98" w:firstLine="450"/>
        <w:rPr>
          <w:rFonts w:hint="eastAsia"/>
          <w:color w:val="231F20"/>
        </w:rPr>
      </w:pPr>
      <w:r>
        <w:rPr>
          <w:rFonts w:hint="eastAsia"/>
          <w:color w:val="231F20"/>
        </w:rPr>
        <w:t>这就把我们带到了第六印，以及对基督主临（Parousia）时最终成全的明显描述（6:12-17）。</w:t>
      </w:r>
    </w:p>
    <w:p w14:paraId="7AB4EFCF">
      <w:pPr>
        <w:pStyle w:val="9"/>
        <w:spacing w:before="17" w:line="249" w:lineRule="auto"/>
        <w:ind w:right="98" w:firstLine="450"/>
        <w:rPr>
          <w:rFonts w:hint="eastAsia"/>
          <w:color w:val="231F20"/>
        </w:rPr>
      </w:pPr>
    </w:p>
    <w:p w14:paraId="60F70041">
      <w:pPr>
        <w:pStyle w:val="9"/>
        <w:spacing w:before="17" w:line="249" w:lineRule="auto"/>
        <w:ind w:right="98" w:firstLine="450"/>
        <w:rPr>
          <w:rFonts w:hint="eastAsia"/>
          <w:color w:val="231F20"/>
        </w:rPr>
      </w:pPr>
      <w:r>
        <w:rPr>
          <w:rFonts w:hint="eastAsia"/>
          <w:color w:val="231F20"/>
        </w:rPr>
        <w:t>Importantly, the accent here falls on the judgment and misery of the wicked, while in chapter 7 it falls upon the reward and blessedness of the saints.</w:t>
      </w:r>
    </w:p>
    <w:p w14:paraId="43E62057">
      <w:pPr>
        <w:pStyle w:val="9"/>
        <w:spacing w:before="17" w:line="249" w:lineRule="auto"/>
        <w:ind w:right="98" w:firstLine="450"/>
        <w:rPr>
          <w:rFonts w:hint="eastAsia"/>
          <w:color w:val="231F20"/>
        </w:rPr>
      </w:pPr>
      <w:r>
        <w:rPr>
          <w:rFonts w:hint="eastAsia"/>
          <w:color w:val="231F20"/>
        </w:rPr>
        <w:t>重要的是，这里的重点落在恶人的审判和苦难上，而在第七章则落在圣徒的赏赐和福乐上。</w:t>
      </w:r>
    </w:p>
    <w:p w14:paraId="1948FD54">
      <w:pPr>
        <w:pStyle w:val="9"/>
        <w:spacing w:before="17" w:line="249" w:lineRule="auto"/>
        <w:ind w:right="98" w:firstLine="450"/>
        <w:rPr>
          <w:rFonts w:hint="eastAsia"/>
          <w:color w:val="231F20"/>
        </w:rPr>
      </w:pPr>
    </w:p>
    <w:p w14:paraId="43F3424D">
      <w:pPr>
        <w:pStyle w:val="9"/>
        <w:spacing w:before="17" w:line="249" w:lineRule="auto"/>
        <w:ind w:right="98" w:firstLine="450"/>
        <w:rPr>
          <w:rFonts w:hint="eastAsia"/>
          <w:color w:val="231F20"/>
        </w:rPr>
      </w:pPr>
      <w:r>
        <w:rPr>
          <w:rFonts w:hint="eastAsia"/>
          <w:color w:val="231F20"/>
        </w:rPr>
        <w:t>Drawing upon a wide array of OT prophecies of the Day of the LORD—and also reminding us of Christ’s own climactic promise in the Olivet Discourse— the Spirit here depicts the break-up of the physical cosmos (6:12-14), along with the terror that sinners will experience as they behold Christ appearing in the heavens in power, glory, and great wrath to judge the world in righteousness (6:15-17; Mt. 24:29-31).</w:t>
      </w:r>
    </w:p>
    <w:p w14:paraId="17D77453">
      <w:pPr>
        <w:pStyle w:val="9"/>
        <w:spacing w:before="17" w:line="249" w:lineRule="auto"/>
        <w:ind w:right="98" w:firstLine="450"/>
        <w:rPr>
          <w:rFonts w:hint="eastAsia"/>
          <w:color w:val="231F20"/>
        </w:rPr>
      </w:pPr>
      <w:r>
        <w:rPr>
          <w:rFonts w:hint="eastAsia"/>
          <w:color w:val="231F20"/>
        </w:rPr>
        <w:t>圣灵在这里借鉴了大量关于耶和华的日子的旧约预言——同时也提醒我们基督自己在橄榄山论述中的高潮应许——描绘了物质宇宙的瓦解（6:12-14），以及罪人看到基督带着能力、荣耀和极大的忿怒在天上显现，要按公义审判世界时所经历的恐惧（6:15-17；太24:29-31）。</w:t>
      </w:r>
    </w:p>
    <w:p w14:paraId="7609E425">
      <w:pPr>
        <w:pStyle w:val="9"/>
        <w:spacing w:before="17" w:line="249" w:lineRule="auto"/>
        <w:ind w:right="98" w:firstLine="450"/>
        <w:rPr>
          <w:rFonts w:hint="eastAsia"/>
          <w:color w:val="231F20"/>
        </w:rPr>
      </w:pPr>
    </w:p>
    <w:p w14:paraId="08D53DEB">
      <w:pPr>
        <w:pStyle w:val="9"/>
        <w:spacing w:before="17" w:line="249" w:lineRule="auto"/>
        <w:ind w:right="98" w:firstLine="450"/>
        <w:rPr>
          <w:rFonts w:hint="eastAsia"/>
          <w:color w:val="231F20"/>
        </w:rPr>
      </w:pPr>
      <w:r>
        <w:rPr>
          <w:rFonts w:hint="eastAsia"/>
          <w:color w:val="231F20"/>
        </w:rPr>
        <w:t>This is indeed the end of the present evil age, which means that Revelation 6 does indeed traverse the entire Era of Proclamation, from Christ’s Session to his Parousia.</w:t>
      </w:r>
    </w:p>
    <w:p w14:paraId="119F75FC">
      <w:pPr>
        <w:pStyle w:val="9"/>
        <w:spacing w:before="17" w:line="249" w:lineRule="auto"/>
        <w:ind w:right="98" w:firstLine="450"/>
        <w:rPr>
          <w:rFonts w:hint="eastAsia"/>
          <w:color w:val="231F20"/>
        </w:rPr>
      </w:pPr>
      <w:r>
        <w:rPr>
          <w:rFonts w:hint="eastAsia"/>
          <w:color w:val="231F20"/>
        </w:rPr>
        <w:t>这确实是现今邪恶世代的终结，这意味着《启示录》第6章确实跨越了整个宣讲时代，从基督升天坐席到祂的主临（Parousia）。</w:t>
      </w:r>
    </w:p>
    <w:p w14:paraId="1667D037">
      <w:pPr>
        <w:pStyle w:val="9"/>
        <w:spacing w:before="17" w:line="249" w:lineRule="auto"/>
        <w:ind w:right="98" w:firstLine="450"/>
        <w:rPr>
          <w:rFonts w:hint="eastAsia"/>
          <w:color w:val="231F20"/>
        </w:rPr>
      </w:pPr>
    </w:p>
    <w:p w14:paraId="5705EB38">
      <w:pPr>
        <w:pStyle w:val="9"/>
        <w:spacing w:before="17" w:line="249" w:lineRule="auto"/>
        <w:ind w:right="98" w:firstLine="450"/>
        <w:rPr>
          <w:rFonts w:hint="eastAsia"/>
          <w:color w:val="231F20"/>
        </w:rPr>
      </w:pPr>
      <w:r>
        <w:rPr>
          <w:rFonts w:hint="eastAsia"/>
          <w:color w:val="231F20"/>
        </w:rPr>
        <w:t>At first glance, Revelation 7 seems to do the same.</w:t>
      </w:r>
    </w:p>
    <w:p w14:paraId="24AC8431">
      <w:pPr>
        <w:pStyle w:val="9"/>
        <w:spacing w:before="17" w:line="249" w:lineRule="auto"/>
        <w:ind w:right="98" w:firstLine="450"/>
        <w:rPr>
          <w:rFonts w:hint="eastAsia"/>
          <w:color w:val="231F20"/>
        </w:rPr>
      </w:pPr>
      <w:r>
        <w:rPr>
          <w:rFonts w:hint="eastAsia"/>
          <w:color w:val="231F20"/>
        </w:rPr>
        <w:t>乍一看，《启示录》第7章似乎也是如此。</w:t>
      </w:r>
    </w:p>
    <w:p w14:paraId="56B7567B">
      <w:pPr>
        <w:pStyle w:val="9"/>
        <w:spacing w:before="17" w:line="249" w:lineRule="auto"/>
        <w:ind w:right="98" w:firstLine="450"/>
        <w:rPr>
          <w:rFonts w:hint="eastAsia"/>
          <w:color w:val="231F20"/>
        </w:rPr>
      </w:pPr>
    </w:p>
    <w:p w14:paraId="18E69C2E">
      <w:pPr>
        <w:pStyle w:val="9"/>
        <w:spacing w:before="17" w:line="249" w:lineRule="auto"/>
        <w:ind w:right="98" w:firstLine="450"/>
        <w:rPr>
          <w:rFonts w:hint="eastAsia"/>
          <w:color w:val="231F20"/>
        </w:rPr>
      </w:pPr>
      <w:r>
        <w:rPr>
          <w:rFonts w:hint="eastAsia"/>
          <w:color w:val="231F20"/>
        </w:rPr>
        <w:t>In verses 1-3, we learn of a divine decree: God will not release the four winds of final (universal) judgment until all his elect children are sealed; until, by the inward work of the Spirit, they are all marked for divine ownership and protection (Rev. 14:1; 2 Cor. 1:22, Eph. 1:13; John 17:6, 11, 2 Peter 3:9, 1 John 3:1).</w:t>
      </w:r>
    </w:p>
    <w:p w14:paraId="77F87D11">
      <w:pPr>
        <w:pStyle w:val="9"/>
        <w:spacing w:before="17" w:line="249" w:lineRule="auto"/>
        <w:ind w:right="98" w:firstLine="450"/>
        <w:rPr>
          <w:rFonts w:hint="eastAsia"/>
          <w:color w:val="231F20"/>
        </w:rPr>
      </w:pPr>
      <w:r>
        <w:rPr>
          <w:rFonts w:hint="eastAsia"/>
          <w:color w:val="231F20"/>
        </w:rPr>
        <w:t>在第1-3节中，我们得知一个神圣的谕令：上帝不会释放最后（普世性）审判的四风，直到祂所有的选民都受了印记；直到借着圣灵内在的工作，他们都被标记为属神的产业和保护对象（启14:1；林后1:22，弗1:13；约17:6, 11, 彼后3:9，约一3:1）。</w:t>
      </w:r>
    </w:p>
    <w:p w14:paraId="2F9293A9">
      <w:pPr>
        <w:pStyle w:val="9"/>
        <w:spacing w:before="17" w:line="249" w:lineRule="auto"/>
        <w:ind w:right="98" w:firstLine="450"/>
        <w:rPr>
          <w:rFonts w:hint="eastAsia"/>
          <w:color w:val="231F20"/>
        </w:rPr>
      </w:pPr>
    </w:p>
    <w:p w14:paraId="7DF00550">
      <w:pPr>
        <w:pStyle w:val="9"/>
        <w:spacing w:before="17" w:line="249" w:lineRule="auto"/>
        <w:ind w:right="98" w:firstLine="450"/>
        <w:rPr>
          <w:rFonts w:hint="eastAsia"/>
          <w:color w:val="231F20"/>
        </w:rPr>
      </w:pPr>
      <w:r>
        <w:rPr>
          <w:rFonts w:hint="eastAsia"/>
          <w:color w:val="231F20"/>
        </w:rPr>
        <w:t>Verses 4-8 then use OT imagery to depict this sealing, to signify the ingathering of the entire “Israel of God,” both OT saints and New (Gal. 6:16).</w:t>
      </w:r>
    </w:p>
    <w:p w14:paraId="7EF9FEBE">
      <w:pPr>
        <w:pStyle w:val="9"/>
        <w:spacing w:before="17" w:line="249" w:lineRule="auto"/>
        <w:ind w:right="98" w:firstLine="450"/>
        <w:rPr>
          <w:rFonts w:hint="eastAsia"/>
          <w:color w:val="231F20"/>
        </w:rPr>
      </w:pPr>
      <w:r>
        <w:rPr>
          <w:rFonts w:hint="eastAsia"/>
          <w:color w:val="231F20"/>
        </w:rPr>
        <w:t>然后第4-8节使用旧约意象来描绘这个盖印的过程，以表示整个“上帝的以色列”，包括旧约和新约的圣徒，都被招聚（加6:16）。</w:t>
      </w:r>
    </w:p>
    <w:p w14:paraId="1371BCC2">
      <w:pPr>
        <w:pStyle w:val="9"/>
        <w:spacing w:before="17" w:line="249" w:lineRule="auto"/>
        <w:ind w:right="98" w:firstLine="450"/>
        <w:rPr>
          <w:rFonts w:hint="eastAsia"/>
          <w:color w:val="231F20"/>
        </w:rPr>
      </w:pPr>
    </w:p>
    <w:p w14:paraId="56B87029">
      <w:pPr>
        <w:pStyle w:val="9"/>
        <w:spacing w:before="17" w:line="249" w:lineRule="auto"/>
        <w:ind w:right="98" w:firstLine="450"/>
        <w:rPr>
          <w:rFonts w:hint="eastAsia"/>
          <w:color w:val="231F20"/>
        </w:rPr>
      </w:pPr>
      <w:r>
        <w:rPr>
          <w:rFonts w:hint="eastAsia"/>
          <w:color w:val="231F20"/>
        </w:rPr>
        <w:t>This interpretation is indicated by the rich numeric symbolism involved: 12 (standing for the OT saints, who were represented by the patriarchs) x12 (standing for the NT saints, who were represented by the apostles) x1000 (standing for magnitude and divine completeness) = 144,000 (standing for the great, divinely completed multitude of Old and New Testament saints).</w:t>
      </w:r>
    </w:p>
    <w:p w14:paraId="2DF45C8A">
      <w:pPr>
        <w:pStyle w:val="9"/>
        <w:spacing w:before="17" w:line="249" w:lineRule="auto"/>
        <w:ind w:right="98" w:firstLine="450"/>
        <w:rPr>
          <w:rFonts w:hint="eastAsia"/>
          <w:color w:val="231F20"/>
        </w:rPr>
      </w:pPr>
      <w:r>
        <w:rPr>
          <w:rFonts w:hint="eastAsia"/>
          <w:color w:val="231F20"/>
        </w:rPr>
        <w:t>这一解释由其中丰富的数字象征所表明：12（代表旧约圣徒，由众族长代表）x 12（代表新约圣徒，由众使徒代表）x 1000（代表数量巨大和神圣的完全）= 144,000（代表旧约和新约圣徒那伟大的、被神圣地成全了的群众）。</w:t>
      </w:r>
    </w:p>
    <w:p w14:paraId="2C069A2D">
      <w:pPr>
        <w:pStyle w:val="9"/>
        <w:spacing w:before="17" w:line="249" w:lineRule="auto"/>
        <w:ind w:right="98" w:firstLine="450"/>
        <w:rPr>
          <w:rFonts w:hint="eastAsia"/>
          <w:color w:val="231F20"/>
        </w:rPr>
      </w:pPr>
    </w:p>
    <w:p w14:paraId="0B712DF5">
      <w:pPr>
        <w:pStyle w:val="9"/>
        <w:spacing w:before="17" w:line="249" w:lineRule="auto"/>
        <w:ind w:right="98" w:firstLine="450"/>
        <w:rPr>
          <w:rFonts w:hint="eastAsia"/>
          <w:color w:val="231F20"/>
        </w:rPr>
      </w:pPr>
      <w:r>
        <w:rPr>
          <w:rFonts w:hint="eastAsia"/>
          <w:color w:val="231F20"/>
        </w:rPr>
        <w:t>Verses 9-17 go on to confirm this interpretation, for again they speak of “the 144,000,” this time identifying them for what they really are: a numberless multitude (as many as the stars in the sky for abundance), divinely rescued from “the great tribulation” (i.e., from the trials and persecutions that have befallen the saints of God throughout all Salvation History, from the Fall to the Parousia), and now gladly worshiping God and Christ before the throne (7:9), upon Mt. Zion (14:1), and in the Temple (7:15).</w:t>
      </w:r>
    </w:p>
    <w:p w14:paraId="2AE990B0">
      <w:pPr>
        <w:pStyle w:val="9"/>
        <w:spacing w:before="17" w:line="249" w:lineRule="auto"/>
        <w:ind w:right="98" w:firstLine="450"/>
        <w:rPr>
          <w:rFonts w:hint="eastAsia"/>
          <w:color w:val="231F20"/>
        </w:rPr>
      </w:pPr>
      <w:r>
        <w:rPr>
          <w:rFonts w:hint="eastAsia"/>
          <w:color w:val="231F20"/>
        </w:rPr>
        <w:t>第9-17节继续证实这一解释，因为它们再次谈到“十四万四千人”，这次指明了他们的真实身份：一个数不过来的群众（多如天上的繁星），被神圣地从“大患难”中拯救出来（即，从堕落到主临（Parousia）的整个救赎历史中，临到上帝圣徒身上的试炼和迫害），现在在宝座前（7:9）、在锡安山（14:1）和在圣殿里（7:15）欢喜地敬拜上帝和基督。</w:t>
      </w:r>
    </w:p>
    <w:p w14:paraId="04AF905C">
      <w:pPr>
        <w:pStyle w:val="9"/>
        <w:spacing w:before="17" w:line="249" w:lineRule="auto"/>
        <w:ind w:right="98" w:firstLine="450"/>
        <w:rPr>
          <w:rFonts w:hint="eastAsia"/>
          <w:color w:val="231F20"/>
        </w:rPr>
      </w:pPr>
    </w:p>
    <w:p w14:paraId="2A3DA41A">
      <w:pPr>
        <w:pStyle w:val="9"/>
        <w:spacing w:before="17" w:line="249" w:lineRule="auto"/>
        <w:ind w:right="98" w:firstLine="450"/>
        <w:rPr>
          <w:rFonts w:hint="eastAsia"/>
          <w:color w:val="231F20"/>
        </w:rPr>
      </w:pPr>
      <w:r>
        <w:rPr>
          <w:rFonts w:hint="eastAsia"/>
          <w:color w:val="231F20"/>
        </w:rPr>
        <w:t>As other portions of the book make clear, all three are OT symbols of the joys of eternal life in the new heavens and the new earth (7:17, 21:3- 4, 22, 22:3, 14).8</w:t>
      </w:r>
    </w:p>
    <w:p w14:paraId="6571B580">
      <w:pPr>
        <w:pStyle w:val="9"/>
        <w:spacing w:before="17" w:line="249" w:lineRule="auto"/>
        <w:ind w:right="98" w:firstLine="450"/>
        <w:rPr>
          <w:rFonts w:hint="eastAsia"/>
          <w:color w:val="231F20"/>
        </w:rPr>
      </w:pPr>
      <w:r>
        <w:rPr>
          <w:rFonts w:hint="eastAsia"/>
          <w:color w:val="231F20"/>
        </w:rPr>
        <w:t>正如本书其他部分所阐明的，这三者都是旧约中象征在新天新地里永生之乐的符号（7:17, 21:3-4, 22, 22:3, 14）。8</w:t>
      </w:r>
    </w:p>
    <w:p w14:paraId="1455D96A">
      <w:pPr>
        <w:pStyle w:val="9"/>
        <w:spacing w:before="17" w:line="249" w:lineRule="auto"/>
        <w:ind w:right="98" w:firstLine="450"/>
        <w:rPr>
          <w:rFonts w:hint="eastAsia"/>
          <w:color w:val="231F20"/>
        </w:rPr>
      </w:pPr>
    </w:p>
    <w:p w14:paraId="4B174ACD">
      <w:pPr>
        <w:pStyle w:val="9"/>
        <w:spacing w:before="17" w:line="249" w:lineRule="auto"/>
        <w:ind w:right="98" w:firstLine="450"/>
        <w:rPr>
          <w:rFonts w:hint="eastAsia"/>
          <w:color w:val="231F20"/>
        </w:rPr>
      </w:pPr>
      <w:r>
        <w:rPr>
          <w:rFonts w:hint="eastAsia"/>
          <w:color w:val="231F20"/>
        </w:rPr>
        <w:t>We find, then, that the true thrust of Revelation 7 is not to recapitulate the Era of Proclamation or the course of the King’s heavenly reign.</w:t>
      </w:r>
    </w:p>
    <w:p w14:paraId="2AA0412B">
      <w:pPr>
        <w:pStyle w:val="9"/>
        <w:spacing w:before="17" w:line="249" w:lineRule="auto"/>
        <w:ind w:right="98" w:firstLine="450"/>
        <w:rPr>
          <w:rFonts w:hint="eastAsia"/>
          <w:color w:val="231F20"/>
        </w:rPr>
      </w:pPr>
      <w:r>
        <w:rPr>
          <w:rFonts w:hint="eastAsia"/>
          <w:color w:val="231F20"/>
        </w:rPr>
        <w:t>因此，我们发现《启示录》第7章的真正主旨不是重述宣讲时代或君王属天统治的进程。</w:t>
      </w:r>
    </w:p>
    <w:p w14:paraId="47668800">
      <w:pPr>
        <w:pStyle w:val="9"/>
        <w:spacing w:before="17" w:line="249" w:lineRule="auto"/>
        <w:ind w:right="98" w:firstLine="450"/>
        <w:rPr>
          <w:rFonts w:hint="eastAsia"/>
          <w:color w:val="231F20"/>
        </w:rPr>
      </w:pPr>
    </w:p>
    <w:p w14:paraId="14B19779">
      <w:pPr>
        <w:pStyle w:val="9"/>
        <w:spacing w:before="17" w:line="249" w:lineRule="auto"/>
        <w:ind w:right="98" w:firstLine="450"/>
        <w:rPr>
          <w:rFonts w:hint="eastAsia"/>
          <w:color w:val="231F20"/>
        </w:rPr>
      </w:pPr>
      <w:r>
        <w:rPr>
          <w:rFonts w:hint="eastAsia"/>
          <w:color w:val="231F20"/>
        </w:rPr>
        <w:t>Rather, it is to give us our first major glimpse of what awaits the saints on the other side of that Era; on the other side of the Parousia by which Christ will bring his heavenly reign to an end: eternal life with the Triune God in the World to Come.</w:t>
      </w:r>
    </w:p>
    <w:p w14:paraId="6A10AB46">
      <w:pPr>
        <w:pStyle w:val="9"/>
        <w:spacing w:before="17" w:line="249" w:lineRule="auto"/>
        <w:ind w:right="98" w:firstLine="450"/>
        <w:rPr>
          <w:rFonts w:hint="eastAsia"/>
          <w:color w:val="231F20"/>
        </w:rPr>
      </w:pPr>
      <w:r>
        <w:rPr>
          <w:rFonts w:hint="eastAsia"/>
          <w:color w:val="231F20"/>
        </w:rPr>
        <w:t>而是要让我们第一次主要地瞥见在那个时代之后等待圣徒的是什么；在基督将以主临（Parousia）结束祂属天统治之后等待他们的是什么：在将来的世界中与三一上帝同享永生。</w:t>
      </w:r>
    </w:p>
    <w:p w14:paraId="0A963EAB">
      <w:pPr>
        <w:pStyle w:val="9"/>
        <w:spacing w:before="17" w:line="249" w:lineRule="auto"/>
        <w:ind w:right="98" w:firstLine="450"/>
        <w:rPr>
          <w:rFonts w:hint="eastAsia"/>
          <w:color w:val="231F20"/>
        </w:rPr>
      </w:pPr>
    </w:p>
    <w:p w14:paraId="3A01309C">
      <w:pPr>
        <w:pStyle w:val="9"/>
        <w:spacing w:before="17" w:line="249" w:lineRule="auto"/>
        <w:ind w:right="98" w:firstLine="450"/>
        <w:rPr>
          <w:rFonts w:hint="eastAsia"/>
          <w:color w:val="231F20"/>
        </w:rPr>
      </w:pPr>
      <w:r>
        <w:rPr>
          <w:rFonts w:hint="eastAsia"/>
          <w:color w:val="231F20"/>
        </w:rPr>
        <w:t>For this reason, Revelation 7 cannot be reckoned as a fresh visionary cycle, but is an especially happy ending to the one that immediately precedes it.</w:t>
      </w:r>
    </w:p>
    <w:p w14:paraId="3BD3C801">
      <w:pPr>
        <w:pStyle w:val="9"/>
        <w:spacing w:before="17" w:line="249" w:lineRule="auto"/>
        <w:ind w:right="98" w:firstLine="450"/>
        <w:rPr>
          <w:rFonts w:hint="eastAsia"/>
          <w:color w:val="231F20"/>
        </w:rPr>
      </w:pPr>
      <w:r>
        <w:rPr>
          <w:rFonts w:hint="eastAsia"/>
          <w:color w:val="231F20"/>
        </w:rPr>
        <w:t>因此，《启示录》第7章不能被算作一个新的异象循环，而是紧接其前的那个循环的一个特别快乐的结局。</w:t>
      </w:r>
    </w:p>
    <w:p w14:paraId="02871BDC">
      <w:pPr>
        <w:pStyle w:val="9"/>
        <w:spacing w:before="17" w:line="249" w:lineRule="auto"/>
        <w:ind w:right="98" w:firstLine="450"/>
        <w:rPr>
          <w:rFonts w:hint="eastAsia"/>
          <w:color w:val="231F20"/>
        </w:rPr>
      </w:pPr>
    </w:p>
    <w:p w14:paraId="0EF86B0F">
      <w:pPr>
        <w:pStyle w:val="9"/>
        <w:spacing w:before="17" w:line="249" w:lineRule="auto"/>
        <w:ind w:right="98" w:firstLine="450"/>
        <w:rPr>
          <w:rFonts w:hint="eastAsia"/>
          <w:color w:val="231F20"/>
        </w:rPr>
      </w:pPr>
      <w:r>
        <w:rPr>
          <w:rFonts w:hint="eastAsia"/>
          <w:color w:val="231F20"/>
        </w:rPr>
        <w:t>2.The Seven Trumpets (8-11)</w:t>
      </w:r>
    </w:p>
    <w:p w14:paraId="06650C50">
      <w:pPr>
        <w:pStyle w:val="9"/>
        <w:spacing w:before="17" w:line="249" w:lineRule="auto"/>
        <w:ind w:right="98" w:firstLine="450"/>
        <w:rPr>
          <w:rFonts w:hint="eastAsia"/>
          <w:color w:val="231F20"/>
        </w:rPr>
      </w:pPr>
      <w:r>
        <w:rPr>
          <w:rFonts w:hint="eastAsia"/>
          <w:color w:val="231F20"/>
        </w:rPr>
        <w:t>2.七号（8-11）</w:t>
      </w:r>
    </w:p>
    <w:p w14:paraId="55534DE1">
      <w:pPr>
        <w:pStyle w:val="9"/>
        <w:spacing w:before="17" w:line="249" w:lineRule="auto"/>
        <w:ind w:right="98" w:firstLine="450"/>
        <w:rPr>
          <w:rFonts w:hint="eastAsia"/>
          <w:color w:val="231F20"/>
        </w:rPr>
      </w:pPr>
    </w:p>
    <w:p w14:paraId="2F746F71">
      <w:pPr>
        <w:pStyle w:val="9"/>
        <w:spacing w:before="17" w:line="249" w:lineRule="auto"/>
        <w:ind w:right="98" w:firstLine="450"/>
        <w:rPr>
          <w:rFonts w:hint="eastAsia"/>
          <w:color w:val="231F20"/>
        </w:rPr>
      </w:pPr>
      <w:r>
        <w:rPr>
          <w:rFonts w:hint="eastAsia"/>
          <w:color w:val="231F20"/>
        </w:rPr>
        <w:t>It is clear that chapters 8-11 constitute a single cycle of visions, seeing that the motif of the seven trumpets manifestly binds them together as one (8:7, 11:15).</w:t>
      </w:r>
    </w:p>
    <w:p w14:paraId="20C7A62B">
      <w:pPr>
        <w:pStyle w:val="9"/>
        <w:spacing w:before="17" w:line="249" w:lineRule="auto"/>
        <w:ind w:right="98" w:firstLine="450"/>
        <w:rPr>
          <w:rFonts w:hint="eastAsia"/>
          <w:color w:val="231F20"/>
        </w:rPr>
      </w:pPr>
      <w:r>
        <w:rPr>
          <w:rFonts w:hint="eastAsia"/>
          <w:color w:val="231F20"/>
        </w:rPr>
        <w:t>很明显，第8-11章构成了一个单一的异象循环，因为七号的主题显然将它们作为一个整体联系在一起（8:7, 11:15）。</w:t>
      </w:r>
    </w:p>
    <w:p w14:paraId="7638DC26">
      <w:pPr>
        <w:pStyle w:val="9"/>
        <w:spacing w:before="17" w:line="249" w:lineRule="auto"/>
        <w:ind w:right="98" w:firstLine="450"/>
        <w:rPr>
          <w:rFonts w:hint="eastAsia"/>
          <w:color w:val="231F20"/>
        </w:rPr>
      </w:pPr>
    </w:p>
    <w:p w14:paraId="4B2B965E">
      <w:pPr>
        <w:pStyle w:val="9"/>
        <w:spacing w:before="17" w:line="249" w:lineRule="auto"/>
        <w:ind w:right="98" w:firstLine="450"/>
        <w:rPr>
          <w:rFonts w:hint="eastAsia"/>
          <w:color w:val="231F20"/>
        </w:rPr>
      </w:pPr>
      <w:r>
        <w:rPr>
          <w:rFonts w:hint="eastAsia"/>
          <w:color w:val="231F20"/>
        </w:rPr>
        <w:t>Moreover, it is equally clear that this cycle concludes with a symbolic depiction of the last Judgment at Christ’s return (11:15-19).</w:t>
      </w:r>
    </w:p>
    <w:p w14:paraId="5883D95C">
      <w:pPr>
        <w:pStyle w:val="9"/>
        <w:spacing w:before="17" w:line="249" w:lineRule="auto"/>
        <w:ind w:right="98" w:firstLine="450"/>
        <w:rPr>
          <w:rFonts w:hint="eastAsia"/>
          <w:color w:val="231F20"/>
        </w:rPr>
      </w:pPr>
      <w:r>
        <w:rPr>
          <w:rFonts w:hint="eastAsia"/>
          <w:color w:val="231F20"/>
        </w:rPr>
        <w:t>此外，同样清楚的是，这个循环以对基督再来时最后审判的象征性描绘作为结束（11:15-19）。</w:t>
      </w:r>
    </w:p>
    <w:p w14:paraId="09B77E0B">
      <w:pPr>
        <w:pStyle w:val="9"/>
        <w:spacing w:before="17" w:line="249" w:lineRule="auto"/>
        <w:ind w:right="98" w:firstLine="450"/>
        <w:rPr>
          <w:rFonts w:hint="eastAsia"/>
          <w:color w:val="231F20"/>
        </w:rPr>
      </w:pPr>
    </w:p>
    <w:p w14:paraId="245C8735">
      <w:pPr>
        <w:pStyle w:val="9"/>
        <w:spacing w:before="17" w:line="249" w:lineRule="auto"/>
        <w:ind w:right="98" w:firstLine="450"/>
        <w:rPr>
          <w:rFonts w:hint="eastAsia"/>
          <w:color w:val="231F20"/>
        </w:rPr>
      </w:pPr>
      <w:r>
        <w:rPr>
          <w:rFonts w:hint="eastAsia"/>
          <w:color w:val="231F20"/>
        </w:rPr>
        <w:t>What is not so clear is where, historically, the cycle begins.</w:t>
      </w:r>
    </w:p>
    <w:p w14:paraId="792E2CCA">
      <w:pPr>
        <w:pStyle w:val="9"/>
        <w:spacing w:before="17" w:line="249" w:lineRule="auto"/>
        <w:ind w:right="98" w:firstLine="450"/>
        <w:rPr>
          <w:rFonts w:hint="eastAsia"/>
          <w:color w:val="231F20"/>
        </w:rPr>
      </w:pPr>
      <w:r>
        <w:rPr>
          <w:rFonts w:hint="eastAsia"/>
          <w:color w:val="231F20"/>
        </w:rPr>
        <w:t>不太清楚的是，从历史上看，这个循环从何处开始。</w:t>
      </w:r>
    </w:p>
    <w:p w14:paraId="17F04A5A">
      <w:pPr>
        <w:pStyle w:val="9"/>
        <w:spacing w:before="17" w:line="249" w:lineRule="auto"/>
        <w:ind w:right="98" w:firstLine="450"/>
        <w:rPr>
          <w:rFonts w:hint="eastAsia"/>
          <w:color w:val="231F20"/>
        </w:rPr>
      </w:pPr>
    </w:p>
    <w:p w14:paraId="6D051FAF">
      <w:pPr>
        <w:pStyle w:val="9"/>
        <w:spacing w:before="17" w:line="249" w:lineRule="auto"/>
        <w:ind w:right="98" w:firstLine="450"/>
        <w:rPr>
          <w:rFonts w:hint="eastAsia"/>
          <w:color w:val="231F20"/>
        </w:rPr>
      </w:pPr>
      <w:r>
        <w:rPr>
          <w:rFonts w:hint="eastAsia"/>
          <w:color w:val="231F20"/>
        </w:rPr>
        <w:t>Ladd, for example, argues that from this point on, the Revelation speaks primarily of events to occur at the very end of the age.</w:t>
      </w:r>
    </w:p>
    <w:p w14:paraId="346A741F">
      <w:pPr>
        <w:pStyle w:val="9"/>
        <w:spacing w:before="17" w:line="249" w:lineRule="auto"/>
        <w:ind w:right="98" w:firstLine="450"/>
        <w:rPr>
          <w:rFonts w:hint="eastAsia"/>
          <w:color w:val="231F20"/>
        </w:rPr>
      </w:pPr>
      <w:r>
        <w:rPr>
          <w:rFonts w:hint="eastAsia"/>
          <w:color w:val="231F20"/>
        </w:rPr>
        <w:t>例如，赖德认为，从这一点开始，《启示录》主要讲述的是在世代末了将要发生的事件。</w:t>
      </w:r>
    </w:p>
    <w:p w14:paraId="71DE9B0B">
      <w:pPr>
        <w:pStyle w:val="9"/>
        <w:spacing w:before="17" w:line="249" w:lineRule="auto"/>
        <w:ind w:right="98" w:firstLine="450"/>
        <w:rPr>
          <w:rFonts w:hint="eastAsia"/>
          <w:color w:val="231F20"/>
        </w:rPr>
      </w:pPr>
    </w:p>
    <w:p w14:paraId="04007DCE">
      <w:pPr>
        <w:pStyle w:val="9"/>
        <w:spacing w:before="17" w:line="249" w:lineRule="auto"/>
        <w:ind w:right="98" w:firstLine="450"/>
        <w:rPr>
          <w:rFonts w:hint="eastAsia"/>
          <w:color w:val="231F20"/>
        </w:rPr>
      </w:pPr>
      <w:r>
        <w:rPr>
          <w:rFonts w:hint="eastAsia"/>
          <w:color w:val="231F20"/>
        </w:rPr>
        <w:t>However, there are good reasons to question this.</w:t>
      </w:r>
    </w:p>
    <w:p w14:paraId="2F246CF6">
      <w:pPr>
        <w:pStyle w:val="9"/>
        <w:spacing w:before="17" w:line="249" w:lineRule="auto"/>
        <w:ind w:right="98" w:firstLine="450"/>
        <w:rPr>
          <w:rFonts w:hint="eastAsia"/>
          <w:color w:val="231F20"/>
        </w:rPr>
      </w:pPr>
      <w:r>
        <w:rPr>
          <w:rFonts w:hint="eastAsia"/>
          <w:color w:val="231F20"/>
        </w:rPr>
        <w:t>然而，有充分的理由对此提出质疑。</w:t>
      </w:r>
    </w:p>
    <w:p w14:paraId="1FCDD710">
      <w:pPr>
        <w:pStyle w:val="9"/>
        <w:spacing w:before="17" w:line="249" w:lineRule="auto"/>
        <w:ind w:right="98" w:firstLine="450"/>
        <w:rPr>
          <w:rFonts w:hint="eastAsia"/>
          <w:color w:val="231F20"/>
        </w:rPr>
      </w:pPr>
    </w:p>
    <w:p w14:paraId="2103DC44">
      <w:pPr>
        <w:pStyle w:val="9"/>
        <w:spacing w:before="17" w:line="249" w:lineRule="auto"/>
        <w:ind w:right="98" w:firstLine="450"/>
        <w:rPr>
          <w:rFonts w:hint="eastAsia"/>
          <w:color w:val="231F20"/>
        </w:rPr>
      </w:pPr>
      <w:r>
        <w:rPr>
          <w:rFonts w:hint="eastAsia"/>
          <w:color w:val="231F20"/>
        </w:rPr>
        <w:t>The first cycle (6-7) patently begins at the beginning of the Era of Proclamation (6:1-2); so too does the third (12:1-6) and (I will argue) the sixth (20:1-3).</w:t>
      </w:r>
    </w:p>
    <w:p w14:paraId="33BFE3AE">
      <w:pPr>
        <w:pStyle w:val="9"/>
        <w:spacing w:before="17" w:line="249" w:lineRule="auto"/>
        <w:ind w:right="98" w:firstLine="450"/>
        <w:rPr>
          <w:rFonts w:hint="eastAsia"/>
          <w:color w:val="231F20"/>
        </w:rPr>
      </w:pPr>
      <w:r>
        <w:rPr>
          <w:rFonts w:hint="eastAsia"/>
          <w:color w:val="231F20"/>
        </w:rPr>
        <w:t>第一个循环（6-7章）显然始于宣讲时代的开端（6:1-2）；第三个循环（12:1-6）也是如此，并且（我将论证）第六个循环（20:1-3）也是如此。</w:t>
      </w:r>
    </w:p>
    <w:p w14:paraId="297FE02A">
      <w:pPr>
        <w:pStyle w:val="9"/>
        <w:spacing w:before="17" w:line="249" w:lineRule="auto"/>
        <w:ind w:right="98" w:firstLine="450"/>
        <w:rPr>
          <w:rFonts w:hint="eastAsia"/>
          <w:color w:val="231F20"/>
        </w:rPr>
      </w:pPr>
    </w:p>
    <w:p w14:paraId="64AD8ADE">
      <w:pPr>
        <w:pStyle w:val="9"/>
        <w:spacing w:before="17" w:line="249" w:lineRule="auto"/>
        <w:ind w:right="98" w:firstLine="450"/>
        <w:rPr>
          <w:rFonts w:hint="eastAsia"/>
          <w:color w:val="231F20"/>
        </w:rPr>
      </w:pPr>
      <w:r>
        <w:rPr>
          <w:rFonts w:hint="eastAsia"/>
          <w:color w:val="231F20"/>
        </w:rPr>
        <w:t>If so, how likely is it that the other cycles would begin elsewhere?</w:t>
      </w:r>
    </w:p>
    <w:p w14:paraId="38008D53">
      <w:pPr>
        <w:pStyle w:val="9"/>
        <w:spacing w:before="17" w:line="249" w:lineRule="auto"/>
        <w:ind w:right="98" w:firstLine="450"/>
        <w:rPr>
          <w:rFonts w:hint="eastAsia"/>
          <w:color w:val="231F20"/>
        </w:rPr>
      </w:pPr>
      <w:r>
        <w:rPr>
          <w:rFonts w:hint="eastAsia"/>
          <w:color w:val="231F20"/>
        </w:rPr>
        <w:t>如果是这样，其他循环在别处开始的可能性有多大？</w:t>
      </w:r>
    </w:p>
    <w:p w14:paraId="1BAAB2DB">
      <w:pPr>
        <w:pStyle w:val="9"/>
        <w:spacing w:before="17" w:line="249" w:lineRule="auto"/>
        <w:ind w:right="98" w:firstLine="450"/>
        <w:rPr>
          <w:rFonts w:hint="eastAsia"/>
          <w:color w:val="231F20"/>
        </w:rPr>
      </w:pPr>
    </w:p>
    <w:p w14:paraId="612A12E9">
      <w:pPr>
        <w:pStyle w:val="9"/>
        <w:spacing w:before="17" w:line="249" w:lineRule="auto"/>
        <w:ind w:right="98" w:firstLine="450"/>
        <w:rPr>
          <w:rFonts w:hint="eastAsia"/>
          <w:color w:val="231F20"/>
        </w:rPr>
      </w:pPr>
      <w:r>
        <w:rPr>
          <w:rFonts w:hint="eastAsia"/>
          <w:color w:val="231F20"/>
        </w:rPr>
        <w:t>Also, we have seen that in the Revelation Christ means to address all Christians of all times.</w:t>
      </w:r>
    </w:p>
    <w:p w14:paraId="22F53188">
      <w:pPr>
        <w:pStyle w:val="9"/>
        <w:spacing w:before="17" w:line="249" w:lineRule="auto"/>
        <w:ind w:right="98" w:firstLine="450"/>
        <w:rPr>
          <w:rFonts w:hint="eastAsia"/>
          <w:color w:val="231F20"/>
        </w:rPr>
      </w:pPr>
      <w:r>
        <w:rPr>
          <w:rFonts w:hint="eastAsia"/>
          <w:color w:val="231F20"/>
        </w:rPr>
        <w:t>另外，我们已经看到，在《启示录》中，基督意在对所有时代的所有基督徒说话。</w:t>
      </w:r>
    </w:p>
    <w:p w14:paraId="3D53EADB">
      <w:pPr>
        <w:pStyle w:val="9"/>
        <w:spacing w:before="17" w:line="249" w:lineRule="auto"/>
        <w:ind w:right="98" w:firstLine="450"/>
        <w:rPr>
          <w:rFonts w:hint="eastAsia"/>
          <w:color w:val="231F20"/>
        </w:rPr>
      </w:pPr>
    </w:p>
    <w:p w14:paraId="394DCD49">
      <w:pPr>
        <w:pStyle w:val="9"/>
        <w:spacing w:before="17" w:line="249" w:lineRule="auto"/>
        <w:ind w:right="98" w:firstLine="450"/>
        <w:rPr>
          <w:rFonts w:hint="eastAsia"/>
          <w:color w:val="231F20"/>
        </w:rPr>
      </w:pPr>
      <w:r>
        <w:rPr>
          <w:rFonts w:hint="eastAsia"/>
          <w:color w:val="231F20"/>
        </w:rPr>
        <w:t>Why, then, would he speak here exclusively to believers living in the last of the last days?</w:t>
      </w:r>
    </w:p>
    <w:p w14:paraId="55E21A50">
      <w:pPr>
        <w:pStyle w:val="9"/>
        <w:spacing w:before="17" w:line="249" w:lineRule="auto"/>
        <w:ind w:right="98" w:firstLine="450"/>
        <w:rPr>
          <w:rFonts w:hint="eastAsia"/>
          <w:color w:val="231F20"/>
        </w:rPr>
      </w:pPr>
      <w:r>
        <w:rPr>
          <w:rFonts w:hint="eastAsia"/>
          <w:color w:val="231F20"/>
        </w:rPr>
        <w:t>那么，为什么祂在这里只对生活在末后末期的信徒说话呢？</w:t>
      </w:r>
    </w:p>
    <w:p w14:paraId="373D0EF5">
      <w:pPr>
        <w:pStyle w:val="9"/>
        <w:spacing w:before="17" w:line="249" w:lineRule="auto"/>
        <w:ind w:right="98" w:firstLine="450"/>
        <w:rPr>
          <w:rFonts w:hint="eastAsia"/>
          <w:color w:val="231F20"/>
        </w:rPr>
      </w:pPr>
    </w:p>
    <w:p w14:paraId="1C0D65E0">
      <w:pPr>
        <w:pStyle w:val="9"/>
        <w:spacing w:before="17" w:line="249" w:lineRule="auto"/>
        <w:ind w:right="98" w:firstLine="450"/>
        <w:rPr>
          <w:rFonts w:hint="eastAsia"/>
          <w:color w:val="231F20"/>
        </w:rPr>
      </w:pPr>
      <w:r>
        <w:rPr>
          <w:rFonts w:hint="eastAsia"/>
          <w:color w:val="231F20"/>
        </w:rPr>
        <w:t>Most compelling of all, however, is the evidence found within the text itself, evidence indicating that this awesome vision speaks both to the Church Universal and—with special solicitude—to the portion of the Church that will go through the Last Battle.</w:t>
      </w:r>
    </w:p>
    <w:p w14:paraId="65C56962">
      <w:pPr>
        <w:pStyle w:val="9"/>
        <w:spacing w:before="17" w:line="249" w:lineRule="auto"/>
        <w:ind w:right="98" w:firstLine="450"/>
        <w:rPr>
          <w:rFonts w:hint="eastAsia"/>
          <w:color w:val="231F20"/>
        </w:rPr>
      </w:pPr>
      <w:r>
        <w:rPr>
          <w:rFonts w:hint="eastAsia"/>
          <w:color w:val="231F20"/>
        </w:rPr>
        <w:t>然而，最有力的是在经文本身中找到的证据，这些证据表明这个令人敬畏的异象既对普世教会说话，也——带着特别的关切——对将经历末日争战的那部分教会说话。</w:t>
      </w:r>
    </w:p>
    <w:p w14:paraId="1DCD495A">
      <w:pPr>
        <w:pStyle w:val="9"/>
        <w:spacing w:before="17" w:line="249" w:lineRule="auto"/>
        <w:ind w:right="98" w:firstLine="450"/>
        <w:rPr>
          <w:rFonts w:hint="eastAsia"/>
          <w:color w:val="231F20"/>
        </w:rPr>
      </w:pPr>
    </w:p>
    <w:p w14:paraId="7851B559">
      <w:pPr>
        <w:pStyle w:val="9"/>
        <w:spacing w:before="17" w:line="249" w:lineRule="auto"/>
        <w:ind w:right="98" w:firstLine="450"/>
        <w:rPr>
          <w:rFonts w:hint="eastAsia"/>
          <w:color w:val="231F20"/>
        </w:rPr>
      </w:pPr>
      <w:r>
        <w:rPr>
          <w:rFonts w:hint="eastAsia"/>
          <w:color w:val="231F20"/>
        </w:rPr>
        <w:t>But rather than elaborate further here, let us briefly survey the cycle as a whole, lingering over the points of special relevance to our study.</w:t>
      </w:r>
    </w:p>
    <w:p w14:paraId="7CBC7DB9">
      <w:pPr>
        <w:pStyle w:val="9"/>
        <w:spacing w:before="17" w:line="249" w:lineRule="auto"/>
        <w:ind w:right="98" w:firstLine="450"/>
        <w:rPr>
          <w:rFonts w:hint="eastAsia"/>
          <w:color w:val="231F20"/>
        </w:rPr>
      </w:pPr>
      <w:r>
        <w:rPr>
          <w:rFonts w:hint="eastAsia"/>
          <w:color w:val="231F20"/>
        </w:rPr>
        <w:t>但与其在这里进一步阐述，不如让我们简要地概览整个循环，并停留在与我们研究特别相关的几点上。</w:t>
      </w:r>
    </w:p>
    <w:p w14:paraId="521A4BED">
      <w:pPr>
        <w:pStyle w:val="9"/>
        <w:spacing w:before="17" w:line="249" w:lineRule="auto"/>
        <w:ind w:right="98" w:firstLine="450"/>
        <w:rPr>
          <w:rFonts w:hint="eastAsia"/>
          <w:color w:val="231F20"/>
        </w:rPr>
      </w:pPr>
    </w:p>
    <w:p w14:paraId="5700228B">
      <w:pPr>
        <w:pStyle w:val="9"/>
        <w:spacing w:before="17" w:line="249" w:lineRule="auto"/>
        <w:ind w:right="98" w:firstLine="450"/>
        <w:rPr>
          <w:rFonts w:hint="eastAsia"/>
          <w:color w:val="231F20"/>
        </w:rPr>
      </w:pPr>
      <w:r>
        <w:rPr>
          <w:rFonts w:hint="eastAsia"/>
          <w:color w:val="231F20"/>
        </w:rPr>
        <w:t>As chapter 8 opens, John beholds Christ breaking the seventh seal.</w:t>
      </w:r>
    </w:p>
    <w:p w14:paraId="5FC074D2">
      <w:pPr>
        <w:pStyle w:val="9"/>
        <w:spacing w:before="17" w:line="249" w:lineRule="auto"/>
        <w:ind w:right="98" w:firstLine="450"/>
        <w:rPr>
          <w:rFonts w:hint="eastAsia"/>
          <w:color w:val="231F20"/>
        </w:rPr>
      </w:pPr>
      <w:r>
        <w:rPr>
          <w:rFonts w:hint="eastAsia"/>
          <w:color w:val="231F20"/>
        </w:rPr>
        <w:t>第8章开始时，约翰看见基督揭开第七印。</w:t>
      </w:r>
    </w:p>
    <w:p w14:paraId="481F70EF">
      <w:pPr>
        <w:pStyle w:val="9"/>
        <w:spacing w:before="17" w:line="249" w:lineRule="auto"/>
        <w:ind w:right="98" w:firstLine="450"/>
        <w:rPr>
          <w:rFonts w:hint="eastAsia"/>
          <w:color w:val="231F20"/>
        </w:rPr>
      </w:pPr>
    </w:p>
    <w:p w14:paraId="0BA62D47">
      <w:pPr>
        <w:pStyle w:val="9"/>
        <w:spacing w:before="17" w:line="249" w:lineRule="auto"/>
        <w:ind w:right="98" w:firstLine="450"/>
        <w:rPr>
          <w:rFonts w:hint="eastAsia"/>
          <w:color w:val="231F20"/>
        </w:rPr>
      </w:pPr>
      <w:r>
        <w:rPr>
          <w:rFonts w:hint="eastAsia"/>
          <w:color w:val="231F20"/>
        </w:rPr>
        <w:t>Since the breaking of the sixth seal manifested the Last Judgment, it is evident that the breaking of the seventh cannot manifest something to follow; that, in fact, it must be manifesting something similar in nature to what came previously.</w:t>
      </w:r>
    </w:p>
    <w:p w14:paraId="41C2AE9F">
      <w:pPr>
        <w:pStyle w:val="9"/>
        <w:spacing w:before="17" w:line="249" w:lineRule="auto"/>
        <w:ind w:right="98" w:firstLine="450"/>
        <w:rPr>
          <w:rFonts w:hint="eastAsia"/>
          <w:color w:val="231F20"/>
        </w:rPr>
      </w:pPr>
      <w:r>
        <w:rPr>
          <w:rFonts w:hint="eastAsia"/>
          <w:color w:val="231F20"/>
        </w:rPr>
        <w:t>由于揭开第六印显明了最后的审判，那么揭开第七印显然不能显明其后的事；事实上，它必须显明某种与先前发生之事性质相似的事。</w:t>
      </w:r>
    </w:p>
    <w:p w14:paraId="5C17054F">
      <w:pPr>
        <w:pStyle w:val="9"/>
        <w:spacing w:before="17" w:line="249" w:lineRule="auto"/>
        <w:ind w:right="98" w:firstLine="450"/>
        <w:rPr>
          <w:rFonts w:hint="eastAsia"/>
          <w:color w:val="231F20"/>
        </w:rPr>
      </w:pPr>
    </w:p>
    <w:p w14:paraId="12C62559">
      <w:pPr>
        <w:pStyle w:val="9"/>
        <w:spacing w:before="17" w:line="249" w:lineRule="auto"/>
        <w:ind w:right="98" w:firstLine="450"/>
        <w:rPr>
          <w:rFonts w:hint="eastAsia"/>
          <w:color w:val="231F20"/>
        </w:rPr>
      </w:pPr>
      <w:r>
        <w:rPr>
          <w:rFonts w:hint="eastAsia"/>
          <w:color w:val="231F20"/>
        </w:rPr>
        <w:t>In other words, here we have our first hint that the forthcoming cycle will indeed traverse the same historical ground as the one preceding it.</w:t>
      </w:r>
    </w:p>
    <w:p w14:paraId="5E960E48">
      <w:pPr>
        <w:pStyle w:val="9"/>
        <w:spacing w:before="17" w:line="249" w:lineRule="auto"/>
        <w:ind w:right="98" w:firstLine="450"/>
        <w:rPr>
          <w:rFonts w:hint="eastAsia"/>
          <w:color w:val="231F20"/>
        </w:rPr>
      </w:pPr>
      <w:r>
        <w:rPr>
          <w:rFonts w:hint="eastAsia"/>
          <w:color w:val="231F20"/>
        </w:rPr>
        <w:t>换句话说，这里我们得到了第一个暗示，即接下来的循环确实将跨越与前一个循环相同的历史范畴。</w:t>
      </w:r>
    </w:p>
    <w:p w14:paraId="29365E81">
      <w:pPr>
        <w:pStyle w:val="9"/>
        <w:spacing w:before="17" w:line="249" w:lineRule="auto"/>
        <w:ind w:right="98" w:firstLine="450"/>
        <w:rPr>
          <w:rFonts w:hint="eastAsia"/>
          <w:color w:val="231F20"/>
        </w:rPr>
      </w:pPr>
    </w:p>
    <w:p w14:paraId="7A51C9FD">
      <w:pPr>
        <w:pStyle w:val="9"/>
        <w:spacing w:before="17" w:line="249" w:lineRule="auto"/>
        <w:ind w:right="98" w:firstLine="450"/>
        <w:rPr>
          <w:rFonts w:hint="eastAsia"/>
          <w:color w:val="231F20"/>
        </w:rPr>
      </w:pPr>
      <w:r>
        <w:rPr>
          <w:rFonts w:hint="eastAsia"/>
          <w:color w:val="231F20"/>
        </w:rPr>
        <w:t>When Christ breaks the seal, seven angels stand forth and receive trumpets.</w:t>
      </w:r>
    </w:p>
    <w:p w14:paraId="0657ED84">
      <w:pPr>
        <w:pStyle w:val="9"/>
        <w:spacing w:before="17" w:line="249" w:lineRule="auto"/>
        <w:ind w:right="98" w:firstLine="450"/>
        <w:rPr>
          <w:rFonts w:hint="eastAsia"/>
          <w:color w:val="231F20"/>
        </w:rPr>
      </w:pPr>
      <w:r>
        <w:rPr>
          <w:rFonts w:hint="eastAsia"/>
          <w:color w:val="231F20"/>
        </w:rPr>
        <w:t>当基督揭开印时，有七位天使站出来，并领受了号筒。</w:t>
      </w:r>
    </w:p>
    <w:p w14:paraId="5B027BB8">
      <w:pPr>
        <w:pStyle w:val="9"/>
        <w:spacing w:before="17" w:line="249" w:lineRule="auto"/>
        <w:ind w:right="98" w:firstLine="450"/>
        <w:rPr>
          <w:rFonts w:hint="eastAsia"/>
          <w:color w:val="231F20"/>
        </w:rPr>
      </w:pPr>
    </w:p>
    <w:p w14:paraId="4650575B">
      <w:pPr>
        <w:pStyle w:val="9"/>
        <w:spacing w:before="17" w:line="249" w:lineRule="auto"/>
        <w:ind w:right="98" w:firstLine="450"/>
        <w:rPr>
          <w:rFonts w:hint="eastAsia"/>
          <w:color w:val="231F20"/>
        </w:rPr>
      </w:pPr>
      <w:r>
        <w:rPr>
          <w:rFonts w:hint="eastAsia"/>
          <w:color w:val="231F20"/>
        </w:rPr>
        <w:t>But, as verses 3-4 reveal, they will blow the trumpets only in response to the Spirit-filled prayers of the saints, saints who are crying out to God for protection and succor amidst their manifold persecutions (6:9- 11, Luke 18:1-8).</w:t>
      </w:r>
    </w:p>
    <w:p w14:paraId="4D7C7C59">
      <w:pPr>
        <w:pStyle w:val="9"/>
        <w:spacing w:before="17" w:line="249" w:lineRule="auto"/>
        <w:ind w:right="98" w:firstLine="450"/>
        <w:rPr>
          <w:rFonts w:hint="eastAsia"/>
          <w:color w:val="231F20"/>
        </w:rPr>
      </w:pPr>
      <w:r>
        <w:rPr>
          <w:rFonts w:hint="eastAsia"/>
          <w:color w:val="231F20"/>
        </w:rPr>
        <w:t>但是，如第3-4节所揭示的，他们吹号只是为了回应被圣灵充满的圣徒的祷告，这些圣徒在他们多样的迫害中向上帝呼求保护和救助（6:9-11，路加福音18:1-8）。</w:t>
      </w:r>
    </w:p>
    <w:p w14:paraId="724726EA">
      <w:pPr>
        <w:pStyle w:val="9"/>
        <w:spacing w:before="17" w:line="249" w:lineRule="auto"/>
        <w:ind w:right="98" w:firstLine="450"/>
        <w:rPr>
          <w:rFonts w:hint="eastAsia"/>
          <w:color w:val="231F20"/>
        </w:rPr>
      </w:pPr>
    </w:p>
    <w:p w14:paraId="4007F483">
      <w:pPr>
        <w:pStyle w:val="9"/>
        <w:spacing w:before="17" w:line="249" w:lineRule="auto"/>
        <w:ind w:right="98" w:firstLine="450"/>
        <w:rPr>
          <w:rFonts w:hint="eastAsia"/>
          <w:color w:val="231F20"/>
        </w:rPr>
      </w:pPr>
      <w:r>
        <w:rPr>
          <w:rFonts w:hint="eastAsia"/>
          <w:color w:val="231F20"/>
        </w:rPr>
        <w:t>This too illumines the historical scope of the cycle: Whenever and wherever Christ’s persecuted Church calls out to God, he will respond with a blast of the trumpet; with partial judgments designed to warn of the Final Judgment to come.</w:t>
      </w:r>
    </w:p>
    <w:p w14:paraId="3038817B">
      <w:pPr>
        <w:pStyle w:val="9"/>
        <w:spacing w:before="17" w:line="249" w:lineRule="auto"/>
        <w:ind w:right="98" w:firstLine="450"/>
        <w:rPr>
          <w:rFonts w:hint="eastAsia"/>
          <w:color w:val="231F20"/>
        </w:rPr>
      </w:pPr>
      <w:r>
        <w:rPr>
          <w:rFonts w:hint="eastAsia"/>
          <w:color w:val="231F20"/>
        </w:rPr>
        <w:t>这也阐明了该循环的历史范围：无论何时何地，基督受迫害的教会向上帝呼求，祂都将以号筒的吹响来回应；用部分的审判来警告将要到来的最后审判。</w:t>
      </w:r>
    </w:p>
    <w:p w14:paraId="0CEDA435">
      <w:pPr>
        <w:pStyle w:val="9"/>
        <w:spacing w:before="17" w:line="249" w:lineRule="auto"/>
        <w:ind w:right="98" w:firstLine="450"/>
        <w:rPr>
          <w:rFonts w:hint="eastAsia"/>
          <w:color w:val="231F20"/>
        </w:rPr>
      </w:pPr>
    </w:p>
    <w:p w14:paraId="2B9A0F33">
      <w:pPr>
        <w:pStyle w:val="9"/>
        <w:spacing w:before="17" w:line="249" w:lineRule="auto"/>
        <w:ind w:right="98" w:firstLine="450"/>
        <w:rPr>
          <w:rFonts w:hint="eastAsia"/>
          <w:color w:val="231F20"/>
        </w:rPr>
      </w:pPr>
      <w:r>
        <w:rPr>
          <w:rFonts w:hint="eastAsia"/>
          <w:color w:val="231F20"/>
        </w:rPr>
        <w:t>As we are about to see, it falls to the Church to interpret these judgments to the unbelieving world, even as she preaches the good news of the Gospel, in hopes that men might repent and find eternal safety in the arms of Christ (Mt. 3:7, 1 Thess. 1:10).</w:t>
      </w:r>
    </w:p>
    <w:p w14:paraId="52AF1F18">
      <w:pPr>
        <w:pStyle w:val="9"/>
        <w:spacing w:before="17" w:line="249" w:lineRule="auto"/>
        <w:ind w:right="98" w:firstLine="450"/>
        <w:rPr>
          <w:rFonts w:hint="eastAsia"/>
          <w:color w:val="231F20"/>
        </w:rPr>
      </w:pPr>
      <w:r>
        <w:rPr>
          <w:rFonts w:hint="eastAsia"/>
          <w:color w:val="231F20"/>
        </w:rPr>
        <w:t>正如我们将要看到的，教会有责任向不信的世界解释这些审判，同时宣讲福音的好消息，希望人们能够悔改，在基督的怀抱中找到永恒的安全（太3:7，帖前1:10）。</w:t>
      </w:r>
    </w:p>
    <w:p w14:paraId="7A3AC041">
      <w:pPr>
        <w:pStyle w:val="9"/>
        <w:spacing w:before="17" w:line="249" w:lineRule="auto"/>
        <w:ind w:right="98" w:firstLine="450"/>
        <w:rPr>
          <w:rFonts w:hint="eastAsia"/>
          <w:color w:val="231F20"/>
        </w:rPr>
      </w:pPr>
    </w:p>
    <w:p w14:paraId="67895F1D">
      <w:pPr>
        <w:pStyle w:val="9"/>
        <w:spacing w:before="17" w:line="249" w:lineRule="auto"/>
        <w:ind w:right="98" w:firstLine="450"/>
        <w:rPr>
          <w:rFonts w:hint="eastAsia"/>
          <w:color w:val="231F20"/>
        </w:rPr>
      </w:pPr>
      <w:r>
        <w:rPr>
          <w:rFonts w:hint="eastAsia"/>
          <w:color w:val="231F20"/>
        </w:rPr>
        <w:t>Verses 6-12, which describe the sounding of the first four trumpets, also constitute a unit.</w:t>
      </w:r>
    </w:p>
    <w:p w14:paraId="2910084B">
      <w:pPr>
        <w:pStyle w:val="9"/>
        <w:spacing w:before="17" w:line="249" w:lineRule="auto"/>
        <w:ind w:right="98" w:firstLine="450"/>
        <w:rPr>
          <w:rFonts w:hint="eastAsia"/>
          <w:color w:val="231F20"/>
        </w:rPr>
      </w:pPr>
      <w:r>
        <w:rPr>
          <w:rFonts w:hint="eastAsia"/>
          <w:color w:val="231F20"/>
        </w:rPr>
        <w:t>第6-12节描述了前四号的吹响，也构成了一个单元。</w:t>
      </w:r>
    </w:p>
    <w:p w14:paraId="5907C9A7">
      <w:pPr>
        <w:pStyle w:val="9"/>
        <w:spacing w:before="17" w:line="249" w:lineRule="auto"/>
        <w:ind w:right="98" w:firstLine="450"/>
        <w:rPr>
          <w:rFonts w:hint="eastAsia"/>
          <w:color w:val="231F20"/>
        </w:rPr>
      </w:pPr>
    </w:p>
    <w:p w14:paraId="5008B3AA">
      <w:pPr>
        <w:pStyle w:val="9"/>
        <w:spacing w:before="17" w:line="249" w:lineRule="auto"/>
        <w:ind w:right="98" w:firstLine="450"/>
        <w:rPr>
          <w:rFonts w:hint="eastAsia"/>
          <w:color w:val="231F20"/>
        </w:rPr>
      </w:pPr>
      <w:r>
        <w:rPr>
          <w:rFonts w:hint="eastAsia"/>
          <w:color w:val="231F20"/>
        </w:rPr>
        <w:t>In symbolic language drawn largely from the Exodus event, the Spirit here reveals that throughout the Era of Proclamation God will respond to the pleas of his saints by sending down judgments upon “the heavens and the earth”; that is, upon the entire natural order, the physical support system of the inhabitants of the earth (8:13).</w:t>
      </w:r>
    </w:p>
    <w:p w14:paraId="5A779A70">
      <w:pPr>
        <w:pStyle w:val="9"/>
        <w:spacing w:before="17" w:line="249" w:lineRule="auto"/>
        <w:ind w:right="98" w:firstLine="450"/>
        <w:rPr>
          <w:rFonts w:hint="eastAsia"/>
          <w:color w:val="231F20"/>
        </w:rPr>
      </w:pPr>
      <w:r>
        <w:rPr>
          <w:rFonts w:hint="eastAsia"/>
          <w:color w:val="231F20"/>
        </w:rPr>
        <w:t>圣灵在这里用主要取自出埃及事件的象征性语言揭示，在整个宣讲时代，上帝将通过降下审判于“天地”来回应祂圣徒的恳求；也就是说，降在整个自然秩序，即地上居民的物质支持系统上（8:13）。</w:t>
      </w:r>
    </w:p>
    <w:p w14:paraId="71503467">
      <w:pPr>
        <w:pStyle w:val="9"/>
        <w:spacing w:before="17" w:line="249" w:lineRule="auto"/>
        <w:ind w:right="98" w:firstLine="450"/>
        <w:rPr>
          <w:rFonts w:hint="eastAsia"/>
          <w:color w:val="231F20"/>
        </w:rPr>
      </w:pPr>
    </w:p>
    <w:p w14:paraId="4B960F69">
      <w:pPr>
        <w:pStyle w:val="9"/>
        <w:spacing w:before="17" w:line="249" w:lineRule="auto"/>
        <w:ind w:right="98" w:firstLine="450"/>
        <w:rPr>
          <w:rFonts w:hint="eastAsia"/>
          <w:color w:val="231F20"/>
        </w:rPr>
      </w:pPr>
      <w:r>
        <w:rPr>
          <w:rFonts w:hint="eastAsia"/>
          <w:color w:val="231F20"/>
        </w:rPr>
        <w:t>The recurring numeric symbol, one third, signifies that these are only partial judgments, and therefore warnings of a future judgment that is more complete and far worse (Joshua 6:4, Isaiah 58:1, Joel 2:1f).</w:t>
      </w:r>
    </w:p>
    <w:p w14:paraId="46FE939C">
      <w:pPr>
        <w:pStyle w:val="9"/>
        <w:spacing w:before="17" w:line="249" w:lineRule="auto"/>
        <w:ind w:right="98" w:firstLine="450"/>
        <w:rPr>
          <w:rFonts w:hint="eastAsia"/>
          <w:color w:val="231F20"/>
        </w:rPr>
      </w:pPr>
      <w:r>
        <w:rPr>
          <w:rFonts w:hint="eastAsia"/>
          <w:color w:val="231F20"/>
        </w:rPr>
        <w:t>反复出现的数字符号“三分之一”，表示这些只是部分的审判，因此是对未来更完全、更可怕审判的警告（约书亚记6:4，以赛亚书58:1，约珥书2:1及以下）。</w:t>
      </w:r>
    </w:p>
    <w:p w14:paraId="7E134FD1">
      <w:pPr>
        <w:pStyle w:val="9"/>
        <w:spacing w:before="17" w:line="249" w:lineRule="auto"/>
        <w:ind w:right="98" w:firstLine="450"/>
        <w:rPr>
          <w:rFonts w:hint="eastAsia"/>
          <w:color w:val="231F20"/>
        </w:rPr>
      </w:pPr>
    </w:p>
    <w:p w14:paraId="76A5B8C9">
      <w:pPr>
        <w:pStyle w:val="9"/>
        <w:spacing w:before="17" w:line="249" w:lineRule="auto"/>
        <w:ind w:right="98" w:firstLine="450"/>
        <w:rPr>
          <w:rFonts w:hint="eastAsia"/>
          <w:color w:val="231F20"/>
        </w:rPr>
      </w:pPr>
      <w:r>
        <w:rPr>
          <w:rFonts w:hint="eastAsia"/>
          <w:color w:val="231F20"/>
        </w:rPr>
        <w:t>Revelation 8:13 is transitional.</w:t>
      </w:r>
    </w:p>
    <w:p w14:paraId="10310502">
      <w:pPr>
        <w:pStyle w:val="9"/>
        <w:spacing w:before="17" w:line="249" w:lineRule="auto"/>
        <w:ind w:right="98" w:firstLine="450"/>
        <w:rPr>
          <w:rFonts w:hint="eastAsia"/>
          <w:color w:val="231F20"/>
        </w:rPr>
      </w:pPr>
      <w:r>
        <w:rPr>
          <w:rFonts w:hint="eastAsia"/>
          <w:color w:val="231F20"/>
        </w:rPr>
        <w:t>《启示录》8:13是过渡性的。</w:t>
      </w:r>
    </w:p>
    <w:p w14:paraId="10B81B8F">
      <w:pPr>
        <w:pStyle w:val="9"/>
        <w:spacing w:before="17" w:line="249" w:lineRule="auto"/>
        <w:ind w:right="98" w:firstLine="450"/>
        <w:rPr>
          <w:rFonts w:hint="eastAsia"/>
          <w:color w:val="231F20"/>
        </w:rPr>
      </w:pPr>
    </w:p>
    <w:p w14:paraId="7F8FDFF0">
      <w:pPr>
        <w:pStyle w:val="9"/>
        <w:spacing w:before="17" w:line="249" w:lineRule="auto"/>
        <w:ind w:right="98" w:firstLine="450"/>
        <w:rPr>
          <w:rFonts w:hint="eastAsia"/>
          <w:color w:val="231F20"/>
        </w:rPr>
      </w:pPr>
      <w:r>
        <w:rPr>
          <w:rFonts w:hint="eastAsia"/>
          <w:color w:val="231F20"/>
        </w:rPr>
        <w:t>It announces that the remainder of the cycle will be devoted to examining three “woes,” woes that are identical with the last three trumpets.</w:t>
      </w:r>
    </w:p>
    <w:p w14:paraId="5965E50A">
      <w:pPr>
        <w:pStyle w:val="9"/>
        <w:spacing w:before="17" w:line="249" w:lineRule="auto"/>
        <w:ind w:right="98" w:firstLine="450"/>
        <w:rPr>
          <w:rFonts w:hint="eastAsia"/>
          <w:color w:val="231F20"/>
        </w:rPr>
      </w:pPr>
      <w:r>
        <w:rPr>
          <w:rFonts w:hint="eastAsia"/>
          <w:color w:val="231F20"/>
        </w:rPr>
        <w:t>它宣告循环的剩余部分将致力于审视三样“灾祸”，这些灾祸与最后三枝号筒是相同的。</w:t>
      </w:r>
    </w:p>
    <w:p w14:paraId="65C77812">
      <w:pPr>
        <w:pStyle w:val="9"/>
        <w:spacing w:before="17" w:line="249" w:lineRule="auto"/>
        <w:ind w:right="98" w:firstLine="450"/>
        <w:rPr>
          <w:rFonts w:hint="eastAsia"/>
          <w:color w:val="231F20"/>
        </w:rPr>
      </w:pPr>
    </w:p>
    <w:p w14:paraId="43DF0DB8">
      <w:pPr>
        <w:pStyle w:val="9"/>
        <w:spacing w:before="17" w:line="249" w:lineRule="auto"/>
        <w:ind w:right="98" w:firstLine="450"/>
        <w:rPr>
          <w:rFonts w:hint="eastAsia"/>
          <w:color w:val="231F20"/>
        </w:rPr>
      </w:pPr>
      <w:r>
        <w:rPr>
          <w:rFonts w:hint="eastAsia"/>
          <w:color w:val="231F20"/>
        </w:rPr>
        <w:t>Here, we are put on notice: The final three trumpets will bring especially painful (woeful) afflictions upon the inhabitants of the earth; the first two will loudly trumpet the final judgment, the third will actually be the final Judgment (Mt. 11:12).</w:t>
      </w:r>
    </w:p>
    <w:p w14:paraId="0BF30151">
      <w:pPr>
        <w:pStyle w:val="9"/>
        <w:spacing w:before="17" w:line="249" w:lineRule="auto"/>
        <w:ind w:right="98" w:firstLine="450"/>
        <w:rPr>
          <w:rFonts w:hint="eastAsia"/>
          <w:color w:val="231F20"/>
        </w:rPr>
      </w:pPr>
      <w:r>
        <w:rPr>
          <w:rFonts w:hint="eastAsia"/>
          <w:color w:val="231F20"/>
        </w:rPr>
        <w:t>在这里，我们得到警告：最后三枝号筒将给地上的居民带来特别痛苦（悲惨）的苦难；前两枝将大声宣告最后的审判，第三枝实际上就是最后的审判（太11:12）。</w:t>
      </w:r>
    </w:p>
    <w:p w14:paraId="7F9A964B">
      <w:pPr>
        <w:pStyle w:val="9"/>
        <w:spacing w:before="17" w:line="249" w:lineRule="auto"/>
        <w:ind w:right="98" w:firstLine="450"/>
        <w:rPr>
          <w:rFonts w:hint="eastAsia"/>
          <w:color w:val="231F20"/>
        </w:rPr>
      </w:pPr>
    </w:p>
    <w:p w14:paraId="35AAC102">
      <w:pPr>
        <w:pStyle w:val="9"/>
        <w:spacing w:before="17" w:line="249" w:lineRule="auto"/>
        <w:ind w:right="98" w:firstLine="450"/>
        <w:rPr>
          <w:rFonts w:hint="eastAsia"/>
          <w:color w:val="231F20"/>
        </w:rPr>
      </w:pPr>
      <w:r>
        <w:rPr>
          <w:rFonts w:hint="eastAsia"/>
          <w:color w:val="231F20"/>
        </w:rPr>
        <w:t>Chapter 9, which describes the fifth and sixth trumpet judgments, is yet another unit.</w:t>
      </w:r>
    </w:p>
    <w:p w14:paraId="3B4F3E05">
      <w:pPr>
        <w:pStyle w:val="9"/>
        <w:spacing w:before="17" w:line="249" w:lineRule="auto"/>
        <w:ind w:right="98" w:firstLine="450"/>
        <w:rPr>
          <w:rFonts w:hint="eastAsia"/>
          <w:color w:val="231F20"/>
        </w:rPr>
      </w:pPr>
      <w:r>
        <w:rPr>
          <w:rFonts w:hint="eastAsia"/>
          <w:color w:val="231F20"/>
        </w:rPr>
        <w:t>第9章，描述了第五和第六号的审判，是又一个单元。</w:t>
      </w:r>
    </w:p>
    <w:p w14:paraId="78A9F67A">
      <w:pPr>
        <w:pStyle w:val="9"/>
        <w:spacing w:before="17" w:line="249" w:lineRule="auto"/>
        <w:ind w:right="98" w:firstLine="450"/>
        <w:rPr>
          <w:rFonts w:hint="eastAsia"/>
          <w:color w:val="231F20"/>
        </w:rPr>
      </w:pPr>
    </w:p>
    <w:p w14:paraId="6A0F5E2F">
      <w:pPr>
        <w:pStyle w:val="9"/>
        <w:spacing w:before="17" w:line="249" w:lineRule="auto"/>
        <w:ind w:right="98" w:firstLine="450"/>
        <w:rPr>
          <w:rFonts w:hint="eastAsia"/>
          <w:color w:val="231F20"/>
        </w:rPr>
      </w:pPr>
      <w:r>
        <w:rPr>
          <w:rFonts w:hint="eastAsia"/>
          <w:color w:val="231F20"/>
        </w:rPr>
        <w:t>Here, judgment is not upon nature by the hand of God, but upon man and society by the instrumentality of Satan.</w:t>
      </w:r>
    </w:p>
    <w:p w14:paraId="3DAE5EB2">
      <w:pPr>
        <w:pStyle w:val="9"/>
        <w:spacing w:before="17" w:line="249" w:lineRule="auto"/>
        <w:ind w:right="98" w:firstLine="450"/>
        <w:rPr>
          <w:rFonts w:hint="eastAsia"/>
          <w:color w:val="231F20"/>
        </w:rPr>
      </w:pPr>
      <w:r>
        <w:rPr>
          <w:rFonts w:hint="eastAsia"/>
          <w:color w:val="231F20"/>
        </w:rPr>
        <w:t>在这里，审判不是上帝之手施于自然界，而是通过撒但的工具施于人和社会。</w:t>
      </w:r>
    </w:p>
    <w:p w14:paraId="7D9E70E1">
      <w:pPr>
        <w:pStyle w:val="9"/>
        <w:spacing w:before="17" w:line="249" w:lineRule="auto"/>
        <w:ind w:right="98" w:firstLine="450"/>
        <w:rPr>
          <w:rFonts w:hint="eastAsia"/>
          <w:color w:val="231F20"/>
        </w:rPr>
      </w:pPr>
    </w:p>
    <w:p w14:paraId="39928EA7">
      <w:pPr>
        <w:pStyle w:val="9"/>
        <w:spacing w:before="17" w:line="249" w:lineRule="auto"/>
        <w:ind w:right="98" w:firstLine="450"/>
        <w:rPr>
          <w:rFonts w:hint="eastAsia"/>
          <w:color w:val="231F20"/>
        </w:rPr>
      </w:pPr>
      <w:r>
        <w:rPr>
          <w:rFonts w:hint="eastAsia"/>
          <w:color w:val="231F20"/>
        </w:rPr>
        <w:t>Verses 1-11, which give us the fifth trumpet judgment, draw upon the prophecies of Joel to picture God delivering Gospel-hardened sinners over to Satan, who in turn commissions his demonic hosts to darken and torment the minds of his willing human subjects.</w:t>
      </w:r>
    </w:p>
    <w:p w14:paraId="676E2D42">
      <w:pPr>
        <w:pStyle w:val="9"/>
        <w:spacing w:before="17" w:line="249" w:lineRule="auto"/>
        <w:ind w:right="98" w:firstLine="450"/>
        <w:rPr>
          <w:rFonts w:hint="eastAsia"/>
          <w:color w:val="231F20"/>
        </w:rPr>
      </w:pPr>
      <w:r>
        <w:rPr>
          <w:rFonts w:hint="eastAsia"/>
          <w:color w:val="231F20"/>
        </w:rPr>
        <w:t>第1-11节，给我们第五号的审判，借鉴了约珥的预言，描绘上帝将那些对福音心硬的罪人交给了撒但，撒但则委派他的魔鬼大军去使他那些甘心顺从的人类臣民心智昏暗、备受折磨。</w:t>
      </w:r>
    </w:p>
    <w:p w14:paraId="36DF497B">
      <w:pPr>
        <w:pStyle w:val="9"/>
        <w:spacing w:before="17" w:line="249" w:lineRule="auto"/>
        <w:ind w:right="98" w:firstLine="450"/>
        <w:rPr>
          <w:rFonts w:hint="eastAsia"/>
          <w:color w:val="231F20"/>
        </w:rPr>
      </w:pPr>
    </w:p>
    <w:p w14:paraId="257332C5">
      <w:pPr>
        <w:pStyle w:val="9"/>
        <w:spacing w:before="17" w:line="249" w:lineRule="auto"/>
        <w:ind w:right="98" w:firstLine="450"/>
        <w:rPr>
          <w:rFonts w:hint="eastAsia"/>
          <w:color w:val="231F20"/>
        </w:rPr>
      </w:pPr>
      <w:r>
        <w:rPr>
          <w:rFonts w:hint="eastAsia"/>
          <w:color w:val="231F20"/>
        </w:rPr>
        <w:t>Verses 12-21, which describe the sixth trumpet judgment, give us much the same, but with this difference: Now Satan is authorized, not only to torment, but also to kill (9:18).</w:t>
      </w:r>
    </w:p>
    <w:p w14:paraId="322AA61C">
      <w:pPr>
        <w:pStyle w:val="9"/>
        <w:spacing w:before="17" w:line="249" w:lineRule="auto"/>
        <w:ind w:right="98" w:firstLine="450"/>
        <w:rPr>
          <w:rFonts w:hint="eastAsia"/>
          <w:color w:val="231F20"/>
        </w:rPr>
      </w:pPr>
      <w:r>
        <w:rPr>
          <w:rFonts w:hint="eastAsia"/>
          <w:color w:val="231F20"/>
        </w:rPr>
        <w:t>第12-21节，描述了第六号的审判，给我们呈现了大致相同的情景，但有这一点不同：现在撒但被授权，不仅可以折磨，还可以杀人（9:18）。</w:t>
      </w:r>
    </w:p>
    <w:p w14:paraId="26102F31">
      <w:pPr>
        <w:pStyle w:val="9"/>
        <w:spacing w:before="17" w:line="249" w:lineRule="auto"/>
        <w:ind w:right="98" w:firstLine="450"/>
        <w:rPr>
          <w:rFonts w:hint="eastAsia"/>
          <w:color w:val="231F20"/>
        </w:rPr>
      </w:pPr>
    </w:p>
    <w:p w14:paraId="65EF8AC5">
      <w:pPr>
        <w:pStyle w:val="9"/>
        <w:spacing w:before="17" w:line="249" w:lineRule="auto"/>
        <w:ind w:right="98" w:firstLine="450"/>
        <w:rPr>
          <w:rFonts w:hint="eastAsia"/>
          <w:color w:val="231F20"/>
        </w:rPr>
      </w:pPr>
      <w:r>
        <w:rPr>
          <w:rFonts w:hint="eastAsia"/>
          <w:color w:val="231F20"/>
        </w:rPr>
        <w:t>The martial imagery employed here strongly suggests that their deaths will occur as a result of demonically inspired war and/or social and cultural collapse (Dan. 11:36ff, Rev. 17:6).</w:t>
      </w:r>
    </w:p>
    <w:p w14:paraId="1CC540BE">
      <w:pPr>
        <w:pStyle w:val="9"/>
        <w:spacing w:before="17" w:line="249" w:lineRule="auto"/>
        <w:ind w:right="98" w:firstLine="450"/>
        <w:rPr>
          <w:rFonts w:hint="eastAsia"/>
          <w:color w:val="231F20"/>
        </w:rPr>
      </w:pPr>
      <w:r>
        <w:rPr>
          <w:rFonts w:hint="eastAsia"/>
          <w:color w:val="231F20"/>
        </w:rPr>
        <w:t>这里使用的军事意象强烈暗示，他们的死亡将是由于魔鬼煽动的战争和/或社会文化崩溃的结果（但11:36及以下，启17:6）。</w:t>
      </w:r>
    </w:p>
    <w:p w14:paraId="72E1D324">
      <w:pPr>
        <w:pStyle w:val="9"/>
        <w:spacing w:before="17" w:line="249" w:lineRule="auto"/>
        <w:ind w:right="98" w:firstLine="450"/>
        <w:rPr>
          <w:rFonts w:hint="eastAsia"/>
          <w:color w:val="231F20"/>
        </w:rPr>
      </w:pPr>
    </w:p>
    <w:p w14:paraId="6DB0DF8C">
      <w:pPr>
        <w:pStyle w:val="9"/>
        <w:spacing w:before="17" w:line="249" w:lineRule="auto"/>
        <w:ind w:right="98" w:firstLine="450"/>
        <w:rPr>
          <w:rFonts w:hint="eastAsia"/>
          <w:color w:val="231F20"/>
        </w:rPr>
      </w:pPr>
      <w:r>
        <w:rPr>
          <w:rFonts w:hint="eastAsia"/>
          <w:color w:val="231F20"/>
        </w:rPr>
        <w:t>Observe from verse 18 that only one third of men are killed, a fraction that has already appeared in the first four trumpet judgments (8:6-12).</w:t>
      </w:r>
    </w:p>
    <w:p w14:paraId="785583C4">
      <w:pPr>
        <w:pStyle w:val="9"/>
        <w:spacing w:before="17" w:line="249" w:lineRule="auto"/>
        <w:ind w:right="98" w:firstLine="450"/>
        <w:rPr>
          <w:rFonts w:hint="eastAsia"/>
          <w:color w:val="231F20"/>
        </w:rPr>
      </w:pPr>
      <w:r>
        <w:rPr>
          <w:rFonts w:hint="eastAsia"/>
          <w:color w:val="231F20"/>
        </w:rPr>
        <w:t>从第18节可以看到，只有三分之一的人被杀，这个分数在前面四号的审判中已经出现过（8:6-12）。</w:t>
      </w:r>
    </w:p>
    <w:p w14:paraId="251C55BF">
      <w:pPr>
        <w:pStyle w:val="9"/>
        <w:spacing w:before="17" w:line="249" w:lineRule="auto"/>
        <w:ind w:right="98" w:firstLine="450"/>
        <w:rPr>
          <w:rFonts w:hint="eastAsia"/>
          <w:color w:val="231F20"/>
        </w:rPr>
      </w:pPr>
    </w:p>
    <w:p w14:paraId="050B19F1">
      <w:pPr>
        <w:pStyle w:val="9"/>
        <w:spacing w:before="17" w:line="249" w:lineRule="auto"/>
        <w:ind w:right="98" w:firstLine="450"/>
        <w:rPr>
          <w:rFonts w:hint="eastAsia"/>
          <w:color w:val="231F20"/>
        </w:rPr>
      </w:pPr>
      <w:r>
        <w:rPr>
          <w:rFonts w:hint="eastAsia"/>
          <w:color w:val="231F20"/>
        </w:rPr>
        <w:t>This signals that here too we are dealing with judgments that will befall unbelieving and unrepentant (9:21) humanity throughout the entire Era of Proclamation, whether in ancient Rome, modern Iran, or any other nation that turns against Christ and his Church.</w:t>
      </w:r>
    </w:p>
    <w:p w14:paraId="039EAF21">
      <w:pPr>
        <w:pStyle w:val="9"/>
        <w:spacing w:before="17" w:line="249" w:lineRule="auto"/>
        <w:ind w:right="98" w:firstLine="450"/>
        <w:rPr>
          <w:rFonts w:hint="eastAsia"/>
          <w:color w:val="231F20"/>
        </w:rPr>
      </w:pPr>
      <w:r>
        <w:rPr>
          <w:rFonts w:hint="eastAsia"/>
          <w:color w:val="231F20"/>
        </w:rPr>
        <w:t>这表明，我们在这里处理的也是将在整个宣讲时代临到不信和不悔改（9:21）之人类的审判，无论是在古罗马、现代伊朗，还是任何其他背叛基督和祂教会的国家。</w:t>
      </w:r>
    </w:p>
    <w:p w14:paraId="450B9E7B">
      <w:pPr>
        <w:pStyle w:val="9"/>
        <w:spacing w:before="17" w:line="249" w:lineRule="auto"/>
        <w:ind w:right="98" w:firstLine="450"/>
        <w:rPr>
          <w:rFonts w:hint="eastAsia"/>
          <w:color w:val="231F20"/>
        </w:rPr>
      </w:pPr>
    </w:p>
    <w:p w14:paraId="6910D34B">
      <w:pPr>
        <w:pStyle w:val="9"/>
        <w:spacing w:before="17" w:line="249" w:lineRule="auto"/>
        <w:ind w:right="98" w:firstLine="450"/>
        <w:rPr>
          <w:rFonts w:hint="eastAsia"/>
          <w:color w:val="231F20"/>
        </w:rPr>
      </w:pPr>
      <w:r>
        <w:rPr>
          <w:rFonts w:hint="eastAsia"/>
          <w:color w:val="231F20"/>
        </w:rPr>
        <w:t>Note, however, that in reading these verses, one cannot help but feel they apply with special force to the generation of the end (see 11:14; Mt. 24:15-28, Luke 21:25-26).</w:t>
      </w:r>
    </w:p>
    <w:p w14:paraId="38A0783F">
      <w:pPr>
        <w:pStyle w:val="9"/>
        <w:spacing w:before="17" w:line="249" w:lineRule="auto"/>
        <w:ind w:right="98" w:firstLine="450"/>
        <w:rPr>
          <w:rFonts w:hint="eastAsia"/>
          <w:color w:val="231F20"/>
        </w:rPr>
      </w:pPr>
      <w:r>
        <w:rPr>
          <w:rFonts w:hint="eastAsia"/>
          <w:color w:val="231F20"/>
        </w:rPr>
        <w:t>然而，请注意，在阅读这些经文时，人不禁会感到它们特别适用于末后的那一代人（见11:14；太24:15-28，路21:25-26）。</w:t>
      </w:r>
    </w:p>
    <w:p w14:paraId="456BA4FD">
      <w:pPr>
        <w:pStyle w:val="9"/>
        <w:spacing w:before="17" w:line="249" w:lineRule="auto"/>
        <w:ind w:right="98" w:firstLine="450"/>
        <w:rPr>
          <w:rFonts w:hint="eastAsia"/>
          <w:color w:val="231F20"/>
        </w:rPr>
      </w:pPr>
    </w:p>
    <w:p w14:paraId="1DC136DF">
      <w:pPr>
        <w:pStyle w:val="9"/>
        <w:spacing w:before="17" w:line="249" w:lineRule="auto"/>
        <w:ind w:right="98" w:firstLine="450"/>
        <w:rPr>
          <w:rFonts w:hint="eastAsia"/>
          <w:color w:val="231F20"/>
        </w:rPr>
      </w:pPr>
      <w:r>
        <w:rPr>
          <w:rFonts w:hint="eastAsia"/>
          <w:color w:val="231F20"/>
        </w:rPr>
        <w:t>The stage is now set: We are ready to hear the seventh trumpet and see the third woe.</w:t>
      </w:r>
    </w:p>
    <w:p w14:paraId="0CBB97D9">
      <w:pPr>
        <w:pStyle w:val="9"/>
        <w:spacing w:before="17" w:line="249" w:lineRule="auto"/>
        <w:ind w:right="98" w:firstLine="450"/>
        <w:rPr>
          <w:rFonts w:hint="eastAsia"/>
          <w:color w:val="231F20"/>
        </w:rPr>
      </w:pPr>
      <w:r>
        <w:rPr>
          <w:rFonts w:hint="eastAsia"/>
          <w:color w:val="231F20"/>
        </w:rPr>
        <w:t>舞台现已搭好：我们准备好听第七号和看第三样灾祸了。</w:t>
      </w:r>
    </w:p>
    <w:p w14:paraId="4A71EA45">
      <w:pPr>
        <w:pStyle w:val="9"/>
        <w:spacing w:before="17" w:line="249" w:lineRule="auto"/>
        <w:ind w:right="98" w:firstLine="450"/>
        <w:rPr>
          <w:rFonts w:hint="eastAsia"/>
          <w:color w:val="231F20"/>
        </w:rPr>
      </w:pPr>
    </w:p>
    <w:p w14:paraId="70AF5077">
      <w:pPr>
        <w:pStyle w:val="9"/>
        <w:spacing w:before="17" w:line="249" w:lineRule="auto"/>
        <w:ind w:right="98" w:firstLine="450"/>
        <w:rPr>
          <w:rFonts w:hint="eastAsia"/>
          <w:color w:val="231F20"/>
        </w:rPr>
      </w:pPr>
      <w:r>
        <w:rPr>
          <w:rFonts w:hint="eastAsia"/>
          <w:color w:val="231F20"/>
        </w:rPr>
        <w:t>But strange to tell, there is an unexpected interlude; or rather, there is a prelude—and it is nearly two chapters long!</w:t>
      </w:r>
    </w:p>
    <w:p w14:paraId="4190F7B0">
      <w:pPr>
        <w:pStyle w:val="9"/>
        <w:spacing w:before="17" w:line="249" w:lineRule="auto"/>
        <w:ind w:right="98" w:firstLine="450"/>
        <w:rPr>
          <w:rFonts w:hint="eastAsia"/>
          <w:color w:val="231F20"/>
        </w:rPr>
      </w:pPr>
      <w:r>
        <w:rPr>
          <w:rFonts w:hint="eastAsia"/>
          <w:color w:val="231F20"/>
        </w:rPr>
        <w:t>但说来奇怪，有一个意想不到的插曲；或者更确切地说，有一个前奏——而且它将近两章长！</w:t>
      </w:r>
    </w:p>
    <w:p w14:paraId="476CD149">
      <w:pPr>
        <w:pStyle w:val="9"/>
        <w:spacing w:before="17" w:line="249" w:lineRule="auto"/>
        <w:ind w:right="98" w:firstLine="450"/>
        <w:rPr>
          <w:rFonts w:hint="eastAsia"/>
          <w:color w:val="231F20"/>
        </w:rPr>
      </w:pPr>
    </w:p>
    <w:p w14:paraId="5B61DB25">
      <w:pPr>
        <w:pStyle w:val="9"/>
        <w:spacing w:before="17" w:line="249" w:lineRule="auto"/>
        <w:ind w:right="98" w:firstLine="450"/>
        <w:rPr>
          <w:rFonts w:hint="eastAsia"/>
          <w:color w:val="231F20"/>
        </w:rPr>
      </w:pPr>
      <w:r>
        <w:rPr>
          <w:rFonts w:hint="eastAsia"/>
          <w:color w:val="231F20"/>
        </w:rPr>
        <w:t>Why so?</w:t>
      </w:r>
    </w:p>
    <w:p w14:paraId="7CC6AD02">
      <w:pPr>
        <w:pStyle w:val="9"/>
        <w:spacing w:before="17" w:line="249" w:lineRule="auto"/>
        <w:ind w:right="98" w:firstLine="450"/>
        <w:rPr>
          <w:rFonts w:hint="eastAsia"/>
          <w:color w:val="231F20"/>
        </w:rPr>
      </w:pPr>
      <w:r>
        <w:rPr>
          <w:rFonts w:hint="eastAsia"/>
          <w:color w:val="231F20"/>
        </w:rPr>
        <w:t>为何如此？</w:t>
      </w:r>
    </w:p>
    <w:p w14:paraId="70C4CC9C">
      <w:pPr>
        <w:pStyle w:val="9"/>
        <w:spacing w:before="17" w:line="249" w:lineRule="auto"/>
        <w:ind w:right="98" w:firstLine="450"/>
        <w:rPr>
          <w:rFonts w:hint="eastAsia"/>
          <w:color w:val="231F20"/>
        </w:rPr>
      </w:pPr>
    </w:p>
    <w:p w14:paraId="3E568178">
      <w:pPr>
        <w:pStyle w:val="9"/>
        <w:spacing w:before="17" w:line="249" w:lineRule="auto"/>
        <w:ind w:right="98" w:firstLine="450"/>
        <w:rPr>
          <w:rFonts w:hint="eastAsia"/>
          <w:color w:val="231F20"/>
        </w:rPr>
      </w:pPr>
      <w:r>
        <w:rPr>
          <w:rFonts w:hint="eastAsia"/>
          <w:color w:val="231F20"/>
        </w:rPr>
        <w:t>It is because Christ has something of great importance to tell the Church about events immediately preceding the end.</w:t>
      </w:r>
    </w:p>
    <w:p w14:paraId="35A54970">
      <w:pPr>
        <w:pStyle w:val="9"/>
        <w:spacing w:before="17" w:line="249" w:lineRule="auto"/>
        <w:ind w:right="98" w:firstLine="450"/>
        <w:rPr>
          <w:rFonts w:hint="eastAsia"/>
          <w:color w:val="231F20"/>
        </w:rPr>
      </w:pPr>
      <w:r>
        <w:rPr>
          <w:rFonts w:hint="eastAsia"/>
          <w:color w:val="231F20"/>
        </w:rPr>
        <w:t>这是因为基督有非常重要的事情要告诉教会，关于紧接末了之前的事件。</w:t>
      </w:r>
    </w:p>
    <w:p w14:paraId="3CA7EBFB">
      <w:pPr>
        <w:pStyle w:val="9"/>
        <w:spacing w:before="17" w:line="249" w:lineRule="auto"/>
        <w:ind w:right="98" w:firstLine="450"/>
        <w:rPr>
          <w:rFonts w:hint="eastAsia"/>
          <w:color w:val="231F20"/>
        </w:rPr>
      </w:pPr>
    </w:p>
    <w:p w14:paraId="1B1AAD3B">
      <w:pPr>
        <w:pStyle w:val="9"/>
        <w:spacing w:before="17" w:line="249" w:lineRule="auto"/>
        <w:ind w:right="98" w:firstLine="450"/>
        <w:rPr>
          <w:rFonts w:hint="eastAsia"/>
          <w:color w:val="231F20"/>
        </w:rPr>
      </w:pPr>
      <w:r>
        <w:rPr>
          <w:rFonts w:hint="eastAsia"/>
          <w:color w:val="231F20"/>
        </w:rPr>
        <w:t>This is evident from the contents of chapter 10.</w:t>
      </w:r>
    </w:p>
    <w:p w14:paraId="31EDA673">
      <w:pPr>
        <w:pStyle w:val="9"/>
        <w:spacing w:before="17" w:line="249" w:lineRule="auto"/>
        <w:ind w:right="98" w:firstLine="450"/>
        <w:rPr>
          <w:rFonts w:hint="eastAsia"/>
          <w:color w:val="231F20"/>
        </w:rPr>
      </w:pPr>
      <w:r>
        <w:rPr>
          <w:rFonts w:hint="eastAsia"/>
          <w:color w:val="231F20"/>
        </w:rPr>
        <w:t>这从第10章的内容中显而易见。</w:t>
      </w:r>
    </w:p>
    <w:p w14:paraId="670ABBB9">
      <w:pPr>
        <w:pStyle w:val="9"/>
        <w:spacing w:before="17" w:line="249" w:lineRule="auto"/>
        <w:ind w:right="98" w:firstLine="450"/>
        <w:rPr>
          <w:rFonts w:hint="eastAsia"/>
          <w:color w:val="231F20"/>
        </w:rPr>
      </w:pPr>
    </w:p>
    <w:p w14:paraId="53E978BE">
      <w:pPr>
        <w:pStyle w:val="9"/>
        <w:spacing w:before="17" w:line="249" w:lineRule="auto"/>
        <w:ind w:right="98" w:firstLine="450"/>
        <w:rPr>
          <w:rFonts w:hint="eastAsia"/>
          <w:color w:val="231F20"/>
        </w:rPr>
      </w:pPr>
      <w:r>
        <w:rPr>
          <w:rFonts w:hint="eastAsia"/>
          <w:color w:val="231F20"/>
        </w:rPr>
        <w:t>In verses 1-7, John sees a strong angel—very Christ-like—straddling, as it were, the whole world.</w:t>
      </w:r>
    </w:p>
    <w:p w14:paraId="1C3D66B0">
      <w:pPr>
        <w:pStyle w:val="9"/>
        <w:spacing w:before="17" w:line="249" w:lineRule="auto"/>
        <w:ind w:right="98" w:firstLine="450"/>
        <w:rPr>
          <w:rFonts w:hint="eastAsia"/>
          <w:color w:val="231F20"/>
        </w:rPr>
      </w:pPr>
      <w:r>
        <w:rPr>
          <w:rFonts w:hint="eastAsia"/>
          <w:color w:val="231F20"/>
        </w:rPr>
        <w:t>在第1-7节，约翰看见一位大力的天使——非常像基督——仿佛跨立在全世界之上。</w:t>
      </w:r>
    </w:p>
    <w:p w14:paraId="5486533B">
      <w:pPr>
        <w:pStyle w:val="9"/>
        <w:spacing w:before="17" w:line="249" w:lineRule="auto"/>
        <w:ind w:right="98" w:firstLine="450"/>
        <w:rPr>
          <w:rFonts w:hint="eastAsia"/>
          <w:color w:val="231F20"/>
        </w:rPr>
      </w:pPr>
    </w:p>
    <w:p w14:paraId="0EB350D9">
      <w:pPr>
        <w:pStyle w:val="9"/>
        <w:spacing w:before="17" w:line="249" w:lineRule="auto"/>
        <w:ind w:right="98" w:firstLine="450"/>
        <w:rPr>
          <w:rFonts w:hint="eastAsia"/>
          <w:color w:val="231F20"/>
        </w:rPr>
      </w:pPr>
      <w:r>
        <w:rPr>
          <w:rFonts w:hint="eastAsia"/>
          <w:color w:val="231F20"/>
        </w:rPr>
        <w:t>Lifting his right hand, he swears by the (omnipotent) Maker of heaven and earth that when the first six trumpets have sounded “… there shall be delay no longer, but in the days of the voice of the seventh angel, when he is about the sound, the mystery of God is finished, as he announced to his servants the prophets” (10:7).</w:t>
      </w:r>
    </w:p>
    <w:p w14:paraId="70790D5F">
      <w:pPr>
        <w:pStyle w:val="9"/>
        <w:spacing w:before="17" w:line="249" w:lineRule="auto"/>
        <w:ind w:right="98" w:firstLine="450"/>
        <w:rPr>
          <w:rFonts w:hint="eastAsia"/>
          <w:color w:val="231F20"/>
        </w:rPr>
      </w:pPr>
      <w:r>
        <w:rPr>
          <w:rFonts w:hint="eastAsia"/>
          <w:color w:val="231F20"/>
        </w:rPr>
        <w:t>他举起右手，指着那（全能的）创造天地的发誓说，当头六枝号吹响后，“……不再有时日了。但在第七位天使吹号发声的日子，上帝的奥秘就成全了，正如祂所传给祂仆人众先知的好信息”（10:7）。</w:t>
      </w:r>
    </w:p>
    <w:p w14:paraId="5D6EA36B">
      <w:pPr>
        <w:pStyle w:val="9"/>
        <w:spacing w:before="17" w:line="249" w:lineRule="auto"/>
        <w:ind w:right="98" w:firstLine="450"/>
        <w:rPr>
          <w:rFonts w:hint="eastAsia"/>
          <w:color w:val="231F20"/>
        </w:rPr>
      </w:pPr>
    </w:p>
    <w:p w14:paraId="4A2C51C9">
      <w:pPr>
        <w:pStyle w:val="9"/>
        <w:spacing w:before="17" w:line="249" w:lineRule="auto"/>
        <w:ind w:right="98" w:firstLine="450"/>
        <w:rPr>
          <w:rFonts w:hint="eastAsia"/>
          <w:color w:val="231F20"/>
        </w:rPr>
      </w:pPr>
      <w:r>
        <w:rPr>
          <w:rFonts w:hint="eastAsia"/>
          <w:color w:val="231F20"/>
        </w:rPr>
        <w:t>We dare not miss the significance of this.</w:t>
      </w:r>
    </w:p>
    <w:p w14:paraId="4E589E31">
      <w:pPr>
        <w:pStyle w:val="9"/>
        <w:spacing w:before="17" w:line="249" w:lineRule="auto"/>
        <w:ind w:right="98" w:firstLine="450"/>
        <w:rPr>
          <w:rFonts w:hint="eastAsia"/>
          <w:color w:val="231F20"/>
        </w:rPr>
      </w:pPr>
      <w:r>
        <w:rPr>
          <w:rFonts w:hint="eastAsia"/>
          <w:color w:val="231F20"/>
        </w:rPr>
        <w:t>我们绝不能错过这一点的重要性。</w:t>
      </w:r>
    </w:p>
    <w:p w14:paraId="7E1CF99C">
      <w:pPr>
        <w:pStyle w:val="9"/>
        <w:spacing w:before="17" w:line="249" w:lineRule="auto"/>
        <w:ind w:right="98" w:firstLine="450"/>
        <w:rPr>
          <w:rFonts w:hint="eastAsia"/>
          <w:color w:val="231F20"/>
        </w:rPr>
      </w:pPr>
    </w:p>
    <w:p w14:paraId="7C3C3C67">
      <w:pPr>
        <w:pStyle w:val="9"/>
        <w:spacing w:before="17" w:line="249" w:lineRule="auto"/>
        <w:ind w:right="98" w:firstLine="450"/>
        <w:rPr>
          <w:rFonts w:hint="eastAsia"/>
          <w:color w:val="231F20"/>
        </w:rPr>
      </w:pPr>
      <w:r>
        <w:rPr>
          <w:rFonts w:hint="eastAsia"/>
          <w:color w:val="231F20"/>
        </w:rPr>
        <w:t>Here Christ is telling us that at the end of the Era of Proclamation, after the six trumpet judgments have done their work, the Consummation will come.</w:t>
      </w:r>
    </w:p>
    <w:p w14:paraId="7C30FCED">
      <w:pPr>
        <w:pStyle w:val="9"/>
        <w:spacing w:before="17" w:line="249" w:lineRule="auto"/>
        <w:ind w:right="98" w:firstLine="450"/>
        <w:rPr>
          <w:rFonts w:hint="eastAsia"/>
          <w:color w:val="231F20"/>
        </w:rPr>
      </w:pPr>
      <w:r>
        <w:rPr>
          <w:rFonts w:hint="eastAsia"/>
          <w:color w:val="231F20"/>
        </w:rPr>
        <w:t>在这里，基督告诉我们，在宣讲时代的末了，当六号的审判完成了它们的工作之后，最终的成全将会来临。</w:t>
      </w:r>
    </w:p>
    <w:p w14:paraId="19C3F8B6">
      <w:pPr>
        <w:pStyle w:val="9"/>
        <w:spacing w:before="17" w:line="249" w:lineRule="auto"/>
        <w:ind w:right="98" w:firstLine="450"/>
        <w:rPr>
          <w:rFonts w:hint="eastAsia"/>
          <w:color w:val="231F20"/>
        </w:rPr>
      </w:pPr>
    </w:p>
    <w:p w14:paraId="7B61A5F5">
      <w:pPr>
        <w:pStyle w:val="9"/>
        <w:spacing w:before="17" w:line="249" w:lineRule="auto"/>
        <w:ind w:right="98" w:firstLine="450"/>
        <w:rPr>
          <w:rFonts w:hint="eastAsia"/>
          <w:color w:val="231F20"/>
        </w:rPr>
      </w:pPr>
      <w:r>
        <w:rPr>
          <w:rFonts w:hint="eastAsia"/>
          <w:color w:val="231F20"/>
        </w:rPr>
        <w:t>The “mystery of God”—his entire redemptive plan, announced in the Gospel—will be fully accomplished.9</w:t>
      </w:r>
    </w:p>
    <w:p w14:paraId="0883A791">
      <w:pPr>
        <w:pStyle w:val="9"/>
        <w:spacing w:before="17" w:line="249" w:lineRule="auto"/>
        <w:ind w:right="98" w:firstLine="450"/>
        <w:rPr>
          <w:rFonts w:hint="eastAsia"/>
          <w:color w:val="231F20"/>
        </w:rPr>
      </w:pPr>
      <w:r>
        <w:rPr>
          <w:rFonts w:hint="eastAsia"/>
          <w:color w:val="231F20"/>
        </w:rPr>
        <w:t>“上帝的奥秘”——祂整个在福音中宣告的救赎计划——将被完全成就。9</w:t>
      </w:r>
    </w:p>
    <w:p w14:paraId="6A520DAD">
      <w:pPr>
        <w:pStyle w:val="9"/>
        <w:spacing w:before="17" w:line="249" w:lineRule="auto"/>
        <w:ind w:right="98" w:firstLine="450"/>
        <w:rPr>
          <w:rFonts w:hint="eastAsia"/>
          <w:color w:val="231F20"/>
        </w:rPr>
      </w:pPr>
    </w:p>
    <w:p w14:paraId="45C02E1C">
      <w:pPr>
        <w:pStyle w:val="9"/>
        <w:spacing w:before="17" w:line="249" w:lineRule="auto"/>
        <w:ind w:right="98" w:firstLine="450"/>
        <w:rPr>
          <w:rFonts w:hint="eastAsia"/>
          <w:color w:val="231F20"/>
        </w:rPr>
      </w:pPr>
      <w:r>
        <w:rPr>
          <w:rFonts w:hint="eastAsia"/>
          <w:color w:val="231F20"/>
        </w:rPr>
        <w:t>However, as verses 9-11 reveal, before it is accomplished, something bittersweet must occur.</w:t>
      </w:r>
    </w:p>
    <w:p w14:paraId="44D34C4A">
      <w:pPr>
        <w:pStyle w:val="9"/>
        <w:spacing w:before="17" w:line="249" w:lineRule="auto"/>
        <w:ind w:right="98" w:firstLine="450"/>
        <w:rPr>
          <w:rFonts w:hint="eastAsia"/>
          <w:color w:val="231F20"/>
        </w:rPr>
      </w:pPr>
      <w:r>
        <w:rPr>
          <w:rFonts w:hint="eastAsia"/>
          <w:color w:val="231F20"/>
        </w:rPr>
        <w:t>然而，如第9-11节所揭示，在它成就之前，必须发生一些苦乐参半的事情。</w:t>
      </w:r>
    </w:p>
    <w:p w14:paraId="77DD11FA">
      <w:pPr>
        <w:pStyle w:val="9"/>
        <w:spacing w:before="17" w:line="249" w:lineRule="auto"/>
        <w:ind w:right="98" w:firstLine="450"/>
        <w:rPr>
          <w:rFonts w:hint="eastAsia"/>
          <w:color w:val="231F20"/>
        </w:rPr>
      </w:pPr>
    </w:p>
    <w:p w14:paraId="4ED78AE8">
      <w:pPr>
        <w:pStyle w:val="9"/>
        <w:spacing w:before="17" w:line="249" w:lineRule="auto"/>
        <w:ind w:right="98" w:firstLine="450"/>
        <w:rPr>
          <w:rFonts w:hint="eastAsia"/>
          <w:color w:val="231F20"/>
        </w:rPr>
      </w:pPr>
      <w:r>
        <w:rPr>
          <w:rFonts w:hint="eastAsia"/>
          <w:color w:val="231F20"/>
        </w:rPr>
        <w:t>It is written in the little book in the angel’s hand, which John now eats, and then, in chapter 11, declares to us all.</w:t>
      </w:r>
    </w:p>
    <w:p w14:paraId="0C908E6C">
      <w:pPr>
        <w:pStyle w:val="9"/>
        <w:spacing w:before="17" w:line="249" w:lineRule="auto"/>
        <w:ind w:right="98" w:firstLine="450"/>
        <w:rPr>
          <w:rFonts w:hint="eastAsia"/>
          <w:color w:val="231F20"/>
        </w:rPr>
      </w:pPr>
      <w:r>
        <w:rPr>
          <w:rFonts w:hint="eastAsia"/>
          <w:color w:val="231F20"/>
        </w:rPr>
        <w:t>这写在天使手中的小书卷里，约翰现在吃了它，然后在第11章中向我们所有人宣告。</w:t>
      </w:r>
    </w:p>
    <w:p w14:paraId="6C6DF254">
      <w:pPr>
        <w:pStyle w:val="9"/>
        <w:spacing w:before="17" w:line="249" w:lineRule="auto"/>
        <w:ind w:right="98" w:firstLine="450"/>
        <w:rPr>
          <w:rFonts w:hint="eastAsia"/>
          <w:color w:val="231F20"/>
        </w:rPr>
      </w:pPr>
    </w:p>
    <w:p w14:paraId="34D42F97">
      <w:pPr>
        <w:pStyle w:val="9"/>
        <w:spacing w:before="17" w:line="249" w:lineRule="auto"/>
        <w:ind w:right="98" w:firstLine="450"/>
        <w:rPr>
          <w:rFonts w:hint="eastAsia"/>
          <w:color w:val="231F20"/>
        </w:rPr>
      </w:pPr>
      <w:r>
        <w:rPr>
          <w:rFonts w:hint="eastAsia"/>
          <w:color w:val="231F20"/>
        </w:rPr>
        <w:t>Since it is global in its scope, affecting all men and nations, the saints do well to listen with care (10:11)!</w:t>
      </w:r>
    </w:p>
    <w:p w14:paraId="1472FAF2">
      <w:pPr>
        <w:pStyle w:val="9"/>
        <w:spacing w:before="17" w:line="249" w:lineRule="auto"/>
        <w:ind w:right="98" w:firstLine="450"/>
        <w:rPr>
          <w:rFonts w:hint="eastAsia"/>
          <w:color w:val="231F20"/>
        </w:rPr>
      </w:pPr>
      <w:r>
        <w:rPr>
          <w:rFonts w:hint="eastAsia"/>
          <w:color w:val="231F20"/>
        </w:rPr>
        <w:t>由于其范围是全球性的，影响所有人和所有国家，圣徒们最好仔细聆听（10:11）！</w:t>
      </w:r>
    </w:p>
    <w:p w14:paraId="5206AB6E">
      <w:pPr>
        <w:pStyle w:val="9"/>
        <w:spacing w:before="17" w:line="249" w:lineRule="auto"/>
        <w:ind w:right="98" w:firstLine="450"/>
        <w:rPr>
          <w:rFonts w:hint="eastAsia"/>
          <w:color w:val="231F20"/>
        </w:rPr>
      </w:pPr>
    </w:p>
    <w:p w14:paraId="37D17643">
      <w:pPr>
        <w:pStyle w:val="9"/>
        <w:spacing w:before="17" w:line="249" w:lineRule="auto"/>
        <w:ind w:right="98" w:firstLine="450"/>
        <w:rPr>
          <w:rFonts w:hint="eastAsia"/>
          <w:color w:val="231F20"/>
        </w:rPr>
      </w:pPr>
      <w:r>
        <w:rPr>
          <w:rFonts w:hint="eastAsia"/>
          <w:color w:val="231F20"/>
        </w:rPr>
        <w:t>There follows one of the most amazing and illuminating chapters in the Revelation.</w:t>
      </w:r>
    </w:p>
    <w:p w14:paraId="00003D8C">
      <w:pPr>
        <w:pStyle w:val="9"/>
        <w:spacing w:before="17" w:line="249" w:lineRule="auto"/>
        <w:ind w:right="98" w:firstLine="450"/>
        <w:rPr>
          <w:rFonts w:hint="eastAsia"/>
          <w:color w:val="231F20"/>
        </w:rPr>
      </w:pPr>
      <w:r>
        <w:rPr>
          <w:rFonts w:hint="eastAsia"/>
          <w:color w:val="231F20"/>
        </w:rPr>
        <w:t>接下来是《启示录》中最令人惊奇和最具启发性的章节之一。</w:t>
      </w:r>
    </w:p>
    <w:p w14:paraId="27B7CE04">
      <w:pPr>
        <w:pStyle w:val="9"/>
        <w:spacing w:before="17" w:line="249" w:lineRule="auto"/>
        <w:ind w:right="98" w:firstLine="450"/>
        <w:rPr>
          <w:rFonts w:hint="eastAsia"/>
          <w:color w:val="231F20"/>
        </w:rPr>
      </w:pPr>
    </w:p>
    <w:p w14:paraId="522FD36D">
      <w:pPr>
        <w:pStyle w:val="9"/>
        <w:spacing w:before="17" w:line="249" w:lineRule="auto"/>
        <w:ind w:right="98" w:firstLine="450"/>
        <w:rPr>
          <w:rFonts w:hint="eastAsia"/>
          <w:color w:val="231F20"/>
        </w:rPr>
      </w:pPr>
      <w:r>
        <w:rPr>
          <w:rFonts w:hint="eastAsia"/>
          <w:color w:val="231F20"/>
        </w:rPr>
        <w:t>As we shall see, it spans the entire Era of Proclamation (11:1- 6), but focuses largely upon the Last Battle (11:7-10) and the Consummation quickly to follow (11:11-19).</w:t>
      </w:r>
    </w:p>
    <w:p w14:paraId="4B16E910">
      <w:pPr>
        <w:pStyle w:val="9"/>
        <w:spacing w:before="17" w:line="249" w:lineRule="auto"/>
        <w:ind w:right="98" w:firstLine="450"/>
        <w:rPr>
          <w:rFonts w:hint="eastAsia"/>
          <w:color w:val="231F20"/>
        </w:rPr>
      </w:pPr>
      <w:r>
        <w:rPr>
          <w:rFonts w:hint="eastAsia"/>
          <w:color w:val="231F20"/>
        </w:rPr>
        <w:t>我们将看到，它跨越了整个宣讲时代（11:1-6），但主要聚焦于末日争战（11:7-10）和紧随其后的最终成全（11:11-19）。</w:t>
      </w:r>
    </w:p>
    <w:p w14:paraId="03B0BFAF">
      <w:pPr>
        <w:pStyle w:val="9"/>
        <w:spacing w:before="17" w:line="249" w:lineRule="auto"/>
        <w:ind w:right="98" w:firstLine="450"/>
        <w:rPr>
          <w:rFonts w:hint="eastAsia"/>
          <w:color w:val="231F20"/>
        </w:rPr>
      </w:pPr>
    </w:p>
    <w:p w14:paraId="2EFDFF37">
      <w:pPr>
        <w:pStyle w:val="9"/>
        <w:spacing w:before="17" w:line="249" w:lineRule="auto"/>
        <w:ind w:right="98" w:firstLine="450"/>
        <w:rPr>
          <w:rFonts w:hint="eastAsia"/>
          <w:color w:val="231F20"/>
        </w:rPr>
      </w:pPr>
      <w:r>
        <w:rPr>
          <w:rFonts w:hint="eastAsia"/>
          <w:color w:val="231F20"/>
        </w:rPr>
        <w:t>Here is yet another line of evidence favorable to the view that chapters 8-11 must not be interpreted futuristically, but as spanning the whole reign of the High King of Heaven.</w:t>
      </w:r>
    </w:p>
    <w:p w14:paraId="772412E3">
      <w:pPr>
        <w:pStyle w:val="9"/>
        <w:spacing w:before="17" w:line="249" w:lineRule="auto"/>
        <w:ind w:right="98" w:firstLine="450"/>
        <w:rPr>
          <w:rFonts w:hint="eastAsia"/>
          <w:color w:val="231F20"/>
        </w:rPr>
      </w:pPr>
      <w:r>
        <w:rPr>
          <w:rFonts w:hint="eastAsia"/>
          <w:color w:val="231F20"/>
        </w:rPr>
        <w:t>这里又有另一条证据，支持第8-11章不应被未来主义地解释，而应被视为跨越了天上至高君王整个统治时期的观点。</w:t>
      </w:r>
    </w:p>
    <w:p w14:paraId="2B0657A0">
      <w:pPr>
        <w:pStyle w:val="9"/>
        <w:spacing w:before="17" w:line="249" w:lineRule="auto"/>
        <w:ind w:right="98" w:firstLine="450"/>
        <w:rPr>
          <w:rFonts w:hint="eastAsia"/>
          <w:color w:val="231F20"/>
        </w:rPr>
      </w:pPr>
    </w:p>
    <w:p w14:paraId="11A0E2DA">
      <w:pPr>
        <w:pStyle w:val="9"/>
        <w:spacing w:before="17" w:line="249" w:lineRule="auto"/>
        <w:ind w:right="98" w:firstLine="450"/>
        <w:rPr>
          <w:rFonts w:hint="eastAsia"/>
          <w:color w:val="231F20"/>
        </w:rPr>
      </w:pPr>
      <w:r>
        <w:rPr>
          <w:rFonts w:hint="eastAsia"/>
          <w:color w:val="231F20"/>
        </w:rPr>
        <w:t>In symbolic language drawn from the book of Ezekiel and also from Israel’s history, verses 1-2 tell us that throughout the Era of Proclamation (symbolized by 42 months) God will measure his true spiritual Temple (the Church) for eternal protection from the wrath to come; nevertheless, as to her outward existence, she (and her public institutions) will suffer a more or less continual “trampling” (i.e., persecution) beneath the feet of unbelievers (Luke 21:16-19).</w:t>
      </w:r>
    </w:p>
    <w:p w14:paraId="761A4396">
      <w:pPr>
        <w:pStyle w:val="9"/>
        <w:spacing w:before="17" w:line="249" w:lineRule="auto"/>
        <w:ind w:right="98" w:firstLine="450"/>
        <w:rPr>
          <w:rFonts w:hint="eastAsia"/>
          <w:color w:val="231F20"/>
        </w:rPr>
      </w:pPr>
      <w:r>
        <w:rPr>
          <w:rFonts w:hint="eastAsia"/>
          <w:color w:val="231F20"/>
        </w:rPr>
        <w:t>在取自以西结书和以色列历史的象征性语言中，第1-2节告诉我们，在整个宣讲时代（以42个月为象征），上帝将量度祂真实的属灵圣殿（教会），以获得免于将来忿怒的永恒保护；然而，就其外在的存在而言，她（和她的公共机构）将在不信者的脚下遭受或多或少持续的“践踏”（即迫害）（路加福音21:16-19）。</w:t>
      </w:r>
    </w:p>
    <w:p w14:paraId="704B0556">
      <w:pPr>
        <w:pStyle w:val="9"/>
        <w:spacing w:before="17" w:line="249" w:lineRule="auto"/>
        <w:ind w:right="98" w:firstLine="450"/>
        <w:rPr>
          <w:rFonts w:hint="eastAsia"/>
          <w:color w:val="231F20"/>
        </w:rPr>
      </w:pPr>
    </w:p>
    <w:p w14:paraId="771231F4">
      <w:pPr>
        <w:pStyle w:val="9"/>
        <w:spacing w:before="17" w:line="249" w:lineRule="auto"/>
        <w:ind w:right="98" w:firstLine="450"/>
        <w:rPr>
          <w:rFonts w:hint="eastAsia"/>
          <w:color w:val="231F20"/>
        </w:rPr>
      </w:pPr>
      <w:r>
        <w:rPr>
          <w:rFonts w:hint="eastAsia"/>
          <w:color w:val="231F20"/>
        </w:rPr>
        <w:t>Verses 3-6 use Old and New Testament imagery to explain why the Church will receive such ill treatment: Just as Jesus authorized his disciples to go forth two by two as his witnesses to the cities of Israel, so now he authorizes his Church to go forth as Gospel prophets to the whole world (11:3; Luke 10:1, Mt. 28:18ff, Rev. 1:2, 5).</w:t>
      </w:r>
    </w:p>
    <w:p w14:paraId="7D4AB43E">
      <w:pPr>
        <w:pStyle w:val="9"/>
        <w:spacing w:before="17" w:line="249" w:lineRule="auto"/>
        <w:ind w:right="98" w:firstLine="450"/>
        <w:rPr>
          <w:rFonts w:hint="eastAsia"/>
          <w:color w:val="231F20"/>
        </w:rPr>
      </w:pPr>
      <w:r>
        <w:rPr>
          <w:rFonts w:hint="eastAsia"/>
          <w:color w:val="231F20"/>
        </w:rPr>
        <w:t>第3-6节使用旧约和新约的意象来解释为何教会会受到如此恶劣的对待：正如耶稣授权祂的门徒两个两个地出去，作为祂的见证人到以色列的各城去，如今祂也授权祂的教会作为福音的先知到全世界去（11:3；路10:1，太28:18及以下，启1:2, 5）。</w:t>
      </w:r>
    </w:p>
    <w:p w14:paraId="044410EA">
      <w:pPr>
        <w:pStyle w:val="9"/>
        <w:spacing w:before="17" w:line="249" w:lineRule="auto"/>
        <w:ind w:right="98" w:firstLine="450"/>
        <w:rPr>
          <w:rFonts w:hint="eastAsia"/>
          <w:color w:val="231F20"/>
        </w:rPr>
      </w:pPr>
    </w:p>
    <w:p w14:paraId="07C3E15B">
      <w:pPr>
        <w:pStyle w:val="9"/>
        <w:spacing w:before="17" w:line="249" w:lineRule="auto"/>
        <w:ind w:right="98" w:firstLine="450"/>
        <w:rPr>
          <w:rFonts w:hint="eastAsia"/>
          <w:color w:val="231F20"/>
        </w:rPr>
      </w:pPr>
      <w:r>
        <w:rPr>
          <w:rFonts w:hint="eastAsia"/>
          <w:color w:val="231F20"/>
        </w:rPr>
        <w:t>Clothed in sackcloth, they will interpret to men the signs of the time (God’s trumpet judgments), warn of the final Judgment, and so call the nations to repentance and faith throughout the entire Era of Proclamation, here symbolized as 1260 days (11:3, 12:5-6, 14).</w:t>
      </w:r>
    </w:p>
    <w:p w14:paraId="12080EA2">
      <w:pPr>
        <w:pStyle w:val="9"/>
        <w:spacing w:before="17" w:line="249" w:lineRule="auto"/>
        <w:ind w:right="98" w:firstLine="450"/>
        <w:rPr>
          <w:rFonts w:hint="eastAsia"/>
          <w:color w:val="231F20"/>
        </w:rPr>
      </w:pPr>
      <w:r>
        <w:rPr>
          <w:rFonts w:hint="eastAsia"/>
          <w:color w:val="231F20"/>
        </w:rPr>
        <w:t>他们身穿麻衣，将向世人解释时代的兆头（上帝的号筒审判），警告最后的审判，并因此在整个宣讲时代呼召列国悔改和信主，这里以1260天为象征（11:3, 12:5-6, 14）。</w:t>
      </w:r>
    </w:p>
    <w:p w14:paraId="59CA15B3">
      <w:pPr>
        <w:pStyle w:val="9"/>
        <w:spacing w:before="17" w:line="249" w:lineRule="auto"/>
        <w:ind w:right="98" w:firstLine="450"/>
        <w:rPr>
          <w:rFonts w:hint="eastAsia"/>
          <w:color w:val="231F20"/>
        </w:rPr>
      </w:pPr>
    </w:p>
    <w:p w14:paraId="0BE8B9AC">
      <w:pPr>
        <w:pStyle w:val="9"/>
        <w:spacing w:before="17" w:line="249" w:lineRule="auto"/>
        <w:ind w:right="98" w:firstLine="450"/>
        <w:rPr>
          <w:rFonts w:hint="eastAsia"/>
          <w:color w:val="231F20"/>
        </w:rPr>
      </w:pPr>
      <w:r>
        <w:rPr>
          <w:rFonts w:hint="eastAsia"/>
          <w:color w:val="231F20"/>
        </w:rPr>
        <w:t>Ever standing before her Lord, she will be his proxy in the earth, the Spirit-filled light of the world (11:4, Zech. 4, Rev. 1:20).</w:t>
      </w:r>
    </w:p>
    <w:p w14:paraId="7286438D">
      <w:pPr>
        <w:pStyle w:val="9"/>
        <w:spacing w:before="17" w:line="249" w:lineRule="auto"/>
        <w:ind w:right="98" w:firstLine="450"/>
        <w:rPr>
          <w:rFonts w:hint="eastAsia"/>
          <w:color w:val="231F20"/>
        </w:rPr>
      </w:pPr>
      <w:r>
        <w:rPr>
          <w:rFonts w:hint="eastAsia"/>
          <w:color w:val="231F20"/>
        </w:rPr>
        <w:t>她永远站在她的主面前，将是祂在地上的代表，是充满圣灵的世界之光（11:4，亚4，启1:20）。</w:t>
      </w:r>
    </w:p>
    <w:p w14:paraId="42F9022E">
      <w:pPr>
        <w:pStyle w:val="9"/>
        <w:spacing w:before="17" w:line="249" w:lineRule="auto"/>
        <w:ind w:right="98" w:firstLine="450"/>
        <w:rPr>
          <w:rFonts w:hint="eastAsia"/>
          <w:color w:val="231F20"/>
        </w:rPr>
      </w:pPr>
    </w:p>
    <w:p w14:paraId="4F8CD30F">
      <w:pPr>
        <w:pStyle w:val="9"/>
        <w:spacing w:before="17" w:line="249" w:lineRule="auto"/>
        <w:ind w:right="98" w:firstLine="450"/>
        <w:rPr>
          <w:rFonts w:hint="eastAsia"/>
          <w:color w:val="231F20"/>
        </w:rPr>
      </w:pPr>
      <w:r>
        <w:rPr>
          <w:rFonts w:hint="eastAsia"/>
          <w:color w:val="231F20"/>
        </w:rPr>
        <w:t>Like Jeremiah, Moses, and Elijah, she will have authority, not to destroy, but to pronounce destruction, over all the impenitent persecutors of God, Christ, and the NT Israel (11:5; Exodus 7:20, 1 Kings 17:1f, John 20:23, Acts 9:4. 13:46).</w:t>
      </w:r>
    </w:p>
    <w:p w14:paraId="649B832D">
      <w:pPr>
        <w:pStyle w:val="9"/>
        <w:spacing w:before="17" w:line="249" w:lineRule="auto"/>
        <w:ind w:right="98" w:firstLine="450"/>
        <w:rPr>
          <w:rFonts w:hint="eastAsia"/>
          <w:color w:val="231F20"/>
        </w:rPr>
      </w:pPr>
      <w:r>
        <w:rPr>
          <w:rFonts w:hint="eastAsia"/>
          <w:color w:val="231F20"/>
        </w:rPr>
        <w:t>像耶利米、摩西和以利亚一样，她将有权柄，不是去毁灭，而是去宣告毁灭，临到所有不悔改的、迫害上帝、基督和新约以色列的人（11:5；出埃及记7:20，列王纪上17:1及以下，约翰福音20:23，使徒行传9:4，13:46）。</w:t>
      </w:r>
    </w:p>
    <w:p w14:paraId="7DB4FAB0">
      <w:pPr>
        <w:pStyle w:val="9"/>
        <w:spacing w:before="17" w:line="249" w:lineRule="auto"/>
        <w:ind w:right="98" w:firstLine="450"/>
        <w:rPr>
          <w:rFonts w:hint="eastAsia"/>
          <w:color w:val="231F20"/>
        </w:rPr>
      </w:pPr>
    </w:p>
    <w:p w14:paraId="772A4AD6">
      <w:pPr>
        <w:pStyle w:val="9"/>
        <w:spacing w:before="17" w:line="249" w:lineRule="auto"/>
        <w:ind w:right="98" w:firstLine="450"/>
        <w:rPr>
          <w:rFonts w:hint="eastAsia"/>
          <w:color w:val="231F20"/>
        </w:rPr>
      </w:pPr>
      <w:r>
        <w:rPr>
          <w:rFonts w:hint="eastAsia"/>
          <w:color w:val="231F20"/>
        </w:rPr>
        <w:t>This is the “sweet” part of the prophecy: The Church will complete her testimony, and she will gather in Christ’s flock.</w:t>
      </w:r>
    </w:p>
    <w:p w14:paraId="70BCAADA">
      <w:pPr>
        <w:pStyle w:val="9"/>
        <w:spacing w:before="17" w:line="249" w:lineRule="auto"/>
        <w:ind w:right="98" w:firstLine="450"/>
        <w:rPr>
          <w:rFonts w:hint="eastAsia"/>
          <w:color w:val="231F20"/>
        </w:rPr>
      </w:pPr>
      <w:r>
        <w:rPr>
          <w:rFonts w:hint="eastAsia"/>
          <w:color w:val="231F20"/>
        </w:rPr>
        <w:t>这是预言中“甜”的部分：教会将完成她的见证，她将聚集基督的羊群。</w:t>
      </w:r>
    </w:p>
    <w:p w14:paraId="6A06A6E5">
      <w:pPr>
        <w:pStyle w:val="9"/>
        <w:spacing w:before="17" w:line="249" w:lineRule="auto"/>
        <w:ind w:right="98" w:firstLine="450"/>
        <w:rPr>
          <w:rFonts w:hint="eastAsia"/>
          <w:color w:val="231F20"/>
        </w:rPr>
      </w:pPr>
    </w:p>
    <w:p w14:paraId="2A062A63">
      <w:pPr>
        <w:pStyle w:val="9"/>
        <w:spacing w:before="17" w:line="249" w:lineRule="auto"/>
        <w:ind w:right="98" w:firstLine="450"/>
        <w:rPr>
          <w:rFonts w:hint="eastAsia"/>
          <w:color w:val="231F20"/>
        </w:rPr>
      </w:pPr>
      <w:r>
        <w:rPr>
          <w:rFonts w:hint="eastAsia"/>
          <w:color w:val="231F20"/>
        </w:rPr>
        <w:t>Now, however, comes the bitter.</w:t>
      </w:r>
    </w:p>
    <w:p w14:paraId="6768E839">
      <w:pPr>
        <w:pStyle w:val="9"/>
        <w:spacing w:before="17" w:line="249" w:lineRule="auto"/>
        <w:ind w:right="98" w:firstLine="450"/>
        <w:rPr>
          <w:rFonts w:hint="eastAsia"/>
          <w:color w:val="231F20"/>
        </w:rPr>
      </w:pPr>
      <w:r>
        <w:rPr>
          <w:rFonts w:hint="eastAsia"/>
          <w:color w:val="231F20"/>
        </w:rPr>
        <w:t>然而，现在来了苦的部分。</w:t>
      </w:r>
    </w:p>
    <w:p w14:paraId="313443BF">
      <w:pPr>
        <w:pStyle w:val="9"/>
        <w:spacing w:before="17" w:line="249" w:lineRule="auto"/>
        <w:ind w:right="98" w:firstLine="450"/>
        <w:rPr>
          <w:rFonts w:hint="eastAsia"/>
          <w:color w:val="231F20"/>
        </w:rPr>
      </w:pPr>
    </w:p>
    <w:p w14:paraId="4FAEFB02">
      <w:pPr>
        <w:pStyle w:val="9"/>
        <w:spacing w:before="17" w:line="249" w:lineRule="auto"/>
        <w:ind w:right="98" w:firstLine="450"/>
        <w:rPr>
          <w:rFonts w:hint="eastAsia"/>
          <w:color w:val="231F20"/>
        </w:rPr>
      </w:pPr>
      <w:r>
        <w:rPr>
          <w:rFonts w:hint="eastAsia"/>
          <w:color w:val="231F20"/>
        </w:rPr>
        <w:t>In verses 7-10 we arrive at the end of the age, and at the season of the Church’s greatest tribulation.</w:t>
      </w:r>
    </w:p>
    <w:p w14:paraId="05492678">
      <w:pPr>
        <w:pStyle w:val="9"/>
        <w:spacing w:before="17" w:line="249" w:lineRule="auto"/>
        <w:ind w:right="98" w:firstLine="450"/>
        <w:rPr>
          <w:rFonts w:hint="eastAsia"/>
          <w:color w:val="231F20"/>
        </w:rPr>
      </w:pPr>
      <w:r>
        <w:rPr>
          <w:rFonts w:hint="eastAsia"/>
          <w:color w:val="231F20"/>
        </w:rPr>
        <w:t>在第7-10节，我们来到了世代的末了，以及教会最大患难的时期。</w:t>
      </w:r>
    </w:p>
    <w:p w14:paraId="2D09CDBA">
      <w:pPr>
        <w:pStyle w:val="9"/>
        <w:spacing w:before="17" w:line="249" w:lineRule="auto"/>
        <w:ind w:right="98" w:firstLine="450"/>
        <w:rPr>
          <w:rFonts w:hint="eastAsia"/>
          <w:color w:val="231F20"/>
        </w:rPr>
      </w:pPr>
    </w:p>
    <w:p w14:paraId="7CC8CDCD">
      <w:pPr>
        <w:pStyle w:val="9"/>
        <w:spacing w:before="17" w:line="249" w:lineRule="auto"/>
        <w:ind w:right="98" w:firstLine="450"/>
        <w:rPr>
          <w:rFonts w:hint="eastAsia"/>
          <w:color w:val="231F20"/>
        </w:rPr>
      </w:pPr>
      <w:r>
        <w:rPr>
          <w:rFonts w:hint="eastAsia"/>
          <w:color w:val="231F20"/>
        </w:rPr>
        <w:t>When she has completed the Great Commission, an increasingly lawless world-system will suddenly go over to Satan, who, through the Antichrist’s lawless regime (i.e., the final incarnation of the Beast), will destroy the visible, institutional church (11:7, 9:2, 17:8, 23, 20:3, 7-10).</w:t>
      </w:r>
    </w:p>
    <w:p w14:paraId="1CC6A0BA">
      <w:pPr>
        <w:pStyle w:val="9"/>
        <w:spacing w:before="17" w:line="249" w:lineRule="auto"/>
        <w:ind w:right="98" w:firstLine="450"/>
        <w:rPr>
          <w:rFonts w:hint="eastAsia"/>
          <w:color w:val="231F20"/>
        </w:rPr>
      </w:pPr>
      <w:r>
        <w:rPr>
          <w:rFonts w:hint="eastAsia"/>
          <w:color w:val="231F20"/>
        </w:rPr>
        <w:t>当她完成了大使命，一个日益无法无天的世界体系将突然倒向撒但，撒但将通过敌基督的无法无天政权（即兽的最终化身），摧毁有形的、体制性的教会（11:7, 9:2, 17:8, 23, 20:3, 7-10）。</w:t>
      </w:r>
    </w:p>
    <w:p w14:paraId="49FE69B8">
      <w:pPr>
        <w:pStyle w:val="9"/>
        <w:spacing w:before="17" w:line="249" w:lineRule="auto"/>
        <w:ind w:right="98" w:firstLine="450"/>
        <w:rPr>
          <w:rFonts w:hint="eastAsia"/>
          <w:color w:val="231F20"/>
        </w:rPr>
      </w:pPr>
    </w:p>
    <w:p w14:paraId="1E75A179">
      <w:pPr>
        <w:pStyle w:val="9"/>
        <w:spacing w:before="17" w:line="249" w:lineRule="auto"/>
        <w:ind w:right="98" w:firstLine="450"/>
        <w:rPr>
          <w:rFonts w:hint="eastAsia"/>
          <w:color w:val="231F20"/>
        </w:rPr>
      </w:pPr>
      <w:r>
        <w:rPr>
          <w:rFonts w:hint="eastAsia"/>
          <w:color w:val="231F20"/>
        </w:rPr>
        <w:t>For a very brief season—“three and a half days”—the Great City of the present evil world, formerly embodied in Sodom, Egypt, and Jerusalem, will gloat over her demise, and rejoice that the convicting words of the Gospel will never again fall upon their ears so as to torment their conscience (11:8-10).</w:t>
      </w:r>
    </w:p>
    <w:p w14:paraId="5FB9EE3B">
      <w:pPr>
        <w:pStyle w:val="9"/>
        <w:spacing w:before="17" w:line="249" w:lineRule="auto"/>
        <w:ind w:right="98" w:firstLine="450"/>
        <w:rPr>
          <w:rFonts w:hint="eastAsia"/>
          <w:color w:val="231F20"/>
        </w:rPr>
      </w:pPr>
      <w:r>
        <w:rPr>
          <w:rFonts w:hint="eastAsia"/>
          <w:color w:val="231F20"/>
        </w:rPr>
        <w:t>在一个非常短暂的时期——“三天半”——现今邪恶世界的大城，曾体现在所多玛、埃及和耶路撒冷，将对她的灭亡幸灾乐祸，并因福音那定罪的话语再也不会落入他们耳中来折磨他们的良心而欢欣（11:8-10）。</w:t>
      </w:r>
    </w:p>
    <w:p w14:paraId="6367B2BE">
      <w:pPr>
        <w:pStyle w:val="9"/>
        <w:spacing w:before="17" w:line="249" w:lineRule="auto"/>
        <w:ind w:right="98" w:firstLine="450"/>
        <w:rPr>
          <w:rFonts w:hint="eastAsia"/>
          <w:color w:val="231F20"/>
        </w:rPr>
      </w:pPr>
    </w:p>
    <w:p w14:paraId="3A615EF1">
      <w:pPr>
        <w:pStyle w:val="9"/>
        <w:spacing w:before="17" w:line="249" w:lineRule="auto"/>
        <w:ind w:right="98" w:firstLine="450"/>
        <w:rPr>
          <w:rFonts w:hint="eastAsia"/>
          <w:color w:val="231F20"/>
        </w:rPr>
      </w:pPr>
      <w:r>
        <w:rPr>
          <w:rFonts w:hint="eastAsia"/>
          <w:color w:val="231F20"/>
        </w:rPr>
        <w:t>Again, this is the Revelation’s first clear depiction of the Last Battle.</w:t>
      </w:r>
    </w:p>
    <w:p w14:paraId="7ED554EA">
      <w:pPr>
        <w:pStyle w:val="9"/>
        <w:spacing w:before="17" w:line="249" w:lineRule="auto"/>
        <w:ind w:right="98" w:firstLine="450"/>
        <w:rPr>
          <w:rFonts w:hint="eastAsia"/>
          <w:color w:val="231F20"/>
        </w:rPr>
      </w:pPr>
      <w:r>
        <w:rPr>
          <w:rFonts w:hint="eastAsia"/>
          <w:color w:val="231F20"/>
        </w:rPr>
        <w:t>再次，这是《启示录》对末日争战的第一次清晰描绘。</w:t>
      </w:r>
    </w:p>
    <w:p w14:paraId="71A332D7">
      <w:pPr>
        <w:pStyle w:val="9"/>
        <w:spacing w:before="17" w:line="249" w:lineRule="auto"/>
        <w:ind w:right="98" w:firstLine="450"/>
        <w:rPr>
          <w:rFonts w:hint="eastAsia"/>
          <w:color w:val="231F20"/>
        </w:rPr>
      </w:pPr>
    </w:p>
    <w:p w14:paraId="54607902">
      <w:pPr>
        <w:pStyle w:val="9"/>
        <w:spacing w:before="17" w:line="249" w:lineRule="auto"/>
        <w:ind w:right="98" w:firstLine="450"/>
        <w:rPr>
          <w:rFonts w:hint="eastAsia"/>
          <w:color w:val="231F20"/>
        </w:rPr>
      </w:pPr>
      <w:r>
        <w:rPr>
          <w:rFonts w:hint="eastAsia"/>
          <w:color w:val="231F20"/>
        </w:rPr>
        <w:t>With a view to her comfort, the Lord would have his Bride understand that he himself has ordained it, that it will be very brief, and that it will usher in her Blessed Hope, the Consummation of all things.</w:t>
      </w:r>
    </w:p>
    <w:p w14:paraId="24E7BBAA">
      <w:pPr>
        <w:pStyle w:val="9"/>
        <w:spacing w:before="17" w:line="249" w:lineRule="auto"/>
        <w:ind w:right="98" w:firstLine="450"/>
        <w:rPr>
          <w:rFonts w:hint="eastAsia"/>
          <w:color w:val="231F20"/>
        </w:rPr>
      </w:pPr>
      <w:r>
        <w:rPr>
          <w:rFonts w:hint="eastAsia"/>
          <w:color w:val="231F20"/>
        </w:rPr>
        <w:t>为了安慰祂的新妇，主愿意她明白，这事是祂自己所命定的，它将非常短暂，并将引来她有福的盼望，即万物的最终成全。</w:t>
      </w:r>
    </w:p>
    <w:p w14:paraId="2F8ECF15">
      <w:pPr>
        <w:pStyle w:val="9"/>
        <w:spacing w:before="17" w:line="249" w:lineRule="auto"/>
        <w:ind w:right="98" w:firstLine="450"/>
        <w:rPr>
          <w:rFonts w:hint="eastAsia"/>
          <w:color w:val="231F20"/>
        </w:rPr>
      </w:pPr>
    </w:p>
    <w:p w14:paraId="50268521">
      <w:pPr>
        <w:pStyle w:val="9"/>
        <w:spacing w:before="17" w:line="249" w:lineRule="auto"/>
        <w:ind w:right="98" w:firstLine="450"/>
        <w:rPr>
          <w:rFonts w:hint="eastAsia"/>
          <w:color w:val="231F20"/>
        </w:rPr>
      </w:pPr>
      <w:r>
        <w:rPr>
          <w:rFonts w:hint="eastAsia"/>
          <w:color w:val="231F20"/>
        </w:rPr>
        <w:t>Here is still more sweetness, with which the bitter is not worthy to be compared (Rom. 8:18).</w:t>
      </w:r>
    </w:p>
    <w:p w14:paraId="5A7D94AD">
      <w:pPr>
        <w:pStyle w:val="9"/>
        <w:spacing w:before="17" w:line="249" w:lineRule="auto"/>
        <w:ind w:right="98" w:firstLine="450"/>
        <w:rPr>
          <w:rFonts w:hint="eastAsia"/>
          <w:color w:val="231F20"/>
        </w:rPr>
      </w:pPr>
      <w:r>
        <w:rPr>
          <w:rFonts w:hint="eastAsia"/>
          <w:color w:val="231F20"/>
        </w:rPr>
        <w:t>这里还有更多的甘甜，那苦楚是无法与之相比的（罗8:18）。</w:t>
      </w:r>
    </w:p>
    <w:p w14:paraId="4A7C5B60">
      <w:pPr>
        <w:pStyle w:val="9"/>
        <w:spacing w:before="17" w:line="249" w:lineRule="auto"/>
        <w:ind w:right="98" w:firstLine="450"/>
        <w:rPr>
          <w:rFonts w:hint="eastAsia"/>
          <w:color w:val="231F20"/>
        </w:rPr>
      </w:pPr>
    </w:p>
    <w:p w14:paraId="6CFB6505">
      <w:pPr>
        <w:pStyle w:val="9"/>
        <w:spacing w:before="17" w:line="249" w:lineRule="auto"/>
        <w:ind w:right="98" w:firstLine="450"/>
        <w:rPr>
          <w:rFonts w:hint="eastAsia"/>
          <w:color w:val="231F20"/>
        </w:rPr>
      </w:pPr>
      <w:r>
        <w:rPr>
          <w:rFonts w:hint="eastAsia"/>
          <w:color w:val="231F20"/>
        </w:rPr>
        <w:t>We behold this good news in verses 11-19, where the prophecy of the Seven Trumpets is brought to a close.</w:t>
      </w:r>
    </w:p>
    <w:p w14:paraId="4981100F">
      <w:pPr>
        <w:pStyle w:val="9"/>
        <w:spacing w:before="17" w:line="249" w:lineRule="auto"/>
        <w:ind w:right="98" w:firstLine="450"/>
        <w:rPr>
          <w:rFonts w:hint="eastAsia"/>
          <w:color w:val="231F20"/>
        </w:rPr>
      </w:pPr>
      <w:r>
        <w:rPr>
          <w:rFonts w:hint="eastAsia"/>
          <w:color w:val="231F20"/>
        </w:rPr>
        <w:t>我们在第11-19节中看到了这个好消息，七号的预言在这里告一段落。</w:t>
      </w:r>
    </w:p>
    <w:p w14:paraId="047229E6">
      <w:pPr>
        <w:pStyle w:val="9"/>
        <w:spacing w:before="17" w:line="249" w:lineRule="auto"/>
        <w:ind w:right="98" w:firstLine="450"/>
        <w:rPr>
          <w:rFonts w:hint="eastAsia"/>
          <w:color w:val="231F20"/>
        </w:rPr>
      </w:pPr>
    </w:p>
    <w:p w14:paraId="15ACBEF0">
      <w:pPr>
        <w:pStyle w:val="9"/>
        <w:spacing w:before="17" w:line="249" w:lineRule="auto"/>
        <w:ind w:right="98" w:firstLine="450"/>
        <w:rPr>
          <w:rFonts w:hint="eastAsia"/>
          <w:color w:val="231F20"/>
        </w:rPr>
      </w:pPr>
      <w:r>
        <w:rPr>
          <w:rFonts w:hint="eastAsia"/>
          <w:color w:val="231F20"/>
        </w:rPr>
        <w:t>With the help of NT eschatology, we can readily decipher the true meaning.</w:t>
      </w:r>
    </w:p>
    <w:p w14:paraId="6B3D9523">
      <w:pPr>
        <w:pStyle w:val="9"/>
        <w:spacing w:before="17" w:line="249" w:lineRule="auto"/>
        <w:ind w:right="98" w:firstLine="450"/>
        <w:rPr>
          <w:rFonts w:hint="eastAsia"/>
          <w:color w:val="231F20"/>
        </w:rPr>
      </w:pPr>
      <w:r>
        <w:rPr>
          <w:rFonts w:hint="eastAsia"/>
          <w:color w:val="231F20"/>
        </w:rPr>
        <w:t>借助新约末世论，我们可以轻易地解读其真正含义。</w:t>
      </w:r>
    </w:p>
    <w:p w14:paraId="43C39028">
      <w:pPr>
        <w:pStyle w:val="9"/>
        <w:spacing w:before="17" w:line="249" w:lineRule="auto"/>
        <w:ind w:right="98" w:firstLine="450"/>
        <w:rPr>
          <w:rFonts w:hint="eastAsia"/>
          <w:color w:val="231F20"/>
        </w:rPr>
      </w:pPr>
    </w:p>
    <w:p w14:paraId="51627292">
      <w:pPr>
        <w:pStyle w:val="9"/>
        <w:spacing w:before="17" w:line="249" w:lineRule="auto"/>
        <w:ind w:right="98" w:firstLine="450"/>
        <w:rPr>
          <w:rFonts w:hint="eastAsia"/>
          <w:color w:val="231F20"/>
        </w:rPr>
      </w:pPr>
      <w:r>
        <w:rPr>
          <w:rFonts w:hint="eastAsia"/>
          <w:color w:val="231F20"/>
        </w:rPr>
        <w:t>Verses 11-14 speak of the initial stages of the Consummation.</w:t>
      </w:r>
    </w:p>
    <w:p w14:paraId="1D54D9B8">
      <w:pPr>
        <w:pStyle w:val="9"/>
        <w:spacing w:before="17" w:line="249" w:lineRule="auto"/>
        <w:ind w:right="98" w:firstLine="450"/>
        <w:rPr>
          <w:rFonts w:hint="eastAsia"/>
          <w:color w:val="231F20"/>
        </w:rPr>
      </w:pPr>
      <w:r>
        <w:rPr>
          <w:rFonts w:hint="eastAsia"/>
          <w:color w:val="231F20"/>
        </w:rPr>
        <w:t>第11-14节讲述了最终成全的初始阶段。</w:t>
      </w:r>
    </w:p>
    <w:p w14:paraId="56F1E384">
      <w:pPr>
        <w:pStyle w:val="9"/>
        <w:spacing w:before="17" w:line="249" w:lineRule="auto"/>
        <w:ind w:right="98" w:firstLine="450"/>
        <w:rPr>
          <w:rFonts w:hint="eastAsia"/>
          <w:color w:val="231F20"/>
        </w:rPr>
      </w:pPr>
    </w:p>
    <w:p w14:paraId="4A0E152A">
      <w:pPr>
        <w:pStyle w:val="9"/>
        <w:spacing w:before="17" w:line="249" w:lineRule="auto"/>
        <w:ind w:right="98" w:firstLine="450"/>
        <w:rPr>
          <w:rFonts w:hint="eastAsia"/>
          <w:color w:val="231F20"/>
        </w:rPr>
      </w:pPr>
      <w:r>
        <w:rPr>
          <w:rFonts w:hint="eastAsia"/>
          <w:color w:val="231F20"/>
        </w:rPr>
        <w:t>When Christ appears in glory he will raise the dead saints, transform the living saints, and gather them all to his side in the skies above the earth (11:11-12; Mt. 24:31, 1 Cor. 15:51f, 1 Thess. 4:13f).</w:t>
      </w:r>
    </w:p>
    <w:p w14:paraId="3FC9B448">
      <w:pPr>
        <w:pStyle w:val="9"/>
        <w:spacing w:before="17" w:line="249" w:lineRule="auto"/>
        <w:ind w:right="98" w:firstLine="450"/>
        <w:rPr>
          <w:rFonts w:hint="eastAsia"/>
          <w:color w:val="231F20"/>
        </w:rPr>
      </w:pPr>
      <w:r>
        <w:rPr>
          <w:rFonts w:hint="eastAsia"/>
          <w:color w:val="231F20"/>
        </w:rPr>
        <w:t>当基督在荣耀中显现时，祂将使死去的圣徒复活，改变活着的圣徒，并将他们都聚集到祂在地上空中的身边（11:11-12；太24:31，林前15:51及以下，帖前4:13及以下）。</w:t>
      </w:r>
    </w:p>
    <w:p w14:paraId="2C8D079B">
      <w:pPr>
        <w:pStyle w:val="9"/>
        <w:spacing w:before="17" w:line="249" w:lineRule="auto"/>
        <w:ind w:right="98" w:firstLine="450"/>
        <w:rPr>
          <w:rFonts w:hint="eastAsia"/>
          <w:color w:val="231F20"/>
        </w:rPr>
      </w:pPr>
    </w:p>
    <w:p w14:paraId="4602E83D">
      <w:pPr>
        <w:pStyle w:val="9"/>
        <w:spacing w:before="17" w:line="249" w:lineRule="auto"/>
        <w:ind w:right="98" w:firstLine="450"/>
        <w:rPr>
          <w:rFonts w:hint="eastAsia"/>
          <w:color w:val="231F20"/>
        </w:rPr>
      </w:pPr>
      <w:r>
        <w:rPr>
          <w:rFonts w:hint="eastAsia"/>
          <w:color w:val="231F20"/>
        </w:rPr>
        <w:t>Meanwhile, as his enemies watch in terror, the first waves of divine judgment will strike the earth below, shaking all things, killing many, and setting in motion the collapse of the City of Man (11:13: Rev. 6:12, Heb. 12:25-29).</w:t>
      </w:r>
    </w:p>
    <w:p w14:paraId="01DD50B2">
      <w:pPr>
        <w:pStyle w:val="9"/>
        <w:spacing w:before="17" w:line="249" w:lineRule="auto"/>
        <w:ind w:right="98" w:firstLine="450"/>
        <w:rPr>
          <w:rFonts w:hint="eastAsia"/>
          <w:color w:val="231F20"/>
        </w:rPr>
      </w:pPr>
      <w:r>
        <w:rPr>
          <w:rFonts w:hint="eastAsia"/>
          <w:color w:val="231F20"/>
        </w:rPr>
        <w:t>同时，当祂的仇敌在恐惧中观看时，神圣审判的第一波浪潮将袭击下面的地，震动万物，杀死许多人，并启动人城的崩溃（11:13：启6:12，来12:25-29）。</w:t>
      </w:r>
    </w:p>
    <w:p w14:paraId="0D1A517C">
      <w:pPr>
        <w:pStyle w:val="9"/>
        <w:spacing w:before="17" w:line="249" w:lineRule="auto"/>
        <w:ind w:right="98" w:firstLine="450"/>
        <w:rPr>
          <w:rFonts w:hint="eastAsia"/>
          <w:color w:val="231F20"/>
        </w:rPr>
      </w:pPr>
    </w:p>
    <w:p w14:paraId="2CD0C50A">
      <w:pPr>
        <w:pStyle w:val="9"/>
        <w:spacing w:before="17" w:line="249" w:lineRule="auto"/>
        <w:ind w:right="98" w:firstLine="450"/>
        <w:rPr>
          <w:rFonts w:hint="eastAsia"/>
          <w:color w:val="231F20"/>
        </w:rPr>
      </w:pPr>
      <w:r>
        <w:rPr>
          <w:rFonts w:hint="eastAsia"/>
          <w:color w:val="231F20"/>
        </w:rPr>
        <w:t>With this, the second woe (pictured in 9:13-21) is fully fulfilled, leaving the remnant of living humanity to glorify God.</w:t>
      </w:r>
    </w:p>
    <w:p w14:paraId="6ABE506C">
      <w:pPr>
        <w:pStyle w:val="9"/>
        <w:spacing w:before="17" w:line="249" w:lineRule="auto"/>
        <w:ind w:right="98" w:firstLine="450"/>
        <w:rPr>
          <w:rFonts w:hint="eastAsia"/>
          <w:color w:val="231F20"/>
        </w:rPr>
      </w:pPr>
      <w:r>
        <w:rPr>
          <w:rFonts w:hint="eastAsia"/>
          <w:color w:val="231F20"/>
        </w:rPr>
        <w:t>至此，第二样灾祸（在9:13-21中描绘）就完全应验了，留下活着的余民来荣耀上帝。</w:t>
      </w:r>
    </w:p>
    <w:p w14:paraId="596FCF1E">
      <w:pPr>
        <w:pStyle w:val="9"/>
        <w:spacing w:before="17" w:line="249" w:lineRule="auto"/>
        <w:ind w:right="98" w:firstLine="450"/>
        <w:rPr>
          <w:rFonts w:hint="eastAsia"/>
          <w:color w:val="231F20"/>
        </w:rPr>
      </w:pPr>
    </w:p>
    <w:p w14:paraId="306E4EC5">
      <w:pPr>
        <w:pStyle w:val="9"/>
        <w:spacing w:before="17" w:line="249" w:lineRule="auto"/>
        <w:ind w:right="98" w:firstLine="450"/>
        <w:rPr>
          <w:rFonts w:hint="eastAsia"/>
          <w:color w:val="231F20"/>
        </w:rPr>
      </w:pPr>
      <w:r>
        <w:rPr>
          <w:rFonts w:hint="eastAsia"/>
          <w:color w:val="231F20"/>
        </w:rPr>
        <w:t>They will do so, however, not because they love him, but because Christ at his Parousia forces them to confess that he is indeed Lord, to the glory of God the Father (Phil. 2:9-11).</w:t>
      </w:r>
    </w:p>
    <w:p w14:paraId="706BD79B">
      <w:pPr>
        <w:pStyle w:val="9"/>
        <w:spacing w:before="17" w:line="249" w:lineRule="auto"/>
        <w:ind w:right="98" w:firstLine="450"/>
        <w:rPr>
          <w:rFonts w:hint="eastAsia"/>
          <w:color w:val="231F20"/>
        </w:rPr>
      </w:pPr>
      <w:r>
        <w:rPr>
          <w:rFonts w:hint="eastAsia"/>
          <w:color w:val="231F20"/>
        </w:rPr>
        <w:t>然而，他们这样做，不是因为他们爱祂，而是因为基督在祂主临（Parousia）时迫使他们承认祂确实是主，使荣耀归与父上帝（腓2:9-11）。</w:t>
      </w:r>
    </w:p>
    <w:p w14:paraId="437706C8">
      <w:pPr>
        <w:pStyle w:val="9"/>
        <w:spacing w:before="17" w:line="249" w:lineRule="auto"/>
        <w:ind w:right="98" w:firstLine="450"/>
        <w:rPr>
          <w:rFonts w:hint="eastAsia"/>
          <w:color w:val="231F20"/>
        </w:rPr>
      </w:pPr>
    </w:p>
    <w:p w14:paraId="296EFC37">
      <w:pPr>
        <w:pStyle w:val="9"/>
        <w:spacing w:after="0" w:line="249" w:lineRule="auto"/>
        <w:rPr>
          <w:rFonts w:hint="eastAsia"/>
          <w:color w:val="231F20"/>
        </w:rPr>
      </w:pPr>
      <w:r>
        <w:rPr>
          <w:rFonts w:hint="eastAsia"/>
          <w:color w:val="231F20"/>
        </w:rPr>
        <w:t>Verses 15-19 give us the third woe, the seventh trumpet, and (according to verse 18) the Last Judgment.</w:t>
      </w:r>
    </w:p>
    <w:p w14:paraId="5DC549AA">
      <w:pPr>
        <w:pStyle w:val="9"/>
        <w:spacing w:after="0" w:line="249" w:lineRule="auto"/>
        <w:rPr>
          <w:rFonts w:hint="eastAsia"/>
          <w:color w:val="231F20"/>
        </w:rPr>
      </w:pPr>
      <w:r>
        <w:rPr>
          <w:rFonts w:hint="eastAsia"/>
          <w:color w:val="231F20"/>
        </w:rPr>
        <w:t>第15-19节给了我们第三样灾祸、第七号，以及（根据第18节）最后的审判。</w:t>
      </w:r>
    </w:p>
    <w:p w14:paraId="02CFDC9C">
      <w:pPr>
        <w:pStyle w:val="9"/>
        <w:spacing w:after="0" w:line="249" w:lineRule="auto"/>
        <w:rPr>
          <w:rFonts w:hint="eastAsia"/>
          <w:color w:val="231F20"/>
        </w:rPr>
      </w:pPr>
    </w:p>
    <w:p w14:paraId="724DEA69">
      <w:pPr>
        <w:pStyle w:val="9"/>
        <w:spacing w:after="0" w:line="249" w:lineRule="auto"/>
        <w:rPr>
          <w:rFonts w:hint="eastAsia"/>
          <w:color w:val="231F20"/>
        </w:rPr>
      </w:pPr>
      <w:r>
        <w:rPr>
          <w:rFonts w:hint="eastAsia"/>
          <w:color w:val="231F20"/>
        </w:rPr>
        <w:t>It is celebrated by the angels (11:15) and the glorified Church (11:16-18).</w:t>
      </w:r>
    </w:p>
    <w:p w14:paraId="4110750E">
      <w:pPr>
        <w:pStyle w:val="9"/>
        <w:spacing w:after="0" w:line="249" w:lineRule="auto"/>
        <w:rPr>
          <w:rFonts w:hint="eastAsia"/>
          <w:color w:val="231F20"/>
        </w:rPr>
      </w:pPr>
      <w:r>
        <w:rPr>
          <w:rFonts w:hint="eastAsia"/>
          <w:color w:val="231F20"/>
        </w:rPr>
        <w:t>它由天使（11:15）和得荣耀的教会（11:16-18）来庆祝。</w:t>
      </w:r>
    </w:p>
    <w:p w14:paraId="18C582E2">
      <w:pPr>
        <w:pStyle w:val="9"/>
        <w:spacing w:after="0" w:line="249" w:lineRule="auto"/>
        <w:rPr>
          <w:rFonts w:hint="eastAsia"/>
          <w:color w:val="231F20"/>
        </w:rPr>
      </w:pPr>
    </w:p>
    <w:p w14:paraId="33C6713D">
      <w:pPr>
        <w:pStyle w:val="9"/>
        <w:spacing w:after="0" w:line="249" w:lineRule="auto"/>
        <w:rPr>
          <w:rFonts w:hint="eastAsia"/>
          <w:color w:val="231F20"/>
        </w:rPr>
      </w:pPr>
      <w:r>
        <w:rPr>
          <w:rFonts w:hint="eastAsia"/>
          <w:color w:val="231F20"/>
        </w:rPr>
        <w:t>In both cases, the celebrants mark it as the commencement of the Kingdom in its full and final form.</w:t>
      </w:r>
    </w:p>
    <w:p w14:paraId="1F6315B8">
      <w:pPr>
        <w:pStyle w:val="9"/>
        <w:spacing w:after="0" w:line="249" w:lineRule="auto"/>
        <w:rPr>
          <w:rFonts w:hint="eastAsia"/>
          <w:color w:val="231F20"/>
        </w:rPr>
      </w:pPr>
      <w:r>
        <w:rPr>
          <w:rFonts w:hint="eastAsia"/>
          <w:color w:val="231F20"/>
        </w:rPr>
        <w:t>在这两种情况下，庆祝者都将其标记为国度以其完全和最终形式的开始。</w:t>
      </w:r>
    </w:p>
    <w:p w14:paraId="3C8514F3">
      <w:pPr>
        <w:pStyle w:val="9"/>
        <w:spacing w:after="0" w:line="249" w:lineRule="auto"/>
        <w:rPr>
          <w:rFonts w:hint="eastAsia"/>
          <w:color w:val="231F20"/>
        </w:rPr>
      </w:pPr>
    </w:p>
    <w:p w14:paraId="1E6425CD">
      <w:pPr>
        <w:pStyle w:val="9"/>
        <w:spacing w:after="0" w:line="249" w:lineRule="auto"/>
        <w:rPr>
          <w:rFonts w:hint="eastAsia"/>
          <w:color w:val="231F20"/>
        </w:rPr>
      </w:pPr>
      <w:r>
        <w:rPr>
          <w:rFonts w:hint="eastAsia"/>
          <w:color w:val="231F20"/>
        </w:rPr>
        <w:t>This is particularly evident from the words of the angels, who declare that once the Judgment is complete the kingdom of the world will become the Kingdom of God and of his Christ, at which time he will fully reign, forever and ever (Daniel 2:44, 7:7:14, 27).</w:t>
      </w:r>
    </w:p>
    <w:p w14:paraId="62A1C5BF">
      <w:pPr>
        <w:pStyle w:val="9"/>
        <w:spacing w:after="0" w:line="249" w:lineRule="auto"/>
        <w:rPr>
          <w:rFonts w:hint="eastAsia"/>
          <w:color w:val="231F20"/>
        </w:rPr>
      </w:pPr>
      <w:r>
        <w:rPr>
          <w:rFonts w:hint="eastAsia"/>
          <w:color w:val="231F20"/>
        </w:rPr>
        <w:t>这从天使的话语中尤其明显，他们宣告一旦审判完成，世上的国将成为上帝和祂基督的国，那时祂将完全作王，直到永永远远（但以理书2:44, 7:7:14, 27）。</w:t>
      </w:r>
    </w:p>
    <w:p w14:paraId="4DB20497">
      <w:pPr>
        <w:pStyle w:val="9"/>
        <w:spacing w:after="0" w:line="249" w:lineRule="auto"/>
        <w:rPr>
          <w:rFonts w:hint="eastAsia"/>
          <w:color w:val="231F20"/>
        </w:rPr>
      </w:pPr>
    </w:p>
    <w:p w14:paraId="2056E4A9">
      <w:pPr>
        <w:pStyle w:val="9"/>
        <w:spacing w:after="0" w:line="249" w:lineRule="auto"/>
        <w:rPr>
          <w:rFonts w:hint="eastAsia"/>
          <w:color w:val="231F20"/>
        </w:rPr>
      </w:pPr>
      <w:r>
        <w:rPr>
          <w:rFonts w:hint="eastAsia"/>
          <w:color w:val="231F20"/>
        </w:rPr>
        <w:t>Observe from verse 16 that the 24 elders give thanks to Him who was and is, but not to Him who “is to come,” for now both He and His eternal Kingdom have come!</w:t>
      </w:r>
    </w:p>
    <w:p w14:paraId="054685EB">
      <w:pPr>
        <w:pStyle w:val="9"/>
        <w:spacing w:after="0" w:line="249" w:lineRule="auto"/>
        <w:rPr>
          <w:rFonts w:hint="eastAsia"/>
          <w:color w:val="231F20"/>
        </w:rPr>
      </w:pPr>
      <w:r>
        <w:rPr>
          <w:rFonts w:hint="eastAsia"/>
          <w:color w:val="231F20"/>
        </w:rPr>
        <w:t>从第16节可以看出，二十四位长老感谢那昔在今在的，却没有感谢那“以后要来”的，因为现在祂和祂永恒的国度都已经来了！</w:t>
      </w:r>
    </w:p>
    <w:p w14:paraId="374617FA">
      <w:pPr>
        <w:pStyle w:val="9"/>
        <w:spacing w:after="0" w:line="249" w:lineRule="auto"/>
        <w:rPr>
          <w:rFonts w:hint="eastAsia"/>
          <w:color w:val="231F20"/>
        </w:rPr>
      </w:pPr>
    </w:p>
    <w:p w14:paraId="3D37DFA6">
      <w:pPr>
        <w:pStyle w:val="9"/>
        <w:spacing w:after="0" w:line="249" w:lineRule="auto"/>
        <w:rPr>
          <w:rFonts w:hint="eastAsia"/>
          <w:color w:val="231F20"/>
        </w:rPr>
      </w:pPr>
      <w:r>
        <w:rPr>
          <w:rFonts w:hint="eastAsia"/>
          <w:color w:val="231F20"/>
        </w:rPr>
        <w:t>Verse 18 is also very valuable for our study, agreeing as it does with the rest of the NT that immediately following the Last Battle there is but one (i.e., final) judgment, at which time the saints will receive their eternal reward, even as the wicked are destroyed forever.</w:t>
      </w:r>
    </w:p>
    <w:p w14:paraId="29A9748E">
      <w:pPr>
        <w:pStyle w:val="9"/>
        <w:spacing w:after="0" w:line="249" w:lineRule="auto"/>
        <w:rPr>
          <w:rFonts w:hint="eastAsia"/>
          <w:color w:val="231F20"/>
        </w:rPr>
      </w:pPr>
      <w:r>
        <w:rPr>
          <w:rFonts w:hint="eastAsia"/>
          <w:color w:val="231F20"/>
        </w:rPr>
        <w:t>第18节对我们的研究也很有价值，它与新约的其余部分一致，即在末日争战之后，只有一个（即最后的）审判，届时圣徒将得到他们永恒的赏赐，而恶人则被永远毁灭。</w:t>
      </w:r>
    </w:p>
    <w:p w14:paraId="089EC3DB">
      <w:pPr>
        <w:pStyle w:val="9"/>
        <w:spacing w:after="0" w:line="249" w:lineRule="auto"/>
        <w:rPr>
          <w:rFonts w:hint="eastAsia"/>
          <w:color w:val="231F20"/>
        </w:rPr>
      </w:pPr>
    </w:p>
    <w:p w14:paraId="5E531E21">
      <w:pPr>
        <w:pStyle w:val="9"/>
        <w:spacing w:after="0" w:line="249" w:lineRule="auto"/>
        <w:rPr>
          <w:rFonts w:hint="eastAsia"/>
          <w:color w:val="231F20"/>
        </w:rPr>
      </w:pPr>
      <w:r>
        <w:rPr>
          <w:rFonts w:hint="eastAsia"/>
          <w:color w:val="231F20"/>
        </w:rPr>
        <w:t>Finally, under cover of rich OT imagery, verse 19 tells us that Christ himself will execute that judgment.</w:t>
      </w:r>
    </w:p>
    <w:p w14:paraId="7A27848B">
      <w:pPr>
        <w:pStyle w:val="9"/>
        <w:spacing w:after="0" w:line="249" w:lineRule="auto"/>
        <w:rPr>
          <w:rFonts w:hint="eastAsia"/>
          <w:color w:val="231F20"/>
        </w:rPr>
      </w:pPr>
      <w:r>
        <w:rPr>
          <w:rFonts w:hint="eastAsia"/>
          <w:color w:val="231F20"/>
        </w:rPr>
        <w:t>最后，在丰富的旧约意象掩护下，第19节告诉我们基督祂自己将执行那审判。</w:t>
      </w:r>
    </w:p>
    <w:p w14:paraId="2FB3D3E2">
      <w:pPr>
        <w:pStyle w:val="9"/>
        <w:spacing w:after="0" w:line="249" w:lineRule="auto"/>
        <w:rPr>
          <w:rFonts w:hint="eastAsia"/>
          <w:color w:val="231F20"/>
        </w:rPr>
      </w:pPr>
    </w:p>
    <w:p w14:paraId="1F554255">
      <w:pPr>
        <w:pStyle w:val="9"/>
        <w:spacing w:after="0" w:line="249" w:lineRule="auto"/>
        <w:rPr>
          <w:rFonts w:hint="eastAsia"/>
          <w:color w:val="231F20"/>
        </w:rPr>
      </w:pPr>
      <w:r>
        <w:rPr>
          <w:rFonts w:hint="eastAsia"/>
          <w:color w:val="231F20"/>
        </w:rPr>
        <w:t>At the Parousia, heaven—which has hitherto concealed the High King—will be opened at last, so that every eye will see him, this One who is the true Ark of the Covenant, the true meeting place of God and all his redeemed children (Ex. 25:22; Col. 3:1-3, 1 Tim. 2:5, Heb. 9:24, Rev. 1:7).</w:t>
      </w:r>
    </w:p>
    <w:p w14:paraId="550DCF5B">
      <w:pPr>
        <w:pStyle w:val="9"/>
        <w:spacing w:after="0" w:line="249" w:lineRule="auto"/>
        <w:rPr>
          <w:rFonts w:hint="eastAsia"/>
          <w:color w:val="231F20"/>
        </w:rPr>
      </w:pPr>
      <w:r>
        <w:rPr>
          <w:rFonts w:hint="eastAsia"/>
          <w:color w:val="231F20"/>
        </w:rPr>
        <w:t>在主临（Parousia）时，那至今隐藏着至高君王的天，将最终被打开，使万目都要看见祂，这一位是真约柜，是上帝与祂所有被赎儿女的真正相会之处（出25:22；西3:1-3，提前2:5，来9:24，启1:7）。</w:t>
      </w:r>
    </w:p>
    <w:p w14:paraId="00C27CA2">
      <w:pPr>
        <w:pStyle w:val="9"/>
        <w:spacing w:after="0" w:line="249" w:lineRule="auto"/>
        <w:rPr>
          <w:rFonts w:hint="eastAsia"/>
          <w:color w:val="231F20"/>
        </w:rPr>
      </w:pPr>
    </w:p>
    <w:p w14:paraId="544CA6D2">
      <w:pPr>
        <w:pStyle w:val="9"/>
        <w:spacing w:after="0" w:line="249" w:lineRule="auto"/>
        <w:rPr>
          <w:rFonts w:hint="eastAsia"/>
          <w:color w:val="231F20"/>
        </w:rPr>
      </w:pPr>
      <w:r>
        <w:rPr>
          <w:rFonts w:hint="eastAsia"/>
          <w:color w:val="231F20"/>
        </w:rPr>
        <w:t>However, when he appears, those who refused to enter that Covenant will meet only with God’s wrath and retribution, typified here by such OT manifestations as lightning, thunder, earthquake, and hail (Rev. 4:5).</w:t>
      </w:r>
    </w:p>
    <w:p w14:paraId="1A8F4B33">
      <w:pPr>
        <w:pStyle w:val="9"/>
        <w:spacing w:after="0" w:line="249" w:lineRule="auto"/>
        <w:rPr>
          <w:rFonts w:hint="eastAsia"/>
          <w:color w:val="231F20"/>
        </w:rPr>
      </w:pPr>
      <w:r>
        <w:rPr>
          <w:rFonts w:hint="eastAsia"/>
          <w:color w:val="231F20"/>
        </w:rPr>
        <w:t>然而，当祂显现时，那些拒绝进入那约的人，将只会遇见上帝的忿怒和报应，这里以旧约的闪电、雷轰、地震和冰雹等彰显为其典型（启4:5）。</w:t>
      </w:r>
    </w:p>
    <w:p w14:paraId="0856E123">
      <w:pPr>
        <w:pStyle w:val="9"/>
        <w:spacing w:after="0" w:line="249" w:lineRule="auto"/>
        <w:rPr>
          <w:rFonts w:hint="eastAsia"/>
          <w:color w:val="231F20"/>
        </w:rPr>
      </w:pPr>
    </w:p>
    <w:p w14:paraId="71139D4B">
      <w:pPr>
        <w:pStyle w:val="9"/>
        <w:spacing w:after="0" w:line="249" w:lineRule="auto"/>
        <w:rPr>
          <w:rFonts w:hint="eastAsia"/>
          <w:color w:val="231F20"/>
        </w:rPr>
      </w:pPr>
      <w:r>
        <w:rPr>
          <w:rFonts w:hint="eastAsia"/>
          <w:color w:val="231F20"/>
        </w:rPr>
        <w:t>Thus does the cycle end, by giving us the end.</w:t>
      </w:r>
    </w:p>
    <w:p w14:paraId="18187B8A">
      <w:pPr>
        <w:pStyle w:val="9"/>
        <w:spacing w:after="0" w:line="249" w:lineRule="auto"/>
        <w:rPr>
          <w:rFonts w:hint="eastAsia"/>
          <w:color w:val="231F20"/>
        </w:rPr>
      </w:pPr>
      <w:r>
        <w:rPr>
          <w:rFonts w:hint="eastAsia"/>
          <w:color w:val="231F20"/>
        </w:rPr>
        <w:t>这个循环就这样结束，为我们展示了末了。</w:t>
      </w:r>
    </w:p>
    <w:p w14:paraId="7D5EEC9A">
      <w:pPr>
        <w:pStyle w:val="9"/>
        <w:spacing w:after="0" w:line="249" w:lineRule="auto"/>
        <w:rPr>
          <w:rFonts w:hint="eastAsia"/>
          <w:color w:val="231F20"/>
        </w:rPr>
      </w:pPr>
    </w:p>
    <w:p w14:paraId="1F64C56D">
      <w:pPr>
        <w:pStyle w:val="9"/>
        <w:spacing w:after="0" w:line="249" w:lineRule="auto"/>
        <w:rPr>
          <w:rFonts w:hint="eastAsia"/>
          <w:color w:val="231F20"/>
        </w:rPr>
      </w:pPr>
      <w:r>
        <w:rPr>
          <w:rFonts w:hint="eastAsia"/>
          <w:color w:val="231F20"/>
        </w:rPr>
        <w:t>Summing up, we have found that Revelation 8-11, just like 6-7, does indeed depict the course, character, and consummation of the reign of the High King of Heaven.</w:t>
      </w:r>
    </w:p>
    <w:p w14:paraId="18293EBF">
      <w:pPr>
        <w:pStyle w:val="9"/>
        <w:spacing w:after="0" w:line="249" w:lineRule="auto"/>
        <w:rPr>
          <w:rFonts w:hint="eastAsia"/>
          <w:color w:val="231F20"/>
        </w:rPr>
      </w:pPr>
      <w:r>
        <w:rPr>
          <w:rFonts w:hint="eastAsia"/>
          <w:color w:val="231F20"/>
        </w:rPr>
        <w:t>总结来说，我们发现《启示录》8-11章，就像6-7章一样，确实描绘了天上至高君王统治的进程、特征和最终成全。</w:t>
      </w:r>
    </w:p>
    <w:p w14:paraId="5735AD59">
      <w:pPr>
        <w:pStyle w:val="9"/>
        <w:spacing w:after="0" w:line="249" w:lineRule="auto"/>
        <w:rPr>
          <w:rFonts w:hint="eastAsia"/>
          <w:color w:val="231F20"/>
        </w:rPr>
      </w:pPr>
    </w:p>
    <w:p w14:paraId="61381914">
      <w:pPr>
        <w:pStyle w:val="9"/>
        <w:spacing w:after="0" w:line="249" w:lineRule="auto"/>
        <w:rPr>
          <w:rFonts w:hint="eastAsia"/>
          <w:color w:val="231F20"/>
        </w:rPr>
      </w:pPr>
      <w:r>
        <w:rPr>
          <w:rFonts w:hint="eastAsia"/>
          <w:color w:val="231F20"/>
        </w:rPr>
        <w:t>Moreover, as in 6-7, it teaches us that when the High King comes again, so too will the Kingdom in its full and final form.</w:t>
      </w:r>
    </w:p>
    <w:p w14:paraId="5824E48B">
      <w:pPr>
        <w:pStyle w:val="9"/>
        <w:spacing w:after="0" w:line="249" w:lineRule="auto"/>
        <w:rPr>
          <w:rFonts w:hint="eastAsia"/>
          <w:color w:val="231F20"/>
        </w:rPr>
      </w:pPr>
      <w:r>
        <w:rPr>
          <w:rFonts w:hint="eastAsia"/>
          <w:color w:val="231F20"/>
        </w:rPr>
        <w:t>此外，如同在6-7章中，它教导我们当至高君王再来时，国度也将以其完全和最终的形式来临。</w:t>
      </w:r>
    </w:p>
    <w:p w14:paraId="021E3B67">
      <w:pPr>
        <w:pStyle w:val="9"/>
        <w:spacing w:after="0" w:line="249" w:lineRule="auto"/>
        <w:rPr>
          <w:rFonts w:hint="eastAsia"/>
          <w:color w:val="231F20"/>
        </w:rPr>
      </w:pPr>
    </w:p>
    <w:p w14:paraId="1E9AE00C">
      <w:pPr>
        <w:pStyle w:val="9"/>
        <w:spacing w:after="0" w:line="249" w:lineRule="auto"/>
        <w:rPr>
          <w:rFonts w:hint="eastAsia"/>
          <w:color w:val="231F20"/>
        </w:rPr>
      </w:pPr>
      <w:r>
        <w:rPr>
          <w:rFonts w:hint="eastAsia"/>
          <w:color w:val="231F20"/>
        </w:rPr>
        <w:t>Here, however, there is something new, a measure of “progress.”</w:t>
      </w:r>
    </w:p>
    <w:p w14:paraId="25345B32">
      <w:pPr>
        <w:pStyle w:val="9"/>
        <w:spacing w:after="0" w:line="249" w:lineRule="auto"/>
        <w:rPr>
          <w:rFonts w:hint="eastAsia"/>
          <w:color w:val="231F20"/>
        </w:rPr>
      </w:pPr>
      <w:r>
        <w:rPr>
          <w:rFonts w:hint="eastAsia"/>
          <w:color w:val="231F20"/>
        </w:rPr>
        <w:t>然而，这里有一些新的东西，一定程度的“进展”。</w:t>
      </w:r>
    </w:p>
    <w:p w14:paraId="5C846141">
      <w:pPr>
        <w:pStyle w:val="9"/>
        <w:spacing w:after="0" w:line="249" w:lineRule="auto"/>
        <w:rPr>
          <w:rFonts w:hint="eastAsia"/>
          <w:color w:val="231F20"/>
        </w:rPr>
      </w:pPr>
    </w:p>
    <w:p w14:paraId="46D75F69">
      <w:pPr>
        <w:pStyle w:val="9"/>
        <w:spacing w:after="0" w:line="249" w:lineRule="auto"/>
        <w:rPr>
          <w:rFonts w:hint="eastAsia"/>
          <w:color w:val="231F20"/>
        </w:rPr>
      </w:pPr>
      <w:r>
        <w:rPr>
          <w:rFonts w:hint="eastAsia"/>
          <w:color w:val="231F20"/>
        </w:rPr>
        <w:t>For here the Spirit introduces the theme of the Last Battle, and also begins to lay a greater emphasis upon the last of the last days.</w:t>
      </w:r>
    </w:p>
    <w:p w14:paraId="31935A71">
      <w:pPr>
        <w:pStyle w:val="9"/>
        <w:spacing w:after="0" w:line="249" w:lineRule="auto"/>
        <w:rPr>
          <w:rFonts w:hint="eastAsia"/>
          <w:color w:val="231F20"/>
        </w:rPr>
      </w:pPr>
      <w:r>
        <w:rPr>
          <w:rFonts w:hint="eastAsia"/>
          <w:color w:val="231F20"/>
        </w:rPr>
        <w:t>因为在这里圣灵引入了末日争战的主题，并且也开始更加强调末后的末期。</w:t>
      </w:r>
    </w:p>
    <w:p w14:paraId="47F7645D">
      <w:pPr>
        <w:pStyle w:val="9"/>
        <w:spacing w:after="0" w:line="249" w:lineRule="auto"/>
        <w:rPr>
          <w:rFonts w:hint="eastAsia"/>
          <w:color w:val="231F20"/>
        </w:rPr>
      </w:pPr>
    </w:p>
    <w:p w14:paraId="5512F9F3">
      <w:pPr>
        <w:pStyle w:val="9"/>
        <w:spacing w:after="0" w:line="249" w:lineRule="auto"/>
        <w:rPr>
          <w:rFonts w:hint="eastAsia"/>
          <w:color w:val="231F20"/>
        </w:rPr>
      </w:pPr>
      <w:r>
        <w:rPr>
          <w:rFonts w:hint="eastAsia"/>
          <w:color w:val="231F20"/>
        </w:rPr>
        <w:t>So far, then, it appears that our chart gives us a good description of the true structure of the Revelation.</w:t>
      </w:r>
    </w:p>
    <w:p w14:paraId="2B20A524">
      <w:pPr>
        <w:pStyle w:val="9"/>
        <w:spacing w:after="0" w:line="249" w:lineRule="auto"/>
        <w:rPr>
          <w:rFonts w:hint="eastAsia"/>
          <w:color w:val="231F20"/>
        </w:rPr>
      </w:pPr>
      <w:r>
        <w:rPr>
          <w:rFonts w:hint="eastAsia"/>
          <w:color w:val="231F20"/>
        </w:rPr>
        <w:t>所以，到目前为止，我们的图表似乎给出了《启示录》真实结构的一个很好的描述。</w:t>
      </w:r>
    </w:p>
    <w:p w14:paraId="68DFD5F1">
      <w:pPr>
        <w:pStyle w:val="9"/>
        <w:spacing w:after="0" w:line="249" w:lineRule="auto"/>
        <w:rPr>
          <w:rFonts w:hint="eastAsia"/>
          <w:color w:val="231F20"/>
        </w:rPr>
      </w:pPr>
    </w:p>
    <w:p w14:paraId="77210411">
      <w:pPr>
        <w:pStyle w:val="9"/>
        <w:spacing w:after="0" w:line="249" w:lineRule="auto"/>
        <w:rPr>
          <w:rFonts w:hint="eastAsia"/>
          <w:color w:val="231F20"/>
        </w:rPr>
      </w:pPr>
      <w:r>
        <w:rPr>
          <w:rFonts w:hint="eastAsia"/>
          <w:color w:val="231F20"/>
        </w:rPr>
        <w:t>1.The Woman and the Man-Child, Persecuted by the Dragon and His Helpers (12-14)</w:t>
      </w:r>
    </w:p>
    <w:p w14:paraId="29396E78">
      <w:pPr>
        <w:pStyle w:val="9"/>
        <w:spacing w:after="0" w:line="249" w:lineRule="auto"/>
        <w:rPr>
          <w:rFonts w:hint="eastAsia"/>
          <w:color w:val="231F20"/>
        </w:rPr>
      </w:pPr>
      <w:r>
        <w:rPr>
          <w:rFonts w:hint="eastAsia"/>
          <w:color w:val="231F20"/>
        </w:rPr>
        <w:t>1.妇人与男孩子，遭龙及其助手迫害（12-14）</w:t>
      </w:r>
    </w:p>
    <w:p w14:paraId="62AFB046">
      <w:pPr>
        <w:pStyle w:val="9"/>
        <w:spacing w:after="0" w:line="249" w:lineRule="auto"/>
        <w:rPr>
          <w:rFonts w:hint="eastAsia"/>
          <w:color w:val="231F20"/>
        </w:rPr>
      </w:pPr>
    </w:p>
    <w:p w14:paraId="1354800C">
      <w:pPr>
        <w:pStyle w:val="9"/>
        <w:spacing w:after="0" w:line="249" w:lineRule="auto"/>
        <w:rPr>
          <w:rFonts w:hint="eastAsia"/>
          <w:color w:val="231F20"/>
        </w:rPr>
      </w:pPr>
      <w:r>
        <w:rPr>
          <w:rFonts w:hint="eastAsia"/>
          <w:color w:val="231F20"/>
        </w:rPr>
        <w:t>We come now to the third of the six cycles depicting the course, character, and consummation of the High King’s heavenly reign.</w:t>
      </w:r>
    </w:p>
    <w:p w14:paraId="17827555">
      <w:pPr>
        <w:pStyle w:val="9"/>
        <w:spacing w:after="0" w:line="249" w:lineRule="auto"/>
        <w:rPr>
          <w:rFonts w:hint="eastAsia"/>
          <w:color w:val="231F20"/>
        </w:rPr>
      </w:pPr>
      <w:r>
        <w:rPr>
          <w:rFonts w:hint="eastAsia"/>
          <w:color w:val="231F20"/>
        </w:rPr>
        <w:t>我们现在来到描绘至高君王属天统治的进程、特征和最终成全的六个循环中的第三个。</w:t>
      </w:r>
    </w:p>
    <w:p w14:paraId="63B19770">
      <w:pPr>
        <w:pStyle w:val="9"/>
        <w:spacing w:after="0" w:line="249" w:lineRule="auto"/>
        <w:rPr>
          <w:rFonts w:hint="eastAsia"/>
          <w:color w:val="231F20"/>
        </w:rPr>
      </w:pPr>
    </w:p>
    <w:p w14:paraId="1A543E31">
      <w:pPr>
        <w:pStyle w:val="9"/>
        <w:spacing w:after="0" w:line="249" w:lineRule="auto"/>
        <w:rPr>
          <w:rFonts w:hint="eastAsia"/>
          <w:color w:val="231F20"/>
        </w:rPr>
      </w:pPr>
      <w:r>
        <w:rPr>
          <w:rFonts w:hint="eastAsia"/>
          <w:color w:val="231F20"/>
        </w:rPr>
        <w:t>This one is notable for giving us a unique glimpse of OT Salvation History, introducing the main antagonists in the Battle of the Ages, and supplying important keys to the proper interpretation of Revelation 20.</w:t>
      </w:r>
    </w:p>
    <w:p w14:paraId="7300B1F0">
      <w:pPr>
        <w:pStyle w:val="9"/>
        <w:spacing w:after="0" w:line="249" w:lineRule="auto"/>
        <w:rPr>
          <w:rFonts w:hint="eastAsia"/>
          <w:color w:val="231F20"/>
        </w:rPr>
      </w:pPr>
      <w:r>
        <w:rPr>
          <w:rFonts w:hint="eastAsia"/>
          <w:color w:val="231F20"/>
        </w:rPr>
        <w:t>这一个循环之所以引人注目，是因为它为我们提供了对旧约救赎历史的独特一瞥，介绍了历代争战中的主要敌对者，并为正确解释《启示录》第20章提供了重要的钥匙。</w:t>
      </w:r>
    </w:p>
    <w:p w14:paraId="32698C24">
      <w:pPr>
        <w:pStyle w:val="9"/>
        <w:spacing w:after="0" w:line="249" w:lineRule="auto"/>
        <w:rPr>
          <w:rFonts w:hint="eastAsia"/>
          <w:color w:val="231F20"/>
        </w:rPr>
      </w:pPr>
    </w:p>
    <w:p w14:paraId="5239D47E">
      <w:pPr>
        <w:pStyle w:val="9"/>
        <w:spacing w:after="0" w:line="249" w:lineRule="auto"/>
        <w:rPr>
          <w:rFonts w:hint="eastAsia"/>
          <w:color w:val="231F20"/>
        </w:rPr>
      </w:pPr>
      <w:r>
        <w:rPr>
          <w:rFonts w:hint="eastAsia"/>
          <w:color w:val="231F20"/>
        </w:rPr>
        <w:t>Keeping these themes in mind, let us survey it briefly.</w:t>
      </w:r>
    </w:p>
    <w:p w14:paraId="782AD093">
      <w:pPr>
        <w:pStyle w:val="9"/>
        <w:spacing w:after="0" w:line="249" w:lineRule="auto"/>
        <w:rPr>
          <w:rFonts w:hint="eastAsia"/>
          <w:color w:val="231F20"/>
        </w:rPr>
      </w:pPr>
      <w:r>
        <w:rPr>
          <w:rFonts w:hint="eastAsia"/>
          <w:color w:val="231F20"/>
        </w:rPr>
        <w:t>记住这些主题，让我们简要地考察它。</w:t>
      </w:r>
    </w:p>
    <w:p w14:paraId="3576D023">
      <w:pPr>
        <w:pStyle w:val="9"/>
        <w:spacing w:after="0" w:line="249" w:lineRule="auto"/>
        <w:rPr>
          <w:rFonts w:hint="eastAsia"/>
          <w:color w:val="231F20"/>
        </w:rPr>
      </w:pPr>
    </w:p>
    <w:p w14:paraId="351176A6">
      <w:pPr>
        <w:pStyle w:val="9"/>
        <w:spacing w:after="0" w:line="249" w:lineRule="auto"/>
        <w:rPr>
          <w:rFonts w:hint="eastAsia"/>
          <w:color w:val="231F20"/>
        </w:rPr>
      </w:pPr>
      <w:r>
        <w:rPr>
          <w:rFonts w:hint="eastAsia"/>
          <w:color w:val="231F20"/>
        </w:rPr>
        <w:t>As we saw earlier, chapter 12 uses the Exodus motif to give us a compelling paradigm by which the Universal Church may think of Salvation History as a whole, and also of her day-to-day experience in the earth.</w:t>
      </w:r>
    </w:p>
    <w:p w14:paraId="41C49B6D">
      <w:pPr>
        <w:pStyle w:val="9"/>
        <w:spacing w:after="0" w:line="249" w:lineRule="auto"/>
        <w:rPr>
          <w:rFonts w:hint="eastAsia"/>
          <w:color w:val="231F20"/>
        </w:rPr>
      </w:pPr>
      <w:r>
        <w:rPr>
          <w:rFonts w:hint="eastAsia"/>
          <w:color w:val="231F20"/>
        </w:rPr>
        <w:t>正如我们先前所见，第12章使用出埃及的母题为我们提供了一个令人信服的范式，普世教会可以借此思考整个救赎历史，以及她在地上的日常经历。</w:t>
      </w:r>
    </w:p>
    <w:p w14:paraId="19409C6F">
      <w:pPr>
        <w:pStyle w:val="9"/>
        <w:spacing w:after="0" w:line="249" w:lineRule="auto"/>
        <w:rPr>
          <w:rFonts w:hint="eastAsia"/>
          <w:color w:val="231F20"/>
        </w:rPr>
      </w:pPr>
    </w:p>
    <w:p w14:paraId="725786A2">
      <w:pPr>
        <w:pStyle w:val="9"/>
        <w:spacing w:after="0" w:line="249" w:lineRule="auto"/>
        <w:rPr>
          <w:rFonts w:hint="eastAsia"/>
          <w:color w:val="231F20"/>
        </w:rPr>
      </w:pPr>
      <w:r>
        <w:rPr>
          <w:rFonts w:hint="eastAsia"/>
          <w:color w:val="231F20"/>
        </w:rPr>
        <w:t>It includes three elements: (1) rescue from spiritual Egypt (i.e., the Domain of Darkness), (2) a long and difficult pilgrimage—with the Lord at her side—through the wilderness of this world, and, (3) a joyous, triumphal entry into the Promised Land.</w:t>
      </w:r>
    </w:p>
    <w:p w14:paraId="6891436F">
      <w:pPr>
        <w:pStyle w:val="9"/>
        <w:spacing w:after="0" w:line="249" w:lineRule="auto"/>
        <w:rPr>
          <w:rFonts w:hint="eastAsia"/>
          <w:color w:val="231F20"/>
        </w:rPr>
      </w:pPr>
      <w:r>
        <w:rPr>
          <w:rFonts w:hint="eastAsia"/>
          <w:color w:val="231F20"/>
        </w:rPr>
        <w:t>它包括三个要素：（1）从属灵的埃及（即黑暗的权势）中被拯救，（2）一次漫长而艰难的朝圣之旅——有主在她身边——穿越这个世界的旷野，以及（3）一次喜乐的、胜利的进入应许之地。</w:t>
      </w:r>
    </w:p>
    <w:p w14:paraId="78A37D15">
      <w:pPr>
        <w:pStyle w:val="9"/>
        <w:spacing w:after="0" w:line="249" w:lineRule="auto"/>
        <w:rPr>
          <w:rFonts w:hint="eastAsia"/>
          <w:color w:val="231F20"/>
        </w:rPr>
      </w:pPr>
    </w:p>
    <w:p w14:paraId="035CED9D">
      <w:pPr>
        <w:pStyle w:val="9"/>
        <w:spacing w:after="0" w:line="249" w:lineRule="auto"/>
        <w:rPr>
          <w:rFonts w:hint="eastAsia"/>
          <w:color w:val="231F20"/>
        </w:rPr>
      </w:pPr>
      <w:r>
        <w:rPr>
          <w:rFonts w:hint="eastAsia"/>
          <w:color w:val="231F20"/>
        </w:rPr>
        <w:t>Verses 1-6, astonishing for the conciseness with which they manage to convey so much redemptive truth, give us the three chief actors in this great cosmic drama, even as they depict the course of Salvation History as a whole.</w:t>
      </w:r>
    </w:p>
    <w:p w14:paraId="5AF09556">
      <w:pPr>
        <w:pStyle w:val="9"/>
        <w:spacing w:after="0" w:line="249" w:lineRule="auto"/>
        <w:rPr>
          <w:rFonts w:hint="eastAsia"/>
          <w:color w:val="231F20"/>
        </w:rPr>
      </w:pPr>
      <w:r>
        <w:rPr>
          <w:rFonts w:hint="eastAsia"/>
          <w:color w:val="231F20"/>
        </w:rPr>
        <w:t>第1-6节，以其惊人的简洁传达了如此之多的救赎真理，为我们呈现了这场伟大宇宙戏剧中的三位主要角色，同时也描绘了整个救赎历史的进程。</w:t>
      </w:r>
    </w:p>
    <w:p w14:paraId="747826FB">
      <w:pPr>
        <w:pStyle w:val="9"/>
        <w:spacing w:after="0" w:line="249" w:lineRule="auto"/>
        <w:rPr>
          <w:rFonts w:hint="eastAsia"/>
          <w:color w:val="231F20"/>
        </w:rPr>
      </w:pPr>
    </w:p>
    <w:p w14:paraId="63618072">
      <w:pPr>
        <w:pStyle w:val="9"/>
        <w:spacing w:after="0" w:line="249" w:lineRule="auto"/>
        <w:rPr>
          <w:rFonts w:hint="eastAsia"/>
          <w:color w:val="231F20"/>
        </w:rPr>
      </w:pPr>
      <w:r>
        <w:rPr>
          <w:rFonts w:hint="eastAsia"/>
          <w:color w:val="231F20"/>
        </w:rPr>
        <w:t>First, we meet the Woman.</w:t>
      </w:r>
    </w:p>
    <w:p w14:paraId="4A668E7B">
      <w:pPr>
        <w:pStyle w:val="9"/>
        <w:spacing w:after="0" w:line="249" w:lineRule="auto"/>
        <w:rPr>
          <w:rFonts w:hint="eastAsia"/>
          <w:color w:val="231F20"/>
        </w:rPr>
      </w:pPr>
      <w:r>
        <w:rPr>
          <w:rFonts w:hint="eastAsia"/>
          <w:color w:val="231F20"/>
        </w:rPr>
        <w:t>首先，我们遇见妇人。</w:t>
      </w:r>
    </w:p>
    <w:p w14:paraId="558BA50E">
      <w:pPr>
        <w:pStyle w:val="9"/>
        <w:spacing w:after="0" w:line="249" w:lineRule="auto"/>
        <w:rPr>
          <w:rFonts w:hint="eastAsia"/>
          <w:color w:val="231F20"/>
        </w:rPr>
      </w:pPr>
    </w:p>
    <w:p w14:paraId="73AE22BA">
      <w:pPr>
        <w:pStyle w:val="9"/>
        <w:spacing w:after="0" w:line="249" w:lineRule="auto"/>
        <w:rPr>
          <w:rFonts w:hint="eastAsia"/>
          <w:color w:val="231F20"/>
        </w:rPr>
      </w:pPr>
      <w:r>
        <w:rPr>
          <w:rFonts w:hint="eastAsia"/>
          <w:color w:val="231F20"/>
        </w:rPr>
        <w:t>Adorned as a heavenly Bride for her Betrothed, she is the Woman prophesied in Genesis 3:15: the Church of all times and places, in both her Old and New Testament embodiments (12:1, Rom. 11:11-24, Rev. 7:1f, 21:10-14).</w:t>
      </w:r>
    </w:p>
    <w:p w14:paraId="733E83FA">
      <w:pPr>
        <w:pStyle w:val="9"/>
        <w:spacing w:after="0" w:line="249" w:lineRule="auto"/>
        <w:rPr>
          <w:rFonts w:hint="eastAsia"/>
          <w:color w:val="231F20"/>
        </w:rPr>
      </w:pPr>
      <w:r>
        <w:rPr>
          <w:rFonts w:hint="eastAsia"/>
          <w:color w:val="231F20"/>
        </w:rPr>
        <w:t>她被装扮成天上的新妇，为她的未婚夫预备，她就是创世记3:15中预言的妇人：所有时代和地方的教会，包括其旧约和新约的体现（12:1，罗11:11-24，启7:1及以下，21:10-14）。</w:t>
      </w:r>
    </w:p>
    <w:p w14:paraId="7C37A0B2">
      <w:pPr>
        <w:pStyle w:val="9"/>
        <w:spacing w:after="0" w:line="249" w:lineRule="auto"/>
        <w:rPr>
          <w:rFonts w:hint="eastAsia"/>
          <w:color w:val="231F20"/>
        </w:rPr>
      </w:pPr>
    </w:p>
    <w:p w14:paraId="5ED236CA">
      <w:pPr>
        <w:pStyle w:val="9"/>
        <w:spacing w:after="0" w:line="249" w:lineRule="auto"/>
        <w:rPr>
          <w:rFonts w:hint="eastAsia"/>
          <w:color w:val="231F20"/>
        </w:rPr>
      </w:pPr>
      <w:r>
        <w:rPr>
          <w:rFonts w:hint="eastAsia"/>
          <w:color w:val="231F20"/>
        </w:rPr>
        <w:t>Beautiful as she is, she is nevertheless crying out in pain, emblematic of the sufferings of the OT saints, whose costly faithfulness ensured the delivery of the Messiah into the world (12:2).</w:t>
      </w:r>
    </w:p>
    <w:p w14:paraId="46955A1D">
      <w:pPr>
        <w:pStyle w:val="9"/>
        <w:spacing w:after="0" w:line="249" w:lineRule="auto"/>
        <w:rPr>
          <w:rFonts w:hint="eastAsia"/>
          <w:color w:val="231F20"/>
        </w:rPr>
      </w:pPr>
      <w:r>
        <w:rPr>
          <w:rFonts w:hint="eastAsia"/>
          <w:color w:val="231F20"/>
        </w:rPr>
        <w:t>她虽然美丽，却在痛苦中呼喊，象征着旧约圣徒的苦难，他们代价高昂的忠心确保了弥赛亚降生到世上（12:2）。</w:t>
      </w:r>
    </w:p>
    <w:p w14:paraId="6BEEDAF3">
      <w:pPr>
        <w:pStyle w:val="9"/>
        <w:spacing w:after="0" w:line="249" w:lineRule="auto"/>
        <w:rPr>
          <w:rFonts w:hint="eastAsia"/>
          <w:color w:val="231F20"/>
        </w:rPr>
      </w:pPr>
    </w:p>
    <w:p w14:paraId="0AF702FD">
      <w:pPr>
        <w:pStyle w:val="9"/>
        <w:spacing w:after="0" w:line="249" w:lineRule="auto"/>
        <w:rPr>
          <w:rFonts w:hint="eastAsia"/>
          <w:color w:val="231F20"/>
        </w:rPr>
      </w:pPr>
      <w:r>
        <w:rPr>
          <w:rFonts w:hint="eastAsia"/>
          <w:color w:val="231F20"/>
        </w:rPr>
        <w:t>Next, we meet the Dragon and his host of fallen evil angels.</w:t>
      </w:r>
    </w:p>
    <w:p w14:paraId="1B7AF65D">
      <w:pPr>
        <w:pStyle w:val="9"/>
        <w:spacing w:after="0" w:line="249" w:lineRule="auto"/>
        <w:rPr>
          <w:rFonts w:hint="eastAsia"/>
          <w:color w:val="231F20"/>
        </w:rPr>
      </w:pPr>
      <w:r>
        <w:rPr>
          <w:rFonts w:hint="eastAsia"/>
          <w:color w:val="231F20"/>
        </w:rPr>
        <w:t>接着，我们遇见龙和它那一群堕落的邪恶天使。</w:t>
      </w:r>
    </w:p>
    <w:p w14:paraId="23D4F471">
      <w:pPr>
        <w:pStyle w:val="9"/>
        <w:spacing w:after="0" w:line="249" w:lineRule="auto"/>
        <w:rPr>
          <w:rFonts w:hint="eastAsia"/>
          <w:color w:val="231F20"/>
        </w:rPr>
      </w:pPr>
    </w:p>
    <w:p w14:paraId="6C5094C7">
      <w:pPr>
        <w:pStyle w:val="9"/>
        <w:spacing w:after="0" w:line="249" w:lineRule="auto"/>
        <w:rPr>
          <w:rFonts w:hint="eastAsia"/>
          <w:color w:val="231F20"/>
        </w:rPr>
      </w:pPr>
      <w:r>
        <w:rPr>
          <w:rFonts w:hint="eastAsia"/>
          <w:color w:val="231F20"/>
        </w:rPr>
        <w:t>This is Satan, but Satan with a full complement of heads, horns, and crowns: Satan as the invisible power and authority who seeks to destroy the Woman and her Child through his human helpers in the world (12:3-4).</w:t>
      </w:r>
    </w:p>
    <w:p w14:paraId="00CE9108">
      <w:pPr>
        <w:pStyle w:val="9"/>
        <w:spacing w:after="0" w:line="249" w:lineRule="auto"/>
        <w:rPr>
          <w:rFonts w:hint="eastAsia"/>
          <w:color w:val="231F20"/>
        </w:rPr>
      </w:pPr>
      <w:r>
        <w:rPr>
          <w:rFonts w:hint="eastAsia"/>
          <w:color w:val="231F20"/>
        </w:rPr>
        <w:t>这就是撒但，但是一个有全副头、角和冠冕的撒但：作为看不见的能力和权柄，撒但企图通过他在世上的人类助手来毁灭那妇人和她的孩子（12:3-4）。</w:t>
      </w:r>
    </w:p>
    <w:p w14:paraId="6D4FD856">
      <w:pPr>
        <w:pStyle w:val="9"/>
        <w:spacing w:after="0" w:line="249" w:lineRule="auto"/>
        <w:rPr>
          <w:rFonts w:hint="eastAsia"/>
          <w:color w:val="231F20"/>
        </w:rPr>
      </w:pPr>
    </w:p>
    <w:p w14:paraId="67E67C78">
      <w:pPr>
        <w:pStyle w:val="9"/>
        <w:spacing w:after="0" w:line="249" w:lineRule="auto"/>
        <w:rPr>
          <w:rFonts w:hint="eastAsia"/>
          <w:color w:val="231F20"/>
        </w:rPr>
      </w:pPr>
      <w:r>
        <w:rPr>
          <w:rFonts w:hint="eastAsia"/>
          <w:color w:val="231F20"/>
        </w:rPr>
        <w:t>Here, too, we meet the protagonist of the drama: the Man-Child, the Last Adam.</w:t>
      </w:r>
    </w:p>
    <w:p w14:paraId="5838E221">
      <w:pPr>
        <w:pStyle w:val="9"/>
        <w:spacing w:after="0" w:line="249" w:lineRule="auto"/>
        <w:rPr>
          <w:rFonts w:hint="eastAsia"/>
          <w:color w:val="231F20"/>
        </w:rPr>
      </w:pPr>
      <w:r>
        <w:rPr>
          <w:rFonts w:hint="eastAsia"/>
          <w:color w:val="231F20"/>
        </w:rPr>
        <w:t>在这里，我们也遇见了这出戏剧的主角：男孩子，末后的亚当。</w:t>
      </w:r>
    </w:p>
    <w:p w14:paraId="02A09F97">
      <w:pPr>
        <w:pStyle w:val="9"/>
        <w:spacing w:after="0" w:line="249" w:lineRule="auto"/>
        <w:rPr>
          <w:rFonts w:hint="eastAsia"/>
          <w:color w:val="231F20"/>
        </w:rPr>
      </w:pPr>
    </w:p>
    <w:p w14:paraId="08B5D0D9">
      <w:pPr>
        <w:pStyle w:val="9"/>
        <w:spacing w:after="0" w:line="249" w:lineRule="auto"/>
        <w:rPr>
          <w:rFonts w:hint="eastAsia"/>
          <w:color w:val="231F20"/>
        </w:rPr>
      </w:pPr>
      <w:r>
        <w:rPr>
          <w:rFonts w:hint="eastAsia"/>
          <w:color w:val="231F20"/>
        </w:rPr>
        <w:t>Does Satan strike him on the heel?</w:t>
      </w:r>
    </w:p>
    <w:p w14:paraId="1A9F7278">
      <w:pPr>
        <w:pStyle w:val="9"/>
        <w:spacing w:after="0" w:line="249" w:lineRule="auto"/>
        <w:rPr>
          <w:rFonts w:hint="eastAsia"/>
          <w:color w:val="231F20"/>
        </w:rPr>
      </w:pPr>
      <w:r>
        <w:rPr>
          <w:rFonts w:hint="eastAsia"/>
          <w:color w:val="231F20"/>
        </w:rPr>
        <w:t>撒但伤了祂的脚跟吗？</w:t>
      </w:r>
    </w:p>
    <w:p w14:paraId="2E1C1001">
      <w:pPr>
        <w:pStyle w:val="9"/>
        <w:spacing w:after="0" w:line="249" w:lineRule="auto"/>
        <w:rPr>
          <w:rFonts w:hint="eastAsia"/>
          <w:color w:val="231F20"/>
        </w:rPr>
      </w:pPr>
    </w:p>
    <w:p w14:paraId="1072D834">
      <w:pPr>
        <w:pStyle w:val="9"/>
        <w:spacing w:after="0" w:line="249" w:lineRule="auto"/>
        <w:rPr>
          <w:rFonts w:hint="eastAsia"/>
          <w:color w:val="231F20"/>
        </w:rPr>
      </w:pPr>
      <w:r>
        <w:rPr>
          <w:rFonts w:hint="eastAsia"/>
          <w:color w:val="231F20"/>
        </w:rPr>
        <w:t>To be sure.</w:t>
      </w:r>
    </w:p>
    <w:p w14:paraId="2C0D9E05">
      <w:pPr>
        <w:pStyle w:val="9"/>
        <w:spacing w:after="0" w:line="249" w:lineRule="auto"/>
        <w:rPr>
          <w:rFonts w:hint="eastAsia"/>
          <w:color w:val="231F20"/>
        </w:rPr>
      </w:pPr>
      <w:r>
        <w:rPr>
          <w:rFonts w:hint="eastAsia"/>
          <w:color w:val="231F20"/>
        </w:rPr>
        <w:t>当然。</w:t>
      </w:r>
    </w:p>
    <w:p w14:paraId="2FFFD22A">
      <w:pPr>
        <w:pStyle w:val="9"/>
        <w:spacing w:after="0" w:line="249" w:lineRule="auto"/>
        <w:rPr>
          <w:rFonts w:hint="eastAsia"/>
          <w:color w:val="231F20"/>
        </w:rPr>
      </w:pPr>
    </w:p>
    <w:p w14:paraId="016CAC24">
      <w:pPr>
        <w:pStyle w:val="9"/>
        <w:spacing w:after="0" w:line="249" w:lineRule="auto"/>
        <w:rPr>
          <w:rFonts w:hint="eastAsia"/>
          <w:color w:val="231F20"/>
        </w:rPr>
      </w:pPr>
      <w:r>
        <w:rPr>
          <w:rFonts w:hint="eastAsia"/>
          <w:color w:val="231F20"/>
        </w:rPr>
        <w:t>Is he destroyed?</w:t>
      </w:r>
    </w:p>
    <w:p w14:paraId="4574DE33">
      <w:pPr>
        <w:pStyle w:val="9"/>
        <w:spacing w:after="0" w:line="249" w:lineRule="auto"/>
        <w:rPr>
          <w:rFonts w:hint="eastAsia"/>
          <w:color w:val="231F20"/>
        </w:rPr>
      </w:pPr>
      <w:r>
        <w:rPr>
          <w:rFonts w:hint="eastAsia"/>
          <w:color w:val="231F20"/>
        </w:rPr>
        <w:t>祂被毁灭了吗？</w:t>
      </w:r>
    </w:p>
    <w:p w14:paraId="259C187D">
      <w:pPr>
        <w:pStyle w:val="9"/>
        <w:spacing w:after="0" w:line="249" w:lineRule="auto"/>
        <w:rPr>
          <w:rFonts w:hint="eastAsia"/>
          <w:color w:val="231F20"/>
        </w:rPr>
      </w:pPr>
    </w:p>
    <w:p w14:paraId="73D8B690">
      <w:pPr>
        <w:pStyle w:val="9"/>
        <w:spacing w:after="0" w:line="249" w:lineRule="auto"/>
        <w:rPr>
          <w:rFonts w:hint="eastAsia"/>
          <w:color w:val="231F20"/>
        </w:rPr>
      </w:pPr>
      <w:r>
        <w:rPr>
          <w:rFonts w:hint="eastAsia"/>
          <w:color w:val="231F20"/>
        </w:rPr>
        <w:t>Far from it, for following his resurrection, he ascends into heaven, where, for an appointed season, he will reign as High King of the cosmos, and then return to judge the nations with a rod of iron, at which time he will crush the serpent’s head once and for all (12:5, Gen. 3:15, Psalm 2:9, Rom. 16:20, Rev. 19:15).</w:t>
      </w:r>
    </w:p>
    <w:p w14:paraId="7AE4B79F">
      <w:pPr>
        <w:pStyle w:val="9"/>
        <w:spacing w:after="0" w:line="249" w:lineRule="auto"/>
        <w:rPr>
          <w:rFonts w:hint="eastAsia"/>
          <w:color w:val="231F20"/>
        </w:rPr>
      </w:pPr>
      <w:r>
        <w:rPr>
          <w:rFonts w:hint="eastAsia"/>
          <w:color w:val="231F20"/>
        </w:rPr>
        <w:t>远非如此，因为在祂复活之后，祂升入高天，在那里，在一个指定的时期内，祂将作为宇宙的至高君王统治，然后回来用铁杖审判列国，届时祂将彻底击碎蛇的头（12:5，创3:15，诗2:9，罗16:20，启19:15）。</w:t>
      </w:r>
    </w:p>
    <w:p w14:paraId="6409385C">
      <w:pPr>
        <w:pStyle w:val="9"/>
        <w:spacing w:after="0" w:line="249" w:lineRule="auto"/>
        <w:rPr>
          <w:rFonts w:hint="eastAsia"/>
          <w:color w:val="231F20"/>
        </w:rPr>
      </w:pPr>
    </w:p>
    <w:p w14:paraId="208ED068">
      <w:pPr>
        <w:pStyle w:val="9"/>
        <w:spacing w:after="0" w:line="249" w:lineRule="auto"/>
        <w:rPr>
          <w:rFonts w:hint="eastAsia"/>
          <w:color w:val="231F20"/>
        </w:rPr>
      </w:pPr>
      <w:r>
        <w:rPr>
          <w:rFonts w:hint="eastAsia"/>
          <w:color w:val="231F20"/>
        </w:rPr>
        <w:t>But alas, the Woman, having work to accomplish on earth, cannot follow him—at least not yet (John 13:33, 14:1-3).</w:t>
      </w:r>
    </w:p>
    <w:p w14:paraId="0E0C9EAE">
      <w:pPr>
        <w:pStyle w:val="9"/>
        <w:spacing w:after="0" w:line="249" w:lineRule="auto"/>
        <w:rPr>
          <w:rFonts w:hint="eastAsia"/>
          <w:color w:val="231F20"/>
        </w:rPr>
      </w:pPr>
      <w:r>
        <w:rPr>
          <w:rFonts w:hint="eastAsia"/>
          <w:color w:val="231F20"/>
        </w:rPr>
        <w:t>但唉，那妇人，因在地上有工作要完成，不能跟从祂——至少现在还不能（约翰福音13:33，14:1-3）。</w:t>
      </w:r>
    </w:p>
    <w:p w14:paraId="08FCB40D">
      <w:pPr>
        <w:pStyle w:val="9"/>
        <w:spacing w:after="0" w:line="249" w:lineRule="auto"/>
        <w:rPr>
          <w:rFonts w:hint="eastAsia"/>
          <w:color w:val="231F20"/>
        </w:rPr>
      </w:pPr>
    </w:p>
    <w:p w14:paraId="50F3573F">
      <w:pPr>
        <w:pStyle w:val="9"/>
        <w:spacing w:after="0" w:line="249" w:lineRule="auto"/>
        <w:rPr>
          <w:rFonts w:hint="eastAsia"/>
          <w:color w:val="231F20"/>
        </w:rPr>
      </w:pPr>
      <w:r>
        <w:rPr>
          <w:rFonts w:hint="eastAsia"/>
          <w:color w:val="231F20"/>
        </w:rPr>
        <w:t>Therefore, like Israel at the Exodus, or like Elijah in the days of Ahab, the evangelistic Church flees into the wilderness of the fallen world-system, where God and Christ faithfully nourish her by Word, Sacrament, and Spirit, until, at the end of “1260 days” (i.e., the appointed season of their pilgrimage), she enters the Promised Land.</w:t>
      </w:r>
    </w:p>
    <w:p w14:paraId="5BA612D6">
      <w:pPr>
        <w:pStyle w:val="9"/>
        <w:spacing w:after="0" w:line="249" w:lineRule="auto"/>
        <w:rPr>
          <w:rFonts w:hint="eastAsia"/>
          <w:color w:val="231F20"/>
        </w:rPr>
      </w:pPr>
      <w:r>
        <w:rPr>
          <w:rFonts w:hint="eastAsia"/>
          <w:color w:val="231F20"/>
        </w:rPr>
        <w:t>因此，就像出埃及时期的以色列，或亚哈时代的以利亚，传福音的教会逃到堕落世界体系的旷野，在那里上帝和基督借着圣道、圣礼和圣灵忠实地供养她，直到“1260天”（即他们朝圣的指定时期）结束时，她进入应许之地。</w:t>
      </w:r>
    </w:p>
    <w:p w14:paraId="2FC84E73">
      <w:pPr>
        <w:pStyle w:val="9"/>
        <w:spacing w:after="0" w:line="249" w:lineRule="auto"/>
        <w:rPr>
          <w:rFonts w:hint="eastAsia"/>
          <w:color w:val="231F20"/>
        </w:rPr>
      </w:pPr>
    </w:p>
    <w:p w14:paraId="63B096F1">
      <w:pPr>
        <w:pStyle w:val="9"/>
        <w:spacing w:after="0" w:line="249" w:lineRule="auto"/>
        <w:rPr>
          <w:rFonts w:hint="eastAsia"/>
          <w:color w:val="231F20"/>
        </w:rPr>
      </w:pPr>
      <w:r>
        <w:rPr>
          <w:rFonts w:hint="eastAsia"/>
          <w:color w:val="231F20"/>
        </w:rPr>
        <w:t>We find, then, that this cycle clearly begins at the beginning of the Era of Proclamation, and that it symbolically designates that era as 1260 days.</w:t>
      </w:r>
    </w:p>
    <w:p w14:paraId="2819B7F7">
      <w:pPr>
        <w:pStyle w:val="9"/>
        <w:spacing w:after="0" w:line="249" w:lineRule="auto"/>
        <w:rPr>
          <w:rFonts w:hint="eastAsia"/>
          <w:color w:val="231F20"/>
        </w:rPr>
      </w:pPr>
      <w:r>
        <w:rPr>
          <w:rFonts w:hint="eastAsia"/>
          <w:color w:val="231F20"/>
        </w:rPr>
        <w:t>因此，我们发现这个循环清楚地始于宣讲时代的开端，并且它象征性地将那个时代指定为1260天。</w:t>
      </w:r>
    </w:p>
    <w:p w14:paraId="62B26853">
      <w:pPr>
        <w:pStyle w:val="9"/>
        <w:spacing w:after="0" w:line="249" w:lineRule="auto"/>
        <w:rPr>
          <w:rFonts w:hint="eastAsia"/>
          <w:color w:val="231F20"/>
        </w:rPr>
      </w:pPr>
    </w:p>
    <w:p w14:paraId="114E89A4">
      <w:pPr>
        <w:pStyle w:val="9"/>
        <w:spacing w:after="0" w:line="249" w:lineRule="auto"/>
        <w:rPr>
          <w:rFonts w:hint="eastAsia"/>
          <w:color w:val="231F20"/>
        </w:rPr>
      </w:pPr>
      <w:r>
        <w:rPr>
          <w:rFonts w:hint="eastAsia"/>
          <w:color w:val="231F20"/>
        </w:rPr>
        <w:t>As I argued earlier, verses 7-12 use apocalyptic symbolism to speak of the cosmic dethronement of Satan; of his being “cast out” of his lawful position as king over all the unbelieving nations (12:9, Mt. 12:22-29).</w:t>
      </w:r>
    </w:p>
    <w:p w14:paraId="2345E2E8">
      <w:pPr>
        <w:pStyle w:val="9"/>
        <w:spacing w:after="0" w:line="249" w:lineRule="auto"/>
        <w:rPr>
          <w:rFonts w:hint="eastAsia"/>
          <w:color w:val="231F20"/>
        </w:rPr>
      </w:pPr>
      <w:r>
        <w:rPr>
          <w:rFonts w:hint="eastAsia"/>
          <w:color w:val="231F20"/>
        </w:rPr>
        <w:t>正如我先前所论证的，第7-12节使用末世象征手法来讲述撒但在宇宙中的被废黜；他被从其作为所有不信之国君王的合法地位上“摔出去”（12:9，太12:22-29）。</w:t>
      </w:r>
    </w:p>
    <w:p w14:paraId="625E594C">
      <w:pPr>
        <w:pStyle w:val="9"/>
        <w:spacing w:after="0" w:line="249" w:lineRule="auto"/>
        <w:rPr>
          <w:rFonts w:hint="eastAsia"/>
          <w:color w:val="231F20"/>
        </w:rPr>
      </w:pPr>
    </w:p>
    <w:p w14:paraId="7ED17654">
      <w:pPr>
        <w:pStyle w:val="9"/>
        <w:spacing w:after="0" w:line="249" w:lineRule="auto"/>
        <w:rPr>
          <w:rFonts w:hint="eastAsia"/>
          <w:color w:val="231F20"/>
        </w:rPr>
      </w:pPr>
      <w:r>
        <w:rPr>
          <w:rFonts w:hint="eastAsia"/>
          <w:color w:val="231F20"/>
        </w:rPr>
        <w:t>In principle, this was accomplished when Christ, having secured both righteousness and pardon for his people by his earthly life and death, took his seat in the heavenlies as their High Priest and King.</w:t>
      </w:r>
    </w:p>
    <w:p w14:paraId="25C73D81">
      <w:pPr>
        <w:pStyle w:val="9"/>
        <w:spacing w:after="0" w:line="249" w:lineRule="auto"/>
        <w:rPr>
          <w:rFonts w:hint="eastAsia"/>
          <w:color w:val="231F20"/>
        </w:rPr>
      </w:pPr>
      <w:r>
        <w:rPr>
          <w:rFonts w:hint="eastAsia"/>
          <w:color w:val="231F20"/>
        </w:rPr>
        <w:t>原则上，当基督借着祂在地上的生与死为祂的子民确保了义和赦免，并在天上作为他们的大祭司和君王坐下时，这就已经完成了。</w:t>
      </w:r>
    </w:p>
    <w:p w14:paraId="381C3379">
      <w:pPr>
        <w:pStyle w:val="9"/>
        <w:spacing w:after="0" w:line="249" w:lineRule="auto"/>
        <w:rPr>
          <w:rFonts w:hint="eastAsia"/>
          <w:color w:val="231F20"/>
        </w:rPr>
      </w:pPr>
    </w:p>
    <w:p w14:paraId="53678DF2">
      <w:pPr>
        <w:pStyle w:val="9"/>
        <w:spacing w:after="0" w:line="249" w:lineRule="auto"/>
        <w:rPr>
          <w:rFonts w:hint="eastAsia"/>
          <w:color w:val="231F20"/>
        </w:rPr>
      </w:pPr>
      <w:r>
        <w:rPr>
          <w:rFonts w:hint="eastAsia"/>
          <w:color w:val="231F20"/>
        </w:rPr>
        <w:t>This we see in 12:5.</w:t>
      </w:r>
    </w:p>
    <w:p w14:paraId="72B06448">
      <w:pPr>
        <w:pStyle w:val="9"/>
        <w:spacing w:after="0" w:line="249" w:lineRule="auto"/>
        <w:rPr>
          <w:rFonts w:hint="eastAsia"/>
          <w:color w:val="231F20"/>
        </w:rPr>
      </w:pPr>
      <w:r>
        <w:rPr>
          <w:rFonts w:hint="eastAsia"/>
          <w:color w:val="231F20"/>
        </w:rPr>
        <w:t>我们在12:5中看到这一点。</w:t>
      </w:r>
    </w:p>
    <w:p w14:paraId="56ACBA4F">
      <w:pPr>
        <w:pStyle w:val="9"/>
        <w:spacing w:after="0" w:line="249" w:lineRule="auto"/>
        <w:rPr>
          <w:rFonts w:hint="eastAsia"/>
          <w:color w:val="231F20"/>
        </w:rPr>
      </w:pPr>
    </w:p>
    <w:p w14:paraId="3E9691F4">
      <w:pPr>
        <w:pStyle w:val="9"/>
        <w:spacing w:after="0" w:line="249" w:lineRule="auto"/>
        <w:rPr>
          <w:rFonts w:hint="eastAsia"/>
          <w:color w:val="231F20"/>
        </w:rPr>
      </w:pPr>
      <w:r>
        <w:rPr>
          <w:rFonts w:hint="eastAsia"/>
          <w:color w:val="231F20"/>
        </w:rPr>
        <w:t>However, in practice it is accomplished progressively, over the course of the whole Era of Proclamation, wherein the Church, amidst much persecution, effectively preaches the Gospel so that God’s elect are brought into his spiritual Kingdom.</w:t>
      </w:r>
    </w:p>
    <w:p w14:paraId="30F2B2B0">
      <w:pPr>
        <w:pStyle w:val="9"/>
        <w:spacing w:after="0" w:line="249" w:lineRule="auto"/>
        <w:rPr>
          <w:rFonts w:hint="eastAsia"/>
          <w:color w:val="231F20"/>
        </w:rPr>
      </w:pPr>
      <w:r>
        <w:rPr>
          <w:rFonts w:hint="eastAsia"/>
          <w:color w:val="231F20"/>
        </w:rPr>
        <w:t>然而，在实践中，这是在整个宣讲时代的过程中逐步完成的，在此期间，教会在诸多迫害中，有效地宣讲福音，使上帝的选民被带入祂的属灵国度。</w:t>
      </w:r>
    </w:p>
    <w:p w14:paraId="63A66B08">
      <w:pPr>
        <w:pStyle w:val="9"/>
        <w:spacing w:after="0" w:line="249" w:lineRule="auto"/>
        <w:rPr>
          <w:rFonts w:hint="eastAsia"/>
          <w:color w:val="231F20"/>
        </w:rPr>
      </w:pPr>
    </w:p>
    <w:p w14:paraId="29B64EE8">
      <w:pPr>
        <w:pStyle w:val="9"/>
        <w:spacing w:after="0" w:line="249" w:lineRule="auto"/>
        <w:rPr>
          <w:rFonts w:hint="eastAsia"/>
          <w:color w:val="231F20"/>
        </w:rPr>
      </w:pPr>
      <w:r>
        <w:rPr>
          <w:rFonts w:hint="eastAsia"/>
          <w:color w:val="231F20"/>
        </w:rPr>
        <w:t>This we see in 12:7-12.</w:t>
      </w:r>
    </w:p>
    <w:p w14:paraId="441E8181">
      <w:pPr>
        <w:pStyle w:val="9"/>
        <w:spacing w:after="0" w:line="249" w:lineRule="auto"/>
        <w:rPr>
          <w:rFonts w:hint="eastAsia"/>
          <w:color w:val="231F20"/>
        </w:rPr>
      </w:pPr>
      <w:r>
        <w:rPr>
          <w:rFonts w:hint="eastAsia"/>
          <w:color w:val="231F20"/>
        </w:rPr>
        <w:t>我们在12:7-12中看到这一点。</w:t>
      </w:r>
    </w:p>
    <w:p w14:paraId="56F92985">
      <w:pPr>
        <w:pStyle w:val="9"/>
        <w:spacing w:after="0" w:line="249" w:lineRule="auto"/>
        <w:rPr>
          <w:rFonts w:hint="eastAsia"/>
          <w:color w:val="231F20"/>
        </w:rPr>
      </w:pPr>
    </w:p>
    <w:p w14:paraId="5AC7BF58">
      <w:pPr>
        <w:pStyle w:val="9"/>
        <w:spacing w:after="0" w:line="249" w:lineRule="auto"/>
        <w:rPr>
          <w:rFonts w:hint="eastAsia"/>
          <w:color w:val="231F20"/>
        </w:rPr>
      </w:pPr>
      <w:r>
        <w:rPr>
          <w:rFonts w:hint="eastAsia"/>
          <w:color w:val="231F20"/>
        </w:rPr>
        <w:t>Here, then, we have an exact parallel to, and apocalyptic illustration of, the words of Jesus in John 12:31-32: “Now is the judgment of this world; now the ruler of this world will be cast out.</w:t>
      </w:r>
    </w:p>
    <w:p w14:paraId="170CF81E">
      <w:pPr>
        <w:pStyle w:val="9"/>
        <w:spacing w:after="0" w:line="249" w:lineRule="auto"/>
        <w:rPr>
          <w:rFonts w:hint="eastAsia"/>
          <w:color w:val="231F20"/>
        </w:rPr>
      </w:pPr>
      <w:r>
        <w:rPr>
          <w:rFonts w:hint="eastAsia"/>
          <w:color w:val="231F20"/>
        </w:rPr>
        <w:t>因此，在这里我们看到了与耶稣在约翰福音12:31-32中所说的话完全平行的、末世性的例证：“现在这世界受审判，这世界的王要被赶出去。”</w:t>
      </w:r>
    </w:p>
    <w:p w14:paraId="2BD51022">
      <w:pPr>
        <w:pStyle w:val="9"/>
        <w:spacing w:after="0" w:line="249" w:lineRule="auto"/>
        <w:rPr>
          <w:rFonts w:hint="eastAsia"/>
          <w:color w:val="231F20"/>
        </w:rPr>
      </w:pPr>
    </w:p>
    <w:p w14:paraId="2CA45810">
      <w:pPr>
        <w:pStyle w:val="9"/>
        <w:spacing w:after="0" w:line="249" w:lineRule="auto"/>
        <w:rPr>
          <w:rFonts w:hint="eastAsia"/>
          <w:color w:val="231F20"/>
        </w:rPr>
      </w:pPr>
      <w:r>
        <w:rPr>
          <w:rFonts w:hint="eastAsia"/>
          <w:color w:val="231F20"/>
        </w:rPr>
        <w:t>And I, if I am lifted up from the earth (i.e., in death, exaltation, and preaching), will draw all (God’s elect) to myself.”</w:t>
      </w:r>
    </w:p>
    <w:p w14:paraId="5A0C9DF2">
      <w:pPr>
        <w:pStyle w:val="9"/>
        <w:spacing w:after="0" w:line="249" w:lineRule="auto"/>
        <w:rPr>
          <w:rFonts w:hint="eastAsia"/>
          <w:color w:val="231F20"/>
        </w:rPr>
      </w:pPr>
      <w:r>
        <w:rPr>
          <w:rFonts w:hint="eastAsia"/>
          <w:color w:val="231F20"/>
        </w:rPr>
        <w:t>“我若从地上被举起来（即，在死亡、高升和讲道中），就要吸引万（上帝的选）人来归我。”</w:t>
      </w:r>
    </w:p>
    <w:p w14:paraId="45734071">
      <w:pPr>
        <w:pStyle w:val="9"/>
        <w:spacing w:after="0" w:line="249" w:lineRule="auto"/>
        <w:rPr>
          <w:rFonts w:hint="eastAsia"/>
          <w:color w:val="231F20"/>
        </w:rPr>
      </w:pPr>
    </w:p>
    <w:p w14:paraId="6F8157B1">
      <w:pPr>
        <w:pStyle w:val="9"/>
        <w:spacing w:after="0" w:line="249" w:lineRule="auto"/>
        <w:rPr>
          <w:rFonts w:hint="eastAsia"/>
          <w:color w:val="231F20"/>
        </w:rPr>
      </w:pPr>
      <w:r>
        <w:rPr>
          <w:rFonts w:hint="eastAsia"/>
          <w:color w:val="231F20"/>
        </w:rPr>
        <w:t>In this text, Christ looks ahead to the Cross and describes its aftermath; in Revelation 12, the Spirit looks back at the Cross, and also describes its aftermath.</w:t>
      </w:r>
    </w:p>
    <w:p w14:paraId="7D48AD18">
      <w:pPr>
        <w:pStyle w:val="9"/>
        <w:spacing w:after="0" w:line="249" w:lineRule="auto"/>
        <w:rPr>
          <w:rFonts w:hint="eastAsia"/>
          <w:color w:val="231F20"/>
        </w:rPr>
      </w:pPr>
      <w:r>
        <w:rPr>
          <w:rFonts w:hint="eastAsia"/>
          <w:color w:val="231F20"/>
        </w:rPr>
        <w:t>在这段经文中，基督展望十字架并描述其后果；在《启示录》12章中，圣灵回顾十字架，也描述其后果。</w:t>
      </w:r>
    </w:p>
    <w:p w14:paraId="1162031C">
      <w:pPr>
        <w:pStyle w:val="9"/>
        <w:spacing w:after="0" w:line="249" w:lineRule="auto"/>
        <w:rPr>
          <w:rFonts w:hint="eastAsia"/>
          <w:color w:val="231F20"/>
        </w:rPr>
      </w:pPr>
    </w:p>
    <w:p w14:paraId="72E42524">
      <w:pPr>
        <w:pStyle w:val="9"/>
        <w:spacing w:after="0" w:line="249" w:lineRule="auto"/>
        <w:rPr>
          <w:rFonts w:hint="eastAsia"/>
          <w:color w:val="231F20"/>
        </w:rPr>
      </w:pPr>
      <w:r>
        <w:rPr>
          <w:rFonts w:hint="eastAsia"/>
          <w:color w:val="231F20"/>
        </w:rPr>
        <w:t>In both cases, the premises are the same.</w:t>
      </w:r>
    </w:p>
    <w:p w14:paraId="2C86E6DF">
      <w:pPr>
        <w:pStyle w:val="9"/>
        <w:spacing w:after="0" w:line="249" w:lineRule="auto"/>
        <w:rPr>
          <w:rFonts w:hint="eastAsia"/>
          <w:color w:val="231F20"/>
        </w:rPr>
      </w:pPr>
      <w:r>
        <w:rPr>
          <w:rFonts w:hint="eastAsia"/>
          <w:color w:val="231F20"/>
        </w:rPr>
        <w:t>在这两种情况下，前提都是相同的。</w:t>
      </w:r>
    </w:p>
    <w:p w14:paraId="138CC517">
      <w:pPr>
        <w:pStyle w:val="9"/>
        <w:spacing w:after="0" w:line="249" w:lineRule="auto"/>
        <w:rPr>
          <w:rFonts w:hint="eastAsia"/>
          <w:color w:val="231F20"/>
        </w:rPr>
      </w:pPr>
    </w:p>
    <w:p w14:paraId="164680EA">
      <w:pPr>
        <w:pStyle w:val="9"/>
        <w:spacing w:after="0" w:line="249" w:lineRule="auto"/>
        <w:rPr>
          <w:rFonts w:hint="eastAsia"/>
          <w:color w:val="231F20"/>
        </w:rPr>
      </w:pPr>
      <w:r>
        <w:rPr>
          <w:rFonts w:hint="eastAsia"/>
          <w:color w:val="231F20"/>
        </w:rPr>
        <w:t>Prior to Calvary, Satan had deceived the nations, holding them, unawares, in his grip and kingdom (12:9a; Luke 4:5-8, Rev. 20:3, 8).</w:t>
      </w:r>
    </w:p>
    <w:p w14:paraId="09A3E28C">
      <w:pPr>
        <w:pStyle w:val="9"/>
        <w:spacing w:after="0" w:line="249" w:lineRule="auto"/>
        <w:rPr>
          <w:rFonts w:hint="eastAsia"/>
          <w:color w:val="231F20"/>
        </w:rPr>
      </w:pPr>
      <w:r>
        <w:rPr>
          <w:rFonts w:hint="eastAsia"/>
          <w:color w:val="231F20"/>
        </w:rPr>
        <w:t>在加略山之前，撒但欺骗了列国，不知不觉地将他们控制在他的掌握和国度中（12:9a；路4:5-8，启20:3, 8）。</w:t>
      </w:r>
    </w:p>
    <w:p w14:paraId="62331564">
      <w:pPr>
        <w:pStyle w:val="9"/>
        <w:spacing w:after="0" w:line="249" w:lineRule="auto"/>
        <w:rPr>
          <w:rFonts w:hint="eastAsia"/>
          <w:color w:val="231F20"/>
        </w:rPr>
      </w:pPr>
    </w:p>
    <w:p w14:paraId="7D93E5EE">
      <w:pPr>
        <w:pStyle w:val="9"/>
        <w:spacing w:after="0" w:line="249" w:lineRule="auto"/>
        <w:rPr>
          <w:rFonts w:hint="eastAsia"/>
          <w:color w:val="231F20"/>
        </w:rPr>
      </w:pPr>
      <w:r>
        <w:rPr>
          <w:rFonts w:hint="eastAsia"/>
          <w:color w:val="231F20"/>
        </w:rPr>
        <w:t>Now, however, by his life, death, and resurrection, the Redeemer has triumphed, so that Satan’s hold is broken and his kingdom is henceforth in slow-motion collapse.</w:t>
      </w:r>
    </w:p>
    <w:p w14:paraId="70CE5A5B">
      <w:pPr>
        <w:pStyle w:val="9"/>
        <w:spacing w:after="0" w:line="249" w:lineRule="auto"/>
        <w:rPr>
          <w:rFonts w:hint="eastAsia"/>
          <w:color w:val="231F20"/>
        </w:rPr>
      </w:pPr>
      <w:r>
        <w:rPr>
          <w:rFonts w:hint="eastAsia"/>
          <w:color w:val="231F20"/>
        </w:rPr>
        <w:t>然而，如今，借着祂的生、死和复活，救赎主已经得胜，所以撒但的辖制被打破，他的国度从此处于缓慢崩溃之中。</w:t>
      </w:r>
    </w:p>
    <w:p w14:paraId="0C411D9A">
      <w:pPr>
        <w:pStyle w:val="9"/>
        <w:spacing w:after="0" w:line="249" w:lineRule="auto"/>
        <w:rPr>
          <w:rFonts w:hint="eastAsia"/>
          <w:color w:val="231F20"/>
        </w:rPr>
      </w:pPr>
    </w:p>
    <w:p w14:paraId="198A39A7">
      <w:pPr>
        <w:pStyle w:val="9"/>
        <w:spacing w:after="0" w:line="249" w:lineRule="auto"/>
        <w:rPr>
          <w:rFonts w:hint="eastAsia"/>
          <w:color w:val="231F20"/>
        </w:rPr>
      </w:pPr>
      <w:r>
        <w:rPr>
          <w:rFonts w:hint="eastAsia"/>
          <w:color w:val="231F20"/>
        </w:rPr>
        <w:t>This happens through the preaching of the Church, by which the sovereign God transfers his (Satan’s) former subjects into the Kingdom (and new world) of his beloved Son (12:9b-10, Col. 1:13).</w:t>
      </w:r>
    </w:p>
    <w:p w14:paraId="7289EF71">
      <w:pPr>
        <w:pStyle w:val="9"/>
        <w:spacing w:after="0" w:line="249" w:lineRule="auto"/>
        <w:rPr>
          <w:rFonts w:hint="eastAsia"/>
          <w:color w:val="231F20"/>
        </w:rPr>
      </w:pPr>
      <w:r>
        <w:rPr>
          <w:rFonts w:hint="eastAsia"/>
          <w:color w:val="231F20"/>
        </w:rPr>
        <w:t>这是通过教会的讲道发生的，借此主宰的上帝将他（撒但）以前的臣民迁入祂爱子的国度（和新世界）中（12:9b-10，西1:13）。</w:t>
      </w:r>
    </w:p>
    <w:p w14:paraId="1C02DBC2">
      <w:pPr>
        <w:pStyle w:val="9"/>
        <w:spacing w:after="0" w:line="249" w:lineRule="auto"/>
        <w:rPr>
          <w:rFonts w:hint="eastAsia"/>
          <w:color w:val="231F20"/>
        </w:rPr>
      </w:pPr>
    </w:p>
    <w:p w14:paraId="7FF858D4">
      <w:pPr>
        <w:pStyle w:val="9"/>
        <w:spacing w:after="0" w:line="249" w:lineRule="auto"/>
        <w:rPr>
          <w:rFonts w:hint="eastAsia"/>
          <w:color w:val="231F20"/>
        </w:rPr>
      </w:pPr>
      <w:r>
        <w:rPr>
          <w:rFonts w:hint="eastAsia"/>
          <w:color w:val="231F20"/>
        </w:rPr>
        <w:t>Verses 11-12 assure us that the saints will indeed persevere under Christ’s benevolent reign, that heaven ever rejoices in this fact, and that throughout the Era of Proclamation the devil will sooner or later turn his frustration upon his own subjects, “the inhabitants of the earth” who have refused to enter Christ’s heavenly kingdom (Rev. 9:1ff).</w:t>
      </w:r>
    </w:p>
    <w:p w14:paraId="5806FC82">
      <w:pPr>
        <w:pStyle w:val="9"/>
        <w:spacing w:after="0" w:line="249" w:lineRule="auto"/>
        <w:rPr>
          <w:rFonts w:hint="eastAsia"/>
          <w:color w:val="231F20"/>
        </w:rPr>
      </w:pPr>
      <w:r>
        <w:rPr>
          <w:rFonts w:hint="eastAsia"/>
          <w:color w:val="231F20"/>
        </w:rPr>
        <w:t>第11-12节向我们保证，圣徒在基督仁慈的统治下确实会坚忍到底，天庭永远为此事实欢欣，并且在整个宣讲时代，魔鬼迟早会将其挫败感转向他自己的臣民，即那些拒绝进入基督属天国度的“地上居民”（启9:1及以下）。</w:t>
      </w:r>
    </w:p>
    <w:p w14:paraId="4BE7C972">
      <w:pPr>
        <w:pStyle w:val="9"/>
        <w:spacing w:after="0" w:line="249" w:lineRule="auto"/>
        <w:rPr>
          <w:rFonts w:hint="eastAsia"/>
          <w:color w:val="231F20"/>
        </w:rPr>
      </w:pPr>
    </w:p>
    <w:p w14:paraId="31A78E1D">
      <w:pPr>
        <w:pStyle w:val="9"/>
        <w:spacing w:after="0" w:line="249" w:lineRule="auto"/>
        <w:rPr>
          <w:rFonts w:hint="eastAsia"/>
          <w:color w:val="231F20"/>
        </w:rPr>
      </w:pPr>
      <w:r>
        <w:rPr>
          <w:rFonts w:hint="eastAsia"/>
          <w:color w:val="231F20"/>
        </w:rPr>
        <w:t>Verses 13-17 elaborate upon verse 6.</w:t>
      </w:r>
    </w:p>
    <w:p w14:paraId="2A8D03BD">
      <w:pPr>
        <w:pStyle w:val="9"/>
        <w:spacing w:after="0" w:line="249" w:lineRule="auto"/>
        <w:rPr>
          <w:rFonts w:hint="eastAsia"/>
          <w:color w:val="231F20"/>
        </w:rPr>
      </w:pPr>
      <w:r>
        <w:rPr>
          <w:rFonts w:hint="eastAsia"/>
          <w:color w:val="231F20"/>
        </w:rPr>
        <w:t>第13-17节详细阐述了第6节。</w:t>
      </w:r>
    </w:p>
    <w:p w14:paraId="4E6E739D">
      <w:pPr>
        <w:pStyle w:val="9"/>
        <w:spacing w:after="0" w:line="249" w:lineRule="auto"/>
        <w:rPr>
          <w:rFonts w:hint="eastAsia"/>
          <w:color w:val="231F20"/>
        </w:rPr>
      </w:pPr>
    </w:p>
    <w:p w14:paraId="098AF82F">
      <w:pPr>
        <w:pStyle w:val="9"/>
        <w:spacing w:after="0" w:line="249" w:lineRule="auto"/>
        <w:rPr>
          <w:rFonts w:hint="eastAsia"/>
          <w:color w:val="231F20"/>
        </w:rPr>
      </w:pPr>
      <w:r>
        <w:rPr>
          <w:rFonts w:hint="eastAsia"/>
          <w:color w:val="231F20"/>
        </w:rPr>
        <w:t>Throughout the Era of Proclamation, an infuriated Adversary will indeed persecute the Woman and her seed: the Church and her believing offspring, begotten down through the centuries by the preaching of the Gospel (12:13, 17; Gen. 3:15, 1 Peter 1:3).</w:t>
      </w:r>
    </w:p>
    <w:p w14:paraId="1DC43BCE">
      <w:pPr>
        <w:pStyle w:val="9"/>
        <w:spacing w:after="0" w:line="249" w:lineRule="auto"/>
        <w:rPr>
          <w:rFonts w:hint="eastAsia"/>
          <w:color w:val="231F20"/>
        </w:rPr>
      </w:pPr>
      <w:r>
        <w:rPr>
          <w:rFonts w:hint="eastAsia"/>
          <w:color w:val="231F20"/>
        </w:rPr>
        <w:t>在整个宣讲时代，一个被激怒的对头确实会迫害那妇人和她的后裔：教会和她信主的后代，这些后代是历代以来通过福音的宣讲而生的（12:13, 17；创3:15，彼前1:3）。</w:t>
      </w:r>
    </w:p>
    <w:p w14:paraId="35C1E95E">
      <w:pPr>
        <w:pStyle w:val="9"/>
        <w:spacing w:after="0" w:line="249" w:lineRule="auto"/>
        <w:rPr>
          <w:rFonts w:hint="eastAsia"/>
          <w:color w:val="231F20"/>
        </w:rPr>
      </w:pPr>
    </w:p>
    <w:p w14:paraId="58D8B445">
      <w:pPr>
        <w:pStyle w:val="9"/>
        <w:spacing w:after="0" w:line="249" w:lineRule="auto"/>
        <w:rPr>
          <w:rFonts w:hint="eastAsia"/>
          <w:color w:val="231F20"/>
        </w:rPr>
      </w:pPr>
      <w:r>
        <w:rPr>
          <w:rFonts w:hint="eastAsia"/>
          <w:color w:val="231F20"/>
        </w:rPr>
        <w:t>However, as in the case of Israel and Elijah, so here: Christ, by the Spirit, will always be with her, giving her escape, nourishment, and help amidst all her trials and temptations (12:14-16; Ex. 16:1ff, Deut. 32:11-12, Psalm 124, 1 Cor. 10:13).</w:t>
      </w:r>
    </w:p>
    <w:p w14:paraId="0BA1213D">
      <w:pPr>
        <w:pStyle w:val="9"/>
        <w:spacing w:after="0" w:line="249" w:lineRule="auto"/>
        <w:rPr>
          <w:rFonts w:hint="eastAsia"/>
          <w:color w:val="231F20"/>
        </w:rPr>
      </w:pPr>
      <w:r>
        <w:rPr>
          <w:rFonts w:hint="eastAsia"/>
          <w:color w:val="231F20"/>
        </w:rPr>
        <w:t>然而，就像以色列和以利亚的情况一样，这里也是如此：基督，借着圣灵，将永远与她同在，在她所有的试炼和试探中给予她逃脱、滋养和帮助（12:14-16；出16:1及以下，申32:11-12，诗篇124，林前10:13）。</w:t>
      </w:r>
    </w:p>
    <w:p w14:paraId="452FF914">
      <w:pPr>
        <w:pStyle w:val="9"/>
        <w:spacing w:after="0" w:line="249" w:lineRule="auto"/>
        <w:rPr>
          <w:rFonts w:hint="eastAsia"/>
          <w:color w:val="231F20"/>
        </w:rPr>
      </w:pPr>
    </w:p>
    <w:p w14:paraId="0336437F">
      <w:pPr>
        <w:pStyle w:val="9"/>
        <w:spacing w:after="0" w:line="249" w:lineRule="auto"/>
        <w:rPr>
          <w:rFonts w:hint="eastAsia"/>
          <w:color w:val="231F20"/>
        </w:rPr>
      </w:pPr>
      <w:r>
        <w:rPr>
          <w:rFonts w:hint="eastAsia"/>
          <w:color w:val="231F20"/>
        </w:rPr>
        <w:t>Note carefully from verses 12:6 and 12:14 that “1260 days” and “a time, times, and a half a time” are equivalent.</w:t>
      </w:r>
    </w:p>
    <w:p w14:paraId="7D9747BD">
      <w:pPr>
        <w:pStyle w:val="9"/>
        <w:spacing w:after="0" w:line="249" w:lineRule="auto"/>
        <w:rPr>
          <w:rFonts w:hint="eastAsia"/>
          <w:color w:val="231F20"/>
        </w:rPr>
      </w:pPr>
      <w:r>
        <w:rPr>
          <w:rFonts w:hint="eastAsia"/>
          <w:color w:val="231F20"/>
        </w:rPr>
        <w:t>请从12:6和12:14节中仔细注意，“1260天”和“一载、二载、半载”是等同的。</w:t>
      </w:r>
    </w:p>
    <w:p w14:paraId="09966F01">
      <w:pPr>
        <w:pStyle w:val="9"/>
        <w:spacing w:after="0" w:line="249" w:lineRule="auto"/>
        <w:rPr>
          <w:rFonts w:hint="eastAsia"/>
          <w:color w:val="231F20"/>
        </w:rPr>
      </w:pPr>
    </w:p>
    <w:p w14:paraId="301F9992">
      <w:pPr>
        <w:pStyle w:val="9"/>
        <w:spacing w:after="0" w:line="249" w:lineRule="auto"/>
        <w:rPr>
          <w:rFonts w:hint="eastAsia"/>
          <w:color w:val="231F20"/>
        </w:rPr>
      </w:pPr>
      <w:r>
        <w:rPr>
          <w:rFonts w:hint="eastAsia"/>
          <w:color w:val="231F20"/>
        </w:rPr>
        <w:t>Like 42 months, these figures symbolize the entire Era of Proclamation, during which the Church, like Israel and Elijah, remains in exile (from worldly acceptance) and under tribulation.</w:t>
      </w:r>
    </w:p>
    <w:p w14:paraId="4411C1B9">
      <w:pPr>
        <w:pStyle w:val="9"/>
        <w:spacing w:after="0" w:line="249" w:lineRule="auto"/>
        <w:rPr>
          <w:rFonts w:hint="eastAsia"/>
          <w:color w:val="231F20"/>
        </w:rPr>
      </w:pPr>
      <w:r>
        <w:rPr>
          <w:rFonts w:hint="eastAsia"/>
          <w:color w:val="231F20"/>
        </w:rPr>
        <w:t>如同42个月，这些数字象征着整个宣讲时代，在此期间，教会，就像以色列和以利亚一样，仍然处于流亡（不被世界接纳）和患难之中。</w:t>
      </w:r>
    </w:p>
    <w:p w14:paraId="37B7F7E5">
      <w:pPr>
        <w:pStyle w:val="9"/>
        <w:spacing w:after="0" w:line="249" w:lineRule="auto"/>
        <w:rPr>
          <w:rFonts w:hint="eastAsia"/>
          <w:color w:val="231F20"/>
        </w:rPr>
      </w:pPr>
    </w:p>
    <w:p w14:paraId="048E919C">
      <w:pPr>
        <w:pStyle w:val="9"/>
        <w:spacing w:after="0" w:line="249" w:lineRule="auto"/>
        <w:rPr>
          <w:rFonts w:hint="eastAsia"/>
          <w:color w:val="231F20"/>
        </w:rPr>
      </w:pPr>
      <w:r>
        <w:rPr>
          <w:rFonts w:hint="eastAsia"/>
          <w:color w:val="231F20"/>
        </w:rPr>
        <w:t>In chapter 13 we are introduced to the first two of the Dragon’s helpers, the worldly instruments by which he will persecute the Woman.</w:t>
      </w:r>
    </w:p>
    <w:p w14:paraId="12916A11">
      <w:pPr>
        <w:pStyle w:val="9"/>
        <w:spacing w:after="0" w:line="249" w:lineRule="auto"/>
        <w:rPr>
          <w:rFonts w:hint="eastAsia"/>
          <w:color w:val="231F20"/>
        </w:rPr>
      </w:pPr>
      <w:r>
        <w:rPr>
          <w:rFonts w:hint="eastAsia"/>
          <w:color w:val="231F20"/>
        </w:rPr>
        <w:t>在第13章，我们被介绍了龙的头两个助手，即他将用来迫害那妇人的属世工具。</w:t>
      </w:r>
    </w:p>
    <w:p w14:paraId="531F43E8">
      <w:pPr>
        <w:pStyle w:val="9"/>
        <w:spacing w:after="0" w:line="249" w:lineRule="auto"/>
        <w:rPr>
          <w:rFonts w:hint="eastAsia"/>
          <w:color w:val="231F20"/>
        </w:rPr>
      </w:pPr>
    </w:p>
    <w:p w14:paraId="061E0C74">
      <w:pPr>
        <w:pStyle w:val="9"/>
        <w:spacing w:after="0" w:line="249" w:lineRule="auto"/>
        <w:rPr>
          <w:rFonts w:hint="eastAsia"/>
          <w:color w:val="231F20"/>
        </w:rPr>
      </w:pPr>
      <w:r>
        <w:rPr>
          <w:rFonts w:hint="eastAsia"/>
          <w:color w:val="231F20"/>
        </w:rPr>
        <w:t>Verses 1-10 speak to us of the Beast.</w:t>
      </w:r>
    </w:p>
    <w:p w14:paraId="534213CA">
      <w:pPr>
        <w:pStyle w:val="9"/>
        <w:spacing w:after="0" w:line="249" w:lineRule="auto"/>
        <w:rPr>
          <w:rFonts w:hint="eastAsia"/>
          <w:color w:val="231F20"/>
        </w:rPr>
      </w:pPr>
      <w:r>
        <w:rPr>
          <w:rFonts w:hint="eastAsia"/>
          <w:color w:val="231F20"/>
        </w:rPr>
        <w:t>第1-10节向我们讲述了那兽。</w:t>
      </w:r>
    </w:p>
    <w:p w14:paraId="4E68872F">
      <w:pPr>
        <w:pStyle w:val="9"/>
        <w:spacing w:after="0" w:line="249" w:lineRule="auto"/>
        <w:rPr>
          <w:rFonts w:hint="eastAsia"/>
          <w:color w:val="231F20"/>
        </w:rPr>
      </w:pPr>
    </w:p>
    <w:p w14:paraId="16B1D65B">
      <w:pPr>
        <w:pStyle w:val="9"/>
        <w:spacing w:after="0" w:line="249" w:lineRule="auto"/>
        <w:rPr>
          <w:rFonts w:hint="eastAsia"/>
          <w:color w:val="231F20"/>
        </w:rPr>
      </w:pPr>
      <w:r>
        <w:rPr>
          <w:rFonts w:hint="eastAsia"/>
          <w:color w:val="231F20"/>
        </w:rPr>
        <w:t>Having a full complement of horns and crowns, and summing up the four beasts of Daniel 7, this monster clearly represents the political or governmental face of the world-system in NT times, especially when it goes over to Satan in order to persecute the people of God (13:1-2).</w:t>
      </w:r>
    </w:p>
    <w:p w14:paraId="73719DF4">
      <w:pPr>
        <w:pStyle w:val="9"/>
        <w:spacing w:after="0" w:line="249" w:lineRule="auto"/>
        <w:rPr>
          <w:rFonts w:hint="eastAsia"/>
          <w:color w:val="231F20"/>
        </w:rPr>
      </w:pPr>
      <w:r>
        <w:rPr>
          <w:rFonts w:hint="eastAsia"/>
          <w:color w:val="231F20"/>
        </w:rPr>
        <w:t>这怪物有全副的角和冠冕，并总结了但以理书第7章的四兽，它清楚地代表了新约时代世界体系的政治或政府面貌，尤其是在它投靠撒但以迫害上帝的子民时（13:1-2）。</w:t>
      </w:r>
    </w:p>
    <w:p w14:paraId="377C32D1">
      <w:pPr>
        <w:pStyle w:val="9"/>
        <w:spacing w:after="0" w:line="249" w:lineRule="auto"/>
        <w:rPr>
          <w:rFonts w:hint="eastAsia"/>
          <w:color w:val="231F20"/>
        </w:rPr>
      </w:pPr>
    </w:p>
    <w:p w14:paraId="3C23B4DD">
      <w:pPr>
        <w:pStyle w:val="9"/>
        <w:spacing w:after="0" w:line="249" w:lineRule="auto"/>
        <w:rPr>
          <w:rFonts w:hint="eastAsia"/>
          <w:color w:val="231F20"/>
        </w:rPr>
      </w:pPr>
      <w:r>
        <w:rPr>
          <w:rFonts w:hint="eastAsia"/>
          <w:color w:val="231F20"/>
        </w:rPr>
        <w:t>Verses 3-5 tell us that throughout the Era of Proclamation (symbolized by 42 months) this proud, pretentious, and powerful usurper will pop up its ugly head over and again—reviving, as it were, from the dead—with the result that the inhabitants of the earth (i.e., unbelievers) will over and again marvel, fear, follow, and thus (unconsciously) worship the Dragon.</w:t>
      </w:r>
    </w:p>
    <w:p w14:paraId="22D057B3">
      <w:pPr>
        <w:pStyle w:val="9"/>
        <w:spacing w:after="0" w:line="249" w:lineRule="auto"/>
        <w:rPr>
          <w:rFonts w:hint="eastAsia"/>
          <w:color w:val="231F20"/>
        </w:rPr>
      </w:pPr>
      <w:r>
        <w:rPr>
          <w:rFonts w:hint="eastAsia"/>
          <w:color w:val="231F20"/>
        </w:rPr>
        <w:t>第3-5节告诉我们，在整个宣讲时代（以42个月为象征），这个骄傲、自负、强大的篡夺者会一再地露出其丑恶的头——仿佛从死里复活——结果是地上的居民（即不信者）会一再地惊奇、惧怕、跟随，从而（不自觉地）敬拜那龙。</w:t>
      </w:r>
    </w:p>
    <w:p w14:paraId="2CBF38B2">
      <w:pPr>
        <w:pStyle w:val="9"/>
        <w:spacing w:after="0" w:line="249" w:lineRule="auto"/>
        <w:rPr>
          <w:rFonts w:hint="eastAsia"/>
          <w:color w:val="231F20"/>
        </w:rPr>
      </w:pPr>
    </w:p>
    <w:p w14:paraId="39BDE28E">
      <w:pPr>
        <w:pStyle w:val="9"/>
        <w:spacing w:after="0" w:line="249" w:lineRule="auto"/>
        <w:rPr>
          <w:rFonts w:hint="eastAsia"/>
          <w:color w:val="231F20"/>
        </w:rPr>
      </w:pPr>
      <w:r>
        <w:rPr>
          <w:rFonts w:hint="eastAsia"/>
          <w:color w:val="231F20"/>
        </w:rPr>
        <w:t>While verses 6-9 can be read as describing the antagonism of the Beast towards the Church throughout the whole Era of Proclamation, here there is also a subtle change of emphasis.</w:t>
      </w:r>
    </w:p>
    <w:p w14:paraId="4902DC16">
      <w:pPr>
        <w:pStyle w:val="9"/>
        <w:spacing w:after="0" w:line="249" w:lineRule="auto"/>
        <w:rPr>
          <w:rFonts w:hint="eastAsia"/>
          <w:color w:val="231F20"/>
        </w:rPr>
      </w:pPr>
      <w:r>
        <w:rPr>
          <w:rFonts w:hint="eastAsia"/>
          <w:color w:val="231F20"/>
        </w:rPr>
        <w:t>虽然第6-9节可以被读作描述了兽在整个宣讲时代对教会的敌对，但这里也有一个微妙的重点变化。</w:t>
      </w:r>
    </w:p>
    <w:p w14:paraId="5581EDDB">
      <w:pPr>
        <w:pStyle w:val="9"/>
        <w:spacing w:after="0" w:line="249" w:lineRule="auto"/>
        <w:rPr>
          <w:rFonts w:hint="eastAsia"/>
          <w:color w:val="231F20"/>
        </w:rPr>
      </w:pPr>
    </w:p>
    <w:p w14:paraId="3B4D70D7">
      <w:pPr>
        <w:pStyle w:val="9"/>
        <w:spacing w:after="0" w:line="249" w:lineRule="auto"/>
        <w:rPr>
          <w:rFonts w:hint="eastAsia"/>
          <w:color w:val="231F20"/>
        </w:rPr>
      </w:pPr>
      <w:r>
        <w:rPr>
          <w:rFonts w:hint="eastAsia"/>
          <w:color w:val="231F20"/>
        </w:rPr>
        <w:t>Allusions to Daniel 7 and 2 Thessalonians, a shift to the future tense in verse 8, and the global dimensions of the conflict here predicted, all signal that the accent now falls upon the final embodiment of the Beast under the Antichrist.</w:t>
      </w:r>
    </w:p>
    <w:p w14:paraId="03441198">
      <w:pPr>
        <w:pStyle w:val="9"/>
        <w:spacing w:after="0" w:line="249" w:lineRule="auto"/>
        <w:rPr>
          <w:rFonts w:hint="eastAsia"/>
          <w:color w:val="231F20"/>
        </w:rPr>
      </w:pPr>
      <w:r>
        <w:rPr>
          <w:rFonts w:hint="eastAsia"/>
          <w:color w:val="231F20"/>
        </w:rPr>
        <w:t>对但以理书第7章和帖撒罗尼迦后书的引述，第8节中时态转为将来时，以及这里所预言冲突的全球性维度，都表明现在的重点落在了敌基督之下兽的最终化身上。</w:t>
      </w:r>
    </w:p>
    <w:p w14:paraId="6BF08F39">
      <w:pPr>
        <w:pStyle w:val="9"/>
        <w:spacing w:after="0" w:line="249" w:lineRule="auto"/>
        <w:rPr>
          <w:rFonts w:hint="eastAsia"/>
          <w:color w:val="231F20"/>
        </w:rPr>
      </w:pPr>
    </w:p>
    <w:p w14:paraId="6E36F588">
      <w:pPr>
        <w:pStyle w:val="9"/>
        <w:spacing w:after="0" w:line="249" w:lineRule="auto"/>
        <w:rPr>
          <w:rFonts w:hint="eastAsia"/>
          <w:color w:val="231F20"/>
        </w:rPr>
      </w:pPr>
      <w:r>
        <w:rPr>
          <w:rFonts w:hint="eastAsia"/>
          <w:color w:val="231F20"/>
        </w:rPr>
        <w:t>In short, we have again arrived at the Last Battle (11:7, Dan. 7:8, 19-28, 2 Thess. 2:1-12).</w:t>
      </w:r>
    </w:p>
    <w:p w14:paraId="4FF3FE04">
      <w:pPr>
        <w:pStyle w:val="9"/>
        <w:spacing w:after="0" w:line="249" w:lineRule="auto"/>
        <w:rPr>
          <w:rFonts w:hint="eastAsia"/>
          <w:color w:val="231F20"/>
        </w:rPr>
      </w:pPr>
      <w:r>
        <w:rPr>
          <w:rFonts w:hint="eastAsia"/>
          <w:color w:val="231F20"/>
        </w:rPr>
        <w:t>简而言之，我们再次来到了末日争战（11:7，但7:8, 19-28，帖后2:1-12）。</w:t>
      </w:r>
    </w:p>
    <w:p w14:paraId="221B4FD9">
      <w:pPr>
        <w:pStyle w:val="9"/>
        <w:spacing w:after="0" w:line="249" w:lineRule="auto"/>
        <w:rPr>
          <w:rFonts w:hint="eastAsia"/>
          <w:color w:val="231F20"/>
        </w:rPr>
      </w:pPr>
    </w:p>
    <w:p w14:paraId="0722959D">
      <w:pPr>
        <w:pStyle w:val="9"/>
        <w:spacing w:after="0" w:line="249" w:lineRule="auto"/>
        <w:rPr>
          <w:rFonts w:hint="eastAsia"/>
          <w:color w:val="231F20"/>
        </w:rPr>
      </w:pPr>
      <w:r>
        <w:rPr>
          <w:rFonts w:hint="eastAsia"/>
          <w:color w:val="231F20"/>
        </w:rPr>
        <w:t>Verse 10 steels the persecuted Church of all ages with a strong assurance of final justice upon her foes.</w:t>
      </w:r>
    </w:p>
    <w:p w14:paraId="03D7FE52">
      <w:pPr>
        <w:pStyle w:val="9"/>
        <w:spacing w:after="0" w:line="249" w:lineRule="auto"/>
        <w:rPr>
          <w:rFonts w:hint="eastAsia"/>
          <w:color w:val="231F20"/>
        </w:rPr>
      </w:pPr>
      <w:r>
        <w:rPr>
          <w:rFonts w:hint="eastAsia"/>
          <w:color w:val="231F20"/>
        </w:rPr>
        <w:t>第10节用对她的仇敌最终必遭报应的强烈保证，坚固了历代受迫害的教会。</w:t>
      </w:r>
    </w:p>
    <w:p w14:paraId="099C76FE">
      <w:pPr>
        <w:pStyle w:val="9"/>
        <w:spacing w:after="0" w:line="249" w:lineRule="auto"/>
        <w:rPr>
          <w:rFonts w:hint="eastAsia"/>
          <w:color w:val="231F20"/>
        </w:rPr>
      </w:pPr>
    </w:p>
    <w:p w14:paraId="282FBB22">
      <w:pPr>
        <w:pStyle w:val="9"/>
        <w:spacing w:after="0" w:line="249" w:lineRule="auto"/>
        <w:rPr>
          <w:rFonts w:hint="eastAsia"/>
          <w:color w:val="231F20"/>
        </w:rPr>
      </w:pPr>
      <w:r>
        <w:rPr>
          <w:rFonts w:hint="eastAsia"/>
          <w:color w:val="231F20"/>
        </w:rPr>
        <w:t>Verses 11-18 introduce us to the second of the Dragon’s helpers, the Beast from the Earth, or the False Prophet (Rev. 16:13, 19:20).</w:t>
      </w:r>
    </w:p>
    <w:p w14:paraId="3E2A8C80">
      <w:pPr>
        <w:pStyle w:val="9"/>
        <w:spacing w:after="0" w:line="249" w:lineRule="auto"/>
        <w:rPr>
          <w:rFonts w:hint="eastAsia"/>
          <w:color w:val="231F20"/>
        </w:rPr>
      </w:pPr>
      <w:r>
        <w:rPr>
          <w:rFonts w:hint="eastAsia"/>
          <w:color w:val="231F20"/>
        </w:rPr>
        <w:t>第11-18节向我们介绍了龙的第二个助手，即地上的兽，或假先知（启16:13, 19:20）。</w:t>
      </w:r>
    </w:p>
    <w:p w14:paraId="28D6D88A">
      <w:pPr>
        <w:pStyle w:val="9"/>
        <w:spacing w:after="0" w:line="249" w:lineRule="auto"/>
        <w:rPr>
          <w:rFonts w:hint="eastAsia"/>
          <w:color w:val="231F20"/>
        </w:rPr>
      </w:pPr>
    </w:p>
    <w:p w14:paraId="228F1020">
      <w:pPr>
        <w:pStyle w:val="9"/>
        <w:spacing w:after="0" w:line="249" w:lineRule="auto"/>
        <w:rPr>
          <w:rFonts w:hint="eastAsia"/>
          <w:color w:val="231F20"/>
        </w:rPr>
      </w:pPr>
      <w:r>
        <w:rPr>
          <w:rFonts w:hint="eastAsia"/>
          <w:color w:val="231F20"/>
        </w:rPr>
        <w:t>This is the religious face of the world-system, especially insofar as it encourages the deification of the State and/or its rulers.</w:t>
      </w:r>
    </w:p>
    <w:p w14:paraId="3D015DCC">
      <w:pPr>
        <w:pStyle w:val="9"/>
        <w:spacing w:after="0" w:line="249" w:lineRule="auto"/>
        <w:rPr>
          <w:rFonts w:hint="eastAsia"/>
          <w:color w:val="231F20"/>
        </w:rPr>
      </w:pPr>
      <w:r>
        <w:rPr>
          <w:rFonts w:hint="eastAsia"/>
          <w:color w:val="231F20"/>
        </w:rPr>
        <w:t>这是世界体系的宗教面貌，尤其是在它鼓励将国家和/或其统治者神化的方面。</w:t>
      </w:r>
    </w:p>
    <w:p w14:paraId="127AC5D7">
      <w:pPr>
        <w:pStyle w:val="9"/>
        <w:spacing w:after="0" w:line="249" w:lineRule="auto"/>
        <w:rPr>
          <w:rFonts w:hint="eastAsia"/>
          <w:color w:val="231F20"/>
        </w:rPr>
      </w:pPr>
    </w:p>
    <w:p w14:paraId="718CBC28">
      <w:pPr>
        <w:pStyle w:val="9"/>
        <w:spacing w:after="0" w:line="249" w:lineRule="auto"/>
        <w:rPr>
          <w:rFonts w:hint="eastAsia"/>
          <w:color w:val="231F20"/>
        </w:rPr>
      </w:pPr>
      <w:r>
        <w:rPr>
          <w:rFonts w:hint="eastAsia"/>
          <w:color w:val="231F20"/>
        </w:rPr>
        <w:t>Having already discussed this section at length, I will not repeat myself here, except to stress once again that we must not interpret this passage literally or futuristically.</w:t>
      </w:r>
    </w:p>
    <w:p w14:paraId="57F84A89">
      <w:pPr>
        <w:pStyle w:val="9"/>
        <w:spacing w:after="0" w:line="249" w:lineRule="auto"/>
        <w:rPr>
          <w:rFonts w:hint="eastAsia"/>
          <w:color w:val="231F20"/>
        </w:rPr>
      </w:pPr>
      <w:r>
        <w:rPr>
          <w:rFonts w:hint="eastAsia"/>
          <w:color w:val="231F20"/>
        </w:rPr>
        <w:t>由于已经详细讨论过这一部分，我将不再在此重复，只想再次强调，我们绝不能按字面意义或未来主义来解释这段经文。</w:t>
      </w:r>
    </w:p>
    <w:p w14:paraId="7382249D">
      <w:pPr>
        <w:pStyle w:val="9"/>
        <w:spacing w:after="0" w:line="249" w:lineRule="auto"/>
        <w:rPr>
          <w:rFonts w:hint="eastAsia"/>
          <w:color w:val="231F20"/>
        </w:rPr>
      </w:pPr>
    </w:p>
    <w:p w14:paraId="6FB38B6D">
      <w:pPr>
        <w:pStyle w:val="9"/>
        <w:spacing w:after="0" w:line="249" w:lineRule="auto"/>
        <w:rPr>
          <w:rFonts w:hint="eastAsia"/>
          <w:color w:val="231F20"/>
        </w:rPr>
      </w:pPr>
      <w:r>
        <w:rPr>
          <w:rFonts w:hint="eastAsia"/>
          <w:color w:val="231F20"/>
        </w:rPr>
        <w:t>Rather, following the lead of closely related texts, we must see the Spirit here using apocalyptic symbolism to warn the Church of all generations (and the world as well) never to turn one’s back on Christ by giving ultimate personal allegiance to the State (Rev. 7:1ff, 14:1-5, 20:4-6).</w:t>
      </w:r>
    </w:p>
    <w:p w14:paraId="20DF1CA3">
      <w:pPr>
        <w:pStyle w:val="9"/>
        <w:spacing w:after="0" w:line="249" w:lineRule="auto"/>
        <w:rPr>
          <w:rFonts w:hint="eastAsia"/>
          <w:color w:val="231F20"/>
        </w:rPr>
      </w:pPr>
      <w:r>
        <w:rPr>
          <w:rFonts w:hint="eastAsia"/>
          <w:color w:val="231F20"/>
        </w:rPr>
        <w:t>相反，我们必须跟随密切相关经文的引导，看到圣灵在这里使用末世象征手法来警告所有世代的教会（以及世界），绝不可因将终极的个人效忠给予国家而背弃基督（启7:1及以下，14:1-5，20:4-6）。</w:t>
      </w:r>
    </w:p>
    <w:p w14:paraId="00643BA3">
      <w:pPr>
        <w:pStyle w:val="9"/>
        <w:spacing w:after="0" w:line="249" w:lineRule="auto"/>
        <w:rPr>
          <w:rFonts w:hint="eastAsia"/>
          <w:color w:val="231F20"/>
        </w:rPr>
      </w:pPr>
    </w:p>
    <w:p w14:paraId="225211D8">
      <w:pPr>
        <w:pStyle w:val="9"/>
        <w:spacing w:after="0" w:line="249" w:lineRule="auto"/>
        <w:rPr>
          <w:rFonts w:hint="eastAsia"/>
          <w:color w:val="231F20"/>
        </w:rPr>
      </w:pPr>
      <w:r>
        <w:rPr>
          <w:rFonts w:hint="eastAsia"/>
          <w:color w:val="231F20"/>
        </w:rPr>
        <w:t>Yes, down through the centuries many have fallen, heeding the voice of the False Prophet, taking the mark of the Beast, and replacing the worship of God with the worship of man (Daniel 3:1f, John 19:15, Acts 12:22).</w:t>
      </w:r>
    </w:p>
    <w:p w14:paraId="34169A20">
      <w:pPr>
        <w:pStyle w:val="9"/>
        <w:spacing w:after="0" w:line="249" w:lineRule="auto"/>
        <w:rPr>
          <w:rFonts w:hint="eastAsia"/>
          <w:color w:val="231F20"/>
        </w:rPr>
      </w:pPr>
      <w:r>
        <w:rPr>
          <w:rFonts w:hint="eastAsia"/>
          <w:color w:val="231F20"/>
        </w:rPr>
        <w:t>是的，历代以来许多人都堕落了，听从假先知的声音，接受了兽的印记，并用对人的敬拜取代了对上帝的敬拜（但以理书3:1及以下，约翰福音19:15，使徒行传12:22）。</w:t>
      </w:r>
    </w:p>
    <w:p w14:paraId="7651B1AF">
      <w:pPr>
        <w:pStyle w:val="9"/>
        <w:spacing w:after="0" w:line="249" w:lineRule="auto"/>
        <w:rPr>
          <w:rFonts w:hint="eastAsia"/>
          <w:color w:val="231F20"/>
        </w:rPr>
      </w:pPr>
    </w:p>
    <w:p w14:paraId="65AF3D62">
      <w:pPr>
        <w:pStyle w:val="9"/>
        <w:spacing w:after="0" w:line="249" w:lineRule="auto"/>
        <w:rPr>
          <w:rFonts w:hint="eastAsia"/>
          <w:color w:val="231F20"/>
        </w:rPr>
      </w:pPr>
      <w:r>
        <w:rPr>
          <w:rFonts w:hint="eastAsia"/>
          <w:color w:val="231F20"/>
        </w:rPr>
        <w:t>And yes, in the days of the Last Battle, many—indeed, most—will do so again (13:8, Mt. 24:15-28, 2 Thess. 2:1-10).</w:t>
      </w:r>
    </w:p>
    <w:p w14:paraId="5C5BEC12">
      <w:pPr>
        <w:pStyle w:val="9"/>
        <w:spacing w:after="0" w:line="249" w:lineRule="auto"/>
        <w:rPr>
          <w:rFonts w:hint="eastAsia"/>
          <w:color w:val="231F20"/>
        </w:rPr>
      </w:pPr>
      <w:r>
        <w:rPr>
          <w:rFonts w:hint="eastAsia"/>
          <w:color w:val="231F20"/>
        </w:rPr>
        <w:t>是的，在末日争战的日子里，许多人——确实是大多数人——将再次这样做（13:8，太24:15-28，帖后2:1-10）。</w:t>
      </w:r>
    </w:p>
    <w:p w14:paraId="2CC7F568">
      <w:pPr>
        <w:pStyle w:val="9"/>
        <w:spacing w:after="0" w:line="249" w:lineRule="auto"/>
        <w:rPr>
          <w:rFonts w:hint="eastAsia"/>
          <w:color w:val="231F20"/>
        </w:rPr>
      </w:pPr>
    </w:p>
    <w:p w14:paraId="4B75689D">
      <w:pPr>
        <w:pStyle w:val="9"/>
        <w:spacing w:after="0" w:line="249" w:lineRule="auto"/>
        <w:rPr>
          <w:rFonts w:hint="eastAsia"/>
          <w:color w:val="231F20"/>
        </w:rPr>
      </w:pPr>
      <w:r>
        <w:rPr>
          <w:rFonts w:hint="eastAsia"/>
          <w:color w:val="231F20"/>
        </w:rPr>
        <w:t>But the Christian must not.</w:t>
      </w:r>
    </w:p>
    <w:p w14:paraId="41C724F2">
      <w:pPr>
        <w:pStyle w:val="9"/>
        <w:spacing w:after="0" w:line="249" w:lineRule="auto"/>
        <w:rPr>
          <w:rFonts w:hint="eastAsia"/>
          <w:color w:val="231F20"/>
        </w:rPr>
      </w:pPr>
      <w:r>
        <w:rPr>
          <w:rFonts w:hint="eastAsia"/>
          <w:color w:val="231F20"/>
        </w:rPr>
        <w:t>但基督徒绝不能。</w:t>
      </w:r>
    </w:p>
    <w:p w14:paraId="1567FCAA">
      <w:pPr>
        <w:pStyle w:val="9"/>
        <w:spacing w:after="0" w:line="249" w:lineRule="auto"/>
        <w:rPr>
          <w:rFonts w:hint="eastAsia"/>
          <w:color w:val="231F20"/>
        </w:rPr>
      </w:pPr>
    </w:p>
    <w:p w14:paraId="370E2DA9">
      <w:pPr>
        <w:pStyle w:val="9"/>
        <w:spacing w:after="0" w:line="249" w:lineRule="auto"/>
        <w:rPr>
          <w:rFonts w:hint="eastAsia"/>
          <w:color w:val="231F20"/>
        </w:rPr>
      </w:pPr>
      <w:r>
        <w:rPr>
          <w:rFonts w:hint="eastAsia"/>
          <w:color w:val="231F20"/>
        </w:rPr>
        <w:t>In the face of every false gospel, every fake miracle, powerful peer pressure, strong economic coercion, and ugly threats against himself and his loved ones, he has but one response: “We must obey God rather than men” (Acts 4:13-22, 5:25).</w:t>
      </w:r>
    </w:p>
    <w:p w14:paraId="06954BC8">
      <w:pPr>
        <w:pStyle w:val="9"/>
        <w:spacing w:after="0" w:line="249" w:lineRule="auto"/>
        <w:rPr>
          <w:rFonts w:hint="eastAsia"/>
          <w:color w:val="231F20"/>
        </w:rPr>
      </w:pPr>
      <w:r>
        <w:rPr>
          <w:rFonts w:hint="eastAsia"/>
          <w:color w:val="231F20"/>
        </w:rPr>
        <w:t>面对每一个假福音、每一个假神迹、强大的同侪压力、强烈的经济胁迫，以及对他自己和亲人丑陋的威胁，他只有一个回应：“我们必须顺从上帝，不顺从人”（使徒行传4:13-22，5:25）。</w:t>
      </w:r>
    </w:p>
    <w:p w14:paraId="7C3D6201">
      <w:pPr>
        <w:pStyle w:val="9"/>
        <w:spacing w:after="0" w:line="249" w:lineRule="auto"/>
        <w:rPr>
          <w:rFonts w:hint="eastAsia"/>
          <w:color w:val="231F20"/>
        </w:rPr>
      </w:pPr>
    </w:p>
    <w:p w14:paraId="5E802D48">
      <w:pPr>
        <w:pStyle w:val="9"/>
        <w:spacing w:after="0" w:line="249" w:lineRule="auto"/>
        <w:rPr>
          <w:rFonts w:hint="eastAsia"/>
          <w:color w:val="231F20"/>
        </w:rPr>
      </w:pPr>
      <w:r>
        <w:rPr>
          <w:rFonts w:hint="eastAsia"/>
          <w:color w:val="231F20"/>
        </w:rPr>
        <w:t>Having taught the Church what to expect in the Era of Proclamation, the Heavenly Prophet now brings this cycle to a close with a well-balanced blend of encouragement and exhortation (14:1ff).</w:t>
      </w:r>
    </w:p>
    <w:p w14:paraId="3DD10C79">
      <w:pPr>
        <w:pStyle w:val="9"/>
        <w:spacing w:after="0" w:line="249" w:lineRule="auto"/>
        <w:rPr>
          <w:rFonts w:hint="eastAsia"/>
          <w:color w:val="231F20"/>
        </w:rPr>
      </w:pPr>
      <w:r>
        <w:rPr>
          <w:rFonts w:hint="eastAsia"/>
          <w:color w:val="231F20"/>
        </w:rPr>
        <w:t>在教导了教会在宣讲时代当期待什么之后，天上的先知现在以一种均衡的鼓励和劝勉的混合方式，将这个循环带到尾声（14:1及以下）。</w:t>
      </w:r>
    </w:p>
    <w:p w14:paraId="5D905FFD">
      <w:pPr>
        <w:pStyle w:val="9"/>
        <w:spacing w:after="0" w:line="249" w:lineRule="auto"/>
        <w:rPr>
          <w:rFonts w:hint="eastAsia"/>
          <w:color w:val="231F20"/>
        </w:rPr>
      </w:pPr>
    </w:p>
    <w:p w14:paraId="3EF05643">
      <w:pPr>
        <w:pStyle w:val="9"/>
        <w:spacing w:after="0" w:line="249" w:lineRule="auto"/>
        <w:rPr>
          <w:rFonts w:hint="eastAsia"/>
          <w:color w:val="231F20"/>
        </w:rPr>
      </w:pPr>
      <w:r>
        <w:rPr>
          <w:rFonts w:hint="eastAsia"/>
          <w:color w:val="231F20"/>
        </w:rPr>
        <w:t>Four steps are involved.</w:t>
      </w:r>
    </w:p>
    <w:p w14:paraId="47FCFE73">
      <w:pPr>
        <w:pStyle w:val="9"/>
        <w:spacing w:after="0" w:line="249" w:lineRule="auto"/>
        <w:rPr>
          <w:rFonts w:hint="eastAsia"/>
          <w:color w:val="231F20"/>
        </w:rPr>
      </w:pPr>
      <w:r>
        <w:rPr>
          <w:rFonts w:hint="eastAsia"/>
          <w:color w:val="231F20"/>
        </w:rPr>
        <w:t>涉及四个步骤。</w:t>
      </w:r>
    </w:p>
    <w:p w14:paraId="6BAD245A">
      <w:pPr>
        <w:pStyle w:val="9"/>
        <w:spacing w:after="0" w:line="249" w:lineRule="auto"/>
        <w:rPr>
          <w:rFonts w:hint="eastAsia"/>
          <w:color w:val="231F20"/>
        </w:rPr>
      </w:pPr>
    </w:p>
    <w:p w14:paraId="055F6FFC">
      <w:pPr>
        <w:pStyle w:val="9"/>
        <w:spacing w:after="0" w:line="249" w:lineRule="auto"/>
        <w:rPr>
          <w:rFonts w:hint="eastAsia"/>
          <w:color w:val="231F20"/>
        </w:rPr>
      </w:pPr>
      <w:r>
        <w:rPr>
          <w:rFonts w:hint="eastAsia"/>
          <w:color w:val="231F20"/>
        </w:rPr>
        <w:t>First, he gives the Church Militant yet another soul-stirring glimpse of life on the eschatological Mt. Zion; of life in the new heavens and the new earth (14:1-6; Isaiah 11:9, 65:25, Rev. 21:10).</w:t>
      </w:r>
    </w:p>
    <w:p w14:paraId="4E52C510">
      <w:pPr>
        <w:pStyle w:val="9"/>
        <w:spacing w:after="0" w:line="249" w:lineRule="auto"/>
        <w:rPr>
          <w:rFonts w:hint="eastAsia"/>
          <w:color w:val="231F20"/>
        </w:rPr>
      </w:pPr>
      <w:r>
        <w:rPr>
          <w:rFonts w:hint="eastAsia"/>
          <w:color w:val="231F20"/>
        </w:rPr>
        <w:t>首先，祂让争战的教会再次瞥见末世锡安山上的生活，那激动人心的一瞥；新天新地的生活（14:1-6；以赛亚书11:9，65:25，启示录21:10）。</w:t>
      </w:r>
    </w:p>
    <w:p w14:paraId="06098DA9">
      <w:pPr>
        <w:pStyle w:val="9"/>
        <w:spacing w:after="0" w:line="249" w:lineRule="auto"/>
        <w:rPr>
          <w:rFonts w:hint="eastAsia"/>
          <w:color w:val="231F20"/>
        </w:rPr>
      </w:pPr>
    </w:p>
    <w:p w14:paraId="6A1EF413">
      <w:pPr>
        <w:pStyle w:val="9"/>
        <w:spacing w:after="0" w:line="249" w:lineRule="auto"/>
        <w:rPr>
          <w:rFonts w:hint="eastAsia"/>
          <w:color w:val="231F20"/>
        </w:rPr>
      </w:pPr>
      <w:r>
        <w:rPr>
          <w:rFonts w:hint="eastAsia"/>
          <w:color w:val="231F20"/>
        </w:rPr>
        <w:t>The saints of all time are there: all “144,000” (14:1); all whom the Lamb has purchased from the earth (14:3-4); all who did not commit acts of immorality with the Harlot (14:4, 17:2); all who remained pure and faithful to their Betrothed, cherishing the Day of the Bridegroom’s Coming and the celebration of the Marriage Feast (21:2); all in whose mouth there was found no lie—neither false gospel nor false profession (16:13); all who are blameless through the Blameless One, who is Christ (14:5, 1 John 2:1).</w:t>
      </w:r>
    </w:p>
    <w:p w14:paraId="763B5F51">
      <w:pPr>
        <w:pStyle w:val="9"/>
        <w:spacing w:after="0" w:line="249" w:lineRule="auto"/>
        <w:rPr>
          <w:rFonts w:hint="eastAsia"/>
          <w:color w:val="231F20"/>
        </w:rPr>
      </w:pPr>
      <w:r>
        <w:rPr>
          <w:rFonts w:hint="eastAsia"/>
          <w:color w:val="231F20"/>
        </w:rPr>
        <w:t>所有时代的圣徒都在那里：所有“十四万四千人”（14:1）；所有羔羊从地上买来的人（14:3-4）；所有未曾与大淫妇行淫乱的人（14:4，17:2）；所有对他们的未婚夫保持纯洁和忠心，珍视新郎降临之日和婚筵庆典的人（21:2）；所有口中没有谎言——既没有假福音也没有假认信——的人（16:13）；所有借着那无瑕疵者，即基督，而成为无瑕疵的人（14:5，约壹2:1）。</w:t>
      </w:r>
    </w:p>
    <w:p w14:paraId="19019C83">
      <w:pPr>
        <w:pStyle w:val="9"/>
        <w:spacing w:after="0" w:line="249" w:lineRule="auto"/>
        <w:rPr>
          <w:rFonts w:hint="eastAsia"/>
          <w:color w:val="231F20"/>
        </w:rPr>
      </w:pPr>
    </w:p>
    <w:p w14:paraId="36D948FF">
      <w:pPr>
        <w:pStyle w:val="9"/>
        <w:spacing w:after="0" w:line="249" w:lineRule="auto"/>
        <w:rPr>
          <w:rFonts w:hint="eastAsia"/>
          <w:color w:val="231F20"/>
        </w:rPr>
      </w:pPr>
      <w:r>
        <w:rPr>
          <w:rFonts w:hint="eastAsia"/>
          <w:color w:val="231F20"/>
        </w:rPr>
        <w:t>These will forever belong to God and Christ (14:1), worship before his throne (14:3), and follow the Lamb wherever he goes (14:4).</w:t>
      </w:r>
    </w:p>
    <w:p w14:paraId="6486B93D">
      <w:pPr>
        <w:pStyle w:val="9"/>
        <w:spacing w:after="0" w:line="249" w:lineRule="auto"/>
        <w:rPr>
          <w:rFonts w:hint="eastAsia"/>
          <w:color w:val="231F20"/>
        </w:rPr>
      </w:pPr>
      <w:r>
        <w:rPr>
          <w:rFonts w:hint="eastAsia"/>
          <w:color w:val="231F20"/>
        </w:rPr>
        <w:t>这些人将永远属于上帝和基督（14:1），在祂的宝座前敬拜（14:3），并跟随羔羊无论祂往哪里去（14:4）。</w:t>
      </w:r>
    </w:p>
    <w:p w14:paraId="0C339080">
      <w:pPr>
        <w:pStyle w:val="9"/>
        <w:spacing w:after="0" w:line="249" w:lineRule="auto"/>
        <w:rPr>
          <w:rFonts w:hint="eastAsia"/>
          <w:color w:val="231F20"/>
        </w:rPr>
      </w:pPr>
    </w:p>
    <w:p w14:paraId="48860278">
      <w:pPr>
        <w:pStyle w:val="9"/>
        <w:spacing w:after="0" w:line="249" w:lineRule="auto"/>
        <w:rPr>
          <w:rFonts w:hint="eastAsia"/>
          <w:color w:val="231F20"/>
        </w:rPr>
      </w:pPr>
      <w:r>
        <w:rPr>
          <w:rFonts w:hint="eastAsia"/>
          <w:color w:val="231F20"/>
        </w:rPr>
        <w:t>Let the suffering saints remember and take heart.</w:t>
      </w:r>
    </w:p>
    <w:p w14:paraId="5AC95D0D">
      <w:pPr>
        <w:pStyle w:val="9"/>
        <w:spacing w:after="0" w:line="249" w:lineRule="auto"/>
        <w:rPr>
          <w:rFonts w:hint="eastAsia"/>
          <w:color w:val="231F20"/>
        </w:rPr>
      </w:pPr>
      <w:r>
        <w:rPr>
          <w:rFonts w:hint="eastAsia"/>
          <w:color w:val="231F20"/>
        </w:rPr>
        <w:t>愿受苦的圣徒记住并鼓起勇气。</w:t>
      </w:r>
    </w:p>
    <w:p w14:paraId="2314B611">
      <w:pPr>
        <w:pStyle w:val="9"/>
        <w:spacing w:after="0" w:line="249" w:lineRule="auto"/>
        <w:rPr>
          <w:rFonts w:hint="eastAsia"/>
          <w:color w:val="231F20"/>
        </w:rPr>
      </w:pPr>
    </w:p>
    <w:p w14:paraId="6FFF4379">
      <w:pPr>
        <w:pStyle w:val="9"/>
        <w:spacing w:after="0" w:line="249" w:lineRule="auto"/>
        <w:rPr>
          <w:rFonts w:hint="eastAsia"/>
          <w:color w:val="231F20"/>
        </w:rPr>
      </w:pPr>
      <w:r>
        <w:rPr>
          <w:rFonts w:hint="eastAsia"/>
          <w:color w:val="231F20"/>
        </w:rPr>
        <w:t>Having encouraged the saints, the Lord next exhorts and warns them (14:6-13).</w:t>
      </w:r>
    </w:p>
    <w:p w14:paraId="2FE8B18C">
      <w:pPr>
        <w:pStyle w:val="9"/>
        <w:spacing w:after="0" w:line="249" w:lineRule="auto"/>
        <w:rPr>
          <w:rFonts w:hint="eastAsia"/>
          <w:color w:val="231F20"/>
        </w:rPr>
      </w:pPr>
      <w:r>
        <w:rPr>
          <w:rFonts w:hint="eastAsia"/>
          <w:color w:val="231F20"/>
        </w:rPr>
        <w:t>在鼓励了圣徒之后，主接着劝勉并警告他们（14:6-13）。</w:t>
      </w:r>
    </w:p>
    <w:p w14:paraId="196E3736">
      <w:pPr>
        <w:pStyle w:val="9"/>
        <w:spacing w:after="0" w:line="249" w:lineRule="auto"/>
        <w:rPr>
          <w:rFonts w:hint="eastAsia"/>
          <w:color w:val="231F20"/>
        </w:rPr>
      </w:pPr>
    </w:p>
    <w:p w14:paraId="39035429">
      <w:pPr>
        <w:pStyle w:val="9"/>
        <w:spacing w:after="0" w:line="249" w:lineRule="auto"/>
        <w:rPr>
          <w:rFonts w:hint="eastAsia"/>
          <w:color w:val="231F20"/>
        </w:rPr>
      </w:pPr>
      <w:r>
        <w:rPr>
          <w:rFonts w:hint="eastAsia"/>
          <w:color w:val="231F20"/>
        </w:rPr>
        <w:t>In so doing, he gives John a vision of three angels.</w:t>
      </w:r>
    </w:p>
    <w:p w14:paraId="5886944F">
      <w:pPr>
        <w:pStyle w:val="9"/>
        <w:spacing w:after="0" w:line="249" w:lineRule="auto"/>
        <w:rPr>
          <w:rFonts w:hint="eastAsia"/>
          <w:color w:val="231F20"/>
        </w:rPr>
      </w:pPr>
      <w:r>
        <w:rPr>
          <w:rFonts w:hint="eastAsia"/>
          <w:color w:val="231F20"/>
        </w:rPr>
        <w:t>为此，祂给约翰一个三位天使的异象。</w:t>
      </w:r>
    </w:p>
    <w:p w14:paraId="6DC6895B">
      <w:pPr>
        <w:pStyle w:val="9"/>
        <w:spacing w:after="0" w:line="249" w:lineRule="auto"/>
        <w:rPr>
          <w:rFonts w:hint="eastAsia"/>
          <w:color w:val="231F20"/>
        </w:rPr>
      </w:pPr>
    </w:p>
    <w:p w14:paraId="05973D8B">
      <w:pPr>
        <w:pStyle w:val="9"/>
        <w:spacing w:after="0" w:line="249" w:lineRule="auto"/>
        <w:rPr>
          <w:rFonts w:hint="eastAsia"/>
          <w:color w:val="231F20"/>
        </w:rPr>
      </w:pPr>
      <w:r>
        <w:rPr>
          <w:rFonts w:hint="eastAsia"/>
          <w:color w:val="231F20"/>
        </w:rPr>
        <w:t>The first has an everlasting gospel to preach to all nations, a gospel by which men may escape the almighty Creator’s judgment to come.</w:t>
      </w:r>
    </w:p>
    <w:p w14:paraId="189E4564">
      <w:pPr>
        <w:pStyle w:val="9"/>
        <w:spacing w:after="0" w:line="249" w:lineRule="auto"/>
        <w:rPr>
          <w:rFonts w:hint="eastAsia"/>
          <w:color w:val="231F20"/>
        </w:rPr>
      </w:pPr>
      <w:r>
        <w:rPr>
          <w:rFonts w:hint="eastAsia"/>
          <w:color w:val="231F20"/>
        </w:rPr>
        <w:t>第一位有一永远的福音要传给万国，借着这福音，人可以逃脱全能创造主将来的审判。</w:t>
      </w:r>
    </w:p>
    <w:p w14:paraId="22BFF872">
      <w:pPr>
        <w:pStyle w:val="9"/>
        <w:spacing w:after="0" w:line="249" w:lineRule="auto"/>
        <w:rPr>
          <w:rFonts w:hint="eastAsia"/>
          <w:color w:val="231F20"/>
        </w:rPr>
      </w:pPr>
    </w:p>
    <w:p w14:paraId="2694210E">
      <w:pPr>
        <w:pStyle w:val="9"/>
        <w:spacing w:after="0" w:line="249" w:lineRule="auto"/>
        <w:rPr>
          <w:rFonts w:hint="eastAsia"/>
          <w:color w:val="231F20"/>
        </w:rPr>
      </w:pPr>
      <w:r>
        <w:rPr>
          <w:rFonts w:hint="eastAsia"/>
          <w:color w:val="231F20"/>
        </w:rPr>
        <w:t>In the fear of the Lord, the Church is to preach it (14:6-7).</w:t>
      </w:r>
    </w:p>
    <w:p w14:paraId="5559A5C3">
      <w:pPr>
        <w:pStyle w:val="9"/>
        <w:spacing w:after="0" w:line="249" w:lineRule="auto"/>
        <w:rPr>
          <w:rFonts w:hint="eastAsia"/>
          <w:color w:val="231F20"/>
        </w:rPr>
      </w:pPr>
      <w:r>
        <w:rPr>
          <w:rFonts w:hint="eastAsia"/>
          <w:color w:val="231F20"/>
        </w:rPr>
        <w:t>教会在敬畏主的心中，要传讲这福音（14:6-7）。</w:t>
      </w:r>
    </w:p>
    <w:p w14:paraId="6690EF5C">
      <w:pPr>
        <w:pStyle w:val="9"/>
        <w:spacing w:after="0" w:line="249" w:lineRule="auto"/>
        <w:rPr>
          <w:rFonts w:hint="eastAsia"/>
          <w:color w:val="231F20"/>
        </w:rPr>
      </w:pPr>
    </w:p>
    <w:p w14:paraId="4351955E">
      <w:pPr>
        <w:pStyle w:val="9"/>
        <w:spacing w:after="0" w:line="249" w:lineRule="auto"/>
        <w:rPr>
          <w:rFonts w:hint="eastAsia"/>
          <w:color w:val="231F20"/>
        </w:rPr>
      </w:pPr>
      <w:r>
        <w:rPr>
          <w:rFonts w:hint="eastAsia"/>
          <w:color w:val="231F20"/>
        </w:rPr>
        <w:t>The second heralds the imminent destruction of the Harlot, or Babylon the Great, both of which symbols represent the world-system as temptress.</w:t>
      </w:r>
    </w:p>
    <w:p w14:paraId="7376721E">
      <w:pPr>
        <w:pStyle w:val="9"/>
        <w:spacing w:after="0" w:line="249" w:lineRule="auto"/>
        <w:rPr>
          <w:rFonts w:hint="eastAsia"/>
          <w:color w:val="231F20"/>
        </w:rPr>
      </w:pPr>
      <w:r>
        <w:rPr>
          <w:rFonts w:hint="eastAsia"/>
          <w:color w:val="231F20"/>
        </w:rPr>
        <w:t>第二位宣告大淫妇，或大巴比伦，即将来临的毁灭，这两个象征都代表作为引诱者的世界体系。</w:t>
      </w:r>
    </w:p>
    <w:p w14:paraId="1E3531DD">
      <w:pPr>
        <w:pStyle w:val="9"/>
        <w:spacing w:after="0" w:line="249" w:lineRule="auto"/>
        <w:rPr>
          <w:rFonts w:hint="eastAsia"/>
          <w:color w:val="231F20"/>
        </w:rPr>
      </w:pPr>
    </w:p>
    <w:p w14:paraId="51F45E1E">
      <w:pPr>
        <w:pStyle w:val="9"/>
        <w:spacing w:after="0" w:line="249" w:lineRule="auto"/>
        <w:rPr>
          <w:rFonts w:hint="eastAsia"/>
          <w:color w:val="231F20"/>
        </w:rPr>
      </w:pPr>
      <w:r>
        <w:rPr>
          <w:rFonts w:hint="eastAsia"/>
          <w:color w:val="231F20"/>
        </w:rPr>
        <w:t>In the fear of the Lord, the Church is to come out of her, and stay out of her (14:8, 18:4).</w:t>
      </w:r>
    </w:p>
    <w:p w14:paraId="71384891">
      <w:pPr>
        <w:pStyle w:val="9"/>
        <w:spacing w:after="0" w:line="249" w:lineRule="auto"/>
        <w:rPr>
          <w:rFonts w:hint="eastAsia"/>
          <w:color w:val="231F20"/>
        </w:rPr>
      </w:pPr>
      <w:r>
        <w:rPr>
          <w:rFonts w:hint="eastAsia"/>
          <w:color w:val="231F20"/>
        </w:rPr>
        <w:t>教会在敬畏主的心中，要从她中间出来，并远离她（14:8, 18:4）。</w:t>
      </w:r>
    </w:p>
    <w:p w14:paraId="6773DDD7">
      <w:pPr>
        <w:pStyle w:val="9"/>
        <w:spacing w:after="0" w:line="249" w:lineRule="auto"/>
        <w:rPr>
          <w:rFonts w:hint="eastAsia"/>
          <w:color w:val="231F20"/>
        </w:rPr>
      </w:pPr>
    </w:p>
    <w:p w14:paraId="766B2745">
      <w:pPr>
        <w:pStyle w:val="9"/>
        <w:spacing w:after="0" w:line="249" w:lineRule="auto"/>
        <w:rPr>
          <w:rFonts w:hint="eastAsia"/>
          <w:color w:val="231F20"/>
        </w:rPr>
      </w:pPr>
      <w:r>
        <w:rPr>
          <w:rFonts w:hint="eastAsia"/>
          <w:color w:val="231F20"/>
        </w:rPr>
        <w:t>The third—using some of the weightiest language in all Scripture—depicts the eternal punishment of those who worship the Beast (and the Dragon), thereby taking his mark of ownership upon them.</w:t>
      </w:r>
    </w:p>
    <w:p w14:paraId="496A944A">
      <w:pPr>
        <w:pStyle w:val="9"/>
        <w:spacing w:after="0" w:line="249" w:lineRule="auto"/>
        <w:rPr>
          <w:rFonts w:hint="eastAsia"/>
          <w:color w:val="231F20"/>
        </w:rPr>
      </w:pPr>
      <w:r>
        <w:rPr>
          <w:rFonts w:hint="eastAsia"/>
          <w:color w:val="231F20"/>
        </w:rPr>
        <w:t>第三位——使用全本圣经中一些最沉重的话语——描绘了那些敬拜兽（和龙），从而在自己身上接受其所有权印记之人的永恒惩罚。</w:t>
      </w:r>
    </w:p>
    <w:p w14:paraId="34BD1DE9">
      <w:pPr>
        <w:pStyle w:val="9"/>
        <w:spacing w:after="0" w:line="249" w:lineRule="auto"/>
        <w:rPr>
          <w:rFonts w:hint="eastAsia"/>
          <w:color w:val="231F20"/>
        </w:rPr>
      </w:pPr>
    </w:p>
    <w:p w14:paraId="32B48069">
      <w:pPr>
        <w:pStyle w:val="9"/>
        <w:spacing w:after="0" w:line="249" w:lineRule="auto"/>
        <w:rPr>
          <w:rFonts w:hint="eastAsia"/>
          <w:color w:val="231F20"/>
        </w:rPr>
      </w:pPr>
      <w:r>
        <w:rPr>
          <w:rFonts w:hint="eastAsia"/>
          <w:color w:val="231F20"/>
        </w:rPr>
        <w:t>In the fear of the Lord, the Church must stand strong against every temptation to do so; she must faithfully persevere with Christ to the end (14:9-12).</w:t>
      </w:r>
    </w:p>
    <w:p w14:paraId="1C8D9034">
      <w:pPr>
        <w:pStyle w:val="9"/>
        <w:spacing w:after="0" w:line="249" w:lineRule="auto"/>
        <w:rPr>
          <w:rFonts w:hint="eastAsia"/>
          <w:color w:val="231F20"/>
        </w:rPr>
      </w:pPr>
      <w:r>
        <w:rPr>
          <w:rFonts w:hint="eastAsia"/>
          <w:color w:val="231F20"/>
        </w:rPr>
        <w:t>在敬畏主的心中，教会必须坚决抵挡一切这样做的试探；她必须与基督一同忠心坚忍到底（14:9-12）。</w:t>
      </w:r>
    </w:p>
    <w:p w14:paraId="1194D5E7">
      <w:pPr>
        <w:pStyle w:val="9"/>
        <w:spacing w:after="0" w:line="249" w:lineRule="auto"/>
        <w:rPr>
          <w:rFonts w:hint="eastAsia"/>
          <w:color w:val="231F20"/>
        </w:rPr>
      </w:pPr>
    </w:p>
    <w:p w14:paraId="73E1EDB9">
      <w:pPr>
        <w:pStyle w:val="9"/>
        <w:spacing w:after="0" w:line="249" w:lineRule="auto"/>
        <w:rPr>
          <w:rFonts w:hint="eastAsia"/>
          <w:color w:val="231F20"/>
        </w:rPr>
      </w:pPr>
      <w:r>
        <w:rPr>
          <w:rFonts w:hint="eastAsia"/>
          <w:color w:val="231F20"/>
        </w:rPr>
        <w:t>Moreover, as she does, let her recall the blessedness of all who die in faith throughout the Era of Proclamation, for in heaven their spirits will find rest from their toil, even as they await the Resurrection and their eternal reward.</w:t>
      </w:r>
    </w:p>
    <w:p w14:paraId="02BB67A3">
      <w:pPr>
        <w:pStyle w:val="9"/>
        <w:spacing w:after="0" w:line="249" w:lineRule="auto"/>
        <w:rPr>
          <w:rFonts w:hint="eastAsia"/>
          <w:color w:val="231F20"/>
        </w:rPr>
      </w:pPr>
      <w:r>
        <w:rPr>
          <w:rFonts w:hint="eastAsia"/>
          <w:color w:val="231F20"/>
        </w:rPr>
        <w:t>此外，当她这样做时，让她回想在整个宣讲时代中所有在信心中死去之人的福乐，因为在天上他们的灵魂将歇了他们的劳苦，同时等候复活和他们永恒的赏赐。</w:t>
      </w:r>
    </w:p>
    <w:p w14:paraId="23FAAA56">
      <w:pPr>
        <w:pStyle w:val="9"/>
        <w:spacing w:after="0" w:line="249" w:lineRule="auto"/>
        <w:rPr>
          <w:rFonts w:hint="eastAsia"/>
          <w:color w:val="231F20"/>
        </w:rPr>
      </w:pPr>
    </w:p>
    <w:p w14:paraId="274676A2">
      <w:pPr>
        <w:pStyle w:val="9"/>
        <w:spacing w:after="0" w:line="249" w:lineRule="auto"/>
        <w:rPr>
          <w:rFonts w:hint="eastAsia"/>
          <w:color w:val="231F20"/>
        </w:rPr>
      </w:pPr>
      <w:r>
        <w:rPr>
          <w:rFonts w:hint="eastAsia"/>
          <w:color w:val="231F20"/>
        </w:rPr>
        <w:t>In 14:14-16, the Lord yet again offers encouragement, this time bringing us to the Consummation itself, where we behold the ultimate ingathering of God’s elect.</w:t>
      </w:r>
    </w:p>
    <w:p w14:paraId="65FE65C7">
      <w:pPr>
        <w:pStyle w:val="9"/>
        <w:spacing w:after="0" w:line="249" w:lineRule="auto"/>
        <w:rPr>
          <w:rFonts w:hint="eastAsia"/>
          <w:color w:val="231F20"/>
        </w:rPr>
      </w:pPr>
      <w:r>
        <w:rPr>
          <w:rFonts w:hint="eastAsia"/>
          <w:color w:val="231F20"/>
        </w:rPr>
        <w:t>在14:14-16，主再次给予鼓励，这次将我们带到最终的成全本身，在那里我们看到上帝选民最终的聚集。</w:t>
      </w:r>
    </w:p>
    <w:p w14:paraId="221589E3">
      <w:pPr>
        <w:pStyle w:val="9"/>
        <w:spacing w:after="0" w:line="249" w:lineRule="auto"/>
        <w:rPr>
          <w:rFonts w:hint="eastAsia"/>
          <w:color w:val="231F20"/>
        </w:rPr>
      </w:pPr>
    </w:p>
    <w:p w14:paraId="43E0512B">
      <w:pPr>
        <w:pStyle w:val="9"/>
        <w:spacing w:after="0" w:line="249" w:lineRule="auto"/>
        <w:rPr>
          <w:rFonts w:hint="eastAsia"/>
          <w:color w:val="231F20"/>
        </w:rPr>
      </w:pPr>
      <w:r>
        <w:rPr>
          <w:rFonts w:hint="eastAsia"/>
          <w:color w:val="231F20"/>
        </w:rPr>
        <w:t>The motif employed here, first sounded in the Gospels, is that of the harvest (Mt. 3:12, 13:30).</w:t>
      </w:r>
    </w:p>
    <w:p w14:paraId="3D059655">
      <w:pPr>
        <w:pStyle w:val="9"/>
        <w:spacing w:after="0" w:line="249" w:lineRule="auto"/>
        <w:rPr>
          <w:rFonts w:hint="eastAsia"/>
          <w:color w:val="231F20"/>
        </w:rPr>
      </w:pPr>
      <w:r>
        <w:rPr>
          <w:rFonts w:hint="eastAsia"/>
          <w:color w:val="231F20"/>
        </w:rPr>
        <w:t>这里使用的母题，首先在福音书中出现，是收割的母题（太3:12，13:30）。</w:t>
      </w:r>
    </w:p>
    <w:p w14:paraId="2C2F7961">
      <w:pPr>
        <w:pStyle w:val="9"/>
        <w:spacing w:after="0" w:line="249" w:lineRule="auto"/>
        <w:rPr>
          <w:rFonts w:hint="eastAsia"/>
          <w:color w:val="231F20"/>
        </w:rPr>
      </w:pPr>
    </w:p>
    <w:p w14:paraId="0EAA9E65">
      <w:pPr>
        <w:pStyle w:val="9"/>
        <w:spacing w:after="0" w:line="249" w:lineRule="auto"/>
        <w:rPr>
          <w:rFonts w:hint="eastAsia"/>
          <w:color w:val="231F20"/>
        </w:rPr>
      </w:pPr>
      <w:r>
        <w:rPr>
          <w:rFonts w:hint="eastAsia"/>
          <w:color w:val="231F20"/>
        </w:rPr>
        <w:t>At his Parousia, the High King himself will appear in the skies above the earth to bring his wheat into his barn; to send forth his angels to gather his risen, transformed, and glorified saints to his side (14:14, 16; Dan. 7:13, Mt. 24:30, 26:64, 1 Thess. 4:17).</w:t>
      </w:r>
    </w:p>
    <w:p w14:paraId="0700A3E3">
      <w:pPr>
        <w:pStyle w:val="9"/>
        <w:spacing w:after="0" w:line="249" w:lineRule="auto"/>
        <w:rPr>
          <w:rFonts w:hint="eastAsia"/>
          <w:color w:val="231F20"/>
        </w:rPr>
      </w:pPr>
      <w:r>
        <w:rPr>
          <w:rFonts w:hint="eastAsia"/>
          <w:color w:val="231F20"/>
        </w:rPr>
        <w:t>在祂的主临（Parousia）时，至高君王祂自己将显现在地上空，将祂的麦子收进祂的仓里；差遣祂的天使，将祂复活、改变、得荣耀的圣徒聚集到祂身边（14:14, 16；但7:13，太24:30，26:64，帖前4:17）。</w:t>
      </w:r>
    </w:p>
    <w:p w14:paraId="2DED96B0">
      <w:pPr>
        <w:pStyle w:val="9"/>
        <w:spacing w:after="0" w:line="249" w:lineRule="auto"/>
        <w:rPr>
          <w:rFonts w:hint="eastAsia"/>
          <w:color w:val="231F20"/>
        </w:rPr>
      </w:pPr>
    </w:p>
    <w:p w14:paraId="2A5A464A">
      <w:pPr>
        <w:pStyle w:val="9"/>
        <w:spacing w:after="0" w:line="249" w:lineRule="auto"/>
        <w:rPr>
          <w:rFonts w:hint="eastAsia"/>
          <w:color w:val="231F20"/>
        </w:rPr>
      </w:pPr>
      <w:r>
        <w:rPr>
          <w:rFonts w:hint="eastAsia"/>
          <w:color w:val="231F20"/>
        </w:rPr>
        <w:t>In 14:17-20 we arrive at the closing scenes of the cycle.</w:t>
      </w:r>
    </w:p>
    <w:p w14:paraId="6154D444">
      <w:pPr>
        <w:pStyle w:val="9"/>
        <w:spacing w:after="0" w:line="249" w:lineRule="auto"/>
        <w:rPr>
          <w:rFonts w:hint="eastAsia"/>
          <w:color w:val="231F20"/>
        </w:rPr>
      </w:pPr>
      <w:r>
        <w:rPr>
          <w:rFonts w:hint="eastAsia"/>
          <w:color w:val="231F20"/>
        </w:rPr>
        <w:t>在14:17-20，我们来到了这个循环的闭幕场景。</w:t>
      </w:r>
    </w:p>
    <w:p w14:paraId="4BCD20AE">
      <w:pPr>
        <w:pStyle w:val="9"/>
        <w:spacing w:after="0" w:line="249" w:lineRule="auto"/>
        <w:rPr>
          <w:rFonts w:hint="eastAsia"/>
          <w:color w:val="231F20"/>
        </w:rPr>
      </w:pPr>
    </w:p>
    <w:p w14:paraId="4962C4E8">
      <w:pPr>
        <w:pStyle w:val="9"/>
        <w:spacing w:after="0" w:line="249" w:lineRule="auto"/>
        <w:rPr>
          <w:rFonts w:hint="eastAsia"/>
          <w:color w:val="231F20"/>
        </w:rPr>
      </w:pPr>
      <w:r>
        <w:rPr>
          <w:rFonts w:hint="eastAsia"/>
          <w:color w:val="231F20"/>
        </w:rPr>
        <w:t>Here, the Lord warns and encourages the saints with a prediction of the final judgment of the wicked.</w:t>
      </w:r>
    </w:p>
    <w:p w14:paraId="252DB981">
      <w:pPr>
        <w:pStyle w:val="9"/>
        <w:spacing w:after="0" w:line="249" w:lineRule="auto"/>
        <w:rPr>
          <w:rFonts w:hint="eastAsia"/>
          <w:color w:val="231F20"/>
        </w:rPr>
      </w:pPr>
      <w:r>
        <w:rPr>
          <w:rFonts w:hint="eastAsia"/>
          <w:color w:val="231F20"/>
        </w:rPr>
        <w:t>在这里，主用对恶人最终审判的预言来警告和鼓励圣徒。</w:t>
      </w:r>
    </w:p>
    <w:p w14:paraId="44CBDA73">
      <w:pPr>
        <w:pStyle w:val="9"/>
        <w:spacing w:after="0" w:line="249" w:lineRule="auto"/>
        <w:rPr>
          <w:rFonts w:hint="eastAsia"/>
          <w:color w:val="231F20"/>
        </w:rPr>
      </w:pPr>
    </w:p>
    <w:p w14:paraId="2E0B9036">
      <w:pPr>
        <w:pStyle w:val="9"/>
        <w:spacing w:after="0" w:line="249" w:lineRule="auto"/>
        <w:rPr>
          <w:rFonts w:hint="eastAsia"/>
          <w:color w:val="231F20"/>
        </w:rPr>
      </w:pPr>
      <w:r>
        <w:rPr>
          <w:rFonts w:hint="eastAsia"/>
          <w:color w:val="231F20"/>
        </w:rPr>
        <w:t>This time it is the angel with the power of fire who swings the sickle (14:18); nevertheless, the continuing use of the harvest motif assures us that this Judgment also occurs at the Parousia, and that Christ is the Agent behind it, just as the rest of the NT teaches (Mt. 13:36-43, 47-50, 24- 25, 2 Thess. 1:1ff).</w:t>
      </w:r>
    </w:p>
    <w:p w14:paraId="43CDFCF8">
      <w:pPr>
        <w:pStyle w:val="9"/>
        <w:spacing w:after="0" w:line="249" w:lineRule="auto"/>
        <w:rPr>
          <w:rFonts w:hint="eastAsia"/>
          <w:color w:val="231F20"/>
        </w:rPr>
      </w:pPr>
      <w:r>
        <w:rPr>
          <w:rFonts w:hint="eastAsia"/>
          <w:color w:val="231F20"/>
        </w:rPr>
        <w:t>这次是那有权管火的天使挥舞镰刀（14:18）；然而，收割母题的持续使用向我们保证，这场审判也发生在主临（Parousia）时，并且基督是其背后的执行者，正如新约其余部分所教导的（太13:36-43, 47-50, 24-25, 帖后1:1及以下）。</w:t>
      </w:r>
    </w:p>
    <w:p w14:paraId="1B036851">
      <w:pPr>
        <w:pStyle w:val="9"/>
        <w:spacing w:after="0" w:line="249" w:lineRule="auto"/>
        <w:rPr>
          <w:rFonts w:hint="eastAsia"/>
          <w:color w:val="231F20"/>
        </w:rPr>
      </w:pPr>
    </w:p>
    <w:p w14:paraId="3A614F57">
      <w:pPr>
        <w:pStyle w:val="9"/>
        <w:spacing w:after="0" w:line="249" w:lineRule="auto"/>
        <w:rPr>
          <w:rFonts w:hint="eastAsia"/>
          <w:color w:val="231F20"/>
        </w:rPr>
      </w:pPr>
      <w:r>
        <w:rPr>
          <w:rFonts w:hint="eastAsia"/>
          <w:color w:val="231F20"/>
        </w:rPr>
        <w:t>Passing over the resurrection of the wicked and the universal assize before the Judgment Seat of Christ (20:11-15), the vision runs to the eternal punishment of the wicked in the great winepress of the wrath of God, which is the Lake of Fire (14:10, 20:14-15).</w:t>
      </w:r>
    </w:p>
    <w:p w14:paraId="46C11A04">
      <w:pPr>
        <w:pStyle w:val="9"/>
        <w:spacing w:after="0" w:line="249" w:lineRule="auto"/>
        <w:rPr>
          <w:rFonts w:hint="eastAsia"/>
          <w:color w:val="231F20"/>
        </w:rPr>
      </w:pPr>
      <w:r>
        <w:rPr>
          <w:rFonts w:hint="eastAsia"/>
          <w:color w:val="231F20"/>
        </w:rPr>
        <w:t>异象跳过了恶人的复活和在基督审判台前的普世审判（20:11-15），直接讲到恶人在上帝忿怒的大酒榨中，即火湖里的永恒惩罚（14:10，20:14-15）。</w:t>
      </w:r>
    </w:p>
    <w:p w14:paraId="366B5B26">
      <w:pPr>
        <w:pStyle w:val="9"/>
        <w:spacing w:after="0" w:line="249" w:lineRule="auto"/>
        <w:rPr>
          <w:rFonts w:hint="eastAsia"/>
          <w:color w:val="231F20"/>
        </w:rPr>
      </w:pPr>
    </w:p>
    <w:p w14:paraId="251B0F5F">
      <w:pPr>
        <w:pStyle w:val="9"/>
        <w:spacing w:after="0" w:line="249" w:lineRule="auto"/>
        <w:rPr>
          <w:rFonts w:hint="eastAsia"/>
          <w:color w:val="231F20"/>
        </w:rPr>
      </w:pPr>
      <w:r>
        <w:rPr>
          <w:rFonts w:hint="eastAsia"/>
          <w:color w:val="231F20"/>
        </w:rPr>
        <w:t>The difficult final verse, with its mention of horses, alludes to certain OT texts depicting the world’s final assault against the Israel of God (14:20; Ezek. 38:4, 15, Zech. 14:5).</w:t>
      </w:r>
    </w:p>
    <w:p w14:paraId="7F229552">
      <w:pPr>
        <w:pStyle w:val="9"/>
        <w:spacing w:after="0" w:line="249" w:lineRule="auto"/>
        <w:rPr>
          <w:rFonts w:hint="eastAsia"/>
          <w:color w:val="231F20"/>
        </w:rPr>
      </w:pPr>
      <w:r>
        <w:rPr>
          <w:rFonts w:hint="eastAsia"/>
          <w:color w:val="231F20"/>
        </w:rPr>
        <w:t>困难的最后一节经文，提到了马，暗指某些旧约经文，描绘了世界对上帝的以色列的最后攻击（14:20；结38:4, 15，亚14:5）。</w:t>
      </w:r>
    </w:p>
    <w:p w14:paraId="09090878">
      <w:pPr>
        <w:pStyle w:val="9"/>
        <w:spacing w:after="0" w:line="249" w:lineRule="auto"/>
        <w:rPr>
          <w:rFonts w:hint="eastAsia"/>
          <w:color w:val="231F20"/>
        </w:rPr>
      </w:pPr>
    </w:p>
    <w:p w14:paraId="6BAC98DF">
      <w:pPr>
        <w:pStyle w:val="9"/>
        <w:spacing w:after="0" w:line="249" w:lineRule="auto"/>
        <w:rPr>
          <w:rFonts w:hint="eastAsia"/>
          <w:color w:val="231F20"/>
        </w:rPr>
      </w:pPr>
      <w:r>
        <w:rPr>
          <w:rFonts w:hint="eastAsia"/>
          <w:color w:val="231F20"/>
        </w:rPr>
        <w:t>The message is: As soon as Christ’s enemies launch their Last Battle against his Church, so soon will he return to engulf them—and all their (resurrected) predecessors—in utter destruction (16:12-16, 19:11-16).</w:t>
      </w:r>
    </w:p>
    <w:p w14:paraId="49E629E6">
      <w:pPr>
        <w:pStyle w:val="9"/>
        <w:spacing w:after="0" w:line="249" w:lineRule="auto"/>
        <w:rPr>
          <w:rFonts w:hint="eastAsia"/>
          <w:color w:val="231F20"/>
        </w:rPr>
      </w:pPr>
      <w:r>
        <w:rPr>
          <w:rFonts w:hint="eastAsia"/>
          <w:color w:val="231F20"/>
        </w:rPr>
        <w:t>信息是：基督的仇敌一旦对祂的教会发起末日争战，祂就将立刻回来，将他们——以及所有他们（复活的）先辈——吞没在彻底的毁灭中（16:12-16，19:11-16）。</w:t>
      </w:r>
    </w:p>
    <w:p w14:paraId="7C82890F">
      <w:pPr>
        <w:pStyle w:val="9"/>
        <w:spacing w:after="0" w:line="249" w:lineRule="auto"/>
        <w:rPr>
          <w:rFonts w:hint="eastAsia"/>
          <w:color w:val="231F20"/>
        </w:rPr>
      </w:pPr>
    </w:p>
    <w:p w14:paraId="0D88B052">
      <w:pPr>
        <w:pStyle w:val="9"/>
        <w:spacing w:after="0" w:line="249" w:lineRule="auto"/>
        <w:rPr>
          <w:rFonts w:hint="eastAsia"/>
          <w:color w:val="231F20"/>
        </w:rPr>
      </w:pPr>
      <w:r>
        <w:rPr>
          <w:rFonts w:hint="eastAsia"/>
          <w:color w:val="231F20"/>
        </w:rPr>
        <w:t>The finality of this judgment is seen in its universality: It extends in all four directions with “complete completeness” (4x4x10x10=1600), leaving all of the wicked of all the earth forever outside the City of God (Rev. 22:15).</w:t>
      </w:r>
    </w:p>
    <w:p w14:paraId="5C479911">
      <w:pPr>
        <w:pStyle w:val="9"/>
        <w:spacing w:after="0" w:line="249" w:lineRule="auto"/>
        <w:rPr>
          <w:rFonts w:hint="eastAsia"/>
          <w:color w:val="231F20"/>
        </w:rPr>
      </w:pPr>
      <w:r>
        <w:rPr>
          <w:rFonts w:hint="eastAsia"/>
          <w:color w:val="231F20"/>
        </w:rPr>
        <w:t>这场审判的最终性体现在其普世性上：它向所有四个方向延伸，带着“完全的完全”（4x4x10x10=1600），将全地所有的恶人永远留在上帝之城外（启22:15）。</w:t>
      </w:r>
    </w:p>
    <w:p w14:paraId="6E442D30">
      <w:pPr>
        <w:pStyle w:val="9"/>
        <w:spacing w:after="0" w:line="249" w:lineRule="auto"/>
        <w:rPr>
          <w:rFonts w:hint="eastAsia"/>
          <w:color w:val="231F20"/>
        </w:rPr>
      </w:pPr>
    </w:p>
    <w:p w14:paraId="402FE8CC">
      <w:pPr>
        <w:pStyle w:val="9"/>
        <w:spacing w:after="0" w:line="249" w:lineRule="auto"/>
        <w:rPr>
          <w:rFonts w:hint="eastAsia"/>
          <w:color w:val="231F20"/>
        </w:rPr>
      </w:pPr>
      <w:r>
        <w:rPr>
          <w:rFonts w:hint="eastAsia"/>
          <w:color w:val="231F20"/>
        </w:rPr>
        <w:t>Summing up, we have seen that this cycle does indeed traverse the entire Era of Proclamation.</w:t>
      </w:r>
    </w:p>
    <w:p w14:paraId="7C90943B">
      <w:pPr>
        <w:pStyle w:val="9"/>
        <w:spacing w:after="0" w:line="249" w:lineRule="auto"/>
        <w:rPr>
          <w:rFonts w:hint="eastAsia"/>
          <w:color w:val="231F20"/>
        </w:rPr>
      </w:pPr>
      <w:r>
        <w:rPr>
          <w:rFonts w:hint="eastAsia"/>
          <w:color w:val="231F20"/>
        </w:rPr>
        <w:t>总结来说，我们已经看到这个循环确实跨越了整个宣讲时代。</w:t>
      </w:r>
    </w:p>
    <w:p w14:paraId="25F86996">
      <w:pPr>
        <w:pStyle w:val="9"/>
        <w:spacing w:after="0" w:line="249" w:lineRule="auto"/>
        <w:rPr>
          <w:rFonts w:hint="eastAsia"/>
          <w:color w:val="231F20"/>
        </w:rPr>
      </w:pPr>
    </w:p>
    <w:p w14:paraId="06D5BD58">
      <w:pPr>
        <w:pStyle w:val="9"/>
        <w:spacing w:after="0" w:line="249" w:lineRule="auto"/>
        <w:rPr>
          <w:rFonts w:hint="eastAsia"/>
          <w:color w:val="231F20"/>
        </w:rPr>
      </w:pPr>
      <w:r>
        <w:rPr>
          <w:rFonts w:hint="eastAsia"/>
          <w:color w:val="231F20"/>
        </w:rPr>
        <w:t>It clearly begins with the Session of Christ (12:1-5) and clearly ends with his Parousia (14:14-20).</w:t>
      </w:r>
    </w:p>
    <w:p w14:paraId="6CFA2B7A">
      <w:pPr>
        <w:pStyle w:val="9"/>
        <w:spacing w:after="0" w:line="249" w:lineRule="auto"/>
        <w:rPr>
          <w:rFonts w:hint="eastAsia"/>
          <w:color w:val="231F20"/>
        </w:rPr>
      </w:pPr>
      <w:r>
        <w:rPr>
          <w:rFonts w:hint="eastAsia"/>
          <w:color w:val="231F20"/>
        </w:rPr>
        <w:t>它清楚地以基督的升天坐席开始（12:1-5），并清楚地以祂的主临（Parousia）结束（14:14-20）。</w:t>
      </w:r>
    </w:p>
    <w:p w14:paraId="4942FE78">
      <w:pPr>
        <w:pStyle w:val="9"/>
        <w:spacing w:after="0" w:line="249" w:lineRule="auto"/>
        <w:rPr>
          <w:rFonts w:hint="eastAsia"/>
          <w:color w:val="231F20"/>
        </w:rPr>
      </w:pPr>
    </w:p>
    <w:p w14:paraId="318AB525">
      <w:pPr>
        <w:pStyle w:val="9"/>
        <w:spacing w:after="0" w:line="249" w:lineRule="auto"/>
        <w:rPr>
          <w:rFonts w:hint="eastAsia"/>
          <w:color w:val="231F20"/>
        </w:rPr>
      </w:pPr>
      <w:r>
        <w:rPr>
          <w:rFonts w:hint="eastAsia"/>
          <w:color w:val="231F20"/>
        </w:rPr>
        <w:t>In subtle ways, it again warns of the Last Battle (13:6-10, 14:20), but also offers great comfort, whether of life with Christ in the Intermediate State (14:13) or, following his return, life with Christ in the World to Come (14:1-5).</w:t>
      </w:r>
    </w:p>
    <w:p w14:paraId="62A4CA9B">
      <w:pPr>
        <w:pStyle w:val="9"/>
        <w:spacing w:after="0" w:line="249" w:lineRule="auto"/>
        <w:rPr>
          <w:rFonts w:hint="eastAsia"/>
          <w:color w:val="231F20"/>
        </w:rPr>
      </w:pPr>
      <w:r>
        <w:rPr>
          <w:rFonts w:hint="eastAsia"/>
          <w:color w:val="231F20"/>
        </w:rPr>
        <w:t>它以微妙的方式，再次警告末日争战（13:6-10，14:20），但也提供了极大的安慰，无论是与基督在中间状态同活（14:13），还是在祂回来后，与基督在将来的世界同活（14:1-5）。</w:t>
      </w:r>
    </w:p>
    <w:p w14:paraId="173070B7">
      <w:pPr>
        <w:pStyle w:val="9"/>
        <w:spacing w:after="0" w:line="249" w:lineRule="auto"/>
        <w:rPr>
          <w:rFonts w:hint="eastAsia"/>
          <w:color w:val="231F20"/>
        </w:rPr>
      </w:pPr>
    </w:p>
    <w:p w14:paraId="58987CCF">
      <w:pPr>
        <w:pStyle w:val="9"/>
        <w:spacing w:after="0" w:line="249" w:lineRule="auto"/>
        <w:rPr>
          <w:rFonts w:hint="eastAsia"/>
          <w:color w:val="231F20"/>
        </w:rPr>
      </w:pPr>
      <w:r>
        <w:rPr>
          <w:rFonts w:hint="eastAsia"/>
          <w:color w:val="231F20"/>
        </w:rPr>
        <w:t>Nowhere is there the least hint of a future Millennium.</w:t>
      </w:r>
    </w:p>
    <w:p w14:paraId="58F09A5B">
      <w:pPr>
        <w:pStyle w:val="9"/>
        <w:spacing w:after="0" w:line="249" w:lineRule="auto"/>
        <w:rPr>
          <w:rFonts w:hint="eastAsia"/>
          <w:color w:val="231F20"/>
        </w:rPr>
      </w:pPr>
      <w:r>
        <w:rPr>
          <w:rFonts w:hint="eastAsia"/>
          <w:color w:val="231F20"/>
        </w:rPr>
        <w:t>没有任何地方有丝毫关于未来千禧年的暗示。</w:t>
      </w:r>
    </w:p>
    <w:p w14:paraId="126FBF74">
      <w:pPr>
        <w:pStyle w:val="9"/>
        <w:spacing w:after="0" w:line="249" w:lineRule="auto"/>
        <w:rPr>
          <w:rFonts w:hint="eastAsia"/>
          <w:color w:val="231F20"/>
        </w:rPr>
      </w:pPr>
    </w:p>
    <w:p w14:paraId="71622503">
      <w:pPr>
        <w:pStyle w:val="9"/>
        <w:spacing w:after="0" w:line="249" w:lineRule="auto"/>
        <w:rPr>
          <w:rFonts w:hint="eastAsia"/>
          <w:color w:val="231F20"/>
        </w:rPr>
      </w:pPr>
      <w:r>
        <w:rPr>
          <w:rFonts w:hint="eastAsia"/>
          <w:color w:val="231F20"/>
        </w:rPr>
        <w:t>Here, the theology of the (structure of the) Kingdom and the Consummation is identical with that of the rest of the NT.</w:t>
      </w:r>
    </w:p>
    <w:p w14:paraId="601E4A0D">
      <w:pPr>
        <w:pStyle w:val="9"/>
        <w:spacing w:after="0" w:line="249" w:lineRule="auto"/>
        <w:rPr>
          <w:rFonts w:hint="eastAsia"/>
          <w:color w:val="231F20"/>
        </w:rPr>
      </w:pPr>
      <w:r>
        <w:rPr>
          <w:rFonts w:hint="eastAsia"/>
          <w:color w:val="231F20"/>
        </w:rPr>
        <w:t>在这里，国度（的结构）和最终成全的神学与新约其余部分的神学是相同的。</w:t>
      </w:r>
    </w:p>
    <w:p w14:paraId="5C3C3205">
      <w:pPr>
        <w:pStyle w:val="9"/>
        <w:spacing w:after="0" w:line="249" w:lineRule="auto"/>
        <w:rPr>
          <w:rFonts w:hint="eastAsia"/>
          <w:color w:val="231F20"/>
        </w:rPr>
      </w:pPr>
    </w:p>
    <w:p w14:paraId="2A078870">
      <w:pPr>
        <w:pStyle w:val="9"/>
        <w:spacing w:after="0" w:line="249" w:lineRule="auto"/>
        <w:rPr>
          <w:rFonts w:hint="eastAsia"/>
          <w:color w:val="231F20"/>
        </w:rPr>
      </w:pPr>
      <w:r>
        <w:rPr>
          <w:rFonts w:hint="eastAsia"/>
          <w:color w:val="231F20"/>
        </w:rPr>
        <w:t>However, we do observe something of great interest and importance: The cosmic dethronement of Satan in principle and practice, depicted in 12:1-12, bears a striking resemblance to the binding of Satan, depicted in 20:1-3 (see especially 12:9 and 20:3).</w:t>
      </w:r>
    </w:p>
    <w:p w14:paraId="28D20549">
      <w:pPr>
        <w:pStyle w:val="9"/>
        <w:spacing w:after="0" w:line="249" w:lineRule="auto"/>
        <w:rPr>
          <w:rFonts w:hint="eastAsia"/>
          <w:color w:val="231F20"/>
        </w:rPr>
      </w:pPr>
      <w:r>
        <w:rPr>
          <w:rFonts w:hint="eastAsia"/>
          <w:color w:val="231F20"/>
        </w:rPr>
        <w:t>然而，我们确实观察到一些非常有趣和重要的事情：在原则和实践上撒但在宇宙中被废黜，如12:1-12所描绘，与撒但被捆绑，如20:1-3所描绘，有惊人的相似之处（特别参见12:9和20:3）。</w:t>
      </w:r>
    </w:p>
    <w:p w14:paraId="73A54F5A">
      <w:pPr>
        <w:pStyle w:val="9"/>
        <w:spacing w:after="0" w:line="249" w:lineRule="auto"/>
        <w:rPr>
          <w:rFonts w:hint="eastAsia"/>
          <w:color w:val="231F20"/>
        </w:rPr>
      </w:pPr>
    </w:p>
    <w:p w14:paraId="696843EC">
      <w:pPr>
        <w:pStyle w:val="9"/>
        <w:spacing w:after="0" w:line="249" w:lineRule="auto"/>
        <w:rPr>
          <w:rFonts w:hint="eastAsia"/>
          <w:color w:val="231F20"/>
        </w:rPr>
      </w:pPr>
      <w:r>
        <w:rPr>
          <w:rFonts w:hint="eastAsia"/>
          <w:color w:val="231F20"/>
        </w:rPr>
        <w:t>Does this mean that the 1260 days of 12:6, the 42 months of 13:5, and the 1000 years of 20:2-3 all refer mystically to the Era of Proclamation?</w:t>
      </w:r>
    </w:p>
    <w:p w14:paraId="2EFE882D">
      <w:pPr>
        <w:pStyle w:val="9"/>
        <w:spacing w:after="0" w:line="249" w:lineRule="auto"/>
        <w:rPr>
          <w:rFonts w:hint="eastAsia"/>
          <w:color w:val="231F20"/>
        </w:rPr>
      </w:pPr>
      <w:r>
        <w:rPr>
          <w:rFonts w:hint="eastAsia"/>
          <w:color w:val="231F20"/>
        </w:rPr>
        <w:t>这是否意味着12:6的1260天，13:5的42个月，以及20:2-3的1000年都神秘地指向宣讲时代？</w:t>
      </w:r>
    </w:p>
    <w:p w14:paraId="7E93DBA4">
      <w:pPr>
        <w:pStyle w:val="9"/>
        <w:spacing w:after="0" w:line="249" w:lineRule="auto"/>
        <w:rPr>
          <w:rFonts w:hint="eastAsia"/>
          <w:color w:val="231F20"/>
        </w:rPr>
      </w:pPr>
    </w:p>
    <w:p w14:paraId="0AFC9F81">
      <w:pPr>
        <w:pStyle w:val="9"/>
        <w:spacing w:after="0" w:line="249" w:lineRule="auto"/>
        <w:rPr>
          <w:rFonts w:hint="eastAsia"/>
          <w:color w:val="231F20"/>
        </w:rPr>
      </w:pPr>
      <w:r>
        <w:rPr>
          <w:rFonts w:hint="eastAsia"/>
          <w:color w:val="231F20"/>
        </w:rPr>
        <w:t>Does it mean that 20:4-6, like 14:13, refers to the Intermediate State?</w:t>
      </w:r>
    </w:p>
    <w:p w14:paraId="335ED51D">
      <w:pPr>
        <w:pStyle w:val="9"/>
        <w:spacing w:after="0" w:line="249" w:lineRule="auto"/>
        <w:rPr>
          <w:rFonts w:hint="eastAsia"/>
          <w:color w:val="231F20"/>
        </w:rPr>
      </w:pPr>
      <w:r>
        <w:rPr>
          <w:rFonts w:hint="eastAsia"/>
          <w:color w:val="231F20"/>
        </w:rPr>
        <w:t>这是否意味着20:4-6，像14:13一样，指的是中间状态？</w:t>
      </w:r>
    </w:p>
    <w:p w14:paraId="427F2BB8">
      <w:pPr>
        <w:pStyle w:val="9"/>
        <w:spacing w:after="0" w:line="249" w:lineRule="auto"/>
        <w:rPr>
          <w:rFonts w:hint="eastAsia"/>
          <w:color w:val="231F20"/>
        </w:rPr>
      </w:pPr>
    </w:p>
    <w:p w14:paraId="562F1FA9">
      <w:pPr>
        <w:pStyle w:val="9"/>
        <w:spacing w:after="0" w:line="249" w:lineRule="auto"/>
        <w:rPr>
          <w:rFonts w:hint="eastAsia"/>
          <w:color w:val="231F20"/>
        </w:rPr>
      </w:pPr>
      <w:r>
        <w:rPr>
          <w:rFonts w:hint="eastAsia"/>
          <w:color w:val="231F20"/>
        </w:rPr>
        <w:t>Does it mean that 20:7-10, like 13:6-10 and 14:20, refers to the Last Battle?</w:t>
      </w:r>
    </w:p>
    <w:p w14:paraId="56CE2F22">
      <w:pPr>
        <w:pStyle w:val="9"/>
        <w:spacing w:after="0" w:line="249" w:lineRule="auto"/>
        <w:rPr>
          <w:rFonts w:hint="eastAsia"/>
          <w:color w:val="231F20"/>
        </w:rPr>
      </w:pPr>
      <w:r>
        <w:rPr>
          <w:rFonts w:hint="eastAsia"/>
          <w:color w:val="231F20"/>
        </w:rPr>
        <w:t>这是否意味着20:7-10，像13:6-10和14:20一样，指的是末日争战？</w:t>
      </w:r>
    </w:p>
    <w:p w14:paraId="1B1C4185">
      <w:pPr>
        <w:pStyle w:val="9"/>
        <w:spacing w:after="0" w:line="249" w:lineRule="auto"/>
        <w:rPr>
          <w:rFonts w:hint="eastAsia"/>
          <w:color w:val="231F20"/>
        </w:rPr>
      </w:pPr>
    </w:p>
    <w:p w14:paraId="3E32C421">
      <w:pPr>
        <w:pStyle w:val="9"/>
        <w:spacing w:after="0" w:line="249" w:lineRule="auto"/>
        <w:rPr>
          <w:rFonts w:hint="eastAsia"/>
          <w:color w:val="231F20"/>
        </w:rPr>
      </w:pPr>
      <w:r>
        <w:rPr>
          <w:rFonts w:hint="eastAsia"/>
          <w:color w:val="231F20"/>
        </w:rPr>
        <w:t>And does it mean that 20:11-15, like 14:14- 20, refers to the Last Judgment, with an emphasis upon the eternal punishment of the wicked?</w:t>
      </w:r>
    </w:p>
    <w:p w14:paraId="5301F7EA">
      <w:pPr>
        <w:pStyle w:val="9"/>
        <w:spacing w:after="0" w:line="249" w:lineRule="auto"/>
        <w:rPr>
          <w:rFonts w:hint="eastAsia"/>
          <w:color w:val="231F20"/>
        </w:rPr>
      </w:pPr>
      <w:r>
        <w:rPr>
          <w:rFonts w:hint="eastAsia"/>
          <w:color w:val="231F20"/>
        </w:rPr>
        <w:t>这是否意味着20:11-15，像14:14-20一样，指的是最后的审判，并强调恶人永恒的惩罚？</w:t>
      </w:r>
    </w:p>
    <w:p w14:paraId="37795329">
      <w:pPr>
        <w:pStyle w:val="9"/>
        <w:spacing w:after="0" w:line="249" w:lineRule="auto"/>
        <w:rPr>
          <w:rFonts w:hint="eastAsia"/>
          <w:color w:val="231F20"/>
        </w:rPr>
      </w:pPr>
    </w:p>
    <w:p w14:paraId="7265941D">
      <w:pPr>
        <w:pStyle w:val="9"/>
        <w:spacing w:after="0" w:line="249" w:lineRule="auto"/>
        <w:rPr>
          <w:rFonts w:hint="eastAsia"/>
          <w:color w:val="231F20"/>
        </w:rPr>
      </w:pPr>
      <w:r>
        <w:rPr>
          <w:rFonts w:hint="eastAsia"/>
          <w:color w:val="231F20"/>
        </w:rPr>
        <w:t>Our journey so far would certainly suggest it.</w:t>
      </w:r>
    </w:p>
    <w:p w14:paraId="12404983">
      <w:pPr>
        <w:pStyle w:val="9"/>
        <w:spacing w:after="0" w:line="249" w:lineRule="auto"/>
        <w:rPr>
          <w:rFonts w:hint="eastAsia"/>
          <w:color w:val="231F20"/>
        </w:rPr>
      </w:pPr>
      <w:r>
        <w:rPr>
          <w:rFonts w:hint="eastAsia"/>
          <w:color w:val="231F20"/>
        </w:rPr>
        <w:t>我们到目前为止的旅程当然会暗示这一点。</w:t>
      </w:r>
    </w:p>
    <w:p w14:paraId="7A95AD7A">
      <w:pPr>
        <w:pStyle w:val="9"/>
        <w:spacing w:after="0" w:line="249" w:lineRule="auto"/>
        <w:rPr>
          <w:rFonts w:hint="eastAsia"/>
          <w:color w:val="231F20"/>
        </w:rPr>
      </w:pPr>
    </w:p>
    <w:p w14:paraId="7C55164D">
      <w:pPr>
        <w:pStyle w:val="9"/>
        <w:spacing w:after="0" w:line="249" w:lineRule="auto"/>
        <w:rPr>
          <w:rFonts w:hint="eastAsia"/>
          <w:color w:val="231F20"/>
        </w:rPr>
      </w:pPr>
      <w:r>
        <w:rPr>
          <w:rFonts w:hint="eastAsia"/>
          <w:color w:val="231F20"/>
        </w:rPr>
        <w:t>But let us continue that journey, in order to see if the pattern will hold.</w:t>
      </w:r>
    </w:p>
    <w:p w14:paraId="712B3E49">
      <w:pPr>
        <w:pStyle w:val="9"/>
        <w:spacing w:after="0" w:line="249" w:lineRule="auto"/>
        <w:rPr>
          <w:rFonts w:hint="eastAsia"/>
          <w:color w:val="231F20"/>
        </w:rPr>
      </w:pPr>
      <w:r>
        <w:rPr>
          <w:rFonts w:hint="eastAsia"/>
          <w:color w:val="231F20"/>
        </w:rPr>
        <w:t>但让我们继续那旅程，以便看看这个模式是否会持续。</w:t>
      </w:r>
    </w:p>
    <w:p w14:paraId="7FF71ECD">
      <w:pPr>
        <w:pStyle w:val="9"/>
        <w:spacing w:after="0" w:line="249" w:lineRule="auto"/>
        <w:rPr>
          <w:rFonts w:hint="eastAsia"/>
          <w:color w:val="231F20"/>
        </w:rPr>
      </w:pPr>
    </w:p>
    <w:p w14:paraId="2C0B469F">
      <w:pPr>
        <w:pStyle w:val="9"/>
        <w:spacing w:after="0" w:line="249" w:lineRule="auto"/>
        <w:rPr>
          <w:rFonts w:hint="eastAsia"/>
          <w:color w:val="231F20"/>
        </w:rPr>
      </w:pPr>
      <w:r>
        <w:rPr>
          <w:rFonts w:hint="eastAsia"/>
          <w:color w:val="231F20"/>
        </w:rPr>
        <w:t>2.The Seven Bowls of God’s Final Wrath (15-16)</w:t>
      </w:r>
    </w:p>
    <w:p w14:paraId="0C3C54B1">
      <w:pPr>
        <w:pStyle w:val="9"/>
        <w:spacing w:after="0" w:line="249" w:lineRule="auto"/>
        <w:rPr>
          <w:rFonts w:hint="eastAsia"/>
          <w:color w:val="231F20"/>
        </w:rPr>
      </w:pPr>
      <w:r>
        <w:rPr>
          <w:rFonts w:hint="eastAsia"/>
          <w:color w:val="231F20"/>
        </w:rPr>
        <w:t>2.上帝最后忿怒的七碗（15-16）</w:t>
      </w:r>
    </w:p>
    <w:p w14:paraId="1A453A09">
      <w:pPr>
        <w:pStyle w:val="9"/>
        <w:spacing w:after="0" w:line="249" w:lineRule="auto"/>
        <w:rPr>
          <w:rFonts w:hint="eastAsia"/>
          <w:color w:val="231F20"/>
        </w:rPr>
      </w:pPr>
    </w:p>
    <w:p w14:paraId="7F823101">
      <w:pPr>
        <w:pStyle w:val="9"/>
        <w:spacing w:after="0" w:line="249" w:lineRule="auto"/>
        <w:rPr>
          <w:rFonts w:hint="eastAsia"/>
          <w:color w:val="231F20"/>
        </w:rPr>
      </w:pPr>
      <w:r>
        <w:rPr>
          <w:rFonts w:hint="eastAsia"/>
          <w:color w:val="231F20"/>
        </w:rPr>
        <w:t>Chapters 15-16 give us the fourth cycle in which the Spirit depicts the course, character, and consummation of the High King’s reign.</w:t>
      </w:r>
    </w:p>
    <w:p w14:paraId="21DF132F">
      <w:pPr>
        <w:pStyle w:val="9"/>
        <w:spacing w:after="0" w:line="249" w:lineRule="auto"/>
        <w:rPr>
          <w:rFonts w:hint="eastAsia"/>
          <w:color w:val="231F20"/>
        </w:rPr>
      </w:pPr>
      <w:r>
        <w:rPr>
          <w:rFonts w:hint="eastAsia"/>
          <w:color w:val="231F20"/>
        </w:rPr>
        <w:t>第15-16章为我们提供了第四个循环，其中圣灵描绘了至高君王统治的进程、特征和最终成全。</w:t>
      </w:r>
    </w:p>
    <w:p w14:paraId="5111775E">
      <w:pPr>
        <w:pStyle w:val="9"/>
        <w:spacing w:after="0" w:line="249" w:lineRule="auto"/>
        <w:rPr>
          <w:rFonts w:hint="eastAsia"/>
          <w:color w:val="231F20"/>
        </w:rPr>
      </w:pPr>
    </w:p>
    <w:p w14:paraId="7343E471">
      <w:pPr>
        <w:pStyle w:val="9"/>
        <w:spacing w:after="0" w:line="249" w:lineRule="auto"/>
        <w:rPr>
          <w:rFonts w:hint="eastAsia"/>
          <w:color w:val="231F20"/>
        </w:rPr>
      </w:pPr>
      <w:r>
        <w:rPr>
          <w:rFonts w:hint="eastAsia"/>
          <w:color w:val="231F20"/>
        </w:rPr>
        <w:t>A brief look at 16:12-21 makes it clear that the cycle does indeed end with a picture of the Consummation.</w:t>
      </w:r>
    </w:p>
    <w:p w14:paraId="5143B53E">
      <w:pPr>
        <w:pStyle w:val="9"/>
        <w:spacing w:after="0" w:line="249" w:lineRule="auto"/>
        <w:rPr>
          <w:rFonts w:hint="eastAsia"/>
          <w:color w:val="231F20"/>
        </w:rPr>
      </w:pPr>
      <w:r>
        <w:rPr>
          <w:rFonts w:hint="eastAsia"/>
          <w:color w:val="231F20"/>
        </w:rPr>
        <w:t>简要看一下16:12-21就会清楚，这个循环确实以一幅最终成全的图画结束。</w:t>
      </w:r>
    </w:p>
    <w:p w14:paraId="2725DE80">
      <w:pPr>
        <w:pStyle w:val="9"/>
        <w:spacing w:after="0" w:line="249" w:lineRule="auto"/>
        <w:rPr>
          <w:rFonts w:hint="eastAsia"/>
          <w:color w:val="231F20"/>
        </w:rPr>
      </w:pPr>
    </w:p>
    <w:p w14:paraId="59AB6F91">
      <w:pPr>
        <w:pStyle w:val="9"/>
        <w:spacing w:after="0" w:line="249" w:lineRule="auto"/>
        <w:rPr>
          <w:rFonts w:hint="eastAsia"/>
          <w:color w:val="231F20"/>
        </w:rPr>
      </w:pPr>
      <w:r>
        <w:rPr>
          <w:rFonts w:hint="eastAsia"/>
          <w:color w:val="231F20"/>
        </w:rPr>
        <w:t>However, the opening verse tells us that the theme of the visions to follow is the seven last plagues in which the wrath of God is finished (15:1).</w:t>
      </w:r>
    </w:p>
    <w:p w14:paraId="4B913629">
      <w:pPr>
        <w:pStyle w:val="9"/>
        <w:spacing w:after="0" w:line="249" w:lineRule="auto"/>
        <w:rPr>
          <w:rFonts w:hint="eastAsia"/>
          <w:color w:val="231F20"/>
        </w:rPr>
      </w:pPr>
      <w:r>
        <w:rPr>
          <w:rFonts w:hint="eastAsia"/>
          <w:color w:val="231F20"/>
        </w:rPr>
        <w:t>然而，开头的经文告诉我们，接下来异象的主题是七样末后的灾，就是上帝的大怒在这七灾中发尽了（15:1）。</w:t>
      </w:r>
    </w:p>
    <w:p w14:paraId="775A596E">
      <w:pPr>
        <w:pStyle w:val="9"/>
        <w:spacing w:after="0" w:line="249" w:lineRule="auto"/>
        <w:rPr>
          <w:rFonts w:hint="eastAsia"/>
          <w:color w:val="231F20"/>
        </w:rPr>
      </w:pPr>
    </w:p>
    <w:p w14:paraId="34D62239">
      <w:pPr>
        <w:pStyle w:val="9"/>
        <w:spacing w:after="0" w:line="249" w:lineRule="auto"/>
        <w:rPr>
          <w:rFonts w:hint="eastAsia"/>
          <w:color w:val="231F20"/>
        </w:rPr>
      </w:pPr>
      <w:r>
        <w:rPr>
          <w:rFonts w:hint="eastAsia"/>
          <w:color w:val="231F20"/>
        </w:rPr>
        <w:t>Moreover, many of the judgments described certainly look both cosmic and cataclysmic.</w:t>
      </w:r>
    </w:p>
    <w:p w14:paraId="08E86BB7">
      <w:pPr>
        <w:pStyle w:val="9"/>
        <w:spacing w:after="0" w:line="249" w:lineRule="auto"/>
        <w:rPr>
          <w:rFonts w:hint="eastAsia"/>
          <w:color w:val="231F20"/>
        </w:rPr>
      </w:pPr>
      <w:r>
        <w:rPr>
          <w:rFonts w:hint="eastAsia"/>
          <w:color w:val="231F20"/>
        </w:rPr>
        <w:t>此外，许多被描述的审判无疑看起来既是宇宙性的也是灾难性的。</w:t>
      </w:r>
    </w:p>
    <w:p w14:paraId="0D37D992">
      <w:pPr>
        <w:pStyle w:val="9"/>
        <w:spacing w:after="0" w:line="249" w:lineRule="auto"/>
        <w:rPr>
          <w:rFonts w:hint="eastAsia"/>
          <w:color w:val="231F20"/>
        </w:rPr>
      </w:pPr>
    </w:p>
    <w:p w14:paraId="18DCACC5">
      <w:pPr>
        <w:pStyle w:val="9"/>
        <w:spacing w:after="0" w:line="249" w:lineRule="auto"/>
        <w:rPr>
          <w:rFonts w:hint="eastAsia"/>
          <w:color w:val="231F20"/>
        </w:rPr>
      </w:pPr>
      <w:r>
        <w:rPr>
          <w:rFonts w:hint="eastAsia"/>
          <w:color w:val="231F20"/>
        </w:rPr>
        <w:t>Accordingly, some interpreters, like George Ladd and Dennis Johnson, argue that here the Spirit speaks exclusively about the end, about the last of the last days.</w:t>
      </w:r>
    </w:p>
    <w:p w14:paraId="5BD382CF">
      <w:pPr>
        <w:pStyle w:val="9"/>
        <w:spacing w:after="0" w:line="249" w:lineRule="auto"/>
        <w:rPr>
          <w:rFonts w:hint="eastAsia"/>
          <w:color w:val="231F20"/>
        </w:rPr>
      </w:pPr>
      <w:r>
        <w:rPr>
          <w:rFonts w:hint="eastAsia"/>
          <w:color w:val="231F20"/>
        </w:rPr>
        <w:t>因此，一些解释者，如乔治·赖德和丹尼斯·约翰逊，认为圣灵在这里只谈论末了，即末后的末期。</w:t>
      </w:r>
    </w:p>
    <w:p w14:paraId="313973AE">
      <w:pPr>
        <w:pStyle w:val="9"/>
        <w:spacing w:after="0" w:line="249" w:lineRule="auto"/>
        <w:rPr>
          <w:rFonts w:hint="eastAsia"/>
          <w:color w:val="231F20"/>
        </w:rPr>
      </w:pPr>
    </w:p>
    <w:p w14:paraId="53B4BD29">
      <w:pPr>
        <w:pStyle w:val="9"/>
        <w:spacing w:after="0" w:line="249" w:lineRule="auto"/>
        <w:rPr>
          <w:rFonts w:hint="eastAsia"/>
          <w:color w:val="231F20"/>
        </w:rPr>
      </w:pPr>
      <w:r>
        <w:rPr>
          <w:rFonts w:hint="eastAsia"/>
          <w:color w:val="231F20"/>
        </w:rPr>
        <w:t>Others, however, such as William Hendriksen and Greg Beale, contend that this cycle, like all the rest, once again traverses the entire Era of Proclamation.10</w:t>
      </w:r>
    </w:p>
    <w:p w14:paraId="6025E10C">
      <w:pPr>
        <w:pStyle w:val="9"/>
        <w:spacing w:after="0" w:line="249" w:lineRule="auto"/>
        <w:rPr>
          <w:rFonts w:hint="eastAsia"/>
          <w:color w:val="231F20"/>
        </w:rPr>
      </w:pPr>
      <w:r>
        <w:rPr>
          <w:rFonts w:hint="eastAsia"/>
          <w:color w:val="231F20"/>
        </w:rPr>
        <w:t>然而，其他人，如威廉·韩瑞森和格雷格·比尔，则主张这个循环，像所有其余的循环一样，再次跨越了整个宣讲时代。10</w:t>
      </w:r>
    </w:p>
    <w:p w14:paraId="4444F05C">
      <w:pPr>
        <w:pStyle w:val="9"/>
        <w:spacing w:after="0" w:line="249" w:lineRule="auto"/>
        <w:rPr>
          <w:rFonts w:hint="eastAsia"/>
          <w:color w:val="231F20"/>
        </w:rPr>
      </w:pPr>
    </w:p>
    <w:p w14:paraId="0C475847">
      <w:pPr>
        <w:pStyle w:val="9"/>
        <w:spacing w:after="0" w:line="249" w:lineRule="auto"/>
        <w:rPr>
          <w:rFonts w:hint="eastAsia"/>
          <w:color w:val="231F20"/>
        </w:rPr>
      </w:pPr>
      <w:r>
        <w:rPr>
          <w:rFonts w:hint="eastAsia"/>
          <w:color w:val="231F20"/>
        </w:rPr>
        <w:t>For a number of reasons, I favor the latter view.</w:t>
      </w:r>
    </w:p>
    <w:p w14:paraId="050C1A3A">
      <w:pPr>
        <w:pStyle w:val="9"/>
        <w:spacing w:after="0" w:line="249" w:lineRule="auto"/>
        <w:rPr>
          <w:rFonts w:hint="eastAsia"/>
          <w:color w:val="231F20"/>
        </w:rPr>
      </w:pPr>
      <w:r>
        <w:rPr>
          <w:rFonts w:hint="eastAsia"/>
          <w:color w:val="231F20"/>
        </w:rPr>
        <w:t>出于一些原因，我偏爱后一种观点。</w:t>
      </w:r>
    </w:p>
    <w:p w14:paraId="6B45550D">
      <w:pPr>
        <w:pStyle w:val="9"/>
        <w:spacing w:after="0" w:line="249" w:lineRule="auto"/>
        <w:rPr>
          <w:rFonts w:hint="eastAsia"/>
          <w:color w:val="231F20"/>
        </w:rPr>
      </w:pPr>
    </w:p>
    <w:p w14:paraId="22F850FA">
      <w:pPr>
        <w:pStyle w:val="9"/>
        <w:spacing w:after="0" w:line="249" w:lineRule="auto"/>
        <w:rPr>
          <w:rFonts w:hint="eastAsia"/>
          <w:color w:val="231F20"/>
        </w:rPr>
      </w:pPr>
      <w:r>
        <w:rPr>
          <w:rFonts w:hint="eastAsia"/>
          <w:color w:val="231F20"/>
        </w:rPr>
        <w:t>First, there is a natural presumption that this cycle will again give us the whole course of the High King’s reign, seeing that the previous three (not to mention the next two) do this very thing.</w:t>
      </w:r>
    </w:p>
    <w:p w14:paraId="31E5EA09">
      <w:pPr>
        <w:pStyle w:val="9"/>
        <w:spacing w:after="0" w:line="249" w:lineRule="auto"/>
        <w:rPr>
          <w:rFonts w:hint="eastAsia"/>
          <w:color w:val="231F20"/>
        </w:rPr>
      </w:pPr>
      <w:r>
        <w:rPr>
          <w:rFonts w:hint="eastAsia"/>
          <w:color w:val="231F20"/>
        </w:rPr>
        <w:t>首先，有一个自然的推断，即这个循环将再次为我们呈现至高君王统治的全过程，因为前三个（更不用说接下来的两个）都正是这样做的。</w:t>
      </w:r>
    </w:p>
    <w:p w14:paraId="69B1DD6F">
      <w:pPr>
        <w:pStyle w:val="9"/>
        <w:spacing w:after="0" w:line="249" w:lineRule="auto"/>
        <w:rPr>
          <w:rFonts w:hint="eastAsia"/>
          <w:color w:val="231F20"/>
        </w:rPr>
      </w:pPr>
    </w:p>
    <w:p w14:paraId="51839FBF">
      <w:pPr>
        <w:pStyle w:val="9"/>
        <w:spacing w:after="0" w:line="249" w:lineRule="auto"/>
        <w:rPr>
          <w:rFonts w:hint="eastAsia"/>
          <w:color w:val="231F20"/>
        </w:rPr>
      </w:pPr>
      <w:r>
        <w:rPr>
          <w:rFonts w:hint="eastAsia"/>
          <w:color w:val="231F20"/>
        </w:rPr>
        <w:t>Secondly, the first four bowl judgments (16:2-11) closely parallel the first four trumpets judgments (8:7-12), suggesting that they both cover the same time frame.</w:t>
      </w:r>
    </w:p>
    <w:p w14:paraId="0CABED22">
      <w:pPr>
        <w:pStyle w:val="9"/>
        <w:spacing w:after="0" w:line="249" w:lineRule="auto"/>
        <w:rPr>
          <w:rFonts w:hint="eastAsia"/>
          <w:color w:val="231F20"/>
        </w:rPr>
      </w:pPr>
      <w:r>
        <w:rPr>
          <w:rFonts w:hint="eastAsia"/>
          <w:color w:val="231F20"/>
        </w:rPr>
        <w:t>其次，前四碗的审判（16:2-11）与前四号的审判（8:7-12）密切平行，这表明它们都涵盖了相同的时间范围。</w:t>
      </w:r>
    </w:p>
    <w:p w14:paraId="415B2E2A">
      <w:pPr>
        <w:pStyle w:val="9"/>
        <w:spacing w:after="0" w:line="249" w:lineRule="auto"/>
        <w:rPr>
          <w:rFonts w:hint="eastAsia"/>
          <w:color w:val="231F20"/>
        </w:rPr>
      </w:pPr>
    </w:p>
    <w:p w14:paraId="14608C9B">
      <w:pPr>
        <w:pStyle w:val="9"/>
        <w:spacing w:after="0" w:line="249" w:lineRule="auto"/>
        <w:rPr>
          <w:rFonts w:hint="eastAsia"/>
          <w:color w:val="231F20"/>
        </w:rPr>
      </w:pPr>
      <w:r>
        <w:rPr>
          <w:rFonts w:hint="eastAsia"/>
          <w:color w:val="231F20"/>
        </w:rPr>
        <w:t>Thirdly, it is almost impossible to see how the world-system could mount the Last Battle (16:12-16) if the previous four bowl judgments, more or less literally interpreted, had already fallen upon the earth, or if they were falling upon it concurrently with a final assault against the Church.</w:t>
      </w:r>
    </w:p>
    <w:p w14:paraId="6B2CD505">
      <w:pPr>
        <w:pStyle w:val="9"/>
        <w:spacing w:after="0" w:line="249" w:lineRule="auto"/>
        <w:rPr>
          <w:rFonts w:hint="eastAsia"/>
          <w:color w:val="231F20"/>
        </w:rPr>
      </w:pPr>
      <w:r>
        <w:rPr>
          <w:rFonts w:hint="eastAsia"/>
          <w:color w:val="231F20"/>
        </w:rPr>
        <w:t>第三，如果前四碗的审判，或多或少按字面解释，已经降临在地上，或者如果它们与对教会的最后攻击同时降临，那么几乎不可能看到世界体系如何能够发动末日争战（16:12-16）。</w:t>
      </w:r>
    </w:p>
    <w:p w14:paraId="1E0E9ADB">
      <w:pPr>
        <w:pStyle w:val="9"/>
        <w:spacing w:after="0" w:line="249" w:lineRule="auto"/>
        <w:rPr>
          <w:rFonts w:hint="eastAsia"/>
          <w:color w:val="231F20"/>
        </w:rPr>
      </w:pPr>
    </w:p>
    <w:p w14:paraId="71D50896">
      <w:pPr>
        <w:pStyle w:val="9"/>
        <w:spacing w:after="0" w:line="249" w:lineRule="auto"/>
        <w:rPr>
          <w:rFonts w:hint="eastAsia"/>
          <w:color w:val="231F20"/>
        </w:rPr>
      </w:pPr>
      <w:r>
        <w:rPr>
          <w:rFonts w:hint="eastAsia"/>
          <w:color w:val="231F20"/>
        </w:rPr>
        <w:t>And finally, the text itself seems quite clearly to teach that these judgments are poured out upon all the impenitents who worship the Beast (16:2), persecute the Church (16:5-6), and blaspheme the God who is now sending them to their death (16:9, 11).</w:t>
      </w:r>
    </w:p>
    <w:p w14:paraId="7E62AA90">
      <w:pPr>
        <w:pStyle w:val="9"/>
        <w:spacing w:after="0" w:line="249" w:lineRule="auto"/>
        <w:rPr>
          <w:rFonts w:hint="eastAsia"/>
          <w:color w:val="231F20"/>
        </w:rPr>
      </w:pPr>
      <w:r>
        <w:rPr>
          <w:rFonts w:hint="eastAsia"/>
          <w:color w:val="231F20"/>
        </w:rPr>
        <w:t>最后，经文本身似乎非常清楚地教导，这些审判是倾倒在所有敬拜兽（16:2）、迫害教会（16:5-6）和亵渎那位现在正将他们送入死亡的上帝（16:9, 11）的不悔改之人身上的。</w:t>
      </w:r>
    </w:p>
    <w:p w14:paraId="69813511">
      <w:pPr>
        <w:pStyle w:val="9"/>
        <w:spacing w:after="0" w:line="249" w:lineRule="auto"/>
        <w:rPr>
          <w:rFonts w:hint="eastAsia"/>
          <w:color w:val="231F20"/>
        </w:rPr>
      </w:pPr>
    </w:p>
    <w:p w14:paraId="48C0C4E7">
      <w:pPr>
        <w:pStyle w:val="9"/>
        <w:spacing w:after="0" w:line="249" w:lineRule="auto"/>
        <w:rPr>
          <w:rFonts w:hint="eastAsia"/>
          <w:color w:val="231F20"/>
        </w:rPr>
      </w:pPr>
      <w:r>
        <w:rPr>
          <w:rFonts w:hint="eastAsia"/>
          <w:color w:val="231F20"/>
        </w:rPr>
        <w:t>It appears, then, that the focus here is indeed upon all of God’s final judgments as they are administered throughout the entire Era of Proclamation, not just at the end.</w:t>
      </w:r>
    </w:p>
    <w:p w14:paraId="4D872EF0">
      <w:pPr>
        <w:pStyle w:val="9"/>
        <w:spacing w:after="0" w:line="249" w:lineRule="auto"/>
        <w:rPr>
          <w:rFonts w:hint="eastAsia"/>
          <w:color w:val="231F20"/>
        </w:rPr>
      </w:pPr>
      <w:r>
        <w:rPr>
          <w:rFonts w:hint="eastAsia"/>
          <w:color w:val="231F20"/>
        </w:rPr>
        <w:t>因此，看来这里的焦点确实是上帝在整个宣讲时代施行的所有最后审判，而不仅仅是在末了。</w:t>
      </w:r>
    </w:p>
    <w:p w14:paraId="343F5E7F">
      <w:pPr>
        <w:pStyle w:val="9"/>
        <w:spacing w:after="0" w:line="249" w:lineRule="auto"/>
        <w:rPr>
          <w:rFonts w:hint="eastAsia"/>
          <w:color w:val="231F20"/>
        </w:rPr>
      </w:pPr>
    </w:p>
    <w:p w14:paraId="4F9DEC43">
      <w:pPr>
        <w:pStyle w:val="9"/>
        <w:spacing w:after="0" w:line="249" w:lineRule="auto"/>
        <w:rPr>
          <w:rFonts w:hint="eastAsia"/>
          <w:color w:val="231F20"/>
        </w:rPr>
      </w:pPr>
      <w:r>
        <w:rPr>
          <w:rFonts w:hint="eastAsia"/>
          <w:color w:val="231F20"/>
        </w:rPr>
        <w:t>Keeping these preliminaries in mind, let us now briefly mine this cycle for further insights into the course of the High King’s heavenly reign.</w:t>
      </w:r>
    </w:p>
    <w:p w14:paraId="1C4CF448">
      <w:pPr>
        <w:pStyle w:val="9"/>
        <w:spacing w:after="0" w:line="249" w:lineRule="auto"/>
        <w:rPr>
          <w:rFonts w:hint="eastAsia"/>
          <w:color w:val="231F20"/>
        </w:rPr>
      </w:pPr>
      <w:r>
        <w:rPr>
          <w:rFonts w:hint="eastAsia"/>
          <w:color w:val="231F20"/>
        </w:rPr>
        <w:t>记住这些初步的考虑，让我们现在简要地从这个循环中挖掘更多关于至高君王属天统治进程的洞见。</w:t>
      </w:r>
    </w:p>
    <w:p w14:paraId="3C4DDA63">
      <w:pPr>
        <w:pStyle w:val="9"/>
        <w:spacing w:after="0" w:line="249" w:lineRule="auto"/>
        <w:rPr>
          <w:rFonts w:hint="eastAsia"/>
          <w:color w:val="231F20"/>
        </w:rPr>
      </w:pPr>
    </w:p>
    <w:p w14:paraId="45DA2654">
      <w:pPr>
        <w:pStyle w:val="9"/>
        <w:spacing w:after="0" w:line="249" w:lineRule="auto"/>
        <w:rPr>
          <w:rFonts w:hint="eastAsia"/>
          <w:color w:val="231F20"/>
        </w:rPr>
      </w:pPr>
      <w:r>
        <w:rPr>
          <w:rFonts w:hint="eastAsia"/>
          <w:color w:val="231F20"/>
        </w:rPr>
        <w:t>As we just saw, 15:1 serves as a heading in which the theme of the coming cycle is stated: the final outpourings of God’s wrath, both during and at the end of the Era of Proclamation.</w:t>
      </w:r>
    </w:p>
    <w:p w14:paraId="595D0F6A">
      <w:pPr>
        <w:pStyle w:val="9"/>
        <w:spacing w:after="0" w:line="249" w:lineRule="auto"/>
        <w:rPr>
          <w:rFonts w:hint="eastAsia"/>
          <w:color w:val="231F20"/>
        </w:rPr>
      </w:pPr>
      <w:r>
        <w:rPr>
          <w:rFonts w:hint="eastAsia"/>
          <w:color w:val="231F20"/>
        </w:rPr>
        <w:t>正如我们刚才看到的，15:1作为一个标题，陈述了即将到来的循环的主题：上帝忿怒最后的倾倒，无论是在宣讲时代期间还是在末了。</w:t>
      </w:r>
    </w:p>
    <w:p w14:paraId="39AAAB5E">
      <w:pPr>
        <w:pStyle w:val="9"/>
        <w:spacing w:after="0" w:line="249" w:lineRule="auto"/>
        <w:rPr>
          <w:rFonts w:hint="eastAsia"/>
          <w:color w:val="231F20"/>
        </w:rPr>
      </w:pPr>
    </w:p>
    <w:p w14:paraId="7198A969">
      <w:pPr>
        <w:pStyle w:val="9"/>
        <w:spacing w:after="0" w:line="249" w:lineRule="auto"/>
        <w:rPr>
          <w:rFonts w:hint="eastAsia"/>
          <w:color w:val="231F20"/>
        </w:rPr>
      </w:pPr>
      <w:r>
        <w:rPr>
          <w:rFonts w:hint="eastAsia"/>
          <w:color w:val="231F20"/>
        </w:rPr>
        <w:t>Observe here that John once again beholds a great and marvelous sign (1:1, 12:1).</w:t>
      </w:r>
    </w:p>
    <w:p w14:paraId="607D6DE5">
      <w:pPr>
        <w:pStyle w:val="9"/>
        <w:spacing w:after="0" w:line="249" w:lineRule="auto"/>
        <w:rPr>
          <w:rFonts w:hint="eastAsia"/>
          <w:color w:val="231F20"/>
        </w:rPr>
      </w:pPr>
      <w:r>
        <w:rPr>
          <w:rFonts w:hint="eastAsia"/>
          <w:color w:val="231F20"/>
        </w:rPr>
        <w:t>请注意，约翰在这里再次看到了一个伟大而奇妙的异象（1:1, 12:1）。</w:t>
      </w:r>
    </w:p>
    <w:p w14:paraId="78E85D87">
      <w:pPr>
        <w:pStyle w:val="9"/>
        <w:spacing w:after="0" w:line="249" w:lineRule="auto"/>
        <w:rPr>
          <w:rFonts w:hint="eastAsia"/>
          <w:color w:val="231F20"/>
        </w:rPr>
      </w:pPr>
    </w:p>
    <w:p w14:paraId="598408C1">
      <w:pPr>
        <w:pStyle w:val="9"/>
        <w:spacing w:after="0" w:line="249" w:lineRule="auto"/>
        <w:rPr>
          <w:rFonts w:hint="eastAsia"/>
          <w:color w:val="231F20"/>
        </w:rPr>
      </w:pPr>
      <w:r>
        <w:rPr>
          <w:rFonts w:hint="eastAsia"/>
          <w:color w:val="231F20"/>
        </w:rPr>
        <w:t>As Dennis Johnson well remarks, this implies that his message comes to us in symbolic impressions, not photographic reproductions.11</w:t>
      </w:r>
    </w:p>
    <w:p w14:paraId="613468D3">
      <w:pPr>
        <w:pStyle w:val="9"/>
        <w:spacing w:after="0" w:line="249" w:lineRule="auto"/>
        <w:rPr>
          <w:rFonts w:hint="eastAsia"/>
          <w:color w:val="231F20"/>
        </w:rPr>
      </w:pPr>
      <w:r>
        <w:rPr>
          <w:rFonts w:hint="eastAsia"/>
          <w:color w:val="231F20"/>
        </w:rPr>
        <w:t>正如丹尼斯·约翰逊所恰当评论的，这意味着他的信息是以象征性的印象，而非照片般的复制品传达给我们的。11</w:t>
      </w:r>
    </w:p>
    <w:p w14:paraId="1A38F501">
      <w:pPr>
        <w:pStyle w:val="9"/>
        <w:spacing w:after="0" w:line="249" w:lineRule="auto"/>
        <w:rPr>
          <w:rFonts w:hint="eastAsia"/>
          <w:color w:val="231F20"/>
        </w:rPr>
      </w:pPr>
    </w:p>
    <w:p w14:paraId="1F587D55">
      <w:pPr>
        <w:pStyle w:val="9"/>
        <w:spacing w:after="0" w:line="249" w:lineRule="auto"/>
        <w:rPr>
          <w:rFonts w:hint="eastAsia"/>
          <w:color w:val="231F20"/>
        </w:rPr>
      </w:pPr>
      <w:r>
        <w:rPr>
          <w:rFonts w:hint="eastAsia"/>
          <w:color w:val="231F20"/>
        </w:rPr>
        <w:t>Strikingly, 15:2-4 gives us yet another glimpse of the saints in glory, but this time at the very head of the cycle, rather than at its conclusion.</w:t>
      </w:r>
    </w:p>
    <w:p w14:paraId="32ECFD2E">
      <w:pPr>
        <w:pStyle w:val="9"/>
        <w:spacing w:after="0" w:line="249" w:lineRule="auto"/>
        <w:rPr>
          <w:rFonts w:hint="eastAsia"/>
          <w:color w:val="231F20"/>
        </w:rPr>
      </w:pPr>
      <w:r>
        <w:rPr>
          <w:rFonts w:hint="eastAsia"/>
          <w:color w:val="231F20"/>
        </w:rPr>
        <w:t>引人注目的是，15:2-4又给了我们一瞥在荣耀中的圣徒，但这次是在循环的开头，而不是在结尾。</w:t>
      </w:r>
    </w:p>
    <w:p w14:paraId="28FB1A9E">
      <w:pPr>
        <w:pStyle w:val="9"/>
        <w:spacing w:after="0" w:line="249" w:lineRule="auto"/>
        <w:rPr>
          <w:rFonts w:hint="eastAsia"/>
          <w:color w:val="231F20"/>
        </w:rPr>
      </w:pPr>
    </w:p>
    <w:p w14:paraId="4135437F">
      <w:pPr>
        <w:pStyle w:val="9"/>
        <w:spacing w:after="0" w:line="249" w:lineRule="auto"/>
        <w:rPr>
          <w:rFonts w:hint="eastAsia"/>
          <w:color w:val="231F20"/>
        </w:rPr>
      </w:pPr>
      <w:r>
        <w:rPr>
          <w:rFonts w:hint="eastAsia"/>
          <w:color w:val="231F20"/>
        </w:rPr>
        <w:t>The contents of the text itself help us to understand why.</w:t>
      </w:r>
    </w:p>
    <w:p w14:paraId="22FDCFB7">
      <w:pPr>
        <w:pStyle w:val="9"/>
        <w:spacing w:after="0" w:line="249" w:lineRule="auto"/>
        <w:rPr>
          <w:rFonts w:hint="eastAsia"/>
          <w:color w:val="231F20"/>
        </w:rPr>
      </w:pPr>
      <w:r>
        <w:rPr>
          <w:rFonts w:hint="eastAsia"/>
          <w:color w:val="231F20"/>
        </w:rPr>
        <w:t>经文本身的内容帮助我们理解原因。</w:t>
      </w:r>
    </w:p>
    <w:p w14:paraId="0699E498">
      <w:pPr>
        <w:pStyle w:val="9"/>
        <w:spacing w:after="0" w:line="249" w:lineRule="auto"/>
        <w:rPr>
          <w:rFonts w:hint="eastAsia"/>
          <w:color w:val="231F20"/>
        </w:rPr>
      </w:pPr>
    </w:p>
    <w:p w14:paraId="5F9A02FF">
      <w:pPr>
        <w:pStyle w:val="9"/>
        <w:spacing w:after="0" w:line="249" w:lineRule="auto"/>
        <w:rPr>
          <w:rFonts w:hint="eastAsia"/>
          <w:color w:val="231F20"/>
        </w:rPr>
      </w:pPr>
      <w:r>
        <w:rPr>
          <w:rFonts w:hint="eastAsia"/>
          <w:color w:val="231F20"/>
        </w:rPr>
        <w:t>Here we have a latter- day Song of Moses; the eschatological celebration of all that was typified by Israel’s miraculous deliverance at the Red Sea; the onset of the Church’s eternal glorying in the righteous acts of God and the Lamb, who, at the Parousia, brought them safely through the Red Sea of God’s Judgment, deposited them securely on the shores of the World to Come, and engulfed their enemies in a fiery cataclysm of divine retribution (Exodus 15:1f).</w:t>
      </w:r>
    </w:p>
    <w:p w14:paraId="31083F89">
      <w:pPr>
        <w:pStyle w:val="9"/>
        <w:spacing w:after="0" w:line="249" w:lineRule="auto"/>
        <w:rPr>
          <w:rFonts w:hint="eastAsia"/>
          <w:color w:val="231F20"/>
        </w:rPr>
      </w:pPr>
      <w:r>
        <w:rPr>
          <w:rFonts w:hint="eastAsia"/>
          <w:color w:val="231F20"/>
        </w:rPr>
        <w:t>在这里我们有一首末后的摩西之歌；对以色列在红海奇迹般得救所预表的一切的末世性庆祝；教会开始永远荣耀上帝和羔羊的公义作为，祂们在主临（Parousia）时，带领他们安全地穿过上帝审判的红海，将他们稳妥地安置在将来世界的岸上，并用神圣报应的烈火灾变吞没了他们的仇敌（出埃及记15:1及以下）。</w:t>
      </w:r>
    </w:p>
    <w:p w14:paraId="2BF918C3">
      <w:pPr>
        <w:pStyle w:val="9"/>
        <w:spacing w:after="0" w:line="249" w:lineRule="auto"/>
        <w:rPr>
          <w:rFonts w:hint="eastAsia"/>
          <w:color w:val="231F20"/>
        </w:rPr>
      </w:pPr>
    </w:p>
    <w:p w14:paraId="54F1E6B1">
      <w:pPr>
        <w:pStyle w:val="9"/>
        <w:spacing w:after="0" w:line="249" w:lineRule="auto"/>
        <w:rPr>
          <w:rFonts w:hint="eastAsia"/>
          <w:color w:val="231F20"/>
        </w:rPr>
      </w:pPr>
      <w:r>
        <w:rPr>
          <w:rFonts w:hint="eastAsia"/>
          <w:color w:val="231F20"/>
        </w:rPr>
        <w:t>In the visions immediately ahead, we will read—with fear and trembling—of many such (final) judgments.</w:t>
      </w:r>
    </w:p>
    <w:p w14:paraId="72DCC8C9">
      <w:pPr>
        <w:pStyle w:val="9"/>
        <w:spacing w:after="0" w:line="249" w:lineRule="auto"/>
        <w:rPr>
          <w:rFonts w:hint="eastAsia"/>
          <w:color w:val="231F20"/>
        </w:rPr>
      </w:pPr>
      <w:r>
        <w:rPr>
          <w:rFonts w:hint="eastAsia"/>
          <w:color w:val="231F20"/>
        </w:rPr>
        <w:t>在紧接其后的异象中，我们将带着恐惧和战兢读到许多这样的（最后）审判。</w:t>
      </w:r>
    </w:p>
    <w:p w14:paraId="4EEAC0E1">
      <w:pPr>
        <w:pStyle w:val="9"/>
        <w:spacing w:after="0" w:line="249" w:lineRule="auto"/>
        <w:rPr>
          <w:rFonts w:hint="eastAsia"/>
          <w:color w:val="231F20"/>
        </w:rPr>
      </w:pPr>
    </w:p>
    <w:p w14:paraId="24644815">
      <w:pPr>
        <w:pStyle w:val="9"/>
        <w:spacing w:after="0" w:line="249" w:lineRule="auto"/>
        <w:rPr>
          <w:rFonts w:hint="eastAsia"/>
          <w:color w:val="231F20"/>
        </w:rPr>
      </w:pPr>
      <w:r>
        <w:rPr>
          <w:rFonts w:hint="eastAsia"/>
          <w:color w:val="231F20"/>
        </w:rPr>
        <w:t>Here the suffering Church is taught to expect them, understand them, preach them, and—so much as may be possible on this side of glory—celebrate them (15:3,4).</w:t>
      </w:r>
    </w:p>
    <w:p w14:paraId="06759F84">
      <w:pPr>
        <w:pStyle w:val="9"/>
        <w:spacing w:after="0" w:line="249" w:lineRule="auto"/>
        <w:rPr>
          <w:rFonts w:hint="eastAsia"/>
          <w:color w:val="231F20"/>
        </w:rPr>
      </w:pPr>
      <w:r>
        <w:rPr>
          <w:rFonts w:hint="eastAsia"/>
          <w:color w:val="231F20"/>
        </w:rPr>
        <w:t>在这里，受苦的教会受教导去期待它们，理解它们，宣讲它们，并且——在荣耀的这一边尽可能地——庆祝它们（15:3,4）。</w:t>
      </w:r>
    </w:p>
    <w:p w14:paraId="10C7E3EC">
      <w:pPr>
        <w:pStyle w:val="9"/>
        <w:spacing w:after="0" w:line="249" w:lineRule="auto"/>
        <w:rPr>
          <w:rFonts w:hint="eastAsia"/>
          <w:color w:val="231F20"/>
        </w:rPr>
      </w:pPr>
    </w:p>
    <w:p w14:paraId="6EB1B49B">
      <w:pPr>
        <w:pStyle w:val="9"/>
        <w:spacing w:after="0" w:line="249" w:lineRule="auto"/>
        <w:rPr>
          <w:rFonts w:hint="eastAsia"/>
          <w:color w:val="231F20"/>
        </w:rPr>
      </w:pPr>
      <w:r>
        <w:rPr>
          <w:rFonts w:hint="eastAsia"/>
          <w:color w:val="231F20"/>
        </w:rPr>
        <w:t>In richly symbolic OT language, 15:5-8 shows us God preparing to administer his final judgments against impenitent humanity.</w:t>
      </w:r>
    </w:p>
    <w:p w14:paraId="152E39E3">
      <w:pPr>
        <w:pStyle w:val="9"/>
        <w:spacing w:after="0" w:line="249" w:lineRule="auto"/>
        <w:rPr>
          <w:rFonts w:hint="eastAsia"/>
          <w:color w:val="231F20"/>
        </w:rPr>
      </w:pPr>
      <w:r>
        <w:rPr>
          <w:rFonts w:hint="eastAsia"/>
          <w:color w:val="231F20"/>
        </w:rPr>
        <w:t>在丰富的象征性旧约语言中，15:5-8向我们展示了上帝预备施行祂对不悔改人类的最后审判。</w:t>
      </w:r>
    </w:p>
    <w:p w14:paraId="40A7D65A">
      <w:pPr>
        <w:pStyle w:val="9"/>
        <w:spacing w:after="0" w:line="249" w:lineRule="auto"/>
        <w:rPr>
          <w:rFonts w:hint="eastAsia"/>
          <w:color w:val="231F20"/>
        </w:rPr>
      </w:pPr>
    </w:p>
    <w:p w14:paraId="36C87089">
      <w:pPr>
        <w:pStyle w:val="9"/>
        <w:spacing w:after="0" w:line="249" w:lineRule="auto"/>
        <w:rPr>
          <w:rFonts w:hint="eastAsia"/>
          <w:color w:val="231F20"/>
        </w:rPr>
      </w:pPr>
      <w:r>
        <w:rPr>
          <w:rFonts w:hint="eastAsia"/>
          <w:color w:val="231F20"/>
        </w:rPr>
        <w:t>Importantly, the angels who are about to pour them out look much like Christ (15:6, 1:13).</w:t>
      </w:r>
    </w:p>
    <w:p w14:paraId="42A1FE96">
      <w:pPr>
        <w:pStyle w:val="9"/>
        <w:spacing w:after="0" w:line="249" w:lineRule="auto"/>
        <w:rPr>
          <w:rFonts w:hint="eastAsia"/>
          <w:color w:val="231F20"/>
        </w:rPr>
      </w:pPr>
      <w:r>
        <w:rPr>
          <w:rFonts w:hint="eastAsia"/>
          <w:color w:val="231F20"/>
        </w:rPr>
        <w:t>重要的是，那些即将倾倒审判的天使看起来很像基督（15:6, 1:13）。</w:t>
      </w:r>
    </w:p>
    <w:p w14:paraId="799F64AB">
      <w:pPr>
        <w:pStyle w:val="9"/>
        <w:spacing w:after="0" w:line="249" w:lineRule="auto"/>
        <w:rPr>
          <w:rFonts w:hint="eastAsia"/>
          <w:color w:val="231F20"/>
        </w:rPr>
      </w:pPr>
    </w:p>
    <w:p w14:paraId="50E6FCF0">
      <w:pPr>
        <w:pStyle w:val="9"/>
        <w:spacing w:after="0" w:line="249" w:lineRule="auto"/>
        <w:rPr>
          <w:rFonts w:hint="eastAsia"/>
          <w:color w:val="231F20"/>
        </w:rPr>
      </w:pPr>
      <w:r>
        <w:rPr>
          <w:rFonts w:hint="eastAsia"/>
          <w:color w:val="231F20"/>
        </w:rPr>
        <w:t>This hints at what we saw earlier: All throughout the Era of Proclamation, the Father redeems and judges the world by the hand of the High King of Heaven (6:1ff).</w:t>
      </w:r>
    </w:p>
    <w:p w14:paraId="0E4E7333">
      <w:pPr>
        <w:pStyle w:val="9"/>
        <w:spacing w:after="0" w:line="249" w:lineRule="auto"/>
        <w:rPr>
          <w:rFonts w:hint="eastAsia"/>
          <w:color w:val="231F20"/>
        </w:rPr>
      </w:pPr>
      <w:r>
        <w:rPr>
          <w:rFonts w:hint="eastAsia"/>
          <w:color w:val="231F20"/>
        </w:rPr>
        <w:t>这暗示了我们先前所见的：在整个宣讲时代，父借着天上至高君王的手救赎和审判世界（6:1及以下）。</w:t>
      </w:r>
    </w:p>
    <w:p w14:paraId="05C28CBB">
      <w:pPr>
        <w:pStyle w:val="9"/>
        <w:spacing w:after="0" w:line="249" w:lineRule="auto"/>
        <w:rPr>
          <w:rFonts w:hint="eastAsia"/>
          <w:color w:val="231F20"/>
        </w:rPr>
      </w:pPr>
    </w:p>
    <w:p w14:paraId="3F272C89">
      <w:pPr>
        <w:pStyle w:val="9"/>
        <w:spacing w:after="0" w:line="249" w:lineRule="auto"/>
        <w:rPr>
          <w:rFonts w:hint="eastAsia"/>
          <w:color w:val="231F20"/>
        </w:rPr>
      </w:pPr>
      <w:r>
        <w:rPr>
          <w:rFonts w:hint="eastAsia"/>
          <w:color w:val="231F20"/>
        </w:rPr>
        <w:t>In the recurrent use of the number of completeness, we see that these are indeed final judgments: Seven angels are about to pour out seven plagues from seven bowls.</w:t>
      </w:r>
    </w:p>
    <w:p w14:paraId="2655F08B">
      <w:pPr>
        <w:pStyle w:val="9"/>
        <w:spacing w:after="0" w:line="249" w:lineRule="auto"/>
        <w:rPr>
          <w:rFonts w:hint="eastAsia"/>
          <w:color w:val="231F20"/>
        </w:rPr>
      </w:pPr>
      <w:r>
        <w:rPr>
          <w:rFonts w:hint="eastAsia"/>
          <w:color w:val="231F20"/>
        </w:rPr>
        <w:t>在反复使用完全数的情况下，我们看到这些确实是最后的审判：七位天使将要从七个碗中倾倒七样灾。</w:t>
      </w:r>
    </w:p>
    <w:p w14:paraId="10805582">
      <w:pPr>
        <w:pStyle w:val="9"/>
        <w:spacing w:after="0" w:line="249" w:lineRule="auto"/>
        <w:rPr>
          <w:rFonts w:hint="eastAsia"/>
          <w:color w:val="231F20"/>
        </w:rPr>
      </w:pPr>
    </w:p>
    <w:p w14:paraId="0DD750BA">
      <w:pPr>
        <w:pStyle w:val="9"/>
        <w:spacing w:after="0" w:line="249" w:lineRule="auto"/>
        <w:rPr>
          <w:rFonts w:hint="eastAsia"/>
          <w:color w:val="231F20"/>
        </w:rPr>
      </w:pPr>
      <w:r>
        <w:rPr>
          <w:rFonts w:hint="eastAsia"/>
          <w:color w:val="231F20"/>
        </w:rPr>
        <w:t>We observe the same finality in the fact that the bowls are full of the wrath of God, and that no one is able to enter his sanctuary (presumably to plead for mercy) until the seven plagues have run their course (17:7-8; Jer. 7:16, 11:14, 14:11, 1 John 5:16).</w:t>
      </w:r>
    </w:p>
    <w:p w14:paraId="6F95E69A">
      <w:pPr>
        <w:pStyle w:val="9"/>
        <w:spacing w:after="0" w:line="249" w:lineRule="auto"/>
        <w:rPr>
          <w:rFonts w:hint="eastAsia"/>
          <w:color w:val="231F20"/>
        </w:rPr>
      </w:pPr>
      <w:r>
        <w:rPr>
          <w:rFonts w:hint="eastAsia"/>
          <w:color w:val="231F20"/>
        </w:rPr>
        <w:t>我们在碗里盛满了上帝的忿怒这一事实中观察到同样的最终性，并且在七灾完毕之前，没有人能进祂的圣所（大概是为求怜悯）（17:7-8；耶7:16, 11:14, 14:11，约壹5:16）。</w:t>
      </w:r>
    </w:p>
    <w:p w14:paraId="44D16D6E">
      <w:pPr>
        <w:pStyle w:val="9"/>
        <w:spacing w:after="0" w:line="249" w:lineRule="auto"/>
        <w:rPr>
          <w:rFonts w:hint="eastAsia"/>
          <w:color w:val="231F20"/>
        </w:rPr>
      </w:pPr>
    </w:p>
    <w:p w14:paraId="5E461ADC">
      <w:pPr>
        <w:pStyle w:val="9"/>
        <w:spacing w:after="0" w:line="249" w:lineRule="auto"/>
        <w:rPr>
          <w:rFonts w:hint="eastAsia"/>
          <w:color w:val="231F20"/>
        </w:rPr>
      </w:pPr>
      <w:r>
        <w:rPr>
          <w:rFonts w:hint="eastAsia"/>
          <w:color w:val="231F20"/>
        </w:rPr>
        <w:t>In 16:1, we hear a heavenly voice—likely that of Christ—sending the seven angels to their task.</w:t>
      </w:r>
    </w:p>
    <w:p w14:paraId="46518C20">
      <w:pPr>
        <w:pStyle w:val="9"/>
        <w:spacing w:after="0" w:line="249" w:lineRule="auto"/>
        <w:rPr>
          <w:rFonts w:hint="eastAsia"/>
          <w:color w:val="231F20"/>
        </w:rPr>
      </w:pPr>
      <w:r>
        <w:rPr>
          <w:rFonts w:hint="eastAsia"/>
          <w:color w:val="231F20"/>
        </w:rPr>
        <w:t>在16:1，我们听到一个天上的声音——很可能是基督的声音——差遣七位天使去执行他们的任务。</w:t>
      </w:r>
    </w:p>
    <w:p w14:paraId="5C37C8DA">
      <w:pPr>
        <w:pStyle w:val="9"/>
        <w:spacing w:after="0" w:line="249" w:lineRule="auto"/>
        <w:rPr>
          <w:rFonts w:hint="eastAsia"/>
          <w:color w:val="231F20"/>
        </w:rPr>
      </w:pPr>
    </w:p>
    <w:p w14:paraId="355BA804">
      <w:pPr>
        <w:pStyle w:val="9"/>
        <w:spacing w:after="0" w:line="249" w:lineRule="auto"/>
        <w:rPr>
          <w:rFonts w:hint="eastAsia"/>
          <w:color w:val="231F20"/>
        </w:rPr>
      </w:pPr>
      <w:r>
        <w:rPr>
          <w:rFonts w:hint="eastAsia"/>
          <w:color w:val="231F20"/>
        </w:rPr>
        <w:t>In verses 2-11 there follows a description of the outpouring of the first five bowls, along with their consequences.</w:t>
      </w:r>
    </w:p>
    <w:p w14:paraId="3632DB3E">
      <w:pPr>
        <w:pStyle w:val="9"/>
        <w:spacing w:after="0" w:line="249" w:lineRule="auto"/>
        <w:rPr>
          <w:rFonts w:hint="eastAsia"/>
          <w:color w:val="231F20"/>
        </w:rPr>
      </w:pPr>
      <w:r>
        <w:rPr>
          <w:rFonts w:hint="eastAsia"/>
          <w:color w:val="231F20"/>
        </w:rPr>
        <w:t>在第2-11节，接着描述了前五个碗的倾倒及其后果。</w:t>
      </w:r>
    </w:p>
    <w:p w14:paraId="53DD16FC">
      <w:pPr>
        <w:pStyle w:val="9"/>
        <w:spacing w:after="0" w:line="249" w:lineRule="auto"/>
        <w:rPr>
          <w:rFonts w:hint="eastAsia"/>
          <w:color w:val="231F20"/>
        </w:rPr>
      </w:pPr>
    </w:p>
    <w:p w14:paraId="108D2629">
      <w:pPr>
        <w:pStyle w:val="9"/>
        <w:spacing w:after="0" w:line="249" w:lineRule="auto"/>
        <w:rPr>
          <w:rFonts w:hint="eastAsia"/>
          <w:color w:val="231F20"/>
        </w:rPr>
      </w:pPr>
      <w:r>
        <w:rPr>
          <w:rFonts w:hint="eastAsia"/>
          <w:color w:val="231F20"/>
        </w:rPr>
        <w:t>Here, the temporal sphere of fulfillment is the entire Era of Proclamation; later, in 16:12-21, it will be the last of the last days.</w:t>
      </w:r>
    </w:p>
    <w:p w14:paraId="3BA50B0A">
      <w:pPr>
        <w:pStyle w:val="9"/>
        <w:spacing w:after="0" w:line="249" w:lineRule="auto"/>
        <w:rPr>
          <w:rFonts w:hint="eastAsia"/>
          <w:color w:val="231F20"/>
        </w:rPr>
      </w:pPr>
      <w:r>
        <w:rPr>
          <w:rFonts w:hint="eastAsia"/>
          <w:color w:val="231F20"/>
        </w:rPr>
        <w:t>在这里，应验的时间范围是整个宣讲时代；稍后，在16:12-21，将是末后的末期。</w:t>
      </w:r>
    </w:p>
    <w:p w14:paraId="47B1ACD9">
      <w:pPr>
        <w:pStyle w:val="9"/>
        <w:spacing w:after="0" w:line="249" w:lineRule="auto"/>
        <w:rPr>
          <w:rFonts w:hint="eastAsia"/>
          <w:color w:val="231F20"/>
        </w:rPr>
      </w:pPr>
    </w:p>
    <w:p w14:paraId="71F71A1A">
      <w:pPr>
        <w:pStyle w:val="9"/>
        <w:spacing w:after="0" w:line="249" w:lineRule="auto"/>
        <w:rPr>
          <w:rFonts w:hint="eastAsia"/>
          <w:color w:val="231F20"/>
        </w:rPr>
      </w:pPr>
      <w:r>
        <w:rPr>
          <w:rFonts w:hint="eastAsia"/>
          <w:color w:val="231F20"/>
        </w:rPr>
        <w:t>As a rule, these judgments are framed in terms of the plagues wrought against ancient Egypt, though in NT times their actual fulfillment is more spiritual than physical (Exodus 7-11, 1 Cor. 15:46).</w:t>
      </w:r>
    </w:p>
    <w:p w14:paraId="58B6A987">
      <w:pPr>
        <w:pStyle w:val="9"/>
        <w:spacing w:after="0" w:line="249" w:lineRule="auto"/>
        <w:rPr>
          <w:rFonts w:hint="eastAsia"/>
          <w:color w:val="231F20"/>
        </w:rPr>
      </w:pPr>
      <w:r>
        <w:rPr>
          <w:rFonts w:hint="eastAsia"/>
          <w:color w:val="231F20"/>
        </w:rPr>
        <w:t>通常，这些审判是根据古埃及所遭受的灾难来构架的，尽管在新约时代，它们的实际应验更多是属灵的而非属物质的（出埃及记7-11，林前15:46）。</w:t>
      </w:r>
    </w:p>
    <w:p w14:paraId="49DCF3B8">
      <w:pPr>
        <w:pStyle w:val="9"/>
        <w:spacing w:after="0" w:line="249" w:lineRule="auto"/>
        <w:rPr>
          <w:rFonts w:hint="eastAsia"/>
          <w:color w:val="231F20"/>
        </w:rPr>
      </w:pPr>
    </w:p>
    <w:p w14:paraId="67D44F40">
      <w:pPr>
        <w:pStyle w:val="9"/>
        <w:spacing w:after="0" w:line="249" w:lineRule="auto"/>
        <w:rPr>
          <w:rFonts w:hint="eastAsia"/>
          <w:color w:val="231F20"/>
        </w:rPr>
      </w:pPr>
      <w:r>
        <w:rPr>
          <w:rFonts w:hint="eastAsia"/>
          <w:color w:val="231F20"/>
        </w:rPr>
        <w:t>Again, these judgments run roughly parallel to the trumpet judgments of Revelation 8-11, though their enlarged scope and increased severity signal final retribution as opposed to preliminary warning.</w:t>
      </w:r>
    </w:p>
    <w:p w14:paraId="6B411745">
      <w:pPr>
        <w:pStyle w:val="9"/>
        <w:spacing w:after="0" w:line="249" w:lineRule="auto"/>
        <w:rPr>
          <w:rFonts w:hint="eastAsia"/>
          <w:color w:val="231F20"/>
        </w:rPr>
      </w:pPr>
      <w:r>
        <w:rPr>
          <w:rFonts w:hint="eastAsia"/>
          <w:color w:val="231F20"/>
        </w:rPr>
        <w:t>再次，这些审判与《启示录》8-11章的号筒审判大致平行，尽管它们扩大的范围和增加的严重性标志着最终的报应，而非初步的警告。</w:t>
      </w:r>
    </w:p>
    <w:p w14:paraId="20C46D99">
      <w:pPr>
        <w:pStyle w:val="9"/>
        <w:spacing w:after="0" w:line="249" w:lineRule="auto"/>
        <w:rPr>
          <w:rFonts w:hint="eastAsia"/>
          <w:color w:val="231F20"/>
        </w:rPr>
      </w:pPr>
    </w:p>
    <w:p w14:paraId="58EE244A">
      <w:pPr>
        <w:pStyle w:val="9"/>
        <w:spacing w:after="0" w:line="249" w:lineRule="auto"/>
        <w:rPr>
          <w:rFonts w:hint="eastAsia"/>
          <w:color w:val="231F20"/>
        </w:rPr>
      </w:pPr>
      <w:r>
        <w:rPr>
          <w:rFonts w:hint="eastAsia"/>
          <w:color w:val="231F20"/>
        </w:rPr>
        <w:t>Interestingly, in no case do the five judgments actually result in physical death.</w:t>
      </w:r>
    </w:p>
    <w:p w14:paraId="271D345F">
      <w:pPr>
        <w:pStyle w:val="9"/>
        <w:spacing w:after="0" w:line="249" w:lineRule="auto"/>
        <w:rPr>
          <w:rFonts w:hint="eastAsia"/>
          <w:color w:val="231F20"/>
        </w:rPr>
      </w:pPr>
      <w:r>
        <w:rPr>
          <w:rFonts w:hint="eastAsia"/>
          <w:color w:val="231F20"/>
        </w:rPr>
        <w:t>有趣的是，这五样审判在任何情况下都没有实际导致肉体死亡。</w:t>
      </w:r>
    </w:p>
    <w:p w14:paraId="7AF66DE3">
      <w:pPr>
        <w:pStyle w:val="9"/>
        <w:spacing w:after="0" w:line="249" w:lineRule="auto"/>
        <w:rPr>
          <w:rFonts w:hint="eastAsia"/>
          <w:color w:val="231F20"/>
        </w:rPr>
      </w:pPr>
    </w:p>
    <w:p w14:paraId="25AD6B4C">
      <w:pPr>
        <w:pStyle w:val="9"/>
        <w:spacing w:after="0" w:line="249" w:lineRule="auto"/>
        <w:rPr>
          <w:rFonts w:hint="eastAsia"/>
          <w:color w:val="231F20"/>
        </w:rPr>
      </w:pPr>
      <w:r>
        <w:rPr>
          <w:rFonts w:hint="eastAsia"/>
          <w:color w:val="231F20"/>
        </w:rPr>
        <w:t>Nevertheless, it is clear that they are indeed judgments unto death, not least of all because they do not lead sinners to repentance, but to a further hardening of their hearts against God, just as in the case of Pharaoh (16:9, 11, Rom. 9:14-18).</w:t>
      </w:r>
    </w:p>
    <w:p w14:paraId="1BA7F931">
      <w:pPr>
        <w:pStyle w:val="9"/>
        <w:spacing w:after="0" w:line="249" w:lineRule="auto"/>
        <w:rPr>
          <w:rFonts w:hint="eastAsia"/>
          <w:color w:val="231F20"/>
        </w:rPr>
      </w:pPr>
      <w:r>
        <w:rPr>
          <w:rFonts w:hint="eastAsia"/>
          <w:color w:val="231F20"/>
        </w:rPr>
        <w:t>然而，很明显它们确实是致死的审判，尤其是因为它们没有引导罪人悔改，而是使他们的心对上帝更加刚硬，就像法老的情况一样（16:9, 11，罗9:14-18）。</w:t>
      </w:r>
    </w:p>
    <w:p w14:paraId="0C634130">
      <w:pPr>
        <w:pStyle w:val="9"/>
        <w:spacing w:after="0" w:line="249" w:lineRule="auto"/>
        <w:rPr>
          <w:rFonts w:hint="eastAsia"/>
          <w:color w:val="231F20"/>
        </w:rPr>
      </w:pPr>
    </w:p>
    <w:p w14:paraId="572BADF1">
      <w:pPr>
        <w:pStyle w:val="9"/>
        <w:spacing w:after="0" w:line="249" w:lineRule="auto"/>
        <w:rPr>
          <w:rFonts w:hint="eastAsia"/>
          <w:color w:val="231F20"/>
        </w:rPr>
      </w:pPr>
      <w:r>
        <w:rPr>
          <w:rFonts w:hint="eastAsia"/>
          <w:color w:val="231F20"/>
        </w:rPr>
        <w:t>With a view to confirming that the time frame of 16:2-11 is indeed the entire Era of Proclamation, I would offer the following suggestions about the interpretation of these challenging verses.</w:t>
      </w:r>
    </w:p>
    <w:p w14:paraId="7C84807E">
      <w:pPr>
        <w:pStyle w:val="9"/>
        <w:spacing w:after="0" w:line="249" w:lineRule="auto"/>
        <w:rPr>
          <w:rFonts w:hint="eastAsia"/>
          <w:color w:val="231F20"/>
        </w:rPr>
      </w:pPr>
      <w:r>
        <w:rPr>
          <w:rFonts w:hint="eastAsia"/>
          <w:color w:val="231F20"/>
        </w:rPr>
        <w:t>为了确认16:2-11的时间框架确实是整个宣讲时代，我愿就这些富有挑战性的经文的解释提出以下建议。</w:t>
      </w:r>
    </w:p>
    <w:p w14:paraId="5EBCD94B">
      <w:pPr>
        <w:pStyle w:val="9"/>
        <w:spacing w:after="0" w:line="249" w:lineRule="auto"/>
        <w:rPr>
          <w:rFonts w:hint="eastAsia"/>
          <w:color w:val="231F20"/>
        </w:rPr>
      </w:pPr>
    </w:p>
    <w:p w14:paraId="69695422">
      <w:pPr>
        <w:pStyle w:val="9"/>
        <w:spacing w:after="0" w:line="249" w:lineRule="auto"/>
        <w:rPr>
          <w:rFonts w:hint="eastAsia"/>
          <w:color w:val="231F20"/>
        </w:rPr>
      </w:pPr>
      <w:r>
        <w:rPr>
          <w:rFonts w:hint="eastAsia"/>
          <w:color w:val="231F20"/>
        </w:rPr>
        <w:t>The first speaks of all who have worshiped the Beast, and who therefore suffer and die from the malignancy of their own sin, whether spiritually or physically (16:2; Exodus 9:8-12, Rev. 13:15-17, 20:4).</w:t>
      </w:r>
    </w:p>
    <w:p w14:paraId="676B9EA6">
      <w:pPr>
        <w:pStyle w:val="9"/>
        <w:spacing w:after="0" w:line="249" w:lineRule="auto"/>
        <w:rPr>
          <w:rFonts w:hint="eastAsia"/>
          <w:color w:val="231F20"/>
        </w:rPr>
      </w:pPr>
      <w:r>
        <w:rPr>
          <w:rFonts w:hint="eastAsia"/>
          <w:color w:val="231F20"/>
        </w:rPr>
        <w:t>第一碗讲的是所有敬拜过兽的人，他们因此因自己罪的毒害而受苦和死亡，无论是在属灵上还是在肉体上（16:2；出埃及记9:8-12，启示录13:15-17，20:4）。</w:t>
      </w:r>
    </w:p>
    <w:p w14:paraId="70A4CA5B">
      <w:pPr>
        <w:pStyle w:val="9"/>
        <w:spacing w:after="0" w:line="249" w:lineRule="auto"/>
        <w:rPr>
          <w:rFonts w:hint="eastAsia"/>
          <w:color w:val="231F20"/>
        </w:rPr>
      </w:pPr>
    </w:p>
    <w:p w14:paraId="5DD61D9E">
      <w:pPr>
        <w:pStyle w:val="9"/>
        <w:spacing w:after="0" w:line="249" w:lineRule="auto"/>
        <w:rPr>
          <w:rFonts w:hint="eastAsia"/>
          <w:color w:val="231F20"/>
        </w:rPr>
      </w:pPr>
      <w:r>
        <w:rPr>
          <w:rFonts w:hint="eastAsia"/>
          <w:color w:val="231F20"/>
        </w:rPr>
        <w:t>The second may indeed speak of all who die at sea, or at the hands of the sea, as in the case of devastating hurricanes or tsunamis.</w:t>
      </w:r>
    </w:p>
    <w:p w14:paraId="4D1509F2">
      <w:pPr>
        <w:pStyle w:val="9"/>
        <w:spacing w:after="0" w:line="249" w:lineRule="auto"/>
        <w:rPr>
          <w:rFonts w:hint="eastAsia"/>
          <w:color w:val="231F20"/>
        </w:rPr>
      </w:pPr>
      <w:r>
        <w:rPr>
          <w:rFonts w:hint="eastAsia"/>
          <w:color w:val="231F20"/>
        </w:rPr>
        <w:t>第二碗可能确实讲的是所有在海上死亡的人，或因海而死的人，如在毁灭性的飓风或海啸中。</w:t>
      </w:r>
    </w:p>
    <w:p w14:paraId="42B15439">
      <w:pPr>
        <w:pStyle w:val="9"/>
        <w:spacing w:after="0" w:line="249" w:lineRule="auto"/>
        <w:rPr>
          <w:rFonts w:hint="eastAsia"/>
          <w:color w:val="231F20"/>
        </w:rPr>
      </w:pPr>
    </w:p>
    <w:p w14:paraId="78B856D8">
      <w:pPr>
        <w:pStyle w:val="9"/>
        <w:spacing w:after="0" w:line="249" w:lineRule="auto"/>
        <w:rPr>
          <w:rFonts w:hint="eastAsia"/>
          <w:color w:val="231F20"/>
        </w:rPr>
      </w:pPr>
      <w:r>
        <w:rPr>
          <w:rFonts w:hint="eastAsia"/>
          <w:color w:val="231F20"/>
        </w:rPr>
        <w:t>Alternatively, it may speak of the death of the “sea” of sinful, impenitent humanity, from which the Dragon calls forth the Beast, and upon which the Harlot sits (16:3, 13:1, 17:1, 15).12</w:t>
      </w:r>
    </w:p>
    <w:p w14:paraId="4F1FBF15">
      <w:pPr>
        <w:pStyle w:val="9"/>
        <w:spacing w:after="0" w:line="249" w:lineRule="auto"/>
        <w:rPr>
          <w:rFonts w:hint="eastAsia"/>
          <w:color w:val="231F20"/>
        </w:rPr>
      </w:pPr>
      <w:r>
        <w:rPr>
          <w:rFonts w:hint="eastAsia"/>
          <w:color w:val="231F20"/>
        </w:rPr>
        <w:t>或者，它可能讲的是有罪的、不悔改的人类之“海”的死亡，龙从这海中召出兽，淫妇也坐在这海上（16:3, 13:1, 17:1, 15）。12</w:t>
      </w:r>
    </w:p>
    <w:p w14:paraId="1B5713A7">
      <w:pPr>
        <w:pStyle w:val="9"/>
        <w:spacing w:after="0" w:line="249" w:lineRule="auto"/>
        <w:rPr>
          <w:rFonts w:hint="eastAsia"/>
          <w:color w:val="231F20"/>
        </w:rPr>
      </w:pPr>
    </w:p>
    <w:p w14:paraId="516BE89A">
      <w:pPr>
        <w:pStyle w:val="9"/>
        <w:spacing w:after="0" w:line="249" w:lineRule="auto"/>
        <w:rPr>
          <w:rFonts w:hint="eastAsia"/>
          <w:color w:val="231F20"/>
        </w:rPr>
      </w:pPr>
      <w:r>
        <w:rPr>
          <w:rFonts w:hint="eastAsia"/>
          <w:color w:val="231F20"/>
        </w:rPr>
        <w:t>The third bowl may represent all who die by poisoned rivers and springs.</w:t>
      </w:r>
    </w:p>
    <w:p w14:paraId="14A42E7C">
      <w:pPr>
        <w:pStyle w:val="9"/>
        <w:spacing w:after="0" w:line="249" w:lineRule="auto"/>
        <w:rPr>
          <w:rFonts w:hint="eastAsia"/>
          <w:color w:val="231F20"/>
        </w:rPr>
      </w:pPr>
      <w:r>
        <w:rPr>
          <w:rFonts w:hint="eastAsia"/>
          <w:color w:val="231F20"/>
        </w:rPr>
        <w:t>第三碗可能代表所有因有毒的江河和泉水而死的人。</w:t>
      </w:r>
    </w:p>
    <w:p w14:paraId="598B61F0">
      <w:pPr>
        <w:pStyle w:val="9"/>
        <w:spacing w:after="0" w:line="249" w:lineRule="auto"/>
        <w:rPr>
          <w:rFonts w:hint="eastAsia"/>
          <w:color w:val="231F20"/>
        </w:rPr>
      </w:pPr>
    </w:p>
    <w:p w14:paraId="787EBD47">
      <w:pPr>
        <w:pStyle w:val="9"/>
        <w:spacing w:after="0" w:line="249" w:lineRule="auto"/>
        <w:rPr>
          <w:rFonts w:hint="eastAsia"/>
          <w:color w:val="231F20"/>
        </w:rPr>
      </w:pPr>
      <w:r>
        <w:rPr>
          <w:rFonts w:hint="eastAsia"/>
          <w:color w:val="231F20"/>
        </w:rPr>
        <w:t>However, the cry of the angel of the waters, in which he affirms the righteousness of this judgment, could well indicate that these waters symbolize the destruction, in kind, of those who “destroyed” the saints, and who must therefore drink down the wrath of God (16:4-7, Exodus 7:21, Rev. 11:18, 13:10, 17:6).</w:t>
      </w:r>
    </w:p>
    <w:p w14:paraId="5B9B8F26">
      <w:pPr>
        <w:pStyle w:val="9"/>
        <w:spacing w:after="0" w:line="249" w:lineRule="auto"/>
        <w:rPr>
          <w:rFonts w:hint="eastAsia"/>
          <w:color w:val="231F20"/>
        </w:rPr>
      </w:pPr>
      <w:r>
        <w:rPr>
          <w:rFonts w:hint="eastAsia"/>
          <w:color w:val="231F20"/>
        </w:rPr>
        <w:t>然而，管众水的天使的呼喊，其中他肯定了这审判的公义，很可能表明这些水象征着对那些“毁灭”圣徒之人的同类毁灭，他们因此必须喝下上帝的忿怒（16:4-7，出埃及记7:21，启示录11:18，13:10，17:6）。</w:t>
      </w:r>
    </w:p>
    <w:p w14:paraId="1ADF4258">
      <w:pPr>
        <w:pStyle w:val="9"/>
        <w:spacing w:after="0" w:line="249" w:lineRule="auto"/>
        <w:rPr>
          <w:rFonts w:hint="eastAsia"/>
          <w:color w:val="231F20"/>
        </w:rPr>
      </w:pPr>
    </w:p>
    <w:p w14:paraId="19D5A855">
      <w:pPr>
        <w:pStyle w:val="9"/>
        <w:spacing w:after="0" w:line="249" w:lineRule="auto"/>
        <w:rPr>
          <w:rFonts w:hint="eastAsia"/>
          <w:color w:val="231F20"/>
        </w:rPr>
      </w:pPr>
      <w:r>
        <w:rPr>
          <w:rFonts w:hint="eastAsia"/>
          <w:color w:val="231F20"/>
        </w:rPr>
        <w:t>The fourth bowl does not speak of lethal global warming, which would consume saints and sinners alike, but rather of the withdrawal of God’s common grace from the impenitent; of a fatal intensification of the effects of the curse, such that these people now experience life as though the sun were fiercely beating down upon them (16:8-9, 7:16, 9:2; Psalm 38:1-8, Isaiah 4:6, 25:4).13</w:t>
      </w:r>
    </w:p>
    <w:p w14:paraId="304FE28B">
      <w:pPr>
        <w:pStyle w:val="9"/>
        <w:spacing w:after="0" w:line="249" w:lineRule="auto"/>
        <w:rPr>
          <w:rFonts w:hint="eastAsia"/>
          <w:color w:val="231F20"/>
        </w:rPr>
      </w:pPr>
      <w:r>
        <w:rPr>
          <w:rFonts w:hint="eastAsia"/>
          <w:color w:val="231F20"/>
        </w:rPr>
        <w:t>第四碗并非指致命的全球变暖，那会吞噬圣徒和罪人，而是指上帝从不悔改之人身上收回祂的普遍恩典；指咒诅效应的致命加剧，以致这些人现在体验到的生活，仿佛太阳正猛烈地炙烤着他们（16:8-9，7:16，9:2；诗篇38:1-8，以赛亚书4:6，25:4）。13</w:t>
      </w:r>
    </w:p>
    <w:p w14:paraId="32728FBE">
      <w:pPr>
        <w:pStyle w:val="9"/>
        <w:spacing w:after="0" w:line="249" w:lineRule="auto"/>
        <w:rPr>
          <w:rFonts w:hint="eastAsia"/>
          <w:color w:val="231F20"/>
        </w:rPr>
      </w:pPr>
    </w:p>
    <w:p w14:paraId="6226128E">
      <w:pPr>
        <w:pStyle w:val="9"/>
        <w:spacing w:after="0" w:line="249" w:lineRule="auto"/>
        <w:rPr>
          <w:rFonts w:hint="eastAsia"/>
          <w:color w:val="231F20"/>
        </w:rPr>
      </w:pPr>
      <w:r>
        <w:rPr>
          <w:rFonts w:hint="eastAsia"/>
          <w:color w:val="231F20"/>
        </w:rPr>
        <w:t>Finally, the fifth bowl appears to speak of the suffering and death unleashed upon society when God “darkens the throne of the Beast;” when he removes from wicked rulers the skill and favor necessary to govern effectively, so that henceforth war and anarchy reign (16:10-11; Exodus 10:21-23, Psalm 11:1-3, Rev. 17:16).</w:t>
      </w:r>
    </w:p>
    <w:p w14:paraId="1EF50E12">
      <w:pPr>
        <w:pStyle w:val="9"/>
        <w:spacing w:after="0" w:line="249" w:lineRule="auto"/>
        <w:rPr>
          <w:rFonts w:hint="eastAsia"/>
          <w:color w:val="231F20"/>
        </w:rPr>
      </w:pPr>
      <w:r>
        <w:rPr>
          <w:rFonts w:hint="eastAsia"/>
          <w:color w:val="231F20"/>
        </w:rPr>
        <w:t>最后，第五碗似乎讲的是当上帝“使兽的宝座变暗”时，社会上所释放的苦难和死亡；当祂从邪恶的统治者那里除去有效治理所必需的技能和恩宠，以致从此战争和无政府状态盛行（16:10-11；出埃及记10:21-23，诗篇11:1-3，启示录17:16）。</w:t>
      </w:r>
    </w:p>
    <w:p w14:paraId="3DD5C78D">
      <w:pPr>
        <w:pStyle w:val="9"/>
        <w:spacing w:after="0" w:line="249" w:lineRule="auto"/>
        <w:rPr>
          <w:rFonts w:hint="eastAsia"/>
          <w:color w:val="231F20"/>
        </w:rPr>
      </w:pPr>
    </w:p>
    <w:p w14:paraId="17F9CBBE">
      <w:pPr>
        <w:pStyle w:val="9"/>
        <w:spacing w:after="0" w:line="249" w:lineRule="auto"/>
        <w:rPr>
          <w:rFonts w:hint="eastAsia"/>
          <w:color w:val="231F20"/>
        </w:rPr>
      </w:pPr>
      <w:r>
        <w:rPr>
          <w:rFonts w:hint="eastAsia"/>
          <w:color w:val="231F20"/>
        </w:rPr>
        <w:t>Interpretations like these, which acknowledge the structure and literary genre of the book, make it easy to see how the first five bowl judgments are fulfilled throughout the entire Era of Proclamation.</w:t>
      </w:r>
    </w:p>
    <w:p w14:paraId="75CE023D">
      <w:pPr>
        <w:pStyle w:val="9"/>
        <w:spacing w:after="0" w:line="249" w:lineRule="auto"/>
        <w:rPr>
          <w:rFonts w:hint="eastAsia"/>
          <w:color w:val="231F20"/>
        </w:rPr>
      </w:pPr>
      <w:r>
        <w:rPr>
          <w:rFonts w:hint="eastAsia"/>
          <w:color w:val="231F20"/>
        </w:rPr>
        <w:t>像这样的解释，承认了本书的结构和文学体裁，使我们很容易看到前五碗的审判是如何在整个宣讲时代中应验的。</w:t>
      </w:r>
    </w:p>
    <w:p w14:paraId="165B950D">
      <w:pPr>
        <w:pStyle w:val="9"/>
        <w:spacing w:after="0" w:line="249" w:lineRule="auto"/>
        <w:rPr>
          <w:rFonts w:hint="eastAsia"/>
          <w:color w:val="231F20"/>
        </w:rPr>
      </w:pPr>
    </w:p>
    <w:p w14:paraId="14752120">
      <w:pPr>
        <w:pStyle w:val="9"/>
        <w:spacing w:after="0" w:line="249" w:lineRule="auto"/>
        <w:rPr>
          <w:rFonts w:hint="eastAsia"/>
          <w:color w:val="231F20"/>
        </w:rPr>
      </w:pPr>
      <w:r>
        <w:rPr>
          <w:rFonts w:hint="eastAsia"/>
          <w:color w:val="231F20"/>
        </w:rPr>
        <w:t>Coming as they do at the end of this cycle, it should not surprise us that verses 12-16, which portray the sixth bowl judgment, bring us to the end of the age and the Last Battle.</w:t>
      </w:r>
    </w:p>
    <w:p w14:paraId="50C976F1">
      <w:pPr>
        <w:pStyle w:val="9"/>
        <w:spacing w:after="0" w:line="249" w:lineRule="auto"/>
        <w:rPr>
          <w:rFonts w:hint="eastAsia"/>
          <w:color w:val="231F20"/>
        </w:rPr>
      </w:pPr>
      <w:r>
        <w:rPr>
          <w:rFonts w:hint="eastAsia"/>
          <w:color w:val="231F20"/>
        </w:rPr>
        <w:t>由于它们出现在这个循环的末尾，我们不应感到惊讶，描绘第六碗审判的第12-16节将我们带到了世代的末了和末日争战。</w:t>
      </w:r>
    </w:p>
    <w:p w14:paraId="3018FFA9">
      <w:pPr>
        <w:pStyle w:val="9"/>
        <w:spacing w:after="0" w:line="249" w:lineRule="auto"/>
        <w:rPr>
          <w:rFonts w:hint="eastAsia"/>
          <w:color w:val="231F20"/>
        </w:rPr>
      </w:pPr>
    </w:p>
    <w:p w14:paraId="2218D364">
      <w:pPr>
        <w:pStyle w:val="9"/>
        <w:spacing w:after="0" w:line="249" w:lineRule="auto"/>
        <w:rPr>
          <w:rFonts w:hint="eastAsia"/>
          <w:color w:val="231F20"/>
        </w:rPr>
      </w:pPr>
      <w:r>
        <w:rPr>
          <w:rFonts w:hint="eastAsia"/>
          <w:color w:val="231F20"/>
        </w:rPr>
        <w:t>Importantly, we see this pattern in four out of the six cycles, a line of evidence that strongly confirms our view of the structure of chapters 6-20 (11:7-10, 16:12-16, 19:11ff, 20:7-10).</w:t>
      </w:r>
    </w:p>
    <w:p w14:paraId="7528037B">
      <w:pPr>
        <w:pStyle w:val="9"/>
        <w:spacing w:after="0" w:line="249" w:lineRule="auto"/>
        <w:rPr>
          <w:rFonts w:hint="eastAsia"/>
          <w:color w:val="231F20"/>
        </w:rPr>
      </w:pPr>
      <w:r>
        <w:rPr>
          <w:rFonts w:hint="eastAsia"/>
          <w:color w:val="231F20"/>
        </w:rPr>
        <w:t>重要的是，我们在六个循环中的四个看到了这个模式，这一证据有力地证实了我们对第6-20章结构的看法（11:7-10，16:12-16，19:11及以下，20:7-10）。</w:t>
      </w:r>
    </w:p>
    <w:p w14:paraId="0268AD02">
      <w:pPr>
        <w:pStyle w:val="9"/>
        <w:spacing w:after="0" w:line="249" w:lineRule="auto"/>
        <w:rPr>
          <w:rFonts w:hint="eastAsia"/>
          <w:color w:val="231F20"/>
        </w:rPr>
      </w:pPr>
    </w:p>
    <w:p w14:paraId="35F90A0A">
      <w:pPr>
        <w:pStyle w:val="9"/>
        <w:spacing w:after="0" w:line="249" w:lineRule="auto"/>
        <w:rPr>
          <w:rFonts w:hint="eastAsia"/>
          <w:color w:val="231F20"/>
        </w:rPr>
      </w:pPr>
      <w:r>
        <w:rPr>
          <w:rFonts w:hint="eastAsia"/>
          <w:color w:val="231F20"/>
        </w:rPr>
        <w:t>Beneath the OT surface of our text we find a rich NT meaning.</w:t>
      </w:r>
    </w:p>
    <w:p w14:paraId="02CCD07F">
      <w:pPr>
        <w:pStyle w:val="9"/>
        <w:spacing w:after="0" w:line="249" w:lineRule="auto"/>
        <w:rPr>
          <w:rFonts w:hint="eastAsia"/>
          <w:color w:val="231F20"/>
        </w:rPr>
      </w:pPr>
      <w:r>
        <w:rPr>
          <w:rFonts w:hint="eastAsia"/>
          <w:color w:val="231F20"/>
        </w:rPr>
        <w:t>在我们经文的旧约表面之下，我们发现了丰富的新约意义。</w:t>
      </w:r>
    </w:p>
    <w:p w14:paraId="527672A3">
      <w:pPr>
        <w:pStyle w:val="9"/>
        <w:spacing w:after="0" w:line="249" w:lineRule="auto"/>
        <w:rPr>
          <w:rFonts w:hint="eastAsia"/>
          <w:color w:val="231F20"/>
        </w:rPr>
      </w:pPr>
    </w:p>
    <w:p w14:paraId="46F1394B">
      <w:pPr>
        <w:pStyle w:val="9"/>
        <w:spacing w:after="0" w:line="249" w:lineRule="auto"/>
        <w:rPr>
          <w:rFonts w:hint="eastAsia"/>
          <w:color w:val="231F20"/>
        </w:rPr>
      </w:pPr>
      <w:r>
        <w:rPr>
          <w:rFonts w:hint="eastAsia"/>
          <w:color w:val="231F20"/>
        </w:rPr>
        <w:t>I would sum it up as follows: Near the end of the age, the sovereign God will remove from before his enemies every spiritual and circumstantial impediment to their dark ambitions, setting the stage for the Last Battle (16:12; Ezek. 38:1f, 2 Thess. 2:6-7).</w:t>
      </w:r>
    </w:p>
    <w:p w14:paraId="5357D87C">
      <w:pPr>
        <w:pStyle w:val="9"/>
        <w:spacing w:after="0" w:line="249" w:lineRule="auto"/>
        <w:rPr>
          <w:rFonts w:hint="eastAsia"/>
          <w:color w:val="231F20"/>
        </w:rPr>
      </w:pPr>
      <w:r>
        <w:rPr>
          <w:rFonts w:hint="eastAsia"/>
          <w:color w:val="231F20"/>
        </w:rPr>
        <w:t>我愿如此总结：在世代末了，主宰的上帝将从祂的仇敌面前移除一切阻碍他们黑暗野心的属灵和环境障碍，为末日争战铺平道路（16:12；结38:1及以下，帖后2:6-7）。</w:t>
      </w:r>
    </w:p>
    <w:p w14:paraId="6402BE24">
      <w:pPr>
        <w:pStyle w:val="9"/>
        <w:spacing w:after="0" w:line="249" w:lineRule="auto"/>
        <w:rPr>
          <w:rFonts w:hint="eastAsia"/>
          <w:color w:val="231F20"/>
        </w:rPr>
      </w:pPr>
    </w:p>
    <w:p w14:paraId="1778F199">
      <w:pPr>
        <w:pStyle w:val="9"/>
        <w:spacing w:after="0" w:line="249" w:lineRule="auto"/>
        <w:rPr>
          <w:rFonts w:hint="eastAsia"/>
          <w:color w:val="231F20"/>
        </w:rPr>
      </w:pPr>
      <w:r>
        <w:rPr>
          <w:rFonts w:hint="eastAsia"/>
          <w:color w:val="231F20"/>
        </w:rPr>
        <w:t>At that time, Satan will use the Antichrist, the State, the religious arm of the State, a compelling religious ideology, and false signs and wonders to win the allegiance of the entire world-system, thereafter moving it to war against the only dissenter, the true spiritual Church (16:13-14; 2 Thess. 2:1ff, Rev. 11:11-19, 17:14, 19:19).</w:t>
      </w:r>
    </w:p>
    <w:p w14:paraId="4842154B">
      <w:pPr>
        <w:pStyle w:val="9"/>
        <w:spacing w:after="0" w:line="249" w:lineRule="auto"/>
        <w:rPr>
          <w:rFonts w:hint="eastAsia"/>
          <w:color w:val="231F20"/>
        </w:rPr>
      </w:pPr>
      <w:r>
        <w:rPr>
          <w:rFonts w:hint="eastAsia"/>
          <w:color w:val="231F20"/>
        </w:rPr>
        <w:t>到那时，撒但将利用敌基督、国家、国家的宗教臂膀、一种引人注目的宗教意识形态以及假神迹奇事来赢得整个世界体系的效忠，然后驱使它向唯一的异议者，即真正的属灵教会开战（16:13-14；帖后2:1及以下，启11:11-19，17:14，19:19）。</w:t>
      </w:r>
    </w:p>
    <w:p w14:paraId="07BE115E">
      <w:pPr>
        <w:pStyle w:val="9"/>
        <w:spacing w:after="0" w:line="249" w:lineRule="auto"/>
        <w:rPr>
          <w:rFonts w:hint="eastAsia"/>
          <w:color w:val="231F20"/>
        </w:rPr>
      </w:pPr>
    </w:p>
    <w:p w14:paraId="07D42353">
      <w:pPr>
        <w:pStyle w:val="9"/>
        <w:spacing w:after="0" w:line="249" w:lineRule="auto"/>
        <w:rPr>
          <w:rFonts w:hint="eastAsia"/>
          <w:color w:val="231F20"/>
        </w:rPr>
      </w:pPr>
      <w:r>
        <w:rPr>
          <w:rFonts w:hint="eastAsia"/>
          <w:color w:val="231F20"/>
        </w:rPr>
        <w:t>In this toxic environment, where lawlessness and deception super-abound, Christians must remain doubly vigilant, remembering that it is precisely when things are at their worst that Christ will return, just as he promised (16:15; Mt. 24:23-37, 44, 1 Thess. 5:1-4).</w:t>
      </w:r>
    </w:p>
    <w:p w14:paraId="4BBFC7FB">
      <w:pPr>
        <w:pStyle w:val="9"/>
        <w:spacing w:after="0" w:line="249" w:lineRule="auto"/>
        <w:rPr>
          <w:rFonts w:hint="eastAsia"/>
          <w:color w:val="231F20"/>
        </w:rPr>
      </w:pPr>
      <w:r>
        <w:rPr>
          <w:rFonts w:hint="eastAsia"/>
          <w:color w:val="231F20"/>
        </w:rPr>
        <w:t>在这种不法和欺骗极度泛滥的有毒环境中，基督徒必须加倍警醒，记住正是在情况最糟的时候，基督将要再来，正如祂所应许的（16:15；太24:23-37, 44，帖前5:1-4）。</w:t>
      </w:r>
    </w:p>
    <w:p w14:paraId="31D41DEC">
      <w:pPr>
        <w:pStyle w:val="9"/>
        <w:spacing w:after="0" w:line="249" w:lineRule="auto"/>
        <w:rPr>
          <w:rFonts w:hint="eastAsia"/>
          <w:color w:val="231F20"/>
        </w:rPr>
      </w:pPr>
    </w:p>
    <w:p w14:paraId="6F1FF588">
      <w:pPr>
        <w:pStyle w:val="9"/>
        <w:spacing w:after="0" w:line="249" w:lineRule="auto"/>
        <w:rPr>
          <w:rFonts w:hint="eastAsia"/>
          <w:color w:val="231F20"/>
        </w:rPr>
      </w:pPr>
      <w:r>
        <w:rPr>
          <w:rFonts w:hint="eastAsia"/>
          <w:color w:val="231F20"/>
        </w:rPr>
        <w:t>Therefore, let believers keep in mind that in that Day the scene of unprovoked attack will suddenly become a scene of unexpected deliverance, even as it was in the days of Deborah, when the people, watching from the heights of Mount Meggido, saw God mightily intervene in behalf of Israel’s armies fighting on the great plain below (Judges 4-5, 5:19; Rev. 20:7-10).14</w:t>
      </w:r>
    </w:p>
    <w:p w14:paraId="182EF695">
      <w:pPr>
        <w:pStyle w:val="9"/>
        <w:spacing w:after="0" w:line="249" w:lineRule="auto"/>
        <w:rPr>
          <w:rFonts w:hint="eastAsia"/>
          <w:color w:val="231F20"/>
        </w:rPr>
      </w:pPr>
      <w:r>
        <w:rPr>
          <w:rFonts w:hint="eastAsia"/>
          <w:color w:val="231F20"/>
        </w:rPr>
        <w:t>因此，愿信徒记住，在那日，无端攻击的场景将突然变成意想不到的拯救场景，就像在底波拉的日子一样，那时人们从米吉多山的高处观看，看到上帝大能地介入，帮助在下面大平原上作战的以色列军队（士师记4-5，5:19；启示录20:7-10）。14</w:t>
      </w:r>
    </w:p>
    <w:p w14:paraId="563B6825">
      <w:pPr>
        <w:pStyle w:val="9"/>
        <w:spacing w:after="0" w:line="249" w:lineRule="auto"/>
        <w:rPr>
          <w:rFonts w:hint="eastAsia"/>
          <w:color w:val="231F20"/>
        </w:rPr>
      </w:pPr>
    </w:p>
    <w:p w14:paraId="356477F5">
      <w:pPr>
        <w:pStyle w:val="9"/>
        <w:spacing w:after="0" w:line="249" w:lineRule="auto"/>
        <w:rPr>
          <w:rFonts w:hint="eastAsia"/>
          <w:color w:val="231F20"/>
        </w:rPr>
      </w:pPr>
      <w:r>
        <w:rPr>
          <w:rFonts w:hint="eastAsia"/>
          <w:color w:val="231F20"/>
        </w:rPr>
        <w:t>Verses 17-21, as expected, once again give us the Consummation, though here the accent altogether falls upon the punishment of God’s enemies.</w:t>
      </w:r>
    </w:p>
    <w:p w14:paraId="396814D4">
      <w:pPr>
        <w:pStyle w:val="9"/>
        <w:spacing w:after="0" w:line="249" w:lineRule="auto"/>
        <w:rPr>
          <w:rFonts w:hint="eastAsia"/>
          <w:color w:val="231F20"/>
        </w:rPr>
      </w:pPr>
      <w:r>
        <w:rPr>
          <w:rFonts w:hint="eastAsia"/>
          <w:color w:val="231F20"/>
        </w:rPr>
        <w:t>第17-21节，如所预期的，再次为我们呈现了最终的成全，尽管这里的重点完全落在上帝仇敌的惩罚上。</w:t>
      </w:r>
    </w:p>
    <w:p w14:paraId="721DBC15">
      <w:pPr>
        <w:pStyle w:val="9"/>
        <w:spacing w:after="0" w:line="249" w:lineRule="auto"/>
        <w:rPr>
          <w:rFonts w:hint="eastAsia"/>
          <w:color w:val="231F20"/>
        </w:rPr>
      </w:pPr>
    </w:p>
    <w:p w14:paraId="58782A82">
      <w:pPr>
        <w:pStyle w:val="9"/>
        <w:spacing w:after="0" w:line="249" w:lineRule="auto"/>
        <w:rPr>
          <w:rFonts w:hint="eastAsia"/>
          <w:color w:val="231F20"/>
        </w:rPr>
      </w:pPr>
      <w:r>
        <w:rPr>
          <w:rFonts w:hint="eastAsia"/>
          <w:color w:val="231F20"/>
        </w:rPr>
        <w:t>We know this is the Last Judgment because in it the wrath of God is finished (15:1, 17:2).</w:t>
      </w:r>
    </w:p>
    <w:p w14:paraId="4A616ADD">
      <w:pPr>
        <w:pStyle w:val="9"/>
        <w:spacing w:after="0" w:line="249" w:lineRule="auto"/>
        <w:rPr>
          <w:rFonts w:hint="eastAsia"/>
          <w:color w:val="231F20"/>
        </w:rPr>
      </w:pPr>
      <w:r>
        <w:rPr>
          <w:rFonts w:hint="eastAsia"/>
          <w:color w:val="231F20"/>
        </w:rPr>
        <w:t>我们知道这是最后的审判，因为上帝的忿怒在其中发尽了（15:1, 17:2）。</w:t>
      </w:r>
    </w:p>
    <w:p w14:paraId="61DD8DD0">
      <w:pPr>
        <w:pStyle w:val="9"/>
        <w:spacing w:after="0" w:line="249" w:lineRule="auto"/>
        <w:rPr>
          <w:rFonts w:hint="eastAsia"/>
          <w:color w:val="231F20"/>
        </w:rPr>
      </w:pPr>
    </w:p>
    <w:p w14:paraId="054A1324">
      <w:pPr>
        <w:pStyle w:val="9"/>
        <w:spacing w:after="0" w:line="249" w:lineRule="auto"/>
        <w:rPr>
          <w:rFonts w:hint="eastAsia"/>
          <w:color w:val="231F20"/>
        </w:rPr>
      </w:pPr>
      <w:r>
        <w:rPr>
          <w:rFonts w:hint="eastAsia"/>
          <w:color w:val="231F20"/>
        </w:rPr>
        <w:t>We also know that Christ, at his Parousia, is the Agent of this Judgment, for though he is not explicitly mentioned here, verse 20 alludes to 6:12-17, where he is indeed explicitly mentioned.</w:t>
      </w:r>
    </w:p>
    <w:p w14:paraId="4450BA06">
      <w:pPr>
        <w:pStyle w:val="9"/>
        <w:spacing w:after="0" w:line="249" w:lineRule="auto"/>
        <w:rPr>
          <w:rFonts w:hint="eastAsia"/>
          <w:color w:val="231F20"/>
        </w:rPr>
      </w:pPr>
      <w:r>
        <w:rPr>
          <w:rFonts w:hint="eastAsia"/>
          <w:color w:val="231F20"/>
        </w:rPr>
        <w:t>我们也知道，基督，在祂的主临（Parousia）时，是这场审判的执行者，因为虽然这里没有明确提到祂，但第20节暗指了6:12-17，那里确实明确提到了祂。</w:t>
      </w:r>
    </w:p>
    <w:p w14:paraId="6943DB71">
      <w:pPr>
        <w:pStyle w:val="9"/>
        <w:spacing w:after="0" w:line="249" w:lineRule="auto"/>
        <w:rPr>
          <w:rFonts w:hint="eastAsia"/>
          <w:color w:val="231F20"/>
        </w:rPr>
      </w:pPr>
    </w:p>
    <w:p w14:paraId="15DA4A48">
      <w:pPr>
        <w:pStyle w:val="9"/>
        <w:spacing w:after="0" w:line="249" w:lineRule="auto"/>
        <w:rPr>
          <w:rFonts w:hint="eastAsia"/>
          <w:color w:val="231F20"/>
        </w:rPr>
      </w:pPr>
      <w:r>
        <w:rPr>
          <w:rFonts w:hint="eastAsia"/>
          <w:color w:val="231F20"/>
        </w:rPr>
        <w:t>The earthquake of verse 18 is the same as that of 6:12: It is the eschatological shaking of all created things, with the result that only holy and unshakable things remain (Psalm 125:1, Ezek. 38:19-23, Hag. 2:6, Heb. 12:27-28, 2 Peter 3:9-12).</w:t>
      </w:r>
    </w:p>
    <w:p w14:paraId="7772AA4E">
      <w:pPr>
        <w:pStyle w:val="9"/>
        <w:spacing w:after="0" w:line="249" w:lineRule="auto"/>
        <w:rPr>
          <w:rFonts w:hint="eastAsia"/>
          <w:color w:val="231F20"/>
        </w:rPr>
      </w:pPr>
      <w:r>
        <w:rPr>
          <w:rFonts w:hint="eastAsia"/>
          <w:color w:val="231F20"/>
        </w:rPr>
        <w:t>第18节的地震与6:12的地震相同：这是对所有受造之物的末世性震动，结果是只有圣洁和不能震动的东西存留下来（诗篇125:1，以西结书38:19-23，哈该书2:6，希伯来书12:27-28，彼得后书3:9-12）。</w:t>
      </w:r>
    </w:p>
    <w:p w14:paraId="520FF5BC">
      <w:pPr>
        <w:pStyle w:val="9"/>
        <w:spacing w:after="0" w:line="249" w:lineRule="auto"/>
        <w:rPr>
          <w:rFonts w:hint="eastAsia"/>
          <w:color w:val="231F20"/>
        </w:rPr>
      </w:pPr>
    </w:p>
    <w:p w14:paraId="31D646DB">
      <w:pPr>
        <w:pStyle w:val="9"/>
        <w:spacing w:after="0" w:line="249" w:lineRule="auto"/>
        <w:rPr>
          <w:rFonts w:hint="eastAsia"/>
          <w:color w:val="231F20"/>
        </w:rPr>
      </w:pPr>
      <w:r>
        <w:rPr>
          <w:rFonts w:hint="eastAsia"/>
          <w:color w:val="231F20"/>
        </w:rPr>
        <w:t>The Great City of verse 19 is none other than Babylon the Great, which is the City of Man, the tri-partite world-system comprised of the Beast, the False Prophet, and the Harlot.</w:t>
      </w:r>
    </w:p>
    <w:p w14:paraId="20271DF8">
      <w:pPr>
        <w:pStyle w:val="9"/>
        <w:spacing w:after="0" w:line="249" w:lineRule="auto"/>
        <w:rPr>
          <w:rFonts w:hint="eastAsia"/>
          <w:color w:val="231F20"/>
        </w:rPr>
      </w:pPr>
      <w:r>
        <w:rPr>
          <w:rFonts w:hint="eastAsia"/>
          <w:color w:val="231F20"/>
        </w:rPr>
        <w:t>第19节的大城正是大巴比伦，即人之城，由兽、假先知和淫妇组成的三方世界体系。</w:t>
      </w:r>
    </w:p>
    <w:p w14:paraId="53E7E848">
      <w:pPr>
        <w:pStyle w:val="9"/>
        <w:spacing w:after="0" w:line="249" w:lineRule="auto"/>
        <w:rPr>
          <w:rFonts w:hint="eastAsia"/>
          <w:color w:val="231F20"/>
        </w:rPr>
      </w:pPr>
    </w:p>
    <w:p w14:paraId="191777C8">
      <w:pPr>
        <w:pStyle w:val="9"/>
        <w:spacing w:after="0" w:line="249" w:lineRule="auto"/>
        <w:rPr>
          <w:rFonts w:hint="eastAsia"/>
          <w:color w:val="231F20"/>
        </w:rPr>
      </w:pPr>
      <w:r>
        <w:rPr>
          <w:rFonts w:hint="eastAsia"/>
          <w:color w:val="231F20"/>
        </w:rPr>
        <w:t>John will again describe its fall, at length, in chapter 18.</w:t>
      </w:r>
    </w:p>
    <w:p w14:paraId="248ABD97">
      <w:pPr>
        <w:pStyle w:val="9"/>
        <w:spacing w:after="0" w:line="249" w:lineRule="auto"/>
        <w:rPr>
          <w:rFonts w:hint="eastAsia"/>
          <w:color w:val="231F20"/>
        </w:rPr>
      </w:pPr>
      <w:r>
        <w:rPr>
          <w:rFonts w:hint="eastAsia"/>
          <w:color w:val="231F20"/>
        </w:rPr>
        <w:t>约翰将在第18章中再次详细描述它的倾倒。</w:t>
      </w:r>
    </w:p>
    <w:p w14:paraId="1CBD9FAF">
      <w:pPr>
        <w:pStyle w:val="9"/>
        <w:spacing w:after="0" w:line="249" w:lineRule="auto"/>
        <w:rPr>
          <w:rFonts w:hint="eastAsia"/>
          <w:color w:val="231F20"/>
        </w:rPr>
      </w:pPr>
    </w:p>
    <w:p w14:paraId="137D29E2">
      <w:pPr>
        <w:pStyle w:val="9"/>
        <w:spacing w:after="0" w:line="249" w:lineRule="auto"/>
        <w:rPr>
          <w:rFonts w:hint="eastAsia"/>
          <w:color w:val="231F20"/>
        </w:rPr>
      </w:pPr>
      <w:r>
        <w:rPr>
          <w:rFonts w:hint="eastAsia"/>
          <w:color w:val="231F20"/>
        </w:rPr>
        <w:t>In verse 21, the Spirit once again draws upon Exodus imagery in order to depict the eternal punishment of the wicked, and also (the wretchedness of) their eternal enmity against God (Exodus 9:18-15, Ezek. 38:22).</w:t>
      </w:r>
    </w:p>
    <w:p w14:paraId="0FDCF1A3">
      <w:pPr>
        <w:pStyle w:val="9"/>
        <w:spacing w:after="0" w:line="249" w:lineRule="auto"/>
        <w:rPr>
          <w:rFonts w:hint="eastAsia"/>
          <w:color w:val="231F20"/>
        </w:rPr>
      </w:pPr>
      <w:r>
        <w:rPr>
          <w:rFonts w:hint="eastAsia"/>
          <w:color w:val="231F20"/>
        </w:rPr>
        <w:t>在第21节，圣灵再次借鉴出埃及的意象，以描绘恶人永恒的惩罚，以及他们对上帝永恒的（悲惨的）敌意（出埃及记9:18-15，以西结书38:22）。</w:t>
      </w:r>
    </w:p>
    <w:p w14:paraId="7D88AEE4">
      <w:pPr>
        <w:pStyle w:val="9"/>
        <w:spacing w:after="0" w:line="249" w:lineRule="auto"/>
        <w:rPr>
          <w:rFonts w:hint="eastAsia"/>
          <w:color w:val="231F20"/>
        </w:rPr>
      </w:pPr>
    </w:p>
    <w:p w14:paraId="4DBB06A4">
      <w:pPr>
        <w:pStyle w:val="9"/>
        <w:spacing w:after="0" w:line="249" w:lineRule="auto"/>
        <w:rPr>
          <w:rFonts w:hint="eastAsia"/>
          <w:color w:val="231F20"/>
        </w:rPr>
      </w:pPr>
      <w:r>
        <w:rPr>
          <w:rFonts w:hint="eastAsia"/>
          <w:color w:val="231F20"/>
        </w:rPr>
        <w:t>Summing up, we have seen that this cycle, like the previous three, certainly appears to traverse the entire Era of Proclamation.</w:t>
      </w:r>
    </w:p>
    <w:p w14:paraId="54B771F7">
      <w:pPr>
        <w:pStyle w:val="9"/>
        <w:spacing w:after="0" w:line="249" w:lineRule="auto"/>
        <w:rPr>
          <w:rFonts w:hint="eastAsia"/>
          <w:color w:val="231F20"/>
        </w:rPr>
      </w:pPr>
      <w:r>
        <w:rPr>
          <w:rFonts w:hint="eastAsia"/>
          <w:color w:val="231F20"/>
        </w:rPr>
        <w:t>总结来说，我们已经看到这个循环，像前三个循环一样，确实似乎跨越了整个宣讲时代。</w:t>
      </w:r>
    </w:p>
    <w:p w14:paraId="7E63FFAF">
      <w:pPr>
        <w:pStyle w:val="9"/>
        <w:spacing w:after="0" w:line="249" w:lineRule="auto"/>
        <w:rPr>
          <w:rFonts w:hint="eastAsia"/>
          <w:color w:val="231F20"/>
        </w:rPr>
      </w:pPr>
    </w:p>
    <w:p w14:paraId="2910C92A">
      <w:pPr>
        <w:pStyle w:val="9"/>
        <w:spacing w:after="0" w:line="249" w:lineRule="auto"/>
        <w:rPr>
          <w:rFonts w:hint="eastAsia"/>
          <w:color w:val="231F20"/>
        </w:rPr>
      </w:pPr>
      <w:r>
        <w:rPr>
          <w:rFonts w:hint="eastAsia"/>
          <w:color w:val="231F20"/>
        </w:rPr>
        <w:t>It definitely ends at the end of the age, with the Last Battle and the Consummation.</w:t>
      </w:r>
    </w:p>
    <w:p w14:paraId="7085DC56">
      <w:pPr>
        <w:pStyle w:val="9"/>
        <w:spacing w:after="0" w:line="249" w:lineRule="auto"/>
        <w:rPr>
          <w:rFonts w:hint="eastAsia"/>
          <w:color w:val="231F20"/>
        </w:rPr>
      </w:pPr>
      <w:r>
        <w:rPr>
          <w:rFonts w:hint="eastAsia"/>
          <w:color w:val="231F20"/>
        </w:rPr>
        <w:t>它明确地在世代的末了，以末日争战和最终的成全结束。</w:t>
      </w:r>
    </w:p>
    <w:p w14:paraId="4E174497">
      <w:pPr>
        <w:pStyle w:val="9"/>
        <w:spacing w:after="0" w:line="249" w:lineRule="auto"/>
        <w:rPr>
          <w:rFonts w:hint="eastAsia"/>
          <w:color w:val="231F20"/>
        </w:rPr>
      </w:pPr>
    </w:p>
    <w:p w14:paraId="1029B989">
      <w:pPr>
        <w:pStyle w:val="9"/>
        <w:spacing w:after="0" w:line="249" w:lineRule="auto"/>
        <w:rPr>
          <w:rFonts w:hint="eastAsia"/>
          <w:color w:val="231F20"/>
        </w:rPr>
      </w:pPr>
      <w:r>
        <w:rPr>
          <w:rFonts w:hint="eastAsia"/>
          <w:color w:val="231F20"/>
        </w:rPr>
        <w:t>As for its beginning, one must admit that here, as opposed to chapters 6 and 12, the opening scenes of the Era of Proclamation are not easily discerned.</w:t>
      </w:r>
    </w:p>
    <w:p w14:paraId="59353135">
      <w:pPr>
        <w:pStyle w:val="9"/>
        <w:spacing w:after="0" w:line="249" w:lineRule="auto"/>
        <w:rPr>
          <w:rFonts w:hint="eastAsia"/>
          <w:color w:val="231F20"/>
        </w:rPr>
      </w:pPr>
      <w:r>
        <w:rPr>
          <w:rFonts w:hint="eastAsia"/>
          <w:color w:val="231F20"/>
        </w:rPr>
        <w:t>至于它的开始，必须承认，在这里，与第6章和第12章相反，宣讲时代的开场情景不易辨认。</w:t>
      </w:r>
    </w:p>
    <w:p w14:paraId="2ED9CA03">
      <w:pPr>
        <w:pStyle w:val="9"/>
        <w:spacing w:after="0" w:line="249" w:lineRule="auto"/>
        <w:rPr>
          <w:rFonts w:hint="eastAsia"/>
          <w:color w:val="231F20"/>
        </w:rPr>
      </w:pPr>
    </w:p>
    <w:p w14:paraId="2C1B18E1">
      <w:pPr>
        <w:pStyle w:val="9"/>
        <w:spacing w:after="0" w:line="249" w:lineRule="auto"/>
        <w:rPr>
          <w:rFonts w:hint="eastAsia"/>
          <w:color w:val="231F20"/>
        </w:rPr>
      </w:pPr>
      <w:r>
        <w:rPr>
          <w:rFonts w:hint="eastAsia"/>
          <w:color w:val="231F20"/>
        </w:rPr>
        <w:t>However, this is not because the time frame has changed, but rather because the emphasis has changed.</w:t>
      </w:r>
    </w:p>
    <w:p w14:paraId="518D9BE1">
      <w:pPr>
        <w:pStyle w:val="9"/>
        <w:spacing w:after="0" w:line="249" w:lineRule="auto"/>
        <w:rPr>
          <w:rFonts w:hint="eastAsia"/>
          <w:color w:val="231F20"/>
        </w:rPr>
      </w:pPr>
      <w:r>
        <w:rPr>
          <w:rFonts w:hint="eastAsia"/>
          <w:color w:val="231F20"/>
        </w:rPr>
        <w:t>然而，这并非因为时间框架改变了，而是因为重点改变了。</w:t>
      </w:r>
    </w:p>
    <w:p w14:paraId="6C1D89C8">
      <w:pPr>
        <w:pStyle w:val="9"/>
        <w:spacing w:after="0" w:line="249" w:lineRule="auto"/>
        <w:rPr>
          <w:rFonts w:hint="eastAsia"/>
          <w:color w:val="231F20"/>
        </w:rPr>
      </w:pPr>
    </w:p>
    <w:p w14:paraId="337821FD">
      <w:pPr>
        <w:pStyle w:val="9"/>
        <w:spacing w:after="0" w:line="249" w:lineRule="auto"/>
        <w:rPr>
          <w:rFonts w:hint="eastAsia"/>
          <w:color w:val="231F20"/>
        </w:rPr>
      </w:pPr>
      <w:r>
        <w:rPr>
          <w:rFonts w:hint="eastAsia"/>
          <w:color w:val="231F20"/>
        </w:rPr>
        <w:t>Here, there is progress—a greater emphasis upon final judgments, and upon the final Judgment at the end of the age.</w:t>
      </w:r>
    </w:p>
    <w:p w14:paraId="7BEDA29C">
      <w:pPr>
        <w:pStyle w:val="9"/>
        <w:spacing w:after="0" w:line="249" w:lineRule="auto"/>
        <w:rPr>
          <w:rFonts w:hint="eastAsia"/>
          <w:color w:val="231F20"/>
        </w:rPr>
      </w:pPr>
      <w:r>
        <w:rPr>
          <w:rFonts w:hint="eastAsia"/>
          <w:color w:val="231F20"/>
        </w:rPr>
        <w:t>在这里，有进展——更加强调最后的审判，以及在世代末了的最终审判。</w:t>
      </w:r>
    </w:p>
    <w:p w14:paraId="056F3CEB">
      <w:pPr>
        <w:pStyle w:val="9"/>
        <w:spacing w:after="0" w:line="249" w:lineRule="auto"/>
        <w:rPr>
          <w:rFonts w:hint="eastAsia"/>
          <w:color w:val="231F20"/>
        </w:rPr>
      </w:pPr>
    </w:p>
    <w:p w14:paraId="4FD3F15B">
      <w:pPr>
        <w:pStyle w:val="9"/>
        <w:spacing w:after="0" w:line="249" w:lineRule="auto"/>
        <w:rPr>
          <w:rFonts w:hint="eastAsia"/>
          <w:color w:val="231F20"/>
        </w:rPr>
      </w:pPr>
      <w:r>
        <w:rPr>
          <w:rFonts w:hint="eastAsia"/>
          <w:color w:val="231F20"/>
        </w:rPr>
        <w:t>This, along with the cosmic imagery involved, accounts for the futuristic feel of these two chapters, though in fact the temporal sphere of fulfillment remains the same as all the rest.</w:t>
      </w:r>
    </w:p>
    <w:p w14:paraId="09576674">
      <w:pPr>
        <w:pStyle w:val="9"/>
        <w:spacing w:after="0" w:line="249" w:lineRule="auto"/>
        <w:rPr>
          <w:rFonts w:hint="eastAsia"/>
          <w:color w:val="231F20"/>
        </w:rPr>
      </w:pPr>
      <w:r>
        <w:rPr>
          <w:rFonts w:hint="eastAsia"/>
          <w:color w:val="231F20"/>
        </w:rPr>
        <w:t>这一点，连同所涉及的宇宙意象，解释了这两章的未来主义感觉，尽管事实上应验的时间范围与其余所有部分保持相同。</w:t>
      </w:r>
    </w:p>
    <w:p w14:paraId="75EBEDAF">
      <w:pPr>
        <w:pStyle w:val="9"/>
        <w:spacing w:after="0" w:line="249" w:lineRule="auto"/>
        <w:rPr>
          <w:rFonts w:hint="eastAsia"/>
          <w:color w:val="231F20"/>
        </w:rPr>
      </w:pPr>
    </w:p>
    <w:p w14:paraId="3818E11C">
      <w:pPr>
        <w:pStyle w:val="9"/>
        <w:spacing w:after="0" w:line="249" w:lineRule="auto"/>
        <w:rPr>
          <w:rFonts w:hint="eastAsia"/>
          <w:color w:val="231F20"/>
        </w:rPr>
      </w:pPr>
      <w:r>
        <w:rPr>
          <w:rFonts w:hint="eastAsia"/>
          <w:color w:val="231F20"/>
        </w:rPr>
        <w:t>Importantly, we have also seen once again that when the Spirit desires to encourage the saints with a revelation of what lies beyond the Consummation, he makes no mention whatsoever of a future millennial reign of Christ on earth, but points instead to life in glory in the new heavens and the new earth (15:1-4; 7:9-15, 14:1-5).</w:t>
      </w:r>
    </w:p>
    <w:p w14:paraId="5EC3C79B">
      <w:pPr>
        <w:pStyle w:val="9"/>
        <w:spacing w:after="0" w:line="249" w:lineRule="auto"/>
        <w:rPr>
          <w:rFonts w:hint="eastAsia"/>
          <w:color w:val="231F20"/>
        </w:rPr>
      </w:pPr>
      <w:r>
        <w:rPr>
          <w:rFonts w:hint="eastAsia"/>
          <w:color w:val="231F20"/>
        </w:rPr>
        <w:t>重要的是，我们再次看到，当圣灵渴望用一个关于最终成全之后事物的启示来鼓励圣徒时，祂完全没有提及基督在地上未来的千禧年统治，而是指向在新天新地里荣耀中的生活（15:1-4；7:9-15，14:1-5）。</w:t>
      </w:r>
    </w:p>
    <w:p w14:paraId="5A6E527F">
      <w:pPr>
        <w:pStyle w:val="9"/>
        <w:spacing w:after="0" w:line="249" w:lineRule="auto"/>
        <w:rPr>
          <w:rFonts w:hint="eastAsia"/>
          <w:color w:val="231F20"/>
        </w:rPr>
      </w:pPr>
    </w:p>
    <w:p w14:paraId="1793E1C8">
      <w:pPr>
        <w:pStyle w:val="9"/>
        <w:spacing w:after="0" w:line="249" w:lineRule="auto"/>
        <w:rPr>
          <w:rFonts w:hint="eastAsia"/>
          <w:color w:val="231F20"/>
        </w:rPr>
      </w:pPr>
      <w:r>
        <w:rPr>
          <w:rFonts w:hint="eastAsia"/>
          <w:color w:val="231F20"/>
        </w:rPr>
        <w:t>It appears, then, that the pattern proposed in our chart still holds.</w:t>
      </w:r>
    </w:p>
    <w:p w14:paraId="578386E9">
      <w:pPr>
        <w:pStyle w:val="9"/>
        <w:spacing w:after="0" w:line="249" w:lineRule="auto"/>
        <w:rPr>
          <w:rFonts w:hint="eastAsia"/>
          <w:color w:val="231F20"/>
        </w:rPr>
      </w:pPr>
      <w:r>
        <w:rPr>
          <w:rFonts w:hint="eastAsia"/>
          <w:color w:val="231F20"/>
        </w:rPr>
        <w:t>因此，看来我们图表中提出的模式仍然成立。</w:t>
      </w:r>
    </w:p>
    <w:p w14:paraId="1FC5CBBA">
      <w:pPr>
        <w:pStyle w:val="9"/>
        <w:spacing w:after="0" w:line="249" w:lineRule="auto"/>
        <w:rPr>
          <w:rFonts w:hint="eastAsia"/>
          <w:color w:val="231F20"/>
        </w:rPr>
      </w:pPr>
    </w:p>
    <w:p w14:paraId="0E7E3173">
      <w:pPr>
        <w:pStyle w:val="9"/>
        <w:spacing w:after="0" w:line="249" w:lineRule="auto"/>
        <w:rPr>
          <w:rFonts w:hint="eastAsia"/>
          <w:color w:val="231F20"/>
        </w:rPr>
      </w:pPr>
      <w:r>
        <w:rPr>
          <w:rFonts w:hint="eastAsia"/>
          <w:color w:val="231F20"/>
        </w:rPr>
        <w:t>But in order to make sure, let us take a few moments to probe the fifth cycle.</w:t>
      </w:r>
    </w:p>
    <w:p w14:paraId="202D3EDC">
      <w:pPr>
        <w:pStyle w:val="9"/>
        <w:spacing w:after="0" w:line="249" w:lineRule="auto"/>
        <w:rPr>
          <w:rFonts w:hint="eastAsia"/>
          <w:color w:val="231F20"/>
        </w:rPr>
      </w:pPr>
      <w:r>
        <w:rPr>
          <w:rFonts w:hint="eastAsia"/>
          <w:color w:val="231F20"/>
        </w:rPr>
        <w:t>但为了确保，让我们花些时间来探究第五个循环。</w:t>
      </w:r>
    </w:p>
    <w:p w14:paraId="6D6E970A">
      <w:pPr>
        <w:pStyle w:val="9"/>
        <w:spacing w:after="0" w:line="249" w:lineRule="auto"/>
        <w:rPr>
          <w:rFonts w:hint="eastAsia"/>
          <w:color w:val="231F20"/>
        </w:rPr>
      </w:pPr>
    </w:p>
    <w:p w14:paraId="2A8BE0FA">
      <w:pPr>
        <w:pStyle w:val="9"/>
        <w:spacing w:after="0" w:line="249" w:lineRule="auto"/>
        <w:rPr>
          <w:rFonts w:hint="eastAsia"/>
          <w:color w:val="231F20"/>
        </w:rPr>
      </w:pPr>
      <w:r>
        <w:rPr>
          <w:rFonts w:hint="eastAsia"/>
          <w:color w:val="231F20"/>
        </w:rPr>
        <w:t>Only then will we be in a position to look the sixth and most controversial cycle squarely in the face!</w:t>
      </w:r>
    </w:p>
    <w:p w14:paraId="1A8BDD98">
      <w:pPr>
        <w:pStyle w:val="9"/>
        <w:spacing w:after="0" w:line="249" w:lineRule="auto"/>
        <w:rPr>
          <w:rFonts w:hint="eastAsia"/>
          <w:color w:val="231F20"/>
        </w:rPr>
      </w:pPr>
      <w:r>
        <w:rPr>
          <w:rFonts w:hint="eastAsia"/>
          <w:color w:val="231F20"/>
        </w:rPr>
        <w:t>只有这样，我们才能坦然面对第六个也是最具争议的循环！</w:t>
      </w:r>
    </w:p>
    <w:p w14:paraId="0A3A26AE">
      <w:pPr>
        <w:pStyle w:val="9"/>
        <w:spacing w:after="0" w:line="249" w:lineRule="auto"/>
        <w:rPr>
          <w:rFonts w:hint="eastAsia"/>
          <w:color w:val="231F20"/>
        </w:rPr>
      </w:pPr>
    </w:p>
    <w:p w14:paraId="37DD41F4">
      <w:pPr>
        <w:pStyle w:val="9"/>
        <w:spacing w:after="0" w:line="249" w:lineRule="auto"/>
        <w:rPr>
          <w:rFonts w:hint="eastAsia"/>
          <w:color w:val="231F20"/>
        </w:rPr>
      </w:pPr>
      <w:r>
        <w:rPr>
          <w:rFonts w:hint="eastAsia"/>
          <w:color w:val="231F20"/>
        </w:rPr>
        <w:t>3.The Fall of the Dragon’s Helpers (17-19)</w:t>
      </w:r>
    </w:p>
    <w:p w14:paraId="273DC5C0">
      <w:pPr>
        <w:pStyle w:val="9"/>
        <w:spacing w:after="0" w:line="249" w:lineRule="auto"/>
        <w:rPr>
          <w:rFonts w:hint="eastAsia"/>
          <w:color w:val="231F20"/>
        </w:rPr>
      </w:pPr>
      <w:r>
        <w:rPr>
          <w:rFonts w:hint="eastAsia"/>
          <w:color w:val="231F20"/>
        </w:rPr>
        <w:t>3.龙的助手的倾倒（17-19）</w:t>
      </w:r>
    </w:p>
    <w:p w14:paraId="1D97E9CF">
      <w:pPr>
        <w:pStyle w:val="9"/>
        <w:spacing w:after="0" w:line="249" w:lineRule="auto"/>
        <w:rPr>
          <w:rFonts w:hint="eastAsia"/>
          <w:color w:val="231F20"/>
        </w:rPr>
      </w:pPr>
    </w:p>
    <w:p w14:paraId="76F19CAA">
      <w:pPr>
        <w:pStyle w:val="9"/>
        <w:spacing w:after="0" w:line="249" w:lineRule="auto"/>
        <w:rPr>
          <w:rFonts w:hint="eastAsia"/>
          <w:color w:val="231F20"/>
        </w:rPr>
      </w:pPr>
      <w:r>
        <w:rPr>
          <w:rFonts w:hint="eastAsia"/>
          <w:color w:val="231F20"/>
        </w:rPr>
        <w:t>The fifth and (I would argue) penultimate cycle of chapters 6-20 is devoted to the final destruction of all of the Dragon’s helpers, especially the Great Harlot, Babylon.</w:t>
      </w:r>
    </w:p>
    <w:p w14:paraId="544A1CA3">
      <w:pPr>
        <w:pStyle w:val="9"/>
        <w:spacing w:after="0" w:line="249" w:lineRule="auto"/>
        <w:rPr>
          <w:rFonts w:hint="eastAsia"/>
          <w:color w:val="231F20"/>
        </w:rPr>
      </w:pPr>
      <w:r>
        <w:rPr>
          <w:rFonts w:hint="eastAsia"/>
          <w:color w:val="231F20"/>
        </w:rPr>
        <w:t>第6-20章的第五个也是（我将论证）倒数第二个循环，致力于彻底毁灭所有龙的助手，特别是大淫妇巴比伦。</w:t>
      </w:r>
    </w:p>
    <w:p w14:paraId="786F188D">
      <w:pPr>
        <w:pStyle w:val="9"/>
        <w:spacing w:after="0" w:line="249" w:lineRule="auto"/>
        <w:rPr>
          <w:rFonts w:hint="eastAsia"/>
          <w:color w:val="231F20"/>
        </w:rPr>
      </w:pPr>
    </w:p>
    <w:p w14:paraId="2C1FDAD8">
      <w:pPr>
        <w:pStyle w:val="9"/>
        <w:spacing w:after="0" w:line="249" w:lineRule="auto"/>
        <w:rPr>
          <w:rFonts w:hint="eastAsia"/>
          <w:color w:val="231F20"/>
        </w:rPr>
      </w:pPr>
      <w:r>
        <w:rPr>
          <w:rFonts w:hint="eastAsia"/>
          <w:color w:val="231F20"/>
        </w:rPr>
        <w:t>It is marked by a high degree of progressivity: While there are certainly allusions to the large-scale course of Salvation History, here the emphasis is decidedly upon the Last Battle and the Last Judgment.</w:t>
      </w:r>
    </w:p>
    <w:p w14:paraId="42D6C9C1">
      <w:pPr>
        <w:pStyle w:val="9"/>
        <w:spacing w:after="0" w:line="249" w:lineRule="auto"/>
        <w:rPr>
          <w:rFonts w:hint="eastAsia"/>
          <w:color w:val="231F20"/>
        </w:rPr>
      </w:pPr>
      <w:r>
        <w:rPr>
          <w:rFonts w:hint="eastAsia"/>
          <w:color w:val="231F20"/>
        </w:rPr>
        <w:t>它的特点是高度的递进性：虽然肯定有对救赎历史宏大进程的暗指，但这里的重点明确地放在末日争战和最后审判上。</w:t>
      </w:r>
    </w:p>
    <w:p w14:paraId="469E78D0">
      <w:pPr>
        <w:pStyle w:val="9"/>
        <w:spacing w:after="0" w:line="249" w:lineRule="auto"/>
        <w:rPr>
          <w:rFonts w:hint="eastAsia"/>
          <w:color w:val="231F20"/>
        </w:rPr>
      </w:pPr>
    </w:p>
    <w:p w14:paraId="5F819CFF">
      <w:pPr>
        <w:pStyle w:val="9"/>
        <w:spacing w:after="0" w:line="249" w:lineRule="auto"/>
        <w:rPr>
          <w:rFonts w:hint="eastAsia"/>
          <w:color w:val="231F20"/>
        </w:rPr>
      </w:pPr>
      <w:r>
        <w:rPr>
          <w:rFonts w:hint="eastAsia"/>
          <w:color w:val="231F20"/>
        </w:rPr>
        <w:t>The cycle falls into two parts: 17:1-19:10 focuses on the fall of the Great Harlot; 19:11-21 focuses on the destruction of the Beast and the False Prophet.</w:t>
      </w:r>
    </w:p>
    <w:p w14:paraId="7278D0E6">
      <w:pPr>
        <w:pStyle w:val="9"/>
        <w:spacing w:after="0" w:line="249" w:lineRule="auto"/>
        <w:rPr>
          <w:rFonts w:hint="eastAsia"/>
          <w:color w:val="231F20"/>
        </w:rPr>
      </w:pPr>
      <w:r>
        <w:rPr>
          <w:rFonts w:hint="eastAsia"/>
          <w:color w:val="231F20"/>
        </w:rPr>
        <w:t>这个循环分为两部分：17:1-19:10聚焦于大淫妇的倾倒；19:11-21聚焦于兽和假先知的毁灭。</w:t>
      </w:r>
    </w:p>
    <w:p w14:paraId="4464F048">
      <w:pPr>
        <w:pStyle w:val="9"/>
        <w:spacing w:after="0" w:line="249" w:lineRule="auto"/>
        <w:rPr>
          <w:rFonts w:hint="eastAsia"/>
          <w:color w:val="231F20"/>
        </w:rPr>
      </w:pPr>
    </w:p>
    <w:p w14:paraId="1EB43F92">
      <w:pPr>
        <w:pStyle w:val="9"/>
        <w:spacing w:after="0" w:line="249" w:lineRule="auto"/>
        <w:rPr>
          <w:rFonts w:hint="eastAsia"/>
          <w:color w:val="231F20"/>
        </w:rPr>
      </w:pPr>
      <w:r>
        <w:rPr>
          <w:rFonts w:hint="eastAsia"/>
          <w:color w:val="231F20"/>
        </w:rPr>
        <w:t>Let us briefly survey the cycle in order to highlight its structure and primary symbols.</w:t>
      </w:r>
    </w:p>
    <w:p w14:paraId="323B1D30">
      <w:pPr>
        <w:pStyle w:val="9"/>
        <w:spacing w:after="0" w:line="249" w:lineRule="auto"/>
        <w:rPr>
          <w:rFonts w:hint="eastAsia"/>
          <w:color w:val="231F20"/>
        </w:rPr>
      </w:pPr>
      <w:r>
        <w:rPr>
          <w:rFonts w:hint="eastAsia"/>
          <w:color w:val="231F20"/>
        </w:rPr>
        <w:t>让我们简要地考察这个循环，以突显其结构和主要象征。</w:t>
      </w:r>
    </w:p>
    <w:p w14:paraId="6697A7BA">
      <w:pPr>
        <w:pStyle w:val="9"/>
        <w:spacing w:after="0" w:line="249" w:lineRule="auto"/>
        <w:rPr>
          <w:rFonts w:hint="eastAsia"/>
          <w:color w:val="231F20"/>
        </w:rPr>
      </w:pPr>
    </w:p>
    <w:p w14:paraId="6E7BEED6">
      <w:pPr>
        <w:pStyle w:val="9"/>
        <w:spacing w:after="0" w:line="249" w:lineRule="auto"/>
        <w:rPr>
          <w:rFonts w:hint="eastAsia"/>
          <w:color w:val="231F20"/>
        </w:rPr>
      </w:pPr>
      <w:r>
        <w:rPr>
          <w:rFonts w:hint="eastAsia"/>
          <w:color w:val="231F20"/>
        </w:rPr>
        <w:t>In 17:1-2, the Spirit announces the theme of the bulk of the cycle: the Judgment of the Great Harlot, previously mentioned in 14:8 and 16:19.</w:t>
      </w:r>
    </w:p>
    <w:p w14:paraId="394771C8">
      <w:pPr>
        <w:pStyle w:val="9"/>
        <w:spacing w:after="0" w:line="249" w:lineRule="auto"/>
        <w:rPr>
          <w:rFonts w:hint="eastAsia"/>
          <w:color w:val="231F20"/>
        </w:rPr>
      </w:pPr>
      <w:r>
        <w:rPr>
          <w:rFonts w:hint="eastAsia"/>
          <w:color w:val="231F20"/>
        </w:rPr>
        <w:t>在17:1-2，圣灵宣告了该循环大部分内容的主题：大淫妇的审判，这在14:8和16:19中曾被提及。</w:t>
      </w:r>
    </w:p>
    <w:p w14:paraId="4EF4EE53">
      <w:pPr>
        <w:pStyle w:val="9"/>
        <w:spacing w:after="0" w:line="249" w:lineRule="auto"/>
        <w:rPr>
          <w:rFonts w:hint="eastAsia"/>
          <w:color w:val="231F20"/>
        </w:rPr>
      </w:pPr>
    </w:p>
    <w:p w14:paraId="4AE1D7BC">
      <w:pPr>
        <w:pStyle w:val="9"/>
        <w:spacing w:after="0" w:line="249" w:lineRule="auto"/>
        <w:rPr>
          <w:rFonts w:hint="eastAsia"/>
          <w:color w:val="231F20"/>
        </w:rPr>
      </w:pPr>
      <w:r>
        <w:rPr>
          <w:rFonts w:hint="eastAsia"/>
          <w:color w:val="231F20"/>
        </w:rPr>
        <w:t>As we saw earlier, she represents the world-system as seductress.</w:t>
      </w:r>
    </w:p>
    <w:p w14:paraId="77B9ACD9">
      <w:pPr>
        <w:pStyle w:val="9"/>
        <w:spacing w:after="0" w:line="249" w:lineRule="auto"/>
        <w:rPr>
          <w:rFonts w:hint="eastAsia"/>
          <w:color w:val="231F20"/>
        </w:rPr>
      </w:pPr>
      <w:r>
        <w:rPr>
          <w:rFonts w:hint="eastAsia"/>
          <w:color w:val="231F20"/>
        </w:rPr>
        <w:t>正如我们先前所见，她代表作为引诱者的世界体系。</w:t>
      </w:r>
    </w:p>
    <w:p w14:paraId="71C8F13A">
      <w:pPr>
        <w:pStyle w:val="9"/>
        <w:spacing w:after="0" w:line="249" w:lineRule="auto"/>
        <w:rPr>
          <w:rFonts w:hint="eastAsia"/>
          <w:color w:val="231F20"/>
        </w:rPr>
      </w:pPr>
    </w:p>
    <w:p w14:paraId="18F45A9B">
      <w:pPr>
        <w:pStyle w:val="9"/>
        <w:spacing w:after="0" w:line="249" w:lineRule="auto"/>
        <w:rPr>
          <w:rFonts w:hint="eastAsia"/>
          <w:color w:val="231F20"/>
        </w:rPr>
      </w:pPr>
      <w:r>
        <w:rPr>
          <w:rFonts w:hint="eastAsia"/>
          <w:color w:val="231F20"/>
        </w:rPr>
        <w:t>Unlike the Woman of chapter 12, who seeks to draw men to their Creator and Redeemer (and so to their good), this wicked woman draws men away from God and Christ to herself (and so to their destruction).</w:t>
      </w:r>
    </w:p>
    <w:p w14:paraId="77284B3C">
      <w:pPr>
        <w:pStyle w:val="9"/>
        <w:spacing w:after="0" w:line="249" w:lineRule="auto"/>
        <w:rPr>
          <w:rFonts w:hint="eastAsia"/>
          <w:color w:val="231F20"/>
        </w:rPr>
      </w:pPr>
      <w:r>
        <w:rPr>
          <w:rFonts w:hint="eastAsia"/>
          <w:color w:val="231F20"/>
        </w:rPr>
        <w:t>与第12章的妇人不同，那妇人试图将人引向他们的创造主和救赎主（从而引向他们的益处），这个邪恶的女人则将人从上帝和基督那里引开，引向她自己（从而引向他们的毁灭）。</w:t>
      </w:r>
    </w:p>
    <w:p w14:paraId="54A81CF1">
      <w:pPr>
        <w:pStyle w:val="9"/>
        <w:spacing w:after="0" w:line="249" w:lineRule="auto"/>
        <w:rPr>
          <w:rFonts w:hint="eastAsia"/>
          <w:color w:val="231F20"/>
        </w:rPr>
      </w:pPr>
    </w:p>
    <w:p w14:paraId="1B47FEA9">
      <w:pPr>
        <w:pStyle w:val="9"/>
        <w:spacing w:after="0" w:line="249" w:lineRule="auto"/>
        <w:rPr>
          <w:rFonts w:hint="eastAsia"/>
          <w:color w:val="231F20"/>
        </w:rPr>
      </w:pPr>
      <w:r>
        <w:rPr>
          <w:rFonts w:hint="eastAsia"/>
          <w:color w:val="231F20"/>
        </w:rPr>
        <w:t>Therefore, she will be destroyed, along with all the (unrepentant) spiritual adulterers who have committed acts of immorality with her (James 4:4).</w:t>
      </w:r>
    </w:p>
    <w:p w14:paraId="4C29AEBB">
      <w:pPr>
        <w:pStyle w:val="9"/>
        <w:spacing w:after="0" w:line="249" w:lineRule="auto"/>
        <w:rPr>
          <w:rFonts w:hint="eastAsia"/>
          <w:color w:val="231F20"/>
        </w:rPr>
      </w:pPr>
      <w:r>
        <w:rPr>
          <w:rFonts w:hint="eastAsia"/>
          <w:color w:val="231F20"/>
        </w:rPr>
        <w:t>因此，她将被毁灭，连同所有与她行淫乱的（不悔改的）属灵通奸者一同被毁灭（雅各书4:4）。</w:t>
      </w:r>
    </w:p>
    <w:p w14:paraId="0AA9953B">
      <w:pPr>
        <w:pStyle w:val="9"/>
        <w:spacing w:after="0" w:line="249" w:lineRule="auto"/>
        <w:rPr>
          <w:rFonts w:hint="eastAsia"/>
          <w:color w:val="231F20"/>
        </w:rPr>
      </w:pPr>
    </w:p>
    <w:p w14:paraId="643D643D">
      <w:pPr>
        <w:pStyle w:val="9"/>
        <w:spacing w:after="0" w:line="249" w:lineRule="auto"/>
        <w:rPr>
          <w:rFonts w:hint="eastAsia"/>
          <w:color w:val="231F20"/>
        </w:rPr>
      </w:pPr>
      <w:r>
        <w:rPr>
          <w:rFonts w:hint="eastAsia"/>
          <w:color w:val="231F20"/>
        </w:rPr>
        <w:t>In verses 3-6, John describes his vision of the Great Harlot.</w:t>
      </w:r>
    </w:p>
    <w:p w14:paraId="3C13A834">
      <w:pPr>
        <w:pStyle w:val="9"/>
        <w:spacing w:after="0" w:line="249" w:lineRule="auto"/>
        <w:rPr>
          <w:rFonts w:hint="eastAsia"/>
          <w:color w:val="231F20"/>
        </w:rPr>
      </w:pPr>
      <w:r>
        <w:rPr>
          <w:rFonts w:hint="eastAsia"/>
          <w:color w:val="231F20"/>
        </w:rPr>
        <w:t>在第3-6节，约翰描述了他所见的大淫妇的异象。</w:t>
      </w:r>
    </w:p>
    <w:p w14:paraId="7079C3BB">
      <w:pPr>
        <w:pStyle w:val="9"/>
        <w:spacing w:after="0" w:line="249" w:lineRule="auto"/>
        <w:rPr>
          <w:rFonts w:hint="eastAsia"/>
          <w:color w:val="231F20"/>
        </w:rPr>
      </w:pPr>
    </w:p>
    <w:p w14:paraId="5AFB6CF0">
      <w:pPr>
        <w:pStyle w:val="9"/>
        <w:spacing w:after="0" w:line="249" w:lineRule="auto"/>
        <w:rPr>
          <w:rFonts w:hint="eastAsia"/>
          <w:color w:val="231F20"/>
        </w:rPr>
      </w:pPr>
      <w:r>
        <w:rPr>
          <w:rFonts w:hint="eastAsia"/>
          <w:color w:val="231F20"/>
        </w:rPr>
        <w:t>She is seated upon the Beast of 13:1-10.</w:t>
      </w:r>
    </w:p>
    <w:p w14:paraId="460E45DB">
      <w:pPr>
        <w:pStyle w:val="9"/>
        <w:spacing w:after="0" w:line="249" w:lineRule="auto"/>
        <w:rPr>
          <w:rFonts w:hint="eastAsia"/>
          <w:color w:val="231F20"/>
        </w:rPr>
      </w:pPr>
      <w:r>
        <w:rPr>
          <w:rFonts w:hint="eastAsia"/>
          <w:color w:val="231F20"/>
        </w:rPr>
        <w:t>她骑在13:1-10的兽上。</w:t>
      </w:r>
    </w:p>
    <w:p w14:paraId="501F90D4">
      <w:pPr>
        <w:pStyle w:val="9"/>
        <w:spacing w:after="0" w:line="249" w:lineRule="auto"/>
        <w:rPr>
          <w:rFonts w:hint="eastAsia"/>
          <w:color w:val="231F20"/>
        </w:rPr>
      </w:pPr>
    </w:p>
    <w:p w14:paraId="0FBA8964">
      <w:pPr>
        <w:pStyle w:val="9"/>
        <w:spacing w:after="0" w:line="249" w:lineRule="auto"/>
        <w:rPr>
          <w:rFonts w:hint="eastAsia"/>
          <w:color w:val="231F20"/>
        </w:rPr>
      </w:pPr>
      <w:r>
        <w:rPr>
          <w:rFonts w:hint="eastAsia"/>
          <w:color w:val="231F20"/>
        </w:rPr>
        <w:t>Here is the world-system as temptress, working in concert with the world-system as persecuting political power (17:3).</w:t>
      </w:r>
    </w:p>
    <w:p w14:paraId="4561B97B">
      <w:pPr>
        <w:pStyle w:val="9"/>
        <w:spacing w:after="0" w:line="249" w:lineRule="auto"/>
        <w:rPr>
          <w:rFonts w:hint="eastAsia"/>
          <w:color w:val="231F20"/>
        </w:rPr>
      </w:pPr>
      <w:r>
        <w:rPr>
          <w:rFonts w:hint="eastAsia"/>
          <w:color w:val="231F20"/>
        </w:rPr>
        <w:t>这里是作为引诱者的世界体系，与作为迫害性政治权力的世界体系协同工作（17:3）。</w:t>
      </w:r>
    </w:p>
    <w:p w14:paraId="3E0E1C2E">
      <w:pPr>
        <w:pStyle w:val="9"/>
        <w:spacing w:after="0" w:line="249" w:lineRule="auto"/>
        <w:rPr>
          <w:rFonts w:hint="eastAsia"/>
          <w:color w:val="231F20"/>
        </w:rPr>
      </w:pPr>
    </w:p>
    <w:p w14:paraId="61CC2452">
      <w:pPr>
        <w:pStyle w:val="9"/>
        <w:spacing w:after="0" w:line="249" w:lineRule="auto"/>
        <w:rPr>
          <w:rFonts w:hint="eastAsia"/>
          <w:color w:val="231F20"/>
        </w:rPr>
      </w:pPr>
      <w:r>
        <w:rPr>
          <w:rFonts w:hint="eastAsia"/>
          <w:color w:val="231F20"/>
        </w:rPr>
        <w:t>Gorgeously arrayed and holding in her hand a golden cup full of abominations, she is like the Rome of John’s day, enticing men to lives of idolatry, materialism, drunkenness, and sensuality (17:6).</w:t>
      </w:r>
    </w:p>
    <w:p w14:paraId="372A411E">
      <w:pPr>
        <w:pStyle w:val="9"/>
        <w:spacing w:after="0" w:line="249" w:lineRule="auto"/>
        <w:rPr>
          <w:rFonts w:hint="eastAsia"/>
          <w:color w:val="231F20"/>
        </w:rPr>
      </w:pPr>
      <w:r>
        <w:rPr>
          <w:rFonts w:hint="eastAsia"/>
          <w:color w:val="231F20"/>
        </w:rPr>
        <w:t>她衣着华丽，手中拿着一个盛满可憎之物的金杯，就像约翰时代的罗马，引诱人过着偶像崇拜、物质主义、醉酒和淫荡的生活（17:6）。</w:t>
      </w:r>
    </w:p>
    <w:p w14:paraId="0D0B87D7">
      <w:pPr>
        <w:pStyle w:val="9"/>
        <w:spacing w:after="0" w:line="249" w:lineRule="auto"/>
        <w:rPr>
          <w:rFonts w:hint="eastAsia"/>
          <w:color w:val="231F20"/>
        </w:rPr>
      </w:pPr>
    </w:p>
    <w:p w14:paraId="25984AC9">
      <w:pPr>
        <w:pStyle w:val="9"/>
        <w:spacing w:after="0" w:line="249" w:lineRule="auto"/>
        <w:rPr>
          <w:rFonts w:hint="eastAsia"/>
          <w:color w:val="231F20"/>
        </w:rPr>
      </w:pPr>
      <w:r>
        <w:rPr>
          <w:rFonts w:hint="eastAsia"/>
          <w:color w:val="231F20"/>
        </w:rPr>
        <w:t>But this is more than Rome.</w:t>
      </w:r>
    </w:p>
    <w:p w14:paraId="47AB3DC2">
      <w:pPr>
        <w:pStyle w:val="9"/>
        <w:spacing w:after="0" w:line="249" w:lineRule="auto"/>
        <w:rPr>
          <w:rFonts w:hint="eastAsia"/>
          <w:color w:val="231F20"/>
        </w:rPr>
      </w:pPr>
      <w:r>
        <w:rPr>
          <w:rFonts w:hint="eastAsia"/>
          <w:color w:val="231F20"/>
        </w:rPr>
        <w:t>但这不仅仅是罗马。</w:t>
      </w:r>
    </w:p>
    <w:p w14:paraId="511463B4">
      <w:pPr>
        <w:pStyle w:val="9"/>
        <w:spacing w:after="0" w:line="249" w:lineRule="auto"/>
        <w:rPr>
          <w:rFonts w:hint="eastAsia"/>
          <w:color w:val="231F20"/>
        </w:rPr>
      </w:pPr>
    </w:p>
    <w:p w14:paraId="103DFC6C">
      <w:pPr>
        <w:pStyle w:val="9"/>
        <w:spacing w:after="0" w:line="249" w:lineRule="auto"/>
        <w:rPr>
          <w:rFonts w:hint="eastAsia"/>
          <w:color w:val="231F20"/>
        </w:rPr>
      </w:pPr>
      <w:r>
        <w:rPr>
          <w:rFonts w:hint="eastAsia"/>
          <w:color w:val="231F20"/>
        </w:rPr>
        <w:t>This is Babylon the Great, the Mother of all spiritual harlots and all the abominations of the earth; this is, as it were, the satanic prototype that begets every historical incarnation of the world-system as temptress (17:5, Luke 4:6).</w:t>
      </w:r>
    </w:p>
    <w:p w14:paraId="115483F5">
      <w:pPr>
        <w:pStyle w:val="9"/>
        <w:spacing w:after="0" w:line="249" w:lineRule="auto"/>
        <w:rPr>
          <w:rFonts w:hint="eastAsia"/>
          <w:color w:val="231F20"/>
        </w:rPr>
      </w:pPr>
      <w:r>
        <w:rPr>
          <w:rFonts w:hint="eastAsia"/>
          <w:color w:val="231F20"/>
        </w:rPr>
        <w:t>这是大巴比伦，所有属灵淫妇和地上所有可憎之物的母；这可以说是撒但的原型，它孕育了世界体系作为引诱者的每一个历史化身（17:5，路4:6）。</w:t>
      </w:r>
    </w:p>
    <w:p w14:paraId="573800B8">
      <w:pPr>
        <w:pStyle w:val="9"/>
        <w:spacing w:after="0" w:line="249" w:lineRule="auto"/>
        <w:rPr>
          <w:rFonts w:hint="eastAsia"/>
          <w:color w:val="231F20"/>
        </w:rPr>
      </w:pPr>
    </w:p>
    <w:p w14:paraId="4254EB5C">
      <w:pPr>
        <w:pStyle w:val="9"/>
        <w:spacing w:after="0" w:line="249" w:lineRule="auto"/>
        <w:rPr>
          <w:rFonts w:hint="eastAsia"/>
          <w:color w:val="231F20"/>
        </w:rPr>
      </w:pPr>
      <w:r>
        <w:rPr>
          <w:rFonts w:hint="eastAsia"/>
          <w:color w:val="231F20"/>
        </w:rPr>
        <w:t>The saints of every generation have met and struggled with her corrupt children: Sodom, Egypt, Tyre, Sidon, Babylon, Rome, and the wealthy, sin-besotted cities of the modern world.</w:t>
      </w:r>
    </w:p>
    <w:p w14:paraId="7F7C7543">
      <w:pPr>
        <w:pStyle w:val="9"/>
        <w:spacing w:after="0" w:line="249" w:lineRule="auto"/>
        <w:rPr>
          <w:rFonts w:hint="eastAsia"/>
          <w:color w:val="231F20"/>
        </w:rPr>
      </w:pPr>
      <w:r>
        <w:rPr>
          <w:rFonts w:hint="eastAsia"/>
          <w:color w:val="231F20"/>
        </w:rPr>
        <w:t>每一代的圣徒都曾遇见并与她腐败的儿女们争战：所多玛、埃及、推罗、西顿、巴比伦、罗马，以及现代世界富裕而罪孽深重的城市。</w:t>
      </w:r>
    </w:p>
    <w:p w14:paraId="65BA0331">
      <w:pPr>
        <w:pStyle w:val="9"/>
        <w:spacing w:after="0" w:line="249" w:lineRule="auto"/>
        <w:rPr>
          <w:rFonts w:hint="eastAsia"/>
          <w:color w:val="231F20"/>
        </w:rPr>
      </w:pPr>
    </w:p>
    <w:p w14:paraId="5498AD5D">
      <w:pPr>
        <w:pStyle w:val="9"/>
        <w:spacing w:after="0" w:line="249" w:lineRule="auto"/>
        <w:rPr>
          <w:rFonts w:hint="eastAsia"/>
          <w:color w:val="231F20"/>
        </w:rPr>
      </w:pPr>
      <w:r>
        <w:rPr>
          <w:rFonts w:hint="eastAsia"/>
          <w:color w:val="231F20"/>
        </w:rPr>
        <w:t>Therefore, we see that she is drunk, not only with the wine of her own immorality, but also with the blood of the saints.</w:t>
      </w:r>
    </w:p>
    <w:p w14:paraId="45644118">
      <w:pPr>
        <w:pStyle w:val="9"/>
        <w:spacing w:after="0" w:line="249" w:lineRule="auto"/>
        <w:rPr>
          <w:rFonts w:hint="eastAsia"/>
          <w:color w:val="231F20"/>
        </w:rPr>
      </w:pPr>
      <w:r>
        <w:rPr>
          <w:rFonts w:hint="eastAsia"/>
          <w:color w:val="231F20"/>
        </w:rPr>
        <w:t>因此，我们看到她不仅醉了自己淫乱的酒，也醉了圣徒的血。</w:t>
      </w:r>
    </w:p>
    <w:p w14:paraId="3C45FCFC">
      <w:pPr>
        <w:pStyle w:val="9"/>
        <w:spacing w:after="0" w:line="249" w:lineRule="auto"/>
        <w:rPr>
          <w:rFonts w:hint="eastAsia"/>
          <w:color w:val="231F20"/>
        </w:rPr>
      </w:pPr>
    </w:p>
    <w:p w14:paraId="725B0730">
      <w:pPr>
        <w:pStyle w:val="9"/>
        <w:spacing w:after="0" w:line="249" w:lineRule="auto"/>
        <w:rPr>
          <w:rFonts w:hint="eastAsia"/>
          <w:color w:val="231F20"/>
        </w:rPr>
      </w:pPr>
      <w:r>
        <w:rPr>
          <w:rFonts w:hint="eastAsia"/>
          <w:color w:val="231F20"/>
        </w:rPr>
        <w:t>She cannot abide the light that emanates from them, light that pierces the darkness of her own soul.</w:t>
      </w:r>
    </w:p>
    <w:p w14:paraId="26BAD4C7">
      <w:pPr>
        <w:pStyle w:val="9"/>
        <w:spacing w:after="0" w:line="249" w:lineRule="auto"/>
        <w:rPr>
          <w:rFonts w:hint="eastAsia"/>
          <w:color w:val="231F20"/>
        </w:rPr>
      </w:pPr>
      <w:r>
        <w:rPr>
          <w:rFonts w:hint="eastAsia"/>
          <w:color w:val="231F20"/>
        </w:rPr>
        <w:t>她无法容忍从他们身上发出的光，那光刺透了她自己灵魂的黑暗。</w:t>
      </w:r>
    </w:p>
    <w:p w14:paraId="509D3C70">
      <w:pPr>
        <w:pStyle w:val="9"/>
        <w:spacing w:after="0" w:line="249" w:lineRule="auto"/>
        <w:rPr>
          <w:rFonts w:hint="eastAsia"/>
          <w:color w:val="231F20"/>
        </w:rPr>
      </w:pPr>
    </w:p>
    <w:p w14:paraId="16467EEE">
      <w:pPr>
        <w:pStyle w:val="9"/>
        <w:spacing w:after="0" w:line="249" w:lineRule="auto"/>
        <w:rPr>
          <w:rFonts w:hint="eastAsia"/>
          <w:color w:val="231F20"/>
        </w:rPr>
      </w:pPr>
      <w:r>
        <w:rPr>
          <w:rFonts w:hint="eastAsia"/>
          <w:color w:val="231F20"/>
        </w:rPr>
        <w:t>Therefore, as for Christ, so for the saints: She seeks to extinguish their light by putting them to death (17:6; John 1:5, 3:16-21, Rev. 11:10).</w:t>
      </w:r>
    </w:p>
    <w:p w14:paraId="5C31B110">
      <w:pPr>
        <w:pStyle w:val="9"/>
        <w:spacing w:after="0" w:line="249" w:lineRule="auto"/>
        <w:rPr>
          <w:rFonts w:hint="eastAsia"/>
          <w:color w:val="231F20"/>
        </w:rPr>
      </w:pPr>
      <w:r>
        <w:rPr>
          <w:rFonts w:hint="eastAsia"/>
          <w:color w:val="231F20"/>
        </w:rPr>
        <w:t>因此，对基督如此，对圣徒也如此：她企图通过置他们于死地来熄灭他们的光（17:6；约1:5，3:16-21，启11:10）。</w:t>
      </w:r>
    </w:p>
    <w:p w14:paraId="79907D0E">
      <w:pPr>
        <w:pStyle w:val="9"/>
        <w:spacing w:after="0" w:line="249" w:lineRule="auto"/>
        <w:rPr>
          <w:rFonts w:hint="eastAsia"/>
          <w:color w:val="231F20"/>
        </w:rPr>
      </w:pPr>
    </w:p>
    <w:p w14:paraId="5CF35934">
      <w:pPr>
        <w:pStyle w:val="9"/>
        <w:spacing w:after="0" w:line="249" w:lineRule="auto"/>
        <w:rPr>
          <w:rFonts w:hint="eastAsia"/>
          <w:color w:val="231F20"/>
        </w:rPr>
      </w:pPr>
      <w:r>
        <w:rPr>
          <w:rFonts w:hint="eastAsia"/>
          <w:color w:val="231F20"/>
        </w:rPr>
        <w:t>In verses 7-13 the angel opens up the meaning of the vision to the wondering apostle.</w:t>
      </w:r>
    </w:p>
    <w:p w14:paraId="675485A5">
      <w:pPr>
        <w:pStyle w:val="9"/>
        <w:spacing w:after="0" w:line="249" w:lineRule="auto"/>
        <w:rPr>
          <w:rFonts w:hint="eastAsia"/>
          <w:color w:val="231F20"/>
        </w:rPr>
      </w:pPr>
      <w:r>
        <w:rPr>
          <w:rFonts w:hint="eastAsia"/>
          <w:color w:val="231F20"/>
        </w:rPr>
        <w:t>在第7-13节，天使向惊奇的使徒揭示了这异象的意义。</w:t>
      </w:r>
    </w:p>
    <w:p w14:paraId="0E6F4181">
      <w:pPr>
        <w:pStyle w:val="9"/>
        <w:spacing w:after="0" w:line="249" w:lineRule="auto"/>
        <w:rPr>
          <w:rFonts w:hint="eastAsia"/>
          <w:color w:val="231F20"/>
        </w:rPr>
      </w:pPr>
    </w:p>
    <w:p w14:paraId="43A98190">
      <w:pPr>
        <w:pStyle w:val="9"/>
        <w:spacing w:after="0" w:line="249" w:lineRule="auto"/>
        <w:rPr>
          <w:rFonts w:hint="eastAsia"/>
          <w:color w:val="231F20"/>
        </w:rPr>
      </w:pPr>
      <w:r>
        <w:rPr>
          <w:rFonts w:hint="eastAsia"/>
          <w:color w:val="231F20"/>
        </w:rPr>
        <w:t>There is more here than the perennial collusion of the Beast and the Harlot.</w:t>
      </w:r>
    </w:p>
    <w:p w14:paraId="415483AA">
      <w:pPr>
        <w:pStyle w:val="9"/>
        <w:spacing w:after="0" w:line="249" w:lineRule="auto"/>
        <w:rPr>
          <w:rFonts w:hint="eastAsia"/>
          <w:color w:val="231F20"/>
        </w:rPr>
      </w:pPr>
      <w:r>
        <w:rPr>
          <w:rFonts w:hint="eastAsia"/>
          <w:color w:val="231F20"/>
        </w:rPr>
        <w:t>这里不仅仅是兽和淫妇常年的勾结。</w:t>
      </w:r>
    </w:p>
    <w:p w14:paraId="4E5CAF40">
      <w:pPr>
        <w:pStyle w:val="9"/>
        <w:spacing w:after="0" w:line="249" w:lineRule="auto"/>
        <w:rPr>
          <w:rFonts w:hint="eastAsia"/>
          <w:color w:val="231F20"/>
        </w:rPr>
      </w:pPr>
    </w:p>
    <w:p w14:paraId="18A2A045">
      <w:pPr>
        <w:pStyle w:val="9"/>
        <w:spacing w:after="0" w:line="249" w:lineRule="auto"/>
        <w:rPr>
          <w:rFonts w:hint="eastAsia"/>
          <w:color w:val="231F20"/>
        </w:rPr>
      </w:pPr>
      <w:r>
        <w:rPr>
          <w:rFonts w:hint="eastAsia"/>
          <w:color w:val="231F20"/>
        </w:rPr>
        <w:t>John is seeing a mystery, a previously hidden truth about the destiny of the Harlot, and the destiny of the saints as well.</w:t>
      </w:r>
    </w:p>
    <w:p w14:paraId="350B347C">
      <w:pPr>
        <w:pStyle w:val="9"/>
        <w:spacing w:after="0" w:line="249" w:lineRule="auto"/>
        <w:rPr>
          <w:rFonts w:hint="eastAsia"/>
          <w:color w:val="231F20"/>
        </w:rPr>
      </w:pPr>
      <w:r>
        <w:rPr>
          <w:rFonts w:hint="eastAsia"/>
          <w:color w:val="231F20"/>
        </w:rPr>
        <w:t>约翰正在看到一个奥秘，一个先前隐藏的关于淫妇命运以及圣徒命运的真理。</w:t>
      </w:r>
    </w:p>
    <w:p w14:paraId="27F2224F">
      <w:pPr>
        <w:pStyle w:val="9"/>
        <w:spacing w:after="0" w:line="249" w:lineRule="auto"/>
        <w:rPr>
          <w:rFonts w:hint="eastAsia"/>
          <w:color w:val="231F20"/>
        </w:rPr>
      </w:pPr>
    </w:p>
    <w:p w14:paraId="293975C2">
      <w:pPr>
        <w:pStyle w:val="9"/>
        <w:spacing w:after="0" w:line="249" w:lineRule="auto"/>
        <w:rPr>
          <w:rFonts w:hint="eastAsia"/>
          <w:color w:val="231F20"/>
        </w:rPr>
      </w:pPr>
      <w:r>
        <w:rPr>
          <w:rFonts w:hint="eastAsia"/>
          <w:color w:val="231F20"/>
        </w:rPr>
        <w:t>The details are notoriously difficult to interpret, and therefore disputed.</w:t>
      </w:r>
    </w:p>
    <w:p w14:paraId="50527738">
      <w:pPr>
        <w:pStyle w:val="9"/>
        <w:spacing w:after="0" w:line="249" w:lineRule="auto"/>
        <w:rPr>
          <w:rFonts w:hint="eastAsia"/>
          <w:color w:val="231F20"/>
        </w:rPr>
      </w:pPr>
      <w:r>
        <w:rPr>
          <w:rFonts w:hint="eastAsia"/>
          <w:color w:val="231F20"/>
        </w:rPr>
        <w:t>细节是众所周知的难以解释，因此存在争议。</w:t>
      </w:r>
    </w:p>
    <w:p w14:paraId="436A2E0B">
      <w:pPr>
        <w:pStyle w:val="9"/>
        <w:spacing w:after="0" w:line="249" w:lineRule="auto"/>
        <w:rPr>
          <w:rFonts w:hint="eastAsia"/>
          <w:color w:val="231F20"/>
        </w:rPr>
      </w:pPr>
    </w:p>
    <w:p w14:paraId="4C637D75">
      <w:pPr>
        <w:pStyle w:val="9"/>
        <w:spacing w:after="0" w:line="249" w:lineRule="auto"/>
        <w:rPr>
          <w:rFonts w:hint="eastAsia"/>
          <w:color w:val="231F20"/>
        </w:rPr>
      </w:pPr>
      <w:r>
        <w:rPr>
          <w:rFonts w:hint="eastAsia"/>
          <w:color w:val="231F20"/>
        </w:rPr>
        <w:t>My take is as follows: The Beast that John sees has indeed been around for ages, but it is not the Rome of his day; it is a final political power yet to come, one that both leaders and laity the world over will admire and follow (17:8).</w:t>
      </w:r>
    </w:p>
    <w:p w14:paraId="79A5A80C">
      <w:pPr>
        <w:pStyle w:val="9"/>
        <w:spacing w:after="0" w:line="249" w:lineRule="auto"/>
        <w:rPr>
          <w:rFonts w:hint="eastAsia"/>
          <w:color w:val="231F20"/>
        </w:rPr>
      </w:pPr>
      <w:r>
        <w:rPr>
          <w:rFonts w:hint="eastAsia"/>
          <w:color w:val="231F20"/>
        </w:rPr>
        <w:t>我的看法如下：约翰所见的兽确实已经存在了很久，但它不是他那个时代的罗马；它是一个尚未到来的最终政治权力，全世界的领袖和平民都将钦佩并追随它（17:8）。</w:t>
      </w:r>
    </w:p>
    <w:p w14:paraId="5CF4F1A4">
      <w:pPr>
        <w:pStyle w:val="9"/>
        <w:spacing w:after="0" w:line="249" w:lineRule="auto"/>
        <w:rPr>
          <w:rFonts w:hint="eastAsia"/>
          <w:color w:val="231F20"/>
        </w:rPr>
      </w:pPr>
    </w:p>
    <w:p w14:paraId="4B9A6606">
      <w:pPr>
        <w:pStyle w:val="9"/>
        <w:spacing w:after="0" w:line="249" w:lineRule="auto"/>
        <w:rPr>
          <w:rFonts w:hint="eastAsia"/>
          <w:color w:val="231F20"/>
        </w:rPr>
      </w:pPr>
      <w:r>
        <w:rPr>
          <w:rFonts w:hint="eastAsia"/>
          <w:color w:val="231F20"/>
        </w:rPr>
        <w:t>Its seven heads are seven mountains, both of which symbolize the “high” power centers of the earth; in the last of the last days they will be united as one.</w:t>
      </w:r>
    </w:p>
    <w:p w14:paraId="09A3D64A">
      <w:pPr>
        <w:pStyle w:val="9"/>
        <w:spacing w:after="0" w:line="249" w:lineRule="auto"/>
        <w:rPr>
          <w:rFonts w:hint="eastAsia"/>
          <w:color w:val="231F20"/>
        </w:rPr>
      </w:pPr>
      <w:r>
        <w:rPr>
          <w:rFonts w:hint="eastAsia"/>
          <w:color w:val="231F20"/>
        </w:rPr>
        <w:t>它的七个头是七座山，这两者都象征着地上的“高”权力中心；在末后的末期，它们将联合为一。</w:t>
      </w:r>
    </w:p>
    <w:p w14:paraId="125B2D72">
      <w:pPr>
        <w:pStyle w:val="9"/>
        <w:spacing w:after="0" w:line="249" w:lineRule="auto"/>
        <w:rPr>
          <w:rFonts w:hint="eastAsia"/>
          <w:color w:val="231F20"/>
        </w:rPr>
      </w:pPr>
    </w:p>
    <w:p w14:paraId="665B1803">
      <w:pPr>
        <w:pStyle w:val="9"/>
        <w:spacing w:after="0" w:line="249" w:lineRule="auto"/>
        <w:rPr>
          <w:rFonts w:hint="eastAsia"/>
          <w:color w:val="231F20"/>
        </w:rPr>
      </w:pPr>
      <w:r>
        <w:rPr>
          <w:rFonts w:hint="eastAsia"/>
          <w:color w:val="231F20"/>
        </w:rPr>
        <w:t>For a season, the Harlot (i.e., the economic and cultural system) will be comfortably seated upon them, enjoying favor with the final embodiment of the Beast, who recognizes her usefulness in the pursuit of his evil goals (17:9).</w:t>
      </w:r>
    </w:p>
    <w:p w14:paraId="4DD38B62">
      <w:pPr>
        <w:pStyle w:val="9"/>
        <w:spacing w:after="0" w:line="249" w:lineRule="auto"/>
        <w:rPr>
          <w:rFonts w:hint="eastAsia"/>
          <w:color w:val="231F20"/>
        </w:rPr>
      </w:pPr>
      <w:r>
        <w:rPr>
          <w:rFonts w:hint="eastAsia"/>
          <w:color w:val="231F20"/>
        </w:rPr>
        <w:t>在一个时期内，淫妇（即经济和文化体系）将安逸地坐在它们上面，享受着兽的最终化身的宠爱，兽承认她在追求其邪恶目标中的用处（17:9）。</w:t>
      </w:r>
    </w:p>
    <w:p w14:paraId="22869999">
      <w:pPr>
        <w:pStyle w:val="9"/>
        <w:spacing w:after="0" w:line="249" w:lineRule="auto"/>
        <w:rPr>
          <w:rFonts w:hint="eastAsia"/>
          <w:color w:val="231F20"/>
        </w:rPr>
      </w:pPr>
    </w:p>
    <w:p w14:paraId="23FBA450">
      <w:pPr>
        <w:pStyle w:val="9"/>
        <w:spacing w:after="0" w:line="249" w:lineRule="auto"/>
        <w:rPr>
          <w:rFonts w:hint="eastAsia"/>
          <w:color w:val="231F20"/>
        </w:rPr>
      </w:pPr>
      <w:r>
        <w:rPr>
          <w:rFonts w:hint="eastAsia"/>
          <w:color w:val="231F20"/>
        </w:rPr>
        <w:t>The seven heads also represent seven kings (i.e., kingdoms).</w:t>
      </w:r>
    </w:p>
    <w:p w14:paraId="08D16DBB">
      <w:pPr>
        <w:pStyle w:val="9"/>
        <w:spacing w:after="0" w:line="249" w:lineRule="auto"/>
        <w:rPr>
          <w:rFonts w:hint="eastAsia"/>
          <w:color w:val="231F20"/>
        </w:rPr>
      </w:pPr>
      <w:r>
        <w:rPr>
          <w:rFonts w:hint="eastAsia"/>
          <w:color w:val="231F20"/>
        </w:rPr>
        <w:t>七个头也代表七个王（即七个国）。</w:t>
      </w:r>
    </w:p>
    <w:p w14:paraId="6303607C">
      <w:pPr>
        <w:pStyle w:val="9"/>
        <w:spacing w:after="0" w:line="249" w:lineRule="auto"/>
        <w:rPr>
          <w:rFonts w:hint="eastAsia"/>
          <w:color w:val="231F20"/>
        </w:rPr>
      </w:pPr>
    </w:p>
    <w:p w14:paraId="57377F03">
      <w:pPr>
        <w:pStyle w:val="9"/>
        <w:spacing w:after="0" w:line="249" w:lineRule="auto"/>
        <w:rPr>
          <w:rFonts w:hint="eastAsia"/>
          <w:color w:val="231F20"/>
        </w:rPr>
      </w:pPr>
      <w:r>
        <w:rPr>
          <w:rFonts w:hint="eastAsia"/>
          <w:color w:val="231F20"/>
        </w:rPr>
        <w:t>Here we learn something about the history of the Beast: five (of his previous incarnations) have fallen, one is (i.e., Rome), and one (the final one) is yet to come.</w:t>
      </w:r>
    </w:p>
    <w:p w14:paraId="10E5319D">
      <w:pPr>
        <w:pStyle w:val="9"/>
        <w:spacing w:after="0" w:line="249" w:lineRule="auto"/>
        <w:rPr>
          <w:rFonts w:hint="eastAsia"/>
          <w:color w:val="231F20"/>
        </w:rPr>
      </w:pPr>
      <w:r>
        <w:rPr>
          <w:rFonts w:hint="eastAsia"/>
          <w:color w:val="231F20"/>
        </w:rPr>
        <w:t>在这里我们了解到一些关于兽的历史：五个（它以前的化身）已经倾倒了，一个是（即罗马），还有一个（最后一个）将要来。</w:t>
      </w:r>
    </w:p>
    <w:p w14:paraId="177C9765">
      <w:pPr>
        <w:pStyle w:val="9"/>
        <w:spacing w:after="0" w:line="249" w:lineRule="auto"/>
        <w:rPr>
          <w:rFonts w:hint="eastAsia"/>
          <w:color w:val="231F20"/>
        </w:rPr>
      </w:pPr>
    </w:p>
    <w:p w14:paraId="23B7E637">
      <w:pPr>
        <w:pStyle w:val="9"/>
        <w:spacing w:after="0" w:line="249" w:lineRule="auto"/>
        <w:rPr>
          <w:rFonts w:hint="eastAsia"/>
          <w:color w:val="231F20"/>
        </w:rPr>
      </w:pPr>
      <w:r>
        <w:rPr>
          <w:rFonts w:hint="eastAsia"/>
          <w:color w:val="231F20"/>
        </w:rPr>
        <w:t>However, it will endure only briefly, for Christ himself will destroy it at his Parousia (17:10, 19:20).</w:t>
      </w:r>
    </w:p>
    <w:p w14:paraId="055B9D9C">
      <w:pPr>
        <w:pStyle w:val="9"/>
        <w:spacing w:after="0" w:line="249" w:lineRule="auto"/>
        <w:rPr>
          <w:rFonts w:hint="eastAsia"/>
          <w:color w:val="231F20"/>
        </w:rPr>
      </w:pPr>
      <w:r>
        <w:rPr>
          <w:rFonts w:hint="eastAsia"/>
          <w:color w:val="231F20"/>
        </w:rPr>
        <w:t>然而，它只会持续很短的时间，因为基督祂自己将在祂的主临（Parousia）时摧毁它（17:10, 19:20）。</w:t>
      </w:r>
    </w:p>
    <w:p w14:paraId="4C5995A5">
      <w:pPr>
        <w:pStyle w:val="9"/>
        <w:spacing w:after="0" w:line="249" w:lineRule="auto"/>
        <w:rPr>
          <w:rFonts w:hint="eastAsia"/>
          <w:color w:val="231F20"/>
        </w:rPr>
      </w:pPr>
    </w:p>
    <w:p w14:paraId="59BA2E1B">
      <w:pPr>
        <w:pStyle w:val="9"/>
        <w:spacing w:after="0" w:line="249" w:lineRule="auto"/>
        <w:rPr>
          <w:rFonts w:hint="eastAsia"/>
          <w:color w:val="231F20"/>
        </w:rPr>
      </w:pPr>
      <w:r>
        <w:rPr>
          <w:rFonts w:hint="eastAsia"/>
          <w:color w:val="231F20"/>
        </w:rPr>
        <w:t>The final incarnation of the Beast will be an eighth king, yet one of the seven.</w:t>
      </w:r>
    </w:p>
    <w:p w14:paraId="752B92F2">
      <w:pPr>
        <w:pStyle w:val="9"/>
        <w:spacing w:after="0" w:line="249" w:lineRule="auto"/>
        <w:rPr>
          <w:rFonts w:hint="eastAsia"/>
          <w:color w:val="231F20"/>
        </w:rPr>
      </w:pPr>
      <w:r>
        <w:rPr>
          <w:rFonts w:hint="eastAsia"/>
          <w:color w:val="231F20"/>
        </w:rPr>
        <w:t>兽的最终化身将是第八个王，但又是那七个中的一个。</w:t>
      </w:r>
    </w:p>
    <w:p w14:paraId="5F4D3C4A">
      <w:pPr>
        <w:pStyle w:val="9"/>
        <w:spacing w:after="0" w:line="249" w:lineRule="auto"/>
        <w:rPr>
          <w:rFonts w:hint="eastAsia"/>
          <w:color w:val="231F20"/>
        </w:rPr>
      </w:pPr>
    </w:p>
    <w:p w14:paraId="41A9C1E6">
      <w:pPr>
        <w:pStyle w:val="9"/>
        <w:spacing w:after="0" w:line="249" w:lineRule="auto"/>
        <w:rPr>
          <w:rFonts w:hint="eastAsia"/>
          <w:color w:val="231F20"/>
        </w:rPr>
      </w:pPr>
      <w:r>
        <w:rPr>
          <w:rFonts w:hint="eastAsia"/>
          <w:color w:val="231F20"/>
        </w:rPr>
        <w:t>In other words, the final kingdom will be the same as one of the others (i.e., a revival of one of the others: Rome, according to Daniel 2 and 7), yet also different from it, in that, for power and geographical extent, it will sum up and surpass all the rest (17:11).</w:t>
      </w:r>
    </w:p>
    <w:p w14:paraId="30790F7E">
      <w:pPr>
        <w:pStyle w:val="9"/>
        <w:spacing w:after="0" w:line="249" w:lineRule="auto"/>
        <w:rPr>
          <w:rFonts w:hint="eastAsia"/>
          <w:color w:val="231F20"/>
        </w:rPr>
      </w:pPr>
      <w:r>
        <w:rPr>
          <w:rFonts w:hint="eastAsia"/>
          <w:color w:val="231F20"/>
        </w:rPr>
        <w:t>换句话说，最后的国度将与其他的国度之一相同（即，其中之一的复兴：根据但以理书第2章和第7章，是罗马），但又与它不同，因为在权力和地理范围上，它将总结并超越所有其余的（17:11）。</w:t>
      </w:r>
    </w:p>
    <w:p w14:paraId="00AEB6FF">
      <w:pPr>
        <w:pStyle w:val="9"/>
        <w:spacing w:after="0" w:line="249" w:lineRule="auto"/>
        <w:rPr>
          <w:rFonts w:hint="eastAsia"/>
          <w:color w:val="231F20"/>
        </w:rPr>
      </w:pPr>
    </w:p>
    <w:p w14:paraId="4A5EFB6C">
      <w:pPr>
        <w:pStyle w:val="9"/>
        <w:spacing w:after="0" w:line="249" w:lineRule="auto"/>
        <w:rPr>
          <w:rFonts w:hint="eastAsia"/>
          <w:color w:val="231F20"/>
        </w:rPr>
      </w:pPr>
      <w:r>
        <w:rPr>
          <w:rFonts w:hint="eastAsia"/>
          <w:color w:val="231F20"/>
        </w:rPr>
        <w:t>In those days, all the power-centers of the world-system (symbolized by the ten kings) will join with the Beast and embrace his great purpose, which is to crush the true spiritual Church and exalt itself as God over all (17:12-14, 2 Thess. 2:ff).</w:t>
      </w:r>
    </w:p>
    <w:p w14:paraId="1D856BD0">
      <w:pPr>
        <w:pStyle w:val="9"/>
        <w:spacing w:after="0" w:line="249" w:lineRule="auto"/>
        <w:rPr>
          <w:rFonts w:hint="eastAsia"/>
          <w:color w:val="231F20"/>
        </w:rPr>
      </w:pPr>
      <w:r>
        <w:rPr>
          <w:rFonts w:hint="eastAsia"/>
          <w:color w:val="231F20"/>
        </w:rPr>
        <w:t>在那些日子里，世界体系的所有权力中心（由十王象征）将与兽联合，并拥抱其伟大的目的，即粉碎真正的属灵教会，并将自己高举为凌驾于万有之上的上帝（17:12-14，帖后2章及以下）。</w:t>
      </w:r>
    </w:p>
    <w:p w14:paraId="1CA1385F">
      <w:pPr>
        <w:pStyle w:val="9"/>
        <w:spacing w:after="0" w:line="249" w:lineRule="auto"/>
        <w:rPr>
          <w:rFonts w:hint="eastAsia"/>
          <w:color w:val="231F20"/>
        </w:rPr>
      </w:pPr>
    </w:p>
    <w:p w14:paraId="05519B2F">
      <w:pPr>
        <w:pStyle w:val="9"/>
        <w:spacing w:after="0" w:line="249" w:lineRule="auto"/>
        <w:rPr>
          <w:rFonts w:hint="eastAsia"/>
          <w:color w:val="231F20"/>
        </w:rPr>
      </w:pPr>
      <w:r>
        <w:rPr>
          <w:rFonts w:hint="eastAsia"/>
          <w:color w:val="231F20"/>
        </w:rPr>
        <w:t>In verses 14-18 the angel continues his exposition of the eschatological mystery, but now turns to the theme that will dominate the rest of the cycle: the final destruction of the Harlot, the Beast, and the False Prophet.</w:t>
      </w:r>
    </w:p>
    <w:p w14:paraId="7331EED0">
      <w:pPr>
        <w:pStyle w:val="9"/>
        <w:spacing w:after="0" w:line="249" w:lineRule="auto"/>
        <w:rPr>
          <w:rFonts w:hint="eastAsia"/>
          <w:color w:val="231F20"/>
        </w:rPr>
      </w:pPr>
      <w:r>
        <w:rPr>
          <w:rFonts w:hint="eastAsia"/>
          <w:color w:val="231F20"/>
        </w:rPr>
        <w:t>在第14-18节，天使继续他对象征末世奥秘的阐述，但现在转向将主导该循环剩余部分的主题：淫妇、兽和假先知的最终毁灭。</w:t>
      </w:r>
    </w:p>
    <w:p w14:paraId="72ABC651">
      <w:pPr>
        <w:pStyle w:val="9"/>
        <w:spacing w:after="0" w:line="249" w:lineRule="auto"/>
        <w:rPr>
          <w:rFonts w:hint="eastAsia"/>
          <w:color w:val="231F20"/>
        </w:rPr>
      </w:pPr>
    </w:p>
    <w:p w14:paraId="226F4BBF">
      <w:pPr>
        <w:pStyle w:val="9"/>
        <w:spacing w:after="0" w:line="249" w:lineRule="auto"/>
        <w:rPr>
          <w:rFonts w:hint="eastAsia"/>
          <w:color w:val="231F20"/>
        </w:rPr>
      </w:pPr>
      <w:r>
        <w:rPr>
          <w:rFonts w:hint="eastAsia"/>
          <w:color w:val="231F20"/>
        </w:rPr>
        <w:t>He begins by tersely announcing the Last Battle, and then, as usual, the triumph of the Lamb and his faithful followers that will immediately ensue (17:14).</w:t>
      </w:r>
    </w:p>
    <w:p w14:paraId="0D1DD1D8">
      <w:pPr>
        <w:pStyle w:val="9"/>
        <w:spacing w:after="0" w:line="249" w:lineRule="auto"/>
        <w:rPr>
          <w:rFonts w:hint="eastAsia"/>
          <w:color w:val="231F20"/>
        </w:rPr>
      </w:pPr>
      <w:r>
        <w:rPr>
          <w:rFonts w:hint="eastAsia"/>
          <w:color w:val="231F20"/>
        </w:rPr>
        <w:t>他开始时简要地宣告了末日争战，然后，像往常一样，宣告了羔羊和祂忠心跟随者紧随其后的胜利（17:14）。</w:t>
      </w:r>
    </w:p>
    <w:p w14:paraId="7BAC7A35">
      <w:pPr>
        <w:pStyle w:val="9"/>
        <w:spacing w:after="0" w:line="249" w:lineRule="auto"/>
        <w:rPr>
          <w:rFonts w:hint="eastAsia"/>
          <w:color w:val="231F20"/>
        </w:rPr>
      </w:pPr>
    </w:p>
    <w:p w14:paraId="2A1C9FB7">
      <w:pPr>
        <w:pStyle w:val="9"/>
        <w:spacing w:after="0" w:line="249" w:lineRule="auto"/>
        <w:rPr>
          <w:rFonts w:hint="eastAsia"/>
          <w:color w:val="231F20"/>
        </w:rPr>
      </w:pPr>
      <w:r>
        <w:rPr>
          <w:rFonts w:hint="eastAsia"/>
          <w:color w:val="231F20"/>
        </w:rPr>
        <w:t>Notably, in those days the Harlot will finally sit as queen over all the nations, much as Rome (nearly) did in John’s time (17:15, 18:17).</w:t>
      </w:r>
    </w:p>
    <w:p w14:paraId="05CC8C9B">
      <w:pPr>
        <w:pStyle w:val="9"/>
        <w:spacing w:after="0" w:line="249" w:lineRule="auto"/>
        <w:rPr>
          <w:rFonts w:hint="eastAsia"/>
          <w:color w:val="231F20"/>
        </w:rPr>
      </w:pPr>
      <w:r>
        <w:rPr>
          <w:rFonts w:hint="eastAsia"/>
          <w:color w:val="231F20"/>
        </w:rPr>
        <w:t>值得注意的是，在那些日子里，淫妇最终将像女王一样统治万国，就像罗马在约翰时代（几乎）所做的那样（17:15，18:17）。</w:t>
      </w:r>
    </w:p>
    <w:p w14:paraId="15A0E283">
      <w:pPr>
        <w:pStyle w:val="9"/>
        <w:spacing w:after="0" w:line="249" w:lineRule="auto"/>
        <w:rPr>
          <w:rFonts w:hint="eastAsia"/>
          <w:color w:val="231F20"/>
        </w:rPr>
      </w:pPr>
    </w:p>
    <w:p w14:paraId="7EC27B33">
      <w:pPr>
        <w:pStyle w:val="9"/>
        <w:spacing w:after="0" w:line="249" w:lineRule="auto"/>
        <w:rPr>
          <w:rFonts w:hint="eastAsia"/>
          <w:color w:val="231F20"/>
        </w:rPr>
      </w:pPr>
      <w:r>
        <w:rPr>
          <w:rFonts w:hint="eastAsia"/>
          <w:color w:val="231F20"/>
        </w:rPr>
        <w:t>However, just prior to Christ’s return, God will put it into the heart of the Beast and his violent retinue of world leaders to devour her flesh.</w:t>
      </w:r>
    </w:p>
    <w:p w14:paraId="7284F0A6">
      <w:pPr>
        <w:pStyle w:val="9"/>
        <w:spacing w:after="0" w:line="249" w:lineRule="auto"/>
        <w:rPr>
          <w:rFonts w:hint="eastAsia"/>
          <w:color w:val="231F20"/>
        </w:rPr>
      </w:pPr>
      <w:r>
        <w:rPr>
          <w:rFonts w:hint="eastAsia"/>
          <w:color w:val="231F20"/>
        </w:rPr>
        <w:t>然而，就在基督再来之前，上帝将把这意念放在兽和他那群暴力的世界领袖心中，去吞吃她的肉。</w:t>
      </w:r>
    </w:p>
    <w:p w14:paraId="145C09F5">
      <w:pPr>
        <w:pStyle w:val="9"/>
        <w:spacing w:after="0" w:line="249" w:lineRule="auto"/>
        <w:rPr>
          <w:rFonts w:hint="eastAsia"/>
          <w:color w:val="231F20"/>
        </w:rPr>
      </w:pPr>
    </w:p>
    <w:p w14:paraId="08BE2CFB">
      <w:pPr>
        <w:pStyle w:val="9"/>
        <w:spacing w:after="0" w:line="249" w:lineRule="auto"/>
        <w:rPr>
          <w:rFonts w:hint="eastAsia"/>
          <w:color w:val="231F20"/>
        </w:rPr>
      </w:pPr>
      <w:r>
        <w:rPr>
          <w:rFonts w:hint="eastAsia"/>
          <w:color w:val="231F20"/>
        </w:rPr>
        <w:t>Presumably, this is the desolation of the global economy and culture as a result of the rampant militarism of the Antichrist’s one-world government (17:16-17).</w:t>
      </w:r>
    </w:p>
    <w:p w14:paraId="0BDE7A56">
      <w:pPr>
        <w:pStyle w:val="9"/>
        <w:spacing w:after="0" w:line="249" w:lineRule="auto"/>
        <w:rPr>
          <w:rFonts w:hint="eastAsia"/>
          <w:color w:val="231F20"/>
        </w:rPr>
      </w:pPr>
      <w:r>
        <w:rPr>
          <w:rFonts w:hint="eastAsia"/>
          <w:color w:val="231F20"/>
        </w:rPr>
        <w:t>据推测，这是由于敌基督的单一世界政府猖獗的军国主义，导致全球经济和文化的荒凉（17:16-17）。</w:t>
      </w:r>
    </w:p>
    <w:p w14:paraId="03799EB0">
      <w:pPr>
        <w:pStyle w:val="9"/>
        <w:spacing w:after="0" w:line="249" w:lineRule="auto"/>
        <w:rPr>
          <w:rFonts w:hint="eastAsia"/>
          <w:color w:val="231F20"/>
        </w:rPr>
      </w:pPr>
    </w:p>
    <w:p w14:paraId="15746163">
      <w:pPr>
        <w:pStyle w:val="9"/>
        <w:spacing w:after="0" w:line="249" w:lineRule="auto"/>
        <w:rPr>
          <w:rFonts w:hint="eastAsia"/>
          <w:color w:val="231F20"/>
        </w:rPr>
      </w:pPr>
      <w:r>
        <w:rPr>
          <w:rFonts w:hint="eastAsia"/>
          <w:color w:val="231F20"/>
        </w:rPr>
        <w:t>As a prelude to the divine destruction of sinners at Christ’s return, Providence will first display the self-destructive power of sin itself.</w:t>
      </w:r>
    </w:p>
    <w:p w14:paraId="7854FEC6">
      <w:pPr>
        <w:pStyle w:val="9"/>
        <w:spacing w:after="0" w:line="249" w:lineRule="auto"/>
        <w:rPr>
          <w:rFonts w:hint="eastAsia"/>
          <w:color w:val="231F20"/>
        </w:rPr>
      </w:pPr>
      <w:r>
        <w:rPr>
          <w:rFonts w:hint="eastAsia"/>
          <w:color w:val="231F20"/>
        </w:rPr>
        <w:t>作为基督再来时神圣地毁灭罪人的前奏，护理将首先展示罪本身的自我毁灭力量。</w:t>
      </w:r>
    </w:p>
    <w:p w14:paraId="1E788AD8">
      <w:pPr>
        <w:pStyle w:val="9"/>
        <w:spacing w:after="0" w:line="249" w:lineRule="auto"/>
        <w:rPr>
          <w:rFonts w:hint="eastAsia"/>
          <w:color w:val="231F20"/>
        </w:rPr>
      </w:pPr>
    </w:p>
    <w:p w14:paraId="78D4DF2C">
      <w:pPr>
        <w:pStyle w:val="9"/>
        <w:spacing w:after="0" w:line="249" w:lineRule="auto"/>
        <w:rPr>
          <w:rFonts w:hint="eastAsia"/>
          <w:color w:val="231F20"/>
        </w:rPr>
      </w:pPr>
      <w:r>
        <w:rPr>
          <w:rFonts w:hint="eastAsia"/>
          <w:color w:val="231F20"/>
        </w:rPr>
        <w:t>In chapter 18, we reach the threshold of the Judgment of the Great Harlot.</w:t>
      </w:r>
    </w:p>
    <w:p w14:paraId="3A8FC144">
      <w:pPr>
        <w:pStyle w:val="9"/>
        <w:spacing w:after="0" w:line="249" w:lineRule="auto"/>
        <w:rPr>
          <w:rFonts w:hint="eastAsia"/>
          <w:color w:val="231F20"/>
        </w:rPr>
      </w:pPr>
      <w:r>
        <w:rPr>
          <w:rFonts w:hint="eastAsia"/>
          <w:color w:val="231F20"/>
        </w:rPr>
        <w:t>在第18章，我们来到了审判大淫妇的门槛。</w:t>
      </w:r>
    </w:p>
    <w:p w14:paraId="390EB38D">
      <w:pPr>
        <w:pStyle w:val="9"/>
        <w:spacing w:after="0" w:line="249" w:lineRule="auto"/>
        <w:rPr>
          <w:rFonts w:hint="eastAsia"/>
          <w:color w:val="231F20"/>
        </w:rPr>
      </w:pPr>
    </w:p>
    <w:p w14:paraId="4437F2B5">
      <w:pPr>
        <w:pStyle w:val="9"/>
        <w:spacing w:after="0" w:line="249" w:lineRule="auto"/>
        <w:rPr>
          <w:rFonts w:hint="eastAsia"/>
          <w:color w:val="231F20"/>
        </w:rPr>
      </w:pPr>
      <w:r>
        <w:rPr>
          <w:rFonts w:hint="eastAsia"/>
          <w:color w:val="231F20"/>
        </w:rPr>
        <w:t>It opens with an angel descending from heaven, heralding her imminent demise: She is about to become a dwelling place of demons, a prison-house of every unclean spirit and hated bird.</w:t>
      </w:r>
    </w:p>
    <w:p w14:paraId="4ABEB8A0">
      <w:pPr>
        <w:pStyle w:val="9"/>
        <w:spacing w:after="0" w:line="249" w:lineRule="auto"/>
        <w:rPr>
          <w:rFonts w:hint="eastAsia"/>
          <w:color w:val="231F20"/>
        </w:rPr>
      </w:pPr>
      <w:r>
        <w:rPr>
          <w:rFonts w:hint="eastAsia"/>
          <w:color w:val="231F20"/>
        </w:rPr>
        <w:t>它以一位天使从天降下开始，宣告她即将来临的灭亡：她将要成为鬼魔的住处，各样污秽之灵和可憎之雀鸟的巢穴。</w:t>
      </w:r>
    </w:p>
    <w:p w14:paraId="0064EBE9">
      <w:pPr>
        <w:pStyle w:val="9"/>
        <w:spacing w:after="0" w:line="249" w:lineRule="auto"/>
        <w:rPr>
          <w:rFonts w:hint="eastAsia"/>
          <w:color w:val="231F20"/>
        </w:rPr>
      </w:pPr>
    </w:p>
    <w:p w14:paraId="5E5A7E5D">
      <w:pPr>
        <w:pStyle w:val="9"/>
        <w:spacing w:after="0" w:line="249" w:lineRule="auto"/>
        <w:rPr>
          <w:rFonts w:hint="eastAsia"/>
          <w:color w:val="231F20"/>
        </w:rPr>
      </w:pPr>
      <w:r>
        <w:rPr>
          <w:rFonts w:hint="eastAsia"/>
          <w:color w:val="231F20"/>
        </w:rPr>
        <w:t>In short, she is about to be cast into hell (18:2; Isaiah 13:21f, 34:11, 13-15, Rev. 19:20).</w:t>
      </w:r>
    </w:p>
    <w:p w14:paraId="132D8BEA">
      <w:pPr>
        <w:pStyle w:val="9"/>
        <w:spacing w:after="0" w:line="249" w:lineRule="auto"/>
        <w:rPr>
          <w:rFonts w:hint="eastAsia"/>
          <w:color w:val="231F20"/>
        </w:rPr>
      </w:pPr>
      <w:r>
        <w:rPr>
          <w:rFonts w:hint="eastAsia"/>
          <w:color w:val="231F20"/>
        </w:rPr>
        <w:t>简而言之，她将要被扔进地狱（18:2；以赛亚书13:21及以下，34:11，13-15，启示录19:20）。</w:t>
      </w:r>
    </w:p>
    <w:p w14:paraId="08152B37">
      <w:pPr>
        <w:pStyle w:val="9"/>
        <w:spacing w:after="0" w:line="249" w:lineRule="auto"/>
        <w:rPr>
          <w:rFonts w:hint="eastAsia"/>
          <w:color w:val="231F20"/>
        </w:rPr>
      </w:pPr>
    </w:p>
    <w:p w14:paraId="56BB71F9">
      <w:pPr>
        <w:pStyle w:val="9"/>
        <w:spacing w:after="0" w:line="249" w:lineRule="auto"/>
        <w:rPr>
          <w:rFonts w:hint="eastAsia"/>
          <w:color w:val="231F20"/>
        </w:rPr>
      </w:pPr>
      <w:r>
        <w:rPr>
          <w:rFonts w:hint="eastAsia"/>
          <w:color w:val="231F20"/>
        </w:rPr>
        <w:t>For this reason, a heavenly voice issues a final warning to God’s people: Like Lot of old, and like the Israelite remnant of Babylon, they must come out of her lest they share in her plagues.</w:t>
      </w:r>
    </w:p>
    <w:p w14:paraId="7EEADAF3">
      <w:pPr>
        <w:pStyle w:val="9"/>
        <w:spacing w:after="0" w:line="249" w:lineRule="auto"/>
        <w:rPr>
          <w:rFonts w:hint="eastAsia"/>
          <w:color w:val="231F20"/>
        </w:rPr>
      </w:pPr>
      <w:r>
        <w:rPr>
          <w:rFonts w:hint="eastAsia"/>
          <w:color w:val="231F20"/>
        </w:rPr>
        <w:t>因此，一个天上的声音向着上帝的子民发出最后的警告：像古时的罗得，像巴比伦的以色列余民，他们必须从她中间出来，免得与她一同有分于她的灾殃。</w:t>
      </w:r>
    </w:p>
    <w:p w14:paraId="699D7A7F">
      <w:pPr>
        <w:pStyle w:val="9"/>
        <w:spacing w:after="0" w:line="249" w:lineRule="auto"/>
        <w:rPr>
          <w:rFonts w:hint="eastAsia"/>
          <w:color w:val="231F20"/>
        </w:rPr>
      </w:pPr>
    </w:p>
    <w:p w14:paraId="7681707B">
      <w:pPr>
        <w:pStyle w:val="9"/>
        <w:spacing w:after="0" w:line="249" w:lineRule="auto"/>
        <w:rPr>
          <w:rFonts w:hint="eastAsia"/>
          <w:color w:val="231F20"/>
        </w:rPr>
      </w:pPr>
      <w:r>
        <w:rPr>
          <w:rFonts w:hint="eastAsia"/>
          <w:color w:val="231F20"/>
        </w:rPr>
        <w:t>These are the final, eschatological plagues: God Almighty himself, with his arm fully bared, will requite her for her sins once and for all (18:4-8; Isaiah 48:20, Jer. 51:45).</w:t>
      </w:r>
    </w:p>
    <w:p w14:paraId="7AB79857">
      <w:pPr>
        <w:pStyle w:val="9"/>
        <w:spacing w:after="0" w:line="249" w:lineRule="auto"/>
        <w:rPr>
          <w:rFonts w:hint="eastAsia"/>
          <w:color w:val="231F20"/>
        </w:rPr>
      </w:pPr>
      <w:r>
        <w:rPr>
          <w:rFonts w:hint="eastAsia"/>
          <w:color w:val="231F20"/>
        </w:rPr>
        <w:t>这些是最后的、末世的灾殃：全能的上帝祂自己，祂的膀臂完全显露，将为她的罪一劳永逸地报应她（18:4-8；以赛亚书48:20，耶利米书51:45）。</w:t>
      </w:r>
    </w:p>
    <w:p w14:paraId="17C3E24C">
      <w:pPr>
        <w:pStyle w:val="9"/>
        <w:spacing w:after="0" w:line="249" w:lineRule="auto"/>
        <w:rPr>
          <w:rFonts w:hint="eastAsia"/>
          <w:color w:val="231F20"/>
        </w:rPr>
      </w:pPr>
    </w:p>
    <w:p w14:paraId="6B9E97AC">
      <w:pPr>
        <w:pStyle w:val="9"/>
        <w:spacing w:after="0" w:line="249" w:lineRule="auto"/>
        <w:rPr>
          <w:rFonts w:hint="eastAsia"/>
          <w:color w:val="231F20"/>
        </w:rPr>
      </w:pPr>
      <w:r>
        <w:rPr>
          <w:rFonts w:hint="eastAsia"/>
          <w:color w:val="231F20"/>
        </w:rPr>
        <w:t>Drawing heavily upon OT oracles of the doom of Tyre (Ezekiel 27) and Babylon (Jeremiah 50-51), verses 9-20 give us all the inhabitants of the earth, both princes and people, lamenting the sudden, fiery destruction of the Great City and its treasure-trove of merchandise, both material and human.</w:t>
      </w:r>
    </w:p>
    <w:p w14:paraId="6ED1BD7D">
      <w:pPr>
        <w:pStyle w:val="9"/>
        <w:spacing w:after="0" w:line="249" w:lineRule="auto"/>
        <w:rPr>
          <w:rFonts w:hint="eastAsia"/>
          <w:color w:val="231F20"/>
        </w:rPr>
      </w:pPr>
      <w:r>
        <w:rPr>
          <w:rFonts w:hint="eastAsia"/>
          <w:color w:val="231F20"/>
        </w:rPr>
        <w:t>第9-20节大量借鉴了旧约关于推罗（以西结书27章）和巴比伦（耶利米书50-51章）厄运的神谕，向我们展示了地上所有的居民，包括君王和百姓，为那大城及其物质和人力的商品宝库突然被火毁灭而哀哭。</w:t>
      </w:r>
    </w:p>
    <w:p w14:paraId="44412C1E">
      <w:pPr>
        <w:pStyle w:val="9"/>
        <w:spacing w:after="0" w:line="249" w:lineRule="auto"/>
        <w:rPr>
          <w:rFonts w:hint="eastAsia"/>
          <w:color w:val="231F20"/>
        </w:rPr>
      </w:pPr>
    </w:p>
    <w:p w14:paraId="14ED8CF2">
      <w:pPr>
        <w:pStyle w:val="9"/>
        <w:spacing w:after="0" w:line="249" w:lineRule="auto"/>
        <w:rPr>
          <w:rFonts w:hint="eastAsia"/>
          <w:color w:val="231F20"/>
        </w:rPr>
      </w:pPr>
      <w:r>
        <w:rPr>
          <w:rFonts w:hint="eastAsia"/>
          <w:color w:val="231F20"/>
        </w:rPr>
        <w:t>It is a graphic picture of what the apostle Paul called “the sorrow of the world” (2 Cor. 7:10).</w:t>
      </w:r>
    </w:p>
    <w:p w14:paraId="0D25E491">
      <w:pPr>
        <w:pStyle w:val="9"/>
        <w:spacing w:after="0" w:line="249" w:lineRule="auto"/>
        <w:rPr>
          <w:rFonts w:hint="eastAsia"/>
          <w:color w:val="231F20"/>
        </w:rPr>
      </w:pPr>
      <w:r>
        <w:rPr>
          <w:rFonts w:hint="eastAsia"/>
          <w:color w:val="231F20"/>
        </w:rPr>
        <w:t>这是使徒保罗所称的“世俗的忧愁”的一幅生动图画（林后7:10）。</w:t>
      </w:r>
    </w:p>
    <w:p w14:paraId="668B3BB8">
      <w:pPr>
        <w:pStyle w:val="9"/>
        <w:spacing w:after="0" w:line="249" w:lineRule="auto"/>
        <w:rPr>
          <w:rFonts w:hint="eastAsia"/>
          <w:color w:val="231F20"/>
        </w:rPr>
      </w:pPr>
    </w:p>
    <w:p w14:paraId="63D483AA">
      <w:pPr>
        <w:pStyle w:val="9"/>
        <w:spacing w:after="0" w:line="249" w:lineRule="auto"/>
        <w:rPr>
          <w:rFonts w:hint="eastAsia"/>
          <w:color w:val="231F20"/>
        </w:rPr>
      </w:pPr>
      <w:r>
        <w:rPr>
          <w:rFonts w:hint="eastAsia"/>
          <w:color w:val="231F20"/>
        </w:rPr>
        <w:t>Yes, these who weep and wail and throw dust on their heads are sad, but not over the manifold ways in which they have dishonored their Creator, or over their vicious treatment of his saints, or even over their failure to enter heaven.</w:t>
      </w:r>
    </w:p>
    <w:p w14:paraId="7D7AF82F">
      <w:pPr>
        <w:pStyle w:val="9"/>
        <w:spacing w:after="0" w:line="249" w:lineRule="auto"/>
        <w:rPr>
          <w:rFonts w:hint="eastAsia"/>
          <w:color w:val="231F20"/>
        </w:rPr>
      </w:pPr>
      <w:r>
        <w:rPr>
          <w:rFonts w:hint="eastAsia"/>
          <w:color w:val="231F20"/>
        </w:rPr>
        <w:t>是的，这些哭泣、哀号、把尘土撒在头上的人是悲伤的，但不是为他们曾以多种方式羞辱他们的创造主，或为他们对祂圣徒的恶劣对待，甚至不是为他们未能进入天堂而悲伤。</w:t>
      </w:r>
    </w:p>
    <w:p w14:paraId="459F6536">
      <w:pPr>
        <w:pStyle w:val="9"/>
        <w:spacing w:after="0" w:line="249" w:lineRule="auto"/>
        <w:rPr>
          <w:rFonts w:hint="eastAsia"/>
          <w:color w:val="231F20"/>
        </w:rPr>
      </w:pPr>
    </w:p>
    <w:p w14:paraId="584318DF">
      <w:pPr>
        <w:pStyle w:val="9"/>
        <w:spacing w:after="0" w:line="249" w:lineRule="auto"/>
        <w:rPr>
          <w:rFonts w:hint="eastAsia"/>
          <w:color w:val="231F20"/>
        </w:rPr>
      </w:pPr>
      <w:r>
        <w:rPr>
          <w:rFonts w:hint="eastAsia"/>
          <w:color w:val="231F20"/>
        </w:rPr>
        <w:t>No, here in hell itself (which is the true locus of their cries of woe) they can think of nothing to lament besides the loss of their (former) goods.</w:t>
      </w:r>
    </w:p>
    <w:p w14:paraId="53239642">
      <w:pPr>
        <w:pStyle w:val="9"/>
        <w:spacing w:after="0" w:line="249" w:lineRule="auto"/>
        <w:rPr>
          <w:rFonts w:hint="eastAsia"/>
          <w:color w:val="231F20"/>
        </w:rPr>
      </w:pPr>
      <w:r>
        <w:rPr>
          <w:rFonts w:hint="eastAsia"/>
          <w:color w:val="231F20"/>
        </w:rPr>
        <w:t>不，在这里，在地狱本身（这才是他们哀哭的真正所在），除了失去他们（以前的）财物之外，他们想不出任何可以哀叹的事情。</w:t>
      </w:r>
    </w:p>
    <w:p w14:paraId="6FA0F969">
      <w:pPr>
        <w:pStyle w:val="9"/>
        <w:spacing w:after="0" w:line="249" w:lineRule="auto"/>
        <w:rPr>
          <w:rFonts w:hint="eastAsia"/>
          <w:color w:val="231F20"/>
        </w:rPr>
      </w:pPr>
    </w:p>
    <w:p w14:paraId="442FC624">
      <w:pPr>
        <w:pStyle w:val="9"/>
        <w:spacing w:after="0" w:line="249" w:lineRule="auto"/>
        <w:rPr>
          <w:rFonts w:hint="eastAsia"/>
          <w:color w:val="231F20"/>
        </w:rPr>
      </w:pPr>
      <w:r>
        <w:rPr>
          <w:rFonts w:hint="eastAsia"/>
          <w:color w:val="231F20"/>
        </w:rPr>
        <w:t>It has happened to them according to Jesus’ parable of the rich man and Lazarus: In their brief lifetime on earth they received their good things, while the saints received their evil things.</w:t>
      </w:r>
    </w:p>
    <w:p w14:paraId="02E71474">
      <w:pPr>
        <w:pStyle w:val="9"/>
        <w:spacing w:after="0" w:line="249" w:lineRule="auto"/>
        <w:rPr>
          <w:rFonts w:hint="eastAsia"/>
          <w:color w:val="231F20"/>
        </w:rPr>
      </w:pPr>
      <w:r>
        <w:rPr>
          <w:rFonts w:hint="eastAsia"/>
          <w:color w:val="231F20"/>
        </w:rPr>
        <w:t>这事发生在他们身上，正如耶稣关于财主和拉撒路的比喻所说：他们在地上短暂的一生中，已经享了他们的福，而圣徒则受了他们的苦。</w:t>
      </w:r>
    </w:p>
    <w:p w14:paraId="2607ECF9">
      <w:pPr>
        <w:pStyle w:val="9"/>
        <w:spacing w:after="0" w:line="249" w:lineRule="auto"/>
        <w:rPr>
          <w:rFonts w:hint="eastAsia"/>
          <w:color w:val="231F20"/>
        </w:rPr>
      </w:pPr>
    </w:p>
    <w:p w14:paraId="3595B170">
      <w:pPr>
        <w:pStyle w:val="9"/>
        <w:spacing w:after="0" w:line="249" w:lineRule="auto"/>
        <w:rPr>
          <w:rFonts w:hint="eastAsia"/>
          <w:color w:val="231F20"/>
        </w:rPr>
      </w:pPr>
      <w:r>
        <w:rPr>
          <w:rFonts w:hint="eastAsia"/>
          <w:color w:val="231F20"/>
        </w:rPr>
        <w:t>Now, however, the saints are forever comforted, while they themselves are tormented (Rev. 18:10, 15; Luke 16:25).</w:t>
      </w:r>
    </w:p>
    <w:p w14:paraId="7D944046">
      <w:pPr>
        <w:pStyle w:val="9"/>
        <w:spacing w:after="0" w:line="249" w:lineRule="auto"/>
        <w:rPr>
          <w:rFonts w:hint="eastAsia"/>
          <w:color w:val="231F20"/>
        </w:rPr>
      </w:pPr>
      <w:r>
        <w:rPr>
          <w:rFonts w:hint="eastAsia"/>
          <w:color w:val="231F20"/>
        </w:rPr>
        <w:t>然而，现在圣徒永远得了安慰，而他们自己却受痛苦（启18:10, 15；路16:25）。</w:t>
      </w:r>
    </w:p>
    <w:p w14:paraId="468A1FA3">
      <w:pPr>
        <w:pStyle w:val="9"/>
        <w:spacing w:after="0" w:line="249" w:lineRule="auto"/>
        <w:rPr>
          <w:rFonts w:hint="eastAsia"/>
          <w:color w:val="231F20"/>
        </w:rPr>
      </w:pPr>
    </w:p>
    <w:p w14:paraId="43885EF9">
      <w:pPr>
        <w:pStyle w:val="9"/>
        <w:spacing w:after="0" w:line="249" w:lineRule="auto"/>
        <w:rPr>
          <w:rFonts w:hint="eastAsia"/>
          <w:color w:val="231F20"/>
        </w:rPr>
      </w:pPr>
      <w:r>
        <w:rPr>
          <w:rFonts w:hint="eastAsia"/>
          <w:color w:val="231F20"/>
        </w:rPr>
        <w:t>This is an administration of perfect justice, in which God calls the suffering saints to rejoice (18:20).</w:t>
      </w:r>
    </w:p>
    <w:p w14:paraId="71C93005">
      <w:pPr>
        <w:pStyle w:val="9"/>
        <w:spacing w:after="0" w:line="249" w:lineRule="auto"/>
        <w:rPr>
          <w:rFonts w:hint="eastAsia"/>
          <w:color w:val="231F20"/>
        </w:rPr>
      </w:pPr>
      <w:r>
        <w:rPr>
          <w:rFonts w:hint="eastAsia"/>
          <w:color w:val="231F20"/>
        </w:rPr>
        <w:t>这是完全公义的施行，上帝呼召受苦的圣徒为此欢欣（18:20）。</w:t>
      </w:r>
    </w:p>
    <w:p w14:paraId="36423645">
      <w:pPr>
        <w:pStyle w:val="9"/>
        <w:spacing w:after="0" w:line="249" w:lineRule="auto"/>
        <w:rPr>
          <w:rFonts w:hint="eastAsia"/>
          <w:color w:val="231F20"/>
        </w:rPr>
      </w:pPr>
    </w:p>
    <w:p w14:paraId="24401225">
      <w:pPr>
        <w:pStyle w:val="9"/>
        <w:spacing w:after="0" w:line="249" w:lineRule="auto"/>
        <w:rPr>
          <w:rFonts w:hint="eastAsia"/>
          <w:color w:val="231F20"/>
        </w:rPr>
      </w:pPr>
      <w:r>
        <w:rPr>
          <w:rFonts w:hint="eastAsia"/>
          <w:color w:val="231F20"/>
        </w:rPr>
        <w:t>Verses 21-24 bring the chapter to a close with yet another vision: A strong angel takes up a huge stone and casts it into the sea.</w:t>
      </w:r>
    </w:p>
    <w:p w14:paraId="088B8AA7">
      <w:pPr>
        <w:pStyle w:val="9"/>
        <w:spacing w:after="0" w:line="249" w:lineRule="auto"/>
        <w:rPr>
          <w:rFonts w:hint="eastAsia"/>
          <w:color w:val="231F20"/>
        </w:rPr>
      </w:pPr>
      <w:r>
        <w:rPr>
          <w:rFonts w:hint="eastAsia"/>
          <w:color w:val="231F20"/>
        </w:rPr>
        <w:t>第21-24节以另一个异象结束了本章：一位大力的天使举起一块巨大的石头，扔进海里。</w:t>
      </w:r>
    </w:p>
    <w:p w14:paraId="31849E88">
      <w:pPr>
        <w:pStyle w:val="9"/>
        <w:spacing w:after="0" w:line="249" w:lineRule="auto"/>
        <w:rPr>
          <w:rFonts w:hint="eastAsia"/>
          <w:color w:val="231F20"/>
        </w:rPr>
      </w:pPr>
    </w:p>
    <w:p w14:paraId="0657C0B9">
      <w:pPr>
        <w:pStyle w:val="9"/>
        <w:spacing w:after="0" w:line="249" w:lineRule="auto"/>
        <w:rPr>
          <w:rFonts w:hint="eastAsia"/>
          <w:color w:val="231F20"/>
        </w:rPr>
      </w:pPr>
      <w:r>
        <w:rPr>
          <w:rFonts w:hint="eastAsia"/>
          <w:color w:val="231F20"/>
        </w:rPr>
        <w:t>Just so, great Babylon will be thrown down with violence, and will be seen no more.</w:t>
      </w:r>
    </w:p>
    <w:p w14:paraId="3A861389">
      <w:pPr>
        <w:pStyle w:val="9"/>
        <w:spacing w:after="0" w:line="249" w:lineRule="auto"/>
        <w:rPr>
          <w:rFonts w:hint="eastAsia"/>
          <w:color w:val="231F20"/>
        </w:rPr>
      </w:pPr>
      <w:r>
        <w:rPr>
          <w:rFonts w:hint="eastAsia"/>
          <w:color w:val="231F20"/>
        </w:rPr>
        <w:t>就这样，大巴比伦将被猛力地推倒，再也看不见了。</w:t>
      </w:r>
    </w:p>
    <w:p w14:paraId="0C79712E">
      <w:pPr>
        <w:pStyle w:val="9"/>
        <w:spacing w:after="0" w:line="249" w:lineRule="auto"/>
        <w:rPr>
          <w:rFonts w:hint="eastAsia"/>
          <w:color w:val="231F20"/>
        </w:rPr>
      </w:pPr>
    </w:p>
    <w:p w14:paraId="40581870">
      <w:pPr>
        <w:pStyle w:val="9"/>
        <w:spacing w:after="0" w:line="249" w:lineRule="auto"/>
        <w:rPr>
          <w:rFonts w:hint="eastAsia"/>
          <w:color w:val="231F20"/>
        </w:rPr>
      </w:pPr>
      <w:r>
        <w:rPr>
          <w:rFonts w:hint="eastAsia"/>
          <w:color w:val="231F20"/>
        </w:rPr>
        <w:t>Moreover, in hell God will remove from her denuded precincts every one of his good gifts, gifts that ought to have led her to repentance, but that instead she made into idols: music, craft, the pleasures of married life, light itself.</w:t>
      </w:r>
    </w:p>
    <w:p w14:paraId="7D987D48">
      <w:pPr>
        <w:pStyle w:val="9"/>
        <w:spacing w:after="0" w:line="249" w:lineRule="auto"/>
        <w:rPr>
          <w:rFonts w:hint="eastAsia"/>
          <w:color w:val="231F20"/>
        </w:rPr>
      </w:pPr>
      <w:r>
        <w:rPr>
          <w:rFonts w:hint="eastAsia"/>
          <w:color w:val="231F20"/>
        </w:rPr>
        <w:t>此外，在地狱里，上帝将从她被剥夺的区域中除去祂每一件美好的恩赐，这些恩赐本应引导她悔改，但她却将它们变成了偶像：音乐、手艺、婚姻生活的乐趣，甚至光明本身。</w:t>
      </w:r>
    </w:p>
    <w:p w14:paraId="1F0CEAD6">
      <w:pPr>
        <w:pStyle w:val="9"/>
        <w:spacing w:after="0" w:line="249" w:lineRule="auto"/>
        <w:rPr>
          <w:rFonts w:hint="eastAsia"/>
          <w:color w:val="231F20"/>
        </w:rPr>
      </w:pPr>
    </w:p>
    <w:p w14:paraId="5AC5842B">
      <w:pPr>
        <w:pStyle w:val="9"/>
        <w:spacing w:after="0" w:line="249" w:lineRule="auto"/>
        <w:rPr>
          <w:rFonts w:hint="eastAsia"/>
          <w:color w:val="231F20"/>
        </w:rPr>
      </w:pPr>
      <w:r>
        <w:rPr>
          <w:rFonts w:hint="eastAsia"/>
          <w:color w:val="231F20"/>
        </w:rPr>
        <w:t>If only the Great City had listened to the message of the saints and prophets who pleaded with her to repent, instead of spilling their blood in her streets.</w:t>
      </w:r>
    </w:p>
    <w:p w14:paraId="20861068">
      <w:pPr>
        <w:pStyle w:val="9"/>
        <w:spacing w:after="0" w:line="249" w:lineRule="auto"/>
        <w:rPr>
          <w:rFonts w:hint="eastAsia"/>
          <w:color w:val="231F20"/>
        </w:rPr>
      </w:pPr>
      <w:r>
        <w:rPr>
          <w:rFonts w:hint="eastAsia"/>
          <w:color w:val="231F20"/>
        </w:rPr>
        <w:t>要是那大城听了那些恳求她悔改的圣徒和先知的信息，而不是在她的街上流他们的血就好了。</w:t>
      </w:r>
    </w:p>
    <w:p w14:paraId="095BFAEC">
      <w:pPr>
        <w:pStyle w:val="9"/>
        <w:spacing w:after="0" w:line="249" w:lineRule="auto"/>
        <w:rPr>
          <w:rFonts w:hint="eastAsia"/>
          <w:color w:val="231F20"/>
        </w:rPr>
      </w:pPr>
    </w:p>
    <w:p w14:paraId="56F3BBDE">
      <w:pPr>
        <w:pStyle w:val="9"/>
        <w:spacing w:after="0" w:line="249" w:lineRule="auto"/>
        <w:rPr>
          <w:rFonts w:hint="eastAsia"/>
          <w:color w:val="231F20"/>
        </w:rPr>
      </w:pPr>
      <w:r>
        <w:rPr>
          <w:rFonts w:hint="eastAsia"/>
          <w:color w:val="231F20"/>
        </w:rPr>
        <w:t>For now, at Christ’s coming in judgment, her time for repentance is past.</w:t>
      </w:r>
    </w:p>
    <w:p w14:paraId="3FAAD844">
      <w:pPr>
        <w:pStyle w:val="9"/>
        <w:spacing w:after="0" w:line="249" w:lineRule="auto"/>
        <w:rPr>
          <w:rFonts w:hint="eastAsia"/>
          <w:color w:val="231F20"/>
        </w:rPr>
      </w:pPr>
      <w:r>
        <w:rPr>
          <w:rFonts w:hint="eastAsia"/>
          <w:color w:val="231F20"/>
        </w:rPr>
        <w:t>因为现在，在基督降临施行审判之时，她悔改的时候已经过去了。</w:t>
      </w:r>
    </w:p>
    <w:p w14:paraId="3BFD0792">
      <w:pPr>
        <w:pStyle w:val="9"/>
        <w:spacing w:after="0" w:line="249" w:lineRule="auto"/>
        <w:rPr>
          <w:rFonts w:hint="eastAsia"/>
          <w:color w:val="231F20"/>
        </w:rPr>
      </w:pPr>
    </w:p>
    <w:p w14:paraId="138E12FD">
      <w:pPr>
        <w:pStyle w:val="9"/>
        <w:spacing w:after="0" w:line="249" w:lineRule="auto"/>
        <w:rPr>
          <w:rFonts w:hint="eastAsia"/>
          <w:color w:val="231F20"/>
        </w:rPr>
      </w:pPr>
      <w:r>
        <w:rPr>
          <w:rFonts w:hint="eastAsia"/>
          <w:color w:val="231F20"/>
        </w:rPr>
        <w:t>In 19:1-10 John brings the vision of the fall of the Harlot to a close.</w:t>
      </w:r>
    </w:p>
    <w:p w14:paraId="6CFD3E9D">
      <w:pPr>
        <w:pStyle w:val="9"/>
        <w:spacing w:after="0" w:line="249" w:lineRule="auto"/>
        <w:rPr>
          <w:rFonts w:hint="eastAsia"/>
          <w:color w:val="231F20"/>
        </w:rPr>
      </w:pPr>
      <w:r>
        <w:rPr>
          <w:rFonts w:hint="eastAsia"/>
          <w:color w:val="231F20"/>
        </w:rPr>
        <w:t>在19:1-10，约翰结束了关于淫妇倾倒的异象。</w:t>
      </w:r>
    </w:p>
    <w:p w14:paraId="6963A0A2">
      <w:pPr>
        <w:pStyle w:val="9"/>
        <w:spacing w:after="0" w:line="249" w:lineRule="auto"/>
        <w:rPr>
          <w:rFonts w:hint="eastAsia"/>
          <w:color w:val="231F20"/>
        </w:rPr>
      </w:pPr>
    </w:p>
    <w:p w14:paraId="189FDF6D">
      <w:pPr>
        <w:pStyle w:val="9"/>
        <w:spacing w:after="0" w:line="249" w:lineRule="auto"/>
        <w:rPr>
          <w:rFonts w:hint="eastAsia"/>
          <w:color w:val="231F20"/>
        </w:rPr>
      </w:pPr>
      <w:r>
        <w:rPr>
          <w:rFonts w:hint="eastAsia"/>
          <w:color w:val="231F20"/>
        </w:rPr>
        <w:t>Christ has come again.</w:t>
      </w:r>
    </w:p>
    <w:p w14:paraId="4980F9FB">
      <w:pPr>
        <w:pStyle w:val="9"/>
        <w:spacing w:after="0" w:line="249" w:lineRule="auto"/>
        <w:rPr>
          <w:rFonts w:hint="eastAsia"/>
          <w:color w:val="231F20"/>
        </w:rPr>
      </w:pPr>
      <w:r>
        <w:rPr>
          <w:rFonts w:hint="eastAsia"/>
          <w:color w:val="231F20"/>
        </w:rPr>
        <w:t>基督已经再来。</w:t>
      </w:r>
    </w:p>
    <w:p w14:paraId="3735DE5D">
      <w:pPr>
        <w:pStyle w:val="9"/>
        <w:spacing w:after="0" w:line="249" w:lineRule="auto"/>
        <w:rPr>
          <w:rFonts w:hint="eastAsia"/>
          <w:color w:val="231F20"/>
        </w:rPr>
      </w:pPr>
    </w:p>
    <w:p w14:paraId="645080BD">
      <w:pPr>
        <w:pStyle w:val="9"/>
        <w:spacing w:after="0" w:line="249" w:lineRule="auto"/>
        <w:rPr>
          <w:rFonts w:hint="eastAsia"/>
          <w:color w:val="231F20"/>
        </w:rPr>
      </w:pPr>
      <w:r>
        <w:rPr>
          <w:rFonts w:hint="eastAsia"/>
          <w:color w:val="231F20"/>
        </w:rPr>
        <w:t>The Judgment of the Harlot has just occurred.</w:t>
      </w:r>
    </w:p>
    <w:p w14:paraId="560B8731">
      <w:pPr>
        <w:pStyle w:val="9"/>
        <w:spacing w:after="0" w:line="249" w:lineRule="auto"/>
        <w:rPr>
          <w:rFonts w:hint="eastAsia"/>
          <w:color w:val="231F20"/>
        </w:rPr>
      </w:pPr>
      <w:r>
        <w:rPr>
          <w:rFonts w:hint="eastAsia"/>
          <w:color w:val="231F20"/>
        </w:rPr>
        <w:t>对淫妇的审判刚刚发生。</w:t>
      </w:r>
    </w:p>
    <w:p w14:paraId="37778734">
      <w:pPr>
        <w:pStyle w:val="9"/>
        <w:spacing w:after="0" w:line="249" w:lineRule="auto"/>
        <w:rPr>
          <w:rFonts w:hint="eastAsia"/>
          <w:color w:val="231F20"/>
        </w:rPr>
      </w:pPr>
    </w:p>
    <w:p w14:paraId="2718EE00">
      <w:pPr>
        <w:pStyle w:val="9"/>
        <w:spacing w:after="0" w:line="249" w:lineRule="auto"/>
        <w:rPr>
          <w:rFonts w:hint="eastAsia"/>
          <w:color w:val="231F20"/>
        </w:rPr>
      </w:pPr>
      <w:r>
        <w:rPr>
          <w:rFonts w:hint="eastAsia"/>
          <w:color w:val="231F20"/>
        </w:rPr>
        <w:t>The Marriage Supper of the Lamb is at hand.</w:t>
      </w:r>
    </w:p>
    <w:p w14:paraId="5C373175">
      <w:pPr>
        <w:pStyle w:val="9"/>
        <w:spacing w:after="0" w:line="249" w:lineRule="auto"/>
        <w:rPr>
          <w:rFonts w:hint="eastAsia"/>
          <w:color w:val="231F20"/>
        </w:rPr>
      </w:pPr>
      <w:r>
        <w:rPr>
          <w:rFonts w:hint="eastAsia"/>
          <w:color w:val="231F20"/>
        </w:rPr>
        <w:t>羔羊的婚筵近了。</w:t>
      </w:r>
    </w:p>
    <w:p w14:paraId="6D412173">
      <w:pPr>
        <w:pStyle w:val="9"/>
        <w:spacing w:after="0" w:line="249" w:lineRule="auto"/>
        <w:rPr>
          <w:rFonts w:hint="eastAsia"/>
          <w:color w:val="231F20"/>
        </w:rPr>
      </w:pPr>
    </w:p>
    <w:p w14:paraId="545A6153">
      <w:pPr>
        <w:pStyle w:val="9"/>
        <w:spacing w:after="0" w:line="249" w:lineRule="auto"/>
        <w:rPr>
          <w:rFonts w:hint="eastAsia"/>
          <w:color w:val="231F20"/>
        </w:rPr>
      </w:pPr>
      <w:r>
        <w:rPr>
          <w:rFonts w:hint="eastAsia"/>
          <w:color w:val="231F20"/>
        </w:rPr>
        <w:t>All the saints and angels are celebrating the Consummation (7:9ff, 15:1-3).</w:t>
      </w:r>
    </w:p>
    <w:p w14:paraId="0F7ED0FF">
      <w:pPr>
        <w:pStyle w:val="9"/>
        <w:spacing w:after="0" w:line="249" w:lineRule="auto"/>
        <w:rPr>
          <w:rFonts w:hint="eastAsia"/>
          <w:color w:val="231F20"/>
        </w:rPr>
      </w:pPr>
      <w:r>
        <w:rPr>
          <w:rFonts w:hint="eastAsia"/>
          <w:color w:val="231F20"/>
        </w:rPr>
        <w:t>所有的圣徒和天使都在庆祝最终的成全（7:9及以下，15:1-3）。</w:t>
      </w:r>
    </w:p>
    <w:p w14:paraId="5D547B4D">
      <w:pPr>
        <w:pStyle w:val="9"/>
        <w:spacing w:after="0" w:line="249" w:lineRule="auto"/>
        <w:rPr>
          <w:rFonts w:hint="eastAsia"/>
          <w:color w:val="231F20"/>
        </w:rPr>
      </w:pPr>
    </w:p>
    <w:p w14:paraId="636D30C3">
      <w:pPr>
        <w:pStyle w:val="9"/>
        <w:spacing w:after="0" w:line="249" w:lineRule="auto"/>
        <w:rPr>
          <w:rFonts w:hint="eastAsia"/>
          <w:color w:val="231F20"/>
        </w:rPr>
      </w:pPr>
      <w:r>
        <w:rPr>
          <w:rFonts w:hint="eastAsia"/>
          <w:color w:val="231F20"/>
        </w:rPr>
        <w:t>In this celebration, we find the Spirit sharply contrasting the opposing destinies of the two women of the Revelation: the Harlot (19:1-5) and the Bride (19:6-10).</w:t>
      </w:r>
    </w:p>
    <w:p w14:paraId="52C162AE">
      <w:pPr>
        <w:pStyle w:val="9"/>
        <w:spacing w:after="0" w:line="249" w:lineRule="auto"/>
        <w:rPr>
          <w:rFonts w:hint="eastAsia"/>
          <w:color w:val="231F20"/>
        </w:rPr>
      </w:pPr>
      <w:r>
        <w:rPr>
          <w:rFonts w:hint="eastAsia"/>
          <w:color w:val="231F20"/>
        </w:rPr>
        <w:t>在这场庆典中，我们发现圣灵将《启示录》中两个妇人截然相反的命运作了鲜明的对比：淫妇（19:1-5）和新妇（19:6-10）。</w:t>
      </w:r>
    </w:p>
    <w:p w14:paraId="7A5960F3">
      <w:pPr>
        <w:pStyle w:val="9"/>
        <w:spacing w:after="0" w:line="249" w:lineRule="auto"/>
        <w:rPr>
          <w:rFonts w:hint="eastAsia"/>
          <w:color w:val="231F20"/>
        </w:rPr>
      </w:pPr>
    </w:p>
    <w:p w14:paraId="4DA671DC">
      <w:pPr>
        <w:pStyle w:val="9"/>
        <w:spacing w:after="0" w:line="249" w:lineRule="auto"/>
        <w:rPr>
          <w:rFonts w:hint="eastAsia"/>
          <w:color w:val="231F20"/>
        </w:rPr>
      </w:pPr>
      <w:r>
        <w:rPr>
          <w:rFonts w:hint="eastAsia"/>
          <w:color w:val="231F20"/>
        </w:rPr>
        <w:t>One by one, four exultant “Hallelujah’s” flow forth.</w:t>
      </w:r>
    </w:p>
    <w:p w14:paraId="13F7E421">
      <w:pPr>
        <w:pStyle w:val="9"/>
        <w:spacing w:after="0" w:line="249" w:lineRule="auto"/>
        <w:rPr>
          <w:rFonts w:hint="eastAsia"/>
          <w:color w:val="231F20"/>
        </w:rPr>
      </w:pPr>
      <w:r>
        <w:rPr>
          <w:rFonts w:hint="eastAsia"/>
          <w:color w:val="231F20"/>
        </w:rPr>
        <w:t>一声又一声，四次欢欣的“哈利路亚”涌流而出。</w:t>
      </w:r>
    </w:p>
    <w:p w14:paraId="10334959">
      <w:pPr>
        <w:pStyle w:val="9"/>
        <w:spacing w:after="0" w:line="249" w:lineRule="auto"/>
        <w:rPr>
          <w:rFonts w:hint="eastAsia"/>
          <w:color w:val="231F20"/>
        </w:rPr>
      </w:pPr>
    </w:p>
    <w:p w14:paraId="5410D2D1">
      <w:pPr>
        <w:pStyle w:val="9"/>
        <w:spacing w:after="0" w:line="249" w:lineRule="auto"/>
        <w:rPr>
          <w:rFonts w:hint="eastAsia"/>
          <w:color w:val="231F20"/>
        </w:rPr>
      </w:pPr>
      <w:r>
        <w:rPr>
          <w:rFonts w:hint="eastAsia"/>
          <w:color w:val="231F20"/>
        </w:rPr>
        <w:t>First, John hears the angelic hosts praising God for the Judgment by which he has just brought the Harlot’s corrupting influence to an end, avenged the blood of his servants, and secured their eternal salvation (19:1-2).</w:t>
      </w:r>
    </w:p>
    <w:p w14:paraId="2BD39794">
      <w:pPr>
        <w:pStyle w:val="9"/>
        <w:spacing w:after="0" w:line="249" w:lineRule="auto"/>
        <w:rPr>
          <w:rFonts w:hint="eastAsia"/>
          <w:color w:val="231F20"/>
        </w:rPr>
      </w:pPr>
      <w:r>
        <w:rPr>
          <w:rFonts w:hint="eastAsia"/>
          <w:color w:val="231F20"/>
        </w:rPr>
        <w:t>首先，约翰听到天上的众军赞美上帝，因为祂刚刚借着审判结束了淫妇败坏的影响，为祂的仆人伸了流血的冤，并确保了他们永恒的救恩（19:1-2）。</w:t>
      </w:r>
    </w:p>
    <w:p w14:paraId="5EF32AD5">
      <w:pPr>
        <w:pStyle w:val="9"/>
        <w:spacing w:after="0" w:line="249" w:lineRule="auto"/>
        <w:rPr>
          <w:rFonts w:hint="eastAsia"/>
          <w:color w:val="231F20"/>
        </w:rPr>
      </w:pPr>
    </w:p>
    <w:p w14:paraId="537E0000">
      <w:pPr>
        <w:pStyle w:val="9"/>
        <w:spacing w:after="0" w:line="249" w:lineRule="auto"/>
        <w:rPr>
          <w:rFonts w:hint="eastAsia"/>
          <w:color w:val="231F20"/>
        </w:rPr>
      </w:pPr>
      <w:r>
        <w:rPr>
          <w:rFonts w:hint="eastAsia"/>
          <w:color w:val="231F20"/>
        </w:rPr>
        <w:t>Next, he hears them yet again, this time affirming the complete justice of the Harlot’s eternal punishment (19:3).</w:t>
      </w:r>
    </w:p>
    <w:p w14:paraId="00962064">
      <w:pPr>
        <w:pStyle w:val="9"/>
        <w:spacing w:after="0" w:line="249" w:lineRule="auto"/>
        <w:rPr>
          <w:rFonts w:hint="eastAsia"/>
          <w:color w:val="231F20"/>
        </w:rPr>
      </w:pPr>
      <w:r>
        <w:rPr>
          <w:rFonts w:hint="eastAsia"/>
          <w:color w:val="231F20"/>
        </w:rPr>
        <w:t>接着，他又听到他们，这次是肯定淫妇永恒惩罚的完全公义（19:3）。</w:t>
      </w:r>
    </w:p>
    <w:p w14:paraId="7B9E1F7C">
      <w:pPr>
        <w:pStyle w:val="9"/>
        <w:spacing w:after="0" w:line="249" w:lineRule="auto"/>
        <w:rPr>
          <w:rFonts w:hint="eastAsia"/>
          <w:color w:val="231F20"/>
        </w:rPr>
      </w:pPr>
    </w:p>
    <w:p w14:paraId="46828AC5">
      <w:pPr>
        <w:pStyle w:val="9"/>
        <w:spacing w:after="0" w:line="249" w:lineRule="auto"/>
        <w:rPr>
          <w:rFonts w:hint="eastAsia"/>
          <w:color w:val="231F20"/>
        </w:rPr>
      </w:pPr>
      <w:r>
        <w:rPr>
          <w:rFonts w:hint="eastAsia"/>
          <w:color w:val="231F20"/>
        </w:rPr>
        <w:t>Then he hears the 24 elders (representing the Church as a whole) and the four living creatures (representing the cherubim) worshiping before God’s throne, adding their “Amen” to what the angels have just declared (19:4).</w:t>
      </w:r>
    </w:p>
    <w:p w14:paraId="21F3AE13">
      <w:pPr>
        <w:pStyle w:val="9"/>
        <w:spacing w:after="0" w:line="249" w:lineRule="auto"/>
        <w:rPr>
          <w:rFonts w:hint="eastAsia"/>
          <w:color w:val="231F20"/>
        </w:rPr>
      </w:pPr>
      <w:r>
        <w:rPr>
          <w:rFonts w:hint="eastAsia"/>
          <w:color w:val="231F20"/>
        </w:rPr>
        <w:t>然后他听到二十四位长老（代表整个教会）和四个活物（代表基路伯）在上帝宝座前敬拜，对天使刚刚宣告的话语加上他们的“阿们”（19:4）。</w:t>
      </w:r>
    </w:p>
    <w:p w14:paraId="46A28A9C">
      <w:pPr>
        <w:pStyle w:val="9"/>
        <w:spacing w:after="0" w:line="249" w:lineRule="auto"/>
        <w:rPr>
          <w:rFonts w:hint="eastAsia"/>
          <w:color w:val="231F20"/>
        </w:rPr>
      </w:pPr>
    </w:p>
    <w:p w14:paraId="03FF7836">
      <w:pPr>
        <w:pStyle w:val="9"/>
        <w:spacing w:after="0" w:line="249" w:lineRule="auto"/>
        <w:rPr>
          <w:rFonts w:hint="eastAsia"/>
          <w:color w:val="231F20"/>
        </w:rPr>
      </w:pPr>
      <w:r>
        <w:rPr>
          <w:rFonts w:hint="eastAsia"/>
          <w:color w:val="231F20"/>
        </w:rPr>
        <w:t>Finally, John hears a voice emanating from the throne—is it Christ’s—exhorting all of God’s bondservants to praise him (19:5).</w:t>
      </w:r>
    </w:p>
    <w:p w14:paraId="315DC0CF">
      <w:pPr>
        <w:pStyle w:val="9"/>
        <w:spacing w:after="0" w:line="249" w:lineRule="auto"/>
        <w:rPr>
          <w:rFonts w:hint="eastAsia"/>
          <w:color w:val="231F20"/>
        </w:rPr>
      </w:pPr>
      <w:r>
        <w:rPr>
          <w:rFonts w:hint="eastAsia"/>
          <w:color w:val="231F20"/>
        </w:rPr>
        <w:t>最后，约翰听到一个从宝座发出的声音——是基督的声音吗——劝勉上帝所有的仆人都要赞美祂（19:5）。</w:t>
      </w:r>
    </w:p>
    <w:p w14:paraId="22628AA8">
      <w:pPr>
        <w:pStyle w:val="9"/>
        <w:spacing w:after="0" w:line="249" w:lineRule="auto"/>
        <w:rPr>
          <w:rFonts w:hint="eastAsia"/>
          <w:color w:val="231F20"/>
        </w:rPr>
      </w:pPr>
    </w:p>
    <w:p w14:paraId="27D1B05D">
      <w:pPr>
        <w:pStyle w:val="9"/>
        <w:spacing w:after="0" w:line="249" w:lineRule="auto"/>
        <w:rPr>
          <w:rFonts w:hint="eastAsia"/>
          <w:color w:val="231F20"/>
        </w:rPr>
      </w:pPr>
      <w:r>
        <w:rPr>
          <w:rFonts w:hint="eastAsia"/>
          <w:color w:val="231F20"/>
        </w:rPr>
        <w:t>Praise him they do, in a thunderous chorus that rocks the universe itself (19:6a).</w:t>
      </w:r>
    </w:p>
    <w:p w14:paraId="76A7C092">
      <w:pPr>
        <w:pStyle w:val="9"/>
        <w:spacing w:after="0" w:line="249" w:lineRule="auto"/>
        <w:rPr>
          <w:rFonts w:hint="eastAsia"/>
          <w:color w:val="231F20"/>
        </w:rPr>
      </w:pPr>
      <w:r>
        <w:rPr>
          <w:rFonts w:hint="eastAsia"/>
          <w:color w:val="231F20"/>
        </w:rPr>
        <w:t>他们确实赞美祂，用雷鸣般的合唱震撼了整个宇宙（19:6a）。</w:t>
      </w:r>
    </w:p>
    <w:p w14:paraId="7C1730AB">
      <w:pPr>
        <w:pStyle w:val="9"/>
        <w:spacing w:after="0" w:line="249" w:lineRule="auto"/>
        <w:rPr>
          <w:rFonts w:hint="eastAsia"/>
          <w:color w:val="231F20"/>
        </w:rPr>
      </w:pPr>
    </w:p>
    <w:p w14:paraId="581525F7">
      <w:pPr>
        <w:pStyle w:val="9"/>
        <w:spacing w:after="0" w:line="249" w:lineRule="auto"/>
        <w:rPr>
          <w:rFonts w:hint="eastAsia"/>
          <w:color w:val="231F20"/>
        </w:rPr>
      </w:pPr>
      <w:r>
        <w:rPr>
          <w:rFonts w:hint="eastAsia"/>
          <w:color w:val="231F20"/>
        </w:rPr>
        <w:t>An eternity of glory, praise, and celebration has now begun!</w:t>
      </w:r>
    </w:p>
    <w:p w14:paraId="380E8ABD">
      <w:pPr>
        <w:pStyle w:val="9"/>
        <w:spacing w:after="0" w:line="249" w:lineRule="auto"/>
        <w:rPr>
          <w:rFonts w:hint="eastAsia"/>
          <w:color w:val="231F20"/>
        </w:rPr>
      </w:pPr>
      <w:r>
        <w:rPr>
          <w:rFonts w:hint="eastAsia"/>
          <w:color w:val="231F20"/>
        </w:rPr>
        <w:t>一个荣耀、赞美和庆祝的永恒现已开始！</w:t>
      </w:r>
    </w:p>
    <w:p w14:paraId="78076670">
      <w:pPr>
        <w:pStyle w:val="9"/>
        <w:spacing w:after="0" w:line="249" w:lineRule="auto"/>
        <w:rPr>
          <w:rFonts w:hint="eastAsia"/>
          <w:color w:val="231F20"/>
        </w:rPr>
      </w:pPr>
    </w:p>
    <w:p w14:paraId="60DADFF3">
      <w:pPr>
        <w:pStyle w:val="9"/>
        <w:spacing w:after="0" w:line="249" w:lineRule="auto"/>
        <w:rPr>
          <w:rFonts w:hint="eastAsia"/>
          <w:color w:val="231F20"/>
        </w:rPr>
      </w:pPr>
      <w:r>
        <w:rPr>
          <w:rFonts w:hint="eastAsia"/>
          <w:color w:val="231F20"/>
        </w:rPr>
        <w:t>But what exactly is the source of their joy, the theme of their praise?</w:t>
      </w:r>
    </w:p>
    <w:p w14:paraId="18A67C08">
      <w:pPr>
        <w:pStyle w:val="9"/>
        <w:spacing w:after="0" w:line="249" w:lineRule="auto"/>
        <w:rPr>
          <w:rFonts w:hint="eastAsia"/>
          <w:color w:val="231F20"/>
        </w:rPr>
      </w:pPr>
      <w:r>
        <w:rPr>
          <w:rFonts w:hint="eastAsia"/>
          <w:color w:val="231F20"/>
        </w:rPr>
        <w:t>但他们喜乐的源头，他们赞美的主题究竟是什么？</w:t>
      </w:r>
    </w:p>
    <w:p w14:paraId="1D6677BE">
      <w:pPr>
        <w:pStyle w:val="9"/>
        <w:spacing w:after="0" w:line="249" w:lineRule="auto"/>
        <w:rPr>
          <w:rFonts w:hint="eastAsia"/>
          <w:color w:val="231F20"/>
        </w:rPr>
      </w:pPr>
    </w:p>
    <w:p w14:paraId="013BE20B">
      <w:pPr>
        <w:pStyle w:val="9"/>
        <w:spacing w:after="0" w:line="249" w:lineRule="auto"/>
        <w:rPr>
          <w:rFonts w:hint="eastAsia"/>
          <w:color w:val="231F20"/>
        </w:rPr>
      </w:pPr>
      <w:r>
        <w:rPr>
          <w:rFonts w:hint="eastAsia"/>
          <w:color w:val="231F20"/>
        </w:rPr>
        <w:t>Verses 6b-7 give us the all-important answer: The Lord God Almighty has begun to reign!</w:t>
      </w:r>
    </w:p>
    <w:p w14:paraId="78301903">
      <w:pPr>
        <w:pStyle w:val="9"/>
        <w:spacing w:after="0" w:line="249" w:lineRule="auto"/>
        <w:rPr>
          <w:rFonts w:hint="eastAsia"/>
          <w:color w:val="231F20"/>
        </w:rPr>
      </w:pPr>
      <w:r>
        <w:rPr>
          <w:rFonts w:hint="eastAsia"/>
          <w:color w:val="231F20"/>
        </w:rPr>
        <w:t>第6b-7节给了我们至关重要的答案：主上帝，全能者，作王了！</w:t>
      </w:r>
    </w:p>
    <w:p w14:paraId="6A63371A">
      <w:pPr>
        <w:pStyle w:val="9"/>
        <w:spacing w:after="0" w:line="249" w:lineRule="auto"/>
        <w:rPr>
          <w:rFonts w:hint="eastAsia"/>
          <w:color w:val="231F20"/>
        </w:rPr>
      </w:pPr>
    </w:p>
    <w:p w14:paraId="04949F31">
      <w:pPr>
        <w:pStyle w:val="9"/>
        <w:spacing w:after="0" w:line="249" w:lineRule="auto"/>
        <w:rPr>
          <w:rFonts w:hint="eastAsia"/>
          <w:color w:val="231F20"/>
        </w:rPr>
      </w:pPr>
      <w:r>
        <w:rPr>
          <w:rFonts w:hint="eastAsia"/>
          <w:color w:val="231F20"/>
        </w:rPr>
        <w:t>His Kingdom—in its fullness—has come at last!</w:t>
      </w:r>
    </w:p>
    <w:p w14:paraId="0D05704A">
      <w:pPr>
        <w:pStyle w:val="9"/>
        <w:spacing w:after="0" w:line="249" w:lineRule="auto"/>
        <w:rPr>
          <w:rFonts w:hint="eastAsia"/>
          <w:color w:val="231F20"/>
        </w:rPr>
      </w:pPr>
      <w:r>
        <w:rPr>
          <w:rFonts w:hint="eastAsia"/>
          <w:color w:val="231F20"/>
        </w:rPr>
        <w:t>祂的国度——在其丰满中——终于来临了！</w:t>
      </w:r>
    </w:p>
    <w:p w14:paraId="6AEB0E4D">
      <w:pPr>
        <w:pStyle w:val="9"/>
        <w:spacing w:after="0" w:line="249" w:lineRule="auto"/>
        <w:rPr>
          <w:rFonts w:hint="eastAsia"/>
          <w:color w:val="231F20"/>
        </w:rPr>
      </w:pPr>
    </w:p>
    <w:p w14:paraId="1C1035EE">
      <w:pPr>
        <w:pStyle w:val="9"/>
        <w:spacing w:after="0" w:line="249" w:lineRule="auto"/>
        <w:rPr>
          <w:rFonts w:hint="eastAsia"/>
          <w:color w:val="231F20"/>
        </w:rPr>
      </w:pPr>
      <w:r>
        <w:rPr>
          <w:rFonts w:hint="eastAsia"/>
          <w:color w:val="231F20"/>
        </w:rPr>
        <w:t>In the ears of the Bride of Christ, no sweeter words were ever heard.</w:t>
      </w:r>
    </w:p>
    <w:p w14:paraId="33226236">
      <w:pPr>
        <w:pStyle w:val="9"/>
        <w:spacing w:after="0" w:line="249" w:lineRule="auto"/>
        <w:rPr>
          <w:rFonts w:hint="eastAsia"/>
          <w:color w:val="231F20"/>
        </w:rPr>
      </w:pPr>
      <w:r>
        <w:rPr>
          <w:rFonts w:hint="eastAsia"/>
          <w:color w:val="231F20"/>
        </w:rPr>
        <w:t>在基督新妇的耳中，从未听过比这更甜美的话语。</w:t>
      </w:r>
    </w:p>
    <w:p w14:paraId="3EED8A3F">
      <w:pPr>
        <w:pStyle w:val="9"/>
        <w:spacing w:after="0" w:line="249" w:lineRule="auto"/>
        <w:rPr>
          <w:rFonts w:hint="eastAsia"/>
          <w:color w:val="231F20"/>
        </w:rPr>
      </w:pPr>
    </w:p>
    <w:p w14:paraId="47D07F85">
      <w:pPr>
        <w:pStyle w:val="9"/>
        <w:spacing w:after="0" w:line="249" w:lineRule="auto"/>
        <w:rPr>
          <w:rFonts w:hint="eastAsia"/>
          <w:color w:val="231F20"/>
        </w:rPr>
      </w:pPr>
      <w:r>
        <w:rPr>
          <w:rFonts w:hint="eastAsia"/>
          <w:color w:val="231F20"/>
        </w:rPr>
        <w:t>They mean that her long season of waiting is at an end, that her Betrothed has finally come for her, that her Beloved is about to take her to his eternal home, and that he will now consummate their redemptive marriage by way of resurrection, transformation, and glorification, so that in complete spiritual and physical perfection they will forever live together in the new heavens and the new earth.</w:t>
      </w:r>
    </w:p>
    <w:p w14:paraId="089EB220">
      <w:pPr>
        <w:pStyle w:val="9"/>
        <w:spacing w:after="0" w:line="249" w:lineRule="auto"/>
        <w:rPr>
          <w:rFonts w:hint="eastAsia"/>
          <w:color w:val="231F20"/>
        </w:rPr>
      </w:pPr>
      <w:r>
        <w:rPr>
          <w:rFonts w:hint="eastAsia"/>
          <w:color w:val="231F20"/>
        </w:rPr>
        <w:t>这些话意味着她漫长的等待季节已经结束，她的未婚夫终于来接她了，她的良人即将带她到祂永恒的家，祂现在将通过复活、改变和荣耀来成全他们的救赎婚姻，使他们在完全的属灵和属肉体的完美中，永远一同生活在新天新地里。</w:t>
      </w:r>
    </w:p>
    <w:p w14:paraId="4C4C760E">
      <w:pPr>
        <w:pStyle w:val="9"/>
        <w:spacing w:after="0" w:line="249" w:lineRule="auto"/>
        <w:rPr>
          <w:rFonts w:hint="eastAsia"/>
          <w:color w:val="231F20"/>
        </w:rPr>
      </w:pPr>
    </w:p>
    <w:p w14:paraId="5D06B308">
      <w:pPr>
        <w:pStyle w:val="9"/>
        <w:spacing w:after="0" w:line="249" w:lineRule="auto"/>
        <w:rPr>
          <w:rFonts w:hint="eastAsia"/>
          <w:color w:val="231F20"/>
        </w:rPr>
      </w:pPr>
      <w:r>
        <w:rPr>
          <w:rFonts w:hint="eastAsia"/>
          <w:color w:val="231F20"/>
        </w:rPr>
        <w:t>Soon, John will receive a vision of their conjugal bliss (Rev. 21-22).</w:t>
      </w:r>
    </w:p>
    <w:p w14:paraId="3B6746ED">
      <w:pPr>
        <w:pStyle w:val="9"/>
        <w:spacing w:after="0" w:line="249" w:lineRule="auto"/>
        <w:rPr>
          <w:rFonts w:hint="eastAsia"/>
          <w:color w:val="231F20"/>
        </w:rPr>
      </w:pPr>
      <w:r>
        <w:rPr>
          <w:rFonts w:hint="eastAsia"/>
          <w:color w:val="231F20"/>
        </w:rPr>
        <w:t>不久，约翰将领受一个关于他们婚姻幸福的异象（启21-22）。</w:t>
      </w:r>
    </w:p>
    <w:p w14:paraId="478A5CA0">
      <w:pPr>
        <w:pStyle w:val="9"/>
        <w:spacing w:after="0" w:line="249" w:lineRule="auto"/>
        <w:rPr>
          <w:rFonts w:hint="eastAsia"/>
          <w:color w:val="231F20"/>
        </w:rPr>
      </w:pPr>
    </w:p>
    <w:p w14:paraId="098D755E">
      <w:pPr>
        <w:pStyle w:val="9"/>
        <w:spacing w:after="0" w:line="249" w:lineRule="auto"/>
        <w:rPr>
          <w:rFonts w:hint="eastAsia"/>
          <w:color w:val="231F20"/>
        </w:rPr>
      </w:pPr>
      <w:r>
        <w:rPr>
          <w:rFonts w:hint="eastAsia"/>
          <w:color w:val="231F20"/>
        </w:rPr>
        <w:t>Here, however, he simply beholds the Bride receiving her wedding gown at the resurrection: the (perfect) righteousness of Christ, along with rewards for all that she allowed him to do in and through her during her days upon the earth (19:8, 21:2).</w:t>
      </w:r>
    </w:p>
    <w:p w14:paraId="7833A5EF">
      <w:pPr>
        <w:pStyle w:val="9"/>
        <w:spacing w:after="0" w:line="249" w:lineRule="auto"/>
        <w:rPr>
          <w:rFonts w:hint="eastAsia"/>
          <w:color w:val="231F20"/>
        </w:rPr>
      </w:pPr>
      <w:r>
        <w:rPr>
          <w:rFonts w:hint="eastAsia"/>
          <w:color w:val="231F20"/>
        </w:rPr>
        <w:t>然而，在这里，他只是看见新妇在复活时领受她的婚纱：基督（完美的）义，以及她在地上的日子里允许祂在她里面并通过她所做的一切的赏赐（19:8, 21:2）。</w:t>
      </w:r>
    </w:p>
    <w:p w14:paraId="0563B6CC">
      <w:pPr>
        <w:pStyle w:val="9"/>
        <w:spacing w:after="0" w:line="249" w:lineRule="auto"/>
        <w:rPr>
          <w:rFonts w:hint="eastAsia"/>
          <w:color w:val="231F20"/>
        </w:rPr>
      </w:pPr>
    </w:p>
    <w:p w14:paraId="1F174255">
      <w:pPr>
        <w:pStyle w:val="9"/>
        <w:spacing w:after="0" w:line="249" w:lineRule="auto"/>
        <w:rPr>
          <w:rFonts w:hint="eastAsia"/>
          <w:color w:val="231F20"/>
        </w:rPr>
      </w:pPr>
      <w:r>
        <w:rPr>
          <w:rFonts w:hint="eastAsia"/>
          <w:color w:val="231F20"/>
        </w:rPr>
        <w:t>Solemnly, a holy angel reminds John of the blessedness of all whom the sovereign God invites to the Marriage Feast of the Lamb (19:9, Mt. 22:1f).</w:t>
      </w:r>
    </w:p>
    <w:p w14:paraId="64C3C078">
      <w:pPr>
        <w:pStyle w:val="9"/>
        <w:spacing w:after="0" w:line="249" w:lineRule="auto"/>
        <w:rPr>
          <w:rFonts w:hint="eastAsia"/>
          <w:color w:val="231F20"/>
        </w:rPr>
      </w:pPr>
      <w:r>
        <w:rPr>
          <w:rFonts w:hint="eastAsia"/>
          <w:color w:val="231F20"/>
        </w:rPr>
        <w:t>一位圣天使庄严地提醒约翰，所有被主宰的上帝邀请参加羔羊婚筵的人都是有福的（19:9，太22:1及以下）。</w:t>
      </w:r>
    </w:p>
    <w:p w14:paraId="2CA8F0E0">
      <w:pPr>
        <w:pStyle w:val="9"/>
        <w:spacing w:after="0" w:line="249" w:lineRule="auto"/>
        <w:rPr>
          <w:rFonts w:hint="eastAsia"/>
          <w:color w:val="231F20"/>
        </w:rPr>
      </w:pPr>
    </w:p>
    <w:p w14:paraId="35AA99A3">
      <w:pPr>
        <w:pStyle w:val="9"/>
        <w:spacing w:after="0" w:line="249" w:lineRule="auto"/>
        <w:rPr>
          <w:rFonts w:hint="eastAsia"/>
          <w:color w:val="231F20"/>
        </w:rPr>
      </w:pPr>
      <w:r>
        <w:rPr>
          <w:rFonts w:hint="eastAsia"/>
          <w:color w:val="231F20"/>
        </w:rPr>
        <w:t>As the cycle draws to a close, the Spirit now takes a small step backwards in time, and slightly modifies his theme.</w:t>
      </w:r>
    </w:p>
    <w:p w14:paraId="1A515C46">
      <w:pPr>
        <w:pStyle w:val="9"/>
        <w:spacing w:after="0" w:line="249" w:lineRule="auto"/>
        <w:rPr>
          <w:rFonts w:hint="eastAsia"/>
          <w:color w:val="231F20"/>
        </w:rPr>
      </w:pPr>
      <w:r>
        <w:rPr>
          <w:rFonts w:hint="eastAsia"/>
          <w:color w:val="231F20"/>
        </w:rPr>
        <w:t>当这个循环接近尾声时，圣灵现在在时间上稍微后退一步，并略微修改了祂的主题。</w:t>
      </w:r>
    </w:p>
    <w:p w14:paraId="43D0A494">
      <w:pPr>
        <w:pStyle w:val="9"/>
        <w:spacing w:after="0" w:line="249" w:lineRule="auto"/>
        <w:rPr>
          <w:rFonts w:hint="eastAsia"/>
          <w:color w:val="231F20"/>
        </w:rPr>
      </w:pPr>
    </w:p>
    <w:p w14:paraId="5309AF3B">
      <w:pPr>
        <w:pStyle w:val="9"/>
        <w:spacing w:after="0" w:line="249" w:lineRule="auto"/>
        <w:rPr>
          <w:rFonts w:hint="eastAsia"/>
          <w:color w:val="231F20"/>
        </w:rPr>
      </w:pPr>
      <w:r>
        <w:rPr>
          <w:rFonts w:hint="eastAsia"/>
          <w:color w:val="231F20"/>
        </w:rPr>
        <w:t>As previously, he will again speak of the Coming of Christ and the Last Judgment of the world- system.</w:t>
      </w:r>
    </w:p>
    <w:p w14:paraId="0FEBD310">
      <w:pPr>
        <w:pStyle w:val="9"/>
        <w:spacing w:after="0" w:line="249" w:lineRule="auto"/>
        <w:rPr>
          <w:rFonts w:hint="eastAsia"/>
          <w:color w:val="231F20"/>
        </w:rPr>
      </w:pPr>
      <w:r>
        <w:rPr>
          <w:rFonts w:hint="eastAsia"/>
          <w:color w:val="231F20"/>
        </w:rPr>
        <w:t>如前所述，祂将再次谈论基督的降临和对世界体系的最后审判。</w:t>
      </w:r>
    </w:p>
    <w:p w14:paraId="686557ED">
      <w:pPr>
        <w:pStyle w:val="9"/>
        <w:spacing w:after="0" w:line="249" w:lineRule="auto"/>
        <w:rPr>
          <w:rFonts w:hint="eastAsia"/>
          <w:color w:val="231F20"/>
        </w:rPr>
      </w:pPr>
    </w:p>
    <w:p w14:paraId="5686A653">
      <w:pPr>
        <w:pStyle w:val="9"/>
        <w:spacing w:after="0" w:line="249" w:lineRule="auto"/>
        <w:rPr>
          <w:rFonts w:hint="eastAsia"/>
          <w:color w:val="231F20"/>
        </w:rPr>
      </w:pPr>
      <w:r>
        <w:rPr>
          <w:rFonts w:hint="eastAsia"/>
          <w:color w:val="231F20"/>
        </w:rPr>
        <w:t>Here, however, the spotlight is no longer upon the Harlot, but upon her companions in rebellion and persecution: the Beast and the False Prophet.</w:t>
      </w:r>
    </w:p>
    <w:p w14:paraId="2243329E">
      <w:pPr>
        <w:pStyle w:val="9"/>
        <w:spacing w:after="0" w:line="249" w:lineRule="auto"/>
        <w:rPr>
          <w:rFonts w:hint="eastAsia"/>
          <w:color w:val="231F20"/>
        </w:rPr>
      </w:pPr>
      <w:r>
        <w:rPr>
          <w:rFonts w:hint="eastAsia"/>
          <w:color w:val="231F20"/>
        </w:rPr>
        <w:t>然而，这里的焦点不再是淫妇，而是她在悖逆和迫害中的同伴：兽和假先知。</w:t>
      </w:r>
    </w:p>
    <w:p w14:paraId="206316EE">
      <w:pPr>
        <w:pStyle w:val="9"/>
        <w:spacing w:after="0" w:line="249" w:lineRule="auto"/>
        <w:rPr>
          <w:rFonts w:hint="eastAsia"/>
          <w:color w:val="231F20"/>
        </w:rPr>
      </w:pPr>
    </w:p>
    <w:p w14:paraId="2F239C89">
      <w:pPr>
        <w:pStyle w:val="9"/>
        <w:spacing w:after="0" w:line="249" w:lineRule="auto"/>
        <w:rPr>
          <w:rFonts w:hint="eastAsia"/>
          <w:color w:val="231F20"/>
        </w:rPr>
      </w:pPr>
      <w:r>
        <w:rPr>
          <w:rFonts w:hint="eastAsia"/>
          <w:color w:val="231F20"/>
        </w:rPr>
        <w:t>In other words, with these closing verses, the Spirit brings the history of the Dragon’s three helpers to its appointed end.</w:t>
      </w:r>
    </w:p>
    <w:p w14:paraId="53F214BC">
      <w:pPr>
        <w:pStyle w:val="9"/>
        <w:spacing w:after="0" w:line="249" w:lineRule="auto"/>
        <w:rPr>
          <w:rFonts w:hint="eastAsia"/>
          <w:color w:val="231F20"/>
        </w:rPr>
      </w:pPr>
      <w:r>
        <w:rPr>
          <w:rFonts w:hint="eastAsia"/>
          <w:color w:val="231F20"/>
        </w:rPr>
        <w:t>换句话说，圣灵用这些结尾的经文，将龙的三个助手的历史带到了其指定的结局。</w:t>
      </w:r>
    </w:p>
    <w:p w14:paraId="6ADBEF49">
      <w:pPr>
        <w:pStyle w:val="9"/>
        <w:spacing w:after="0" w:line="249" w:lineRule="auto"/>
        <w:rPr>
          <w:rFonts w:hint="eastAsia"/>
          <w:color w:val="231F20"/>
        </w:rPr>
      </w:pPr>
    </w:p>
    <w:p w14:paraId="10EB2613">
      <w:pPr>
        <w:pStyle w:val="9"/>
        <w:spacing w:after="0" w:line="249" w:lineRule="auto"/>
        <w:rPr>
          <w:rFonts w:hint="eastAsia"/>
          <w:color w:val="231F20"/>
        </w:rPr>
      </w:pPr>
      <w:r>
        <w:rPr>
          <w:rFonts w:hint="eastAsia"/>
          <w:color w:val="231F20"/>
        </w:rPr>
        <w:t>Three closely related visions are involved.</w:t>
      </w:r>
    </w:p>
    <w:p w14:paraId="35BE5B8C">
      <w:pPr>
        <w:pStyle w:val="9"/>
        <w:spacing w:after="0" w:line="249" w:lineRule="auto"/>
        <w:rPr>
          <w:rFonts w:hint="eastAsia"/>
          <w:color w:val="231F20"/>
        </w:rPr>
      </w:pPr>
      <w:r>
        <w:rPr>
          <w:rFonts w:hint="eastAsia"/>
          <w:color w:val="231F20"/>
        </w:rPr>
        <w:t>涉及三个密切相关的异象。</w:t>
      </w:r>
    </w:p>
    <w:p w14:paraId="1BB0813C">
      <w:pPr>
        <w:pStyle w:val="9"/>
        <w:spacing w:after="0" w:line="249" w:lineRule="auto"/>
        <w:rPr>
          <w:rFonts w:hint="eastAsia"/>
          <w:color w:val="231F20"/>
        </w:rPr>
      </w:pPr>
    </w:p>
    <w:p w14:paraId="38F32BFD">
      <w:pPr>
        <w:pStyle w:val="9"/>
        <w:spacing w:after="0" w:line="249" w:lineRule="auto"/>
        <w:rPr>
          <w:rFonts w:hint="eastAsia"/>
          <w:color w:val="231F20"/>
        </w:rPr>
      </w:pPr>
      <w:r>
        <w:rPr>
          <w:rFonts w:hint="eastAsia"/>
          <w:color w:val="231F20"/>
        </w:rPr>
        <w:t>The first depicts the Parousia, the descent of the glorified Lord Jesus Christ from heaven (19:11- 16).</w:t>
      </w:r>
    </w:p>
    <w:p w14:paraId="3F2CC3FC">
      <w:pPr>
        <w:pStyle w:val="9"/>
        <w:spacing w:after="0" w:line="249" w:lineRule="auto"/>
        <w:rPr>
          <w:rFonts w:hint="eastAsia"/>
          <w:color w:val="231F20"/>
        </w:rPr>
      </w:pPr>
      <w:r>
        <w:rPr>
          <w:rFonts w:hint="eastAsia"/>
          <w:color w:val="231F20"/>
        </w:rPr>
        <w:t>第一个描绘了主临（Parousia），即得荣耀的主耶稣基督从天降临（19:11-16）。</w:t>
      </w:r>
    </w:p>
    <w:p w14:paraId="0091EE84">
      <w:pPr>
        <w:pStyle w:val="9"/>
        <w:spacing w:after="0" w:line="249" w:lineRule="auto"/>
        <w:rPr>
          <w:rFonts w:hint="eastAsia"/>
          <w:color w:val="231F20"/>
        </w:rPr>
      </w:pPr>
    </w:p>
    <w:p w14:paraId="4CBB57BB">
      <w:pPr>
        <w:pStyle w:val="9"/>
        <w:spacing w:after="0" w:line="249" w:lineRule="auto"/>
        <w:rPr>
          <w:rFonts w:hint="eastAsia"/>
          <w:color w:val="231F20"/>
        </w:rPr>
      </w:pPr>
      <w:r>
        <w:rPr>
          <w:rFonts w:hint="eastAsia"/>
          <w:color w:val="231F20"/>
        </w:rPr>
        <w:t>This is Matthew 24:29-31, 1 Thessalonians 4:13-18, and 2 Thessalonians 1:3-10, but in apocalyptic language.</w:t>
      </w:r>
    </w:p>
    <w:p w14:paraId="1F7CCE94">
      <w:pPr>
        <w:pStyle w:val="9"/>
        <w:spacing w:after="0" w:line="249" w:lineRule="auto"/>
        <w:rPr>
          <w:rFonts w:hint="eastAsia"/>
          <w:color w:val="231F20"/>
        </w:rPr>
      </w:pPr>
      <w:r>
        <w:rPr>
          <w:rFonts w:hint="eastAsia"/>
          <w:color w:val="231F20"/>
        </w:rPr>
        <w:t>这是马太福音24:29-31，帖撒罗尼迦前书4:13-18，和帖撒罗尼迦后书1:3-10，但用的是末世的语言。</w:t>
      </w:r>
    </w:p>
    <w:p w14:paraId="1596616C">
      <w:pPr>
        <w:pStyle w:val="9"/>
        <w:spacing w:after="0" w:line="249" w:lineRule="auto"/>
        <w:rPr>
          <w:rFonts w:hint="eastAsia"/>
          <w:color w:val="231F20"/>
        </w:rPr>
      </w:pPr>
    </w:p>
    <w:p w14:paraId="05DFCE59">
      <w:pPr>
        <w:pStyle w:val="9"/>
        <w:spacing w:after="0" w:line="249" w:lineRule="auto"/>
        <w:rPr>
          <w:rFonts w:hint="eastAsia"/>
          <w:color w:val="231F20"/>
        </w:rPr>
      </w:pPr>
      <w:r>
        <w:rPr>
          <w:rFonts w:hint="eastAsia"/>
          <w:color w:val="231F20"/>
        </w:rPr>
        <w:t>Again John sees the Rider on the white horse.</w:t>
      </w:r>
    </w:p>
    <w:p w14:paraId="60EEB9ED">
      <w:pPr>
        <w:pStyle w:val="9"/>
        <w:spacing w:after="0" w:line="249" w:lineRule="auto"/>
        <w:rPr>
          <w:rFonts w:hint="eastAsia"/>
          <w:color w:val="231F20"/>
        </w:rPr>
      </w:pPr>
      <w:r>
        <w:rPr>
          <w:rFonts w:hint="eastAsia"/>
          <w:color w:val="231F20"/>
        </w:rPr>
        <w:t>约翰再次看见骑白马的。</w:t>
      </w:r>
    </w:p>
    <w:p w14:paraId="5BF690DD">
      <w:pPr>
        <w:pStyle w:val="9"/>
        <w:spacing w:after="0" w:line="249" w:lineRule="auto"/>
        <w:rPr>
          <w:rFonts w:hint="eastAsia"/>
          <w:color w:val="231F20"/>
        </w:rPr>
      </w:pPr>
    </w:p>
    <w:p w14:paraId="4261B3F7">
      <w:pPr>
        <w:pStyle w:val="9"/>
        <w:spacing w:after="0" w:line="249" w:lineRule="auto"/>
        <w:rPr>
          <w:rFonts w:hint="eastAsia"/>
          <w:color w:val="231F20"/>
        </w:rPr>
      </w:pPr>
      <w:r>
        <w:rPr>
          <w:rFonts w:hint="eastAsia"/>
          <w:color w:val="231F20"/>
        </w:rPr>
        <w:t>This time, however, he is not coming by the Spirit and through the Church to conquer hearts for the Gospel.</w:t>
      </w:r>
    </w:p>
    <w:p w14:paraId="4F36A4C4">
      <w:pPr>
        <w:pStyle w:val="9"/>
        <w:spacing w:after="0" w:line="249" w:lineRule="auto"/>
        <w:rPr>
          <w:rFonts w:hint="eastAsia"/>
          <w:color w:val="231F20"/>
        </w:rPr>
      </w:pPr>
      <w:r>
        <w:rPr>
          <w:rFonts w:hint="eastAsia"/>
          <w:color w:val="231F20"/>
        </w:rPr>
        <w:t>然而，这一次，祂不是借着圣灵并通过教会来为福音征服人心。</w:t>
      </w:r>
    </w:p>
    <w:p w14:paraId="53ACE4F2">
      <w:pPr>
        <w:pStyle w:val="9"/>
        <w:spacing w:after="0" w:line="249" w:lineRule="auto"/>
        <w:rPr>
          <w:rFonts w:hint="eastAsia"/>
          <w:color w:val="231F20"/>
        </w:rPr>
      </w:pPr>
    </w:p>
    <w:p w14:paraId="29137568">
      <w:pPr>
        <w:pStyle w:val="9"/>
        <w:spacing w:after="0" w:line="249" w:lineRule="auto"/>
        <w:rPr>
          <w:rFonts w:hint="eastAsia"/>
          <w:color w:val="231F20"/>
        </w:rPr>
      </w:pPr>
      <w:r>
        <w:rPr>
          <w:rFonts w:hint="eastAsia"/>
          <w:color w:val="231F20"/>
        </w:rPr>
        <w:t>No, he is coming bodily—in power, glory, and faithfulness—to judge and wage war against his (and her) enemies (19:11-13, 6:2).</w:t>
      </w:r>
    </w:p>
    <w:p w14:paraId="5962258B">
      <w:pPr>
        <w:pStyle w:val="9"/>
        <w:spacing w:after="0" w:line="249" w:lineRule="auto"/>
        <w:rPr>
          <w:rFonts w:hint="eastAsia"/>
          <w:color w:val="231F20"/>
        </w:rPr>
      </w:pPr>
      <w:r>
        <w:rPr>
          <w:rFonts w:hint="eastAsia"/>
          <w:color w:val="231F20"/>
        </w:rPr>
        <w:t>不，祂是亲身降临——带着能力、荣耀和信实——来审判并与祂（和她）的仇敌争战（19:11-13，6:2）。</w:t>
      </w:r>
    </w:p>
    <w:p w14:paraId="20CF2201">
      <w:pPr>
        <w:pStyle w:val="9"/>
        <w:spacing w:after="0" w:line="249" w:lineRule="auto"/>
        <w:rPr>
          <w:rFonts w:hint="eastAsia"/>
          <w:color w:val="231F20"/>
        </w:rPr>
      </w:pPr>
    </w:p>
    <w:p w14:paraId="1196F801">
      <w:pPr>
        <w:pStyle w:val="9"/>
        <w:spacing w:after="0" w:line="249" w:lineRule="auto"/>
        <w:rPr>
          <w:rFonts w:hint="eastAsia"/>
          <w:color w:val="231F20"/>
        </w:rPr>
      </w:pPr>
      <w:r>
        <w:rPr>
          <w:rFonts w:hint="eastAsia"/>
          <w:color w:val="231F20"/>
        </w:rPr>
        <w:t>With him are the armies of heaven: certainly the holy angels, and almost certainly the spirits of the departed saints, who have just been, or who are about to be, raised from the dead (19:14; Mt. 25:31, Rom. 16:20, 1 Thess. 4:13-18).</w:t>
      </w:r>
    </w:p>
    <w:p w14:paraId="3866249D">
      <w:pPr>
        <w:pStyle w:val="9"/>
        <w:spacing w:after="0" w:line="249" w:lineRule="auto"/>
        <w:rPr>
          <w:rFonts w:hint="eastAsia"/>
          <w:color w:val="231F20"/>
        </w:rPr>
      </w:pPr>
      <w:r>
        <w:rPr>
          <w:rFonts w:hint="eastAsia"/>
          <w:color w:val="231F20"/>
        </w:rPr>
        <w:t>与祂同在的是天上的众军：当然有圣天使，几乎可以肯定还有已故圣徒的灵魂，他们刚刚被，或即将被，从死里复活（19:14；太25:31，罗16:20，帖前4:13-18）。</w:t>
      </w:r>
    </w:p>
    <w:p w14:paraId="64FC7027">
      <w:pPr>
        <w:pStyle w:val="9"/>
        <w:spacing w:after="0" w:line="249" w:lineRule="auto"/>
        <w:rPr>
          <w:rFonts w:hint="eastAsia"/>
          <w:color w:val="231F20"/>
        </w:rPr>
      </w:pPr>
    </w:p>
    <w:p w14:paraId="61CF2316">
      <w:pPr>
        <w:pStyle w:val="9"/>
        <w:spacing w:after="0" w:line="249" w:lineRule="auto"/>
        <w:rPr>
          <w:rFonts w:hint="eastAsia"/>
          <w:color w:val="231F20"/>
        </w:rPr>
      </w:pPr>
      <w:r>
        <w:rPr>
          <w:rFonts w:hint="eastAsia"/>
          <w:color w:val="231F20"/>
        </w:rPr>
        <w:t>This is the Word of God —he who created the cosmos—now fulfilling Psalm 2 by speaking final destruction upon his foes, just as his Almighty Father has given to him (19:13, 15; Psalm 2, John 1:1, 5:22, Rev. 2:27, 12:5).</w:t>
      </w:r>
    </w:p>
    <w:p w14:paraId="56156B1B">
      <w:pPr>
        <w:pStyle w:val="9"/>
        <w:spacing w:after="0" w:line="249" w:lineRule="auto"/>
        <w:rPr>
          <w:rFonts w:hint="eastAsia"/>
          <w:color w:val="231F20"/>
        </w:rPr>
      </w:pPr>
      <w:r>
        <w:rPr>
          <w:rFonts w:hint="eastAsia"/>
          <w:color w:val="231F20"/>
        </w:rPr>
        <w:t>这是上帝的道——那位创造宇宙的——现在正在应验诗篇第二篇，向祂的仇敌宣告最后的毁灭，正如祂的全能父所赐给祂的（19:13, 15；诗篇2，约翰福音1:1，5:22，启示录2:27，12:5）。</w:t>
      </w:r>
    </w:p>
    <w:p w14:paraId="536521C3">
      <w:pPr>
        <w:pStyle w:val="9"/>
        <w:spacing w:after="0" w:line="249" w:lineRule="auto"/>
        <w:rPr>
          <w:rFonts w:hint="eastAsia"/>
          <w:color w:val="231F20"/>
        </w:rPr>
      </w:pPr>
    </w:p>
    <w:p w14:paraId="17BB26EB">
      <w:pPr>
        <w:pStyle w:val="9"/>
        <w:spacing w:after="0" w:line="249" w:lineRule="auto"/>
        <w:rPr>
          <w:rFonts w:hint="eastAsia"/>
          <w:color w:val="231F20"/>
        </w:rPr>
      </w:pPr>
      <w:r>
        <w:rPr>
          <w:rFonts w:hint="eastAsia"/>
          <w:color w:val="231F20"/>
        </w:rPr>
        <w:t>This is also the King of kings and the Lord of lords; for now, at his Parousia, the High King puts every earthly enemy under foot, and so becomes absolute Head over all (19:16; 1 Cor. 15:25-27, Eph. 1:10, 22, Rev. 17:14, 19:12).</w:t>
      </w:r>
    </w:p>
    <w:p w14:paraId="0E0A765B">
      <w:pPr>
        <w:pStyle w:val="9"/>
        <w:spacing w:after="0" w:line="249" w:lineRule="auto"/>
        <w:rPr>
          <w:rFonts w:hint="eastAsia"/>
          <w:color w:val="231F20"/>
        </w:rPr>
      </w:pPr>
      <w:r>
        <w:rPr>
          <w:rFonts w:hint="eastAsia"/>
          <w:color w:val="231F20"/>
        </w:rPr>
        <w:t>这也是万王之王，万主之主；因为现在，在祂的主临（Parousia）时，至高君王将所有地上的仇敌都放在脚下，从而成为万有之首（19:16；林前15:25-27，弗1:10，22，启17:14，19:12）。</w:t>
      </w:r>
    </w:p>
    <w:p w14:paraId="165320E8">
      <w:pPr>
        <w:pStyle w:val="9"/>
        <w:spacing w:after="0" w:line="249" w:lineRule="auto"/>
        <w:rPr>
          <w:rFonts w:hint="eastAsia"/>
          <w:color w:val="231F20"/>
        </w:rPr>
      </w:pPr>
    </w:p>
    <w:p w14:paraId="1447DD7D">
      <w:pPr>
        <w:pStyle w:val="9"/>
        <w:spacing w:after="0" w:line="249" w:lineRule="auto"/>
        <w:rPr>
          <w:rFonts w:hint="eastAsia"/>
          <w:color w:val="231F20"/>
        </w:rPr>
      </w:pPr>
      <w:r>
        <w:rPr>
          <w:rFonts w:hint="eastAsia"/>
          <w:color w:val="231F20"/>
        </w:rPr>
        <w:t>In the second vision, John beholds an angel summoning all the birds of mid-heaven to the great supper of God, that they may feast on the flesh of all Christ’s enemies, great and small (19:17-18, 21).</w:t>
      </w:r>
    </w:p>
    <w:p w14:paraId="74E82596">
      <w:pPr>
        <w:pStyle w:val="9"/>
        <w:spacing w:after="0" w:line="249" w:lineRule="auto"/>
        <w:rPr>
          <w:rFonts w:hint="eastAsia"/>
          <w:color w:val="231F20"/>
        </w:rPr>
      </w:pPr>
      <w:r>
        <w:rPr>
          <w:rFonts w:hint="eastAsia"/>
          <w:color w:val="231F20"/>
        </w:rPr>
        <w:t>在第二个异象中，约翰看见一位天使召唤空中所有的飞鸟来赴上帝的大筵席，好叫它们可以吃尽基督所有仇敌的肉，无论大小（19:17-18, 21）。</w:t>
      </w:r>
    </w:p>
    <w:p w14:paraId="1DC081B0">
      <w:pPr>
        <w:pStyle w:val="9"/>
        <w:spacing w:after="0" w:line="249" w:lineRule="auto"/>
        <w:rPr>
          <w:rFonts w:hint="eastAsia"/>
          <w:color w:val="231F20"/>
        </w:rPr>
      </w:pPr>
    </w:p>
    <w:p w14:paraId="5B72DB9B">
      <w:pPr>
        <w:pStyle w:val="9"/>
        <w:spacing w:after="0" w:line="249" w:lineRule="auto"/>
        <w:rPr>
          <w:rFonts w:hint="eastAsia"/>
          <w:color w:val="231F20"/>
        </w:rPr>
      </w:pPr>
      <w:r>
        <w:rPr>
          <w:rFonts w:hint="eastAsia"/>
          <w:color w:val="231F20"/>
        </w:rPr>
        <w:t>Here again the Spirit uses OT apocalyptic language to speak of the torments of the wicked in hell (Ezek. 39:17-20, Rev. 18:2).</w:t>
      </w:r>
    </w:p>
    <w:p w14:paraId="73330EA3">
      <w:pPr>
        <w:pStyle w:val="9"/>
        <w:spacing w:after="0" w:line="249" w:lineRule="auto"/>
        <w:rPr>
          <w:rFonts w:hint="eastAsia"/>
          <w:color w:val="231F20"/>
        </w:rPr>
      </w:pPr>
      <w:r>
        <w:rPr>
          <w:rFonts w:hint="eastAsia"/>
          <w:color w:val="231F20"/>
        </w:rPr>
        <w:t>在这里，圣灵再次使用旧约的末世语言来讲述恶人在地狱中的折磨（结39:17-20，启18:2）。</w:t>
      </w:r>
    </w:p>
    <w:p w14:paraId="611794D1">
      <w:pPr>
        <w:pStyle w:val="9"/>
        <w:spacing w:after="0" w:line="249" w:lineRule="auto"/>
        <w:rPr>
          <w:rFonts w:hint="eastAsia"/>
          <w:color w:val="231F20"/>
        </w:rPr>
      </w:pPr>
    </w:p>
    <w:p w14:paraId="71A8E27D">
      <w:pPr>
        <w:pStyle w:val="9"/>
        <w:spacing w:after="0" w:line="249" w:lineRule="auto"/>
        <w:rPr>
          <w:rFonts w:hint="eastAsia"/>
          <w:color w:val="231F20"/>
        </w:rPr>
      </w:pPr>
      <w:r>
        <w:rPr>
          <w:rFonts w:hint="eastAsia"/>
          <w:color w:val="231F20"/>
        </w:rPr>
        <w:t>The third and final vision confirms this interpretation (19:19-21).</w:t>
      </w:r>
    </w:p>
    <w:p w14:paraId="4D0CFE54">
      <w:pPr>
        <w:pStyle w:val="9"/>
        <w:spacing w:after="0" w:line="249" w:lineRule="auto"/>
        <w:rPr>
          <w:rFonts w:hint="eastAsia"/>
          <w:color w:val="231F20"/>
        </w:rPr>
      </w:pPr>
      <w:r>
        <w:rPr>
          <w:rFonts w:hint="eastAsia"/>
          <w:color w:val="231F20"/>
        </w:rPr>
        <w:t>第三个也是最后一个异象证实了这一解释（19:19-21）。</w:t>
      </w:r>
    </w:p>
    <w:p w14:paraId="2EEDB52B">
      <w:pPr>
        <w:pStyle w:val="9"/>
        <w:spacing w:after="0" w:line="249" w:lineRule="auto"/>
        <w:rPr>
          <w:rFonts w:hint="eastAsia"/>
          <w:color w:val="231F20"/>
        </w:rPr>
      </w:pPr>
    </w:p>
    <w:p w14:paraId="1AD18950">
      <w:pPr>
        <w:pStyle w:val="9"/>
        <w:spacing w:after="0" w:line="249" w:lineRule="auto"/>
        <w:rPr>
          <w:rFonts w:hint="eastAsia"/>
          <w:color w:val="231F20"/>
        </w:rPr>
      </w:pPr>
      <w:r>
        <w:rPr>
          <w:rFonts w:hint="eastAsia"/>
          <w:color w:val="231F20"/>
        </w:rPr>
        <w:t>John sees the Beast and his armies arrayed against Christ and his army.</w:t>
      </w:r>
    </w:p>
    <w:p w14:paraId="53DCD792">
      <w:pPr>
        <w:pStyle w:val="9"/>
        <w:spacing w:after="0" w:line="249" w:lineRule="auto"/>
        <w:rPr>
          <w:rFonts w:hint="eastAsia"/>
          <w:color w:val="231F20"/>
        </w:rPr>
      </w:pPr>
      <w:r>
        <w:rPr>
          <w:rFonts w:hint="eastAsia"/>
          <w:color w:val="231F20"/>
        </w:rPr>
        <w:t>约翰看见兽和它的众军列阵，要与基督和祂的军队争战。</w:t>
      </w:r>
    </w:p>
    <w:p w14:paraId="3D716861">
      <w:pPr>
        <w:pStyle w:val="9"/>
        <w:spacing w:after="0" w:line="249" w:lineRule="auto"/>
        <w:rPr>
          <w:rFonts w:hint="eastAsia"/>
          <w:color w:val="231F20"/>
        </w:rPr>
      </w:pPr>
    </w:p>
    <w:p w14:paraId="32904754">
      <w:pPr>
        <w:pStyle w:val="9"/>
        <w:spacing w:after="0" w:line="249" w:lineRule="auto"/>
        <w:rPr>
          <w:rFonts w:hint="eastAsia"/>
          <w:color w:val="231F20"/>
        </w:rPr>
      </w:pPr>
      <w:r>
        <w:rPr>
          <w:rFonts w:hint="eastAsia"/>
          <w:color w:val="231F20"/>
        </w:rPr>
        <w:t>This is yet another picture of the Last Battle, wherein the consolidated world-system pits itself one final time against the (NT) people of God (19:19; 17:17).</w:t>
      </w:r>
    </w:p>
    <w:p w14:paraId="3E1C0A23">
      <w:pPr>
        <w:pStyle w:val="9"/>
        <w:spacing w:after="0" w:line="249" w:lineRule="auto"/>
        <w:rPr>
          <w:rFonts w:hint="eastAsia"/>
          <w:color w:val="231F20"/>
        </w:rPr>
      </w:pPr>
      <w:r>
        <w:rPr>
          <w:rFonts w:hint="eastAsia"/>
          <w:color w:val="231F20"/>
        </w:rPr>
        <w:t>这又是末日争战的另一幅图画，其中联合起来的世界体系最后一次与上帝的（新约）子民对阵（19:19；17:17）。</w:t>
      </w:r>
    </w:p>
    <w:p w14:paraId="1F93B9F0">
      <w:pPr>
        <w:pStyle w:val="9"/>
        <w:spacing w:after="0" w:line="249" w:lineRule="auto"/>
        <w:rPr>
          <w:rFonts w:hint="eastAsia"/>
          <w:color w:val="231F20"/>
        </w:rPr>
      </w:pPr>
    </w:p>
    <w:p w14:paraId="1247BF07">
      <w:pPr>
        <w:pStyle w:val="9"/>
        <w:spacing w:after="0" w:line="249" w:lineRule="auto"/>
        <w:rPr>
          <w:rFonts w:hint="eastAsia"/>
          <w:color w:val="231F20"/>
        </w:rPr>
      </w:pPr>
      <w:r>
        <w:rPr>
          <w:rFonts w:hint="eastAsia"/>
          <w:color w:val="231F20"/>
        </w:rPr>
        <w:t>But it is all in vain, for no sooner have they gathered themselves for war, than Christ appears in glory, seizing the Beast, the False Prophet, and all their followers, and casting them into the Lake of Fire (19:20-21; 2 Thess. 2:1ff).</w:t>
      </w:r>
    </w:p>
    <w:p w14:paraId="2FA60121">
      <w:pPr>
        <w:pStyle w:val="9"/>
        <w:spacing w:after="0" w:line="249" w:lineRule="auto"/>
        <w:rPr>
          <w:rFonts w:hint="eastAsia"/>
          <w:color w:val="231F20"/>
        </w:rPr>
      </w:pPr>
      <w:r>
        <w:rPr>
          <w:rFonts w:hint="eastAsia"/>
          <w:color w:val="231F20"/>
        </w:rPr>
        <w:t>但这都是徒然的，因为他们刚聚集起来要争战，基督就在荣耀中显现，捉住那兽、假先知和所有跟随他们的人，把他们扔进火湖里（19:20-21；帖后2:1及以下）。</w:t>
      </w:r>
    </w:p>
    <w:p w14:paraId="3D3C1827">
      <w:pPr>
        <w:pStyle w:val="9"/>
        <w:spacing w:after="0" w:line="249" w:lineRule="auto"/>
        <w:rPr>
          <w:rFonts w:hint="eastAsia"/>
          <w:color w:val="231F20"/>
        </w:rPr>
      </w:pPr>
    </w:p>
    <w:p w14:paraId="43751D90">
      <w:pPr>
        <w:pStyle w:val="9"/>
        <w:spacing w:after="0" w:line="249" w:lineRule="auto"/>
        <w:rPr>
          <w:rFonts w:hint="eastAsia"/>
          <w:color w:val="231F20"/>
        </w:rPr>
      </w:pPr>
      <w:r>
        <w:rPr>
          <w:rFonts w:hint="eastAsia"/>
          <w:color w:val="231F20"/>
        </w:rPr>
        <w:t>Thus, at the Parousia, Christ completely sweeps away all three of the Dragon’s helpers from the earth.</w:t>
      </w:r>
    </w:p>
    <w:p w14:paraId="23BEC99A">
      <w:pPr>
        <w:pStyle w:val="9"/>
        <w:spacing w:after="0" w:line="249" w:lineRule="auto"/>
        <w:rPr>
          <w:rFonts w:hint="eastAsia"/>
          <w:color w:val="231F20"/>
        </w:rPr>
      </w:pPr>
      <w:r>
        <w:rPr>
          <w:rFonts w:hint="eastAsia"/>
          <w:color w:val="231F20"/>
        </w:rPr>
        <w:t>因此，在主临（Parousia）时，基督将龙的三个助手从地上完全扫除。</w:t>
      </w:r>
    </w:p>
    <w:p w14:paraId="0148B87C">
      <w:pPr>
        <w:pStyle w:val="9"/>
        <w:spacing w:after="0" w:line="249" w:lineRule="auto"/>
        <w:rPr>
          <w:rFonts w:hint="eastAsia"/>
          <w:color w:val="231F20"/>
        </w:rPr>
      </w:pPr>
    </w:p>
    <w:p w14:paraId="03969D47">
      <w:pPr>
        <w:pStyle w:val="9"/>
        <w:spacing w:after="0" w:line="249" w:lineRule="auto"/>
        <w:rPr>
          <w:rFonts w:hint="eastAsia"/>
          <w:color w:val="231F20"/>
        </w:rPr>
      </w:pPr>
      <w:r>
        <w:rPr>
          <w:rFonts w:hint="eastAsia"/>
          <w:color w:val="231F20"/>
        </w:rPr>
        <w:t>In the next cycle we will see Him sweep away the Dragon with them.</w:t>
      </w:r>
    </w:p>
    <w:p w14:paraId="72614EAE">
      <w:pPr>
        <w:pStyle w:val="9"/>
        <w:spacing w:after="0" w:line="249" w:lineRule="auto"/>
        <w:rPr>
          <w:rFonts w:hint="eastAsia"/>
          <w:color w:val="231F20"/>
        </w:rPr>
      </w:pPr>
      <w:r>
        <w:rPr>
          <w:rFonts w:hint="eastAsia"/>
          <w:color w:val="231F20"/>
        </w:rPr>
        <w:t>在下一个循环中，我们将看到祂将龙和他们一同扫除。</w:t>
      </w:r>
    </w:p>
    <w:p w14:paraId="0F7F66A2">
      <w:pPr>
        <w:pStyle w:val="9"/>
        <w:spacing w:after="0" w:line="249" w:lineRule="auto"/>
        <w:rPr>
          <w:rFonts w:hint="eastAsia"/>
          <w:color w:val="231F20"/>
        </w:rPr>
      </w:pPr>
    </w:p>
    <w:p w14:paraId="5F277CDB">
      <w:pPr>
        <w:pStyle w:val="9"/>
        <w:spacing w:after="0" w:line="249" w:lineRule="auto"/>
        <w:rPr>
          <w:rFonts w:hint="eastAsia"/>
          <w:color w:val="231F20"/>
        </w:rPr>
      </w:pPr>
      <w:r>
        <w:rPr>
          <w:rFonts w:hint="eastAsia"/>
          <w:color w:val="231F20"/>
        </w:rPr>
        <w:t>Summing up, we have found that the fifth cycle of Revelation 6-20 deals largely with the Consummation of the High King’s heavenly reign, emphasizing as it does of the final judgment of the Harlot, the Beast, and the False Prophet.</w:t>
      </w:r>
    </w:p>
    <w:p w14:paraId="1C2F9D63">
      <w:pPr>
        <w:pStyle w:val="9"/>
        <w:spacing w:after="0" w:line="249" w:lineRule="auto"/>
        <w:rPr>
          <w:rFonts w:hint="eastAsia"/>
          <w:color w:val="231F20"/>
        </w:rPr>
      </w:pPr>
      <w:r>
        <w:rPr>
          <w:rFonts w:hint="eastAsia"/>
          <w:color w:val="231F20"/>
        </w:rPr>
        <w:t>总结来说，我们发现《启示录》第6-20章的第五个循环主要处理至高君王属天统治的最终成全，强调了对淫妇、兽和假先知的最后审判。</w:t>
      </w:r>
    </w:p>
    <w:p w14:paraId="365907C2">
      <w:pPr>
        <w:pStyle w:val="9"/>
        <w:spacing w:after="0" w:line="249" w:lineRule="auto"/>
        <w:rPr>
          <w:rFonts w:hint="eastAsia"/>
          <w:color w:val="231F20"/>
        </w:rPr>
      </w:pPr>
    </w:p>
    <w:p w14:paraId="633C7E7F">
      <w:pPr>
        <w:pStyle w:val="9"/>
        <w:spacing w:after="0" w:line="249" w:lineRule="auto"/>
        <w:rPr>
          <w:rFonts w:hint="eastAsia"/>
          <w:color w:val="231F20"/>
        </w:rPr>
      </w:pPr>
      <w:r>
        <w:rPr>
          <w:rFonts w:hint="eastAsia"/>
          <w:color w:val="231F20"/>
        </w:rPr>
        <w:t>Nevertheless, in doing so, it specifically speaks of the ancient Roman embodiment of these enemies, alongside which John and the early Christians lived and toiled (Rev. 17:10).</w:t>
      </w:r>
    </w:p>
    <w:p w14:paraId="15348DDF">
      <w:pPr>
        <w:pStyle w:val="9"/>
        <w:spacing w:after="0" w:line="249" w:lineRule="auto"/>
        <w:rPr>
          <w:rFonts w:hint="eastAsia"/>
          <w:color w:val="231F20"/>
        </w:rPr>
      </w:pPr>
      <w:r>
        <w:rPr>
          <w:rFonts w:hint="eastAsia"/>
          <w:color w:val="231F20"/>
        </w:rPr>
        <w:t>然而，在这样做的时候，它特别提到了这些敌人在古罗马的化身，约翰和早期基督徒就是与他们生活和劳苦在一起的（启17:10）。</w:t>
      </w:r>
    </w:p>
    <w:p w14:paraId="1854FDE1">
      <w:pPr>
        <w:pStyle w:val="9"/>
        <w:spacing w:after="0" w:line="249" w:lineRule="auto"/>
        <w:rPr>
          <w:rFonts w:hint="eastAsia"/>
          <w:color w:val="231F20"/>
        </w:rPr>
      </w:pPr>
    </w:p>
    <w:p w14:paraId="3C767C8C">
      <w:pPr>
        <w:pStyle w:val="9"/>
        <w:spacing w:after="0" w:line="249" w:lineRule="auto"/>
        <w:rPr>
          <w:rFonts w:hint="eastAsia"/>
          <w:color w:val="231F20"/>
        </w:rPr>
      </w:pPr>
      <w:r>
        <w:rPr>
          <w:rFonts w:hint="eastAsia"/>
          <w:color w:val="231F20"/>
        </w:rPr>
        <w:t>Moreover, from its various exhortations to the people of God, it is clear that this cycle is meant to speak to Christians of all generations, since they too must stand firm against the manifestation of the Dragon’s helpers proper to their own time (Rev. 18:4-5, 20).</w:t>
      </w:r>
    </w:p>
    <w:p w14:paraId="708B95E9">
      <w:pPr>
        <w:pStyle w:val="9"/>
        <w:spacing w:after="0" w:line="249" w:lineRule="auto"/>
        <w:rPr>
          <w:rFonts w:hint="eastAsia"/>
          <w:color w:val="231F20"/>
        </w:rPr>
      </w:pPr>
      <w:r>
        <w:rPr>
          <w:rFonts w:hint="eastAsia"/>
          <w:color w:val="231F20"/>
        </w:rPr>
        <w:t>此外，从它对上帝子民的各种劝勉中可以清楚地看出，这个循环意在对所有世代的基督徒说话，因为他们也必须坚决抵挡在他们自己时代出现的龙的助手的彰显（启18:4-5, 20）。</w:t>
      </w:r>
    </w:p>
    <w:p w14:paraId="361CEE50">
      <w:pPr>
        <w:pStyle w:val="9"/>
        <w:spacing w:after="0" w:line="249" w:lineRule="auto"/>
        <w:rPr>
          <w:rFonts w:hint="eastAsia"/>
          <w:color w:val="231F20"/>
        </w:rPr>
      </w:pPr>
    </w:p>
    <w:p w14:paraId="6C26399A">
      <w:pPr>
        <w:pStyle w:val="9"/>
        <w:spacing w:after="0" w:line="249" w:lineRule="auto"/>
        <w:rPr>
          <w:rFonts w:hint="eastAsia"/>
          <w:color w:val="231F20"/>
        </w:rPr>
      </w:pPr>
      <w:r>
        <w:rPr>
          <w:rFonts w:hint="eastAsia"/>
          <w:color w:val="231F20"/>
        </w:rPr>
        <w:t>Therefore, we may conclude that in a limited but very real sense this cycle does indeed span the entire Era of Proclamation.</w:t>
      </w:r>
    </w:p>
    <w:p w14:paraId="7FCAE62F">
      <w:pPr>
        <w:pStyle w:val="9"/>
        <w:spacing w:after="0" w:line="249" w:lineRule="auto"/>
        <w:rPr>
          <w:rFonts w:hint="eastAsia"/>
          <w:color w:val="231F20"/>
        </w:rPr>
      </w:pPr>
      <w:r>
        <w:rPr>
          <w:rFonts w:hint="eastAsia"/>
          <w:color w:val="231F20"/>
        </w:rPr>
        <w:t>因此，我们可以得出结论，在有限但非常真实的意义上，这个循环确实跨越了整个宣讲时代。</w:t>
      </w:r>
    </w:p>
    <w:p w14:paraId="3475238A">
      <w:pPr>
        <w:pStyle w:val="9"/>
        <w:spacing w:after="0" w:line="249" w:lineRule="auto"/>
        <w:rPr>
          <w:rFonts w:hint="eastAsia"/>
          <w:color w:val="231F20"/>
        </w:rPr>
      </w:pPr>
    </w:p>
    <w:p w14:paraId="78C08385">
      <w:pPr>
        <w:pStyle w:val="9"/>
        <w:spacing w:after="0" w:line="249" w:lineRule="auto"/>
        <w:rPr>
          <w:rFonts w:hint="eastAsia"/>
          <w:color w:val="231F20"/>
        </w:rPr>
      </w:pPr>
      <w:r>
        <w:rPr>
          <w:rFonts w:hint="eastAsia"/>
          <w:color w:val="231F20"/>
        </w:rPr>
        <w:t>Finally, let us note once again that when the Spirit reminds the saints of their Blessed Hope, he says not a word about ruling and reigning with Christ in a future millennial stage of the Kingdom.</w:t>
      </w:r>
    </w:p>
    <w:p w14:paraId="308C9D62">
      <w:pPr>
        <w:pStyle w:val="9"/>
        <w:spacing w:after="0" w:line="249" w:lineRule="auto"/>
        <w:rPr>
          <w:rFonts w:hint="eastAsia"/>
          <w:color w:val="231F20"/>
        </w:rPr>
      </w:pPr>
      <w:r>
        <w:rPr>
          <w:rFonts w:hint="eastAsia"/>
          <w:color w:val="231F20"/>
        </w:rPr>
        <w:t>最后，让我们再次注意，当圣灵提醒圣徒他们有福的盼望时，祂只字不提在国度未来的千禧年阶段与基督一同作王和统治。</w:t>
      </w:r>
    </w:p>
    <w:p w14:paraId="2DFE5915">
      <w:pPr>
        <w:pStyle w:val="9"/>
        <w:spacing w:after="0" w:line="249" w:lineRule="auto"/>
        <w:rPr>
          <w:rFonts w:hint="eastAsia"/>
          <w:color w:val="231F20"/>
        </w:rPr>
      </w:pPr>
    </w:p>
    <w:p w14:paraId="15034876">
      <w:pPr>
        <w:pStyle w:val="9"/>
        <w:spacing w:after="0" w:line="249" w:lineRule="auto"/>
        <w:rPr>
          <w:rFonts w:hint="eastAsia"/>
          <w:color w:val="231F20"/>
        </w:rPr>
      </w:pPr>
      <w:r>
        <w:rPr>
          <w:rFonts w:hint="eastAsia"/>
          <w:color w:val="231F20"/>
        </w:rPr>
        <w:t>Rather, he speaks of the Parousia, at which time the Lord will rescue his people from the Last Battle (17:14, 19:19-21), decisively judge his (and their) enemies (18:1ff, 19:11- 21), and welcome his glorified Bride to eternal life together with him in the World to Come (19:1-10).</w:t>
      </w:r>
    </w:p>
    <w:p w14:paraId="7414F2CF">
      <w:pPr>
        <w:pStyle w:val="9"/>
        <w:spacing w:after="0" w:line="249" w:lineRule="auto"/>
        <w:rPr>
          <w:rFonts w:hint="eastAsia"/>
          <w:color w:val="231F20"/>
        </w:rPr>
      </w:pPr>
      <w:r>
        <w:rPr>
          <w:rFonts w:hint="eastAsia"/>
          <w:color w:val="231F20"/>
        </w:rPr>
        <w:t>相反，祂讲的是主临（Parousia），届时主将从末日争战中拯救祂的子民（17:14，19:19-21），果断地审判祂（和他们）的仇敌（18:1及以下，19:11-21），并欢迎祂得荣耀的新妇与祂一同在将来的世界里享受永生（19:1-10）。</w:t>
      </w:r>
    </w:p>
    <w:p w14:paraId="05CA433F">
      <w:pPr>
        <w:pStyle w:val="9"/>
        <w:spacing w:after="0" w:line="249" w:lineRule="auto"/>
        <w:rPr>
          <w:rFonts w:hint="eastAsia"/>
          <w:color w:val="231F20"/>
        </w:rPr>
      </w:pPr>
    </w:p>
    <w:p w14:paraId="33356109">
      <w:pPr>
        <w:pStyle w:val="9"/>
        <w:spacing w:after="0" w:line="249" w:lineRule="auto"/>
        <w:rPr>
          <w:rFonts w:hint="eastAsia"/>
          <w:color w:val="231F20"/>
        </w:rPr>
      </w:pPr>
      <w:r>
        <w:rPr>
          <w:rFonts w:hint="eastAsia"/>
          <w:color w:val="231F20"/>
        </w:rPr>
        <w:t>Therefore, as in the previous four cycles, so here: The classic NT eschatology is presupposed.</w:t>
      </w:r>
    </w:p>
    <w:p w14:paraId="72A947A6">
      <w:pPr>
        <w:pStyle w:val="9"/>
        <w:spacing w:after="0" w:line="249" w:lineRule="auto"/>
        <w:rPr>
          <w:rFonts w:hint="eastAsia"/>
          <w:color w:val="231F20"/>
        </w:rPr>
      </w:pPr>
      <w:r>
        <w:rPr>
          <w:rFonts w:hint="eastAsia"/>
          <w:color w:val="231F20"/>
        </w:rPr>
        <w:t>因此，如同在前四个循环中一样，这里也是如此：经典的新约末世论是被预设的。</w:t>
      </w:r>
    </w:p>
    <w:p w14:paraId="63EAAE57">
      <w:pPr>
        <w:pStyle w:val="9"/>
        <w:spacing w:after="0" w:line="249" w:lineRule="auto"/>
        <w:rPr>
          <w:rFonts w:hint="eastAsia"/>
          <w:color w:val="231F20"/>
        </w:rPr>
      </w:pPr>
    </w:p>
    <w:p w14:paraId="01866ACD">
      <w:pPr>
        <w:pStyle w:val="9"/>
        <w:spacing w:after="0" w:line="249" w:lineRule="auto"/>
        <w:rPr>
          <w:rFonts w:hint="eastAsia"/>
          <w:color w:val="231F20"/>
        </w:rPr>
      </w:pPr>
      <w:r>
        <w:rPr>
          <w:rFonts w:hint="eastAsia"/>
          <w:color w:val="231F20"/>
        </w:rPr>
        <w:t>The Kingdom is divided into two simple stages, separated by a single Parousia of Christ, who, at his appearing, will consummate all things.</w:t>
      </w:r>
    </w:p>
    <w:p w14:paraId="2306AF0D">
      <w:pPr>
        <w:pStyle w:val="9"/>
        <w:spacing w:after="0" w:line="249" w:lineRule="auto"/>
        <w:rPr>
          <w:rFonts w:hint="eastAsia"/>
          <w:color w:val="231F20"/>
        </w:rPr>
      </w:pPr>
      <w:r>
        <w:rPr>
          <w:rFonts w:hint="eastAsia"/>
          <w:color w:val="231F20"/>
        </w:rPr>
        <w:t>国度被分为两个简单的阶段，由基督的一次主临（Parousia）所分隔，祂在显现时将成全万事。</w:t>
      </w:r>
    </w:p>
    <w:p w14:paraId="506110BB">
      <w:pPr>
        <w:pStyle w:val="9"/>
        <w:spacing w:after="0" w:line="249" w:lineRule="auto"/>
        <w:rPr>
          <w:rFonts w:hint="eastAsia"/>
          <w:color w:val="231F20"/>
        </w:rPr>
      </w:pPr>
    </w:p>
    <w:p w14:paraId="0F4DBAE4">
      <w:pPr>
        <w:pStyle w:val="9"/>
        <w:spacing w:after="0" w:line="249" w:lineRule="auto"/>
        <w:rPr>
          <w:rFonts w:hint="eastAsia"/>
          <w:color w:val="231F20"/>
        </w:rPr>
      </w:pPr>
      <w:r>
        <w:rPr>
          <w:rFonts w:hint="eastAsia"/>
          <w:color w:val="231F20"/>
        </w:rPr>
        <w:t>Is this not the true Blessed Hope of the saints?</w:t>
      </w:r>
    </w:p>
    <w:p w14:paraId="19DAA643">
      <w:pPr>
        <w:pStyle w:val="9"/>
        <w:spacing w:after="0" w:line="249" w:lineRule="auto"/>
        <w:rPr>
          <w:rFonts w:hint="eastAsia"/>
          <w:color w:val="231F20"/>
        </w:rPr>
      </w:pPr>
      <w:r>
        <w:rPr>
          <w:rFonts w:hint="eastAsia"/>
          <w:color w:val="231F20"/>
        </w:rPr>
        <w:t>这难道不是圣徒真正的有福盼望吗？</w:t>
      </w:r>
    </w:p>
    <w:p w14:paraId="51AB536D">
      <w:pPr>
        <w:pStyle w:val="9"/>
        <w:spacing w:after="0" w:line="249" w:lineRule="auto"/>
        <w:rPr>
          <w:rFonts w:hint="eastAsia"/>
          <w:color w:val="231F20"/>
        </w:rPr>
      </w:pPr>
    </w:p>
    <w:p w14:paraId="3171FA7E">
      <w:pPr>
        <w:pStyle w:val="9"/>
        <w:spacing w:after="0" w:line="249" w:lineRule="auto"/>
        <w:rPr>
          <w:rFonts w:hint="eastAsia"/>
          <w:color w:val="231F20"/>
        </w:rPr>
      </w:pPr>
      <w:r>
        <w:rPr>
          <w:rFonts w:hint="eastAsia"/>
          <w:color w:val="231F20"/>
        </w:rPr>
        <w:t>Conclusion</w:t>
      </w:r>
    </w:p>
    <w:p w14:paraId="4BE0F186">
      <w:pPr>
        <w:pStyle w:val="9"/>
        <w:spacing w:after="0" w:line="249" w:lineRule="auto"/>
        <w:rPr>
          <w:rFonts w:hint="eastAsia"/>
          <w:color w:val="231F20"/>
        </w:rPr>
      </w:pPr>
      <w:r>
        <w:rPr>
          <w:rFonts w:hint="eastAsia"/>
          <w:color w:val="231F20"/>
        </w:rPr>
        <w:t>结论</w:t>
      </w:r>
    </w:p>
    <w:p w14:paraId="531AAEC8">
      <w:pPr>
        <w:pStyle w:val="9"/>
        <w:spacing w:after="0" w:line="249" w:lineRule="auto"/>
        <w:rPr>
          <w:rFonts w:hint="eastAsia"/>
          <w:color w:val="231F20"/>
        </w:rPr>
      </w:pPr>
    </w:p>
    <w:p w14:paraId="5381E9C4">
      <w:pPr>
        <w:pStyle w:val="9"/>
        <w:spacing w:after="0" w:line="249" w:lineRule="auto"/>
        <w:rPr>
          <w:rFonts w:hint="eastAsia"/>
          <w:color w:val="231F20"/>
        </w:rPr>
      </w:pPr>
      <w:r>
        <w:rPr>
          <w:rFonts w:hint="eastAsia"/>
          <w:color w:val="231F20"/>
        </w:rPr>
        <w:t>Our examination of the structure of the Revelation is nearly complete.</w:t>
      </w:r>
    </w:p>
    <w:p w14:paraId="3CC743FC">
      <w:pPr>
        <w:pStyle w:val="9"/>
        <w:spacing w:after="0" w:line="249" w:lineRule="auto"/>
        <w:rPr>
          <w:rFonts w:hint="eastAsia"/>
          <w:color w:val="231F20"/>
        </w:rPr>
      </w:pPr>
      <w:r>
        <w:rPr>
          <w:rFonts w:hint="eastAsia"/>
          <w:color w:val="231F20"/>
        </w:rPr>
        <w:t>我们对《启示录》结构的考察已接近完成。</w:t>
      </w:r>
    </w:p>
    <w:p w14:paraId="0FEAB671">
      <w:pPr>
        <w:pStyle w:val="9"/>
        <w:spacing w:after="0" w:line="249" w:lineRule="auto"/>
        <w:rPr>
          <w:rFonts w:hint="eastAsia"/>
          <w:color w:val="231F20"/>
        </w:rPr>
      </w:pPr>
    </w:p>
    <w:p w14:paraId="3CB64FBA">
      <w:pPr>
        <w:pStyle w:val="9"/>
        <w:spacing w:after="0" w:line="249" w:lineRule="auto"/>
        <w:rPr>
          <w:rFonts w:hint="eastAsia"/>
          <w:color w:val="231F20"/>
        </w:rPr>
      </w:pPr>
      <w:r>
        <w:rPr>
          <w:rFonts w:hint="eastAsia"/>
          <w:color w:val="231F20"/>
        </w:rPr>
        <w:t>We have seen that the text itself conforms very well to the chart with which we began our journey.</w:t>
      </w:r>
    </w:p>
    <w:p w14:paraId="55EDBBAF">
      <w:pPr>
        <w:pStyle w:val="9"/>
        <w:spacing w:after="0" w:line="249" w:lineRule="auto"/>
        <w:rPr>
          <w:rFonts w:hint="eastAsia"/>
          <w:color w:val="231F20"/>
        </w:rPr>
      </w:pPr>
      <w:r>
        <w:rPr>
          <w:rFonts w:hint="eastAsia"/>
          <w:color w:val="231F20"/>
        </w:rPr>
        <w:t>我们已经看到，经文本身与我们开始旅程时所用的图表非常吻合。</w:t>
      </w:r>
    </w:p>
    <w:p w14:paraId="00641011">
      <w:pPr>
        <w:pStyle w:val="9"/>
        <w:spacing w:after="0" w:line="249" w:lineRule="auto"/>
        <w:rPr>
          <w:rFonts w:hint="eastAsia"/>
          <w:color w:val="231F20"/>
        </w:rPr>
      </w:pPr>
    </w:p>
    <w:p w14:paraId="72D67834">
      <w:pPr>
        <w:pStyle w:val="9"/>
        <w:spacing w:after="0" w:line="249" w:lineRule="auto"/>
        <w:rPr>
          <w:rFonts w:hint="eastAsia"/>
          <w:color w:val="231F20"/>
        </w:rPr>
      </w:pPr>
      <w:r>
        <w:rPr>
          <w:rFonts w:hint="eastAsia"/>
          <w:color w:val="231F20"/>
        </w:rPr>
        <w:t>Chapter 1 does indeed give us a Vision of the High King.</w:t>
      </w:r>
    </w:p>
    <w:p w14:paraId="56E7F392">
      <w:pPr>
        <w:pStyle w:val="9"/>
        <w:spacing w:after="0" w:line="249" w:lineRule="auto"/>
        <w:rPr>
          <w:rFonts w:hint="eastAsia"/>
          <w:color w:val="231F20"/>
        </w:rPr>
      </w:pPr>
      <w:r>
        <w:rPr>
          <w:rFonts w:hint="eastAsia"/>
          <w:color w:val="231F20"/>
        </w:rPr>
        <w:t>第1章确实给了我们一个至高君王的异象。</w:t>
      </w:r>
    </w:p>
    <w:p w14:paraId="68B3955C">
      <w:pPr>
        <w:pStyle w:val="9"/>
        <w:spacing w:after="0" w:line="249" w:lineRule="auto"/>
        <w:rPr>
          <w:rFonts w:hint="eastAsia"/>
          <w:color w:val="231F20"/>
        </w:rPr>
      </w:pPr>
    </w:p>
    <w:p w14:paraId="479BF043">
      <w:pPr>
        <w:pStyle w:val="9"/>
        <w:spacing w:after="0" w:line="249" w:lineRule="auto"/>
        <w:rPr>
          <w:rFonts w:hint="eastAsia"/>
          <w:color w:val="231F20"/>
        </w:rPr>
      </w:pPr>
      <w:r>
        <w:rPr>
          <w:rFonts w:hint="eastAsia"/>
          <w:color w:val="231F20"/>
        </w:rPr>
        <w:t>Chapters 2-3 give us his message to the Universal Church.</w:t>
      </w:r>
    </w:p>
    <w:p w14:paraId="067ADD31">
      <w:pPr>
        <w:pStyle w:val="9"/>
        <w:spacing w:after="0" w:line="249" w:lineRule="auto"/>
        <w:rPr>
          <w:rFonts w:hint="eastAsia"/>
          <w:color w:val="231F20"/>
        </w:rPr>
      </w:pPr>
      <w:r>
        <w:rPr>
          <w:rFonts w:hint="eastAsia"/>
          <w:color w:val="231F20"/>
        </w:rPr>
        <w:t>第2-3章给了我们祂给普世教会的信息。</w:t>
      </w:r>
    </w:p>
    <w:p w14:paraId="0DF6DB0C">
      <w:pPr>
        <w:pStyle w:val="9"/>
        <w:spacing w:after="0" w:line="249" w:lineRule="auto"/>
        <w:rPr>
          <w:rFonts w:hint="eastAsia"/>
          <w:color w:val="231F20"/>
        </w:rPr>
      </w:pPr>
    </w:p>
    <w:p w14:paraId="52266F26">
      <w:pPr>
        <w:pStyle w:val="9"/>
        <w:spacing w:after="0" w:line="249" w:lineRule="auto"/>
        <w:rPr>
          <w:rFonts w:hint="eastAsia"/>
          <w:color w:val="231F20"/>
        </w:rPr>
      </w:pPr>
      <w:r>
        <w:rPr>
          <w:rFonts w:hint="eastAsia"/>
          <w:color w:val="231F20"/>
        </w:rPr>
        <w:t>Chapters 4-5, the center of gravity of the book, give us his coronation, his investiture as High King of Heaven and Earth.</w:t>
      </w:r>
    </w:p>
    <w:p w14:paraId="0CD82396">
      <w:pPr>
        <w:pStyle w:val="9"/>
        <w:spacing w:after="0" w:line="249" w:lineRule="auto"/>
        <w:rPr>
          <w:rFonts w:hint="eastAsia"/>
          <w:color w:val="231F20"/>
        </w:rPr>
      </w:pPr>
      <w:r>
        <w:rPr>
          <w:rFonts w:hint="eastAsia"/>
          <w:color w:val="231F20"/>
        </w:rPr>
        <w:t>第4-5章，本书的重心，给了我们祂的加冕礼，祂作为天地至高君王的授权典礼。</w:t>
      </w:r>
    </w:p>
    <w:p w14:paraId="656AAD74">
      <w:pPr>
        <w:pStyle w:val="9"/>
        <w:spacing w:after="0" w:line="249" w:lineRule="auto"/>
        <w:rPr>
          <w:rFonts w:hint="eastAsia"/>
          <w:color w:val="231F20"/>
        </w:rPr>
      </w:pPr>
    </w:p>
    <w:p w14:paraId="15878419">
      <w:pPr>
        <w:pStyle w:val="9"/>
        <w:spacing w:after="0" w:line="249" w:lineRule="auto"/>
        <w:rPr>
          <w:rFonts w:hint="eastAsia"/>
          <w:color w:val="231F20"/>
        </w:rPr>
      </w:pPr>
      <w:r>
        <w:rPr>
          <w:rFonts w:hint="eastAsia"/>
          <w:color w:val="231F20"/>
        </w:rPr>
        <w:t>Very importantly, chapters 6-19 certainly seem to give us five visionary cycles, each of which recapitulates the course, character, and consummation of Christ’s heavenly reign, with increasing emphasis upon the Consummation.</w:t>
      </w:r>
    </w:p>
    <w:p w14:paraId="1E8B6D90">
      <w:pPr>
        <w:pStyle w:val="9"/>
        <w:spacing w:after="0" w:line="249" w:lineRule="auto"/>
        <w:rPr>
          <w:rFonts w:hint="eastAsia"/>
          <w:color w:val="231F20"/>
        </w:rPr>
      </w:pPr>
      <w:r>
        <w:rPr>
          <w:rFonts w:hint="eastAsia"/>
          <w:color w:val="231F20"/>
        </w:rPr>
        <w:t>非常重要的是，第6-19章无疑似乎给了我们五个异象循环，每一个都重述了基督属天统治的进程、特征和最终成全，并越来越强调最终的成全。</w:t>
      </w:r>
    </w:p>
    <w:p w14:paraId="02DAA1B5">
      <w:pPr>
        <w:pStyle w:val="9"/>
        <w:spacing w:after="0" w:line="249" w:lineRule="auto"/>
        <w:rPr>
          <w:rFonts w:hint="eastAsia"/>
          <w:color w:val="231F20"/>
        </w:rPr>
      </w:pPr>
    </w:p>
    <w:p w14:paraId="5B1D0D86">
      <w:pPr>
        <w:pStyle w:val="9"/>
        <w:spacing w:after="0" w:line="249" w:lineRule="auto"/>
        <w:rPr>
          <w:rFonts w:hint="eastAsia"/>
          <w:color w:val="231F20"/>
        </w:rPr>
      </w:pPr>
      <w:r>
        <w:rPr>
          <w:rFonts w:hint="eastAsia"/>
          <w:color w:val="231F20"/>
        </w:rPr>
        <w:t>Also, in our journey thus far we have repeatedly seen that the Spirit presupposes the simple two-staged eschatology of the NT; that he never presents a future millennial reign with Christ as part of the Blessed Hope; but that he always exalts the Parousia of Christ—wherein he himself will effect the Consummation of all things—as the true Blessed Hope of the Church.</w:t>
      </w:r>
    </w:p>
    <w:p w14:paraId="2F828955">
      <w:pPr>
        <w:pStyle w:val="9"/>
        <w:spacing w:after="0" w:line="249" w:lineRule="auto"/>
        <w:rPr>
          <w:rFonts w:hint="eastAsia"/>
          <w:color w:val="231F20"/>
        </w:rPr>
      </w:pPr>
      <w:r>
        <w:rPr>
          <w:rFonts w:hint="eastAsia"/>
          <w:color w:val="231F20"/>
        </w:rPr>
        <w:t>另外，在我们迄今的旅程中，我们一再看到，圣灵预设了新约简单的两阶段末世论；祂从未将与基督未来千禧年的统治作为有福盼望的一部分来呈现；但祂总是高举基督的主临（Parousia）——届时祂自己将实现万物的最终成全——作为教会有福的真盼望。</w:t>
      </w:r>
    </w:p>
    <w:p w14:paraId="2F2D34B3">
      <w:pPr>
        <w:pStyle w:val="9"/>
        <w:spacing w:after="0" w:line="249" w:lineRule="auto"/>
        <w:rPr>
          <w:rFonts w:hint="eastAsia"/>
          <w:color w:val="231F20"/>
        </w:rPr>
      </w:pPr>
    </w:p>
    <w:p w14:paraId="153E9F6D">
      <w:pPr>
        <w:pStyle w:val="9"/>
        <w:spacing w:after="0" w:line="249" w:lineRule="auto"/>
        <w:rPr>
          <w:rFonts w:hint="eastAsia"/>
          <w:color w:val="231F20"/>
        </w:rPr>
      </w:pPr>
      <w:r>
        <w:rPr>
          <w:rFonts w:hint="eastAsia"/>
          <w:color w:val="231F20"/>
        </w:rPr>
        <w:t>Therefore, we must ask once again: Is it likely that in the sixth and final cycle of Revelation 6-20 (i.e., chapter 20), the Spirit would do anything other than give us the course, character, and consummation of Christ’s heavenly reign one final time?</w:t>
      </w:r>
    </w:p>
    <w:p w14:paraId="7A967864">
      <w:pPr>
        <w:pStyle w:val="9"/>
        <w:spacing w:after="0" w:line="249" w:lineRule="auto"/>
        <w:rPr>
          <w:rFonts w:hint="eastAsia"/>
          <w:color w:val="231F20"/>
        </w:rPr>
      </w:pPr>
      <w:r>
        <w:rPr>
          <w:rFonts w:hint="eastAsia"/>
          <w:color w:val="231F20"/>
        </w:rPr>
        <w:t>因此，我们必须再次提问：在《启示录》6-20章的第六个也是最后一个循环中（即第20章），圣灵是否有可能做任何事，而不是最后一次为我们呈现基督属天统治的进程、特征和最终成全？</w:t>
      </w:r>
    </w:p>
    <w:p w14:paraId="51039F96">
      <w:pPr>
        <w:pStyle w:val="9"/>
        <w:spacing w:after="0" w:line="249" w:lineRule="auto"/>
        <w:rPr>
          <w:rFonts w:hint="eastAsia"/>
          <w:color w:val="231F20"/>
        </w:rPr>
      </w:pPr>
    </w:p>
    <w:p w14:paraId="404D3AF8">
      <w:pPr>
        <w:pStyle w:val="9"/>
        <w:spacing w:after="0" w:line="249" w:lineRule="auto"/>
        <w:rPr>
          <w:rFonts w:hint="eastAsia"/>
          <w:color w:val="231F20"/>
        </w:rPr>
      </w:pPr>
      <w:r>
        <w:rPr>
          <w:rFonts w:hint="eastAsia"/>
          <w:color w:val="231F20"/>
        </w:rPr>
        <w:t>And is it likely—or even possible—that in this, the second to the last chapter of the entire Bible, he would introduce, for the very first time in the NT canon, an idea that must completely revolutionize, if not overthrow, both the eschatology of the Revelation and the eschatology of the entire NT?</w:t>
      </w:r>
    </w:p>
    <w:p w14:paraId="541F9E0B">
      <w:pPr>
        <w:pStyle w:val="9"/>
        <w:spacing w:after="0" w:line="249" w:lineRule="auto"/>
        <w:rPr>
          <w:rFonts w:hint="eastAsia"/>
          <w:color w:val="231F20"/>
        </w:rPr>
      </w:pPr>
      <w:r>
        <w:rPr>
          <w:rFonts w:hint="eastAsia"/>
          <w:color w:val="231F20"/>
        </w:rPr>
        <w:t>而且，在这整本圣经倒数第二章中，祂是否可能——甚至是否可能——在新约正典中首次引入一个观念，这个观念必须彻底革新，如果不是推翻，《启示录》的末世论和整个新约的末世论？</w:t>
      </w:r>
    </w:p>
    <w:p w14:paraId="5BA2925A">
      <w:pPr>
        <w:pStyle w:val="9"/>
        <w:spacing w:after="0" w:line="249" w:lineRule="auto"/>
        <w:rPr>
          <w:rFonts w:hint="eastAsia"/>
          <w:color w:val="231F20"/>
        </w:rPr>
      </w:pPr>
    </w:p>
    <w:p w14:paraId="15E9E6E0">
      <w:pPr>
        <w:pStyle w:val="9"/>
        <w:spacing w:after="0" w:line="249" w:lineRule="auto"/>
        <w:rPr>
          <w:rFonts w:hint="eastAsia"/>
          <w:color w:val="231F20"/>
        </w:rPr>
      </w:pPr>
      <w:r>
        <w:rPr>
          <w:rFonts w:hint="eastAsia"/>
          <w:color w:val="231F20"/>
        </w:rPr>
        <w:t>No, the great current of NT theology, and the current of the Revelation itself, sweep us along to the only possible conclusion: Revelation 20 must give us still another symbolic depiction of the heavenly reign of Christ.</w:t>
      </w:r>
    </w:p>
    <w:p w14:paraId="485C0D9B">
      <w:pPr>
        <w:pStyle w:val="9"/>
        <w:spacing w:after="0" w:line="249" w:lineRule="auto"/>
        <w:rPr>
          <w:rFonts w:hint="eastAsia"/>
          <w:color w:val="231F20"/>
        </w:rPr>
      </w:pPr>
      <w:r>
        <w:rPr>
          <w:rFonts w:hint="eastAsia"/>
          <w:color w:val="231F20"/>
        </w:rPr>
        <w:t>不，新约神学的洪流，以及《启示录》本身的洪流，将我们推向唯一可能的结论：《启示录》第20章必定为我们提供了对基督属天统治的又一个象征性描绘。</w:t>
      </w:r>
    </w:p>
    <w:p w14:paraId="03F476A5">
      <w:pPr>
        <w:pStyle w:val="9"/>
        <w:spacing w:after="0" w:line="249" w:lineRule="auto"/>
        <w:rPr>
          <w:rFonts w:hint="eastAsia"/>
          <w:color w:val="231F20"/>
        </w:rPr>
      </w:pPr>
    </w:p>
    <w:p w14:paraId="54144516">
      <w:pPr>
        <w:pStyle w:val="9"/>
        <w:spacing w:after="0" w:line="249" w:lineRule="auto"/>
        <w:rPr>
          <w:rFonts w:hint="eastAsia"/>
          <w:color w:val="231F20"/>
        </w:rPr>
      </w:pPr>
      <w:r>
        <w:rPr>
          <w:rFonts w:hint="eastAsia"/>
          <w:color w:val="231F20"/>
        </w:rPr>
        <w:t>But does the text itself actually support this most reasonable conclusion?</w:t>
      </w:r>
    </w:p>
    <w:p w14:paraId="7861AB5F">
      <w:pPr>
        <w:pStyle w:val="9"/>
        <w:spacing w:after="0" w:line="249" w:lineRule="auto"/>
        <w:rPr>
          <w:rFonts w:hint="eastAsia"/>
          <w:color w:val="231F20"/>
        </w:rPr>
      </w:pPr>
      <w:r>
        <w:rPr>
          <w:rFonts w:hint="eastAsia"/>
          <w:color w:val="231F20"/>
        </w:rPr>
        <w:t>但经文本身是否真的支持这个最合理的结论呢？</w:t>
      </w:r>
    </w:p>
    <w:p w14:paraId="2E493CB5">
      <w:pPr>
        <w:pStyle w:val="9"/>
        <w:spacing w:after="0" w:line="249" w:lineRule="auto"/>
        <w:rPr>
          <w:rFonts w:hint="eastAsia"/>
          <w:color w:val="231F20"/>
        </w:rPr>
      </w:pPr>
    </w:p>
    <w:p w14:paraId="1D49F70B">
      <w:pPr>
        <w:pStyle w:val="9"/>
        <w:spacing w:after="0" w:line="249" w:lineRule="auto"/>
        <w:rPr>
          <w:rFonts w:hint="eastAsia"/>
          <w:color w:val="231F20"/>
        </w:rPr>
      </w:pPr>
      <w:r>
        <w:rPr>
          <w:rFonts w:hint="eastAsia"/>
          <w:color w:val="231F20"/>
        </w:rPr>
        <w:t>Now, at long last, it is time to find out.</w:t>
      </w:r>
    </w:p>
    <w:p w14:paraId="6A654D0F">
      <w:pPr>
        <w:pStyle w:val="9"/>
        <w:spacing w:after="0" w:line="249" w:lineRule="auto"/>
        <w:sectPr>
          <w:pgSz w:w="12240" w:h="15840"/>
          <w:pgMar w:top="1380" w:right="1440" w:bottom="280" w:left="1440" w:header="720" w:footer="720" w:gutter="0"/>
          <w:cols w:space="720" w:num="1"/>
        </w:sectPr>
      </w:pPr>
      <w:r>
        <w:rPr>
          <w:rFonts w:hint="eastAsia"/>
          <w:color w:val="231F20"/>
        </w:rPr>
        <w:t>现在，终于到了找出答案的时候了。</w:t>
      </w:r>
    </w:p>
    <w:p w14:paraId="23A50F0B">
      <w:pPr>
        <w:pStyle w:val="2"/>
        <w:bidi w:val="0"/>
        <w:rPr>
          <w:rFonts w:hint="eastAsia"/>
        </w:rPr>
      </w:pPr>
      <w:bookmarkStart w:id="54" w:name="_bookmark137"/>
      <w:bookmarkEnd w:id="54"/>
      <w:bookmarkStart w:id="55" w:name="Chapter 21: Revelation 20: The Meaning o"/>
      <w:bookmarkEnd w:id="55"/>
      <w:r>
        <w:rPr>
          <w:rFonts w:hint="eastAsia"/>
        </w:rPr>
        <w:t>Chapter 21</w:t>
      </w:r>
    </w:p>
    <w:p w14:paraId="7DAF99E9">
      <w:pPr>
        <w:pStyle w:val="2"/>
        <w:bidi w:val="0"/>
        <w:rPr>
          <w:rFonts w:hint="eastAsia"/>
        </w:rPr>
      </w:pPr>
      <w:r>
        <w:rPr>
          <w:rFonts w:hint="eastAsia"/>
        </w:rPr>
        <w:t>第二十一章</w:t>
      </w:r>
    </w:p>
    <w:p w14:paraId="4FA63570">
      <w:pPr>
        <w:pStyle w:val="9"/>
        <w:spacing w:before="11"/>
        <w:ind w:left="0"/>
        <w:jc w:val="left"/>
        <w:rPr>
          <w:rFonts w:hint="eastAsia"/>
          <w:sz w:val="30"/>
          <w:szCs w:val="30"/>
        </w:rPr>
      </w:pPr>
    </w:p>
    <w:p w14:paraId="451E8D57">
      <w:pPr>
        <w:pStyle w:val="3"/>
        <w:bidi w:val="0"/>
        <w:rPr>
          <w:rFonts w:hint="eastAsia"/>
        </w:rPr>
      </w:pPr>
      <w:r>
        <w:rPr>
          <w:rFonts w:hint="eastAsia"/>
        </w:rPr>
        <w:t>Revelation 20: The Meaning of the Millennium</w:t>
      </w:r>
    </w:p>
    <w:p w14:paraId="5D322A1F">
      <w:pPr>
        <w:pStyle w:val="3"/>
        <w:bidi w:val="0"/>
        <w:rPr>
          <w:rFonts w:hint="eastAsia"/>
        </w:rPr>
      </w:pPr>
      <w:r>
        <w:rPr>
          <w:rFonts w:hint="eastAsia"/>
        </w:rPr>
        <w:t>启示录20章：千禧年的意义</w:t>
      </w:r>
    </w:p>
    <w:p w14:paraId="6F90EC65">
      <w:pPr>
        <w:pStyle w:val="9"/>
        <w:spacing w:before="11"/>
        <w:ind w:left="0"/>
        <w:jc w:val="left"/>
        <w:rPr>
          <w:rFonts w:hint="eastAsia"/>
          <w:sz w:val="30"/>
          <w:szCs w:val="30"/>
        </w:rPr>
      </w:pPr>
    </w:p>
    <w:p w14:paraId="0C12734A">
      <w:pPr>
        <w:pStyle w:val="9"/>
        <w:spacing w:before="11"/>
        <w:ind w:left="0"/>
        <w:jc w:val="left"/>
        <w:rPr>
          <w:rFonts w:hint="eastAsia"/>
          <w:sz w:val="30"/>
          <w:szCs w:val="30"/>
        </w:rPr>
      </w:pPr>
      <w:r>
        <w:rPr>
          <w:rFonts w:hint="eastAsia"/>
          <w:sz w:val="30"/>
          <w:szCs w:val="30"/>
        </w:rPr>
        <w:t>IN THE PRECEDING two chapters we have laid a good foundation for the study of what is arguably the most controversial text in all Holy Scripture: Revelation 20.</w:t>
      </w:r>
    </w:p>
    <w:p w14:paraId="315FDE9E">
      <w:pPr>
        <w:pStyle w:val="9"/>
        <w:spacing w:before="11"/>
        <w:ind w:left="0"/>
        <w:jc w:val="left"/>
        <w:rPr>
          <w:rFonts w:hint="eastAsia"/>
          <w:sz w:val="30"/>
          <w:szCs w:val="30"/>
        </w:rPr>
      </w:pPr>
      <w:r>
        <w:rPr>
          <w:rFonts w:hint="eastAsia"/>
          <w:sz w:val="30"/>
          <w:szCs w:val="30"/>
        </w:rPr>
        <w:t>在前面的两章中，我们为研究这节可以说是整本圣经中最具争议的经文——《启示录》第20章——打下了良好的基础。</w:t>
      </w:r>
    </w:p>
    <w:p w14:paraId="180A7835">
      <w:pPr>
        <w:pStyle w:val="9"/>
        <w:spacing w:before="11"/>
        <w:ind w:left="0"/>
        <w:jc w:val="left"/>
        <w:rPr>
          <w:rFonts w:hint="eastAsia"/>
          <w:sz w:val="30"/>
          <w:szCs w:val="30"/>
        </w:rPr>
      </w:pPr>
    </w:p>
    <w:p w14:paraId="0D6D4B1B">
      <w:pPr>
        <w:pStyle w:val="9"/>
        <w:spacing w:before="11"/>
        <w:ind w:left="0"/>
        <w:jc w:val="left"/>
        <w:rPr>
          <w:rFonts w:hint="eastAsia"/>
          <w:sz w:val="30"/>
          <w:szCs w:val="30"/>
        </w:rPr>
      </w:pPr>
      <w:r>
        <w:rPr>
          <w:rFonts w:hint="eastAsia"/>
          <w:sz w:val="30"/>
          <w:szCs w:val="30"/>
        </w:rPr>
        <w:t>Along the way, we considered the purpose and literary genre of the Revelation, as well as its structure and the key symbols involved.</w:t>
      </w:r>
    </w:p>
    <w:p w14:paraId="5879F1F2">
      <w:pPr>
        <w:pStyle w:val="9"/>
        <w:spacing w:before="11"/>
        <w:ind w:left="0"/>
        <w:jc w:val="left"/>
        <w:rPr>
          <w:rFonts w:hint="eastAsia"/>
          <w:sz w:val="30"/>
          <w:szCs w:val="30"/>
        </w:rPr>
      </w:pPr>
      <w:r>
        <w:rPr>
          <w:rFonts w:hint="eastAsia"/>
          <w:sz w:val="30"/>
          <w:szCs w:val="30"/>
        </w:rPr>
        <w:t>在此过程中，我们思考了《启示录》的目的和文学体裁，以及其结构和所涉及的关键象征。</w:t>
      </w:r>
    </w:p>
    <w:p w14:paraId="5A99A4A9">
      <w:pPr>
        <w:pStyle w:val="9"/>
        <w:spacing w:before="11"/>
        <w:ind w:left="0"/>
        <w:jc w:val="left"/>
        <w:rPr>
          <w:rFonts w:hint="eastAsia"/>
          <w:sz w:val="30"/>
          <w:szCs w:val="30"/>
        </w:rPr>
      </w:pPr>
    </w:p>
    <w:p w14:paraId="212B7EB8">
      <w:pPr>
        <w:pStyle w:val="9"/>
        <w:spacing w:before="11"/>
        <w:ind w:left="0"/>
        <w:jc w:val="left"/>
        <w:rPr>
          <w:rFonts w:hint="eastAsia"/>
          <w:sz w:val="30"/>
          <w:szCs w:val="30"/>
        </w:rPr>
      </w:pPr>
      <w:r>
        <w:rPr>
          <w:rFonts w:hint="eastAsia"/>
          <w:sz w:val="30"/>
          <w:szCs w:val="30"/>
        </w:rPr>
        <w:t>In particular, we looked long and hard at the idea that Revelation 20 is a sixth and final recapitulation of the central theme of chapters 6-20, and of the book as a whole: the course, character, and consummation of the spiritual reign of the High King of Heaven.</w:t>
      </w:r>
    </w:p>
    <w:p w14:paraId="668609F4">
      <w:pPr>
        <w:pStyle w:val="9"/>
        <w:spacing w:before="11"/>
        <w:ind w:left="0"/>
        <w:jc w:val="left"/>
        <w:rPr>
          <w:rFonts w:hint="eastAsia"/>
          <w:sz w:val="30"/>
          <w:szCs w:val="30"/>
        </w:rPr>
      </w:pPr>
      <w:r>
        <w:rPr>
          <w:rFonts w:hint="eastAsia"/>
          <w:sz w:val="30"/>
          <w:szCs w:val="30"/>
        </w:rPr>
        <w:t>我们特别深入地探讨了这样一个观点，即《启示录》第20章是对第6-20章以及整本书中心主题的第六次也是最后一次重述：天上至高君王属灵统治的进程、特征和最终的成全。</w:t>
      </w:r>
    </w:p>
    <w:p w14:paraId="23F7626D">
      <w:pPr>
        <w:pStyle w:val="9"/>
        <w:spacing w:before="11"/>
        <w:ind w:left="0"/>
        <w:jc w:val="left"/>
        <w:rPr>
          <w:rFonts w:hint="eastAsia"/>
          <w:sz w:val="30"/>
          <w:szCs w:val="30"/>
        </w:rPr>
      </w:pPr>
    </w:p>
    <w:p w14:paraId="14A89ECA">
      <w:pPr>
        <w:pStyle w:val="9"/>
        <w:spacing w:before="11"/>
        <w:ind w:left="0"/>
        <w:jc w:val="left"/>
        <w:rPr>
          <w:rFonts w:hint="eastAsia"/>
          <w:sz w:val="30"/>
          <w:szCs w:val="30"/>
        </w:rPr>
      </w:pPr>
      <w:r>
        <w:rPr>
          <w:rFonts w:hint="eastAsia"/>
          <w:sz w:val="30"/>
          <w:szCs w:val="30"/>
        </w:rPr>
        <w:t>Now, with our foundation solidly in place, we are ready to plunge into the text itself, in order to see how well or poorly the material found therein confirms our thesis.</w:t>
      </w:r>
    </w:p>
    <w:p w14:paraId="3B43154E">
      <w:pPr>
        <w:pStyle w:val="9"/>
        <w:spacing w:before="11"/>
        <w:ind w:left="0"/>
        <w:jc w:val="left"/>
        <w:rPr>
          <w:rFonts w:hint="eastAsia"/>
          <w:sz w:val="30"/>
          <w:szCs w:val="30"/>
        </w:rPr>
      </w:pPr>
      <w:r>
        <w:rPr>
          <w:rFonts w:hint="eastAsia"/>
          <w:sz w:val="30"/>
          <w:szCs w:val="30"/>
        </w:rPr>
        <w:t>现在，我们的基础已经牢固，我们准备好深入经文本身，看看其中的材料是多么好或多么差地证实了我们的论点。</w:t>
      </w:r>
    </w:p>
    <w:p w14:paraId="1652F73F">
      <w:pPr>
        <w:pStyle w:val="9"/>
        <w:spacing w:before="11"/>
        <w:ind w:left="0"/>
        <w:jc w:val="left"/>
        <w:rPr>
          <w:rFonts w:hint="eastAsia"/>
          <w:sz w:val="30"/>
          <w:szCs w:val="30"/>
        </w:rPr>
      </w:pPr>
    </w:p>
    <w:p w14:paraId="30852FEC">
      <w:pPr>
        <w:pStyle w:val="9"/>
        <w:spacing w:before="11"/>
        <w:ind w:left="0"/>
        <w:jc w:val="left"/>
        <w:rPr>
          <w:rFonts w:hint="eastAsia"/>
          <w:sz w:val="30"/>
          <w:szCs w:val="30"/>
        </w:rPr>
      </w:pPr>
      <w:r>
        <w:rPr>
          <w:rFonts w:hint="eastAsia"/>
          <w:sz w:val="30"/>
          <w:szCs w:val="30"/>
        </w:rPr>
        <w:t>Interpreting Revelation 20</w:t>
      </w:r>
    </w:p>
    <w:p w14:paraId="23D49F9C">
      <w:pPr>
        <w:pStyle w:val="9"/>
        <w:spacing w:before="11"/>
        <w:ind w:left="0"/>
        <w:jc w:val="left"/>
        <w:rPr>
          <w:rFonts w:hint="eastAsia"/>
          <w:sz w:val="30"/>
          <w:szCs w:val="30"/>
        </w:rPr>
      </w:pPr>
      <w:r>
        <w:rPr>
          <w:rFonts w:hint="eastAsia"/>
          <w:sz w:val="30"/>
          <w:szCs w:val="30"/>
        </w:rPr>
        <w:t>解释《启示录》20章</w:t>
      </w:r>
    </w:p>
    <w:p w14:paraId="6FBF83CD">
      <w:pPr>
        <w:pStyle w:val="9"/>
        <w:spacing w:before="11"/>
        <w:ind w:left="0"/>
        <w:jc w:val="left"/>
        <w:rPr>
          <w:rFonts w:hint="eastAsia"/>
          <w:sz w:val="30"/>
          <w:szCs w:val="30"/>
        </w:rPr>
      </w:pPr>
    </w:p>
    <w:p w14:paraId="1D766242">
      <w:pPr>
        <w:pStyle w:val="9"/>
        <w:spacing w:before="11"/>
        <w:ind w:left="0"/>
        <w:jc w:val="left"/>
        <w:rPr>
          <w:rFonts w:hint="eastAsia"/>
          <w:sz w:val="30"/>
          <w:szCs w:val="30"/>
        </w:rPr>
      </w:pPr>
      <w:r>
        <w:rPr>
          <w:rFonts w:hint="eastAsia"/>
          <w:sz w:val="30"/>
          <w:szCs w:val="30"/>
        </w:rPr>
        <w:t>Revelation 20 falls nicely into four sections of roughly equal length, each one containing a mini-vision that is closely related to the others.</w:t>
      </w:r>
    </w:p>
    <w:p w14:paraId="202E7DE1">
      <w:pPr>
        <w:pStyle w:val="9"/>
        <w:spacing w:before="11"/>
        <w:ind w:left="0"/>
        <w:jc w:val="left"/>
        <w:rPr>
          <w:rFonts w:hint="eastAsia"/>
          <w:sz w:val="30"/>
          <w:szCs w:val="30"/>
        </w:rPr>
      </w:pPr>
      <w:r>
        <w:rPr>
          <w:rFonts w:hint="eastAsia"/>
          <w:sz w:val="30"/>
          <w:szCs w:val="30"/>
        </w:rPr>
        <w:t>《启示录》第20章可以很好地分为四个长度大致相等的部分，每一部分都包含一个与其他部分密切相关的微型异象。</w:t>
      </w:r>
    </w:p>
    <w:p w14:paraId="233121A7">
      <w:pPr>
        <w:pStyle w:val="9"/>
        <w:spacing w:before="11"/>
        <w:ind w:left="0"/>
        <w:jc w:val="left"/>
        <w:rPr>
          <w:rFonts w:hint="eastAsia"/>
          <w:sz w:val="30"/>
          <w:szCs w:val="30"/>
        </w:rPr>
      </w:pPr>
    </w:p>
    <w:p w14:paraId="2A21F78B">
      <w:pPr>
        <w:pStyle w:val="9"/>
        <w:spacing w:before="11"/>
        <w:ind w:left="0"/>
        <w:jc w:val="left"/>
        <w:rPr>
          <w:rFonts w:hint="eastAsia"/>
          <w:sz w:val="30"/>
          <w:szCs w:val="30"/>
        </w:rPr>
      </w:pPr>
      <w:r>
        <w:rPr>
          <w:rFonts w:hint="eastAsia"/>
          <w:sz w:val="30"/>
          <w:szCs w:val="30"/>
        </w:rPr>
        <w:t>The unifying theme is the thousand years.</w:t>
      </w:r>
    </w:p>
    <w:p w14:paraId="15CF9FD6">
      <w:pPr>
        <w:pStyle w:val="9"/>
        <w:spacing w:before="11"/>
        <w:ind w:left="0"/>
        <w:jc w:val="left"/>
        <w:rPr>
          <w:rFonts w:hint="eastAsia"/>
          <w:sz w:val="30"/>
          <w:szCs w:val="30"/>
        </w:rPr>
      </w:pPr>
      <w:r>
        <w:rPr>
          <w:rFonts w:hint="eastAsia"/>
          <w:sz w:val="30"/>
          <w:szCs w:val="30"/>
        </w:rPr>
        <w:t>统一的主题是一千年。</w:t>
      </w:r>
    </w:p>
    <w:p w14:paraId="7E814717">
      <w:pPr>
        <w:pStyle w:val="9"/>
        <w:spacing w:before="11"/>
        <w:ind w:left="0"/>
        <w:jc w:val="left"/>
        <w:rPr>
          <w:rFonts w:hint="eastAsia"/>
          <w:sz w:val="30"/>
          <w:szCs w:val="30"/>
        </w:rPr>
      </w:pPr>
    </w:p>
    <w:p w14:paraId="3E2CFB31">
      <w:pPr>
        <w:pStyle w:val="9"/>
        <w:spacing w:before="11"/>
        <w:ind w:left="0"/>
        <w:jc w:val="left"/>
        <w:rPr>
          <w:rFonts w:hint="eastAsia"/>
          <w:sz w:val="30"/>
          <w:szCs w:val="30"/>
        </w:rPr>
      </w:pPr>
      <w:r>
        <w:rPr>
          <w:rFonts w:hint="eastAsia"/>
          <w:sz w:val="30"/>
          <w:szCs w:val="30"/>
        </w:rPr>
        <w:t>The first speaks of the binding and imprisonment of Satan for a thousand years (20:1-3); the second of the saints reigning with Christ in heaven throughout the thousand years, and also of the first and second deaths, and the first and second resurrections, (20:4-6); the third speaks of the Last Battle and the Judgment of Satan at the end of the thousand years (20:7-10); and the fourth of the Last Judgment of all mankind at the Great White Throne, also at the end of the thousand years (20:11-14).</w:t>
      </w:r>
    </w:p>
    <w:p w14:paraId="54E098FB">
      <w:pPr>
        <w:pStyle w:val="9"/>
        <w:spacing w:before="11"/>
        <w:ind w:left="0"/>
        <w:jc w:val="left"/>
        <w:rPr>
          <w:rFonts w:hint="eastAsia"/>
          <w:sz w:val="30"/>
          <w:szCs w:val="30"/>
        </w:rPr>
      </w:pPr>
      <w:r>
        <w:rPr>
          <w:rFonts w:hint="eastAsia"/>
          <w:sz w:val="30"/>
          <w:szCs w:val="30"/>
        </w:rPr>
        <w:t>第一部分讲的是撒但被捆绑和监禁一千年（20:1-3）；第二部分讲的是圣徒在天上与基督一同作王一千年，以及第一次和第二次的死，第一次和第二次的复活（20:4-6）；第三部分讲的是末日争战和一千年结束时对撒但的审判（20:7-10）；第四部分讲的是在白色大宝座前对全人类的最后审判，也是在一千年结束时（20:11-14）。</w:t>
      </w:r>
    </w:p>
    <w:p w14:paraId="5FA0D16D">
      <w:pPr>
        <w:pStyle w:val="9"/>
        <w:spacing w:before="11"/>
        <w:ind w:left="0"/>
        <w:jc w:val="left"/>
        <w:rPr>
          <w:rFonts w:hint="eastAsia"/>
          <w:sz w:val="30"/>
          <w:szCs w:val="30"/>
        </w:rPr>
      </w:pPr>
    </w:p>
    <w:p w14:paraId="279CF616">
      <w:pPr>
        <w:pStyle w:val="9"/>
        <w:spacing w:before="11"/>
        <w:ind w:left="0"/>
        <w:jc w:val="left"/>
        <w:rPr>
          <w:rFonts w:hint="eastAsia"/>
          <w:sz w:val="30"/>
          <w:szCs w:val="30"/>
        </w:rPr>
      </w:pPr>
      <w:r>
        <w:rPr>
          <w:rFonts w:hint="eastAsia"/>
          <w:sz w:val="30"/>
          <w:szCs w:val="30"/>
        </w:rPr>
        <w:t>In surveying this rich material, I will first offer a brief amillennial interpretation of each section, and then address, at some length, the key questions, interpretations, and arguments of our premillennial brethren.</w:t>
      </w:r>
    </w:p>
    <w:p w14:paraId="37490219">
      <w:pPr>
        <w:pStyle w:val="9"/>
        <w:spacing w:before="11"/>
        <w:ind w:left="0"/>
        <w:jc w:val="left"/>
        <w:rPr>
          <w:rFonts w:hint="eastAsia"/>
          <w:sz w:val="30"/>
          <w:szCs w:val="30"/>
        </w:rPr>
      </w:pPr>
      <w:r>
        <w:rPr>
          <w:rFonts w:hint="eastAsia"/>
          <w:sz w:val="30"/>
          <w:szCs w:val="30"/>
        </w:rPr>
        <w:t>在考察这些丰富的材料时，我将首先对每一部分提供一个简短的无千禧年论解释，然后详细地讨论我们前千禧年论弟兄们的关键问题、解释和论点。</w:t>
      </w:r>
    </w:p>
    <w:p w14:paraId="7C9A9908">
      <w:pPr>
        <w:pStyle w:val="9"/>
        <w:spacing w:before="11"/>
        <w:ind w:left="0"/>
        <w:jc w:val="left"/>
        <w:rPr>
          <w:rFonts w:hint="eastAsia"/>
          <w:sz w:val="30"/>
          <w:szCs w:val="30"/>
        </w:rPr>
      </w:pPr>
    </w:p>
    <w:p w14:paraId="1338E9FC">
      <w:pPr>
        <w:pStyle w:val="9"/>
        <w:spacing w:before="11"/>
        <w:ind w:left="0"/>
        <w:jc w:val="left"/>
        <w:rPr>
          <w:rFonts w:hint="eastAsia"/>
          <w:sz w:val="30"/>
          <w:szCs w:val="30"/>
        </w:rPr>
      </w:pPr>
      <w:r>
        <w:rPr>
          <w:rFonts w:hint="eastAsia"/>
          <w:sz w:val="30"/>
          <w:szCs w:val="30"/>
        </w:rPr>
        <w:t>The Binding and Imprisonment Satan (20:1-3)</w:t>
      </w:r>
    </w:p>
    <w:p w14:paraId="39DDA46F">
      <w:pPr>
        <w:pStyle w:val="9"/>
        <w:spacing w:before="11"/>
        <w:ind w:left="0"/>
        <w:jc w:val="left"/>
        <w:rPr>
          <w:rFonts w:hint="eastAsia"/>
          <w:sz w:val="30"/>
          <w:szCs w:val="30"/>
        </w:rPr>
      </w:pPr>
      <w:r>
        <w:rPr>
          <w:rFonts w:hint="eastAsia"/>
          <w:sz w:val="30"/>
          <w:szCs w:val="30"/>
        </w:rPr>
        <w:t>撒但被捆绑和监禁（20:1-3）</w:t>
      </w:r>
    </w:p>
    <w:p w14:paraId="3047A04A">
      <w:pPr>
        <w:pStyle w:val="9"/>
        <w:spacing w:before="11"/>
        <w:ind w:left="0"/>
        <w:jc w:val="left"/>
        <w:rPr>
          <w:rFonts w:hint="eastAsia"/>
          <w:sz w:val="30"/>
          <w:szCs w:val="30"/>
        </w:rPr>
      </w:pPr>
    </w:p>
    <w:p w14:paraId="50082943">
      <w:pPr>
        <w:pStyle w:val="9"/>
        <w:spacing w:before="11"/>
        <w:ind w:left="0"/>
        <w:jc w:val="left"/>
        <w:rPr>
          <w:rFonts w:hint="eastAsia"/>
          <w:sz w:val="30"/>
          <w:szCs w:val="30"/>
        </w:rPr>
      </w:pPr>
      <w:r>
        <w:rPr>
          <w:rFonts w:hint="eastAsia"/>
          <w:sz w:val="30"/>
          <w:szCs w:val="30"/>
        </w:rPr>
        <w:t>According to premillennarians, Revelation 20 follows Revelation 19 chronologically; that is, it speaks of events that will happen after the Parousia described in 19:11-21.</w:t>
      </w:r>
    </w:p>
    <w:p w14:paraId="14D8AB9D">
      <w:pPr>
        <w:pStyle w:val="9"/>
        <w:spacing w:before="11"/>
        <w:ind w:left="0"/>
        <w:jc w:val="left"/>
        <w:rPr>
          <w:rFonts w:hint="eastAsia"/>
          <w:sz w:val="30"/>
          <w:szCs w:val="30"/>
        </w:rPr>
      </w:pPr>
      <w:r>
        <w:rPr>
          <w:rFonts w:hint="eastAsia"/>
          <w:sz w:val="30"/>
          <w:szCs w:val="30"/>
        </w:rPr>
        <w:t>根据前千禧年论者的说法，《启示录》第20章在时间上紧随第19章；也就是说，它讲述的是在19:11-21所描述的主临（Parousia）之后将要发生的事件。</w:t>
      </w:r>
    </w:p>
    <w:p w14:paraId="04452869">
      <w:pPr>
        <w:pStyle w:val="9"/>
        <w:spacing w:before="11"/>
        <w:ind w:left="0"/>
        <w:jc w:val="left"/>
        <w:rPr>
          <w:rFonts w:hint="eastAsia"/>
          <w:sz w:val="30"/>
          <w:szCs w:val="30"/>
        </w:rPr>
      </w:pPr>
    </w:p>
    <w:p w14:paraId="0CD84FE4">
      <w:pPr>
        <w:pStyle w:val="9"/>
        <w:spacing w:before="11"/>
        <w:ind w:left="0"/>
        <w:jc w:val="left"/>
        <w:rPr>
          <w:rFonts w:hint="eastAsia"/>
          <w:sz w:val="30"/>
          <w:szCs w:val="30"/>
        </w:rPr>
      </w:pPr>
      <w:r>
        <w:rPr>
          <w:rFonts w:hint="eastAsia"/>
          <w:sz w:val="30"/>
          <w:szCs w:val="30"/>
        </w:rPr>
        <w:t>Amillennarians disagree.</w:t>
      </w:r>
    </w:p>
    <w:p w14:paraId="614FE3B7">
      <w:pPr>
        <w:pStyle w:val="9"/>
        <w:spacing w:before="11"/>
        <w:ind w:left="0"/>
        <w:jc w:val="left"/>
        <w:rPr>
          <w:rFonts w:hint="eastAsia"/>
          <w:sz w:val="30"/>
          <w:szCs w:val="30"/>
        </w:rPr>
      </w:pPr>
      <w:r>
        <w:rPr>
          <w:rFonts w:hint="eastAsia"/>
          <w:sz w:val="30"/>
          <w:szCs w:val="30"/>
        </w:rPr>
        <w:t>无千禧年论者不同意。</w:t>
      </w:r>
    </w:p>
    <w:p w14:paraId="2B8255DB">
      <w:pPr>
        <w:pStyle w:val="9"/>
        <w:spacing w:before="11"/>
        <w:ind w:left="0"/>
        <w:jc w:val="left"/>
        <w:rPr>
          <w:rFonts w:hint="eastAsia"/>
          <w:sz w:val="30"/>
          <w:szCs w:val="30"/>
        </w:rPr>
      </w:pPr>
    </w:p>
    <w:p w14:paraId="4663FF28">
      <w:pPr>
        <w:pStyle w:val="9"/>
        <w:spacing w:before="11"/>
        <w:ind w:left="0"/>
        <w:jc w:val="left"/>
        <w:rPr>
          <w:rFonts w:hint="eastAsia"/>
          <w:sz w:val="30"/>
          <w:szCs w:val="30"/>
        </w:rPr>
      </w:pPr>
      <w:r>
        <w:rPr>
          <w:rFonts w:hint="eastAsia"/>
          <w:sz w:val="30"/>
          <w:szCs w:val="30"/>
        </w:rPr>
        <w:t>They argue that in Revelation 20 the Spirit is once again tracing the course of the whole Era of Proclamation, but for a very special purpose, and with a high degree of “progressivity.”</w:t>
      </w:r>
    </w:p>
    <w:p w14:paraId="52E14B56">
      <w:pPr>
        <w:pStyle w:val="9"/>
        <w:spacing w:before="11"/>
        <w:ind w:left="0"/>
        <w:jc w:val="left"/>
        <w:rPr>
          <w:rFonts w:hint="eastAsia"/>
          <w:sz w:val="30"/>
          <w:szCs w:val="30"/>
        </w:rPr>
      </w:pPr>
      <w:r>
        <w:rPr>
          <w:rFonts w:hint="eastAsia"/>
          <w:sz w:val="30"/>
          <w:szCs w:val="30"/>
        </w:rPr>
        <w:t>他们认为，在《启示录》第20章中，圣灵再次追溯了整个宣讲时代的进程，但是为了一个非常特殊的目的，并且带有高度的“递进性”。</w:t>
      </w:r>
    </w:p>
    <w:p w14:paraId="466D81F7">
      <w:pPr>
        <w:pStyle w:val="9"/>
        <w:spacing w:before="11"/>
        <w:ind w:left="0"/>
        <w:jc w:val="left"/>
        <w:rPr>
          <w:rFonts w:hint="eastAsia"/>
          <w:sz w:val="30"/>
          <w:szCs w:val="30"/>
        </w:rPr>
      </w:pPr>
    </w:p>
    <w:p w14:paraId="0C32C3D3">
      <w:pPr>
        <w:pStyle w:val="9"/>
        <w:spacing w:before="11"/>
        <w:ind w:left="0"/>
        <w:jc w:val="left"/>
        <w:rPr>
          <w:rFonts w:hint="eastAsia"/>
          <w:sz w:val="30"/>
          <w:szCs w:val="30"/>
        </w:rPr>
      </w:pPr>
      <w:r>
        <w:rPr>
          <w:rFonts w:hint="eastAsia"/>
          <w:sz w:val="30"/>
          <w:szCs w:val="30"/>
        </w:rPr>
        <w:t>The purpose, as we shall see, is twofold : to inform the saints that the Era of Proclamation may indeed last longer than they expect, and also to assure them that even if they should die before the Lord’s return, they will know the unspeakable joy of living and reigning with Christ in heaven during the Intermediate State.</w:t>
      </w:r>
    </w:p>
    <w:p w14:paraId="24AD1E94">
      <w:pPr>
        <w:pStyle w:val="9"/>
        <w:spacing w:before="11"/>
        <w:ind w:left="0"/>
        <w:jc w:val="left"/>
        <w:rPr>
          <w:rFonts w:hint="eastAsia"/>
          <w:sz w:val="30"/>
          <w:szCs w:val="30"/>
        </w:rPr>
      </w:pPr>
      <w:r>
        <w:rPr>
          <w:rFonts w:hint="eastAsia"/>
          <w:sz w:val="30"/>
          <w:szCs w:val="30"/>
        </w:rPr>
        <w:t>我们将看到，其目的有二：告知圣徒宣讲时代可能确实比他们预期的要长，并向他们保证，即使他们在主再来之前去世，他们也将在中间状态时经历与基督在天上同活同作王那难以言喻的喜乐。</w:t>
      </w:r>
    </w:p>
    <w:p w14:paraId="0A683422">
      <w:pPr>
        <w:pStyle w:val="9"/>
        <w:spacing w:before="11"/>
        <w:ind w:left="0"/>
        <w:jc w:val="left"/>
        <w:rPr>
          <w:rFonts w:hint="eastAsia"/>
          <w:sz w:val="30"/>
          <w:szCs w:val="30"/>
        </w:rPr>
      </w:pPr>
    </w:p>
    <w:p w14:paraId="4D5E788F">
      <w:pPr>
        <w:pStyle w:val="9"/>
        <w:spacing w:before="11"/>
        <w:ind w:left="0"/>
        <w:jc w:val="left"/>
        <w:rPr>
          <w:rFonts w:hint="eastAsia"/>
          <w:sz w:val="30"/>
          <w:szCs w:val="30"/>
        </w:rPr>
      </w:pPr>
      <w:r>
        <w:rPr>
          <w:rFonts w:hint="eastAsia"/>
          <w:sz w:val="30"/>
          <w:szCs w:val="30"/>
        </w:rPr>
        <w:t>As for “progressivity,” we will see that this chapter speaks uniquely of the ultimate demise of Satan, and also —in extraordinarily sobering terms—of the Last Judgment of all mankind.</w:t>
      </w:r>
    </w:p>
    <w:p w14:paraId="3495D37D">
      <w:pPr>
        <w:pStyle w:val="9"/>
        <w:spacing w:before="11"/>
        <w:ind w:left="0"/>
        <w:jc w:val="left"/>
        <w:rPr>
          <w:rFonts w:hint="eastAsia"/>
          <w:sz w:val="30"/>
          <w:szCs w:val="30"/>
        </w:rPr>
      </w:pPr>
      <w:r>
        <w:rPr>
          <w:rFonts w:hint="eastAsia"/>
          <w:sz w:val="30"/>
          <w:szCs w:val="30"/>
        </w:rPr>
        <w:t>至于“递进性”，我们将看到本章独特地讲述了撒但的最终灭亡，并且——以异常 sobering 的措辞——讲述了对全人类的最后审判。</w:t>
      </w:r>
    </w:p>
    <w:p w14:paraId="5ABEAB48">
      <w:pPr>
        <w:pStyle w:val="9"/>
        <w:spacing w:before="11"/>
        <w:ind w:left="0"/>
        <w:jc w:val="left"/>
        <w:rPr>
          <w:rFonts w:hint="eastAsia"/>
          <w:sz w:val="30"/>
          <w:szCs w:val="30"/>
        </w:rPr>
      </w:pPr>
    </w:p>
    <w:p w14:paraId="4203A9E8">
      <w:pPr>
        <w:pStyle w:val="9"/>
        <w:spacing w:before="11"/>
        <w:ind w:left="0"/>
        <w:jc w:val="left"/>
        <w:rPr>
          <w:rFonts w:hint="eastAsia"/>
          <w:sz w:val="30"/>
          <w:szCs w:val="30"/>
        </w:rPr>
      </w:pPr>
      <w:r>
        <w:rPr>
          <w:rFonts w:hint="eastAsia"/>
          <w:sz w:val="30"/>
          <w:szCs w:val="30"/>
        </w:rPr>
        <w:t>Revelation 20 serves, then, as a fitting conclusion to the serial visions of the course, character, and consummation of Christ’s heavenly reign, even as it prepares the way for a glorious revelation of the full inheritance of the saints: Eternal Life with the Triune God in the new heavens and the new earth (Rev. 21-22).</w:t>
      </w:r>
    </w:p>
    <w:p w14:paraId="6271A5F1">
      <w:pPr>
        <w:pStyle w:val="9"/>
        <w:spacing w:before="11"/>
        <w:ind w:left="0"/>
        <w:jc w:val="left"/>
        <w:rPr>
          <w:rFonts w:hint="eastAsia"/>
          <w:sz w:val="30"/>
          <w:szCs w:val="30"/>
        </w:rPr>
      </w:pPr>
      <w:r>
        <w:rPr>
          <w:rFonts w:hint="eastAsia"/>
          <w:sz w:val="30"/>
          <w:szCs w:val="30"/>
        </w:rPr>
        <w:t>因此，《启示录》第20章是对基督属天统治的进程、特征和最终成全的系列异象的一个恰当结论，同时也为圣徒完全产业的荣耀启示铺平了道路：在新天新地中与三一上帝同享永生（启21-22）。</w:t>
      </w:r>
    </w:p>
    <w:p w14:paraId="03B4E051">
      <w:pPr>
        <w:pStyle w:val="9"/>
        <w:spacing w:before="11"/>
        <w:ind w:left="0"/>
        <w:jc w:val="left"/>
        <w:rPr>
          <w:rFonts w:hint="eastAsia"/>
          <w:sz w:val="30"/>
          <w:szCs w:val="30"/>
        </w:rPr>
      </w:pPr>
    </w:p>
    <w:p w14:paraId="69B92FE9">
      <w:pPr>
        <w:pStyle w:val="9"/>
        <w:spacing w:before="11"/>
        <w:ind w:left="0"/>
        <w:jc w:val="left"/>
        <w:rPr>
          <w:rFonts w:hint="eastAsia"/>
          <w:sz w:val="30"/>
          <w:szCs w:val="30"/>
        </w:rPr>
      </w:pPr>
      <w:r>
        <w:rPr>
          <w:rFonts w:hint="eastAsia"/>
          <w:sz w:val="30"/>
          <w:szCs w:val="30"/>
        </w:rPr>
        <w:t>Bearing these preliminaries in mind, let us now consider 20:1-3 in amillennial perspective.</w:t>
      </w:r>
    </w:p>
    <w:p w14:paraId="74287999">
      <w:pPr>
        <w:pStyle w:val="9"/>
        <w:spacing w:before="11"/>
        <w:ind w:left="0"/>
        <w:jc w:val="left"/>
        <w:rPr>
          <w:rFonts w:hint="eastAsia"/>
          <w:sz w:val="30"/>
          <w:szCs w:val="30"/>
        </w:rPr>
      </w:pPr>
      <w:r>
        <w:rPr>
          <w:rFonts w:hint="eastAsia"/>
          <w:sz w:val="30"/>
          <w:szCs w:val="30"/>
        </w:rPr>
        <w:t>记住这些初步的考虑，让我们现在从无千禧年论的角度来思考20:1-3。</w:t>
      </w:r>
    </w:p>
    <w:p w14:paraId="42DDD714">
      <w:pPr>
        <w:pStyle w:val="9"/>
        <w:spacing w:before="11"/>
        <w:ind w:left="0"/>
        <w:jc w:val="left"/>
        <w:rPr>
          <w:rFonts w:hint="eastAsia"/>
          <w:sz w:val="30"/>
          <w:szCs w:val="30"/>
        </w:rPr>
      </w:pPr>
    </w:p>
    <w:p w14:paraId="48F3BA3B">
      <w:pPr>
        <w:pStyle w:val="9"/>
        <w:spacing w:before="11"/>
        <w:ind w:left="0"/>
        <w:jc w:val="left"/>
        <w:rPr>
          <w:rFonts w:hint="eastAsia"/>
          <w:sz w:val="30"/>
          <w:szCs w:val="30"/>
        </w:rPr>
      </w:pPr>
      <w:r>
        <w:rPr>
          <w:rFonts w:hint="eastAsia"/>
          <w:sz w:val="30"/>
          <w:szCs w:val="30"/>
        </w:rPr>
        <w:t>In verse 1 John sees an angel coming down from heaven, having the key of the abyss and a great chain in his hand.</w:t>
      </w:r>
    </w:p>
    <w:p w14:paraId="1249EE4D">
      <w:pPr>
        <w:pStyle w:val="9"/>
        <w:spacing w:before="11"/>
        <w:ind w:left="0"/>
        <w:jc w:val="left"/>
        <w:rPr>
          <w:rFonts w:hint="eastAsia"/>
          <w:sz w:val="30"/>
          <w:szCs w:val="30"/>
        </w:rPr>
      </w:pPr>
      <w:r>
        <w:rPr>
          <w:rFonts w:hint="eastAsia"/>
          <w:sz w:val="30"/>
          <w:szCs w:val="30"/>
        </w:rPr>
        <w:t>在第1节，约翰看见一位天使从天降下，手里拿着无底坑的钥匙和一条大链子。</w:t>
      </w:r>
    </w:p>
    <w:p w14:paraId="68C8A8B0">
      <w:pPr>
        <w:pStyle w:val="9"/>
        <w:spacing w:before="11"/>
        <w:ind w:left="0"/>
        <w:jc w:val="left"/>
        <w:rPr>
          <w:rFonts w:hint="eastAsia"/>
          <w:sz w:val="30"/>
          <w:szCs w:val="30"/>
        </w:rPr>
      </w:pPr>
    </w:p>
    <w:p w14:paraId="1208D551">
      <w:pPr>
        <w:pStyle w:val="9"/>
        <w:spacing w:before="11"/>
        <w:ind w:left="0"/>
        <w:jc w:val="left"/>
        <w:rPr>
          <w:rFonts w:hint="eastAsia"/>
          <w:sz w:val="30"/>
          <w:szCs w:val="30"/>
        </w:rPr>
      </w:pPr>
      <w:r>
        <w:rPr>
          <w:rFonts w:hint="eastAsia"/>
          <w:sz w:val="30"/>
          <w:szCs w:val="30"/>
        </w:rPr>
        <w:t>The language is apocalyptic and therefore symbolic.</w:t>
      </w:r>
    </w:p>
    <w:p w14:paraId="52E07B66">
      <w:pPr>
        <w:pStyle w:val="9"/>
        <w:spacing w:before="11"/>
        <w:ind w:left="0"/>
        <w:jc w:val="left"/>
        <w:rPr>
          <w:rFonts w:hint="eastAsia"/>
          <w:sz w:val="30"/>
          <w:szCs w:val="30"/>
        </w:rPr>
      </w:pPr>
      <w:r>
        <w:rPr>
          <w:rFonts w:hint="eastAsia"/>
          <w:sz w:val="30"/>
          <w:szCs w:val="30"/>
        </w:rPr>
        <w:t>这语言是末世性的，因此是象征性的。</w:t>
      </w:r>
    </w:p>
    <w:p w14:paraId="777CA2FB">
      <w:pPr>
        <w:pStyle w:val="9"/>
        <w:spacing w:before="11"/>
        <w:ind w:left="0"/>
        <w:jc w:val="left"/>
        <w:rPr>
          <w:rFonts w:hint="eastAsia"/>
          <w:sz w:val="30"/>
          <w:szCs w:val="30"/>
        </w:rPr>
      </w:pPr>
    </w:p>
    <w:p w14:paraId="4BB9097A">
      <w:pPr>
        <w:pStyle w:val="9"/>
        <w:spacing w:before="11"/>
        <w:ind w:left="0"/>
        <w:jc w:val="left"/>
        <w:rPr>
          <w:rFonts w:hint="eastAsia"/>
          <w:sz w:val="30"/>
          <w:szCs w:val="30"/>
        </w:rPr>
      </w:pPr>
      <w:r>
        <w:rPr>
          <w:rFonts w:hint="eastAsia"/>
          <w:sz w:val="30"/>
          <w:szCs w:val="30"/>
        </w:rPr>
        <w:t>The angel symbolizes divine agency.</w:t>
      </w:r>
    </w:p>
    <w:p w14:paraId="6D8089C8">
      <w:pPr>
        <w:pStyle w:val="9"/>
        <w:spacing w:before="11"/>
        <w:ind w:left="0"/>
        <w:jc w:val="left"/>
        <w:rPr>
          <w:rFonts w:hint="eastAsia"/>
          <w:sz w:val="30"/>
          <w:szCs w:val="30"/>
        </w:rPr>
      </w:pPr>
      <w:r>
        <w:rPr>
          <w:rFonts w:hint="eastAsia"/>
          <w:sz w:val="30"/>
          <w:szCs w:val="30"/>
        </w:rPr>
        <w:t>天使象征着神圣的作为。</w:t>
      </w:r>
    </w:p>
    <w:p w14:paraId="1F8C3A22">
      <w:pPr>
        <w:pStyle w:val="9"/>
        <w:spacing w:before="11"/>
        <w:ind w:left="0"/>
        <w:jc w:val="left"/>
        <w:rPr>
          <w:rFonts w:hint="eastAsia"/>
          <w:sz w:val="30"/>
          <w:szCs w:val="30"/>
        </w:rPr>
      </w:pPr>
    </w:p>
    <w:p w14:paraId="2A3F9DCF">
      <w:pPr>
        <w:pStyle w:val="9"/>
        <w:spacing w:before="11"/>
        <w:ind w:left="0"/>
        <w:jc w:val="left"/>
        <w:rPr>
          <w:rFonts w:hint="eastAsia"/>
          <w:sz w:val="30"/>
          <w:szCs w:val="30"/>
        </w:rPr>
      </w:pPr>
      <w:r>
        <w:rPr>
          <w:rFonts w:hint="eastAsia"/>
          <w:sz w:val="30"/>
          <w:szCs w:val="30"/>
        </w:rPr>
        <w:t>Certainly the events here in view could involve an actual ministry of angels, but in the end they are preeminently a ministry of the Spirit of God.</w:t>
      </w:r>
    </w:p>
    <w:p w14:paraId="72EE288D">
      <w:pPr>
        <w:pStyle w:val="9"/>
        <w:spacing w:before="11"/>
        <w:ind w:left="0"/>
        <w:jc w:val="left"/>
        <w:rPr>
          <w:rFonts w:hint="eastAsia"/>
          <w:sz w:val="30"/>
          <w:szCs w:val="30"/>
        </w:rPr>
      </w:pPr>
      <w:r>
        <w:rPr>
          <w:rFonts w:hint="eastAsia"/>
          <w:sz w:val="30"/>
          <w:szCs w:val="30"/>
        </w:rPr>
        <w:t>当然，这里所见的事件可能涉及天使实际的事奉，但归根结底，它们主要是上帝之灵的事奉。</w:t>
      </w:r>
    </w:p>
    <w:p w14:paraId="6FCDB15F">
      <w:pPr>
        <w:pStyle w:val="9"/>
        <w:spacing w:before="11"/>
        <w:ind w:left="0"/>
        <w:jc w:val="left"/>
        <w:rPr>
          <w:rFonts w:hint="eastAsia"/>
          <w:sz w:val="30"/>
          <w:szCs w:val="30"/>
        </w:rPr>
      </w:pPr>
    </w:p>
    <w:p w14:paraId="1EED9CB9">
      <w:pPr>
        <w:pStyle w:val="9"/>
        <w:spacing w:before="11"/>
        <w:ind w:left="0"/>
        <w:jc w:val="left"/>
        <w:rPr>
          <w:rFonts w:hint="eastAsia"/>
          <w:sz w:val="30"/>
          <w:szCs w:val="30"/>
        </w:rPr>
      </w:pPr>
      <w:r>
        <w:rPr>
          <w:rFonts w:hint="eastAsia"/>
          <w:sz w:val="30"/>
          <w:szCs w:val="30"/>
        </w:rPr>
        <w:t>The keys symbolize divine authority to act (1:18, 14:6-7), the chain divine power to restrain (2 Thess. 2:6).</w:t>
      </w:r>
    </w:p>
    <w:p w14:paraId="297D886D">
      <w:pPr>
        <w:pStyle w:val="9"/>
        <w:spacing w:before="11"/>
        <w:ind w:left="0"/>
        <w:jc w:val="left"/>
        <w:rPr>
          <w:rFonts w:hint="eastAsia"/>
          <w:sz w:val="30"/>
          <w:szCs w:val="30"/>
        </w:rPr>
      </w:pPr>
      <w:r>
        <w:rPr>
          <w:rFonts w:hint="eastAsia"/>
          <w:sz w:val="30"/>
          <w:szCs w:val="30"/>
        </w:rPr>
        <w:t>钥匙象征着行动的神圣权柄（1:18, 14:6-7），链子象征着约束的神圣能力（帖后2:6）。</w:t>
      </w:r>
    </w:p>
    <w:p w14:paraId="37146186">
      <w:pPr>
        <w:pStyle w:val="9"/>
        <w:spacing w:before="11"/>
        <w:ind w:left="0"/>
        <w:jc w:val="left"/>
        <w:rPr>
          <w:rFonts w:hint="eastAsia"/>
          <w:sz w:val="30"/>
          <w:szCs w:val="30"/>
        </w:rPr>
      </w:pPr>
    </w:p>
    <w:p w14:paraId="0BEC0E05">
      <w:pPr>
        <w:pStyle w:val="9"/>
        <w:spacing w:before="11"/>
        <w:ind w:left="0"/>
        <w:jc w:val="left"/>
        <w:rPr>
          <w:rFonts w:hint="eastAsia"/>
          <w:sz w:val="30"/>
          <w:szCs w:val="30"/>
        </w:rPr>
      </w:pPr>
      <w:r>
        <w:rPr>
          <w:rFonts w:hint="eastAsia"/>
          <w:sz w:val="30"/>
          <w:szCs w:val="30"/>
        </w:rPr>
        <w:t>Verses 2-3 depict a temporary binding and imprisonment of Satan.</w:t>
      </w:r>
    </w:p>
    <w:p w14:paraId="07F3AC89">
      <w:pPr>
        <w:pStyle w:val="9"/>
        <w:spacing w:before="11"/>
        <w:ind w:left="0"/>
        <w:jc w:val="left"/>
        <w:rPr>
          <w:rFonts w:hint="eastAsia"/>
          <w:sz w:val="30"/>
          <w:szCs w:val="30"/>
        </w:rPr>
      </w:pPr>
      <w:r>
        <w:rPr>
          <w:rFonts w:hint="eastAsia"/>
          <w:sz w:val="30"/>
          <w:szCs w:val="30"/>
        </w:rPr>
        <w:t>第2-3节描绘了对撒但的暂时捆绑和监禁。</w:t>
      </w:r>
    </w:p>
    <w:p w14:paraId="74A8B267">
      <w:pPr>
        <w:pStyle w:val="9"/>
        <w:spacing w:before="11"/>
        <w:ind w:left="0"/>
        <w:jc w:val="left"/>
        <w:rPr>
          <w:rFonts w:hint="eastAsia"/>
          <w:sz w:val="30"/>
          <w:szCs w:val="30"/>
        </w:rPr>
      </w:pPr>
    </w:p>
    <w:p w14:paraId="2B610E99">
      <w:pPr>
        <w:pStyle w:val="9"/>
        <w:spacing w:before="11"/>
        <w:ind w:left="0"/>
        <w:jc w:val="left"/>
        <w:rPr>
          <w:rFonts w:hint="eastAsia"/>
          <w:sz w:val="30"/>
          <w:szCs w:val="30"/>
        </w:rPr>
      </w:pPr>
      <w:r>
        <w:rPr>
          <w:rFonts w:hint="eastAsia"/>
          <w:sz w:val="30"/>
          <w:szCs w:val="30"/>
        </w:rPr>
        <w:t>The holy angel lays hold of the evil angel, binds him with the chain, throws him into the abyss, shuts it, and seals it over him, so that for a thousand years he can no longer deceive the nations.</w:t>
      </w:r>
    </w:p>
    <w:p w14:paraId="1D84D47B">
      <w:pPr>
        <w:pStyle w:val="9"/>
        <w:spacing w:before="11"/>
        <w:ind w:left="0"/>
        <w:jc w:val="left"/>
        <w:rPr>
          <w:rFonts w:hint="eastAsia"/>
          <w:sz w:val="30"/>
          <w:szCs w:val="30"/>
        </w:rPr>
      </w:pPr>
      <w:r>
        <w:rPr>
          <w:rFonts w:hint="eastAsia"/>
          <w:sz w:val="30"/>
          <w:szCs w:val="30"/>
        </w:rPr>
        <w:t>圣天使捉住那恶天使，用链子捆绑他，把他扔进无底坑里，关上，并用印封上，使他一千年之内不能再迷惑列国。</w:t>
      </w:r>
    </w:p>
    <w:p w14:paraId="4DAF9D19">
      <w:pPr>
        <w:pStyle w:val="9"/>
        <w:spacing w:before="11"/>
        <w:ind w:left="0"/>
        <w:jc w:val="left"/>
        <w:rPr>
          <w:rFonts w:hint="eastAsia"/>
          <w:sz w:val="30"/>
          <w:szCs w:val="30"/>
        </w:rPr>
      </w:pPr>
    </w:p>
    <w:p w14:paraId="50C87ABE">
      <w:pPr>
        <w:pStyle w:val="9"/>
        <w:spacing w:before="11"/>
        <w:ind w:left="0"/>
        <w:jc w:val="left"/>
        <w:rPr>
          <w:rFonts w:hint="eastAsia"/>
          <w:sz w:val="30"/>
          <w:szCs w:val="30"/>
        </w:rPr>
      </w:pPr>
      <w:r>
        <w:rPr>
          <w:rFonts w:hint="eastAsia"/>
          <w:sz w:val="30"/>
          <w:szCs w:val="30"/>
        </w:rPr>
        <w:t>A job decidedly done!</w:t>
      </w:r>
    </w:p>
    <w:p w14:paraId="70F9ECF0">
      <w:pPr>
        <w:pStyle w:val="9"/>
        <w:spacing w:before="11"/>
        <w:ind w:left="0"/>
        <w:jc w:val="left"/>
        <w:rPr>
          <w:rFonts w:hint="eastAsia"/>
          <w:sz w:val="30"/>
          <w:szCs w:val="30"/>
        </w:rPr>
      </w:pPr>
      <w:r>
        <w:rPr>
          <w:rFonts w:hint="eastAsia"/>
          <w:sz w:val="30"/>
          <w:szCs w:val="30"/>
        </w:rPr>
        <w:t>这工作做得确实彻底！</w:t>
      </w:r>
    </w:p>
    <w:p w14:paraId="2DF2712F">
      <w:pPr>
        <w:pStyle w:val="9"/>
        <w:spacing w:before="11"/>
        <w:ind w:left="0"/>
        <w:jc w:val="left"/>
        <w:rPr>
          <w:rFonts w:hint="eastAsia"/>
          <w:sz w:val="30"/>
          <w:szCs w:val="30"/>
        </w:rPr>
      </w:pPr>
    </w:p>
    <w:p w14:paraId="2F02BD0F">
      <w:pPr>
        <w:pStyle w:val="9"/>
        <w:spacing w:before="11"/>
        <w:ind w:left="0"/>
        <w:jc w:val="left"/>
        <w:rPr>
          <w:rFonts w:hint="eastAsia"/>
          <w:sz w:val="30"/>
          <w:szCs w:val="30"/>
        </w:rPr>
      </w:pPr>
      <w:r>
        <w:rPr>
          <w:rFonts w:hint="eastAsia"/>
          <w:sz w:val="30"/>
          <w:szCs w:val="30"/>
        </w:rPr>
        <w:t>As we shall see, the whole picture is highly reminiscent of 12:7-9, and, according to amillennarians, conveys much the same message: Throughout the Era of Proclamation, here symbolized by a thousand years, the High King of Heaven, by the hand of the Holy Spirit, will restrain Satan in such a way that he can neither prevent the spread of the Gospel throughout the earth, nor gather together the nations for the Last Battle against Christ’s Church.</w:t>
      </w:r>
    </w:p>
    <w:p w14:paraId="14265131">
      <w:pPr>
        <w:pStyle w:val="9"/>
        <w:spacing w:before="11"/>
        <w:ind w:left="0"/>
        <w:jc w:val="left"/>
        <w:rPr>
          <w:rFonts w:hint="eastAsia"/>
          <w:sz w:val="30"/>
          <w:szCs w:val="30"/>
        </w:rPr>
      </w:pPr>
      <w:r>
        <w:rPr>
          <w:rFonts w:hint="eastAsia"/>
          <w:sz w:val="30"/>
          <w:szCs w:val="30"/>
        </w:rPr>
        <w:t>我们将看到，整个画面非常让人联想到12:7-9，并且，根据无千禧年论者的说法，传达了大致相同的信息：在整个宣讲时代，这里用一千年为象征，天上的至高君王将借着圣灵的手，以这样一种方式约束撒但，使他既不能阻止福音在全地的传播，也不能聚集列国来与基督的教会进行末日争战。</w:t>
      </w:r>
    </w:p>
    <w:p w14:paraId="2C94C472">
      <w:pPr>
        <w:pStyle w:val="9"/>
        <w:spacing w:before="11"/>
        <w:ind w:left="0"/>
        <w:jc w:val="left"/>
        <w:rPr>
          <w:rFonts w:hint="eastAsia"/>
          <w:sz w:val="30"/>
          <w:szCs w:val="30"/>
        </w:rPr>
      </w:pPr>
    </w:p>
    <w:p w14:paraId="090B8E5F">
      <w:pPr>
        <w:pStyle w:val="9"/>
        <w:spacing w:before="11"/>
        <w:ind w:left="0"/>
        <w:jc w:val="left"/>
        <w:rPr>
          <w:rFonts w:hint="eastAsia"/>
          <w:sz w:val="30"/>
          <w:szCs w:val="30"/>
        </w:rPr>
      </w:pPr>
      <w:r>
        <w:rPr>
          <w:rFonts w:hint="eastAsia"/>
          <w:sz w:val="30"/>
          <w:szCs w:val="30"/>
        </w:rPr>
        <w:t>However, at the close of the thousand years (i.e., at the end of the Era of Proclamation), Christ himself will indeed, for wise reasons, remove all spiritual restraints on Satan and his demonic hosts.</w:t>
      </w:r>
    </w:p>
    <w:p w14:paraId="183231B4">
      <w:pPr>
        <w:pStyle w:val="9"/>
        <w:spacing w:before="11"/>
        <w:ind w:left="0"/>
        <w:jc w:val="left"/>
        <w:rPr>
          <w:rFonts w:hint="eastAsia"/>
          <w:sz w:val="30"/>
          <w:szCs w:val="30"/>
        </w:rPr>
      </w:pPr>
      <w:r>
        <w:rPr>
          <w:rFonts w:hint="eastAsia"/>
          <w:sz w:val="30"/>
          <w:szCs w:val="30"/>
        </w:rPr>
        <w:t>然而，在一千年结束时（即宣讲时代的末了），基督祂自己确实会出于智慧的原因，解除对撒但及其魔鬼大军的所有属灵约束。</w:t>
      </w:r>
    </w:p>
    <w:p w14:paraId="264F091C">
      <w:pPr>
        <w:pStyle w:val="9"/>
        <w:spacing w:before="11"/>
        <w:ind w:left="0"/>
        <w:jc w:val="left"/>
        <w:rPr>
          <w:rFonts w:hint="eastAsia"/>
          <w:sz w:val="30"/>
          <w:szCs w:val="30"/>
        </w:rPr>
      </w:pPr>
    </w:p>
    <w:p w14:paraId="4EF29CBC">
      <w:pPr>
        <w:pStyle w:val="9"/>
        <w:spacing w:before="11"/>
        <w:ind w:left="0"/>
        <w:jc w:val="left"/>
        <w:rPr>
          <w:rFonts w:hint="eastAsia"/>
          <w:sz w:val="30"/>
          <w:szCs w:val="30"/>
        </w:rPr>
      </w:pPr>
      <w:r>
        <w:rPr>
          <w:rFonts w:hint="eastAsia"/>
          <w:sz w:val="30"/>
          <w:szCs w:val="30"/>
        </w:rPr>
        <w:t>This will result in the stupendous climactic scenes of Salvation History: The rise of the Antichrist, the Last Battle, the Parousia, the destruction of Satan and his evil angels, and the Last Judgment of all mankind—all followed by the advent of the new heavens and the new earth (20:7-15).</w:t>
      </w:r>
    </w:p>
    <w:p w14:paraId="30DFAAB7">
      <w:pPr>
        <w:pStyle w:val="9"/>
        <w:spacing w:before="11"/>
        <w:ind w:left="0"/>
        <w:jc w:val="left"/>
        <w:rPr>
          <w:rFonts w:hint="eastAsia"/>
          <w:sz w:val="30"/>
          <w:szCs w:val="30"/>
        </w:rPr>
      </w:pPr>
      <w:r>
        <w:rPr>
          <w:rFonts w:hint="eastAsia"/>
          <w:sz w:val="30"/>
          <w:szCs w:val="30"/>
        </w:rPr>
        <w:t>这将导致救赎历史中惊人的高潮场景：敌基督的兴起、末日争战、主临（Parousia）、撒但及其邪恶天使的毁灭，以及对全人类的最后审判——所有这些之后是新天新地的来临（20:7-15）。</w:t>
      </w:r>
    </w:p>
    <w:p w14:paraId="482ECC5D">
      <w:pPr>
        <w:pStyle w:val="9"/>
        <w:spacing w:before="11"/>
        <w:ind w:left="0"/>
        <w:jc w:val="left"/>
        <w:rPr>
          <w:rFonts w:hint="eastAsia"/>
          <w:sz w:val="30"/>
          <w:szCs w:val="30"/>
        </w:rPr>
      </w:pPr>
    </w:p>
    <w:p w14:paraId="41F2BB88">
      <w:pPr>
        <w:pStyle w:val="9"/>
        <w:spacing w:before="11"/>
        <w:ind w:left="0"/>
        <w:jc w:val="left"/>
        <w:rPr>
          <w:rFonts w:hint="eastAsia"/>
          <w:sz w:val="30"/>
          <w:szCs w:val="30"/>
        </w:rPr>
      </w:pPr>
      <w:r>
        <w:rPr>
          <w:rFonts w:hint="eastAsia"/>
          <w:sz w:val="30"/>
          <w:szCs w:val="30"/>
        </w:rPr>
        <w:t>Needless to say, our premillennarian brothers sharply disagree with this characterization of the Millennium.</w:t>
      </w:r>
    </w:p>
    <w:p w14:paraId="7588A934">
      <w:pPr>
        <w:pStyle w:val="9"/>
        <w:spacing w:before="11"/>
        <w:ind w:left="0"/>
        <w:jc w:val="left"/>
        <w:rPr>
          <w:rFonts w:hint="eastAsia"/>
          <w:sz w:val="30"/>
          <w:szCs w:val="30"/>
        </w:rPr>
      </w:pPr>
      <w:r>
        <w:rPr>
          <w:rFonts w:hint="eastAsia"/>
          <w:sz w:val="30"/>
          <w:szCs w:val="30"/>
        </w:rPr>
        <w:t>不用说，我们的前千禧年论弟兄们强烈反对这种对千禧年的描述。</w:t>
      </w:r>
    </w:p>
    <w:p w14:paraId="46A7C656">
      <w:pPr>
        <w:pStyle w:val="9"/>
        <w:spacing w:before="11"/>
        <w:ind w:left="0"/>
        <w:jc w:val="left"/>
        <w:rPr>
          <w:rFonts w:hint="eastAsia"/>
          <w:sz w:val="30"/>
          <w:szCs w:val="30"/>
        </w:rPr>
      </w:pPr>
    </w:p>
    <w:p w14:paraId="0F7434A8">
      <w:pPr>
        <w:pStyle w:val="9"/>
        <w:spacing w:before="11"/>
        <w:ind w:left="0"/>
        <w:jc w:val="left"/>
        <w:rPr>
          <w:rFonts w:hint="eastAsia"/>
          <w:sz w:val="30"/>
          <w:szCs w:val="30"/>
        </w:rPr>
      </w:pPr>
      <w:r>
        <w:rPr>
          <w:rFonts w:hint="eastAsia"/>
          <w:sz w:val="30"/>
          <w:szCs w:val="30"/>
        </w:rPr>
        <w:t>The controversy swirls around four crucial questions.</w:t>
      </w:r>
    </w:p>
    <w:p w14:paraId="5FE0B1C3">
      <w:pPr>
        <w:pStyle w:val="9"/>
        <w:spacing w:before="11"/>
        <w:ind w:left="0"/>
        <w:jc w:val="left"/>
        <w:rPr>
          <w:rFonts w:hint="eastAsia"/>
          <w:sz w:val="30"/>
          <w:szCs w:val="30"/>
        </w:rPr>
      </w:pPr>
      <w:r>
        <w:rPr>
          <w:rFonts w:hint="eastAsia"/>
          <w:sz w:val="30"/>
          <w:szCs w:val="30"/>
        </w:rPr>
        <w:t>争议围绕着四个关键问题。</w:t>
      </w:r>
    </w:p>
    <w:p w14:paraId="46207871">
      <w:pPr>
        <w:pStyle w:val="9"/>
        <w:spacing w:before="11"/>
        <w:ind w:left="0"/>
        <w:jc w:val="left"/>
        <w:rPr>
          <w:rFonts w:hint="eastAsia"/>
          <w:sz w:val="30"/>
          <w:szCs w:val="30"/>
        </w:rPr>
      </w:pPr>
    </w:p>
    <w:p w14:paraId="4415B2CC">
      <w:pPr>
        <w:pStyle w:val="9"/>
        <w:spacing w:before="11"/>
        <w:ind w:left="0"/>
        <w:jc w:val="left"/>
        <w:rPr>
          <w:rFonts w:hint="eastAsia"/>
          <w:sz w:val="30"/>
          <w:szCs w:val="30"/>
        </w:rPr>
      </w:pPr>
      <w:r>
        <w:rPr>
          <w:rFonts w:hint="eastAsia"/>
          <w:sz w:val="30"/>
          <w:szCs w:val="30"/>
        </w:rPr>
        <w:t>Let us carefully address each one now.</w:t>
      </w:r>
    </w:p>
    <w:p w14:paraId="79766D27">
      <w:pPr>
        <w:pStyle w:val="9"/>
        <w:spacing w:before="11"/>
        <w:ind w:left="0"/>
        <w:jc w:val="left"/>
        <w:rPr>
          <w:rFonts w:hint="eastAsia"/>
          <w:sz w:val="30"/>
          <w:szCs w:val="30"/>
        </w:rPr>
      </w:pPr>
      <w:r>
        <w:rPr>
          <w:rFonts w:hint="eastAsia"/>
          <w:sz w:val="30"/>
          <w:szCs w:val="30"/>
        </w:rPr>
        <w:t>现在让我们仔细地讨论每一个问题。</w:t>
      </w:r>
    </w:p>
    <w:p w14:paraId="621D999E">
      <w:pPr>
        <w:pStyle w:val="9"/>
        <w:spacing w:before="11"/>
        <w:ind w:left="0"/>
        <w:jc w:val="left"/>
        <w:rPr>
          <w:rFonts w:hint="eastAsia"/>
          <w:sz w:val="30"/>
          <w:szCs w:val="30"/>
        </w:rPr>
      </w:pPr>
    </w:p>
    <w:p w14:paraId="650D4474">
      <w:pPr>
        <w:pStyle w:val="9"/>
        <w:spacing w:before="11"/>
        <w:ind w:left="0"/>
        <w:jc w:val="left"/>
        <w:rPr>
          <w:rFonts w:hint="eastAsia"/>
          <w:sz w:val="30"/>
          <w:szCs w:val="30"/>
        </w:rPr>
      </w:pPr>
      <w:r>
        <w:rPr>
          <w:rFonts w:hint="eastAsia"/>
          <w:sz w:val="30"/>
          <w:szCs w:val="30"/>
        </w:rPr>
        <w:t>1.In this text, where are we, chronologically speaking?</w:t>
      </w:r>
    </w:p>
    <w:p w14:paraId="61AC4C83">
      <w:pPr>
        <w:pStyle w:val="9"/>
        <w:spacing w:before="11"/>
        <w:ind w:left="0"/>
        <w:jc w:val="left"/>
        <w:rPr>
          <w:rFonts w:hint="eastAsia"/>
          <w:sz w:val="30"/>
          <w:szCs w:val="30"/>
        </w:rPr>
      </w:pPr>
      <w:r>
        <w:rPr>
          <w:rFonts w:hint="eastAsia"/>
          <w:sz w:val="30"/>
          <w:szCs w:val="30"/>
        </w:rPr>
        <w:t>1.在这段经文中，从时间顺序上说，我们在哪里？</w:t>
      </w:r>
    </w:p>
    <w:p w14:paraId="06F567A4">
      <w:pPr>
        <w:pStyle w:val="9"/>
        <w:spacing w:before="11"/>
        <w:ind w:left="0"/>
        <w:jc w:val="left"/>
        <w:rPr>
          <w:rFonts w:hint="eastAsia"/>
          <w:sz w:val="30"/>
          <w:szCs w:val="30"/>
        </w:rPr>
      </w:pPr>
    </w:p>
    <w:p w14:paraId="1C327FAC">
      <w:pPr>
        <w:pStyle w:val="9"/>
        <w:spacing w:before="11"/>
        <w:ind w:left="0"/>
        <w:jc w:val="left"/>
        <w:rPr>
          <w:rFonts w:hint="eastAsia"/>
          <w:sz w:val="30"/>
          <w:szCs w:val="30"/>
        </w:rPr>
      </w:pPr>
      <w:r>
        <w:rPr>
          <w:rFonts w:hint="eastAsia"/>
          <w:sz w:val="30"/>
          <w:szCs w:val="30"/>
        </w:rPr>
        <w:t>Are we dealing here with events subsequent to the Parousia of 19:11-21, as premillennarians hold; or are we back at the beginning of the Era of Proclamation, as amillennarians hold?</w:t>
      </w:r>
    </w:p>
    <w:p w14:paraId="4A7AB79E">
      <w:pPr>
        <w:pStyle w:val="9"/>
        <w:spacing w:before="11"/>
        <w:ind w:left="0"/>
        <w:jc w:val="left"/>
        <w:rPr>
          <w:rFonts w:hint="eastAsia"/>
          <w:sz w:val="30"/>
          <w:szCs w:val="30"/>
        </w:rPr>
      </w:pPr>
      <w:r>
        <w:rPr>
          <w:rFonts w:hint="eastAsia"/>
          <w:sz w:val="30"/>
          <w:szCs w:val="30"/>
        </w:rPr>
        <w:t>我们是在处理19:11-21主临（Parousia）之后的事件，如前千禧年论者所持的观点；还是我们回到了宣讲时代的开始，如无千禧年论者所持的观点？</w:t>
      </w:r>
    </w:p>
    <w:p w14:paraId="72041AE9">
      <w:pPr>
        <w:pStyle w:val="9"/>
        <w:spacing w:before="11"/>
        <w:ind w:left="0"/>
        <w:jc w:val="left"/>
        <w:rPr>
          <w:rFonts w:hint="eastAsia"/>
          <w:sz w:val="30"/>
          <w:szCs w:val="30"/>
        </w:rPr>
      </w:pPr>
    </w:p>
    <w:p w14:paraId="043D259B">
      <w:pPr>
        <w:pStyle w:val="9"/>
        <w:spacing w:before="11"/>
        <w:ind w:left="0"/>
        <w:jc w:val="left"/>
        <w:rPr>
          <w:rFonts w:hint="eastAsia"/>
          <w:sz w:val="30"/>
          <w:szCs w:val="30"/>
        </w:rPr>
      </w:pPr>
      <w:r>
        <w:rPr>
          <w:rFonts w:hint="eastAsia"/>
          <w:sz w:val="30"/>
          <w:szCs w:val="30"/>
        </w:rPr>
        <w:t>For a number of reasons, I would argue that the amillennial view is much to be preferred.</w:t>
      </w:r>
    </w:p>
    <w:p w14:paraId="67E8EF29">
      <w:pPr>
        <w:pStyle w:val="9"/>
        <w:spacing w:before="11"/>
        <w:ind w:left="0"/>
        <w:jc w:val="left"/>
        <w:rPr>
          <w:rFonts w:hint="eastAsia"/>
          <w:sz w:val="30"/>
          <w:szCs w:val="30"/>
        </w:rPr>
      </w:pPr>
      <w:r>
        <w:rPr>
          <w:rFonts w:hint="eastAsia"/>
          <w:sz w:val="30"/>
          <w:szCs w:val="30"/>
        </w:rPr>
        <w:t>出于一些原因，我认为无千禧年论的观点更可取。</w:t>
      </w:r>
    </w:p>
    <w:p w14:paraId="41885718">
      <w:pPr>
        <w:pStyle w:val="9"/>
        <w:spacing w:before="11"/>
        <w:ind w:left="0"/>
        <w:jc w:val="left"/>
        <w:rPr>
          <w:rFonts w:hint="eastAsia"/>
          <w:sz w:val="30"/>
          <w:szCs w:val="30"/>
        </w:rPr>
      </w:pPr>
    </w:p>
    <w:p w14:paraId="0840EEF2">
      <w:pPr>
        <w:pStyle w:val="9"/>
        <w:spacing w:before="11"/>
        <w:ind w:left="0"/>
        <w:jc w:val="left"/>
        <w:rPr>
          <w:rFonts w:hint="eastAsia"/>
          <w:sz w:val="30"/>
          <w:szCs w:val="30"/>
        </w:rPr>
      </w:pPr>
      <w:r>
        <w:rPr>
          <w:rFonts w:hint="eastAsia"/>
          <w:sz w:val="30"/>
          <w:szCs w:val="30"/>
        </w:rPr>
        <w:t>First, a close reading of 19:11-21 makes it quite clear that the judgment there described is not partial, such that any men or nations could safely pass through it and enter a subsequent millennial stage of the Kingdom.</w:t>
      </w:r>
    </w:p>
    <w:p w14:paraId="79129BA7">
      <w:pPr>
        <w:pStyle w:val="9"/>
        <w:spacing w:before="11"/>
        <w:ind w:left="0"/>
        <w:jc w:val="left"/>
        <w:rPr>
          <w:rFonts w:hint="eastAsia"/>
          <w:sz w:val="30"/>
          <w:szCs w:val="30"/>
        </w:rPr>
      </w:pPr>
      <w:r>
        <w:rPr>
          <w:rFonts w:hint="eastAsia"/>
          <w:sz w:val="30"/>
          <w:szCs w:val="30"/>
        </w:rPr>
        <w:t>首先，仔细阅读19:11-21就会很清楚，那里描述的审判并非部分的，以致任何人或国家能够安全地通过它并进入国度随后的千禧年阶段。</w:t>
      </w:r>
    </w:p>
    <w:p w14:paraId="699B8AA2">
      <w:pPr>
        <w:pStyle w:val="9"/>
        <w:spacing w:before="11"/>
        <w:ind w:left="0"/>
        <w:jc w:val="left"/>
        <w:rPr>
          <w:rFonts w:hint="eastAsia"/>
          <w:sz w:val="30"/>
          <w:szCs w:val="30"/>
        </w:rPr>
      </w:pPr>
    </w:p>
    <w:p w14:paraId="4652D211">
      <w:pPr>
        <w:pStyle w:val="9"/>
        <w:spacing w:before="11"/>
        <w:ind w:left="0"/>
        <w:jc w:val="left"/>
        <w:rPr>
          <w:rFonts w:hint="eastAsia"/>
          <w:sz w:val="30"/>
          <w:szCs w:val="30"/>
        </w:rPr>
      </w:pPr>
      <w:r>
        <w:rPr>
          <w:rFonts w:hint="eastAsia"/>
          <w:sz w:val="30"/>
          <w:szCs w:val="30"/>
        </w:rPr>
        <w:t>To the contrary, Revelation 19:15 strongly implies that when Christ comes, he will smite all the nations, shattering them with a rod of iron and treading them down in the winepress of the wrath of God (Psalm 2:7-9, Rev. 2:27).</w:t>
      </w:r>
    </w:p>
    <w:p w14:paraId="1153DB0E">
      <w:pPr>
        <w:pStyle w:val="9"/>
        <w:spacing w:before="11"/>
        <w:ind w:left="0"/>
        <w:jc w:val="left"/>
        <w:rPr>
          <w:rFonts w:hint="eastAsia"/>
          <w:sz w:val="30"/>
          <w:szCs w:val="30"/>
        </w:rPr>
      </w:pPr>
      <w:r>
        <w:rPr>
          <w:rFonts w:hint="eastAsia"/>
          <w:sz w:val="30"/>
          <w:szCs w:val="30"/>
        </w:rPr>
        <w:t>相反，《启示录》19:15强烈暗示当基督来临时，祂将击打万国，用铁杖打碎他们，并在上帝忿怒的酒榨中踹踏他们（诗篇2:7-9，启2:27）。</w:t>
      </w:r>
    </w:p>
    <w:p w14:paraId="277E1B40">
      <w:pPr>
        <w:pStyle w:val="9"/>
        <w:spacing w:before="11"/>
        <w:ind w:left="0"/>
        <w:jc w:val="left"/>
        <w:rPr>
          <w:rFonts w:hint="eastAsia"/>
          <w:sz w:val="30"/>
          <w:szCs w:val="30"/>
        </w:rPr>
      </w:pPr>
    </w:p>
    <w:p w14:paraId="2AC7F0A5">
      <w:pPr>
        <w:pStyle w:val="9"/>
        <w:spacing w:before="11"/>
        <w:ind w:left="0"/>
        <w:jc w:val="left"/>
        <w:rPr>
          <w:rFonts w:hint="eastAsia"/>
          <w:sz w:val="30"/>
          <w:szCs w:val="30"/>
        </w:rPr>
      </w:pPr>
      <w:r>
        <w:rPr>
          <w:rFonts w:hint="eastAsia"/>
          <w:sz w:val="30"/>
          <w:szCs w:val="30"/>
        </w:rPr>
        <w:t>Similarly, 19:18 explicitly states that the birds of mid-heaven will feast upon the flesh of all men, both free and slave, small and great.</w:t>
      </w:r>
    </w:p>
    <w:p w14:paraId="5E97C9DC">
      <w:pPr>
        <w:pStyle w:val="9"/>
        <w:spacing w:before="11"/>
        <w:ind w:left="0"/>
        <w:jc w:val="left"/>
        <w:rPr>
          <w:rFonts w:hint="eastAsia"/>
          <w:sz w:val="30"/>
          <w:szCs w:val="30"/>
        </w:rPr>
      </w:pPr>
      <w:r>
        <w:rPr>
          <w:rFonts w:hint="eastAsia"/>
          <w:sz w:val="30"/>
          <w:szCs w:val="30"/>
        </w:rPr>
        <w:t>同样，19:18明确指出，空中的飞鸟将吃尽所有人的肉，无论为奴的、自主的，大的、小的。</w:t>
      </w:r>
    </w:p>
    <w:p w14:paraId="6B5B617C">
      <w:pPr>
        <w:pStyle w:val="9"/>
        <w:spacing w:before="11"/>
        <w:ind w:left="0"/>
        <w:jc w:val="left"/>
        <w:rPr>
          <w:rFonts w:hint="eastAsia"/>
          <w:sz w:val="30"/>
          <w:szCs w:val="30"/>
        </w:rPr>
      </w:pPr>
    </w:p>
    <w:p w14:paraId="67795025">
      <w:pPr>
        <w:pStyle w:val="9"/>
        <w:spacing w:before="11"/>
        <w:ind w:left="0"/>
        <w:jc w:val="left"/>
        <w:rPr>
          <w:rFonts w:hint="eastAsia"/>
          <w:sz w:val="30"/>
          <w:szCs w:val="30"/>
        </w:rPr>
      </w:pPr>
      <w:r>
        <w:rPr>
          <w:rFonts w:hint="eastAsia"/>
          <w:sz w:val="30"/>
          <w:szCs w:val="30"/>
        </w:rPr>
        <w:t>Who, then, would be left to enter a future millennium, such that God might protect them by binding Satan from his deceptive work?</w:t>
      </w:r>
    </w:p>
    <w:p w14:paraId="039A4057">
      <w:pPr>
        <w:pStyle w:val="9"/>
        <w:spacing w:before="11"/>
        <w:ind w:left="0"/>
        <w:jc w:val="left"/>
        <w:rPr>
          <w:rFonts w:hint="eastAsia"/>
          <w:sz w:val="30"/>
          <w:szCs w:val="30"/>
        </w:rPr>
      </w:pPr>
      <w:r>
        <w:rPr>
          <w:rFonts w:hint="eastAsia"/>
          <w:sz w:val="30"/>
          <w:szCs w:val="30"/>
        </w:rPr>
        <w:t>那么，谁还会剩下进入未来的千禧年，以致上帝可以通过捆绑撒但使其不能行欺骗的工作来保护他们呢？</w:t>
      </w:r>
    </w:p>
    <w:p w14:paraId="70DA8CB4">
      <w:pPr>
        <w:pStyle w:val="9"/>
        <w:spacing w:before="11"/>
        <w:ind w:left="0"/>
        <w:jc w:val="left"/>
        <w:rPr>
          <w:rFonts w:hint="eastAsia"/>
          <w:sz w:val="30"/>
          <w:szCs w:val="30"/>
        </w:rPr>
      </w:pPr>
    </w:p>
    <w:p w14:paraId="21E570E5">
      <w:pPr>
        <w:pStyle w:val="9"/>
        <w:spacing w:before="11"/>
        <w:ind w:left="0"/>
        <w:jc w:val="left"/>
        <w:rPr>
          <w:rFonts w:hint="eastAsia"/>
          <w:sz w:val="30"/>
          <w:szCs w:val="30"/>
        </w:rPr>
      </w:pPr>
      <w:r>
        <w:rPr>
          <w:rFonts w:hint="eastAsia"/>
          <w:sz w:val="30"/>
          <w:szCs w:val="30"/>
        </w:rPr>
        <w:t>Based on a faulty reading of Matthew 25:31-46, dispensationalists reply that the survivors are individual Gentiles (or nations) who have treated Israel well during the Tribulation (see chapter 23).</w:t>
      </w:r>
    </w:p>
    <w:p w14:paraId="137B0C41">
      <w:pPr>
        <w:pStyle w:val="9"/>
        <w:spacing w:before="11"/>
        <w:ind w:left="0"/>
        <w:jc w:val="left"/>
        <w:rPr>
          <w:rFonts w:hint="eastAsia"/>
          <w:sz w:val="30"/>
          <w:szCs w:val="30"/>
        </w:rPr>
      </w:pPr>
      <w:r>
        <w:rPr>
          <w:rFonts w:hint="eastAsia"/>
          <w:sz w:val="30"/>
          <w:szCs w:val="30"/>
        </w:rPr>
        <w:t>基于对马太福音25:31-46的错误解读，时代论者回答说，幸存者是在大灾难期间善待以色列的个别外邦人（或国家）（见第23章）。</w:t>
      </w:r>
    </w:p>
    <w:p w14:paraId="321A5DAC">
      <w:pPr>
        <w:pStyle w:val="9"/>
        <w:spacing w:before="11"/>
        <w:ind w:left="0"/>
        <w:jc w:val="left"/>
        <w:rPr>
          <w:rFonts w:hint="eastAsia"/>
          <w:sz w:val="30"/>
          <w:szCs w:val="30"/>
        </w:rPr>
      </w:pPr>
    </w:p>
    <w:p w14:paraId="2EFA9C2E">
      <w:pPr>
        <w:pStyle w:val="9"/>
        <w:spacing w:before="11"/>
        <w:ind w:left="0"/>
        <w:jc w:val="left"/>
        <w:rPr>
          <w:rFonts w:hint="eastAsia"/>
          <w:sz w:val="30"/>
          <w:szCs w:val="30"/>
        </w:rPr>
      </w:pPr>
      <w:r>
        <w:rPr>
          <w:rFonts w:hint="eastAsia"/>
          <w:sz w:val="30"/>
          <w:szCs w:val="30"/>
        </w:rPr>
        <w:t>However, neither Revelation 19 nor any other NT text describing the Judgment teaches this.</w:t>
      </w:r>
    </w:p>
    <w:p w14:paraId="669C85BF">
      <w:pPr>
        <w:pStyle w:val="9"/>
        <w:spacing w:before="11"/>
        <w:ind w:left="0"/>
        <w:jc w:val="left"/>
        <w:rPr>
          <w:rFonts w:hint="eastAsia"/>
          <w:sz w:val="30"/>
          <w:szCs w:val="30"/>
        </w:rPr>
      </w:pPr>
      <w:r>
        <w:rPr>
          <w:rFonts w:hint="eastAsia"/>
          <w:sz w:val="30"/>
          <w:szCs w:val="30"/>
        </w:rPr>
        <w:t>然而，无论是《启示录》第19章还是任何其他描述审判的新约经文都没有这样教导。</w:t>
      </w:r>
    </w:p>
    <w:p w14:paraId="1804A949">
      <w:pPr>
        <w:pStyle w:val="9"/>
        <w:spacing w:before="11"/>
        <w:ind w:left="0"/>
        <w:jc w:val="left"/>
        <w:rPr>
          <w:rFonts w:hint="eastAsia"/>
          <w:sz w:val="30"/>
          <w:szCs w:val="30"/>
        </w:rPr>
      </w:pPr>
    </w:p>
    <w:p w14:paraId="773F8522">
      <w:pPr>
        <w:pStyle w:val="9"/>
        <w:spacing w:before="11"/>
        <w:ind w:left="0"/>
        <w:jc w:val="left"/>
        <w:rPr>
          <w:rFonts w:hint="eastAsia"/>
          <w:sz w:val="30"/>
          <w:szCs w:val="30"/>
        </w:rPr>
      </w:pPr>
      <w:r>
        <w:rPr>
          <w:rFonts w:hint="eastAsia"/>
          <w:sz w:val="30"/>
          <w:szCs w:val="30"/>
        </w:rPr>
        <w:t>As for historic premillennarians, many say that the survivors are the children of unbelievers.</w:t>
      </w:r>
    </w:p>
    <w:p w14:paraId="3D08BE80">
      <w:pPr>
        <w:pStyle w:val="9"/>
        <w:spacing w:before="11"/>
        <w:ind w:left="0"/>
        <w:jc w:val="left"/>
        <w:rPr>
          <w:rFonts w:hint="eastAsia"/>
          <w:sz w:val="30"/>
          <w:szCs w:val="30"/>
        </w:rPr>
      </w:pPr>
      <w:r>
        <w:rPr>
          <w:rFonts w:hint="eastAsia"/>
          <w:sz w:val="30"/>
          <w:szCs w:val="30"/>
        </w:rPr>
        <w:t>至于历史性的前千禧年论者，许多人说幸存者是不信者的孩子。</w:t>
      </w:r>
    </w:p>
    <w:p w14:paraId="0CA6493A">
      <w:pPr>
        <w:pStyle w:val="9"/>
        <w:spacing w:before="11"/>
        <w:ind w:left="0"/>
        <w:jc w:val="left"/>
        <w:rPr>
          <w:rFonts w:hint="eastAsia"/>
          <w:sz w:val="30"/>
          <w:szCs w:val="30"/>
        </w:rPr>
      </w:pPr>
    </w:p>
    <w:p w14:paraId="57F6B736">
      <w:pPr>
        <w:pStyle w:val="9"/>
        <w:spacing w:before="11"/>
        <w:ind w:left="0"/>
        <w:jc w:val="left"/>
        <w:rPr>
          <w:rFonts w:hint="eastAsia"/>
          <w:sz w:val="30"/>
          <w:szCs w:val="30"/>
        </w:rPr>
      </w:pPr>
      <w:r>
        <w:rPr>
          <w:rFonts w:hint="eastAsia"/>
          <w:sz w:val="30"/>
          <w:szCs w:val="30"/>
        </w:rPr>
        <w:t>But again, Revelation 19 says no such thing.</w:t>
      </w:r>
    </w:p>
    <w:p w14:paraId="4158F2F2">
      <w:pPr>
        <w:pStyle w:val="9"/>
        <w:spacing w:before="11"/>
        <w:ind w:left="0"/>
        <w:jc w:val="left"/>
        <w:rPr>
          <w:rFonts w:hint="eastAsia"/>
          <w:sz w:val="30"/>
          <w:szCs w:val="30"/>
        </w:rPr>
      </w:pPr>
      <w:r>
        <w:rPr>
          <w:rFonts w:hint="eastAsia"/>
          <w:sz w:val="30"/>
          <w:szCs w:val="30"/>
        </w:rPr>
        <w:t>但再次，《启示录》第19章没有这样说。</w:t>
      </w:r>
    </w:p>
    <w:p w14:paraId="0DF91217">
      <w:pPr>
        <w:pStyle w:val="9"/>
        <w:spacing w:before="11"/>
        <w:ind w:left="0"/>
        <w:jc w:val="left"/>
        <w:rPr>
          <w:rFonts w:hint="eastAsia"/>
          <w:sz w:val="30"/>
          <w:szCs w:val="30"/>
        </w:rPr>
      </w:pPr>
    </w:p>
    <w:p w14:paraId="2318B0B1">
      <w:pPr>
        <w:pStyle w:val="9"/>
        <w:spacing w:before="11"/>
        <w:ind w:left="0"/>
        <w:jc w:val="left"/>
        <w:rPr>
          <w:rFonts w:hint="eastAsia"/>
          <w:sz w:val="30"/>
          <w:szCs w:val="30"/>
        </w:rPr>
      </w:pPr>
      <w:r>
        <w:rPr>
          <w:rFonts w:hint="eastAsia"/>
          <w:sz w:val="30"/>
          <w:szCs w:val="30"/>
        </w:rPr>
        <w:t>Moreover, we cannot find a single NT text to support this highly speculative solution.</w:t>
      </w:r>
    </w:p>
    <w:p w14:paraId="3E33C8DF">
      <w:pPr>
        <w:pStyle w:val="9"/>
        <w:spacing w:before="11"/>
        <w:ind w:left="0"/>
        <w:jc w:val="left"/>
        <w:rPr>
          <w:rFonts w:hint="eastAsia"/>
          <w:sz w:val="30"/>
          <w:szCs w:val="30"/>
        </w:rPr>
      </w:pPr>
      <w:r>
        <w:rPr>
          <w:rFonts w:hint="eastAsia"/>
          <w:sz w:val="30"/>
          <w:szCs w:val="30"/>
        </w:rPr>
        <w:t>此外，我们找不到任何一节新约经文来支持这个高度推测性的解决方案。</w:t>
      </w:r>
    </w:p>
    <w:p w14:paraId="34D19DE7">
      <w:pPr>
        <w:pStyle w:val="9"/>
        <w:spacing w:before="11"/>
        <w:ind w:left="0"/>
        <w:jc w:val="left"/>
        <w:rPr>
          <w:rFonts w:hint="eastAsia"/>
          <w:sz w:val="30"/>
          <w:szCs w:val="30"/>
        </w:rPr>
      </w:pPr>
    </w:p>
    <w:p w14:paraId="7A10C1F2">
      <w:pPr>
        <w:pStyle w:val="9"/>
        <w:spacing w:before="11"/>
        <w:ind w:left="0"/>
        <w:jc w:val="left"/>
        <w:rPr>
          <w:rFonts w:hint="eastAsia"/>
          <w:sz w:val="30"/>
          <w:szCs w:val="30"/>
        </w:rPr>
      </w:pPr>
      <w:r>
        <w:rPr>
          <w:rFonts w:hint="eastAsia"/>
          <w:sz w:val="30"/>
          <w:szCs w:val="30"/>
        </w:rPr>
        <w:t>Who would raise such children?</w:t>
      </w:r>
    </w:p>
    <w:p w14:paraId="5A661A5E">
      <w:pPr>
        <w:pStyle w:val="9"/>
        <w:spacing w:before="11"/>
        <w:ind w:left="0"/>
        <w:jc w:val="left"/>
        <w:rPr>
          <w:rFonts w:hint="eastAsia"/>
          <w:sz w:val="30"/>
          <w:szCs w:val="30"/>
        </w:rPr>
      </w:pPr>
      <w:r>
        <w:rPr>
          <w:rFonts w:hint="eastAsia"/>
          <w:sz w:val="30"/>
          <w:szCs w:val="30"/>
        </w:rPr>
        <w:t>谁会抚养这些孩子？</w:t>
      </w:r>
    </w:p>
    <w:p w14:paraId="616774E5">
      <w:pPr>
        <w:pStyle w:val="9"/>
        <w:spacing w:before="11"/>
        <w:ind w:left="0"/>
        <w:jc w:val="left"/>
        <w:rPr>
          <w:rFonts w:hint="eastAsia"/>
          <w:sz w:val="30"/>
          <w:szCs w:val="30"/>
        </w:rPr>
      </w:pPr>
    </w:p>
    <w:p w14:paraId="7FE91C0F">
      <w:pPr>
        <w:pStyle w:val="9"/>
        <w:spacing w:before="11"/>
        <w:ind w:left="0"/>
        <w:jc w:val="left"/>
        <w:rPr>
          <w:rFonts w:hint="eastAsia"/>
          <w:sz w:val="30"/>
          <w:szCs w:val="30"/>
        </w:rPr>
      </w:pPr>
      <w:r>
        <w:rPr>
          <w:rFonts w:hint="eastAsia"/>
          <w:sz w:val="30"/>
          <w:szCs w:val="30"/>
        </w:rPr>
        <w:t>Angels?</w:t>
      </w:r>
    </w:p>
    <w:p w14:paraId="5F06ECEA">
      <w:pPr>
        <w:pStyle w:val="9"/>
        <w:spacing w:before="11"/>
        <w:ind w:left="0"/>
        <w:jc w:val="left"/>
        <w:rPr>
          <w:rFonts w:hint="eastAsia"/>
          <w:sz w:val="30"/>
          <w:szCs w:val="30"/>
        </w:rPr>
      </w:pPr>
      <w:r>
        <w:rPr>
          <w:rFonts w:hint="eastAsia"/>
          <w:sz w:val="30"/>
          <w:szCs w:val="30"/>
        </w:rPr>
        <w:t>天使？</w:t>
      </w:r>
    </w:p>
    <w:p w14:paraId="490FBDF0">
      <w:pPr>
        <w:pStyle w:val="9"/>
        <w:spacing w:before="11"/>
        <w:ind w:left="0"/>
        <w:jc w:val="left"/>
        <w:rPr>
          <w:rFonts w:hint="eastAsia"/>
          <w:sz w:val="30"/>
          <w:szCs w:val="30"/>
        </w:rPr>
      </w:pPr>
    </w:p>
    <w:p w14:paraId="5937DBF6">
      <w:pPr>
        <w:pStyle w:val="9"/>
        <w:spacing w:before="11"/>
        <w:ind w:left="0"/>
        <w:jc w:val="left"/>
        <w:rPr>
          <w:rFonts w:hint="eastAsia"/>
          <w:sz w:val="30"/>
          <w:szCs w:val="30"/>
        </w:rPr>
      </w:pPr>
      <w:r>
        <w:rPr>
          <w:rFonts w:hint="eastAsia"/>
          <w:sz w:val="30"/>
          <w:szCs w:val="30"/>
        </w:rPr>
        <w:t>Glorified saints?</w:t>
      </w:r>
    </w:p>
    <w:p w14:paraId="4C61BE4D">
      <w:pPr>
        <w:pStyle w:val="9"/>
        <w:spacing w:before="11"/>
        <w:ind w:left="0"/>
        <w:jc w:val="left"/>
        <w:rPr>
          <w:rFonts w:hint="eastAsia"/>
          <w:sz w:val="30"/>
          <w:szCs w:val="30"/>
        </w:rPr>
      </w:pPr>
      <w:r>
        <w:rPr>
          <w:rFonts w:hint="eastAsia"/>
          <w:sz w:val="30"/>
          <w:szCs w:val="30"/>
        </w:rPr>
        <w:t>得荣耀的圣徒？</w:t>
      </w:r>
    </w:p>
    <w:p w14:paraId="1E1B5B0A">
      <w:pPr>
        <w:pStyle w:val="9"/>
        <w:spacing w:before="11"/>
        <w:ind w:left="0"/>
        <w:jc w:val="left"/>
        <w:rPr>
          <w:rFonts w:hint="eastAsia"/>
          <w:sz w:val="30"/>
          <w:szCs w:val="30"/>
        </w:rPr>
      </w:pPr>
    </w:p>
    <w:p w14:paraId="2255F15C">
      <w:pPr>
        <w:pStyle w:val="9"/>
        <w:spacing w:before="11"/>
        <w:ind w:left="0"/>
        <w:jc w:val="left"/>
        <w:rPr>
          <w:rFonts w:hint="eastAsia"/>
          <w:sz w:val="30"/>
          <w:szCs w:val="30"/>
        </w:rPr>
      </w:pPr>
      <w:r>
        <w:rPr>
          <w:rFonts w:hint="eastAsia"/>
          <w:sz w:val="30"/>
          <w:szCs w:val="30"/>
        </w:rPr>
        <w:t>Truly, the premillennarian thesis strains all credulity.</w:t>
      </w:r>
    </w:p>
    <w:p w14:paraId="77722C3B">
      <w:pPr>
        <w:pStyle w:val="9"/>
        <w:spacing w:before="11"/>
        <w:ind w:left="0"/>
        <w:jc w:val="left"/>
        <w:rPr>
          <w:rFonts w:hint="eastAsia"/>
          <w:sz w:val="30"/>
          <w:szCs w:val="30"/>
        </w:rPr>
      </w:pPr>
      <w:r>
        <w:rPr>
          <w:rFonts w:hint="eastAsia"/>
          <w:sz w:val="30"/>
          <w:szCs w:val="30"/>
        </w:rPr>
        <w:t>真的，前千禧年论的论点实在难以置信。</w:t>
      </w:r>
    </w:p>
    <w:p w14:paraId="7F6DA18E">
      <w:pPr>
        <w:pStyle w:val="9"/>
        <w:spacing w:before="11"/>
        <w:ind w:left="0"/>
        <w:jc w:val="left"/>
        <w:rPr>
          <w:rFonts w:hint="eastAsia"/>
          <w:sz w:val="30"/>
          <w:szCs w:val="30"/>
        </w:rPr>
      </w:pPr>
    </w:p>
    <w:p w14:paraId="6A04CF93">
      <w:pPr>
        <w:pStyle w:val="9"/>
        <w:spacing w:before="11"/>
        <w:ind w:left="0"/>
        <w:jc w:val="left"/>
        <w:rPr>
          <w:rFonts w:hint="eastAsia"/>
          <w:sz w:val="30"/>
          <w:szCs w:val="30"/>
        </w:rPr>
      </w:pPr>
      <w:r>
        <w:rPr>
          <w:rFonts w:hint="eastAsia"/>
          <w:sz w:val="30"/>
          <w:szCs w:val="30"/>
        </w:rPr>
        <w:t>Far better, then, to see 19:11-21 and 20:7-15 as parallel passages; to see them both depicting the Last Battle (19:19, 20:7-9), the Parousia (19:11-16, 20:9), and the Last Judgment of men and angels (19:20-21, 20:10-15).</w:t>
      </w:r>
    </w:p>
    <w:p w14:paraId="71408A74">
      <w:pPr>
        <w:pStyle w:val="9"/>
        <w:spacing w:before="11"/>
        <w:ind w:left="0"/>
        <w:jc w:val="left"/>
        <w:rPr>
          <w:rFonts w:hint="eastAsia"/>
          <w:sz w:val="30"/>
          <w:szCs w:val="30"/>
        </w:rPr>
      </w:pPr>
      <w:r>
        <w:rPr>
          <w:rFonts w:hint="eastAsia"/>
          <w:sz w:val="30"/>
          <w:szCs w:val="30"/>
        </w:rPr>
        <w:t>因此，将19:11-21和20:7-15视为平行的段落要好得多；将它们都看作是描绘末日争战（19:19, 20:7-9）、主临（Parousia）（19:11-16, 20:9）以及对人和天使的最后审判（19:20-21, 20:10-15）要好得多。</w:t>
      </w:r>
    </w:p>
    <w:p w14:paraId="73E2F63D">
      <w:pPr>
        <w:pStyle w:val="9"/>
        <w:spacing w:before="11"/>
        <w:ind w:left="0"/>
        <w:jc w:val="left"/>
        <w:rPr>
          <w:rFonts w:hint="eastAsia"/>
          <w:sz w:val="30"/>
          <w:szCs w:val="30"/>
        </w:rPr>
      </w:pPr>
    </w:p>
    <w:p w14:paraId="2D6D4090">
      <w:pPr>
        <w:pStyle w:val="9"/>
        <w:spacing w:before="11"/>
        <w:ind w:left="0"/>
        <w:jc w:val="left"/>
        <w:rPr>
          <w:rFonts w:hint="eastAsia"/>
          <w:sz w:val="30"/>
          <w:szCs w:val="30"/>
        </w:rPr>
      </w:pPr>
      <w:r>
        <w:rPr>
          <w:rFonts w:hint="eastAsia"/>
          <w:sz w:val="30"/>
          <w:szCs w:val="30"/>
        </w:rPr>
        <w:t>Far better, also, to assume that in that day all children beneath the age of accountability will be found among the elect, brought to faith, transformed and glorified with the living saints, and so spared from the wrath to come (Psalm 68:5, Mt. 19:14, 1 Cor. 15:50f, 1 Thess. 4:15f).</w:t>
      </w:r>
    </w:p>
    <w:p w14:paraId="41194011">
      <w:pPr>
        <w:pStyle w:val="9"/>
        <w:spacing w:before="11"/>
        <w:ind w:left="0"/>
        <w:jc w:val="left"/>
        <w:rPr>
          <w:rFonts w:hint="eastAsia"/>
          <w:sz w:val="30"/>
          <w:szCs w:val="30"/>
        </w:rPr>
      </w:pPr>
      <w:r>
        <w:rPr>
          <w:rFonts w:hint="eastAsia"/>
          <w:sz w:val="30"/>
          <w:szCs w:val="30"/>
        </w:rPr>
        <w:t>同样好得多的，是假设在那日所有未到能负责任年龄的孩子都将在选民之中被找到，被带入信心，与活着的圣徒一同被改变和得荣耀，从而免于将来的忿怒（诗篇68:5，太19:14，林前15:50及以下，帖前4:15及以下）。</w:t>
      </w:r>
    </w:p>
    <w:p w14:paraId="7B47E877">
      <w:pPr>
        <w:pStyle w:val="9"/>
        <w:spacing w:before="11"/>
        <w:ind w:left="0"/>
        <w:jc w:val="left"/>
        <w:rPr>
          <w:rFonts w:hint="eastAsia"/>
          <w:sz w:val="30"/>
          <w:szCs w:val="30"/>
        </w:rPr>
      </w:pPr>
    </w:p>
    <w:p w14:paraId="338E84E1">
      <w:pPr>
        <w:pStyle w:val="9"/>
        <w:spacing w:before="11"/>
        <w:ind w:left="0"/>
        <w:jc w:val="left"/>
        <w:rPr>
          <w:rFonts w:hint="eastAsia"/>
          <w:sz w:val="30"/>
          <w:szCs w:val="30"/>
        </w:rPr>
      </w:pPr>
      <w:r>
        <w:rPr>
          <w:rFonts w:hint="eastAsia"/>
          <w:sz w:val="30"/>
          <w:szCs w:val="30"/>
        </w:rPr>
        <w:t>Secondly, in the course of our survey I have tried to show that all five cycles found in chapters 6-19 begin at the beginning of the Era of Proclamation and end with the last Judgment.</w:t>
      </w:r>
    </w:p>
    <w:p w14:paraId="44E98B44">
      <w:pPr>
        <w:pStyle w:val="9"/>
        <w:spacing w:before="11"/>
        <w:ind w:left="0"/>
        <w:jc w:val="left"/>
        <w:rPr>
          <w:rFonts w:hint="eastAsia"/>
          <w:sz w:val="30"/>
          <w:szCs w:val="30"/>
        </w:rPr>
      </w:pPr>
      <w:r>
        <w:rPr>
          <w:rFonts w:hint="eastAsia"/>
          <w:sz w:val="30"/>
          <w:szCs w:val="30"/>
        </w:rPr>
        <w:t>其次，在我考察的过程中，我试图表明在第6-19章中发现的所有五个循环都始于宣讲时代的开端，并以最后的审判结束。</w:t>
      </w:r>
    </w:p>
    <w:p w14:paraId="67754146">
      <w:pPr>
        <w:pStyle w:val="9"/>
        <w:spacing w:before="11"/>
        <w:ind w:left="0"/>
        <w:jc w:val="left"/>
        <w:rPr>
          <w:rFonts w:hint="eastAsia"/>
          <w:sz w:val="30"/>
          <w:szCs w:val="30"/>
        </w:rPr>
      </w:pPr>
    </w:p>
    <w:p w14:paraId="4DD95904">
      <w:pPr>
        <w:pStyle w:val="9"/>
        <w:spacing w:before="11"/>
        <w:ind w:left="0"/>
        <w:jc w:val="left"/>
        <w:rPr>
          <w:rFonts w:hint="eastAsia"/>
          <w:sz w:val="30"/>
          <w:szCs w:val="30"/>
        </w:rPr>
      </w:pPr>
      <w:r>
        <w:rPr>
          <w:rFonts w:hint="eastAsia"/>
          <w:sz w:val="30"/>
          <w:szCs w:val="30"/>
        </w:rPr>
        <w:t>Admittedly, this pattern is clearer in some cycles than in others.</w:t>
      </w:r>
    </w:p>
    <w:p w14:paraId="753BD6F7">
      <w:pPr>
        <w:pStyle w:val="9"/>
        <w:spacing w:before="11"/>
        <w:ind w:left="0"/>
        <w:jc w:val="left"/>
        <w:rPr>
          <w:rFonts w:hint="eastAsia"/>
          <w:sz w:val="30"/>
          <w:szCs w:val="30"/>
        </w:rPr>
      </w:pPr>
      <w:r>
        <w:rPr>
          <w:rFonts w:hint="eastAsia"/>
          <w:sz w:val="30"/>
          <w:szCs w:val="30"/>
        </w:rPr>
        <w:t>诚然，这个模式在某些循环中比在其他循环中更清晰。</w:t>
      </w:r>
    </w:p>
    <w:p w14:paraId="74D8AA98">
      <w:pPr>
        <w:pStyle w:val="9"/>
        <w:spacing w:before="11"/>
        <w:ind w:left="0"/>
        <w:jc w:val="left"/>
        <w:rPr>
          <w:rFonts w:hint="eastAsia"/>
          <w:sz w:val="30"/>
          <w:szCs w:val="30"/>
        </w:rPr>
      </w:pPr>
    </w:p>
    <w:p w14:paraId="508D6DF9">
      <w:pPr>
        <w:pStyle w:val="9"/>
        <w:spacing w:before="11"/>
        <w:ind w:left="0"/>
        <w:jc w:val="left"/>
        <w:rPr>
          <w:rFonts w:hint="eastAsia"/>
          <w:sz w:val="30"/>
          <w:szCs w:val="30"/>
        </w:rPr>
      </w:pPr>
      <w:r>
        <w:rPr>
          <w:rFonts w:hint="eastAsia"/>
          <w:sz w:val="30"/>
          <w:szCs w:val="30"/>
        </w:rPr>
        <w:t>Nevertheless, there is more than enough evidence in each to suggest that the pattern is indeed pervasive.</w:t>
      </w:r>
    </w:p>
    <w:p w14:paraId="1422698D">
      <w:pPr>
        <w:pStyle w:val="9"/>
        <w:spacing w:before="11"/>
        <w:ind w:left="0"/>
        <w:jc w:val="left"/>
        <w:rPr>
          <w:rFonts w:hint="eastAsia"/>
          <w:sz w:val="30"/>
          <w:szCs w:val="30"/>
        </w:rPr>
      </w:pPr>
      <w:r>
        <w:rPr>
          <w:rFonts w:hint="eastAsia"/>
          <w:sz w:val="30"/>
          <w:szCs w:val="30"/>
        </w:rPr>
        <w:t>然而，每一个循环中都有足够的证据表明这个模式确实是普遍存在的。</w:t>
      </w:r>
    </w:p>
    <w:p w14:paraId="6A70644F">
      <w:pPr>
        <w:pStyle w:val="9"/>
        <w:spacing w:before="11"/>
        <w:ind w:left="0"/>
        <w:jc w:val="left"/>
        <w:rPr>
          <w:rFonts w:hint="eastAsia"/>
          <w:sz w:val="30"/>
          <w:szCs w:val="30"/>
        </w:rPr>
      </w:pPr>
    </w:p>
    <w:p w14:paraId="484433E4">
      <w:pPr>
        <w:pStyle w:val="9"/>
        <w:spacing w:before="11"/>
        <w:ind w:left="0"/>
        <w:jc w:val="left"/>
        <w:rPr>
          <w:rFonts w:hint="eastAsia"/>
          <w:sz w:val="30"/>
          <w:szCs w:val="30"/>
        </w:rPr>
      </w:pPr>
      <w:r>
        <w:rPr>
          <w:rFonts w:hint="eastAsia"/>
          <w:sz w:val="30"/>
          <w:szCs w:val="30"/>
        </w:rPr>
        <w:t>Is it not reasonable, then, after such a majestic depiction of the Parousia and the Last Judgment (19:11-21), to expect that 20:1-3 begins a new cycle, taking us back to the onset of the Era of Proclamation?</w:t>
      </w:r>
    </w:p>
    <w:p w14:paraId="31D43D6E">
      <w:pPr>
        <w:pStyle w:val="9"/>
        <w:spacing w:before="11"/>
        <w:ind w:left="0"/>
        <w:jc w:val="left"/>
        <w:rPr>
          <w:rFonts w:hint="eastAsia"/>
          <w:sz w:val="30"/>
          <w:szCs w:val="30"/>
        </w:rPr>
      </w:pPr>
      <w:r>
        <w:rPr>
          <w:rFonts w:hint="eastAsia"/>
          <w:sz w:val="30"/>
          <w:szCs w:val="30"/>
        </w:rPr>
        <w:t>那么，在对主临（Parousia）和最后审判（19:11-21）作了如此宏伟的描绘之后，期望20:1-3开始一个新的循环，将我们带回到宣讲时代的开端，这难道不合理吗？</w:t>
      </w:r>
    </w:p>
    <w:p w14:paraId="29974EDB">
      <w:pPr>
        <w:pStyle w:val="9"/>
        <w:spacing w:before="11"/>
        <w:ind w:left="0"/>
        <w:jc w:val="left"/>
        <w:rPr>
          <w:rFonts w:hint="eastAsia"/>
          <w:sz w:val="30"/>
          <w:szCs w:val="30"/>
        </w:rPr>
      </w:pPr>
    </w:p>
    <w:p w14:paraId="354A0E78">
      <w:pPr>
        <w:pStyle w:val="9"/>
        <w:spacing w:before="11"/>
        <w:ind w:left="0"/>
        <w:jc w:val="left"/>
        <w:rPr>
          <w:rFonts w:hint="eastAsia"/>
          <w:sz w:val="30"/>
          <w:szCs w:val="30"/>
        </w:rPr>
      </w:pPr>
      <w:r>
        <w:rPr>
          <w:rFonts w:hint="eastAsia"/>
          <w:sz w:val="30"/>
          <w:szCs w:val="30"/>
        </w:rPr>
        <w:t>Along these lines, consider also how counterintuitive it would be for the Spirit to give us only five cycles depicting the Era of Proclamation, rather than six.</w:t>
      </w:r>
    </w:p>
    <w:p w14:paraId="70C3926A">
      <w:pPr>
        <w:pStyle w:val="9"/>
        <w:spacing w:before="11"/>
        <w:ind w:left="0"/>
        <w:jc w:val="left"/>
        <w:rPr>
          <w:rFonts w:hint="eastAsia"/>
          <w:sz w:val="30"/>
          <w:szCs w:val="30"/>
        </w:rPr>
      </w:pPr>
      <w:r>
        <w:rPr>
          <w:rFonts w:hint="eastAsia"/>
          <w:sz w:val="30"/>
          <w:szCs w:val="30"/>
        </w:rPr>
        <w:t>沿着这些思路，也请思考一下，如果圣灵只给了我们五个描绘宣讲时代的循环，而不是六个，那将是多么违反直觉。</w:t>
      </w:r>
    </w:p>
    <w:p w14:paraId="187D2EDE">
      <w:pPr>
        <w:pStyle w:val="9"/>
        <w:spacing w:before="11"/>
        <w:ind w:left="0"/>
        <w:jc w:val="left"/>
        <w:rPr>
          <w:rFonts w:hint="eastAsia"/>
          <w:sz w:val="30"/>
          <w:szCs w:val="30"/>
        </w:rPr>
      </w:pPr>
    </w:p>
    <w:p w14:paraId="3781E77C">
      <w:pPr>
        <w:pStyle w:val="9"/>
        <w:spacing w:before="11"/>
        <w:ind w:left="0"/>
        <w:jc w:val="left"/>
        <w:rPr>
          <w:rFonts w:hint="eastAsia"/>
          <w:sz w:val="30"/>
          <w:szCs w:val="30"/>
        </w:rPr>
      </w:pPr>
      <w:r>
        <w:rPr>
          <w:rFonts w:hint="eastAsia"/>
          <w:sz w:val="30"/>
          <w:szCs w:val="30"/>
        </w:rPr>
        <w:t>Because of its symbolic power, the number six definitely makes better sense.</w:t>
      </w:r>
    </w:p>
    <w:p w14:paraId="4DA9F987">
      <w:pPr>
        <w:pStyle w:val="9"/>
        <w:spacing w:before="11"/>
        <w:ind w:left="0"/>
        <w:jc w:val="left"/>
        <w:rPr>
          <w:rFonts w:hint="eastAsia"/>
          <w:sz w:val="30"/>
          <w:szCs w:val="30"/>
        </w:rPr>
      </w:pPr>
      <w:r>
        <w:rPr>
          <w:rFonts w:hint="eastAsia"/>
          <w:sz w:val="30"/>
          <w:szCs w:val="30"/>
        </w:rPr>
        <w:t>由于其象征性的力量，数字六肯定更有意义。</w:t>
      </w:r>
    </w:p>
    <w:p w14:paraId="66BB928B">
      <w:pPr>
        <w:pStyle w:val="9"/>
        <w:spacing w:before="11"/>
        <w:ind w:left="0"/>
        <w:jc w:val="left"/>
        <w:rPr>
          <w:rFonts w:hint="eastAsia"/>
          <w:sz w:val="30"/>
          <w:szCs w:val="30"/>
        </w:rPr>
      </w:pPr>
    </w:p>
    <w:p w14:paraId="2ABD0D72">
      <w:pPr>
        <w:pStyle w:val="9"/>
        <w:spacing w:before="11"/>
        <w:ind w:left="0"/>
        <w:jc w:val="left"/>
        <w:rPr>
          <w:rFonts w:hint="eastAsia"/>
          <w:sz w:val="30"/>
          <w:szCs w:val="30"/>
        </w:rPr>
      </w:pPr>
      <w:r>
        <w:rPr>
          <w:rFonts w:hint="eastAsia"/>
          <w:sz w:val="30"/>
          <w:szCs w:val="30"/>
        </w:rPr>
        <w:t>Six reminds us of the six days of God’s creative work, followed by a seventh, in which he rested.</w:t>
      </w:r>
    </w:p>
    <w:p w14:paraId="19E7E95E">
      <w:pPr>
        <w:pStyle w:val="9"/>
        <w:spacing w:before="11"/>
        <w:ind w:left="0"/>
        <w:jc w:val="left"/>
        <w:rPr>
          <w:rFonts w:hint="eastAsia"/>
          <w:sz w:val="30"/>
          <w:szCs w:val="30"/>
        </w:rPr>
      </w:pPr>
      <w:r>
        <w:rPr>
          <w:rFonts w:hint="eastAsia"/>
          <w:sz w:val="30"/>
          <w:szCs w:val="30"/>
        </w:rPr>
        <w:t>六让我们想起上帝六天的创造工作，其后是第七天，祂在其中安息了。</w:t>
      </w:r>
    </w:p>
    <w:p w14:paraId="55A92E17">
      <w:pPr>
        <w:pStyle w:val="9"/>
        <w:spacing w:before="11"/>
        <w:ind w:left="0"/>
        <w:jc w:val="left"/>
        <w:rPr>
          <w:rFonts w:hint="eastAsia"/>
          <w:sz w:val="30"/>
          <w:szCs w:val="30"/>
        </w:rPr>
      </w:pPr>
    </w:p>
    <w:p w14:paraId="7D409BDF">
      <w:pPr>
        <w:pStyle w:val="9"/>
        <w:spacing w:before="11"/>
        <w:ind w:left="0"/>
        <w:jc w:val="left"/>
        <w:rPr>
          <w:rFonts w:hint="eastAsia"/>
          <w:sz w:val="30"/>
          <w:szCs w:val="30"/>
        </w:rPr>
      </w:pPr>
      <w:r>
        <w:rPr>
          <w:rFonts w:hint="eastAsia"/>
          <w:sz w:val="30"/>
          <w:szCs w:val="30"/>
        </w:rPr>
        <w:t>Analogously, six cycles of the Era of Proclamation would speak of Christ’s redemptive work, while a seventh (found in 21-22) would speak of redemptive rest, both Christ’s and ours (Heb. 4:1-13).</w:t>
      </w:r>
    </w:p>
    <w:p w14:paraId="4747332E">
      <w:pPr>
        <w:pStyle w:val="9"/>
        <w:spacing w:before="11"/>
        <w:ind w:left="0"/>
        <w:jc w:val="left"/>
        <w:rPr>
          <w:rFonts w:hint="eastAsia"/>
          <w:sz w:val="30"/>
          <w:szCs w:val="30"/>
        </w:rPr>
      </w:pPr>
      <w:r>
        <w:rPr>
          <w:rFonts w:hint="eastAsia"/>
          <w:sz w:val="30"/>
          <w:szCs w:val="30"/>
        </w:rPr>
        <w:t>类似地，六个宣讲时代的循环将讲述基督的救赎工作，而第七个（在21-22章中找到）将讲述救赎的安息，既是基督的也是我们的（来4:1-13）。</w:t>
      </w:r>
    </w:p>
    <w:p w14:paraId="0B1279FD">
      <w:pPr>
        <w:pStyle w:val="9"/>
        <w:spacing w:before="11"/>
        <w:ind w:left="0"/>
        <w:jc w:val="left"/>
        <w:rPr>
          <w:rFonts w:hint="eastAsia"/>
          <w:sz w:val="30"/>
          <w:szCs w:val="30"/>
        </w:rPr>
      </w:pPr>
    </w:p>
    <w:p w14:paraId="0FB49C0B">
      <w:pPr>
        <w:pStyle w:val="9"/>
        <w:spacing w:before="11"/>
        <w:ind w:left="0"/>
        <w:jc w:val="left"/>
        <w:rPr>
          <w:rFonts w:hint="eastAsia"/>
          <w:sz w:val="30"/>
          <w:szCs w:val="30"/>
        </w:rPr>
      </w:pPr>
      <w:r>
        <w:rPr>
          <w:rFonts w:hint="eastAsia"/>
          <w:sz w:val="30"/>
          <w:szCs w:val="30"/>
        </w:rPr>
        <w:t>Biblical numerology clearly favors the 6-1 structure of amillennialism over the 5-1-1 structure of premillennialism.</w:t>
      </w:r>
    </w:p>
    <w:p w14:paraId="6E3C53F8">
      <w:pPr>
        <w:pStyle w:val="9"/>
        <w:spacing w:before="11"/>
        <w:ind w:left="0"/>
        <w:jc w:val="left"/>
        <w:rPr>
          <w:rFonts w:hint="eastAsia"/>
          <w:sz w:val="30"/>
          <w:szCs w:val="30"/>
        </w:rPr>
      </w:pPr>
      <w:r>
        <w:rPr>
          <w:rFonts w:hint="eastAsia"/>
          <w:sz w:val="30"/>
          <w:szCs w:val="30"/>
        </w:rPr>
        <w:t>圣经数字学显然偏爱无千禧年论的6-1结构，而非前千禧年论的5-1-1结构。</w:t>
      </w:r>
    </w:p>
    <w:p w14:paraId="66A9E1C3">
      <w:pPr>
        <w:pStyle w:val="9"/>
        <w:spacing w:before="11"/>
        <w:ind w:left="0"/>
        <w:jc w:val="left"/>
        <w:rPr>
          <w:rFonts w:hint="eastAsia"/>
          <w:sz w:val="30"/>
          <w:szCs w:val="30"/>
        </w:rPr>
      </w:pPr>
    </w:p>
    <w:p w14:paraId="6FBACD17">
      <w:pPr>
        <w:pStyle w:val="9"/>
        <w:spacing w:before="11"/>
        <w:ind w:left="0"/>
        <w:jc w:val="left"/>
        <w:rPr>
          <w:rFonts w:hint="eastAsia"/>
          <w:sz w:val="30"/>
          <w:szCs w:val="30"/>
        </w:rPr>
      </w:pPr>
      <w:r>
        <w:rPr>
          <w:rFonts w:hint="eastAsia"/>
          <w:sz w:val="30"/>
          <w:szCs w:val="30"/>
        </w:rPr>
        <w:t>Finally, and perhaps most importantly, we have the evidence found in the text itself; evidence that repeatedly carries us to parallel passages, both in the Revelation and the rest of the NT; evidence that shows beyond any reasonable doubt that Revelation 20 does indeed traverse the same familiar ground: the Era of Proclamation.</w:t>
      </w:r>
    </w:p>
    <w:p w14:paraId="0268857C">
      <w:pPr>
        <w:pStyle w:val="9"/>
        <w:spacing w:before="11"/>
        <w:ind w:left="0"/>
        <w:jc w:val="left"/>
        <w:rPr>
          <w:rFonts w:hint="eastAsia"/>
          <w:sz w:val="30"/>
          <w:szCs w:val="30"/>
        </w:rPr>
      </w:pPr>
      <w:r>
        <w:rPr>
          <w:rFonts w:hint="eastAsia"/>
          <w:sz w:val="30"/>
          <w:szCs w:val="30"/>
        </w:rPr>
        <w:t>最后，也许最重要的是，我们有在经文本身中找到的证据；这些证据一再地将我们引向《启示录》和新约其余部分的平行经文；这些证据无可置疑地表明，《启示录》第20章确实跨越了同样熟悉的领域：宣讲时代。</w:t>
      </w:r>
    </w:p>
    <w:p w14:paraId="68EB1C19">
      <w:pPr>
        <w:pStyle w:val="9"/>
        <w:spacing w:before="11"/>
        <w:ind w:left="0"/>
        <w:jc w:val="left"/>
        <w:rPr>
          <w:rFonts w:hint="eastAsia"/>
          <w:sz w:val="30"/>
          <w:szCs w:val="30"/>
        </w:rPr>
      </w:pPr>
    </w:p>
    <w:p w14:paraId="34A3D29B">
      <w:pPr>
        <w:pStyle w:val="9"/>
        <w:spacing w:before="11"/>
        <w:ind w:left="0"/>
        <w:jc w:val="left"/>
        <w:rPr>
          <w:rFonts w:hint="eastAsia"/>
          <w:sz w:val="30"/>
          <w:szCs w:val="30"/>
        </w:rPr>
      </w:pPr>
      <w:r>
        <w:rPr>
          <w:rFonts w:hint="eastAsia"/>
          <w:sz w:val="30"/>
          <w:szCs w:val="30"/>
        </w:rPr>
        <w:t>In the next three questions, we will examine this evidence with some care.</w:t>
      </w:r>
    </w:p>
    <w:p w14:paraId="19A023CC">
      <w:pPr>
        <w:pStyle w:val="9"/>
        <w:spacing w:before="11"/>
        <w:ind w:left="0"/>
        <w:jc w:val="left"/>
        <w:rPr>
          <w:rFonts w:hint="eastAsia"/>
          <w:sz w:val="30"/>
          <w:szCs w:val="30"/>
        </w:rPr>
      </w:pPr>
      <w:r>
        <w:rPr>
          <w:rFonts w:hint="eastAsia"/>
          <w:sz w:val="30"/>
          <w:szCs w:val="30"/>
        </w:rPr>
        <w:t>在接下来的三个问题中，我们将仔细地审视这些证据。</w:t>
      </w:r>
    </w:p>
    <w:p w14:paraId="16DE1ED8">
      <w:pPr>
        <w:pStyle w:val="9"/>
        <w:spacing w:before="11"/>
        <w:ind w:left="0"/>
        <w:jc w:val="left"/>
        <w:rPr>
          <w:rFonts w:hint="eastAsia"/>
          <w:sz w:val="30"/>
          <w:szCs w:val="30"/>
        </w:rPr>
      </w:pPr>
    </w:p>
    <w:p w14:paraId="5F7AAF8A">
      <w:pPr>
        <w:pStyle w:val="9"/>
        <w:spacing w:before="11"/>
        <w:ind w:left="0"/>
        <w:jc w:val="left"/>
        <w:rPr>
          <w:rFonts w:hint="eastAsia"/>
          <w:sz w:val="30"/>
          <w:szCs w:val="30"/>
        </w:rPr>
      </w:pPr>
      <w:r>
        <w:rPr>
          <w:rFonts w:hint="eastAsia"/>
          <w:sz w:val="30"/>
          <w:szCs w:val="30"/>
        </w:rPr>
        <w:t>2.What is the Binding and Imprisonment of Satan?</w:t>
      </w:r>
    </w:p>
    <w:p w14:paraId="7FA345F1">
      <w:pPr>
        <w:pStyle w:val="9"/>
        <w:spacing w:before="11"/>
        <w:ind w:left="0"/>
        <w:jc w:val="left"/>
        <w:rPr>
          <w:rFonts w:hint="eastAsia"/>
          <w:sz w:val="30"/>
          <w:szCs w:val="30"/>
        </w:rPr>
      </w:pPr>
      <w:r>
        <w:rPr>
          <w:rFonts w:hint="eastAsia"/>
          <w:sz w:val="30"/>
          <w:szCs w:val="30"/>
        </w:rPr>
        <w:t>2.什么是撒但的被捆绑和监禁？</w:t>
      </w:r>
    </w:p>
    <w:p w14:paraId="2DA48AF6">
      <w:pPr>
        <w:pStyle w:val="9"/>
        <w:spacing w:before="11"/>
        <w:ind w:left="0"/>
        <w:jc w:val="left"/>
        <w:rPr>
          <w:rFonts w:hint="eastAsia"/>
          <w:sz w:val="30"/>
          <w:szCs w:val="30"/>
        </w:rPr>
      </w:pPr>
    </w:p>
    <w:p w14:paraId="348A5104">
      <w:pPr>
        <w:pStyle w:val="9"/>
        <w:spacing w:before="11"/>
        <w:ind w:left="0"/>
        <w:jc w:val="left"/>
        <w:rPr>
          <w:rFonts w:hint="eastAsia"/>
          <w:sz w:val="30"/>
          <w:szCs w:val="30"/>
        </w:rPr>
      </w:pPr>
      <w:r>
        <w:rPr>
          <w:rFonts w:hint="eastAsia"/>
          <w:sz w:val="30"/>
          <w:szCs w:val="30"/>
        </w:rPr>
        <w:t>With insufficient regard for the apocalyptic character of the imagery involved, premillennarians interpret the binding and imprisonment of Satan more or less literally: A literal angel will literally throw Satan into the literal abyss, thereby removing him from the earth, so that he can no longer deceive any men or nations into following him.</w:t>
      </w:r>
    </w:p>
    <w:p w14:paraId="5063F5A6">
      <w:pPr>
        <w:pStyle w:val="9"/>
        <w:spacing w:before="11"/>
        <w:ind w:left="0"/>
        <w:jc w:val="left"/>
        <w:rPr>
          <w:rFonts w:hint="eastAsia"/>
          <w:sz w:val="30"/>
          <w:szCs w:val="30"/>
        </w:rPr>
      </w:pPr>
      <w:r>
        <w:rPr>
          <w:rFonts w:hint="eastAsia"/>
          <w:sz w:val="30"/>
          <w:szCs w:val="30"/>
        </w:rPr>
        <w:t>前千禧年论者对所涉意象的末世特征考虑不足，他们或多或少地按字面意思解释撒但的被捆绑和监禁：一个字面意义上的天使将字面意义上地把撒但扔进字面意义上的无底坑，从而将他从地上移除，使他不能再欺骗任何人或国家来跟随他。</w:t>
      </w:r>
    </w:p>
    <w:p w14:paraId="7FC8B99A">
      <w:pPr>
        <w:pStyle w:val="9"/>
        <w:spacing w:before="11"/>
        <w:ind w:left="0"/>
        <w:jc w:val="left"/>
        <w:rPr>
          <w:rFonts w:hint="eastAsia"/>
          <w:sz w:val="30"/>
          <w:szCs w:val="30"/>
        </w:rPr>
      </w:pPr>
    </w:p>
    <w:p w14:paraId="35BAE8CB">
      <w:pPr>
        <w:pStyle w:val="9"/>
        <w:spacing w:before="11"/>
        <w:ind w:left="0"/>
        <w:jc w:val="left"/>
        <w:rPr>
          <w:rFonts w:hint="eastAsia"/>
          <w:sz w:val="30"/>
          <w:szCs w:val="30"/>
        </w:rPr>
      </w:pPr>
      <w:r>
        <w:rPr>
          <w:rFonts w:hint="eastAsia"/>
          <w:sz w:val="30"/>
          <w:szCs w:val="30"/>
        </w:rPr>
        <w:t>“This refers to Satan’s complete banishment from earth, so that while sin is still to exist in individuals, it is no longer to be a power forming a fellowship, and thus making a kingdom of sin and Satan.”1</w:t>
      </w:r>
    </w:p>
    <w:p w14:paraId="4F33EE64">
      <w:pPr>
        <w:pStyle w:val="9"/>
        <w:spacing w:before="11"/>
        <w:ind w:left="0"/>
        <w:jc w:val="left"/>
        <w:rPr>
          <w:rFonts w:hint="eastAsia"/>
          <w:sz w:val="30"/>
          <w:szCs w:val="30"/>
        </w:rPr>
      </w:pPr>
      <w:r>
        <w:rPr>
          <w:rFonts w:hint="eastAsia"/>
          <w:sz w:val="30"/>
          <w:szCs w:val="30"/>
        </w:rPr>
        <w:t>“这指的是撒但被完全逐出地球，因此，虽然罪仍然存在于个人之中，但它不再是形成一个团契的力量，从而形成一个罪和撒但的国度。”1</w:t>
      </w:r>
    </w:p>
    <w:p w14:paraId="7D809859">
      <w:pPr>
        <w:pStyle w:val="9"/>
        <w:spacing w:before="11"/>
        <w:ind w:left="0"/>
        <w:jc w:val="left"/>
        <w:rPr>
          <w:rFonts w:hint="eastAsia"/>
          <w:sz w:val="30"/>
          <w:szCs w:val="30"/>
        </w:rPr>
      </w:pPr>
    </w:p>
    <w:p w14:paraId="5BF49B72">
      <w:pPr>
        <w:pStyle w:val="9"/>
        <w:spacing w:before="11"/>
        <w:ind w:left="0"/>
        <w:jc w:val="left"/>
        <w:rPr>
          <w:rFonts w:hint="eastAsia"/>
          <w:sz w:val="30"/>
          <w:szCs w:val="30"/>
        </w:rPr>
      </w:pPr>
      <w:r>
        <w:rPr>
          <w:rFonts w:hint="eastAsia"/>
          <w:sz w:val="30"/>
          <w:szCs w:val="30"/>
        </w:rPr>
        <w:t>Not surprisingly, such an interpretation emboldens premillenarians to envision a vastly improved world, one befitting the presence and rule of Christ upon the earth: “The Millennium is … a time of universal peace, prosperity, long life, and prevailing righteousness.”2</w:t>
      </w:r>
    </w:p>
    <w:p w14:paraId="75E60DAF">
      <w:pPr>
        <w:pStyle w:val="9"/>
        <w:spacing w:before="11"/>
        <w:ind w:left="0"/>
        <w:jc w:val="left"/>
        <w:rPr>
          <w:rFonts w:hint="eastAsia"/>
          <w:sz w:val="30"/>
          <w:szCs w:val="30"/>
        </w:rPr>
      </w:pPr>
      <w:r>
        <w:rPr>
          <w:rFonts w:hint="eastAsia"/>
          <w:sz w:val="30"/>
          <w:szCs w:val="30"/>
        </w:rPr>
        <w:t>毫不奇怪，这样的解释使前千禧年论者大胆地设想一个大大改善的世界，一个与基督在地上同在和统治相称的世界：“千禧年是……一个普世和平、繁荣、长寿和公义盛行的时代。”2</w:t>
      </w:r>
    </w:p>
    <w:p w14:paraId="67EF7DE0">
      <w:pPr>
        <w:pStyle w:val="9"/>
        <w:spacing w:before="11"/>
        <w:ind w:left="0"/>
        <w:jc w:val="left"/>
        <w:rPr>
          <w:rFonts w:hint="eastAsia"/>
          <w:sz w:val="30"/>
          <w:szCs w:val="30"/>
        </w:rPr>
      </w:pPr>
    </w:p>
    <w:p w14:paraId="25A5585B">
      <w:pPr>
        <w:pStyle w:val="9"/>
        <w:spacing w:before="11"/>
        <w:ind w:left="0"/>
        <w:jc w:val="left"/>
        <w:rPr>
          <w:rFonts w:hint="eastAsia"/>
          <w:sz w:val="30"/>
          <w:szCs w:val="30"/>
        </w:rPr>
      </w:pPr>
      <w:r>
        <w:rPr>
          <w:rFonts w:hint="eastAsia"/>
          <w:sz w:val="30"/>
          <w:szCs w:val="30"/>
        </w:rPr>
        <w:t>It also emboldens them to poke fun at their amillennial brothers, asserting that if Satan is presently bound and imprisoned, he must be attached to a very long chain!</w:t>
      </w:r>
    </w:p>
    <w:p w14:paraId="5BF7C627">
      <w:pPr>
        <w:pStyle w:val="9"/>
        <w:spacing w:before="11"/>
        <w:ind w:left="0"/>
        <w:jc w:val="left"/>
        <w:rPr>
          <w:rFonts w:hint="eastAsia"/>
          <w:sz w:val="30"/>
          <w:szCs w:val="30"/>
        </w:rPr>
      </w:pPr>
      <w:r>
        <w:rPr>
          <w:rFonts w:hint="eastAsia"/>
          <w:sz w:val="30"/>
          <w:szCs w:val="30"/>
        </w:rPr>
        <w:t>这也使他们大胆地取笑他们的无千禧年论弟兄，断言如果撒但现在被捆绑和监禁，他必定被拴在一条很长的链子上！</w:t>
      </w:r>
    </w:p>
    <w:p w14:paraId="477F7427">
      <w:pPr>
        <w:pStyle w:val="9"/>
        <w:spacing w:before="11"/>
        <w:ind w:left="0"/>
        <w:jc w:val="left"/>
        <w:rPr>
          <w:rFonts w:hint="eastAsia"/>
          <w:sz w:val="30"/>
          <w:szCs w:val="30"/>
        </w:rPr>
      </w:pPr>
    </w:p>
    <w:p w14:paraId="20477E1C">
      <w:pPr>
        <w:pStyle w:val="9"/>
        <w:spacing w:before="11"/>
        <w:ind w:left="0"/>
        <w:jc w:val="left"/>
        <w:rPr>
          <w:rFonts w:hint="eastAsia"/>
          <w:sz w:val="30"/>
          <w:szCs w:val="30"/>
        </w:rPr>
      </w:pPr>
      <w:r>
        <w:rPr>
          <w:rFonts w:hint="eastAsia"/>
          <w:sz w:val="30"/>
          <w:szCs w:val="30"/>
        </w:rPr>
        <w:t>It is easy to see, however, that the literal approach has weighty problems of its own, and not a few.</w:t>
      </w:r>
    </w:p>
    <w:p w14:paraId="3A6F82F6">
      <w:pPr>
        <w:pStyle w:val="9"/>
        <w:spacing w:before="11"/>
        <w:ind w:left="0"/>
        <w:jc w:val="left"/>
        <w:rPr>
          <w:rFonts w:hint="eastAsia"/>
          <w:sz w:val="30"/>
          <w:szCs w:val="30"/>
        </w:rPr>
      </w:pPr>
      <w:r>
        <w:rPr>
          <w:rFonts w:hint="eastAsia"/>
          <w:sz w:val="30"/>
          <w:szCs w:val="30"/>
        </w:rPr>
        <w:t>然而，很容易看出，字面解释方法本身有其严重的问题，而且不止一些。</w:t>
      </w:r>
    </w:p>
    <w:p w14:paraId="3A17426A">
      <w:pPr>
        <w:pStyle w:val="9"/>
        <w:spacing w:before="11"/>
        <w:ind w:left="0"/>
        <w:jc w:val="left"/>
        <w:rPr>
          <w:rFonts w:hint="eastAsia"/>
          <w:sz w:val="30"/>
          <w:szCs w:val="30"/>
        </w:rPr>
      </w:pPr>
    </w:p>
    <w:p w14:paraId="5A76BE95">
      <w:pPr>
        <w:pStyle w:val="9"/>
        <w:spacing w:before="11"/>
        <w:ind w:left="0"/>
        <w:jc w:val="left"/>
        <w:rPr>
          <w:rFonts w:hint="eastAsia"/>
          <w:sz w:val="30"/>
          <w:szCs w:val="30"/>
        </w:rPr>
      </w:pPr>
      <w:r>
        <w:rPr>
          <w:rFonts w:hint="eastAsia"/>
          <w:sz w:val="30"/>
          <w:szCs w:val="30"/>
        </w:rPr>
        <w:t>Yes, there is indeed such a place as the abyss (Luke 8:31), just as there are also such things as keys and chains.</w:t>
      </w:r>
    </w:p>
    <w:p w14:paraId="3CDD6386">
      <w:pPr>
        <w:pStyle w:val="9"/>
        <w:spacing w:before="11"/>
        <w:ind w:left="0"/>
        <w:jc w:val="left"/>
        <w:rPr>
          <w:rFonts w:hint="eastAsia"/>
          <w:sz w:val="30"/>
          <w:szCs w:val="30"/>
        </w:rPr>
      </w:pPr>
      <w:r>
        <w:rPr>
          <w:rFonts w:hint="eastAsia"/>
          <w:sz w:val="30"/>
          <w:szCs w:val="30"/>
        </w:rPr>
        <w:t>是的，确实有无底坑这样的地方（路加福音8:31），正如也有钥匙和链子这样的东西。</w:t>
      </w:r>
    </w:p>
    <w:p w14:paraId="15BD52C1">
      <w:pPr>
        <w:pStyle w:val="9"/>
        <w:spacing w:before="11"/>
        <w:ind w:left="0"/>
        <w:jc w:val="left"/>
        <w:rPr>
          <w:rFonts w:hint="eastAsia"/>
          <w:sz w:val="30"/>
          <w:szCs w:val="30"/>
        </w:rPr>
      </w:pPr>
    </w:p>
    <w:p w14:paraId="579B892A">
      <w:pPr>
        <w:pStyle w:val="9"/>
        <w:spacing w:before="11"/>
        <w:ind w:left="0"/>
        <w:jc w:val="left"/>
        <w:rPr>
          <w:rFonts w:hint="eastAsia"/>
          <w:sz w:val="30"/>
          <w:szCs w:val="30"/>
        </w:rPr>
      </w:pPr>
      <w:r>
        <w:rPr>
          <w:rFonts w:hint="eastAsia"/>
          <w:sz w:val="30"/>
          <w:szCs w:val="30"/>
        </w:rPr>
        <w:t>But do we really want to say that the key in the angel’s hand is literal, rather than a symbol of God-given authority; or that the chain is literal, rather than a symbol of divine power?</w:t>
      </w:r>
    </w:p>
    <w:p w14:paraId="6BA4BF95">
      <w:pPr>
        <w:pStyle w:val="9"/>
        <w:spacing w:before="11"/>
        <w:ind w:left="0"/>
        <w:jc w:val="left"/>
        <w:rPr>
          <w:rFonts w:hint="eastAsia"/>
          <w:sz w:val="30"/>
          <w:szCs w:val="30"/>
        </w:rPr>
      </w:pPr>
      <w:r>
        <w:rPr>
          <w:rFonts w:hint="eastAsia"/>
          <w:sz w:val="30"/>
          <w:szCs w:val="30"/>
        </w:rPr>
        <w:t>但我们真的想说天使手中的钥匙是字面意义上的，而不是上帝所赐权柄的象征吗；或者说链子是字面意义上的，而不是神圣能力的象征吗？</w:t>
      </w:r>
    </w:p>
    <w:p w14:paraId="0BFE9224">
      <w:pPr>
        <w:pStyle w:val="9"/>
        <w:spacing w:before="11"/>
        <w:ind w:left="0"/>
        <w:jc w:val="left"/>
        <w:rPr>
          <w:rFonts w:hint="eastAsia"/>
          <w:sz w:val="30"/>
          <w:szCs w:val="30"/>
        </w:rPr>
      </w:pPr>
    </w:p>
    <w:p w14:paraId="073458EA">
      <w:pPr>
        <w:pStyle w:val="9"/>
        <w:spacing w:before="11"/>
        <w:ind w:left="0"/>
        <w:jc w:val="left"/>
        <w:rPr>
          <w:rFonts w:hint="eastAsia"/>
          <w:sz w:val="30"/>
          <w:szCs w:val="30"/>
        </w:rPr>
      </w:pPr>
      <w:r>
        <w:rPr>
          <w:rFonts w:hint="eastAsia"/>
          <w:sz w:val="30"/>
          <w:szCs w:val="30"/>
        </w:rPr>
        <w:t>Also, how exactly would an angel shut the abyss, or seal it over the devil’s head?</w:t>
      </w:r>
    </w:p>
    <w:p w14:paraId="00CFAA74">
      <w:pPr>
        <w:pStyle w:val="9"/>
        <w:spacing w:before="11"/>
        <w:ind w:left="0"/>
        <w:jc w:val="left"/>
        <w:rPr>
          <w:rFonts w:hint="eastAsia"/>
          <w:sz w:val="30"/>
          <w:szCs w:val="30"/>
        </w:rPr>
      </w:pPr>
      <w:r>
        <w:rPr>
          <w:rFonts w:hint="eastAsia"/>
          <w:sz w:val="30"/>
          <w:szCs w:val="30"/>
        </w:rPr>
        <w:t>还有，天使究竟如何关闭无底坑，或在魔鬼头上封上印呢？</w:t>
      </w:r>
    </w:p>
    <w:p w14:paraId="6B46E129">
      <w:pPr>
        <w:pStyle w:val="9"/>
        <w:spacing w:before="11"/>
        <w:ind w:left="0"/>
        <w:jc w:val="left"/>
        <w:rPr>
          <w:rFonts w:hint="eastAsia"/>
          <w:sz w:val="30"/>
          <w:szCs w:val="30"/>
        </w:rPr>
      </w:pPr>
    </w:p>
    <w:p w14:paraId="64156DC4">
      <w:pPr>
        <w:pStyle w:val="9"/>
        <w:spacing w:before="11"/>
        <w:ind w:left="0"/>
        <w:jc w:val="left"/>
        <w:rPr>
          <w:rFonts w:hint="eastAsia"/>
          <w:sz w:val="30"/>
          <w:szCs w:val="30"/>
        </w:rPr>
      </w:pPr>
      <w:r>
        <w:rPr>
          <w:rFonts w:hint="eastAsia"/>
          <w:sz w:val="30"/>
          <w:szCs w:val="30"/>
        </w:rPr>
        <w:t>Clearly, we are dealing here with a spiritual event befalling a spiritual being or beings.</w:t>
      </w:r>
    </w:p>
    <w:p w14:paraId="328493FE">
      <w:pPr>
        <w:pStyle w:val="9"/>
        <w:spacing w:before="11"/>
        <w:ind w:left="0"/>
        <w:jc w:val="left"/>
        <w:rPr>
          <w:rFonts w:hint="eastAsia"/>
          <w:sz w:val="30"/>
          <w:szCs w:val="30"/>
        </w:rPr>
      </w:pPr>
      <w:r>
        <w:rPr>
          <w:rFonts w:hint="eastAsia"/>
          <w:sz w:val="30"/>
          <w:szCs w:val="30"/>
        </w:rPr>
        <w:t>显然，我们在这里处理的是一个临到属灵存在或存在们的属灵事件。</w:t>
      </w:r>
    </w:p>
    <w:p w14:paraId="3DDDA890">
      <w:pPr>
        <w:pStyle w:val="9"/>
        <w:spacing w:before="11"/>
        <w:ind w:left="0"/>
        <w:jc w:val="left"/>
        <w:rPr>
          <w:rFonts w:hint="eastAsia"/>
          <w:sz w:val="30"/>
          <w:szCs w:val="30"/>
        </w:rPr>
      </w:pPr>
    </w:p>
    <w:p w14:paraId="2DA9566C">
      <w:pPr>
        <w:pStyle w:val="9"/>
        <w:spacing w:before="11"/>
        <w:ind w:left="0"/>
        <w:jc w:val="left"/>
        <w:rPr>
          <w:rFonts w:hint="eastAsia"/>
          <w:sz w:val="30"/>
          <w:szCs w:val="30"/>
        </w:rPr>
      </w:pPr>
      <w:r>
        <w:rPr>
          <w:rFonts w:hint="eastAsia"/>
          <w:sz w:val="30"/>
          <w:szCs w:val="30"/>
        </w:rPr>
        <w:t>Therefore, we must try to discern the spiritual meaning behind the physical imagery used to convey it.</w:t>
      </w:r>
    </w:p>
    <w:p w14:paraId="48EB95CC">
      <w:pPr>
        <w:pStyle w:val="9"/>
        <w:spacing w:before="11"/>
        <w:ind w:left="0"/>
        <w:jc w:val="left"/>
        <w:rPr>
          <w:rFonts w:hint="eastAsia"/>
          <w:sz w:val="30"/>
          <w:szCs w:val="30"/>
        </w:rPr>
      </w:pPr>
      <w:r>
        <w:rPr>
          <w:rFonts w:hint="eastAsia"/>
          <w:sz w:val="30"/>
          <w:szCs w:val="30"/>
        </w:rPr>
        <w:t>因此，我们必须努力辨别用来传达它的物质意象背后的属灵意义。</w:t>
      </w:r>
    </w:p>
    <w:p w14:paraId="6B040DD2">
      <w:pPr>
        <w:pStyle w:val="9"/>
        <w:spacing w:before="11"/>
        <w:ind w:left="0"/>
        <w:jc w:val="left"/>
        <w:rPr>
          <w:rFonts w:hint="eastAsia"/>
          <w:sz w:val="30"/>
          <w:szCs w:val="30"/>
        </w:rPr>
      </w:pPr>
    </w:p>
    <w:p w14:paraId="3A709B47">
      <w:pPr>
        <w:pStyle w:val="9"/>
        <w:spacing w:before="11"/>
        <w:ind w:left="0"/>
        <w:jc w:val="left"/>
        <w:rPr>
          <w:rFonts w:hint="eastAsia"/>
          <w:sz w:val="30"/>
          <w:szCs w:val="30"/>
        </w:rPr>
      </w:pPr>
      <w:r>
        <w:rPr>
          <w:rFonts w:hint="eastAsia"/>
          <w:sz w:val="30"/>
          <w:szCs w:val="30"/>
        </w:rPr>
        <w:t>Moreover, we must do so consistently.</w:t>
      </w:r>
    </w:p>
    <w:p w14:paraId="263CA176">
      <w:pPr>
        <w:pStyle w:val="9"/>
        <w:spacing w:before="11"/>
        <w:ind w:left="0"/>
        <w:jc w:val="left"/>
        <w:rPr>
          <w:rFonts w:hint="eastAsia"/>
          <w:sz w:val="30"/>
          <w:szCs w:val="30"/>
        </w:rPr>
      </w:pPr>
      <w:r>
        <w:rPr>
          <w:rFonts w:hint="eastAsia"/>
          <w:sz w:val="30"/>
          <w:szCs w:val="30"/>
        </w:rPr>
        <w:t>此外，我们必须始终如一地这样做。</w:t>
      </w:r>
    </w:p>
    <w:p w14:paraId="3788D3EC">
      <w:pPr>
        <w:pStyle w:val="9"/>
        <w:spacing w:before="11"/>
        <w:ind w:left="0"/>
        <w:jc w:val="left"/>
        <w:rPr>
          <w:rFonts w:hint="eastAsia"/>
          <w:sz w:val="30"/>
          <w:szCs w:val="30"/>
        </w:rPr>
      </w:pPr>
    </w:p>
    <w:p w14:paraId="7DC0B70D">
      <w:pPr>
        <w:pStyle w:val="9"/>
        <w:spacing w:before="11"/>
        <w:ind w:left="0"/>
        <w:jc w:val="left"/>
        <w:rPr>
          <w:rFonts w:hint="eastAsia"/>
          <w:sz w:val="30"/>
          <w:szCs w:val="30"/>
        </w:rPr>
      </w:pPr>
      <w:r>
        <w:rPr>
          <w:rFonts w:hint="eastAsia"/>
          <w:sz w:val="30"/>
          <w:szCs w:val="30"/>
        </w:rPr>
        <w:t>If the key is a symbol, and the chain is a symbol, then hermeneutical consistency requires us at least to ask if here the Spirit uses Satan himself as a symbol (e.g., of all the fallen angels, Satan included), or the abyss as a symbol (e.g., of spiritual imprisonment, confinement, restraint), or the thousand years as a symbol (e.g., of the Era of Proclamation, in which Satan is indeed restrained as never before).</w:t>
      </w:r>
    </w:p>
    <w:p w14:paraId="582EED8F">
      <w:pPr>
        <w:pStyle w:val="9"/>
        <w:spacing w:before="11"/>
        <w:ind w:left="0"/>
        <w:jc w:val="left"/>
        <w:rPr>
          <w:rFonts w:hint="eastAsia"/>
          <w:sz w:val="30"/>
          <w:szCs w:val="30"/>
        </w:rPr>
      </w:pPr>
      <w:r>
        <w:rPr>
          <w:rFonts w:hint="eastAsia"/>
          <w:sz w:val="30"/>
          <w:szCs w:val="30"/>
        </w:rPr>
        <w:t>如果钥匙是一个象征，链子是一个象征，那么诠释学的一致性要求我们至少要问，圣灵在这里是否将撒但本身用作一个象征（例如，包括撒但在内的所有堕落天使），或将无底坑用作一个象征（例如，属灵的监禁、限制、约束），或将一千年用作一个象征（例如，宣讲时代，在此期间撒但确实受到了前所未有的约束）。</w:t>
      </w:r>
    </w:p>
    <w:p w14:paraId="11421513">
      <w:pPr>
        <w:pStyle w:val="9"/>
        <w:spacing w:before="11"/>
        <w:ind w:left="0"/>
        <w:jc w:val="left"/>
        <w:rPr>
          <w:rFonts w:hint="eastAsia"/>
          <w:sz w:val="30"/>
          <w:szCs w:val="30"/>
        </w:rPr>
      </w:pPr>
    </w:p>
    <w:p w14:paraId="0BBDBDF2">
      <w:pPr>
        <w:pStyle w:val="9"/>
        <w:spacing w:before="11"/>
        <w:ind w:left="0"/>
        <w:jc w:val="left"/>
        <w:rPr>
          <w:rFonts w:hint="eastAsia"/>
          <w:sz w:val="30"/>
          <w:szCs w:val="30"/>
        </w:rPr>
      </w:pPr>
      <w:r>
        <w:rPr>
          <w:rFonts w:hint="eastAsia"/>
          <w:sz w:val="30"/>
          <w:szCs w:val="30"/>
        </w:rPr>
        <w:t>It appears, then, that sensitivity not only to the literary genre of the Revelation, but also to the minutiae of the text itself, requires a symbolic interpretation along the lines given above.</w:t>
      </w:r>
    </w:p>
    <w:p w14:paraId="477C92AB">
      <w:pPr>
        <w:pStyle w:val="9"/>
        <w:spacing w:before="11"/>
        <w:ind w:left="0"/>
        <w:jc w:val="left"/>
        <w:rPr>
          <w:rFonts w:hint="eastAsia"/>
          <w:sz w:val="30"/>
          <w:szCs w:val="30"/>
        </w:rPr>
      </w:pPr>
      <w:r>
        <w:rPr>
          <w:rFonts w:hint="eastAsia"/>
          <w:sz w:val="30"/>
          <w:szCs w:val="30"/>
        </w:rPr>
        <w:t>因此，看来不仅对《启示录》的文学体裁，也对经文本身的细节保持敏感，都需要一种沿着上述思路的象征性解释。</w:t>
      </w:r>
    </w:p>
    <w:p w14:paraId="108838A0">
      <w:pPr>
        <w:pStyle w:val="9"/>
        <w:spacing w:before="11"/>
        <w:ind w:left="0"/>
        <w:jc w:val="left"/>
        <w:rPr>
          <w:rFonts w:hint="eastAsia"/>
          <w:sz w:val="30"/>
          <w:szCs w:val="30"/>
        </w:rPr>
      </w:pPr>
    </w:p>
    <w:p w14:paraId="61ABEA67">
      <w:pPr>
        <w:pStyle w:val="9"/>
        <w:spacing w:before="11"/>
        <w:ind w:left="0"/>
        <w:jc w:val="left"/>
        <w:rPr>
          <w:rFonts w:hint="eastAsia"/>
          <w:sz w:val="30"/>
          <w:szCs w:val="30"/>
        </w:rPr>
      </w:pPr>
      <w:r>
        <w:rPr>
          <w:rFonts w:hint="eastAsia"/>
          <w:sz w:val="30"/>
          <w:szCs w:val="30"/>
        </w:rPr>
        <w:t>If so, the message here is that throughout the “thousand years” God will restrain the activity of Satan and his demonic hosts, rather than remove it (and them) altogether.</w:t>
      </w:r>
    </w:p>
    <w:p w14:paraId="1E38E8E7">
      <w:pPr>
        <w:pStyle w:val="9"/>
        <w:spacing w:before="11"/>
        <w:ind w:left="0"/>
        <w:jc w:val="left"/>
        <w:rPr>
          <w:rFonts w:hint="eastAsia"/>
          <w:sz w:val="30"/>
          <w:szCs w:val="30"/>
        </w:rPr>
      </w:pPr>
      <w:r>
        <w:rPr>
          <w:rFonts w:hint="eastAsia"/>
          <w:sz w:val="30"/>
          <w:szCs w:val="30"/>
        </w:rPr>
        <w:t>如果是这样，这里的信息是，在整个“一千年”中，上帝将约束撒但及其魔鬼大军的活动，而不是完全移除它（和他们）。</w:t>
      </w:r>
    </w:p>
    <w:p w14:paraId="1F01A87A">
      <w:pPr>
        <w:pStyle w:val="9"/>
        <w:spacing w:before="11"/>
        <w:ind w:left="0"/>
        <w:jc w:val="left"/>
        <w:rPr>
          <w:rFonts w:hint="eastAsia"/>
          <w:sz w:val="30"/>
          <w:szCs w:val="30"/>
        </w:rPr>
      </w:pPr>
    </w:p>
    <w:p w14:paraId="4A310CEC">
      <w:pPr>
        <w:pStyle w:val="9"/>
        <w:spacing w:before="11"/>
        <w:ind w:left="0"/>
        <w:jc w:val="left"/>
        <w:rPr>
          <w:rFonts w:hint="eastAsia"/>
          <w:sz w:val="30"/>
          <w:szCs w:val="30"/>
        </w:rPr>
      </w:pPr>
      <w:r>
        <w:rPr>
          <w:rFonts w:hint="eastAsia"/>
          <w:sz w:val="30"/>
          <w:szCs w:val="30"/>
        </w:rPr>
        <w:t>Importantly, this approach corresponds very well to the world in which Christians now live.</w:t>
      </w:r>
    </w:p>
    <w:p w14:paraId="54ADF2D7">
      <w:pPr>
        <w:pStyle w:val="9"/>
        <w:spacing w:before="11"/>
        <w:ind w:left="0"/>
        <w:jc w:val="left"/>
        <w:rPr>
          <w:rFonts w:hint="eastAsia"/>
          <w:sz w:val="30"/>
          <w:szCs w:val="30"/>
        </w:rPr>
      </w:pPr>
      <w:r>
        <w:rPr>
          <w:rFonts w:hint="eastAsia"/>
          <w:sz w:val="30"/>
          <w:szCs w:val="30"/>
        </w:rPr>
        <w:t>重要的是，这种方法与基督徒现在生活的世界非常吻合。</w:t>
      </w:r>
    </w:p>
    <w:p w14:paraId="5A733A3D">
      <w:pPr>
        <w:pStyle w:val="9"/>
        <w:spacing w:before="11"/>
        <w:ind w:left="0"/>
        <w:jc w:val="left"/>
        <w:rPr>
          <w:rFonts w:hint="eastAsia"/>
          <w:sz w:val="30"/>
          <w:szCs w:val="30"/>
        </w:rPr>
      </w:pPr>
    </w:p>
    <w:p w14:paraId="0C2A3209">
      <w:pPr>
        <w:pStyle w:val="9"/>
        <w:spacing w:before="11"/>
        <w:ind w:left="0"/>
        <w:jc w:val="left"/>
        <w:rPr>
          <w:rFonts w:hint="eastAsia"/>
          <w:sz w:val="30"/>
          <w:szCs w:val="30"/>
        </w:rPr>
      </w:pPr>
      <w:r>
        <w:rPr>
          <w:rFonts w:hint="eastAsia"/>
          <w:sz w:val="30"/>
          <w:szCs w:val="30"/>
        </w:rPr>
        <w:t>On the one hand, it is a world in which Satan is present and active, sometimes painfully so (1 Peter 5:8).</w:t>
      </w:r>
    </w:p>
    <w:p w14:paraId="1867EE40">
      <w:pPr>
        <w:pStyle w:val="9"/>
        <w:spacing w:before="11"/>
        <w:ind w:left="0"/>
        <w:jc w:val="left"/>
        <w:rPr>
          <w:rFonts w:hint="eastAsia"/>
          <w:sz w:val="30"/>
          <w:szCs w:val="30"/>
        </w:rPr>
      </w:pPr>
      <w:r>
        <w:rPr>
          <w:rFonts w:hint="eastAsia"/>
          <w:sz w:val="30"/>
          <w:szCs w:val="30"/>
        </w:rPr>
        <w:t>一方面，这是一个撒但存在并活跃的世界，有时甚至令人痛苦（彼得前书5:8）。</w:t>
      </w:r>
    </w:p>
    <w:p w14:paraId="0D321B1B">
      <w:pPr>
        <w:pStyle w:val="9"/>
        <w:spacing w:before="11"/>
        <w:ind w:left="0"/>
        <w:jc w:val="left"/>
        <w:rPr>
          <w:rFonts w:hint="eastAsia"/>
          <w:sz w:val="30"/>
          <w:szCs w:val="30"/>
        </w:rPr>
      </w:pPr>
    </w:p>
    <w:p w14:paraId="5F850299">
      <w:pPr>
        <w:pStyle w:val="9"/>
        <w:spacing w:before="11"/>
        <w:ind w:left="0"/>
        <w:jc w:val="left"/>
        <w:rPr>
          <w:rFonts w:hint="eastAsia"/>
          <w:sz w:val="30"/>
          <w:szCs w:val="30"/>
        </w:rPr>
      </w:pPr>
      <w:r>
        <w:rPr>
          <w:rFonts w:hint="eastAsia"/>
          <w:sz w:val="30"/>
          <w:szCs w:val="30"/>
        </w:rPr>
        <w:t>On the other, it is also a world in which God does indeed restrain Satan, and has for two millennia, preventing him from achieving two of his most cherished goals: (1) deceiving all the nations by means of false religion and philosophy, so as to keep the whole world in the dark about the one true God and his plan of salvation, something he was allowed to do prior to the first advent of Christ and the completion of his redemptive work (20:3; Mt. 16:18, 24:14, Luke 4:4-6); and, (2) deceiving the nations so that he can summon and fashion an eschatological Beast capable of suppressing the missionary outreach of the Church and launching the Last Battle against the NT people of God (2 Thess. 2:6, Rev. 9:14, 16:12).</w:t>
      </w:r>
    </w:p>
    <w:p w14:paraId="0AFF1958">
      <w:pPr>
        <w:pStyle w:val="9"/>
        <w:spacing w:before="11"/>
        <w:ind w:left="0"/>
        <w:jc w:val="left"/>
        <w:rPr>
          <w:rFonts w:hint="eastAsia"/>
          <w:sz w:val="30"/>
          <w:szCs w:val="30"/>
        </w:rPr>
      </w:pPr>
      <w:r>
        <w:rPr>
          <w:rFonts w:hint="eastAsia"/>
          <w:sz w:val="30"/>
          <w:szCs w:val="30"/>
        </w:rPr>
        <w:t>另一方面，这也是一个上帝确实约束撒但的世界，并且已经这样做了两千年，阻止他实现他最珍视的两个目标：（1）通过假宗教和哲学欺骗所有国家，使全世界对独一真神和祂的救赎计划一无所知，这是在基督第一次降临和祂救赎工作完成之前允许他做的事情（20:3；太16:18, 24:14，路4:4-6）；以及（2）欺骗列国，使他能够召唤并塑造一个末世的兽，能够压制教会的宣教外展并对新约上帝的子民发动末日争战（帖后2:6，启9:14, 16:12）。</w:t>
      </w:r>
    </w:p>
    <w:p w14:paraId="4841DFD3">
      <w:pPr>
        <w:pStyle w:val="9"/>
        <w:spacing w:before="11"/>
        <w:ind w:left="0"/>
        <w:jc w:val="left"/>
        <w:rPr>
          <w:rFonts w:hint="eastAsia"/>
          <w:sz w:val="30"/>
          <w:szCs w:val="30"/>
        </w:rPr>
      </w:pPr>
    </w:p>
    <w:p w14:paraId="194FEFC1">
      <w:pPr>
        <w:pStyle w:val="9"/>
        <w:spacing w:before="11"/>
        <w:ind w:left="0"/>
        <w:jc w:val="left"/>
        <w:rPr>
          <w:rFonts w:hint="eastAsia"/>
          <w:sz w:val="30"/>
          <w:szCs w:val="30"/>
        </w:rPr>
      </w:pPr>
      <w:r>
        <w:rPr>
          <w:rFonts w:hint="eastAsia"/>
          <w:sz w:val="30"/>
          <w:szCs w:val="30"/>
        </w:rPr>
        <w:t>When we consult the rest of the Revelation, as well as related NT texts, we find that they consistently favor this more symbolic approach.</w:t>
      </w:r>
    </w:p>
    <w:p w14:paraId="27D5A7D0">
      <w:pPr>
        <w:pStyle w:val="9"/>
        <w:spacing w:before="11"/>
        <w:ind w:left="0"/>
        <w:jc w:val="left"/>
        <w:rPr>
          <w:rFonts w:hint="eastAsia"/>
          <w:sz w:val="30"/>
          <w:szCs w:val="30"/>
        </w:rPr>
      </w:pPr>
      <w:r>
        <w:rPr>
          <w:rFonts w:hint="eastAsia"/>
          <w:sz w:val="30"/>
          <w:szCs w:val="30"/>
        </w:rPr>
        <w:t>当我们查考《启示录》的其余部分以及相关的新约经文时，我们发现它们一致地支持这种更具象征性的方法。</w:t>
      </w:r>
    </w:p>
    <w:p w14:paraId="4FA8F752">
      <w:pPr>
        <w:pStyle w:val="9"/>
        <w:spacing w:before="11"/>
        <w:ind w:left="0"/>
        <w:jc w:val="left"/>
        <w:rPr>
          <w:rFonts w:hint="eastAsia"/>
          <w:sz w:val="30"/>
          <w:szCs w:val="30"/>
        </w:rPr>
      </w:pPr>
    </w:p>
    <w:p w14:paraId="17F82585">
      <w:pPr>
        <w:pStyle w:val="9"/>
        <w:spacing w:before="11"/>
        <w:ind w:left="0"/>
        <w:jc w:val="left"/>
        <w:rPr>
          <w:rFonts w:hint="eastAsia"/>
          <w:sz w:val="30"/>
          <w:szCs w:val="30"/>
        </w:rPr>
      </w:pPr>
      <w:r>
        <w:rPr>
          <w:rFonts w:hint="eastAsia"/>
          <w:sz w:val="30"/>
          <w:szCs w:val="30"/>
        </w:rPr>
        <w:t>On the one hand, neither of these two Scriptural witnesses says a single word about a future, intermediate stage of the Kingdom from which Satan has been temporarily banished.</w:t>
      </w:r>
    </w:p>
    <w:p w14:paraId="632C5A39">
      <w:pPr>
        <w:pStyle w:val="9"/>
        <w:spacing w:before="11"/>
        <w:ind w:left="0"/>
        <w:jc w:val="left"/>
        <w:rPr>
          <w:rFonts w:hint="eastAsia"/>
          <w:sz w:val="30"/>
          <w:szCs w:val="30"/>
        </w:rPr>
      </w:pPr>
      <w:r>
        <w:rPr>
          <w:rFonts w:hint="eastAsia"/>
          <w:sz w:val="30"/>
          <w:szCs w:val="30"/>
        </w:rPr>
        <w:t>一方面，这两处圣经见证都没有一句话提到国度未来的一个中间阶段，撒但会从其中被暂时驱逐。</w:t>
      </w:r>
    </w:p>
    <w:p w14:paraId="0320AED5">
      <w:pPr>
        <w:pStyle w:val="9"/>
        <w:spacing w:before="11"/>
        <w:ind w:left="0"/>
        <w:jc w:val="left"/>
        <w:rPr>
          <w:rFonts w:hint="eastAsia"/>
          <w:sz w:val="30"/>
          <w:szCs w:val="30"/>
        </w:rPr>
      </w:pPr>
    </w:p>
    <w:p w14:paraId="23905763">
      <w:pPr>
        <w:pStyle w:val="9"/>
        <w:spacing w:before="11"/>
        <w:ind w:left="0"/>
        <w:jc w:val="left"/>
        <w:rPr>
          <w:rFonts w:hint="eastAsia"/>
          <w:sz w:val="30"/>
          <w:szCs w:val="30"/>
        </w:rPr>
      </w:pPr>
      <w:r>
        <w:rPr>
          <w:rFonts w:hint="eastAsia"/>
          <w:sz w:val="30"/>
          <w:szCs w:val="30"/>
        </w:rPr>
        <w:t>On the other hand, they have a great deal to say about a world in which Satan has been temporarily restrained from deceiving God’s elect about the truth of the Gospel, and also from gathering “the inhabitants of the earth” to the Antichrist for a final spiritual and physical war against the Church.</w:t>
      </w:r>
    </w:p>
    <w:p w14:paraId="329FCCA2">
      <w:pPr>
        <w:pStyle w:val="9"/>
        <w:spacing w:before="11"/>
        <w:ind w:left="0"/>
        <w:jc w:val="left"/>
        <w:rPr>
          <w:rFonts w:hint="eastAsia"/>
          <w:sz w:val="30"/>
          <w:szCs w:val="30"/>
        </w:rPr>
      </w:pPr>
      <w:r>
        <w:rPr>
          <w:rFonts w:hint="eastAsia"/>
          <w:sz w:val="30"/>
          <w:szCs w:val="30"/>
        </w:rPr>
        <w:t>另一方面，它们有很多话要说，关于一个撒但被暂时约束，不能就福音的真理欺骗上帝选民的世界，也不能聚集“地上的居民”到敌基督那里，对教会发动一场最终的属灵和属物质的战争。</w:t>
      </w:r>
    </w:p>
    <w:p w14:paraId="6483DBC0">
      <w:pPr>
        <w:pStyle w:val="9"/>
        <w:spacing w:before="11"/>
        <w:ind w:left="0"/>
        <w:jc w:val="left"/>
        <w:rPr>
          <w:rFonts w:hint="eastAsia"/>
          <w:sz w:val="30"/>
          <w:szCs w:val="30"/>
        </w:rPr>
      </w:pPr>
    </w:p>
    <w:p w14:paraId="4EB11E8D">
      <w:pPr>
        <w:pStyle w:val="9"/>
        <w:spacing w:before="11"/>
        <w:ind w:left="0"/>
        <w:jc w:val="left"/>
        <w:rPr>
          <w:rFonts w:hint="eastAsia"/>
          <w:sz w:val="30"/>
          <w:szCs w:val="30"/>
        </w:rPr>
      </w:pPr>
      <w:r>
        <w:rPr>
          <w:rFonts w:hint="eastAsia"/>
          <w:sz w:val="30"/>
          <w:szCs w:val="30"/>
        </w:rPr>
        <w:t>Considering the importance of this question, let us pause for a moment to consider some of the more relevant NT passages.</w:t>
      </w:r>
    </w:p>
    <w:p w14:paraId="131C2FD6">
      <w:pPr>
        <w:pStyle w:val="9"/>
        <w:spacing w:before="11"/>
        <w:ind w:left="0"/>
        <w:jc w:val="left"/>
        <w:rPr>
          <w:rFonts w:hint="eastAsia"/>
          <w:sz w:val="30"/>
          <w:szCs w:val="30"/>
        </w:rPr>
      </w:pPr>
      <w:r>
        <w:rPr>
          <w:rFonts w:hint="eastAsia"/>
          <w:sz w:val="30"/>
          <w:szCs w:val="30"/>
        </w:rPr>
        <w:t>考虑到这个问题的重要性，让我们暂停一下，思考一些更相关的新约经文。</w:t>
      </w:r>
    </w:p>
    <w:p w14:paraId="7E23EC6C">
      <w:pPr>
        <w:pStyle w:val="9"/>
        <w:spacing w:before="11"/>
        <w:ind w:left="0"/>
        <w:jc w:val="left"/>
        <w:rPr>
          <w:rFonts w:hint="eastAsia"/>
          <w:sz w:val="30"/>
          <w:szCs w:val="30"/>
        </w:rPr>
      </w:pPr>
    </w:p>
    <w:p w14:paraId="34E4DFB3">
      <w:pPr>
        <w:pStyle w:val="9"/>
        <w:spacing w:before="11"/>
        <w:ind w:left="0"/>
        <w:jc w:val="left"/>
        <w:rPr>
          <w:rFonts w:hint="eastAsia"/>
          <w:sz w:val="30"/>
          <w:szCs w:val="30"/>
        </w:rPr>
      </w:pPr>
      <w:r>
        <w:rPr>
          <w:rFonts w:hint="eastAsia"/>
          <w:sz w:val="30"/>
          <w:szCs w:val="30"/>
        </w:rPr>
        <w:t>Beginning with the Revelation itself, we have seen that in a number of places the Spirit richly pictures the infallible worldwide spread of the Gospel throughout the Era of Proclamation.</w:t>
      </w:r>
    </w:p>
    <w:p w14:paraId="399C8FA5">
      <w:pPr>
        <w:pStyle w:val="9"/>
        <w:spacing w:before="11"/>
        <w:ind w:left="0"/>
        <w:jc w:val="left"/>
        <w:rPr>
          <w:rFonts w:hint="eastAsia"/>
          <w:sz w:val="30"/>
          <w:szCs w:val="30"/>
        </w:rPr>
      </w:pPr>
      <w:r>
        <w:rPr>
          <w:rFonts w:hint="eastAsia"/>
          <w:sz w:val="30"/>
          <w:szCs w:val="30"/>
        </w:rPr>
        <w:t>从《启示录》本身开始，我们已经看到，在许多地方，圣灵丰富地描绘了福音在整个宣讲时代中无误地在全世界传播。</w:t>
      </w:r>
    </w:p>
    <w:p w14:paraId="0C56580B">
      <w:pPr>
        <w:pStyle w:val="9"/>
        <w:spacing w:before="11"/>
        <w:ind w:left="0"/>
        <w:jc w:val="left"/>
        <w:rPr>
          <w:rFonts w:hint="eastAsia"/>
          <w:sz w:val="30"/>
          <w:szCs w:val="30"/>
        </w:rPr>
      </w:pPr>
    </w:p>
    <w:p w14:paraId="2AEF617D">
      <w:pPr>
        <w:pStyle w:val="9"/>
        <w:spacing w:before="11"/>
        <w:ind w:left="0"/>
        <w:jc w:val="left"/>
        <w:rPr>
          <w:rFonts w:hint="eastAsia"/>
          <w:sz w:val="30"/>
          <w:szCs w:val="30"/>
        </w:rPr>
      </w:pPr>
      <w:r>
        <w:rPr>
          <w:rFonts w:hint="eastAsia"/>
          <w:sz w:val="30"/>
          <w:szCs w:val="30"/>
        </w:rPr>
        <w:t>Even now the Rider upon his white horse is going forth into the earth, conquering and sure to conquer in the cause of the Gospel; and he has been doing so from the very beginning (6:2).</w:t>
      </w:r>
    </w:p>
    <w:p w14:paraId="74A3310A">
      <w:pPr>
        <w:pStyle w:val="9"/>
        <w:spacing w:before="11"/>
        <w:ind w:left="0"/>
        <w:jc w:val="left"/>
        <w:rPr>
          <w:rFonts w:hint="eastAsia"/>
          <w:sz w:val="30"/>
          <w:szCs w:val="30"/>
        </w:rPr>
      </w:pPr>
      <w:r>
        <w:rPr>
          <w:rFonts w:hint="eastAsia"/>
          <w:sz w:val="30"/>
          <w:szCs w:val="30"/>
        </w:rPr>
        <w:t>即使现在，那骑白马的也正进入世界，为福音的缘故胜了又要胜；并且祂从一开始就是这样做的（6:2）。</w:t>
      </w:r>
    </w:p>
    <w:p w14:paraId="610984F0">
      <w:pPr>
        <w:pStyle w:val="9"/>
        <w:spacing w:before="11"/>
        <w:ind w:left="0"/>
        <w:jc w:val="left"/>
        <w:rPr>
          <w:rFonts w:hint="eastAsia"/>
          <w:sz w:val="30"/>
          <w:szCs w:val="30"/>
        </w:rPr>
      </w:pPr>
    </w:p>
    <w:p w14:paraId="44083DDF">
      <w:pPr>
        <w:pStyle w:val="9"/>
        <w:spacing w:before="11"/>
        <w:ind w:left="0"/>
        <w:jc w:val="left"/>
        <w:rPr>
          <w:rFonts w:hint="eastAsia"/>
          <w:sz w:val="30"/>
          <w:szCs w:val="30"/>
        </w:rPr>
      </w:pPr>
      <w:r>
        <w:rPr>
          <w:rFonts w:hint="eastAsia"/>
          <w:sz w:val="30"/>
          <w:szCs w:val="30"/>
        </w:rPr>
        <w:t>Even now God is holding back the four winds of eschatological judgment (and conflict) until all his servants are sealed upon their foreheads; and he has been doing so from the very beginning (7:1-8).</w:t>
      </w:r>
    </w:p>
    <w:p w14:paraId="2112209E">
      <w:pPr>
        <w:pStyle w:val="9"/>
        <w:spacing w:before="11"/>
        <w:ind w:left="0"/>
        <w:jc w:val="left"/>
        <w:rPr>
          <w:rFonts w:hint="eastAsia"/>
          <w:sz w:val="30"/>
          <w:szCs w:val="30"/>
        </w:rPr>
      </w:pPr>
      <w:r>
        <w:rPr>
          <w:rFonts w:hint="eastAsia"/>
          <w:sz w:val="30"/>
          <w:szCs w:val="30"/>
        </w:rPr>
        <w:t>即使现在，上帝也正 удерживает四风的末世审判（和冲突），直到祂所有的仆人额上都受了印记；并且祂从一开始就是这样做的（7:1-8）。</w:t>
      </w:r>
    </w:p>
    <w:p w14:paraId="61E2F7D6">
      <w:pPr>
        <w:pStyle w:val="9"/>
        <w:spacing w:before="11"/>
        <w:ind w:left="0"/>
        <w:jc w:val="left"/>
        <w:rPr>
          <w:rFonts w:hint="eastAsia"/>
          <w:sz w:val="30"/>
          <w:szCs w:val="30"/>
        </w:rPr>
      </w:pPr>
    </w:p>
    <w:p w14:paraId="6B83D468">
      <w:pPr>
        <w:pStyle w:val="9"/>
        <w:spacing w:before="11"/>
        <w:ind w:left="0"/>
        <w:jc w:val="left"/>
        <w:rPr>
          <w:rFonts w:hint="eastAsia"/>
          <w:sz w:val="30"/>
          <w:szCs w:val="30"/>
        </w:rPr>
      </w:pPr>
      <w:r>
        <w:rPr>
          <w:rFonts w:hint="eastAsia"/>
          <w:sz w:val="30"/>
          <w:szCs w:val="30"/>
        </w:rPr>
        <w:t>Even now the powers of hell are restrained from moving the nations to join forces with the Beast in order to prosecute the Last Battle; and they have been thus restrained from the very beginning (9:14).</w:t>
      </w:r>
    </w:p>
    <w:p w14:paraId="47418ED4">
      <w:pPr>
        <w:pStyle w:val="9"/>
        <w:spacing w:before="11"/>
        <w:ind w:left="0"/>
        <w:jc w:val="left"/>
        <w:rPr>
          <w:rFonts w:hint="eastAsia"/>
          <w:sz w:val="30"/>
          <w:szCs w:val="30"/>
        </w:rPr>
      </w:pPr>
      <w:r>
        <w:rPr>
          <w:rFonts w:hint="eastAsia"/>
          <w:sz w:val="30"/>
          <w:szCs w:val="30"/>
        </w:rPr>
        <w:t>即使现在，地狱的权势也被约束，不能驱使列国与兽联合，以发动末日争战；它们从一开始就被如此约束（9:14）。</w:t>
      </w:r>
    </w:p>
    <w:p w14:paraId="4F30170D">
      <w:pPr>
        <w:pStyle w:val="9"/>
        <w:spacing w:before="11"/>
        <w:ind w:left="0"/>
        <w:jc w:val="left"/>
        <w:rPr>
          <w:rFonts w:hint="eastAsia"/>
          <w:sz w:val="30"/>
          <w:szCs w:val="30"/>
        </w:rPr>
      </w:pPr>
    </w:p>
    <w:p w14:paraId="284AA212">
      <w:pPr>
        <w:pStyle w:val="9"/>
        <w:spacing w:before="11"/>
        <w:ind w:left="0"/>
        <w:jc w:val="left"/>
        <w:rPr>
          <w:rFonts w:hint="eastAsia"/>
          <w:sz w:val="30"/>
          <w:szCs w:val="30"/>
        </w:rPr>
      </w:pPr>
      <w:r>
        <w:rPr>
          <w:rFonts w:hint="eastAsia"/>
          <w:sz w:val="30"/>
          <w:szCs w:val="30"/>
        </w:rPr>
        <w:t>Even now the Two Witnesses— measured for spiritual protection—are prophesying to the nations; and they have been doing so from the very beginning (11:1-6).</w:t>
      </w:r>
    </w:p>
    <w:p w14:paraId="067825A1">
      <w:pPr>
        <w:pStyle w:val="9"/>
        <w:spacing w:before="11"/>
        <w:ind w:left="0"/>
        <w:jc w:val="left"/>
        <w:rPr>
          <w:rFonts w:hint="eastAsia"/>
          <w:sz w:val="30"/>
          <w:szCs w:val="30"/>
        </w:rPr>
      </w:pPr>
      <w:r>
        <w:rPr>
          <w:rFonts w:hint="eastAsia"/>
          <w:sz w:val="30"/>
          <w:szCs w:val="30"/>
        </w:rPr>
        <w:t>即使现在，那两个为属灵保护而被量度的见证人，也正在向列国说预言；他们从一开始就是这样做的（11:1-6）。</w:t>
      </w:r>
    </w:p>
    <w:p w14:paraId="6656A2CB">
      <w:pPr>
        <w:pStyle w:val="9"/>
        <w:spacing w:before="11"/>
        <w:ind w:left="0"/>
        <w:jc w:val="left"/>
        <w:rPr>
          <w:rFonts w:hint="eastAsia"/>
          <w:sz w:val="30"/>
          <w:szCs w:val="30"/>
        </w:rPr>
      </w:pPr>
    </w:p>
    <w:p w14:paraId="513E3DB0">
      <w:pPr>
        <w:pStyle w:val="9"/>
        <w:spacing w:before="11"/>
        <w:ind w:left="0"/>
        <w:jc w:val="left"/>
        <w:rPr>
          <w:rFonts w:hint="eastAsia"/>
          <w:sz w:val="30"/>
          <w:szCs w:val="30"/>
        </w:rPr>
      </w:pPr>
      <w:r>
        <w:rPr>
          <w:rFonts w:hint="eastAsia"/>
          <w:sz w:val="30"/>
          <w:szCs w:val="30"/>
        </w:rPr>
        <w:t>Each of these texts depicts the infallible progress of the Gospel in the Era of Proclamation.</w:t>
      </w:r>
    </w:p>
    <w:p w14:paraId="3E1292C5">
      <w:pPr>
        <w:pStyle w:val="9"/>
        <w:spacing w:before="11"/>
        <w:ind w:left="0"/>
        <w:jc w:val="left"/>
        <w:rPr>
          <w:rFonts w:hint="eastAsia"/>
          <w:sz w:val="30"/>
          <w:szCs w:val="30"/>
        </w:rPr>
      </w:pPr>
      <w:r>
        <w:rPr>
          <w:rFonts w:hint="eastAsia"/>
          <w:sz w:val="30"/>
          <w:szCs w:val="30"/>
        </w:rPr>
        <w:t>这些经文中的每一处都描绘了福音在宣讲时代中无误的进展。</w:t>
      </w:r>
    </w:p>
    <w:p w14:paraId="5F136981">
      <w:pPr>
        <w:pStyle w:val="9"/>
        <w:spacing w:before="11"/>
        <w:ind w:left="0"/>
        <w:jc w:val="left"/>
        <w:rPr>
          <w:rFonts w:hint="eastAsia"/>
          <w:sz w:val="30"/>
          <w:szCs w:val="30"/>
        </w:rPr>
      </w:pPr>
    </w:p>
    <w:p w14:paraId="2DA21ADB">
      <w:pPr>
        <w:pStyle w:val="9"/>
        <w:spacing w:before="11"/>
        <w:ind w:left="0"/>
        <w:jc w:val="left"/>
        <w:rPr>
          <w:rFonts w:hint="eastAsia"/>
          <w:sz w:val="30"/>
          <w:szCs w:val="30"/>
        </w:rPr>
      </w:pPr>
      <w:r>
        <w:rPr>
          <w:rFonts w:hint="eastAsia"/>
          <w:sz w:val="30"/>
          <w:szCs w:val="30"/>
        </w:rPr>
        <w:t>Why is that progress so certain?</w:t>
      </w:r>
    </w:p>
    <w:p w14:paraId="1C91261A">
      <w:pPr>
        <w:pStyle w:val="9"/>
        <w:spacing w:before="11"/>
        <w:ind w:left="0"/>
        <w:jc w:val="left"/>
        <w:rPr>
          <w:rFonts w:hint="eastAsia"/>
          <w:sz w:val="30"/>
          <w:szCs w:val="30"/>
        </w:rPr>
      </w:pPr>
      <w:r>
        <w:rPr>
          <w:rFonts w:hint="eastAsia"/>
          <w:sz w:val="30"/>
          <w:szCs w:val="30"/>
        </w:rPr>
        <w:t>为何那进展如此确定？</w:t>
      </w:r>
    </w:p>
    <w:p w14:paraId="6A95FBF1">
      <w:pPr>
        <w:pStyle w:val="9"/>
        <w:spacing w:before="11"/>
        <w:ind w:left="0"/>
        <w:jc w:val="left"/>
        <w:rPr>
          <w:rFonts w:hint="eastAsia"/>
          <w:sz w:val="30"/>
          <w:szCs w:val="30"/>
        </w:rPr>
      </w:pPr>
    </w:p>
    <w:p w14:paraId="7A2B5030">
      <w:pPr>
        <w:pStyle w:val="9"/>
        <w:spacing w:before="11"/>
        <w:ind w:left="0"/>
        <w:jc w:val="left"/>
        <w:rPr>
          <w:rFonts w:hint="eastAsia"/>
          <w:sz w:val="30"/>
          <w:szCs w:val="30"/>
        </w:rPr>
      </w:pPr>
      <w:r>
        <w:rPr>
          <w:rFonts w:hint="eastAsia"/>
          <w:sz w:val="30"/>
          <w:szCs w:val="30"/>
        </w:rPr>
        <w:t>Because even now Satan is bound from deceiving the nations; and he has been from the very beginning!</w:t>
      </w:r>
    </w:p>
    <w:p w14:paraId="35629AB7">
      <w:pPr>
        <w:pStyle w:val="9"/>
        <w:spacing w:before="11"/>
        <w:ind w:left="0"/>
        <w:jc w:val="left"/>
        <w:rPr>
          <w:rFonts w:hint="eastAsia"/>
          <w:sz w:val="30"/>
          <w:szCs w:val="30"/>
        </w:rPr>
      </w:pPr>
      <w:r>
        <w:rPr>
          <w:rFonts w:hint="eastAsia"/>
          <w:sz w:val="30"/>
          <w:szCs w:val="30"/>
        </w:rPr>
        <w:t>因为即使现在，撒但也被捆绑，不能迷惑列国；他从一开始就被捆绑了！</w:t>
      </w:r>
    </w:p>
    <w:p w14:paraId="3E008846">
      <w:pPr>
        <w:pStyle w:val="9"/>
        <w:spacing w:before="11"/>
        <w:ind w:left="0"/>
        <w:jc w:val="left"/>
        <w:rPr>
          <w:rFonts w:hint="eastAsia"/>
          <w:sz w:val="30"/>
          <w:szCs w:val="30"/>
        </w:rPr>
      </w:pPr>
    </w:p>
    <w:p w14:paraId="67260264">
      <w:pPr>
        <w:pStyle w:val="9"/>
        <w:spacing w:before="11"/>
        <w:ind w:left="0"/>
        <w:jc w:val="left"/>
        <w:rPr>
          <w:rFonts w:hint="eastAsia"/>
          <w:sz w:val="30"/>
          <w:szCs w:val="30"/>
        </w:rPr>
      </w:pPr>
      <w:r>
        <w:rPr>
          <w:rFonts w:hint="eastAsia"/>
          <w:sz w:val="30"/>
          <w:szCs w:val="30"/>
        </w:rPr>
        <w:t>In this connection, we must not fail to pay special attention to Revelation 12, a chapter that runs closely parallel to our text at many points.</w:t>
      </w:r>
    </w:p>
    <w:p w14:paraId="699839E4">
      <w:pPr>
        <w:pStyle w:val="9"/>
        <w:spacing w:before="11"/>
        <w:ind w:left="0"/>
        <w:jc w:val="left"/>
        <w:rPr>
          <w:rFonts w:hint="eastAsia"/>
          <w:sz w:val="30"/>
          <w:szCs w:val="30"/>
        </w:rPr>
      </w:pPr>
      <w:r>
        <w:rPr>
          <w:rFonts w:hint="eastAsia"/>
          <w:sz w:val="30"/>
          <w:szCs w:val="30"/>
        </w:rPr>
        <w:t>在这方面，我们绝不能不特别注意《启示录》第12章，这一章在许多方面都与我们的经文密切平行。</w:t>
      </w:r>
    </w:p>
    <w:p w14:paraId="5D9A6282">
      <w:pPr>
        <w:pStyle w:val="9"/>
        <w:spacing w:before="11"/>
        <w:ind w:left="0"/>
        <w:jc w:val="left"/>
        <w:rPr>
          <w:rFonts w:hint="eastAsia"/>
          <w:sz w:val="30"/>
          <w:szCs w:val="30"/>
        </w:rPr>
      </w:pPr>
    </w:p>
    <w:p w14:paraId="1C3234A8">
      <w:pPr>
        <w:pStyle w:val="9"/>
        <w:spacing w:before="11"/>
        <w:ind w:left="0"/>
        <w:jc w:val="left"/>
        <w:rPr>
          <w:rFonts w:hint="eastAsia"/>
          <w:sz w:val="30"/>
          <w:szCs w:val="30"/>
        </w:rPr>
      </w:pPr>
      <w:r>
        <w:rPr>
          <w:rFonts w:hint="eastAsia"/>
          <w:sz w:val="30"/>
          <w:szCs w:val="30"/>
        </w:rPr>
        <w:t>There we first read of the exaltation of Christ, which occurred at the beginning of the Era of Proclamation (12:1-6).</w:t>
      </w:r>
    </w:p>
    <w:p w14:paraId="657E4E7B">
      <w:pPr>
        <w:pStyle w:val="9"/>
        <w:spacing w:before="11"/>
        <w:ind w:left="0"/>
        <w:jc w:val="left"/>
        <w:rPr>
          <w:rFonts w:hint="eastAsia"/>
          <w:sz w:val="30"/>
          <w:szCs w:val="30"/>
        </w:rPr>
      </w:pPr>
      <w:r>
        <w:rPr>
          <w:rFonts w:hint="eastAsia"/>
          <w:sz w:val="30"/>
          <w:szCs w:val="30"/>
        </w:rPr>
        <w:t>在那里，我们首先读到基督的被高举，这发生在宣讲时代的开始（12:1-6）。</w:t>
      </w:r>
    </w:p>
    <w:p w14:paraId="5FF34079">
      <w:pPr>
        <w:pStyle w:val="9"/>
        <w:spacing w:before="11"/>
        <w:ind w:left="0"/>
        <w:jc w:val="left"/>
        <w:rPr>
          <w:rFonts w:hint="eastAsia"/>
          <w:sz w:val="30"/>
          <w:szCs w:val="30"/>
        </w:rPr>
      </w:pPr>
    </w:p>
    <w:p w14:paraId="2CA9292A">
      <w:pPr>
        <w:pStyle w:val="9"/>
        <w:spacing w:before="11"/>
        <w:ind w:left="0"/>
        <w:jc w:val="left"/>
        <w:rPr>
          <w:rFonts w:hint="eastAsia"/>
          <w:sz w:val="30"/>
          <w:szCs w:val="30"/>
        </w:rPr>
      </w:pPr>
      <w:r>
        <w:rPr>
          <w:rFonts w:hint="eastAsia"/>
          <w:sz w:val="30"/>
          <w:szCs w:val="30"/>
        </w:rPr>
        <w:t>Then we read of a great spiritual war that immediately ensued, a war in which Satan—the deceiver of the whole world—is cast down to the earth (12:7-9).</w:t>
      </w:r>
    </w:p>
    <w:p w14:paraId="56ED3B99">
      <w:pPr>
        <w:pStyle w:val="9"/>
        <w:spacing w:before="11"/>
        <w:ind w:left="0"/>
        <w:jc w:val="left"/>
        <w:rPr>
          <w:rFonts w:hint="eastAsia"/>
          <w:sz w:val="30"/>
          <w:szCs w:val="30"/>
        </w:rPr>
      </w:pPr>
      <w:r>
        <w:rPr>
          <w:rFonts w:hint="eastAsia"/>
          <w:sz w:val="30"/>
          <w:szCs w:val="30"/>
        </w:rPr>
        <w:t>然后我们读到一场紧随其后的巨大属灵争战，在这场战争中，撒但——那迷惑普天下的——被摔在地上（12:7-9）。</w:t>
      </w:r>
    </w:p>
    <w:p w14:paraId="63B72E0A">
      <w:pPr>
        <w:pStyle w:val="9"/>
        <w:spacing w:before="11"/>
        <w:ind w:left="0"/>
        <w:jc w:val="left"/>
        <w:rPr>
          <w:rFonts w:hint="eastAsia"/>
          <w:sz w:val="30"/>
          <w:szCs w:val="30"/>
        </w:rPr>
      </w:pPr>
    </w:p>
    <w:p w14:paraId="339038D7">
      <w:pPr>
        <w:pStyle w:val="9"/>
        <w:spacing w:before="11"/>
        <w:ind w:left="0"/>
        <w:jc w:val="left"/>
        <w:rPr>
          <w:rFonts w:hint="eastAsia"/>
          <w:sz w:val="30"/>
          <w:szCs w:val="30"/>
        </w:rPr>
      </w:pPr>
      <w:r>
        <w:rPr>
          <w:rFonts w:hint="eastAsia"/>
          <w:sz w:val="30"/>
          <w:szCs w:val="30"/>
        </w:rPr>
        <w:t>As I argued earlier, these three verses picture the progressive collapse of Satan’s worldwide Kingdom throughout the entire Era of Proclamation.</w:t>
      </w:r>
    </w:p>
    <w:p w14:paraId="15F15969">
      <w:pPr>
        <w:pStyle w:val="9"/>
        <w:spacing w:before="11"/>
        <w:ind w:left="0"/>
        <w:jc w:val="left"/>
        <w:rPr>
          <w:rFonts w:hint="eastAsia"/>
          <w:sz w:val="30"/>
          <w:szCs w:val="30"/>
        </w:rPr>
      </w:pPr>
      <w:r>
        <w:rPr>
          <w:rFonts w:hint="eastAsia"/>
          <w:sz w:val="30"/>
          <w:szCs w:val="30"/>
        </w:rPr>
        <w:t>正如我先前所论证的，这三节经文描绘了在整个宣讲时代中撒但全球性国度的逐步崩溃。</w:t>
      </w:r>
    </w:p>
    <w:p w14:paraId="64B30DB7">
      <w:pPr>
        <w:pStyle w:val="9"/>
        <w:spacing w:before="11"/>
        <w:ind w:left="0"/>
        <w:jc w:val="left"/>
        <w:rPr>
          <w:rFonts w:hint="eastAsia"/>
          <w:sz w:val="30"/>
          <w:szCs w:val="30"/>
        </w:rPr>
      </w:pPr>
    </w:p>
    <w:p w14:paraId="3E214EE1">
      <w:pPr>
        <w:pStyle w:val="9"/>
        <w:spacing w:before="11"/>
        <w:ind w:left="0"/>
        <w:jc w:val="left"/>
        <w:rPr>
          <w:rFonts w:hint="eastAsia"/>
          <w:sz w:val="30"/>
          <w:szCs w:val="30"/>
        </w:rPr>
      </w:pPr>
      <w:r>
        <w:rPr>
          <w:rFonts w:hint="eastAsia"/>
          <w:sz w:val="30"/>
          <w:szCs w:val="30"/>
        </w:rPr>
        <w:t>Because of the preaching of the Gospel, he is no longer able to deceive the elect of all nations about the identity of the true God, or about the way back into fellowship with Him.</w:t>
      </w:r>
    </w:p>
    <w:p w14:paraId="523E3961">
      <w:pPr>
        <w:pStyle w:val="9"/>
        <w:spacing w:before="11"/>
        <w:ind w:left="0"/>
        <w:jc w:val="left"/>
        <w:rPr>
          <w:rFonts w:hint="eastAsia"/>
          <w:sz w:val="30"/>
          <w:szCs w:val="30"/>
        </w:rPr>
      </w:pPr>
      <w:r>
        <w:rPr>
          <w:rFonts w:hint="eastAsia"/>
          <w:sz w:val="30"/>
          <w:szCs w:val="30"/>
        </w:rPr>
        <w:t>因为福音的宣讲，他不再能够就真神的身份，或就回到与祂相交的道路上，欺骗所有国家的选民。</w:t>
      </w:r>
    </w:p>
    <w:p w14:paraId="2C47E318">
      <w:pPr>
        <w:pStyle w:val="9"/>
        <w:spacing w:before="11"/>
        <w:ind w:left="0"/>
        <w:jc w:val="left"/>
        <w:rPr>
          <w:rFonts w:hint="eastAsia"/>
          <w:sz w:val="30"/>
          <w:szCs w:val="30"/>
        </w:rPr>
      </w:pPr>
    </w:p>
    <w:p w14:paraId="186FAF24">
      <w:pPr>
        <w:pStyle w:val="9"/>
        <w:spacing w:before="11"/>
        <w:ind w:left="0"/>
        <w:jc w:val="left"/>
        <w:rPr>
          <w:rFonts w:hint="eastAsia"/>
          <w:sz w:val="30"/>
          <w:szCs w:val="30"/>
        </w:rPr>
      </w:pPr>
      <w:r>
        <w:rPr>
          <w:rFonts w:hint="eastAsia"/>
          <w:sz w:val="30"/>
          <w:szCs w:val="30"/>
        </w:rPr>
        <w:t>This is confirmed by 12:10-12, which announces the advent and infallible progress of (the first stage of) Christ’s Kingdom through the faithful testimony of the saints.</w:t>
      </w:r>
    </w:p>
    <w:p w14:paraId="4417718E">
      <w:pPr>
        <w:pStyle w:val="9"/>
        <w:spacing w:before="11"/>
        <w:ind w:left="0"/>
        <w:jc w:val="left"/>
        <w:rPr>
          <w:rFonts w:hint="eastAsia"/>
          <w:sz w:val="30"/>
          <w:szCs w:val="30"/>
        </w:rPr>
      </w:pPr>
      <w:r>
        <w:rPr>
          <w:rFonts w:hint="eastAsia"/>
          <w:sz w:val="30"/>
          <w:szCs w:val="30"/>
        </w:rPr>
        <w:t>这由12:10-12所证实，它宣告了基督国度（第一阶段）的来临和通过圣徒忠心的见证而无误的进展。</w:t>
      </w:r>
    </w:p>
    <w:p w14:paraId="6C44A785">
      <w:pPr>
        <w:pStyle w:val="9"/>
        <w:spacing w:before="11"/>
        <w:ind w:left="0"/>
        <w:jc w:val="left"/>
        <w:rPr>
          <w:rFonts w:hint="eastAsia"/>
          <w:sz w:val="30"/>
          <w:szCs w:val="30"/>
        </w:rPr>
      </w:pPr>
    </w:p>
    <w:p w14:paraId="02B7BB1D">
      <w:pPr>
        <w:pStyle w:val="9"/>
        <w:spacing w:before="11"/>
        <w:ind w:left="0"/>
        <w:jc w:val="left"/>
        <w:rPr>
          <w:rFonts w:hint="eastAsia"/>
          <w:sz w:val="30"/>
          <w:szCs w:val="30"/>
        </w:rPr>
      </w:pPr>
      <w:r>
        <w:rPr>
          <w:rFonts w:hint="eastAsia"/>
          <w:sz w:val="30"/>
          <w:szCs w:val="30"/>
        </w:rPr>
        <w:t>Observe also from 12:14-17 the many ways in which the Spirit restrains Satan from destroying the Woman, and from hindering her fruitfulness in begetting children for Christ.</w:t>
      </w:r>
    </w:p>
    <w:p w14:paraId="5ABD0E1C">
      <w:pPr>
        <w:pStyle w:val="9"/>
        <w:spacing w:before="11"/>
        <w:ind w:left="0"/>
        <w:jc w:val="left"/>
        <w:rPr>
          <w:rFonts w:hint="eastAsia"/>
          <w:sz w:val="30"/>
          <w:szCs w:val="30"/>
        </w:rPr>
      </w:pPr>
      <w:r>
        <w:rPr>
          <w:rFonts w:hint="eastAsia"/>
          <w:sz w:val="30"/>
          <w:szCs w:val="30"/>
        </w:rPr>
        <w:t>也请从12:14-17中观察圣灵以多种方式约束撒但，使他不能毁灭那妇人，也不能阻碍她在为基督生育儿女方面的多结果子。</w:t>
      </w:r>
    </w:p>
    <w:p w14:paraId="42AD2536">
      <w:pPr>
        <w:pStyle w:val="9"/>
        <w:spacing w:before="11"/>
        <w:ind w:left="0"/>
        <w:jc w:val="left"/>
        <w:rPr>
          <w:rFonts w:hint="eastAsia"/>
          <w:sz w:val="30"/>
          <w:szCs w:val="30"/>
        </w:rPr>
      </w:pPr>
    </w:p>
    <w:p w14:paraId="5F841E3F">
      <w:pPr>
        <w:pStyle w:val="9"/>
        <w:spacing w:before="11"/>
        <w:ind w:left="0"/>
        <w:jc w:val="left"/>
        <w:rPr>
          <w:rFonts w:hint="eastAsia"/>
          <w:sz w:val="30"/>
          <w:szCs w:val="30"/>
        </w:rPr>
      </w:pPr>
      <w:r>
        <w:rPr>
          <w:rFonts w:hint="eastAsia"/>
          <w:sz w:val="30"/>
          <w:szCs w:val="30"/>
        </w:rPr>
        <w:t>He gives her the wings of the Great Eagle (12:14), he nourishes her in the wilderness (12:14), and he opens up the earth in order to swallow the floods of ungodliness that pour forth from the Dragon’s mouth (12:15-16, 16:13).</w:t>
      </w:r>
    </w:p>
    <w:p w14:paraId="030B8FA0">
      <w:pPr>
        <w:pStyle w:val="9"/>
        <w:spacing w:before="11"/>
        <w:ind w:left="0"/>
        <w:jc w:val="left"/>
        <w:rPr>
          <w:rFonts w:hint="eastAsia"/>
          <w:sz w:val="30"/>
          <w:szCs w:val="30"/>
        </w:rPr>
      </w:pPr>
      <w:r>
        <w:rPr>
          <w:rFonts w:hint="eastAsia"/>
          <w:sz w:val="30"/>
          <w:szCs w:val="30"/>
        </w:rPr>
        <w:t>祂赐给她大鹰的翅膀（12:14），祂在旷野供养她（12:14），祂又使地开口，吞了从龙口中吐出的不敬虔的洪流（12:15-16, 16:13）。</w:t>
      </w:r>
    </w:p>
    <w:p w14:paraId="1EA41D17">
      <w:pPr>
        <w:pStyle w:val="9"/>
        <w:spacing w:before="11"/>
        <w:ind w:left="0"/>
        <w:jc w:val="left"/>
        <w:rPr>
          <w:rFonts w:hint="eastAsia"/>
          <w:sz w:val="30"/>
          <w:szCs w:val="30"/>
        </w:rPr>
      </w:pPr>
    </w:p>
    <w:p w14:paraId="44E96BD0">
      <w:pPr>
        <w:pStyle w:val="9"/>
        <w:spacing w:before="11"/>
        <w:ind w:left="0"/>
        <w:jc w:val="left"/>
        <w:rPr>
          <w:rFonts w:hint="eastAsia"/>
          <w:sz w:val="30"/>
          <w:szCs w:val="30"/>
        </w:rPr>
      </w:pPr>
      <w:r>
        <w:rPr>
          <w:rFonts w:hint="eastAsia"/>
          <w:sz w:val="30"/>
          <w:szCs w:val="30"/>
        </w:rPr>
        <w:t>Here, then, we have nothing less than an inspired commentary on 20:1-3.What does the Spirit mean by the binding and imprisonment of Satan, such that he can no longer deceive the nations?</w:t>
      </w:r>
    </w:p>
    <w:p w14:paraId="2A1B26A0">
      <w:pPr>
        <w:pStyle w:val="9"/>
        <w:spacing w:before="11"/>
        <w:ind w:left="0"/>
        <w:jc w:val="left"/>
        <w:rPr>
          <w:rFonts w:hint="eastAsia"/>
          <w:sz w:val="30"/>
          <w:szCs w:val="30"/>
        </w:rPr>
      </w:pPr>
      <w:r>
        <w:rPr>
          <w:rFonts w:hint="eastAsia"/>
          <w:sz w:val="30"/>
          <w:szCs w:val="30"/>
        </w:rPr>
        <w:t>因此，在这里我们拥有的无非是对20:1-3的一段受默示的注释。圣灵说撒但被捆绑和监禁，以致他不能再迷惑列国，这是什么意思？</w:t>
      </w:r>
    </w:p>
    <w:p w14:paraId="1096792A">
      <w:pPr>
        <w:pStyle w:val="9"/>
        <w:spacing w:before="11"/>
        <w:ind w:left="0"/>
        <w:jc w:val="left"/>
        <w:rPr>
          <w:rFonts w:hint="eastAsia"/>
          <w:sz w:val="30"/>
          <w:szCs w:val="30"/>
        </w:rPr>
      </w:pPr>
    </w:p>
    <w:p w14:paraId="5DD9A799">
      <w:pPr>
        <w:pStyle w:val="9"/>
        <w:spacing w:before="11"/>
        <w:ind w:left="0"/>
        <w:jc w:val="left"/>
        <w:rPr>
          <w:rFonts w:hint="eastAsia"/>
          <w:sz w:val="30"/>
          <w:szCs w:val="30"/>
        </w:rPr>
      </w:pPr>
      <w:r>
        <w:rPr>
          <w:rFonts w:hint="eastAsia"/>
          <w:sz w:val="30"/>
          <w:szCs w:val="30"/>
        </w:rPr>
        <w:t>According to 12:1-17, he means that beginning with the exaltation of Christ—and all throughout the Era of Proclamation—God will restrain Satan from deceiving his worldwide elect about the truth of the Gospel, and will also restrain Satan from decimating the true spiritual Church until all her children are born from above and her work on earth is done (Rev. 11:7f).</w:t>
      </w:r>
    </w:p>
    <w:p w14:paraId="4693AF0D">
      <w:pPr>
        <w:pStyle w:val="9"/>
        <w:spacing w:before="11"/>
        <w:ind w:left="0"/>
        <w:jc w:val="left"/>
        <w:rPr>
          <w:rFonts w:hint="eastAsia"/>
          <w:sz w:val="30"/>
          <w:szCs w:val="30"/>
        </w:rPr>
      </w:pPr>
      <w:r>
        <w:rPr>
          <w:rFonts w:hint="eastAsia"/>
          <w:sz w:val="30"/>
          <w:szCs w:val="30"/>
        </w:rPr>
        <w:t>根据12:1-17，祂的意思是，从基督被高举开始——并在整个宣讲时代——上帝将约束撒但，使他不能就福音的真理欺骗祂在全世界的选民，并且也将约束撒但，使他不能毁灭真正的属灵教会，直到她所有的儿女都从上头生，并且她在地上的工作完成（启11:7及以下）。</w:t>
      </w:r>
    </w:p>
    <w:p w14:paraId="4004C78B">
      <w:pPr>
        <w:pStyle w:val="9"/>
        <w:spacing w:before="11"/>
        <w:ind w:left="0"/>
        <w:jc w:val="left"/>
        <w:rPr>
          <w:rFonts w:hint="eastAsia"/>
          <w:sz w:val="30"/>
          <w:szCs w:val="30"/>
        </w:rPr>
      </w:pPr>
    </w:p>
    <w:p w14:paraId="2FDC75DE">
      <w:pPr>
        <w:pStyle w:val="9"/>
        <w:spacing w:before="11"/>
        <w:ind w:left="0"/>
        <w:jc w:val="left"/>
        <w:rPr>
          <w:rFonts w:hint="eastAsia"/>
          <w:sz w:val="30"/>
          <w:szCs w:val="30"/>
        </w:rPr>
      </w:pPr>
      <w:r>
        <w:rPr>
          <w:rFonts w:hint="eastAsia"/>
          <w:sz w:val="30"/>
          <w:szCs w:val="30"/>
        </w:rPr>
        <w:t>This brings us to other NT texts that illuminate the binding and imprisonment of Satan.</w:t>
      </w:r>
    </w:p>
    <w:p w14:paraId="05F64FCC">
      <w:pPr>
        <w:pStyle w:val="9"/>
        <w:spacing w:before="11"/>
        <w:ind w:left="0"/>
        <w:jc w:val="left"/>
        <w:rPr>
          <w:rFonts w:hint="eastAsia"/>
          <w:sz w:val="30"/>
          <w:szCs w:val="30"/>
        </w:rPr>
      </w:pPr>
      <w:r>
        <w:rPr>
          <w:rFonts w:hint="eastAsia"/>
          <w:sz w:val="30"/>
          <w:szCs w:val="30"/>
        </w:rPr>
        <w:t>这就把我们带到了其他阐明撒但被捆绑和监禁的新约经文。</w:t>
      </w:r>
    </w:p>
    <w:p w14:paraId="3D35118F">
      <w:pPr>
        <w:pStyle w:val="9"/>
        <w:spacing w:before="11"/>
        <w:ind w:left="0"/>
        <w:jc w:val="left"/>
        <w:rPr>
          <w:rFonts w:hint="eastAsia"/>
          <w:sz w:val="30"/>
          <w:szCs w:val="30"/>
        </w:rPr>
      </w:pPr>
    </w:p>
    <w:p w14:paraId="2D437A57">
      <w:pPr>
        <w:pStyle w:val="9"/>
        <w:spacing w:before="11"/>
        <w:ind w:left="0"/>
        <w:jc w:val="left"/>
        <w:rPr>
          <w:rFonts w:hint="eastAsia"/>
          <w:sz w:val="30"/>
          <w:szCs w:val="30"/>
        </w:rPr>
      </w:pPr>
      <w:r>
        <w:rPr>
          <w:rFonts w:hint="eastAsia"/>
          <w:sz w:val="30"/>
          <w:szCs w:val="30"/>
        </w:rPr>
        <w:t>They are legion, but two are of special importance.</w:t>
      </w:r>
    </w:p>
    <w:p w14:paraId="72C378A2">
      <w:pPr>
        <w:pStyle w:val="9"/>
        <w:spacing w:before="11"/>
        <w:ind w:left="0"/>
        <w:jc w:val="left"/>
        <w:rPr>
          <w:rFonts w:hint="eastAsia"/>
          <w:sz w:val="30"/>
          <w:szCs w:val="30"/>
        </w:rPr>
      </w:pPr>
      <w:r>
        <w:rPr>
          <w:rFonts w:hint="eastAsia"/>
          <w:sz w:val="30"/>
          <w:szCs w:val="30"/>
        </w:rPr>
        <w:t>它们有很多，但有两处特别重要。</w:t>
      </w:r>
    </w:p>
    <w:p w14:paraId="59277695">
      <w:pPr>
        <w:pStyle w:val="9"/>
        <w:spacing w:before="11"/>
        <w:ind w:left="0"/>
        <w:jc w:val="left"/>
        <w:rPr>
          <w:rFonts w:hint="eastAsia"/>
          <w:sz w:val="30"/>
          <w:szCs w:val="30"/>
        </w:rPr>
      </w:pPr>
    </w:p>
    <w:p w14:paraId="56EE8ADE">
      <w:pPr>
        <w:pStyle w:val="9"/>
        <w:spacing w:before="11"/>
        <w:ind w:left="0"/>
        <w:jc w:val="left"/>
        <w:rPr>
          <w:rFonts w:hint="eastAsia"/>
          <w:sz w:val="30"/>
          <w:szCs w:val="30"/>
        </w:rPr>
      </w:pPr>
      <w:r>
        <w:rPr>
          <w:rFonts w:hint="eastAsia"/>
          <w:sz w:val="30"/>
          <w:szCs w:val="30"/>
        </w:rPr>
        <w:t>First, we have Matthew 12:22-29, in which we find Jesus healing a demon-possessed man.</w:t>
      </w:r>
    </w:p>
    <w:p w14:paraId="2FC31ECC">
      <w:pPr>
        <w:pStyle w:val="9"/>
        <w:spacing w:before="11"/>
        <w:ind w:left="0"/>
        <w:jc w:val="left"/>
        <w:rPr>
          <w:rFonts w:hint="eastAsia"/>
          <w:sz w:val="30"/>
          <w:szCs w:val="30"/>
        </w:rPr>
      </w:pPr>
      <w:r>
        <w:rPr>
          <w:rFonts w:hint="eastAsia"/>
          <w:sz w:val="30"/>
          <w:szCs w:val="30"/>
        </w:rPr>
        <w:t>首先，我们有马太福音12:22-29，其中我们看到耶稣医治一个被鬼附的人。</w:t>
      </w:r>
    </w:p>
    <w:p w14:paraId="3B3CED9D">
      <w:pPr>
        <w:pStyle w:val="9"/>
        <w:spacing w:before="11"/>
        <w:ind w:left="0"/>
        <w:jc w:val="left"/>
        <w:rPr>
          <w:rFonts w:hint="eastAsia"/>
          <w:sz w:val="30"/>
          <w:szCs w:val="30"/>
        </w:rPr>
      </w:pPr>
    </w:p>
    <w:p w14:paraId="0053C35A">
      <w:pPr>
        <w:pStyle w:val="9"/>
        <w:spacing w:before="11"/>
        <w:ind w:left="0"/>
        <w:jc w:val="left"/>
        <w:rPr>
          <w:rFonts w:hint="eastAsia"/>
          <w:sz w:val="30"/>
          <w:szCs w:val="30"/>
        </w:rPr>
      </w:pPr>
      <w:r>
        <w:rPr>
          <w:rFonts w:hint="eastAsia"/>
          <w:sz w:val="30"/>
          <w:szCs w:val="30"/>
        </w:rPr>
        <w:t>Speaking of this power-encounter, he likens himself to a holy thief who has just entered a strong man’s house, tied him up, and carried off his property.</w:t>
      </w:r>
    </w:p>
    <w:p w14:paraId="6FEED2F3">
      <w:pPr>
        <w:pStyle w:val="9"/>
        <w:spacing w:before="11"/>
        <w:ind w:left="0"/>
        <w:jc w:val="left"/>
        <w:rPr>
          <w:rFonts w:hint="eastAsia"/>
          <w:sz w:val="30"/>
          <w:szCs w:val="30"/>
        </w:rPr>
      </w:pPr>
      <w:r>
        <w:rPr>
          <w:rFonts w:hint="eastAsia"/>
          <w:sz w:val="30"/>
          <w:szCs w:val="30"/>
        </w:rPr>
        <w:t>谈到这次能力的交锋，祂将自己比作一个圣洁的贼，刚刚进入一个壮士的家，捆绑他，并抢夺他的财物。</w:t>
      </w:r>
    </w:p>
    <w:p w14:paraId="37203A96">
      <w:pPr>
        <w:pStyle w:val="9"/>
        <w:spacing w:before="11"/>
        <w:ind w:left="0"/>
        <w:jc w:val="left"/>
        <w:rPr>
          <w:rFonts w:hint="eastAsia"/>
          <w:sz w:val="30"/>
          <w:szCs w:val="30"/>
        </w:rPr>
      </w:pPr>
    </w:p>
    <w:p w14:paraId="5EF49BF8">
      <w:pPr>
        <w:pStyle w:val="9"/>
        <w:spacing w:before="11"/>
        <w:ind w:left="0"/>
        <w:jc w:val="left"/>
        <w:rPr>
          <w:rFonts w:hint="eastAsia"/>
          <w:sz w:val="30"/>
          <w:szCs w:val="30"/>
        </w:rPr>
      </w:pPr>
      <w:r>
        <w:rPr>
          <w:rFonts w:hint="eastAsia"/>
          <w:sz w:val="30"/>
          <w:szCs w:val="30"/>
        </w:rPr>
        <w:t>In a microcosm, Jesus has just invaded and torn down Satan’s kingdom, and plundered his (human) goods (Luke 10:18).</w:t>
      </w:r>
    </w:p>
    <w:p w14:paraId="5B42FA60">
      <w:pPr>
        <w:pStyle w:val="9"/>
        <w:spacing w:before="11"/>
        <w:ind w:left="0"/>
        <w:jc w:val="left"/>
        <w:rPr>
          <w:rFonts w:hint="eastAsia"/>
          <w:sz w:val="30"/>
          <w:szCs w:val="30"/>
        </w:rPr>
      </w:pPr>
      <w:r>
        <w:rPr>
          <w:rFonts w:hint="eastAsia"/>
          <w:sz w:val="30"/>
          <w:szCs w:val="30"/>
        </w:rPr>
        <w:t>在一个微观世界里，耶稣刚刚入侵并拆毁了撒但的国度，并掠夺了他（人类的）财物（路加福音10:18）。</w:t>
      </w:r>
    </w:p>
    <w:p w14:paraId="331AD87A">
      <w:pPr>
        <w:pStyle w:val="9"/>
        <w:spacing w:before="11"/>
        <w:ind w:left="0"/>
        <w:jc w:val="left"/>
        <w:rPr>
          <w:rFonts w:hint="eastAsia"/>
          <w:sz w:val="30"/>
          <w:szCs w:val="30"/>
        </w:rPr>
      </w:pPr>
    </w:p>
    <w:p w14:paraId="514ACC21">
      <w:pPr>
        <w:pStyle w:val="9"/>
        <w:spacing w:before="11"/>
        <w:ind w:left="0"/>
        <w:jc w:val="left"/>
        <w:rPr>
          <w:rFonts w:hint="eastAsia"/>
          <w:sz w:val="30"/>
          <w:szCs w:val="30"/>
        </w:rPr>
      </w:pPr>
      <w:r>
        <w:rPr>
          <w:rFonts w:hint="eastAsia"/>
          <w:sz w:val="30"/>
          <w:szCs w:val="30"/>
        </w:rPr>
        <w:t>After Pentecost, when the New Covenant has been sealed in his blood and the Spirit has been poured out on the Church, he will do so in a macrocosm; that is, on a global scale, through the universal proclamation of the Gospel.</w:t>
      </w:r>
    </w:p>
    <w:p w14:paraId="251F8022">
      <w:pPr>
        <w:pStyle w:val="9"/>
        <w:spacing w:before="11"/>
        <w:ind w:left="0"/>
        <w:jc w:val="left"/>
        <w:rPr>
          <w:rFonts w:hint="eastAsia"/>
          <w:sz w:val="30"/>
          <w:szCs w:val="30"/>
        </w:rPr>
      </w:pPr>
      <w:r>
        <w:rPr>
          <w:rFonts w:hint="eastAsia"/>
          <w:sz w:val="30"/>
          <w:szCs w:val="30"/>
        </w:rPr>
        <w:t>在五旬节之后，当新约已在祂的血中被立，圣灵已浇灌在教会身上时，祂将以宏观的方式这样做；也就是说，在全球范围内，通过福音的普世宣讲。</w:t>
      </w:r>
    </w:p>
    <w:p w14:paraId="1360DE29">
      <w:pPr>
        <w:pStyle w:val="9"/>
        <w:spacing w:before="11"/>
        <w:ind w:left="0"/>
        <w:jc w:val="left"/>
        <w:rPr>
          <w:rFonts w:hint="eastAsia"/>
          <w:sz w:val="30"/>
          <w:szCs w:val="30"/>
        </w:rPr>
      </w:pPr>
    </w:p>
    <w:p w14:paraId="15D7C313">
      <w:pPr>
        <w:pStyle w:val="9"/>
        <w:spacing w:before="11"/>
        <w:ind w:left="0"/>
        <w:jc w:val="left"/>
        <w:rPr>
          <w:rFonts w:hint="eastAsia"/>
          <w:sz w:val="30"/>
          <w:szCs w:val="30"/>
        </w:rPr>
      </w:pPr>
      <w:r>
        <w:rPr>
          <w:rFonts w:hint="eastAsia"/>
          <w:sz w:val="30"/>
          <w:szCs w:val="30"/>
        </w:rPr>
        <w:t>Through the foolishness of preaching, the High King of Heaven will invade Satan’s worldwide kingdom, restrain him from deceiving the elect any longer, open their hearts and minds to the truth of the Gospel, and transfer them into his own spiritual Kingdom of light and love (Col. 1:13).</w:t>
      </w:r>
    </w:p>
    <w:p w14:paraId="0784CF16">
      <w:pPr>
        <w:pStyle w:val="9"/>
        <w:spacing w:before="11"/>
        <w:ind w:left="0"/>
        <w:jc w:val="left"/>
        <w:rPr>
          <w:rFonts w:hint="eastAsia"/>
          <w:sz w:val="30"/>
          <w:szCs w:val="30"/>
        </w:rPr>
      </w:pPr>
      <w:r>
        <w:rPr>
          <w:rFonts w:hint="eastAsia"/>
          <w:sz w:val="30"/>
          <w:szCs w:val="30"/>
        </w:rPr>
        <w:t>通过讲道的愚拙，天上的至高君王将入侵撒但的全球国度，约束他不再欺骗选民，打开他们的心眼认识福音的真理，并将他们迁入祂自己光明和慈爱的属灵国度中（西1:13）。</w:t>
      </w:r>
    </w:p>
    <w:p w14:paraId="58B36BFD">
      <w:pPr>
        <w:pStyle w:val="9"/>
        <w:spacing w:before="11"/>
        <w:ind w:left="0"/>
        <w:jc w:val="left"/>
        <w:rPr>
          <w:rFonts w:hint="eastAsia"/>
          <w:sz w:val="30"/>
          <w:szCs w:val="30"/>
        </w:rPr>
      </w:pPr>
    </w:p>
    <w:p w14:paraId="418C028A">
      <w:pPr>
        <w:pStyle w:val="9"/>
        <w:spacing w:before="11"/>
        <w:ind w:left="0"/>
        <w:jc w:val="left"/>
        <w:rPr>
          <w:rFonts w:hint="eastAsia"/>
          <w:sz w:val="30"/>
          <w:szCs w:val="30"/>
        </w:rPr>
      </w:pPr>
      <w:r>
        <w:rPr>
          <w:rFonts w:hint="eastAsia"/>
          <w:sz w:val="30"/>
          <w:szCs w:val="30"/>
        </w:rPr>
        <w:t>This is the binding of Satan pictured in Revelation 20:1-3, a binding that begins at the beginning of the Era of Proclamation and lasts until its dramatic closing scenes at the end.</w:t>
      </w:r>
    </w:p>
    <w:p w14:paraId="146CD04B">
      <w:pPr>
        <w:pStyle w:val="9"/>
        <w:spacing w:before="11"/>
        <w:ind w:left="0"/>
        <w:jc w:val="left"/>
        <w:rPr>
          <w:rFonts w:hint="eastAsia"/>
          <w:sz w:val="30"/>
          <w:szCs w:val="30"/>
        </w:rPr>
      </w:pPr>
      <w:r>
        <w:rPr>
          <w:rFonts w:hint="eastAsia"/>
          <w:sz w:val="30"/>
          <w:szCs w:val="30"/>
        </w:rPr>
        <w:t>这就是《启示录》20:1-3中所描绘的撒但的被捆绑，这种捆绑始于宣讲时代的开端，并持续到其末了的戏剧性闭幕场景。</w:t>
      </w:r>
    </w:p>
    <w:p w14:paraId="14150129">
      <w:pPr>
        <w:pStyle w:val="9"/>
        <w:spacing w:before="11"/>
        <w:ind w:left="0"/>
        <w:jc w:val="left"/>
        <w:rPr>
          <w:rFonts w:hint="eastAsia"/>
          <w:sz w:val="30"/>
          <w:szCs w:val="30"/>
        </w:rPr>
      </w:pPr>
    </w:p>
    <w:p w14:paraId="5103135A">
      <w:pPr>
        <w:pStyle w:val="9"/>
        <w:spacing w:before="11"/>
        <w:ind w:left="0"/>
        <w:jc w:val="left"/>
        <w:rPr>
          <w:rFonts w:hint="eastAsia"/>
          <w:sz w:val="30"/>
          <w:szCs w:val="30"/>
        </w:rPr>
      </w:pPr>
      <w:r>
        <w:rPr>
          <w:rFonts w:hint="eastAsia"/>
          <w:sz w:val="30"/>
          <w:szCs w:val="30"/>
        </w:rPr>
        <w:t>Similarly, we have the testimony of John in 12:20-33.</w:t>
      </w:r>
    </w:p>
    <w:p w14:paraId="20B7F3F7">
      <w:pPr>
        <w:pStyle w:val="9"/>
        <w:spacing w:before="11"/>
        <w:ind w:left="0"/>
        <w:jc w:val="left"/>
        <w:rPr>
          <w:rFonts w:hint="eastAsia"/>
          <w:sz w:val="30"/>
          <w:szCs w:val="30"/>
        </w:rPr>
      </w:pPr>
      <w:r>
        <w:rPr>
          <w:rFonts w:hint="eastAsia"/>
          <w:sz w:val="30"/>
          <w:szCs w:val="30"/>
        </w:rPr>
        <w:t>同样，我们有约翰在12:20-33中的见证。</w:t>
      </w:r>
    </w:p>
    <w:p w14:paraId="32FAC41B">
      <w:pPr>
        <w:pStyle w:val="9"/>
        <w:spacing w:before="11"/>
        <w:ind w:left="0"/>
        <w:jc w:val="left"/>
        <w:rPr>
          <w:rFonts w:hint="eastAsia"/>
          <w:sz w:val="30"/>
          <w:szCs w:val="30"/>
        </w:rPr>
      </w:pPr>
    </w:p>
    <w:p w14:paraId="01323080">
      <w:pPr>
        <w:pStyle w:val="9"/>
        <w:spacing w:before="11"/>
        <w:ind w:left="0"/>
        <w:jc w:val="left"/>
        <w:rPr>
          <w:rFonts w:hint="eastAsia"/>
          <w:sz w:val="30"/>
          <w:szCs w:val="30"/>
        </w:rPr>
      </w:pPr>
      <w:r>
        <w:rPr>
          <w:rFonts w:hint="eastAsia"/>
          <w:sz w:val="30"/>
          <w:szCs w:val="30"/>
        </w:rPr>
        <w:t>John relates that towards the end of Holy Week certain Greeks desired to talk with Jesus.</w:t>
      </w:r>
    </w:p>
    <w:p w14:paraId="55CADD84">
      <w:pPr>
        <w:pStyle w:val="9"/>
        <w:spacing w:before="11"/>
        <w:ind w:left="0"/>
        <w:jc w:val="left"/>
        <w:rPr>
          <w:rFonts w:hint="eastAsia"/>
          <w:sz w:val="30"/>
          <w:szCs w:val="30"/>
        </w:rPr>
      </w:pPr>
      <w:r>
        <w:rPr>
          <w:rFonts w:hint="eastAsia"/>
          <w:sz w:val="30"/>
          <w:szCs w:val="30"/>
        </w:rPr>
        <w:t>约翰记述，在圣周将近结束时，有几个希利尼人想要和耶稣说话。</w:t>
      </w:r>
    </w:p>
    <w:p w14:paraId="36D88882">
      <w:pPr>
        <w:pStyle w:val="9"/>
        <w:spacing w:before="11"/>
        <w:ind w:left="0"/>
        <w:jc w:val="left"/>
        <w:rPr>
          <w:rFonts w:hint="eastAsia"/>
          <w:sz w:val="30"/>
          <w:szCs w:val="30"/>
        </w:rPr>
      </w:pPr>
    </w:p>
    <w:p w14:paraId="52183F85">
      <w:pPr>
        <w:pStyle w:val="9"/>
        <w:spacing w:before="11"/>
        <w:ind w:left="0"/>
        <w:jc w:val="left"/>
        <w:rPr>
          <w:rFonts w:hint="eastAsia"/>
          <w:sz w:val="30"/>
          <w:szCs w:val="30"/>
        </w:rPr>
      </w:pPr>
      <w:r>
        <w:rPr>
          <w:rFonts w:hint="eastAsia"/>
          <w:sz w:val="30"/>
          <w:szCs w:val="30"/>
        </w:rPr>
        <w:t>The disciples brought him the news, but Jesus, having been sent only to the lost sheep of the house of Israel, refused to grant the interview.</w:t>
      </w:r>
    </w:p>
    <w:p w14:paraId="7CB24319">
      <w:pPr>
        <w:pStyle w:val="9"/>
        <w:spacing w:before="11"/>
        <w:ind w:left="0"/>
        <w:jc w:val="left"/>
        <w:rPr>
          <w:rFonts w:hint="eastAsia"/>
          <w:sz w:val="30"/>
          <w:szCs w:val="30"/>
        </w:rPr>
      </w:pPr>
      <w:r>
        <w:rPr>
          <w:rFonts w:hint="eastAsia"/>
          <w:sz w:val="30"/>
          <w:szCs w:val="30"/>
        </w:rPr>
        <w:t>门徒把这消息告诉了祂，但耶稣，因只被差遣到以色列家迷失的羊那里去，拒绝了这次会见。</w:t>
      </w:r>
    </w:p>
    <w:p w14:paraId="1C08C309">
      <w:pPr>
        <w:pStyle w:val="9"/>
        <w:spacing w:before="11"/>
        <w:ind w:left="0"/>
        <w:jc w:val="left"/>
        <w:rPr>
          <w:rFonts w:hint="eastAsia"/>
          <w:sz w:val="30"/>
          <w:szCs w:val="30"/>
        </w:rPr>
      </w:pPr>
    </w:p>
    <w:p w14:paraId="2AA02F29">
      <w:pPr>
        <w:pStyle w:val="9"/>
        <w:spacing w:before="11"/>
        <w:ind w:left="0"/>
        <w:jc w:val="left"/>
        <w:rPr>
          <w:rFonts w:hint="eastAsia"/>
          <w:sz w:val="30"/>
          <w:szCs w:val="30"/>
        </w:rPr>
      </w:pPr>
      <w:r>
        <w:rPr>
          <w:rFonts w:hint="eastAsia"/>
          <w:sz w:val="30"/>
          <w:szCs w:val="30"/>
        </w:rPr>
        <w:t>Rather, he chose instead to speak at length about his imminent death.</w:t>
      </w:r>
    </w:p>
    <w:p w14:paraId="5FFA7AFD">
      <w:pPr>
        <w:pStyle w:val="9"/>
        <w:spacing w:before="11"/>
        <w:ind w:left="0"/>
        <w:jc w:val="left"/>
        <w:rPr>
          <w:rFonts w:hint="eastAsia"/>
          <w:sz w:val="30"/>
          <w:szCs w:val="30"/>
        </w:rPr>
      </w:pPr>
      <w:r>
        <w:rPr>
          <w:rFonts w:hint="eastAsia"/>
          <w:sz w:val="30"/>
          <w:szCs w:val="30"/>
        </w:rPr>
        <w:t>相反，祂选择详细地谈论祂即将来临的死亡。</w:t>
      </w:r>
    </w:p>
    <w:p w14:paraId="123AF18F">
      <w:pPr>
        <w:pStyle w:val="9"/>
        <w:spacing w:before="11"/>
        <w:ind w:left="0"/>
        <w:jc w:val="left"/>
        <w:rPr>
          <w:rFonts w:hint="eastAsia"/>
          <w:sz w:val="30"/>
          <w:szCs w:val="30"/>
        </w:rPr>
      </w:pPr>
    </w:p>
    <w:p w14:paraId="1F1054A7">
      <w:pPr>
        <w:pStyle w:val="9"/>
        <w:spacing w:before="11"/>
        <w:ind w:left="0"/>
        <w:jc w:val="left"/>
        <w:rPr>
          <w:rFonts w:hint="eastAsia"/>
          <w:sz w:val="30"/>
          <w:szCs w:val="30"/>
        </w:rPr>
      </w:pPr>
      <w:r>
        <w:rPr>
          <w:rFonts w:hint="eastAsia"/>
          <w:sz w:val="30"/>
          <w:szCs w:val="30"/>
        </w:rPr>
        <w:t>Concerning that death, he said, “Now judgment is upon this world; now the ruler of this world shall be cast out.</w:t>
      </w:r>
    </w:p>
    <w:p w14:paraId="64D5FA32">
      <w:pPr>
        <w:pStyle w:val="9"/>
        <w:spacing w:before="11"/>
        <w:ind w:left="0"/>
        <w:jc w:val="left"/>
        <w:rPr>
          <w:rFonts w:hint="eastAsia"/>
          <w:sz w:val="30"/>
          <w:szCs w:val="30"/>
        </w:rPr>
      </w:pPr>
      <w:r>
        <w:rPr>
          <w:rFonts w:hint="eastAsia"/>
          <w:sz w:val="30"/>
          <w:szCs w:val="30"/>
        </w:rPr>
        <w:t>关于那死，祂说：“现在这世界受审判，这世界的王要被赶出去。”</w:t>
      </w:r>
    </w:p>
    <w:p w14:paraId="495160E6">
      <w:pPr>
        <w:pStyle w:val="9"/>
        <w:spacing w:before="11"/>
        <w:ind w:left="0"/>
        <w:jc w:val="left"/>
        <w:rPr>
          <w:rFonts w:hint="eastAsia"/>
          <w:sz w:val="30"/>
          <w:szCs w:val="30"/>
        </w:rPr>
      </w:pPr>
    </w:p>
    <w:p w14:paraId="502F2E51">
      <w:pPr>
        <w:pStyle w:val="9"/>
        <w:spacing w:before="11"/>
        <w:ind w:left="0"/>
        <w:jc w:val="left"/>
        <w:rPr>
          <w:rFonts w:hint="eastAsia"/>
          <w:sz w:val="30"/>
          <w:szCs w:val="30"/>
        </w:rPr>
      </w:pPr>
      <w:r>
        <w:rPr>
          <w:rFonts w:hint="eastAsia"/>
          <w:sz w:val="30"/>
          <w:szCs w:val="30"/>
        </w:rPr>
        <w:t>And I, if I be lifted up from the earth, will draw all to myself” (12:31-32).</w:t>
      </w:r>
    </w:p>
    <w:p w14:paraId="239F9037">
      <w:pPr>
        <w:pStyle w:val="9"/>
        <w:spacing w:before="11"/>
        <w:ind w:left="0"/>
        <w:jc w:val="left"/>
        <w:rPr>
          <w:rFonts w:hint="eastAsia"/>
          <w:sz w:val="30"/>
          <w:szCs w:val="30"/>
        </w:rPr>
      </w:pPr>
      <w:r>
        <w:rPr>
          <w:rFonts w:hint="eastAsia"/>
          <w:sz w:val="30"/>
          <w:szCs w:val="30"/>
        </w:rPr>
        <w:t>“我若从地上被举起来，就要吸引万人来归我”（12:31-32）。</w:t>
      </w:r>
    </w:p>
    <w:p w14:paraId="5B931F21">
      <w:pPr>
        <w:pStyle w:val="9"/>
        <w:spacing w:before="11"/>
        <w:ind w:left="0"/>
        <w:jc w:val="left"/>
        <w:rPr>
          <w:rFonts w:hint="eastAsia"/>
          <w:sz w:val="30"/>
          <w:szCs w:val="30"/>
        </w:rPr>
      </w:pPr>
    </w:p>
    <w:p w14:paraId="71B4682B">
      <w:pPr>
        <w:pStyle w:val="9"/>
        <w:spacing w:before="11"/>
        <w:ind w:left="0"/>
        <w:jc w:val="left"/>
        <w:rPr>
          <w:rFonts w:hint="eastAsia"/>
          <w:sz w:val="30"/>
          <w:szCs w:val="30"/>
        </w:rPr>
      </w:pPr>
      <w:r>
        <w:rPr>
          <w:rFonts w:hint="eastAsia"/>
          <w:sz w:val="30"/>
          <w:szCs w:val="30"/>
        </w:rPr>
        <w:t>What was the Lord saying here?</w:t>
      </w:r>
    </w:p>
    <w:p w14:paraId="5B6D6910">
      <w:pPr>
        <w:pStyle w:val="9"/>
        <w:spacing w:before="11"/>
        <w:ind w:left="0"/>
        <w:jc w:val="left"/>
        <w:rPr>
          <w:rFonts w:hint="eastAsia"/>
          <w:sz w:val="30"/>
          <w:szCs w:val="30"/>
        </w:rPr>
      </w:pPr>
      <w:r>
        <w:rPr>
          <w:rFonts w:hint="eastAsia"/>
          <w:sz w:val="30"/>
          <w:szCs w:val="30"/>
        </w:rPr>
        <w:t>主在这里说什么呢？</w:t>
      </w:r>
    </w:p>
    <w:p w14:paraId="15A3D21C">
      <w:pPr>
        <w:pStyle w:val="9"/>
        <w:spacing w:before="11"/>
        <w:ind w:left="0"/>
        <w:jc w:val="left"/>
        <w:rPr>
          <w:rFonts w:hint="eastAsia"/>
          <w:sz w:val="30"/>
          <w:szCs w:val="30"/>
        </w:rPr>
      </w:pPr>
    </w:p>
    <w:p w14:paraId="52DC407D">
      <w:pPr>
        <w:pStyle w:val="9"/>
        <w:spacing w:before="11"/>
        <w:ind w:left="0"/>
        <w:jc w:val="left"/>
        <w:rPr>
          <w:rFonts w:hint="eastAsia"/>
          <w:sz w:val="30"/>
          <w:szCs w:val="30"/>
        </w:rPr>
      </w:pPr>
      <w:r>
        <w:rPr>
          <w:rFonts w:hint="eastAsia"/>
          <w:sz w:val="30"/>
          <w:szCs w:val="30"/>
        </w:rPr>
        <w:t>He was saying that on the Cross, the Father will judge Jesus for the sins of his chosen ones; for the sins of the world of elect sinners presently living under Satan’s rule, but whom the Father has predestined to become a new world of saints living under the rule of Christ.</w:t>
      </w:r>
    </w:p>
    <w:p w14:paraId="3063F68A">
      <w:pPr>
        <w:pStyle w:val="9"/>
        <w:spacing w:before="11"/>
        <w:ind w:left="0"/>
        <w:jc w:val="left"/>
        <w:rPr>
          <w:rFonts w:hint="eastAsia"/>
          <w:sz w:val="30"/>
          <w:szCs w:val="30"/>
        </w:rPr>
      </w:pPr>
      <w:r>
        <w:rPr>
          <w:rFonts w:hint="eastAsia"/>
          <w:sz w:val="30"/>
          <w:szCs w:val="30"/>
        </w:rPr>
        <w:t>祂是说，在十字架上，父将为祂选民的罪审判耶稣；为那些现今活在撒但统治下的选民罪人的世界的罪审判耶稣，但父已预定他们要成为一个活在基督统治下的圣徒新世界。</w:t>
      </w:r>
    </w:p>
    <w:p w14:paraId="3783A867">
      <w:pPr>
        <w:pStyle w:val="9"/>
        <w:spacing w:before="11"/>
        <w:ind w:left="0"/>
        <w:jc w:val="left"/>
        <w:rPr>
          <w:rFonts w:hint="eastAsia"/>
          <w:sz w:val="30"/>
          <w:szCs w:val="30"/>
        </w:rPr>
      </w:pPr>
    </w:p>
    <w:p w14:paraId="290E995B">
      <w:pPr>
        <w:pStyle w:val="9"/>
        <w:spacing w:before="11"/>
        <w:ind w:left="0"/>
        <w:jc w:val="left"/>
        <w:rPr>
          <w:rFonts w:hint="eastAsia"/>
          <w:sz w:val="30"/>
          <w:szCs w:val="30"/>
        </w:rPr>
      </w:pPr>
      <w:r>
        <w:rPr>
          <w:rFonts w:hint="eastAsia"/>
          <w:sz w:val="30"/>
          <w:szCs w:val="30"/>
        </w:rPr>
        <w:t>In short, Christ will die so that God’s people may be transferred from Satan’s kingdom into Christ’s kingdom, and live.</w:t>
      </w:r>
    </w:p>
    <w:p w14:paraId="68D50D49">
      <w:pPr>
        <w:pStyle w:val="9"/>
        <w:spacing w:before="11"/>
        <w:ind w:left="0"/>
        <w:jc w:val="left"/>
        <w:rPr>
          <w:rFonts w:hint="eastAsia"/>
          <w:sz w:val="30"/>
          <w:szCs w:val="30"/>
        </w:rPr>
      </w:pPr>
      <w:r>
        <w:rPr>
          <w:rFonts w:hint="eastAsia"/>
          <w:sz w:val="30"/>
          <w:szCs w:val="30"/>
        </w:rPr>
        <w:t>简而言之，基督将死，使上帝的子民可以从撒但的国度迁入基督的国度，并且得生。</w:t>
      </w:r>
    </w:p>
    <w:p w14:paraId="76A3533E">
      <w:pPr>
        <w:pStyle w:val="9"/>
        <w:spacing w:before="11"/>
        <w:ind w:left="0"/>
        <w:jc w:val="left"/>
        <w:rPr>
          <w:rFonts w:hint="eastAsia"/>
          <w:sz w:val="30"/>
          <w:szCs w:val="30"/>
        </w:rPr>
      </w:pPr>
    </w:p>
    <w:p w14:paraId="37E69573">
      <w:pPr>
        <w:pStyle w:val="9"/>
        <w:spacing w:before="11"/>
        <w:ind w:left="0"/>
        <w:jc w:val="left"/>
        <w:rPr>
          <w:rFonts w:hint="eastAsia"/>
          <w:sz w:val="30"/>
          <w:szCs w:val="30"/>
        </w:rPr>
      </w:pPr>
      <w:r>
        <w:rPr>
          <w:rFonts w:hint="eastAsia"/>
          <w:sz w:val="30"/>
          <w:szCs w:val="30"/>
        </w:rPr>
        <w:t>But how will this transfer be accomplished?</w:t>
      </w:r>
    </w:p>
    <w:p w14:paraId="1DBE89D3">
      <w:pPr>
        <w:pStyle w:val="9"/>
        <w:spacing w:before="11"/>
        <w:ind w:left="0"/>
        <w:jc w:val="left"/>
        <w:rPr>
          <w:rFonts w:hint="eastAsia"/>
          <w:sz w:val="30"/>
          <w:szCs w:val="30"/>
        </w:rPr>
      </w:pPr>
      <w:r>
        <w:rPr>
          <w:rFonts w:hint="eastAsia"/>
          <w:sz w:val="30"/>
          <w:szCs w:val="30"/>
        </w:rPr>
        <w:t>但这转移将如何完成呢？</w:t>
      </w:r>
    </w:p>
    <w:p w14:paraId="2BEF232E">
      <w:pPr>
        <w:pStyle w:val="9"/>
        <w:spacing w:before="11"/>
        <w:ind w:left="0"/>
        <w:jc w:val="left"/>
        <w:rPr>
          <w:rFonts w:hint="eastAsia"/>
          <w:sz w:val="30"/>
          <w:szCs w:val="30"/>
        </w:rPr>
      </w:pPr>
    </w:p>
    <w:p w14:paraId="25D69020">
      <w:pPr>
        <w:pStyle w:val="9"/>
        <w:spacing w:before="11"/>
        <w:ind w:left="0"/>
        <w:jc w:val="left"/>
        <w:rPr>
          <w:rFonts w:hint="eastAsia"/>
          <w:sz w:val="30"/>
          <w:szCs w:val="30"/>
        </w:rPr>
      </w:pPr>
      <w:r>
        <w:rPr>
          <w:rFonts w:hint="eastAsia"/>
          <w:sz w:val="30"/>
          <w:szCs w:val="30"/>
        </w:rPr>
        <w:t>It will be accomplished, Jesus says, by his being “lifted up”—first in death, then in exaltation to the Father’s right hand, and finally in preaching.</w:t>
      </w:r>
    </w:p>
    <w:p w14:paraId="4C6C7852">
      <w:pPr>
        <w:pStyle w:val="9"/>
        <w:spacing w:before="11"/>
        <w:ind w:left="0"/>
        <w:jc w:val="left"/>
        <w:rPr>
          <w:rFonts w:hint="eastAsia"/>
          <w:sz w:val="30"/>
          <w:szCs w:val="30"/>
        </w:rPr>
      </w:pPr>
      <w:r>
        <w:rPr>
          <w:rFonts w:hint="eastAsia"/>
          <w:sz w:val="30"/>
          <w:szCs w:val="30"/>
        </w:rPr>
        <w:t>耶稣说，这将通过祂被“举起来”来完成——首先是在死亡中，然后是在被高举到父的右边，最后是在讲道中。</w:t>
      </w:r>
    </w:p>
    <w:p w14:paraId="0AA392B0">
      <w:pPr>
        <w:pStyle w:val="9"/>
        <w:spacing w:before="11"/>
        <w:ind w:left="0"/>
        <w:jc w:val="left"/>
        <w:rPr>
          <w:rFonts w:hint="eastAsia"/>
          <w:sz w:val="30"/>
          <w:szCs w:val="30"/>
        </w:rPr>
      </w:pPr>
    </w:p>
    <w:p w14:paraId="3EC52260">
      <w:pPr>
        <w:pStyle w:val="9"/>
        <w:spacing w:before="11"/>
        <w:ind w:left="0"/>
        <w:jc w:val="left"/>
        <w:rPr>
          <w:rFonts w:hint="eastAsia"/>
          <w:sz w:val="30"/>
          <w:szCs w:val="30"/>
        </w:rPr>
      </w:pPr>
      <w:r>
        <w:rPr>
          <w:rFonts w:hint="eastAsia"/>
          <w:sz w:val="30"/>
          <w:szCs w:val="30"/>
        </w:rPr>
        <w:t>Here then is how God binds Satan from deceiving the nations any longer.</w:t>
      </w:r>
    </w:p>
    <w:p w14:paraId="1E303D7C">
      <w:pPr>
        <w:pStyle w:val="9"/>
        <w:spacing w:before="11"/>
        <w:ind w:left="0"/>
        <w:jc w:val="left"/>
        <w:rPr>
          <w:rFonts w:hint="eastAsia"/>
          <w:sz w:val="30"/>
          <w:szCs w:val="30"/>
        </w:rPr>
      </w:pPr>
      <w:r>
        <w:rPr>
          <w:rFonts w:hint="eastAsia"/>
          <w:sz w:val="30"/>
          <w:szCs w:val="30"/>
        </w:rPr>
        <w:t>这就是上帝如何捆绑撒但，使他不能再迷惑列国。</w:t>
      </w:r>
    </w:p>
    <w:p w14:paraId="436CD797">
      <w:pPr>
        <w:pStyle w:val="9"/>
        <w:spacing w:before="11"/>
        <w:ind w:left="0"/>
        <w:jc w:val="left"/>
        <w:rPr>
          <w:rFonts w:hint="eastAsia"/>
          <w:sz w:val="30"/>
          <w:szCs w:val="30"/>
        </w:rPr>
      </w:pPr>
    </w:p>
    <w:p w14:paraId="58CF02C3">
      <w:pPr>
        <w:pStyle w:val="9"/>
        <w:spacing w:before="11"/>
        <w:ind w:left="0"/>
        <w:jc w:val="left"/>
        <w:rPr>
          <w:rFonts w:hint="eastAsia"/>
          <w:sz w:val="30"/>
          <w:szCs w:val="30"/>
        </w:rPr>
      </w:pPr>
      <w:r>
        <w:rPr>
          <w:rFonts w:hint="eastAsia"/>
          <w:sz w:val="30"/>
          <w:szCs w:val="30"/>
        </w:rPr>
        <w:t>First, he destroys Satan’s evil kingdom at the cross—in principle.</w:t>
      </w:r>
    </w:p>
    <w:p w14:paraId="062C1C70">
      <w:pPr>
        <w:pStyle w:val="9"/>
        <w:spacing w:before="11"/>
        <w:ind w:left="0"/>
        <w:jc w:val="left"/>
        <w:rPr>
          <w:rFonts w:hint="eastAsia"/>
          <w:sz w:val="30"/>
          <w:szCs w:val="30"/>
        </w:rPr>
      </w:pPr>
      <w:r>
        <w:rPr>
          <w:rFonts w:hint="eastAsia"/>
          <w:sz w:val="30"/>
          <w:szCs w:val="30"/>
        </w:rPr>
        <w:t>首先，祂在十字架上——在原则上——摧毁了撒但的邪恶国度。</w:t>
      </w:r>
    </w:p>
    <w:p w14:paraId="4F9E9514">
      <w:pPr>
        <w:pStyle w:val="9"/>
        <w:spacing w:before="11"/>
        <w:ind w:left="0"/>
        <w:jc w:val="left"/>
        <w:rPr>
          <w:rFonts w:hint="eastAsia"/>
          <w:sz w:val="30"/>
          <w:szCs w:val="30"/>
        </w:rPr>
      </w:pPr>
    </w:p>
    <w:p w14:paraId="08C31225">
      <w:pPr>
        <w:pStyle w:val="9"/>
        <w:spacing w:before="11"/>
        <w:ind w:left="0"/>
        <w:jc w:val="left"/>
        <w:rPr>
          <w:rFonts w:hint="eastAsia"/>
          <w:sz w:val="30"/>
          <w:szCs w:val="30"/>
        </w:rPr>
      </w:pPr>
      <w:r>
        <w:rPr>
          <w:rFonts w:hint="eastAsia"/>
          <w:sz w:val="30"/>
          <w:szCs w:val="30"/>
        </w:rPr>
        <w:t>Then, throughout the entire Era of Proclamation, he further destroys it—in practice.</w:t>
      </w:r>
    </w:p>
    <w:p w14:paraId="6CFE1BC0">
      <w:pPr>
        <w:pStyle w:val="9"/>
        <w:spacing w:before="11"/>
        <w:ind w:left="0"/>
        <w:jc w:val="left"/>
        <w:rPr>
          <w:rFonts w:hint="eastAsia"/>
          <w:sz w:val="30"/>
          <w:szCs w:val="30"/>
        </w:rPr>
      </w:pPr>
      <w:r>
        <w:rPr>
          <w:rFonts w:hint="eastAsia"/>
          <w:sz w:val="30"/>
          <w:szCs w:val="30"/>
        </w:rPr>
        <w:t>然后，在整个宣讲时代，祂在实践中进一步将其摧毁。</w:t>
      </w:r>
    </w:p>
    <w:p w14:paraId="4C33D157">
      <w:pPr>
        <w:pStyle w:val="9"/>
        <w:spacing w:before="11"/>
        <w:ind w:left="0"/>
        <w:jc w:val="left"/>
        <w:rPr>
          <w:rFonts w:hint="eastAsia"/>
          <w:sz w:val="30"/>
          <w:szCs w:val="30"/>
        </w:rPr>
      </w:pPr>
    </w:p>
    <w:p w14:paraId="37626901">
      <w:pPr>
        <w:pStyle w:val="9"/>
        <w:spacing w:before="11"/>
        <w:ind w:left="0"/>
        <w:jc w:val="left"/>
        <w:rPr>
          <w:rFonts w:hint="eastAsia"/>
          <w:sz w:val="30"/>
          <w:szCs w:val="30"/>
        </w:rPr>
      </w:pPr>
      <w:r>
        <w:rPr>
          <w:rFonts w:hint="eastAsia"/>
          <w:sz w:val="30"/>
          <w:szCs w:val="30"/>
        </w:rPr>
        <w:t>How?</w:t>
      </w:r>
    </w:p>
    <w:p w14:paraId="1827A9DE">
      <w:pPr>
        <w:pStyle w:val="9"/>
        <w:spacing w:before="11"/>
        <w:ind w:left="0"/>
        <w:jc w:val="left"/>
        <w:rPr>
          <w:rFonts w:hint="eastAsia"/>
          <w:sz w:val="30"/>
          <w:szCs w:val="30"/>
        </w:rPr>
      </w:pPr>
      <w:r>
        <w:rPr>
          <w:rFonts w:hint="eastAsia"/>
          <w:sz w:val="30"/>
          <w:szCs w:val="30"/>
        </w:rPr>
        <w:t>如何做到？</w:t>
      </w:r>
    </w:p>
    <w:p w14:paraId="17DEE4A0">
      <w:pPr>
        <w:pStyle w:val="9"/>
        <w:spacing w:before="11"/>
        <w:ind w:left="0"/>
        <w:jc w:val="left"/>
        <w:rPr>
          <w:rFonts w:hint="eastAsia"/>
          <w:sz w:val="30"/>
          <w:szCs w:val="30"/>
        </w:rPr>
      </w:pPr>
    </w:p>
    <w:p w14:paraId="25A391A7">
      <w:pPr>
        <w:pStyle w:val="9"/>
        <w:spacing w:before="11"/>
        <w:ind w:left="0"/>
        <w:jc w:val="left"/>
        <w:rPr>
          <w:rFonts w:hint="eastAsia"/>
          <w:sz w:val="30"/>
          <w:szCs w:val="30"/>
        </w:rPr>
      </w:pPr>
      <w:r>
        <w:rPr>
          <w:rFonts w:hint="eastAsia"/>
          <w:sz w:val="30"/>
          <w:szCs w:val="30"/>
        </w:rPr>
        <w:t>By sending the Church with the message of Christ’s finished work to every land; by restraining Satan from blinding the eyes of his people any longer (2 Cor. 4:4); by casting down the devil from his former place of rulership over them (Rev. 12:9); and by infallibly drawing them into the Kingdom of his Beloved Son (John 12:32, Col. 1:13).</w:t>
      </w:r>
    </w:p>
    <w:p w14:paraId="62754D43">
      <w:pPr>
        <w:pStyle w:val="9"/>
        <w:spacing w:before="11"/>
        <w:ind w:left="0"/>
        <w:jc w:val="left"/>
        <w:rPr>
          <w:rFonts w:hint="eastAsia"/>
          <w:sz w:val="30"/>
          <w:szCs w:val="30"/>
        </w:rPr>
      </w:pPr>
      <w:r>
        <w:rPr>
          <w:rFonts w:hint="eastAsia"/>
          <w:sz w:val="30"/>
          <w:szCs w:val="30"/>
        </w:rPr>
        <w:t>通过差遣教会带着基督已完成工作的信息到各地；通过约束撒但不再蒙蔽祂子民的眼睛（林后4:4）；通过将魔鬼从他以前统治他们的地位上摔下来（启12:9）；并通过无误地将他们吸引到祂爱子的国度里（约12:32，西1:13）。</w:t>
      </w:r>
    </w:p>
    <w:p w14:paraId="5BB1C74C">
      <w:pPr>
        <w:pStyle w:val="9"/>
        <w:spacing w:before="11"/>
        <w:ind w:left="0"/>
        <w:jc w:val="left"/>
        <w:rPr>
          <w:rFonts w:hint="eastAsia"/>
          <w:sz w:val="30"/>
          <w:szCs w:val="30"/>
        </w:rPr>
      </w:pPr>
    </w:p>
    <w:p w14:paraId="535227B8">
      <w:pPr>
        <w:pStyle w:val="9"/>
        <w:spacing w:before="11"/>
        <w:ind w:left="0"/>
        <w:jc w:val="left"/>
        <w:rPr>
          <w:rFonts w:hint="eastAsia"/>
          <w:sz w:val="30"/>
          <w:szCs w:val="30"/>
        </w:rPr>
      </w:pPr>
      <w:r>
        <w:rPr>
          <w:rFonts w:hint="eastAsia"/>
          <w:sz w:val="30"/>
          <w:szCs w:val="30"/>
        </w:rPr>
        <w:t>How marvelously, then, this rich NT text illumines the deep meaning of Revelation 20:1-3!</w:t>
      </w:r>
    </w:p>
    <w:p w14:paraId="3138D5FB">
      <w:pPr>
        <w:pStyle w:val="9"/>
        <w:spacing w:before="11"/>
        <w:ind w:left="0"/>
        <w:jc w:val="left"/>
        <w:rPr>
          <w:rFonts w:hint="eastAsia"/>
          <w:sz w:val="30"/>
          <w:szCs w:val="30"/>
        </w:rPr>
      </w:pPr>
      <w:r>
        <w:rPr>
          <w:rFonts w:hint="eastAsia"/>
          <w:sz w:val="30"/>
          <w:szCs w:val="30"/>
        </w:rPr>
        <w:t>那么，这丰富的新约经文是何等奇妙地阐明了《启示录》20:1-3的深刻意义啊！</w:t>
      </w:r>
    </w:p>
    <w:p w14:paraId="5C12AD63">
      <w:pPr>
        <w:pStyle w:val="9"/>
        <w:spacing w:before="11"/>
        <w:ind w:left="0"/>
        <w:jc w:val="left"/>
        <w:rPr>
          <w:rFonts w:hint="eastAsia"/>
          <w:sz w:val="30"/>
          <w:szCs w:val="30"/>
        </w:rPr>
      </w:pPr>
    </w:p>
    <w:p w14:paraId="7D4E00F0">
      <w:pPr>
        <w:pStyle w:val="9"/>
        <w:spacing w:before="11"/>
        <w:ind w:left="0"/>
        <w:jc w:val="left"/>
        <w:rPr>
          <w:rFonts w:hint="eastAsia"/>
          <w:sz w:val="30"/>
          <w:szCs w:val="30"/>
        </w:rPr>
      </w:pPr>
      <w:r>
        <w:rPr>
          <w:rFonts w:hint="eastAsia"/>
          <w:sz w:val="30"/>
          <w:szCs w:val="30"/>
        </w:rPr>
        <w:t>We must briefly mention some other NT passages, as well.</w:t>
      </w:r>
    </w:p>
    <w:p w14:paraId="76C5D3A1">
      <w:pPr>
        <w:pStyle w:val="9"/>
        <w:spacing w:before="11"/>
        <w:ind w:left="0"/>
        <w:jc w:val="left"/>
        <w:rPr>
          <w:rFonts w:hint="eastAsia"/>
          <w:sz w:val="30"/>
          <w:szCs w:val="30"/>
        </w:rPr>
      </w:pPr>
      <w:r>
        <w:rPr>
          <w:rFonts w:hint="eastAsia"/>
          <w:sz w:val="30"/>
          <w:szCs w:val="30"/>
        </w:rPr>
        <w:t>我们也必须简要地提及其他一些新约经文。</w:t>
      </w:r>
    </w:p>
    <w:p w14:paraId="3B63F9EE">
      <w:pPr>
        <w:pStyle w:val="9"/>
        <w:spacing w:before="11"/>
        <w:ind w:left="0"/>
        <w:jc w:val="left"/>
        <w:rPr>
          <w:rFonts w:hint="eastAsia"/>
          <w:sz w:val="30"/>
          <w:szCs w:val="30"/>
        </w:rPr>
      </w:pPr>
    </w:p>
    <w:p w14:paraId="3CCF1C79">
      <w:pPr>
        <w:pStyle w:val="9"/>
        <w:spacing w:before="11"/>
        <w:ind w:left="0"/>
        <w:jc w:val="left"/>
        <w:rPr>
          <w:rFonts w:hint="eastAsia"/>
          <w:sz w:val="30"/>
          <w:szCs w:val="30"/>
        </w:rPr>
      </w:pPr>
      <w:r>
        <w:rPr>
          <w:rFonts w:hint="eastAsia"/>
          <w:sz w:val="30"/>
          <w:szCs w:val="30"/>
        </w:rPr>
        <w:t>Preaching to the Athenians, the apostle Paul declares that formerly God “winked” at the times of ignorance, in which they foolishly worshiped their idols.</w:t>
      </w:r>
    </w:p>
    <w:p w14:paraId="6A5DA379">
      <w:pPr>
        <w:pStyle w:val="9"/>
        <w:spacing w:before="11"/>
        <w:ind w:left="0"/>
        <w:jc w:val="left"/>
        <w:rPr>
          <w:rFonts w:hint="eastAsia"/>
          <w:sz w:val="30"/>
          <w:szCs w:val="30"/>
        </w:rPr>
      </w:pPr>
      <w:r>
        <w:rPr>
          <w:rFonts w:hint="eastAsia"/>
          <w:sz w:val="30"/>
          <w:szCs w:val="30"/>
        </w:rPr>
        <w:t>使徒保罗向雅典人讲道时宣告，从前上帝“不鉴察”那蒙昧无知的时候，那时他们愚昧地敬拜他们的偶像。</w:t>
      </w:r>
    </w:p>
    <w:p w14:paraId="65984862">
      <w:pPr>
        <w:pStyle w:val="9"/>
        <w:spacing w:before="11"/>
        <w:ind w:left="0"/>
        <w:jc w:val="left"/>
        <w:rPr>
          <w:rFonts w:hint="eastAsia"/>
          <w:sz w:val="30"/>
          <w:szCs w:val="30"/>
        </w:rPr>
      </w:pPr>
    </w:p>
    <w:p w14:paraId="015C1FEC">
      <w:pPr>
        <w:pStyle w:val="9"/>
        <w:spacing w:before="11"/>
        <w:ind w:left="0"/>
        <w:jc w:val="left"/>
        <w:rPr>
          <w:rFonts w:hint="eastAsia"/>
          <w:sz w:val="30"/>
          <w:szCs w:val="30"/>
        </w:rPr>
      </w:pPr>
      <w:r>
        <w:rPr>
          <w:rFonts w:hint="eastAsia"/>
          <w:sz w:val="30"/>
          <w:szCs w:val="30"/>
        </w:rPr>
        <w:t>Now, however, he is commanding all men everywhere to repent.</w:t>
      </w:r>
    </w:p>
    <w:p w14:paraId="1E5F5268">
      <w:pPr>
        <w:pStyle w:val="9"/>
        <w:spacing w:before="11"/>
        <w:ind w:left="0"/>
        <w:jc w:val="left"/>
        <w:rPr>
          <w:rFonts w:hint="eastAsia"/>
          <w:sz w:val="30"/>
          <w:szCs w:val="30"/>
        </w:rPr>
      </w:pPr>
      <w:r>
        <w:rPr>
          <w:rFonts w:hint="eastAsia"/>
          <w:sz w:val="30"/>
          <w:szCs w:val="30"/>
        </w:rPr>
        <w:t>然而，如今祂却吩咐各处的人都要悔改。</w:t>
      </w:r>
    </w:p>
    <w:p w14:paraId="0C7BD13C">
      <w:pPr>
        <w:pStyle w:val="9"/>
        <w:spacing w:before="11"/>
        <w:ind w:left="0"/>
        <w:jc w:val="left"/>
        <w:rPr>
          <w:rFonts w:hint="eastAsia"/>
          <w:sz w:val="30"/>
          <w:szCs w:val="30"/>
        </w:rPr>
      </w:pPr>
    </w:p>
    <w:p w14:paraId="704A938D">
      <w:pPr>
        <w:pStyle w:val="9"/>
        <w:spacing w:before="11"/>
        <w:ind w:left="0"/>
        <w:jc w:val="left"/>
        <w:rPr>
          <w:rFonts w:hint="eastAsia"/>
          <w:sz w:val="30"/>
          <w:szCs w:val="30"/>
        </w:rPr>
      </w:pPr>
      <w:r>
        <w:rPr>
          <w:rFonts w:hint="eastAsia"/>
          <w:sz w:val="30"/>
          <w:szCs w:val="30"/>
        </w:rPr>
        <w:t>Why?</w:t>
      </w:r>
    </w:p>
    <w:p w14:paraId="37AE0DF4">
      <w:pPr>
        <w:pStyle w:val="9"/>
        <w:spacing w:before="11"/>
        <w:ind w:left="0"/>
        <w:jc w:val="left"/>
        <w:rPr>
          <w:rFonts w:hint="eastAsia"/>
          <w:sz w:val="30"/>
          <w:szCs w:val="30"/>
        </w:rPr>
      </w:pPr>
      <w:r>
        <w:rPr>
          <w:rFonts w:hint="eastAsia"/>
          <w:sz w:val="30"/>
          <w:szCs w:val="30"/>
        </w:rPr>
        <w:t>为何？</w:t>
      </w:r>
    </w:p>
    <w:p w14:paraId="641EF3ED">
      <w:pPr>
        <w:pStyle w:val="9"/>
        <w:spacing w:before="11"/>
        <w:ind w:left="0"/>
        <w:jc w:val="left"/>
        <w:rPr>
          <w:rFonts w:hint="eastAsia"/>
          <w:sz w:val="30"/>
          <w:szCs w:val="30"/>
        </w:rPr>
      </w:pPr>
    </w:p>
    <w:p w14:paraId="63FF7636">
      <w:pPr>
        <w:pStyle w:val="9"/>
        <w:spacing w:before="11"/>
        <w:ind w:left="0"/>
        <w:jc w:val="left"/>
        <w:rPr>
          <w:rFonts w:hint="eastAsia"/>
          <w:sz w:val="30"/>
          <w:szCs w:val="30"/>
        </w:rPr>
      </w:pPr>
      <w:r>
        <w:rPr>
          <w:rFonts w:hint="eastAsia"/>
          <w:sz w:val="30"/>
          <w:szCs w:val="30"/>
        </w:rPr>
        <w:t>Because Christ has been exalted, the Gospel is going to the nations, and God is binding Satan from deceiving his people any longer, with the result that they can and will be saved (Acts 17:30-31, 26:17-18).</w:t>
      </w:r>
    </w:p>
    <w:p w14:paraId="136E52AC">
      <w:pPr>
        <w:pStyle w:val="9"/>
        <w:spacing w:before="11"/>
        <w:ind w:left="0"/>
        <w:jc w:val="left"/>
        <w:rPr>
          <w:rFonts w:hint="eastAsia"/>
          <w:sz w:val="30"/>
          <w:szCs w:val="30"/>
        </w:rPr>
      </w:pPr>
      <w:r>
        <w:rPr>
          <w:rFonts w:hint="eastAsia"/>
          <w:sz w:val="30"/>
          <w:szCs w:val="30"/>
        </w:rPr>
        <w:t>因为基督已被高举，福音正传向万国，上帝正捆绑撒但，使他不能再迷惑祂的子民，结果是他们能够并且将会得救（使徒行传17:30-31, 26:17-18）。</w:t>
      </w:r>
    </w:p>
    <w:p w14:paraId="5532C85F">
      <w:pPr>
        <w:pStyle w:val="9"/>
        <w:spacing w:before="11"/>
        <w:ind w:left="0"/>
        <w:jc w:val="left"/>
        <w:rPr>
          <w:rFonts w:hint="eastAsia"/>
          <w:sz w:val="30"/>
          <w:szCs w:val="30"/>
        </w:rPr>
      </w:pPr>
    </w:p>
    <w:p w14:paraId="1498A0BE">
      <w:pPr>
        <w:pStyle w:val="9"/>
        <w:spacing w:before="11"/>
        <w:ind w:left="0"/>
        <w:jc w:val="left"/>
        <w:rPr>
          <w:rFonts w:hint="eastAsia"/>
          <w:sz w:val="30"/>
          <w:szCs w:val="30"/>
        </w:rPr>
      </w:pPr>
      <w:r>
        <w:rPr>
          <w:rFonts w:hint="eastAsia"/>
          <w:sz w:val="30"/>
          <w:szCs w:val="30"/>
        </w:rPr>
        <w:t>Writing to the Corinthians, Paul states that through the preaching of the Gospel he and his fellow apostles are casting down arguments and every high thing that exalts itself against the knowledge of God, taking every thought captive to the obedience of Christ (2 Cor. 10:5).</w:t>
      </w:r>
    </w:p>
    <w:p w14:paraId="5D6A8C0F">
      <w:pPr>
        <w:pStyle w:val="9"/>
        <w:spacing w:before="11"/>
        <w:ind w:left="0"/>
        <w:jc w:val="left"/>
        <w:rPr>
          <w:rFonts w:hint="eastAsia"/>
          <w:sz w:val="30"/>
          <w:szCs w:val="30"/>
        </w:rPr>
      </w:pPr>
      <w:r>
        <w:rPr>
          <w:rFonts w:hint="eastAsia"/>
          <w:sz w:val="30"/>
          <w:szCs w:val="30"/>
        </w:rPr>
        <w:t>保罗写信给哥林多人说，通过福音的宣讲，他和他的同工使徒们正在攻破各样的计谋和各样拦阻人认识上帝的那些自高之事，又将人所有的心意夺回，使他都顺服基督（林后10:5）。</w:t>
      </w:r>
    </w:p>
    <w:p w14:paraId="725FA0B7">
      <w:pPr>
        <w:pStyle w:val="9"/>
        <w:spacing w:before="11"/>
        <w:ind w:left="0"/>
        <w:jc w:val="left"/>
        <w:rPr>
          <w:rFonts w:hint="eastAsia"/>
          <w:sz w:val="30"/>
          <w:szCs w:val="30"/>
        </w:rPr>
      </w:pPr>
    </w:p>
    <w:p w14:paraId="5EE5ECCC">
      <w:pPr>
        <w:pStyle w:val="9"/>
        <w:spacing w:before="11"/>
        <w:ind w:left="0"/>
        <w:jc w:val="left"/>
        <w:rPr>
          <w:rFonts w:hint="eastAsia"/>
          <w:sz w:val="30"/>
          <w:szCs w:val="30"/>
        </w:rPr>
      </w:pPr>
      <w:r>
        <w:rPr>
          <w:rFonts w:hint="eastAsia"/>
          <w:sz w:val="30"/>
          <w:szCs w:val="30"/>
        </w:rPr>
        <w:t>Here again we see the hand of God binding Satan from deceiving his elect among the Gentiles.</w:t>
      </w:r>
    </w:p>
    <w:p w14:paraId="7F8C1B35">
      <w:pPr>
        <w:pStyle w:val="9"/>
        <w:spacing w:before="11"/>
        <w:ind w:left="0"/>
        <w:jc w:val="left"/>
        <w:rPr>
          <w:rFonts w:hint="eastAsia"/>
          <w:sz w:val="30"/>
          <w:szCs w:val="30"/>
        </w:rPr>
      </w:pPr>
      <w:r>
        <w:rPr>
          <w:rFonts w:hint="eastAsia"/>
          <w:sz w:val="30"/>
          <w:szCs w:val="30"/>
        </w:rPr>
        <w:t>在这里我们再次看到上帝的手捆绑撒但，使他不能欺骗祂在外邦人中的选民。</w:t>
      </w:r>
    </w:p>
    <w:p w14:paraId="5C46CA58">
      <w:pPr>
        <w:pStyle w:val="9"/>
        <w:spacing w:before="11"/>
        <w:ind w:left="0"/>
        <w:jc w:val="left"/>
        <w:rPr>
          <w:rFonts w:hint="eastAsia"/>
          <w:sz w:val="30"/>
          <w:szCs w:val="30"/>
        </w:rPr>
      </w:pPr>
    </w:p>
    <w:p w14:paraId="56C090ED">
      <w:pPr>
        <w:pStyle w:val="9"/>
        <w:spacing w:before="11"/>
        <w:ind w:left="0"/>
        <w:jc w:val="left"/>
        <w:rPr>
          <w:rFonts w:hint="eastAsia"/>
          <w:sz w:val="30"/>
          <w:szCs w:val="30"/>
        </w:rPr>
      </w:pPr>
      <w:r>
        <w:rPr>
          <w:rFonts w:hint="eastAsia"/>
          <w:sz w:val="30"/>
          <w:szCs w:val="30"/>
        </w:rPr>
        <w:t>In 1 Cor. 15:20-28, the apostle speaks of the heavenly reign of Christ, and of how, throughout that reign, the High King is placing all his enemies underfoot.</w:t>
      </w:r>
    </w:p>
    <w:p w14:paraId="3C69C32C">
      <w:pPr>
        <w:pStyle w:val="9"/>
        <w:spacing w:before="11"/>
        <w:ind w:left="0"/>
        <w:jc w:val="left"/>
        <w:rPr>
          <w:rFonts w:hint="eastAsia"/>
          <w:sz w:val="30"/>
          <w:szCs w:val="30"/>
        </w:rPr>
      </w:pPr>
      <w:r>
        <w:rPr>
          <w:rFonts w:hint="eastAsia"/>
          <w:sz w:val="30"/>
          <w:szCs w:val="30"/>
        </w:rPr>
        <w:t>在林前15:20-28，使徒谈到基督属天的统治，以及在那统治期间，至高君王如何将祂所有的仇敌都放在脚下。</w:t>
      </w:r>
    </w:p>
    <w:p w14:paraId="77A259B9">
      <w:pPr>
        <w:pStyle w:val="9"/>
        <w:spacing w:before="11"/>
        <w:ind w:left="0"/>
        <w:jc w:val="left"/>
        <w:rPr>
          <w:rFonts w:hint="eastAsia"/>
          <w:sz w:val="30"/>
          <w:szCs w:val="30"/>
        </w:rPr>
      </w:pPr>
    </w:p>
    <w:p w14:paraId="0632AD18">
      <w:pPr>
        <w:pStyle w:val="9"/>
        <w:spacing w:before="11"/>
        <w:ind w:left="0"/>
        <w:jc w:val="left"/>
        <w:rPr>
          <w:rFonts w:hint="eastAsia"/>
          <w:sz w:val="30"/>
          <w:szCs w:val="30"/>
        </w:rPr>
      </w:pPr>
      <w:r>
        <w:rPr>
          <w:rFonts w:hint="eastAsia"/>
          <w:sz w:val="30"/>
          <w:szCs w:val="30"/>
        </w:rPr>
        <w:t>This also pictures the binding of Satan, which results in the progressive demise of his worldwide kingdom through the preaching of the Gospel.</w:t>
      </w:r>
    </w:p>
    <w:p w14:paraId="47EA4428">
      <w:pPr>
        <w:pStyle w:val="9"/>
        <w:spacing w:before="11"/>
        <w:ind w:left="0"/>
        <w:jc w:val="left"/>
        <w:rPr>
          <w:rFonts w:hint="eastAsia"/>
          <w:sz w:val="30"/>
          <w:szCs w:val="30"/>
        </w:rPr>
      </w:pPr>
      <w:r>
        <w:rPr>
          <w:rFonts w:hint="eastAsia"/>
          <w:sz w:val="30"/>
          <w:szCs w:val="30"/>
        </w:rPr>
        <w:t>这也描绘了撒但的被捆绑，这导致了他全球性国度通过福音的宣讲而逐步灭亡。</w:t>
      </w:r>
    </w:p>
    <w:p w14:paraId="1D023FAA">
      <w:pPr>
        <w:pStyle w:val="9"/>
        <w:spacing w:before="11"/>
        <w:ind w:left="0"/>
        <w:jc w:val="left"/>
        <w:rPr>
          <w:rFonts w:hint="eastAsia"/>
          <w:sz w:val="30"/>
          <w:szCs w:val="30"/>
        </w:rPr>
      </w:pPr>
    </w:p>
    <w:p w14:paraId="713AE23F">
      <w:pPr>
        <w:pStyle w:val="9"/>
        <w:spacing w:before="11"/>
        <w:ind w:left="0"/>
        <w:jc w:val="left"/>
        <w:rPr>
          <w:rFonts w:hint="eastAsia"/>
          <w:sz w:val="30"/>
          <w:szCs w:val="30"/>
        </w:rPr>
      </w:pPr>
      <w:r>
        <w:rPr>
          <w:rFonts w:hint="eastAsia"/>
          <w:sz w:val="30"/>
          <w:szCs w:val="30"/>
        </w:rPr>
        <w:t>Finally, we have such texts as Ephesians 1:19-23 and Colossians 2:8-15, which associate the exaltation of Christ with the subjection of the demonic rulers and powers in the heavenly places.</w:t>
      </w:r>
    </w:p>
    <w:p w14:paraId="6EACCC0F">
      <w:pPr>
        <w:pStyle w:val="9"/>
        <w:spacing w:before="11"/>
        <w:ind w:left="0"/>
        <w:jc w:val="left"/>
        <w:rPr>
          <w:rFonts w:hint="eastAsia"/>
          <w:sz w:val="30"/>
          <w:szCs w:val="30"/>
        </w:rPr>
      </w:pPr>
      <w:r>
        <w:rPr>
          <w:rFonts w:hint="eastAsia"/>
          <w:sz w:val="30"/>
          <w:szCs w:val="30"/>
        </w:rPr>
        <w:t>最后，我们有像以弗所书1:19-23和歌罗西书2:8-15这样的经文，它们将基督的被高举与天上执政的、掌权的被制伏联系在一起。</w:t>
      </w:r>
    </w:p>
    <w:p w14:paraId="3A9E0DD0">
      <w:pPr>
        <w:pStyle w:val="9"/>
        <w:spacing w:before="11"/>
        <w:ind w:left="0"/>
        <w:jc w:val="left"/>
        <w:rPr>
          <w:rFonts w:hint="eastAsia"/>
          <w:sz w:val="30"/>
          <w:szCs w:val="30"/>
        </w:rPr>
      </w:pPr>
    </w:p>
    <w:p w14:paraId="7DAECE34">
      <w:pPr>
        <w:pStyle w:val="9"/>
        <w:spacing w:before="11"/>
        <w:ind w:left="0"/>
        <w:jc w:val="left"/>
        <w:rPr>
          <w:rFonts w:hint="eastAsia"/>
          <w:sz w:val="30"/>
          <w:szCs w:val="30"/>
        </w:rPr>
      </w:pPr>
      <w:r>
        <w:rPr>
          <w:rFonts w:hint="eastAsia"/>
          <w:sz w:val="30"/>
          <w:szCs w:val="30"/>
        </w:rPr>
        <w:t>This in turn leads to the gathering of Christ’s elect out of every tribe, tongue, people, and nation.</w:t>
      </w:r>
    </w:p>
    <w:p w14:paraId="53186603">
      <w:pPr>
        <w:pStyle w:val="9"/>
        <w:spacing w:before="11"/>
        <w:ind w:left="0"/>
        <w:jc w:val="left"/>
        <w:rPr>
          <w:rFonts w:hint="eastAsia"/>
          <w:sz w:val="30"/>
          <w:szCs w:val="30"/>
        </w:rPr>
      </w:pPr>
      <w:r>
        <w:rPr>
          <w:rFonts w:hint="eastAsia"/>
          <w:sz w:val="30"/>
          <w:szCs w:val="30"/>
        </w:rPr>
        <w:t>这反过来又导致了基督的选民从各族、各方、各民、各国中被聚集。</w:t>
      </w:r>
    </w:p>
    <w:p w14:paraId="72974F93">
      <w:pPr>
        <w:pStyle w:val="9"/>
        <w:spacing w:before="11"/>
        <w:ind w:left="0"/>
        <w:jc w:val="left"/>
        <w:rPr>
          <w:rFonts w:hint="eastAsia"/>
          <w:sz w:val="30"/>
          <w:szCs w:val="30"/>
        </w:rPr>
      </w:pPr>
    </w:p>
    <w:p w14:paraId="698AE6AF">
      <w:pPr>
        <w:pStyle w:val="9"/>
        <w:spacing w:before="11"/>
        <w:ind w:left="0"/>
        <w:jc w:val="left"/>
        <w:rPr>
          <w:rFonts w:hint="eastAsia"/>
          <w:sz w:val="30"/>
          <w:szCs w:val="30"/>
        </w:rPr>
      </w:pPr>
      <w:r>
        <w:rPr>
          <w:rFonts w:hint="eastAsia"/>
          <w:sz w:val="30"/>
          <w:szCs w:val="30"/>
        </w:rPr>
        <w:t>Such didactic passages give us the rich NT theology underlying Revelation 20:1-3.</w:t>
      </w:r>
    </w:p>
    <w:p w14:paraId="1B1C982E">
      <w:pPr>
        <w:pStyle w:val="9"/>
        <w:spacing w:before="11"/>
        <w:ind w:left="0"/>
        <w:jc w:val="left"/>
        <w:rPr>
          <w:rFonts w:hint="eastAsia"/>
          <w:sz w:val="30"/>
          <w:szCs w:val="30"/>
        </w:rPr>
      </w:pPr>
      <w:r>
        <w:rPr>
          <w:rFonts w:hint="eastAsia"/>
          <w:sz w:val="30"/>
          <w:szCs w:val="30"/>
        </w:rPr>
        <w:t>这些教导性的经文为我们提供了《启示录》20:1-3背后丰富的新约神学。</w:t>
      </w:r>
    </w:p>
    <w:p w14:paraId="12D60A7C">
      <w:pPr>
        <w:pStyle w:val="9"/>
        <w:spacing w:before="11"/>
        <w:ind w:left="0"/>
        <w:jc w:val="left"/>
        <w:rPr>
          <w:rFonts w:hint="eastAsia"/>
          <w:sz w:val="30"/>
          <w:szCs w:val="30"/>
        </w:rPr>
      </w:pPr>
    </w:p>
    <w:p w14:paraId="51FF6BE6">
      <w:pPr>
        <w:pStyle w:val="9"/>
        <w:spacing w:before="11"/>
        <w:ind w:left="0"/>
        <w:jc w:val="left"/>
        <w:rPr>
          <w:rFonts w:hint="eastAsia"/>
          <w:sz w:val="30"/>
          <w:szCs w:val="30"/>
        </w:rPr>
      </w:pPr>
      <w:r>
        <w:rPr>
          <w:rFonts w:hint="eastAsia"/>
          <w:sz w:val="30"/>
          <w:szCs w:val="30"/>
        </w:rPr>
        <w:t>The Holy Spirit assumes that we understand it well.</w:t>
      </w:r>
    </w:p>
    <w:p w14:paraId="61872B39">
      <w:pPr>
        <w:pStyle w:val="9"/>
        <w:spacing w:before="11"/>
        <w:ind w:left="0"/>
        <w:jc w:val="left"/>
        <w:rPr>
          <w:rFonts w:hint="eastAsia"/>
          <w:sz w:val="30"/>
          <w:szCs w:val="30"/>
        </w:rPr>
      </w:pPr>
      <w:r>
        <w:rPr>
          <w:rFonts w:hint="eastAsia"/>
          <w:sz w:val="30"/>
          <w:szCs w:val="30"/>
        </w:rPr>
        <w:t>圣灵假设我们对此理解得很透彻。</w:t>
      </w:r>
    </w:p>
    <w:p w14:paraId="0AB1FD78">
      <w:pPr>
        <w:pStyle w:val="9"/>
        <w:spacing w:before="11"/>
        <w:ind w:left="0"/>
        <w:jc w:val="left"/>
        <w:rPr>
          <w:rFonts w:hint="eastAsia"/>
          <w:sz w:val="30"/>
          <w:szCs w:val="30"/>
        </w:rPr>
      </w:pPr>
    </w:p>
    <w:p w14:paraId="5C74BCA9">
      <w:pPr>
        <w:pStyle w:val="9"/>
        <w:spacing w:before="11"/>
        <w:ind w:left="0"/>
        <w:jc w:val="left"/>
        <w:rPr>
          <w:rFonts w:hint="eastAsia"/>
          <w:sz w:val="30"/>
          <w:szCs w:val="30"/>
        </w:rPr>
      </w:pPr>
      <w:r>
        <w:rPr>
          <w:rFonts w:hint="eastAsia"/>
          <w:sz w:val="30"/>
          <w:szCs w:val="30"/>
        </w:rPr>
        <w:t>We conclude, then, that Revelation 20:1-3 does indeed take us back to the beginning of the Era of Proclamation; that it uses apocalyptic symbolism to depict, one final time, the assured results of the finished work of Christ and the subsequent proclamation of the Gospel.</w:t>
      </w:r>
    </w:p>
    <w:p w14:paraId="6841BF45">
      <w:pPr>
        <w:pStyle w:val="9"/>
        <w:spacing w:before="11"/>
        <w:ind w:left="0"/>
        <w:jc w:val="left"/>
        <w:rPr>
          <w:rFonts w:hint="eastAsia"/>
          <w:sz w:val="30"/>
          <w:szCs w:val="30"/>
        </w:rPr>
      </w:pPr>
      <w:r>
        <w:rPr>
          <w:rFonts w:hint="eastAsia"/>
          <w:sz w:val="30"/>
          <w:szCs w:val="30"/>
        </w:rPr>
        <w:t>因此，我们得出结论，《启示录》20:1-3确实将我们带回到宣讲时代的开端；它使用末世象征手法，最后一次描绘了基督已完成工作和随后福音宣讲的确定结果。</w:t>
      </w:r>
    </w:p>
    <w:p w14:paraId="3C23F21C">
      <w:pPr>
        <w:pStyle w:val="9"/>
        <w:spacing w:before="11"/>
        <w:ind w:left="0"/>
        <w:jc w:val="left"/>
        <w:rPr>
          <w:rFonts w:hint="eastAsia"/>
          <w:sz w:val="30"/>
          <w:szCs w:val="30"/>
        </w:rPr>
      </w:pPr>
    </w:p>
    <w:p w14:paraId="7C26F515">
      <w:pPr>
        <w:pStyle w:val="9"/>
        <w:spacing w:before="11"/>
        <w:ind w:left="0"/>
        <w:jc w:val="left"/>
        <w:rPr>
          <w:rFonts w:hint="eastAsia"/>
          <w:sz w:val="30"/>
          <w:szCs w:val="30"/>
        </w:rPr>
      </w:pPr>
      <w:r>
        <w:rPr>
          <w:rFonts w:hint="eastAsia"/>
          <w:sz w:val="30"/>
          <w:szCs w:val="30"/>
        </w:rPr>
        <w:t>Henceforth, God will continually restrain Satan in such a way that he can no longer deceive the elect of all nations with false religion or philosophy, nor hinder them from coming to Christ, nor gather the world-system against them in order to prevent them from completing their mission.</w:t>
      </w:r>
    </w:p>
    <w:p w14:paraId="0B55E8C6">
      <w:pPr>
        <w:pStyle w:val="9"/>
        <w:spacing w:before="11"/>
        <w:ind w:left="0"/>
        <w:jc w:val="left"/>
        <w:rPr>
          <w:rFonts w:hint="eastAsia"/>
          <w:sz w:val="30"/>
          <w:szCs w:val="30"/>
        </w:rPr>
      </w:pPr>
      <w:r>
        <w:rPr>
          <w:rFonts w:hint="eastAsia"/>
          <w:sz w:val="30"/>
          <w:szCs w:val="30"/>
        </w:rPr>
        <w:t>从今以后，上帝将持续地约束撒但，使他不能再用假宗教或哲学来欺骗所有国家的选民，也不能阻碍他们归向基督，也不能聚集世界体系来攻击他们以阻止他们完成他们的使命。</w:t>
      </w:r>
    </w:p>
    <w:p w14:paraId="5B0E9873">
      <w:pPr>
        <w:pStyle w:val="9"/>
        <w:spacing w:before="11"/>
        <w:ind w:left="0"/>
        <w:jc w:val="left"/>
        <w:rPr>
          <w:rFonts w:hint="eastAsia"/>
          <w:sz w:val="30"/>
          <w:szCs w:val="30"/>
        </w:rPr>
      </w:pPr>
    </w:p>
    <w:p w14:paraId="30DCA7CE">
      <w:pPr>
        <w:pStyle w:val="9"/>
        <w:spacing w:before="11"/>
        <w:ind w:left="0"/>
        <w:jc w:val="left"/>
        <w:rPr>
          <w:rFonts w:hint="eastAsia"/>
          <w:sz w:val="30"/>
          <w:szCs w:val="30"/>
        </w:rPr>
      </w:pPr>
      <w:r>
        <w:rPr>
          <w:rFonts w:hint="eastAsia"/>
          <w:sz w:val="30"/>
          <w:szCs w:val="30"/>
        </w:rPr>
        <w:t>The OT prophecies of the Messiah’s universal Kingdom will be fulfilled (Psalm 2:7-8, Isaiah 42:1-4, Amos 9:11, Micah 4:1-5).</w:t>
      </w:r>
    </w:p>
    <w:p w14:paraId="0AF56308">
      <w:pPr>
        <w:pStyle w:val="9"/>
        <w:spacing w:before="11"/>
        <w:ind w:left="0"/>
        <w:jc w:val="left"/>
        <w:rPr>
          <w:rFonts w:hint="eastAsia"/>
          <w:sz w:val="30"/>
          <w:szCs w:val="30"/>
        </w:rPr>
      </w:pPr>
      <w:r>
        <w:rPr>
          <w:rFonts w:hint="eastAsia"/>
          <w:sz w:val="30"/>
          <w:szCs w:val="30"/>
        </w:rPr>
        <w:t>旧约关于弥赛亚普世国度的预言将要应验（诗篇2:7-8，以赛亚书42:1-4，阿摩司书9:11，弥迦书4:1-5）。</w:t>
      </w:r>
    </w:p>
    <w:p w14:paraId="3881B94F">
      <w:pPr>
        <w:pStyle w:val="9"/>
        <w:spacing w:before="11"/>
        <w:ind w:left="0"/>
        <w:jc w:val="left"/>
        <w:rPr>
          <w:rFonts w:hint="eastAsia"/>
          <w:sz w:val="30"/>
          <w:szCs w:val="30"/>
        </w:rPr>
      </w:pPr>
    </w:p>
    <w:p w14:paraId="2D3B4806">
      <w:pPr>
        <w:pStyle w:val="9"/>
        <w:spacing w:before="11"/>
        <w:ind w:left="0"/>
        <w:jc w:val="left"/>
        <w:rPr>
          <w:rFonts w:hint="eastAsia"/>
          <w:sz w:val="30"/>
          <w:szCs w:val="30"/>
        </w:rPr>
      </w:pPr>
      <w:r>
        <w:rPr>
          <w:rFonts w:hint="eastAsia"/>
          <w:sz w:val="30"/>
          <w:szCs w:val="30"/>
        </w:rPr>
        <w:t>Christ will build his Church (Mt. 16:18, 24:14, John 10:16, Rev. 5:9).</w:t>
      </w:r>
    </w:p>
    <w:p w14:paraId="7AAFF734">
      <w:pPr>
        <w:pStyle w:val="9"/>
        <w:spacing w:before="11"/>
        <w:ind w:left="0"/>
        <w:jc w:val="left"/>
        <w:rPr>
          <w:rFonts w:hint="eastAsia"/>
          <w:sz w:val="30"/>
          <w:szCs w:val="30"/>
        </w:rPr>
      </w:pPr>
      <w:r>
        <w:rPr>
          <w:rFonts w:hint="eastAsia"/>
          <w:sz w:val="30"/>
          <w:szCs w:val="30"/>
        </w:rPr>
        <w:t>基督将建立祂的教会（太16:18, 24:14，约10:16，启5:9）。</w:t>
      </w:r>
    </w:p>
    <w:p w14:paraId="12F2785E">
      <w:pPr>
        <w:pStyle w:val="9"/>
        <w:spacing w:before="11"/>
        <w:ind w:left="0"/>
        <w:jc w:val="left"/>
        <w:rPr>
          <w:rFonts w:hint="eastAsia"/>
          <w:sz w:val="30"/>
          <w:szCs w:val="30"/>
        </w:rPr>
      </w:pPr>
    </w:p>
    <w:p w14:paraId="118EA783">
      <w:pPr>
        <w:pStyle w:val="9"/>
        <w:spacing w:before="11"/>
        <w:ind w:left="0"/>
        <w:jc w:val="left"/>
        <w:rPr>
          <w:rFonts w:hint="eastAsia"/>
          <w:sz w:val="30"/>
          <w:szCs w:val="30"/>
        </w:rPr>
      </w:pPr>
      <w:r>
        <w:rPr>
          <w:rFonts w:hint="eastAsia"/>
          <w:sz w:val="30"/>
          <w:szCs w:val="30"/>
        </w:rPr>
        <w:t>How do we know this?</w:t>
      </w:r>
    </w:p>
    <w:p w14:paraId="234B6ACE">
      <w:pPr>
        <w:pStyle w:val="9"/>
        <w:spacing w:before="11"/>
        <w:ind w:left="0"/>
        <w:jc w:val="left"/>
        <w:rPr>
          <w:rFonts w:hint="eastAsia"/>
          <w:sz w:val="30"/>
          <w:szCs w:val="30"/>
        </w:rPr>
      </w:pPr>
      <w:r>
        <w:rPr>
          <w:rFonts w:hint="eastAsia"/>
          <w:sz w:val="30"/>
          <w:szCs w:val="30"/>
        </w:rPr>
        <w:t>我们如何知道这一点？</w:t>
      </w:r>
    </w:p>
    <w:p w14:paraId="17DA41B6">
      <w:pPr>
        <w:pStyle w:val="9"/>
        <w:spacing w:before="11"/>
        <w:ind w:left="0"/>
        <w:jc w:val="left"/>
        <w:rPr>
          <w:rFonts w:hint="eastAsia"/>
          <w:sz w:val="30"/>
          <w:szCs w:val="30"/>
        </w:rPr>
      </w:pPr>
    </w:p>
    <w:p w14:paraId="0C611424">
      <w:pPr>
        <w:pStyle w:val="9"/>
        <w:spacing w:before="11"/>
        <w:ind w:left="0"/>
        <w:jc w:val="left"/>
        <w:rPr>
          <w:rFonts w:hint="eastAsia"/>
          <w:sz w:val="30"/>
          <w:szCs w:val="30"/>
        </w:rPr>
      </w:pPr>
      <w:r>
        <w:rPr>
          <w:rFonts w:hint="eastAsia"/>
          <w:sz w:val="30"/>
          <w:szCs w:val="30"/>
        </w:rPr>
        <w:t>Because until the very end of the age, Satan will be bound.</w:t>
      </w:r>
    </w:p>
    <w:p w14:paraId="5C617D43">
      <w:pPr>
        <w:pStyle w:val="9"/>
        <w:spacing w:before="11"/>
        <w:ind w:left="0"/>
        <w:jc w:val="left"/>
        <w:rPr>
          <w:rFonts w:hint="eastAsia"/>
          <w:sz w:val="30"/>
          <w:szCs w:val="30"/>
        </w:rPr>
      </w:pPr>
      <w:r>
        <w:rPr>
          <w:rFonts w:hint="eastAsia"/>
          <w:sz w:val="30"/>
          <w:szCs w:val="30"/>
        </w:rPr>
        <w:t>因为直到世代的末了，撒但都将被捆绑。</w:t>
      </w:r>
    </w:p>
    <w:p w14:paraId="46A1871D">
      <w:pPr>
        <w:pStyle w:val="9"/>
        <w:spacing w:before="11"/>
        <w:ind w:left="0"/>
        <w:jc w:val="left"/>
        <w:rPr>
          <w:rFonts w:hint="eastAsia"/>
          <w:sz w:val="30"/>
          <w:szCs w:val="30"/>
        </w:rPr>
      </w:pPr>
    </w:p>
    <w:p w14:paraId="5DC025B8">
      <w:pPr>
        <w:pStyle w:val="9"/>
        <w:spacing w:before="11"/>
        <w:ind w:left="0"/>
        <w:jc w:val="left"/>
        <w:rPr>
          <w:rFonts w:hint="eastAsia"/>
          <w:sz w:val="30"/>
          <w:szCs w:val="30"/>
        </w:rPr>
      </w:pPr>
      <w:r>
        <w:rPr>
          <w:rFonts w:hint="eastAsia"/>
          <w:sz w:val="30"/>
          <w:szCs w:val="30"/>
        </w:rPr>
        <w:t>1.What is the meaning of the thousand years?</w:t>
      </w:r>
    </w:p>
    <w:p w14:paraId="0F6A7313">
      <w:pPr>
        <w:pStyle w:val="9"/>
        <w:spacing w:before="11"/>
        <w:ind w:left="0"/>
        <w:jc w:val="left"/>
        <w:rPr>
          <w:rFonts w:hint="eastAsia"/>
          <w:sz w:val="30"/>
          <w:szCs w:val="30"/>
        </w:rPr>
      </w:pPr>
      <w:r>
        <w:rPr>
          <w:rFonts w:hint="eastAsia"/>
          <w:sz w:val="30"/>
          <w:szCs w:val="30"/>
        </w:rPr>
        <w:t>1.一千年是什么意思？</w:t>
      </w:r>
    </w:p>
    <w:p w14:paraId="696194B3">
      <w:pPr>
        <w:pStyle w:val="9"/>
        <w:spacing w:before="11"/>
        <w:ind w:left="0"/>
        <w:jc w:val="left"/>
        <w:rPr>
          <w:rFonts w:hint="eastAsia"/>
          <w:sz w:val="30"/>
          <w:szCs w:val="30"/>
        </w:rPr>
      </w:pPr>
    </w:p>
    <w:p w14:paraId="45F79995">
      <w:pPr>
        <w:pStyle w:val="9"/>
        <w:spacing w:before="11"/>
        <w:ind w:left="0"/>
        <w:jc w:val="left"/>
        <w:rPr>
          <w:rFonts w:hint="eastAsia"/>
          <w:sz w:val="30"/>
          <w:szCs w:val="30"/>
        </w:rPr>
      </w:pPr>
      <w:r>
        <w:rPr>
          <w:rFonts w:hint="eastAsia"/>
          <w:sz w:val="30"/>
          <w:szCs w:val="30"/>
        </w:rPr>
        <w:t>I have suggested that the thousand years of Revelation 20 is a symbolic number depicting the entire Era of Proclamation, a number characterizing it as a lengthy season in which God, through Christ, will complete his redemptive work by fully gathering in his elect.</w:t>
      </w:r>
    </w:p>
    <w:p w14:paraId="71C323D5">
      <w:pPr>
        <w:pStyle w:val="9"/>
        <w:spacing w:before="11"/>
        <w:ind w:left="0"/>
        <w:jc w:val="left"/>
        <w:rPr>
          <w:rFonts w:hint="eastAsia"/>
          <w:sz w:val="30"/>
          <w:szCs w:val="30"/>
        </w:rPr>
      </w:pPr>
      <w:r>
        <w:rPr>
          <w:rFonts w:hint="eastAsia"/>
          <w:sz w:val="30"/>
          <w:szCs w:val="30"/>
        </w:rPr>
        <w:t>我曾提出，《启示录》第20章的一千年是一个象征性的数字，描绘了整个宣讲时代，这个数字将其描述为一个漫长的时期，在此期间上帝将通过基督，通过完全聚集祂的选民来完成祂的救赎工作。</w:t>
      </w:r>
    </w:p>
    <w:p w14:paraId="37B8428C">
      <w:pPr>
        <w:pStyle w:val="9"/>
        <w:spacing w:before="11"/>
        <w:ind w:left="0"/>
        <w:jc w:val="left"/>
        <w:rPr>
          <w:rFonts w:hint="eastAsia"/>
          <w:sz w:val="30"/>
          <w:szCs w:val="30"/>
        </w:rPr>
      </w:pPr>
    </w:p>
    <w:p w14:paraId="67C26DE6">
      <w:pPr>
        <w:pStyle w:val="9"/>
        <w:spacing w:before="11"/>
        <w:ind w:left="0"/>
        <w:jc w:val="left"/>
        <w:rPr>
          <w:rFonts w:hint="eastAsia"/>
          <w:sz w:val="30"/>
          <w:szCs w:val="30"/>
        </w:rPr>
      </w:pPr>
      <w:r>
        <w:rPr>
          <w:rFonts w:hint="eastAsia"/>
          <w:sz w:val="30"/>
          <w:szCs w:val="30"/>
        </w:rPr>
        <w:t>This is clear both from the biblical use of the number and from its mystical meaning.</w:t>
      </w:r>
    </w:p>
    <w:p w14:paraId="6F17BA16">
      <w:pPr>
        <w:pStyle w:val="9"/>
        <w:spacing w:before="11"/>
        <w:ind w:left="0"/>
        <w:jc w:val="left"/>
        <w:rPr>
          <w:rFonts w:hint="eastAsia"/>
          <w:sz w:val="30"/>
          <w:szCs w:val="30"/>
        </w:rPr>
      </w:pPr>
      <w:r>
        <w:rPr>
          <w:rFonts w:hint="eastAsia"/>
          <w:sz w:val="30"/>
          <w:szCs w:val="30"/>
        </w:rPr>
        <w:t>这从圣经对这个数字的使用和它的神秘意义来看都很清楚。</w:t>
      </w:r>
    </w:p>
    <w:p w14:paraId="7FBA8A4D">
      <w:pPr>
        <w:pStyle w:val="9"/>
        <w:spacing w:before="11"/>
        <w:ind w:left="0"/>
        <w:jc w:val="left"/>
        <w:rPr>
          <w:rFonts w:hint="eastAsia"/>
          <w:sz w:val="30"/>
          <w:szCs w:val="30"/>
        </w:rPr>
      </w:pPr>
    </w:p>
    <w:p w14:paraId="4AF8EEA0">
      <w:pPr>
        <w:pStyle w:val="9"/>
        <w:spacing w:before="11"/>
        <w:ind w:left="0"/>
        <w:jc w:val="left"/>
        <w:rPr>
          <w:rFonts w:hint="eastAsia"/>
          <w:sz w:val="30"/>
          <w:szCs w:val="30"/>
        </w:rPr>
      </w:pPr>
      <w:r>
        <w:rPr>
          <w:rFonts w:hint="eastAsia"/>
          <w:sz w:val="30"/>
          <w:szCs w:val="30"/>
        </w:rPr>
        <w:t>As to its biblical use, the OT repeatedly employs the number 1000 to convey the idea of magnitude (Gen. 24:60, Ex. 20:6, Deut. 1:11, 32:30, 33:2, Psalm 68:17, Dan. 7:10).</w:t>
      </w:r>
    </w:p>
    <w:p w14:paraId="70DA576C">
      <w:pPr>
        <w:pStyle w:val="9"/>
        <w:spacing w:before="11"/>
        <w:ind w:left="0"/>
        <w:jc w:val="left"/>
        <w:rPr>
          <w:rFonts w:hint="eastAsia"/>
          <w:sz w:val="30"/>
          <w:szCs w:val="30"/>
        </w:rPr>
      </w:pPr>
      <w:r>
        <w:rPr>
          <w:rFonts w:hint="eastAsia"/>
          <w:sz w:val="30"/>
          <w:szCs w:val="30"/>
        </w:rPr>
        <w:t>至于其在圣经中的使用，旧约反复使用数字1000来传达数量巨大的概念（创24:60，出20:6，申1:11，32:30，33:2，诗68:17，但7:10）。</w:t>
      </w:r>
    </w:p>
    <w:p w14:paraId="7313FB58">
      <w:pPr>
        <w:pStyle w:val="9"/>
        <w:spacing w:before="11"/>
        <w:ind w:left="0"/>
        <w:jc w:val="left"/>
        <w:rPr>
          <w:rFonts w:hint="eastAsia"/>
          <w:sz w:val="30"/>
          <w:szCs w:val="30"/>
        </w:rPr>
      </w:pPr>
    </w:p>
    <w:p w14:paraId="2F3455CB">
      <w:pPr>
        <w:pStyle w:val="9"/>
        <w:spacing w:before="11"/>
        <w:ind w:left="0"/>
        <w:jc w:val="left"/>
        <w:rPr>
          <w:rFonts w:hint="eastAsia"/>
          <w:sz w:val="30"/>
          <w:szCs w:val="30"/>
        </w:rPr>
      </w:pPr>
      <w:r>
        <w:rPr>
          <w:rFonts w:hint="eastAsia"/>
          <w:sz w:val="30"/>
          <w:szCs w:val="30"/>
        </w:rPr>
        <w:t>The NT follows suit (Heb. 12:22, Jude 1:14, Rev. 5:11).</w:t>
      </w:r>
    </w:p>
    <w:p w14:paraId="5CC38D0B">
      <w:pPr>
        <w:pStyle w:val="9"/>
        <w:spacing w:before="11"/>
        <w:ind w:left="0"/>
        <w:jc w:val="left"/>
        <w:rPr>
          <w:rFonts w:hint="eastAsia"/>
          <w:sz w:val="30"/>
          <w:szCs w:val="30"/>
        </w:rPr>
      </w:pPr>
      <w:r>
        <w:rPr>
          <w:rFonts w:hint="eastAsia"/>
          <w:sz w:val="30"/>
          <w:szCs w:val="30"/>
        </w:rPr>
        <w:t>新约也同样如此（来12:22，犹1:14，启5:11）。</w:t>
      </w:r>
    </w:p>
    <w:p w14:paraId="1A0174B2">
      <w:pPr>
        <w:pStyle w:val="9"/>
        <w:spacing w:before="11"/>
        <w:ind w:left="0"/>
        <w:jc w:val="left"/>
        <w:rPr>
          <w:rFonts w:hint="eastAsia"/>
          <w:sz w:val="30"/>
          <w:szCs w:val="30"/>
        </w:rPr>
      </w:pPr>
    </w:p>
    <w:p w14:paraId="324CF125">
      <w:pPr>
        <w:pStyle w:val="9"/>
        <w:spacing w:before="11"/>
        <w:ind w:left="0"/>
        <w:jc w:val="left"/>
        <w:rPr>
          <w:rFonts w:hint="eastAsia"/>
          <w:sz w:val="30"/>
          <w:szCs w:val="30"/>
        </w:rPr>
      </w:pPr>
      <w:r>
        <w:rPr>
          <w:rFonts w:hint="eastAsia"/>
          <w:sz w:val="30"/>
          <w:szCs w:val="30"/>
        </w:rPr>
        <w:t>Notably, Revelation 7 equates the 144,000 eschatological Israelites (7:4) with “a great multitude whom no one could count” (7:9).</w:t>
      </w:r>
    </w:p>
    <w:p w14:paraId="797A0044">
      <w:pPr>
        <w:pStyle w:val="9"/>
        <w:spacing w:before="11"/>
        <w:ind w:left="0"/>
        <w:jc w:val="left"/>
        <w:rPr>
          <w:rFonts w:hint="eastAsia"/>
          <w:sz w:val="30"/>
          <w:szCs w:val="30"/>
        </w:rPr>
      </w:pPr>
      <w:r>
        <w:rPr>
          <w:rFonts w:hint="eastAsia"/>
          <w:sz w:val="30"/>
          <w:szCs w:val="30"/>
        </w:rPr>
        <w:t>值得注意的是，《启示录》第7章将十四万四千末世的以色列人（7:4）等同于“许多的人，没有人能数过来”（7:9）。</w:t>
      </w:r>
    </w:p>
    <w:p w14:paraId="51D42B0B">
      <w:pPr>
        <w:pStyle w:val="9"/>
        <w:spacing w:before="11"/>
        <w:ind w:left="0"/>
        <w:jc w:val="left"/>
        <w:rPr>
          <w:rFonts w:hint="eastAsia"/>
          <w:sz w:val="30"/>
          <w:szCs w:val="30"/>
        </w:rPr>
      </w:pPr>
    </w:p>
    <w:p w14:paraId="7B5CA49B">
      <w:pPr>
        <w:pStyle w:val="9"/>
        <w:spacing w:before="11"/>
        <w:ind w:left="0"/>
        <w:jc w:val="left"/>
        <w:rPr>
          <w:rFonts w:hint="eastAsia"/>
          <w:sz w:val="30"/>
          <w:szCs w:val="30"/>
        </w:rPr>
      </w:pPr>
      <w:r>
        <w:rPr>
          <w:rFonts w:hint="eastAsia"/>
          <w:sz w:val="30"/>
          <w:szCs w:val="30"/>
        </w:rPr>
        <w:t>All this invites us to see the thousand years as a symbol of temporal magnitude.</w:t>
      </w:r>
    </w:p>
    <w:p w14:paraId="35B951D8">
      <w:pPr>
        <w:pStyle w:val="9"/>
        <w:spacing w:before="11"/>
        <w:ind w:left="0"/>
        <w:jc w:val="left"/>
        <w:rPr>
          <w:rFonts w:hint="eastAsia"/>
          <w:sz w:val="30"/>
          <w:szCs w:val="30"/>
        </w:rPr>
      </w:pPr>
      <w:r>
        <w:rPr>
          <w:rFonts w:hint="eastAsia"/>
          <w:sz w:val="30"/>
          <w:szCs w:val="30"/>
        </w:rPr>
        <w:t>所有这一切都促使我们将一千年看作是时间上数量巨大的象征。</w:t>
      </w:r>
    </w:p>
    <w:p w14:paraId="12C9CB4A">
      <w:pPr>
        <w:pStyle w:val="9"/>
        <w:spacing w:before="11"/>
        <w:ind w:left="0"/>
        <w:jc w:val="left"/>
        <w:rPr>
          <w:rFonts w:hint="eastAsia"/>
          <w:sz w:val="30"/>
          <w:szCs w:val="30"/>
        </w:rPr>
      </w:pPr>
    </w:p>
    <w:p w14:paraId="07289A68">
      <w:pPr>
        <w:pStyle w:val="9"/>
        <w:spacing w:before="11"/>
        <w:ind w:left="0"/>
        <w:jc w:val="left"/>
        <w:rPr>
          <w:rFonts w:hint="eastAsia"/>
          <w:sz w:val="30"/>
          <w:szCs w:val="30"/>
        </w:rPr>
      </w:pPr>
      <w:r>
        <w:rPr>
          <w:rFonts w:hint="eastAsia"/>
          <w:sz w:val="30"/>
          <w:szCs w:val="30"/>
        </w:rPr>
        <w:t>In particular, the Spirit apparently chose this number in order to teach the saints that the Era of Proclamation and Probation would be lengthy: much longer than first-century Christians believed, and significantly longer than Christians of most any century might expect.</w:t>
      </w:r>
    </w:p>
    <w:p w14:paraId="08EFF385">
      <w:pPr>
        <w:pStyle w:val="9"/>
        <w:spacing w:before="11"/>
        <w:ind w:left="0"/>
        <w:jc w:val="left"/>
        <w:rPr>
          <w:rFonts w:hint="eastAsia"/>
          <w:sz w:val="30"/>
          <w:szCs w:val="30"/>
        </w:rPr>
      </w:pPr>
      <w:r>
        <w:rPr>
          <w:rFonts w:hint="eastAsia"/>
          <w:sz w:val="30"/>
          <w:szCs w:val="30"/>
        </w:rPr>
        <w:t>特别是，圣灵显然选择这个数字是为了教导圣徒，宣讲和试验的时代将是漫长的：比第一世纪的基督徒所相信的要长得多，也比任何世纪的基督徒所预期的要长得多。</w:t>
      </w:r>
    </w:p>
    <w:p w14:paraId="52E1635B">
      <w:pPr>
        <w:pStyle w:val="9"/>
        <w:spacing w:before="11"/>
        <w:ind w:left="0"/>
        <w:jc w:val="left"/>
        <w:rPr>
          <w:rFonts w:hint="eastAsia"/>
          <w:sz w:val="30"/>
          <w:szCs w:val="30"/>
        </w:rPr>
      </w:pPr>
    </w:p>
    <w:p w14:paraId="09AEA203">
      <w:pPr>
        <w:pStyle w:val="9"/>
        <w:spacing w:before="11"/>
        <w:ind w:left="0"/>
        <w:jc w:val="left"/>
        <w:rPr>
          <w:rFonts w:hint="eastAsia"/>
          <w:sz w:val="30"/>
          <w:szCs w:val="30"/>
        </w:rPr>
      </w:pPr>
      <w:r>
        <w:rPr>
          <w:rFonts w:hint="eastAsia"/>
          <w:sz w:val="30"/>
          <w:szCs w:val="30"/>
        </w:rPr>
        <w:t>It therefore serves as a warning.</w:t>
      </w:r>
    </w:p>
    <w:p w14:paraId="4AB2CF4B">
      <w:pPr>
        <w:pStyle w:val="9"/>
        <w:spacing w:before="11"/>
        <w:ind w:left="0"/>
        <w:jc w:val="left"/>
        <w:rPr>
          <w:rFonts w:hint="eastAsia"/>
          <w:sz w:val="30"/>
          <w:szCs w:val="30"/>
        </w:rPr>
      </w:pPr>
      <w:r>
        <w:rPr>
          <w:rFonts w:hint="eastAsia"/>
          <w:sz w:val="30"/>
          <w:szCs w:val="30"/>
        </w:rPr>
        <w:t>因此，它起到了一个警告的作用。</w:t>
      </w:r>
    </w:p>
    <w:p w14:paraId="7167A1C5">
      <w:pPr>
        <w:pStyle w:val="9"/>
        <w:spacing w:before="11"/>
        <w:ind w:left="0"/>
        <w:jc w:val="left"/>
        <w:rPr>
          <w:rFonts w:hint="eastAsia"/>
          <w:sz w:val="30"/>
          <w:szCs w:val="30"/>
        </w:rPr>
      </w:pPr>
    </w:p>
    <w:p w14:paraId="3446A750">
      <w:pPr>
        <w:pStyle w:val="9"/>
        <w:spacing w:before="11"/>
        <w:ind w:left="0"/>
        <w:jc w:val="left"/>
        <w:rPr>
          <w:rFonts w:hint="eastAsia"/>
          <w:sz w:val="30"/>
          <w:szCs w:val="30"/>
        </w:rPr>
      </w:pPr>
      <w:r>
        <w:rPr>
          <w:rFonts w:hint="eastAsia"/>
          <w:sz w:val="30"/>
          <w:szCs w:val="30"/>
        </w:rPr>
        <w:t>The saints must not interpret “the beginning of birth pains”—the tokens of final judgment scattered all along the length of the Era of Proclamation—as signs that the Parousia is imminent (Mt. 24:6-8).</w:t>
      </w:r>
    </w:p>
    <w:p w14:paraId="28DB0229">
      <w:pPr>
        <w:pStyle w:val="9"/>
        <w:spacing w:before="11"/>
        <w:ind w:left="0"/>
        <w:jc w:val="left"/>
        <w:rPr>
          <w:rFonts w:hint="eastAsia"/>
          <w:sz w:val="30"/>
          <w:szCs w:val="30"/>
        </w:rPr>
      </w:pPr>
      <w:r>
        <w:rPr>
          <w:rFonts w:hint="eastAsia"/>
          <w:sz w:val="30"/>
          <w:szCs w:val="30"/>
        </w:rPr>
        <w:t>圣徒们绝不能将“产难的起头”——即散布在整个宣讲时代期间的最后审判的征兆——解释为主临（Parousia）迫近的记号（太24:6-8）。</w:t>
      </w:r>
    </w:p>
    <w:p w14:paraId="13696B01">
      <w:pPr>
        <w:pStyle w:val="9"/>
        <w:spacing w:before="11"/>
        <w:ind w:left="0"/>
        <w:jc w:val="left"/>
        <w:rPr>
          <w:rFonts w:hint="eastAsia"/>
          <w:sz w:val="30"/>
          <w:szCs w:val="30"/>
        </w:rPr>
      </w:pPr>
    </w:p>
    <w:p w14:paraId="6FAFE82D">
      <w:pPr>
        <w:pStyle w:val="9"/>
        <w:spacing w:before="11"/>
        <w:ind w:left="0"/>
        <w:jc w:val="left"/>
        <w:rPr>
          <w:rFonts w:hint="eastAsia"/>
          <w:sz w:val="30"/>
          <w:szCs w:val="30"/>
        </w:rPr>
      </w:pPr>
      <w:r>
        <w:rPr>
          <w:rFonts w:hint="eastAsia"/>
          <w:sz w:val="30"/>
          <w:szCs w:val="30"/>
        </w:rPr>
        <w:t>Nor must they allow themselves to be disheartened by scoffers if the Lord seems to tarry: To the Lord, a thousand years is as a single day (2 Peter 3:1f)!</w:t>
      </w:r>
    </w:p>
    <w:p w14:paraId="395EFE9A">
      <w:pPr>
        <w:pStyle w:val="9"/>
        <w:spacing w:before="11"/>
        <w:ind w:left="0"/>
        <w:jc w:val="left"/>
        <w:rPr>
          <w:rFonts w:hint="eastAsia"/>
          <w:sz w:val="30"/>
          <w:szCs w:val="30"/>
        </w:rPr>
      </w:pPr>
      <w:r>
        <w:rPr>
          <w:rFonts w:hint="eastAsia"/>
          <w:sz w:val="30"/>
          <w:szCs w:val="30"/>
        </w:rPr>
        <w:t>他们也不可因讥诮的人说主耽延而灰心：在主看来，一日如千年，千年如一日（彼后3:1及以下）！</w:t>
      </w:r>
    </w:p>
    <w:p w14:paraId="3A37D0BC">
      <w:pPr>
        <w:pStyle w:val="9"/>
        <w:spacing w:before="11"/>
        <w:ind w:left="0"/>
        <w:jc w:val="left"/>
        <w:rPr>
          <w:rFonts w:hint="eastAsia"/>
          <w:sz w:val="30"/>
          <w:szCs w:val="30"/>
        </w:rPr>
      </w:pPr>
    </w:p>
    <w:p w14:paraId="67947F3B">
      <w:pPr>
        <w:pStyle w:val="9"/>
        <w:spacing w:before="11"/>
        <w:ind w:left="0"/>
        <w:jc w:val="left"/>
        <w:rPr>
          <w:rFonts w:hint="eastAsia"/>
          <w:sz w:val="30"/>
          <w:szCs w:val="30"/>
        </w:rPr>
      </w:pPr>
      <w:r>
        <w:rPr>
          <w:rFonts w:hint="eastAsia"/>
          <w:sz w:val="30"/>
          <w:szCs w:val="30"/>
        </w:rPr>
        <w:t>Rather, they must persevere in worship, prayer, and service, trusting that Christ will delay no longer than the demands of his own redemptive purpose require (Luke 18:1-8, 2 Peter 3:15).</w:t>
      </w:r>
    </w:p>
    <w:p w14:paraId="40E69E83">
      <w:pPr>
        <w:pStyle w:val="9"/>
        <w:spacing w:before="11"/>
        <w:ind w:left="0"/>
        <w:jc w:val="left"/>
        <w:rPr>
          <w:rFonts w:hint="eastAsia"/>
          <w:sz w:val="30"/>
          <w:szCs w:val="30"/>
        </w:rPr>
      </w:pPr>
      <w:r>
        <w:rPr>
          <w:rFonts w:hint="eastAsia"/>
          <w:sz w:val="30"/>
          <w:szCs w:val="30"/>
        </w:rPr>
        <w:t>相反，他们必须在敬拜、祷告和事奉中坚忍，相信基督的耽延不会超过祂自己救赎旨意的要求（路加福音18:1-8，彼得后书3:15）。</w:t>
      </w:r>
    </w:p>
    <w:p w14:paraId="5DD026E1">
      <w:pPr>
        <w:pStyle w:val="9"/>
        <w:spacing w:before="11"/>
        <w:ind w:left="0"/>
        <w:jc w:val="left"/>
        <w:rPr>
          <w:rFonts w:hint="eastAsia"/>
          <w:sz w:val="30"/>
          <w:szCs w:val="30"/>
        </w:rPr>
      </w:pPr>
    </w:p>
    <w:p w14:paraId="23416CC7">
      <w:pPr>
        <w:pStyle w:val="9"/>
        <w:spacing w:before="11"/>
        <w:ind w:left="0"/>
        <w:jc w:val="left"/>
        <w:rPr>
          <w:rFonts w:hint="eastAsia"/>
          <w:sz w:val="30"/>
          <w:szCs w:val="30"/>
        </w:rPr>
      </w:pPr>
      <w:r>
        <w:rPr>
          <w:rFonts w:hint="eastAsia"/>
          <w:sz w:val="30"/>
          <w:szCs w:val="30"/>
        </w:rPr>
        <w:t>As to its mystical meaning, we have discussed this earlier.</w:t>
      </w:r>
    </w:p>
    <w:p w14:paraId="2184C504">
      <w:pPr>
        <w:pStyle w:val="9"/>
        <w:spacing w:before="11"/>
        <w:ind w:left="0"/>
        <w:jc w:val="left"/>
        <w:rPr>
          <w:rFonts w:hint="eastAsia"/>
          <w:sz w:val="30"/>
          <w:szCs w:val="30"/>
        </w:rPr>
      </w:pPr>
      <w:r>
        <w:rPr>
          <w:rFonts w:hint="eastAsia"/>
          <w:sz w:val="30"/>
          <w:szCs w:val="30"/>
        </w:rPr>
        <w:t>至于其神秘的意义，我们先前已经讨论过了。</w:t>
      </w:r>
    </w:p>
    <w:p w14:paraId="63356C8B">
      <w:pPr>
        <w:pStyle w:val="9"/>
        <w:spacing w:before="11"/>
        <w:ind w:left="0"/>
        <w:jc w:val="left"/>
        <w:rPr>
          <w:rFonts w:hint="eastAsia"/>
          <w:sz w:val="30"/>
          <w:szCs w:val="30"/>
        </w:rPr>
      </w:pPr>
    </w:p>
    <w:p w14:paraId="3D1221D2">
      <w:pPr>
        <w:pStyle w:val="9"/>
        <w:spacing w:before="11"/>
        <w:ind w:left="0"/>
        <w:jc w:val="left"/>
        <w:rPr>
          <w:rFonts w:hint="eastAsia"/>
          <w:sz w:val="30"/>
          <w:szCs w:val="30"/>
        </w:rPr>
      </w:pPr>
      <w:r>
        <w:rPr>
          <w:rFonts w:hint="eastAsia"/>
          <w:sz w:val="30"/>
          <w:szCs w:val="30"/>
        </w:rPr>
        <w:t>1000 = 10x10x10.</w:t>
      </w:r>
    </w:p>
    <w:p w14:paraId="43418713">
      <w:pPr>
        <w:pStyle w:val="9"/>
        <w:spacing w:before="11"/>
        <w:ind w:left="0"/>
        <w:jc w:val="left"/>
        <w:rPr>
          <w:rFonts w:hint="eastAsia"/>
          <w:sz w:val="30"/>
          <w:szCs w:val="30"/>
        </w:rPr>
      </w:pPr>
      <w:r>
        <w:rPr>
          <w:rFonts w:hint="eastAsia"/>
          <w:sz w:val="30"/>
          <w:szCs w:val="30"/>
        </w:rPr>
        <w:t>1000 = 10x10x10。</w:t>
      </w:r>
    </w:p>
    <w:p w14:paraId="6E032608">
      <w:pPr>
        <w:pStyle w:val="9"/>
        <w:spacing w:before="11"/>
        <w:ind w:left="0"/>
        <w:jc w:val="left"/>
        <w:rPr>
          <w:rFonts w:hint="eastAsia"/>
          <w:sz w:val="30"/>
          <w:szCs w:val="30"/>
        </w:rPr>
      </w:pPr>
    </w:p>
    <w:p w14:paraId="57ADE730">
      <w:pPr>
        <w:pStyle w:val="9"/>
        <w:spacing w:before="11"/>
        <w:ind w:left="0"/>
        <w:jc w:val="left"/>
        <w:rPr>
          <w:rFonts w:hint="eastAsia"/>
          <w:sz w:val="30"/>
          <w:szCs w:val="30"/>
        </w:rPr>
      </w:pPr>
      <w:r>
        <w:rPr>
          <w:rFonts w:hint="eastAsia"/>
          <w:sz w:val="30"/>
          <w:szCs w:val="30"/>
        </w:rPr>
        <w:t>That is, 1000 is the number of completeness (10) raised to a power of three, the number of the triune God.</w:t>
      </w:r>
    </w:p>
    <w:p w14:paraId="242607A8">
      <w:pPr>
        <w:pStyle w:val="9"/>
        <w:spacing w:before="11"/>
        <w:ind w:left="0"/>
        <w:jc w:val="left"/>
        <w:rPr>
          <w:rFonts w:hint="eastAsia"/>
          <w:sz w:val="30"/>
          <w:szCs w:val="30"/>
        </w:rPr>
      </w:pPr>
      <w:r>
        <w:rPr>
          <w:rFonts w:hint="eastAsia"/>
          <w:sz w:val="30"/>
          <w:szCs w:val="30"/>
        </w:rPr>
        <w:t>也就是说，1000是完全数（10）的三次方，三是三一上帝的数字。</w:t>
      </w:r>
    </w:p>
    <w:p w14:paraId="20AD66FE">
      <w:pPr>
        <w:pStyle w:val="9"/>
        <w:spacing w:before="11"/>
        <w:ind w:left="0"/>
        <w:jc w:val="left"/>
        <w:rPr>
          <w:rFonts w:hint="eastAsia"/>
          <w:sz w:val="30"/>
          <w:szCs w:val="30"/>
        </w:rPr>
      </w:pPr>
    </w:p>
    <w:p w14:paraId="221892E1">
      <w:pPr>
        <w:pStyle w:val="9"/>
        <w:spacing w:before="11"/>
        <w:ind w:left="0"/>
        <w:jc w:val="left"/>
        <w:rPr>
          <w:rFonts w:hint="eastAsia"/>
          <w:sz w:val="30"/>
          <w:szCs w:val="30"/>
        </w:rPr>
      </w:pPr>
      <w:r>
        <w:rPr>
          <w:rFonts w:hint="eastAsia"/>
          <w:sz w:val="30"/>
          <w:szCs w:val="30"/>
        </w:rPr>
        <w:t>Therefore, in addition to magnitude, it symbolizes the designated space of time within which the triune God will complete his redemptive purpose; within which he will bring all of his chosen ones into the fold, after which the end shall come (Mt. 24:14).</w:t>
      </w:r>
    </w:p>
    <w:p w14:paraId="09DB5BDE">
      <w:pPr>
        <w:pStyle w:val="9"/>
        <w:spacing w:before="11"/>
        <w:ind w:left="0"/>
        <w:jc w:val="left"/>
        <w:rPr>
          <w:rFonts w:hint="eastAsia"/>
          <w:sz w:val="30"/>
          <w:szCs w:val="30"/>
        </w:rPr>
      </w:pPr>
      <w:r>
        <w:rPr>
          <w:rFonts w:hint="eastAsia"/>
          <w:sz w:val="30"/>
          <w:szCs w:val="30"/>
        </w:rPr>
        <w:t>因此，除了数量巨大之外，它还象征着一个指定的时空，三一上帝将在此期间完成祂的救赎旨意；在此期间祂将把祂所有拣选的人都带入羊圈，之后末期才会来到（太24:14）。</w:t>
      </w:r>
    </w:p>
    <w:p w14:paraId="06B21D3D">
      <w:pPr>
        <w:pStyle w:val="9"/>
        <w:spacing w:before="11"/>
        <w:ind w:left="0"/>
        <w:jc w:val="left"/>
        <w:rPr>
          <w:rFonts w:hint="eastAsia"/>
          <w:sz w:val="30"/>
          <w:szCs w:val="30"/>
        </w:rPr>
      </w:pPr>
    </w:p>
    <w:p w14:paraId="18B6F455">
      <w:pPr>
        <w:pStyle w:val="9"/>
        <w:spacing w:before="11"/>
        <w:ind w:left="0"/>
        <w:jc w:val="left"/>
        <w:rPr>
          <w:rFonts w:hint="eastAsia"/>
          <w:sz w:val="30"/>
          <w:szCs w:val="30"/>
        </w:rPr>
      </w:pPr>
      <w:r>
        <w:rPr>
          <w:rFonts w:hint="eastAsia"/>
          <w:sz w:val="30"/>
          <w:szCs w:val="30"/>
        </w:rPr>
        <w:t>As we have seen, this is the supreme purpose of the Heavenly Reign of the exalted Lord Jesus Christ, and also of the Church Militant: the fulfillment of the Father’s good pleasure in the plan of salvation, which is the heading up of all things in and under his Son through the preaching of the Gospel (Eph. 1:10, 22, Col. 2:10).</w:t>
      </w:r>
    </w:p>
    <w:p w14:paraId="05B09521">
      <w:pPr>
        <w:pStyle w:val="9"/>
        <w:spacing w:before="11"/>
        <w:ind w:left="0"/>
        <w:jc w:val="left"/>
        <w:rPr>
          <w:rFonts w:hint="eastAsia"/>
          <w:sz w:val="30"/>
          <w:szCs w:val="30"/>
        </w:rPr>
      </w:pPr>
      <w:r>
        <w:rPr>
          <w:rFonts w:hint="eastAsia"/>
          <w:sz w:val="30"/>
          <w:szCs w:val="30"/>
        </w:rPr>
        <w:t>正如我们所见，这是被高举的主耶稣基督属天统治的至高目的，也是争战的教会的至高目的：实现父在救赎计划中的美意，即通过福音的宣讲，使万有在祂儿子里面，并在祂儿子之下同归于一（弗1:10, 22，西2:10）。</w:t>
      </w:r>
    </w:p>
    <w:p w14:paraId="36D54B68">
      <w:pPr>
        <w:pStyle w:val="9"/>
        <w:spacing w:before="11"/>
        <w:ind w:left="0"/>
        <w:jc w:val="left"/>
        <w:rPr>
          <w:rFonts w:hint="eastAsia"/>
          <w:sz w:val="30"/>
          <w:szCs w:val="30"/>
        </w:rPr>
      </w:pPr>
    </w:p>
    <w:p w14:paraId="2B959389">
      <w:pPr>
        <w:pStyle w:val="9"/>
        <w:spacing w:before="11"/>
        <w:ind w:left="0"/>
        <w:jc w:val="left"/>
        <w:rPr>
          <w:rFonts w:hint="eastAsia"/>
          <w:sz w:val="30"/>
          <w:szCs w:val="30"/>
        </w:rPr>
      </w:pPr>
      <w:r>
        <w:rPr>
          <w:rFonts w:hint="eastAsia"/>
          <w:sz w:val="30"/>
          <w:szCs w:val="30"/>
        </w:rPr>
        <w:t>Is there further evidence to support this interpretation of the thousand years?</w:t>
      </w:r>
    </w:p>
    <w:p w14:paraId="41417269">
      <w:pPr>
        <w:pStyle w:val="9"/>
        <w:spacing w:before="11"/>
        <w:ind w:left="0"/>
        <w:jc w:val="left"/>
        <w:rPr>
          <w:rFonts w:hint="eastAsia"/>
          <w:sz w:val="30"/>
          <w:szCs w:val="30"/>
        </w:rPr>
      </w:pPr>
      <w:r>
        <w:rPr>
          <w:rFonts w:hint="eastAsia"/>
          <w:sz w:val="30"/>
          <w:szCs w:val="30"/>
        </w:rPr>
        <w:t>是否有进一步的证据支持对这一千年的解释？</w:t>
      </w:r>
    </w:p>
    <w:p w14:paraId="0F68B524">
      <w:pPr>
        <w:pStyle w:val="9"/>
        <w:spacing w:before="11"/>
        <w:ind w:left="0"/>
        <w:jc w:val="left"/>
        <w:rPr>
          <w:rFonts w:hint="eastAsia"/>
          <w:sz w:val="30"/>
          <w:szCs w:val="30"/>
        </w:rPr>
      </w:pPr>
    </w:p>
    <w:p w14:paraId="03169364">
      <w:pPr>
        <w:pStyle w:val="9"/>
        <w:spacing w:before="11"/>
        <w:ind w:left="0"/>
        <w:jc w:val="left"/>
        <w:rPr>
          <w:rFonts w:hint="eastAsia"/>
          <w:sz w:val="30"/>
          <w:szCs w:val="30"/>
        </w:rPr>
      </w:pPr>
      <w:r>
        <w:rPr>
          <w:rFonts w:hint="eastAsia"/>
          <w:sz w:val="30"/>
          <w:szCs w:val="30"/>
        </w:rPr>
        <w:t>Yes there is, and not a little.</w:t>
      </w:r>
    </w:p>
    <w:p w14:paraId="3294E63A">
      <w:pPr>
        <w:pStyle w:val="9"/>
        <w:spacing w:before="11"/>
        <w:ind w:left="0"/>
        <w:jc w:val="left"/>
        <w:rPr>
          <w:rFonts w:hint="eastAsia"/>
          <w:sz w:val="30"/>
          <w:szCs w:val="30"/>
        </w:rPr>
      </w:pPr>
      <w:r>
        <w:rPr>
          <w:rFonts w:hint="eastAsia"/>
          <w:sz w:val="30"/>
          <w:szCs w:val="30"/>
        </w:rPr>
        <w:t>是的，而且不少。</w:t>
      </w:r>
    </w:p>
    <w:p w14:paraId="7E4FB0EF">
      <w:pPr>
        <w:pStyle w:val="9"/>
        <w:spacing w:before="11"/>
        <w:ind w:left="0"/>
        <w:jc w:val="left"/>
        <w:rPr>
          <w:rFonts w:hint="eastAsia"/>
          <w:sz w:val="30"/>
          <w:szCs w:val="30"/>
        </w:rPr>
      </w:pPr>
    </w:p>
    <w:p w14:paraId="3388A0C7">
      <w:pPr>
        <w:pStyle w:val="9"/>
        <w:spacing w:before="11"/>
        <w:ind w:left="0"/>
        <w:jc w:val="left"/>
        <w:rPr>
          <w:rFonts w:hint="eastAsia"/>
          <w:sz w:val="30"/>
          <w:szCs w:val="30"/>
        </w:rPr>
      </w:pPr>
      <w:r>
        <w:rPr>
          <w:rFonts w:hint="eastAsia"/>
          <w:sz w:val="30"/>
          <w:szCs w:val="30"/>
        </w:rPr>
        <w:t>First, there is the reasonable presumption, discussed above, that Revelation 20 is indeed a recapitulation of the course of the heavenly reign of the High King of Heaven.</w:t>
      </w:r>
    </w:p>
    <w:p w14:paraId="27515DDC">
      <w:pPr>
        <w:pStyle w:val="9"/>
        <w:spacing w:before="11"/>
        <w:ind w:left="0"/>
        <w:jc w:val="left"/>
        <w:rPr>
          <w:rFonts w:hint="eastAsia"/>
          <w:sz w:val="30"/>
          <w:szCs w:val="30"/>
        </w:rPr>
      </w:pPr>
      <w:r>
        <w:rPr>
          <w:rFonts w:hint="eastAsia"/>
          <w:sz w:val="30"/>
          <w:szCs w:val="30"/>
        </w:rPr>
        <w:t>首先，有我们上面讨论过的合理推断，即《启示录》第20章确实是对天上至高君王属天统治进程的重述。</w:t>
      </w:r>
    </w:p>
    <w:p w14:paraId="40450481">
      <w:pPr>
        <w:pStyle w:val="9"/>
        <w:spacing w:before="11"/>
        <w:ind w:left="0"/>
        <w:jc w:val="left"/>
        <w:rPr>
          <w:rFonts w:hint="eastAsia"/>
          <w:sz w:val="30"/>
          <w:szCs w:val="30"/>
        </w:rPr>
      </w:pPr>
    </w:p>
    <w:p w14:paraId="085D3BEF">
      <w:pPr>
        <w:pStyle w:val="9"/>
        <w:spacing w:before="11"/>
        <w:ind w:left="0"/>
        <w:jc w:val="left"/>
        <w:rPr>
          <w:rFonts w:hint="eastAsia"/>
          <w:sz w:val="30"/>
          <w:szCs w:val="30"/>
        </w:rPr>
      </w:pPr>
      <w:r>
        <w:rPr>
          <w:rFonts w:hint="eastAsia"/>
          <w:sz w:val="30"/>
          <w:szCs w:val="30"/>
        </w:rPr>
        <w:t>If so, it is clear that the thousand years must symbolize that reign, which is now some 2000 literal years old.</w:t>
      </w:r>
    </w:p>
    <w:p w14:paraId="08D208B7">
      <w:pPr>
        <w:pStyle w:val="9"/>
        <w:spacing w:before="11"/>
        <w:ind w:left="0"/>
        <w:jc w:val="left"/>
        <w:rPr>
          <w:rFonts w:hint="eastAsia"/>
          <w:sz w:val="30"/>
          <w:szCs w:val="30"/>
        </w:rPr>
      </w:pPr>
      <w:r>
        <w:rPr>
          <w:rFonts w:hint="eastAsia"/>
          <w:sz w:val="30"/>
          <w:szCs w:val="30"/>
        </w:rPr>
        <w:t>如果是这样，那么很明显，一千年必须象征那个统治，这个统治现在已经有大约2000个实际年头了。</w:t>
      </w:r>
    </w:p>
    <w:p w14:paraId="4B8230A1">
      <w:pPr>
        <w:pStyle w:val="9"/>
        <w:spacing w:before="11"/>
        <w:ind w:left="0"/>
        <w:jc w:val="left"/>
        <w:rPr>
          <w:rFonts w:hint="eastAsia"/>
          <w:sz w:val="30"/>
          <w:szCs w:val="30"/>
        </w:rPr>
      </w:pPr>
    </w:p>
    <w:p w14:paraId="55AFD2D2">
      <w:pPr>
        <w:pStyle w:val="9"/>
        <w:spacing w:before="11"/>
        <w:ind w:left="0"/>
        <w:jc w:val="left"/>
        <w:rPr>
          <w:rFonts w:hint="eastAsia"/>
          <w:sz w:val="30"/>
          <w:szCs w:val="30"/>
        </w:rPr>
      </w:pPr>
      <w:r>
        <w:rPr>
          <w:rFonts w:hint="eastAsia"/>
          <w:sz w:val="30"/>
          <w:szCs w:val="30"/>
        </w:rPr>
        <w:t>Secondly, there is the literary genre of the book: biblical apocalyptic.</w:t>
      </w:r>
    </w:p>
    <w:p w14:paraId="2E37394E">
      <w:pPr>
        <w:pStyle w:val="9"/>
        <w:spacing w:before="11"/>
        <w:ind w:left="0"/>
        <w:jc w:val="left"/>
        <w:rPr>
          <w:rFonts w:hint="eastAsia"/>
          <w:sz w:val="30"/>
          <w:szCs w:val="30"/>
        </w:rPr>
      </w:pPr>
      <w:r>
        <w:rPr>
          <w:rFonts w:hint="eastAsia"/>
          <w:sz w:val="30"/>
          <w:szCs w:val="30"/>
        </w:rPr>
        <w:t>其次，是这本书的文学体裁：圣经末世文学。</w:t>
      </w:r>
    </w:p>
    <w:p w14:paraId="590D835A">
      <w:pPr>
        <w:pStyle w:val="9"/>
        <w:spacing w:before="11"/>
        <w:ind w:left="0"/>
        <w:jc w:val="left"/>
        <w:rPr>
          <w:rFonts w:hint="eastAsia"/>
          <w:sz w:val="30"/>
          <w:szCs w:val="30"/>
        </w:rPr>
      </w:pPr>
    </w:p>
    <w:p w14:paraId="46349902">
      <w:pPr>
        <w:pStyle w:val="9"/>
        <w:spacing w:before="11"/>
        <w:ind w:left="0"/>
        <w:jc w:val="left"/>
        <w:rPr>
          <w:rFonts w:hint="eastAsia"/>
          <w:sz w:val="30"/>
          <w:szCs w:val="30"/>
        </w:rPr>
      </w:pPr>
      <w:r>
        <w:rPr>
          <w:rFonts w:hint="eastAsia"/>
          <w:sz w:val="30"/>
          <w:szCs w:val="30"/>
        </w:rPr>
        <w:t>Recognizing this genre, we ought immediately to incline to the view that not only are the images of the Revelation symbolic, but its numbers as well.</w:t>
      </w:r>
    </w:p>
    <w:p w14:paraId="42B9D6D9">
      <w:pPr>
        <w:pStyle w:val="9"/>
        <w:spacing w:before="11"/>
        <w:ind w:left="0"/>
        <w:jc w:val="left"/>
        <w:rPr>
          <w:rFonts w:hint="eastAsia"/>
          <w:sz w:val="30"/>
          <w:szCs w:val="30"/>
        </w:rPr>
      </w:pPr>
      <w:r>
        <w:rPr>
          <w:rFonts w:hint="eastAsia"/>
          <w:sz w:val="30"/>
          <w:szCs w:val="30"/>
        </w:rPr>
        <w:t>认识到这种体裁，我们应该立刻倾向于这样的观点，即不仅《启示录》的意象是象征性的，其数字也是如此。</w:t>
      </w:r>
    </w:p>
    <w:p w14:paraId="2689AC15">
      <w:pPr>
        <w:pStyle w:val="9"/>
        <w:spacing w:before="11"/>
        <w:ind w:left="0"/>
        <w:jc w:val="left"/>
        <w:rPr>
          <w:rFonts w:hint="eastAsia"/>
          <w:sz w:val="30"/>
          <w:szCs w:val="30"/>
        </w:rPr>
      </w:pPr>
    </w:p>
    <w:p w14:paraId="4ED5F486">
      <w:pPr>
        <w:pStyle w:val="9"/>
        <w:spacing w:before="11"/>
        <w:ind w:left="0"/>
        <w:jc w:val="left"/>
        <w:rPr>
          <w:rFonts w:hint="eastAsia"/>
          <w:sz w:val="30"/>
          <w:szCs w:val="30"/>
        </w:rPr>
      </w:pPr>
      <w:r>
        <w:rPr>
          <w:rFonts w:hint="eastAsia"/>
          <w:sz w:val="30"/>
          <w:szCs w:val="30"/>
        </w:rPr>
        <w:t>Careful study bears this out.</w:t>
      </w:r>
    </w:p>
    <w:p w14:paraId="4AE522A4">
      <w:pPr>
        <w:pStyle w:val="9"/>
        <w:spacing w:before="11"/>
        <w:ind w:left="0"/>
        <w:jc w:val="left"/>
        <w:rPr>
          <w:rFonts w:hint="eastAsia"/>
          <w:sz w:val="30"/>
          <w:szCs w:val="30"/>
        </w:rPr>
      </w:pPr>
      <w:r>
        <w:rPr>
          <w:rFonts w:hint="eastAsia"/>
          <w:sz w:val="30"/>
          <w:szCs w:val="30"/>
        </w:rPr>
        <w:t>仔细的研究证实了这一点。</w:t>
      </w:r>
    </w:p>
    <w:p w14:paraId="61B6B152">
      <w:pPr>
        <w:pStyle w:val="9"/>
        <w:spacing w:before="11"/>
        <w:ind w:left="0"/>
        <w:jc w:val="left"/>
        <w:rPr>
          <w:rFonts w:hint="eastAsia"/>
          <w:sz w:val="30"/>
          <w:szCs w:val="30"/>
        </w:rPr>
      </w:pPr>
    </w:p>
    <w:p w14:paraId="1E7E6E9D">
      <w:pPr>
        <w:pStyle w:val="9"/>
        <w:spacing w:before="11"/>
        <w:ind w:left="0"/>
        <w:jc w:val="left"/>
        <w:rPr>
          <w:rFonts w:hint="eastAsia"/>
          <w:sz w:val="30"/>
          <w:szCs w:val="30"/>
        </w:rPr>
      </w:pPr>
      <w:r>
        <w:rPr>
          <w:rFonts w:hint="eastAsia"/>
          <w:sz w:val="30"/>
          <w:szCs w:val="30"/>
        </w:rPr>
        <w:t>The book contains a whole host of numbers— 2, 3, 4, 5, 6, 7, 10, 12, 42, 144, 666, 1240, 1600—which, as I tried to show in the preceding survey, are all used symbolically.</w:t>
      </w:r>
    </w:p>
    <w:p w14:paraId="1E098DBC">
      <w:pPr>
        <w:pStyle w:val="9"/>
        <w:spacing w:before="11"/>
        <w:ind w:left="0"/>
        <w:jc w:val="left"/>
        <w:rPr>
          <w:rFonts w:hint="eastAsia"/>
          <w:sz w:val="30"/>
          <w:szCs w:val="30"/>
        </w:rPr>
      </w:pPr>
      <w:r>
        <w:rPr>
          <w:rFonts w:hint="eastAsia"/>
          <w:sz w:val="30"/>
          <w:szCs w:val="30"/>
        </w:rPr>
        <w:t>这本书包含了一大堆数字——2, 3, 4, 5, 6, 7, 10, 12, 42, 144, 666, 1240, 1600——正如我在前面的考察中所试图表明的，这些数字都是象征性地使用的。</w:t>
      </w:r>
    </w:p>
    <w:p w14:paraId="6BB7FCC3">
      <w:pPr>
        <w:pStyle w:val="9"/>
        <w:spacing w:before="11"/>
        <w:ind w:left="0"/>
        <w:jc w:val="left"/>
        <w:rPr>
          <w:rFonts w:hint="eastAsia"/>
          <w:sz w:val="30"/>
          <w:szCs w:val="30"/>
        </w:rPr>
      </w:pPr>
    </w:p>
    <w:p w14:paraId="53E00EFF">
      <w:pPr>
        <w:pStyle w:val="9"/>
        <w:spacing w:before="11"/>
        <w:ind w:left="0"/>
        <w:jc w:val="left"/>
        <w:rPr>
          <w:rFonts w:hint="eastAsia"/>
          <w:sz w:val="30"/>
          <w:szCs w:val="30"/>
        </w:rPr>
      </w:pPr>
      <w:r>
        <w:rPr>
          <w:rFonts w:hint="eastAsia"/>
          <w:sz w:val="30"/>
          <w:szCs w:val="30"/>
        </w:rPr>
        <w:t>In view of such precedents, it would actually be quite unreasonable to interpret the thousand years literally.</w:t>
      </w:r>
    </w:p>
    <w:p w14:paraId="1A169313">
      <w:pPr>
        <w:pStyle w:val="9"/>
        <w:spacing w:before="11"/>
        <w:ind w:left="0"/>
        <w:jc w:val="left"/>
        <w:rPr>
          <w:rFonts w:hint="eastAsia"/>
          <w:sz w:val="30"/>
          <w:szCs w:val="30"/>
        </w:rPr>
      </w:pPr>
      <w:r>
        <w:rPr>
          <w:rFonts w:hint="eastAsia"/>
          <w:sz w:val="30"/>
          <w:szCs w:val="30"/>
        </w:rPr>
        <w:t>鉴于这些先例，按字面意思解释这一千年实际上是相当不合理的。</w:t>
      </w:r>
    </w:p>
    <w:p w14:paraId="1F26B1D0">
      <w:pPr>
        <w:pStyle w:val="9"/>
        <w:spacing w:before="11"/>
        <w:ind w:left="0"/>
        <w:jc w:val="left"/>
        <w:rPr>
          <w:rFonts w:hint="eastAsia"/>
          <w:sz w:val="30"/>
          <w:szCs w:val="30"/>
        </w:rPr>
      </w:pPr>
    </w:p>
    <w:p w14:paraId="2D2F4A10">
      <w:pPr>
        <w:pStyle w:val="9"/>
        <w:spacing w:before="11"/>
        <w:ind w:left="0"/>
        <w:jc w:val="left"/>
        <w:rPr>
          <w:rFonts w:hint="eastAsia"/>
          <w:sz w:val="30"/>
          <w:szCs w:val="30"/>
        </w:rPr>
      </w:pPr>
      <w:r>
        <w:rPr>
          <w:rFonts w:hint="eastAsia"/>
          <w:sz w:val="30"/>
          <w:szCs w:val="30"/>
        </w:rPr>
        <w:t>Thirdly, we have the numeric evidence found in Revelation 12-14, a cycle that runs closely parallel to Revelation 20.</w:t>
      </w:r>
    </w:p>
    <w:p w14:paraId="1EAF6EE0">
      <w:pPr>
        <w:pStyle w:val="9"/>
        <w:spacing w:before="11"/>
        <w:ind w:left="0"/>
        <w:jc w:val="left"/>
        <w:rPr>
          <w:rFonts w:hint="eastAsia"/>
          <w:sz w:val="30"/>
          <w:szCs w:val="30"/>
        </w:rPr>
      </w:pPr>
      <w:r>
        <w:rPr>
          <w:rFonts w:hint="eastAsia"/>
          <w:sz w:val="30"/>
          <w:szCs w:val="30"/>
        </w:rPr>
        <w:t>第三，我们有在《启示录》12-14章中发现的数字证据，这个循环与《启示录》20章密切平行。</w:t>
      </w:r>
    </w:p>
    <w:p w14:paraId="223D5FE4">
      <w:pPr>
        <w:pStyle w:val="9"/>
        <w:spacing w:before="11"/>
        <w:ind w:left="0"/>
        <w:jc w:val="left"/>
        <w:rPr>
          <w:rFonts w:hint="eastAsia"/>
          <w:sz w:val="30"/>
          <w:szCs w:val="30"/>
        </w:rPr>
      </w:pPr>
    </w:p>
    <w:p w14:paraId="1D1422C3">
      <w:pPr>
        <w:pStyle w:val="9"/>
        <w:spacing w:before="11"/>
        <w:ind w:left="0"/>
        <w:jc w:val="left"/>
        <w:rPr>
          <w:rFonts w:hint="eastAsia"/>
          <w:sz w:val="30"/>
          <w:szCs w:val="30"/>
        </w:rPr>
      </w:pPr>
      <w:r>
        <w:rPr>
          <w:rFonts w:hint="eastAsia"/>
          <w:sz w:val="30"/>
          <w:szCs w:val="30"/>
        </w:rPr>
        <w:t>For example, in Revelation 12 the Spirit very clearly designates the Era of Proclamation as 1260 days (12:6; 11:3, 13:5), and also as “a time, times, and half a time” (12:14).</w:t>
      </w:r>
    </w:p>
    <w:p w14:paraId="28DEAB3D">
      <w:pPr>
        <w:pStyle w:val="9"/>
        <w:spacing w:before="11"/>
        <w:ind w:left="0"/>
        <w:jc w:val="left"/>
        <w:rPr>
          <w:rFonts w:hint="eastAsia"/>
          <w:sz w:val="30"/>
          <w:szCs w:val="30"/>
        </w:rPr>
      </w:pPr>
      <w:r>
        <w:rPr>
          <w:rFonts w:hint="eastAsia"/>
          <w:sz w:val="30"/>
          <w:szCs w:val="30"/>
        </w:rPr>
        <w:t>例如，在《启示录》第12章，圣灵非常清楚地将宣讲时代指定为1260天（12:6；11:3, 13:5），也指定为“一载、二载、半载”（12:14）。</w:t>
      </w:r>
    </w:p>
    <w:p w14:paraId="2CD83A7D">
      <w:pPr>
        <w:pStyle w:val="9"/>
        <w:spacing w:before="11"/>
        <w:ind w:left="0"/>
        <w:jc w:val="left"/>
        <w:rPr>
          <w:rFonts w:hint="eastAsia"/>
          <w:sz w:val="30"/>
          <w:szCs w:val="30"/>
        </w:rPr>
      </w:pPr>
    </w:p>
    <w:p w14:paraId="0CC1CB7F">
      <w:pPr>
        <w:pStyle w:val="9"/>
        <w:spacing w:before="11"/>
        <w:ind w:left="0"/>
        <w:jc w:val="left"/>
        <w:rPr>
          <w:rFonts w:hint="eastAsia"/>
          <w:sz w:val="30"/>
          <w:szCs w:val="30"/>
        </w:rPr>
      </w:pPr>
      <w:r>
        <w:rPr>
          <w:rFonts w:hint="eastAsia"/>
          <w:sz w:val="30"/>
          <w:szCs w:val="30"/>
        </w:rPr>
        <w:t>By means of these two numbers, he characterizes that Era as a time of exile and tribulation, but also as a time that the Lord, in his mercy, will cut short.3</w:t>
      </w:r>
    </w:p>
    <w:p w14:paraId="1ED4EAA9">
      <w:pPr>
        <w:pStyle w:val="9"/>
        <w:spacing w:before="11"/>
        <w:ind w:left="0"/>
        <w:jc w:val="left"/>
        <w:rPr>
          <w:rFonts w:hint="eastAsia"/>
          <w:sz w:val="30"/>
          <w:szCs w:val="30"/>
        </w:rPr>
      </w:pPr>
      <w:r>
        <w:rPr>
          <w:rFonts w:hint="eastAsia"/>
          <w:sz w:val="30"/>
          <w:szCs w:val="30"/>
        </w:rPr>
        <w:t>借着这两个数字，祂将那个时代描述为一个流放和患难的时期，但也是一个主出于祂的怜悯将要缩短的时期。3</w:t>
      </w:r>
    </w:p>
    <w:p w14:paraId="738E0E43">
      <w:pPr>
        <w:pStyle w:val="9"/>
        <w:spacing w:before="11"/>
        <w:ind w:left="0"/>
        <w:jc w:val="left"/>
        <w:rPr>
          <w:rFonts w:hint="eastAsia"/>
          <w:sz w:val="30"/>
          <w:szCs w:val="30"/>
        </w:rPr>
      </w:pPr>
    </w:p>
    <w:p w14:paraId="03C99F7B">
      <w:pPr>
        <w:pStyle w:val="9"/>
        <w:spacing w:before="11"/>
        <w:ind w:left="0"/>
        <w:jc w:val="left"/>
        <w:rPr>
          <w:rFonts w:hint="eastAsia"/>
          <w:sz w:val="30"/>
          <w:szCs w:val="30"/>
        </w:rPr>
      </w:pPr>
      <w:r>
        <w:rPr>
          <w:rFonts w:hint="eastAsia"/>
          <w:sz w:val="30"/>
          <w:szCs w:val="30"/>
        </w:rPr>
        <w:t>We see, then, that for wise reasons the Spirit uses different numbers to characterize the same period; but it is the same time period, after all.</w:t>
      </w:r>
    </w:p>
    <w:p w14:paraId="6D19DF2E">
      <w:pPr>
        <w:pStyle w:val="9"/>
        <w:spacing w:before="11"/>
        <w:ind w:left="0"/>
        <w:jc w:val="left"/>
        <w:rPr>
          <w:rFonts w:hint="eastAsia"/>
          <w:sz w:val="30"/>
          <w:szCs w:val="30"/>
        </w:rPr>
      </w:pPr>
      <w:r>
        <w:rPr>
          <w:rFonts w:hint="eastAsia"/>
          <w:sz w:val="30"/>
          <w:szCs w:val="30"/>
        </w:rPr>
        <w:t>因此，我们看到，圣灵出于智慧的原因，使用不同的数字来描述同一个时期；但毕竟是同一个时期。</w:t>
      </w:r>
    </w:p>
    <w:p w14:paraId="7F35F569">
      <w:pPr>
        <w:pStyle w:val="9"/>
        <w:spacing w:before="11"/>
        <w:ind w:left="0"/>
        <w:jc w:val="left"/>
        <w:rPr>
          <w:rFonts w:hint="eastAsia"/>
          <w:sz w:val="30"/>
          <w:szCs w:val="30"/>
        </w:rPr>
      </w:pPr>
    </w:p>
    <w:p w14:paraId="72D64FA7">
      <w:pPr>
        <w:pStyle w:val="9"/>
        <w:spacing w:before="11"/>
        <w:ind w:left="0"/>
        <w:jc w:val="left"/>
        <w:rPr>
          <w:rFonts w:hint="eastAsia"/>
          <w:sz w:val="30"/>
          <w:szCs w:val="30"/>
        </w:rPr>
      </w:pPr>
      <w:r>
        <w:rPr>
          <w:rFonts w:hint="eastAsia"/>
          <w:sz w:val="30"/>
          <w:szCs w:val="30"/>
        </w:rPr>
        <w:t>Might not 1000 be among them?</w:t>
      </w:r>
    </w:p>
    <w:p w14:paraId="06403149">
      <w:pPr>
        <w:pStyle w:val="9"/>
        <w:spacing w:before="11"/>
        <w:ind w:left="0"/>
        <w:jc w:val="left"/>
        <w:rPr>
          <w:rFonts w:hint="eastAsia"/>
          <w:sz w:val="30"/>
          <w:szCs w:val="30"/>
        </w:rPr>
      </w:pPr>
      <w:r>
        <w:rPr>
          <w:rFonts w:hint="eastAsia"/>
          <w:sz w:val="30"/>
          <w:szCs w:val="30"/>
        </w:rPr>
        <w:t>1000会不会是其中之一呢？</w:t>
      </w:r>
    </w:p>
    <w:p w14:paraId="27830B0B">
      <w:pPr>
        <w:pStyle w:val="9"/>
        <w:spacing w:before="11"/>
        <w:ind w:left="0"/>
        <w:jc w:val="left"/>
        <w:rPr>
          <w:rFonts w:hint="eastAsia"/>
          <w:sz w:val="30"/>
          <w:szCs w:val="30"/>
        </w:rPr>
      </w:pPr>
    </w:p>
    <w:p w14:paraId="2C158F20">
      <w:pPr>
        <w:pStyle w:val="9"/>
        <w:spacing w:before="11"/>
        <w:ind w:left="0"/>
        <w:jc w:val="left"/>
        <w:rPr>
          <w:rFonts w:hint="eastAsia"/>
          <w:sz w:val="30"/>
          <w:szCs w:val="30"/>
        </w:rPr>
      </w:pPr>
      <w:r>
        <w:rPr>
          <w:rFonts w:hint="eastAsia"/>
          <w:sz w:val="30"/>
          <w:szCs w:val="30"/>
        </w:rPr>
        <w:t>Finally, we have the evidence of parallel passages depicting the Last Battle.</w:t>
      </w:r>
    </w:p>
    <w:p w14:paraId="71FE060F">
      <w:pPr>
        <w:pStyle w:val="9"/>
        <w:spacing w:before="11"/>
        <w:ind w:left="0"/>
        <w:jc w:val="left"/>
        <w:rPr>
          <w:rFonts w:hint="eastAsia"/>
          <w:sz w:val="30"/>
          <w:szCs w:val="30"/>
        </w:rPr>
      </w:pPr>
      <w:r>
        <w:rPr>
          <w:rFonts w:hint="eastAsia"/>
          <w:sz w:val="30"/>
          <w:szCs w:val="30"/>
        </w:rPr>
        <w:t>最后，我们有描绘末日争战的平行经文的证据。</w:t>
      </w:r>
    </w:p>
    <w:p w14:paraId="33DAE356">
      <w:pPr>
        <w:pStyle w:val="9"/>
        <w:spacing w:before="11"/>
        <w:ind w:left="0"/>
        <w:jc w:val="left"/>
        <w:rPr>
          <w:rFonts w:hint="eastAsia"/>
          <w:sz w:val="30"/>
          <w:szCs w:val="30"/>
        </w:rPr>
      </w:pPr>
    </w:p>
    <w:p w14:paraId="71F15FE0">
      <w:pPr>
        <w:pStyle w:val="9"/>
        <w:spacing w:before="11"/>
        <w:ind w:left="0"/>
        <w:jc w:val="left"/>
        <w:rPr>
          <w:rFonts w:hint="eastAsia"/>
          <w:sz w:val="30"/>
          <w:szCs w:val="30"/>
        </w:rPr>
      </w:pPr>
      <w:r>
        <w:rPr>
          <w:rFonts w:hint="eastAsia"/>
          <w:sz w:val="30"/>
          <w:szCs w:val="30"/>
        </w:rPr>
        <w:t>Especially notable are 11:7-10, 16:12-16, and 19:19-23.</w:t>
      </w:r>
    </w:p>
    <w:p w14:paraId="46AAEFB5">
      <w:pPr>
        <w:pStyle w:val="9"/>
        <w:spacing w:before="11"/>
        <w:ind w:left="0"/>
        <w:jc w:val="left"/>
        <w:rPr>
          <w:rFonts w:hint="eastAsia"/>
          <w:sz w:val="30"/>
          <w:szCs w:val="30"/>
        </w:rPr>
      </w:pPr>
      <w:r>
        <w:rPr>
          <w:rFonts w:hint="eastAsia"/>
          <w:sz w:val="30"/>
          <w:szCs w:val="30"/>
        </w:rPr>
        <w:t>特别值得注意的是11:7-10，16:12-16，和19:19-23。</w:t>
      </w:r>
    </w:p>
    <w:p w14:paraId="3C8D0492">
      <w:pPr>
        <w:pStyle w:val="9"/>
        <w:spacing w:before="11"/>
        <w:ind w:left="0"/>
        <w:jc w:val="left"/>
        <w:rPr>
          <w:rFonts w:hint="eastAsia"/>
          <w:sz w:val="30"/>
          <w:szCs w:val="30"/>
        </w:rPr>
      </w:pPr>
    </w:p>
    <w:p w14:paraId="4969FDAD">
      <w:pPr>
        <w:pStyle w:val="9"/>
        <w:spacing w:before="11"/>
        <w:ind w:left="0"/>
        <w:jc w:val="left"/>
        <w:rPr>
          <w:rFonts w:hint="eastAsia"/>
          <w:sz w:val="30"/>
          <w:szCs w:val="30"/>
        </w:rPr>
      </w:pPr>
      <w:r>
        <w:rPr>
          <w:rFonts w:hint="eastAsia"/>
          <w:sz w:val="30"/>
          <w:szCs w:val="30"/>
        </w:rPr>
        <w:t>In each case, it is clear that we are indeed dealing with the Last Battle, a battle that will take place prior to the Parousia, at the end of the Era of Proclamation.</w:t>
      </w:r>
    </w:p>
    <w:p w14:paraId="7AA87222">
      <w:pPr>
        <w:pStyle w:val="9"/>
        <w:spacing w:before="11"/>
        <w:ind w:left="0"/>
        <w:jc w:val="left"/>
        <w:rPr>
          <w:rFonts w:hint="eastAsia"/>
          <w:sz w:val="30"/>
          <w:szCs w:val="30"/>
        </w:rPr>
      </w:pPr>
      <w:r>
        <w:rPr>
          <w:rFonts w:hint="eastAsia"/>
          <w:sz w:val="30"/>
          <w:szCs w:val="30"/>
        </w:rPr>
        <w:t>在每一种情况下，都很清楚我们确实在处理末日争战，这场战争将在主临（Parousia）之前，在宣讲时代的末了发生。</w:t>
      </w:r>
    </w:p>
    <w:p w14:paraId="6E398113">
      <w:pPr>
        <w:pStyle w:val="9"/>
        <w:spacing w:before="11"/>
        <w:ind w:left="0"/>
        <w:jc w:val="left"/>
        <w:rPr>
          <w:rFonts w:hint="eastAsia"/>
          <w:sz w:val="30"/>
          <w:szCs w:val="30"/>
        </w:rPr>
      </w:pPr>
    </w:p>
    <w:p w14:paraId="0E55A320">
      <w:pPr>
        <w:pStyle w:val="9"/>
        <w:spacing w:before="11"/>
        <w:ind w:left="0"/>
        <w:jc w:val="left"/>
        <w:rPr>
          <w:rFonts w:hint="eastAsia"/>
          <w:sz w:val="30"/>
          <w:szCs w:val="30"/>
        </w:rPr>
      </w:pPr>
      <w:r>
        <w:rPr>
          <w:rFonts w:hint="eastAsia"/>
          <w:sz w:val="30"/>
          <w:szCs w:val="30"/>
        </w:rPr>
        <w:t>However, Revelation 20:7-10 also gives us a battle.</w:t>
      </w:r>
    </w:p>
    <w:p w14:paraId="443FA362">
      <w:pPr>
        <w:pStyle w:val="9"/>
        <w:spacing w:before="11"/>
        <w:ind w:left="0"/>
        <w:jc w:val="left"/>
        <w:rPr>
          <w:rFonts w:hint="eastAsia"/>
          <w:sz w:val="30"/>
          <w:szCs w:val="30"/>
        </w:rPr>
      </w:pPr>
      <w:r>
        <w:rPr>
          <w:rFonts w:hint="eastAsia"/>
          <w:sz w:val="30"/>
          <w:szCs w:val="30"/>
        </w:rPr>
        <w:t>然而，《启示录》20:7-10也给了我们一场战争。</w:t>
      </w:r>
    </w:p>
    <w:p w14:paraId="4FDC88BF">
      <w:pPr>
        <w:pStyle w:val="9"/>
        <w:spacing w:before="11"/>
        <w:ind w:left="0"/>
        <w:jc w:val="left"/>
        <w:rPr>
          <w:rFonts w:hint="eastAsia"/>
          <w:sz w:val="30"/>
          <w:szCs w:val="30"/>
        </w:rPr>
      </w:pPr>
    </w:p>
    <w:p w14:paraId="7E6535AB">
      <w:pPr>
        <w:pStyle w:val="9"/>
        <w:spacing w:before="11"/>
        <w:ind w:left="0"/>
        <w:jc w:val="left"/>
        <w:rPr>
          <w:rFonts w:hint="eastAsia"/>
          <w:sz w:val="30"/>
          <w:szCs w:val="30"/>
        </w:rPr>
      </w:pPr>
      <w:r>
        <w:rPr>
          <w:rFonts w:hint="eastAsia"/>
          <w:sz w:val="30"/>
          <w:szCs w:val="30"/>
        </w:rPr>
        <w:t>Moreover, when it does, it uses OT language and imagery, just as its three predecessors did.</w:t>
      </w:r>
    </w:p>
    <w:p w14:paraId="43F863D0">
      <w:pPr>
        <w:pStyle w:val="9"/>
        <w:spacing w:before="11"/>
        <w:ind w:left="0"/>
        <w:jc w:val="left"/>
        <w:rPr>
          <w:rFonts w:hint="eastAsia"/>
          <w:sz w:val="30"/>
          <w:szCs w:val="30"/>
        </w:rPr>
      </w:pPr>
      <w:r>
        <w:rPr>
          <w:rFonts w:hint="eastAsia"/>
          <w:sz w:val="30"/>
          <w:szCs w:val="30"/>
        </w:rPr>
        <w:t>此外，当它这样做时，它使用了旧约的语言和意象，就像它的三个前身一样。</w:t>
      </w:r>
    </w:p>
    <w:p w14:paraId="5E47E2D4">
      <w:pPr>
        <w:pStyle w:val="9"/>
        <w:spacing w:before="11"/>
        <w:ind w:left="0"/>
        <w:jc w:val="left"/>
        <w:rPr>
          <w:rFonts w:hint="eastAsia"/>
          <w:sz w:val="30"/>
          <w:szCs w:val="30"/>
        </w:rPr>
      </w:pPr>
    </w:p>
    <w:p w14:paraId="33477498">
      <w:pPr>
        <w:pStyle w:val="9"/>
        <w:spacing w:before="11"/>
        <w:ind w:left="0"/>
        <w:jc w:val="left"/>
        <w:rPr>
          <w:rFonts w:hint="eastAsia"/>
          <w:sz w:val="30"/>
          <w:szCs w:val="30"/>
        </w:rPr>
      </w:pPr>
      <w:r>
        <w:rPr>
          <w:rFonts w:hint="eastAsia"/>
          <w:sz w:val="30"/>
          <w:szCs w:val="30"/>
        </w:rPr>
        <w:t>Indeed, Revelation 20:8 speaks of this battle as “the war,” as if to say that this war is the very same war spoken of earlier in the prophecy (16:14)!</w:t>
      </w:r>
    </w:p>
    <w:p w14:paraId="065D650D">
      <w:pPr>
        <w:pStyle w:val="9"/>
        <w:spacing w:before="11"/>
        <w:ind w:left="0"/>
        <w:jc w:val="left"/>
        <w:rPr>
          <w:rFonts w:hint="eastAsia"/>
          <w:sz w:val="30"/>
          <w:szCs w:val="30"/>
        </w:rPr>
      </w:pPr>
      <w:r>
        <w:rPr>
          <w:rFonts w:hint="eastAsia"/>
          <w:sz w:val="30"/>
          <w:szCs w:val="30"/>
        </w:rPr>
        <w:t>的确，《启示录》20:8称这场战争为“那场战争”，仿佛是说这场战争就是预言中早些时候提到的那场战争（16:14）！</w:t>
      </w:r>
    </w:p>
    <w:p w14:paraId="48ECD5C3">
      <w:pPr>
        <w:pStyle w:val="9"/>
        <w:spacing w:before="11"/>
        <w:ind w:left="0"/>
        <w:jc w:val="left"/>
        <w:rPr>
          <w:rFonts w:hint="eastAsia"/>
          <w:sz w:val="30"/>
          <w:szCs w:val="30"/>
        </w:rPr>
      </w:pPr>
    </w:p>
    <w:p w14:paraId="25B4EEDD">
      <w:pPr>
        <w:pStyle w:val="9"/>
        <w:spacing w:before="11"/>
        <w:ind w:left="0"/>
        <w:jc w:val="left"/>
        <w:rPr>
          <w:rFonts w:hint="eastAsia"/>
          <w:sz w:val="30"/>
          <w:szCs w:val="30"/>
        </w:rPr>
      </w:pPr>
      <w:r>
        <w:rPr>
          <w:rFonts w:hint="eastAsia"/>
          <w:sz w:val="30"/>
          <w:szCs w:val="30"/>
        </w:rPr>
        <w:t>Is it not reasonable, then, to assume that “the war” of Revelation 20:7-10 is the Last Battle itself?</w:t>
      </w:r>
    </w:p>
    <w:p w14:paraId="0E435543">
      <w:pPr>
        <w:pStyle w:val="9"/>
        <w:spacing w:before="11"/>
        <w:ind w:left="0"/>
        <w:jc w:val="left"/>
        <w:rPr>
          <w:rFonts w:hint="eastAsia"/>
          <w:sz w:val="30"/>
          <w:szCs w:val="30"/>
        </w:rPr>
      </w:pPr>
      <w:r>
        <w:rPr>
          <w:rFonts w:hint="eastAsia"/>
          <w:sz w:val="30"/>
          <w:szCs w:val="30"/>
        </w:rPr>
        <w:t>那么，假设《启示录》20:7-10中的“那场战争”就是末日争战本身，这难道不合理吗？</w:t>
      </w:r>
    </w:p>
    <w:p w14:paraId="2FD38744">
      <w:pPr>
        <w:pStyle w:val="9"/>
        <w:spacing w:before="11"/>
        <w:ind w:left="0"/>
        <w:jc w:val="left"/>
        <w:rPr>
          <w:rFonts w:hint="eastAsia"/>
          <w:sz w:val="30"/>
          <w:szCs w:val="30"/>
        </w:rPr>
      </w:pPr>
    </w:p>
    <w:p w14:paraId="26EC4708">
      <w:pPr>
        <w:pStyle w:val="9"/>
        <w:spacing w:before="11"/>
        <w:ind w:left="0"/>
        <w:jc w:val="left"/>
        <w:rPr>
          <w:rFonts w:hint="eastAsia"/>
          <w:sz w:val="30"/>
          <w:szCs w:val="30"/>
        </w:rPr>
      </w:pPr>
      <w:r>
        <w:rPr>
          <w:rFonts w:hint="eastAsia"/>
          <w:sz w:val="30"/>
          <w:szCs w:val="30"/>
        </w:rPr>
        <w:t>If so, the thousand years must be symbolic, depicting the period of time between the binding of Satan at Christ’s first advent, and the loosing of Satan just prior to his Second.</w:t>
      </w:r>
    </w:p>
    <w:p w14:paraId="11139935">
      <w:pPr>
        <w:pStyle w:val="9"/>
        <w:spacing w:before="11"/>
        <w:ind w:left="0"/>
        <w:jc w:val="left"/>
        <w:rPr>
          <w:rFonts w:hint="eastAsia"/>
          <w:sz w:val="30"/>
          <w:szCs w:val="30"/>
        </w:rPr>
      </w:pPr>
      <w:r>
        <w:rPr>
          <w:rFonts w:hint="eastAsia"/>
          <w:sz w:val="30"/>
          <w:szCs w:val="30"/>
        </w:rPr>
        <w:t>如果是这样，那么这一千年必定是象征性的，描绘了从基督第一次降临时撒但被捆绑，到祂第二次降临前撒但被释放之间的时间段。</w:t>
      </w:r>
    </w:p>
    <w:p w14:paraId="48C20F7C">
      <w:pPr>
        <w:pStyle w:val="9"/>
        <w:spacing w:before="11"/>
        <w:ind w:left="0"/>
        <w:jc w:val="left"/>
        <w:rPr>
          <w:rFonts w:hint="eastAsia"/>
          <w:sz w:val="30"/>
          <w:szCs w:val="30"/>
        </w:rPr>
      </w:pPr>
    </w:p>
    <w:p w14:paraId="7830F1E3">
      <w:pPr>
        <w:pStyle w:val="9"/>
        <w:spacing w:before="11"/>
        <w:ind w:left="0"/>
        <w:jc w:val="left"/>
        <w:rPr>
          <w:rFonts w:hint="eastAsia"/>
          <w:sz w:val="30"/>
          <w:szCs w:val="30"/>
        </w:rPr>
      </w:pPr>
      <w:r>
        <w:rPr>
          <w:rFonts w:hint="eastAsia"/>
          <w:sz w:val="30"/>
          <w:szCs w:val="30"/>
        </w:rPr>
        <w:t>For all these reasons we conclude that the evidence weighs heavily in favor of the view that the thousand years of Revelation 20—just like 1260 days, 42 months, and “a time, times, and a half a time” found in related passages—symbolize the entire Era of Proclamation, the full course of the spiritual reign of the High King of Heaven.</w:t>
      </w:r>
    </w:p>
    <w:p w14:paraId="16420DA3">
      <w:pPr>
        <w:pStyle w:val="9"/>
        <w:spacing w:before="11"/>
        <w:ind w:left="0"/>
        <w:jc w:val="left"/>
        <w:rPr>
          <w:rFonts w:hint="eastAsia"/>
          <w:sz w:val="30"/>
          <w:szCs w:val="30"/>
        </w:rPr>
      </w:pPr>
      <w:r>
        <w:rPr>
          <w:rFonts w:hint="eastAsia"/>
          <w:sz w:val="30"/>
          <w:szCs w:val="30"/>
        </w:rPr>
        <w:t>基于所有这些原因，我们得出结论，证据强烈支持这样的观点，即《启示录》20章的一千年——就像在相关经文中发现的1260天、42个月和“一载、二载、半载”一样——象征着整个宣讲时代，即天上至高君王属灵统治的全过程。</w:t>
      </w:r>
    </w:p>
    <w:p w14:paraId="0ED93C12">
      <w:pPr>
        <w:pStyle w:val="9"/>
        <w:spacing w:before="11"/>
        <w:ind w:left="0"/>
        <w:jc w:val="left"/>
        <w:rPr>
          <w:rFonts w:hint="eastAsia"/>
          <w:sz w:val="30"/>
          <w:szCs w:val="30"/>
        </w:rPr>
      </w:pPr>
    </w:p>
    <w:p w14:paraId="2C1C7CCE">
      <w:pPr>
        <w:pStyle w:val="9"/>
        <w:spacing w:before="11"/>
        <w:ind w:left="0"/>
        <w:jc w:val="left"/>
        <w:rPr>
          <w:rFonts w:hint="eastAsia"/>
          <w:sz w:val="30"/>
          <w:szCs w:val="30"/>
        </w:rPr>
      </w:pPr>
      <w:r>
        <w:rPr>
          <w:rFonts w:hint="eastAsia"/>
          <w:sz w:val="30"/>
          <w:szCs w:val="30"/>
        </w:rPr>
        <w:t>2.What is meant by the release of Satan?</w:t>
      </w:r>
    </w:p>
    <w:p w14:paraId="29CBD6A0">
      <w:pPr>
        <w:pStyle w:val="9"/>
        <w:spacing w:before="11"/>
        <w:ind w:left="0"/>
        <w:jc w:val="left"/>
        <w:rPr>
          <w:rFonts w:hint="eastAsia"/>
          <w:sz w:val="30"/>
          <w:szCs w:val="30"/>
        </w:rPr>
      </w:pPr>
      <w:r>
        <w:rPr>
          <w:rFonts w:hint="eastAsia"/>
          <w:sz w:val="30"/>
          <w:szCs w:val="30"/>
        </w:rPr>
        <w:t>2.撒但被释放是什么意思？</w:t>
      </w:r>
    </w:p>
    <w:p w14:paraId="60B484D8">
      <w:pPr>
        <w:pStyle w:val="9"/>
        <w:spacing w:before="11"/>
        <w:ind w:left="0"/>
        <w:jc w:val="left"/>
        <w:rPr>
          <w:rFonts w:hint="eastAsia"/>
          <w:sz w:val="30"/>
          <w:szCs w:val="30"/>
        </w:rPr>
      </w:pPr>
    </w:p>
    <w:p w14:paraId="6EF12FEC">
      <w:pPr>
        <w:pStyle w:val="9"/>
        <w:spacing w:before="11"/>
        <w:ind w:left="0"/>
        <w:jc w:val="left"/>
        <w:rPr>
          <w:rFonts w:hint="eastAsia"/>
          <w:sz w:val="30"/>
          <w:szCs w:val="30"/>
        </w:rPr>
      </w:pPr>
      <w:r>
        <w:rPr>
          <w:rFonts w:hint="eastAsia"/>
          <w:sz w:val="30"/>
          <w:szCs w:val="30"/>
        </w:rPr>
        <w:t>Revelation 20:3 states that after the thousand years, Satan must be released for a short time.</w:t>
      </w:r>
    </w:p>
    <w:p w14:paraId="0928699B">
      <w:pPr>
        <w:pStyle w:val="9"/>
        <w:spacing w:before="11"/>
        <w:ind w:left="0"/>
        <w:jc w:val="left"/>
        <w:rPr>
          <w:rFonts w:hint="eastAsia"/>
          <w:sz w:val="30"/>
          <w:szCs w:val="30"/>
        </w:rPr>
      </w:pPr>
      <w:r>
        <w:rPr>
          <w:rFonts w:hint="eastAsia"/>
          <w:sz w:val="30"/>
          <w:szCs w:val="30"/>
        </w:rPr>
        <w:t>《启示录》20:3说，一千年完了以后，必须暂时释放撒但。</w:t>
      </w:r>
    </w:p>
    <w:p w14:paraId="671B76F0">
      <w:pPr>
        <w:pStyle w:val="9"/>
        <w:spacing w:before="11"/>
        <w:ind w:left="0"/>
        <w:jc w:val="left"/>
        <w:rPr>
          <w:rFonts w:hint="eastAsia"/>
          <w:sz w:val="30"/>
          <w:szCs w:val="30"/>
        </w:rPr>
      </w:pPr>
    </w:p>
    <w:p w14:paraId="7EDDDC83">
      <w:pPr>
        <w:pStyle w:val="9"/>
        <w:spacing w:before="11"/>
        <w:ind w:left="0"/>
        <w:jc w:val="left"/>
        <w:rPr>
          <w:rFonts w:hint="eastAsia"/>
          <w:sz w:val="30"/>
          <w:szCs w:val="30"/>
        </w:rPr>
      </w:pPr>
      <w:r>
        <w:rPr>
          <w:rFonts w:hint="eastAsia"/>
          <w:sz w:val="30"/>
          <w:szCs w:val="30"/>
        </w:rPr>
        <w:t>Verses 7-10 explain what will happen when this occurs.</w:t>
      </w:r>
    </w:p>
    <w:p w14:paraId="69E958E1">
      <w:pPr>
        <w:pStyle w:val="9"/>
        <w:spacing w:before="11"/>
        <w:ind w:left="0"/>
        <w:jc w:val="left"/>
        <w:rPr>
          <w:rFonts w:hint="eastAsia"/>
          <w:sz w:val="30"/>
          <w:szCs w:val="30"/>
        </w:rPr>
      </w:pPr>
      <w:r>
        <w:rPr>
          <w:rFonts w:hint="eastAsia"/>
          <w:sz w:val="30"/>
          <w:szCs w:val="30"/>
        </w:rPr>
        <w:t>第7-10节解释了当这事发生时将会怎样。</w:t>
      </w:r>
    </w:p>
    <w:p w14:paraId="0F9EAB79">
      <w:pPr>
        <w:pStyle w:val="9"/>
        <w:spacing w:before="11"/>
        <w:ind w:left="0"/>
        <w:jc w:val="left"/>
        <w:rPr>
          <w:rFonts w:hint="eastAsia"/>
          <w:sz w:val="30"/>
          <w:szCs w:val="30"/>
        </w:rPr>
      </w:pPr>
    </w:p>
    <w:p w14:paraId="43F234FD">
      <w:pPr>
        <w:pStyle w:val="9"/>
        <w:spacing w:before="11"/>
        <w:ind w:left="0"/>
        <w:jc w:val="left"/>
        <w:rPr>
          <w:rFonts w:hint="eastAsia"/>
          <w:sz w:val="30"/>
          <w:szCs w:val="30"/>
        </w:rPr>
      </w:pPr>
      <w:r>
        <w:rPr>
          <w:rFonts w:hint="eastAsia"/>
          <w:sz w:val="30"/>
          <w:szCs w:val="30"/>
        </w:rPr>
        <w:t>I have just shown that evidence found in other portions of the book favors the view that this release occurs at the end of the Era of Proclamation, immediately prior to the Last Battle.</w:t>
      </w:r>
    </w:p>
    <w:p w14:paraId="11199DC7">
      <w:pPr>
        <w:pStyle w:val="9"/>
        <w:spacing w:before="11"/>
        <w:ind w:left="0"/>
        <w:jc w:val="left"/>
        <w:rPr>
          <w:rFonts w:hint="eastAsia"/>
          <w:sz w:val="30"/>
          <w:szCs w:val="30"/>
        </w:rPr>
      </w:pPr>
      <w:r>
        <w:rPr>
          <w:rFonts w:hint="eastAsia"/>
          <w:sz w:val="30"/>
          <w:szCs w:val="30"/>
        </w:rPr>
        <w:t>我刚刚已经表明，在本书其他部分找到的证据支持这样的观点，即这次释放发生在宣讲时代的末了，紧接在末日争战之前。</w:t>
      </w:r>
    </w:p>
    <w:p w14:paraId="7EA0AE19">
      <w:pPr>
        <w:pStyle w:val="9"/>
        <w:spacing w:before="11"/>
        <w:ind w:left="0"/>
        <w:jc w:val="left"/>
        <w:rPr>
          <w:rFonts w:hint="eastAsia"/>
          <w:sz w:val="30"/>
          <w:szCs w:val="30"/>
        </w:rPr>
      </w:pPr>
    </w:p>
    <w:p w14:paraId="3005CDCE">
      <w:pPr>
        <w:pStyle w:val="9"/>
        <w:spacing w:before="11"/>
        <w:ind w:left="0"/>
        <w:jc w:val="left"/>
        <w:rPr>
          <w:rFonts w:hint="eastAsia"/>
          <w:sz w:val="30"/>
          <w:szCs w:val="30"/>
        </w:rPr>
      </w:pPr>
      <w:r>
        <w:rPr>
          <w:rFonts w:hint="eastAsia"/>
          <w:sz w:val="30"/>
          <w:szCs w:val="30"/>
        </w:rPr>
        <w:t>In a moment, we will see if verses 7-10 support this conclusion.</w:t>
      </w:r>
    </w:p>
    <w:p w14:paraId="5E021129">
      <w:pPr>
        <w:pStyle w:val="9"/>
        <w:spacing w:before="11"/>
        <w:ind w:left="0"/>
        <w:jc w:val="left"/>
        <w:rPr>
          <w:rFonts w:hint="eastAsia"/>
          <w:sz w:val="30"/>
          <w:szCs w:val="30"/>
        </w:rPr>
      </w:pPr>
      <w:r>
        <w:rPr>
          <w:rFonts w:hint="eastAsia"/>
          <w:sz w:val="30"/>
          <w:szCs w:val="30"/>
        </w:rPr>
        <w:t>稍后，我们将看看第7-10节是否支持这个结论。</w:t>
      </w:r>
    </w:p>
    <w:p w14:paraId="7100B61C">
      <w:pPr>
        <w:pStyle w:val="9"/>
        <w:spacing w:before="11"/>
        <w:ind w:left="0"/>
        <w:jc w:val="left"/>
        <w:rPr>
          <w:rFonts w:hint="eastAsia"/>
          <w:sz w:val="30"/>
          <w:szCs w:val="30"/>
        </w:rPr>
      </w:pPr>
    </w:p>
    <w:p w14:paraId="4E28C93E">
      <w:pPr>
        <w:pStyle w:val="9"/>
        <w:spacing w:before="11"/>
        <w:ind w:left="0"/>
        <w:jc w:val="left"/>
        <w:rPr>
          <w:rFonts w:hint="eastAsia"/>
          <w:sz w:val="30"/>
          <w:szCs w:val="30"/>
        </w:rPr>
      </w:pPr>
      <w:r>
        <w:rPr>
          <w:rFonts w:hint="eastAsia"/>
          <w:sz w:val="30"/>
          <w:szCs w:val="30"/>
        </w:rPr>
        <w:t>So far, however, we have certainly found nothing to indicate that Revelation 20 speaks of a future thousand-year reign of Christ upon the earth, but much to indicate that it does indeed recapitulate, one final time, the entire Era of Proclamation.</w:t>
      </w:r>
    </w:p>
    <w:p w14:paraId="2FD6763A">
      <w:pPr>
        <w:pStyle w:val="9"/>
        <w:spacing w:before="11"/>
        <w:ind w:left="0"/>
        <w:jc w:val="left"/>
        <w:rPr>
          <w:rFonts w:hint="eastAsia"/>
          <w:sz w:val="30"/>
          <w:szCs w:val="30"/>
        </w:rPr>
      </w:pPr>
      <w:r>
        <w:rPr>
          <w:rFonts w:hint="eastAsia"/>
          <w:sz w:val="30"/>
          <w:szCs w:val="30"/>
        </w:rPr>
        <w:t>然而，到目前为止，我们当然没有发现任何迹象表明《启示录》20章讲的是基督在地上未来一千年的统治，但却有很多迹象表明它确实最后一次重述了整个宣讲时代。</w:t>
      </w:r>
    </w:p>
    <w:p w14:paraId="39E51610">
      <w:pPr>
        <w:pStyle w:val="9"/>
        <w:spacing w:before="11"/>
        <w:ind w:left="0"/>
        <w:jc w:val="left"/>
        <w:rPr>
          <w:rFonts w:hint="eastAsia"/>
          <w:sz w:val="30"/>
          <w:szCs w:val="30"/>
        </w:rPr>
      </w:pPr>
    </w:p>
    <w:p w14:paraId="4AE6D832">
      <w:pPr>
        <w:pStyle w:val="9"/>
        <w:spacing w:before="11"/>
        <w:ind w:left="0"/>
        <w:jc w:val="left"/>
        <w:rPr>
          <w:rFonts w:hint="eastAsia"/>
          <w:sz w:val="30"/>
          <w:szCs w:val="30"/>
        </w:rPr>
      </w:pPr>
      <w:r>
        <w:rPr>
          <w:rFonts w:hint="eastAsia"/>
          <w:sz w:val="30"/>
          <w:szCs w:val="30"/>
        </w:rPr>
        <w:t>The Reign of the Saints with Christ (20:4-6)</w:t>
      </w:r>
    </w:p>
    <w:p w14:paraId="167D73C4">
      <w:pPr>
        <w:pStyle w:val="9"/>
        <w:spacing w:before="11"/>
        <w:ind w:left="0"/>
        <w:jc w:val="left"/>
        <w:rPr>
          <w:rFonts w:hint="eastAsia"/>
          <w:sz w:val="30"/>
          <w:szCs w:val="30"/>
        </w:rPr>
      </w:pPr>
      <w:r>
        <w:rPr>
          <w:rFonts w:hint="eastAsia"/>
          <w:sz w:val="30"/>
          <w:szCs w:val="30"/>
        </w:rPr>
        <w:t>圣徒与基督一同作王（20:4-6）</w:t>
      </w:r>
    </w:p>
    <w:p w14:paraId="2E7CA5DE">
      <w:pPr>
        <w:pStyle w:val="9"/>
        <w:spacing w:before="11"/>
        <w:ind w:left="0"/>
        <w:jc w:val="left"/>
        <w:rPr>
          <w:rFonts w:hint="eastAsia"/>
          <w:sz w:val="30"/>
          <w:szCs w:val="30"/>
        </w:rPr>
      </w:pPr>
    </w:p>
    <w:p w14:paraId="0458D0F1">
      <w:pPr>
        <w:pStyle w:val="9"/>
        <w:spacing w:before="11"/>
        <w:ind w:left="0"/>
        <w:jc w:val="left"/>
        <w:rPr>
          <w:rFonts w:hint="eastAsia"/>
          <w:sz w:val="30"/>
          <w:szCs w:val="30"/>
        </w:rPr>
      </w:pPr>
      <w:r>
        <w:rPr>
          <w:rFonts w:hint="eastAsia"/>
          <w:sz w:val="30"/>
          <w:szCs w:val="30"/>
        </w:rPr>
        <w:t>Of the four mini-visions comprising Revelation 20, this is certainly the most difficult and controversial.</w:t>
      </w:r>
    </w:p>
    <w:p w14:paraId="7A9C82CB">
      <w:pPr>
        <w:pStyle w:val="9"/>
        <w:spacing w:before="11"/>
        <w:ind w:left="0"/>
        <w:jc w:val="left"/>
        <w:rPr>
          <w:rFonts w:hint="eastAsia"/>
          <w:sz w:val="30"/>
          <w:szCs w:val="30"/>
        </w:rPr>
      </w:pPr>
      <w:r>
        <w:rPr>
          <w:rFonts w:hint="eastAsia"/>
          <w:sz w:val="30"/>
          <w:szCs w:val="30"/>
        </w:rPr>
        <w:t>在构成《启示录》20章的四个微型异象中，这无疑是最困难和最具争议的一个。</w:t>
      </w:r>
    </w:p>
    <w:p w14:paraId="595458F4">
      <w:pPr>
        <w:pStyle w:val="9"/>
        <w:spacing w:before="11"/>
        <w:ind w:left="0"/>
        <w:jc w:val="left"/>
        <w:rPr>
          <w:rFonts w:hint="eastAsia"/>
          <w:sz w:val="30"/>
          <w:szCs w:val="30"/>
        </w:rPr>
      </w:pPr>
    </w:p>
    <w:p w14:paraId="0D5E7CCA">
      <w:pPr>
        <w:pStyle w:val="9"/>
        <w:spacing w:before="11"/>
        <w:ind w:left="0"/>
        <w:jc w:val="left"/>
        <w:rPr>
          <w:rFonts w:hint="eastAsia"/>
          <w:sz w:val="30"/>
          <w:szCs w:val="30"/>
        </w:rPr>
      </w:pPr>
      <w:r>
        <w:rPr>
          <w:rFonts w:hint="eastAsia"/>
          <w:sz w:val="30"/>
          <w:szCs w:val="30"/>
        </w:rPr>
        <w:t>Nevertheless, I would argue that the amillennial approach gives us a remarkably clear, consistent, and exegetically natural interpretation of this notoriously challenging text.</w:t>
      </w:r>
    </w:p>
    <w:p w14:paraId="5E8E8F9A">
      <w:pPr>
        <w:pStyle w:val="9"/>
        <w:spacing w:before="11"/>
        <w:ind w:left="0"/>
        <w:jc w:val="left"/>
        <w:rPr>
          <w:rFonts w:hint="eastAsia"/>
          <w:sz w:val="30"/>
          <w:szCs w:val="30"/>
        </w:rPr>
      </w:pPr>
      <w:r>
        <w:rPr>
          <w:rFonts w:hint="eastAsia"/>
          <w:sz w:val="30"/>
          <w:szCs w:val="30"/>
        </w:rPr>
        <w:t>然而，我认为无千禧年论的方法为我们提供了一个对这段臭名昭著的挑战性经文非常清晰、一致和解经上自然的解释。</w:t>
      </w:r>
    </w:p>
    <w:p w14:paraId="776A35B1">
      <w:pPr>
        <w:pStyle w:val="9"/>
        <w:spacing w:before="11"/>
        <w:ind w:left="0"/>
        <w:jc w:val="left"/>
        <w:rPr>
          <w:rFonts w:hint="eastAsia"/>
          <w:sz w:val="30"/>
          <w:szCs w:val="30"/>
        </w:rPr>
      </w:pPr>
    </w:p>
    <w:p w14:paraId="09F1D58A">
      <w:pPr>
        <w:pStyle w:val="9"/>
        <w:spacing w:before="11"/>
        <w:ind w:left="0"/>
        <w:jc w:val="left"/>
        <w:rPr>
          <w:rFonts w:hint="eastAsia"/>
          <w:sz w:val="30"/>
          <w:szCs w:val="30"/>
        </w:rPr>
      </w:pPr>
      <w:r>
        <w:rPr>
          <w:rFonts w:hint="eastAsia"/>
          <w:sz w:val="30"/>
          <w:szCs w:val="30"/>
        </w:rPr>
        <w:t>Having opened the chapter with a revelation of the temporary binding of Satan, the Spirit now addresses a question that will naturally arise in the minds of every reader and hearer: A thousand years is a long time; what will happen to the saints who die while Satan is still bound and imprisoned?</w:t>
      </w:r>
    </w:p>
    <w:p w14:paraId="1BA381DD">
      <w:pPr>
        <w:pStyle w:val="9"/>
        <w:spacing w:before="11"/>
        <w:ind w:left="0"/>
        <w:jc w:val="left"/>
        <w:rPr>
          <w:rFonts w:hint="eastAsia"/>
          <w:sz w:val="30"/>
          <w:szCs w:val="30"/>
        </w:rPr>
      </w:pPr>
      <w:r>
        <w:rPr>
          <w:rFonts w:hint="eastAsia"/>
          <w:sz w:val="30"/>
          <w:szCs w:val="30"/>
        </w:rPr>
        <w:t>在以撒但被暂时捆绑的启示开启本章之后，圣灵现在回答了一个自然会出现在每位读者和听者心中的问题：一千年是很长的时间；在撒但仍被捆绑和监禁时死去的圣徒会怎么样？</w:t>
      </w:r>
    </w:p>
    <w:p w14:paraId="510C68D6">
      <w:pPr>
        <w:pStyle w:val="9"/>
        <w:spacing w:before="11"/>
        <w:ind w:left="0"/>
        <w:jc w:val="left"/>
        <w:rPr>
          <w:rFonts w:hint="eastAsia"/>
          <w:sz w:val="30"/>
          <w:szCs w:val="30"/>
        </w:rPr>
      </w:pPr>
    </w:p>
    <w:p w14:paraId="2EF464BB">
      <w:pPr>
        <w:pStyle w:val="9"/>
        <w:spacing w:before="11"/>
        <w:ind w:left="0"/>
        <w:jc w:val="left"/>
        <w:rPr>
          <w:rFonts w:hint="eastAsia"/>
          <w:sz w:val="30"/>
          <w:szCs w:val="30"/>
        </w:rPr>
      </w:pPr>
      <w:r>
        <w:rPr>
          <w:rFonts w:hint="eastAsia"/>
          <w:sz w:val="30"/>
          <w:szCs w:val="30"/>
        </w:rPr>
        <w:t>As if in response, John now sees “thrones and those who sat upon them,” of whom it is written, quite cryptically, that “judgment was given to them” (20:4).</w:t>
      </w:r>
    </w:p>
    <w:p w14:paraId="362E41D1">
      <w:pPr>
        <w:pStyle w:val="9"/>
        <w:spacing w:before="11"/>
        <w:ind w:left="0"/>
        <w:jc w:val="left"/>
        <w:rPr>
          <w:rFonts w:hint="eastAsia"/>
          <w:sz w:val="30"/>
          <w:szCs w:val="30"/>
        </w:rPr>
      </w:pPr>
      <w:r>
        <w:rPr>
          <w:rFonts w:hint="eastAsia"/>
          <w:sz w:val="30"/>
          <w:szCs w:val="30"/>
        </w:rPr>
        <w:t>仿佛作为回应，约翰现在看见“宝座和坐在上面的人”，关于他们，经上以一种相当隐晦的方式写着，“有审判的权柄赐给他们”（20:4）。</w:t>
      </w:r>
    </w:p>
    <w:p w14:paraId="1B7C3874">
      <w:pPr>
        <w:pStyle w:val="9"/>
        <w:spacing w:before="11"/>
        <w:ind w:left="0"/>
        <w:jc w:val="left"/>
        <w:rPr>
          <w:rFonts w:hint="eastAsia"/>
          <w:sz w:val="30"/>
          <w:szCs w:val="30"/>
        </w:rPr>
      </w:pPr>
    </w:p>
    <w:p w14:paraId="6B2F9C53">
      <w:pPr>
        <w:pStyle w:val="9"/>
        <w:spacing w:before="11"/>
        <w:ind w:left="0"/>
        <w:jc w:val="left"/>
        <w:rPr>
          <w:rFonts w:hint="eastAsia"/>
          <w:sz w:val="30"/>
          <w:szCs w:val="30"/>
        </w:rPr>
      </w:pPr>
      <w:r>
        <w:rPr>
          <w:rFonts w:hint="eastAsia"/>
          <w:sz w:val="30"/>
          <w:szCs w:val="30"/>
        </w:rPr>
        <w:t>Then, by way of explanation, he sees the souls of two categories of believers: (1) martyrs, and (2) those who refused to worship the Beast or his image, and who had not received his mark upon their forehead or their hand.</w:t>
      </w:r>
    </w:p>
    <w:p w14:paraId="111A4C34">
      <w:pPr>
        <w:pStyle w:val="9"/>
        <w:spacing w:before="11"/>
        <w:ind w:left="0"/>
        <w:jc w:val="left"/>
        <w:rPr>
          <w:rFonts w:hint="eastAsia"/>
          <w:sz w:val="30"/>
          <w:szCs w:val="30"/>
        </w:rPr>
      </w:pPr>
      <w:r>
        <w:rPr>
          <w:rFonts w:hint="eastAsia"/>
          <w:sz w:val="30"/>
          <w:szCs w:val="30"/>
        </w:rPr>
        <w:t>然后，作为解释，他看见了两类信徒的灵魂：（1）殉道者，以及（2）那些拒绝敬拜兽或其像，并且没有在额上或手上受其印记的人。</w:t>
      </w:r>
    </w:p>
    <w:p w14:paraId="576E62A7">
      <w:pPr>
        <w:pStyle w:val="9"/>
        <w:spacing w:before="11"/>
        <w:ind w:left="0"/>
        <w:jc w:val="left"/>
        <w:rPr>
          <w:rFonts w:hint="eastAsia"/>
          <w:sz w:val="30"/>
          <w:szCs w:val="30"/>
        </w:rPr>
      </w:pPr>
    </w:p>
    <w:p w14:paraId="25E13CEB">
      <w:pPr>
        <w:pStyle w:val="9"/>
        <w:spacing w:before="11"/>
        <w:ind w:left="0"/>
        <w:jc w:val="left"/>
        <w:rPr>
          <w:rFonts w:hint="eastAsia"/>
          <w:sz w:val="30"/>
          <w:szCs w:val="30"/>
        </w:rPr>
      </w:pPr>
      <w:r>
        <w:rPr>
          <w:rFonts w:hint="eastAsia"/>
          <w:sz w:val="30"/>
          <w:szCs w:val="30"/>
        </w:rPr>
        <w:t>These, John tells us, “came to life and reigned with Christ for a thousand years” (20:4).</w:t>
      </w:r>
    </w:p>
    <w:p w14:paraId="7D5192D7">
      <w:pPr>
        <w:pStyle w:val="9"/>
        <w:spacing w:before="11"/>
        <w:ind w:left="0"/>
        <w:jc w:val="left"/>
        <w:rPr>
          <w:rFonts w:hint="eastAsia"/>
          <w:sz w:val="30"/>
          <w:szCs w:val="30"/>
        </w:rPr>
      </w:pPr>
      <w:r>
        <w:rPr>
          <w:rFonts w:hint="eastAsia"/>
          <w:sz w:val="30"/>
          <w:szCs w:val="30"/>
        </w:rPr>
        <w:t>约翰告诉我们，这些人“都活了，与基督一同作王一千年”（20:4）。</w:t>
      </w:r>
    </w:p>
    <w:p w14:paraId="0FD6DC31">
      <w:pPr>
        <w:pStyle w:val="9"/>
        <w:spacing w:before="11"/>
        <w:ind w:left="0"/>
        <w:jc w:val="left"/>
        <w:rPr>
          <w:rFonts w:hint="eastAsia"/>
          <w:sz w:val="30"/>
          <w:szCs w:val="30"/>
        </w:rPr>
      </w:pPr>
    </w:p>
    <w:p w14:paraId="5A998AFB">
      <w:pPr>
        <w:pStyle w:val="9"/>
        <w:spacing w:before="11"/>
        <w:ind w:left="0"/>
        <w:jc w:val="left"/>
        <w:rPr>
          <w:rFonts w:hint="eastAsia"/>
          <w:sz w:val="30"/>
          <w:szCs w:val="30"/>
        </w:rPr>
      </w:pPr>
      <w:r>
        <w:rPr>
          <w:rFonts w:hint="eastAsia"/>
          <w:sz w:val="30"/>
          <w:szCs w:val="30"/>
        </w:rPr>
        <w:t>Verse 5 completes the thought, telling us that “the rest of the dead did not come to life until the thousand years were completed,” and that this “coming to life to reign with Christ” is called “the first resurrection.”</w:t>
      </w:r>
    </w:p>
    <w:p w14:paraId="20BEAEEC">
      <w:pPr>
        <w:pStyle w:val="9"/>
        <w:spacing w:before="11"/>
        <w:ind w:left="0"/>
        <w:jc w:val="left"/>
        <w:rPr>
          <w:rFonts w:hint="eastAsia"/>
          <w:sz w:val="30"/>
          <w:szCs w:val="30"/>
        </w:rPr>
      </w:pPr>
      <w:r>
        <w:rPr>
          <w:rFonts w:hint="eastAsia"/>
          <w:sz w:val="30"/>
          <w:szCs w:val="30"/>
        </w:rPr>
        <w:t>第5节完成了这个思想，告诉我们“其余的死人还没有复活，直等那一千年完了”，并且这个“活过来与基督一同作王”被称为“头一次的复活”。</w:t>
      </w:r>
    </w:p>
    <w:p w14:paraId="2168F9B4">
      <w:pPr>
        <w:pStyle w:val="9"/>
        <w:spacing w:before="11"/>
        <w:ind w:left="0"/>
        <w:jc w:val="left"/>
        <w:rPr>
          <w:rFonts w:hint="eastAsia"/>
          <w:sz w:val="30"/>
          <w:szCs w:val="30"/>
        </w:rPr>
      </w:pPr>
    </w:p>
    <w:p w14:paraId="116D7D4E">
      <w:pPr>
        <w:pStyle w:val="9"/>
        <w:spacing w:before="11"/>
        <w:ind w:left="0"/>
        <w:jc w:val="left"/>
        <w:rPr>
          <w:rFonts w:hint="eastAsia"/>
          <w:sz w:val="30"/>
          <w:szCs w:val="30"/>
        </w:rPr>
      </w:pPr>
      <w:r>
        <w:rPr>
          <w:rFonts w:hint="eastAsia"/>
          <w:sz w:val="30"/>
          <w:szCs w:val="30"/>
        </w:rPr>
        <w:t>Verse 6 pronounces a great blessing upon all who have a share in “the first resurrection,” since in their case “the second death” has no power over them, and since they will be priests of God and Christ, reigning with him (Christ) for a thousand years.</w:t>
      </w:r>
    </w:p>
    <w:p w14:paraId="5975A2FA">
      <w:pPr>
        <w:pStyle w:val="9"/>
        <w:spacing w:before="11"/>
        <w:ind w:left="0"/>
        <w:jc w:val="left"/>
        <w:rPr>
          <w:rFonts w:hint="eastAsia"/>
          <w:sz w:val="30"/>
          <w:szCs w:val="30"/>
        </w:rPr>
      </w:pPr>
      <w:r>
        <w:rPr>
          <w:rFonts w:hint="eastAsia"/>
          <w:sz w:val="30"/>
          <w:szCs w:val="30"/>
        </w:rPr>
        <w:t>第6节宣告了对所有有份于“头一次复活”之人的极大祝福，因为在他们身上，“第二次的死”没有权柄，并且他们将作上帝和基督的祭司，与祂（基督）一同作王一千年。</w:t>
      </w:r>
    </w:p>
    <w:p w14:paraId="1B1B0C9F">
      <w:pPr>
        <w:pStyle w:val="9"/>
        <w:spacing w:before="11"/>
        <w:ind w:left="0"/>
        <w:jc w:val="left"/>
        <w:rPr>
          <w:rFonts w:hint="eastAsia"/>
          <w:sz w:val="30"/>
          <w:szCs w:val="30"/>
        </w:rPr>
      </w:pPr>
    </w:p>
    <w:p w14:paraId="4642A1FB">
      <w:pPr>
        <w:pStyle w:val="9"/>
        <w:spacing w:before="11"/>
        <w:ind w:left="0"/>
        <w:jc w:val="left"/>
        <w:rPr>
          <w:rFonts w:hint="eastAsia"/>
          <w:sz w:val="30"/>
          <w:szCs w:val="30"/>
        </w:rPr>
      </w:pPr>
      <w:r>
        <w:rPr>
          <w:rFonts w:hint="eastAsia"/>
          <w:sz w:val="30"/>
          <w:szCs w:val="30"/>
        </w:rPr>
        <w:t>Very briefly, the amillennial interpretation is as follows: Those seated upon the thrones are indeed souls, the souls of all who remained faithful to Christ during their portion of the Era of Proclamation.</w:t>
      </w:r>
    </w:p>
    <w:p w14:paraId="3C9E1DFA">
      <w:pPr>
        <w:pStyle w:val="9"/>
        <w:spacing w:before="11"/>
        <w:ind w:left="0"/>
        <w:jc w:val="left"/>
        <w:rPr>
          <w:rFonts w:hint="eastAsia"/>
          <w:sz w:val="30"/>
          <w:szCs w:val="30"/>
        </w:rPr>
      </w:pPr>
      <w:r>
        <w:rPr>
          <w:rFonts w:hint="eastAsia"/>
          <w:sz w:val="30"/>
          <w:szCs w:val="30"/>
        </w:rPr>
        <w:t>非常简要地说，无千禧年论的解释如下：那些坐在宝座上的是灵魂，是所有在宣讲时代中对基督保持忠心之人的灵魂。</w:t>
      </w:r>
    </w:p>
    <w:p w14:paraId="10004BAF">
      <w:pPr>
        <w:pStyle w:val="9"/>
        <w:spacing w:before="11"/>
        <w:ind w:left="0"/>
        <w:jc w:val="left"/>
        <w:rPr>
          <w:rFonts w:hint="eastAsia"/>
          <w:sz w:val="30"/>
          <w:szCs w:val="30"/>
        </w:rPr>
      </w:pPr>
    </w:p>
    <w:p w14:paraId="04153447">
      <w:pPr>
        <w:pStyle w:val="9"/>
        <w:spacing w:before="11"/>
        <w:ind w:left="0"/>
        <w:jc w:val="left"/>
        <w:rPr>
          <w:rFonts w:hint="eastAsia"/>
          <w:sz w:val="30"/>
          <w:szCs w:val="30"/>
        </w:rPr>
      </w:pPr>
      <w:r>
        <w:rPr>
          <w:rFonts w:hint="eastAsia"/>
          <w:sz w:val="30"/>
          <w:szCs w:val="30"/>
        </w:rPr>
        <w:t>Because of their faithfulness—because they refused to follow Satan acting through his three worldly helpers—these died in the Lord, and so, in “the first resurrection,” came to life in heaven as disembodied spirits, there to await the resurrection of the body at the end of the age.</w:t>
      </w:r>
    </w:p>
    <w:p w14:paraId="1B7F2F4C">
      <w:pPr>
        <w:pStyle w:val="9"/>
        <w:spacing w:before="11"/>
        <w:ind w:left="0"/>
        <w:jc w:val="left"/>
        <w:rPr>
          <w:rFonts w:hint="eastAsia"/>
          <w:sz w:val="30"/>
          <w:szCs w:val="30"/>
        </w:rPr>
      </w:pPr>
      <w:r>
        <w:rPr>
          <w:rFonts w:hint="eastAsia"/>
          <w:sz w:val="30"/>
          <w:szCs w:val="30"/>
        </w:rPr>
        <w:t>因为他们的忠心——因为他们拒绝跟随通过他三个属世助手行事的撒但——这些人在主里死了，因此，在“头一次的复活”中，在天上作为脱离身体的灵魂活过来，在那里等候世代末了身体的复活。</w:t>
      </w:r>
    </w:p>
    <w:p w14:paraId="7FFD0BB9">
      <w:pPr>
        <w:pStyle w:val="9"/>
        <w:spacing w:before="11"/>
        <w:ind w:left="0"/>
        <w:jc w:val="left"/>
        <w:rPr>
          <w:rFonts w:hint="eastAsia"/>
          <w:sz w:val="30"/>
          <w:szCs w:val="30"/>
        </w:rPr>
      </w:pPr>
    </w:p>
    <w:p w14:paraId="0A40CC13">
      <w:pPr>
        <w:pStyle w:val="9"/>
        <w:spacing w:before="11"/>
        <w:ind w:left="0"/>
        <w:jc w:val="left"/>
        <w:rPr>
          <w:rFonts w:hint="eastAsia"/>
          <w:sz w:val="30"/>
          <w:szCs w:val="30"/>
        </w:rPr>
      </w:pPr>
      <w:r>
        <w:rPr>
          <w:rFonts w:hint="eastAsia"/>
          <w:sz w:val="30"/>
          <w:szCs w:val="30"/>
        </w:rPr>
        <w:t>Throughout this Intermediate State their blessings are many: They reign “in life” with Christ over all the power of sin and death; they serve as priests in the heavenly worship of their God and King; they now have a share in the Last Judgment at Christ’s return; and— unlike “the rest of the dead” who will “come to life” in the second (bodily) resurrection only to experience eternal punishment—they are forever secure against the second death, which is the Lake of Fire.</w:t>
      </w:r>
    </w:p>
    <w:p w14:paraId="1199A344">
      <w:pPr>
        <w:pStyle w:val="9"/>
        <w:spacing w:before="11"/>
        <w:ind w:left="0"/>
        <w:jc w:val="left"/>
        <w:rPr>
          <w:rFonts w:hint="eastAsia"/>
          <w:sz w:val="30"/>
          <w:szCs w:val="30"/>
        </w:rPr>
      </w:pPr>
      <w:r>
        <w:rPr>
          <w:rFonts w:hint="eastAsia"/>
          <w:sz w:val="30"/>
          <w:szCs w:val="30"/>
        </w:rPr>
        <w:t>在整个中间状态中，他们的福分很多：他们与基督一同“在生命中”作王，胜过罪和死的一切权势；他们在天上敬拜他们的上帝和君王时作祭司；他们现在在基督再来时有份于最后的审判；并且——与那些在第二次（身体的）复活中“活过来”却只会经历永恒惩罚的“其余的死人”不同——他们永远免于第二次的死，即火湖。</w:t>
      </w:r>
    </w:p>
    <w:p w14:paraId="0BA55E23">
      <w:pPr>
        <w:pStyle w:val="9"/>
        <w:spacing w:before="11"/>
        <w:ind w:left="0"/>
        <w:jc w:val="left"/>
        <w:rPr>
          <w:rFonts w:hint="eastAsia"/>
          <w:sz w:val="30"/>
          <w:szCs w:val="30"/>
        </w:rPr>
      </w:pPr>
    </w:p>
    <w:p w14:paraId="7B745BEA">
      <w:pPr>
        <w:pStyle w:val="9"/>
        <w:spacing w:before="11"/>
        <w:ind w:left="0"/>
        <w:jc w:val="left"/>
        <w:rPr>
          <w:rFonts w:hint="eastAsia"/>
          <w:sz w:val="30"/>
          <w:szCs w:val="30"/>
        </w:rPr>
      </w:pPr>
      <w:r>
        <w:rPr>
          <w:rFonts w:hint="eastAsia"/>
          <w:sz w:val="30"/>
          <w:szCs w:val="30"/>
        </w:rPr>
        <w:t>Needles to say, our premillennarian brothers are not enthusiastic about this interpretation.4</w:t>
      </w:r>
    </w:p>
    <w:p w14:paraId="4E54262B">
      <w:pPr>
        <w:pStyle w:val="9"/>
        <w:spacing w:before="11"/>
        <w:ind w:left="0"/>
        <w:jc w:val="left"/>
        <w:rPr>
          <w:rFonts w:hint="eastAsia"/>
          <w:sz w:val="30"/>
          <w:szCs w:val="30"/>
        </w:rPr>
      </w:pPr>
      <w:r>
        <w:rPr>
          <w:rFonts w:hint="eastAsia"/>
          <w:sz w:val="30"/>
          <w:szCs w:val="30"/>
        </w:rPr>
        <w:t>不用说，我们的前千禧年论弟兄们对这种解释并不热心。4</w:t>
      </w:r>
    </w:p>
    <w:p w14:paraId="3B195F57">
      <w:pPr>
        <w:pStyle w:val="9"/>
        <w:spacing w:before="11"/>
        <w:ind w:left="0"/>
        <w:jc w:val="left"/>
        <w:rPr>
          <w:rFonts w:hint="eastAsia"/>
          <w:sz w:val="30"/>
          <w:szCs w:val="30"/>
        </w:rPr>
      </w:pPr>
    </w:p>
    <w:p w14:paraId="464698DB">
      <w:pPr>
        <w:pStyle w:val="9"/>
        <w:spacing w:before="11"/>
        <w:ind w:left="0"/>
        <w:jc w:val="left"/>
        <w:rPr>
          <w:rFonts w:hint="eastAsia"/>
          <w:sz w:val="30"/>
          <w:szCs w:val="30"/>
        </w:rPr>
      </w:pPr>
      <w:r>
        <w:rPr>
          <w:rFonts w:hint="eastAsia"/>
          <w:sz w:val="30"/>
          <w:szCs w:val="30"/>
        </w:rPr>
        <w:t>Indeed, they would challenge it at no less than five separate points.</w:t>
      </w:r>
    </w:p>
    <w:p w14:paraId="1BAE123A">
      <w:pPr>
        <w:pStyle w:val="9"/>
        <w:spacing w:before="11"/>
        <w:ind w:left="0"/>
        <w:jc w:val="left"/>
        <w:rPr>
          <w:rFonts w:hint="eastAsia"/>
          <w:sz w:val="30"/>
          <w:szCs w:val="30"/>
        </w:rPr>
      </w:pPr>
      <w:r>
        <w:rPr>
          <w:rFonts w:hint="eastAsia"/>
          <w:sz w:val="30"/>
          <w:szCs w:val="30"/>
        </w:rPr>
        <w:t>确实，他们至少会在五个不同的点上对此提出挑战。</w:t>
      </w:r>
    </w:p>
    <w:p w14:paraId="07588234">
      <w:pPr>
        <w:pStyle w:val="9"/>
        <w:spacing w:before="11"/>
        <w:ind w:left="0"/>
        <w:jc w:val="left"/>
        <w:rPr>
          <w:rFonts w:hint="eastAsia"/>
          <w:sz w:val="30"/>
          <w:szCs w:val="30"/>
        </w:rPr>
      </w:pPr>
    </w:p>
    <w:p w14:paraId="00082D84">
      <w:pPr>
        <w:pStyle w:val="9"/>
        <w:spacing w:before="11"/>
        <w:ind w:left="0"/>
        <w:jc w:val="left"/>
        <w:rPr>
          <w:rFonts w:hint="eastAsia"/>
          <w:sz w:val="30"/>
          <w:szCs w:val="30"/>
        </w:rPr>
      </w:pPr>
      <w:r>
        <w:rPr>
          <w:rFonts w:hint="eastAsia"/>
          <w:sz w:val="30"/>
          <w:szCs w:val="30"/>
        </w:rPr>
        <w:t>Let us therefore take a close look at their arguments, and see where the weight of biblical evidence actually leads us.</w:t>
      </w:r>
    </w:p>
    <w:p w14:paraId="1A5664AA">
      <w:pPr>
        <w:pStyle w:val="9"/>
        <w:spacing w:before="11"/>
        <w:ind w:left="0"/>
        <w:jc w:val="left"/>
        <w:rPr>
          <w:rFonts w:hint="eastAsia"/>
          <w:sz w:val="30"/>
          <w:szCs w:val="30"/>
        </w:rPr>
      </w:pPr>
      <w:r>
        <w:rPr>
          <w:rFonts w:hint="eastAsia"/>
          <w:sz w:val="30"/>
          <w:szCs w:val="30"/>
        </w:rPr>
        <w:t>因此，让我们仔细审视他们的论点，看看圣经证据的份量实际上将我们引向何方。</w:t>
      </w:r>
    </w:p>
    <w:p w14:paraId="60CBF690">
      <w:pPr>
        <w:pStyle w:val="9"/>
        <w:spacing w:before="11"/>
        <w:ind w:left="0"/>
        <w:jc w:val="left"/>
        <w:rPr>
          <w:rFonts w:hint="eastAsia"/>
          <w:sz w:val="30"/>
          <w:szCs w:val="30"/>
        </w:rPr>
      </w:pPr>
    </w:p>
    <w:p w14:paraId="52C48908">
      <w:pPr>
        <w:pStyle w:val="9"/>
        <w:spacing w:before="11"/>
        <w:ind w:left="0"/>
        <w:jc w:val="left"/>
        <w:rPr>
          <w:rFonts w:hint="eastAsia"/>
          <w:sz w:val="30"/>
          <w:szCs w:val="30"/>
        </w:rPr>
      </w:pPr>
      <w:r>
        <w:rPr>
          <w:rFonts w:hint="eastAsia"/>
          <w:sz w:val="30"/>
          <w:szCs w:val="30"/>
        </w:rPr>
        <w:t>1.Who are these saints?</w:t>
      </w:r>
    </w:p>
    <w:p w14:paraId="28EDE68B">
      <w:pPr>
        <w:pStyle w:val="9"/>
        <w:spacing w:before="11"/>
        <w:ind w:left="0"/>
        <w:jc w:val="left"/>
        <w:rPr>
          <w:rFonts w:hint="eastAsia"/>
          <w:sz w:val="30"/>
          <w:szCs w:val="30"/>
        </w:rPr>
      </w:pPr>
      <w:r>
        <w:rPr>
          <w:rFonts w:hint="eastAsia"/>
          <w:sz w:val="30"/>
          <w:szCs w:val="30"/>
        </w:rPr>
        <w:t>1.这些圣徒是谁？</w:t>
      </w:r>
    </w:p>
    <w:p w14:paraId="2BD9723D">
      <w:pPr>
        <w:pStyle w:val="9"/>
        <w:spacing w:before="11"/>
        <w:ind w:left="0"/>
        <w:jc w:val="left"/>
        <w:rPr>
          <w:rFonts w:hint="eastAsia"/>
          <w:sz w:val="30"/>
          <w:szCs w:val="30"/>
        </w:rPr>
      </w:pPr>
    </w:p>
    <w:p w14:paraId="25FE133A">
      <w:pPr>
        <w:pStyle w:val="9"/>
        <w:spacing w:before="11"/>
        <w:ind w:left="0"/>
        <w:jc w:val="left"/>
        <w:rPr>
          <w:rFonts w:hint="eastAsia"/>
          <w:sz w:val="30"/>
          <w:szCs w:val="30"/>
        </w:rPr>
      </w:pPr>
      <w:r>
        <w:rPr>
          <w:rFonts w:hint="eastAsia"/>
          <w:sz w:val="30"/>
          <w:szCs w:val="30"/>
        </w:rPr>
        <w:t>According to most premillennarians, John is beholding the resurrected people of God of all generations: the patriarchs, the apostles, and the saints of Old and New Testament times.</w:t>
      </w:r>
    </w:p>
    <w:p w14:paraId="6092B994">
      <w:pPr>
        <w:pStyle w:val="9"/>
        <w:spacing w:before="11"/>
        <w:ind w:left="0"/>
        <w:jc w:val="left"/>
        <w:rPr>
          <w:rFonts w:hint="eastAsia"/>
          <w:sz w:val="30"/>
          <w:szCs w:val="30"/>
        </w:rPr>
      </w:pPr>
      <w:r>
        <w:rPr>
          <w:rFonts w:hint="eastAsia"/>
          <w:sz w:val="30"/>
          <w:szCs w:val="30"/>
        </w:rPr>
        <w:t>根据大多数前千禧年论者的说法，约翰正在观看所有世代中复活的上帝子民：族长们、使徒们，以及旧约和新约时代的圣徒。</w:t>
      </w:r>
    </w:p>
    <w:p w14:paraId="71222E0B">
      <w:pPr>
        <w:pStyle w:val="9"/>
        <w:spacing w:before="11"/>
        <w:ind w:left="0"/>
        <w:jc w:val="left"/>
        <w:rPr>
          <w:rFonts w:hint="eastAsia"/>
          <w:sz w:val="30"/>
          <w:szCs w:val="30"/>
        </w:rPr>
      </w:pPr>
    </w:p>
    <w:p w14:paraId="0AD39883">
      <w:pPr>
        <w:pStyle w:val="9"/>
        <w:spacing w:before="11"/>
        <w:ind w:left="0"/>
        <w:jc w:val="left"/>
        <w:rPr>
          <w:rFonts w:hint="eastAsia"/>
          <w:sz w:val="30"/>
          <w:szCs w:val="30"/>
        </w:rPr>
      </w:pPr>
      <w:r>
        <w:rPr>
          <w:rFonts w:hint="eastAsia"/>
          <w:sz w:val="30"/>
          <w:szCs w:val="30"/>
        </w:rPr>
        <w:t>This interpretation flows naturally and necessarily from their assumption that here the Spirit is unveiling the onset of a future millennial reign of Christ: Who else could or would rule with Christ in such a Millennium?</w:t>
      </w:r>
    </w:p>
    <w:p w14:paraId="4A48265D">
      <w:pPr>
        <w:pStyle w:val="9"/>
        <w:spacing w:before="11"/>
        <w:ind w:left="0"/>
        <w:jc w:val="left"/>
        <w:rPr>
          <w:rFonts w:hint="eastAsia"/>
          <w:sz w:val="30"/>
          <w:szCs w:val="30"/>
        </w:rPr>
      </w:pPr>
      <w:r>
        <w:rPr>
          <w:rFonts w:hint="eastAsia"/>
          <w:sz w:val="30"/>
          <w:szCs w:val="30"/>
        </w:rPr>
        <w:t>这种解释自然而然地、必然地源于他们的假设，即圣灵在这里揭示了基督未来千禧年统治的开始：在这样一个千禧年中，还有谁能够或将会与基督一同作王呢？</w:t>
      </w:r>
    </w:p>
    <w:p w14:paraId="59B54A8D">
      <w:pPr>
        <w:pStyle w:val="9"/>
        <w:spacing w:before="11"/>
        <w:ind w:left="0"/>
        <w:jc w:val="left"/>
        <w:rPr>
          <w:rFonts w:hint="eastAsia"/>
          <w:sz w:val="30"/>
          <w:szCs w:val="30"/>
        </w:rPr>
      </w:pPr>
    </w:p>
    <w:p w14:paraId="1D3B037E">
      <w:pPr>
        <w:pStyle w:val="9"/>
        <w:spacing w:before="11"/>
        <w:ind w:left="0"/>
        <w:jc w:val="left"/>
        <w:rPr>
          <w:rFonts w:hint="eastAsia"/>
          <w:sz w:val="30"/>
          <w:szCs w:val="30"/>
        </w:rPr>
      </w:pPr>
      <w:r>
        <w:rPr>
          <w:rFonts w:hint="eastAsia"/>
          <w:sz w:val="30"/>
          <w:szCs w:val="30"/>
        </w:rPr>
        <w:t>Dispensationalists, bound by their commitment to a pre-tribulation Rapture, assert that these particular saints are the Tribulation martyrs.</w:t>
      </w:r>
    </w:p>
    <w:p w14:paraId="02B12478">
      <w:pPr>
        <w:pStyle w:val="9"/>
        <w:spacing w:before="11"/>
        <w:ind w:left="0"/>
        <w:jc w:val="left"/>
        <w:rPr>
          <w:rFonts w:hint="eastAsia"/>
          <w:sz w:val="30"/>
          <w:szCs w:val="30"/>
        </w:rPr>
      </w:pPr>
      <w:r>
        <w:rPr>
          <w:rFonts w:hint="eastAsia"/>
          <w:sz w:val="30"/>
          <w:szCs w:val="30"/>
        </w:rPr>
        <w:t>时代论者，受他们对灾前被提的承诺所束缚，断言这些特定的圣徒是大灾难中的殉道者。</w:t>
      </w:r>
    </w:p>
    <w:p w14:paraId="3480B570">
      <w:pPr>
        <w:pStyle w:val="9"/>
        <w:spacing w:before="11"/>
        <w:ind w:left="0"/>
        <w:jc w:val="left"/>
        <w:rPr>
          <w:rFonts w:hint="eastAsia"/>
          <w:sz w:val="30"/>
          <w:szCs w:val="30"/>
        </w:rPr>
      </w:pPr>
    </w:p>
    <w:p w14:paraId="26F09965">
      <w:pPr>
        <w:pStyle w:val="9"/>
        <w:spacing w:before="11"/>
        <w:ind w:left="0"/>
        <w:jc w:val="left"/>
        <w:rPr>
          <w:rFonts w:hint="eastAsia"/>
          <w:sz w:val="30"/>
          <w:szCs w:val="30"/>
        </w:rPr>
      </w:pPr>
      <w:r>
        <w:rPr>
          <w:rFonts w:hint="eastAsia"/>
          <w:sz w:val="30"/>
          <w:szCs w:val="30"/>
        </w:rPr>
        <w:t>However, they too, like their historic premillennarian brethren, hasten to add that the saints of all ages will also rule with Christ during the Millennium.</w:t>
      </w:r>
    </w:p>
    <w:p w14:paraId="68A84DA6">
      <w:pPr>
        <w:pStyle w:val="9"/>
        <w:spacing w:before="11"/>
        <w:ind w:left="0"/>
        <w:jc w:val="left"/>
        <w:rPr>
          <w:rFonts w:hint="eastAsia"/>
          <w:sz w:val="30"/>
          <w:szCs w:val="30"/>
        </w:rPr>
      </w:pPr>
      <w:r>
        <w:rPr>
          <w:rFonts w:hint="eastAsia"/>
          <w:sz w:val="30"/>
          <w:szCs w:val="30"/>
        </w:rPr>
        <w:t>然而，他们也像他们的历史性前千禧年论弟兄一样，急忙补充说，所有时代的圣徒也将在千禧年期间与基督一同作王。</w:t>
      </w:r>
    </w:p>
    <w:p w14:paraId="595C458E">
      <w:pPr>
        <w:pStyle w:val="9"/>
        <w:spacing w:before="11"/>
        <w:ind w:left="0"/>
        <w:jc w:val="left"/>
        <w:rPr>
          <w:rFonts w:hint="eastAsia"/>
          <w:sz w:val="30"/>
          <w:szCs w:val="30"/>
        </w:rPr>
      </w:pPr>
    </w:p>
    <w:p w14:paraId="186C7980">
      <w:pPr>
        <w:pStyle w:val="9"/>
        <w:spacing w:before="11"/>
        <w:ind w:left="0"/>
        <w:jc w:val="left"/>
        <w:rPr>
          <w:rFonts w:hint="eastAsia"/>
          <w:sz w:val="30"/>
          <w:szCs w:val="30"/>
        </w:rPr>
      </w:pPr>
      <w:r>
        <w:rPr>
          <w:rFonts w:hint="eastAsia"/>
          <w:sz w:val="30"/>
          <w:szCs w:val="30"/>
        </w:rPr>
        <w:t>We have already shown why this view is untenable: Numerous lines of evidence indicate that the temporal sphere of fulfillment of Revelation 20 is not a future millennium, but the Era of Proclamation.</w:t>
      </w:r>
    </w:p>
    <w:p w14:paraId="3F968ADA">
      <w:pPr>
        <w:pStyle w:val="9"/>
        <w:spacing w:before="11"/>
        <w:ind w:left="0"/>
        <w:jc w:val="left"/>
        <w:rPr>
          <w:rFonts w:hint="eastAsia"/>
          <w:sz w:val="30"/>
          <w:szCs w:val="30"/>
        </w:rPr>
      </w:pPr>
      <w:r>
        <w:rPr>
          <w:rFonts w:hint="eastAsia"/>
          <w:sz w:val="30"/>
          <w:szCs w:val="30"/>
        </w:rPr>
        <w:t>我们已经说明了为何这个观点站不住脚：大量的证据表明，《启示录》第20章的应验时间范围并非未来的千禧年，而是宣讲时代。</w:t>
      </w:r>
    </w:p>
    <w:p w14:paraId="3D48632B">
      <w:pPr>
        <w:pStyle w:val="9"/>
        <w:spacing w:before="11"/>
        <w:ind w:left="0"/>
        <w:jc w:val="left"/>
        <w:rPr>
          <w:rFonts w:hint="eastAsia"/>
          <w:sz w:val="30"/>
          <w:szCs w:val="30"/>
        </w:rPr>
      </w:pPr>
    </w:p>
    <w:p w14:paraId="239CA6F1">
      <w:pPr>
        <w:pStyle w:val="9"/>
        <w:spacing w:before="11"/>
        <w:ind w:left="0"/>
        <w:jc w:val="left"/>
        <w:rPr>
          <w:rFonts w:hint="eastAsia"/>
          <w:sz w:val="30"/>
          <w:szCs w:val="30"/>
        </w:rPr>
      </w:pPr>
      <w:r>
        <w:rPr>
          <w:rFonts w:hint="eastAsia"/>
          <w:sz w:val="30"/>
          <w:szCs w:val="30"/>
        </w:rPr>
        <w:t>But does a sound exegesis of the text itself (20:4-6) support this conclusion?</w:t>
      </w:r>
    </w:p>
    <w:p w14:paraId="6F920CEE">
      <w:pPr>
        <w:pStyle w:val="9"/>
        <w:spacing w:before="11"/>
        <w:ind w:left="0"/>
        <w:jc w:val="left"/>
        <w:rPr>
          <w:rFonts w:hint="eastAsia"/>
          <w:sz w:val="30"/>
          <w:szCs w:val="30"/>
        </w:rPr>
      </w:pPr>
      <w:r>
        <w:rPr>
          <w:rFonts w:hint="eastAsia"/>
          <w:sz w:val="30"/>
          <w:szCs w:val="30"/>
        </w:rPr>
        <w:t>但是，对经文本身（20:4-6）的健全解经是否支持这个结论呢？</w:t>
      </w:r>
    </w:p>
    <w:p w14:paraId="13264FC7">
      <w:pPr>
        <w:pStyle w:val="9"/>
        <w:spacing w:before="11"/>
        <w:ind w:left="0"/>
        <w:jc w:val="left"/>
        <w:rPr>
          <w:rFonts w:hint="eastAsia"/>
          <w:sz w:val="30"/>
          <w:szCs w:val="30"/>
        </w:rPr>
      </w:pPr>
    </w:p>
    <w:p w14:paraId="6EC58E7F">
      <w:pPr>
        <w:pStyle w:val="9"/>
        <w:spacing w:before="11"/>
        <w:ind w:left="0"/>
        <w:jc w:val="left"/>
        <w:rPr>
          <w:rFonts w:hint="eastAsia"/>
          <w:sz w:val="30"/>
          <w:szCs w:val="30"/>
        </w:rPr>
      </w:pPr>
      <w:r>
        <w:rPr>
          <w:rFonts w:hint="eastAsia"/>
          <w:sz w:val="30"/>
          <w:szCs w:val="30"/>
        </w:rPr>
        <w:t>Indeed it does.</w:t>
      </w:r>
    </w:p>
    <w:p w14:paraId="33ED192D">
      <w:pPr>
        <w:pStyle w:val="9"/>
        <w:spacing w:before="11"/>
        <w:ind w:left="0"/>
        <w:jc w:val="left"/>
        <w:rPr>
          <w:rFonts w:hint="eastAsia"/>
          <w:sz w:val="30"/>
          <w:szCs w:val="30"/>
        </w:rPr>
      </w:pPr>
      <w:r>
        <w:rPr>
          <w:rFonts w:hint="eastAsia"/>
          <w:sz w:val="30"/>
          <w:szCs w:val="30"/>
        </w:rPr>
        <w:t>确实如此。</w:t>
      </w:r>
    </w:p>
    <w:p w14:paraId="53E70CE5">
      <w:pPr>
        <w:pStyle w:val="9"/>
        <w:spacing w:before="11"/>
        <w:ind w:left="0"/>
        <w:jc w:val="left"/>
        <w:rPr>
          <w:rFonts w:hint="eastAsia"/>
          <w:sz w:val="30"/>
          <w:szCs w:val="30"/>
        </w:rPr>
      </w:pPr>
    </w:p>
    <w:p w14:paraId="240B4A5E">
      <w:pPr>
        <w:pStyle w:val="9"/>
        <w:spacing w:before="11"/>
        <w:ind w:left="0"/>
        <w:jc w:val="left"/>
        <w:rPr>
          <w:rFonts w:hint="eastAsia"/>
          <w:sz w:val="30"/>
          <w:szCs w:val="30"/>
        </w:rPr>
      </w:pPr>
      <w:r>
        <w:rPr>
          <w:rFonts w:hint="eastAsia"/>
          <w:sz w:val="30"/>
          <w:szCs w:val="30"/>
        </w:rPr>
        <w:t>Note first that 20:4 swiftly supplies the best explanation of the occupants of the throne: They are souls, souls who have “come to life.”</w:t>
      </w:r>
    </w:p>
    <w:p w14:paraId="41CDE469">
      <w:pPr>
        <w:pStyle w:val="9"/>
        <w:spacing w:before="11"/>
        <w:ind w:left="0"/>
        <w:jc w:val="left"/>
        <w:rPr>
          <w:rFonts w:hint="eastAsia"/>
          <w:sz w:val="30"/>
          <w:szCs w:val="30"/>
        </w:rPr>
      </w:pPr>
      <w:r>
        <w:rPr>
          <w:rFonts w:hint="eastAsia"/>
          <w:sz w:val="30"/>
          <w:szCs w:val="30"/>
        </w:rPr>
        <w:t>首先注意，20:4迅速地为宝座的 occupant 提供了最好的解释：他们是灵魂，是“活过来”的灵魂。</w:t>
      </w:r>
    </w:p>
    <w:p w14:paraId="29D0011D">
      <w:pPr>
        <w:pStyle w:val="9"/>
        <w:spacing w:before="11"/>
        <w:ind w:left="0"/>
        <w:jc w:val="left"/>
        <w:rPr>
          <w:rFonts w:hint="eastAsia"/>
          <w:sz w:val="30"/>
          <w:szCs w:val="30"/>
        </w:rPr>
      </w:pPr>
    </w:p>
    <w:p w14:paraId="7047AEC6">
      <w:pPr>
        <w:pStyle w:val="9"/>
        <w:spacing w:before="11"/>
        <w:ind w:left="0"/>
        <w:jc w:val="left"/>
        <w:rPr>
          <w:rFonts w:hint="eastAsia"/>
          <w:sz w:val="30"/>
          <w:szCs w:val="30"/>
        </w:rPr>
      </w:pPr>
      <w:r>
        <w:rPr>
          <w:rFonts w:hint="eastAsia"/>
          <w:sz w:val="30"/>
          <w:szCs w:val="30"/>
        </w:rPr>
        <w:t>At the very least, this is a broad hint that here we are dealing with believers in the Intermediate State; believers who are living with Christ in heaven as disembodied spirits throughout the course of his mediatorial reign, even as many other NT texts so richly promise (2 Cor. 5:8, Phil. 1:21- 3, Heb. 12:22-24, Rev. 6:9-11).</w:t>
      </w:r>
    </w:p>
    <w:p w14:paraId="50BEFF8B">
      <w:pPr>
        <w:pStyle w:val="9"/>
        <w:spacing w:before="11"/>
        <w:ind w:left="0"/>
        <w:jc w:val="left"/>
        <w:rPr>
          <w:rFonts w:hint="eastAsia"/>
          <w:sz w:val="30"/>
          <w:szCs w:val="30"/>
        </w:rPr>
      </w:pPr>
      <w:r>
        <w:rPr>
          <w:rFonts w:hint="eastAsia"/>
          <w:sz w:val="30"/>
          <w:szCs w:val="30"/>
        </w:rPr>
        <w:t>至少，这是一个广泛的暗示，即我们在这里处理的是处在中间状态的信徒；在基督中保统治的整个过程中，作为脱离身体的灵魂与祂一同活在天上的信徒，正如许多其他新约经文所丰富应许的那样（林后5:8，腓1:21-3，来12:22-24，启6:9-11）。</w:t>
      </w:r>
    </w:p>
    <w:p w14:paraId="79985E68">
      <w:pPr>
        <w:pStyle w:val="9"/>
        <w:spacing w:before="11"/>
        <w:ind w:left="0"/>
        <w:jc w:val="left"/>
        <w:rPr>
          <w:rFonts w:hint="eastAsia"/>
          <w:sz w:val="30"/>
          <w:szCs w:val="30"/>
        </w:rPr>
      </w:pPr>
    </w:p>
    <w:p w14:paraId="026C17E0">
      <w:pPr>
        <w:pStyle w:val="9"/>
        <w:spacing w:before="11"/>
        <w:ind w:left="0"/>
        <w:jc w:val="left"/>
        <w:rPr>
          <w:rFonts w:hint="eastAsia"/>
          <w:sz w:val="30"/>
          <w:szCs w:val="30"/>
        </w:rPr>
      </w:pPr>
      <w:r>
        <w:rPr>
          <w:rFonts w:hint="eastAsia"/>
          <w:sz w:val="30"/>
          <w:szCs w:val="30"/>
        </w:rPr>
        <w:t>The rest of verse 4 favors this interpretation.</w:t>
      </w:r>
    </w:p>
    <w:p w14:paraId="337EEE21">
      <w:pPr>
        <w:pStyle w:val="9"/>
        <w:spacing w:before="11"/>
        <w:ind w:left="0"/>
        <w:jc w:val="left"/>
        <w:rPr>
          <w:rFonts w:hint="eastAsia"/>
          <w:sz w:val="30"/>
          <w:szCs w:val="30"/>
        </w:rPr>
      </w:pPr>
      <w:r>
        <w:rPr>
          <w:rFonts w:hint="eastAsia"/>
          <w:sz w:val="30"/>
          <w:szCs w:val="30"/>
        </w:rPr>
        <w:t>第4节的其余部分支持这一解释。</w:t>
      </w:r>
    </w:p>
    <w:p w14:paraId="418BA323">
      <w:pPr>
        <w:pStyle w:val="9"/>
        <w:spacing w:before="11"/>
        <w:ind w:left="0"/>
        <w:jc w:val="left"/>
        <w:rPr>
          <w:rFonts w:hint="eastAsia"/>
          <w:sz w:val="30"/>
          <w:szCs w:val="30"/>
        </w:rPr>
      </w:pPr>
    </w:p>
    <w:p w14:paraId="59EFA42C">
      <w:pPr>
        <w:pStyle w:val="9"/>
        <w:spacing w:before="11"/>
        <w:ind w:left="0"/>
        <w:jc w:val="left"/>
        <w:rPr>
          <w:rFonts w:hint="eastAsia"/>
          <w:sz w:val="30"/>
          <w:szCs w:val="30"/>
        </w:rPr>
      </w:pPr>
      <w:r>
        <w:rPr>
          <w:rFonts w:hint="eastAsia"/>
          <w:sz w:val="30"/>
          <w:szCs w:val="30"/>
        </w:rPr>
        <w:t>Why are these saints in heaven?</w:t>
      </w:r>
    </w:p>
    <w:p w14:paraId="2A1B0E5C">
      <w:pPr>
        <w:pStyle w:val="9"/>
        <w:spacing w:before="11"/>
        <w:ind w:left="0"/>
        <w:jc w:val="left"/>
        <w:rPr>
          <w:rFonts w:hint="eastAsia"/>
          <w:sz w:val="30"/>
          <w:szCs w:val="30"/>
        </w:rPr>
      </w:pPr>
      <w:r>
        <w:rPr>
          <w:rFonts w:hint="eastAsia"/>
          <w:sz w:val="30"/>
          <w:szCs w:val="30"/>
        </w:rPr>
        <w:t>为何这些圣徒在天上？</w:t>
      </w:r>
    </w:p>
    <w:p w14:paraId="15AB87CB">
      <w:pPr>
        <w:pStyle w:val="9"/>
        <w:spacing w:before="11"/>
        <w:ind w:left="0"/>
        <w:jc w:val="left"/>
        <w:rPr>
          <w:rFonts w:hint="eastAsia"/>
          <w:sz w:val="30"/>
          <w:szCs w:val="30"/>
        </w:rPr>
      </w:pPr>
    </w:p>
    <w:p w14:paraId="72BF3EAC">
      <w:pPr>
        <w:pStyle w:val="9"/>
        <w:spacing w:before="11"/>
        <w:ind w:left="0"/>
        <w:jc w:val="left"/>
        <w:rPr>
          <w:rFonts w:hint="eastAsia"/>
          <w:sz w:val="30"/>
          <w:szCs w:val="30"/>
        </w:rPr>
      </w:pPr>
      <w:r>
        <w:rPr>
          <w:rFonts w:hint="eastAsia"/>
          <w:sz w:val="30"/>
          <w:szCs w:val="30"/>
        </w:rPr>
        <w:t>Why are they privileged to live and rule with Christ?</w:t>
      </w:r>
    </w:p>
    <w:p w14:paraId="69B98BEC">
      <w:pPr>
        <w:pStyle w:val="9"/>
        <w:spacing w:before="11"/>
        <w:ind w:left="0"/>
        <w:jc w:val="left"/>
        <w:rPr>
          <w:rFonts w:hint="eastAsia"/>
          <w:sz w:val="30"/>
          <w:szCs w:val="30"/>
        </w:rPr>
      </w:pPr>
      <w:r>
        <w:rPr>
          <w:rFonts w:hint="eastAsia"/>
          <w:sz w:val="30"/>
          <w:szCs w:val="30"/>
        </w:rPr>
        <w:t>为何他们有特权与基督同活同作王？</w:t>
      </w:r>
    </w:p>
    <w:p w14:paraId="5B5CA9A6">
      <w:pPr>
        <w:pStyle w:val="9"/>
        <w:spacing w:before="11"/>
        <w:ind w:left="0"/>
        <w:jc w:val="left"/>
        <w:rPr>
          <w:rFonts w:hint="eastAsia"/>
          <w:sz w:val="30"/>
          <w:szCs w:val="30"/>
        </w:rPr>
      </w:pPr>
    </w:p>
    <w:p w14:paraId="63844D0E">
      <w:pPr>
        <w:pStyle w:val="9"/>
        <w:spacing w:before="11"/>
        <w:ind w:left="0"/>
        <w:jc w:val="left"/>
        <w:rPr>
          <w:rFonts w:hint="eastAsia"/>
          <w:sz w:val="30"/>
          <w:szCs w:val="30"/>
        </w:rPr>
      </w:pPr>
      <w:r>
        <w:rPr>
          <w:rFonts w:hint="eastAsia"/>
          <w:sz w:val="30"/>
          <w:szCs w:val="30"/>
        </w:rPr>
        <w:t>Because on earth they had been faithful unto death (Rev. 2:10); because they had not worshiped the Beast or his image, or taken his mark, but had taken only the mark of Christ and worshiped him faithfully to the end, in some cases even unto martyrdom (Rev. 2:13, 7:3, 9:4, 14:1, 22:4).</w:t>
      </w:r>
    </w:p>
    <w:p w14:paraId="3F4588A8">
      <w:pPr>
        <w:pStyle w:val="9"/>
        <w:spacing w:before="11"/>
        <w:ind w:left="0"/>
        <w:jc w:val="left"/>
        <w:rPr>
          <w:rFonts w:hint="eastAsia"/>
          <w:sz w:val="30"/>
          <w:szCs w:val="30"/>
        </w:rPr>
      </w:pPr>
      <w:r>
        <w:rPr>
          <w:rFonts w:hint="eastAsia"/>
          <w:sz w:val="30"/>
          <w:szCs w:val="30"/>
        </w:rPr>
        <w:t>因为在地上他们曾至死忠心（启2:10）；因为他们没有拜过兽或兽像，也没有受过他的印记，而只受了基督的印记，并忠心地敬拜祂到底，在某些情况下甚至至于殉道（启2:13, 7:3, 9:4, 14:1, 22:4）。</w:t>
      </w:r>
    </w:p>
    <w:p w14:paraId="2A0423CE">
      <w:pPr>
        <w:pStyle w:val="9"/>
        <w:spacing w:before="11"/>
        <w:ind w:left="0"/>
        <w:jc w:val="left"/>
        <w:rPr>
          <w:rFonts w:hint="eastAsia"/>
          <w:sz w:val="30"/>
          <w:szCs w:val="30"/>
        </w:rPr>
      </w:pPr>
    </w:p>
    <w:p w14:paraId="605EE4EF">
      <w:pPr>
        <w:pStyle w:val="9"/>
        <w:spacing w:before="11"/>
        <w:ind w:left="0"/>
        <w:jc w:val="left"/>
        <w:rPr>
          <w:rFonts w:hint="eastAsia"/>
          <w:sz w:val="30"/>
          <w:szCs w:val="30"/>
        </w:rPr>
      </w:pPr>
      <w:r>
        <w:rPr>
          <w:rFonts w:hint="eastAsia"/>
          <w:sz w:val="30"/>
          <w:szCs w:val="30"/>
        </w:rPr>
        <w:t>Observe also that while this is the most extensive promise of the blessings of the Intermediate State to be found in the Revelation, it is not the only one.</w:t>
      </w:r>
    </w:p>
    <w:p w14:paraId="7EA0C384">
      <w:pPr>
        <w:pStyle w:val="9"/>
        <w:spacing w:before="11"/>
        <w:ind w:left="0"/>
        <w:jc w:val="left"/>
        <w:rPr>
          <w:rFonts w:hint="eastAsia"/>
          <w:sz w:val="30"/>
          <w:szCs w:val="30"/>
        </w:rPr>
      </w:pPr>
      <w:r>
        <w:rPr>
          <w:rFonts w:hint="eastAsia"/>
          <w:sz w:val="30"/>
          <w:szCs w:val="30"/>
        </w:rPr>
        <w:t>也请注意，虽然这是在《启示录》中能找到的关于中间状态福分最详尽的应许，但它并非唯一的一个。</w:t>
      </w:r>
    </w:p>
    <w:p w14:paraId="29576CC6">
      <w:pPr>
        <w:pStyle w:val="9"/>
        <w:spacing w:before="11"/>
        <w:ind w:left="0"/>
        <w:jc w:val="left"/>
        <w:rPr>
          <w:rFonts w:hint="eastAsia"/>
          <w:sz w:val="30"/>
          <w:szCs w:val="30"/>
        </w:rPr>
      </w:pPr>
    </w:p>
    <w:p w14:paraId="7A6EF533">
      <w:pPr>
        <w:pStyle w:val="9"/>
        <w:spacing w:before="11"/>
        <w:ind w:left="0"/>
        <w:jc w:val="left"/>
        <w:rPr>
          <w:rFonts w:hint="eastAsia"/>
          <w:sz w:val="30"/>
          <w:szCs w:val="30"/>
        </w:rPr>
      </w:pPr>
      <w:r>
        <w:rPr>
          <w:rFonts w:hint="eastAsia"/>
          <w:sz w:val="30"/>
          <w:szCs w:val="30"/>
        </w:rPr>
        <w:t>Much like our present text, Revelation 6:9-10 also pictures the souls of the martyrs dwelling safely in heaven, albeit crying out to God for justice and vindication.</w:t>
      </w:r>
    </w:p>
    <w:p w14:paraId="2FC6D4A8">
      <w:pPr>
        <w:pStyle w:val="9"/>
        <w:spacing w:before="11"/>
        <w:ind w:left="0"/>
        <w:jc w:val="left"/>
        <w:rPr>
          <w:rFonts w:hint="eastAsia"/>
          <w:sz w:val="30"/>
          <w:szCs w:val="30"/>
        </w:rPr>
      </w:pPr>
      <w:r>
        <w:rPr>
          <w:rFonts w:hint="eastAsia"/>
          <w:sz w:val="30"/>
          <w:szCs w:val="30"/>
        </w:rPr>
        <w:t>与我们现在的经文很相似，《启示录》6:9-10也描绘了殉道者的灵魂安全地居住在天上，尽管他们在向上帝呼求公义和伸冤。</w:t>
      </w:r>
    </w:p>
    <w:p w14:paraId="102CD8CA">
      <w:pPr>
        <w:pStyle w:val="9"/>
        <w:spacing w:before="11"/>
        <w:ind w:left="0"/>
        <w:jc w:val="left"/>
        <w:rPr>
          <w:rFonts w:hint="eastAsia"/>
          <w:sz w:val="30"/>
          <w:szCs w:val="30"/>
        </w:rPr>
      </w:pPr>
    </w:p>
    <w:p w14:paraId="3229CB38">
      <w:pPr>
        <w:pStyle w:val="9"/>
        <w:spacing w:before="11"/>
        <w:ind w:left="0"/>
        <w:jc w:val="left"/>
        <w:rPr>
          <w:rFonts w:hint="eastAsia"/>
          <w:sz w:val="30"/>
          <w:szCs w:val="30"/>
        </w:rPr>
      </w:pPr>
      <w:r>
        <w:rPr>
          <w:rFonts w:hint="eastAsia"/>
          <w:sz w:val="30"/>
          <w:szCs w:val="30"/>
        </w:rPr>
        <w:t>Similarly, in Revelation 14:13, we hear the Spirit saying, “Blessed are the dead who die in the Lord from now on … that they may rest from their labors, for their deeds follow with them.”</w:t>
      </w:r>
    </w:p>
    <w:p w14:paraId="18A9678C">
      <w:pPr>
        <w:pStyle w:val="9"/>
        <w:spacing w:before="11"/>
        <w:ind w:left="0"/>
        <w:jc w:val="left"/>
        <w:rPr>
          <w:rFonts w:hint="eastAsia"/>
          <w:sz w:val="30"/>
          <w:szCs w:val="30"/>
        </w:rPr>
      </w:pPr>
      <w:r>
        <w:rPr>
          <w:rFonts w:hint="eastAsia"/>
          <w:sz w:val="30"/>
          <w:szCs w:val="30"/>
        </w:rPr>
        <w:t>同样，在《启示录》14:13，我们听到圣灵说：“从今以后，在主里面而死的人有福了……他们息了自己的劳苦，作工的果效也随着他们。”</w:t>
      </w:r>
    </w:p>
    <w:p w14:paraId="7B6ED5B9">
      <w:pPr>
        <w:pStyle w:val="9"/>
        <w:spacing w:before="11"/>
        <w:ind w:left="0"/>
        <w:jc w:val="left"/>
        <w:rPr>
          <w:rFonts w:hint="eastAsia"/>
          <w:sz w:val="30"/>
          <w:szCs w:val="30"/>
        </w:rPr>
      </w:pPr>
    </w:p>
    <w:p w14:paraId="03F7F5A2">
      <w:pPr>
        <w:pStyle w:val="9"/>
        <w:spacing w:before="11"/>
        <w:ind w:left="0"/>
        <w:jc w:val="left"/>
        <w:rPr>
          <w:rFonts w:hint="eastAsia"/>
          <w:sz w:val="30"/>
          <w:szCs w:val="30"/>
        </w:rPr>
      </w:pPr>
      <w:r>
        <w:rPr>
          <w:rFonts w:hint="eastAsia"/>
          <w:sz w:val="30"/>
          <w:szCs w:val="30"/>
        </w:rPr>
        <w:t>Revelation 20:4 is clearly meant to depict this very blessedness; to give tempted and persecuted saints of all times and places an encouraging peek at the rich rewards awaiting them in heaven, should the Lord tarry and they die in the faith.</w:t>
      </w:r>
    </w:p>
    <w:p w14:paraId="462494E2">
      <w:pPr>
        <w:pStyle w:val="9"/>
        <w:spacing w:before="11"/>
        <w:ind w:left="0"/>
        <w:jc w:val="left"/>
        <w:rPr>
          <w:rFonts w:hint="eastAsia"/>
          <w:sz w:val="30"/>
          <w:szCs w:val="30"/>
        </w:rPr>
      </w:pPr>
      <w:r>
        <w:rPr>
          <w:rFonts w:hint="eastAsia"/>
          <w:sz w:val="30"/>
          <w:szCs w:val="30"/>
        </w:rPr>
        <w:t>《启示录》20:4显然意在描绘这种福乐；为要给所有时代和地方受试探和迫害的圣徒一个鼓舞人心的一瞥，让他们看到如果主耽延，而他们在信心中死去，在天上等待他们的丰厚赏赐。</w:t>
      </w:r>
    </w:p>
    <w:p w14:paraId="7A92A195">
      <w:pPr>
        <w:pStyle w:val="9"/>
        <w:spacing w:before="11"/>
        <w:ind w:left="0"/>
        <w:jc w:val="left"/>
        <w:rPr>
          <w:rFonts w:hint="eastAsia"/>
          <w:sz w:val="30"/>
          <w:szCs w:val="30"/>
        </w:rPr>
      </w:pPr>
    </w:p>
    <w:p w14:paraId="7F926C9C">
      <w:pPr>
        <w:pStyle w:val="9"/>
        <w:spacing w:before="11"/>
        <w:ind w:left="0"/>
        <w:jc w:val="left"/>
        <w:rPr>
          <w:rFonts w:hint="eastAsia"/>
          <w:sz w:val="30"/>
          <w:szCs w:val="30"/>
        </w:rPr>
      </w:pPr>
      <w:r>
        <w:rPr>
          <w:rFonts w:hint="eastAsia"/>
          <w:sz w:val="30"/>
          <w:szCs w:val="30"/>
        </w:rPr>
        <w:t>2.Where are they living?</w:t>
      </w:r>
    </w:p>
    <w:p w14:paraId="77274184">
      <w:pPr>
        <w:pStyle w:val="9"/>
        <w:spacing w:before="11"/>
        <w:ind w:left="0"/>
        <w:jc w:val="left"/>
        <w:rPr>
          <w:rFonts w:hint="eastAsia"/>
          <w:sz w:val="30"/>
          <w:szCs w:val="30"/>
        </w:rPr>
      </w:pPr>
      <w:r>
        <w:rPr>
          <w:rFonts w:hint="eastAsia"/>
          <w:sz w:val="30"/>
          <w:szCs w:val="30"/>
        </w:rPr>
        <w:t>2.他们住在哪里？</w:t>
      </w:r>
    </w:p>
    <w:p w14:paraId="0B244AD5">
      <w:pPr>
        <w:pStyle w:val="9"/>
        <w:spacing w:before="11"/>
        <w:ind w:left="0"/>
        <w:jc w:val="left"/>
        <w:rPr>
          <w:rFonts w:hint="eastAsia"/>
          <w:sz w:val="30"/>
          <w:szCs w:val="30"/>
        </w:rPr>
      </w:pPr>
    </w:p>
    <w:p w14:paraId="2FE35DB9">
      <w:pPr>
        <w:pStyle w:val="9"/>
        <w:spacing w:before="11"/>
        <w:ind w:left="0"/>
        <w:jc w:val="left"/>
        <w:rPr>
          <w:rFonts w:hint="eastAsia"/>
          <w:sz w:val="30"/>
          <w:szCs w:val="30"/>
        </w:rPr>
      </w:pPr>
      <w:r>
        <w:rPr>
          <w:rFonts w:hint="eastAsia"/>
          <w:sz w:val="30"/>
          <w:szCs w:val="30"/>
        </w:rPr>
        <w:t>While acknowledging that John begins by beholding the souls of the saints, the majority of premillennarians assert that in “the first resurrection,” which allegedly occurs at the Parousia (19:11-21), these saints will “come to life” in their new glorified bodies and live and rule with Christ upon the earth for a literal thousand years (20:5-6).</w:t>
      </w:r>
    </w:p>
    <w:p w14:paraId="05491BF6">
      <w:pPr>
        <w:pStyle w:val="9"/>
        <w:spacing w:before="11"/>
        <w:ind w:left="0"/>
        <w:jc w:val="left"/>
        <w:rPr>
          <w:rFonts w:hint="eastAsia"/>
          <w:sz w:val="30"/>
          <w:szCs w:val="30"/>
        </w:rPr>
      </w:pPr>
      <w:r>
        <w:rPr>
          <w:rFonts w:hint="eastAsia"/>
          <w:sz w:val="30"/>
          <w:szCs w:val="30"/>
        </w:rPr>
        <w:t>虽然承认约翰开始时看到的是圣徒的灵魂，但大多数前千禧年论者断言，在“头一次的复活”中，据称这发生在主临（Parousia）（19:11-21）时，这些圣徒将以他们新的得荣耀的身体“活过来”，并在地上与基督一同生活和作王一千年（20:5-6）。</w:t>
      </w:r>
    </w:p>
    <w:p w14:paraId="7CDB021B">
      <w:pPr>
        <w:pStyle w:val="9"/>
        <w:spacing w:before="11"/>
        <w:ind w:left="0"/>
        <w:jc w:val="left"/>
        <w:rPr>
          <w:rFonts w:hint="eastAsia"/>
          <w:sz w:val="30"/>
          <w:szCs w:val="30"/>
        </w:rPr>
      </w:pPr>
    </w:p>
    <w:p w14:paraId="51063344">
      <w:pPr>
        <w:pStyle w:val="9"/>
        <w:spacing w:before="11"/>
        <w:ind w:left="0"/>
        <w:jc w:val="left"/>
        <w:rPr>
          <w:rFonts w:hint="eastAsia"/>
          <w:sz w:val="30"/>
          <w:szCs w:val="30"/>
        </w:rPr>
      </w:pPr>
      <w:r>
        <w:rPr>
          <w:rFonts w:hint="eastAsia"/>
          <w:sz w:val="30"/>
          <w:szCs w:val="30"/>
        </w:rPr>
        <w:t>However, even some premillennarians disagree.</w:t>
      </w:r>
    </w:p>
    <w:p w14:paraId="4E5FF4AD">
      <w:pPr>
        <w:pStyle w:val="9"/>
        <w:spacing w:before="11"/>
        <w:ind w:left="0"/>
        <w:jc w:val="left"/>
        <w:rPr>
          <w:rFonts w:hint="eastAsia"/>
          <w:sz w:val="30"/>
          <w:szCs w:val="30"/>
        </w:rPr>
      </w:pPr>
      <w:r>
        <w:rPr>
          <w:rFonts w:hint="eastAsia"/>
          <w:sz w:val="30"/>
          <w:szCs w:val="30"/>
        </w:rPr>
        <w:t>然而，即使是一些前千禧年论者也不同意。</w:t>
      </w:r>
    </w:p>
    <w:p w14:paraId="60CEAE7C">
      <w:pPr>
        <w:pStyle w:val="9"/>
        <w:spacing w:before="11"/>
        <w:ind w:left="0"/>
        <w:jc w:val="left"/>
        <w:rPr>
          <w:rFonts w:hint="eastAsia"/>
          <w:sz w:val="30"/>
          <w:szCs w:val="30"/>
        </w:rPr>
      </w:pPr>
    </w:p>
    <w:p w14:paraId="0D21FEAA">
      <w:pPr>
        <w:pStyle w:val="9"/>
        <w:spacing w:before="11"/>
        <w:ind w:left="0"/>
        <w:jc w:val="left"/>
        <w:rPr>
          <w:rFonts w:hint="eastAsia"/>
          <w:sz w:val="30"/>
          <w:szCs w:val="30"/>
        </w:rPr>
      </w:pPr>
      <w:r>
        <w:rPr>
          <w:rFonts w:hint="eastAsia"/>
          <w:sz w:val="30"/>
          <w:szCs w:val="30"/>
        </w:rPr>
        <w:t>These interpreters are honest enough to admit that the text itself says nothing about an earthly reign, and that the commingling of glorified saints with mere natural men upon the earth poses grave difficulties.</w:t>
      </w:r>
    </w:p>
    <w:p w14:paraId="0047B7AB">
      <w:pPr>
        <w:pStyle w:val="9"/>
        <w:spacing w:before="11"/>
        <w:ind w:left="0"/>
        <w:jc w:val="left"/>
        <w:rPr>
          <w:rFonts w:hint="eastAsia"/>
          <w:sz w:val="30"/>
          <w:szCs w:val="30"/>
        </w:rPr>
      </w:pPr>
      <w:r>
        <w:rPr>
          <w:rFonts w:hint="eastAsia"/>
          <w:sz w:val="30"/>
          <w:szCs w:val="30"/>
        </w:rPr>
        <w:t>这些解释者足够诚实，承认经文本身没有说任何关于地上统治的事，并且得荣耀的圣徒与地上普通的自然人混居带来了严重的困难。</w:t>
      </w:r>
    </w:p>
    <w:p w14:paraId="3DAB8F92">
      <w:pPr>
        <w:pStyle w:val="9"/>
        <w:spacing w:before="11"/>
        <w:ind w:left="0"/>
        <w:jc w:val="left"/>
        <w:rPr>
          <w:rFonts w:hint="eastAsia"/>
          <w:sz w:val="30"/>
          <w:szCs w:val="30"/>
        </w:rPr>
      </w:pPr>
    </w:p>
    <w:p w14:paraId="526EAA50">
      <w:pPr>
        <w:pStyle w:val="9"/>
        <w:spacing w:before="11"/>
        <w:ind w:left="0"/>
        <w:jc w:val="left"/>
        <w:rPr>
          <w:rFonts w:hint="eastAsia"/>
          <w:sz w:val="30"/>
          <w:szCs w:val="30"/>
        </w:rPr>
      </w:pPr>
      <w:r>
        <w:rPr>
          <w:rFonts w:hint="eastAsia"/>
          <w:sz w:val="30"/>
          <w:szCs w:val="30"/>
        </w:rPr>
        <w:t>Accordingly, they argue that the saints will reign from heaven, with Christ, during the thousand years.</w:t>
      </w:r>
    </w:p>
    <w:p w14:paraId="56CEB782">
      <w:pPr>
        <w:pStyle w:val="9"/>
        <w:spacing w:before="11"/>
        <w:ind w:left="0"/>
        <w:jc w:val="left"/>
        <w:rPr>
          <w:rFonts w:hint="eastAsia"/>
          <w:sz w:val="30"/>
          <w:szCs w:val="30"/>
        </w:rPr>
      </w:pPr>
      <w:r>
        <w:rPr>
          <w:rFonts w:hint="eastAsia"/>
          <w:sz w:val="30"/>
          <w:szCs w:val="30"/>
        </w:rPr>
        <w:t>因此，他们认为圣徒将在一千年期间从天上与基督一同作王。</w:t>
      </w:r>
    </w:p>
    <w:p w14:paraId="5AEEECEF">
      <w:pPr>
        <w:pStyle w:val="9"/>
        <w:spacing w:before="11"/>
        <w:ind w:left="0"/>
        <w:jc w:val="left"/>
        <w:rPr>
          <w:rFonts w:hint="eastAsia"/>
          <w:sz w:val="30"/>
          <w:szCs w:val="30"/>
        </w:rPr>
      </w:pPr>
    </w:p>
    <w:p w14:paraId="356B9791">
      <w:pPr>
        <w:pStyle w:val="9"/>
        <w:spacing w:before="11"/>
        <w:ind w:left="0"/>
        <w:jc w:val="left"/>
        <w:rPr>
          <w:rFonts w:hint="eastAsia"/>
          <w:sz w:val="30"/>
          <w:szCs w:val="30"/>
        </w:rPr>
      </w:pPr>
      <w:r>
        <w:rPr>
          <w:rFonts w:hint="eastAsia"/>
          <w:sz w:val="30"/>
          <w:szCs w:val="30"/>
        </w:rPr>
        <w:t>However, this view is even more problematic than the first, since the vast majority of OTKP’s, literally interpreted, require Christ and the saints to dwell upon the earth.</w:t>
      </w:r>
    </w:p>
    <w:p w14:paraId="57BA5871">
      <w:pPr>
        <w:pStyle w:val="9"/>
        <w:spacing w:before="11"/>
        <w:ind w:left="0"/>
        <w:jc w:val="left"/>
        <w:rPr>
          <w:rFonts w:hint="eastAsia"/>
          <w:sz w:val="30"/>
          <w:szCs w:val="30"/>
        </w:rPr>
      </w:pPr>
      <w:r>
        <w:rPr>
          <w:rFonts w:hint="eastAsia"/>
          <w:sz w:val="30"/>
          <w:szCs w:val="30"/>
        </w:rPr>
        <w:t>然而，这种观点比第一种更有问题，因为绝大多数的OTKP，按字面解释，都要求基督和圣徒住在地上。</w:t>
      </w:r>
    </w:p>
    <w:p w14:paraId="7B74A718">
      <w:pPr>
        <w:pStyle w:val="9"/>
        <w:spacing w:before="11"/>
        <w:ind w:left="0"/>
        <w:jc w:val="left"/>
        <w:rPr>
          <w:rFonts w:hint="eastAsia"/>
          <w:sz w:val="30"/>
          <w:szCs w:val="30"/>
        </w:rPr>
      </w:pPr>
    </w:p>
    <w:p w14:paraId="38CF7F8C">
      <w:pPr>
        <w:pStyle w:val="9"/>
        <w:spacing w:before="11"/>
        <w:ind w:left="0"/>
        <w:jc w:val="left"/>
        <w:rPr>
          <w:rFonts w:hint="eastAsia"/>
          <w:sz w:val="30"/>
          <w:szCs w:val="30"/>
        </w:rPr>
      </w:pPr>
      <w:r>
        <w:rPr>
          <w:rFonts w:hint="eastAsia"/>
          <w:sz w:val="30"/>
          <w:szCs w:val="30"/>
        </w:rPr>
        <w:t>Troubles like these suggest that the root of the problem is the premillennial scheme itself.</w:t>
      </w:r>
    </w:p>
    <w:p w14:paraId="52202915">
      <w:pPr>
        <w:pStyle w:val="9"/>
        <w:spacing w:before="11"/>
        <w:ind w:left="0"/>
        <w:jc w:val="left"/>
        <w:rPr>
          <w:rFonts w:hint="eastAsia"/>
          <w:sz w:val="30"/>
          <w:szCs w:val="30"/>
        </w:rPr>
      </w:pPr>
      <w:r>
        <w:rPr>
          <w:rFonts w:hint="eastAsia"/>
          <w:sz w:val="30"/>
          <w:szCs w:val="30"/>
        </w:rPr>
        <w:t>像这样的麻烦表明，问题的根源在于前千禧年论的体系本身。</w:t>
      </w:r>
    </w:p>
    <w:p w14:paraId="215C9AEF">
      <w:pPr>
        <w:pStyle w:val="9"/>
        <w:spacing w:before="11"/>
        <w:ind w:left="0"/>
        <w:jc w:val="left"/>
        <w:rPr>
          <w:rFonts w:hint="eastAsia"/>
          <w:sz w:val="30"/>
          <w:szCs w:val="30"/>
        </w:rPr>
      </w:pPr>
    </w:p>
    <w:p w14:paraId="0159E2A1">
      <w:pPr>
        <w:pStyle w:val="9"/>
        <w:spacing w:before="11"/>
        <w:ind w:left="0"/>
        <w:jc w:val="left"/>
        <w:rPr>
          <w:rFonts w:hint="eastAsia"/>
          <w:sz w:val="30"/>
          <w:szCs w:val="30"/>
        </w:rPr>
      </w:pPr>
      <w:r>
        <w:rPr>
          <w:rFonts w:hint="eastAsia"/>
          <w:sz w:val="30"/>
          <w:szCs w:val="30"/>
        </w:rPr>
        <w:t>Is there, then, a better solution, built upon a better foundation?</w:t>
      </w:r>
    </w:p>
    <w:p w14:paraId="6F75577E">
      <w:pPr>
        <w:pStyle w:val="9"/>
        <w:spacing w:before="11"/>
        <w:ind w:left="0"/>
        <w:jc w:val="left"/>
        <w:rPr>
          <w:rFonts w:hint="eastAsia"/>
          <w:sz w:val="30"/>
          <w:szCs w:val="30"/>
        </w:rPr>
      </w:pPr>
      <w:r>
        <w:rPr>
          <w:rFonts w:hint="eastAsia"/>
          <w:sz w:val="30"/>
          <w:szCs w:val="30"/>
        </w:rPr>
        <w:t>那么，是否有一个建立在更好基础上的更好解决方案呢？</w:t>
      </w:r>
    </w:p>
    <w:p w14:paraId="030B1400">
      <w:pPr>
        <w:pStyle w:val="9"/>
        <w:spacing w:before="11"/>
        <w:ind w:left="0"/>
        <w:jc w:val="left"/>
        <w:rPr>
          <w:rFonts w:hint="eastAsia"/>
          <w:sz w:val="30"/>
          <w:szCs w:val="30"/>
        </w:rPr>
      </w:pPr>
    </w:p>
    <w:p w14:paraId="4E531508">
      <w:pPr>
        <w:pStyle w:val="9"/>
        <w:spacing w:before="11"/>
        <w:ind w:left="0"/>
        <w:jc w:val="left"/>
        <w:rPr>
          <w:rFonts w:hint="eastAsia"/>
          <w:sz w:val="30"/>
          <w:szCs w:val="30"/>
        </w:rPr>
      </w:pPr>
      <w:r>
        <w:rPr>
          <w:rFonts w:hint="eastAsia"/>
          <w:sz w:val="30"/>
          <w:szCs w:val="30"/>
        </w:rPr>
        <w:t>Yes there is, and our text points the way.</w:t>
      </w:r>
    </w:p>
    <w:p w14:paraId="38E3C35A">
      <w:pPr>
        <w:pStyle w:val="9"/>
        <w:spacing w:before="11"/>
        <w:ind w:left="0"/>
        <w:jc w:val="left"/>
        <w:rPr>
          <w:rFonts w:hint="eastAsia"/>
          <w:sz w:val="30"/>
          <w:szCs w:val="30"/>
        </w:rPr>
      </w:pPr>
      <w:r>
        <w:rPr>
          <w:rFonts w:hint="eastAsia"/>
          <w:sz w:val="30"/>
          <w:szCs w:val="30"/>
        </w:rPr>
        <w:t>是的，有，我们的经文指明了道路。</w:t>
      </w:r>
    </w:p>
    <w:p w14:paraId="13DE1809">
      <w:pPr>
        <w:pStyle w:val="9"/>
        <w:spacing w:before="11"/>
        <w:ind w:left="0"/>
        <w:jc w:val="left"/>
        <w:rPr>
          <w:rFonts w:hint="eastAsia"/>
          <w:sz w:val="30"/>
          <w:szCs w:val="30"/>
        </w:rPr>
      </w:pPr>
    </w:p>
    <w:p w14:paraId="17DEC29A">
      <w:pPr>
        <w:pStyle w:val="9"/>
        <w:spacing w:before="11"/>
        <w:ind w:left="0"/>
        <w:jc w:val="left"/>
        <w:rPr>
          <w:rFonts w:hint="eastAsia"/>
          <w:sz w:val="30"/>
          <w:szCs w:val="30"/>
        </w:rPr>
      </w:pPr>
      <w:r>
        <w:rPr>
          <w:rFonts w:hint="eastAsia"/>
          <w:sz w:val="30"/>
          <w:szCs w:val="30"/>
        </w:rPr>
        <w:t>Observe first that these saints are seated upon thrones.</w:t>
      </w:r>
    </w:p>
    <w:p w14:paraId="2DBFD9E8">
      <w:pPr>
        <w:pStyle w:val="9"/>
        <w:spacing w:before="11"/>
        <w:ind w:left="0"/>
        <w:jc w:val="left"/>
        <w:rPr>
          <w:rFonts w:hint="eastAsia"/>
          <w:sz w:val="30"/>
          <w:szCs w:val="30"/>
        </w:rPr>
      </w:pPr>
      <w:r>
        <w:rPr>
          <w:rFonts w:hint="eastAsia"/>
          <w:sz w:val="30"/>
          <w:szCs w:val="30"/>
        </w:rPr>
        <w:t>首先请注意，这些圣徒坐在宝座上。</w:t>
      </w:r>
    </w:p>
    <w:p w14:paraId="6C03A136">
      <w:pPr>
        <w:pStyle w:val="9"/>
        <w:spacing w:before="11"/>
        <w:ind w:left="0"/>
        <w:jc w:val="left"/>
        <w:rPr>
          <w:rFonts w:hint="eastAsia"/>
          <w:sz w:val="30"/>
          <w:szCs w:val="30"/>
        </w:rPr>
      </w:pPr>
    </w:p>
    <w:p w14:paraId="4BA5D462">
      <w:pPr>
        <w:pStyle w:val="9"/>
        <w:spacing w:before="11"/>
        <w:ind w:left="0"/>
        <w:jc w:val="left"/>
        <w:rPr>
          <w:rFonts w:hint="eastAsia"/>
          <w:sz w:val="30"/>
          <w:szCs w:val="30"/>
        </w:rPr>
      </w:pPr>
      <w:r>
        <w:rPr>
          <w:rFonts w:hint="eastAsia"/>
          <w:sz w:val="30"/>
          <w:szCs w:val="30"/>
        </w:rPr>
        <w:t>According to Sam Storms, this word occurs 47 times in the Revelation.5</w:t>
      </w:r>
    </w:p>
    <w:p w14:paraId="362D8AC7">
      <w:pPr>
        <w:pStyle w:val="9"/>
        <w:spacing w:before="11"/>
        <w:ind w:left="0"/>
        <w:jc w:val="left"/>
        <w:rPr>
          <w:rFonts w:hint="eastAsia"/>
          <w:sz w:val="30"/>
          <w:szCs w:val="30"/>
        </w:rPr>
      </w:pPr>
      <w:r>
        <w:rPr>
          <w:rFonts w:hint="eastAsia"/>
          <w:sz w:val="30"/>
          <w:szCs w:val="30"/>
        </w:rPr>
        <w:t>根据山姆·司道姆的说法，这个词在《启示录》中出现了47次。5</w:t>
      </w:r>
    </w:p>
    <w:p w14:paraId="5CA78122">
      <w:pPr>
        <w:pStyle w:val="9"/>
        <w:spacing w:before="11"/>
        <w:ind w:left="0"/>
        <w:jc w:val="left"/>
        <w:rPr>
          <w:rFonts w:hint="eastAsia"/>
          <w:sz w:val="30"/>
          <w:szCs w:val="30"/>
        </w:rPr>
      </w:pPr>
    </w:p>
    <w:p w14:paraId="0453F7A5">
      <w:pPr>
        <w:pStyle w:val="9"/>
        <w:spacing w:before="11"/>
        <w:ind w:left="0"/>
        <w:jc w:val="left"/>
        <w:rPr>
          <w:rFonts w:hint="eastAsia"/>
          <w:sz w:val="30"/>
          <w:szCs w:val="30"/>
        </w:rPr>
      </w:pPr>
      <w:r>
        <w:rPr>
          <w:rFonts w:hint="eastAsia"/>
          <w:sz w:val="30"/>
          <w:szCs w:val="30"/>
        </w:rPr>
        <w:t>On three occasions, it refers to the throne of Satan and the Beast (2:13, 13:21, 16:10).</w:t>
      </w:r>
    </w:p>
    <w:p w14:paraId="3809F98F">
      <w:pPr>
        <w:pStyle w:val="9"/>
        <w:spacing w:before="11"/>
        <w:ind w:left="0"/>
        <w:jc w:val="left"/>
        <w:rPr>
          <w:rFonts w:hint="eastAsia"/>
          <w:sz w:val="30"/>
          <w:szCs w:val="30"/>
        </w:rPr>
      </w:pPr>
      <w:r>
        <w:rPr>
          <w:rFonts w:hint="eastAsia"/>
          <w:sz w:val="30"/>
          <w:szCs w:val="30"/>
        </w:rPr>
        <w:t>有三次，它指的是撒但和兽的宝座（2:13, 13:21, 16:10）。</w:t>
      </w:r>
    </w:p>
    <w:p w14:paraId="3CBD70F2">
      <w:pPr>
        <w:pStyle w:val="9"/>
        <w:spacing w:before="11"/>
        <w:ind w:left="0"/>
        <w:jc w:val="left"/>
        <w:rPr>
          <w:rFonts w:hint="eastAsia"/>
          <w:sz w:val="30"/>
          <w:szCs w:val="30"/>
        </w:rPr>
      </w:pPr>
    </w:p>
    <w:p w14:paraId="248BD0C4">
      <w:pPr>
        <w:pStyle w:val="9"/>
        <w:spacing w:before="11"/>
        <w:ind w:left="0"/>
        <w:jc w:val="left"/>
        <w:rPr>
          <w:rFonts w:hint="eastAsia"/>
          <w:sz w:val="30"/>
          <w:szCs w:val="30"/>
        </w:rPr>
      </w:pPr>
      <w:r>
        <w:rPr>
          <w:rFonts w:hint="eastAsia"/>
          <w:sz w:val="30"/>
          <w:szCs w:val="30"/>
        </w:rPr>
        <w:t>On four it refers to God’s throne situated in the new, glorified earth (21:3,5, 22:1,3).</w:t>
      </w:r>
    </w:p>
    <w:p w14:paraId="7F84754B">
      <w:pPr>
        <w:pStyle w:val="9"/>
        <w:spacing w:before="11"/>
        <w:ind w:left="0"/>
        <w:jc w:val="left"/>
        <w:rPr>
          <w:rFonts w:hint="eastAsia"/>
          <w:sz w:val="30"/>
          <w:szCs w:val="30"/>
        </w:rPr>
      </w:pPr>
      <w:r>
        <w:rPr>
          <w:rFonts w:hint="eastAsia"/>
          <w:sz w:val="30"/>
          <w:szCs w:val="30"/>
        </w:rPr>
        <w:t>有四次它指的是上帝在新天新地中的宝座（21:3,5, 22:1,3）。</w:t>
      </w:r>
    </w:p>
    <w:p w14:paraId="34CC02A4">
      <w:pPr>
        <w:pStyle w:val="9"/>
        <w:spacing w:before="11"/>
        <w:ind w:left="0"/>
        <w:jc w:val="left"/>
        <w:rPr>
          <w:rFonts w:hint="eastAsia"/>
          <w:sz w:val="30"/>
          <w:szCs w:val="30"/>
        </w:rPr>
      </w:pPr>
    </w:p>
    <w:p w14:paraId="386558E7">
      <w:pPr>
        <w:pStyle w:val="9"/>
        <w:spacing w:before="11"/>
        <w:ind w:left="0"/>
        <w:jc w:val="left"/>
        <w:rPr>
          <w:rFonts w:hint="eastAsia"/>
          <w:sz w:val="30"/>
          <w:szCs w:val="30"/>
        </w:rPr>
      </w:pPr>
      <w:r>
        <w:rPr>
          <w:rFonts w:hint="eastAsia"/>
          <w:sz w:val="30"/>
          <w:szCs w:val="30"/>
        </w:rPr>
        <w:t>However, on the other 40 occasions it refers exclusively to heavenly thrones, whether God’s, Christ’s, or those of the 24 elders.</w:t>
      </w:r>
    </w:p>
    <w:p w14:paraId="131A189C">
      <w:pPr>
        <w:pStyle w:val="9"/>
        <w:spacing w:before="11"/>
        <w:ind w:left="0"/>
        <w:jc w:val="left"/>
        <w:rPr>
          <w:rFonts w:hint="eastAsia"/>
          <w:sz w:val="30"/>
          <w:szCs w:val="30"/>
        </w:rPr>
      </w:pPr>
      <w:r>
        <w:rPr>
          <w:rFonts w:hint="eastAsia"/>
          <w:sz w:val="30"/>
          <w:szCs w:val="30"/>
        </w:rPr>
        <w:t>然而，在其他40次中，它专门指天上的宝座，无论是上帝的、基督的，还是二十四位长老的。</w:t>
      </w:r>
    </w:p>
    <w:p w14:paraId="3FEF1F49">
      <w:pPr>
        <w:pStyle w:val="9"/>
        <w:spacing w:before="11"/>
        <w:ind w:left="0"/>
        <w:jc w:val="left"/>
        <w:rPr>
          <w:rFonts w:hint="eastAsia"/>
          <w:sz w:val="30"/>
          <w:szCs w:val="30"/>
        </w:rPr>
      </w:pPr>
    </w:p>
    <w:p w14:paraId="52A92A80">
      <w:pPr>
        <w:pStyle w:val="9"/>
        <w:spacing w:before="11"/>
        <w:ind w:left="0"/>
        <w:jc w:val="left"/>
        <w:rPr>
          <w:rFonts w:hint="eastAsia"/>
          <w:sz w:val="30"/>
          <w:szCs w:val="30"/>
        </w:rPr>
      </w:pPr>
      <w:r>
        <w:rPr>
          <w:rFonts w:hint="eastAsia"/>
          <w:sz w:val="30"/>
          <w:szCs w:val="30"/>
        </w:rPr>
        <w:t>Whenever and wherever the saints are mentioned, the thrones are heavenly (3:21, 4:4, 11:16).</w:t>
      </w:r>
    </w:p>
    <w:p w14:paraId="03AFA086">
      <w:pPr>
        <w:pStyle w:val="9"/>
        <w:spacing w:before="11"/>
        <w:ind w:left="0"/>
        <w:jc w:val="left"/>
        <w:rPr>
          <w:rFonts w:hint="eastAsia"/>
          <w:sz w:val="30"/>
          <w:szCs w:val="30"/>
        </w:rPr>
      </w:pPr>
      <w:r>
        <w:rPr>
          <w:rFonts w:hint="eastAsia"/>
          <w:sz w:val="30"/>
          <w:szCs w:val="30"/>
        </w:rPr>
        <w:t>无论何时何地提到圣徒，宝座都是属天的（3:21, 4:4, 11:16）。</w:t>
      </w:r>
    </w:p>
    <w:p w14:paraId="73039281">
      <w:pPr>
        <w:pStyle w:val="9"/>
        <w:spacing w:before="11"/>
        <w:ind w:left="0"/>
        <w:jc w:val="left"/>
        <w:rPr>
          <w:rFonts w:hint="eastAsia"/>
          <w:sz w:val="30"/>
          <w:szCs w:val="30"/>
        </w:rPr>
      </w:pPr>
    </w:p>
    <w:p w14:paraId="594751C7">
      <w:pPr>
        <w:pStyle w:val="9"/>
        <w:spacing w:before="11"/>
        <w:ind w:left="0"/>
        <w:jc w:val="left"/>
        <w:rPr>
          <w:rFonts w:hint="eastAsia"/>
          <w:sz w:val="30"/>
          <w:szCs w:val="30"/>
        </w:rPr>
      </w:pPr>
      <w:r>
        <w:rPr>
          <w:rFonts w:hint="eastAsia"/>
          <w:sz w:val="30"/>
          <w:szCs w:val="30"/>
        </w:rPr>
        <w:t>We may safely assume, then, that these saints are indeed living in heaven.</w:t>
      </w:r>
    </w:p>
    <w:p w14:paraId="3A2A00E2">
      <w:pPr>
        <w:pStyle w:val="9"/>
        <w:spacing w:before="11"/>
        <w:ind w:left="0"/>
        <w:jc w:val="left"/>
        <w:rPr>
          <w:rFonts w:hint="eastAsia"/>
          <w:sz w:val="30"/>
          <w:szCs w:val="30"/>
        </w:rPr>
      </w:pPr>
      <w:r>
        <w:rPr>
          <w:rFonts w:hint="eastAsia"/>
          <w:sz w:val="30"/>
          <w:szCs w:val="30"/>
        </w:rPr>
        <w:t>因此，我们可以安全地假设，这些圣徒确实活在天上。</w:t>
      </w:r>
    </w:p>
    <w:p w14:paraId="5463C03E">
      <w:pPr>
        <w:pStyle w:val="9"/>
        <w:spacing w:before="11"/>
        <w:ind w:left="0"/>
        <w:jc w:val="left"/>
        <w:rPr>
          <w:rFonts w:hint="eastAsia"/>
          <w:sz w:val="30"/>
          <w:szCs w:val="30"/>
        </w:rPr>
      </w:pPr>
    </w:p>
    <w:p w14:paraId="0ADCA1E1">
      <w:pPr>
        <w:pStyle w:val="9"/>
        <w:spacing w:before="11"/>
        <w:ind w:left="0"/>
        <w:jc w:val="left"/>
        <w:rPr>
          <w:rFonts w:hint="eastAsia"/>
          <w:sz w:val="30"/>
          <w:szCs w:val="30"/>
        </w:rPr>
      </w:pPr>
      <w:r>
        <w:rPr>
          <w:rFonts w:hint="eastAsia"/>
          <w:sz w:val="30"/>
          <w:szCs w:val="30"/>
        </w:rPr>
        <w:t>Moreover, we also may safely assume that they are living in heaven, not during a future millennium, but throughout the entire course of Christ’s heavenly reign.</w:t>
      </w:r>
    </w:p>
    <w:p w14:paraId="7A767969">
      <w:pPr>
        <w:pStyle w:val="9"/>
        <w:spacing w:before="11"/>
        <w:ind w:left="0"/>
        <w:jc w:val="left"/>
        <w:rPr>
          <w:rFonts w:hint="eastAsia"/>
          <w:sz w:val="30"/>
          <w:szCs w:val="30"/>
        </w:rPr>
      </w:pPr>
      <w:r>
        <w:rPr>
          <w:rFonts w:hint="eastAsia"/>
          <w:sz w:val="30"/>
          <w:szCs w:val="30"/>
        </w:rPr>
        <w:t>此外，我们也可以安全地假设他们活在天上，不是在未来的千禧年期间，而是在基督整个属天统治的过程中。</w:t>
      </w:r>
    </w:p>
    <w:p w14:paraId="22A2289F">
      <w:pPr>
        <w:pStyle w:val="9"/>
        <w:spacing w:before="11"/>
        <w:ind w:left="0"/>
        <w:jc w:val="left"/>
        <w:rPr>
          <w:rFonts w:hint="eastAsia"/>
          <w:sz w:val="30"/>
          <w:szCs w:val="30"/>
        </w:rPr>
      </w:pPr>
    </w:p>
    <w:p w14:paraId="19C3ED3C">
      <w:pPr>
        <w:pStyle w:val="9"/>
        <w:spacing w:before="11"/>
        <w:ind w:left="0"/>
        <w:jc w:val="left"/>
        <w:rPr>
          <w:rFonts w:hint="eastAsia"/>
          <w:sz w:val="30"/>
          <w:szCs w:val="30"/>
        </w:rPr>
      </w:pPr>
      <w:r>
        <w:rPr>
          <w:rFonts w:hint="eastAsia"/>
          <w:sz w:val="30"/>
          <w:szCs w:val="30"/>
        </w:rPr>
        <w:t>Why?</w:t>
      </w:r>
    </w:p>
    <w:p w14:paraId="572E7D6C">
      <w:pPr>
        <w:pStyle w:val="9"/>
        <w:spacing w:before="11"/>
        <w:ind w:left="0"/>
        <w:jc w:val="left"/>
        <w:rPr>
          <w:rFonts w:hint="eastAsia"/>
          <w:sz w:val="30"/>
          <w:szCs w:val="30"/>
        </w:rPr>
      </w:pPr>
      <w:r>
        <w:rPr>
          <w:rFonts w:hint="eastAsia"/>
          <w:sz w:val="30"/>
          <w:szCs w:val="30"/>
        </w:rPr>
        <w:t>为何？</w:t>
      </w:r>
    </w:p>
    <w:p w14:paraId="76FB0D24">
      <w:pPr>
        <w:pStyle w:val="9"/>
        <w:spacing w:before="11"/>
        <w:ind w:left="0"/>
        <w:jc w:val="left"/>
        <w:rPr>
          <w:rFonts w:hint="eastAsia"/>
          <w:sz w:val="30"/>
          <w:szCs w:val="30"/>
        </w:rPr>
      </w:pPr>
    </w:p>
    <w:p w14:paraId="48510574">
      <w:pPr>
        <w:pStyle w:val="9"/>
        <w:spacing w:before="11"/>
        <w:ind w:left="0"/>
        <w:jc w:val="left"/>
        <w:rPr>
          <w:rFonts w:hint="eastAsia"/>
          <w:sz w:val="30"/>
          <w:szCs w:val="30"/>
        </w:rPr>
      </w:pPr>
      <w:r>
        <w:rPr>
          <w:rFonts w:hint="eastAsia"/>
          <w:sz w:val="30"/>
          <w:szCs w:val="30"/>
        </w:rPr>
        <w:t>Because our text says that they will reign with Christ for a finite period of time (20:6), and because every other passage in the Revelation that depicts a temporary reign of Christ refers, not to a future earthly reign, but to a present heavenly reign spanning his two advents (Rev. 5:1f, 6:1-2, 12-17, 12:1-6, 14:14-20).</w:t>
      </w:r>
    </w:p>
    <w:p w14:paraId="797E4599">
      <w:pPr>
        <w:pStyle w:val="9"/>
        <w:spacing w:before="11"/>
        <w:ind w:left="0"/>
        <w:jc w:val="left"/>
        <w:rPr>
          <w:rFonts w:hint="eastAsia"/>
          <w:sz w:val="30"/>
          <w:szCs w:val="30"/>
        </w:rPr>
      </w:pPr>
      <w:r>
        <w:rPr>
          <w:rFonts w:hint="eastAsia"/>
          <w:sz w:val="30"/>
          <w:szCs w:val="30"/>
        </w:rPr>
        <w:t>因为我们的经文说他们将与基督一同作王一段有限的时间（20:6），并且因为《启示录》中每一个描绘基督暂时统治的段落，都不是指未来的地上统治，而是指跨越祂两次降临的现今属天统治（启5:1及以下，6:1-2，12-17，12:1-6，14:14-20）。</w:t>
      </w:r>
    </w:p>
    <w:p w14:paraId="5CF00D60">
      <w:pPr>
        <w:pStyle w:val="9"/>
        <w:spacing w:before="11"/>
        <w:ind w:left="0"/>
        <w:jc w:val="left"/>
        <w:rPr>
          <w:rFonts w:hint="eastAsia"/>
          <w:sz w:val="30"/>
          <w:szCs w:val="30"/>
        </w:rPr>
      </w:pPr>
    </w:p>
    <w:p w14:paraId="291EB0BC">
      <w:pPr>
        <w:pStyle w:val="9"/>
        <w:spacing w:before="11"/>
        <w:ind w:left="0"/>
        <w:jc w:val="left"/>
        <w:rPr>
          <w:rFonts w:hint="eastAsia"/>
          <w:sz w:val="30"/>
          <w:szCs w:val="30"/>
        </w:rPr>
      </w:pPr>
      <w:r>
        <w:rPr>
          <w:rFonts w:hint="eastAsia"/>
          <w:sz w:val="30"/>
          <w:szCs w:val="30"/>
        </w:rPr>
        <w:t>Again, this idea of a temporary, heavenly reign of Christ is the central theme of the entire Revelation.</w:t>
      </w:r>
    </w:p>
    <w:p w14:paraId="51BCAE51">
      <w:pPr>
        <w:pStyle w:val="9"/>
        <w:spacing w:before="11"/>
        <w:ind w:left="0"/>
        <w:jc w:val="left"/>
        <w:rPr>
          <w:rFonts w:hint="eastAsia"/>
          <w:sz w:val="30"/>
          <w:szCs w:val="30"/>
        </w:rPr>
      </w:pPr>
      <w:r>
        <w:rPr>
          <w:rFonts w:hint="eastAsia"/>
          <w:sz w:val="30"/>
          <w:szCs w:val="30"/>
        </w:rPr>
        <w:t>再次，基督暂时、属天的统治这个观念是整本《启示录》的中心主题。</w:t>
      </w:r>
    </w:p>
    <w:p w14:paraId="47C3770C">
      <w:pPr>
        <w:pStyle w:val="9"/>
        <w:spacing w:before="11"/>
        <w:ind w:left="0"/>
        <w:jc w:val="left"/>
        <w:rPr>
          <w:rFonts w:hint="eastAsia"/>
          <w:sz w:val="30"/>
          <w:szCs w:val="30"/>
        </w:rPr>
      </w:pPr>
    </w:p>
    <w:p w14:paraId="2D00B9ED">
      <w:pPr>
        <w:pStyle w:val="9"/>
        <w:spacing w:before="11"/>
        <w:ind w:left="0"/>
        <w:jc w:val="left"/>
        <w:rPr>
          <w:rFonts w:hint="eastAsia"/>
          <w:sz w:val="30"/>
          <w:szCs w:val="30"/>
        </w:rPr>
      </w:pPr>
      <w:r>
        <w:rPr>
          <w:rFonts w:hint="eastAsia"/>
          <w:sz w:val="30"/>
          <w:szCs w:val="30"/>
        </w:rPr>
        <w:t>Would it not be strange, then, if the reign of Christ depicted in 20:4-6 was something other than the central theme of the book?</w:t>
      </w:r>
    </w:p>
    <w:p w14:paraId="734B8E9B">
      <w:pPr>
        <w:pStyle w:val="9"/>
        <w:spacing w:before="11"/>
        <w:ind w:left="0"/>
        <w:jc w:val="left"/>
        <w:rPr>
          <w:rFonts w:hint="eastAsia"/>
          <w:sz w:val="30"/>
          <w:szCs w:val="30"/>
        </w:rPr>
      </w:pPr>
      <w:r>
        <w:rPr>
          <w:rFonts w:hint="eastAsia"/>
          <w:sz w:val="30"/>
          <w:szCs w:val="30"/>
        </w:rPr>
        <w:t>那么，如果20:4-6中所描绘的基督的统治不是本书的中心主题，那岂不是很奇怪吗？</w:t>
      </w:r>
    </w:p>
    <w:p w14:paraId="04897592">
      <w:pPr>
        <w:pStyle w:val="9"/>
        <w:spacing w:before="11"/>
        <w:ind w:left="0"/>
        <w:jc w:val="left"/>
        <w:rPr>
          <w:rFonts w:hint="eastAsia"/>
          <w:sz w:val="30"/>
          <w:szCs w:val="30"/>
        </w:rPr>
      </w:pPr>
    </w:p>
    <w:p w14:paraId="588F463E">
      <w:pPr>
        <w:pStyle w:val="9"/>
        <w:spacing w:before="11"/>
        <w:ind w:left="0"/>
        <w:jc w:val="left"/>
        <w:rPr>
          <w:rFonts w:hint="eastAsia"/>
          <w:sz w:val="30"/>
          <w:szCs w:val="30"/>
        </w:rPr>
      </w:pPr>
      <w:r>
        <w:rPr>
          <w:rFonts w:hint="eastAsia"/>
          <w:sz w:val="30"/>
          <w:szCs w:val="30"/>
        </w:rPr>
        <w:t>Moreover, if any doubt remained on this matter, the Gospels, the Acts, and the epistles would clear it up completely, seeing that the only temporary reign of Christ they acknowledge is his heavenly Messianic reign (Mt. 13:1ff, Luke 19:11-27, Acts 3:19-24, 1 Cor. 15:20-28, etc.).</w:t>
      </w:r>
    </w:p>
    <w:p w14:paraId="26430503">
      <w:pPr>
        <w:pStyle w:val="9"/>
        <w:spacing w:before="11"/>
        <w:ind w:left="0"/>
        <w:jc w:val="left"/>
        <w:rPr>
          <w:rFonts w:hint="eastAsia"/>
          <w:sz w:val="30"/>
          <w:szCs w:val="30"/>
        </w:rPr>
      </w:pPr>
      <w:r>
        <w:rPr>
          <w:rFonts w:hint="eastAsia"/>
          <w:sz w:val="30"/>
          <w:szCs w:val="30"/>
        </w:rPr>
        <w:t>此外，如果对此事仍有任何疑问，福音书、使徒行传和书信将完全澄清它，因为它们承认的基督唯一的暂时统治是祂属天的弥赛亚统治（太13:1及以下，路19:11-27，徒3:19-24，林前15:20-28等）。</w:t>
      </w:r>
    </w:p>
    <w:p w14:paraId="5BC556A4">
      <w:pPr>
        <w:pStyle w:val="9"/>
        <w:spacing w:before="11"/>
        <w:ind w:left="0"/>
        <w:jc w:val="left"/>
        <w:rPr>
          <w:rFonts w:hint="eastAsia"/>
          <w:sz w:val="30"/>
          <w:szCs w:val="30"/>
        </w:rPr>
      </w:pPr>
    </w:p>
    <w:p w14:paraId="384AF6B5">
      <w:pPr>
        <w:pStyle w:val="9"/>
        <w:spacing w:before="11"/>
        <w:ind w:left="0"/>
        <w:jc w:val="left"/>
        <w:rPr>
          <w:rFonts w:hint="eastAsia"/>
          <w:sz w:val="30"/>
          <w:szCs w:val="30"/>
        </w:rPr>
      </w:pPr>
      <w:r>
        <w:rPr>
          <w:rFonts w:hint="eastAsia"/>
          <w:sz w:val="30"/>
          <w:szCs w:val="30"/>
        </w:rPr>
        <w:t>Concerning a future, earthly, thousand- year reign of Christ they are completely silent, as, indeed, all premillennarians will confess.</w:t>
      </w:r>
    </w:p>
    <w:p w14:paraId="651ECC86">
      <w:pPr>
        <w:pStyle w:val="9"/>
        <w:spacing w:before="11"/>
        <w:ind w:left="0"/>
        <w:jc w:val="left"/>
        <w:rPr>
          <w:rFonts w:hint="eastAsia"/>
          <w:sz w:val="30"/>
          <w:szCs w:val="30"/>
        </w:rPr>
      </w:pPr>
      <w:r>
        <w:rPr>
          <w:rFonts w:hint="eastAsia"/>
          <w:sz w:val="30"/>
          <w:szCs w:val="30"/>
        </w:rPr>
        <w:t>关于基督未来在地上为期一千年的统治，它们完全保持沉默，这一点，确实，所有前千禧年论者都会承认。</w:t>
      </w:r>
    </w:p>
    <w:p w14:paraId="6DD8AF10">
      <w:pPr>
        <w:pStyle w:val="9"/>
        <w:spacing w:before="11"/>
        <w:ind w:left="0"/>
        <w:jc w:val="left"/>
        <w:rPr>
          <w:rFonts w:hint="eastAsia"/>
          <w:sz w:val="30"/>
          <w:szCs w:val="30"/>
        </w:rPr>
      </w:pPr>
    </w:p>
    <w:p w14:paraId="5B9B91C3">
      <w:pPr>
        <w:pStyle w:val="9"/>
        <w:spacing w:before="11"/>
        <w:ind w:left="0"/>
        <w:jc w:val="left"/>
        <w:rPr>
          <w:rFonts w:hint="eastAsia"/>
          <w:sz w:val="30"/>
          <w:szCs w:val="30"/>
        </w:rPr>
      </w:pPr>
      <w:r>
        <w:rPr>
          <w:rFonts w:hint="eastAsia"/>
          <w:sz w:val="30"/>
          <w:szCs w:val="30"/>
        </w:rPr>
        <w:t>We conclude, then, that our text itself, along with various parallels in the Revelation and the rest of the NT, confirms that the saints of 20:4-6 are living in heaven during the Era of Proclamation, during the course of Christ’s heavenly mediatorial reign.</w:t>
      </w:r>
    </w:p>
    <w:p w14:paraId="4C5EEC2C">
      <w:pPr>
        <w:pStyle w:val="9"/>
        <w:spacing w:before="11"/>
        <w:ind w:left="0"/>
        <w:jc w:val="left"/>
        <w:rPr>
          <w:rFonts w:hint="eastAsia"/>
          <w:sz w:val="30"/>
          <w:szCs w:val="30"/>
        </w:rPr>
      </w:pPr>
      <w:r>
        <w:rPr>
          <w:rFonts w:hint="eastAsia"/>
          <w:sz w:val="30"/>
          <w:szCs w:val="30"/>
        </w:rPr>
        <w:t>因此，我们得出结论，我们的经文本身，连同《启示录》和新约其余部分的各种平行经文，都证实了20:4-6的圣徒是在宣讲时代期间，在基督属天中保统治的过程中，活在天上。</w:t>
      </w:r>
    </w:p>
    <w:p w14:paraId="51966D4E">
      <w:pPr>
        <w:pStyle w:val="9"/>
        <w:spacing w:before="11"/>
        <w:ind w:left="0"/>
        <w:jc w:val="left"/>
        <w:rPr>
          <w:rFonts w:hint="eastAsia"/>
          <w:sz w:val="30"/>
          <w:szCs w:val="30"/>
        </w:rPr>
      </w:pPr>
    </w:p>
    <w:p w14:paraId="49CFE127">
      <w:pPr>
        <w:pStyle w:val="9"/>
        <w:spacing w:before="11"/>
        <w:ind w:left="0"/>
        <w:jc w:val="left"/>
        <w:rPr>
          <w:rFonts w:hint="eastAsia"/>
          <w:sz w:val="30"/>
          <w:szCs w:val="30"/>
        </w:rPr>
      </w:pPr>
      <w:r>
        <w:rPr>
          <w:rFonts w:hint="eastAsia"/>
          <w:sz w:val="30"/>
          <w:szCs w:val="30"/>
        </w:rPr>
        <w:t>3.What does the Spirit mean when he says that the souls of the millennial saints “came to life?”</w:t>
      </w:r>
    </w:p>
    <w:p w14:paraId="1A4C9CCB">
      <w:pPr>
        <w:pStyle w:val="9"/>
        <w:spacing w:before="11"/>
        <w:ind w:left="0"/>
        <w:jc w:val="left"/>
        <w:rPr>
          <w:rFonts w:hint="eastAsia"/>
          <w:sz w:val="30"/>
          <w:szCs w:val="30"/>
        </w:rPr>
      </w:pPr>
      <w:r>
        <w:rPr>
          <w:rFonts w:hint="eastAsia"/>
          <w:sz w:val="30"/>
          <w:szCs w:val="30"/>
        </w:rPr>
        <w:t>3.当圣灵说千禧年圣徒的灵魂“活过来”时，祂是什么意思？</w:t>
      </w:r>
    </w:p>
    <w:p w14:paraId="2BD7A9A9">
      <w:pPr>
        <w:pStyle w:val="9"/>
        <w:spacing w:before="11"/>
        <w:ind w:left="0"/>
        <w:jc w:val="left"/>
        <w:rPr>
          <w:rFonts w:hint="eastAsia"/>
          <w:sz w:val="30"/>
          <w:szCs w:val="30"/>
        </w:rPr>
      </w:pPr>
    </w:p>
    <w:p w14:paraId="648F62B4">
      <w:pPr>
        <w:pStyle w:val="9"/>
        <w:spacing w:before="11"/>
        <w:ind w:left="0"/>
        <w:jc w:val="left"/>
        <w:rPr>
          <w:rFonts w:hint="eastAsia"/>
          <w:sz w:val="30"/>
          <w:szCs w:val="30"/>
        </w:rPr>
      </w:pPr>
      <w:r>
        <w:rPr>
          <w:rFonts w:hint="eastAsia"/>
          <w:sz w:val="30"/>
          <w:szCs w:val="30"/>
        </w:rPr>
        <w:t>Speaking of the souls he has just seen, John tells us, “They came to life and reigned with Christ a thousand years” (20:4).</w:t>
      </w:r>
    </w:p>
    <w:p w14:paraId="2F2428E3">
      <w:pPr>
        <w:pStyle w:val="9"/>
        <w:spacing w:before="11"/>
        <w:ind w:left="0"/>
        <w:jc w:val="left"/>
        <w:rPr>
          <w:rFonts w:hint="eastAsia"/>
          <w:sz w:val="30"/>
          <w:szCs w:val="30"/>
        </w:rPr>
      </w:pPr>
      <w:r>
        <w:rPr>
          <w:rFonts w:hint="eastAsia"/>
          <w:sz w:val="30"/>
          <w:szCs w:val="30"/>
        </w:rPr>
        <w:t>约翰谈到他刚刚看见的灵魂时说：“他们活了，与基督一同作王一千年”（20:4）。</w:t>
      </w:r>
    </w:p>
    <w:p w14:paraId="7E70DE6B">
      <w:pPr>
        <w:pStyle w:val="9"/>
        <w:spacing w:before="11"/>
        <w:ind w:left="0"/>
        <w:jc w:val="left"/>
        <w:rPr>
          <w:rFonts w:hint="eastAsia"/>
          <w:sz w:val="30"/>
          <w:szCs w:val="30"/>
        </w:rPr>
      </w:pPr>
    </w:p>
    <w:p w14:paraId="7AE0AFD4">
      <w:pPr>
        <w:pStyle w:val="9"/>
        <w:spacing w:before="11"/>
        <w:ind w:left="0"/>
        <w:jc w:val="left"/>
        <w:rPr>
          <w:rFonts w:hint="eastAsia"/>
          <w:sz w:val="30"/>
          <w:szCs w:val="30"/>
        </w:rPr>
      </w:pPr>
      <w:r>
        <w:rPr>
          <w:rFonts w:hint="eastAsia"/>
          <w:sz w:val="30"/>
          <w:szCs w:val="30"/>
        </w:rPr>
        <w:t>Then, in verse 5, he goes on to identify this “coming to life” as “the first resurrection.”</w:t>
      </w:r>
    </w:p>
    <w:p w14:paraId="4AF1BBD4">
      <w:pPr>
        <w:pStyle w:val="9"/>
        <w:spacing w:before="11"/>
        <w:ind w:left="0"/>
        <w:jc w:val="left"/>
        <w:rPr>
          <w:rFonts w:hint="eastAsia"/>
          <w:sz w:val="30"/>
          <w:szCs w:val="30"/>
        </w:rPr>
      </w:pPr>
      <w:r>
        <w:rPr>
          <w:rFonts w:hint="eastAsia"/>
          <w:sz w:val="30"/>
          <w:szCs w:val="30"/>
        </w:rPr>
        <w:t>然后，在第5节，他继续将这个“活过来”认定为“头一次的复活”。</w:t>
      </w:r>
    </w:p>
    <w:p w14:paraId="5EA7BD24">
      <w:pPr>
        <w:pStyle w:val="9"/>
        <w:spacing w:before="11"/>
        <w:ind w:left="0"/>
        <w:jc w:val="left"/>
        <w:rPr>
          <w:rFonts w:hint="eastAsia"/>
          <w:sz w:val="30"/>
          <w:szCs w:val="30"/>
        </w:rPr>
      </w:pPr>
    </w:p>
    <w:p w14:paraId="4CEE01B4">
      <w:pPr>
        <w:pStyle w:val="9"/>
        <w:spacing w:before="11"/>
        <w:ind w:left="0"/>
        <w:jc w:val="left"/>
        <w:rPr>
          <w:rFonts w:hint="eastAsia"/>
          <w:sz w:val="30"/>
          <w:szCs w:val="30"/>
        </w:rPr>
      </w:pPr>
      <w:r>
        <w:rPr>
          <w:rFonts w:hint="eastAsia"/>
          <w:sz w:val="30"/>
          <w:szCs w:val="30"/>
        </w:rPr>
        <w:t>What do these expressions mean?</w:t>
      </w:r>
    </w:p>
    <w:p w14:paraId="48C80625">
      <w:pPr>
        <w:pStyle w:val="9"/>
        <w:spacing w:before="11"/>
        <w:ind w:left="0"/>
        <w:jc w:val="left"/>
        <w:rPr>
          <w:rFonts w:hint="eastAsia"/>
          <w:sz w:val="30"/>
          <w:szCs w:val="30"/>
        </w:rPr>
      </w:pPr>
      <w:r>
        <w:rPr>
          <w:rFonts w:hint="eastAsia"/>
          <w:sz w:val="30"/>
          <w:szCs w:val="30"/>
        </w:rPr>
        <w:t>这些表达是什么意思？</w:t>
      </w:r>
    </w:p>
    <w:p w14:paraId="15A06846">
      <w:pPr>
        <w:pStyle w:val="9"/>
        <w:spacing w:before="11"/>
        <w:ind w:left="0"/>
        <w:jc w:val="left"/>
        <w:rPr>
          <w:rFonts w:hint="eastAsia"/>
          <w:sz w:val="30"/>
          <w:szCs w:val="30"/>
        </w:rPr>
      </w:pPr>
    </w:p>
    <w:p w14:paraId="185962EB">
      <w:pPr>
        <w:pStyle w:val="9"/>
        <w:spacing w:before="11"/>
        <w:ind w:left="0"/>
        <w:jc w:val="left"/>
        <w:rPr>
          <w:rFonts w:hint="eastAsia"/>
          <w:sz w:val="30"/>
          <w:szCs w:val="30"/>
        </w:rPr>
      </w:pPr>
      <w:r>
        <w:rPr>
          <w:rFonts w:hint="eastAsia"/>
          <w:sz w:val="30"/>
          <w:szCs w:val="30"/>
        </w:rPr>
        <w:t>Premillennial interpreters insist that the reference is to a bodily coming to life; to the bodily resurrection of all the saints at Christ’s premillennial return.</w:t>
      </w:r>
    </w:p>
    <w:p w14:paraId="04A2F7D4">
      <w:pPr>
        <w:pStyle w:val="9"/>
        <w:spacing w:before="11"/>
        <w:ind w:left="0"/>
        <w:jc w:val="left"/>
        <w:rPr>
          <w:rFonts w:hint="eastAsia"/>
          <w:sz w:val="30"/>
          <w:szCs w:val="30"/>
        </w:rPr>
      </w:pPr>
      <w:r>
        <w:rPr>
          <w:rFonts w:hint="eastAsia"/>
          <w:sz w:val="30"/>
          <w:szCs w:val="30"/>
        </w:rPr>
        <w:t>前千禧年论的解释者坚持认为，这里指的是身体的活过来；即在基督前千禧年再来时所有圣徒的身体复活。</w:t>
      </w:r>
    </w:p>
    <w:p w14:paraId="33971A00">
      <w:pPr>
        <w:pStyle w:val="9"/>
        <w:spacing w:before="11"/>
        <w:ind w:left="0"/>
        <w:jc w:val="left"/>
        <w:rPr>
          <w:rFonts w:hint="eastAsia"/>
          <w:sz w:val="30"/>
          <w:szCs w:val="30"/>
        </w:rPr>
      </w:pPr>
    </w:p>
    <w:p w14:paraId="1FC40D65">
      <w:pPr>
        <w:pStyle w:val="9"/>
        <w:spacing w:before="11"/>
        <w:ind w:left="0"/>
        <w:jc w:val="left"/>
        <w:rPr>
          <w:rFonts w:hint="eastAsia"/>
          <w:sz w:val="30"/>
          <w:szCs w:val="30"/>
        </w:rPr>
      </w:pPr>
      <w:r>
        <w:rPr>
          <w:rFonts w:hint="eastAsia"/>
          <w:sz w:val="30"/>
          <w:szCs w:val="30"/>
        </w:rPr>
        <w:t>They base their case on the first part of verse 5, which says, “The rest of the dead did not come to life (Greek: ezesan) until the thousand years were completed.”</w:t>
      </w:r>
    </w:p>
    <w:p w14:paraId="43921FB7">
      <w:pPr>
        <w:pStyle w:val="9"/>
        <w:spacing w:before="11"/>
        <w:ind w:left="0"/>
        <w:jc w:val="left"/>
        <w:rPr>
          <w:rFonts w:hint="eastAsia"/>
          <w:sz w:val="30"/>
          <w:szCs w:val="30"/>
        </w:rPr>
      </w:pPr>
      <w:r>
        <w:rPr>
          <w:rFonts w:hint="eastAsia"/>
          <w:sz w:val="30"/>
          <w:szCs w:val="30"/>
        </w:rPr>
        <w:t>他们的论据基于第5节的第一部分，那里说：“其余的死人还没有复活（希腊文：ezesan），直等那一千年完了。”</w:t>
      </w:r>
    </w:p>
    <w:p w14:paraId="1B51B369">
      <w:pPr>
        <w:pStyle w:val="9"/>
        <w:spacing w:before="11"/>
        <w:ind w:left="0"/>
        <w:jc w:val="left"/>
        <w:rPr>
          <w:rFonts w:hint="eastAsia"/>
          <w:sz w:val="30"/>
          <w:szCs w:val="30"/>
        </w:rPr>
      </w:pPr>
    </w:p>
    <w:p w14:paraId="5E70981B">
      <w:pPr>
        <w:pStyle w:val="9"/>
        <w:spacing w:before="11"/>
        <w:ind w:left="0"/>
        <w:jc w:val="left"/>
        <w:rPr>
          <w:rFonts w:hint="eastAsia"/>
          <w:sz w:val="30"/>
          <w:szCs w:val="30"/>
        </w:rPr>
      </w:pPr>
      <w:r>
        <w:rPr>
          <w:rFonts w:hint="eastAsia"/>
          <w:sz w:val="30"/>
          <w:szCs w:val="30"/>
        </w:rPr>
        <w:t>This particular “coming to life” is “the second resurrection,” and all interpreters agree it is indeed a bodily resurrection that will occur at the end of the millennial era, however that era is understood (20:11-15).</w:t>
      </w:r>
    </w:p>
    <w:p w14:paraId="619EC72F">
      <w:pPr>
        <w:pStyle w:val="9"/>
        <w:spacing w:before="11"/>
        <w:ind w:left="0"/>
        <w:jc w:val="left"/>
        <w:rPr>
          <w:rFonts w:hint="eastAsia"/>
          <w:sz w:val="30"/>
          <w:szCs w:val="30"/>
        </w:rPr>
      </w:pPr>
      <w:r>
        <w:rPr>
          <w:rFonts w:hint="eastAsia"/>
          <w:sz w:val="30"/>
          <w:szCs w:val="30"/>
        </w:rPr>
        <w:t>这个特定的“活过来”是“第二次的复活”，所有解释者都同意这确实是一次身体的复活，将发生在千禧年时代的末了，无论那个时代如何被理解（20:11-15）。</w:t>
      </w:r>
    </w:p>
    <w:p w14:paraId="569DF0E1">
      <w:pPr>
        <w:pStyle w:val="9"/>
        <w:spacing w:before="11"/>
        <w:ind w:left="0"/>
        <w:jc w:val="left"/>
        <w:rPr>
          <w:rFonts w:hint="eastAsia"/>
          <w:sz w:val="30"/>
          <w:szCs w:val="30"/>
        </w:rPr>
      </w:pPr>
    </w:p>
    <w:p w14:paraId="0BF71AF6">
      <w:pPr>
        <w:pStyle w:val="9"/>
        <w:spacing w:before="11"/>
        <w:ind w:left="0"/>
        <w:jc w:val="left"/>
        <w:rPr>
          <w:rFonts w:hint="eastAsia"/>
          <w:sz w:val="30"/>
          <w:szCs w:val="30"/>
        </w:rPr>
      </w:pPr>
      <w:r>
        <w:rPr>
          <w:rFonts w:hint="eastAsia"/>
          <w:sz w:val="30"/>
          <w:szCs w:val="30"/>
        </w:rPr>
        <w:t>Therefore, if the Spirit used the same word (ezesan) to describe both the first and second resurrections, does it not stand to reason that the first, just like the second, is bodily?</w:t>
      </w:r>
    </w:p>
    <w:p w14:paraId="4161A4DA">
      <w:pPr>
        <w:pStyle w:val="9"/>
        <w:spacing w:before="11"/>
        <w:ind w:left="0"/>
        <w:jc w:val="left"/>
        <w:rPr>
          <w:rFonts w:hint="eastAsia"/>
          <w:sz w:val="30"/>
          <w:szCs w:val="30"/>
        </w:rPr>
      </w:pPr>
      <w:r>
        <w:rPr>
          <w:rFonts w:hint="eastAsia"/>
          <w:sz w:val="30"/>
          <w:szCs w:val="30"/>
        </w:rPr>
        <w:t>因此，如果圣灵用同一个词（ezesan）来描述第一次和第二次的复活，那么第一次，就像第二次一样，是身体的复活，这难道不合逻辑吗？</w:t>
      </w:r>
    </w:p>
    <w:p w14:paraId="4A7F1BB4">
      <w:pPr>
        <w:pStyle w:val="9"/>
        <w:spacing w:before="11"/>
        <w:ind w:left="0"/>
        <w:jc w:val="left"/>
        <w:rPr>
          <w:rFonts w:hint="eastAsia"/>
          <w:sz w:val="30"/>
          <w:szCs w:val="30"/>
        </w:rPr>
      </w:pPr>
    </w:p>
    <w:p w14:paraId="0D900489">
      <w:pPr>
        <w:pStyle w:val="9"/>
        <w:spacing w:before="11"/>
        <w:ind w:left="0"/>
        <w:jc w:val="left"/>
        <w:rPr>
          <w:rFonts w:hint="eastAsia"/>
          <w:sz w:val="30"/>
          <w:szCs w:val="30"/>
        </w:rPr>
      </w:pPr>
      <w:r>
        <w:rPr>
          <w:rFonts w:hint="eastAsia"/>
          <w:sz w:val="30"/>
          <w:szCs w:val="30"/>
        </w:rPr>
        <w:t>On this point, premillennarian George Ladd is emphatic:</w:t>
      </w:r>
    </w:p>
    <w:p w14:paraId="7BC0C66B">
      <w:pPr>
        <w:pStyle w:val="9"/>
        <w:spacing w:before="11"/>
        <w:ind w:left="0"/>
        <w:jc w:val="left"/>
        <w:rPr>
          <w:rFonts w:hint="eastAsia"/>
          <w:sz w:val="30"/>
          <w:szCs w:val="30"/>
        </w:rPr>
      </w:pPr>
      <w:r>
        <w:rPr>
          <w:rFonts w:hint="eastAsia"/>
          <w:sz w:val="30"/>
          <w:szCs w:val="30"/>
        </w:rPr>
        <w:t>在这一点上，前千禧年论者乔治·赖德是强调的：</w:t>
      </w:r>
    </w:p>
    <w:p w14:paraId="14BEF7AE">
      <w:pPr>
        <w:pStyle w:val="9"/>
        <w:spacing w:before="11"/>
        <w:ind w:left="0"/>
        <w:jc w:val="left"/>
        <w:rPr>
          <w:rFonts w:hint="eastAsia"/>
          <w:sz w:val="30"/>
          <w:szCs w:val="30"/>
        </w:rPr>
      </w:pPr>
    </w:p>
    <w:p w14:paraId="1BF46FED">
      <w:pPr>
        <w:pStyle w:val="9"/>
        <w:spacing w:before="11"/>
        <w:ind w:left="0"/>
        <w:jc w:val="left"/>
        <w:rPr>
          <w:rFonts w:hint="eastAsia"/>
          <w:sz w:val="30"/>
          <w:szCs w:val="30"/>
        </w:rPr>
      </w:pPr>
      <w:r>
        <w:rPr>
          <w:rFonts w:hint="eastAsia"/>
          <w:sz w:val="30"/>
          <w:szCs w:val="30"/>
        </w:rPr>
        <w:t>The language of the passage is quite clear and unambiguous.</w:t>
      </w:r>
    </w:p>
    <w:p w14:paraId="7BBFB952">
      <w:pPr>
        <w:pStyle w:val="9"/>
        <w:spacing w:before="11"/>
        <w:ind w:left="0"/>
        <w:jc w:val="left"/>
        <w:rPr>
          <w:rFonts w:hint="eastAsia"/>
          <w:sz w:val="30"/>
          <w:szCs w:val="30"/>
        </w:rPr>
      </w:pPr>
      <w:r>
        <w:rPr>
          <w:rFonts w:hint="eastAsia"/>
          <w:sz w:val="30"/>
          <w:szCs w:val="30"/>
        </w:rPr>
        <w:t>这段经文的语言相当清晰明确。</w:t>
      </w:r>
    </w:p>
    <w:p w14:paraId="7AB51A67">
      <w:pPr>
        <w:pStyle w:val="9"/>
        <w:spacing w:before="11"/>
        <w:ind w:left="0"/>
        <w:jc w:val="left"/>
        <w:rPr>
          <w:rFonts w:hint="eastAsia"/>
          <w:sz w:val="30"/>
          <w:szCs w:val="30"/>
        </w:rPr>
      </w:pPr>
    </w:p>
    <w:p w14:paraId="0A082486">
      <w:pPr>
        <w:pStyle w:val="9"/>
        <w:spacing w:before="11"/>
        <w:ind w:left="0"/>
        <w:jc w:val="left"/>
        <w:rPr>
          <w:rFonts w:hint="eastAsia"/>
          <w:sz w:val="30"/>
          <w:szCs w:val="30"/>
        </w:rPr>
      </w:pPr>
      <w:r>
        <w:rPr>
          <w:rFonts w:hint="eastAsia"/>
          <w:sz w:val="30"/>
          <w:szCs w:val="30"/>
        </w:rPr>
        <w:t>There is no necessity to interpret either word spiritually in order to introduce meaning into the passage.</w:t>
      </w:r>
    </w:p>
    <w:p w14:paraId="4FDDD088">
      <w:pPr>
        <w:pStyle w:val="9"/>
        <w:spacing w:before="11"/>
        <w:ind w:left="0"/>
        <w:jc w:val="left"/>
        <w:rPr>
          <w:rFonts w:hint="eastAsia"/>
          <w:sz w:val="30"/>
          <w:szCs w:val="30"/>
        </w:rPr>
      </w:pPr>
      <w:r>
        <w:rPr>
          <w:rFonts w:hint="eastAsia"/>
          <w:sz w:val="30"/>
          <w:szCs w:val="30"/>
        </w:rPr>
        <w:t>没有必要为了给这段经文引入意义而对任何一个词作属灵的解释。</w:t>
      </w:r>
    </w:p>
    <w:p w14:paraId="01DB3391">
      <w:pPr>
        <w:pStyle w:val="9"/>
        <w:spacing w:before="11"/>
        <w:ind w:left="0"/>
        <w:jc w:val="left"/>
        <w:rPr>
          <w:rFonts w:hint="eastAsia"/>
          <w:sz w:val="30"/>
          <w:szCs w:val="30"/>
        </w:rPr>
      </w:pPr>
    </w:p>
    <w:p w14:paraId="4C66A82E">
      <w:pPr>
        <w:pStyle w:val="9"/>
        <w:spacing w:before="11"/>
        <w:ind w:left="0"/>
        <w:jc w:val="left"/>
        <w:rPr>
          <w:rFonts w:hint="eastAsia"/>
          <w:sz w:val="30"/>
          <w:szCs w:val="30"/>
        </w:rPr>
      </w:pPr>
      <w:r>
        <w:rPr>
          <w:rFonts w:hint="eastAsia"/>
          <w:sz w:val="30"/>
          <w:szCs w:val="30"/>
        </w:rPr>
        <w:t>At the beginning of the millennial period, part of the dead come to life (ezesan); at its conclusion, the rest of the dead come to life (ezesan).</w:t>
      </w:r>
    </w:p>
    <w:p w14:paraId="6404EA50">
      <w:pPr>
        <w:pStyle w:val="9"/>
        <w:spacing w:before="11"/>
        <w:ind w:left="0"/>
        <w:jc w:val="left"/>
        <w:rPr>
          <w:rFonts w:hint="eastAsia"/>
          <w:sz w:val="30"/>
          <w:szCs w:val="30"/>
        </w:rPr>
      </w:pPr>
      <w:r>
        <w:rPr>
          <w:rFonts w:hint="eastAsia"/>
          <w:sz w:val="30"/>
          <w:szCs w:val="30"/>
        </w:rPr>
        <w:t>在千禧年时期的开始，一部分死人活过来（ezesan）；在其结束时，其余的死人活过来（ezesan）。</w:t>
      </w:r>
    </w:p>
    <w:p w14:paraId="2F30C75D">
      <w:pPr>
        <w:pStyle w:val="9"/>
        <w:spacing w:before="11"/>
        <w:ind w:left="0"/>
        <w:jc w:val="left"/>
        <w:rPr>
          <w:rFonts w:hint="eastAsia"/>
          <w:sz w:val="30"/>
          <w:szCs w:val="30"/>
        </w:rPr>
      </w:pPr>
    </w:p>
    <w:p w14:paraId="645775F3">
      <w:pPr>
        <w:pStyle w:val="9"/>
        <w:spacing w:before="11"/>
        <w:ind w:left="0"/>
        <w:jc w:val="left"/>
        <w:rPr>
          <w:rFonts w:hint="eastAsia"/>
          <w:sz w:val="30"/>
          <w:szCs w:val="30"/>
        </w:rPr>
      </w:pPr>
      <w:r>
        <w:rPr>
          <w:rFonts w:hint="eastAsia"/>
          <w:sz w:val="30"/>
          <w:szCs w:val="30"/>
        </w:rPr>
        <w:t>There is no evident play on words.</w:t>
      </w:r>
    </w:p>
    <w:p w14:paraId="2D6F3739">
      <w:pPr>
        <w:pStyle w:val="9"/>
        <w:spacing w:before="11"/>
        <w:ind w:left="0"/>
        <w:jc w:val="left"/>
        <w:rPr>
          <w:rFonts w:hint="eastAsia"/>
          <w:sz w:val="30"/>
          <w:szCs w:val="30"/>
        </w:rPr>
      </w:pPr>
      <w:r>
        <w:rPr>
          <w:rFonts w:hint="eastAsia"/>
          <w:sz w:val="30"/>
          <w:szCs w:val="30"/>
        </w:rPr>
        <w:t>没有明显的文字游戏。</w:t>
      </w:r>
    </w:p>
    <w:p w14:paraId="67FC1741">
      <w:pPr>
        <w:pStyle w:val="9"/>
        <w:spacing w:before="11"/>
        <w:ind w:left="0"/>
        <w:jc w:val="left"/>
        <w:rPr>
          <w:rFonts w:hint="eastAsia"/>
          <w:sz w:val="30"/>
          <w:szCs w:val="30"/>
        </w:rPr>
      </w:pPr>
    </w:p>
    <w:p w14:paraId="49B1F150">
      <w:pPr>
        <w:pStyle w:val="9"/>
        <w:spacing w:before="11"/>
        <w:ind w:left="0"/>
        <w:jc w:val="left"/>
        <w:rPr>
          <w:rFonts w:hint="eastAsia"/>
          <w:sz w:val="30"/>
          <w:szCs w:val="30"/>
        </w:rPr>
      </w:pPr>
      <w:r>
        <w:rPr>
          <w:rFonts w:hint="eastAsia"/>
          <w:sz w:val="30"/>
          <w:szCs w:val="30"/>
        </w:rPr>
        <w:t>The passage makes perfectly good sense when interpreted literally.</w:t>
      </w:r>
    </w:p>
    <w:p w14:paraId="26A9EC6E">
      <w:pPr>
        <w:pStyle w:val="9"/>
        <w:spacing w:before="11"/>
        <w:ind w:left="0"/>
        <w:jc w:val="left"/>
        <w:rPr>
          <w:rFonts w:hint="eastAsia"/>
          <w:sz w:val="30"/>
          <w:szCs w:val="30"/>
        </w:rPr>
      </w:pPr>
      <w:r>
        <w:rPr>
          <w:rFonts w:hint="eastAsia"/>
          <w:sz w:val="30"/>
          <w:szCs w:val="30"/>
        </w:rPr>
        <w:t>这段经文按字面解释是完全合理的。</w:t>
      </w:r>
    </w:p>
    <w:p w14:paraId="2F6B114D">
      <w:pPr>
        <w:pStyle w:val="9"/>
        <w:spacing w:before="11"/>
        <w:ind w:left="0"/>
        <w:jc w:val="left"/>
        <w:rPr>
          <w:rFonts w:hint="eastAsia"/>
          <w:sz w:val="30"/>
          <w:szCs w:val="30"/>
        </w:rPr>
      </w:pPr>
    </w:p>
    <w:p w14:paraId="4086500B">
      <w:pPr>
        <w:pStyle w:val="9"/>
        <w:spacing w:before="11"/>
        <w:ind w:left="0"/>
        <w:jc w:val="left"/>
        <w:rPr>
          <w:rFonts w:hint="eastAsia"/>
          <w:sz w:val="30"/>
          <w:szCs w:val="30"/>
        </w:rPr>
      </w:pPr>
      <w:r>
        <w:rPr>
          <w:rFonts w:hint="eastAsia"/>
          <w:sz w:val="30"/>
          <w:szCs w:val="30"/>
        </w:rPr>
        <w:t>Natural, inductive exegesis suggests that both uses of ezesan are to be taken in the same way, as referring to a literal (i.e., bodily) resurrection.6</w:t>
      </w:r>
    </w:p>
    <w:p w14:paraId="476EFCF2">
      <w:pPr>
        <w:pStyle w:val="9"/>
        <w:spacing w:before="11"/>
        <w:ind w:left="0"/>
        <w:jc w:val="left"/>
        <w:rPr>
          <w:rFonts w:hint="eastAsia"/>
          <w:sz w:val="30"/>
          <w:szCs w:val="30"/>
        </w:rPr>
      </w:pPr>
      <w:r>
        <w:rPr>
          <w:rFonts w:hint="eastAsia"/>
          <w:sz w:val="30"/>
          <w:szCs w:val="30"/>
        </w:rPr>
        <w:t>自然的、归纳的解经表明，ezesan的两种用法都应以同样的方式来理解，即指字面意义上的（即身体的）复活。6</w:t>
      </w:r>
    </w:p>
    <w:p w14:paraId="4FDBB6CE">
      <w:pPr>
        <w:pStyle w:val="9"/>
        <w:spacing w:before="11"/>
        <w:ind w:left="0"/>
        <w:jc w:val="left"/>
        <w:rPr>
          <w:rFonts w:hint="eastAsia"/>
          <w:sz w:val="30"/>
          <w:szCs w:val="30"/>
        </w:rPr>
      </w:pPr>
    </w:p>
    <w:p w14:paraId="5A4C98F6">
      <w:pPr>
        <w:pStyle w:val="9"/>
        <w:spacing w:before="11"/>
        <w:ind w:left="0"/>
        <w:jc w:val="left"/>
        <w:rPr>
          <w:rFonts w:hint="eastAsia"/>
          <w:sz w:val="30"/>
          <w:szCs w:val="30"/>
        </w:rPr>
      </w:pPr>
      <w:r>
        <w:rPr>
          <w:rFonts w:hint="eastAsia"/>
          <w:sz w:val="30"/>
          <w:szCs w:val="30"/>
        </w:rPr>
        <w:t>These are forceful words, words that have persuaded many.</w:t>
      </w:r>
    </w:p>
    <w:p w14:paraId="4A156EE0">
      <w:pPr>
        <w:pStyle w:val="9"/>
        <w:spacing w:before="11"/>
        <w:ind w:left="0"/>
        <w:jc w:val="left"/>
        <w:rPr>
          <w:rFonts w:hint="eastAsia"/>
          <w:sz w:val="30"/>
          <w:szCs w:val="30"/>
        </w:rPr>
      </w:pPr>
      <w:r>
        <w:rPr>
          <w:rFonts w:hint="eastAsia"/>
          <w:sz w:val="30"/>
          <w:szCs w:val="30"/>
        </w:rPr>
        <w:t>这些话很有力，说服了许多人。</w:t>
      </w:r>
    </w:p>
    <w:p w14:paraId="19B91760">
      <w:pPr>
        <w:pStyle w:val="9"/>
        <w:spacing w:before="11"/>
        <w:ind w:left="0"/>
        <w:jc w:val="left"/>
        <w:rPr>
          <w:rFonts w:hint="eastAsia"/>
          <w:sz w:val="30"/>
          <w:szCs w:val="30"/>
        </w:rPr>
      </w:pPr>
    </w:p>
    <w:p w14:paraId="7E48FA79">
      <w:pPr>
        <w:pStyle w:val="9"/>
        <w:spacing w:before="11"/>
        <w:ind w:left="0"/>
        <w:jc w:val="left"/>
        <w:rPr>
          <w:rFonts w:hint="eastAsia"/>
          <w:sz w:val="30"/>
          <w:szCs w:val="30"/>
        </w:rPr>
      </w:pPr>
      <w:r>
        <w:rPr>
          <w:rFonts w:hint="eastAsia"/>
          <w:sz w:val="30"/>
          <w:szCs w:val="30"/>
        </w:rPr>
        <w:t>However, is it really true that there is “no necessity” to interpret either word spiritually in order to introduce meaning into the passage?</w:t>
      </w:r>
    </w:p>
    <w:p w14:paraId="0F6EB1FD">
      <w:pPr>
        <w:pStyle w:val="9"/>
        <w:spacing w:before="11"/>
        <w:ind w:left="0"/>
        <w:jc w:val="left"/>
        <w:rPr>
          <w:rFonts w:hint="eastAsia"/>
          <w:sz w:val="30"/>
          <w:szCs w:val="30"/>
        </w:rPr>
      </w:pPr>
      <w:r>
        <w:rPr>
          <w:rFonts w:hint="eastAsia"/>
          <w:sz w:val="30"/>
          <w:szCs w:val="30"/>
        </w:rPr>
        <w:t>然而，为了给这段经文引入意义而不需要对任何一个词作属灵的解释，这真的正确吗？</w:t>
      </w:r>
    </w:p>
    <w:p w14:paraId="58E3C044">
      <w:pPr>
        <w:pStyle w:val="9"/>
        <w:spacing w:before="11"/>
        <w:ind w:left="0"/>
        <w:jc w:val="left"/>
        <w:rPr>
          <w:rFonts w:hint="eastAsia"/>
          <w:sz w:val="30"/>
          <w:szCs w:val="30"/>
        </w:rPr>
      </w:pPr>
    </w:p>
    <w:p w14:paraId="63AA79E1">
      <w:pPr>
        <w:pStyle w:val="9"/>
        <w:spacing w:before="11"/>
        <w:ind w:left="0"/>
        <w:jc w:val="left"/>
        <w:rPr>
          <w:rFonts w:hint="eastAsia"/>
          <w:sz w:val="30"/>
          <w:szCs w:val="30"/>
        </w:rPr>
      </w:pPr>
      <w:r>
        <w:rPr>
          <w:rFonts w:hint="eastAsia"/>
          <w:sz w:val="30"/>
          <w:szCs w:val="30"/>
        </w:rPr>
        <w:t>Does not the text itself make an evident and potentially significant distinction between the two “comings to life”?</w:t>
      </w:r>
    </w:p>
    <w:p w14:paraId="3B9533C0">
      <w:pPr>
        <w:pStyle w:val="9"/>
        <w:spacing w:before="11"/>
        <w:ind w:left="0"/>
        <w:jc w:val="left"/>
        <w:rPr>
          <w:rFonts w:hint="eastAsia"/>
          <w:sz w:val="30"/>
          <w:szCs w:val="30"/>
        </w:rPr>
      </w:pPr>
      <w:r>
        <w:rPr>
          <w:rFonts w:hint="eastAsia"/>
          <w:sz w:val="30"/>
          <w:szCs w:val="30"/>
        </w:rPr>
        <w:t>经文本身难道没有对这两个“活过来”作出明显且可能重要的区分吗？</w:t>
      </w:r>
    </w:p>
    <w:p w14:paraId="06F7339F">
      <w:pPr>
        <w:pStyle w:val="9"/>
        <w:spacing w:before="11"/>
        <w:ind w:left="0"/>
        <w:jc w:val="left"/>
        <w:rPr>
          <w:rFonts w:hint="eastAsia"/>
          <w:sz w:val="30"/>
          <w:szCs w:val="30"/>
        </w:rPr>
      </w:pPr>
    </w:p>
    <w:p w14:paraId="5FBA6F42">
      <w:pPr>
        <w:pStyle w:val="9"/>
        <w:spacing w:before="11"/>
        <w:ind w:left="0"/>
        <w:jc w:val="left"/>
        <w:rPr>
          <w:rFonts w:hint="eastAsia"/>
          <w:sz w:val="30"/>
          <w:szCs w:val="30"/>
        </w:rPr>
      </w:pPr>
      <w:r>
        <w:rPr>
          <w:rFonts w:hint="eastAsia"/>
          <w:sz w:val="30"/>
          <w:szCs w:val="30"/>
        </w:rPr>
        <w:t>Indeed it does.</w:t>
      </w:r>
    </w:p>
    <w:p w14:paraId="2D5C51EB">
      <w:pPr>
        <w:pStyle w:val="9"/>
        <w:spacing w:before="11"/>
        <w:ind w:left="0"/>
        <w:jc w:val="left"/>
        <w:rPr>
          <w:rFonts w:hint="eastAsia"/>
          <w:sz w:val="30"/>
          <w:szCs w:val="30"/>
        </w:rPr>
      </w:pPr>
      <w:r>
        <w:rPr>
          <w:rFonts w:hint="eastAsia"/>
          <w:sz w:val="30"/>
          <w:szCs w:val="30"/>
        </w:rPr>
        <w:t>确实如此。</w:t>
      </w:r>
    </w:p>
    <w:p w14:paraId="437E0365">
      <w:pPr>
        <w:pStyle w:val="9"/>
        <w:spacing w:before="11"/>
        <w:ind w:left="0"/>
        <w:jc w:val="left"/>
        <w:rPr>
          <w:rFonts w:hint="eastAsia"/>
          <w:sz w:val="30"/>
          <w:szCs w:val="30"/>
        </w:rPr>
      </w:pPr>
    </w:p>
    <w:p w14:paraId="4B376894">
      <w:pPr>
        <w:pStyle w:val="9"/>
        <w:spacing w:before="11"/>
        <w:ind w:left="0"/>
        <w:jc w:val="left"/>
        <w:rPr>
          <w:rFonts w:hint="eastAsia"/>
          <w:sz w:val="30"/>
          <w:szCs w:val="30"/>
        </w:rPr>
      </w:pPr>
      <w:r>
        <w:rPr>
          <w:rFonts w:hint="eastAsia"/>
          <w:sz w:val="30"/>
          <w:szCs w:val="30"/>
        </w:rPr>
        <w:t>The first coming to life, which is also the first resurrection, occurs prior to the second coming to life, which is a second resurrection.</w:t>
      </w:r>
    </w:p>
    <w:p w14:paraId="5484C0E9">
      <w:pPr>
        <w:pStyle w:val="9"/>
        <w:spacing w:before="11"/>
        <w:ind w:left="0"/>
        <w:jc w:val="left"/>
        <w:rPr>
          <w:rFonts w:hint="eastAsia"/>
          <w:sz w:val="30"/>
          <w:szCs w:val="30"/>
        </w:rPr>
      </w:pPr>
      <w:r>
        <w:rPr>
          <w:rFonts w:hint="eastAsia"/>
          <w:sz w:val="30"/>
          <w:szCs w:val="30"/>
        </w:rPr>
        <w:t>第一次的活过来，也就是第一次的复活，发生在第二次的活过来之前，也就是第二次的复活。</w:t>
      </w:r>
    </w:p>
    <w:p w14:paraId="3DA7993C">
      <w:pPr>
        <w:pStyle w:val="9"/>
        <w:spacing w:before="11"/>
        <w:ind w:left="0"/>
        <w:jc w:val="left"/>
        <w:rPr>
          <w:rFonts w:hint="eastAsia"/>
          <w:sz w:val="30"/>
          <w:szCs w:val="30"/>
        </w:rPr>
      </w:pPr>
    </w:p>
    <w:p w14:paraId="073EC931">
      <w:pPr>
        <w:pStyle w:val="9"/>
        <w:spacing w:before="11"/>
        <w:ind w:left="0"/>
        <w:jc w:val="left"/>
        <w:rPr>
          <w:rFonts w:hint="eastAsia"/>
          <w:sz w:val="30"/>
          <w:szCs w:val="30"/>
        </w:rPr>
      </w:pPr>
      <w:r>
        <w:rPr>
          <w:rFonts w:hint="eastAsia"/>
          <w:sz w:val="30"/>
          <w:szCs w:val="30"/>
        </w:rPr>
        <w:t>Surely, then, we ought not to let the fact that the Spirit (no doubt quite intentionally) used the same Greek word to describe the two “comings to life” blind us to an equally important fact: These are two different “comings to life,” which may well differ not only in timing, but also in nature.</w:t>
      </w:r>
    </w:p>
    <w:p w14:paraId="78CAA3ED">
      <w:pPr>
        <w:pStyle w:val="9"/>
        <w:spacing w:before="11"/>
        <w:ind w:left="0"/>
        <w:jc w:val="left"/>
        <w:rPr>
          <w:rFonts w:hint="eastAsia"/>
          <w:sz w:val="30"/>
          <w:szCs w:val="30"/>
        </w:rPr>
      </w:pPr>
      <w:r>
        <w:rPr>
          <w:rFonts w:hint="eastAsia"/>
          <w:sz w:val="30"/>
          <w:szCs w:val="30"/>
        </w:rPr>
        <w:t>那么，我们当然不应该让圣灵（无疑是相当有意地）用同一个希腊词来描述这两个“活过来”这一事实，蒙蔽我们去看到一个同样重要的事实：这是两个不同的“活过来”，它们不仅在时间上，而且在性质上也可能有所不同。</w:t>
      </w:r>
    </w:p>
    <w:p w14:paraId="33F53FEF">
      <w:pPr>
        <w:pStyle w:val="9"/>
        <w:spacing w:before="11"/>
        <w:ind w:left="0"/>
        <w:jc w:val="left"/>
        <w:rPr>
          <w:rFonts w:hint="eastAsia"/>
          <w:sz w:val="30"/>
          <w:szCs w:val="30"/>
        </w:rPr>
      </w:pPr>
    </w:p>
    <w:p w14:paraId="02A5B3AF">
      <w:pPr>
        <w:pStyle w:val="9"/>
        <w:spacing w:before="11"/>
        <w:ind w:left="0"/>
        <w:jc w:val="left"/>
        <w:rPr>
          <w:rFonts w:hint="eastAsia"/>
          <w:sz w:val="30"/>
          <w:szCs w:val="30"/>
        </w:rPr>
      </w:pPr>
      <w:r>
        <w:rPr>
          <w:rFonts w:hint="eastAsia"/>
          <w:sz w:val="30"/>
          <w:szCs w:val="30"/>
        </w:rPr>
        <w:t>And as a matter of fact, both our text and the Revelation as a whole strongly indicate that they do differ, and that the first coming to life is indeed spiritual, while the second is bodily.</w:t>
      </w:r>
    </w:p>
    <w:p w14:paraId="522E6209">
      <w:pPr>
        <w:pStyle w:val="9"/>
        <w:spacing w:before="11"/>
        <w:ind w:left="0"/>
        <w:jc w:val="left"/>
        <w:rPr>
          <w:rFonts w:hint="eastAsia"/>
          <w:sz w:val="30"/>
          <w:szCs w:val="30"/>
        </w:rPr>
      </w:pPr>
      <w:r>
        <w:rPr>
          <w:rFonts w:hint="eastAsia"/>
          <w:sz w:val="30"/>
          <w:szCs w:val="30"/>
        </w:rPr>
        <w:t>事实上，我们的经文和整本《启示录》都强烈表明它们确实不同，第一次的活过来确实是属灵的，而第二次是身体的。</w:t>
      </w:r>
    </w:p>
    <w:p w14:paraId="6CDF091A">
      <w:pPr>
        <w:pStyle w:val="9"/>
        <w:spacing w:before="11"/>
        <w:ind w:left="0"/>
        <w:jc w:val="left"/>
        <w:rPr>
          <w:rFonts w:hint="eastAsia"/>
          <w:sz w:val="30"/>
          <w:szCs w:val="30"/>
        </w:rPr>
      </w:pPr>
    </w:p>
    <w:p w14:paraId="2093B993">
      <w:pPr>
        <w:pStyle w:val="9"/>
        <w:spacing w:before="11"/>
        <w:ind w:left="0"/>
        <w:jc w:val="left"/>
        <w:rPr>
          <w:rFonts w:hint="eastAsia"/>
          <w:sz w:val="30"/>
          <w:szCs w:val="30"/>
        </w:rPr>
      </w:pPr>
      <w:r>
        <w:rPr>
          <w:rFonts w:hint="eastAsia"/>
          <w:sz w:val="30"/>
          <w:szCs w:val="30"/>
        </w:rPr>
        <w:t>Consider first the logic of verse 4.</w:t>
      </w:r>
    </w:p>
    <w:p w14:paraId="00239696">
      <w:pPr>
        <w:pStyle w:val="9"/>
        <w:spacing w:before="11"/>
        <w:ind w:left="0"/>
        <w:jc w:val="left"/>
        <w:rPr>
          <w:rFonts w:hint="eastAsia"/>
          <w:sz w:val="30"/>
          <w:szCs w:val="30"/>
        </w:rPr>
      </w:pPr>
      <w:r>
        <w:rPr>
          <w:rFonts w:hint="eastAsia"/>
          <w:sz w:val="30"/>
          <w:szCs w:val="30"/>
        </w:rPr>
        <w:t>首先思考第4节的逻辑。</w:t>
      </w:r>
    </w:p>
    <w:p w14:paraId="0BF99E6B">
      <w:pPr>
        <w:pStyle w:val="9"/>
        <w:spacing w:before="11"/>
        <w:ind w:left="0"/>
        <w:jc w:val="left"/>
        <w:rPr>
          <w:rFonts w:hint="eastAsia"/>
          <w:sz w:val="30"/>
          <w:szCs w:val="30"/>
        </w:rPr>
      </w:pPr>
    </w:p>
    <w:p w14:paraId="54BDAB8E">
      <w:pPr>
        <w:pStyle w:val="9"/>
        <w:spacing w:before="11"/>
        <w:ind w:left="0"/>
        <w:jc w:val="left"/>
        <w:rPr>
          <w:rFonts w:hint="eastAsia"/>
          <w:sz w:val="30"/>
          <w:szCs w:val="30"/>
        </w:rPr>
      </w:pPr>
      <w:r>
        <w:rPr>
          <w:rFonts w:hint="eastAsia"/>
          <w:sz w:val="30"/>
          <w:szCs w:val="30"/>
        </w:rPr>
        <w:t>John sees thrones and “they” who sit upon them.</w:t>
      </w:r>
    </w:p>
    <w:p w14:paraId="08D99734">
      <w:pPr>
        <w:pStyle w:val="9"/>
        <w:spacing w:before="11"/>
        <w:ind w:left="0"/>
        <w:jc w:val="left"/>
        <w:rPr>
          <w:rFonts w:hint="eastAsia"/>
          <w:sz w:val="30"/>
          <w:szCs w:val="30"/>
        </w:rPr>
      </w:pPr>
      <w:r>
        <w:rPr>
          <w:rFonts w:hint="eastAsia"/>
          <w:sz w:val="30"/>
          <w:szCs w:val="30"/>
        </w:rPr>
        <w:t>约翰看见宝座和坐在上面的人。</w:t>
      </w:r>
    </w:p>
    <w:p w14:paraId="11D7A282">
      <w:pPr>
        <w:pStyle w:val="9"/>
        <w:spacing w:before="11"/>
        <w:ind w:left="0"/>
        <w:jc w:val="left"/>
        <w:rPr>
          <w:rFonts w:hint="eastAsia"/>
          <w:sz w:val="30"/>
          <w:szCs w:val="30"/>
        </w:rPr>
      </w:pPr>
    </w:p>
    <w:p w14:paraId="30D0EFDF">
      <w:pPr>
        <w:pStyle w:val="9"/>
        <w:spacing w:before="11"/>
        <w:ind w:left="0"/>
        <w:jc w:val="left"/>
        <w:rPr>
          <w:rFonts w:hint="eastAsia"/>
          <w:sz w:val="30"/>
          <w:szCs w:val="30"/>
        </w:rPr>
      </w:pPr>
      <w:r>
        <w:rPr>
          <w:rFonts w:hint="eastAsia"/>
          <w:sz w:val="30"/>
          <w:szCs w:val="30"/>
        </w:rPr>
        <w:t>Who are “they,” and how is it that they are sitting upon these thrones?</w:t>
      </w:r>
    </w:p>
    <w:p w14:paraId="56FD3107">
      <w:pPr>
        <w:pStyle w:val="9"/>
        <w:spacing w:before="11"/>
        <w:ind w:left="0"/>
        <w:jc w:val="left"/>
        <w:rPr>
          <w:rFonts w:hint="eastAsia"/>
          <w:sz w:val="30"/>
          <w:szCs w:val="30"/>
        </w:rPr>
      </w:pPr>
      <w:r>
        <w:rPr>
          <w:rFonts w:hint="eastAsia"/>
          <w:sz w:val="30"/>
          <w:szCs w:val="30"/>
        </w:rPr>
        <w:t>他们是谁，他们又是如何坐在这些宝座上的？</w:t>
      </w:r>
    </w:p>
    <w:p w14:paraId="7A5D8A64">
      <w:pPr>
        <w:pStyle w:val="9"/>
        <w:spacing w:before="11"/>
        <w:ind w:left="0"/>
        <w:jc w:val="left"/>
        <w:rPr>
          <w:rFonts w:hint="eastAsia"/>
          <w:sz w:val="30"/>
          <w:szCs w:val="30"/>
        </w:rPr>
      </w:pPr>
    </w:p>
    <w:p w14:paraId="642CEF0B">
      <w:pPr>
        <w:pStyle w:val="9"/>
        <w:spacing w:before="11"/>
        <w:ind w:left="0"/>
        <w:jc w:val="left"/>
        <w:rPr>
          <w:rFonts w:hint="eastAsia"/>
          <w:sz w:val="30"/>
          <w:szCs w:val="30"/>
        </w:rPr>
      </w:pPr>
      <w:r>
        <w:rPr>
          <w:rFonts w:hint="eastAsia"/>
          <w:sz w:val="30"/>
          <w:szCs w:val="30"/>
        </w:rPr>
        <w:t>In the sentence that follows, the Spirit answers: They are the souls of the martyrs, and of all who remained faithful against every temptation of the Dragon and his helpers.</w:t>
      </w:r>
    </w:p>
    <w:p w14:paraId="2DB13F90">
      <w:pPr>
        <w:pStyle w:val="9"/>
        <w:spacing w:before="11"/>
        <w:ind w:left="0"/>
        <w:jc w:val="left"/>
        <w:rPr>
          <w:rFonts w:hint="eastAsia"/>
          <w:sz w:val="30"/>
          <w:szCs w:val="30"/>
        </w:rPr>
      </w:pPr>
      <w:r>
        <w:rPr>
          <w:rFonts w:hint="eastAsia"/>
          <w:sz w:val="30"/>
          <w:szCs w:val="30"/>
        </w:rPr>
        <w:t>在接下来的句子中，圣灵回答说：他们是殉道者的灵魂，以及所有在龙及其助手的一切试探面前保持忠心之人的灵魂。</w:t>
      </w:r>
    </w:p>
    <w:p w14:paraId="6D45ADD6">
      <w:pPr>
        <w:pStyle w:val="9"/>
        <w:spacing w:before="11"/>
        <w:ind w:left="0"/>
        <w:jc w:val="left"/>
        <w:rPr>
          <w:rFonts w:hint="eastAsia"/>
          <w:sz w:val="30"/>
          <w:szCs w:val="30"/>
        </w:rPr>
      </w:pPr>
    </w:p>
    <w:p w14:paraId="615A4946">
      <w:pPr>
        <w:pStyle w:val="9"/>
        <w:spacing w:before="11"/>
        <w:ind w:left="0"/>
        <w:jc w:val="left"/>
        <w:rPr>
          <w:rFonts w:hint="eastAsia"/>
          <w:sz w:val="30"/>
          <w:szCs w:val="30"/>
        </w:rPr>
      </w:pPr>
      <w:r>
        <w:rPr>
          <w:rFonts w:hint="eastAsia"/>
          <w:sz w:val="30"/>
          <w:szCs w:val="30"/>
        </w:rPr>
        <w:t>Therefore, at the moment of death, they “came to life.”</w:t>
      </w:r>
    </w:p>
    <w:p w14:paraId="2EFB80C3">
      <w:pPr>
        <w:pStyle w:val="9"/>
        <w:spacing w:before="11"/>
        <w:ind w:left="0"/>
        <w:jc w:val="left"/>
        <w:rPr>
          <w:rFonts w:hint="eastAsia"/>
          <w:sz w:val="30"/>
          <w:szCs w:val="30"/>
        </w:rPr>
      </w:pPr>
      <w:r>
        <w:rPr>
          <w:rFonts w:hint="eastAsia"/>
          <w:sz w:val="30"/>
          <w:szCs w:val="30"/>
        </w:rPr>
        <w:t>因此，在死亡的那一刻，他们“活了过来”。</w:t>
      </w:r>
    </w:p>
    <w:p w14:paraId="7E4F783B">
      <w:pPr>
        <w:pStyle w:val="9"/>
        <w:spacing w:before="11"/>
        <w:ind w:left="0"/>
        <w:jc w:val="left"/>
        <w:rPr>
          <w:rFonts w:hint="eastAsia"/>
          <w:sz w:val="30"/>
          <w:szCs w:val="30"/>
        </w:rPr>
      </w:pPr>
    </w:p>
    <w:p w14:paraId="64A690F0">
      <w:pPr>
        <w:pStyle w:val="9"/>
        <w:spacing w:before="11"/>
        <w:ind w:left="0"/>
        <w:jc w:val="left"/>
        <w:rPr>
          <w:rFonts w:hint="eastAsia"/>
          <w:sz w:val="30"/>
          <w:szCs w:val="30"/>
        </w:rPr>
      </w:pPr>
      <w:r>
        <w:rPr>
          <w:rFonts w:hint="eastAsia"/>
          <w:sz w:val="30"/>
          <w:szCs w:val="30"/>
        </w:rPr>
        <w:t>That is, they entered heaven as disembodied souls, sat down upon thrones, and began living and reigning with Christ throughout (the remainder of) his thousand-year reign.</w:t>
      </w:r>
    </w:p>
    <w:p w14:paraId="7746C68B">
      <w:pPr>
        <w:pStyle w:val="9"/>
        <w:spacing w:before="11"/>
        <w:ind w:left="0"/>
        <w:jc w:val="left"/>
        <w:rPr>
          <w:rFonts w:hint="eastAsia"/>
          <w:sz w:val="30"/>
          <w:szCs w:val="30"/>
        </w:rPr>
      </w:pPr>
      <w:r>
        <w:rPr>
          <w:rFonts w:hint="eastAsia"/>
          <w:sz w:val="30"/>
          <w:szCs w:val="30"/>
        </w:rPr>
        <w:t>也就是说，他们作为脱离身体的灵魂进入天堂，坐在宝座上，并在祂（余下的）一千年统治期间开始与基督一同生活和作王。</w:t>
      </w:r>
    </w:p>
    <w:p w14:paraId="31D5BA15">
      <w:pPr>
        <w:pStyle w:val="9"/>
        <w:spacing w:before="11"/>
        <w:ind w:left="0"/>
        <w:jc w:val="left"/>
        <w:rPr>
          <w:rFonts w:hint="eastAsia"/>
          <w:sz w:val="30"/>
          <w:szCs w:val="30"/>
        </w:rPr>
      </w:pPr>
    </w:p>
    <w:p w14:paraId="0D6531E5">
      <w:pPr>
        <w:pStyle w:val="9"/>
        <w:spacing w:before="11"/>
        <w:ind w:left="0"/>
        <w:jc w:val="left"/>
        <w:rPr>
          <w:rFonts w:hint="eastAsia"/>
          <w:sz w:val="30"/>
          <w:szCs w:val="30"/>
        </w:rPr>
      </w:pPr>
      <w:r>
        <w:rPr>
          <w:rFonts w:hint="eastAsia"/>
          <w:sz w:val="30"/>
          <w:szCs w:val="30"/>
        </w:rPr>
        <w:t>While this may not be the only possible exegesis of verse 4, it is at least as “natural” and ‘inductive” as Ladd’s.</w:t>
      </w:r>
    </w:p>
    <w:p w14:paraId="4A7D1F4A">
      <w:pPr>
        <w:pStyle w:val="9"/>
        <w:spacing w:before="11"/>
        <w:ind w:left="0"/>
        <w:jc w:val="left"/>
        <w:rPr>
          <w:rFonts w:hint="eastAsia"/>
          <w:sz w:val="30"/>
          <w:szCs w:val="30"/>
        </w:rPr>
      </w:pPr>
      <w:r>
        <w:rPr>
          <w:rFonts w:hint="eastAsia"/>
          <w:sz w:val="30"/>
          <w:szCs w:val="30"/>
        </w:rPr>
        <w:t>虽然这可能不是第4节唯一可能的解经，但它至少和赖德的解经一样“自然”和“归纳”。</w:t>
      </w:r>
    </w:p>
    <w:p w14:paraId="1C98C6F5">
      <w:pPr>
        <w:pStyle w:val="9"/>
        <w:spacing w:before="11"/>
        <w:ind w:left="0"/>
        <w:jc w:val="left"/>
        <w:rPr>
          <w:rFonts w:hint="eastAsia"/>
          <w:sz w:val="30"/>
          <w:szCs w:val="30"/>
        </w:rPr>
      </w:pPr>
    </w:p>
    <w:p w14:paraId="235D7050">
      <w:pPr>
        <w:pStyle w:val="9"/>
        <w:spacing w:before="11"/>
        <w:ind w:left="0"/>
        <w:jc w:val="left"/>
        <w:rPr>
          <w:rFonts w:hint="eastAsia"/>
          <w:sz w:val="30"/>
          <w:szCs w:val="30"/>
        </w:rPr>
      </w:pPr>
      <w:r>
        <w:rPr>
          <w:rFonts w:hint="eastAsia"/>
          <w:sz w:val="30"/>
          <w:szCs w:val="30"/>
        </w:rPr>
        <w:t>Moreover, verse 5 supports this interpretation.</w:t>
      </w:r>
    </w:p>
    <w:p w14:paraId="6C90FB79">
      <w:pPr>
        <w:pStyle w:val="9"/>
        <w:spacing w:before="11"/>
        <w:ind w:left="0"/>
        <w:jc w:val="left"/>
        <w:rPr>
          <w:rFonts w:hint="eastAsia"/>
          <w:sz w:val="30"/>
          <w:szCs w:val="30"/>
        </w:rPr>
      </w:pPr>
      <w:r>
        <w:rPr>
          <w:rFonts w:hint="eastAsia"/>
          <w:sz w:val="30"/>
          <w:szCs w:val="30"/>
        </w:rPr>
        <w:t>此外，第5节支持这一解释。</w:t>
      </w:r>
    </w:p>
    <w:p w14:paraId="297A589F">
      <w:pPr>
        <w:pStyle w:val="9"/>
        <w:spacing w:before="11"/>
        <w:ind w:left="0"/>
        <w:jc w:val="left"/>
        <w:rPr>
          <w:rFonts w:hint="eastAsia"/>
          <w:sz w:val="30"/>
          <w:szCs w:val="30"/>
        </w:rPr>
      </w:pPr>
    </w:p>
    <w:p w14:paraId="5D22D4E8">
      <w:pPr>
        <w:pStyle w:val="9"/>
        <w:spacing w:before="11"/>
        <w:ind w:left="0"/>
        <w:jc w:val="left"/>
        <w:rPr>
          <w:rFonts w:hint="eastAsia"/>
          <w:sz w:val="30"/>
          <w:szCs w:val="30"/>
        </w:rPr>
      </w:pPr>
      <w:r>
        <w:rPr>
          <w:rFonts w:hint="eastAsia"/>
          <w:sz w:val="30"/>
          <w:szCs w:val="30"/>
        </w:rPr>
        <w:t>It speaks of “the rest of the dead;” of those whose souls are presently in Hades, but who, at the end of the thousand years, will “come to life” bodily, though only to experience a second death in the Lake of Fire (20:14).</w:t>
      </w:r>
    </w:p>
    <w:p w14:paraId="37E10708">
      <w:pPr>
        <w:pStyle w:val="9"/>
        <w:spacing w:before="11"/>
        <w:ind w:left="0"/>
        <w:jc w:val="left"/>
        <w:rPr>
          <w:rFonts w:hint="eastAsia"/>
          <w:sz w:val="30"/>
          <w:szCs w:val="30"/>
        </w:rPr>
      </w:pPr>
      <w:r>
        <w:rPr>
          <w:rFonts w:hint="eastAsia"/>
          <w:sz w:val="30"/>
          <w:szCs w:val="30"/>
        </w:rPr>
        <w:t>它讲的是“其余的死人”；他们的灵魂现在在阴间，但在一千年结束时，将身体“活过来”，却只是为了在火湖中经历第二次的死（20:14）。</w:t>
      </w:r>
    </w:p>
    <w:p w14:paraId="47E2828D">
      <w:pPr>
        <w:pStyle w:val="9"/>
        <w:spacing w:before="11"/>
        <w:ind w:left="0"/>
        <w:jc w:val="left"/>
        <w:rPr>
          <w:rFonts w:hint="eastAsia"/>
          <w:sz w:val="30"/>
          <w:szCs w:val="30"/>
        </w:rPr>
      </w:pPr>
    </w:p>
    <w:p w14:paraId="28987723">
      <w:pPr>
        <w:pStyle w:val="9"/>
        <w:spacing w:before="11"/>
        <w:ind w:left="0"/>
        <w:jc w:val="left"/>
        <w:rPr>
          <w:rFonts w:hint="eastAsia"/>
          <w:sz w:val="30"/>
          <w:szCs w:val="30"/>
        </w:rPr>
      </w:pPr>
      <w:r>
        <w:rPr>
          <w:rFonts w:hint="eastAsia"/>
          <w:sz w:val="30"/>
          <w:szCs w:val="30"/>
        </w:rPr>
        <w:t>This implies that the souls whom John sees in verse 4 are also among “the dead,” but the dead who presently live in heaven with Christ till the end of the age.</w:t>
      </w:r>
    </w:p>
    <w:p w14:paraId="756FC446">
      <w:pPr>
        <w:pStyle w:val="9"/>
        <w:spacing w:before="11"/>
        <w:ind w:left="0"/>
        <w:jc w:val="left"/>
        <w:rPr>
          <w:rFonts w:hint="eastAsia"/>
          <w:sz w:val="30"/>
          <w:szCs w:val="30"/>
        </w:rPr>
      </w:pPr>
      <w:r>
        <w:rPr>
          <w:rFonts w:hint="eastAsia"/>
          <w:sz w:val="30"/>
          <w:szCs w:val="30"/>
        </w:rPr>
        <w:t>这暗示约翰在第4节看到的灵魂也在“死人”之中，但他们是那些现在与基督一同活在天上，直到世代末了的死人。</w:t>
      </w:r>
    </w:p>
    <w:p w14:paraId="5ACD8500">
      <w:pPr>
        <w:pStyle w:val="9"/>
        <w:spacing w:before="11"/>
        <w:ind w:left="0"/>
        <w:jc w:val="left"/>
        <w:rPr>
          <w:rFonts w:hint="eastAsia"/>
          <w:sz w:val="30"/>
          <w:szCs w:val="30"/>
        </w:rPr>
      </w:pPr>
    </w:p>
    <w:p w14:paraId="0ADC3DE4">
      <w:pPr>
        <w:pStyle w:val="9"/>
        <w:spacing w:before="11"/>
        <w:ind w:left="0"/>
        <w:jc w:val="left"/>
        <w:rPr>
          <w:rFonts w:hint="eastAsia"/>
          <w:sz w:val="30"/>
          <w:szCs w:val="30"/>
        </w:rPr>
      </w:pPr>
      <w:r>
        <w:rPr>
          <w:rFonts w:hint="eastAsia"/>
          <w:sz w:val="30"/>
          <w:szCs w:val="30"/>
        </w:rPr>
        <w:t>Importantly, it appears from the overall teaching of the NT that these souls actually “come to life” three separate times: Once at the new birth (Eph. 2:4-5, 1 Peter 1:3), once at the moment of death when they enter heaven (Rev. 20:4), and once at the bodily resurrection, when Christ returns to usher them into the World to Come (Rev. 20:12, 14).</w:t>
      </w:r>
    </w:p>
    <w:p w14:paraId="2EBC44B0">
      <w:pPr>
        <w:pStyle w:val="9"/>
        <w:spacing w:before="11"/>
        <w:ind w:left="0"/>
        <w:jc w:val="left"/>
        <w:rPr>
          <w:rFonts w:hint="eastAsia"/>
          <w:sz w:val="30"/>
          <w:szCs w:val="30"/>
        </w:rPr>
      </w:pPr>
      <w:r>
        <w:rPr>
          <w:rFonts w:hint="eastAsia"/>
          <w:sz w:val="30"/>
          <w:szCs w:val="30"/>
        </w:rPr>
        <w:t>重要的是，从新约的整体教导来看，这些灵魂实际上“活过来”三次：一次是在重生时（弗2:4-5，彼前1:3），一次是在死亡的那一刻进入天堂时（启20:4），还有一次是在身体复活时，当基督再来引导他们进入将来的世界时（启20:12, 14）。</w:t>
      </w:r>
    </w:p>
    <w:p w14:paraId="0354B3EF">
      <w:pPr>
        <w:pStyle w:val="9"/>
        <w:spacing w:before="11"/>
        <w:ind w:left="0"/>
        <w:jc w:val="left"/>
        <w:rPr>
          <w:rFonts w:hint="eastAsia"/>
          <w:sz w:val="30"/>
          <w:szCs w:val="30"/>
        </w:rPr>
      </w:pPr>
    </w:p>
    <w:p w14:paraId="246AEAC6">
      <w:pPr>
        <w:pStyle w:val="9"/>
        <w:spacing w:before="11"/>
        <w:ind w:left="0"/>
        <w:jc w:val="left"/>
        <w:rPr>
          <w:rFonts w:hint="eastAsia"/>
          <w:sz w:val="30"/>
          <w:szCs w:val="30"/>
        </w:rPr>
      </w:pPr>
      <w:r>
        <w:rPr>
          <w:rFonts w:hint="eastAsia"/>
          <w:sz w:val="30"/>
          <w:szCs w:val="30"/>
        </w:rPr>
        <w:t>More on this in a moment.</w:t>
      </w:r>
    </w:p>
    <w:p w14:paraId="6475001D">
      <w:pPr>
        <w:pStyle w:val="9"/>
        <w:spacing w:before="11"/>
        <w:ind w:left="0"/>
        <w:jc w:val="left"/>
        <w:rPr>
          <w:rFonts w:hint="eastAsia"/>
          <w:sz w:val="30"/>
          <w:szCs w:val="30"/>
        </w:rPr>
      </w:pPr>
      <w:r>
        <w:rPr>
          <w:rFonts w:hint="eastAsia"/>
          <w:sz w:val="30"/>
          <w:szCs w:val="30"/>
        </w:rPr>
        <w:t>稍后详述。</w:t>
      </w:r>
    </w:p>
    <w:p w14:paraId="6429D83B">
      <w:pPr>
        <w:pStyle w:val="9"/>
        <w:spacing w:before="11"/>
        <w:ind w:left="0"/>
        <w:jc w:val="left"/>
        <w:rPr>
          <w:rFonts w:hint="eastAsia"/>
          <w:sz w:val="30"/>
          <w:szCs w:val="30"/>
        </w:rPr>
      </w:pPr>
    </w:p>
    <w:p w14:paraId="0BE5D99D">
      <w:pPr>
        <w:pStyle w:val="9"/>
        <w:spacing w:before="11"/>
        <w:ind w:left="0"/>
        <w:jc w:val="left"/>
        <w:rPr>
          <w:rFonts w:hint="eastAsia"/>
          <w:sz w:val="30"/>
          <w:szCs w:val="30"/>
        </w:rPr>
      </w:pPr>
      <w:r>
        <w:rPr>
          <w:rFonts w:hint="eastAsia"/>
          <w:sz w:val="30"/>
          <w:szCs w:val="30"/>
        </w:rPr>
        <w:t>Further confirmation for our view is found in verse 6.</w:t>
      </w:r>
    </w:p>
    <w:p w14:paraId="7F315404">
      <w:pPr>
        <w:pStyle w:val="9"/>
        <w:spacing w:before="11"/>
        <w:ind w:left="0"/>
        <w:jc w:val="left"/>
        <w:rPr>
          <w:rFonts w:hint="eastAsia"/>
          <w:sz w:val="30"/>
          <w:szCs w:val="30"/>
        </w:rPr>
      </w:pPr>
      <w:r>
        <w:rPr>
          <w:rFonts w:hint="eastAsia"/>
          <w:sz w:val="30"/>
          <w:szCs w:val="30"/>
        </w:rPr>
        <w:t>对我们观点的进一步证实可以在第6节找到。</w:t>
      </w:r>
    </w:p>
    <w:p w14:paraId="1792E7A8">
      <w:pPr>
        <w:pStyle w:val="9"/>
        <w:spacing w:before="11"/>
        <w:ind w:left="0"/>
        <w:jc w:val="left"/>
        <w:rPr>
          <w:rFonts w:hint="eastAsia"/>
          <w:sz w:val="30"/>
          <w:szCs w:val="30"/>
        </w:rPr>
      </w:pPr>
    </w:p>
    <w:p w14:paraId="2FD4ABBF">
      <w:pPr>
        <w:pStyle w:val="9"/>
        <w:spacing w:before="11"/>
        <w:ind w:left="0"/>
        <w:jc w:val="left"/>
        <w:rPr>
          <w:rFonts w:hint="eastAsia"/>
          <w:sz w:val="30"/>
          <w:szCs w:val="30"/>
        </w:rPr>
      </w:pPr>
      <w:r>
        <w:rPr>
          <w:rFonts w:hint="eastAsia"/>
          <w:sz w:val="30"/>
          <w:szCs w:val="30"/>
        </w:rPr>
        <w:t>John writes, “Blessed and holy is the one who has a part in the first resurrection; over these the second death has no authority.“</w:t>
      </w:r>
    </w:p>
    <w:p w14:paraId="26D80A68">
      <w:pPr>
        <w:pStyle w:val="9"/>
        <w:spacing w:before="11"/>
        <w:ind w:left="0"/>
        <w:jc w:val="left"/>
        <w:rPr>
          <w:rFonts w:hint="eastAsia"/>
          <w:sz w:val="30"/>
          <w:szCs w:val="30"/>
        </w:rPr>
      </w:pPr>
      <w:r>
        <w:rPr>
          <w:rFonts w:hint="eastAsia"/>
          <w:sz w:val="30"/>
          <w:szCs w:val="30"/>
        </w:rPr>
        <w:t>约翰写道：“在头一次复活有分的有福了，圣洁了！第二次的死在他们身上没有权柄。”</w:t>
      </w:r>
    </w:p>
    <w:p w14:paraId="763AEDEC">
      <w:pPr>
        <w:pStyle w:val="9"/>
        <w:spacing w:before="11"/>
        <w:ind w:left="0"/>
        <w:jc w:val="left"/>
        <w:rPr>
          <w:rFonts w:hint="eastAsia"/>
          <w:sz w:val="30"/>
          <w:szCs w:val="30"/>
        </w:rPr>
      </w:pPr>
    </w:p>
    <w:p w14:paraId="2DD5BE37">
      <w:pPr>
        <w:pStyle w:val="9"/>
        <w:spacing w:before="11"/>
        <w:ind w:left="0"/>
        <w:jc w:val="left"/>
        <w:rPr>
          <w:rFonts w:hint="eastAsia"/>
          <w:sz w:val="30"/>
          <w:szCs w:val="30"/>
        </w:rPr>
      </w:pPr>
      <w:r>
        <w:rPr>
          <w:rFonts w:hint="eastAsia"/>
          <w:sz w:val="30"/>
          <w:szCs w:val="30"/>
        </w:rPr>
        <w:t>Why are the saints who attain the first resurrection blessed?</w:t>
      </w:r>
    </w:p>
    <w:p w14:paraId="25E80565">
      <w:pPr>
        <w:pStyle w:val="9"/>
        <w:spacing w:before="11"/>
        <w:ind w:left="0"/>
        <w:jc w:val="left"/>
        <w:rPr>
          <w:rFonts w:hint="eastAsia"/>
          <w:sz w:val="30"/>
          <w:szCs w:val="30"/>
        </w:rPr>
      </w:pPr>
      <w:r>
        <w:rPr>
          <w:rFonts w:hint="eastAsia"/>
          <w:sz w:val="30"/>
          <w:szCs w:val="30"/>
        </w:rPr>
        <w:t>为何得着头一次复活的圣徒是有福的？</w:t>
      </w:r>
    </w:p>
    <w:p w14:paraId="00B5E195">
      <w:pPr>
        <w:pStyle w:val="9"/>
        <w:spacing w:before="11"/>
        <w:ind w:left="0"/>
        <w:jc w:val="left"/>
        <w:rPr>
          <w:rFonts w:hint="eastAsia"/>
          <w:sz w:val="30"/>
          <w:szCs w:val="30"/>
        </w:rPr>
      </w:pPr>
    </w:p>
    <w:p w14:paraId="00512418">
      <w:pPr>
        <w:pStyle w:val="9"/>
        <w:spacing w:before="11"/>
        <w:ind w:left="0"/>
        <w:jc w:val="left"/>
        <w:rPr>
          <w:rFonts w:hint="eastAsia"/>
          <w:sz w:val="30"/>
          <w:szCs w:val="30"/>
        </w:rPr>
      </w:pPr>
      <w:r>
        <w:rPr>
          <w:rFonts w:hint="eastAsia"/>
          <w:sz w:val="30"/>
          <w:szCs w:val="30"/>
        </w:rPr>
        <w:t>Because, having entered heaven at the moment of death, they are henceforth delivered from every temptation of the Dragon’s helpers, made perfectly holy in spirit, and therefore rendered eternally secure in their salvation.</w:t>
      </w:r>
    </w:p>
    <w:p w14:paraId="251791EA">
      <w:pPr>
        <w:pStyle w:val="9"/>
        <w:spacing w:before="11"/>
        <w:ind w:left="0"/>
        <w:jc w:val="left"/>
        <w:rPr>
          <w:rFonts w:hint="eastAsia"/>
          <w:sz w:val="30"/>
          <w:szCs w:val="30"/>
        </w:rPr>
      </w:pPr>
      <w:r>
        <w:rPr>
          <w:rFonts w:hint="eastAsia"/>
          <w:sz w:val="30"/>
          <w:szCs w:val="30"/>
        </w:rPr>
        <w:t>因为，在死亡的那一刻进入天堂后，他们从此就脱离了龙的助手的一切试探，在灵里成为完全圣洁，因此他们的救恩就永远稳固了。</w:t>
      </w:r>
    </w:p>
    <w:p w14:paraId="7920C50F">
      <w:pPr>
        <w:pStyle w:val="9"/>
        <w:spacing w:before="11"/>
        <w:ind w:left="0"/>
        <w:jc w:val="left"/>
        <w:rPr>
          <w:rFonts w:hint="eastAsia"/>
          <w:sz w:val="30"/>
          <w:szCs w:val="30"/>
        </w:rPr>
      </w:pPr>
    </w:p>
    <w:p w14:paraId="79772C38">
      <w:pPr>
        <w:pStyle w:val="9"/>
        <w:spacing w:before="11"/>
        <w:ind w:left="0"/>
        <w:jc w:val="left"/>
        <w:rPr>
          <w:rFonts w:hint="eastAsia"/>
          <w:sz w:val="30"/>
          <w:szCs w:val="30"/>
        </w:rPr>
      </w:pPr>
      <w:r>
        <w:rPr>
          <w:rFonts w:hint="eastAsia"/>
          <w:sz w:val="30"/>
          <w:szCs w:val="30"/>
        </w:rPr>
        <w:t>They can now rest in complete assurance that the second death has no authority or power over them whatsoever, and never will.</w:t>
      </w:r>
    </w:p>
    <w:p w14:paraId="5CFE5A2A">
      <w:pPr>
        <w:pStyle w:val="9"/>
        <w:spacing w:before="11"/>
        <w:ind w:left="0"/>
        <w:jc w:val="left"/>
        <w:rPr>
          <w:rFonts w:hint="eastAsia"/>
          <w:sz w:val="30"/>
          <w:szCs w:val="30"/>
        </w:rPr>
      </w:pPr>
      <w:r>
        <w:rPr>
          <w:rFonts w:hint="eastAsia"/>
          <w:sz w:val="30"/>
          <w:szCs w:val="30"/>
        </w:rPr>
        <w:t>他们现在可以完全安息，确信第二次的死在他们身上毫无权柄或能力，永远也不会有。</w:t>
      </w:r>
    </w:p>
    <w:p w14:paraId="69C811A0">
      <w:pPr>
        <w:pStyle w:val="9"/>
        <w:spacing w:before="11"/>
        <w:ind w:left="0"/>
        <w:jc w:val="left"/>
        <w:rPr>
          <w:rFonts w:hint="eastAsia"/>
          <w:sz w:val="30"/>
          <w:szCs w:val="30"/>
        </w:rPr>
      </w:pPr>
    </w:p>
    <w:p w14:paraId="179E2E58">
      <w:pPr>
        <w:pStyle w:val="9"/>
        <w:spacing w:before="11"/>
        <w:ind w:left="0"/>
        <w:jc w:val="left"/>
        <w:rPr>
          <w:rFonts w:hint="eastAsia"/>
          <w:sz w:val="30"/>
          <w:szCs w:val="30"/>
        </w:rPr>
      </w:pPr>
      <w:r>
        <w:rPr>
          <w:rFonts w:hint="eastAsia"/>
          <w:sz w:val="30"/>
          <w:szCs w:val="30"/>
        </w:rPr>
        <w:t>All of this harmonizes perfectly with the prophetic nature of the book.</w:t>
      </w:r>
    </w:p>
    <w:p w14:paraId="1A73941A">
      <w:pPr>
        <w:pStyle w:val="9"/>
        <w:spacing w:before="11"/>
        <w:ind w:left="0"/>
        <w:jc w:val="left"/>
        <w:rPr>
          <w:rFonts w:hint="eastAsia"/>
          <w:sz w:val="30"/>
          <w:szCs w:val="30"/>
        </w:rPr>
      </w:pPr>
      <w:r>
        <w:rPr>
          <w:rFonts w:hint="eastAsia"/>
          <w:sz w:val="30"/>
          <w:szCs w:val="30"/>
        </w:rPr>
        <w:t>所有这一切都与本书的预言性质完全协调。</w:t>
      </w:r>
    </w:p>
    <w:p w14:paraId="7900D6D7">
      <w:pPr>
        <w:pStyle w:val="9"/>
        <w:spacing w:before="11"/>
        <w:ind w:left="0"/>
        <w:jc w:val="left"/>
        <w:rPr>
          <w:rFonts w:hint="eastAsia"/>
          <w:sz w:val="30"/>
          <w:szCs w:val="30"/>
        </w:rPr>
      </w:pPr>
    </w:p>
    <w:p w14:paraId="1DA538E9">
      <w:pPr>
        <w:pStyle w:val="9"/>
        <w:spacing w:before="11"/>
        <w:ind w:left="0"/>
        <w:jc w:val="left"/>
        <w:rPr>
          <w:rFonts w:hint="eastAsia"/>
          <w:sz w:val="30"/>
          <w:szCs w:val="30"/>
        </w:rPr>
      </w:pPr>
      <w:r>
        <w:rPr>
          <w:rFonts w:hint="eastAsia"/>
          <w:sz w:val="30"/>
          <w:szCs w:val="30"/>
        </w:rPr>
        <w:t>Why has the glorified Christ given his people the Revelation?</w:t>
      </w:r>
    </w:p>
    <w:p w14:paraId="35869328">
      <w:pPr>
        <w:pStyle w:val="9"/>
        <w:spacing w:before="11"/>
        <w:ind w:left="0"/>
        <w:jc w:val="left"/>
        <w:rPr>
          <w:rFonts w:hint="eastAsia"/>
          <w:sz w:val="30"/>
          <w:szCs w:val="30"/>
        </w:rPr>
      </w:pPr>
      <w:r>
        <w:rPr>
          <w:rFonts w:hint="eastAsia"/>
          <w:sz w:val="30"/>
          <w:szCs w:val="30"/>
        </w:rPr>
        <w:t>为何得荣耀的基督要将《启示录》赐给祂的子民？</w:t>
      </w:r>
    </w:p>
    <w:p w14:paraId="69DE8FD2">
      <w:pPr>
        <w:pStyle w:val="9"/>
        <w:spacing w:before="11"/>
        <w:ind w:left="0"/>
        <w:jc w:val="left"/>
        <w:rPr>
          <w:rFonts w:hint="eastAsia"/>
          <w:sz w:val="30"/>
          <w:szCs w:val="30"/>
        </w:rPr>
      </w:pPr>
    </w:p>
    <w:p w14:paraId="00C275EE">
      <w:pPr>
        <w:pStyle w:val="9"/>
        <w:spacing w:before="11"/>
        <w:ind w:left="0"/>
        <w:jc w:val="left"/>
        <w:rPr>
          <w:rFonts w:hint="eastAsia"/>
          <w:sz w:val="30"/>
          <w:szCs w:val="30"/>
        </w:rPr>
      </w:pPr>
      <w:r>
        <w:rPr>
          <w:rFonts w:hint="eastAsia"/>
          <w:sz w:val="30"/>
          <w:szCs w:val="30"/>
        </w:rPr>
        <w:t>He has given it so that they will remain faithful until death; so that they will be able to enter God’s consummated Kingdom (2:10).</w:t>
      </w:r>
    </w:p>
    <w:p w14:paraId="1F0A2F4E">
      <w:pPr>
        <w:pStyle w:val="9"/>
        <w:spacing w:before="11"/>
        <w:ind w:left="0"/>
        <w:jc w:val="left"/>
        <w:rPr>
          <w:rFonts w:hint="eastAsia"/>
          <w:sz w:val="30"/>
          <w:szCs w:val="30"/>
        </w:rPr>
      </w:pPr>
      <w:r>
        <w:rPr>
          <w:rFonts w:hint="eastAsia"/>
          <w:sz w:val="30"/>
          <w:szCs w:val="30"/>
        </w:rPr>
        <w:t>祂赐下它，为要使他们至死忠心；为要使他们能进入上帝成全的国度（2:10）。</w:t>
      </w:r>
    </w:p>
    <w:p w14:paraId="225DAF86">
      <w:pPr>
        <w:pStyle w:val="9"/>
        <w:spacing w:before="11"/>
        <w:ind w:left="0"/>
        <w:jc w:val="left"/>
        <w:rPr>
          <w:rFonts w:hint="eastAsia"/>
          <w:sz w:val="30"/>
          <w:szCs w:val="30"/>
        </w:rPr>
      </w:pPr>
    </w:p>
    <w:p w14:paraId="625DD243">
      <w:pPr>
        <w:pStyle w:val="9"/>
        <w:spacing w:before="11"/>
        <w:ind w:left="0"/>
        <w:jc w:val="left"/>
        <w:rPr>
          <w:rFonts w:hint="eastAsia"/>
          <w:sz w:val="30"/>
          <w:szCs w:val="30"/>
        </w:rPr>
      </w:pPr>
      <w:r>
        <w:rPr>
          <w:rFonts w:hint="eastAsia"/>
          <w:sz w:val="30"/>
          <w:szCs w:val="30"/>
        </w:rPr>
        <w:t>Therefore, he instructs, warns, and promises.</w:t>
      </w:r>
    </w:p>
    <w:p w14:paraId="3DF33312">
      <w:pPr>
        <w:pStyle w:val="9"/>
        <w:spacing w:before="11"/>
        <w:ind w:left="0"/>
        <w:jc w:val="left"/>
        <w:rPr>
          <w:rFonts w:hint="eastAsia"/>
          <w:sz w:val="30"/>
          <w:szCs w:val="30"/>
        </w:rPr>
      </w:pPr>
      <w:r>
        <w:rPr>
          <w:rFonts w:hint="eastAsia"/>
          <w:sz w:val="30"/>
          <w:szCs w:val="30"/>
        </w:rPr>
        <w:t>因此，祂教导、警告并应许。</w:t>
      </w:r>
    </w:p>
    <w:p w14:paraId="6636BFD1">
      <w:pPr>
        <w:pStyle w:val="9"/>
        <w:spacing w:before="11"/>
        <w:ind w:left="0"/>
        <w:jc w:val="left"/>
        <w:rPr>
          <w:rFonts w:hint="eastAsia"/>
          <w:sz w:val="30"/>
          <w:szCs w:val="30"/>
        </w:rPr>
      </w:pPr>
    </w:p>
    <w:p w14:paraId="377EE16A">
      <w:pPr>
        <w:pStyle w:val="9"/>
        <w:spacing w:before="11"/>
        <w:ind w:left="0"/>
        <w:jc w:val="left"/>
        <w:rPr>
          <w:rFonts w:hint="eastAsia"/>
          <w:sz w:val="30"/>
          <w:szCs w:val="30"/>
        </w:rPr>
      </w:pPr>
      <w:r>
        <w:rPr>
          <w:rFonts w:hint="eastAsia"/>
          <w:sz w:val="30"/>
          <w:szCs w:val="30"/>
        </w:rPr>
        <w:t>And here in 20:4-6, he does that very thing, warning them one final time against succumbing to the Beast and his image, but also promising heaven to all the faithful who die before the Parousia.</w:t>
      </w:r>
    </w:p>
    <w:p w14:paraId="3A07B96F">
      <w:pPr>
        <w:pStyle w:val="9"/>
        <w:spacing w:before="11"/>
        <w:ind w:left="0"/>
        <w:jc w:val="left"/>
        <w:rPr>
          <w:rFonts w:hint="eastAsia"/>
          <w:sz w:val="30"/>
          <w:szCs w:val="30"/>
        </w:rPr>
      </w:pPr>
      <w:r>
        <w:rPr>
          <w:rFonts w:hint="eastAsia"/>
          <w:sz w:val="30"/>
          <w:szCs w:val="30"/>
        </w:rPr>
        <w:t>在20:4-6这里，祂正是这样做的，最后一次警告他们不要屈服于兽和他的像，但也应许所有在主临（Parousia）前去世的忠心信徒得进天堂。</w:t>
      </w:r>
    </w:p>
    <w:p w14:paraId="64EEE0BC">
      <w:pPr>
        <w:pStyle w:val="9"/>
        <w:spacing w:before="11"/>
        <w:ind w:left="0"/>
        <w:jc w:val="left"/>
        <w:rPr>
          <w:rFonts w:hint="eastAsia"/>
          <w:sz w:val="30"/>
          <w:szCs w:val="30"/>
        </w:rPr>
      </w:pPr>
    </w:p>
    <w:p w14:paraId="4A5E42A8">
      <w:pPr>
        <w:pStyle w:val="9"/>
        <w:spacing w:before="11"/>
        <w:ind w:left="0"/>
        <w:jc w:val="left"/>
        <w:rPr>
          <w:rFonts w:hint="eastAsia"/>
          <w:sz w:val="30"/>
          <w:szCs w:val="30"/>
        </w:rPr>
      </w:pPr>
      <w:r>
        <w:rPr>
          <w:rFonts w:hint="eastAsia"/>
          <w:sz w:val="30"/>
          <w:szCs w:val="30"/>
        </w:rPr>
        <w:t>“If you persevere until the end,” says the heavenly Prophet to his pilgrim Church, “you will ‘come to life’ and attain ‘the first resurrection.’</w:t>
      </w:r>
    </w:p>
    <w:p w14:paraId="0E2D4B30">
      <w:pPr>
        <w:pStyle w:val="9"/>
        <w:spacing w:before="11"/>
        <w:ind w:left="0"/>
        <w:jc w:val="left"/>
        <w:rPr>
          <w:rFonts w:hint="eastAsia"/>
          <w:sz w:val="30"/>
          <w:szCs w:val="30"/>
        </w:rPr>
      </w:pPr>
      <w:r>
        <w:rPr>
          <w:rFonts w:hint="eastAsia"/>
          <w:sz w:val="30"/>
          <w:szCs w:val="30"/>
        </w:rPr>
        <w:t>“你们若坚忍到底，”天上的先知对祂的朝圣教会说，“你们就必‘活过来’，得着‘头一次的复活’。”</w:t>
      </w:r>
    </w:p>
    <w:p w14:paraId="1F3BF413">
      <w:pPr>
        <w:pStyle w:val="9"/>
        <w:spacing w:before="11"/>
        <w:ind w:left="0"/>
        <w:jc w:val="left"/>
        <w:rPr>
          <w:rFonts w:hint="eastAsia"/>
          <w:sz w:val="30"/>
          <w:szCs w:val="30"/>
        </w:rPr>
      </w:pPr>
    </w:p>
    <w:p w14:paraId="5D3D4E19">
      <w:pPr>
        <w:pStyle w:val="9"/>
        <w:spacing w:before="11"/>
        <w:ind w:left="0"/>
        <w:jc w:val="left"/>
        <w:rPr>
          <w:rFonts w:hint="eastAsia"/>
          <w:sz w:val="30"/>
          <w:szCs w:val="30"/>
        </w:rPr>
      </w:pPr>
      <w:r>
        <w:rPr>
          <w:rFonts w:hint="eastAsia"/>
          <w:sz w:val="30"/>
          <w:szCs w:val="30"/>
        </w:rPr>
        <w:t>In other words, at the moment of your death, your spirits will rise into heaven, where you will live with me, seated on thrones, fully secure from the second death, and eagerly awaiting the resurrection of your bodies at the end of the ‘thousand years’—at the end of my heavenly reign—when I come again.</w:t>
      </w:r>
    </w:p>
    <w:p w14:paraId="2BD706B4">
      <w:pPr>
        <w:pStyle w:val="9"/>
        <w:spacing w:before="11"/>
        <w:ind w:left="0"/>
        <w:jc w:val="left"/>
        <w:rPr>
          <w:rFonts w:hint="eastAsia"/>
          <w:sz w:val="30"/>
          <w:szCs w:val="30"/>
        </w:rPr>
      </w:pPr>
      <w:r>
        <w:rPr>
          <w:rFonts w:hint="eastAsia"/>
          <w:sz w:val="30"/>
          <w:szCs w:val="30"/>
        </w:rPr>
        <w:t>换句话说，在你们死的时刻，你们的灵将升入天堂，在那里你们将与我同活，坐在宝座上，完全免于第二次的死，并热切地等候在‘一千年’的末了——在我属天统治的末了——当我再来时你们身体的复活。</w:t>
      </w:r>
    </w:p>
    <w:p w14:paraId="160CA035">
      <w:pPr>
        <w:pStyle w:val="9"/>
        <w:spacing w:before="11"/>
        <w:ind w:left="0"/>
        <w:jc w:val="left"/>
        <w:rPr>
          <w:rFonts w:hint="eastAsia"/>
          <w:sz w:val="30"/>
          <w:szCs w:val="30"/>
        </w:rPr>
      </w:pPr>
    </w:p>
    <w:p w14:paraId="395F13DB">
      <w:pPr>
        <w:pStyle w:val="9"/>
        <w:spacing w:before="11"/>
        <w:ind w:left="0"/>
        <w:jc w:val="left"/>
        <w:rPr>
          <w:rFonts w:hint="eastAsia"/>
          <w:sz w:val="30"/>
          <w:szCs w:val="30"/>
        </w:rPr>
      </w:pPr>
      <w:r>
        <w:rPr>
          <w:rFonts w:hint="eastAsia"/>
          <w:sz w:val="30"/>
          <w:szCs w:val="30"/>
        </w:rPr>
        <w:t>Therefore, see to it that you persevere.”</w:t>
      </w:r>
    </w:p>
    <w:p w14:paraId="424F0DD6">
      <w:pPr>
        <w:pStyle w:val="9"/>
        <w:spacing w:before="11"/>
        <w:ind w:left="0"/>
        <w:jc w:val="left"/>
        <w:rPr>
          <w:rFonts w:hint="eastAsia"/>
          <w:sz w:val="30"/>
          <w:szCs w:val="30"/>
        </w:rPr>
      </w:pPr>
      <w:r>
        <w:rPr>
          <w:rFonts w:hint="eastAsia"/>
          <w:sz w:val="30"/>
          <w:szCs w:val="30"/>
        </w:rPr>
        <w:t>因此，你们要务求坚忍。”</w:t>
      </w:r>
    </w:p>
    <w:p w14:paraId="78BF970C">
      <w:pPr>
        <w:pStyle w:val="9"/>
        <w:spacing w:before="11"/>
        <w:ind w:left="0"/>
        <w:jc w:val="left"/>
        <w:rPr>
          <w:rFonts w:hint="eastAsia"/>
          <w:sz w:val="30"/>
          <w:szCs w:val="30"/>
        </w:rPr>
      </w:pPr>
    </w:p>
    <w:p w14:paraId="5F5AE294">
      <w:pPr>
        <w:pStyle w:val="9"/>
        <w:spacing w:before="11"/>
        <w:ind w:left="0"/>
        <w:jc w:val="left"/>
        <w:rPr>
          <w:rFonts w:hint="eastAsia"/>
          <w:sz w:val="30"/>
          <w:szCs w:val="30"/>
        </w:rPr>
      </w:pPr>
      <w:r>
        <w:rPr>
          <w:rFonts w:hint="eastAsia"/>
          <w:sz w:val="30"/>
          <w:szCs w:val="30"/>
        </w:rPr>
        <w:t>This promise is not new.</w:t>
      </w:r>
    </w:p>
    <w:p w14:paraId="33CEDFAD">
      <w:pPr>
        <w:pStyle w:val="9"/>
        <w:spacing w:before="11"/>
        <w:ind w:left="0"/>
        <w:jc w:val="left"/>
        <w:rPr>
          <w:rFonts w:hint="eastAsia"/>
          <w:sz w:val="30"/>
          <w:szCs w:val="30"/>
        </w:rPr>
      </w:pPr>
      <w:r>
        <w:rPr>
          <w:rFonts w:hint="eastAsia"/>
          <w:sz w:val="30"/>
          <w:szCs w:val="30"/>
        </w:rPr>
        <w:t>这个应许并非新的。</w:t>
      </w:r>
    </w:p>
    <w:p w14:paraId="6EC886EE">
      <w:pPr>
        <w:pStyle w:val="9"/>
        <w:spacing w:before="11"/>
        <w:ind w:left="0"/>
        <w:jc w:val="left"/>
        <w:rPr>
          <w:rFonts w:hint="eastAsia"/>
          <w:sz w:val="30"/>
          <w:szCs w:val="30"/>
        </w:rPr>
      </w:pPr>
    </w:p>
    <w:p w14:paraId="3FBDF286">
      <w:pPr>
        <w:pStyle w:val="9"/>
        <w:spacing w:before="11"/>
        <w:ind w:left="0"/>
        <w:jc w:val="left"/>
        <w:rPr>
          <w:rFonts w:hint="eastAsia"/>
          <w:sz w:val="30"/>
          <w:szCs w:val="30"/>
        </w:rPr>
      </w:pPr>
      <w:r>
        <w:rPr>
          <w:rFonts w:hint="eastAsia"/>
          <w:sz w:val="30"/>
          <w:szCs w:val="30"/>
        </w:rPr>
        <w:t>Why did Christ earlier show us the souls of the martyrs beneath the altar of heaven (6:9-11)?</w:t>
      </w:r>
    </w:p>
    <w:p w14:paraId="23F0DA80">
      <w:pPr>
        <w:pStyle w:val="9"/>
        <w:spacing w:before="11"/>
        <w:ind w:left="0"/>
        <w:jc w:val="left"/>
        <w:rPr>
          <w:rFonts w:hint="eastAsia"/>
          <w:sz w:val="30"/>
          <w:szCs w:val="30"/>
        </w:rPr>
      </w:pPr>
      <w:r>
        <w:rPr>
          <w:rFonts w:hint="eastAsia"/>
          <w:sz w:val="30"/>
          <w:szCs w:val="30"/>
        </w:rPr>
        <w:t>为何基督早先向我们显明天堂祭坛底下殉道者的灵魂（6:9-11）？</w:t>
      </w:r>
    </w:p>
    <w:p w14:paraId="31C8C632">
      <w:pPr>
        <w:pStyle w:val="9"/>
        <w:spacing w:before="11"/>
        <w:ind w:left="0"/>
        <w:jc w:val="left"/>
        <w:rPr>
          <w:rFonts w:hint="eastAsia"/>
          <w:sz w:val="30"/>
          <w:szCs w:val="30"/>
        </w:rPr>
      </w:pPr>
    </w:p>
    <w:p w14:paraId="69785A16">
      <w:pPr>
        <w:pStyle w:val="9"/>
        <w:spacing w:before="11"/>
        <w:ind w:left="0"/>
        <w:jc w:val="left"/>
        <w:rPr>
          <w:rFonts w:hint="eastAsia"/>
          <w:sz w:val="30"/>
          <w:szCs w:val="30"/>
        </w:rPr>
      </w:pPr>
      <w:r>
        <w:rPr>
          <w:rFonts w:hint="eastAsia"/>
          <w:sz w:val="30"/>
          <w:szCs w:val="30"/>
        </w:rPr>
        <w:t>Because they were faithful until death, and therefore “came to life” (6:9-11).</w:t>
      </w:r>
    </w:p>
    <w:p w14:paraId="55DE49F9">
      <w:pPr>
        <w:pStyle w:val="9"/>
        <w:spacing w:before="11"/>
        <w:ind w:left="0"/>
        <w:jc w:val="left"/>
        <w:rPr>
          <w:rFonts w:hint="eastAsia"/>
          <w:sz w:val="30"/>
          <w:szCs w:val="30"/>
        </w:rPr>
      </w:pPr>
      <w:r>
        <w:rPr>
          <w:rFonts w:hint="eastAsia"/>
          <w:sz w:val="30"/>
          <w:szCs w:val="30"/>
        </w:rPr>
        <w:t>因为他们至死忠心，因此“活了过来”（6:9-11）。</w:t>
      </w:r>
    </w:p>
    <w:p w14:paraId="3191D3C9">
      <w:pPr>
        <w:pStyle w:val="9"/>
        <w:spacing w:before="11"/>
        <w:ind w:left="0"/>
        <w:jc w:val="left"/>
        <w:rPr>
          <w:rFonts w:hint="eastAsia"/>
          <w:sz w:val="30"/>
          <w:szCs w:val="30"/>
        </w:rPr>
      </w:pPr>
    </w:p>
    <w:p w14:paraId="653B490A">
      <w:pPr>
        <w:pStyle w:val="9"/>
        <w:spacing w:before="11"/>
        <w:ind w:left="0"/>
        <w:jc w:val="left"/>
        <w:rPr>
          <w:rFonts w:hint="eastAsia"/>
          <w:sz w:val="30"/>
          <w:szCs w:val="30"/>
        </w:rPr>
      </w:pPr>
      <w:r>
        <w:rPr>
          <w:rFonts w:hint="eastAsia"/>
          <w:sz w:val="30"/>
          <w:szCs w:val="30"/>
        </w:rPr>
        <w:t>And why did he say that from now on the saints who die in the Lord are blessed (14:13)?</w:t>
      </w:r>
    </w:p>
    <w:p w14:paraId="7460B5F8">
      <w:pPr>
        <w:pStyle w:val="9"/>
        <w:spacing w:before="11"/>
        <w:ind w:left="0"/>
        <w:jc w:val="left"/>
        <w:rPr>
          <w:rFonts w:hint="eastAsia"/>
          <w:sz w:val="30"/>
          <w:szCs w:val="30"/>
        </w:rPr>
      </w:pPr>
      <w:r>
        <w:rPr>
          <w:rFonts w:hint="eastAsia"/>
          <w:sz w:val="30"/>
          <w:szCs w:val="30"/>
        </w:rPr>
        <w:t>为何祂说从今以后在主里而死的圣徒是有福的（14:13）？</w:t>
      </w:r>
    </w:p>
    <w:p w14:paraId="24F89F46">
      <w:pPr>
        <w:pStyle w:val="9"/>
        <w:spacing w:before="11"/>
        <w:ind w:left="0"/>
        <w:jc w:val="left"/>
        <w:rPr>
          <w:rFonts w:hint="eastAsia"/>
          <w:sz w:val="30"/>
          <w:szCs w:val="30"/>
        </w:rPr>
      </w:pPr>
    </w:p>
    <w:p w14:paraId="40969A65">
      <w:pPr>
        <w:pStyle w:val="9"/>
        <w:spacing w:before="11"/>
        <w:ind w:left="0"/>
        <w:jc w:val="left"/>
        <w:rPr>
          <w:rFonts w:hint="eastAsia"/>
          <w:sz w:val="30"/>
          <w:szCs w:val="30"/>
        </w:rPr>
      </w:pPr>
      <w:r>
        <w:rPr>
          <w:rFonts w:hint="eastAsia"/>
          <w:sz w:val="30"/>
          <w:szCs w:val="30"/>
        </w:rPr>
        <w:t>Because if indeed they die in the Lord, their souls will attain “the first resurrection.”</w:t>
      </w:r>
    </w:p>
    <w:p w14:paraId="1F891038">
      <w:pPr>
        <w:pStyle w:val="9"/>
        <w:spacing w:before="11"/>
        <w:ind w:left="0"/>
        <w:jc w:val="left"/>
        <w:rPr>
          <w:rFonts w:hint="eastAsia"/>
          <w:sz w:val="30"/>
          <w:szCs w:val="30"/>
        </w:rPr>
      </w:pPr>
      <w:r>
        <w:rPr>
          <w:rFonts w:hint="eastAsia"/>
          <w:sz w:val="30"/>
          <w:szCs w:val="30"/>
        </w:rPr>
        <w:t>因为如果他们确实在主里死，他们的灵魂将得着“头一次的复活”。</w:t>
      </w:r>
    </w:p>
    <w:p w14:paraId="005CE2DB">
      <w:pPr>
        <w:pStyle w:val="9"/>
        <w:spacing w:before="11"/>
        <w:ind w:left="0"/>
        <w:jc w:val="left"/>
        <w:rPr>
          <w:rFonts w:hint="eastAsia"/>
          <w:sz w:val="30"/>
          <w:szCs w:val="30"/>
        </w:rPr>
      </w:pPr>
    </w:p>
    <w:p w14:paraId="37204915">
      <w:pPr>
        <w:pStyle w:val="9"/>
        <w:spacing w:before="11"/>
        <w:ind w:left="0"/>
        <w:jc w:val="left"/>
        <w:rPr>
          <w:rFonts w:hint="eastAsia"/>
          <w:sz w:val="30"/>
          <w:szCs w:val="30"/>
        </w:rPr>
      </w:pPr>
      <w:r>
        <w:rPr>
          <w:rFonts w:hint="eastAsia"/>
          <w:sz w:val="30"/>
          <w:szCs w:val="30"/>
        </w:rPr>
        <w:t>But here in 20:4-6, for those with eyes to see it, he gives us what is arguably the richest biblical picture (and promise) of the blessedness of the saints in the Intermediate State.</w:t>
      </w:r>
    </w:p>
    <w:p w14:paraId="67CAC7AA">
      <w:pPr>
        <w:pStyle w:val="9"/>
        <w:spacing w:before="11"/>
        <w:ind w:left="0"/>
        <w:jc w:val="left"/>
        <w:rPr>
          <w:rFonts w:hint="eastAsia"/>
          <w:sz w:val="30"/>
          <w:szCs w:val="30"/>
        </w:rPr>
      </w:pPr>
      <w:r>
        <w:rPr>
          <w:rFonts w:hint="eastAsia"/>
          <w:sz w:val="30"/>
          <w:szCs w:val="30"/>
        </w:rPr>
        <w:t>但在这里，在20:4-6，对于有眼能看的人，祂给了我们可以说是圣经中关于圣徒在中间状态福乐的最丰富的图画（和应许）。</w:t>
      </w:r>
    </w:p>
    <w:p w14:paraId="10AB0910">
      <w:pPr>
        <w:pStyle w:val="9"/>
        <w:spacing w:before="11"/>
        <w:ind w:left="0"/>
        <w:jc w:val="left"/>
        <w:rPr>
          <w:rFonts w:hint="eastAsia"/>
          <w:sz w:val="30"/>
          <w:szCs w:val="30"/>
        </w:rPr>
      </w:pPr>
    </w:p>
    <w:p w14:paraId="3D3D552E">
      <w:pPr>
        <w:pStyle w:val="9"/>
        <w:spacing w:before="11"/>
        <w:ind w:left="0"/>
        <w:jc w:val="left"/>
        <w:rPr>
          <w:rFonts w:hint="eastAsia"/>
          <w:sz w:val="30"/>
          <w:szCs w:val="30"/>
        </w:rPr>
      </w:pPr>
      <w:r>
        <w:rPr>
          <w:rFonts w:hint="eastAsia"/>
          <w:sz w:val="30"/>
          <w:szCs w:val="30"/>
        </w:rPr>
        <w:t>As ever, he does so because he loves his people, and because he wants them to attain that blessedness.</w:t>
      </w:r>
    </w:p>
    <w:p w14:paraId="67403BA6">
      <w:pPr>
        <w:pStyle w:val="9"/>
        <w:spacing w:before="11"/>
        <w:ind w:left="0"/>
        <w:jc w:val="left"/>
        <w:rPr>
          <w:rFonts w:hint="eastAsia"/>
          <w:sz w:val="30"/>
          <w:szCs w:val="30"/>
        </w:rPr>
      </w:pPr>
      <w:r>
        <w:rPr>
          <w:rFonts w:hint="eastAsia"/>
          <w:sz w:val="30"/>
          <w:szCs w:val="30"/>
        </w:rPr>
        <w:t>祂一如既往地这样做，因为祂爱祂的子民，并且祂希望他们得着那福乐。</w:t>
      </w:r>
    </w:p>
    <w:p w14:paraId="17FA27AF">
      <w:pPr>
        <w:pStyle w:val="9"/>
        <w:spacing w:before="11"/>
        <w:ind w:left="0"/>
        <w:jc w:val="left"/>
        <w:rPr>
          <w:rFonts w:hint="eastAsia"/>
          <w:sz w:val="30"/>
          <w:szCs w:val="30"/>
        </w:rPr>
      </w:pPr>
    </w:p>
    <w:p w14:paraId="0EDB72BD">
      <w:pPr>
        <w:pStyle w:val="9"/>
        <w:spacing w:before="11"/>
        <w:ind w:left="0"/>
        <w:jc w:val="left"/>
        <w:rPr>
          <w:rFonts w:hint="eastAsia"/>
          <w:sz w:val="30"/>
          <w:szCs w:val="30"/>
        </w:rPr>
      </w:pPr>
      <w:r>
        <w:rPr>
          <w:rFonts w:hint="eastAsia"/>
          <w:sz w:val="30"/>
          <w:szCs w:val="30"/>
        </w:rPr>
        <w:t>It remains, however, to ask, with Ladd, why the Spirit would use the same Greek word to describe two different kinds of coming to life, two different kinds of resurrection.</w:t>
      </w:r>
    </w:p>
    <w:p w14:paraId="584AB4BD">
      <w:pPr>
        <w:pStyle w:val="9"/>
        <w:spacing w:before="11"/>
        <w:ind w:left="0"/>
        <w:jc w:val="left"/>
        <w:rPr>
          <w:rFonts w:hint="eastAsia"/>
          <w:sz w:val="30"/>
          <w:szCs w:val="30"/>
        </w:rPr>
      </w:pPr>
      <w:r>
        <w:rPr>
          <w:rFonts w:hint="eastAsia"/>
          <w:sz w:val="30"/>
          <w:szCs w:val="30"/>
        </w:rPr>
        <w:t>然而，仍然要问，像赖德一样，为何圣灵会用同一个希腊词来描述两种不同种类的活过来，两种不同种类的复活。</w:t>
      </w:r>
    </w:p>
    <w:p w14:paraId="017FD2D2">
      <w:pPr>
        <w:pStyle w:val="9"/>
        <w:spacing w:before="11"/>
        <w:ind w:left="0"/>
        <w:jc w:val="left"/>
        <w:rPr>
          <w:rFonts w:hint="eastAsia"/>
          <w:sz w:val="30"/>
          <w:szCs w:val="30"/>
        </w:rPr>
      </w:pPr>
    </w:p>
    <w:p w14:paraId="15021E95">
      <w:pPr>
        <w:pStyle w:val="9"/>
        <w:spacing w:before="11"/>
        <w:ind w:left="0"/>
        <w:jc w:val="left"/>
        <w:rPr>
          <w:rFonts w:hint="eastAsia"/>
          <w:sz w:val="30"/>
          <w:szCs w:val="30"/>
        </w:rPr>
      </w:pPr>
      <w:r>
        <w:rPr>
          <w:rFonts w:hint="eastAsia"/>
          <w:sz w:val="30"/>
          <w:szCs w:val="30"/>
        </w:rPr>
        <w:t>In reply, I would suggest that the answer is found in the progress of biblical revelation concerning the Intermediate State, and also in the prophetic purpose of the Revelation.</w:t>
      </w:r>
    </w:p>
    <w:p w14:paraId="7ADE6DE1">
      <w:pPr>
        <w:pStyle w:val="9"/>
        <w:spacing w:before="11"/>
        <w:ind w:left="0"/>
        <w:jc w:val="left"/>
        <w:rPr>
          <w:rFonts w:hint="eastAsia"/>
          <w:sz w:val="30"/>
          <w:szCs w:val="30"/>
        </w:rPr>
      </w:pPr>
      <w:r>
        <w:rPr>
          <w:rFonts w:hint="eastAsia"/>
          <w:sz w:val="30"/>
          <w:szCs w:val="30"/>
        </w:rPr>
        <w:t>作为回答，我愿提出，答案可以在关于中间状态的圣经启示的进展中，以及在《启示录》的预言目的中找到。</w:t>
      </w:r>
    </w:p>
    <w:p w14:paraId="0417EAD7">
      <w:pPr>
        <w:pStyle w:val="9"/>
        <w:spacing w:before="11"/>
        <w:ind w:left="0"/>
        <w:jc w:val="left"/>
        <w:rPr>
          <w:rFonts w:hint="eastAsia"/>
          <w:sz w:val="30"/>
          <w:szCs w:val="30"/>
        </w:rPr>
      </w:pPr>
    </w:p>
    <w:p w14:paraId="6BE870A5">
      <w:pPr>
        <w:pStyle w:val="9"/>
        <w:spacing w:before="11"/>
        <w:ind w:left="0"/>
        <w:jc w:val="left"/>
        <w:rPr>
          <w:rFonts w:hint="eastAsia"/>
          <w:sz w:val="30"/>
          <w:szCs w:val="30"/>
        </w:rPr>
      </w:pPr>
      <w:r>
        <w:rPr>
          <w:rFonts w:hint="eastAsia"/>
          <w:sz w:val="30"/>
          <w:szCs w:val="30"/>
        </w:rPr>
        <w:t>Think back to the days of the early Church.</w:t>
      </w:r>
    </w:p>
    <w:p w14:paraId="28E15203">
      <w:pPr>
        <w:pStyle w:val="9"/>
        <w:spacing w:before="11"/>
        <w:ind w:left="0"/>
        <w:jc w:val="left"/>
        <w:rPr>
          <w:rFonts w:hint="eastAsia"/>
          <w:sz w:val="30"/>
          <w:szCs w:val="30"/>
        </w:rPr>
      </w:pPr>
      <w:r>
        <w:rPr>
          <w:rFonts w:hint="eastAsia"/>
          <w:sz w:val="30"/>
          <w:szCs w:val="30"/>
        </w:rPr>
        <w:t>回想早期教会的日子。</w:t>
      </w:r>
    </w:p>
    <w:p w14:paraId="780B22D3">
      <w:pPr>
        <w:pStyle w:val="9"/>
        <w:spacing w:before="11"/>
        <w:ind w:left="0"/>
        <w:jc w:val="left"/>
        <w:rPr>
          <w:rFonts w:hint="eastAsia"/>
          <w:sz w:val="30"/>
          <w:szCs w:val="30"/>
        </w:rPr>
      </w:pPr>
    </w:p>
    <w:p w14:paraId="4438A375">
      <w:pPr>
        <w:pStyle w:val="9"/>
        <w:spacing w:before="11"/>
        <w:ind w:left="0"/>
        <w:jc w:val="left"/>
        <w:rPr>
          <w:rFonts w:hint="eastAsia"/>
          <w:sz w:val="30"/>
          <w:szCs w:val="30"/>
        </w:rPr>
      </w:pPr>
      <w:r>
        <w:rPr>
          <w:rFonts w:hint="eastAsia"/>
          <w:sz w:val="30"/>
          <w:szCs w:val="30"/>
        </w:rPr>
        <w:t>Having been well taught by the apostles, most Christians would have understood that at the end of the age all (deceased) mankind will “come to life” in a single bodily resurrection (Luke 20:27-40, John 5:26-29, Acts 24:15, 21, 1 Cor. 15:50-58, 1 Thess. 4:13ff).</w:t>
      </w:r>
    </w:p>
    <w:p w14:paraId="5ACFADBF">
      <w:pPr>
        <w:pStyle w:val="9"/>
        <w:spacing w:before="11"/>
        <w:ind w:left="0"/>
        <w:jc w:val="left"/>
        <w:rPr>
          <w:rFonts w:hint="eastAsia"/>
          <w:sz w:val="30"/>
          <w:szCs w:val="30"/>
        </w:rPr>
      </w:pPr>
      <w:r>
        <w:rPr>
          <w:rFonts w:hint="eastAsia"/>
          <w:sz w:val="30"/>
          <w:szCs w:val="30"/>
        </w:rPr>
        <w:t>由于受到使徒们良好的教导，大多数基督徒都会明白，在世代的末了，所有（已故的）人类都将以一次身体的复活“活过来”（路加福音20:27-40，约翰福音5:26-29，使徒行传24:15, 21，哥林多前书15:50-58，帖撒罗尼迦前书4:13及以下）。</w:t>
      </w:r>
    </w:p>
    <w:p w14:paraId="7908AF80">
      <w:pPr>
        <w:pStyle w:val="9"/>
        <w:spacing w:before="11"/>
        <w:ind w:left="0"/>
        <w:jc w:val="left"/>
        <w:rPr>
          <w:rFonts w:hint="eastAsia"/>
          <w:sz w:val="30"/>
          <w:szCs w:val="30"/>
        </w:rPr>
      </w:pPr>
    </w:p>
    <w:p w14:paraId="7B9F544A">
      <w:pPr>
        <w:pStyle w:val="9"/>
        <w:spacing w:before="11"/>
        <w:ind w:left="0"/>
        <w:jc w:val="left"/>
        <w:rPr>
          <w:rFonts w:hint="eastAsia"/>
          <w:sz w:val="30"/>
          <w:szCs w:val="30"/>
        </w:rPr>
      </w:pPr>
      <w:r>
        <w:rPr>
          <w:rFonts w:hint="eastAsia"/>
          <w:sz w:val="30"/>
          <w:szCs w:val="30"/>
        </w:rPr>
        <w:t>However—as the NT itself makes clear—many were confused and uncertain about the condition of believers after death but prior to the resurrection (2 Cor. 5:1-10, 1 Thess. 4:13f).</w:t>
      </w:r>
    </w:p>
    <w:p w14:paraId="6CA84ABA">
      <w:pPr>
        <w:pStyle w:val="9"/>
        <w:spacing w:before="11"/>
        <w:ind w:left="0"/>
        <w:jc w:val="left"/>
        <w:rPr>
          <w:rFonts w:hint="eastAsia"/>
          <w:sz w:val="30"/>
          <w:szCs w:val="30"/>
        </w:rPr>
      </w:pPr>
      <w:r>
        <w:rPr>
          <w:rFonts w:hint="eastAsia"/>
          <w:sz w:val="30"/>
          <w:szCs w:val="30"/>
        </w:rPr>
        <w:t>然而——正如新约本身所清楚表明的——许多人对于信徒死后但在复活之前的状况感到困惑和不确定（林后5:1-10，帖前4:13及以下）。</w:t>
      </w:r>
    </w:p>
    <w:p w14:paraId="551F470A">
      <w:pPr>
        <w:pStyle w:val="9"/>
        <w:spacing w:before="11"/>
        <w:ind w:left="0"/>
        <w:jc w:val="left"/>
        <w:rPr>
          <w:rFonts w:hint="eastAsia"/>
          <w:sz w:val="30"/>
          <w:szCs w:val="30"/>
        </w:rPr>
      </w:pPr>
    </w:p>
    <w:p w14:paraId="21C198C5">
      <w:pPr>
        <w:pStyle w:val="9"/>
        <w:spacing w:before="11"/>
        <w:ind w:left="0"/>
        <w:jc w:val="left"/>
        <w:rPr>
          <w:rFonts w:hint="eastAsia"/>
          <w:sz w:val="30"/>
          <w:szCs w:val="30"/>
        </w:rPr>
      </w:pPr>
      <w:r>
        <w:rPr>
          <w:rFonts w:hint="eastAsia"/>
          <w:sz w:val="30"/>
          <w:szCs w:val="30"/>
        </w:rPr>
        <w:t>As we have seen, in their letters the apostles addressed this uncertainty more than once.</w:t>
      </w:r>
    </w:p>
    <w:p w14:paraId="2A9CA1D8">
      <w:pPr>
        <w:pStyle w:val="9"/>
        <w:spacing w:before="11"/>
        <w:ind w:left="0"/>
        <w:jc w:val="left"/>
        <w:rPr>
          <w:rFonts w:hint="eastAsia"/>
          <w:sz w:val="30"/>
          <w:szCs w:val="30"/>
        </w:rPr>
      </w:pPr>
      <w:r>
        <w:rPr>
          <w:rFonts w:hint="eastAsia"/>
          <w:sz w:val="30"/>
          <w:szCs w:val="30"/>
        </w:rPr>
        <w:t>正如我们所见，使徒们在他们的书信中不止一次地处理了这种不确定性。</w:t>
      </w:r>
    </w:p>
    <w:p w14:paraId="51B4AEF8">
      <w:pPr>
        <w:pStyle w:val="9"/>
        <w:spacing w:before="11"/>
        <w:ind w:left="0"/>
        <w:jc w:val="left"/>
        <w:rPr>
          <w:rFonts w:hint="eastAsia"/>
          <w:sz w:val="30"/>
          <w:szCs w:val="30"/>
        </w:rPr>
      </w:pPr>
    </w:p>
    <w:p w14:paraId="6687D3E6">
      <w:pPr>
        <w:pStyle w:val="9"/>
        <w:spacing w:before="11"/>
        <w:ind w:left="0"/>
        <w:jc w:val="left"/>
        <w:rPr>
          <w:rFonts w:hint="eastAsia"/>
          <w:sz w:val="30"/>
          <w:szCs w:val="30"/>
        </w:rPr>
      </w:pPr>
      <w:r>
        <w:rPr>
          <w:rFonts w:hint="eastAsia"/>
          <w:sz w:val="30"/>
          <w:szCs w:val="30"/>
        </w:rPr>
        <w:t>However, as the NT canon neared completion, it appears that the High Prophet of Heaven was pleased to do so one final time, and that quite fulsomely.</w:t>
      </w:r>
    </w:p>
    <w:p w14:paraId="4F2F0B17">
      <w:pPr>
        <w:pStyle w:val="9"/>
        <w:spacing w:before="11"/>
        <w:ind w:left="0"/>
        <w:jc w:val="left"/>
        <w:rPr>
          <w:rFonts w:hint="eastAsia"/>
          <w:sz w:val="30"/>
          <w:szCs w:val="30"/>
        </w:rPr>
      </w:pPr>
      <w:r>
        <w:rPr>
          <w:rFonts w:hint="eastAsia"/>
          <w:sz w:val="30"/>
          <w:szCs w:val="30"/>
        </w:rPr>
        <w:t>然而，随着新约正典接近完成，似乎天上的至高先知乐意最后一次，并且是相当详尽地这样做。</w:t>
      </w:r>
    </w:p>
    <w:p w14:paraId="4B02C9C7">
      <w:pPr>
        <w:pStyle w:val="9"/>
        <w:spacing w:before="11"/>
        <w:ind w:left="0"/>
        <w:jc w:val="left"/>
        <w:rPr>
          <w:rFonts w:hint="eastAsia"/>
          <w:sz w:val="30"/>
          <w:szCs w:val="30"/>
        </w:rPr>
      </w:pPr>
    </w:p>
    <w:p w14:paraId="48C41B0B">
      <w:pPr>
        <w:pStyle w:val="9"/>
        <w:spacing w:before="11"/>
        <w:ind w:left="0"/>
        <w:jc w:val="left"/>
        <w:rPr>
          <w:rFonts w:hint="eastAsia"/>
          <w:sz w:val="30"/>
          <w:szCs w:val="30"/>
        </w:rPr>
      </w:pPr>
      <w:r>
        <w:rPr>
          <w:rFonts w:hint="eastAsia"/>
          <w:sz w:val="30"/>
          <w:szCs w:val="30"/>
        </w:rPr>
        <w:t>Accordingly, here in Revelation 20 he offers a climactic word of instruction, exhortation, and encouragement on the theme of the Intermediate State.</w:t>
      </w:r>
    </w:p>
    <w:p w14:paraId="3BDE39B2">
      <w:pPr>
        <w:pStyle w:val="9"/>
        <w:spacing w:before="11"/>
        <w:ind w:left="0"/>
        <w:jc w:val="left"/>
        <w:rPr>
          <w:rFonts w:hint="eastAsia"/>
          <w:sz w:val="30"/>
          <w:szCs w:val="30"/>
        </w:rPr>
      </w:pPr>
      <w:r>
        <w:rPr>
          <w:rFonts w:hint="eastAsia"/>
          <w:sz w:val="30"/>
          <w:szCs w:val="30"/>
        </w:rPr>
        <w:t>因此，在《启示录》第20章这里，祂就中间状态的主题提供了一段高潮性的教导、劝勉和鼓励的话语。</w:t>
      </w:r>
    </w:p>
    <w:p w14:paraId="7D234F3D">
      <w:pPr>
        <w:pStyle w:val="9"/>
        <w:spacing w:before="11"/>
        <w:ind w:left="0"/>
        <w:jc w:val="left"/>
        <w:rPr>
          <w:rFonts w:hint="eastAsia"/>
          <w:sz w:val="30"/>
          <w:szCs w:val="30"/>
        </w:rPr>
      </w:pPr>
    </w:p>
    <w:p w14:paraId="445FE315">
      <w:pPr>
        <w:pStyle w:val="9"/>
        <w:spacing w:before="11"/>
        <w:ind w:left="0"/>
        <w:jc w:val="left"/>
        <w:rPr>
          <w:rFonts w:hint="eastAsia"/>
          <w:sz w:val="30"/>
          <w:szCs w:val="30"/>
        </w:rPr>
      </w:pPr>
      <w:r>
        <w:rPr>
          <w:rFonts w:hint="eastAsia"/>
          <w:sz w:val="30"/>
          <w:szCs w:val="30"/>
        </w:rPr>
        <w:t>I would paraphrase it this way: “Yes, in the general resurrection all people will come to life bodily.</w:t>
      </w:r>
    </w:p>
    <w:p w14:paraId="1FCCF5E6">
      <w:pPr>
        <w:pStyle w:val="9"/>
        <w:spacing w:before="11"/>
        <w:ind w:left="0"/>
        <w:jc w:val="left"/>
        <w:rPr>
          <w:rFonts w:hint="eastAsia"/>
          <w:sz w:val="30"/>
          <w:szCs w:val="30"/>
        </w:rPr>
      </w:pPr>
      <w:r>
        <w:rPr>
          <w:rFonts w:hint="eastAsia"/>
          <w:sz w:val="30"/>
          <w:szCs w:val="30"/>
        </w:rPr>
        <w:t>我愿如此意译：“是的，在普世的复活中，所有人都将身体活过来。”</w:t>
      </w:r>
    </w:p>
    <w:p w14:paraId="33DC184D">
      <w:pPr>
        <w:pStyle w:val="9"/>
        <w:spacing w:before="11"/>
        <w:ind w:left="0"/>
        <w:jc w:val="left"/>
        <w:rPr>
          <w:rFonts w:hint="eastAsia"/>
          <w:sz w:val="30"/>
          <w:szCs w:val="30"/>
        </w:rPr>
      </w:pPr>
    </w:p>
    <w:p w14:paraId="4EF28517">
      <w:pPr>
        <w:pStyle w:val="9"/>
        <w:spacing w:before="11"/>
        <w:ind w:left="0"/>
        <w:jc w:val="left"/>
        <w:rPr>
          <w:rFonts w:hint="eastAsia"/>
          <w:sz w:val="30"/>
          <w:szCs w:val="30"/>
        </w:rPr>
      </w:pPr>
      <w:r>
        <w:rPr>
          <w:rFonts w:hint="eastAsia"/>
          <w:sz w:val="30"/>
          <w:szCs w:val="30"/>
        </w:rPr>
        <w:t>However, should I tarry, always remember that for those who believe, overcome, and die in the faith, there awaits a ‘first resurrection’ of their spirit, one that supplies a foretaste and a guarantee of the final resurrection of their body; a first ‘coming to life’ of their spirit in heaven, one that supplies a foretaste and a guarantee of their final coming to life—body, soul, and spirit—in the World to Come; a first reigning in heaven with Me, one that supplies a foretaste and a guarantee of their final reigning with Me in the new heavens and the earth (2 Tim. 2:12, Rev. 3:21, 5:10, 22:5).</w:t>
      </w:r>
    </w:p>
    <w:p w14:paraId="3062808E">
      <w:pPr>
        <w:pStyle w:val="9"/>
        <w:spacing w:before="11"/>
        <w:ind w:left="0"/>
        <w:jc w:val="left"/>
        <w:rPr>
          <w:rFonts w:hint="eastAsia"/>
          <w:sz w:val="30"/>
          <w:szCs w:val="30"/>
        </w:rPr>
      </w:pPr>
      <w:r>
        <w:rPr>
          <w:rFonts w:hint="eastAsia"/>
          <w:sz w:val="30"/>
          <w:szCs w:val="30"/>
        </w:rPr>
        <w:t>“然而，若我耽延，你们总要记得，对于那些相信、得胜并在信心中死去的人，等待他们的是他们灵的‘第一次复活’，这提供了他们身体最终复活的预尝和保证；他们灵在天上的第一次‘活过来’，这提供了他们在将来的世界中身体、魂和灵最终活过来的预尝和保证；与我一同在天上第一次的作王，这提供了他们在新天新地中与我一同最终作王的预尝和保证（提后2:12，启3:21，5:10，22:5）。”</w:t>
      </w:r>
    </w:p>
    <w:p w14:paraId="6ABDE153">
      <w:pPr>
        <w:pStyle w:val="9"/>
        <w:spacing w:before="11"/>
        <w:ind w:left="0"/>
        <w:jc w:val="left"/>
        <w:rPr>
          <w:rFonts w:hint="eastAsia"/>
          <w:sz w:val="30"/>
          <w:szCs w:val="30"/>
        </w:rPr>
      </w:pPr>
    </w:p>
    <w:p w14:paraId="52752B4A">
      <w:pPr>
        <w:pStyle w:val="9"/>
        <w:spacing w:before="11"/>
        <w:ind w:left="0"/>
        <w:jc w:val="left"/>
        <w:rPr>
          <w:rFonts w:hint="eastAsia"/>
          <w:sz w:val="30"/>
          <w:szCs w:val="30"/>
        </w:rPr>
      </w:pPr>
      <w:r>
        <w:rPr>
          <w:rFonts w:hint="eastAsia"/>
          <w:sz w:val="30"/>
          <w:szCs w:val="30"/>
        </w:rPr>
        <w:t>Therefore, armed with these glorious promises, see to it that you overcome!”</w:t>
      </w:r>
    </w:p>
    <w:p w14:paraId="439D90BB">
      <w:pPr>
        <w:pStyle w:val="9"/>
        <w:spacing w:before="11"/>
        <w:ind w:left="0"/>
        <w:jc w:val="left"/>
        <w:rPr>
          <w:rFonts w:hint="eastAsia"/>
          <w:sz w:val="30"/>
          <w:szCs w:val="30"/>
        </w:rPr>
      </w:pPr>
      <w:r>
        <w:rPr>
          <w:rFonts w:hint="eastAsia"/>
          <w:sz w:val="30"/>
          <w:szCs w:val="30"/>
        </w:rPr>
        <w:t>因此，装备上这些荣耀的应许，务要得胜！</w:t>
      </w:r>
    </w:p>
    <w:p w14:paraId="41640CAD">
      <w:pPr>
        <w:pStyle w:val="9"/>
        <w:spacing w:before="11"/>
        <w:ind w:left="0"/>
        <w:jc w:val="left"/>
        <w:rPr>
          <w:rFonts w:hint="eastAsia"/>
          <w:sz w:val="30"/>
          <w:szCs w:val="30"/>
        </w:rPr>
      </w:pPr>
    </w:p>
    <w:p w14:paraId="449A112C">
      <w:pPr>
        <w:pStyle w:val="9"/>
        <w:spacing w:before="11"/>
        <w:ind w:left="0"/>
        <w:jc w:val="left"/>
        <w:rPr>
          <w:rFonts w:hint="eastAsia"/>
          <w:sz w:val="30"/>
          <w:szCs w:val="30"/>
        </w:rPr>
      </w:pPr>
      <w:r>
        <w:rPr>
          <w:rFonts w:hint="eastAsia"/>
          <w:sz w:val="30"/>
          <w:szCs w:val="30"/>
        </w:rPr>
        <w:t>We find, then, that the Lord used the same word to describe two different “comings to life” because the two—much like the two stages of the one Kingdom—share the same fundamental nature, though the first is only temporary and spiritual, while the final is eternal, spiritual, and physical.</w:t>
      </w:r>
    </w:p>
    <w:p w14:paraId="5E972291">
      <w:pPr>
        <w:pStyle w:val="9"/>
        <w:spacing w:before="11"/>
        <w:ind w:left="0"/>
        <w:jc w:val="left"/>
        <w:rPr>
          <w:rFonts w:hint="eastAsia"/>
          <w:sz w:val="30"/>
          <w:szCs w:val="30"/>
        </w:rPr>
      </w:pPr>
      <w:r>
        <w:rPr>
          <w:rFonts w:hint="eastAsia"/>
          <w:sz w:val="30"/>
          <w:szCs w:val="30"/>
        </w:rPr>
        <w:t>因此，我们发现，主用同一个词来描述两种不同的“活过来”，因为这两种——很像一个国度的两个阶段——共享相同的基本性质，尽管第一个只是暂时的和属灵的，而最后一个是永恒的、属灵的和属物质的。</w:t>
      </w:r>
    </w:p>
    <w:p w14:paraId="43E559AE">
      <w:pPr>
        <w:pStyle w:val="9"/>
        <w:spacing w:before="11"/>
        <w:ind w:left="0"/>
        <w:jc w:val="left"/>
        <w:rPr>
          <w:rFonts w:hint="eastAsia"/>
          <w:sz w:val="30"/>
          <w:szCs w:val="30"/>
        </w:rPr>
      </w:pPr>
    </w:p>
    <w:p w14:paraId="7B75C629">
      <w:pPr>
        <w:pStyle w:val="9"/>
        <w:spacing w:before="11"/>
        <w:ind w:left="0"/>
        <w:jc w:val="left"/>
        <w:rPr>
          <w:rFonts w:hint="eastAsia"/>
          <w:sz w:val="30"/>
          <w:szCs w:val="30"/>
        </w:rPr>
      </w:pPr>
      <w:r>
        <w:rPr>
          <w:rFonts w:hint="eastAsia"/>
          <w:sz w:val="30"/>
          <w:szCs w:val="30"/>
        </w:rPr>
        <w:t>Thus did it please the High Prophet of Heaven to speak to his people, further illuminating the glories of the Intermediate State, giving them fresh hope, and moving them to gospel faithfulness throughout all the days of their pilgrimage upon the earth (John 11:26, Rev. 20:6).</w:t>
      </w:r>
    </w:p>
    <w:p w14:paraId="08AEDF91">
      <w:pPr>
        <w:pStyle w:val="9"/>
        <w:spacing w:before="11"/>
        <w:ind w:left="0"/>
        <w:jc w:val="left"/>
        <w:rPr>
          <w:rFonts w:hint="eastAsia"/>
          <w:sz w:val="30"/>
          <w:szCs w:val="30"/>
        </w:rPr>
      </w:pPr>
      <w:r>
        <w:rPr>
          <w:rFonts w:hint="eastAsia"/>
          <w:sz w:val="30"/>
          <w:szCs w:val="30"/>
        </w:rPr>
        <w:t>天上的至高先知就是这样乐意向祂的子民说话，进一步阐明了中间状态的荣耀，给予他们新的盼望，并激励他们在地上朝圣的所有日子里都对福音忠心（约翰福音11:26，启示录20:6）。</w:t>
      </w:r>
    </w:p>
    <w:p w14:paraId="6BDDA9AC">
      <w:pPr>
        <w:pStyle w:val="9"/>
        <w:spacing w:before="11"/>
        <w:ind w:left="0"/>
        <w:jc w:val="left"/>
        <w:rPr>
          <w:rFonts w:hint="eastAsia"/>
          <w:sz w:val="30"/>
          <w:szCs w:val="30"/>
        </w:rPr>
      </w:pPr>
    </w:p>
    <w:p w14:paraId="3BDC166B">
      <w:pPr>
        <w:pStyle w:val="9"/>
        <w:spacing w:before="11"/>
        <w:ind w:left="0"/>
        <w:jc w:val="left"/>
        <w:rPr>
          <w:rFonts w:hint="eastAsia"/>
          <w:sz w:val="30"/>
          <w:szCs w:val="30"/>
        </w:rPr>
      </w:pPr>
      <w:r>
        <w:rPr>
          <w:rFonts w:hint="eastAsia"/>
          <w:sz w:val="30"/>
          <w:szCs w:val="30"/>
        </w:rPr>
        <w:t>4.What does the Spirit mean when he says that the millennial saints “reigned with Christ for a thousand years” (20:4b, 6)?</w:t>
      </w:r>
    </w:p>
    <w:p w14:paraId="217732E8">
      <w:pPr>
        <w:pStyle w:val="9"/>
        <w:spacing w:before="11"/>
        <w:ind w:left="0"/>
        <w:jc w:val="left"/>
        <w:rPr>
          <w:rFonts w:hint="eastAsia"/>
          <w:sz w:val="30"/>
          <w:szCs w:val="30"/>
        </w:rPr>
      </w:pPr>
      <w:r>
        <w:rPr>
          <w:rFonts w:hint="eastAsia"/>
          <w:sz w:val="30"/>
          <w:szCs w:val="30"/>
        </w:rPr>
        <w:t>4.当圣灵说千禧年圣徒“与基督一同作王一千年”（20:4b, 6）时，祂是什么意思？</w:t>
      </w:r>
    </w:p>
    <w:p w14:paraId="064DEE58">
      <w:pPr>
        <w:pStyle w:val="9"/>
        <w:spacing w:before="11"/>
        <w:ind w:left="0"/>
        <w:jc w:val="left"/>
        <w:rPr>
          <w:rFonts w:hint="eastAsia"/>
          <w:sz w:val="30"/>
          <w:szCs w:val="30"/>
        </w:rPr>
      </w:pPr>
    </w:p>
    <w:p w14:paraId="7D1638BE">
      <w:pPr>
        <w:pStyle w:val="9"/>
        <w:spacing w:before="11"/>
        <w:ind w:left="0"/>
        <w:jc w:val="left"/>
        <w:rPr>
          <w:rFonts w:hint="eastAsia"/>
          <w:sz w:val="30"/>
          <w:szCs w:val="30"/>
        </w:rPr>
      </w:pPr>
      <w:r>
        <w:rPr>
          <w:rFonts w:hint="eastAsia"/>
          <w:sz w:val="30"/>
          <w:szCs w:val="30"/>
        </w:rPr>
        <w:t>Premillennarians understand the millennial reign of the saints in terms of verse 4a: To reign with Christ is to receive from him the right to rule and judge the nations during the millennial era.</w:t>
      </w:r>
    </w:p>
    <w:p w14:paraId="5B168967">
      <w:pPr>
        <w:pStyle w:val="9"/>
        <w:spacing w:before="11"/>
        <w:ind w:left="0"/>
        <w:jc w:val="left"/>
        <w:rPr>
          <w:rFonts w:hint="eastAsia"/>
          <w:sz w:val="30"/>
          <w:szCs w:val="30"/>
        </w:rPr>
      </w:pPr>
      <w:r>
        <w:rPr>
          <w:rFonts w:hint="eastAsia"/>
          <w:sz w:val="30"/>
          <w:szCs w:val="30"/>
        </w:rPr>
        <w:t>前千禧年论者从第4a节的角度理解圣徒的千禧年统治：与基督一同作王就是从祂那里领受在千禧年时代统治和审判列国的权利。</w:t>
      </w:r>
    </w:p>
    <w:p w14:paraId="7F0F6DFF">
      <w:pPr>
        <w:pStyle w:val="9"/>
        <w:spacing w:before="11"/>
        <w:ind w:left="0"/>
        <w:jc w:val="left"/>
        <w:rPr>
          <w:rFonts w:hint="eastAsia"/>
          <w:sz w:val="30"/>
          <w:szCs w:val="30"/>
        </w:rPr>
      </w:pPr>
    </w:p>
    <w:p w14:paraId="2683BA30">
      <w:pPr>
        <w:pStyle w:val="9"/>
        <w:spacing w:before="11"/>
        <w:ind w:left="0"/>
        <w:jc w:val="left"/>
        <w:rPr>
          <w:rFonts w:hint="eastAsia"/>
          <w:sz w:val="30"/>
          <w:szCs w:val="30"/>
        </w:rPr>
      </w:pPr>
      <w:r>
        <w:rPr>
          <w:rFonts w:hint="eastAsia"/>
          <w:sz w:val="30"/>
          <w:szCs w:val="30"/>
        </w:rPr>
        <w:t>As we have seen, there is considerable debate among them as to where, exactly, this ruling and judging will occur.</w:t>
      </w:r>
    </w:p>
    <w:p w14:paraId="24B295BC">
      <w:pPr>
        <w:pStyle w:val="9"/>
        <w:spacing w:before="11"/>
        <w:ind w:left="0"/>
        <w:jc w:val="left"/>
        <w:rPr>
          <w:rFonts w:hint="eastAsia"/>
          <w:sz w:val="30"/>
          <w:szCs w:val="30"/>
        </w:rPr>
      </w:pPr>
      <w:r>
        <w:rPr>
          <w:rFonts w:hint="eastAsia"/>
          <w:sz w:val="30"/>
          <w:szCs w:val="30"/>
        </w:rPr>
        <w:t>正如我们所见，关于这种统治和审判究竟将在何处发生，他们之间存在相当大的争论。</w:t>
      </w:r>
    </w:p>
    <w:p w14:paraId="56BF944C">
      <w:pPr>
        <w:pStyle w:val="9"/>
        <w:spacing w:before="11"/>
        <w:ind w:left="0"/>
        <w:jc w:val="left"/>
        <w:rPr>
          <w:rFonts w:hint="eastAsia"/>
          <w:sz w:val="30"/>
          <w:szCs w:val="30"/>
        </w:rPr>
      </w:pPr>
    </w:p>
    <w:p w14:paraId="7D1F8213">
      <w:pPr>
        <w:pStyle w:val="9"/>
        <w:spacing w:before="11"/>
        <w:ind w:left="0"/>
        <w:jc w:val="left"/>
        <w:rPr>
          <w:rFonts w:hint="eastAsia"/>
          <w:sz w:val="30"/>
          <w:szCs w:val="30"/>
        </w:rPr>
      </w:pPr>
      <w:r>
        <w:rPr>
          <w:rFonts w:hint="eastAsia"/>
          <w:sz w:val="30"/>
          <w:szCs w:val="30"/>
        </w:rPr>
        <w:t>Some, like Biederwolf, say the saints will reign from heaven.</w:t>
      </w:r>
    </w:p>
    <w:p w14:paraId="47A16A61">
      <w:pPr>
        <w:pStyle w:val="9"/>
        <w:spacing w:before="11"/>
        <w:ind w:left="0"/>
        <w:jc w:val="left"/>
        <w:rPr>
          <w:rFonts w:hint="eastAsia"/>
          <w:sz w:val="30"/>
          <w:szCs w:val="30"/>
        </w:rPr>
      </w:pPr>
      <w:r>
        <w:rPr>
          <w:rFonts w:hint="eastAsia"/>
          <w:sz w:val="30"/>
          <w:szCs w:val="30"/>
        </w:rPr>
        <w:t>一些人，如比德沃尔夫，说圣徒将从天上作王。</w:t>
      </w:r>
    </w:p>
    <w:p w14:paraId="55336586">
      <w:pPr>
        <w:pStyle w:val="9"/>
        <w:spacing w:before="11"/>
        <w:ind w:left="0"/>
        <w:jc w:val="left"/>
        <w:rPr>
          <w:rFonts w:hint="eastAsia"/>
          <w:sz w:val="30"/>
          <w:szCs w:val="30"/>
        </w:rPr>
      </w:pPr>
    </w:p>
    <w:p w14:paraId="421753A6">
      <w:pPr>
        <w:pStyle w:val="9"/>
        <w:spacing w:before="11"/>
        <w:ind w:left="0"/>
        <w:jc w:val="left"/>
        <w:rPr>
          <w:rFonts w:hint="eastAsia"/>
          <w:sz w:val="30"/>
          <w:szCs w:val="30"/>
        </w:rPr>
      </w:pPr>
      <w:r>
        <w:rPr>
          <w:rFonts w:hint="eastAsia"/>
          <w:sz w:val="30"/>
          <w:szCs w:val="30"/>
        </w:rPr>
        <w:t>Most, like Ladd, say they will reign upon the earth.</w:t>
      </w:r>
    </w:p>
    <w:p w14:paraId="4B39E4F3">
      <w:pPr>
        <w:pStyle w:val="9"/>
        <w:spacing w:before="11"/>
        <w:ind w:left="0"/>
        <w:jc w:val="left"/>
        <w:rPr>
          <w:rFonts w:hint="eastAsia"/>
          <w:sz w:val="30"/>
          <w:szCs w:val="30"/>
        </w:rPr>
      </w:pPr>
      <w:r>
        <w:rPr>
          <w:rFonts w:hint="eastAsia"/>
          <w:sz w:val="30"/>
          <w:szCs w:val="30"/>
        </w:rPr>
        <w:t>大多数人，如赖德，说他们将在地上作王。</w:t>
      </w:r>
    </w:p>
    <w:p w14:paraId="62B0217A">
      <w:pPr>
        <w:pStyle w:val="9"/>
        <w:spacing w:before="11"/>
        <w:ind w:left="0"/>
        <w:jc w:val="left"/>
        <w:rPr>
          <w:rFonts w:hint="eastAsia"/>
          <w:sz w:val="30"/>
          <w:szCs w:val="30"/>
        </w:rPr>
      </w:pPr>
    </w:p>
    <w:p w14:paraId="6E7444DC">
      <w:pPr>
        <w:pStyle w:val="9"/>
        <w:spacing w:before="11"/>
        <w:ind w:left="0"/>
        <w:jc w:val="left"/>
        <w:rPr>
          <w:rFonts w:hint="eastAsia"/>
          <w:sz w:val="30"/>
          <w:szCs w:val="30"/>
        </w:rPr>
      </w:pPr>
      <w:r>
        <w:rPr>
          <w:rFonts w:hint="eastAsia"/>
          <w:sz w:val="30"/>
          <w:szCs w:val="30"/>
        </w:rPr>
        <w:t>Walvoord, trying to reconcile quarrelling brethren, argues that the commingling of glorified saints with men on earth “… seems to be limited to a few specific functions, while the primary activity of the resurrected saints will be in the new and heavenly City (above the earth).”7</w:t>
      </w:r>
    </w:p>
    <w:p w14:paraId="6E2F77D5">
      <w:pPr>
        <w:pStyle w:val="9"/>
        <w:spacing w:before="11"/>
        <w:ind w:left="0"/>
        <w:jc w:val="left"/>
        <w:rPr>
          <w:rFonts w:hint="eastAsia"/>
          <w:sz w:val="30"/>
          <w:szCs w:val="30"/>
        </w:rPr>
      </w:pPr>
      <w:r>
        <w:rPr>
          <w:rFonts w:hint="eastAsia"/>
          <w:sz w:val="30"/>
          <w:szCs w:val="30"/>
        </w:rPr>
        <w:t>沃尔沃德，试图调和争吵的弟兄们，认为得荣耀的圣徒与地上的人混居“……似乎限于一些特定的功能，而复活圣徒的主要活动将在新的、天上的城（在地上之上）。”7</w:t>
      </w:r>
    </w:p>
    <w:p w14:paraId="1DC58682">
      <w:pPr>
        <w:pStyle w:val="9"/>
        <w:spacing w:before="11"/>
        <w:ind w:left="0"/>
        <w:jc w:val="left"/>
        <w:rPr>
          <w:rFonts w:hint="eastAsia"/>
          <w:sz w:val="30"/>
          <w:szCs w:val="30"/>
        </w:rPr>
      </w:pPr>
    </w:p>
    <w:p w14:paraId="3E630078">
      <w:pPr>
        <w:pStyle w:val="9"/>
        <w:spacing w:before="11"/>
        <w:ind w:left="0"/>
        <w:jc w:val="left"/>
        <w:rPr>
          <w:rFonts w:hint="eastAsia"/>
          <w:sz w:val="30"/>
          <w:szCs w:val="30"/>
        </w:rPr>
      </w:pPr>
      <w:r>
        <w:rPr>
          <w:rFonts w:hint="eastAsia"/>
          <w:sz w:val="30"/>
          <w:szCs w:val="30"/>
        </w:rPr>
        <w:t>All agree, however, as to the governmental nature of this reign: In ways that the NT does not spell out— and that we can barely imagine—the resurrected saints will allegedly rule over the nations as princes of the High King himself, giving and administering judgments and decrees at his command.</w:t>
      </w:r>
    </w:p>
    <w:p w14:paraId="001D1F7C">
      <w:pPr>
        <w:pStyle w:val="9"/>
        <w:spacing w:before="11"/>
        <w:ind w:left="0"/>
        <w:jc w:val="left"/>
        <w:rPr>
          <w:rFonts w:hint="eastAsia"/>
          <w:sz w:val="30"/>
          <w:szCs w:val="30"/>
        </w:rPr>
      </w:pPr>
      <w:r>
        <w:rPr>
          <w:rFonts w:hint="eastAsia"/>
          <w:sz w:val="30"/>
          <w:szCs w:val="30"/>
        </w:rPr>
        <w:t>然而，所有人都同意这统治的政府性质：以新约没有明说——以及我们几乎无法想象——的方式，复活的圣徒据称将作为至高君王祂自己的王子来统治列国，在祂的命令下发布和执行审判和法令。</w:t>
      </w:r>
    </w:p>
    <w:p w14:paraId="317B0402">
      <w:pPr>
        <w:pStyle w:val="9"/>
        <w:spacing w:before="11"/>
        <w:ind w:left="0"/>
        <w:jc w:val="left"/>
        <w:rPr>
          <w:rFonts w:hint="eastAsia"/>
          <w:sz w:val="30"/>
          <w:szCs w:val="30"/>
        </w:rPr>
      </w:pPr>
    </w:p>
    <w:p w14:paraId="7BD98F0B">
      <w:pPr>
        <w:pStyle w:val="9"/>
        <w:spacing w:before="11"/>
        <w:ind w:left="0"/>
        <w:jc w:val="left"/>
        <w:rPr>
          <w:rFonts w:hint="eastAsia"/>
          <w:sz w:val="30"/>
          <w:szCs w:val="30"/>
        </w:rPr>
      </w:pPr>
      <w:r>
        <w:rPr>
          <w:rFonts w:hint="eastAsia"/>
          <w:sz w:val="30"/>
          <w:szCs w:val="30"/>
        </w:rPr>
        <w:t>In the paragraphs ahead, I will argue that the reigning and judging of the millennial saints are actually two completely different things.</w:t>
      </w:r>
    </w:p>
    <w:p w14:paraId="0079D91C">
      <w:pPr>
        <w:pStyle w:val="9"/>
        <w:spacing w:before="11"/>
        <w:ind w:left="0"/>
        <w:jc w:val="left"/>
        <w:rPr>
          <w:rFonts w:hint="eastAsia"/>
          <w:sz w:val="30"/>
          <w:szCs w:val="30"/>
        </w:rPr>
      </w:pPr>
      <w:r>
        <w:rPr>
          <w:rFonts w:hint="eastAsia"/>
          <w:sz w:val="30"/>
          <w:szCs w:val="30"/>
        </w:rPr>
        <w:t>在接下来的段落中，我将论证千禧年圣徒的作王和审判实际上是两件完全不同的事。</w:t>
      </w:r>
    </w:p>
    <w:p w14:paraId="4C3A3344">
      <w:pPr>
        <w:pStyle w:val="9"/>
        <w:spacing w:before="11"/>
        <w:ind w:left="0"/>
        <w:jc w:val="left"/>
        <w:rPr>
          <w:rFonts w:hint="eastAsia"/>
          <w:sz w:val="30"/>
          <w:szCs w:val="30"/>
        </w:rPr>
      </w:pPr>
    </w:p>
    <w:p w14:paraId="6BA47BF7">
      <w:pPr>
        <w:pStyle w:val="9"/>
        <w:spacing w:before="11"/>
        <w:ind w:left="0"/>
        <w:jc w:val="left"/>
        <w:rPr>
          <w:rFonts w:hint="eastAsia"/>
          <w:sz w:val="30"/>
          <w:szCs w:val="30"/>
        </w:rPr>
      </w:pPr>
      <w:r>
        <w:rPr>
          <w:rFonts w:hint="eastAsia"/>
          <w:sz w:val="30"/>
          <w:szCs w:val="30"/>
        </w:rPr>
        <w:t>Here, however, it is important to touch on some of the NT Scriptures offered in support of the premillennial view, in order to show that in fact they do not support it at all.</w:t>
      </w:r>
    </w:p>
    <w:p w14:paraId="4E814982">
      <w:pPr>
        <w:pStyle w:val="9"/>
        <w:spacing w:before="11"/>
        <w:ind w:left="0"/>
        <w:jc w:val="left"/>
        <w:rPr>
          <w:rFonts w:hint="eastAsia"/>
          <w:sz w:val="30"/>
          <w:szCs w:val="30"/>
        </w:rPr>
      </w:pPr>
      <w:r>
        <w:rPr>
          <w:rFonts w:hint="eastAsia"/>
          <w:sz w:val="30"/>
          <w:szCs w:val="30"/>
        </w:rPr>
        <w:t>然而，在这里，重要的是要触及一些为支持前千禧年论观点而提出的新约经文，以表明它们实际上根本不支持这种观点。</w:t>
      </w:r>
    </w:p>
    <w:p w14:paraId="2D3B7ADB">
      <w:pPr>
        <w:pStyle w:val="9"/>
        <w:spacing w:before="11"/>
        <w:ind w:left="0"/>
        <w:jc w:val="left"/>
        <w:rPr>
          <w:rFonts w:hint="eastAsia"/>
          <w:sz w:val="30"/>
          <w:szCs w:val="30"/>
        </w:rPr>
      </w:pPr>
    </w:p>
    <w:p w14:paraId="705A7696">
      <w:pPr>
        <w:pStyle w:val="9"/>
        <w:spacing w:before="11"/>
        <w:ind w:left="0"/>
        <w:jc w:val="left"/>
        <w:rPr>
          <w:rFonts w:hint="eastAsia"/>
          <w:sz w:val="30"/>
          <w:szCs w:val="30"/>
        </w:rPr>
      </w:pPr>
      <w:r>
        <w:rPr>
          <w:rFonts w:hint="eastAsia"/>
          <w:sz w:val="30"/>
          <w:szCs w:val="30"/>
        </w:rPr>
        <w:t>Ladd, for example, assumes that in Rev. 2:26-27 Christ is promising the Thyatiran overcomers authority to rule over the nations in a future millennium, when in fact he is speaking of the role the saints will play in the Last Judgment.</w:t>
      </w:r>
    </w:p>
    <w:p w14:paraId="458E2443">
      <w:pPr>
        <w:pStyle w:val="9"/>
        <w:spacing w:before="11"/>
        <w:ind w:left="0"/>
        <w:jc w:val="left"/>
        <w:rPr>
          <w:rFonts w:hint="eastAsia"/>
          <w:sz w:val="30"/>
          <w:szCs w:val="30"/>
        </w:rPr>
      </w:pPr>
      <w:r>
        <w:rPr>
          <w:rFonts w:hint="eastAsia"/>
          <w:sz w:val="30"/>
          <w:szCs w:val="30"/>
        </w:rPr>
        <w:t>例如，赖德假设在启示录2:26-27中，基督正在应许推雅推喇的得胜者在未来的千禧年中有权柄统治列国，而实际上祂是在讲圣徒在最后审判中将扮演的角色。</w:t>
      </w:r>
    </w:p>
    <w:p w14:paraId="21149597">
      <w:pPr>
        <w:pStyle w:val="9"/>
        <w:spacing w:before="11"/>
        <w:ind w:left="0"/>
        <w:jc w:val="left"/>
        <w:rPr>
          <w:rFonts w:hint="eastAsia"/>
          <w:sz w:val="30"/>
          <w:szCs w:val="30"/>
        </w:rPr>
      </w:pPr>
    </w:p>
    <w:p w14:paraId="6B207B0D">
      <w:pPr>
        <w:pStyle w:val="9"/>
        <w:spacing w:before="11"/>
        <w:ind w:left="0"/>
        <w:jc w:val="left"/>
        <w:rPr>
          <w:rFonts w:hint="eastAsia"/>
          <w:sz w:val="30"/>
          <w:szCs w:val="30"/>
        </w:rPr>
      </w:pPr>
      <w:r>
        <w:rPr>
          <w:rFonts w:hint="eastAsia"/>
          <w:sz w:val="30"/>
          <w:szCs w:val="30"/>
        </w:rPr>
        <w:t>He also argues that Rev. 5:9-10, which promises that the saints will reign upon the earth, is fulfilled in an earthly millennium, when in fact it is fulfilled in the new heavens and the new earth (11:15, 22:5).</w:t>
      </w:r>
    </w:p>
    <w:p w14:paraId="52635210">
      <w:pPr>
        <w:pStyle w:val="9"/>
        <w:spacing w:before="11"/>
        <w:ind w:left="0"/>
        <w:jc w:val="left"/>
        <w:rPr>
          <w:rFonts w:hint="eastAsia"/>
          <w:sz w:val="30"/>
          <w:szCs w:val="30"/>
        </w:rPr>
      </w:pPr>
      <w:r>
        <w:rPr>
          <w:rFonts w:hint="eastAsia"/>
          <w:sz w:val="30"/>
          <w:szCs w:val="30"/>
        </w:rPr>
        <w:t>祂也论证说，启示录5:9-10所应许的圣徒将在地上作王，是在一个地上的千禧年中应验的，而实际上它是在新天新地中应验的（11:15, 22:5）。</w:t>
      </w:r>
    </w:p>
    <w:p w14:paraId="50422886">
      <w:pPr>
        <w:pStyle w:val="9"/>
        <w:spacing w:before="11"/>
        <w:ind w:left="0"/>
        <w:jc w:val="left"/>
        <w:rPr>
          <w:rFonts w:hint="eastAsia"/>
          <w:sz w:val="30"/>
          <w:szCs w:val="30"/>
        </w:rPr>
      </w:pPr>
    </w:p>
    <w:p w14:paraId="311C3B5F">
      <w:pPr>
        <w:pStyle w:val="9"/>
        <w:spacing w:before="11"/>
        <w:ind w:left="0"/>
        <w:jc w:val="left"/>
        <w:rPr>
          <w:rFonts w:hint="eastAsia"/>
          <w:sz w:val="30"/>
          <w:szCs w:val="30"/>
        </w:rPr>
      </w:pPr>
      <w:r>
        <w:rPr>
          <w:rFonts w:hint="eastAsia"/>
          <w:sz w:val="30"/>
          <w:szCs w:val="30"/>
        </w:rPr>
        <w:t>He states that 1 Cor. 6:2 looks ahead to the millennial rule of the glorified saints, when both the context and several parallel NT passages indicate once again that the Last Judgment is in view (Rom. 16:10, 1 Cor. 6:1-4).</w:t>
      </w:r>
    </w:p>
    <w:p w14:paraId="1724BF12">
      <w:pPr>
        <w:pStyle w:val="9"/>
        <w:spacing w:before="11"/>
        <w:ind w:left="0"/>
        <w:jc w:val="left"/>
        <w:rPr>
          <w:rFonts w:hint="eastAsia"/>
          <w:sz w:val="30"/>
          <w:szCs w:val="30"/>
        </w:rPr>
      </w:pPr>
      <w:r>
        <w:rPr>
          <w:rFonts w:hint="eastAsia"/>
          <w:sz w:val="30"/>
          <w:szCs w:val="30"/>
        </w:rPr>
        <w:t>他说哥林多前书6:2展望了得荣耀圣徒的千禧年统治，而上下文和几处平行的经文都再次表明，这里着眼的是最后的审判（罗马书16:10，哥林多前书6:1-4）。</w:t>
      </w:r>
    </w:p>
    <w:p w14:paraId="4A32344E">
      <w:pPr>
        <w:pStyle w:val="9"/>
        <w:spacing w:before="11"/>
        <w:ind w:left="0"/>
        <w:jc w:val="left"/>
        <w:rPr>
          <w:rFonts w:hint="eastAsia"/>
          <w:sz w:val="30"/>
          <w:szCs w:val="30"/>
        </w:rPr>
      </w:pPr>
    </w:p>
    <w:p w14:paraId="2BE781B7">
      <w:pPr>
        <w:pStyle w:val="9"/>
        <w:spacing w:before="11"/>
        <w:ind w:left="0"/>
        <w:jc w:val="left"/>
        <w:rPr>
          <w:rFonts w:hint="eastAsia"/>
          <w:sz w:val="30"/>
          <w:szCs w:val="30"/>
        </w:rPr>
      </w:pPr>
      <w:r>
        <w:rPr>
          <w:rFonts w:hint="eastAsia"/>
          <w:sz w:val="30"/>
          <w:szCs w:val="30"/>
        </w:rPr>
        <w:t>Meanwhile, Walvoord cites Mt. 19:28 as proof that in the Millennium the apostles will sit on twelve (earthly) thrones, judging the twelve tribes of Israel.</w:t>
      </w:r>
    </w:p>
    <w:p w14:paraId="11DD15B5">
      <w:pPr>
        <w:pStyle w:val="9"/>
        <w:spacing w:before="11"/>
        <w:ind w:left="0"/>
        <w:jc w:val="left"/>
        <w:rPr>
          <w:rFonts w:hint="eastAsia"/>
          <w:sz w:val="30"/>
          <w:szCs w:val="30"/>
        </w:rPr>
      </w:pPr>
      <w:r>
        <w:rPr>
          <w:rFonts w:hint="eastAsia"/>
          <w:sz w:val="30"/>
          <w:szCs w:val="30"/>
        </w:rPr>
        <w:t>同时，沃尔沃德引用马太福音19:28作为证据，证明在千禧年，使徒们将坐在十二个（地上的）宝座上，审判以色列的十二个支派。</w:t>
      </w:r>
    </w:p>
    <w:p w14:paraId="7EE6C48D">
      <w:pPr>
        <w:pStyle w:val="9"/>
        <w:spacing w:before="11"/>
        <w:ind w:left="0"/>
        <w:jc w:val="left"/>
        <w:rPr>
          <w:rFonts w:hint="eastAsia"/>
          <w:sz w:val="30"/>
          <w:szCs w:val="30"/>
        </w:rPr>
      </w:pPr>
    </w:p>
    <w:p w14:paraId="06E62344">
      <w:pPr>
        <w:pStyle w:val="9"/>
        <w:spacing w:before="11"/>
        <w:ind w:left="0"/>
        <w:jc w:val="left"/>
        <w:rPr>
          <w:rFonts w:hint="eastAsia"/>
          <w:sz w:val="30"/>
          <w:szCs w:val="30"/>
        </w:rPr>
      </w:pPr>
      <w:r>
        <w:rPr>
          <w:rFonts w:hint="eastAsia"/>
          <w:sz w:val="30"/>
          <w:szCs w:val="30"/>
        </w:rPr>
        <w:t>But this text says nothing whatsoever about a millennium.</w:t>
      </w:r>
    </w:p>
    <w:p w14:paraId="6F529E0E">
      <w:pPr>
        <w:pStyle w:val="9"/>
        <w:spacing w:before="11"/>
        <w:ind w:left="0"/>
        <w:jc w:val="left"/>
        <w:rPr>
          <w:rFonts w:hint="eastAsia"/>
          <w:sz w:val="30"/>
          <w:szCs w:val="30"/>
        </w:rPr>
      </w:pPr>
      <w:r>
        <w:rPr>
          <w:rFonts w:hint="eastAsia"/>
          <w:sz w:val="30"/>
          <w:szCs w:val="30"/>
        </w:rPr>
        <w:t>但这节经文完全没有提到千禧年。</w:t>
      </w:r>
    </w:p>
    <w:p w14:paraId="24D4F2AD">
      <w:pPr>
        <w:pStyle w:val="9"/>
        <w:spacing w:before="11"/>
        <w:ind w:left="0"/>
        <w:jc w:val="left"/>
        <w:rPr>
          <w:rFonts w:hint="eastAsia"/>
          <w:sz w:val="30"/>
          <w:szCs w:val="30"/>
        </w:rPr>
      </w:pPr>
    </w:p>
    <w:p w14:paraId="31CC28E1">
      <w:pPr>
        <w:pStyle w:val="9"/>
        <w:spacing w:before="11"/>
        <w:ind w:left="0"/>
        <w:jc w:val="left"/>
        <w:rPr>
          <w:rFonts w:hint="eastAsia"/>
          <w:sz w:val="30"/>
          <w:szCs w:val="30"/>
        </w:rPr>
      </w:pPr>
      <w:r>
        <w:rPr>
          <w:rFonts w:hint="eastAsia"/>
          <w:sz w:val="30"/>
          <w:szCs w:val="30"/>
        </w:rPr>
        <w:t>To the contrary, it explicitly states that the apostles’ rule will occur “in the regeneration.”</w:t>
      </w:r>
    </w:p>
    <w:p w14:paraId="7CFE8F7C">
      <w:pPr>
        <w:pStyle w:val="9"/>
        <w:spacing w:before="11"/>
        <w:ind w:left="0"/>
        <w:jc w:val="left"/>
        <w:rPr>
          <w:rFonts w:hint="eastAsia"/>
          <w:sz w:val="30"/>
          <w:szCs w:val="30"/>
        </w:rPr>
      </w:pPr>
      <w:r>
        <w:rPr>
          <w:rFonts w:hint="eastAsia"/>
          <w:sz w:val="30"/>
          <w:szCs w:val="30"/>
        </w:rPr>
        <w:t>相反，它明确指出使徒们的统治将发生在“复兴的时候”。</w:t>
      </w:r>
    </w:p>
    <w:p w14:paraId="45451B34">
      <w:pPr>
        <w:pStyle w:val="9"/>
        <w:spacing w:before="11"/>
        <w:ind w:left="0"/>
        <w:jc w:val="left"/>
        <w:rPr>
          <w:rFonts w:hint="eastAsia"/>
          <w:sz w:val="30"/>
          <w:szCs w:val="30"/>
        </w:rPr>
      </w:pPr>
    </w:p>
    <w:p w14:paraId="2F9B67AB">
      <w:pPr>
        <w:pStyle w:val="9"/>
        <w:spacing w:before="11"/>
        <w:ind w:left="0"/>
        <w:jc w:val="left"/>
        <w:rPr>
          <w:rFonts w:hint="eastAsia"/>
          <w:sz w:val="30"/>
          <w:szCs w:val="30"/>
        </w:rPr>
      </w:pPr>
      <w:r>
        <w:rPr>
          <w:rFonts w:hint="eastAsia"/>
          <w:sz w:val="30"/>
          <w:szCs w:val="30"/>
        </w:rPr>
        <w:t>In other words, it will occur in the new heavens and the new earth, when the former things have (completely) passed away, and when all things have been made new (Rev. 21:1-5; Rom. 8:18-22, 2 Peter 3:8-13, Rev. 21:14).</w:t>
      </w:r>
    </w:p>
    <w:p w14:paraId="038C9D41">
      <w:pPr>
        <w:pStyle w:val="9"/>
        <w:spacing w:before="11"/>
        <w:ind w:left="0"/>
        <w:jc w:val="left"/>
        <w:rPr>
          <w:rFonts w:hint="eastAsia"/>
          <w:sz w:val="30"/>
          <w:szCs w:val="30"/>
        </w:rPr>
      </w:pPr>
      <w:r>
        <w:rPr>
          <w:rFonts w:hint="eastAsia"/>
          <w:sz w:val="30"/>
          <w:szCs w:val="30"/>
        </w:rPr>
        <w:t>换句话说，它将发生在新天新地，那时先前的事都（完全）过去了，万物都更新了（启21:1-5；罗8:18-22，彼后3:8-13，启21:14）。</w:t>
      </w:r>
    </w:p>
    <w:p w14:paraId="7E60D57E">
      <w:pPr>
        <w:pStyle w:val="9"/>
        <w:spacing w:before="11"/>
        <w:ind w:left="0"/>
        <w:jc w:val="left"/>
        <w:rPr>
          <w:rFonts w:hint="eastAsia"/>
          <w:sz w:val="30"/>
          <w:szCs w:val="30"/>
        </w:rPr>
      </w:pPr>
    </w:p>
    <w:p w14:paraId="59F84E17">
      <w:pPr>
        <w:pStyle w:val="9"/>
        <w:spacing w:before="11"/>
        <w:ind w:left="0"/>
        <w:jc w:val="left"/>
        <w:rPr>
          <w:rFonts w:hint="eastAsia"/>
          <w:sz w:val="30"/>
          <w:szCs w:val="30"/>
        </w:rPr>
      </w:pPr>
      <w:r>
        <w:rPr>
          <w:rFonts w:hint="eastAsia"/>
          <w:sz w:val="30"/>
          <w:szCs w:val="30"/>
        </w:rPr>
        <w:t>He also cites 2 Timothy 2:12, which says nothing at all about a millennium, but simply looks forward to the eternal reign of the saints with Christ in the World to Come (Luke 19:15f, Rev. 5:9-10, 22:5).</w:t>
      </w:r>
    </w:p>
    <w:p w14:paraId="43571D08">
      <w:pPr>
        <w:pStyle w:val="9"/>
        <w:spacing w:before="11"/>
        <w:ind w:left="0"/>
        <w:jc w:val="left"/>
        <w:rPr>
          <w:rFonts w:hint="eastAsia"/>
          <w:sz w:val="30"/>
          <w:szCs w:val="30"/>
        </w:rPr>
      </w:pPr>
      <w:r>
        <w:rPr>
          <w:rFonts w:hint="eastAsia"/>
          <w:sz w:val="30"/>
          <w:szCs w:val="30"/>
        </w:rPr>
        <w:t>祂也引用了提摩太后书2:12，这节经文完全没有提到千禧年，而只是展望了圣徒在将来世界与基督一同永恒的作王（路19:15及以下，启5:9-10，22:5）。</w:t>
      </w:r>
    </w:p>
    <w:p w14:paraId="7A5CEF6A">
      <w:pPr>
        <w:pStyle w:val="9"/>
        <w:spacing w:before="11"/>
        <w:ind w:left="0"/>
        <w:jc w:val="left"/>
        <w:rPr>
          <w:rFonts w:hint="eastAsia"/>
          <w:sz w:val="30"/>
          <w:szCs w:val="30"/>
        </w:rPr>
      </w:pPr>
    </w:p>
    <w:p w14:paraId="1A6242A7">
      <w:pPr>
        <w:pStyle w:val="9"/>
        <w:spacing w:before="11"/>
        <w:ind w:left="0"/>
        <w:jc w:val="left"/>
        <w:rPr>
          <w:rFonts w:hint="eastAsia"/>
          <w:sz w:val="30"/>
          <w:szCs w:val="30"/>
        </w:rPr>
      </w:pPr>
      <w:r>
        <w:rPr>
          <w:rFonts w:hint="eastAsia"/>
          <w:sz w:val="30"/>
          <w:szCs w:val="30"/>
        </w:rPr>
        <w:t>But if the millennial reign of the saints has nothing do with ruling over the nations or giving judgments upon the earth, what does it mean?</w:t>
      </w:r>
    </w:p>
    <w:p w14:paraId="4119616E">
      <w:pPr>
        <w:pStyle w:val="9"/>
        <w:spacing w:before="11"/>
        <w:ind w:left="0"/>
        <w:jc w:val="left"/>
        <w:rPr>
          <w:rFonts w:hint="eastAsia"/>
          <w:sz w:val="30"/>
          <w:szCs w:val="30"/>
        </w:rPr>
      </w:pPr>
      <w:r>
        <w:rPr>
          <w:rFonts w:hint="eastAsia"/>
          <w:sz w:val="30"/>
          <w:szCs w:val="30"/>
        </w:rPr>
        <w:t>但如果圣徒的千禧年统治与统治列国或在地上施行审判无关，那它是什么意思呢？</w:t>
      </w:r>
    </w:p>
    <w:p w14:paraId="065BDEE9">
      <w:pPr>
        <w:pStyle w:val="9"/>
        <w:spacing w:before="11"/>
        <w:ind w:left="0"/>
        <w:jc w:val="left"/>
        <w:rPr>
          <w:rFonts w:hint="eastAsia"/>
          <w:sz w:val="30"/>
          <w:szCs w:val="30"/>
        </w:rPr>
      </w:pPr>
    </w:p>
    <w:p w14:paraId="6F360CCD">
      <w:pPr>
        <w:pStyle w:val="9"/>
        <w:spacing w:before="11"/>
        <w:ind w:left="0"/>
        <w:jc w:val="left"/>
        <w:rPr>
          <w:rFonts w:hint="eastAsia"/>
          <w:sz w:val="30"/>
          <w:szCs w:val="30"/>
        </w:rPr>
      </w:pPr>
      <w:r>
        <w:rPr>
          <w:rFonts w:hint="eastAsia"/>
          <w:sz w:val="30"/>
          <w:szCs w:val="30"/>
        </w:rPr>
        <w:t>While the Revelation itself does supply some important clues, I reckon that on this score the single most helpful NT text is Romans 5:17.</w:t>
      </w:r>
    </w:p>
    <w:p w14:paraId="35292C12">
      <w:pPr>
        <w:pStyle w:val="9"/>
        <w:spacing w:before="11"/>
        <w:ind w:left="0"/>
        <w:jc w:val="left"/>
        <w:rPr>
          <w:rFonts w:hint="eastAsia"/>
          <w:sz w:val="30"/>
          <w:szCs w:val="30"/>
        </w:rPr>
      </w:pPr>
      <w:r>
        <w:rPr>
          <w:rFonts w:hint="eastAsia"/>
          <w:sz w:val="30"/>
          <w:szCs w:val="30"/>
        </w:rPr>
        <w:t>虽然《启示录》本身确实提供了一些重要的线索，但我认为在这方面，新约中最有帮助的一节经文是罗马书5:17。</w:t>
      </w:r>
    </w:p>
    <w:p w14:paraId="0E1904E5">
      <w:pPr>
        <w:pStyle w:val="9"/>
        <w:spacing w:before="11"/>
        <w:ind w:left="0"/>
        <w:jc w:val="left"/>
        <w:rPr>
          <w:rFonts w:hint="eastAsia"/>
          <w:sz w:val="30"/>
          <w:szCs w:val="30"/>
        </w:rPr>
      </w:pPr>
    </w:p>
    <w:p w14:paraId="381D0767">
      <w:pPr>
        <w:pStyle w:val="9"/>
        <w:spacing w:before="11"/>
        <w:ind w:left="0"/>
        <w:jc w:val="left"/>
        <w:rPr>
          <w:rFonts w:hint="eastAsia"/>
          <w:sz w:val="30"/>
          <w:szCs w:val="30"/>
        </w:rPr>
      </w:pPr>
      <w:r>
        <w:rPr>
          <w:rFonts w:hint="eastAsia"/>
          <w:sz w:val="30"/>
          <w:szCs w:val="30"/>
        </w:rPr>
        <w:t>It reads:</w:t>
      </w:r>
    </w:p>
    <w:p w14:paraId="204BE861">
      <w:pPr>
        <w:pStyle w:val="9"/>
        <w:spacing w:before="11"/>
        <w:ind w:left="0"/>
        <w:jc w:val="left"/>
        <w:rPr>
          <w:rFonts w:hint="eastAsia"/>
          <w:sz w:val="30"/>
          <w:szCs w:val="30"/>
        </w:rPr>
      </w:pPr>
      <w:r>
        <w:rPr>
          <w:rFonts w:hint="eastAsia"/>
          <w:sz w:val="30"/>
          <w:szCs w:val="30"/>
        </w:rPr>
        <w:t>它写道：</w:t>
      </w:r>
    </w:p>
    <w:p w14:paraId="5EB117C7">
      <w:pPr>
        <w:pStyle w:val="9"/>
        <w:spacing w:before="11"/>
        <w:ind w:left="0"/>
        <w:jc w:val="left"/>
        <w:rPr>
          <w:rFonts w:hint="eastAsia"/>
          <w:sz w:val="30"/>
          <w:szCs w:val="30"/>
        </w:rPr>
      </w:pPr>
    </w:p>
    <w:p w14:paraId="0DB5BA4B">
      <w:pPr>
        <w:pStyle w:val="9"/>
        <w:spacing w:before="11"/>
        <w:ind w:left="0"/>
        <w:jc w:val="left"/>
        <w:rPr>
          <w:rFonts w:hint="eastAsia"/>
          <w:sz w:val="30"/>
          <w:szCs w:val="30"/>
        </w:rPr>
      </w:pPr>
      <w:r>
        <w:rPr>
          <w:rFonts w:hint="eastAsia"/>
          <w:sz w:val="30"/>
          <w:szCs w:val="30"/>
        </w:rPr>
        <w:t>For if, by the transgression of the one (i.e., Adam), death reigned through the one, much more those who receive the abundance of grace and of the gift of righteousness will reign in life through the One, Jesus Christ.</w:t>
      </w:r>
    </w:p>
    <w:p w14:paraId="773C0C29">
      <w:pPr>
        <w:pStyle w:val="9"/>
        <w:spacing w:before="11"/>
        <w:ind w:left="0"/>
        <w:jc w:val="left"/>
        <w:rPr>
          <w:rFonts w:hint="eastAsia"/>
          <w:sz w:val="30"/>
          <w:szCs w:val="30"/>
        </w:rPr>
      </w:pPr>
      <w:r>
        <w:rPr>
          <w:rFonts w:hint="eastAsia"/>
          <w:sz w:val="30"/>
          <w:szCs w:val="30"/>
        </w:rPr>
        <w:t>若因一人的过犯，死就因这一人作了王，何况那些受洪恩又蒙所赐之义的，岂不更要藉着耶稣基督一人在生命中作王吗？</w:t>
      </w:r>
    </w:p>
    <w:p w14:paraId="563703EB">
      <w:pPr>
        <w:pStyle w:val="9"/>
        <w:spacing w:before="11"/>
        <w:ind w:left="0"/>
        <w:jc w:val="left"/>
        <w:rPr>
          <w:rFonts w:hint="eastAsia"/>
          <w:sz w:val="30"/>
          <w:szCs w:val="30"/>
        </w:rPr>
      </w:pPr>
    </w:p>
    <w:p w14:paraId="65DD78E7">
      <w:pPr>
        <w:pStyle w:val="9"/>
        <w:spacing w:before="11"/>
        <w:ind w:left="0"/>
        <w:jc w:val="left"/>
        <w:rPr>
          <w:rFonts w:hint="eastAsia"/>
          <w:sz w:val="30"/>
          <w:szCs w:val="30"/>
        </w:rPr>
      </w:pPr>
      <w:r>
        <w:rPr>
          <w:rFonts w:hint="eastAsia"/>
          <w:sz w:val="30"/>
          <w:szCs w:val="30"/>
        </w:rPr>
        <w:t>Here, Paul is saying that through the work of Christ the saints will (note the future tense) reign over sin and death in life.</w:t>
      </w:r>
    </w:p>
    <w:p w14:paraId="7AE79D74">
      <w:pPr>
        <w:pStyle w:val="9"/>
        <w:spacing w:before="11"/>
        <w:ind w:left="0"/>
        <w:jc w:val="left"/>
        <w:rPr>
          <w:rFonts w:hint="eastAsia"/>
          <w:sz w:val="30"/>
          <w:szCs w:val="30"/>
        </w:rPr>
      </w:pPr>
      <w:r>
        <w:rPr>
          <w:rFonts w:hint="eastAsia"/>
          <w:sz w:val="30"/>
          <w:szCs w:val="30"/>
        </w:rPr>
        <w:t>在这里，保罗是说，借着基督的工作，圣徒将（注意将来时态）在生命中作王，胜过罪和死。</w:t>
      </w:r>
    </w:p>
    <w:p w14:paraId="225C0072">
      <w:pPr>
        <w:pStyle w:val="9"/>
        <w:spacing w:before="11"/>
        <w:ind w:left="0"/>
        <w:jc w:val="left"/>
        <w:rPr>
          <w:rFonts w:hint="eastAsia"/>
          <w:sz w:val="30"/>
          <w:szCs w:val="30"/>
        </w:rPr>
      </w:pPr>
    </w:p>
    <w:p w14:paraId="3C73F933">
      <w:pPr>
        <w:pStyle w:val="9"/>
        <w:spacing w:before="11"/>
        <w:ind w:left="0"/>
        <w:jc w:val="left"/>
        <w:rPr>
          <w:rFonts w:hint="eastAsia"/>
          <w:sz w:val="30"/>
          <w:szCs w:val="30"/>
        </w:rPr>
      </w:pPr>
      <w:r>
        <w:rPr>
          <w:rFonts w:hint="eastAsia"/>
          <w:sz w:val="30"/>
          <w:szCs w:val="30"/>
        </w:rPr>
        <w:t>And when, exactly, will that be?</w:t>
      </w:r>
    </w:p>
    <w:p w14:paraId="0B0F661B">
      <w:pPr>
        <w:pStyle w:val="9"/>
        <w:spacing w:before="11"/>
        <w:ind w:left="0"/>
        <w:jc w:val="left"/>
        <w:rPr>
          <w:rFonts w:hint="eastAsia"/>
          <w:sz w:val="30"/>
          <w:szCs w:val="30"/>
        </w:rPr>
      </w:pPr>
      <w:r>
        <w:rPr>
          <w:rFonts w:hint="eastAsia"/>
          <w:sz w:val="30"/>
          <w:szCs w:val="30"/>
        </w:rPr>
        <w:t>那究竟会在何时呢？</w:t>
      </w:r>
    </w:p>
    <w:p w14:paraId="7E7CDBAB">
      <w:pPr>
        <w:pStyle w:val="9"/>
        <w:spacing w:before="11"/>
        <w:ind w:left="0"/>
        <w:jc w:val="left"/>
        <w:rPr>
          <w:rFonts w:hint="eastAsia"/>
          <w:sz w:val="30"/>
          <w:szCs w:val="30"/>
        </w:rPr>
      </w:pPr>
    </w:p>
    <w:p w14:paraId="2E44F299">
      <w:pPr>
        <w:pStyle w:val="9"/>
        <w:spacing w:before="11"/>
        <w:ind w:left="0"/>
        <w:jc w:val="left"/>
        <w:rPr>
          <w:rFonts w:hint="eastAsia"/>
          <w:sz w:val="30"/>
          <w:szCs w:val="30"/>
        </w:rPr>
      </w:pPr>
      <w:r>
        <w:rPr>
          <w:rFonts w:hint="eastAsia"/>
          <w:sz w:val="30"/>
          <w:szCs w:val="30"/>
        </w:rPr>
        <w:t>The NT offers this answer, and this alone: First it will be in the Intermediate State, and then it will be in the new heavens and the new earth.</w:t>
      </w:r>
    </w:p>
    <w:p w14:paraId="54ADA2FA">
      <w:pPr>
        <w:pStyle w:val="9"/>
        <w:spacing w:before="11"/>
        <w:ind w:left="0"/>
        <w:jc w:val="left"/>
        <w:rPr>
          <w:rFonts w:hint="eastAsia"/>
          <w:sz w:val="30"/>
          <w:szCs w:val="30"/>
        </w:rPr>
      </w:pPr>
      <w:r>
        <w:rPr>
          <w:rFonts w:hint="eastAsia"/>
          <w:sz w:val="30"/>
          <w:szCs w:val="30"/>
        </w:rPr>
        <w:t>新约提供了这个答案，也只有这个答案：首先是在中间状态，然后是在新天新地。</w:t>
      </w:r>
    </w:p>
    <w:p w14:paraId="2AD70EAE">
      <w:pPr>
        <w:pStyle w:val="9"/>
        <w:spacing w:before="11"/>
        <w:ind w:left="0"/>
        <w:jc w:val="left"/>
        <w:rPr>
          <w:rFonts w:hint="eastAsia"/>
          <w:sz w:val="30"/>
          <w:szCs w:val="30"/>
        </w:rPr>
      </w:pPr>
    </w:p>
    <w:p w14:paraId="0FCB01FB">
      <w:pPr>
        <w:pStyle w:val="9"/>
        <w:spacing w:before="11"/>
        <w:ind w:left="0"/>
        <w:jc w:val="left"/>
        <w:rPr>
          <w:rFonts w:hint="eastAsia"/>
          <w:sz w:val="30"/>
          <w:szCs w:val="30"/>
        </w:rPr>
      </w:pPr>
      <w:r>
        <w:rPr>
          <w:rFonts w:hint="eastAsia"/>
          <w:sz w:val="30"/>
          <w:szCs w:val="30"/>
        </w:rPr>
        <w:t>Revelation 20:4 and 6 certainly seem to say the same thing: When overcomers die and their spirits enter heaven, they will receive, as it were, their first share in Christ’s absolute victory over sin and death; they will reign with him, in life, in heaven, as perfected spirits, for the duration of his heavenly reign (styled as “a thousand years”).</w:t>
      </w:r>
    </w:p>
    <w:p w14:paraId="113C0B89">
      <w:pPr>
        <w:pStyle w:val="9"/>
        <w:spacing w:before="11"/>
        <w:ind w:left="0"/>
        <w:jc w:val="left"/>
        <w:rPr>
          <w:rFonts w:hint="eastAsia"/>
          <w:sz w:val="30"/>
          <w:szCs w:val="30"/>
        </w:rPr>
      </w:pPr>
      <w:r>
        <w:rPr>
          <w:rFonts w:hint="eastAsia"/>
          <w:sz w:val="30"/>
          <w:szCs w:val="30"/>
        </w:rPr>
        <w:t>《启示录》20:4和6当然似乎也说了同样的话：当得胜者去世，他们的灵进入天堂时，他们将仿佛领受了他们在基督对罪和死的绝对胜利中的第一份；他们将与祂一同在生命中，在天上，作为成全的灵作王，直到祂属天统治的结束（被称为“一千年”）。</w:t>
      </w:r>
    </w:p>
    <w:p w14:paraId="6956E8B2">
      <w:pPr>
        <w:pStyle w:val="9"/>
        <w:spacing w:before="11"/>
        <w:ind w:left="0"/>
        <w:jc w:val="left"/>
        <w:rPr>
          <w:rFonts w:hint="eastAsia"/>
          <w:sz w:val="30"/>
          <w:szCs w:val="30"/>
        </w:rPr>
      </w:pPr>
    </w:p>
    <w:p w14:paraId="6E2BC835">
      <w:pPr>
        <w:pStyle w:val="9"/>
        <w:spacing w:before="11"/>
        <w:ind w:left="0"/>
        <w:jc w:val="left"/>
        <w:rPr>
          <w:rFonts w:hint="eastAsia"/>
          <w:sz w:val="30"/>
          <w:szCs w:val="30"/>
        </w:rPr>
      </w:pPr>
      <w:r>
        <w:rPr>
          <w:rFonts w:hint="eastAsia"/>
          <w:sz w:val="30"/>
          <w:szCs w:val="30"/>
        </w:rPr>
        <w:t>Then, following the bodily resurrection of the dead, they will fully reign with him over physical death as well in new glorified bodies perfectly fitted for the World to Come.</w:t>
      </w:r>
    </w:p>
    <w:p w14:paraId="7D63DC09">
      <w:pPr>
        <w:pStyle w:val="9"/>
        <w:spacing w:before="11"/>
        <w:ind w:left="0"/>
        <w:jc w:val="left"/>
        <w:rPr>
          <w:rFonts w:hint="eastAsia"/>
          <w:sz w:val="30"/>
          <w:szCs w:val="30"/>
        </w:rPr>
      </w:pPr>
      <w:r>
        <w:rPr>
          <w:rFonts w:hint="eastAsia"/>
          <w:sz w:val="30"/>
          <w:szCs w:val="30"/>
        </w:rPr>
        <w:t>然后，在死人身体复活之后，他们也将在新的、得荣耀的、完全适合将来世界的身体中，与祂一同完全作王，胜过肉体的死亡。</w:t>
      </w:r>
    </w:p>
    <w:p w14:paraId="769F075D">
      <w:pPr>
        <w:pStyle w:val="9"/>
        <w:spacing w:before="11"/>
        <w:ind w:left="0"/>
        <w:jc w:val="left"/>
        <w:rPr>
          <w:rFonts w:hint="eastAsia"/>
          <w:sz w:val="30"/>
          <w:szCs w:val="30"/>
        </w:rPr>
      </w:pPr>
    </w:p>
    <w:p w14:paraId="434E7280">
      <w:pPr>
        <w:pStyle w:val="9"/>
        <w:spacing w:before="11"/>
        <w:ind w:left="0"/>
        <w:jc w:val="left"/>
        <w:rPr>
          <w:rFonts w:hint="eastAsia"/>
          <w:sz w:val="30"/>
          <w:szCs w:val="30"/>
        </w:rPr>
      </w:pPr>
      <w:r>
        <w:rPr>
          <w:rFonts w:hint="eastAsia"/>
          <w:sz w:val="30"/>
          <w:szCs w:val="30"/>
        </w:rPr>
        <w:t>Several texts in the Revelation itself support this view.</w:t>
      </w:r>
    </w:p>
    <w:p w14:paraId="0B791D4E">
      <w:pPr>
        <w:pStyle w:val="9"/>
        <w:spacing w:before="11"/>
        <w:ind w:left="0"/>
        <w:jc w:val="left"/>
        <w:rPr>
          <w:rFonts w:hint="eastAsia"/>
          <w:sz w:val="30"/>
          <w:szCs w:val="30"/>
        </w:rPr>
      </w:pPr>
      <w:r>
        <w:rPr>
          <w:rFonts w:hint="eastAsia"/>
          <w:sz w:val="30"/>
          <w:szCs w:val="30"/>
        </w:rPr>
        <w:t>《启示录》本身有几处经文支持这一观点。</w:t>
      </w:r>
    </w:p>
    <w:p w14:paraId="7DD17CAC">
      <w:pPr>
        <w:pStyle w:val="9"/>
        <w:spacing w:before="11"/>
        <w:ind w:left="0"/>
        <w:jc w:val="left"/>
        <w:rPr>
          <w:rFonts w:hint="eastAsia"/>
          <w:sz w:val="30"/>
          <w:szCs w:val="30"/>
        </w:rPr>
      </w:pPr>
    </w:p>
    <w:p w14:paraId="3DD99DAE">
      <w:pPr>
        <w:pStyle w:val="9"/>
        <w:spacing w:before="11"/>
        <w:ind w:left="0"/>
        <w:jc w:val="left"/>
        <w:rPr>
          <w:rFonts w:hint="eastAsia"/>
          <w:sz w:val="30"/>
          <w:szCs w:val="30"/>
        </w:rPr>
      </w:pPr>
      <w:r>
        <w:rPr>
          <w:rFonts w:hint="eastAsia"/>
          <w:sz w:val="30"/>
          <w:szCs w:val="30"/>
        </w:rPr>
        <w:t>Revelation 11:15 closely associates the (eternal) reign of God and Christ, not so much with governing authority over the nations, as with final victory over the forces of evil.</w:t>
      </w:r>
    </w:p>
    <w:p w14:paraId="220FA65E">
      <w:pPr>
        <w:pStyle w:val="9"/>
        <w:spacing w:before="11"/>
        <w:ind w:left="0"/>
        <w:jc w:val="left"/>
        <w:rPr>
          <w:rFonts w:hint="eastAsia"/>
          <w:sz w:val="30"/>
          <w:szCs w:val="30"/>
        </w:rPr>
      </w:pPr>
      <w:r>
        <w:rPr>
          <w:rFonts w:hint="eastAsia"/>
          <w:sz w:val="30"/>
          <w:szCs w:val="30"/>
        </w:rPr>
        <w:t>《启示录》11:15将上帝和基督（永恒的）统治，与其说是与对列国的治理权柄联系在一起，不如说是与对邪恶势力的最终胜利联系在一起。</w:t>
      </w:r>
    </w:p>
    <w:p w14:paraId="03567541">
      <w:pPr>
        <w:pStyle w:val="9"/>
        <w:spacing w:before="11"/>
        <w:ind w:left="0"/>
        <w:jc w:val="left"/>
        <w:rPr>
          <w:rFonts w:hint="eastAsia"/>
          <w:sz w:val="30"/>
          <w:szCs w:val="30"/>
        </w:rPr>
      </w:pPr>
    </w:p>
    <w:p w14:paraId="4B757517">
      <w:pPr>
        <w:pStyle w:val="9"/>
        <w:spacing w:before="11"/>
        <w:ind w:left="0"/>
        <w:jc w:val="left"/>
        <w:rPr>
          <w:rFonts w:hint="eastAsia"/>
          <w:sz w:val="30"/>
          <w:szCs w:val="30"/>
        </w:rPr>
      </w:pPr>
      <w:r>
        <w:rPr>
          <w:rFonts w:hint="eastAsia"/>
          <w:sz w:val="30"/>
          <w:szCs w:val="30"/>
        </w:rPr>
        <w:t>Similarly, 22:5 associates the (eternal) reign of the saints, not with rulership over their brethren, but with final rescue from the curse, and with complete enjoyment of the fullness of the light and life of God (22:1-5).</w:t>
      </w:r>
    </w:p>
    <w:p w14:paraId="598ED81A">
      <w:pPr>
        <w:pStyle w:val="9"/>
        <w:spacing w:before="11"/>
        <w:ind w:left="0"/>
        <w:jc w:val="left"/>
        <w:rPr>
          <w:rFonts w:hint="eastAsia"/>
          <w:sz w:val="30"/>
          <w:szCs w:val="30"/>
        </w:rPr>
      </w:pPr>
      <w:r>
        <w:rPr>
          <w:rFonts w:hint="eastAsia"/>
          <w:sz w:val="30"/>
          <w:szCs w:val="30"/>
        </w:rPr>
        <w:t>同样，22:5将圣徒（永恒的）作王，不是与对他们弟兄的统治联系在一起，而是与从咒诅中最终得救，以及完全享受上帝丰满的光明和生命联系在一起（22:1-5）。</w:t>
      </w:r>
    </w:p>
    <w:p w14:paraId="538241E0">
      <w:pPr>
        <w:pStyle w:val="9"/>
        <w:spacing w:before="11"/>
        <w:ind w:left="0"/>
        <w:jc w:val="left"/>
        <w:rPr>
          <w:rFonts w:hint="eastAsia"/>
          <w:sz w:val="30"/>
          <w:szCs w:val="30"/>
        </w:rPr>
      </w:pPr>
    </w:p>
    <w:p w14:paraId="71CD4336">
      <w:pPr>
        <w:pStyle w:val="9"/>
        <w:spacing w:before="11"/>
        <w:ind w:left="0"/>
        <w:jc w:val="left"/>
        <w:rPr>
          <w:rFonts w:hint="eastAsia"/>
          <w:sz w:val="30"/>
          <w:szCs w:val="30"/>
        </w:rPr>
      </w:pPr>
      <w:r>
        <w:rPr>
          <w:rFonts w:hint="eastAsia"/>
          <w:sz w:val="30"/>
          <w:szCs w:val="30"/>
        </w:rPr>
        <w:t>Again, these texts appear to illuminate 20:4-6.</w:t>
      </w:r>
    </w:p>
    <w:p w14:paraId="2EF4C989">
      <w:pPr>
        <w:pStyle w:val="9"/>
        <w:spacing w:before="11"/>
        <w:ind w:left="0"/>
        <w:jc w:val="left"/>
        <w:rPr>
          <w:rFonts w:hint="eastAsia"/>
          <w:sz w:val="30"/>
          <w:szCs w:val="30"/>
        </w:rPr>
      </w:pPr>
      <w:r>
        <w:rPr>
          <w:rFonts w:hint="eastAsia"/>
          <w:sz w:val="30"/>
          <w:szCs w:val="30"/>
        </w:rPr>
        <w:t>再次，这些经文似乎阐明了20:4-6。</w:t>
      </w:r>
    </w:p>
    <w:p w14:paraId="65074E04">
      <w:pPr>
        <w:pStyle w:val="9"/>
        <w:spacing w:before="11"/>
        <w:ind w:left="0"/>
        <w:jc w:val="left"/>
        <w:rPr>
          <w:rFonts w:hint="eastAsia"/>
          <w:sz w:val="30"/>
          <w:szCs w:val="30"/>
        </w:rPr>
      </w:pPr>
    </w:p>
    <w:p w14:paraId="2BC1F010">
      <w:pPr>
        <w:pStyle w:val="9"/>
        <w:spacing w:before="11"/>
        <w:ind w:left="0"/>
        <w:jc w:val="left"/>
        <w:rPr>
          <w:rFonts w:hint="eastAsia"/>
          <w:sz w:val="30"/>
          <w:szCs w:val="30"/>
        </w:rPr>
      </w:pPr>
      <w:r>
        <w:rPr>
          <w:rFonts w:hint="eastAsia"/>
          <w:sz w:val="30"/>
          <w:szCs w:val="30"/>
        </w:rPr>
        <w:t>If so, the message of the latter is this: Just as there are two different but closely related “comings to life”—a spiritual, followed by a physical—so also there are two different but closely related “reignings with Christ.”</w:t>
      </w:r>
    </w:p>
    <w:p w14:paraId="43AB0DF7">
      <w:pPr>
        <w:pStyle w:val="9"/>
        <w:spacing w:before="11"/>
        <w:ind w:left="0"/>
        <w:jc w:val="left"/>
        <w:rPr>
          <w:rFonts w:hint="eastAsia"/>
          <w:sz w:val="30"/>
          <w:szCs w:val="30"/>
        </w:rPr>
      </w:pPr>
      <w:r>
        <w:rPr>
          <w:rFonts w:hint="eastAsia"/>
          <w:sz w:val="30"/>
          <w:szCs w:val="30"/>
        </w:rPr>
        <w:t>如果是这样，后者的信息是：正如存在两种不同但密切相关的“活过来”——一种属灵的，其后是一种属物质的——同样也存在两种不同但密切相关的“与基督一同作王”。</w:t>
      </w:r>
    </w:p>
    <w:p w14:paraId="37F5ECA6">
      <w:pPr>
        <w:pStyle w:val="9"/>
        <w:spacing w:before="11"/>
        <w:ind w:left="0"/>
        <w:jc w:val="left"/>
        <w:rPr>
          <w:rFonts w:hint="eastAsia"/>
          <w:sz w:val="30"/>
          <w:szCs w:val="30"/>
        </w:rPr>
      </w:pPr>
    </w:p>
    <w:p w14:paraId="146D747D">
      <w:pPr>
        <w:pStyle w:val="9"/>
        <w:spacing w:before="11"/>
        <w:ind w:left="0"/>
        <w:jc w:val="left"/>
        <w:rPr>
          <w:rFonts w:hint="eastAsia"/>
          <w:sz w:val="30"/>
          <w:szCs w:val="30"/>
        </w:rPr>
      </w:pPr>
      <w:r>
        <w:rPr>
          <w:rFonts w:hint="eastAsia"/>
          <w:sz w:val="30"/>
          <w:szCs w:val="30"/>
        </w:rPr>
        <w:t>The first—the millennial reign of the saints—is spiritual.</w:t>
      </w:r>
    </w:p>
    <w:p w14:paraId="7F0BB889">
      <w:pPr>
        <w:pStyle w:val="9"/>
        <w:spacing w:before="11"/>
        <w:ind w:left="0"/>
        <w:jc w:val="left"/>
        <w:rPr>
          <w:rFonts w:hint="eastAsia"/>
          <w:sz w:val="30"/>
          <w:szCs w:val="30"/>
        </w:rPr>
      </w:pPr>
      <w:r>
        <w:rPr>
          <w:rFonts w:hint="eastAsia"/>
          <w:sz w:val="30"/>
          <w:szCs w:val="30"/>
        </w:rPr>
        <w:t>第一个——圣徒的千禧年统治——是属灵的。</w:t>
      </w:r>
    </w:p>
    <w:p w14:paraId="4D7A7E41">
      <w:pPr>
        <w:pStyle w:val="9"/>
        <w:spacing w:before="11"/>
        <w:ind w:left="0"/>
        <w:jc w:val="left"/>
        <w:rPr>
          <w:rFonts w:hint="eastAsia"/>
          <w:sz w:val="30"/>
          <w:szCs w:val="30"/>
        </w:rPr>
      </w:pPr>
    </w:p>
    <w:p w14:paraId="261C5B52">
      <w:pPr>
        <w:pStyle w:val="9"/>
        <w:spacing w:before="11"/>
        <w:ind w:left="0"/>
        <w:jc w:val="left"/>
        <w:rPr>
          <w:rFonts w:hint="eastAsia"/>
          <w:sz w:val="30"/>
          <w:szCs w:val="30"/>
        </w:rPr>
      </w:pPr>
      <w:r>
        <w:rPr>
          <w:rFonts w:hint="eastAsia"/>
          <w:sz w:val="30"/>
          <w:szCs w:val="30"/>
        </w:rPr>
        <w:t>It begins when the believer’s spirit enters heaven and partakes of Christ’s complete victory over all spiritual evil, suffering, and death.</w:t>
      </w:r>
    </w:p>
    <w:p w14:paraId="12D0BFE1">
      <w:pPr>
        <w:pStyle w:val="9"/>
        <w:spacing w:before="11"/>
        <w:ind w:left="0"/>
        <w:jc w:val="left"/>
        <w:rPr>
          <w:rFonts w:hint="eastAsia"/>
          <w:sz w:val="30"/>
          <w:szCs w:val="30"/>
        </w:rPr>
      </w:pPr>
      <w:r>
        <w:rPr>
          <w:rFonts w:hint="eastAsia"/>
          <w:sz w:val="30"/>
          <w:szCs w:val="30"/>
        </w:rPr>
        <w:t>它始于信徒的灵进入天堂，并有份于基督对所有属灵邪恶、苦难和死亡的完全胜利。</w:t>
      </w:r>
    </w:p>
    <w:p w14:paraId="188127DC">
      <w:pPr>
        <w:pStyle w:val="9"/>
        <w:spacing w:before="11"/>
        <w:ind w:left="0"/>
        <w:jc w:val="left"/>
        <w:rPr>
          <w:rFonts w:hint="eastAsia"/>
          <w:sz w:val="30"/>
          <w:szCs w:val="30"/>
        </w:rPr>
      </w:pPr>
    </w:p>
    <w:p w14:paraId="6DE3CBC8">
      <w:pPr>
        <w:pStyle w:val="9"/>
        <w:spacing w:before="11"/>
        <w:ind w:left="0"/>
        <w:jc w:val="left"/>
        <w:rPr>
          <w:rFonts w:hint="eastAsia"/>
          <w:sz w:val="30"/>
          <w:szCs w:val="30"/>
        </w:rPr>
      </w:pPr>
      <w:r>
        <w:rPr>
          <w:rFonts w:hint="eastAsia"/>
          <w:sz w:val="30"/>
          <w:szCs w:val="30"/>
        </w:rPr>
        <w:t>The second is physical.</w:t>
      </w:r>
    </w:p>
    <w:p w14:paraId="2D9F4050">
      <w:pPr>
        <w:pStyle w:val="9"/>
        <w:spacing w:before="11"/>
        <w:ind w:left="0"/>
        <w:jc w:val="left"/>
        <w:rPr>
          <w:rFonts w:hint="eastAsia"/>
          <w:sz w:val="30"/>
          <w:szCs w:val="30"/>
        </w:rPr>
      </w:pPr>
      <w:r>
        <w:rPr>
          <w:rFonts w:hint="eastAsia"/>
          <w:sz w:val="30"/>
          <w:szCs w:val="30"/>
        </w:rPr>
        <w:t>第二个是属物质的。</w:t>
      </w:r>
    </w:p>
    <w:p w14:paraId="6B198A2C">
      <w:pPr>
        <w:pStyle w:val="9"/>
        <w:spacing w:before="11"/>
        <w:ind w:left="0"/>
        <w:jc w:val="left"/>
        <w:rPr>
          <w:rFonts w:hint="eastAsia"/>
          <w:sz w:val="30"/>
          <w:szCs w:val="30"/>
        </w:rPr>
      </w:pPr>
    </w:p>
    <w:p w14:paraId="71FDB2E0">
      <w:pPr>
        <w:pStyle w:val="9"/>
        <w:spacing w:before="11"/>
        <w:ind w:left="0"/>
        <w:jc w:val="left"/>
        <w:rPr>
          <w:rFonts w:hint="eastAsia"/>
          <w:sz w:val="30"/>
          <w:szCs w:val="30"/>
        </w:rPr>
      </w:pPr>
      <w:r>
        <w:rPr>
          <w:rFonts w:hint="eastAsia"/>
          <w:sz w:val="30"/>
          <w:szCs w:val="30"/>
        </w:rPr>
        <w:t>It begins at the end of the “thousand years,” when Christ comes again to raise the dead and make all things new; when he welcomes believers into the World to Come, where henceforth they will partake of his complete victory over all physical evil, suffering, and death.</w:t>
      </w:r>
    </w:p>
    <w:p w14:paraId="47C241FD">
      <w:pPr>
        <w:pStyle w:val="9"/>
        <w:spacing w:before="11"/>
        <w:ind w:left="0"/>
        <w:jc w:val="left"/>
        <w:rPr>
          <w:rFonts w:hint="eastAsia"/>
          <w:sz w:val="30"/>
          <w:szCs w:val="30"/>
        </w:rPr>
      </w:pPr>
      <w:r>
        <w:rPr>
          <w:rFonts w:hint="eastAsia"/>
          <w:sz w:val="30"/>
          <w:szCs w:val="30"/>
        </w:rPr>
        <w:t>它始于“一千年”的末了，那时基督再来使死人复活，并使万物更新；那时祂欢迎信徒进入将来的世界，从此他们将有份于祂对所有属物质的邪恶、苦难和死亡的完全胜利。</w:t>
      </w:r>
    </w:p>
    <w:p w14:paraId="3F25EC52">
      <w:pPr>
        <w:pStyle w:val="9"/>
        <w:spacing w:before="11"/>
        <w:ind w:left="0"/>
        <w:jc w:val="left"/>
        <w:rPr>
          <w:rFonts w:hint="eastAsia"/>
          <w:sz w:val="30"/>
          <w:szCs w:val="30"/>
        </w:rPr>
      </w:pPr>
    </w:p>
    <w:p w14:paraId="29B7BCB4">
      <w:pPr>
        <w:pStyle w:val="9"/>
        <w:spacing w:before="11"/>
        <w:ind w:left="0"/>
        <w:jc w:val="left"/>
        <w:rPr>
          <w:rFonts w:hint="eastAsia"/>
          <w:sz w:val="30"/>
          <w:szCs w:val="30"/>
        </w:rPr>
      </w:pPr>
      <w:r>
        <w:rPr>
          <w:rFonts w:hint="eastAsia"/>
          <w:sz w:val="30"/>
          <w:szCs w:val="30"/>
        </w:rPr>
        <w:t>Blessed is he who attains to the first “reigning,” for it is certain that such a one will attain to the second, as well!</w:t>
      </w:r>
    </w:p>
    <w:p w14:paraId="7C41AEE2">
      <w:pPr>
        <w:pStyle w:val="9"/>
        <w:spacing w:before="11"/>
        <w:ind w:left="0"/>
        <w:jc w:val="left"/>
        <w:rPr>
          <w:rFonts w:hint="eastAsia"/>
          <w:sz w:val="30"/>
          <w:szCs w:val="30"/>
        </w:rPr>
      </w:pPr>
      <w:r>
        <w:rPr>
          <w:rFonts w:hint="eastAsia"/>
          <w:sz w:val="30"/>
          <w:szCs w:val="30"/>
        </w:rPr>
        <w:t>得着第一次“作王”的人是有福的，因为这样的人也必得着第二次的！</w:t>
      </w:r>
    </w:p>
    <w:p w14:paraId="1FD7FA92">
      <w:pPr>
        <w:pStyle w:val="9"/>
        <w:spacing w:before="11"/>
        <w:ind w:left="0"/>
        <w:jc w:val="left"/>
        <w:rPr>
          <w:rFonts w:hint="eastAsia"/>
          <w:sz w:val="30"/>
          <w:szCs w:val="30"/>
        </w:rPr>
      </w:pPr>
    </w:p>
    <w:p w14:paraId="22971B9D">
      <w:pPr>
        <w:pStyle w:val="9"/>
        <w:spacing w:before="11"/>
        <w:ind w:left="0"/>
        <w:jc w:val="left"/>
        <w:rPr>
          <w:rFonts w:hint="eastAsia"/>
          <w:sz w:val="30"/>
          <w:szCs w:val="30"/>
        </w:rPr>
      </w:pPr>
      <w:r>
        <w:rPr>
          <w:rFonts w:hint="eastAsia"/>
          <w:sz w:val="30"/>
          <w:szCs w:val="30"/>
        </w:rPr>
        <w:t>5.What does the Spirit mean when he says that judgment was given to the saints?</w:t>
      </w:r>
    </w:p>
    <w:p w14:paraId="36ED70F3">
      <w:pPr>
        <w:pStyle w:val="9"/>
        <w:spacing w:before="11"/>
        <w:ind w:left="0"/>
        <w:jc w:val="left"/>
        <w:rPr>
          <w:rFonts w:hint="eastAsia"/>
          <w:sz w:val="30"/>
          <w:szCs w:val="30"/>
        </w:rPr>
      </w:pPr>
      <w:r>
        <w:rPr>
          <w:rFonts w:hint="eastAsia"/>
          <w:sz w:val="30"/>
          <w:szCs w:val="30"/>
        </w:rPr>
        <w:t>5.当圣灵说审判的权柄赐给圣徒时，祂是什么意思？</w:t>
      </w:r>
    </w:p>
    <w:p w14:paraId="3A7C96ED">
      <w:pPr>
        <w:pStyle w:val="9"/>
        <w:spacing w:before="11"/>
        <w:ind w:left="0"/>
        <w:jc w:val="left"/>
        <w:rPr>
          <w:rFonts w:hint="eastAsia"/>
          <w:sz w:val="30"/>
          <w:szCs w:val="30"/>
        </w:rPr>
      </w:pPr>
    </w:p>
    <w:p w14:paraId="530FA6CD">
      <w:pPr>
        <w:pStyle w:val="9"/>
        <w:spacing w:before="11"/>
        <w:ind w:left="0"/>
        <w:jc w:val="left"/>
        <w:rPr>
          <w:rFonts w:hint="eastAsia"/>
          <w:sz w:val="30"/>
          <w:szCs w:val="30"/>
        </w:rPr>
      </w:pPr>
      <w:r>
        <w:rPr>
          <w:rFonts w:hint="eastAsia"/>
          <w:sz w:val="30"/>
          <w:szCs w:val="30"/>
        </w:rPr>
        <w:t>Our text opens as follows: “And I saw thrones, and they sat upon them, and judgment was given to them” (20:4a).</w:t>
      </w:r>
    </w:p>
    <w:p w14:paraId="44E9BE37">
      <w:pPr>
        <w:pStyle w:val="9"/>
        <w:spacing w:before="11"/>
        <w:ind w:left="0"/>
        <w:jc w:val="left"/>
        <w:rPr>
          <w:rFonts w:hint="eastAsia"/>
          <w:sz w:val="30"/>
          <w:szCs w:val="30"/>
        </w:rPr>
      </w:pPr>
      <w:r>
        <w:rPr>
          <w:rFonts w:hint="eastAsia"/>
          <w:sz w:val="30"/>
          <w:szCs w:val="30"/>
        </w:rPr>
        <w:t>我们的经文开头如下：“我又看见几个宝座，也有坐在上面的，并有审判的权柄赐给他们”（20:4a）。</w:t>
      </w:r>
    </w:p>
    <w:p w14:paraId="32726157">
      <w:pPr>
        <w:pStyle w:val="9"/>
        <w:spacing w:before="11"/>
        <w:ind w:left="0"/>
        <w:jc w:val="left"/>
        <w:rPr>
          <w:rFonts w:hint="eastAsia"/>
          <w:sz w:val="30"/>
          <w:szCs w:val="30"/>
        </w:rPr>
      </w:pPr>
    </w:p>
    <w:p w14:paraId="76444C1D">
      <w:pPr>
        <w:pStyle w:val="9"/>
        <w:spacing w:before="11"/>
        <w:ind w:left="0"/>
        <w:jc w:val="left"/>
        <w:rPr>
          <w:rFonts w:hint="eastAsia"/>
          <w:sz w:val="30"/>
          <w:szCs w:val="30"/>
        </w:rPr>
      </w:pPr>
      <w:r>
        <w:rPr>
          <w:rFonts w:hint="eastAsia"/>
          <w:sz w:val="30"/>
          <w:szCs w:val="30"/>
        </w:rPr>
        <w:t>As we have seen, premillennarians interpret this as saying that Christ will give the saints a right of governance and judgment in his earthly millennial kingdom.</w:t>
      </w:r>
    </w:p>
    <w:p w14:paraId="7E73D96C">
      <w:pPr>
        <w:pStyle w:val="9"/>
        <w:spacing w:before="11"/>
        <w:ind w:left="0"/>
        <w:jc w:val="left"/>
        <w:rPr>
          <w:rFonts w:hint="eastAsia"/>
          <w:sz w:val="30"/>
          <w:szCs w:val="30"/>
        </w:rPr>
      </w:pPr>
      <w:r>
        <w:rPr>
          <w:rFonts w:hint="eastAsia"/>
          <w:sz w:val="30"/>
          <w:szCs w:val="30"/>
        </w:rPr>
        <w:t>正如我们所见，前千禧年论者将此解释为基督将赐给圣徒在祂地上千禧年国度中治理和审判的权利。</w:t>
      </w:r>
    </w:p>
    <w:p w14:paraId="238B4819">
      <w:pPr>
        <w:pStyle w:val="9"/>
        <w:spacing w:before="11"/>
        <w:ind w:left="0"/>
        <w:jc w:val="left"/>
        <w:rPr>
          <w:rFonts w:hint="eastAsia"/>
          <w:sz w:val="30"/>
          <w:szCs w:val="30"/>
        </w:rPr>
      </w:pPr>
    </w:p>
    <w:p w14:paraId="37819E47">
      <w:pPr>
        <w:pStyle w:val="9"/>
        <w:spacing w:before="11"/>
        <w:ind w:left="0"/>
        <w:jc w:val="left"/>
        <w:rPr>
          <w:rFonts w:hint="eastAsia"/>
          <w:sz w:val="30"/>
          <w:szCs w:val="30"/>
        </w:rPr>
      </w:pPr>
      <w:r>
        <w:rPr>
          <w:rFonts w:hint="eastAsia"/>
          <w:sz w:val="30"/>
          <w:szCs w:val="30"/>
        </w:rPr>
        <w:t>However, we have also seen that the text does not really support this view; that whatever this judgment is, it does not belong to resurrected saints living after the return of Christ (whether they live in heaven or on the earth), but to the souls of those who die in the Lord and enter heaven prior to his return.</w:t>
      </w:r>
    </w:p>
    <w:p w14:paraId="47BBCB21">
      <w:pPr>
        <w:pStyle w:val="9"/>
        <w:spacing w:before="11"/>
        <w:ind w:left="0"/>
        <w:jc w:val="left"/>
        <w:rPr>
          <w:rFonts w:hint="eastAsia"/>
          <w:sz w:val="30"/>
          <w:szCs w:val="30"/>
        </w:rPr>
      </w:pPr>
      <w:r>
        <w:rPr>
          <w:rFonts w:hint="eastAsia"/>
          <w:sz w:val="30"/>
          <w:szCs w:val="30"/>
        </w:rPr>
        <w:t>然而，我们也已经看到，经文并不真正支持这种观点；无论这个审判是什么，它不属于基督再来后活着的复活圣徒（无论他们活在天上还是地上），而是属于那些在主里死去并在祂再来之前进入天堂之人的灵魂。</w:t>
      </w:r>
    </w:p>
    <w:p w14:paraId="3EB217D7">
      <w:pPr>
        <w:pStyle w:val="9"/>
        <w:spacing w:before="11"/>
        <w:ind w:left="0"/>
        <w:jc w:val="left"/>
        <w:rPr>
          <w:rFonts w:hint="eastAsia"/>
          <w:sz w:val="30"/>
          <w:szCs w:val="30"/>
        </w:rPr>
      </w:pPr>
    </w:p>
    <w:p w14:paraId="0E90221E">
      <w:pPr>
        <w:pStyle w:val="9"/>
        <w:spacing w:before="11"/>
        <w:ind w:left="0"/>
        <w:jc w:val="left"/>
        <w:rPr>
          <w:rFonts w:hint="eastAsia"/>
          <w:sz w:val="30"/>
          <w:szCs w:val="30"/>
        </w:rPr>
      </w:pPr>
      <w:r>
        <w:rPr>
          <w:rFonts w:hint="eastAsia"/>
          <w:sz w:val="30"/>
          <w:szCs w:val="30"/>
        </w:rPr>
        <w:t>What, then, might this judgment be?</w:t>
      </w:r>
    </w:p>
    <w:p w14:paraId="56566A4B">
      <w:pPr>
        <w:pStyle w:val="9"/>
        <w:spacing w:before="11"/>
        <w:ind w:left="0"/>
        <w:jc w:val="left"/>
        <w:rPr>
          <w:rFonts w:hint="eastAsia"/>
          <w:sz w:val="30"/>
          <w:szCs w:val="30"/>
        </w:rPr>
      </w:pPr>
      <w:r>
        <w:rPr>
          <w:rFonts w:hint="eastAsia"/>
          <w:sz w:val="30"/>
          <w:szCs w:val="30"/>
        </w:rPr>
        <w:t>那么，这个审判可能是什么呢？</w:t>
      </w:r>
    </w:p>
    <w:p w14:paraId="22B50BB0">
      <w:pPr>
        <w:pStyle w:val="9"/>
        <w:spacing w:before="11"/>
        <w:ind w:left="0"/>
        <w:jc w:val="left"/>
        <w:rPr>
          <w:rFonts w:hint="eastAsia"/>
          <w:sz w:val="30"/>
          <w:szCs w:val="30"/>
        </w:rPr>
      </w:pPr>
    </w:p>
    <w:p w14:paraId="79E4DC60">
      <w:pPr>
        <w:pStyle w:val="9"/>
        <w:spacing w:before="11"/>
        <w:ind w:left="0"/>
        <w:jc w:val="left"/>
        <w:rPr>
          <w:rFonts w:hint="eastAsia"/>
          <w:sz w:val="30"/>
          <w:szCs w:val="30"/>
        </w:rPr>
      </w:pPr>
      <w:r>
        <w:rPr>
          <w:rFonts w:hint="eastAsia"/>
          <w:sz w:val="30"/>
          <w:szCs w:val="30"/>
        </w:rPr>
        <w:t>In order to arrive at a reliable answer, we cannot fail to interact with Daniel 7, to which the Spirit here alludes no less than three times.</w:t>
      </w:r>
    </w:p>
    <w:p w14:paraId="47747274">
      <w:pPr>
        <w:pStyle w:val="9"/>
        <w:spacing w:before="11"/>
        <w:ind w:left="0"/>
        <w:jc w:val="left"/>
        <w:rPr>
          <w:rFonts w:hint="eastAsia"/>
          <w:sz w:val="30"/>
          <w:szCs w:val="30"/>
        </w:rPr>
      </w:pPr>
      <w:r>
        <w:rPr>
          <w:rFonts w:hint="eastAsia"/>
          <w:sz w:val="30"/>
          <w:szCs w:val="30"/>
        </w:rPr>
        <w:t>为了得出一个可靠的答案，我们不能不与但以理书第7章互动，圣灵在这里至少三次暗指它。</w:t>
      </w:r>
    </w:p>
    <w:p w14:paraId="6FDA6630">
      <w:pPr>
        <w:pStyle w:val="9"/>
        <w:spacing w:before="11"/>
        <w:ind w:left="0"/>
        <w:jc w:val="left"/>
        <w:rPr>
          <w:rFonts w:hint="eastAsia"/>
          <w:sz w:val="30"/>
          <w:szCs w:val="30"/>
        </w:rPr>
      </w:pPr>
    </w:p>
    <w:p w14:paraId="0717DCF2">
      <w:pPr>
        <w:pStyle w:val="9"/>
        <w:spacing w:before="11"/>
        <w:ind w:left="0"/>
        <w:jc w:val="left"/>
        <w:rPr>
          <w:rFonts w:hint="eastAsia"/>
          <w:sz w:val="30"/>
          <w:szCs w:val="30"/>
        </w:rPr>
      </w:pPr>
      <w:r>
        <w:rPr>
          <w:rFonts w:hint="eastAsia"/>
          <w:sz w:val="30"/>
          <w:szCs w:val="30"/>
        </w:rPr>
        <w:t>Daniel 7:9 depicts the Ancient of Days taking his seat for final judgment.</w:t>
      </w:r>
    </w:p>
    <w:p w14:paraId="74092575">
      <w:pPr>
        <w:pStyle w:val="9"/>
        <w:spacing w:before="11"/>
        <w:ind w:left="0"/>
        <w:jc w:val="left"/>
        <w:rPr>
          <w:rFonts w:hint="eastAsia"/>
          <w:sz w:val="30"/>
          <w:szCs w:val="30"/>
        </w:rPr>
      </w:pPr>
      <w:r>
        <w:rPr>
          <w:rFonts w:hint="eastAsia"/>
          <w:sz w:val="30"/>
          <w:szCs w:val="30"/>
        </w:rPr>
        <w:t>但以理书7:9描绘了亘古常在者坐下，为要施行最后的审判。</w:t>
      </w:r>
    </w:p>
    <w:p w14:paraId="20211DBE">
      <w:pPr>
        <w:pStyle w:val="9"/>
        <w:spacing w:before="11"/>
        <w:ind w:left="0"/>
        <w:jc w:val="left"/>
        <w:rPr>
          <w:rFonts w:hint="eastAsia"/>
          <w:sz w:val="30"/>
          <w:szCs w:val="30"/>
        </w:rPr>
      </w:pPr>
    </w:p>
    <w:p w14:paraId="2D1B3101">
      <w:pPr>
        <w:pStyle w:val="9"/>
        <w:spacing w:before="11"/>
        <w:ind w:left="0"/>
        <w:jc w:val="left"/>
        <w:rPr>
          <w:rFonts w:hint="eastAsia"/>
          <w:sz w:val="30"/>
          <w:szCs w:val="30"/>
        </w:rPr>
      </w:pPr>
      <w:r>
        <w:rPr>
          <w:rFonts w:hint="eastAsia"/>
          <w:sz w:val="30"/>
          <w:szCs w:val="30"/>
        </w:rPr>
        <w:t>But just before he does, “Thrones were set up.”</w:t>
      </w:r>
    </w:p>
    <w:p w14:paraId="31777449">
      <w:pPr>
        <w:pStyle w:val="9"/>
        <w:spacing w:before="11"/>
        <w:ind w:left="0"/>
        <w:jc w:val="left"/>
        <w:rPr>
          <w:rFonts w:hint="eastAsia"/>
          <w:sz w:val="30"/>
          <w:szCs w:val="30"/>
        </w:rPr>
      </w:pPr>
      <w:r>
        <w:rPr>
          <w:rFonts w:hint="eastAsia"/>
          <w:sz w:val="30"/>
          <w:szCs w:val="30"/>
        </w:rPr>
        <w:t>但在祂这样做之前，“有宝座设立”。</w:t>
      </w:r>
    </w:p>
    <w:p w14:paraId="1249DA62">
      <w:pPr>
        <w:pStyle w:val="9"/>
        <w:spacing w:before="11"/>
        <w:ind w:left="0"/>
        <w:jc w:val="left"/>
        <w:rPr>
          <w:rFonts w:hint="eastAsia"/>
          <w:sz w:val="30"/>
          <w:szCs w:val="30"/>
        </w:rPr>
      </w:pPr>
    </w:p>
    <w:p w14:paraId="57979546">
      <w:pPr>
        <w:pStyle w:val="9"/>
        <w:spacing w:before="11"/>
        <w:ind w:left="0"/>
        <w:jc w:val="left"/>
        <w:rPr>
          <w:rFonts w:hint="eastAsia"/>
          <w:sz w:val="30"/>
          <w:szCs w:val="30"/>
        </w:rPr>
      </w:pPr>
      <w:r>
        <w:rPr>
          <w:rFonts w:hint="eastAsia"/>
          <w:sz w:val="30"/>
          <w:szCs w:val="30"/>
        </w:rPr>
        <w:t>Then, a few verses later (7:21-22), Daniel again refers to the Consummation, telling us that the Ancient of Days “came” in order to rescue his beleaguered people, after which “judgment was given in favor of the saints of the Most High,” so that they took possession of the Kingdom.</w:t>
      </w:r>
    </w:p>
    <w:p w14:paraId="1BA29A17">
      <w:pPr>
        <w:pStyle w:val="9"/>
        <w:spacing w:before="11"/>
        <w:ind w:left="0"/>
        <w:jc w:val="left"/>
        <w:rPr>
          <w:rFonts w:hint="eastAsia"/>
          <w:sz w:val="30"/>
          <w:szCs w:val="30"/>
        </w:rPr>
      </w:pPr>
      <w:r>
        <w:rPr>
          <w:rFonts w:hint="eastAsia"/>
          <w:sz w:val="30"/>
          <w:szCs w:val="30"/>
        </w:rPr>
        <w:t>然后，几节经文之后（7:21-22），但以理再次提到最终的成全，告诉我们亘古常在者“来”，为要拯救祂被围困的子民，之后“审判权赐给至高者的圣民”，使他们得了国。</w:t>
      </w:r>
    </w:p>
    <w:p w14:paraId="37232092">
      <w:pPr>
        <w:pStyle w:val="9"/>
        <w:spacing w:before="11"/>
        <w:ind w:left="0"/>
        <w:jc w:val="left"/>
        <w:rPr>
          <w:rFonts w:hint="eastAsia"/>
          <w:sz w:val="30"/>
          <w:szCs w:val="30"/>
        </w:rPr>
      </w:pPr>
    </w:p>
    <w:p w14:paraId="4BC6456F">
      <w:pPr>
        <w:pStyle w:val="9"/>
        <w:spacing w:before="11"/>
        <w:ind w:left="0"/>
        <w:jc w:val="left"/>
        <w:rPr>
          <w:rFonts w:hint="eastAsia"/>
          <w:sz w:val="30"/>
          <w:szCs w:val="30"/>
        </w:rPr>
      </w:pPr>
      <w:r>
        <w:rPr>
          <w:rFonts w:hint="eastAsia"/>
          <w:sz w:val="30"/>
          <w:szCs w:val="30"/>
        </w:rPr>
        <w:t>Finally, we have Daniel 7:26-27.</w:t>
      </w:r>
    </w:p>
    <w:p w14:paraId="7007439C">
      <w:pPr>
        <w:pStyle w:val="9"/>
        <w:spacing w:before="11"/>
        <w:ind w:left="0"/>
        <w:jc w:val="left"/>
        <w:rPr>
          <w:rFonts w:hint="eastAsia"/>
          <w:sz w:val="30"/>
          <w:szCs w:val="30"/>
        </w:rPr>
      </w:pPr>
      <w:r>
        <w:rPr>
          <w:rFonts w:hint="eastAsia"/>
          <w:sz w:val="30"/>
          <w:szCs w:val="30"/>
        </w:rPr>
        <w:t>最后，我们有但以理书7:26-27。</w:t>
      </w:r>
    </w:p>
    <w:p w14:paraId="6A3132CE">
      <w:pPr>
        <w:pStyle w:val="9"/>
        <w:spacing w:before="11"/>
        <w:ind w:left="0"/>
        <w:jc w:val="left"/>
        <w:rPr>
          <w:rFonts w:hint="eastAsia"/>
          <w:sz w:val="30"/>
          <w:szCs w:val="30"/>
        </w:rPr>
      </w:pPr>
    </w:p>
    <w:p w14:paraId="72E25F81">
      <w:pPr>
        <w:pStyle w:val="9"/>
        <w:spacing w:before="11"/>
        <w:ind w:left="0"/>
        <w:jc w:val="left"/>
        <w:rPr>
          <w:rFonts w:hint="eastAsia"/>
          <w:sz w:val="30"/>
          <w:szCs w:val="30"/>
        </w:rPr>
      </w:pPr>
      <w:r>
        <w:rPr>
          <w:rFonts w:hint="eastAsia"/>
          <w:sz w:val="30"/>
          <w:szCs w:val="30"/>
        </w:rPr>
        <w:t>This again refers to the Last Judgment, telling us that in that Day “the court will sit,” the rule of the Antichrist will be destroyed forever, and dominion over every kingdom under the whole of heaven will be given to the saints of the Most High, not just for a thousand years, but forever.</w:t>
      </w:r>
    </w:p>
    <w:p w14:paraId="7882D0F9">
      <w:pPr>
        <w:pStyle w:val="9"/>
        <w:spacing w:before="11"/>
        <w:ind w:left="0"/>
        <w:jc w:val="left"/>
        <w:rPr>
          <w:rFonts w:hint="eastAsia"/>
          <w:sz w:val="30"/>
          <w:szCs w:val="30"/>
        </w:rPr>
      </w:pPr>
      <w:r>
        <w:rPr>
          <w:rFonts w:hint="eastAsia"/>
          <w:sz w:val="30"/>
          <w:szCs w:val="30"/>
        </w:rPr>
        <w:t>这再次提到最后的审判，告诉我们那日“审判者必坐着行审判”，敌基督的统治将永远被毁灭，天下万国的权柄、荣耀、国度都必赐给至高者的圣民，不只是一千年，而是永远。</w:t>
      </w:r>
    </w:p>
    <w:p w14:paraId="083EE90A">
      <w:pPr>
        <w:pStyle w:val="9"/>
        <w:spacing w:before="11"/>
        <w:ind w:left="0"/>
        <w:jc w:val="left"/>
        <w:rPr>
          <w:rFonts w:hint="eastAsia"/>
          <w:sz w:val="30"/>
          <w:szCs w:val="30"/>
        </w:rPr>
      </w:pPr>
    </w:p>
    <w:p w14:paraId="3A223639">
      <w:pPr>
        <w:pStyle w:val="9"/>
        <w:spacing w:before="11"/>
        <w:ind w:left="0"/>
        <w:jc w:val="left"/>
        <w:rPr>
          <w:rFonts w:hint="eastAsia"/>
          <w:sz w:val="30"/>
          <w:szCs w:val="30"/>
        </w:rPr>
      </w:pPr>
      <w:r>
        <w:rPr>
          <w:rFonts w:hint="eastAsia"/>
          <w:sz w:val="30"/>
          <w:szCs w:val="30"/>
        </w:rPr>
        <w:t>What light do these three texts shed upon Revelation 20:4a?</w:t>
      </w:r>
    </w:p>
    <w:p w14:paraId="05025DFF">
      <w:pPr>
        <w:pStyle w:val="9"/>
        <w:spacing w:before="11"/>
        <w:ind w:left="0"/>
        <w:jc w:val="left"/>
        <w:rPr>
          <w:rFonts w:hint="eastAsia"/>
          <w:sz w:val="30"/>
          <w:szCs w:val="30"/>
        </w:rPr>
      </w:pPr>
      <w:r>
        <w:rPr>
          <w:rFonts w:hint="eastAsia"/>
          <w:sz w:val="30"/>
          <w:szCs w:val="30"/>
        </w:rPr>
        <w:t>这三段经文对《启示录》20:4a有何启发？</w:t>
      </w:r>
    </w:p>
    <w:p w14:paraId="20B15733">
      <w:pPr>
        <w:pStyle w:val="9"/>
        <w:spacing w:before="11"/>
        <w:ind w:left="0"/>
        <w:jc w:val="left"/>
        <w:rPr>
          <w:rFonts w:hint="eastAsia"/>
          <w:sz w:val="30"/>
          <w:szCs w:val="30"/>
        </w:rPr>
      </w:pPr>
    </w:p>
    <w:p w14:paraId="6557D26B">
      <w:pPr>
        <w:pStyle w:val="9"/>
        <w:spacing w:before="11"/>
        <w:ind w:left="0"/>
        <w:jc w:val="left"/>
        <w:rPr>
          <w:rFonts w:hint="eastAsia"/>
          <w:sz w:val="30"/>
          <w:szCs w:val="30"/>
        </w:rPr>
      </w:pPr>
      <w:r>
        <w:rPr>
          <w:rFonts w:hint="eastAsia"/>
          <w:sz w:val="30"/>
          <w:szCs w:val="30"/>
        </w:rPr>
        <w:t>It is tempting to follow Dennis Johnson, who says that the decisive text is Daniel 7:21-22.</w:t>
      </w:r>
    </w:p>
    <w:p w14:paraId="100D31E3">
      <w:pPr>
        <w:pStyle w:val="9"/>
        <w:spacing w:before="11"/>
        <w:ind w:left="0"/>
        <w:jc w:val="left"/>
        <w:rPr>
          <w:rFonts w:hint="eastAsia"/>
          <w:sz w:val="30"/>
          <w:szCs w:val="30"/>
        </w:rPr>
      </w:pPr>
      <w:r>
        <w:rPr>
          <w:rFonts w:hint="eastAsia"/>
          <w:sz w:val="30"/>
          <w:szCs w:val="30"/>
        </w:rPr>
        <w:t>追随丹尼斯·约翰逊的观点是很有诱惑力的，他说决定性的经文是但以理书7:21-22。</w:t>
      </w:r>
    </w:p>
    <w:p w14:paraId="067B41BC">
      <w:pPr>
        <w:pStyle w:val="9"/>
        <w:spacing w:before="11"/>
        <w:ind w:left="0"/>
        <w:jc w:val="left"/>
        <w:rPr>
          <w:rFonts w:hint="eastAsia"/>
          <w:sz w:val="30"/>
          <w:szCs w:val="30"/>
        </w:rPr>
      </w:pPr>
    </w:p>
    <w:p w14:paraId="29726A84">
      <w:pPr>
        <w:pStyle w:val="9"/>
        <w:spacing w:before="11"/>
        <w:ind w:left="0"/>
        <w:jc w:val="left"/>
        <w:rPr>
          <w:rFonts w:hint="eastAsia"/>
          <w:sz w:val="30"/>
          <w:szCs w:val="30"/>
        </w:rPr>
      </w:pPr>
      <w:r>
        <w:rPr>
          <w:rFonts w:hint="eastAsia"/>
          <w:sz w:val="30"/>
          <w:szCs w:val="30"/>
        </w:rPr>
        <w:t>He writes:</w:t>
      </w:r>
    </w:p>
    <w:p w14:paraId="6D431F53">
      <w:pPr>
        <w:pStyle w:val="9"/>
        <w:spacing w:before="11"/>
        <w:ind w:left="0"/>
        <w:jc w:val="left"/>
        <w:rPr>
          <w:rFonts w:hint="eastAsia"/>
          <w:sz w:val="30"/>
          <w:szCs w:val="30"/>
        </w:rPr>
      </w:pPr>
      <w:r>
        <w:rPr>
          <w:rFonts w:hint="eastAsia"/>
          <w:sz w:val="30"/>
          <w:szCs w:val="30"/>
        </w:rPr>
        <w:t>他写道：</w:t>
      </w:r>
    </w:p>
    <w:p w14:paraId="6E06244F">
      <w:pPr>
        <w:pStyle w:val="9"/>
        <w:spacing w:before="11"/>
        <w:ind w:left="0"/>
        <w:jc w:val="left"/>
        <w:rPr>
          <w:rFonts w:hint="eastAsia"/>
          <w:sz w:val="30"/>
          <w:szCs w:val="30"/>
        </w:rPr>
      </w:pPr>
    </w:p>
    <w:p w14:paraId="3497B75A">
      <w:pPr>
        <w:pStyle w:val="9"/>
        <w:spacing w:before="11"/>
        <w:ind w:left="0"/>
        <w:jc w:val="left"/>
        <w:rPr>
          <w:rFonts w:hint="eastAsia"/>
          <w:sz w:val="30"/>
          <w:szCs w:val="30"/>
        </w:rPr>
      </w:pPr>
      <w:r>
        <w:rPr>
          <w:rFonts w:hint="eastAsia"/>
          <w:sz w:val="30"/>
          <w:szCs w:val="30"/>
        </w:rPr>
        <w:t>As in Daniel, so in the Revelation: The thrones appear before their royal occupants … The wording of the last clause (“judgment was given to them”) so closely resembles Daniel 7:22 in the Septuagint (i.e., the Greek Old Testament), that we should probably translate it, “Judgment was given in their behalf”—the verdict of the heavenly court came down in their favor and against their persecutors,” (see Rev. 18:20).</w:t>
      </w:r>
    </w:p>
    <w:p w14:paraId="7915C89F">
      <w:pPr>
        <w:pStyle w:val="9"/>
        <w:spacing w:before="11"/>
        <w:ind w:left="0"/>
        <w:jc w:val="left"/>
        <w:rPr>
          <w:rFonts w:hint="eastAsia"/>
          <w:sz w:val="30"/>
          <w:szCs w:val="30"/>
        </w:rPr>
      </w:pPr>
      <w:r>
        <w:rPr>
          <w:rFonts w:hint="eastAsia"/>
          <w:sz w:val="30"/>
          <w:szCs w:val="30"/>
        </w:rPr>
        <w:t>如同在但以理书中，在《启示录》中也是如此：宝座在其王室的占有者之前出现……最后一句话的措辞（“审判的权柄赐给他们”）与七十士译本（即希腊文旧约）中的但以理书7:22如此相似，以致我们或许应该将其翻译为，“审判是为他们作出的”——天上法庭的判决对他们有利，而对他们的迫害者不利，”（见启18:20）。</w:t>
      </w:r>
    </w:p>
    <w:p w14:paraId="78DFA170">
      <w:pPr>
        <w:pStyle w:val="9"/>
        <w:spacing w:before="11"/>
        <w:ind w:left="0"/>
        <w:jc w:val="left"/>
        <w:rPr>
          <w:rFonts w:hint="eastAsia"/>
          <w:sz w:val="30"/>
          <w:szCs w:val="30"/>
        </w:rPr>
      </w:pPr>
    </w:p>
    <w:p w14:paraId="7CDD0E22">
      <w:pPr>
        <w:pStyle w:val="9"/>
        <w:spacing w:before="11"/>
        <w:ind w:left="0"/>
        <w:jc w:val="left"/>
        <w:rPr>
          <w:rFonts w:hint="eastAsia"/>
          <w:sz w:val="30"/>
          <w:szCs w:val="30"/>
        </w:rPr>
      </w:pPr>
      <w:r>
        <w:rPr>
          <w:rFonts w:hint="eastAsia"/>
          <w:sz w:val="30"/>
          <w:szCs w:val="30"/>
        </w:rPr>
        <w:t>So then, Johnson, modifying the text itself, has 20:4 depicting a definitive acquittal or vindication of the (spirits of the departed) saints.8</w:t>
      </w:r>
    </w:p>
    <w:p w14:paraId="17DA914F">
      <w:pPr>
        <w:pStyle w:val="9"/>
        <w:spacing w:before="11"/>
        <w:ind w:left="0"/>
        <w:jc w:val="left"/>
        <w:rPr>
          <w:rFonts w:hint="eastAsia"/>
          <w:sz w:val="30"/>
          <w:szCs w:val="30"/>
        </w:rPr>
      </w:pPr>
      <w:r>
        <w:rPr>
          <w:rFonts w:hint="eastAsia"/>
          <w:sz w:val="30"/>
          <w:szCs w:val="30"/>
        </w:rPr>
        <w:t>所以，约翰逊，修改了经文本身，让20:4描绘了对（已故圣徒的灵魂）的明确宣判无罪或平反。8</w:t>
      </w:r>
    </w:p>
    <w:p w14:paraId="0892609E">
      <w:pPr>
        <w:pStyle w:val="9"/>
        <w:spacing w:before="11"/>
        <w:ind w:left="0"/>
        <w:jc w:val="left"/>
        <w:rPr>
          <w:rFonts w:hint="eastAsia"/>
          <w:sz w:val="30"/>
          <w:szCs w:val="30"/>
        </w:rPr>
      </w:pPr>
    </w:p>
    <w:p w14:paraId="2B960624">
      <w:pPr>
        <w:pStyle w:val="9"/>
        <w:spacing w:before="11"/>
        <w:ind w:left="0"/>
        <w:jc w:val="left"/>
        <w:rPr>
          <w:rFonts w:hint="eastAsia"/>
          <w:sz w:val="30"/>
          <w:szCs w:val="30"/>
        </w:rPr>
      </w:pPr>
      <w:r>
        <w:rPr>
          <w:rFonts w:hint="eastAsia"/>
          <w:sz w:val="30"/>
          <w:szCs w:val="30"/>
        </w:rPr>
        <w:t>The difficulty with this approach—quite apart from the modification of the text—is that it does not harmonize well with the rest of Scripture.</w:t>
      </w:r>
    </w:p>
    <w:p w14:paraId="4C04D2B5">
      <w:pPr>
        <w:pStyle w:val="9"/>
        <w:spacing w:before="11"/>
        <w:ind w:left="0"/>
        <w:jc w:val="left"/>
        <w:rPr>
          <w:rFonts w:hint="eastAsia"/>
          <w:sz w:val="30"/>
          <w:szCs w:val="30"/>
        </w:rPr>
      </w:pPr>
      <w:r>
        <w:rPr>
          <w:rFonts w:hint="eastAsia"/>
          <w:sz w:val="30"/>
          <w:szCs w:val="30"/>
        </w:rPr>
        <w:t>这种方法的困难在于——且不说对经文的修改——它与圣经的其余部分并不协调。</w:t>
      </w:r>
    </w:p>
    <w:p w14:paraId="31FDE811">
      <w:pPr>
        <w:pStyle w:val="9"/>
        <w:spacing w:before="11"/>
        <w:ind w:left="0"/>
        <w:jc w:val="left"/>
        <w:rPr>
          <w:rFonts w:hint="eastAsia"/>
          <w:sz w:val="30"/>
          <w:szCs w:val="30"/>
        </w:rPr>
      </w:pPr>
    </w:p>
    <w:p w14:paraId="4DFA21CC">
      <w:pPr>
        <w:pStyle w:val="9"/>
        <w:spacing w:before="11"/>
        <w:ind w:left="0"/>
        <w:jc w:val="left"/>
        <w:rPr>
          <w:rFonts w:hint="eastAsia"/>
          <w:sz w:val="30"/>
          <w:szCs w:val="30"/>
        </w:rPr>
      </w:pPr>
      <w:r>
        <w:rPr>
          <w:rFonts w:hint="eastAsia"/>
          <w:sz w:val="30"/>
          <w:szCs w:val="30"/>
        </w:rPr>
        <w:t>On the one hand, Daniel declares that judgment is passed in favor of the saints, not when they die and enter heaven (as here in 20:4), but at the Last Judgment (Dan. 7:22).</w:t>
      </w:r>
    </w:p>
    <w:p w14:paraId="5450A9DA">
      <w:pPr>
        <w:pStyle w:val="9"/>
        <w:spacing w:before="11"/>
        <w:ind w:left="0"/>
        <w:jc w:val="left"/>
        <w:rPr>
          <w:rFonts w:hint="eastAsia"/>
          <w:sz w:val="30"/>
          <w:szCs w:val="30"/>
        </w:rPr>
      </w:pPr>
      <w:r>
        <w:rPr>
          <w:rFonts w:hint="eastAsia"/>
          <w:sz w:val="30"/>
          <w:szCs w:val="30"/>
        </w:rPr>
        <w:t>一方面，但以理宣告审判是为圣徒作出的，不是在他们死后进入天堂时（如这里的20:4），而是在最后的审判时（但7:22）。</w:t>
      </w:r>
    </w:p>
    <w:p w14:paraId="4A412053">
      <w:pPr>
        <w:pStyle w:val="9"/>
        <w:spacing w:before="11"/>
        <w:ind w:left="0"/>
        <w:jc w:val="left"/>
        <w:rPr>
          <w:rFonts w:hint="eastAsia"/>
          <w:sz w:val="30"/>
          <w:szCs w:val="30"/>
        </w:rPr>
      </w:pPr>
    </w:p>
    <w:p w14:paraId="346B51A2">
      <w:pPr>
        <w:pStyle w:val="9"/>
        <w:spacing w:before="11"/>
        <w:ind w:left="0"/>
        <w:jc w:val="left"/>
        <w:rPr>
          <w:rFonts w:hint="eastAsia"/>
          <w:sz w:val="30"/>
          <w:szCs w:val="30"/>
        </w:rPr>
      </w:pPr>
      <w:r>
        <w:rPr>
          <w:rFonts w:hint="eastAsia"/>
          <w:sz w:val="30"/>
          <w:szCs w:val="30"/>
        </w:rPr>
        <w:t>On the other hand, our Lord himself tells us that the saints receive the favorable verdict of heaven, not when their souls enter heaven, but when they believe in God’s Word about his Son, and so pass from death to life (John 5:24-25).</w:t>
      </w:r>
    </w:p>
    <w:p w14:paraId="68F532DE">
      <w:pPr>
        <w:pStyle w:val="9"/>
        <w:spacing w:before="11"/>
        <w:ind w:left="0"/>
        <w:jc w:val="left"/>
        <w:rPr>
          <w:rFonts w:hint="eastAsia"/>
          <w:sz w:val="30"/>
          <w:szCs w:val="30"/>
        </w:rPr>
      </w:pPr>
      <w:r>
        <w:rPr>
          <w:rFonts w:hint="eastAsia"/>
          <w:sz w:val="30"/>
          <w:szCs w:val="30"/>
        </w:rPr>
        <w:t>另一方面，我们的主祂自己告诉我们，圣徒领受天堂有利的判决，不是在他们的灵魂进入天堂时，而是在他们相信上帝关于祂儿子的话语，从而出死入生时（约翰福音5:24-25）。</w:t>
      </w:r>
    </w:p>
    <w:p w14:paraId="4E8E03F2">
      <w:pPr>
        <w:pStyle w:val="9"/>
        <w:spacing w:before="11"/>
        <w:ind w:left="0"/>
        <w:jc w:val="left"/>
        <w:rPr>
          <w:rFonts w:hint="eastAsia"/>
          <w:sz w:val="30"/>
          <w:szCs w:val="30"/>
        </w:rPr>
      </w:pPr>
    </w:p>
    <w:p w14:paraId="6314C4FF">
      <w:pPr>
        <w:pStyle w:val="9"/>
        <w:spacing w:before="11"/>
        <w:ind w:left="0"/>
        <w:jc w:val="left"/>
        <w:rPr>
          <w:rFonts w:hint="eastAsia"/>
          <w:sz w:val="30"/>
          <w:szCs w:val="30"/>
        </w:rPr>
      </w:pPr>
      <w:r>
        <w:rPr>
          <w:rFonts w:hint="eastAsia"/>
          <w:sz w:val="30"/>
          <w:szCs w:val="30"/>
        </w:rPr>
        <w:t>From the moment of faith, God’s verdict is: There is therefore now no condemnation for those who are in Christ Jesus (Rom. 8:1)!</w:t>
      </w:r>
    </w:p>
    <w:p w14:paraId="4E7FE900">
      <w:pPr>
        <w:pStyle w:val="9"/>
        <w:spacing w:before="11"/>
        <w:ind w:left="0"/>
        <w:jc w:val="left"/>
        <w:rPr>
          <w:rFonts w:hint="eastAsia"/>
          <w:sz w:val="30"/>
          <w:szCs w:val="30"/>
        </w:rPr>
      </w:pPr>
      <w:r>
        <w:rPr>
          <w:rFonts w:hint="eastAsia"/>
          <w:sz w:val="30"/>
          <w:szCs w:val="30"/>
        </w:rPr>
        <w:t>从信的那一刻起，上帝的判决是：如今，那些在基督耶稣里的就不定罪了（罗8:1）！</w:t>
      </w:r>
    </w:p>
    <w:p w14:paraId="0F4556FE">
      <w:pPr>
        <w:pStyle w:val="9"/>
        <w:spacing w:before="11"/>
        <w:ind w:left="0"/>
        <w:jc w:val="left"/>
        <w:rPr>
          <w:rFonts w:hint="eastAsia"/>
          <w:sz w:val="30"/>
          <w:szCs w:val="30"/>
        </w:rPr>
      </w:pPr>
    </w:p>
    <w:p w14:paraId="235F3D99">
      <w:pPr>
        <w:pStyle w:val="9"/>
        <w:spacing w:before="11"/>
        <w:ind w:left="0"/>
        <w:jc w:val="left"/>
        <w:rPr>
          <w:rFonts w:hint="eastAsia"/>
          <w:sz w:val="30"/>
          <w:szCs w:val="30"/>
        </w:rPr>
      </w:pPr>
      <w:r>
        <w:rPr>
          <w:rFonts w:hint="eastAsia"/>
          <w:sz w:val="30"/>
          <w:szCs w:val="30"/>
        </w:rPr>
        <w:t>Yes, it is true that the believer who takes part in “the first resurrection” is thereafter perfectly secure against the second death (20:6).</w:t>
      </w:r>
    </w:p>
    <w:p w14:paraId="5F96C353">
      <w:pPr>
        <w:pStyle w:val="9"/>
        <w:spacing w:before="11"/>
        <w:ind w:left="0"/>
        <w:jc w:val="left"/>
        <w:rPr>
          <w:rFonts w:hint="eastAsia"/>
          <w:sz w:val="30"/>
          <w:szCs w:val="30"/>
        </w:rPr>
      </w:pPr>
      <w:r>
        <w:rPr>
          <w:rFonts w:hint="eastAsia"/>
          <w:sz w:val="30"/>
          <w:szCs w:val="30"/>
        </w:rPr>
        <w:t>是的，有份于“头一次复活”的信徒此后确实完全免于第二次的死（20:6），这是真的。</w:t>
      </w:r>
    </w:p>
    <w:p w14:paraId="1CF4E24B">
      <w:pPr>
        <w:pStyle w:val="9"/>
        <w:spacing w:before="11"/>
        <w:ind w:left="0"/>
        <w:jc w:val="left"/>
        <w:rPr>
          <w:rFonts w:hint="eastAsia"/>
          <w:sz w:val="30"/>
          <w:szCs w:val="30"/>
        </w:rPr>
      </w:pPr>
    </w:p>
    <w:p w14:paraId="75C0980B">
      <w:pPr>
        <w:pStyle w:val="9"/>
        <w:spacing w:before="11"/>
        <w:ind w:left="0"/>
        <w:jc w:val="left"/>
        <w:rPr>
          <w:rFonts w:hint="eastAsia"/>
          <w:sz w:val="30"/>
          <w:szCs w:val="30"/>
        </w:rPr>
      </w:pPr>
      <w:r>
        <w:rPr>
          <w:rFonts w:hint="eastAsia"/>
          <w:sz w:val="30"/>
          <w:szCs w:val="30"/>
        </w:rPr>
        <w:t>But to judge from the rest of the book, this security results from his having overcome and persevered in life, rather than from a special verdict given in his favor at the moment of death (1:9, 2:7, 11, 17, 14:13; John 17:15, 1 Peter 1:5, Jude 1).</w:t>
      </w:r>
    </w:p>
    <w:p w14:paraId="2C786F91">
      <w:pPr>
        <w:pStyle w:val="9"/>
        <w:spacing w:before="11"/>
        <w:ind w:left="0"/>
        <w:jc w:val="left"/>
        <w:rPr>
          <w:rFonts w:hint="eastAsia"/>
          <w:sz w:val="30"/>
          <w:szCs w:val="30"/>
        </w:rPr>
      </w:pPr>
      <w:r>
        <w:rPr>
          <w:rFonts w:hint="eastAsia"/>
          <w:sz w:val="30"/>
          <w:szCs w:val="30"/>
        </w:rPr>
        <w:t>但从本书的其余部分来判断，这种保障是由于他在生命中得胜和坚忍的结果，而不是由于在死亡的那一刻为他作出的特别判决（1:9, 2:7, 11, 17, 14:13；约翰福音17:15，彼得前书1:5，犹大书1）。</w:t>
      </w:r>
    </w:p>
    <w:p w14:paraId="4BC18719">
      <w:pPr>
        <w:pStyle w:val="9"/>
        <w:spacing w:before="11"/>
        <w:ind w:left="0"/>
        <w:jc w:val="left"/>
        <w:rPr>
          <w:rFonts w:hint="eastAsia"/>
          <w:sz w:val="30"/>
          <w:szCs w:val="30"/>
        </w:rPr>
      </w:pPr>
    </w:p>
    <w:p w14:paraId="33B0A21E">
      <w:pPr>
        <w:pStyle w:val="9"/>
        <w:spacing w:before="11"/>
        <w:ind w:left="0"/>
        <w:jc w:val="left"/>
        <w:rPr>
          <w:rFonts w:hint="eastAsia"/>
          <w:sz w:val="30"/>
          <w:szCs w:val="30"/>
        </w:rPr>
      </w:pPr>
      <w:r>
        <w:rPr>
          <w:rFonts w:hint="eastAsia"/>
          <w:sz w:val="30"/>
          <w:szCs w:val="30"/>
        </w:rPr>
        <w:t>We do best, then, to follow what the Greek actually says: Judgment was given to them (Greek, autois).</w:t>
      </w:r>
    </w:p>
    <w:p w14:paraId="3C3170B3">
      <w:pPr>
        <w:pStyle w:val="9"/>
        <w:spacing w:before="11"/>
        <w:ind w:left="0"/>
        <w:jc w:val="left"/>
        <w:rPr>
          <w:rFonts w:hint="eastAsia"/>
          <w:sz w:val="30"/>
          <w:szCs w:val="30"/>
        </w:rPr>
      </w:pPr>
      <w:r>
        <w:rPr>
          <w:rFonts w:hint="eastAsia"/>
          <w:sz w:val="30"/>
          <w:szCs w:val="30"/>
        </w:rPr>
        <w:t>那么，我们最好还是遵循希腊文的实际说法：审判权赐给他们（希腊文，autois）。</w:t>
      </w:r>
    </w:p>
    <w:p w14:paraId="58B793F8">
      <w:pPr>
        <w:pStyle w:val="9"/>
        <w:spacing w:before="11"/>
        <w:ind w:left="0"/>
        <w:jc w:val="left"/>
        <w:rPr>
          <w:rFonts w:hint="eastAsia"/>
          <w:sz w:val="30"/>
          <w:szCs w:val="30"/>
        </w:rPr>
      </w:pPr>
    </w:p>
    <w:p w14:paraId="7A5E2404">
      <w:pPr>
        <w:pStyle w:val="9"/>
        <w:spacing w:before="11"/>
        <w:ind w:left="0"/>
        <w:jc w:val="left"/>
        <w:rPr>
          <w:rFonts w:hint="eastAsia"/>
          <w:sz w:val="30"/>
          <w:szCs w:val="30"/>
        </w:rPr>
      </w:pPr>
      <w:r>
        <w:rPr>
          <w:rFonts w:hint="eastAsia"/>
          <w:sz w:val="30"/>
          <w:szCs w:val="30"/>
        </w:rPr>
        <w:t>But in what sense?</w:t>
      </w:r>
    </w:p>
    <w:p w14:paraId="3717D3E0">
      <w:pPr>
        <w:pStyle w:val="9"/>
        <w:spacing w:before="11"/>
        <w:ind w:left="0"/>
        <w:jc w:val="left"/>
        <w:rPr>
          <w:rFonts w:hint="eastAsia"/>
          <w:sz w:val="30"/>
          <w:szCs w:val="30"/>
        </w:rPr>
      </w:pPr>
      <w:r>
        <w:rPr>
          <w:rFonts w:hint="eastAsia"/>
          <w:sz w:val="30"/>
          <w:szCs w:val="30"/>
        </w:rPr>
        <w:t>但在什么意义上呢？</w:t>
      </w:r>
    </w:p>
    <w:p w14:paraId="3449708F">
      <w:pPr>
        <w:pStyle w:val="9"/>
        <w:spacing w:before="11"/>
        <w:ind w:left="0"/>
        <w:jc w:val="left"/>
        <w:rPr>
          <w:rFonts w:hint="eastAsia"/>
          <w:sz w:val="30"/>
          <w:szCs w:val="30"/>
        </w:rPr>
      </w:pPr>
    </w:p>
    <w:p w14:paraId="16C6299B">
      <w:pPr>
        <w:pStyle w:val="9"/>
        <w:spacing w:before="11"/>
        <w:ind w:left="0"/>
        <w:jc w:val="left"/>
        <w:rPr>
          <w:rFonts w:hint="eastAsia"/>
          <w:sz w:val="30"/>
          <w:szCs w:val="30"/>
        </w:rPr>
      </w:pPr>
      <w:r>
        <w:rPr>
          <w:rFonts w:hint="eastAsia"/>
          <w:sz w:val="30"/>
          <w:szCs w:val="30"/>
        </w:rPr>
        <w:t>The answer, I think, is found both in Daniel and the Revelation.</w:t>
      </w:r>
    </w:p>
    <w:p w14:paraId="72F7D0B8">
      <w:pPr>
        <w:pStyle w:val="9"/>
        <w:spacing w:before="11"/>
        <w:ind w:left="0"/>
        <w:jc w:val="left"/>
        <w:rPr>
          <w:rFonts w:hint="eastAsia"/>
          <w:sz w:val="30"/>
          <w:szCs w:val="30"/>
        </w:rPr>
      </w:pPr>
      <w:r>
        <w:rPr>
          <w:rFonts w:hint="eastAsia"/>
          <w:sz w:val="30"/>
          <w:szCs w:val="30"/>
        </w:rPr>
        <w:t>我认为，答案在但以理书和《启示录》中都能找到。</w:t>
      </w:r>
    </w:p>
    <w:p w14:paraId="33A7B0C5">
      <w:pPr>
        <w:pStyle w:val="9"/>
        <w:spacing w:before="11"/>
        <w:ind w:left="0"/>
        <w:jc w:val="left"/>
        <w:rPr>
          <w:rFonts w:hint="eastAsia"/>
          <w:sz w:val="30"/>
          <w:szCs w:val="30"/>
        </w:rPr>
      </w:pPr>
    </w:p>
    <w:p w14:paraId="0D5533CC">
      <w:pPr>
        <w:pStyle w:val="9"/>
        <w:spacing w:before="11"/>
        <w:ind w:left="0"/>
        <w:jc w:val="left"/>
        <w:rPr>
          <w:rFonts w:hint="eastAsia"/>
          <w:sz w:val="30"/>
          <w:szCs w:val="30"/>
        </w:rPr>
      </w:pPr>
      <w:r>
        <w:rPr>
          <w:rFonts w:hint="eastAsia"/>
          <w:sz w:val="30"/>
          <w:szCs w:val="30"/>
        </w:rPr>
        <w:t>Daniel 7:9 tells us that prior to the Last Judgment thrones were set up.</w:t>
      </w:r>
    </w:p>
    <w:p w14:paraId="23094843">
      <w:pPr>
        <w:pStyle w:val="9"/>
        <w:spacing w:before="11"/>
        <w:ind w:left="0"/>
        <w:jc w:val="left"/>
        <w:rPr>
          <w:rFonts w:hint="eastAsia"/>
          <w:sz w:val="30"/>
          <w:szCs w:val="30"/>
        </w:rPr>
      </w:pPr>
      <w:r>
        <w:rPr>
          <w:rFonts w:hint="eastAsia"/>
          <w:sz w:val="30"/>
          <w:szCs w:val="30"/>
        </w:rPr>
        <w:t>但以理书7:9告诉我们，在最后审判之前，有宝座设立。</w:t>
      </w:r>
    </w:p>
    <w:p w14:paraId="090298B3">
      <w:pPr>
        <w:pStyle w:val="9"/>
        <w:spacing w:before="11"/>
        <w:ind w:left="0"/>
        <w:jc w:val="left"/>
        <w:rPr>
          <w:rFonts w:hint="eastAsia"/>
          <w:sz w:val="30"/>
          <w:szCs w:val="30"/>
        </w:rPr>
      </w:pPr>
    </w:p>
    <w:p w14:paraId="0CFDC8C9">
      <w:pPr>
        <w:pStyle w:val="9"/>
        <w:spacing w:before="11"/>
        <w:ind w:left="0"/>
        <w:jc w:val="left"/>
        <w:rPr>
          <w:rFonts w:hint="eastAsia"/>
          <w:sz w:val="30"/>
          <w:szCs w:val="30"/>
        </w:rPr>
      </w:pPr>
      <w:r>
        <w:rPr>
          <w:rFonts w:hint="eastAsia"/>
          <w:sz w:val="30"/>
          <w:szCs w:val="30"/>
        </w:rPr>
        <w:t>Why?</w:t>
      </w:r>
    </w:p>
    <w:p w14:paraId="6547DA80">
      <w:pPr>
        <w:pStyle w:val="9"/>
        <w:spacing w:before="11"/>
        <w:ind w:left="0"/>
        <w:jc w:val="left"/>
        <w:rPr>
          <w:rFonts w:hint="eastAsia"/>
          <w:sz w:val="30"/>
          <w:szCs w:val="30"/>
        </w:rPr>
      </w:pPr>
      <w:r>
        <w:rPr>
          <w:rFonts w:hint="eastAsia"/>
          <w:sz w:val="30"/>
          <w:szCs w:val="30"/>
        </w:rPr>
        <w:t>为何？</w:t>
      </w:r>
    </w:p>
    <w:p w14:paraId="3CDBEE89">
      <w:pPr>
        <w:pStyle w:val="9"/>
        <w:spacing w:before="11"/>
        <w:ind w:left="0"/>
        <w:jc w:val="left"/>
        <w:rPr>
          <w:rFonts w:hint="eastAsia"/>
          <w:sz w:val="30"/>
          <w:szCs w:val="30"/>
        </w:rPr>
      </w:pPr>
    </w:p>
    <w:p w14:paraId="14297F25">
      <w:pPr>
        <w:pStyle w:val="9"/>
        <w:spacing w:before="11"/>
        <w:ind w:left="0"/>
        <w:jc w:val="left"/>
        <w:rPr>
          <w:rFonts w:hint="eastAsia"/>
          <w:sz w:val="30"/>
          <w:szCs w:val="30"/>
        </w:rPr>
      </w:pPr>
      <w:r>
        <w:rPr>
          <w:rFonts w:hint="eastAsia"/>
          <w:sz w:val="30"/>
          <w:szCs w:val="30"/>
        </w:rPr>
        <w:t>So that the saints could sit on them and participate in the judgment.</w:t>
      </w:r>
    </w:p>
    <w:p w14:paraId="0E565ED4">
      <w:pPr>
        <w:pStyle w:val="9"/>
        <w:spacing w:before="11"/>
        <w:ind w:left="0"/>
        <w:jc w:val="left"/>
        <w:rPr>
          <w:rFonts w:hint="eastAsia"/>
          <w:sz w:val="30"/>
          <w:szCs w:val="30"/>
        </w:rPr>
      </w:pPr>
      <w:r>
        <w:rPr>
          <w:rFonts w:hint="eastAsia"/>
          <w:sz w:val="30"/>
          <w:szCs w:val="30"/>
        </w:rPr>
        <w:t>为要让圣徒们能坐在上面，参与审判。</w:t>
      </w:r>
    </w:p>
    <w:p w14:paraId="2A89452C">
      <w:pPr>
        <w:pStyle w:val="9"/>
        <w:spacing w:before="11"/>
        <w:ind w:left="0"/>
        <w:jc w:val="left"/>
        <w:rPr>
          <w:rFonts w:hint="eastAsia"/>
          <w:sz w:val="30"/>
          <w:szCs w:val="30"/>
        </w:rPr>
      </w:pPr>
    </w:p>
    <w:p w14:paraId="65365FFF">
      <w:pPr>
        <w:pStyle w:val="9"/>
        <w:spacing w:before="11"/>
        <w:ind w:left="0"/>
        <w:jc w:val="left"/>
        <w:rPr>
          <w:rFonts w:hint="eastAsia"/>
          <w:sz w:val="30"/>
          <w:szCs w:val="30"/>
        </w:rPr>
      </w:pPr>
      <w:r>
        <w:rPr>
          <w:rFonts w:hint="eastAsia"/>
          <w:sz w:val="30"/>
          <w:szCs w:val="30"/>
        </w:rPr>
        <w:t>Similarly, Daniel 7:26-27 tells us that at the Last Judgment “the court will sit.”</w:t>
      </w:r>
    </w:p>
    <w:p w14:paraId="4CE8752C">
      <w:pPr>
        <w:pStyle w:val="9"/>
        <w:spacing w:before="11"/>
        <w:ind w:left="0"/>
        <w:jc w:val="left"/>
        <w:rPr>
          <w:rFonts w:hint="eastAsia"/>
          <w:sz w:val="30"/>
          <w:szCs w:val="30"/>
        </w:rPr>
      </w:pPr>
      <w:r>
        <w:rPr>
          <w:rFonts w:hint="eastAsia"/>
          <w:sz w:val="30"/>
          <w:szCs w:val="30"/>
        </w:rPr>
        <w:t>同样，但以理书7:26-27告诉我们，在最后审判时“审判者必坐着行审判”。</w:t>
      </w:r>
    </w:p>
    <w:p w14:paraId="3D4F82F6">
      <w:pPr>
        <w:pStyle w:val="9"/>
        <w:spacing w:before="11"/>
        <w:ind w:left="0"/>
        <w:jc w:val="left"/>
        <w:rPr>
          <w:rFonts w:hint="eastAsia"/>
          <w:sz w:val="30"/>
          <w:szCs w:val="30"/>
        </w:rPr>
      </w:pPr>
    </w:p>
    <w:p w14:paraId="65C50368">
      <w:pPr>
        <w:pStyle w:val="9"/>
        <w:spacing w:before="11"/>
        <w:ind w:left="0"/>
        <w:jc w:val="left"/>
        <w:rPr>
          <w:rFonts w:hint="eastAsia"/>
          <w:sz w:val="30"/>
          <w:szCs w:val="30"/>
        </w:rPr>
      </w:pPr>
      <w:r>
        <w:rPr>
          <w:rFonts w:hint="eastAsia"/>
          <w:sz w:val="30"/>
          <w:szCs w:val="30"/>
        </w:rPr>
        <w:t>But who constitutes “the court”?</w:t>
      </w:r>
    </w:p>
    <w:p w14:paraId="73D3409F">
      <w:pPr>
        <w:pStyle w:val="9"/>
        <w:spacing w:before="11"/>
        <w:ind w:left="0"/>
        <w:jc w:val="left"/>
        <w:rPr>
          <w:rFonts w:hint="eastAsia"/>
          <w:sz w:val="30"/>
          <w:szCs w:val="30"/>
        </w:rPr>
      </w:pPr>
      <w:r>
        <w:rPr>
          <w:rFonts w:hint="eastAsia"/>
          <w:sz w:val="30"/>
          <w:szCs w:val="30"/>
        </w:rPr>
        <w:t>但谁构成了“审判者”？</w:t>
      </w:r>
    </w:p>
    <w:p w14:paraId="35AE17FF">
      <w:pPr>
        <w:pStyle w:val="9"/>
        <w:spacing w:before="11"/>
        <w:ind w:left="0"/>
        <w:jc w:val="left"/>
        <w:rPr>
          <w:rFonts w:hint="eastAsia"/>
          <w:sz w:val="30"/>
          <w:szCs w:val="30"/>
        </w:rPr>
      </w:pPr>
    </w:p>
    <w:p w14:paraId="09560196">
      <w:pPr>
        <w:pStyle w:val="9"/>
        <w:spacing w:before="11"/>
        <w:ind w:left="0"/>
        <w:jc w:val="left"/>
        <w:rPr>
          <w:rFonts w:hint="eastAsia"/>
          <w:sz w:val="30"/>
          <w:szCs w:val="30"/>
        </w:rPr>
      </w:pPr>
      <w:r>
        <w:rPr>
          <w:rFonts w:hint="eastAsia"/>
          <w:sz w:val="30"/>
          <w:szCs w:val="30"/>
        </w:rPr>
        <w:t>The context strongly suggests that it is the saints themselves.</w:t>
      </w:r>
    </w:p>
    <w:p w14:paraId="25D240D1">
      <w:pPr>
        <w:pStyle w:val="9"/>
        <w:spacing w:before="11"/>
        <w:ind w:left="0"/>
        <w:jc w:val="left"/>
        <w:rPr>
          <w:rFonts w:hint="eastAsia"/>
          <w:sz w:val="30"/>
          <w:szCs w:val="30"/>
        </w:rPr>
      </w:pPr>
      <w:r>
        <w:rPr>
          <w:rFonts w:hint="eastAsia"/>
          <w:sz w:val="30"/>
          <w:szCs w:val="30"/>
        </w:rPr>
        <w:t>上下文强烈暗示，就是圣徒们自己。</w:t>
      </w:r>
    </w:p>
    <w:p w14:paraId="7D5D8DC4">
      <w:pPr>
        <w:pStyle w:val="9"/>
        <w:spacing w:before="11"/>
        <w:ind w:left="0"/>
        <w:jc w:val="left"/>
        <w:rPr>
          <w:rFonts w:hint="eastAsia"/>
          <w:sz w:val="30"/>
          <w:szCs w:val="30"/>
        </w:rPr>
      </w:pPr>
    </w:p>
    <w:p w14:paraId="28AB16DE">
      <w:pPr>
        <w:pStyle w:val="9"/>
        <w:spacing w:before="11"/>
        <w:ind w:left="0"/>
        <w:jc w:val="left"/>
        <w:rPr>
          <w:rFonts w:hint="eastAsia"/>
          <w:sz w:val="30"/>
          <w:szCs w:val="30"/>
        </w:rPr>
      </w:pPr>
      <w:r>
        <w:rPr>
          <w:rFonts w:hint="eastAsia"/>
          <w:sz w:val="30"/>
          <w:szCs w:val="30"/>
        </w:rPr>
        <w:t>As we have seen, other passages in the Revelation confirm this idea.</w:t>
      </w:r>
    </w:p>
    <w:p w14:paraId="51C6E36A">
      <w:pPr>
        <w:pStyle w:val="9"/>
        <w:spacing w:before="11"/>
        <w:ind w:left="0"/>
        <w:jc w:val="left"/>
        <w:rPr>
          <w:rFonts w:hint="eastAsia"/>
          <w:sz w:val="30"/>
          <w:szCs w:val="30"/>
        </w:rPr>
      </w:pPr>
      <w:r>
        <w:rPr>
          <w:rFonts w:hint="eastAsia"/>
          <w:sz w:val="30"/>
          <w:szCs w:val="30"/>
        </w:rPr>
        <w:t>正如我们所见，《启示录》中的其他段落证实了这一观点。</w:t>
      </w:r>
    </w:p>
    <w:p w14:paraId="7149D72D">
      <w:pPr>
        <w:pStyle w:val="9"/>
        <w:spacing w:before="11"/>
        <w:ind w:left="0"/>
        <w:jc w:val="left"/>
        <w:rPr>
          <w:rFonts w:hint="eastAsia"/>
          <w:sz w:val="30"/>
          <w:szCs w:val="30"/>
        </w:rPr>
      </w:pPr>
    </w:p>
    <w:p w14:paraId="7D07B327">
      <w:pPr>
        <w:pStyle w:val="9"/>
        <w:spacing w:before="11"/>
        <w:ind w:left="0"/>
        <w:jc w:val="left"/>
        <w:rPr>
          <w:rFonts w:hint="eastAsia"/>
          <w:sz w:val="30"/>
          <w:szCs w:val="30"/>
        </w:rPr>
      </w:pPr>
      <w:r>
        <w:rPr>
          <w:rFonts w:hint="eastAsia"/>
          <w:sz w:val="30"/>
          <w:szCs w:val="30"/>
        </w:rPr>
        <w:t>It is particularly clear in 3:26-27, where the Lord promises to the overcomers in Thyatira that they will have a share in the Last Judgment.</w:t>
      </w:r>
    </w:p>
    <w:p w14:paraId="724CEEED">
      <w:pPr>
        <w:pStyle w:val="9"/>
        <w:spacing w:before="11"/>
        <w:ind w:left="0"/>
        <w:jc w:val="left"/>
        <w:rPr>
          <w:rFonts w:hint="eastAsia"/>
          <w:sz w:val="30"/>
          <w:szCs w:val="30"/>
        </w:rPr>
      </w:pPr>
      <w:r>
        <w:rPr>
          <w:rFonts w:hint="eastAsia"/>
          <w:sz w:val="30"/>
          <w:szCs w:val="30"/>
        </w:rPr>
        <w:t>在3:26-27中这一点尤其清楚，主在那里应许推雅推喇的得胜者将在最后的审判中有份。</w:t>
      </w:r>
    </w:p>
    <w:p w14:paraId="35BC1561">
      <w:pPr>
        <w:pStyle w:val="9"/>
        <w:spacing w:before="11"/>
        <w:ind w:left="0"/>
        <w:jc w:val="left"/>
        <w:rPr>
          <w:rFonts w:hint="eastAsia"/>
          <w:sz w:val="30"/>
          <w:szCs w:val="30"/>
        </w:rPr>
      </w:pPr>
    </w:p>
    <w:p w14:paraId="09828D49">
      <w:pPr>
        <w:pStyle w:val="9"/>
        <w:spacing w:before="11"/>
        <w:ind w:left="0"/>
        <w:jc w:val="left"/>
        <w:rPr>
          <w:rFonts w:hint="eastAsia"/>
          <w:sz w:val="30"/>
          <w:szCs w:val="30"/>
        </w:rPr>
      </w:pPr>
      <w:r>
        <w:rPr>
          <w:rFonts w:hint="eastAsia"/>
          <w:sz w:val="30"/>
          <w:szCs w:val="30"/>
        </w:rPr>
        <w:t>We also see it in a closely parallel text, 19:11-15, which tells us that the armies of heaven, clothed in fine linen, will follow the glorified Christ as he returns to the earth, at which time both he and the armies will be to the nations as a shepherd wielding a rod of iron.</w:t>
      </w:r>
    </w:p>
    <w:p w14:paraId="798E5FDC">
      <w:pPr>
        <w:pStyle w:val="9"/>
        <w:spacing w:before="11"/>
        <w:ind w:left="0"/>
        <w:jc w:val="left"/>
        <w:rPr>
          <w:rFonts w:hint="eastAsia"/>
          <w:sz w:val="30"/>
          <w:szCs w:val="30"/>
        </w:rPr>
      </w:pPr>
      <w:r>
        <w:rPr>
          <w:rFonts w:hint="eastAsia"/>
          <w:sz w:val="30"/>
          <w:szCs w:val="30"/>
        </w:rPr>
        <w:t>我们在一段密切平行的经文19:11-15中也看到了这一点，它告诉我们天上的众军，身穿细麻衣，将跟随得荣耀的基督回到地上，届时祂和众军都将对列国如同一个手持铁杖的牧人。</w:t>
      </w:r>
    </w:p>
    <w:p w14:paraId="2A226819">
      <w:pPr>
        <w:pStyle w:val="9"/>
        <w:spacing w:before="11"/>
        <w:ind w:left="0"/>
        <w:jc w:val="left"/>
        <w:rPr>
          <w:rFonts w:hint="eastAsia"/>
          <w:sz w:val="30"/>
          <w:szCs w:val="30"/>
        </w:rPr>
      </w:pPr>
    </w:p>
    <w:p w14:paraId="08B2D248">
      <w:pPr>
        <w:pStyle w:val="9"/>
        <w:spacing w:before="11"/>
        <w:ind w:left="0"/>
        <w:jc w:val="left"/>
        <w:rPr>
          <w:rFonts w:hint="eastAsia"/>
          <w:sz w:val="30"/>
          <w:szCs w:val="30"/>
        </w:rPr>
      </w:pPr>
      <w:r>
        <w:rPr>
          <w:rFonts w:hint="eastAsia"/>
          <w:sz w:val="30"/>
          <w:szCs w:val="30"/>
        </w:rPr>
        <w:t>From their attire, we know that these armies are (or at least include) the saints (19:8).</w:t>
      </w:r>
    </w:p>
    <w:p w14:paraId="28A63341">
      <w:pPr>
        <w:pStyle w:val="9"/>
        <w:spacing w:before="11"/>
        <w:ind w:left="0"/>
        <w:jc w:val="left"/>
        <w:rPr>
          <w:rFonts w:hint="eastAsia"/>
          <w:sz w:val="30"/>
          <w:szCs w:val="30"/>
        </w:rPr>
      </w:pPr>
      <w:r>
        <w:rPr>
          <w:rFonts w:hint="eastAsia"/>
          <w:sz w:val="30"/>
          <w:szCs w:val="30"/>
        </w:rPr>
        <w:t>从他们的穿着，我们知道这些军队是（或至少包括）圣徒（19:8）。</w:t>
      </w:r>
    </w:p>
    <w:p w14:paraId="419AF5D8">
      <w:pPr>
        <w:pStyle w:val="9"/>
        <w:spacing w:before="11"/>
        <w:ind w:left="0"/>
        <w:jc w:val="left"/>
        <w:rPr>
          <w:rFonts w:hint="eastAsia"/>
          <w:sz w:val="30"/>
          <w:szCs w:val="30"/>
        </w:rPr>
      </w:pPr>
    </w:p>
    <w:p w14:paraId="0D2C6299">
      <w:pPr>
        <w:pStyle w:val="9"/>
        <w:spacing w:before="11"/>
        <w:ind w:left="0"/>
        <w:jc w:val="left"/>
        <w:rPr>
          <w:rFonts w:hint="eastAsia"/>
          <w:sz w:val="30"/>
          <w:szCs w:val="30"/>
        </w:rPr>
      </w:pPr>
      <w:r>
        <w:rPr>
          <w:rFonts w:hint="eastAsia"/>
          <w:sz w:val="30"/>
          <w:szCs w:val="30"/>
        </w:rPr>
        <w:t>And again, we have the teaching of the rest of the NT to the effect that believers will definitely have a role in the administration of final judgment at Christ’s Parousia (Rom. 16:20, 1 Cor. 6:1f).</w:t>
      </w:r>
    </w:p>
    <w:p w14:paraId="28EA5BD0">
      <w:pPr>
        <w:pStyle w:val="9"/>
        <w:spacing w:before="11"/>
        <w:ind w:left="0"/>
        <w:jc w:val="left"/>
        <w:rPr>
          <w:rFonts w:hint="eastAsia"/>
          <w:sz w:val="30"/>
          <w:szCs w:val="30"/>
        </w:rPr>
      </w:pPr>
      <w:r>
        <w:rPr>
          <w:rFonts w:hint="eastAsia"/>
          <w:sz w:val="30"/>
          <w:szCs w:val="30"/>
        </w:rPr>
        <w:t>再次，我们有新约其余部分的教导，即信徒在基督主临（Parousia）时施行最后审判时，肯定会扮演一个角色（罗16:20，林前6:1及以下）。</w:t>
      </w:r>
    </w:p>
    <w:p w14:paraId="3178129B">
      <w:pPr>
        <w:pStyle w:val="9"/>
        <w:spacing w:before="11"/>
        <w:ind w:left="0"/>
        <w:jc w:val="left"/>
        <w:rPr>
          <w:rFonts w:hint="eastAsia"/>
          <w:sz w:val="30"/>
          <w:szCs w:val="30"/>
        </w:rPr>
      </w:pPr>
    </w:p>
    <w:p w14:paraId="75B2F5E1">
      <w:pPr>
        <w:pStyle w:val="9"/>
        <w:spacing w:before="11"/>
        <w:ind w:left="0"/>
        <w:jc w:val="left"/>
        <w:rPr>
          <w:rFonts w:hint="eastAsia"/>
          <w:sz w:val="30"/>
          <w:szCs w:val="30"/>
        </w:rPr>
      </w:pPr>
      <w:r>
        <w:rPr>
          <w:rFonts w:hint="eastAsia"/>
          <w:sz w:val="30"/>
          <w:szCs w:val="30"/>
        </w:rPr>
        <w:t>We conclude, then, that the meaning of 20:4a is this: At the moment of death, overcoming saints not only enter heaven, but also enter into their privileged role as co-executors of the Last Judgment at Christ’s coming again.</w:t>
      </w:r>
    </w:p>
    <w:p w14:paraId="6CEAE3B4">
      <w:pPr>
        <w:pStyle w:val="9"/>
        <w:spacing w:before="11"/>
        <w:ind w:left="0"/>
        <w:jc w:val="left"/>
        <w:rPr>
          <w:rFonts w:hint="eastAsia"/>
          <w:sz w:val="30"/>
          <w:szCs w:val="30"/>
        </w:rPr>
      </w:pPr>
      <w:r>
        <w:rPr>
          <w:rFonts w:hint="eastAsia"/>
          <w:sz w:val="30"/>
          <w:szCs w:val="30"/>
        </w:rPr>
        <w:t>因此，我们得出结论，20:4a的意思是：在死亡的那一刻，得胜的圣徒不仅进入天堂，也进入他们在基督再来时作为最后审判的共同执行者的特权角色。</w:t>
      </w:r>
    </w:p>
    <w:p w14:paraId="4096A062">
      <w:pPr>
        <w:pStyle w:val="9"/>
        <w:spacing w:before="11"/>
        <w:ind w:left="0"/>
        <w:jc w:val="left"/>
        <w:rPr>
          <w:rFonts w:hint="eastAsia"/>
          <w:sz w:val="30"/>
          <w:szCs w:val="30"/>
        </w:rPr>
      </w:pPr>
    </w:p>
    <w:p w14:paraId="714F2DE9">
      <w:pPr>
        <w:pStyle w:val="9"/>
        <w:spacing w:before="11"/>
        <w:ind w:left="0"/>
        <w:jc w:val="left"/>
        <w:rPr>
          <w:rFonts w:hint="eastAsia"/>
          <w:sz w:val="30"/>
          <w:szCs w:val="30"/>
        </w:rPr>
      </w:pPr>
      <w:r>
        <w:rPr>
          <w:rFonts w:hint="eastAsia"/>
          <w:sz w:val="30"/>
          <w:szCs w:val="30"/>
        </w:rPr>
        <w:t>Yes, for a little while they must wait patiently while their brethren on earth suffer, and while the High King of Heaven gathers in his elect (Rev. 6:9-11).</w:t>
      </w:r>
    </w:p>
    <w:p w14:paraId="0B81C00F">
      <w:pPr>
        <w:pStyle w:val="9"/>
        <w:spacing w:before="11"/>
        <w:ind w:left="0"/>
        <w:jc w:val="left"/>
        <w:rPr>
          <w:rFonts w:hint="eastAsia"/>
          <w:sz w:val="30"/>
          <w:szCs w:val="30"/>
        </w:rPr>
      </w:pPr>
      <w:r>
        <w:rPr>
          <w:rFonts w:hint="eastAsia"/>
          <w:sz w:val="30"/>
          <w:szCs w:val="30"/>
        </w:rPr>
        <w:t>是的，在他们地上的弟兄受苦，以及天上至高君王聚集祂的选民时，他们必须耐心等候片时（启6:9-11）。</w:t>
      </w:r>
    </w:p>
    <w:p w14:paraId="18DCB83E">
      <w:pPr>
        <w:pStyle w:val="9"/>
        <w:spacing w:before="11"/>
        <w:ind w:left="0"/>
        <w:jc w:val="left"/>
        <w:rPr>
          <w:rFonts w:hint="eastAsia"/>
          <w:sz w:val="30"/>
          <w:szCs w:val="30"/>
        </w:rPr>
      </w:pPr>
    </w:p>
    <w:p w14:paraId="71EB53CB">
      <w:pPr>
        <w:pStyle w:val="9"/>
        <w:spacing w:before="11"/>
        <w:ind w:left="0"/>
        <w:jc w:val="left"/>
        <w:rPr>
          <w:rFonts w:hint="eastAsia"/>
          <w:sz w:val="30"/>
          <w:szCs w:val="30"/>
        </w:rPr>
      </w:pPr>
      <w:r>
        <w:rPr>
          <w:rFonts w:hint="eastAsia"/>
          <w:sz w:val="30"/>
          <w:szCs w:val="30"/>
        </w:rPr>
        <w:t>But they can rest assured that in due season they will indeed fulfill their judicial role.</w:t>
      </w:r>
    </w:p>
    <w:p w14:paraId="3AFD40F8">
      <w:pPr>
        <w:pStyle w:val="9"/>
        <w:spacing w:before="11"/>
        <w:ind w:left="0"/>
        <w:jc w:val="left"/>
        <w:rPr>
          <w:rFonts w:hint="eastAsia"/>
          <w:sz w:val="30"/>
          <w:szCs w:val="30"/>
        </w:rPr>
      </w:pPr>
      <w:r>
        <w:rPr>
          <w:rFonts w:hint="eastAsia"/>
          <w:sz w:val="30"/>
          <w:szCs w:val="30"/>
        </w:rPr>
        <w:t>但他们可以放心，到时候他们确实会履行他们的审判职责。</w:t>
      </w:r>
    </w:p>
    <w:p w14:paraId="764BA670">
      <w:pPr>
        <w:pStyle w:val="9"/>
        <w:spacing w:before="11"/>
        <w:ind w:left="0"/>
        <w:jc w:val="left"/>
        <w:rPr>
          <w:rFonts w:hint="eastAsia"/>
          <w:sz w:val="30"/>
          <w:szCs w:val="30"/>
        </w:rPr>
      </w:pPr>
    </w:p>
    <w:p w14:paraId="11484AF8">
      <w:pPr>
        <w:pStyle w:val="9"/>
        <w:spacing w:before="11"/>
        <w:ind w:left="0"/>
        <w:jc w:val="left"/>
        <w:rPr>
          <w:rFonts w:hint="eastAsia"/>
          <w:sz w:val="30"/>
          <w:szCs w:val="30"/>
        </w:rPr>
      </w:pPr>
      <w:r>
        <w:rPr>
          <w:rFonts w:hint="eastAsia"/>
          <w:sz w:val="30"/>
          <w:szCs w:val="30"/>
        </w:rPr>
        <w:t>Already they know that Christ has seated them upon thrones; already they know he has appointed them to shepherd the nations with a rod of iron; already they know that judgment has been given to them.</w:t>
      </w:r>
    </w:p>
    <w:p w14:paraId="33B4AC4D">
      <w:pPr>
        <w:pStyle w:val="9"/>
        <w:spacing w:before="11"/>
        <w:ind w:left="0"/>
        <w:jc w:val="left"/>
        <w:rPr>
          <w:rFonts w:hint="eastAsia"/>
          <w:sz w:val="30"/>
          <w:szCs w:val="30"/>
        </w:rPr>
      </w:pPr>
      <w:r>
        <w:rPr>
          <w:rFonts w:hint="eastAsia"/>
          <w:sz w:val="30"/>
          <w:szCs w:val="30"/>
        </w:rPr>
        <w:t>他们已经知道基督已将他们安置在宝座上；他们已经知道祂已指派他们用铁杖牧养列国；他们已经知道审判权已赐给他们。</w:t>
      </w:r>
    </w:p>
    <w:p w14:paraId="6E6DD2F0">
      <w:pPr>
        <w:pStyle w:val="9"/>
        <w:spacing w:before="11"/>
        <w:ind w:left="0"/>
        <w:jc w:val="left"/>
        <w:rPr>
          <w:rFonts w:hint="eastAsia"/>
          <w:sz w:val="30"/>
          <w:szCs w:val="30"/>
        </w:rPr>
      </w:pPr>
    </w:p>
    <w:p w14:paraId="05EE4FDB">
      <w:pPr>
        <w:pStyle w:val="9"/>
        <w:spacing w:before="11"/>
        <w:ind w:left="0"/>
        <w:jc w:val="left"/>
        <w:rPr>
          <w:rFonts w:hint="eastAsia"/>
          <w:sz w:val="30"/>
          <w:szCs w:val="30"/>
        </w:rPr>
      </w:pPr>
      <w:r>
        <w:rPr>
          <w:rFonts w:hint="eastAsia"/>
          <w:sz w:val="30"/>
          <w:szCs w:val="30"/>
        </w:rPr>
        <w:t>And when they administer it, the entire world will know that God himself has indeed given judgment in favor of the saints of the Most High (Dan. 7:21-22, Rev. 20:12, 15).</w:t>
      </w:r>
    </w:p>
    <w:p w14:paraId="37FE4B70">
      <w:pPr>
        <w:pStyle w:val="9"/>
        <w:spacing w:before="11"/>
        <w:ind w:left="0"/>
        <w:jc w:val="left"/>
        <w:rPr>
          <w:rFonts w:hint="eastAsia" w:eastAsia="宋体"/>
          <w:sz w:val="15"/>
          <w:lang w:val="en-US" w:eastAsia="zh-CN"/>
        </w:rPr>
      </w:pPr>
      <w:r>
        <w:rPr>
          <w:rFonts w:hint="eastAsia"/>
          <w:sz w:val="30"/>
          <w:szCs w:val="30"/>
        </w:rPr>
        <w:t>当他们施行审判时，全世界都会知道，上帝祂自己确实已经为至高者的圣民作出了审判（但7:21-22，启20:12, 15）。</w:t>
      </w:r>
      <w:r>
        <w:rPr>
          <w:rFonts w:hint="eastAsia" w:eastAsia="宋体"/>
          <w:sz w:val="30"/>
          <w:szCs w:val="30"/>
          <w:lang w:val="en-US" w:eastAsia="zh-CN"/>
        </w:rPr>
        <w:t>z</w:t>
      </w:r>
    </w:p>
    <w:p w14:paraId="31969D42">
      <w:pPr>
        <w:pStyle w:val="9"/>
        <w:spacing w:before="22" w:line="249" w:lineRule="auto"/>
        <w:ind w:right="98" w:firstLine="450"/>
      </w:pPr>
    </w:p>
    <w:p w14:paraId="52948ABE">
      <w:pPr>
        <w:pStyle w:val="9"/>
        <w:spacing w:after="0" w:line="249" w:lineRule="auto"/>
        <w:sectPr>
          <w:pgSz w:w="12240" w:h="15840"/>
          <w:pgMar w:top="1380" w:right="1440" w:bottom="280" w:left="1440" w:header="720" w:footer="720" w:gutter="0"/>
          <w:cols w:space="720" w:num="1"/>
        </w:sectPr>
      </w:pPr>
    </w:p>
    <w:p w14:paraId="6059FDCB">
      <w:pPr>
        <w:pStyle w:val="9"/>
        <w:spacing w:after="0" w:line="249" w:lineRule="auto"/>
        <w:rPr>
          <w:rFonts w:hint="eastAsia"/>
          <w:color w:val="231F20"/>
        </w:rPr>
      </w:pPr>
      <w:r>
        <w:rPr>
          <w:rFonts w:hint="eastAsia"/>
          <w:color w:val="231F20"/>
        </w:rPr>
        <w:t>The Last Battle and the Judgment of Satan (Rev. 20:7-10)</w:t>
      </w:r>
    </w:p>
    <w:p w14:paraId="22A84724">
      <w:pPr>
        <w:pStyle w:val="9"/>
        <w:spacing w:after="0" w:line="249" w:lineRule="auto"/>
        <w:rPr>
          <w:rFonts w:hint="eastAsia"/>
          <w:color w:val="231F20"/>
        </w:rPr>
      </w:pPr>
      <w:r>
        <w:rPr>
          <w:rFonts w:hint="eastAsia"/>
          <w:color w:val="231F20"/>
        </w:rPr>
        <w:t>末日争战与对撒但的审判（启20:7-10）</w:t>
      </w:r>
    </w:p>
    <w:p w14:paraId="7613C013">
      <w:pPr>
        <w:pStyle w:val="9"/>
        <w:spacing w:after="0" w:line="249" w:lineRule="auto"/>
        <w:rPr>
          <w:rFonts w:hint="eastAsia"/>
          <w:color w:val="231F20"/>
        </w:rPr>
      </w:pPr>
    </w:p>
    <w:p w14:paraId="3C32D8E6">
      <w:pPr>
        <w:pStyle w:val="9"/>
        <w:spacing w:after="0" w:line="249" w:lineRule="auto"/>
        <w:rPr>
          <w:rFonts w:hint="eastAsia"/>
          <w:color w:val="231F20"/>
        </w:rPr>
      </w:pPr>
      <w:r>
        <w:rPr>
          <w:rFonts w:hint="eastAsia"/>
          <w:color w:val="231F20"/>
        </w:rPr>
        <w:t>In verse 3 John told us that at the end of the thousand years Satan must be released for a short time.</w:t>
      </w:r>
    </w:p>
    <w:p w14:paraId="341A0C0D">
      <w:pPr>
        <w:pStyle w:val="9"/>
        <w:spacing w:after="0" w:line="249" w:lineRule="auto"/>
        <w:rPr>
          <w:rFonts w:hint="eastAsia"/>
          <w:color w:val="231F20"/>
        </w:rPr>
      </w:pPr>
      <w:r>
        <w:rPr>
          <w:rFonts w:hint="eastAsia"/>
          <w:color w:val="231F20"/>
        </w:rPr>
        <w:t>在第3节，约翰告诉我们，一千年完了以后，必须暂时释放撒但。</w:t>
      </w:r>
    </w:p>
    <w:p w14:paraId="02FF392F">
      <w:pPr>
        <w:pStyle w:val="9"/>
        <w:spacing w:after="0" w:line="249" w:lineRule="auto"/>
        <w:rPr>
          <w:rFonts w:hint="eastAsia"/>
          <w:color w:val="231F20"/>
        </w:rPr>
      </w:pPr>
    </w:p>
    <w:p w14:paraId="689C59C4">
      <w:pPr>
        <w:pStyle w:val="9"/>
        <w:spacing w:after="0" w:line="249" w:lineRule="auto"/>
        <w:rPr>
          <w:rFonts w:hint="eastAsia"/>
          <w:color w:val="231F20"/>
        </w:rPr>
      </w:pPr>
      <w:r>
        <w:rPr>
          <w:rFonts w:hint="eastAsia"/>
          <w:color w:val="231F20"/>
        </w:rPr>
        <w:t>Revelation 20:7-10 explains what he will do when he is.</w:t>
      </w:r>
    </w:p>
    <w:p w14:paraId="61D55D7F">
      <w:pPr>
        <w:pStyle w:val="9"/>
        <w:spacing w:after="0" w:line="249" w:lineRule="auto"/>
        <w:rPr>
          <w:rFonts w:hint="eastAsia"/>
          <w:color w:val="231F20"/>
        </w:rPr>
      </w:pPr>
      <w:r>
        <w:rPr>
          <w:rFonts w:hint="eastAsia"/>
          <w:color w:val="231F20"/>
        </w:rPr>
        <w:t>《启示录》20:7-10解释了当他被释放时将会做什么。</w:t>
      </w:r>
    </w:p>
    <w:p w14:paraId="02905B4B">
      <w:pPr>
        <w:pStyle w:val="9"/>
        <w:spacing w:after="0" w:line="249" w:lineRule="auto"/>
        <w:rPr>
          <w:rFonts w:hint="eastAsia"/>
          <w:color w:val="231F20"/>
        </w:rPr>
      </w:pPr>
    </w:p>
    <w:p w14:paraId="48D98750">
      <w:pPr>
        <w:pStyle w:val="9"/>
        <w:spacing w:after="0" w:line="249" w:lineRule="auto"/>
        <w:rPr>
          <w:rFonts w:hint="eastAsia"/>
          <w:color w:val="231F20"/>
        </w:rPr>
      </w:pPr>
      <w:r>
        <w:rPr>
          <w:rFonts w:hint="eastAsia"/>
          <w:color w:val="231F20"/>
        </w:rPr>
        <w:t>Once we realize that the thousand years symbolize the Era of Proclamation, it is quite easy to see that this is the Revelation’s final depiction of the Last Battle, followed by its first depiction of the judgment of Satan.</w:t>
      </w:r>
    </w:p>
    <w:p w14:paraId="2500118A">
      <w:pPr>
        <w:pStyle w:val="9"/>
        <w:spacing w:after="0" w:line="249" w:lineRule="auto"/>
        <w:rPr>
          <w:rFonts w:hint="eastAsia"/>
          <w:color w:val="231F20"/>
        </w:rPr>
      </w:pPr>
      <w:r>
        <w:rPr>
          <w:rFonts w:hint="eastAsia"/>
          <w:color w:val="231F20"/>
        </w:rPr>
        <w:t>一旦我们认识到一千年象征着宣讲时代，就很容易看出这是《启示录》对末日争战的最后一次描绘，其后是它对撒但审判的第一次描绘。</w:t>
      </w:r>
    </w:p>
    <w:p w14:paraId="12FED0BA">
      <w:pPr>
        <w:pStyle w:val="9"/>
        <w:spacing w:after="0" w:line="249" w:lineRule="auto"/>
        <w:rPr>
          <w:rFonts w:hint="eastAsia"/>
          <w:color w:val="231F20"/>
        </w:rPr>
      </w:pPr>
    </w:p>
    <w:p w14:paraId="4850BDDA">
      <w:pPr>
        <w:pStyle w:val="9"/>
        <w:spacing w:after="0" w:line="249" w:lineRule="auto"/>
        <w:rPr>
          <w:rFonts w:hint="eastAsia"/>
          <w:color w:val="231F20"/>
        </w:rPr>
      </w:pPr>
      <w:r>
        <w:rPr>
          <w:rFonts w:hint="eastAsia"/>
          <w:color w:val="231F20"/>
        </w:rPr>
        <w:t>Let us take a moment to mine our text for further details.</w:t>
      </w:r>
    </w:p>
    <w:p w14:paraId="1B351BBC">
      <w:pPr>
        <w:pStyle w:val="9"/>
        <w:spacing w:after="0" w:line="249" w:lineRule="auto"/>
        <w:rPr>
          <w:rFonts w:hint="eastAsia"/>
          <w:color w:val="231F20"/>
        </w:rPr>
      </w:pPr>
      <w:r>
        <w:rPr>
          <w:rFonts w:hint="eastAsia"/>
          <w:color w:val="231F20"/>
        </w:rPr>
        <w:t>让我们花点时间来挖掘我们的经文以获取更多细节。</w:t>
      </w:r>
    </w:p>
    <w:p w14:paraId="7919D5D6">
      <w:pPr>
        <w:pStyle w:val="9"/>
        <w:spacing w:after="0" w:line="249" w:lineRule="auto"/>
        <w:rPr>
          <w:rFonts w:hint="eastAsia"/>
          <w:color w:val="231F20"/>
        </w:rPr>
      </w:pPr>
    </w:p>
    <w:p w14:paraId="5E471046">
      <w:pPr>
        <w:pStyle w:val="9"/>
        <w:spacing w:after="0" w:line="249" w:lineRule="auto"/>
        <w:rPr>
          <w:rFonts w:hint="eastAsia"/>
          <w:color w:val="231F20"/>
        </w:rPr>
      </w:pPr>
      <w:r>
        <w:rPr>
          <w:rFonts w:hint="eastAsia"/>
          <w:color w:val="231F20"/>
        </w:rPr>
        <w:t>Verses 7-8 tell us that at the end of the thousand years, Satan will be released from his prison; that he will come out to deceive the nations in the four corners of the earth—Gog and Magog—and that he will gather them together for “the war.”</w:t>
      </w:r>
    </w:p>
    <w:p w14:paraId="50B20C72">
      <w:pPr>
        <w:pStyle w:val="9"/>
        <w:spacing w:after="0" w:line="249" w:lineRule="auto"/>
        <w:rPr>
          <w:rFonts w:hint="eastAsia"/>
          <w:color w:val="231F20"/>
        </w:rPr>
      </w:pPr>
      <w:r>
        <w:rPr>
          <w:rFonts w:hint="eastAsia"/>
          <w:color w:val="231F20"/>
        </w:rPr>
        <w:t>第7-8节告诉我们，一千年完了以后，撒但必从监牢里被释放；他必出来迷惑地上四方的列国——就是歌革和玛各——叫他们聚集争战。</w:t>
      </w:r>
    </w:p>
    <w:p w14:paraId="2696D190">
      <w:pPr>
        <w:pStyle w:val="9"/>
        <w:spacing w:after="0" w:line="249" w:lineRule="auto"/>
        <w:rPr>
          <w:rFonts w:hint="eastAsia"/>
          <w:color w:val="231F20"/>
        </w:rPr>
      </w:pPr>
    </w:p>
    <w:p w14:paraId="523AA2BD">
      <w:pPr>
        <w:pStyle w:val="9"/>
        <w:spacing w:after="0" w:line="249" w:lineRule="auto"/>
        <w:rPr>
          <w:rFonts w:hint="eastAsia"/>
          <w:color w:val="231F20"/>
        </w:rPr>
      </w:pPr>
      <w:r>
        <w:rPr>
          <w:rFonts w:hint="eastAsia"/>
          <w:color w:val="231F20"/>
        </w:rPr>
        <w:t>They will be as the sand of the seashore for multitude.</w:t>
      </w:r>
    </w:p>
    <w:p w14:paraId="48965EBA">
      <w:pPr>
        <w:pStyle w:val="9"/>
        <w:spacing w:after="0" w:line="249" w:lineRule="auto"/>
        <w:rPr>
          <w:rFonts w:hint="eastAsia"/>
          <w:color w:val="231F20"/>
        </w:rPr>
      </w:pPr>
      <w:r>
        <w:rPr>
          <w:rFonts w:hint="eastAsia"/>
          <w:color w:val="231F20"/>
        </w:rPr>
        <w:t>他们的人数多如海沙。</w:t>
      </w:r>
    </w:p>
    <w:p w14:paraId="53DFC500">
      <w:pPr>
        <w:pStyle w:val="9"/>
        <w:spacing w:after="0" w:line="249" w:lineRule="auto"/>
        <w:rPr>
          <w:rFonts w:hint="eastAsia"/>
          <w:color w:val="231F20"/>
        </w:rPr>
      </w:pPr>
    </w:p>
    <w:p w14:paraId="4F8DC15E">
      <w:pPr>
        <w:pStyle w:val="9"/>
        <w:spacing w:after="0" w:line="249" w:lineRule="auto"/>
        <w:rPr>
          <w:rFonts w:hint="eastAsia"/>
          <w:color w:val="231F20"/>
        </w:rPr>
      </w:pPr>
      <w:r>
        <w:rPr>
          <w:rFonts w:hint="eastAsia"/>
          <w:color w:val="231F20"/>
        </w:rPr>
        <w:t>I would interpret verse 7 as follows: At the end of the Era of Proclamation, symbolized by the 1000 years, the Holy Spirit will cease to restrain Satan as previously.</w:t>
      </w:r>
    </w:p>
    <w:p w14:paraId="29EA432A">
      <w:pPr>
        <w:pStyle w:val="9"/>
        <w:spacing w:after="0" w:line="249" w:lineRule="auto"/>
        <w:rPr>
          <w:rFonts w:hint="eastAsia"/>
          <w:color w:val="231F20"/>
        </w:rPr>
      </w:pPr>
      <w:r>
        <w:rPr>
          <w:rFonts w:hint="eastAsia"/>
          <w:color w:val="231F20"/>
        </w:rPr>
        <w:t>我愿如此解释第7节：在以1000年为象征的宣讲时代末了，圣灵将不再像以前那样约束撒但。</w:t>
      </w:r>
    </w:p>
    <w:p w14:paraId="393F1F51">
      <w:pPr>
        <w:pStyle w:val="9"/>
        <w:spacing w:after="0" w:line="249" w:lineRule="auto"/>
        <w:rPr>
          <w:rFonts w:hint="eastAsia"/>
          <w:color w:val="231F20"/>
        </w:rPr>
      </w:pPr>
    </w:p>
    <w:p w14:paraId="30A1759E">
      <w:pPr>
        <w:pStyle w:val="9"/>
        <w:spacing w:after="0" w:line="249" w:lineRule="auto"/>
        <w:rPr>
          <w:rFonts w:hint="eastAsia"/>
          <w:color w:val="231F20"/>
        </w:rPr>
      </w:pPr>
      <w:r>
        <w:rPr>
          <w:rFonts w:hint="eastAsia"/>
          <w:color w:val="231F20"/>
        </w:rPr>
        <w:t>As a result, the situation, in some respects, will revert to what it was at the beginning of the Era of Proclamation: Apart from Christ’s flock—which, owing to increased eschatological lawlessness, will be relatively small—the whole world will lie in the power of the evil one (1 John 5:19; Luke 4:6).</w:t>
      </w:r>
    </w:p>
    <w:p w14:paraId="5E092EBC">
      <w:pPr>
        <w:pStyle w:val="9"/>
        <w:spacing w:after="0" w:line="249" w:lineRule="auto"/>
        <w:rPr>
          <w:rFonts w:hint="eastAsia"/>
          <w:color w:val="231F20"/>
        </w:rPr>
      </w:pPr>
      <w:r>
        <w:rPr>
          <w:rFonts w:hint="eastAsia"/>
          <w:color w:val="231F20"/>
        </w:rPr>
        <w:t>结果，情况在某些方面将恢复到宣讲时代开始时的样子：除了基督的羊群——由于末世的不法之事增多，将相对较小——全世界都卧在那恶者手下（约壹5:19；路4:6）。</w:t>
      </w:r>
    </w:p>
    <w:p w14:paraId="3F82FA75">
      <w:pPr>
        <w:pStyle w:val="9"/>
        <w:spacing w:after="0" w:line="249" w:lineRule="auto"/>
        <w:rPr>
          <w:rFonts w:hint="eastAsia"/>
          <w:color w:val="231F20"/>
        </w:rPr>
      </w:pPr>
    </w:p>
    <w:p w14:paraId="3C8D10D7">
      <w:pPr>
        <w:pStyle w:val="9"/>
        <w:spacing w:after="0" w:line="249" w:lineRule="auto"/>
        <w:rPr>
          <w:rFonts w:hint="eastAsia"/>
          <w:color w:val="231F20"/>
        </w:rPr>
      </w:pPr>
      <w:r>
        <w:rPr>
          <w:rFonts w:hint="eastAsia"/>
          <w:color w:val="231F20"/>
        </w:rPr>
        <w:t>At this point, few if any new believers will be added to the Church.</w:t>
      </w:r>
    </w:p>
    <w:p w14:paraId="302C1FB9">
      <w:pPr>
        <w:pStyle w:val="9"/>
        <w:spacing w:after="0" w:line="249" w:lineRule="auto"/>
        <w:rPr>
          <w:rFonts w:hint="eastAsia"/>
          <w:color w:val="231F20"/>
        </w:rPr>
      </w:pPr>
      <w:r>
        <w:rPr>
          <w:rFonts w:hint="eastAsia"/>
          <w:color w:val="231F20"/>
        </w:rPr>
        <w:t>到那时，很少或根本不会有新的信徒加入教会。</w:t>
      </w:r>
    </w:p>
    <w:p w14:paraId="47651667">
      <w:pPr>
        <w:pStyle w:val="9"/>
        <w:spacing w:after="0" w:line="249" w:lineRule="auto"/>
        <w:rPr>
          <w:rFonts w:hint="eastAsia"/>
          <w:color w:val="231F20"/>
        </w:rPr>
      </w:pPr>
    </w:p>
    <w:p w14:paraId="25FC02EB">
      <w:pPr>
        <w:pStyle w:val="9"/>
        <w:spacing w:after="0" w:line="249" w:lineRule="auto"/>
        <w:rPr>
          <w:rFonts w:hint="eastAsia"/>
          <w:color w:val="231F20"/>
        </w:rPr>
      </w:pPr>
      <w:r>
        <w:rPr>
          <w:rFonts w:hint="eastAsia"/>
          <w:color w:val="231F20"/>
        </w:rPr>
        <w:t>She will have finished her testimony, and all or most of God’s elect will have been gathered in (11:7).</w:t>
      </w:r>
    </w:p>
    <w:p w14:paraId="0F0DD0C7">
      <w:pPr>
        <w:pStyle w:val="9"/>
        <w:spacing w:after="0" w:line="249" w:lineRule="auto"/>
        <w:rPr>
          <w:rFonts w:hint="eastAsia"/>
          <w:color w:val="231F20"/>
        </w:rPr>
      </w:pPr>
      <w:r>
        <w:rPr>
          <w:rFonts w:hint="eastAsia"/>
          <w:color w:val="231F20"/>
        </w:rPr>
        <w:t>她将完成她的见证，所有或大部分上帝的选民都将被聚集（11:7）。</w:t>
      </w:r>
    </w:p>
    <w:p w14:paraId="08394BD7">
      <w:pPr>
        <w:pStyle w:val="9"/>
        <w:spacing w:after="0" w:line="249" w:lineRule="auto"/>
        <w:rPr>
          <w:rFonts w:hint="eastAsia"/>
          <w:color w:val="231F20"/>
        </w:rPr>
      </w:pPr>
    </w:p>
    <w:p w14:paraId="0AF9B1A9">
      <w:pPr>
        <w:pStyle w:val="9"/>
        <w:spacing w:after="0" w:line="249" w:lineRule="auto"/>
        <w:rPr>
          <w:rFonts w:hint="eastAsia"/>
          <w:color w:val="231F20"/>
        </w:rPr>
      </w:pPr>
      <w:r>
        <w:rPr>
          <w:rFonts w:hint="eastAsia"/>
          <w:color w:val="231F20"/>
        </w:rPr>
        <w:t>All this, however, is not the true burden of our text.</w:t>
      </w:r>
    </w:p>
    <w:p w14:paraId="0CCFBD36">
      <w:pPr>
        <w:pStyle w:val="9"/>
        <w:spacing w:after="0" w:line="249" w:lineRule="auto"/>
        <w:rPr>
          <w:rFonts w:hint="eastAsia"/>
          <w:color w:val="231F20"/>
        </w:rPr>
      </w:pPr>
      <w:r>
        <w:rPr>
          <w:rFonts w:hint="eastAsia"/>
          <w:color w:val="231F20"/>
        </w:rPr>
        <w:t>然而，所有这一切并非我们经文的真正负担。</w:t>
      </w:r>
    </w:p>
    <w:p w14:paraId="0F75460A">
      <w:pPr>
        <w:pStyle w:val="9"/>
        <w:spacing w:after="0" w:line="249" w:lineRule="auto"/>
        <w:rPr>
          <w:rFonts w:hint="eastAsia"/>
          <w:color w:val="231F20"/>
        </w:rPr>
      </w:pPr>
    </w:p>
    <w:p w14:paraId="0E92143B">
      <w:pPr>
        <w:pStyle w:val="9"/>
        <w:spacing w:after="0" w:line="249" w:lineRule="auto"/>
        <w:rPr>
          <w:rFonts w:hint="eastAsia"/>
          <w:color w:val="231F20"/>
        </w:rPr>
      </w:pPr>
      <w:r>
        <w:rPr>
          <w:rFonts w:hint="eastAsia"/>
          <w:color w:val="231F20"/>
        </w:rPr>
        <w:t>Its true burden is found in verse 8, where we learn why the Spirit will cease to restrain Satan: so that he (Satan) might gather the nations together for “the war.”</w:t>
      </w:r>
    </w:p>
    <w:p w14:paraId="301853A0">
      <w:pPr>
        <w:pStyle w:val="9"/>
        <w:spacing w:after="0" w:line="249" w:lineRule="auto"/>
        <w:rPr>
          <w:rFonts w:hint="eastAsia"/>
          <w:color w:val="231F20"/>
        </w:rPr>
      </w:pPr>
      <w:r>
        <w:rPr>
          <w:rFonts w:hint="eastAsia"/>
          <w:color w:val="231F20"/>
        </w:rPr>
        <w:t>其真正的负担在第8节中找到，在那里我们了解到为何圣灵将不再约束撒但：为要使他（撒但）能够聚集列国来为“那场战争”作准备。</w:t>
      </w:r>
    </w:p>
    <w:p w14:paraId="7F5A2B33">
      <w:pPr>
        <w:pStyle w:val="9"/>
        <w:spacing w:after="0" w:line="249" w:lineRule="auto"/>
        <w:rPr>
          <w:rFonts w:hint="eastAsia"/>
          <w:color w:val="231F20"/>
        </w:rPr>
      </w:pPr>
    </w:p>
    <w:p w14:paraId="78B18A1A">
      <w:pPr>
        <w:pStyle w:val="9"/>
        <w:spacing w:after="0" w:line="249" w:lineRule="auto"/>
        <w:rPr>
          <w:rFonts w:hint="eastAsia"/>
          <w:color w:val="231F20"/>
        </w:rPr>
      </w:pPr>
      <w:r>
        <w:rPr>
          <w:rFonts w:hint="eastAsia"/>
          <w:color w:val="231F20"/>
        </w:rPr>
        <w:t>As we learned earlier, throughout world history Satan has attempted to consolidate the world-system into a single religious, economic, and political empire, a counterfeit Kingdom of God (Rev. 13:1f).</w:t>
      </w:r>
    </w:p>
    <w:p w14:paraId="1F28B022">
      <w:pPr>
        <w:pStyle w:val="9"/>
        <w:spacing w:after="0" w:line="249" w:lineRule="auto"/>
        <w:rPr>
          <w:rFonts w:hint="eastAsia"/>
          <w:color w:val="231F20"/>
        </w:rPr>
      </w:pPr>
      <w:r>
        <w:rPr>
          <w:rFonts w:hint="eastAsia"/>
          <w:color w:val="231F20"/>
        </w:rPr>
        <w:t>正如我们先前所学到的，在整个世界历史中，撒但一直试图将世界体系整合成一个单一的宗教、经济和政治帝国，一个假冒的上帝之国（启13:1及以下）。</w:t>
      </w:r>
    </w:p>
    <w:p w14:paraId="6149F55E">
      <w:pPr>
        <w:pStyle w:val="9"/>
        <w:spacing w:after="0" w:line="249" w:lineRule="auto"/>
        <w:rPr>
          <w:rFonts w:hint="eastAsia"/>
          <w:color w:val="231F20"/>
        </w:rPr>
      </w:pPr>
    </w:p>
    <w:p w14:paraId="39D2CEAF">
      <w:pPr>
        <w:pStyle w:val="9"/>
        <w:spacing w:after="0" w:line="249" w:lineRule="auto"/>
        <w:rPr>
          <w:rFonts w:hint="eastAsia"/>
          <w:color w:val="231F20"/>
        </w:rPr>
      </w:pPr>
      <w:r>
        <w:rPr>
          <w:rFonts w:hint="eastAsia"/>
          <w:color w:val="231F20"/>
        </w:rPr>
        <w:t>Throughout world history he has also tried to use his serial empires to destroy the Woman and her Seed (Rev. 12:1f).</w:t>
      </w:r>
    </w:p>
    <w:p w14:paraId="01C0A78D">
      <w:pPr>
        <w:pStyle w:val="9"/>
        <w:spacing w:after="0" w:line="249" w:lineRule="auto"/>
        <w:rPr>
          <w:rFonts w:hint="eastAsia"/>
          <w:color w:val="231F20"/>
        </w:rPr>
      </w:pPr>
      <w:r>
        <w:rPr>
          <w:rFonts w:hint="eastAsia"/>
          <w:color w:val="231F20"/>
        </w:rPr>
        <w:t>在整个世界历史中，他也一直试图利用他的一系列帝国来摧毁那妇人和她的后裔（启12:1及以下）。</w:t>
      </w:r>
    </w:p>
    <w:p w14:paraId="53D08F11">
      <w:pPr>
        <w:pStyle w:val="9"/>
        <w:spacing w:after="0" w:line="249" w:lineRule="auto"/>
        <w:rPr>
          <w:rFonts w:hint="eastAsia"/>
          <w:color w:val="231F20"/>
        </w:rPr>
      </w:pPr>
    </w:p>
    <w:p w14:paraId="5ED473E0">
      <w:pPr>
        <w:pStyle w:val="9"/>
        <w:spacing w:after="0" w:line="249" w:lineRule="auto"/>
        <w:rPr>
          <w:rFonts w:hint="eastAsia"/>
          <w:color w:val="231F20"/>
        </w:rPr>
      </w:pPr>
      <w:r>
        <w:rPr>
          <w:rFonts w:hint="eastAsia"/>
          <w:color w:val="231F20"/>
        </w:rPr>
        <w:t>And throughout world history, he has been frustrated in his efforts (12:5ff).</w:t>
      </w:r>
    </w:p>
    <w:p w14:paraId="2290D599">
      <w:pPr>
        <w:pStyle w:val="9"/>
        <w:spacing w:after="0" w:line="249" w:lineRule="auto"/>
        <w:rPr>
          <w:rFonts w:hint="eastAsia"/>
          <w:color w:val="231F20"/>
        </w:rPr>
      </w:pPr>
      <w:r>
        <w:rPr>
          <w:rFonts w:hint="eastAsia"/>
          <w:color w:val="231F20"/>
        </w:rPr>
        <w:t>在整个世界历史中，他的努力都受到了挫败（12:5及以下）。</w:t>
      </w:r>
    </w:p>
    <w:p w14:paraId="3F93A855">
      <w:pPr>
        <w:pStyle w:val="9"/>
        <w:spacing w:after="0" w:line="249" w:lineRule="auto"/>
        <w:rPr>
          <w:rFonts w:hint="eastAsia"/>
          <w:color w:val="231F20"/>
        </w:rPr>
      </w:pPr>
    </w:p>
    <w:p w14:paraId="53B19BB0">
      <w:pPr>
        <w:pStyle w:val="9"/>
        <w:spacing w:after="0" w:line="249" w:lineRule="auto"/>
        <w:rPr>
          <w:rFonts w:hint="eastAsia"/>
          <w:color w:val="231F20"/>
        </w:rPr>
      </w:pPr>
      <w:r>
        <w:rPr>
          <w:rFonts w:hint="eastAsia"/>
          <w:color w:val="231F20"/>
        </w:rPr>
        <w:t>Now, however, the Spirit of God, for wise reasons, will stand aside, letting the Adversary gather together all nations for “the (final) war” against Christ and his Church.</w:t>
      </w:r>
    </w:p>
    <w:p w14:paraId="5E72AAE1">
      <w:pPr>
        <w:pStyle w:val="9"/>
        <w:spacing w:after="0" w:line="249" w:lineRule="auto"/>
        <w:rPr>
          <w:rFonts w:hint="eastAsia"/>
          <w:color w:val="231F20"/>
        </w:rPr>
      </w:pPr>
      <w:r>
        <w:rPr>
          <w:rFonts w:hint="eastAsia"/>
          <w:color w:val="231F20"/>
        </w:rPr>
        <w:t>然而，如今上帝的灵，出于智慧的原因，将置身事外，让那对头聚集万国，为与基督和祂的教会进行“（最后的）战争”。</w:t>
      </w:r>
    </w:p>
    <w:p w14:paraId="00861E59">
      <w:pPr>
        <w:pStyle w:val="9"/>
        <w:spacing w:after="0" w:line="249" w:lineRule="auto"/>
        <w:rPr>
          <w:rFonts w:hint="eastAsia"/>
          <w:color w:val="231F20"/>
        </w:rPr>
      </w:pPr>
    </w:p>
    <w:p w14:paraId="18830881">
      <w:pPr>
        <w:pStyle w:val="9"/>
        <w:spacing w:after="0" w:line="249" w:lineRule="auto"/>
        <w:rPr>
          <w:rFonts w:hint="eastAsia"/>
          <w:color w:val="231F20"/>
        </w:rPr>
      </w:pPr>
      <w:r>
        <w:rPr>
          <w:rFonts w:hint="eastAsia"/>
          <w:color w:val="231F20"/>
        </w:rPr>
        <w:t>The Spirit has already spoken of this.</w:t>
      </w:r>
    </w:p>
    <w:p w14:paraId="32127437">
      <w:pPr>
        <w:pStyle w:val="9"/>
        <w:spacing w:after="0" w:line="249" w:lineRule="auto"/>
        <w:rPr>
          <w:rFonts w:hint="eastAsia"/>
          <w:color w:val="231F20"/>
        </w:rPr>
      </w:pPr>
      <w:r>
        <w:rPr>
          <w:rFonts w:hint="eastAsia"/>
          <w:color w:val="231F20"/>
        </w:rPr>
        <w:t>圣灵已经讲过这事。</w:t>
      </w:r>
    </w:p>
    <w:p w14:paraId="31B6EDB6">
      <w:pPr>
        <w:pStyle w:val="9"/>
        <w:spacing w:after="0" w:line="249" w:lineRule="auto"/>
        <w:rPr>
          <w:rFonts w:hint="eastAsia"/>
          <w:color w:val="231F20"/>
        </w:rPr>
      </w:pPr>
    </w:p>
    <w:p w14:paraId="492CE85C">
      <w:pPr>
        <w:pStyle w:val="9"/>
        <w:spacing w:after="0" w:line="249" w:lineRule="auto"/>
        <w:rPr>
          <w:rFonts w:hint="eastAsia"/>
          <w:color w:val="231F20"/>
        </w:rPr>
      </w:pPr>
      <w:r>
        <w:rPr>
          <w:rFonts w:hint="eastAsia"/>
          <w:color w:val="231F20"/>
        </w:rPr>
        <w:t>It is none other than the war to be waged by the Beast who will rise out of the bottomless pit to overcome the Two Witnesses (Rev. 11:7-10).</w:t>
      </w:r>
    </w:p>
    <w:p w14:paraId="569C20F7">
      <w:pPr>
        <w:pStyle w:val="9"/>
        <w:spacing w:after="0" w:line="249" w:lineRule="auto"/>
        <w:rPr>
          <w:rFonts w:hint="eastAsia"/>
          <w:color w:val="231F20"/>
        </w:rPr>
      </w:pPr>
      <w:r>
        <w:rPr>
          <w:rFonts w:hint="eastAsia"/>
          <w:color w:val="231F20"/>
        </w:rPr>
        <w:t>这正是那将从无底坑中上来的兽所要发动的战争，为要胜过那两个见证人（启11:7-10）。</w:t>
      </w:r>
    </w:p>
    <w:p w14:paraId="3B8D8215">
      <w:pPr>
        <w:pStyle w:val="9"/>
        <w:spacing w:after="0" w:line="249" w:lineRule="auto"/>
        <w:rPr>
          <w:rFonts w:hint="eastAsia"/>
          <w:color w:val="231F20"/>
        </w:rPr>
      </w:pPr>
    </w:p>
    <w:p w14:paraId="44B5EA88">
      <w:pPr>
        <w:pStyle w:val="9"/>
        <w:spacing w:after="0" w:line="249" w:lineRule="auto"/>
        <w:rPr>
          <w:rFonts w:hint="eastAsia"/>
          <w:color w:val="231F20"/>
        </w:rPr>
      </w:pPr>
      <w:r>
        <w:rPr>
          <w:rFonts w:hint="eastAsia"/>
          <w:color w:val="231F20"/>
        </w:rPr>
        <w:t>It is none other than the Battle of Har-Magedon (Rev.16:12-16).</w:t>
      </w:r>
    </w:p>
    <w:p w14:paraId="574C5896">
      <w:pPr>
        <w:pStyle w:val="9"/>
        <w:spacing w:after="0" w:line="249" w:lineRule="auto"/>
        <w:rPr>
          <w:rFonts w:hint="eastAsia"/>
          <w:color w:val="231F20"/>
        </w:rPr>
      </w:pPr>
      <w:r>
        <w:rPr>
          <w:rFonts w:hint="eastAsia"/>
          <w:color w:val="231F20"/>
        </w:rPr>
        <w:t>这正是哈米吉多顿之战（启16:12-16）。</w:t>
      </w:r>
    </w:p>
    <w:p w14:paraId="0B060041">
      <w:pPr>
        <w:pStyle w:val="9"/>
        <w:spacing w:after="0" w:line="249" w:lineRule="auto"/>
        <w:rPr>
          <w:rFonts w:hint="eastAsia"/>
          <w:color w:val="231F20"/>
        </w:rPr>
      </w:pPr>
    </w:p>
    <w:p w14:paraId="49B44692">
      <w:pPr>
        <w:pStyle w:val="9"/>
        <w:spacing w:after="0" w:line="249" w:lineRule="auto"/>
        <w:rPr>
          <w:rFonts w:hint="eastAsia"/>
          <w:color w:val="231F20"/>
        </w:rPr>
      </w:pPr>
      <w:r>
        <w:rPr>
          <w:rFonts w:hint="eastAsia"/>
          <w:color w:val="231F20"/>
        </w:rPr>
        <w:t>It is none other than the war from which the Heavenly Rider will deliver his beleaguered people at his Coming (19:19- 23).</w:t>
      </w:r>
    </w:p>
    <w:p w14:paraId="742157E6">
      <w:pPr>
        <w:pStyle w:val="9"/>
        <w:spacing w:after="0" w:line="249" w:lineRule="auto"/>
        <w:rPr>
          <w:rFonts w:hint="eastAsia"/>
          <w:color w:val="231F20"/>
        </w:rPr>
      </w:pPr>
      <w:r>
        <w:rPr>
          <w:rFonts w:hint="eastAsia"/>
          <w:color w:val="231F20"/>
        </w:rPr>
        <w:t>这正是那天上的骑者将在祂降临时拯救祂被围困的子民的那场战争（19:19-23）。</w:t>
      </w:r>
    </w:p>
    <w:p w14:paraId="66323B9F">
      <w:pPr>
        <w:pStyle w:val="9"/>
        <w:spacing w:after="0" w:line="249" w:lineRule="auto"/>
        <w:rPr>
          <w:rFonts w:hint="eastAsia"/>
          <w:color w:val="231F20"/>
        </w:rPr>
      </w:pPr>
    </w:p>
    <w:p w14:paraId="263922F1">
      <w:pPr>
        <w:pStyle w:val="9"/>
        <w:spacing w:after="0" w:line="249" w:lineRule="auto"/>
        <w:rPr>
          <w:rFonts w:hint="eastAsia"/>
          <w:color w:val="231F20"/>
        </w:rPr>
      </w:pPr>
      <w:r>
        <w:rPr>
          <w:rFonts w:hint="eastAsia"/>
          <w:color w:val="231F20"/>
        </w:rPr>
        <w:t>In short, it is the Last Battle: the battle by which Satan purposes to destroy the Church, but also the battle by which God—with a view to the largest possible display of his glory—purposes to destroy both Satan and his Domain of Darkness at the Parousia of Christ.</w:t>
      </w:r>
    </w:p>
    <w:p w14:paraId="4737F104">
      <w:pPr>
        <w:pStyle w:val="9"/>
        <w:spacing w:after="0" w:line="249" w:lineRule="auto"/>
        <w:rPr>
          <w:rFonts w:hint="eastAsia"/>
          <w:color w:val="231F20"/>
        </w:rPr>
      </w:pPr>
      <w:r>
        <w:rPr>
          <w:rFonts w:hint="eastAsia"/>
          <w:color w:val="231F20"/>
        </w:rPr>
        <w:t>简而言之，这就是末日争战：撒但意图借此摧毁教会的战争，但也是上帝——为要最大可能地彰显祂的荣耀——意图在基督主临（Parousia）时摧毁撒但和他黑暗权势的战争。</w:t>
      </w:r>
    </w:p>
    <w:p w14:paraId="68829830">
      <w:pPr>
        <w:pStyle w:val="9"/>
        <w:spacing w:after="0" w:line="249" w:lineRule="auto"/>
        <w:rPr>
          <w:rFonts w:hint="eastAsia"/>
          <w:color w:val="231F20"/>
        </w:rPr>
      </w:pPr>
    </w:p>
    <w:p w14:paraId="240A096B">
      <w:pPr>
        <w:pStyle w:val="9"/>
        <w:spacing w:after="0" w:line="249" w:lineRule="auto"/>
        <w:rPr>
          <w:rFonts w:hint="eastAsia"/>
          <w:color w:val="231F20"/>
        </w:rPr>
      </w:pPr>
      <w:r>
        <w:rPr>
          <w:rFonts w:hint="eastAsia"/>
          <w:color w:val="231F20"/>
        </w:rPr>
        <w:t>Again, verse 8 states that in order to wage this war Satan will deceive the nations.</w:t>
      </w:r>
    </w:p>
    <w:p w14:paraId="7B9630AA">
      <w:pPr>
        <w:pStyle w:val="9"/>
        <w:spacing w:after="0" w:line="249" w:lineRule="auto"/>
        <w:rPr>
          <w:rFonts w:hint="eastAsia"/>
          <w:color w:val="231F20"/>
        </w:rPr>
      </w:pPr>
      <w:r>
        <w:rPr>
          <w:rFonts w:hint="eastAsia"/>
          <w:color w:val="231F20"/>
        </w:rPr>
        <w:t>再次，第8节指出，为了发动这场战争，撒但将迷惑列国。</w:t>
      </w:r>
    </w:p>
    <w:p w14:paraId="79637E16">
      <w:pPr>
        <w:pStyle w:val="9"/>
        <w:spacing w:after="0" w:line="249" w:lineRule="auto"/>
        <w:rPr>
          <w:rFonts w:hint="eastAsia"/>
          <w:color w:val="231F20"/>
        </w:rPr>
      </w:pPr>
    </w:p>
    <w:p w14:paraId="69FC0A58">
      <w:pPr>
        <w:pStyle w:val="9"/>
        <w:spacing w:after="0" w:line="249" w:lineRule="auto"/>
        <w:rPr>
          <w:rFonts w:hint="eastAsia"/>
          <w:color w:val="231F20"/>
        </w:rPr>
      </w:pPr>
      <w:r>
        <w:rPr>
          <w:rFonts w:hint="eastAsia"/>
          <w:color w:val="231F20"/>
        </w:rPr>
        <w:t>How exactly will he do this?</w:t>
      </w:r>
    </w:p>
    <w:p w14:paraId="486776A7">
      <w:pPr>
        <w:pStyle w:val="9"/>
        <w:spacing w:after="0" w:line="249" w:lineRule="auto"/>
        <w:rPr>
          <w:rFonts w:hint="eastAsia"/>
          <w:color w:val="231F20"/>
        </w:rPr>
      </w:pPr>
      <w:r>
        <w:rPr>
          <w:rFonts w:hint="eastAsia"/>
          <w:color w:val="231F20"/>
        </w:rPr>
        <w:t>祂究竟将如何做到这一点？</w:t>
      </w:r>
    </w:p>
    <w:p w14:paraId="516E0B6F">
      <w:pPr>
        <w:pStyle w:val="9"/>
        <w:spacing w:after="0" w:line="249" w:lineRule="auto"/>
        <w:rPr>
          <w:rFonts w:hint="eastAsia"/>
          <w:color w:val="231F20"/>
        </w:rPr>
      </w:pPr>
    </w:p>
    <w:p w14:paraId="78823C26">
      <w:pPr>
        <w:pStyle w:val="9"/>
        <w:spacing w:after="0" w:line="249" w:lineRule="auto"/>
        <w:rPr>
          <w:rFonts w:hint="eastAsia"/>
          <w:color w:val="231F20"/>
        </w:rPr>
      </w:pPr>
      <w:r>
        <w:rPr>
          <w:rFonts w:hint="eastAsia"/>
          <w:color w:val="231F20"/>
        </w:rPr>
        <w:t>The High King has already told us: He will put lying spirits in the mouth of the Beast and the False Prophet, in order that he (Satan) might gather together the kings of the whole earth for (what will turn out to be) the war of the great Day of God, the Almighty (16:12-16).</w:t>
      </w:r>
    </w:p>
    <w:p w14:paraId="7FC41CFE">
      <w:pPr>
        <w:pStyle w:val="9"/>
        <w:spacing w:after="0" w:line="249" w:lineRule="auto"/>
        <w:rPr>
          <w:rFonts w:hint="eastAsia"/>
          <w:color w:val="231F20"/>
        </w:rPr>
      </w:pPr>
      <w:r>
        <w:rPr>
          <w:rFonts w:hint="eastAsia"/>
          <w:color w:val="231F20"/>
        </w:rPr>
        <w:t>至高君王已经告诉我们：祂将把谎言的灵放在兽和假先知的口中，以便他（撒但）能够聚集全地的君王，为（结果将是）全能上帝大日子的战争作准备（16:12-16）。</w:t>
      </w:r>
    </w:p>
    <w:p w14:paraId="63901C79">
      <w:pPr>
        <w:pStyle w:val="9"/>
        <w:spacing w:after="0" w:line="249" w:lineRule="auto"/>
        <w:rPr>
          <w:rFonts w:hint="eastAsia"/>
          <w:color w:val="231F20"/>
        </w:rPr>
      </w:pPr>
    </w:p>
    <w:p w14:paraId="7EBE66E8">
      <w:pPr>
        <w:pStyle w:val="9"/>
        <w:spacing w:after="0" w:line="249" w:lineRule="auto"/>
        <w:rPr>
          <w:rFonts w:hint="eastAsia"/>
          <w:color w:val="231F20"/>
        </w:rPr>
      </w:pPr>
      <w:r>
        <w:rPr>
          <w:rFonts w:hint="eastAsia"/>
          <w:color w:val="231F20"/>
        </w:rPr>
        <w:t>The apostle Paul, in 2 Thessalonians 2:1-12, gives us the meaning of these images: When the Spirit finally removes all restraints, Satan will raise up, indwell, speak through, act through, and even perform miracles through the Man of Lawlessness, a personal Antichrist who will both imitate and oppose the one true Christ.</w:t>
      </w:r>
    </w:p>
    <w:p w14:paraId="5A0C3F2A">
      <w:pPr>
        <w:pStyle w:val="9"/>
        <w:spacing w:after="0" w:line="249" w:lineRule="auto"/>
        <w:rPr>
          <w:rFonts w:hint="eastAsia"/>
          <w:color w:val="231F20"/>
        </w:rPr>
      </w:pPr>
      <w:r>
        <w:rPr>
          <w:rFonts w:hint="eastAsia"/>
          <w:color w:val="231F20"/>
        </w:rPr>
        <w:t>使徒保罗在帖撒罗尼迦后书2:1-12中给了我们这些意象的意义：当圣灵最终除去所有约束时，撒但将兴起、内住、借着说话、借着行动，甚至借着行神迹来通过那不法之人，一个个人化的敌基督，他既模仿又敌对独一的真基督。</w:t>
      </w:r>
    </w:p>
    <w:p w14:paraId="46AFB5A3">
      <w:pPr>
        <w:pStyle w:val="9"/>
        <w:spacing w:after="0" w:line="249" w:lineRule="auto"/>
        <w:rPr>
          <w:rFonts w:hint="eastAsia"/>
          <w:color w:val="231F20"/>
        </w:rPr>
      </w:pPr>
    </w:p>
    <w:p w14:paraId="6C9A718C">
      <w:pPr>
        <w:pStyle w:val="9"/>
        <w:spacing w:after="0" w:line="249" w:lineRule="auto"/>
        <w:rPr>
          <w:rFonts w:hint="eastAsia"/>
          <w:color w:val="231F20"/>
        </w:rPr>
      </w:pPr>
      <w:r>
        <w:rPr>
          <w:rFonts w:hint="eastAsia"/>
          <w:color w:val="231F20"/>
        </w:rPr>
        <w:t>When he arrives on stage for the closing scenes of Salvation History, God will send a deluding influence upon the truth-rejecting multitudes, so that they will worship him (the Man of Lawlessness) as God, believe his false Gospel, and persecute the true spiritual Church of Christ to her apparent destruction.</w:t>
      </w:r>
    </w:p>
    <w:p w14:paraId="350063C3">
      <w:pPr>
        <w:pStyle w:val="9"/>
        <w:spacing w:after="0" w:line="249" w:lineRule="auto"/>
        <w:rPr>
          <w:rFonts w:hint="eastAsia"/>
          <w:color w:val="231F20"/>
        </w:rPr>
      </w:pPr>
      <w:r>
        <w:rPr>
          <w:rFonts w:hint="eastAsia"/>
          <w:color w:val="231F20"/>
        </w:rPr>
        <w:t>当他为救赎历史的闭幕场景登台时，上帝将差遣一个使人迷惑的影响临到那些拒绝真理的群众，使他们将他（那不法之人）当作神来敬拜，相信他虚假的福音，并迫害基督真正的属灵教会，直到她明显被毁灭。</w:t>
      </w:r>
    </w:p>
    <w:p w14:paraId="16BA4743">
      <w:pPr>
        <w:pStyle w:val="9"/>
        <w:spacing w:after="0" w:line="249" w:lineRule="auto"/>
        <w:rPr>
          <w:rFonts w:hint="eastAsia"/>
          <w:color w:val="231F20"/>
        </w:rPr>
      </w:pPr>
    </w:p>
    <w:p w14:paraId="5B15EC24">
      <w:pPr>
        <w:pStyle w:val="9"/>
        <w:spacing w:after="0" w:line="249" w:lineRule="auto"/>
        <w:rPr>
          <w:rFonts w:hint="eastAsia"/>
          <w:color w:val="231F20"/>
        </w:rPr>
      </w:pPr>
      <w:r>
        <w:rPr>
          <w:rFonts w:hint="eastAsia"/>
          <w:color w:val="231F20"/>
        </w:rPr>
        <w:t>Our text speaks of the power and scope of this deception: It will reach to “the four corners of the earth” (20:8; Mt. 24:5, 11, 24); the whole world will be taken in: “as many as the sands of the seashore” (20:8; Rev. 16:14).</w:t>
      </w:r>
    </w:p>
    <w:p w14:paraId="7EB04F88">
      <w:pPr>
        <w:pStyle w:val="9"/>
        <w:spacing w:after="0" w:line="249" w:lineRule="auto"/>
        <w:rPr>
          <w:rFonts w:hint="eastAsia"/>
          <w:color w:val="231F20"/>
        </w:rPr>
      </w:pPr>
      <w:r>
        <w:rPr>
          <w:rFonts w:hint="eastAsia"/>
          <w:color w:val="231F20"/>
        </w:rPr>
        <w:t>我们的经文讲到了这种欺骗的能力和范围：它将达到“地的四极”（20:8；太24:5, 11, 24）；全世界都将被卷入：“多如海边的沙”（20:8；启16:14）。</w:t>
      </w:r>
    </w:p>
    <w:p w14:paraId="4A5CACCF">
      <w:pPr>
        <w:pStyle w:val="9"/>
        <w:spacing w:after="0" w:line="249" w:lineRule="auto"/>
        <w:rPr>
          <w:rFonts w:hint="eastAsia"/>
          <w:color w:val="231F20"/>
        </w:rPr>
      </w:pPr>
    </w:p>
    <w:p w14:paraId="330B07BF">
      <w:pPr>
        <w:pStyle w:val="9"/>
        <w:spacing w:after="0" w:line="249" w:lineRule="auto"/>
        <w:rPr>
          <w:rFonts w:hint="eastAsia"/>
          <w:color w:val="231F20"/>
        </w:rPr>
      </w:pPr>
      <w:r>
        <w:rPr>
          <w:rFonts w:hint="eastAsia"/>
          <w:color w:val="231F20"/>
        </w:rPr>
        <w:t>Just as the prophet Ezekiel had foretold, Gog and Magog—the Antichrist and his subservient nation of (confederate) nations—will launch a suicidal attack against the Church, the eschatological Israel of God (Ezek. 38-39, Gal. 6:16).</w:t>
      </w:r>
    </w:p>
    <w:p w14:paraId="6053DEBE">
      <w:pPr>
        <w:pStyle w:val="9"/>
        <w:spacing w:after="0" w:line="249" w:lineRule="auto"/>
        <w:rPr>
          <w:rFonts w:hint="eastAsia"/>
          <w:color w:val="231F20"/>
        </w:rPr>
      </w:pPr>
      <w:r>
        <w:rPr>
          <w:rFonts w:hint="eastAsia"/>
          <w:color w:val="231F20"/>
        </w:rPr>
        <w:t>正如先知以西结所预言的，歌革和玛各——敌基督和他那由（同盟）国家组成的仆从国——将对教会，即上帝的末世以色列，发动一场自杀式的攻击（结38-39，加6:16）。</w:t>
      </w:r>
    </w:p>
    <w:p w14:paraId="1D38ED6A">
      <w:pPr>
        <w:pStyle w:val="9"/>
        <w:spacing w:after="0" w:line="249" w:lineRule="auto"/>
        <w:rPr>
          <w:rFonts w:hint="eastAsia"/>
          <w:color w:val="231F20"/>
        </w:rPr>
      </w:pPr>
    </w:p>
    <w:p w14:paraId="52B1659C">
      <w:pPr>
        <w:pStyle w:val="9"/>
        <w:spacing w:after="0" w:line="249" w:lineRule="auto"/>
        <w:rPr>
          <w:rFonts w:hint="eastAsia"/>
          <w:color w:val="231F20"/>
        </w:rPr>
      </w:pPr>
      <w:r>
        <w:rPr>
          <w:rFonts w:hint="eastAsia"/>
          <w:color w:val="231F20"/>
        </w:rPr>
        <w:t>Very succinctly, verse 9 depicts that battle one final time (11:7-10, 16:12-16, 19:19-21).</w:t>
      </w:r>
    </w:p>
    <w:p w14:paraId="1772A1B5">
      <w:pPr>
        <w:pStyle w:val="9"/>
        <w:spacing w:after="0" w:line="249" w:lineRule="auto"/>
        <w:rPr>
          <w:rFonts w:hint="eastAsia"/>
          <w:color w:val="231F20"/>
        </w:rPr>
      </w:pPr>
      <w:r>
        <w:rPr>
          <w:rFonts w:hint="eastAsia"/>
          <w:color w:val="231F20"/>
        </w:rPr>
        <w:t>第9节非常简洁地最后一次描绘了那场战争（11:7-10, 16:12-16, 19:19-21）。</w:t>
      </w:r>
    </w:p>
    <w:p w14:paraId="4547E215">
      <w:pPr>
        <w:pStyle w:val="9"/>
        <w:spacing w:after="0" w:line="249" w:lineRule="auto"/>
        <w:rPr>
          <w:rFonts w:hint="eastAsia"/>
          <w:color w:val="231F20"/>
        </w:rPr>
      </w:pPr>
    </w:p>
    <w:p w14:paraId="01D71274">
      <w:pPr>
        <w:pStyle w:val="9"/>
        <w:spacing w:after="0" w:line="249" w:lineRule="auto"/>
        <w:rPr>
          <w:rFonts w:hint="eastAsia"/>
          <w:color w:val="231F20"/>
        </w:rPr>
      </w:pPr>
      <w:r>
        <w:rPr>
          <w:rFonts w:hint="eastAsia"/>
          <w:color w:val="231F20"/>
        </w:rPr>
        <w:t>John writes, “They came up upon the breadth of the earth.”</w:t>
      </w:r>
    </w:p>
    <w:p w14:paraId="1A0FB796">
      <w:pPr>
        <w:pStyle w:val="9"/>
        <w:spacing w:after="0" w:line="249" w:lineRule="auto"/>
        <w:rPr>
          <w:rFonts w:hint="eastAsia"/>
          <w:color w:val="231F20"/>
        </w:rPr>
      </w:pPr>
      <w:r>
        <w:rPr>
          <w:rFonts w:hint="eastAsia"/>
          <w:color w:val="231F20"/>
        </w:rPr>
        <w:t>约翰写道：“他们上来遍满了全地。”</w:t>
      </w:r>
    </w:p>
    <w:p w14:paraId="3F050487">
      <w:pPr>
        <w:pStyle w:val="9"/>
        <w:spacing w:after="0" w:line="249" w:lineRule="auto"/>
        <w:rPr>
          <w:rFonts w:hint="eastAsia"/>
          <w:color w:val="231F20"/>
        </w:rPr>
      </w:pPr>
    </w:p>
    <w:p w14:paraId="2B27187D">
      <w:pPr>
        <w:pStyle w:val="9"/>
        <w:spacing w:after="0" w:line="249" w:lineRule="auto"/>
        <w:rPr>
          <w:rFonts w:hint="eastAsia"/>
          <w:color w:val="231F20"/>
        </w:rPr>
      </w:pPr>
      <w:r>
        <w:rPr>
          <w:rFonts w:hint="eastAsia"/>
          <w:color w:val="231F20"/>
        </w:rPr>
        <w:t>This means that under the leadership of the Antichrist, the nations will assault Christian people and institutions worldwide, wherever they may be found.</w:t>
      </w:r>
    </w:p>
    <w:p w14:paraId="42B9D3F4">
      <w:pPr>
        <w:pStyle w:val="9"/>
        <w:spacing w:after="0" w:line="249" w:lineRule="auto"/>
        <w:rPr>
          <w:rFonts w:hint="eastAsia"/>
          <w:color w:val="231F20"/>
        </w:rPr>
      </w:pPr>
      <w:r>
        <w:rPr>
          <w:rFonts w:hint="eastAsia"/>
          <w:color w:val="231F20"/>
        </w:rPr>
        <w:t>这意味着在敌基督的领导下，列国将攻击全世界的基督徒和基督教机构，无论他们在哪里被发现。</w:t>
      </w:r>
    </w:p>
    <w:p w14:paraId="61634D4B">
      <w:pPr>
        <w:pStyle w:val="9"/>
        <w:spacing w:after="0" w:line="249" w:lineRule="auto"/>
        <w:rPr>
          <w:rFonts w:hint="eastAsia"/>
          <w:color w:val="231F20"/>
        </w:rPr>
      </w:pPr>
    </w:p>
    <w:p w14:paraId="3768DFCC">
      <w:pPr>
        <w:pStyle w:val="9"/>
        <w:spacing w:after="0" w:line="249" w:lineRule="auto"/>
        <w:rPr>
          <w:rFonts w:hint="eastAsia"/>
          <w:color w:val="231F20"/>
        </w:rPr>
      </w:pPr>
      <w:r>
        <w:rPr>
          <w:rFonts w:hint="eastAsia"/>
          <w:color w:val="231F20"/>
        </w:rPr>
        <w:t>Observe John’s mixed metaphor for the Church, which confirms our need of interpreting the passage symbolically and ecclesiologically: The nations will “surround the camp of the saints,” as Amalek did when he came out against Israel in the wilderness (Ex. 17:8); and they will surround “the Beloved City,” as Assyria did in the days of Hezekiah and Isaiah (Isaiah 36-37).</w:t>
      </w:r>
    </w:p>
    <w:p w14:paraId="78850236">
      <w:pPr>
        <w:pStyle w:val="9"/>
        <w:spacing w:after="0" w:line="249" w:lineRule="auto"/>
        <w:rPr>
          <w:rFonts w:hint="eastAsia"/>
          <w:color w:val="231F20"/>
        </w:rPr>
      </w:pPr>
      <w:r>
        <w:rPr>
          <w:rFonts w:hint="eastAsia"/>
          <w:color w:val="231F20"/>
        </w:rPr>
        <w:t>请注意约翰对教会使用的混合隐喻，这证实了我们需要以象征性和教会论的方式来解释这段经文：列国将“围住圣徒的营”，就像亚玛力人在旷野出来攻击以色列时一样（出17:8）；他们将围住“那蒙爱的城”，就像亚述在希西家和以赛亚的日子里所做的那样（以赛亚书36-37章）。</w:t>
      </w:r>
    </w:p>
    <w:p w14:paraId="6DA6A37F">
      <w:pPr>
        <w:pStyle w:val="9"/>
        <w:spacing w:after="0" w:line="249" w:lineRule="auto"/>
        <w:rPr>
          <w:rFonts w:hint="eastAsia"/>
          <w:color w:val="231F20"/>
        </w:rPr>
      </w:pPr>
    </w:p>
    <w:p w14:paraId="725EC0D8">
      <w:pPr>
        <w:pStyle w:val="9"/>
        <w:spacing w:after="0" w:line="249" w:lineRule="auto"/>
        <w:rPr>
          <w:rFonts w:hint="eastAsia"/>
          <w:color w:val="231F20"/>
        </w:rPr>
      </w:pPr>
      <w:r>
        <w:rPr>
          <w:rFonts w:hint="eastAsia"/>
          <w:color w:val="231F20"/>
        </w:rPr>
        <w:t>The Church is that Camp, the Church is that City (Rev. 12:6, 21:2).</w:t>
      </w:r>
    </w:p>
    <w:p w14:paraId="0FA52E33">
      <w:pPr>
        <w:pStyle w:val="9"/>
        <w:spacing w:after="0" w:line="249" w:lineRule="auto"/>
        <w:rPr>
          <w:rFonts w:hint="eastAsia"/>
          <w:color w:val="231F20"/>
        </w:rPr>
      </w:pPr>
      <w:r>
        <w:rPr>
          <w:rFonts w:hint="eastAsia"/>
          <w:color w:val="231F20"/>
        </w:rPr>
        <w:t>教会就是那营，教会就是那城（启12:6, 21:2）。</w:t>
      </w:r>
    </w:p>
    <w:p w14:paraId="6FFE5823">
      <w:pPr>
        <w:pStyle w:val="9"/>
        <w:spacing w:after="0" w:line="249" w:lineRule="auto"/>
        <w:rPr>
          <w:rFonts w:hint="eastAsia"/>
          <w:color w:val="231F20"/>
        </w:rPr>
      </w:pPr>
    </w:p>
    <w:p w14:paraId="671FC369">
      <w:pPr>
        <w:pStyle w:val="9"/>
        <w:spacing w:after="0" w:line="249" w:lineRule="auto"/>
        <w:rPr>
          <w:rFonts w:hint="eastAsia"/>
          <w:color w:val="231F20"/>
        </w:rPr>
      </w:pPr>
      <w:r>
        <w:rPr>
          <w:rFonts w:hint="eastAsia"/>
          <w:color w:val="231F20"/>
        </w:rPr>
        <w:t>Drawing yet again from Ezekiel’s prophecy, the Spirit here casts the final deliverance—to be wrought at Christ’s Parousia—in terms of fire coming down from heaven to devour the adversaries (Ezek. 38:22, 39:6; 2 Thess. 1:6-10).</w:t>
      </w:r>
    </w:p>
    <w:p w14:paraId="530807CF">
      <w:pPr>
        <w:pStyle w:val="9"/>
        <w:spacing w:after="0" w:line="249" w:lineRule="auto"/>
        <w:rPr>
          <w:rFonts w:hint="eastAsia"/>
          <w:color w:val="231F20"/>
        </w:rPr>
      </w:pPr>
      <w:r>
        <w:rPr>
          <w:rFonts w:hint="eastAsia"/>
          <w:color w:val="231F20"/>
        </w:rPr>
        <w:t>圣灵在这里再次借鉴以西结的预言，将那将在基督主临（Parousia）时成就的最后拯救，描绘为有火从天降下，烧灭仇敌（结38:22, 39:6；帖后1:6-10）。</w:t>
      </w:r>
    </w:p>
    <w:p w14:paraId="441A8599">
      <w:pPr>
        <w:pStyle w:val="9"/>
        <w:spacing w:after="0" w:line="249" w:lineRule="auto"/>
        <w:rPr>
          <w:rFonts w:hint="eastAsia"/>
          <w:color w:val="231F20"/>
        </w:rPr>
      </w:pPr>
    </w:p>
    <w:p w14:paraId="35B6CAC2">
      <w:pPr>
        <w:pStyle w:val="9"/>
        <w:spacing w:after="0" w:line="249" w:lineRule="auto"/>
        <w:rPr>
          <w:rFonts w:hint="eastAsia"/>
          <w:color w:val="231F20"/>
        </w:rPr>
      </w:pPr>
      <w:r>
        <w:rPr>
          <w:rFonts w:hint="eastAsia"/>
          <w:color w:val="231F20"/>
        </w:rPr>
        <w:t>Importantly, here the last reference to the Last Battle is rendered in a single verse, as if to underscore its brevity; as if to remind us that Satan’s release is indeed for a very “short time” (20:3).</w:t>
      </w:r>
    </w:p>
    <w:p w14:paraId="1739D8D9">
      <w:pPr>
        <w:pStyle w:val="9"/>
        <w:spacing w:after="0" w:line="249" w:lineRule="auto"/>
        <w:rPr>
          <w:rFonts w:hint="eastAsia"/>
          <w:color w:val="231F20"/>
        </w:rPr>
      </w:pPr>
      <w:r>
        <w:rPr>
          <w:rFonts w:hint="eastAsia"/>
          <w:color w:val="231F20"/>
        </w:rPr>
        <w:t>重要的是，这里对末日争战的最后一次提及仅用了一节经文，仿佛是为了强调其短暂性；仿佛是为了提醒我们，撒但的被释放确实是为了一个非常“短暂的时间”（20:3）。</w:t>
      </w:r>
    </w:p>
    <w:p w14:paraId="44909BD8">
      <w:pPr>
        <w:pStyle w:val="9"/>
        <w:spacing w:after="0" w:line="249" w:lineRule="auto"/>
        <w:rPr>
          <w:rFonts w:hint="eastAsia"/>
          <w:color w:val="231F20"/>
        </w:rPr>
      </w:pPr>
    </w:p>
    <w:p w14:paraId="31B35B52">
      <w:pPr>
        <w:pStyle w:val="9"/>
        <w:spacing w:after="0" w:line="249" w:lineRule="auto"/>
        <w:rPr>
          <w:rFonts w:hint="eastAsia"/>
          <w:color w:val="231F20"/>
        </w:rPr>
      </w:pPr>
      <w:r>
        <w:rPr>
          <w:rFonts w:hint="eastAsia"/>
          <w:color w:val="231F20"/>
        </w:rPr>
        <w:t>In verse 10 the Revelation reaches a climax of sorts, in that the great spiritual Adversary of Christ and his Church—the devil, the Dragon, Satan himself—is finally judged and forever swept off the stage of cosmic history.</w:t>
      </w:r>
    </w:p>
    <w:p w14:paraId="17BF1FB2">
      <w:pPr>
        <w:pStyle w:val="9"/>
        <w:spacing w:after="0" w:line="249" w:lineRule="auto"/>
        <w:rPr>
          <w:rFonts w:hint="eastAsia"/>
          <w:color w:val="231F20"/>
        </w:rPr>
      </w:pPr>
      <w:r>
        <w:rPr>
          <w:rFonts w:hint="eastAsia"/>
          <w:color w:val="231F20"/>
        </w:rPr>
        <w:t>在第10节，《启示录》达到了某种高潮，因为基督和祂教会的巨大属灵对头——魔鬼、龙、撒但自己——最终被审判，并永远从宇宙历史的舞台上被扫除。</w:t>
      </w:r>
    </w:p>
    <w:p w14:paraId="5089CBD0">
      <w:pPr>
        <w:pStyle w:val="9"/>
        <w:spacing w:after="0" w:line="249" w:lineRule="auto"/>
        <w:rPr>
          <w:rFonts w:hint="eastAsia"/>
          <w:color w:val="231F20"/>
        </w:rPr>
      </w:pPr>
    </w:p>
    <w:p w14:paraId="6F51C90B">
      <w:pPr>
        <w:pStyle w:val="9"/>
        <w:spacing w:after="0" w:line="249" w:lineRule="auto"/>
        <w:rPr>
          <w:rFonts w:hint="eastAsia"/>
          <w:color w:val="231F20"/>
        </w:rPr>
      </w:pPr>
      <w:r>
        <w:rPr>
          <w:rFonts w:hint="eastAsia"/>
          <w:color w:val="231F20"/>
        </w:rPr>
        <w:t>And how will this occur?</w:t>
      </w:r>
    </w:p>
    <w:p w14:paraId="187F8DF3">
      <w:pPr>
        <w:pStyle w:val="9"/>
        <w:spacing w:after="0" w:line="249" w:lineRule="auto"/>
        <w:rPr>
          <w:rFonts w:hint="eastAsia"/>
          <w:color w:val="231F20"/>
        </w:rPr>
      </w:pPr>
      <w:r>
        <w:rPr>
          <w:rFonts w:hint="eastAsia"/>
          <w:color w:val="231F20"/>
        </w:rPr>
        <w:t>这又将如何发生？</w:t>
      </w:r>
    </w:p>
    <w:p w14:paraId="7AEF4B17">
      <w:pPr>
        <w:pStyle w:val="9"/>
        <w:spacing w:after="0" w:line="249" w:lineRule="auto"/>
        <w:rPr>
          <w:rFonts w:hint="eastAsia"/>
          <w:color w:val="231F20"/>
        </w:rPr>
      </w:pPr>
    </w:p>
    <w:p w14:paraId="4F160423">
      <w:pPr>
        <w:pStyle w:val="9"/>
        <w:spacing w:after="0" w:line="249" w:lineRule="auto"/>
        <w:rPr>
          <w:rFonts w:hint="eastAsia"/>
          <w:color w:val="231F20"/>
        </w:rPr>
      </w:pPr>
      <w:r>
        <w:rPr>
          <w:rFonts w:hint="eastAsia"/>
          <w:color w:val="231F20"/>
        </w:rPr>
        <w:t>At his Parousia the High King of Heaven—no doubt at the hand of the holy angels, and perhaps at the hand of the saints themselves—will crush the head of the Serpent, casting Satan, his demons, and all his human political and religious puppets (the Beast and the False Prophet) into the Lake of Fire, where they will be tormented day and night forever and ever (Gen. 3:15, Mt. 13:39, Rom. 16:20).</w:t>
      </w:r>
    </w:p>
    <w:p w14:paraId="7DA2CD8A">
      <w:pPr>
        <w:pStyle w:val="9"/>
        <w:spacing w:after="0" w:line="249" w:lineRule="auto"/>
        <w:rPr>
          <w:rFonts w:hint="eastAsia"/>
          <w:color w:val="231F20"/>
        </w:rPr>
      </w:pPr>
      <w:r>
        <w:rPr>
          <w:rFonts w:hint="eastAsia"/>
          <w:color w:val="231F20"/>
        </w:rPr>
        <w:t>在祂的主临（Parousia）时，天上的至高君王——无疑是借着圣天使的手，也许还借着圣徒自己的手——将击碎蛇的头，将撒但、他的魔鬼以及所有他的人类政治和宗教傀儡（兽和假先知）扔进火湖里，在那里他们将日夜受折磨，直到永永远远（创3:15，太13:39，罗16:20）。</w:t>
      </w:r>
    </w:p>
    <w:p w14:paraId="19B2898A">
      <w:pPr>
        <w:pStyle w:val="9"/>
        <w:spacing w:after="0" w:line="249" w:lineRule="auto"/>
        <w:rPr>
          <w:rFonts w:hint="eastAsia"/>
          <w:color w:val="231F20"/>
        </w:rPr>
      </w:pPr>
    </w:p>
    <w:p w14:paraId="672E37B7">
      <w:pPr>
        <w:pStyle w:val="9"/>
        <w:spacing w:after="0" w:line="249" w:lineRule="auto"/>
        <w:rPr>
          <w:rFonts w:hint="eastAsia"/>
          <w:color w:val="231F20"/>
        </w:rPr>
      </w:pPr>
      <w:r>
        <w:rPr>
          <w:rFonts w:hint="eastAsia"/>
          <w:color w:val="231F20"/>
        </w:rPr>
        <w:t>We find, then, that Revelation 20:7-10 is very simply and reasonably interpreted along amillennial lines.</w:t>
      </w:r>
    </w:p>
    <w:p w14:paraId="1EF7F854">
      <w:pPr>
        <w:pStyle w:val="9"/>
        <w:spacing w:after="0" w:line="249" w:lineRule="auto"/>
        <w:rPr>
          <w:rFonts w:hint="eastAsia"/>
          <w:color w:val="231F20"/>
        </w:rPr>
      </w:pPr>
      <w:r>
        <w:rPr>
          <w:rFonts w:hint="eastAsia"/>
          <w:color w:val="231F20"/>
        </w:rPr>
        <w:t>因此，我们发现《启示录》20:7-10可以非常简单和合理地按照无千禧年论的思路来解释。</w:t>
      </w:r>
    </w:p>
    <w:p w14:paraId="7E3A7515">
      <w:pPr>
        <w:pStyle w:val="9"/>
        <w:spacing w:after="0" w:line="249" w:lineRule="auto"/>
        <w:rPr>
          <w:rFonts w:hint="eastAsia"/>
          <w:color w:val="231F20"/>
        </w:rPr>
      </w:pPr>
    </w:p>
    <w:p w14:paraId="413A1AA0">
      <w:pPr>
        <w:pStyle w:val="9"/>
        <w:spacing w:after="0" w:line="249" w:lineRule="auto"/>
        <w:rPr>
          <w:rFonts w:hint="eastAsia"/>
          <w:color w:val="231F20"/>
        </w:rPr>
      </w:pPr>
      <w:r>
        <w:rPr>
          <w:rFonts w:hint="eastAsia"/>
          <w:color w:val="231F20"/>
        </w:rPr>
        <w:t>It remains, however, briefly to pose three challenging questions, two of which provide some very rough going for our premillennial brethren.</w:t>
      </w:r>
    </w:p>
    <w:p w14:paraId="10E3AF26">
      <w:pPr>
        <w:pStyle w:val="9"/>
        <w:spacing w:after="0" w:line="249" w:lineRule="auto"/>
        <w:rPr>
          <w:rFonts w:hint="eastAsia"/>
          <w:color w:val="231F20"/>
        </w:rPr>
      </w:pPr>
      <w:r>
        <w:rPr>
          <w:rFonts w:hint="eastAsia"/>
          <w:color w:val="231F20"/>
        </w:rPr>
        <w:t>然而，仍然需要简要地提出三个具有挑战性的问题，其中两个对我们的前千禧年论弟兄来说相当棘手。</w:t>
      </w:r>
    </w:p>
    <w:p w14:paraId="519C6E28">
      <w:pPr>
        <w:pStyle w:val="9"/>
        <w:spacing w:after="0" w:line="249" w:lineRule="auto"/>
        <w:rPr>
          <w:rFonts w:hint="eastAsia"/>
          <w:color w:val="231F20"/>
        </w:rPr>
      </w:pPr>
    </w:p>
    <w:p w14:paraId="44A2FFAD">
      <w:pPr>
        <w:pStyle w:val="9"/>
        <w:spacing w:after="0" w:line="249" w:lineRule="auto"/>
        <w:rPr>
          <w:rFonts w:hint="eastAsia"/>
          <w:color w:val="231F20"/>
        </w:rPr>
      </w:pPr>
      <w:r>
        <w:rPr>
          <w:rFonts w:hint="eastAsia"/>
          <w:color w:val="231F20"/>
        </w:rPr>
        <w:t>1.Assuming that premillennialism is true, how could the thousand-year reign of Christ and his saints prove so ineffectual that it ends in near universal apostasy?</w:t>
      </w:r>
    </w:p>
    <w:p w14:paraId="5E604030">
      <w:pPr>
        <w:pStyle w:val="9"/>
        <w:spacing w:after="0" w:line="249" w:lineRule="auto"/>
        <w:rPr>
          <w:rFonts w:hint="eastAsia"/>
          <w:color w:val="231F20"/>
        </w:rPr>
      </w:pPr>
      <w:r>
        <w:rPr>
          <w:rFonts w:hint="eastAsia"/>
          <w:color w:val="231F20"/>
        </w:rPr>
        <w:t>1.假设前千禧年论是真的，基督和祂圣徒的一千年统治怎会如此无效，以致以近乎普世的背道告终？</w:t>
      </w:r>
    </w:p>
    <w:p w14:paraId="48DBDE4F">
      <w:pPr>
        <w:pStyle w:val="9"/>
        <w:spacing w:after="0" w:line="249" w:lineRule="auto"/>
        <w:rPr>
          <w:rFonts w:hint="eastAsia"/>
          <w:color w:val="231F20"/>
        </w:rPr>
      </w:pPr>
    </w:p>
    <w:p w14:paraId="12F1E86A">
      <w:pPr>
        <w:pStyle w:val="9"/>
        <w:spacing w:after="0" w:line="249" w:lineRule="auto"/>
        <w:rPr>
          <w:rFonts w:hint="eastAsia"/>
          <w:color w:val="231F20"/>
        </w:rPr>
      </w:pPr>
      <w:r>
        <w:rPr>
          <w:rFonts w:hint="eastAsia"/>
          <w:color w:val="231F20"/>
        </w:rPr>
        <w:t>This is, or should be, a deeply troubling question for premillennial interpreters.</w:t>
      </w:r>
    </w:p>
    <w:p w14:paraId="37D941FB">
      <w:pPr>
        <w:pStyle w:val="9"/>
        <w:spacing w:after="0" w:line="249" w:lineRule="auto"/>
        <w:rPr>
          <w:rFonts w:hint="eastAsia"/>
          <w:color w:val="231F20"/>
        </w:rPr>
      </w:pPr>
      <w:r>
        <w:rPr>
          <w:rFonts w:hint="eastAsia"/>
          <w:color w:val="231F20"/>
        </w:rPr>
        <w:t>这对前千禧年论的解释者来说，是一个，或应该是一个，非常令人困扰的问题。</w:t>
      </w:r>
    </w:p>
    <w:p w14:paraId="2AABEFCD">
      <w:pPr>
        <w:pStyle w:val="9"/>
        <w:spacing w:after="0" w:line="249" w:lineRule="auto"/>
        <w:rPr>
          <w:rFonts w:hint="eastAsia"/>
          <w:color w:val="231F20"/>
        </w:rPr>
      </w:pPr>
    </w:p>
    <w:p w14:paraId="745F8A55">
      <w:pPr>
        <w:pStyle w:val="9"/>
        <w:spacing w:after="0" w:line="249" w:lineRule="auto"/>
        <w:rPr>
          <w:rFonts w:hint="eastAsia"/>
          <w:color w:val="231F20"/>
        </w:rPr>
      </w:pPr>
      <w:r>
        <w:rPr>
          <w:rFonts w:hint="eastAsia"/>
          <w:color w:val="231F20"/>
        </w:rPr>
        <w:t>The whole premise of their system is that OTKP’s must be fulfilled literally in a future millennium under (a modified form of) the New Covenant.</w:t>
      </w:r>
    </w:p>
    <w:p w14:paraId="6E9D6F72">
      <w:pPr>
        <w:pStyle w:val="9"/>
        <w:spacing w:after="0" w:line="249" w:lineRule="auto"/>
        <w:rPr>
          <w:rFonts w:hint="eastAsia"/>
          <w:color w:val="231F20"/>
        </w:rPr>
      </w:pPr>
      <w:r>
        <w:rPr>
          <w:rFonts w:hint="eastAsia"/>
          <w:color w:val="231F20"/>
        </w:rPr>
        <w:t>他们整个体系的前提是，旧约的国度预言必须在未来的千禧年中，在新约（的某种修改形式）之下，按字面意义应验。</w:t>
      </w:r>
    </w:p>
    <w:p w14:paraId="4E5F6ACA">
      <w:pPr>
        <w:pStyle w:val="9"/>
        <w:spacing w:after="0" w:line="249" w:lineRule="auto"/>
        <w:rPr>
          <w:rFonts w:hint="eastAsia"/>
          <w:color w:val="231F20"/>
        </w:rPr>
      </w:pPr>
    </w:p>
    <w:p w14:paraId="4F71AABF">
      <w:pPr>
        <w:pStyle w:val="9"/>
        <w:spacing w:after="0" w:line="249" w:lineRule="auto"/>
        <w:rPr>
          <w:rFonts w:hint="eastAsia"/>
          <w:color w:val="231F20"/>
        </w:rPr>
      </w:pPr>
      <w:r>
        <w:rPr>
          <w:rFonts w:hint="eastAsia"/>
          <w:color w:val="231F20"/>
        </w:rPr>
        <w:t>If so, then we may reasonably assume that during the Millennium God will pour out his Spirit upon all flesh; that he will circumcise all hearts, both Jew and Gentile (Isaiah 19:24-25, 32:15, Joel 2:28-32, Jer. 31:33f, Ezek. 36:26).</w:t>
      </w:r>
    </w:p>
    <w:p w14:paraId="3838BF47">
      <w:pPr>
        <w:pStyle w:val="9"/>
        <w:spacing w:after="0" w:line="249" w:lineRule="auto"/>
        <w:rPr>
          <w:rFonts w:hint="eastAsia"/>
          <w:color w:val="231F20"/>
        </w:rPr>
      </w:pPr>
      <w:r>
        <w:rPr>
          <w:rFonts w:hint="eastAsia"/>
          <w:color w:val="231F20"/>
        </w:rPr>
        <w:t>如果是这样，那么我们可以合理地假设，在千禧年期间，上帝将把祂的灵浇灌在所有凡有血气的身上；祂将给所有人的心行割礼，无论是犹太人还是外邦人（以赛亚书19:24-25, 32:15，约珥书2:28-32，耶利米书31:33及以下，以西结书36:26）。</w:t>
      </w:r>
    </w:p>
    <w:p w14:paraId="128FD76C">
      <w:pPr>
        <w:pStyle w:val="9"/>
        <w:spacing w:after="0" w:line="249" w:lineRule="auto"/>
        <w:rPr>
          <w:rFonts w:hint="eastAsia"/>
          <w:color w:val="231F20"/>
        </w:rPr>
      </w:pPr>
    </w:p>
    <w:p w14:paraId="213B9901">
      <w:pPr>
        <w:pStyle w:val="9"/>
        <w:spacing w:after="0" w:line="249" w:lineRule="auto"/>
        <w:rPr>
          <w:rFonts w:hint="eastAsia"/>
          <w:color w:val="231F20"/>
        </w:rPr>
      </w:pPr>
      <w:r>
        <w:rPr>
          <w:rFonts w:hint="eastAsia"/>
          <w:color w:val="231F20"/>
        </w:rPr>
        <w:t>How then, at the close of such a richly spiritual reign, shall “as many as the sand of the seashore” fall away, especially when Jeremiah so pointedly stressed that the glory of the New Covenant consists, above all, in the fact that saints living under its control cannot fall away?</w:t>
      </w:r>
    </w:p>
    <w:p w14:paraId="07147A07">
      <w:pPr>
        <w:pStyle w:val="9"/>
        <w:spacing w:after="0" w:line="249" w:lineRule="auto"/>
        <w:rPr>
          <w:rFonts w:hint="eastAsia"/>
          <w:color w:val="231F20"/>
        </w:rPr>
      </w:pPr>
      <w:r>
        <w:rPr>
          <w:rFonts w:hint="eastAsia"/>
          <w:color w:val="231F20"/>
        </w:rPr>
        <w:t>那么，在这样一个属灵丰盛的统治结束时，“多如海边的沙”的人怎会背道呢？尤其是当耶利米如此尖锐地强调，新约的荣耀首先在于，活在其控制下的圣徒不能背道。</w:t>
      </w:r>
    </w:p>
    <w:p w14:paraId="737126EE">
      <w:pPr>
        <w:pStyle w:val="9"/>
        <w:spacing w:after="0" w:line="249" w:lineRule="auto"/>
        <w:rPr>
          <w:rFonts w:hint="eastAsia"/>
          <w:color w:val="231F20"/>
        </w:rPr>
      </w:pPr>
    </w:p>
    <w:p w14:paraId="1B2008CF">
      <w:pPr>
        <w:pStyle w:val="9"/>
        <w:spacing w:after="0" w:line="249" w:lineRule="auto"/>
        <w:rPr>
          <w:rFonts w:hint="eastAsia"/>
          <w:color w:val="231F20"/>
        </w:rPr>
      </w:pPr>
      <w:r>
        <w:rPr>
          <w:rFonts w:hint="eastAsia"/>
          <w:color w:val="231F20"/>
        </w:rPr>
        <w:t>Does the Millennium take us back to the Old Covenant after all?</w:t>
      </w:r>
    </w:p>
    <w:p w14:paraId="7452979D">
      <w:pPr>
        <w:pStyle w:val="9"/>
        <w:spacing w:after="0" w:line="249" w:lineRule="auto"/>
        <w:rPr>
          <w:rFonts w:hint="eastAsia"/>
          <w:color w:val="231F20"/>
        </w:rPr>
      </w:pPr>
      <w:r>
        <w:rPr>
          <w:rFonts w:hint="eastAsia"/>
          <w:color w:val="231F20"/>
        </w:rPr>
        <w:t>千禧年毕竟还是把我们带回了旧约吗？</w:t>
      </w:r>
    </w:p>
    <w:p w14:paraId="3A9379A7">
      <w:pPr>
        <w:pStyle w:val="9"/>
        <w:spacing w:after="0" w:line="249" w:lineRule="auto"/>
        <w:rPr>
          <w:rFonts w:hint="eastAsia"/>
          <w:color w:val="231F20"/>
        </w:rPr>
      </w:pPr>
    </w:p>
    <w:p w14:paraId="7A0FE8A8">
      <w:pPr>
        <w:pStyle w:val="9"/>
        <w:spacing w:after="0" w:line="249" w:lineRule="auto"/>
        <w:rPr>
          <w:rFonts w:hint="eastAsia"/>
          <w:color w:val="231F20"/>
        </w:rPr>
      </w:pPr>
      <w:r>
        <w:rPr>
          <w:rFonts w:hint="eastAsia"/>
          <w:color w:val="231F20"/>
        </w:rPr>
        <w:t>And besides all this, how shall the Father allow his Son’s visible reign upon the earth to come to such an inglorious end (John 5:20f)?</w:t>
      </w:r>
    </w:p>
    <w:p w14:paraId="187A0E8F">
      <w:pPr>
        <w:pStyle w:val="9"/>
        <w:spacing w:after="0" w:line="249" w:lineRule="auto"/>
        <w:rPr>
          <w:rFonts w:hint="eastAsia"/>
          <w:color w:val="231F20"/>
        </w:rPr>
      </w:pPr>
      <w:r>
        <w:rPr>
          <w:rFonts w:hint="eastAsia"/>
          <w:color w:val="231F20"/>
        </w:rPr>
        <w:t>除此之外，父怎会让祂儿子在地上可见的统治以如此不光彩的结局告终呢（约翰福音5:20及以下）？</w:t>
      </w:r>
    </w:p>
    <w:p w14:paraId="24F2682A">
      <w:pPr>
        <w:pStyle w:val="9"/>
        <w:spacing w:after="0" w:line="249" w:lineRule="auto"/>
        <w:rPr>
          <w:rFonts w:hint="eastAsia"/>
          <w:color w:val="231F20"/>
        </w:rPr>
      </w:pPr>
    </w:p>
    <w:p w14:paraId="1B9E8096">
      <w:pPr>
        <w:pStyle w:val="9"/>
        <w:spacing w:after="0" w:line="249" w:lineRule="auto"/>
        <w:rPr>
          <w:rFonts w:hint="eastAsia"/>
          <w:color w:val="231F20"/>
        </w:rPr>
      </w:pPr>
      <w:r>
        <w:rPr>
          <w:rFonts w:hint="eastAsia"/>
          <w:color w:val="231F20"/>
        </w:rPr>
        <w:t>In response to these criticisms, some premillennarians assert that only the nations that have not heard of Christ will rebel; only those living in “the four corners of the earth,” at a great distance from Jerusalem (Rev. 20:8).</w:t>
      </w:r>
    </w:p>
    <w:p w14:paraId="1C72112D">
      <w:pPr>
        <w:pStyle w:val="9"/>
        <w:spacing w:after="0" w:line="249" w:lineRule="auto"/>
        <w:rPr>
          <w:rFonts w:hint="eastAsia"/>
          <w:color w:val="231F20"/>
        </w:rPr>
      </w:pPr>
      <w:r>
        <w:rPr>
          <w:rFonts w:hint="eastAsia"/>
          <w:color w:val="231F20"/>
        </w:rPr>
        <w:t>作为对这些批评的回应，一些前千禧年论者断言，只有那些没有听过基督的国家才会背叛；只有那些住在“地的四极”，远离耶路撒冷的人才会（启20:8）。</w:t>
      </w:r>
    </w:p>
    <w:p w14:paraId="217F8B30">
      <w:pPr>
        <w:pStyle w:val="9"/>
        <w:spacing w:after="0" w:line="249" w:lineRule="auto"/>
        <w:rPr>
          <w:rFonts w:hint="eastAsia"/>
          <w:color w:val="231F20"/>
        </w:rPr>
      </w:pPr>
    </w:p>
    <w:p w14:paraId="0396ACCB">
      <w:pPr>
        <w:pStyle w:val="9"/>
        <w:spacing w:after="0" w:line="249" w:lineRule="auto"/>
        <w:rPr>
          <w:rFonts w:hint="eastAsia"/>
          <w:color w:val="231F20"/>
        </w:rPr>
      </w:pPr>
      <w:r>
        <w:rPr>
          <w:rFonts w:hint="eastAsia"/>
          <w:color w:val="231F20"/>
        </w:rPr>
        <w:t>Alas, this solution raises more questions than it answers.</w:t>
      </w:r>
    </w:p>
    <w:p w14:paraId="20F71628">
      <w:pPr>
        <w:pStyle w:val="9"/>
        <w:spacing w:after="0" w:line="249" w:lineRule="auto"/>
        <w:rPr>
          <w:rFonts w:hint="eastAsia"/>
          <w:color w:val="231F20"/>
        </w:rPr>
      </w:pPr>
      <w:r>
        <w:rPr>
          <w:rFonts w:hint="eastAsia"/>
          <w:color w:val="231F20"/>
        </w:rPr>
        <w:t>唉，这个解决方案提出的问题比它回答的还多。</w:t>
      </w:r>
    </w:p>
    <w:p w14:paraId="6300A588">
      <w:pPr>
        <w:pStyle w:val="9"/>
        <w:spacing w:after="0" w:line="249" w:lineRule="auto"/>
        <w:rPr>
          <w:rFonts w:hint="eastAsia"/>
          <w:color w:val="231F20"/>
        </w:rPr>
      </w:pPr>
    </w:p>
    <w:p w14:paraId="53DD4C2C">
      <w:pPr>
        <w:pStyle w:val="9"/>
        <w:spacing w:after="0" w:line="249" w:lineRule="auto"/>
        <w:rPr>
          <w:rFonts w:hint="eastAsia"/>
          <w:color w:val="231F20"/>
        </w:rPr>
      </w:pPr>
      <w:r>
        <w:rPr>
          <w:rFonts w:hint="eastAsia"/>
          <w:color w:val="231F20"/>
        </w:rPr>
        <w:t>How is it that Christ would let these nations remain untouched by the Gospel, seeing that they are so densely populated?</w:t>
      </w:r>
    </w:p>
    <w:p w14:paraId="6BE64548">
      <w:pPr>
        <w:pStyle w:val="9"/>
        <w:spacing w:after="0" w:line="249" w:lineRule="auto"/>
        <w:rPr>
          <w:rFonts w:hint="eastAsia"/>
          <w:color w:val="231F20"/>
        </w:rPr>
      </w:pPr>
      <w:r>
        <w:rPr>
          <w:rFonts w:hint="eastAsia"/>
          <w:color w:val="231F20"/>
        </w:rPr>
        <w:t>基督怎会让这些人口如此稠密的国家仍未被福音触及呢？</w:t>
      </w:r>
    </w:p>
    <w:p w14:paraId="795F75E3">
      <w:pPr>
        <w:pStyle w:val="9"/>
        <w:spacing w:after="0" w:line="249" w:lineRule="auto"/>
        <w:rPr>
          <w:rFonts w:hint="eastAsia"/>
          <w:color w:val="231F20"/>
        </w:rPr>
      </w:pPr>
    </w:p>
    <w:p w14:paraId="41BAC8AA">
      <w:pPr>
        <w:pStyle w:val="9"/>
        <w:spacing w:after="0" w:line="249" w:lineRule="auto"/>
        <w:rPr>
          <w:rFonts w:hint="eastAsia"/>
          <w:color w:val="231F20"/>
        </w:rPr>
      </w:pPr>
      <w:r>
        <w:rPr>
          <w:rFonts w:hint="eastAsia"/>
          <w:color w:val="231F20"/>
        </w:rPr>
        <w:t>What will the believing nations—and the resurrected saints—be doing when multitudes of these far-flung infidels arrive at Jerusalem to attack the little camp of the saints?</w:t>
      </w:r>
    </w:p>
    <w:p w14:paraId="7DC3B967">
      <w:pPr>
        <w:pStyle w:val="9"/>
        <w:spacing w:after="0" w:line="249" w:lineRule="auto"/>
        <w:rPr>
          <w:rFonts w:hint="eastAsia"/>
          <w:color w:val="231F20"/>
        </w:rPr>
      </w:pPr>
      <w:r>
        <w:rPr>
          <w:rFonts w:hint="eastAsia"/>
          <w:color w:val="231F20"/>
        </w:rPr>
        <w:t>当这些遥远的不信者大批来到耶路撒冷攻击圣徒的小营时，那些信主的国家——和复活的圣徒——会做什么呢？</w:t>
      </w:r>
    </w:p>
    <w:p w14:paraId="254B9715">
      <w:pPr>
        <w:pStyle w:val="9"/>
        <w:spacing w:after="0" w:line="249" w:lineRule="auto"/>
        <w:rPr>
          <w:rFonts w:hint="eastAsia"/>
          <w:color w:val="231F20"/>
        </w:rPr>
      </w:pPr>
    </w:p>
    <w:p w14:paraId="376837B9">
      <w:pPr>
        <w:pStyle w:val="9"/>
        <w:spacing w:after="0" w:line="249" w:lineRule="auto"/>
        <w:rPr>
          <w:rFonts w:hint="eastAsia"/>
          <w:color w:val="231F20"/>
        </w:rPr>
      </w:pPr>
      <w:r>
        <w:rPr>
          <w:rFonts w:hint="eastAsia"/>
          <w:color w:val="231F20"/>
        </w:rPr>
        <w:t>And how can we square all of this with OTKP itself, which says that in the days of the Kingdom, God will gather all nations and tongues to behold Christ’s glory (Isaiah 2:2-4, 66:18f); that “all the ends of the earth will remember and turn to the Lord; and all the families of the nations will worship before him” (Psalm 22:7)?</w:t>
      </w:r>
    </w:p>
    <w:p w14:paraId="38883BAC">
      <w:pPr>
        <w:pStyle w:val="9"/>
        <w:spacing w:after="0" w:line="249" w:lineRule="auto"/>
        <w:rPr>
          <w:rFonts w:hint="eastAsia"/>
          <w:color w:val="231F20"/>
        </w:rPr>
      </w:pPr>
      <w:r>
        <w:rPr>
          <w:rFonts w:hint="eastAsia"/>
          <w:color w:val="231F20"/>
        </w:rPr>
        <w:t>我们又如何能将这一切与旧约国度预言本身相协调呢？旧约国度预言说，在国度的日子里，上帝将聚集万国万族来瞻仰基督的荣耀（以赛亚书2:2-4, 66:18及以下）；“地的四极都要想念耶和华，并且归顺祂；列国的万族都要在祂面前敬拜”（诗篇22:7）？</w:t>
      </w:r>
    </w:p>
    <w:p w14:paraId="545065FA">
      <w:pPr>
        <w:pStyle w:val="9"/>
        <w:spacing w:after="0" w:line="249" w:lineRule="auto"/>
        <w:rPr>
          <w:rFonts w:hint="eastAsia"/>
          <w:color w:val="231F20"/>
        </w:rPr>
      </w:pPr>
    </w:p>
    <w:p w14:paraId="4EC24F70">
      <w:pPr>
        <w:pStyle w:val="9"/>
        <w:spacing w:after="0" w:line="249" w:lineRule="auto"/>
        <w:rPr>
          <w:rFonts w:hint="eastAsia"/>
          <w:color w:val="231F20"/>
        </w:rPr>
      </w:pPr>
      <w:r>
        <w:rPr>
          <w:rFonts w:hint="eastAsia"/>
          <w:color w:val="231F20"/>
        </w:rPr>
        <w:t>2.Assuming that premillennialism is true, why does the Bible give us two attacks of Gog and Magog?</w:t>
      </w:r>
    </w:p>
    <w:p w14:paraId="190BB0EB">
      <w:pPr>
        <w:pStyle w:val="9"/>
        <w:spacing w:after="0" w:line="249" w:lineRule="auto"/>
        <w:rPr>
          <w:rFonts w:hint="eastAsia"/>
          <w:color w:val="231F20"/>
        </w:rPr>
      </w:pPr>
      <w:r>
        <w:rPr>
          <w:rFonts w:hint="eastAsia"/>
          <w:color w:val="231F20"/>
        </w:rPr>
        <w:t>2.假设前千禧年论是真的，为何圣经给了我们两次歌革和玛各的攻击？</w:t>
      </w:r>
    </w:p>
    <w:p w14:paraId="6B41852A">
      <w:pPr>
        <w:pStyle w:val="9"/>
        <w:spacing w:after="0" w:line="249" w:lineRule="auto"/>
        <w:rPr>
          <w:rFonts w:hint="eastAsia"/>
          <w:color w:val="231F20"/>
        </w:rPr>
      </w:pPr>
    </w:p>
    <w:p w14:paraId="281FB9D9">
      <w:pPr>
        <w:pStyle w:val="9"/>
        <w:spacing w:after="0" w:line="249" w:lineRule="auto"/>
        <w:rPr>
          <w:rFonts w:hint="eastAsia"/>
          <w:color w:val="231F20"/>
        </w:rPr>
      </w:pPr>
      <w:r>
        <w:rPr>
          <w:rFonts w:hint="eastAsia"/>
          <w:color w:val="231F20"/>
        </w:rPr>
        <w:t>It is obvious that Revelation 20:8 references Ezekiel 38-39.</w:t>
      </w:r>
    </w:p>
    <w:p w14:paraId="58600634">
      <w:pPr>
        <w:pStyle w:val="9"/>
        <w:spacing w:after="0" w:line="249" w:lineRule="auto"/>
        <w:rPr>
          <w:rFonts w:hint="eastAsia"/>
          <w:color w:val="231F20"/>
        </w:rPr>
      </w:pPr>
      <w:r>
        <w:rPr>
          <w:rFonts w:hint="eastAsia"/>
          <w:color w:val="231F20"/>
        </w:rPr>
        <w:t>很明显，《启示录》20:8引用了以西结书38-39章。</w:t>
      </w:r>
    </w:p>
    <w:p w14:paraId="6ADBC0AC">
      <w:pPr>
        <w:pStyle w:val="9"/>
        <w:spacing w:after="0" w:line="249" w:lineRule="auto"/>
        <w:rPr>
          <w:rFonts w:hint="eastAsia"/>
          <w:color w:val="231F20"/>
        </w:rPr>
      </w:pPr>
    </w:p>
    <w:p w14:paraId="07DA7D11">
      <w:pPr>
        <w:pStyle w:val="9"/>
        <w:spacing w:after="0" w:line="249" w:lineRule="auto"/>
        <w:rPr>
          <w:rFonts w:hint="eastAsia"/>
          <w:color w:val="231F20"/>
        </w:rPr>
      </w:pPr>
      <w:r>
        <w:rPr>
          <w:rFonts w:hint="eastAsia"/>
          <w:color w:val="231F20"/>
        </w:rPr>
        <w:t>However, nearly all premillennarians agree in saying that Ezekiel’s prophecy is fulfilled at the end of the Era of Proclamation, just prior to Christ’s return.</w:t>
      </w:r>
    </w:p>
    <w:p w14:paraId="20A7455A">
      <w:pPr>
        <w:pStyle w:val="9"/>
        <w:spacing w:after="0" w:line="249" w:lineRule="auto"/>
        <w:rPr>
          <w:rFonts w:hint="eastAsia"/>
          <w:color w:val="231F20"/>
        </w:rPr>
      </w:pPr>
      <w:r>
        <w:rPr>
          <w:rFonts w:hint="eastAsia"/>
          <w:color w:val="231F20"/>
        </w:rPr>
        <w:t>然而，几乎所有的前千禧年论者都同意说，以西结的预言是在宣讲时代的末了，即基督再来之前应验的。</w:t>
      </w:r>
    </w:p>
    <w:p w14:paraId="22569BE2">
      <w:pPr>
        <w:pStyle w:val="9"/>
        <w:spacing w:after="0" w:line="249" w:lineRule="auto"/>
        <w:rPr>
          <w:rFonts w:hint="eastAsia"/>
          <w:color w:val="231F20"/>
        </w:rPr>
      </w:pPr>
    </w:p>
    <w:p w14:paraId="6C073F3A">
      <w:pPr>
        <w:pStyle w:val="9"/>
        <w:spacing w:after="0" w:line="249" w:lineRule="auto"/>
        <w:rPr>
          <w:rFonts w:hint="eastAsia"/>
          <w:color w:val="231F20"/>
        </w:rPr>
      </w:pPr>
      <w:r>
        <w:rPr>
          <w:rFonts w:hint="eastAsia"/>
          <w:color w:val="231F20"/>
        </w:rPr>
        <w:t>For example, commenting on Ezekiel, dispensationalist John MacArthur writes, “The time of the invasion is best understood as the end of the future tribulation period of 7 years.”9</w:t>
      </w:r>
    </w:p>
    <w:p w14:paraId="13ACCE03">
      <w:pPr>
        <w:pStyle w:val="9"/>
        <w:spacing w:after="0" w:line="249" w:lineRule="auto"/>
        <w:rPr>
          <w:rFonts w:hint="eastAsia"/>
          <w:color w:val="231F20"/>
        </w:rPr>
      </w:pPr>
      <w:r>
        <w:rPr>
          <w:rFonts w:hint="eastAsia"/>
          <w:color w:val="231F20"/>
        </w:rPr>
        <w:t>例如，时代论者约翰·麦克阿瑟在评论以西结书时写道：“入侵的时间最好被理解为未来7年大灾难时期的结束。”9</w:t>
      </w:r>
    </w:p>
    <w:p w14:paraId="7E154744">
      <w:pPr>
        <w:pStyle w:val="9"/>
        <w:spacing w:after="0" w:line="249" w:lineRule="auto"/>
        <w:rPr>
          <w:rFonts w:hint="eastAsia"/>
          <w:color w:val="231F20"/>
        </w:rPr>
      </w:pPr>
    </w:p>
    <w:p w14:paraId="33EC2F79">
      <w:pPr>
        <w:pStyle w:val="9"/>
        <w:spacing w:after="0" w:line="249" w:lineRule="auto"/>
        <w:rPr>
          <w:rFonts w:hint="eastAsia"/>
          <w:color w:val="231F20"/>
        </w:rPr>
      </w:pPr>
      <w:r>
        <w:rPr>
          <w:rFonts w:hint="eastAsia"/>
          <w:color w:val="231F20"/>
        </w:rPr>
        <w:t>Similarly, historic premillennarian A. R. Fausset places its complete fulfillment in the days of the Antichrist.</w:t>
      </w:r>
    </w:p>
    <w:p w14:paraId="3745CD24">
      <w:pPr>
        <w:pStyle w:val="9"/>
        <w:spacing w:after="0" w:line="249" w:lineRule="auto"/>
        <w:rPr>
          <w:rFonts w:hint="eastAsia"/>
          <w:color w:val="231F20"/>
        </w:rPr>
      </w:pPr>
      <w:r>
        <w:rPr>
          <w:rFonts w:hint="eastAsia"/>
          <w:color w:val="231F20"/>
        </w:rPr>
        <w:t>同样，历史性的前千禧年论者A. R. 福塞特将其完全的应验置于敌基督的日子。</w:t>
      </w:r>
    </w:p>
    <w:p w14:paraId="1D3559A9">
      <w:pPr>
        <w:pStyle w:val="9"/>
        <w:spacing w:after="0" w:line="249" w:lineRule="auto"/>
        <w:rPr>
          <w:rFonts w:hint="eastAsia"/>
          <w:color w:val="231F20"/>
        </w:rPr>
      </w:pPr>
    </w:p>
    <w:p w14:paraId="3596244F">
      <w:pPr>
        <w:pStyle w:val="9"/>
        <w:spacing w:after="0" w:line="249" w:lineRule="auto"/>
        <w:rPr>
          <w:rFonts w:hint="eastAsia"/>
          <w:color w:val="231F20"/>
        </w:rPr>
      </w:pPr>
      <w:r>
        <w:rPr>
          <w:rFonts w:hint="eastAsia"/>
          <w:color w:val="231F20"/>
        </w:rPr>
        <w:t>Accordingly, Revelation 20:8 requires our premillennarian brothers to assume that there are two attacks by Gog and Magog: the first at the end of the Era of Proclamation, and the second at the end of the Millennium.</w:t>
      </w:r>
    </w:p>
    <w:p w14:paraId="6153A812">
      <w:pPr>
        <w:pStyle w:val="9"/>
        <w:spacing w:after="0" w:line="249" w:lineRule="auto"/>
        <w:rPr>
          <w:rFonts w:hint="eastAsia"/>
          <w:color w:val="231F20"/>
        </w:rPr>
      </w:pPr>
      <w:r>
        <w:rPr>
          <w:rFonts w:hint="eastAsia"/>
          <w:color w:val="231F20"/>
        </w:rPr>
        <w:t>因此，《启示录》20:8要求我们的前千禧年论弟兄们假设有两次歌革和玛各的攻击：第一次在宣讲时代的末了，第二次在千禧年的末了。</w:t>
      </w:r>
    </w:p>
    <w:p w14:paraId="63C6AB98">
      <w:pPr>
        <w:pStyle w:val="9"/>
        <w:spacing w:after="0" w:line="249" w:lineRule="auto"/>
        <w:rPr>
          <w:rFonts w:hint="eastAsia"/>
          <w:color w:val="231F20"/>
        </w:rPr>
      </w:pPr>
    </w:p>
    <w:p w14:paraId="1732DA7E">
      <w:pPr>
        <w:pStyle w:val="9"/>
        <w:spacing w:after="0" w:line="249" w:lineRule="auto"/>
        <w:rPr>
          <w:rFonts w:hint="eastAsia"/>
          <w:color w:val="231F20"/>
        </w:rPr>
      </w:pPr>
      <w:r>
        <w:rPr>
          <w:rFonts w:hint="eastAsia"/>
          <w:color w:val="231F20"/>
        </w:rPr>
        <w:t>Thus, MacArthur writes, “The battle depicted in verses 8-9 is like the one in Ezekiel 38-39; it is best to see this one as taking place at the end of the Millennium.”10</w:t>
      </w:r>
    </w:p>
    <w:p w14:paraId="2DE53981">
      <w:pPr>
        <w:pStyle w:val="9"/>
        <w:spacing w:after="0" w:line="249" w:lineRule="auto"/>
        <w:rPr>
          <w:rFonts w:hint="eastAsia"/>
          <w:color w:val="231F20"/>
        </w:rPr>
      </w:pPr>
      <w:r>
        <w:rPr>
          <w:rFonts w:hint="eastAsia"/>
          <w:color w:val="231F20"/>
        </w:rPr>
        <w:t>因此，麦克阿瑟写道：“第8-9节所描绘的战争与以西结书38-39章中的战争相似；最好将这场战争看作是发生在千禧年的末了。”10</w:t>
      </w:r>
    </w:p>
    <w:p w14:paraId="51E511AE">
      <w:pPr>
        <w:pStyle w:val="9"/>
        <w:spacing w:after="0" w:line="249" w:lineRule="auto"/>
        <w:rPr>
          <w:rFonts w:hint="eastAsia"/>
          <w:color w:val="231F20"/>
        </w:rPr>
      </w:pPr>
    </w:p>
    <w:p w14:paraId="4E5D47BA">
      <w:pPr>
        <w:pStyle w:val="9"/>
        <w:spacing w:after="0" w:line="249" w:lineRule="auto"/>
        <w:rPr>
          <w:rFonts w:hint="eastAsia"/>
          <w:color w:val="231F20"/>
        </w:rPr>
      </w:pPr>
      <w:r>
        <w:rPr>
          <w:rFonts w:hint="eastAsia"/>
          <w:color w:val="231F20"/>
        </w:rPr>
        <w:t>But surely it is simpler—and far more reasonable—to say that both texts refer to the one Last Battle.</w:t>
      </w:r>
    </w:p>
    <w:p w14:paraId="3DBE7A6B">
      <w:pPr>
        <w:pStyle w:val="9"/>
        <w:spacing w:after="0" w:line="249" w:lineRule="auto"/>
        <w:rPr>
          <w:rFonts w:hint="eastAsia"/>
          <w:color w:val="231F20"/>
        </w:rPr>
      </w:pPr>
      <w:r>
        <w:rPr>
          <w:rFonts w:hint="eastAsia"/>
          <w:color w:val="231F20"/>
        </w:rPr>
        <w:t>但说两段经文都指向同一场末日争战，这无疑更简单——也更合理。</w:t>
      </w:r>
    </w:p>
    <w:p w14:paraId="230A8BB7">
      <w:pPr>
        <w:pStyle w:val="9"/>
        <w:spacing w:after="0" w:line="249" w:lineRule="auto"/>
        <w:rPr>
          <w:rFonts w:hint="eastAsia"/>
          <w:color w:val="231F20"/>
        </w:rPr>
      </w:pPr>
    </w:p>
    <w:p w14:paraId="53E4EECD">
      <w:pPr>
        <w:pStyle w:val="9"/>
        <w:spacing w:after="0" w:line="249" w:lineRule="auto"/>
        <w:rPr>
          <w:rFonts w:hint="eastAsia"/>
          <w:color w:val="231F20"/>
        </w:rPr>
      </w:pPr>
      <w:r>
        <w:rPr>
          <w:rFonts w:hint="eastAsia"/>
          <w:color w:val="231F20"/>
        </w:rPr>
        <w:t>On this view, the Spirit mentions Gog and Magog in Revelation 20 quite intentionally, in order to confirm in our minds precisely what the whole structure of NT eschatology, and the whole structure of the Revelation, would lead us to believe: There is only one Last Battle, and the OT prophets, Christ, and the apostles all spoke of it.</w:t>
      </w:r>
    </w:p>
    <w:p w14:paraId="31ED8C80">
      <w:pPr>
        <w:pStyle w:val="9"/>
        <w:spacing w:after="0" w:line="249" w:lineRule="auto"/>
        <w:rPr>
          <w:rFonts w:hint="eastAsia"/>
          <w:color w:val="231F20"/>
        </w:rPr>
      </w:pPr>
      <w:r>
        <w:rPr>
          <w:rFonts w:hint="eastAsia"/>
          <w:color w:val="231F20"/>
        </w:rPr>
        <w:t>根据这种观点，圣灵在《启示录》第20章中相当有意地提到歌革和玛各，为要在我们心中确证新约末世论的整个结构，以及《启示录》的整个结构，将引导我们相信的：只有一场末日争战，并且旧约先知、基督和使徒们都曾谈论过它。</w:t>
      </w:r>
    </w:p>
    <w:p w14:paraId="4E3544A7">
      <w:pPr>
        <w:pStyle w:val="9"/>
        <w:spacing w:after="0" w:line="249" w:lineRule="auto"/>
        <w:rPr>
          <w:rFonts w:hint="eastAsia"/>
          <w:color w:val="231F20"/>
        </w:rPr>
      </w:pPr>
    </w:p>
    <w:p w14:paraId="38DB4686">
      <w:pPr>
        <w:pStyle w:val="9"/>
        <w:spacing w:after="0" w:line="249" w:lineRule="auto"/>
        <w:rPr>
          <w:rFonts w:hint="eastAsia"/>
          <w:color w:val="231F20"/>
        </w:rPr>
      </w:pPr>
      <w:r>
        <w:rPr>
          <w:rFonts w:hint="eastAsia"/>
          <w:color w:val="231F20"/>
        </w:rPr>
        <w:t>By referencing Gog and Magog, it is as if the Spirit were saying, “Yes, Ezekiel’s prophecy does indeed refer to Last Battle, the very same battle that Christ and the apostles predicted, and the very same battle I referred to earlier in the Revelation, (Mt. 24:20-27, 2 Thess. 2:1ff, Rev. 11:7-10, 16:12-16, 19:19-21).”</w:t>
      </w:r>
    </w:p>
    <w:p w14:paraId="65C017D9">
      <w:pPr>
        <w:pStyle w:val="9"/>
        <w:spacing w:after="0" w:line="249" w:lineRule="auto"/>
        <w:rPr>
          <w:rFonts w:hint="eastAsia"/>
          <w:color w:val="231F20"/>
        </w:rPr>
      </w:pPr>
      <w:r>
        <w:rPr>
          <w:rFonts w:hint="eastAsia"/>
          <w:color w:val="231F20"/>
        </w:rPr>
        <w:t>通过引用歌革和玛各，圣灵仿佛在说：“是的，以西结的预言确实指向末日争战，就是基督和使徒们所预言的同一场战争，也是我在《启示录》中早些时候提到的同一场战争，（太24:20-27，帖后2:1及以下，启11:7-10，16:12-16，19:19-21）。”</w:t>
      </w:r>
    </w:p>
    <w:p w14:paraId="26778F85">
      <w:pPr>
        <w:pStyle w:val="9"/>
        <w:spacing w:after="0" w:line="249" w:lineRule="auto"/>
        <w:rPr>
          <w:rFonts w:hint="eastAsia"/>
          <w:color w:val="231F20"/>
        </w:rPr>
      </w:pPr>
    </w:p>
    <w:p w14:paraId="0ECD26C8">
      <w:pPr>
        <w:pStyle w:val="9"/>
        <w:spacing w:after="0" w:line="249" w:lineRule="auto"/>
        <w:rPr>
          <w:rFonts w:hint="eastAsia"/>
          <w:color w:val="231F20"/>
        </w:rPr>
      </w:pPr>
      <w:r>
        <w:rPr>
          <w:rFonts w:hint="eastAsia"/>
          <w:color w:val="231F20"/>
        </w:rPr>
        <w:t>In sum, the premillennial view of our text has the Spirit introducing new eschatological information (i.e., information about a second attack of Gog and Magog at the end of the Millennium), while the amillennial view simply has him confirming old information, found both in the Old and New Testaments.</w:t>
      </w:r>
    </w:p>
    <w:p w14:paraId="59A3AAE8">
      <w:pPr>
        <w:pStyle w:val="9"/>
        <w:spacing w:after="0" w:line="249" w:lineRule="auto"/>
        <w:rPr>
          <w:rFonts w:hint="eastAsia"/>
          <w:color w:val="231F20"/>
        </w:rPr>
      </w:pPr>
      <w:r>
        <w:rPr>
          <w:rFonts w:hint="eastAsia"/>
          <w:color w:val="231F20"/>
        </w:rPr>
        <w:t>总而言之，我们经文的前千禧年论观点让圣灵引入了新的末世信息（即关于千禧年末了歌革和玛各第二次攻击的信息），而无千禧年论的观点则只是让祂确认了旧的信息，这些信息在旧约和新约中都能找到。</w:t>
      </w:r>
    </w:p>
    <w:p w14:paraId="348FD8BE">
      <w:pPr>
        <w:pStyle w:val="9"/>
        <w:spacing w:after="0" w:line="249" w:lineRule="auto"/>
        <w:rPr>
          <w:rFonts w:hint="eastAsia"/>
          <w:color w:val="231F20"/>
        </w:rPr>
      </w:pPr>
    </w:p>
    <w:p w14:paraId="62FDFB51">
      <w:pPr>
        <w:pStyle w:val="9"/>
        <w:spacing w:after="0" w:line="249" w:lineRule="auto"/>
        <w:rPr>
          <w:rFonts w:hint="eastAsia"/>
          <w:color w:val="231F20"/>
        </w:rPr>
      </w:pPr>
      <w:r>
        <w:rPr>
          <w:rFonts w:hint="eastAsia"/>
          <w:color w:val="231F20"/>
        </w:rPr>
        <w:t>But if the Revelation is indeed the Grand Finale of the Bible— not meaning to introduce new eschatological truth, but simply to sing the glory of the High King of Heaven in the language of all Scripture—then surely the amillennial view is correct.</w:t>
      </w:r>
    </w:p>
    <w:p w14:paraId="7439C4B9">
      <w:pPr>
        <w:pStyle w:val="9"/>
        <w:spacing w:after="0" w:line="249" w:lineRule="auto"/>
        <w:rPr>
          <w:rFonts w:hint="eastAsia"/>
          <w:color w:val="231F20"/>
        </w:rPr>
      </w:pPr>
      <w:r>
        <w:rPr>
          <w:rFonts w:hint="eastAsia"/>
          <w:color w:val="231F20"/>
        </w:rPr>
        <w:t>但如果《启示录》确实是圣经的宏伟终章——并非意在引入新的末世真理，而只是用所有圣经的语言来歌颂天上至高君王的荣耀——那么无千禧年论的观点无疑是正确的。</w:t>
      </w:r>
    </w:p>
    <w:p w14:paraId="1BBB0FAA">
      <w:pPr>
        <w:pStyle w:val="9"/>
        <w:spacing w:after="0" w:line="249" w:lineRule="auto"/>
        <w:rPr>
          <w:rFonts w:hint="eastAsia"/>
          <w:color w:val="231F20"/>
        </w:rPr>
      </w:pPr>
    </w:p>
    <w:p w14:paraId="0A24B8E3">
      <w:pPr>
        <w:pStyle w:val="9"/>
        <w:spacing w:after="0" w:line="249" w:lineRule="auto"/>
        <w:rPr>
          <w:rFonts w:hint="eastAsia"/>
          <w:color w:val="231F20"/>
        </w:rPr>
      </w:pPr>
      <w:r>
        <w:rPr>
          <w:rFonts w:hint="eastAsia"/>
          <w:color w:val="231F20"/>
        </w:rPr>
        <w:t>3.Does Revelation 20:10 assume that the Beast and the False Prophet were cast into the Lake of Fire a thousand years prior to the devil himself?</w:t>
      </w:r>
    </w:p>
    <w:p w14:paraId="46832BA5">
      <w:pPr>
        <w:pStyle w:val="9"/>
        <w:spacing w:after="0" w:line="249" w:lineRule="auto"/>
        <w:rPr>
          <w:rFonts w:hint="eastAsia"/>
          <w:color w:val="231F20"/>
        </w:rPr>
      </w:pPr>
      <w:r>
        <w:rPr>
          <w:rFonts w:hint="eastAsia"/>
          <w:color w:val="231F20"/>
        </w:rPr>
        <w:t>3.《启示录》20:10是否假设兽和假先知比魔鬼自己早一千年被扔进火湖里？</w:t>
      </w:r>
    </w:p>
    <w:p w14:paraId="6349FC60">
      <w:pPr>
        <w:pStyle w:val="9"/>
        <w:spacing w:after="0" w:line="249" w:lineRule="auto"/>
        <w:rPr>
          <w:rFonts w:hint="eastAsia"/>
          <w:color w:val="231F20"/>
        </w:rPr>
      </w:pPr>
    </w:p>
    <w:p w14:paraId="6A633EA6">
      <w:pPr>
        <w:pStyle w:val="9"/>
        <w:spacing w:after="0" w:line="249" w:lineRule="auto"/>
        <w:rPr>
          <w:rFonts w:hint="eastAsia"/>
          <w:color w:val="231F20"/>
        </w:rPr>
      </w:pPr>
      <w:r>
        <w:rPr>
          <w:rFonts w:hint="eastAsia"/>
          <w:color w:val="231F20"/>
        </w:rPr>
        <w:t>Premillennarians cite Rev. 20:10 as proof of a literal thousand-year hiatus between the judgment of the Beast and the False Prophet on the one hand, and the judgment of Satan (and his evil angels) on the other.</w:t>
      </w:r>
    </w:p>
    <w:p w14:paraId="5FB388BC">
      <w:pPr>
        <w:pStyle w:val="9"/>
        <w:spacing w:after="0" w:line="249" w:lineRule="auto"/>
        <w:rPr>
          <w:rFonts w:hint="eastAsia"/>
          <w:color w:val="231F20"/>
        </w:rPr>
      </w:pPr>
      <w:r>
        <w:rPr>
          <w:rFonts w:hint="eastAsia"/>
          <w:color w:val="231F20"/>
        </w:rPr>
        <w:t>前千禧年论者引用启示录20:10作为证据，证明在兽和假先知的审判与撒但（及其邪恶天使）的审判之间，存在一个字面意义上的一千年的间歇。</w:t>
      </w:r>
    </w:p>
    <w:p w14:paraId="45BE5787">
      <w:pPr>
        <w:pStyle w:val="9"/>
        <w:spacing w:after="0" w:line="249" w:lineRule="auto"/>
        <w:rPr>
          <w:rFonts w:hint="eastAsia"/>
          <w:color w:val="231F20"/>
        </w:rPr>
      </w:pPr>
    </w:p>
    <w:p w14:paraId="29811B9F">
      <w:pPr>
        <w:pStyle w:val="9"/>
        <w:spacing w:after="0" w:line="249" w:lineRule="auto"/>
        <w:rPr>
          <w:rFonts w:hint="eastAsia"/>
          <w:color w:val="231F20"/>
        </w:rPr>
      </w:pPr>
      <w:r>
        <w:rPr>
          <w:rFonts w:hint="eastAsia"/>
          <w:color w:val="231F20"/>
        </w:rPr>
        <w:t>John Walvoord writes:</w:t>
      </w:r>
    </w:p>
    <w:p w14:paraId="66423E2C">
      <w:pPr>
        <w:pStyle w:val="9"/>
        <w:spacing w:after="0" w:line="249" w:lineRule="auto"/>
        <w:rPr>
          <w:rFonts w:hint="eastAsia"/>
          <w:color w:val="231F20"/>
        </w:rPr>
      </w:pPr>
      <w:r>
        <w:rPr>
          <w:rFonts w:hint="eastAsia"/>
          <w:color w:val="231F20"/>
        </w:rPr>
        <w:t>约翰·沃尔沃德写道：</w:t>
      </w:r>
    </w:p>
    <w:p w14:paraId="5B721F29">
      <w:pPr>
        <w:pStyle w:val="9"/>
        <w:spacing w:after="0" w:line="249" w:lineRule="auto"/>
        <w:rPr>
          <w:rFonts w:hint="eastAsia"/>
          <w:color w:val="231F20"/>
        </w:rPr>
      </w:pPr>
    </w:p>
    <w:p w14:paraId="56FB8C16">
      <w:pPr>
        <w:pStyle w:val="9"/>
        <w:spacing w:after="0" w:line="249" w:lineRule="auto"/>
        <w:rPr>
          <w:rFonts w:hint="eastAsia"/>
          <w:color w:val="231F20"/>
        </w:rPr>
      </w:pPr>
      <w:r>
        <w:rPr>
          <w:rFonts w:hint="eastAsia"/>
          <w:color w:val="231F20"/>
        </w:rPr>
        <w:t>As Revelation 20 makes plain, Satan is to be loosed at the conclusion of the Millennium, at which time he will be cast into the lake of fire and brimstone, into which the beast and the false prophet had been previously cast at the beginning of the Millennium (Rev. 20:10).</w:t>
      </w:r>
    </w:p>
    <w:p w14:paraId="15F70E25">
      <w:pPr>
        <w:pStyle w:val="9"/>
        <w:spacing w:after="0" w:line="249" w:lineRule="auto"/>
        <w:rPr>
          <w:rFonts w:hint="eastAsia"/>
          <w:color w:val="231F20"/>
        </w:rPr>
      </w:pPr>
      <w:r>
        <w:rPr>
          <w:rFonts w:hint="eastAsia"/>
          <w:color w:val="231F20"/>
        </w:rPr>
        <w:t>正如《启示录》20章所清楚表明的，撒但将在千禧年结束时被释放，届时他将被扔进硫磺火湖里，而兽和假先知已在千禧年开始时被扔进那里（启20:10）。</w:t>
      </w:r>
    </w:p>
    <w:p w14:paraId="7776C97B">
      <w:pPr>
        <w:pStyle w:val="9"/>
        <w:spacing w:after="0" w:line="249" w:lineRule="auto"/>
        <w:rPr>
          <w:rFonts w:hint="eastAsia"/>
          <w:color w:val="231F20"/>
        </w:rPr>
      </w:pPr>
    </w:p>
    <w:p w14:paraId="06A40724">
      <w:pPr>
        <w:pStyle w:val="9"/>
        <w:spacing w:after="0" w:line="249" w:lineRule="auto"/>
        <w:rPr>
          <w:rFonts w:hint="eastAsia"/>
          <w:color w:val="231F20"/>
        </w:rPr>
      </w:pPr>
      <w:r>
        <w:rPr>
          <w:rFonts w:hint="eastAsia"/>
          <w:color w:val="231F20"/>
        </w:rPr>
        <w:t>The final judgment of the wicked angels apparently occurs at the same time as Satan’s final judgment, when he is cast into the lake of fire and brimstone.11</w:t>
      </w:r>
    </w:p>
    <w:p w14:paraId="56C5A42D">
      <w:pPr>
        <w:pStyle w:val="9"/>
        <w:spacing w:after="0" w:line="249" w:lineRule="auto"/>
        <w:rPr>
          <w:rFonts w:hint="eastAsia"/>
          <w:color w:val="231F20"/>
        </w:rPr>
      </w:pPr>
      <w:r>
        <w:rPr>
          <w:rFonts w:hint="eastAsia"/>
          <w:color w:val="231F20"/>
        </w:rPr>
        <w:t>恶天使的最后审判显然与撒但的最后审判同时发生，即当他被扔进硫磺火湖时。11</w:t>
      </w:r>
    </w:p>
    <w:p w14:paraId="5BD89392">
      <w:pPr>
        <w:pStyle w:val="9"/>
        <w:spacing w:after="0" w:line="249" w:lineRule="auto"/>
        <w:rPr>
          <w:rFonts w:hint="eastAsia"/>
          <w:color w:val="231F20"/>
        </w:rPr>
      </w:pPr>
    </w:p>
    <w:p w14:paraId="61B8B60D">
      <w:pPr>
        <w:pStyle w:val="9"/>
        <w:spacing w:after="0" w:line="249" w:lineRule="auto"/>
        <w:rPr>
          <w:rFonts w:hint="eastAsia"/>
          <w:color w:val="231F20"/>
        </w:rPr>
      </w:pPr>
      <w:r>
        <w:rPr>
          <w:rFonts w:hint="eastAsia"/>
          <w:color w:val="231F20"/>
        </w:rPr>
        <w:t>It cannot be denied that Walvoord’s reading is possible.</w:t>
      </w:r>
    </w:p>
    <w:p w14:paraId="205BB5A4">
      <w:pPr>
        <w:pStyle w:val="9"/>
        <w:spacing w:after="0" w:line="249" w:lineRule="auto"/>
        <w:rPr>
          <w:rFonts w:hint="eastAsia"/>
          <w:color w:val="231F20"/>
        </w:rPr>
      </w:pPr>
      <w:r>
        <w:rPr>
          <w:rFonts w:hint="eastAsia"/>
          <w:color w:val="231F20"/>
        </w:rPr>
        <w:t>不可否认，沃尔沃德的解读是可能的。</w:t>
      </w:r>
    </w:p>
    <w:p w14:paraId="2A9A6E61">
      <w:pPr>
        <w:pStyle w:val="9"/>
        <w:spacing w:after="0" w:line="249" w:lineRule="auto"/>
        <w:rPr>
          <w:rFonts w:hint="eastAsia"/>
          <w:color w:val="231F20"/>
        </w:rPr>
      </w:pPr>
    </w:p>
    <w:p w14:paraId="1B8F89E3">
      <w:pPr>
        <w:pStyle w:val="9"/>
        <w:spacing w:after="0" w:line="249" w:lineRule="auto"/>
        <w:rPr>
          <w:rFonts w:hint="eastAsia"/>
          <w:color w:val="231F20"/>
        </w:rPr>
      </w:pPr>
      <w:r>
        <w:rPr>
          <w:rFonts w:hint="eastAsia"/>
          <w:color w:val="231F20"/>
        </w:rPr>
        <w:t>But is it necessary?</w:t>
      </w:r>
    </w:p>
    <w:p w14:paraId="0371299B">
      <w:pPr>
        <w:pStyle w:val="9"/>
        <w:spacing w:after="0" w:line="249" w:lineRule="auto"/>
        <w:rPr>
          <w:rFonts w:hint="eastAsia"/>
          <w:color w:val="231F20"/>
        </w:rPr>
      </w:pPr>
      <w:r>
        <w:rPr>
          <w:rFonts w:hint="eastAsia"/>
          <w:color w:val="231F20"/>
        </w:rPr>
        <w:t>但这是必要的吗？</w:t>
      </w:r>
    </w:p>
    <w:p w14:paraId="7D48FD5F">
      <w:pPr>
        <w:pStyle w:val="9"/>
        <w:spacing w:after="0" w:line="249" w:lineRule="auto"/>
        <w:rPr>
          <w:rFonts w:hint="eastAsia"/>
          <w:color w:val="231F20"/>
        </w:rPr>
      </w:pPr>
    </w:p>
    <w:p w14:paraId="48B08C51">
      <w:pPr>
        <w:pStyle w:val="9"/>
        <w:spacing w:after="0" w:line="249" w:lineRule="auto"/>
        <w:rPr>
          <w:rFonts w:hint="eastAsia"/>
          <w:color w:val="231F20"/>
        </w:rPr>
      </w:pPr>
      <w:r>
        <w:rPr>
          <w:rFonts w:hint="eastAsia"/>
          <w:color w:val="231F20"/>
        </w:rPr>
        <w:t>Does the rest of the Revelation, and the NT as a whole, teach and require it?</w:t>
      </w:r>
    </w:p>
    <w:p w14:paraId="75CA8F28">
      <w:pPr>
        <w:pStyle w:val="9"/>
        <w:spacing w:after="0" w:line="249" w:lineRule="auto"/>
        <w:rPr>
          <w:rFonts w:hint="eastAsia"/>
          <w:color w:val="231F20"/>
        </w:rPr>
      </w:pPr>
      <w:r>
        <w:rPr>
          <w:rFonts w:hint="eastAsia"/>
          <w:color w:val="231F20"/>
        </w:rPr>
        <w:t>《启示录》的其余部分，以及整个新约，是否教导并要求如此？</w:t>
      </w:r>
    </w:p>
    <w:p w14:paraId="6E00D3D9">
      <w:pPr>
        <w:pStyle w:val="9"/>
        <w:spacing w:after="0" w:line="249" w:lineRule="auto"/>
        <w:rPr>
          <w:rFonts w:hint="eastAsia"/>
          <w:color w:val="231F20"/>
        </w:rPr>
      </w:pPr>
    </w:p>
    <w:p w14:paraId="10C020DE">
      <w:pPr>
        <w:pStyle w:val="9"/>
        <w:spacing w:after="0" w:line="249" w:lineRule="auto"/>
        <w:rPr>
          <w:rFonts w:hint="eastAsia"/>
          <w:color w:val="231F20"/>
        </w:rPr>
      </w:pPr>
      <w:r>
        <w:rPr>
          <w:rFonts w:hint="eastAsia"/>
          <w:color w:val="231F20"/>
        </w:rPr>
        <w:t>In my view, the answer to these important questions is a resounding “no.”</w:t>
      </w:r>
    </w:p>
    <w:p w14:paraId="0CC550E0">
      <w:pPr>
        <w:pStyle w:val="9"/>
        <w:spacing w:after="0" w:line="249" w:lineRule="auto"/>
        <w:rPr>
          <w:rFonts w:hint="eastAsia"/>
          <w:color w:val="231F20"/>
        </w:rPr>
      </w:pPr>
      <w:r>
        <w:rPr>
          <w:rFonts w:hint="eastAsia"/>
          <w:color w:val="231F20"/>
        </w:rPr>
        <w:t>在我看来，对这些重要问题的答案是一个响亮的“不”。</w:t>
      </w:r>
    </w:p>
    <w:p w14:paraId="544D403C">
      <w:pPr>
        <w:pStyle w:val="9"/>
        <w:spacing w:after="0" w:line="249" w:lineRule="auto"/>
        <w:rPr>
          <w:rFonts w:hint="eastAsia"/>
          <w:color w:val="231F20"/>
        </w:rPr>
      </w:pPr>
    </w:p>
    <w:p w14:paraId="30D6B070">
      <w:pPr>
        <w:pStyle w:val="9"/>
        <w:spacing w:after="0" w:line="249" w:lineRule="auto"/>
        <w:rPr>
          <w:rFonts w:hint="eastAsia"/>
          <w:color w:val="231F20"/>
        </w:rPr>
      </w:pPr>
      <w:r>
        <w:rPr>
          <w:rFonts w:hint="eastAsia"/>
          <w:color w:val="231F20"/>
        </w:rPr>
        <w:t>As for the Greek text itself, the relevant phrase has no verb at all.</w:t>
      </w:r>
    </w:p>
    <w:p w14:paraId="40B2312D">
      <w:pPr>
        <w:pStyle w:val="9"/>
        <w:spacing w:after="0" w:line="249" w:lineRule="auto"/>
        <w:rPr>
          <w:rFonts w:hint="eastAsia"/>
          <w:color w:val="231F20"/>
        </w:rPr>
      </w:pPr>
      <w:r>
        <w:rPr>
          <w:rFonts w:hint="eastAsia"/>
          <w:color w:val="231F20"/>
        </w:rPr>
        <w:t>至于希腊文经文本，相关短语根本没有动词。</w:t>
      </w:r>
    </w:p>
    <w:p w14:paraId="68E4EE09">
      <w:pPr>
        <w:pStyle w:val="9"/>
        <w:spacing w:after="0" w:line="249" w:lineRule="auto"/>
        <w:rPr>
          <w:rFonts w:hint="eastAsia"/>
          <w:color w:val="231F20"/>
        </w:rPr>
      </w:pPr>
    </w:p>
    <w:p w14:paraId="6EBF4451">
      <w:pPr>
        <w:pStyle w:val="9"/>
        <w:spacing w:after="0" w:line="249" w:lineRule="auto"/>
        <w:rPr>
          <w:rFonts w:hint="eastAsia"/>
          <w:color w:val="231F20"/>
        </w:rPr>
      </w:pPr>
      <w:r>
        <w:rPr>
          <w:rFonts w:hint="eastAsia"/>
          <w:color w:val="231F20"/>
        </w:rPr>
        <w:t>Quite literally, it reads, “And the devil who deceived them was thrown into the lake of fire and brimstone, where also the beast and the false prophet; and they will be tormented day and night forever and ever.”</w:t>
      </w:r>
    </w:p>
    <w:p w14:paraId="37AB19C3">
      <w:pPr>
        <w:pStyle w:val="9"/>
        <w:spacing w:after="0" w:line="249" w:lineRule="auto"/>
        <w:rPr>
          <w:rFonts w:hint="eastAsia"/>
          <w:color w:val="231F20"/>
        </w:rPr>
      </w:pPr>
      <w:r>
        <w:rPr>
          <w:rFonts w:hint="eastAsia"/>
          <w:color w:val="231F20"/>
        </w:rPr>
        <w:t>字面上，它读作：“那迷惑他们的魔鬼被扔在硫磺的火湖里，就是兽和假先知所在的地方；他们必昼夜受痛苦，直到永永远远。”</w:t>
      </w:r>
    </w:p>
    <w:p w14:paraId="6BAFD17B">
      <w:pPr>
        <w:pStyle w:val="9"/>
        <w:spacing w:after="0" w:line="249" w:lineRule="auto"/>
        <w:rPr>
          <w:rFonts w:hint="eastAsia"/>
          <w:color w:val="231F20"/>
        </w:rPr>
      </w:pPr>
    </w:p>
    <w:p w14:paraId="51B4B861">
      <w:pPr>
        <w:pStyle w:val="9"/>
        <w:spacing w:after="0" w:line="249" w:lineRule="auto"/>
        <w:rPr>
          <w:rFonts w:hint="eastAsia"/>
          <w:color w:val="231F20"/>
        </w:rPr>
      </w:pPr>
      <w:r>
        <w:rPr>
          <w:rFonts w:hint="eastAsia"/>
          <w:color w:val="231F20"/>
        </w:rPr>
        <w:t>Clearly, the emphasis here is not upon when these two were thrown into the Lake of Fire, but upon the comforting fact that they also will be in the Lake of Fire with their master, the devil.</w:t>
      </w:r>
    </w:p>
    <w:p w14:paraId="1274D265">
      <w:pPr>
        <w:pStyle w:val="9"/>
        <w:spacing w:after="0" w:line="249" w:lineRule="auto"/>
        <w:rPr>
          <w:rFonts w:hint="eastAsia"/>
          <w:color w:val="231F20"/>
        </w:rPr>
      </w:pPr>
      <w:r>
        <w:rPr>
          <w:rFonts w:hint="eastAsia"/>
          <w:color w:val="231F20"/>
        </w:rPr>
        <w:t>显然，这里的重点不在于这两个何时被扔进火湖，而在于一个令人安慰的事实，即他们也将和他们的主人，魔鬼，一同在火湖里。</w:t>
      </w:r>
    </w:p>
    <w:p w14:paraId="2F5DD38A">
      <w:pPr>
        <w:pStyle w:val="9"/>
        <w:spacing w:after="0" w:line="249" w:lineRule="auto"/>
        <w:rPr>
          <w:rFonts w:hint="eastAsia"/>
          <w:color w:val="231F20"/>
        </w:rPr>
      </w:pPr>
    </w:p>
    <w:p w14:paraId="5AD7F7F3">
      <w:pPr>
        <w:pStyle w:val="9"/>
        <w:spacing w:after="0" w:line="249" w:lineRule="auto"/>
        <w:rPr>
          <w:rFonts w:hint="eastAsia"/>
          <w:color w:val="231F20"/>
        </w:rPr>
      </w:pPr>
      <w:r>
        <w:rPr>
          <w:rFonts w:hint="eastAsia"/>
          <w:color w:val="231F20"/>
        </w:rPr>
        <w:t>For this reason, the NAS rightly translates, “Where the beast and the false prophet are also.”</w:t>
      </w:r>
    </w:p>
    <w:p w14:paraId="7D371491">
      <w:pPr>
        <w:pStyle w:val="9"/>
        <w:spacing w:after="0" w:line="249" w:lineRule="auto"/>
        <w:rPr>
          <w:rFonts w:hint="eastAsia"/>
          <w:color w:val="231F20"/>
        </w:rPr>
      </w:pPr>
      <w:r>
        <w:rPr>
          <w:rFonts w:hint="eastAsia"/>
          <w:color w:val="231F20"/>
        </w:rPr>
        <w:t>因此，新美国标准版圣经正确地翻译为：“就是兽和假先知所在的地方。”</w:t>
      </w:r>
    </w:p>
    <w:p w14:paraId="0EF1A403">
      <w:pPr>
        <w:pStyle w:val="9"/>
        <w:spacing w:after="0" w:line="249" w:lineRule="auto"/>
        <w:rPr>
          <w:rFonts w:hint="eastAsia"/>
          <w:color w:val="231F20"/>
        </w:rPr>
      </w:pPr>
    </w:p>
    <w:p w14:paraId="64950476">
      <w:pPr>
        <w:pStyle w:val="9"/>
        <w:spacing w:after="0" w:line="249" w:lineRule="auto"/>
        <w:rPr>
          <w:rFonts w:hint="eastAsia"/>
          <w:color w:val="231F20"/>
        </w:rPr>
      </w:pPr>
      <w:r>
        <w:rPr>
          <w:rFonts w:hint="eastAsia"/>
          <w:color w:val="231F20"/>
        </w:rPr>
        <w:t>Indeed, one could just as well translate, “Where the beast and the false prophet also were thrown.”</w:t>
      </w:r>
    </w:p>
    <w:p w14:paraId="3E8A7822">
      <w:pPr>
        <w:pStyle w:val="9"/>
        <w:spacing w:after="0" w:line="249" w:lineRule="auto"/>
        <w:rPr>
          <w:rFonts w:hint="eastAsia"/>
          <w:color w:val="231F20"/>
        </w:rPr>
      </w:pPr>
      <w:r>
        <w:rPr>
          <w:rFonts w:hint="eastAsia"/>
          <w:color w:val="231F20"/>
        </w:rPr>
        <w:t>确实，也可以翻译为：“就是兽和假先知也被扔进去的地方。”</w:t>
      </w:r>
    </w:p>
    <w:p w14:paraId="2C6704D4">
      <w:pPr>
        <w:pStyle w:val="9"/>
        <w:spacing w:after="0" w:line="249" w:lineRule="auto"/>
        <w:rPr>
          <w:rFonts w:hint="eastAsia"/>
          <w:color w:val="231F20"/>
        </w:rPr>
      </w:pPr>
    </w:p>
    <w:p w14:paraId="0DAF74D1">
      <w:pPr>
        <w:pStyle w:val="9"/>
        <w:spacing w:after="0" w:line="249" w:lineRule="auto"/>
        <w:rPr>
          <w:rFonts w:hint="eastAsia"/>
          <w:color w:val="231F20"/>
        </w:rPr>
      </w:pPr>
      <w:r>
        <w:rPr>
          <w:rFonts w:hint="eastAsia"/>
          <w:color w:val="231F20"/>
        </w:rPr>
        <w:t>Walvoord claims to deduce premillennialism from this text, when in fact he is reading premillennialism into it.</w:t>
      </w:r>
    </w:p>
    <w:p w14:paraId="40FB8EFD">
      <w:pPr>
        <w:pStyle w:val="9"/>
        <w:spacing w:after="0" w:line="249" w:lineRule="auto"/>
        <w:rPr>
          <w:rFonts w:hint="eastAsia"/>
          <w:color w:val="231F20"/>
        </w:rPr>
      </w:pPr>
      <w:r>
        <w:rPr>
          <w:rFonts w:hint="eastAsia"/>
          <w:color w:val="231F20"/>
        </w:rPr>
        <w:t>沃尔沃德声称从这段经文中推断出前千禧年论，而实际上他是在将前千禧年论读入其中。</w:t>
      </w:r>
    </w:p>
    <w:p w14:paraId="2B72D7E9">
      <w:pPr>
        <w:pStyle w:val="9"/>
        <w:spacing w:after="0" w:line="249" w:lineRule="auto"/>
        <w:rPr>
          <w:rFonts w:hint="eastAsia"/>
          <w:color w:val="231F20"/>
        </w:rPr>
      </w:pPr>
    </w:p>
    <w:p w14:paraId="11444048">
      <w:pPr>
        <w:pStyle w:val="9"/>
        <w:spacing w:after="0" w:line="249" w:lineRule="auto"/>
        <w:rPr>
          <w:rFonts w:hint="eastAsia"/>
          <w:color w:val="231F20"/>
        </w:rPr>
      </w:pPr>
      <w:r>
        <w:rPr>
          <w:rFonts w:hint="eastAsia"/>
          <w:color w:val="231F20"/>
        </w:rPr>
        <w:t>Nevertheless, the question remains as to which reading and which interpretation is best.</w:t>
      </w:r>
    </w:p>
    <w:p w14:paraId="6F0F5076">
      <w:pPr>
        <w:pStyle w:val="9"/>
        <w:spacing w:after="0" w:line="249" w:lineRule="auto"/>
        <w:rPr>
          <w:rFonts w:hint="eastAsia"/>
          <w:color w:val="231F20"/>
        </w:rPr>
      </w:pPr>
      <w:r>
        <w:rPr>
          <w:rFonts w:hint="eastAsia"/>
          <w:color w:val="231F20"/>
        </w:rPr>
        <w:t>然而，问题仍然是哪种读法和哪种解释最好。</w:t>
      </w:r>
    </w:p>
    <w:p w14:paraId="2000F954">
      <w:pPr>
        <w:pStyle w:val="9"/>
        <w:spacing w:after="0" w:line="249" w:lineRule="auto"/>
        <w:rPr>
          <w:rFonts w:hint="eastAsia"/>
          <w:color w:val="231F20"/>
        </w:rPr>
      </w:pPr>
    </w:p>
    <w:p w14:paraId="1E6644B1">
      <w:pPr>
        <w:pStyle w:val="9"/>
        <w:spacing w:after="0" w:line="249" w:lineRule="auto"/>
        <w:rPr>
          <w:rFonts w:hint="eastAsia"/>
          <w:color w:val="231F20"/>
        </w:rPr>
      </w:pPr>
      <w:r>
        <w:rPr>
          <w:rFonts w:hint="eastAsia"/>
          <w:color w:val="231F20"/>
        </w:rPr>
        <w:t>How shall we decide this?</w:t>
      </w:r>
    </w:p>
    <w:p w14:paraId="28788A11">
      <w:pPr>
        <w:pStyle w:val="9"/>
        <w:spacing w:after="0" w:line="249" w:lineRule="auto"/>
        <w:rPr>
          <w:rFonts w:hint="eastAsia"/>
          <w:color w:val="231F20"/>
        </w:rPr>
      </w:pPr>
      <w:r>
        <w:rPr>
          <w:rFonts w:hint="eastAsia"/>
          <w:color w:val="231F20"/>
        </w:rPr>
        <w:t>我们应如何决定？</w:t>
      </w:r>
    </w:p>
    <w:p w14:paraId="76E64D86">
      <w:pPr>
        <w:pStyle w:val="9"/>
        <w:spacing w:after="0" w:line="249" w:lineRule="auto"/>
        <w:rPr>
          <w:rFonts w:hint="eastAsia"/>
          <w:color w:val="231F20"/>
        </w:rPr>
      </w:pPr>
    </w:p>
    <w:p w14:paraId="7AAE3A01">
      <w:pPr>
        <w:pStyle w:val="9"/>
        <w:spacing w:after="0" w:line="249" w:lineRule="auto"/>
        <w:rPr>
          <w:rFonts w:hint="eastAsia"/>
          <w:color w:val="231F20"/>
        </w:rPr>
      </w:pPr>
      <w:r>
        <w:rPr>
          <w:rFonts w:hint="eastAsia"/>
          <w:color w:val="231F20"/>
        </w:rPr>
        <w:t>Obviously, we have no choice but to look to the context, and to the rest of NT theology.</w:t>
      </w:r>
    </w:p>
    <w:p w14:paraId="3C829470">
      <w:pPr>
        <w:pStyle w:val="9"/>
        <w:spacing w:after="0" w:line="249" w:lineRule="auto"/>
        <w:rPr>
          <w:rFonts w:hint="eastAsia"/>
          <w:color w:val="231F20"/>
        </w:rPr>
      </w:pPr>
      <w:r>
        <w:rPr>
          <w:rFonts w:hint="eastAsia"/>
          <w:color w:val="231F20"/>
        </w:rPr>
        <w:t>显然，我们别无选择，只能看上下文，以及新约神学的其余部分。</w:t>
      </w:r>
    </w:p>
    <w:p w14:paraId="3BBE4E93">
      <w:pPr>
        <w:pStyle w:val="9"/>
        <w:spacing w:after="0" w:line="249" w:lineRule="auto"/>
        <w:rPr>
          <w:rFonts w:hint="eastAsia"/>
          <w:color w:val="231F20"/>
        </w:rPr>
      </w:pPr>
    </w:p>
    <w:p w14:paraId="40AD7E10">
      <w:pPr>
        <w:pStyle w:val="9"/>
        <w:spacing w:after="0" w:line="249" w:lineRule="auto"/>
        <w:rPr>
          <w:rFonts w:hint="eastAsia"/>
          <w:color w:val="231F20"/>
        </w:rPr>
      </w:pPr>
      <w:r>
        <w:rPr>
          <w:rFonts w:hint="eastAsia"/>
          <w:color w:val="231F20"/>
        </w:rPr>
        <w:t>When we do, our answer quickly comes into focus.</w:t>
      </w:r>
    </w:p>
    <w:p w14:paraId="6E8522F6">
      <w:pPr>
        <w:pStyle w:val="9"/>
        <w:spacing w:after="0" w:line="249" w:lineRule="auto"/>
        <w:rPr>
          <w:rFonts w:hint="eastAsia"/>
          <w:color w:val="231F20"/>
        </w:rPr>
      </w:pPr>
      <w:r>
        <w:rPr>
          <w:rFonts w:hint="eastAsia"/>
          <w:color w:val="231F20"/>
        </w:rPr>
        <w:t>当我们这样做时，我们的答案很快就清晰起来。</w:t>
      </w:r>
    </w:p>
    <w:p w14:paraId="0529B735">
      <w:pPr>
        <w:pStyle w:val="9"/>
        <w:spacing w:after="0" w:line="249" w:lineRule="auto"/>
        <w:rPr>
          <w:rFonts w:hint="eastAsia"/>
          <w:color w:val="231F20"/>
        </w:rPr>
      </w:pPr>
    </w:p>
    <w:p w14:paraId="006ECB6C">
      <w:pPr>
        <w:pStyle w:val="9"/>
        <w:spacing w:after="0" w:line="249" w:lineRule="auto"/>
        <w:rPr>
          <w:rFonts w:hint="eastAsia"/>
          <w:color w:val="231F20"/>
        </w:rPr>
      </w:pPr>
      <w:r>
        <w:rPr>
          <w:rFonts w:hint="eastAsia"/>
          <w:color w:val="231F20"/>
        </w:rPr>
        <w:t>As we have seen, the Revelation itself has already given us five depictions of a single judgment at the end of the age.</w:t>
      </w:r>
    </w:p>
    <w:p w14:paraId="684334AD">
      <w:pPr>
        <w:pStyle w:val="9"/>
        <w:spacing w:after="0" w:line="249" w:lineRule="auto"/>
        <w:rPr>
          <w:rFonts w:hint="eastAsia"/>
          <w:color w:val="231F20"/>
        </w:rPr>
      </w:pPr>
      <w:r>
        <w:rPr>
          <w:rFonts w:hint="eastAsia"/>
          <w:color w:val="231F20"/>
        </w:rPr>
        <w:t>正如我们所见，《启示录》本身已经给了我们五次对世代末了单一审判的描绘。</w:t>
      </w:r>
    </w:p>
    <w:p w14:paraId="09437EE2">
      <w:pPr>
        <w:pStyle w:val="9"/>
        <w:spacing w:after="0" w:line="249" w:lineRule="auto"/>
        <w:rPr>
          <w:rFonts w:hint="eastAsia"/>
          <w:color w:val="231F20"/>
        </w:rPr>
      </w:pPr>
    </w:p>
    <w:p w14:paraId="7EB0EA83">
      <w:pPr>
        <w:pStyle w:val="9"/>
        <w:spacing w:after="0" w:line="249" w:lineRule="auto"/>
        <w:rPr>
          <w:rFonts w:hint="eastAsia"/>
          <w:color w:val="231F20"/>
        </w:rPr>
      </w:pPr>
      <w:r>
        <w:rPr>
          <w:rFonts w:hint="eastAsia"/>
          <w:color w:val="231F20"/>
        </w:rPr>
        <w:t>Surely it is more than reasonable to infer that here in 20:10-15 we have a sixth.</w:t>
      </w:r>
    </w:p>
    <w:p w14:paraId="02BB087B">
      <w:pPr>
        <w:pStyle w:val="9"/>
        <w:spacing w:after="0" w:line="249" w:lineRule="auto"/>
        <w:rPr>
          <w:rFonts w:hint="eastAsia"/>
          <w:color w:val="231F20"/>
        </w:rPr>
      </w:pPr>
      <w:r>
        <w:rPr>
          <w:rFonts w:hint="eastAsia"/>
          <w:color w:val="231F20"/>
        </w:rPr>
        <w:t>因此，推断在20:10-15这里我们有第六次，这无疑是再合理不过了。</w:t>
      </w:r>
    </w:p>
    <w:p w14:paraId="6B50BC23">
      <w:pPr>
        <w:pStyle w:val="9"/>
        <w:spacing w:after="0" w:line="249" w:lineRule="auto"/>
        <w:rPr>
          <w:rFonts w:hint="eastAsia"/>
          <w:color w:val="231F20"/>
        </w:rPr>
      </w:pPr>
    </w:p>
    <w:p w14:paraId="40D175EC">
      <w:pPr>
        <w:pStyle w:val="9"/>
        <w:spacing w:after="0" w:line="249" w:lineRule="auto"/>
        <w:rPr>
          <w:rFonts w:hint="eastAsia"/>
          <w:color w:val="231F20"/>
        </w:rPr>
      </w:pPr>
      <w:r>
        <w:rPr>
          <w:rFonts w:hint="eastAsia"/>
          <w:color w:val="231F20"/>
        </w:rPr>
        <w:t>Moreover, if there were any doubt about this, the rest of the NT should remove it completely, teaching as it does, over and again, that there is but a single universal judgment of men and angels at the Parousia of Christ (Mt. 11:22, 12:36, 41f, 25:31ff, Acts 17:30-31, Rom. 2:3-11, 2 Thess. 1:3-12, 2 Peter 3:7, Jude 1:6).</w:t>
      </w:r>
    </w:p>
    <w:p w14:paraId="4C9EA8F1">
      <w:pPr>
        <w:pStyle w:val="9"/>
        <w:spacing w:after="0" w:line="249" w:lineRule="auto"/>
        <w:rPr>
          <w:rFonts w:hint="eastAsia"/>
          <w:color w:val="231F20"/>
        </w:rPr>
      </w:pPr>
      <w:r>
        <w:rPr>
          <w:rFonts w:hint="eastAsia"/>
          <w:color w:val="231F20"/>
        </w:rPr>
        <w:t>此外，如果对此有任何疑问，新约的其余部分应该完全消除它，因为它一再地教导，在基督主临（Parousia）时，只有一个对人和天使的普世审判（太11:22, 12:36, 41及以下, 25:31及以下, 徒17:30-31, 罗2:3-11, 帖后1:3-12, 彼后3:7, 犹1:6）。</w:t>
      </w:r>
    </w:p>
    <w:p w14:paraId="146D69E0">
      <w:pPr>
        <w:pStyle w:val="9"/>
        <w:spacing w:after="0" w:line="249" w:lineRule="auto"/>
        <w:rPr>
          <w:rFonts w:hint="eastAsia"/>
          <w:color w:val="231F20"/>
        </w:rPr>
      </w:pPr>
    </w:p>
    <w:p w14:paraId="7402DB8A">
      <w:pPr>
        <w:pStyle w:val="9"/>
        <w:spacing w:after="0" w:line="249" w:lineRule="auto"/>
        <w:rPr>
          <w:rFonts w:hint="eastAsia"/>
          <w:color w:val="231F20"/>
        </w:rPr>
      </w:pPr>
      <w:r>
        <w:rPr>
          <w:rFonts w:hint="eastAsia"/>
          <w:color w:val="231F20"/>
        </w:rPr>
        <w:t>Along these lines, Romans 16:20 is of special importance, for there Paul tells us that Christ, at his Parousia, will “crush” Satan; which is to say, he will finally and completely judge him (Gen. 3:15, NIV).</w:t>
      </w:r>
    </w:p>
    <w:p w14:paraId="107F8FDA">
      <w:pPr>
        <w:pStyle w:val="9"/>
        <w:spacing w:after="0" w:line="249" w:lineRule="auto"/>
        <w:rPr>
          <w:rFonts w:hint="eastAsia"/>
          <w:color w:val="231F20"/>
        </w:rPr>
      </w:pPr>
      <w:r>
        <w:rPr>
          <w:rFonts w:hint="eastAsia"/>
          <w:color w:val="231F20"/>
        </w:rPr>
        <w:t>沿着这些思路，罗马书16:20特别重要，因为保罗在那里告诉我们，基督，在祂的主临（Parousia）时，将“践踏”撒但；也就是说，祂将最终并完全地审判他（创3:15，新国际版）。</w:t>
      </w:r>
    </w:p>
    <w:p w14:paraId="08C2FDF6">
      <w:pPr>
        <w:pStyle w:val="9"/>
        <w:spacing w:after="0" w:line="249" w:lineRule="auto"/>
        <w:rPr>
          <w:rFonts w:hint="eastAsia"/>
          <w:color w:val="231F20"/>
        </w:rPr>
      </w:pPr>
    </w:p>
    <w:p w14:paraId="113A8994">
      <w:pPr>
        <w:pStyle w:val="9"/>
        <w:spacing w:after="0" w:line="249" w:lineRule="auto"/>
        <w:rPr>
          <w:rFonts w:hint="eastAsia"/>
          <w:color w:val="231F20"/>
        </w:rPr>
      </w:pPr>
      <w:r>
        <w:rPr>
          <w:rFonts w:hint="eastAsia"/>
          <w:color w:val="231F20"/>
        </w:rPr>
        <w:t>Similarly, we have 1 Cor. 15:24, where Paul states that Christ, at his Parousia, will “abolish all rule, authority, and power.”</w:t>
      </w:r>
    </w:p>
    <w:p w14:paraId="66D92BE8">
      <w:pPr>
        <w:pStyle w:val="9"/>
        <w:spacing w:after="0" w:line="249" w:lineRule="auto"/>
        <w:rPr>
          <w:rFonts w:hint="eastAsia"/>
          <w:color w:val="231F20"/>
        </w:rPr>
      </w:pPr>
      <w:r>
        <w:rPr>
          <w:rFonts w:hint="eastAsia"/>
          <w:color w:val="231F20"/>
        </w:rPr>
        <w:t>同样，我们有哥林多前书15:24，保罗在那里说基督，在祂的主临（Parousia）时，将“废掉一切执政的、掌权的、有能的”。</w:t>
      </w:r>
    </w:p>
    <w:p w14:paraId="57B7A777">
      <w:pPr>
        <w:pStyle w:val="9"/>
        <w:spacing w:after="0" w:line="249" w:lineRule="auto"/>
        <w:rPr>
          <w:rFonts w:hint="eastAsia"/>
          <w:color w:val="231F20"/>
        </w:rPr>
      </w:pPr>
    </w:p>
    <w:p w14:paraId="32AEFA44">
      <w:pPr>
        <w:pStyle w:val="9"/>
        <w:spacing w:after="0" w:line="249" w:lineRule="auto"/>
        <w:rPr>
          <w:rFonts w:hint="eastAsia"/>
          <w:color w:val="231F20"/>
        </w:rPr>
      </w:pPr>
      <w:r>
        <w:rPr>
          <w:rFonts w:hint="eastAsia"/>
          <w:color w:val="231F20"/>
        </w:rPr>
        <w:t>How then shall Christ crush and abolish Satan’s rule, authority, and power a second time at the end of a future millennium?</w:t>
      </w:r>
    </w:p>
    <w:p w14:paraId="1FA4E805">
      <w:pPr>
        <w:pStyle w:val="9"/>
        <w:spacing w:after="0" w:line="249" w:lineRule="auto"/>
        <w:rPr>
          <w:rFonts w:hint="eastAsia"/>
          <w:color w:val="231F20"/>
        </w:rPr>
      </w:pPr>
      <w:r>
        <w:rPr>
          <w:rFonts w:hint="eastAsia"/>
          <w:color w:val="231F20"/>
        </w:rPr>
        <w:t>那么，基督怎能在未来的千禧年结束时第二次践踏并废除撒但的统治、权柄和能力呢？</w:t>
      </w:r>
    </w:p>
    <w:p w14:paraId="5D1D963C">
      <w:pPr>
        <w:pStyle w:val="9"/>
        <w:spacing w:after="0" w:line="249" w:lineRule="auto"/>
        <w:rPr>
          <w:rFonts w:hint="eastAsia"/>
          <w:color w:val="231F20"/>
        </w:rPr>
      </w:pPr>
    </w:p>
    <w:p w14:paraId="0D269448">
      <w:pPr>
        <w:pStyle w:val="9"/>
        <w:spacing w:after="0" w:line="249" w:lineRule="auto"/>
        <w:rPr>
          <w:rFonts w:hint="eastAsia"/>
          <w:color w:val="231F20"/>
        </w:rPr>
      </w:pPr>
      <w:r>
        <w:rPr>
          <w:rFonts w:hint="eastAsia"/>
          <w:color w:val="231F20"/>
        </w:rPr>
        <w:t>We conclude that the theological sense of 20:10 is as follows: “And the devil who deceived them will be thrown into the lake of fire and brimstone, where the beast and the false prophet also will join him; and together they will be tormented day and night forever and ever.”</w:t>
      </w:r>
    </w:p>
    <w:p w14:paraId="5978A4B8">
      <w:pPr>
        <w:pStyle w:val="9"/>
        <w:spacing w:after="0" w:line="249" w:lineRule="auto"/>
        <w:rPr>
          <w:rFonts w:hint="eastAsia"/>
          <w:color w:val="231F20"/>
        </w:rPr>
      </w:pPr>
      <w:r>
        <w:rPr>
          <w:rFonts w:hint="eastAsia"/>
          <w:color w:val="231F20"/>
        </w:rPr>
        <w:t>我们得出结论，20:10的神学意义如下：“那迷惑他们的魔鬼必被扔在硫磺的火湖里，就是兽和假先知也必与他同在；他们必昼夜受痛苦，直到永永远远。”</w:t>
      </w:r>
    </w:p>
    <w:p w14:paraId="6C3F67C1">
      <w:pPr>
        <w:pStyle w:val="9"/>
        <w:spacing w:after="0" w:line="249" w:lineRule="auto"/>
        <w:rPr>
          <w:rFonts w:hint="eastAsia"/>
          <w:color w:val="231F20"/>
        </w:rPr>
      </w:pPr>
    </w:p>
    <w:p w14:paraId="2887A0A4">
      <w:pPr>
        <w:pStyle w:val="9"/>
        <w:spacing w:after="0" w:line="249" w:lineRule="auto"/>
        <w:rPr>
          <w:rFonts w:hint="eastAsia"/>
          <w:color w:val="231F20"/>
        </w:rPr>
      </w:pPr>
      <w:r>
        <w:rPr>
          <w:rFonts w:hint="eastAsia"/>
          <w:color w:val="231F20"/>
        </w:rPr>
        <w:t>The Judgment at the Great White Throne (20:11-14)</w:t>
      </w:r>
    </w:p>
    <w:p w14:paraId="10AB78BE">
      <w:pPr>
        <w:pStyle w:val="9"/>
        <w:spacing w:after="0" w:line="249" w:lineRule="auto"/>
        <w:rPr>
          <w:rFonts w:hint="eastAsia"/>
          <w:color w:val="231F20"/>
        </w:rPr>
      </w:pPr>
      <w:r>
        <w:rPr>
          <w:rFonts w:hint="eastAsia"/>
          <w:color w:val="231F20"/>
        </w:rPr>
        <w:t>在白色大宝座前的审判（20:11-14）</w:t>
      </w:r>
    </w:p>
    <w:p w14:paraId="4290095F">
      <w:pPr>
        <w:pStyle w:val="9"/>
        <w:spacing w:after="0" w:line="249" w:lineRule="auto"/>
        <w:rPr>
          <w:rFonts w:hint="eastAsia"/>
          <w:color w:val="231F20"/>
        </w:rPr>
      </w:pPr>
    </w:p>
    <w:p w14:paraId="678AFFCB">
      <w:pPr>
        <w:pStyle w:val="9"/>
        <w:spacing w:after="0" w:line="249" w:lineRule="auto"/>
        <w:rPr>
          <w:rFonts w:hint="eastAsia"/>
          <w:color w:val="231F20"/>
        </w:rPr>
      </w:pPr>
      <w:r>
        <w:rPr>
          <w:rFonts w:hint="eastAsia"/>
          <w:color w:val="231F20"/>
        </w:rPr>
        <w:t>Our chapter concludes with the Revelation’s final—and most solemn— vision of the Last Judgment, this time of all human beings who have ever lived, saints and sinners alike.</w:t>
      </w:r>
    </w:p>
    <w:p w14:paraId="403CE52B">
      <w:pPr>
        <w:pStyle w:val="9"/>
        <w:spacing w:after="0" w:line="249" w:lineRule="auto"/>
        <w:rPr>
          <w:rFonts w:hint="eastAsia"/>
          <w:color w:val="231F20"/>
        </w:rPr>
      </w:pPr>
      <w:r>
        <w:rPr>
          <w:rFonts w:hint="eastAsia"/>
          <w:color w:val="231F20"/>
        </w:rPr>
        <w:t>我们的章节以《启示录》对最后审判的最后——也是最庄严的——异象作为结束，这次是所有曾活过的人类，无论圣徒还是罪人。</w:t>
      </w:r>
    </w:p>
    <w:p w14:paraId="6DD4CC7A">
      <w:pPr>
        <w:pStyle w:val="9"/>
        <w:spacing w:after="0" w:line="249" w:lineRule="auto"/>
        <w:rPr>
          <w:rFonts w:hint="eastAsia"/>
          <w:color w:val="231F20"/>
        </w:rPr>
      </w:pPr>
    </w:p>
    <w:p w14:paraId="76331CA7">
      <w:pPr>
        <w:pStyle w:val="9"/>
        <w:spacing w:after="0" w:line="249" w:lineRule="auto"/>
        <w:rPr>
          <w:rFonts w:hint="eastAsia"/>
          <w:color w:val="231F20"/>
        </w:rPr>
      </w:pPr>
      <w:r>
        <w:rPr>
          <w:rFonts w:hint="eastAsia"/>
          <w:color w:val="231F20"/>
        </w:rPr>
        <w:t>Once again I will offer a brief exegesis in amillennial perspective, and then probe some of the more controversial questions involved.</w:t>
      </w:r>
    </w:p>
    <w:p w14:paraId="60D346A8">
      <w:pPr>
        <w:pStyle w:val="9"/>
        <w:spacing w:after="0" w:line="249" w:lineRule="auto"/>
        <w:rPr>
          <w:rFonts w:hint="eastAsia"/>
          <w:color w:val="231F20"/>
        </w:rPr>
      </w:pPr>
      <w:r>
        <w:rPr>
          <w:rFonts w:hint="eastAsia"/>
          <w:color w:val="231F20"/>
        </w:rPr>
        <w:t>我将再次从无千禧年论的角度提供一个简短的解经，然后探究一些更具争议性的问题。</w:t>
      </w:r>
    </w:p>
    <w:p w14:paraId="3C78FEE9">
      <w:pPr>
        <w:pStyle w:val="9"/>
        <w:spacing w:after="0" w:line="249" w:lineRule="auto"/>
        <w:rPr>
          <w:rFonts w:hint="eastAsia"/>
          <w:color w:val="231F20"/>
        </w:rPr>
      </w:pPr>
    </w:p>
    <w:p w14:paraId="1F6643E1">
      <w:pPr>
        <w:pStyle w:val="9"/>
        <w:spacing w:after="0" w:line="249" w:lineRule="auto"/>
        <w:rPr>
          <w:rFonts w:hint="eastAsia"/>
          <w:color w:val="231F20"/>
        </w:rPr>
      </w:pPr>
      <w:r>
        <w:rPr>
          <w:rFonts w:hint="eastAsia"/>
          <w:color w:val="231F20"/>
        </w:rPr>
        <w:t>In verse 11, John beholds a great white throne, and One seated upon it.</w:t>
      </w:r>
    </w:p>
    <w:p w14:paraId="72A6E70F">
      <w:pPr>
        <w:pStyle w:val="9"/>
        <w:spacing w:after="0" w:line="249" w:lineRule="auto"/>
        <w:rPr>
          <w:rFonts w:hint="eastAsia"/>
          <w:color w:val="231F20"/>
        </w:rPr>
      </w:pPr>
      <w:r>
        <w:rPr>
          <w:rFonts w:hint="eastAsia"/>
          <w:color w:val="231F20"/>
        </w:rPr>
        <w:t>在第11节，约翰看见一个白色的大宝座，和一位坐在上面的。</w:t>
      </w:r>
    </w:p>
    <w:p w14:paraId="6F80D53E">
      <w:pPr>
        <w:pStyle w:val="9"/>
        <w:spacing w:after="0" w:line="249" w:lineRule="auto"/>
        <w:rPr>
          <w:rFonts w:hint="eastAsia"/>
          <w:color w:val="231F20"/>
        </w:rPr>
      </w:pPr>
    </w:p>
    <w:p w14:paraId="44EBC3CC">
      <w:pPr>
        <w:pStyle w:val="9"/>
        <w:spacing w:after="0" w:line="249" w:lineRule="auto"/>
        <w:rPr>
          <w:rFonts w:hint="eastAsia"/>
          <w:color w:val="231F20"/>
        </w:rPr>
      </w:pPr>
      <w:r>
        <w:rPr>
          <w:rFonts w:hint="eastAsia"/>
          <w:color w:val="231F20"/>
        </w:rPr>
        <w:t>The imagery is drawn from the judgment scene of Daniel 7.</w:t>
      </w:r>
    </w:p>
    <w:p w14:paraId="5C95AE9A">
      <w:pPr>
        <w:pStyle w:val="9"/>
        <w:spacing w:after="0" w:line="249" w:lineRule="auto"/>
        <w:rPr>
          <w:rFonts w:hint="eastAsia"/>
          <w:color w:val="231F20"/>
        </w:rPr>
      </w:pPr>
      <w:r>
        <w:rPr>
          <w:rFonts w:hint="eastAsia"/>
          <w:color w:val="231F20"/>
        </w:rPr>
        <w:t>这意象取自但以理书第7章的审判场景。</w:t>
      </w:r>
    </w:p>
    <w:p w14:paraId="7795C732">
      <w:pPr>
        <w:pStyle w:val="9"/>
        <w:spacing w:after="0" w:line="249" w:lineRule="auto"/>
        <w:rPr>
          <w:rFonts w:hint="eastAsia"/>
          <w:color w:val="231F20"/>
        </w:rPr>
      </w:pPr>
    </w:p>
    <w:p w14:paraId="4F22A2E5">
      <w:pPr>
        <w:pStyle w:val="9"/>
        <w:spacing w:after="0" w:line="249" w:lineRule="auto"/>
        <w:rPr>
          <w:rFonts w:hint="eastAsia"/>
          <w:color w:val="231F20"/>
        </w:rPr>
      </w:pPr>
      <w:r>
        <w:rPr>
          <w:rFonts w:hint="eastAsia"/>
          <w:color w:val="231F20"/>
        </w:rPr>
        <w:t>There, the divine Personage upon the throne is clearly the Father, the Ancient of Days (Rev. 4:2).</w:t>
      </w:r>
    </w:p>
    <w:p w14:paraId="7EA523C3">
      <w:pPr>
        <w:pStyle w:val="9"/>
        <w:spacing w:after="0" w:line="249" w:lineRule="auto"/>
        <w:rPr>
          <w:rFonts w:hint="eastAsia"/>
          <w:color w:val="231F20"/>
        </w:rPr>
      </w:pPr>
      <w:r>
        <w:rPr>
          <w:rFonts w:hint="eastAsia"/>
          <w:color w:val="231F20"/>
        </w:rPr>
        <w:t>在那里，宝座上的神圣位格显然是父，亘古常在者（启4:2）。</w:t>
      </w:r>
    </w:p>
    <w:p w14:paraId="21BCBBF2">
      <w:pPr>
        <w:pStyle w:val="9"/>
        <w:spacing w:after="0" w:line="249" w:lineRule="auto"/>
        <w:rPr>
          <w:rFonts w:hint="eastAsia"/>
          <w:color w:val="231F20"/>
        </w:rPr>
      </w:pPr>
    </w:p>
    <w:p w14:paraId="1ED3A1B9">
      <w:pPr>
        <w:pStyle w:val="9"/>
        <w:spacing w:after="0" w:line="249" w:lineRule="auto"/>
        <w:rPr>
          <w:rFonts w:hint="eastAsia"/>
          <w:color w:val="231F20"/>
        </w:rPr>
      </w:pPr>
      <w:r>
        <w:rPr>
          <w:rFonts w:hint="eastAsia"/>
          <w:color w:val="231F20"/>
        </w:rPr>
        <w:t>Here, however, we may safely surmise that it is the Father indwelling and acting through Christ, who, according to the entire NT, is the divinely appointed executor of the Last Judgment (1:8, 11, 19:11f, 21:6; Mt. 3:12, 13:41-43, 25:1f, John 5:27, Acts 17:31, Rom. 14:10, 2 Cor. 5:10).</w:t>
      </w:r>
    </w:p>
    <w:p w14:paraId="64BBAFC9">
      <w:pPr>
        <w:pStyle w:val="9"/>
        <w:spacing w:after="0" w:line="249" w:lineRule="auto"/>
        <w:rPr>
          <w:rFonts w:hint="eastAsia"/>
          <w:color w:val="231F20"/>
        </w:rPr>
      </w:pPr>
      <w:r>
        <w:rPr>
          <w:rFonts w:hint="eastAsia"/>
          <w:color w:val="231F20"/>
        </w:rPr>
        <w:t>然而，在这里，我们可以安全地推测，是父内住并借着基督行事，根据整个新约，基督是神所命定的最后审判的执行者（1:8, 11, 19:11及以下, 21:6；太3:12, 13:41-43, 25:1及以下, 约5:27, 徒17:31, 罗14:10, 林后5:10）。</w:t>
      </w:r>
    </w:p>
    <w:p w14:paraId="753A3724">
      <w:pPr>
        <w:pStyle w:val="9"/>
        <w:spacing w:after="0" w:line="249" w:lineRule="auto"/>
        <w:rPr>
          <w:rFonts w:hint="eastAsia"/>
          <w:color w:val="231F20"/>
        </w:rPr>
      </w:pPr>
    </w:p>
    <w:p w14:paraId="44D49A21">
      <w:pPr>
        <w:pStyle w:val="9"/>
        <w:spacing w:after="0" w:line="249" w:lineRule="auto"/>
        <w:rPr>
          <w:rFonts w:hint="eastAsia"/>
          <w:color w:val="231F20"/>
        </w:rPr>
      </w:pPr>
      <w:r>
        <w:rPr>
          <w:rFonts w:hint="eastAsia"/>
          <w:color w:val="231F20"/>
        </w:rPr>
        <w:t>Will Christ actually sit upon a visible throne suspended in vacant space, as depicted here?</w:t>
      </w:r>
    </w:p>
    <w:p w14:paraId="4B65B30B">
      <w:pPr>
        <w:pStyle w:val="9"/>
        <w:spacing w:after="0" w:line="249" w:lineRule="auto"/>
        <w:rPr>
          <w:rFonts w:hint="eastAsia"/>
          <w:color w:val="231F20"/>
        </w:rPr>
      </w:pPr>
      <w:r>
        <w:rPr>
          <w:rFonts w:hint="eastAsia"/>
          <w:color w:val="231F20"/>
        </w:rPr>
        <w:t>基督真的会像这里所描绘的那样，坐一个悬在虚空中的可见宝座吗？</w:t>
      </w:r>
    </w:p>
    <w:p w14:paraId="536C8E35">
      <w:pPr>
        <w:pStyle w:val="9"/>
        <w:spacing w:after="0" w:line="249" w:lineRule="auto"/>
        <w:rPr>
          <w:rFonts w:hint="eastAsia"/>
          <w:color w:val="231F20"/>
        </w:rPr>
      </w:pPr>
    </w:p>
    <w:p w14:paraId="1DB80A05">
      <w:pPr>
        <w:pStyle w:val="9"/>
        <w:spacing w:after="0" w:line="249" w:lineRule="auto"/>
        <w:rPr>
          <w:rFonts w:hint="eastAsia"/>
          <w:color w:val="231F20"/>
        </w:rPr>
      </w:pPr>
      <w:r>
        <w:rPr>
          <w:rFonts w:hint="eastAsia"/>
          <w:color w:val="231F20"/>
        </w:rPr>
        <w:t>It is entirely possible (Mt. 25:31, 2 Cor. 5:10).</w:t>
      </w:r>
    </w:p>
    <w:p w14:paraId="3E338565">
      <w:pPr>
        <w:pStyle w:val="9"/>
        <w:spacing w:after="0" w:line="249" w:lineRule="auto"/>
        <w:rPr>
          <w:rFonts w:hint="eastAsia"/>
          <w:color w:val="231F20"/>
        </w:rPr>
      </w:pPr>
      <w:r>
        <w:rPr>
          <w:rFonts w:hint="eastAsia"/>
          <w:color w:val="231F20"/>
        </w:rPr>
        <w:t>这完全有可能（太25:31，林后5:10）。</w:t>
      </w:r>
    </w:p>
    <w:p w14:paraId="1B62C260">
      <w:pPr>
        <w:pStyle w:val="9"/>
        <w:spacing w:after="0" w:line="249" w:lineRule="auto"/>
        <w:rPr>
          <w:rFonts w:hint="eastAsia"/>
          <w:color w:val="231F20"/>
        </w:rPr>
      </w:pPr>
    </w:p>
    <w:p w14:paraId="5262B679">
      <w:pPr>
        <w:pStyle w:val="9"/>
        <w:spacing w:after="0" w:line="249" w:lineRule="auto"/>
        <w:rPr>
          <w:rFonts w:hint="eastAsia"/>
          <w:color w:val="231F20"/>
        </w:rPr>
      </w:pPr>
      <w:r>
        <w:rPr>
          <w:rFonts w:hint="eastAsia"/>
          <w:color w:val="231F20"/>
        </w:rPr>
        <w:t>Nevertheless, this throne is above all an emblem of Christ’s sovereignty: of his God-given right to judge, and of the perfect holiness with which he will do so (14:14).</w:t>
      </w:r>
    </w:p>
    <w:p w14:paraId="20DCD1AD">
      <w:pPr>
        <w:pStyle w:val="9"/>
        <w:spacing w:after="0" w:line="249" w:lineRule="auto"/>
        <w:rPr>
          <w:rFonts w:hint="eastAsia"/>
          <w:color w:val="231F20"/>
        </w:rPr>
      </w:pPr>
      <w:r>
        <w:rPr>
          <w:rFonts w:hint="eastAsia"/>
          <w:color w:val="231F20"/>
        </w:rPr>
        <w:t>然而，这宝座首先是基督主权的象征：祂上帝所赐的审判权，以及祂将以之施行的完全圣洁（14:14）。</w:t>
      </w:r>
    </w:p>
    <w:p w14:paraId="2DAB3F60">
      <w:pPr>
        <w:pStyle w:val="9"/>
        <w:spacing w:after="0" w:line="249" w:lineRule="auto"/>
        <w:rPr>
          <w:rFonts w:hint="eastAsia"/>
          <w:color w:val="231F20"/>
        </w:rPr>
      </w:pPr>
    </w:p>
    <w:p w14:paraId="5AD076F6">
      <w:pPr>
        <w:pStyle w:val="9"/>
        <w:spacing w:after="0" w:line="249" w:lineRule="auto"/>
        <w:rPr>
          <w:rFonts w:hint="eastAsia"/>
          <w:color w:val="231F20"/>
        </w:rPr>
      </w:pPr>
      <w:r>
        <w:rPr>
          <w:rFonts w:hint="eastAsia"/>
          <w:color w:val="231F20"/>
        </w:rPr>
        <w:t>Verse 11 also tells us that earth and heaven will flee from the face of the Righteous Judge.</w:t>
      </w:r>
    </w:p>
    <w:p w14:paraId="67EA52F2">
      <w:pPr>
        <w:pStyle w:val="9"/>
        <w:spacing w:after="0" w:line="249" w:lineRule="auto"/>
        <w:rPr>
          <w:rFonts w:hint="eastAsia"/>
          <w:color w:val="231F20"/>
        </w:rPr>
      </w:pPr>
      <w:r>
        <w:rPr>
          <w:rFonts w:hint="eastAsia"/>
          <w:color w:val="231F20"/>
        </w:rPr>
        <w:t>第11节也告诉我们，天地都要从那公义审判者的面前逃避。</w:t>
      </w:r>
    </w:p>
    <w:p w14:paraId="330F6860">
      <w:pPr>
        <w:pStyle w:val="9"/>
        <w:spacing w:after="0" w:line="249" w:lineRule="auto"/>
        <w:rPr>
          <w:rFonts w:hint="eastAsia"/>
          <w:color w:val="231F20"/>
        </w:rPr>
      </w:pPr>
    </w:p>
    <w:p w14:paraId="6DEACD8B">
      <w:pPr>
        <w:pStyle w:val="9"/>
        <w:spacing w:after="0" w:line="249" w:lineRule="auto"/>
        <w:rPr>
          <w:rFonts w:hint="eastAsia"/>
          <w:color w:val="231F20"/>
        </w:rPr>
      </w:pPr>
      <w:r>
        <w:rPr>
          <w:rFonts w:hint="eastAsia"/>
          <w:color w:val="231F20"/>
        </w:rPr>
        <w:t>Here, as elsewhere in the Revelation, we have an apocalyptic picture of the final conflagration; of the dissolution of the created cosmos by fire, in preparation for the emergence of the new heavens and the new earth (Rev. 6:12-17, 11:11-13, 16:17-21; Rom. 8:21, 2 Peter 3:10-12).</w:t>
      </w:r>
    </w:p>
    <w:p w14:paraId="3BC13BDE">
      <w:pPr>
        <w:pStyle w:val="9"/>
        <w:spacing w:after="0" w:line="249" w:lineRule="auto"/>
        <w:rPr>
          <w:rFonts w:hint="eastAsia"/>
          <w:color w:val="231F20"/>
        </w:rPr>
      </w:pPr>
      <w:r>
        <w:rPr>
          <w:rFonts w:hint="eastAsia"/>
          <w:color w:val="231F20"/>
        </w:rPr>
        <w:t>在这里，如同在《启示录》的其他地方，我们有一幅末世的大火图景；受造宇宙被火销毁，为新天新地的出现作预备（启6:12-17，11:11-13，16:17-21；罗8:21，彼后3:10-12）。</w:t>
      </w:r>
    </w:p>
    <w:p w14:paraId="4354F1E2">
      <w:pPr>
        <w:pStyle w:val="9"/>
        <w:spacing w:after="0" w:line="249" w:lineRule="auto"/>
        <w:rPr>
          <w:rFonts w:hint="eastAsia"/>
          <w:color w:val="231F20"/>
        </w:rPr>
      </w:pPr>
    </w:p>
    <w:p w14:paraId="221B86CD">
      <w:pPr>
        <w:pStyle w:val="9"/>
        <w:spacing w:after="0" w:line="249" w:lineRule="auto"/>
        <w:rPr>
          <w:rFonts w:hint="eastAsia"/>
          <w:color w:val="231F20"/>
        </w:rPr>
      </w:pPr>
      <w:r>
        <w:rPr>
          <w:rFonts w:hint="eastAsia"/>
          <w:color w:val="231F20"/>
        </w:rPr>
        <w:t>In verse 12, John sees the dead, both great and small, standing before the throne of Christ.</w:t>
      </w:r>
    </w:p>
    <w:p w14:paraId="6A601FDD">
      <w:pPr>
        <w:pStyle w:val="9"/>
        <w:spacing w:after="0" w:line="249" w:lineRule="auto"/>
        <w:rPr>
          <w:rFonts w:hint="eastAsia"/>
          <w:color w:val="231F20"/>
        </w:rPr>
      </w:pPr>
      <w:r>
        <w:rPr>
          <w:rFonts w:hint="eastAsia"/>
          <w:color w:val="231F20"/>
        </w:rPr>
        <w:t>在第12节，约翰看见死了的人，无论大小，都站在基督的宝座前。</w:t>
      </w:r>
    </w:p>
    <w:p w14:paraId="52652C85">
      <w:pPr>
        <w:pStyle w:val="9"/>
        <w:spacing w:after="0" w:line="249" w:lineRule="auto"/>
        <w:rPr>
          <w:rFonts w:hint="eastAsia"/>
          <w:color w:val="231F20"/>
        </w:rPr>
      </w:pPr>
    </w:p>
    <w:p w14:paraId="158A9746">
      <w:pPr>
        <w:pStyle w:val="9"/>
        <w:spacing w:after="0" w:line="249" w:lineRule="auto"/>
        <w:rPr>
          <w:rFonts w:hint="eastAsia"/>
          <w:color w:val="231F20"/>
        </w:rPr>
      </w:pPr>
      <w:r>
        <w:rPr>
          <w:rFonts w:hint="eastAsia"/>
          <w:color w:val="231F20"/>
        </w:rPr>
        <w:t>Who are they?</w:t>
      </w:r>
    </w:p>
    <w:p w14:paraId="067DE246">
      <w:pPr>
        <w:pStyle w:val="9"/>
        <w:spacing w:after="0" w:line="249" w:lineRule="auto"/>
        <w:rPr>
          <w:rFonts w:hint="eastAsia"/>
          <w:color w:val="231F20"/>
        </w:rPr>
      </w:pPr>
      <w:r>
        <w:rPr>
          <w:rFonts w:hint="eastAsia"/>
          <w:color w:val="231F20"/>
        </w:rPr>
        <w:t>他们是谁？</w:t>
      </w:r>
    </w:p>
    <w:p w14:paraId="19D69AB0">
      <w:pPr>
        <w:pStyle w:val="9"/>
        <w:spacing w:after="0" w:line="249" w:lineRule="auto"/>
        <w:rPr>
          <w:rFonts w:hint="eastAsia"/>
          <w:color w:val="231F20"/>
        </w:rPr>
      </w:pPr>
    </w:p>
    <w:p w14:paraId="24B67C3A">
      <w:pPr>
        <w:pStyle w:val="9"/>
        <w:spacing w:after="0" w:line="249" w:lineRule="auto"/>
        <w:rPr>
          <w:rFonts w:hint="eastAsia"/>
          <w:color w:val="231F20"/>
        </w:rPr>
      </w:pPr>
      <w:r>
        <w:rPr>
          <w:rFonts w:hint="eastAsia"/>
          <w:color w:val="231F20"/>
        </w:rPr>
        <w:t>According to amillennarians, they are all human beings who have ever lived, raised from the dead by the voice of Christ at his Parousia, in order to stand before him for final judgment (John 5:28-29).</w:t>
      </w:r>
    </w:p>
    <w:p w14:paraId="2664CDF5">
      <w:pPr>
        <w:pStyle w:val="9"/>
        <w:spacing w:after="0" w:line="249" w:lineRule="auto"/>
        <w:rPr>
          <w:rFonts w:hint="eastAsia"/>
          <w:color w:val="231F20"/>
        </w:rPr>
      </w:pPr>
      <w:r>
        <w:rPr>
          <w:rFonts w:hint="eastAsia"/>
          <w:color w:val="231F20"/>
        </w:rPr>
        <w:t>根据无千禧年论者的说法，他们是所有曾活过的人，在基督主临（Parousia）时，因祂的声音从死里复活，为要站在祂面前接受最后的审判（约翰福音5:28-29）。</w:t>
      </w:r>
    </w:p>
    <w:p w14:paraId="0DEB707C">
      <w:pPr>
        <w:pStyle w:val="9"/>
        <w:spacing w:after="0" w:line="249" w:lineRule="auto"/>
        <w:rPr>
          <w:rFonts w:hint="eastAsia"/>
          <w:color w:val="231F20"/>
        </w:rPr>
      </w:pPr>
    </w:p>
    <w:p w14:paraId="6C560AF5">
      <w:pPr>
        <w:pStyle w:val="9"/>
        <w:spacing w:after="0" w:line="249" w:lineRule="auto"/>
        <w:rPr>
          <w:rFonts w:hint="eastAsia"/>
          <w:color w:val="231F20"/>
        </w:rPr>
      </w:pPr>
      <w:r>
        <w:rPr>
          <w:rFonts w:hint="eastAsia"/>
          <w:color w:val="231F20"/>
        </w:rPr>
        <w:t>Revelation 11:18 confirms the universality of this judgment, teaching as it does that “the dead” (and “the great and the small”) include the prophets, the saints, and all who fear God’s name.</w:t>
      </w:r>
    </w:p>
    <w:p w14:paraId="09D10AB6">
      <w:pPr>
        <w:pStyle w:val="9"/>
        <w:spacing w:after="0" w:line="249" w:lineRule="auto"/>
        <w:rPr>
          <w:rFonts w:hint="eastAsia"/>
          <w:color w:val="231F20"/>
        </w:rPr>
      </w:pPr>
      <w:r>
        <w:rPr>
          <w:rFonts w:hint="eastAsia"/>
          <w:color w:val="231F20"/>
        </w:rPr>
        <w:t>《启示录》11:18证实了这审判的普世性，因为它教导说“死人”（以及“大的小的”）包括了众先知、众圣徒和所有敬畏上帝之名的人。</w:t>
      </w:r>
    </w:p>
    <w:p w14:paraId="48F58F7B">
      <w:pPr>
        <w:pStyle w:val="9"/>
        <w:spacing w:after="0" w:line="249" w:lineRule="auto"/>
        <w:rPr>
          <w:rFonts w:hint="eastAsia"/>
          <w:color w:val="231F20"/>
        </w:rPr>
      </w:pPr>
    </w:p>
    <w:p w14:paraId="3D4C1CA1">
      <w:pPr>
        <w:pStyle w:val="9"/>
        <w:spacing w:after="0" w:line="249" w:lineRule="auto"/>
        <w:rPr>
          <w:rFonts w:hint="eastAsia"/>
          <w:color w:val="231F20"/>
        </w:rPr>
      </w:pPr>
      <w:r>
        <w:rPr>
          <w:rFonts w:hint="eastAsia"/>
          <w:color w:val="231F20"/>
        </w:rPr>
        <w:t>Here John also sees multiple books being opened, as well as a single book: the Book of Life.</w:t>
      </w:r>
    </w:p>
    <w:p w14:paraId="4561FBF6">
      <w:pPr>
        <w:pStyle w:val="9"/>
        <w:spacing w:after="0" w:line="249" w:lineRule="auto"/>
        <w:rPr>
          <w:rFonts w:hint="eastAsia"/>
          <w:color w:val="231F20"/>
        </w:rPr>
      </w:pPr>
      <w:r>
        <w:rPr>
          <w:rFonts w:hint="eastAsia"/>
          <w:color w:val="231F20"/>
        </w:rPr>
        <w:t>在这里，约翰也看见有许多案卷展开了，还有一卷书：生命册。</w:t>
      </w:r>
    </w:p>
    <w:p w14:paraId="66D73785">
      <w:pPr>
        <w:pStyle w:val="9"/>
        <w:spacing w:after="0" w:line="249" w:lineRule="auto"/>
        <w:rPr>
          <w:rFonts w:hint="eastAsia"/>
          <w:color w:val="231F20"/>
        </w:rPr>
      </w:pPr>
    </w:p>
    <w:p w14:paraId="1BB25D88">
      <w:pPr>
        <w:pStyle w:val="9"/>
        <w:spacing w:after="0" w:line="249" w:lineRule="auto"/>
        <w:rPr>
          <w:rFonts w:hint="eastAsia"/>
          <w:color w:val="231F20"/>
        </w:rPr>
      </w:pPr>
      <w:r>
        <w:rPr>
          <w:rFonts w:hint="eastAsia"/>
          <w:color w:val="231F20"/>
        </w:rPr>
        <w:t>The multiple books—one for each person—contain the record of everything that person thought, said, or did during his days upon the earth (2 Cor. 5:10).</w:t>
      </w:r>
    </w:p>
    <w:p w14:paraId="0CF46915">
      <w:pPr>
        <w:pStyle w:val="9"/>
        <w:spacing w:after="0" w:line="249" w:lineRule="auto"/>
        <w:rPr>
          <w:rFonts w:hint="eastAsia"/>
          <w:color w:val="231F20"/>
        </w:rPr>
      </w:pPr>
      <w:r>
        <w:rPr>
          <w:rFonts w:hint="eastAsia"/>
          <w:color w:val="231F20"/>
        </w:rPr>
        <w:t>许多的案卷——每人一本——包含了那个人在地上日子里所想、所说、所做的一切记录（林后5:10）。</w:t>
      </w:r>
    </w:p>
    <w:p w14:paraId="571EE82F">
      <w:pPr>
        <w:pStyle w:val="9"/>
        <w:spacing w:after="0" w:line="249" w:lineRule="auto"/>
        <w:rPr>
          <w:rFonts w:hint="eastAsia"/>
          <w:color w:val="231F20"/>
        </w:rPr>
      </w:pPr>
    </w:p>
    <w:p w14:paraId="30C3E731">
      <w:pPr>
        <w:pStyle w:val="9"/>
        <w:spacing w:after="0" w:line="249" w:lineRule="auto"/>
        <w:rPr>
          <w:rFonts w:hint="eastAsia"/>
          <w:color w:val="231F20"/>
        </w:rPr>
      </w:pPr>
      <w:r>
        <w:rPr>
          <w:rFonts w:hint="eastAsia"/>
          <w:color w:val="231F20"/>
        </w:rPr>
        <w:t>All the dead—both saints and sinners—will be judged from their individual book, that is, (as the Belgic Confession teaches) from the contents of their own memory and conscience, illumined by the Spirit of Holiness (Rom. 2:6).</w:t>
      </w:r>
    </w:p>
    <w:p w14:paraId="27EB49B1">
      <w:pPr>
        <w:pStyle w:val="9"/>
        <w:spacing w:after="0" w:line="249" w:lineRule="auto"/>
        <w:rPr>
          <w:rFonts w:hint="eastAsia"/>
          <w:color w:val="231F20"/>
        </w:rPr>
      </w:pPr>
      <w:r>
        <w:rPr>
          <w:rFonts w:hint="eastAsia"/>
          <w:color w:val="231F20"/>
        </w:rPr>
        <w:t>所有死人——无论是圣徒还是罪人——都将根据他们个人的案卷受审，也就是说，（如比利时信条所教导的）根据他们自己被圣灵光照的记忆和良心的内容受审（罗2:6）。</w:t>
      </w:r>
    </w:p>
    <w:p w14:paraId="2F692DDA">
      <w:pPr>
        <w:pStyle w:val="9"/>
        <w:spacing w:after="0" w:line="249" w:lineRule="auto"/>
        <w:rPr>
          <w:rFonts w:hint="eastAsia"/>
          <w:color w:val="231F20"/>
        </w:rPr>
      </w:pPr>
    </w:p>
    <w:p w14:paraId="1BEB9E4B">
      <w:pPr>
        <w:pStyle w:val="9"/>
        <w:spacing w:after="0" w:line="249" w:lineRule="auto"/>
        <w:rPr>
          <w:rFonts w:hint="eastAsia"/>
          <w:color w:val="231F20"/>
        </w:rPr>
      </w:pPr>
      <w:r>
        <w:rPr>
          <w:rFonts w:hint="eastAsia"/>
          <w:color w:val="231F20"/>
        </w:rPr>
        <w:t>In the case of the saints, their evil deeds will have been forgiven by Christ—blotted out of their book—while their good deeds will receive a reward (1 Cor. 3:12-25).</w:t>
      </w:r>
    </w:p>
    <w:p w14:paraId="62E6B247">
      <w:pPr>
        <w:pStyle w:val="9"/>
        <w:spacing w:after="0" w:line="249" w:lineRule="auto"/>
        <w:rPr>
          <w:rFonts w:hint="eastAsia"/>
          <w:color w:val="231F20"/>
        </w:rPr>
      </w:pPr>
      <w:r>
        <w:rPr>
          <w:rFonts w:hint="eastAsia"/>
          <w:color w:val="231F20"/>
        </w:rPr>
        <w:t>在圣徒的情况下，他们的恶行已被基督赦免——从他们的案卷中被涂抹——而他们的善行将得到赏赐（林前3:12-25）。</w:t>
      </w:r>
    </w:p>
    <w:p w14:paraId="4F0BCA57">
      <w:pPr>
        <w:pStyle w:val="9"/>
        <w:spacing w:after="0" w:line="249" w:lineRule="auto"/>
        <w:rPr>
          <w:rFonts w:hint="eastAsia"/>
          <w:color w:val="231F20"/>
        </w:rPr>
      </w:pPr>
    </w:p>
    <w:p w14:paraId="3665258B">
      <w:pPr>
        <w:pStyle w:val="9"/>
        <w:spacing w:after="0" w:line="249" w:lineRule="auto"/>
        <w:rPr>
          <w:rFonts w:hint="eastAsia"/>
          <w:color w:val="231F20"/>
        </w:rPr>
      </w:pPr>
      <w:r>
        <w:rPr>
          <w:rFonts w:hint="eastAsia"/>
          <w:color w:val="231F20"/>
        </w:rPr>
        <w:t>In the case of sinners, their evil deeds remain to condemn them to one degree or another of eternal punishment (Luke 12:47).</w:t>
      </w:r>
    </w:p>
    <w:p w14:paraId="3B23E614">
      <w:pPr>
        <w:pStyle w:val="9"/>
        <w:spacing w:after="0" w:line="249" w:lineRule="auto"/>
        <w:rPr>
          <w:rFonts w:hint="eastAsia"/>
          <w:color w:val="231F20"/>
        </w:rPr>
      </w:pPr>
      <w:r>
        <w:rPr>
          <w:rFonts w:hint="eastAsia"/>
          <w:color w:val="231F20"/>
        </w:rPr>
        <w:t>在罪人的情况下，他们的恶行仍然存在，要定他们的罪，使他们受到某种程度的永恒惩罚（路加福音12:47）。</w:t>
      </w:r>
    </w:p>
    <w:p w14:paraId="696E41D0">
      <w:pPr>
        <w:pStyle w:val="9"/>
        <w:spacing w:after="0" w:line="249" w:lineRule="auto"/>
        <w:rPr>
          <w:rFonts w:hint="eastAsia"/>
          <w:color w:val="231F20"/>
        </w:rPr>
      </w:pPr>
    </w:p>
    <w:p w14:paraId="4A584890">
      <w:pPr>
        <w:pStyle w:val="9"/>
        <w:spacing w:after="0" w:line="249" w:lineRule="auto"/>
        <w:rPr>
          <w:rFonts w:hint="eastAsia"/>
          <w:color w:val="231F20"/>
        </w:rPr>
      </w:pPr>
      <w:r>
        <w:rPr>
          <w:rFonts w:hint="eastAsia"/>
          <w:color w:val="231F20"/>
        </w:rPr>
        <w:t>Verse 13 backtracks just a little, and reiterates the thought of verse 12: All will be raised, all will be judged by their works.</w:t>
      </w:r>
    </w:p>
    <w:p w14:paraId="523CB573">
      <w:pPr>
        <w:pStyle w:val="9"/>
        <w:spacing w:after="0" w:line="249" w:lineRule="auto"/>
        <w:rPr>
          <w:rFonts w:hint="eastAsia"/>
          <w:color w:val="231F20"/>
        </w:rPr>
      </w:pPr>
      <w:r>
        <w:rPr>
          <w:rFonts w:hint="eastAsia"/>
          <w:color w:val="231F20"/>
        </w:rPr>
        <w:t>第13节稍作回顾，并重申了第12节的思想：所有人都将复活，所有人都将按他们的行为受审判。</w:t>
      </w:r>
    </w:p>
    <w:p w14:paraId="51B0A88C">
      <w:pPr>
        <w:pStyle w:val="9"/>
        <w:spacing w:after="0" w:line="249" w:lineRule="auto"/>
        <w:rPr>
          <w:rFonts w:hint="eastAsia"/>
          <w:color w:val="231F20"/>
        </w:rPr>
      </w:pPr>
    </w:p>
    <w:p w14:paraId="4FBC1469">
      <w:pPr>
        <w:pStyle w:val="9"/>
        <w:spacing w:after="0" w:line="249" w:lineRule="auto"/>
        <w:rPr>
          <w:rFonts w:hint="eastAsia"/>
          <w:color w:val="231F20"/>
        </w:rPr>
      </w:pPr>
      <w:r>
        <w:rPr>
          <w:rFonts w:hint="eastAsia"/>
          <w:color w:val="231F20"/>
        </w:rPr>
        <w:t>Here too the NT doctrine of a general resurrection and judgment is apparent: The sea— which certainly contains both saints and sinners—gives up its dead.</w:t>
      </w:r>
    </w:p>
    <w:p w14:paraId="78806201">
      <w:pPr>
        <w:pStyle w:val="9"/>
        <w:spacing w:after="0" w:line="249" w:lineRule="auto"/>
        <w:rPr>
          <w:rFonts w:hint="eastAsia"/>
          <w:color w:val="231F20"/>
        </w:rPr>
      </w:pPr>
      <w:r>
        <w:rPr>
          <w:rFonts w:hint="eastAsia"/>
          <w:color w:val="231F20"/>
        </w:rPr>
        <w:t>在这里，新约关于普世复活和审判的教义也很明显：海——其中当然包含了圣徒和罪人——交出其中的死人。</w:t>
      </w:r>
    </w:p>
    <w:p w14:paraId="7FEC1D03">
      <w:pPr>
        <w:pStyle w:val="9"/>
        <w:spacing w:after="0" w:line="249" w:lineRule="auto"/>
        <w:rPr>
          <w:rFonts w:hint="eastAsia"/>
          <w:color w:val="231F20"/>
        </w:rPr>
      </w:pPr>
    </w:p>
    <w:p w14:paraId="1AD68B08">
      <w:pPr>
        <w:pStyle w:val="9"/>
        <w:spacing w:after="0" w:line="249" w:lineRule="auto"/>
        <w:rPr>
          <w:rFonts w:hint="eastAsia"/>
          <w:color w:val="231F20"/>
        </w:rPr>
      </w:pPr>
      <w:r>
        <w:rPr>
          <w:rFonts w:hint="eastAsia"/>
          <w:color w:val="231F20"/>
        </w:rPr>
        <w:t>As for Death and Hades, these two appear together elsewhere in the Revelation.</w:t>
      </w:r>
    </w:p>
    <w:p w14:paraId="5F1C5545">
      <w:pPr>
        <w:pStyle w:val="9"/>
        <w:spacing w:after="0" w:line="249" w:lineRule="auto"/>
        <w:rPr>
          <w:rFonts w:hint="eastAsia"/>
          <w:color w:val="231F20"/>
        </w:rPr>
      </w:pPr>
      <w:r>
        <w:rPr>
          <w:rFonts w:hint="eastAsia"/>
          <w:color w:val="231F20"/>
        </w:rPr>
        <w:t>至于死亡和阴间，这两者在《启示录》的其他地方也一同出现。</w:t>
      </w:r>
    </w:p>
    <w:p w14:paraId="138CF3F7">
      <w:pPr>
        <w:pStyle w:val="9"/>
        <w:spacing w:after="0" w:line="249" w:lineRule="auto"/>
        <w:rPr>
          <w:rFonts w:hint="eastAsia"/>
          <w:color w:val="231F20"/>
        </w:rPr>
      </w:pPr>
    </w:p>
    <w:p w14:paraId="6D21340F">
      <w:pPr>
        <w:pStyle w:val="9"/>
        <w:spacing w:after="0" w:line="249" w:lineRule="auto"/>
        <w:rPr>
          <w:rFonts w:hint="eastAsia"/>
          <w:color w:val="231F20"/>
        </w:rPr>
      </w:pPr>
      <w:r>
        <w:rPr>
          <w:rFonts w:hint="eastAsia"/>
          <w:color w:val="231F20"/>
        </w:rPr>
        <w:t>The risen Christ holds the key to Death and Hades, and delivers the saints from both (1:18); the ashen horse called Death—sent forth from heaven to judge the wicked oppressors of the Church—is closely followed by Hades (6:8).</w:t>
      </w:r>
    </w:p>
    <w:p w14:paraId="6F1573EC">
      <w:pPr>
        <w:pStyle w:val="9"/>
        <w:spacing w:after="0" w:line="249" w:lineRule="auto"/>
        <w:rPr>
          <w:rFonts w:hint="eastAsia"/>
          <w:color w:val="231F20"/>
        </w:rPr>
      </w:pPr>
      <w:r>
        <w:rPr>
          <w:rFonts w:hint="eastAsia"/>
          <w:color w:val="231F20"/>
        </w:rPr>
        <w:t>复活的基督拿着死亡和阴间的钥匙，并将圣徒从这两者中拯救出来（1:18）；那匹名为死的灰色马——从天差遣来审判教会的邪恶压迫者——紧随着阴间（6:8）。</w:t>
      </w:r>
    </w:p>
    <w:p w14:paraId="18CA8752">
      <w:pPr>
        <w:pStyle w:val="9"/>
        <w:spacing w:after="0" w:line="249" w:lineRule="auto"/>
        <w:rPr>
          <w:rFonts w:hint="eastAsia"/>
          <w:color w:val="231F20"/>
        </w:rPr>
      </w:pPr>
    </w:p>
    <w:p w14:paraId="340FA7FA">
      <w:pPr>
        <w:pStyle w:val="9"/>
        <w:spacing w:after="0" w:line="249" w:lineRule="auto"/>
        <w:rPr>
          <w:rFonts w:hint="eastAsia"/>
          <w:color w:val="231F20"/>
        </w:rPr>
      </w:pPr>
      <w:r>
        <w:rPr>
          <w:rFonts w:hint="eastAsia"/>
          <w:color w:val="231F20"/>
        </w:rPr>
        <w:t>These precedents illumine the meaning of our text: Hades, which holds the wicked in a condition of spiritual death throughout the Intermediate State, will also give up its dead in the general resurrection.</w:t>
      </w:r>
    </w:p>
    <w:p w14:paraId="4E1EB400">
      <w:pPr>
        <w:pStyle w:val="9"/>
        <w:spacing w:after="0" w:line="249" w:lineRule="auto"/>
        <w:rPr>
          <w:rFonts w:hint="eastAsia"/>
          <w:color w:val="231F20"/>
        </w:rPr>
      </w:pPr>
      <w:r>
        <w:rPr>
          <w:rFonts w:hint="eastAsia"/>
          <w:color w:val="231F20"/>
        </w:rPr>
        <w:t>这些先例阐明了我们经文的意义：阴间，在整个中间状态中将恶人拘留在属灵死亡的状态，也将在普世复活中交出其中的死人。</w:t>
      </w:r>
    </w:p>
    <w:p w14:paraId="5F0C5A6B">
      <w:pPr>
        <w:pStyle w:val="9"/>
        <w:spacing w:after="0" w:line="249" w:lineRule="auto"/>
        <w:rPr>
          <w:rFonts w:hint="eastAsia"/>
          <w:color w:val="231F20"/>
        </w:rPr>
      </w:pPr>
    </w:p>
    <w:p w14:paraId="2E928723">
      <w:pPr>
        <w:pStyle w:val="9"/>
        <w:spacing w:after="0" w:line="249" w:lineRule="auto"/>
        <w:rPr>
          <w:rFonts w:hint="eastAsia"/>
          <w:color w:val="231F20"/>
        </w:rPr>
      </w:pPr>
      <w:r>
        <w:rPr>
          <w:rFonts w:hint="eastAsia"/>
          <w:color w:val="231F20"/>
        </w:rPr>
        <w:t>Thus shall all—both saints and sinners—appear before the throne of Christ, there to be judged according to their deeds.</w:t>
      </w:r>
    </w:p>
    <w:p w14:paraId="5823FF26">
      <w:pPr>
        <w:pStyle w:val="9"/>
        <w:spacing w:after="0" w:line="249" w:lineRule="auto"/>
        <w:rPr>
          <w:rFonts w:hint="eastAsia"/>
          <w:color w:val="231F20"/>
        </w:rPr>
      </w:pPr>
      <w:r>
        <w:rPr>
          <w:rFonts w:hint="eastAsia"/>
          <w:color w:val="231F20"/>
        </w:rPr>
        <w:t>因此，所有的人——无论是圣徒还是罪人——都将显现在基督的宝座前，在那里按他们所行的受审判。</w:t>
      </w:r>
    </w:p>
    <w:p w14:paraId="6B3E9A88">
      <w:pPr>
        <w:pStyle w:val="9"/>
        <w:spacing w:after="0" w:line="249" w:lineRule="auto"/>
        <w:rPr>
          <w:rFonts w:hint="eastAsia"/>
          <w:color w:val="231F20"/>
        </w:rPr>
      </w:pPr>
    </w:p>
    <w:p w14:paraId="7386005D">
      <w:pPr>
        <w:pStyle w:val="9"/>
        <w:spacing w:after="0" w:line="249" w:lineRule="auto"/>
        <w:rPr>
          <w:rFonts w:hint="eastAsia"/>
          <w:color w:val="231F20"/>
        </w:rPr>
      </w:pPr>
      <w:r>
        <w:rPr>
          <w:rFonts w:hint="eastAsia"/>
          <w:color w:val="231F20"/>
        </w:rPr>
        <w:t>In verse 14, John tells us that Death and Hades were thrown into the Lake of Fire.</w:t>
      </w:r>
    </w:p>
    <w:p w14:paraId="592714A2">
      <w:pPr>
        <w:pStyle w:val="9"/>
        <w:spacing w:after="0" w:line="249" w:lineRule="auto"/>
        <w:rPr>
          <w:rFonts w:hint="eastAsia"/>
          <w:color w:val="231F20"/>
        </w:rPr>
      </w:pPr>
      <w:r>
        <w:rPr>
          <w:rFonts w:hint="eastAsia"/>
          <w:color w:val="231F20"/>
        </w:rPr>
        <w:t>在第14节，约翰告诉我们死亡和阴间也被扔在火湖里。</w:t>
      </w:r>
    </w:p>
    <w:p w14:paraId="09AACCE7">
      <w:pPr>
        <w:pStyle w:val="9"/>
        <w:spacing w:after="0" w:line="249" w:lineRule="auto"/>
        <w:rPr>
          <w:rFonts w:hint="eastAsia"/>
          <w:color w:val="231F20"/>
        </w:rPr>
      </w:pPr>
    </w:p>
    <w:p w14:paraId="06DCCE57">
      <w:pPr>
        <w:pStyle w:val="9"/>
        <w:spacing w:after="0" w:line="249" w:lineRule="auto"/>
        <w:rPr>
          <w:rFonts w:hint="eastAsia"/>
          <w:color w:val="231F20"/>
        </w:rPr>
      </w:pPr>
      <w:r>
        <w:rPr>
          <w:rFonts w:hint="eastAsia"/>
          <w:color w:val="231F20"/>
        </w:rPr>
        <w:t>Note carefully that he does not say “the dead” were thrown into the Lake of Fire, for some of the dead—the saints—are now alive forevermore, and will soon inherit the World to Come (1:5, 11:18, 14:13, 20:12).</w:t>
      </w:r>
    </w:p>
    <w:p w14:paraId="32E64B47">
      <w:pPr>
        <w:pStyle w:val="9"/>
        <w:spacing w:after="0" w:line="249" w:lineRule="auto"/>
        <w:rPr>
          <w:rFonts w:hint="eastAsia"/>
          <w:color w:val="231F20"/>
        </w:rPr>
      </w:pPr>
      <w:r>
        <w:rPr>
          <w:rFonts w:hint="eastAsia"/>
          <w:color w:val="231F20"/>
        </w:rPr>
        <w:t>请仔细注意，祂没有说“死人”被扔在火湖里，因为有些死人——圣徒——如今活到永永远远，并将很快继承将来的世界（1:5, 11:18, 14:13, 20:12）。</w:t>
      </w:r>
    </w:p>
    <w:p w14:paraId="78C0FB8B">
      <w:pPr>
        <w:pStyle w:val="9"/>
        <w:spacing w:after="0" w:line="249" w:lineRule="auto"/>
        <w:rPr>
          <w:rFonts w:hint="eastAsia"/>
          <w:color w:val="231F20"/>
        </w:rPr>
      </w:pPr>
    </w:p>
    <w:p w14:paraId="6695885D">
      <w:pPr>
        <w:pStyle w:val="9"/>
        <w:spacing w:after="0" w:line="249" w:lineRule="auto"/>
        <w:rPr>
          <w:rFonts w:hint="eastAsia"/>
          <w:color w:val="231F20"/>
        </w:rPr>
      </w:pPr>
      <w:r>
        <w:rPr>
          <w:rFonts w:hint="eastAsia"/>
          <w:color w:val="231F20"/>
        </w:rPr>
        <w:t>What, then, does he mean?</w:t>
      </w:r>
    </w:p>
    <w:p w14:paraId="535C6C72">
      <w:pPr>
        <w:pStyle w:val="9"/>
        <w:spacing w:after="0" w:line="249" w:lineRule="auto"/>
        <w:rPr>
          <w:rFonts w:hint="eastAsia"/>
          <w:color w:val="231F20"/>
        </w:rPr>
      </w:pPr>
      <w:r>
        <w:rPr>
          <w:rFonts w:hint="eastAsia"/>
          <w:color w:val="231F20"/>
        </w:rPr>
        <w:t>那么，祂是什么意思呢？</w:t>
      </w:r>
    </w:p>
    <w:p w14:paraId="32BBEF98">
      <w:pPr>
        <w:pStyle w:val="9"/>
        <w:spacing w:after="0" w:line="249" w:lineRule="auto"/>
        <w:rPr>
          <w:rFonts w:hint="eastAsia"/>
          <w:color w:val="231F20"/>
        </w:rPr>
      </w:pPr>
    </w:p>
    <w:p w14:paraId="5DC82089">
      <w:pPr>
        <w:pStyle w:val="9"/>
        <w:spacing w:after="0" w:line="249" w:lineRule="auto"/>
        <w:rPr>
          <w:rFonts w:hint="eastAsia"/>
          <w:color w:val="231F20"/>
        </w:rPr>
      </w:pPr>
      <w:r>
        <w:rPr>
          <w:rFonts w:hint="eastAsia"/>
          <w:color w:val="231F20"/>
        </w:rPr>
        <w:t>As we have just seen, Death is the condition of the wicked in the Intermediate State, and Hades is the place of the wicked in the Intermediate State.</w:t>
      </w:r>
    </w:p>
    <w:p w14:paraId="4AB0FDDD">
      <w:pPr>
        <w:pStyle w:val="9"/>
        <w:spacing w:after="0" w:line="249" w:lineRule="auto"/>
        <w:rPr>
          <w:rFonts w:hint="eastAsia"/>
          <w:color w:val="231F20"/>
        </w:rPr>
      </w:pPr>
      <w:r>
        <w:rPr>
          <w:rFonts w:hint="eastAsia"/>
          <w:color w:val="231F20"/>
        </w:rPr>
        <w:t>正如我们刚才所见，死亡是恶人在中间状态中的状况，而阴间是恶人在中间状态中的地方。</w:t>
      </w:r>
    </w:p>
    <w:p w14:paraId="28F660F8">
      <w:pPr>
        <w:pStyle w:val="9"/>
        <w:spacing w:after="0" w:line="249" w:lineRule="auto"/>
        <w:rPr>
          <w:rFonts w:hint="eastAsia"/>
          <w:color w:val="231F20"/>
        </w:rPr>
      </w:pPr>
    </w:p>
    <w:p w14:paraId="766145A4">
      <w:pPr>
        <w:pStyle w:val="9"/>
        <w:spacing w:after="0" w:line="249" w:lineRule="auto"/>
        <w:rPr>
          <w:rFonts w:hint="eastAsia"/>
          <w:color w:val="231F20"/>
        </w:rPr>
      </w:pPr>
      <w:r>
        <w:rPr>
          <w:rFonts w:hint="eastAsia"/>
          <w:color w:val="231F20"/>
        </w:rPr>
        <w:t>Thus, John is telling us that with the advent of the Lake of Fire, the Intermediate State of the wicked is brought to a close.</w:t>
      </w:r>
    </w:p>
    <w:p w14:paraId="075E94EC">
      <w:pPr>
        <w:pStyle w:val="9"/>
        <w:spacing w:after="0" w:line="249" w:lineRule="auto"/>
        <w:rPr>
          <w:rFonts w:hint="eastAsia"/>
          <w:color w:val="231F20"/>
        </w:rPr>
      </w:pPr>
      <w:r>
        <w:rPr>
          <w:rFonts w:hint="eastAsia"/>
          <w:color w:val="231F20"/>
        </w:rPr>
        <w:t>因此，约翰告诉我们，随着火湖的出现，恶人的中间状态就结束了。</w:t>
      </w:r>
    </w:p>
    <w:p w14:paraId="58E6AD79">
      <w:pPr>
        <w:pStyle w:val="9"/>
        <w:spacing w:after="0" w:line="249" w:lineRule="auto"/>
        <w:rPr>
          <w:rFonts w:hint="eastAsia"/>
          <w:color w:val="231F20"/>
        </w:rPr>
      </w:pPr>
    </w:p>
    <w:p w14:paraId="66C664A3">
      <w:pPr>
        <w:pStyle w:val="9"/>
        <w:spacing w:after="0" w:line="249" w:lineRule="auto"/>
        <w:rPr>
          <w:rFonts w:hint="eastAsia"/>
          <w:color w:val="231F20"/>
        </w:rPr>
      </w:pPr>
      <w:r>
        <w:rPr>
          <w:rFonts w:hint="eastAsia"/>
          <w:color w:val="231F20"/>
        </w:rPr>
        <w:t>The “first death” of the souls of the wicked in Hades is swallowed up and abolished by the second death of the resurrected wicked in the Lake of Fire.</w:t>
      </w:r>
    </w:p>
    <w:p w14:paraId="0F88E103">
      <w:pPr>
        <w:pStyle w:val="9"/>
        <w:spacing w:after="0" w:line="249" w:lineRule="auto"/>
        <w:rPr>
          <w:rFonts w:hint="eastAsia"/>
          <w:color w:val="231F20"/>
        </w:rPr>
      </w:pPr>
      <w:r>
        <w:rPr>
          <w:rFonts w:hint="eastAsia"/>
          <w:color w:val="231F20"/>
        </w:rPr>
        <w:t>恶人灵魂在阴间“第一次的死”，被复活的恶人在火湖中第二次的死所吞没和废除。</w:t>
      </w:r>
    </w:p>
    <w:p w14:paraId="1BEF657E">
      <w:pPr>
        <w:pStyle w:val="9"/>
        <w:spacing w:after="0" w:line="249" w:lineRule="auto"/>
        <w:rPr>
          <w:rFonts w:hint="eastAsia"/>
          <w:color w:val="231F20"/>
        </w:rPr>
      </w:pPr>
    </w:p>
    <w:p w14:paraId="042165F7">
      <w:pPr>
        <w:pStyle w:val="9"/>
        <w:spacing w:after="0" w:line="249" w:lineRule="auto"/>
        <w:rPr>
          <w:rFonts w:hint="eastAsia"/>
          <w:color w:val="231F20"/>
        </w:rPr>
      </w:pPr>
      <w:r>
        <w:rPr>
          <w:rFonts w:hint="eastAsia"/>
          <w:color w:val="231F20"/>
        </w:rPr>
        <w:t>Verse 15 discloses the true basis of salvation.</w:t>
      </w:r>
    </w:p>
    <w:p w14:paraId="3035A910">
      <w:pPr>
        <w:pStyle w:val="9"/>
        <w:spacing w:after="0" w:line="249" w:lineRule="auto"/>
        <w:rPr>
          <w:rFonts w:hint="eastAsia"/>
          <w:color w:val="231F20"/>
        </w:rPr>
      </w:pPr>
      <w:r>
        <w:rPr>
          <w:rFonts w:hint="eastAsia"/>
          <w:color w:val="231F20"/>
        </w:rPr>
        <w:t>第15节揭示了救恩的真正基础。</w:t>
      </w:r>
    </w:p>
    <w:p w14:paraId="2EB9BBA6">
      <w:pPr>
        <w:pStyle w:val="9"/>
        <w:spacing w:after="0" w:line="249" w:lineRule="auto"/>
        <w:rPr>
          <w:rFonts w:hint="eastAsia"/>
          <w:color w:val="231F20"/>
        </w:rPr>
      </w:pPr>
    </w:p>
    <w:p w14:paraId="7974EBCF">
      <w:pPr>
        <w:pStyle w:val="9"/>
        <w:spacing w:after="0" w:line="249" w:lineRule="auto"/>
        <w:rPr>
          <w:rFonts w:hint="eastAsia"/>
          <w:color w:val="231F20"/>
        </w:rPr>
      </w:pPr>
      <w:r>
        <w:rPr>
          <w:rFonts w:hint="eastAsia"/>
          <w:color w:val="231F20"/>
        </w:rPr>
        <w:t>John writes, “If anyone’s name was not found written in the Book of Life, he was thrown into the Lake of Fire.”</w:t>
      </w:r>
    </w:p>
    <w:p w14:paraId="1975511B">
      <w:pPr>
        <w:pStyle w:val="9"/>
        <w:spacing w:after="0" w:line="249" w:lineRule="auto"/>
        <w:rPr>
          <w:rFonts w:hint="eastAsia"/>
          <w:color w:val="231F20"/>
        </w:rPr>
      </w:pPr>
      <w:r>
        <w:rPr>
          <w:rFonts w:hint="eastAsia"/>
          <w:color w:val="231F20"/>
        </w:rPr>
        <w:t>约翰写道：“若有人名字没记在生命册上，他就被扔在火湖里。”</w:t>
      </w:r>
    </w:p>
    <w:p w14:paraId="6178A6FA">
      <w:pPr>
        <w:pStyle w:val="9"/>
        <w:spacing w:after="0" w:line="249" w:lineRule="auto"/>
        <w:rPr>
          <w:rFonts w:hint="eastAsia"/>
          <w:color w:val="231F20"/>
        </w:rPr>
      </w:pPr>
    </w:p>
    <w:p w14:paraId="005F74C2">
      <w:pPr>
        <w:pStyle w:val="9"/>
        <w:spacing w:after="0" w:line="249" w:lineRule="auto"/>
        <w:rPr>
          <w:rFonts w:hint="eastAsia"/>
          <w:color w:val="231F20"/>
        </w:rPr>
      </w:pPr>
      <w:r>
        <w:rPr>
          <w:rFonts w:hint="eastAsia"/>
          <w:color w:val="231F20"/>
        </w:rPr>
        <w:t>The rest of the NT fills in the meaning.</w:t>
      </w:r>
    </w:p>
    <w:p w14:paraId="026AD859">
      <w:pPr>
        <w:pStyle w:val="9"/>
        <w:spacing w:after="0" w:line="249" w:lineRule="auto"/>
        <w:rPr>
          <w:rFonts w:hint="eastAsia"/>
          <w:color w:val="231F20"/>
        </w:rPr>
      </w:pPr>
      <w:r>
        <w:rPr>
          <w:rFonts w:hint="eastAsia"/>
          <w:color w:val="231F20"/>
        </w:rPr>
        <w:t>新约的其余部分补充了其意义。</w:t>
      </w:r>
    </w:p>
    <w:p w14:paraId="551FE78A">
      <w:pPr>
        <w:pStyle w:val="9"/>
        <w:spacing w:after="0" w:line="249" w:lineRule="auto"/>
        <w:rPr>
          <w:rFonts w:hint="eastAsia"/>
          <w:color w:val="231F20"/>
        </w:rPr>
      </w:pPr>
    </w:p>
    <w:p w14:paraId="10B7F529">
      <w:pPr>
        <w:pStyle w:val="9"/>
        <w:spacing w:after="0" w:line="249" w:lineRule="auto"/>
        <w:rPr>
          <w:rFonts w:hint="eastAsia"/>
          <w:color w:val="231F20"/>
        </w:rPr>
      </w:pPr>
      <w:r>
        <w:rPr>
          <w:rFonts w:hint="eastAsia"/>
          <w:color w:val="231F20"/>
        </w:rPr>
        <w:t>If judgment were based on “the books” alone—upon the deeds done in the body—all would perish, for all have sinned and fallen short of the glory of God (Rev. 5:3-4; Rom. 3:23, Gal. 2:16).</w:t>
      </w:r>
    </w:p>
    <w:p w14:paraId="038952D0">
      <w:pPr>
        <w:pStyle w:val="9"/>
        <w:spacing w:after="0" w:line="249" w:lineRule="auto"/>
        <w:rPr>
          <w:rFonts w:hint="eastAsia"/>
          <w:color w:val="231F20"/>
        </w:rPr>
      </w:pPr>
      <w:r>
        <w:rPr>
          <w:rFonts w:hint="eastAsia"/>
          <w:color w:val="231F20"/>
        </w:rPr>
        <w:t>如果审判仅仅基于“案卷”——即在身体中所行的事——那么所有人都将灭亡，因为所有人都犯了罪，亏缺了上帝的荣耀（启5:3-4；罗3:23，加2:16）。</w:t>
      </w:r>
    </w:p>
    <w:p w14:paraId="38482068">
      <w:pPr>
        <w:pStyle w:val="9"/>
        <w:spacing w:after="0" w:line="249" w:lineRule="auto"/>
        <w:rPr>
          <w:rFonts w:hint="eastAsia"/>
          <w:color w:val="231F20"/>
        </w:rPr>
      </w:pPr>
    </w:p>
    <w:p w14:paraId="06CDAF8C">
      <w:pPr>
        <w:pStyle w:val="9"/>
        <w:spacing w:after="0" w:line="249" w:lineRule="auto"/>
        <w:rPr>
          <w:rFonts w:hint="eastAsia"/>
          <w:color w:val="231F20"/>
        </w:rPr>
      </w:pPr>
      <w:r>
        <w:rPr>
          <w:rFonts w:hint="eastAsia"/>
          <w:color w:val="231F20"/>
        </w:rPr>
        <w:t>However, to the saints’ everlasting joy, the Father graciously and mercifully provided a way of salvation: the Lamb of God, whose righteous life and atoning death purchased men from every tribe, tongue, people, and nation (5:9; John 3:16).</w:t>
      </w:r>
    </w:p>
    <w:p w14:paraId="768AEB76">
      <w:pPr>
        <w:pStyle w:val="9"/>
        <w:spacing w:after="0" w:line="249" w:lineRule="auto"/>
        <w:rPr>
          <w:rFonts w:hint="eastAsia"/>
          <w:color w:val="231F20"/>
        </w:rPr>
      </w:pPr>
      <w:r>
        <w:rPr>
          <w:rFonts w:hint="eastAsia"/>
          <w:color w:val="231F20"/>
        </w:rPr>
        <w:t>然而，令圣徒永远喜乐的是，父出于恩典和怜悯，提供了一条救赎之路：上帝的羔羊，祂公义的生和赎罪的死，买赎了来自各族、各方、各民、各国的人（5:9；约翰福音3:16）。</w:t>
      </w:r>
    </w:p>
    <w:p w14:paraId="004D0580">
      <w:pPr>
        <w:pStyle w:val="9"/>
        <w:spacing w:after="0" w:line="249" w:lineRule="auto"/>
        <w:rPr>
          <w:rFonts w:hint="eastAsia"/>
          <w:color w:val="231F20"/>
        </w:rPr>
      </w:pPr>
    </w:p>
    <w:p w14:paraId="349DDBD8">
      <w:pPr>
        <w:pStyle w:val="9"/>
        <w:spacing w:after="0" w:line="249" w:lineRule="auto"/>
        <w:rPr>
          <w:rFonts w:hint="eastAsia"/>
          <w:color w:val="231F20"/>
        </w:rPr>
      </w:pPr>
      <w:r>
        <w:rPr>
          <w:rFonts w:hint="eastAsia"/>
          <w:color w:val="231F20"/>
        </w:rPr>
        <w:t>Throughout the Era of Proclamation, the Church announced this way of salvation (11:3, 14:6).</w:t>
      </w:r>
    </w:p>
    <w:p w14:paraId="15856789">
      <w:pPr>
        <w:pStyle w:val="9"/>
        <w:spacing w:after="0" w:line="249" w:lineRule="auto"/>
        <w:rPr>
          <w:rFonts w:hint="eastAsia"/>
          <w:color w:val="231F20"/>
        </w:rPr>
      </w:pPr>
      <w:r>
        <w:rPr>
          <w:rFonts w:hint="eastAsia"/>
          <w:color w:val="231F20"/>
        </w:rPr>
        <w:t>在整个宣讲时代，教会都宣告了这条救赎之路（11:3, 14:6）。</w:t>
      </w:r>
    </w:p>
    <w:p w14:paraId="7E362628">
      <w:pPr>
        <w:pStyle w:val="9"/>
        <w:spacing w:after="0" w:line="249" w:lineRule="auto"/>
        <w:rPr>
          <w:rFonts w:hint="eastAsia"/>
          <w:color w:val="231F20"/>
        </w:rPr>
      </w:pPr>
    </w:p>
    <w:p w14:paraId="175F849D">
      <w:pPr>
        <w:pStyle w:val="9"/>
        <w:spacing w:after="0" w:line="249" w:lineRule="auto"/>
        <w:rPr>
          <w:rFonts w:hint="eastAsia"/>
          <w:color w:val="231F20"/>
        </w:rPr>
      </w:pPr>
      <w:r>
        <w:rPr>
          <w:rFonts w:hint="eastAsia"/>
          <w:color w:val="231F20"/>
        </w:rPr>
        <w:t>If anyone believed, his name was written in the Lamb’s book of life (John 3:36, 6:47).</w:t>
      </w:r>
    </w:p>
    <w:p w14:paraId="1BF07A31">
      <w:pPr>
        <w:pStyle w:val="9"/>
        <w:spacing w:after="0" w:line="249" w:lineRule="auto"/>
        <w:rPr>
          <w:rFonts w:hint="eastAsia"/>
          <w:color w:val="231F20"/>
        </w:rPr>
      </w:pPr>
      <w:r>
        <w:rPr>
          <w:rFonts w:hint="eastAsia"/>
          <w:color w:val="231F20"/>
        </w:rPr>
        <w:t>若有人信，他的名字就被记在羔羊的生命册上（约翰福音3:36，6:47）。</w:t>
      </w:r>
    </w:p>
    <w:p w14:paraId="2F74B795">
      <w:pPr>
        <w:pStyle w:val="9"/>
        <w:spacing w:after="0" w:line="249" w:lineRule="auto"/>
        <w:rPr>
          <w:rFonts w:hint="eastAsia"/>
          <w:color w:val="231F20"/>
        </w:rPr>
      </w:pPr>
    </w:p>
    <w:p w14:paraId="77A2C81E">
      <w:pPr>
        <w:pStyle w:val="9"/>
        <w:spacing w:after="0" w:line="249" w:lineRule="auto"/>
        <w:rPr>
          <w:rFonts w:hint="eastAsia"/>
          <w:color w:val="231F20"/>
        </w:rPr>
      </w:pPr>
      <w:r>
        <w:rPr>
          <w:rFonts w:hint="eastAsia"/>
          <w:color w:val="231F20"/>
        </w:rPr>
        <w:t>Or rather, if he believed, he soon came to see that God had written his name in the Lamb’s book of Life before the foundation of the world; that he had ordained them to eternal life (13:8, 17:8).</w:t>
      </w:r>
    </w:p>
    <w:p w14:paraId="78E5DD08">
      <w:pPr>
        <w:pStyle w:val="9"/>
        <w:spacing w:after="0" w:line="249" w:lineRule="auto"/>
        <w:rPr>
          <w:rFonts w:hint="eastAsia"/>
          <w:color w:val="231F20"/>
        </w:rPr>
      </w:pPr>
      <w:r>
        <w:rPr>
          <w:rFonts w:hint="eastAsia"/>
          <w:color w:val="231F20"/>
        </w:rPr>
        <w:t>或者更确切地说，如果他信了，他很快就会看到，上帝在创世以前就已将他的名字写在羔羊的生命册上；祂已预定他们得永生（13:8, 17:8）。</w:t>
      </w:r>
    </w:p>
    <w:p w14:paraId="56A48135">
      <w:pPr>
        <w:pStyle w:val="9"/>
        <w:spacing w:after="0" w:line="249" w:lineRule="auto"/>
        <w:rPr>
          <w:rFonts w:hint="eastAsia"/>
          <w:color w:val="231F20"/>
        </w:rPr>
      </w:pPr>
    </w:p>
    <w:p w14:paraId="52CB7DC1">
      <w:pPr>
        <w:pStyle w:val="9"/>
        <w:spacing w:after="0" w:line="249" w:lineRule="auto"/>
        <w:rPr>
          <w:rFonts w:hint="eastAsia"/>
          <w:color w:val="231F20"/>
        </w:rPr>
      </w:pPr>
      <w:r>
        <w:rPr>
          <w:rFonts w:hint="eastAsia"/>
          <w:color w:val="231F20"/>
        </w:rPr>
        <w:t>However, he also saw that in order to inherit that life, he must “overcome” (2:17, 11, 17, 26, etc.); he must persevere in the faith (3:5; John 15:6, Rom. 11:22)—as indeed he will, through the preserving purpose and power of Father, Son, and Holy Spirit (John 6:37-40, 17:15, Jude 1:1).</w:t>
      </w:r>
    </w:p>
    <w:p w14:paraId="2C0EAA83">
      <w:pPr>
        <w:pStyle w:val="9"/>
        <w:spacing w:after="0" w:line="249" w:lineRule="auto"/>
        <w:rPr>
          <w:rFonts w:hint="eastAsia"/>
          <w:color w:val="231F20"/>
        </w:rPr>
      </w:pPr>
      <w:r>
        <w:rPr>
          <w:rFonts w:hint="eastAsia"/>
          <w:color w:val="231F20"/>
        </w:rPr>
        <w:t>然而，他也看到，为了继承那生命，他必须“得胜”（2:17, 11, 17, 26等）；他必须在信心中坚忍（3:5；约翰福音15:6，罗马书11:22）——正如他确实会做的，借着父、子、圣灵保守的旨意和能力（约翰福音6:37-40，17:15，犹大书1:1）。</w:t>
      </w:r>
    </w:p>
    <w:p w14:paraId="2A91F15B">
      <w:pPr>
        <w:pStyle w:val="9"/>
        <w:spacing w:after="0" w:line="249" w:lineRule="auto"/>
        <w:rPr>
          <w:rFonts w:hint="eastAsia"/>
          <w:color w:val="231F20"/>
        </w:rPr>
      </w:pPr>
    </w:p>
    <w:p w14:paraId="7DD0187D">
      <w:pPr>
        <w:pStyle w:val="9"/>
        <w:spacing w:after="0" w:line="249" w:lineRule="auto"/>
        <w:rPr>
          <w:rFonts w:hint="eastAsia"/>
          <w:color w:val="231F20"/>
        </w:rPr>
      </w:pPr>
      <w:r>
        <w:rPr>
          <w:rFonts w:hint="eastAsia"/>
          <w:color w:val="231F20"/>
        </w:rPr>
        <w:t>Here, then, in Revelation 20:15, we have all such believers—and all the rest of mankind—appearing in their resurrection bodies before Christ, who makes, as it were, a final inquiry into each man’s standing before God (3:10).</w:t>
      </w:r>
    </w:p>
    <w:p w14:paraId="6494D2E5">
      <w:pPr>
        <w:pStyle w:val="9"/>
        <w:spacing w:after="0" w:line="249" w:lineRule="auto"/>
        <w:rPr>
          <w:rFonts w:hint="eastAsia"/>
          <w:color w:val="231F20"/>
        </w:rPr>
      </w:pPr>
      <w:r>
        <w:rPr>
          <w:rFonts w:hint="eastAsia"/>
          <w:color w:val="231F20"/>
        </w:rPr>
        <w:t>因此，在《启示录》20:15这里，我们有所有这样的信徒——以及所有其余的人类——以他们复活的身体显现在基督面前，基督仿佛对每个人在上帝面前的地位作最后的查问（3:10）。</w:t>
      </w:r>
    </w:p>
    <w:p w14:paraId="42545186">
      <w:pPr>
        <w:pStyle w:val="9"/>
        <w:spacing w:after="0" w:line="249" w:lineRule="auto"/>
        <w:rPr>
          <w:rFonts w:hint="eastAsia"/>
          <w:color w:val="231F20"/>
        </w:rPr>
      </w:pPr>
    </w:p>
    <w:p w14:paraId="6FCAE39A">
      <w:pPr>
        <w:pStyle w:val="9"/>
        <w:spacing w:after="0" w:line="249" w:lineRule="auto"/>
        <w:rPr>
          <w:rFonts w:hint="eastAsia"/>
          <w:color w:val="231F20"/>
        </w:rPr>
      </w:pPr>
      <w:r>
        <w:rPr>
          <w:rFonts w:hint="eastAsia"/>
          <w:color w:val="231F20"/>
        </w:rPr>
        <w:t>If that man believed, if he overcame, if he died in the faith and thus attained the first resurrection—or if he was found alive and faithful at the Lord’s return—then his name will appear in the Lamb’s book of life, and he will enter the World to Come (3:5l; 21:1f).</w:t>
      </w:r>
    </w:p>
    <w:p w14:paraId="4F9848E4">
      <w:pPr>
        <w:pStyle w:val="9"/>
        <w:spacing w:after="0" w:line="249" w:lineRule="auto"/>
        <w:rPr>
          <w:rFonts w:hint="eastAsia"/>
          <w:color w:val="231F20"/>
        </w:rPr>
      </w:pPr>
      <w:r>
        <w:rPr>
          <w:rFonts w:hint="eastAsia"/>
          <w:color w:val="231F20"/>
        </w:rPr>
        <w:t>如果那人信了，如果他得胜了，如果他在信心中死了，从而得着了第一次的复活——或者如果他在主再来时被发现是活着的和忠心的——那么他的名字就会出现在羔羊的生命册上，他就会进入将来的世界（3:5l；21:1及以下）。</w:t>
      </w:r>
    </w:p>
    <w:p w14:paraId="0405D976">
      <w:pPr>
        <w:pStyle w:val="9"/>
        <w:spacing w:after="0" w:line="249" w:lineRule="auto"/>
        <w:rPr>
          <w:rFonts w:hint="eastAsia"/>
          <w:color w:val="231F20"/>
        </w:rPr>
      </w:pPr>
    </w:p>
    <w:p w14:paraId="2094A641">
      <w:pPr>
        <w:pStyle w:val="9"/>
        <w:spacing w:after="0" w:line="249" w:lineRule="auto"/>
        <w:rPr>
          <w:rFonts w:hint="eastAsia"/>
          <w:color w:val="231F20"/>
        </w:rPr>
      </w:pPr>
      <w:r>
        <w:rPr>
          <w:rFonts w:hint="eastAsia"/>
          <w:color w:val="231F20"/>
        </w:rPr>
        <w:t>If not, he will be thrown into the Lake of Fire.</w:t>
      </w:r>
    </w:p>
    <w:p w14:paraId="309EE157">
      <w:pPr>
        <w:pStyle w:val="9"/>
        <w:spacing w:after="0" w:line="249" w:lineRule="auto"/>
        <w:rPr>
          <w:rFonts w:hint="eastAsia"/>
          <w:color w:val="231F20"/>
        </w:rPr>
      </w:pPr>
      <w:r>
        <w:rPr>
          <w:rFonts w:hint="eastAsia"/>
          <w:color w:val="231F20"/>
        </w:rPr>
        <w:t>若不然，他必被扔在火湖里。</w:t>
      </w:r>
    </w:p>
    <w:p w14:paraId="171A55D9">
      <w:pPr>
        <w:pStyle w:val="9"/>
        <w:spacing w:after="0" w:line="249" w:lineRule="auto"/>
        <w:rPr>
          <w:rFonts w:hint="eastAsia"/>
          <w:color w:val="231F20"/>
        </w:rPr>
      </w:pPr>
    </w:p>
    <w:p w14:paraId="1DF571A4">
      <w:pPr>
        <w:pStyle w:val="9"/>
        <w:spacing w:after="0" w:line="249" w:lineRule="auto"/>
        <w:rPr>
          <w:rFonts w:hint="eastAsia"/>
          <w:color w:val="231F20"/>
        </w:rPr>
      </w:pPr>
      <w:r>
        <w:rPr>
          <w:rFonts w:hint="eastAsia"/>
          <w:color w:val="231F20"/>
        </w:rPr>
        <w:t>It is certainly not easy to preach the Gospel from this unspeakably weighty text.</w:t>
      </w:r>
    </w:p>
    <w:p w14:paraId="2EE3393B">
      <w:pPr>
        <w:pStyle w:val="9"/>
        <w:spacing w:after="0" w:line="249" w:lineRule="auto"/>
        <w:rPr>
          <w:rFonts w:hint="eastAsia"/>
          <w:color w:val="231F20"/>
        </w:rPr>
      </w:pPr>
      <w:r>
        <w:rPr>
          <w:rFonts w:hint="eastAsia"/>
          <w:color w:val="231F20"/>
        </w:rPr>
        <w:t>从这节极其沉重的经文宣讲福音，无疑是不容易的。</w:t>
      </w:r>
    </w:p>
    <w:p w14:paraId="20A4F698">
      <w:pPr>
        <w:pStyle w:val="9"/>
        <w:spacing w:after="0" w:line="249" w:lineRule="auto"/>
        <w:rPr>
          <w:rFonts w:hint="eastAsia"/>
          <w:color w:val="231F20"/>
        </w:rPr>
      </w:pPr>
    </w:p>
    <w:p w14:paraId="2FAC6EB6">
      <w:pPr>
        <w:pStyle w:val="9"/>
        <w:spacing w:after="0" w:line="249" w:lineRule="auto"/>
        <w:rPr>
          <w:rFonts w:hint="eastAsia"/>
          <w:color w:val="231F20"/>
        </w:rPr>
      </w:pPr>
      <w:r>
        <w:rPr>
          <w:rFonts w:hint="eastAsia"/>
          <w:color w:val="231F20"/>
        </w:rPr>
        <w:t>However, amidst the growing lawlessness of these last days, it may be more necessary than ever.</w:t>
      </w:r>
    </w:p>
    <w:p w14:paraId="3E3F7A95">
      <w:pPr>
        <w:pStyle w:val="9"/>
        <w:spacing w:after="0" w:line="249" w:lineRule="auto"/>
        <w:rPr>
          <w:rFonts w:hint="eastAsia"/>
          <w:color w:val="231F20"/>
        </w:rPr>
      </w:pPr>
      <w:r>
        <w:rPr>
          <w:rFonts w:hint="eastAsia"/>
          <w:color w:val="231F20"/>
        </w:rPr>
        <w:t>然而，在这些末后日子里日益增长的不法之中，这可能比以往任何时候都更加必要。</w:t>
      </w:r>
    </w:p>
    <w:p w14:paraId="130C94B3">
      <w:pPr>
        <w:pStyle w:val="9"/>
        <w:spacing w:after="0" w:line="249" w:lineRule="auto"/>
        <w:rPr>
          <w:rFonts w:hint="eastAsia"/>
          <w:color w:val="231F20"/>
        </w:rPr>
      </w:pPr>
    </w:p>
    <w:p w14:paraId="7A8EBC03">
      <w:pPr>
        <w:pStyle w:val="9"/>
        <w:spacing w:after="0" w:line="249" w:lineRule="auto"/>
        <w:rPr>
          <w:rFonts w:hint="eastAsia"/>
          <w:color w:val="231F20"/>
        </w:rPr>
      </w:pPr>
      <w:r>
        <w:rPr>
          <w:rFonts w:hint="eastAsia"/>
          <w:color w:val="231F20"/>
        </w:rPr>
        <w:t>Disagreements over Revelation 20:11-15 center around two main questions.</w:t>
      </w:r>
    </w:p>
    <w:p w14:paraId="71ED7D6D">
      <w:pPr>
        <w:pStyle w:val="9"/>
        <w:spacing w:after="0" w:line="249" w:lineRule="auto"/>
        <w:rPr>
          <w:rFonts w:hint="eastAsia"/>
          <w:color w:val="231F20"/>
        </w:rPr>
      </w:pPr>
      <w:r>
        <w:rPr>
          <w:rFonts w:hint="eastAsia"/>
          <w:color w:val="231F20"/>
        </w:rPr>
        <w:t>关于《启示录》20:11-15的分歧集中在两个主要问题上。</w:t>
      </w:r>
    </w:p>
    <w:p w14:paraId="15328E31">
      <w:pPr>
        <w:pStyle w:val="9"/>
        <w:spacing w:after="0" w:line="249" w:lineRule="auto"/>
        <w:rPr>
          <w:rFonts w:hint="eastAsia"/>
          <w:color w:val="231F20"/>
        </w:rPr>
      </w:pPr>
    </w:p>
    <w:p w14:paraId="3FB0FE71">
      <w:pPr>
        <w:pStyle w:val="9"/>
        <w:spacing w:after="0" w:line="249" w:lineRule="auto"/>
        <w:rPr>
          <w:rFonts w:hint="eastAsia"/>
          <w:color w:val="231F20"/>
        </w:rPr>
      </w:pPr>
      <w:r>
        <w:rPr>
          <w:rFonts w:hint="eastAsia"/>
          <w:color w:val="231F20"/>
        </w:rPr>
        <w:t>As we bring our survey of Revelation 20 to a close, let us briefly consider both.</w:t>
      </w:r>
    </w:p>
    <w:p w14:paraId="3A722F92">
      <w:pPr>
        <w:pStyle w:val="9"/>
        <w:spacing w:after="0" w:line="249" w:lineRule="auto"/>
        <w:rPr>
          <w:rFonts w:hint="eastAsia"/>
          <w:color w:val="231F20"/>
        </w:rPr>
      </w:pPr>
      <w:r>
        <w:rPr>
          <w:rFonts w:hint="eastAsia"/>
          <w:color w:val="231F20"/>
        </w:rPr>
        <w:t>当我们结束对《启示录》第20章的考察时，让我们简要地考虑一下这两个问题。</w:t>
      </w:r>
    </w:p>
    <w:p w14:paraId="53F28A77">
      <w:pPr>
        <w:pStyle w:val="9"/>
        <w:spacing w:after="0" w:line="249" w:lineRule="auto"/>
        <w:rPr>
          <w:rFonts w:hint="eastAsia"/>
          <w:color w:val="231F20"/>
        </w:rPr>
      </w:pPr>
    </w:p>
    <w:p w14:paraId="0F0E8CBB">
      <w:pPr>
        <w:pStyle w:val="9"/>
        <w:spacing w:after="0" w:line="249" w:lineRule="auto"/>
        <w:rPr>
          <w:rFonts w:hint="eastAsia"/>
          <w:color w:val="231F20"/>
        </w:rPr>
      </w:pPr>
      <w:r>
        <w:rPr>
          <w:rFonts w:hint="eastAsia"/>
          <w:color w:val="231F20"/>
        </w:rPr>
        <w:t>1.Are “the dead” of 20:12 the same as “the rest of the dead” in 20:5, the unbelieving wicked only?</w:t>
      </w:r>
    </w:p>
    <w:p w14:paraId="7E27353A">
      <w:pPr>
        <w:pStyle w:val="9"/>
        <w:spacing w:after="0" w:line="249" w:lineRule="auto"/>
        <w:rPr>
          <w:rFonts w:hint="eastAsia"/>
          <w:color w:val="231F20"/>
        </w:rPr>
      </w:pPr>
      <w:r>
        <w:rPr>
          <w:rFonts w:hint="eastAsia"/>
          <w:color w:val="231F20"/>
        </w:rPr>
        <w:t>1.20:12的“死人”是否与20:5中“其余的死人”，即只有不信的恶人相同？</w:t>
      </w:r>
    </w:p>
    <w:p w14:paraId="53FBB3A5">
      <w:pPr>
        <w:pStyle w:val="9"/>
        <w:spacing w:after="0" w:line="249" w:lineRule="auto"/>
        <w:rPr>
          <w:rFonts w:hint="eastAsia"/>
          <w:color w:val="231F20"/>
        </w:rPr>
      </w:pPr>
    </w:p>
    <w:p w14:paraId="399EAAD5">
      <w:pPr>
        <w:pStyle w:val="9"/>
        <w:spacing w:after="0" w:line="249" w:lineRule="auto"/>
        <w:rPr>
          <w:rFonts w:hint="eastAsia"/>
          <w:color w:val="231F20"/>
        </w:rPr>
      </w:pPr>
      <w:r>
        <w:rPr>
          <w:rFonts w:hint="eastAsia"/>
          <w:color w:val="231F20"/>
        </w:rPr>
        <w:t>Or are “the dead” all human beings who have ever lived and died?</w:t>
      </w:r>
    </w:p>
    <w:p w14:paraId="32ECBC22">
      <w:pPr>
        <w:pStyle w:val="9"/>
        <w:spacing w:after="0" w:line="249" w:lineRule="auto"/>
        <w:rPr>
          <w:rFonts w:hint="eastAsia"/>
          <w:color w:val="231F20"/>
        </w:rPr>
      </w:pPr>
      <w:r>
        <w:rPr>
          <w:rFonts w:hint="eastAsia"/>
          <w:color w:val="231F20"/>
        </w:rPr>
        <w:t>或者“死人”是指所有曾活过和死去的人类？</w:t>
      </w:r>
    </w:p>
    <w:p w14:paraId="18D3075F">
      <w:pPr>
        <w:pStyle w:val="9"/>
        <w:spacing w:after="0" w:line="249" w:lineRule="auto"/>
        <w:rPr>
          <w:rFonts w:hint="eastAsia"/>
          <w:color w:val="231F20"/>
        </w:rPr>
      </w:pPr>
    </w:p>
    <w:p w14:paraId="12E69352">
      <w:pPr>
        <w:pStyle w:val="9"/>
        <w:spacing w:after="0" w:line="249" w:lineRule="auto"/>
        <w:rPr>
          <w:rFonts w:hint="eastAsia"/>
          <w:color w:val="231F20"/>
        </w:rPr>
      </w:pPr>
      <w:r>
        <w:rPr>
          <w:rFonts w:hint="eastAsia"/>
          <w:color w:val="231F20"/>
        </w:rPr>
        <w:t>With rare exceptions, premillennarians assert that the theme of 20:11-15 is the resurrection and final judgment of the unbelieving wicked.</w:t>
      </w:r>
    </w:p>
    <w:p w14:paraId="46ADF0CB">
      <w:pPr>
        <w:pStyle w:val="9"/>
        <w:spacing w:after="0" w:line="249" w:lineRule="auto"/>
        <w:rPr>
          <w:rFonts w:hint="eastAsia"/>
          <w:color w:val="231F20"/>
        </w:rPr>
      </w:pPr>
      <w:r>
        <w:rPr>
          <w:rFonts w:hint="eastAsia"/>
          <w:color w:val="231F20"/>
        </w:rPr>
        <w:t>除少数例外，前千禧年论者断言20:11-15的主题是不信的恶人的复活和最后审判。</w:t>
      </w:r>
    </w:p>
    <w:p w14:paraId="4908A854">
      <w:pPr>
        <w:pStyle w:val="9"/>
        <w:spacing w:after="0" w:line="249" w:lineRule="auto"/>
        <w:rPr>
          <w:rFonts w:hint="eastAsia"/>
          <w:color w:val="231F20"/>
        </w:rPr>
      </w:pPr>
    </w:p>
    <w:p w14:paraId="3BD14658">
      <w:pPr>
        <w:pStyle w:val="9"/>
        <w:spacing w:after="0" w:line="249" w:lineRule="auto"/>
        <w:rPr>
          <w:rFonts w:hint="eastAsia"/>
          <w:color w:val="231F20"/>
        </w:rPr>
      </w:pPr>
      <w:r>
        <w:rPr>
          <w:rFonts w:hint="eastAsia"/>
          <w:color w:val="231F20"/>
        </w:rPr>
        <w:t>John MacArthur writes:</w:t>
      </w:r>
    </w:p>
    <w:p w14:paraId="15557247">
      <w:pPr>
        <w:pStyle w:val="9"/>
        <w:spacing w:after="0" w:line="249" w:lineRule="auto"/>
        <w:rPr>
          <w:rFonts w:hint="eastAsia"/>
          <w:color w:val="231F20"/>
        </w:rPr>
      </w:pPr>
      <w:r>
        <w:rPr>
          <w:rFonts w:hint="eastAsia"/>
          <w:color w:val="231F20"/>
        </w:rPr>
        <w:t>约翰·麦克阿瑟写道：</w:t>
      </w:r>
    </w:p>
    <w:p w14:paraId="291DFA6D">
      <w:pPr>
        <w:pStyle w:val="9"/>
        <w:spacing w:after="0" w:line="249" w:lineRule="auto"/>
        <w:rPr>
          <w:rFonts w:hint="eastAsia"/>
          <w:color w:val="231F20"/>
        </w:rPr>
      </w:pPr>
    </w:p>
    <w:p w14:paraId="1A088770">
      <w:pPr>
        <w:pStyle w:val="9"/>
        <w:spacing w:after="0" w:line="249" w:lineRule="auto"/>
        <w:rPr>
          <w:rFonts w:hint="eastAsia"/>
          <w:color w:val="231F20"/>
        </w:rPr>
      </w:pPr>
      <w:r>
        <w:rPr>
          <w:rFonts w:hint="eastAsia"/>
          <w:color w:val="231F20"/>
        </w:rPr>
        <w:t>These verses describe the final judgment of all the unbelievers of all ages … Our Lord referred to this as the “the resurrection to judgment” (John 5:29) … All the unrighteous dead will appear at the Great White Throne.</w:t>
      </w:r>
    </w:p>
    <w:p w14:paraId="524625B8">
      <w:pPr>
        <w:pStyle w:val="9"/>
        <w:spacing w:after="0" w:line="249" w:lineRule="auto"/>
        <w:rPr>
          <w:rFonts w:hint="eastAsia"/>
          <w:color w:val="231F20"/>
        </w:rPr>
      </w:pPr>
      <w:r>
        <w:rPr>
          <w:rFonts w:hint="eastAsia"/>
          <w:color w:val="231F20"/>
        </w:rPr>
        <w:t>这些经文描述了所有时代所有不信者的最后审判……我们的主称之为“审判的复活”（约翰福音5:29）……所有不义的死人都将出现在白色大宝座前。</w:t>
      </w:r>
    </w:p>
    <w:p w14:paraId="1B8645B7">
      <w:pPr>
        <w:pStyle w:val="9"/>
        <w:spacing w:after="0" w:line="249" w:lineRule="auto"/>
        <w:rPr>
          <w:rFonts w:hint="eastAsia"/>
          <w:color w:val="231F20"/>
        </w:rPr>
      </w:pPr>
    </w:p>
    <w:p w14:paraId="2FBB6516">
      <w:pPr>
        <w:pStyle w:val="9"/>
        <w:spacing w:after="0" w:line="249" w:lineRule="auto"/>
        <w:rPr>
          <w:rFonts w:hint="eastAsia"/>
          <w:color w:val="231F20"/>
        </w:rPr>
      </w:pPr>
      <w:r>
        <w:rPr>
          <w:rFonts w:hint="eastAsia"/>
          <w:color w:val="231F20"/>
        </w:rPr>
        <w:t>None will escape.</w:t>
      </w:r>
    </w:p>
    <w:p w14:paraId="1482EF0A">
      <w:pPr>
        <w:pStyle w:val="9"/>
        <w:spacing w:after="0" w:line="249" w:lineRule="auto"/>
        <w:rPr>
          <w:rFonts w:hint="eastAsia"/>
          <w:color w:val="231F20"/>
        </w:rPr>
      </w:pPr>
      <w:r>
        <w:rPr>
          <w:rFonts w:hint="eastAsia"/>
          <w:color w:val="231F20"/>
        </w:rPr>
        <w:t>无人能逃。</w:t>
      </w:r>
    </w:p>
    <w:p w14:paraId="6ED61D1B">
      <w:pPr>
        <w:pStyle w:val="9"/>
        <w:spacing w:after="0" w:line="249" w:lineRule="auto"/>
        <w:rPr>
          <w:rFonts w:hint="eastAsia"/>
          <w:color w:val="231F20"/>
        </w:rPr>
      </w:pPr>
    </w:p>
    <w:p w14:paraId="7340748B">
      <w:pPr>
        <w:pStyle w:val="9"/>
        <w:spacing w:after="0" w:line="249" w:lineRule="auto"/>
        <w:rPr>
          <w:rFonts w:hint="eastAsia"/>
          <w:color w:val="231F20"/>
        </w:rPr>
      </w:pPr>
      <w:r>
        <w:rPr>
          <w:rFonts w:hint="eastAsia"/>
          <w:color w:val="231F20"/>
        </w:rPr>
        <w:t>All the places that have held the bodies of the unbelieving dead will yield up new bodies suited for hell.12</w:t>
      </w:r>
    </w:p>
    <w:p w14:paraId="3699DB48">
      <w:pPr>
        <w:pStyle w:val="9"/>
        <w:spacing w:after="0" w:line="249" w:lineRule="auto"/>
        <w:rPr>
          <w:rFonts w:hint="eastAsia"/>
          <w:color w:val="231F20"/>
        </w:rPr>
      </w:pPr>
      <w:r>
        <w:rPr>
          <w:rFonts w:hint="eastAsia"/>
          <w:color w:val="231F20"/>
        </w:rPr>
        <w:t>所有曾容纳不信者尸体的地方，都将交出适合地狱的新身体。12</w:t>
      </w:r>
    </w:p>
    <w:p w14:paraId="4F105931">
      <w:pPr>
        <w:pStyle w:val="9"/>
        <w:spacing w:after="0" w:line="249" w:lineRule="auto"/>
        <w:rPr>
          <w:rFonts w:hint="eastAsia"/>
          <w:color w:val="231F20"/>
        </w:rPr>
      </w:pPr>
    </w:p>
    <w:p w14:paraId="5AA2198D">
      <w:pPr>
        <w:pStyle w:val="9"/>
        <w:spacing w:after="0" w:line="249" w:lineRule="auto"/>
        <w:rPr>
          <w:rFonts w:hint="eastAsia"/>
          <w:color w:val="231F20"/>
        </w:rPr>
      </w:pPr>
      <w:r>
        <w:rPr>
          <w:rFonts w:hint="eastAsia"/>
          <w:color w:val="231F20"/>
        </w:rPr>
        <w:t>Expressing considerably less dogmatism, George Ladd nevertheless agrees with MacArthur, saying, “This statement (verse 12) clearly implies, if it does not explicitly affirm, the resurrection of ‘the rest of the dead’ (verse 5) who did not experience the first resurrection.”13</w:t>
      </w:r>
    </w:p>
    <w:p w14:paraId="144D5D08">
      <w:pPr>
        <w:pStyle w:val="9"/>
        <w:spacing w:after="0" w:line="249" w:lineRule="auto"/>
        <w:rPr>
          <w:rFonts w:hint="eastAsia"/>
          <w:color w:val="231F20"/>
        </w:rPr>
      </w:pPr>
      <w:r>
        <w:rPr>
          <w:rFonts w:hint="eastAsia"/>
          <w:color w:val="231F20"/>
        </w:rPr>
        <w:t>乔治·赖德虽然表现出少得多的教条主义，但仍然同意麦克阿瑟的观点，他说：“这个陈述（第12节）清楚地暗示，如果不是明确地肯定，‘其余的死人’（第5节）的复活，他们没有经历第一次的复活。”13</w:t>
      </w:r>
    </w:p>
    <w:p w14:paraId="69B3CADE">
      <w:pPr>
        <w:pStyle w:val="9"/>
        <w:spacing w:after="0" w:line="249" w:lineRule="auto"/>
        <w:rPr>
          <w:rFonts w:hint="eastAsia"/>
          <w:color w:val="231F20"/>
        </w:rPr>
      </w:pPr>
    </w:p>
    <w:p w14:paraId="32C325D3">
      <w:pPr>
        <w:pStyle w:val="9"/>
        <w:spacing w:after="0" w:line="249" w:lineRule="auto"/>
        <w:rPr>
          <w:rFonts w:hint="eastAsia"/>
          <w:color w:val="231F20"/>
        </w:rPr>
      </w:pPr>
      <w:r>
        <w:rPr>
          <w:rFonts w:hint="eastAsia"/>
          <w:color w:val="231F20"/>
        </w:rPr>
        <w:t>It is easy to see why this issue is so important to premillennarians: If 20:11-15 is giving us the general resurrection and the general judgment of historic Catholic and Reformation eschatology, then “the first resurrection” of 20:5 must be spiritual only, and the entire premillennial scheme is robbed of its most important biblical foundation.</w:t>
      </w:r>
    </w:p>
    <w:p w14:paraId="3DD6C3C1">
      <w:pPr>
        <w:pStyle w:val="9"/>
        <w:spacing w:after="0" w:line="249" w:lineRule="auto"/>
        <w:rPr>
          <w:rFonts w:hint="eastAsia"/>
          <w:color w:val="231F20"/>
        </w:rPr>
      </w:pPr>
      <w:r>
        <w:rPr>
          <w:rFonts w:hint="eastAsia"/>
          <w:color w:val="231F20"/>
        </w:rPr>
        <w:t>很容易看出为何这个问题对前千禧年论者如此重要：如果20:11-15给我们的是历史上天主教和宗教改革末世论的普世复活和普世审判，那么20:5的“头一次的复活”就必须仅仅是属灵的，整个前千禧年论的体系就失去了其最重要的圣经基础。</w:t>
      </w:r>
    </w:p>
    <w:p w14:paraId="5C660574">
      <w:pPr>
        <w:pStyle w:val="9"/>
        <w:spacing w:after="0" w:line="249" w:lineRule="auto"/>
        <w:rPr>
          <w:rFonts w:hint="eastAsia"/>
          <w:color w:val="231F20"/>
        </w:rPr>
      </w:pPr>
    </w:p>
    <w:p w14:paraId="555C6615">
      <w:pPr>
        <w:pStyle w:val="9"/>
        <w:spacing w:after="0" w:line="249" w:lineRule="auto"/>
        <w:rPr>
          <w:rFonts w:hint="eastAsia"/>
          <w:color w:val="231F20"/>
        </w:rPr>
      </w:pPr>
      <w:r>
        <w:rPr>
          <w:rFonts w:hint="eastAsia"/>
          <w:color w:val="231F20"/>
        </w:rPr>
        <w:t>We must, therefore, examine this matter with some care.</w:t>
      </w:r>
    </w:p>
    <w:p w14:paraId="5AE5E451">
      <w:pPr>
        <w:pStyle w:val="9"/>
        <w:spacing w:after="0" w:line="249" w:lineRule="auto"/>
        <w:rPr>
          <w:rFonts w:hint="eastAsia"/>
          <w:color w:val="231F20"/>
        </w:rPr>
      </w:pPr>
      <w:r>
        <w:rPr>
          <w:rFonts w:hint="eastAsia"/>
          <w:color w:val="231F20"/>
        </w:rPr>
        <w:t>因此，我们必须仔细地审视这件事。</w:t>
      </w:r>
    </w:p>
    <w:p w14:paraId="1399A67F">
      <w:pPr>
        <w:pStyle w:val="9"/>
        <w:spacing w:after="0" w:line="249" w:lineRule="auto"/>
        <w:rPr>
          <w:rFonts w:hint="eastAsia"/>
          <w:color w:val="231F20"/>
        </w:rPr>
      </w:pPr>
    </w:p>
    <w:p w14:paraId="45308D3F">
      <w:pPr>
        <w:pStyle w:val="9"/>
        <w:spacing w:after="0" w:line="249" w:lineRule="auto"/>
        <w:rPr>
          <w:rFonts w:hint="eastAsia"/>
          <w:color w:val="231F20"/>
        </w:rPr>
      </w:pPr>
      <w:r>
        <w:rPr>
          <w:rFonts w:hint="eastAsia"/>
          <w:color w:val="231F20"/>
        </w:rPr>
        <w:t>Summing up the arguments of premillennial commentators, Biederwolf offers four reasons for believing that our text refers to the wicked dead only.</w:t>
      </w:r>
    </w:p>
    <w:p w14:paraId="7CEC12F0">
      <w:pPr>
        <w:pStyle w:val="9"/>
        <w:spacing w:after="0" w:line="249" w:lineRule="auto"/>
        <w:rPr>
          <w:rFonts w:hint="eastAsia"/>
          <w:color w:val="231F20"/>
        </w:rPr>
      </w:pPr>
      <w:r>
        <w:rPr>
          <w:rFonts w:hint="eastAsia"/>
          <w:color w:val="231F20"/>
        </w:rPr>
        <w:t>总结前千禧年论评论员的论点，比德沃尔夫提出了四个理由，相信我们的经文只指恶人。</w:t>
      </w:r>
    </w:p>
    <w:p w14:paraId="4EEAFAFF">
      <w:pPr>
        <w:pStyle w:val="9"/>
        <w:spacing w:after="0" w:line="249" w:lineRule="auto"/>
        <w:rPr>
          <w:rFonts w:hint="eastAsia"/>
          <w:color w:val="231F20"/>
        </w:rPr>
      </w:pPr>
    </w:p>
    <w:p w14:paraId="1AABF13C">
      <w:pPr>
        <w:pStyle w:val="9"/>
        <w:spacing w:after="0" w:line="249" w:lineRule="auto"/>
        <w:rPr>
          <w:rFonts w:hint="eastAsia"/>
          <w:color w:val="231F20"/>
        </w:rPr>
      </w:pPr>
      <w:r>
        <w:rPr>
          <w:rFonts w:hint="eastAsia"/>
          <w:color w:val="231F20"/>
        </w:rPr>
        <w:t>I will cite and respond briefly to each one.14</w:t>
      </w:r>
    </w:p>
    <w:p w14:paraId="60A03AA3">
      <w:pPr>
        <w:pStyle w:val="9"/>
        <w:spacing w:after="0" w:line="249" w:lineRule="auto"/>
        <w:rPr>
          <w:rFonts w:hint="eastAsia"/>
          <w:color w:val="231F20"/>
        </w:rPr>
      </w:pPr>
      <w:r>
        <w:rPr>
          <w:rFonts w:hint="eastAsia"/>
          <w:color w:val="231F20"/>
        </w:rPr>
        <w:t>我将简要地引用并回应每一个。14</w:t>
      </w:r>
    </w:p>
    <w:p w14:paraId="651C7485">
      <w:pPr>
        <w:pStyle w:val="9"/>
        <w:spacing w:after="0" w:line="249" w:lineRule="auto"/>
        <w:rPr>
          <w:rFonts w:hint="eastAsia"/>
          <w:color w:val="231F20"/>
        </w:rPr>
      </w:pPr>
    </w:p>
    <w:p w14:paraId="3298F7B3">
      <w:pPr>
        <w:pStyle w:val="9"/>
        <w:spacing w:after="0" w:line="249" w:lineRule="auto"/>
        <w:rPr>
          <w:rFonts w:hint="eastAsia"/>
          <w:color w:val="231F20"/>
        </w:rPr>
      </w:pPr>
      <w:r>
        <w:rPr>
          <w:rFonts w:hint="eastAsia"/>
          <w:color w:val="231F20"/>
        </w:rPr>
        <w:t>First, he asserts that the phrase “the dead” as used by John in the Revelation always refers to the wicked only.</w:t>
      </w:r>
    </w:p>
    <w:p w14:paraId="3E6195AD">
      <w:pPr>
        <w:pStyle w:val="9"/>
        <w:spacing w:after="0" w:line="249" w:lineRule="auto"/>
        <w:rPr>
          <w:rFonts w:hint="eastAsia"/>
          <w:color w:val="231F20"/>
        </w:rPr>
      </w:pPr>
      <w:r>
        <w:rPr>
          <w:rFonts w:hint="eastAsia"/>
          <w:color w:val="231F20"/>
        </w:rPr>
        <w:t>首先，他断言约翰在《启示录》中使用的“死人”一词总是只指恶人。</w:t>
      </w:r>
    </w:p>
    <w:p w14:paraId="1B2984AA">
      <w:pPr>
        <w:pStyle w:val="9"/>
        <w:spacing w:after="0" w:line="249" w:lineRule="auto"/>
        <w:rPr>
          <w:rFonts w:hint="eastAsia"/>
          <w:color w:val="231F20"/>
        </w:rPr>
      </w:pPr>
    </w:p>
    <w:p w14:paraId="061A60A8">
      <w:pPr>
        <w:pStyle w:val="9"/>
        <w:spacing w:after="0" w:line="249" w:lineRule="auto"/>
        <w:rPr>
          <w:rFonts w:hint="eastAsia"/>
          <w:color w:val="231F20"/>
        </w:rPr>
      </w:pPr>
      <w:r>
        <w:rPr>
          <w:rFonts w:hint="eastAsia"/>
          <w:color w:val="231F20"/>
        </w:rPr>
        <w:t>In proof of this, he cites 11:18 and 20:5.</w:t>
      </w:r>
    </w:p>
    <w:p w14:paraId="7DE76299">
      <w:pPr>
        <w:pStyle w:val="9"/>
        <w:spacing w:after="0" w:line="249" w:lineRule="auto"/>
        <w:rPr>
          <w:rFonts w:hint="eastAsia"/>
          <w:color w:val="231F20"/>
        </w:rPr>
      </w:pPr>
      <w:r>
        <w:rPr>
          <w:rFonts w:hint="eastAsia"/>
          <w:color w:val="231F20"/>
        </w:rPr>
        <w:t>为证明这一点，他引用了11:18和20:5。</w:t>
      </w:r>
    </w:p>
    <w:p w14:paraId="1D473B58">
      <w:pPr>
        <w:pStyle w:val="9"/>
        <w:spacing w:after="0" w:line="249" w:lineRule="auto"/>
        <w:rPr>
          <w:rFonts w:hint="eastAsia"/>
          <w:color w:val="231F20"/>
        </w:rPr>
      </w:pPr>
    </w:p>
    <w:p w14:paraId="0BDD2905">
      <w:pPr>
        <w:pStyle w:val="9"/>
        <w:spacing w:after="0" w:line="249" w:lineRule="auto"/>
        <w:rPr>
          <w:rFonts w:hint="eastAsia"/>
          <w:color w:val="231F20"/>
        </w:rPr>
      </w:pPr>
      <w:r>
        <w:rPr>
          <w:rFonts w:hint="eastAsia"/>
          <w:color w:val="231F20"/>
        </w:rPr>
        <w:t>However, the truth is that John explicitly uses this expression not only to refer to the saints who die in the Lord (14:13), but also to Christ himself (1:5)!</w:t>
      </w:r>
    </w:p>
    <w:p w14:paraId="0B9B2B40">
      <w:pPr>
        <w:pStyle w:val="9"/>
        <w:spacing w:after="0" w:line="249" w:lineRule="auto"/>
        <w:rPr>
          <w:rFonts w:hint="eastAsia"/>
          <w:color w:val="231F20"/>
        </w:rPr>
      </w:pPr>
      <w:r>
        <w:rPr>
          <w:rFonts w:hint="eastAsia"/>
          <w:color w:val="231F20"/>
        </w:rPr>
        <w:t>然而，事实是约翰明确地使用这个表达，不仅指在主里死的圣徒（14:13），也指基督祂自己（1:5）！</w:t>
      </w:r>
    </w:p>
    <w:p w14:paraId="0EE54BDE">
      <w:pPr>
        <w:pStyle w:val="9"/>
        <w:spacing w:after="0" w:line="249" w:lineRule="auto"/>
        <w:rPr>
          <w:rFonts w:hint="eastAsia"/>
          <w:color w:val="231F20"/>
        </w:rPr>
      </w:pPr>
    </w:p>
    <w:p w14:paraId="3A75ACFE">
      <w:pPr>
        <w:pStyle w:val="9"/>
        <w:spacing w:after="0" w:line="249" w:lineRule="auto"/>
        <w:rPr>
          <w:rFonts w:hint="eastAsia"/>
          <w:color w:val="231F20"/>
        </w:rPr>
      </w:pPr>
      <w:r>
        <w:rPr>
          <w:rFonts w:hint="eastAsia"/>
          <w:color w:val="231F20"/>
        </w:rPr>
        <w:t>Furthermore, it is not at all evident that 11:18 uses “the dead” to describe unbelievers only.</w:t>
      </w:r>
    </w:p>
    <w:p w14:paraId="37FF43C6">
      <w:pPr>
        <w:pStyle w:val="9"/>
        <w:spacing w:after="0" w:line="249" w:lineRule="auto"/>
        <w:rPr>
          <w:rFonts w:hint="eastAsia"/>
          <w:color w:val="231F20"/>
        </w:rPr>
      </w:pPr>
      <w:r>
        <w:rPr>
          <w:rFonts w:hint="eastAsia"/>
          <w:color w:val="231F20"/>
        </w:rPr>
        <w:t>此外，11:18使用“死人”来只描述不信者，这一点根本不明显。</w:t>
      </w:r>
    </w:p>
    <w:p w14:paraId="0E440EA3">
      <w:pPr>
        <w:pStyle w:val="9"/>
        <w:spacing w:after="0" w:line="249" w:lineRule="auto"/>
        <w:rPr>
          <w:rFonts w:hint="eastAsia"/>
          <w:color w:val="231F20"/>
        </w:rPr>
      </w:pPr>
    </w:p>
    <w:p w14:paraId="04D49E3B">
      <w:pPr>
        <w:pStyle w:val="9"/>
        <w:spacing w:after="0" w:line="249" w:lineRule="auto"/>
        <w:rPr>
          <w:rFonts w:hint="eastAsia"/>
          <w:color w:val="231F20"/>
        </w:rPr>
      </w:pPr>
      <w:r>
        <w:rPr>
          <w:rFonts w:hint="eastAsia"/>
          <w:color w:val="231F20"/>
        </w:rPr>
        <w:t>To the contrary, the exact words of 11:18, along with its close association with 20:11-15, argue forcefully that all the dead—saints and sinners alike—are in view in both passages.</w:t>
      </w:r>
    </w:p>
    <w:p w14:paraId="339082F7">
      <w:pPr>
        <w:pStyle w:val="9"/>
        <w:spacing w:after="0" w:line="249" w:lineRule="auto"/>
        <w:rPr>
          <w:rFonts w:hint="eastAsia"/>
          <w:color w:val="231F20"/>
        </w:rPr>
      </w:pPr>
      <w:r>
        <w:rPr>
          <w:rFonts w:hint="eastAsia"/>
          <w:color w:val="231F20"/>
        </w:rPr>
        <w:t>相反，11:18的确切措辞，及其与20:11-15的密切关联，有力地论证了所有的死人——圣徒和罪人——在这两段经文中都是被关注的对象。</w:t>
      </w:r>
    </w:p>
    <w:p w14:paraId="53E11C42">
      <w:pPr>
        <w:pStyle w:val="9"/>
        <w:spacing w:after="0" w:line="249" w:lineRule="auto"/>
        <w:rPr>
          <w:rFonts w:hint="eastAsia"/>
          <w:color w:val="231F20"/>
        </w:rPr>
      </w:pPr>
    </w:p>
    <w:p w14:paraId="001A4BA6">
      <w:pPr>
        <w:pStyle w:val="9"/>
        <w:spacing w:after="0" w:line="249" w:lineRule="auto"/>
        <w:rPr>
          <w:rFonts w:hint="eastAsia"/>
          <w:color w:val="231F20"/>
        </w:rPr>
      </w:pPr>
      <w:r>
        <w:rPr>
          <w:rFonts w:hint="eastAsia"/>
          <w:color w:val="231F20"/>
        </w:rPr>
        <w:t>As for 20:5, we remember that it reads, “The rest of the dead did not come to life until the thousand years were completed.”</w:t>
      </w:r>
    </w:p>
    <w:p w14:paraId="7F9DE812">
      <w:pPr>
        <w:pStyle w:val="9"/>
        <w:spacing w:after="0" w:line="249" w:lineRule="auto"/>
        <w:rPr>
          <w:rFonts w:hint="eastAsia"/>
          <w:color w:val="231F20"/>
        </w:rPr>
      </w:pPr>
      <w:r>
        <w:rPr>
          <w:rFonts w:hint="eastAsia"/>
          <w:color w:val="231F20"/>
        </w:rPr>
        <w:t>至于20:5，我们记得它读作：“其余的死人还没有复活，直等那一千年完了。”</w:t>
      </w:r>
    </w:p>
    <w:p w14:paraId="4AC88B53">
      <w:pPr>
        <w:pStyle w:val="9"/>
        <w:spacing w:after="0" w:line="249" w:lineRule="auto"/>
        <w:rPr>
          <w:rFonts w:hint="eastAsia"/>
          <w:color w:val="231F20"/>
        </w:rPr>
      </w:pPr>
    </w:p>
    <w:p w14:paraId="188544FB">
      <w:pPr>
        <w:pStyle w:val="9"/>
        <w:spacing w:after="0" w:line="249" w:lineRule="auto"/>
        <w:rPr>
          <w:rFonts w:hint="eastAsia"/>
          <w:color w:val="231F20"/>
        </w:rPr>
      </w:pPr>
      <w:r>
        <w:rPr>
          <w:rFonts w:hint="eastAsia"/>
          <w:color w:val="231F20"/>
        </w:rPr>
        <w:t>Here, amillennarians and premillennarians agree: The reference is indeed to the souls of the unbelieving dead in Hades, souls that will “come to life” in the resurrection on the Last Day.</w:t>
      </w:r>
    </w:p>
    <w:p w14:paraId="65C3F81E">
      <w:pPr>
        <w:pStyle w:val="9"/>
        <w:spacing w:after="0" w:line="249" w:lineRule="auto"/>
        <w:rPr>
          <w:rFonts w:hint="eastAsia"/>
          <w:color w:val="231F20"/>
        </w:rPr>
      </w:pPr>
      <w:r>
        <w:rPr>
          <w:rFonts w:hint="eastAsia"/>
          <w:color w:val="231F20"/>
        </w:rPr>
        <w:t>在这里，无千禧年论者和前千禧年论者都同意：这里确实指的是阴间中不信的死人的灵魂，这些灵魂将在末日复活时“活过来”。</w:t>
      </w:r>
    </w:p>
    <w:p w14:paraId="1F22FBEC">
      <w:pPr>
        <w:pStyle w:val="9"/>
        <w:spacing w:after="0" w:line="249" w:lineRule="auto"/>
        <w:rPr>
          <w:rFonts w:hint="eastAsia"/>
          <w:color w:val="231F20"/>
        </w:rPr>
      </w:pPr>
    </w:p>
    <w:p w14:paraId="417D652C">
      <w:pPr>
        <w:pStyle w:val="9"/>
        <w:spacing w:after="0" w:line="249" w:lineRule="auto"/>
        <w:rPr>
          <w:rFonts w:hint="eastAsia"/>
          <w:color w:val="231F20"/>
        </w:rPr>
      </w:pPr>
      <w:r>
        <w:rPr>
          <w:rFonts w:hint="eastAsia"/>
          <w:color w:val="231F20"/>
        </w:rPr>
        <w:t>Note, however, that this verse demonstrates the exact opposite of what Biederwolf claims, for it clearly presupposes that some of “the dead” are saints (i.e., those who have attained the first resurrection), while the rest of the dead are the unbelieving wicked.</w:t>
      </w:r>
    </w:p>
    <w:p w14:paraId="661160E3">
      <w:pPr>
        <w:pStyle w:val="9"/>
        <w:spacing w:after="0" w:line="249" w:lineRule="auto"/>
        <w:rPr>
          <w:rFonts w:hint="eastAsia"/>
          <w:color w:val="231F20"/>
        </w:rPr>
      </w:pPr>
      <w:r>
        <w:rPr>
          <w:rFonts w:hint="eastAsia"/>
          <w:color w:val="231F20"/>
        </w:rPr>
        <w:t>然而，请注意，这节经文证明的恰恰与比德沃尔夫所声称的相反，因为它清楚地预设了“死人”中的一些是圣徒（即那些已得着头一次复活的人），而其余的死人是不信的恶人。</w:t>
      </w:r>
    </w:p>
    <w:p w14:paraId="3B2B63B4">
      <w:pPr>
        <w:pStyle w:val="9"/>
        <w:spacing w:after="0" w:line="249" w:lineRule="auto"/>
        <w:rPr>
          <w:rFonts w:hint="eastAsia"/>
          <w:color w:val="231F20"/>
        </w:rPr>
      </w:pPr>
    </w:p>
    <w:p w14:paraId="61B93CF7">
      <w:pPr>
        <w:pStyle w:val="9"/>
        <w:spacing w:after="0" w:line="249" w:lineRule="auto"/>
        <w:rPr>
          <w:rFonts w:hint="eastAsia"/>
          <w:color w:val="231F20"/>
        </w:rPr>
      </w:pPr>
      <w:r>
        <w:rPr>
          <w:rFonts w:hint="eastAsia"/>
          <w:color w:val="231F20"/>
        </w:rPr>
        <w:t>We conclude, then, that in the Revelation the phrase “the dead” can indeed refer both to saints and sinners, and that it usually does!</w:t>
      </w:r>
    </w:p>
    <w:p w14:paraId="4909441B">
      <w:pPr>
        <w:pStyle w:val="9"/>
        <w:spacing w:after="0" w:line="249" w:lineRule="auto"/>
        <w:rPr>
          <w:rFonts w:hint="eastAsia"/>
          <w:color w:val="231F20"/>
        </w:rPr>
      </w:pPr>
      <w:r>
        <w:rPr>
          <w:rFonts w:hint="eastAsia"/>
          <w:color w:val="231F20"/>
        </w:rPr>
        <w:t>因此，我们得出结论，在《启示录》中，“死人”这个短语确实可以既指圣徒也指罪人，而且通常都是如此！</w:t>
      </w:r>
    </w:p>
    <w:p w14:paraId="0D88B71A">
      <w:pPr>
        <w:pStyle w:val="9"/>
        <w:spacing w:after="0" w:line="249" w:lineRule="auto"/>
        <w:rPr>
          <w:rFonts w:hint="eastAsia"/>
          <w:color w:val="231F20"/>
        </w:rPr>
      </w:pPr>
    </w:p>
    <w:p w14:paraId="488B4765">
      <w:pPr>
        <w:pStyle w:val="9"/>
        <w:spacing w:after="0" w:line="249" w:lineRule="auto"/>
        <w:rPr>
          <w:rFonts w:hint="eastAsia"/>
          <w:color w:val="231F20"/>
        </w:rPr>
      </w:pPr>
      <w:r>
        <w:rPr>
          <w:rFonts w:hint="eastAsia"/>
          <w:color w:val="231F20"/>
        </w:rPr>
        <w:t>Amillennarians, reasonably enough, contend that 20:11-15 is no exception.</w:t>
      </w:r>
    </w:p>
    <w:p w14:paraId="261B1409">
      <w:pPr>
        <w:pStyle w:val="9"/>
        <w:spacing w:after="0" w:line="249" w:lineRule="auto"/>
        <w:rPr>
          <w:rFonts w:hint="eastAsia"/>
          <w:color w:val="231F20"/>
        </w:rPr>
      </w:pPr>
      <w:r>
        <w:rPr>
          <w:rFonts w:hint="eastAsia"/>
          <w:color w:val="231F20"/>
        </w:rPr>
        <w:t>无千禧年论者相当合理地主张，20:11-15也不例外。</w:t>
      </w:r>
    </w:p>
    <w:p w14:paraId="0D87F681">
      <w:pPr>
        <w:pStyle w:val="9"/>
        <w:spacing w:after="0" w:line="249" w:lineRule="auto"/>
        <w:rPr>
          <w:rFonts w:hint="eastAsia"/>
          <w:color w:val="231F20"/>
        </w:rPr>
      </w:pPr>
    </w:p>
    <w:p w14:paraId="022A5EC0">
      <w:pPr>
        <w:pStyle w:val="9"/>
        <w:spacing w:after="0" w:line="249" w:lineRule="auto"/>
        <w:rPr>
          <w:rFonts w:hint="eastAsia"/>
          <w:color w:val="231F20"/>
        </w:rPr>
      </w:pPr>
      <w:r>
        <w:rPr>
          <w:rFonts w:hint="eastAsia"/>
          <w:color w:val="231F20"/>
        </w:rPr>
        <w:t>Secondly, Biederwolf appeals to John 5:24, which states that the believer in Christ does not come into judgment, but has passed from death to life.</w:t>
      </w:r>
    </w:p>
    <w:p w14:paraId="1D9FD4DF">
      <w:pPr>
        <w:pStyle w:val="9"/>
        <w:spacing w:after="0" w:line="249" w:lineRule="auto"/>
        <w:rPr>
          <w:rFonts w:hint="eastAsia"/>
          <w:color w:val="231F20"/>
        </w:rPr>
      </w:pPr>
      <w:r>
        <w:rPr>
          <w:rFonts w:hint="eastAsia"/>
          <w:color w:val="231F20"/>
        </w:rPr>
        <w:t>其次，比德沃尔夫诉诸约翰福音5:24，那里说信基督的人不至于定罪，是已经出死入生了。</w:t>
      </w:r>
    </w:p>
    <w:p w14:paraId="5B8F02CE">
      <w:pPr>
        <w:pStyle w:val="9"/>
        <w:spacing w:after="0" w:line="249" w:lineRule="auto"/>
        <w:rPr>
          <w:rFonts w:hint="eastAsia"/>
          <w:color w:val="231F20"/>
        </w:rPr>
      </w:pPr>
    </w:p>
    <w:p w14:paraId="17662B23">
      <w:pPr>
        <w:pStyle w:val="9"/>
        <w:spacing w:after="0" w:line="249" w:lineRule="auto"/>
        <w:rPr>
          <w:rFonts w:hint="eastAsia"/>
          <w:color w:val="231F20"/>
        </w:rPr>
      </w:pPr>
      <w:r>
        <w:rPr>
          <w:rFonts w:hint="eastAsia"/>
          <w:color w:val="231F20"/>
        </w:rPr>
        <w:t>His thought is: If believers do not come into judgment, how can they be present in 20:11-15, which is clearly a judgment scene?</w:t>
      </w:r>
    </w:p>
    <w:p w14:paraId="4307C2C0">
      <w:pPr>
        <w:pStyle w:val="9"/>
        <w:spacing w:after="0" w:line="249" w:lineRule="auto"/>
        <w:rPr>
          <w:rFonts w:hint="eastAsia"/>
          <w:color w:val="231F20"/>
        </w:rPr>
      </w:pPr>
      <w:r>
        <w:rPr>
          <w:rFonts w:hint="eastAsia"/>
          <w:color w:val="231F20"/>
        </w:rPr>
        <w:t>他的想法是：如果信徒不至于定罪，他们怎会出现在20:11-15这个显然是审判的场景中呢？</w:t>
      </w:r>
    </w:p>
    <w:p w14:paraId="334701F9">
      <w:pPr>
        <w:pStyle w:val="9"/>
        <w:spacing w:after="0" w:line="249" w:lineRule="auto"/>
        <w:rPr>
          <w:rFonts w:hint="eastAsia"/>
          <w:color w:val="231F20"/>
        </w:rPr>
      </w:pPr>
    </w:p>
    <w:p w14:paraId="6FFDE6EC">
      <w:pPr>
        <w:pStyle w:val="9"/>
        <w:spacing w:after="0" w:line="249" w:lineRule="auto"/>
        <w:rPr>
          <w:rFonts w:hint="eastAsia"/>
          <w:color w:val="231F20"/>
        </w:rPr>
      </w:pPr>
      <w:r>
        <w:rPr>
          <w:rFonts w:hint="eastAsia"/>
          <w:color w:val="231F20"/>
        </w:rPr>
        <w:t>The answer to this question involves a crucial distinction, one that appears throughout the NT: The believer in Christ does not come into judgment for his sins, since he has savingly believed on the One who paid for them all (Rom. 8:1f).</w:t>
      </w:r>
    </w:p>
    <w:p w14:paraId="17153FAE">
      <w:pPr>
        <w:pStyle w:val="9"/>
        <w:spacing w:after="0" w:line="249" w:lineRule="auto"/>
        <w:rPr>
          <w:rFonts w:hint="eastAsia"/>
          <w:color w:val="231F20"/>
        </w:rPr>
      </w:pPr>
      <w:r>
        <w:rPr>
          <w:rFonts w:hint="eastAsia"/>
          <w:color w:val="231F20"/>
        </w:rPr>
        <w:t>这个问题的答案涉及一个关键的区别，这个区别贯穿整个新约：信基督的人不因他的罪而受审判，因为他已得救地信了那位为他所有罪付上代价的主（罗8:1及以下）。</w:t>
      </w:r>
    </w:p>
    <w:p w14:paraId="3BABE716">
      <w:pPr>
        <w:pStyle w:val="9"/>
        <w:spacing w:after="0" w:line="249" w:lineRule="auto"/>
        <w:rPr>
          <w:rFonts w:hint="eastAsia"/>
          <w:color w:val="231F20"/>
        </w:rPr>
      </w:pPr>
    </w:p>
    <w:p w14:paraId="12450E35">
      <w:pPr>
        <w:pStyle w:val="9"/>
        <w:spacing w:after="0" w:line="249" w:lineRule="auto"/>
        <w:rPr>
          <w:rFonts w:hint="eastAsia"/>
          <w:color w:val="231F20"/>
        </w:rPr>
      </w:pPr>
      <w:r>
        <w:rPr>
          <w:rFonts w:hint="eastAsia"/>
          <w:color w:val="231F20"/>
        </w:rPr>
        <w:t>However, he does come into judgment for the quantity and quality of his works, since it will please God to reward him for all he did in life through Christ (Rom. 2:6, 2 Cor. 5:10).</w:t>
      </w:r>
    </w:p>
    <w:p w14:paraId="7620D26D">
      <w:pPr>
        <w:pStyle w:val="9"/>
        <w:spacing w:after="0" w:line="249" w:lineRule="auto"/>
        <w:rPr>
          <w:rFonts w:hint="eastAsia"/>
          <w:color w:val="231F20"/>
        </w:rPr>
      </w:pPr>
      <w:r>
        <w:rPr>
          <w:rFonts w:hint="eastAsia"/>
          <w:color w:val="231F20"/>
        </w:rPr>
        <w:t>然而，他确实要为他工作的数量和质量受审判，因为上帝将乐意为他在生命中借着基督所做的一切赏赐他（罗2:6，林后5:10）。</w:t>
      </w:r>
    </w:p>
    <w:p w14:paraId="59C7B424">
      <w:pPr>
        <w:pStyle w:val="9"/>
        <w:spacing w:after="0" w:line="249" w:lineRule="auto"/>
        <w:rPr>
          <w:rFonts w:hint="eastAsia"/>
          <w:color w:val="231F20"/>
        </w:rPr>
      </w:pPr>
    </w:p>
    <w:p w14:paraId="079C1C47">
      <w:pPr>
        <w:pStyle w:val="9"/>
        <w:spacing w:after="0" w:line="249" w:lineRule="auto"/>
        <w:rPr>
          <w:rFonts w:hint="eastAsia"/>
          <w:color w:val="231F20"/>
        </w:rPr>
      </w:pPr>
      <w:r>
        <w:rPr>
          <w:rFonts w:hint="eastAsia"/>
          <w:color w:val="231F20"/>
        </w:rPr>
        <w:t>As we have seen, Rev. 20:11-15 depicts both of these judgments, for both are involved in the one judgment that Christ will administer at his return.</w:t>
      </w:r>
    </w:p>
    <w:p w14:paraId="62ED24E7">
      <w:pPr>
        <w:pStyle w:val="9"/>
        <w:spacing w:after="0" w:line="249" w:lineRule="auto"/>
        <w:rPr>
          <w:rFonts w:hint="eastAsia"/>
          <w:color w:val="231F20"/>
        </w:rPr>
      </w:pPr>
      <w:r>
        <w:rPr>
          <w:rFonts w:hint="eastAsia"/>
          <w:color w:val="231F20"/>
        </w:rPr>
        <w:t>正如我们所见，《启示录》20:11-15描绘了这两种审判，因为这两种审判都包含在基督再来时将要施行的那一次审判中。</w:t>
      </w:r>
    </w:p>
    <w:p w14:paraId="49CB5E81">
      <w:pPr>
        <w:pStyle w:val="9"/>
        <w:spacing w:after="0" w:line="249" w:lineRule="auto"/>
        <w:rPr>
          <w:rFonts w:hint="eastAsia"/>
          <w:color w:val="231F20"/>
        </w:rPr>
      </w:pPr>
    </w:p>
    <w:p w14:paraId="7E71271E">
      <w:pPr>
        <w:pStyle w:val="9"/>
        <w:spacing w:after="0" w:line="249" w:lineRule="auto"/>
        <w:rPr>
          <w:rFonts w:hint="eastAsia"/>
          <w:color w:val="231F20"/>
        </w:rPr>
      </w:pPr>
      <w:r>
        <w:rPr>
          <w:rFonts w:hint="eastAsia"/>
          <w:color w:val="231F20"/>
        </w:rPr>
        <w:t>Therefore, John 5:24 does not rule out the participation of the saints in the judgment depicted in our text.</w:t>
      </w:r>
    </w:p>
    <w:p w14:paraId="4D202F6B">
      <w:pPr>
        <w:pStyle w:val="9"/>
        <w:spacing w:after="0" w:line="249" w:lineRule="auto"/>
        <w:rPr>
          <w:rFonts w:hint="eastAsia"/>
          <w:color w:val="231F20"/>
        </w:rPr>
      </w:pPr>
      <w:r>
        <w:rPr>
          <w:rFonts w:hint="eastAsia"/>
          <w:color w:val="231F20"/>
        </w:rPr>
        <w:t>因此，约翰福音5:24并不排除圣徒参与我们经文中所描绘的审判。</w:t>
      </w:r>
    </w:p>
    <w:p w14:paraId="36CBFCE1">
      <w:pPr>
        <w:pStyle w:val="9"/>
        <w:spacing w:after="0" w:line="249" w:lineRule="auto"/>
        <w:rPr>
          <w:rFonts w:hint="eastAsia"/>
          <w:color w:val="231F20"/>
        </w:rPr>
      </w:pPr>
    </w:p>
    <w:p w14:paraId="38528056">
      <w:pPr>
        <w:pStyle w:val="9"/>
        <w:spacing w:after="0" w:line="249" w:lineRule="auto"/>
        <w:rPr>
          <w:rFonts w:hint="eastAsia"/>
          <w:color w:val="231F20"/>
        </w:rPr>
      </w:pPr>
      <w:r>
        <w:rPr>
          <w:rFonts w:hint="eastAsia"/>
          <w:color w:val="231F20"/>
        </w:rPr>
        <w:t>Thirdly, Biederwolf observes that, “The judgment takes place according to (i.e., it is based upon) what is written in ‘the books,’ and the books are expressly distinguished from ‘the book of life.’”</w:t>
      </w:r>
    </w:p>
    <w:p w14:paraId="63DB92C6">
      <w:pPr>
        <w:pStyle w:val="9"/>
        <w:spacing w:after="0" w:line="249" w:lineRule="auto"/>
        <w:rPr>
          <w:rFonts w:hint="eastAsia"/>
          <w:color w:val="231F20"/>
        </w:rPr>
      </w:pPr>
      <w:r>
        <w:rPr>
          <w:rFonts w:hint="eastAsia"/>
          <w:color w:val="231F20"/>
        </w:rPr>
        <w:t>第三，比德沃尔夫观察到，“审判是根据（即，基于）‘案卷’中所写的来进行的，并且案卷与‘生命册’有明确的区别。”</w:t>
      </w:r>
    </w:p>
    <w:p w14:paraId="04F64530">
      <w:pPr>
        <w:pStyle w:val="9"/>
        <w:spacing w:after="0" w:line="249" w:lineRule="auto"/>
        <w:rPr>
          <w:rFonts w:hint="eastAsia"/>
          <w:color w:val="231F20"/>
        </w:rPr>
      </w:pPr>
    </w:p>
    <w:p w14:paraId="07B86803">
      <w:pPr>
        <w:pStyle w:val="9"/>
        <w:spacing w:after="0" w:line="249" w:lineRule="auto"/>
        <w:rPr>
          <w:rFonts w:hint="eastAsia"/>
          <w:color w:val="231F20"/>
        </w:rPr>
      </w:pPr>
      <w:r>
        <w:rPr>
          <w:rFonts w:hint="eastAsia"/>
          <w:color w:val="231F20"/>
        </w:rPr>
        <w:t>This is a true statement.</w:t>
      </w:r>
    </w:p>
    <w:p w14:paraId="379B32EA">
      <w:pPr>
        <w:pStyle w:val="9"/>
        <w:spacing w:after="0" w:line="249" w:lineRule="auto"/>
        <w:rPr>
          <w:rFonts w:hint="eastAsia"/>
          <w:color w:val="231F20"/>
        </w:rPr>
      </w:pPr>
      <w:r>
        <w:rPr>
          <w:rFonts w:hint="eastAsia"/>
          <w:color w:val="231F20"/>
        </w:rPr>
        <w:t>这是一个真实的陈述。</w:t>
      </w:r>
    </w:p>
    <w:p w14:paraId="5EA4A1B7">
      <w:pPr>
        <w:pStyle w:val="9"/>
        <w:spacing w:after="0" w:line="249" w:lineRule="auto"/>
        <w:rPr>
          <w:rFonts w:hint="eastAsia"/>
          <w:color w:val="231F20"/>
        </w:rPr>
      </w:pPr>
    </w:p>
    <w:p w14:paraId="750CA587">
      <w:pPr>
        <w:pStyle w:val="9"/>
        <w:spacing w:after="0" w:line="249" w:lineRule="auto"/>
        <w:rPr>
          <w:rFonts w:hint="eastAsia"/>
          <w:color w:val="231F20"/>
        </w:rPr>
      </w:pPr>
      <w:r>
        <w:rPr>
          <w:rFonts w:hint="eastAsia"/>
          <w:color w:val="231F20"/>
        </w:rPr>
        <w:t>However, in making it Biederwolf is operating according to a false assumption, and therefore draws a false conclusion.</w:t>
      </w:r>
    </w:p>
    <w:p w14:paraId="3DB65DC2">
      <w:pPr>
        <w:pStyle w:val="9"/>
        <w:spacing w:after="0" w:line="249" w:lineRule="auto"/>
        <w:rPr>
          <w:rFonts w:hint="eastAsia"/>
          <w:color w:val="231F20"/>
        </w:rPr>
      </w:pPr>
      <w:r>
        <w:rPr>
          <w:rFonts w:hint="eastAsia"/>
          <w:color w:val="231F20"/>
        </w:rPr>
        <w:t>然而，在作出这一陈述时，比德沃尔夫是基于一个错误的假设，因此得出了一个错误的结论。</w:t>
      </w:r>
    </w:p>
    <w:p w14:paraId="53C85205">
      <w:pPr>
        <w:pStyle w:val="9"/>
        <w:spacing w:after="0" w:line="249" w:lineRule="auto"/>
        <w:rPr>
          <w:rFonts w:hint="eastAsia"/>
          <w:color w:val="231F20"/>
        </w:rPr>
      </w:pPr>
    </w:p>
    <w:p w14:paraId="5BEE6537">
      <w:pPr>
        <w:pStyle w:val="9"/>
        <w:spacing w:after="0" w:line="249" w:lineRule="auto"/>
        <w:rPr>
          <w:rFonts w:hint="eastAsia"/>
          <w:color w:val="231F20"/>
        </w:rPr>
      </w:pPr>
      <w:r>
        <w:rPr>
          <w:rFonts w:hint="eastAsia"/>
          <w:color w:val="231F20"/>
        </w:rPr>
        <w:t>He assumes that the judgment based upon “the books” is with a view to determining one’s legal standing before God.</w:t>
      </w:r>
    </w:p>
    <w:p w14:paraId="24E6B7AD">
      <w:pPr>
        <w:pStyle w:val="9"/>
        <w:spacing w:after="0" w:line="249" w:lineRule="auto"/>
        <w:rPr>
          <w:rFonts w:hint="eastAsia"/>
          <w:color w:val="231F20"/>
        </w:rPr>
      </w:pPr>
      <w:r>
        <w:rPr>
          <w:rFonts w:hint="eastAsia"/>
          <w:color w:val="231F20"/>
        </w:rPr>
        <w:t>他假设基于“案卷”的审判是为了确定一个人在上帝面前的法律地位。</w:t>
      </w:r>
    </w:p>
    <w:p w14:paraId="732BE7BE">
      <w:pPr>
        <w:pStyle w:val="9"/>
        <w:spacing w:after="0" w:line="249" w:lineRule="auto"/>
        <w:rPr>
          <w:rFonts w:hint="eastAsia"/>
          <w:color w:val="231F20"/>
        </w:rPr>
      </w:pPr>
    </w:p>
    <w:p w14:paraId="7002FA3C">
      <w:pPr>
        <w:pStyle w:val="9"/>
        <w:spacing w:after="0" w:line="249" w:lineRule="auto"/>
        <w:rPr>
          <w:rFonts w:hint="eastAsia"/>
          <w:color w:val="231F20"/>
        </w:rPr>
      </w:pPr>
      <w:r>
        <w:rPr>
          <w:rFonts w:hint="eastAsia"/>
          <w:color w:val="231F20"/>
        </w:rPr>
        <w:t>Therefore, with Hengstenberg, he regards them as “books of guilt, condemnation, and death.”</w:t>
      </w:r>
    </w:p>
    <w:p w14:paraId="1FD616DC">
      <w:pPr>
        <w:pStyle w:val="9"/>
        <w:spacing w:after="0" w:line="249" w:lineRule="auto"/>
        <w:rPr>
          <w:rFonts w:hint="eastAsia"/>
          <w:color w:val="231F20"/>
        </w:rPr>
      </w:pPr>
      <w:r>
        <w:rPr>
          <w:rFonts w:hint="eastAsia"/>
          <w:color w:val="231F20"/>
        </w:rPr>
        <w:t>因此，他和亨斯滕贝格一样，将它们视为“罪、定罪和死亡的案卷”。</w:t>
      </w:r>
    </w:p>
    <w:p w14:paraId="1ACF9FFC">
      <w:pPr>
        <w:pStyle w:val="9"/>
        <w:spacing w:after="0" w:line="249" w:lineRule="auto"/>
        <w:rPr>
          <w:rFonts w:hint="eastAsia"/>
          <w:color w:val="231F20"/>
        </w:rPr>
      </w:pPr>
    </w:p>
    <w:p w14:paraId="26473804">
      <w:pPr>
        <w:pStyle w:val="9"/>
        <w:spacing w:after="0" w:line="249" w:lineRule="auto"/>
        <w:rPr>
          <w:rFonts w:hint="eastAsia"/>
          <w:color w:val="231F20"/>
        </w:rPr>
      </w:pPr>
      <w:r>
        <w:rPr>
          <w:rFonts w:hint="eastAsia"/>
          <w:color w:val="231F20"/>
        </w:rPr>
        <w:t>And if they are books of condemnation, then the unbelieving wicked must be the ones who are judged out of them.</w:t>
      </w:r>
    </w:p>
    <w:p w14:paraId="1DB20FF0">
      <w:pPr>
        <w:pStyle w:val="9"/>
        <w:spacing w:after="0" w:line="249" w:lineRule="auto"/>
        <w:rPr>
          <w:rFonts w:hint="eastAsia"/>
          <w:color w:val="231F20"/>
        </w:rPr>
      </w:pPr>
      <w:r>
        <w:rPr>
          <w:rFonts w:hint="eastAsia"/>
          <w:color w:val="231F20"/>
        </w:rPr>
        <w:t>如果它们是定罪的案卷，那么不信的恶人就必定是从中受审判的人。</w:t>
      </w:r>
    </w:p>
    <w:p w14:paraId="73F0D175">
      <w:pPr>
        <w:pStyle w:val="9"/>
        <w:spacing w:after="0" w:line="249" w:lineRule="auto"/>
        <w:rPr>
          <w:rFonts w:hint="eastAsia"/>
          <w:color w:val="231F20"/>
        </w:rPr>
      </w:pPr>
    </w:p>
    <w:p w14:paraId="6646653E">
      <w:pPr>
        <w:pStyle w:val="9"/>
        <w:spacing w:after="0" w:line="249" w:lineRule="auto"/>
        <w:rPr>
          <w:rFonts w:hint="eastAsia"/>
          <w:color w:val="231F20"/>
        </w:rPr>
      </w:pPr>
      <w:r>
        <w:rPr>
          <w:rFonts w:hint="eastAsia"/>
          <w:color w:val="231F20"/>
        </w:rPr>
        <w:t>But again, Biederwolf is making a false assumption.</w:t>
      </w:r>
    </w:p>
    <w:p w14:paraId="28DB5C15">
      <w:pPr>
        <w:pStyle w:val="9"/>
        <w:spacing w:after="0" w:line="249" w:lineRule="auto"/>
        <w:rPr>
          <w:rFonts w:hint="eastAsia"/>
          <w:color w:val="231F20"/>
        </w:rPr>
      </w:pPr>
      <w:r>
        <w:rPr>
          <w:rFonts w:hint="eastAsia"/>
          <w:color w:val="231F20"/>
        </w:rPr>
        <w:t>但再次，比德沃尔夫作出了一个错误的假设。</w:t>
      </w:r>
    </w:p>
    <w:p w14:paraId="21207C20">
      <w:pPr>
        <w:pStyle w:val="9"/>
        <w:spacing w:after="0" w:line="249" w:lineRule="auto"/>
        <w:rPr>
          <w:rFonts w:hint="eastAsia"/>
          <w:color w:val="231F20"/>
        </w:rPr>
      </w:pPr>
    </w:p>
    <w:p w14:paraId="749E9D00">
      <w:pPr>
        <w:pStyle w:val="9"/>
        <w:spacing w:after="0" w:line="249" w:lineRule="auto"/>
        <w:rPr>
          <w:rFonts w:hint="eastAsia"/>
          <w:color w:val="231F20"/>
        </w:rPr>
      </w:pPr>
      <w:r>
        <w:rPr>
          <w:rFonts w:hint="eastAsia"/>
          <w:color w:val="231F20"/>
        </w:rPr>
        <w:t>One’s legal standing before God is not based upon “the books.”</w:t>
      </w:r>
    </w:p>
    <w:p w14:paraId="015AB74A">
      <w:pPr>
        <w:pStyle w:val="9"/>
        <w:spacing w:after="0" w:line="249" w:lineRule="auto"/>
        <w:rPr>
          <w:rFonts w:hint="eastAsia"/>
          <w:color w:val="231F20"/>
        </w:rPr>
      </w:pPr>
      <w:r>
        <w:rPr>
          <w:rFonts w:hint="eastAsia"/>
          <w:color w:val="231F20"/>
        </w:rPr>
        <w:t>一个人在上帝面前的法律地位并非基于“案卷”。</w:t>
      </w:r>
    </w:p>
    <w:p w14:paraId="3091DEC7">
      <w:pPr>
        <w:pStyle w:val="9"/>
        <w:spacing w:after="0" w:line="249" w:lineRule="auto"/>
        <w:rPr>
          <w:rFonts w:hint="eastAsia"/>
          <w:color w:val="231F20"/>
        </w:rPr>
      </w:pPr>
    </w:p>
    <w:p w14:paraId="5D29F0DA">
      <w:pPr>
        <w:pStyle w:val="9"/>
        <w:spacing w:after="0" w:line="249" w:lineRule="auto"/>
        <w:rPr>
          <w:rFonts w:hint="eastAsia"/>
          <w:color w:val="231F20"/>
        </w:rPr>
      </w:pPr>
      <w:r>
        <w:rPr>
          <w:rFonts w:hint="eastAsia"/>
          <w:color w:val="231F20"/>
        </w:rPr>
        <w:t>Rather, it is based upon his faith in Christ, or lack thereof.</w:t>
      </w:r>
    </w:p>
    <w:p w14:paraId="1BED3776">
      <w:pPr>
        <w:pStyle w:val="9"/>
        <w:spacing w:after="0" w:line="249" w:lineRule="auto"/>
        <w:rPr>
          <w:rFonts w:hint="eastAsia"/>
          <w:color w:val="231F20"/>
        </w:rPr>
      </w:pPr>
      <w:r>
        <w:rPr>
          <w:rFonts w:hint="eastAsia"/>
          <w:color w:val="231F20"/>
        </w:rPr>
        <w:t>相反，它是基于他对基督的信心，或缺乏信心。</w:t>
      </w:r>
    </w:p>
    <w:p w14:paraId="1F44AD41">
      <w:pPr>
        <w:pStyle w:val="9"/>
        <w:spacing w:after="0" w:line="249" w:lineRule="auto"/>
        <w:rPr>
          <w:rFonts w:hint="eastAsia"/>
          <w:color w:val="231F20"/>
        </w:rPr>
      </w:pPr>
    </w:p>
    <w:p w14:paraId="6E0A7257">
      <w:pPr>
        <w:pStyle w:val="9"/>
        <w:spacing w:after="0" w:line="249" w:lineRule="auto"/>
        <w:rPr>
          <w:rFonts w:hint="eastAsia"/>
          <w:color w:val="231F20"/>
        </w:rPr>
      </w:pPr>
      <w:r>
        <w:rPr>
          <w:rFonts w:hint="eastAsia"/>
          <w:color w:val="231F20"/>
        </w:rPr>
        <w:t>It is based upon the presence or absence of his name in the Book of Life.</w:t>
      </w:r>
    </w:p>
    <w:p w14:paraId="01029C41">
      <w:pPr>
        <w:pStyle w:val="9"/>
        <w:spacing w:after="0" w:line="249" w:lineRule="auto"/>
        <w:rPr>
          <w:rFonts w:hint="eastAsia"/>
          <w:color w:val="231F20"/>
        </w:rPr>
      </w:pPr>
      <w:r>
        <w:rPr>
          <w:rFonts w:hint="eastAsia"/>
          <w:color w:val="231F20"/>
        </w:rPr>
        <w:t>它是基于他的名字是否记在生命册上。</w:t>
      </w:r>
    </w:p>
    <w:p w14:paraId="527DFD99">
      <w:pPr>
        <w:pStyle w:val="9"/>
        <w:spacing w:after="0" w:line="249" w:lineRule="auto"/>
        <w:rPr>
          <w:rFonts w:hint="eastAsia"/>
          <w:color w:val="231F20"/>
        </w:rPr>
      </w:pPr>
    </w:p>
    <w:p w14:paraId="745B0242">
      <w:pPr>
        <w:pStyle w:val="9"/>
        <w:spacing w:after="0" w:line="249" w:lineRule="auto"/>
        <w:rPr>
          <w:rFonts w:hint="eastAsia"/>
          <w:color w:val="231F20"/>
        </w:rPr>
      </w:pPr>
      <w:r>
        <w:rPr>
          <w:rFonts w:hint="eastAsia"/>
          <w:color w:val="231F20"/>
        </w:rPr>
        <w:t>As for the judgment based upon “the books,” it is meant only to determine degrees of reward or punishment based upon deeds done or left undone.</w:t>
      </w:r>
    </w:p>
    <w:p w14:paraId="31F1C532">
      <w:pPr>
        <w:pStyle w:val="9"/>
        <w:spacing w:after="0" w:line="249" w:lineRule="auto"/>
        <w:rPr>
          <w:rFonts w:hint="eastAsia"/>
          <w:color w:val="231F20"/>
        </w:rPr>
      </w:pPr>
      <w:r>
        <w:rPr>
          <w:rFonts w:hint="eastAsia"/>
          <w:color w:val="231F20"/>
        </w:rPr>
        <w:t>至于基于“案卷”的审判，它只是为了根据所行的或未行的事来决定赏赐或惩罚的程度。</w:t>
      </w:r>
    </w:p>
    <w:p w14:paraId="506CA2A0">
      <w:pPr>
        <w:pStyle w:val="9"/>
        <w:spacing w:after="0" w:line="249" w:lineRule="auto"/>
        <w:rPr>
          <w:rFonts w:hint="eastAsia"/>
          <w:color w:val="231F20"/>
        </w:rPr>
      </w:pPr>
    </w:p>
    <w:p w14:paraId="4724EE94">
      <w:pPr>
        <w:pStyle w:val="9"/>
        <w:spacing w:after="0" w:line="249" w:lineRule="auto"/>
        <w:rPr>
          <w:rFonts w:hint="eastAsia"/>
          <w:color w:val="231F20"/>
        </w:rPr>
      </w:pPr>
      <w:r>
        <w:rPr>
          <w:rFonts w:hint="eastAsia"/>
          <w:color w:val="231F20"/>
        </w:rPr>
        <w:t>In the case of the saints, no punishment is involved, for Christ was punished for their every sin upon the cross.</w:t>
      </w:r>
    </w:p>
    <w:p w14:paraId="4E324C8E">
      <w:pPr>
        <w:pStyle w:val="9"/>
        <w:spacing w:after="0" w:line="249" w:lineRule="auto"/>
        <w:rPr>
          <w:rFonts w:hint="eastAsia"/>
          <w:color w:val="231F20"/>
        </w:rPr>
      </w:pPr>
      <w:r>
        <w:rPr>
          <w:rFonts w:hint="eastAsia"/>
          <w:color w:val="231F20"/>
        </w:rPr>
        <w:t>在圣徒的情况下，不涉及惩罚，因为基督在十字架上为他们所有的罪受了惩罚。</w:t>
      </w:r>
    </w:p>
    <w:p w14:paraId="3330B121">
      <w:pPr>
        <w:pStyle w:val="9"/>
        <w:spacing w:after="0" w:line="249" w:lineRule="auto"/>
        <w:rPr>
          <w:rFonts w:hint="eastAsia"/>
          <w:color w:val="231F20"/>
        </w:rPr>
      </w:pPr>
    </w:p>
    <w:p w14:paraId="786D4B77">
      <w:pPr>
        <w:pStyle w:val="9"/>
        <w:spacing w:after="0" w:line="249" w:lineRule="auto"/>
        <w:rPr>
          <w:rFonts w:hint="eastAsia"/>
          <w:color w:val="231F20"/>
        </w:rPr>
      </w:pPr>
      <w:r>
        <w:rPr>
          <w:rFonts w:hint="eastAsia"/>
          <w:color w:val="231F20"/>
        </w:rPr>
        <w:t>For them, this judgment is simply an evaluation of their works, made with a view to determining the measure of their reward.</w:t>
      </w:r>
    </w:p>
    <w:p w14:paraId="79BAA379">
      <w:pPr>
        <w:pStyle w:val="9"/>
        <w:spacing w:after="0" w:line="249" w:lineRule="auto"/>
        <w:rPr>
          <w:rFonts w:hint="eastAsia"/>
          <w:color w:val="231F20"/>
        </w:rPr>
      </w:pPr>
      <w:r>
        <w:rPr>
          <w:rFonts w:hint="eastAsia"/>
          <w:color w:val="231F20"/>
        </w:rPr>
        <w:t>对他们来说，这场审判仅仅是对他们工作的评估，为要确定他们赏赐的程度。</w:t>
      </w:r>
    </w:p>
    <w:p w14:paraId="7AFD2CB1">
      <w:pPr>
        <w:pStyle w:val="9"/>
        <w:spacing w:after="0" w:line="249" w:lineRule="auto"/>
        <w:rPr>
          <w:rFonts w:hint="eastAsia"/>
          <w:color w:val="231F20"/>
        </w:rPr>
      </w:pPr>
    </w:p>
    <w:p w14:paraId="135AE297">
      <w:pPr>
        <w:pStyle w:val="9"/>
        <w:spacing w:after="0" w:line="249" w:lineRule="auto"/>
        <w:rPr>
          <w:rFonts w:hint="eastAsia"/>
          <w:color w:val="231F20"/>
        </w:rPr>
      </w:pPr>
      <w:r>
        <w:rPr>
          <w:rFonts w:hint="eastAsia"/>
          <w:color w:val="231F20"/>
        </w:rPr>
        <w:t>Thus, contrary to Biederwolf, there is no biblical or theological problem with the saints being judged out of “the books.”</w:t>
      </w:r>
    </w:p>
    <w:p w14:paraId="18FABB30">
      <w:pPr>
        <w:pStyle w:val="9"/>
        <w:spacing w:after="0" w:line="249" w:lineRule="auto"/>
        <w:rPr>
          <w:rFonts w:hint="eastAsia"/>
          <w:color w:val="231F20"/>
        </w:rPr>
      </w:pPr>
      <w:r>
        <w:rPr>
          <w:rFonts w:hint="eastAsia"/>
          <w:color w:val="231F20"/>
        </w:rPr>
        <w:t>因此，与比德沃尔夫的观点相反，圣徒从“案卷”中受审判，并无圣经或神学上的问题。</w:t>
      </w:r>
    </w:p>
    <w:p w14:paraId="51EF7C20">
      <w:pPr>
        <w:pStyle w:val="9"/>
        <w:spacing w:after="0" w:line="249" w:lineRule="auto"/>
        <w:rPr>
          <w:rFonts w:hint="eastAsia"/>
          <w:color w:val="231F20"/>
        </w:rPr>
      </w:pPr>
    </w:p>
    <w:p w14:paraId="49874CC2">
      <w:pPr>
        <w:pStyle w:val="9"/>
        <w:spacing w:after="0" w:line="249" w:lineRule="auto"/>
        <w:rPr>
          <w:rFonts w:hint="eastAsia"/>
          <w:color w:val="231F20"/>
        </w:rPr>
      </w:pPr>
      <w:r>
        <w:rPr>
          <w:rFonts w:hint="eastAsia"/>
          <w:color w:val="231F20"/>
        </w:rPr>
        <w:t>With respect to this important question, it remains only to review, one final time, all the positive evidence favorable to the idea that 20:11-15 does indeed give us the general resurrection and judgment of the classic Protestant eschatology.</w:t>
      </w:r>
    </w:p>
    <w:p w14:paraId="71B8C4D0">
      <w:pPr>
        <w:pStyle w:val="9"/>
        <w:spacing w:after="0" w:line="249" w:lineRule="auto"/>
        <w:rPr>
          <w:rFonts w:hint="eastAsia"/>
          <w:color w:val="231F20"/>
        </w:rPr>
      </w:pPr>
      <w:r>
        <w:rPr>
          <w:rFonts w:hint="eastAsia"/>
          <w:color w:val="231F20"/>
        </w:rPr>
        <w:t>关于这个重要的问题，剩下的只是最后一次回顾所有支持20:11-15确实给了我们经典新教末世论的普世复活和审判这一观点的积极证据。</w:t>
      </w:r>
    </w:p>
    <w:p w14:paraId="31B2B534">
      <w:pPr>
        <w:pStyle w:val="9"/>
        <w:spacing w:after="0" w:line="249" w:lineRule="auto"/>
        <w:rPr>
          <w:rFonts w:hint="eastAsia"/>
          <w:color w:val="231F20"/>
        </w:rPr>
      </w:pPr>
    </w:p>
    <w:p w14:paraId="0845AD99">
      <w:pPr>
        <w:pStyle w:val="9"/>
        <w:spacing w:after="0" w:line="249" w:lineRule="auto"/>
        <w:rPr>
          <w:rFonts w:hint="eastAsia"/>
          <w:color w:val="231F20"/>
        </w:rPr>
      </w:pPr>
      <w:r>
        <w:rPr>
          <w:rFonts w:hint="eastAsia"/>
          <w:color w:val="231F20"/>
        </w:rPr>
        <w:t>It includes (1) the numerous NT texts teaching a single general resurrection followed by a single general judgment, cited above, (2) the Revelation’s five preceding depictions of the Consummation, all of which either presuppose or explicitly teach a single general resurrection and judgment at the Parousia, (3) the contents of the text itself, affirming that the saints, as well as the unbelieving wicked, are very much on the scene (e.g., the saints are among “the dead” (vv.12-13), they arise out of the sea (v. 13), they are judged out of “the books” (v. 12), and their names are found in the Book of Life, vv.12, 15)), and, (4) Rev. 11:18, the seed-text out of which 20:11-15 grows, and a verse that explicitly posits the presence of the saints at the Last Judgment, where they will be rewarded for their good works.</w:t>
      </w:r>
    </w:p>
    <w:p w14:paraId="70E45834">
      <w:pPr>
        <w:pStyle w:val="9"/>
        <w:spacing w:after="0" w:line="249" w:lineRule="auto"/>
        <w:rPr>
          <w:rFonts w:hint="eastAsia"/>
          <w:color w:val="231F20"/>
        </w:rPr>
      </w:pPr>
      <w:r>
        <w:rPr>
          <w:rFonts w:hint="eastAsia"/>
          <w:color w:val="231F20"/>
        </w:rPr>
        <w:t>它包括（1）上面引用的许多教导一次普世复活后有一次普世审判的新约经文，（2）《启示录》前面五次对最终成全的描绘，所有这些都预设或明确教导在主临（Parousia）时有一次普世复活和审判，（3）经文本身的内容，肯定圣徒和不信的恶人都非常明显地在场（例如，圣徒在“死人”之中（12-13节），他们从海中出来（13节），他们从“案卷”中受审判（12节），他们的名字记在生命册上（12, 15节）），以及（4）启11:18，20:11-15由此发展而来的种子经文，这一节明确地设定了圣徒在最后审判时的在场，在那里他们将因他们的善行得赏赐。</w:t>
      </w:r>
    </w:p>
    <w:p w14:paraId="22BD7DA8">
      <w:pPr>
        <w:pStyle w:val="9"/>
        <w:spacing w:after="0" w:line="249" w:lineRule="auto"/>
        <w:rPr>
          <w:rFonts w:hint="eastAsia"/>
          <w:color w:val="231F20"/>
        </w:rPr>
      </w:pPr>
    </w:p>
    <w:p w14:paraId="475EEAAB">
      <w:pPr>
        <w:pStyle w:val="9"/>
        <w:spacing w:after="0" w:line="249" w:lineRule="auto"/>
        <w:rPr>
          <w:rFonts w:hint="eastAsia"/>
          <w:color w:val="231F20"/>
        </w:rPr>
      </w:pPr>
      <w:r>
        <w:rPr>
          <w:rFonts w:hint="eastAsia"/>
          <w:color w:val="231F20"/>
        </w:rPr>
        <w:t>We conclude, then, that “the dead” of 20:12 are not the unbelieving wicked of 20:5, but rather all who have ever lived or died, saints and sinners alike.</w:t>
      </w:r>
    </w:p>
    <w:p w14:paraId="0B209389">
      <w:pPr>
        <w:pStyle w:val="9"/>
        <w:spacing w:after="0" w:line="249" w:lineRule="auto"/>
        <w:rPr>
          <w:rFonts w:hint="eastAsia"/>
          <w:color w:val="231F20"/>
        </w:rPr>
      </w:pPr>
      <w:r>
        <w:rPr>
          <w:rFonts w:hint="eastAsia"/>
          <w:color w:val="231F20"/>
        </w:rPr>
        <w:t>因此，我们得出结论，20:12的“死人”并非20:5中不信的恶人，而是所有曾活过或死去的人，包括圣徒和罪人。</w:t>
      </w:r>
    </w:p>
    <w:p w14:paraId="2FB7EE27">
      <w:pPr>
        <w:pStyle w:val="9"/>
        <w:spacing w:after="0" w:line="249" w:lineRule="auto"/>
        <w:rPr>
          <w:rFonts w:hint="eastAsia"/>
          <w:color w:val="231F20"/>
        </w:rPr>
      </w:pPr>
    </w:p>
    <w:p w14:paraId="130A7C7D">
      <w:pPr>
        <w:pStyle w:val="9"/>
        <w:spacing w:after="0" w:line="249" w:lineRule="auto"/>
        <w:rPr>
          <w:rFonts w:hint="eastAsia"/>
          <w:color w:val="231F20"/>
        </w:rPr>
      </w:pPr>
      <w:r>
        <w:rPr>
          <w:rFonts w:hint="eastAsia"/>
          <w:color w:val="231F20"/>
        </w:rPr>
        <w:t>Therefore, sound exposition of Revelation 20:11-15 does not support premillennialism, but actually favors the classical amillennial eschatology of the Reformation.</w:t>
      </w:r>
    </w:p>
    <w:p w14:paraId="76F97625">
      <w:pPr>
        <w:pStyle w:val="9"/>
        <w:spacing w:after="0" w:line="249" w:lineRule="auto"/>
        <w:rPr>
          <w:rFonts w:hint="eastAsia"/>
          <w:color w:val="231F20"/>
        </w:rPr>
      </w:pPr>
      <w:r>
        <w:rPr>
          <w:rFonts w:hint="eastAsia"/>
          <w:color w:val="231F20"/>
        </w:rPr>
        <w:t>因此，对《启示录》20:11-15的健全阐释并不支持前千禧年论，而实际上偏爱宗教改革的经典无千禧年论末世论。</w:t>
      </w:r>
    </w:p>
    <w:p w14:paraId="75D473A8">
      <w:pPr>
        <w:pStyle w:val="9"/>
        <w:spacing w:after="0" w:line="249" w:lineRule="auto"/>
        <w:rPr>
          <w:rFonts w:hint="eastAsia"/>
          <w:color w:val="231F20"/>
        </w:rPr>
      </w:pPr>
    </w:p>
    <w:p w14:paraId="23E6C1C5">
      <w:pPr>
        <w:pStyle w:val="9"/>
        <w:spacing w:after="0" w:line="249" w:lineRule="auto"/>
        <w:rPr>
          <w:rFonts w:hint="eastAsia"/>
          <w:color w:val="231F20"/>
        </w:rPr>
      </w:pPr>
      <w:r>
        <w:rPr>
          <w:rFonts w:hint="eastAsia"/>
          <w:color w:val="231F20"/>
        </w:rPr>
        <w:t>2.If 20:11-15 speaks only of the resurrection and judgment of the unbelieving wicked, when will the saints who live and die during the Millennium be raised and judged for their works?</w:t>
      </w:r>
    </w:p>
    <w:p w14:paraId="5D9E8750">
      <w:pPr>
        <w:pStyle w:val="9"/>
        <w:spacing w:after="0" w:line="249" w:lineRule="auto"/>
        <w:rPr>
          <w:rFonts w:hint="eastAsia"/>
          <w:color w:val="231F20"/>
        </w:rPr>
      </w:pPr>
      <w:r>
        <w:rPr>
          <w:rFonts w:hint="eastAsia"/>
          <w:color w:val="231F20"/>
        </w:rPr>
        <w:t>2.如果20:11-15只讲不信的恶人的复活和审判，那么在千禧年期间生活和死去的圣徒将在何时复活并为他们的行为受审判？</w:t>
      </w:r>
    </w:p>
    <w:p w14:paraId="3A5B75D8">
      <w:pPr>
        <w:pStyle w:val="9"/>
        <w:spacing w:after="0" w:line="249" w:lineRule="auto"/>
        <w:rPr>
          <w:rFonts w:hint="eastAsia"/>
          <w:color w:val="231F20"/>
        </w:rPr>
      </w:pPr>
    </w:p>
    <w:p w14:paraId="5D7E23F0">
      <w:pPr>
        <w:pStyle w:val="9"/>
        <w:spacing w:after="0" w:line="249" w:lineRule="auto"/>
        <w:rPr>
          <w:rFonts w:hint="eastAsia"/>
          <w:color w:val="231F20"/>
        </w:rPr>
      </w:pPr>
      <w:r>
        <w:rPr>
          <w:rFonts w:hint="eastAsia"/>
          <w:color w:val="231F20"/>
        </w:rPr>
        <w:t>As is clear from the marked differences of opinion among them, this question greatly troubles premillennarians.</w:t>
      </w:r>
    </w:p>
    <w:p w14:paraId="0CE68F90">
      <w:pPr>
        <w:pStyle w:val="9"/>
        <w:spacing w:after="0" w:line="249" w:lineRule="auto"/>
        <w:rPr>
          <w:rFonts w:hint="eastAsia"/>
          <w:color w:val="231F20"/>
        </w:rPr>
      </w:pPr>
      <w:r>
        <w:rPr>
          <w:rFonts w:hint="eastAsia"/>
          <w:color w:val="231F20"/>
        </w:rPr>
        <w:t>从他们之间明显的意见分歧可以看出，这个问题极大地困扰着前千禧年论者。</w:t>
      </w:r>
    </w:p>
    <w:p w14:paraId="51AB2866">
      <w:pPr>
        <w:pStyle w:val="9"/>
        <w:spacing w:after="0" w:line="249" w:lineRule="auto"/>
        <w:rPr>
          <w:rFonts w:hint="eastAsia"/>
          <w:color w:val="231F20"/>
        </w:rPr>
      </w:pPr>
    </w:p>
    <w:p w14:paraId="2C876926">
      <w:pPr>
        <w:pStyle w:val="9"/>
        <w:spacing w:after="0" w:line="249" w:lineRule="auto"/>
        <w:rPr>
          <w:rFonts w:hint="eastAsia"/>
          <w:color w:val="231F20"/>
        </w:rPr>
      </w:pPr>
      <w:r>
        <w:rPr>
          <w:rFonts w:hint="eastAsia"/>
          <w:color w:val="231F20"/>
        </w:rPr>
        <w:t>Some say the millennial saints will be raised and glorified all throughout the Millennium, each at the moment of his or her death.</w:t>
      </w:r>
    </w:p>
    <w:p w14:paraId="3B7F6B1F">
      <w:pPr>
        <w:pStyle w:val="9"/>
        <w:spacing w:after="0" w:line="249" w:lineRule="auto"/>
        <w:rPr>
          <w:rFonts w:hint="eastAsia"/>
          <w:color w:val="231F20"/>
        </w:rPr>
      </w:pPr>
      <w:r>
        <w:rPr>
          <w:rFonts w:hint="eastAsia"/>
          <w:color w:val="231F20"/>
        </w:rPr>
        <w:t>一些人说，千禧年期间的圣徒将在整个千禧年期间，在他们各自死亡的时刻，被复活和得荣耀。</w:t>
      </w:r>
    </w:p>
    <w:p w14:paraId="0D34806E">
      <w:pPr>
        <w:pStyle w:val="9"/>
        <w:spacing w:after="0" w:line="249" w:lineRule="auto"/>
        <w:rPr>
          <w:rFonts w:hint="eastAsia"/>
          <w:color w:val="231F20"/>
        </w:rPr>
      </w:pPr>
    </w:p>
    <w:p w14:paraId="52D74FB2">
      <w:pPr>
        <w:pStyle w:val="9"/>
        <w:spacing w:after="0" w:line="249" w:lineRule="auto"/>
        <w:rPr>
          <w:rFonts w:hint="eastAsia"/>
          <w:color w:val="231F20"/>
        </w:rPr>
      </w:pPr>
      <w:r>
        <w:rPr>
          <w:rFonts w:hint="eastAsia"/>
          <w:color w:val="231F20"/>
        </w:rPr>
        <w:t>Such a procedure is barely imaginable, and totally incredible.</w:t>
      </w:r>
    </w:p>
    <w:p w14:paraId="5405A495">
      <w:pPr>
        <w:pStyle w:val="9"/>
        <w:spacing w:after="0" w:line="249" w:lineRule="auto"/>
        <w:rPr>
          <w:rFonts w:hint="eastAsia"/>
          <w:color w:val="231F20"/>
        </w:rPr>
      </w:pPr>
      <w:r>
        <w:rPr>
          <w:rFonts w:hint="eastAsia"/>
          <w:color w:val="231F20"/>
        </w:rPr>
        <w:t>这样的程序几乎无法想象，也完全不可信。</w:t>
      </w:r>
    </w:p>
    <w:p w14:paraId="38773E0E">
      <w:pPr>
        <w:pStyle w:val="9"/>
        <w:spacing w:after="0" w:line="249" w:lineRule="auto"/>
        <w:rPr>
          <w:rFonts w:hint="eastAsia"/>
          <w:color w:val="231F20"/>
        </w:rPr>
      </w:pPr>
    </w:p>
    <w:p w14:paraId="7884B484">
      <w:pPr>
        <w:pStyle w:val="9"/>
        <w:spacing w:after="0" w:line="249" w:lineRule="auto"/>
        <w:rPr>
          <w:rFonts w:hint="eastAsia"/>
          <w:color w:val="231F20"/>
        </w:rPr>
      </w:pPr>
      <w:r>
        <w:rPr>
          <w:rFonts w:hint="eastAsia"/>
          <w:color w:val="231F20"/>
        </w:rPr>
        <w:t>More importantly, there is not a shred of biblical evidence to support it, and much to speak against it, since, as we have seen, the NT consistently teaches a single general resurrection at the end of the age.</w:t>
      </w:r>
    </w:p>
    <w:p w14:paraId="1F8D03F7">
      <w:pPr>
        <w:pStyle w:val="9"/>
        <w:spacing w:after="0" w:line="249" w:lineRule="auto"/>
        <w:rPr>
          <w:rFonts w:hint="eastAsia"/>
          <w:color w:val="231F20"/>
        </w:rPr>
      </w:pPr>
      <w:r>
        <w:rPr>
          <w:rFonts w:hint="eastAsia"/>
          <w:color w:val="231F20"/>
        </w:rPr>
        <w:t>更重要的是，没有丝毫圣经证据支持它，却有很多证据反对它，因为，正如我们所见，新约始终教导在世代的末了有一次普世的复活。</w:t>
      </w:r>
    </w:p>
    <w:p w14:paraId="694901A6">
      <w:pPr>
        <w:pStyle w:val="9"/>
        <w:spacing w:after="0" w:line="249" w:lineRule="auto"/>
        <w:rPr>
          <w:rFonts w:hint="eastAsia"/>
          <w:color w:val="231F20"/>
        </w:rPr>
      </w:pPr>
    </w:p>
    <w:p w14:paraId="6B2F3C0B">
      <w:pPr>
        <w:pStyle w:val="9"/>
        <w:spacing w:after="0" w:line="249" w:lineRule="auto"/>
        <w:rPr>
          <w:rFonts w:hint="eastAsia"/>
          <w:color w:val="231F20"/>
        </w:rPr>
      </w:pPr>
      <w:r>
        <w:rPr>
          <w:rFonts w:hint="eastAsia"/>
          <w:color w:val="231F20"/>
        </w:rPr>
        <w:t>Others say the millennial saints will be raised close to the end of the Millennium, just prior to the resurrection and judgment of the wicked described in 20:11-15.</w:t>
      </w:r>
    </w:p>
    <w:p w14:paraId="23D073A8">
      <w:pPr>
        <w:pStyle w:val="9"/>
        <w:spacing w:after="0" w:line="249" w:lineRule="auto"/>
        <w:rPr>
          <w:rFonts w:hint="eastAsia"/>
          <w:color w:val="231F20"/>
        </w:rPr>
      </w:pPr>
      <w:r>
        <w:rPr>
          <w:rFonts w:hint="eastAsia"/>
          <w:color w:val="231F20"/>
        </w:rPr>
        <w:t>另一些人说，千禧年的圣徒将在千禧年接近结束时复活，就在20:11-15所描述的恶人复活和审判之前。</w:t>
      </w:r>
    </w:p>
    <w:p w14:paraId="62AFCFFC">
      <w:pPr>
        <w:pStyle w:val="9"/>
        <w:spacing w:after="0" w:line="249" w:lineRule="auto"/>
        <w:rPr>
          <w:rFonts w:hint="eastAsia"/>
          <w:color w:val="231F20"/>
        </w:rPr>
      </w:pPr>
    </w:p>
    <w:p w14:paraId="5F4ED450">
      <w:pPr>
        <w:pStyle w:val="9"/>
        <w:spacing w:after="0" w:line="249" w:lineRule="auto"/>
        <w:rPr>
          <w:rFonts w:hint="eastAsia"/>
          <w:color w:val="231F20"/>
        </w:rPr>
      </w:pPr>
      <w:r>
        <w:rPr>
          <w:rFonts w:hint="eastAsia"/>
          <w:color w:val="231F20"/>
        </w:rPr>
        <w:t>If those who hold this view are historic premillennarians, they are effectively positing three separate resurrections (one at the Parousia, two at the end of the Millennium).</w:t>
      </w:r>
    </w:p>
    <w:p w14:paraId="4E74C64E">
      <w:pPr>
        <w:pStyle w:val="9"/>
        <w:spacing w:after="0" w:line="249" w:lineRule="auto"/>
        <w:rPr>
          <w:rFonts w:hint="eastAsia"/>
          <w:color w:val="231F20"/>
        </w:rPr>
      </w:pPr>
      <w:r>
        <w:rPr>
          <w:rFonts w:hint="eastAsia"/>
          <w:color w:val="231F20"/>
        </w:rPr>
        <w:t>如果持这种观点的人是历史性的前千禧年论者，他们实际上是在假设有三次独立的复活（一次在主临（Parousia）时，两次在千禧年结束时）。</w:t>
      </w:r>
    </w:p>
    <w:p w14:paraId="2246D79C">
      <w:pPr>
        <w:pStyle w:val="9"/>
        <w:spacing w:after="0" w:line="249" w:lineRule="auto"/>
        <w:rPr>
          <w:rFonts w:hint="eastAsia"/>
          <w:color w:val="231F20"/>
        </w:rPr>
      </w:pPr>
    </w:p>
    <w:p w14:paraId="3D90294C">
      <w:pPr>
        <w:pStyle w:val="9"/>
        <w:spacing w:after="0" w:line="249" w:lineRule="auto"/>
        <w:rPr>
          <w:rFonts w:hint="eastAsia"/>
          <w:color w:val="231F20"/>
        </w:rPr>
      </w:pPr>
      <w:r>
        <w:rPr>
          <w:rFonts w:hint="eastAsia"/>
          <w:color w:val="231F20"/>
        </w:rPr>
        <w:t>If they are dispensationalists, they are effectively positing four resurrections (the three of historic premillennialism, plus an additional one at the Rapture)!</w:t>
      </w:r>
    </w:p>
    <w:p w14:paraId="2151BADA">
      <w:pPr>
        <w:pStyle w:val="9"/>
        <w:spacing w:after="0" w:line="249" w:lineRule="auto"/>
        <w:rPr>
          <w:rFonts w:hint="eastAsia"/>
          <w:color w:val="231F20"/>
        </w:rPr>
      </w:pPr>
      <w:r>
        <w:rPr>
          <w:rFonts w:hint="eastAsia"/>
          <w:color w:val="231F20"/>
        </w:rPr>
        <w:t>如果他们是时代论者，他们实际上是在假设有四次复活（历史性前千禧年论的三次，再加上在被提时的一次）！</w:t>
      </w:r>
    </w:p>
    <w:p w14:paraId="2BF0583C">
      <w:pPr>
        <w:pStyle w:val="9"/>
        <w:spacing w:after="0" w:line="249" w:lineRule="auto"/>
        <w:rPr>
          <w:rFonts w:hint="eastAsia"/>
          <w:color w:val="231F20"/>
        </w:rPr>
      </w:pPr>
    </w:p>
    <w:p w14:paraId="2DFC6A82">
      <w:pPr>
        <w:pStyle w:val="9"/>
        <w:spacing w:after="0" w:line="249" w:lineRule="auto"/>
        <w:rPr>
          <w:rFonts w:hint="eastAsia"/>
          <w:color w:val="231F20"/>
        </w:rPr>
      </w:pPr>
      <w:r>
        <w:rPr>
          <w:rFonts w:hint="eastAsia"/>
          <w:color w:val="231F20"/>
        </w:rPr>
        <w:t>Here again we see that premillennialism, by its very nature, shatters the glorious unity and simplicity of the Consummation, even as it breeds unwarranted speculation and a needless multiplication of eschatological acts and events.</w:t>
      </w:r>
    </w:p>
    <w:p w14:paraId="230B1DC6">
      <w:pPr>
        <w:pStyle w:val="9"/>
        <w:spacing w:after="0" w:line="249" w:lineRule="auto"/>
        <w:rPr>
          <w:rFonts w:hint="eastAsia"/>
          <w:color w:val="231F20"/>
        </w:rPr>
      </w:pPr>
      <w:r>
        <w:rPr>
          <w:rFonts w:hint="eastAsia"/>
          <w:color w:val="231F20"/>
        </w:rPr>
        <w:t>在这里我们再次看到，前千禧年论，就其本质而言，破坏了最终成全的荣耀统一和简洁，同时也滋生了无根据的推测和对末世作为与事件的不必要增加。</w:t>
      </w:r>
    </w:p>
    <w:p w14:paraId="3EB568CF">
      <w:pPr>
        <w:pStyle w:val="9"/>
        <w:spacing w:after="0" w:line="249" w:lineRule="auto"/>
        <w:rPr>
          <w:rFonts w:hint="eastAsia"/>
          <w:color w:val="231F20"/>
        </w:rPr>
      </w:pPr>
    </w:p>
    <w:p w14:paraId="28587C0D">
      <w:pPr>
        <w:pStyle w:val="9"/>
        <w:spacing w:after="0" w:line="249" w:lineRule="auto"/>
        <w:rPr>
          <w:rFonts w:hint="eastAsia"/>
          <w:color w:val="231F20"/>
        </w:rPr>
      </w:pPr>
      <w:r>
        <w:rPr>
          <w:rFonts w:hint="eastAsia"/>
          <w:color w:val="231F20"/>
        </w:rPr>
        <w:t>Far better, then, to hug closely to the pervasive NT doctrine of a single general resurrection, and to let it shape our interpretation of Revelation 20.</w:t>
      </w:r>
    </w:p>
    <w:p w14:paraId="792E3019">
      <w:pPr>
        <w:pStyle w:val="9"/>
        <w:spacing w:after="0" w:line="249" w:lineRule="auto"/>
        <w:rPr>
          <w:rFonts w:hint="eastAsia"/>
          <w:color w:val="231F20"/>
        </w:rPr>
      </w:pPr>
      <w:r>
        <w:rPr>
          <w:rFonts w:hint="eastAsia"/>
          <w:color w:val="231F20"/>
        </w:rPr>
        <w:t>因此，最好还是紧紧地拥抱新约中普遍存在的单一普世复活的教义，并让它来塑造我们对《启示录》20章的解释。</w:t>
      </w:r>
    </w:p>
    <w:p w14:paraId="1127E438">
      <w:pPr>
        <w:pStyle w:val="9"/>
        <w:spacing w:after="0" w:line="249" w:lineRule="auto"/>
        <w:rPr>
          <w:rFonts w:hint="eastAsia"/>
          <w:color w:val="231F20"/>
        </w:rPr>
      </w:pPr>
    </w:p>
    <w:p w14:paraId="038AE331">
      <w:pPr>
        <w:pStyle w:val="9"/>
        <w:spacing w:after="0" w:line="249" w:lineRule="auto"/>
        <w:rPr>
          <w:rFonts w:hint="eastAsia"/>
          <w:color w:val="231F20"/>
        </w:rPr>
      </w:pPr>
      <w:r>
        <w:rPr>
          <w:rFonts w:hint="eastAsia"/>
          <w:color w:val="231F20"/>
        </w:rPr>
        <w:t>Finally, some premillennarians concede that the millennial saints will indeed be raised and “judged” (i.e., rewarded) at the same time as the unbelieving wicked (i.e., at the end of the Millennium); however, they insist that 20:11-15 says nothing at all about these saints, but focuses exclusively on the unbelieving wicked.</w:t>
      </w:r>
    </w:p>
    <w:p w14:paraId="65A082F0">
      <w:pPr>
        <w:pStyle w:val="9"/>
        <w:spacing w:after="0" w:line="249" w:lineRule="auto"/>
        <w:rPr>
          <w:rFonts w:hint="eastAsia"/>
          <w:color w:val="231F20"/>
        </w:rPr>
      </w:pPr>
      <w:r>
        <w:rPr>
          <w:rFonts w:hint="eastAsia"/>
          <w:color w:val="231F20"/>
        </w:rPr>
        <w:t>最后，一些前千禧年论者承认，千禧年的圣徒确实会与不信的恶人同时复活和“受审判”（即得赏赐）（即在千禧年的末了）；然而，他们坚持认为20:11-15完全没有提到这些圣徒，而只专注于不信的恶人。</w:t>
      </w:r>
    </w:p>
    <w:p w14:paraId="1ED64788">
      <w:pPr>
        <w:pStyle w:val="9"/>
        <w:spacing w:after="0" w:line="249" w:lineRule="auto"/>
        <w:rPr>
          <w:rFonts w:hint="eastAsia"/>
          <w:color w:val="231F20"/>
        </w:rPr>
      </w:pPr>
    </w:p>
    <w:p w14:paraId="0429A329">
      <w:pPr>
        <w:pStyle w:val="9"/>
        <w:spacing w:after="0" w:line="249" w:lineRule="auto"/>
        <w:rPr>
          <w:rFonts w:hint="eastAsia"/>
          <w:color w:val="231F20"/>
        </w:rPr>
      </w:pPr>
      <w:r>
        <w:rPr>
          <w:rFonts w:hint="eastAsia"/>
          <w:color w:val="231F20"/>
        </w:rPr>
        <w:t>We have seen, however, that the text itself readily accommodates the idea of a general resurrection and judgment, that other passages in the Revelation do the same, and that this is, in fact, the eschatology of the whole New Testament.</w:t>
      </w:r>
    </w:p>
    <w:p w14:paraId="4EDC5B93">
      <w:pPr>
        <w:pStyle w:val="9"/>
        <w:spacing w:after="0" w:line="249" w:lineRule="auto"/>
        <w:rPr>
          <w:rFonts w:hint="eastAsia"/>
          <w:color w:val="231F20"/>
        </w:rPr>
      </w:pPr>
      <w:r>
        <w:rPr>
          <w:rFonts w:hint="eastAsia"/>
          <w:color w:val="231F20"/>
        </w:rPr>
        <w:t>然而，我们已经看到，经文本身很容易容纳普世复活和审判的观念，启示录中的其他段落也同样如此，并且这事实上是整个新约的末世论。</w:t>
      </w:r>
    </w:p>
    <w:p w14:paraId="18B14B33">
      <w:pPr>
        <w:pStyle w:val="9"/>
        <w:spacing w:after="0" w:line="249" w:lineRule="auto"/>
        <w:rPr>
          <w:rFonts w:hint="eastAsia"/>
          <w:color w:val="231F20"/>
        </w:rPr>
      </w:pPr>
    </w:p>
    <w:p w14:paraId="31C2D0AC">
      <w:pPr>
        <w:pStyle w:val="9"/>
        <w:spacing w:after="0" w:line="249" w:lineRule="auto"/>
        <w:rPr>
          <w:rFonts w:hint="eastAsia"/>
          <w:color w:val="231F20"/>
        </w:rPr>
      </w:pPr>
      <w:r>
        <w:rPr>
          <w:rFonts w:hint="eastAsia"/>
          <w:color w:val="231F20"/>
        </w:rPr>
        <w:t>Why, then, should we look for anything else?</w:t>
      </w:r>
    </w:p>
    <w:p w14:paraId="5093ADC3">
      <w:pPr>
        <w:pStyle w:val="9"/>
        <w:spacing w:after="0" w:line="249" w:lineRule="auto"/>
        <w:rPr>
          <w:rFonts w:hint="eastAsia"/>
          <w:color w:val="231F20"/>
        </w:rPr>
      </w:pPr>
      <w:r>
        <w:rPr>
          <w:rFonts w:hint="eastAsia"/>
          <w:color w:val="231F20"/>
        </w:rPr>
        <w:t>那么，我们为何还要寻找其他的东西呢？</w:t>
      </w:r>
    </w:p>
    <w:p w14:paraId="0E15F38C">
      <w:pPr>
        <w:pStyle w:val="9"/>
        <w:spacing w:after="0" w:line="249" w:lineRule="auto"/>
        <w:rPr>
          <w:rFonts w:hint="eastAsia"/>
          <w:color w:val="231F20"/>
        </w:rPr>
      </w:pPr>
    </w:p>
    <w:p w14:paraId="34784D7F">
      <w:pPr>
        <w:pStyle w:val="9"/>
        <w:spacing w:after="0" w:line="249" w:lineRule="auto"/>
        <w:rPr>
          <w:rFonts w:hint="eastAsia"/>
          <w:color w:val="231F20"/>
        </w:rPr>
      </w:pPr>
      <w:r>
        <w:rPr>
          <w:rFonts w:hint="eastAsia"/>
          <w:color w:val="231F20"/>
        </w:rPr>
        <w:t>The High King’s Completed Kingdom (Rev. 21-22)</w:t>
      </w:r>
    </w:p>
    <w:p w14:paraId="591EC19C">
      <w:pPr>
        <w:pStyle w:val="9"/>
        <w:spacing w:after="0" w:line="249" w:lineRule="auto"/>
        <w:rPr>
          <w:rFonts w:hint="eastAsia"/>
          <w:color w:val="231F20"/>
        </w:rPr>
      </w:pPr>
      <w:r>
        <w:rPr>
          <w:rFonts w:hint="eastAsia"/>
          <w:color w:val="231F20"/>
        </w:rPr>
        <w:t>至高君王完全的国度（启21-22）</w:t>
      </w:r>
    </w:p>
    <w:p w14:paraId="5BEB6A83">
      <w:pPr>
        <w:pStyle w:val="9"/>
        <w:spacing w:after="0" w:line="249" w:lineRule="auto"/>
        <w:rPr>
          <w:rFonts w:hint="eastAsia"/>
          <w:color w:val="231F20"/>
        </w:rPr>
      </w:pPr>
    </w:p>
    <w:p w14:paraId="2B038F27">
      <w:pPr>
        <w:pStyle w:val="9"/>
        <w:spacing w:after="0" w:line="249" w:lineRule="auto"/>
        <w:rPr>
          <w:rFonts w:hint="eastAsia"/>
          <w:color w:val="231F20"/>
        </w:rPr>
      </w:pPr>
      <w:r>
        <w:rPr>
          <w:rFonts w:hint="eastAsia"/>
          <w:color w:val="231F20"/>
        </w:rPr>
        <w:t>Before summing up what we have learned about Revelation 20, it remains to add a few words about the fifth and final bloc of the book, Revelation 21-22, in which the heavenly Prophet comforts his Church with a vision of the Kingdom to come; a vision of the Kingdom in its complete and eternal form.</w:t>
      </w:r>
    </w:p>
    <w:p w14:paraId="0DFEA08D">
      <w:pPr>
        <w:pStyle w:val="9"/>
        <w:spacing w:after="0" w:line="249" w:lineRule="auto"/>
        <w:rPr>
          <w:rFonts w:hint="eastAsia"/>
          <w:color w:val="231F20"/>
        </w:rPr>
      </w:pPr>
      <w:r>
        <w:rPr>
          <w:rFonts w:hint="eastAsia"/>
          <w:color w:val="231F20"/>
        </w:rPr>
        <w:t>在总结我们对《启示录》第20章所学到的知识之前，还需要对本书的第五个也是最后一个区块，即《启示录》21-22章，说几句话，其中天上的先知用一个关于将要来临的国度的异象来安慰祂的教会；一个关于国度完全和永恒形式的异象。</w:t>
      </w:r>
    </w:p>
    <w:p w14:paraId="4A551599">
      <w:pPr>
        <w:pStyle w:val="9"/>
        <w:spacing w:after="0" w:line="249" w:lineRule="auto"/>
        <w:rPr>
          <w:rFonts w:hint="eastAsia"/>
          <w:color w:val="231F20"/>
        </w:rPr>
      </w:pPr>
    </w:p>
    <w:p w14:paraId="54E90FB4">
      <w:pPr>
        <w:pStyle w:val="9"/>
        <w:spacing w:after="0" w:line="249" w:lineRule="auto"/>
        <w:rPr>
          <w:rFonts w:hint="eastAsia"/>
          <w:color w:val="231F20"/>
        </w:rPr>
      </w:pPr>
      <w:r>
        <w:rPr>
          <w:rFonts w:hint="eastAsia"/>
          <w:color w:val="231F20"/>
        </w:rPr>
        <w:t>These chapters are, of course, the Grand Finale of the Grand Finale of all Scripture.</w:t>
      </w:r>
    </w:p>
    <w:p w14:paraId="32C926F7">
      <w:pPr>
        <w:pStyle w:val="9"/>
        <w:spacing w:after="0" w:line="249" w:lineRule="auto"/>
        <w:rPr>
          <w:rFonts w:hint="eastAsia"/>
          <w:color w:val="231F20"/>
        </w:rPr>
      </w:pPr>
      <w:r>
        <w:rPr>
          <w:rFonts w:hint="eastAsia"/>
          <w:color w:val="231F20"/>
        </w:rPr>
        <w:t>当然，这两章是所有圣经宏伟终章中的宏伟终章。</w:t>
      </w:r>
    </w:p>
    <w:p w14:paraId="774F843E">
      <w:pPr>
        <w:pStyle w:val="9"/>
        <w:spacing w:after="0" w:line="249" w:lineRule="auto"/>
        <w:rPr>
          <w:rFonts w:hint="eastAsia"/>
          <w:color w:val="231F20"/>
        </w:rPr>
      </w:pPr>
    </w:p>
    <w:p w14:paraId="4A41BCD7">
      <w:pPr>
        <w:pStyle w:val="9"/>
        <w:spacing w:after="0" w:line="249" w:lineRule="auto"/>
        <w:rPr>
          <w:rFonts w:hint="eastAsia"/>
          <w:color w:val="231F20"/>
        </w:rPr>
      </w:pPr>
      <w:r>
        <w:rPr>
          <w:rFonts w:hint="eastAsia"/>
          <w:color w:val="231F20"/>
        </w:rPr>
        <w:t>Here the river of Salvation History finally empties into the infinite ocean of the new heavens and the new earth.</w:t>
      </w:r>
    </w:p>
    <w:p w14:paraId="7EBE0DA3">
      <w:pPr>
        <w:pStyle w:val="9"/>
        <w:spacing w:after="0" w:line="249" w:lineRule="auto"/>
        <w:rPr>
          <w:rFonts w:hint="eastAsia"/>
          <w:color w:val="231F20"/>
        </w:rPr>
      </w:pPr>
      <w:r>
        <w:rPr>
          <w:rFonts w:hint="eastAsia"/>
          <w:color w:val="231F20"/>
        </w:rPr>
        <w:t>在这里，救赎历史的长河最终汇入新天新地的无垠海洋。</w:t>
      </w:r>
    </w:p>
    <w:p w14:paraId="4DD63679">
      <w:pPr>
        <w:pStyle w:val="9"/>
        <w:spacing w:after="0" w:line="249" w:lineRule="auto"/>
        <w:rPr>
          <w:rFonts w:hint="eastAsia"/>
          <w:color w:val="231F20"/>
        </w:rPr>
      </w:pPr>
    </w:p>
    <w:p w14:paraId="292EAA85">
      <w:pPr>
        <w:pStyle w:val="9"/>
        <w:spacing w:after="0" w:line="249" w:lineRule="auto"/>
        <w:rPr>
          <w:rFonts w:hint="eastAsia"/>
          <w:color w:val="231F20"/>
        </w:rPr>
      </w:pPr>
      <w:r>
        <w:rPr>
          <w:rFonts w:hint="eastAsia"/>
          <w:color w:val="231F20"/>
        </w:rPr>
        <w:t>Previously, we had six difficult but short “days” of God’s redemptive work through Christ and the Church; here we have an eternal seventh Day, in which they and all creation enjoy the manifold blessings of complete redemptive rest.</w:t>
      </w:r>
    </w:p>
    <w:p w14:paraId="51F534A6">
      <w:pPr>
        <w:pStyle w:val="9"/>
        <w:spacing w:after="0" w:line="249" w:lineRule="auto"/>
        <w:rPr>
          <w:rFonts w:hint="eastAsia"/>
          <w:color w:val="231F20"/>
        </w:rPr>
      </w:pPr>
      <w:r>
        <w:rPr>
          <w:rFonts w:hint="eastAsia"/>
          <w:color w:val="231F20"/>
        </w:rPr>
        <w:t>先前，我们有六个艰难但短暂的“日子”，是上帝借着基督和教会施行救赎工作；在这里，我们有一个永恒的第七日，在其中他们和所有受造之物都享受着完全救赎安息的多重祝福。</w:t>
      </w:r>
    </w:p>
    <w:p w14:paraId="676FCDEE">
      <w:pPr>
        <w:pStyle w:val="9"/>
        <w:spacing w:after="0" w:line="249" w:lineRule="auto"/>
        <w:rPr>
          <w:rFonts w:hint="eastAsia"/>
          <w:color w:val="231F20"/>
        </w:rPr>
      </w:pPr>
    </w:p>
    <w:p w14:paraId="65D1B7AA">
      <w:pPr>
        <w:pStyle w:val="9"/>
        <w:spacing w:after="0" w:line="249" w:lineRule="auto"/>
        <w:rPr>
          <w:rFonts w:hint="eastAsia"/>
          <w:color w:val="231F20"/>
        </w:rPr>
      </w:pPr>
      <w:r>
        <w:rPr>
          <w:rFonts w:hint="eastAsia"/>
          <w:color w:val="231F20"/>
        </w:rPr>
        <w:t>Previously, we had the High King of Heaven opening the seven seals on the Father’s last will and testament; here we behold the lavish fullness of the inheritance that he prepared for his covenant children before the foundation of the world.</w:t>
      </w:r>
    </w:p>
    <w:p w14:paraId="5D7BCC18">
      <w:pPr>
        <w:pStyle w:val="9"/>
        <w:spacing w:after="0" w:line="249" w:lineRule="auto"/>
        <w:rPr>
          <w:rFonts w:hint="eastAsia"/>
          <w:color w:val="231F20"/>
        </w:rPr>
      </w:pPr>
      <w:r>
        <w:rPr>
          <w:rFonts w:hint="eastAsia"/>
          <w:color w:val="231F20"/>
        </w:rPr>
        <w:t>先前，我们有天上的至高君王揭开父最后遗嘱和证明上的七印；在这里，我们看到祂在创世以前为祂的约民所预备的产业那丰盛的丰满。</w:t>
      </w:r>
    </w:p>
    <w:p w14:paraId="64C2FB91">
      <w:pPr>
        <w:pStyle w:val="9"/>
        <w:spacing w:after="0" w:line="249" w:lineRule="auto"/>
        <w:rPr>
          <w:rFonts w:hint="eastAsia"/>
          <w:color w:val="231F20"/>
        </w:rPr>
      </w:pPr>
    </w:p>
    <w:p w14:paraId="62F16097">
      <w:pPr>
        <w:pStyle w:val="9"/>
        <w:spacing w:after="0" w:line="249" w:lineRule="auto"/>
        <w:rPr>
          <w:rFonts w:hint="eastAsia"/>
          <w:color w:val="231F20"/>
        </w:rPr>
      </w:pPr>
      <w:r>
        <w:rPr>
          <w:rFonts w:hint="eastAsia"/>
          <w:color w:val="231F20"/>
        </w:rPr>
        <w:t>Previously—and especially in OTKP—we read of the promise of the Eternal Covenant: full deliverance from the curse of God, elevation of the Mountain of God, glorification of the City of God, Beatification of the Bride of God, and eternal restoration of the Paradise of God.</w:t>
      </w:r>
    </w:p>
    <w:p w14:paraId="649505BB">
      <w:pPr>
        <w:pStyle w:val="9"/>
        <w:spacing w:after="0" w:line="249" w:lineRule="auto"/>
        <w:rPr>
          <w:rFonts w:hint="eastAsia"/>
          <w:color w:val="231F20"/>
        </w:rPr>
      </w:pPr>
      <w:r>
        <w:rPr>
          <w:rFonts w:hint="eastAsia"/>
          <w:color w:val="231F20"/>
        </w:rPr>
        <w:t>先前——尤其是在旧约国度预言中——我们读到永恒之约的应许：完全脱离上帝的咒诅，上帝之山的被高举，上帝之城的得荣耀，上帝新妇的蒙福，以及上帝乐园的永恒恢复。</w:t>
      </w:r>
    </w:p>
    <w:p w14:paraId="6191ECF5">
      <w:pPr>
        <w:pStyle w:val="9"/>
        <w:spacing w:after="0" w:line="249" w:lineRule="auto"/>
        <w:rPr>
          <w:rFonts w:hint="eastAsia"/>
          <w:color w:val="231F20"/>
        </w:rPr>
      </w:pPr>
    </w:p>
    <w:p w14:paraId="4391A57C">
      <w:pPr>
        <w:pStyle w:val="9"/>
        <w:spacing w:after="0" w:line="249" w:lineRule="auto"/>
        <w:rPr>
          <w:rFonts w:hint="eastAsia"/>
          <w:color w:val="231F20"/>
        </w:rPr>
      </w:pPr>
      <w:r>
        <w:rPr>
          <w:rFonts w:hint="eastAsia"/>
          <w:color w:val="231F20"/>
        </w:rPr>
        <w:t>Now we see all these promises fulfilled.</w:t>
      </w:r>
    </w:p>
    <w:p w14:paraId="3E28A79D">
      <w:pPr>
        <w:pStyle w:val="9"/>
        <w:spacing w:after="0" w:line="249" w:lineRule="auto"/>
        <w:rPr>
          <w:rFonts w:hint="eastAsia"/>
          <w:color w:val="231F20"/>
        </w:rPr>
      </w:pPr>
      <w:r>
        <w:rPr>
          <w:rFonts w:hint="eastAsia"/>
          <w:color w:val="231F20"/>
        </w:rPr>
        <w:t>现在我们看到所有这些应许都已应验。</w:t>
      </w:r>
    </w:p>
    <w:p w14:paraId="747FF5BA">
      <w:pPr>
        <w:pStyle w:val="9"/>
        <w:spacing w:after="0" w:line="249" w:lineRule="auto"/>
        <w:rPr>
          <w:rFonts w:hint="eastAsia"/>
          <w:color w:val="231F20"/>
        </w:rPr>
      </w:pPr>
    </w:p>
    <w:p w14:paraId="6E037D8F">
      <w:pPr>
        <w:pStyle w:val="9"/>
        <w:spacing w:after="0" w:line="249" w:lineRule="auto"/>
        <w:rPr>
          <w:rFonts w:hint="eastAsia"/>
          <w:color w:val="231F20"/>
        </w:rPr>
      </w:pPr>
      <w:r>
        <w:rPr>
          <w:rFonts w:hint="eastAsia"/>
          <w:color w:val="231F20"/>
        </w:rPr>
        <w:t>In sum, these two concluding chapters give us the end of all the former things, and the goal towards which they ever flowed; but they also give us the beginning of all new things, and the fountainhead from which they will flow forth into all eternity future.</w:t>
      </w:r>
    </w:p>
    <w:p w14:paraId="1B5547D2">
      <w:pPr>
        <w:pStyle w:val="9"/>
        <w:spacing w:after="0" w:line="249" w:lineRule="auto"/>
        <w:rPr>
          <w:rFonts w:hint="eastAsia"/>
          <w:color w:val="231F20"/>
        </w:rPr>
      </w:pPr>
      <w:r>
        <w:rPr>
          <w:rFonts w:hint="eastAsia"/>
          <w:color w:val="231F20"/>
        </w:rPr>
        <w:t>总而言之，这两章的结尾为我们呈现了所有先前事物的终结，以及它们一直流向的目标；但它们也为我们呈现了所有新事物的开端，以及它们将从中流向未来永恒的源头。</w:t>
      </w:r>
    </w:p>
    <w:p w14:paraId="1C45227F">
      <w:pPr>
        <w:pStyle w:val="9"/>
        <w:spacing w:after="0" w:line="249" w:lineRule="auto"/>
        <w:rPr>
          <w:rFonts w:hint="eastAsia"/>
          <w:color w:val="231F20"/>
        </w:rPr>
      </w:pPr>
    </w:p>
    <w:p w14:paraId="64C0BD04">
      <w:pPr>
        <w:pStyle w:val="9"/>
        <w:spacing w:after="0" w:line="249" w:lineRule="auto"/>
        <w:rPr>
          <w:rFonts w:hint="eastAsia"/>
          <w:color w:val="231F20"/>
        </w:rPr>
      </w:pPr>
      <w:r>
        <w:rPr>
          <w:rFonts w:hint="eastAsia"/>
          <w:color w:val="231F20"/>
        </w:rPr>
        <w:t>They are indeed the Grand Finale of the Grand Finale of Salvation History, but also a divine Overture to the World to Come.15</w:t>
      </w:r>
    </w:p>
    <w:p w14:paraId="4295233E">
      <w:pPr>
        <w:pStyle w:val="9"/>
        <w:spacing w:after="0" w:line="249" w:lineRule="auto"/>
        <w:rPr>
          <w:rFonts w:hint="eastAsia"/>
          <w:color w:val="231F20"/>
        </w:rPr>
      </w:pPr>
      <w:r>
        <w:rPr>
          <w:rFonts w:hint="eastAsia"/>
          <w:color w:val="231F20"/>
        </w:rPr>
        <w:t>它们确实是救赎历史宏伟终章中的宏伟终章，也是通往将来世界的神圣序曲。15</w:t>
      </w:r>
    </w:p>
    <w:p w14:paraId="46E5FC19">
      <w:pPr>
        <w:pStyle w:val="9"/>
        <w:spacing w:after="0" w:line="249" w:lineRule="auto"/>
        <w:rPr>
          <w:rFonts w:hint="eastAsia"/>
          <w:color w:val="231F20"/>
        </w:rPr>
      </w:pPr>
    </w:p>
    <w:p w14:paraId="58BE4DAB">
      <w:pPr>
        <w:pStyle w:val="9"/>
        <w:spacing w:after="0" w:line="249" w:lineRule="auto"/>
        <w:rPr>
          <w:rFonts w:hint="eastAsia"/>
          <w:color w:val="231F20"/>
        </w:rPr>
      </w:pPr>
      <w:r>
        <w:rPr>
          <w:rFonts w:hint="eastAsia"/>
          <w:color w:val="231F20"/>
        </w:rPr>
        <w:t>This final bloc of the Revelation may be divided into three parts.</w:t>
      </w:r>
    </w:p>
    <w:p w14:paraId="3A93F523">
      <w:pPr>
        <w:pStyle w:val="9"/>
        <w:spacing w:after="0" w:line="249" w:lineRule="auto"/>
        <w:rPr>
          <w:rFonts w:hint="eastAsia"/>
          <w:color w:val="231F20"/>
        </w:rPr>
      </w:pPr>
      <w:r>
        <w:rPr>
          <w:rFonts w:hint="eastAsia"/>
          <w:color w:val="231F20"/>
        </w:rPr>
        <w:t>《启示录》的这个最后区块可以分为三个部分。</w:t>
      </w:r>
    </w:p>
    <w:p w14:paraId="3BF3F944">
      <w:pPr>
        <w:pStyle w:val="9"/>
        <w:spacing w:after="0" w:line="249" w:lineRule="auto"/>
        <w:rPr>
          <w:rFonts w:hint="eastAsia"/>
          <w:color w:val="231F20"/>
        </w:rPr>
      </w:pPr>
    </w:p>
    <w:p w14:paraId="4756E58D">
      <w:pPr>
        <w:pStyle w:val="9"/>
        <w:spacing w:after="0" w:line="249" w:lineRule="auto"/>
        <w:rPr>
          <w:rFonts w:hint="eastAsia"/>
          <w:color w:val="231F20"/>
        </w:rPr>
      </w:pPr>
      <w:r>
        <w:rPr>
          <w:rFonts w:hint="eastAsia"/>
          <w:color w:val="231F20"/>
        </w:rPr>
        <w:t>As we are about see, each one is loaded with OT imagery, usually drawn from OTKP.</w:t>
      </w:r>
    </w:p>
    <w:p w14:paraId="6E1DB8B0">
      <w:pPr>
        <w:pStyle w:val="9"/>
        <w:spacing w:after="0" w:line="249" w:lineRule="auto"/>
        <w:rPr>
          <w:rFonts w:hint="eastAsia"/>
          <w:color w:val="231F20"/>
        </w:rPr>
      </w:pPr>
      <w:r>
        <w:rPr>
          <w:rFonts w:hint="eastAsia"/>
          <w:color w:val="231F20"/>
        </w:rPr>
        <w:t>正如我们将要看到的，每一部分都充满了旧约的意象，通常取自旧约国度预言。</w:t>
      </w:r>
    </w:p>
    <w:p w14:paraId="746A6210">
      <w:pPr>
        <w:pStyle w:val="9"/>
        <w:spacing w:after="0" w:line="249" w:lineRule="auto"/>
        <w:rPr>
          <w:rFonts w:hint="eastAsia"/>
          <w:color w:val="231F20"/>
        </w:rPr>
      </w:pPr>
    </w:p>
    <w:p w14:paraId="2B12CF14">
      <w:pPr>
        <w:pStyle w:val="9"/>
        <w:spacing w:after="0" w:line="249" w:lineRule="auto"/>
        <w:rPr>
          <w:rFonts w:hint="eastAsia"/>
          <w:color w:val="231F20"/>
        </w:rPr>
      </w:pPr>
      <w:r>
        <w:rPr>
          <w:rFonts w:hint="eastAsia"/>
          <w:color w:val="231F20"/>
        </w:rPr>
        <w:t>In what follows, I will try to open up the rich spiritual meaning that shines through the manifold symbols employed.</w:t>
      </w:r>
    </w:p>
    <w:p w14:paraId="42930B89">
      <w:pPr>
        <w:pStyle w:val="9"/>
        <w:spacing w:after="0" w:line="249" w:lineRule="auto"/>
        <w:rPr>
          <w:rFonts w:hint="eastAsia"/>
          <w:color w:val="231F20"/>
        </w:rPr>
      </w:pPr>
      <w:r>
        <w:rPr>
          <w:rFonts w:hint="eastAsia"/>
          <w:color w:val="231F20"/>
        </w:rPr>
        <w:t>在接下来的内容中，我将尝试揭示透过所使用的多种象征所闪耀出的丰富属灵意义。</w:t>
      </w:r>
    </w:p>
    <w:p w14:paraId="06A58123">
      <w:pPr>
        <w:pStyle w:val="9"/>
        <w:spacing w:after="0" w:line="249" w:lineRule="auto"/>
        <w:rPr>
          <w:rFonts w:hint="eastAsia"/>
          <w:color w:val="231F20"/>
        </w:rPr>
      </w:pPr>
    </w:p>
    <w:p w14:paraId="78328C76">
      <w:pPr>
        <w:pStyle w:val="9"/>
        <w:spacing w:after="0" w:line="249" w:lineRule="auto"/>
        <w:rPr>
          <w:rFonts w:hint="eastAsia"/>
          <w:color w:val="231F20"/>
        </w:rPr>
      </w:pPr>
      <w:r>
        <w:rPr>
          <w:rFonts w:hint="eastAsia"/>
          <w:color w:val="231F20"/>
        </w:rPr>
        <w:t>1.The Covenant is Fulfilled (21:1-8)</w:t>
      </w:r>
    </w:p>
    <w:p w14:paraId="3BFB2122">
      <w:pPr>
        <w:pStyle w:val="9"/>
        <w:spacing w:after="0" w:line="249" w:lineRule="auto"/>
        <w:rPr>
          <w:rFonts w:hint="eastAsia"/>
          <w:color w:val="231F20"/>
        </w:rPr>
      </w:pPr>
      <w:r>
        <w:rPr>
          <w:rFonts w:hint="eastAsia"/>
          <w:color w:val="231F20"/>
        </w:rPr>
        <w:t>1.约得以应验（21:1-8）</w:t>
      </w:r>
    </w:p>
    <w:p w14:paraId="034DECE0">
      <w:pPr>
        <w:pStyle w:val="9"/>
        <w:spacing w:after="0" w:line="249" w:lineRule="auto"/>
        <w:rPr>
          <w:rFonts w:hint="eastAsia"/>
          <w:color w:val="231F20"/>
        </w:rPr>
      </w:pPr>
    </w:p>
    <w:p w14:paraId="3970D43B">
      <w:pPr>
        <w:pStyle w:val="9"/>
        <w:spacing w:after="0" w:line="249" w:lineRule="auto"/>
        <w:rPr>
          <w:rFonts w:hint="eastAsia"/>
          <w:color w:val="231F20"/>
        </w:rPr>
      </w:pPr>
      <w:r>
        <w:rPr>
          <w:rFonts w:hint="eastAsia"/>
          <w:color w:val="231F20"/>
        </w:rPr>
        <w:t>In 20:11-15 John beheld the dark side of Christ’s judgment: retribution to his enemies, who were all consigned to the Lake of Fire.</w:t>
      </w:r>
    </w:p>
    <w:p w14:paraId="2581D765">
      <w:pPr>
        <w:pStyle w:val="9"/>
        <w:spacing w:after="0" w:line="249" w:lineRule="auto"/>
        <w:rPr>
          <w:rFonts w:hint="eastAsia"/>
          <w:color w:val="231F20"/>
        </w:rPr>
      </w:pPr>
      <w:r>
        <w:rPr>
          <w:rFonts w:hint="eastAsia"/>
          <w:color w:val="231F20"/>
        </w:rPr>
        <w:t>在20:11-15，约翰看见了基督审判的黑暗面：对祂仇敌的报应，他们都被扔在火湖里。</w:t>
      </w:r>
    </w:p>
    <w:p w14:paraId="4D4C85FC">
      <w:pPr>
        <w:pStyle w:val="9"/>
        <w:spacing w:after="0" w:line="249" w:lineRule="auto"/>
        <w:rPr>
          <w:rFonts w:hint="eastAsia"/>
          <w:color w:val="231F20"/>
        </w:rPr>
      </w:pPr>
    </w:p>
    <w:p w14:paraId="663BB6D0">
      <w:pPr>
        <w:pStyle w:val="9"/>
        <w:spacing w:after="0" w:line="249" w:lineRule="auto"/>
        <w:rPr>
          <w:rFonts w:hint="eastAsia"/>
          <w:color w:val="231F20"/>
        </w:rPr>
      </w:pPr>
      <w:r>
        <w:rPr>
          <w:rFonts w:hint="eastAsia"/>
          <w:color w:val="231F20"/>
        </w:rPr>
        <w:t>Here he beholds its bright side: reward and rest to his friends, all who have faithfully endured the rigors of the Great Tribulation.</w:t>
      </w:r>
    </w:p>
    <w:p w14:paraId="07D601B6">
      <w:pPr>
        <w:pStyle w:val="9"/>
        <w:spacing w:after="0" w:line="249" w:lineRule="auto"/>
        <w:rPr>
          <w:rFonts w:hint="eastAsia"/>
          <w:color w:val="231F20"/>
        </w:rPr>
      </w:pPr>
      <w:r>
        <w:rPr>
          <w:rFonts w:hint="eastAsia"/>
          <w:color w:val="231F20"/>
        </w:rPr>
        <w:t>在这里，祂看见了其光明的一面：对祂朋友的赏赐和安息，所有忠心忍受了大患难的严酷之人。</w:t>
      </w:r>
    </w:p>
    <w:p w14:paraId="79F69828">
      <w:pPr>
        <w:pStyle w:val="9"/>
        <w:spacing w:after="0" w:line="249" w:lineRule="auto"/>
        <w:rPr>
          <w:rFonts w:hint="eastAsia"/>
          <w:color w:val="231F20"/>
        </w:rPr>
      </w:pPr>
    </w:p>
    <w:p w14:paraId="006F17C6">
      <w:pPr>
        <w:pStyle w:val="9"/>
        <w:spacing w:after="0" w:line="249" w:lineRule="auto"/>
        <w:rPr>
          <w:rFonts w:hint="eastAsia"/>
          <w:color w:val="231F20"/>
        </w:rPr>
      </w:pPr>
      <w:r>
        <w:rPr>
          <w:rFonts w:hint="eastAsia"/>
          <w:color w:val="231F20"/>
        </w:rPr>
        <w:t>The controlling idea of this pericope is found in verses 3 and 7: Henceforth, the saints will fully be God’s people, and God will fully be their God.</w:t>
      </w:r>
    </w:p>
    <w:p w14:paraId="2F89608E">
      <w:pPr>
        <w:pStyle w:val="9"/>
        <w:spacing w:after="0" w:line="249" w:lineRule="auto"/>
        <w:rPr>
          <w:rFonts w:hint="eastAsia"/>
          <w:color w:val="231F20"/>
        </w:rPr>
      </w:pPr>
      <w:r>
        <w:rPr>
          <w:rFonts w:hint="eastAsia"/>
          <w:color w:val="231F20"/>
        </w:rPr>
        <w:t>这段经文的主导思想见于第3节和第7节：从此以后，圣徒将完全成为上帝的子民，上帝将完全成为他们的上帝。</w:t>
      </w:r>
    </w:p>
    <w:p w14:paraId="33A31C72">
      <w:pPr>
        <w:pStyle w:val="9"/>
        <w:spacing w:after="0" w:line="249" w:lineRule="auto"/>
        <w:rPr>
          <w:rFonts w:hint="eastAsia"/>
          <w:color w:val="231F20"/>
        </w:rPr>
      </w:pPr>
    </w:p>
    <w:p w14:paraId="19B1E850">
      <w:pPr>
        <w:pStyle w:val="9"/>
        <w:spacing w:after="0" w:line="249" w:lineRule="auto"/>
        <w:rPr>
          <w:rFonts w:hint="eastAsia"/>
          <w:color w:val="231F20"/>
        </w:rPr>
      </w:pPr>
      <w:r>
        <w:rPr>
          <w:rFonts w:hint="eastAsia"/>
          <w:color w:val="231F20"/>
        </w:rPr>
        <w:t>In the glorious World to Come, the promise of the Eternal Covenant will be fully fulfilled.</w:t>
      </w:r>
    </w:p>
    <w:p w14:paraId="0A11BAE7">
      <w:pPr>
        <w:pStyle w:val="9"/>
        <w:spacing w:after="0" w:line="249" w:lineRule="auto"/>
        <w:rPr>
          <w:rFonts w:hint="eastAsia"/>
          <w:color w:val="231F20"/>
        </w:rPr>
      </w:pPr>
      <w:r>
        <w:rPr>
          <w:rFonts w:hint="eastAsia"/>
          <w:color w:val="231F20"/>
        </w:rPr>
        <w:t>在将来的荣耀世界中，永恒之约的应许将完全应验。</w:t>
      </w:r>
    </w:p>
    <w:p w14:paraId="2606EB85">
      <w:pPr>
        <w:pStyle w:val="9"/>
        <w:spacing w:after="0" w:line="249" w:lineRule="auto"/>
        <w:rPr>
          <w:rFonts w:hint="eastAsia"/>
          <w:color w:val="231F20"/>
        </w:rPr>
      </w:pPr>
    </w:p>
    <w:p w14:paraId="56AB80AF">
      <w:pPr>
        <w:pStyle w:val="9"/>
        <w:spacing w:after="0" w:line="249" w:lineRule="auto"/>
        <w:rPr>
          <w:rFonts w:hint="eastAsia"/>
          <w:color w:val="231F20"/>
        </w:rPr>
      </w:pPr>
      <w:r>
        <w:rPr>
          <w:rFonts w:hint="eastAsia"/>
          <w:color w:val="231F20"/>
        </w:rPr>
        <w:t>How exactly does this occur?</w:t>
      </w:r>
    </w:p>
    <w:p w14:paraId="7E8E8FEB">
      <w:pPr>
        <w:pStyle w:val="9"/>
        <w:spacing w:after="0" w:line="249" w:lineRule="auto"/>
        <w:rPr>
          <w:rFonts w:hint="eastAsia"/>
          <w:color w:val="231F20"/>
        </w:rPr>
      </w:pPr>
      <w:r>
        <w:rPr>
          <w:rFonts w:hint="eastAsia"/>
          <w:color w:val="231F20"/>
        </w:rPr>
        <w:t>这究竟是如何发生的？</w:t>
      </w:r>
    </w:p>
    <w:p w14:paraId="424C6465">
      <w:pPr>
        <w:pStyle w:val="9"/>
        <w:spacing w:after="0" w:line="249" w:lineRule="auto"/>
        <w:rPr>
          <w:rFonts w:hint="eastAsia"/>
          <w:color w:val="231F20"/>
        </w:rPr>
      </w:pPr>
    </w:p>
    <w:p w14:paraId="37B1641E">
      <w:pPr>
        <w:pStyle w:val="9"/>
        <w:spacing w:after="0" w:line="249" w:lineRule="auto"/>
        <w:rPr>
          <w:rFonts w:hint="eastAsia"/>
          <w:color w:val="231F20"/>
        </w:rPr>
      </w:pPr>
      <w:r>
        <w:rPr>
          <w:rFonts w:hint="eastAsia"/>
          <w:color w:val="231F20"/>
        </w:rPr>
        <w:t>Christ, at the judgment, will create new heavens and a new earth (1).</w:t>
      </w:r>
    </w:p>
    <w:p w14:paraId="604CBA57">
      <w:pPr>
        <w:pStyle w:val="9"/>
        <w:spacing w:after="0" w:line="249" w:lineRule="auto"/>
        <w:rPr>
          <w:rFonts w:hint="eastAsia"/>
          <w:color w:val="231F20"/>
        </w:rPr>
      </w:pPr>
      <w:r>
        <w:rPr>
          <w:rFonts w:hint="eastAsia"/>
          <w:color w:val="231F20"/>
        </w:rPr>
        <w:t>基督，在审判时，将创造新天新地（1）。</w:t>
      </w:r>
    </w:p>
    <w:p w14:paraId="06F2CDFE">
      <w:pPr>
        <w:pStyle w:val="9"/>
        <w:spacing w:after="0" w:line="249" w:lineRule="auto"/>
        <w:rPr>
          <w:rFonts w:hint="eastAsia"/>
          <w:color w:val="231F20"/>
        </w:rPr>
      </w:pPr>
    </w:p>
    <w:p w14:paraId="5591C5CA">
      <w:pPr>
        <w:pStyle w:val="9"/>
        <w:spacing w:after="0" w:line="249" w:lineRule="auto"/>
        <w:rPr>
          <w:rFonts w:hint="eastAsia"/>
          <w:color w:val="231F20"/>
        </w:rPr>
      </w:pPr>
      <w:r>
        <w:rPr>
          <w:rFonts w:hint="eastAsia"/>
          <w:color w:val="231F20"/>
        </w:rPr>
        <w:t>Then the Church, adorned as a Bride with the beauty and glory of God, will descend to the earth, her eternal home (2).</w:t>
      </w:r>
    </w:p>
    <w:p w14:paraId="5711C9F9">
      <w:pPr>
        <w:pStyle w:val="9"/>
        <w:spacing w:after="0" w:line="249" w:lineRule="auto"/>
        <w:rPr>
          <w:rFonts w:hint="eastAsia"/>
          <w:color w:val="231F20"/>
        </w:rPr>
      </w:pPr>
      <w:r>
        <w:rPr>
          <w:rFonts w:hint="eastAsia"/>
          <w:color w:val="231F20"/>
        </w:rPr>
        <w:t>然后教会，被装饰成新妇，带着上帝的美丽和荣耀，将降临到地上，她永恒的家（2）。</w:t>
      </w:r>
    </w:p>
    <w:p w14:paraId="2828C11B">
      <w:pPr>
        <w:pStyle w:val="9"/>
        <w:spacing w:after="0" w:line="249" w:lineRule="auto"/>
        <w:rPr>
          <w:rFonts w:hint="eastAsia"/>
          <w:color w:val="231F20"/>
        </w:rPr>
      </w:pPr>
    </w:p>
    <w:p w14:paraId="27FD0EE4">
      <w:pPr>
        <w:pStyle w:val="9"/>
        <w:spacing w:after="0" w:line="249" w:lineRule="auto"/>
        <w:rPr>
          <w:rFonts w:hint="eastAsia"/>
          <w:color w:val="231F20"/>
        </w:rPr>
      </w:pPr>
      <w:r>
        <w:rPr>
          <w:rFonts w:hint="eastAsia"/>
          <w:color w:val="231F20"/>
        </w:rPr>
        <w:t>In this World, every burden of the curse will be lifted, every spiritual and physical defect cast off (4).</w:t>
      </w:r>
    </w:p>
    <w:p w14:paraId="0AD6A3F5">
      <w:pPr>
        <w:pStyle w:val="9"/>
        <w:spacing w:after="0" w:line="249" w:lineRule="auto"/>
        <w:rPr>
          <w:rFonts w:hint="eastAsia"/>
          <w:color w:val="231F20"/>
        </w:rPr>
      </w:pPr>
      <w:r>
        <w:rPr>
          <w:rFonts w:hint="eastAsia"/>
          <w:color w:val="231F20"/>
        </w:rPr>
        <w:t>在这个世界里，咒诅的每一个重担都将被除去，每一个属灵和属肉体的缺陷都将被抛弃（4）。</w:t>
      </w:r>
    </w:p>
    <w:p w14:paraId="705D0988">
      <w:pPr>
        <w:pStyle w:val="9"/>
        <w:spacing w:after="0" w:line="249" w:lineRule="auto"/>
        <w:rPr>
          <w:rFonts w:hint="eastAsia"/>
          <w:color w:val="231F20"/>
        </w:rPr>
      </w:pPr>
    </w:p>
    <w:p w14:paraId="7FF571A7">
      <w:pPr>
        <w:pStyle w:val="9"/>
        <w:spacing w:after="0" w:line="249" w:lineRule="auto"/>
        <w:rPr>
          <w:rFonts w:hint="eastAsia"/>
          <w:color w:val="231F20"/>
        </w:rPr>
      </w:pPr>
      <w:r>
        <w:rPr>
          <w:rFonts w:hint="eastAsia"/>
          <w:color w:val="231F20"/>
        </w:rPr>
        <w:t>In this World, God and Christ, by the Holy Spirit, will dwell with their people in perfect fellowship; heaven and earth will become one (3).</w:t>
      </w:r>
    </w:p>
    <w:p w14:paraId="2ECC63F7">
      <w:pPr>
        <w:pStyle w:val="9"/>
        <w:spacing w:after="0" w:line="249" w:lineRule="auto"/>
        <w:rPr>
          <w:rFonts w:hint="eastAsia"/>
          <w:color w:val="231F20"/>
        </w:rPr>
      </w:pPr>
      <w:r>
        <w:rPr>
          <w:rFonts w:hint="eastAsia"/>
          <w:color w:val="231F20"/>
        </w:rPr>
        <w:t>在这个世界里，上帝和基督，借着圣灵，将与他们的子民在完美的相交中同住；天和地将成为一（3）。</w:t>
      </w:r>
    </w:p>
    <w:p w14:paraId="658F91FD">
      <w:pPr>
        <w:pStyle w:val="9"/>
        <w:spacing w:after="0" w:line="249" w:lineRule="auto"/>
        <w:rPr>
          <w:rFonts w:hint="eastAsia"/>
          <w:color w:val="231F20"/>
        </w:rPr>
      </w:pPr>
    </w:p>
    <w:p w14:paraId="3C41F95E">
      <w:pPr>
        <w:pStyle w:val="9"/>
        <w:spacing w:after="0" w:line="249" w:lineRule="auto"/>
        <w:rPr>
          <w:rFonts w:hint="eastAsia"/>
          <w:color w:val="231F20"/>
        </w:rPr>
      </w:pPr>
      <w:r>
        <w:rPr>
          <w:rFonts w:hint="eastAsia"/>
          <w:color w:val="231F20"/>
        </w:rPr>
        <w:t>For all who overcome, this promise is sure; so too is the threat of the Lake of Fire to all who spurn the covenant blessings of the Gospel in order to walk in sin (5-8).</w:t>
      </w:r>
    </w:p>
    <w:p w14:paraId="4FE704D4">
      <w:pPr>
        <w:pStyle w:val="9"/>
        <w:spacing w:after="0" w:line="249" w:lineRule="auto"/>
        <w:rPr>
          <w:rFonts w:hint="eastAsia"/>
          <w:color w:val="231F20"/>
        </w:rPr>
      </w:pPr>
      <w:r>
        <w:rPr>
          <w:rFonts w:hint="eastAsia"/>
          <w:color w:val="231F20"/>
        </w:rPr>
        <w:t>对所有得胜的人，这应许是确实的；对所有为了行在罪中而藐视福音之约祝福的人，火湖的威胁也是确实的（5-8）。</w:t>
      </w:r>
    </w:p>
    <w:p w14:paraId="19187A58">
      <w:pPr>
        <w:pStyle w:val="9"/>
        <w:spacing w:after="0" w:line="249" w:lineRule="auto"/>
        <w:rPr>
          <w:rFonts w:hint="eastAsia"/>
          <w:color w:val="231F20"/>
        </w:rPr>
      </w:pPr>
    </w:p>
    <w:p w14:paraId="5109B808">
      <w:pPr>
        <w:pStyle w:val="9"/>
        <w:spacing w:after="0" w:line="249" w:lineRule="auto"/>
        <w:rPr>
          <w:rFonts w:hint="eastAsia"/>
          <w:color w:val="231F20"/>
        </w:rPr>
      </w:pPr>
      <w:r>
        <w:rPr>
          <w:rFonts w:hint="eastAsia"/>
          <w:color w:val="231F20"/>
        </w:rPr>
        <w:t>2.I Will Show You the Bride (21:9-22:5)</w:t>
      </w:r>
    </w:p>
    <w:p w14:paraId="55BFBA6A">
      <w:pPr>
        <w:pStyle w:val="9"/>
        <w:spacing w:after="0" w:line="249" w:lineRule="auto"/>
        <w:rPr>
          <w:rFonts w:hint="eastAsia"/>
          <w:color w:val="231F20"/>
        </w:rPr>
      </w:pPr>
      <w:r>
        <w:rPr>
          <w:rFonts w:hint="eastAsia"/>
          <w:color w:val="231F20"/>
        </w:rPr>
        <w:t>2.我要指示你看新妇（21:9-22:5）</w:t>
      </w:r>
    </w:p>
    <w:p w14:paraId="402DF9F5">
      <w:pPr>
        <w:pStyle w:val="9"/>
        <w:spacing w:after="0" w:line="249" w:lineRule="auto"/>
        <w:rPr>
          <w:rFonts w:hint="eastAsia"/>
          <w:color w:val="231F20"/>
        </w:rPr>
      </w:pPr>
    </w:p>
    <w:p w14:paraId="49323E5E">
      <w:pPr>
        <w:pStyle w:val="9"/>
        <w:spacing w:after="0" w:line="249" w:lineRule="auto"/>
        <w:rPr>
          <w:rFonts w:hint="eastAsia"/>
          <w:color w:val="231F20"/>
        </w:rPr>
      </w:pPr>
      <w:r>
        <w:rPr>
          <w:rFonts w:hint="eastAsia"/>
          <w:color w:val="231F20"/>
        </w:rPr>
        <w:t>In this long section the Spirit draws richly from OT history and Kingdom prophecy to depict the eternal blessedness of the Church in the World to Come.</w:t>
      </w:r>
    </w:p>
    <w:p w14:paraId="2116F25F">
      <w:pPr>
        <w:pStyle w:val="9"/>
        <w:spacing w:after="0" w:line="249" w:lineRule="auto"/>
        <w:rPr>
          <w:rFonts w:hint="eastAsia"/>
          <w:color w:val="231F20"/>
        </w:rPr>
      </w:pPr>
      <w:r>
        <w:rPr>
          <w:rFonts w:hint="eastAsia"/>
          <w:color w:val="231F20"/>
        </w:rPr>
        <w:t>在这长长的一段中，圣灵丰富地借鉴旧约历史和国度预言，来描绘教会在将来世界中永恒的福乐。</w:t>
      </w:r>
    </w:p>
    <w:p w14:paraId="0CF3AE56">
      <w:pPr>
        <w:pStyle w:val="9"/>
        <w:spacing w:after="0" w:line="249" w:lineRule="auto"/>
        <w:rPr>
          <w:rFonts w:hint="eastAsia"/>
          <w:color w:val="231F20"/>
        </w:rPr>
      </w:pPr>
    </w:p>
    <w:p w14:paraId="1D5150F0">
      <w:pPr>
        <w:pStyle w:val="9"/>
        <w:spacing w:after="0" w:line="249" w:lineRule="auto"/>
        <w:rPr>
          <w:rFonts w:hint="eastAsia"/>
          <w:color w:val="231F20"/>
        </w:rPr>
      </w:pPr>
      <w:r>
        <w:rPr>
          <w:rFonts w:hint="eastAsia"/>
          <w:color w:val="231F20"/>
        </w:rPr>
        <w:t>Two metaphors dominate: the Church as the Bride of Christ, but also—and especially—the Church as the Holy City, the New Jerusalem (9-10).</w:t>
      </w:r>
    </w:p>
    <w:p w14:paraId="1B2169C1">
      <w:pPr>
        <w:pStyle w:val="9"/>
        <w:spacing w:after="0" w:line="249" w:lineRule="auto"/>
        <w:rPr>
          <w:rFonts w:hint="eastAsia"/>
          <w:color w:val="231F20"/>
        </w:rPr>
      </w:pPr>
      <w:r>
        <w:rPr>
          <w:rFonts w:hint="eastAsia"/>
          <w:color w:val="231F20"/>
        </w:rPr>
        <w:t>两种隐喻占主导地位：教会作为基督的新妇，但也——尤其是——教会作为圣城，新耶路撒冷（9-10）。</w:t>
      </w:r>
    </w:p>
    <w:p w14:paraId="77208944">
      <w:pPr>
        <w:pStyle w:val="9"/>
        <w:spacing w:after="0" w:line="249" w:lineRule="auto"/>
        <w:rPr>
          <w:rFonts w:hint="eastAsia"/>
          <w:color w:val="231F20"/>
        </w:rPr>
      </w:pPr>
    </w:p>
    <w:p w14:paraId="1417500D">
      <w:pPr>
        <w:pStyle w:val="9"/>
        <w:spacing w:after="0" w:line="249" w:lineRule="auto"/>
        <w:rPr>
          <w:rFonts w:hint="eastAsia"/>
          <w:color w:val="231F20"/>
        </w:rPr>
      </w:pPr>
      <w:r>
        <w:rPr>
          <w:rFonts w:hint="eastAsia"/>
          <w:color w:val="231F20"/>
        </w:rPr>
        <w:t>Let us call her the Bride-City.</w:t>
      </w:r>
    </w:p>
    <w:p w14:paraId="4D400944">
      <w:pPr>
        <w:pStyle w:val="9"/>
        <w:spacing w:after="0" w:line="249" w:lineRule="auto"/>
        <w:rPr>
          <w:rFonts w:hint="eastAsia"/>
          <w:color w:val="231F20"/>
        </w:rPr>
      </w:pPr>
      <w:r>
        <w:rPr>
          <w:rFonts w:hint="eastAsia"/>
          <w:color w:val="231F20"/>
        </w:rPr>
        <w:t>让我们称她为新妇之城。</w:t>
      </w:r>
    </w:p>
    <w:p w14:paraId="390E6D42">
      <w:pPr>
        <w:pStyle w:val="9"/>
        <w:spacing w:after="0" w:line="249" w:lineRule="auto"/>
        <w:rPr>
          <w:rFonts w:hint="eastAsia"/>
          <w:color w:val="231F20"/>
        </w:rPr>
      </w:pPr>
    </w:p>
    <w:p w14:paraId="799C2AF9">
      <w:pPr>
        <w:pStyle w:val="9"/>
        <w:spacing w:after="0" w:line="249" w:lineRule="auto"/>
        <w:rPr>
          <w:rFonts w:hint="eastAsia"/>
          <w:color w:val="231F20"/>
        </w:rPr>
      </w:pPr>
      <w:r>
        <w:rPr>
          <w:rFonts w:hint="eastAsia"/>
          <w:color w:val="231F20"/>
        </w:rPr>
        <w:t>Henceforth, the Bride-City has the glory of God: Having no spot or wrinkle or any such thing, she shines like the sun in the Kingdom of her Father (11; Mt. 13:43, Eph. 5:26-27).</w:t>
      </w:r>
    </w:p>
    <w:p w14:paraId="04BDC07A">
      <w:pPr>
        <w:pStyle w:val="9"/>
        <w:spacing w:after="0" w:line="249" w:lineRule="auto"/>
        <w:rPr>
          <w:rFonts w:hint="eastAsia"/>
          <w:color w:val="231F20"/>
        </w:rPr>
      </w:pPr>
      <w:r>
        <w:rPr>
          <w:rFonts w:hint="eastAsia"/>
          <w:color w:val="231F20"/>
        </w:rPr>
        <w:t>从此以后，新妇之城有了上帝的荣耀：毫无玷污、皱纹等类的病，她在她父的国里，发光如同太阳（11；太13:43，弗5:26-27）。</w:t>
      </w:r>
    </w:p>
    <w:p w14:paraId="47ECDDD2">
      <w:pPr>
        <w:pStyle w:val="9"/>
        <w:spacing w:after="0" w:line="249" w:lineRule="auto"/>
        <w:rPr>
          <w:rFonts w:hint="eastAsia"/>
          <w:color w:val="231F20"/>
        </w:rPr>
      </w:pPr>
    </w:p>
    <w:p w14:paraId="240865DE">
      <w:pPr>
        <w:pStyle w:val="9"/>
        <w:spacing w:after="0" w:line="249" w:lineRule="auto"/>
        <w:rPr>
          <w:rFonts w:hint="eastAsia"/>
          <w:color w:val="231F20"/>
        </w:rPr>
      </w:pPr>
      <w:r>
        <w:rPr>
          <w:rFonts w:hint="eastAsia"/>
          <w:color w:val="231F20"/>
        </w:rPr>
        <w:t>Because of the work of her heavenly Husband, she is eternally secure in the enjoyment of God’s blessings: He safely surrounds her with high walls of salvation (12, 17; Isaiah 26:1, John 10:28-29).</w:t>
      </w:r>
    </w:p>
    <w:p w14:paraId="76C0ED71">
      <w:pPr>
        <w:pStyle w:val="9"/>
        <w:spacing w:after="0" w:line="249" w:lineRule="auto"/>
        <w:rPr>
          <w:rFonts w:hint="eastAsia"/>
          <w:color w:val="231F20"/>
        </w:rPr>
      </w:pPr>
      <w:r>
        <w:rPr>
          <w:rFonts w:hint="eastAsia"/>
          <w:color w:val="231F20"/>
        </w:rPr>
        <w:t>因着她天上丈夫的工作，她在享受上帝的祝福上是永远稳固的：祂用救恩的高墙安全地环绕她（12, 17；以赛亚书26:1，约翰福音10:28-29）。</w:t>
      </w:r>
    </w:p>
    <w:p w14:paraId="62CE6810">
      <w:pPr>
        <w:pStyle w:val="9"/>
        <w:spacing w:after="0" w:line="249" w:lineRule="auto"/>
        <w:rPr>
          <w:rFonts w:hint="eastAsia"/>
          <w:color w:val="231F20"/>
        </w:rPr>
      </w:pPr>
    </w:p>
    <w:p w14:paraId="1C9E2CC4">
      <w:pPr>
        <w:pStyle w:val="9"/>
        <w:spacing w:after="0" w:line="249" w:lineRule="auto"/>
        <w:rPr>
          <w:rFonts w:hint="eastAsia"/>
          <w:color w:val="231F20"/>
        </w:rPr>
      </w:pPr>
      <w:r>
        <w:rPr>
          <w:rFonts w:hint="eastAsia"/>
          <w:color w:val="231F20"/>
        </w:rPr>
        <w:t>Here she enjoys complete and perpetual access to God, and he to her: Twelve gates, with the names of the twelve sons of Israel inscribed upon them, remain forever open (12-13, 21, 25; Rom. 5:2, Eph. 2:18, 3:12).</w:t>
      </w:r>
    </w:p>
    <w:p w14:paraId="296EBF92">
      <w:pPr>
        <w:pStyle w:val="9"/>
        <w:spacing w:after="0" w:line="249" w:lineRule="auto"/>
        <w:rPr>
          <w:rFonts w:hint="eastAsia"/>
          <w:color w:val="231F20"/>
        </w:rPr>
      </w:pPr>
      <w:r>
        <w:rPr>
          <w:rFonts w:hint="eastAsia"/>
          <w:color w:val="231F20"/>
        </w:rPr>
        <w:t>在这里，她享有完全和永久地进到上帝面前的权利，祂也同样进到她面前：十二个门，上面刻着以色列十二个儿子的名字，永远敞开（12-13, 21, 25；罗5:2，弗2:18，3:12）。</w:t>
      </w:r>
    </w:p>
    <w:p w14:paraId="4367753C">
      <w:pPr>
        <w:pStyle w:val="9"/>
        <w:spacing w:after="0" w:line="249" w:lineRule="auto"/>
        <w:rPr>
          <w:rFonts w:hint="eastAsia"/>
          <w:color w:val="231F20"/>
        </w:rPr>
      </w:pPr>
    </w:p>
    <w:p w14:paraId="68090CE9">
      <w:pPr>
        <w:pStyle w:val="9"/>
        <w:spacing w:after="0" w:line="249" w:lineRule="auto"/>
        <w:rPr>
          <w:rFonts w:hint="eastAsia"/>
          <w:color w:val="231F20"/>
        </w:rPr>
      </w:pPr>
      <w:r>
        <w:rPr>
          <w:rFonts w:hint="eastAsia"/>
          <w:color w:val="231F20"/>
        </w:rPr>
        <w:t>Here she is settled forever upon the sure foundation of Christ’s Person and Work, and also upon the apostolic testimony about them that she savingly believed: Twelve precious foundation stones, each with a name of one of the twelve apostles of the Lamb written upon them, undergird the City (14, 19-20; Eph. 2:20, 1 Thess. 2:13).</w:t>
      </w:r>
    </w:p>
    <w:p w14:paraId="50C4EA7D">
      <w:pPr>
        <w:pStyle w:val="9"/>
        <w:spacing w:after="0" w:line="249" w:lineRule="auto"/>
        <w:rPr>
          <w:rFonts w:hint="eastAsia"/>
          <w:color w:val="231F20"/>
        </w:rPr>
      </w:pPr>
      <w:r>
        <w:rPr>
          <w:rFonts w:hint="eastAsia"/>
          <w:color w:val="231F20"/>
        </w:rPr>
        <w:t>在这里，她永远被建立在基督位格和工作的坚固根基上，也建立在她得救所信的关于他们的使徒见证上：十二块宝贵的根基石，每块上面都写着羔羊十二使徒中一个的名字，支撑着这座城（14, 19-20；弗2:20，帖前2:13）。</w:t>
      </w:r>
    </w:p>
    <w:p w14:paraId="27E7CF91">
      <w:pPr>
        <w:pStyle w:val="9"/>
        <w:spacing w:after="0" w:line="249" w:lineRule="auto"/>
        <w:rPr>
          <w:rFonts w:hint="eastAsia"/>
          <w:color w:val="231F20"/>
        </w:rPr>
      </w:pPr>
    </w:p>
    <w:p w14:paraId="438D9E97">
      <w:pPr>
        <w:pStyle w:val="9"/>
        <w:spacing w:after="0" w:line="249" w:lineRule="auto"/>
        <w:rPr>
          <w:rFonts w:hint="eastAsia"/>
          <w:color w:val="231F20"/>
        </w:rPr>
      </w:pPr>
      <w:r>
        <w:rPr>
          <w:rFonts w:hint="eastAsia"/>
          <w:color w:val="231F20"/>
        </w:rPr>
        <w:t>The Bride-City fills the whole earth with the people of God; it is laid out as a square, 12,000 stadia on each side.</w:t>
      </w:r>
    </w:p>
    <w:p w14:paraId="6D3EEC27">
      <w:pPr>
        <w:pStyle w:val="9"/>
        <w:spacing w:after="0" w:line="249" w:lineRule="auto"/>
        <w:rPr>
          <w:rFonts w:hint="eastAsia"/>
          <w:color w:val="231F20"/>
        </w:rPr>
      </w:pPr>
      <w:r>
        <w:rPr>
          <w:rFonts w:hint="eastAsia"/>
          <w:color w:val="231F20"/>
        </w:rPr>
        <w:t>新妇之城充满了上帝的子民，遍满全地；它被设计成一个正方形，每边长一万二千斯他迪。</w:t>
      </w:r>
    </w:p>
    <w:p w14:paraId="5988CB6A">
      <w:pPr>
        <w:pStyle w:val="9"/>
        <w:spacing w:after="0" w:line="249" w:lineRule="auto"/>
        <w:rPr>
          <w:rFonts w:hint="eastAsia"/>
          <w:color w:val="231F20"/>
        </w:rPr>
      </w:pPr>
    </w:p>
    <w:p w14:paraId="76C218A6">
      <w:pPr>
        <w:pStyle w:val="9"/>
        <w:spacing w:after="0" w:line="249" w:lineRule="auto"/>
        <w:rPr>
          <w:rFonts w:hint="eastAsia"/>
          <w:color w:val="231F20"/>
        </w:rPr>
      </w:pPr>
      <w:r>
        <w:rPr>
          <w:rFonts w:hint="eastAsia"/>
          <w:color w:val="231F20"/>
        </w:rPr>
        <w:t>Like the Sanctuary in Ezekiel’s vision, she is also a perfect cube, signifying that she is perfectly holy (16).</w:t>
      </w:r>
    </w:p>
    <w:p w14:paraId="060BD2E3">
      <w:pPr>
        <w:pStyle w:val="9"/>
        <w:spacing w:after="0" w:line="249" w:lineRule="auto"/>
        <w:rPr>
          <w:rFonts w:hint="eastAsia"/>
          <w:color w:val="231F20"/>
        </w:rPr>
      </w:pPr>
      <w:r>
        <w:rPr>
          <w:rFonts w:hint="eastAsia"/>
          <w:color w:val="231F20"/>
        </w:rPr>
        <w:t>如同以西结异象中的圣所，她也是一个完美的立方体，象征着她是完全圣洁的（16）。</w:t>
      </w:r>
    </w:p>
    <w:p w14:paraId="1C32F0C3">
      <w:pPr>
        <w:pStyle w:val="9"/>
        <w:spacing w:after="0" w:line="249" w:lineRule="auto"/>
        <w:rPr>
          <w:rFonts w:hint="eastAsia"/>
          <w:color w:val="231F20"/>
        </w:rPr>
      </w:pPr>
    </w:p>
    <w:p w14:paraId="03B59343">
      <w:pPr>
        <w:pStyle w:val="9"/>
        <w:spacing w:after="0" w:line="249" w:lineRule="auto"/>
        <w:rPr>
          <w:rFonts w:hint="eastAsia"/>
          <w:color w:val="231F20"/>
        </w:rPr>
      </w:pPr>
      <w:r>
        <w:rPr>
          <w:rFonts w:hint="eastAsia"/>
          <w:color w:val="231F20"/>
        </w:rPr>
        <w:t>God and Christ themselves are the Temple in which she lives (22; John 14:20, 17:21, Thess. 1:1, 2 Thess. 1:1); she herself is the Temple in which God and Christ live (3; Eph. 2:22).</w:t>
      </w:r>
    </w:p>
    <w:p w14:paraId="12CF7022">
      <w:pPr>
        <w:pStyle w:val="9"/>
        <w:spacing w:after="0" w:line="249" w:lineRule="auto"/>
        <w:rPr>
          <w:rFonts w:hint="eastAsia"/>
          <w:color w:val="231F20"/>
        </w:rPr>
      </w:pPr>
      <w:r>
        <w:rPr>
          <w:rFonts w:hint="eastAsia"/>
          <w:color w:val="231F20"/>
        </w:rPr>
        <w:t>上帝和基督自己就是她所居住的殿（22；约翰福音14:20, 17:21，帖撒罗尼迦前书1:1，帖撒罗尼迦后书1:1）；她自己就是上帝和基督所居住的殿（3；以弗所书2:22）。</w:t>
      </w:r>
    </w:p>
    <w:p w14:paraId="7EBC7182">
      <w:pPr>
        <w:pStyle w:val="9"/>
        <w:spacing w:after="0" w:line="249" w:lineRule="auto"/>
        <w:rPr>
          <w:rFonts w:hint="eastAsia"/>
          <w:color w:val="231F20"/>
        </w:rPr>
      </w:pPr>
    </w:p>
    <w:p w14:paraId="1E71C4DA">
      <w:pPr>
        <w:pStyle w:val="9"/>
        <w:spacing w:after="0" w:line="249" w:lineRule="auto"/>
        <w:rPr>
          <w:rFonts w:hint="eastAsia"/>
          <w:color w:val="231F20"/>
        </w:rPr>
      </w:pPr>
      <w:r>
        <w:rPr>
          <w:rFonts w:hint="eastAsia"/>
          <w:color w:val="231F20"/>
        </w:rPr>
        <w:t>Here there is no night, and hence no luminaries; for God and Christ, by the Spirit, are the Light emanating from all things (21:3, 5, 22:25; John 8:12).</w:t>
      </w:r>
    </w:p>
    <w:p w14:paraId="273B1B98">
      <w:pPr>
        <w:pStyle w:val="9"/>
        <w:spacing w:after="0" w:line="249" w:lineRule="auto"/>
        <w:rPr>
          <w:rFonts w:hint="eastAsia"/>
          <w:color w:val="231F20"/>
        </w:rPr>
      </w:pPr>
      <w:r>
        <w:rPr>
          <w:rFonts w:hint="eastAsia"/>
          <w:color w:val="231F20"/>
        </w:rPr>
        <w:t>这里没有黑夜，因此也没有发光体；因为上帝和基督，借着圣灵，是从万物中发出的光（21:3, 5, 22:25；约翰福音8:12）。</w:t>
      </w:r>
    </w:p>
    <w:p w14:paraId="2F71CC0E">
      <w:pPr>
        <w:pStyle w:val="9"/>
        <w:spacing w:after="0" w:line="249" w:lineRule="auto"/>
        <w:rPr>
          <w:rFonts w:hint="eastAsia"/>
          <w:color w:val="231F20"/>
        </w:rPr>
      </w:pPr>
    </w:p>
    <w:p w14:paraId="542E653A">
      <w:pPr>
        <w:pStyle w:val="9"/>
        <w:spacing w:after="0" w:line="249" w:lineRule="auto"/>
        <w:rPr>
          <w:rFonts w:hint="eastAsia"/>
          <w:color w:val="231F20"/>
        </w:rPr>
      </w:pPr>
      <w:r>
        <w:rPr>
          <w:rFonts w:hint="eastAsia"/>
          <w:color w:val="231F20"/>
        </w:rPr>
        <w:t>By this light the nations of the redeemed—the City herself—will walk forever, therein bearing the glory of God to one another (21:24-26; Mt. 5:14).</w:t>
      </w:r>
    </w:p>
    <w:p w14:paraId="55ED31EC">
      <w:pPr>
        <w:pStyle w:val="9"/>
        <w:spacing w:after="0" w:line="249" w:lineRule="auto"/>
        <w:rPr>
          <w:rFonts w:hint="eastAsia"/>
          <w:color w:val="231F20"/>
        </w:rPr>
      </w:pPr>
      <w:r>
        <w:rPr>
          <w:rFonts w:hint="eastAsia"/>
          <w:color w:val="231F20"/>
        </w:rPr>
        <w:t>借着这光，被赎的万民——就是城本身——将永远行走，在其中将上帝的荣耀彼此传扬（21:24-26；太5:14）。</w:t>
      </w:r>
    </w:p>
    <w:p w14:paraId="4DFDF226">
      <w:pPr>
        <w:pStyle w:val="9"/>
        <w:spacing w:after="0" w:line="249" w:lineRule="auto"/>
        <w:rPr>
          <w:rFonts w:hint="eastAsia"/>
          <w:color w:val="231F20"/>
        </w:rPr>
      </w:pPr>
    </w:p>
    <w:p w14:paraId="5E48F70F">
      <w:pPr>
        <w:pStyle w:val="9"/>
        <w:spacing w:after="0" w:line="249" w:lineRule="auto"/>
        <w:rPr>
          <w:rFonts w:hint="eastAsia"/>
          <w:color w:val="231F20"/>
        </w:rPr>
      </w:pPr>
      <w:r>
        <w:rPr>
          <w:rFonts w:hint="eastAsia"/>
          <w:color w:val="231F20"/>
        </w:rPr>
        <w:t>Here in the eschatological Eden, the Bride-City will perpetually drink from the river of the water of the divine life; water given by God, secured by Christ, and bestowed by the Holy Spirit (22:1-2; John 4:10, 7:37).</w:t>
      </w:r>
    </w:p>
    <w:p w14:paraId="314F1D49">
      <w:pPr>
        <w:pStyle w:val="9"/>
        <w:spacing w:after="0" w:line="249" w:lineRule="auto"/>
        <w:rPr>
          <w:rFonts w:hint="eastAsia"/>
          <w:color w:val="231F20"/>
        </w:rPr>
      </w:pPr>
      <w:r>
        <w:rPr>
          <w:rFonts w:hint="eastAsia"/>
          <w:color w:val="231F20"/>
        </w:rPr>
        <w:t>在这里，在末世的伊甸园，新妇之城将永远饮于神圣生命水的河；这水是上帝所赐，基督所保，圣灵所施的（22:1-2；约4:10, 7:37）。</w:t>
      </w:r>
    </w:p>
    <w:p w14:paraId="188CB165">
      <w:pPr>
        <w:pStyle w:val="9"/>
        <w:spacing w:after="0" w:line="249" w:lineRule="auto"/>
        <w:rPr>
          <w:rFonts w:hint="eastAsia"/>
          <w:color w:val="231F20"/>
        </w:rPr>
      </w:pPr>
    </w:p>
    <w:p w14:paraId="40DBFD68">
      <w:pPr>
        <w:pStyle w:val="9"/>
        <w:spacing w:after="0" w:line="249" w:lineRule="auto"/>
        <w:rPr>
          <w:rFonts w:hint="eastAsia"/>
          <w:color w:val="231F20"/>
        </w:rPr>
      </w:pPr>
      <w:r>
        <w:rPr>
          <w:rFonts w:hint="eastAsia"/>
          <w:color w:val="231F20"/>
        </w:rPr>
        <w:t>Here in the eschatological Paradise, she will fully partake of Christ—the fruit of the Tree of Life—so that to all eternity she remains healed from every wound of her former sins (22:2-3).</w:t>
      </w:r>
    </w:p>
    <w:p w14:paraId="7A832D0F">
      <w:pPr>
        <w:pStyle w:val="9"/>
        <w:spacing w:after="0" w:line="249" w:lineRule="auto"/>
        <w:rPr>
          <w:rFonts w:hint="eastAsia"/>
          <w:color w:val="231F20"/>
        </w:rPr>
      </w:pPr>
      <w:r>
        <w:rPr>
          <w:rFonts w:hint="eastAsia"/>
          <w:color w:val="231F20"/>
        </w:rPr>
        <w:t>在这里，在末世的乐园里，她将完全分享基督——生命树的果子——使她直到永远都从她先前罪的所有伤口中得医治（22:2-3）。</w:t>
      </w:r>
    </w:p>
    <w:p w14:paraId="53733FAA">
      <w:pPr>
        <w:pStyle w:val="9"/>
        <w:spacing w:after="0" w:line="249" w:lineRule="auto"/>
        <w:rPr>
          <w:rFonts w:hint="eastAsia"/>
          <w:color w:val="231F20"/>
        </w:rPr>
      </w:pPr>
    </w:p>
    <w:p w14:paraId="653A0802">
      <w:pPr>
        <w:pStyle w:val="9"/>
        <w:spacing w:after="0" w:line="249" w:lineRule="auto"/>
        <w:rPr>
          <w:rFonts w:hint="eastAsia"/>
          <w:color w:val="231F20"/>
        </w:rPr>
      </w:pPr>
      <w:r>
        <w:rPr>
          <w:rFonts w:hint="eastAsia"/>
          <w:color w:val="231F20"/>
        </w:rPr>
        <w:t>Here, God in Christ is King; here, his servants will serve him; and here —seeing his face and fully belonging to him—they will reign in life, through Christ, with Christ, forever (22:3-5).</w:t>
      </w:r>
    </w:p>
    <w:p w14:paraId="2D2B5749">
      <w:pPr>
        <w:pStyle w:val="9"/>
        <w:spacing w:after="0" w:line="249" w:lineRule="auto"/>
        <w:rPr>
          <w:rFonts w:hint="eastAsia"/>
          <w:color w:val="231F20"/>
        </w:rPr>
      </w:pPr>
      <w:r>
        <w:rPr>
          <w:rFonts w:hint="eastAsia"/>
          <w:color w:val="231F20"/>
        </w:rPr>
        <w:t>在这里，在基督里的上帝是王；在这里，祂的仆人要事奉祂；在这里——看见祂的面，完全属于祂——他们将在生命中，借着基督，与基督一同作王，直到永远（22:3-5）。</w:t>
      </w:r>
    </w:p>
    <w:p w14:paraId="07361FCD">
      <w:pPr>
        <w:pStyle w:val="9"/>
        <w:spacing w:after="0" w:line="249" w:lineRule="auto"/>
        <w:rPr>
          <w:rFonts w:hint="eastAsia"/>
          <w:color w:val="231F20"/>
        </w:rPr>
      </w:pPr>
    </w:p>
    <w:p w14:paraId="3D53B775">
      <w:pPr>
        <w:pStyle w:val="9"/>
        <w:spacing w:after="0" w:line="249" w:lineRule="auto"/>
        <w:rPr>
          <w:rFonts w:hint="eastAsia"/>
          <w:color w:val="231F20"/>
        </w:rPr>
      </w:pPr>
      <w:r>
        <w:rPr>
          <w:rFonts w:hint="eastAsia"/>
          <w:color w:val="231F20"/>
        </w:rPr>
        <w:t>3.Concluding Affirmations, Promises, Warnings, and Exhortations (22:6-21)</w:t>
      </w:r>
    </w:p>
    <w:p w14:paraId="18DF5CA9">
      <w:pPr>
        <w:pStyle w:val="9"/>
        <w:spacing w:after="0" w:line="249" w:lineRule="auto"/>
        <w:rPr>
          <w:rFonts w:hint="eastAsia"/>
          <w:color w:val="231F20"/>
        </w:rPr>
      </w:pPr>
      <w:r>
        <w:rPr>
          <w:rFonts w:hint="eastAsia"/>
          <w:color w:val="231F20"/>
        </w:rPr>
        <w:t>3.总结性的肯定、应许、警告和劝勉（22:6-21）</w:t>
      </w:r>
    </w:p>
    <w:p w14:paraId="4E5D6AC0">
      <w:pPr>
        <w:pStyle w:val="9"/>
        <w:spacing w:after="0" w:line="249" w:lineRule="auto"/>
        <w:rPr>
          <w:rFonts w:hint="eastAsia"/>
          <w:color w:val="231F20"/>
        </w:rPr>
      </w:pPr>
    </w:p>
    <w:p w14:paraId="6195D8C2">
      <w:pPr>
        <w:pStyle w:val="9"/>
        <w:spacing w:after="0" w:line="249" w:lineRule="auto"/>
        <w:rPr>
          <w:rFonts w:hint="eastAsia"/>
          <w:color w:val="231F20"/>
        </w:rPr>
      </w:pPr>
      <w:r>
        <w:rPr>
          <w:rFonts w:hint="eastAsia"/>
          <w:color w:val="231F20"/>
        </w:rPr>
        <w:t>The third and final section of Revelation 21-22 brings the book to a close with various affirmations, promises, warnings, and exhortations.</w:t>
      </w:r>
    </w:p>
    <w:p w14:paraId="04195454">
      <w:pPr>
        <w:pStyle w:val="9"/>
        <w:spacing w:after="0" w:line="249" w:lineRule="auto"/>
        <w:rPr>
          <w:rFonts w:hint="eastAsia"/>
          <w:color w:val="231F20"/>
        </w:rPr>
      </w:pPr>
      <w:r>
        <w:rPr>
          <w:rFonts w:hint="eastAsia"/>
          <w:color w:val="231F20"/>
        </w:rPr>
        <w:t>《启示录》21-22章的第三个也是最后一个部分，以各种肯定、应许、警告和劝勉来结束本书。</w:t>
      </w:r>
    </w:p>
    <w:p w14:paraId="74A57767">
      <w:pPr>
        <w:pStyle w:val="9"/>
        <w:spacing w:after="0" w:line="249" w:lineRule="auto"/>
        <w:rPr>
          <w:rFonts w:hint="eastAsia"/>
          <w:color w:val="231F20"/>
        </w:rPr>
      </w:pPr>
    </w:p>
    <w:p w14:paraId="57433C08">
      <w:pPr>
        <w:pStyle w:val="9"/>
        <w:spacing w:after="0" w:line="249" w:lineRule="auto"/>
        <w:rPr>
          <w:rFonts w:hint="eastAsia"/>
          <w:color w:val="231F20"/>
        </w:rPr>
      </w:pPr>
      <w:r>
        <w:rPr>
          <w:rFonts w:hint="eastAsia"/>
          <w:color w:val="231F20"/>
        </w:rPr>
        <w:t>Verses 6-9 assure the saints that the entire prophecy is true and trustworthy.</w:t>
      </w:r>
    </w:p>
    <w:p w14:paraId="05737508">
      <w:pPr>
        <w:pStyle w:val="9"/>
        <w:spacing w:after="0" w:line="249" w:lineRule="auto"/>
        <w:rPr>
          <w:rFonts w:hint="eastAsia"/>
          <w:color w:val="231F20"/>
        </w:rPr>
      </w:pPr>
      <w:r>
        <w:rPr>
          <w:rFonts w:hint="eastAsia"/>
          <w:color w:val="231F20"/>
        </w:rPr>
        <w:t>第6-9节向圣徒保证，整个预言是真实可信的。</w:t>
      </w:r>
    </w:p>
    <w:p w14:paraId="30CD219B">
      <w:pPr>
        <w:pStyle w:val="9"/>
        <w:spacing w:after="0" w:line="249" w:lineRule="auto"/>
        <w:rPr>
          <w:rFonts w:hint="eastAsia"/>
          <w:color w:val="231F20"/>
        </w:rPr>
      </w:pPr>
    </w:p>
    <w:p w14:paraId="0044BC4F">
      <w:pPr>
        <w:pStyle w:val="9"/>
        <w:spacing w:after="0" w:line="249" w:lineRule="auto"/>
        <w:rPr>
          <w:rFonts w:hint="eastAsia"/>
          <w:color w:val="231F20"/>
        </w:rPr>
      </w:pPr>
      <w:r>
        <w:rPr>
          <w:rFonts w:hint="eastAsia"/>
          <w:color w:val="231F20"/>
        </w:rPr>
        <w:t>Also, they pronounce a blessing—the supreme blessing—upon everyone who takes it to heart.</w:t>
      </w:r>
    </w:p>
    <w:p w14:paraId="35A044EA">
      <w:pPr>
        <w:pStyle w:val="9"/>
        <w:spacing w:after="0" w:line="249" w:lineRule="auto"/>
        <w:rPr>
          <w:rFonts w:hint="eastAsia"/>
          <w:color w:val="231F20"/>
        </w:rPr>
      </w:pPr>
      <w:r>
        <w:rPr>
          <w:rFonts w:hint="eastAsia"/>
          <w:color w:val="231F20"/>
        </w:rPr>
        <w:t>并且，他们宣告一个祝福——至高的祝福——给每一位将它放在心上的人。</w:t>
      </w:r>
    </w:p>
    <w:p w14:paraId="49F7F298">
      <w:pPr>
        <w:pStyle w:val="9"/>
        <w:spacing w:after="0" w:line="249" w:lineRule="auto"/>
        <w:rPr>
          <w:rFonts w:hint="eastAsia"/>
          <w:color w:val="231F20"/>
        </w:rPr>
      </w:pPr>
    </w:p>
    <w:p w14:paraId="2B5ED1C5">
      <w:pPr>
        <w:pStyle w:val="9"/>
        <w:spacing w:after="0" w:line="249" w:lineRule="auto"/>
        <w:rPr>
          <w:rFonts w:hint="eastAsia"/>
          <w:color w:val="231F20"/>
        </w:rPr>
      </w:pPr>
      <w:r>
        <w:rPr>
          <w:rFonts w:hint="eastAsia"/>
          <w:color w:val="231F20"/>
        </w:rPr>
        <w:t>Verses 8-9 warn against a besetting NT temptation, the worship of angels, even as they remind and exhort the saints to worship God alone (Col. 2:18, Heb. 1:1ff).</w:t>
      </w:r>
    </w:p>
    <w:p w14:paraId="29C86313">
      <w:pPr>
        <w:pStyle w:val="9"/>
        <w:spacing w:after="0" w:line="249" w:lineRule="auto"/>
        <w:rPr>
          <w:rFonts w:hint="eastAsia"/>
          <w:color w:val="231F20"/>
        </w:rPr>
      </w:pPr>
      <w:r>
        <w:rPr>
          <w:rFonts w:hint="eastAsia"/>
          <w:color w:val="231F20"/>
        </w:rPr>
        <w:t>第8-9节警告了新约中一个常犯的试探，即敬拜天使，同时也提醒并劝勉圣徒单单敬拜上帝（西2:18，来1:1及以下）。</w:t>
      </w:r>
    </w:p>
    <w:p w14:paraId="5348DD5F">
      <w:pPr>
        <w:pStyle w:val="9"/>
        <w:spacing w:after="0" w:line="249" w:lineRule="auto"/>
        <w:rPr>
          <w:rFonts w:hint="eastAsia"/>
          <w:color w:val="231F20"/>
        </w:rPr>
      </w:pPr>
    </w:p>
    <w:p w14:paraId="03B0EA0B">
      <w:pPr>
        <w:pStyle w:val="9"/>
        <w:spacing w:after="0" w:line="249" w:lineRule="auto"/>
        <w:rPr>
          <w:rFonts w:hint="eastAsia"/>
          <w:color w:val="231F20"/>
        </w:rPr>
      </w:pPr>
      <w:r>
        <w:rPr>
          <w:rFonts w:hint="eastAsia"/>
          <w:color w:val="231F20"/>
        </w:rPr>
        <w:t>Verses 10-15 serve a number of purposes.</w:t>
      </w:r>
    </w:p>
    <w:p w14:paraId="48CAA601">
      <w:pPr>
        <w:pStyle w:val="9"/>
        <w:spacing w:after="0" w:line="249" w:lineRule="auto"/>
        <w:rPr>
          <w:rFonts w:hint="eastAsia"/>
          <w:color w:val="231F20"/>
        </w:rPr>
      </w:pPr>
      <w:r>
        <w:rPr>
          <w:rFonts w:hint="eastAsia"/>
          <w:color w:val="231F20"/>
        </w:rPr>
        <w:t>第10-15节有几个目的。</w:t>
      </w:r>
    </w:p>
    <w:p w14:paraId="2E0FECCF">
      <w:pPr>
        <w:pStyle w:val="9"/>
        <w:spacing w:after="0" w:line="249" w:lineRule="auto"/>
        <w:rPr>
          <w:rFonts w:hint="eastAsia"/>
          <w:color w:val="231F20"/>
        </w:rPr>
      </w:pPr>
    </w:p>
    <w:p w14:paraId="5E18CD2A">
      <w:pPr>
        <w:pStyle w:val="9"/>
        <w:spacing w:after="0" w:line="249" w:lineRule="auto"/>
        <w:rPr>
          <w:rFonts w:hint="eastAsia"/>
          <w:color w:val="231F20"/>
        </w:rPr>
      </w:pPr>
      <w:r>
        <w:rPr>
          <w:rFonts w:hint="eastAsia"/>
          <w:color w:val="231F20"/>
        </w:rPr>
        <w:t>They assure Christians that “the time is near,” that the fulfillment of these visions does not lie in the distant future, but is already upon them.</w:t>
      </w:r>
    </w:p>
    <w:p w14:paraId="6DCDBC99">
      <w:pPr>
        <w:pStyle w:val="9"/>
        <w:spacing w:after="0" w:line="249" w:lineRule="auto"/>
        <w:rPr>
          <w:rFonts w:hint="eastAsia"/>
          <w:color w:val="231F20"/>
        </w:rPr>
      </w:pPr>
      <w:r>
        <w:rPr>
          <w:rFonts w:hint="eastAsia"/>
          <w:color w:val="231F20"/>
        </w:rPr>
        <w:t>它们向基督徒保证，“时候近了”，这些异象的应验并非在遥远的未来，而是已经临到他们了。</w:t>
      </w:r>
    </w:p>
    <w:p w14:paraId="1B7B46F4">
      <w:pPr>
        <w:pStyle w:val="9"/>
        <w:spacing w:after="0" w:line="249" w:lineRule="auto"/>
        <w:rPr>
          <w:rFonts w:hint="eastAsia"/>
          <w:color w:val="231F20"/>
        </w:rPr>
      </w:pPr>
    </w:p>
    <w:p w14:paraId="5AA801E2">
      <w:pPr>
        <w:pStyle w:val="9"/>
        <w:spacing w:after="0" w:line="249" w:lineRule="auto"/>
        <w:rPr>
          <w:rFonts w:hint="eastAsia"/>
          <w:color w:val="231F20"/>
        </w:rPr>
      </w:pPr>
      <w:r>
        <w:rPr>
          <w:rFonts w:hint="eastAsia"/>
          <w:color w:val="231F20"/>
        </w:rPr>
        <w:t>Indeed, by God’s reckoning, the Parousia itself is at hand (10, 12).</w:t>
      </w:r>
    </w:p>
    <w:p w14:paraId="5F048441">
      <w:pPr>
        <w:pStyle w:val="9"/>
        <w:spacing w:after="0" w:line="249" w:lineRule="auto"/>
        <w:rPr>
          <w:rFonts w:hint="eastAsia"/>
          <w:color w:val="231F20"/>
        </w:rPr>
      </w:pPr>
      <w:r>
        <w:rPr>
          <w:rFonts w:hint="eastAsia"/>
          <w:color w:val="231F20"/>
        </w:rPr>
        <w:t>确实，按着上帝的计算，主临（Parousia）本身就近了（10, 12）。</w:t>
      </w:r>
    </w:p>
    <w:p w14:paraId="78F40BFD">
      <w:pPr>
        <w:pStyle w:val="9"/>
        <w:spacing w:after="0" w:line="249" w:lineRule="auto"/>
        <w:rPr>
          <w:rFonts w:hint="eastAsia"/>
          <w:color w:val="231F20"/>
        </w:rPr>
      </w:pPr>
    </w:p>
    <w:p w14:paraId="68D4FF67">
      <w:pPr>
        <w:pStyle w:val="9"/>
        <w:spacing w:after="0" w:line="249" w:lineRule="auto"/>
        <w:rPr>
          <w:rFonts w:hint="eastAsia"/>
          <w:color w:val="231F20"/>
        </w:rPr>
      </w:pPr>
      <w:r>
        <w:rPr>
          <w:rFonts w:hint="eastAsia"/>
          <w:color w:val="231F20"/>
        </w:rPr>
        <w:t>They warn the reader that his response to the Gospel—and especially to the contents of the Revelation—will set and seal his course into eternity.</w:t>
      </w:r>
    </w:p>
    <w:p w14:paraId="0CE83F23">
      <w:pPr>
        <w:pStyle w:val="9"/>
        <w:spacing w:after="0" w:line="249" w:lineRule="auto"/>
        <w:rPr>
          <w:rFonts w:hint="eastAsia"/>
          <w:color w:val="231F20"/>
        </w:rPr>
      </w:pPr>
      <w:r>
        <w:rPr>
          <w:rFonts w:hint="eastAsia"/>
          <w:color w:val="231F20"/>
        </w:rPr>
        <w:t>它们警告读者，他对福音——特别是对《启示录》内容——的回应，将设定并封印他通往永恒的道路。</w:t>
      </w:r>
    </w:p>
    <w:p w14:paraId="503A0BC9">
      <w:pPr>
        <w:pStyle w:val="9"/>
        <w:spacing w:after="0" w:line="249" w:lineRule="auto"/>
        <w:rPr>
          <w:rFonts w:hint="eastAsia"/>
          <w:color w:val="231F20"/>
        </w:rPr>
      </w:pPr>
    </w:p>
    <w:p w14:paraId="638F9BD7">
      <w:pPr>
        <w:pStyle w:val="9"/>
        <w:spacing w:after="0" w:line="249" w:lineRule="auto"/>
        <w:rPr>
          <w:rFonts w:hint="eastAsia"/>
          <w:color w:val="231F20"/>
        </w:rPr>
      </w:pPr>
      <w:r>
        <w:rPr>
          <w:rFonts w:hint="eastAsia"/>
          <w:color w:val="231F20"/>
        </w:rPr>
        <w:t>They also give us the voice of the High King himself, affirming his soon return (12), reminding us of his divine role in Creation and Consummation (13), promising believers access to God and the Tree of Life, and warning the impenitent wicked of eternal exclusion from the City of God (14).</w:t>
      </w:r>
    </w:p>
    <w:p w14:paraId="5AA52060">
      <w:pPr>
        <w:pStyle w:val="9"/>
        <w:spacing w:after="0" w:line="249" w:lineRule="auto"/>
        <w:rPr>
          <w:rFonts w:hint="eastAsia"/>
          <w:color w:val="231F20"/>
        </w:rPr>
      </w:pPr>
      <w:r>
        <w:rPr>
          <w:rFonts w:hint="eastAsia"/>
          <w:color w:val="231F20"/>
        </w:rPr>
        <w:t>它们也给了我们至高君王祂自己的声音，确认祂快要再来（12），提醒我们祂在创造和最终成全中的神圣角色（13），应许信徒可以进到上帝面前和生命树那里，并警告不悔改的恶人将被永远排除在上帝之城外（14）。</w:t>
      </w:r>
    </w:p>
    <w:p w14:paraId="087F41EE">
      <w:pPr>
        <w:pStyle w:val="9"/>
        <w:spacing w:after="0" w:line="249" w:lineRule="auto"/>
        <w:rPr>
          <w:rFonts w:hint="eastAsia"/>
          <w:color w:val="231F20"/>
        </w:rPr>
      </w:pPr>
    </w:p>
    <w:p w14:paraId="4961F1DB">
      <w:pPr>
        <w:pStyle w:val="9"/>
        <w:spacing w:after="0" w:line="249" w:lineRule="auto"/>
        <w:rPr>
          <w:rFonts w:hint="eastAsia"/>
          <w:color w:val="231F20"/>
        </w:rPr>
      </w:pPr>
      <w:r>
        <w:rPr>
          <w:rFonts w:hint="eastAsia"/>
          <w:color w:val="231F20"/>
        </w:rPr>
        <w:t>Verses 16-17 supply a holy antiphony: Christ affirms that he is the divine-human Messiah, the God-appointed King of the World to Come (16).</w:t>
      </w:r>
    </w:p>
    <w:p w14:paraId="23CB2E9C">
      <w:pPr>
        <w:pStyle w:val="9"/>
        <w:spacing w:after="0" w:line="249" w:lineRule="auto"/>
        <w:rPr>
          <w:rFonts w:hint="eastAsia"/>
          <w:color w:val="231F20"/>
        </w:rPr>
      </w:pPr>
      <w:r>
        <w:rPr>
          <w:rFonts w:hint="eastAsia"/>
          <w:color w:val="231F20"/>
        </w:rPr>
        <w:t>第16-17节提供了一段神圣的对唱：基督肯定祂是神人弥赛亚，是上帝所立的将来世界的君王（16）。</w:t>
      </w:r>
    </w:p>
    <w:p w14:paraId="3D3ECBC7">
      <w:pPr>
        <w:pStyle w:val="9"/>
        <w:spacing w:after="0" w:line="249" w:lineRule="auto"/>
        <w:rPr>
          <w:rFonts w:hint="eastAsia"/>
          <w:color w:val="231F20"/>
        </w:rPr>
      </w:pPr>
    </w:p>
    <w:p w14:paraId="617E89DC">
      <w:pPr>
        <w:pStyle w:val="9"/>
        <w:spacing w:after="0" w:line="249" w:lineRule="auto"/>
        <w:rPr>
          <w:rFonts w:hint="eastAsia"/>
          <w:color w:val="231F20"/>
        </w:rPr>
      </w:pPr>
      <w:r>
        <w:rPr>
          <w:rFonts w:hint="eastAsia"/>
          <w:color w:val="231F20"/>
        </w:rPr>
        <w:t>In reply, the Spirit-filled Church not only beseeches Christ to come to her, but likewise beseeches the (unconverted) elect to come to him, so that they might receive from him the water of life.</w:t>
      </w:r>
    </w:p>
    <w:p w14:paraId="69728914">
      <w:pPr>
        <w:pStyle w:val="9"/>
        <w:spacing w:after="0" w:line="249" w:lineRule="auto"/>
        <w:rPr>
          <w:rFonts w:hint="eastAsia"/>
          <w:color w:val="231F20"/>
        </w:rPr>
      </w:pPr>
      <w:r>
        <w:rPr>
          <w:rFonts w:hint="eastAsia"/>
          <w:color w:val="231F20"/>
        </w:rPr>
        <w:t>作为回应，被圣灵充满的教会不仅恳求基督来临，也同样恳求（未归信的）选民归向祂，使他们可以从祂那里领受生命的水。</w:t>
      </w:r>
    </w:p>
    <w:p w14:paraId="088B5856">
      <w:pPr>
        <w:pStyle w:val="9"/>
        <w:spacing w:after="0" w:line="249" w:lineRule="auto"/>
        <w:rPr>
          <w:rFonts w:hint="eastAsia"/>
          <w:color w:val="231F20"/>
        </w:rPr>
      </w:pPr>
    </w:p>
    <w:p w14:paraId="7EAF34B9">
      <w:pPr>
        <w:pStyle w:val="9"/>
        <w:spacing w:after="0" w:line="249" w:lineRule="auto"/>
        <w:rPr>
          <w:rFonts w:hint="eastAsia"/>
          <w:color w:val="231F20"/>
        </w:rPr>
      </w:pPr>
      <w:r>
        <w:rPr>
          <w:rFonts w:hint="eastAsia"/>
          <w:color w:val="231F20"/>
        </w:rPr>
        <w:t>In verses 18-19 John places the words of this prophecy in the category of sacred Scripture, threatening eternal destruction to any who would add to them or subtract from them.</w:t>
      </w:r>
    </w:p>
    <w:p w14:paraId="215B9AF2">
      <w:pPr>
        <w:pStyle w:val="9"/>
        <w:spacing w:after="0" w:line="249" w:lineRule="auto"/>
        <w:rPr>
          <w:rFonts w:hint="eastAsia"/>
          <w:color w:val="231F20"/>
        </w:rPr>
      </w:pPr>
      <w:r>
        <w:rPr>
          <w:rFonts w:hint="eastAsia"/>
          <w:color w:val="231F20"/>
        </w:rPr>
        <w:t>在第18-19节，约翰将这预言的话语归入圣经的范畴，并威胁说，凡加添或删减的，都必遭永远的毁灭。</w:t>
      </w:r>
    </w:p>
    <w:p w14:paraId="139EEAD0">
      <w:pPr>
        <w:pStyle w:val="9"/>
        <w:spacing w:after="0" w:line="249" w:lineRule="auto"/>
        <w:rPr>
          <w:rFonts w:hint="eastAsia"/>
          <w:color w:val="231F20"/>
        </w:rPr>
      </w:pPr>
    </w:p>
    <w:p w14:paraId="7680C026">
      <w:pPr>
        <w:pStyle w:val="9"/>
        <w:spacing w:after="0" w:line="249" w:lineRule="auto"/>
        <w:rPr>
          <w:rFonts w:hint="eastAsia"/>
          <w:color w:val="231F20"/>
        </w:rPr>
      </w:pPr>
      <w:r>
        <w:rPr>
          <w:rFonts w:hint="eastAsia"/>
          <w:color w:val="231F20"/>
        </w:rPr>
        <w:t>Verse 20 gives us still another antiphony: Christ declares that he is coming quickly; in reply, John sounds forth the heart-cry of the Universal Church itself, beseeching him to do that very thing.</w:t>
      </w:r>
    </w:p>
    <w:p w14:paraId="1D8627CE">
      <w:pPr>
        <w:pStyle w:val="9"/>
        <w:spacing w:after="0" w:line="249" w:lineRule="auto"/>
        <w:rPr>
          <w:rFonts w:hint="eastAsia"/>
          <w:color w:val="231F20"/>
        </w:rPr>
      </w:pPr>
      <w:r>
        <w:rPr>
          <w:rFonts w:hint="eastAsia"/>
          <w:color w:val="231F20"/>
        </w:rPr>
        <w:t>第20节又给了我们一段对唱：基督宣告说祂快要来了；作为回应，约翰发出了普世教会本身的心声，恳求祂就这样行。</w:t>
      </w:r>
    </w:p>
    <w:p w14:paraId="6D2C8D60">
      <w:pPr>
        <w:pStyle w:val="9"/>
        <w:spacing w:after="0" w:line="249" w:lineRule="auto"/>
        <w:rPr>
          <w:rFonts w:hint="eastAsia"/>
          <w:color w:val="231F20"/>
        </w:rPr>
      </w:pPr>
    </w:p>
    <w:p w14:paraId="0FDE88A0">
      <w:pPr>
        <w:pStyle w:val="9"/>
        <w:spacing w:after="0" w:line="249" w:lineRule="auto"/>
        <w:rPr>
          <w:rFonts w:hint="eastAsia"/>
          <w:color w:val="231F20"/>
        </w:rPr>
      </w:pPr>
      <w:r>
        <w:rPr>
          <w:rFonts w:hint="eastAsia"/>
          <w:color w:val="231F20"/>
        </w:rPr>
        <w:t>In verse 21 the apostle concludes the book with a benediction, praying God’s grace upon all, not only that they should hear, but also that they should continue to believe, trust, and obey.</w:t>
      </w:r>
    </w:p>
    <w:p w14:paraId="2F6FFFF5">
      <w:pPr>
        <w:pStyle w:val="9"/>
        <w:spacing w:after="0" w:line="249" w:lineRule="auto"/>
        <w:rPr>
          <w:rFonts w:hint="eastAsia"/>
          <w:color w:val="231F20"/>
        </w:rPr>
      </w:pPr>
      <w:r>
        <w:rPr>
          <w:rFonts w:hint="eastAsia"/>
          <w:color w:val="231F20"/>
        </w:rPr>
        <w:t>在第21节，使徒以祝福结束本书，祈求上帝的恩典临到所有人，不仅使他们能听见，也使他们能继续相信、信靠和顺服。</w:t>
      </w:r>
    </w:p>
    <w:p w14:paraId="4379283E">
      <w:pPr>
        <w:pStyle w:val="9"/>
        <w:spacing w:after="0" w:line="249" w:lineRule="auto"/>
        <w:rPr>
          <w:rFonts w:hint="eastAsia"/>
          <w:color w:val="231F20"/>
        </w:rPr>
      </w:pPr>
    </w:p>
    <w:p w14:paraId="7C9CBB20">
      <w:pPr>
        <w:pStyle w:val="9"/>
        <w:spacing w:after="0" w:line="249" w:lineRule="auto"/>
        <w:rPr>
          <w:rFonts w:hint="eastAsia"/>
          <w:color w:val="231F20"/>
        </w:rPr>
      </w:pPr>
      <w:r>
        <w:rPr>
          <w:rFonts w:hint="eastAsia"/>
          <w:color w:val="231F20"/>
        </w:rPr>
        <w:t>He desires them ever faithful to the end, ever hopeful of a new and glorious beginning.</w:t>
      </w:r>
    </w:p>
    <w:p w14:paraId="57A71191">
      <w:pPr>
        <w:pStyle w:val="9"/>
        <w:spacing w:after="0" w:line="249" w:lineRule="auto"/>
        <w:rPr>
          <w:rFonts w:hint="eastAsia"/>
          <w:color w:val="231F20"/>
        </w:rPr>
      </w:pPr>
      <w:r>
        <w:rPr>
          <w:rFonts w:hint="eastAsia"/>
          <w:color w:val="231F20"/>
        </w:rPr>
        <w:t>祂渴望他们至死忠心，永远盼望一个新的、荣耀的开始。</w:t>
      </w:r>
    </w:p>
    <w:p w14:paraId="1A001256">
      <w:pPr>
        <w:pStyle w:val="9"/>
        <w:spacing w:after="0" w:line="249" w:lineRule="auto"/>
        <w:rPr>
          <w:rFonts w:hint="eastAsia"/>
          <w:color w:val="231F20"/>
        </w:rPr>
      </w:pPr>
    </w:p>
    <w:p w14:paraId="086D6556">
      <w:pPr>
        <w:pStyle w:val="9"/>
        <w:spacing w:after="0" w:line="249" w:lineRule="auto"/>
        <w:rPr>
          <w:rFonts w:hint="eastAsia"/>
          <w:color w:val="231F20"/>
        </w:rPr>
      </w:pPr>
      <w:r>
        <w:rPr>
          <w:rFonts w:hint="eastAsia"/>
          <w:color w:val="231F20"/>
        </w:rPr>
        <w:t>Summary and Conclusion</w:t>
      </w:r>
    </w:p>
    <w:p w14:paraId="34862C04">
      <w:pPr>
        <w:pStyle w:val="9"/>
        <w:spacing w:after="0" w:line="249" w:lineRule="auto"/>
        <w:rPr>
          <w:rFonts w:hint="eastAsia"/>
          <w:color w:val="231F20"/>
        </w:rPr>
      </w:pPr>
      <w:r>
        <w:rPr>
          <w:rFonts w:hint="eastAsia"/>
          <w:color w:val="231F20"/>
        </w:rPr>
        <w:t>总结与结论</w:t>
      </w:r>
    </w:p>
    <w:p w14:paraId="10C58423">
      <w:pPr>
        <w:pStyle w:val="9"/>
        <w:spacing w:after="0" w:line="249" w:lineRule="auto"/>
        <w:rPr>
          <w:rFonts w:hint="eastAsia"/>
          <w:color w:val="231F20"/>
        </w:rPr>
      </w:pPr>
    </w:p>
    <w:p w14:paraId="2482E36D">
      <w:pPr>
        <w:pStyle w:val="9"/>
        <w:spacing w:after="0" w:line="249" w:lineRule="auto"/>
        <w:rPr>
          <w:rFonts w:hint="eastAsia"/>
          <w:color w:val="231F20"/>
        </w:rPr>
      </w:pPr>
      <w:r>
        <w:rPr>
          <w:rFonts w:hint="eastAsia"/>
          <w:color w:val="231F20"/>
        </w:rPr>
        <w:t>We have completed our expository journey through Revelation 20.</w:t>
      </w:r>
    </w:p>
    <w:p w14:paraId="5E621156">
      <w:pPr>
        <w:pStyle w:val="9"/>
        <w:spacing w:after="0" w:line="249" w:lineRule="auto"/>
        <w:rPr>
          <w:rFonts w:hint="eastAsia"/>
          <w:color w:val="231F20"/>
        </w:rPr>
      </w:pPr>
      <w:r>
        <w:rPr>
          <w:rFonts w:hint="eastAsia"/>
          <w:color w:val="231F20"/>
        </w:rPr>
        <w:t>我们已经完成了对《启示录》第20章的解经之旅。</w:t>
      </w:r>
    </w:p>
    <w:p w14:paraId="3E8322A6">
      <w:pPr>
        <w:pStyle w:val="9"/>
        <w:spacing w:after="0" w:line="249" w:lineRule="auto"/>
        <w:rPr>
          <w:rFonts w:hint="eastAsia"/>
          <w:color w:val="231F20"/>
        </w:rPr>
      </w:pPr>
    </w:p>
    <w:p w14:paraId="0A5AB301">
      <w:pPr>
        <w:pStyle w:val="9"/>
        <w:spacing w:after="0" w:line="249" w:lineRule="auto"/>
        <w:rPr>
          <w:rFonts w:hint="eastAsia"/>
          <w:color w:val="231F20"/>
        </w:rPr>
      </w:pPr>
      <w:r>
        <w:rPr>
          <w:rFonts w:hint="eastAsia"/>
          <w:color w:val="231F20"/>
        </w:rPr>
        <w:t>My primary goal has been to show that its theme is indeed the course, character, and consummation of the spiritual reign of the High King of Heaven.</w:t>
      </w:r>
    </w:p>
    <w:p w14:paraId="7EAD1286">
      <w:pPr>
        <w:pStyle w:val="9"/>
        <w:spacing w:after="0" w:line="249" w:lineRule="auto"/>
        <w:rPr>
          <w:rFonts w:hint="eastAsia"/>
          <w:color w:val="231F20"/>
        </w:rPr>
      </w:pPr>
      <w:r>
        <w:rPr>
          <w:rFonts w:hint="eastAsia"/>
          <w:color w:val="231F20"/>
        </w:rPr>
        <w:t>我的主要目标是表明，其主题确实是天上至高君王属灵统治的进程、特征和最终成全。</w:t>
      </w:r>
    </w:p>
    <w:p w14:paraId="4A9809A2">
      <w:pPr>
        <w:pStyle w:val="9"/>
        <w:spacing w:after="0" w:line="249" w:lineRule="auto"/>
        <w:rPr>
          <w:rFonts w:hint="eastAsia"/>
          <w:color w:val="231F20"/>
        </w:rPr>
      </w:pPr>
    </w:p>
    <w:p w14:paraId="28FB0B6F">
      <w:pPr>
        <w:pStyle w:val="9"/>
        <w:spacing w:after="0" w:line="249" w:lineRule="auto"/>
        <w:rPr>
          <w:rFonts w:hint="eastAsia"/>
          <w:color w:val="231F20"/>
        </w:rPr>
      </w:pPr>
      <w:r>
        <w:rPr>
          <w:rFonts w:hint="eastAsia"/>
          <w:color w:val="231F20"/>
        </w:rPr>
        <w:t>We have encountered many lines of evidence favorable to this conclusion.</w:t>
      </w:r>
    </w:p>
    <w:p w14:paraId="1BCD8FAD">
      <w:pPr>
        <w:pStyle w:val="9"/>
        <w:spacing w:after="0" w:line="249" w:lineRule="auto"/>
        <w:rPr>
          <w:rFonts w:hint="eastAsia"/>
          <w:color w:val="231F20"/>
        </w:rPr>
      </w:pPr>
      <w:r>
        <w:rPr>
          <w:rFonts w:hint="eastAsia"/>
          <w:color w:val="231F20"/>
        </w:rPr>
        <w:t>我们遇到了许多支持这个结论的证据。</w:t>
      </w:r>
    </w:p>
    <w:p w14:paraId="6A98664A">
      <w:pPr>
        <w:pStyle w:val="9"/>
        <w:spacing w:after="0" w:line="249" w:lineRule="auto"/>
        <w:rPr>
          <w:rFonts w:hint="eastAsia"/>
          <w:color w:val="231F20"/>
        </w:rPr>
      </w:pPr>
    </w:p>
    <w:p w14:paraId="4F5E55C3">
      <w:pPr>
        <w:pStyle w:val="9"/>
        <w:spacing w:after="0" w:line="249" w:lineRule="auto"/>
        <w:rPr>
          <w:rFonts w:hint="eastAsia"/>
          <w:color w:val="231F20"/>
        </w:rPr>
      </w:pPr>
      <w:r>
        <w:rPr>
          <w:rFonts w:hint="eastAsia"/>
          <w:color w:val="231F20"/>
        </w:rPr>
        <w:t>Let us briefly summarize them.</w:t>
      </w:r>
    </w:p>
    <w:p w14:paraId="79E9790B">
      <w:pPr>
        <w:pStyle w:val="9"/>
        <w:spacing w:after="0" w:line="249" w:lineRule="auto"/>
        <w:rPr>
          <w:rFonts w:hint="eastAsia"/>
          <w:color w:val="231F20"/>
        </w:rPr>
      </w:pPr>
      <w:r>
        <w:rPr>
          <w:rFonts w:hint="eastAsia"/>
          <w:color w:val="231F20"/>
        </w:rPr>
        <w:t>让我们简要地总结它们。</w:t>
      </w:r>
    </w:p>
    <w:p w14:paraId="3FC752BE">
      <w:pPr>
        <w:pStyle w:val="9"/>
        <w:spacing w:after="0" w:line="249" w:lineRule="auto"/>
        <w:rPr>
          <w:rFonts w:hint="eastAsia"/>
          <w:color w:val="231F20"/>
        </w:rPr>
      </w:pPr>
    </w:p>
    <w:p w14:paraId="483DF7EB">
      <w:pPr>
        <w:pStyle w:val="9"/>
        <w:spacing w:after="0" w:line="249" w:lineRule="auto"/>
        <w:rPr>
          <w:rFonts w:hint="eastAsia"/>
          <w:color w:val="231F20"/>
        </w:rPr>
      </w:pPr>
      <w:r>
        <w:rPr>
          <w:rFonts w:hint="eastAsia"/>
          <w:color w:val="231F20"/>
        </w:rPr>
        <w:t>Like all the other chapters, Revelation 20 is a prophecy.</w:t>
      </w:r>
    </w:p>
    <w:p w14:paraId="2E7F1505">
      <w:pPr>
        <w:pStyle w:val="9"/>
        <w:spacing w:after="0" w:line="249" w:lineRule="auto"/>
        <w:rPr>
          <w:rFonts w:hint="eastAsia"/>
          <w:color w:val="231F20"/>
        </w:rPr>
      </w:pPr>
      <w:r>
        <w:rPr>
          <w:rFonts w:hint="eastAsia"/>
          <w:color w:val="231F20"/>
        </w:rPr>
        <w:t>像所有其他章节一样，《启示录》第20章是一个预言。</w:t>
      </w:r>
    </w:p>
    <w:p w14:paraId="641E4D6D">
      <w:pPr>
        <w:pStyle w:val="9"/>
        <w:spacing w:after="0" w:line="249" w:lineRule="auto"/>
        <w:rPr>
          <w:rFonts w:hint="eastAsia"/>
          <w:color w:val="231F20"/>
        </w:rPr>
      </w:pPr>
    </w:p>
    <w:p w14:paraId="64198587">
      <w:pPr>
        <w:pStyle w:val="9"/>
        <w:spacing w:after="0" w:line="249" w:lineRule="auto"/>
        <w:rPr>
          <w:rFonts w:hint="eastAsia"/>
          <w:color w:val="231F20"/>
        </w:rPr>
      </w:pPr>
      <w:r>
        <w:rPr>
          <w:rFonts w:hint="eastAsia"/>
          <w:color w:val="231F20"/>
        </w:rPr>
        <w:t>This means it was given for the edification, exhortation, and comfort of Christ’s Church.</w:t>
      </w:r>
    </w:p>
    <w:p w14:paraId="002A45AA">
      <w:pPr>
        <w:pStyle w:val="9"/>
        <w:spacing w:after="0" w:line="249" w:lineRule="auto"/>
        <w:rPr>
          <w:rFonts w:hint="eastAsia"/>
          <w:color w:val="231F20"/>
        </w:rPr>
      </w:pPr>
      <w:r>
        <w:rPr>
          <w:rFonts w:hint="eastAsia"/>
          <w:color w:val="231F20"/>
        </w:rPr>
        <w:t>这意味着它是为了基督教会的造就、劝勉和安慰而赐下的。</w:t>
      </w:r>
    </w:p>
    <w:p w14:paraId="6715DE46">
      <w:pPr>
        <w:pStyle w:val="9"/>
        <w:spacing w:after="0" w:line="249" w:lineRule="auto"/>
        <w:rPr>
          <w:rFonts w:hint="eastAsia"/>
          <w:color w:val="231F20"/>
        </w:rPr>
      </w:pPr>
    </w:p>
    <w:p w14:paraId="667AB500">
      <w:pPr>
        <w:pStyle w:val="9"/>
        <w:spacing w:after="0" w:line="249" w:lineRule="auto"/>
        <w:rPr>
          <w:rFonts w:hint="eastAsia"/>
          <w:color w:val="231F20"/>
        </w:rPr>
      </w:pPr>
      <w:r>
        <w:rPr>
          <w:rFonts w:hint="eastAsia"/>
          <w:color w:val="231F20"/>
        </w:rPr>
        <w:t>This in turn means that it concerns Christ’s Church, and says nothing at all about ethnic Israel in a hitherto unmentioned stage of the Kingdom yet to come.</w:t>
      </w:r>
    </w:p>
    <w:p w14:paraId="059C3D94">
      <w:pPr>
        <w:pStyle w:val="9"/>
        <w:spacing w:after="0" w:line="249" w:lineRule="auto"/>
        <w:rPr>
          <w:rFonts w:hint="eastAsia"/>
          <w:color w:val="231F20"/>
        </w:rPr>
      </w:pPr>
      <w:r>
        <w:rPr>
          <w:rFonts w:hint="eastAsia"/>
          <w:color w:val="231F20"/>
        </w:rPr>
        <w:t>这反过来又意味着，它关乎基督的教会，完全没有提到在迄今未曾提及的、将要来临的国度阶段中的以色列民族。</w:t>
      </w:r>
    </w:p>
    <w:p w14:paraId="5CA9DADE">
      <w:pPr>
        <w:pStyle w:val="9"/>
        <w:spacing w:after="0" w:line="249" w:lineRule="auto"/>
        <w:rPr>
          <w:rFonts w:hint="eastAsia"/>
          <w:color w:val="231F20"/>
        </w:rPr>
      </w:pPr>
    </w:p>
    <w:p w14:paraId="5C5E4E8D">
      <w:pPr>
        <w:pStyle w:val="9"/>
        <w:spacing w:after="0" w:line="249" w:lineRule="auto"/>
        <w:rPr>
          <w:rFonts w:hint="eastAsia"/>
          <w:color w:val="231F20"/>
        </w:rPr>
      </w:pPr>
      <w:r>
        <w:rPr>
          <w:rFonts w:hint="eastAsia"/>
          <w:color w:val="231F20"/>
        </w:rPr>
        <w:t>It is also an instance of biblical apocalyptic, a literary fact of life that requires its images and numbers to be interpreted figuratively.</w:t>
      </w:r>
    </w:p>
    <w:p w14:paraId="7487A34E">
      <w:pPr>
        <w:pStyle w:val="9"/>
        <w:spacing w:after="0" w:line="249" w:lineRule="auto"/>
        <w:rPr>
          <w:rFonts w:hint="eastAsia"/>
          <w:color w:val="231F20"/>
        </w:rPr>
      </w:pPr>
      <w:r>
        <w:rPr>
          <w:rFonts w:hint="eastAsia"/>
          <w:color w:val="231F20"/>
        </w:rPr>
        <w:t>它也是圣经末世文学的一个实例，这是一个文学上的事实，要求其意象和数字被作比喻性解释。</w:t>
      </w:r>
    </w:p>
    <w:p w14:paraId="1B830430">
      <w:pPr>
        <w:pStyle w:val="9"/>
        <w:spacing w:after="0" w:line="249" w:lineRule="auto"/>
        <w:rPr>
          <w:rFonts w:hint="eastAsia"/>
          <w:color w:val="231F20"/>
        </w:rPr>
      </w:pPr>
    </w:p>
    <w:p w14:paraId="5F51FE66">
      <w:pPr>
        <w:pStyle w:val="9"/>
        <w:spacing w:after="0" w:line="249" w:lineRule="auto"/>
        <w:rPr>
          <w:rFonts w:hint="eastAsia"/>
          <w:color w:val="231F20"/>
        </w:rPr>
      </w:pPr>
      <w:r>
        <w:rPr>
          <w:rFonts w:hint="eastAsia"/>
          <w:color w:val="231F20"/>
        </w:rPr>
        <w:t>As we have seen, many of the difficulties into which premillennarians plunge themselves arise from a failure to understand the genre of the book, to interpret it accordingly, and to do so in a consistent manner.</w:t>
      </w:r>
    </w:p>
    <w:p w14:paraId="4DAAB250">
      <w:pPr>
        <w:pStyle w:val="9"/>
        <w:spacing w:after="0" w:line="249" w:lineRule="auto"/>
        <w:rPr>
          <w:rFonts w:hint="eastAsia"/>
          <w:color w:val="231F20"/>
        </w:rPr>
      </w:pPr>
      <w:r>
        <w:rPr>
          <w:rFonts w:hint="eastAsia"/>
          <w:color w:val="231F20"/>
        </w:rPr>
        <w:t>正如我们所见，许多前千禧年论者陷入的困难，是由于未能理解本书的体裁，未能相应地解释它，以及未能以一致的方式这样做。</w:t>
      </w:r>
    </w:p>
    <w:p w14:paraId="204C6526">
      <w:pPr>
        <w:pStyle w:val="9"/>
        <w:spacing w:after="0" w:line="249" w:lineRule="auto"/>
        <w:rPr>
          <w:rFonts w:hint="eastAsia"/>
          <w:color w:val="231F20"/>
        </w:rPr>
      </w:pPr>
    </w:p>
    <w:p w14:paraId="3939F2A1">
      <w:pPr>
        <w:pStyle w:val="9"/>
        <w:spacing w:after="0" w:line="249" w:lineRule="auto"/>
        <w:rPr>
          <w:rFonts w:hint="eastAsia"/>
          <w:color w:val="231F20"/>
        </w:rPr>
      </w:pPr>
      <w:r>
        <w:rPr>
          <w:rFonts w:hint="eastAsia"/>
          <w:color w:val="231F20"/>
        </w:rPr>
        <w:t>Moreover, the NT itself—and especially the epistles—commend this figurative approach: Having explicitly taught us to employ the NCH in our interpretation of OTKP, it implicitly teaches us to do the same here in the Revelation, where OT Kingdom prophecy so frequently reappears in the NT itself!</w:t>
      </w:r>
    </w:p>
    <w:p w14:paraId="2CBA49CF">
      <w:pPr>
        <w:pStyle w:val="9"/>
        <w:spacing w:after="0" w:line="249" w:lineRule="auto"/>
        <w:rPr>
          <w:rFonts w:hint="eastAsia"/>
          <w:color w:val="231F20"/>
        </w:rPr>
      </w:pPr>
      <w:r>
        <w:rPr>
          <w:rFonts w:hint="eastAsia"/>
          <w:color w:val="231F20"/>
        </w:rPr>
        <w:t>此外，新约本身——尤其是书信——都推荐这种比喻性的方法：既然已经明确地教导我们在解释旧约国度预言时使用NCH，它也就含蓄地教导我们在这里，在《启示录》中，当旧约国度预言如此频繁地在新约本身中重现时，也当如此行！</w:t>
      </w:r>
    </w:p>
    <w:p w14:paraId="631CE8BE">
      <w:pPr>
        <w:pStyle w:val="9"/>
        <w:spacing w:after="0" w:line="249" w:lineRule="auto"/>
        <w:rPr>
          <w:rFonts w:hint="eastAsia"/>
          <w:color w:val="231F20"/>
        </w:rPr>
      </w:pPr>
    </w:p>
    <w:p w14:paraId="1DD05FA4">
      <w:pPr>
        <w:pStyle w:val="9"/>
        <w:spacing w:after="0" w:line="249" w:lineRule="auto"/>
        <w:rPr>
          <w:rFonts w:hint="eastAsia"/>
          <w:color w:val="231F20"/>
        </w:rPr>
      </w:pPr>
      <w:r>
        <w:rPr>
          <w:rFonts w:hint="eastAsia"/>
          <w:color w:val="231F20"/>
        </w:rPr>
        <w:t>As for its key ideas, we found that they run closely parallel to those of the other visions in bloc four of the book, implying that this vision also recapitulates the course of the Era of Preparation, just like its predecessors.</w:t>
      </w:r>
    </w:p>
    <w:p w14:paraId="2B00C245">
      <w:pPr>
        <w:pStyle w:val="9"/>
        <w:spacing w:after="0" w:line="249" w:lineRule="auto"/>
        <w:rPr>
          <w:rFonts w:hint="eastAsia"/>
          <w:color w:val="231F20"/>
        </w:rPr>
      </w:pPr>
      <w:r>
        <w:rPr>
          <w:rFonts w:hint="eastAsia"/>
          <w:color w:val="231F20"/>
        </w:rPr>
        <w:t>至于其关键思想，我们发现它们与本书第四区块中其他异象的思想密切平行，这暗示这个异象也像其前辈一样，重述了预备时代的进程。</w:t>
      </w:r>
    </w:p>
    <w:p w14:paraId="17BB7FEC">
      <w:pPr>
        <w:pStyle w:val="9"/>
        <w:spacing w:after="0" w:line="249" w:lineRule="auto"/>
        <w:rPr>
          <w:rFonts w:hint="eastAsia"/>
          <w:color w:val="231F20"/>
        </w:rPr>
      </w:pPr>
    </w:p>
    <w:p w14:paraId="14B01E27">
      <w:pPr>
        <w:pStyle w:val="9"/>
        <w:spacing w:after="0" w:line="249" w:lineRule="auto"/>
        <w:rPr>
          <w:rFonts w:hint="eastAsia"/>
          <w:color w:val="231F20"/>
        </w:rPr>
      </w:pPr>
      <w:r>
        <w:rPr>
          <w:rFonts w:hint="eastAsia"/>
          <w:color w:val="231F20"/>
        </w:rPr>
        <w:t>In particular, we saw that its symbols speak yet again of the infallible march of the Gospel through the earth; the promise and comfort of the Intermediate State to all believers who remain faithful till death; the certainty—and brevity—of the Last Battle; and the still greater certainty of the Consummation to follow, which consists of the Parousia, the Resurrection, the Last Judgment of men and angels, and the purging of the created cosmos by fire, all leading up to the manifestation of the new heavens and the new earth.</w:t>
      </w:r>
    </w:p>
    <w:p w14:paraId="6335ADF4">
      <w:pPr>
        <w:pStyle w:val="9"/>
        <w:spacing w:after="0" w:line="249" w:lineRule="auto"/>
        <w:rPr>
          <w:rFonts w:hint="eastAsia"/>
          <w:color w:val="231F20"/>
        </w:rPr>
      </w:pPr>
      <w:r>
        <w:rPr>
          <w:rFonts w:hint="eastAsia"/>
          <w:color w:val="231F20"/>
        </w:rPr>
        <w:t>特别是，我们看到它的象征再次讲述了福音在地上无误的前进；对所有至死忠心的信徒中间状态的应许和安慰；末日争战的确定性——和短暂性；以及随之而来的最终成全的更大确定性，这包括主临（Parousia）、复活、对人和天使的最后审判，以及用火洁净受造的宇宙，所有这些都导向新天新地的显现。</w:t>
      </w:r>
    </w:p>
    <w:p w14:paraId="0B4563C2">
      <w:pPr>
        <w:pStyle w:val="9"/>
        <w:spacing w:after="0" w:line="249" w:lineRule="auto"/>
        <w:rPr>
          <w:rFonts w:hint="eastAsia"/>
          <w:color w:val="231F20"/>
        </w:rPr>
      </w:pPr>
    </w:p>
    <w:p w14:paraId="5F5B7896">
      <w:pPr>
        <w:pStyle w:val="9"/>
        <w:spacing w:after="0" w:line="249" w:lineRule="auto"/>
        <w:rPr>
          <w:rFonts w:hint="eastAsia"/>
          <w:color w:val="231F20"/>
        </w:rPr>
      </w:pPr>
      <w:r>
        <w:rPr>
          <w:rFonts w:hint="eastAsia"/>
          <w:color w:val="231F20"/>
        </w:rPr>
        <w:t>In sum, we have found that premillennial interpretations of Revelation 20 shatter the simplicity, vitiate the power, and becloud the glory of NT eschatology, thereby plunging Christ’s Church into needless confusion and controversy.</w:t>
      </w:r>
    </w:p>
    <w:p w14:paraId="17D206E1">
      <w:pPr>
        <w:pStyle w:val="9"/>
        <w:spacing w:after="0" w:line="249" w:lineRule="auto"/>
        <w:rPr>
          <w:rFonts w:hint="eastAsia"/>
          <w:color w:val="231F20"/>
        </w:rPr>
      </w:pPr>
      <w:r>
        <w:rPr>
          <w:rFonts w:hint="eastAsia"/>
          <w:color w:val="231F20"/>
        </w:rPr>
        <w:t>总而言之，我们发现前千禧年论对《启示录》20章的解释，破坏了新约末世论的简洁性，削弱了其力量，并蒙蔽了其荣耀，从而使基督的教会陷入不必要的混乱和争议之中。</w:t>
      </w:r>
    </w:p>
    <w:p w14:paraId="3B86B979">
      <w:pPr>
        <w:pStyle w:val="9"/>
        <w:spacing w:after="0" w:line="249" w:lineRule="auto"/>
        <w:rPr>
          <w:rFonts w:hint="eastAsia"/>
          <w:color w:val="231F20"/>
        </w:rPr>
      </w:pPr>
    </w:p>
    <w:p w14:paraId="458A8C5C">
      <w:pPr>
        <w:pStyle w:val="9"/>
        <w:spacing w:after="0" w:line="249" w:lineRule="auto"/>
        <w:rPr>
          <w:rFonts w:hint="eastAsia"/>
          <w:color w:val="231F20"/>
        </w:rPr>
      </w:pPr>
      <w:r>
        <w:rPr>
          <w:rFonts w:hint="eastAsia"/>
          <w:color w:val="231F20"/>
        </w:rPr>
        <w:t>Meanwhile, the amillennial interpretation achieves the exact opposite: It wonderfully opens up the meaning of the text itself, further illumines the structure and message of the book as a whole, harmonizes perfectly with the rest of NT theology, sheds precious light on the interpretation of OTKP, and prepares, strengthens, and encourages Christ’s pilgrim Church with a simple, powerful, and unspeakably majestic vision of the Consummation of all things at the end of the age.</w:t>
      </w:r>
    </w:p>
    <w:p w14:paraId="7B2A6130">
      <w:pPr>
        <w:pStyle w:val="9"/>
        <w:spacing w:after="0" w:line="249" w:lineRule="auto"/>
        <w:rPr>
          <w:rFonts w:hint="eastAsia"/>
          <w:color w:val="231F20"/>
        </w:rPr>
      </w:pPr>
      <w:r>
        <w:rPr>
          <w:rFonts w:hint="eastAsia"/>
          <w:color w:val="231F20"/>
        </w:rPr>
        <w:t>同时，无千禧年论的解释则达到了完全相反的效果：它奇妙地揭示了经文本身的意义，进一步阐明了整本书的结构和信息，与新约神学的其余部分完美协调，为旧约国度预言的解释投下了宝贵的光芒，并用一个简洁、有力且难以言喻地宏伟的关于世代末了万物最终成全的异象，来预备、坚固和鼓励基督的朝圣教会。</w:t>
      </w:r>
    </w:p>
    <w:p w14:paraId="7A9FB3BB">
      <w:pPr>
        <w:pStyle w:val="9"/>
        <w:spacing w:after="0" w:line="249" w:lineRule="auto"/>
        <w:rPr>
          <w:rFonts w:hint="eastAsia"/>
          <w:color w:val="231F20"/>
        </w:rPr>
      </w:pPr>
    </w:p>
    <w:p w14:paraId="49999691">
      <w:pPr>
        <w:pStyle w:val="9"/>
        <w:spacing w:after="0" w:line="249" w:lineRule="auto"/>
        <w:rPr>
          <w:rFonts w:hint="eastAsia"/>
          <w:color w:val="231F20"/>
        </w:rPr>
      </w:pPr>
      <w:r>
        <w:rPr>
          <w:rFonts w:hint="eastAsia"/>
          <w:color w:val="231F20"/>
        </w:rPr>
        <w:t>Have we not therefore arrived at the true NT meaning of the Millennium?</w:t>
      </w:r>
    </w:p>
    <w:p w14:paraId="77C68C28">
      <w:pPr>
        <w:pStyle w:val="9"/>
        <w:spacing w:after="0" w:line="249" w:lineRule="auto"/>
        <w:sectPr>
          <w:pgSz w:w="12240" w:h="15840"/>
          <w:pgMar w:top="1380" w:right="1440" w:bottom="280" w:left="1440" w:header="720" w:footer="720" w:gutter="0"/>
          <w:cols w:space="720" w:num="1"/>
        </w:sectPr>
      </w:pPr>
      <w:r>
        <w:rPr>
          <w:rFonts w:hint="eastAsia"/>
          <w:color w:val="231F20"/>
        </w:rPr>
        <w:t>我们岂不因此已经达到了千禧年的真正新约意义吗？</w:t>
      </w:r>
    </w:p>
    <w:p w14:paraId="2775B207">
      <w:pPr>
        <w:pStyle w:val="9"/>
        <w:spacing w:before="288"/>
        <w:ind w:left="0"/>
        <w:jc w:val="left"/>
        <w:rPr>
          <w:sz w:val="50"/>
        </w:rPr>
      </w:pPr>
    </w:p>
    <w:p w14:paraId="551D03AC">
      <w:pPr>
        <w:spacing w:before="0"/>
        <w:ind w:left="2" w:right="2" w:firstLine="0"/>
        <w:jc w:val="center"/>
        <w:rPr>
          <w:b/>
          <w:sz w:val="50"/>
        </w:rPr>
      </w:pPr>
      <w:bookmarkStart w:id="56" w:name="_bookmark153"/>
      <w:bookmarkEnd w:id="56"/>
      <w:bookmarkStart w:id="57" w:name="Part 5: Understanding the Consummation"/>
      <w:bookmarkEnd w:id="57"/>
      <w:r>
        <w:rPr>
          <w:b/>
          <w:color w:val="231F20"/>
          <w:sz w:val="50"/>
        </w:rPr>
        <w:t>Part</w:t>
      </w:r>
      <w:r>
        <w:rPr>
          <w:b/>
          <w:color w:val="231F20"/>
          <w:spacing w:val="-4"/>
          <w:sz w:val="50"/>
        </w:rPr>
        <w:t xml:space="preserve"> </w:t>
      </w:r>
      <w:r>
        <w:rPr>
          <w:b/>
          <w:color w:val="231F20"/>
          <w:spacing w:val="-10"/>
          <w:sz w:val="50"/>
        </w:rPr>
        <w:t>5</w:t>
      </w:r>
    </w:p>
    <w:p w14:paraId="0144EC7A">
      <w:pPr>
        <w:pStyle w:val="2"/>
        <w:spacing w:line="249" w:lineRule="auto"/>
        <w:ind w:left="2405" w:right="2229" w:firstLine="508"/>
        <w:jc w:val="left"/>
      </w:pPr>
      <w:r>
        <w:rPr>
          <w:color w:val="231F20"/>
          <w:spacing w:val="-2"/>
        </w:rPr>
        <w:t xml:space="preserve">Understanding </w:t>
      </w:r>
      <w:r>
        <w:rPr>
          <w:color w:val="231F20"/>
        </w:rPr>
        <w:t>the</w:t>
      </w:r>
      <w:r>
        <w:rPr>
          <w:color w:val="231F20"/>
          <w:spacing w:val="-38"/>
        </w:rPr>
        <w:t xml:space="preserve"> </w:t>
      </w:r>
      <w:r>
        <w:rPr>
          <w:color w:val="231F20"/>
        </w:rPr>
        <w:t>Consummation</w:t>
      </w:r>
    </w:p>
    <w:p w14:paraId="5CCACA89">
      <w:pPr>
        <w:pStyle w:val="2"/>
        <w:spacing w:after="0" w:line="249" w:lineRule="auto"/>
        <w:jc w:val="left"/>
        <w:sectPr>
          <w:pgSz w:w="12240" w:h="15840"/>
          <w:pgMar w:top="1820" w:right="1440" w:bottom="280" w:left="1440" w:header="720" w:footer="720" w:gutter="0"/>
          <w:cols w:space="720" w:num="1"/>
        </w:sectPr>
      </w:pPr>
    </w:p>
    <w:p w14:paraId="6A88FC66">
      <w:pPr>
        <w:pStyle w:val="2"/>
        <w:bidi w:val="0"/>
      </w:pPr>
      <w:bookmarkStart w:id="58" w:name="Chapter 22: The Design, Structure, and U"/>
      <w:bookmarkEnd w:id="58"/>
      <w:bookmarkStart w:id="59" w:name="_bookmark154"/>
      <w:bookmarkEnd w:id="59"/>
      <w:r>
        <w:t>Chapter 22</w:t>
      </w:r>
    </w:p>
    <w:p w14:paraId="08E16704">
      <w:pPr>
        <w:pStyle w:val="2"/>
        <w:bidi w:val="0"/>
        <w:rPr>
          <w:rFonts w:hint="default"/>
          <w:lang w:val="en-US" w:eastAsia="zh-CN"/>
        </w:rPr>
      </w:pPr>
      <w:r>
        <w:rPr>
          <w:rFonts w:hint="eastAsia"/>
          <w:lang w:val="en-US" w:eastAsia="zh-CN"/>
        </w:rPr>
        <w:t>第二十二章</w:t>
      </w:r>
    </w:p>
    <w:p w14:paraId="3E099B2C">
      <w:pPr>
        <w:pStyle w:val="3"/>
        <w:bidi w:val="0"/>
        <w:rPr>
          <w:rFonts w:hint="eastAsia"/>
        </w:rPr>
      </w:pPr>
      <w:r>
        <w:rPr>
          <w:rFonts w:hint="eastAsia"/>
        </w:rPr>
        <w:t>Part 5</w:t>
      </w:r>
    </w:p>
    <w:p w14:paraId="77730CA4">
      <w:pPr>
        <w:pStyle w:val="3"/>
        <w:bidi w:val="0"/>
        <w:rPr>
          <w:rFonts w:hint="eastAsia"/>
        </w:rPr>
      </w:pPr>
      <w:r>
        <w:rPr>
          <w:rFonts w:hint="eastAsia"/>
        </w:rPr>
        <w:t>第五部分</w:t>
      </w:r>
    </w:p>
    <w:p w14:paraId="24FB4524">
      <w:pPr>
        <w:pStyle w:val="9"/>
        <w:spacing w:before="166"/>
        <w:ind w:left="0"/>
        <w:jc w:val="left"/>
        <w:rPr>
          <w:rFonts w:hint="eastAsia"/>
          <w:sz w:val="20"/>
        </w:rPr>
      </w:pPr>
    </w:p>
    <w:p w14:paraId="08A0E3DA">
      <w:pPr>
        <w:pStyle w:val="9"/>
        <w:spacing w:before="166"/>
        <w:ind w:left="0"/>
        <w:jc w:val="left"/>
        <w:rPr>
          <w:rFonts w:hint="eastAsia"/>
          <w:sz w:val="30"/>
          <w:szCs w:val="30"/>
        </w:rPr>
      </w:pPr>
      <w:r>
        <w:rPr>
          <w:rFonts w:hint="eastAsia"/>
          <w:sz w:val="30"/>
          <w:szCs w:val="30"/>
        </w:rPr>
        <w:t>Understanding the Consummation</w:t>
      </w:r>
    </w:p>
    <w:p w14:paraId="0497C0A8">
      <w:pPr>
        <w:pStyle w:val="9"/>
        <w:spacing w:before="166"/>
        <w:ind w:left="0"/>
        <w:jc w:val="left"/>
        <w:rPr>
          <w:rFonts w:hint="eastAsia"/>
          <w:sz w:val="30"/>
          <w:szCs w:val="30"/>
        </w:rPr>
      </w:pPr>
      <w:r>
        <w:rPr>
          <w:rFonts w:hint="eastAsia"/>
          <w:sz w:val="30"/>
          <w:szCs w:val="30"/>
        </w:rPr>
        <w:t>理解最终的成全</w:t>
      </w:r>
    </w:p>
    <w:p w14:paraId="3A42CE92">
      <w:pPr>
        <w:pStyle w:val="9"/>
        <w:spacing w:before="166"/>
        <w:ind w:left="0"/>
        <w:jc w:val="left"/>
        <w:rPr>
          <w:rFonts w:hint="eastAsia"/>
          <w:sz w:val="30"/>
          <w:szCs w:val="30"/>
        </w:rPr>
      </w:pPr>
    </w:p>
    <w:p w14:paraId="40C1951D">
      <w:pPr>
        <w:pStyle w:val="9"/>
        <w:spacing w:before="166"/>
        <w:ind w:left="0"/>
        <w:jc w:val="left"/>
        <w:rPr>
          <w:rFonts w:hint="eastAsia"/>
          <w:sz w:val="30"/>
          <w:szCs w:val="30"/>
        </w:rPr>
      </w:pPr>
      <w:r>
        <w:rPr>
          <w:rFonts w:hint="eastAsia"/>
          <w:sz w:val="30"/>
          <w:szCs w:val="30"/>
        </w:rPr>
        <w:t>The Design, Structure, and Unity of the Consummation</w:t>
      </w:r>
    </w:p>
    <w:p w14:paraId="2F5A9CAE">
      <w:pPr>
        <w:pStyle w:val="9"/>
        <w:spacing w:before="166"/>
        <w:ind w:left="0"/>
        <w:jc w:val="left"/>
        <w:rPr>
          <w:rFonts w:hint="eastAsia"/>
          <w:sz w:val="30"/>
          <w:szCs w:val="30"/>
        </w:rPr>
      </w:pPr>
      <w:r>
        <w:rPr>
          <w:rFonts w:hint="eastAsia"/>
          <w:sz w:val="30"/>
          <w:szCs w:val="30"/>
        </w:rPr>
        <w:t>最终成全的设计、结构和统一性</w:t>
      </w:r>
    </w:p>
    <w:p w14:paraId="1577E072">
      <w:pPr>
        <w:pStyle w:val="9"/>
        <w:spacing w:before="166"/>
        <w:ind w:left="0"/>
        <w:jc w:val="left"/>
        <w:rPr>
          <w:rFonts w:hint="eastAsia"/>
          <w:sz w:val="30"/>
          <w:szCs w:val="30"/>
        </w:rPr>
      </w:pPr>
    </w:p>
    <w:p w14:paraId="56C022E1">
      <w:pPr>
        <w:pStyle w:val="9"/>
        <w:spacing w:before="166"/>
        <w:ind w:left="0"/>
        <w:jc w:val="left"/>
        <w:rPr>
          <w:rFonts w:hint="eastAsia"/>
          <w:sz w:val="30"/>
          <w:szCs w:val="30"/>
        </w:rPr>
      </w:pPr>
      <w:r>
        <w:rPr>
          <w:rFonts w:hint="eastAsia"/>
          <w:sz w:val="30"/>
          <w:szCs w:val="30"/>
        </w:rPr>
        <w:t>WE HAVE REACHED the fifth and final stage of our journey to a good understanding of biblical eschatology.</w:t>
      </w:r>
    </w:p>
    <w:p w14:paraId="7F482D34">
      <w:pPr>
        <w:pStyle w:val="9"/>
        <w:spacing w:before="166"/>
        <w:ind w:left="0"/>
        <w:jc w:val="left"/>
        <w:rPr>
          <w:rFonts w:hint="eastAsia"/>
          <w:sz w:val="30"/>
          <w:szCs w:val="30"/>
        </w:rPr>
      </w:pPr>
      <w:r>
        <w:rPr>
          <w:rFonts w:hint="eastAsia"/>
          <w:sz w:val="30"/>
          <w:szCs w:val="30"/>
        </w:rPr>
        <w:t>我们已经来到了我们理解圣经末世论之旅的第五个也是最后一个阶段。</w:t>
      </w:r>
    </w:p>
    <w:p w14:paraId="2781FB98">
      <w:pPr>
        <w:pStyle w:val="9"/>
        <w:spacing w:before="166"/>
        <w:ind w:left="0"/>
        <w:jc w:val="left"/>
        <w:rPr>
          <w:rFonts w:hint="eastAsia"/>
          <w:sz w:val="30"/>
          <w:szCs w:val="30"/>
        </w:rPr>
      </w:pPr>
    </w:p>
    <w:p w14:paraId="1CCCC879">
      <w:pPr>
        <w:pStyle w:val="9"/>
        <w:spacing w:before="166"/>
        <w:ind w:left="0"/>
        <w:jc w:val="left"/>
        <w:rPr>
          <w:rFonts w:hint="eastAsia"/>
          <w:sz w:val="30"/>
          <w:szCs w:val="30"/>
        </w:rPr>
      </w:pPr>
      <w:r>
        <w:rPr>
          <w:rFonts w:hint="eastAsia"/>
          <w:sz w:val="30"/>
          <w:szCs w:val="30"/>
        </w:rPr>
        <w:t>Hitherto, we have sought, above all, to discover the true course and character of Salvation History.</w:t>
      </w:r>
    </w:p>
    <w:p w14:paraId="16357FFD">
      <w:pPr>
        <w:pStyle w:val="9"/>
        <w:spacing w:before="166"/>
        <w:ind w:left="0"/>
        <w:jc w:val="left"/>
        <w:rPr>
          <w:rFonts w:hint="eastAsia"/>
          <w:sz w:val="30"/>
          <w:szCs w:val="30"/>
        </w:rPr>
      </w:pPr>
      <w:r>
        <w:rPr>
          <w:rFonts w:hint="eastAsia"/>
          <w:sz w:val="30"/>
          <w:szCs w:val="30"/>
        </w:rPr>
        <w:t>到目前为止，我们首先寻求的是发现救赎历史的真正进程和特征。</w:t>
      </w:r>
    </w:p>
    <w:p w14:paraId="6AF76C0F">
      <w:pPr>
        <w:pStyle w:val="9"/>
        <w:spacing w:before="166"/>
        <w:ind w:left="0"/>
        <w:jc w:val="left"/>
        <w:rPr>
          <w:rFonts w:hint="eastAsia"/>
          <w:sz w:val="30"/>
          <w:szCs w:val="30"/>
        </w:rPr>
      </w:pPr>
    </w:p>
    <w:p w14:paraId="430BCD0B">
      <w:pPr>
        <w:pStyle w:val="9"/>
        <w:spacing w:before="166"/>
        <w:ind w:left="0"/>
        <w:jc w:val="left"/>
        <w:rPr>
          <w:rFonts w:hint="eastAsia"/>
          <w:sz w:val="30"/>
          <w:szCs w:val="30"/>
        </w:rPr>
      </w:pPr>
      <w:r>
        <w:rPr>
          <w:rFonts w:hint="eastAsia"/>
          <w:sz w:val="30"/>
          <w:szCs w:val="30"/>
        </w:rPr>
        <w:t>We learned that it has a goal: the manifestation of the Eternal Covenant in Christ.</w:t>
      </w:r>
    </w:p>
    <w:p w14:paraId="6B9D362D">
      <w:pPr>
        <w:pStyle w:val="9"/>
        <w:spacing w:before="166"/>
        <w:ind w:left="0"/>
        <w:jc w:val="left"/>
        <w:rPr>
          <w:rFonts w:hint="eastAsia"/>
          <w:sz w:val="30"/>
          <w:szCs w:val="30"/>
        </w:rPr>
      </w:pPr>
      <w:r>
        <w:rPr>
          <w:rFonts w:hint="eastAsia"/>
          <w:sz w:val="30"/>
          <w:szCs w:val="30"/>
        </w:rPr>
        <w:t>我们了解到它有一个目标：在基督里彰显永恒之约。</w:t>
      </w:r>
    </w:p>
    <w:p w14:paraId="1E8B7DF5">
      <w:pPr>
        <w:pStyle w:val="9"/>
        <w:spacing w:before="166"/>
        <w:ind w:left="0"/>
        <w:jc w:val="left"/>
        <w:rPr>
          <w:rFonts w:hint="eastAsia"/>
          <w:sz w:val="30"/>
          <w:szCs w:val="30"/>
        </w:rPr>
      </w:pPr>
    </w:p>
    <w:p w14:paraId="1AF40683">
      <w:pPr>
        <w:pStyle w:val="9"/>
        <w:spacing w:before="166"/>
        <w:ind w:left="0"/>
        <w:jc w:val="left"/>
        <w:rPr>
          <w:rFonts w:hint="eastAsia"/>
          <w:sz w:val="30"/>
          <w:szCs w:val="30"/>
        </w:rPr>
      </w:pPr>
      <w:r>
        <w:rPr>
          <w:rFonts w:hint="eastAsia"/>
          <w:sz w:val="30"/>
          <w:szCs w:val="30"/>
        </w:rPr>
        <w:t>We learned that the Covenant creates a Kingdom: a direct reign of God over his redeemed creatures.</w:t>
      </w:r>
    </w:p>
    <w:p w14:paraId="2B7E7371">
      <w:pPr>
        <w:pStyle w:val="9"/>
        <w:spacing w:before="166"/>
        <w:ind w:left="0"/>
        <w:jc w:val="left"/>
        <w:rPr>
          <w:rFonts w:hint="eastAsia"/>
          <w:sz w:val="30"/>
          <w:szCs w:val="30"/>
        </w:rPr>
      </w:pPr>
      <w:r>
        <w:rPr>
          <w:rFonts w:hint="eastAsia"/>
          <w:sz w:val="30"/>
          <w:szCs w:val="30"/>
        </w:rPr>
        <w:t>我们了解到这约创造了一个国度：上帝对祂被赎受造物的直接统治。</w:t>
      </w:r>
    </w:p>
    <w:p w14:paraId="6B6FC305">
      <w:pPr>
        <w:pStyle w:val="9"/>
        <w:spacing w:before="166"/>
        <w:ind w:left="0"/>
        <w:jc w:val="left"/>
        <w:rPr>
          <w:rFonts w:hint="eastAsia"/>
          <w:sz w:val="30"/>
          <w:szCs w:val="30"/>
        </w:rPr>
      </w:pPr>
    </w:p>
    <w:p w14:paraId="2F28D42F">
      <w:pPr>
        <w:pStyle w:val="9"/>
        <w:spacing w:before="166"/>
        <w:ind w:left="0"/>
        <w:jc w:val="left"/>
        <w:rPr>
          <w:rFonts w:hint="eastAsia"/>
          <w:sz w:val="30"/>
          <w:szCs w:val="30"/>
        </w:rPr>
      </w:pPr>
      <w:r>
        <w:rPr>
          <w:rFonts w:hint="eastAsia"/>
          <w:sz w:val="30"/>
          <w:szCs w:val="30"/>
        </w:rPr>
        <w:t>We learned that this Kingdom appears in two stages—a temporary spiritual reign of the Son, followed by an eternal, spiritual and physical reign of the Father with the Son.</w:t>
      </w:r>
    </w:p>
    <w:p w14:paraId="0FFEBF28">
      <w:pPr>
        <w:pStyle w:val="9"/>
        <w:spacing w:before="166"/>
        <w:ind w:left="0"/>
        <w:jc w:val="left"/>
        <w:rPr>
          <w:rFonts w:hint="eastAsia"/>
          <w:sz w:val="30"/>
          <w:szCs w:val="30"/>
        </w:rPr>
      </w:pPr>
      <w:r>
        <w:rPr>
          <w:rFonts w:hint="eastAsia"/>
          <w:sz w:val="30"/>
          <w:szCs w:val="30"/>
        </w:rPr>
        <w:t>我们了解到这个国度分两个阶段出现——一个暂时的、属灵的圣子统治，其后是一个永恒的、属灵和属物质的父与子一同的统治。</w:t>
      </w:r>
    </w:p>
    <w:p w14:paraId="44878905">
      <w:pPr>
        <w:pStyle w:val="9"/>
        <w:spacing w:before="166"/>
        <w:ind w:left="0"/>
        <w:jc w:val="left"/>
        <w:rPr>
          <w:rFonts w:hint="eastAsia"/>
          <w:sz w:val="30"/>
          <w:szCs w:val="30"/>
        </w:rPr>
      </w:pPr>
    </w:p>
    <w:p w14:paraId="6D21EAA7">
      <w:pPr>
        <w:pStyle w:val="9"/>
        <w:spacing w:before="166"/>
        <w:ind w:left="0"/>
        <w:jc w:val="left"/>
        <w:rPr>
          <w:rFonts w:hint="eastAsia"/>
          <w:sz w:val="30"/>
          <w:szCs w:val="30"/>
        </w:rPr>
      </w:pPr>
      <w:r>
        <w:rPr>
          <w:rFonts w:hint="eastAsia"/>
          <w:sz w:val="30"/>
          <w:szCs w:val="30"/>
        </w:rPr>
        <w:t>We learned—or at least gleaned from many NT texts pertaining to the structure of the Kingdom—that its two stages are separated by a single Consummation set to occur at the Parousia of Christ at the end of this present evil age.</w:t>
      </w:r>
    </w:p>
    <w:p w14:paraId="451205C0">
      <w:pPr>
        <w:pStyle w:val="9"/>
        <w:spacing w:before="166"/>
        <w:ind w:left="0"/>
        <w:jc w:val="left"/>
        <w:rPr>
          <w:rFonts w:hint="eastAsia"/>
          <w:sz w:val="30"/>
          <w:szCs w:val="30"/>
        </w:rPr>
      </w:pPr>
      <w:r>
        <w:rPr>
          <w:rFonts w:hint="eastAsia"/>
          <w:sz w:val="30"/>
          <w:szCs w:val="30"/>
        </w:rPr>
        <w:t>我们了解到——或者至少从许多有关国度结构的新约经文中——它的两个阶段被一个单一的最终成全所分隔，这将在基督于现今邪恶世代末了的主临（Parousia）时发生。</w:t>
      </w:r>
    </w:p>
    <w:p w14:paraId="6DCBB341">
      <w:pPr>
        <w:pStyle w:val="9"/>
        <w:spacing w:before="166"/>
        <w:ind w:left="0"/>
        <w:jc w:val="left"/>
        <w:rPr>
          <w:rFonts w:hint="eastAsia"/>
          <w:sz w:val="30"/>
          <w:szCs w:val="30"/>
        </w:rPr>
      </w:pPr>
    </w:p>
    <w:p w14:paraId="6531D761">
      <w:pPr>
        <w:pStyle w:val="9"/>
        <w:spacing w:before="166"/>
        <w:ind w:left="0"/>
        <w:jc w:val="left"/>
        <w:rPr>
          <w:rFonts w:hint="eastAsia"/>
          <w:sz w:val="30"/>
          <w:szCs w:val="30"/>
        </w:rPr>
      </w:pPr>
      <w:r>
        <w:rPr>
          <w:rFonts w:hint="eastAsia"/>
          <w:sz w:val="30"/>
          <w:szCs w:val="30"/>
        </w:rPr>
        <w:t>And—in Parts 3 and 4 of our journey—we also learned that OTKP and the Revelation abundantly support this conception of Salvation History.</w:t>
      </w:r>
    </w:p>
    <w:p w14:paraId="146C9F74">
      <w:pPr>
        <w:pStyle w:val="9"/>
        <w:spacing w:before="166"/>
        <w:ind w:left="0"/>
        <w:jc w:val="left"/>
        <w:rPr>
          <w:rFonts w:hint="eastAsia"/>
          <w:sz w:val="30"/>
          <w:szCs w:val="30"/>
        </w:rPr>
      </w:pPr>
      <w:r>
        <w:rPr>
          <w:rFonts w:hint="eastAsia"/>
          <w:sz w:val="30"/>
          <w:szCs w:val="30"/>
        </w:rPr>
        <w:t>并且——在我们旅程的第三和第四部分——我们也了解到旧约国度预言和《启示录》都充分支持这种对救赎历史的构想。</w:t>
      </w:r>
    </w:p>
    <w:p w14:paraId="355772CB">
      <w:pPr>
        <w:pStyle w:val="9"/>
        <w:spacing w:before="166"/>
        <w:ind w:left="0"/>
        <w:jc w:val="left"/>
        <w:rPr>
          <w:rFonts w:hint="eastAsia"/>
          <w:sz w:val="30"/>
          <w:szCs w:val="30"/>
        </w:rPr>
      </w:pPr>
    </w:p>
    <w:p w14:paraId="4E132452">
      <w:pPr>
        <w:pStyle w:val="9"/>
        <w:spacing w:before="166"/>
        <w:ind w:left="0"/>
        <w:jc w:val="left"/>
        <w:rPr>
          <w:rFonts w:hint="eastAsia"/>
          <w:sz w:val="30"/>
          <w:szCs w:val="30"/>
        </w:rPr>
      </w:pPr>
      <w:r>
        <w:rPr>
          <w:rFonts w:hint="eastAsia"/>
          <w:sz w:val="30"/>
          <w:szCs w:val="30"/>
        </w:rPr>
        <w:t>There is, then, but one remaining step before us: We must closely examine the Didactic New Testament to see if Christ and the apostles really do teach the Church to hope for a single Christ-centered Consummation at the end of the present evil age.</w:t>
      </w:r>
    </w:p>
    <w:p w14:paraId="48A34823">
      <w:pPr>
        <w:pStyle w:val="9"/>
        <w:spacing w:before="166"/>
        <w:ind w:left="0"/>
        <w:jc w:val="left"/>
        <w:rPr>
          <w:rFonts w:hint="eastAsia"/>
          <w:sz w:val="30"/>
          <w:szCs w:val="30"/>
        </w:rPr>
      </w:pPr>
      <w:r>
        <w:rPr>
          <w:rFonts w:hint="eastAsia"/>
          <w:sz w:val="30"/>
          <w:szCs w:val="30"/>
        </w:rPr>
        <w:t>因此，我们面前只剩下最后一步：我们必须仔细地查考教导性新约，看看基督和使徒们是否真的教导教会盼望在现今邪恶世代末了，有一个以基督为中心的单一的最终成全。</w:t>
      </w:r>
    </w:p>
    <w:p w14:paraId="206943E1">
      <w:pPr>
        <w:pStyle w:val="9"/>
        <w:spacing w:before="166"/>
        <w:ind w:left="0"/>
        <w:jc w:val="left"/>
        <w:rPr>
          <w:rFonts w:hint="eastAsia"/>
          <w:sz w:val="30"/>
          <w:szCs w:val="30"/>
        </w:rPr>
      </w:pPr>
    </w:p>
    <w:p w14:paraId="745E443E">
      <w:pPr>
        <w:pStyle w:val="9"/>
        <w:spacing w:before="166"/>
        <w:ind w:left="0"/>
        <w:jc w:val="left"/>
        <w:rPr>
          <w:rFonts w:hint="eastAsia"/>
          <w:sz w:val="30"/>
          <w:szCs w:val="30"/>
        </w:rPr>
      </w:pPr>
      <w:r>
        <w:rPr>
          <w:rFonts w:hint="eastAsia"/>
          <w:sz w:val="30"/>
          <w:szCs w:val="30"/>
        </w:rPr>
        <w:t>Here in Part 5 we will take that step.</w:t>
      </w:r>
    </w:p>
    <w:p w14:paraId="38101DF5">
      <w:pPr>
        <w:pStyle w:val="9"/>
        <w:spacing w:before="166"/>
        <w:ind w:left="0"/>
        <w:jc w:val="left"/>
        <w:rPr>
          <w:rFonts w:hint="eastAsia"/>
          <w:sz w:val="30"/>
          <w:szCs w:val="30"/>
        </w:rPr>
      </w:pPr>
      <w:r>
        <w:rPr>
          <w:rFonts w:hint="eastAsia"/>
          <w:sz w:val="30"/>
          <w:szCs w:val="30"/>
        </w:rPr>
        <w:t>在第五部分，我们将迈出这一步。</w:t>
      </w:r>
    </w:p>
    <w:p w14:paraId="01771A94">
      <w:pPr>
        <w:pStyle w:val="9"/>
        <w:spacing w:before="166"/>
        <w:ind w:left="0"/>
        <w:jc w:val="left"/>
        <w:rPr>
          <w:rFonts w:hint="eastAsia"/>
          <w:sz w:val="30"/>
          <w:szCs w:val="30"/>
        </w:rPr>
      </w:pPr>
    </w:p>
    <w:p w14:paraId="5D9EC24E">
      <w:pPr>
        <w:pStyle w:val="9"/>
        <w:spacing w:before="166"/>
        <w:ind w:left="0"/>
        <w:jc w:val="left"/>
        <w:rPr>
          <w:rFonts w:hint="eastAsia"/>
          <w:sz w:val="30"/>
          <w:szCs w:val="30"/>
        </w:rPr>
      </w:pPr>
      <w:r>
        <w:rPr>
          <w:rFonts w:hint="eastAsia"/>
          <w:sz w:val="30"/>
          <w:szCs w:val="30"/>
        </w:rPr>
        <w:t>Here— in various degrees of detail—we will look at every major NT text dealing with the Consummation; here we will see if they really do support the classic amillennial eschatology; here we will interact with the arguments and evidence offered by those who believe it does not.</w:t>
      </w:r>
    </w:p>
    <w:p w14:paraId="26AE7ACD">
      <w:pPr>
        <w:pStyle w:val="9"/>
        <w:spacing w:before="166"/>
        <w:ind w:left="0"/>
        <w:jc w:val="left"/>
        <w:rPr>
          <w:rFonts w:hint="eastAsia"/>
          <w:sz w:val="30"/>
          <w:szCs w:val="30"/>
        </w:rPr>
      </w:pPr>
      <w:r>
        <w:rPr>
          <w:rFonts w:hint="eastAsia"/>
          <w:sz w:val="30"/>
          <w:szCs w:val="30"/>
        </w:rPr>
        <w:t>在这里——以不同程度的细节——我们将查考每一段处理最终成全的新约主要经文；在这里我们将看看它们是否真的支持经典的无千禧年论末世论；在这里我们将与那些相信不支持的人所提出的论点和证据互动。</w:t>
      </w:r>
    </w:p>
    <w:p w14:paraId="593C48D6">
      <w:pPr>
        <w:pStyle w:val="9"/>
        <w:spacing w:before="166"/>
        <w:ind w:left="0"/>
        <w:jc w:val="left"/>
        <w:rPr>
          <w:rFonts w:hint="eastAsia"/>
          <w:sz w:val="30"/>
          <w:szCs w:val="30"/>
        </w:rPr>
      </w:pPr>
    </w:p>
    <w:p w14:paraId="3A2B2663">
      <w:pPr>
        <w:pStyle w:val="9"/>
        <w:spacing w:before="166"/>
        <w:ind w:left="0"/>
        <w:jc w:val="left"/>
        <w:rPr>
          <w:rFonts w:hint="eastAsia"/>
          <w:sz w:val="30"/>
          <w:szCs w:val="30"/>
        </w:rPr>
      </w:pPr>
      <w:r>
        <w:rPr>
          <w:rFonts w:hint="eastAsia"/>
          <w:sz w:val="30"/>
          <w:szCs w:val="30"/>
        </w:rPr>
        <w:t>In order to accomplish this ambitious task, we will look at the Consummation from three different angles.</w:t>
      </w:r>
    </w:p>
    <w:p w14:paraId="7F996BA3">
      <w:pPr>
        <w:pStyle w:val="9"/>
        <w:spacing w:before="166"/>
        <w:ind w:left="0"/>
        <w:jc w:val="left"/>
        <w:rPr>
          <w:rFonts w:hint="eastAsia"/>
          <w:sz w:val="30"/>
          <w:szCs w:val="30"/>
        </w:rPr>
      </w:pPr>
      <w:r>
        <w:rPr>
          <w:rFonts w:hint="eastAsia"/>
          <w:sz w:val="30"/>
          <w:szCs w:val="30"/>
        </w:rPr>
        <w:t>为了完成这项雄心勃勃的任务，我们将从三个不同的角度来看待最终的成全。</w:t>
      </w:r>
    </w:p>
    <w:p w14:paraId="3253DDDB">
      <w:pPr>
        <w:pStyle w:val="9"/>
        <w:spacing w:before="166"/>
        <w:ind w:left="0"/>
        <w:jc w:val="left"/>
        <w:rPr>
          <w:rFonts w:hint="eastAsia"/>
          <w:sz w:val="30"/>
          <w:szCs w:val="30"/>
        </w:rPr>
      </w:pPr>
    </w:p>
    <w:p w14:paraId="4A650589">
      <w:pPr>
        <w:pStyle w:val="9"/>
        <w:spacing w:before="166"/>
        <w:ind w:left="0"/>
        <w:jc w:val="left"/>
        <w:rPr>
          <w:rFonts w:hint="eastAsia"/>
          <w:sz w:val="30"/>
          <w:szCs w:val="30"/>
        </w:rPr>
      </w:pPr>
      <w:r>
        <w:rPr>
          <w:rFonts w:hint="eastAsia"/>
          <w:sz w:val="30"/>
          <w:szCs w:val="30"/>
        </w:rPr>
        <w:t>In this chapter I will offer a brief summary of NT teaching on the design, structure, and unity of the Consummation.</w:t>
      </w:r>
    </w:p>
    <w:p w14:paraId="1B79882B">
      <w:pPr>
        <w:pStyle w:val="9"/>
        <w:spacing w:before="166"/>
        <w:ind w:left="0"/>
        <w:jc w:val="left"/>
        <w:rPr>
          <w:rFonts w:hint="eastAsia"/>
          <w:sz w:val="30"/>
          <w:szCs w:val="30"/>
        </w:rPr>
      </w:pPr>
      <w:r>
        <w:rPr>
          <w:rFonts w:hint="eastAsia"/>
          <w:sz w:val="30"/>
          <w:szCs w:val="30"/>
        </w:rPr>
        <w:t>在本章中，我将对新约关于最终成全的设计、结构和统一性的教导作一个简要的总结。</w:t>
      </w:r>
    </w:p>
    <w:p w14:paraId="3417F377">
      <w:pPr>
        <w:pStyle w:val="9"/>
        <w:spacing w:before="166"/>
        <w:ind w:left="0"/>
        <w:jc w:val="left"/>
        <w:rPr>
          <w:rFonts w:hint="eastAsia"/>
          <w:sz w:val="30"/>
          <w:szCs w:val="30"/>
        </w:rPr>
      </w:pPr>
    </w:p>
    <w:p w14:paraId="2F7C0540">
      <w:pPr>
        <w:pStyle w:val="9"/>
        <w:spacing w:before="166"/>
        <w:ind w:left="0"/>
        <w:jc w:val="left"/>
        <w:rPr>
          <w:rFonts w:hint="eastAsia"/>
          <w:sz w:val="30"/>
          <w:szCs w:val="30"/>
        </w:rPr>
      </w:pPr>
      <w:r>
        <w:rPr>
          <w:rFonts w:hint="eastAsia"/>
          <w:sz w:val="30"/>
          <w:szCs w:val="30"/>
        </w:rPr>
        <w:t>My main purpose will be to show that the Father has designed the Consummation with a view to securing the maximum possible glory and honor for the One who will accomplish it, the Lord Jesus Christ; that he (the Father) means it to be the climax, zenith, and capstone of the exaltation of the High King of Heaven.</w:t>
      </w:r>
    </w:p>
    <w:p w14:paraId="6CECB29B">
      <w:pPr>
        <w:pStyle w:val="9"/>
        <w:spacing w:before="166"/>
        <w:ind w:left="0"/>
        <w:jc w:val="left"/>
        <w:rPr>
          <w:rFonts w:hint="eastAsia"/>
          <w:sz w:val="30"/>
          <w:szCs w:val="30"/>
        </w:rPr>
      </w:pPr>
      <w:r>
        <w:rPr>
          <w:rFonts w:hint="eastAsia"/>
          <w:sz w:val="30"/>
          <w:szCs w:val="30"/>
        </w:rPr>
        <w:t>我的主要目的是要表明，父设计最终的成全是为要确保那将要成就它的主耶稣基督得着最大可能的荣耀和尊贵；祂（父）意在使其成为天上至高君王被高举的高潮、顶峰和顶点。</w:t>
      </w:r>
    </w:p>
    <w:p w14:paraId="183E159F">
      <w:pPr>
        <w:pStyle w:val="9"/>
        <w:spacing w:before="166"/>
        <w:ind w:left="0"/>
        <w:jc w:val="left"/>
        <w:rPr>
          <w:rFonts w:hint="eastAsia"/>
          <w:sz w:val="30"/>
          <w:szCs w:val="30"/>
        </w:rPr>
      </w:pPr>
    </w:p>
    <w:p w14:paraId="12A547DA">
      <w:pPr>
        <w:pStyle w:val="9"/>
        <w:spacing w:before="166"/>
        <w:ind w:left="0"/>
        <w:jc w:val="left"/>
        <w:rPr>
          <w:rFonts w:hint="eastAsia"/>
          <w:sz w:val="30"/>
          <w:szCs w:val="30"/>
        </w:rPr>
      </w:pPr>
      <w:r>
        <w:rPr>
          <w:rFonts w:hint="eastAsia"/>
          <w:sz w:val="30"/>
          <w:szCs w:val="30"/>
        </w:rPr>
        <w:t>Secondly, in chapters 23 and 24 I will survey all the major NT texts dealing with the Parousia and other elements of the Consummation.</w:t>
      </w:r>
    </w:p>
    <w:p w14:paraId="142FA724">
      <w:pPr>
        <w:pStyle w:val="9"/>
        <w:spacing w:before="166"/>
        <w:ind w:left="0"/>
        <w:jc w:val="left"/>
        <w:rPr>
          <w:rFonts w:hint="eastAsia"/>
          <w:sz w:val="30"/>
          <w:szCs w:val="30"/>
        </w:rPr>
      </w:pPr>
      <w:r>
        <w:rPr>
          <w:rFonts w:hint="eastAsia"/>
          <w:sz w:val="30"/>
          <w:szCs w:val="30"/>
        </w:rPr>
        <w:t>其次，在第23和24章，我将考察所有处理主临（Parousia）和最终成全其他要素的新约主要经文。</w:t>
      </w:r>
    </w:p>
    <w:p w14:paraId="75E68772">
      <w:pPr>
        <w:pStyle w:val="9"/>
        <w:spacing w:before="166"/>
        <w:ind w:left="0"/>
        <w:jc w:val="left"/>
        <w:rPr>
          <w:rFonts w:hint="eastAsia"/>
          <w:sz w:val="30"/>
          <w:szCs w:val="30"/>
        </w:rPr>
      </w:pPr>
    </w:p>
    <w:p w14:paraId="74624FBC">
      <w:pPr>
        <w:pStyle w:val="9"/>
        <w:spacing w:before="166"/>
        <w:ind w:left="0"/>
        <w:jc w:val="left"/>
        <w:rPr>
          <w:rFonts w:hint="eastAsia"/>
          <w:sz w:val="30"/>
          <w:szCs w:val="30"/>
        </w:rPr>
      </w:pPr>
      <w:r>
        <w:rPr>
          <w:rFonts w:hint="eastAsia"/>
          <w:sz w:val="30"/>
          <w:szCs w:val="30"/>
        </w:rPr>
        <w:t>My goal here is to show that each and every one supports the classic amillennial expectation of a single Momentous Event at the end of the present evil age.</w:t>
      </w:r>
    </w:p>
    <w:p w14:paraId="0D7033BE">
      <w:pPr>
        <w:pStyle w:val="9"/>
        <w:spacing w:before="166"/>
        <w:ind w:left="0"/>
        <w:jc w:val="left"/>
        <w:rPr>
          <w:rFonts w:hint="eastAsia"/>
          <w:sz w:val="30"/>
          <w:szCs w:val="30"/>
        </w:rPr>
      </w:pPr>
      <w:r>
        <w:rPr>
          <w:rFonts w:hint="eastAsia"/>
          <w:sz w:val="30"/>
          <w:szCs w:val="30"/>
        </w:rPr>
        <w:t>我在这里的目标是表明，每一处经文都支持经典的无千禧年论所期望的，在现今邪恶世代末了发生的一次重大事件。</w:t>
      </w:r>
    </w:p>
    <w:p w14:paraId="79DBCEF3">
      <w:pPr>
        <w:pStyle w:val="9"/>
        <w:spacing w:before="166"/>
        <w:ind w:left="0"/>
        <w:jc w:val="left"/>
        <w:rPr>
          <w:rFonts w:hint="eastAsia"/>
          <w:sz w:val="30"/>
          <w:szCs w:val="30"/>
        </w:rPr>
      </w:pPr>
    </w:p>
    <w:p w14:paraId="4150220F">
      <w:pPr>
        <w:pStyle w:val="9"/>
        <w:spacing w:before="166"/>
        <w:ind w:left="0"/>
        <w:jc w:val="left"/>
        <w:rPr>
          <w:rFonts w:hint="eastAsia"/>
          <w:sz w:val="30"/>
          <w:szCs w:val="30"/>
        </w:rPr>
      </w:pPr>
      <w:r>
        <w:rPr>
          <w:rFonts w:hint="eastAsia"/>
          <w:sz w:val="30"/>
          <w:szCs w:val="30"/>
        </w:rPr>
        <w:t>Also, I will show how these same texts, properly interpreted, positively rule out various competing views.</w:t>
      </w:r>
    </w:p>
    <w:p w14:paraId="00C96768">
      <w:pPr>
        <w:pStyle w:val="9"/>
        <w:spacing w:before="166"/>
        <w:ind w:left="0"/>
        <w:jc w:val="left"/>
        <w:rPr>
          <w:rFonts w:hint="eastAsia"/>
          <w:sz w:val="30"/>
          <w:szCs w:val="30"/>
        </w:rPr>
      </w:pPr>
      <w:r>
        <w:rPr>
          <w:rFonts w:hint="eastAsia"/>
          <w:sz w:val="30"/>
          <w:szCs w:val="30"/>
        </w:rPr>
        <w:t>另外，我将展示这些相同的经文，在被正确解释后，如何明确地排除了各种相互竞争的观点。</w:t>
      </w:r>
    </w:p>
    <w:p w14:paraId="4252FFC1">
      <w:pPr>
        <w:pStyle w:val="9"/>
        <w:spacing w:before="166"/>
        <w:ind w:left="0"/>
        <w:jc w:val="left"/>
        <w:rPr>
          <w:rFonts w:hint="eastAsia"/>
          <w:sz w:val="30"/>
          <w:szCs w:val="30"/>
        </w:rPr>
      </w:pPr>
    </w:p>
    <w:p w14:paraId="3FC91BA7">
      <w:pPr>
        <w:pStyle w:val="9"/>
        <w:spacing w:before="166"/>
        <w:ind w:left="0"/>
        <w:jc w:val="left"/>
        <w:rPr>
          <w:rFonts w:hint="eastAsia"/>
          <w:sz w:val="30"/>
          <w:szCs w:val="30"/>
        </w:rPr>
      </w:pPr>
      <w:r>
        <w:rPr>
          <w:rFonts w:hint="eastAsia"/>
          <w:sz w:val="30"/>
          <w:szCs w:val="30"/>
        </w:rPr>
        <w:t>Finally, in chapter 25 I will try to paint, with a few broad strokes of the biblical brush, a clear picture of the Consummation.</w:t>
      </w:r>
    </w:p>
    <w:p w14:paraId="163DAAA4">
      <w:pPr>
        <w:pStyle w:val="9"/>
        <w:spacing w:before="166"/>
        <w:ind w:left="0"/>
        <w:jc w:val="left"/>
        <w:rPr>
          <w:rFonts w:hint="eastAsia"/>
          <w:sz w:val="30"/>
          <w:szCs w:val="30"/>
        </w:rPr>
      </w:pPr>
      <w:r>
        <w:rPr>
          <w:rFonts w:hint="eastAsia"/>
          <w:sz w:val="30"/>
          <w:szCs w:val="30"/>
        </w:rPr>
        <w:t>最后，在第25章，我将尝试用圣经画笔的几笔粗略的描绘，来勾勒一幅关于最终成全的清晰图画。</w:t>
      </w:r>
    </w:p>
    <w:p w14:paraId="5B382E62">
      <w:pPr>
        <w:pStyle w:val="9"/>
        <w:spacing w:before="166"/>
        <w:ind w:left="0"/>
        <w:jc w:val="left"/>
        <w:rPr>
          <w:rFonts w:hint="eastAsia"/>
          <w:sz w:val="30"/>
          <w:szCs w:val="30"/>
        </w:rPr>
      </w:pPr>
    </w:p>
    <w:p w14:paraId="67803F0C">
      <w:pPr>
        <w:pStyle w:val="9"/>
        <w:spacing w:before="166"/>
        <w:ind w:left="0"/>
        <w:jc w:val="left"/>
        <w:rPr>
          <w:rFonts w:hint="eastAsia"/>
          <w:sz w:val="30"/>
          <w:szCs w:val="30"/>
        </w:rPr>
      </w:pPr>
      <w:r>
        <w:rPr>
          <w:rFonts w:hint="eastAsia"/>
          <w:sz w:val="30"/>
          <w:szCs w:val="30"/>
        </w:rPr>
        <w:t>In particular, I mean to highlight the unique way in which each element of the Consummation contributes to the blessedness of the Blessed Hope of the Church.</w:t>
      </w:r>
    </w:p>
    <w:p w14:paraId="0DB64331">
      <w:pPr>
        <w:pStyle w:val="9"/>
        <w:spacing w:before="166"/>
        <w:ind w:left="0"/>
        <w:jc w:val="left"/>
        <w:rPr>
          <w:rFonts w:hint="eastAsia"/>
          <w:sz w:val="30"/>
          <w:szCs w:val="30"/>
        </w:rPr>
      </w:pPr>
      <w:r>
        <w:rPr>
          <w:rFonts w:hint="eastAsia"/>
          <w:sz w:val="30"/>
          <w:szCs w:val="30"/>
        </w:rPr>
        <w:t>特别是，我的意图是突显最终成全的每一个要素如何以其独特的方式，为教会有福的盼望的福乐作出贡献。</w:t>
      </w:r>
    </w:p>
    <w:p w14:paraId="619B1A10">
      <w:pPr>
        <w:pStyle w:val="9"/>
        <w:spacing w:before="166"/>
        <w:ind w:left="0"/>
        <w:jc w:val="left"/>
        <w:rPr>
          <w:rFonts w:hint="eastAsia"/>
          <w:sz w:val="30"/>
          <w:szCs w:val="30"/>
        </w:rPr>
      </w:pPr>
    </w:p>
    <w:p w14:paraId="05C3FD16">
      <w:pPr>
        <w:pStyle w:val="9"/>
        <w:spacing w:before="166"/>
        <w:ind w:left="0"/>
        <w:jc w:val="left"/>
        <w:rPr>
          <w:rFonts w:hint="eastAsia"/>
          <w:sz w:val="30"/>
          <w:szCs w:val="30"/>
        </w:rPr>
      </w:pPr>
      <w:r>
        <w:rPr>
          <w:rFonts w:hint="eastAsia"/>
          <w:sz w:val="30"/>
          <w:szCs w:val="30"/>
        </w:rPr>
        <w:t>The Design of the Consummation</w:t>
      </w:r>
    </w:p>
    <w:p w14:paraId="451A74F5">
      <w:pPr>
        <w:pStyle w:val="9"/>
        <w:spacing w:before="166"/>
        <w:ind w:left="0"/>
        <w:jc w:val="left"/>
        <w:rPr>
          <w:rFonts w:hint="eastAsia"/>
          <w:sz w:val="30"/>
          <w:szCs w:val="30"/>
        </w:rPr>
      </w:pPr>
      <w:r>
        <w:rPr>
          <w:rFonts w:hint="eastAsia"/>
          <w:sz w:val="30"/>
          <w:szCs w:val="30"/>
        </w:rPr>
        <w:t>最终成全的设计</w:t>
      </w:r>
    </w:p>
    <w:p w14:paraId="74011463">
      <w:pPr>
        <w:pStyle w:val="9"/>
        <w:spacing w:before="166"/>
        <w:ind w:left="0"/>
        <w:jc w:val="left"/>
        <w:rPr>
          <w:rFonts w:hint="eastAsia"/>
          <w:sz w:val="30"/>
          <w:szCs w:val="30"/>
        </w:rPr>
      </w:pPr>
    </w:p>
    <w:p w14:paraId="71546AFB">
      <w:pPr>
        <w:pStyle w:val="9"/>
        <w:spacing w:before="166"/>
        <w:ind w:left="0"/>
        <w:jc w:val="left"/>
        <w:rPr>
          <w:rFonts w:hint="eastAsia"/>
          <w:sz w:val="30"/>
          <w:szCs w:val="30"/>
        </w:rPr>
      </w:pPr>
      <w:r>
        <w:rPr>
          <w:rFonts w:hint="eastAsia"/>
          <w:sz w:val="30"/>
          <w:szCs w:val="30"/>
        </w:rPr>
        <w:t>The Consummation is the completion, or wrap-up, of God’s dealings with sinful man and his world.</w:t>
      </w:r>
    </w:p>
    <w:p w14:paraId="40A991DE">
      <w:pPr>
        <w:pStyle w:val="9"/>
        <w:spacing w:before="166"/>
        <w:ind w:left="0"/>
        <w:jc w:val="left"/>
        <w:rPr>
          <w:rFonts w:hint="eastAsia"/>
          <w:sz w:val="30"/>
          <w:szCs w:val="30"/>
        </w:rPr>
      </w:pPr>
      <w:r>
        <w:rPr>
          <w:rFonts w:hint="eastAsia"/>
          <w:sz w:val="30"/>
          <w:szCs w:val="30"/>
        </w:rPr>
        <w:t>最终的成全是上帝对有罪的人及其世界的处理的完成或总结。</w:t>
      </w:r>
    </w:p>
    <w:p w14:paraId="33629E10">
      <w:pPr>
        <w:pStyle w:val="9"/>
        <w:spacing w:before="166"/>
        <w:ind w:left="0"/>
        <w:jc w:val="left"/>
        <w:rPr>
          <w:rFonts w:hint="eastAsia"/>
          <w:sz w:val="30"/>
          <w:szCs w:val="30"/>
        </w:rPr>
      </w:pPr>
    </w:p>
    <w:p w14:paraId="4F458BE0">
      <w:pPr>
        <w:pStyle w:val="9"/>
        <w:spacing w:before="166"/>
        <w:ind w:left="0"/>
        <w:jc w:val="left"/>
        <w:rPr>
          <w:rFonts w:hint="eastAsia"/>
          <w:sz w:val="30"/>
          <w:szCs w:val="30"/>
        </w:rPr>
      </w:pPr>
      <w:r>
        <w:rPr>
          <w:rFonts w:hint="eastAsia"/>
          <w:sz w:val="30"/>
          <w:szCs w:val="30"/>
        </w:rPr>
        <w:t>It is the goal and capstone of Salvation History, the latter being understood as that tiny but all-important parenthesis between eternity past and eternity future, wherein God, according to a definite plan, has been continually at work in his creation to prepare for, accomplish, apply, and consummate the redemption that is in Jesus Christ, for the display and eternal praise of his glory.</w:t>
      </w:r>
    </w:p>
    <w:p w14:paraId="2F036353">
      <w:pPr>
        <w:pStyle w:val="9"/>
        <w:spacing w:before="166"/>
        <w:ind w:left="0"/>
        <w:jc w:val="left"/>
        <w:rPr>
          <w:rFonts w:hint="eastAsia"/>
          <w:sz w:val="30"/>
          <w:szCs w:val="30"/>
        </w:rPr>
      </w:pPr>
      <w:r>
        <w:rPr>
          <w:rFonts w:hint="eastAsia"/>
          <w:sz w:val="30"/>
          <w:szCs w:val="30"/>
        </w:rPr>
        <w:t>它是救赎历史的目标和顶点，后者被理解为在过去永恒和未来永恒之间那个微小但至关重要的括号，在其中上帝，按照一个确定的计划，一直在祂的创造物中持续工作，为要预备、成就、施行和成全那在耶稣基督里的救赎，为要彰显和永远赞美祂的荣耀。</w:t>
      </w:r>
    </w:p>
    <w:p w14:paraId="0E21F26A">
      <w:pPr>
        <w:pStyle w:val="9"/>
        <w:spacing w:before="166"/>
        <w:ind w:left="0"/>
        <w:jc w:val="left"/>
        <w:rPr>
          <w:rFonts w:hint="eastAsia"/>
          <w:sz w:val="30"/>
          <w:szCs w:val="30"/>
        </w:rPr>
      </w:pPr>
    </w:p>
    <w:p w14:paraId="4965F002">
      <w:pPr>
        <w:pStyle w:val="9"/>
        <w:spacing w:before="166"/>
        <w:ind w:left="0"/>
        <w:jc w:val="left"/>
        <w:rPr>
          <w:rFonts w:hint="eastAsia"/>
          <w:sz w:val="30"/>
          <w:szCs w:val="30"/>
        </w:rPr>
      </w:pPr>
      <w:r>
        <w:rPr>
          <w:rFonts w:hint="eastAsia"/>
          <w:sz w:val="30"/>
          <w:szCs w:val="30"/>
        </w:rPr>
        <w:t>The Consummation is comprised of two elements: final judgment and final redemption.</w:t>
      </w:r>
    </w:p>
    <w:p w14:paraId="6F11E606">
      <w:pPr>
        <w:pStyle w:val="9"/>
        <w:spacing w:before="166"/>
        <w:ind w:left="0"/>
        <w:jc w:val="left"/>
        <w:rPr>
          <w:rFonts w:hint="eastAsia"/>
          <w:sz w:val="30"/>
          <w:szCs w:val="30"/>
        </w:rPr>
      </w:pPr>
      <w:r>
        <w:rPr>
          <w:rFonts w:hint="eastAsia"/>
          <w:sz w:val="30"/>
          <w:szCs w:val="30"/>
        </w:rPr>
        <w:t>最终的成全由两个要素组成：最后的审判和最后的救赎。</w:t>
      </w:r>
    </w:p>
    <w:p w14:paraId="3C3D0A3C">
      <w:pPr>
        <w:pStyle w:val="9"/>
        <w:spacing w:before="166"/>
        <w:ind w:left="0"/>
        <w:jc w:val="left"/>
        <w:rPr>
          <w:rFonts w:hint="eastAsia"/>
          <w:sz w:val="30"/>
          <w:szCs w:val="30"/>
        </w:rPr>
      </w:pPr>
    </w:p>
    <w:p w14:paraId="5E9D4B74">
      <w:pPr>
        <w:pStyle w:val="9"/>
        <w:spacing w:before="166"/>
        <w:ind w:left="0"/>
        <w:jc w:val="left"/>
        <w:rPr>
          <w:rFonts w:hint="eastAsia"/>
          <w:sz w:val="30"/>
          <w:szCs w:val="30"/>
        </w:rPr>
      </w:pPr>
      <w:r>
        <w:rPr>
          <w:rFonts w:hint="eastAsia"/>
          <w:sz w:val="30"/>
          <w:szCs w:val="30"/>
        </w:rPr>
        <w:t>In final judgment, God, through Christ, bestows final rewards upon the saints for their faithful labors on the earth, and final retribution upon the impenitent and unbelieving wicked for their manifold sins.</w:t>
      </w:r>
    </w:p>
    <w:p w14:paraId="2283750B">
      <w:pPr>
        <w:pStyle w:val="9"/>
        <w:spacing w:before="166"/>
        <w:ind w:left="0"/>
        <w:jc w:val="left"/>
        <w:rPr>
          <w:rFonts w:hint="eastAsia"/>
          <w:sz w:val="30"/>
          <w:szCs w:val="30"/>
        </w:rPr>
      </w:pPr>
      <w:r>
        <w:rPr>
          <w:rFonts w:hint="eastAsia"/>
          <w:sz w:val="30"/>
          <w:szCs w:val="30"/>
        </w:rPr>
        <w:t>在最后的审判中，上帝，通过基督，将最后的赏赐赐给圣徒，为他们在地上忠心的劳苦，并将最后的报应施于不悔改和不信的恶人，为他们多样的罪。</w:t>
      </w:r>
    </w:p>
    <w:p w14:paraId="185E6C73">
      <w:pPr>
        <w:pStyle w:val="9"/>
        <w:spacing w:before="166"/>
        <w:ind w:left="0"/>
        <w:jc w:val="left"/>
        <w:rPr>
          <w:rFonts w:hint="eastAsia"/>
          <w:sz w:val="30"/>
          <w:szCs w:val="30"/>
        </w:rPr>
      </w:pPr>
    </w:p>
    <w:p w14:paraId="7156818D">
      <w:pPr>
        <w:pStyle w:val="9"/>
        <w:spacing w:before="166"/>
        <w:ind w:left="0"/>
        <w:jc w:val="left"/>
        <w:rPr>
          <w:rFonts w:hint="eastAsia"/>
          <w:sz w:val="30"/>
          <w:szCs w:val="30"/>
        </w:rPr>
      </w:pPr>
      <w:r>
        <w:rPr>
          <w:rFonts w:hint="eastAsia"/>
          <w:sz w:val="30"/>
          <w:szCs w:val="30"/>
        </w:rPr>
        <w:t>In final redemption, God, through Christ, perfects his saints and their world, both spiritually and physically, thereby completing the application of the the redemption that Christ purchased for them during his days upon the earth.</w:t>
      </w:r>
    </w:p>
    <w:p w14:paraId="662EC389">
      <w:pPr>
        <w:pStyle w:val="9"/>
        <w:spacing w:before="166"/>
        <w:ind w:left="0"/>
        <w:jc w:val="left"/>
        <w:rPr>
          <w:rFonts w:hint="eastAsia"/>
          <w:sz w:val="30"/>
          <w:szCs w:val="30"/>
        </w:rPr>
      </w:pPr>
      <w:r>
        <w:rPr>
          <w:rFonts w:hint="eastAsia"/>
          <w:sz w:val="30"/>
          <w:szCs w:val="30"/>
        </w:rPr>
        <w:t>在最后的救赎中，上帝，通过基督，使祂的圣徒和他们的世界，在属灵和属肉体上都得以完全，从而完成了基督在祂地上日子里为他们所买赎的救恩的施行。</w:t>
      </w:r>
    </w:p>
    <w:p w14:paraId="55ED5A01">
      <w:pPr>
        <w:pStyle w:val="9"/>
        <w:spacing w:before="166"/>
        <w:ind w:left="0"/>
        <w:jc w:val="left"/>
        <w:rPr>
          <w:rFonts w:hint="eastAsia"/>
          <w:sz w:val="30"/>
          <w:szCs w:val="30"/>
        </w:rPr>
      </w:pPr>
    </w:p>
    <w:p w14:paraId="45DF1D0C">
      <w:pPr>
        <w:pStyle w:val="9"/>
        <w:spacing w:before="166"/>
        <w:ind w:left="0"/>
        <w:jc w:val="left"/>
        <w:rPr>
          <w:rFonts w:hint="eastAsia"/>
          <w:sz w:val="30"/>
          <w:szCs w:val="30"/>
        </w:rPr>
      </w:pPr>
      <w:r>
        <w:rPr>
          <w:rFonts w:hint="eastAsia"/>
          <w:sz w:val="30"/>
          <w:szCs w:val="30"/>
        </w:rPr>
        <w:t>In this short definition, we can see much of God’s purpose or design for the Consummation.</w:t>
      </w:r>
    </w:p>
    <w:p w14:paraId="140C30F3">
      <w:pPr>
        <w:pStyle w:val="9"/>
        <w:spacing w:before="166"/>
        <w:ind w:left="0"/>
        <w:jc w:val="left"/>
        <w:rPr>
          <w:rFonts w:hint="eastAsia"/>
          <w:sz w:val="30"/>
          <w:szCs w:val="30"/>
        </w:rPr>
      </w:pPr>
      <w:r>
        <w:rPr>
          <w:rFonts w:hint="eastAsia"/>
          <w:sz w:val="30"/>
          <w:szCs w:val="30"/>
        </w:rPr>
        <w:t>在这个简短的定义中，我们可以看到上帝对最终成全的许多旨意或设计。</w:t>
      </w:r>
    </w:p>
    <w:p w14:paraId="42BDDAC1">
      <w:pPr>
        <w:pStyle w:val="9"/>
        <w:spacing w:before="166"/>
        <w:ind w:left="0"/>
        <w:jc w:val="left"/>
        <w:rPr>
          <w:rFonts w:hint="eastAsia"/>
          <w:sz w:val="30"/>
          <w:szCs w:val="30"/>
        </w:rPr>
      </w:pPr>
    </w:p>
    <w:p w14:paraId="357CA946">
      <w:pPr>
        <w:pStyle w:val="9"/>
        <w:spacing w:before="166"/>
        <w:ind w:left="0"/>
        <w:jc w:val="left"/>
        <w:rPr>
          <w:rFonts w:hint="eastAsia"/>
          <w:sz w:val="30"/>
          <w:szCs w:val="30"/>
        </w:rPr>
      </w:pPr>
      <w:r>
        <w:rPr>
          <w:rFonts w:hint="eastAsia"/>
          <w:sz w:val="30"/>
          <w:szCs w:val="30"/>
        </w:rPr>
        <w:t>Let us take a moment to highlight the key points.</w:t>
      </w:r>
    </w:p>
    <w:p w14:paraId="5AF5CEDD">
      <w:pPr>
        <w:pStyle w:val="9"/>
        <w:spacing w:before="166"/>
        <w:ind w:left="0"/>
        <w:jc w:val="left"/>
        <w:rPr>
          <w:rFonts w:hint="eastAsia"/>
          <w:sz w:val="30"/>
          <w:szCs w:val="30"/>
        </w:rPr>
      </w:pPr>
      <w:r>
        <w:rPr>
          <w:rFonts w:hint="eastAsia"/>
          <w:sz w:val="30"/>
          <w:szCs w:val="30"/>
        </w:rPr>
        <w:t>让我们花点时间来突显关键点。</w:t>
      </w:r>
    </w:p>
    <w:p w14:paraId="0ED042E6">
      <w:pPr>
        <w:pStyle w:val="9"/>
        <w:spacing w:before="166"/>
        <w:ind w:left="0"/>
        <w:jc w:val="left"/>
        <w:rPr>
          <w:rFonts w:hint="eastAsia"/>
          <w:sz w:val="30"/>
          <w:szCs w:val="30"/>
        </w:rPr>
      </w:pPr>
    </w:p>
    <w:p w14:paraId="04B057E4">
      <w:pPr>
        <w:pStyle w:val="9"/>
        <w:spacing w:before="166"/>
        <w:ind w:left="0"/>
        <w:jc w:val="left"/>
        <w:rPr>
          <w:rFonts w:hint="eastAsia"/>
          <w:sz w:val="30"/>
          <w:szCs w:val="30"/>
        </w:rPr>
      </w:pPr>
      <w:r>
        <w:rPr>
          <w:rFonts w:hint="eastAsia"/>
          <w:sz w:val="30"/>
          <w:szCs w:val="30"/>
        </w:rPr>
        <w:t>First, at the Consummation God designs to bring closure to Salvation History.</w:t>
      </w:r>
    </w:p>
    <w:p w14:paraId="513A24BA">
      <w:pPr>
        <w:pStyle w:val="9"/>
        <w:spacing w:before="166"/>
        <w:ind w:left="0"/>
        <w:jc w:val="left"/>
        <w:rPr>
          <w:rFonts w:hint="eastAsia"/>
          <w:sz w:val="30"/>
          <w:szCs w:val="30"/>
        </w:rPr>
      </w:pPr>
      <w:r>
        <w:rPr>
          <w:rFonts w:hint="eastAsia"/>
          <w:sz w:val="30"/>
          <w:szCs w:val="30"/>
        </w:rPr>
        <w:t>首先，在最终的成全时，上帝意在为救赎历史画上句号。</w:t>
      </w:r>
    </w:p>
    <w:p w14:paraId="3B360D6C">
      <w:pPr>
        <w:pStyle w:val="9"/>
        <w:spacing w:before="166"/>
        <w:ind w:left="0"/>
        <w:jc w:val="left"/>
        <w:rPr>
          <w:rFonts w:hint="eastAsia"/>
          <w:sz w:val="30"/>
          <w:szCs w:val="30"/>
        </w:rPr>
      </w:pPr>
    </w:p>
    <w:p w14:paraId="39CF956F">
      <w:pPr>
        <w:pStyle w:val="9"/>
        <w:spacing w:before="166"/>
        <w:ind w:left="0"/>
        <w:jc w:val="left"/>
        <w:rPr>
          <w:rFonts w:hint="eastAsia"/>
          <w:sz w:val="30"/>
          <w:szCs w:val="30"/>
        </w:rPr>
      </w:pPr>
      <w:r>
        <w:rPr>
          <w:rFonts w:hint="eastAsia"/>
          <w:sz w:val="30"/>
          <w:szCs w:val="30"/>
        </w:rPr>
        <w:t>It is not his pleasure to see his creation—the universe, life, and man—continually groaning under the burden of sin and judgment.</w:t>
      </w:r>
    </w:p>
    <w:p w14:paraId="149CF2BF">
      <w:pPr>
        <w:pStyle w:val="9"/>
        <w:spacing w:before="166"/>
        <w:ind w:left="0"/>
        <w:jc w:val="left"/>
        <w:rPr>
          <w:rFonts w:hint="eastAsia"/>
          <w:sz w:val="30"/>
          <w:szCs w:val="30"/>
        </w:rPr>
      </w:pPr>
      <w:r>
        <w:rPr>
          <w:rFonts w:hint="eastAsia"/>
          <w:sz w:val="30"/>
          <w:szCs w:val="30"/>
        </w:rPr>
        <w:t>祂不乐意看到祂的创造物——宇宙、生命和人——在罪和审判的重担下不断呻吟。</w:t>
      </w:r>
    </w:p>
    <w:p w14:paraId="7F91A153">
      <w:pPr>
        <w:pStyle w:val="9"/>
        <w:spacing w:before="166"/>
        <w:ind w:left="0"/>
        <w:jc w:val="left"/>
        <w:rPr>
          <w:rFonts w:hint="eastAsia"/>
          <w:sz w:val="30"/>
          <w:szCs w:val="30"/>
        </w:rPr>
      </w:pPr>
    </w:p>
    <w:p w14:paraId="0D9C924C">
      <w:pPr>
        <w:pStyle w:val="9"/>
        <w:spacing w:before="166"/>
        <w:ind w:left="0"/>
        <w:jc w:val="left"/>
        <w:rPr>
          <w:rFonts w:hint="eastAsia"/>
          <w:sz w:val="30"/>
          <w:szCs w:val="30"/>
        </w:rPr>
      </w:pPr>
      <w:r>
        <w:rPr>
          <w:rFonts w:hint="eastAsia"/>
          <w:sz w:val="30"/>
          <w:szCs w:val="30"/>
        </w:rPr>
        <w:t>There must be an end to it.</w:t>
      </w:r>
    </w:p>
    <w:p w14:paraId="44148812">
      <w:pPr>
        <w:pStyle w:val="9"/>
        <w:spacing w:before="166"/>
        <w:ind w:left="0"/>
        <w:jc w:val="left"/>
        <w:rPr>
          <w:rFonts w:hint="eastAsia"/>
          <w:sz w:val="30"/>
          <w:szCs w:val="30"/>
        </w:rPr>
      </w:pPr>
      <w:r>
        <w:rPr>
          <w:rFonts w:hint="eastAsia"/>
          <w:sz w:val="30"/>
          <w:szCs w:val="30"/>
        </w:rPr>
        <w:t>这必须有一个结束。</w:t>
      </w:r>
    </w:p>
    <w:p w14:paraId="1D32985E">
      <w:pPr>
        <w:pStyle w:val="9"/>
        <w:spacing w:before="166"/>
        <w:ind w:left="0"/>
        <w:jc w:val="left"/>
        <w:rPr>
          <w:rFonts w:hint="eastAsia"/>
          <w:sz w:val="30"/>
          <w:szCs w:val="30"/>
        </w:rPr>
      </w:pPr>
    </w:p>
    <w:p w14:paraId="52959437">
      <w:pPr>
        <w:pStyle w:val="9"/>
        <w:spacing w:before="166"/>
        <w:ind w:left="0"/>
        <w:jc w:val="left"/>
        <w:rPr>
          <w:rFonts w:hint="eastAsia"/>
          <w:sz w:val="30"/>
          <w:szCs w:val="30"/>
        </w:rPr>
      </w:pPr>
      <w:r>
        <w:rPr>
          <w:rFonts w:hint="eastAsia"/>
          <w:sz w:val="30"/>
          <w:szCs w:val="30"/>
        </w:rPr>
        <w:t>In particular, there must be an end to the Era of Proclamation: As soon as the Gospel of the Kingdom has been preached to all nations—as soon as all peoples have had their opportunity to hear and respond—then the end will come (Mt. 24:14).</w:t>
      </w:r>
    </w:p>
    <w:p w14:paraId="72ABBE1C">
      <w:pPr>
        <w:pStyle w:val="9"/>
        <w:spacing w:before="166"/>
        <w:ind w:left="0"/>
        <w:jc w:val="left"/>
        <w:rPr>
          <w:rFonts w:hint="eastAsia"/>
          <w:sz w:val="30"/>
          <w:szCs w:val="30"/>
        </w:rPr>
      </w:pPr>
      <w:r>
        <w:rPr>
          <w:rFonts w:hint="eastAsia"/>
          <w:sz w:val="30"/>
          <w:szCs w:val="30"/>
        </w:rPr>
        <w:t>特别是，宣讲的时代必须有一个结束：当天国的福音传遍万国——当万民都有机会听见并回应——那时末期才会来到（太24:14）。</w:t>
      </w:r>
    </w:p>
    <w:p w14:paraId="64763481">
      <w:pPr>
        <w:pStyle w:val="9"/>
        <w:spacing w:before="166"/>
        <w:ind w:left="0"/>
        <w:jc w:val="left"/>
        <w:rPr>
          <w:rFonts w:hint="eastAsia"/>
          <w:sz w:val="30"/>
          <w:szCs w:val="30"/>
        </w:rPr>
      </w:pPr>
    </w:p>
    <w:p w14:paraId="784B8ED7">
      <w:pPr>
        <w:pStyle w:val="9"/>
        <w:spacing w:before="166"/>
        <w:ind w:left="0"/>
        <w:jc w:val="left"/>
        <w:rPr>
          <w:rFonts w:hint="eastAsia"/>
          <w:sz w:val="30"/>
          <w:szCs w:val="30"/>
        </w:rPr>
      </w:pPr>
      <w:r>
        <w:rPr>
          <w:rFonts w:hint="eastAsia"/>
          <w:sz w:val="30"/>
          <w:szCs w:val="30"/>
        </w:rPr>
        <w:t>Secondly, at the Consummation God designs a public vindication of the Gospel; a universal manifestation of the truth of the testimony of the Church to the effect that Israel’s God really is the one true living God; that Jesus Christ really is his only-begotten Son; and that Christ really is the Savior and Judge of the whole world.</w:t>
      </w:r>
    </w:p>
    <w:p w14:paraId="27990EE5">
      <w:pPr>
        <w:pStyle w:val="9"/>
        <w:spacing w:before="166"/>
        <w:ind w:left="0"/>
        <w:jc w:val="left"/>
        <w:rPr>
          <w:rFonts w:hint="eastAsia"/>
          <w:sz w:val="30"/>
          <w:szCs w:val="30"/>
        </w:rPr>
      </w:pPr>
      <w:r>
        <w:rPr>
          <w:rFonts w:hint="eastAsia"/>
          <w:sz w:val="30"/>
          <w:szCs w:val="30"/>
        </w:rPr>
        <w:t>其次，在最终的成全时，上帝设计了一个对福音的公开平反；一个普世的彰显，证明教会的见证是真实的，即以色列的上帝确实是独一的真活神；耶稣基督确实是祂的独生子；基督确实是全世界的救主和审判主。</w:t>
      </w:r>
    </w:p>
    <w:p w14:paraId="54B6F3C3">
      <w:pPr>
        <w:pStyle w:val="9"/>
        <w:spacing w:before="166"/>
        <w:ind w:left="0"/>
        <w:jc w:val="left"/>
        <w:rPr>
          <w:rFonts w:hint="eastAsia"/>
          <w:sz w:val="30"/>
          <w:szCs w:val="30"/>
        </w:rPr>
      </w:pPr>
    </w:p>
    <w:p w14:paraId="4DB216BD">
      <w:pPr>
        <w:pStyle w:val="9"/>
        <w:spacing w:before="166"/>
        <w:ind w:left="0"/>
        <w:jc w:val="left"/>
        <w:rPr>
          <w:rFonts w:hint="eastAsia"/>
          <w:sz w:val="30"/>
          <w:szCs w:val="30"/>
        </w:rPr>
      </w:pPr>
      <w:r>
        <w:rPr>
          <w:rFonts w:hint="eastAsia"/>
          <w:sz w:val="30"/>
          <w:szCs w:val="30"/>
        </w:rPr>
        <w:t>When this manifestation occurs, all unbelief, idolatry, false religion, skepticism, arrogance, mockery, persecution, and every other high thing that exalts itself against the knowledge of God will recoil and wither away before the blazing light of the Truth himself, rushing earthward on clouds of glory (Rev. 1:7).</w:t>
      </w:r>
    </w:p>
    <w:p w14:paraId="51847FF8">
      <w:pPr>
        <w:pStyle w:val="9"/>
        <w:spacing w:before="166"/>
        <w:ind w:left="0"/>
        <w:jc w:val="left"/>
        <w:rPr>
          <w:rFonts w:hint="eastAsia"/>
          <w:sz w:val="30"/>
          <w:szCs w:val="30"/>
        </w:rPr>
      </w:pPr>
      <w:r>
        <w:rPr>
          <w:rFonts w:hint="eastAsia"/>
          <w:sz w:val="30"/>
          <w:szCs w:val="30"/>
        </w:rPr>
        <w:t>当这彰显发生时，所有不信、偶像崇拜、假宗教、怀疑主义、傲慢、嘲笑、迫害，以及一切高举自己抵挡上帝知识的事，都将在真理祂自己那炽烈的光芒面前退缩和枯萎，祂将驾着荣耀的云彩冲向大地（启1:7）。</w:t>
      </w:r>
    </w:p>
    <w:p w14:paraId="1E013D07">
      <w:pPr>
        <w:pStyle w:val="9"/>
        <w:spacing w:before="166"/>
        <w:ind w:left="0"/>
        <w:jc w:val="left"/>
        <w:rPr>
          <w:rFonts w:hint="eastAsia"/>
          <w:sz w:val="30"/>
          <w:szCs w:val="30"/>
        </w:rPr>
      </w:pPr>
    </w:p>
    <w:p w14:paraId="06AE10DA">
      <w:pPr>
        <w:pStyle w:val="9"/>
        <w:spacing w:before="166"/>
        <w:ind w:left="0"/>
        <w:jc w:val="left"/>
        <w:rPr>
          <w:rFonts w:hint="eastAsia"/>
          <w:sz w:val="30"/>
          <w:szCs w:val="30"/>
        </w:rPr>
      </w:pPr>
      <w:r>
        <w:rPr>
          <w:rFonts w:hint="eastAsia"/>
          <w:sz w:val="30"/>
          <w:szCs w:val="30"/>
        </w:rPr>
        <w:t>In that Day, all who ever lived will know and confess that Jesus Christ is Lord, to the glory of God the Father, and that every (unbelieving) man who ever claimed otherwise was a liar (Rom. 3:4, Phil. 2:11).</w:t>
      </w:r>
    </w:p>
    <w:p w14:paraId="07B15BDC">
      <w:pPr>
        <w:pStyle w:val="9"/>
        <w:spacing w:before="166"/>
        <w:ind w:left="0"/>
        <w:jc w:val="left"/>
        <w:rPr>
          <w:rFonts w:hint="eastAsia"/>
          <w:sz w:val="30"/>
          <w:szCs w:val="30"/>
        </w:rPr>
      </w:pPr>
      <w:r>
        <w:rPr>
          <w:rFonts w:hint="eastAsia"/>
          <w:sz w:val="30"/>
          <w:szCs w:val="30"/>
        </w:rPr>
        <w:t>在那日，所有曾活过的人都将知道并承认耶稣基督是主，使荣耀归与父上帝，并且每一个（不信的）曾声称并非如此的人都是说谎的（罗3:4，腓2:11）。</w:t>
      </w:r>
    </w:p>
    <w:p w14:paraId="22EA14B0">
      <w:pPr>
        <w:pStyle w:val="9"/>
        <w:spacing w:before="166"/>
        <w:ind w:left="0"/>
        <w:jc w:val="left"/>
        <w:rPr>
          <w:rFonts w:hint="eastAsia"/>
          <w:sz w:val="30"/>
          <w:szCs w:val="30"/>
        </w:rPr>
      </w:pPr>
    </w:p>
    <w:p w14:paraId="31F9151D">
      <w:pPr>
        <w:pStyle w:val="9"/>
        <w:spacing w:before="166"/>
        <w:ind w:left="0"/>
        <w:jc w:val="left"/>
        <w:rPr>
          <w:rFonts w:hint="eastAsia"/>
          <w:sz w:val="30"/>
          <w:szCs w:val="30"/>
        </w:rPr>
      </w:pPr>
      <w:r>
        <w:rPr>
          <w:rFonts w:hint="eastAsia"/>
          <w:sz w:val="30"/>
          <w:szCs w:val="30"/>
        </w:rPr>
        <w:t>Thirdly, at the Consummation, God designs a final administration of justice.</w:t>
      </w:r>
    </w:p>
    <w:p w14:paraId="2236B65B">
      <w:pPr>
        <w:pStyle w:val="9"/>
        <w:spacing w:before="166"/>
        <w:ind w:left="0"/>
        <w:jc w:val="left"/>
        <w:rPr>
          <w:rFonts w:hint="eastAsia"/>
          <w:sz w:val="30"/>
          <w:szCs w:val="30"/>
        </w:rPr>
      </w:pPr>
      <w:r>
        <w:rPr>
          <w:rFonts w:hint="eastAsia"/>
          <w:sz w:val="30"/>
          <w:szCs w:val="30"/>
        </w:rPr>
        <w:t>第三，在最终的成全时，上帝设计了一次正义的最终施行。</w:t>
      </w:r>
    </w:p>
    <w:p w14:paraId="422AE1D1">
      <w:pPr>
        <w:pStyle w:val="9"/>
        <w:spacing w:before="166"/>
        <w:ind w:left="0"/>
        <w:jc w:val="left"/>
        <w:rPr>
          <w:rFonts w:hint="eastAsia"/>
          <w:sz w:val="30"/>
          <w:szCs w:val="30"/>
        </w:rPr>
      </w:pPr>
    </w:p>
    <w:p w14:paraId="2DAF9CE6">
      <w:pPr>
        <w:pStyle w:val="9"/>
        <w:spacing w:before="166"/>
        <w:ind w:left="0"/>
        <w:jc w:val="left"/>
        <w:rPr>
          <w:rFonts w:hint="eastAsia"/>
          <w:sz w:val="30"/>
          <w:szCs w:val="30"/>
        </w:rPr>
      </w:pPr>
      <w:r>
        <w:rPr>
          <w:rFonts w:hint="eastAsia"/>
          <w:sz w:val="30"/>
          <w:szCs w:val="30"/>
        </w:rPr>
        <w:t>At the Fall, a horrible moral inversion occurred, an inversion that ever since has marred life in the present evil age: Justice is turned back and righteousness stands far off.</w:t>
      </w:r>
    </w:p>
    <w:p w14:paraId="10E05308">
      <w:pPr>
        <w:pStyle w:val="9"/>
        <w:spacing w:before="166"/>
        <w:ind w:left="0"/>
        <w:jc w:val="left"/>
        <w:rPr>
          <w:rFonts w:hint="eastAsia"/>
          <w:sz w:val="30"/>
          <w:szCs w:val="30"/>
        </w:rPr>
      </w:pPr>
      <w:r>
        <w:rPr>
          <w:rFonts w:hint="eastAsia"/>
          <w:sz w:val="30"/>
          <w:szCs w:val="30"/>
        </w:rPr>
        <w:t>在堕落时，发生了一次可怕的道德颠倒，这种颠倒从那时起就玷污了现今邪恶世代的生活：公平转而退后，公义站在远处。</w:t>
      </w:r>
    </w:p>
    <w:p w14:paraId="77DA1FAF">
      <w:pPr>
        <w:pStyle w:val="9"/>
        <w:spacing w:before="166"/>
        <w:ind w:left="0"/>
        <w:jc w:val="left"/>
        <w:rPr>
          <w:rFonts w:hint="eastAsia"/>
          <w:sz w:val="30"/>
          <w:szCs w:val="30"/>
        </w:rPr>
      </w:pPr>
    </w:p>
    <w:p w14:paraId="49BE561C">
      <w:pPr>
        <w:pStyle w:val="9"/>
        <w:spacing w:before="166"/>
        <w:ind w:left="0"/>
        <w:jc w:val="left"/>
        <w:rPr>
          <w:rFonts w:hint="eastAsia"/>
          <w:sz w:val="30"/>
          <w:szCs w:val="30"/>
        </w:rPr>
      </w:pPr>
      <w:r>
        <w:rPr>
          <w:rFonts w:hint="eastAsia"/>
          <w:sz w:val="30"/>
          <w:szCs w:val="30"/>
        </w:rPr>
        <w:t>Truth has fallen in the streets, and uprightness cannot enter in (Isaiah 59:14).</w:t>
      </w:r>
    </w:p>
    <w:p w14:paraId="7F5EE226">
      <w:pPr>
        <w:pStyle w:val="9"/>
        <w:spacing w:before="166"/>
        <w:ind w:left="0"/>
        <w:jc w:val="left"/>
        <w:rPr>
          <w:rFonts w:hint="eastAsia"/>
          <w:sz w:val="30"/>
          <w:szCs w:val="30"/>
        </w:rPr>
      </w:pPr>
      <w:r>
        <w:rPr>
          <w:rFonts w:hint="eastAsia"/>
          <w:sz w:val="30"/>
          <w:szCs w:val="30"/>
        </w:rPr>
        <w:t>诚实在街上仆倒，正直也不得进入（以赛亚书59:14）。</w:t>
      </w:r>
    </w:p>
    <w:p w14:paraId="76661CBB">
      <w:pPr>
        <w:pStyle w:val="9"/>
        <w:spacing w:before="166"/>
        <w:ind w:left="0"/>
        <w:jc w:val="left"/>
        <w:rPr>
          <w:rFonts w:hint="eastAsia"/>
          <w:sz w:val="30"/>
          <w:szCs w:val="30"/>
        </w:rPr>
      </w:pPr>
    </w:p>
    <w:p w14:paraId="192F124A">
      <w:pPr>
        <w:pStyle w:val="9"/>
        <w:spacing w:before="166"/>
        <w:ind w:left="0"/>
        <w:jc w:val="left"/>
        <w:rPr>
          <w:rFonts w:hint="eastAsia"/>
          <w:sz w:val="30"/>
          <w:szCs w:val="30"/>
        </w:rPr>
      </w:pPr>
      <w:r>
        <w:rPr>
          <w:rFonts w:hint="eastAsia"/>
          <w:sz w:val="30"/>
          <w:szCs w:val="30"/>
        </w:rPr>
        <w:t>The godly are hungry, mournful, hated, ostracized, insulted, spurned, and sometimes even murdered, while the worldly are fat, happy, and lauded by all men (Luke 6:20-26).</w:t>
      </w:r>
    </w:p>
    <w:p w14:paraId="0479A03A">
      <w:pPr>
        <w:pStyle w:val="9"/>
        <w:spacing w:before="166"/>
        <w:ind w:left="0"/>
        <w:jc w:val="left"/>
        <w:rPr>
          <w:rFonts w:hint="eastAsia"/>
          <w:sz w:val="30"/>
          <w:szCs w:val="30"/>
        </w:rPr>
      </w:pPr>
      <w:r>
        <w:rPr>
          <w:rFonts w:hint="eastAsia"/>
          <w:sz w:val="30"/>
          <w:szCs w:val="30"/>
        </w:rPr>
        <w:t>敬虔的人饥饿、哀恸、被恨、被排斥、被侮辱、被唾弃，有时甚至被谋杀，而属世的人却肥胖、快乐，并被众人称赞（路加福音6:20-26）。</w:t>
      </w:r>
    </w:p>
    <w:p w14:paraId="1832B8C9">
      <w:pPr>
        <w:pStyle w:val="9"/>
        <w:spacing w:before="166"/>
        <w:ind w:left="0"/>
        <w:jc w:val="left"/>
        <w:rPr>
          <w:rFonts w:hint="eastAsia"/>
          <w:sz w:val="30"/>
          <w:szCs w:val="30"/>
        </w:rPr>
      </w:pPr>
    </w:p>
    <w:p w14:paraId="384D1442">
      <w:pPr>
        <w:pStyle w:val="9"/>
        <w:spacing w:before="166"/>
        <w:ind w:left="0"/>
        <w:jc w:val="left"/>
        <w:rPr>
          <w:rFonts w:hint="eastAsia"/>
          <w:sz w:val="30"/>
          <w:szCs w:val="30"/>
        </w:rPr>
      </w:pPr>
      <w:r>
        <w:rPr>
          <w:rFonts w:hint="eastAsia"/>
          <w:sz w:val="30"/>
          <w:szCs w:val="30"/>
        </w:rPr>
        <w:t>Multitudes call evil good, and good evil (Isaiah 5:20).</w:t>
      </w:r>
    </w:p>
    <w:p w14:paraId="6894DFC6">
      <w:pPr>
        <w:pStyle w:val="9"/>
        <w:spacing w:before="166"/>
        <w:ind w:left="0"/>
        <w:jc w:val="left"/>
        <w:rPr>
          <w:rFonts w:hint="eastAsia"/>
          <w:sz w:val="30"/>
          <w:szCs w:val="30"/>
        </w:rPr>
      </w:pPr>
      <w:r>
        <w:rPr>
          <w:rFonts w:hint="eastAsia"/>
          <w:sz w:val="30"/>
          <w:szCs w:val="30"/>
        </w:rPr>
        <w:t>许多人称恶为善，称善为恶（以赛亚书5:20）。</w:t>
      </w:r>
    </w:p>
    <w:p w14:paraId="27CB8A88">
      <w:pPr>
        <w:pStyle w:val="9"/>
        <w:spacing w:before="166"/>
        <w:ind w:left="0"/>
        <w:jc w:val="left"/>
        <w:rPr>
          <w:rFonts w:hint="eastAsia"/>
          <w:sz w:val="30"/>
          <w:szCs w:val="30"/>
        </w:rPr>
      </w:pPr>
    </w:p>
    <w:p w14:paraId="531847C1">
      <w:pPr>
        <w:pStyle w:val="9"/>
        <w:spacing w:before="166"/>
        <w:ind w:left="0"/>
        <w:jc w:val="left"/>
        <w:rPr>
          <w:rFonts w:hint="eastAsia"/>
          <w:sz w:val="30"/>
          <w:szCs w:val="30"/>
        </w:rPr>
      </w:pPr>
      <w:r>
        <w:rPr>
          <w:rFonts w:hint="eastAsia"/>
          <w:sz w:val="30"/>
          <w:szCs w:val="30"/>
        </w:rPr>
        <w:t>While the God of judgment seems not to see, care, or even exist, the wicked and the ruthless rush ahead, crushing the innocent and prospering in their evil ways (Psalm 73, Isaiah 5:20).</w:t>
      </w:r>
    </w:p>
    <w:p w14:paraId="00992F46">
      <w:pPr>
        <w:pStyle w:val="9"/>
        <w:spacing w:before="166"/>
        <w:ind w:left="0"/>
        <w:jc w:val="left"/>
        <w:rPr>
          <w:rFonts w:hint="eastAsia"/>
          <w:sz w:val="30"/>
          <w:szCs w:val="30"/>
        </w:rPr>
      </w:pPr>
      <w:r>
        <w:rPr>
          <w:rFonts w:hint="eastAsia"/>
          <w:sz w:val="30"/>
          <w:szCs w:val="30"/>
        </w:rPr>
        <w:t>当审判的上帝似乎看不见、不在乎，甚至不存在时，恶人和残暴的人却勇往直前，压碎无辜的人，并在他们的邪恶道路上亨通（诗篇73，以赛亚书5:20）。</w:t>
      </w:r>
    </w:p>
    <w:p w14:paraId="7E1C4B4E">
      <w:pPr>
        <w:pStyle w:val="9"/>
        <w:spacing w:before="166"/>
        <w:ind w:left="0"/>
        <w:jc w:val="left"/>
        <w:rPr>
          <w:rFonts w:hint="eastAsia"/>
          <w:sz w:val="30"/>
          <w:szCs w:val="30"/>
        </w:rPr>
      </w:pPr>
    </w:p>
    <w:p w14:paraId="110E3932">
      <w:pPr>
        <w:pStyle w:val="9"/>
        <w:spacing w:before="166"/>
        <w:ind w:left="0"/>
        <w:jc w:val="left"/>
        <w:rPr>
          <w:rFonts w:hint="eastAsia"/>
          <w:sz w:val="30"/>
          <w:szCs w:val="30"/>
        </w:rPr>
      </w:pPr>
      <w:r>
        <w:rPr>
          <w:rFonts w:hint="eastAsia"/>
          <w:sz w:val="30"/>
          <w:szCs w:val="30"/>
        </w:rPr>
        <w:t>But at the Consummation, Christ will invert the inversion.</w:t>
      </w:r>
    </w:p>
    <w:p w14:paraId="5E2ABE2F">
      <w:pPr>
        <w:pStyle w:val="9"/>
        <w:spacing w:before="166"/>
        <w:ind w:left="0"/>
        <w:jc w:val="left"/>
        <w:rPr>
          <w:rFonts w:hint="eastAsia"/>
          <w:sz w:val="30"/>
          <w:szCs w:val="30"/>
        </w:rPr>
      </w:pPr>
      <w:r>
        <w:rPr>
          <w:rFonts w:hint="eastAsia"/>
          <w:sz w:val="30"/>
          <w:szCs w:val="30"/>
        </w:rPr>
        <w:t>但在最终的成全时，基督将颠倒这颠倒。</w:t>
      </w:r>
    </w:p>
    <w:p w14:paraId="0FD16B39">
      <w:pPr>
        <w:pStyle w:val="9"/>
        <w:spacing w:before="166"/>
        <w:ind w:left="0"/>
        <w:jc w:val="left"/>
        <w:rPr>
          <w:rFonts w:hint="eastAsia"/>
          <w:sz w:val="30"/>
          <w:szCs w:val="30"/>
        </w:rPr>
      </w:pPr>
    </w:p>
    <w:p w14:paraId="45FB5C51">
      <w:pPr>
        <w:pStyle w:val="9"/>
        <w:spacing w:before="166"/>
        <w:ind w:left="0"/>
        <w:jc w:val="left"/>
        <w:rPr>
          <w:rFonts w:hint="eastAsia"/>
          <w:sz w:val="30"/>
          <w:szCs w:val="30"/>
        </w:rPr>
      </w:pPr>
      <w:r>
        <w:rPr>
          <w:rFonts w:hint="eastAsia"/>
          <w:sz w:val="30"/>
          <w:szCs w:val="30"/>
        </w:rPr>
        <w:t>Placing the cosmos in a perfectly just balance, he himself will scatter the proud in the imagination of their hearts, bring down rulers from their thrones, and send away the rich empty-handed; after which he will exalt the humble, fill them with good things, and make them to inherit the earth forever (1 Samuel 2, Luke 1:46-55, Mt. 5:3-12).</w:t>
      </w:r>
    </w:p>
    <w:p w14:paraId="2346C3EE">
      <w:pPr>
        <w:pStyle w:val="9"/>
        <w:spacing w:before="166"/>
        <w:ind w:left="0"/>
        <w:jc w:val="left"/>
        <w:rPr>
          <w:rFonts w:hint="eastAsia"/>
          <w:sz w:val="30"/>
          <w:szCs w:val="30"/>
        </w:rPr>
      </w:pPr>
      <w:r>
        <w:rPr>
          <w:rFonts w:hint="eastAsia"/>
          <w:sz w:val="30"/>
          <w:szCs w:val="30"/>
        </w:rPr>
        <w:t>将宇宙置于一个完全公义的平衡中，祂自己将使骄傲的人心里意念狂乱的就散了，叫有权柄的失位，叫富足的空手回去；之后祂将叫卑微的升高，叫饥饿的得饱美食，并使他们永远承受地土（撒母耳记上2，路加福音1:46-55，马太福音5:3-12）。</w:t>
      </w:r>
    </w:p>
    <w:p w14:paraId="79CEF26A">
      <w:pPr>
        <w:pStyle w:val="9"/>
        <w:spacing w:before="166"/>
        <w:ind w:left="0"/>
        <w:jc w:val="left"/>
        <w:rPr>
          <w:rFonts w:hint="eastAsia"/>
          <w:sz w:val="30"/>
          <w:szCs w:val="30"/>
        </w:rPr>
      </w:pPr>
    </w:p>
    <w:p w14:paraId="226A43F6">
      <w:pPr>
        <w:pStyle w:val="9"/>
        <w:spacing w:before="166"/>
        <w:ind w:left="0"/>
        <w:jc w:val="left"/>
        <w:rPr>
          <w:rFonts w:hint="eastAsia"/>
          <w:sz w:val="30"/>
          <w:szCs w:val="30"/>
        </w:rPr>
      </w:pPr>
      <w:r>
        <w:rPr>
          <w:rFonts w:hint="eastAsia"/>
          <w:sz w:val="30"/>
          <w:szCs w:val="30"/>
        </w:rPr>
        <w:t>In that Day, the saints will exult, crying, “Even so, Lord God Almighty: True and righteous are Your judgments” (Rev. 16:7).</w:t>
      </w:r>
    </w:p>
    <w:p w14:paraId="56D35A20">
      <w:pPr>
        <w:pStyle w:val="9"/>
        <w:spacing w:before="166"/>
        <w:ind w:left="0"/>
        <w:jc w:val="left"/>
        <w:rPr>
          <w:rFonts w:hint="eastAsia"/>
          <w:sz w:val="30"/>
          <w:szCs w:val="30"/>
        </w:rPr>
      </w:pPr>
      <w:r>
        <w:rPr>
          <w:rFonts w:hint="eastAsia"/>
          <w:sz w:val="30"/>
          <w:szCs w:val="30"/>
        </w:rPr>
        <w:t>在那日，圣徒将欢欣，喊着说：“主上帝，全能者啊，你的判断义哉！诚哉！”（启16:7）。</w:t>
      </w:r>
    </w:p>
    <w:p w14:paraId="2AF0CFC5">
      <w:pPr>
        <w:pStyle w:val="9"/>
        <w:spacing w:before="166"/>
        <w:ind w:left="0"/>
        <w:jc w:val="left"/>
        <w:rPr>
          <w:rFonts w:hint="eastAsia"/>
          <w:sz w:val="30"/>
          <w:szCs w:val="30"/>
        </w:rPr>
      </w:pPr>
    </w:p>
    <w:p w14:paraId="023C18C7">
      <w:pPr>
        <w:pStyle w:val="9"/>
        <w:spacing w:before="166"/>
        <w:ind w:left="0"/>
        <w:jc w:val="left"/>
        <w:rPr>
          <w:rFonts w:hint="eastAsia"/>
          <w:sz w:val="30"/>
          <w:szCs w:val="30"/>
        </w:rPr>
      </w:pPr>
      <w:r>
        <w:rPr>
          <w:rFonts w:hint="eastAsia"/>
          <w:sz w:val="30"/>
          <w:szCs w:val="30"/>
        </w:rPr>
        <w:t>Finally, at the Consummation God designs a climactic administration of the redemption that is in Christ.</w:t>
      </w:r>
    </w:p>
    <w:p w14:paraId="5255E794">
      <w:pPr>
        <w:pStyle w:val="9"/>
        <w:spacing w:before="166"/>
        <w:ind w:left="0"/>
        <w:jc w:val="left"/>
        <w:rPr>
          <w:rFonts w:hint="eastAsia"/>
          <w:sz w:val="30"/>
          <w:szCs w:val="30"/>
        </w:rPr>
      </w:pPr>
      <w:r>
        <w:rPr>
          <w:rFonts w:hint="eastAsia"/>
          <w:sz w:val="30"/>
          <w:szCs w:val="30"/>
        </w:rPr>
        <w:t>最后，在最终的成全时，上帝设计了一次在基督里救赎的顶点施行。</w:t>
      </w:r>
    </w:p>
    <w:p w14:paraId="2482EF90">
      <w:pPr>
        <w:pStyle w:val="9"/>
        <w:spacing w:before="166"/>
        <w:ind w:left="0"/>
        <w:jc w:val="left"/>
        <w:rPr>
          <w:rFonts w:hint="eastAsia"/>
          <w:sz w:val="30"/>
          <w:szCs w:val="30"/>
        </w:rPr>
      </w:pPr>
    </w:p>
    <w:p w14:paraId="42290D29">
      <w:pPr>
        <w:pStyle w:val="9"/>
        <w:spacing w:before="166"/>
        <w:ind w:left="0"/>
        <w:jc w:val="left"/>
        <w:rPr>
          <w:rFonts w:hint="eastAsia"/>
          <w:sz w:val="30"/>
          <w:szCs w:val="30"/>
        </w:rPr>
      </w:pPr>
      <w:r>
        <w:rPr>
          <w:rFonts w:hint="eastAsia"/>
          <w:sz w:val="30"/>
          <w:szCs w:val="30"/>
        </w:rPr>
        <w:t>At his Parousia, the High King of Heaven will complete, crown, and cap all that he accomplished in the days of his humiliation, and all that he applied in the years of his exaltation.</w:t>
      </w:r>
    </w:p>
    <w:p w14:paraId="49FF246A">
      <w:pPr>
        <w:pStyle w:val="9"/>
        <w:spacing w:before="166"/>
        <w:ind w:left="0"/>
        <w:jc w:val="left"/>
        <w:rPr>
          <w:rFonts w:hint="eastAsia"/>
          <w:sz w:val="30"/>
          <w:szCs w:val="30"/>
        </w:rPr>
      </w:pPr>
      <w:r>
        <w:rPr>
          <w:rFonts w:hint="eastAsia"/>
          <w:sz w:val="30"/>
          <w:szCs w:val="30"/>
        </w:rPr>
        <w:t>在祂的主临（Parousia）时，天上的至高君王将完成、加冕和总结祂在降卑的日子里所成就的一切，以及祂在高升的年日里所施行的一切。</w:t>
      </w:r>
    </w:p>
    <w:p w14:paraId="631121BE">
      <w:pPr>
        <w:pStyle w:val="9"/>
        <w:spacing w:before="166"/>
        <w:ind w:left="0"/>
        <w:jc w:val="left"/>
        <w:rPr>
          <w:rFonts w:hint="eastAsia"/>
          <w:sz w:val="30"/>
          <w:szCs w:val="30"/>
        </w:rPr>
      </w:pPr>
    </w:p>
    <w:p w14:paraId="404EB4B2">
      <w:pPr>
        <w:pStyle w:val="9"/>
        <w:spacing w:before="166"/>
        <w:ind w:left="0"/>
        <w:jc w:val="left"/>
        <w:rPr>
          <w:rFonts w:hint="eastAsia"/>
          <w:sz w:val="30"/>
          <w:szCs w:val="30"/>
        </w:rPr>
      </w:pPr>
      <w:r>
        <w:rPr>
          <w:rFonts w:hint="eastAsia"/>
          <w:sz w:val="30"/>
          <w:szCs w:val="30"/>
        </w:rPr>
        <w:t>In particular, he will raise, transform, glorify, and eternally reward the saints, even as he delivers the creation itself from the futility of the curse into the freedom of the glory of the children of God (Romans 8:18-25, 2 Peter 3).</w:t>
      </w:r>
    </w:p>
    <w:p w14:paraId="72AABA9E">
      <w:pPr>
        <w:pStyle w:val="9"/>
        <w:spacing w:before="166"/>
        <w:ind w:left="0"/>
        <w:jc w:val="left"/>
        <w:rPr>
          <w:rFonts w:hint="eastAsia"/>
          <w:sz w:val="30"/>
          <w:szCs w:val="30"/>
        </w:rPr>
      </w:pPr>
      <w:r>
        <w:rPr>
          <w:rFonts w:hint="eastAsia"/>
          <w:sz w:val="30"/>
          <w:szCs w:val="30"/>
        </w:rPr>
        <w:t>特别是，祂将使圣徒复活、改变、得荣耀，并永远赏赐他们，同时也将受造之物本身从咒诅的虚空中拯救出来，进入上帝儿女荣耀的自由中（罗马书8:18-25，彼得后书3）。</w:t>
      </w:r>
    </w:p>
    <w:p w14:paraId="650D0869">
      <w:pPr>
        <w:pStyle w:val="9"/>
        <w:spacing w:before="166"/>
        <w:ind w:left="0"/>
        <w:jc w:val="left"/>
        <w:rPr>
          <w:rFonts w:hint="eastAsia"/>
          <w:sz w:val="30"/>
          <w:szCs w:val="30"/>
        </w:rPr>
      </w:pPr>
    </w:p>
    <w:p w14:paraId="25FDDD1C">
      <w:pPr>
        <w:pStyle w:val="9"/>
        <w:spacing w:before="166"/>
        <w:ind w:left="0"/>
        <w:jc w:val="left"/>
        <w:rPr>
          <w:rFonts w:hint="eastAsia"/>
          <w:sz w:val="30"/>
          <w:szCs w:val="30"/>
        </w:rPr>
      </w:pPr>
      <w:r>
        <w:rPr>
          <w:rFonts w:hint="eastAsia"/>
          <w:sz w:val="30"/>
          <w:szCs w:val="30"/>
        </w:rPr>
        <w:t>The Glory of God</w:t>
      </w:r>
    </w:p>
    <w:p w14:paraId="1E34BA4F">
      <w:pPr>
        <w:pStyle w:val="9"/>
        <w:spacing w:before="166"/>
        <w:ind w:left="0"/>
        <w:jc w:val="left"/>
        <w:rPr>
          <w:rFonts w:hint="eastAsia"/>
          <w:sz w:val="30"/>
          <w:szCs w:val="30"/>
        </w:rPr>
      </w:pPr>
      <w:r>
        <w:rPr>
          <w:rFonts w:hint="eastAsia"/>
          <w:sz w:val="30"/>
          <w:szCs w:val="30"/>
        </w:rPr>
        <w:t>上帝的荣耀</w:t>
      </w:r>
    </w:p>
    <w:p w14:paraId="1D4A8340">
      <w:pPr>
        <w:pStyle w:val="9"/>
        <w:spacing w:before="166"/>
        <w:ind w:left="0"/>
        <w:jc w:val="left"/>
        <w:rPr>
          <w:rFonts w:hint="eastAsia"/>
          <w:sz w:val="30"/>
          <w:szCs w:val="30"/>
        </w:rPr>
      </w:pPr>
    </w:p>
    <w:p w14:paraId="4F603C6D">
      <w:pPr>
        <w:pStyle w:val="9"/>
        <w:spacing w:before="166"/>
        <w:ind w:left="0"/>
        <w:jc w:val="left"/>
        <w:rPr>
          <w:rFonts w:hint="eastAsia"/>
          <w:sz w:val="30"/>
          <w:szCs w:val="30"/>
        </w:rPr>
      </w:pPr>
      <w:r>
        <w:rPr>
          <w:rFonts w:hint="eastAsia"/>
          <w:sz w:val="30"/>
          <w:szCs w:val="30"/>
        </w:rPr>
        <w:t>The Scriptures teach that in all of these things God has a high and eternal purpose: a consummate manifestation of his many-faceted character; a majestic display of his attributes; a universal show of his glory.</w:t>
      </w:r>
    </w:p>
    <w:p w14:paraId="5A7195E3">
      <w:pPr>
        <w:pStyle w:val="9"/>
        <w:spacing w:before="166"/>
        <w:ind w:left="0"/>
        <w:jc w:val="left"/>
        <w:rPr>
          <w:rFonts w:hint="eastAsia"/>
          <w:sz w:val="30"/>
          <w:szCs w:val="30"/>
        </w:rPr>
      </w:pPr>
      <w:r>
        <w:rPr>
          <w:rFonts w:hint="eastAsia"/>
          <w:sz w:val="30"/>
          <w:szCs w:val="30"/>
        </w:rPr>
        <w:t>圣经教导说，在所有这些事上，上帝都有一个崇高而永恒的目的：一个对祂多方面品格的完美彰显；一个对祂属性的庄严展示；一个对祂荣耀的普世显现。</w:t>
      </w:r>
    </w:p>
    <w:p w14:paraId="24DC19D0">
      <w:pPr>
        <w:pStyle w:val="9"/>
        <w:spacing w:before="166"/>
        <w:ind w:left="0"/>
        <w:jc w:val="left"/>
        <w:rPr>
          <w:rFonts w:hint="eastAsia"/>
          <w:sz w:val="30"/>
          <w:szCs w:val="30"/>
        </w:rPr>
      </w:pPr>
    </w:p>
    <w:p w14:paraId="6CC9AB60">
      <w:pPr>
        <w:pStyle w:val="9"/>
        <w:spacing w:before="166"/>
        <w:ind w:left="0"/>
        <w:jc w:val="left"/>
        <w:rPr>
          <w:rFonts w:hint="eastAsia"/>
          <w:sz w:val="30"/>
          <w:szCs w:val="30"/>
        </w:rPr>
      </w:pPr>
      <w:r>
        <w:rPr>
          <w:rFonts w:hint="eastAsia"/>
          <w:sz w:val="30"/>
          <w:szCs w:val="30"/>
        </w:rPr>
        <w:t>This is especially clear from Romans 9:19-24, in which we find Paul defending God’s right to elect sinners to salvation.</w:t>
      </w:r>
    </w:p>
    <w:p w14:paraId="16F38715">
      <w:pPr>
        <w:pStyle w:val="9"/>
        <w:spacing w:before="166"/>
        <w:ind w:left="0"/>
        <w:jc w:val="left"/>
        <w:rPr>
          <w:rFonts w:hint="eastAsia"/>
          <w:sz w:val="30"/>
          <w:szCs w:val="30"/>
        </w:rPr>
      </w:pPr>
      <w:r>
        <w:rPr>
          <w:rFonts w:hint="eastAsia"/>
          <w:sz w:val="30"/>
          <w:szCs w:val="30"/>
        </w:rPr>
        <w:t>这在罗马书9:19-24中尤其清楚，我们在那里看到保罗为上帝拣选罪人得救的权利辩护。</w:t>
      </w:r>
    </w:p>
    <w:p w14:paraId="0F80A7F3">
      <w:pPr>
        <w:pStyle w:val="9"/>
        <w:spacing w:before="166"/>
        <w:ind w:left="0"/>
        <w:jc w:val="left"/>
        <w:rPr>
          <w:rFonts w:hint="eastAsia"/>
          <w:sz w:val="30"/>
          <w:szCs w:val="30"/>
        </w:rPr>
      </w:pPr>
    </w:p>
    <w:p w14:paraId="619CF891">
      <w:pPr>
        <w:pStyle w:val="9"/>
        <w:spacing w:before="166"/>
        <w:ind w:left="0"/>
        <w:jc w:val="left"/>
        <w:rPr>
          <w:rFonts w:hint="eastAsia"/>
          <w:sz w:val="30"/>
          <w:szCs w:val="30"/>
        </w:rPr>
      </w:pPr>
      <w:r>
        <w:rPr>
          <w:rFonts w:hint="eastAsia"/>
          <w:sz w:val="30"/>
          <w:szCs w:val="30"/>
        </w:rPr>
        <w:t>He opens by directing his readers’ attention to the Exodus event, at which time God purposely hardened Pharaoh’s heart, but was pleased to shower his mercy and grace on Israel.</w:t>
      </w:r>
    </w:p>
    <w:p w14:paraId="570812C7">
      <w:pPr>
        <w:pStyle w:val="9"/>
        <w:spacing w:before="166"/>
        <w:ind w:left="0"/>
        <w:jc w:val="left"/>
        <w:rPr>
          <w:rFonts w:hint="eastAsia"/>
          <w:sz w:val="30"/>
          <w:szCs w:val="30"/>
        </w:rPr>
      </w:pPr>
      <w:r>
        <w:rPr>
          <w:rFonts w:hint="eastAsia"/>
          <w:sz w:val="30"/>
          <w:szCs w:val="30"/>
        </w:rPr>
        <w:t>他开头时引导读者的注意力到出埃及事件，那时上帝故意使法老的心刚硬，却乐意将祂的怜悯和恩典倾倒在以色列身上。</w:t>
      </w:r>
    </w:p>
    <w:p w14:paraId="058A43D2">
      <w:pPr>
        <w:pStyle w:val="9"/>
        <w:spacing w:before="166"/>
        <w:ind w:left="0"/>
        <w:jc w:val="left"/>
        <w:rPr>
          <w:rFonts w:hint="eastAsia"/>
          <w:sz w:val="30"/>
          <w:szCs w:val="30"/>
        </w:rPr>
      </w:pPr>
    </w:p>
    <w:p w14:paraId="149BDA04">
      <w:pPr>
        <w:pStyle w:val="9"/>
        <w:spacing w:before="166"/>
        <w:ind w:left="0"/>
        <w:jc w:val="left"/>
        <w:rPr>
          <w:rFonts w:hint="eastAsia"/>
          <w:sz w:val="30"/>
          <w:szCs w:val="30"/>
        </w:rPr>
      </w:pPr>
      <w:r>
        <w:rPr>
          <w:rFonts w:hint="eastAsia"/>
          <w:sz w:val="30"/>
          <w:szCs w:val="30"/>
        </w:rPr>
        <w:t>Pressing his point home, he concludes by saying: “So then, God has mercy on whom he wants to have mercy, and he hardens whom he wants to harden” (Rom. 9:17-18).</w:t>
      </w:r>
    </w:p>
    <w:p w14:paraId="08D468B7">
      <w:pPr>
        <w:pStyle w:val="9"/>
        <w:spacing w:before="166"/>
        <w:ind w:left="0"/>
        <w:jc w:val="left"/>
        <w:rPr>
          <w:rFonts w:hint="eastAsia"/>
          <w:sz w:val="30"/>
          <w:szCs w:val="30"/>
        </w:rPr>
      </w:pPr>
      <w:r>
        <w:rPr>
          <w:rFonts w:hint="eastAsia"/>
          <w:sz w:val="30"/>
          <w:szCs w:val="30"/>
        </w:rPr>
        <w:t>他强调其论点，最后说：“如此看来，上帝要怜悯谁，就怜悯谁；要叫谁刚硬，就叫谁刚硬”（罗9:17-18）。</w:t>
      </w:r>
    </w:p>
    <w:p w14:paraId="21987057">
      <w:pPr>
        <w:pStyle w:val="9"/>
        <w:spacing w:before="166"/>
        <w:ind w:left="0"/>
        <w:jc w:val="left"/>
        <w:rPr>
          <w:rFonts w:hint="eastAsia"/>
          <w:sz w:val="30"/>
          <w:szCs w:val="30"/>
        </w:rPr>
      </w:pPr>
    </w:p>
    <w:p w14:paraId="4C6A0ECC">
      <w:pPr>
        <w:pStyle w:val="9"/>
        <w:spacing w:before="166"/>
        <w:ind w:left="0"/>
        <w:jc w:val="left"/>
        <w:rPr>
          <w:rFonts w:hint="eastAsia"/>
          <w:sz w:val="30"/>
          <w:szCs w:val="30"/>
        </w:rPr>
      </w:pPr>
      <w:r>
        <w:rPr>
          <w:rFonts w:hint="eastAsia"/>
          <w:sz w:val="30"/>
          <w:szCs w:val="30"/>
        </w:rPr>
        <w:t>But Paul is not done.</w:t>
      </w:r>
    </w:p>
    <w:p w14:paraId="78ADE1EB">
      <w:pPr>
        <w:pStyle w:val="9"/>
        <w:spacing w:before="166"/>
        <w:ind w:left="0"/>
        <w:jc w:val="left"/>
        <w:rPr>
          <w:rFonts w:hint="eastAsia"/>
          <w:sz w:val="30"/>
          <w:szCs w:val="30"/>
        </w:rPr>
      </w:pPr>
      <w:r>
        <w:rPr>
          <w:rFonts w:hint="eastAsia"/>
          <w:sz w:val="30"/>
          <w:szCs w:val="30"/>
        </w:rPr>
        <w:t>但保罗还没有说完。</w:t>
      </w:r>
    </w:p>
    <w:p w14:paraId="09BB49B4">
      <w:pPr>
        <w:pStyle w:val="9"/>
        <w:spacing w:before="166"/>
        <w:ind w:left="0"/>
        <w:jc w:val="left"/>
        <w:rPr>
          <w:rFonts w:hint="eastAsia"/>
          <w:sz w:val="30"/>
          <w:szCs w:val="30"/>
        </w:rPr>
      </w:pPr>
    </w:p>
    <w:p w14:paraId="50403E54">
      <w:pPr>
        <w:pStyle w:val="9"/>
        <w:spacing w:before="166"/>
        <w:ind w:left="0"/>
        <w:jc w:val="left"/>
        <w:rPr>
          <w:rFonts w:hint="eastAsia"/>
          <w:sz w:val="30"/>
          <w:szCs w:val="30"/>
        </w:rPr>
      </w:pPr>
      <w:r>
        <w:rPr>
          <w:rFonts w:hint="eastAsia"/>
          <w:sz w:val="30"/>
          <w:szCs w:val="30"/>
        </w:rPr>
        <w:t>Anticipating objections that he had doubtless heard many times during the course of his ministry, he continues:</w:t>
      </w:r>
    </w:p>
    <w:p w14:paraId="35BAFB84">
      <w:pPr>
        <w:pStyle w:val="9"/>
        <w:spacing w:before="166"/>
        <w:ind w:left="0"/>
        <w:jc w:val="left"/>
        <w:rPr>
          <w:rFonts w:hint="eastAsia"/>
          <w:sz w:val="30"/>
          <w:szCs w:val="30"/>
        </w:rPr>
      </w:pPr>
      <w:r>
        <w:rPr>
          <w:rFonts w:hint="eastAsia"/>
          <w:sz w:val="30"/>
          <w:szCs w:val="30"/>
        </w:rPr>
        <w:t>他预料到他在事奉过程中无疑已多次听到的反对意见，继续说道：</w:t>
      </w:r>
    </w:p>
    <w:p w14:paraId="5F503E36">
      <w:pPr>
        <w:pStyle w:val="9"/>
        <w:spacing w:before="166"/>
        <w:ind w:left="0"/>
        <w:jc w:val="left"/>
        <w:rPr>
          <w:rFonts w:hint="eastAsia"/>
          <w:sz w:val="30"/>
          <w:szCs w:val="30"/>
        </w:rPr>
      </w:pPr>
    </w:p>
    <w:p w14:paraId="2A688447">
      <w:pPr>
        <w:pStyle w:val="9"/>
        <w:spacing w:before="166"/>
        <w:ind w:left="0"/>
        <w:jc w:val="left"/>
        <w:rPr>
          <w:rFonts w:hint="eastAsia"/>
          <w:sz w:val="30"/>
          <w:szCs w:val="30"/>
        </w:rPr>
      </w:pPr>
      <w:r>
        <w:rPr>
          <w:rFonts w:hint="eastAsia"/>
          <w:sz w:val="30"/>
          <w:szCs w:val="30"/>
        </w:rPr>
        <w:t>One of you will say to me, “Why then does he still blame us? For who can resist his will?”</w:t>
      </w:r>
    </w:p>
    <w:p w14:paraId="17285CA3">
      <w:pPr>
        <w:pStyle w:val="9"/>
        <w:spacing w:before="166"/>
        <w:ind w:left="0"/>
        <w:jc w:val="left"/>
        <w:rPr>
          <w:rFonts w:hint="eastAsia"/>
          <w:sz w:val="30"/>
          <w:szCs w:val="30"/>
        </w:rPr>
      </w:pPr>
      <w:r>
        <w:rPr>
          <w:rFonts w:hint="eastAsia"/>
          <w:sz w:val="30"/>
          <w:szCs w:val="30"/>
        </w:rPr>
        <w:t>你们中有人会对我说：“这样，祂为什么还指责人呢？有谁抗拒祂的旨意呢？”</w:t>
      </w:r>
    </w:p>
    <w:p w14:paraId="301088C6">
      <w:pPr>
        <w:pStyle w:val="9"/>
        <w:spacing w:before="166"/>
        <w:ind w:left="0"/>
        <w:jc w:val="left"/>
        <w:rPr>
          <w:rFonts w:hint="eastAsia"/>
          <w:sz w:val="30"/>
          <w:szCs w:val="30"/>
        </w:rPr>
      </w:pPr>
    </w:p>
    <w:p w14:paraId="30D3F9BD">
      <w:pPr>
        <w:pStyle w:val="9"/>
        <w:spacing w:before="166"/>
        <w:ind w:left="0"/>
        <w:jc w:val="left"/>
        <w:rPr>
          <w:rFonts w:hint="eastAsia"/>
          <w:sz w:val="30"/>
          <w:szCs w:val="30"/>
        </w:rPr>
      </w:pPr>
      <w:r>
        <w:rPr>
          <w:rFonts w:hint="eastAsia"/>
          <w:sz w:val="30"/>
          <w:szCs w:val="30"/>
        </w:rPr>
        <w:t>But who are you, O man, to talk back to God?</w:t>
      </w:r>
    </w:p>
    <w:p w14:paraId="79EBA62B">
      <w:pPr>
        <w:pStyle w:val="9"/>
        <w:spacing w:before="166"/>
        <w:ind w:left="0"/>
        <w:jc w:val="left"/>
        <w:rPr>
          <w:rFonts w:hint="eastAsia"/>
          <w:sz w:val="30"/>
          <w:szCs w:val="30"/>
        </w:rPr>
      </w:pPr>
      <w:r>
        <w:rPr>
          <w:rFonts w:hint="eastAsia"/>
          <w:sz w:val="30"/>
          <w:szCs w:val="30"/>
        </w:rPr>
        <w:t>你这个人哪，你是谁，竟敢向神强嘴呢？</w:t>
      </w:r>
    </w:p>
    <w:p w14:paraId="193D2AB5">
      <w:pPr>
        <w:pStyle w:val="9"/>
        <w:spacing w:before="166"/>
        <w:ind w:left="0"/>
        <w:jc w:val="left"/>
        <w:rPr>
          <w:rFonts w:hint="eastAsia"/>
          <w:sz w:val="30"/>
          <w:szCs w:val="30"/>
        </w:rPr>
      </w:pPr>
    </w:p>
    <w:p w14:paraId="24200901">
      <w:pPr>
        <w:pStyle w:val="9"/>
        <w:spacing w:before="166"/>
        <w:ind w:left="0"/>
        <w:jc w:val="left"/>
        <w:rPr>
          <w:rFonts w:hint="eastAsia"/>
          <w:sz w:val="30"/>
          <w:szCs w:val="30"/>
        </w:rPr>
      </w:pPr>
      <w:r>
        <w:rPr>
          <w:rFonts w:hint="eastAsia"/>
          <w:sz w:val="30"/>
          <w:szCs w:val="30"/>
        </w:rPr>
        <w:t>Shall what is formed say to him who formed it, “Why did you make me like this?”</w:t>
      </w:r>
    </w:p>
    <w:p w14:paraId="76BE222A">
      <w:pPr>
        <w:pStyle w:val="9"/>
        <w:spacing w:before="166"/>
        <w:ind w:left="0"/>
        <w:jc w:val="left"/>
        <w:rPr>
          <w:rFonts w:hint="eastAsia"/>
          <w:sz w:val="30"/>
          <w:szCs w:val="30"/>
        </w:rPr>
      </w:pPr>
      <w:r>
        <w:rPr>
          <w:rFonts w:hint="eastAsia"/>
          <w:sz w:val="30"/>
          <w:szCs w:val="30"/>
        </w:rPr>
        <w:t>受造之物岂能对造他的说：“你为什么这样造我呢？”</w:t>
      </w:r>
    </w:p>
    <w:p w14:paraId="4DB52152">
      <w:pPr>
        <w:pStyle w:val="9"/>
        <w:spacing w:before="166"/>
        <w:ind w:left="0"/>
        <w:jc w:val="left"/>
        <w:rPr>
          <w:rFonts w:hint="eastAsia"/>
          <w:sz w:val="30"/>
          <w:szCs w:val="30"/>
        </w:rPr>
      </w:pPr>
    </w:p>
    <w:p w14:paraId="3B74FEBA">
      <w:pPr>
        <w:pStyle w:val="9"/>
        <w:spacing w:before="166"/>
        <w:ind w:left="0"/>
        <w:jc w:val="left"/>
        <w:rPr>
          <w:rFonts w:hint="eastAsia"/>
          <w:sz w:val="30"/>
          <w:szCs w:val="30"/>
        </w:rPr>
      </w:pPr>
      <w:r>
        <w:rPr>
          <w:rFonts w:hint="eastAsia"/>
          <w:sz w:val="30"/>
          <w:szCs w:val="30"/>
        </w:rPr>
        <w:t>Does not the potter have the right to make out of the same lump of clay some pottery for noble purposes and some for common use?</w:t>
      </w:r>
    </w:p>
    <w:p w14:paraId="3E883CF2">
      <w:pPr>
        <w:pStyle w:val="9"/>
        <w:spacing w:before="166"/>
        <w:ind w:left="0"/>
        <w:jc w:val="left"/>
        <w:rPr>
          <w:rFonts w:hint="eastAsia"/>
          <w:sz w:val="30"/>
          <w:szCs w:val="30"/>
        </w:rPr>
      </w:pPr>
      <w:r>
        <w:rPr>
          <w:rFonts w:hint="eastAsia"/>
          <w:sz w:val="30"/>
          <w:szCs w:val="30"/>
        </w:rPr>
        <w:t>窑匠难道没有权柄，从一团泥里拿一块作成贵重的器皿，又拿一块作成卑贱的器皿吗？</w:t>
      </w:r>
    </w:p>
    <w:p w14:paraId="4CCAF79B">
      <w:pPr>
        <w:pStyle w:val="9"/>
        <w:spacing w:before="166"/>
        <w:ind w:left="0"/>
        <w:jc w:val="left"/>
        <w:rPr>
          <w:rFonts w:hint="eastAsia"/>
          <w:sz w:val="30"/>
          <w:szCs w:val="30"/>
        </w:rPr>
      </w:pPr>
    </w:p>
    <w:p w14:paraId="67F6C315">
      <w:pPr>
        <w:pStyle w:val="9"/>
        <w:spacing w:before="166"/>
        <w:ind w:left="0"/>
        <w:jc w:val="left"/>
        <w:rPr>
          <w:rFonts w:hint="eastAsia"/>
          <w:sz w:val="30"/>
          <w:szCs w:val="30"/>
        </w:rPr>
      </w:pPr>
      <w:r>
        <w:rPr>
          <w:rFonts w:hint="eastAsia"/>
          <w:sz w:val="30"/>
          <w:szCs w:val="30"/>
        </w:rPr>
        <w:t>What if God, desiring to display his wrath and make his power known, bore with great patience the objects of his wrath prepared for destruction?</w:t>
      </w:r>
    </w:p>
    <w:p w14:paraId="72144DE8">
      <w:pPr>
        <w:pStyle w:val="9"/>
        <w:spacing w:before="166"/>
        <w:ind w:left="0"/>
        <w:jc w:val="left"/>
        <w:rPr>
          <w:rFonts w:hint="eastAsia"/>
          <w:sz w:val="30"/>
          <w:szCs w:val="30"/>
        </w:rPr>
      </w:pPr>
      <w:r>
        <w:rPr>
          <w:rFonts w:hint="eastAsia"/>
          <w:sz w:val="30"/>
          <w:szCs w:val="30"/>
        </w:rPr>
        <w:t>倘若上帝要显明祂的忿怒，彰显祂的权能，就多多忍耐宽容那可怒预备遭毁灭的器皿，又如何呢？</w:t>
      </w:r>
    </w:p>
    <w:p w14:paraId="699793FF">
      <w:pPr>
        <w:pStyle w:val="9"/>
        <w:spacing w:before="166"/>
        <w:ind w:left="0"/>
        <w:jc w:val="left"/>
        <w:rPr>
          <w:rFonts w:hint="eastAsia"/>
          <w:sz w:val="30"/>
          <w:szCs w:val="30"/>
        </w:rPr>
      </w:pPr>
    </w:p>
    <w:p w14:paraId="2D6F2C5B">
      <w:pPr>
        <w:pStyle w:val="9"/>
        <w:spacing w:before="166"/>
        <w:ind w:left="0"/>
        <w:jc w:val="left"/>
        <w:rPr>
          <w:rFonts w:hint="eastAsia"/>
          <w:sz w:val="30"/>
          <w:szCs w:val="30"/>
        </w:rPr>
      </w:pPr>
      <w:r>
        <w:rPr>
          <w:rFonts w:hint="eastAsia"/>
          <w:sz w:val="30"/>
          <w:szCs w:val="30"/>
        </w:rPr>
        <w:t>And what if he did this in order to make known the riches of his glory to the objects of his mercy, whom he prepared in advance for glory—even us whom he also called, not only from the Jews, but also from the Gentiles?</w:t>
      </w:r>
    </w:p>
    <w:p w14:paraId="5388C468">
      <w:pPr>
        <w:pStyle w:val="9"/>
        <w:spacing w:before="166"/>
        <w:ind w:left="0"/>
        <w:jc w:val="left"/>
        <w:rPr>
          <w:rFonts w:hint="eastAsia"/>
          <w:sz w:val="30"/>
          <w:szCs w:val="30"/>
        </w:rPr>
      </w:pPr>
      <w:r>
        <w:rPr>
          <w:rFonts w:hint="eastAsia"/>
          <w:sz w:val="30"/>
          <w:szCs w:val="30"/>
        </w:rPr>
        <w:t>又将祂丰盛的荣耀彰显在那蒙怜悯、早预备得荣耀的器皿上，这器皿就是我们被祂所召的，不但是从犹太人中，也是从外邦人中召来的，这又何妨呢？</w:t>
      </w:r>
    </w:p>
    <w:p w14:paraId="4F1C669B">
      <w:pPr>
        <w:pStyle w:val="9"/>
        <w:spacing w:before="166"/>
        <w:ind w:left="0"/>
        <w:jc w:val="left"/>
        <w:rPr>
          <w:rFonts w:hint="eastAsia"/>
          <w:sz w:val="30"/>
          <w:szCs w:val="30"/>
        </w:rPr>
      </w:pPr>
    </w:p>
    <w:p w14:paraId="0D6A30B8">
      <w:pPr>
        <w:pStyle w:val="9"/>
        <w:spacing w:before="166"/>
        <w:ind w:left="0"/>
        <w:jc w:val="left"/>
        <w:rPr>
          <w:rFonts w:hint="eastAsia"/>
          <w:sz w:val="30"/>
          <w:szCs w:val="30"/>
        </w:rPr>
      </w:pPr>
      <w:r>
        <w:rPr>
          <w:rFonts w:hint="eastAsia"/>
          <w:sz w:val="30"/>
          <w:szCs w:val="30"/>
        </w:rPr>
        <w:t>—Rom. 9:19-24</w:t>
      </w:r>
    </w:p>
    <w:p w14:paraId="4DD8492A">
      <w:pPr>
        <w:pStyle w:val="9"/>
        <w:spacing w:before="166"/>
        <w:ind w:left="0"/>
        <w:jc w:val="left"/>
        <w:rPr>
          <w:rFonts w:hint="eastAsia"/>
          <w:sz w:val="30"/>
          <w:szCs w:val="30"/>
        </w:rPr>
      </w:pPr>
      <w:r>
        <w:rPr>
          <w:rFonts w:hint="eastAsia"/>
          <w:sz w:val="30"/>
          <w:szCs w:val="30"/>
        </w:rPr>
        <w:t>——罗9:19-24</w:t>
      </w:r>
    </w:p>
    <w:p w14:paraId="6539D211">
      <w:pPr>
        <w:pStyle w:val="9"/>
        <w:spacing w:before="166"/>
        <w:ind w:left="0"/>
        <w:jc w:val="left"/>
        <w:rPr>
          <w:rFonts w:hint="eastAsia"/>
          <w:sz w:val="30"/>
          <w:szCs w:val="30"/>
        </w:rPr>
      </w:pPr>
    </w:p>
    <w:p w14:paraId="15E9FA63">
      <w:pPr>
        <w:pStyle w:val="9"/>
        <w:spacing w:before="166"/>
        <w:ind w:left="0"/>
        <w:jc w:val="left"/>
        <w:rPr>
          <w:rFonts w:hint="eastAsia"/>
          <w:sz w:val="30"/>
          <w:szCs w:val="30"/>
        </w:rPr>
      </w:pPr>
      <w:r>
        <w:rPr>
          <w:rFonts w:hint="eastAsia"/>
          <w:sz w:val="30"/>
          <w:szCs w:val="30"/>
        </w:rPr>
        <w:t>These astonishing words go far towards unveiling the supreme purpose of God in Salvation History.</w:t>
      </w:r>
    </w:p>
    <w:p w14:paraId="7D07603D">
      <w:pPr>
        <w:pStyle w:val="9"/>
        <w:spacing w:before="166"/>
        <w:ind w:left="0"/>
        <w:jc w:val="left"/>
        <w:rPr>
          <w:rFonts w:hint="eastAsia"/>
          <w:sz w:val="30"/>
          <w:szCs w:val="30"/>
        </w:rPr>
      </w:pPr>
      <w:r>
        <w:rPr>
          <w:rFonts w:hint="eastAsia"/>
          <w:sz w:val="30"/>
          <w:szCs w:val="30"/>
        </w:rPr>
        <w:t>这些惊人的话语，极大地揭示了上帝在救赎历史中的至高旨意。</w:t>
      </w:r>
    </w:p>
    <w:p w14:paraId="7F422F4B">
      <w:pPr>
        <w:pStyle w:val="9"/>
        <w:spacing w:before="166"/>
        <w:ind w:left="0"/>
        <w:jc w:val="left"/>
        <w:rPr>
          <w:rFonts w:hint="eastAsia"/>
          <w:sz w:val="30"/>
          <w:szCs w:val="30"/>
        </w:rPr>
      </w:pPr>
    </w:p>
    <w:p w14:paraId="79D06DCB">
      <w:pPr>
        <w:pStyle w:val="9"/>
        <w:spacing w:before="166"/>
        <w:ind w:left="0"/>
        <w:jc w:val="left"/>
        <w:rPr>
          <w:rFonts w:hint="eastAsia"/>
          <w:sz w:val="30"/>
          <w:szCs w:val="30"/>
        </w:rPr>
      </w:pPr>
      <w:r>
        <w:rPr>
          <w:rFonts w:hint="eastAsia"/>
          <w:sz w:val="30"/>
          <w:szCs w:val="30"/>
        </w:rPr>
        <w:t>Bear in mind that for Paul the Exodus event is a type, a picture of the redemption—or eschatological exodus—that has now come about through Christ.</w:t>
      </w:r>
    </w:p>
    <w:p w14:paraId="3D80E148">
      <w:pPr>
        <w:pStyle w:val="9"/>
        <w:spacing w:before="166"/>
        <w:ind w:left="0"/>
        <w:jc w:val="left"/>
        <w:rPr>
          <w:rFonts w:hint="eastAsia"/>
          <w:sz w:val="30"/>
          <w:szCs w:val="30"/>
        </w:rPr>
      </w:pPr>
      <w:r>
        <w:rPr>
          <w:rFonts w:hint="eastAsia"/>
          <w:sz w:val="30"/>
          <w:szCs w:val="30"/>
        </w:rPr>
        <w:t>请记住，对保罗而言，出埃及事件是一个预表，是现在通过基督实现的救赎——或末世的出埃及——的一幅图画。</w:t>
      </w:r>
    </w:p>
    <w:p w14:paraId="50898B30">
      <w:pPr>
        <w:pStyle w:val="9"/>
        <w:spacing w:before="166"/>
        <w:ind w:left="0"/>
        <w:jc w:val="left"/>
        <w:rPr>
          <w:rFonts w:hint="eastAsia"/>
          <w:sz w:val="30"/>
          <w:szCs w:val="30"/>
        </w:rPr>
      </w:pPr>
    </w:p>
    <w:p w14:paraId="59822D75">
      <w:pPr>
        <w:pStyle w:val="9"/>
        <w:spacing w:before="166"/>
        <w:ind w:left="0"/>
        <w:jc w:val="left"/>
        <w:rPr>
          <w:rFonts w:hint="eastAsia"/>
          <w:sz w:val="30"/>
          <w:szCs w:val="30"/>
        </w:rPr>
      </w:pPr>
      <w:r>
        <w:rPr>
          <w:rFonts w:hint="eastAsia"/>
          <w:sz w:val="30"/>
          <w:szCs w:val="30"/>
        </w:rPr>
        <w:t>More particularly, it is a picture of the Consummation, of the Last Day in which God will display his holiness, wrath, justice, and destructive power over the wicked, just as he did over Pharaoh and his armies.</w:t>
      </w:r>
    </w:p>
    <w:p w14:paraId="5D0A1664">
      <w:pPr>
        <w:pStyle w:val="9"/>
        <w:spacing w:before="166"/>
        <w:ind w:left="0"/>
        <w:jc w:val="left"/>
        <w:rPr>
          <w:rFonts w:hint="eastAsia"/>
          <w:sz w:val="30"/>
          <w:szCs w:val="30"/>
        </w:rPr>
      </w:pPr>
      <w:r>
        <w:rPr>
          <w:rFonts w:hint="eastAsia"/>
          <w:sz w:val="30"/>
          <w:szCs w:val="30"/>
        </w:rPr>
        <w:t>更具体地说，它是最终成全的一幅图画，是末日的一幅图画，在那日上帝将彰显祂对恶人的圣洁、忿怒、公义和毁灭性的能力，就像祂对法老和他的军队所做的那样。</w:t>
      </w:r>
    </w:p>
    <w:p w14:paraId="74618BE6">
      <w:pPr>
        <w:pStyle w:val="9"/>
        <w:spacing w:before="166"/>
        <w:ind w:left="0"/>
        <w:jc w:val="left"/>
        <w:rPr>
          <w:rFonts w:hint="eastAsia"/>
          <w:sz w:val="30"/>
          <w:szCs w:val="30"/>
        </w:rPr>
      </w:pPr>
    </w:p>
    <w:p w14:paraId="2CE76367">
      <w:pPr>
        <w:pStyle w:val="9"/>
        <w:spacing w:before="166"/>
        <w:ind w:left="0"/>
        <w:jc w:val="left"/>
        <w:rPr>
          <w:rFonts w:hint="eastAsia"/>
          <w:sz w:val="30"/>
          <w:szCs w:val="30"/>
        </w:rPr>
      </w:pPr>
      <w:r>
        <w:rPr>
          <w:rFonts w:hint="eastAsia"/>
          <w:sz w:val="30"/>
          <w:szCs w:val="30"/>
        </w:rPr>
        <w:t>However, it is also a picture of the Last Day in which he will display his sovereignly bestowed love, mercy, and grace to his Church, whom Christ will safely lead through the fires of final judgment into the World to Come, even as Moses safely led Israel through the waters of the Red Sea to the Promised Land.</w:t>
      </w:r>
    </w:p>
    <w:p w14:paraId="11CD3D13">
      <w:pPr>
        <w:pStyle w:val="9"/>
        <w:spacing w:before="166"/>
        <w:ind w:left="0"/>
        <w:jc w:val="left"/>
        <w:rPr>
          <w:rFonts w:hint="eastAsia"/>
          <w:sz w:val="30"/>
          <w:szCs w:val="30"/>
        </w:rPr>
      </w:pPr>
      <w:r>
        <w:rPr>
          <w:rFonts w:hint="eastAsia"/>
          <w:sz w:val="30"/>
          <w:szCs w:val="30"/>
        </w:rPr>
        <w:t>然而，它也是末日的一幅图画，在那日祂将彰显祂主权所赐的爱、怜悯和恩典给祂的教会，基督将安全地带领他们穿过最后审判的烈火进入将来的世界，就像摩西安全地带领以色列穿过红海的水到达应许之地一样。</w:t>
      </w:r>
    </w:p>
    <w:p w14:paraId="16588B43">
      <w:pPr>
        <w:pStyle w:val="9"/>
        <w:spacing w:before="166"/>
        <w:ind w:left="0"/>
        <w:jc w:val="left"/>
        <w:rPr>
          <w:rFonts w:hint="eastAsia"/>
          <w:sz w:val="30"/>
          <w:szCs w:val="30"/>
        </w:rPr>
      </w:pPr>
    </w:p>
    <w:p w14:paraId="2DEE44D2">
      <w:pPr>
        <w:pStyle w:val="9"/>
        <w:spacing w:before="166"/>
        <w:ind w:left="0"/>
        <w:jc w:val="left"/>
        <w:rPr>
          <w:rFonts w:hint="eastAsia"/>
          <w:sz w:val="30"/>
          <w:szCs w:val="30"/>
        </w:rPr>
      </w:pPr>
      <w:r>
        <w:rPr>
          <w:rFonts w:hint="eastAsia"/>
          <w:sz w:val="30"/>
          <w:szCs w:val="30"/>
        </w:rPr>
        <w:t>We see, then, that for Paul the overarching purpose of the Exodus, the Cross, and the Consummation is this: the display of the glory of God.</w:t>
      </w:r>
    </w:p>
    <w:p w14:paraId="1851DAA5">
      <w:pPr>
        <w:pStyle w:val="9"/>
        <w:spacing w:before="166"/>
        <w:ind w:left="0"/>
        <w:jc w:val="left"/>
        <w:rPr>
          <w:rFonts w:hint="eastAsia"/>
          <w:sz w:val="30"/>
          <w:szCs w:val="30"/>
        </w:rPr>
      </w:pPr>
      <w:r>
        <w:rPr>
          <w:rFonts w:hint="eastAsia"/>
          <w:sz w:val="30"/>
          <w:szCs w:val="30"/>
        </w:rPr>
        <w:t>因此，我们看到，对保罗而言，出埃及、十字架和最终成全的 overarching 目的就是：彰显上帝的荣耀。</w:t>
      </w:r>
    </w:p>
    <w:p w14:paraId="386A2716">
      <w:pPr>
        <w:pStyle w:val="9"/>
        <w:spacing w:before="166"/>
        <w:ind w:left="0"/>
        <w:jc w:val="left"/>
        <w:rPr>
          <w:rFonts w:hint="eastAsia"/>
          <w:sz w:val="30"/>
          <w:szCs w:val="30"/>
        </w:rPr>
      </w:pPr>
    </w:p>
    <w:p w14:paraId="691C0E3C">
      <w:pPr>
        <w:pStyle w:val="9"/>
        <w:spacing w:before="166"/>
        <w:ind w:left="0"/>
        <w:jc w:val="left"/>
        <w:rPr>
          <w:rFonts w:hint="eastAsia"/>
          <w:sz w:val="30"/>
          <w:szCs w:val="30"/>
        </w:rPr>
      </w:pPr>
      <w:r>
        <w:rPr>
          <w:rFonts w:hint="eastAsia"/>
          <w:sz w:val="30"/>
          <w:szCs w:val="30"/>
        </w:rPr>
        <w:t>In the first, the display was partial, being concealed from the rest of the world; in the second, it was partial and largely hidden, being concealed from the eyes of all but his elect; but in the third, it will be complete, universal, and fully manifest to the naked eye, whether of saints or sinners.</w:t>
      </w:r>
    </w:p>
    <w:p w14:paraId="752F7FF6">
      <w:pPr>
        <w:pStyle w:val="9"/>
        <w:spacing w:before="166"/>
        <w:ind w:left="0"/>
        <w:jc w:val="left"/>
        <w:rPr>
          <w:rFonts w:hint="eastAsia"/>
          <w:sz w:val="30"/>
          <w:szCs w:val="30"/>
        </w:rPr>
      </w:pPr>
      <w:r>
        <w:rPr>
          <w:rFonts w:hint="eastAsia"/>
          <w:sz w:val="30"/>
          <w:szCs w:val="30"/>
        </w:rPr>
        <w:t>在第一个中，彰显是部分的，被隐藏，不为世界其余部分所知；在第二个中，它是部分的且大部分是隐藏的，除了祂的选民之外，所有人的眼睛都看不见；但在第三个中，它将是完全的、普世的，并完全显现在肉眼之下，无论是圣徒还是罪人。</w:t>
      </w:r>
    </w:p>
    <w:p w14:paraId="653AFBAC">
      <w:pPr>
        <w:pStyle w:val="9"/>
        <w:spacing w:before="166"/>
        <w:ind w:left="0"/>
        <w:jc w:val="left"/>
        <w:rPr>
          <w:rFonts w:hint="eastAsia"/>
          <w:sz w:val="30"/>
          <w:szCs w:val="30"/>
        </w:rPr>
      </w:pPr>
    </w:p>
    <w:p w14:paraId="13FFEC16">
      <w:pPr>
        <w:pStyle w:val="9"/>
        <w:spacing w:before="166"/>
        <w:ind w:left="0"/>
        <w:jc w:val="left"/>
        <w:rPr>
          <w:rFonts w:hint="eastAsia"/>
          <w:sz w:val="30"/>
          <w:szCs w:val="30"/>
        </w:rPr>
      </w:pPr>
      <w:r>
        <w:rPr>
          <w:rFonts w:hint="eastAsia"/>
          <w:sz w:val="30"/>
          <w:szCs w:val="30"/>
        </w:rPr>
        <w:t>Accordingly, there is a real sense in which the Consummation will be the single greatest manifestation of the glory of God in the history of the universe.</w:t>
      </w:r>
    </w:p>
    <w:p w14:paraId="6AFE18EE">
      <w:pPr>
        <w:pStyle w:val="9"/>
        <w:spacing w:before="166"/>
        <w:ind w:left="0"/>
        <w:jc w:val="left"/>
        <w:rPr>
          <w:rFonts w:hint="eastAsia"/>
          <w:sz w:val="30"/>
          <w:szCs w:val="30"/>
        </w:rPr>
      </w:pPr>
      <w:r>
        <w:rPr>
          <w:rFonts w:hint="eastAsia"/>
          <w:sz w:val="30"/>
          <w:szCs w:val="30"/>
        </w:rPr>
        <w:t>因此，在某种真实的意义上，最终的成全将是宇宙历史上上帝荣耀最伟大的彰显。</w:t>
      </w:r>
    </w:p>
    <w:p w14:paraId="55AC6C56">
      <w:pPr>
        <w:pStyle w:val="9"/>
        <w:spacing w:before="166"/>
        <w:ind w:left="0"/>
        <w:jc w:val="left"/>
        <w:rPr>
          <w:rFonts w:hint="eastAsia"/>
          <w:sz w:val="30"/>
          <w:szCs w:val="30"/>
        </w:rPr>
      </w:pPr>
    </w:p>
    <w:p w14:paraId="71EA51D2">
      <w:pPr>
        <w:pStyle w:val="9"/>
        <w:spacing w:before="166"/>
        <w:ind w:left="0"/>
        <w:jc w:val="left"/>
        <w:rPr>
          <w:rFonts w:hint="eastAsia"/>
          <w:sz w:val="30"/>
          <w:szCs w:val="30"/>
        </w:rPr>
      </w:pPr>
      <w:r>
        <w:rPr>
          <w:rFonts w:hint="eastAsia"/>
          <w:sz w:val="30"/>
          <w:szCs w:val="30"/>
        </w:rPr>
        <w:t>Why will God do this?</w:t>
      </w:r>
    </w:p>
    <w:p w14:paraId="7B56F7A8">
      <w:pPr>
        <w:pStyle w:val="9"/>
        <w:spacing w:before="166"/>
        <w:ind w:left="0"/>
        <w:jc w:val="left"/>
        <w:rPr>
          <w:rFonts w:hint="eastAsia"/>
          <w:sz w:val="30"/>
          <w:szCs w:val="30"/>
        </w:rPr>
      </w:pPr>
      <w:r>
        <w:rPr>
          <w:rFonts w:hint="eastAsia"/>
          <w:sz w:val="30"/>
          <w:szCs w:val="30"/>
        </w:rPr>
        <w:t>上帝为何要这样做？</w:t>
      </w:r>
    </w:p>
    <w:p w14:paraId="1D6A1C13">
      <w:pPr>
        <w:pStyle w:val="9"/>
        <w:spacing w:before="166"/>
        <w:ind w:left="0"/>
        <w:jc w:val="left"/>
        <w:rPr>
          <w:rFonts w:hint="eastAsia"/>
          <w:sz w:val="30"/>
          <w:szCs w:val="30"/>
        </w:rPr>
      </w:pPr>
    </w:p>
    <w:p w14:paraId="1B9C1B31">
      <w:pPr>
        <w:pStyle w:val="9"/>
        <w:spacing w:before="166"/>
        <w:ind w:left="0"/>
        <w:jc w:val="left"/>
        <w:rPr>
          <w:rFonts w:hint="eastAsia"/>
          <w:sz w:val="30"/>
          <w:szCs w:val="30"/>
        </w:rPr>
      </w:pPr>
      <w:r>
        <w:rPr>
          <w:rFonts w:hint="eastAsia"/>
          <w:sz w:val="30"/>
          <w:szCs w:val="30"/>
        </w:rPr>
        <w:t>Why, in the Consummation, will he seek a universal display of his glory before all sentient beings?</w:t>
      </w:r>
    </w:p>
    <w:p w14:paraId="033DCAF8">
      <w:pPr>
        <w:pStyle w:val="9"/>
        <w:spacing w:before="166"/>
        <w:ind w:left="0"/>
        <w:jc w:val="left"/>
        <w:rPr>
          <w:rFonts w:hint="eastAsia"/>
          <w:sz w:val="30"/>
          <w:szCs w:val="30"/>
        </w:rPr>
      </w:pPr>
      <w:r>
        <w:rPr>
          <w:rFonts w:hint="eastAsia"/>
          <w:sz w:val="30"/>
          <w:szCs w:val="30"/>
        </w:rPr>
        <w:t>为何在最终的成全时，祂要在所有有知觉的存在面前寻求一个普世的荣耀彰显？</w:t>
      </w:r>
    </w:p>
    <w:p w14:paraId="30DBAE3E">
      <w:pPr>
        <w:pStyle w:val="9"/>
        <w:spacing w:before="166"/>
        <w:ind w:left="0"/>
        <w:jc w:val="left"/>
        <w:rPr>
          <w:rFonts w:hint="eastAsia"/>
          <w:sz w:val="30"/>
          <w:szCs w:val="30"/>
        </w:rPr>
      </w:pPr>
    </w:p>
    <w:p w14:paraId="42281BE3">
      <w:pPr>
        <w:pStyle w:val="9"/>
        <w:spacing w:before="166"/>
        <w:ind w:left="0"/>
        <w:jc w:val="left"/>
        <w:rPr>
          <w:rFonts w:hint="eastAsia"/>
          <w:sz w:val="30"/>
          <w:szCs w:val="30"/>
        </w:rPr>
      </w:pPr>
      <w:r>
        <w:rPr>
          <w:rFonts w:hint="eastAsia"/>
          <w:sz w:val="30"/>
          <w:szCs w:val="30"/>
        </w:rPr>
        <w:t>Paul has given us the answer: He will do this so that the objects of his mercy—his elect family, the appointed Bride of his Son, the community of the called who are the Church—may be to the praise of his glory, and especially to the praise of the glory of his saving grace (Rom. 9:23-24, Eph. 1:6, 12, 14).</w:t>
      </w:r>
    </w:p>
    <w:p w14:paraId="2A7600E8">
      <w:pPr>
        <w:pStyle w:val="9"/>
        <w:spacing w:before="166"/>
        <w:ind w:left="0"/>
        <w:jc w:val="left"/>
        <w:rPr>
          <w:rFonts w:hint="eastAsia"/>
          <w:sz w:val="30"/>
          <w:szCs w:val="30"/>
        </w:rPr>
      </w:pPr>
      <w:r>
        <w:rPr>
          <w:rFonts w:hint="eastAsia"/>
          <w:sz w:val="30"/>
          <w:szCs w:val="30"/>
        </w:rPr>
        <w:t>保罗已经给了我们答案：祂这样做，为要使祂怜悯的对象——祂拣选的家庭，祂儿子指定的新妇，那被称为教会的蒙召群体——可以归于祂荣耀的赞美，特别是归于祂拯救恩典荣耀的赞美（罗9:23-24，弗1:6, 12, 14）。</w:t>
      </w:r>
    </w:p>
    <w:p w14:paraId="3EB35007">
      <w:pPr>
        <w:pStyle w:val="9"/>
        <w:spacing w:before="166"/>
        <w:ind w:left="0"/>
        <w:jc w:val="left"/>
        <w:rPr>
          <w:rFonts w:hint="eastAsia"/>
          <w:sz w:val="30"/>
          <w:szCs w:val="30"/>
        </w:rPr>
      </w:pPr>
    </w:p>
    <w:p w14:paraId="7C01E914">
      <w:pPr>
        <w:pStyle w:val="9"/>
        <w:spacing w:before="166"/>
        <w:ind w:left="0"/>
        <w:jc w:val="left"/>
        <w:rPr>
          <w:rFonts w:hint="eastAsia"/>
          <w:sz w:val="30"/>
          <w:szCs w:val="30"/>
        </w:rPr>
      </w:pPr>
      <w:r>
        <w:rPr>
          <w:rFonts w:hint="eastAsia"/>
          <w:sz w:val="30"/>
          <w:szCs w:val="30"/>
        </w:rPr>
        <w:t>In other words, as at the Cross, so at the Consummation: God will so thoroughly show forth his glory through the prism of his judicial and redemptive work that he will incite and excite the worship of his people to all eternity.</w:t>
      </w:r>
    </w:p>
    <w:p w14:paraId="67AEFD09">
      <w:pPr>
        <w:pStyle w:val="9"/>
        <w:spacing w:before="166"/>
        <w:ind w:left="0"/>
        <w:jc w:val="left"/>
        <w:rPr>
          <w:rFonts w:hint="eastAsia"/>
          <w:sz w:val="30"/>
          <w:szCs w:val="30"/>
        </w:rPr>
      </w:pPr>
      <w:r>
        <w:rPr>
          <w:rFonts w:hint="eastAsia"/>
          <w:sz w:val="30"/>
          <w:szCs w:val="30"/>
        </w:rPr>
        <w:t>换句话说，如同在十字架上，在最终的成全时也是如此：上帝将通过祂审判和救赎工作的棱镜，如此彻底地彰显祂的荣耀，以致祂将激发和激动祂的子民直到永远的敬拜。</w:t>
      </w:r>
    </w:p>
    <w:p w14:paraId="34E8F10A">
      <w:pPr>
        <w:pStyle w:val="9"/>
        <w:spacing w:before="166"/>
        <w:ind w:left="0"/>
        <w:jc w:val="left"/>
        <w:rPr>
          <w:rFonts w:hint="eastAsia"/>
          <w:sz w:val="30"/>
          <w:szCs w:val="30"/>
        </w:rPr>
      </w:pPr>
    </w:p>
    <w:p w14:paraId="12E2F347">
      <w:pPr>
        <w:pStyle w:val="9"/>
        <w:spacing w:before="166"/>
        <w:ind w:left="0"/>
        <w:jc w:val="left"/>
        <w:rPr>
          <w:rFonts w:hint="eastAsia"/>
          <w:sz w:val="30"/>
          <w:szCs w:val="30"/>
        </w:rPr>
      </w:pPr>
      <w:r>
        <w:rPr>
          <w:rFonts w:hint="eastAsia"/>
          <w:sz w:val="30"/>
          <w:szCs w:val="30"/>
        </w:rPr>
        <w:t>Christ will come again so that there may be glory (i.e., grateful praise, joy, and adoration) to God in the Church and in Christ Jesus, throughout all generations, forever and ever.</w:t>
      </w:r>
    </w:p>
    <w:p w14:paraId="57F581B1">
      <w:pPr>
        <w:pStyle w:val="9"/>
        <w:spacing w:before="166"/>
        <w:ind w:left="0"/>
        <w:jc w:val="left"/>
        <w:rPr>
          <w:rFonts w:hint="eastAsia"/>
          <w:sz w:val="30"/>
          <w:szCs w:val="30"/>
        </w:rPr>
      </w:pPr>
      <w:r>
        <w:rPr>
          <w:rFonts w:hint="eastAsia"/>
          <w:sz w:val="30"/>
          <w:szCs w:val="30"/>
        </w:rPr>
        <w:t>基督将要再来，好叫上帝在教会中，并在基督耶稣里，得着荣耀（即感恩的赞美、喜乐和崇拜），直到世世代代，永永远远。</w:t>
      </w:r>
    </w:p>
    <w:p w14:paraId="3A6E2C92">
      <w:pPr>
        <w:pStyle w:val="9"/>
        <w:spacing w:before="166"/>
        <w:ind w:left="0"/>
        <w:jc w:val="left"/>
        <w:rPr>
          <w:rFonts w:hint="eastAsia"/>
          <w:sz w:val="30"/>
          <w:szCs w:val="30"/>
        </w:rPr>
      </w:pPr>
    </w:p>
    <w:p w14:paraId="4D628D22">
      <w:pPr>
        <w:pStyle w:val="9"/>
        <w:spacing w:before="166"/>
        <w:ind w:left="0"/>
        <w:jc w:val="left"/>
        <w:rPr>
          <w:rFonts w:hint="eastAsia"/>
          <w:sz w:val="30"/>
          <w:szCs w:val="30"/>
        </w:rPr>
      </w:pPr>
      <w:r>
        <w:rPr>
          <w:rFonts w:hint="eastAsia"/>
          <w:sz w:val="30"/>
          <w:szCs w:val="30"/>
        </w:rPr>
        <w:t>Amen!</w:t>
      </w:r>
    </w:p>
    <w:p w14:paraId="4BF5D276">
      <w:pPr>
        <w:pStyle w:val="9"/>
        <w:spacing w:before="166"/>
        <w:ind w:left="0"/>
        <w:jc w:val="left"/>
        <w:rPr>
          <w:rFonts w:hint="eastAsia"/>
          <w:sz w:val="30"/>
          <w:szCs w:val="30"/>
        </w:rPr>
      </w:pPr>
      <w:r>
        <w:rPr>
          <w:rFonts w:hint="eastAsia"/>
          <w:sz w:val="30"/>
          <w:szCs w:val="30"/>
        </w:rPr>
        <w:t>阿们！</w:t>
      </w:r>
    </w:p>
    <w:p w14:paraId="00B1F313">
      <w:pPr>
        <w:pStyle w:val="9"/>
        <w:spacing w:before="166"/>
        <w:ind w:left="0"/>
        <w:jc w:val="left"/>
        <w:rPr>
          <w:rFonts w:hint="eastAsia"/>
          <w:sz w:val="30"/>
          <w:szCs w:val="30"/>
        </w:rPr>
      </w:pPr>
    </w:p>
    <w:p w14:paraId="1CAB7C2F">
      <w:pPr>
        <w:pStyle w:val="9"/>
        <w:spacing w:before="166"/>
        <w:ind w:left="0"/>
        <w:jc w:val="left"/>
        <w:rPr>
          <w:rFonts w:hint="eastAsia"/>
          <w:sz w:val="30"/>
          <w:szCs w:val="30"/>
        </w:rPr>
      </w:pPr>
      <w:r>
        <w:rPr>
          <w:rFonts w:hint="eastAsia"/>
          <w:sz w:val="30"/>
          <w:szCs w:val="30"/>
        </w:rPr>
        <w:t>(Eph. 3:20-21)</w:t>
      </w:r>
    </w:p>
    <w:p w14:paraId="5CE924E8">
      <w:pPr>
        <w:pStyle w:val="9"/>
        <w:spacing w:before="166"/>
        <w:ind w:left="0"/>
        <w:jc w:val="left"/>
        <w:rPr>
          <w:rFonts w:hint="eastAsia"/>
          <w:sz w:val="30"/>
          <w:szCs w:val="30"/>
        </w:rPr>
      </w:pPr>
      <w:r>
        <w:rPr>
          <w:rFonts w:hint="eastAsia"/>
          <w:sz w:val="30"/>
          <w:szCs w:val="30"/>
        </w:rPr>
        <w:t>（弗3:20-21）</w:t>
      </w:r>
    </w:p>
    <w:p w14:paraId="3A86DF95">
      <w:pPr>
        <w:pStyle w:val="9"/>
        <w:spacing w:before="166"/>
        <w:ind w:left="0"/>
        <w:jc w:val="left"/>
        <w:rPr>
          <w:rFonts w:hint="eastAsia"/>
          <w:sz w:val="30"/>
          <w:szCs w:val="30"/>
        </w:rPr>
      </w:pPr>
    </w:p>
    <w:p w14:paraId="79910C53">
      <w:pPr>
        <w:pStyle w:val="9"/>
        <w:spacing w:before="166"/>
        <w:ind w:left="0"/>
        <w:jc w:val="left"/>
        <w:rPr>
          <w:rFonts w:hint="eastAsia"/>
          <w:sz w:val="30"/>
          <w:szCs w:val="30"/>
        </w:rPr>
      </w:pPr>
      <w:r>
        <w:rPr>
          <w:rFonts w:hint="eastAsia"/>
          <w:sz w:val="30"/>
          <w:szCs w:val="30"/>
        </w:rPr>
        <w:t>The Glory of Christ</w:t>
      </w:r>
    </w:p>
    <w:p w14:paraId="5180953E">
      <w:pPr>
        <w:pStyle w:val="9"/>
        <w:spacing w:before="166"/>
        <w:ind w:left="0"/>
        <w:jc w:val="left"/>
        <w:rPr>
          <w:rFonts w:hint="eastAsia"/>
          <w:sz w:val="30"/>
          <w:szCs w:val="30"/>
        </w:rPr>
      </w:pPr>
      <w:r>
        <w:rPr>
          <w:rFonts w:hint="eastAsia"/>
          <w:sz w:val="30"/>
          <w:szCs w:val="30"/>
        </w:rPr>
        <w:t>基督的荣耀</w:t>
      </w:r>
    </w:p>
    <w:p w14:paraId="4E5C6D7B">
      <w:pPr>
        <w:pStyle w:val="9"/>
        <w:spacing w:before="166"/>
        <w:ind w:left="0"/>
        <w:jc w:val="left"/>
        <w:rPr>
          <w:rFonts w:hint="eastAsia"/>
          <w:sz w:val="30"/>
          <w:szCs w:val="30"/>
        </w:rPr>
      </w:pPr>
    </w:p>
    <w:p w14:paraId="27CDA8F2">
      <w:pPr>
        <w:pStyle w:val="9"/>
        <w:spacing w:before="166"/>
        <w:ind w:left="0"/>
        <w:jc w:val="left"/>
        <w:rPr>
          <w:rFonts w:hint="eastAsia"/>
          <w:sz w:val="30"/>
          <w:szCs w:val="30"/>
        </w:rPr>
      </w:pPr>
      <w:r>
        <w:rPr>
          <w:rFonts w:hint="eastAsia"/>
          <w:sz w:val="30"/>
          <w:szCs w:val="30"/>
        </w:rPr>
        <w:t>This brings us to a final and crucially important point.</w:t>
      </w:r>
    </w:p>
    <w:p w14:paraId="0D031448">
      <w:pPr>
        <w:pStyle w:val="9"/>
        <w:spacing w:before="166"/>
        <w:ind w:left="0"/>
        <w:jc w:val="left"/>
        <w:rPr>
          <w:rFonts w:hint="eastAsia"/>
          <w:sz w:val="30"/>
          <w:szCs w:val="30"/>
        </w:rPr>
      </w:pPr>
      <w:r>
        <w:rPr>
          <w:rFonts w:hint="eastAsia"/>
          <w:sz w:val="30"/>
          <w:szCs w:val="30"/>
        </w:rPr>
        <w:t>这就把我们带到了一个最后且至关重要的点。</w:t>
      </w:r>
    </w:p>
    <w:p w14:paraId="10276AE7">
      <w:pPr>
        <w:pStyle w:val="9"/>
        <w:spacing w:before="166"/>
        <w:ind w:left="0"/>
        <w:jc w:val="left"/>
        <w:rPr>
          <w:rFonts w:hint="eastAsia"/>
          <w:sz w:val="30"/>
          <w:szCs w:val="30"/>
        </w:rPr>
      </w:pPr>
    </w:p>
    <w:p w14:paraId="733927A6">
      <w:pPr>
        <w:pStyle w:val="9"/>
        <w:spacing w:before="166"/>
        <w:ind w:left="0"/>
        <w:jc w:val="left"/>
        <w:rPr>
          <w:rFonts w:hint="eastAsia"/>
          <w:sz w:val="30"/>
          <w:szCs w:val="30"/>
        </w:rPr>
      </w:pPr>
      <w:r>
        <w:rPr>
          <w:rFonts w:hint="eastAsia"/>
          <w:sz w:val="30"/>
          <w:szCs w:val="30"/>
        </w:rPr>
        <w:t>The eschatological display of the glory of God is a profoundly trinitarian event.</w:t>
      </w:r>
    </w:p>
    <w:p w14:paraId="25D575BB">
      <w:pPr>
        <w:pStyle w:val="9"/>
        <w:spacing w:before="166"/>
        <w:ind w:left="0"/>
        <w:jc w:val="left"/>
        <w:rPr>
          <w:rFonts w:hint="eastAsia"/>
          <w:sz w:val="30"/>
          <w:szCs w:val="30"/>
        </w:rPr>
      </w:pPr>
      <w:r>
        <w:rPr>
          <w:rFonts w:hint="eastAsia"/>
          <w:sz w:val="30"/>
          <w:szCs w:val="30"/>
        </w:rPr>
        <w:t>上帝荣耀的末世性彰显是一个极其三位一体的事件。</w:t>
      </w:r>
    </w:p>
    <w:p w14:paraId="424A1741">
      <w:pPr>
        <w:pStyle w:val="9"/>
        <w:spacing w:before="166"/>
        <w:ind w:left="0"/>
        <w:jc w:val="left"/>
        <w:rPr>
          <w:rFonts w:hint="eastAsia"/>
          <w:sz w:val="30"/>
          <w:szCs w:val="30"/>
        </w:rPr>
      </w:pPr>
    </w:p>
    <w:p w14:paraId="3A011CB5">
      <w:pPr>
        <w:pStyle w:val="9"/>
        <w:spacing w:before="166"/>
        <w:ind w:left="0"/>
        <w:jc w:val="left"/>
        <w:rPr>
          <w:rFonts w:hint="eastAsia"/>
          <w:sz w:val="30"/>
          <w:szCs w:val="30"/>
        </w:rPr>
      </w:pPr>
      <w:r>
        <w:rPr>
          <w:rFonts w:hint="eastAsia"/>
          <w:sz w:val="30"/>
          <w:szCs w:val="30"/>
        </w:rPr>
        <w:t>At the Consummation, God the Father specially designs the glory of his Son; at the Consummation, the Son specially designs the glory of the Father!</w:t>
      </w:r>
    </w:p>
    <w:p w14:paraId="5ED79AA9">
      <w:pPr>
        <w:pStyle w:val="9"/>
        <w:spacing w:before="166"/>
        <w:ind w:left="0"/>
        <w:jc w:val="left"/>
        <w:rPr>
          <w:rFonts w:hint="eastAsia"/>
          <w:sz w:val="30"/>
          <w:szCs w:val="30"/>
        </w:rPr>
      </w:pPr>
      <w:r>
        <w:rPr>
          <w:rFonts w:hint="eastAsia"/>
          <w:sz w:val="30"/>
          <w:szCs w:val="30"/>
        </w:rPr>
        <w:t>在最终的成全时，父上帝特别设计了祂儿子的荣耀；在最终的成全时，子特别设计了父的荣耀！</w:t>
      </w:r>
    </w:p>
    <w:p w14:paraId="65B75A21">
      <w:pPr>
        <w:pStyle w:val="9"/>
        <w:spacing w:before="166"/>
        <w:ind w:left="0"/>
        <w:jc w:val="left"/>
        <w:rPr>
          <w:rFonts w:hint="eastAsia"/>
          <w:sz w:val="30"/>
          <w:szCs w:val="30"/>
        </w:rPr>
      </w:pPr>
    </w:p>
    <w:p w14:paraId="50D3E96E">
      <w:pPr>
        <w:pStyle w:val="9"/>
        <w:spacing w:before="166"/>
        <w:ind w:left="0"/>
        <w:jc w:val="left"/>
        <w:rPr>
          <w:rFonts w:hint="eastAsia"/>
          <w:sz w:val="30"/>
          <w:szCs w:val="30"/>
        </w:rPr>
      </w:pPr>
      <w:r>
        <w:rPr>
          <w:rFonts w:hint="eastAsia"/>
          <w:sz w:val="30"/>
          <w:szCs w:val="30"/>
        </w:rPr>
        <w:t>In the pages ahead, I will focus on the first part of this equation; upon the manifold ways in which the Father has ordered the Consummation with a view to the maximum glorification of his Son.</w:t>
      </w:r>
    </w:p>
    <w:p w14:paraId="7FF2C50F">
      <w:pPr>
        <w:pStyle w:val="9"/>
        <w:spacing w:before="166"/>
        <w:ind w:left="0"/>
        <w:jc w:val="left"/>
        <w:rPr>
          <w:rFonts w:hint="eastAsia"/>
          <w:sz w:val="30"/>
          <w:szCs w:val="30"/>
        </w:rPr>
      </w:pPr>
      <w:r>
        <w:rPr>
          <w:rFonts w:hint="eastAsia"/>
          <w:sz w:val="30"/>
          <w:szCs w:val="30"/>
        </w:rPr>
        <w:t>在接下来的篇幅中，我将聚焦于这个等式的第一部分；即父以多种方式安排最终的成全，以期最大程度地荣耀祂的儿子。</w:t>
      </w:r>
    </w:p>
    <w:p w14:paraId="60A802BE">
      <w:pPr>
        <w:pStyle w:val="9"/>
        <w:spacing w:before="166"/>
        <w:ind w:left="0"/>
        <w:jc w:val="left"/>
        <w:rPr>
          <w:rFonts w:hint="eastAsia"/>
          <w:sz w:val="30"/>
          <w:szCs w:val="30"/>
        </w:rPr>
      </w:pPr>
    </w:p>
    <w:p w14:paraId="2BC55602">
      <w:pPr>
        <w:pStyle w:val="9"/>
        <w:spacing w:before="166"/>
        <w:ind w:left="0"/>
        <w:jc w:val="left"/>
        <w:rPr>
          <w:rFonts w:hint="eastAsia"/>
          <w:sz w:val="30"/>
          <w:szCs w:val="30"/>
        </w:rPr>
      </w:pPr>
      <w:r>
        <w:rPr>
          <w:rFonts w:hint="eastAsia"/>
          <w:sz w:val="30"/>
          <w:szCs w:val="30"/>
        </w:rPr>
        <w:t>That he should do so is hardly surprising.</w:t>
      </w:r>
    </w:p>
    <w:p w14:paraId="37A41E30">
      <w:pPr>
        <w:pStyle w:val="9"/>
        <w:spacing w:before="166"/>
        <w:ind w:left="0"/>
        <w:jc w:val="left"/>
        <w:rPr>
          <w:rFonts w:hint="eastAsia"/>
          <w:sz w:val="30"/>
          <w:szCs w:val="30"/>
        </w:rPr>
      </w:pPr>
      <w:r>
        <w:rPr>
          <w:rFonts w:hint="eastAsia"/>
          <w:sz w:val="30"/>
          <w:szCs w:val="30"/>
        </w:rPr>
        <w:t>祂这样做并不奇怪。</w:t>
      </w:r>
    </w:p>
    <w:p w14:paraId="258A9808">
      <w:pPr>
        <w:pStyle w:val="9"/>
        <w:spacing w:before="166"/>
        <w:ind w:left="0"/>
        <w:jc w:val="left"/>
        <w:rPr>
          <w:rFonts w:hint="eastAsia"/>
          <w:sz w:val="30"/>
          <w:szCs w:val="30"/>
        </w:rPr>
      </w:pPr>
    </w:p>
    <w:p w14:paraId="15B0C5F6">
      <w:pPr>
        <w:pStyle w:val="9"/>
        <w:spacing w:before="166"/>
        <w:ind w:left="0"/>
        <w:jc w:val="left"/>
        <w:rPr>
          <w:rFonts w:hint="eastAsia"/>
          <w:sz w:val="30"/>
          <w:szCs w:val="30"/>
        </w:rPr>
      </w:pPr>
      <w:r>
        <w:rPr>
          <w:rFonts w:hint="eastAsia"/>
          <w:sz w:val="30"/>
          <w:szCs w:val="30"/>
        </w:rPr>
        <w:t>Our Lord himself told us that the Father loves the Son and desires all to honor him, even as they honor (or should honor) the Father (John 5:23).</w:t>
      </w:r>
    </w:p>
    <w:p w14:paraId="073D8342">
      <w:pPr>
        <w:pStyle w:val="9"/>
        <w:spacing w:before="166"/>
        <w:ind w:left="0"/>
        <w:jc w:val="left"/>
        <w:rPr>
          <w:rFonts w:hint="eastAsia"/>
          <w:sz w:val="30"/>
          <w:szCs w:val="30"/>
        </w:rPr>
      </w:pPr>
      <w:r>
        <w:rPr>
          <w:rFonts w:hint="eastAsia"/>
          <w:sz w:val="30"/>
          <w:szCs w:val="30"/>
        </w:rPr>
        <w:t>我们的主祂自己告诉我们，父爱子，并愿人都尊敬子，如同尊敬父一样（约翰福音5:23）。</w:t>
      </w:r>
    </w:p>
    <w:p w14:paraId="75437F6A">
      <w:pPr>
        <w:pStyle w:val="9"/>
        <w:spacing w:before="166"/>
        <w:ind w:left="0"/>
        <w:jc w:val="left"/>
        <w:rPr>
          <w:rFonts w:hint="eastAsia"/>
          <w:sz w:val="30"/>
          <w:szCs w:val="30"/>
        </w:rPr>
      </w:pPr>
    </w:p>
    <w:p w14:paraId="3BE2FF87">
      <w:pPr>
        <w:pStyle w:val="9"/>
        <w:spacing w:before="166"/>
        <w:ind w:left="0"/>
        <w:jc w:val="left"/>
        <w:rPr>
          <w:rFonts w:hint="eastAsia"/>
          <w:sz w:val="30"/>
          <w:szCs w:val="30"/>
        </w:rPr>
      </w:pPr>
      <w:r>
        <w:rPr>
          <w:rFonts w:hint="eastAsia"/>
          <w:sz w:val="30"/>
          <w:szCs w:val="30"/>
        </w:rPr>
        <w:t>Very fulsomely, the apostles go on to tell us exactly how the Father secures this cherished end: He secures it by appointing his Son to co-labor with him in each and every facet of cosmic history.</w:t>
      </w:r>
    </w:p>
    <w:p w14:paraId="1F558DD9">
      <w:pPr>
        <w:pStyle w:val="9"/>
        <w:spacing w:before="166"/>
        <w:ind w:left="0"/>
        <w:jc w:val="left"/>
        <w:rPr>
          <w:rFonts w:hint="eastAsia"/>
          <w:sz w:val="30"/>
          <w:szCs w:val="30"/>
        </w:rPr>
      </w:pPr>
      <w:r>
        <w:rPr>
          <w:rFonts w:hint="eastAsia"/>
          <w:sz w:val="30"/>
          <w:szCs w:val="30"/>
        </w:rPr>
        <w:t>使徒们非常详尽地告诉我们，父究竟如何确保这个珍贵的目的：祂通过任命祂的儿子在宇宙历史的每一个方面与祂同工来确保它。</w:t>
      </w:r>
    </w:p>
    <w:p w14:paraId="517B65C6">
      <w:pPr>
        <w:pStyle w:val="9"/>
        <w:spacing w:before="166"/>
        <w:ind w:left="0"/>
        <w:jc w:val="left"/>
        <w:rPr>
          <w:rFonts w:hint="eastAsia"/>
          <w:sz w:val="30"/>
          <w:szCs w:val="30"/>
        </w:rPr>
      </w:pPr>
    </w:p>
    <w:p w14:paraId="56AA56D0">
      <w:pPr>
        <w:pStyle w:val="9"/>
        <w:spacing w:before="166"/>
        <w:ind w:left="0"/>
        <w:jc w:val="left"/>
        <w:rPr>
          <w:rFonts w:hint="eastAsia"/>
          <w:sz w:val="30"/>
          <w:szCs w:val="30"/>
        </w:rPr>
      </w:pPr>
      <w:r>
        <w:rPr>
          <w:rFonts w:hint="eastAsia"/>
          <w:sz w:val="30"/>
          <w:szCs w:val="30"/>
        </w:rPr>
        <w:t>Through the Son, he created the world (John 1:1-5); through the Son he now holds it together (Col. 1:17, Heb. 1:3); through the (humiliation of the) Son he accomplished the redemption of his people (John 19:30); and through the Son he now applies that redemption, pouring out the Holy Spirit on all his children (Acts 2:33), imparting to them new spiritual life (John 5:26), and granting them repentance, faith, forgiveness, justification, and sanctification (John 5:24).</w:t>
      </w:r>
    </w:p>
    <w:p w14:paraId="12B95068">
      <w:pPr>
        <w:pStyle w:val="9"/>
        <w:spacing w:before="166"/>
        <w:ind w:left="0"/>
        <w:jc w:val="left"/>
        <w:rPr>
          <w:rFonts w:hint="eastAsia"/>
          <w:sz w:val="30"/>
          <w:szCs w:val="30"/>
        </w:rPr>
      </w:pPr>
      <w:r>
        <w:rPr>
          <w:rFonts w:hint="eastAsia"/>
          <w:sz w:val="30"/>
          <w:szCs w:val="30"/>
        </w:rPr>
        <w:t>借着子，祂创造了世界（约翰福音1:1-5）；借着子，祂现在维系着世界（歌罗西书1:17，希伯来书1:3）；借着子（的降卑），祂成就了祂子民的救赎（约翰福音19:30）；借着子，祂现在施行那救赎，将圣灵浇灌在祂所有的儿女身上（使徒行传2:33），赐给他们新的属灵生命（约翰福音5:26），并赐给他们悔改、信心、赦免、称义和成圣（约翰福音5:24）。</w:t>
      </w:r>
    </w:p>
    <w:p w14:paraId="44719243">
      <w:pPr>
        <w:pStyle w:val="9"/>
        <w:spacing w:before="166"/>
        <w:ind w:left="0"/>
        <w:jc w:val="left"/>
        <w:rPr>
          <w:rFonts w:hint="eastAsia"/>
          <w:sz w:val="30"/>
          <w:szCs w:val="30"/>
        </w:rPr>
      </w:pPr>
    </w:p>
    <w:p w14:paraId="7D11E333">
      <w:pPr>
        <w:pStyle w:val="9"/>
        <w:spacing w:before="166"/>
        <w:ind w:left="0"/>
        <w:jc w:val="left"/>
        <w:rPr>
          <w:rFonts w:hint="eastAsia"/>
          <w:sz w:val="30"/>
          <w:szCs w:val="30"/>
        </w:rPr>
      </w:pPr>
      <w:r>
        <w:rPr>
          <w:rFonts w:hint="eastAsia"/>
          <w:sz w:val="30"/>
          <w:szCs w:val="30"/>
        </w:rPr>
        <w:t>So again, it should hardly surprise us that the Father has planned to effect the Consummation through his Son, whether in final judgment or final redemption.</w:t>
      </w:r>
    </w:p>
    <w:p w14:paraId="14384B4A">
      <w:pPr>
        <w:pStyle w:val="9"/>
        <w:spacing w:before="166"/>
        <w:ind w:left="0"/>
        <w:jc w:val="left"/>
        <w:rPr>
          <w:rFonts w:hint="eastAsia"/>
          <w:sz w:val="30"/>
          <w:szCs w:val="30"/>
        </w:rPr>
      </w:pPr>
      <w:r>
        <w:rPr>
          <w:rFonts w:hint="eastAsia"/>
          <w:sz w:val="30"/>
          <w:szCs w:val="30"/>
        </w:rPr>
        <w:t>因此，父已计划通过祂的儿子来成就最终的成全，无论是在最后的审判还是最后的救赎中，这都不应让我们感到惊讶。</w:t>
      </w:r>
    </w:p>
    <w:p w14:paraId="6C7619A5">
      <w:pPr>
        <w:pStyle w:val="9"/>
        <w:spacing w:before="166"/>
        <w:ind w:left="0"/>
        <w:jc w:val="left"/>
        <w:rPr>
          <w:rFonts w:hint="eastAsia"/>
          <w:sz w:val="30"/>
          <w:szCs w:val="30"/>
        </w:rPr>
      </w:pPr>
    </w:p>
    <w:p w14:paraId="30A686AD">
      <w:pPr>
        <w:pStyle w:val="9"/>
        <w:spacing w:before="166"/>
        <w:ind w:left="0"/>
        <w:jc w:val="left"/>
        <w:rPr>
          <w:rFonts w:hint="eastAsia"/>
          <w:sz w:val="30"/>
          <w:szCs w:val="30"/>
        </w:rPr>
      </w:pPr>
      <w:r>
        <w:rPr>
          <w:rFonts w:hint="eastAsia"/>
          <w:sz w:val="30"/>
          <w:szCs w:val="30"/>
        </w:rPr>
        <w:t>It is important to understand, however, that at the Consummation the glory of Christ will shine forth in a very special way.</w:t>
      </w:r>
    </w:p>
    <w:p w14:paraId="626536D3">
      <w:pPr>
        <w:pStyle w:val="9"/>
        <w:spacing w:before="166"/>
        <w:ind w:left="0"/>
        <w:jc w:val="left"/>
        <w:rPr>
          <w:rFonts w:hint="eastAsia"/>
          <w:sz w:val="30"/>
          <w:szCs w:val="30"/>
        </w:rPr>
      </w:pPr>
      <w:r>
        <w:rPr>
          <w:rFonts w:hint="eastAsia"/>
          <w:sz w:val="30"/>
          <w:szCs w:val="30"/>
        </w:rPr>
        <w:t>然而，重要的是要理解，在最终的成全时，基督的荣耀将以一种非常特殊的方式彰显出来。</w:t>
      </w:r>
    </w:p>
    <w:p w14:paraId="753A948C">
      <w:pPr>
        <w:pStyle w:val="9"/>
        <w:spacing w:before="166"/>
        <w:ind w:left="0"/>
        <w:jc w:val="left"/>
        <w:rPr>
          <w:rFonts w:hint="eastAsia"/>
          <w:sz w:val="30"/>
          <w:szCs w:val="30"/>
        </w:rPr>
      </w:pPr>
    </w:p>
    <w:p w14:paraId="2D701FB4">
      <w:pPr>
        <w:pStyle w:val="9"/>
        <w:spacing w:before="166"/>
        <w:ind w:left="0"/>
        <w:jc w:val="left"/>
        <w:rPr>
          <w:rFonts w:hint="eastAsia"/>
          <w:sz w:val="30"/>
          <w:szCs w:val="30"/>
        </w:rPr>
      </w:pPr>
      <w:r>
        <w:rPr>
          <w:rFonts w:hint="eastAsia"/>
          <w:sz w:val="30"/>
          <w:szCs w:val="30"/>
        </w:rPr>
        <w:t>Yes, even now God’s purpose for his Son is being fulfilled; even now, by faith, through the window of the Word, God’s people behold, love, and honor him.</w:t>
      </w:r>
    </w:p>
    <w:p w14:paraId="75A4ECAB">
      <w:pPr>
        <w:pStyle w:val="9"/>
        <w:spacing w:before="166"/>
        <w:ind w:left="0"/>
        <w:jc w:val="left"/>
        <w:rPr>
          <w:rFonts w:hint="eastAsia"/>
          <w:sz w:val="30"/>
          <w:szCs w:val="30"/>
        </w:rPr>
      </w:pPr>
      <w:r>
        <w:rPr>
          <w:rFonts w:hint="eastAsia"/>
          <w:sz w:val="30"/>
          <w:szCs w:val="30"/>
        </w:rPr>
        <w:t>是的，即使现在，上帝对祂儿子的旨意也在实现；即使现在，凭着信心，通过圣道的窗口，上帝的子民看见、爱戴并尊敬祂。</w:t>
      </w:r>
    </w:p>
    <w:p w14:paraId="508BD69C">
      <w:pPr>
        <w:pStyle w:val="9"/>
        <w:spacing w:before="166"/>
        <w:ind w:left="0"/>
        <w:jc w:val="left"/>
        <w:rPr>
          <w:rFonts w:hint="eastAsia"/>
          <w:sz w:val="30"/>
          <w:szCs w:val="30"/>
        </w:rPr>
      </w:pPr>
    </w:p>
    <w:p w14:paraId="3FEFAEE0">
      <w:pPr>
        <w:pStyle w:val="9"/>
        <w:spacing w:before="166"/>
        <w:ind w:left="0"/>
        <w:jc w:val="left"/>
        <w:rPr>
          <w:rFonts w:hint="eastAsia"/>
          <w:sz w:val="30"/>
          <w:szCs w:val="30"/>
        </w:rPr>
      </w:pPr>
      <w:r>
        <w:rPr>
          <w:rFonts w:hint="eastAsia"/>
          <w:sz w:val="30"/>
          <w:szCs w:val="30"/>
        </w:rPr>
        <w:t>However, at the Consummation God will see to it that his Son is honored as never before.</w:t>
      </w:r>
    </w:p>
    <w:p w14:paraId="0D364A81">
      <w:pPr>
        <w:pStyle w:val="9"/>
        <w:spacing w:before="166"/>
        <w:ind w:left="0"/>
        <w:jc w:val="left"/>
        <w:rPr>
          <w:rFonts w:hint="eastAsia"/>
          <w:sz w:val="30"/>
          <w:szCs w:val="30"/>
        </w:rPr>
      </w:pPr>
      <w:r>
        <w:rPr>
          <w:rFonts w:hint="eastAsia"/>
          <w:sz w:val="30"/>
          <w:szCs w:val="30"/>
        </w:rPr>
        <w:t>然而，在最终的成全时，上帝将确保祂的儿子受到前所未有的尊荣。</w:t>
      </w:r>
    </w:p>
    <w:p w14:paraId="39920AEB">
      <w:pPr>
        <w:pStyle w:val="9"/>
        <w:spacing w:before="166"/>
        <w:ind w:left="0"/>
        <w:jc w:val="left"/>
        <w:rPr>
          <w:rFonts w:hint="eastAsia"/>
          <w:sz w:val="30"/>
          <w:szCs w:val="30"/>
        </w:rPr>
      </w:pPr>
    </w:p>
    <w:p w14:paraId="1657F924">
      <w:pPr>
        <w:pStyle w:val="9"/>
        <w:spacing w:before="166"/>
        <w:ind w:left="0"/>
        <w:jc w:val="left"/>
        <w:rPr>
          <w:rFonts w:hint="eastAsia"/>
          <w:sz w:val="30"/>
          <w:szCs w:val="30"/>
        </w:rPr>
      </w:pPr>
      <w:r>
        <w:rPr>
          <w:rFonts w:hint="eastAsia"/>
          <w:sz w:val="30"/>
          <w:szCs w:val="30"/>
        </w:rPr>
        <w:t>How exactly will he accomplish this?</w:t>
      </w:r>
    </w:p>
    <w:p w14:paraId="41011925">
      <w:pPr>
        <w:pStyle w:val="9"/>
        <w:spacing w:before="166"/>
        <w:ind w:left="0"/>
        <w:jc w:val="left"/>
        <w:rPr>
          <w:rFonts w:hint="eastAsia"/>
          <w:sz w:val="30"/>
          <w:szCs w:val="30"/>
        </w:rPr>
      </w:pPr>
      <w:r>
        <w:rPr>
          <w:rFonts w:hint="eastAsia"/>
          <w:sz w:val="30"/>
          <w:szCs w:val="30"/>
        </w:rPr>
        <w:t>祂究竟将如何完成这一点？</w:t>
      </w:r>
    </w:p>
    <w:p w14:paraId="5441FC69">
      <w:pPr>
        <w:pStyle w:val="9"/>
        <w:spacing w:before="166"/>
        <w:ind w:left="0"/>
        <w:jc w:val="left"/>
        <w:rPr>
          <w:rFonts w:hint="eastAsia"/>
          <w:sz w:val="30"/>
          <w:szCs w:val="30"/>
        </w:rPr>
      </w:pPr>
    </w:p>
    <w:p w14:paraId="66455A78">
      <w:pPr>
        <w:pStyle w:val="9"/>
        <w:spacing w:before="166"/>
        <w:ind w:left="0"/>
        <w:jc w:val="left"/>
        <w:rPr>
          <w:rFonts w:hint="eastAsia"/>
          <w:sz w:val="30"/>
          <w:szCs w:val="30"/>
        </w:rPr>
      </w:pPr>
      <w:r>
        <w:rPr>
          <w:rFonts w:hint="eastAsia"/>
          <w:sz w:val="30"/>
          <w:szCs w:val="30"/>
        </w:rPr>
        <w:t>Again, in the pages ahead we will address this crucial question from many angles.</w:t>
      </w:r>
    </w:p>
    <w:p w14:paraId="0B098981">
      <w:pPr>
        <w:pStyle w:val="9"/>
        <w:spacing w:before="166"/>
        <w:ind w:left="0"/>
        <w:jc w:val="left"/>
        <w:rPr>
          <w:rFonts w:hint="eastAsia"/>
          <w:sz w:val="30"/>
          <w:szCs w:val="30"/>
        </w:rPr>
      </w:pPr>
      <w:r>
        <w:rPr>
          <w:rFonts w:hint="eastAsia"/>
          <w:sz w:val="30"/>
          <w:szCs w:val="30"/>
        </w:rPr>
        <w:t>再次，在接下来的篇幅中，我们将从多个角度来探讨这个关键问题。</w:t>
      </w:r>
    </w:p>
    <w:p w14:paraId="3D5E5D2A">
      <w:pPr>
        <w:pStyle w:val="9"/>
        <w:spacing w:before="166"/>
        <w:ind w:left="0"/>
        <w:jc w:val="left"/>
        <w:rPr>
          <w:rFonts w:hint="eastAsia"/>
          <w:sz w:val="30"/>
          <w:szCs w:val="30"/>
        </w:rPr>
      </w:pPr>
    </w:p>
    <w:p w14:paraId="2743691A">
      <w:pPr>
        <w:pStyle w:val="9"/>
        <w:spacing w:before="166"/>
        <w:ind w:left="0"/>
        <w:jc w:val="left"/>
        <w:rPr>
          <w:rFonts w:hint="eastAsia"/>
          <w:sz w:val="30"/>
          <w:szCs w:val="30"/>
        </w:rPr>
      </w:pPr>
      <w:r>
        <w:rPr>
          <w:rFonts w:hint="eastAsia"/>
          <w:sz w:val="30"/>
          <w:szCs w:val="30"/>
        </w:rPr>
        <w:t>Here, however, a few introductory thoughts will open the way.</w:t>
      </w:r>
    </w:p>
    <w:p w14:paraId="4AC732BA">
      <w:pPr>
        <w:pStyle w:val="9"/>
        <w:spacing w:before="166"/>
        <w:ind w:left="0"/>
        <w:jc w:val="left"/>
        <w:rPr>
          <w:rFonts w:hint="eastAsia"/>
          <w:sz w:val="30"/>
          <w:szCs w:val="30"/>
        </w:rPr>
      </w:pPr>
      <w:r>
        <w:rPr>
          <w:rFonts w:hint="eastAsia"/>
          <w:sz w:val="30"/>
          <w:szCs w:val="30"/>
        </w:rPr>
        <w:t>然而，在这里，一些介绍性的想法将为我们开辟道路。</w:t>
      </w:r>
    </w:p>
    <w:p w14:paraId="4D0C6F2C">
      <w:pPr>
        <w:pStyle w:val="9"/>
        <w:spacing w:before="166"/>
        <w:ind w:left="0"/>
        <w:jc w:val="left"/>
        <w:rPr>
          <w:rFonts w:hint="eastAsia"/>
          <w:sz w:val="30"/>
          <w:szCs w:val="30"/>
        </w:rPr>
      </w:pPr>
    </w:p>
    <w:p w14:paraId="07E94350">
      <w:pPr>
        <w:pStyle w:val="9"/>
        <w:spacing w:before="166"/>
        <w:ind w:left="0"/>
        <w:jc w:val="left"/>
        <w:rPr>
          <w:rFonts w:hint="eastAsia"/>
          <w:sz w:val="30"/>
          <w:szCs w:val="30"/>
        </w:rPr>
      </w:pPr>
      <w:r>
        <w:rPr>
          <w:rFonts w:hint="eastAsia"/>
          <w:sz w:val="30"/>
          <w:szCs w:val="30"/>
        </w:rPr>
        <w:t>First, God has appointed Christ to execute all the great eschatological acts and events.</w:t>
      </w:r>
    </w:p>
    <w:p w14:paraId="5E2042C3">
      <w:pPr>
        <w:pStyle w:val="9"/>
        <w:spacing w:before="166"/>
        <w:ind w:left="0"/>
        <w:jc w:val="left"/>
        <w:rPr>
          <w:rFonts w:hint="eastAsia"/>
          <w:sz w:val="30"/>
          <w:szCs w:val="30"/>
        </w:rPr>
      </w:pPr>
      <w:r>
        <w:rPr>
          <w:rFonts w:hint="eastAsia"/>
          <w:sz w:val="30"/>
          <w:szCs w:val="30"/>
        </w:rPr>
        <w:t>首先，上帝已指派基督来执行所有重大的末世作为和事件。</w:t>
      </w:r>
    </w:p>
    <w:p w14:paraId="14FEA821">
      <w:pPr>
        <w:pStyle w:val="9"/>
        <w:spacing w:before="166"/>
        <w:ind w:left="0"/>
        <w:jc w:val="left"/>
        <w:rPr>
          <w:rFonts w:hint="eastAsia"/>
          <w:sz w:val="30"/>
          <w:szCs w:val="30"/>
        </w:rPr>
      </w:pPr>
    </w:p>
    <w:p w14:paraId="27BDE917">
      <w:pPr>
        <w:pStyle w:val="9"/>
        <w:spacing w:before="166"/>
        <w:ind w:left="0"/>
        <w:jc w:val="left"/>
        <w:rPr>
          <w:rFonts w:hint="eastAsia"/>
          <w:sz w:val="30"/>
          <w:szCs w:val="30"/>
        </w:rPr>
      </w:pPr>
      <w:r>
        <w:rPr>
          <w:rFonts w:hint="eastAsia"/>
          <w:sz w:val="30"/>
          <w:szCs w:val="30"/>
        </w:rPr>
        <w:t>In a moment, I will list them one by one.</w:t>
      </w:r>
    </w:p>
    <w:p w14:paraId="406CA0D6">
      <w:pPr>
        <w:pStyle w:val="9"/>
        <w:spacing w:before="166"/>
        <w:ind w:left="0"/>
        <w:jc w:val="left"/>
        <w:rPr>
          <w:rFonts w:hint="eastAsia"/>
          <w:sz w:val="30"/>
          <w:szCs w:val="30"/>
        </w:rPr>
      </w:pPr>
      <w:r>
        <w:rPr>
          <w:rFonts w:hint="eastAsia"/>
          <w:sz w:val="30"/>
          <w:szCs w:val="30"/>
        </w:rPr>
        <w:t>稍后，我将逐一列出它们。</w:t>
      </w:r>
    </w:p>
    <w:p w14:paraId="18A19BB2">
      <w:pPr>
        <w:pStyle w:val="9"/>
        <w:spacing w:before="166"/>
        <w:ind w:left="0"/>
        <w:jc w:val="left"/>
        <w:rPr>
          <w:rFonts w:hint="eastAsia"/>
          <w:sz w:val="30"/>
          <w:szCs w:val="30"/>
        </w:rPr>
      </w:pPr>
    </w:p>
    <w:p w14:paraId="47422D2D">
      <w:pPr>
        <w:pStyle w:val="9"/>
        <w:spacing w:before="166"/>
        <w:ind w:left="0"/>
        <w:jc w:val="left"/>
        <w:rPr>
          <w:rFonts w:hint="eastAsia"/>
          <w:sz w:val="30"/>
          <w:szCs w:val="30"/>
        </w:rPr>
      </w:pPr>
      <w:r>
        <w:rPr>
          <w:rFonts w:hint="eastAsia"/>
          <w:sz w:val="30"/>
          <w:szCs w:val="30"/>
        </w:rPr>
        <w:t>Secondly, God has appointed Christ to execute those acts and events all at once.</w:t>
      </w:r>
    </w:p>
    <w:p w14:paraId="03BA195C">
      <w:pPr>
        <w:pStyle w:val="9"/>
        <w:spacing w:before="166"/>
        <w:ind w:left="0"/>
        <w:jc w:val="left"/>
        <w:rPr>
          <w:rFonts w:hint="eastAsia"/>
          <w:sz w:val="30"/>
          <w:szCs w:val="30"/>
        </w:rPr>
      </w:pPr>
      <w:r>
        <w:rPr>
          <w:rFonts w:hint="eastAsia"/>
          <w:sz w:val="30"/>
          <w:szCs w:val="30"/>
        </w:rPr>
        <w:t>其次，上帝已指派基督一次性地执行那些作为和事件。</w:t>
      </w:r>
    </w:p>
    <w:p w14:paraId="0471C857">
      <w:pPr>
        <w:pStyle w:val="9"/>
        <w:spacing w:before="166"/>
        <w:ind w:left="0"/>
        <w:jc w:val="left"/>
        <w:rPr>
          <w:rFonts w:hint="eastAsia"/>
          <w:sz w:val="30"/>
          <w:szCs w:val="30"/>
        </w:rPr>
      </w:pPr>
    </w:p>
    <w:p w14:paraId="31AA862B">
      <w:pPr>
        <w:pStyle w:val="9"/>
        <w:spacing w:before="166"/>
        <w:ind w:left="0"/>
        <w:jc w:val="left"/>
        <w:rPr>
          <w:rFonts w:hint="eastAsia"/>
          <w:sz w:val="30"/>
          <w:szCs w:val="30"/>
        </w:rPr>
      </w:pPr>
      <w:r>
        <w:rPr>
          <w:rFonts w:hint="eastAsia"/>
          <w:sz w:val="30"/>
          <w:szCs w:val="30"/>
        </w:rPr>
        <w:t>As I have argued throughout our journey, God does not effect the Consummation piecemeal; he does not divide it into stages, or spread it out over decades, centuries, or millennia.</w:t>
      </w:r>
    </w:p>
    <w:p w14:paraId="20CF9391">
      <w:pPr>
        <w:pStyle w:val="9"/>
        <w:spacing w:before="166"/>
        <w:ind w:left="0"/>
        <w:jc w:val="left"/>
        <w:rPr>
          <w:rFonts w:hint="eastAsia"/>
          <w:sz w:val="30"/>
          <w:szCs w:val="30"/>
        </w:rPr>
      </w:pPr>
      <w:r>
        <w:rPr>
          <w:rFonts w:hint="eastAsia"/>
          <w:sz w:val="30"/>
          <w:szCs w:val="30"/>
        </w:rPr>
        <w:t>正如我在整个旅程中所论证的，上帝并非零敲碎打地实现最终的成全；祂不将其分为阶段，或将其分散在几十年、几百年或几千年里。</w:t>
      </w:r>
    </w:p>
    <w:p w14:paraId="1A206725">
      <w:pPr>
        <w:pStyle w:val="9"/>
        <w:spacing w:before="166"/>
        <w:ind w:left="0"/>
        <w:jc w:val="left"/>
        <w:rPr>
          <w:rFonts w:hint="eastAsia"/>
          <w:sz w:val="30"/>
          <w:szCs w:val="30"/>
        </w:rPr>
      </w:pPr>
    </w:p>
    <w:p w14:paraId="2313A680">
      <w:pPr>
        <w:pStyle w:val="9"/>
        <w:spacing w:before="166"/>
        <w:ind w:left="0"/>
        <w:jc w:val="left"/>
        <w:rPr>
          <w:rFonts w:hint="eastAsia"/>
          <w:sz w:val="30"/>
          <w:szCs w:val="30"/>
        </w:rPr>
      </w:pPr>
      <w:r>
        <w:rPr>
          <w:rFonts w:hint="eastAsia"/>
          <w:sz w:val="30"/>
          <w:szCs w:val="30"/>
        </w:rPr>
        <w:t>No, he is pleased instead to cluster the several elements of the Consummation around a single radiant center—the Parousia of Christ—so that Christ may accomplish them “thoroughly and quickly,” thereby receiving the greater glory (Rom. 9:28).</w:t>
      </w:r>
    </w:p>
    <w:p w14:paraId="64EA0CCA">
      <w:pPr>
        <w:pStyle w:val="9"/>
        <w:spacing w:before="166"/>
        <w:ind w:left="0"/>
        <w:jc w:val="left"/>
        <w:rPr>
          <w:rFonts w:hint="eastAsia"/>
          <w:sz w:val="30"/>
          <w:szCs w:val="30"/>
        </w:rPr>
      </w:pPr>
      <w:r>
        <w:rPr>
          <w:rFonts w:hint="eastAsia"/>
          <w:sz w:val="30"/>
          <w:szCs w:val="30"/>
        </w:rPr>
        <w:t>不，祂乐意将最终成全的几个要素聚集在一个光辉的中心——基督的主临（Parousia）——周围，使基督可以“彻底而迅速地”完成它们，从而得着更大的荣耀（罗9:28）。</w:t>
      </w:r>
    </w:p>
    <w:p w14:paraId="613FA5E0">
      <w:pPr>
        <w:pStyle w:val="9"/>
        <w:spacing w:before="166"/>
        <w:ind w:left="0"/>
        <w:jc w:val="left"/>
        <w:rPr>
          <w:rFonts w:hint="eastAsia"/>
          <w:sz w:val="30"/>
          <w:szCs w:val="30"/>
        </w:rPr>
      </w:pPr>
    </w:p>
    <w:p w14:paraId="4714A1B3">
      <w:pPr>
        <w:pStyle w:val="9"/>
        <w:spacing w:before="166"/>
        <w:ind w:left="0"/>
        <w:jc w:val="left"/>
        <w:rPr>
          <w:rFonts w:hint="eastAsia"/>
          <w:sz w:val="30"/>
          <w:szCs w:val="30"/>
        </w:rPr>
      </w:pPr>
      <w:r>
        <w:rPr>
          <w:rFonts w:hint="eastAsia"/>
          <w:sz w:val="30"/>
          <w:szCs w:val="30"/>
        </w:rPr>
        <w:t>Thirdly, God has appointed Christ to effect the Consummation publicly, visibly.</w:t>
      </w:r>
    </w:p>
    <w:p w14:paraId="519CCC8C">
      <w:pPr>
        <w:pStyle w:val="9"/>
        <w:spacing w:before="166"/>
        <w:ind w:left="0"/>
        <w:jc w:val="left"/>
        <w:rPr>
          <w:rFonts w:hint="eastAsia"/>
          <w:sz w:val="30"/>
          <w:szCs w:val="30"/>
        </w:rPr>
      </w:pPr>
      <w:r>
        <w:rPr>
          <w:rFonts w:hint="eastAsia"/>
          <w:sz w:val="30"/>
          <w:szCs w:val="30"/>
        </w:rPr>
        <w:t>第三，上帝已指派基督公开地、可见地成就最终的成全。</w:t>
      </w:r>
    </w:p>
    <w:p w14:paraId="7D5BF375">
      <w:pPr>
        <w:pStyle w:val="9"/>
        <w:spacing w:before="166"/>
        <w:ind w:left="0"/>
        <w:jc w:val="left"/>
        <w:rPr>
          <w:rFonts w:hint="eastAsia"/>
          <w:sz w:val="30"/>
          <w:szCs w:val="30"/>
        </w:rPr>
      </w:pPr>
    </w:p>
    <w:p w14:paraId="26EC6018">
      <w:pPr>
        <w:pStyle w:val="9"/>
        <w:spacing w:before="166"/>
        <w:ind w:left="0"/>
        <w:jc w:val="left"/>
        <w:rPr>
          <w:rFonts w:hint="eastAsia"/>
          <w:sz w:val="30"/>
          <w:szCs w:val="30"/>
        </w:rPr>
      </w:pPr>
      <w:r>
        <w:rPr>
          <w:rFonts w:hint="eastAsia"/>
          <w:sz w:val="30"/>
          <w:szCs w:val="30"/>
        </w:rPr>
        <w:t>In the days of his flesh, the Father intentionally veiled his glory: Only a very few, by God’s grace, caught a glimpse of his divine nature and prerogatives (Mt. 16:13-17, 17:1f, John 1:4).</w:t>
      </w:r>
    </w:p>
    <w:p w14:paraId="1097412C">
      <w:pPr>
        <w:pStyle w:val="9"/>
        <w:spacing w:before="166"/>
        <w:ind w:left="0"/>
        <w:jc w:val="left"/>
        <w:rPr>
          <w:rFonts w:hint="eastAsia"/>
          <w:sz w:val="30"/>
          <w:szCs w:val="30"/>
        </w:rPr>
      </w:pPr>
      <w:r>
        <w:rPr>
          <w:rFonts w:hint="eastAsia"/>
          <w:sz w:val="30"/>
          <w:szCs w:val="30"/>
        </w:rPr>
        <w:t>在祂肉身的日子里，父有意地遮蔽了祂的荣耀：只有极少数人，靠着上帝的恩典，瞥见了祂的神性和特权（太16:13-17, 17:1及以下, 约1:4）。</w:t>
      </w:r>
    </w:p>
    <w:p w14:paraId="0329BE2C">
      <w:pPr>
        <w:pStyle w:val="9"/>
        <w:spacing w:before="166"/>
        <w:ind w:left="0"/>
        <w:jc w:val="left"/>
        <w:rPr>
          <w:rFonts w:hint="eastAsia"/>
          <w:sz w:val="30"/>
          <w:szCs w:val="30"/>
        </w:rPr>
      </w:pPr>
    </w:p>
    <w:p w14:paraId="292B25A5">
      <w:pPr>
        <w:pStyle w:val="9"/>
        <w:spacing w:before="166"/>
        <w:ind w:left="0"/>
        <w:jc w:val="left"/>
        <w:rPr>
          <w:rFonts w:hint="eastAsia"/>
          <w:sz w:val="30"/>
          <w:szCs w:val="30"/>
        </w:rPr>
      </w:pPr>
      <w:r>
        <w:rPr>
          <w:rFonts w:hint="eastAsia"/>
          <w:sz w:val="30"/>
          <w:szCs w:val="30"/>
        </w:rPr>
        <w:t>Following his exaltation to heaven, many more beheld it—and presently behold it—but only by faith, through the window of the Word, because of the illuminating work of the Spirit (1 Cor. 13:12, 2 Cor. 3:18).</w:t>
      </w:r>
    </w:p>
    <w:p w14:paraId="730C7A0E">
      <w:pPr>
        <w:pStyle w:val="9"/>
        <w:spacing w:before="166"/>
        <w:ind w:left="0"/>
        <w:jc w:val="left"/>
        <w:rPr>
          <w:rFonts w:hint="eastAsia"/>
          <w:sz w:val="30"/>
          <w:szCs w:val="30"/>
        </w:rPr>
      </w:pPr>
      <w:r>
        <w:rPr>
          <w:rFonts w:hint="eastAsia"/>
          <w:sz w:val="30"/>
          <w:szCs w:val="30"/>
        </w:rPr>
        <w:t>在祂被高举到天上之后，更多的人看见了——并且现在也看见了——但只是凭着信心，通过圣道的窗口，因为圣灵的光照工作（林前13:12，林后3:18）。</w:t>
      </w:r>
    </w:p>
    <w:p w14:paraId="544F6917">
      <w:pPr>
        <w:pStyle w:val="9"/>
        <w:spacing w:before="166"/>
        <w:ind w:left="0"/>
        <w:jc w:val="left"/>
        <w:rPr>
          <w:rFonts w:hint="eastAsia"/>
          <w:sz w:val="30"/>
          <w:szCs w:val="30"/>
        </w:rPr>
      </w:pPr>
    </w:p>
    <w:p w14:paraId="58D9B5AC">
      <w:pPr>
        <w:pStyle w:val="9"/>
        <w:spacing w:before="166"/>
        <w:ind w:left="0"/>
        <w:jc w:val="left"/>
        <w:rPr>
          <w:rFonts w:hint="eastAsia"/>
          <w:sz w:val="30"/>
          <w:szCs w:val="30"/>
        </w:rPr>
      </w:pPr>
      <w:r>
        <w:rPr>
          <w:rFonts w:hint="eastAsia"/>
          <w:sz w:val="30"/>
          <w:szCs w:val="30"/>
        </w:rPr>
        <w:t>However, at the Consummation—when Christ descends from heaven bodily, with power and great glory—every eye will see him just as he his (1 John 3:2, Rev. 1:7).</w:t>
      </w:r>
    </w:p>
    <w:p w14:paraId="0FF68861">
      <w:pPr>
        <w:pStyle w:val="9"/>
        <w:spacing w:before="166"/>
        <w:ind w:left="0"/>
        <w:jc w:val="left"/>
        <w:rPr>
          <w:rFonts w:hint="eastAsia"/>
          <w:sz w:val="30"/>
          <w:szCs w:val="30"/>
        </w:rPr>
      </w:pPr>
      <w:r>
        <w:rPr>
          <w:rFonts w:hint="eastAsia"/>
          <w:sz w:val="30"/>
          <w:szCs w:val="30"/>
        </w:rPr>
        <w:t>然而，在最终的成全时——当基督带着能力和极大的荣耀亲身从天降临时——万目都要看见祂，正如祂本来的样子（约壹3:2，启1:7）。</w:t>
      </w:r>
    </w:p>
    <w:p w14:paraId="73DF7BFC">
      <w:pPr>
        <w:pStyle w:val="9"/>
        <w:spacing w:before="166"/>
        <w:ind w:left="0"/>
        <w:jc w:val="left"/>
        <w:rPr>
          <w:rFonts w:hint="eastAsia"/>
          <w:sz w:val="30"/>
          <w:szCs w:val="30"/>
        </w:rPr>
      </w:pPr>
    </w:p>
    <w:p w14:paraId="046CF07B">
      <w:pPr>
        <w:pStyle w:val="9"/>
        <w:spacing w:before="166"/>
        <w:ind w:left="0"/>
        <w:jc w:val="left"/>
        <w:rPr>
          <w:rFonts w:hint="eastAsia"/>
          <w:sz w:val="30"/>
          <w:szCs w:val="30"/>
        </w:rPr>
      </w:pPr>
      <w:r>
        <w:rPr>
          <w:rFonts w:hint="eastAsia"/>
          <w:sz w:val="30"/>
          <w:szCs w:val="30"/>
        </w:rPr>
        <w:t>Lavish NT terminology describing the Parousia underscores this important point: When the heavenly King arrives in the skies above the earth, he will be revealed (1 Peter 1:7, 13, 4:13), he will be made manifest to all (Isaiah 40:5, 1 Tim. 6:14, 2 Tim. 1:10, 2 Tim. 4:1-8, Titus 2:13).</w:t>
      </w:r>
    </w:p>
    <w:p w14:paraId="087A29CC">
      <w:pPr>
        <w:pStyle w:val="9"/>
        <w:spacing w:before="166"/>
        <w:ind w:left="0"/>
        <w:jc w:val="left"/>
        <w:rPr>
          <w:rFonts w:hint="eastAsia"/>
          <w:sz w:val="30"/>
          <w:szCs w:val="30"/>
        </w:rPr>
      </w:pPr>
      <w:r>
        <w:rPr>
          <w:rFonts w:hint="eastAsia"/>
          <w:sz w:val="30"/>
          <w:szCs w:val="30"/>
        </w:rPr>
        <w:t>描述主临（Parousia）的丰富新约术语强调了这个重点：当天上的君王来到地上空时，祂将被显现（彼得前书1:7, 13, 4:13），祂将被显明给众人看（以赛亚书40:5，提摩太前书6:14，提摩太后书1:10, 4:1-8，提多书2:13）。</w:t>
      </w:r>
    </w:p>
    <w:p w14:paraId="13714303">
      <w:pPr>
        <w:pStyle w:val="9"/>
        <w:spacing w:before="166"/>
        <w:ind w:left="0"/>
        <w:jc w:val="left"/>
        <w:rPr>
          <w:rFonts w:hint="eastAsia"/>
          <w:sz w:val="30"/>
          <w:szCs w:val="30"/>
        </w:rPr>
      </w:pPr>
    </w:p>
    <w:p w14:paraId="25B1C6B0">
      <w:pPr>
        <w:pStyle w:val="9"/>
        <w:spacing w:before="166"/>
        <w:ind w:left="0"/>
        <w:jc w:val="left"/>
        <w:rPr>
          <w:rFonts w:hint="eastAsia"/>
          <w:sz w:val="30"/>
          <w:szCs w:val="30"/>
        </w:rPr>
      </w:pPr>
      <w:r>
        <w:rPr>
          <w:rFonts w:hint="eastAsia"/>
          <w:sz w:val="30"/>
          <w:szCs w:val="30"/>
        </w:rPr>
        <w:t>At the Consummation, the God who hides himself will hide no more!</w:t>
      </w:r>
    </w:p>
    <w:p w14:paraId="24C319FB">
      <w:pPr>
        <w:pStyle w:val="9"/>
        <w:spacing w:before="166"/>
        <w:ind w:left="0"/>
        <w:jc w:val="left"/>
        <w:rPr>
          <w:rFonts w:hint="eastAsia"/>
          <w:sz w:val="30"/>
          <w:szCs w:val="30"/>
        </w:rPr>
      </w:pPr>
      <w:r>
        <w:rPr>
          <w:rFonts w:hint="eastAsia"/>
          <w:sz w:val="30"/>
          <w:szCs w:val="30"/>
        </w:rPr>
        <w:t>在最终的成全时，那隐藏自己的上帝将不再隐藏！</w:t>
      </w:r>
    </w:p>
    <w:p w14:paraId="5B0D2BDD">
      <w:pPr>
        <w:pStyle w:val="9"/>
        <w:spacing w:before="166"/>
        <w:ind w:left="0"/>
        <w:jc w:val="left"/>
        <w:rPr>
          <w:rFonts w:hint="eastAsia"/>
          <w:sz w:val="30"/>
          <w:szCs w:val="30"/>
        </w:rPr>
      </w:pPr>
    </w:p>
    <w:p w14:paraId="072A1A6E">
      <w:pPr>
        <w:pStyle w:val="9"/>
        <w:spacing w:before="166"/>
        <w:ind w:left="0"/>
        <w:jc w:val="left"/>
        <w:rPr>
          <w:rFonts w:hint="eastAsia"/>
          <w:sz w:val="30"/>
          <w:szCs w:val="30"/>
        </w:rPr>
      </w:pPr>
      <w:r>
        <w:rPr>
          <w:rFonts w:hint="eastAsia"/>
          <w:sz w:val="30"/>
          <w:szCs w:val="30"/>
        </w:rPr>
        <w:t>This brings us to a fourth, final, and closely related point: God has ordained that when Christ consummates all things, the Consummation will include all things.</w:t>
      </w:r>
    </w:p>
    <w:p w14:paraId="4D92C636">
      <w:pPr>
        <w:pStyle w:val="9"/>
        <w:spacing w:before="166"/>
        <w:ind w:left="0"/>
        <w:jc w:val="left"/>
        <w:rPr>
          <w:rFonts w:hint="eastAsia"/>
          <w:sz w:val="30"/>
          <w:szCs w:val="30"/>
        </w:rPr>
      </w:pPr>
      <w:r>
        <w:rPr>
          <w:rFonts w:hint="eastAsia"/>
          <w:sz w:val="30"/>
          <w:szCs w:val="30"/>
        </w:rPr>
        <w:t>这就把我们带到了第四个，也是最后一个，密切相关的点：上帝已命定，当基督成全万事时，这最终的成全将包括万事。</w:t>
      </w:r>
    </w:p>
    <w:p w14:paraId="30CA7FE7">
      <w:pPr>
        <w:pStyle w:val="9"/>
        <w:spacing w:before="166"/>
        <w:ind w:left="0"/>
        <w:jc w:val="left"/>
        <w:rPr>
          <w:rFonts w:hint="eastAsia"/>
          <w:sz w:val="30"/>
          <w:szCs w:val="30"/>
        </w:rPr>
      </w:pPr>
    </w:p>
    <w:p w14:paraId="406EF583">
      <w:pPr>
        <w:pStyle w:val="9"/>
        <w:spacing w:before="166"/>
        <w:ind w:left="0"/>
        <w:jc w:val="left"/>
        <w:rPr>
          <w:rFonts w:hint="eastAsia"/>
          <w:sz w:val="30"/>
          <w:szCs w:val="30"/>
        </w:rPr>
      </w:pPr>
      <w:r>
        <w:rPr>
          <w:rFonts w:hint="eastAsia"/>
          <w:sz w:val="30"/>
          <w:szCs w:val="30"/>
        </w:rPr>
        <w:t>When the Lord Jesus comes again, he will lay his divine hand, in judgment and redemption, upon all men of all times, all angels, and all creation: the heavens, the earth, the seas, and all that are or ever were in them (Rom. 8:18f, 2 Cor. 5:10, Phil. 3:21, Col. 1:20).</w:t>
      </w:r>
    </w:p>
    <w:p w14:paraId="2C894648">
      <w:pPr>
        <w:pStyle w:val="9"/>
        <w:spacing w:before="166"/>
        <w:ind w:left="0"/>
        <w:jc w:val="left"/>
        <w:rPr>
          <w:rFonts w:hint="eastAsia"/>
          <w:sz w:val="30"/>
          <w:szCs w:val="30"/>
        </w:rPr>
      </w:pPr>
      <w:r>
        <w:rPr>
          <w:rFonts w:hint="eastAsia"/>
          <w:sz w:val="30"/>
          <w:szCs w:val="30"/>
        </w:rPr>
        <w:t>当主耶稣再来时，祂将把祂神圣的手，在审判和救赎中，放在所有时代的所有人、所有天使和所有受造之物上：天、地、海，以及其中所有现有的或曾有的（罗8:18及以下，林后5:10，腓3:21，西1:20）。</w:t>
      </w:r>
    </w:p>
    <w:p w14:paraId="23DC1F58">
      <w:pPr>
        <w:pStyle w:val="9"/>
        <w:spacing w:before="166"/>
        <w:ind w:left="0"/>
        <w:jc w:val="left"/>
        <w:rPr>
          <w:rFonts w:hint="eastAsia"/>
          <w:sz w:val="30"/>
          <w:szCs w:val="30"/>
        </w:rPr>
      </w:pPr>
    </w:p>
    <w:p w14:paraId="4AD4D788">
      <w:pPr>
        <w:pStyle w:val="9"/>
        <w:spacing w:before="166"/>
        <w:ind w:left="0"/>
        <w:jc w:val="left"/>
        <w:rPr>
          <w:rFonts w:hint="eastAsia"/>
          <w:sz w:val="30"/>
          <w:szCs w:val="30"/>
        </w:rPr>
      </w:pPr>
      <w:r>
        <w:rPr>
          <w:rFonts w:hint="eastAsia"/>
          <w:sz w:val="30"/>
          <w:szCs w:val="30"/>
        </w:rPr>
        <w:t>In short, the Consummation will be absolutely universal in its scope.</w:t>
      </w:r>
    </w:p>
    <w:p w14:paraId="5668AB0D">
      <w:pPr>
        <w:pStyle w:val="9"/>
        <w:spacing w:before="166"/>
        <w:ind w:left="0"/>
        <w:jc w:val="left"/>
        <w:rPr>
          <w:rFonts w:hint="eastAsia"/>
          <w:sz w:val="30"/>
          <w:szCs w:val="30"/>
        </w:rPr>
      </w:pPr>
      <w:r>
        <w:rPr>
          <w:rFonts w:hint="eastAsia"/>
          <w:sz w:val="30"/>
          <w:szCs w:val="30"/>
        </w:rPr>
        <w:t>简而言之，最终的成全在其范围上将是绝对普世的。</w:t>
      </w:r>
    </w:p>
    <w:p w14:paraId="661F5FB9">
      <w:pPr>
        <w:pStyle w:val="9"/>
        <w:spacing w:before="166"/>
        <w:ind w:left="0"/>
        <w:jc w:val="left"/>
        <w:rPr>
          <w:rFonts w:hint="eastAsia"/>
          <w:sz w:val="30"/>
          <w:szCs w:val="30"/>
        </w:rPr>
      </w:pPr>
    </w:p>
    <w:p w14:paraId="4A10477F">
      <w:pPr>
        <w:pStyle w:val="9"/>
        <w:spacing w:before="166"/>
        <w:ind w:left="0"/>
        <w:jc w:val="left"/>
        <w:rPr>
          <w:rFonts w:hint="eastAsia"/>
          <w:sz w:val="30"/>
          <w:szCs w:val="30"/>
        </w:rPr>
      </w:pPr>
      <w:r>
        <w:rPr>
          <w:rFonts w:hint="eastAsia"/>
          <w:sz w:val="30"/>
          <w:szCs w:val="30"/>
        </w:rPr>
        <w:t>It will represent the end of the old universe, but also the beginning of the new (1 Peter 4:7, Rev. 21:5).</w:t>
      </w:r>
    </w:p>
    <w:p w14:paraId="30B70F07">
      <w:pPr>
        <w:pStyle w:val="9"/>
        <w:spacing w:before="166"/>
        <w:ind w:left="0"/>
        <w:jc w:val="left"/>
        <w:rPr>
          <w:rFonts w:hint="eastAsia"/>
          <w:sz w:val="30"/>
          <w:szCs w:val="30"/>
        </w:rPr>
      </w:pPr>
      <w:r>
        <w:rPr>
          <w:rFonts w:hint="eastAsia"/>
          <w:sz w:val="30"/>
          <w:szCs w:val="30"/>
        </w:rPr>
        <w:t>它将代表旧宇宙的终结，也是新宇宙的开始（彼得前书4:7，启示录21:5）。</w:t>
      </w:r>
    </w:p>
    <w:p w14:paraId="704E5C48">
      <w:pPr>
        <w:pStyle w:val="9"/>
        <w:spacing w:before="166"/>
        <w:ind w:left="0"/>
        <w:jc w:val="left"/>
        <w:rPr>
          <w:rFonts w:hint="eastAsia"/>
          <w:sz w:val="30"/>
          <w:szCs w:val="30"/>
        </w:rPr>
      </w:pPr>
    </w:p>
    <w:p w14:paraId="47532269">
      <w:pPr>
        <w:pStyle w:val="9"/>
        <w:spacing w:before="166"/>
        <w:ind w:left="0"/>
        <w:jc w:val="left"/>
        <w:rPr>
          <w:rFonts w:hint="eastAsia"/>
          <w:sz w:val="30"/>
          <w:szCs w:val="30"/>
        </w:rPr>
      </w:pPr>
      <w:r>
        <w:rPr>
          <w:rFonts w:hint="eastAsia"/>
          <w:sz w:val="30"/>
          <w:szCs w:val="30"/>
        </w:rPr>
        <w:t>And what is the upshot of all this?</w:t>
      </w:r>
    </w:p>
    <w:p w14:paraId="33678232">
      <w:pPr>
        <w:pStyle w:val="9"/>
        <w:spacing w:before="166"/>
        <w:ind w:left="0"/>
        <w:jc w:val="left"/>
        <w:rPr>
          <w:rFonts w:hint="eastAsia"/>
          <w:sz w:val="30"/>
          <w:szCs w:val="30"/>
        </w:rPr>
      </w:pPr>
      <w:r>
        <w:rPr>
          <w:rFonts w:hint="eastAsia"/>
          <w:sz w:val="30"/>
          <w:szCs w:val="30"/>
        </w:rPr>
        <w:t>这一切的结局是什么？</w:t>
      </w:r>
    </w:p>
    <w:p w14:paraId="309D28E5">
      <w:pPr>
        <w:pStyle w:val="9"/>
        <w:spacing w:before="166"/>
        <w:ind w:left="0"/>
        <w:jc w:val="left"/>
        <w:rPr>
          <w:rFonts w:hint="eastAsia"/>
          <w:sz w:val="30"/>
          <w:szCs w:val="30"/>
        </w:rPr>
      </w:pPr>
    </w:p>
    <w:p w14:paraId="143B9ADD">
      <w:pPr>
        <w:pStyle w:val="9"/>
        <w:spacing w:before="166"/>
        <w:ind w:left="0"/>
        <w:jc w:val="left"/>
        <w:rPr>
          <w:rFonts w:hint="eastAsia"/>
          <w:sz w:val="30"/>
          <w:szCs w:val="30"/>
        </w:rPr>
      </w:pPr>
      <w:r>
        <w:rPr>
          <w:rFonts w:hint="eastAsia"/>
          <w:sz w:val="30"/>
          <w:szCs w:val="30"/>
        </w:rPr>
        <w:t>What does it mean that Christ will execute all of God’s eschatological acts, all at once, in the sight of all men and all angels, with an eternal impact upon all creation?</w:t>
      </w:r>
    </w:p>
    <w:p w14:paraId="092CE046">
      <w:pPr>
        <w:pStyle w:val="9"/>
        <w:spacing w:before="166"/>
        <w:ind w:left="0"/>
        <w:jc w:val="left"/>
        <w:rPr>
          <w:rFonts w:hint="eastAsia"/>
          <w:sz w:val="30"/>
          <w:szCs w:val="30"/>
        </w:rPr>
      </w:pPr>
      <w:r>
        <w:rPr>
          <w:rFonts w:hint="eastAsia"/>
          <w:sz w:val="30"/>
          <w:szCs w:val="30"/>
        </w:rPr>
        <w:t>基督将一次性地，在所有人和所有天使的面前，执行上帝所有的末世作为，并对所有受造之物产生永恒的影响，这意味着什么？</w:t>
      </w:r>
    </w:p>
    <w:p w14:paraId="546982DA">
      <w:pPr>
        <w:pStyle w:val="9"/>
        <w:spacing w:before="166"/>
        <w:ind w:left="0"/>
        <w:jc w:val="left"/>
        <w:rPr>
          <w:rFonts w:hint="eastAsia"/>
          <w:sz w:val="30"/>
          <w:szCs w:val="30"/>
        </w:rPr>
      </w:pPr>
    </w:p>
    <w:p w14:paraId="5E3BCE06">
      <w:pPr>
        <w:pStyle w:val="9"/>
        <w:spacing w:before="166"/>
        <w:ind w:left="0"/>
        <w:jc w:val="left"/>
        <w:rPr>
          <w:rFonts w:hint="eastAsia"/>
          <w:sz w:val="30"/>
          <w:szCs w:val="30"/>
        </w:rPr>
      </w:pPr>
      <w:r>
        <w:rPr>
          <w:rFonts w:hint="eastAsia"/>
          <w:sz w:val="30"/>
          <w:szCs w:val="30"/>
        </w:rPr>
        <w:t>Simply this: All sentient beings—whether angels or demons, saints or sinners—shall indeed honor the Son, just as they honor the Father.</w:t>
      </w:r>
    </w:p>
    <w:p w14:paraId="7718649E">
      <w:pPr>
        <w:pStyle w:val="9"/>
        <w:spacing w:before="166"/>
        <w:ind w:left="0"/>
        <w:jc w:val="left"/>
        <w:rPr>
          <w:rFonts w:hint="eastAsia"/>
          <w:sz w:val="30"/>
          <w:szCs w:val="30"/>
        </w:rPr>
      </w:pPr>
      <w:r>
        <w:rPr>
          <w:rFonts w:hint="eastAsia"/>
          <w:sz w:val="30"/>
          <w:szCs w:val="30"/>
        </w:rPr>
        <w:t>就是这样：所有有知觉的存在——无论是天使还是魔鬼，圣徒还是罪人——都必尊敬子，如同他们尊敬父一样。</w:t>
      </w:r>
    </w:p>
    <w:p w14:paraId="3F9EC1F0">
      <w:pPr>
        <w:pStyle w:val="9"/>
        <w:spacing w:before="166"/>
        <w:ind w:left="0"/>
        <w:jc w:val="left"/>
        <w:rPr>
          <w:rFonts w:hint="eastAsia"/>
          <w:sz w:val="30"/>
          <w:szCs w:val="30"/>
        </w:rPr>
      </w:pPr>
    </w:p>
    <w:p w14:paraId="2E765521">
      <w:pPr>
        <w:pStyle w:val="9"/>
        <w:spacing w:before="166"/>
        <w:ind w:left="0"/>
        <w:jc w:val="left"/>
        <w:rPr>
          <w:rFonts w:hint="eastAsia"/>
          <w:sz w:val="30"/>
          <w:szCs w:val="30"/>
        </w:rPr>
      </w:pPr>
      <w:r>
        <w:rPr>
          <w:rFonts w:hint="eastAsia"/>
          <w:sz w:val="30"/>
          <w:szCs w:val="30"/>
        </w:rPr>
        <w:t>Willingly or not—whether in glad adoration or abject surrender—every knee shall bow and every tongue shall confess that Jesus Christ is Lord, to the glory of God the Father (Phil. 2:11).</w:t>
      </w:r>
    </w:p>
    <w:p w14:paraId="3DB3F61D">
      <w:pPr>
        <w:pStyle w:val="9"/>
        <w:spacing w:before="166"/>
        <w:ind w:left="0"/>
        <w:jc w:val="left"/>
        <w:rPr>
          <w:rFonts w:hint="eastAsia"/>
          <w:sz w:val="30"/>
          <w:szCs w:val="30"/>
        </w:rPr>
      </w:pPr>
      <w:r>
        <w:rPr>
          <w:rFonts w:hint="eastAsia"/>
          <w:sz w:val="30"/>
          <w:szCs w:val="30"/>
        </w:rPr>
        <w:t>无论是自愿还是不自愿——无论是在欢欣的崇拜中还是在卑微的降服中——万膝都必跪拜，万口都必承认耶稣基督是主，使荣耀归与父上帝（腓2:11）。</w:t>
      </w:r>
    </w:p>
    <w:p w14:paraId="4E5C4BF1">
      <w:pPr>
        <w:pStyle w:val="9"/>
        <w:spacing w:before="166"/>
        <w:ind w:left="0"/>
        <w:jc w:val="left"/>
        <w:rPr>
          <w:rFonts w:hint="eastAsia"/>
          <w:sz w:val="30"/>
          <w:szCs w:val="30"/>
        </w:rPr>
      </w:pPr>
    </w:p>
    <w:p w14:paraId="61E5D80A">
      <w:pPr>
        <w:pStyle w:val="9"/>
        <w:spacing w:before="166"/>
        <w:ind w:left="0"/>
        <w:jc w:val="left"/>
        <w:rPr>
          <w:rFonts w:hint="eastAsia"/>
          <w:sz w:val="30"/>
          <w:szCs w:val="30"/>
        </w:rPr>
      </w:pPr>
      <w:r>
        <w:rPr>
          <w:rFonts w:hint="eastAsia"/>
          <w:sz w:val="30"/>
          <w:szCs w:val="30"/>
        </w:rPr>
        <w:t>Truly, at the Consummation, God’s eternal design for the maximum possible glory of his Son will be fully fulfilled.</w:t>
      </w:r>
    </w:p>
    <w:p w14:paraId="5E27ACEA">
      <w:pPr>
        <w:pStyle w:val="9"/>
        <w:spacing w:before="166"/>
        <w:ind w:left="0"/>
        <w:jc w:val="left"/>
        <w:rPr>
          <w:rFonts w:hint="eastAsia"/>
          <w:sz w:val="30"/>
          <w:szCs w:val="30"/>
        </w:rPr>
      </w:pPr>
      <w:r>
        <w:rPr>
          <w:rFonts w:hint="eastAsia"/>
          <w:sz w:val="30"/>
          <w:szCs w:val="30"/>
        </w:rPr>
        <w:t>真的，在最终的成全时，上帝为祂儿子最大可能荣耀所定的永恒设计将完全实现。</w:t>
      </w:r>
    </w:p>
    <w:p w14:paraId="4B5EC615">
      <w:pPr>
        <w:pStyle w:val="9"/>
        <w:spacing w:before="166"/>
        <w:ind w:left="0"/>
        <w:jc w:val="left"/>
        <w:rPr>
          <w:rFonts w:hint="eastAsia"/>
          <w:sz w:val="30"/>
          <w:szCs w:val="30"/>
        </w:rPr>
      </w:pPr>
    </w:p>
    <w:p w14:paraId="7E96531D">
      <w:pPr>
        <w:pStyle w:val="9"/>
        <w:spacing w:before="166"/>
        <w:ind w:left="0"/>
        <w:jc w:val="left"/>
        <w:rPr>
          <w:rFonts w:hint="eastAsia"/>
          <w:sz w:val="30"/>
          <w:szCs w:val="30"/>
        </w:rPr>
      </w:pPr>
      <w:r>
        <w:rPr>
          <w:rFonts w:hint="eastAsia"/>
          <w:sz w:val="30"/>
          <w:szCs w:val="30"/>
        </w:rPr>
        <w:t>The Structure of the Consummation</w:t>
      </w:r>
    </w:p>
    <w:p w14:paraId="3300201E">
      <w:pPr>
        <w:pStyle w:val="9"/>
        <w:spacing w:before="166"/>
        <w:ind w:left="0"/>
        <w:jc w:val="left"/>
        <w:rPr>
          <w:rFonts w:hint="eastAsia"/>
          <w:sz w:val="30"/>
          <w:szCs w:val="30"/>
        </w:rPr>
      </w:pPr>
      <w:r>
        <w:rPr>
          <w:rFonts w:hint="eastAsia"/>
          <w:sz w:val="30"/>
          <w:szCs w:val="30"/>
        </w:rPr>
        <w:t>最终成全的结构</w:t>
      </w:r>
    </w:p>
    <w:p w14:paraId="1BD8BE3C">
      <w:pPr>
        <w:pStyle w:val="9"/>
        <w:spacing w:before="166"/>
        <w:ind w:left="0"/>
        <w:jc w:val="left"/>
        <w:rPr>
          <w:rFonts w:hint="eastAsia"/>
          <w:sz w:val="30"/>
          <w:szCs w:val="30"/>
        </w:rPr>
      </w:pPr>
    </w:p>
    <w:p w14:paraId="45B1BCFA">
      <w:pPr>
        <w:pStyle w:val="9"/>
        <w:spacing w:before="166"/>
        <w:ind w:left="0"/>
        <w:jc w:val="left"/>
        <w:rPr>
          <w:rFonts w:hint="eastAsia"/>
          <w:sz w:val="30"/>
          <w:szCs w:val="30"/>
        </w:rPr>
      </w:pPr>
      <w:r>
        <w:rPr>
          <w:rFonts w:hint="eastAsia"/>
          <w:sz w:val="30"/>
          <w:szCs w:val="30"/>
        </w:rPr>
        <w:t>We have seen that the Consummation is a deeply purposeful and highly structured event.</w:t>
      </w:r>
    </w:p>
    <w:p w14:paraId="0751BF32">
      <w:pPr>
        <w:pStyle w:val="9"/>
        <w:spacing w:before="166"/>
        <w:ind w:left="0"/>
        <w:jc w:val="left"/>
        <w:rPr>
          <w:rFonts w:hint="eastAsia"/>
          <w:sz w:val="30"/>
          <w:szCs w:val="30"/>
        </w:rPr>
      </w:pPr>
      <w:r>
        <w:rPr>
          <w:rFonts w:hint="eastAsia"/>
          <w:sz w:val="30"/>
          <w:szCs w:val="30"/>
        </w:rPr>
        <w:t>我们已经看到，最终的成全是一个极具目的性和高度结构化的事件。</w:t>
      </w:r>
    </w:p>
    <w:p w14:paraId="7A8A1E01">
      <w:pPr>
        <w:pStyle w:val="9"/>
        <w:spacing w:before="166"/>
        <w:ind w:left="0"/>
        <w:jc w:val="left"/>
        <w:rPr>
          <w:rFonts w:hint="eastAsia"/>
          <w:sz w:val="30"/>
          <w:szCs w:val="30"/>
        </w:rPr>
      </w:pPr>
    </w:p>
    <w:p w14:paraId="29FD2249">
      <w:pPr>
        <w:pStyle w:val="9"/>
        <w:spacing w:before="166"/>
        <w:ind w:left="0"/>
        <w:jc w:val="left"/>
        <w:rPr>
          <w:rFonts w:hint="eastAsia"/>
          <w:sz w:val="30"/>
          <w:szCs w:val="30"/>
        </w:rPr>
      </w:pPr>
      <w:r>
        <w:rPr>
          <w:rFonts w:hint="eastAsia"/>
          <w:sz w:val="30"/>
          <w:szCs w:val="30"/>
        </w:rPr>
        <w:t>In this section, I will offer several theses about its structure.</w:t>
      </w:r>
    </w:p>
    <w:p w14:paraId="56E291B4">
      <w:pPr>
        <w:pStyle w:val="9"/>
        <w:spacing w:before="166"/>
        <w:ind w:left="0"/>
        <w:jc w:val="left"/>
        <w:rPr>
          <w:rFonts w:hint="eastAsia"/>
          <w:sz w:val="30"/>
          <w:szCs w:val="30"/>
        </w:rPr>
      </w:pPr>
      <w:r>
        <w:rPr>
          <w:rFonts w:hint="eastAsia"/>
          <w:sz w:val="30"/>
          <w:szCs w:val="30"/>
        </w:rPr>
        <w:t>在这一部分，我将提出几个关于其结构的论点。</w:t>
      </w:r>
    </w:p>
    <w:p w14:paraId="7E15EF22">
      <w:pPr>
        <w:pStyle w:val="9"/>
        <w:spacing w:before="166"/>
        <w:ind w:left="0"/>
        <w:jc w:val="left"/>
        <w:rPr>
          <w:rFonts w:hint="eastAsia"/>
          <w:sz w:val="30"/>
          <w:szCs w:val="30"/>
        </w:rPr>
      </w:pPr>
    </w:p>
    <w:p w14:paraId="00FABB97">
      <w:pPr>
        <w:pStyle w:val="9"/>
        <w:spacing w:before="166"/>
        <w:ind w:left="0"/>
        <w:jc w:val="left"/>
        <w:rPr>
          <w:rFonts w:hint="eastAsia"/>
          <w:sz w:val="30"/>
          <w:szCs w:val="30"/>
        </w:rPr>
      </w:pPr>
      <w:r>
        <w:rPr>
          <w:rFonts w:hint="eastAsia"/>
          <w:sz w:val="30"/>
          <w:szCs w:val="30"/>
        </w:rPr>
        <w:t>In chapters 23 and 24—where we survey a host of NT texts dealing with the Consummation—I will support these theses from Scripture.</w:t>
      </w:r>
    </w:p>
    <w:p w14:paraId="547D3E55">
      <w:pPr>
        <w:pStyle w:val="9"/>
        <w:spacing w:before="166"/>
        <w:ind w:left="0"/>
        <w:jc w:val="left"/>
        <w:rPr>
          <w:rFonts w:hint="eastAsia"/>
          <w:sz w:val="30"/>
          <w:szCs w:val="30"/>
        </w:rPr>
      </w:pPr>
      <w:r>
        <w:rPr>
          <w:rFonts w:hint="eastAsia"/>
          <w:sz w:val="30"/>
          <w:szCs w:val="30"/>
        </w:rPr>
        <w:t>在第23和24章——在那里我们将考察大量处理最终成全的新约经文——我将用圣经来支持这些论点。</w:t>
      </w:r>
    </w:p>
    <w:p w14:paraId="6DCA93E6">
      <w:pPr>
        <w:pStyle w:val="9"/>
        <w:spacing w:before="166"/>
        <w:ind w:left="0"/>
        <w:jc w:val="left"/>
        <w:rPr>
          <w:rFonts w:hint="eastAsia"/>
          <w:sz w:val="30"/>
          <w:szCs w:val="30"/>
        </w:rPr>
      </w:pPr>
    </w:p>
    <w:p w14:paraId="01648480">
      <w:pPr>
        <w:pStyle w:val="9"/>
        <w:spacing w:before="166"/>
        <w:ind w:left="0"/>
        <w:jc w:val="left"/>
        <w:rPr>
          <w:rFonts w:hint="eastAsia"/>
          <w:sz w:val="30"/>
          <w:szCs w:val="30"/>
        </w:rPr>
      </w:pPr>
      <w:r>
        <w:rPr>
          <w:rFonts w:hint="eastAsia"/>
          <w:sz w:val="30"/>
          <w:szCs w:val="30"/>
        </w:rPr>
        <w:t>In order to understand the structure of the Consummation, we need first to recall the several elements of which it is composed.</w:t>
      </w:r>
    </w:p>
    <w:p w14:paraId="0D3F1286">
      <w:pPr>
        <w:pStyle w:val="9"/>
        <w:spacing w:before="166"/>
        <w:ind w:left="0"/>
        <w:jc w:val="left"/>
        <w:rPr>
          <w:rFonts w:hint="eastAsia"/>
          <w:sz w:val="30"/>
          <w:szCs w:val="30"/>
        </w:rPr>
      </w:pPr>
      <w:r>
        <w:rPr>
          <w:rFonts w:hint="eastAsia"/>
          <w:sz w:val="30"/>
          <w:szCs w:val="30"/>
        </w:rPr>
        <w:t>为了理解最终成全的结构，我们首先需要回顾它由哪些要素组成。</w:t>
      </w:r>
    </w:p>
    <w:p w14:paraId="38663E33">
      <w:pPr>
        <w:pStyle w:val="9"/>
        <w:spacing w:before="166"/>
        <w:ind w:left="0"/>
        <w:jc w:val="left"/>
        <w:rPr>
          <w:rFonts w:hint="eastAsia"/>
          <w:sz w:val="30"/>
          <w:szCs w:val="30"/>
        </w:rPr>
      </w:pPr>
    </w:p>
    <w:p w14:paraId="5302A88D">
      <w:pPr>
        <w:pStyle w:val="9"/>
        <w:spacing w:before="166"/>
        <w:ind w:left="0"/>
        <w:jc w:val="left"/>
        <w:rPr>
          <w:rFonts w:hint="eastAsia"/>
          <w:sz w:val="30"/>
          <w:szCs w:val="30"/>
        </w:rPr>
      </w:pPr>
      <w:r>
        <w:rPr>
          <w:rFonts w:hint="eastAsia"/>
          <w:sz w:val="30"/>
          <w:szCs w:val="30"/>
        </w:rPr>
        <w:t>Fundamentally, there are six.</w:t>
      </w:r>
    </w:p>
    <w:p w14:paraId="4C3414BC">
      <w:pPr>
        <w:pStyle w:val="9"/>
        <w:spacing w:before="166"/>
        <w:ind w:left="0"/>
        <w:jc w:val="left"/>
        <w:rPr>
          <w:rFonts w:hint="eastAsia"/>
          <w:sz w:val="30"/>
          <w:szCs w:val="30"/>
        </w:rPr>
      </w:pPr>
      <w:r>
        <w:rPr>
          <w:rFonts w:hint="eastAsia"/>
          <w:sz w:val="30"/>
          <w:szCs w:val="30"/>
        </w:rPr>
        <w:t>基本上，有六个。</w:t>
      </w:r>
    </w:p>
    <w:p w14:paraId="1525800B">
      <w:pPr>
        <w:pStyle w:val="9"/>
        <w:spacing w:before="166"/>
        <w:ind w:left="0"/>
        <w:jc w:val="left"/>
        <w:rPr>
          <w:rFonts w:hint="eastAsia"/>
          <w:sz w:val="30"/>
          <w:szCs w:val="30"/>
        </w:rPr>
      </w:pPr>
    </w:p>
    <w:p w14:paraId="27C140AB">
      <w:pPr>
        <w:pStyle w:val="9"/>
        <w:spacing w:before="166"/>
        <w:ind w:left="0"/>
        <w:jc w:val="left"/>
        <w:rPr>
          <w:rFonts w:hint="eastAsia"/>
          <w:sz w:val="30"/>
          <w:szCs w:val="30"/>
        </w:rPr>
      </w:pPr>
      <w:r>
        <w:rPr>
          <w:rFonts w:hint="eastAsia"/>
          <w:sz w:val="30"/>
          <w:szCs w:val="30"/>
        </w:rPr>
        <w:t>Elements of the Consummation</w:t>
      </w:r>
    </w:p>
    <w:p w14:paraId="0DEC9985">
      <w:pPr>
        <w:pStyle w:val="9"/>
        <w:spacing w:before="166"/>
        <w:ind w:left="0"/>
        <w:jc w:val="left"/>
        <w:rPr>
          <w:rFonts w:hint="eastAsia"/>
          <w:sz w:val="30"/>
          <w:szCs w:val="30"/>
        </w:rPr>
      </w:pPr>
      <w:r>
        <w:rPr>
          <w:rFonts w:hint="eastAsia"/>
          <w:sz w:val="30"/>
          <w:szCs w:val="30"/>
        </w:rPr>
        <w:t>最终成全的要素</w:t>
      </w:r>
    </w:p>
    <w:p w14:paraId="602447AF">
      <w:pPr>
        <w:pStyle w:val="9"/>
        <w:spacing w:before="166"/>
        <w:ind w:left="0"/>
        <w:jc w:val="left"/>
        <w:rPr>
          <w:rFonts w:hint="eastAsia"/>
          <w:sz w:val="30"/>
          <w:szCs w:val="30"/>
        </w:rPr>
      </w:pPr>
    </w:p>
    <w:p w14:paraId="6CEDCCD3">
      <w:pPr>
        <w:pStyle w:val="9"/>
        <w:spacing w:before="166"/>
        <w:ind w:left="0"/>
        <w:jc w:val="left"/>
        <w:rPr>
          <w:rFonts w:hint="eastAsia"/>
          <w:sz w:val="30"/>
          <w:szCs w:val="30"/>
        </w:rPr>
      </w:pPr>
      <w:r>
        <w:rPr>
          <w:rFonts w:hint="eastAsia"/>
          <w:sz w:val="30"/>
          <w:szCs w:val="30"/>
        </w:rPr>
        <w:t>First, there is the Last Battle, the final historical clash between God and Satan, Christ and the Antichrist, the Church and the World.</w:t>
      </w:r>
    </w:p>
    <w:p w14:paraId="4EA28DFE">
      <w:pPr>
        <w:pStyle w:val="9"/>
        <w:spacing w:before="166"/>
        <w:ind w:left="0"/>
        <w:jc w:val="left"/>
        <w:rPr>
          <w:rFonts w:hint="eastAsia"/>
          <w:sz w:val="30"/>
          <w:szCs w:val="30"/>
        </w:rPr>
      </w:pPr>
      <w:r>
        <w:rPr>
          <w:rFonts w:hint="eastAsia"/>
          <w:sz w:val="30"/>
          <w:szCs w:val="30"/>
        </w:rPr>
        <w:t>首先，有末日争战，即上帝与撒但、基督与敌基督、教会与世界之间最后的历史性冲突。</w:t>
      </w:r>
    </w:p>
    <w:p w14:paraId="4AF8D9F3">
      <w:pPr>
        <w:pStyle w:val="9"/>
        <w:spacing w:before="166"/>
        <w:ind w:left="0"/>
        <w:jc w:val="left"/>
        <w:rPr>
          <w:rFonts w:hint="eastAsia"/>
          <w:sz w:val="30"/>
          <w:szCs w:val="30"/>
        </w:rPr>
      </w:pPr>
    </w:p>
    <w:p w14:paraId="56A0B5F6">
      <w:pPr>
        <w:pStyle w:val="9"/>
        <w:spacing w:before="166"/>
        <w:ind w:left="0"/>
        <w:jc w:val="left"/>
        <w:rPr>
          <w:rFonts w:hint="eastAsia"/>
          <w:sz w:val="30"/>
          <w:szCs w:val="30"/>
        </w:rPr>
      </w:pPr>
      <w:r>
        <w:rPr>
          <w:rFonts w:hint="eastAsia"/>
          <w:sz w:val="30"/>
          <w:szCs w:val="30"/>
        </w:rPr>
        <w:t>Arguably, one ought not to include the Last Battle as an element of the Consummation, seeing that, unlike the other elements, Christ does not accomplish it by a supernatural exercise of his power, but instead by the regular exercise of his all-controlling providence.</w:t>
      </w:r>
    </w:p>
    <w:p w14:paraId="37DC0178">
      <w:pPr>
        <w:pStyle w:val="9"/>
        <w:spacing w:before="166"/>
        <w:ind w:left="0"/>
        <w:jc w:val="left"/>
        <w:rPr>
          <w:rFonts w:hint="eastAsia"/>
          <w:sz w:val="30"/>
          <w:szCs w:val="30"/>
        </w:rPr>
      </w:pPr>
      <w:r>
        <w:rPr>
          <w:rFonts w:hint="eastAsia"/>
          <w:sz w:val="30"/>
          <w:szCs w:val="30"/>
        </w:rPr>
        <w:t>可以说，人不应将末日争战算作最终成全的一个要素，因为与其他要素不同，基督并非通过祂超自然能力的运用，而是通过祂无所不包的护理的常规运用来成就它。</w:t>
      </w:r>
    </w:p>
    <w:p w14:paraId="5AC87ADE">
      <w:pPr>
        <w:pStyle w:val="9"/>
        <w:spacing w:before="166"/>
        <w:ind w:left="0"/>
        <w:jc w:val="left"/>
        <w:rPr>
          <w:rFonts w:hint="eastAsia"/>
          <w:sz w:val="30"/>
          <w:szCs w:val="30"/>
        </w:rPr>
      </w:pPr>
    </w:p>
    <w:p w14:paraId="1E5F86E1">
      <w:pPr>
        <w:pStyle w:val="9"/>
        <w:spacing w:before="166"/>
        <w:ind w:left="0"/>
        <w:jc w:val="left"/>
        <w:rPr>
          <w:rFonts w:hint="eastAsia"/>
          <w:sz w:val="30"/>
          <w:szCs w:val="30"/>
        </w:rPr>
      </w:pPr>
      <w:r>
        <w:rPr>
          <w:rFonts w:hint="eastAsia"/>
          <w:sz w:val="30"/>
          <w:szCs w:val="30"/>
        </w:rPr>
        <w:t>Nevertheless, I have chosen to include it here because the Bible repeatedly cites it as the single most important sign of the imminence of Christ’s appearing; as the unique historical event that, in effect, triggers the Consummation proper.</w:t>
      </w:r>
    </w:p>
    <w:p w14:paraId="5B805DCE">
      <w:pPr>
        <w:pStyle w:val="9"/>
        <w:spacing w:before="166"/>
        <w:ind w:left="0"/>
        <w:jc w:val="left"/>
        <w:rPr>
          <w:rFonts w:hint="eastAsia"/>
          <w:sz w:val="30"/>
          <w:szCs w:val="30"/>
        </w:rPr>
      </w:pPr>
      <w:r>
        <w:rPr>
          <w:rFonts w:hint="eastAsia"/>
          <w:sz w:val="30"/>
          <w:szCs w:val="30"/>
        </w:rPr>
        <w:t>然而，我选择将其包括在这里，因为圣经一再地将其引为基督显现迫近的最重要标志；作为一个独特的历史事件，实际上触发了最终成全本身。</w:t>
      </w:r>
    </w:p>
    <w:p w14:paraId="065D5675">
      <w:pPr>
        <w:pStyle w:val="9"/>
        <w:spacing w:before="166"/>
        <w:ind w:left="0"/>
        <w:jc w:val="left"/>
        <w:rPr>
          <w:rFonts w:hint="eastAsia"/>
          <w:sz w:val="30"/>
          <w:szCs w:val="30"/>
        </w:rPr>
      </w:pPr>
    </w:p>
    <w:p w14:paraId="3C9CA237">
      <w:pPr>
        <w:pStyle w:val="9"/>
        <w:spacing w:before="166"/>
        <w:ind w:left="0"/>
        <w:jc w:val="left"/>
        <w:rPr>
          <w:rFonts w:hint="eastAsia"/>
          <w:sz w:val="30"/>
          <w:szCs w:val="30"/>
        </w:rPr>
      </w:pPr>
      <w:r>
        <w:rPr>
          <w:rFonts w:hint="eastAsia"/>
          <w:sz w:val="30"/>
          <w:szCs w:val="30"/>
        </w:rPr>
        <w:t>Secondly, there is the Parousia: the arrival, or coming again, of the Lord Jesus Christ, bodily, in power and great glory, to the skies above the earth.</w:t>
      </w:r>
    </w:p>
    <w:p w14:paraId="70991896">
      <w:pPr>
        <w:pStyle w:val="9"/>
        <w:spacing w:before="166"/>
        <w:ind w:left="0"/>
        <w:jc w:val="left"/>
        <w:rPr>
          <w:rFonts w:hint="eastAsia"/>
          <w:sz w:val="30"/>
          <w:szCs w:val="30"/>
        </w:rPr>
      </w:pPr>
      <w:r>
        <w:rPr>
          <w:rFonts w:hint="eastAsia"/>
          <w:sz w:val="30"/>
          <w:szCs w:val="30"/>
        </w:rPr>
        <w:t>其次，有主临（Parousia）：主耶稣基督的到来，或再来，亲身地，带着能力和极大的荣耀，来到地上空。</w:t>
      </w:r>
    </w:p>
    <w:p w14:paraId="55FD4008">
      <w:pPr>
        <w:pStyle w:val="9"/>
        <w:spacing w:before="166"/>
        <w:ind w:left="0"/>
        <w:jc w:val="left"/>
        <w:rPr>
          <w:rFonts w:hint="eastAsia"/>
          <w:sz w:val="30"/>
          <w:szCs w:val="30"/>
        </w:rPr>
      </w:pPr>
    </w:p>
    <w:p w14:paraId="3DE1E4E9">
      <w:pPr>
        <w:pStyle w:val="9"/>
        <w:spacing w:before="166"/>
        <w:ind w:left="0"/>
        <w:jc w:val="left"/>
        <w:rPr>
          <w:rFonts w:hint="eastAsia"/>
          <w:sz w:val="30"/>
          <w:szCs w:val="30"/>
        </w:rPr>
      </w:pPr>
      <w:r>
        <w:rPr>
          <w:rFonts w:hint="eastAsia"/>
          <w:sz w:val="30"/>
          <w:szCs w:val="30"/>
        </w:rPr>
        <w:t>As we have seen, the apostles also refer to the Parousia as the revelation of Christ (Greek: apocalypsis, 1 Peter 1:7, 13, 4:13), and as his manifestation or appearing (Greek: epiphaneia, 1 Tim. 6:14, 2 Tim. 1:10, 2 Tim. 4:1-8, Titus 2:13).</w:t>
      </w:r>
    </w:p>
    <w:p w14:paraId="0ED77EDE">
      <w:pPr>
        <w:pStyle w:val="9"/>
        <w:spacing w:before="166"/>
        <w:ind w:left="0"/>
        <w:jc w:val="left"/>
        <w:rPr>
          <w:rFonts w:hint="eastAsia"/>
          <w:sz w:val="30"/>
          <w:szCs w:val="30"/>
        </w:rPr>
      </w:pPr>
      <w:r>
        <w:rPr>
          <w:rFonts w:hint="eastAsia"/>
          <w:sz w:val="30"/>
          <w:szCs w:val="30"/>
        </w:rPr>
        <w:t>正如我们所见，使徒们也将主临（Parousia）称为基督的显现（希腊文：apocalypsis，彼得前书1:7, 13, 4:13），以及祂的显明或显现（希腊文：epiphaneia，提摩太前书6:14，提摩太后书1:10, 4:1-8，提多书2:13）。</w:t>
      </w:r>
    </w:p>
    <w:p w14:paraId="712B4997">
      <w:pPr>
        <w:pStyle w:val="9"/>
        <w:spacing w:before="166"/>
        <w:ind w:left="0"/>
        <w:jc w:val="left"/>
        <w:rPr>
          <w:rFonts w:hint="eastAsia"/>
          <w:sz w:val="30"/>
          <w:szCs w:val="30"/>
        </w:rPr>
      </w:pPr>
    </w:p>
    <w:p w14:paraId="4642040D">
      <w:pPr>
        <w:pStyle w:val="9"/>
        <w:spacing w:before="166"/>
        <w:ind w:left="0"/>
        <w:jc w:val="left"/>
        <w:rPr>
          <w:rFonts w:hint="eastAsia"/>
          <w:sz w:val="30"/>
          <w:szCs w:val="30"/>
        </w:rPr>
      </w:pPr>
      <w:r>
        <w:rPr>
          <w:rFonts w:hint="eastAsia"/>
          <w:sz w:val="30"/>
          <w:szCs w:val="30"/>
        </w:rPr>
        <w:t>The Parousia is the living heart of the Consummation, since it brings onto the stage of universal history the Alpha and the Omega, the Creator and the Consummator, the One whom the Father is pleased supremely to honor by making him the Agent of all the remaining eschatological acts and events (Rev. 1:8, 11, 21:6).</w:t>
      </w:r>
    </w:p>
    <w:p w14:paraId="44F30EE9">
      <w:pPr>
        <w:pStyle w:val="9"/>
        <w:spacing w:before="166"/>
        <w:ind w:left="0"/>
        <w:jc w:val="left"/>
        <w:rPr>
          <w:rFonts w:hint="eastAsia"/>
          <w:sz w:val="30"/>
          <w:szCs w:val="30"/>
        </w:rPr>
      </w:pPr>
      <w:r>
        <w:rPr>
          <w:rFonts w:hint="eastAsia"/>
          <w:sz w:val="30"/>
          <w:szCs w:val="30"/>
        </w:rPr>
        <w:t>主临（Parousia）是最终成全的活生生的核心，因为它将阿拉法和俄梅戛，创造主和成全者，带上普世历史的舞台，父乐意至高地尊荣祂，使祂成为所有剩余末世作为和事件的执行者（启1:8, 11, 21:6）。</w:t>
      </w:r>
    </w:p>
    <w:p w14:paraId="63CBEBC2">
      <w:pPr>
        <w:pStyle w:val="9"/>
        <w:spacing w:before="166"/>
        <w:ind w:left="0"/>
        <w:jc w:val="left"/>
        <w:rPr>
          <w:rFonts w:hint="eastAsia"/>
          <w:sz w:val="30"/>
          <w:szCs w:val="30"/>
        </w:rPr>
      </w:pPr>
    </w:p>
    <w:p w14:paraId="2B8E9530">
      <w:pPr>
        <w:pStyle w:val="9"/>
        <w:spacing w:before="166"/>
        <w:ind w:left="0"/>
        <w:jc w:val="left"/>
        <w:rPr>
          <w:rFonts w:hint="eastAsia"/>
          <w:sz w:val="30"/>
          <w:szCs w:val="30"/>
        </w:rPr>
      </w:pPr>
      <w:r>
        <w:rPr>
          <w:rFonts w:hint="eastAsia"/>
          <w:sz w:val="30"/>
          <w:szCs w:val="30"/>
        </w:rPr>
        <w:t>Thirdly, there is the Resurrection of the dead.</w:t>
      </w:r>
    </w:p>
    <w:p w14:paraId="40A72DAF">
      <w:pPr>
        <w:pStyle w:val="9"/>
        <w:spacing w:before="166"/>
        <w:ind w:left="0"/>
        <w:jc w:val="left"/>
        <w:rPr>
          <w:rFonts w:hint="eastAsia"/>
          <w:sz w:val="30"/>
          <w:szCs w:val="30"/>
        </w:rPr>
      </w:pPr>
      <w:r>
        <w:rPr>
          <w:rFonts w:hint="eastAsia"/>
          <w:sz w:val="30"/>
          <w:szCs w:val="30"/>
        </w:rPr>
        <w:t>第三，是死人的复活。</w:t>
      </w:r>
    </w:p>
    <w:p w14:paraId="0EA904B0">
      <w:pPr>
        <w:pStyle w:val="9"/>
        <w:spacing w:before="166"/>
        <w:ind w:left="0"/>
        <w:jc w:val="left"/>
        <w:rPr>
          <w:rFonts w:hint="eastAsia"/>
          <w:sz w:val="30"/>
          <w:szCs w:val="30"/>
        </w:rPr>
      </w:pPr>
    </w:p>
    <w:p w14:paraId="73F4E435">
      <w:pPr>
        <w:pStyle w:val="9"/>
        <w:spacing w:before="166"/>
        <w:ind w:left="0"/>
        <w:jc w:val="left"/>
        <w:rPr>
          <w:rFonts w:hint="eastAsia"/>
          <w:sz w:val="30"/>
          <w:szCs w:val="30"/>
        </w:rPr>
      </w:pPr>
      <w:r>
        <w:rPr>
          <w:rFonts w:hint="eastAsia"/>
          <w:sz w:val="30"/>
          <w:szCs w:val="30"/>
        </w:rPr>
        <w:t>This is a single, general resurrection of all human beings who have ever lived and died.</w:t>
      </w:r>
    </w:p>
    <w:p w14:paraId="2F645813">
      <w:pPr>
        <w:pStyle w:val="9"/>
        <w:spacing w:before="166"/>
        <w:ind w:left="0"/>
        <w:jc w:val="left"/>
        <w:rPr>
          <w:rFonts w:hint="eastAsia"/>
          <w:sz w:val="30"/>
          <w:szCs w:val="30"/>
        </w:rPr>
      </w:pPr>
      <w:r>
        <w:rPr>
          <w:rFonts w:hint="eastAsia"/>
          <w:sz w:val="30"/>
          <w:szCs w:val="30"/>
        </w:rPr>
        <w:t>这是一次单一的、普世的复活，所有曾活过和死去的人类都将复活。</w:t>
      </w:r>
    </w:p>
    <w:p w14:paraId="07153345">
      <w:pPr>
        <w:pStyle w:val="9"/>
        <w:spacing w:before="166"/>
        <w:ind w:left="0"/>
        <w:jc w:val="left"/>
        <w:rPr>
          <w:rFonts w:hint="eastAsia"/>
          <w:sz w:val="30"/>
          <w:szCs w:val="30"/>
        </w:rPr>
      </w:pPr>
    </w:p>
    <w:p w14:paraId="7F3434ED">
      <w:pPr>
        <w:pStyle w:val="9"/>
        <w:spacing w:before="166"/>
        <w:ind w:left="0"/>
        <w:jc w:val="left"/>
        <w:rPr>
          <w:rFonts w:hint="eastAsia"/>
          <w:sz w:val="30"/>
          <w:szCs w:val="30"/>
        </w:rPr>
      </w:pPr>
      <w:r>
        <w:rPr>
          <w:rFonts w:hint="eastAsia"/>
          <w:sz w:val="30"/>
          <w:szCs w:val="30"/>
        </w:rPr>
        <w:t>Closely associated with the resurrection is the glorification (or transformation) of the living saints: those privileged believers who will never taste death, but who will live to see Christ coming in the clouds, and their own bodies glorified in “the twinkling of an eye” (1 Cor. 15:51ff, 1 Thess. 4:15-18, 1 John 3:2).</w:t>
      </w:r>
    </w:p>
    <w:p w14:paraId="4AAD1BEF">
      <w:pPr>
        <w:pStyle w:val="9"/>
        <w:spacing w:before="166"/>
        <w:ind w:left="0"/>
        <w:jc w:val="left"/>
        <w:rPr>
          <w:rFonts w:hint="eastAsia"/>
          <w:sz w:val="30"/>
          <w:szCs w:val="30"/>
        </w:rPr>
      </w:pPr>
      <w:r>
        <w:rPr>
          <w:rFonts w:hint="eastAsia"/>
          <w:sz w:val="30"/>
          <w:szCs w:val="30"/>
        </w:rPr>
        <w:t>与复活密切相关的是活着圣徒的得荣耀（或改变）：那些有幸的信徒，他们永不尝死味，但将活着看见基督驾云降临，他们自己的身体将在“一眨眼之间”得荣耀（林前15:51及以下，帖前4:15-18，约壹3:2）。</w:t>
      </w:r>
    </w:p>
    <w:p w14:paraId="079A244D">
      <w:pPr>
        <w:pStyle w:val="9"/>
        <w:spacing w:before="166"/>
        <w:ind w:left="0"/>
        <w:jc w:val="left"/>
        <w:rPr>
          <w:rFonts w:hint="eastAsia"/>
          <w:sz w:val="30"/>
          <w:szCs w:val="30"/>
        </w:rPr>
      </w:pPr>
    </w:p>
    <w:p w14:paraId="6109720B">
      <w:pPr>
        <w:pStyle w:val="9"/>
        <w:spacing w:before="166"/>
        <w:ind w:left="0"/>
        <w:jc w:val="left"/>
        <w:rPr>
          <w:rFonts w:hint="eastAsia"/>
          <w:sz w:val="30"/>
          <w:szCs w:val="30"/>
        </w:rPr>
      </w:pPr>
      <w:r>
        <w:rPr>
          <w:rFonts w:hint="eastAsia"/>
          <w:sz w:val="30"/>
          <w:szCs w:val="30"/>
        </w:rPr>
        <w:t>Also associated with the Resurrection is the Catching Up (or Rapture) of all resurrected (or transformed) men and women into the skies above the earth, where they will appear before the Judgment Seat of Christ.</w:t>
      </w:r>
    </w:p>
    <w:p w14:paraId="605D5A1C">
      <w:pPr>
        <w:pStyle w:val="9"/>
        <w:spacing w:before="166"/>
        <w:ind w:left="0"/>
        <w:jc w:val="left"/>
        <w:rPr>
          <w:rFonts w:hint="eastAsia"/>
          <w:sz w:val="30"/>
          <w:szCs w:val="30"/>
        </w:rPr>
      </w:pPr>
      <w:r>
        <w:rPr>
          <w:rFonts w:hint="eastAsia"/>
          <w:sz w:val="30"/>
          <w:szCs w:val="30"/>
        </w:rPr>
        <w:t>与复活相关的还有所有复活（或改变）的男女被提到（或被提）空中，在那里他们将显现在基督的审判台前。</w:t>
      </w:r>
    </w:p>
    <w:p w14:paraId="7D52DA60">
      <w:pPr>
        <w:pStyle w:val="9"/>
        <w:spacing w:before="166"/>
        <w:ind w:left="0"/>
        <w:jc w:val="left"/>
        <w:rPr>
          <w:rFonts w:hint="eastAsia"/>
          <w:sz w:val="30"/>
          <w:szCs w:val="30"/>
        </w:rPr>
      </w:pPr>
    </w:p>
    <w:p w14:paraId="71C85FB7">
      <w:pPr>
        <w:pStyle w:val="9"/>
        <w:spacing w:before="166"/>
        <w:ind w:left="0"/>
        <w:jc w:val="left"/>
        <w:rPr>
          <w:rFonts w:hint="eastAsia"/>
          <w:sz w:val="30"/>
          <w:szCs w:val="30"/>
        </w:rPr>
      </w:pPr>
      <w:r>
        <w:rPr>
          <w:rFonts w:hint="eastAsia"/>
          <w:sz w:val="30"/>
          <w:szCs w:val="30"/>
        </w:rPr>
        <w:t>In our study of the relevant NT texts we will seek fresh, clarifying light on this controversial theme.</w:t>
      </w:r>
    </w:p>
    <w:p w14:paraId="363E608F">
      <w:pPr>
        <w:pStyle w:val="9"/>
        <w:spacing w:before="166"/>
        <w:ind w:left="0"/>
        <w:jc w:val="left"/>
        <w:rPr>
          <w:rFonts w:hint="eastAsia"/>
          <w:sz w:val="30"/>
          <w:szCs w:val="30"/>
        </w:rPr>
      </w:pPr>
      <w:r>
        <w:rPr>
          <w:rFonts w:hint="eastAsia"/>
          <w:sz w:val="30"/>
          <w:szCs w:val="30"/>
        </w:rPr>
        <w:t>在我们对相关新约经文的研究中，我们将寻求对这个有争议的主题有新的、澄清的光照。</w:t>
      </w:r>
    </w:p>
    <w:p w14:paraId="557C34C1">
      <w:pPr>
        <w:pStyle w:val="9"/>
        <w:spacing w:before="166"/>
        <w:ind w:left="0"/>
        <w:jc w:val="left"/>
        <w:rPr>
          <w:rFonts w:hint="eastAsia"/>
          <w:sz w:val="30"/>
          <w:szCs w:val="30"/>
        </w:rPr>
      </w:pPr>
    </w:p>
    <w:p w14:paraId="12FE5BF7">
      <w:pPr>
        <w:pStyle w:val="9"/>
        <w:spacing w:before="166"/>
        <w:ind w:left="0"/>
        <w:jc w:val="left"/>
        <w:rPr>
          <w:rFonts w:hint="eastAsia"/>
          <w:sz w:val="30"/>
          <w:szCs w:val="30"/>
        </w:rPr>
      </w:pPr>
      <w:r>
        <w:rPr>
          <w:rFonts w:hint="eastAsia"/>
          <w:sz w:val="30"/>
          <w:szCs w:val="30"/>
        </w:rPr>
        <w:t>Fourthly, there is the Last Judgment.</w:t>
      </w:r>
    </w:p>
    <w:p w14:paraId="493720C3">
      <w:pPr>
        <w:pStyle w:val="9"/>
        <w:spacing w:before="166"/>
        <w:ind w:left="0"/>
        <w:jc w:val="left"/>
        <w:rPr>
          <w:rFonts w:hint="eastAsia"/>
          <w:sz w:val="30"/>
          <w:szCs w:val="30"/>
        </w:rPr>
      </w:pPr>
      <w:r>
        <w:rPr>
          <w:rFonts w:hint="eastAsia"/>
          <w:sz w:val="30"/>
          <w:szCs w:val="30"/>
        </w:rPr>
        <w:t>第四，是最后的审判。</w:t>
      </w:r>
    </w:p>
    <w:p w14:paraId="5CFD479C">
      <w:pPr>
        <w:pStyle w:val="9"/>
        <w:spacing w:before="166"/>
        <w:ind w:left="0"/>
        <w:jc w:val="left"/>
        <w:rPr>
          <w:rFonts w:hint="eastAsia"/>
          <w:sz w:val="30"/>
          <w:szCs w:val="30"/>
        </w:rPr>
      </w:pPr>
    </w:p>
    <w:p w14:paraId="0FC60DA1">
      <w:pPr>
        <w:pStyle w:val="9"/>
        <w:spacing w:before="166"/>
        <w:ind w:left="0"/>
        <w:jc w:val="left"/>
        <w:rPr>
          <w:rFonts w:hint="eastAsia"/>
          <w:sz w:val="30"/>
          <w:szCs w:val="30"/>
        </w:rPr>
      </w:pPr>
      <w:r>
        <w:rPr>
          <w:rFonts w:hint="eastAsia"/>
          <w:sz w:val="30"/>
          <w:szCs w:val="30"/>
        </w:rPr>
        <w:t>As we have seen, it is cosmic in scope, falling upon all men of all time, all angels, and all nature.</w:t>
      </w:r>
    </w:p>
    <w:p w14:paraId="1BC1EAB0">
      <w:pPr>
        <w:pStyle w:val="9"/>
        <w:spacing w:before="166"/>
        <w:ind w:left="0"/>
        <w:jc w:val="left"/>
        <w:rPr>
          <w:rFonts w:hint="eastAsia"/>
          <w:sz w:val="30"/>
          <w:szCs w:val="30"/>
        </w:rPr>
      </w:pPr>
      <w:r>
        <w:rPr>
          <w:rFonts w:hint="eastAsia"/>
          <w:sz w:val="30"/>
          <w:szCs w:val="30"/>
        </w:rPr>
        <w:t>正如我们所见，其范围是宇宙性的，临到所有时代的所有人、所有天使和所有自然。</w:t>
      </w:r>
    </w:p>
    <w:p w14:paraId="013DF060">
      <w:pPr>
        <w:pStyle w:val="9"/>
        <w:spacing w:before="166"/>
        <w:ind w:left="0"/>
        <w:jc w:val="left"/>
        <w:rPr>
          <w:rFonts w:hint="eastAsia"/>
          <w:sz w:val="30"/>
          <w:szCs w:val="30"/>
        </w:rPr>
      </w:pPr>
    </w:p>
    <w:p w14:paraId="5A39DDBF">
      <w:pPr>
        <w:pStyle w:val="9"/>
        <w:spacing w:before="166"/>
        <w:ind w:left="0"/>
        <w:jc w:val="left"/>
        <w:rPr>
          <w:rFonts w:hint="eastAsia"/>
          <w:sz w:val="30"/>
          <w:szCs w:val="30"/>
        </w:rPr>
      </w:pPr>
      <w:r>
        <w:rPr>
          <w:rFonts w:hint="eastAsia"/>
          <w:sz w:val="30"/>
          <w:szCs w:val="30"/>
        </w:rPr>
        <w:t>For men and angels, it is, in essence, a final separation, with Christ welcoming the saints and holy angels into the World to Come, but sending unbelieving sinners and evil angels (demons) to eternal punishment in the Lake of Fire.</w:t>
      </w:r>
    </w:p>
    <w:p w14:paraId="4168393D">
      <w:pPr>
        <w:pStyle w:val="9"/>
        <w:spacing w:before="166"/>
        <w:ind w:left="0"/>
        <w:jc w:val="left"/>
        <w:rPr>
          <w:rFonts w:hint="eastAsia"/>
          <w:sz w:val="30"/>
          <w:szCs w:val="30"/>
        </w:rPr>
      </w:pPr>
      <w:r>
        <w:rPr>
          <w:rFonts w:hint="eastAsia"/>
          <w:sz w:val="30"/>
          <w:szCs w:val="30"/>
        </w:rPr>
        <w:t>对人和天使而言，它本质上是一次最后的分别，基督欢迎圣徒和圣天使进入将来的世界，却将不信的罪人和邪恶的天使（魔鬼）送到火湖里受永恒的惩罚。</w:t>
      </w:r>
    </w:p>
    <w:p w14:paraId="0AC11C39">
      <w:pPr>
        <w:pStyle w:val="9"/>
        <w:spacing w:before="166"/>
        <w:ind w:left="0"/>
        <w:jc w:val="left"/>
        <w:rPr>
          <w:rFonts w:hint="eastAsia"/>
          <w:sz w:val="30"/>
          <w:szCs w:val="30"/>
        </w:rPr>
      </w:pPr>
    </w:p>
    <w:p w14:paraId="3C87116D">
      <w:pPr>
        <w:pStyle w:val="9"/>
        <w:spacing w:before="166"/>
        <w:ind w:left="0"/>
        <w:jc w:val="left"/>
        <w:rPr>
          <w:rFonts w:hint="eastAsia"/>
          <w:sz w:val="30"/>
          <w:szCs w:val="30"/>
        </w:rPr>
      </w:pPr>
      <w:r>
        <w:rPr>
          <w:rFonts w:hint="eastAsia"/>
          <w:sz w:val="30"/>
          <w:szCs w:val="30"/>
        </w:rPr>
        <w:t>The Judgment also will involve the destruction of the present heavens and earth by fire (2 Peter 3).</w:t>
      </w:r>
    </w:p>
    <w:p w14:paraId="380E930B">
      <w:pPr>
        <w:pStyle w:val="9"/>
        <w:spacing w:before="166"/>
        <w:ind w:left="0"/>
        <w:jc w:val="left"/>
        <w:rPr>
          <w:rFonts w:hint="eastAsia"/>
          <w:sz w:val="30"/>
          <w:szCs w:val="30"/>
        </w:rPr>
      </w:pPr>
      <w:r>
        <w:rPr>
          <w:rFonts w:hint="eastAsia"/>
          <w:sz w:val="30"/>
          <w:szCs w:val="30"/>
        </w:rPr>
        <w:t>审判也将涉及现今天地的被火毁灭（彼得后书3）。</w:t>
      </w:r>
    </w:p>
    <w:p w14:paraId="3350D06B">
      <w:pPr>
        <w:pStyle w:val="9"/>
        <w:spacing w:before="166"/>
        <w:ind w:left="0"/>
        <w:jc w:val="left"/>
        <w:rPr>
          <w:rFonts w:hint="eastAsia"/>
          <w:sz w:val="30"/>
          <w:szCs w:val="30"/>
        </w:rPr>
      </w:pPr>
    </w:p>
    <w:p w14:paraId="01888DBE">
      <w:pPr>
        <w:pStyle w:val="9"/>
        <w:spacing w:before="166"/>
        <w:ind w:left="0"/>
        <w:jc w:val="left"/>
        <w:rPr>
          <w:rFonts w:hint="eastAsia"/>
          <w:sz w:val="30"/>
          <w:szCs w:val="30"/>
        </w:rPr>
      </w:pPr>
      <w:r>
        <w:rPr>
          <w:rFonts w:hint="eastAsia"/>
          <w:sz w:val="30"/>
          <w:szCs w:val="30"/>
        </w:rPr>
        <w:t>The fifth element of the Consummation is the Regeneration, or the Restoration of All Things (Mt. 19:28, Acts 3:21).</w:t>
      </w:r>
    </w:p>
    <w:p w14:paraId="7B3AD421">
      <w:pPr>
        <w:pStyle w:val="9"/>
        <w:spacing w:before="166"/>
        <w:ind w:left="0"/>
        <w:jc w:val="left"/>
        <w:rPr>
          <w:rFonts w:hint="eastAsia"/>
          <w:sz w:val="30"/>
          <w:szCs w:val="30"/>
        </w:rPr>
      </w:pPr>
      <w:r>
        <w:rPr>
          <w:rFonts w:hint="eastAsia"/>
          <w:sz w:val="30"/>
          <w:szCs w:val="30"/>
        </w:rPr>
        <w:t>最终成全的第五个要素是重生，或万物的复兴（太19:28，徒3:21）。</w:t>
      </w:r>
    </w:p>
    <w:p w14:paraId="19D5A469">
      <w:pPr>
        <w:pStyle w:val="9"/>
        <w:spacing w:before="166"/>
        <w:ind w:left="0"/>
        <w:jc w:val="left"/>
        <w:rPr>
          <w:rFonts w:hint="eastAsia"/>
          <w:sz w:val="30"/>
          <w:szCs w:val="30"/>
        </w:rPr>
      </w:pPr>
    </w:p>
    <w:p w14:paraId="2A5EFB11">
      <w:pPr>
        <w:pStyle w:val="9"/>
        <w:spacing w:before="166"/>
        <w:ind w:left="0"/>
        <w:jc w:val="left"/>
        <w:rPr>
          <w:rFonts w:hint="eastAsia"/>
          <w:sz w:val="30"/>
          <w:szCs w:val="30"/>
        </w:rPr>
      </w:pPr>
      <w:r>
        <w:rPr>
          <w:rFonts w:hint="eastAsia"/>
          <w:sz w:val="30"/>
          <w:szCs w:val="30"/>
        </w:rPr>
        <w:t>By this the NT means the removal of the curse from the realm of nature, resulting in its eternal renewal; it means the eschatological deliverance, healing, and final glorification of the natural world.</w:t>
      </w:r>
    </w:p>
    <w:p w14:paraId="4FBCF2E2">
      <w:pPr>
        <w:pStyle w:val="9"/>
        <w:spacing w:before="166"/>
        <w:ind w:left="0"/>
        <w:jc w:val="left"/>
        <w:rPr>
          <w:rFonts w:hint="eastAsia"/>
          <w:sz w:val="30"/>
          <w:szCs w:val="30"/>
        </w:rPr>
      </w:pPr>
      <w:r>
        <w:rPr>
          <w:rFonts w:hint="eastAsia"/>
          <w:sz w:val="30"/>
          <w:szCs w:val="30"/>
        </w:rPr>
        <w:t>新约以此指从自然界除去咒诅，从而使其永远更新；它指自然界的末世性拯救、医治和最终的荣耀。</w:t>
      </w:r>
    </w:p>
    <w:p w14:paraId="54440A6F">
      <w:pPr>
        <w:pStyle w:val="9"/>
        <w:spacing w:before="166"/>
        <w:ind w:left="0"/>
        <w:jc w:val="left"/>
        <w:rPr>
          <w:rFonts w:hint="eastAsia"/>
          <w:sz w:val="30"/>
          <w:szCs w:val="30"/>
        </w:rPr>
      </w:pPr>
    </w:p>
    <w:p w14:paraId="3A77EE68">
      <w:pPr>
        <w:pStyle w:val="9"/>
        <w:spacing w:before="166"/>
        <w:ind w:left="0"/>
        <w:jc w:val="left"/>
        <w:rPr>
          <w:rFonts w:hint="eastAsia"/>
          <w:sz w:val="30"/>
          <w:szCs w:val="30"/>
        </w:rPr>
      </w:pPr>
      <w:r>
        <w:rPr>
          <w:rFonts w:hint="eastAsia"/>
          <w:sz w:val="30"/>
          <w:szCs w:val="30"/>
        </w:rPr>
        <w:t>Just as God, in the beginning, created the first heavens and earth for the family of the first Man, so here, in the Regeneration, he will bring his redemptive program to a close by creating new heavens and a new earth for the family of the Last Man, the Lord Jesus Christ.</w:t>
      </w:r>
    </w:p>
    <w:p w14:paraId="5C01AA4E">
      <w:pPr>
        <w:pStyle w:val="9"/>
        <w:spacing w:before="166"/>
        <w:ind w:left="0"/>
        <w:jc w:val="left"/>
        <w:rPr>
          <w:rFonts w:hint="eastAsia"/>
          <w:sz w:val="30"/>
          <w:szCs w:val="30"/>
        </w:rPr>
      </w:pPr>
      <w:r>
        <w:rPr>
          <w:rFonts w:hint="eastAsia"/>
          <w:sz w:val="30"/>
          <w:szCs w:val="30"/>
        </w:rPr>
        <w:t>正如上帝，在起初，为第一个人的家庭创造了头一个天和地，在这里，在重生中，祂将通过为末后的人，主耶稣基督的家庭，创造新天新地来结束祂的救赎计划。</w:t>
      </w:r>
    </w:p>
    <w:p w14:paraId="3AC98287">
      <w:pPr>
        <w:pStyle w:val="9"/>
        <w:spacing w:before="166"/>
        <w:ind w:left="0"/>
        <w:jc w:val="left"/>
        <w:rPr>
          <w:rFonts w:hint="eastAsia"/>
          <w:sz w:val="30"/>
          <w:szCs w:val="30"/>
        </w:rPr>
      </w:pPr>
    </w:p>
    <w:p w14:paraId="19FBC2FA">
      <w:pPr>
        <w:pStyle w:val="9"/>
        <w:spacing w:before="166"/>
        <w:ind w:left="0"/>
        <w:jc w:val="left"/>
        <w:rPr>
          <w:rFonts w:hint="eastAsia"/>
          <w:sz w:val="30"/>
          <w:szCs w:val="30"/>
        </w:rPr>
      </w:pPr>
      <w:r>
        <w:rPr>
          <w:rFonts w:hint="eastAsia"/>
          <w:sz w:val="30"/>
          <w:szCs w:val="30"/>
        </w:rPr>
        <w:t>And as we shall see, it is through Christ that he will do it!</w:t>
      </w:r>
    </w:p>
    <w:p w14:paraId="70E9C5B7">
      <w:pPr>
        <w:pStyle w:val="9"/>
        <w:spacing w:before="166"/>
        <w:ind w:left="0"/>
        <w:jc w:val="left"/>
        <w:rPr>
          <w:rFonts w:hint="eastAsia"/>
          <w:sz w:val="30"/>
          <w:szCs w:val="30"/>
        </w:rPr>
      </w:pPr>
      <w:r>
        <w:rPr>
          <w:rFonts w:hint="eastAsia"/>
          <w:sz w:val="30"/>
          <w:szCs w:val="30"/>
        </w:rPr>
        <w:t>正如我们将要看到的，祂将通过基督来成就这事！</w:t>
      </w:r>
    </w:p>
    <w:p w14:paraId="40C1F5B0">
      <w:pPr>
        <w:pStyle w:val="9"/>
        <w:spacing w:before="166"/>
        <w:ind w:left="0"/>
        <w:jc w:val="left"/>
        <w:rPr>
          <w:rFonts w:hint="eastAsia"/>
          <w:sz w:val="30"/>
          <w:szCs w:val="30"/>
        </w:rPr>
      </w:pPr>
    </w:p>
    <w:p w14:paraId="1C339BE8">
      <w:pPr>
        <w:pStyle w:val="9"/>
        <w:spacing w:before="166"/>
        <w:ind w:left="0"/>
        <w:jc w:val="left"/>
        <w:rPr>
          <w:rFonts w:hint="eastAsia"/>
          <w:sz w:val="30"/>
          <w:szCs w:val="30"/>
        </w:rPr>
      </w:pPr>
      <w:r>
        <w:rPr>
          <w:rFonts w:hint="eastAsia"/>
          <w:sz w:val="30"/>
          <w:szCs w:val="30"/>
        </w:rPr>
        <w:t>Finally, we have what the apostle Paul called the Delivering Up of the Kingdom.</w:t>
      </w:r>
    </w:p>
    <w:p w14:paraId="24C1617B">
      <w:pPr>
        <w:pStyle w:val="9"/>
        <w:spacing w:before="166"/>
        <w:ind w:left="0"/>
        <w:jc w:val="left"/>
        <w:rPr>
          <w:rFonts w:hint="eastAsia"/>
          <w:sz w:val="30"/>
          <w:szCs w:val="30"/>
        </w:rPr>
      </w:pPr>
      <w:r>
        <w:rPr>
          <w:rFonts w:hint="eastAsia"/>
          <w:sz w:val="30"/>
          <w:szCs w:val="30"/>
        </w:rPr>
        <w:t>最后，我们有使徒保罗所称的“交出王国”。</w:t>
      </w:r>
    </w:p>
    <w:p w14:paraId="1572C868">
      <w:pPr>
        <w:pStyle w:val="9"/>
        <w:spacing w:before="166"/>
        <w:ind w:left="0"/>
        <w:jc w:val="left"/>
        <w:rPr>
          <w:rFonts w:hint="eastAsia"/>
          <w:sz w:val="30"/>
          <w:szCs w:val="30"/>
        </w:rPr>
      </w:pPr>
    </w:p>
    <w:p w14:paraId="386998B1">
      <w:pPr>
        <w:pStyle w:val="9"/>
        <w:spacing w:before="166"/>
        <w:ind w:left="0"/>
        <w:jc w:val="left"/>
        <w:rPr>
          <w:rFonts w:hint="eastAsia"/>
          <w:sz w:val="30"/>
          <w:szCs w:val="30"/>
        </w:rPr>
      </w:pPr>
      <w:r>
        <w:rPr>
          <w:rFonts w:hint="eastAsia"/>
          <w:sz w:val="30"/>
          <w:szCs w:val="30"/>
        </w:rPr>
        <w:t>The idea here is that the High King of Heaven will bring his heavenly reign to a close by submitting both himself and the full fruitage of his redemptive work—his glorified Bride and the glorified World she is about to inherit—to God the Father, so that he (the Father) may again (together with Christ) be “all in all’ in the World to Come (1 Cor. 15:24-28).</w:t>
      </w:r>
    </w:p>
    <w:p w14:paraId="5B798DFC">
      <w:pPr>
        <w:pStyle w:val="9"/>
        <w:spacing w:before="166"/>
        <w:ind w:left="0"/>
        <w:jc w:val="left"/>
        <w:rPr>
          <w:rFonts w:hint="eastAsia"/>
          <w:sz w:val="30"/>
          <w:szCs w:val="30"/>
        </w:rPr>
      </w:pPr>
      <w:r>
        <w:rPr>
          <w:rFonts w:hint="eastAsia"/>
          <w:sz w:val="30"/>
          <w:szCs w:val="30"/>
        </w:rPr>
        <w:t>这里的观念是，天上的至高君王将通过将祂自己和祂救赎工作的全部果实——祂得荣耀的新妇和她将要继承的得荣耀的世界——都顺服父上帝，来结束祂属天的统治，好叫祂（父）可以在将来的世界中（与基督一同）再作“万有之中的万有”（林前15:24-28）。</w:t>
      </w:r>
    </w:p>
    <w:p w14:paraId="360FFC62">
      <w:pPr>
        <w:pStyle w:val="9"/>
        <w:spacing w:before="166"/>
        <w:ind w:left="0"/>
        <w:jc w:val="left"/>
        <w:rPr>
          <w:rFonts w:hint="eastAsia"/>
          <w:sz w:val="30"/>
          <w:szCs w:val="30"/>
        </w:rPr>
      </w:pPr>
    </w:p>
    <w:p w14:paraId="19F10C45">
      <w:pPr>
        <w:pStyle w:val="9"/>
        <w:spacing w:before="166"/>
        <w:ind w:left="0"/>
        <w:jc w:val="left"/>
        <w:rPr>
          <w:rFonts w:hint="eastAsia"/>
          <w:sz w:val="30"/>
          <w:szCs w:val="30"/>
        </w:rPr>
      </w:pPr>
      <w:r>
        <w:rPr>
          <w:rFonts w:hint="eastAsia"/>
          <w:sz w:val="30"/>
          <w:szCs w:val="30"/>
        </w:rPr>
        <w:t>Here, then, are the six central elements of the Consummation, along with some of their key accompaniments.</w:t>
      </w:r>
    </w:p>
    <w:p w14:paraId="69A4A273">
      <w:pPr>
        <w:pStyle w:val="9"/>
        <w:spacing w:before="166"/>
        <w:ind w:left="0"/>
        <w:jc w:val="left"/>
        <w:rPr>
          <w:rFonts w:hint="eastAsia"/>
          <w:sz w:val="30"/>
          <w:szCs w:val="30"/>
        </w:rPr>
      </w:pPr>
      <w:r>
        <w:rPr>
          <w:rFonts w:hint="eastAsia"/>
          <w:sz w:val="30"/>
          <w:szCs w:val="30"/>
        </w:rPr>
        <w:t>因此，这里是最终成全的六个中心要素，以及它们的一些关键伴随物。</w:t>
      </w:r>
    </w:p>
    <w:p w14:paraId="219CFE7D">
      <w:pPr>
        <w:pStyle w:val="9"/>
        <w:spacing w:before="166"/>
        <w:ind w:left="0"/>
        <w:jc w:val="left"/>
        <w:rPr>
          <w:rFonts w:hint="eastAsia"/>
          <w:sz w:val="30"/>
          <w:szCs w:val="30"/>
        </w:rPr>
      </w:pPr>
    </w:p>
    <w:p w14:paraId="164AD982">
      <w:pPr>
        <w:pStyle w:val="9"/>
        <w:spacing w:before="166"/>
        <w:ind w:left="0"/>
        <w:jc w:val="left"/>
        <w:rPr>
          <w:rFonts w:hint="eastAsia"/>
          <w:sz w:val="30"/>
          <w:szCs w:val="30"/>
        </w:rPr>
      </w:pPr>
      <w:r>
        <w:rPr>
          <w:rFonts w:hint="eastAsia"/>
          <w:sz w:val="30"/>
          <w:szCs w:val="30"/>
        </w:rPr>
        <w:t>Again, we shall examine them more closely in the pages ahead.</w:t>
      </w:r>
    </w:p>
    <w:p w14:paraId="50AEEC78">
      <w:pPr>
        <w:pStyle w:val="9"/>
        <w:spacing w:before="166"/>
        <w:ind w:left="0"/>
        <w:jc w:val="left"/>
        <w:rPr>
          <w:rFonts w:hint="eastAsia"/>
          <w:sz w:val="30"/>
          <w:szCs w:val="30"/>
        </w:rPr>
      </w:pPr>
      <w:r>
        <w:rPr>
          <w:rFonts w:hint="eastAsia"/>
          <w:sz w:val="30"/>
          <w:szCs w:val="30"/>
        </w:rPr>
        <w:t>再次，我们将在接下来的篇幅中更仔细地考察它们。</w:t>
      </w:r>
    </w:p>
    <w:p w14:paraId="0C1B6F8E">
      <w:pPr>
        <w:pStyle w:val="9"/>
        <w:spacing w:before="166"/>
        <w:ind w:left="0"/>
        <w:jc w:val="left"/>
        <w:rPr>
          <w:rFonts w:hint="eastAsia"/>
          <w:sz w:val="30"/>
          <w:szCs w:val="30"/>
        </w:rPr>
      </w:pPr>
    </w:p>
    <w:p w14:paraId="456F6E1E">
      <w:pPr>
        <w:pStyle w:val="9"/>
        <w:spacing w:before="166"/>
        <w:ind w:left="0"/>
        <w:jc w:val="left"/>
        <w:rPr>
          <w:rFonts w:hint="eastAsia"/>
          <w:sz w:val="30"/>
          <w:szCs w:val="30"/>
        </w:rPr>
      </w:pPr>
      <w:r>
        <w:rPr>
          <w:rFonts w:hint="eastAsia"/>
          <w:sz w:val="30"/>
          <w:szCs w:val="30"/>
        </w:rPr>
        <w:t>But first, let us turn our attention to the structure by which they are held together.</w:t>
      </w:r>
    </w:p>
    <w:p w14:paraId="41407BAF">
      <w:pPr>
        <w:pStyle w:val="9"/>
        <w:spacing w:before="166"/>
        <w:ind w:left="0"/>
        <w:jc w:val="left"/>
        <w:rPr>
          <w:rFonts w:hint="eastAsia"/>
          <w:sz w:val="30"/>
          <w:szCs w:val="30"/>
        </w:rPr>
      </w:pPr>
      <w:r>
        <w:rPr>
          <w:rFonts w:hint="eastAsia"/>
          <w:sz w:val="30"/>
          <w:szCs w:val="30"/>
        </w:rPr>
        <w:t>但首先，让我们把注意力转向将它们联系在一起的结构。</w:t>
      </w:r>
    </w:p>
    <w:p w14:paraId="40AC91FC">
      <w:pPr>
        <w:pStyle w:val="9"/>
        <w:spacing w:before="166"/>
        <w:ind w:left="0"/>
        <w:jc w:val="left"/>
        <w:rPr>
          <w:rFonts w:hint="eastAsia"/>
          <w:sz w:val="30"/>
          <w:szCs w:val="30"/>
        </w:rPr>
      </w:pPr>
    </w:p>
    <w:p w14:paraId="455C2754">
      <w:pPr>
        <w:pStyle w:val="9"/>
        <w:spacing w:before="166"/>
        <w:ind w:left="0"/>
        <w:jc w:val="left"/>
        <w:rPr>
          <w:rFonts w:hint="eastAsia"/>
          <w:sz w:val="30"/>
          <w:szCs w:val="30"/>
        </w:rPr>
      </w:pPr>
      <w:r>
        <w:rPr>
          <w:rFonts w:hint="eastAsia"/>
          <w:sz w:val="30"/>
          <w:szCs w:val="30"/>
        </w:rPr>
        <w:t>The Structure of the Consummation</w:t>
      </w:r>
    </w:p>
    <w:p w14:paraId="0D54F19E">
      <w:pPr>
        <w:pStyle w:val="9"/>
        <w:spacing w:before="166"/>
        <w:ind w:left="0"/>
        <w:jc w:val="left"/>
        <w:rPr>
          <w:rFonts w:hint="eastAsia"/>
          <w:sz w:val="30"/>
          <w:szCs w:val="30"/>
        </w:rPr>
      </w:pPr>
      <w:r>
        <w:rPr>
          <w:rFonts w:hint="eastAsia"/>
          <w:sz w:val="30"/>
          <w:szCs w:val="30"/>
        </w:rPr>
        <w:t>最终成全的结构</w:t>
      </w:r>
    </w:p>
    <w:p w14:paraId="721E8D23">
      <w:pPr>
        <w:pStyle w:val="9"/>
        <w:spacing w:before="166"/>
        <w:ind w:left="0"/>
        <w:jc w:val="left"/>
        <w:rPr>
          <w:rFonts w:hint="eastAsia"/>
          <w:sz w:val="30"/>
          <w:szCs w:val="30"/>
        </w:rPr>
      </w:pPr>
    </w:p>
    <w:p w14:paraId="30A0840D">
      <w:pPr>
        <w:pStyle w:val="9"/>
        <w:spacing w:before="166"/>
        <w:ind w:left="0"/>
        <w:jc w:val="left"/>
        <w:rPr>
          <w:rFonts w:hint="eastAsia"/>
          <w:sz w:val="30"/>
          <w:szCs w:val="30"/>
        </w:rPr>
      </w:pPr>
      <w:r>
        <w:rPr>
          <w:rFonts w:hint="eastAsia"/>
          <w:sz w:val="30"/>
          <w:szCs w:val="30"/>
        </w:rPr>
        <w:t>God has structured the Consummation according to its purpose.</w:t>
      </w:r>
    </w:p>
    <w:p w14:paraId="494F2DB5">
      <w:pPr>
        <w:pStyle w:val="9"/>
        <w:spacing w:before="166"/>
        <w:ind w:left="0"/>
        <w:jc w:val="left"/>
        <w:rPr>
          <w:rFonts w:hint="eastAsia"/>
          <w:sz w:val="30"/>
          <w:szCs w:val="30"/>
        </w:rPr>
      </w:pPr>
      <w:r>
        <w:rPr>
          <w:rFonts w:hint="eastAsia"/>
          <w:sz w:val="30"/>
          <w:szCs w:val="30"/>
        </w:rPr>
        <w:t>上帝已按照其目的构建了最终的成全。</w:t>
      </w:r>
    </w:p>
    <w:p w14:paraId="1E3FC548">
      <w:pPr>
        <w:pStyle w:val="9"/>
        <w:spacing w:before="166"/>
        <w:ind w:left="0"/>
        <w:jc w:val="left"/>
        <w:rPr>
          <w:rFonts w:hint="eastAsia"/>
          <w:sz w:val="30"/>
          <w:szCs w:val="30"/>
        </w:rPr>
      </w:pPr>
    </w:p>
    <w:p w14:paraId="33282ADA">
      <w:pPr>
        <w:pStyle w:val="9"/>
        <w:spacing w:before="166"/>
        <w:ind w:left="0"/>
        <w:jc w:val="left"/>
        <w:rPr>
          <w:rFonts w:hint="eastAsia"/>
          <w:sz w:val="30"/>
          <w:szCs w:val="30"/>
        </w:rPr>
      </w:pPr>
      <w:r>
        <w:rPr>
          <w:rFonts w:hint="eastAsia"/>
          <w:sz w:val="30"/>
          <w:szCs w:val="30"/>
        </w:rPr>
        <w:t>Its purpose is supremely to glorify the Son as cosmic Redeemer, Judge, and Re-Creator.</w:t>
      </w:r>
    </w:p>
    <w:p w14:paraId="21F12BF7">
      <w:pPr>
        <w:pStyle w:val="9"/>
        <w:spacing w:before="166"/>
        <w:ind w:left="0"/>
        <w:jc w:val="left"/>
        <w:rPr>
          <w:rFonts w:hint="eastAsia"/>
          <w:sz w:val="30"/>
          <w:szCs w:val="30"/>
        </w:rPr>
      </w:pPr>
      <w:r>
        <w:rPr>
          <w:rFonts w:hint="eastAsia"/>
          <w:sz w:val="30"/>
          <w:szCs w:val="30"/>
        </w:rPr>
        <w:t>其目的至高地是要荣耀子，作为宇宙的救赎主、审判主和再造主。</w:t>
      </w:r>
    </w:p>
    <w:p w14:paraId="4AAEAA2C">
      <w:pPr>
        <w:pStyle w:val="9"/>
        <w:spacing w:before="166"/>
        <w:ind w:left="0"/>
        <w:jc w:val="left"/>
        <w:rPr>
          <w:rFonts w:hint="eastAsia"/>
          <w:sz w:val="30"/>
          <w:szCs w:val="30"/>
        </w:rPr>
      </w:pPr>
    </w:p>
    <w:p w14:paraId="7DC7B7DE">
      <w:pPr>
        <w:pStyle w:val="9"/>
        <w:spacing w:before="166"/>
        <w:ind w:left="0"/>
        <w:jc w:val="left"/>
        <w:rPr>
          <w:rFonts w:hint="eastAsia"/>
          <w:sz w:val="30"/>
          <w:szCs w:val="30"/>
        </w:rPr>
      </w:pPr>
      <w:r>
        <w:rPr>
          <w:rFonts w:hint="eastAsia"/>
          <w:sz w:val="30"/>
          <w:szCs w:val="30"/>
        </w:rPr>
        <w:t>In order to accomplish this purpose, God has designed the Consummation to be a profoundly Christ-centered event.</w:t>
      </w:r>
    </w:p>
    <w:p w14:paraId="2AFBDC35">
      <w:pPr>
        <w:pStyle w:val="9"/>
        <w:spacing w:before="166"/>
        <w:ind w:left="0"/>
        <w:jc w:val="left"/>
        <w:rPr>
          <w:rFonts w:hint="eastAsia"/>
          <w:sz w:val="30"/>
          <w:szCs w:val="30"/>
        </w:rPr>
      </w:pPr>
      <w:r>
        <w:rPr>
          <w:rFonts w:hint="eastAsia"/>
          <w:sz w:val="30"/>
          <w:szCs w:val="30"/>
        </w:rPr>
        <w:t>为了完成这个目的，上帝已将最终的成全设计成一个极其以基督为中心的事件。</w:t>
      </w:r>
    </w:p>
    <w:p w14:paraId="5071E5B1">
      <w:pPr>
        <w:pStyle w:val="9"/>
        <w:spacing w:before="166"/>
        <w:ind w:left="0"/>
        <w:jc w:val="left"/>
        <w:rPr>
          <w:rFonts w:hint="eastAsia"/>
          <w:sz w:val="30"/>
          <w:szCs w:val="30"/>
        </w:rPr>
      </w:pPr>
    </w:p>
    <w:p w14:paraId="45032CA9">
      <w:pPr>
        <w:pStyle w:val="9"/>
        <w:spacing w:before="166"/>
        <w:ind w:left="0"/>
        <w:jc w:val="left"/>
        <w:rPr>
          <w:rFonts w:hint="eastAsia"/>
          <w:sz w:val="30"/>
          <w:szCs w:val="30"/>
        </w:rPr>
      </w:pPr>
      <w:r>
        <w:rPr>
          <w:rFonts w:hint="eastAsia"/>
          <w:sz w:val="30"/>
          <w:szCs w:val="30"/>
        </w:rPr>
        <w:t>Christ- centeredness is the very essence of the structure of the Consummation.</w:t>
      </w:r>
    </w:p>
    <w:p w14:paraId="53B231DA">
      <w:pPr>
        <w:pStyle w:val="9"/>
        <w:spacing w:before="166"/>
        <w:ind w:left="0"/>
        <w:jc w:val="left"/>
        <w:rPr>
          <w:rFonts w:hint="eastAsia"/>
          <w:sz w:val="30"/>
          <w:szCs w:val="30"/>
        </w:rPr>
      </w:pPr>
      <w:r>
        <w:rPr>
          <w:rFonts w:hint="eastAsia"/>
          <w:sz w:val="30"/>
          <w:szCs w:val="30"/>
        </w:rPr>
        <w:t>以基督为中心是最终成全结构的精髓。</w:t>
      </w:r>
    </w:p>
    <w:p w14:paraId="541EBD3D">
      <w:pPr>
        <w:pStyle w:val="9"/>
        <w:spacing w:before="166"/>
        <w:ind w:left="0"/>
        <w:jc w:val="left"/>
        <w:rPr>
          <w:rFonts w:hint="eastAsia"/>
          <w:sz w:val="30"/>
          <w:szCs w:val="30"/>
        </w:rPr>
      </w:pPr>
    </w:p>
    <w:p w14:paraId="249AE73B">
      <w:pPr>
        <w:pStyle w:val="9"/>
        <w:spacing w:before="166"/>
        <w:ind w:left="0"/>
        <w:jc w:val="left"/>
        <w:rPr>
          <w:rFonts w:hint="eastAsia"/>
          <w:sz w:val="30"/>
          <w:szCs w:val="30"/>
        </w:rPr>
      </w:pPr>
      <w:r>
        <w:rPr>
          <w:rFonts w:hint="eastAsia"/>
          <w:sz w:val="30"/>
          <w:szCs w:val="30"/>
        </w:rPr>
        <w:t>We see it in at least three different forms.</w:t>
      </w:r>
    </w:p>
    <w:p w14:paraId="30CFC6C7">
      <w:pPr>
        <w:pStyle w:val="9"/>
        <w:spacing w:before="166"/>
        <w:ind w:left="0"/>
        <w:jc w:val="left"/>
        <w:rPr>
          <w:rFonts w:hint="eastAsia"/>
          <w:sz w:val="30"/>
          <w:szCs w:val="30"/>
        </w:rPr>
      </w:pPr>
      <w:r>
        <w:rPr>
          <w:rFonts w:hint="eastAsia"/>
          <w:sz w:val="30"/>
          <w:szCs w:val="30"/>
        </w:rPr>
        <w:t>我们至少在三种不同的形式中看到它。</w:t>
      </w:r>
    </w:p>
    <w:p w14:paraId="75BE6639">
      <w:pPr>
        <w:pStyle w:val="9"/>
        <w:spacing w:before="166"/>
        <w:ind w:left="0"/>
        <w:jc w:val="left"/>
        <w:rPr>
          <w:rFonts w:hint="eastAsia"/>
          <w:sz w:val="30"/>
          <w:szCs w:val="30"/>
        </w:rPr>
      </w:pPr>
    </w:p>
    <w:p w14:paraId="3A3380CC">
      <w:pPr>
        <w:pStyle w:val="9"/>
        <w:spacing w:before="166"/>
        <w:ind w:left="0"/>
        <w:jc w:val="left"/>
        <w:rPr>
          <w:rFonts w:hint="eastAsia"/>
          <w:sz w:val="30"/>
          <w:szCs w:val="30"/>
        </w:rPr>
      </w:pPr>
      <w:r>
        <w:rPr>
          <w:rFonts w:hint="eastAsia"/>
          <w:sz w:val="30"/>
          <w:szCs w:val="30"/>
        </w:rPr>
        <w:t>First, God has centered the Consummation around Christ dynamically.</w:t>
      </w:r>
    </w:p>
    <w:p w14:paraId="2019C6AA">
      <w:pPr>
        <w:pStyle w:val="9"/>
        <w:spacing w:before="166"/>
        <w:ind w:left="0"/>
        <w:jc w:val="left"/>
        <w:rPr>
          <w:rFonts w:hint="eastAsia"/>
          <w:sz w:val="30"/>
          <w:szCs w:val="30"/>
        </w:rPr>
      </w:pPr>
      <w:r>
        <w:rPr>
          <w:rFonts w:hint="eastAsia"/>
          <w:sz w:val="30"/>
          <w:szCs w:val="30"/>
        </w:rPr>
        <w:t>首先，上帝已动态地以基督为中心构建了最终的成全。</w:t>
      </w:r>
    </w:p>
    <w:p w14:paraId="6CC2B06D">
      <w:pPr>
        <w:pStyle w:val="9"/>
        <w:spacing w:before="166"/>
        <w:ind w:left="0"/>
        <w:jc w:val="left"/>
        <w:rPr>
          <w:rFonts w:hint="eastAsia"/>
          <w:sz w:val="30"/>
          <w:szCs w:val="30"/>
        </w:rPr>
      </w:pPr>
    </w:p>
    <w:p w14:paraId="346B5485">
      <w:pPr>
        <w:pStyle w:val="9"/>
        <w:spacing w:before="166"/>
        <w:ind w:left="0"/>
        <w:jc w:val="left"/>
        <w:rPr>
          <w:rFonts w:hint="eastAsia"/>
          <w:sz w:val="30"/>
          <w:szCs w:val="30"/>
        </w:rPr>
      </w:pPr>
      <w:r>
        <w:rPr>
          <w:rFonts w:hint="eastAsia"/>
          <w:sz w:val="30"/>
          <w:szCs w:val="30"/>
        </w:rPr>
        <w:t>That is, the Father has decreed that the returning High King of Heaven will be the omnipotent divine Agent through whom he will execute each and every aspect of the Consummation.</w:t>
      </w:r>
    </w:p>
    <w:p w14:paraId="1458E484">
      <w:pPr>
        <w:pStyle w:val="9"/>
        <w:spacing w:before="166"/>
        <w:ind w:left="0"/>
        <w:jc w:val="left"/>
        <w:rPr>
          <w:rFonts w:hint="eastAsia"/>
          <w:sz w:val="30"/>
          <w:szCs w:val="30"/>
        </w:rPr>
      </w:pPr>
      <w:r>
        <w:rPr>
          <w:rFonts w:hint="eastAsia"/>
          <w:sz w:val="30"/>
          <w:szCs w:val="30"/>
        </w:rPr>
        <w:t>也就是说，父已命定，再来的天上至高君王将是全能的神圣媒介，父将通过祂来执行最终成全的每一个方面。</w:t>
      </w:r>
    </w:p>
    <w:p w14:paraId="47832D6C">
      <w:pPr>
        <w:pStyle w:val="9"/>
        <w:spacing w:before="166"/>
        <w:ind w:left="0"/>
        <w:jc w:val="left"/>
        <w:rPr>
          <w:rFonts w:hint="eastAsia"/>
          <w:sz w:val="30"/>
          <w:szCs w:val="30"/>
        </w:rPr>
      </w:pPr>
    </w:p>
    <w:p w14:paraId="083955A9">
      <w:pPr>
        <w:pStyle w:val="9"/>
        <w:spacing w:before="166"/>
        <w:ind w:left="0"/>
        <w:jc w:val="left"/>
        <w:rPr>
          <w:rFonts w:hint="eastAsia"/>
          <w:sz w:val="30"/>
          <w:szCs w:val="30"/>
        </w:rPr>
      </w:pPr>
      <w:r>
        <w:rPr>
          <w:rFonts w:hint="eastAsia"/>
          <w:sz w:val="30"/>
          <w:szCs w:val="30"/>
        </w:rPr>
        <w:t>We have touched on this point over and again.</w:t>
      </w:r>
    </w:p>
    <w:p w14:paraId="735FEF9E">
      <w:pPr>
        <w:pStyle w:val="9"/>
        <w:spacing w:before="166"/>
        <w:ind w:left="0"/>
        <w:jc w:val="left"/>
        <w:rPr>
          <w:rFonts w:hint="eastAsia"/>
          <w:sz w:val="30"/>
          <w:szCs w:val="30"/>
        </w:rPr>
      </w:pPr>
      <w:r>
        <w:rPr>
          <w:rFonts w:hint="eastAsia"/>
          <w:sz w:val="30"/>
          <w:szCs w:val="30"/>
        </w:rPr>
        <w:t>我们已经一再地触及这一点。</w:t>
      </w:r>
    </w:p>
    <w:p w14:paraId="24183AFB">
      <w:pPr>
        <w:pStyle w:val="9"/>
        <w:spacing w:before="166"/>
        <w:ind w:left="0"/>
        <w:jc w:val="left"/>
        <w:rPr>
          <w:rFonts w:hint="eastAsia"/>
          <w:sz w:val="30"/>
          <w:szCs w:val="30"/>
        </w:rPr>
      </w:pPr>
    </w:p>
    <w:p w14:paraId="5E3D1248">
      <w:pPr>
        <w:pStyle w:val="9"/>
        <w:spacing w:before="166"/>
        <w:ind w:left="0"/>
        <w:jc w:val="left"/>
        <w:rPr>
          <w:rFonts w:hint="eastAsia"/>
          <w:sz w:val="30"/>
          <w:szCs w:val="30"/>
        </w:rPr>
      </w:pPr>
      <w:r>
        <w:rPr>
          <w:rFonts w:hint="eastAsia"/>
          <w:sz w:val="30"/>
          <w:szCs w:val="30"/>
        </w:rPr>
        <w:t>Christ will raise the dead and transform the living.</w:t>
      </w:r>
    </w:p>
    <w:p w14:paraId="5727B576">
      <w:pPr>
        <w:pStyle w:val="9"/>
        <w:spacing w:before="166"/>
        <w:ind w:left="0"/>
        <w:jc w:val="left"/>
        <w:rPr>
          <w:rFonts w:hint="eastAsia"/>
          <w:sz w:val="30"/>
          <w:szCs w:val="30"/>
        </w:rPr>
      </w:pPr>
      <w:r>
        <w:rPr>
          <w:rFonts w:hint="eastAsia"/>
          <w:sz w:val="30"/>
          <w:szCs w:val="30"/>
        </w:rPr>
        <w:t>基督将使死人复活，改变活人。</w:t>
      </w:r>
    </w:p>
    <w:p w14:paraId="34FB007A">
      <w:pPr>
        <w:pStyle w:val="9"/>
        <w:spacing w:before="166"/>
        <w:ind w:left="0"/>
        <w:jc w:val="left"/>
        <w:rPr>
          <w:rFonts w:hint="eastAsia"/>
          <w:sz w:val="30"/>
          <w:szCs w:val="30"/>
        </w:rPr>
      </w:pPr>
    </w:p>
    <w:p w14:paraId="6CF9FEE8">
      <w:pPr>
        <w:pStyle w:val="9"/>
        <w:spacing w:before="166"/>
        <w:ind w:left="0"/>
        <w:jc w:val="left"/>
        <w:rPr>
          <w:rFonts w:hint="eastAsia"/>
          <w:sz w:val="30"/>
          <w:szCs w:val="30"/>
        </w:rPr>
      </w:pPr>
      <w:r>
        <w:rPr>
          <w:rFonts w:hint="eastAsia"/>
          <w:sz w:val="30"/>
          <w:szCs w:val="30"/>
        </w:rPr>
        <w:t>Christ will judge the world in righteousness.</w:t>
      </w:r>
    </w:p>
    <w:p w14:paraId="7C14991F">
      <w:pPr>
        <w:pStyle w:val="9"/>
        <w:spacing w:before="166"/>
        <w:ind w:left="0"/>
        <w:jc w:val="left"/>
        <w:rPr>
          <w:rFonts w:hint="eastAsia"/>
          <w:sz w:val="30"/>
          <w:szCs w:val="30"/>
        </w:rPr>
      </w:pPr>
      <w:r>
        <w:rPr>
          <w:rFonts w:hint="eastAsia"/>
          <w:sz w:val="30"/>
          <w:szCs w:val="30"/>
        </w:rPr>
        <w:t>基督将按公义审判世界。</w:t>
      </w:r>
    </w:p>
    <w:p w14:paraId="7374C924">
      <w:pPr>
        <w:pStyle w:val="9"/>
        <w:spacing w:before="166"/>
        <w:ind w:left="0"/>
        <w:jc w:val="left"/>
        <w:rPr>
          <w:rFonts w:hint="eastAsia"/>
          <w:sz w:val="30"/>
          <w:szCs w:val="30"/>
        </w:rPr>
      </w:pPr>
    </w:p>
    <w:p w14:paraId="1B9CEB06">
      <w:pPr>
        <w:pStyle w:val="9"/>
        <w:spacing w:before="166"/>
        <w:ind w:left="0"/>
        <w:jc w:val="left"/>
        <w:rPr>
          <w:rFonts w:hint="eastAsia"/>
          <w:sz w:val="30"/>
          <w:szCs w:val="30"/>
        </w:rPr>
      </w:pPr>
      <w:r>
        <w:rPr>
          <w:rFonts w:hint="eastAsia"/>
          <w:sz w:val="30"/>
          <w:szCs w:val="30"/>
        </w:rPr>
        <w:t>Christ will destroy the present earth and its works with fire.</w:t>
      </w:r>
    </w:p>
    <w:p w14:paraId="3B7F76EF">
      <w:pPr>
        <w:pStyle w:val="9"/>
        <w:spacing w:before="166"/>
        <w:ind w:left="0"/>
        <w:jc w:val="left"/>
        <w:rPr>
          <w:rFonts w:hint="eastAsia"/>
          <w:sz w:val="30"/>
          <w:szCs w:val="30"/>
        </w:rPr>
      </w:pPr>
      <w:r>
        <w:rPr>
          <w:rFonts w:hint="eastAsia"/>
          <w:sz w:val="30"/>
          <w:szCs w:val="30"/>
        </w:rPr>
        <w:t>基督将用火毁灭现今的地和其上的工程。</w:t>
      </w:r>
    </w:p>
    <w:p w14:paraId="6D86D230">
      <w:pPr>
        <w:pStyle w:val="9"/>
        <w:spacing w:before="166"/>
        <w:ind w:left="0"/>
        <w:jc w:val="left"/>
        <w:rPr>
          <w:rFonts w:hint="eastAsia"/>
          <w:sz w:val="30"/>
          <w:szCs w:val="30"/>
        </w:rPr>
      </w:pPr>
    </w:p>
    <w:p w14:paraId="31ED6353">
      <w:pPr>
        <w:pStyle w:val="9"/>
        <w:spacing w:before="166"/>
        <w:ind w:left="0"/>
        <w:jc w:val="left"/>
        <w:rPr>
          <w:rFonts w:hint="eastAsia"/>
          <w:sz w:val="30"/>
          <w:szCs w:val="30"/>
        </w:rPr>
      </w:pPr>
      <w:r>
        <w:rPr>
          <w:rFonts w:hint="eastAsia"/>
          <w:sz w:val="30"/>
          <w:szCs w:val="30"/>
        </w:rPr>
        <w:t>Christ will create new heavens and a new earth, the eternal home of the redeemed.</w:t>
      </w:r>
    </w:p>
    <w:p w14:paraId="31D7B973">
      <w:pPr>
        <w:pStyle w:val="9"/>
        <w:spacing w:before="166"/>
        <w:ind w:left="0"/>
        <w:jc w:val="left"/>
        <w:rPr>
          <w:rFonts w:hint="eastAsia"/>
          <w:sz w:val="30"/>
          <w:szCs w:val="30"/>
        </w:rPr>
      </w:pPr>
      <w:r>
        <w:rPr>
          <w:rFonts w:hint="eastAsia"/>
          <w:sz w:val="30"/>
          <w:szCs w:val="30"/>
        </w:rPr>
        <w:t>基督将创造新天新地，即被赎之民永恒的家。</w:t>
      </w:r>
    </w:p>
    <w:p w14:paraId="28D3A6FC">
      <w:pPr>
        <w:pStyle w:val="9"/>
        <w:spacing w:before="166"/>
        <w:ind w:left="0"/>
        <w:jc w:val="left"/>
        <w:rPr>
          <w:rFonts w:hint="eastAsia"/>
          <w:sz w:val="30"/>
          <w:szCs w:val="30"/>
        </w:rPr>
      </w:pPr>
    </w:p>
    <w:p w14:paraId="33A7715C">
      <w:pPr>
        <w:pStyle w:val="9"/>
        <w:spacing w:before="166"/>
        <w:ind w:left="0"/>
        <w:jc w:val="left"/>
        <w:rPr>
          <w:rFonts w:hint="eastAsia"/>
          <w:sz w:val="30"/>
          <w:szCs w:val="30"/>
        </w:rPr>
      </w:pPr>
      <w:r>
        <w:rPr>
          <w:rFonts w:hint="eastAsia"/>
          <w:sz w:val="30"/>
          <w:szCs w:val="30"/>
        </w:rPr>
        <w:t>Through Christ, God will accomplish “all things” pertaining to the Consummation, thus securing his maximum possible glory and honor (John 5:20, 1 Cor. 8:6, Col. 1:16).</w:t>
      </w:r>
    </w:p>
    <w:p w14:paraId="580F16D0">
      <w:pPr>
        <w:pStyle w:val="9"/>
        <w:spacing w:before="166"/>
        <w:ind w:left="0"/>
        <w:jc w:val="left"/>
        <w:rPr>
          <w:rFonts w:hint="eastAsia"/>
          <w:sz w:val="30"/>
          <w:szCs w:val="30"/>
        </w:rPr>
      </w:pPr>
      <w:r>
        <w:rPr>
          <w:rFonts w:hint="eastAsia"/>
          <w:sz w:val="30"/>
          <w:szCs w:val="30"/>
        </w:rPr>
        <w:t>通过基督，上帝将成就与最终成全有关的“万事”，从而确保祂最大可能的荣耀和尊贵（约翰福音5:20，哥林多前书8:6，歌罗西书1:16）。</w:t>
      </w:r>
    </w:p>
    <w:p w14:paraId="23BE8C91">
      <w:pPr>
        <w:pStyle w:val="9"/>
        <w:spacing w:before="166"/>
        <w:ind w:left="0"/>
        <w:jc w:val="left"/>
        <w:rPr>
          <w:rFonts w:hint="eastAsia"/>
          <w:sz w:val="30"/>
          <w:szCs w:val="30"/>
        </w:rPr>
      </w:pPr>
    </w:p>
    <w:p w14:paraId="73A7B386">
      <w:pPr>
        <w:pStyle w:val="9"/>
        <w:spacing w:before="166"/>
        <w:ind w:left="0"/>
        <w:jc w:val="left"/>
        <w:rPr>
          <w:rFonts w:hint="eastAsia"/>
          <w:sz w:val="30"/>
          <w:szCs w:val="30"/>
        </w:rPr>
      </w:pPr>
      <w:r>
        <w:rPr>
          <w:rFonts w:hint="eastAsia"/>
          <w:sz w:val="30"/>
          <w:szCs w:val="30"/>
        </w:rPr>
        <w:t>Secondly, God has centered the Consummation around Christ temporally.</w:t>
      </w:r>
    </w:p>
    <w:p w14:paraId="26054CD0">
      <w:pPr>
        <w:pStyle w:val="9"/>
        <w:spacing w:before="166"/>
        <w:ind w:left="0"/>
        <w:jc w:val="left"/>
        <w:rPr>
          <w:rFonts w:hint="eastAsia"/>
          <w:sz w:val="30"/>
          <w:szCs w:val="30"/>
        </w:rPr>
      </w:pPr>
      <w:r>
        <w:rPr>
          <w:rFonts w:hint="eastAsia"/>
          <w:sz w:val="30"/>
          <w:szCs w:val="30"/>
        </w:rPr>
        <w:t>其次，上帝已在时间上以基督为中心构建了最终的成全。</w:t>
      </w:r>
    </w:p>
    <w:p w14:paraId="27AA5204">
      <w:pPr>
        <w:pStyle w:val="9"/>
        <w:spacing w:before="166"/>
        <w:ind w:left="0"/>
        <w:jc w:val="left"/>
        <w:rPr>
          <w:rFonts w:hint="eastAsia"/>
          <w:sz w:val="30"/>
          <w:szCs w:val="30"/>
        </w:rPr>
      </w:pPr>
    </w:p>
    <w:p w14:paraId="39461D89">
      <w:pPr>
        <w:pStyle w:val="9"/>
        <w:spacing w:before="166"/>
        <w:ind w:left="0"/>
        <w:jc w:val="left"/>
        <w:rPr>
          <w:rFonts w:hint="eastAsia"/>
          <w:sz w:val="30"/>
          <w:szCs w:val="30"/>
        </w:rPr>
      </w:pPr>
      <w:r>
        <w:rPr>
          <w:rFonts w:hint="eastAsia"/>
          <w:sz w:val="30"/>
          <w:szCs w:val="30"/>
        </w:rPr>
        <w:t>The Parousia is, as it were, the first domino to fall, after which all the others fall in very rapid succession.</w:t>
      </w:r>
    </w:p>
    <w:p w14:paraId="2C6ED272">
      <w:pPr>
        <w:pStyle w:val="9"/>
        <w:spacing w:before="166"/>
        <w:ind w:left="0"/>
        <w:jc w:val="left"/>
        <w:rPr>
          <w:rFonts w:hint="eastAsia"/>
          <w:sz w:val="30"/>
          <w:szCs w:val="30"/>
        </w:rPr>
      </w:pPr>
      <w:r>
        <w:rPr>
          <w:rFonts w:hint="eastAsia"/>
          <w:sz w:val="30"/>
          <w:szCs w:val="30"/>
        </w:rPr>
        <w:t>主临（Parousia）可以说是第一块倒下的多米诺骨牌，之后所有其他的都以非常快的速度相继倒下。</w:t>
      </w:r>
    </w:p>
    <w:p w14:paraId="18E36961">
      <w:pPr>
        <w:pStyle w:val="9"/>
        <w:spacing w:before="166"/>
        <w:ind w:left="0"/>
        <w:jc w:val="left"/>
        <w:rPr>
          <w:rFonts w:hint="eastAsia"/>
          <w:sz w:val="30"/>
          <w:szCs w:val="30"/>
        </w:rPr>
      </w:pPr>
    </w:p>
    <w:p w14:paraId="5D92A66D">
      <w:pPr>
        <w:pStyle w:val="9"/>
        <w:spacing w:before="166"/>
        <w:ind w:left="0"/>
        <w:jc w:val="left"/>
        <w:rPr>
          <w:rFonts w:hint="eastAsia"/>
          <w:sz w:val="30"/>
          <w:szCs w:val="30"/>
        </w:rPr>
      </w:pPr>
      <w:r>
        <w:rPr>
          <w:rFonts w:hint="eastAsia"/>
          <w:sz w:val="30"/>
          <w:szCs w:val="30"/>
        </w:rPr>
        <w:t>This too fulfills the Father’s purpose and pleasure: By concentrating all the great eschatological acts and events around the Parousia, the glory of the One who accomplishes them will shine forth with incomparable brilliance.</w:t>
      </w:r>
    </w:p>
    <w:p w14:paraId="57E15F95">
      <w:pPr>
        <w:pStyle w:val="9"/>
        <w:spacing w:before="166"/>
        <w:ind w:left="0"/>
        <w:jc w:val="left"/>
        <w:rPr>
          <w:rFonts w:hint="eastAsia"/>
          <w:sz w:val="30"/>
          <w:szCs w:val="30"/>
        </w:rPr>
      </w:pPr>
      <w:r>
        <w:rPr>
          <w:rFonts w:hint="eastAsia"/>
          <w:sz w:val="30"/>
          <w:szCs w:val="30"/>
        </w:rPr>
        <w:t>这也实现了父的目的和喜悦：通过将所有重大的末世作为和事件都集中在主临（Parousia）周围，那成就它们之主的荣耀将以无与伦比的光辉闪耀。</w:t>
      </w:r>
    </w:p>
    <w:p w14:paraId="13724A34">
      <w:pPr>
        <w:pStyle w:val="9"/>
        <w:spacing w:before="166"/>
        <w:ind w:left="0"/>
        <w:jc w:val="left"/>
        <w:rPr>
          <w:rFonts w:hint="eastAsia"/>
          <w:sz w:val="30"/>
          <w:szCs w:val="30"/>
        </w:rPr>
      </w:pPr>
    </w:p>
    <w:p w14:paraId="03892C16">
      <w:pPr>
        <w:pStyle w:val="9"/>
        <w:spacing w:before="166"/>
        <w:ind w:left="0"/>
        <w:jc w:val="left"/>
        <w:rPr>
          <w:rFonts w:hint="eastAsia"/>
          <w:sz w:val="30"/>
          <w:szCs w:val="30"/>
        </w:rPr>
      </w:pPr>
      <w:r>
        <w:rPr>
          <w:rFonts w:hint="eastAsia"/>
          <w:sz w:val="30"/>
          <w:szCs w:val="30"/>
        </w:rPr>
        <w:t>In passing, let us note again that the temporal Christ-centeredness of the Consummation exposes one of great defects of Dispensationalism and historic hremillennialism: their tendency to fracture and fragment the Consummation; to spread it out over years or even centuries, with the result that the glory of Christ is correspondingly diminished.</w:t>
      </w:r>
    </w:p>
    <w:p w14:paraId="7265ECA0">
      <w:pPr>
        <w:pStyle w:val="9"/>
        <w:spacing w:before="166"/>
        <w:ind w:left="0"/>
        <w:jc w:val="left"/>
        <w:rPr>
          <w:rFonts w:hint="eastAsia"/>
          <w:sz w:val="30"/>
          <w:szCs w:val="30"/>
        </w:rPr>
      </w:pPr>
      <w:r>
        <w:rPr>
          <w:rFonts w:hint="eastAsia"/>
          <w:sz w:val="30"/>
          <w:szCs w:val="30"/>
        </w:rPr>
        <w:t>顺便提一下，让我们再次注意，最终成全在时间上的以基督为中心，暴露了时代论和历史性前千禧年论的一大缺陷：他们倾向于分裂和肢解最终的成全；将其分散在几年甚至几百年里，结果是基督的荣耀相应地被减损。</w:t>
      </w:r>
    </w:p>
    <w:p w14:paraId="187B8F90">
      <w:pPr>
        <w:pStyle w:val="9"/>
        <w:spacing w:before="166"/>
        <w:ind w:left="0"/>
        <w:jc w:val="left"/>
        <w:rPr>
          <w:rFonts w:hint="eastAsia"/>
          <w:sz w:val="30"/>
          <w:szCs w:val="30"/>
        </w:rPr>
      </w:pPr>
    </w:p>
    <w:p w14:paraId="59B7F6AB">
      <w:pPr>
        <w:pStyle w:val="9"/>
        <w:spacing w:before="166"/>
        <w:ind w:left="0"/>
        <w:jc w:val="left"/>
        <w:rPr>
          <w:rFonts w:hint="eastAsia"/>
          <w:sz w:val="30"/>
          <w:szCs w:val="30"/>
        </w:rPr>
      </w:pPr>
      <w:r>
        <w:rPr>
          <w:rFonts w:hint="eastAsia"/>
          <w:sz w:val="30"/>
          <w:szCs w:val="30"/>
        </w:rPr>
        <w:t>Even if the Bible did not clearly and repeatedly teach a temporally Christ-centered Consummation, careful students of the NT would expect the Father to structure it that way, seeing that such a plan would manifestly advance the purpose nearest to his heart: the greater glory of his Son (Mt. 3:17, 17:5, John 5:23).</w:t>
      </w:r>
    </w:p>
    <w:p w14:paraId="0EF6705F">
      <w:pPr>
        <w:pStyle w:val="9"/>
        <w:spacing w:before="166"/>
        <w:ind w:left="0"/>
        <w:jc w:val="left"/>
        <w:rPr>
          <w:rFonts w:hint="eastAsia"/>
          <w:sz w:val="30"/>
          <w:szCs w:val="30"/>
        </w:rPr>
      </w:pPr>
      <w:r>
        <w:rPr>
          <w:rFonts w:hint="eastAsia"/>
          <w:sz w:val="30"/>
          <w:szCs w:val="30"/>
        </w:rPr>
        <w:t>即使圣经没有清楚并一再地教导一个在时间上以基督为中心的最终成全，新约的仔细研读者也会期望父如此构建它，因为这样一个计划将明显地推进祂心中最亲近的目的：祂儿子的更大荣耀（太3:17, 17:5，约5:23）。</w:t>
      </w:r>
    </w:p>
    <w:p w14:paraId="7CF9DF1C">
      <w:pPr>
        <w:pStyle w:val="9"/>
        <w:spacing w:before="166"/>
        <w:ind w:left="0"/>
        <w:jc w:val="left"/>
        <w:rPr>
          <w:rFonts w:hint="eastAsia"/>
          <w:sz w:val="30"/>
          <w:szCs w:val="30"/>
        </w:rPr>
      </w:pPr>
    </w:p>
    <w:p w14:paraId="3A6FD362">
      <w:pPr>
        <w:pStyle w:val="9"/>
        <w:spacing w:before="166"/>
        <w:ind w:left="0"/>
        <w:jc w:val="left"/>
        <w:rPr>
          <w:rFonts w:hint="eastAsia"/>
          <w:sz w:val="30"/>
          <w:szCs w:val="30"/>
        </w:rPr>
      </w:pPr>
      <w:r>
        <w:rPr>
          <w:rFonts w:hint="eastAsia"/>
          <w:sz w:val="30"/>
          <w:szCs w:val="30"/>
        </w:rPr>
        <w:t>Finally, God has centered the Consummation around Christ spatially.</w:t>
      </w:r>
    </w:p>
    <w:p w14:paraId="4DA9ACD8">
      <w:pPr>
        <w:pStyle w:val="9"/>
        <w:spacing w:before="166"/>
        <w:ind w:left="0"/>
        <w:jc w:val="left"/>
        <w:rPr>
          <w:rFonts w:hint="eastAsia"/>
          <w:sz w:val="30"/>
          <w:szCs w:val="30"/>
        </w:rPr>
      </w:pPr>
      <w:r>
        <w:rPr>
          <w:rFonts w:hint="eastAsia"/>
          <w:sz w:val="30"/>
          <w:szCs w:val="30"/>
        </w:rPr>
        <w:t>最后，上帝已在空间上以基督为中心构建了最终的成全。</w:t>
      </w:r>
    </w:p>
    <w:p w14:paraId="4EA2C11A">
      <w:pPr>
        <w:pStyle w:val="9"/>
        <w:spacing w:before="166"/>
        <w:ind w:left="0"/>
        <w:jc w:val="left"/>
        <w:rPr>
          <w:rFonts w:hint="eastAsia"/>
          <w:sz w:val="30"/>
          <w:szCs w:val="30"/>
        </w:rPr>
      </w:pPr>
    </w:p>
    <w:p w14:paraId="6E9E8F91">
      <w:pPr>
        <w:pStyle w:val="9"/>
        <w:spacing w:before="166"/>
        <w:ind w:left="0"/>
        <w:jc w:val="left"/>
        <w:rPr>
          <w:rFonts w:hint="eastAsia"/>
          <w:sz w:val="30"/>
          <w:szCs w:val="30"/>
        </w:rPr>
      </w:pPr>
      <w:r>
        <w:rPr>
          <w:rFonts w:hint="eastAsia"/>
          <w:sz w:val="30"/>
          <w:szCs w:val="30"/>
        </w:rPr>
        <w:t>Modern cosmological views notwithstanding, the Bible teaches that the Earth is the center of the universe.</w:t>
      </w:r>
    </w:p>
    <w:p w14:paraId="1C89F7FD">
      <w:pPr>
        <w:pStyle w:val="9"/>
        <w:spacing w:before="166"/>
        <w:ind w:left="0"/>
        <w:jc w:val="left"/>
        <w:rPr>
          <w:rFonts w:hint="eastAsia"/>
          <w:sz w:val="30"/>
          <w:szCs w:val="30"/>
        </w:rPr>
      </w:pPr>
      <w:r>
        <w:rPr>
          <w:rFonts w:hint="eastAsia"/>
          <w:sz w:val="30"/>
          <w:szCs w:val="30"/>
        </w:rPr>
        <w:t>尽管有现代的宇宙观，圣经却教导说地球是宇宙的中心。</w:t>
      </w:r>
    </w:p>
    <w:p w14:paraId="0A2A6EE0">
      <w:pPr>
        <w:pStyle w:val="9"/>
        <w:spacing w:before="166"/>
        <w:ind w:left="0"/>
        <w:jc w:val="left"/>
        <w:rPr>
          <w:rFonts w:hint="eastAsia"/>
          <w:sz w:val="30"/>
          <w:szCs w:val="30"/>
        </w:rPr>
      </w:pPr>
    </w:p>
    <w:p w14:paraId="49AC7229">
      <w:pPr>
        <w:pStyle w:val="9"/>
        <w:spacing w:before="166"/>
        <w:ind w:left="0"/>
        <w:jc w:val="left"/>
        <w:rPr>
          <w:rFonts w:hint="eastAsia"/>
          <w:sz w:val="30"/>
          <w:szCs w:val="30"/>
        </w:rPr>
      </w:pPr>
      <w:r>
        <w:rPr>
          <w:rFonts w:hint="eastAsia"/>
          <w:sz w:val="30"/>
          <w:szCs w:val="30"/>
        </w:rPr>
        <w:t>There is good reason for this: It is the apple of God’s eye, the home of his most cherished creation (man), and the stage upon which the great drama of cosmic judgment and redemption is played out.</w:t>
      </w:r>
    </w:p>
    <w:p w14:paraId="080D4B3C">
      <w:pPr>
        <w:pStyle w:val="9"/>
        <w:spacing w:before="166"/>
        <w:ind w:left="0"/>
        <w:jc w:val="left"/>
        <w:rPr>
          <w:rFonts w:hint="eastAsia"/>
          <w:sz w:val="30"/>
          <w:szCs w:val="30"/>
        </w:rPr>
      </w:pPr>
      <w:r>
        <w:rPr>
          <w:rFonts w:hint="eastAsia"/>
          <w:sz w:val="30"/>
          <w:szCs w:val="30"/>
        </w:rPr>
        <w:t>这有充分的理由：它是上帝眼中的瞳人，是祂最珍爱的创造物（人）的家，也是宇宙审判和救赎伟大戏剧上演的舞台。</w:t>
      </w:r>
    </w:p>
    <w:p w14:paraId="21F73847">
      <w:pPr>
        <w:pStyle w:val="9"/>
        <w:spacing w:before="166"/>
        <w:ind w:left="0"/>
        <w:jc w:val="left"/>
        <w:rPr>
          <w:rFonts w:hint="eastAsia"/>
          <w:sz w:val="30"/>
          <w:szCs w:val="30"/>
        </w:rPr>
      </w:pPr>
    </w:p>
    <w:p w14:paraId="5EE5E10C">
      <w:pPr>
        <w:pStyle w:val="9"/>
        <w:spacing w:before="166"/>
        <w:ind w:left="0"/>
        <w:jc w:val="left"/>
        <w:rPr>
          <w:rFonts w:hint="eastAsia"/>
          <w:sz w:val="30"/>
          <w:szCs w:val="30"/>
        </w:rPr>
      </w:pPr>
      <w:r>
        <w:rPr>
          <w:rFonts w:hint="eastAsia"/>
          <w:sz w:val="30"/>
          <w:szCs w:val="30"/>
        </w:rPr>
        <w:t>If, then, the Earth lies at the center of God’s interest and affection, it only stands to reason that it should lie at the center of his cosmos as well.</w:t>
      </w:r>
    </w:p>
    <w:p w14:paraId="4DA45946">
      <w:pPr>
        <w:pStyle w:val="9"/>
        <w:spacing w:before="166"/>
        <w:ind w:left="0"/>
        <w:jc w:val="left"/>
        <w:rPr>
          <w:rFonts w:hint="eastAsia"/>
          <w:sz w:val="30"/>
          <w:szCs w:val="30"/>
        </w:rPr>
      </w:pPr>
      <w:r>
        <w:rPr>
          <w:rFonts w:hint="eastAsia"/>
          <w:sz w:val="30"/>
          <w:szCs w:val="30"/>
        </w:rPr>
        <w:t>那么，如果地球位于上帝兴趣和情感的中心，那么它也应该位于祂宇宙的中心，这才合乎情理。</w:t>
      </w:r>
    </w:p>
    <w:p w14:paraId="5D20524E">
      <w:pPr>
        <w:pStyle w:val="9"/>
        <w:spacing w:before="166"/>
        <w:ind w:left="0"/>
        <w:jc w:val="left"/>
        <w:rPr>
          <w:rFonts w:hint="eastAsia"/>
          <w:sz w:val="30"/>
          <w:szCs w:val="30"/>
        </w:rPr>
      </w:pPr>
    </w:p>
    <w:p w14:paraId="206AB086">
      <w:pPr>
        <w:pStyle w:val="9"/>
        <w:spacing w:before="166"/>
        <w:ind w:left="0"/>
        <w:jc w:val="left"/>
        <w:rPr>
          <w:rFonts w:hint="eastAsia"/>
          <w:sz w:val="30"/>
          <w:szCs w:val="30"/>
        </w:rPr>
      </w:pPr>
      <w:r>
        <w:rPr>
          <w:rFonts w:hint="eastAsia"/>
          <w:sz w:val="30"/>
          <w:szCs w:val="30"/>
        </w:rPr>
        <w:t>However, at the Parousia, God will effect a dramatic cosmological change.</w:t>
      </w:r>
    </w:p>
    <w:p w14:paraId="4500C422">
      <w:pPr>
        <w:pStyle w:val="9"/>
        <w:spacing w:before="166"/>
        <w:ind w:left="0"/>
        <w:jc w:val="left"/>
        <w:rPr>
          <w:rFonts w:hint="eastAsia"/>
          <w:sz w:val="30"/>
          <w:szCs w:val="30"/>
        </w:rPr>
      </w:pPr>
      <w:r>
        <w:rPr>
          <w:rFonts w:hint="eastAsia"/>
          <w:sz w:val="30"/>
          <w:szCs w:val="30"/>
        </w:rPr>
        <w:t>然而，在主临（Parousia）时，上帝将实现一个戏剧性的宇宙学变化。</w:t>
      </w:r>
    </w:p>
    <w:p w14:paraId="4910D130">
      <w:pPr>
        <w:pStyle w:val="9"/>
        <w:spacing w:before="166"/>
        <w:ind w:left="0"/>
        <w:jc w:val="left"/>
        <w:rPr>
          <w:rFonts w:hint="eastAsia"/>
          <w:sz w:val="30"/>
          <w:szCs w:val="30"/>
        </w:rPr>
      </w:pPr>
    </w:p>
    <w:p w14:paraId="40DA3A5C">
      <w:pPr>
        <w:pStyle w:val="9"/>
        <w:spacing w:before="166"/>
        <w:ind w:left="0"/>
        <w:jc w:val="left"/>
        <w:rPr>
          <w:rFonts w:hint="eastAsia"/>
          <w:sz w:val="30"/>
          <w:szCs w:val="30"/>
        </w:rPr>
      </w:pPr>
      <w:r>
        <w:rPr>
          <w:rFonts w:hint="eastAsia"/>
          <w:sz w:val="30"/>
          <w:szCs w:val="30"/>
        </w:rPr>
        <w:t>In that Day, Christ will not only destroy the earth, but also the sun, moon, and stars that formerly served the earth’s inhabitants.</w:t>
      </w:r>
    </w:p>
    <w:p w14:paraId="633353D3">
      <w:pPr>
        <w:pStyle w:val="9"/>
        <w:spacing w:before="166"/>
        <w:ind w:left="0"/>
        <w:jc w:val="left"/>
        <w:rPr>
          <w:rFonts w:hint="eastAsia"/>
          <w:sz w:val="30"/>
          <w:szCs w:val="30"/>
        </w:rPr>
      </w:pPr>
      <w:r>
        <w:rPr>
          <w:rFonts w:hint="eastAsia"/>
          <w:sz w:val="30"/>
          <w:szCs w:val="30"/>
        </w:rPr>
        <w:t>在那日，基督不仅要毁灭地，也要毁灭先前服事地上居民的日、月、星辰。</w:t>
      </w:r>
    </w:p>
    <w:p w14:paraId="5068E426">
      <w:pPr>
        <w:pStyle w:val="9"/>
        <w:spacing w:before="166"/>
        <w:ind w:left="0"/>
        <w:jc w:val="left"/>
        <w:rPr>
          <w:rFonts w:hint="eastAsia"/>
          <w:sz w:val="30"/>
          <w:szCs w:val="30"/>
        </w:rPr>
      </w:pPr>
    </w:p>
    <w:p w14:paraId="491389D6">
      <w:pPr>
        <w:pStyle w:val="9"/>
        <w:spacing w:before="166"/>
        <w:ind w:left="0"/>
        <w:jc w:val="left"/>
        <w:rPr>
          <w:rFonts w:hint="eastAsia"/>
          <w:sz w:val="30"/>
          <w:szCs w:val="30"/>
        </w:rPr>
      </w:pPr>
      <w:r>
        <w:rPr>
          <w:rFonts w:hint="eastAsia"/>
          <w:sz w:val="30"/>
          <w:szCs w:val="30"/>
        </w:rPr>
        <w:t>Where, then, will the cosmic center be?</w:t>
      </w:r>
    </w:p>
    <w:p w14:paraId="2BFEB4EB">
      <w:pPr>
        <w:pStyle w:val="9"/>
        <w:spacing w:before="166"/>
        <w:ind w:left="0"/>
        <w:jc w:val="left"/>
        <w:rPr>
          <w:rFonts w:hint="eastAsia"/>
          <w:sz w:val="30"/>
          <w:szCs w:val="30"/>
        </w:rPr>
      </w:pPr>
      <w:r>
        <w:rPr>
          <w:rFonts w:hint="eastAsia"/>
          <w:sz w:val="30"/>
          <w:szCs w:val="30"/>
        </w:rPr>
        <w:t>那么，宇宙的中心将在哪里？</w:t>
      </w:r>
    </w:p>
    <w:p w14:paraId="0B165512">
      <w:pPr>
        <w:pStyle w:val="9"/>
        <w:spacing w:before="166"/>
        <w:ind w:left="0"/>
        <w:jc w:val="left"/>
        <w:rPr>
          <w:rFonts w:hint="eastAsia"/>
          <w:sz w:val="30"/>
          <w:szCs w:val="30"/>
        </w:rPr>
      </w:pPr>
    </w:p>
    <w:p w14:paraId="2F759195">
      <w:pPr>
        <w:pStyle w:val="9"/>
        <w:spacing w:before="166"/>
        <w:ind w:left="0"/>
        <w:jc w:val="left"/>
        <w:rPr>
          <w:rFonts w:hint="eastAsia"/>
          <w:sz w:val="30"/>
          <w:szCs w:val="30"/>
        </w:rPr>
      </w:pPr>
      <w:r>
        <w:rPr>
          <w:rFonts w:hint="eastAsia"/>
          <w:sz w:val="30"/>
          <w:szCs w:val="30"/>
        </w:rPr>
        <w:t>The answer is as breathtaking as it is obvious: Christ himself will be the center, seated upon his throne amidst a vast sea of men and angels, all gathered before him for the Judgment.</w:t>
      </w:r>
    </w:p>
    <w:p w14:paraId="64489A87">
      <w:pPr>
        <w:pStyle w:val="9"/>
        <w:spacing w:before="166"/>
        <w:ind w:left="0"/>
        <w:jc w:val="left"/>
        <w:rPr>
          <w:rFonts w:hint="eastAsia"/>
          <w:sz w:val="30"/>
          <w:szCs w:val="30"/>
        </w:rPr>
      </w:pPr>
      <w:r>
        <w:rPr>
          <w:rFonts w:hint="eastAsia"/>
          <w:sz w:val="30"/>
          <w:szCs w:val="30"/>
        </w:rPr>
        <w:t>答案既令人惊叹又显而易见：基督祂自己将成为中心，坐在祂的宝座上，置身于一片广阔的人与天使的海洋中，所有人都聚集在祂面前接受审判。</w:t>
      </w:r>
    </w:p>
    <w:p w14:paraId="6DB153C5">
      <w:pPr>
        <w:pStyle w:val="9"/>
        <w:spacing w:before="166"/>
        <w:ind w:left="0"/>
        <w:jc w:val="left"/>
        <w:rPr>
          <w:rFonts w:hint="eastAsia"/>
          <w:sz w:val="30"/>
          <w:szCs w:val="30"/>
        </w:rPr>
      </w:pPr>
    </w:p>
    <w:p w14:paraId="38EE360B">
      <w:pPr>
        <w:pStyle w:val="9"/>
        <w:spacing w:before="166"/>
        <w:ind w:left="0"/>
        <w:jc w:val="left"/>
        <w:rPr>
          <w:rFonts w:hint="eastAsia"/>
          <w:sz w:val="30"/>
          <w:szCs w:val="30"/>
        </w:rPr>
      </w:pPr>
      <w:r>
        <w:rPr>
          <w:rFonts w:hint="eastAsia"/>
          <w:sz w:val="30"/>
          <w:szCs w:val="30"/>
        </w:rPr>
        <w:t>In other words, at the Consummation Christ the Judge will become the absolute center of the universe, just as even now he is the absolute center of the Father’s heart, purpose, and plan.1</w:t>
      </w:r>
    </w:p>
    <w:p w14:paraId="13A43A21">
      <w:pPr>
        <w:pStyle w:val="9"/>
        <w:spacing w:before="166"/>
        <w:ind w:left="0"/>
        <w:jc w:val="left"/>
        <w:rPr>
          <w:rFonts w:hint="eastAsia"/>
          <w:sz w:val="30"/>
          <w:szCs w:val="30"/>
        </w:rPr>
      </w:pPr>
      <w:r>
        <w:rPr>
          <w:rFonts w:hint="eastAsia"/>
          <w:sz w:val="30"/>
          <w:szCs w:val="30"/>
        </w:rPr>
        <w:t>换句话说，在最终的成全时，审判主基督将成为宇宙的绝对中心，正如祂现在就是父的心意、旨意和计划的绝对中心一样。1</w:t>
      </w:r>
    </w:p>
    <w:p w14:paraId="38A7C03E">
      <w:pPr>
        <w:pStyle w:val="9"/>
        <w:spacing w:before="166"/>
        <w:ind w:left="0"/>
        <w:jc w:val="left"/>
        <w:rPr>
          <w:rFonts w:hint="eastAsia"/>
          <w:sz w:val="30"/>
          <w:szCs w:val="30"/>
        </w:rPr>
      </w:pPr>
    </w:p>
    <w:p w14:paraId="478CD1FF">
      <w:pPr>
        <w:pStyle w:val="9"/>
        <w:spacing w:before="166"/>
        <w:ind w:left="0"/>
        <w:jc w:val="left"/>
        <w:rPr>
          <w:rFonts w:hint="eastAsia"/>
          <w:sz w:val="30"/>
          <w:szCs w:val="30"/>
        </w:rPr>
      </w:pPr>
      <w:r>
        <w:rPr>
          <w:rFonts w:hint="eastAsia"/>
          <w:sz w:val="30"/>
          <w:szCs w:val="30"/>
        </w:rPr>
        <w:t>Later in our study I will cite a number of biblical texts in support of these extraordinary claims.</w:t>
      </w:r>
    </w:p>
    <w:p w14:paraId="20AF3A0F">
      <w:pPr>
        <w:pStyle w:val="9"/>
        <w:spacing w:before="166"/>
        <w:ind w:left="0"/>
        <w:jc w:val="left"/>
        <w:rPr>
          <w:rFonts w:hint="eastAsia"/>
          <w:sz w:val="30"/>
          <w:szCs w:val="30"/>
        </w:rPr>
      </w:pPr>
      <w:r>
        <w:rPr>
          <w:rFonts w:hint="eastAsia"/>
          <w:sz w:val="30"/>
          <w:szCs w:val="30"/>
        </w:rPr>
        <w:t>在我们的研究后期，我将引用一些圣经经文来支持这些非凡的主张。</w:t>
      </w:r>
    </w:p>
    <w:p w14:paraId="5B166C73">
      <w:pPr>
        <w:pStyle w:val="9"/>
        <w:spacing w:before="166"/>
        <w:ind w:left="0"/>
        <w:jc w:val="left"/>
        <w:rPr>
          <w:rFonts w:hint="eastAsia"/>
          <w:sz w:val="30"/>
          <w:szCs w:val="30"/>
        </w:rPr>
      </w:pPr>
    </w:p>
    <w:p w14:paraId="6ECA2698">
      <w:pPr>
        <w:pStyle w:val="9"/>
        <w:spacing w:before="166"/>
        <w:ind w:left="0"/>
        <w:jc w:val="left"/>
        <w:rPr>
          <w:rFonts w:hint="eastAsia"/>
          <w:sz w:val="30"/>
          <w:szCs w:val="30"/>
        </w:rPr>
      </w:pPr>
      <w:r>
        <w:rPr>
          <w:rFonts w:hint="eastAsia"/>
          <w:sz w:val="30"/>
          <w:szCs w:val="30"/>
        </w:rPr>
        <w:t>Possibly, my exegesis will not persuade all.</w:t>
      </w:r>
    </w:p>
    <w:p w14:paraId="7EF4EDE1">
      <w:pPr>
        <w:pStyle w:val="9"/>
        <w:spacing w:before="166"/>
        <w:ind w:left="0"/>
        <w:jc w:val="left"/>
        <w:rPr>
          <w:rFonts w:hint="eastAsia"/>
          <w:sz w:val="30"/>
          <w:szCs w:val="30"/>
        </w:rPr>
      </w:pPr>
      <w:r>
        <w:rPr>
          <w:rFonts w:hint="eastAsia"/>
          <w:sz w:val="30"/>
          <w:szCs w:val="30"/>
        </w:rPr>
        <w:t>可能，我的解经不会说服所有人。</w:t>
      </w:r>
    </w:p>
    <w:p w14:paraId="210DEDE5">
      <w:pPr>
        <w:pStyle w:val="9"/>
        <w:spacing w:before="166"/>
        <w:ind w:left="0"/>
        <w:jc w:val="left"/>
        <w:rPr>
          <w:rFonts w:hint="eastAsia"/>
          <w:sz w:val="30"/>
          <w:szCs w:val="30"/>
        </w:rPr>
      </w:pPr>
    </w:p>
    <w:p w14:paraId="6D3B620B">
      <w:pPr>
        <w:pStyle w:val="9"/>
        <w:spacing w:before="166"/>
        <w:ind w:left="0"/>
        <w:jc w:val="left"/>
        <w:rPr>
          <w:rFonts w:hint="eastAsia"/>
          <w:sz w:val="30"/>
          <w:szCs w:val="30"/>
        </w:rPr>
      </w:pPr>
      <w:r>
        <w:rPr>
          <w:rFonts w:hint="eastAsia"/>
          <w:sz w:val="30"/>
          <w:szCs w:val="30"/>
        </w:rPr>
        <w:t>Nevertheless, all would have to admit this much: If such claims were true, the spatial Christ-centeredness of the Consummation would staggeringly glorify the High King of Heaven, and the High Judge of the Cosmos!</w:t>
      </w:r>
    </w:p>
    <w:p w14:paraId="7D9857D8">
      <w:pPr>
        <w:pStyle w:val="9"/>
        <w:spacing w:before="166"/>
        <w:ind w:left="0"/>
        <w:jc w:val="left"/>
        <w:rPr>
          <w:rFonts w:hint="eastAsia"/>
          <w:sz w:val="30"/>
          <w:szCs w:val="30"/>
        </w:rPr>
      </w:pPr>
      <w:r>
        <w:rPr>
          <w:rFonts w:hint="eastAsia"/>
          <w:sz w:val="30"/>
          <w:szCs w:val="30"/>
        </w:rPr>
        <w:t>然而，所有人都必须承认这一点：如果这些主张是真的，那么最终成全在空间上的以基督为中心，将以惊人的方式荣耀天上的至高君王，和宇宙的至高审判主！</w:t>
      </w:r>
    </w:p>
    <w:p w14:paraId="7374635A">
      <w:pPr>
        <w:pStyle w:val="9"/>
        <w:spacing w:before="166"/>
        <w:ind w:left="0"/>
        <w:jc w:val="left"/>
        <w:rPr>
          <w:rFonts w:hint="eastAsia"/>
          <w:sz w:val="30"/>
          <w:szCs w:val="30"/>
        </w:rPr>
      </w:pPr>
    </w:p>
    <w:p w14:paraId="2D750829">
      <w:pPr>
        <w:pStyle w:val="9"/>
        <w:spacing w:before="166"/>
        <w:ind w:left="0"/>
        <w:jc w:val="left"/>
        <w:rPr>
          <w:rFonts w:hint="eastAsia"/>
          <w:sz w:val="30"/>
          <w:szCs w:val="30"/>
        </w:rPr>
      </w:pPr>
      <w:r>
        <w:rPr>
          <w:rFonts w:hint="eastAsia"/>
          <w:sz w:val="30"/>
          <w:szCs w:val="30"/>
        </w:rPr>
        <w:t>There is more to say about the structure of the Consummation, but in order to understand it we must turn now to a brief discussion of its unity.</w:t>
      </w:r>
    </w:p>
    <w:p w14:paraId="043B088E">
      <w:pPr>
        <w:pStyle w:val="9"/>
        <w:spacing w:before="166"/>
        <w:ind w:left="0"/>
        <w:jc w:val="left"/>
        <w:rPr>
          <w:rFonts w:hint="eastAsia"/>
          <w:sz w:val="30"/>
          <w:szCs w:val="30"/>
        </w:rPr>
      </w:pPr>
      <w:r>
        <w:rPr>
          <w:rFonts w:hint="eastAsia"/>
          <w:sz w:val="30"/>
          <w:szCs w:val="30"/>
        </w:rPr>
        <w:t>关于最终成全的结构还有更多要说的，但为了理解它，我们现在必须转到一个关于其统一性的简短讨论。</w:t>
      </w:r>
    </w:p>
    <w:p w14:paraId="5DED6EEA">
      <w:pPr>
        <w:pStyle w:val="9"/>
        <w:spacing w:before="166"/>
        <w:ind w:left="0"/>
        <w:jc w:val="left"/>
        <w:rPr>
          <w:rFonts w:hint="eastAsia"/>
          <w:sz w:val="30"/>
          <w:szCs w:val="30"/>
        </w:rPr>
      </w:pPr>
    </w:p>
    <w:p w14:paraId="6D6CE903">
      <w:pPr>
        <w:pStyle w:val="9"/>
        <w:spacing w:before="166"/>
        <w:ind w:left="0"/>
        <w:jc w:val="left"/>
        <w:rPr>
          <w:rFonts w:hint="eastAsia"/>
          <w:sz w:val="30"/>
          <w:szCs w:val="30"/>
        </w:rPr>
      </w:pPr>
      <w:r>
        <w:rPr>
          <w:rFonts w:hint="eastAsia"/>
          <w:sz w:val="30"/>
          <w:szCs w:val="30"/>
        </w:rPr>
        <w:t>The Unity of the Consummation</w:t>
      </w:r>
    </w:p>
    <w:p w14:paraId="55F9C92E">
      <w:pPr>
        <w:pStyle w:val="9"/>
        <w:spacing w:before="166"/>
        <w:ind w:left="0"/>
        <w:jc w:val="left"/>
        <w:rPr>
          <w:rFonts w:hint="eastAsia"/>
          <w:sz w:val="30"/>
          <w:szCs w:val="30"/>
        </w:rPr>
      </w:pPr>
      <w:r>
        <w:rPr>
          <w:rFonts w:hint="eastAsia"/>
          <w:sz w:val="30"/>
          <w:szCs w:val="30"/>
        </w:rPr>
        <w:t>最终成全的统一性</w:t>
      </w:r>
    </w:p>
    <w:p w14:paraId="325C9C71">
      <w:pPr>
        <w:pStyle w:val="9"/>
        <w:spacing w:before="166"/>
        <w:ind w:left="0"/>
        <w:jc w:val="left"/>
        <w:rPr>
          <w:rFonts w:hint="eastAsia"/>
          <w:sz w:val="30"/>
          <w:szCs w:val="30"/>
        </w:rPr>
      </w:pPr>
    </w:p>
    <w:p w14:paraId="0D913859">
      <w:pPr>
        <w:pStyle w:val="9"/>
        <w:spacing w:before="166"/>
        <w:ind w:left="0"/>
        <w:jc w:val="left"/>
        <w:rPr>
          <w:rFonts w:hint="eastAsia"/>
          <w:sz w:val="30"/>
          <w:szCs w:val="30"/>
        </w:rPr>
      </w:pPr>
      <w:r>
        <w:rPr>
          <w:rFonts w:hint="eastAsia"/>
          <w:sz w:val="30"/>
          <w:szCs w:val="30"/>
        </w:rPr>
        <w:t>The Consummation displays a multi-faceted unity that contributes powerfully to the glory of Christ.</w:t>
      </w:r>
    </w:p>
    <w:p w14:paraId="4330FBD0">
      <w:pPr>
        <w:pStyle w:val="9"/>
        <w:spacing w:before="166"/>
        <w:ind w:left="0"/>
        <w:jc w:val="left"/>
        <w:rPr>
          <w:rFonts w:hint="eastAsia"/>
          <w:sz w:val="30"/>
          <w:szCs w:val="30"/>
        </w:rPr>
      </w:pPr>
      <w:r>
        <w:rPr>
          <w:rFonts w:hint="eastAsia"/>
          <w:sz w:val="30"/>
          <w:szCs w:val="30"/>
        </w:rPr>
        <w:t>最终的成全展示了一个多方面的统一性，这有力地促进了基督的荣耀。</w:t>
      </w:r>
    </w:p>
    <w:p w14:paraId="794FE19E">
      <w:pPr>
        <w:pStyle w:val="9"/>
        <w:spacing w:before="166"/>
        <w:ind w:left="0"/>
        <w:jc w:val="left"/>
        <w:rPr>
          <w:rFonts w:hint="eastAsia"/>
          <w:sz w:val="30"/>
          <w:szCs w:val="30"/>
        </w:rPr>
      </w:pPr>
    </w:p>
    <w:p w14:paraId="1C8D7581">
      <w:pPr>
        <w:pStyle w:val="9"/>
        <w:spacing w:before="166"/>
        <w:ind w:left="0"/>
        <w:jc w:val="left"/>
        <w:rPr>
          <w:rFonts w:hint="eastAsia"/>
          <w:sz w:val="30"/>
          <w:szCs w:val="30"/>
        </w:rPr>
      </w:pPr>
      <w:r>
        <w:rPr>
          <w:rFonts w:hint="eastAsia"/>
          <w:sz w:val="30"/>
          <w:szCs w:val="30"/>
        </w:rPr>
        <w:t>On the one hand, each element is marked by unity, since there is one Parousia, one Resurrection, one Judgment, and one Regeneration of all things.</w:t>
      </w:r>
    </w:p>
    <w:p w14:paraId="6222D906">
      <w:pPr>
        <w:pStyle w:val="9"/>
        <w:spacing w:before="166"/>
        <w:ind w:left="0"/>
        <w:jc w:val="left"/>
        <w:rPr>
          <w:rFonts w:hint="eastAsia"/>
          <w:sz w:val="30"/>
          <w:szCs w:val="30"/>
        </w:rPr>
      </w:pPr>
      <w:r>
        <w:rPr>
          <w:rFonts w:hint="eastAsia"/>
          <w:sz w:val="30"/>
          <w:szCs w:val="30"/>
        </w:rPr>
        <w:t>一方面，每一个要素都以统一为标志，因为只有一个主临（Parousia），一次复活，一次审判，和一次万物的重生。</w:t>
      </w:r>
    </w:p>
    <w:p w14:paraId="7433135B">
      <w:pPr>
        <w:pStyle w:val="9"/>
        <w:spacing w:before="166"/>
        <w:ind w:left="0"/>
        <w:jc w:val="left"/>
        <w:rPr>
          <w:rFonts w:hint="eastAsia"/>
          <w:sz w:val="30"/>
          <w:szCs w:val="30"/>
        </w:rPr>
      </w:pPr>
    </w:p>
    <w:p w14:paraId="0E8EF6FD">
      <w:pPr>
        <w:pStyle w:val="9"/>
        <w:spacing w:before="166"/>
        <w:ind w:left="0"/>
        <w:jc w:val="left"/>
        <w:rPr>
          <w:rFonts w:hint="eastAsia"/>
          <w:sz w:val="30"/>
          <w:szCs w:val="30"/>
        </w:rPr>
      </w:pPr>
      <w:r>
        <w:rPr>
          <w:rFonts w:hint="eastAsia"/>
          <w:sz w:val="30"/>
          <w:szCs w:val="30"/>
        </w:rPr>
        <w:t>On the other hand, all the elements are marked by unity, since they are dynamically, temporally, and spatially centered on Christ at his Second Coming.</w:t>
      </w:r>
    </w:p>
    <w:p w14:paraId="6B4B4E3F">
      <w:pPr>
        <w:pStyle w:val="9"/>
        <w:spacing w:before="166"/>
        <w:ind w:left="0"/>
        <w:jc w:val="left"/>
        <w:rPr>
          <w:rFonts w:hint="eastAsia"/>
          <w:sz w:val="30"/>
          <w:szCs w:val="30"/>
        </w:rPr>
      </w:pPr>
      <w:r>
        <w:rPr>
          <w:rFonts w:hint="eastAsia"/>
          <w:sz w:val="30"/>
          <w:szCs w:val="30"/>
        </w:rPr>
        <w:t>另一方面，所有要素都以统一为标志，因为它们在动态上、时间上和空间上都以基督的第二次降临为中心。</w:t>
      </w:r>
    </w:p>
    <w:p w14:paraId="048F2A5B">
      <w:pPr>
        <w:pStyle w:val="9"/>
        <w:spacing w:before="166"/>
        <w:ind w:left="0"/>
        <w:jc w:val="left"/>
        <w:rPr>
          <w:rFonts w:hint="eastAsia"/>
          <w:sz w:val="30"/>
          <w:szCs w:val="30"/>
        </w:rPr>
      </w:pPr>
    </w:p>
    <w:p w14:paraId="6081908E">
      <w:pPr>
        <w:pStyle w:val="9"/>
        <w:spacing w:before="166"/>
        <w:ind w:left="0"/>
        <w:jc w:val="left"/>
        <w:rPr>
          <w:rFonts w:hint="eastAsia"/>
          <w:sz w:val="30"/>
          <w:szCs w:val="30"/>
        </w:rPr>
      </w:pPr>
      <w:r>
        <w:rPr>
          <w:rFonts w:hint="eastAsia"/>
          <w:sz w:val="30"/>
          <w:szCs w:val="30"/>
        </w:rPr>
        <w:t>Leaving aside the Last Battle, and focusing our attention on the four cardinal elements of the Consummation proper, let us take a few moments to demonstrate these important truths from Scripture.</w:t>
      </w:r>
    </w:p>
    <w:p w14:paraId="5EAAADCF">
      <w:pPr>
        <w:pStyle w:val="9"/>
        <w:spacing w:before="166"/>
        <w:ind w:left="0"/>
        <w:jc w:val="left"/>
        <w:rPr>
          <w:rFonts w:hint="eastAsia"/>
          <w:sz w:val="30"/>
          <w:szCs w:val="30"/>
        </w:rPr>
      </w:pPr>
      <w:r>
        <w:rPr>
          <w:rFonts w:hint="eastAsia"/>
          <w:sz w:val="30"/>
          <w:szCs w:val="30"/>
        </w:rPr>
        <w:t>撇开末日争战，将我们的注意力集中在最终成全本身的四个基本要素上，让我们花些时间来从圣经中证明这些重要的真理。</w:t>
      </w:r>
    </w:p>
    <w:p w14:paraId="227F9E52">
      <w:pPr>
        <w:pStyle w:val="9"/>
        <w:spacing w:before="166"/>
        <w:ind w:left="0"/>
        <w:jc w:val="left"/>
        <w:rPr>
          <w:rFonts w:hint="eastAsia"/>
          <w:sz w:val="30"/>
          <w:szCs w:val="30"/>
        </w:rPr>
      </w:pPr>
    </w:p>
    <w:p w14:paraId="744A4D6B">
      <w:pPr>
        <w:pStyle w:val="9"/>
        <w:spacing w:before="166"/>
        <w:ind w:left="0"/>
        <w:jc w:val="left"/>
        <w:rPr>
          <w:rFonts w:hint="eastAsia"/>
          <w:sz w:val="30"/>
          <w:szCs w:val="30"/>
        </w:rPr>
      </w:pPr>
      <w:r>
        <w:rPr>
          <w:rFonts w:hint="eastAsia"/>
          <w:sz w:val="30"/>
          <w:szCs w:val="30"/>
        </w:rPr>
        <w:t>1.The One Second Coming</w:t>
      </w:r>
    </w:p>
    <w:p w14:paraId="5146E2C2">
      <w:pPr>
        <w:pStyle w:val="9"/>
        <w:spacing w:before="166"/>
        <w:ind w:left="0"/>
        <w:jc w:val="left"/>
        <w:rPr>
          <w:rFonts w:hint="eastAsia"/>
          <w:sz w:val="30"/>
          <w:szCs w:val="30"/>
        </w:rPr>
      </w:pPr>
      <w:r>
        <w:rPr>
          <w:rFonts w:hint="eastAsia"/>
          <w:sz w:val="30"/>
          <w:szCs w:val="30"/>
        </w:rPr>
        <w:t>1.独一的第二次降临</w:t>
      </w:r>
    </w:p>
    <w:p w14:paraId="517DDC1E">
      <w:pPr>
        <w:pStyle w:val="9"/>
        <w:spacing w:before="166"/>
        <w:ind w:left="0"/>
        <w:jc w:val="left"/>
        <w:rPr>
          <w:rFonts w:hint="eastAsia"/>
          <w:sz w:val="30"/>
          <w:szCs w:val="30"/>
        </w:rPr>
      </w:pPr>
    </w:p>
    <w:p w14:paraId="76E347E9">
      <w:pPr>
        <w:pStyle w:val="9"/>
        <w:spacing w:before="166"/>
        <w:ind w:left="0"/>
        <w:jc w:val="left"/>
        <w:rPr>
          <w:rFonts w:hint="eastAsia"/>
          <w:sz w:val="30"/>
          <w:szCs w:val="30"/>
        </w:rPr>
      </w:pPr>
      <w:r>
        <w:rPr>
          <w:rFonts w:hint="eastAsia"/>
          <w:sz w:val="30"/>
          <w:szCs w:val="30"/>
        </w:rPr>
        <w:t>We begin with the heart of the Consummation, the Second Coming of the Lord Jesus Christ.</w:t>
      </w:r>
    </w:p>
    <w:p w14:paraId="66CB1D94">
      <w:pPr>
        <w:pStyle w:val="9"/>
        <w:spacing w:before="166"/>
        <w:ind w:left="0"/>
        <w:jc w:val="left"/>
        <w:rPr>
          <w:rFonts w:hint="eastAsia"/>
          <w:sz w:val="30"/>
          <w:szCs w:val="30"/>
        </w:rPr>
      </w:pPr>
      <w:r>
        <w:rPr>
          <w:rFonts w:hint="eastAsia"/>
          <w:sz w:val="30"/>
          <w:szCs w:val="30"/>
        </w:rPr>
        <w:t>我们从最终成全的核心开始，即主耶稣基督的第二次降临。</w:t>
      </w:r>
    </w:p>
    <w:p w14:paraId="40671CA2">
      <w:pPr>
        <w:pStyle w:val="9"/>
        <w:spacing w:before="166"/>
        <w:ind w:left="0"/>
        <w:jc w:val="left"/>
        <w:rPr>
          <w:rFonts w:hint="eastAsia"/>
          <w:sz w:val="30"/>
          <w:szCs w:val="30"/>
        </w:rPr>
      </w:pPr>
    </w:p>
    <w:p w14:paraId="4A7973FB">
      <w:pPr>
        <w:pStyle w:val="9"/>
        <w:spacing w:before="166"/>
        <w:ind w:left="0"/>
        <w:jc w:val="left"/>
        <w:rPr>
          <w:rFonts w:hint="eastAsia"/>
          <w:sz w:val="30"/>
          <w:szCs w:val="30"/>
        </w:rPr>
      </w:pPr>
      <w:r>
        <w:rPr>
          <w:rFonts w:hint="eastAsia"/>
          <w:sz w:val="30"/>
          <w:szCs w:val="30"/>
        </w:rPr>
        <w:t>There is one such coming, and one only.</w:t>
      </w:r>
    </w:p>
    <w:p w14:paraId="381CB348">
      <w:pPr>
        <w:pStyle w:val="9"/>
        <w:spacing w:before="166"/>
        <w:ind w:left="0"/>
        <w:jc w:val="left"/>
        <w:rPr>
          <w:rFonts w:hint="eastAsia"/>
          <w:sz w:val="30"/>
          <w:szCs w:val="30"/>
        </w:rPr>
      </w:pPr>
      <w:r>
        <w:rPr>
          <w:rFonts w:hint="eastAsia"/>
          <w:sz w:val="30"/>
          <w:szCs w:val="30"/>
        </w:rPr>
        <w:t>只有一次这样的降临，也仅有一次。</w:t>
      </w:r>
    </w:p>
    <w:p w14:paraId="7A6ADFE9">
      <w:pPr>
        <w:pStyle w:val="9"/>
        <w:spacing w:before="166"/>
        <w:ind w:left="0"/>
        <w:jc w:val="left"/>
        <w:rPr>
          <w:rFonts w:hint="eastAsia"/>
          <w:sz w:val="30"/>
          <w:szCs w:val="30"/>
        </w:rPr>
      </w:pPr>
    </w:p>
    <w:p w14:paraId="6439291D">
      <w:pPr>
        <w:pStyle w:val="9"/>
        <w:spacing w:before="166"/>
        <w:ind w:left="0"/>
        <w:jc w:val="left"/>
        <w:rPr>
          <w:rFonts w:hint="eastAsia"/>
          <w:sz w:val="30"/>
          <w:szCs w:val="30"/>
        </w:rPr>
      </w:pPr>
      <w:r>
        <w:rPr>
          <w:rFonts w:hint="eastAsia"/>
          <w:sz w:val="30"/>
          <w:szCs w:val="30"/>
        </w:rPr>
        <w:t>As we have seen, the NT usually refers to it as the Coming (parousia), but also as the Revelation (apocalypsis) and the Appearing (epiphaneia).</w:t>
      </w:r>
    </w:p>
    <w:p w14:paraId="02993164">
      <w:pPr>
        <w:pStyle w:val="9"/>
        <w:spacing w:before="166"/>
        <w:ind w:left="0"/>
        <w:jc w:val="left"/>
        <w:rPr>
          <w:rFonts w:hint="eastAsia"/>
          <w:sz w:val="30"/>
          <w:szCs w:val="30"/>
        </w:rPr>
      </w:pPr>
      <w:r>
        <w:rPr>
          <w:rFonts w:hint="eastAsia"/>
          <w:sz w:val="30"/>
          <w:szCs w:val="30"/>
        </w:rPr>
        <w:t>正如我们所见，新约通常称之为“降临”（parousia），但也称为“启示”（apocalypsis）和“显现”（epiphaneia）。</w:t>
      </w:r>
    </w:p>
    <w:p w14:paraId="021E8847">
      <w:pPr>
        <w:pStyle w:val="9"/>
        <w:spacing w:before="166"/>
        <w:ind w:left="0"/>
        <w:jc w:val="left"/>
        <w:rPr>
          <w:rFonts w:hint="eastAsia"/>
          <w:sz w:val="30"/>
          <w:szCs w:val="30"/>
        </w:rPr>
      </w:pPr>
    </w:p>
    <w:p w14:paraId="5953388B">
      <w:pPr>
        <w:pStyle w:val="9"/>
        <w:spacing w:before="166"/>
        <w:ind w:left="0"/>
        <w:jc w:val="left"/>
        <w:rPr>
          <w:rFonts w:hint="eastAsia"/>
          <w:sz w:val="30"/>
          <w:szCs w:val="30"/>
        </w:rPr>
      </w:pPr>
      <w:r>
        <w:rPr>
          <w:rFonts w:hint="eastAsia"/>
          <w:sz w:val="30"/>
          <w:szCs w:val="30"/>
        </w:rPr>
        <w:t>Yes, the words convey different shades of meaning, but it is quite clear that all three are used to describe one Momentous Eschatological Event.2</w:t>
      </w:r>
    </w:p>
    <w:p w14:paraId="7F97DB60">
      <w:pPr>
        <w:pStyle w:val="9"/>
        <w:spacing w:before="166"/>
        <w:ind w:left="0"/>
        <w:jc w:val="left"/>
        <w:rPr>
          <w:rFonts w:hint="eastAsia"/>
          <w:sz w:val="30"/>
          <w:szCs w:val="30"/>
        </w:rPr>
      </w:pPr>
      <w:r>
        <w:rPr>
          <w:rFonts w:hint="eastAsia"/>
          <w:sz w:val="30"/>
          <w:szCs w:val="30"/>
        </w:rPr>
        <w:t>是的，这些词传达了不同的意义色彩，但很清楚，这三个词都是用来描述同一个重大的末世事件的。2</w:t>
      </w:r>
    </w:p>
    <w:p w14:paraId="6FC59BAC">
      <w:pPr>
        <w:pStyle w:val="9"/>
        <w:spacing w:before="166"/>
        <w:ind w:left="0"/>
        <w:jc w:val="left"/>
        <w:rPr>
          <w:rFonts w:hint="eastAsia"/>
          <w:sz w:val="30"/>
          <w:szCs w:val="30"/>
        </w:rPr>
      </w:pPr>
    </w:p>
    <w:p w14:paraId="11D67D73">
      <w:pPr>
        <w:pStyle w:val="9"/>
        <w:spacing w:before="166"/>
        <w:ind w:left="0"/>
        <w:jc w:val="left"/>
        <w:rPr>
          <w:rFonts w:hint="eastAsia"/>
          <w:sz w:val="30"/>
          <w:szCs w:val="30"/>
        </w:rPr>
      </w:pPr>
      <w:r>
        <w:rPr>
          <w:rFonts w:hint="eastAsia"/>
          <w:sz w:val="30"/>
          <w:szCs w:val="30"/>
        </w:rPr>
        <w:t>Three outstanding NT passages confirm this important statement.</w:t>
      </w:r>
    </w:p>
    <w:p w14:paraId="62B0B14B">
      <w:pPr>
        <w:pStyle w:val="9"/>
        <w:spacing w:before="166"/>
        <w:ind w:left="0"/>
        <w:jc w:val="left"/>
        <w:rPr>
          <w:rFonts w:hint="eastAsia"/>
          <w:sz w:val="30"/>
          <w:szCs w:val="30"/>
        </w:rPr>
      </w:pPr>
      <w:r>
        <w:rPr>
          <w:rFonts w:hint="eastAsia"/>
          <w:sz w:val="30"/>
          <w:szCs w:val="30"/>
        </w:rPr>
        <w:t>三段杰出的新约经文证实了这一重要陈述。</w:t>
      </w:r>
    </w:p>
    <w:p w14:paraId="216626DB">
      <w:pPr>
        <w:pStyle w:val="9"/>
        <w:spacing w:before="166"/>
        <w:ind w:left="0"/>
        <w:jc w:val="left"/>
        <w:rPr>
          <w:rFonts w:hint="eastAsia"/>
          <w:sz w:val="30"/>
          <w:szCs w:val="30"/>
        </w:rPr>
      </w:pPr>
    </w:p>
    <w:p w14:paraId="06AD6CC8">
      <w:pPr>
        <w:pStyle w:val="9"/>
        <w:spacing w:before="166"/>
        <w:ind w:left="0"/>
        <w:jc w:val="left"/>
        <w:rPr>
          <w:rFonts w:hint="eastAsia"/>
          <w:sz w:val="30"/>
          <w:szCs w:val="30"/>
        </w:rPr>
      </w:pPr>
      <w:r>
        <w:rPr>
          <w:rFonts w:hint="eastAsia"/>
          <w:sz w:val="30"/>
          <w:szCs w:val="30"/>
        </w:rPr>
        <w:t>First, we have Paul’s second letter to the Thessalonians, in which he encourages persecuted believers to wait for justice and relief when Christ is revealed (Greek: en te apokalupsei) from heaven in blazing fire with his powerful angels (2 Thess. 1:7).</w:t>
      </w:r>
    </w:p>
    <w:p w14:paraId="6E335BD9">
      <w:pPr>
        <w:pStyle w:val="9"/>
        <w:spacing w:before="166"/>
        <w:ind w:left="0"/>
        <w:jc w:val="left"/>
        <w:rPr>
          <w:rFonts w:hint="eastAsia"/>
          <w:sz w:val="30"/>
          <w:szCs w:val="30"/>
        </w:rPr>
      </w:pPr>
      <w:r>
        <w:rPr>
          <w:rFonts w:hint="eastAsia"/>
          <w:sz w:val="30"/>
          <w:szCs w:val="30"/>
        </w:rPr>
        <w:t>首先，我们有保罗写给帖撒罗尼迦人的第二封信，他在信中鼓励受迫害的信徒等候公义和拯救，那时基督将带着祂大能的天使，在火焰中从天上显现（希腊文：en te apokalupsei）（帖后1:7）。</w:t>
      </w:r>
    </w:p>
    <w:p w14:paraId="7803CE11">
      <w:pPr>
        <w:pStyle w:val="9"/>
        <w:spacing w:before="166"/>
        <w:ind w:left="0"/>
        <w:jc w:val="left"/>
        <w:rPr>
          <w:rFonts w:hint="eastAsia"/>
          <w:sz w:val="30"/>
          <w:szCs w:val="30"/>
        </w:rPr>
      </w:pPr>
    </w:p>
    <w:p w14:paraId="14208772">
      <w:pPr>
        <w:pStyle w:val="9"/>
        <w:spacing w:before="166"/>
        <w:ind w:left="0"/>
        <w:jc w:val="left"/>
        <w:rPr>
          <w:rFonts w:hint="eastAsia"/>
          <w:sz w:val="30"/>
          <w:szCs w:val="30"/>
        </w:rPr>
      </w:pPr>
      <w:r>
        <w:rPr>
          <w:rFonts w:hint="eastAsia"/>
          <w:sz w:val="30"/>
          <w:szCs w:val="30"/>
        </w:rPr>
        <w:t>Then, just a few paragraphs later, he fleshes out his thought by reminding them that when Christ returns he will destroy the lawless one (i.e., the Antichrist) “by the appearance of his coming” (the epiphaneia of his parousia, 2 Thess. 2:8).</w:t>
      </w:r>
    </w:p>
    <w:p w14:paraId="095A624C">
      <w:pPr>
        <w:pStyle w:val="9"/>
        <w:spacing w:before="166"/>
        <w:ind w:left="0"/>
        <w:jc w:val="left"/>
        <w:rPr>
          <w:rFonts w:hint="eastAsia"/>
          <w:sz w:val="30"/>
          <w:szCs w:val="30"/>
        </w:rPr>
      </w:pPr>
      <w:r>
        <w:rPr>
          <w:rFonts w:hint="eastAsia"/>
          <w:sz w:val="30"/>
          <w:szCs w:val="30"/>
        </w:rPr>
        <w:t>然后，仅仅几个段落之后，他通过提醒他们当基督再来时，祂将用祂降临的显现（祂的parousia的epiphaneia，帖后2:8）来毁灭那不法之人（即敌基督），从而充实了他的思想。</w:t>
      </w:r>
    </w:p>
    <w:p w14:paraId="391634C8">
      <w:pPr>
        <w:pStyle w:val="9"/>
        <w:spacing w:before="166"/>
        <w:ind w:left="0"/>
        <w:jc w:val="left"/>
        <w:rPr>
          <w:rFonts w:hint="eastAsia"/>
          <w:sz w:val="30"/>
          <w:szCs w:val="30"/>
        </w:rPr>
      </w:pPr>
    </w:p>
    <w:p w14:paraId="14AB3F75">
      <w:pPr>
        <w:pStyle w:val="9"/>
        <w:spacing w:before="166"/>
        <w:ind w:left="0"/>
        <w:jc w:val="left"/>
        <w:rPr>
          <w:rFonts w:hint="eastAsia"/>
          <w:sz w:val="30"/>
          <w:szCs w:val="30"/>
        </w:rPr>
      </w:pPr>
      <w:r>
        <w:rPr>
          <w:rFonts w:hint="eastAsia"/>
          <w:sz w:val="30"/>
          <w:szCs w:val="30"/>
        </w:rPr>
        <w:t>Paul uses three different words to describe one event.</w:t>
      </w:r>
    </w:p>
    <w:p w14:paraId="439F9413">
      <w:pPr>
        <w:pStyle w:val="9"/>
        <w:spacing w:before="166"/>
        <w:ind w:left="0"/>
        <w:jc w:val="left"/>
        <w:rPr>
          <w:rFonts w:hint="eastAsia"/>
          <w:sz w:val="30"/>
          <w:szCs w:val="30"/>
        </w:rPr>
      </w:pPr>
      <w:r>
        <w:rPr>
          <w:rFonts w:hint="eastAsia"/>
          <w:sz w:val="30"/>
          <w:szCs w:val="30"/>
        </w:rPr>
        <w:t>保罗用三个不同的词来描述一个事件。</w:t>
      </w:r>
    </w:p>
    <w:p w14:paraId="70407828">
      <w:pPr>
        <w:pStyle w:val="9"/>
        <w:spacing w:before="166"/>
        <w:ind w:left="0"/>
        <w:jc w:val="left"/>
        <w:rPr>
          <w:rFonts w:hint="eastAsia"/>
          <w:sz w:val="30"/>
          <w:szCs w:val="30"/>
        </w:rPr>
      </w:pPr>
    </w:p>
    <w:p w14:paraId="4F20C435">
      <w:pPr>
        <w:pStyle w:val="9"/>
        <w:spacing w:before="166"/>
        <w:ind w:left="0"/>
        <w:jc w:val="left"/>
        <w:rPr>
          <w:rFonts w:hint="eastAsia"/>
          <w:sz w:val="30"/>
          <w:szCs w:val="30"/>
        </w:rPr>
      </w:pPr>
      <w:r>
        <w:rPr>
          <w:rFonts w:hint="eastAsia"/>
          <w:sz w:val="30"/>
          <w:szCs w:val="30"/>
        </w:rPr>
        <w:t>Secondly, we have the two letters of the apostle Peter, in which he directs believers’ hopes to the Coming of Christ (2 Peter 3:4), the Revelation of Christ (1 Peter 1:7, 13, 4:13), and the Appearing of Christ (1 Peter 5:4).</w:t>
      </w:r>
    </w:p>
    <w:p w14:paraId="775DF76E">
      <w:pPr>
        <w:pStyle w:val="9"/>
        <w:spacing w:before="166"/>
        <w:ind w:left="0"/>
        <w:jc w:val="left"/>
        <w:rPr>
          <w:rFonts w:hint="eastAsia"/>
          <w:sz w:val="30"/>
          <w:szCs w:val="30"/>
        </w:rPr>
      </w:pPr>
      <w:r>
        <w:rPr>
          <w:rFonts w:hint="eastAsia"/>
          <w:sz w:val="30"/>
          <w:szCs w:val="30"/>
        </w:rPr>
        <w:t>其次，我们有使徒彼得的两封信，在其中他引导信徒的盼望到基督的降临（彼得后书3:4），基督的启示（彼得前书1:7, 13, 4:13），和基督的显现（彼得前书5:4）。</w:t>
      </w:r>
    </w:p>
    <w:p w14:paraId="2AF8680A">
      <w:pPr>
        <w:pStyle w:val="9"/>
        <w:spacing w:before="166"/>
        <w:ind w:left="0"/>
        <w:jc w:val="left"/>
        <w:rPr>
          <w:rFonts w:hint="eastAsia"/>
          <w:sz w:val="30"/>
          <w:szCs w:val="30"/>
        </w:rPr>
      </w:pPr>
    </w:p>
    <w:p w14:paraId="3DA5BB83">
      <w:pPr>
        <w:pStyle w:val="9"/>
        <w:spacing w:before="166"/>
        <w:ind w:left="0"/>
        <w:jc w:val="left"/>
        <w:rPr>
          <w:rFonts w:hint="eastAsia"/>
          <w:sz w:val="30"/>
          <w:szCs w:val="30"/>
        </w:rPr>
      </w:pPr>
      <w:r>
        <w:rPr>
          <w:rFonts w:hint="eastAsia"/>
          <w:sz w:val="30"/>
          <w:szCs w:val="30"/>
        </w:rPr>
        <w:t>We look in vain for him to make any theological distinction between the three terms.</w:t>
      </w:r>
    </w:p>
    <w:p w14:paraId="4B8A6658">
      <w:pPr>
        <w:pStyle w:val="9"/>
        <w:spacing w:before="166"/>
        <w:ind w:left="0"/>
        <w:jc w:val="left"/>
        <w:rPr>
          <w:rFonts w:hint="eastAsia"/>
          <w:sz w:val="30"/>
          <w:szCs w:val="30"/>
        </w:rPr>
      </w:pPr>
      <w:r>
        <w:rPr>
          <w:rFonts w:hint="eastAsia"/>
          <w:sz w:val="30"/>
          <w:szCs w:val="30"/>
        </w:rPr>
        <w:t>我们徒然地寻找祂在这三个术语之间作出任何神学上的区分。</w:t>
      </w:r>
    </w:p>
    <w:p w14:paraId="43A179F9">
      <w:pPr>
        <w:pStyle w:val="9"/>
        <w:spacing w:before="166"/>
        <w:ind w:left="0"/>
        <w:jc w:val="left"/>
        <w:rPr>
          <w:rFonts w:hint="eastAsia"/>
          <w:sz w:val="30"/>
          <w:szCs w:val="30"/>
        </w:rPr>
      </w:pPr>
    </w:p>
    <w:p w14:paraId="0FACC167">
      <w:pPr>
        <w:pStyle w:val="9"/>
        <w:spacing w:before="166"/>
        <w:ind w:left="0"/>
        <w:jc w:val="left"/>
        <w:rPr>
          <w:rFonts w:hint="eastAsia"/>
          <w:sz w:val="30"/>
          <w:szCs w:val="30"/>
        </w:rPr>
      </w:pPr>
      <w:r>
        <w:rPr>
          <w:rFonts w:hint="eastAsia"/>
          <w:sz w:val="30"/>
          <w:szCs w:val="30"/>
        </w:rPr>
        <w:t>Finally, we have John’s first epistle, in which he urges believers to abide in Christ, so that when he appears (phanerao, the verb underlying epiphaneia) they might have confidence, rather than shrink back in shame at his Coming (parousia, 1 John. 2:28).</w:t>
      </w:r>
    </w:p>
    <w:p w14:paraId="6A4D055F">
      <w:pPr>
        <w:pStyle w:val="9"/>
        <w:spacing w:before="166"/>
        <w:ind w:left="0"/>
        <w:jc w:val="left"/>
        <w:rPr>
          <w:rFonts w:hint="eastAsia"/>
          <w:sz w:val="30"/>
          <w:szCs w:val="30"/>
        </w:rPr>
      </w:pPr>
      <w:r>
        <w:rPr>
          <w:rFonts w:hint="eastAsia"/>
          <w:sz w:val="30"/>
          <w:szCs w:val="30"/>
        </w:rPr>
        <w:t>最后，我们有约翰的第一封书信，在其中他敦促信徒住在基督里，好叫当祂显现（phanerao，epiphaneia的动词形式）时，他们可以坦然无惧，而不是在祂降临（parousia，约翰一书2:28）时羞愧退缩。</w:t>
      </w:r>
    </w:p>
    <w:p w14:paraId="5E93E90E">
      <w:pPr>
        <w:pStyle w:val="9"/>
        <w:spacing w:before="166"/>
        <w:ind w:left="0"/>
        <w:jc w:val="left"/>
        <w:rPr>
          <w:rFonts w:hint="eastAsia"/>
          <w:sz w:val="30"/>
          <w:szCs w:val="30"/>
        </w:rPr>
      </w:pPr>
    </w:p>
    <w:p w14:paraId="0FBD20B7">
      <w:pPr>
        <w:pStyle w:val="9"/>
        <w:spacing w:before="166"/>
        <w:ind w:left="0"/>
        <w:jc w:val="left"/>
        <w:rPr>
          <w:rFonts w:hint="eastAsia"/>
          <w:sz w:val="30"/>
          <w:szCs w:val="30"/>
        </w:rPr>
      </w:pPr>
      <w:r>
        <w:rPr>
          <w:rFonts w:hint="eastAsia"/>
          <w:sz w:val="30"/>
          <w:szCs w:val="30"/>
        </w:rPr>
        <w:t>Again, not one of the apostles gives us the tiniest hint that he is using these terms to describe separate eschatological events.</w:t>
      </w:r>
    </w:p>
    <w:p w14:paraId="73F9ADD9">
      <w:pPr>
        <w:pStyle w:val="9"/>
        <w:spacing w:before="166"/>
        <w:ind w:left="0"/>
        <w:jc w:val="left"/>
        <w:rPr>
          <w:rFonts w:hint="eastAsia"/>
          <w:sz w:val="30"/>
          <w:szCs w:val="30"/>
        </w:rPr>
      </w:pPr>
      <w:r>
        <w:rPr>
          <w:rFonts w:hint="eastAsia"/>
          <w:sz w:val="30"/>
          <w:szCs w:val="30"/>
        </w:rPr>
        <w:t>再次，没有一个使徒给我们丝毫的暗示，表明他正在使用这些术语来描述不同的末世事件。</w:t>
      </w:r>
    </w:p>
    <w:p w14:paraId="34830BBA">
      <w:pPr>
        <w:pStyle w:val="9"/>
        <w:spacing w:before="166"/>
        <w:ind w:left="0"/>
        <w:jc w:val="left"/>
        <w:rPr>
          <w:rFonts w:hint="eastAsia"/>
          <w:sz w:val="30"/>
          <w:szCs w:val="30"/>
        </w:rPr>
      </w:pPr>
    </w:p>
    <w:p w14:paraId="6CC59E4D">
      <w:pPr>
        <w:pStyle w:val="9"/>
        <w:spacing w:before="166"/>
        <w:ind w:left="0"/>
        <w:jc w:val="left"/>
        <w:rPr>
          <w:rFonts w:hint="eastAsia"/>
          <w:sz w:val="30"/>
          <w:szCs w:val="30"/>
        </w:rPr>
      </w:pPr>
      <w:r>
        <w:rPr>
          <w:rFonts w:hint="eastAsia"/>
          <w:sz w:val="30"/>
          <w:szCs w:val="30"/>
        </w:rPr>
        <w:t>On the contrary, they use them essentially interchangeably to describe the one Second Coming of Christ.</w:t>
      </w:r>
    </w:p>
    <w:p w14:paraId="1C06156B">
      <w:pPr>
        <w:pStyle w:val="9"/>
        <w:spacing w:before="166"/>
        <w:ind w:left="0"/>
        <w:jc w:val="left"/>
        <w:rPr>
          <w:rFonts w:hint="eastAsia"/>
          <w:sz w:val="30"/>
          <w:szCs w:val="30"/>
        </w:rPr>
      </w:pPr>
      <w:r>
        <w:rPr>
          <w:rFonts w:hint="eastAsia"/>
          <w:sz w:val="30"/>
          <w:szCs w:val="30"/>
        </w:rPr>
        <w:t>相反，他们基本上是互换使用这些词来描述基督独一的第二次降临。</w:t>
      </w:r>
    </w:p>
    <w:p w14:paraId="55FB7D31">
      <w:pPr>
        <w:pStyle w:val="9"/>
        <w:spacing w:before="166"/>
        <w:ind w:left="0"/>
        <w:jc w:val="left"/>
        <w:rPr>
          <w:rFonts w:hint="eastAsia"/>
          <w:sz w:val="30"/>
          <w:szCs w:val="30"/>
        </w:rPr>
      </w:pPr>
    </w:p>
    <w:p w14:paraId="6C9244BA">
      <w:pPr>
        <w:pStyle w:val="9"/>
        <w:spacing w:before="166"/>
        <w:ind w:left="0"/>
        <w:jc w:val="left"/>
        <w:rPr>
          <w:rFonts w:hint="eastAsia"/>
          <w:sz w:val="30"/>
          <w:szCs w:val="30"/>
        </w:rPr>
      </w:pPr>
      <w:r>
        <w:rPr>
          <w:rFonts w:hint="eastAsia"/>
          <w:sz w:val="30"/>
          <w:szCs w:val="30"/>
        </w:rPr>
        <w:t>We also see the unity of the Second Coming in the copious NT use of the definite article before each of the words used to describe it.</w:t>
      </w:r>
    </w:p>
    <w:p w14:paraId="2FE78C92">
      <w:pPr>
        <w:pStyle w:val="9"/>
        <w:spacing w:before="166"/>
        <w:ind w:left="0"/>
        <w:jc w:val="left"/>
        <w:rPr>
          <w:rFonts w:hint="eastAsia"/>
          <w:sz w:val="30"/>
          <w:szCs w:val="30"/>
        </w:rPr>
      </w:pPr>
      <w:r>
        <w:rPr>
          <w:rFonts w:hint="eastAsia"/>
          <w:sz w:val="30"/>
          <w:szCs w:val="30"/>
        </w:rPr>
        <w:t>我们也在新约大量使用定冠词来修饰描述第二次降临的每个词中，看到了其统一性。</w:t>
      </w:r>
    </w:p>
    <w:p w14:paraId="403B5F02">
      <w:pPr>
        <w:pStyle w:val="9"/>
        <w:spacing w:before="166"/>
        <w:ind w:left="0"/>
        <w:jc w:val="left"/>
        <w:rPr>
          <w:rFonts w:hint="eastAsia"/>
          <w:sz w:val="30"/>
          <w:szCs w:val="30"/>
        </w:rPr>
      </w:pPr>
    </w:p>
    <w:p w14:paraId="7861A417">
      <w:pPr>
        <w:pStyle w:val="9"/>
        <w:spacing w:before="166"/>
        <w:ind w:left="0"/>
        <w:jc w:val="left"/>
        <w:rPr>
          <w:rFonts w:hint="eastAsia"/>
          <w:sz w:val="30"/>
          <w:szCs w:val="30"/>
        </w:rPr>
      </w:pPr>
      <w:r>
        <w:rPr>
          <w:rFonts w:hint="eastAsia"/>
          <w:sz w:val="30"/>
          <w:szCs w:val="30"/>
        </w:rPr>
        <w:t>Thrice in his Olivet Discourse the Lord himself speaks of “… the coming of the Son of Man” (Mt. 24:27, 37, 39).</w:t>
      </w:r>
    </w:p>
    <w:p w14:paraId="3C10013C">
      <w:pPr>
        <w:pStyle w:val="9"/>
        <w:spacing w:before="166"/>
        <w:ind w:left="0"/>
        <w:jc w:val="left"/>
        <w:rPr>
          <w:rFonts w:hint="eastAsia"/>
          <w:sz w:val="30"/>
          <w:szCs w:val="30"/>
        </w:rPr>
      </w:pPr>
      <w:r>
        <w:rPr>
          <w:rFonts w:hint="eastAsia"/>
          <w:sz w:val="30"/>
          <w:szCs w:val="30"/>
        </w:rPr>
        <w:t>主祂自己在橄榄山论述中三次谈到“……人子的降临”（太24:27, 37, 39）。</w:t>
      </w:r>
    </w:p>
    <w:p w14:paraId="4721B026">
      <w:pPr>
        <w:pStyle w:val="9"/>
        <w:spacing w:before="166"/>
        <w:ind w:left="0"/>
        <w:jc w:val="left"/>
        <w:rPr>
          <w:rFonts w:hint="eastAsia"/>
          <w:sz w:val="30"/>
          <w:szCs w:val="30"/>
        </w:rPr>
      </w:pPr>
    </w:p>
    <w:p w14:paraId="71DF51CE">
      <w:pPr>
        <w:pStyle w:val="9"/>
        <w:spacing w:before="166"/>
        <w:ind w:left="0"/>
        <w:jc w:val="left"/>
        <w:rPr>
          <w:rFonts w:hint="eastAsia"/>
          <w:sz w:val="30"/>
          <w:szCs w:val="30"/>
        </w:rPr>
      </w:pPr>
      <w:r>
        <w:rPr>
          <w:rFonts w:hint="eastAsia"/>
          <w:sz w:val="30"/>
          <w:szCs w:val="30"/>
        </w:rPr>
        <w:t>In his letters to the Thessalonians, Paul talks repeatedly about the coming of Christ, as, for example, when he prays that God may preserve their hearts “… unblamable in holiness at the coming of the Lord Jesus with all his holy ones” (1 Thess. 3:13, 4:15, 5:23; 2 Thess. 2:1).</w:t>
      </w:r>
    </w:p>
    <w:p w14:paraId="785ADA3D">
      <w:pPr>
        <w:pStyle w:val="9"/>
        <w:spacing w:before="166"/>
        <w:ind w:left="0"/>
        <w:jc w:val="left"/>
        <w:rPr>
          <w:rFonts w:hint="eastAsia"/>
          <w:sz w:val="30"/>
          <w:szCs w:val="30"/>
        </w:rPr>
      </w:pPr>
      <w:r>
        <w:rPr>
          <w:rFonts w:hint="eastAsia"/>
          <w:sz w:val="30"/>
          <w:szCs w:val="30"/>
        </w:rPr>
        <w:t>保罗在写给帖撒罗尼迦人的信中，反复谈到基督的降临，例如，他祷告求上帝保守他们的心，“……在我们的主耶稣和祂众圣徒来的时候，在我们的父上帝面前，成为圣洁，无可指摘”（帖前3:13, 4:15, 5:23；帖后2:1）。</w:t>
      </w:r>
    </w:p>
    <w:p w14:paraId="6621CD20">
      <w:pPr>
        <w:pStyle w:val="9"/>
        <w:spacing w:before="166"/>
        <w:ind w:left="0"/>
        <w:jc w:val="left"/>
        <w:rPr>
          <w:rFonts w:hint="eastAsia"/>
          <w:sz w:val="30"/>
          <w:szCs w:val="30"/>
        </w:rPr>
      </w:pPr>
    </w:p>
    <w:p w14:paraId="2B2C1FED">
      <w:pPr>
        <w:pStyle w:val="9"/>
        <w:spacing w:before="166"/>
        <w:ind w:left="0"/>
        <w:jc w:val="left"/>
        <w:rPr>
          <w:rFonts w:hint="eastAsia"/>
          <w:sz w:val="30"/>
          <w:szCs w:val="30"/>
        </w:rPr>
      </w:pPr>
      <w:r>
        <w:rPr>
          <w:rFonts w:hint="eastAsia"/>
          <w:sz w:val="30"/>
          <w:szCs w:val="30"/>
        </w:rPr>
        <w:t>James urges believers to be patient till the end, assuring them that “… the coming of the Lord is at hand” (James 5:7-8).</w:t>
      </w:r>
    </w:p>
    <w:p w14:paraId="50B38446">
      <w:pPr>
        <w:pStyle w:val="9"/>
        <w:spacing w:before="166"/>
        <w:ind w:left="0"/>
        <w:jc w:val="left"/>
        <w:rPr>
          <w:rFonts w:hint="eastAsia"/>
          <w:sz w:val="30"/>
          <w:szCs w:val="30"/>
        </w:rPr>
      </w:pPr>
      <w:r>
        <w:rPr>
          <w:rFonts w:hint="eastAsia"/>
          <w:sz w:val="30"/>
          <w:szCs w:val="30"/>
        </w:rPr>
        <w:t>雅各敦促信徒忍耐到底，向他们保证说“……主的降临近了”（雅各书5:7-8）。</w:t>
      </w:r>
    </w:p>
    <w:p w14:paraId="38C3C6AC">
      <w:pPr>
        <w:pStyle w:val="9"/>
        <w:spacing w:before="166"/>
        <w:ind w:left="0"/>
        <w:jc w:val="left"/>
        <w:rPr>
          <w:rFonts w:hint="eastAsia"/>
          <w:sz w:val="30"/>
          <w:szCs w:val="30"/>
        </w:rPr>
      </w:pPr>
    </w:p>
    <w:p w14:paraId="2B92C57D">
      <w:pPr>
        <w:pStyle w:val="9"/>
        <w:spacing w:before="166"/>
        <w:ind w:left="0"/>
        <w:jc w:val="left"/>
        <w:rPr>
          <w:rFonts w:hint="eastAsia"/>
          <w:sz w:val="30"/>
          <w:szCs w:val="30"/>
        </w:rPr>
      </w:pPr>
      <w:r>
        <w:rPr>
          <w:rFonts w:hint="eastAsia"/>
          <w:sz w:val="30"/>
          <w:szCs w:val="30"/>
        </w:rPr>
        <w:t>In the same vein, various apostles refer to Christ’s return as “his coming,” clearly assuming that there is but one of them (1 Cor. 15:23, 1 Thess. 2:19, 2 Thess. 2:8, 1 John 2:28).</w:t>
      </w:r>
    </w:p>
    <w:p w14:paraId="16BE57D8">
      <w:pPr>
        <w:pStyle w:val="9"/>
        <w:spacing w:before="166"/>
        <w:ind w:left="0"/>
        <w:jc w:val="left"/>
        <w:rPr>
          <w:rFonts w:hint="eastAsia"/>
          <w:sz w:val="30"/>
          <w:szCs w:val="30"/>
        </w:rPr>
      </w:pPr>
      <w:r>
        <w:rPr>
          <w:rFonts w:hint="eastAsia"/>
          <w:sz w:val="30"/>
          <w:szCs w:val="30"/>
        </w:rPr>
        <w:t>同样，众使徒都将基督的再来称为“祂的降临”，显然假设只有一个这样的降临（林前15:23，帖前2:19，帖后2:8，约壹2:28）。</w:t>
      </w:r>
    </w:p>
    <w:p w14:paraId="167B55C8">
      <w:pPr>
        <w:pStyle w:val="9"/>
        <w:spacing w:before="166"/>
        <w:ind w:left="0"/>
        <w:jc w:val="left"/>
        <w:rPr>
          <w:rFonts w:hint="eastAsia"/>
          <w:sz w:val="30"/>
          <w:szCs w:val="30"/>
        </w:rPr>
      </w:pPr>
    </w:p>
    <w:p w14:paraId="253089C4">
      <w:pPr>
        <w:pStyle w:val="9"/>
        <w:spacing w:before="166"/>
        <w:ind w:left="0"/>
        <w:jc w:val="left"/>
        <w:rPr>
          <w:rFonts w:hint="eastAsia"/>
          <w:sz w:val="30"/>
          <w:szCs w:val="30"/>
        </w:rPr>
      </w:pPr>
      <w:r>
        <w:rPr>
          <w:rFonts w:hint="eastAsia"/>
          <w:sz w:val="30"/>
          <w:szCs w:val="30"/>
        </w:rPr>
        <w:t>As for the other two words, the pattern is identical.</w:t>
      </w:r>
    </w:p>
    <w:p w14:paraId="04FC7BA0">
      <w:pPr>
        <w:pStyle w:val="9"/>
        <w:spacing w:before="166"/>
        <w:ind w:left="0"/>
        <w:jc w:val="left"/>
        <w:rPr>
          <w:rFonts w:hint="eastAsia"/>
          <w:sz w:val="30"/>
          <w:szCs w:val="30"/>
        </w:rPr>
      </w:pPr>
      <w:r>
        <w:rPr>
          <w:rFonts w:hint="eastAsia"/>
          <w:sz w:val="30"/>
          <w:szCs w:val="30"/>
        </w:rPr>
        <w:t>至于另外两个词，模式是相同的。</w:t>
      </w:r>
    </w:p>
    <w:p w14:paraId="58950E20">
      <w:pPr>
        <w:pStyle w:val="9"/>
        <w:spacing w:before="166"/>
        <w:ind w:left="0"/>
        <w:jc w:val="left"/>
        <w:rPr>
          <w:rFonts w:hint="eastAsia"/>
          <w:sz w:val="30"/>
          <w:szCs w:val="30"/>
        </w:rPr>
      </w:pPr>
    </w:p>
    <w:p w14:paraId="0AD81D87">
      <w:pPr>
        <w:pStyle w:val="9"/>
        <w:spacing w:before="166"/>
        <w:ind w:left="0"/>
        <w:jc w:val="left"/>
        <w:rPr>
          <w:rFonts w:hint="eastAsia"/>
          <w:sz w:val="30"/>
          <w:szCs w:val="30"/>
        </w:rPr>
      </w:pPr>
      <w:r>
        <w:rPr>
          <w:rFonts w:hint="eastAsia"/>
          <w:sz w:val="30"/>
          <w:szCs w:val="30"/>
        </w:rPr>
        <w:t>Over and again, the apostles speak of the revelation (apokalupsis) of the Lord Jesus Christ (1 Cor. 1:7, 2 Thess. 1:7, 1 Peter 1:7, 13, 4:13), and also of the (or his) appearing (epiphaneia, 2 Thess. 2:8, 1 Tim. 6:14, 2 Tim. 1:10, 4:1, 8, Titus 2:13).</w:t>
      </w:r>
    </w:p>
    <w:p w14:paraId="134907A9">
      <w:pPr>
        <w:pStyle w:val="9"/>
        <w:spacing w:before="166"/>
        <w:ind w:left="0"/>
        <w:jc w:val="left"/>
        <w:rPr>
          <w:rFonts w:hint="eastAsia"/>
          <w:sz w:val="30"/>
          <w:szCs w:val="30"/>
        </w:rPr>
      </w:pPr>
      <w:r>
        <w:rPr>
          <w:rFonts w:hint="eastAsia"/>
          <w:sz w:val="30"/>
          <w:szCs w:val="30"/>
        </w:rPr>
        <w:t>使徒们一再地谈到主耶稣基督的启示（apokalupsis）（林前1:7，帖后1:7，彼前1:7, 13, 4:13），也谈到（或祂的）显现（epiphaneia，帖后2:8，提前6:14，提后1:10, 4:1, 8，多2:13）。</w:t>
      </w:r>
    </w:p>
    <w:p w14:paraId="4B1DC8AE">
      <w:pPr>
        <w:pStyle w:val="9"/>
        <w:spacing w:before="166"/>
        <w:ind w:left="0"/>
        <w:jc w:val="left"/>
        <w:rPr>
          <w:rFonts w:hint="eastAsia"/>
          <w:sz w:val="30"/>
          <w:szCs w:val="30"/>
        </w:rPr>
      </w:pPr>
    </w:p>
    <w:p w14:paraId="3866241D">
      <w:pPr>
        <w:pStyle w:val="9"/>
        <w:spacing w:before="166"/>
        <w:ind w:left="0"/>
        <w:jc w:val="left"/>
        <w:rPr>
          <w:rFonts w:hint="eastAsia"/>
          <w:sz w:val="30"/>
          <w:szCs w:val="30"/>
        </w:rPr>
      </w:pPr>
      <w:r>
        <w:rPr>
          <w:rFonts w:hint="eastAsia"/>
          <w:sz w:val="30"/>
          <w:szCs w:val="30"/>
        </w:rPr>
        <w:t>In effect, the definite article turns these three terms for Christ’s return into an eschatological trinity: They are different, yet they are one, since all three speak of the same Coming of the Lord Jesus Christ, albeit from slightly different angles.</w:t>
      </w:r>
    </w:p>
    <w:p w14:paraId="0915B346">
      <w:pPr>
        <w:pStyle w:val="9"/>
        <w:spacing w:before="166"/>
        <w:ind w:left="0"/>
        <w:jc w:val="left"/>
        <w:rPr>
          <w:rFonts w:hint="eastAsia"/>
          <w:sz w:val="30"/>
          <w:szCs w:val="30"/>
        </w:rPr>
      </w:pPr>
      <w:r>
        <w:rPr>
          <w:rFonts w:hint="eastAsia"/>
          <w:sz w:val="30"/>
          <w:szCs w:val="30"/>
        </w:rPr>
        <w:t>实际上，定冠词将这三个表示基督再来的术语变成了一个末世论的三位一体：它们是不同的，但它们又是一体的，因为这三个词都谈论的是同一个主耶稣基督的降临，尽管角度略有不同。</w:t>
      </w:r>
    </w:p>
    <w:p w14:paraId="5B82C1AA">
      <w:pPr>
        <w:pStyle w:val="9"/>
        <w:spacing w:before="166"/>
        <w:ind w:left="0"/>
        <w:jc w:val="left"/>
        <w:rPr>
          <w:rFonts w:hint="eastAsia"/>
          <w:sz w:val="30"/>
          <w:szCs w:val="30"/>
        </w:rPr>
      </w:pPr>
    </w:p>
    <w:p w14:paraId="30B8E9E6">
      <w:pPr>
        <w:pStyle w:val="9"/>
        <w:spacing w:before="166"/>
        <w:ind w:left="0"/>
        <w:jc w:val="left"/>
        <w:rPr>
          <w:rFonts w:hint="eastAsia"/>
          <w:sz w:val="30"/>
          <w:szCs w:val="30"/>
        </w:rPr>
      </w:pPr>
      <w:r>
        <w:rPr>
          <w:rFonts w:hint="eastAsia"/>
          <w:sz w:val="30"/>
          <w:szCs w:val="30"/>
        </w:rPr>
        <w:t>In this connection, we should take note of Hebrews 9:27-28, an especially powerful text dealing with the Parousia.</w:t>
      </w:r>
    </w:p>
    <w:p w14:paraId="5CE56D64">
      <w:pPr>
        <w:pStyle w:val="9"/>
        <w:spacing w:before="166"/>
        <w:ind w:left="0"/>
        <w:jc w:val="left"/>
        <w:rPr>
          <w:rFonts w:hint="eastAsia"/>
          <w:sz w:val="30"/>
          <w:szCs w:val="30"/>
        </w:rPr>
      </w:pPr>
      <w:r>
        <w:rPr>
          <w:rFonts w:hint="eastAsia"/>
          <w:sz w:val="30"/>
          <w:szCs w:val="30"/>
        </w:rPr>
        <w:t>在这方面，我们应该注意希伯来书9:27-28，这是一段特别有力的、处理主临（Parousia）的经文。</w:t>
      </w:r>
    </w:p>
    <w:p w14:paraId="49A65C63">
      <w:pPr>
        <w:pStyle w:val="9"/>
        <w:spacing w:before="166"/>
        <w:ind w:left="0"/>
        <w:jc w:val="left"/>
        <w:rPr>
          <w:rFonts w:hint="eastAsia"/>
          <w:sz w:val="30"/>
          <w:szCs w:val="30"/>
        </w:rPr>
      </w:pPr>
    </w:p>
    <w:p w14:paraId="4EC5CEE9">
      <w:pPr>
        <w:pStyle w:val="9"/>
        <w:spacing w:before="166"/>
        <w:ind w:left="0"/>
        <w:jc w:val="left"/>
        <w:rPr>
          <w:rFonts w:hint="eastAsia"/>
          <w:sz w:val="30"/>
          <w:szCs w:val="30"/>
        </w:rPr>
      </w:pPr>
      <w:r>
        <w:rPr>
          <w:rFonts w:hint="eastAsia"/>
          <w:sz w:val="30"/>
          <w:szCs w:val="30"/>
        </w:rPr>
        <w:t>It reads:</w:t>
      </w:r>
    </w:p>
    <w:p w14:paraId="26AEDEB3">
      <w:pPr>
        <w:pStyle w:val="9"/>
        <w:spacing w:before="166"/>
        <w:ind w:left="0"/>
        <w:jc w:val="left"/>
        <w:rPr>
          <w:rFonts w:hint="eastAsia"/>
          <w:sz w:val="30"/>
          <w:szCs w:val="30"/>
        </w:rPr>
      </w:pPr>
      <w:r>
        <w:rPr>
          <w:rFonts w:hint="eastAsia"/>
          <w:sz w:val="30"/>
          <w:szCs w:val="30"/>
        </w:rPr>
        <w:t>它写道：</w:t>
      </w:r>
    </w:p>
    <w:p w14:paraId="647D27DA">
      <w:pPr>
        <w:pStyle w:val="9"/>
        <w:spacing w:before="166"/>
        <w:ind w:left="0"/>
        <w:jc w:val="left"/>
        <w:rPr>
          <w:rFonts w:hint="eastAsia"/>
          <w:sz w:val="30"/>
          <w:szCs w:val="30"/>
        </w:rPr>
      </w:pPr>
    </w:p>
    <w:p w14:paraId="1A811D76">
      <w:pPr>
        <w:pStyle w:val="9"/>
        <w:spacing w:before="166"/>
        <w:ind w:left="0"/>
        <w:jc w:val="left"/>
        <w:rPr>
          <w:rFonts w:hint="eastAsia"/>
          <w:sz w:val="30"/>
          <w:szCs w:val="30"/>
        </w:rPr>
      </w:pPr>
      <w:r>
        <w:rPr>
          <w:rFonts w:hint="eastAsia"/>
          <w:sz w:val="30"/>
          <w:szCs w:val="30"/>
        </w:rPr>
        <w:t>And just as it is appointed for man to die once, and after that comes judgment, so Christ, having been offered once to bear the sins of many, will appear a second time, not to deal with sin, but to save those who are eagerly waiting for him.</w:t>
      </w:r>
    </w:p>
    <w:p w14:paraId="6B9F1684">
      <w:pPr>
        <w:pStyle w:val="9"/>
        <w:spacing w:before="166"/>
        <w:ind w:left="0"/>
        <w:jc w:val="left"/>
        <w:rPr>
          <w:rFonts w:hint="eastAsia"/>
          <w:sz w:val="30"/>
          <w:szCs w:val="30"/>
        </w:rPr>
      </w:pPr>
      <w:r>
        <w:rPr>
          <w:rFonts w:hint="eastAsia"/>
          <w:sz w:val="30"/>
          <w:szCs w:val="30"/>
        </w:rPr>
        <w:t>按着定命，人人都有一死，死后且有审判。像这样，基督既然一次被献，担当了多人的罪，将来要向那等候祂的人第二次显现，并与罪无关，乃是为要拯救他们。</w:t>
      </w:r>
    </w:p>
    <w:p w14:paraId="5F564D21">
      <w:pPr>
        <w:pStyle w:val="9"/>
        <w:spacing w:before="166"/>
        <w:ind w:left="0"/>
        <w:jc w:val="left"/>
        <w:rPr>
          <w:rFonts w:hint="eastAsia"/>
          <w:sz w:val="30"/>
          <w:szCs w:val="30"/>
        </w:rPr>
      </w:pPr>
    </w:p>
    <w:p w14:paraId="12D0CF87">
      <w:pPr>
        <w:pStyle w:val="9"/>
        <w:spacing w:before="166"/>
        <w:ind w:left="0"/>
        <w:jc w:val="left"/>
        <w:rPr>
          <w:rFonts w:hint="eastAsia"/>
          <w:sz w:val="30"/>
          <w:szCs w:val="30"/>
        </w:rPr>
      </w:pPr>
      <w:r>
        <w:rPr>
          <w:rFonts w:hint="eastAsia"/>
          <w:sz w:val="30"/>
          <w:szCs w:val="30"/>
        </w:rPr>
        <w:t>The presuppositions of the writer are crystal clear: It is appointed to men to die once; it is appointed to them to be judged once; it was appointed to Christ to die once for their sins; and it is appointed to him to appear once more, to complete their redemption.</w:t>
      </w:r>
    </w:p>
    <w:p w14:paraId="52979BAE">
      <w:pPr>
        <w:pStyle w:val="9"/>
        <w:spacing w:before="166"/>
        <w:ind w:left="0"/>
        <w:jc w:val="left"/>
        <w:rPr>
          <w:rFonts w:hint="eastAsia"/>
          <w:sz w:val="30"/>
          <w:szCs w:val="30"/>
        </w:rPr>
      </w:pPr>
      <w:r>
        <w:rPr>
          <w:rFonts w:hint="eastAsia"/>
          <w:sz w:val="30"/>
          <w:szCs w:val="30"/>
        </w:rPr>
        <w:t>作者的预设是晶莹剔透的：人人都有一死；他们都有一次被审判；基督为他们的罪死了一次；祂也要再显现一次，来完成他们的救赎。</w:t>
      </w:r>
    </w:p>
    <w:p w14:paraId="2CF04A38">
      <w:pPr>
        <w:pStyle w:val="9"/>
        <w:spacing w:before="166"/>
        <w:ind w:left="0"/>
        <w:jc w:val="left"/>
        <w:rPr>
          <w:rFonts w:hint="eastAsia"/>
          <w:sz w:val="30"/>
          <w:szCs w:val="30"/>
        </w:rPr>
      </w:pPr>
    </w:p>
    <w:p w14:paraId="0E9CCA5B">
      <w:pPr>
        <w:pStyle w:val="9"/>
        <w:spacing w:before="166"/>
        <w:ind w:left="0"/>
        <w:jc w:val="left"/>
        <w:rPr>
          <w:rFonts w:hint="eastAsia"/>
          <w:sz w:val="30"/>
          <w:szCs w:val="30"/>
        </w:rPr>
      </w:pPr>
      <w:r>
        <w:rPr>
          <w:rFonts w:hint="eastAsia"/>
          <w:sz w:val="30"/>
          <w:szCs w:val="30"/>
        </w:rPr>
        <w:t>The text reads: Christ will appear a second time.</w:t>
      </w:r>
    </w:p>
    <w:p w14:paraId="2ADC9CAA">
      <w:pPr>
        <w:pStyle w:val="9"/>
        <w:spacing w:before="166"/>
        <w:ind w:left="0"/>
        <w:jc w:val="left"/>
        <w:rPr>
          <w:rFonts w:hint="eastAsia"/>
          <w:sz w:val="30"/>
          <w:szCs w:val="30"/>
        </w:rPr>
      </w:pPr>
      <w:r>
        <w:rPr>
          <w:rFonts w:hint="eastAsia"/>
          <w:sz w:val="30"/>
          <w:szCs w:val="30"/>
        </w:rPr>
        <w:t>经文写道：基督将第二次显现。</w:t>
      </w:r>
    </w:p>
    <w:p w14:paraId="4D032CA2">
      <w:pPr>
        <w:pStyle w:val="9"/>
        <w:spacing w:before="166"/>
        <w:ind w:left="0"/>
        <w:jc w:val="left"/>
        <w:rPr>
          <w:rFonts w:hint="eastAsia"/>
          <w:sz w:val="30"/>
          <w:szCs w:val="30"/>
        </w:rPr>
      </w:pPr>
    </w:p>
    <w:p w14:paraId="1F8629EE">
      <w:pPr>
        <w:pStyle w:val="9"/>
        <w:spacing w:before="166"/>
        <w:ind w:left="0"/>
        <w:jc w:val="left"/>
        <w:rPr>
          <w:rFonts w:hint="eastAsia"/>
          <w:sz w:val="30"/>
          <w:szCs w:val="30"/>
        </w:rPr>
      </w:pPr>
      <w:r>
        <w:rPr>
          <w:rFonts w:hint="eastAsia"/>
          <w:sz w:val="30"/>
          <w:szCs w:val="30"/>
        </w:rPr>
        <w:t>The second appearing is the second of two, and only two.</w:t>
      </w:r>
    </w:p>
    <w:p w14:paraId="7F7B1FE9">
      <w:pPr>
        <w:pStyle w:val="9"/>
        <w:spacing w:before="166"/>
        <w:ind w:left="0"/>
        <w:jc w:val="left"/>
        <w:rPr>
          <w:rFonts w:hint="eastAsia"/>
          <w:sz w:val="30"/>
          <w:szCs w:val="30"/>
        </w:rPr>
      </w:pPr>
      <w:r>
        <w:rPr>
          <w:rFonts w:hint="eastAsia"/>
          <w:sz w:val="30"/>
          <w:szCs w:val="30"/>
        </w:rPr>
        <w:t>第二次显现是两次中的第二次，也只有两次。</w:t>
      </w:r>
    </w:p>
    <w:p w14:paraId="605598AF">
      <w:pPr>
        <w:pStyle w:val="9"/>
        <w:spacing w:before="166"/>
        <w:ind w:left="0"/>
        <w:jc w:val="left"/>
        <w:rPr>
          <w:rFonts w:hint="eastAsia"/>
          <w:sz w:val="30"/>
          <w:szCs w:val="30"/>
        </w:rPr>
      </w:pPr>
    </w:p>
    <w:p w14:paraId="25559D7E">
      <w:pPr>
        <w:pStyle w:val="9"/>
        <w:spacing w:before="166"/>
        <w:ind w:left="0"/>
        <w:jc w:val="left"/>
        <w:rPr>
          <w:rFonts w:hint="eastAsia"/>
          <w:sz w:val="30"/>
          <w:szCs w:val="30"/>
        </w:rPr>
      </w:pPr>
      <w:r>
        <w:rPr>
          <w:rFonts w:hint="eastAsia"/>
          <w:sz w:val="30"/>
          <w:szCs w:val="30"/>
        </w:rPr>
        <w:t>For the writer to the Hebrews, there is one Parousia; one second coming of Christ.</w:t>
      </w:r>
    </w:p>
    <w:p w14:paraId="6A1EB3CB">
      <w:pPr>
        <w:pStyle w:val="9"/>
        <w:spacing w:before="166"/>
        <w:ind w:left="0"/>
        <w:jc w:val="left"/>
        <w:rPr>
          <w:rFonts w:hint="eastAsia"/>
          <w:sz w:val="30"/>
          <w:szCs w:val="30"/>
        </w:rPr>
      </w:pPr>
      <w:r>
        <w:rPr>
          <w:rFonts w:hint="eastAsia"/>
          <w:sz w:val="30"/>
          <w:szCs w:val="30"/>
        </w:rPr>
        <w:t>对希伯来书的作者而言，只有一个主临（Parousia）；基督的一次第二次降临。</w:t>
      </w:r>
    </w:p>
    <w:p w14:paraId="1A9735F8">
      <w:pPr>
        <w:pStyle w:val="9"/>
        <w:spacing w:before="166"/>
        <w:ind w:left="0"/>
        <w:jc w:val="left"/>
        <w:rPr>
          <w:rFonts w:hint="eastAsia"/>
          <w:sz w:val="30"/>
          <w:szCs w:val="30"/>
        </w:rPr>
      </w:pPr>
    </w:p>
    <w:p w14:paraId="5A9E34E5">
      <w:pPr>
        <w:pStyle w:val="9"/>
        <w:spacing w:before="166"/>
        <w:ind w:left="0"/>
        <w:jc w:val="left"/>
        <w:rPr>
          <w:rFonts w:hint="eastAsia"/>
          <w:sz w:val="30"/>
          <w:szCs w:val="30"/>
        </w:rPr>
      </w:pPr>
      <w:r>
        <w:rPr>
          <w:rFonts w:hint="eastAsia"/>
          <w:sz w:val="30"/>
          <w:szCs w:val="30"/>
        </w:rPr>
        <w:t>Dispensationalists, historic premillennarians, and partial preterists—all of whom teach multiple comings of Christ—would do well to ponder these texts carefully.</w:t>
      </w:r>
    </w:p>
    <w:p w14:paraId="616FD003">
      <w:pPr>
        <w:pStyle w:val="9"/>
        <w:spacing w:before="166"/>
        <w:ind w:left="0"/>
        <w:jc w:val="left"/>
        <w:rPr>
          <w:rFonts w:hint="eastAsia"/>
          <w:sz w:val="30"/>
          <w:szCs w:val="30"/>
        </w:rPr>
      </w:pPr>
      <w:r>
        <w:rPr>
          <w:rFonts w:hint="eastAsia"/>
          <w:sz w:val="30"/>
          <w:szCs w:val="30"/>
        </w:rPr>
        <w:t>时代论者、历史性前千禧年论者和部分过去派——他们都教导基督的多次降临——最好仔细地默想这些经文。</w:t>
      </w:r>
    </w:p>
    <w:p w14:paraId="1A6A97BA">
      <w:pPr>
        <w:pStyle w:val="9"/>
        <w:spacing w:before="166"/>
        <w:ind w:left="0"/>
        <w:jc w:val="left"/>
        <w:rPr>
          <w:rFonts w:hint="eastAsia"/>
          <w:sz w:val="30"/>
          <w:szCs w:val="30"/>
        </w:rPr>
      </w:pPr>
    </w:p>
    <w:p w14:paraId="393ADA83">
      <w:pPr>
        <w:pStyle w:val="9"/>
        <w:spacing w:before="166"/>
        <w:ind w:left="0"/>
        <w:jc w:val="left"/>
        <w:rPr>
          <w:rFonts w:hint="eastAsia"/>
          <w:sz w:val="30"/>
          <w:szCs w:val="30"/>
        </w:rPr>
      </w:pPr>
      <w:r>
        <w:rPr>
          <w:rFonts w:hint="eastAsia"/>
          <w:sz w:val="30"/>
          <w:szCs w:val="30"/>
        </w:rPr>
        <w:t>In every case, the reference is clearly to a single, visible, bodily return of Christ in glory.</w:t>
      </w:r>
    </w:p>
    <w:p w14:paraId="10BB38EE">
      <w:pPr>
        <w:pStyle w:val="9"/>
        <w:spacing w:before="166"/>
        <w:ind w:left="0"/>
        <w:jc w:val="left"/>
        <w:rPr>
          <w:rFonts w:hint="eastAsia"/>
          <w:sz w:val="30"/>
          <w:szCs w:val="30"/>
        </w:rPr>
      </w:pPr>
      <w:r>
        <w:rPr>
          <w:rFonts w:hint="eastAsia"/>
          <w:sz w:val="30"/>
          <w:szCs w:val="30"/>
        </w:rPr>
        <w:t>在每一种情况下，所指的都清楚地是基督在荣耀中一次性的、可见的、身体的再来。</w:t>
      </w:r>
    </w:p>
    <w:p w14:paraId="5EF8C0E1">
      <w:pPr>
        <w:pStyle w:val="9"/>
        <w:spacing w:before="166"/>
        <w:ind w:left="0"/>
        <w:jc w:val="left"/>
        <w:rPr>
          <w:rFonts w:hint="eastAsia"/>
          <w:sz w:val="30"/>
          <w:szCs w:val="30"/>
        </w:rPr>
      </w:pPr>
    </w:p>
    <w:p w14:paraId="7E3ABC8E">
      <w:pPr>
        <w:pStyle w:val="9"/>
        <w:spacing w:before="166"/>
        <w:ind w:left="0"/>
        <w:jc w:val="left"/>
        <w:rPr>
          <w:rFonts w:hint="eastAsia"/>
          <w:sz w:val="30"/>
          <w:szCs w:val="30"/>
        </w:rPr>
      </w:pPr>
      <w:r>
        <w:rPr>
          <w:rFonts w:hint="eastAsia"/>
          <w:sz w:val="30"/>
          <w:szCs w:val="30"/>
        </w:rPr>
        <w:t>In this, the apostles were only passing along what their Lord had taught them: “For as lightning that comes from the east is visible even in the west, so will the coming of the Son of Man be” (Mt. 24:27).</w:t>
      </w:r>
    </w:p>
    <w:p w14:paraId="0B72B414">
      <w:pPr>
        <w:pStyle w:val="9"/>
        <w:spacing w:before="166"/>
        <w:ind w:left="0"/>
        <w:jc w:val="left"/>
        <w:rPr>
          <w:rFonts w:hint="eastAsia"/>
          <w:sz w:val="30"/>
          <w:szCs w:val="30"/>
        </w:rPr>
      </w:pPr>
      <w:r>
        <w:rPr>
          <w:rFonts w:hint="eastAsia"/>
          <w:sz w:val="30"/>
          <w:szCs w:val="30"/>
        </w:rPr>
        <w:t>在这方面，使徒们只是传递了他们的主所教导他们的：“闪电从东边发出，直照到西边。人子降临，也要这样”（太24:27）。</w:t>
      </w:r>
    </w:p>
    <w:p w14:paraId="23820C52">
      <w:pPr>
        <w:pStyle w:val="9"/>
        <w:spacing w:before="166"/>
        <w:ind w:left="0"/>
        <w:jc w:val="left"/>
        <w:rPr>
          <w:rFonts w:hint="eastAsia"/>
          <w:sz w:val="30"/>
          <w:szCs w:val="30"/>
        </w:rPr>
      </w:pPr>
    </w:p>
    <w:p w14:paraId="2A4EC021">
      <w:pPr>
        <w:pStyle w:val="9"/>
        <w:spacing w:before="166"/>
        <w:ind w:left="0"/>
        <w:jc w:val="left"/>
        <w:rPr>
          <w:rFonts w:hint="eastAsia"/>
          <w:sz w:val="30"/>
          <w:szCs w:val="30"/>
        </w:rPr>
      </w:pPr>
      <w:r>
        <w:rPr>
          <w:rFonts w:hint="eastAsia"/>
          <w:sz w:val="30"/>
          <w:szCs w:val="30"/>
        </w:rPr>
        <w:t>They also based their eschatology on what the two angels told them at Christ’s ascension: “Men of Galilee, why do you stand looking into the sky? This Jesus who has been taken up from you into heaven will come (once) again in just the same way as you watched him go into heaven” (Acts 2:11).</w:t>
      </w:r>
    </w:p>
    <w:p w14:paraId="50CAA10F">
      <w:pPr>
        <w:pStyle w:val="9"/>
        <w:spacing w:before="166"/>
        <w:ind w:left="0"/>
        <w:jc w:val="left"/>
        <w:rPr>
          <w:rFonts w:hint="eastAsia"/>
          <w:sz w:val="30"/>
          <w:szCs w:val="30"/>
        </w:rPr>
      </w:pPr>
      <w:r>
        <w:rPr>
          <w:rFonts w:hint="eastAsia"/>
          <w:sz w:val="30"/>
          <w:szCs w:val="30"/>
        </w:rPr>
        <w:t>他们也将他们的末世论建立在基督升天时两个天使告诉他们的话上：“加利利人哪，你们为什么站着望天呢？这离开你们被接升天的耶稣，你们见祂怎样往天上去，祂还要怎样来”（使徒行传2:11）。</w:t>
      </w:r>
    </w:p>
    <w:p w14:paraId="7C9EC69F">
      <w:pPr>
        <w:pStyle w:val="9"/>
        <w:spacing w:before="166"/>
        <w:ind w:left="0"/>
        <w:jc w:val="left"/>
        <w:rPr>
          <w:rFonts w:hint="eastAsia"/>
          <w:sz w:val="30"/>
          <w:szCs w:val="30"/>
        </w:rPr>
      </w:pPr>
    </w:p>
    <w:p w14:paraId="6E4C01D3">
      <w:pPr>
        <w:pStyle w:val="9"/>
        <w:spacing w:before="166"/>
        <w:ind w:left="0"/>
        <w:jc w:val="left"/>
        <w:rPr>
          <w:rFonts w:hint="eastAsia"/>
          <w:sz w:val="30"/>
          <w:szCs w:val="30"/>
        </w:rPr>
      </w:pPr>
      <w:r>
        <w:rPr>
          <w:rFonts w:hint="eastAsia"/>
          <w:sz w:val="30"/>
          <w:szCs w:val="30"/>
        </w:rPr>
        <w:t>A single, visible, bodily return of Christ in glory was the apostles’ Blessed Hope, the sole object of their eschatological longing.</w:t>
      </w:r>
    </w:p>
    <w:p w14:paraId="070BC785">
      <w:pPr>
        <w:pStyle w:val="9"/>
        <w:spacing w:before="166"/>
        <w:ind w:left="0"/>
        <w:jc w:val="left"/>
        <w:rPr>
          <w:rFonts w:hint="eastAsia"/>
          <w:sz w:val="30"/>
          <w:szCs w:val="30"/>
        </w:rPr>
      </w:pPr>
      <w:r>
        <w:rPr>
          <w:rFonts w:hint="eastAsia"/>
          <w:sz w:val="30"/>
          <w:szCs w:val="30"/>
        </w:rPr>
        <w:t>基督在荣耀中一次性的、可见的、身体的再来，是使徒们有福的盼望，是他们末世盼望的唯一对象。</w:t>
      </w:r>
    </w:p>
    <w:p w14:paraId="4F37B7A4">
      <w:pPr>
        <w:pStyle w:val="9"/>
        <w:spacing w:before="166"/>
        <w:ind w:left="0"/>
        <w:jc w:val="left"/>
        <w:rPr>
          <w:rFonts w:hint="eastAsia"/>
          <w:sz w:val="30"/>
          <w:szCs w:val="30"/>
        </w:rPr>
      </w:pPr>
    </w:p>
    <w:p w14:paraId="51E1BBD6">
      <w:pPr>
        <w:pStyle w:val="9"/>
        <w:spacing w:before="166"/>
        <w:ind w:left="0"/>
        <w:jc w:val="left"/>
        <w:rPr>
          <w:rFonts w:hint="eastAsia"/>
          <w:sz w:val="30"/>
          <w:szCs w:val="30"/>
        </w:rPr>
      </w:pPr>
      <w:r>
        <w:rPr>
          <w:rFonts w:hint="eastAsia"/>
          <w:sz w:val="30"/>
          <w:szCs w:val="30"/>
        </w:rPr>
        <w:t>Should it not be ours, as well?</w:t>
      </w:r>
    </w:p>
    <w:p w14:paraId="3BB756CC">
      <w:pPr>
        <w:pStyle w:val="9"/>
        <w:spacing w:before="166"/>
        <w:ind w:left="0"/>
        <w:jc w:val="left"/>
        <w:rPr>
          <w:rFonts w:hint="eastAsia"/>
          <w:sz w:val="30"/>
          <w:szCs w:val="30"/>
        </w:rPr>
      </w:pPr>
      <w:r>
        <w:rPr>
          <w:rFonts w:hint="eastAsia"/>
          <w:sz w:val="30"/>
          <w:szCs w:val="30"/>
        </w:rPr>
        <w:t>难道不也应该是我们的吗？</w:t>
      </w:r>
    </w:p>
    <w:p w14:paraId="1F99F947">
      <w:pPr>
        <w:pStyle w:val="9"/>
        <w:spacing w:before="166"/>
        <w:ind w:left="0"/>
        <w:jc w:val="left"/>
        <w:rPr>
          <w:rFonts w:hint="eastAsia"/>
          <w:sz w:val="30"/>
          <w:szCs w:val="30"/>
        </w:rPr>
      </w:pPr>
    </w:p>
    <w:p w14:paraId="0820C2D5">
      <w:pPr>
        <w:pStyle w:val="9"/>
        <w:spacing w:before="166"/>
        <w:ind w:left="0"/>
        <w:jc w:val="left"/>
        <w:rPr>
          <w:rFonts w:hint="eastAsia"/>
          <w:sz w:val="30"/>
          <w:szCs w:val="30"/>
        </w:rPr>
      </w:pPr>
      <w:r>
        <w:rPr>
          <w:rFonts w:hint="eastAsia"/>
          <w:sz w:val="30"/>
          <w:szCs w:val="30"/>
        </w:rPr>
        <w:t>2.The One Resurrection</w:t>
      </w:r>
    </w:p>
    <w:p w14:paraId="16FAF9CD">
      <w:pPr>
        <w:pStyle w:val="9"/>
        <w:spacing w:before="166"/>
        <w:ind w:left="0"/>
        <w:jc w:val="left"/>
        <w:rPr>
          <w:rFonts w:hint="eastAsia"/>
          <w:sz w:val="30"/>
          <w:szCs w:val="30"/>
        </w:rPr>
      </w:pPr>
      <w:r>
        <w:rPr>
          <w:rFonts w:hint="eastAsia"/>
          <w:sz w:val="30"/>
          <w:szCs w:val="30"/>
        </w:rPr>
        <w:t>2.独一的复活</w:t>
      </w:r>
    </w:p>
    <w:p w14:paraId="1F637066">
      <w:pPr>
        <w:pStyle w:val="9"/>
        <w:spacing w:before="166"/>
        <w:ind w:left="0"/>
        <w:jc w:val="left"/>
        <w:rPr>
          <w:rFonts w:hint="eastAsia"/>
          <w:sz w:val="30"/>
          <w:szCs w:val="30"/>
        </w:rPr>
      </w:pPr>
    </w:p>
    <w:p w14:paraId="39B329F4">
      <w:pPr>
        <w:pStyle w:val="9"/>
        <w:spacing w:before="166"/>
        <w:ind w:left="0"/>
        <w:jc w:val="left"/>
        <w:rPr>
          <w:rFonts w:hint="eastAsia"/>
          <w:sz w:val="30"/>
          <w:szCs w:val="30"/>
        </w:rPr>
      </w:pPr>
      <w:r>
        <w:rPr>
          <w:rFonts w:hint="eastAsia"/>
          <w:sz w:val="30"/>
          <w:szCs w:val="30"/>
        </w:rPr>
        <w:t>Next comes the Resurrection.</w:t>
      </w:r>
    </w:p>
    <w:p w14:paraId="0493818B">
      <w:pPr>
        <w:pStyle w:val="9"/>
        <w:spacing w:before="166"/>
        <w:ind w:left="0"/>
        <w:jc w:val="left"/>
        <w:rPr>
          <w:rFonts w:hint="eastAsia"/>
          <w:sz w:val="30"/>
          <w:szCs w:val="30"/>
        </w:rPr>
      </w:pPr>
      <w:r>
        <w:rPr>
          <w:rFonts w:hint="eastAsia"/>
          <w:sz w:val="30"/>
          <w:szCs w:val="30"/>
        </w:rPr>
        <w:t>接着是复活。</w:t>
      </w:r>
    </w:p>
    <w:p w14:paraId="5157718B">
      <w:pPr>
        <w:pStyle w:val="9"/>
        <w:spacing w:before="166"/>
        <w:ind w:left="0"/>
        <w:jc w:val="left"/>
        <w:rPr>
          <w:rFonts w:hint="eastAsia"/>
          <w:sz w:val="30"/>
          <w:szCs w:val="30"/>
        </w:rPr>
      </w:pPr>
    </w:p>
    <w:p w14:paraId="13498CC4">
      <w:pPr>
        <w:pStyle w:val="9"/>
        <w:spacing w:before="166"/>
        <w:ind w:left="0"/>
        <w:jc w:val="left"/>
        <w:rPr>
          <w:rFonts w:hint="eastAsia"/>
          <w:sz w:val="30"/>
          <w:szCs w:val="30"/>
        </w:rPr>
      </w:pPr>
      <w:r>
        <w:rPr>
          <w:rFonts w:hint="eastAsia"/>
          <w:sz w:val="30"/>
          <w:szCs w:val="30"/>
        </w:rPr>
        <w:t>The NT says there is only one of them, in which all who have ever lived and died will rise to the Judgment.</w:t>
      </w:r>
    </w:p>
    <w:p w14:paraId="129AB8E1">
      <w:pPr>
        <w:pStyle w:val="9"/>
        <w:spacing w:before="166"/>
        <w:ind w:left="0"/>
        <w:jc w:val="left"/>
        <w:rPr>
          <w:rFonts w:hint="eastAsia"/>
          <w:sz w:val="30"/>
          <w:szCs w:val="30"/>
        </w:rPr>
      </w:pPr>
      <w:r>
        <w:rPr>
          <w:rFonts w:hint="eastAsia"/>
          <w:sz w:val="30"/>
          <w:szCs w:val="30"/>
        </w:rPr>
        <w:t>新约说只有一次复活，所有曾活过和死去的人都将复活受审判。</w:t>
      </w:r>
    </w:p>
    <w:p w14:paraId="03A2AA09">
      <w:pPr>
        <w:pStyle w:val="9"/>
        <w:spacing w:before="166"/>
        <w:ind w:left="0"/>
        <w:jc w:val="left"/>
        <w:rPr>
          <w:rFonts w:hint="eastAsia"/>
          <w:sz w:val="30"/>
          <w:szCs w:val="30"/>
        </w:rPr>
      </w:pPr>
    </w:p>
    <w:p w14:paraId="4A55D0B0">
      <w:pPr>
        <w:pStyle w:val="9"/>
        <w:spacing w:before="166"/>
        <w:ind w:left="0"/>
        <w:jc w:val="left"/>
        <w:rPr>
          <w:rFonts w:hint="eastAsia"/>
          <w:sz w:val="30"/>
          <w:szCs w:val="30"/>
        </w:rPr>
      </w:pPr>
      <w:r>
        <w:rPr>
          <w:rFonts w:hint="eastAsia"/>
          <w:sz w:val="30"/>
          <w:szCs w:val="30"/>
        </w:rPr>
        <w:t>In other words, it is a single general resurrection.</w:t>
      </w:r>
    </w:p>
    <w:p w14:paraId="2464FDDA">
      <w:pPr>
        <w:pStyle w:val="9"/>
        <w:spacing w:before="166"/>
        <w:ind w:left="0"/>
        <w:jc w:val="left"/>
        <w:rPr>
          <w:rFonts w:hint="eastAsia"/>
          <w:sz w:val="30"/>
          <w:szCs w:val="30"/>
        </w:rPr>
      </w:pPr>
      <w:r>
        <w:rPr>
          <w:rFonts w:hint="eastAsia"/>
          <w:sz w:val="30"/>
          <w:szCs w:val="30"/>
        </w:rPr>
        <w:t>换句话说，这是一次单一的普世复活。</w:t>
      </w:r>
    </w:p>
    <w:p w14:paraId="69550FF3">
      <w:pPr>
        <w:pStyle w:val="9"/>
        <w:spacing w:before="166"/>
        <w:ind w:left="0"/>
        <w:jc w:val="left"/>
        <w:rPr>
          <w:rFonts w:hint="eastAsia"/>
          <w:sz w:val="30"/>
          <w:szCs w:val="30"/>
        </w:rPr>
      </w:pPr>
    </w:p>
    <w:p w14:paraId="43E37FC4">
      <w:pPr>
        <w:pStyle w:val="9"/>
        <w:spacing w:before="166"/>
        <w:ind w:left="0"/>
        <w:jc w:val="left"/>
        <w:rPr>
          <w:rFonts w:hint="eastAsia"/>
          <w:sz w:val="30"/>
          <w:szCs w:val="30"/>
        </w:rPr>
      </w:pPr>
      <w:r>
        <w:rPr>
          <w:rFonts w:hint="eastAsia"/>
          <w:sz w:val="30"/>
          <w:szCs w:val="30"/>
        </w:rPr>
        <w:t>On this point, the most compelling NT text is John 5:28-29:</w:t>
      </w:r>
    </w:p>
    <w:p w14:paraId="27BCB57B">
      <w:pPr>
        <w:pStyle w:val="9"/>
        <w:spacing w:before="166"/>
        <w:ind w:left="0"/>
        <w:jc w:val="left"/>
        <w:rPr>
          <w:rFonts w:hint="eastAsia"/>
          <w:sz w:val="30"/>
          <w:szCs w:val="30"/>
        </w:rPr>
      </w:pPr>
      <w:r>
        <w:rPr>
          <w:rFonts w:hint="eastAsia"/>
          <w:sz w:val="30"/>
          <w:szCs w:val="30"/>
        </w:rPr>
        <w:t>在这一点上，最具说服力的新约经文是约翰福音5:28-29：</w:t>
      </w:r>
    </w:p>
    <w:p w14:paraId="4B22C7EB">
      <w:pPr>
        <w:pStyle w:val="9"/>
        <w:spacing w:before="166"/>
        <w:ind w:left="0"/>
        <w:jc w:val="left"/>
        <w:rPr>
          <w:rFonts w:hint="eastAsia"/>
          <w:sz w:val="30"/>
          <w:szCs w:val="30"/>
        </w:rPr>
      </w:pPr>
    </w:p>
    <w:p w14:paraId="3AC343B5">
      <w:pPr>
        <w:pStyle w:val="9"/>
        <w:spacing w:before="166"/>
        <w:ind w:left="0"/>
        <w:jc w:val="left"/>
        <w:rPr>
          <w:rFonts w:hint="eastAsia"/>
          <w:sz w:val="30"/>
          <w:szCs w:val="30"/>
        </w:rPr>
      </w:pPr>
      <w:r>
        <w:rPr>
          <w:rFonts w:hint="eastAsia"/>
          <w:sz w:val="30"/>
          <w:szCs w:val="30"/>
        </w:rPr>
        <w:t>Do not marvel at this, for an hour is coming in which all who are in the tombs will hear (the voice of the Son of Man), and they will come forth: those who did what is good, to a resurrection of life, and those who did what is evil, to a resurrection of judgment.</w:t>
      </w:r>
    </w:p>
    <w:p w14:paraId="192D7331">
      <w:pPr>
        <w:pStyle w:val="9"/>
        <w:spacing w:before="166"/>
        <w:ind w:left="0"/>
        <w:jc w:val="left"/>
        <w:rPr>
          <w:rFonts w:hint="eastAsia"/>
          <w:sz w:val="30"/>
          <w:szCs w:val="30"/>
        </w:rPr>
      </w:pPr>
      <w:r>
        <w:rPr>
          <w:rFonts w:hint="eastAsia"/>
          <w:sz w:val="30"/>
          <w:szCs w:val="30"/>
        </w:rPr>
        <w:t>你们不要把这事看作希奇。时候要到，凡在坟墓里的，都要听见祂（人子）的声音，就出来：行善的，复活得生；作恶的，复活定罪。</w:t>
      </w:r>
    </w:p>
    <w:p w14:paraId="7C344C16">
      <w:pPr>
        <w:pStyle w:val="9"/>
        <w:spacing w:before="166"/>
        <w:ind w:left="0"/>
        <w:jc w:val="left"/>
        <w:rPr>
          <w:rFonts w:hint="eastAsia"/>
          <w:sz w:val="30"/>
          <w:szCs w:val="30"/>
        </w:rPr>
      </w:pPr>
    </w:p>
    <w:p w14:paraId="2C24925D">
      <w:pPr>
        <w:pStyle w:val="9"/>
        <w:spacing w:before="166"/>
        <w:ind w:left="0"/>
        <w:jc w:val="left"/>
        <w:rPr>
          <w:rFonts w:hint="eastAsia"/>
          <w:sz w:val="30"/>
          <w:szCs w:val="30"/>
        </w:rPr>
      </w:pPr>
      <w:r>
        <w:rPr>
          <w:rFonts w:hint="eastAsia"/>
          <w:sz w:val="30"/>
          <w:szCs w:val="30"/>
        </w:rPr>
        <w:t>Since it occurs in a single “hour” (i.e., over a very brief span of time), there is but one such resurrection.</w:t>
      </w:r>
    </w:p>
    <w:p w14:paraId="36FF6389">
      <w:pPr>
        <w:pStyle w:val="9"/>
        <w:spacing w:before="166"/>
        <w:ind w:left="0"/>
        <w:jc w:val="left"/>
        <w:rPr>
          <w:rFonts w:hint="eastAsia"/>
          <w:sz w:val="30"/>
          <w:szCs w:val="30"/>
        </w:rPr>
      </w:pPr>
      <w:r>
        <w:rPr>
          <w:rFonts w:hint="eastAsia"/>
          <w:sz w:val="30"/>
          <w:szCs w:val="30"/>
        </w:rPr>
        <w:t>因为它发生在一个“时辰”之内（即一个非常短暂的时间段），所以只有一个这样的复活。</w:t>
      </w:r>
    </w:p>
    <w:p w14:paraId="13C1D983">
      <w:pPr>
        <w:pStyle w:val="9"/>
        <w:spacing w:before="166"/>
        <w:ind w:left="0"/>
        <w:jc w:val="left"/>
        <w:rPr>
          <w:rFonts w:hint="eastAsia"/>
          <w:sz w:val="30"/>
          <w:szCs w:val="30"/>
        </w:rPr>
      </w:pPr>
    </w:p>
    <w:p w14:paraId="7749AC0B">
      <w:pPr>
        <w:pStyle w:val="9"/>
        <w:spacing w:before="166"/>
        <w:ind w:left="0"/>
        <w:jc w:val="left"/>
        <w:rPr>
          <w:rFonts w:hint="eastAsia"/>
          <w:sz w:val="30"/>
          <w:szCs w:val="30"/>
        </w:rPr>
      </w:pPr>
      <w:r>
        <w:rPr>
          <w:rFonts w:hint="eastAsia"/>
          <w:sz w:val="30"/>
          <w:szCs w:val="30"/>
        </w:rPr>
        <w:t>When it occurs, all who are in the tombs will hear the voice of Christ: It is one general resurrection.</w:t>
      </w:r>
    </w:p>
    <w:p w14:paraId="6ED63A02">
      <w:pPr>
        <w:pStyle w:val="9"/>
        <w:spacing w:before="166"/>
        <w:ind w:left="0"/>
        <w:jc w:val="left"/>
        <w:rPr>
          <w:rFonts w:hint="eastAsia"/>
          <w:sz w:val="30"/>
          <w:szCs w:val="30"/>
        </w:rPr>
      </w:pPr>
      <w:r>
        <w:rPr>
          <w:rFonts w:hint="eastAsia"/>
          <w:sz w:val="30"/>
          <w:szCs w:val="30"/>
        </w:rPr>
        <w:t>当它发生时，所有在坟墓里的人都将听见基督的声音：这是一次普世的复活。</w:t>
      </w:r>
    </w:p>
    <w:p w14:paraId="02D74286">
      <w:pPr>
        <w:pStyle w:val="9"/>
        <w:spacing w:before="166"/>
        <w:ind w:left="0"/>
        <w:jc w:val="left"/>
        <w:rPr>
          <w:rFonts w:hint="eastAsia"/>
          <w:sz w:val="30"/>
          <w:szCs w:val="30"/>
        </w:rPr>
      </w:pPr>
    </w:p>
    <w:p w14:paraId="202E1B83">
      <w:pPr>
        <w:pStyle w:val="9"/>
        <w:spacing w:before="166"/>
        <w:ind w:left="0"/>
        <w:jc w:val="left"/>
        <w:rPr>
          <w:rFonts w:hint="eastAsia"/>
          <w:sz w:val="30"/>
          <w:szCs w:val="30"/>
        </w:rPr>
      </w:pPr>
      <w:r>
        <w:rPr>
          <w:rFonts w:hint="eastAsia"/>
          <w:sz w:val="30"/>
          <w:szCs w:val="30"/>
        </w:rPr>
        <w:t>And when it occurs, it will lead immediately to reward or retribution: It is one general resurrection unto the Judgment.</w:t>
      </w:r>
    </w:p>
    <w:p w14:paraId="7049127B">
      <w:pPr>
        <w:pStyle w:val="9"/>
        <w:spacing w:before="166"/>
        <w:ind w:left="0"/>
        <w:jc w:val="left"/>
        <w:rPr>
          <w:rFonts w:hint="eastAsia"/>
          <w:sz w:val="30"/>
          <w:szCs w:val="30"/>
        </w:rPr>
      </w:pPr>
      <w:r>
        <w:rPr>
          <w:rFonts w:hint="eastAsia"/>
          <w:sz w:val="30"/>
          <w:szCs w:val="30"/>
        </w:rPr>
        <w:t>当它发生时，它将立刻导致赏赐或报应：这是一次导向审判的普世复活。</w:t>
      </w:r>
    </w:p>
    <w:p w14:paraId="587B3533">
      <w:pPr>
        <w:pStyle w:val="9"/>
        <w:spacing w:before="166"/>
        <w:ind w:left="0"/>
        <w:jc w:val="left"/>
        <w:rPr>
          <w:rFonts w:hint="eastAsia"/>
          <w:sz w:val="30"/>
          <w:szCs w:val="30"/>
        </w:rPr>
      </w:pPr>
    </w:p>
    <w:p w14:paraId="0E758631">
      <w:pPr>
        <w:pStyle w:val="9"/>
        <w:spacing w:before="166"/>
        <w:ind w:left="0"/>
        <w:jc w:val="left"/>
        <w:rPr>
          <w:rFonts w:hint="eastAsia"/>
          <w:sz w:val="30"/>
          <w:szCs w:val="30"/>
        </w:rPr>
      </w:pPr>
      <w:r>
        <w:rPr>
          <w:rFonts w:hint="eastAsia"/>
          <w:sz w:val="30"/>
          <w:szCs w:val="30"/>
        </w:rPr>
        <w:t>So then, our Lord teaches here that at the end of the age, when he comes again, he himself will accomplish a single, brief, general resurrection leading to the Last Judgment.</w:t>
      </w:r>
    </w:p>
    <w:p w14:paraId="5976B576">
      <w:pPr>
        <w:pStyle w:val="9"/>
        <w:spacing w:before="166"/>
        <w:ind w:left="0"/>
        <w:jc w:val="left"/>
        <w:rPr>
          <w:rFonts w:hint="eastAsia"/>
          <w:sz w:val="30"/>
          <w:szCs w:val="30"/>
        </w:rPr>
      </w:pPr>
      <w:r>
        <w:rPr>
          <w:rFonts w:hint="eastAsia"/>
          <w:sz w:val="30"/>
          <w:szCs w:val="30"/>
        </w:rPr>
        <w:t>所以，我们的主在这里教导说，在世代的末了，当祂再来时，祂自己将成就一次单一的、短暂的、普世的复活，导向最后的审判。</w:t>
      </w:r>
    </w:p>
    <w:p w14:paraId="208BD3E2">
      <w:pPr>
        <w:pStyle w:val="9"/>
        <w:spacing w:before="166"/>
        <w:ind w:left="0"/>
        <w:jc w:val="left"/>
        <w:rPr>
          <w:rFonts w:hint="eastAsia"/>
          <w:sz w:val="30"/>
          <w:szCs w:val="30"/>
        </w:rPr>
      </w:pPr>
    </w:p>
    <w:p w14:paraId="7F6E0F28">
      <w:pPr>
        <w:pStyle w:val="9"/>
        <w:spacing w:before="166"/>
        <w:ind w:left="0"/>
        <w:jc w:val="left"/>
        <w:rPr>
          <w:rFonts w:hint="eastAsia"/>
          <w:sz w:val="30"/>
          <w:szCs w:val="30"/>
        </w:rPr>
      </w:pPr>
      <w:r>
        <w:rPr>
          <w:rFonts w:hint="eastAsia"/>
          <w:sz w:val="30"/>
          <w:szCs w:val="30"/>
        </w:rPr>
        <w:t>Other NT texts confirm this view.</w:t>
      </w:r>
    </w:p>
    <w:p w14:paraId="25996C11">
      <w:pPr>
        <w:pStyle w:val="9"/>
        <w:spacing w:before="166"/>
        <w:ind w:left="0"/>
        <w:jc w:val="left"/>
        <w:rPr>
          <w:rFonts w:hint="eastAsia"/>
          <w:sz w:val="30"/>
          <w:szCs w:val="30"/>
        </w:rPr>
      </w:pPr>
      <w:r>
        <w:rPr>
          <w:rFonts w:hint="eastAsia"/>
          <w:sz w:val="30"/>
          <w:szCs w:val="30"/>
        </w:rPr>
        <w:t>其他新约经文证实了这一观点。</w:t>
      </w:r>
    </w:p>
    <w:p w14:paraId="5B2EE174">
      <w:pPr>
        <w:pStyle w:val="9"/>
        <w:spacing w:before="166"/>
        <w:ind w:left="0"/>
        <w:jc w:val="left"/>
        <w:rPr>
          <w:rFonts w:hint="eastAsia"/>
          <w:sz w:val="30"/>
          <w:szCs w:val="30"/>
        </w:rPr>
      </w:pPr>
    </w:p>
    <w:p w14:paraId="00B92F76">
      <w:pPr>
        <w:pStyle w:val="9"/>
        <w:spacing w:before="166"/>
        <w:ind w:left="0"/>
        <w:jc w:val="left"/>
        <w:rPr>
          <w:rFonts w:hint="eastAsia"/>
          <w:sz w:val="30"/>
          <w:szCs w:val="30"/>
        </w:rPr>
      </w:pPr>
      <w:r>
        <w:rPr>
          <w:rFonts w:hint="eastAsia"/>
          <w:sz w:val="30"/>
          <w:szCs w:val="30"/>
        </w:rPr>
        <w:t>Paul, for example, speaking before the Roman governor Felix, declared that he had a hope in God which his Jewish opponents themselves cherished, “… that there shall certainly be a resurrection of both the righteous and the wicked” (Acts 24:15).</w:t>
      </w:r>
    </w:p>
    <w:p w14:paraId="449E8197">
      <w:pPr>
        <w:pStyle w:val="9"/>
        <w:spacing w:before="166"/>
        <w:ind w:left="0"/>
        <w:jc w:val="left"/>
        <w:rPr>
          <w:rFonts w:hint="eastAsia"/>
          <w:sz w:val="30"/>
          <w:szCs w:val="30"/>
        </w:rPr>
      </w:pPr>
      <w:r>
        <w:rPr>
          <w:rFonts w:hint="eastAsia"/>
          <w:sz w:val="30"/>
          <w:szCs w:val="30"/>
        </w:rPr>
        <w:t>例如，保罗在罗马巡抚腓力斯面前说话时宣告，他对上帝有一个盼望，这盼望也是他的犹太对头自己所盼望的，“……就是义人和不义的人都要复活”（使徒行传24:15）。</w:t>
      </w:r>
    </w:p>
    <w:p w14:paraId="7B1FDDD5">
      <w:pPr>
        <w:pStyle w:val="9"/>
        <w:spacing w:before="166"/>
        <w:ind w:left="0"/>
        <w:jc w:val="left"/>
        <w:rPr>
          <w:rFonts w:hint="eastAsia"/>
          <w:sz w:val="30"/>
          <w:szCs w:val="30"/>
        </w:rPr>
      </w:pPr>
    </w:p>
    <w:p w14:paraId="6A4E7164">
      <w:pPr>
        <w:pStyle w:val="9"/>
        <w:spacing w:before="166"/>
        <w:ind w:left="0"/>
        <w:jc w:val="left"/>
        <w:rPr>
          <w:rFonts w:hint="eastAsia"/>
          <w:sz w:val="30"/>
          <w:szCs w:val="30"/>
        </w:rPr>
      </w:pPr>
      <w:r>
        <w:rPr>
          <w:rFonts w:hint="eastAsia"/>
          <w:sz w:val="30"/>
          <w:szCs w:val="30"/>
        </w:rPr>
        <w:t>Likewise, we saw that the apostle John, in Revelation 20:11-15, anticipates one general resurrection of the saved and unsaved, leading to the final Judgment.</w:t>
      </w:r>
    </w:p>
    <w:p w14:paraId="47AA06B0">
      <w:pPr>
        <w:pStyle w:val="9"/>
        <w:spacing w:before="166"/>
        <w:ind w:left="0"/>
        <w:jc w:val="left"/>
        <w:rPr>
          <w:rFonts w:hint="eastAsia"/>
          <w:sz w:val="30"/>
          <w:szCs w:val="30"/>
        </w:rPr>
      </w:pPr>
      <w:r>
        <w:rPr>
          <w:rFonts w:hint="eastAsia"/>
          <w:sz w:val="30"/>
          <w:szCs w:val="30"/>
        </w:rPr>
        <w:t>同样，我们看到使徒约翰在《启示录》20:11-15中，预见到一次得救者和未得救者的普世复活，导向最后的审判。</w:t>
      </w:r>
    </w:p>
    <w:p w14:paraId="4065F335">
      <w:pPr>
        <w:pStyle w:val="9"/>
        <w:spacing w:before="166"/>
        <w:ind w:left="0"/>
        <w:jc w:val="left"/>
        <w:rPr>
          <w:rFonts w:hint="eastAsia"/>
          <w:sz w:val="30"/>
          <w:szCs w:val="30"/>
        </w:rPr>
      </w:pPr>
    </w:p>
    <w:p w14:paraId="3F1E3A51">
      <w:pPr>
        <w:pStyle w:val="9"/>
        <w:spacing w:before="166"/>
        <w:ind w:left="0"/>
        <w:jc w:val="left"/>
        <w:rPr>
          <w:rFonts w:hint="eastAsia"/>
          <w:sz w:val="30"/>
          <w:szCs w:val="30"/>
        </w:rPr>
      </w:pPr>
      <w:r>
        <w:rPr>
          <w:rFonts w:hint="eastAsia"/>
          <w:sz w:val="30"/>
          <w:szCs w:val="30"/>
        </w:rPr>
        <w:t>And in the OT, the unity of the Resurrection is especially clear from Daniel 12:2.3</w:t>
      </w:r>
    </w:p>
    <w:p w14:paraId="0680D121">
      <w:pPr>
        <w:pStyle w:val="9"/>
        <w:spacing w:before="166"/>
        <w:ind w:left="0"/>
        <w:jc w:val="left"/>
        <w:rPr>
          <w:rFonts w:hint="eastAsia"/>
          <w:sz w:val="30"/>
          <w:szCs w:val="30"/>
        </w:rPr>
      </w:pPr>
      <w:r>
        <w:rPr>
          <w:rFonts w:hint="eastAsia"/>
          <w:sz w:val="30"/>
          <w:szCs w:val="30"/>
        </w:rPr>
        <w:t>在旧约中，复活的统一性在但以理书12:2中尤其清楚。3</w:t>
      </w:r>
    </w:p>
    <w:p w14:paraId="198E5260">
      <w:pPr>
        <w:pStyle w:val="9"/>
        <w:spacing w:before="166"/>
        <w:ind w:left="0"/>
        <w:jc w:val="left"/>
        <w:rPr>
          <w:rFonts w:hint="eastAsia"/>
          <w:sz w:val="30"/>
          <w:szCs w:val="30"/>
        </w:rPr>
      </w:pPr>
    </w:p>
    <w:p w14:paraId="33377C99">
      <w:pPr>
        <w:pStyle w:val="9"/>
        <w:spacing w:before="166"/>
        <w:ind w:left="0"/>
        <w:jc w:val="left"/>
        <w:rPr>
          <w:rFonts w:hint="eastAsia"/>
          <w:sz w:val="30"/>
          <w:szCs w:val="30"/>
        </w:rPr>
      </w:pPr>
      <w:r>
        <w:rPr>
          <w:rFonts w:hint="eastAsia"/>
          <w:sz w:val="30"/>
          <w:szCs w:val="30"/>
        </w:rPr>
        <w:t>As in the case of the Parousia, so here: The definite article is highly instructive.</w:t>
      </w:r>
    </w:p>
    <w:p w14:paraId="6160DAA6">
      <w:pPr>
        <w:pStyle w:val="9"/>
        <w:spacing w:before="166"/>
        <w:ind w:left="0"/>
        <w:jc w:val="left"/>
        <w:rPr>
          <w:rFonts w:hint="eastAsia"/>
          <w:sz w:val="30"/>
          <w:szCs w:val="30"/>
        </w:rPr>
      </w:pPr>
      <w:r>
        <w:rPr>
          <w:rFonts w:hint="eastAsia"/>
          <w:sz w:val="30"/>
          <w:szCs w:val="30"/>
        </w:rPr>
        <w:t>如同在主临（Parousia）的情况一样，这里也是如此：定冠词极具启发性。</w:t>
      </w:r>
    </w:p>
    <w:p w14:paraId="3CE5B7A1">
      <w:pPr>
        <w:pStyle w:val="9"/>
        <w:spacing w:before="166"/>
        <w:ind w:left="0"/>
        <w:jc w:val="left"/>
        <w:rPr>
          <w:rFonts w:hint="eastAsia"/>
          <w:sz w:val="30"/>
          <w:szCs w:val="30"/>
        </w:rPr>
      </w:pPr>
    </w:p>
    <w:p w14:paraId="7F8374E3">
      <w:pPr>
        <w:pStyle w:val="9"/>
        <w:spacing w:before="166"/>
        <w:ind w:left="0"/>
        <w:jc w:val="left"/>
        <w:rPr>
          <w:rFonts w:hint="eastAsia"/>
          <w:sz w:val="30"/>
          <w:szCs w:val="30"/>
        </w:rPr>
      </w:pPr>
      <w:r>
        <w:rPr>
          <w:rFonts w:hint="eastAsia"/>
          <w:sz w:val="30"/>
          <w:szCs w:val="30"/>
        </w:rPr>
        <w:t>Christ, the apostles, and the Jews of Jesus’ day all spoke of the Resurrection, as though it were a single brief event scheduled to occur at the end of Salvation History (Mt. 22:28-32, Luke 14:14, John 11:24-25, Acts 17:18, 32, 24:21, 1 Cor. 15:21, 42, Phil. 3:11, 2 Tim. 2:18).</w:t>
      </w:r>
    </w:p>
    <w:p w14:paraId="771CFE70">
      <w:pPr>
        <w:pStyle w:val="9"/>
        <w:spacing w:before="166"/>
        <w:ind w:left="0"/>
        <w:jc w:val="left"/>
        <w:rPr>
          <w:rFonts w:hint="eastAsia"/>
          <w:sz w:val="30"/>
          <w:szCs w:val="30"/>
        </w:rPr>
      </w:pPr>
      <w:r>
        <w:rPr>
          <w:rFonts w:hint="eastAsia"/>
          <w:sz w:val="30"/>
          <w:szCs w:val="30"/>
        </w:rPr>
        <w:t>基督、使徒和耶稣时代的犹太人都谈到复活，仿佛它是一个单一的、短暂的事件，预定在救赎历史的末了发生（太22:28-32，路14:14，约11:24-25，徒17:18, 32, 24:21，林前15:21, 42，腓3:11，提后2:18）。</w:t>
      </w:r>
    </w:p>
    <w:p w14:paraId="45A067CA">
      <w:pPr>
        <w:pStyle w:val="9"/>
        <w:spacing w:before="166"/>
        <w:ind w:left="0"/>
        <w:jc w:val="left"/>
        <w:rPr>
          <w:rFonts w:hint="eastAsia"/>
          <w:sz w:val="30"/>
          <w:szCs w:val="30"/>
        </w:rPr>
      </w:pPr>
    </w:p>
    <w:p w14:paraId="004D8E44">
      <w:pPr>
        <w:pStyle w:val="9"/>
        <w:spacing w:before="166"/>
        <w:ind w:left="0"/>
        <w:jc w:val="left"/>
        <w:rPr>
          <w:rFonts w:hint="eastAsia"/>
          <w:sz w:val="30"/>
          <w:szCs w:val="30"/>
        </w:rPr>
      </w:pPr>
      <w:r>
        <w:rPr>
          <w:rFonts w:hint="eastAsia"/>
          <w:sz w:val="30"/>
          <w:szCs w:val="30"/>
        </w:rPr>
        <w:t>Why?</w:t>
      </w:r>
    </w:p>
    <w:p w14:paraId="3CC8A6BC">
      <w:pPr>
        <w:pStyle w:val="9"/>
        <w:spacing w:before="166"/>
        <w:ind w:left="0"/>
        <w:jc w:val="left"/>
        <w:rPr>
          <w:rFonts w:hint="eastAsia"/>
          <w:sz w:val="30"/>
          <w:szCs w:val="30"/>
        </w:rPr>
      </w:pPr>
      <w:r>
        <w:rPr>
          <w:rFonts w:hint="eastAsia"/>
          <w:sz w:val="30"/>
          <w:szCs w:val="30"/>
        </w:rPr>
        <w:t>为何？</w:t>
      </w:r>
    </w:p>
    <w:p w14:paraId="05DBFB22">
      <w:pPr>
        <w:pStyle w:val="9"/>
        <w:spacing w:before="166"/>
        <w:ind w:left="0"/>
        <w:jc w:val="left"/>
        <w:rPr>
          <w:rFonts w:hint="eastAsia"/>
          <w:sz w:val="30"/>
          <w:szCs w:val="30"/>
        </w:rPr>
      </w:pPr>
    </w:p>
    <w:p w14:paraId="64904C58">
      <w:pPr>
        <w:pStyle w:val="9"/>
        <w:spacing w:before="166"/>
        <w:ind w:left="0"/>
        <w:jc w:val="left"/>
        <w:rPr>
          <w:rFonts w:hint="eastAsia"/>
          <w:sz w:val="30"/>
          <w:szCs w:val="30"/>
        </w:rPr>
      </w:pPr>
      <w:r>
        <w:rPr>
          <w:rFonts w:hint="eastAsia"/>
          <w:sz w:val="30"/>
          <w:szCs w:val="30"/>
        </w:rPr>
        <w:t>Because that is exactly what it is!</w:t>
      </w:r>
    </w:p>
    <w:p w14:paraId="634F3FC1">
      <w:pPr>
        <w:pStyle w:val="9"/>
        <w:spacing w:before="166"/>
        <w:ind w:left="0"/>
        <w:jc w:val="left"/>
        <w:rPr>
          <w:rFonts w:hint="eastAsia"/>
          <w:sz w:val="30"/>
          <w:szCs w:val="30"/>
        </w:rPr>
      </w:pPr>
      <w:r>
        <w:rPr>
          <w:rFonts w:hint="eastAsia"/>
          <w:sz w:val="30"/>
          <w:szCs w:val="30"/>
        </w:rPr>
        <w:t>因为事实正是如此！</w:t>
      </w:r>
    </w:p>
    <w:p w14:paraId="19FE64B8">
      <w:pPr>
        <w:pStyle w:val="9"/>
        <w:spacing w:before="166"/>
        <w:ind w:left="0"/>
        <w:jc w:val="left"/>
        <w:rPr>
          <w:rFonts w:hint="eastAsia"/>
          <w:sz w:val="30"/>
          <w:szCs w:val="30"/>
        </w:rPr>
      </w:pPr>
    </w:p>
    <w:p w14:paraId="2253ADF2">
      <w:pPr>
        <w:pStyle w:val="9"/>
        <w:spacing w:before="166"/>
        <w:ind w:left="0"/>
        <w:jc w:val="left"/>
        <w:rPr>
          <w:rFonts w:hint="eastAsia"/>
          <w:sz w:val="30"/>
          <w:szCs w:val="30"/>
        </w:rPr>
      </w:pPr>
      <w:r>
        <w:rPr>
          <w:rFonts w:hint="eastAsia"/>
          <w:sz w:val="30"/>
          <w:szCs w:val="30"/>
        </w:rPr>
        <w:t>Yes, a close study of these texts reveals that in most cases the focus is upon the resurrection of the believing righteous; upon resurrection unto eternal life in the new heavens and the new earth.</w:t>
      </w:r>
    </w:p>
    <w:p w14:paraId="21F85CA0">
      <w:pPr>
        <w:pStyle w:val="9"/>
        <w:spacing w:before="166"/>
        <w:ind w:left="0"/>
        <w:jc w:val="left"/>
        <w:rPr>
          <w:rFonts w:hint="eastAsia"/>
          <w:sz w:val="30"/>
          <w:szCs w:val="30"/>
        </w:rPr>
      </w:pPr>
      <w:r>
        <w:rPr>
          <w:rFonts w:hint="eastAsia"/>
          <w:sz w:val="30"/>
          <w:szCs w:val="30"/>
        </w:rPr>
        <w:t>是的，仔细研究这些经文就会发现，在大多数情况下，焦点在于信主的义人的复活；在于复活得永生，在新天新地里。</w:t>
      </w:r>
    </w:p>
    <w:p w14:paraId="2BBD4ED8">
      <w:pPr>
        <w:pStyle w:val="9"/>
        <w:spacing w:before="166"/>
        <w:ind w:left="0"/>
        <w:jc w:val="left"/>
        <w:rPr>
          <w:rFonts w:hint="eastAsia"/>
          <w:sz w:val="30"/>
          <w:szCs w:val="30"/>
        </w:rPr>
      </w:pPr>
    </w:p>
    <w:p w14:paraId="4B26F8DD">
      <w:pPr>
        <w:pStyle w:val="9"/>
        <w:spacing w:before="166"/>
        <w:ind w:left="0"/>
        <w:jc w:val="left"/>
        <w:rPr>
          <w:rFonts w:hint="eastAsia"/>
          <w:sz w:val="30"/>
          <w:szCs w:val="30"/>
        </w:rPr>
      </w:pPr>
      <w:r>
        <w:rPr>
          <w:rFonts w:hint="eastAsia"/>
          <w:sz w:val="30"/>
          <w:szCs w:val="30"/>
        </w:rPr>
        <w:t>However, this certainly does not entail, or even imply, as some premillennarians assert, that the resurrection of the believing righteous occurs a thousand years prior to the resurrection of the unbelieving wicked.</w:t>
      </w:r>
    </w:p>
    <w:p w14:paraId="5C5CE3AA">
      <w:pPr>
        <w:pStyle w:val="9"/>
        <w:spacing w:before="166"/>
        <w:ind w:left="0"/>
        <w:jc w:val="left"/>
        <w:rPr>
          <w:rFonts w:hint="eastAsia"/>
          <w:sz w:val="30"/>
          <w:szCs w:val="30"/>
        </w:rPr>
      </w:pPr>
      <w:r>
        <w:rPr>
          <w:rFonts w:hint="eastAsia"/>
          <w:sz w:val="30"/>
          <w:szCs w:val="30"/>
        </w:rPr>
        <w:t>然而，这当然不意味着，甚至不暗示，像一些前千禧年论者所断言的那样，信主的义人的复活比不信的恶人的复活早一千年。</w:t>
      </w:r>
    </w:p>
    <w:p w14:paraId="32FAD377">
      <w:pPr>
        <w:pStyle w:val="9"/>
        <w:spacing w:before="166"/>
        <w:ind w:left="0"/>
        <w:jc w:val="left"/>
        <w:rPr>
          <w:rFonts w:hint="eastAsia"/>
          <w:sz w:val="30"/>
          <w:szCs w:val="30"/>
        </w:rPr>
      </w:pPr>
    </w:p>
    <w:p w14:paraId="0DCD8690">
      <w:pPr>
        <w:pStyle w:val="9"/>
        <w:spacing w:before="166"/>
        <w:ind w:left="0"/>
        <w:jc w:val="left"/>
        <w:rPr>
          <w:rFonts w:hint="eastAsia"/>
          <w:sz w:val="30"/>
          <w:szCs w:val="30"/>
        </w:rPr>
      </w:pPr>
      <w:r>
        <w:rPr>
          <w:rFonts w:hint="eastAsia"/>
          <w:sz w:val="30"/>
          <w:szCs w:val="30"/>
        </w:rPr>
        <w:t>The texts we have just looked at altogether preclude this view.</w:t>
      </w:r>
    </w:p>
    <w:p w14:paraId="46E2012E">
      <w:pPr>
        <w:pStyle w:val="9"/>
        <w:spacing w:before="166"/>
        <w:ind w:left="0"/>
        <w:jc w:val="left"/>
        <w:rPr>
          <w:rFonts w:hint="eastAsia"/>
          <w:sz w:val="30"/>
          <w:szCs w:val="30"/>
        </w:rPr>
      </w:pPr>
      <w:r>
        <w:rPr>
          <w:rFonts w:hint="eastAsia"/>
          <w:sz w:val="30"/>
          <w:szCs w:val="30"/>
        </w:rPr>
        <w:t>我们刚刚查考的经文完全排除了这种观点。</w:t>
      </w:r>
    </w:p>
    <w:p w14:paraId="11D27A9D">
      <w:pPr>
        <w:pStyle w:val="9"/>
        <w:spacing w:before="166"/>
        <w:ind w:left="0"/>
        <w:jc w:val="left"/>
        <w:rPr>
          <w:rFonts w:hint="eastAsia"/>
          <w:sz w:val="30"/>
          <w:szCs w:val="30"/>
        </w:rPr>
      </w:pPr>
    </w:p>
    <w:p w14:paraId="1AB73729">
      <w:pPr>
        <w:pStyle w:val="9"/>
        <w:spacing w:before="166"/>
        <w:ind w:left="0"/>
        <w:jc w:val="left"/>
        <w:rPr>
          <w:rFonts w:hint="eastAsia"/>
          <w:sz w:val="30"/>
          <w:szCs w:val="30"/>
        </w:rPr>
      </w:pPr>
      <w:r>
        <w:rPr>
          <w:rFonts w:hint="eastAsia"/>
          <w:sz w:val="30"/>
          <w:szCs w:val="30"/>
        </w:rPr>
        <w:t>Rather, it simply means that Christ and the apostles like to use the phrase “the resurrection” as shorthand for “the resurrection of all who are righteous by faith in Christ”; they like to use it to set before believers the goal, the hope, and the eternal blessedness towards which they should faithfully strive day and night (Acts 26:6-8, Phil. 3:1).</w:t>
      </w:r>
    </w:p>
    <w:p w14:paraId="47A3ADED">
      <w:pPr>
        <w:pStyle w:val="9"/>
        <w:spacing w:before="166"/>
        <w:ind w:left="0"/>
        <w:jc w:val="left"/>
        <w:rPr>
          <w:rFonts w:hint="eastAsia"/>
          <w:sz w:val="30"/>
          <w:szCs w:val="30"/>
        </w:rPr>
      </w:pPr>
      <w:r>
        <w:rPr>
          <w:rFonts w:hint="eastAsia"/>
          <w:sz w:val="30"/>
          <w:szCs w:val="30"/>
        </w:rPr>
        <w:t>相反，这只是意味着基督和使徒们喜欢用“复活”这个短语作为“所有因信基督而称义之人的复活”的简称；他们喜欢用它来将信徒应当昼夜忠心追求的目标、盼望和永恒的福乐摆在他们面前（使徒行传26:6-8，腓立比书3:1）。</w:t>
      </w:r>
    </w:p>
    <w:p w14:paraId="7CFA56EF">
      <w:pPr>
        <w:pStyle w:val="9"/>
        <w:spacing w:before="166"/>
        <w:ind w:left="0"/>
        <w:jc w:val="left"/>
        <w:rPr>
          <w:rFonts w:hint="eastAsia"/>
          <w:sz w:val="30"/>
          <w:szCs w:val="30"/>
        </w:rPr>
      </w:pPr>
    </w:p>
    <w:p w14:paraId="641D07DC">
      <w:pPr>
        <w:pStyle w:val="9"/>
        <w:spacing w:before="166"/>
        <w:ind w:left="0"/>
        <w:jc w:val="left"/>
        <w:rPr>
          <w:rFonts w:hint="eastAsia"/>
          <w:sz w:val="30"/>
          <w:szCs w:val="30"/>
        </w:rPr>
      </w:pPr>
      <w:r>
        <w:rPr>
          <w:rFonts w:hint="eastAsia"/>
          <w:sz w:val="30"/>
          <w:szCs w:val="30"/>
        </w:rPr>
        <w:t>So then, it certainly appears that the NT constantly assumes and proclaims a single general resurrection of the dead.</w:t>
      </w:r>
    </w:p>
    <w:p w14:paraId="619E30D9">
      <w:pPr>
        <w:pStyle w:val="9"/>
        <w:spacing w:before="166"/>
        <w:ind w:left="0"/>
        <w:jc w:val="left"/>
        <w:rPr>
          <w:rFonts w:hint="eastAsia"/>
          <w:sz w:val="30"/>
          <w:szCs w:val="30"/>
        </w:rPr>
      </w:pPr>
      <w:r>
        <w:rPr>
          <w:rFonts w:hint="eastAsia"/>
          <w:sz w:val="30"/>
          <w:szCs w:val="30"/>
        </w:rPr>
        <w:t>因此，新约似乎始终假设并宣告死人只有一次普世的复活。</w:t>
      </w:r>
    </w:p>
    <w:p w14:paraId="4F7ADE03">
      <w:pPr>
        <w:pStyle w:val="9"/>
        <w:spacing w:before="166"/>
        <w:ind w:left="0"/>
        <w:jc w:val="left"/>
        <w:rPr>
          <w:rFonts w:hint="eastAsia"/>
          <w:sz w:val="30"/>
          <w:szCs w:val="30"/>
        </w:rPr>
      </w:pPr>
    </w:p>
    <w:p w14:paraId="214A5F46">
      <w:pPr>
        <w:pStyle w:val="9"/>
        <w:spacing w:before="166"/>
        <w:ind w:left="0"/>
        <w:jc w:val="left"/>
        <w:rPr>
          <w:rFonts w:hint="eastAsia"/>
          <w:sz w:val="30"/>
          <w:szCs w:val="30"/>
        </w:rPr>
      </w:pPr>
      <w:r>
        <w:rPr>
          <w:rFonts w:hint="eastAsia"/>
          <w:sz w:val="30"/>
          <w:szCs w:val="30"/>
        </w:rPr>
        <w:t>If so, it is the end of all premillennialism.</w:t>
      </w:r>
    </w:p>
    <w:p w14:paraId="44A9936A">
      <w:pPr>
        <w:pStyle w:val="9"/>
        <w:spacing w:before="166"/>
        <w:ind w:left="0"/>
        <w:jc w:val="left"/>
        <w:rPr>
          <w:rFonts w:hint="eastAsia"/>
          <w:sz w:val="30"/>
          <w:szCs w:val="30"/>
        </w:rPr>
      </w:pPr>
      <w:r>
        <w:rPr>
          <w:rFonts w:hint="eastAsia"/>
          <w:sz w:val="30"/>
          <w:szCs w:val="30"/>
        </w:rPr>
        <w:t>如果是这样，那就是所有前千禧年论的终结。</w:t>
      </w:r>
    </w:p>
    <w:p w14:paraId="21B967EB">
      <w:pPr>
        <w:pStyle w:val="9"/>
        <w:spacing w:before="166"/>
        <w:ind w:left="0"/>
        <w:jc w:val="left"/>
        <w:rPr>
          <w:rFonts w:hint="eastAsia"/>
          <w:sz w:val="30"/>
          <w:szCs w:val="30"/>
        </w:rPr>
      </w:pPr>
    </w:p>
    <w:p w14:paraId="182297E0">
      <w:pPr>
        <w:pStyle w:val="9"/>
        <w:spacing w:before="166"/>
        <w:ind w:left="0"/>
        <w:jc w:val="left"/>
        <w:rPr>
          <w:rFonts w:hint="eastAsia"/>
          <w:sz w:val="30"/>
          <w:szCs w:val="30"/>
        </w:rPr>
      </w:pPr>
      <w:r>
        <w:rPr>
          <w:rFonts w:hint="eastAsia"/>
          <w:sz w:val="30"/>
          <w:szCs w:val="30"/>
        </w:rPr>
        <w:t>3.The One Judgment</w:t>
      </w:r>
    </w:p>
    <w:p w14:paraId="21728A0C">
      <w:pPr>
        <w:pStyle w:val="9"/>
        <w:spacing w:before="166"/>
        <w:ind w:left="0"/>
        <w:jc w:val="left"/>
        <w:rPr>
          <w:rFonts w:hint="eastAsia"/>
          <w:sz w:val="30"/>
          <w:szCs w:val="30"/>
        </w:rPr>
      </w:pPr>
      <w:r>
        <w:rPr>
          <w:rFonts w:hint="eastAsia"/>
          <w:sz w:val="30"/>
          <w:szCs w:val="30"/>
        </w:rPr>
        <w:t>3.独一的审判</w:t>
      </w:r>
    </w:p>
    <w:p w14:paraId="6EB53D40">
      <w:pPr>
        <w:pStyle w:val="9"/>
        <w:spacing w:before="166"/>
        <w:ind w:left="0"/>
        <w:jc w:val="left"/>
        <w:rPr>
          <w:rFonts w:hint="eastAsia"/>
          <w:sz w:val="30"/>
          <w:szCs w:val="30"/>
        </w:rPr>
      </w:pPr>
    </w:p>
    <w:p w14:paraId="4B90CA3E">
      <w:pPr>
        <w:pStyle w:val="9"/>
        <w:spacing w:before="166"/>
        <w:ind w:left="0"/>
        <w:jc w:val="left"/>
        <w:rPr>
          <w:rFonts w:hint="eastAsia"/>
          <w:sz w:val="30"/>
          <w:szCs w:val="30"/>
        </w:rPr>
      </w:pPr>
      <w:r>
        <w:rPr>
          <w:rFonts w:hint="eastAsia"/>
          <w:sz w:val="30"/>
          <w:szCs w:val="30"/>
        </w:rPr>
        <w:t>Just as there is a single general Resurrection, so there is a single general Judgment (John 5:28-29).</w:t>
      </w:r>
    </w:p>
    <w:p w14:paraId="2BD0A62C">
      <w:pPr>
        <w:pStyle w:val="9"/>
        <w:spacing w:before="166"/>
        <w:ind w:left="0"/>
        <w:jc w:val="left"/>
        <w:rPr>
          <w:rFonts w:hint="eastAsia"/>
          <w:sz w:val="30"/>
          <w:szCs w:val="30"/>
        </w:rPr>
      </w:pPr>
      <w:r>
        <w:rPr>
          <w:rFonts w:hint="eastAsia"/>
          <w:sz w:val="30"/>
          <w:szCs w:val="30"/>
        </w:rPr>
        <w:t>正如只有一个普世的复活，也只有一个普世的审判（约翰福音5:28-29）。</w:t>
      </w:r>
    </w:p>
    <w:p w14:paraId="053D6E4F">
      <w:pPr>
        <w:pStyle w:val="9"/>
        <w:spacing w:before="166"/>
        <w:ind w:left="0"/>
        <w:jc w:val="left"/>
        <w:rPr>
          <w:rFonts w:hint="eastAsia"/>
          <w:sz w:val="30"/>
          <w:szCs w:val="30"/>
        </w:rPr>
      </w:pPr>
    </w:p>
    <w:p w14:paraId="49519305">
      <w:pPr>
        <w:pStyle w:val="9"/>
        <w:spacing w:before="166"/>
        <w:ind w:left="0"/>
        <w:jc w:val="left"/>
        <w:rPr>
          <w:rFonts w:hint="eastAsia"/>
          <w:sz w:val="30"/>
          <w:szCs w:val="30"/>
        </w:rPr>
      </w:pPr>
      <w:r>
        <w:rPr>
          <w:rFonts w:hint="eastAsia"/>
          <w:sz w:val="30"/>
          <w:szCs w:val="30"/>
        </w:rPr>
        <w:t>As we shall see later, it includes not only all human beings, but also all the angels and the whole physical creation.</w:t>
      </w:r>
    </w:p>
    <w:p w14:paraId="3FB6610C">
      <w:pPr>
        <w:pStyle w:val="9"/>
        <w:spacing w:before="166"/>
        <w:ind w:left="0"/>
        <w:jc w:val="left"/>
        <w:rPr>
          <w:rFonts w:hint="eastAsia"/>
          <w:sz w:val="30"/>
          <w:szCs w:val="30"/>
        </w:rPr>
      </w:pPr>
      <w:r>
        <w:rPr>
          <w:rFonts w:hint="eastAsia"/>
          <w:sz w:val="30"/>
          <w:szCs w:val="30"/>
        </w:rPr>
        <w:t>我们稍后将看到，它不仅包括所有的人类，也包括所有的天使和整个物质创造。</w:t>
      </w:r>
    </w:p>
    <w:p w14:paraId="1C9B4742">
      <w:pPr>
        <w:pStyle w:val="9"/>
        <w:spacing w:before="166"/>
        <w:ind w:left="0"/>
        <w:jc w:val="left"/>
        <w:rPr>
          <w:rFonts w:hint="eastAsia"/>
          <w:sz w:val="30"/>
          <w:szCs w:val="30"/>
        </w:rPr>
      </w:pPr>
    </w:p>
    <w:p w14:paraId="0CFEE03C">
      <w:pPr>
        <w:pStyle w:val="9"/>
        <w:spacing w:before="166"/>
        <w:ind w:left="0"/>
        <w:jc w:val="left"/>
        <w:rPr>
          <w:rFonts w:hint="eastAsia"/>
          <w:sz w:val="30"/>
          <w:szCs w:val="30"/>
        </w:rPr>
      </w:pPr>
      <w:r>
        <w:rPr>
          <w:rFonts w:hint="eastAsia"/>
          <w:sz w:val="30"/>
          <w:szCs w:val="30"/>
        </w:rPr>
        <w:t>It is cosmic in scope because it is consummate in purpose.</w:t>
      </w:r>
    </w:p>
    <w:p w14:paraId="5F858447">
      <w:pPr>
        <w:pStyle w:val="9"/>
        <w:spacing w:before="166"/>
        <w:ind w:left="0"/>
        <w:jc w:val="left"/>
        <w:rPr>
          <w:rFonts w:hint="eastAsia"/>
          <w:sz w:val="30"/>
          <w:szCs w:val="30"/>
        </w:rPr>
      </w:pPr>
      <w:r>
        <w:rPr>
          <w:rFonts w:hint="eastAsia"/>
          <w:sz w:val="30"/>
          <w:szCs w:val="30"/>
        </w:rPr>
        <w:t>其范围是宇宙性的，因为其目的是最终的。</w:t>
      </w:r>
    </w:p>
    <w:p w14:paraId="598A6464">
      <w:pPr>
        <w:pStyle w:val="9"/>
        <w:spacing w:before="166"/>
        <w:ind w:left="0"/>
        <w:jc w:val="left"/>
        <w:rPr>
          <w:rFonts w:hint="eastAsia"/>
          <w:sz w:val="30"/>
          <w:szCs w:val="30"/>
        </w:rPr>
      </w:pPr>
    </w:p>
    <w:p w14:paraId="52D048EF">
      <w:pPr>
        <w:pStyle w:val="9"/>
        <w:spacing w:before="166"/>
        <w:ind w:left="0"/>
        <w:jc w:val="left"/>
        <w:rPr>
          <w:rFonts w:hint="eastAsia"/>
          <w:sz w:val="30"/>
          <w:szCs w:val="30"/>
        </w:rPr>
      </w:pPr>
      <w:r>
        <w:rPr>
          <w:rFonts w:hint="eastAsia"/>
          <w:sz w:val="30"/>
          <w:szCs w:val="30"/>
        </w:rPr>
        <w:t>As in the case of the Parousia and the Resurrection, so here: The use of the definite article is prominent and significant.</w:t>
      </w:r>
    </w:p>
    <w:p w14:paraId="40970C28">
      <w:pPr>
        <w:pStyle w:val="9"/>
        <w:spacing w:before="166"/>
        <w:ind w:left="0"/>
        <w:jc w:val="left"/>
        <w:rPr>
          <w:rFonts w:hint="eastAsia"/>
          <w:sz w:val="30"/>
          <w:szCs w:val="30"/>
        </w:rPr>
      </w:pPr>
      <w:r>
        <w:rPr>
          <w:rFonts w:hint="eastAsia"/>
          <w:sz w:val="30"/>
          <w:szCs w:val="30"/>
        </w:rPr>
        <w:t>如同在主临（Parousia）和复活的情况一样，这里也是如此：定冠词的使用是突出和重要的。</w:t>
      </w:r>
    </w:p>
    <w:p w14:paraId="67090023">
      <w:pPr>
        <w:pStyle w:val="9"/>
        <w:spacing w:before="166"/>
        <w:ind w:left="0"/>
        <w:jc w:val="left"/>
        <w:rPr>
          <w:rFonts w:hint="eastAsia"/>
          <w:sz w:val="30"/>
          <w:szCs w:val="30"/>
        </w:rPr>
      </w:pPr>
    </w:p>
    <w:p w14:paraId="737DB1D3">
      <w:pPr>
        <w:pStyle w:val="9"/>
        <w:spacing w:before="166"/>
        <w:ind w:left="0"/>
        <w:jc w:val="left"/>
        <w:rPr>
          <w:rFonts w:hint="eastAsia"/>
          <w:sz w:val="30"/>
          <w:szCs w:val="30"/>
        </w:rPr>
      </w:pPr>
      <w:r>
        <w:rPr>
          <w:rFonts w:hint="eastAsia"/>
          <w:sz w:val="30"/>
          <w:szCs w:val="30"/>
        </w:rPr>
        <w:t>Our Lord, for example, warned often of “the Judgment” (Mt. 5:21-22, 12:42, Heb. 9:22).</w:t>
      </w:r>
    </w:p>
    <w:p w14:paraId="791FE61A">
      <w:pPr>
        <w:pStyle w:val="9"/>
        <w:spacing w:before="166"/>
        <w:ind w:left="0"/>
        <w:jc w:val="left"/>
        <w:rPr>
          <w:rFonts w:hint="eastAsia"/>
          <w:sz w:val="30"/>
          <w:szCs w:val="30"/>
        </w:rPr>
      </w:pPr>
      <w:r>
        <w:rPr>
          <w:rFonts w:hint="eastAsia"/>
          <w:sz w:val="30"/>
          <w:szCs w:val="30"/>
        </w:rPr>
        <w:t>例如，我们的主经常警告“那审判”（太5:21-22, 12:42，来9:22）。</w:t>
      </w:r>
    </w:p>
    <w:p w14:paraId="3C981ED1">
      <w:pPr>
        <w:pStyle w:val="9"/>
        <w:spacing w:before="166"/>
        <w:ind w:left="0"/>
        <w:jc w:val="left"/>
        <w:rPr>
          <w:rFonts w:hint="eastAsia"/>
          <w:sz w:val="30"/>
          <w:szCs w:val="30"/>
        </w:rPr>
      </w:pPr>
    </w:p>
    <w:p w14:paraId="098AEC3A">
      <w:pPr>
        <w:pStyle w:val="9"/>
        <w:spacing w:before="166"/>
        <w:ind w:left="0"/>
        <w:jc w:val="left"/>
        <w:rPr>
          <w:rFonts w:hint="eastAsia"/>
          <w:sz w:val="30"/>
          <w:szCs w:val="30"/>
        </w:rPr>
      </w:pPr>
      <w:r>
        <w:rPr>
          <w:rFonts w:hint="eastAsia"/>
          <w:sz w:val="30"/>
          <w:szCs w:val="30"/>
        </w:rPr>
        <w:t>Drawing upon OT prophecies of the Day of the LORD, he also spoke of “the Day of Judgment” (Mt. 10:15, 11:22, 24, 12:36).</w:t>
      </w:r>
    </w:p>
    <w:p w14:paraId="4F358407">
      <w:pPr>
        <w:pStyle w:val="9"/>
        <w:spacing w:before="166"/>
        <w:ind w:left="0"/>
        <w:jc w:val="left"/>
        <w:rPr>
          <w:rFonts w:hint="eastAsia"/>
          <w:sz w:val="30"/>
          <w:szCs w:val="30"/>
        </w:rPr>
      </w:pPr>
      <w:r>
        <w:rPr>
          <w:rFonts w:hint="eastAsia"/>
          <w:sz w:val="30"/>
          <w:szCs w:val="30"/>
        </w:rPr>
        <w:t>祂借鉴旧约关于耶和华的日子的预言，也谈到“审判的日子”（太10:15, 11:22, 24, 12:36）。</w:t>
      </w:r>
    </w:p>
    <w:p w14:paraId="335DD9D7">
      <w:pPr>
        <w:pStyle w:val="9"/>
        <w:spacing w:before="166"/>
        <w:ind w:left="0"/>
        <w:jc w:val="left"/>
        <w:rPr>
          <w:rFonts w:hint="eastAsia"/>
          <w:sz w:val="30"/>
          <w:szCs w:val="30"/>
        </w:rPr>
      </w:pPr>
    </w:p>
    <w:p w14:paraId="2687DB98">
      <w:pPr>
        <w:pStyle w:val="9"/>
        <w:spacing w:before="166"/>
        <w:ind w:left="0"/>
        <w:jc w:val="left"/>
        <w:rPr>
          <w:rFonts w:hint="eastAsia"/>
          <w:sz w:val="30"/>
          <w:szCs w:val="30"/>
        </w:rPr>
      </w:pPr>
      <w:r>
        <w:rPr>
          <w:rFonts w:hint="eastAsia"/>
          <w:sz w:val="30"/>
          <w:szCs w:val="30"/>
        </w:rPr>
        <w:t>Peter and John did the same (2 Peter 2:9, 3:7, 1 John 4:7).</w:t>
      </w:r>
    </w:p>
    <w:p w14:paraId="7C87BDC4">
      <w:pPr>
        <w:pStyle w:val="9"/>
        <w:spacing w:before="166"/>
        <w:ind w:left="0"/>
        <w:jc w:val="left"/>
        <w:rPr>
          <w:rFonts w:hint="eastAsia"/>
          <w:sz w:val="30"/>
          <w:szCs w:val="30"/>
        </w:rPr>
      </w:pPr>
      <w:r>
        <w:rPr>
          <w:rFonts w:hint="eastAsia"/>
          <w:sz w:val="30"/>
          <w:szCs w:val="30"/>
        </w:rPr>
        <w:t>彼得和约翰也同样如此（彼得后书2:9, 3:7，约翰一书4:7）。</w:t>
      </w:r>
    </w:p>
    <w:p w14:paraId="228AB672">
      <w:pPr>
        <w:pStyle w:val="9"/>
        <w:spacing w:before="166"/>
        <w:ind w:left="0"/>
        <w:jc w:val="left"/>
        <w:rPr>
          <w:rFonts w:hint="eastAsia"/>
          <w:sz w:val="30"/>
          <w:szCs w:val="30"/>
        </w:rPr>
      </w:pPr>
    </w:p>
    <w:p w14:paraId="1F2761A4">
      <w:pPr>
        <w:pStyle w:val="9"/>
        <w:spacing w:before="166"/>
        <w:ind w:left="0"/>
        <w:jc w:val="left"/>
        <w:rPr>
          <w:rFonts w:hint="eastAsia"/>
          <w:sz w:val="30"/>
          <w:szCs w:val="30"/>
        </w:rPr>
      </w:pPr>
      <w:r>
        <w:rPr>
          <w:rFonts w:hint="eastAsia"/>
          <w:sz w:val="30"/>
          <w:szCs w:val="30"/>
        </w:rPr>
        <w:t>Paul, preaching to the Athenian philosophers, declared that “God has fixed a Day in which he will judge the world in righteousness through a Man whom he has appointed, having furnished proof to all men by raising him from the dead” (Acts 17:31).</w:t>
      </w:r>
    </w:p>
    <w:p w14:paraId="04D7930A">
      <w:pPr>
        <w:pStyle w:val="9"/>
        <w:spacing w:before="166"/>
        <w:ind w:left="0"/>
        <w:jc w:val="left"/>
        <w:rPr>
          <w:rFonts w:hint="eastAsia"/>
          <w:sz w:val="30"/>
          <w:szCs w:val="30"/>
        </w:rPr>
      </w:pPr>
      <w:r>
        <w:rPr>
          <w:rFonts w:hint="eastAsia"/>
          <w:sz w:val="30"/>
          <w:szCs w:val="30"/>
        </w:rPr>
        <w:t>保罗向雅典的哲学家讲道时宣告说：“上帝已经定了日子，要藉着祂所设立的人按公义审判天下，并且叫祂从死里复活，给万人作可信的凭据”（使徒行传17:31）。</w:t>
      </w:r>
    </w:p>
    <w:p w14:paraId="7C859C44">
      <w:pPr>
        <w:pStyle w:val="9"/>
        <w:spacing w:before="166"/>
        <w:ind w:left="0"/>
        <w:jc w:val="left"/>
        <w:rPr>
          <w:rFonts w:hint="eastAsia"/>
          <w:sz w:val="30"/>
          <w:szCs w:val="30"/>
        </w:rPr>
      </w:pPr>
    </w:p>
    <w:p w14:paraId="6B22DAE4">
      <w:pPr>
        <w:pStyle w:val="9"/>
        <w:spacing w:before="166"/>
        <w:ind w:left="0"/>
        <w:jc w:val="left"/>
        <w:rPr>
          <w:rFonts w:hint="eastAsia"/>
          <w:sz w:val="30"/>
          <w:szCs w:val="30"/>
        </w:rPr>
      </w:pPr>
      <w:r>
        <w:rPr>
          <w:rFonts w:hint="eastAsia"/>
          <w:sz w:val="30"/>
          <w:szCs w:val="30"/>
        </w:rPr>
        <w:t>Later, addressing the Roman governor Felix, he discoursed about “the judgment to come” (Acts 24:25).</w:t>
      </w:r>
    </w:p>
    <w:p w14:paraId="161BB98B">
      <w:pPr>
        <w:pStyle w:val="9"/>
        <w:spacing w:before="166"/>
        <w:ind w:left="0"/>
        <w:jc w:val="left"/>
        <w:rPr>
          <w:rFonts w:hint="eastAsia"/>
          <w:sz w:val="30"/>
          <w:szCs w:val="30"/>
        </w:rPr>
      </w:pPr>
      <w:r>
        <w:rPr>
          <w:rFonts w:hint="eastAsia"/>
          <w:sz w:val="30"/>
          <w:szCs w:val="30"/>
        </w:rPr>
        <w:t>后来，对罗马巡抚腓力斯说话时，他谈论了“将来的审判”（使徒行传24:25）。</w:t>
      </w:r>
    </w:p>
    <w:p w14:paraId="223CF475">
      <w:pPr>
        <w:pStyle w:val="9"/>
        <w:spacing w:before="166"/>
        <w:ind w:left="0"/>
        <w:jc w:val="left"/>
        <w:rPr>
          <w:rFonts w:hint="eastAsia"/>
          <w:sz w:val="30"/>
          <w:szCs w:val="30"/>
        </w:rPr>
      </w:pPr>
    </w:p>
    <w:p w14:paraId="568F5E1C">
      <w:pPr>
        <w:pStyle w:val="9"/>
        <w:spacing w:before="166"/>
        <w:ind w:left="0"/>
        <w:jc w:val="left"/>
        <w:rPr>
          <w:rFonts w:hint="eastAsia"/>
          <w:sz w:val="30"/>
          <w:szCs w:val="30"/>
        </w:rPr>
      </w:pPr>
      <w:r>
        <w:rPr>
          <w:rFonts w:hint="eastAsia"/>
          <w:sz w:val="30"/>
          <w:szCs w:val="30"/>
        </w:rPr>
        <w:t>In his letter to the Roman Christians, he wrote of “… the Day in which God will judge the secrets of men’s hearts by Jesus Christ” (Rom. 2:16).</w:t>
      </w:r>
    </w:p>
    <w:p w14:paraId="1EA83759">
      <w:pPr>
        <w:pStyle w:val="9"/>
        <w:spacing w:before="166"/>
        <w:ind w:left="0"/>
        <w:jc w:val="left"/>
        <w:rPr>
          <w:rFonts w:hint="eastAsia"/>
          <w:sz w:val="30"/>
          <w:szCs w:val="30"/>
        </w:rPr>
      </w:pPr>
      <w:r>
        <w:rPr>
          <w:rFonts w:hint="eastAsia"/>
          <w:sz w:val="30"/>
          <w:szCs w:val="30"/>
        </w:rPr>
        <w:t>在他写给罗马基督徒的信中，他写道：“……就在那日，上帝要藉着耶稣基督审判人隐秘的事”（罗2:16）。</w:t>
      </w:r>
    </w:p>
    <w:p w14:paraId="547D75F4">
      <w:pPr>
        <w:pStyle w:val="9"/>
        <w:spacing w:before="166"/>
        <w:ind w:left="0"/>
        <w:jc w:val="left"/>
        <w:rPr>
          <w:rFonts w:hint="eastAsia"/>
          <w:sz w:val="30"/>
          <w:szCs w:val="30"/>
        </w:rPr>
      </w:pPr>
    </w:p>
    <w:p w14:paraId="75440C8C">
      <w:pPr>
        <w:pStyle w:val="9"/>
        <w:spacing w:before="166"/>
        <w:ind w:left="0"/>
        <w:jc w:val="left"/>
        <w:rPr>
          <w:rFonts w:hint="eastAsia"/>
          <w:sz w:val="30"/>
          <w:szCs w:val="30"/>
        </w:rPr>
      </w:pPr>
      <w:r>
        <w:rPr>
          <w:rFonts w:hint="eastAsia"/>
          <w:sz w:val="30"/>
          <w:szCs w:val="30"/>
        </w:rPr>
        <w:t>Meanwhile, Jude, in a manner reminiscent of the OT prophets, thundered about “the Judgment of the Great Day” (Jude 1:6; Joel 2:31, Mal. 4:5).</w:t>
      </w:r>
    </w:p>
    <w:p w14:paraId="6B93D16A">
      <w:pPr>
        <w:pStyle w:val="9"/>
        <w:spacing w:before="166"/>
        <w:ind w:left="0"/>
        <w:jc w:val="left"/>
        <w:rPr>
          <w:rFonts w:hint="eastAsia"/>
          <w:sz w:val="30"/>
          <w:szCs w:val="30"/>
        </w:rPr>
      </w:pPr>
      <w:r>
        <w:rPr>
          <w:rFonts w:hint="eastAsia"/>
          <w:sz w:val="30"/>
          <w:szCs w:val="30"/>
        </w:rPr>
        <w:t>同时，犹大，以一种让人联想到旧约先知的方式，大声疾呼关于“大日的审判”（犹1:6；珥2:31，玛4:5）。</w:t>
      </w:r>
    </w:p>
    <w:p w14:paraId="226A207A">
      <w:pPr>
        <w:pStyle w:val="9"/>
        <w:spacing w:before="166"/>
        <w:ind w:left="0"/>
        <w:jc w:val="left"/>
        <w:rPr>
          <w:rFonts w:hint="eastAsia"/>
          <w:sz w:val="30"/>
          <w:szCs w:val="30"/>
        </w:rPr>
      </w:pPr>
    </w:p>
    <w:p w14:paraId="05EA99EA">
      <w:pPr>
        <w:pStyle w:val="9"/>
        <w:spacing w:before="166"/>
        <w:ind w:left="0"/>
        <w:jc w:val="left"/>
        <w:rPr>
          <w:rFonts w:hint="eastAsia"/>
          <w:sz w:val="30"/>
          <w:szCs w:val="30"/>
        </w:rPr>
      </w:pPr>
      <w:r>
        <w:rPr>
          <w:rFonts w:hint="eastAsia"/>
          <w:sz w:val="30"/>
          <w:szCs w:val="30"/>
        </w:rPr>
        <w:t>And finally, we have the Revelation, wherein we find John purveying visions of “the great Day of God, the Almighty” (Rev. 16:14).</w:t>
      </w:r>
    </w:p>
    <w:p w14:paraId="36F23B30">
      <w:pPr>
        <w:pStyle w:val="9"/>
        <w:spacing w:before="166"/>
        <w:ind w:left="0"/>
        <w:jc w:val="left"/>
        <w:rPr>
          <w:rFonts w:hint="eastAsia"/>
          <w:sz w:val="30"/>
          <w:szCs w:val="30"/>
        </w:rPr>
      </w:pPr>
      <w:r>
        <w:rPr>
          <w:rFonts w:hint="eastAsia"/>
          <w:sz w:val="30"/>
          <w:szCs w:val="30"/>
        </w:rPr>
        <w:t>最后，我们有《启示录》，在其中我们发现约翰传达了“上帝全能者大日子的”异象（启16:14）。</w:t>
      </w:r>
    </w:p>
    <w:p w14:paraId="1A7FB54B">
      <w:pPr>
        <w:pStyle w:val="9"/>
        <w:spacing w:before="166"/>
        <w:ind w:left="0"/>
        <w:jc w:val="left"/>
        <w:rPr>
          <w:rFonts w:hint="eastAsia"/>
          <w:sz w:val="30"/>
          <w:szCs w:val="30"/>
        </w:rPr>
      </w:pPr>
    </w:p>
    <w:p w14:paraId="7BF72111">
      <w:pPr>
        <w:pStyle w:val="9"/>
        <w:spacing w:before="166"/>
        <w:ind w:left="0"/>
        <w:jc w:val="left"/>
        <w:rPr>
          <w:rFonts w:hint="eastAsia"/>
          <w:sz w:val="30"/>
          <w:szCs w:val="30"/>
        </w:rPr>
      </w:pPr>
      <w:r>
        <w:rPr>
          <w:rFonts w:hint="eastAsia"/>
          <w:sz w:val="30"/>
          <w:szCs w:val="30"/>
        </w:rPr>
        <w:t>In all these varied expressions—and especially in the use of the definite article preceding them—we see the Christ-centered unity of the Judgment shining forth with clarity and great power.</w:t>
      </w:r>
    </w:p>
    <w:p w14:paraId="30A3463D">
      <w:pPr>
        <w:pStyle w:val="9"/>
        <w:spacing w:before="166"/>
        <w:ind w:left="0"/>
        <w:jc w:val="left"/>
        <w:rPr>
          <w:rFonts w:hint="eastAsia"/>
          <w:sz w:val="30"/>
          <w:szCs w:val="30"/>
        </w:rPr>
      </w:pPr>
      <w:r>
        <w:rPr>
          <w:rFonts w:hint="eastAsia"/>
          <w:sz w:val="30"/>
          <w:szCs w:val="30"/>
        </w:rPr>
        <w:t>在所有这些不同的表达中——尤其是在它们前面使用定冠词的情况下——我们看到了以基督为中心的审判的统一性，以清晰和极大的能力闪耀而出。</w:t>
      </w:r>
    </w:p>
    <w:p w14:paraId="1CBB32E3">
      <w:pPr>
        <w:pStyle w:val="9"/>
        <w:spacing w:before="166"/>
        <w:ind w:left="0"/>
        <w:jc w:val="left"/>
        <w:rPr>
          <w:rFonts w:hint="eastAsia"/>
          <w:sz w:val="30"/>
          <w:szCs w:val="30"/>
        </w:rPr>
      </w:pPr>
    </w:p>
    <w:p w14:paraId="57655164">
      <w:pPr>
        <w:pStyle w:val="9"/>
        <w:spacing w:before="166"/>
        <w:ind w:left="0"/>
        <w:jc w:val="left"/>
        <w:rPr>
          <w:rFonts w:hint="eastAsia"/>
          <w:sz w:val="30"/>
          <w:szCs w:val="30"/>
        </w:rPr>
      </w:pPr>
      <w:r>
        <w:rPr>
          <w:rFonts w:hint="eastAsia"/>
          <w:sz w:val="30"/>
          <w:szCs w:val="30"/>
        </w:rPr>
        <w:t>The NT gives us a number of didactic passages dealing at considerable length with the Judgment.</w:t>
      </w:r>
    </w:p>
    <w:p w14:paraId="57BB08EF">
      <w:pPr>
        <w:pStyle w:val="9"/>
        <w:spacing w:before="166"/>
        <w:ind w:left="0"/>
        <w:jc w:val="left"/>
        <w:rPr>
          <w:rFonts w:hint="eastAsia"/>
          <w:sz w:val="30"/>
          <w:szCs w:val="30"/>
        </w:rPr>
      </w:pPr>
      <w:r>
        <w:rPr>
          <w:rFonts w:hint="eastAsia"/>
          <w:sz w:val="30"/>
          <w:szCs w:val="30"/>
        </w:rPr>
        <w:t>新约给了我们一些教导性的段落，相当详细地处理了审判。</w:t>
      </w:r>
    </w:p>
    <w:p w14:paraId="33475756">
      <w:pPr>
        <w:pStyle w:val="9"/>
        <w:spacing w:before="166"/>
        <w:ind w:left="0"/>
        <w:jc w:val="left"/>
        <w:rPr>
          <w:rFonts w:hint="eastAsia"/>
          <w:sz w:val="30"/>
          <w:szCs w:val="30"/>
        </w:rPr>
      </w:pPr>
    </w:p>
    <w:p w14:paraId="0ED005C4">
      <w:pPr>
        <w:pStyle w:val="9"/>
        <w:spacing w:before="166"/>
        <w:ind w:left="0"/>
        <w:jc w:val="left"/>
        <w:rPr>
          <w:rFonts w:hint="eastAsia"/>
          <w:sz w:val="30"/>
          <w:szCs w:val="30"/>
        </w:rPr>
      </w:pPr>
      <w:r>
        <w:rPr>
          <w:rFonts w:hint="eastAsia"/>
          <w:sz w:val="30"/>
          <w:szCs w:val="30"/>
        </w:rPr>
        <w:t>These include Mt. 25:31ff, Romans 2:3-16, 2 Thessalonians 1:3-12, and 2 Peter 3:1-13.</w:t>
      </w:r>
    </w:p>
    <w:p w14:paraId="45E524F1">
      <w:pPr>
        <w:pStyle w:val="9"/>
        <w:spacing w:before="166"/>
        <w:ind w:left="0"/>
        <w:jc w:val="left"/>
        <w:rPr>
          <w:rFonts w:hint="eastAsia"/>
          <w:sz w:val="30"/>
          <w:szCs w:val="30"/>
        </w:rPr>
      </w:pPr>
      <w:r>
        <w:rPr>
          <w:rFonts w:hint="eastAsia"/>
          <w:sz w:val="30"/>
          <w:szCs w:val="30"/>
        </w:rPr>
        <w:t>这些包括马太福音25:31及以下，罗马书2:3-16，帖撒罗尼迦后书1:3-12，和彼得后书3:1-13。</w:t>
      </w:r>
    </w:p>
    <w:p w14:paraId="5B1AD746">
      <w:pPr>
        <w:pStyle w:val="9"/>
        <w:spacing w:before="166"/>
        <w:ind w:left="0"/>
        <w:jc w:val="left"/>
        <w:rPr>
          <w:rFonts w:hint="eastAsia"/>
          <w:sz w:val="30"/>
          <w:szCs w:val="30"/>
        </w:rPr>
      </w:pPr>
    </w:p>
    <w:p w14:paraId="6DD84EFE">
      <w:pPr>
        <w:pStyle w:val="9"/>
        <w:spacing w:before="166"/>
        <w:ind w:left="0"/>
        <w:jc w:val="left"/>
        <w:rPr>
          <w:rFonts w:hint="eastAsia"/>
          <w:sz w:val="30"/>
          <w:szCs w:val="30"/>
        </w:rPr>
      </w:pPr>
      <w:r>
        <w:rPr>
          <w:rFonts w:hint="eastAsia"/>
          <w:sz w:val="30"/>
          <w:szCs w:val="30"/>
        </w:rPr>
        <w:t>Later we will look closely at each one.</w:t>
      </w:r>
    </w:p>
    <w:p w14:paraId="061CD827">
      <w:pPr>
        <w:pStyle w:val="9"/>
        <w:spacing w:before="166"/>
        <w:ind w:left="0"/>
        <w:jc w:val="left"/>
        <w:rPr>
          <w:rFonts w:hint="eastAsia"/>
          <w:sz w:val="30"/>
          <w:szCs w:val="30"/>
        </w:rPr>
      </w:pPr>
      <w:r>
        <w:rPr>
          <w:rFonts w:hint="eastAsia"/>
          <w:sz w:val="30"/>
          <w:szCs w:val="30"/>
        </w:rPr>
        <w:t>稍后我们将仔细地查考每一个。</w:t>
      </w:r>
    </w:p>
    <w:p w14:paraId="00FCCB90">
      <w:pPr>
        <w:pStyle w:val="9"/>
        <w:spacing w:before="166"/>
        <w:ind w:left="0"/>
        <w:jc w:val="left"/>
        <w:rPr>
          <w:rFonts w:hint="eastAsia"/>
          <w:sz w:val="30"/>
          <w:szCs w:val="30"/>
        </w:rPr>
      </w:pPr>
    </w:p>
    <w:p w14:paraId="12ACCC2A">
      <w:pPr>
        <w:pStyle w:val="9"/>
        <w:spacing w:before="166"/>
        <w:ind w:left="0"/>
        <w:jc w:val="left"/>
        <w:rPr>
          <w:rFonts w:hint="eastAsia"/>
          <w:sz w:val="30"/>
          <w:szCs w:val="30"/>
        </w:rPr>
      </w:pPr>
      <w:r>
        <w:rPr>
          <w:rFonts w:hint="eastAsia"/>
          <w:sz w:val="30"/>
          <w:szCs w:val="30"/>
        </w:rPr>
        <w:t>Here, however, I would encourage you to look them over now, keeping three crucial questions in mind: (1) Is the author/speaker looking for a single judgment; (2) Is he looking for a single universal judgment; (3) Is he looking for a single universal judgment to be accomplished by Christ at his coming?</w:t>
      </w:r>
    </w:p>
    <w:p w14:paraId="600DDB6A">
      <w:pPr>
        <w:pStyle w:val="9"/>
        <w:spacing w:before="166"/>
        <w:ind w:left="0"/>
        <w:jc w:val="left"/>
        <w:rPr>
          <w:rFonts w:hint="eastAsia"/>
          <w:sz w:val="30"/>
          <w:szCs w:val="30"/>
        </w:rPr>
      </w:pPr>
      <w:r>
        <w:rPr>
          <w:rFonts w:hint="eastAsia"/>
          <w:sz w:val="30"/>
          <w:szCs w:val="30"/>
        </w:rPr>
        <w:t>然而，在这里，我鼓励你们现在就查考它们，并记住三个关键问题：（1）作者/说话者是否在寻找一个单一的审判；（2）祂是否在寻找一个单一的普世审判；（3）祂是否在寻找一个由基督在祂降临时成就的单一的普世审判？</w:t>
      </w:r>
    </w:p>
    <w:p w14:paraId="64CA7AAF">
      <w:pPr>
        <w:pStyle w:val="9"/>
        <w:spacing w:before="166"/>
        <w:ind w:left="0"/>
        <w:jc w:val="left"/>
        <w:rPr>
          <w:rFonts w:hint="eastAsia"/>
          <w:sz w:val="30"/>
          <w:szCs w:val="30"/>
        </w:rPr>
      </w:pPr>
    </w:p>
    <w:p w14:paraId="23B04BC2">
      <w:pPr>
        <w:pStyle w:val="9"/>
        <w:spacing w:before="166"/>
        <w:ind w:left="0"/>
        <w:jc w:val="left"/>
        <w:rPr>
          <w:rFonts w:hint="eastAsia"/>
          <w:sz w:val="30"/>
          <w:szCs w:val="30"/>
        </w:rPr>
      </w:pPr>
      <w:r>
        <w:rPr>
          <w:rFonts w:hint="eastAsia"/>
          <w:sz w:val="30"/>
          <w:szCs w:val="30"/>
        </w:rPr>
        <w:t>This little exercise should raise grave doubts about premillennial scenarios, all of which divide the one Judgment into several lesser judgments, thus separating what the Lord and the Scriptures have so clearly joined together (Mt. 19:6)!</w:t>
      </w:r>
    </w:p>
    <w:p w14:paraId="7EFF1481">
      <w:pPr>
        <w:pStyle w:val="9"/>
        <w:spacing w:before="166"/>
        <w:ind w:left="0"/>
        <w:jc w:val="left"/>
        <w:rPr>
          <w:rFonts w:hint="eastAsia"/>
          <w:sz w:val="30"/>
          <w:szCs w:val="30"/>
        </w:rPr>
      </w:pPr>
      <w:r>
        <w:rPr>
          <w:rFonts w:hint="eastAsia"/>
          <w:sz w:val="30"/>
          <w:szCs w:val="30"/>
        </w:rPr>
        <w:t>这个小练习应该会对前千禧年的情景提出严重的质疑，所有这些情景都将一次审判分为几次较小的审判，从而将主和圣经已如此清楚地联合在一起的分开了（太19:6）！</w:t>
      </w:r>
    </w:p>
    <w:p w14:paraId="339D2AC6">
      <w:pPr>
        <w:pStyle w:val="9"/>
        <w:spacing w:before="166"/>
        <w:ind w:left="0"/>
        <w:jc w:val="left"/>
        <w:rPr>
          <w:rFonts w:hint="eastAsia"/>
          <w:sz w:val="30"/>
          <w:szCs w:val="30"/>
        </w:rPr>
      </w:pPr>
    </w:p>
    <w:p w14:paraId="210B8AEE">
      <w:pPr>
        <w:pStyle w:val="9"/>
        <w:spacing w:before="166"/>
        <w:ind w:left="0"/>
        <w:jc w:val="left"/>
        <w:rPr>
          <w:rFonts w:hint="eastAsia"/>
          <w:sz w:val="30"/>
          <w:szCs w:val="30"/>
        </w:rPr>
      </w:pPr>
      <w:r>
        <w:rPr>
          <w:rFonts w:hint="eastAsia"/>
          <w:sz w:val="30"/>
          <w:szCs w:val="30"/>
        </w:rPr>
        <w:t>4.The One Cosmic Regeneration</w:t>
      </w:r>
    </w:p>
    <w:p w14:paraId="4F70D788">
      <w:pPr>
        <w:pStyle w:val="9"/>
        <w:spacing w:before="166"/>
        <w:ind w:left="0"/>
        <w:jc w:val="left"/>
        <w:rPr>
          <w:rFonts w:hint="eastAsia"/>
          <w:sz w:val="30"/>
          <w:szCs w:val="30"/>
        </w:rPr>
      </w:pPr>
      <w:r>
        <w:rPr>
          <w:rFonts w:hint="eastAsia"/>
          <w:sz w:val="30"/>
          <w:szCs w:val="30"/>
        </w:rPr>
        <w:t>4.独一的宇宙重生</w:t>
      </w:r>
    </w:p>
    <w:p w14:paraId="0DA0D40E">
      <w:pPr>
        <w:pStyle w:val="9"/>
        <w:spacing w:before="166"/>
        <w:ind w:left="0"/>
        <w:jc w:val="left"/>
        <w:rPr>
          <w:rFonts w:hint="eastAsia"/>
          <w:sz w:val="30"/>
          <w:szCs w:val="30"/>
        </w:rPr>
      </w:pPr>
    </w:p>
    <w:p w14:paraId="2577B1ED">
      <w:pPr>
        <w:pStyle w:val="9"/>
        <w:spacing w:before="166"/>
        <w:ind w:left="0"/>
        <w:jc w:val="left"/>
        <w:rPr>
          <w:rFonts w:hint="eastAsia"/>
          <w:sz w:val="30"/>
          <w:szCs w:val="30"/>
        </w:rPr>
      </w:pPr>
      <w:r>
        <w:rPr>
          <w:rFonts w:hint="eastAsia"/>
          <w:sz w:val="30"/>
          <w:szCs w:val="30"/>
        </w:rPr>
        <w:t>Following the Judgment—which includes the destruction of the present heavens and earth by fire (2 Peter 3, Rev. 20:11)—there is a single cosmic Regeneration, or Restoration of All things.</w:t>
      </w:r>
    </w:p>
    <w:p w14:paraId="7F535773">
      <w:pPr>
        <w:pStyle w:val="9"/>
        <w:spacing w:before="166"/>
        <w:ind w:left="0"/>
        <w:jc w:val="left"/>
        <w:rPr>
          <w:rFonts w:hint="eastAsia"/>
          <w:sz w:val="30"/>
          <w:szCs w:val="30"/>
        </w:rPr>
      </w:pPr>
      <w:r>
        <w:rPr>
          <w:rFonts w:hint="eastAsia"/>
          <w:sz w:val="30"/>
          <w:szCs w:val="30"/>
        </w:rPr>
        <w:t>在审判之后——这包括现今天地的被火毁灭（彼得后书3，启示录20:11）——有一个单一的宇宙重生，或万物的复兴。</w:t>
      </w:r>
    </w:p>
    <w:p w14:paraId="3512FBB3">
      <w:pPr>
        <w:pStyle w:val="9"/>
        <w:spacing w:before="166"/>
        <w:ind w:left="0"/>
        <w:jc w:val="left"/>
        <w:rPr>
          <w:rFonts w:hint="eastAsia"/>
          <w:sz w:val="30"/>
          <w:szCs w:val="30"/>
        </w:rPr>
      </w:pPr>
    </w:p>
    <w:p w14:paraId="17B7F203">
      <w:pPr>
        <w:pStyle w:val="9"/>
        <w:spacing w:before="166"/>
        <w:ind w:left="0"/>
        <w:jc w:val="left"/>
        <w:rPr>
          <w:rFonts w:hint="eastAsia"/>
          <w:sz w:val="30"/>
          <w:szCs w:val="30"/>
        </w:rPr>
      </w:pPr>
      <w:r>
        <w:rPr>
          <w:rFonts w:hint="eastAsia"/>
          <w:sz w:val="30"/>
          <w:szCs w:val="30"/>
        </w:rPr>
        <w:t>In the Regeneration, God will lift the curse that he himself laid upon the natural world, and then create new heavens and a new earth, where he and his redeemed people will live together in perfect wholeness and holiness, forever.</w:t>
      </w:r>
    </w:p>
    <w:p w14:paraId="59C8EB24">
      <w:pPr>
        <w:pStyle w:val="9"/>
        <w:spacing w:before="166"/>
        <w:ind w:left="0"/>
        <w:jc w:val="left"/>
        <w:rPr>
          <w:rFonts w:hint="eastAsia"/>
          <w:sz w:val="30"/>
          <w:szCs w:val="30"/>
        </w:rPr>
      </w:pPr>
      <w:r>
        <w:rPr>
          <w:rFonts w:hint="eastAsia"/>
          <w:sz w:val="30"/>
          <w:szCs w:val="30"/>
        </w:rPr>
        <w:t>在重生中，上帝将除去祂自己加在自然世界上的咒诅，然后创造新天新地，在那里祂和祂被赎的子民将永远在完美的完整和圣洁中一同生活。</w:t>
      </w:r>
    </w:p>
    <w:p w14:paraId="6CFEA8A5">
      <w:pPr>
        <w:pStyle w:val="9"/>
        <w:spacing w:before="166"/>
        <w:ind w:left="0"/>
        <w:jc w:val="left"/>
        <w:rPr>
          <w:rFonts w:hint="eastAsia"/>
          <w:sz w:val="30"/>
          <w:szCs w:val="30"/>
        </w:rPr>
      </w:pPr>
    </w:p>
    <w:p w14:paraId="1B9E6A5E">
      <w:pPr>
        <w:pStyle w:val="9"/>
        <w:spacing w:before="166"/>
        <w:ind w:left="0"/>
        <w:jc w:val="left"/>
        <w:rPr>
          <w:rFonts w:hint="eastAsia"/>
          <w:sz w:val="30"/>
          <w:szCs w:val="30"/>
        </w:rPr>
      </w:pPr>
      <w:r>
        <w:rPr>
          <w:rFonts w:hint="eastAsia"/>
          <w:sz w:val="30"/>
          <w:szCs w:val="30"/>
        </w:rPr>
        <w:t>The expression “the Regeneration” occurs only once in the NT.</w:t>
      </w:r>
    </w:p>
    <w:p w14:paraId="56A027EE">
      <w:pPr>
        <w:pStyle w:val="9"/>
        <w:spacing w:before="166"/>
        <w:ind w:left="0"/>
        <w:jc w:val="left"/>
        <w:rPr>
          <w:rFonts w:hint="eastAsia"/>
          <w:sz w:val="30"/>
          <w:szCs w:val="30"/>
        </w:rPr>
      </w:pPr>
      <w:r>
        <w:rPr>
          <w:rFonts w:hint="eastAsia"/>
          <w:sz w:val="30"/>
          <w:szCs w:val="30"/>
        </w:rPr>
        <w:t>“重生”这个表达在新约中只出现一次。</w:t>
      </w:r>
    </w:p>
    <w:p w14:paraId="5B40B3F5">
      <w:pPr>
        <w:pStyle w:val="9"/>
        <w:spacing w:before="166"/>
        <w:ind w:left="0"/>
        <w:jc w:val="left"/>
        <w:rPr>
          <w:rFonts w:hint="eastAsia"/>
          <w:sz w:val="30"/>
          <w:szCs w:val="30"/>
        </w:rPr>
      </w:pPr>
    </w:p>
    <w:p w14:paraId="5F2C555F">
      <w:pPr>
        <w:pStyle w:val="9"/>
        <w:spacing w:before="166"/>
        <w:ind w:left="0"/>
        <w:jc w:val="left"/>
        <w:rPr>
          <w:rFonts w:hint="eastAsia"/>
          <w:sz w:val="30"/>
          <w:szCs w:val="30"/>
        </w:rPr>
      </w:pPr>
      <w:r>
        <w:rPr>
          <w:rFonts w:hint="eastAsia"/>
          <w:sz w:val="30"/>
          <w:szCs w:val="30"/>
        </w:rPr>
        <w:t>Matthew 19:2 reads, “And Jesus said to them, ‘Truly, I say to you, in the Regeneration, when the Son of man will sit on his glorious throne, you also who have followed me will sit on twelve thrones, judging the twelve tribes of Israel.’”</w:t>
      </w:r>
    </w:p>
    <w:p w14:paraId="3267537C">
      <w:pPr>
        <w:pStyle w:val="9"/>
        <w:spacing w:before="166"/>
        <w:ind w:left="0"/>
        <w:jc w:val="left"/>
        <w:rPr>
          <w:rFonts w:hint="eastAsia"/>
          <w:sz w:val="30"/>
          <w:szCs w:val="30"/>
        </w:rPr>
      </w:pPr>
      <w:r>
        <w:rPr>
          <w:rFonts w:hint="eastAsia"/>
          <w:sz w:val="30"/>
          <w:szCs w:val="30"/>
        </w:rPr>
        <w:t>马太福音19:28写道：“耶稣对他们说：‘我实在告诉你们，你们这跟从我的人，到复兴的时候，人子坐在祂荣耀的宝座上，你们也要坐在十二个宝座上，审判以色列十二个支派。’”</w:t>
      </w:r>
    </w:p>
    <w:p w14:paraId="6C580B09">
      <w:pPr>
        <w:pStyle w:val="9"/>
        <w:spacing w:before="166"/>
        <w:ind w:left="0"/>
        <w:jc w:val="left"/>
        <w:rPr>
          <w:rFonts w:hint="eastAsia"/>
          <w:sz w:val="30"/>
          <w:szCs w:val="30"/>
        </w:rPr>
      </w:pPr>
    </w:p>
    <w:p w14:paraId="5B0486F9">
      <w:pPr>
        <w:pStyle w:val="9"/>
        <w:spacing w:before="166"/>
        <w:ind w:left="0"/>
        <w:jc w:val="left"/>
        <w:rPr>
          <w:rFonts w:hint="eastAsia"/>
          <w:sz w:val="30"/>
          <w:szCs w:val="30"/>
        </w:rPr>
      </w:pPr>
      <w:r>
        <w:rPr>
          <w:rFonts w:hint="eastAsia"/>
          <w:sz w:val="30"/>
          <w:szCs w:val="30"/>
        </w:rPr>
        <w:t>As several related texts reveal, the Regeneration is a discrete eschatological event.</w:t>
      </w:r>
    </w:p>
    <w:p w14:paraId="7483D5AF">
      <w:pPr>
        <w:pStyle w:val="9"/>
        <w:spacing w:before="166"/>
        <w:ind w:left="0"/>
        <w:jc w:val="left"/>
        <w:rPr>
          <w:rFonts w:hint="eastAsia"/>
          <w:sz w:val="30"/>
          <w:szCs w:val="30"/>
        </w:rPr>
      </w:pPr>
      <w:r>
        <w:rPr>
          <w:rFonts w:hint="eastAsia"/>
          <w:sz w:val="30"/>
          <w:szCs w:val="30"/>
        </w:rPr>
        <w:t>正如几段相关的经文所揭示的，重生是一个独立的末世事件。</w:t>
      </w:r>
    </w:p>
    <w:p w14:paraId="28F64703">
      <w:pPr>
        <w:pStyle w:val="9"/>
        <w:spacing w:before="166"/>
        <w:ind w:left="0"/>
        <w:jc w:val="left"/>
        <w:rPr>
          <w:rFonts w:hint="eastAsia"/>
          <w:sz w:val="30"/>
          <w:szCs w:val="30"/>
        </w:rPr>
      </w:pPr>
    </w:p>
    <w:p w14:paraId="6DAE6228">
      <w:pPr>
        <w:pStyle w:val="9"/>
        <w:spacing w:before="166"/>
        <w:ind w:left="0"/>
        <w:jc w:val="left"/>
        <w:rPr>
          <w:rFonts w:hint="eastAsia"/>
          <w:sz w:val="30"/>
          <w:szCs w:val="30"/>
        </w:rPr>
      </w:pPr>
      <w:r>
        <w:rPr>
          <w:rFonts w:hint="eastAsia"/>
          <w:sz w:val="30"/>
          <w:szCs w:val="30"/>
        </w:rPr>
        <w:t>Here, however, the Lord uses the word to describe the eternal state that the event will introduce.</w:t>
      </w:r>
    </w:p>
    <w:p w14:paraId="665AD3DD">
      <w:pPr>
        <w:pStyle w:val="9"/>
        <w:spacing w:before="166"/>
        <w:ind w:left="0"/>
        <w:jc w:val="left"/>
        <w:rPr>
          <w:rFonts w:hint="eastAsia"/>
          <w:sz w:val="30"/>
          <w:szCs w:val="30"/>
        </w:rPr>
      </w:pPr>
      <w:r>
        <w:rPr>
          <w:rFonts w:hint="eastAsia"/>
          <w:sz w:val="30"/>
          <w:szCs w:val="30"/>
        </w:rPr>
        <w:t>然而，在这里，主用这个词来描述该事件将引入的永恒状态。</w:t>
      </w:r>
    </w:p>
    <w:p w14:paraId="4D14A23D">
      <w:pPr>
        <w:pStyle w:val="9"/>
        <w:spacing w:before="166"/>
        <w:ind w:left="0"/>
        <w:jc w:val="left"/>
        <w:rPr>
          <w:rFonts w:hint="eastAsia"/>
          <w:sz w:val="30"/>
          <w:szCs w:val="30"/>
        </w:rPr>
      </w:pPr>
    </w:p>
    <w:p w14:paraId="77835611">
      <w:pPr>
        <w:pStyle w:val="9"/>
        <w:spacing w:before="166"/>
        <w:ind w:left="0"/>
        <w:jc w:val="left"/>
        <w:rPr>
          <w:rFonts w:hint="eastAsia"/>
          <w:sz w:val="30"/>
          <w:szCs w:val="30"/>
        </w:rPr>
      </w:pPr>
      <w:r>
        <w:rPr>
          <w:rFonts w:hint="eastAsia"/>
          <w:sz w:val="30"/>
          <w:szCs w:val="30"/>
        </w:rPr>
        <w:t>Thus, his message is: In the new heavens and the new earth—where all things will have been fully reborn and restored—the twelve apostles will enjoy a privileged role in the administration of the Kingdom.</w:t>
      </w:r>
    </w:p>
    <w:p w14:paraId="1C165413">
      <w:pPr>
        <w:pStyle w:val="9"/>
        <w:spacing w:before="166"/>
        <w:ind w:left="0"/>
        <w:jc w:val="left"/>
        <w:rPr>
          <w:rFonts w:hint="eastAsia"/>
          <w:sz w:val="30"/>
          <w:szCs w:val="30"/>
        </w:rPr>
      </w:pPr>
      <w:r>
        <w:rPr>
          <w:rFonts w:hint="eastAsia"/>
          <w:sz w:val="30"/>
          <w:szCs w:val="30"/>
        </w:rPr>
        <w:t>因此，祂的信息是：在新天新地中——在那里万物都将完全重生和恢复——十二使徒将在国度的管理中享有特权的角色。</w:t>
      </w:r>
    </w:p>
    <w:p w14:paraId="03A67940">
      <w:pPr>
        <w:pStyle w:val="9"/>
        <w:spacing w:before="166"/>
        <w:ind w:left="0"/>
        <w:jc w:val="left"/>
        <w:rPr>
          <w:rFonts w:hint="eastAsia"/>
          <w:sz w:val="30"/>
          <w:szCs w:val="30"/>
        </w:rPr>
      </w:pPr>
    </w:p>
    <w:p w14:paraId="5FE7A42E">
      <w:pPr>
        <w:pStyle w:val="9"/>
        <w:spacing w:before="166"/>
        <w:ind w:left="0"/>
        <w:jc w:val="left"/>
        <w:rPr>
          <w:rFonts w:hint="eastAsia"/>
          <w:sz w:val="30"/>
          <w:szCs w:val="30"/>
        </w:rPr>
      </w:pPr>
      <w:r>
        <w:rPr>
          <w:rFonts w:hint="eastAsia"/>
          <w:sz w:val="30"/>
          <w:szCs w:val="30"/>
        </w:rPr>
        <w:t>This comports with the promise of Revelation 3:21, which looks, not to a millennial stage of the Kingdom, but to the World to Come; and also with Revelation 21:14, a text that may also hint at the special prerogatives of the twelve apostles in the completed Kingdom (Luke 19:15-19).</w:t>
      </w:r>
    </w:p>
    <w:p w14:paraId="32261878">
      <w:pPr>
        <w:pStyle w:val="9"/>
        <w:spacing w:before="166"/>
        <w:ind w:left="0"/>
        <w:jc w:val="left"/>
        <w:rPr>
          <w:rFonts w:hint="eastAsia"/>
          <w:sz w:val="30"/>
          <w:szCs w:val="30"/>
        </w:rPr>
      </w:pPr>
      <w:r>
        <w:rPr>
          <w:rFonts w:hint="eastAsia"/>
          <w:sz w:val="30"/>
          <w:szCs w:val="30"/>
        </w:rPr>
        <w:t>这与《启示录》3:21的应许相符，该应许并非指向国度的千禧年阶段，而是指向将来的世界；也与《启示录》21:14相符，这节经文可能也暗示了十二使徒在完全的国度中的特殊特权（路加福音19:15-19）。</w:t>
      </w:r>
    </w:p>
    <w:p w14:paraId="360E81D7">
      <w:pPr>
        <w:pStyle w:val="9"/>
        <w:spacing w:before="166"/>
        <w:ind w:left="0"/>
        <w:jc w:val="left"/>
        <w:rPr>
          <w:rFonts w:hint="eastAsia"/>
          <w:sz w:val="30"/>
          <w:szCs w:val="30"/>
        </w:rPr>
      </w:pPr>
    </w:p>
    <w:p w14:paraId="331CAD2C">
      <w:pPr>
        <w:pStyle w:val="9"/>
        <w:spacing w:before="166"/>
        <w:ind w:left="0"/>
        <w:jc w:val="left"/>
        <w:rPr>
          <w:rFonts w:hint="eastAsia"/>
          <w:sz w:val="30"/>
          <w:szCs w:val="30"/>
        </w:rPr>
      </w:pPr>
      <w:r>
        <w:rPr>
          <w:rFonts w:hint="eastAsia"/>
          <w:sz w:val="30"/>
          <w:szCs w:val="30"/>
        </w:rPr>
        <w:t>If, however, the term itself occurs only once, the idea of a single, sudden, cosmic regeneration appears repeatedly.</w:t>
      </w:r>
    </w:p>
    <w:p w14:paraId="40BD9AF0">
      <w:pPr>
        <w:pStyle w:val="9"/>
        <w:spacing w:before="166"/>
        <w:ind w:left="0"/>
        <w:jc w:val="left"/>
        <w:rPr>
          <w:rFonts w:hint="eastAsia"/>
          <w:sz w:val="30"/>
          <w:szCs w:val="30"/>
        </w:rPr>
      </w:pPr>
      <w:r>
        <w:rPr>
          <w:rFonts w:hint="eastAsia"/>
          <w:sz w:val="30"/>
          <w:szCs w:val="30"/>
        </w:rPr>
        <w:t>然而，如果这个术语本身只出现一次，那么单一、突然、宇宙性重生的观念却反复出现。</w:t>
      </w:r>
    </w:p>
    <w:p w14:paraId="74181F61">
      <w:pPr>
        <w:pStyle w:val="9"/>
        <w:spacing w:before="166"/>
        <w:ind w:left="0"/>
        <w:jc w:val="left"/>
        <w:rPr>
          <w:rFonts w:hint="eastAsia"/>
          <w:sz w:val="30"/>
          <w:szCs w:val="30"/>
        </w:rPr>
      </w:pPr>
    </w:p>
    <w:p w14:paraId="0C7563FF">
      <w:pPr>
        <w:pStyle w:val="9"/>
        <w:spacing w:before="166"/>
        <w:ind w:left="0"/>
        <w:jc w:val="left"/>
        <w:rPr>
          <w:rFonts w:hint="eastAsia"/>
          <w:sz w:val="30"/>
          <w:szCs w:val="30"/>
        </w:rPr>
      </w:pPr>
      <w:r>
        <w:rPr>
          <w:rFonts w:hint="eastAsia"/>
          <w:sz w:val="30"/>
          <w:szCs w:val="30"/>
        </w:rPr>
        <w:t>Peter, for example, preaching to his Jewish brethren, urges them to trust in Christ, “… who must remain in heaven until the time comes for God to restore everything, as he promised long ago through his holy prophets” (Acts 3:21, NIV).</w:t>
      </w:r>
    </w:p>
    <w:p w14:paraId="57E8CBDF">
      <w:pPr>
        <w:pStyle w:val="9"/>
        <w:spacing w:before="166"/>
        <w:ind w:left="0"/>
        <w:jc w:val="left"/>
        <w:rPr>
          <w:rFonts w:hint="eastAsia"/>
          <w:sz w:val="30"/>
          <w:szCs w:val="30"/>
        </w:rPr>
      </w:pPr>
      <w:r>
        <w:rPr>
          <w:rFonts w:hint="eastAsia"/>
          <w:sz w:val="30"/>
          <w:szCs w:val="30"/>
        </w:rPr>
        <w:t>例如，彼得向他的犹太弟兄讲道时，敦促他们信靠基督，“……祂必须留在天上，直到万物复兴的时候，就是上帝从创世以来、藉着圣先知的口所说的”（使徒行传3:21，新国际版）。</w:t>
      </w:r>
    </w:p>
    <w:p w14:paraId="65A14AC8">
      <w:pPr>
        <w:pStyle w:val="9"/>
        <w:spacing w:before="166"/>
        <w:ind w:left="0"/>
        <w:jc w:val="left"/>
        <w:rPr>
          <w:rFonts w:hint="eastAsia"/>
          <w:sz w:val="30"/>
          <w:szCs w:val="30"/>
        </w:rPr>
      </w:pPr>
    </w:p>
    <w:p w14:paraId="6535DD3B">
      <w:pPr>
        <w:pStyle w:val="9"/>
        <w:spacing w:before="166"/>
        <w:ind w:left="0"/>
        <w:jc w:val="left"/>
        <w:rPr>
          <w:rFonts w:hint="eastAsia"/>
          <w:sz w:val="30"/>
          <w:szCs w:val="30"/>
        </w:rPr>
      </w:pPr>
      <w:r>
        <w:rPr>
          <w:rFonts w:hint="eastAsia"/>
          <w:sz w:val="30"/>
          <w:szCs w:val="30"/>
        </w:rPr>
        <w:t>Here, the Regeneration is styled as a (single) Restoration of all things, a Restoration that will occur at the Parousia of Christ.</w:t>
      </w:r>
    </w:p>
    <w:p w14:paraId="2E4EEB17">
      <w:pPr>
        <w:pStyle w:val="9"/>
        <w:spacing w:before="166"/>
        <w:ind w:left="0"/>
        <w:jc w:val="left"/>
        <w:rPr>
          <w:rFonts w:hint="eastAsia"/>
          <w:sz w:val="30"/>
          <w:szCs w:val="30"/>
        </w:rPr>
      </w:pPr>
      <w:r>
        <w:rPr>
          <w:rFonts w:hint="eastAsia"/>
          <w:sz w:val="30"/>
          <w:szCs w:val="30"/>
        </w:rPr>
        <w:t>在这里，重生被称为（一次性的）万物复兴，这次复兴将在基督主临（Parousia）时发生。</w:t>
      </w:r>
    </w:p>
    <w:p w14:paraId="444AEE70">
      <w:pPr>
        <w:pStyle w:val="9"/>
        <w:spacing w:before="166"/>
        <w:ind w:left="0"/>
        <w:jc w:val="left"/>
        <w:rPr>
          <w:rFonts w:hint="eastAsia"/>
          <w:sz w:val="30"/>
          <w:szCs w:val="30"/>
        </w:rPr>
      </w:pPr>
    </w:p>
    <w:p w14:paraId="5FE87BBC">
      <w:pPr>
        <w:pStyle w:val="9"/>
        <w:spacing w:before="166"/>
        <w:ind w:left="0"/>
        <w:jc w:val="left"/>
        <w:rPr>
          <w:rFonts w:hint="eastAsia"/>
          <w:sz w:val="30"/>
          <w:szCs w:val="30"/>
        </w:rPr>
      </w:pPr>
      <w:r>
        <w:rPr>
          <w:rFonts w:hint="eastAsia"/>
          <w:sz w:val="30"/>
          <w:szCs w:val="30"/>
        </w:rPr>
        <w:t>This is precisely what the apostle describes at much greater length in his second epistle (2 Peter 3:1-13).</w:t>
      </w:r>
    </w:p>
    <w:p w14:paraId="1D99BCEC">
      <w:pPr>
        <w:pStyle w:val="9"/>
        <w:spacing w:before="166"/>
        <w:ind w:left="0"/>
        <w:jc w:val="left"/>
        <w:rPr>
          <w:rFonts w:hint="eastAsia"/>
          <w:sz w:val="30"/>
          <w:szCs w:val="30"/>
        </w:rPr>
      </w:pPr>
      <w:r>
        <w:rPr>
          <w:rFonts w:hint="eastAsia"/>
          <w:sz w:val="30"/>
          <w:szCs w:val="30"/>
        </w:rPr>
        <w:t>这正是使徒在他的第二封信中更详细地描述的（彼得后书3:1-13）。</w:t>
      </w:r>
    </w:p>
    <w:p w14:paraId="3BDE98BF">
      <w:pPr>
        <w:pStyle w:val="9"/>
        <w:spacing w:before="166"/>
        <w:ind w:left="0"/>
        <w:jc w:val="left"/>
        <w:rPr>
          <w:rFonts w:hint="eastAsia"/>
          <w:sz w:val="30"/>
          <w:szCs w:val="30"/>
        </w:rPr>
      </w:pPr>
    </w:p>
    <w:p w14:paraId="05466211">
      <w:pPr>
        <w:pStyle w:val="9"/>
        <w:spacing w:before="166"/>
        <w:ind w:left="0"/>
        <w:jc w:val="left"/>
        <w:rPr>
          <w:rFonts w:hint="eastAsia"/>
          <w:sz w:val="30"/>
          <w:szCs w:val="30"/>
        </w:rPr>
      </w:pPr>
      <w:r>
        <w:rPr>
          <w:rFonts w:hint="eastAsia"/>
          <w:sz w:val="30"/>
          <w:szCs w:val="30"/>
        </w:rPr>
        <w:t>As for Paul, he tells us that at the Resurrection, the whole creation will be set free from its slavery to corruption into the freedom of the glory of the children of God (Rom. 8:18-25).</w:t>
      </w:r>
    </w:p>
    <w:p w14:paraId="71394799">
      <w:pPr>
        <w:pStyle w:val="9"/>
        <w:spacing w:before="166"/>
        <w:ind w:left="0"/>
        <w:jc w:val="left"/>
        <w:rPr>
          <w:rFonts w:hint="eastAsia"/>
          <w:sz w:val="30"/>
          <w:szCs w:val="30"/>
        </w:rPr>
      </w:pPr>
      <w:r>
        <w:rPr>
          <w:rFonts w:hint="eastAsia"/>
          <w:sz w:val="30"/>
          <w:szCs w:val="30"/>
        </w:rPr>
        <w:t>至于保罗，他告诉我们，在复活时，整个受造之物将脱离败坏的辖制，得享上帝儿女荣耀的自由（罗8:18-25）。</w:t>
      </w:r>
    </w:p>
    <w:p w14:paraId="144560B7">
      <w:pPr>
        <w:pStyle w:val="9"/>
        <w:spacing w:before="166"/>
        <w:ind w:left="0"/>
        <w:jc w:val="left"/>
        <w:rPr>
          <w:rFonts w:hint="eastAsia"/>
          <w:sz w:val="30"/>
          <w:szCs w:val="30"/>
        </w:rPr>
      </w:pPr>
    </w:p>
    <w:p w14:paraId="4E4CB740">
      <w:pPr>
        <w:pStyle w:val="9"/>
        <w:spacing w:before="166"/>
        <w:ind w:left="0"/>
        <w:jc w:val="left"/>
        <w:rPr>
          <w:rFonts w:hint="eastAsia"/>
          <w:sz w:val="30"/>
          <w:szCs w:val="30"/>
        </w:rPr>
      </w:pPr>
      <w:r>
        <w:rPr>
          <w:rFonts w:hint="eastAsia"/>
          <w:sz w:val="30"/>
          <w:szCs w:val="30"/>
        </w:rPr>
        <w:t>In other words, the one Resurrection leads immediately to the one cosmic Regeneration.</w:t>
      </w:r>
    </w:p>
    <w:p w14:paraId="01D5EC67">
      <w:pPr>
        <w:pStyle w:val="9"/>
        <w:spacing w:before="166"/>
        <w:ind w:left="0"/>
        <w:jc w:val="left"/>
        <w:rPr>
          <w:rFonts w:hint="eastAsia"/>
          <w:sz w:val="30"/>
          <w:szCs w:val="30"/>
        </w:rPr>
      </w:pPr>
      <w:r>
        <w:rPr>
          <w:rFonts w:hint="eastAsia"/>
          <w:sz w:val="30"/>
          <w:szCs w:val="30"/>
        </w:rPr>
        <w:t>换句话说，一次复活立刻导向一次宇宙性的重生。</w:t>
      </w:r>
    </w:p>
    <w:p w14:paraId="0B47A95E">
      <w:pPr>
        <w:pStyle w:val="9"/>
        <w:spacing w:before="166"/>
        <w:ind w:left="0"/>
        <w:jc w:val="left"/>
        <w:rPr>
          <w:rFonts w:hint="eastAsia"/>
          <w:sz w:val="30"/>
          <w:szCs w:val="30"/>
        </w:rPr>
      </w:pPr>
    </w:p>
    <w:p w14:paraId="21DAF4CB">
      <w:pPr>
        <w:pStyle w:val="9"/>
        <w:spacing w:before="166"/>
        <w:ind w:left="0"/>
        <w:jc w:val="left"/>
        <w:rPr>
          <w:rFonts w:hint="eastAsia"/>
          <w:sz w:val="30"/>
          <w:szCs w:val="30"/>
        </w:rPr>
      </w:pPr>
      <w:r>
        <w:rPr>
          <w:rFonts w:hint="eastAsia"/>
          <w:sz w:val="30"/>
          <w:szCs w:val="30"/>
        </w:rPr>
        <w:t>In Philippians 3:20-21, he says much the same: When Christ returns from heaven, he will exercise his mighty power to raise the dead; but at that time he will also exercise it “to subject all things to himself.”</w:t>
      </w:r>
    </w:p>
    <w:p w14:paraId="77526A11">
      <w:pPr>
        <w:pStyle w:val="9"/>
        <w:spacing w:before="166"/>
        <w:ind w:left="0"/>
        <w:jc w:val="left"/>
        <w:rPr>
          <w:rFonts w:hint="eastAsia"/>
          <w:sz w:val="30"/>
          <w:szCs w:val="30"/>
        </w:rPr>
      </w:pPr>
      <w:r>
        <w:rPr>
          <w:rFonts w:hint="eastAsia"/>
          <w:sz w:val="30"/>
          <w:szCs w:val="30"/>
        </w:rPr>
        <w:t>在腓立比书3:20-21，祂说了大致相同的话：当基督从天再来时，祂将运用祂的大能使死人复活；但那时祂也将运用这大能“使万有都服了自己”。</w:t>
      </w:r>
    </w:p>
    <w:p w14:paraId="66358B31">
      <w:pPr>
        <w:pStyle w:val="9"/>
        <w:spacing w:before="166"/>
        <w:ind w:left="0"/>
        <w:jc w:val="left"/>
        <w:rPr>
          <w:rFonts w:hint="eastAsia"/>
          <w:sz w:val="30"/>
          <w:szCs w:val="30"/>
        </w:rPr>
      </w:pPr>
    </w:p>
    <w:p w14:paraId="3131F005">
      <w:pPr>
        <w:pStyle w:val="9"/>
        <w:spacing w:before="166"/>
        <w:ind w:left="0"/>
        <w:jc w:val="left"/>
        <w:rPr>
          <w:rFonts w:hint="eastAsia"/>
          <w:sz w:val="30"/>
          <w:szCs w:val="30"/>
        </w:rPr>
      </w:pPr>
      <w:r>
        <w:rPr>
          <w:rFonts w:hint="eastAsia"/>
          <w:sz w:val="30"/>
          <w:szCs w:val="30"/>
        </w:rPr>
        <w:t>The same idea is also present in 1 Corinthians 15, where Paul tells us that at his Parousia Christ will place all his enemies —including death itself, which is the supreme emblem of the curse— beneath his feet (1 Cor. 15:25, 26-27).</w:t>
      </w:r>
    </w:p>
    <w:p w14:paraId="01407C1E">
      <w:pPr>
        <w:pStyle w:val="9"/>
        <w:spacing w:before="166"/>
        <w:ind w:left="0"/>
        <w:jc w:val="left"/>
        <w:rPr>
          <w:rFonts w:hint="eastAsia"/>
          <w:sz w:val="30"/>
          <w:szCs w:val="30"/>
        </w:rPr>
      </w:pPr>
      <w:r>
        <w:rPr>
          <w:rFonts w:hint="eastAsia"/>
          <w:sz w:val="30"/>
          <w:szCs w:val="30"/>
        </w:rPr>
        <w:t>同样的想法也出现在哥林多前书第15章，保罗在那里告诉我们，在祂的主临（Parousia）时，基督将把祂所有的仇敌——包括死亡本身，它是咒诅的最高象征——都放在祂的脚下（林前15:25, 26-27）。</w:t>
      </w:r>
    </w:p>
    <w:p w14:paraId="38D0AD04">
      <w:pPr>
        <w:pStyle w:val="9"/>
        <w:spacing w:before="166"/>
        <w:ind w:left="0"/>
        <w:jc w:val="left"/>
        <w:rPr>
          <w:rFonts w:hint="eastAsia"/>
          <w:sz w:val="30"/>
          <w:szCs w:val="30"/>
        </w:rPr>
      </w:pPr>
    </w:p>
    <w:p w14:paraId="4FBB61E9">
      <w:pPr>
        <w:pStyle w:val="9"/>
        <w:spacing w:before="166"/>
        <w:ind w:left="0"/>
        <w:jc w:val="left"/>
        <w:rPr>
          <w:rFonts w:hint="eastAsia"/>
          <w:sz w:val="30"/>
          <w:szCs w:val="30"/>
        </w:rPr>
      </w:pPr>
      <w:r>
        <w:rPr>
          <w:rFonts w:hint="eastAsia"/>
          <w:sz w:val="30"/>
          <w:szCs w:val="30"/>
        </w:rPr>
        <w:t>Finally, and quite dramatically, we have the testimony of the writer to the Hebrews.</w:t>
      </w:r>
    </w:p>
    <w:p w14:paraId="45A063D5">
      <w:pPr>
        <w:pStyle w:val="9"/>
        <w:spacing w:before="166"/>
        <w:ind w:left="0"/>
        <w:jc w:val="left"/>
        <w:rPr>
          <w:rFonts w:hint="eastAsia"/>
          <w:sz w:val="30"/>
          <w:szCs w:val="30"/>
        </w:rPr>
      </w:pPr>
      <w:r>
        <w:rPr>
          <w:rFonts w:hint="eastAsia"/>
          <w:sz w:val="30"/>
          <w:szCs w:val="30"/>
        </w:rPr>
        <w:t>最后，而且相当戏剧性地，我们有希伯来书作者的见证。</w:t>
      </w:r>
    </w:p>
    <w:p w14:paraId="47DDAB53">
      <w:pPr>
        <w:pStyle w:val="9"/>
        <w:spacing w:before="166"/>
        <w:ind w:left="0"/>
        <w:jc w:val="left"/>
        <w:rPr>
          <w:rFonts w:hint="eastAsia"/>
          <w:sz w:val="30"/>
          <w:szCs w:val="30"/>
        </w:rPr>
      </w:pPr>
    </w:p>
    <w:p w14:paraId="3C8880F4">
      <w:pPr>
        <w:pStyle w:val="9"/>
        <w:spacing w:before="166"/>
        <w:ind w:left="0"/>
        <w:jc w:val="left"/>
        <w:rPr>
          <w:rFonts w:hint="eastAsia"/>
          <w:sz w:val="30"/>
          <w:szCs w:val="30"/>
        </w:rPr>
      </w:pPr>
      <w:r>
        <w:rPr>
          <w:rFonts w:hint="eastAsia"/>
          <w:sz w:val="30"/>
          <w:szCs w:val="30"/>
        </w:rPr>
        <w:t>Addressing wavering Christians tempted to depart from the faith, he solemnly admonishes:</w:t>
      </w:r>
    </w:p>
    <w:p w14:paraId="2E00202C">
      <w:pPr>
        <w:pStyle w:val="9"/>
        <w:spacing w:before="166"/>
        <w:ind w:left="0"/>
        <w:jc w:val="left"/>
        <w:rPr>
          <w:rFonts w:hint="eastAsia"/>
          <w:sz w:val="30"/>
          <w:szCs w:val="30"/>
        </w:rPr>
      </w:pPr>
      <w:r>
        <w:rPr>
          <w:rFonts w:hint="eastAsia"/>
          <w:sz w:val="30"/>
          <w:szCs w:val="30"/>
        </w:rPr>
        <w:t>他对那些摇摆不定、受试探要离弃信仰的基督徒，庄严地告诫说：</w:t>
      </w:r>
    </w:p>
    <w:p w14:paraId="452BAE07">
      <w:pPr>
        <w:pStyle w:val="9"/>
        <w:spacing w:before="166"/>
        <w:ind w:left="0"/>
        <w:jc w:val="left"/>
        <w:rPr>
          <w:rFonts w:hint="eastAsia"/>
          <w:sz w:val="30"/>
          <w:szCs w:val="30"/>
        </w:rPr>
      </w:pPr>
    </w:p>
    <w:p w14:paraId="7BE0659F">
      <w:pPr>
        <w:pStyle w:val="9"/>
        <w:spacing w:before="166"/>
        <w:ind w:left="0"/>
        <w:jc w:val="left"/>
        <w:rPr>
          <w:rFonts w:hint="eastAsia"/>
          <w:sz w:val="30"/>
          <w:szCs w:val="30"/>
        </w:rPr>
      </w:pPr>
      <w:r>
        <w:rPr>
          <w:rFonts w:hint="eastAsia"/>
          <w:sz w:val="30"/>
          <w:szCs w:val="30"/>
        </w:rPr>
        <w:t>See that you do not refuse him who is speaking.</w:t>
      </w:r>
    </w:p>
    <w:p w14:paraId="1018289E">
      <w:pPr>
        <w:pStyle w:val="9"/>
        <w:spacing w:before="166"/>
        <w:ind w:left="0"/>
        <w:jc w:val="left"/>
        <w:rPr>
          <w:rFonts w:hint="eastAsia"/>
          <w:sz w:val="30"/>
          <w:szCs w:val="30"/>
        </w:rPr>
      </w:pPr>
      <w:r>
        <w:rPr>
          <w:rFonts w:hint="eastAsia"/>
          <w:sz w:val="30"/>
          <w:szCs w:val="30"/>
        </w:rPr>
        <w:t>你们总要谨慎，不可弃绝那向你们说话的。</w:t>
      </w:r>
    </w:p>
    <w:p w14:paraId="00CC38E8">
      <w:pPr>
        <w:pStyle w:val="9"/>
        <w:spacing w:before="166"/>
        <w:ind w:left="0"/>
        <w:jc w:val="left"/>
        <w:rPr>
          <w:rFonts w:hint="eastAsia"/>
          <w:sz w:val="30"/>
          <w:szCs w:val="30"/>
        </w:rPr>
      </w:pPr>
    </w:p>
    <w:p w14:paraId="7D44B81A">
      <w:pPr>
        <w:pStyle w:val="9"/>
        <w:spacing w:before="166"/>
        <w:ind w:left="0"/>
        <w:jc w:val="left"/>
        <w:rPr>
          <w:rFonts w:hint="eastAsia"/>
          <w:sz w:val="30"/>
          <w:szCs w:val="30"/>
        </w:rPr>
      </w:pPr>
      <w:r>
        <w:rPr>
          <w:rFonts w:hint="eastAsia"/>
          <w:sz w:val="30"/>
          <w:szCs w:val="30"/>
        </w:rPr>
        <w:t>For if they did not escape when they refused him who warned them on earth, much less shall we escape if we reject him who warns from heaven.</w:t>
      </w:r>
    </w:p>
    <w:p w14:paraId="743E69CC">
      <w:pPr>
        <w:pStyle w:val="9"/>
        <w:spacing w:before="166"/>
        <w:ind w:left="0"/>
        <w:jc w:val="left"/>
        <w:rPr>
          <w:rFonts w:hint="eastAsia"/>
          <w:sz w:val="30"/>
          <w:szCs w:val="30"/>
        </w:rPr>
      </w:pPr>
      <w:r>
        <w:rPr>
          <w:rFonts w:hint="eastAsia"/>
          <w:sz w:val="30"/>
          <w:szCs w:val="30"/>
        </w:rPr>
        <w:t>因为那在地上警戒他们的，他们尚且不能逃罪，何况我们违背那从天上警戒我们的呢？</w:t>
      </w:r>
    </w:p>
    <w:p w14:paraId="2CB4A48C">
      <w:pPr>
        <w:pStyle w:val="9"/>
        <w:spacing w:before="166"/>
        <w:ind w:left="0"/>
        <w:jc w:val="left"/>
        <w:rPr>
          <w:rFonts w:hint="eastAsia"/>
          <w:sz w:val="30"/>
          <w:szCs w:val="30"/>
        </w:rPr>
      </w:pPr>
    </w:p>
    <w:p w14:paraId="4FE7AA36">
      <w:pPr>
        <w:pStyle w:val="9"/>
        <w:spacing w:before="166"/>
        <w:ind w:left="0"/>
        <w:jc w:val="left"/>
        <w:rPr>
          <w:rFonts w:hint="eastAsia"/>
          <w:sz w:val="30"/>
          <w:szCs w:val="30"/>
        </w:rPr>
      </w:pPr>
      <w:r>
        <w:rPr>
          <w:rFonts w:hint="eastAsia"/>
          <w:sz w:val="30"/>
          <w:szCs w:val="30"/>
        </w:rPr>
        <w:t>At that time his voice shook the earth, but now he has promised, “Yet once more I will shake not only the earth, but also the heavens” (Haggai 2:6, 21).</w:t>
      </w:r>
    </w:p>
    <w:p w14:paraId="1B807F0A">
      <w:pPr>
        <w:pStyle w:val="9"/>
        <w:spacing w:before="166"/>
        <w:ind w:left="0"/>
        <w:jc w:val="left"/>
        <w:rPr>
          <w:rFonts w:hint="eastAsia"/>
          <w:sz w:val="30"/>
          <w:szCs w:val="30"/>
        </w:rPr>
      </w:pPr>
      <w:r>
        <w:rPr>
          <w:rFonts w:hint="eastAsia"/>
          <w:sz w:val="30"/>
          <w:szCs w:val="30"/>
        </w:rPr>
        <w:t>当时祂的声音震动了地，但如今祂应许说：“再一次我不单要震动地，也要震动天”（哈该书2:6, 21）。</w:t>
      </w:r>
    </w:p>
    <w:p w14:paraId="2DC8C4D9">
      <w:pPr>
        <w:pStyle w:val="9"/>
        <w:spacing w:before="166"/>
        <w:ind w:left="0"/>
        <w:jc w:val="left"/>
        <w:rPr>
          <w:rFonts w:hint="eastAsia"/>
          <w:sz w:val="30"/>
          <w:szCs w:val="30"/>
        </w:rPr>
      </w:pPr>
    </w:p>
    <w:p w14:paraId="1E21B7AD">
      <w:pPr>
        <w:pStyle w:val="9"/>
        <w:spacing w:before="166"/>
        <w:ind w:left="0"/>
        <w:jc w:val="left"/>
        <w:rPr>
          <w:rFonts w:hint="eastAsia"/>
          <w:sz w:val="30"/>
          <w:szCs w:val="30"/>
        </w:rPr>
      </w:pPr>
      <w:r>
        <w:rPr>
          <w:rFonts w:hint="eastAsia"/>
          <w:sz w:val="30"/>
          <w:szCs w:val="30"/>
        </w:rPr>
        <w:t>This phrase, “Yet once more” indicates the removal of those things that can be shaken—that is, created things—in order that those things that cannot be shaken may remain.</w:t>
      </w:r>
    </w:p>
    <w:p w14:paraId="51990B4A">
      <w:pPr>
        <w:pStyle w:val="9"/>
        <w:spacing w:before="166"/>
        <w:ind w:left="0"/>
        <w:jc w:val="left"/>
        <w:rPr>
          <w:rFonts w:hint="eastAsia"/>
          <w:sz w:val="30"/>
          <w:szCs w:val="30"/>
        </w:rPr>
      </w:pPr>
      <w:r>
        <w:rPr>
          <w:rFonts w:hint="eastAsia"/>
          <w:sz w:val="30"/>
          <w:szCs w:val="30"/>
        </w:rPr>
        <w:t>这“再一次”的话，是指明被震动的，就是受造之物都要挪去，使那不被震动的常存。</w:t>
      </w:r>
    </w:p>
    <w:p w14:paraId="4C3DFF8B">
      <w:pPr>
        <w:pStyle w:val="9"/>
        <w:spacing w:before="166"/>
        <w:ind w:left="0"/>
        <w:jc w:val="left"/>
        <w:rPr>
          <w:rFonts w:hint="eastAsia"/>
          <w:sz w:val="30"/>
          <w:szCs w:val="30"/>
        </w:rPr>
      </w:pPr>
    </w:p>
    <w:p w14:paraId="021CCC25">
      <w:pPr>
        <w:pStyle w:val="9"/>
        <w:spacing w:before="166"/>
        <w:ind w:left="0"/>
        <w:jc w:val="left"/>
        <w:rPr>
          <w:rFonts w:hint="eastAsia"/>
          <w:sz w:val="30"/>
          <w:szCs w:val="30"/>
        </w:rPr>
      </w:pPr>
      <w:r>
        <w:rPr>
          <w:rFonts w:hint="eastAsia"/>
          <w:sz w:val="30"/>
          <w:szCs w:val="30"/>
        </w:rPr>
        <w:t>Therefore, since we are receiving a kingdom that cannot be shaken, let us show gratitude, by which we may offer God acceptable service with reverence and awe, for our God is a consuming fire.</w:t>
      </w:r>
    </w:p>
    <w:p w14:paraId="2529916D">
      <w:pPr>
        <w:pStyle w:val="9"/>
        <w:spacing w:before="166"/>
        <w:ind w:left="0"/>
        <w:jc w:val="left"/>
        <w:rPr>
          <w:rFonts w:hint="eastAsia"/>
          <w:sz w:val="30"/>
          <w:szCs w:val="30"/>
        </w:rPr>
      </w:pPr>
      <w:r>
        <w:rPr>
          <w:rFonts w:hint="eastAsia"/>
          <w:sz w:val="30"/>
          <w:szCs w:val="30"/>
        </w:rPr>
        <w:t>所以我们既得了不能震动的国，就当感恩，照上帝所喜悦的，用虔诚、敬畏的心事奉上帝，因为我们的上帝乃是烈火。</w:t>
      </w:r>
    </w:p>
    <w:p w14:paraId="1757F919">
      <w:pPr>
        <w:pStyle w:val="9"/>
        <w:spacing w:before="166"/>
        <w:ind w:left="0"/>
        <w:jc w:val="left"/>
        <w:rPr>
          <w:rFonts w:hint="eastAsia"/>
          <w:sz w:val="30"/>
          <w:szCs w:val="30"/>
        </w:rPr>
      </w:pPr>
    </w:p>
    <w:p w14:paraId="2395776D">
      <w:pPr>
        <w:pStyle w:val="9"/>
        <w:spacing w:before="166"/>
        <w:ind w:left="0"/>
        <w:jc w:val="left"/>
        <w:rPr>
          <w:rFonts w:hint="eastAsia"/>
          <w:sz w:val="30"/>
          <w:szCs w:val="30"/>
        </w:rPr>
      </w:pPr>
      <w:r>
        <w:rPr>
          <w:rFonts w:hint="eastAsia"/>
          <w:sz w:val="30"/>
          <w:szCs w:val="30"/>
        </w:rPr>
        <w:t>—Heb. 12:25-29</w:t>
      </w:r>
    </w:p>
    <w:p w14:paraId="21C6BBE5">
      <w:pPr>
        <w:pStyle w:val="9"/>
        <w:spacing w:before="166"/>
        <w:ind w:left="0"/>
        <w:jc w:val="left"/>
        <w:rPr>
          <w:rFonts w:hint="eastAsia"/>
          <w:sz w:val="30"/>
          <w:szCs w:val="30"/>
        </w:rPr>
      </w:pPr>
      <w:r>
        <w:rPr>
          <w:rFonts w:hint="eastAsia"/>
          <w:sz w:val="30"/>
          <w:szCs w:val="30"/>
        </w:rPr>
        <w:t>——来12:25-29</w:t>
      </w:r>
    </w:p>
    <w:p w14:paraId="421A68DB">
      <w:pPr>
        <w:pStyle w:val="9"/>
        <w:spacing w:before="166"/>
        <w:ind w:left="0"/>
        <w:jc w:val="left"/>
        <w:rPr>
          <w:rFonts w:hint="eastAsia"/>
          <w:sz w:val="30"/>
          <w:szCs w:val="30"/>
        </w:rPr>
      </w:pPr>
    </w:p>
    <w:p w14:paraId="45528B43">
      <w:pPr>
        <w:pStyle w:val="9"/>
        <w:spacing w:before="166"/>
        <w:ind w:left="0"/>
        <w:jc w:val="left"/>
        <w:rPr>
          <w:rFonts w:hint="eastAsia"/>
          <w:sz w:val="30"/>
          <w:szCs w:val="30"/>
        </w:rPr>
      </w:pPr>
      <w:r>
        <w:rPr>
          <w:rFonts w:hint="eastAsia"/>
          <w:sz w:val="30"/>
          <w:szCs w:val="30"/>
        </w:rPr>
        <w:t>Here the unity of the final cosmic transformation shines forth with extraordinary brilliance.</w:t>
      </w:r>
    </w:p>
    <w:p w14:paraId="56D2E5C2">
      <w:pPr>
        <w:pStyle w:val="9"/>
        <w:spacing w:before="166"/>
        <w:ind w:left="0"/>
        <w:jc w:val="left"/>
        <w:rPr>
          <w:rFonts w:hint="eastAsia"/>
          <w:sz w:val="30"/>
          <w:szCs w:val="30"/>
        </w:rPr>
      </w:pPr>
      <w:r>
        <w:rPr>
          <w:rFonts w:hint="eastAsia"/>
          <w:sz w:val="30"/>
          <w:szCs w:val="30"/>
        </w:rPr>
        <w:t>在这里，最后宇宙性转变的统一性以非凡的光辉闪耀而出。</w:t>
      </w:r>
    </w:p>
    <w:p w14:paraId="7296415E">
      <w:pPr>
        <w:pStyle w:val="9"/>
        <w:spacing w:before="166"/>
        <w:ind w:left="0"/>
        <w:jc w:val="left"/>
        <w:rPr>
          <w:rFonts w:hint="eastAsia"/>
          <w:sz w:val="30"/>
          <w:szCs w:val="30"/>
        </w:rPr>
      </w:pPr>
    </w:p>
    <w:p w14:paraId="1E25D81F">
      <w:pPr>
        <w:pStyle w:val="9"/>
        <w:spacing w:before="166"/>
        <w:ind w:left="0"/>
        <w:jc w:val="left"/>
        <w:rPr>
          <w:rFonts w:hint="eastAsia"/>
          <w:sz w:val="30"/>
          <w:szCs w:val="30"/>
        </w:rPr>
      </w:pPr>
      <w:r>
        <w:rPr>
          <w:rFonts w:hint="eastAsia"/>
          <w:sz w:val="30"/>
          <w:szCs w:val="30"/>
        </w:rPr>
        <w:t>Following Haggai, the writer affirms that God will shake the earth once more, and with it the heavens as well.</w:t>
      </w:r>
    </w:p>
    <w:p w14:paraId="02D3DF83">
      <w:pPr>
        <w:pStyle w:val="9"/>
        <w:spacing w:before="166"/>
        <w:ind w:left="0"/>
        <w:jc w:val="left"/>
        <w:rPr>
          <w:rFonts w:hint="eastAsia"/>
          <w:sz w:val="30"/>
          <w:szCs w:val="30"/>
        </w:rPr>
      </w:pPr>
      <w:r>
        <w:rPr>
          <w:rFonts w:hint="eastAsia"/>
          <w:sz w:val="30"/>
          <w:szCs w:val="30"/>
        </w:rPr>
        <w:t>作者追随哈该，肯定上帝将再次震动地，连同天也一同震动。</w:t>
      </w:r>
    </w:p>
    <w:p w14:paraId="65B6F315">
      <w:pPr>
        <w:pStyle w:val="9"/>
        <w:spacing w:before="166"/>
        <w:ind w:left="0"/>
        <w:jc w:val="left"/>
        <w:rPr>
          <w:rFonts w:hint="eastAsia"/>
          <w:sz w:val="30"/>
          <w:szCs w:val="30"/>
        </w:rPr>
      </w:pPr>
    </w:p>
    <w:p w14:paraId="3333821E">
      <w:pPr>
        <w:pStyle w:val="9"/>
        <w:spacing w:before="166"/>
        <w:ind w:left="0"/>
        <w:jc w:val="left"/>
        <w:rPr>
          <w:rFonts w:hint="eastAsia"/>
          <w:sz w:val="30"/>
          <w:szCs w:val="30"/>
        </w:rPr>
      </w:pPr>
      <w:r>
        <w:rPr>
          <w:rFonts w:hint="eastAsia"/>
          <w:sz w:val="30"/>
          <w:szCs w:val="30"/>
        </w:rPr>
        <w:t>Obviously, this shaking is cosmic in extent.</w:t>
      </w:r>
    </w:p>
    <w:p w14:paraId="59F00B02">
      <w:pPr>
        <w:pStyle w:val="9"/>
        <w:spacing w:before="166"/>
        <w:ind w:left="0"/>
        <w:jc w:val="left"/>
        <w:rPr>
          <w:rFonts w:hint="eastAsia"/>
          <w:sz w:val="30"/>
          <w:szCs w:val="30"/>
        </w:rPr>
      </w:pPr>
      <w:r>
        <w:rPr>
          <w:rFonts w:hint="eastAsia"/>
          <w:sz w:val="30"/>
          <w:szCs w:val="30"/>
        </w:rPr>
        <w:t>显然，这次震动在范围上是宇宙性的。</w:t>
      </w:r>
    </w:p>
    <w:p w14:paraId="3C2265CE">
      <w:pPr>
        <w:pStyle w:val="9"/>
        <w:spacing w:before="166"/>
        <w:ind w:left="0"/>
        <w:jc w:val="left"/>
        <w:rPr>
          <w:rFonts w:hint="eastAsia"/>
          <w:sz w:val="30"/>
          <w:szCs w:val="30"/>
        </w:rPr>
      </w:pPr>
    </w:p>
    <w:p w14:paraId="347C7F40">
      <w:pPr>
        <w:pStyle w:val="9"/>
        <w:spacing w:before="166"/>
        <w:ind w:left="0"/>
        <w:jc w:val="left"/>
        <w:rPr>
          <w:rFonts w:hint="eastAsia"/>
          <w:sz w:val="30"/>
          <w:szCs w:val="30"/>
        </w:rPr>
      </w:pPr>
      <w:r>
        <w:rPr>
          <w:rFonts w:hint="eastAsia"/>
          <w:sz w:val="30"/>
          <w:szCs w:val="30"/>
        </w:rPr>
        <w:t>But just in case there is any doubt, he gladly explains further: This shaking will involve the removal of all that can be shaken.</w:t>
      </w:r>
    </w:p>
    <w:p w14:paraId="001DA04B">
      <w:pPr>
        <w:pStyle w:val="9"/>
        <w:spacing w:before="166"/>
        <w:ind w:left="0"/>
        <w:jc w:val="left"/>
        <w:rPr>
          <w:rFonts w:hint="eastAsia"/>
          <w:sz w:val="30"/>
          <w:szCs w:val="30"/>
        </w:rPr>
      </w:pPr>
      <w:r>
        <w:rPr>
          <w:rFonts w:hint="eastAsia"/>
          <w:sz w:val="30"/>
          <w:szCs w:val="30"/>
        </w:rPr>
        <w:t>但万一有任何疑问，他乐意进一步解释：这次震动将涉及所有能被震动之物的移除。</w:t>
      </w:r>
    </w:p>
    <w:p w14:paraId="3B603BDE">
      <w:pPr>
        <w:pStyle w:val="9"/>
        <w:spacing w:before="166"/>
        <w:ind w:left="0"/>
        <w:jc w:val="left"/>
        <w:rPr>
          <w:rFonts w:hint="eastAsia"/>
          <w:sz w:val="30"/>
          <w:szCs w:val="30"/>
        </w:rPr>
      </w:pPr>
    </w:p>
    <w:p w14:paraId="0B7EDB16">
      <w:pPr>
        <w:pStyle w:val="9"/>
        <w:spacing w:before="166"/>
        <w:ind w:left="0"/>
        <w:jc w:val="left"/>
        <w:rPr>
          <w:rFonts w:hint="eastAsia"/>
          <w:sz w:val="30"/>
          <w:szCs w:val="30"/>
        </w:rPr>
      </w:pPr>
      <w:r>
        <w:rPr>
          <w:rFonts w:hint="eastAsia"/>
          <w:sz w:val="30"/>
          <w:szCs w:val="30"/>
        </w:rPr>
        <w:t>As verse 29 suggests, here he has in mind the destruction of the present cosmos by fire, a destruction that Peter describes very fulsomely in his second epistle (2 Peter 3:10-12).</w:t>
      </w:r>
    </w:p>
    <w:p w14:paraId="08D82069">
      <w:pPr>
        <w:pStyle w:val="9"/>
        <w:spacing w:before="166"/>
        <w:ind w:left="0"/>
        <w:jc w:val="left"/>
        <w:rPr>
          <w:rFonts w:hint="eastAsia"/>
          <w:sz w:val="30"/>
          <w:szCs w:val="30"/>
        </w:rPr>
      </w:pPr>
      <w:r>
        <w:rPr>
          <w:rFonts w:hint="eastAsia"/>
          <w:sz w:val="30"/>
          <w:szCs w:val="30"/>
        </w:rPr>
        <w:t>如第29节所暗示的，祂在这里心中所想的是现今宇宙被火毁灭，彼得在他的第二封信中非常详尽地描述了这次毁灭（彼得后书3:10-12）。</w:t>
      </w:r>
    </w:p>
    <w:p w14:paraId="4ACBC4CC">
      <w:pPr>
        <w:pStyle w:val="9"/>
        <w:spacing w:before="166"/>
        <w:ind w:left="0"/>
        <w:jc w:val="left"/>
        <w:rPr>
          <w:rFonts w:hint="eastAsia"/>
          <w:sz w:val="30"/>
          <w:szCs w:val="30"/>
        </w:rPr>
      </w:pPr>
    </w:p>
    <w:p w14:paraId="217683AA">
      <w:pPr>
        <w:pStyle w:val="9"/>
        <w:spacing w:before="166"/>
        <w:ind w:left="0"/>
        <w:jc w:val="left"/>
        <w:rPr>
          <w:rFonts w:hint="eastAsia"/>
          <w:sz w:val="30"/>
          <w:szCs w:val="30"/>
        </w:rPr>
      </w:pPr>
      <w:r>
        <w:rPr>
          <w:rFonts w:hint="eastAsia"/>
          <w:sz w:val="30"/>
          <w:szCs w:val="30"/>
        </w:rPr>
        <w:t>However, the coming Consummation will also have a creative side, for it will also involve the appearance of “things that cannot be shaken.”</w:t>
      </w:r>
    </w:p>
    <w:p w14:paraId="696918B5">
      <w:pPr>
        <w:pStyle w:val="9"/>
        <w:spacing w:before="166"/>
        <w:ind w:left="0"/>
        <w:jc w:val="left"/>
        <w:rPr>
          <w:rFonts w:hint="eastAsia"/>
          <w:sz w:val="30"/>
          <w:szCs w:val="30"/>
        </w:rPr>
      </w:pPr>
      <w:r>
        <w:rPr>
          <w:rFonts w:hint="eastAsia"/>
          <w:sz w:val="30"/>
          <w:szCs w:val="30"/>
        </w:rPr>
        <w:t>然而，将要来临的最终成全也将有创造性的一面，因为它也将涉及“不能震动之物”的出现。</w:t>
      </w:r>
    </w:p>
    <w:p w14:paraId="44DDFEB3">
      <w:pPr>
        <w:pStyle w:val="9"/>
        <w:spacing w:before="166"/>
        <w:ind w:left="0"/>
        <w:jc w:val="left"/>
        <w:rPr>
          <w:rFonts w:hint="eastAsia"/>
          <w:sz w:val="30"/>
          <w:szCs w:val="30"/>
        </w:rPr>
      </w:pPr>
    </w:p>
    <w:p w14:paraId="55F9A23A">
      <w:pPr>
        <w:pStyle w:val="9"/>
        <w:spacing w:before="166"/>
        <w:ind w:left="0"/>
        <w:jc w:val="left"/>
        <w:rPr>
          <w:rFonts w:hint="eastAsia"/>
          <w:sz w:val="30"/>
          <w:szCs w:val="30"/>
        </w:rPr>
      </w:pPr>
      <w:r>
        <w:rPr>
          <w:rFonts w:hint="eastAsia"/>
          <w:sz w:val="30"/>
          <w:szCs w:val="30"/>
        </w:rPr>
        <w:t>In other words, at Christ’s return, God will create new heavens and a new earth, an unshakable Kingdom that will never again be cursed or destroyed (2 Peter 3:13, Rev. 21:1).</w:t>
      </w:r>
    </w:p>
    <w:p w14:paraId="6EB2F1D7">
      <w:pPr>
        <w:pStyle w:val="9"/>
        <w:spacing w:before="166"/>
        <w:ind w:left="0"/>
        <w:jc w:val="left"/>
        <w:rPr>
          <w:rFonts w:hint="eastAsia"/>
          <w:sz w:val="30"/>
          <w:szCs w:val="30"/>
        </w:rPr>
      </w:pPr>
      <w:r>
        <w:rPr>
          <w:rFonts w:hint="eastAsia"/>
          <w:sz w:val="30"/>
          <w:szCs w:val="30"/>
        </w:rPr>
        <w:t>换句话说，在基督再来时，上帝将创造新天新地，一个不能震动的国度，永不再被咒诅或毁灭（彼得后书3:13，启示录21:1）。</w:t>
      </w:r>
    </w:p>
    <w:p w14:paraId="0E6846D6">
      <w:pPr>
        <w:pStyle w:val="9"/>
        <w:spacing w:before="166"/>
        <w:ind w:left="0"/>
        <w:jc w:val="left"/>
        <w:rPr>
          <w:rFonts w:hint="eastAsia"/>
          <w:sz w:val="30"/>
          <w:szCs w:val="30"/>
        </w:rPr>
      </w:pPr>
    </w:p>
    <w:p w14:paraId="0E46E277">
      <w:pPr>
        <w:pStyle w:val="9"/>
        <w:spacing w:before="166"/>
        <w:ind w:left="0"/>
        <w:jc w:val="left"/>
        <w:rPr>
          <w:rFonts w:hint="eastAsia"/>
          <w:sz w:val="30"/>
          <w:szCs w:val="30"/>
        </w:rPr>
      </w:pPr>
      <w:r>
        <w:rPr>
          <w:rFonts w:hint="eastAsia"/>
          <w:sz w:val="30"/>
          <w:szCs w:val="30"/>
        </w:rPr>
        <w:t>So then, the writer to the Hebrews hopes for a single Cosmic Transformation; a single Restoration of all (physical) things, just as the OT prophets had promised.</w:t>
      </w:r>
    </w:p>
    <w:p w14:paraId="7AECCED2">
      <w:pPr>
        <w:pStyle w:val="9"/>
        <w:spacing w:before="166"/>
        <w:ind w:left="0"/>
        <w:jc w:val="left"/>
        <w:rPr>
          <w:rFonts w:hint="eastAsia"/>
          <w:sz w:val="30"/>
          <w:szCs w:val="30"/>
        </w:rPr>
      </w:pPr>
      <w:r>
        <w:rPr>
          <w:rFonts w:hint="eastAsia"/>
          <w:sz w:val="30"/>
          <w:szCs w:val="30"/>
        </w:rPr>
        <w:t>因此，希伯来书的作者盼望一次单一的宇宙性转变；一次对所有（物质）事物的单一恢复，正如旧约先知所应许的。</w:t>
      </w:r>
    </w:p>
    <w:p w14:paraId="6DB807C2">
      <w:pPr>
        <w:pStyle w:val="9"/>
        <w:spacing w:before="166"/>
        <w:ind w:left="0"/>
        <w:jc w:val="left"/>
        <w:rPr>
          <w:rFonts w:hint="eastAsia"/>
          <w:sz w:val="30"/>
          <w:szCs w:val="30"/>
        </w:rPr>
      </w:pPr>
    </w:p>
    <w:p w14:paraId="7B79BD8C">
      <w:pPr>
        <w:pStyle w:val="9"/>
        <w:spacing w:before="166"/>
        <w:ind w:left="0"/>
        <w:jc w:val="left"/>
        <w:rPr>
          <w:rFonts w:hint="eastAsia"/>
          <w:sz w:val="30"/>
          <w:szCs w:val="30"/>
        </w:rPr>
      </w:pPr>
      <w:r>
        <w:rPr>
          <w:rFonts w:hint="eastAsia"/>
          <w:sz w:val="30"/>
          <w:szCs w:val="30"/>
        </w:rPr>
        <w:t>Premillennarians teach that at his Second Coming, Christ will partially restore all things; then, at the end of the Millennium, after the (last) Judgment, he will fully destroy and finally restore all things.</w:t>
      </w:r>
    </w:p>
    <w:p w14:paraId="68A8404D">
      <w:pPr>
        <w:pStyle w:val="9"/>
        <w:spacing w:before="166"/>
        <w:ind w:left="0"/>
        <w:jc w:val="left"/>
        <w:rPr>
          <w:rFonts w:hint="eastAsia"/>
          <w:sz w:val="30"/>
          <w:szCs w:val="30"/>
        </w:rPr>
      </w:pPr>
      <w:r>
        <w:rPr>
          <w:rFonts w:hint="eastAsia"/>
          <w:sz w:val="30"/>
          <w:szCs w:val="30"/>
        </w:rPr>
        <w:t>前千禧年论者教导说，在祂第二次降临时，基督将部分地恢复万物；然后，在千禧年结束时，在（最后）审判之后，祂将完全毁灭并最终恢复万物。</w:t>
      </w:r>
    </w:p>
    <w:p w14:paraId="444649C9">
      <w:pPr>
        <w:pStyle w:val="9"/>
        <w:spacing w:before="166"/>
        <w:ind w:left="0"/>
        <w:jc w:val="left"/>
        <w:rPr>
          <w:rFonts w:hint="eastAsia"/>
          <w:sz w:val="30"/>
          <w:szCs w:val="30"/>
        </w:rPr>
      </w:pPr>
    </w:p>
    <w:p w14:paraId="5C0D275E">
      <w:pPr>
        <w:pStyle w:val="9"/>
        <w:spacing w:before="166"/>
        <w:ind w:left="0"/>
        <w:jc w:val="left"/>
        <w:rPr>
          <w:rFonts w:hint="eastAsia"/>
          <w:sz w:val="30"/>
          <w:szCs w:val="30"/>
        </w:rPr>
      </w:pPr>
      <w:r>
        <w:rPr>
          <w:rFonts w:hint="eastAsia"/>
          <w:sz w:val="30"/>
          <w:szCs w:val="30"/>
        </w:rPr>
        <w:t>However, the NT texts we have just considered do not agree, affirming with one voice the promise of a single Cosmic Restoration at a single Second Coming of Christ.</w:t>
      </w:r>
    </w:p>
    <w:p w14:paraId="39B06E3E">
      <w:pPr>
        <w:pStyle w:val="9"/>
        <w:spacing w:before="166"/>
        <w:ind w:left="0"/>
        <w:jc w:val="left"/>
        <w:rPr>
          <w:rFonts w:hint="eastAsia"/>
          <w:sz w:val="30"/>
          <w:szCs w:val="30"/>
        </w:rPr>
      </w:pPr>
      <w:r>
        <w:rPr>
          <w:rFonts w:hint="eastAsia"/>
          <w:sz w:val="30"/>
          <w:szCs w:val="30"/>
        </w:rPr>
        <w:t>然而，我们刚才考查的新约经文并不同意，它们异口同声地肯定了在基督一次的第二次降临时，有一次单一的宇宙性恢复的应许。</w:t>
      </w:r>
    </w:p>
    <w:p w14:paraId="1537254C">
      <w:pPr>
        <w:pStyle w:val="9"/>
        <w:spacing w:before="166"/>
        <w:ind w:left="0"/>
        <w:jc w:val="left"/>
        <w:rPr>
          <w:rFonts w:hint="eastAsia"/>
          <w:sz w:val="30"/>
          <w:szCs w:val="30"/>
        </w:rPr>
      </w:pPr>
    </w:p>
    <w:p w14:paraId="420341D8">
      <w:pPr>
        <w:pStyle w:val="9"/>
        <w:spacing w:before="166"/>
        <w:ind w:left="0"/>
        <w:jc w:val="left"/>
        <w:rPr>
          <w:rFonts w:hint="eastAsia"/>
          <w:sz w:val="30"/>
          <w:szCs w:val="30"/>
        </w:rPr>
      </w:pPr>
      <w:r>
        <w:rPr>
          <w:rFonts w:hint="eastAsia"/>
          <w:sz w:val="30"/>
          <w:szCs w:val="30"/>
        </w:rPr>
        <w:t>And as we saw earlier, the Revelation itself has no other view (Rev. 2-3, 7, 14, 20-21).</w:t>
      </w:r>
    </w:p>
    <w:p w14:paraId="6617D496">
      <w:pPr>
        <w:pStyle w:val="9"/>
        <w:spacing w:before="166"/>
        <w:ind w:left="0"/>
        <w:jc w:val="left"/>
        <w:rPr>
          <w:rFonts w:hint="eastAsia"/>
          <w:sz w:val="30"/>
          <w:szCs w:val="30"/>
        </w:rPr>
      </w:pPr>
      <w:r>
        <w:rPr>
          <w:rFonts w:hint="eastAsia"/>
          <w:sz w:val="30"/>
          <w:szCs w:val="30"/>
        </w:rPr>
        <w:t>正如我们先前所见，《启示录》本身也没有其他观点（启2-3, 7, 14, 20-21）。</w:t>
      </w:r>
    </w:p>
    <w:p w14:paraId="727CC94C">
      <w:pPr>
        <w:pStyle w:val="9"/>
        <w:spacing w:before="166"/>
        <w:ind w:left="0"/>
        <w:jc w:val="left"/>
        <w:rPr>
          <w:rFonts w:hint="eastAsia"/>
          <w:sz w:val="30"/>
          <w:szCs w:val="30"/>
        </w:rPr>
      </w:pPr>
    </w:p>
    <w:p w14:paraId="16CE7A1C">
      <w:pPr>
        <w:pStyle w:val="9"/>
        <w:spacing w:before="166"/>
        <w:ind w:left="0"/>
        <w:jc w:val="left"/>
        <w:rPr>
          <w:rFonts w:hint="eastAsia"/>
          <w:sz w:val="30"/>
          <w:szCs w:val="30"/>
        </w:rPr>
      </w:pPr>
      <w:r>
        <w:rPr>
          <w:rFonts w:hint="eastAsia"/>
          <w:sz w:val="30"/>
          <w:szCs w:val="30"/>
        </w:rPr>
        <w:t>Summing up, we have seen that the NT clearly and repeatedly teaches the unity of each element of the Consummation: There is one Second Coming of Christ, one Resurrection, one Judgment, and one Cosmic Restoration.</w:t>
      </w:r>
    </w:p>
    <w:p w14:paraId="4163A788">
      <w:pPr>
        <w:pStyle w:val="9"/>
        <w:spacing w:before="166"/>
        <w:ind w:left="0"/>
        <w:jc w:val="left"/>
        <w:rPr>
          <w:rFonts w:hint="eastAsia"/>
          <w:sz w:val="30"/>
          <w:szCs w:val="30"/>
        </w:rPr>
      </w:pPr>
      <w:r>
        <w:rPr>
          <w:rFonts w:hint="eastAsia"/>
          <w:sz w:val="30"/>
          <w:szCs w:val="30"/>
        </w:rPr>
        <w:t>总结来说，我们已经看到新约清楚并一再地教导最终成全每个要素的统一性：有一次基督的第二次降临，一次复活，一次审判，和一次宇宙性的恢复。</w:t>
      </w:r>
    </w:p>
    <w:p w14:paraId="0F1CB902">
      <w:pPr>
        <w:pStyle w:val="9"/>
        <w:spacing w:before="166"/>
        <w:ind w:left="0"/>
        <w:jc w:val="left"/>
        <w:rPr>
          <w:rFonts w:hint="eastAsia"/>
          <w:sz w:val="30"/>
          <w:szCs w:val="30"/>
        </w:rPr>
      </w:pPr>
    </w:p>
    <w:p w14:paraId="0347F94F">
      <w:pPr>
        <w:pStyle w:val="9"/>
        <w:spacing w:before="166"/>
        <w:ind w:left="0"/>
        <w:jc w:val="left"/>
        <w:rPr>
          <w:rFonts w:hint="eastAsia"/>
          <w:sz w:val="30"/>
          <w:szCs w:val="30"/>
        </w:rPr>
      </w:pPr>
      <w:r>
        <w:rPr>
          <w:rFonts w:hint="eastAsia"/>
          <w:sz w:val="30"/>
          <w:szCs w:val="30"/>
        </w:rPr>
        <w:t>We have also seen that if this is so, none of the premillennial scenarios can possibly be true.</w:t>
      </w:r>
    </w:p>
    <w:p w14:paraId="49495D8D">
      <w:pPr>
        <w:pStyle w:val="9"/>
        <w:spacing w:before="166"/>
        <w:ind w:left="0"/>
        <w:jc w:val="left"/>
        <w:rPr>
          <w:rFonts w:hint="eastAsia"/>
          <w:sz w:val="30"/>
          <w:szCs w:val="30"/>
        </w:rPr>
      </w:pPr>
      <w:r>
        <w:rPr>
          <w:rFonts w:hint="eastAsia"/>
          <w:sz w:val="30"/>
          <w:szCs w:val="30"/>
        </w:rPr>
        <w:t>我们也已经看到，如果是这样，那么任何前千禧年的情景都不可能是真的。</w:t>
      </w:r>
    </w:p>
    <w:p w14:paraId="3AD3A8B2">
      <w:pPr>
        <w:pStyle w:val="9"/>
        <w:spacing w:before="166"/>
        <w:ind w:left="0"/>
        <w:jc w:val="left"/>
        <w:rPr>
          <w:rFonts w:hint="eastAsia"/>
          <w:sz w:val="30"/>
          <w:szCs w:val="30"/>
        </w:rPr>
      </w:pPr>
    </w:p>
    <w:p w14:paraId="61A4EC22">
      <w:pPr>
        <w:pStyle w:val="9"/>
        <w:spacing w:before="166"/>
        <w:ind w:left="0"/>
        <w:jc w:val="left"/>
        <w:rPr>
          <w:rFonts w:hint="eastAsia"/>
          <w:sz w:val="30"/>
          <w:szCs w:val="30"/>
        </w:rPr>
      </w:pPr>
      <w:r>
        <w:rPr>
          <w:rFonts w:hint="eastAsia"/>
          <w:sz w:val="30"/>
          <w:szCs w:val="30"/>
        </w:rPr>
        <w:t>The Unity of the Consummation Around the Parousia</w:t>
      </w:r>
    </w:p>
    <w:p w14:paraId="04FE168C">
      <w:pPr>
        <w:pStyle w:val="9"/>
        <w:spacing w:before="166"/>
        <w:ind w:left="0"/>
        <w:jc w:val="left"/>
        <w:rPr>
          <w:rFonts w:hint="eastAsia"/>
          <w:sz w:val="30"/>
          <w:szCs w:val="30"/>
        </w:rPr>
      </w:pPr>
      <w:r>
        <w:rPr>
          <w:rFonts w:hint="eastAsia"/>
          <w:sz w:val="30"/>
          <w:szCs w:val="30"/>
        </w:rPr>
        <w:t>围绕主临的最终成全的统一性</w:t>
      </w:r>
    </w:p>
    <w:p w14:paraId="6361B32C">
      <w:pPr>
        <w:pStyle w:val="9"/>
        <w:spacing w:before="166"/>
        <w:ind w:left="0"/>
        <w:jc w:val="left"/>
        <w:rPr>
          <w:rFonts w:hint="eastAsia"/>
          <w:sz w:val="30"/>
          <w:szCs w:val="30"/>
        </w:rPr>
      </w:pPr>
    </w:p>
    <w:p w14:paraId="5F8311D8">
      <w:pPr>
        <w:pStyle w:val="9"/>
        <w:spacing w:before="166"/>
        <w:ind w:left="0"/>
        <w:jc w:val="left"/>
        <w:rPr>
          <w:rFonts w:hint="eastAsia"/>
          <w:sz w:val="30"/>
          <w:szCs w:val="30"/>
        </w:rPr>
      </w:pPr>
      <w:r>
        <w:rPr>
          <w:rFonts w:hint="eastAsia"/>
          <w:sz w:val="30"/>
          <w:szCs w:val="30"/>
        </w:rPr>
        <w:t>Beyond the unity of each element of the Consummation we have the unity of the Consummation as a whole.</w:t>
      </w:r>
    </w:p>
    <w:p w14:paraId="3E12110D">
      <w:pPr>
        <w:pStyle w:val="9"/>
        <w:spacing w:before="166"/>
        <w:ind w:left="0"/>
        <w:jc w:val="left"/>
        <w:rPr>
          <w:rFonts w:hint="eastAsia"/>
          <w:sz w:val="30"/>
          <w:szCs w:val="30"/>
        </w:rPr>
      </w:pPr>
      <w:r>
        <w:rPr>
          <w:rFonts w:hint="eastAsia"/>
          <w:sz w:val="30"/>
          <w:szCs w:val="30"/>
        </w:rPr>
        <w:t>除了最终成全每个要素的统一性之外，我们还有整个最终成全的统一性。</w:t>
      </w:r>
    </w:p>
    <w:p w14:paraId="3FF9C4FE">
      <w:pPr>
        <w:pStyle w:val="9"/>
        <w:spacing w:before="166"/>
        <w:ind w:left="0"/>
        <w:jc w:val="left"/>
        <w:rPr>
          <w:rFonts w:hint="eastAsia"/>
          <w:sz w:val="30"/>
          <w:szCs w:val="30"/>
        </w:rPr>
      </w:pPr>
    </w:p>
    <w:p w14:paraId="2B3C86AA">
      <w:pPr>
        <w:pStyle w:val="9"/>
        <w:spacing w:before="166"/>
        <w:ind w:left="0"/>
        <w:jc w:val="left"/>
        <w:rPr>
          <w:rFonts w:hint="eastAsia"/>
          <w:sz w:val="30"/>
          <w:szCs w:val="30"/>
        </w:rPr>
      </w:pPr>
      <w:r>
        <w:rPr>
          <w:rFonts w:hint="eastAsia"/>
          <w:sz w:val="30"/>
          <w:szCs w:val="30"/>
        </w:rPr>
        <w:t>According to the NT, it is like a wheel whose spokes converge in a single central hub.</w:t>
      </w:r>
    </w:p>
    <w:p w14:paraId="34357EC0">
      <w:pPr>
        <w:pStyle w:val="9"/>
        <w:spacing w:before="166"/>
        <w:ind w:left="0"/>
        <w:jc w:val="left"/>
        <w:rPr>
          <w:rFonts w:hint="eastAsia"/>
          <w:sz w:val="30"/>
          <w:szCs w:val="30"/>
        </w:rPr>
      </w:pPr>
      <w:r>
        <w:rPr>
          <w:rFonts w:hint="eastAsia"/>
          <w:sz w:val="30"/>
          <w:szCs w:val="30"/>
        </w:rPr>
        <w:t>根据新约，它就像一个轮子，其辐条汇聚在一个中心轮毂上。</w:t>
      </w:r>
    </w:p>
    <w:p w14:paraId="10BE9F54">
      <w:pPr>
        <w:pStyle w:val="9"/>
        <w:spacing w:before="166"/>
        <w:ind w:left="0"/>
        <w:jc w:val="left"/>
        <w:rPr>
          <w:rFonts w:hint="eastAsia"/>
          <w:sz w:val="30"/>
          <w:szCs w:val="30"/>
        </w:rPr>
      </w:pPr>
    </w:p>
    <w:p w14:paraId="1C30827C">
      <w:pPr>
        <w:pStyle w:val="9"/>
        <w:spacing w:before="166"/>
        <w:ind w:left="0"/>
        <w:jc w:val="left"/>
        <w:rPr>
          <w:rFonts w:hint="eastAsia"/>
          <w:sz w:val="30"/>
          <w:szCs w:val="30"/>
        </w:rPr>
      </w:pPr>
      <w:r>
        <w:rPr>
          <w:rFonts w:hint="eastAsia"/>
          <w:sz w:val="30"/>
          <w:szCs w:val="30"/>
        </w:rPr>
        <w:t>By God’s design, the several elements of the Consummation are temporally, spatially, and dynamically centered on the glorified Lord Jesus Christ at his Parousia.</w:t>
      </w:r>
    </w:p>
    <w:p w14:paraId="6A7677BA">
      <w:pPr>
        <w:pStyle w:val="9"/>
        <w:spacing w:before="166"/>
        <w:ind w:left="0"/>
        <w:jc w:val="left"/>
        <w:rPr>
          <w:rFonts w:hint="eastAsia"/>
          <w:sz w:val="30"/>
          <w:szCs w:val="30"/>
        </w:rPr>
      </w:pPr>
      <w:r>
        <w:rPr>
          <w:rFonts w:hint="eastAsia"/>
          <w:sz w:val="30"/>
          <w:szCs w:val="30"/>
        </w:rPr>
        <w:t>按照上帝的设计，最终成全的几个要素在时间上、空间上和动态上都以得荣耀的主耶稣基督在祂的主临（Parousia）时为中心。</w:t>
      </w:r>
    </w:p>
    <w:p w14:paraId="6E33E800">
      <w:pPr>
        <w:pStyle w:val="9"/>
        <w:spacing w:before="166"/>
        <w:ind w:left="0"/>
        <w:jc w:val="left"/>
        <w:rPr>
          <w:rFonts w:hint="eastAsia"/>
          <w:sz w:val="30"/>
          <w:szCs w:val="30"/>
        </w:rPr>
      </w:pPr>
    </w:p>
    <w:p w14:paraId="72D1DB87">
      <w:pPr>
        <w:pStyle w:val="9"/>
        <w:spacing w:before="166"/>
        <w:ind w:left="0"/>
        <w:jc w:val="left"/>
        <w:rPr>
          <w:rFonts w:hint="eastAsia"/>
          <w:sz w:val="30"/>
          <w:szCs w:val="30"/>
        </w:rPr>
      </w:pPr>
      <w:r>
        <w:rPr>
          <w:rFonts w:hint="eastAsia"/>
          <w:sz w:val="30"/>
          <w:szCs w:val="30"/>
        </w:rPr>
        <w:t>The table below is designed to illustrate this crucial eschatological idea.</w:t>
      </w:r>
    </w:p>
    <w:p w14:paraId="3B7C98DF">
      <w:pPr>
        <w:pStyle w:val="9"/>
        <w:spacing w:before="166"/>
        <w:ind w:left="0"/>
        <w:jc w:val="left"/>
        <w:rPr>
          <w:rFonts w:hint="eastAsia"/>
          <w:sz w:val="30"/>
          <w:szCs w:val="30"/>
        </w:rPr>
      </w:pPr>
      <w:r>
        <w:rPr>
          <w:rFonts w:hint="eastAsia"/>
          <w:sz w:val="30"/>
          <w:szCs w:val="30"/>
        </w:rPr>
        <w:t>下表旨在说明这个至关重要的末世论观念。</w:t>
      </w:r>
    </w:p>
    <w:p w14:paraId="00FD52C4">
      <w:pPr>
        <w:pStyle w:val="9"/>
        <w:spacing w:before="166"/>
        <w:ind w:left="0"/>
        <w:jc w:val="left"/>
        <w:rPr>
          <w:rFonts w:hint="eastAsia"/>
          <w:sz w:val="30"/>
          <w:szCs w:val="30"/>
        </w:rPr>
      </w:pPr>
    </w:p>
    <w:p w14:paraId="64FEDF91">
      <w:pPr>
        <w:pStyle w:val="9"/>
        <w:spacing w:before="166"/>
        <w:ind w:left="0"/>
        <w:jc w:val="left"/>
        <w:rPr>
          <w:rFonts w:hint="eastAsia"/>
          <w:sz w:val="30"/>
          <w:szCs w:val="30"/>
        </w:rPr>
      </w:pPr>
      <w:r>
        <w:rPr>
          <w:rFonts w:hint="eastAsia"/>
          <w:sz w:val="30"/>
          <w:szCs w:val="30"/>
        </w:rPr>
        <w:t>Let us take a few moments to consider it carefully.</w:t>
      </w:r>
    </w:p>
    <w:p w14:paraId="4892C75A">
      <w:pPr>
        <w:pStyle w:val="9"/>
        <w:spacing w:before="166"/>
        <w:ind w:left="0"/>
        <w:jc w:val="left"/>
        <w:rPr>
          <w:sz w:val="30"/>
          <w:szCs w:val="30"/>
        </w:rPr>
      </w:pPr>
      <w:r>
        <w:rPr>
          <w:rFonts w:hint="eastAsia"/>
          <w:sz w:val="30"/>
          <w:szCs w:val="30"/>
        </w:rPr>
        <w:t>让我们花些时间仔细地思考它。</w:t>
      </w:r>
      <w:r>
        <w:rPr>
          <w:sz w:val="30"/>
          <w:szCs w:val="30"/>
        </w:rPr>
        <w:drawing>
          <wp:anchor distT="0" distB="0" distL="0" distR="0" simplePos="0" relativeHeight="251666432" behindDoc="1" locked="0" layoutInCell="1" allowOverlap="1">
            <wp:simplePos x="0" y="0"/>
            <wp:positionH relativeFrom="page">
              <wp:posOffset>2352040</wp:posOffset>
            </wp:positionH>
            <wp:positionV relativeFrom="paragraph">
              <wp:posOffset>266700</wp:posOffset>
            </wp:positionV>
            <wp:extent cx="3081655" cy="3366770"/>
            <wp:effectExtent l="0" t="0" r="0" b="0"/>
            <wp:wrapTopAndBottom/>
            <wp:docPr id="100" name="Image 100"/>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33" cstate="print"/>
                    <a:stretch>
                      <a:fillRect/>
                    </a:stretch>
                  </pic:blipFill>
                  <pic:spPr>
                    <a:xfrm>
                      <a:off x="0" y="0"/>
                      <a:ext cx="3081882" cy="3366516"/>
                    </a:xfrm>
                    <a:prstGeom prst="rect">
                      <a:avLst/>
                    </a:prstGeom>
                  </pic:spPr>
                </pic:pic>
              </a:graphicData>
            </a:graphic>
          </wp:anchor>
        </w:drawing>
      </w:r>
    </w:p>
    <w:p w14:paraId="1447DCEA">
      <w:pPr>
        <w:pStyle w:val="9"/>
        <w:spacing w:before="62"/>
        <w:ind w:left="0"/>
        <w:jc w:val="left"/>
      </w:pPr>
      <w:r>
        <w:drawing>
          <wp:inline distT="0" distB="0" distL="114300" distR="114300">
            <wp:extent cx="5941695" cy="6659880"/>
            <wp:effectExtent l="0" t="0" r="1905" b="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34"/>
                    <a:stretch>
                      <a:fillRect/>
                    </a:stretch>
                  </pic:blipFill>
                  <pic:spPr>
                    <a:xfrm>
                      <a:off x="0" y="0"/>
                      <a:ext cx="5941695" cy="6659880"/>
                    </a:xfrm>
                    <a:prstGeom prst="rect">
                      <a:avLst/>
                    </a:prstGeom>
                    <a:noFill/>
                    <a:ln>
                      <a:noFill/>
                    </a:ln>
                  </pic:spPr>
                </pic:pic>
              </a:graphicData>
            </a:graphic>
          </wp:inline>
        </w:drawing>
      </w:r>
    </w:p>
    <w:p w14:paraId="08095246">
      <w:pPr>
        <w:pStyle w:val="9"/>
        <w:spacing w:after="0" w:line="249" w:lineRule="auto"/>
        <w:rPr>
          <w:rFonts w:hint="eastAsia"/>
          <w:color w:val="231F20"/>
        </w:rPr>
      </w:pPr>
      <w:bookmarkStart w:id="60" w:name="_bookmark158"/>
      <w:bookmarkEnd w:id="60"/>
      <w:r>
        <w:rPr>
          <w:rFonts w:hint="eastAsia"/>
          <w:color w:val="231F20"/>
        </w:rPr>
        <w:t>As you can see, this table lists, in canonical order, what are arguably the 15 most important NT texts dealing with the Consummation.4</w:t>
      </w:r>
    </w:p>
    <w:p w14:paraId="266E2617">
      <w:pPr>
        <w:pStyle w:val="9"/>
        <w:spacing w:after="0" w:line="249" w:lineRule="auto"/>
        <w:rPr>
          <w:rFonts w:hint="eastAsia"/>
          <w:color w:val="231F20"/>
        </w:rPr>
      </w:pPr>
      <w:r>
        <w:rPr>
          <w:rFonts w:hint="eastAsia"/>
          <w:color w:val="231F20"/>
        </w:rPr>
        <w:t>如你所见，此表按正典顺序，列出了可说是在处理最终成全问题上，最重要的15段新约经文。4</w:t>
      </w:r>
    </w:p>
    <w:p w14:paraId="2B780F1E">
      <w:pPr>
        <w:pStyle w:val="9"/>
        <w:spacing w:after="0" w:line="249" w:lineRule="auto"/>
        <w:rPr>
          <w:rFonts w:hint="eastAsia"/>
          <w:color w:val="231F20"/>
        </w:rPr>
      </w:pPr>
    </w:p>
    <w:p w14:paraId="2AC97550">
      <w:pPr>
        <w:pStyle w:val="9"/>
        <w:spacing w:after="0" w:line="249" w:lineRule="auto"/>
        <w:rPr>
          <w:rFonts w:hint="eastAsia"/>
          <w:color w:val="231F20"/>
        </w:rPr>
      </w:pPr>
      <w:r>
        <w:rPr>
          <w:rFonts w:hint="eastAsia"/>
          <w:color w:val="231F20"/>
        </w:rPr>
        <w:t>A simple check in the row beside a text indicates that the text explicitly mentions the element of the Consummation beneath which the check appears.</w:t>
      </w:r>
    </w:p>
    <w:p w14:paraId="208280A9">
      <w:pPr>
        <w:pStyle w:val="9"/>
        <w:spacing w:after="0" w:line="249" w:lineRule="auto"/>
        <w:rPr>
          <w:rFonts w:hint="eastAsia"/>
          <w:color w:val="231F20"/>
        </w:rPr>
      </w:pPr>
      <w:r>
        <w:rPr>
          <w:rFonts w:hint="eastAsia"/>
          <w:color w:val="231F20"/>
        </w:rPr>
        <w:t>在经文旁边的行中一个简单的勾选表示该经文明确提到了勾选下方的最终成全要素。</w:t>
      </w:r>
    </w:p>
    <w:p w14:paraId="6C6A69F0">
      <w:pPr>
        <w:pStyle w:val="9"/>
        <w:spacing w:after="0" w:line="249" w:lineRule="auto"/>
        <w:rPr>
          <w:rFonts w:hint="eastAsia"/>
          <w:color w:val="231F20"/>
        </w:rPr>
      </w:pPr>
    </w:p>
    <w:p w14:paraId="257C4981">
      <w:pPr>
        <w:pStyle w:val="9"/>
        <w:spacing w:after="0" w:line="249" w:lineRule="auto"/>
        <w:rPr>
          <w:rFonts w:hint="eastAsia"/>
          <w:color w:val="231F20"/>
        </w:rPr>
      </w:pPr>
      <w:r>
        <w:rPr>
          <w:rFonts w:hint="eastAsia"/>
          <w:color w:val="231F20"/>
        </w:rPr>
        <w:t>A check enclosed in a parenthesis indicates that the text strongly implies the presence of the element beneath which it appears.</w:t>
      </w:r>
    </w:p>
    <w:p w14:paraId="7AE361ED">
      <w:pPr>
        <w:pStyle w:val="9"/>
        <w:spacing w:after="0" w:line="249" w:lineRule="auto"/>
        <w:rPr>
          <w:rFonts w:hint="eastAsia"/>
          <w:color w:val="231F20"/>
        </w:rPr>
      </w:pPr>
      <w:r>
        <w:rPr>
          <w:rFonts w:hint="eastAsia"/>
          <w:color w:val="231F20"/>
        </w:rPr>
        <w:t>括号内的勾选表示该经文强烈暗示了其下方要素的存在。</w:t>
      </w:r>
    </w:p>
    <w:p w14:paraId="7D03DDC9">
      <w:pPr>
        <w:pStyle w:val="9"/>
        <w:spacing w:after="0" w:line="249" w:lineRule="auto"/>
        <w:rPr>
          <w:rFonts w:hint="eastAsia"/>
          <w:color w:val="231F20"/>
        </w:rPr>
      </w:pPr>
    </w:p>
    <w:p w14:paraId="4FC60823">
      <w:pPr>
        <w:pStyle w:val="9"/>
        <w:spacing w:after="0" w:line="249" w:lineRule="auto"/>
        <w:rPr>
          <w:rFonts w:hint="eastAsia"/>
          <w:color w:val="231F20"/>
        </w:rPr>
      </w:pPr>
      <w:r>
        <w:rPr>
          <w:rFonts w:hint="eastAsia"/>
          <w:color w:val="231F20"/>
        </w:rPr>
        <w:t>For example, John 5:21- 29 explicitly states that Christ will accomplish the Resurrection and the Judgment; it strongly implies that he will do so at his Second Coming, on what he later refers to as “the Last Day” (John 6:39, 40, 44, 54, 12:48).</w:t>
      </w:r>
    </w:p>
    <w:p w14:paraId="22A9BE7D">
      <w:pPr>
        <w:pStyle w:val="9"/>
        <w:spacing w:after="0" w:line="249" w:lineRule="auto"/>
        <w:rPr>
          <w:rFonts w:hint="eastAsia"/>
          <w:color w:val="231F20"/>
        </w:rPr>
      </w:pPr>
      <w:r>
        <w:rPr>
          <w:rFonts w:hint="eastAsia"/>
          <w:color w:val="231F20"/>
        </w:rPr>
        <w:t>例如，约翰福音5:21-29明确指出基督将成就复活和审判；它强烈暗示祂将在祂第二次降临时，即祂后来所称的“末日”（约翰福音6:39, 40, 44, 54, 12:48）这样做。</w:t>
      </w:r>
    </w:p>
    <w:p w14:paraId="00E878F6">
      <w:pPr>
        <w:pStyle w:val="9"/>
        <w:spacing w:after="0" w:line="249" w:lineRule="auto"/>
        <w:rPr>
          <w:rFonts w:hint="eastAsia"/>
          <w:color w:val="231F20"/>
        </w:rPr>
      </w:pPr>
    </w:p>
    <w:p w14:paraId="28B3CFD2">
      <w:pPr>
        <w:pStyle w:val="9"/>
        <w:spacing w:after="0" w:line="249" w:lineRule="auto"/>
        <w:rPr>
          <w:rFonts w:hint="eastAsia"/>
          <w:color w:val="231F20"/>
        </w:rPr>
      </w:pPr>
      <w:r>
        <w:rPr>
          <w:rFonts w:hint="eastAsia"/>
          <w:color w:val="231F20"/>
        </w:rPr>
        <w:t>Note also from the headings above the columns that I have broken down the Consummation into five basic elements: the Second Coming, the Resurrection, the Judgment, Cosmic Restoration, and the Delivering Up of the Kingdom to God the Father.</w:t>
      </w:r>
    </w:p>
    <w:p w14:paraId="19CA4FB1">
      <w:pPr>
        <w:pStyle w:val="9"/>
        <w:spacing w:after="0" w:line="249" w:lineRule="auto"/>
        <w:rPr>
          <w:rFonts w:hint="eastAsia"/>
          <w:color w:val="231F20"/>
        </w:rPr>
      </w:pPr>
      <w:r>
        <w:rPr>
          <w:rFonts w:hint="eastAsia"/>
          <w:color w:val="231F20"/>
        </w:rPr>
        <w:t>也请从列标题中注意，我已将最终的成全分为五个基本要素：第二次降临、复活、审判、宇宙性恢复，以及将国度交与父上帝。</w:t>
      </w:r>
    </w:p>
    <w:p w14:paraId="31F43C51">
      <w:pPr>
        <w:pStyle w:val="9"/>
        <w:spacing w:after="0" w:line="249" w:lineRule="auto"/>
        <w:rPr>
          <w:rFonts w:hint="eastAsia"/>
          <w:color w:val="231F20"/>
        </w:rPr>
      </w:pPr>
    </w:p>
    <w:p w14:paraId="7544B961">
      <w:pPr>
        <w:pStyle w:val="9"/>
        <w:spacing w:after="0" w:line="249" w:lineRule="auto"/>
        <w:rPr>
          <w:rFonts w:hint="eastAsia"/>
          <w:color w:val="231F20"/>
        </w:rPr>
      </w:pPr>
      <w:r>
        <w:rPr>
          <w:rFonts w:hint="eastAsia"/>
          <w:color w:val="231F20"/>
        </w:rPr>
        <w:t>In the case of the Resurrection, there are three sub-elements: the Resurrection of the dead, the Transformation of the living, and the Catching Up of those so raised (or transformed) to the throne of Christ.</w:t>
      </w:r>
    </w:p>
    <w:p w14:paraId="4BE17762">
      <w:pPr>
        <w:pStyle w:val="9"/>
        <w:spacing w:after="0" w:line="249" w:lineRule="auto"/>
        <w:rPr>
          <w:rFonts w:hint="eastAsia"/>
          <w:color w:val="231F20"/>
        </w:rPr>
      </w:pPr>
      <w:r>
        <w:rPr>
          <w:rFonts w:hint="eastAsia"/>
          <w:color w:val="231F20"/>
        </w:rPr>
        <w:t>在复活的情况下，有三个子要素：死人的复活、活人的改变，以及那些如此复活（或改变）之人被提到基督的宝座前。</w:t>
      </w:r>
    </w:p>
    <w:p w14:paraId="0B2C5B84">
      <w:pPr>
        <w:pStyle w:val="9"/>
        <w:spacing w:after="0" w:line="249" w:lineRule="auto"/>
        <w:rPr>
          <w:rFonts w:hint="eastAsia"/>
          <w:color w:val="231F20"/>
        </w:rPr>
      </w:pPr>
    </w:p>
    <w:p w14:paraId="72052647">
      <w:pPr>
        <w:pStyle w:val="9"/>
        <w:spacing w:after="0" w:line="249" w:lineRule="auto"/>
        <w:rPr>
          <w:rFonts w:hint="eastAsia"/>
          <w:color w:val="231F20"/>
        </w:rPr>
      </w:pPr>
      <w:r>
        <w:rPr>
          <w:rFonts w:hint="eastAsia"/>
          <w:color w:val="231F20"/>
        </w:rPr>
        <w:t>In the case of the Judgment, there are two sub-elements: the Judgment of men and angels at the throne of Christ, and the Destruction of the present heavens and earth by fire (cosmic destruction).</w:t>
      </w:r>
    </w:p>
    <w:p w14:paraId="2EF90D66">
      <w:pPr>
        <w:pStyle w:val="9"/>
        <w:spacing w:after="0" w:line="249" w:lineRule="auto"/>
        <w:rPr>
          <w:rFonts w:hint="eastAsia"/>
          <w:color w:val="231F20"/>
        </w:rPr>
      </w:pPr>
      <w:r>
        <w:rPr>
          <w:rFonts w:hint="eastAsia"/>
          <w:color w:val="231F20"/>
        </w:rPr>
        <w:t>在审判的情况下，有两个子要素：在基督宝座前对人和天使的审判，以及现今天地被火毁灭（宇宙性毁灭）。</w:t>
      </w:r>
    </w:p>
    <w:p w14:paraId="692624D4">
      <w:pPr>
        <w:pStyle w:val="9"/>
        <w:spacing w:after="0" w:line="249" w:lineRule="auto"/>
        <w:rPr>
          <w:rFonts w:hint="eastAsia"/>
          <w:color w:val="231F20"/>
        </w:rPr>
      </w:pPr>
    </w:p>
    <w:p w14:paraId="6A28A84C">
      <w:pPr>
        <w:pStyle w:val="9"/>
        <w:spacing w:after="0" w:line="249" w:lineRule="auto"/>
        <w:rPr>
          <w:rFonts w:hint="eastAsia"/>
          <w:color w:val="231F20"/>
        </w:rPr>
      </w:pPr>
      <w:r>
        <w:rPr>
          <w:rFonts w:hint="eastAsia"/>
          <w:color w:val="231F20"/>
        </w:rPr>
        <w:t>Please recall from the discussion above that the Coming, the Revelation, and the Appearing of Christ are not sub-elements of the Second Coming; rather, they are simply different terms used to describe the one Second Coming from slightly different angles.</w:t>
      </w:r>
    </w:p>
    <w:p w14:paraId="01CC4AD4">
      <w:pPr>
        <w:pStyle w:val="9"/>
        <w:spacing w:after="0" w:line="249" w:lineRule="auto"/>
        <w:rPr>
          <w:rFonts w:hint="eastAsia"/>
          <w:color w:val="231F20"/>
        </w:rPr>
      </w:pPr>
      <w:r>
        <w:rPr>
          <w:rFonts w:hint="eastAsia"/>
          <w:color w:val="231F20"/>
        </w:rPr>
        <w:t>请回顾我们上面的讨论，基督的降临、显现和显明并非第二次降临的子要素；相反，它们只是用来从略微不同的角度描述同一次第二次降临的不同术语。</w:t>
      </w:r>
    </w:p>
    <w:p w14:paraId="273BCEFA">
      <w:pPr>
        <w:pStyle w:val="9"/>
        <w:spacing w:after="0" w:line="249" w:lineRule="auto"/>
        <w:rPr>
          <w:rFonts w:hint="eastAsia"/>
          <w:color w:val="231F20"/>
        </w:rPr>
      </w:pPr>
    </w:p>
    <w:p w14:paraId="3FDAE9B1">
      <w:pPr>
        <w:pStyle w:val="9"/>
        <w:spacing w:after="0" w:line="249" w:lineRule="auto"/>
        <w:rPr>
          <w:rFonts w:hint="eastAsia"/>
          <w:color w:val="231F20"/>
        </w:rPr>
      </w:pPr>
      <w:r>
        <w:rPr>
          <w:rFonts w:hint="eastAsia"/>
          <w:color w:val="231F20"/>
        </w:rPr>
        <w:t>Let us now consider three ways in which this table helps us to see the unity of the Consummation; a Consummation that is temporally, spatially, and dynamically centered on Christ at his Parousia.</w:t>
      </w:r>
    </w:p>
    <w:p w14:paraId="72E433F1">
      <w:pPr>
        <w:pStyle w:val="9"/>
        <w:spacing w:after="0" w:line="249" w:lineRule="auto"/>
        <w:rPr>
          <w:rFonts w:hint="eastAsia"/>
          <w:color w:val="231F20"/>
        </w:rPr>
      </w:pPr>
      <w:r>
        <w:rPr>
          <w:rFonts w:hint="eastAsia"/>
          <w:color w:val="231F20"/>
        </w:rPr>
        <w:t>现在让我们来考虑这张表以三种方式帮助我们看到最终成全的统一性；一个在时间上、空间上和动态上都以基督在祂主临（Parousia）时为中心的最终成全。</w:t>
      </w:r>
    </w:p>
    <w:p w14:paraId="79503BCC">
      <w:pPr>
        <w:pStyle w:val="9"/>
        <w:spacing w:after="0" w:line="249" w:lineRule="auto"/>
        <w:rPr>
          <w:rFonts w:hint="eastAsia"/>
          <w:color w:val="231F20"/>
        </w:rPr>
      </w:pPr>
    </w:p>
    <w:p w14:paraId="3DE641B2">
      <w:pPr>
        <w:pStyle w:val="9"/>
        <w:spacing w:after="0" w:line="249" w:lineRule="auto"/>
        <w:rPr>
          <w:rFonts w:hint="eastAsia"/>
          <w:color w:val="231F20"/>
        </w:rPr>
      </w:pPr>
      <w:r>
        <w:rPr>
          <w:rFonts w:hint="eastAsia"/>
          <w:color w:val="231F20"/>
        </w:rPr>
        <w:t>First, we notice that all the texts (with the exception of Romans 8:18- 25) refer to the Second Coming of Christ, in a few cases implicitly, but in most cases explicitly.</w:t>
      </w:r>
    </w:p>
    <w:p w14:paraId="3245B4B9">
      <w:pPr>
        <w:pStyle w:val="9"/>
        <w:spacing w:after="0" w:line="249" w:lineRule="auto"/>
        <w:rPr>
          <w:rFonts w:hint="eastAsia"/>
          <w:color w:val="231F20"/>
        </w:rPr>
      </w:pPr>
      <w:r>
        <w:rPr>
          <w:rFonts w:hint="eastAsia"/>
          <w:color w:val="231F20"/>
        </w:rPr>
        <w:t>首先，我们注意到所有经文（除了罗马书8:18-25）都提到基督的第二次降临，少数情况下是含蓄地，但大多数情况下是明确地。</w:t>
      </w:r>
    </w:p>
    <w:p w14:paraId="57D8A84E">
      <w:pPr>
        <w:pStyle w:val="9"/>
        <w:spacing w:after="0" w:line="249" w:lineRule="auto"/>
        <w:rPr>
          <w:rFonts w:hint="eastAsia"/>
          <w:color w:val="231F20"/>
        </w:rPr>
      </w:pPr>
    </w:p>
    <w:p w14:paraId="0D0DD754">
      <w:pPr>
        <w:pStyle w:val="9"/>
        <w:spacing w:after="0" w:line="249" w:lineRule="auto"/>
        <w:rPr>
          <w:rFonts w:hint="eastAsia"/>
          <w:color w:val="231F20"/>
        </w:rPr>
      </w:pPr>
      <w:r>
        <w:rPr>
          <w:rFonts w:hint="eastAsia"/>
          <w:color w:val="231F20"/>
        </w:rPr>
        <w:t>This immediately creates a strong presumption that all the other elements of the Consummation occur at the Second Coming, and that Christ is the One who will administer them.</w:t>
      </w:r>
    </w:p>
    <w:p w14:paraId="2769ACEF">
      <w:pPr>
        <w:pStyle w:val="9"/>
        <w:spacing w:after="0" w:line="249" w:lineRule="auto"/>
        <w:rPr>
          <w:rFonts w:hint="eastAsia"/>
          <w:color w:val="231F20"/>
        </w:rPr>
      </w:pPr>
      <w:r>
        <w:rPr>
          <w:rFonts w:hint="eastAsia"/>
          <w:color w:val="231F20"/>
        </w:rPr>
        <w:t>这立刻产生了一个强烈的推断，即最终成全的所有其他要素都发生在第二次降临时，并且基督是那将施行它们的主。</w:t>
      </w:r>
    </w:p>
    <w:p w14:paraId="7967D726">
      <w:pPr>
        <w:pStyle w:val="9"/>
        <w:spacing w:after="0" w:line="249" w:lineRule="auto"/>
        <w:rPr>
          <w:rFonts w:hint="eastAsia"/>
          <w:color w:val="231F20"/>
        </w:rPr>
      </w:pPr>
    </w:p>
    <w:p w14:paraId="15D74E00">
      <w:pPr>
        <w:pStyle w:val="9"/>
        <w:spacing w:after="0" w:line="249" w:lineRule="auto"/>
        <w:rPr>
          <w:rFonts w:hint="eastAsia"/>
          <w:color w:val="231F20"/>
        </w:rPr>
      </w:pPr>
      <w:r>
        <w:rPr>
          <w:rFonts w:hint="eastAsia"/>
          <w:color w:val="231F20"/>
        </w:rPr>
        <w:t>In other words, the table exalts Christ as the dynamic center of the Consummation, and his Parousia as the spatial and temporal center of the Consummation.</w:t>
      </w:r>
    </w:p>
    <w:p w14:paraId="2B2809B5">
      <w:pPr>
        <w:pStyle w:val="9"/>
        <w:spacing w:after="0" w:line="249" w:lineRule="auto"/>
        <w:rPr>
          <w:rFonts w:hint="eastAsia"/>
          <w:color w:val="231F20"/>
        </w:rPr>
      </w:pPr>
      <w:r>
        <w:rPr>
          <w:rFonts w:hint="eastAsia"/>
          <w:color w:val="231F20"/>
        </w:rPr>
        <w:t>换句话说，这张表将基督高举为最终成全的动态中心，将祂的主临（Parousia）高举为最终成全的空间和时间中心。</w:t>
      </w:r>
    </w:p>
    <w:p w14:paraId="74B99082">
      <w:pPr>
        <w:pStyle w:val="9"/>
        <w:spacing w:after="0" w:line="249" w:lineRule="auto"/>
        <w:rPr>
          <w:rFonts w:hint="eastAsia"/>
          <w:color w:val="231F20"/>
        </w:rPr>
      </w:pPr>
    </w:p>
    <w:p w14:paraId="29640D36">
      <w:pPr>
        <w:pStyle w:val="9"/>
        <w:spacing w:after="0" w:line="249" w:lineRule="auto"/>
        <w:rPr>
          <w:rFonts w:hint="eastAsia"/>
          <w:color w:val="231F20"/>
        </w:rPr>
      </w:pPr>
      <w:r>
        <w:rPr>
          <w:rFonts w:hint="eastAsia"/>
          <w:color w:val="231F20"/>
        </w:rPr>
        <w:t>For this not to be the case, it would be necessary to show, from explicit NT teaching, that the words Coming, Revelation, and Appearing do not designate a single Return; that they speak of different events separated in time and space.</w:t>
      </w:r>
    </w:p>
    <w:p w14:paraId="35B01880">
      <w:pPr>
        <w:pStyle w:val="9"/>
        <w:spacing w:after="0" w:line="249" w:lineRule="auto"/>
        <w:rPr>
          <w:rFonts w:hint="eastAsia"/>
          <w:color w:val="231F20"/>
        </w:rPr>
      </w:pPr>
      <w:r>
        <w:rPr>
          <w:rFonts w:hint="eastAsia"/>
          <w:color w:val="231F20"/>
        </w:rPr>
        <w:t>要使情况并非如此，就必须从明确的新约教导中证明，“降临”、“启示”和“显现”这些词并非指同一次再来；它们说的是在时间和空间上分隔开的不同事件。</w:t>
      </w:r>
    </w:p>
    <w:p w14:paraId="3C7A8909">
      <w:pPr>
        <w:pStyle w:val="9"/>
        <w:spacing w:after="0" w:line="249" w:lineRule="auto"/>
        <w:rPr>
          <w:rFonts w:hint="eastAsia"/>
          <w:color w:val="231F20"/>
        </w:rPr>
      </w:pPr>
    </w:p>
    <w:p w14:paraId="741CD816">
      <w:pPr>
        <w:pStyle w:val="9"/>
        <w:spacing w:after="0" w:line="249" w:lineRule="auto"/>
        <w:rPr>
          <w:rFonts w:hint="eastAsia"/>
          <w:color w:val="231F20"/>
        </w:rPr>
      </w:pPr>
      <w:r>
        <w:rPr>
          <w:rFonts w:hint="eastAsia"/>
          <w:color w:val="231F20"/>
        </w:rPr>
        <w:t>We have already seen, however, that no such teaching exists, and that the NT does indeed use the three terms essentially interchangeably.</w:t>
      </w:r>
    </w:p>
    <w:p w14:paraId="0FAB5195">
      <w:pPr>
        <w:pStyle w:val="9"/>
        <w:spacing w:after="0" w:line="249" w:lineRule="auto"/>
        <w:rPr>
          <w:rFonts w:hint="eastAsia"/>
          <w:color w:val="231F20"/>
        </w:rPr>
      </w:pPr>
      <w:r>
        <w:rPr>
          <w:rFonts w:hint="eastAsia"/>
          <w:color w:val="231F20"/>
        </w:rPr>
        <w:t>然而，我们已经看到，不存在这样的教导，并且新约确实基本上是互换使用这三个术语的。</w:t>
      </w:r>
    </w:p>
    <w:p w14:paraId="67129148">
      <w:pPr>
        <w:pStyle w:val="9"/>
        <w:spacing w:after="0" w:line="249" w:lineRule="auto"/>
        <w:rPr>
          <w:rFonts w:hint="eastAsia"/>
          <w:color w:val="231F20"/>
        </w:rPr>
      </w:pPr>
    </w:p>
    <w:p w14:paraId="67D01155">
      <w:pPr>
        <w:pStyle w:val="9"/>
        <w:spacing w:after="0" w:line="249" w:lineRule="auto"/>
        <w:rPr>
          <w:rFonts w:hint="eastAsia"/>
          <w:color w:val="231F20"/>
        </w:rPr>
      </w:pPr>
      <w:r>
        <w:rPr>
          <w:rFonts w:hint="eastAsia"/>
          <w:color w:val="231F20"/>
        </w:rPr>
        <w:t>Again I would invite my premillennarian brothers to ponder this with great care.</w:t>
      </w:r>
    </w:p>
    <w:p w14:paraId="0A3D215A">
      <w:pPr>
        <w:pStyle w:val="9"/>
        <w:spacing w:after="0" w:line="249" w:lineRule="auto"/>
        <w:rPr>
          <w:rFonts w:hint="eastAsia"/>
          <w:color w:val="231F20"/>
        </w:rPr>
      </w:pPr>
      <w:r>
        <w:rPr>
          <w:rFonts w:hint="eastAsia"/>
          <w:color w:val="231F20"/>
        </w:rPr>
        <w:t>我再次邀请我的前千禧年论弟兄们仔细地默想这一点。</w:t>
      </w:r>
    </w:p>
    <w:p w14:paraId="1FC7CA74">
      <w:pPr>
        <w:pStyle w:val="9"/>
        <w:spacing w:after="0" w:line="249" w:lineRule="auto"/>
        <w:rPr>
          <w:rFonts w:hint="eastAsia"/>
          <w:color w:val="231F20"/>
        </w:rPr>
      </w:pPr>
    </w:p>
    <w:p w14:paraId="431CC312">
      <w:pPr>
        <w:pStyle w:val="9"/>
        <w:spacing w:after="0" w:line="249" w:lineRule="auto"/>
        <w:rPr>
          <w:rFonts w:hint="eastAsia"/>
          <w:color w:val="231F20"/>
        </w:rPr>
      </w:pPr>
      <w:r>
        <w:rPr>
          <w:rFonts w:hint="eastAsia"/>
          <w:color w:val="231F20"/>
        </w:rPr>
        <w:t>For the message of the table is this: In the 15 most important eschatological texts of the Didactic NT, there is not a single reference to the multiple resurrections or judgments that premillennialism requires.</w:t>
      </w:r>
    </w:p>
    <w:p w14:paraId="750FCF74">
      <w:pPr>
        <w:pStyle w:val="9"/>
        <w:spacing w:after="0" w:line="249" w:lineRule="auto"/>
        <w:rPr>
          <w:rFonts w:hint="eastAsia"/>
          <w:color w:val="231F20"/>
        </w:rPr>
      </w:pPr>
      <w:r>
        <w:rPr>
          <w:rFonts w:hint="eastAsia"/>
          <w:color w:val="231F20"/>
        </w:rPr>
        <w:t>因为这张表的信息是：在教导性新约中最重要的15段末世论经文中，没有一处提及前千禧年论所要求的多次复活或审判。</w:t>
      </w:r>
    </w:p>
    <w:p w14:paraId="1FCC8698">
      <w:pPr>
        <w:pStyle w:val="9"/>
        <w:spacing w:after="0" w:line="249" w:lineRule="auto"/>
        <w:rPr>
          <w:rFonts w:hint="eastAsia"/>
          <w:color w:val="231F20"/>
        </w:rPr>
      </w:pPr>
    </w:p>
    <w:p w14:paraId="0C576A4F">
      <w:pPr>
        <w:pStyle w:val="9"/>
        <w:spacing w:after="0" w:line="249" w:lineRule="auto"/>
        <w:rPr>
          <w:rFonts w:hint="eastAsia"/>
          <w:color w:val="231F20"/>
        </w:rPr>
      </w:pPr>
      <w:r>
        <w:rPr>
          <w:rFonts w:hint="eastAsia"/>
          <w:color w:val="231F20"/>
        </w:rPr>
        <w:t>Rather, each one states or strongly implies that when Christ raises the dead, transforms the living, catches up all humanity, and judges the world in righteousness, he will do so at his one Second Coming.</w:t>
      </w:r>
    </w:p>
    <w:p w14:paraId="0B1759DE">
      <w:pPr>
        <w:pStyle w:val="9"/>
        <w:spacing w:after="0" w:line="249" w:lineRule="auto"/>
        <w:rPr>
          <w:rFonts w:hint="eastAsia"/>
          <w:color w:val="231F20"/>
        </w:rPr>
      </w:pPr>
      <w:r>
        <w:rPr>
          <w:rFonts w:hint="eastAsia"/>
          <w:color w:val="231F20"/>
        </w:rPr>
        <w:t>相反，每一处都陈述或强烈暗示，当基督使死人复活，改变活人，提接全人类，并按公义审判世界时，祂将在祂独一的第二次降临时这样做。</w:t>
      </w:r>
    </w:p>
    <w:p w14:paraId="2C770EC1">
      <w:pPr>
        <w:pStyle w:val="9"/>
        <w:spacing w:after="0" w:line="249" w:lineRule="auto"/>
        <w:rPr>
          <w:rFonts w:hint="eastAsia"/>
          <w:color w:val="231F20"/>
        </w:rPr>
      </w:pPr>
    </w:p>
    <w:p w14:paraId="47AAAE2B">
      <w:pPr>
        <w:pStyle w:val="9"/>
        <w:spacing w:after="0" w:line="249" w:lineRule="auto"/>
        <w:rPr>
          <w:rFonts w:hint="eastAsia"/>
          <w:color w:val="231F20"/>
        </w:rPr>
      </w:pPr>
      <w:r>
        <w:rPr>
          <w:rFonts w:hint="eastAsia"/>
          <w:color w:val="231F20"/>
        </w:rPr>
        <w:t>In other words, the table affirms that there is indeed only one Consummation, centered on the one Parousia of the Lord Jesus Christ.</w:t>
      </w:r>
    </w:p>
    <w:p w14:paraId="767B4331">
      <w:pPr>
        <w:pStyle w:val="9"/>
        <w:spacing w:after="0" w:line="249" w:lineRule="auto"/>
        <w:rPr>
          <w:rFonts w:hint="eastAsia"/>
          <w:color w:val="231F20"/>
        </w:rPr>
      </w:pPr>
      <w:r>
        <w:rPr>
          <w:rFonts w:hint="eastAsia"/>
          <w:color w:val="231F20"/>
        </w:rPr>
        <w:t>换句话说，这张表肯定了确实只有一个最终的成全，以主耶稣基督的一次主临（Parousia）为中心。</w:t>
      </w:r>
    </w:p>
    <w:p w14:paraId="4D4A681D">
      <w:pPr>
        <w:pStyle w:val="9"/>
        <w:spacing w:after="0" w:line="249" w:lineRule="auto"/>
        <w:rPr>
          <w:rFonts w:hint="eastAsia"/>
          <w:color w:val="231F20"/>
        </w:rPr>
      </w:pPr>
    </w:p>
    <w:p w14:paraId="11CD153D">
      <w:pPr>
        <w:pStyle w:val="9"/>
        <w:spacing w:after="0" w:line="249" w:lineRule="auto"/>
        <w:rPr>
          <w:rFonts w:hint="eastAsia"/>
          <w:color w:val="231F20"/>
        </w:rPr>
      </w:pPr>
      <w:r>
        <w:rPr>
          <w:rFonts w:hint="eastAsia"/>
          <w:color w:val="231F20"/>
        </w:rPr>
        <w:t>Secondly, our table guides us to a number of outstandingly important eschatological texts; important because they explicitly refer to all or most of the elements of the Consummation, and because they depict the Consummation as a single Momentous Event set to occur at the Parousia of Christ.</w:t>
      </w:r>
    </w:p>
    <w:p w14:paraId="01BFA2F3">
      <w:pPr>
        <w:pStyle w:val="9"/>
        <w:spacing w:after="0" w:line="249" w:lineRule="auto"/>
        <w:rPr>
          <w:rFonts w:hint="eastAsia"/>
          <w:color w:val="231F20"/>
        </w:rPr>
      </w:pPr>
      <w:r>
        <w:rPr>
          <w:rFonts w:hint="eastAsia"/>
          <w:color w:val="231F20"/>
        </w:rPr>
        <w:t>其次，我们的图表引导我们看到一些极其重要的末世论经文；之所以重要，是因为它们明确地提到了最终成全的全部或大部分要素，并因为它们将最终成全描绘成一个将在基督主临（Parousia）时发生的单一重大事件。</w:t>
      </w:r>
    </w:p>
    <w:p w14:paraId="443A7FD1">
      <w:pPr>
        <w:pStyle w:val="9"/>
        <w:spacing w:after="0" w:line="249" w:lineRule="auto"/>
        <w:rPr>
          <w:rFonts w:hint="eastAsia"/>
          <w:color w:val="231F20"/>
        </w:rPr>
      </w:pPr>
    </w:p>
    <w:p w14:paraId="30C663B6">
      <w:pPr>
        <w:pStyle w:val="9"/>
        <w:spacing w:after="0" w:line="249" w:lineRule="auto"/>
        <w:rPr>
          <w:rFonts w:hint="eastAsia"/>
          <w:color w:val="231F20"/>
        </w:rPr>
      </w:pPr>
      <w:r>
        <w:rPr>
          <w:rFonts w:hint="eastAsia"/>
          <w:color w:val="231F20"/>
        </w:rPr>
        <w:t>Earlier I argued that Jesus’ parable of the Wheat and Tares was one of the premier eschatological passages in the Bible.</w:t>
      </w:r>
    </w:p>
    <w:p w14:paraId="06B1F8E7">
      <w:pPr>
        <w:pStyle w:val="9"/>
        <w:spacing w:after="0" w:line="249" w:lineRule="auto"/>
        <w:rPr>
          <w:rFonts w:hint="eastAsia"/>
          <w:color w:val="231F20"/>
        </w:rPr>
      </w:pPr>
      <w:r>
        <w:rPr>
          <w:rFonts w:hint="eastAsia"/>
          <w:color w:val="231F20"/>
        </w:rPr>
        <w:t>早些时候我曾论证说，耶稣关于麦子和稗子的比喻是圣经中首要的末世论段落之一。</w:t>
      </w:r>
    </w:p>
    <w:p w14:paraId="635F80BC">
      <w:pPr>
        <w:pStyle w:val="9"/>
        <w:spacing w:after="0" w:line="249" w:lineRule="auto"/>
        <w:rPr>
          <w:rFonts w:hint="eastAsia"/>
          <w:color w:val="231F20"/>
        </w:rPr>
      </w:pPr>
    </w:p>
    <w:p w14:paraId="30F61231">
      <w:pPr>
        <w:pStyle w:val="9"/>
        <w:spacing w:after="0" w:line="249" w:lineRule="auto"/>
        <w:rPr>
          <w:rFonts w:hint="eastAsia"/>
          <w:color w:val="231F20"/>
        </w:rPr>
      </w:pPr>
      <w:r>
        <w:rPr>
          <w:rFonts w:hint="eastAsia"/>
          <w:color w:val="231F20"/>
        </w:rPr>
        <w:t>Our table helps us to see why: Though short and a bit cryptic, this parable nevertheless refers or alludes to every single element of the Consummation (Mt. 13:24-30, 36- 43)!</w:t>
      </w:r>
    </w:p>
    <w:p w14:paraId="7D9E2E93">
      <w:pPr>
        <w:pStyle w:val="9"/>
        <w:spacing w:after="0" w:line="249" w:lineRule="auto"/>
        <w:rPr>
          <w:rFonts w:hint="eastAsia"/>
          <w:color w:val="231F20"/>
        </w:rPr>
      </w:pPr>
      <w:r>
        <w:rPr>
          <w:rFonts w:hint="eastAsia"/>
          <w:color w:val="231F20"/>
        </w:rPr>
        <w:t>我们的图表帮助我们看清原因：虽然简短且有些隐晦，这个比喻却提及或暗指了最终成全的每一个要素（太13:24-30, 36-43）！</w:t>
      </w:r>
    </w:p>
    <w:p w14:paraId="30295F8B">
      <w:pPr>
        <w:pStyle w:val="9"/>
        <w:spacing w:after="0" w:line="249" w:lineRule="auto"/>
        <w:rPr>
          <w:rFonts w:hint="eastAsia"/>
          <w:color w:val="231F20"/>
        </w:rPr>
      </w:pPr>
    </w:p>
    <w:p w14:paraId="6B9F527A">
      <w:pPr>
        <w:pStyle w:val="9"/>
        <w:spacing w:after="0" w:line="249" w:lineRule="auto"/>
        <w:rPr>
          <w:rFonts w:hint="eastAsia"/>
          <w:color w:val="231F20"/>
        </w:rPr>
      </w:pPr>
      <w:r>
        <w:rPr>
          <w:rFonts w:hint="eastAsia"/>
          <w:color w:val="231F20"/>
        </w:rPr>
        <w:t>So too does the much longer Olivet Discourse, found in all three synoptic gospels (Mt. 24-25, Mark 13, Luke 21).</w:t>
      </w:r>
    </w:p>
    <w:p w14:paraId="4008C8A1">
      <w:pPr>
        <w:pStyle w:val="9"/>
        <w:spacing w:after="0" w:line="249" w:lineRule="auto"/>
        <w:rPr>
          <w:rFonts w:hint="eastAsia"/>
          <w:color w:val="231F20"/>
        </w:rPr>
      </w:pPr>
      <w:r>
        <w:rPr>
          <w:rFonts w:hint="eastAsia"/>
          <w:color w:val="231F20"/>
        </w:rPr>
        <w:t>在三本对观福音书中都能找到的、篇幅更长的橄榄山论述也是如此（太24-25，可13，路21）。</w:t>
      </w:r>
    </w:p>
    <w:p w14:paraId="51ECBC84">
      <w:pPr>
        <w:pStyle w:val="9"/>
        <w:spacing w:after="0" w:line="249" w:lineRule="auto"/>
        <w:rPr>
          <w:rFonts w:hint="eastAsia"/>
          <w:color w:val="231F20"/>
        </w:rPr>
      </w:pPr>
    </w:p>
    <w:p w14:paraId="50B92EF2">
      <w:pPr>
        <w:pStyle w:val="9"/>
        <w:spacing w:after="0" w:line="249" w:lineRule="auto"/>
        <w:rPr>
          <w:rFonts w:hint="eastAsia"/>
          <w:color w:val="231F20"/>
        </w:rPr>
      </w:pPr>
      <w:r>
        <w:rPr>
          <w:rFonts w:hint="eastAsia"/>
          <w:color w:val="231F20"/>
        </w:rPr>
        <w:t>Finally, note carefully that 1 Corinthians 15, commonly thought to teach more or less exclusively on the Resurrection, actually gives us a startlingly comprehensive picture of the entire Consummation.</w:t>
      </w:r>
    </w:p>
    <w:p w14:paraId="0AC2A45F">
      <w:pPr>
        <w:pStyle w:val="9"/>
        <w:spacing w:after="0" w:line="249" w:lineRule="auto"/>
        <w:rPr>
          <w:rFonts w:hint="eastAsia"/>
          <w:color w:val="231F20"/>
        </w:rPr>
      </w:pPr>
      <w:r>
        <w:rPr>
          <w:rFonts w:hint="eastAsia"/>
          <w:color w:val="231F20"/>
        </w:rPr>
        <w:t>最后，请仔细注意，哥林多前书第15章，通常被认为或多或少地只教导复活，实际上却为我们提供了一幅关于整个最终成全的惊人全面的图画。</w:t>
      </w:r>
    </w:p>
    <w:p w14:paraId="3A84634B">
      <w:pPr>
        <w:pStyle w:val="9"/>
        <w:spacing w:after="0" w:line="249" w:lineRule="auto"/>
        <w:rPr>
          <w:rFonts w:hint="eastAsia"/>
          <w:color w:val="231F20"/>
        </w:rPr>
      </w:pPr>
    </w:p>
    <w:p w14:paraId="76639B05">
      <w:pPr>
        <w:pStyle w:val="9"/>
        <w:spacing w:after="0" w:line="249" w:lineRule="auto"/>
        <w:rPr>
          <w:rFonts w:hint="eastAsia"/>
          <w:color w:val="231F20"/>
        </w:rPr>
      </w:pPr>
      <w:r>
        <w:rPr>
          <w:rFonts w:hint="eastAsia"/>
          <w:color w:val="231F20"/>
        </w:rPr>
        <w:t>Again, these three texts are of special importance in that they display the Consummation as a single mega-event centered on Christ at his Coming.</w:t>
      </w:r>
    </w:p>
    <w:p w14:paraId="48312111">
      <w:pPr>
        <w:pStyle w:val="9"/>
        <w:spacing w:after="0" w:line="249" w:lineRule="auto"/>
        <w:rPr>
          <w:rFonts w:hint="eastAsia"/>
          <w:color w:val="231F20"/>
        </w:rPr>
      </w:pPr>
      <w:r>
        <w:rPr>
          <w:rFonts w:hint="eastAsia"/>
          <w:color w:val="231F20"/>
        </w:rPr>
        <w:t>再次，这三段经文之所以特别重要，是因为它们将最终的成全展示为一个以基督在祂降临时为中心的单一重大事件。</w:t>
      </w:r>
    </w:p>
    <w:p w14:paraId="556B869C">
      <w:pPr>
        <w:pStyle w:val="9"/>
        <w:spacing w:after="0" w:line="249" w:lineRule="auto"/>
        <w:rPr>
          <w:rFonts w:hint="eastAsia"/>
          <w:color w:val="231F20"/>
        </w:rPr>
      </w:pPr>
    </w:p>
    <w:p w14:paraId="1B64DFD8">
      <w:pPr>
        <w:pStyle w:val="9"/>
        <w:spacing w:after="0" w:line="249" w:lineRule="auto"/>
        <w:rPr>
          <w:rFonts w:hint="eastAsia"/>
          <w:color w:val="231F20"/>
        </w:rPr>
      </w:pPr>
      <w:r>
        <w:rPr>
          <w:rFonts w:hint="eastAsia"/>
          <w:color w:val="231F20"/>
        </w:rPr>
        <w:t>Along these lines, we must not fail to take note of the three long eschatological texts found in 1 and 2 Thessalonians.</w:t>
      </w:r>
    </w:p>
    <w:p w14:paraId="25A62840">
      <w:pPr>
        <w:pStyle w:val="9"/>
        <w:spacing w:after="0" w:line="249" w:lineRule="auto"/>
        <w:rPr>
          <w:rFonts w:hint="eastAsia"/>
          <w:color w:val="231F20"/>
        </w:rPr>
      </w:pPr>
      <w:r>
        <w:rPr>
          <w:rFonts w:hint="eastAsia"/>
          <w:color w:val="231F20"/>
        </w:rPr>
        <w:t>沿着这些思路，我们绝不能不注意到在帖撒罗尼迦前后书中发现的三段长篇末世论经文。</w:t>
      </w:r>
    </w:p>
    <w:p w14:paraId="352E7EFC">
      <w:pPr>
        <w:pStyle w:val="9"/>
        <w:spacing w:after="0" w:line="249" w:lineRule="auto"/>
        <w:rPr>
          <w:rFonts w:hint="eastAsia"/>
          <w:color w:val="231F20"/>
        </w:rPr>
      </w:pPr>
    </w:p>
    <w:p w14:paraId="02AC4222">
      <w:pPr>
        <w:pStyle w:val="9"/>
        <w:spacing w:after="0" w:line="249" w:lineRule="auto"/>
        <w:rPr>
          <w:rFonts w:hint="eastAsia"/>
          <w:color w:val="231F20"/>
        </w:rPr>
      </w:pPr>
      <w:r>
        <w:rPr>
          <w:rFonts w:hint="eastAsia"/>
          <w:color w:val="231F20"/>
        </w:rPr>
        <w:t>While it is true that none of them gives us the Consummation as a whole, it is equally true that between them all we have what may well be the single most comprehensive picture of the Consummation in the entire NT.</w:t>
      </w:r>
    </w:p>
    <w:p w14:paraId="03C9AE50">
      <w:pPr>
        <w:pStyle w:val="9"/>
        <w:spacing w:after="0" w:line="249" w:lineRule="auto"/>
        <w:rPr>
          <w:rFonts w:hint="eastAsia"/>
          <w:color w:val="231F20"/>
        </w:rPr>
      </w:pPr>
      <w:r>
        <w:rPr>
          <w:rFonts w:hint="eastAsia"/>
          <w:color w:val="231F20"/>
        </w:rPr>
        <w:t>虽然确实没有一段经文能给我们一个完整的最终成全的图景，但同样真实的是，在所有这些经文之间，我们拥有了可能是整个新约中对最终成全最全面的描绘。</w:t>
      </w:r>
    </w:p>
    <w:p w14:paraId="57020125">
      <w:pPr>
        <w:pStyle w:val="9"/>
        <w:spacing w:after="0" w:line="249" w:lineRule="auto"/>
        <w:rPr>
          <w:rFonts w:hint="eastAsia"/>
          <w:color w:val="231F20"/>
        </w:rPr>
      </w:pPr>
    </w:p>
    <w:p w14:paraId="41773652">
      <w:pPr>
        <w:pStyle w:val="9"/>
        <w:spacing w:after="0" w:line="249" w:lineRule="auto"/>
        <w:rPr>
          <w:rFonts w:hint="eastAsia"/>
          <w:color w:val="231F20"/>
        </w:rPr>
      </w:pPr>
      <w:r>
        <w:rPr>
          <w:rFonts w:hint="eastAsia"/>
          <w:color w:val="231F20"/>
        </w:rPr>
        <w:t>And this is to say nothing of all that Paul here tells us about certain events that must precede the Consummation.</w:t>
      </w:r>
    </w:p>
    <w:p w14:paraId="7EF40328">
      <w:pPr>
        <w:pStyle w:val="9"/>
        <w:spacing w:after="0" w:line="249" w:lineRule="auto"/>
        <w:rPr>
          <w:rFonts w:hint="eastAsia"/>
          <w:color w:val="231F20"/>
        </w:rPr>
      </w:pPr>
      <w:r>
        <w:rPr>
          <w:rFonts w:hint="eastAsia"/>
          <w:color w:val="231F20"/>
        </w:rPr>
        <w:t>这还不算保罗在这里告诉我们的所有必须在最终成全之前发生的某些事件。</w:t>
      </w:r>
    </w:p>
    <w:p w14:paraId="257EE043">
      <w:pPr>
        <w:pStyle w:val="9"/>
        <w:spacing w:after="0" w:line="249" w:lineRule="auto"/>
        <w:rPr>
          <w:rFonts w:hint="eastAsia"/>
          <w:color w:val="231F20"/>
        </w:rPr>
      </w:pPr>
    </w:p>
    <w:p w14:paraId="3990BE73">
      <w:pPr>
        <w:pStyle w:val="9"/>
        <w:spacing w:after="0" w:line="249" w:lineRule="auto"/>
        <w:rPr>
          <w:rFonts w:hint="eastAsia"/>
          <w:color w:val="231F20"/>
        </w:rPr>
      </w:pPr>
      <w:r>
        <w:rPr>
          <w:rFonts w:hint="eastAsia"/>
          <w:color w:val="231F20"/>
        </w:rPr>
        <w:t>If, then, a good Berean desired quickly to discover the gist of Paul’s theology of the Consummation, he could do no better than to read these three texts, and then to follow up with a close examination of 1 Corinthians 15.</w:t>
      </w:r>
    </w:p>
    <w:p w14:paraId="1FA2D39B">
      <w:pPr>
        <w:pStyle w:val="9"/>
        <w:spacing w:after="0" w:line="249" w:lineRule="auto"/>
        <w:rPr>
          <w:rFonts w:hint="eastAsia"/>
          <w:color w:val="231F20"/>
        </w:rPr>
      </w:pPr>
      <w:r>
        <w:rPr>
          <w:rFonts w:hint="eastAsia"/>
          <w:color w:val="231F20"/>
        </w:rPr>
        <w:t>那么，如果一个好的庇哩亚人想要迅速发现保罗关于最终成全的神学要旨，他最好不过是阅读这三段经文，然后紧接着仔细查考哥林多前书第15章。</w:t>
      </w:r>
    </w:p>
    <w:p w14:paraId="232F2595">
      <w:pPr>
        <w:pStyle w:val="9"/>
        <w:spacing w:after="0" w:line="249" w:lineRule="auto"/>
        <w:rPr>
          <w:rFonts w:hint="eastAsia"/>
          <w:color w:val="231F20"/>
        </w:rPr>
      </w:pPr>
    </w:p>
    <w:p w14:paraId="673C4537">
      <w:pPr>
        <w:pStyle w:val="9"/>
        <w:spacing w:after="0" w:line="249" w:lineRule="auto"/>
        <w:rPr>
          <w:rFonts w:hint="eastAsia"/>
          <w:color w:val="231F20"/>
        </w:rPr>
      </w:pPr>
      <w:r>
        <w:rPr>
          <w:rFonts w:hint="eastAsia"/>
          <w:color w:val="231F20"/>
        </w:rPr>
        <w:t>In so doing, he would arrive swiftly and inescapably at the conclusion that the great apostle looked for a single Consummation set to occur at the one Parousia of the Lord Jesus Christ.</w:t>
      </w:r>
    </w:p>
    <w:p w14:paraId="022FC88C">
      <w:pPr>
        <w:pStyle w:val="9"/>
        <w:spacing w:after="0" w:line="249" w:lineRule="auto"/>
        <w:rPr>
          <w:rFonts w:hint="eastAsia"/>
          <w:color w:val="231F20"/>
        </w:rPr>
      </w:pPr>
      <w:r>
        <w:rPr>
          <w:rFonts w:hint="eastAsia"/>
          <w:color w:val="231F20"/>
        </w:rPr>
        <w:t>如此行，他将迅速而不可避免地得出结论，即伟大的使徒盼望的是一个单一的最终成全，将在主耶稣基督的一次主临（Parousia）时发生。</w:t>
      </w:r>
    </w:p>
    <w:p w14:paraId="03D66AD8">
      <w:pPr>
        <w:pStyle w:val="9"/>
        <w:spacing w:after="0" w:line="249" w:lineRule="auto"/>
        <w:rPr>
          <w:rFonts w:hint="eastAsia"/>
          <w:color w:val="231F20"/>
        </w:rPr>
      </w:pPr>
    </w:p>
    <w:p w14:paraId="049D4441">
      <w:pPr>
        <w:pStyle w:val="9"/>
        <w:spacing w:after="0" w:line="249" w:lineRule="auto"/>
        <w:rPr>
          <w:rFonts w:hint="eastAsia"/>
          <w:color w:val="231F20"/>
        </w:rPr>
      </w:pPr>
      <w:r>
        <w:rPr>
          <w:rFonts w:hint="eastAsia"/>
          <w:color w:val="231F20"/>
        </w:rPr>
        <w:t>Thirdly, and very importantly, our table enables us to see that all the NT authors, in all their eschatological statements, presupposed a single, unified Consummation.</w:t>
      </w:r>
    </w:p>
    <w:p w14:paraId="734AC516">
      <w:pPr>
        <w:pStyle w:val="9"/>
        <w:spacing w:after="0" w:line="249" w:lineRule="auto"/>
        <w:rPr>
          <w:rFonts w:hint="eastAsia"/>
          <w:color w:val="231F20"/>
        </w:rPr>
      </w:pPr>
      <w:r>
        <w:rPr>
          <w:rFonts w:hint="eastAsia"/>
          <w:color w:val="231F20"/>
        </w:rPr>
        <w:t>第三，非常重要的是，我们的图表使我们能够看到，所有的新约作者，在他们所有的末世论陈述中，都预设了一个单一的、统一的最终成全。</w:t>
      </w:r>
    </w:p>
    <w:p w14:paraId="43E2AA2B">
      <w:pPr>
        <w:pStyle w:val="9"/>
        <w:spacing w:after="0" w:line="249" w:lineRule="auto"/>
        <w:rPr>
          <w:rFonts w:hint="eastAsia"/>
          <w:color w:val="231F20"/>
        </w:rPr>
      </w:pPr>
    </w:p>
    <w:p w14:paraId="4C5B8CB1">
      <w:pPr>
        <w:pStyle w:val="9"/>
        <w:spacing w:after="0" w:line="249" w:lineRule="auto"/>
        <w:rPr>
          <w:rFonts w:hint="eastAsia"/>
          <w:color w:val="231F20"/>
        </w:rPr>
      </w:pPr>
      <w:r>
        <w:rPr>
          <w:rFonts w:hint="eastAsia"/>
          <w:color w:val="231F20"/>
        </w:rPr>
        <w:t>In order to appreciate this point, take a moment to scan the table again.</w:t>
      </w:r>
    </w:p>
    <w:p w14:paraId="24F15C61">
      <w:pPr>
        <w:pStyle w:val="9"/>
        <w:spacing w:after="0" w:line="249" w:lineRule="auto"/>
        <w:rPr>
          <w:rFonts w:hint="eastAsia"/>
          <w:color w:val="231F20"/>
        </w:rPr>
      </w:pPr>
      <w:r>
        <w:rPr>
          <w:rFonts w:hint="eastAsia"/>
          <w:color w:val="231F20"/>
        </w:rPr>
        <w:t>为了体会这一点，请花点时间再扫一眼这张表。</w:t>
      </w:r>
    </w:p>
    <w:p w14:paraId="2F86C322">
      <w:pPr>
        <w:pStyle w:val="9"/>
        <w:spacing w:after="0" w:line="249" w:lineRule="auto"/>
        <w:rPr>
          <w:rFonts w:hint="eastAsia"/>
          <w:color w:val="231F20"/>
        </w:rPr>
      </w:pPr>
    </w:p>
    <w:p w14:paraId="0B2B0F57">
      <w:pPr>
        <w:pStyle w:val="9"/>
        <w:spacing w:after="0" w:line="249" w:lineRule="auto"/>
        <w:rPr>
          <w:rFonts w:hint="eastAsia"/>
          <w:color w:val="231F20"/>
        </w:rPr>
      </w:pPr>
      <w:r>
        <w:rPr>
          <w:rFonts w:hint="eastAsia"/>
          <w:color w:val="231F20"/>
        </w:rPr>
        <w:t>With the possible exception of 1 Cor. 15, there is not a single text that explicitly has Christ administering all the elements of the Consummation at his Parousia.</w:t>
      </w:r>
    </w:p>
    <w:p w14:paraId="73B2D349">
      <w:pPr>
        <w:pStyle w:val="9"/>
        <w:spacing w:after="0" w:line="249" w:lineRule="auto"/>
        <w:rPr>
          <w:rFonts w:hint="eastAsia"/>
          <w:color w:val="231F20"/>
        </w:rPr>
      </w:pPr>
      <w:r>
        <w:rPr>
          <w:rFonts w:hint="eastAsia"/>
          <w:color w:val="231F20"/>
        </w:rPr>
        <w:t>除了哥林多前书15章可能例外，没有一段经文明确指出基督在祂的主临（Parousia）时施行最终成全的所有要素。</w:t>
      </w:r>
    </w:p>
    <w:p w14:paraId="7179604A">
      <w:pPr>
        <w:pStyle w:val="9"/>
        <w:spacing w:after="0" w:line="249" w:lineRule="auto"/>
        <w:rPr>
          <w:rFonts w:hint="eastAsia"/>
          <w:color w:val="231F20"/>
        </w:rPr>
      </w:pPr>
    </w:p>
    <w:p w14:paraId="0CBAE29E">
      <w:pPr>
        <w:pStyle w:val="9"/>
        <w:spacing w:after="0" w:line="249" w:lineRule="auto"/>
        <w:rPr>
          <w:rFonts w:hint="eastAsia"/>
          <w:color w:val="231F20"/>
        </w:rPr>
      </w:pPr>
      <w:r>
        <w:rPr>
          <w:rFonts w:hint="eastAsia"/>
          <w:color w:val="231F20"/>
        </w:rPr>
        <w:t>And yet, despite this want of explicit teaching, the chart positively forces us to conclude that there is indeed but a single Consummation.</w:t>
      </w:r>
    </w:p>
    <w:p w14:paraId="7520DB9D">
      <w:pPr>
        <w:pStyle w:val="9"/>
        <w:spacing w:after="0" w:line="249" w:lineRule="auto"/>
        <w:rPr>
          <w:rFonts w:hint="eastAsia"/>
          <w:color w:val="231F20"/>
        </w:rPr>
      </w:pPr>
      <w:r>
        <w:rPr>
          <w:rFonts w:hint="eastAsia"/>
          <w:color w:val="231F20"/>
        </w:rPr>
        <w:t>然而，尽管缺乏明确的教导，这张图表却明确地迫使我们得出结论，即确实只有一个最终的成全。</w:t>
      </w:r>
    </w:p>
    <w:p w14:paraId="73AE5509">
      <w:pPr>
        <w:pStyle w:val="9"/>
        <w:spacing w:after="0" w:line="249" w:lineRule="auto"/>
        <w:rPr>
          <w:rFonts w:hint="eastAsia"/>
          <w:color w:val="231F20"/>
        </w:rPr>
      </w:pPr>
    </w:p>
    <w:p w14:paraId="186CD846">
      <w:pPr>
        <w:pStyle w:val="9"/>
        <w:spacing w:after="0" w:line="249" w:lineRule="auto"/>
        <w:rPr>
          <w:rFonts w:hint="eastAsia"/>
          <w:color w:val="231F20"/>
        </w:rPr>
      </w:pPr>
      <w:r>
        <w:rPr>
          <w:rFonts w:hint="eastAsia"/>
          <w:color w:val="231F20"/>
        </w:rPr>
        <w:t>Why?</w:t>
      </w:r>
    </w:p>
    <w:p w14:paraId="397669A4">
      <w:pPr>
        <w:pStyle w:val="9"/>
        <w:spacing w:after="0" w:line="249" w:lineRule="auto"/>
        <w:rPr>
          <w:rFonts w:hint="eastAsia"/>
          <w:color w:val="231F20"/>
        </w:rPr>
      </w:pPr>
      <w:r>
        <w:rPr>
          <w:rFonts w:hint="eastAsia"/>
          <w:color w:val="231F20"/>
        </w:rPr>
        <w:t>为何？</w:t>
      </w:r>
    </w:p>
    <w:p w14:paraId="681ADB8F">
      <w:pPr>
        <w:pStyle w:val="9"/>
        <w:spacing w:after="0" w:line="249" w:lineRule="auto"/>
        <w:rPr>
          <w:rFonts w:hint="eastAsia"/>
          <w:color w:val="231F20"/>
        </w:rPr>
      </w:pPr>
    </w:p>
    <w:p w14:paraId="08B816A7">
      <w:pPr>
        <w:pStyle w:val="9"/>
        <w:spacing w:after="0" w:line="249" w:lineRule="auto"/>
        <w:rPr>
          <w:rFonts w:hint="eastAsia"/>
          <w:color w:val="231F20"/>
        </w:rPr>
      </w:pPr>
      <w:r>
        <w:rPr>
          <w:rFonts w:hint="eastAsia"/>
          <w:color w:val="231F20"/>
        </w:rPr>
        <w:t>Because shared references to one or more elements of the Consummation compel us to fill in all the blanks in any given row, and ultimately in the whole table!</w:t>
      </w:r>
    </w:p>
    <w:p w14:paraId="3BB40E4A">
      <w:pPr>
        <w:pStyle w:val="9"/>
        <w:spacing w:after="0" w:line="249" w:lineRule="auto"/>
        <w:rPr>
          <w:rFonts w:hint="eastAsia"/>
          <w:color w:val="231F20"/>
        </w:rPr>
      </w:pPr>
      <w:r>
        <w:rPr>
          <w:rFonts w:hint="eastAsia"/>
          <w:color w:val="231F20"/>
        </w:rPr>
        <w:t>因为对最终成全一个或多个要素的共同引用，迫使我们在任何给定的行中，最终在整个表格中，填补所有的空白！</w:t>
      </w:r>
    </w:p>
    <w:p w14:paraId="22D7F992">
      <w:pPr>
        <w:pStyle w:val="9"/>
        <w:spacing w:after="0" w:line="249" w:lineRule="auto"/>
        <w:rPr>
          <w:rFonts w:hint="eastAsia"/>
          <w:color w:val="231F20"/>
        </w:rPr>
      </w:pPr>
    </w:p>
    <w:p w14:paraId="72556DA4">
      <w:pPr>
        <w:pStyle w:val="9"/>
        <w:spacing w:after="0" w:line="249" w:lineRule="auto"/>
        <w:rPr>
          <w:rFonts w:hint="eastAsia"/>
          <w:color w:val="231F20"/>
        </w:rPr>
      </w:pPr>
      <w:r>
        <w:rPr>
          <w:rFonts w:hint="eastAsia"/>
          <w:color w:val="231F20"/>
        </w:rPr>
        <w:t>To understand this better, let’s consider a few examples.</w:t>
      </w:r>
    </w:p>
    <w:p w14:paraId="0E6B866D">
      <w:pPr>
        <w:pStyle w:val="9"/>
        <w:spacing w:after="0" w:line="249" w:lineRule="auto"/>
        <w:rPr>
          <w:rFonts w:hint="eastAsia"/>
          <w:color w:val="231F20"/>
        </w:rPr>
      </w:pPr>
      <w:r>
        <w:rPr>
          <w:rFonts w:hint="eastAsia"/>
          <w:color w:val="231F20"/>
        </w:rPr>
        <w:t>为了更好地理解这一点，让我们来看几个例子。</w:t>
      </w:r>
    </w:p>
    <w:p w14:paraId="350F9D7A">
      <w:pPr>
        <w:pStyle w:val="9"/>
        <w:spacing w:after="0" w:line="249" w:lineRule="auto"/>
        <w:rPr>
          <w:rFonts w:hint="eastAsia"/>
          <w:color w:val="231F20"/>
        </w:rPr>
      </w:pPr>
    </w:p>
    <w:p w14:paraId="4C02CC83">
      <w:pPr>
        <w:pStyle w:val="9"/>
        <w:spacing w:after="0" w:line="249" w:lineRule="auto"/>
        <w:rPr>
          <w:rFonts w:hint="eastAsia"/>
          <w:color w:val="231F20"/>
        </w:rPr>
      </w:pPr>
      <w:r>
        <w:rPr>
          <w:rFonts w:hint="eastAsia"/>
          <w:color w:val="231F20"/>
        </w:rPr>
        <w:t>Our table shows us that in Romans 8:18-25 Paul associates the glorification of nature with the resurrection (and transformation) of the saints.5</w:t>
      </w:r>
    </w:p>
    <w:p w14:paraId="6932B35A">
      <w:pPr>
        <w:pStyle w:val="9"/>
        <w:spacing w:after="0" w:line="249" w:lineRule="auto"/>
        <w:rPr>
          <w:rFonts w:hint="eastAsia"/>
          <w:color w:val="231F20"/>
        </w:rPr>
      </w:pPr>
      <w:r>
        <w:rPr>
          <w:rFonts w:hint="eastAsia"/>
          <w:color w:val="231F20"/>
        </w:rPr>
        <w:t>我们的图表显示，在罗马书8:18-25中，保罗将自然的得荣耀与圣徒的复活（和改变）联系在一起。5</w:t>
      </w:r>
    </w:p>
    <w:p w14:paraId="6AE539CB">
      <w:pPr>
        <w:pStyle w:val="9"/>
        <w:spacing w:after="0" w:line="249" w:lineRule="auto"/>
        <w:rPr>
          <w:rFonts w:hint="eastAsia"/>
          <w:color w:val="231F20"/>
        </w:rPr>
      </w:pPr>
    </w:p>
    <w:p w14:paraId="10EBF939">
      <w:pPr>
        <w:pStyle w:val="9"/>
        <w:spacing w:after="0" w:line="249" w:lineRule="auto"/>
        <w:rPr>
          <w:rFonts w:hint="eastAsia"/>
          <w:color w:val="231F20"/>
        </w:rPr>
      </w:pPr>
      <w:r>
        <w:rPr>
          <w:rFonts w:hint="eastAsia"/>
          <w:color w:val="231F20"/>
        </w:rPr>
        <w:t>However, in this particular text he says nothing about who will accomplish these things, when they will happen, and what else will occur when they do.</w:t>
      </w:r>
    </w:p>
    <w:p w14:paraId="1329D812">
      <w:pPr>
        <w:pStyle w:val="9"/>
        <w:spacing w:after="0" w:line="249" w:lineRule="auto"/>
        <w:rPr>
          <w:rFonts w:hint="eastAsia"/>
          <w:color w:val="231F20"/>
        </w:rPr>
      </w:pPr>
      <w:r>
        <w:rPr>
          <w:rFonts w:hint="eastAsia"/>
          <w:color w:val="231F20"/>
        </w:rPr>
        <w:t>然而，在这段特定的经文中，祂没有说谁将完成这些事，它们何时发生，以及当它们发生时还会发生什么。</w:t>
      </w:r>
    </w:p>
    <w:p w14:paraId="30224DE4">
      <w:pPr>
        <w:pStyle w:val="9"/>
        <w:spacing w:after="0" w:line="249" w:lineRule="auto"/>
        <w:rPr>
          <w:rFonts w:hint="eastAsia"/>
          <w:color w:val="231F20"/>
        </w:rPr>
      </w:pPr>
    </w:p>
    <w:p w14:paraId="138CD5CF">
      <w:pPr>
        <w:pStyle w:val="9"/>
        <w:spacing w:after="0" w:line="249" w:lineRule="auto"/>
        <w:rPr>
          <w:rFonts w:hint="eastAsia"/>
          <w:color w:val="231F20"/>
        </w:rPr>
      </w:pPr>
      <w:r>
        <w:rPr>
          <w:rFonts w:hint="eastAsia"/>
          <w:color w:val="231F20"/>
        </w:rPr>
        <w:t>Such a text, standing alone, could therefore lead to eschatological confusion.</w:t>
      </w:r>
    </w:p>
    <w:p w14:paraId="20CD4551">
      <w:pPr>
        <w:pStyle w:val="9"/>
        <w:spacing w:after="0" w:line="249" w:lineRule="auto"/>
        <w:rPr>
          <w:rFonts w:hint="eastAsia"/>
          <w:color w:val="231F20"/>
        </w:rPr>
      </w:pPr>
      <w:r>
        <w:rPr>
          <w:rFonts w:hint="eastAsia"/>
          <w:color w:val="231F20"/>
        </w:rPr>
        <w:t>因此，这样一段单独的经文可能会导致末世论上的混乱。</w:t>
      </w:r>
    </w:p>
    <w:p w14:paraId="4B2F6AFE">
      <w:pPr>
        <w:pStyle w:val="9"/>
        <w:spacing w:after="0" w:line="249" w:lineRule="auto"/>
        <w:rPr>
          <w:rFonts w:hint="eastAsia"/>
          <w:color w:val="231F20"/>
        </w:rPr>
      </w:pPr>
    </w:p>
    <w:p w14:paraId="715BFC62">
      <w:pPr>
        <w:pStyle w:val="9"/>
        <w:spacing w:after="0" w:line="249" w:lineRule="auto"/>
        <w:rPr>
          <w:rFonts w:hint="eastAsia"/>
          <w:color w:val="231F20"/>
        </w:rPr>
      </w:pPr>
      <w:r>
        <w:rPr>
          <w:rFonts w:hint="eastAsia"/>
          <w:color w:val="231F20"/>
        </w:rPr>
        <w:t>Happily, our table averts such confusion by requiring us to put checks in all the empty fields.</w:t>
      </w:r>
    </w:p>
    <w:p w14:paraId="06BE7060">
      <w:pPr>
        <w:pStyle w:val="9"/>
        <w:spacing w:after="0" w:line="249" w:lineRule="auto"/>
        <w:rPr>
          <w:rFonts w:hint="eastAsia"/>
          <w:color w:val="231F20"/>
        </w:rPr>
      </w:pPr>
      <w:r>
        <w:rPr>
          <w:rFonts w:hint="eastAsia"/>
          <w:color w:val="231F20"/>
        </w:rPr>
        <w:t>幸运的是，我们的图表通过要求我们在所有空字段中打勾来避免这种混淆。</w:t>
      </w:r>
    </w:p>
    <w:p w14:paraId="21A2A268">
      <w:pPr>
        <w:pStyle w:val="9"/>
        <w:spacing w:after="0" w:line="249" w:lineRule="auto"/>
        <w:rPr>
          <w:rFonts w:hint="eastAsia"/>
          <w:color w:val="231F20"/>
        </w:rPr>
      </w:pPr>
    </w:p>
    <w:p w14:paraId="028BE82F">
      <w:pPr>
        <w:pStyle w:val="9"/>
        <w:spacing w:after="0" w:line="249" w:lineRule="auto"/>
        <w:rPr>
          <w:rFonts w:hint="eastAsia"/>
          <w:color w:val="231F20"/>
        </w:rPr>
      </w:pPr>
      <w:r>
        <w:rPr>
          <w:rFonts w:hint="eastAsia"/>
          <w:color w:val="231F20"/>
        </w:rPr>
        <w:t>Why?</w:t>
      </w:r>
    </w:p>
    <w:p w14:paraId="1B206167">
      <w:pPr>
        <w:pStyle w:val="9"/>
        <w:spacing w:after="0" w:line="249" w:lineRule="auto"/>
        <w:rPr>
          <w:rFonts w:hint="eastAsia"/>
          <w:color w:val="231F20"/>
        </w:rPr>
      </w:pPr>
      <w:r>
        <w:rPr>
          <w:rFonts w:hint="eastAsia"/>
          <w:color w:val="231F20"/>
        </w:rPr>
        <w:t>为何？</w:t>
      </w:r>
    </w:p>
    <w:p w14:paraId="20B0D668">
      <w:pPr>
        <w:pStyle w:val="9"/>
        <w:spacing w:after="0" w:line="249" w:lineRule="auto"/>
        <w:rPr>
          <w:rFonts w:hint="eastAsia"/>
          <w:color w:val="231F20"/>
        </w:rPr>
      </w:pPr>
    </w:p>
    <w:p w14:paraId="645558C3">
      <w:pPr>
        <w:pStyle w:val="9"/>
        <w:spacing w:after="0" w:line="249" w:lineRule="auto"/>
        <w:rPr>
          <w:rFonts w:hint="eastAsia"/>
          <w:color w:val="231F20"/>
        </w:rPr>
      </w:pPr>
      <w:r>
        <w:rPr>
          <w:rFonts w:hint="eastAsia"/>
          <w:color w:val="231F20"/>
        </w:rPr>
        <w:t>Because the table tells us that in 1 Corinthians 15 Paul has much more to say about the resurrection and its concomitants.</w:t>
      </w:r>
    </w:p>
    <w:p w14:paraId="6109C947">
      <w:pPr>
        <w:pStyle w:val="9"/>
        <w:spacing w:after="0" w:line="249" w:lineRule="auto"/>
        <w:rPr>
          <w:rFonts w:hint="eastAsia"/>
          <w:color w:val="231F20"/>
        </w:rPr>
      </w:pPr>
      <w:r>
        <w:rPr>
          <w:rFonts w:hint="eastAsia"/>
          <w:color w:val="231F20"/>
        </w:rPr>
        <w:t>因为这张表告诉我们，在哥林多前书第15章，保罗对复活及其伴随事件有更多的论述。</w:t>
      </w:r>
    </w:p>
    <w:p w14:paraId="65F9BF09">
      <w:pPr>
        <w:pStyle w:val="9"/>
        <w:spacing w:after="0" w:line="249" w:lineRule="auto"/>
        <w:rPr>
          <w:rFonts w:hint="eastAsia"/>
          <w:color w:val="231F20"/>
        </w:rPr>
      </w:pPr>
    </w:p>
    <w:p w14:paraId="233FD3A8">
      <w:pPr>
        <w:pStyle w:val="9"/>
        <w:spacing w:after="0" w:line="249" w:lineRule="auto"/>
        <w:rPr>
          <w:rFonts w:hint="eastAsia"/>
          <w:color w:val="231F20"/>
        </w:rPr>
      </w:pPr>
      <w:r>
        <w:rPr>
          <w:rFonts w:hint="eastAsia"/>
          <w:color w:val="231F20"/>
        </w:rPr>
        <w:t>In particular, there we learn that it is Christ himself who will raise the dead, and that when he does he will also glorify the living saints, judge the world in righteousness, root all evil out of his creation, and deliver up the completed Kingdom to God the Father.</w:t>
      </w:r>
    </w:p>
    <w:p w14:paraId="3C9643BE">
      <w:pPr>
        <w:pStyle w:val="9"/>
        <w:spacing w:after="0" w:line="249" w:lineRule="auto"/>
        <w:rPr>
          <w:rFonts w:hint="eastAsia"/>
          <w:color w:val="231F20"/>
        </w:rPr>
      </w:pPr>
      <w:r>
        <w:rPr>
          <w:rFonts w:hint="eastAsia"/>
          <w:color w:val="231F20"/>
        </w:rPr>
        <w:t>特别是，我们在那里了解到，是基督祂自己将使死人复活，当祂这样做时，祂也将荣耀活着的圣徒，按公义审判世界，从祂的创造物中根除所有邪恶，并将完全的国度交与父上帝。</w:t>
      </w:r>
    </w:p>
    <w:p w14:paraId="7387AB4A">
      <w:pPr>
        <w:pStyle w:val="9"/>
        <w:spacing w:after="0" w:line="249" w:lineRule="auto"/>
        <w:rPr>
          <w:rFonts w:hint="eastAsia"/>
          <w:color w:val="231F20"/>
        </w:rPr>
      </w:pPr>
    </w:p>
    <w:p w14:paraId="36CDA472">
      <w:pPr>
        <w:pStyle w:val="9"/>
        <w:spacing w:after="0" w:line="249" w:lineRule="auto"/>
        <w:rPr>
          <w:rFonts w:hint="eastAsia"/>
          <w:color w:val="231F20"/>
        </w:rPr>
      </w:pPr>
      <w:r>
        <w:rPr>
          <w:rFonts w:hint="eastAsia"/>
          <w:color w:val="231F20"/>
        </w:rPr>
        <w:t>Thus, 1 Corinthians 15 enables us to fill in the blanks in the row for Romans 8.</w:t>
      </w:r>
    </w:p>
    <w:p w14:paraId="1EF8C94A">
      <w:pPr>
        <w:pStyle w:val="9"/>
        <w:spacing w:after="0" w:line="249" w:lineRule="auto"/>
        <w:rPr>
          <w:rFonts w:hint="eastAsia"/>
          <w:color w:val="231F20"/>
        </w:rPr>
      </w:pPr>
      <w:r>
        <w:rPr>
          <w:rFonts w:hint="eastAsia"/>
          <w:color w:val="231F20"/>
        </w:rPr>
        <w:t>因此，哥林多前书第15章使我们能够填补罗马书第8章所在行的空白。</w:t>
      </w:r>
    </w:p>
    <w:p w14:paraId="50081852">
      <w:pPr>
        <w:pStyle w:val="9"/>
        <w:spacing w:after="0" w:line="249" w:lineRule="auto"/>
        <w:rPr>
          <w:rFonts w:hint="eastAsia"/>
          <w:color w:val="231F20"/>
        </w:rPr>
      </w:pPr>
    </w:p>
    <w:p w14:paraId="003113EF">
      <w:pPr>
        <w:pStyle w:val="9"/>
        <w:spacing w:after="0" w:line="249" w:lineRule="auto"/>
        <w:rPr>
          <w:rFonts w:hint="eastAsia"/>
          <w:color w:val="231F20"/>
        </w:rPr>
      </w:pPr>
      <w:r>
        <w:rPr>
          <w:rFonts w:hint="eastAsia"/>
          <w:color w:val="231F20"/>
        </w:rPr>
        <w:t>It enables us to see that Paul presupposed a single Consummation in which Christ himself would accomplish all the great eschatological acts and events.</w:t>
      </w:r>
    </w:p>
    <w:p w14:paraId="7D39A673">
      <w:pPr>
        <w:pStyle w:val="9"/>
        <w:spacing w:after="0" w:line="249" w:lineRule="auto"/>
        <w:rPr>
          <w:rFonts w:hint="eastAsia"/>
          <w:color w:val="231F20"/>
        </w:rPr>
      </w:pPr>
      <w:r>
        <w:rPr>
          <w:rFonts w:hint="eastAsia"/>
          <w:color w:val="231F20"/>
        </w:rPr>
        <w:t>它使我们能够看到，保罗预设了一个单一的最终成全，其中基督祂自己将成就所有重大的末世作为和事件。</w:t>
      </w:r>
    </w:p>
    <w:p w14:paraId="5930CB5A">
      <w:pPr>
        <w:pStyle w:val="9"/>
        <w:spacing w:after="0" w:line="249" w:lineRule="auto"/>
        <w:rPr>
          <w:rFonts w:hint="eastAsia"/>
          <w:color w:val="231F20"/>
        </w:rPr>
      </w:pPr>
    </w:p>
    <w:p w14:paraId="55B7EC83">
      <w:pPr>
        <w:pStyle w:val="9"/>
        <w:spacing w:after="0" w:line="249" w:lineRule="auto"/>
        <w:rPr>
          <w:rFonts w:hint="eastAsia"/>
          <w:color w:val="231F20"/>
        </w:rPr>
      </w:pPr>
      <w:r>
        <w:rPr>
          <w:rFonts w:hint="eastAsia"/>
          <w:color w:val="231F20"/>
        </w:rPr>
        <w:t>And here is the icing on the cake: It also enables us to see that Christ will do this at his Parousia (1 Cor. 15:23).</w:t>
      </w:r>
    </w:p>
    <w:p w14:paraId="4E5BBEE6">
      <w:pPr>
        <w:pStyle w:val="9"/>
        <w:spacing w:after="0" w:line="249" w:lineRule="auto"/>
        <w:rPr>
          <w:rFonts w:hint="eastAsia"/>
          <w:color w:val="231F20"/>
        </w:rPr>
      </w:pPr>
      <w:r>
        <w:rPr>
          <w:rFonts w:hint="eastAsia"/>
          <w:color w:val="231F20"/>
        </w:rPr>
        <w:t>锦上添花的是：它也使我们能够看到基督将在祂的主临（Parousia）时这样做（林前15:23）。</w:t>
      </w:r>
    </w:p>
    <w:p w14:paraId="3D0B8315">
      <w:pPr>
        <w:pStyle w:val="9"/>
        <w:spacing w:after="0" w:line="249" w:lineRule="auto"/>
        <w:rPr>
          <w:rFonts w:hint="eastAsia"/>
          <w:color w:val="231F20"/>
        </w:rPr>
      </w:pPr>
    </w:p>
    <w:p w14:paraId="72B27C0E">
      <w:pPr>
        <w:pStyle w:val="9"/>
        <w:spacing w:after="0" w:line="249" w:lineRule="auto"/>
        <w:rPr>
          <w:rFonts w:hint="eastAsia"/>
          <w:color w:val="231F20"/>
        </w:rPr>
      </w:pPr>
      <w:r>
        <w:rPr>
          <w:rFonts w:hint="eastAsia"/>
          <w:color w:val="231F20"/>
        </w:rPr>
        <w:t>Now let us consider a more controversial example.</w:t>
      </w:r>
    </w:p>
    <w:p w14:paraId="733A72BA">
      <w:pPr>
        <w:pStyle w:val="9"/>
        <w:spacing w:after="0" w:line="249" w:lineRule="auto"/>
        <w:rPr>
          <w:rFonts w:hint="eastAsia"/>
          <w:color w:val="231F20"/>
        </w:rPr>
      </w:pPr>
      <w:r>
        <w:rPr>
          <w:rFonts w:hint="eastAsia"/>
          <w:color w:val="231F20"/>
        </w:rPr>
        <w:t>现在让我们来看一个更有争议的例子。</w:t>
      </w:r>
    </w:p>
    <w:p w14:paraId="2725A589">
      <w:pPr>
        <w:pStyle w:val="9"/>
        <w:spacing w:after="0" w:line="249" w:lineRule="auto"/>
        <w:rPr>
          <w:rFonts w:hint="eastAsia"/>
          <w:color w:val="231F20"/>
        </w:rPr>
      </w:pPr>
    </w:p>
    <w:p w14:paraId="4922658C">
      <w:pPr>
        <w:pStyle w:val="9"/>
        <w:spacing w:after="0" w:line="249" w:lineRule="auto"/>
        <w:rPr>
          <w:rFonts w:hint="eastAsia"/>
          <w:color w:val="231F20"/>
        </w:rPr>
      </w:pPr>
      <w:r>
        <w:rPr>
          <w:rFonts w:hint="eastAsia"/>
          <w:color w:val="231F20"/>
        </w:rPr>
        <w:t>Our table shows that in 1 Thess. 4:13-5:11 Paul speaks explicitly of the Coming of Christ, the Resurrection, the Transformation of the living saints, the Catching Up of the saints, and the Judgment.</w:t>
      </w:r>
    </w:p>
    <w:p w14:paraId="4ED4AFAF">
      <w:pPr>
        <w:pStyle w:val="9"/>
        <w:spacing w:after="0" w:line="249" w:lineRule="auto"/>
        <w:rPr>
          <w:rFonts w:hint="eastAsia"/>
          <w:color w:val="231F20"/>
        </w:rPr>
      </w:pPr>
      <w:r>
        <w:rPr>
          <w:rFonts w:hint="eastAsia"/>
          <w:color w:val="231F20"/>
        </w:rPr>
        <w:t>我们的图表显示，在帖撒罗尼迦前书4:13-5:11中，保罗明确地谈到了基督的降临、复活、活着圣徒的改变、圣徒的被提和审判。</w:t>
      </w:r>
    </w:p>
    <w:p w14:paraId="439F35AC">
      <w:pPr>
        <w:pStyle w:val="9"/>
        <w:spacing w:after="0" w:line="249" w:lineRule="auto"/>
        <w:rPr>
          <w:rFonts w:hint="eastAsia"/>
          <w:color w:val="231F20"/>
        </w:rPr>
      </w:pPr>
    </w:p>
    <w:p w14:paraId="099EE45C">
      <w:pPr>
        <w:pStyle w:val="9"/>
        <w:spacing w:after="0" w:line="249" w:lineRule="auto"/>
        <w:rPr>
          <w:rFonts w:hint="eastAsia"/>
          <w:color w:val="231F20"/>
        </w:rPr>
      </w:pPr>
      <w:r>
        <w:rPr>
          <w:rFonts w:hint="eastAsia"/>
          <w:color w:val="231F20"/>
        </w:rPr>
        <w:t>As we shall see later, it is altogether fitting for us to regard these verses as a unit.</w:t>
      </w:r>
    </w:p>
    <w:p w14:paraId="2507F253">
      <w:pPr>
        <w:pStyle w:val="9"/>
        <w:spacing w:after="0" w:line="249" w:lineRule="auto"/>
        <w:rPr>
          <w:rFonts w:hint="eastAsia"/>
          <w:color w:val="231F20"/>
        </w:rPr>
      </w:pPr>
      <w:r>
        <w:rPr>
          <w:rFonts w:hint="eastAsia"/>
          <w:color w:val="231F20"/>
        </w:rPr>
        <w:t>我们稍后将看到，将这些经文视为一个单元是完全恰当的。</w:t>
      </w:r>
    </w:p>
    <w:p w14:paraId="52CA3CA9">
      <w:pPr>
        <w:pStyle w:val="9"/>
        <w:spacing w:after="0" w:line="249" w:lineRule="auto"/>
        <w:rPr>
          <w:rFonts w:hint="eastAsia"/>
          <w:color w:val="231F20"/>
        </w:rPr>
      </w:pPr>
    </w:p>
    <w:p w14:paraId="11D1F411">
      <w:pPr>
        <w:pStyle w:val="9"/>
        <w:spacing w:after="0" w:line="249" w:lineRule="auto"/>
        <w:rPr>
          <w:rFonts w:hint="eastAsia"/>
          <w:color w:val="231F20"/>
        </w:rPr>
      </w:pPr>
      <w:r>
        <w:rPr>
          <w:rFonts w:hint="eastAsia"/>
          <w:color w:val="231F20"/>
        </w:rPr>
        <w:t>However, our dispensational brethren disagree.</w:t>
      </w:r>
    </w:p>
    <w:p w14:paraId="37D12803">
      <w:pPr>
        <w:pStyle w:val="9"/>
        <w:spacing w:after="0" w:line="249" w:lineRule="auto"/>
        <w:rPr>
          <w:rFonts w:hint="eastAsia"/>
          <w:color w:val="231F20"/>
        </w:rPr>
      </w:pPr>
      <w:r>
        <w:rPr>
          <w:rFonts w:hint="eastAsia"/>
          <w:color w:val="231F20"/>
        </w:rPr>
        <w:t>然而，我们的时代论弟兄们不同意。</w:t>
      </w:r>
    </w:p>
    <w:p w14:paraId="44CD8A70">
      <w:pPr>
        <w:pStyle w:val="9"/>
        <w:spacing w:after="0" w:line="249" w:lineRule="auto"/>
        <w:rPr>
          <w:rFonts w:hint="eastAsia"/>
          <w:color w:val="231F20"/>
        </w:rPr>
      </w:pPr>
    </w:p>
    <w:p w14:paraId="63E67C04">
      <w:pPr>
        <w:pStyle w:val="9"/>
        <w:spacing w:after="0" w:line="249" w:lineRule="auto"/>
        <w:rPr>
          <w:rFonts w:hint="eastAsia"/>
          <w:color w:val="231F20"/>
        </w:rPr>
      </w:pPr>
      <w:r>
        <w:rPr>
          <w:rFonts w:hint="eastAsia"/>
          <w:color w:val="231F20"/>
        </w:rPr>
        <w:t>They insist upon detaching 4:13-18 from 5:1-11, arguing that the two texts describe entirely separate events, and that in 4:13-18 Paul is actually unveiling the great NT “mystery” of the Secret Rapture, wherein Christ, unseen and unheard by the world, will unexpectedly return to Earth for His Church and take her to heaven with him prior to a seven year season of global Tribulation.</w:t>
      </w:r>
    </w:p>
    <w:p w14:paraId="168CA22B">
      <w:pPr>
        <w:pStyle w:val="9"/>
        <w:spacing w:after="0" w:line="249" w:lineRule="auto"/>
        <w:rPr>
          <w:rFonts w:hint="eastAsia"/>
          <w:color w:val="231F20"/>
        </w:rPr>
      </w:pPr>
      <w:r>
        <w:rPr>
          <w:rFonts w:hint="eastAsia"/>
          <w:color w:val="231F20"/>
        </w:rPr>
        <w:t>他们坚持将4:13-18与5:1-11分开，认为这两段经文描述的是完全不同的事件，并且在4:13-18中，保罗实际上是在揭示新约中关于秘密被提的伟大“奥秘”，即基督将在世界看不见、听不见的情况下，出人意料地回到地上，为祂的教会而来，并在七年的全球大灾难季节之前将她带到天上与祂同在。</w:t>
      </w:r>
    </w:p>
    <w:p w14:paraId="0F556A73">
      <w:pPr>
        <w:pStyle w:val="9"/>
        <w:spacing w:after="0" w:line="249" w:lineRule="auto"/>
        <w:rPr>
          <w:rFonts w:hint="eastAsia"/>
          <w:color w:val="231F20"/>
        </w:rPr>
      </w:pPr>
    </w:p>
    <w:p w14:paraId="556F4F13">
      <w:pPr>
        <w:pStyle w:val="9"/>
        <w:spacing w:after="0" w:line="249" w:lineRule="auto"/>
        <w:rPr>
          <w:rFonts w:hint="eastAsia"/>
          <w:color w:val="231F20"/>
        </w:rPr>
      </w:pPr>
      <w:r>
        <w:rPr>
          <w:rFonts w:hint="eastAsia"/>
          <w:color w:val="231F20"/>
        </w:rPr>
        <w:t>Later we will examine this text closely, to see if it really supports such a view.</w:t>
      </w:r>
    </w:p>
    <w:p w14:paraId="5ADB2B2E">
      <w:pPr>
        <w:pStyle w:val="9"/>
        <w:spacing w:after="0" w:line="249" w:lineRule="auto"/>
        <w:rPr>
          <w:rFonts w:hint="eastAsia"/>
          <w:color w:val="231F20"/>
        </w:rPr>
      </w:pPr>
      <w:r>
        <w:rPr>
          <w:rFonts w:hint="eastAsia"/>
          <w:color w:val="231F20"/>
        </w:rPr>
        <w:t>稍后我们将仔细地查考这段经文，看看它是否真的支持这种观点。</w:t>
      </w:r>
    </w:p>
    <w:p w14:paraId="5E16FA57">
      <w:pPr>
        <w:pStyle w:val="9"/>
        <w:spacing w:after="0" w:line="249" w:lineRule="auto"/>
        <w:rPr>
          <w:rFonts w:hint="eastAsia"/>
          <w:color w:val="231F20"/>
        </w:rPr>
      </w:pPr>
    </w:p>
    <w:p w14:paraId="5A21D358">
      <w:pPr>
        <w:pStyle w:val="9"/>
        <w:spacing w:after="0" w:line="249" w:lineRule="auto"/>
        <w:rPr>
          <w:rFonts w:hint="eastAsia"/>
          <w:color w:val="231F20"/>
        </w:rPr>
      </w:pPr>
      <w:r>
        <w:rPr>
          <w:rFonts w:hint="eastAsia"/>
          <w:color w:val="231F20"/>
        </w:rPr>
        <w:t>For the moment, however, let us defer to our dispensational brothers, focus our attention on 4:13-18, and see what light our table might shed upon its true meaning.</w:t>
      </w:r>
    </w:p>
    <w:p w14:paraId="312D4476">
      <w:pPr>
        <w:pStyle w:val="9"/>
        <w:spacing w:after="0" w:line="249" w:lineRule="auto"/>
        <w:rPr>
          <w:rFonts w:hint="eastAsia"/>
          <w:color w:val="231F20"/>
        </w:rPr>
      </w:pPr>
      <w:r>
        <w:rPr>
          <w:rFonts w:hint="eastAsia"/>
          <w:color w:val="231F20"/>
        </w:rPr>
        <w:t>然而，目前，让我们暂且听从我们时代论弟兄的意见，将我们的注意力集中在4:13-18，并看看我们的图表可能会对其真正意义有何启发。</w:t>
      </w:r>
    </w:p>
    <w:p w14:paraId="6A3C2DBA">
      <w:pPr>
        <w:pStyle w:val="9"/>
        <w:spacing w:after="0" w:line="249" w:lineRule="auto"/>
        <w:rPr>
          <w:rFonts w:hint="eastAsia"/>
          <w:color w:val="231F20"/>
        </w:rPr>
      </w:pPr>
    </w:p>
    <w:p w14:paraId="3304AEFA">
      <w:pPr>
        <w:pStyle w:val="9"/>
        <w:spacing w:after="0" w:line="249" w:lineRule="auto"/>
        <w:rPr>
          <w:rFonts w:hint="eastAsia"/>
          <w:color w:val="231F20"/>
        </w:rPr>
      </w:pPr>
      <w:r>
        <w:rPr>
          <w:rFonts w:hint="eastAsia"/>
          <w:color w:val="231F20"/>
        </w:rPr>
        <w:t>If the table included 1 Thess. 4:13-18 standing alone, we would see four check marks beside it, indicating that here Paul speaks of a Coming of Christ, a Resurrection, a Transformation, and a Catching Up.</w:t>
      </w:r>
    </w:p>
    <w:p w14:paraId="0F618788">
      <w:pPr>
        <w:pStyle w:val="9"/>
        <w:spacing w:after="0" w:line="249" w:lineRule="auto"/>
        <w:rPr>
          <w:rFonts w:hint="eastAsia"/>
          <w:color w:val="231F20"/>
        </w:rPr>
      </w:pPr>
      <w:r>
        <w:rPr>
          <w:rFonts w:hint="eastAsia"/>
          <w:color w:val="231F20"/>
        </w:rPr>
        <w:t>如果这张表单独列出帖撒罗尼迦前书4:13-18，我们会在旁边看到四个勾选，表示保罗在这里谈到了基督的降临、一次复活、一次改变和一次被提。</w:t>
      </w:r>
    </w:p>
    <w:p w14:paraId="7087AF6A">
      <w:pPr>
        <w:pStyle w:val="9"/>
        <w:spacing w:after="0" w:line="249" w:lineRule="auto"/>
        <w:rPr>
          <w:rFonts w:hint="eastAsia"/>
          <w:color w:val="231F20"/>
        </w:rPr>
      </w:pPr>
    </w:p>
    <w:p w14:paraId="2C906D8B">
      <w:pPr>
        <w:pStyle w:val="9"/>
        <w:spacing w:after="0" w:line="249" w:lineRule="auto"/>
        <w:rPr>
          <w:rFonts w:hint="eastAsia"/>
          <w:color w:val="231F20"/>
        </w:rPr>
      </w:pPr>
      <w:r>
        <w:rPr>
          <w:rFonts w:hint="eastAsia"/>
          <w:color w:val="231F20"/>
        </w:rPr>
        <w:t>Now, where else in the NT do we see these same four events?</w:t>
      </w:r>
    </w:p>
    <w:p w14:paraId="098E1B60">
      <w:pPr>
        <w:pStyle w:val="9"/>
        <w:spacing w:after="0" w:line="249" w:lineRule="auto"/>
        <w:rPr>
          <w:rFonts w:hint="eastAsia"/>
          <w:color w:val="231F20"/>
        </w:rPr>
      </w:pPr>
      <w:r>
        <w:rPr>
          <w:rFonts w:hint="eastAsia"/>
          <w:color w:val="231F20"/>
        </w:rPr>
        <w:t>现在，我们在新约的其他地方在哪里看到这四个相同的事件呢？</w:t>
      </w:r>
    </w:p>
    <w:p w14:paraId="2651CA5C">
      <w:pPr>
        <w:pStyle w:val="9"/>
        <w:spacing w:after="0" w:line="249" w:lineRule="auto"/>
        <w:rPr>
          <w:rFonts w:hint="eastAsia"/>
          <w:color w:val="231F20"/>
        </w:rPr>
      </w:pPr>
    </w:p>
    <w:p w14:paraId="708618FA">
      <w:pPr>
        <w:pStyle w:val="9"/>
        <w:spacing w:after="0" w:line="249" w:lineRule="auto"/>
        <w:rPr>
          <w:rFonts w:hint="eastAsia"/>
          <w:color w:val="231F20"/>
        </w:rPr>
      </w:pPr>
      <w:r>
        <w:rPr>
          <w:rFonts w:hint="eastAsia"/>
          <w:color w:val="231F20"/>
        </w:rPr>
        <w:t>Well, we see them in Matthew 13:37-47, a text that closely associates them with the Judgment, Cosmic Destruction, the Restoration of All Things, and the Delivering Up of the Kingdom.</w:t>
      </w:r>
    </w:p>
    <w:p w14:paraId="72D0F2DA">
      <w:pPr>
        <w:pStyle w:val="9"/>
        <w:spacing w:after="0" w:line="249" w:lineRule="auto"/>
        <w:rPr>
          <w:rFonts w:hint="eastAsia"/>
          <w:color w:val="231F20"/>
        </w:rPr>
      </w:pPr>
      <w:r>
        <w:rPr>
          <w:rFonts w:hint="eastAsia"/>
          <w:color w:val="231F20"/>
        </w:rPr>
        <w:t>嗯，我们在马太福音13:37-47中看到了它们，这段经文将它们与审判、宇宙性毁灭、万物的复兴和交出王国紧密联系在一起。</w:t>
      </w:r>
    </w:p>
    <w:p w14:paraId="496C7B54">
      <w:pPr>
        <w:pStyle w:val="9"/>
        <w:spacing w:after="0" w:line="249" w:lineRule="auto"/>
        <w:rPr>
          <w:rFonts w:hint="eastAsia"/>
          <w:color w:val="231F20"/>
        </w:rPr>
      </w:pPr>
    </w:p>
    <w:p w14:paraId="109D0EDD">
      <w:pPr>
        <w:pStyle w:val="9"/>
        <w:spacing w:after="0" w:line="249" w:lineRule="auto"/>
        <w:rPr>
          <w:rFonts w:hint="eastAsia"/>
          <w:color w:val="231F20"/>
        </w:rPr>
      </w:pPr>
      <w:r>
        <w:rPr>
          <w:rFonts w:hint="eastAsia"/>
          <w:color w:val="231F20"/>
        </w:rPr>
        <w:t>Moreover, we find much the same thing in the Olivet Discourse (Mt. 24-25) and in 1 Corinthians 15.</w:t>
      </w:r>
    </w:p>
    <w:p w14:paraId="6AB169D8">
      <w:pPr>
        <w:pStyle w:val="9"/>
        <w:spacing w:after="0" w:line="249" w:lineRule="auto"/>
        <w:rPr>
          <w:rFonts w:hint="eastAsia"/>
          <w:color w:val="231F20"/>
        </w:rPr>
      </w:pPr>
      <w:r>
        <w:rPr>
          <w:rFonts w:hint="eastAsia"/>
          <w:color w:val="231F20"/>
        </w:rPr>
        <w:t>此外，我们在橄榄山论述（太24-25）和哥林多前书第15章中也发现了大致相同的内容。</w:t>
      </w:r>
    </w:p>
    <w:p w14:paraId="081F6830">
      <w:pPr>
        <w:pStyle w:val="9"/>
        <w:spacing w:after="0" w:line="249" w:lineRule="auto"/>
        <w:rPr>
          <w:rFonts w:hint="eastAsia"/>
          <w:color w:val="231F20"/>
        </w:rPr>
      </w:pPr>
    </w:p>
    <w:p w14:paraId="33331B8C">
      <w:pPr>
        <w:pStyle w:val="9"/>
        <w:spacing w:after="0" w:line="249" w:lineRule="auto"/>
        <w:rPr>
          <w:rFonts w:hint="eastAsia"/>
          <w:color w:val="231F20"/>
        </w:rPr>
      </w:pPr>
      <w:r>
        <w:rPr>
          <w:rFonts w:hint="eastAsia"/>
          <w:color w:val="231F20"/>
        </w:rPr>
        <w:t>In short, our table supplies us with three closely parallel passages, passages that enable us to fill in all the boxes beside 1 Thess. 4:13-18, and that illuminate Paul’s true eschatological outlook in 1 Thess. 4.</w:t>
      </w:r>
    </w:p>
    <w:p w14:paraId="30B1DFC6">
      <w:pPr>
        <w:pStyle w:val="9"/>
        <w:spacing w:after="0" w:line="249" w:lineRule="auto"/>
        <w:rPr>
          <w:rFonts w:hint="eastAsia"/>
          <w:color w:val="231F20"/>
        </w:rPr>
      </w:pPr>
      <w:r>
        <w:rPr>
          <w:rFonts w:hint="eastAsia"/>
          <w:color w:val="231F20"/>
        </w:rPr>
        <w:t>简而言之，我们的图表为我们提供了三段密切平行的经文，这些经文使我们能够填补帖撒罗尼迦前书4:13-18旁边的所有方框，并阐明了保罗在帖撒罗尼迦前书第4章中真正的末世论观点。</w:t>
      </w:r>
    </w:p>
    <w:p w14:paraId="257BE35D">
      <w:pPr>
        <w:pStyle w:val="9"/>
        <w:spacing w:after="0" w:line="249" w:lineRule="auto"/>
        <w:rPr>
          <w:rFonts w:hint="eastAsia"/>
          <w:color w:val="231F20"/>
        </w:rPr>
      </w:pPr>
    </w:p>
    <w:p w14:paraId="1867F197">
      <w:pPr>
        <w:pStyle w:val="9"/>
        <w:spacing w:after="0" w:line="249" w:lineRule="auto"/>
        <w:rPr>
          <w:rFonts w:hint="eastAsia"/>
          <w:color w:val="231F20"/>
        </w:rPr>
      </w:pPr>
      <w:r>
        <w:rPr>
          <w:rFonts w:hint="eastAsia"/>
          <w:color w:val="231F20"/>
        </w:rPr>
        <w:t>Most assuredly, it was not the dispensational outlook.</w:t>
      </w:r>
    </w:p>
    <w:p w14:paraId="7417F6B1">
      <w:pPr>
        <w:pStyle w:val="9"/>
        <w:spacing w:after="0" w:line="249" w:lineRule="auto"/>
        <w:rPr>
          <w:rFonts w:hint="eastAsia"/>
          <w:color w:val="231F20"/>
        </w:rPr>
      </w:pPr>
      <w:r>
        <w:rPr>
          <w:rFonts w:hint="eastAsia"/>
          <w:color w:val="231F20"/>
        </w:rPr>
        <w:t>最肯定的是，那不是时代论的观点。</w:t>
      </w:r>
    </w:p>
    <w:p w14:paraId="2F665AED">
      <w:pPr>
        <w:pStyle w:val="9"/>
        <w:spacing w:after="0" w:line="249" w:lineRule="auto"/>
        <w:rPr>
          <w:rFonts w:hint="eastAsia"/>
          <w:color w:val="231F20"/>
        </w:rPr>
      </w:pPr>
    </w:p>
    <w:p w14:paraId="6C84A098">
      <w:pPr>
        <w:pStyle w:val="9"/>
        <w:spacing w:after="0" w:line="249" w:lineRule="auto"/>
        <w:rPr>
          <w:rFonts w:hint="eastAsia"/>
          <w:color w:val="231F20"/>
        </w:rPr>
      </w:pPr>
      <w:r>
        <w:rPr>
          <w:rFonts w:hint="eastAsia"/>
          <w:color w:val="231F20"/>
        </w:rPr>
        <w:t>Rather, our table informs us that Paul—like the Master he served—clearly presupposed a single (very visible, very audible, and very public) Consummation at the Second Coming of Christ.</w:t>
      </w:r>
    </w:p>
    <w:p w14:paraId="6A53B5CC">
      <w:pPr>
        <w:pStyle w:val="9"/>
        <w:spacing w:after="0" w:line="249" w:lineRule="auto"/>
        <w:rPr>
          <w:rFonts w:hint="eastAsia"/>
          <w:color w:val="231F20"/>
        </w:rPr>
      </w:pPr>
      <w:r>
        <w:rPr>
          <w:rFonts w:hint="eastAsia"/>
          <w:color w:val="231F20"/>
        </w:rPr>
        <w:t>相反，我们的图表告诉我们，保罗——像他所事奉的主一样——清楚地预设了在基督第二次降临时，有一次单一的（非常可见、非常可闻、非常公开的）最终成全。</w:t>
      </w:r>
    </w:p>
    <w:p w14:paraId="3F7DDD47">
      <w:pPr>
        <w:pStyle w:val="9"/>
        <w:spacing w:after="0" w:line="249" w:lineRule="auto"/>
        <w:rPr>
          <w:rFonts w:hint="eastAsia"/>
          <w:color w:val="231F20"/>
        </w:rPr>
      </w:pPr>
    </w:p>
    <w:p w14:paraId="0C7C37AD">
      <w:pPr>
        <w:pStyle w:val="9"/>
        <w:spacing w:after="0" w:line="249" w:lineRule="auto"/>
        <w:rPr>
          <w:rFonts w:hint="eastAsia"/>
          <w:color w:val="231F20"/>
        </w:rPr>
      </w:pPr>
      <w:r>
        <w:rPr>
          <w:rFonts w:hint="eastAsia"/>
          <w:color w:val="231F20"/>
        </w:rPr>
        <w:t>Now let us consider a final example.</w:t>
      </w:r>
    </w:p>
    <w:p w14:paraId="265EB9F9">
      <w:pPr>
        <w:pStyle w:val="9"/>
        <w:spacing w:after="0" w:line="249" w:lineRule="auto"/>
        <w:rPr>
          <w:rFonts w:hint="eastAsia"/>
          <w:color w:val="231F20"/>
        </w:rPr>
      </w:pPr>
      <w:r>
        <w:rPr>
          <w:rFonts w:hint="eastAsia"/>
          <w:color w:val="231F20"/>
        </w:rPr>
        <w:t>现在让我们来看最后一个例子。</w:t>
      </w:r>
    </w:p>
    <w:p w14:paraId="064E53D5">
      <w:pPr>
        <w:pStyle w:val="9"/>
        <w:spacing w:after="0" w:line="249" w:lineRule="auto"/>
        <w:rPr>
          <w:rFonts w:hint="eastAsia"/>
          <w:color w:val="231F20"/>
        </w:rPr>
      </w:pPr>
    </w:p>
    <w:p w14:paraId="0436AA37">
      <w:pPr>
        <w:pStyle w:val="9"/>
        <w:spacing w:after="0" w:line="249" w:lineRule="auto"/>
        <w:rPr>
          <w:rFonts w:hint="eastAsia"/>
          <w:color w:val="231F20"/>
        </w:rPr>
      </w:pPr>
      <w:r>
        <w:rPr>
          <w:rFonts w:hint="eastAsia"/>
          <w:color w:val="231F20"/>
        </w:rPr>
        <w:t>In John 5:21-29 the Lord says nothing about cosmic destruction, cosmic restoration, or the Delivery of the Kingdom to the Father.</w:t>
      </w:r>
    </w:p>
    <w:p w14:paraId="2B96DC7A">
      <w:pPr>
        <w:pStyle w:val="9"/>
        <w:spacing w:after="0" w:line="249" w:lineRule="auto"/>
        <w:rPr>
          <w:rFonts w:hint="eastAsia"/>
          <w:color w:val="231F20"/>
        </w:rPr>
      </w:pPr>
      <w:r>
        <w:rPr>
          <w:rFonts w:hint="eastAsia"/>
          <w:color w:val="231F20"/>
        </w:rPr>
        <w:t>在约翰福音5:21-29中，主没有说任何关于宇宙性毁灭、宇宙性恢复，或将国度交与父的事。</w:t>
      </w:r>
    </w:p>
    <w:p w14:paraId="20A29F56">
      <w:pPr>
        <w:pStyle w:val="9"/>
        <w:spacing w:after="0" w:line="249" w:lineRule="auto"/>
        <w:rPr>
          <w:rFonts w:hint="eastAsia"/>
          <w:color w:val="231F20"/>
        </w:rPr>
      </w:pPr>
    </w:p>
    <w:p w14:paraId="1C694DE8">
      <w:pPr>
        <w:pStyle w:val="9"/>
        <w:spacing w:after="0" w:line="249" w:lineRule="auto"/>
        <w:rPr>
          <w:rFonts w:hint="eastAsia"/>
          <w:color w:val="231F20"/>
        </w:rPr>
      </w:pPr>
      <w:r>
        <w:rPr>
          <w:rFonts w:hint="eastAsia"/>
          <w:color w:val="231F20"/>
        </w:rPr>
        <w:t>He does, however, address the Resurrection and the Judgment.</w:t>
      </w:r>
    </w:p>
    <w:p w14:paraId="77AB1655">
      <w:pPr>
        <w:pStyle w:val="9"/>
        <w:spacing w:after="0" w:line="249" w:lineRule="auto"/>
        <w:rPr>
          <w:rFonts w:hint="eastAsia"/>
          <w:color w:val="231F20"/>
        </w:rPr>
      </w:pPr>
      <w:r>
        <w:rPr>
          <w:rFonts w:hint="eastAsia"/>
          <w:color w:val="231F20"/>
        </w:rPr>
        <w:t>然而，祂确实谈到了复活和审判。</w:t>
      </w:r>
    </w:p>
    <w:p w14:paraId="46A353ED">
      <w:pPr>
        <w:pStyle w:val="9"/>
        <w:spacing w:after="0" w:line="249" w:lineRule="auto"/>
        <w:rPr>
          <w:rFonts w:hint="eastAsia"/>
          <w:color w:val="231F20"/>
        </w:rPr>
      </w:pPr>
    </w:p>
    <w:p w14:paraId="2C9DC9D6">
      <w:pPr>
        <w:pStyle w:val="9"/>
        <w:spacing w:after="0" w:line="249" w:lineRule="auto"/>
        <w:rPr>
          <w:rFonts w:hint="eastAsia"/>
          <w:color w:val="231F20"/>
        </w:rPr>
      </w:pPr>
      <w:r>
        <w:rPr>
          <w:rFonts w:hint="eastAsia"/>
          <w:color w:val="231F20"/>
        </w:rPr>
        <w:t>So too does Paul in 1 Corinthians 15.</w:t>
      </w:r>
    </w:p>
    <w:p w14:paraId="0945C5CF">
      <w:pPr>
        <w:pStyle w:val="9"/>
        <w:spacing w:after="0" w:line="249" w:lineRule="auto"/>
        <w:rPr>
          <w:rFonts w:hint="eastAsia"/>
          <w:color w:val="231F20"/>
        </w:rPr>
      </w:pPr>
      <w:r>
        <w:rPr>
          <w:rFonts w:hint="eastAsia"/>
          <w:color w:val="231F20"/>
        </w:rPr>
        <w:t>保罗在哥林多前书第15章也同样如此。</w:t>
      </w:r>
    </w:p>
    <w:p w14:paraId="0ACC9098">
      <w:pPr>
        <w:pStyle w:val="9"/>
        <w:spacing w:after="0" w:line="249" w:lineRule="auto"/>
        <w:rPr>
          <w:rFonts w:hint="eastAsia"/>
          <w:color w:val="231F20"/>
        </w:rPr>
      </w:pPr>
    </w:p>
    <w:p w14:paraId="03C86BFF">
      <w:pPr>
        <w:pStyle w:val="9"/>
        <w:spacing w:after="0" w:line="249" w:lineRule="auto"/>
        <w:rPr>
          <w:rFonts w:hint="eastAsia"/>
          <w:color w:val="231F20"/>
        </w:rPr>
      </w:pPr>
      <w:r>
        <w:rPr>
          <w:rFonts w:hint="eastAsia"/>
          <w:color w:val="231F20"/>
        </w:rPr>
        <w:t>Paul, however, associates the Resurrection and the Judgment with cosmic destruction, cosmic restoration, the Delivery of the Kingdom … and associates all of these with the Parousia, as well!</w:t>
      </w:r>
    </w:p>
    <w:p w14:paraId="707D0C4D">
      <w:pPr>
        <w:pStyle w:val="9"/>
        <w:spacing w:after="0" w:line="249" w:lineRule="auto"/>
        <w:rPr>
          <w:rFonts w:hint="eastAsia"/>
          <w:color w:val="231F20"/>
        </w:rPr>
      </w:pPr>
      <w:r>
        <w:rPr>
          <w:rFonts w:hint="eastAsia"/>
          <w:color w:val="231F20"/>
        </w:rPr>
        <w:t>然而，保罗将复活和审判与宇宙性毁灭、宇宙性恢复、交出王国……联系在一起，并且也将所有这些都与主临（Parousia）联系在一起！</w:t>
      </w:r>
    </w:p>
    <w:p w14:paraId="49C32F30">
      <w:pPr>
        <w:pStyle w:val="9"/>
        <w:spacing w:after="0" w:line="249" w:lineRule="auto"/>
        <w:rPr>
          <w:rFonts w:hint="eastAsia"/>
          <w:color w:val="231F20"/>
        </w:rPr>
      </w:pPr>
    </w:p>
    <w:p w14:paraId="146CB569">
      <w:pPr>
        <w:pStyle w:val="9"/>
        <w:spacing w:after="0" w:line="249" w:lineRule="auto"/>
        <w:rPr>
          <w:rFonts w:hint="eastAsia"/>
          <w:color w:val="231F20"/>
        </w:rPr>
      </w:pPr>
      <w:r>
        <w:rPr>
          <w:rFonts w:hint="eastAsia"/>
          <w:color w:val="231F20"/>
        </w:rPr>
        <w:t>Similarly, Peter, like his Master, speaks of the Judgment.</w:t>
      </w:r>
    </w:p>
    <w:p w14:paraId="712B19F2">
      <w:pPr>
        <w:pStyle w:val="9"/>
        <w:spacing w:after="0" w:line="249" w:lineRule="auto"/>
        <w:rPr>
          <w:rFonts w:hint="eastAsia"/>
          <w:color w:val="231F20"/>
        </w:rPr>
      </w:pPr>
      <w:r>
        <w:rPr>
          <w:rFonts w:hint="eastAsia"/>
          <w:color w:val="231F20"/>
        </w:rPr>
        <w:t>同样，彼得，像他的主一样，也谈到了审判。</w:t>
      </w:r>
    </w:p>
    <w:p w14:paraId="75C79E7E">
      <w:pPr>
        <w:pStyle w:val="9"/>
        <w:spacing w:after="0" w:line="249" w:lineRule="auto"/>
        <w:rPr>
          <w:rFonts w:hint="eastAsia"/>
          <w:color w:val="231F20"/>
        </w:rPr>
      </w:pPr>
    </w:p>
    <w:p w14:paraId="6203171D">
      <w:pPr>
        <w:pStyle w:val="9"/>
        <w:spacing w:after="0" w:line="249" w:lineRule="auto"/>
        <w:rPr>
          <w:rFonts w:hint="eastAsia"/>
          <w:color w:val="231F20"/>
        </w:rPr>
      </w:pPr>
      <w:r>
        <w:rPr>
          <w:rFonts w:hint="eastAsia"/>
          <w:color w:val="231F20"/>
        </w:rPr>
        <w:t>But like Paul, he also associates it with cosmic destruction, cosmic restoration … and the Parousia (2 Peter 3:1-13).</w:t>
      </w:r>
    </w:p>
    <w:p w14:paraId="0B54BDB3">
      <w:pPr>
        <w:pStyle w:val="9"/>
        <w:spacing w:after="0" w:line="249" w:lineRule="auto"/>
        <w:rPr>
          <w:rFonts w:hint="eastAsia"/>
          <w:color w:val="231F20"/>
        </w:rPr>
      </w:pPr>
      <w:r>
        <w:rPr>
          <w:rFonts w:hint="eastAsia"/>
          <w:color w:val="231F20"/>
        </w:rPr>
        <w:t>但像保罗一样，他也将其与宇宙性毁灭、宇宙性恢复……以及主临（Parousia）联系在一起（彼得后书3:1-13）。</w:t>
      </w:r>
    </w:p>
    <w:p w14:paraId="4A0FEA32">
      <w:pPr>
        <w:pStyle w:val="9"/>
        <w:spacing w:after="0" w:line="249" w:lineRule="auto"/>
        <w:rPr>
          <w:rFonts w:hint="eastAsia"/>
          <w:color w:val="231F20"/>
        </w:rPr>
      </w:pPr>
    </w:p>
    <w:p w14:paraId="058356C2">
      <w:pPr>
        <w:pStyle w:val="9"/>
        <w:spacing w:after="0" w:line="249" w:lineRule="auto"/>
        <w:rPr>
          <w:rFonts w:hint="eastAsia"/>
          <w:color w:val="231F20"/>
        </w:rPr>
      </w:pPr>
      <w:r>
        <w:rPr>
          <w:rFonts w:hint="eastAsia"/>
          <w:color w:val="231F20"/>
        </w:rPr>
        <w:t>We see, then, that Jesus, Paul, and Peter were all referring to the same multi-faceted Momentous Event, but describing it from different angles, for different purposes, and with different emphases.</w:t>
      </w:r>
    </w:p>
    <w:p w14:paraId="2C2A87B9">
      <w:pPr>
        <w:pStyle w:val="9"/>
        <w:spacing w:after="0" w:line="249" w:lineRule="auto"/>
        <w:rPr>
          <w:rFonts w:hint="eastAsia"/>
          <w:color w:val="231F20"/>
        </w:rPr>
      </w:pPr>
      <w:r>
        <w:rPr>
          <w:rFonts w:hint="eastAsia"/>
          <w:color w:val="231F20"/>
        </w:rPr>
        <w:t>因此，我们看到，耶稣、保罗和彼得都在指同一个多方面的重大事件，但从不同的角度、为了不同的目的、并以不同的重点来描述它。</w:t>
      </w:r>
    </w:p>
    <w:p w14:paraId="0636D5F7">
      <w:pPr>
        <w:pStyle w:val="9"/>
        <w:spacing w:after="0" w:line="249" w:lineRule="auto"/>
        <w:rPr>
          <w:rFonts w:hint="eastAsia"/>
          <w:color w:val="231F20"/>
        </w:rPr>
      </w:pPr>
    </w:p>
    <w:p w14:paraId="1ED2C2F9">
      <w:pPr>
        <w:pStyle w:val="9"/>
        <w:spacing w:after="0" w:line="249" w:lineRule="auto"/>
        <w:rPr>
          <w:rFonts w:hint="eastAsia"/>
          <w:color w:val="231F20"/>
        </w:rPr>
      </w:pPr>
      <w:r>
        <w:rPr>
          <w:rFonts w:hint="eastAsia"/>
          <w:color w:val="231F20"/>
        </w:rPr>
        <w:t>The upshot of all this is clear: These 15 texts are parallel.</w:t>
      </w:r>
    </w:p>
    <w:p w14:paraId="15F79862">
      <w:pPr>
        <w:pStyle w:val="9"/>
        <w:spacing w:after="0" w:line="249" w:lineRule="auto"/>
        <w:rPr>
          <w:rFonts w:hint="eastAsia"/>
          <w:color w:val="231F20"/>
        </w:rPr>
      </w:pPr>
      <w:r>
        <w:rPr>
          <w:rFonts w:hint="eastAsia"/>
          <w:color w:val="231F20"/>
        </w:rPr>
        <w:t>这一切的结果是清楚的：这15段经文是平行的。</w:t>
      </w:r>
    </w:p>
    <w:p w14:paraId="0CB62D05">
      <w:pPr>
        <w:pStyle w:val="9"/>
        <w:spacing w:after="0" w:line="249" w:lineRule="auto"/>
        <w:rPr>
          <w:rFonts w:hint="eastAsia"/>
          <w:color w:val="231F20"/>
        </w:rPr>
      </w:pPr>
    </w:p>
    <w:p w14:paraId="49CCB351">
      <w:pPr>
        <w:pStyle w:val="9"/>
        <w:spacing w:after="0" w:line="249" w:lineRule="auto"/>
        <w:rPr>
          <w:rFonts w:hint="eastAsia"/>
          <w:color w:val="231F20"/>
        </w:rPr>
      </w:pPr>
      <w:r>
        <w:rPr>
          <w:rFonts w:hint="eastAsia"/>
          <w:color w:val="231F20"/>
        </w:rPr>
        <w:t>All the texts —and all the writers who wrote them—are referring to the same Momentous Eschatological Event.</w:t>
      </w:r>
    </w:p>
    <w:p w14:paraId="128CF8AC">
      <w:pPr>
        <w:pStyle w:val="9"/>
        <w:spacing w:after="0" w:line="249" w:lineRule="auto"/>
        <w:rPr>
          <w:rFonts w:hint="eastAsia"/>
          <w:color w:val="231F20"/>
        </w:rPr>
      </w:pPr>
      <w:r>
        <w:rPr>
          <w:rFonts w:hint="eastAsia"/>
          <w:color w:val="231F20"/>
        </w:rPr>
        <w:t>所有的经文——以及所有写下它们的作者——都在指同一个重大的末世事件。</w:t>
      </w:r>
    </w:p>
    <w:p w14:paraId="4C22871A">
      <w:pPr>
        <w:pStyle w:val="9"/>
        <w:spacing w:after="0" w:line="249" w:lineRule="auto"/>
        <w:rPr>
          <w:rFonts w:hint="eastAsia"/>
          <w:color w:val="231F20"/>
        </w:rPr>
      </w:pPr>
    </w:p>
    <w:p w14:paraId="317EEAEC">
      <w:pPr>
        <w:pStyle w:val="9"/>
        <w:spacing w:after="0" w:line="249" w:lineRule="auto"/>
        <w:rPr>
          <w:rFonts w:hint="eastAsia"/>
          <w:color w:val="231F20"/>
        </w:rPr>
      </w:pPr>
      <w:r>
        <w:rPr>
          <w:rFonts w:hint="eastAsia"/>
          <w:color w:val="231F20"/>
        </w:rPr>
        <w:t>How do we know this?</w:t>
      </w:r>
    </w:p>
    <w:p w14:paraId="6C05D442">
      <w:pPr>
        <w:pStyle w:val="9"/>
        <w:spacing w:after="0" w:line="249" w:lineRule="auto"/>
        <w:rPr>
          <w:rFonts w:hint="eastAsia"/>
          <w:color w:val="231F20"/>
        </w:rPr>
      </w:pPr>
      <w:r>
        <w:rPr>
          <w:rFonts w:hint="eastAsia"/>
          <w:color w:val="231F20"/>
        </w:rPr>
        <w:t>我们如何知道这一点？</w:t>
      </w:r>
    </w:p>
    <w:p w14:paraId="070FCD69">
      <w:pPr>
        <w:pStyle w:val="9"/>
        <w:spacing w:after="0" w:line="249" w:lineRule="auto"/>
        <w:rPr>
          <w:rFonts w:hint="eastAsia"/>
          <w:color w:val="231F20"/>
        </w:rPr>
      </w:pPr>
    </w:p>
    <w:p w14:paraId="012B669D">
      <w:pPr>
        <w:pStyle w:val="9"/>
        <w:spacing w:after="0" w:line="249" w:lineRule="auto"/>
        <w:rPr>
          <w:rFonts w:hint="eastAsia"/>
          <w:color w:val="231F20"/>
        </w:rPr>
      </w:pPr>
      <w:r>
        <w:rPr>
          <w:rFonts w:hint="eastAsia"/>
          <w:color w:val="231F20"/>
        </w:rPr>
        <w:t>Again, we know it because none of the writers ever said a single word about multiple Comings and multiple Consummations.</w:t>
      </w:r>
    </w:p>
    <w:p w14:paraId="31BAFE4B">
      <w:pPr>
        <w:pStyle w:val="9"/>
        <w:spacing w:after="0" w:line="249" w:lineRule="auto"/>
        <w:rPr>
          <w:rFonts w:hint="eastAsia"/>
          <w:color w:val="231F20"/>
        </w:rPr>
      </w:pPr>
      <w:r>
        <w:rPr>
          <w:rFonts w:hint="eastAsia"/>
          <w:color w:val="231F20"/>
        </w:rPr>
        <w:t>再次，我们知道这一点，因为没有一位作者曾说过任何关于多次降临和多次最终成全的话。</w:t>
      </w:r>
    </w:p>
    <w:p w14:paraId="299C163B">
      <w:pPr>
        <w:pStyle w:val="9"/>
        <w:spacing w:after="0" w:line="249" w:lineRule="auto"/>
        <w:rPr>
          <w:rFonts w:hint="eastAsia"/>
          <w:color w:val="231F20"/>
        </w:rPr>
      </w:pPr>
    </w:p>
    <w:p w14:paraId="36CEC2DC">
      <w:pPr>
        <w:pStyle w:val="9"/>
        <w:spacing w:after="0" w:line="249" w:lineRule="auto"/>
        <w:rPr>
          <w:rFonts w:hint="eastAsia"/>
          <w:color w:val="231F20"/>
        </w:rPr>
      </w:pPr>
      <w:r>
        <w:rPr>
          <w:rFonts w:hint="eastAsia"/>
          <w:color w:val="231F20"/>
        </w:rPr>
        <w:t>But beyond this, we know it from the way in which their statements overlap one another.</w:t>
      </w:r>
    </w:p>
    <w:p w14:paraId="1D43B8DC">
      <w:pPr>
        <w:pStyle w:val="9"/>
        <w:spacing w:after="0" w:line="249" w:lineRule="auto"/>
        <w:rPr>
          <w:rFonts w:hint="eastAsia"/>
          <w:color w:val="231F20"/>
        </w:rPr>
      </w:pPr>
      <w:r>
        <w:rPr>
          <w:rFonts w:hint="eastAsia"/>
          <w:color w:val="231F20"/>
        </w:rPr>
        <w:t>但除此之外，我们从他们陈述相互重叠的方式知道这一点。</w:t>
      </w:r>
    </w:p>
    <w:p w14:paraId="66510054">
      <w:pPr>
        <w:pStyle w:val="9"/>
        <w:spacing w:after="0" w:line="249" w:lineRule="auto"/>
        <w:rPr>
          <w:rFonts w:hint="eastAsia"/>
          <w:color w:val="231F20"/>
        </w:rPr>
      </w:pPr>
    </w:p>
    <w:p w14:paraId="0AE35009">
      <w:pPr>
        <w:pStyle w:val="9"/>
        <w:spacing w:after="0" w:line="249" w:lineRule="auto"/>
        <w:rPr>
          <w:rFonts w:hint="eastAsia"/>
          <w:color w:val="231F20"/>
        </w:rPr>
      </w:pPr>
      <w:r>
        <w:rPr>
          <w:rFonts w:hint="eastAsia"/>
          <w:color w:val="231F20"/>
        </w:rPr>
        <w:t>We know it because shared references to one or more elements of the Consummation positively force us to conclude that all the NT writers do indeed presuppose a single Consummation set to occur at the one Parousia of the Lord Jesus Christ.</w:t>
      </w:r>
    </w:p>
    <w:p w14:paraId="7F2D028F">
      <w:pPr>
        <w:pStyle w:val="9"/>
        <w:spacing w:after="0" w:line="249" w:lineRule="auto"/>
        <w:rPr>
          <w:rFonts w:hint="eastAsia"/>
          <w:color w:val="231F20"/>
        </w:rPr>
      </w:pPr>
      <w:r>
        <w:rPr>
          <w:rFonts w:hint="eastAsia"/>
          <w:color w:val="231F20"/>
        </w:rPr>
        <w:t>我们知道这一点，因为对最终成全一个或多个要素的共同引用，明确地迫使我们得出结论，即所有新约作者确实都预设了一个单一的最终成全，将在主耶稣基督的一次主临（Parousia）时发生。</w:t>
      </w:r>
    </w:p>
    <w:p w14:paraId="58CFF216">
      <w:pPr>
        <w:pStyle w:val="9"/>
        <w:spacing w:after="0" w:line="249" w:lineRule="auto"/>
        <w:rPr>
          <w:rFonts w:hint="eastAsia"/>
          <w:color w:val="231F20"/>
        </w:rPr>
      </w:pPr>
    </w:p>
    <w:p w14:paraId="28615087">
      <w:pPr>
        <w:pStyle w:val="9"/>
        <w:spacing w:after="0" w:line="249" w:lineRule="auto"/>
        <w:rPr>
          <w:rFonts w:hint="eastAsia"/>
          <w:color w:val="231F20"/>
        </w:rPr>
      </w:pPr>
      <w:r>
        <w:rPr>
          <w:rFonts w:hint="eastAsia"/>
          <w:color w:val="231F20"/>
        </w:rPr>
        <w:t>Conclusion</w:t>
      </w:r>
    </w:p>
    <w:p w14:paraId="4E01A222">
      <w:pPr>
        <w:pStyle w:val="9"/>
        <w:spacing w:after="0" w:line="249" w:lineRule="auto"/>
        <w:rPr>
          <w:rFonts w:hint="eastAsia"/>
          <w:color w:val="231F20"/>
        </w:rPr>
      </w:pPr>
      <w:r>
        <w:rPr>
          <w:rFonts w:hint="eastAsia"/>
          <w:color w:val="231F20"/>
        </w:rPr>
        <w:t>结论</w:t>
      </w:r>
    </w:p>
    <w:p w14:paraId="70934DF9">
      <w:pPr>
        <w:pStyle w:val="9"/>
        <w:spacing w:after="0" w:line="249" w:lineRule="auto"/>
        <w:rPr>
          <w:rFonts w:hint="eastAsia"/>
          <w:color w:val="231F20"/>
        </w:rPr>
      </w:pPr>
    </w:p>
    <w:p w14:paraId="2DE7FF4A">
      <w:pPr>
        <w:pStyle w:val="9"/>
        <w:spacing w:after="0" w:line="249" w:lineRule="auto"/>
        <w:rPr>
          <w:rFonts w:hint="eastAsia"/>
          <w:color w:val="231F20"/>
        </w:rPr>
      </w:pPr>
      <w:r>
        <w:rPr>
          <w:rFonts w:hint="eastAsia"/>
          <w:color w:val="231F20"/>
        </w:rPr>
        <w:t>Our theme in this chapter has been the design, structure, and unity of the Consummation.</w:t>
      </w:r>
    </w:p>
    <w:p w14:paraId="1AEA7A88">
      <w:pPr>
        <w:pStyle w:val="9"/>
        <w:spacing w:after="0" w:line="249" w:lineRule="auto"/>
        <w:rPr>
          <w:rFonts w:hint="eastAsia"/>
          <w:color w:val="231F20"/>
        </w:rPr>
      </w:pPr>
      <w:r>
        <w:rPr>
          <w:rFonts w:hint="eastAsia"/>
          <w:color w:val="231F20"/>
        </w:rPr>
        <w:t>本章的主题是最终成全的设计、结构和统一性。</w:t>
      </w:r>
    </w:p>
    <w:p w14:paraId="12727561">
      <w:pPr>
        <w:pStyle w:val="9"/>
        <w:spacing w:after="0" w:line="249" w:lineRule="auto"/>
        <w:rPr>
          <w:rFonts w:hint="eastAsia"/>
          <w:color w:val="231F20"/>
        </w:rPr>
      </w:pPr>
    </w:p>
    <w:p w14:paraId="1CFA951B">
      <w:pPr>
        <w:pStyle w:val="9"/>
        <w:spacing w:after="0" w:line="249" w:lineRule="auto"/>
        <w:rPr>
          <w:rFonts w:hint="eastAsia"/>
          <w:color w:val="231F20"/>
        </w:rPr>
      </w:pPr>
      <w:r>
        <w:rPr>
          <w:rFonts w:hint="eastAsia"/>
          <w:color w:val="231F20"/>
        </w:rPr>
        <w:t>We began by defining the Consummation as the goal or wrap-up of Salvation History, and also as the cosmic hinge upon which the present evil age swings into the Age (or World) to Come.</w:t>
      </w:r>
    </w:p>
    <w:p w14:paraId="32BED713">
      <w:pPr>
        <w:pStyle w:val="9"/>
        <w:spacing w:after="0" w:line="249" w:lineRule="auto"/>
        <w:rPr>
          <w:rFonts w:hint="eastAsia"/>
          <w:color w:val="231F20"/>
        </w:rPr>
      </w:pPr>
      <w:r>
        <w:rPr>
          <w:rFonts w:hint="eastAsia"/>
          <w:color w:val="231F20"/>
        </w:rPr>
        <w:t>我们开始时将最终的成全定义为救赎历史的目标或总结，也定义为现今邪恶世代转向将来的世代（或世界）的宇宙枢纽。</w:t>
      </w:r>
    </w:p>
    <w:p w14:paraId="7B25D2FA">
      <w:pPr>
        <w:pStyle w:val="9"/>
        <w:spacing w:after="0" w:line="249" w:lineRule="auto"/>
        <w:rPr>
          <w:rFonts w:hint="eastAsia"/>
          <w:color w:val="231F20"/>
        </w:rPr>
      </w:pPr>
    </w:p>
    <w:p w14:paraId="44A66A62">
      <w:pPr>
        <w:pStyle w:val="9"/>
        <w:spacing w:after="0" w:line="249" w:lineRule="auto"/>
        <w:rPr>
          <w:rFonts w:hint="eastAsia"/>
          <w:color w:val="231F20"/>
        </w:rPr>
      </w:pPr>
      <w:r>
        <w:rPr>
          <w:rFonts w:hint="eastAsia"/>
          <w:color w:val="231F20"/>
        </w:rPr>
        <w:t>Next, we explored the design of the Consummation.</w:t>
      </w:r>
    </w:p>
    <w:p w14:paraId="43EBE608">
      <w:pPr>
        <w:pStyle w:val="9"/>
        <w:spacing w:after="0" w:line="249" w:lineRule="auto"/>
        <w:rPr>
          <w:rFonts w:hint="eastAsia"/>
          <w:color w:val="231F20"/>
        </w:rPr>
      </w:pPr>
      <w:r>
        <w:rPr>
          <w:rFonts w:hint="eastAsia"/>
          <w:color w:val="231F20"/>
        </w:rPr>
        <w:t>接着，我们探讨了最终成全的设计。</w:t>
      </w:r>
    </w:p>
    <w:p w14:paraId="55594D25">
      <w:pPr>
        <w:pStyle w:val="9"/>
        <w:spacing w:after="0" w:line="249" w:lineRule="auto"/>
        <w:rPr>
          <w:rFonts w:hint="eastAsia"/>
          <w:color w:val="231F20"/>
        </w:rPr>
      </w:pPr>
    </w:p>
    <w:p w14:paraId="35A61024">
      <w:pPr>
        <w:pStyle w:val="9"/>
        <w:spacing w:after="0" w:line="249" w:lineRule="auto"/>
        <w:rPr>
          <w:rFonts w:hint="eastAsia"/>
          <w:color w:val="231F20"/>
        </w:rPr>
      </w:pPr>
      <w:r>
        <w:rPr>
          <w:rFonts w:hint="eastAsia"/>
          <w:color w:val="231F20"/>
        </w:rPr>
        <w:t>We saw that here God means to: (1) bring the present evil age to a close, (2) vindicate the truth of the Gospel, (3) secure an administration of perfect justice through the final judgment of all men and angels, (4) complete the redemption of all who are in Christ, and (5) bestow the maximum possible glory upon his beloved Son.</w:t>
      </w:r>
    </w:p>
    <w:p w14:paraId="7AD4F1C3">
      <w:pPr>
        <w:pStyle w:val="9"/>
        <w:spacing w:after="0" w:line="249" w:lineRule="auto"/>
        <w:rPr>
          <w:rFonts w:hint="eastAsia"/>
          <w:color w:val="231F20"/>
        </w:rPr>
      </w:pPr>
      <w:r>
        <w:rPr>
          <w:rFonts w:hint="eastAsia"/>
          <w:color w:val="231F20"/>
        </w:rPr>
        <w:t>我们看到上帝在这里意在：（1）结束现今邪恶的世代，（2）证实福音的真理，（3）通过对所有人和天使的最后审判来确保一次完全公义的施行，（4）完成所有在基督里之人的救赎，以及（5）将最大可能的荣耀赐给祂的爱子。</w:t>
      </w:r>
    </w:p>
    <w:p w14:paraId="0D8CA87D">
      <w:pPr>
        <w:pStyle w:val="9"/>
        <w:spacing w:after="0" w:line="249" w:lineRule="auto"/>
        <w:rPr>
          <w:rFonts w:hint="eastAsia"/>
          <w:color w:val="231F20"/>
        </w:rPr>
      </w:pPr>
    </w:p>
    <w:p w14:paraId="4ACCA4F3">
      <w:pPr>
        <w:pStyle w:val="9"/>
        <w:spacing w:after="0" w:line="249" w:lineRule="auto"/>
        <w:rPr>
          <w:rFonts w:hint="eastAsia"/>
          <w:color w:val="231F20"/>
        </w:rPr>
      </w:pPr>
      <w:r>
        <w:rPr>
          <w:rFonts w:hint="eastAsia"/>
          <w:color w:val="231F20"/>
        </w:rPr>
        <w:t>With regard to the glorification of his Son, we saw that God will accomplish this by making Christ the living center of the Consummation.</w:t>
      </w:r>
    </w:p>
    <w:p w14:paraId="49CEEED9">
      <w:pPr>
        <w:pStyle w:val="9"/>
        <w:spacing w:after="0" w:line="249" w:lineRule="auto"/>
        <w:rPr>
          <w:rFonts w:hint="eastAsia"/>
          <w:color w:val="231F20"/>
        </w:rPr>
      </w:pPr>
      <w:r>
        <w:rPr>
          <w:rFonts w:hint="eastAsia"/>
          <w:color w:val="231F20"/>
        </w:rPr>
        <w:t>关于祂儿子的得荣耀，我们看到上帝将通过使基督成为最终成全的活生生的中心来完成这一点。</w:t>
      </w:r>
    </w:p>
    <w:p w14:paraId="6BE69226">
      <w:pPr>
        <w:pStyle w:val="9"/>
        <w:spacing w:after="0" w:line="249" w:lineRule="auto"/>
        <w:rPr>
          <w:rFonts w:hint="eastAsia"/>
          <w:color w:val="231F20"/>
        </w:rPr>
      </w:pPr>
    </w:p>
    <w:p w14:paraId="3BB7D24F">
      <w:pPr>
        <w:pStyle w:val="9"/>
        <w:spacing w:after="0" w:line="249" w:lineRule="auto"/>
        <w:rPr>
          <w:rFonts w:hint="eastAsia"/>
          <w:color w:val="231F20"/>
        </w:rPr>
      </w:pPr>
      <w:r>
        <w:rPr>
          <w:rFonts w:hint="eastAsia"/>
          <w:color w:val="231F20"/>
        </w:rPr>
        <w:t>It is Christ, at his Parousia, who will administer all the great eschatological acts and events, all at once, in the sight of all men and all angels, and with an eternal impact upon all creation.</w:t>
      </w:r>
    </w:p>
    <w:p w14:paraId="1B42737B">
      <w:pPr>
        <w:pStyle w:val="9"/>
        <w:spacing w:after="0" w:line="249" w:lineRule="auto"/>
        <w:rPr>
          <w:rFonts w:hint="eastAsia"/>
          <w:color w:val="231F20"/>
        </w:rPr>
      </w:pPr>
      <w:r>
        <w:rPr>
          <w:rFonts w:hint="eastAsia"/>
          <w:color w:val="231F20"/>
        </w:rPr>
        <w:t>是基督，在祂的主临（Parousia）时，将一次性地，在所有人和所有天使的面前，施行所有重大的末世作为和事件，并对所有受造之物产生永恒的影响。</w:t>
      </w:r>
    </w:p>
    <w:p w14:paraId="5A35DBDA">
      <w:pPr>
        <w:pStyle w:val="9"/>
        <w:spacing w:after="0" w:line="249" w:lineRule="auto"/>
        <w:rPr>
          <w:rFonts w:hint="eastAsia"/>
          <w:color w:val="231F20"/>
        </w:rPr>
      </w:pPr>
    </w:p>
    <w:p w14:paraId="4DF1BAB8">
      <w:pPr>
        <w:pStyle w:val="9"/>
        <w:spacing w:after="0" w:line="249" w:lineRule="auto"/>
        <w:rPr>
          <w:rFonts w:hint="eastAsia"/>
          <w:color w:val="231F20"/>
        </w:rPr>
      </w:pPr>
      <w:r>
        <w:rPr>
          <w:rFonts w:hint="eastAsia"/>
          <w:color w:val="231F20"/>
        </w:rPr>
        <w:t>In other words, the Consummation will be dynamically, temporally, and spatially centered on him whom the Father delights to honor: the High King of Heaven at his Return (Esther 6:9, 11, John 5:23).</w:t>
      </w:r>
    </w:p>
    <w:p w14:paraId="317E634B">
      <w:pPr>
        <w:pStyle w:val="9"/>
        <w:spacing w:after="0" w:line="249" w:lineRule="auto"/>
        <w:rPr>
          <w:rFonts w:hint="eastAsia"/>
          <w:color w:val="231F20"/>
        </w:rPr>
      </w:pPr>
      <w:r>
        <w:rPr>
          <w:rFonts w:hint="eastAsia"/>
          <w:color w:val="231F20"/>
        </w:rPr>
        <w:t>换句话说，最终的成全将在动态上、时间上和空间上都以父所乐意尊荣的那位为中心：天上的至高君王在祂再来之时（以斯帖记6:9, 11，约翰福音5:23）。</w:t>
      </w:r>
    </w:p>
    <w:p w14:paraId="7181F4AC">
      <w:pPr>
        <w:pStyle w:val="9"/>
        <w:spacing w:after="0" w:line="249" w:lineRule="auto"/>
        <w:rPr>
          <w:rFonts w:hint="eastAsia"/>
          <w:color w:val="231F20"/>
        </w:rPr>
      </w:pPr>
    </w:p>
    <w:p w14:paraId="100BCE86">
      <w:pPr>
        <w:pStyle w:val="9"/>
        <w:spacing w:after="0" w:line="249" w:lineRule="auto"/>
        <w:rPr>
          <w:rFonts w:hint="eastAsia"/>
          <w:color w:val="231F20"/>
        </w:rPr>
      </w:pPr>
      <w:r>
        <w:rPr>
          <w:rFonts w:hint="eastAsia"/>
          <w:color w:val="231F20"/>
        </w:rPr>
        <w:t>Concerning the unity of the Consummation, we have seen that it is manifold: Each of its elements is marked by unity, and all of its elements are marked by unity, since all are tightly woven around Christ at his Second Coming.</w:t>
      </w:r>
    </w:p>
    <w:p w14:paraId="7262D069">
      <w:pPr>
        <w:pStyle w:val="9"/>
        <w:spacing w:after="0" w:line="249" w:lineRule="auto"/>
        <w:rPr>
          <w:rFonts w:hint="eastAsia"/>
          <w:color w:val="231F20"/>
        </w:rPr>
      </w:pPr>
      <w:r>
        <w:rPr>
          <w:rFonts w:hint="eastAsia"/>
          <w:color w:val="231F20"/>
        </w:rPr>
        <w:t>关于最终成全的统一性，我们已经看到它是多方面的：其每一个要素都以统一为标志，其所有要素都以统一为标志，因为所有要素都紧密地围绕着基督的第二次降临而编织。</w:t>
      </w:r>
    </w:p>
    <w:p w14:paraId="6B0A7D0B">
      <w:pPr>
        <w:pStyle w:val="9"/>
        <w:spacing w:after="0" w:line="249" w:lineRule="auto"/>
        <w:rPr>
          <w:rFonts w:hint="eastAsia"/>
          <w:color w:val="231F20"/>
        </w:rPr>
      </w:pPr>
    </w:p>
    <w:p w14:paraId="3A9E65E5">
      <w:pPr>
        <w:pStyle w:val="9"/>
        <w:spacing w:after="0" w:line="249" w:lineRule="auto"/>
        <w:rPr>
          <w:rFonts w:hint="eastAsia"/>
          <w:color w:val="231F20"/>
        </w:rPr>
      </w:pPr>
      <w:r>
        <w:rPr>
          <w:rFonts w:hint="eastAsia"/>
          <w:color w:val="231F20"/>
        </w:rPr>
        <w:t>Moreover, we saw that all 15 of the New Testament’s most important eschatological texts agree!</w:t>
      </w:r>
    </w:p>
    <w:p w14:paraId="2879157C">
      <w:pPr>
        <w:pStyle w:val="9"/>
        <w:spacing w:after="0" w:line="249" w:lineRule="auto"/>
        <w:rPr>
          <w:rFonts w:hint="eastAsia"/>
          <w:color w:val="231F20"/>
        </w:rPr>
      </w:pPr>
      <w:r>
        <w:rPr>
          <w:rFonts w:hint="eastAsia"/>
          <w:color w:val="231F20"/>
        </w:rPr>
        <w:t>此外，我们看到新约最重要的15段末世论经文都同意！</w:t>
      </w:r>
    </w:p>
    <w:p w14:paraId="341B22BA">
      <w:pPr>
        <w:pStyle w:val="9"/>
        <w:spacing w:after="0" w:line="249" w:lineRule="auto"/>
        <w:rPr>
          <w:rFonts w:hint="eastAsia"/>
          <w:color w:val="231F20"/>
        </w:rPr>
      </w:pPr>
    </w:p>
    <w:p w14:paraId="1E81C8B8">
      <w:pPr>
        <w:pStyle w:val="9"/>
        <w:spacing w:after="0" w:line="249" w:lineRule="auto"/>
        <w:rPr>
          <w:rFonts w:hint="eastAsia"/>
          <w:color w:val="231F20"/>
        </w:rPr>
      </w:pPr>
      <w:r>
        <w:rPr>
          <w:rFonts w:hint="eastAsia"/>
          <w:color w:val="231F20"/>
        </w:rPr>
        <w:t>However, despite all this good evidence, several important questions remain: Do the texts cited in my table really prove what I claim they prove?</w:t>
      </w:r>
    </w:p>
    <w:p w14:paraId="44BFBB9F">
      <w:pPr>
        <w:pStyle w:val="9"/>
        <w:spacing w:after="0" w:line="249" w:lineRule="auto"/>
        <w:rPr>
          <w:rFonts w:hint="eastAsia"/>
          <w:color w:val="231F20"/>
        </w:rPr>
      </w:pPr>
      <w:r>
        <w:rPr>
          <w:rFonts w:hint="eastAsia"/>
          <w:color w:val="231F20"/>
        </w:rPr>
        <w:t>然而，尽管有所有这些好的证据，仍然有几个重要的问题：我表中引用的经文真的证明了我所声称的吗？</w:t>
      </w:r>
    </w:p>
    <w:p w14:paraId="78A7A405">
      <w:pPr>
        <w:pStyle w:val="9"/>
        <w:spacing w:after="0" w:line="249" w:lineRule="auto"/>
        <w:rPr>
          <w:rFonts w:hint="eastAsia"/>
          <w:color w:val="231F20"/>
        </w:rPr>
      </w:pPr>
    </w:p>
    <w:p w14:paraId="2FC3F603">
      <w:pPr>
        <w:pStyle w:val="9"/>
        <w:spacing w:after="0" w:line="249" w:lineRule="auto"/>
        <w:rPr>
          <w:rFonts w:hint="eastAsia"/>
          <w:color w:val="231F20"/>
        </w:rPr>
      </w:pPr>
      <w:r>
        <w:rPr>
          <w:rFonts w:hint="eastAsia"/>
          <w:color w:val="231F20"/>
        </w:rPr>
        <w:t>Am I understanding them correctly?</w:t>
      </w:r>
    </w:p>
    <w:p w14:paraId="096DA1C7">
      <w:pPr>
        <w:pStyle w:val="9"/>
        <w:spacing w:after="0" w:line="249" w:lineRule="auto"/>
        <w:rPr>
          <w:rFonts w:hint="eastAsia"/>
          <w:color w:val="231F20"/>
        </w:rPr>
      </w:pPr>
      <w:r>
        <w:rPr>
          <w:rFonts w:hint="eastAsia"/>
          <w:color w:val="231F20"/>
        </w:rPr>
        <w:t>我是否正确地理解了它们？</w:t>
      </w:r>
    </w:p>
    <w:p w14:paraId="41D2A7C4">
      <w:pPr>
        <w:pStyle w:val="9"/>
        <w:spacing w:after="0" w:line="249" w:lineRule="auto"/>
        <w:rPr>
          <w:rFonts w:hint="eastAsia"/>
          <w:color w:val="231F20"/>
        </w:rPr>
      </w:pPr>
    </w:p>
    <w:p w14:paraId="09ED8327">
      <w:pPr>
        <w:pStyle w:val="9"/>
        <w:spacing w:after="0" w:line="249" w:lineRule="auto"/>
        <w:rPr>
          <w:rFonts w:hint="eastAsia"/>
          <w:color w:val="231F20"/>
        </w:rPr>
      </w:pPr>
      <w:r>
        <w:rPr>
          <w:rFonts w:hint="eastAsia"/>
          <w:color w:val="231F20"/>
        </w:rPr>
        <w:t>What about other interpretations of these passages (e.g., premillennial, preterist, etc.)?</w:t>
      </w:r>
    </w:p>
    <w:p w14:paraId="0C3F5909">
      <w:pPr>
        <w:pStyle w:val="9"/>
        <w:spacing w:after="0" w:line="249" w:lineRule="auto"/>
        <w:rPr>
          <w:rFonts w:hint="eastAsia"/>
          <w:color w:val="231F20"/>
        </w:rPr>
      </w:pPr>
      <w:r>
        <w:rPr>
          <w:rFonts w:hint="eastAsia"/>
          <w:color w:val="231F20"/>
        </w:rPr>
        <w:t>这些段落的其他解释（例如，前千禧年论、过去派等）又如何呢？</w:t>
      </w:r>
    </w:p>
    <w:p w14:paraId="4AE558D4">
      <w:pPr>
        <w:pStyle w:val="9"/>
        <w:spacing w:after="0" w:line="249" w:lineRule="auto"/>
        <w:rPr>
          <w:rFonts w:hint="eastAsia"/>
          <w:color w:val="231F20"/>
        </w:rPr>
      </w:pPr>
    </w:p>
    <w:p w14:paraId="1D395786">
      <w:pPr>
        <w:pStyle w:val="9"/>
        <w:spacing w:after="0" w:line="249" w:lineRule="auto"/>
        <w:rPr>
          <w:rFonts w:hint="eastAsia"/>
          <w:color w:val="231F20"/>
        </w:rPr>
      </w:pPr>
      <w:r>
        <w:rPr>
          <w:rFonts w:hint="eastAsia"/>
          <w:color w:val="231F20"/>
        </w:rPr>
        <w:t>And what about other texts; texts that seem not only to support premillennialism, but also to cast a shadow of doubt over the truth of amillennialism?</w:t>
      </w:r>
    </w:p>
    <w:p w14:paraId="55881FA2">
      <w:pPr>
        <w:pStyle w:val="9"/>
        <w:spacing w:after="0" w:line="249" w:lineRule="auto"/>
        <w:rPr>
          <w:rFonts w:hint="eastAsia"/>
          <w:color w:val="231F20"/>
        </w:rPr>
      </w:pPr>
      <w:r>
        <w:rPr>
          <w:rFonts w:hint="eastAsia"/>
          <w:color w:val="231F20"/>
        </w:rPr>
        <w:t>还有其他经文呢；那些似乎不仅支持前千禧年论，也对无千禧年论的真理投下怀疑阴影的经文呢？</w:t>
      </w:r>
    </w:p>
    <w:p w14:paraId="0B790D13">
      <w:pPr>
        <w:pStyle w:val="9"/>
        <w:spacing w:after="0" w:line="249" w:lineRule="auto"/>
        <w:rPr>
          <w:rFonts w:hint="eastAsia"/>
          <w:color w:val="231F20"/>
        </w:rPr>
      </w:pPr>
    </w:p>
    <w:p w14:paraId="2E10143F">
      <w:pPr>
        <w:pStyle w:val="9"/>
        <w:spacing w:after="0" w:line="249" w:lineRule="auto"/>
        <w:rPr>
          <w:rFonts w:hint="eastAsia"/>
          <w:color w:val="231F20"/>
        </w:rPr>
      </w:pPr>
      <w:r>
        <w:rPr>
          <w:rFonts w:hint="eastAsia"/>
          <w:color w:val="231F20"/>
        </w:rPr>
        <w:t>Desiring fully to resolve the Great End Time Debate, I do not want to dodge these important questions.</w:t>
      </w:r>
    </w:p>
    <w:p w14:paraId="3EDA3D81">
      <w:pPr>
        <w:pStyle w:val="9"/>
        <w:spacing w:after="0" w:line="249" w:lineRule="auto"/>
        <w:rPr>
          <w:rFonts w:hint="eastAsia"/>
          <w:color w:val="231F20"/>
        </w:rPr>
      </w:pPr>
      <w:r>
        <w:rPr>
          <w:rFonts w:hint="eastAsia"/>
          <w:color w:val="231F20"/>
        </w:rPr>
        <w:t>渴望完全解决末世大辩论，我不想回避这些重要问题。</w:t>
      </w:r>
    </w:p>
    <w:p w14:paraId="58301658">
      <w:pPr>
        <w:pStyle w:val="9"/>
        <w:spacing w:after="0" w:line="249" w:lineRule="auto"/>
        <w:rPr>
          <w:rFonts w:hint="eastAsia"/>
          <w:color w:val="231F20"/>
        </w:rPr>
      </w:pPr>
    </w:p>
    <w:p w14:paraId="64FD5ECC">
      <w:pPr>
        <w:pStyle w:val="9"/>
        <w:spacing w:after="0" w:line="249" w:lineRule="auto"/>
        <w:rPr>
          <w:rFonts w:hint="eastAsia"/>
          <w:color w:val="231F20"/>
        </w:rPr>
      </w:pPr>
      <w:r>
        <w:rPr>
          <w:rFonts w:hint="eastAsia"/>
          <w:color w:val="231F20"/>
        </w:rPr>
        <w:t>In the next two chapters, we will meet them head on.</w:t>
      </w:r>
    </w:p>
    <w:p w14:paraId="697CA016">
      <w:pPr>
        <w:pStyle w:val="9"/>
        <w:spacing w:after="0" w:line="249" w:lineRule="auto"/>
        <w:sectPr>
          <w:pgSz w:w="12240" w:h="15840"/>
          <w:pgMar w:top="1380" w:right="1440" w:bottom="280" w:left="1440" w:header="720" w:footer="720" w:gutter="0"/>
          <w:cols w:space="720" w:num="1"/>
        </w:sectPr>
      </w:pPr>
      <w:r>
        <w:rPr>
          <w:rFonts w:hint="eastAsia"/>
          <w:color w:val="231F20"/>
        </w:rPr>
        <w:t>在接下来的两章中，我们将正面迎击它们。</w:t>
      </w:r>
    </w:p>
    <w:p w14:paraId="030B7866">
      <w:pPr>
        <w:pStyle w:val="9"/>
        <w:spacing w:before="11"/>
        <w:ind w:left="0"/>
        <w:jc w:val="left"/>
        <w:rPr>
          <w:sz w:val="15"/>
        </w:rPr>
      </w:pPr>
      <w:bookmarkStart w:id="61" w:name="Chapter 23: Crucial NT Texts Pertaining "/>
      <w:bookmarkEnd w:id="61"/>
      <w:bookmarkStart w:id="62" w:name="_bookmark161"/>
      <w:bookmarkEnd w:id="62"/>
    </w:p>
    <w:p w14:paraId="266D0DFD">
      <w:pPr>
        <w:pStyle w:val="2"/>
        <w:bidi w:val="0"/>
        <w:rPr>
          <w:rFonts w:hint="eastAsia"/>
        </w:rPr>
      </w:pPr>
      <w:r>
        <w:rPr>
          <w:rFonts w:hint="eastAsia"/>
        </w:rPr>
        <w:t>Chapter 23</w:t>
      </w:r>
    </w:p>
    <w:p w14:paraId="7AA5CC60">
      <w:pPr>
        <w:pStyle w:val="2"/>
        <w:bidi w:val="0"/>
        <w:rPr>
          <w:rFonts w:hint="eastAsia"/>
        </w:rPr>
      </w:pPr>
      <w:r>
        <w:rPr>
          <w:rFonts w:hint="eastAsia"/>
        </w:rPr>
        <w:t>第二十三章</w:t>
      </w:r>
    </w:p>
    <w:p w14:paraId="09BA1875">
      <w:pPr>
        <w:pStyle w:val="9"/>
        <w:spacing w:before="23"/>
        <w:ind w:left="0"/>
        <w:jc w:val="left"/>
        <w:rPr>
          <w:rFonts w:hint="eastAsia"/>
        </w:rPr>
      </w:pPr>
    </w:p>
    <w:p w14:paraId="3D7F47E8">
      <w:pPr>
        <w:pStyle w:val="3"/>
        <w:bidi w:val="0"/>
        <w:rPr>
          <w:rFonts w:hint="eastAsia"/>
        </w:rPr>
      </w:pPr>
      <w:r>
        <w:rPr>
          <w:rFonts w:hint="eastAsia"/>
        </w:rPr>
        <w:t>Crucial NT Texts Pertaining to the Consummation (1)</w:t>
      </w:r>
    </w:p>
    <w:p w14:paraId="7CA444E1">
      <w:pPr>
        <w:pStyle w:val="3"/>
        <w:bidi w:val="0"/>
        <w:rPr>
          <w:rFonts w:hint="eastAsia"/>
        </w:rPr>
      </w:pPr>
      <w:r>
        <w:rPr>
          <w:rFonts w:hint="eastAsia"/>
        </w:rPr>
        <w:t>有关最终成全的关键新约经文（一）</w:t>
      </w:r>
    </w:p>
    <w:p w14:paraId="1B998484">
      <w:pPr>
        <w:pStyle w:val="9"/>
        <w:spacing w:before="23"/>
        <w:ind w:left="0"/>
        <w:jc w:val="left"/>
        <w:rPr>
          <w:rFonts w:hint="eastAsia"/>
        </w:rPr>
      </w:pPr>
    </w:p>
    <w:p w14:paraId="7070A4E4">
      <w:pPr>
        <w:pStyle w:val="9"/>
        <w:spacing w:before="23"/>
        <w:ind w:left="0"/>
        <w:jc w:val="left"/>
        <w:rPr>
          <w:rFonts w:hint="eastAsia"/>
        </w:rPr>
      </w:pPr>
      <w:r>
        <w:rPr>
          <w:rFonts w:hint="eastAsia"/>
        </w:rPr>
        <w:t>THERE ARE ROUGHLY 70 NT texts touching on the Consummation (see Appendix 8).</w:t>
      </w:r>
    </w:p>
    <w:p w14:paraId="17DAF486">
      <w:pPr>
        <w:pStyle w:val="9"/>
        <w:spacing w:before="23"/>
        <w:ind w:left="0"/>
        <w:jc w:val="left"/>
        <w:rPr>
          <w:rFonts w:hint="eastAsia"/>
        </w:rPr>
      </w:pPr>
      <w:r>
        <w:rPr>
          <w:rFonts w:hint="eastAsia"/>
        </w:rPr>
        <w:t>大约有70段新约经文涉及最终的成全（见附录8）。</w:t>
      </w:r>
    </w:p>
    <w:p w14:paraId="54B8B25F">
      <w:pPr>
        <w:pStyle w:val="9"/>
        <w:spacing w:before="23"/>
        <w:ind w:left="0"/>
        <w:jc w:val="left"/>
        <w:rPr>
          <w:rFonts w:hint="eastAsia"/>
        </w:rPr>
      </w:pPr>
    </w:p>
    <w:p w14:paraId="3F4CD323">
      <w:pPr>
        <w:pStyle w:val="9"/>
        <w:spacing w:before="23"/>
        <w:ind w:left="0"/>
        <w:jc w:val="left"/>
        <w:rPr>
          <w:rFonts w:hint="eastAsia"/>
        </w:rPr>
      </w:pPr>
      <w:r>
        <w:rPr>
          <w:rFonts w:hint="eastAsia"/>
        </w:rPr>
        <w:t>Of these, I reckon 16 to be “crucial,” in the sense that they shed important—even essential—light on one or another element of the Consummation, or upon the Consummation as a whole.</w:t>
      </w:r>
    </w:p>
    <w:p w14:paraId="36B5A992">
      <w:pPr>
        <w:pStyle w:val="9"/>
        <w:spacing w:before="23"/>
        <w:ind w:left="0"/>
        <w:jc w:val="left"/>
        <w:rPr>
          <w:rFonts w:hint="eastAsia"/>
        </w:rPr>
      </w:pPr>
      <w:r>
        <w:rPr>
          <w:rFonts w:hint="eastAsia"/>
        </w:rPr>
        <w:t>在这些经文中，我认为有16段是“关键的”，因为它们对最终成全的某个要素，或对整个最终成全，投下了重要——甚至是必要——的光。</w:t>
      </w:r>
    </w:p>
    <w:p w14:paraId="07D8EECE">
      <w:pPr>
        <w:pStyle w:val="9"/>
        <w:spacing w:before="23"/>
        <w:ind w:left="0"/>
        <w:jc w:val="left"/>
        <w:rPr>
          <w:rFonts w:hint="eastAsia"/>
        </w:rPr>
      </w:pPr>
    </w:p>
    <w:p w14:paraId="505932C3">
      <w:pPr>
        <w:pStyle w:val="9"/>
        <w:spacing w:before="23"/>
        <w:ind w:left="0"/>
        <w:jc w:val="left"/>
        <w:rPr>
          <w:rFonts w:hint="eastAsia"/>
        </w:rPr>
      </w:pPr>
      <w:r>
        <w:rPr>
          <w:rFonts w:hint="eastAsia"/>
        </w:rPr>
        <w:t>My purpose in the next two chapters is to look briefly at each one of them, showing that they do indeed support the classic Reformation eschatology.</w:t>
      </w:r>
    </w:p>
    <w:p w14:paraId="6E88F5D4">
      <w:pPr>
        <w:pStyle w:val="9"/>
        <w:spacing w:before="23"/>
        <w:ind w:left="0"/>
        <w:jc w:val="left"/>
        <w:rPr>
          <w:rFonts w:hint="eastAsia"/>
        </w:rPr>
      </w:pPr>
      <w:r>
        <w:rPr>
          <w:rFonts w:hint="eastAsia"/>
        </w:rPr>
        <w:t>我在接下来的两章中的目的是简要地查考每一段经文，表明它们确实支持经典的宗教改革末世论。</w:t>
      </w:r>
    </w:p>
    <w:p w14:paraId="34AE3443">
      <w:pPr>
        <w:pStyle w:val="9"/>
        <w:spacing w:before="23"/>
        <w:ind w:left="0"/>
        <w:jc w:val="left"/>
        <w:rPr>
          <w:rFonts w:hint="eastAsia"/>
        </w:rPr>
      </w:pPr>
    </w:p>
    <w:p w14:paraId="145A223B">
      <w:pPr>
        <w:pStyle w:val="9"/>
        <w:spacing w:before="23"/>
        <w:ind w:left="0"/>
        <w:jc w:val="left"/>
        <w:rPr>
          <w:rFonts w:hint="eastAsia"/>
        </w:rPr>
      </w:pPr>
      <w:r>
        <w:rPr>
          <w:rFonts w:hint="eastAsia"/>
        </w:rPr>
        <w:t>My treatment will be limited.</w:t>
      </w:r>
    </w:p>
    <w:p w14:paraId="1622F4FE">
      <w:pPr>
        <w:pStyle w:val="9"/>
        <w:spacing w:before="23"/>
        <w:ind w:left="0"/>
        <w:jc w:val="left"/>
        <w:rPr>
          <w:rFonts w:hint="eastAsia"/>
        </w:rPr>
      </w:pPr>
      <w:r>
        <w:rPr>
          <w:rFonts w:hint="eastAsia"/>
        </w:rPr>
        <w:t>我的处理将是有限的。</w:t>
      </w:r>
    </w:p>
    <w:p w14:paraId="623C7A4B">
      <w:pPr>
        <w:pStyle w:val="9"/>
        <w:spacing w:before="23"/>
        <w:ind w:left="0"/>
        <w:jc w:val="left"/>
        <w:rPr>
          <w:rFonts w:hint="eastAsia"/>
        </w:rPr>
      </w:pPr>
    </w:p>
    <w:p w14:paraId="6E12B70E">
      <w:pPr>
        <w:pStyle w:val="9"/>
        <w:spacing w:before="23"/>
        <w:ind w:left="0"/>
        <w:jc w:val="left"/>
        <w:rPr>
          <w:rFonts w:hint="eastAsia"/>
        </w:rPr>
      </w:pPr>
      <w:r>
        <w:rPr>
          <w:rFonts w:hint="eastAsia"/>
        </w:rPr>
        <w:t>I will cite the text, give the gist of it, and then highlight the various ways in which it teaches or confirms the idea of a single, Christ-centered Consummation.</w:t>
      </w:r>
    </w:p>
    <w:p w14:paraId="7FC2CB64">
      <w:pPr>
        <w:pStyle w:val="9"/>
        <w:spacing w:before="23"/>
        <w:ind w:left="0"/>
        <w:jc w:val="left"/>
        <w:rPr>
          <w:rFonts w:hint="eastAsia"/>
        </w:rPr>
      </w:pPr>
      <w:r>
        <w:rPr>
          <w:rFonts w:hint="eastAsia"/>
        </w:rPr>
        <w:t>我将引用经文，给出其要点，然后突显它以各种方式教导或证实单一的、以基督为中心的最终成全这一观念。</w:t>
      </w:r>
    </w:p>
    <w:p w14:paraId="70F9215A">
      <w:pPr>
        <w:pStyle w:val="9"/>
        <w:spacing w:before="23"/>
        <w:ind w:left="0"/>
        <w:jc w:val="left"/>
        <w:rPr>
          <w:rFonts w:hint="eastAsia"/>
        </w:rPr>
      </w:pPr>
    </w:p>
    <w:p w14:paraId="75C0F8BC">
      <w:pPr>
        <w:pStyle w:val="9"/>
        <w:spacing w:before="23"/>
        <w:ind w:left="0"/>
        <w:jc w:val="left"/>
        <w:rPr>
          <w:rFonts w:hint="eastAsia"/>
        </w:rPr>
      </w:pPr>
      <w:r>
        <w:rPr>
          <w:rFonts w:hint="eastAsia"/>
        </w:rPr>
        <w:t>When appropriate, I will also interact with other interpretations of the texts, especially premillennial.</w:t>
      </w:r>
    </w:p>
    <w:p w14:paraId="6318DA58">
      <w:pPr>
        <w:pStyle w:val="9"/>
        <w:spacing w:before="23"/>
        <w:ind w:left="0"/>
        <w:jc w:val="left"/>
        <w:rPr>
          <w:rFonts w:hint="eastAsia"/>
        </w:rPr>
      </w:pPr>
      <w:r>
        <w:rPr>
          <w:rFonts w:hint="eastAsia"/>
        </w:rPr>
        <w:t>在适当的时候，我也会与其他对这些经文的解释互动，特别是前千禧年论的解释。</w:t>
      </w:r>
    </w:p>
    <w:p w14:paraId="28632280">
      <w:pPr>
        <w:pStyle w:val="9"/>
        <w:spacing w:before="23"/>
        <w:ind w:left="0"/>
        <w:jc w:val="left"/>
        <w:rPr>
          <w:rFonts w:hint="eastAsia"/>
        </w:rPr>
      </w:pPr>
    </w:p>
    <w:p w14:paraId="1671549E">
      <w:pPr>
        <w:pStyle w:val="9"/>
        <w:spacing w:before="23"/>
        <w:ind w:left="0"/>
        <w:jc w:val="left"/>
        <w:rPr>
          <w:rFonts w:hint="eastAsia"/>
        </w:rPr>
      </w:pPr>
      <w:r>
        <w:rPr>
          <w:rFonts w:hint="eastAsia"/>
        </w:rPr>
        <w:t>Having already delved into the Revelation at length, my focus here will be upon the Didactic NT.</w:t>
      </w:r>
    </w:p>
    <w:p w14:paraId="5FD2F984">
      <w:pPr>
        <w:pStyle w:val="9"/>
        <w:spacing w:before="23"/>
        <w:ind w:left="0"/>
        <w:jc w:val="left"/>
        <w:rPr>
          <w:rFonts w:hint="eastAsia"/>
        </w:rPr>
      </w:pPr>
      <w:r>
        <w:rPr>
          <w:rFonts w:hint="eastAsia"/>
        </w:rPr>
        <w:t>既然已经详细地探讨了《启示录》，我在这里的重点将放在教导性新约上。</w:t>
      </w:r>
    </w:p>
    <w:p w14:paraId="71668C7E">
      <w:pPr>
        <w:pStyle w:val="9"/>
        <w:spacing w:before="23"/>
        <w:ind w:left="0"/>
        <w:jc w:val="left"/>
        <w:rPr>
          <w:rFonts w:hint="eastAsia"/>
        </w:rPr>
      </w:pPr>
    </w:p>
    <w:p w14:paraId="6622AA97">
      <w:pPr>
        <w:pStyle w:val="9"/>
        <w:spacing w:before="23"/>
        <w:ind w:left="0"/>
        <w:jc w:val="left"/>
        <w:rPr>
          <w:rFonts w:hint="eastAsia"/>
        </w:rPr>
      </w:pPr>
      <w:r>
        <w:rPr>
          <w:rFonts w:hint="eastAsia"/>
        </w:rPr>
        <w:t>That is, I will focus on major Consummation texts found in the Gospels, the Pauline Epistles, and the General Epistles.</w:t>
      </w:r>
    </w:p>
    <w:p w14:paraId="55F1734E">
      <w:pPr>
        <w:pStyle w:val="9"/>
        <w:spacing w:before="23"/>
        <w:ind w:left="0"/>
        <w:jc w:val="left"/>
        <w:rPr>
          <w:rFonts w:hint="eastAsia"/>
        </w:rPr>
      </w:pPr>
      <w:r>
        <w:rPr>
          <w:rFonts w:hint="eastAsia"/>
        </w:rPr>
        <w:t>也就是说，我将聚焦于在福音书、保罗书信和普通书信中发现的关于最终成全的主要经文。</w:t>
      </w:r>
    </w:p>
    <w:p w14:paraId="190C0AD9">
      <w:pPr>
        <w:pStyle w:val="9"/>
        <w:spacing w:before="23"/>
        <w:ind w:left="0"/>
        <w:jc w:val="left"/>
        <w:rPr>
          <w:rFonts w:hint="eastAsia"/>
        </w:rPr>
      </w:pPr>
    </w:p>
    <w:p w14:paraId="3CF124A5">
      <w:pPr>
        <w:pStyle w:val="9"/>
        <w:spacing w:before="23"/>
        <w:ind w:left="0"/>
        <w:jc w:val="left"/>
        <w:rPr>
          <w:rFonts w:hint="eastAsia"/>
        </w:rPr>
      </w:pPr>
      <w:r>
        <w:rPr>
          <w:rFonts w:hint="eastAsia"/>
        </w:rPr>
        <w:t>To save space, I will not usually write out the texts, so please be sure to have your Bible in hand!</w:t>
      </w:r>
    </w:p>
    <w:p w14:paraId="464CAF41">
      <w:pPr>
        <w:pStyle w:val="9"/>
        <w:spacing w:before="23"/>
        <w:ind w:left="0"/>
        <w:jc w:val="left"/>
        <w:rPr>
          <w:rFonts w:hint="eastAsia"/>
        </w:rPr>
      </w:pPr>
      <w:r>
        <w:rPr>
          <w:rFonts w:hint="eastAsia"/>
        </w:rPr>
        <w:t>为了节省篇幅，我通常不会写出经文，所以请务必手持圣经！</w:t>
      </w:r>
    </w:p>
    <w:p w14:paraId="3E35F60B">
      <w:pPr>
        <w:pStyle w:val="9"/>
        <w:spacing w:before="23"/>
        <w:ind w:left="0"/>
        <w:jc w:val="left"/>
        <w:rPr>
          <w:rFonts w:hint="eastAsia"/>
        </w:rPr>
      </w:pPr>
    </w:p>
    <w:p w14:paraId="74EE53A1">
      <w:pPr>
        <w:pStyle w:val="9"/>
        <w:spacing w:before="23"/>
        <w:ind w:left="0"/>
        <w:jc w:val="left"/>
        <w:rPr>
          <w:rFonts w:hint="eastAsia"/>
        </w:rPr>
      </w:pPr>
      <w:r>
        <w:rPr>
          <w:rFonts w:hint="eastAsia"/>
        </w:rPr>
        <w:t>1.Preaching to Israel Until the Son of Man Comes</w:t>
      </w:r>
    </w:p>
    <w:p w14:paraId="240614E2">
      <w:pPr>
        <w:pStyle w:val="9"/>
        <w:spacing w:before="23"/>
        <w:ind w:left="0"/>
        <w:jc w:val="left"/>
        <w:rPr>
          <w:rFonts w:hint="eastAsia"/>
        </w:rPr>
      </w:pPr>
      <w:r>
        <w:rPr>
          <w:rFonts w:hint="eastAsia"/>
        </w:rPr>
        <w:t>1.向以色列传道，直到人子降临</w:t>
      </w:r>
    </w:p>
    <w:p w14:paraId="250B6A9F">
      <w:pPr>
        <w:pStyle w:val="9"/>
        <w:spacing w:before="23"/>
        <w:ind w:left="0"/>
        <w:jc w:val="left"/>
        <w:rPr>
          <w:rFonts w:hint="eastAsia"/>
        </w:rPr>
      </w:pPr>
    </w:p>
    <w:p w14:paraId="74FD29C5">
      <w:pPr>
        <w:pStyle w:val="9"/>
        <w:spacing w:before="23"/>
        <w:ind w:left="0"/>
        <w:jc w:val="left"/>
        <w:rPr>
          <w:rFonts w:hint="eastAsia"/>
        </w:rPr>
      </w:pPr>
      <w:r>
        <w:rPr>
          <w:rFonts w:hint="eastAsia"/>
        </w:rPr>
        <w:t>(Mt. 10:23)</w:t>
      </w:r>
    </w:p>
    <w:p w14:paraId="14C999D3">
      <w:pPr>
        <w:pStyle w:val="9"/>
        <w:spacing w:before="23"/>
        <w:ind w:left="0"/>
        <w:jc w:val="left"/>
        <w:rPr>
          <w:rFonts w:hint="eastAsia"/>
        </w:rPr>
      </w:pPr>
      <w:r>
        <w:rPr>
          <w:rFonts w:hint="eastAsia"/>
        </w:rPr>
        <w:t>（太10:23）</w:t>
      </w:r>
    </w:p>
    <w:p w14:paraId="1A82A602">
      <w:pPr>
        <w:pStyle w:val="9"/>
        <w:spacing w:before="23"/>
        <w:ind w:left="0"/>
        <w:jc w:val="left"/>
        <w:rPr>
          <w:rFonts w:hint="eastAsia"/>
        </w:rPr>
      </w:pPr>
    </w:p>
    <w:p w14:paraId="4434BE5E">
      <w:pPr>
        <w:pStyle w:val="9"/>
        <w:spacing w:before="23"/>
        <w:ind w:left="0"/>
        <w:jc w:val="left"/>
        <w:rPr>
          <w:rFonts w:hint="eastAsia"/>
        </w:rPr>
      </w:pPr>
      <w:r>
        <w:rPr>
          <w:rFonts w:hint="eastAsia"/>
        </w:rPr>
        <w:t>In Matthew 10, we find Jesus commissioning his twelve disciples to preach the good news of the Kingdom to Israel (10:1-15), warning them of inevitable persecution, but also promising divine support (10:16-42).</w:t>
      </w:r>
    </w:p>
    <w:p w14:paraId="5D6EF05E">
      <w:pPr>
        <w:pStyle w:val="9"/>
        <w:spacing w:before="23"/>
        <w:ind w:left="0"/>
        <w:jc w:val="left"/>
        <w:rPr>
          <w:rFonts w:hint="eastAsia"/>
        </w:rPr>
      </w:pPr>
      <w:r>
        <w:rPr>
          <w:rFonts w:hint="eastAsia"/>
        </w:rPr>
        <w:t>在马太福音第10章，我们看到耶稣差遣祂的十二个门徒去向以色列传扬天国的好消息（10:1-15），警告他们必遭逼迫，但也应许了神圣的支持（10:16-42）。</w:t>
      </w:r>
    </w:p>
    <w:p w14:paraId="091706F6">
      <w:pPr>
        <w:pStyle w:val="9"/>
        <w:spacing w:before="23"/>
        <w:ind w:left="0"/>
        <w:jc w:val="left"/>
        <w:rPr>
          <w:rFonts w:hint="eastAsia"/>
        </w:rPr>
      </w:pPr>
    </w:p>
    <w:p w14:paraId="3A2CB85F">
      <w:pPr>
        <w:pStyle w:val="9"/>
        <w:spacing w:before="23"/>
        <w:ind w:left="0"/>
        <w:jc w:val="left"/>
        <w:rPr>
          <w:rFonts w:hint="eastAsia"/>
        </w:rPr>
      </w:pPr>
      <w:r>
        <w:rPr>
          <w:rFonts w:hint="eastAsia"/>
        </w:rPr>
        <w:t>Having done all this, he then declares, “Truly, I say to you, you shall not finish going through the cities of Israel before the Son of Man comes” (10:23).</w:t>
      </w:r>
    </w:p>
    <w:p w14:paraId="70F79261">
      <w:pPr>
        <w:pStyle w:val="9"/>
        <w:spacing w:before="23"/>
        <w:ind w:left="0"/>
        <w:jc w:val="left"/>
        <w:rPr>
          <w:rFonts w:hint="eastAsia"/>
        </w:rPr>
      </w:pPr>
      <w:r>
        <w:rPr>
          <w:rFonts w:hint="eastAsia"/>
        </w:rPr>
        <w:t>做完这一切后，祂接着宣告说：“我实在告诉你们，以色列的城邑，你们还没有走遍，人子就到了”（10:23）。</w:t>
      </w:r>
    </w:p>
    <w:p w14:paraId="28371201">
      <w:pPr>
        <w:pStyle w:val="9"/>
        <w:spacing w:before="23"/>
        <w:ind w:left="0"/>
        <w:jc w:val="left"/>
        <w:rPr>
          <w:rFonts w:hint="eastAsia"/>
        </w:rPr>
      </w:pPr>
    </w:p>
    <w:p w14:paraId="516502EB">
      <w:pPr>
        <w:pStyle w:val="9"/>
        <w:spacing w:before="23"/>
        <w:ind w:left="0"/>
        <w:jc w:val="left"/>
        <w:rPr>
          <w:rFonts w:hint="eastAsia"/>
        </w:rPr>
      </w:pPr>
      <w:r>
        <w:rPr>
          <w:rFonts w:hint="eastAsia"/>
        </w:rPr>
        <w:t>How are we to understand this promise?</w:t>
      </w:r>
    </w:p>
    <w:p w14:paraId="072122AC">
      <w:pPr>
        <w:pStyle w:val="9"/>
        <w:spacing w:before="23"/>
        <w:ind w:left="0"/>
        <w:jc w:val="left"/>
        <w:rPr>
          <w:rFonts w:hint="eastAsia"/>
        </w:rPr>
      </w:pPr>
      <w:r>
        <w:rPr>
          <w:rFonts w:hint="eastAsia"/>
        </w:rPr>
        <w:t>我们应如何理解这个应许？</w:t>
      </w:r>
    </w:p>
    <w:p w14:paraId="3590D6FC">
      <w:pPr>
        <w:pStyle w:val="9"/>
        <w:spacing w:before="23"/>
        <w:ind w:left="0"/>
        <w:jc w:val="left"/>
        <w:rPr>
          <w:rFonts w:hint="eastAsia"/>
        </w:rPr>
      </w:pPr>
    </w:p>
    <w:p w14:paraId="76A6CECB">
      <w:pPr>
        <w:pStyle w:val="9"/>
        <w:spacing w:before="23"/>
        <w:ind w:left="0"/>
        <w:jc w:val="left"/>
        <w:rPr>
          <w:rFonts w:hint="eastAsia"/>
        </w:rPr>
      </w:pPr>
      <w:r>
        <w:rPr>
          <w:rFonts w:hint="eastAsia"/>
        </w:rPr>
        <w:t>Some interpreters, such as George Ladd, appeal to hints of the global evangelistic mission of the Church, and therefore argue that here Jesus had in mind his Parousia at the end of the present evil age; that he is therefore exhorting the Church (for which the Twelve apostles stand as an emblem) faithfully to reach out to God’s OT people until he returns.</w:t>
      </w:r>
    </w:p>
    <w:p w14:paraId="4F187962">
      <w:pPr>
        <w:pStyle w:val="9"/>
        <w:spacing w:before="23"/>
        <w:ind w:left="0"/>
        <w:jc w:val="left"/>
        <w:rPr>
          <w:rFonts w:hint="eastAsia"/>
        </w:rPr>
      </w:pPr>
      <w:r>
        <w:rPr>
          <w:rFonts w:hint="eastAsia"/>
        </w:rPr>
        <w:t>一些解释者，如乔治·赖德，诉诸于教会全球性传福音使命的暗示，因此认为耶稣在这里心中所想的是祂在现今邪恶世代末了的主临（Parousia）；因此祂是在劝勉教会（十二使徒为其象征）忠心地向着上帝的旧约子民传福音，直到祂再来。</w:t>
      </w:r>
    </w:p>
    <w:p w14:paraId="08F09132">
      <w:pPr>
        <w:pStyle w:val="9"/>
        <w:spacing w:before="23"/>
        <w:ind w:left="0"/>
        <w:jc w:val="left"/>
        <w:rPr>
          <w:rFonts w:hint="eastAsia"/>
        </w:rPr>
      </w:pPr>
    </w:p>
    <w:p w14:paraId="2A5EFE0B">
      <w:pPr>
        <w:pStyle w:val="9"/>
        <w:spacing w:before="23"/>
        <w:ind w:left="0"/>
        <w:jc w:val="left"/>
        <w:rPr>
          <w:rFonts w:hint="eastAsia"/>
        </w:rPr>
      </w:pPr>
      <w:r>
        <w:rPr>
          <w:rFonts w:hint="eastAsia"/>
        </w:rPr>
        <w:t>Others, however, observe that the Lord is in fact speaking to the Twelve; that he is in fact sending them to the cities of Israel; and that they did not in fact finish going through the cities of Israel before he—the High King of Heaven—came, by his providence, to destroy Jerusalem in 70 AD through the Roman general Titus.</w:t>
      </w:r>
    </w:p>
    <w:p w14:paraId="0BEAD35A">
      <w:pPr>
        <w:pStyle w:val="9"/>
        <w:spacing w:before="23"/>
        <w:ind w:left="0"/>
        <w:jc w:val="left"/>
        <w:rPr>
          <w:rFonts w:hint="eastAsia"/>
        </w:rPr>
      </w:pPr>
      <w:r>
        <w:rPr>
          <w:rFonts w:hint="eastAsia"/>
        </w:rPr>
        <w:t>然而，另一些人则观察到，主实际上是在对十二使徒说话；祂实际上是差遣他们到以色列的各城去；并且他们实际上在祂——天上的至高君王——借着祂的护理，通过罗马将军提多在公元70年毁灭耶路撒冷之前，并没有走遍以色列的各城。</w:t>
      </w:r>
    </w:p>
    <w:p w14:paraId="43824FD3">
      <w:pPr>
        <w:pStyle w:val="9"/>
        <w:spacing w:before="23"/>
        <w:ind w:left="0"/>
        <w:jc w:val="left"/>
        <w:rPr>
          <w:rFonts w:hint="eastAsia"/>
        </w:rPr>
      </w:pPr>
    </w:p>
    <w:p w14:paraId="0DDB381E">
      <w:pPr>
        <w:pStyle w:val="9"/>
        <w:spacing w:before="23"/>
        <w:ind w:left="0"/>
        <w:jc w:val="left"/>
        <w:rPr>
          <w:rFonts w:hint="eastAsia"/>
        </w:rPr>
      </w:pPr>
      <w:r>
        <w:rPr>
          <w:rFonts w:hint="eastAsia"/>
        </w:rPr>
        <w:t>The exact verbiage of the text seems to support this view.</w:t>
      </w:r>
    </w:p>
    <w:p w14:paraId="0CE6A242">
      <w:pPr>
        <w:pStyle w:val="9"/>
        <w:spacing w:before="23"/>
        <w:ind w:left="0"/>
        <w:jc w:val="left"/>
        <w:rPr>
          <w:rFonts w:hint="eastAsia"/>
        </w:rPr>
      </w:pPr>
      <w:r>
        <w:rPr>
          <w:rFonts w:hint="eastAsia"/>
        </w:rPr>
        <w:t>经文的确切措辞似乎支持这一观点。</w:t>
      </w:r>
    </w:p>
    <w:p w14:paraId="4D3A2922">
      <w:pPr>
        <w:pStyle w:val="9"/>
        <w:spacing w:before="23"/>
        <w:ind w:left="0"/>
        <w:jc w:val="left"/>
        <w:rPr>
          <w:rFonts w:hint="eastAsia"/>
        </w:rPr>
      </w:pPr>
    </w:p>
    <w:p w14:paraId="0B94751F">
      <w:pPr>
        <w:pStyle w:val="9"/>
        <w:spacing w:before="23"/>
        <w:ind w:left="0"/>
        <w:jc w:val="left"/>
        <w:rPr>
          <w:rFonts w:hint="eastAsia"/>
        </w:rPr>
      </w:pPr>
      <w:r>
        <w:rPr>
          <w:rFonts w:hint="eastAsia"/>
        </w:rPr>
        <w:t>Jesus does not speak here, as elsewhere, of the Coming of the Son of Man, which he says will be in the sky, in supernatural power and glory, with all the holy angels, etc. (Mt. 24:37, 37, 39).</w:t>
      </w:r>
    </w:p>
    <w:p w14:paraId="6A9ED272">
      <w:pPr>
        <w:pStyle w:val="9"/>
        <w:spacing w:before="23"/>
        <w:ind w:left="0"/>
        <w:jc w:val="left"/>
        <w:rPr>
          <w:rFonts w:hint="eastAsia"/>
        </w:rPr>
      </w:pPr>
      <w:r>
        <w:rPr>
          <w:rFonts w:hint="eastAsia"/>
        </w:rPr>
        <w:t>耶稣在这里不像在别处那样，谈到人子的降临，祂说那将是在空中，带着超自然的能力和荣耀，与众圣天使同来等等（太24:37, 37, 39）。</w:t>
      </w:r>
    </w:p>
    <w:p w14:paraId="6EB7C5A3">
      <w:pPr>
        <w:pStyle w:val="9"/>
        <w:spacing w:before="23"/>
        <w:ind w:left="0"/>
        <w:jc w:val="left"/>
        <w:rPr>
          <w:rFonts w:hint="eastAsia"/>
        </w:rPr>
      </w:pPr>
    </w:p>
    <w:p w14:paraId="43637F02">
      <w:pPr>
        <w:pStyle w:val="9"/>
        <w:spacing w:before="23"/>
        <w:ind w:left="0"/>
        <w:jc w:val="left"/>
        <w:rPr>
          <w:rFonts w:hint="eastAsia"/>
        </w:rPr>
      </w:pPr>
      <w:r>
        <w:rPr>
          <w:rFonts w:hint="eastAsia"/>
        </w:rPr>
        <w:t>Rather, he speaks of a coming.</w:t>
      </w:r>
    </w:p>
    <w:p w14:paraId="766AA6A3">
      <w:pPr>
        <w:pStyle w:val="9"/>
        <w:spacing w:before="23"/>
        <w:ind w:left="0"/>
        <w:jc w:val="left"/>
        <w:rPr>
          <w:rFonts w:hint="eastAsia"/>
        </w:rPr>
      </w:pPr>
      <w:r>
        <w:rPr>
          <w:rFonts w:hint="eastAsia"/>
        </w:rPr>
        <w:t>相反，祂说的是一次降临。</w:t>
      </w:r>
    </w:p>
    <w:p w14:paraId="3C6CB7B4">
      <w:pPr>
        <w:pStyle w:val="9"/>
        <w:spacing w:before="23"/>
        <w:ind w:left="0"/>
        <w:jc w:val="left"/>
        <w:rPr>
          <w:rFonts w:hint="eastAsia"/>
        </w:rPr>
      </w:pPr>
    </w:p>
    <w:p w14:paraId="656A0F46">
      <w:pPr>
        <w:pStyle w:val="9"/>
        <w:spacing w:before="23"/>
        <w:ind w:left="0"/>
        <w:jc w:val="left"/>
        <w:rPr>
          <w:rFonts w:hint="eastAsia"/>
        </w:rPr>
      </w:pPr>
      <w:r>
        <w:rPr>
          <w:rFonts w:hint="eastAsia"/>
        </w:rPr>
        <w:t>In other words, he may well be speaking of a lesser coming, a providential coming in which he will judge the nation that has largely rejected him and the Gospel (Mt. 23:38, Luke 13:34-35).</w:t>
      </w:r>
    </w:p>
    <w:p w14:paraId="483F8912">
      <w:pPr>
        <w:pStyle w:val="9"/>
        <w:spacing w:before="23"/>
        <w:ind w:left="0"/>
        <w:jc w:val="left"/>
        <w:rPr>
          <w:rFonts w:hint="eastAsia"/>
        </w:rPr>
      </w:pPr>
      <w:r>
        <w:rPr>
          <w:rFonts w:hint="eastAsia"/>
        </w:rPr>
        <w:t>换句话说，祂很可能是在谈论一次较小的降临，一次护理性的降临，在其中祂将审判那个基本上拒绝了祂和福音的国家（太23:38，路13:34-35）。</w:t>
      </w:r>
    </w:p>
    <w:p w14:paraId="1FC9606E">
      <w:pPr>
        <w:pStyle w:val="9"/>
        <w:spacing w:before="23"/>
        <w:ind w:left="0"/>
        <w:jc w:val="left"/>
        <w:rPr>
          <w:rFonts w:hint="eastAsia"/>
        </w:rPr>
      </w:pPr>
    </w:p>
    <w:p w14:paraId="667CEFA5">
      <w:pPr>
        <w:pStyle w:val="9"/>
        <w:spacing w:before="23"/>
        <w:ind w:left="0"/>
        <w:jc w:val="left"/>
        <w:rPr>
          <w:rFonts w:hint="eastAsia"/>
        </w:rPr>
      </w:pPr>
      <w:r>
        <w:rPr>
          <w:rFonts w:hint="eastAsia"/>
        </w:rPr>
        <w:t>Foreseeing this lesser coming, Jesus therefore warns the Twelve: They have only a little time, and so must work quickly, to bring the Gospel to as many of the cities of Israel as they can.</w:t>
      </w:r>
    </w:p>
    <w:p w14:paraId="0E9FA6FD">
      <w:pPr>
        <w:pStyle w:val="9"/>
        <w:spacing w:before="23"/>
        <w:ind w:left="0"/>
        <w:jc w:val="left"/>
        <w:rPr>
          <w:rFonts w:hint="eastAsia"/>
        </w:rPr>
      </w:pPr>
      <w:r>
        <w:rPr>
          <w:rFonts w:hint="eastAsia"/>
        </w:rPr>
        <w:t>预见到这次较小的降临，耶稣因此警告十二使徒：他们只有很少的时间，所以必须迅速工作，尽可能多地将福音带到以色列的各城。</w:t>
      </w:r>
    </w:p>
    <w:p w14:paraId="07A18C01">
      <w:pPr>
        <w:pStyle w:val="9"/>
        <w:spacing w:before="23"/>
        <w:ind w:left="0"/>
        <w:jc w:val="left"/>
        <w:rPr>
          <w:rFonts w:hint="eastAsia"/>
        </w:rPr>
      </w:pPr>
    </w:p>
    <w:p w14:paraId="6B14B560">
      <w:pPr>
        <w:pStyle w:val="9"/>
        <w:spacing w:before="23"/>
        <w:ind w:left="0"/>
        <w:jc w:val="left"/>
        <w:rPr>
          <w:rFonts w:hint="eastAsia"/>
        </w:rPr>
      </w:pPr>
      <w:r>
        <w:rPr>
          <w:rFonts w:hint="eastAsia"/>
        </w:rPr>
        <w:t>Whichever of these two interpretations is best, both are fully compatible with the amillennial view of the Consummation.1, 2</w:t>
      </w:r>
    </w:p>
    <w:p w14:paraId="76C8F086">
      <w:pPr>
        <w:pStyle w:val="9"/>
        <w:spacing w:before="23"/>
        <w:ind w:left="0"/>
        <w:jc w:val="left"/>
        <w:rPr>
          <w:rFonts w:hint="eastAsia"/>
        </w:rPr>
      </w:pPr>
      <w:r>
        <w:rPr>
          <w:rFonts w:hint="eastAsia"/>
        </w:rPr>
        <w:t>这两种解释无论哪一种是最好的，都完全与无千禧年论对最终成全的观点相容。1, 2</w:t>
      </w:r>
    </w:p>
    <w:p w14:paraId="7E16737C">
      <w:pPr>
        <w:pStyle w:val="9"/>
        <w:spacing w:before="23"/>
        <w:ind w:left="0"/>
        <w:jc w:val="left"/>
        <w:rPr>
          <w:rFonts w:hint="eastAsia"/>
        </w:rPr>
      </w:pPr>
    </w:p>
    <w:p w14:paraId="5D4D49BE">
      <w:pPr>
        <w:pStyle w:val="9"/>
        <w:spacing w:before="23"/>
        <w:ind w:left="0"/>
        <w:jc w:val="left"/>
        <w:rPr>
          <w:rFonts w:hint="eastAsia"/>
        </w:rPr>
      </w:pPr>
      <w:r>
        <w:rPr>
          <w:rFonts w:hint="eastAsia"/>
        </w:rPr>
        <w:t>2.The Transfiguration</w:t>
      </w:r>
    </w:p>
    <w:p w14:paraId="6A848614">
      <w:pPr>
        <w:pStyle w:val="9"/>
        <w:spacing w:before="23"/>
        <w:ind w:left="0"/>
        <w:jc w:val="left"/>
        <w:rPr>
          <w:rFonts w:hint="eastAsia"/>
        </w:rPr>
      </w:pPr>
      <w:r>
        <w:rPr>
          <w:rFonts w:hint="eastAsia"/>
        </w:rPr>
        <w:t>2.变像</w:t>
      </w:r>
    </w:p>
    <w:p w14:paraId="30F25B6E">
      <w:pPr>
        <w:pStyle w:val="9"/>
        <w:spacing w:before="23"/>
        <w:ind w:left="0"/>
        <w:jc w:val="left"/>
        <w:rPr>
          <w:rFonts w:hint="eastAsia"/>
        </w:rPr>
      </w:pPr>
    </w:p>
    <w:p w14:paraId="21CB5C83">
      <w:pPr>
        <w:pStyle w:val="9"/>
        <w:spacing w:before="23"/>
        <w:ind w:left="0"/>
        <w:jc w:val="left"/>
        <w:rPr>
          <w:rFonts w:hint="eastAsia"/>
        </w:rPr>
      </w:pPr>
      <w:r>
        <w:rPr>
          <w:rFonts w:hint="eastAsia"/>
        </w:rPr>
        <w:t>(Mt. 16:27-17:8, Mark 9:1-13, Luke 9:28-36)</w:t>
      </w:r>
    </w:p>
    <w:p w14:paraId="739B7E41">
      <w:pPr>
        <w:pStyle w:val="9"/>
        <w:spacing w:before="23"/>
        <w:ind w:left="0"/>
        <w:jc w:val="left"/>
        <w:rPr>
          <w:rFonts w:hint="eastAsia"/>
        </w:rPr>
      </w:pPr>
      <w:r>
        <w:rPr>
          <w:rFonts w:hint="eastAsia"/>
        </w:rPr>
        <w:t>（太16:27-17:8，可9:1-13，路9:28-36）</w:t>
      </w:r>
    </w:p>
    <w:p w14:paraId="291028D4">
      <w:pPr>
        <w:pStyle w:val="9"/>
        <w:spacing w:before="23"/>
        <w:ind w:left="0"/>
        <w:jc w:val="left"/>
        <w:rPr>
          <w:rFonts w:hint="eastAsia"/>
        </w:rPr>
      </w:pPr>
    </w:p>
    <w:p w14:paraId="46937590">
      <w:pPr>
        <w:pStyle w:val="9"/>
        <w:spacing w:before="23"/>
        <w:ind w:left="0"/>
        <w:jc w:val="left"/>
        <w:rPr>
          <w:rFonts w:hint="eastAsia"/>
        </w:rPr>
      </w:pPr>
      <w:r>
        <w:rPr>
          <w:rFonts w:hint="eastAsia"/>
        </w:rPr>
        <w:t>The Transfiguration was a dramatic didactic event, meant to teach all God’s people important eschatological truths.</w:t>
      </w:r>
    </w:p>
    <w:p w14:paraId="2DF9F872">
      <w:pPr>
        <w:pStyle w:val="9"/>
        <w:spacing w:before="23"/>
        <w:ind w:left="0"/>
        <w:jc w:val="left"/>
        <w:rPr>
          <w:rFonts w:hint="eastAsia"/>
        </w:rPr>
      </w:pPr>
      <w:r>
        <w:rPr>
          <w:rFonts w:hint="eastAsia"/>
        </w:rPr>
        <w:t>变像是一个戏剧性的教导性事件，意在教导所有上帝的子民重要的末世论真理。</w:t>
      </w:r>
    </w:p>
    <w:p w14:paraId="217C22B2">
      <w:pPr>
        <w:pStyle w:val="9"/>
        <w:spacing w:before="23"/>
        <w:ind w:left="0"/>
        <w:jc w:val="left"/>
        <w:rPr>
          <w:rFonts w:hint="eastAsia"/>
        </w:rPr>
      </w:pPr>
    </w:p>
    <w:p w14:paraId="0184054C">
      <w:pPr>
        <w:pStyle w:val="9"/>
        <w:spacing w:before="23"/>
        <w:ind w:left="0"/>
        <w:jc w:val="left"/>
        <w:rPr>
          <w:rFonts w:hint="eastAsia"/>
        </w:rPr>
      </w:pPr>
      <w:r>
        <w:rPr>
          <w:rFonts w:hint="eastAsia"/>
        </w:rPr>
        <w:t>To understand it, we must recall a related event that occurred just six days prior.</w:t>
      </w:r>
    </w:p>
    <w:p w14:paraId="45FD98CC">
      <w:pPr>
        <w:pStyle w:val="9"/>
        <w:spacing w:before="23"/>
        <w:ind w:left="0"/>
        <w:jc w:val="left"/>
        <w:rPr>
          <w:rFonts w:hint="eastAsia"/>
        </w:rPr>
      </w:pPr>
      <w:r>
        <w:rPr>
          <w:rFonts w:hint="eastAsia"/>
        </w:rPr>
        <w:t>要理解它，我们必须回想六天前发生的一件相关事件。</w:t>
      </w:r>
    </w:p>
    <w:p w14:paraId="0ADEB74C">
      <w:pPr>
        <w:pStyle w:val="9"/>
        <w:spacing w:before="23"/>
        <w:ind w:left="0"/>
        <w:jc w:val="left"/>
        <w:rPr>
          <w:rFonts w:hint="eastAsia"/>
        </w:rPr>
      </w:pPr>
    </w:p>
    <w:p w14:paraId="480AEC3B">
      <w:pPr>
        <w:pStyle w:val="9"/>
        <w:spacing w:before="23"/>
        <w:ind w:left="0"/>
        <w:jc w:val="left"/>
        <w:rPr>
          <w:rFonts w:hint="eastAsia"/>
        </w:rPr>
      </w:pPr>
      <w:r>
        <w:rPr>
          <w:rFonts w:hint="eastAsia"/>
        </w:rPr>
        <w:t>Jesus had been speaking with his disciples about the cost of discipleship (Mt. 16: 24-26).</w:t>
      </w:r>
    </w:p>
    <w:p w14:paraId="1FCF5478">
      <w:pPr>
        <w:pStyle w:val="9"/>
        <w:spacing w:before="23"/>
        <w:ind w:left="0"/>
        <w:jc w:val="left"/>
        <w:rPr>
          <w:rFonts w:hint="eastAsia"/>
        </w:rPr>
      </w:pPr>
      <w:r>
        <w:rPr>
          <w:rFonts w:hint="eastAsia"/>
        </w:rPr>
        <w:t>耶稣曾与祂的门徒谈论作门徒的代价（太16:24-26）。</w:t>
      </w:r>
    </w:p>
    <w:p w14:paraId="263F2DFC">
      <w:pPr>
        <w:pStyle w:val="9"/>
        <w:spacing w:before="23"/>
        <w:ind w:left="0"/>
        <w:jc w:val="left"/>
        <w:rPr>
          <w:rFonts w:hint="eastAsia"/>
        </w:rPr>
      </w:pPr>
    </w:p>
    <w:p w14:paraId="3CF40A76">
      <w:pPr>
        <w:pStyle w:val="9"/>
        <w:spacing w:before="23"/>
        <w:ind w:left="0"/>
        <w:jc w:val="left"/>
        <w:rPr>
          <w:rFonts w:hint="eastAsia"/>
        </w:rPr>
      </w:pPr>
      <w:r>
        <w:rPr>
          <w:rFonts w:hint="eastAsia"/>
        </w:rPr>
        <w:t>Then, seeking to move them to take up their cross and follow him into Gospel ministry, he reminded them of the Consummation.</w:t>
      </w:r>
    </w:p>
    <w:p w14:paraId="1970DD43">
      <w:pPr>
        <w:pStyle w:val="9"/>
        <w:spacing w:before="23"/>
        <w:ind w:left="0"/>
        <w:jc w:val="left"/>
        <w:rPr>
          <w:rFonts w:hint="eastAsia"/>
        </w:rPr>
      </w:pPr>
      <w:r>
        <w:rPr>
          <w:rFonts w:hint="eastAsia"/>
        </w:rPr>
        <w:t>然后，为要激励他们背起十字架跟从祂进入福音事工，祂提醒他们关于最终的成全。</w:t>
      </w:r>
    </w:p>
    <w:p w14:paraId="7B42904C">
      <w:pPr>
        <w:pStyle w:val="9"/>
        <w:spacing w:before="23"/>
        <w:ind w:left="0"/>
        <w:jc w:val="left"/>
        <w:rPr>
          <w:rFonts w:hint="eastAsia"/>
        </w:rPr>
      </w:pPr>
    </w:p>
    <w:p w14:paraId="635E6E80">
      <w:pPr>
        <w:pStyle w:val="9"/>
        <w:spacing w:before="23"/>
        <w:ind w:left="0"/>
        <w:jc w:val="left"/>
        <w:rPr>
          <w:rFonts w:hint="eastAsia"/>
        </w:rPr>
      </w:pPr>
      <w:r>
        <w:rPr>
          <w:rFonts w:hint="eastAsia"/>
        </w:rPr>
        <w:t>“The Son of Man,” he said, “will come in the glory of his heavenly Father, with all the holy angels, and reward each person according to his works” (Mt. 16:27).</w:t>
      </w:r>
    </w:p>
    <w:p w14:paraId="6AF89EF3">
      <w:pPr>
        <w:pStyle w:val="9"/>
        <w:spacing w:before="23"/>
        <w:ind w:left="0"/>
        <w:jc w:val="left"/>
        <w:rPr>
          <w:rFonts w:hint="eastAsia"/>
        </w:rPr>
      </w:pPr>
      <w:r>
        <w:rPr>
          <w:rFonts w:hint="eastAsia"/>
        </w:rPr>
        <w:t>“人子，”祂说，“要在他父的荣耀里，同着众使者降临；那时候，祂要照各人的行为报应各人”（太16:27）。</w:t>
      </w:r>
    </w:p>
    <w:p w14:paraId="736D23F7">
      <w:pPr>
        <w:pStyle w:val="9"/>
        <w:spacing w:before="23"/>
        <w:ind w:left="0"/>
        <w:jc w:val="left"/>
        <w:rPr>
          <w:rFonts w:hint="eastAsia"/>
        </w:rPr>
      </w:pPr>
    </w:p>
    <w:p w14:paraId="2F50695D">
      <w:pPr>
        <w:pStyle w:val="9"/>
        <w:spacing w:before="23"/>
        <w:ind w:left="0"/>
        <w:jc w:val="left"/>
        <w:rPr>
          <w:rFonts w:hint="eastAsia"/>
        </w:rPr>
      </w:pPr>
      <w:r>
        <w:rPr>
          <w:rFonts w:hint="eastAsia"/>
        </w:rPr>
        <w:t>Moreover, he concluded by making this mysterious promise: “Truly, I say to you, there are some standing here who will not taste death until they see the Son of Man coming in his Kingdom” (Mt. 16:28).</w:t>
      </w:r>
    </w:p>
    <w:p w14:paraId="51321E77">
      <w:pPr>
        <w:pStyle w:val="9"/>
        <w:spacing w:before="23"/>
        <w:ind w:left="0"/>
        <w:jc w:val="left"/>
        <w:rPr>
          <w:rFonts w:hint="eastAsia"/>
        </w:rPr>
      </w:pPr>
      <w:r>
        <w:rPr>
          <w:rFonts w:hint="eastAsia"/>
        </w:rPr>
        <w:t>此外，祂最后作了这个神秘的应许：“我实在告诉你们，站在这里的，有人在没尝死味以前，必看见人子降临在祂的国里”（太16:28）。</w:t>
      </w:r>
    </w:p>
    <w:p w14:paraId="3BCA046A">
      <w:pPr>
        <w:pStyle w:val="9"/>
        <w:spacing w:before="23"/>
        <w:ind w:left="0"/>
        <w:jc w:val="left"/>
        <w:rPr>
          <w:rFonts w:hint="eastAsia"/>
        </w:rPr>
      </w:pPr>
    </w:p>
    <w:p w14:paraId="5C406ACB">
      <w:pPr>
        <w:pStyle w:val="9"/>
        <w:spacing w:before="23"/>
        <w:ind w:left="0"/>
        <w:jc w:val="left"/>
        <w:rPr>
          <w:rFonts w:hint="eastAsia"/>
        </w:rPr>
      </w:pPr>
      <w:r>
        <w:rPr>
          <w:rFonts w:hint="eastAsia"/>
        </w:rPr>
        <w:t>Mark’s Gospel says it this way: “… until they see the Kingdom of God after it has come with power” (Mark 9:1, ESV).</w:t>
      </w:r>
    </w:p>
    <w:p w14:paraId="41E3E9CF">
      <w:pPr>
        <w:pStyle w:val="9"/>
        <w:spacing w:before="23"/>
        <w:ind w:left="0"/>
        <w:jc w:val="left"/>
        <w:rPr>
          <w:rFonts w:hint="eastAsia"/>
        </w:rPr>
      </w:pPr>
      <w:r>
        <w:rPr>
          <w:rFonts w:hint="eastAsia"/>
        </w:rPr>
        <w:t>马可福音这样说：“……直到他们看见上帝的国带着能力降临”（马可福音9:1，英文标准版）。</w:t>
      </w:r>
    </w:p>
    <w:p w14:paraId="3022E0F9">
      <w:pPr>
        <w:pStyle w:val="9"/>
        <w:spacing w:before="23"/>
        <w:ind w:left="0"/>
        <w:jc w:val="left"/>
        <w:rPr>
          <w:rFonts w:hint="eastAsia"/>
        </w:rPr>
      </w:pPr>
    </w:p>
    <w:p w14:paraId="73291308">
      <w:pPr>
        <w:pStyle w:val="9"/>
        <w:spacing w:before="23"/>
        <w:ind w:left="0"/>
        <w:jc w:val="left"/>
        <w:rPr>
          <w:rFonts w:hint="eastAsia"/>
        </w:rPr>
      </w:pPr>
      <w:r>
        <w:rPr>
          <w:rFonts w:hint="eastAsia"/>
        </w:rPr>
        <w:t>These words were fulfilled at his Transfiguration.</w:t>
      </w:r>
    </w:p>
    <w:p w14:paraId="7641DA50">
      <w:pPr>
        <w:pStyle w:val="9"/>
        <w:spacing w:before="23"/>
        <w:ind w:left="0"/>
        <w:jc w:val="left"/>
        <w:rPr>
          <w:rFonts w:hint="eastAsia"/>
        </w:rPr>
      </w:pPr>
      <w:r>
        <w:rPr>
          <w:rFonts w:hint="eastAsia"/>
        </w:rPr>
        <w:t>这些话在祂变像时应验了。</w:t>
      </w:r>
    </w:p>
    <w:p w14:paraId="26910134">
      <w:pPr>
        <w:pStyle w:val="9"/>
        <w:spacing w:before="23"/>
        <w:ind w:left="0"/>
        <w:jc w:val="left"/>
        <w:rPr>
          <w:rFonts w:hint="eastAsia"/>
        </w:rPr>
      </w:pPr>
    </w:p>
    <w:p w14:paraId="6711EC45">
      <w:pPr>
        <w:pStyle w:val="9"/>
        <w:spacing w:before="23"/>
        <w:ind w:left="0"/>
        <w:jc w:val="left"/>
        <w:rPr>
          <w:rFonts w:hint="eastAsia"/>
        </w:rPr>
      </w:pPr>
      <w:r>
        <w:rPr>
          <w:rFonts w:hint="eastAsia"/>
        </w:rPr>
        <w:t>Shortly after exhorting them as he did, Jesus took some of his disciples—Peter, James, and John—up to a high mountain, where he suddenly became radiant before them; where Moses and Elijah appeared with him in glory; where God himself appeared to them in a cloud of glory; and where they themselves entered the glory (Luke 9:34)!</w:t>
      </w:r>
    </w:p>
    <w:p w14:paraId="309BE922">
      <w:pPr>
        <w:pStyle w:val="9"/>
        <w:spacing w:before="23"/>
        <w:ind w:left="0"/>
        <w:jc w:val="left"/>
        <w:rPr>
          <w:rFonts w:hint="eastAsia"/>
        </w:rPr>
      </w:pPr>
      <w:r>
        <w:rPr>
          <w:rFonts w:hint="eastAsia"/>
        </w:rPr>
        <w:t>在祂如此劝勉他们之后不久，耶稣带着祂的一些门徒——彼得、雅各和约翰——上了一座高山，在那里祂突然在他们面前变了形像，容光焕发；在那里摩西和以利亚在荣耀中与祂一同显现；在那里上帝祂自己也在荣耀的云彩中向他们显现；在那里他们自己也进入了那荣耀中（路加福音9:34）！</w:t>
      </w:r>
    </w:p>
    <w:p w14:paraId="43222900">
      <w:pPr>
        <w:pStyle w:val="9"/>
        <w:spacing w:before="23"/>
        <w:ind w:left="0"/>
        <w:jc w:val="left"/>
        <w:rPr>
          <w:rFonts w:hint="eastAsia"/>
        </w:rPr>
      </w:pPr>
    </w:p>
    <w:p w14:paraId="3AE90D9C">
      <w:pPr>
        <w:pStyle w:val="9"/>
        <w:spacing w:before="23"/>
        <w:ind w:left="0"/>
        <w:jc w:val="left"/>
        <w:rPr>
          <w:rFonts w:hint="eastAsia"/>
        </w:rPr>
      </w:pPr>
      <w:r>
        <w:rPr>
          <w:rFonts w:hint="eastAsia"/>
        </w:rPr>
        <w:t>Truly, there was glory everywhere!</w:t>
      </w:r>
    </w:p>
    <w:p w14:paraId="378F8537">
      <w:pPr>
        <w:pStyle w:val="9"/>
        <w:spacing w:before="23"/>
        <w:ind w:left="0"/>
        <w:jc w:val="left"/>
        <w:rPr>
          <w:rFonts w:hint="eastAsia"/>
        </w:rPr>
      </w:pPr>
      <w:r>
        <w:rPr>
          <w:rFonts w:hint="eastAsia"/>
        </w:rPr>
        <w:t>真的，到处都是荣耀！</w:t>
      </w:r>
    </w:p>
    <w:p w14:paraId="1A486FE8">
      <w:pPr>
        <w:pStyle w:val="9"/>
        <w:spacing w:before="23"/>
        <w:ind w:left="0"/>
        <w:jc w:val="left"/>
        <w:rPr>
          <w:rFonts w:hint="eastAsia"/>
        </w:rPr>
      </w:pPr>
    </w:p>
    <w:p w14:paraId="3315E14C">
      <w:pPr>
        <w:pStyle w:val="9"/>
        <w:spacing w:before="23"/>
        <w:ind w:left="0"/>
        <w:jc w:val="left"/>
        <w:rPr>
          <w:rFonts w:hint="eastAsia"/>
        </w:rPr>
      </w:pPr>
      <w:r>
        <w:rPr>
          <w:rFonts w:hint="eastAsia"/>
        </w:rPr>
        <w:t>All things were shining like the sun in its strength (Mt. 13:43)!</w:t>
      </w:r>
    </w:p>
    <w:p w14:paraId="0D0470C2">
      <w:pPr>
        <w:pStyle w:val="9"/>
        <w:spacing w:before="23"/>
        <w:ind w:left="0"/>
        <w:jc w:val="left"/>
        <w:rPr>
          <w:rFonts w:hint="eastAsia"/>
        </w:rPr>
      </w:pPr>
      <w:r>
        <w:rPr>
          <w:rFonts w:hint="eastAsia"/>
        </w:rPr>
        <w:t>万物都发光，如同太阳放光（太13:43）！</w:t>
      </w:r>
    </w:p>
    <w:p w14:paraId="209CD6DB">
      <w:pPr>
        <w:pStyle w:val="9"/>
        <w:spacing w:before="23"/>
        <w:ind w:left="0"/>
        <w:jc w:val="left"/>
        <w:rPr>
          <w:rFonts w:hint="eastAsia"/>
        </w:rPr>
      </w:pPr>
    </w:p>
    <w:p w14:paraId="18E3CDC6">
      <w:pPr>
        <w:pStyle w:val="9"/>
        <w:spacing w:before="23"/>
        <w:ind w:left="0"/>
        <w:jc w:val="left"/>
        <w:rPr>
          <w:rFonts w:hint="eastAsia"/>
        </w:rPr>
      </w:pPr>
      <w:r>
        <w:rPr>
          <w:rFonts w:hint="eastAsia"/>
        </w:rPr>
        <w:t>The meaning of all this is as clear as it is thrilling.</w:t>
      </w:r>
    </w:p>
    <w:p w14:paraId="13C9D246">
      <w:pPr>
        <w:pStyle w:val="9"/>
        <w:spacing w:before="23"/>
        <w:ind w:left="0"/>
        <w:jc w:val="left"/>
        <w:rPr>
          <w:rFonts w:hint="eastAsia"/>
        </w:rPr>
      </w:pPr>
      <w:r>
        <w:rPr>
          <w:rFonts w:hint="eastAsia"/>
        </w:rPr>
        <w:t>这一切的意义既清晰又令人激动。</w:t>
      </w:r>
    </w:p>
    <w:p w14:paraId="4B789082">
      <w:pPr>
        <w:pStyle w:val="9"/>
        <w:spacing w:before="23"/>
        <w:ind w:left="0"/>
        <w:jc w:val="left"/>
        <w:rPr>
          <w:rFonts w:hint="eastAsia"/>
        </w:rPr>
      </w:pPr>
    </w:p>
    <w:p w14:paraId="3CA8CD0E">
      <w:pPr>
        <w:pStyle w:val="9"/>
        <w:spacing w:before="23"/>
        <w:ind w:left="0"/>
        <w:jc w:val="left"/>
        <w:rPr>
          <w:rFonts w:hint="eastAsia"/>
        </w:rPr>
      </w:pPr>
      <w:r>
        <w:rPr>
          <w:rFonts w:hint="eastAsia"/>
        </w:rPr>
        <w:t>At the Transfiguration, Jesus was giving his followers a sneak preview of the eternal reward of Christian discipleship; the glorious Kingdom of God; the Kingdom in its full and final form; the Kingdom after it has come with power.</w:t>
      </w:r>
    </w:p>
    <w:p w14:paraId="47E5D240">
      <w:pPr>
        <w:pStyle w:val="9"/>
        <w:spacing w:before="23"/>
        <w:ind w:left="0"/>
        <w:jc w:val="left"/>
        <w:rPr>
          <w:rFonts w:hint="eastAsia"/>
        </w:rPr>
      </w:pPr>
      <w:r>
        <w:rPr>
          <w:rFonts w:hint="eastAsia"/>
        </w:rPr>
        <w:t>在变像时，耶稣正在给祂的跟随者预先一瞥基督徒门徒身份的永恒赏赐；荣耀的上帝之国；国度在其完全和最终的形式中；国度带着能力降临之后。</w:t>
      </w:r>
    </w:p>
    <w:p w14:paraId="70834820">
      <w:pPr>
        <w:pStyle w:val="9"/>
        <w:spacing w:before="23"/>
        <w:ind w:left="0"/>
        <w:jc w:val="left"/>
        <w:rPr>
          <w:rFonts w:hint="eastAsia"/>
        </w:rPr>
      </w:pPr>
    </w:p>
    <w:p w14:paraId="292D8392">
      <w:pPr>
        <w:pStyle w:val="9"/>
        <w:spacing w:before="23"/>
        <w:ind w:left="0"/>
        <w:jc w:val="left"/>
        <w:rPr>
          <w:rFonts w:hint="eastAsia"/>
        </w:rPr>
      </w:pPr>
      <w:r>
        <w:rPr>
          <w:rFonts w:hint="eastAsia"/>
        </w:rPr>
        <w:t>But when does this Kingdom appear?</w:t>
      </w:r>
    </w:p>
    <w:p w14:paraId="2AB10D93">
      <w:pPr>
        <w:pStyle w:val="9"/>
        <w:spacing w:before="23"/>
        <w:ind w:left="0"/>
        <w:jc w:val="left"/>
        <w:rPr>
          <w:rFonts w:hint="eastAsia"/>
        </w:rPr>
      </w:pPr>
      <w:r>
        <w:rPr>
          <w:rFonts w:hint="eastAsia"/>
        </w:rPr>
        <w:t>但这国度何时显现呢？</w:t>
      </w:r>
    </w:p>
    <w:p w14:paraId="3A0F49D2">
      <w:pPr>
        <w:pStyle w:val="9"/>
        <w:spacing w:before="23"/>
        <w:ind w:left="0"/>
        <w:jc w:val="left"/>
        <w:rPr>
          <w:rFonts w:hint="eastAsia"/>
        </w:rPr>
      </w:pPr>
    </w:p>
    <w:p w14:paraId="755191E7">
      <w:pPr>
        <w:pStyle w:val="9"/>
        <w:spacing w:before="23"/>
        <w:ind w:left="0"/>
        <w:jc w:val="left"/>
        <w:rPr>
          <w:rFonts w:hint="eastAsia"/>
        </w:rPr>
      </w:pPr>
      <w:r>
        <w:rPr>
          <w:rFonts w:hint="eastAsia"/>
        </w:rPr>
        <w:t>Jesus had told them, just six days earlier: It will appear at the Coming of the Son of Man with all the holy angels; it will appear after he raises the dead (as he will Moses), and after he transforms the living (as he did Elijah); it will appear after he recompenses each person according to his works.</w:t>
      </w:r>
    </w:p>
    <w:p w14:paraId="630EF6F6">
      <w:pPr>
        <w:pStyle w:val="9"/>
        <w:spacing w:before="23"/>
        <w:ind w:left="0"/>
        <w:jc w:val="left"/>
        <w:rPr>
          <w:rFonts w:hint="eastAsia"/>
        </w:rPr>
      </w:pPr>
      <w:r>
        <w:rPr>
          <w:rFonts w:hint="eastAsia"/>
        </w:rPr>
        <w:t>耶稣六天前就已告诉他们：它将在人子与众圣天使一同降临时显现；它将在祂使死人复活（如祂将使摩西复活），并在祂改变活人（如祂对以利亚所作的）之后显现；它将在祂照各人所行的报应各人之后显现。</w:t>
      </w:r>
    </w:p>
    <w:p w14:paraId="62687114">
      <w:pPr>
        <w:pStyle w:val="9"/>
        <w:spacing w:before="23"/>
        <w:ind w:left="0"/>
        <w:jc w:val="left"/>
        <w:rPr>
          <w:rFonts w:hint="eastAsia"/>
        </w:rPr>
      </w:pPr>
    </w:p>
    <w:p w14:paraId="5C52A7A7">
      <w:pPr>
        <w:pStyle w:val="9"/>
        <w:spacing w:before="23"/>
        <w:ind w:left="0"/>
        <w:jc w:val="left"/>
        <w:rPr>
          <w:rFonts w:hint="eastAsia"/>
        </w:rPr>
      </w:pPr>
      <w:r>
        <w:rPr>
          <w:rFonts w:hint="eastAsia"/>
        </w:rPr>
        <w:t>In short, the completed Kingdom of God will appear at the Parousia, after a general Resurrection and general Final Judgment.</w:t>
      </w:r>
    </w:p>
    <w:p w14:paraId="16E5F508">
      <w:pPr>
        <w:pStyle w:val="9"/>
        <w:spacing w:before="23"/>
        <w:ind w:left="0"/>
        <w:jc w:val="left"/>
        <w:rPr>
          <w:rFonts w:hint="eastAsia"/>
        </w:rPr>
      </w:pPr>
      <w:r>
        <w:rPr>
          <w:rFonts w:hint="eastAsia"/>
        </w:rPr>
        <w:t>简而言之，完全的上帝之国将在主临（Parousia）时，在一次普世的复活和普世的最后审判之后显现。</w:t>
      </w:r>
    </w:p>
    <w:p w14:paraId="5120F356">
      <w:pPr>
        <w:pStyle w:val="9"/>
        <w:spacing w:before="23"/>
        <w:ind w:left="0"/>
        <w:jc w:val="left"/>
        <w:rPr>
          <w:rFonts w:hint="eastAsia"/>
        </w:rPr>
      </w:pPr>
    </w:p>
    <w:p w14:paraId="1DFA615D">
      <w:pPr>
        <w:pStyle w:val="9"/>
        <w:spacing w:before="23"/>
        <w:ind w:left="0"/>
        <w:jc w:val="left"/>
        <w:rPr>
          <w:rFonts w:hint="eastAsia"/>
        </w:rPr>
      </w:pPr>
      <w:r>
        <w:rPr>
          <w:rFonts w:hint="eastAsia"/>
        </w:rPr>
        <w:t>Thus, the three Gospel narratives of the Transfiguration teach us that there is a single Consummation set to occur at the Parousia of Christ.</w:t>
      </w:r>
    </w:p>
    <w:p w14:paraId="66C7215F">
      <w:pPr>
        <w:pStyle w:val="9"/>
        <w:spacing w:before="23"/>
        <w:ind w:left="0"/>
        <w:jc w:val="left"/>
        <w:rPr>
          <w:rFonts w:hint="eastAsia"/>
        </w:rPr>
      </w:pPr>
      <w:r>
        <w:rPr>
          <w:rFonts w:hint="eastAsia"/>
        </w:rPr>
        <w:t>因此，三本福音书对变像的叙述教导我们，有一个单一的最终成全，将在基督的主临（Parousia）时发生。</w:t>
      </w:r>
    </w:p>
    <w:p w14:paraId="6B3D365C">
      <w:pPr>
        <w:pStyle w:val="9"/>
        <w:spacing w:before="23"/>
        <w:ind w:left="0"/>
        <w:jc w:val="left"/>
        <w:rPr>
          <w:rFonts w:hint="eastAsia"/>
        </w:rPr>
      </w:pPr>
    </w:p>
    <w:p w14:paraId="52687F3B">
      <w:pPr>
        <w:pStyle w:val="9"/>
        <w:spacing w:before="23"/>
        <w:ind w:left="0"/>
        <w:jc w:val="left"/>
        <w:rPr>
          <w:rFonts w:hint="eastAsia"/>
        </w:rPr>
      </w:pPr>
      <w:r>
        <w:rPr>
          <w:rFonts w:hint="eastAsia"/>
        </w:rPr>
        <w:t>3.In the Regeneration</w:t>
      </w:r>
    </w:p>
    <w:p w14:paraId="210FC9AA">
      <w:pPr>
        <w:pStyle w:val="9"/>
        <w:spacing w:before="23"/>
        <w:ind w:left="0"/>
        <w:jc w:val="left"/>
        <w:rPr>
          <w:rFonts w:hint="eastAsia"/>
        </w:rPr>
      </w:pPr>
      <w:r>
        <w:rPr>
          <w:rFonts w:hint="eastAsia"/>
        </w:rPr>
        <w:t>3.在复兴的时候</w:t>
      </w:r>
    </w:p>
    <w:p w14:paraId="317A2887">
      <w:pPr>
        <w:pStyle w:val="9"/>
        <w:spacing w:before="23"/>
        <w:ind w:left="0"/>
        <w:jc w:val="left"/>
        <w:rPr>
          <w:rFonts w:hint="eastAsia"/>
        </w:rPr>
      </w:pPr>
    </w:p>
    <w:p w14:paraId="6266226D">
      <w:pPr>
        <w:pStyle w:val="9"/>
        <w:spacing w:before="23"/>
        <w:ind w:left="0"/>
        <w:jc w:val="left"/>
        <w:rPr>
          <w:rFonts w:hint="eastAsia"/>
        </w:rPr>
      </w:pPr>
      <w:r>
        <w:rPr>
          <w:rFonts w:hint="eastAsia"/>
        </w:rPr>
        <w:t>(Mt. 19:27-28, Luke 22:28)</w:t>
      </w:r>
    </w:p>
    <w:p w14:paraId="3D043DDE">
      <w:pPr>
        <w:pStyle w:val="9"/>
        <w:spacing w:before="23"/>
        <w:ind w:left="0"/>
        <w:jc w:val="left"/>
        <w:rPr>
          <w:rFonts w:hint="eastAsia"/>
        </w:rPr>
      </w:pPr>
      <w:r>
        <w:rPr>
          <w:rFonts w:hint="eastAsia"/>
        </w:rPr>
        <w:t>（太19:27-28，路22:28）</w:t>
      </w:r>
    </w:p>
    <w:p w14:paraId="130EF251">
      <w:pPr>
        <w:pStyle w:val="9"/>
        <w:spacing w:before="23"/>
        <w:ind w:left="0"/>
        <w:jc w:val="left"/>
        <w:rPr>
          <w:rFonts w:hint="eastAsia"/>
        </w:rPr>
      </w:pPr>
    </w:p>
    <w:p w14:paraId="6BB830E9">
      <w:pPr>
        <w:pStyle w:val="9"/>
        <w:spacing w:before="23"/>
        <w:ind w:left="0"/>
        <w:jc w:val="left"/>
        <w:rPr>
          <w:rFonts w:hint="eastAsia"/>
        </w:rPr>
      </w:pPr>
      <w:r>
        <w:rPr>
          <w:rFonts w:hint="eastAsia"/>
        </w:rPr>
        <w:t>This is one of the two or three texts in the Didactic NT to which premillennarians appeal in support of their eschatology.</w:t>
      </w:r>
    </w:p>
    <w:p w14:paraId="5B350ABE">
      <w:pPr>
        <w:pStyle w:val="9"/>
        <w:spacing w:before="23"/>
        <w:ind w:left="0"/>
        <w:jc w:val="left"/>
        <w:rPr>
          <w:rFonts w:hint="eastAsia"/>
        </w:rPr>
      </w:pPr>
      <w:r>
        <w:rPr>
          <w:rFonts w:hint="eastAsia"/>
        </w:rPr>
        <w:t>这是教导性新约中前千禧年论者为支持其末世论而引用的两三段经文之一。</w:t>
      </w:r>
    </w:p>
    <w:p w14:paraId="5D4E78EC">
      <w:pPr>
        <w:pStyle w:val="9"/>
        <w:spacing w:before="23"/>
        <w:ind w:left="0"/>
        <w:jc w:val="left"/>
        <w:rPr>
          <w:rFonts w:hint="eastAsia"/>
        </w:rPr>
      </w:pPr>
    </w:p>
    <w:p w14:paraId="3B7B5610">
      <w:pPr>
        <w:pStyle w:val="9"/>
        <w:spacing w:before="23"/>
        <w:ind w:left="0"/>
        <w:jc w:val="left"/>
        <w:rPr>
          <w:rFonts w:hint="eastAsia"/>
        </w:rPr>
      </w:pPr>
      <w:r>
        <w:rPr>
          <w:rFonts w:hint="eastAsia"/>
        </w:rPr>
        <w:t>Here they find Jesus saying that in his earthly, millennial Kingdom, the twelve apostles will govern with him over ethnic Israel.</w:t>
      </w:r>
    </w:p>
    <w:p w14:paraId="765CA1AC">
      <w:pPr>
        <w:pStyle w:val="9"/>
        <w:spacing w:before="23"/>
        <w:ind w:left="0"/>
        <w:jc w:val="left"/>
        <w:rPr>
          <w:rFonts w:hint="eastAsia"/>
        </w:rPr>
      </w:pPr>
      <w:r>
        <w:rPr>
          <w:rFonts w:hint="eastAsia"/>
        </w:rPr>
        <w:t>在这里，他们发现耶稣说，在祂地上的千禧年国度里，十二使徒将与祂一同治理以色列民族。</w:t>
      </w:r>
    </w:p>
    <w:p w14:paraId="0FFCD9FE">
      <w:pPr>
        <w:pStyle w:val="9"/>
        <w:spacing w:before="23"/>
        <w:ind w:left="0"/>
        <w:jc w:val="left"/>
        <w:rPr>
          <w:rFonts w:hint="eastAsia"/>
        </w:rPr>
      </w:pPr>
    </w:p>
    <w:p w14:paraId="39710A91">
      <w:pPr>
        <w:pStyle w:val="9"/>
        <w:spacing w:before="23"/>
        <w:ind w:left="0"/>
        <w:jc w:val="left"/>
        <w:rPr>
          <w:rFonts w:hint="eastAsia"/>
        </w:rPr>
      </w:pPr>
      <w:r>
        <w:rPr>
          <w:rFonts w:hint="eastAsia"/>
        </w:rPr>
        <w:t>However, this view is problematic.</w:t>
      </w:r>
    </w:p>
    <w:p w14:paraId="5864AAFA">
      <w:pPr>
        <w:pStyle w:val="9"/>
        <w:spacing w:before="23"/>
        <w:ind w:left="0"/>
        <w:jc w:val="left"/>
        <w:rPr>
          <w:rFonts w:hint="eastAsia"/>
        </w:rPr>
      </w:pPr>
      <w:r>
        <w:rPr>
          <w:rFonts w:hint="eastAsia"/>
        </w:rPr>
        <w:t>然而，这种观点是有问题的。</w:t>
      </w:r>
    </w:p>
    <w:p w14:paraId="0C40670B">
      <w:pPr>
        <w:pStyle w:val="9"/>
        <w:spacing w:before="23"/>
        <w:ind w:left="0"/>
        <w:jc w:val="left"/>
        <w:rPr>
          <w:rFonts w:hint="eastAsia"/>
        </w:rPr>
      </w:pPr>
    </w:p>
    <w:p w14:paraId="1AA066E2">
      <w:pPr>
        <w:pStyle w:val="9"/>
        <w:spacing w:before="23"/>
        <w:ind w:left="0"/>
        <w:jc w:val="left"/>
        <w:rPr>
          <w:rFonts w:hint="eastAsia"/>
        </w:rPr>
      </w:pPr>
      <w:r>
        <w:rPr>
          <w:rFonts w:hint="eastAsia"/>
        </w:rPr>
        <w:t>Jesus says, “In the regeneration,” or, as the ESV translates, “In the New World.”</w:t>
      </w:r>
    </w:p>
    <w:p w14:paraId="2E593F0C">
      <w:pPr>
        <w:pStyle w:val="9"/>
        <w:spacing w:before="23"/>
        <w:ind w:left="0"/>
        <w:jc w:val="left"/>
        <w:rPr>
          <w:rFonts w:hint="eastAsia"/>
        </w:rPr>
      </w:pPr>
      <w:r>
        <w:rPr>
          <w:rFonts w:hint="eastAsia"/>
        </w:rPr>
        <w:t>耶稣说，“在复兴的时候”，或者，如英文标准版所翻译的，“在新世界里”。</w:t>
      </w:r>
    </w:p>
    <w:p w14:paraId="6B92A0C4">
      <w:pPr>
        <w:pStyle w:val="9"/>
        <w:spacing w:before="23"/>
        <w:ind w:left="0"/>
        <w:jc w:val="left"/>
        <w:rPr>
          <w:rFonts w:hint="eastAsia"/>
        </w:rPr>
      </w:pPr>
    </w:p>
    <w:p w14:paraId="076E6FA8">
      <w:pPr>
        <w:pStyle w:val="9"/>
        <w:spacing w:before="23"/>
        <w:ind w:left="0"/>
        <w:jc w:val="left"/>
        <w:rPr>
          <w:rFonts w:hint="eastAsia"/>
        </w:rPr>
      </w:pPr>
      <w:r>
        <w:rPr>
          <w:rFonts w:hint="eastAsia"/>
        </w:rPr>
        <w:t>There is only one such world, ushered in by one cosmic transformation, whereas premillennialism, as we have seen, requires two of each.</w:t>
      </w:r>
    </w:p>
    <w:p w14:paraId="5B9B567C">
      <w:pPr>
        <w:pStyle w:val="9"/>
        <w:spacing w:before="23"/>
        <w:ind w:left="0"/>
        <w:jc w:val="left"/>
        <w:rPr>
          <w:rFonts w:hint="eastAsia"/>
        </w:rPr>
      </w:pPr>
      <w:r>
        <w:rPr>
          <w:rFonts w:hint="eastAsia"/>
        </w:rPr>
        <w:t>只有一个这样的世界，由一次宇宙性的转变所引入，而前千禧年论，正如我们所见，则要求各有两次。</w:t>
      </w:r>
    </w:p>
    <w:p w14:paraId="48C37080">
      <w:pPr>
        <w:pStyle w:val="9"/>
        <w:spacing w:before="23"/>
        <w:ind w:left="0"/>
        <w:jc w:val="left"/>
        <w:rPr>
          <w:rFonts w:hint="eastAsia"/>
        </w:rPr>
      </w:pPr>
    </w:p>
    <w:p w14:paraId="676AAF16">
      <w:pPr>
        <w:pStyle w:val="9"/>
        <w:spacing w:before="23"/>
        <w:ind w:left="0"/>
        <w:jc w:val="left"/>
        <w:rPr>
          <w:rFonts w:hint="eastAsia"/>
        </w:rPr>
      </w:pPr>
      <w:r>
        <w:rPr>
          <w:rFonts w:hint="eastAsia"/>
        </w:rPr>
        <w:t>Furthermore, the premillennial interpretation greatly strains credulity, requiring us to imagine twelve glorified apostles sitting on earthly thrones, ruling over mere men; for if natural flesh and blood cannot inherit the glories of the Kingdom of God, how likely is it that glorified men will inherit a world of natural flesh and blood (1 Cor. 15:50, Rev. 1:12-17)?</w:t>
      </w:r>
    </w:p>
    <w:p w14:paraId="305FD748">
      <w:pPr>
        <w:pStyle w:val="9"/>
        <w:spacing w:before="23"/>
        <w:ind w:left="0"/>
        <w:jc w:val="left"/>
        <w:rPr>
          <w:rFonts w:hint="eastAsia"/>
        </w:rPr>
      </w:pPr>
      <w:r>
        <w:rPr>
          <w:rFonts w:hint="eastAsia"/>
        </w:rPr>
        <w:t>此外，前千禧年论的解释极大地挑战了可信度，要求我们想象十二位得荣耀的使徒坐在地上的宝座上，统治着普通人；因为如果属血肉的不能承受上帝之国的荣耀，那么得荣耀的人又有多大可能承受一个属血肉的世界呢（林前15:50，启1:12-17）？</w:t>
      </w:r>
    </w:p>
    <w:p w14:paraId="63EB2728">
      <w:pPr>
        <w:pStyle w:val="9"/>
        <w:spacing w:before="23"/>
        <w:ind w:left="0"/>
        <w:jc w:val="left"/>
        <w:rPr>
          <w:rFonts w:hint="eastAsia"/>
        </w:rPr>
      </w:pPr>
    </w:p>
    <w:p w14:paraId="6C69DC65">
      <w:pPr>
        <w:pStyle w:val="9"/>
        <w:spacing w:before="23"/>
        <w:ind w:left="0"/>
        <w:jc w:val="left"/>
        <w:rPr>
          <w:rFonts w:hint="eastAsia"/>
        </w:rPr>
      </w:pPr>
      <w:r>
        <w:rPr>
          <w:rFonts w:hint="eastAsia"/>
        </w:rPr>
        <w:t>Also, why will the Twelve rule over ethnic Israel, and not over their natural constituency, the Church, of which they are the foundation stones (Eph. 2:20, Rev. 21:14)?</w:t>
      </w:r>
    </w:p>
    <w:p w14:paraId="764BB2CA">
      <w:pPr>
        <w:pStyle w:val="9"/>
        <w:spacing w:before="23"/>
        <w:ind w:left="0"/>
        <w:jc w:val="left"/>
        <w:rPr>
          <w:rFonts w:hint="eastAsia"/>
        </w:rPr>
      </w:pPr>
      <w:r>
        <w:rPr>
          <w:rFonts w:hint="eastAsia"/>
        </w:rPr>
        <w:t>还有，为何十二使徒要统治以色列民族，而不是统治他们自然的选区，即教会，他们是教会的根基石（弗2:20，启21:14）？</w:t>
      </w:r>
    </w:p>
    <w:p w14:paraId="021105DF">
      <w:pPr>
        <w:pStyle w:val="9"/>
        <w:spacing w:before="23"/>
        <w:ind w:left="0"/>
        <w:jc w:val="left"/>
        <w:rPr>
          <w:rFonts w:hint="eastAsia"/>
        </w:rPr>
      </w:pPr>
    </w:p>
    <w:p w14:paraId="3E899DCE">
      <w:pPr>
        <w:pStyle w:val="9"/>
        <w:spacing w:before="23"/>
        <w:ind w:left="0"/>
        <w:jc w:val="left"/>
        <w:rPr>
          <w:rFonts w:hint="eastAsia"/>
        </w:rPr>
      </w:pPr>
      <w:r>
        <w:rPr>
          <w:rFonts w:hint="eastAsia"/>
        </w:rPr>
        <w:t>Surely, then, it is best to conclude that here Jesus speaks of the eschaton, the final state.</w:t>
      </w:r>
    </w:p>
    <w:p w14:paraId="103BB868">
      <w:pPr>
        <w:pStyle w:val="9"/>
        <w:spacing w:before="23"/>
        <w:ind w:left="0"/>
        <w:jc w:val="left"/>
        <w:rPr>
          <w:rFonts w:hint="eastAsia"/>
        </w:rPr>
      </w:pPr>
      <w:r>
        <w:rPr>
          <w:rFonts w:hint="eastAsia"/>
        </w:rPr>
        <w:t>那么，最好还是得出结论，耶稣在这里说的是末世，即最终的状态。</w:t>
      </w:r>
    </w:p>
    <w:p w14:paraId="23B5EE95">
      <w:pPr>
        <w:pStyle w:val="9"/>
        <w:spacing w:before="23"/>
        <w:ind w:left="0"/>
        <w:jc w:val="left"/>
        <w:rPr>
          <w:rFonts w:hint="eastAsia"/>
        </w:rPr>
      </w:pPr>
    </w:p>
    <w:p w14:paraId="0659F588">
      <w:pPr>
        <w:pStyle w:val="9"/>
        <w:spacing w:before="23"/>
        <w:ind w:left="0"/>
        <w:jc w:val="left"/>
        <w:rPr>
          <w:rFonts w:hint="eastAsia"/>
        </w:rPr>
      </w:pPr>
      <w:r>
        <w:rPr>
          <w:rFonts w:hint="eastAsia"/>
        </w:rPr>
        <w:t>His message is: In the New World to Come, I will award my twelve apostles a privileged role in the administration of the completed Kingdom of God (Rev. 3:21).</w:t>
      </w:r>
    </w:p>
    <w:p w14:paraId="7593E48F">
      <w:pPr>
        <w:pStyle w:val="9"/>
        <w:spacing w:before="23"/>
        <w:ind w:left="0"/>
        <w:jc w:val="left"/>
        <w:rPr>
          <w:rFonts w:hint="eastAsia"/>
        </w:rPr>
      </w:pPr>
      <w:r>
        <w:rPr>
          <w:rFonts w:hint="eastAsia"/>
        </w:rPr>
        <w:t>祂的信息是：在将来的新世界里，我将授予我的十二使徒在完全的上帝之国管理中的一个特权角色（启3:21）。</w:t>
      </w:r>
    </w:p>
    <w:p w14:paraId="2573C753">
      <w:pPr>
        <w:pStyle w:val="9"/>
        <w:spacing w:before="23"/>
        <w:ind w:left="0"/>
        <w:jc w:val="left"/>
        <w:rPr>
          <w:rFonts w:hint="eastAsia"/>
        </w:rPr>
      </w:pPr>
    </w:p>
    <w:p w14:paraId="10131125">
      <w:pPr>
        <w:pStyle w:val="9"/>
        <w:spacing w:before="23"/>
        <w:ind w:left="0"/>
        <w:jc w:val="left"/>
        <w:rPr>
          <w:rFonts w:hint="eastAsia"/>
        </w:rPr>
      </w:pPr>
      <w:r>
        <w:rPr>
          <w:rFonts w:hint="eastAsia"/>
        </w:rPr>
        <w:t>4.The Olivet Discourse</w:t>
      </w:r>
    </w:p>
    <w:p w14:paraId="499677AB">
      <w:pPr>
        <w:pStyle w:val="9"/>
        <w:spacing w:before="23"/>
        <w:ind w:left="0"/>
        <w:jc w:val="left"/>
        <w:rPr>
          <w:rFonts w:hint="eastAsia"/>
        </w:rPr>
      </w:pPr>
      <w:r>
        <w:rPr>
          <w:rFonts w:hint="eastAsia"/>
        </w:rPr>
        <w:t>4.橄榄山论述</w:t>
      </w:r>
    </w:p>
    <w:p w14:paraId="48D320D2">
      <w:pPr>
        <w:pStyle w:val="9"/>
        <w:spacing w:before="23"/>
        <w:ind w:left="0"/>
        <w:jc w:val="left"/>
        <w:rPr>
          <w:rFonts w:hint="eastAsia"/>
        </w:rPr>
      </w:pPr>
    </w:p>
    <w:p w14:paraId="250C192D">
      <w:pPr>
        <w:pStyle w:val="9"/>
        <w:spacing w:before="23"/>
        <w:ind w:left="0"/>
        <w:jc w:val="left"/>
        <w:rPr>
          <w:rFonts w:hint="eastAsia"/>
        </w:rPr>
      </w:pPr>
      <w:r>
        <w:rPr>
          <w:rFonts w:hint="eastAsia"/>
        </w:rPr>
        <w:t>(Mt. 24-25, Mark 13, Luke 21:5ff)</w:t>
      </w:r>
    </w:p>
    <w:p w14:paraId="3A6E7F91">
      <w:pPr>
        <w:pStyle w:val="9"/>
        <w:spacing w:before="23"/>
        <w:ind w:left="0"/>
        <w:jc w:val="left"/>
        <w:rPr>
          <w:rFonts w:hint="eastAsia"/>
        </w:rPr>
      </w:pPr>
      <w:r>
        <w:rPr>
          <w:rFonts w:hint="eastAsia"/>
        </w:rPr>
        <w:t>（太24-25，可13，路21:5及以下）</w:t>
      </w:r>
    </w:p>
    <w:p w14:paraId="374C7A10">
      <w:pPr>
        <w:pStyle w:val="9"/>
        <w:spacing w:before="23"/>
        <w:ind w:left="0"/>
        <w:jc w:val="left"/>
        <w:rPr>
          <w:rFonts w:hint="eastAsia"/>
        </w:rPr>
      </w:pPr>
    </w:p>
    <w:p w14:paraId="75D2F4A8">
      <w:pPr>
        <w:pStyle w:val="9"/>
        <w:spacing w:before="23"/>
        <w:ind w:left="0"/>
        <w:jc w:val="left"/>
        <w:rPr>
          <w:rFonts w:hint="eastAsia"/>
        </w:rPr>
      </w:pPr>
      <w:r>
        <w:rPr>
          <w:rFonts w:hint="eastAsia"/>
        </w:rPr>
        <w:t>Shortly before his passion, the Lord Jesus sat with his disciples on the Mount of Olives and taught them about the Consummation.</w:t>
      </w:r>
    </w:p>
    <w:p w14:paraId="5C6816EF">
      <w:pPr>
        <w:pStyle w:val="9"/>
        <w:spacing w:before="23"/>
        <w:ind w:left="0"/>
        <w:jc w:val="left"/>
        <w:rPr>
          <w:rFonts w:hint="eastAsia"/>
        </w:rPr>
      </w:pPr>
      <w:r>
        <w:rPr>
          <w:rFonts w:hint="eastAsia"/>
        </w:rPr>
        <w:t>在祂受难前不久，主耶稣和祂的门徒坐在橄榄山上，教导他们关于最终的成全。</w:t>
      </w:r>
    </w:p>
    <w:p w14:paraId="72C94D65">
      <w:pPr>
        <w:pStyle w:val="9"/>
        <w:spacing w:before="23"/>
        <w:ind w:left="0"/>
        <w:jc w:val="left"/>
        <w:rPr>
          <w:rFonts w:hint="eastAsia"/>
        </w:rPr>
      </w:pPr>
    </w:p>
    <w:p w14:paraId="087F2E82">
      <w:pPr>
        <w:pStyle w:val="9"/>
        <w:spacing w:before="23"/>
        <w:ind w:left="0"/>
        <w:jc w:val="left"/>
        <w:rPr>
          <w:rFonts w:hint="eastAsia"/>
        </w:rPr>
      </w:pPr>
      <w:r>
        <w:rPr>
          <w:rFonts w:hint="eastAsia"/>
        </w:rPr>
        <w:t>All agree that his lengthy discourse, recounted by three of the four Gospel writers, is the single most important dominical teaching on this theme.</w:t>
      </w:r>
    </w:p>
    <w:p w14:paraId="2D83F09D">
      <w:pPr>
        <w:pStyle w:val="9"/>
        <w:spacing w:before="23"/>
        <w:ind w:left="0"/>
        <w:jc w:val="left"/>
        <w:rPr>
          <w:rFonts w:hint="eastAsia"/>
        </w:rPr>
      </w:pPr>
      <w:r>
        <w:rPr>
          <w:rFonts w:hint="eastAsia"/>
        </w:rPr>
        <w:t>所有人都同意，祂这篇由四位福音书作者中的三位所记述的长篇论述，是关于这个主题的最重要的主亲口的教导。</w:t>
      </w:r>
    </w:p>
    <w:p w14:paraId="2CA2D86D">
      <w:pPr>
        <w:pStyle w:val="9"/>
        <w:spacing w:before="23"/>
        <w:ind w:left="0"/>
        <w:jc w:val="left"/>
        <w:rPr>
          <w:rFonts w:hint="eastAsia"/>
        </w:rPr>
      </w:pPr>
    </w:p>
    <w:p w14:paraId="5555C24F">
      <w:pPr>
        <w:pStyle w:val="9"/>
        <w:spacing w:before="23"/>
        <w:ind w:left="0"/>
        <w:jc w:val="left"/>
        <w:rPr>
          <w:rFonts w:hint="eastAsia"/>
        </w:rPr>
      </w:pPr>
      <w:r>
        <w:rPr>
          <w:rFonts w:hint="eastAsia"/>
        </w:rPr>
        <w:t>It is also the most difficult and controversial.</w:t>
      </w:r>
    </w:p>
    <w:p w14:paraId="2620522A">
      <w:pPr>
        <w:pStyle w:val="9"/>
        <w:spacing w:before="23"/>
        <w:ind w:left="0"/>
        <w:jc w:val="left"/>
        <w:rPr>
          <w:rFonts w:hint="eastAsia"/>
        </w:rPr>
      </w:pPr>
      <w:r>
        <w:rPr>
          <w:rFonts w:hint="eastAsia"/>
        </w:rPr>
        <w:t>它也是最困难和最具争议的。</w:t>
      </w:r>
    </w:p>
    <w:p w14:paraId="0397D32F">
      <w:pPr>
        <w:pStyle w:val="9"/>
        <w:spacing w:before="23"/>
        <w:ind w:left="0"/>
        <w:jc w:val="left"/>
        <w:rPr>
          <w:rFonts w:hint="eastAsia"/>
        </w:rPr>
      </w:pPr>
    </w:p>
    <w:p w14:paraId="4A999F87">
      <w:pPr>
        <w:pStyle w:val="9"/>
        <w:spacing w:before="23"/>
        <w:ind w:left="0"/>
        <w:jc w:val="left"/>
        <w:rPr>
          <w:rFonts w:hint="eastAsia"/>
        </w:rPr>
      </w:pPr>
      <w:r>
        <w:rPr>
          <w:rFonts w:hint="eastAsia"/>
        </w:rPr>
        <w:t>If, however, our grip on biblical eschatology is firm, and our understanding of prophetic diction clear, the difficulties are actually quite surmountable and the controversies easily laid to rest.</w:t>
      </w:r>
    </w:p>
    <w:p w14:paraId="22081D48">
      <w:pPr>
        <w:pStyle w:val="9"/>
        <w:spacing w:before="23"/>
        <w:ind w:left="0"/>
        <w:jc w:val="left"/>
        <w:rPr>
          <w:rFonts w:hint="eastAsia"/>
        </w:rPr>
      </w:pPr>
      <w:r>
        <w:rPr>
          <w:rFonts w:hint="eastAsia"/>
        </w:rPr>
        <w:t>然而，如果我们对圣经末世论的把握是坚定的，我们对预言性措辞的理解是清晰的，那么这些困难实际上是相当可以克服的，争议也很容易平息。</w:t>
      </w:r>
    </w:p>
    <w:p w14:paraId="5254210D">
      <w:pPr>
        <w:pStyle w:val="9"/>
        <w:spacing w:before="23"/>
        <w:ind w:left="0"/>
        <w:jc w:val="left"/>
        <w:rPr>
          <w:rFonts w:hint="eastAsia"/>
        </w:rPr>
      </w:pPr>
    </w:p>
    <w:p w14:paraId="5B607CFF">
      <w:pPr>
        <w:pStyle w:val="9"/>
        <w:spacing w:before="23"/>
        <w:ind w:left="0"/>
        <w:jc w:val="left"/>
        <w:rPr>
          <w:rFonts w:hint="eastAsia"/>
        </w:rPr>
      </w:pPr>
      <w:r>
        <w:rPr>
          <w:rFonts w:hint="eastAsia"/>
        </w:rPr>
        <w:t>My approach in this section will be as follows.</w:t>
      </w:r>
    </w:p>
    <w:p w14:paraId="7C389D28">
      <w:pPr>
        <w:pStyle w:val="9"/>
        <w:spacing w:before="23"/>
        <w:ind w:left="0"/>
        <w:jc w:val="left"/>
        <w:rPr>
          <w:rFonts w:hint="eastAsia"/>
        </w:rPr>
      </w:pPr>
      <w:r>
        <w:rPr>
          <w:rFonts w:hint="eastAsia"/>
        </w:rPr>
        <w:t>我在这一部分的方法如下。</w:t>
      </w:r>
    </w:p>
    <w:p w14:paraId="79D23EE5">
      <w:pPr>
        <w:pStyle w:val="9"/>
        <w:spacing w:before="23"/>
        <w:ind w:left="0"/>
        <w:jc w:val="left"/>
        <w:rPr>
          <w:rFonts w:hint="eastAsia"/>
        </w:rPr>
      </w:pPr>
    </w:p>
    <w:p w14:paraId="509D4C16">
      <w:pPr>
        <w:pStyle w:val="9"/>
        <w:spacing w:before="23"/>
        <w:ind w:left="0"/>
        <w:jc w:val="left"/>
        <w:rPr>
          <w:rFonts w:hint="eastAsia"/>
        </w:rPr>
      </w:pPr>
      <w:r>
        <w:rPr>
          <w:rFonts w:hint="eastAsia"/>
        </w:rPr>
        <w:t>First, we will look closely at the disciples’ Question, a question that both elicited the Lord’s reply and determined the prophetic principles by which he give it.</w:t>
      </w:r>
    </w:p>
    <w:p w14:paraId="7BA6F89B">
      <w:pPr>
        <w:pStyle w:val="9"/>
        <w:spacing w:before="23"/>
        <w:ind w:left="0"/>
        <w:jc w:val="left"/>
        <w:rPr>
          <w:rFonts w:hint="eastAsia"/>
        </w:rPr>
      </w:pPr>
      <w:r>
        <w:rPr>
          <w:rFonts w:hint="eastAsia"/>
        </w:rPr>
        <w:t>首先，我们将仔细地审视门徒们的问题，这个问题既引出了主的回答，也决定了祂回答时所依据的预言性原则。</w:t>
      </w:r>
    </w:p>
    <w:p w14:paraId="6DC6B762">
      <w:pPr>
        <w:pStyle w:val="9"/>
        <w:spacing w:before="23"/>
        <w:ind w:left="0"/>
        <w:jc w:val="left"/>
        <w:rPr>
          <w:rFonts w:hint="eastAsia"/>
        </w:rPr>
      </w:pPr>
    </w:p>
    <w:p w14:paraId="2E28AB21">
      <w:pPr>
        <w:pStyle w:val="9"/>
        <w:spacing w:before="23"/>
        <w:ind w:left="0"/>
        <w:jc w:val="left"/>
        <w:rPr>
          <w:rFonts w:hint="eastAsia"/>
        </w:rPr>
      </w:pPr>
      <w:r>
        <w:rPr>
          <w:rFonts w:hint="eastAsia"/>
        </w:rPr>
        <w:t>Secondly, we will briefly survey the Discourse itself, using those principles to help us interpret his meaning.</w:t>
      </w:r>
    </w:p>
    <w:p w14:paraId="6748E014">
      <w:pPr>
        <w:pStyle w:val="9"/>
        <w:spacing w:before="23"/>
        <w:ind w:left="0"/>
        <w:jc w:val="left"/>
        <w:rPr>
          <w:rFonts w:hint="eastAsia"/>
        </w:rPr>
      </w:pPr>
      <w:r>
        <w:rPr>
          <w:rFonts w:hint="eastAsia"/>
        </w:rPr>
        <w:t>其次，我们将简要地考察这篇论述本身，并运用那些原则来帮助我们解释祂的意思。</w:t>
      </w:r>
    </w:p>
    <w:p w14:paraId="4C236BE1">
      <w:pPr>
        <w:pStyle w:val="9"/>
        <w:spacing w:before="23"/>
        <w:ind w:left="0"/>
        <w:jc w:val="left"/>
        <w:rPr>
          <w:rFonts w:hint="eastAsia"/>
        </w:rPr>
      </w:pPr>
    </w:p>
    <w:p w14:paraId="4A36AAEA">
      <w:pPr>
        <w:pStyle w:val="9"/>
        <w:spacing w:before="23"/>
        <w:ind w:left="0"/>
        <w:jc w:val="left"/>
        <w:rPr>
          <w:rFonts w:hint="eastAsia"/>
        </w:rPr>
      </w:pPr>
      <w:r>
        <w:rPr>
          <w:rFonts w:hint="eastAsia"/>
        </w:rPr>
        <w:t>Thirdly, we will address some of the more difficult questions involved, even as we interact with different interpretations of controversial passages.</w:t>
      </w:r>
    </w:p>
    <w:p w14:paraId="38A583DF">
      <w:pPr>
        <w:pStyle w:val="9"/>
        <w:spacing w:before="23"/>
        <w:ind w:left="0"/>
        <w:jc w:val="left"/>
        <w:rPr>
          <w:rFonts w:hint="eastAsia"/>
        </w:rPr>
      </w:pPr>
      <w:r>
        <w:rPr>
          <w:rFonts w:hint="eastAsia"/>
        </w:rPr>
        <w:t>第三，我们将讨论一些更困难的问题，同时也会与对有争议段落的不同解释进行互动。</w:t>
      </w:r>
    </w:p>
    <w:p w14:paraId="22319619">
      <w:pPr>
        <w:pStyle w:val="9"/>
        <w:spacing w:before="23"/>
        <w:ind w:left="0"/>
        <w:jc w:val="left"/>
        <w:rPr>
          <w:rFonts w:hint="eastAsia"/>
        </w:rPr>
      </w:pPr>
    </w:p>
    <w:p w14:paraId="0CA3F080">
      <w:pPr>
        <w:pStyle w:val="9"/>
        <w:spacing w:before="23"/>
        <w:ind w:left="0"/>
        <w:jc w:val="left"/>
        <w:rPr>
          <w:rFonts w:hint="eastAsia"/>
        </w:rPr>
      </w:pPr>
      <w:r>
        <w:rPr>
          <w:rFonts w:hint="eastAsia"/>
        </w:rPr>
        <w:t>And finally, we will summarize our findings, showing how richly they support the amillennial view of the Consummation.</w:t>
      </w:r>
    </w:p>
    <w:p w14:paraId="7449D03C">
      <w:pPr>
        <w:pStyle w:val="9"/>
        <w:spacing w:before="23"/>
        <w:ind w:left="0"/>
        <w:jc w:val="left"/>
        <w:rPr>
          <w:rFonts w:hint="eastAsia"/>
        </w:rPr>
      </w:pPr>
      <w:r>
        <w:rPr>
          <w:rFonts w:hint="eastAsia"/>
        </w:rPr>
        <w:t>最后，我们将总结我们的发现，表明它们是多么丰富地支持了无千禧年论对最终成全的观点。</w:t>
      </w:r>
    </w:p>
    <w:p w14:paraId="07800856">
      <w:pPr>
        <w:pStyle w:val="9"/>
        <w:spacing w:before="23"/>
        <w:ind w:left="0"/>
        <w:jc w:val="left"/>
        <w:rPr>
          <w:rFonts w:hint="eastAsia"/>
        </w:rPr>
      </w:pPr>
    </w:p>
    <w:p w14:paraId="762D4F5C">
      <w:pPr>
        <w:pStyle w:val="9"/>
        <w:spacing w:before="23"/>
        <w:ind w:left="0"/>
        <w:jc w:val="left"/>
        <w:rPr>
          <w:rFonts w:hint="eastAsia"/>
        </w:rPr>
      </w:pPr>
      <w:r>
        <w:rPr>
          <w:rFonts w:hint="eastAsia"/>
        </w:rPr>
        <w:t>The disciples’ Question (24:1-3)</w:t>
      </w:r>
    </w:p>
    <w:p w14:paraId="3DD11357">
      <w:pPr>
        <w:pStyle w:val="9"/>
        <w:spacing w:before="23"/>
        <w:ind w:left="0"/>
        <w:jc w:val="left"/>
        <w:rPr>
          <w:rFonts w:hint="eastAsia"/>
        </w:rPr>
      </w:pPr>
      <w:r>
        <w:rPr>
          <w:rFonts w:hint="eastAsia"/>
        </w:rPr>
        <w:t>门徒们的问题（24:1-3）</w:t>
      </w:r>
    </w:p>
    <w:p w14:paraId="5352F106">
      <w:pPr>
        <w:pStyle w:val="9"/>
        <w:spacing w:before="23"/>
        <w:ind w:left="0"/>
        <w:jc w:val="left"/>
        <w:rPr>
          <w:rFonts w:hint="eastAsia"/>
        </w:rPr>
      </w:pPr>
    </w:p>
    <w:p w14:paraId="16527CD1">
      <w:pPr>
        <w:pStyle w:val="9"/>
        <w:spacing w:before="23"/>
        <w:ind w:left="0"/>
        <w:jc w:val="left"/>
        <w:rPr>
          <w:rFonts w:hint="eastAsia"/>
        </w:rPr>
      </w:pPr>
      <w:r>
        <w:rPr>
          <w:rFonts w:hint="eastAsia"/>
        </w:rPr>
        <w:t>In his final confrontation with the scribes and Pharisees, the Lord Jesus has just predicted—and lamented over—the coming destruction of Jerusalem and the desolation of the house of Israel (23:37-39).</w:t>
      </w:r>
    </w:p>
    <w:p w14:paraId="19A5223A">
      <w:pPr>
        <w:pStyle w:val="9"/>
        <w:spacing w:before="23"/>
        <w:ind w:left="0"/>
        <w:jc w:val="left"/>
        <w:rPr>
          <w:rFonts w:hint="eastAsia"/>
        </w:rPr>
      </w:pPr>
      <w:r>
        <w:rPr>
          <w:rFonts w:hint="eastAsia"/>
        </w:rPr>
        <w:t>在祂与文士和法利赛人最后一次的对质中，主耶稣刚刚预言了——并为之哀叹——耶路撒冷将要来的毁灭和以色列家的荒凉（23:37-39）。</w:t>
      </w:r>
    </w:p>
    <w:p w14:paraId="3FCC2D0C">
      <w:pPr>
        <w:pStyle w:val="9"/>
        <w:spacing w:before="23"/>
        <w:ind w:left="0"/>
        <w:jc w:val="left"/>
        <w:rPr>
          <w:rFonts w:hint="eastAsia"/>
        </w:rPr>
      </w:pPr>
    </w:p>
    <w:p w14:paraId="32522ACE">
      <w:pPr>
        <w:pStyle w:val="9"/>
        <w:spacing w:before="23"/>
        <w:ind w:left="0"/>
        <w:jc w:val="left"/>
        <w:rPr>
          <w:rFonts w:hint="eastAsia"/>
        </w:rPr>
      </w:pPr>
      <w:r>
        <w:rPr>
          <w:rFonts w:hint="eastAsia"/>
        </w:rPr>
        <w:t>As he leaves the temple area, his disciples comment on the grandeur of the buildings.</w:t>
      </w:r>
    </w:p>
    <w:p w14:paraId="46892F41">
      <w:pPr>
        <w:pStyle w:val="9"/>
        <w:spacing w:before="23"/>
        <w:ind w:left="0"/>
        <w:jc w:val="left"/>
        <w:rPr>
          <w:rFonts w:hint="eastAsia"/>
        </w:rPr>
      </w:pPr>
      <w:r>
        <w:rPr>
          <w:rFonts w:hint="eastAsia"/>
        </w:rPr>
        <w:t>当祂离开圣殿区域时，祂的门徒们评论着建筑的宏伟。</w:t>
      </w:r>
    </w:p>
    <w:p w14:paraId="2C62F74C">
      <w:pPr>
        <w:pStyle w:val="9"/>
        <w:spacing w:before="23"/>
        <w:ind w:left="0"/>
        <w:jc w:val="left"/>
        <w:rPr>
          <w:rFonts w:hint="eastAsia"/>
        </w:rPr>
      </w:pPr>
    </w:p>
    <w:p w14:paraId="45A5D9B4">
      <w:pPr>
        <w:pStyle w:val="9"/>
        <w:spacing w:before="23"/>
        <w:ind w:left="0"/>
        <w:jc w:val="left"/>
        <w:rPr>
          <w:rFonts w:hint="eastAsia"/>
        </w:rPr>
      </w:pPr>
      <w:r>
        <w:rPr>
          <w:rFonts w:hint="eastAsia"/>
        </w:rPr>
        <w:t>In reply, he urges a second look, telling them that not one stone will be left upon another.</w:t>
      </w:r>
    </w:p>
    <w:p w14:paraId="1F6663D8">
      <w:pPr>
        <w:pStyle w:val="9"/>
        <w:spacing w:before="23"/>
        <w:ind w:left="0"/>
        <w:jc w:val="left"/>
        <w:rPr>
          <w:rFonts w:hint="eastAsia"/>
        </w:rPr>
      </w:pPr>
      <w:r>
        <w:rPr>
          <w:rFonts w:hint="eastAsia"/>
        </w:rPr>
        <w:t>作为回答，祂敦促他们再看一眼，告诉他们没有一块石头会留在另一块石头上。</w:t>
      </w:r>
    </w:p>
    <w:p w14:paraId="50CBBAF2">
      <w:pPr>
        <w:pStyle w:val="9"/>
        <w:spacing w:before="23"/>
        <w:ind w:left="0"/>
        <w:jc w:val="left"/>
        <w:rPr>
          <w:rFonts w:hint="eastAsia"/>
        </w:rPr>
      </w:pPr>
    </w:p>
    <w:p w14:paraId="3DA1609D">
      <w:pPr>
        <w:pStyle w:val="9"/>
        <w:spacing w:before="23"/>
        <w:ind w:left="0"/>
        <w:jc w:val="left"/>
        <w:rPr>
          <w:rFonts w:hint="eastAsia"/>
        </w:rPr>
      </w:pPr>
      <w:r>
        <w:rPr>
          <w:rFonts w:hint="eastAsia"/>
        </w:rPr>
        <w:t>Having often heard their Master teach about his coming to judge the world, and now learning that this judgment involves the destruction of the temple and the city, they quickly surround him on the Mount of Olives, eagerly desiring to know, “When will these things be, and what will be the sign of your coming and of the close of the age” (Mt. 24:1- 3)?</w:t>
      </w:r>
    </w:p>
    <w:p w14:paraId="1E983248">
      <w:pPr>
        <w:pStyle w:val="9"/>
        <w:spacing w:before="23"/>
        <w:ind w:left="0"/>
        <w:jc w:val="left"/>
        <w:rPr>
          <w:rFonts w:hint="eastAsia"/>
        </w:rPr>
      </w:pPr>
      <w:r>
        <w:rPr>
          <w:rFonts w:hint="eastAsia"/>
        </w:rPr>
        <w:t>他们常常听见他们的夫子教导说祂要来审判世界，如今又得知这审判包括了圣殿和城的毁灭，他们便迅速地在橄榄山上围着祂，热切地想知道：“什么时候有这些事，你降临和世代的末了有什么预兆呢”（太24:1-3）？</w:t>
      </w:r>
    </w:p>
    <w:p w14:paraId="4C809B77">
      <w:pPr>
        <w:pStyle w:val="9"/>
        <w:spacing w:before="23"/>
        <w:ind w:left="0"/>
        <w:jc w:val="left"/>
        <w:rPr>
          <w:rFonts w:hint="eastAsia"/>
        </w:rPr>
      </w:pPr>
    </w:p>
    <w:p w14:paraId="10419D16">
      <w:pPr>
        <w:pStyle w:val="9"/>
        <w:spacing w:before="23"/>
        <w:ind w:left="0"/>
        <w:jc w:val="left"/>
        <w:rPr>
          <w:rFonts w:hint="eastAsia"/>
        </w:rPr>
      </w:pPr>
      <w:r>
        <w:rPr>
          <w:rFonts w:hint="eastAsia"/>
        </w:rPr>
        <w:t>The Olivet Discourse is Jesus’ answer to this question.</w:t>
      </w:r>
    </w:p>
    <w:p w14:paraId="7DDBE2E8">
      <w:pPr>
        <w:pStyle w:val="9"/>
        <w:spacing w:before="23"/>
        <w:ind w:left="0"/>
        <w:jc w:val="left"/>
        <w:rPr>
          <w:rFonts w:hint="eastAsia"/>
        </w:rPr>
      </w:pPr>
      <w:r>
        <w:rPr>
          <w:rFonts w:hint="eastAsia"/>
        </w:rPr>
        <w:t>橄榄山论述是耶稣对这个问题的回答。</w:t>
      </w:r>
    </w:p>
    <w:p w14:paraId="7C4DB940">
      <w:pPr>
        <w:pStyle w:val="9"/>
        <w:spacing w:before="23"/>
        <w:ind w:left="0"/>
        <w:jc w:val="left"/>
        <w:rPr>
          <w:rFonts w:hint="eastAsia"/>
        </w:rPr>
      </w:pPr>
    </w:p>
    <w:p w14:paraId="2B323373">
      <w:pPr>
        <w:pStyle w:val="9"/>
        <w:spacing w:before="23"/>
        <w:ind w:left="0"/>
        <w:jc w:val="left"/>
        <w:rPr>
          <w:rFonts w:hint="eastAsia"/>
        </w:rPr>
      </w:pPr>
      <w:r>
        <w:rPr>
          <w:rFonts w:hint="eastAsia"/>
        </w:rPr>
        <w:t>But in asking it the disciples have one thing in mind, while in answering it Jesus has another.</w:t>
      </w:r>
    </w:p>
    <w:p w14:paraId="6CC9DF34">
      <w:pPr>
        <w:pStyle w:val="9"/>
        <w:spacing w:before="23"/>
        <w:ind w:left="0"/>
        <w:jc w:val="left"/>
        <w:rPr>
          <w:rFonts w:hint="eastAsia"/>
        </w:rPr>
      </w:pPr>
      <w:r>
        <w:rPr>
          <w:rFonts w:hint="eastAsia"/>
        </w:rPr>
        <w:t>但在问这个问题时，门徒心中想的是一回事，而耶稣在回答时心中想的又是另一回事。</w:t>
      </w:r>
    </w:p>
    <w:p w14:paraId="4B23F4B5">
      <w:pPr>
        <w:pStyle w:val="9"/>
        <w:spacing w:before="23"/>
        <w:ind w:left="0"/>
        <w:jc w:val="left"/>
        <w:rPr>
          <w:rFonts w:hint="eastAsia"/>
        </w:rPr>
      </w:pPr>
    </w:p>
    <w:p w14:paraId="68A40D0B">
      <w:pPr>
        <w:pStyle w:val="9"/>
        <w:spacing w:before="23"/>
        <w:ind w:left="0"/>
        <w:jc w:val="left"/>
        <w:rPr>
          <w:rFonts w:hint="eastAsia"/>
        </w:rPr>
      </w:pPr>
      <w:r>
        <w:rPr>
          <w:rFonts w:hint="eastAsia"/>
        </w:rPr>
        <w:t>Rather like John the Baptist a few years prior, the disciples are thinking of a single coming in the near future, when Jesus, acting in God’s power, will bring the present evil age to a close and usher in a global theocratic Kingdom (Mt. 3:11-12).</w:t>
      </w:r>
    </w:p>
    <w:p w14:paraId="4B8A9768">
      <w:pPr>
        <w:pStyle w:val="9"/>
        <w:spacing w:before="23"/>
        <w:ind w:left="0"/>
        <w:jc w:val="left"/>
        <w:rPr>
          <w:rFonts w:hint="eastAsia"/>
        </w:rPr>
      </w:pPr>
      <w:r>
        <w:rPr>
          <w:rFonts w:hint="eastAsia"/>
        </w:rPr>
        <w:t>门徒们很像几年前的施洗约翰，他们想到的是在不久的将来有一次单一的降临，那时耶稣，凭着上帝的能力行事，将结束现今邪恶的世代，并引入一个全球性的神治国度（太3:11-12）。</w:t>
      </w:r>
    </w:p>
    <w:p w14:paraId="177339D9">
      <w:pPr>
        <w:pStyle w:val="9"/>
        <w:spacing w:before="23"/>
        <w:ind w:left="0"/>
        <w:jc w:val="left"/>
        <w:rPr>
          <w:rFonts w:hint="eastAsia"/>
        </w:rPr>
      </w:pPr>
    </w:p>
    <w:p w14:paraId="5BAE2690">
      <w:pPr>
        <w:pStyle w:val="9"/>
        <w:spacing w:before="23"/>
        <w:ind w:left="0"/>
        <w:jc w:val="left"/>
        <w:rPr>
          <w:rFonts w:hint="eastAsia"/>
        </w:rPr>
      </w:pPr>
      <w:r>
        <w:rPr>
          <w:rFonts w:hint="eastAsia"/>
        </w:rPr>
        <w:t>However, with the benefit of biblical hindsight, we know better.</w:t>
      </w:r>
    </w:p>
    <w:p w14:paraId="0DE8E205">
      <w:pPr>
        <w:pStyle w:val="9"/>
        <w:spacing w:before="23"/>
        <w:ind w:left="0"/>
        <w:jc w:val="left"/>
        <w:rPr>
          <w:rFonts w:hint="eastAsia"/>
        </w:rPr>
      </w:pPr>
      <w:r>
        <w:rPr>
          <w:rFonts w:hint="eastAsia"/>
        </w:rPr>
        <w:t>然而，借着圣经的后见之明，我们知道得更清楚。</w:t>
      </w:r>
    </w:p>
    <w:p w14:paraId="4140DDD1">
      <w:pPr>
        <w:pStyle w:val="9"/>
        <w:spacing w:before="23"/>
        <w:ind w:left="0"/>
        <w:jc w:val="left"/>
        <w:rPr>
          <w:rFonts w:hint="eastAsia"/>
        </w:rPr>
      </w:pPr>
    </w:p>
    <w:p w14:paraId="704CC209">
      <w:pPr>
        <w:pStyle w:val="9"/>
        <w:spacing w:before="23"/>
        <w:ind w:left="0"/>
        <w:jc w:val="left"/>
        <w:rPr>
          <w:rFonts w:hint="eastAsia"/>
        </w:rPr>
      </w:pPr>
      <w:r>
        <w:rPr>
          <w:rFonts w:hint="eastAsia"/>
        </w:rPr>
        <w:t>We know that Jesus is actually thinking of two comings, separated by at least two millennia, yet united by a common character and purpose.</w:t>
      </w:r>
    </w:p>
    <w:p w14:paraId="6A6FC811">
      <w:pPr>
        <w:pStyle w:val="9"/>
        <w:spacing w:before="23"/>
        <w:ind w:left="0"/>
        <w:jc w:val="left"/>
        <w:rPr>
          <w:rFonts w:hint="eastAsia"/>
        </w:rPr>
      </w:pPr>
      <w:r>
        <w:rPr>
          <w:rFonts w:hint="eastAsia"/>
        </w:rPr>
        <w:t>我们知道耶稣实际上想到的是两次降临，相隔至少两千年，但因共同的特征和目的而联合。</w:t>
      </w:r>
    </w:p>
    <w:p w14:paraId="6FE0EADF">
      <w:pPr>
        <w:pStyle w:val="9"/>
        <w:spacing w:before="23"/>
        <w:ind w:left="0"/>
        <w:jc w:val="left"/>
        <w:rPr>
          <w:rFonts w:hint="eastAsia"/>
        </w:rPr>
      </w:pPr>
    </w:p>
    <w:p w14:paraId="71C03E87">
      <w:pPr>
        <w:pStyle w:val="9"/>
        <w:spacing w:before="23"/>
        <w:ind w:left="0"/>
        <w:jc w:val="left"/>
        <w:rPr>
          <w:rFonts w:hint="eastAsia"/>
        </w:rPr>
      </w:pPr>
      <w:r>
        <w:rPr>
          <w:rFonts w:hint="eastAsia"/>
        </w:rPr>
        <w:t>The first is a providential coming at the hand of the Roman general Titus, a coming that will destroy Jerusalem and seal the abolition of the Jewish theocracy (Mark 11:12-14).</w:t>
      </w:r>
    </w:p>
    <w:p w14:paraId="39E30658">
      <w:pPr>
        <w:pStyle w:val="9"/>
        <w:spacing w:before="23"/>
        <w:ind w:left="0"/>
        <w:jc w:val="left"/>
        <w:rPr>
          <w:rFonts w:hint="eastAsia"/>
        </w:rPr>
      </w:pPr>
      <w:r>
        <w:rPr>
          <w:rFonts w:hint="eastAsia"/>
        </w:rPr>
        <w:t>第一次是罗马将军提多之手的护理性降临，这次降临将摧毁耶路撒冷，并封印犹太神治政体的废除（马可福音11:12-14）。</w:t>
      </w:r>
    </w:p>
    <w:p w14:paraId="1DB868BE">
      <w:pPr>
        <w:pStyle w:val="9"/>
        <w:spacing w:before="23"/>
        <w:ind w:left="0"/>
        <w:jc w:val="left"/>
        <w:rPr>
          <w:rFonts w:hint="eastAsia"/>
        </w:rPr>
      </w:pPr>
    </w:p>
    <w:p w14:paraId="02CFDCDE">
      <w:pPr>
        <w:pStyle w:val="9"/>
        <w:spacing w:before="23"/>
        <w:ind w:left="0"/>
        <w:jc w:val="left"/>
        <w:rPr>
          <w:rFonts w:hint="eastAsia"/>
        </w:rPr>
      </w:pPr>
      <w:r>
        <w:rPr>
          <w:rFonts w:hint="eastAsia"/>
        </w:rPr>
        <w:t>The second is a supernatural coming at the hand of the glorified Christ, a coming that will destroy the entire evil world system and bring in the World to Come.</w:t>
      </w:r>
    </w:p>
    <w:p w14:paraId="3CE74C4C">
      <w:pPr>
        <w:pStyle w:val="9"/>
        <w:spacing w:before="23"/>
        <w:ind w:left="0"/>
        <w:jc w:val="left"/>
        <w:rPr>
          <w:rFonts w:hint="eastAsia"/>
        </w:rPr>
      </w:pPr>
      <w:r>
        <w:rPr>
          <w:rFonts w:hint="eastAsia"/>
        </w:rPr>
        <w:t>第二次是得荣耀的基督之手的超自然降临，这次降临将摧毁整个邪恶的世界体系，并带来将来的世界。</w:t>
      </w:r>
    </w:p>
    <w:p w14:paraId="11C15C2C">
      <w:pPr>
        <w:pStyle w:val="9"/>
        <w:spacing w:before="23"/>
        <w:ind w:left="0"/>
        <w:jc w:val="left"/>
        <w:rPr>
          <w:rFonts w:hint="eastAsia"/>
        </w:rPr>
      </w:pPr>
    </w:p>
    <w:p w14:paraId="14C84DBB">
      <w:pPr>
        <w:pStyle w:val="9"/>
        <w:spacing w:before="23"/>
        <w:ind w:left="0"/>
        <w:jc w:val="left"/>
        <w:rPr>
          <w:rFonts w:hint="eastAsia"/>
        </w:rPr>
      </w:pPr>
      <w:r>
        <w:rPr>
          <w:rFonts w:hint="eastAsia"/>
        </w:rPr>
        <w:t>Knowing all this, Jesus must therefore frame his reply in such a way as to meet the needs of all his disciples; the needs of all who will be looking for his Coming in glory and the signs that will herald it.</w:t>
      </w:r>
    </w:p>
    <w:p w14:paraId="242D725B">
      <w:pPr>
        <w:pStyle w:val="9"/>
        <w:spacing w:before="23"/>
        <w:ind w:left="0"/>
        <w:jc w:val="left"/>
        <w:rPr>
          <w:rFonts w:hint="eastAsia"/>
        </w:rPr>
      </w:pPr>
      <w:r>
        <w:rPr>
          <w:rFonts w:hint="eastAsia"/>
        </w:rPr>
        <w:t>知道了这一切，耶稣因此必须以一种方式来构建祂的回答，以满足祂所有门徒的需要；所有那些将要寻找祂在荣耀中降临及其预兆之人的需要。</w:t>
      </w:r>
    </w:p>
    <w:p w14:paraId="0AE0EC2F">
      <w:pPr>
        <w:pStyle w:val="9"/>
        <w:spacing w:before="23"/>
        <w:ind w:left="0"/>
        <w:jc w:val="left"/>
        <w:rPr>
          <w:rFonts w:hint="eastAsia"/>
        </w:rPr>
      </w:pPr>
    </w:p>
    <w:p w14:paraId="34550BD5">
      <w:pPr>
        <w:pStyle w:val="9"/>
        <w:spacing w:before="23"/>
        <w:ind w:left="0"/>
        <w:jc w:val="left"/>
        <w:rPr>
          <w:rFonts w:hint="eastAsia"/>
        </w:rPr>
      </w:pPr>
      <w:r>
        <w:rPr>
          <w:rFonts w:hint="eastAsia"/>
        </w:rPr>
        <w:t>In other words, Jesus must now speak to the needs of the generation that will live through the destruction of Jerusalem, the needs of subsequent generations that will experience the sundry tribulations of the Gospel era, and the very special needs of the last generation that will pass through “the greatest tribulation” that must occur immediately prior to his Parousia.</w:t>
      </w:r>
    </w:p>
    <w:p w14:paraId="2C5C4139">
      <w:pPr>
        <w:pStyle w:val="9"/>
        <w:spacing w:before="23"/>
        <w:ind w:left="0"/>
        <w:jc w:val="left"/>
        <w:rPr>
          <w:rFonts w:hint="eastAsia"/>
        </w:rPr>
      </w:pPr>
      <w:r>
        <w:rPr>
          <w:rFonts w:hint="eastAsia"/>
        </w:rPr>
        <w:t>换句话说，耶稣现在必须讲到将要经历耶路撒冷毁灭的那一代人的需要，将要经历福音时代各种患难的后代人的需要，以及将要经历在祂主临（Parousia）之前必须发生的“最大患难”的最后一代人的非常特殊的需要。</w:t>
      </w:r>
    </w:p>
    <w:p w14:paraId="183BEDBC">
      <w:pPr>
        <w:pStyle w:val="9"/>
        <w:spacing w:before="23"/>
        <w:ind w:left="0"/>
        <w:jc w:val="left"/>
        <w:rPr>
          <w:rFonts w:hint="eastAsia"/>
        </w:rPr>
      </w:pPr>
    </w:p>
    <w:p w14:paraId="12290F17">
      <w:pPr>
        <w:pStyle w:val="9"/>
        <w:spacing w:before="23"/>
        <w:ind w:left="0"/>
        <w:jc w:val="left"/>
        <w:rPr>
          <w:rFonts w:hint="eastAsia"/>
        </w:rPr>
      </w:pPr>
      <w:r>
        <w:rPr>
          <w:rFonts w:hint="eastAsia"/>
        </w:rPr>
        <w:t>He did so.</w:t>
      </w:r>
    </w:p>
    <w:p w14:paraId="6F5F8349">
      <w:pPr>
        <w:pStyle w:val="9"/>
        <w:spacing w:before="23"/>
        <w:ind w:left="0"/>
        <w:jc w:val="left"/>
        <w:rPr>
          <w:rFonts w:hint="eastAsia"/>
        </w:rPr>
      </w:pPr>
      <w:r>
        <w:rPr>
          <w:rFonts w:hint="eastAsia"/>
        </w:rPr>
        <w:t>祂这样做了。</w:t>
      </w:r>
    </w:p>
    <w:p w14:paraId="018698FC">
      <w:pPr>
        <w:pStyle w:val="9"/>
        <w:spacing w:before="23"/>
        <w:ind w:left="0"/>
        <w:jc w:val="left"/>
        <w:rPr>
          <w:rFonts w:hint="eastAsia"/>
        </w:rPr>
      </w:pPr>
    </w:p>
    <w:p w14:paraId="2DFCB1EC">
      <w:pPr>
        <w:pStyle w:val="9"/>
        <w:spacing w:before="23"/>
        <w:ind w:left="0"/>
        <w:jc w:val="left"/>
        <w:rPr>
          <w:rFonts w:hint="eastAsia"/>
        </w:rPr>
      </w:pPr>
      <w:r>
        <w:rPr>
          <w:rFonts w:hint="eastAsia"/>
        </w:rPr>
        <w:t>The fabulously rich result was yet another Kingdom prophecy characterized by prophetic perspective (or blending, or foreshortening).</w:t>
      </w:r>
    </w:p>
    <w:p w14:paraId="19DEA5B4">
      <w:pPr>
        <w:pStyle w:val="9"/>
        <w:spacing w:before="23"/>
        <w:ind w:left="0"/>
        <w:jc w:val="left"/>
        <w:rPr>
          <w:rFonts w:hint="eastAsia"/>
        </w:rPr>
      </w:pPr>
      <w:r>
        <w:rPr>
          <w:rFonts w:hint="eastAsia"/>
        </w:rPr>
        <w:t>其极其丰富的结果是又一个以预言性视角（或混合、或缩短）为特征的国度预言。</w:t>
      </w:r>
    </w:p>
    <w:p w14:paraId="09B5B09B">
      <w:pPr>
        <w:pStyle w:val="9"/>
        <w:spacing w:before="23"/>
        <w:ind w:left="0"/>
        <w:jc w:val="left"/>
        <w:rPr>
          <w:rFonts w:hint="eastAsia"/>
        </w:rPr>
      </w:pPr>
    </w:p>
    <w:p w14:paraId="6BB1B6C8">
      <w:pPr>
        <w:pStyle w:val="9"/>
        <w:spacing w:before="23"/>
        <w:ind w:left="0"/>
        <w:jc w:val="left"/>
        <w:rPr>
          <w:rFonts w:hint="eastAsia"/>
        </w:rPr>
      </w:pPr>
      <w:r>
        <w:rPr>
          <w:rFonts w:hint="eastAsia"/>
        </w:rPr>
        <w:t>Earlier in our journey I spoke of this phenomenon at some length.</w:t>
      </w:r>
    </w:p>
    <w:p w14:paraId="7A88C199">
      <w:pPr>
        <w:pStyle w:val="9"/>
        <w:spacing w:before="23"/>
        <w:ind w:left="0"/>
        <w:jc w:val="left"/>
        <w:rPr>
          <w:rFonts w:hint="eastAsia"/>
        </w:rPr>
      </w:pPr>
      <w:r>
        <w:rPr>
          <w:rFonts w:hint="eastAsia"/>
        </w:rPr>
        <w:t>在我旅程的早些时候，我曾详细地谈到过这个现象。</w:t>
      </w:r>
    </w:p>
    <w:p w14:paraId="0E9218D8">
      <w:pPr>
        <w:pStyle w:val="9"/>
        <w:spacing w:before="23"/>
        <w:ind w:left="0"/>
        <w:jc w:val="left"/>
        <w:rPr>
          <w:rFonts w:hint="eastAsia"/>
        </w:rPr>
      </w:pPr>
    </w:p>
    <w:p w14:paraId="2139BF3B">
      <w:pPr>
        <w:pStyle w:val="9"/>
        <w:spacing w:before="23"/>
        <w:ind w:left="0"/>
        <w:jc w:val="left"/>
        <w:rPr>
          <w:rFonts w:hint="eastAsia"/>
        </w:rPr>
      </w:pPr>
      <w:r>
        <w:rPr>
          <w:rFonts w:hint="eastAsia"/>
        </w:rPr>
        <w:t>Prophetic perspective appears when the Holy Spirit refers to two or even three distinct historical events; events widely separated in time, yet blended into a single prophecy because they all share a common character.</w:t>
      </w:r>
    </w:p>
    <w:p w14:paraId="6C506322">
      <w:pPr>
        <w:pStyle w:val="9"/>
        <w:spacing w:before="23"/>
        <w:ind w:left="0"/>
        <w:jc w:val="left"/>
        <w:rPr>
          <w:rFonts w:hint="eastAsia"/>
        </w:rPr>
      </w:pPr>
      <w:r>
        <w:rPr>
          <w:rFonts w:hint="eastAsia"/>
        </w:rPr>
        <w:t>预言性视角出现在圣灵提到两个甚至三个不同的历史事件时；这些事件在时间上相隔很远，却被融合成一个单一的预言，因为它们都具有共同的特征。</w:t>
      </w:r>
    </w:p>
    <w:p w14:paraId="41716D3E">
      <w:pPr>
        <w:pStyle w:val="9"/>
        <w:spacing w:before="23"/>
        <w:ind w:left="0"/>
        <w:jc w:val="left"/>
        <w:rPr>
          <w:rFonts w:hint="eastAsia"/>
        </w:rPr>
      </w:pPr>
    </w:p>
    <w:p w14:paraId="6F1DEC87">
      <w:pPr>
        <w:pStyle w:val="9"/>
        <w:spacing w:before="23"/>
        <w:ind w:left="0"/>
        <w:jc w:val="left"/>
        <w:rPr>
          <w:rFonts w:hint="eastAsia"/>
        </w:rPr>
      </w:pPr>
      <w:r>
        <w:rPr>
          <w:rFonts w:hint="eastAsia"/>
        </w:rPr>
        <w:t>As we saw, this pattern is especially prominent in certain OT prophecies of the Day of the LORD, wherein the prophets spoke not only of an imminent local judgment (whether on Israel or her neighboring nations), but also of a final global judgment (Isaiah 2:5-22, 13:1ff, Joel 2:1-20, Zeph. 1:1ff).</w:t>
      </w:r>
    </w:p>
    <w:p w14:paraId="0AFD8A24">
      <w:pPr>
        <w:pStyle w:val="9"/>
        <w:spacing w:before="23"/>
        <w:ind w:left="0"/>
        <w:jc w:val="left"/>
        <w:rPr>
          <w:rFonts w:hint="eastAsia"/>
        </w:rPr>
      </w:pPr>
      <w:r>
        <w:rPr>
          <w:rFonts w:hint="eastAsia"/>
        </w:rPr>
        <w:t>正如我们所见，这个模式在某些关于耶和华的日子的旧约预言中尤其突出，其中先知们不仅谈到即将到来的局部审判（无论是对以色列还是对其邻国），也谈到最终的全球审判（以赛亚书2:5-22, 13:1及以下，约珥书2:1-20，西番雅书1:1及以下）。</w:t>
      </w:r>
    </w:p>
    <w:p w14:paraId="5F27C50A">
      <w:pPr>
        <w:pStyle w:val="9"/>
        <w:spacing w:before="23"/>
        <w:ind w:left="0"/>
        <w:jc w:val="left"/>
        <w:rPr>
          <w:rFonts w:hint="eastAsia"/>
        </w:rPr>
      </w:pPr>
    </w:p>
    <w:p w14:paraId="073256B5">
      <w:pPr>
        <w:pStyle w:val="9"/>
        <w:spacing w:before="23"/>
        <w:ind w:left="0"/>
        <w:jc w:val="left"/>
        <w:rPr>
          <w:rFonts w:hint="eastAsia"/>
        </w:rPr>
      </w:pPr>
      <w:r>
        <w:rPr>
          <w:rFonts w:hint="eastAsia"/>
        </w:rPr>
        <w:t>Such is the case here.</w:t>
      </w:r>
    </w:p>
    <w:p w14:paraId="5C5D4CD4">
      <w:pPr>
        <w:pStyle w:val="9"/>
        <w:spacing w:before="23"/>
        <w:ind w:left="0"/>
        <w:jc w:val="left"/>
        <w:rPr>
          <w:rFonts w:hint="eastAsia"/>
        </w:rPr>
      </w:pPr>
      <w:r>
        <w:rPr>
          <w:rFonts w:hint="eastAsia"/>
        </w:rPr>
        <w:t>这里的情况就是如此。</w:t>
      </w:r>
    </w:p>
    <w:p w14:paraId="1DD001A0">
      <w:pPr>
        <w:pStyle w:val="9"/>
        <w:spacing w:before="23"/>
        <w:ind w:left="0"/>
        <w:jc w:val="left"/>
        <w:rPr>
          <w:rFonts w:hint="eastAsia"/>
        </w:rPr>
      </w:pPr>
    </w:p>
    <w:p w14:paraId="035FF94F">
      <w:pPr>
        <w:pStyle w:val="9"/>
        <w:spacing w:before="23"/>
        <w:ind w:left="0"/>
        <w:jc w:val="left"/>
        <w:rPr>
          <w:rFonts w:hint="eastAsia"/>
        </w:rPr>
      </w:pPr>
      <w:r>
        <w:rPr>
          <w:rFonts w:hint="eastAsia"/>
        </w:rPr>
        <w:t>In the Olivet Discourse, the Lord blends predictions of an imminent (and providential) coming of Christ in 70 AD with predictions of an eschatological (and supernatural) coming of Christ at the end of the age.</w:t>
      </w:r>
    </w:p>
    <w:p w14:paraId="32542AE1">
      <w:pPr>
        <w:pStyle w:val="9"/>
        <w:spacing w:before="23"/>
        <w:ind w:left="0"/>
        <w:jc w:val="left"/>
        <w:rPr>
          <w:rFonts w:hint="eastAsia"/>
        </w:rPr>
      </w:pPr>
      <w:r>
        <w:rPr>
          <w:rFonts w:hint="eastAsia"/>
        </w:rPr>
        <w:t>在橄榄山论述中，主将关于基督在公元70年即将到来的（护理性的）降临的预言，与关于基督在世代末了末世性的（超自然的）降临的预言混合在一起。</w:t>
      </w:r>
    </w:p>
    <w:p w14:paraId="15DCAA8B">
      <w:pPr>
        <w:pStyle w:val="9"/>
        <w:spacing w:before="23"/>
        <w:ind w:left="0"/>
        <w:jc w:val="left"/>
        <w:rPr>
          <w:rFonts w:hint="eastAsia"/>
        </w:rPr>
      </w:pPr>
    </w:p>
    <w:p w14:paraId="585CE999">
      <w:pPr>
        <w:pStyle w:val="9"/>
        <w:spacing w:before="23"/>
        <w:ind w:left="0"/>
        <w:jc w:val="left"/>
        <w:rPr>
          <w:rFonts w:hint="eastAsia"/>
        </w:rPr>
      </w:pPr>
      <w:r>
        <w:rPr>
          <w:rFonts w:hint="eastAsia"/>
        </w:rPr>
        <w:t>He blends predictions of a local judgment of the city of Jerusalem with predictions of a global judgment of the City of Man; indeed, of the universe itself.</w:t>
      </w:r>
    </w:p>
    <w:p w14:paraId="36205F7F">
      <w:pPr>
        <w:pStyle w:val="9"/>
        <w:spacing w:before="23"/>
        <w:ind w:left="0"/>
        <w:jc w:val="left"/>
        <w:rPr>
          <w:rFonts w:hint="eastAsia"/>
        </w:rPr>
      </w:pPr>
      <w:r>
        <w:rPr>
          <w:rFonts w:hint="eastAsia"/>
        </w:rPr>
        <w:t>祂将对耶路撒冷城的局部审判的预言与对人之城的全球性审判的预言混合在一起；确实，是对宇宙本身的审判。</w:t>
      </w:r>
    </w:p>
    <w:p w14:paraId="46DE5D04">
      <w:pPr>
        <w:pStyle w:val="9"/>
        <w:spacing w:before="23"/>
        <w:ind w:left="0"/>
        <w:jc w:val="left"/>
        <w:rPr>
          <w:rFonts w:hint="eastAsia"/>
        </w:rPr>
      </w:pPr>
    </w:p>
    <w:p w14:paraId="64A175C2">
      <w:pPr>
        <w:pStyle w:val="9"/>
        <w:spacing w:before="23"/>
        <w:ind w:left="0"/>
        <w:jc w:val="left"/>
        <w:rPr>
          <w:rFonts w:hint="eastAsia"/>
        </w:rPr>
      </w:pPr>
      <w:r>
        <w:rPr>
          <w:rFonts w:hint="eastAsia"/>
        </w:rPr>
        <w:t>Speaking of the Olivet Discourse, C. E. B. Cranfield well says, “Neither an exclusively historical nor an exclusively eschatological interpretation is satisfactory.</w:t>
      </w:r>
    </w:p>
    <w:p w14:paraId="7601EE4B">
      <w:pPr>
        <w:pStyle w:val="9"/>
        <w:spacing w:before="23"/>
        <w:ind w:left="0"/>
        <w:jc w:val="left"/>
        <w:rPr>
          <w:rFonts w:hint="eastAsia"/>
        </w:rPr>
      </w:pPr>
      <w:r>
        <w:rPr>
          <w:rFonts w:hint="eastAsia"/>
        </w:rPr>
        <w:t>谈到橄榄山论述，C. E. B. 克兰菲尔德说得好：“无论是纯粹的历史性解释还是纯粹的末世性解释都不能令人满意。”</w:t>
      </w:r>
    </w:p>
    <w:p w14:paraId="1B9B2A6F">
      <w:pPr>
        <w:pStyle w:val="9"/>
        <w:spacing w:before="23"/>
        <w:ind w:left="0"/>
        <w:jc w:val="left"/>
        <w:rPr>
          <w:rFonts w:hint="eastAsia"/>
        </w:rPr>
      </w:pPr>
    </w:p>
    <w:p w14:paraId="33322E91">
      <w:pPr>
        <w:pStyle w:val="9"/>
        <w:spacing w:before="23"/>
        <w:ind w:left="0"/>
        <w:jc w:val="left"/>
        <w:rPr>
          <w:rFonts w:hint="eastAsia"/>
        </w:rPr>
      </w:pPr>
      <w:r>
        <w:rPr>
          <w:rFonts w:hint="eastAsia"/>
        </w:rPr>
        <w:t>We must allow for a double reference, for a mingling of historical and eschatological.”3</w:t>
      </w:r>
    </w:p>
    <w:p w14:paraId="556D5573">
      <w:pPr>
        <w:pStyle w:val="9"/>
        <w:spacing w:before="23"/>
        <w:ind w:left="0"/>
        <w:jc w:val="left"/>
        <w:rPr>
          <w:rFonts w:hint="eastAsia"/>
        </w:rPr>
      </w:pPr>
      <w:r>
        <w:rPr>
          <w:rFonts w:hint="eastAsia"/>
        </w:rPr>
        <w:t>我们必须允许双重所指，允许历史性和末世性的混合。”3</w:t>
      </w:r>
    </w:p>
    <w:p w14:paraId="45E6E53C">
      <w:pPr>
        <w:pStyle w:val="9"/>
        <w:spacing w:before="23"/>
        <w:ind w:left="0"/>
        <w:jc w:val="left"/>
        <w:rPr>
          <w:rFonts w:hint="eastAsia"/>
        </w:rPr>
      </w:pPr>
    </w:p>
    <w:p w14:paraId="68EC6F63">
      <w:pPr>
        <w:pStyle w:val="9"/>
        <w:spacing w:before="23"/>
        <w:ind w:left="0"/>
        <w:jc w:val="left"/>
        <w:rPr>
          <w:rFonts w:hint="eastAsia"/>
        </w:rPr>
      </w:pPr>
      <w:r>
        <w:rPr>
          <w:rFonts w:hint="eastAsia"/>
        </w:rPr>
        <w:t>Bearing this principle in mind and applying it freely, let us now survey the remainder of the Olivet Discourse.</w:t>
      </w:r>
    </w:p>
    <w:p w14:paraId="02638E5F">
      <w:pPr>
        <w:pStyle w:val="9"/>
        <w:spacing w:before="23"/>
        <w:ind w:left="0"/>
        <w:jc w:val="left"/>
        <w:rPr>
          <w:rFonts w:hint="eastAsia"/>
        </w:rPr>
      </w:pPr>
      <w:r>
        <w:rPr>
          <w:rFonts w:hint="eastAsia"/>
        </w:rPr>
        <w:t>记住这个原则并自由地应用它，让我们现在来考察橄榄山论述的其余部分。</w:t>
      </w:r>
    </w:p>
    <w:p w14:paraId="5C165287">
      <w:pPr>
        <w:pStyle w:val="9"/>
        <w:spacing w:before="23"/>
        <w:ind w:left="0"/>
        <w:jc w:val="left"/>
        <w:rPr>
          <w:rFonts w:hint="eastAsia"/>
        </w:rPr>
      </w:pPr>
    </w:p>
    <w:p w14:paraId="63C23C8E">
      <w:pPr>
        <w:pStyle w:val="9"/>
        <w:spacing w:before="23"/>
        <w:ind w:left="0"/>
        <w:jc w:val="left"/>
        <w:rPr>
          <w:rFonts w:hint="eastAsia"/>
        </w:rPr>
      </w:pPr>
      <w:r>
        <w:rPr>
          <w:rFonts w:hint="eastAsia"/>
        </w:rPr>
        <w:t>I will comment on Matthew’s version, which is the most extensive, but will also reference Mark’s and Luke’s where appropriate.</w:t>
      </w:r>
    </w:p>
    <w:p w14:paraId="18741F98">
      <w:pPr>
        <w:pStyle w:val="9"/>
        <w:spacing w:before="23"/>
        <w:ind w:left="0"/>
        <w:jc w:val="left"/>
        <w:rPr>
          <w:rFonts w:hint="eastAsia"/>
        </w:rPr>
      </w:pPr>
      <w:r>
        <w:rPr>
          <w:rFonts w:hint="eastAsia"/>
        </w:rPr>
        <w:t>我将评论马太的版本，这是最详尽的，但在适当的时候也会参考马可和路加的版本。</w:t>
      </w:r>
    </w:p>
    <w:p w14:paraId="603BACB7">
      <w:pPr>
        <w:pStyle w:val="9"/>
        <w:spacing w:before="23"/>
        <w:ind w:left="0"/>
        <w:jc w:val="left"/>
        <w:rPr>
          <w:rFonts w:hint="eastAsia"/>
        </w:rPr>
      </w:pPr>
    </w:p>
    <w:p w14:paraId="777F28C0">
      <w:pPr>
        <w:pStyle w:val="9"/>
        <w:spacing w:before="23"/>
        <w:ind w:left="0"/>
        <w:jc w:val="left"/>
        <w:rPr>
          <w:rFonts w:hint="eastAsia"/>
        </w:rPr>
      </w:pPr>
      <w:r>
        <w:rPr>
          <w:rFonts w:hint="eastAsia"/>
        </w:rPr>
        <w:t>The Signs of his (twofold ) Coming (24:4-28)</w:t>
      </w:r>
    </w:p>
    <w:p w14:paraId="1E76E92A">
      <w:pPr>
        <w:pStyle w:val="9"/>
        <w:spacing w:before="23"/>
        <w:ind w:left="0"/>
        <w:jc w:val="left"/>
        <w:rPr>
          <w:rFonts w:hint="eastAsia"/>
        </w:rPr>
      </w:pPr>
      <w:r>
        <w:rPr>
          <w:rFonts w:hint="eastAsia"/>
        </w:rPr>
        <w:t>祂（双重）降临的预兆（24:4-28）</w:t>
      </w:r>
    </w:p>
    <w:p w14:paraId="7DE13096">
      <w:pPr>
        <w:pStyle w:val="9"/>
        <w:spacing w:before="23"/>
        <w:ind w:left="0"/>
        <w:jc w:val="left"/>
        <w:rPr>
          <w:rFonts w:hint="eastAsia"/>
        </w:rPr>
      </w:pPr>
    </w:p>
    <w:p w14:paraId="303DA62F">
      <w:pPr>
        <w:pStyle w:val="9"/>
        <w:spacing w:before="23"/>
        <w:ind w:left="0"/>
        <w:jc w:val="left"/>
        <w:rPr>
          <w:rFonts w:hint="eastAsia"/>
        </w:rPr>
      </w:pPr>
      <w:r>
        <w:rPr>
          <w:rFonts w:hint="eastAsia"/>
        </w:rPr>
        <w:t>Verses 4-28 of chapter 24 give us the signs of the Lord’s twofold coming.</w:t>
      </w:r>
    </w:p>
    <w:p w14:paraId="4E9C7590">
      <w:pPr>
        <w:pStyle w:val="9"/>
        <w:spacing w:before="23"/>
        <w:ind w:left="0"/>
        <w:jc w:val="left"/>
        <w:rPr>
          <w:rFonts w:hint="eastAsia"/>
        </w:rPr>
      </w:pPr>
      <w:r>
        <w:rPr>
          <w:rFonts w:hint="eastAsia"/>
        </w:rPr>
        <w:t>第24章的第4-28节给了我们主两次降临的预兆。</w:t>
      </w:r>
    </w:p>
    <w:p w14:paraId="52DDEB1C">
      <w:pPr>
        <w:pStyle w:val="9"/>
        <w:spacing w:before="23"/>
        <w:ind w:left="0"/>
        <w:jc w:val="left"/>
        <w:rPr>
          <w:rFonts w:hint="eastAsia"/>
        </w:rPr>
      </w:pPr>
    </w:p>
    <w:p w14:paraId="3B22C5DE">
      <w:pPr>
        <w:pStyle w:val="9"/>
        <w:spacing w:before="23"/>
        <w:ind w:left="0"/>
        <w:jc w:val="left"/>
        <w:rPr>
          <w:rFonts w:hint="eastAsia"/>
        </w:rPr>
      </w:pPr>
      <w:r>
        <w:rPr>
          <w:rFonts w:hint="eastAsia"/>
        </w:rPr>
        <w:t>Here, a notable progression is evident.</w:t>
      </w:r>
    </w:p>
    <w:p w14:paraId="54FC9B02">
      <w:pPr>
        <w:pStyle w:val="9"/>
        <w:spacing w:before="23"/>
        <w:ind w:left="0"/>
        <w:jc w:val="left"/>
        <w:rPr>
          <w:rFonts w:hint="eastAsia"/>
        </w:rPr>
      </w:pPr>
      <w:r>
        <w:rPr>
          <w:rFonts w:hint="eastAsia"/>
        </w:rPr>
        <w:t>在这里，一个显著的进展是显而易见的。</w:t>
      </w:r>
    </w:p>
    <w:p w14:paraId="1139470D">
      <w:pPr>
        <w:pStyle w:val="9"/>
        <w:spacing w:before="23"/>
        <w:ind w:left="0"/>
        <w:jc w:val="left"/>
        <w:rPr>
          <w:rFonts w:hint="eastAsia"/>
        </w:rPr>
      </w:pPr>
    </w:p>
    <w:p w14:paraId="6744885F">
      <w:pPr>
        <w:pStyle w:val="9"/>
        <w:spacing w:before="23"/>
        <w:ind w:left="0"/>
        <w:jc w:val="left"/>
        <w:rPr>
          <w:rFonts w:hint="eastAsia"/>
        </w:rPr>
      </w:pPr>
      <w:r>
        <w:rPr>
          <w:rFonts w:hint="eastAsia"/>
        </w:rPr>
        <w:t>Verses 4-8 tell of “the beginning of the birth pains.”</w:t>
      </w:r>
    </w:p>
    <w:p w14:paraId="639DD176">
      <w:pPr>
        <w:pStyle w:val="9"/>
        <w:spacing w:before="23"/>
        <w:ind w:left="0"/>
        <w:jc w:val="left"/>
        <w:rPr>
          <w:rFonts w:hint="eastAsia"/>
        </w:rPr>
      </w:pPr>
      <w:r>
        <w:rPr>
          <w:rFonts w:hint="eastAsia"/>
        </w:rPr>
        <w:t>第4-8节讲述了“产难的起头”。</w:t>
      </w:r>
    </w:p>
    <w:p w14:paraId="3BB6D7CE">
      <w:pPr>
        <w:pStyle w:val="9"/>
        <w:spacing w:before="23"/>
        <w:ind w:left="0"/>
        <w:jc w:val="left"/>
        <w:rPr>
          <w:rFonts w:hint="eastAsia"/>
        </w:rPr>
      </w:pPr>
    </w:p>
    <w:p w14:paraId="2B67BCBD">
      <w:pPr>
        <w:pStyle w:val="9"/>
        <w:spacing w:before="23"/>
        <w:ind w:left="0"/>
        <w:jc w:val="left"/>
        <w:rPr>
          <w:rFonts w:hint="eastAsia"/>
        </w:rPr>
      </w:pPr>
      <w:r>
        <w:rPr>
          <w:rFonts w:hint="eastAsia"/>
        </w:rPr>
        <w:t>All throughout the Church era, the world will experience false Christs (5), wars and rumors of war (6), famines and earthquakes (7), and pestilence (Luke 21:11).</w:t>
      </w:r>
    </w:p>
    <w:p w14:paraId="38279127">
      <w:pPr>
        <w:pStyle w:val="9"/>
        <w:spacing w:before="23"/>
        <w:ind w:left="0"/>
        <w:jc w:val="left"/>
        <w:rPr>
          <w:rFonts w:hint="eastAsia"/>
        </w:rPr>
      </w:pPr>
      <w:r>
        <w:rPr>
          <w:rFonts w:hint="eastAsia"/>
        </w:rPr>
        <w:t>在整个教会时代，世界将经历假基督（5），战争和战争的风声（6），饥荒和地震（7），以及瘟疫（路加福音21:11）。</w:t>
      </w:r>
    </w:p>
    <w:p w14:paraId="3D201343">
      <w:pPr>
        <w:pStyle w:val="9"/>
        <w:spacing w:before="23"/>
        <w:ind w:left="0"/>
        <w:jc w:val="left"/>
        <w:rPr>
          <w:rFonts w:hint="eastAsia"/>
        </w:rPr>
      </w:pPr>
    </w:p>
    <w:p w14:paraId="41355E42">
      <w:pPr>
        <w:pStyle w:val="9"/>
        <w:spacing w:before="23"/>
        <w:ind w:left="0"/>
        <w:jc w:val="left"/>
        <w:rPr>
          <w:rFonts w:hint="eastAsia"/>
        </w:rPr>
      </w:pPr>
      <w:r>
        <w:rPr>
          <w:rFonts w:hint="eastAsia"/>
        </w:rPr>
        <w:t>These are indeed signs of the final Judgment soon to come, and also of the new world that is sure to be born after it.</w:t>
      </w:r>
    </w:p>
    <w:p w14:paraId="229C92FD">
      <w:pPr>
        <w:pStyle w:val="9"/>
        <w:spacing w:before="23"/>
        <w:ind w:left="0"/>
        <w:jc w:val="left"/>
        <w:rPr>
          <w:rFonts w:hint="eastAsia"/>
        </w:rPr>
      </w:pPr>
      <w:r>
        <w:rPr>
          <w:rFonts w:hint="eastAsia"/>
        </w:rPr>
        <w:t>这些确实是即将到来的最后审判的预兆，也是在其后必定诞生的新世界的预兆。</w:t>
      </w:r>
    </w:p>
    <w:p w14:paraId="70ACD716">
      <w:pPr>
        <w:pStyle w:val="9"/>
        <w:spacing w:before="23"/>
        <w:ind w:left="0"/>
        <w:jc w:val="left"/>
        <w:rPr>
          <w:rFonts w:hint="eastAsia"/>
        </w:rPr>
      </w:pPr>
    </w:p>
    <w:p w14:paraId="56F9D5D8">
      <w:pPr>
        <w:pStyle w:val="9"/>
        <w:spacing w:before="23"/>
        <w:ind w:left="0"/>
        <w:jc w:val="left"/>
        <w:rPr>
          <w:rFonts w:hint="eastAsia"/>
        </w:rPr>
      </w:pPr>
      <w:r>
        <w:rPr>
          <w:rFonts w:hint="eastAsia"/>
        </w:rPr>
        <w:t>They are not, however, signs that the end—or the birth—is imminent; that it is “right at the door.”</w:t>
      </w:r>
    </w:p>
    <w:p w14:paraId="11A3CDE1">
      <w:pPr>
        <w:pStyle w:val="9"/>
        <w:spacing w:before="23"/>
        <w:ind w:left="0"/>
        <w:jc w:val="left"/>
        <w:rPr>
          <w:rFonts w:hint="eastAsia"/>
        </w:rPr>
      </w:pPr>
      <w:r>
        <w:rPr>
          <w:rFonts w:hint="eastAsia"/>
        </w:rPr>
        <w:t>然而，它们并非预兆着末了——或生产——是迫近的；并非“正在门口了”。</w:t>
      </w:r>
    </w:p>
    <w:p w14:paraId="7ED2DD2A">
      <w:pPr>
        <w:pStyle w:val="9"/>
        <w:spacing w:before="23"/>
        <w:ind w:left="0"/>
        <w:jc w:val="left"/>
        <w:rPr>
          <w:rFonts w:hint="eastAsia"/>
        </w:rPr>
      </w:pPr>
    </w:p>
    <w:p w14:paraId="44139FB4">
      <w:pPr>
        <w:pStyle w:val="9"/>
        <w:spacing w:before="23"/>
        <w:ind w:left="0"/>
        <w:jc w:val="left"/>
        <w:rPr>
          <w:rFonts w:hint="eastAsia"/>
        </w:rPr>
      </w:pPr>
      <w:r>
        <w:rPr>
          <w:rFonts w:hint="eastAsia"/>
        </w:rPr>
        <w:t>To the contrary, they are signs that the end and the birth have not yet come (Mark 13:7).</w:t>
      </w:r>
    </w:p>
    <w:p w14:paraId="3525E6F4">
      <w:pPr>
        <w:pStyle w:val="9"/>
        <w:spacing w:before="23"/>
        <w:ind w:left="0"/>
        <w:jc w:val="left"/>
        <w:rPr>
          <w:rFonts w:hint="eastAsia"/>
        </w:rPr>
      </w:pPr>
      <w:r>
        <w:rPr>
          <w:rFonts w:hint="eastAsia"/>
        </w:rPr>
        <w:t>相反，它们是末了和生产尚未到来的预兆（马可福音13:7）。</w:t>
      </w:r>
    </w:p>
    <w:p w14:paraId="3CDFC0DD">
      <w:pPr>
        <w:pStyle w:val="9"/>
        <w:spacing w:before="23"/>
        <w:ind w:left="0"/>
        <w:jc w:val="left"/>
        <w:rPr>
          <w:rFonts w:hint="eastAsia"/>
        </w:rPr>
      </w:pPr>
    </w:p>
    <w:p w14:paraId="05321123">
      <w:pPr>
        <w:pStyle w:val="9"/>
        <w:spacing w:before="23"/>
        <w:ind w:left="0"/>
        <w:jc w:val="left"/>
        <w:rPr>
          <w:rFonts w:hint="eastAsia"/>
        </w:rPr>
      </w:pPr>
      <w:r>
        <w:rPr>
          <w:rFonts w:hint="eastAsia"/>
        </w:rPr>
        <w:t>Therefore, when the saints see them, they are not to be deceived, overly excited, or discouraged.</w:t>
      </w:r>
    </w:p>
    <w:p w14:paraId="595D1F35">
      <w:pPr>
        <w:pStyle w:val="9"/>
        <w:spacing w:before="23"/>
        <w:ind w:left="0"/>
        <w:jc w:val="left"/>
        <w:rPr>
          <w:rFonts w:hint="eastAsia"/>
        </w:rPr>
      </w:pPr>
      <w:r>
        <w:rPr>
          <w:rFonts w:hint="eastAsia"/>
        </w:rPr>
        <w:t>因此，当圣徒们看见这些事时，他们不应被欺骗，过度兴奋，或灰心。</w:t>
      </w:r>
    </w:p>
    <w:p w14:paraId="1FE0582D">
      <w:pPr>
        <w:pStyle w:val="9"/>
        <w:spacing w:before="23"/>
        <w:ind w:left="0"/>
        <w:jc w:val="left"/>
        <w:rPr>
          <w:rFonts w:hint="eastAsia"/>
        </w:rPr>
      </w:pPr>
    </w:p>
    <w:p w14:paraId="54F5CDDF">
      <w:pPr>
        <w:pStyle w:val="9"/>
        <w:spacing w:before="23"/>
        <w:ind w:left="0"/>
        <w:jc w:val="left"/>
        <w:rPr>
          <w:rFonts w:hint="eastAsia"/>
        </w:rPr>
      </w:pPr>
      <w:r>
        <w:rPr>
          <w:rFonts w:hint="eastAsia"/>
        </w:rPr>
        <w:t>Rather, they are to occupy till he does come, interpreting the meaning of the signs to their own generation, so that people may be taught, warned, and saved.</w:t>
      </w:r>
    </w:p>
    <w:p w14:paraId="70ACEA39">
      <w:pPr>
        <w:pStyle w:val="9"/>
        <w:spacing w:before="23"/>
        <w:ind w:left="0"/>
        <w:jc w:val="left"/>
        <w:rPr>
          <w:rFonts w:hint="eastAsia"/>
        </w:rPr>
      </w:pPr>
      <w:r>
        <w:rPr>
          <w:rFonts w:hint="eastAsia"/>
        </w:rPr>
        <w:t>相反，他们要持守，直到祂来，向他们自己的世代解释这些预兆的意义，使人可以受教导、得警戒和得救。</w:t>
      </w:r>
    </w:p>
    <w:p w14:paraId="1A5B59ED">
      <w:pPr>
        <w:pStyle w:val="9"/>
        <w:spacing w:before="23"/>
        <w:ind w:left="0"/>
        <w:jc w:val="left"/>
        <w:rPr>
          <w:rFonts w:hint="eastAsia"/>
        </w:rPr>
      </w:pPr>
    </w:p>
    <w:p w14:paraId="7CBB6A47">
      <w:pPr>
        <w:pStyle w:val="9"/>
        <w:spacing w:before="23"/>
        <w:ind w:left="0"/>
        <w:jc w:val="left"/>
        <w:rPr>
          <w:rFonts w:hint="eastAsia"/>
        </w:rPr>
      </w:pPr>
      <w:r>
        <w:rPr>
          <w:rFonts w:hint="eastAsia"/>
        </w:rPr>
        <w:t>In verses 9-14, the eschatological labor pains intensify.</w:t>
      </w:r>
    </w:p>
    <w:p w14:paraId="17B903A9">
      <w:pPr>
        <w:pStyle w:val="9"/>
        <w:spacing w:before="23"/>
        <w:ind w:left="0"/>
        <w:jc w:val="left"/>
        <w:rPr>
          <w:rFonts w:hint="eastAsia"/>
        </w:rPr>
      </w:pPr>
      <w:r>
        <w:rPr>
          <w:rFonts w:hint="eastAsia"/>
        </w:rPr>
        <w:t>在第9-14节，末世的产难加剧。</w:t>
      </w:r>
    </w:p>
    <w:p w14:paraId="28CA116F">
      <w:pPr>
        <w:pStyle w:val="9"/>
        <w:spacing w:before="23"/>
        <w:ind w:left="0"/>
        <w:jc w:val="left"/>
        <w:rPr>
          <w:rFonts w:hint="eastAsia"/>
        </w:rPr>
      </w:pPr>
    </w:p>
    <w:p w14:paraId="20DB92C2">
      <w:pPr>
        <w:pStyle w:val="9"/>
        <w:spacing w:before="23"/>
        <w:ind w:left="0"/>
        <w:jc w:val="left"/>
        <w:rPr>
          <w:rFonts w:hint="eastAsia"/>
        </w:rPr>
      </w:pPr>
      <w:r>
        <w:rPr>
          <w:rFonts w:hint="eastAsia"/>
        </w:rPr>
        <w:t>Yes, in most cases the signs mentioned here were fulfilled among first century Christians living in Palestine.</w:t>
      </w:r>
    </w:p>
    <w:p w14:paraId="7BE46717">
      <w:pPr>
        <w:pStyle w:val="9"/>
        <w:spacing w:before="23"/>
        <w:ind w:left="0"/>
        <w:jc w:val="left"/>
        <w:rPr>
          <w:rFonts w:hint="eastAsia"/>
        </w:rPr>
      </w:pPr>
      <w:r>
        <w:rPr>
          <w:rFonts w:hint="eastAsia"/>
        </w:rPr>
        <w:t>是的，在大多数情况下，这里提到的预兆在生活在巴勒斯坦的第一世纪基督徒中得到了应验。</w:t>
      </w:r>
    </w:p>
    <w:p w14:paraId="246F6AD4">
      <w:pPr>
        <w:pStyle w:val="9"/>
        <w:spacing w:before="23"/>
        <w:ind w:left="0"/>
        <w:jc w:val="left"/>
        <w:rPr>
          <w:rFonts w:hint="eastAsia"/>
        </w:rPr>
      </w:pPr>
    </w:p>
    <w:p w14:paraId="1709255B">
      <w:pPr>
        <w:pStyle w:val="9"/>
        <w:spacing w:before="23"/>
        <w:ind w:left="0"/>
        <w:jc w:val="left"/>
        <w:rPr>
          <w:rFonts w:hint="eastAsia"/>
        </w:rPr>
      </w:pPr>
      <w:r>
        <w:rPr>
          <w:rFonts w:hint="eastAsia"/>
        </w:rPr>
        <w:t>However, in this section the accent begins to fall on the middle and later portions of the Church era.</w:t>
      </w:r>
    </w:p>
    <w:p w14:paraId="7B13D304">
      <w:pPr>
        <w:pStyle w:val="9"/>
        <w:spacing w:before="23"/>
        <w:ind w:left="0"/>
        <w:jc w:val="left"/>
        <w:rPr>
          <w:rFonts w:hint="eastAsia"/>
        </w:rPr>
      </w:pPr>
      <w:r>
        <w:rPr>
          <w:rFonts w:hint="eastAsia"/>
        </w:rPr>
        <w:t>然而，在这一部分，重点开始落在教会时代的中后期。</w:t>
      </w:r>
    </w:p>
    <w:p w14:paraId="497E8DF8">
      <w:pPr>
        <w:pStyle w:val="9"/>
        <w:spacing w:before="23"/>
        <w:ind w:left="0"/>
        <w:jc w:val="left"/>
        <w:rPr>
          <w:rFonts w:hint="eastAsia"/>
        </w:rPr>
      </w:pPr>
    </w:p>
    <w:p w14:paraId="3DCE98D3">
      <w:pPr>
        <w:pStyle w:val="9"/>
        <w:spacing w:before="23"/>
        <w:ind w:left="0"/>
        <w:jc w:val="left"/>
        <w:rPr>
          <w:rFonts w:hint="eastAsia"/>
        </w:rPr>
      </w:pPr>
      <w:r>
        <w:rPr>
          <w:rFonts w:hint="eastAsia"/>
        </w:rPr>
        <w:t>The signs mentioned here include persecution, martyrdom (9), apostasy (10), more (and more deceptive) false prophets (11), increasing lawlessness, corresponding lukewarmness (12), and—on a happier note—the universal proclamation of the Gospel, after which the end (i.e., the Consummation) will come (14).</w:t>
      </w:r>
    </w:p>
    <w:p w14:paraId="251CD950">
      <w:pPr>
        <w:pStyle w:val="9"/>
        <w:spacing w:before="23"/>
        <w:ind w:left="0"/>
        <w:jc w:val="left"/>
        <w:rPr>
          <w:rFonts w:hint="eastAsia"/>
        </w:rPr>
      </w:pPr>
      <w:r>
        <w:rPr>
          <w:rFonts w:hint="eastAsia"/>
        </w:rPr>
        <w:t>这里提到的预兆包括迫害、殉道（9），背道（10），更多（且更具欺骗性的）假先知（11），不法之事增多，相应的冷淡（12），以及——更令人欣喜的是——福音的普世宣讲，之后末期（即最终的成全）才会来到（14）。</w:t>
      </w:r>
    </w:p>
    <w:p w14:paraId="2AEF7C72">
      <w:pPr>
        <w:pStyle w:val="9"/>
        <w:spacing w:before="23"/>
        <w:ind w:left="0"/>
        <w:jc w:val="left"/>
        <w:rPr>
          <w:rFonts w:hint="eastAsia"/>
        </w:rPr>
      </w:pPr>
    </w:p>
    <w:p w14:paraId="3A41976E">
      <w:pPr>
        <w:pStyle w:val="9"/>
        <w:spacing w:before="23"/>
        <w:ind w:left="0"/>
        <w:jc w:val="left"/>
        <w:rPr>
          <w:rFonts w:hint="eastAsia"/>
        </w:rPr>
      </w:pPr>
      <w:r>
        <w:rPr>
          <w:rFonts w:hint="eastAsia"/>
        </w:rPr>
        <w:t>Happy is the man who endures to the end (13).</w:t>
      </w:r>
    </w:p>
    <w:p w14:paraId="6D8BDCDE">
      <w:pPr>
        <w:pStyle w:val="9"/>
        <w:spacing w:before="23"/>
        <w:ind w:left="0"/>
        <w:jc w:val="left"/>
        <w:rPr>
          <w:rFonts w:hint="eastAsia"/>
        </w:rPr>
      </w:pPr>
      <w:r>
        <w:rPr>
          <w:rFonts w:hint="eastAsia"/>
        </w:rPr>
        <w:t>惟有忍耐到底的，必然得救（13）。</w:t>
      </w:r>
    </w:p>
    <w:p w14:paraId="2C68D595">
      <w:pPr>
        <w:pStyle w:val="9"/>
        <w:spacing w:before="23"/>
        <w:ind w:left="0"/>
        <w:jc w:val="left"/>
        <w:rPr>
          <w:rFonts w:hint="eastAsia"/>
        </w:rPr>
      </w:pPr>
    </w:p>
    <w:p w14:paraId="5E300011">
      <w:pPr>
        <w:pStyle w:val="9"/>
        <w:spacing w:before="23"/>
        <w:ind w:left="0"/>
        <w:jc w:val="left"/>
        <w:rPr>
          <w:rFonts w:hint="eastAsia"/>
        </w:rPr>
      </w:pPr>
      <w:r>
        <w:rPr>
          <w:rFonts w:hint="eastAsia"/>
        </w:rPr>
        <w:t>In verses 15-28 we reach transition.</w:t>
      </w:r>
    </w:p>
    <w:p w14:paraId="31F8F77E">
      <w:pPr>
        <w:pStyle w:val="9"/>
        <w:spacing w:before="23"/>
        <w:ind w:left="0"/>
        <w:jc w:val="left"/>
        <w:rPr>
          <w:rFonts w:hint="eastAsia"/>
        </w:rPr>
      </w:pPr>
      <w:r>
        <w:rPr>
          <w:rFonts w:hint="eastAsia"/>
        </w:rPr>
        <w:t>在第15-28节，我们到达了转折点。</w:t>
      </w:r>
    </w:p>
    <w:p w14:paraId="5C7FC895">
      <w:pPr>
        <w:pStyle w:val="9"/>
        <w:spacing w:before="23"/>
        <w:ind w:left="0"/>
        <w:jc w:val="left"/>
        <w:rPr>
          <w:rFonts w:hint="eastAsia"/>
        </w:rPr>
      </w:pPr>
    </w:p>
    <w:p w14:paraId="3E7E4AED">
      <w:pPr>
        <w:pStyle w:val="9"/>
        <w:spacing w:before="23"/>
        <w:ind w:left="0"/>
        <w:jc w:val="left"/>
        <w:rPr>
          <w:rFonts w:hint="eastAsia"/>
        </w:rPr>
      </w:pPr>
      <w:r>
        <w:rPr>
          <w:rFonts w:hint="eastAsia"/>
        </w:rPr>
        <w:t>Now the labor is most intense.</w:t>
      </w:r>
    </w:p>
    <w:p w14:paraId="437F0FF9">
      <w:pPr>
        <w:pStyle w:val="9"/>
        <w:spacing w:before="23"/>
        <w:ind w:left="0"/>
        <w:jc w:val="left"/>
        <w:rPr>
          <w:rFonts w:hint="eastAsia"/>
        </w:rPr>
      </w:pPr>
      <w:r>
        <w:rPr>
          <w:rFonts w:hint="eastAsia"/>
        </w:rPr>
        <w:t>现在产难最剧烈。</w:t>
      </w:r>
    </w:p>
    <w:p w14:paraId="4C22B0CC">
      <w:pPr>
        <w:pStyle w:val="9"/>
        <w:spacing w:before="23"/>
        <w:ind w:left="0"/>
        <w:jc w:val="left"/>
        <w:rPr>
          <w:rFonts w:hint="eastAsia"/>
        </w:rPr>
      </w:pPr>
    </w:p>
    <w:p w14:paraId="363B4D18">
      <w:pPr>
        <w:pStyle w:val="9"/>
        <w:spacing w:before="23"/>
        <w:ind w:left="0"/>
        <w:jc w:val="left"/>
        <w:rPr>
          <w:rFonts w:hint="eastAsia"/>
        </w:rPr>
      </w:pPr>
      <w:r>
        <w:rPr>
          <w:rFonts w:hint="eastAsia"/>
        </w:rPr>
        <w:t>Now there is great tribulation.</w:t>
      </w:r>
    </w:p>
    <w:p w14:paraId="7793464D">
      <w:pPr>
        <w:pStyle w:val="9"/>
        <w:spacing w:before="23"/>
        <w:ind w:left="0"/>
        <w:jc w:val="left"/>
        <w:rPr>
          <w:rFonts w:hint="eastAsia"/>
        </w:rPr>
      </w:pPr>
      <w:r>
        <w:rPr>
          <w:rFonts w:hint="eastAsia"/>
        </w:rPr>
        <w:t>现在有大患难。</w:t>
      </w:r>
    </w:p>
    <w:p w14:paraId="68B9AAC6">
      <w:pPr>
        <w:pStyle w:val="9"/>
        <w:spacing w:before="23"/>
        <w:ind w:left="0"/>
        <w:jc w:val="left"/>
        <w:rPr>
          <w:rFonts w:hint="eastAsia"/>
        </w:rPr>
      </w:pPr>
    </w:p>
    <w:p w14:paraId="4F3491EC">
      <w:pPr>
        <w:pStyle w:val="9"/>
        <w:spacing w:before="23"/>
        <w:ind w:left="0"/>
        <w:jc w:val="left"/>
        <w:rPr>
          <w:rFonts w:hint="eastAsia"/>
        </w:rPr>
      </w:pPr>
      <w:r>
        <w:rPr>
          <w:rFonts w:hint="eastAsia"/>
        </w:rPr>
        <w:t>Now the Coming, the end, and the birth are indeed at the door.</w:t>
      </w:r>
    </w:p>
    <w:p w14:paraId="3CC7DC13">
      <w:pPr>
        <w:pStyle w:val="9"/>
        <w:spacing w:before="23"/>
        <w:ind w:left="0"/>
        <w:jc w:val="left"/>
        <w:rPr>
          <w:rFonts w:hint="eastAsia"/>
        </w:rPr>
      </w:pPr>
      <w:r>
        <w:rPr>
          <w:rFonts w:hint="eastAsia"/>
        </w:rPr>
        <w:t>现在降临、末了和生产确实在门口了。</w:t>
      </w:r>
    </w:p>
    <w:p w14:paraId="15497DB2">
      <w:pPr>
        <w:pStyle w:val="9"/>
        <w:spacing w:before="23"/>
        <w:ind w:left="0"/>
        <w:jc w:val="left"/>
        <w:rPr>
          <w:rFonts w:hint="eastAsia"/>
        </w:rPr>
      </w:pPr>
    </w:p>
    <w:p w14:paraId="1246DE32">
      <w:pPr>
        <w:pStyle w:val="9"/>
        <w:spacing w:before="23"/>
        <w:ind w:left="0"/>
        <w:jc w:val="left"/>
        <w:rPr>
          <w:rFonts w:hint="eastAsia"/>
        </w:rPr>
      </w:pPr>
      <w:r>
        <w:rPr>
          <w:rFonts w:hint="eastAsia"/>
        </w:rPr>
        <w:t>By and large, these predictions again have a double fulfillment.</w:t>
      </w:r>
    </w:p>
    <w:p w14:paraId="3A7C93FA">
      <w:pPr>
        <w:pStyle w:val="9"/>
        <w:spacing w:before="23"/>
        <w:ind w:left="0"/>
        <w:jc w:val="left"/>
        <w:rPr>
          <w:rFonts w:hint="eastAsia"/>
        </w:rPr>
      </w:pPr>
      <w:r>
        <w:rPr>
          <w:rFonts w:hint="eastAsia"/>
        </w:rPr>
        <w:t>总的来说，这些预言再次有双重应验。</w:t>
      </w:r>
    </w:p>
    <w:p w14:paraId="10586995">
      <w:pPr>
        <w:pStyle w:val="9"/>
        <w:spacing w:before="23"/>
        <w:ind w:left="0"/>
        <w:jc w:val="left"/>
        <w:rPr>
          <w:rFonts w:hint="eastAsia"/>
        </w:rPr>
      </w:pPr>
    </w:p>
    <w:p w14:paraId="5DA63FCF">
      <w:pPr>
        <w:pStyle w:val="9"/>
        <w:spacing w:before="23"/>
        <w:ind w:left="0"/>
        <w:jc w:val="left"/>
        <w:rPr>
          <w:rFonts w:hint="eastAsia"/>
        </w:rPr>
      </w:pPr>
      <w:r>
        <w:rPr>
          <w:rFonts w:hint="eastAsia"/>
        </w:rPr>
        <w:t>The near-term fulfillment, emphasized by Luke (Luke 21:20-24), is at the coming of Titus and the judgment of the Israelite nation, epitomized in the destruction of their city and their temple.</w:t>
      </w:r>
    </w:p>
    <w:p w14:paraId="0ED4C0BD">
      <w:pPr>
        <w:pStyle w:val="9"/>
        <w:spacing w:before="23"/>
        <w:ind w:left="0"/>
        <w:jc w:val="left"/>
        <w:rPr>
          <w:rFonts w:hint="eastAsia"/>
        </w:rPr>
      </w:pPr>
      <w:r>
        <w:rPr>
          <w:rFonts w:hint="eastAsia"/>
        </w:rPr>
        <w:t>近期的应验，由路加所强调（路加福音21:20-24），是在提多的来临和对以色列民族的审判，以他们的城和他们的殿被毁为缩影。</w:t>
      </w:r>
    </w:p>
    <w:p w14:paraId="214AA756">
      <w:pPr>
        <w:pStyle w:val="9"/>
        <w:spacing w:before="23"/>
        <w:ind w:left="0"/>
        <w:jc w:val="left"/>
        <w:rPr>
          <w:rFonts w:hint="eastAsia"/>
        </w:rPr>
      </w:pPr>
    </w:p>
    <w:p w14:paraId="34D4CFE3">
      <w:pPr>
        <w:pStyle w:val="9"/>
        <w:spacing w:before="23"/>
        <w:ind w:left="0"/>
        <w:jc w:val="left"/>
        <w:rPr>
          <w:rFonts w:hint="eastAsia"/>
        </w:rPr>
      </w:pPr>
      <w:r>
        <w:rPr>
          <w:rFonts w:hint="eastAsia"/>
        </w:rPr>
        <w:t>The far-term fulfillment, emphasized by Matthew and Mark, is in the Parousia and the Judgment of the whole world-system; the destruction of the City of Man and its counterfeit “temple” (i.e., its man-made, man-centered religion).</w:t>
      </w:r>
    </w:p>
    <w:p w14:paraId="24080F02">
      <w:pPr>
        <w:pStyle w:val="9"/>
        <w:spacing w:before="23"/>
        <w:ind w:left="0"/>
        <w:jc w:val="left"/>
        <w:rPr>
          <w:rFonts w:hint="eastAsia"/>
        </w:rPr>
      </w:pPr>
      <w:r>
        <w:rPr>
          <w:rFonts w:hint="eastAsia"/>
        </w:rPr>
        <w:t>远期的应验，由马太和马可所强调，是在主临（Parousia）和对整个世界体系的审判中；人之城的毁灭及其假冒的“殿”（即其人造的、以人为中心的宗教）的毁灭。</w:t>
      </w:r>
    </w:p>
    <w:p w14:paraId="16EEEACF">
      <w:pPr>
        <w:pStyle w:val="9"/>
        <w:spacing w:before="23"/>
        <w:ind w:left="0"/>
        <w:jc w:val="left"/>
        <w:rPr>
          <w:rFonts w:hint="eastAsia"/>
        </w:rPr>
      </w:pPr>
    </w:p>
    <w:p w14:paraId="752B0F51">
      <w:pPr>
        <w:pStyle w:val="9"/>
        <w:spacing w:before="23"/>
        <w:ind w:left="0"/>
        <w:jc w:val="left"/>
        <w:rPr>
          <w:rFonts w:hint="eastAsia"/>
        </w:rPr>
      </w:pPr>
      <w:r>
        <w:rPr>
          <w:rFonts w:hint="eastAsia"/>
        </w:rPr>
        <w:t>As one commentator aptly writes, “The destruction of Jerusalem was a foretaste of the Last Judgment, and so is a sign of the coming wrath.”4</w:t>
      </w:r>
    </w:p>
    <w:p w14:paraId="5CFC0A0E">
      <w:pPr>
        <w:pStyle w:val="9"/>
        <w:spacing w:before="23"/>
        <w:ind w:left="0"/>
        <w:jc w:val="left"/>
        <w:rPr>
          <w:rFonts w:hint="eastAsia"/>
        </w:rPr>
      </w:pPr>
      <w:r>
        <w:rPr>
          <w:rFonts w:hint="eastAsia"/>
        </w:rPr>
        <w:t>正如一位评论员所恰当写道的：“耶路撒冷的毁灭是最后审判的预尝，因此也是将要来临的忿怒的预兆。”4</w:t>
      </w:r>
    </w:p>
    <w:p w14:paraId="196B6F56">
      <w:pPr>
        <w:pStyle w:val="9"/>
        <w:spacing w:before="23"/>
        <w:ind w:left="0"/>
        <w:jc w:val="left"/>
        <w:rPr>
          <w:rFonts w:hint="eastAsia"/>
        </w:rPr>
      </w:pPr>
    </w:p>
    <w:p w14:paraId="5BC3DBC4">
      <w:pPr>
        <w:pStyle w:val="9"/>
        <w:spacing w:before="23"/>
        <w:ind w:left="0"/>
        <w:jc w:val="left"/>
        <w:rPr>
          <w:rFonts w:hint="eastAsia"/>
        </w:rPr>
      </w:pPr>
      <w:r>
        <w:rPr>
          <w:rFonts w:hint="eastAsia"/>
        </w:rPr>
        <w:t>Importantly, all three versions of the Discourse clearly refer or allude to both comings and both judgments; contrary to the claims of our preterist brethren, none of them confines its attention to the (providential) coming of Christ in 70 AD.5</w:t>
      </w:r>
    </w:p>
    <w:p w14:paraId="04880898">
      <w:pPr>
        <w:pStyle w:val="9"/>
        <w:spacing w:before="23"/>
        <w:ind w:left="0"/>
        <w:jc w:val="left"/>
        <w:rPr>
          <w:rFonts w:hint="eastAsia"/>
        </w:rPr>
      </w:pPr>
      <w:r>
        <w:rPr>
          <w:rFonts w:hint="eastAsia"/>
        </w:rPr>
        <w:t>重要的是，这篇论述的三个版本都清楚地提到或暗示了两次降临和两次审判；与我们过去派弟兄们的主张相反，它们没有一个将注意力仅限于公元70年基督（护理性的）降临。5</w:t>
      </w:r>
    </w:p>
    <w:p w14:paraId="482E96C4">
      <w:pPr>
        <w:pStyle w:val="9"/>
        <w:spacing w:before="23"/>
        <w:ind w:left="0"/>
        <w:jc w:val="left"/>
        <w:rPr>
          <w:rFonts w:hint="eastAsia"/>
        </w:rPr>
      </w:pPr>
    </w:p>
    <w:p w14:paraId="07A6C5A8">
      <w:pPr>
        <w:pStyle w:val="9"/>
        <w:spacing w:before="23"/>
        <w:ind w:left="0"/>
        <w:jc w:val="left"/>
        <w:rPr>
          <w:rFonts w:hint="eastAsia"/>
        </w:rPr>
      </w:pPr>
      <w:r>
        <w:rPr>
          <w:rFonts w:hint="eastAsia"/>
        </w:rPr>
        <w:t>The prophetic particulars in this section are challenging to interpret, but the overall picture is quite clear.</w:t>
      </w:r>
    </w:p>
    <w:p w14:paraId="0CCB21A2">
      <w:pPr>
        <w:pStyle w:val="9"/>
        <w:spacing w:before="23"/>
        <w:ind w:left="0"/>
        <w:jc w:val="left"/>
        <w:rPr>
          <w:rFonts w:hint="eastAsia"/>
        </w:rPr>
      </w:pPr>
      <w:r>
        <w:rPr>
          <w:rFonts w:hint="eastAsia"/>
        </w:rPr>
        <w:t>这一部分中的预言性细节难以解释，但总体图景相当清晰。</w:t>
      </w:r>
    </w:p>
    <w:p w14:paraId="34C018F1">
      <w:pPr>
        <w:pStyle w:val="9"/>
        <w:spacing w:before="23"/>
        <w:ind w:left="0"/>
        <w:jc w:val="left"/>
        <w:rPr>
          <w:rFonts w:hint="eastAsia"/>
        </w:rPr>
      </w:pPr>
    </w:p>
    <w:p w14:paraId="36B88501">
      <w:pPr>
        <w:pStyle w:val="9"/>
        <w:spacing w:before="23"/>
        <w:ind w:left="0"/>
        <w:jc w:val="left"/>
        <w:rPr>
          <w:rFonts w:hint="eastAsia"/>
        </w:rPr>
      </w:pPr>
      <w:r>
        <w:rPr>
          <w:rFonts w:hint="eastAsia"/>
        </w:rPr>
        <w:t>The Lord begins by instructing his disciples to watch for “the Abomination of Desolation, standing in the holy place” (15).</w:t>
      </w:r>
    </w:p>
    <w:p w14:paraId="19708C91">
      <w:pPr>
        <w:pStyle w:val="9"/>
        <w:spacing w:before="23"/>
        <w:ind w:left="0"/>
        <w:jc w:val="left"/>
        <w:rPr>
          <w:rFonts w:hint="eastAsia"/>
        </w:rPr>
      </w:pPr>
      <w:r>
        <w:rPr>
          <w:rFonts w:hint="eastAsia"/>
        </w:rPr>
        <w:t>主开始时指示祂的门徒要留意“那行毁坏可憎的，站在圣地”（15）。</w:t>
      </w:r>
    </w:p>
    <w:p w14:paraId="408FAF78">
      <w:pPr>
        <w:pStyle w:val="9"/>
        <w:spacing w:before="23"/>
        <w:ind w:left="0"/>
        <w:jc w:val="left"/>
        <w:rPr>
          <w:rFonts w:hint="eastAsia"/>
        </w:rPr>
      </w:pPr>
    </w:p>
    <w:p w14:paraId="46A5B0D9">
      <w:pPr>
        <w:pStyle w:val="9"/>
        <w:spacing w:before="23"/>
        <w:ind w:left="0"/>
        <w:jc w:val="left"/>
        <w:rPr>
          <w:rFonts w:hint="eastAsia"/>
        </w:rPr>
      </w:pPr>
      <w:r>
        <w:rPr>
          <w:rFonts w:hint="eastAsia"/>
        </w:rPr>
        <w:t>Using terminology found in the prophecies of Daniel, he is indeed referring to Titus’ desecration of the temple in 70 AD, but also (and more especially) to the career of the Antichrist, who will attempt to suppress and usurp the worship properly belonging to God (Dan. 11:31, 12:11; 2 Thess. 2:1ff).6</w:t>
      </w:r>
    </w:p>
    <w:p w14:paraId="3FB0F30C">
      <w:pPr>
        <w:pStyle w:val="9"/>
        <w:spacing w:before="23"/>
        <w:ind w:left="0"/>
        <w:jc w:val="left"/>
        <w:rPr>
          <w:rFonts w:hint="eastAsia"/>
        </w:rPr>
      </w:pPr>
      <w:r>
        <w:rPr>
          <w:rFonts w:hint="eastAsia"/>
        </w:rPr>
        <w:t>祂使用但以理预言中的术语，确实指的是公元70年提多对圣殿的亵渎，但也（更特别是）指敌基督的生涯，他将试图压制和篡夺本应属于上帝的敬拜（但11:31, 12:11；帖后2:1及以下）。6</w:t>
      </w:r>
    </w:p>
    <w:p w14:paraId="67D0D01A">
      <w:pPr>
        <w:pStyle w:val="9"/>
        <w:spacing w:before="23"/>
        <w:ind w:left="0"/>
        <w:jc w:val="left"/>
        <w:rPr>
          <w:rFonts w:hint="eastAsia"/>
        </w:rPr>
      </w:pPr>
    </w:p>
    <w:p w14:paraId="588E6754">
      <w:pPr>
        <w:pStyle w:val="9"/>
        <w:spacing w:before="23"/>
        <w:ind w:left="0"/>
        <w:jc w:val="left"/>
        <w:rPr>
          <w:rFonts w:hint="eastAsia"/>
        </w:rPr>
      </w:pPr>
      <w:r>
        <w:rPr>
          <w:rFonts w:hint="eastAsia"/>
        </w:rPr>
        <w:t>Next, he warns the disciples quickly to flee at the sight of these things (16-17).</w:t>
      </w:r>
    </w:p>
    <w:p w14:paraId="0F8F1220">
      <w:pPr>
        <w:pStyle w:val="9"/>
        <w:spacing w:before="23"/>
        <w:ind w:left="0"/>
        <w:jc w:val="left"/>
        <w:rPr>
          <w:rFonts w:hint="eastAsia"/>
        </w:rPr>
      </w:pPr>
      <w:r>
        <w:rPr>
          <w:rFonts w:hint="eastAsia"/>
        </w:rPr>
        <w:t>接着，祂警告门徒们一看见这些事，就要快快地逃跑（16-17）。</w:t>
      </w:r>
    </w:p>
    <w:p w14:paraId="3ECC0FA1">
      <w:pPr>
        <w:pStyle w:val="9"/>
        <w:spacing w:before="23"/>
        <w:ind w:left="0"/>
        <w:jc w:val="left"/>
        <w:rPr>
          <w:rFonts w:hint="eastAsia"/>
        </w:rPr>
      </w:pPr>
    </w:p>
    <w:p w14:paraId="58B32B88">
      <w:pPr>
        <w:pStyle w:val="9"/>
        <w:spacing w:before="23"/>
        <w:ind w:left="0"/>
        <w:jc w:val="left"/>
        <w:rPr>
          <w:rFonts w:hint="eastAsia"/>
        </w:rPr>
      </w:pPr>
      <w:r>
        <w:rPr>
          <w:rFonts w:hint="eastAsia"/>
        </w:rPr>
        <w:t>The early Jewish Christians obeyed implicitly, many of them escaping to Pella; perhaps, at the rise of the Antichrist, many latter-day Christians will be led to do similarly.</w:t>
      </w:r>
    </w:p>
    <w:p w14:paraId="73702B46">
      <w:pPr>
        <w:pStyle w:val="9"/>
        <w:spacing w:before="23"/>
        <w:ind w:left="0"/>
        <w:jc w:val="left"/>
        <w:rPr>
          <w:rFonts w:hint="eastAsia"/>
        </w:rPr>
      </w:pPr>
      <w:r>
        <w:rPr>
          <w:rFonts w:hint="eastAsia"/>
        </w:rPr>
        <w:t>早期的犹太基督徒暗中顺从了，他们中的许多人逃到了佩拉；或许，在敌基督兴起时，许多末后的基督徒也会被引导去做类似的事。</w:t>
      </w:r>
    </w:p>
    <w:p w14:paraId="2406C841">
      <w:pPr>
        <w:pStyle w:val="9"/>
        <w:spacing w:before="23"/>
        <w:ind w:left="0"/>
        <w:jc w:val="left"/>
        <w:rPr>
          <w:rFonts w:hint="eastAsia"/>
        </w:rPr>
      </w:pPr>
    </w:p>
    <w:p w14:paraId="32C2D98E">
      <w:pPr>
        <w:pStyle w:val="9"/>
        <w:spacing w:before="23"/>
        <w:ind w:left="0"/>
        <w:jc w:val="left"/>
        <w:rPr>
          <w:rFonts w:hint="eastAsia"/>
        </w:rPr>
      </w:pPr>
      <w:r>
        <w:rPr>
          <w:rFonts w:hint="eastAsia"/>
        </w:rPr>
        <w:t>In verses 19-20, the Lord pronounces a woe upon women who are pregnant or nursing in those days, also urging his own followers to pray that their flight may not be in winter or on the Sabbath.</w:t>
      </w:r>
    </w:p>
    <w:p w14:paraId="0AFC8320">
      <w:pPr>
        <w:pStyle w:val="9"/>
        <w:spacing w:before="23"/>
        <w:ind w:left="0"/>
        <w:jc w:val="left"/>
        <w:rPr>
          <w:rFonts w:hint="eastAsia"/>
        </w:rPr>
      </w:pPr>
      <w:r>
        <w:rPr>
          <w:rFonts w:hint="eastAsia"/>
        </w:rPr>
        <w:t>在第19-20节，主宣告了那些日子里怀孕的和奶孩子的妇女有祸了，也敦促祂自己的跟随者祷告，求他们的逃难不在冬天，也不在安息日。</w:t>
      </w:r>
    </w:p>
    <w:p w14:paraId="06AAC9E2">
      <w:pPr>
        <w:pStyle w:val="9"/>
        <w:spacing w:before="23"/>
        <w:ind w:left="0"/>
        <w:jc w:val="left"/>
        <w:rPr>
          <w:rFonts w:hint="eastAsia"/>
        </w:rPr>
      </w:pPr>
    </w:p>
    <w:p w14:paraId="2D00D441">
      <w:pPr>
        <w:pStyle w:val="9"/>
        <w:spacing w:before="23"/>
        <w:ind w:left="0"/>
        <w:jc w:val="left"/>
        <w:rPr>
          <w:rFonts w:hint="eastAsia"/>
        </w:rPr>
      </w:pPr>
      <w:r>
        <w:rPr>
          <w:rFonts w:hint="eastAsia"/>
        </w:rPr>
        <w:t>These verses seem largely to apply to the siege of Jerusalem (though again, one can readily imagine analogues suitable to the dark days of the Last Battle).</w:t>
      </w:r>
    </w:p>
    <w:p w14:paraId="41611D93">
      <w:pPr>
        <w:pStyle w:val="9"/>
        <w:spacing w:before="23"/>
        <w:ind w:left="0"/>
        <w:jc w:val="left"/>
        <w:rPr>
          <w:rFonts w:hint="eastAsia"/>
        </w:rPr>
      </w:pPr>
      <w:r>
        <w:rPr>
          <w:rFonts w:hint="eastAsia"/>
        </w:rPr>
        <w:t>这些经文似乎主要适用于耶路撒冷的围城（尽管再次，人可以轻易地想象出适合末日争战黑暗日子的类似情况）。</w:t>
      </w:r>
    </w:p>
    <w:p w14:paraId="12AD1780">
      <w:pPr>
        <w:pStyle w:val="9"/>
        <w:spacing w:before="23"/>
        <w:ind w:left="0"/>
        <w:jc w:val="left"/>
        <w:rPr>
          <w:rFonts w:hint="eastAsia"/>
        </w:rPr>
      </w:pPr>
    </w:p>
    <w:p w14:paraId="1061CB47">
      <w:pPr>
        <w:pStyle w:val="9"/>
        <w:spacing w:before="23"/>
        <w:ind w:left="0"/>
        <w:jc w:val="left"/>
        <w:rPr>
          <w:rFonts w:hint="eastAsia"/>
        </w:rPr>
      </w:pPr>
      <w:r>
        <w:rPr>
          <w:rFonts w:hint="eastAsia"/>
        </w:rPr>
        <w:t>However, in the remainder of this section (vv. 21-28), the accent definitely falls upon events set to occur at the end of the age.</w:t>
      </w:r>
    </w:p>
    <w:p w14:paraId="3075950D">
      <w:pPr>
        <w:pStyle w:val="9"/>
        <w:spacing w:before="23"/>
        <w:ind w:left="0"/>
        <w:jc w:val="left"/>
        <w:rPr>
          <w:rFonts w:hint="eastAsia"/>
        </w:rPr>
      </w:pPr>
      <w:r>
        <w:rPr>
          <w:rFonts w:hint="eastAsia"/>
        </w:rPr>
        <w:t>然而，在这一部分的其余部分（21-28节），重点明确地落在世代末了将要发生的事件上。</w:t>
      </w:r>
    </w:p>
    <w:p w14:paraId="3A4307E5">
      <w:pPr>
        <w:pStyle w:val="9"/>
        <w:spacing w:before="23"/>
        <w:ind w:left="0"/>
        <w:jc w:val="left"/>
        <w:rPr>
          <w:rFonts w:hint="eastAsia"/>
        </w:rPr>
      </w:pPr>
    </w:p>
    <w:p w14:paraId="4C15F5AA">
      <w:pPr>
        <w:pStyle w:val="9"/>
        <w:spacing w:before="23"/>
        <w:ind w:left="0"/>
        <w:jc w:val="left"/>
        <w:rPr>
          <w:rFonts w:hint="eastAsia"/>
        </w:rPr>
      </w:pPr>
      <w:r>
        <w:rPr>
          <w:rFonts w:hint="eastAsia"/>
        </w:rPr>
        <w:t>In verses 21-22, Christ now warns of “the greatest tribulation,” a tribulation more severe than any the world has ever known, or ever will.</w:t>
      </w:r>
    </w:p>
    <w:p w14:paraId="1B6632BE">
      <w:pPr>
        <w:pStyle w:val="9"/>
        <w:spacing w:before="23"/>
        <w:ind w:left="0"/>
        <w:jc w:val="left"/>
        <w:rPr>
          <w:rFonts w:hint="eastAsia"/>
        </w:rPr>
      </w:pPr>
      <w:r>
        <w:rPr>
          <w:rFonts w:hint="eastAsia"/>
        </w:rPr>
        <w:t>在第21-22节，基督现在警告“最大的患难”，这患难比世界所曾经历的，或将要经历的任何患难都更严重。</w:t>
      </w:r>
    </w:p>
    <w:p w14:paraId="715EE396">
      <w:pPr>
        <w:pStyle w:val="9"/>
        <w:spacing w:before="23"/>
        <w:ind w:left="0"/>
        <w:jc w:val="left"/>
        <w:rPr>
          <w:rFonts w:hint="eastAsia"/>
        </w:rPr>
      </w:pPr>
    </w:p>
    <w:p w14:paraId="331EB385">
      <w:pPr>
        <w:pStyle w:val="9"/>
        <w:spacing w:before="23"/>
        <w:ind w:left="0"/>
        <w:jc w:val="left"/>
        <w:rPr>
          <w:rFonts w:hint="eastAsia"/>
        </w:rPr>
      </w:pPr>
      <w:r>
        <w:rPr>
          <w:rFonts w:hint="eastAsia"/>
        </w:rPr>
        <w:t>The siege of Jerusalem, dire as it was, only pictures it.</w:t>
      </w:r>
    </w:p>
    <w:p w14:paraId="04FEFD0C">
      <w:pPr>
        <w:pStyle w:val="9"/>
        <w:spacing w:before="23"/>
        <w:ind w:left="0"/>
        <w:jc w:val="left"/>
        <w:rPr>
          <w:rFonts w:hint="eastAsia"/>
        </w:rPr>
      </w:pPr>
      <w:r>
        <w:rPr>
          <w:rFonts w:hint="eastAsia"/>
        </w:rPr>
        <w:t>耶路撒冷的围城，虽然惨烈，却只是它的一个缩影。</w:t>
      </w:r>
    </w:p>
    <w:p w14:paraId="5C86B729">
      <w:pPr>
        <w:pStyle w:val="9"/>
        <w:spacing w:before="23"/>
        <w:ind w:left="0"/>
        <w:jc w:val="left"/>
        <w:rPr>
          <w:rFonts w:hint="eastAsia"/>
        </w:rPr>
      </w:pPr>
    </w:p>
    <w:p w14:paraId="74136EB9">
      <w:pPr>
        <w:pStyle w:val="9"/>
        <w:spacing w:before="23"/>
        <w:ind w:left="0"/>
        <w:jc w:val="left"/>
        <w:rPr>
          <w:rFonts w:hint="eastAsia"/>
        </w:rPr>
      </w:pPr>
      <w:r>
        <w:rPr>
          <w:rFonts w:hint="eastAsia"/>
        </w:rPr>
        <w:t>Here, then, Jesus primarily has in mind the manifold judgments that will fall upon nature and society in the last of the last days; judgments designed to warn the whole world of the wrath that is very shortly to come.</w:t>
      </w:r>
    </w:p>
    <w:p w14:paraId="08017295">
      <w:pPr>
        <w:pStyle w:val="9"/>
        <w:spacing w:before="23"/>
        <w:ind w:left="0"/>
        <w:jc w:val="left"/>
        <w:rPr>
          <w:rFonts w:hint="eastAsia"/>
        </w:rPr>
      </w:pPr>
      <w:r>
        <w:rPr>
          <w:rFonts w:hint="eastAsia"/>
        </w:rPr>
        <w:t>因此，耶稣在这里主要想到的是在末后的末期将要降在自然和社会上的多种审判；这些审判旨在警告全世界那即将来临的忿怒。</w:t>
      </w:r>
    </w:p>
    <w:p w14:paraId="1F9915C6">
      <w:pPr>
        <w:pStyle w:val="9"/>
        <w:spacing w:before="23"/>
        <w:ind w:left="0"/>
        <w:jc w:val="left"/>
        <w:rPr>
          <w:rFonts w:hint="eastAsia"/>
        </w:rPr>
      </w:pPr>
    </w:p>
    <w:p w14:paraId="3498B43E">
      <w:pPr>
        <w:pStyle w:val="9"/>
        <w:spacing w:before="23"/>
        <w:ind w:left="0"/>
        <w:jc w:val="left"/>
        <w:rPr>
          <w:rFonts w:hint="eastAsia"/>
        </w:rPr>
      </w:pPr>
      <w:r>
        <w:rPr>
          <w:rFonts w:hint="eastAsia"/>
        </w:rPr>
        <w:t>However, the Lord has already hinted that he also has in mind the severe persecution that will befall the Church during the Last Battle (9).</w:t>
      </w:r>
    </w:p>
    <w:p w14:paraId="6ED7021D">
      <w:pPr>
        <w:pStyle w:val="9"/>
        <w:spacing w:before="23"/>
        <w:ind w:left="0"/>
        <w:jc w:val="left"/>
        <w:rPr>
          <w:rFonts w:hint="eastAsia"/>
        </w:rPr>
      </w:pPr>
      <w:r>
        <w:rPr>
          <w:rFonts w:hint="eastAsia"/>
        </w:rPr>
        <w:t>然而，主已经暗示，祂心中也想到在末日争战期间将要临到教会的严酷迫害（9）。</w:t>
      </w:r>
    </w:p>
    <w:p w14:paraId="1E6BE9E4">
      <w:pPr>
        <w:pStyle w:val="9"/>
        <w:spacing w:before="23"/>
        <w:ind w:left="0"/>
        <w:jc w:val="left"/>
        <w:rPr>
          <w:rFonts w:hint="eastAsia"/>
        </w:rPr>
      </w:pPr>
    </w:p>
    <w:p w14:paraId="14AC71AE">
      <w:pPr>
        <w:pStyle w:val="9"/>
        <w:spacing w:before="23"/>
        <w:ind w:left="0"/>
        <w:jc w:val="left"/>
        <w:rPr>
          <w:rFonts w:hint="eastAsia"/>
        </w:rPr>
      </w:pPr>
      <w:r>
        <w:rPr>
          <w:rFonts w:hint="eastAsia"/>
        </w:rPr>
        <w:t>Happily, because of his love for the elect, God will cut those dark days short (22).</w:t>
      </w:r>
    </w:p>
    <w:p w14:paraId="443C8528">
      <w:pPr>
        <w:pStyle w:val="9"/>
        <w:spacing w:before="23"/>
        <w:ind w:left="0"/>
        <w:jc w:val="left"/>
        <w:rPr>
          <w:rFonts w:hint="eastAsia"/>
        </w:rPr>
      </w:pPr>
      <w:r>
        <w:rPr>
          <w:rFonts w:hint="eastAsia"/>
        </w:rPr>
        <w:t>幸运的是，因着祂对选民的爱，上帝将缩短那些黑暗的日子（22）。</w:t>
      </w:r>
    </w:p>
    <w:p w14:paraId="30A3B215">
      <w:pPr>
        <w:pStyle w:val="9"/>
        <w:spacing w:before="23"/>
        <w:ind w:left="0"/>
        <w:jc w:val="left"/>
        <w:rPr>
          <w:rFonts w:hint="eastAsia"/>
        </w:rPr>
      </w:pPr>
    </w:p>
    <w:p w14:paraId="000B8A0E">
      <w:pPr>
        <w:pStyle w:val="9"/>
        <w:spacing w:before="23"/>
        <w:ind w:left="0"/>
        <w:jc w:val="left"/>
        <w:rPr>
          <w:rFonts w:hint="eastAsia"/>
        </w:rPr>
      </w:pPr>
      <w:r>
        <w:rPr>
          <w:rFonts w:hint="eastAsia"/>
        </w:rPr>
        <w:t>With the greatest tribulation especially in view, the Lord now issues solemn warnings to all his followers (23-26).</w:t>
      </w:r>
    </w:p>
    <w:p w14:paraId="64C6CBB3">
      <w:pPr>
        <w:pStyle w:val="9"/>
        <w:spacing w:before="23"/>
        <w:ind w:left="0"/>
        <w:jc w:val="left"/>
        <w:rPr>
          <w:rFonts w:hint="eastAsia"/>
        </w:rPr>
      </w:pPr>
      <w:r>
        <w:rPr>
          <w:rFonts w:hint="eastAsia"/>
        </w:rPr>
        <w:t>主现在特别针对最大的患难，向祂所有的跟随者发出庄严的警告（23-26）。</w:t>
      </w:r>
    </w:p>
    <w:p w14:paraId="2F45DD53">
      <w:pPr>
        <w:pStyle w:val="9"/>
        <w:spacing w:before="23"/>
        <w:ind w:left="0"/>
        <w:jc w:val="left"/>
        <w:rPr>
          <w:rFonts w:hint="eastAsia"/>
        </w:rPr>
      </w:pPr>
    </w:p>
    <w:p w14:paraId="144D4D7E">
      <w:pPr>
        <w:pStyle w:val="9"/>
        <w:spacing w:before="23"/>
        <w:ind w:left="0"/>
        <w:jc w:val="left"/>
        <w:rPr>
          <w:rFonts w:hint="eastAsia"/>
        </w:rPr>
      </w:pPr>
      <w:r>
        <w:rPr>
          <w:rFonts w:hint="eastAsia"/>
        </w:rPr>
        <w:t>Do not be taken in by false Christs or false prophets, even if they can perform miracles (24-25).</w:t>
      </w:r>
    </w:p>
    <w:p w14:paraId="488A2BB7">
      <w:pPr>
        <w:pStyle w:val="9"/>
        <w:spacing w:before="23"/>
        <w:ind w:left="0"/>
        <w:jc w:val="left"/>
        <w:rPr>
          <w:rFonts w:hint="eastAsia"/>
        </w:rPr>
      </w:pPr>
      <w:r>
        <w:rPr>
          <w:rFonts w:hint="eastAsia"/>
        </w:rPr>
        <w:t>不要被假基督或假先知所迷惑，即使他们能行神迹（24-25）。</w:t>
      </w:r>
    </w:p>
    <w:p w14:paraId="3D1DADCA">
      <w:pPr>
        <w:pStyle w:val="9"/>
        <w:spacing w:before="23"/>
        <w:ind w:left="0"/>
        <w:jc w:val="left"/>
        <w:rPr>
          <w:rFonts w:hint="eastAsia"/>
        </w:rPr>
      </w:pPr>
    </w:p>
    <w:p w14:paraId="48269E20">
      <w:pPr>
        <w:pStyle w:val="9"/>
        <w:spacing w:before="23"/>
        <w:ind w:left="0"/>
        <w:jc w:val="left"/>
        <w:rPr>
          <w:rFonts w:hint="eastAsia"/>
        </w:rPr>
      </w:pPr>
      <w:r>
        <w:rPr>
          <w:rFonts w:hint="eastAsia"/>
        </w:rPr>
        <w:t>If anyone claims that the Christ is already upon the earth, do not believe him (23, 26).</w:t>
      </w:r>
    </w:p>
    <w:p w14:paraId="79BBE7C0">
      <w:pPr>
        <w:pStyle w:val="9"/>
        <w:spacing w:before="23"/>
        <w:ind w:left="0"/>
        <w:jc w:val="left"/>
        <w:rPr>
          <w:rFonts w:hint="eastAsia"/>
        </w:rPr>
      </w:pPr>
      <w:r>
        <w:rPr>
          <w:rFonts w:hint="eastAsia"/>
        </w:rPr>
        <w:t>若有人声称基督已在地上，不要信他（23, 26）。</w:t>
      </w:r>
    </w:p>
    <w:p w14:paraId="56E98DBF">
      <w:pPr>
        <w:pStyle w:val="9"/>
        <w:spacing w:before="23"/>
        <w:ind w:left="0"/>
        <w:jc w:val="left"/>
        <w:rPr>
          <w:rFonts w:hint="eastAsia"/>
        </w:rPr>
      </w:pPr>
    </w:p>
    <w:p w14:paraId="4110F130">
      <w:pPr>
        <w:pStyle w:val="9"/>
        <w:spacing w:before="23"/>
        <w:ind w:left="0"/>
        <w:jc w:val="left"/>
        <w:rPr>
          <w:rFonts w:hint="eastAsia"/>
        </w:rPr>
      </w:pPr>
      <w:r>
        <w:rPr>
          <w:rFonts w:hint="eastAsia"/>
        </w:rPr>
        <w:t>Always remember that the true Christ will descend from heaven, illuminating earth and sky like a lightning bolt on a stormy night (27-28).</w:t>
      </w:r>
    </w:p>
    <w:p w14:paraId="3FABC765">
      <w:pPr>
        <w:pStyle w:val="9"/>
        <w:spacing w:before="23"/>
        <w:ind w:left="0"/>
        <w:jc w:val="left"/>
        <w:rPr>
          <w:rFonts w:hint="eastAsia"/>
        </w:rPr>
      </w:pPr>
      <w:r>
        <w:rPr>
          <w:rFonts w:hint="eastAsia"/>
        </w:rPr>
        <w:t>总要记住，真基督将从天降临，如同暴风雨夜的闪电照亮天地（27-28）。</w:t>
      </w:r>
    </w:p>
    <w:p w14:paraId="0A1B04E0">
      <w:pPr>
        <w:pStyle w:val="9"/>
        <w:spacing w:before="23"/>
        <w:ind w:left="0"/>
        <w:jc w:val="left"/>
        <w:rPr>
          <w:rFonts w:hint="eastAsia"/>
        </w:rPr>
      </w:pPr>
    </w:p>
    <w:p w14:paraId="7A6ABC9C">
      <w:pPr>
        <w:pStyle w:val="9"/>
        <w:spacing w:before="23"/>
        <w:ind w:left="0"/>
        <w:jc w:val="left"/>
        <w:rPr>
          <w:rFonts w:hint="eastAsia"/>
        </w:rPr>
      </w:pPr>
      <w:r>
        <w:rPr>
          <w:rFonts w:hint="eastAsia"/>
        </w:rPr>
        <w:t>On that Day, do not be found as vultures gathered on a dead carcass.</w:t>
      </w:r>
    </w:p>
    <w:p w14:paraId="1940F28A">
      <w:pPr>
        <w:pStyle w:val="9"/>
        <w:spacing w:before="23"/>
        <w:ind w:left="0"/>
        <w:jc w:val="left"/>
        <w:rPr>
          <w:rFonts w:hint="eastAsia"/>
        </w:rPr>
      </w:pPr>
      <w:r>
        <w:rPr>
          <w:rFonts w:hint="eastAsia"/>
        </w:rPr>
        <w:t>在那日，不要像秃鹰聚集在死尸上一样被发现。</w:t>
      </w:r>
    </w:p>
    <w:p w14:paraId="4B83C757">
      <w:pPr>
        <w:pStyle w:val="9"/>
        <w:spacing w:before="23"/>
        <w:ind w:left="0"/>
        <w:jc w:val="left"/>
        <w:rPr>
          <w:rFonts w:hint="eastAsia"/>
        </w:rPr>
      </w:pPr>
    </w:p>
    <w:p w14:paraId="4CBE930A">
      <w:pPr>
        <w:pStyle w:val="9"/>
        <w:spacing w:before="23"/>
        <w:ind w:left="0"/>
        <w:jc w:val="left"/>
        <w:rPr>
          <w:rFonts w:hint="eastAsia"/>
        </w:rPr>
      </w:pPr>
      <w:r>
        <w:rPr>
          <w:rFonts w:hint="eastAsia"/>
        </w:rPr>
        <w:t>That is, do not be found feasting on the religious rot of the Antichrist and his false prophets; or, alternatively, do not be found as objects of wrath, upon which the angels will fall in judgment (28; Ezek. 39:4, Rev. 19:17, 21).</w:t>
      </w:r>
    </w:p>
    <w:p w14:paraId="2D3D49AA">
      <w:pPr>
        <w:pStyle w:val="9"/>
        <w:spacing w:before="23"/>
        <w:ind w:left="0"/>
        <w:jc w:val="left"/>
        <w:rPr>
          <w:rFonts w:hint="eastAsia"/>
        </w:rPr>
      </w:pPr>
      <w:r>
        <w:rPr>
          <w:rFonts w:hint="eastAsia"/>
        </w:rPr>
        <w:t>也就是说，不要被发现在享用敌基督和他假先知的宗教腐败；或者，不要被发现是忿怒的对象，天使将要降临施行审判（28；结39:4，启19:17, 21）。</w:t>
      </w:r>
    </w:p>
    <w:p w14:paraId="4CD1C3BE">
      <w:pPr>
        <w:pStyle w:val="9"/>
        <w:spacing w:before="23"/>
        <w:ind w:left="0"/>
        <w:jc w:val="left"/>
        <w:rPr>
          <w:rFonts w:hint="eastAsia"/>
        </w:rPr>
      </w:pPr>
    </w:p>
    <w:p w14:paraId="3A91F73B">
      <w:pPr>
        <w:pStyle w:val="9"/>
        <w:spacing w:before="23"/>
        <w:ind w:left="0"/>
        <w:jc w:val="left"/>
        <w:rPr>
          <w:rFonts w:hint="eastAsia"/>
        </w:rPr>
      </w:pPr>
      <w:r>
        <w:rPr>
          <w:rFonts w:hint="eastAsia"/>
        </w:rPr>
        <w:t>Instead, be found looking up to heaven, eagerly watching and waiting for the glorious return of your King (Luke 21:28)!</w:t>
      </w:r>
    </w:p>
    <w:p w14:paraId="31D17BC4">
      <w:pPr>
        <w:pStyle w:val="9"/>
        <w:spacing w:before="23"/>
        <w:ind w:left="0"/>
        <w:jc w:val="left"/>
        <w:rPr>
          <w:rFonts w:hint="eastAsia"/>
        </w:rPr>
      </w:pPr>
      <w:r>
        <w:rPr>
          <w:rFonts w:hint="eastAsia"/>
        </w:rPr>
        <w:t>相反，要被发现仰望天空，热切地观看和等候你们君王荣耀的再来（路加福音21:28）！</w:t>
      </w:r>
    </w:p>
    <w:p w14:paraId="5060FCE5">
      <w:pPr>
        <w:pStyle w:val="9"/>
        <w:spacing w:before="23"/>
        <w:ind w:left="0"/>
        <w:jc w:val="left"/>
        <w:rPr>
          <w:rFonts w:hint="eastAsia"/>
        </w:rPr>
      </w:pPr>
    </w:p>
    <w:p w14:paraId="34199307">
      <w:pPr>
        <w:pStyle w:val="9"/>
        <w:spacing w:before="23"/>
        <w:ind w:left="0"/>
        <w:jc w:val="left"/>
        <w:rPr>
          <w:rFonts w:hint="eastAsia"/>
        </w:rPr>
      </w:pPr>
      <w:r>
        <w:rPr>
          <w:rFonts w:hint="eastAsia"/>
        </w:rPr>
        <w:t>The Parousia (24:29-31)</w:t>
      </w:r>
    </w:p>
    <w:p w14:paraId="3FF6836A">
      <w:pPr>
        <w:pStyle w:val="9"/>
        <w:spacing w:before="23"/>
        <w:ind w:left="0"/>
        <w:jc w:val="left"/>
        <w:rPr>
          <w:rFonts w:hint="eastAsia"/>
        </w:rPr>
      </w:pPr>
      <w:r>
        <w:rPr>
          <w:rFonts w:hint="eastAsia"/>
        </w:rPr>
        <w:t>主临（24:29-31）</w:t>
      </w:r>
    </w:p>
    <w:p w14:paraId="464EF562">
      <w:pPr>
        <w:pStyle w:val="9"/>
        <w:spacing w:before="23"/>
        <w:ind w:left="0"/>
        <w:jc w:val="left"/>
        <w:rPr>
          <w:rFonts w:hint="eastAsia"/>
        </w:rPr>
      </w:pPr>
    </w:p>
    <w:p w14:paraId="116B1FA2">
      <w:pPr>
        <w:pStyle w:val="9"/>
        <w:spacing w:before="23"/>
        <w:ind w:left="0"/>
        <w:jc w:val="left"/>
        <w:rPr>
          <w:rFonts w:hint="eastAsia"/>
        </w:rPr>
      </w:pPr>
      <w:r>
        <w:rPr>
          <w:rFonts w:hint="eastAsia"/>
        </w:rPr>
        <w:t>These three verses are the summit of the Olivet Discourse.</w:t>
      </w:r>
    </w:p>
    <w:p w14:paraId="632AC5B9">
      <w:pPr>
        <w:pStyle w:val="9"/>
        <w:spacing w:before="23"/>
        <w:ind w:left="0"/>
        <w:jc w:val="left"/>
        <w:rPr>
          <w:rFonts w:hint="eastAsia"/>
        </w:rPr>
      </w:pPr>
      <w:r>
        <w:rPr>
          <w:rFonts w:hint="eastAsia"/>
        </w:rPr>
        <w:t>这三节经文是橄榄山论述的顶峰。</w:t>
      </w:r>
    </w:p>
    <w:p w14:paraId="1DBA4EC8">
      <w:pPr>
        <w:pStyle w:val="9"/>
        <w:spacing w:before="23"/>
        <w:ind w:left="0"/>
        <w:jc w:val="left"/>
        <w:rPr>
          <w:rFonts w:hint="eastAsia"/>
        </w:rPr>
      </w:pPr>
    </w:p>
    <w:p w14:paraId="64F92650">
      <w:pPr>
        <w:pStyle w:val="9"/>
        <w:spacing w:before="23"/>
        <w:ind w:left="0"/>
        <w:jc w:val="left"/>
        <w:rPr>
          <w:rFonts w:hint="eastAsia"/>
        </w:rPr>
      </w:pPr>
      <w:r>
        <w:rPr>
          <w:rFonts w:hint="eastAsia"/>
        </w:rPr>
        <w:t>Everything prior leads up to them, everything following flows down from them.</w:t>
      </w:r>
    </w:p>
    <w:p w14:paraId="050469C9">
      <w:pPr>
        <w:pStyle w:val="9"/>
        <w:spacing w:before="23"/>
        <w:ind w:left="0"/>
        <w:jc w:val="left"/>
        <w:rPr>
          <w:rFonts w:hint="eastAsia"/>
        </w:rPr>
      </w:pPr>
      <w:r>
        <w:rPr>
          <w:rFonts w:hint="eastAsia"/>
        </w:rPr>
        <w:t>之前的一切都导向它们，之后的一切都从它们流出。</w:t>
      </w:r>
    </w:p>
    <w:p w14:paraId="60D59211">
      <w:pPr>
        <w:pStyle w:val="9"/>
        <w:spacing w:before="23"/>
        <w:ind w:left="0"/>
        <w:jc w:val="left"/>
        <w:rPr>
          <w:rFonts w:hint="eastAsia"/>
        </w:rPr>
      </w:pPr>
    </w:p>
    <w:p w14:paraId="6619212A">
      <w:pPr>
        <w:pStyle w:val="9"/>
        <w:spacing w:before="23"/>
        <w:ind w:left="0"/>
        <w:jc w:val="left"/>
        <w:rPr>
          <w:rFonts w:hint="eastAsia"/>
        </w:rPr>
      </w:pPr>
      <w:r>
        <w:rPr>
          <w:rFonts w:hint="eastAsia"/>
        </w:rPr>
        <w:t>Since they do not reference the Resurrection or the Judgment (25:31-40), they do not give us the Consummation as a whole; nevertheless, they do give us the Agent of the Consummation as a whole: the High King of Heaven at his Parousia.</w:t>
      </w:r>
    </w:p>
    <w:p w14:paraId="1AC5E232">
      <w:pPr>
        <w:pStyle w:val="9"/>
        <w:spacing w:before="23"/>
        <w:ind w:left="0"/>
        <w:jc w:val="left"/>
        <w:rPr>
          <w:rFonts w:hint="eastAsia"/>
        </w:rPr>
      </w:pPr>
      <w:r>
        <w:rPr>
          <w:rFonts w:hint="eastAsia"/>
        </w:rPr>
        <w:t>由于它们没有提到复活或审判（25:31-40），它们没有给我们一个完整的最终成全的图景；然而，它们确实给了我们整个最终成全的执行者：天上的至高君王在祂的主临（Parousia）时。</w:t>
      </w:r>
    </w:p>
    <w:p w14:paraId="333B8176">
      <w:pPr>
        <w:pStyle w:val="9"/>
        <w:spacing w:before="23"/>
        <w:ind w:left="0"/>
        <w:jc w:val="left"/>
        <w:rPr>
          <w:rFonts w:hint="eastAsia"/>
        </w:rPr>
      </w:pPr>
    </w:p>
    <w:p w14:paraId="1988B6D6">
      <w:pPr>
        <w:pStyle w:val="9"/>
        <w:spacing w:before="23"/>
        <w:ind w:left="0"/>
        <w:jc w:val="left"/>
        <w:rPr>
          <w:rFonts w:hint="eastAsia"/>
        </w:rPr>
      </w:pPr>
      <w:r>
        <w:rPr>
          <w:rFonts w:hint="eastAsia"/>
        </w:rPr>
        <w:t>With the same passion and urgency by which he brought his discourse on the mysteries of the Kingdom to a close, our Lord here represents the Parousia as cosmic in its scope and climactic in its impact on man and nature (Mt. 13:51).</w:t>
      </w:r>
    </w:p>
    <w:p w14:paraId="7D09A03E">
      <w:pPr>
        <w:pStyle w:val="9"/>
        <w:spacing w:before="23"/>
        <w:ind w:left="0"/>
        <w:jc w:val="left"/>
        <w:rPr>
          <w:rFonts w:hint="eastAsia"/>
        </w:rPr>
      </w:pPr>
      <w:r>
        <w:rPr>
          <w:rFonts w:hint="eastAsia"/>
        </w:rPr>
        <w:t>主在这里用祂结束关于天国奥秘的论述时所用的同样的热情和紧迫感，将主临（Parousia）描绘为在范围上是宇宙性的，在对人和自然的影响上是高潮性的（太13:51）。</w:t>
      </w:r>
    </w:p>
    <w:p w14:paraId="04FEE046">
      <w:pPr>
        <w:pStyle w:val="9"/>
        <w:spacing w:before="23"/>
        <w:ind w:left="0"/>
        <w:jc w:val="left"/>
        <w:rPr>
          <w:rFonts w:hint="eastAsia"/>
        </w:rPr>
      </w:pPr>
    </w:p>
    <w:p w14:paraId="5A4A0689">
      <w:pPr>
        <w:pStyle w:val="9"/>
        <w:spacing w:before="23"/>
        <w:ind w:left="0"/>
        <w:jc w:val="left"/>
        <w:rPr>
          <w:rFonts w:hint="eastAsia"/>
        </w:rPr>
      </w:pPr>
      <w:r>
        <w:rPr>
          <w:rFonts w:hint="eastAsia"/>
        </w:rPr>
        <w:t>Let there be no misunderstanding: This is the absolute end of the former world, and the absolute beginning of the new.</w:t>
      </w:r>
    </w:p>
    <w:p w14:paraId="3E187EC4">
      <w:pPr>
        <w:pStyle w:val="9"/>
        <w:spacing w:before="23"/>
        <w:ind w:left="0"/>
        <w:jc w:val="left"/>
        <w:rPr>
          <w:rFonts w:hint="eastAsia"/>
        </w:rPr>
      </w:pPr>
      <w:r>
        <w:rPr>
          <w:rFonts w:hint="eastAsia"/>
        </w:rPr>
        <w:t>不要有误解：这是旧世界的绝对终结，也是新世界的绝对开始。</w:t>
      </w:r>
    </w:p>
    <w:p w14:paraId="3B043CD1">
      <w:pPr>
        <w:pStyle w:val="9"/>
        <w:spacing w:before="23"/>
        <w:ind w:left="0"/>
        <w:jc w:val="left"/>
        <w:rPr>
          <w:rFonts w:hint="eastAsia"/>
        </w:rPr>
      </w:pPr>
    </w:p>
    <w:p w14:paraId="090E7FDA">
      <w:pPr>
        <w:pStyle w:val="9"/>
        <w:spacing w:before="23"/>
        <w:ind w:left="0"/>
        <w:jc w:val="left"/>
        <w:rPr>
          <w:rFonts w:hint="eastAsia"/>
        </w:rPr>
      </w:pPr>
      <w:r>
        <w:rPr>
          <w:rFonts w:hint="eastAsia"/>
        </w:rPr>
        <w:t>Accordingly, just prior to his appearing, the break-up of the old cosmos will begin.</w:t>
      </w:r>
    </w:p>
    <w:p w14:paraId="46F578AA">
      <w:pPr>
        <w:pStyle w:val="9"/>
        <w:spacing w:before="23"/>
        <w:ind w:left="0"/>
        <w:jc w:val="left"/>
        <w:rPr>
          <w:rFonts w:hint="eastAsia"/>
        </w:rPr>
      </w:pPr>
      <w:r>
        <w:rPr>
          <w:rFonts w:hint="eastAsia"/>
        </w:rPr>
        <w:t>因此，就在祂显现之前，旧宇宙的瓦解将开始。</w:t>
      </w:r>
    </w:p>
    <w:p w14:paraId="7B61C7B1">
      <w:pPr>
        <w:pStyle w:val="9"/>
        <w:spacing w:before="23"/>
        <w:ind w:left="0"/>
        <w:jc w:val="left"/>
        <w:rPr>
          <w:rFonts w:hint="eastAsia"/>
        </w:rPr>
      </w:pPr>
    </w:p>
    <w:p w14:paraId="75D62819">
      <w:pPr>
        <w:pStyle w:val="9"/>
        <w:spacing w:before="23"/>
        <w:ind w:left="0"/>
        <w:jc w:val="left"/>
        <w:rPr>
          <w:rFonts w:hint="eastAsia"/>
        </w:rPr>
      </w:pPr>
      <w:r>
        <w:rPr>
          <w:rFonts w:hint="eastAsia"/>
        </w:rPr>
        <w:t>There will be signs in the sun, moon, and stars; upon the earth there will be dismay among nations, and great perplexity at the roaring of the sea and its waves; men’s hearts failing them for fear and for the expectation of the things now coming upon the earth (Luke 21:26-26).</w:t>
      </w:r>
    </w:p>
    <w:p w14:paraId="341AED66">
      <w:pPr>
        <w:pStyle w:val="9"/>
        <w:spacing w:before="23"/>
        <w:ind w:left="0"/>
        <w:jc w:val="left"/>
        <w:rPr>
          <w:rFonts w:hint="eastAsia"/>
        </w:rPr>
      </w:pPr>
      <w:r>
        <w:rPr>
          <w:rFonts w:hint="eastAsia"/>
        </w:rPr>
        <w:t>日、月、星辰要显出异兆；地上的邦国也有困苦，因海中波浪的响声，就惊慌失措；人想起那将要临到世界的事，就都吓得魂不附体（路加福音21:26-26）。</w:t>
      </w:r>
    </w:p>
    <w:p w14:paraId="3D785424">
      <w:pPr>
        <w:pStyle w:val="9"/>
        <w:spacing w:before="23"/>
        <w:ind w:left="0"/>
        <w:jc w:val="left"/>
        <w:rPr>
          <w:rFonts w:hint="eastAsia"/>
        </w:rPr>
      </w:pPr>
    </w:p>
    <w:p w14:paraId="0D1272E6">
      <w:pPr>
        <w:pStyle w:val="9"/>
        <w:spacing w:before="23"/>
        <w:ind w:left="0"/>
        <w:jc w:val="left"/>
        <w:rPr>
          <w:rFonts w:hint="eastAsia"/>
        </w:rPr>
      </w:pPr>
      <w:r>
        <w:rPr>
          <w:rFonts w:hint="eastAsia"/>
        </w:rPr>
        <w:t>Finally, God will set the stage: He will completely extinguish the luminaries so that darkest night falls upon the cosmos.</w:t>
      </w:r>
    </w:p>
    <w:p w14:paraId="4CC49B92">
      <w:pPr>
        <w:pStyle w:val="9"/>
        <w:spacing w:before="23"/>
        <w:ind w:left="0"/>
        <w:jc w:val="left"/>
        <w:rPr>
          <w:rFonts w:hint="eastAsia"/>
        </w:rPr>
      </w:pPr>
      <w:r>
        <w:rPr>
          <w:rFonts w:hint="eastAsia"/>
        </w:rPr>
        <w:t>最后，上帝将布置舞台：祂将完全熄灭发光体，使最深的黑夜降临宇宙。</w:t>
      </w:r>
    </w:p>
    <w:p w14:paraId="2269E4F2">
      <w:pPr>
        <w:pStyle w:val="9"/>
        <w:spacing w:before="23"/>
        <w:ind w:left="0"/>
        <w:jc w:val="left"/>
        <w:rPr>
          <w:rFonts w:hint="eastAsia"/>
        </w:rPr>
      </w:pPr>
    </w:p>
    <w:p w14:paraId="7FB9E4AE">
      <w:pPr>
        <w:pStyle w:val="9"/>
        <w:spacing w:before="23"/>
        <w:ind w:left="0"/>
        <w:jc w:val="left"/>
        <w:rPr>
          <w:rFonts w:hint="eastAsia"/>
        </w:rPr>
      </w:pPr>
      <w:r>
        <w:rPr>
          <w:rFonts w:hint="eastAsia"/>
        </w:rPr>
        <w:t>At that point, all will be in readiness for the glorious appearing of the one true Light of the World (29).</w:t>
      </w:r>
    </w:p>
    <w:p w14:paraId="16F7E191">
      <w:pPr>
        <w:pStyle w:val="9"/>
        <w:spacing w:before="23"/>
        <w:ind w:left="0"/>
        <w:jc w:val="left"/>
        <w:rPr>
          <w:rFonts w:hint="eastAsia"/>
        </w:rPr>
      </w:pPr>
      <w:r>
        <w:rPr>
          <w:rFonts w:hint="eastAsia"/>
        </w:rPr>
        <w:t>到那时，一切都将为那独一的世界真光的荣耀显现作好准备（29）。</w:t>
      </w:r>
    </w:p>
    <w:p w14:paraId="583CC123">
      <w:pPr>
        <w:pStyle w:val="9"/>
        <w:spacing w:before="23"/>
        <w:ind w:left="0"/>
        <w:jc w:val="left"/>
        <w:rPr>
          <w:rFonts w:hint="eastAsia"/>
        </w:rPr>
      </w:pPr>
    </w:p>
    <w:p w14:paraId="471B1C2E">
      <w:pPr>
        <w:pStyle w:val="9"/>
        <w:spacing w:before="23"/>
        <w:ind w:left="0"/>
        <w:jc w:val="left"/>
        <w:rPr>
          <w:rFonts w:hint="eastAsia"/>
        </w:rPr>
      </w:pPr>
      <w:r>
        <w:rPr>
          <w:rFonts w:hint="eastAsia"/>
        </w:rPr>
        <w:t>Verses 30-31 give us the Parousia itself, while 25:31-46 give us the Last Judgment that will immediately ensue.</w:t>
      </w:r>
    </w:p>
    <w:p w14:paraId="543D40DC">
      <w:pPr>
        <w:pStyle w:val="9"/>
        <w:spacing w:before="23"/>
        <w:ind w:left="0"/>
        <w:jc w:val="left"/>
        <w:rPr>
          <w:rFonts w:hint="eastAsia"/>
        </w:rPr>
      </w:pPr>
      <w:r>
        <w:rPr>
          <w:rFonts w:hint="eastAsia"/>
        </w:rPr>
        <w:t>第30-31节给了我们主临（Parousia）本身，而25:31-46则给了我们紧随其后的最后审判。</w:t>
      </w:r>
    </w:p>
    <w:p w14:paraId="30E26862">
      <w:pPr>
        <w:pStyle w:val="9"/>
        <w:spacing w:before="23"/>
        <w:ind w:left="0"/>
        <w:jc w:val="left"/>
        <w:rPr>
          <w:rFonts w:hint="eastAsia"/>
        </w:rPr>
      </w:pPr>
    </w:p>
    <w:p w14:paraId="180595FC">
      <w:pPr>
        <w:pStyle w:val="9"/>
        <w:spacing w:before="23"/>
        <w:ind w:left="0"/>
        <w:jc w:val="left"/>
        <w:rPr>
          <w:rFonts w:hint="eastAsia"/>
        </w:rPr>
      </w:pPr>
      <w:r>
        <w:rPr>
          <w:rFonts w:hint="eastAsia"/>
        </w:rPr>
        <w:t>Here, then, (in vv. 30-31) he has in view the lead-up to the Last Judgment.</w:t>
      </w:r>
    </w:p>
    <w:p w14:paraId="0C1A0252">
      <w:pPr>
        <w:pStyle w:val="9"/>
        <w:spacing w:before="23"/>
        <w:ind w:left="0"/>
        <w:jc w:val="left"/>
        <w:rPr>
          <w:rFonts w:hint="eastAsia"/>
        </w:rPr>
      </w:pPr>
      <w:r>
        <w:rPr>
          <w:rFonts w:hint="eastAsia"/>
        </w:rPr>
        <w:t>因此，在这里（在30-31节），祂心中所想的是通往最后审判的前奏。</w:t>
      </w:r>
    </w:p>
    <w:p w14:paraId="0A58FAD3">
      <w:pPr>
        <w:pStyle w:val="9"/>
        <w:spacing w:before="23"/>
        <w:ind w:left="0"/>
        <w:jc w:val="left"/>
        <w:rPr>
          <w:rFonts w:hint="eastAsia"/>
        </w:rPr>
      </w:pPr>
    </w:p>
    <w:p w14:paraId="42100B33">
      <w:pPr>
        <w:pStyle w:val="9"/>
        <w:spacing w:before="23"/>
        <w:ind w:left="0"/>
        <w:jc w:val="left"/>
        <w:rPr>
          <w:rFonts w:hint="eastAsia"/>
        </w:rPr>
      </w:pPr>
      <w:r>
        <w:rPr>
          <w:rFonts w:hint="eastAsia"/>
        </w:rPr>
        <w:t>However, he does not go into great detail.</w:t>
      </w:r>
    </w:p>
    <w:p w14:paraId="7E9DA808">
      <w:pPr>
        <w:pStyle w:val="9"/>
        <w:spacing w:before="23"/>
        <w:ind w:left="0"/>
        <w:jc w:val="left"/>
        <w:rPr>
          <w:rFonts w:hint="eastAsia"/>
        </w:rPr>
      </w:pPr>
      <w:r>
        <w:rPr>
          <w:rFonts w:hint="eastAsia"/>
        </w:rPr>
        <w:t>然而，祂没有详述。</w:t>
      </w:r>
    </w:p>
    <w:p w14:paraId="2BE463F3">
      <w:pPr>
        <w:pStyle w:val="9"/>
        <w:spacing w:before="23"/>
        <w:ind w:left="0"/>
        <w:jc w:val="left"/>
        <w:rPr>
          <w:rFonts w:hint="eastAsia"/>
        </w:rPr>
      </w:pPr>
    </w:p>
    <w:p w14:paraId="50F6EED6">
      <w:pPr>
        <w:pStyle w:val="9"/>
        <w:spacing w:before="23"/>
        <w:ind w:left="0"/>
        <w:jc w:val="left"/>
        <w:rPr>
          <w:rFonts w:hint="eastAsia"/>
        </w:rPr>
      </w:pPr>
      <w:r>
        <w:rPr>
          <w:rFonts w:hint="eastAsia"/>
        </w:rPr>
        <w:t>In part, this is because he has already given the disciples many of the details; in part, it is because he will give them still more after his departure (John 16:13).</w:t>
      </w:r>
    </w:p>
    <w:p w14:paraId="600489BE">
      <w:pPr>
        <w:pStyle w:val="9"/>
        <w:spacing w:before="23"/>
        <w:ind w:left="0"/>
        <w:jc w:val="left"/>
        <w:rPr>
          <w:rFonts w:hint="eastAsia"/>
        </w:rPr>
      </w:pPr>
      <w:r>
        <w:rPr>
          <w:rFonts w:hint="eastAsia"/>
        </w:rPr>
        <w:t>部分原因是祂已经给了门徒许多细节；部分原因是祂在离开后将给他们更多（约翰福音16:13）。</w:t>
      </w:r>
    </w:p>
    <w:p w14:paraId="0FF82E7A">
      <w:pPr>
        <w:pStyle w:val="9"/>
        <w:spacing w:before="23"/>
        <w:ind w:left="0"/>
        <w:jc w:val="left"/>
        <w:rPr>
          <w:rFonts w:hint="eastAsia"/>
        </w:rPr>
      </w:pPr>
    </w:p>
    <w:p w14:paraId="7DF41E7F">
      <w:pPr>
        <w:pStyle w:val="9"/>
        <w:spacing w:before="23"/>
        <w:ind w:left="0"/>
        <w:jc w:val="left"/>
        <w:rPr>
          <w:rFonts w:hint="eastAsia"/>
        </w:rPr>
      </w:pPr>
      <w:r>
        <w:rPr>
          <w:rFonts w:hint="eastAsia"/>
        </w:rPr>
        <w:t>In what follows, I will therefore draw upon both of those streams of NT revelation to suggest what our Lord likely had in mind when, in the Olivet Discourse, he spoke of his Parousia.</w:t>
      </w:r>
    </w:p>
    <w:p w14:paraId="36411E95">
      <w:pPr>
        <w:pStyle w:val="9"/>
        <w:spacing w:before="23"/>
        <w:ind w:left="0"/>
        <w:jc w:val="left"/>
        <w:rPr>
          <w:rFonts w:hint="eastAsia"/>
        </w:rPr>
      </w:pPr>
      <w:r>
        <w:rPr>
          <w:rFonts w:hint="eastAsia"/>
        </w:rPr>
        <w:t>因此，在接下来的内容中，我将借鉴新约启示的这两个源流，来推测我们的主在橄榄山论述中谈到祂的主临（Parousia）时，心中可能想的是什么。</w:t>
      </w:r>
    </w:p>
    <w:p w14:paraId="00932318">
      <w:pPr>
        <w:pStyle w:val="9"/>
        <w:spacing w:before="23"/>
        <w:ind w:left="0"/>
        <w:jc w:val="left"/>
        <w:rPr>
          <w:rFonts w:hint="eastAsia"/>
        </w:rPr>
      </w:pPr>
    </w:p>
    <w:p w14:paraId="405E95EB">
      <w:pPr>
        <w:pStyle w:val="9"/>
        <w:spacing w:before="23"/>
        <w:ind w:left="0"/>
        <w:jc w:val="left"/>
        <w:rPr>
          <w:rFonts w:hint="eastAsia"/>
        </w:rPr>
      </w:pPr>
      <w:r>
        <w:rPr>
          <w:rFonts w:hint="eastAsia"/>
        </w:rPr>
        <w:t>First, “the sign of the Son of Man” appears in the sky.</w:t>
      </w:r>
    </w:p>
    <w:p w14:paraId="63D0545D">
      <w:pPr>
        <w:pStyle w:val="9"/>
        <w:spacing w:before="23"/>
        <w:ind w:left="0"/>
        <w:jc w:val="left"/>
        <w:rPr>
          <w:rFonts w:hint="eastAsia"/>
        </w:rPr>
      </w:pPr>
      <w:r>
        <w:rPr>
          <w:rFonts w:hint="eastAsia"/>
        </w:rPr>
        <w:t>首先，“人子的兆头”显在天上。</w:t>
      </w:r>
    </w:p>
    <w:p w14:paraId="416407FF">
      <w:pPr>
        <w:pStyle w:val="9"/>
        <w:spacing w:before="23"/>
        <w:ind w:left="0"/>
        <w:jc w:val="left"/>
        <w:rPr>
          <w:rFonts w:hint="eastAsia"/>
        </w:rPr>
      </w:pPr>
    </w:p>
    <w:p w14:paraId="7360A66E">
      <w:pPr>
        <w:pStyle w:val="9"/>
        <w:spacing w:before="23"/>
        <w:ind w:left="0"/>
        <w:jc w:val="left"/>
        <w:rPr>
          <w:rFonts w:hint="eastAsia"/>
        </w:rPr>
      </w:pPr>
      <w:r>
        <w:rPr>
          <w:rFonts w:hint="eastAsia"/>
        </w:rPr>
        <w:t>Probably, this is the brightness of the glory clouds that attend him; if not, its exact nature remains undisclosed (30).</w:t>
      </w:r>
    </w:p>
    <w:p w14:paraId="22691ECF">
      <w:pPr>
        <w:pStyle w:val="9"/>
        <w:spacing w:before="23"/>
        <w:ind w:left="0"/>
        <w:jc w:val="left"/>
        <w:rPr>
          <w:rFonts w:hint="eastAsia"/>
        </w:rPr>
      </w:pPr>
      <w:r>
        <w:rPr>
          <w:rFonts w:hint="eastAsia"/>
        </w:rPr>
        <w:t>很可能，这是伴随祂的荣耀云彩的光辉；若不然，其确切的性质仍未揭示（30）。</w:t>
      </w:r>
    </w:p>
    <w:p w14:paraId="36A1D9B4">
      <w:pPr>
        <w:pStyle w:val="9"/>
        <w:spacing w:before="23"/>
        <w:ind w:left="0"/>
        <w:jc w:val="left"/>
        <w:rPr>
          <w:rFonts w:hint="eastAsia"/>
        </w:rPr>
      </w:pPr>
    </w:p>
    <w:p w14:paraId="2C440886">
      <w:pPr>
        <w:pStyle w:val="9"/>
        <w:spacing w:before="23"/>
        <w:ind w:left="0"/>
        <w:jc w:val="left"/>
        <w:rPr>
          <w:rFonts w:hint="eastAsia"/>
        </w:rPr>
      </w:pPr>
      <w:r>
        <w:rPr>
          <w:rFonts w:hint="eastAsia"/>
        </w:rPr>
        <w:t>Next, Christ himself appears, proceeding steadily towards the earth upon “clouds” (i.e., visible manifestations) of the Father’s power and glory, with all the holy angels at his side (30; 25:31, Rev. 14:14f).</w:t>
      </w:r>
    </w:p>
    <w:p w14:paraId="779DFB97">
      <w:pPr>
        <w:pStyle w:val="9"/>
        <w:spacing w:before="23"/>
        <w:ind w:left="0"/>
        <w:jc w:val="left"/>
        <w:rPr>
          <w:rFonts w:hint="eastAsia"/>
        </w:rPr>
      </w:pPr>
      <w:r>
        <w:rPr>
          <w:rFonts w:hint="eastAsia"/>
        </w:rPr>
        <w:t>接着，基督祂自己显现，驾着父能力和荣耀的“云彩”（即可见的彰显），带着所有圣天使在祂身边，稳步地向地而来（30；25:31，启14:14及以下）。</w:t>
      </w:r>
    </w:p>
    <w:p w14:paraId="75020150">
      <w:pPr>
        <w:pStyle w:val="9"/>
        <w:spacing w:before="23"/>
        <w:ind w:left="0"/>
        <w:jc w:val="left"/>
        <w:rPr>
          <w:rFonts w:hint="eastAsia"/>
        </w:rPr>
      </w:pPr>
    </w:p>
    <w:p w14:paraId="3C76E4C8">
      <w:pPr>
        <w:pStyle w:val="9"/>
        <w:spacing w:before="23"/>
        <w:ind w:left="0"/>
        <w:jc w:val="left"/>
        <w:rPr>
          <w:rFonts w:hint="eastAsia"/>
        </w:rPr>
      </w:pPr>
      <w:r>
        <w:rPr>
          <w:rFonts w:hint="eastAsia"/>
        </w:rPr>
        <w:t>As he draws nearer still, there is a cry of command, the voice of the archangel, and the sound of a great trumpet (31; 1 Thess. 4:16).</w:t>
      </w:r>
    </w:p>
    <w:p w14:paraId="0B87CDFE">
      <w:pPr>
        <w:pStyle w:val="9"/>
        <w:spacing w:before="23"/>
        <w:ind w:left="0"/>
        <w:jc w:val="left"/>
        <w:rPr>
          <w:rFonts w:hint="eastAsia"/>
        </w:rPr>
      </w:pPr>
      <w:r>
        <w:rPr>
          <w:rFonts w:hint="eastAsia"/>
        </w:rPr>
        <w:t>当祂越发靠近时，有命令的呼喊，天使长的声音，和极大的号筒声（31；帖前4:16）。</w:t>
      </w:r>
    </w:p>
    <w:p w14:paraId="1139D425">
      <w:pPr>
        <w:pStyle w:val="9"/>
        <w:spacing w:before="23"/>
        <w:ind w:left="0"/>
        <w:jc w:val="left"/>
        <w:rPr>
          <w:rFonts w:hint="eastAsia"/>
        </w:rPr>
      </w:pPr>
    </w:p>
    <w:p w14:paraId="4D647E4A">
      <w:pPr>
        <w:pStyle w:val="9"/>
        <w:spacing w:before="23"/>
        <w:ind w:left="0"/>
        <w:jc w:val="left"/>
        <w:rPr>
          <w:rFonts w:hint="eastAsia"/>
        </w:rPr>
      </w:pPr>
      <w:r>
        <w:rPr>
          <w:rFonts w:hint="eastAsia"/>
        </w:rPr>
        <w:t>At this, all people who have ever lived hear the High King’s voice, rise from the dead, and come forth from the graves (John 5:28-29, 1 Thess. 4:13-17, Rev. 20:13).</w:t>
      </w:r>
    </w:p>
    <w:p w14:paraId="4D353BEA">
      <w:pPr>
        <w:pStyle w:val="9"/>
        <w:spacing w:before="23"/>
        <w:ind w:left="0"/>
        <w:jc w:val="left"/>
        <w:rPr>
          <w:rFonts w:hint="eastAsia"/>
        </w:rPr>
      </w:pPr>
      <w:r>
        <w:rPr>
          <w:rFonts w:hint="eastAsia"/>
        </w:rPr>
        <w:t>这时，所有曾活过的人都听见至高君王的声音，从死里复活，从坟墓里出来（约翰福音5:28-29，帖撒罗尼迦前书4:13-17，启示录20:13）。</w:t>
      </w:r>
    </w:p>
    <w:p w14:paraId="0861E912">
      <w:pPr>
        <w:pStyle w:val="9"/>
        <w:spacing w:before="23"/>
        <w:ind w:left="0"/>
        <w:jc w:val="left"/>
        <w:rPr>
          <w:rFonts w:hint="eastAsia"/>
        </w:rPr>
      </w:pPr>
    </w:p>
    <w:p w14:paraId="585D00D9">
      <w:pPr>
        <w:pStyle w:val="9"/>
        <w:spacing w:before="23"/>
        <w:ind w:left="0"/>
        <w:jc w:val="left"/>
        <w:rPr>
          <w:rFonts w:hint="eastAsia"/>
        </w:rPr>
      </w:pPr>
      <w:r>
        <w:rPr>
          <w:rFonts w:hint="eastAsia"/>
        </w:rPr>
        <w:t>Also, the Lord himself transforms and glorifies the bodies of the living saints (1 Cor. 15:50-54, 1 Thess. 4:17).</w:t>
      </w:r>
    </w:p>
    <w:p w14:paraId="292C2FEE">
      <w:pPr>
        <w:pStyle w:val="9"/>
        <w:spacing w:before="23"/>
        <w:ind w:left="0"/>
        <w:jc w:val="left"/>
        <w:rPr>
          <w:rFonts w:hint="eastAsia"/>
        </w:rPr>
      </w:pPr>
      <w:r>
        <w:rPr>
          <w:rFonts w:hint="eastAsia"/>
        </w:rPr>
        <w:t>还有，主祂自己改变并荣耀活着圣徒的身体（林前15:50-54，帖前4:17）。</w:t>
      </w:r>
    </w:p>
    <w:p w14:paraId="32A34D0A">
      <w:pPr>
        <w:pStyle w:val="9"/>
        <w:spacing w:before="23"/>
        <w:ind w:left="0"/>
        <w:jc w:val="left"/>
        <w:rPr>
          <w:rFonts w:hint="eastAsia"/>
        </w:rPr>
      </w:pPr>
    </w:p>
    <w:p w14:paraId="13985E10">
      <w:pPr>
        <w:pStyle w:val="9"/>
        <w:spacing w:before="23"/>
        <w:ind w:left="0"/>
        <w:jc w:val="left"/>
        <w:rPr>
          <w:rFonts w:hint="eastAsia"/>
        </w:rPr>
      </w:pPr>
      <w:r>
        <w:rPr>
          <w:rFonts w:hint="eastAsia"/>
        </w:rPr>
        <w:t>Henceforth, every eye is beholding him: The saints of all ages, who marvel and rejoice; and the hostile and unbelieving of all ages, who mourn and recoil in terror (30; Mt. 26:64; 2 Thess. 1:10; Rev. 1:7, 6:16).</w:t>
      </w:r>
    </w:p>
    <w:p w14:paraId="0E9EB8C5">
      <w:pPr>
        <w:pStyle w:val="9"/>
        <w:spacing w:before="23"/>
        <w:ind w:left="0"/>
        <w:jc w:val="left"/>
        <w:rPr>
          <w:rFonts w:hint="eastAsia"/>
        </w:rPr>
      </w:pPr>
      <w:r>
        <w:rPr>
          <w:rFonts w:hint="eastAsia"/>
        </w:rPr>
        <w:t>从此以后，万目都注视着祂：所有时代的圣徒，惊奇欢欣；所有时代的敌对和不信者，哀哭并在恐惧中退缩（30；太26:64；帖后1:10；启1:7, 6:16）。</w:t>
      </w:r>
    </w:p>
    <w:p w14:paraId="6A1251A2">
      <w:pPr>
        <w:pStyle w:val="9"/>
        <w:spacing w:before="23"/>
        <w:ind w:left="0"/>
        <w:jc w:val="left"/>
        <w:rPr>
          <w:rFonts w:hint="eastAsia"/>
        </w:rPr>
      </w:pPr>
    </w:p>
    <w:p w14:paraId="03CA9368">
      <w:pPr>
        <w:pStyle w:val="9"/>
        <w:spacing w:before="23"/>
        <w:ind w:left="0"/>
        <w:jc w:val="left"/>
        <w:rPr>
          <w:rFonts w:hint="eastAsia"/>
        </w:rPr>
      </w:pPr>
      <w:r>
        <w:rPr>
          <w:rFonts w:hint="eastAsia"/>
        </w:rPr>
        <w:t>As they all watch, the holy angels now fly earthward to their appointed task of harvesting the earth.</w:t>
      </w:r>
    </w:p>
    <w:p w14:paraId="2834FE5A">
      <w:pPr>
        <w:pStyle w:val="9"/>
        <w:spacing w:before="23"/>
        <w:ind w:left="0"/>
        <w:jc w:val="left"/>
        <w:rPr>
          <w:rFonts w:hint="eastAsia"/>
        </w:rPr>
      </w:pPr>
      <w:r>
        <w:rPr>
          <w:rFonts w:hint="eastAsia"/>
        </w:rPr>
        <w:t>当他们都观看时，圣天使现在飞向地，去执行他们收割地的指定任务。</w:t>
      </w:r>
    </w:p>
    <w:p w14:paraId="1FD1D334">
      <w:pPr>
        <w:pStyle w:val="9"/>
        <w:spacing w:before="23"/>
        <w:ind w:left="0"/>
        <w:jc w:val="left"/>
        <w:rPr>
          <w:rFonts w:hint="eastAsia"/>
        </w:rPr>
      </w:pPr>
    </w:p>
    <w:p w14:paraId="58267D35">
      <w:pPr>
        <w:pStyle w:val="9"/>
        <w:spacing w:before="23"/>
        <w:ind w:left="0"/>
        <w:jc w:val="left"/>
        <w:rPr>
          <w:rFonts w:hint="eastAsia"/>
        </w:rPr>
      </w:pPr>
      <w:r>
        <w:rPr>
          <w:rFonts w:hint="eastAsia"/>
        </w:rPr>
        <w:t>First, they gather in God’s elect, catching them up into the air and bringing them safely to Christ’s right hand (31, 41; Mt. 24:40-41, Thess. 4:13-17, Rev. 11:12, 14:14-20).7</w:t>
      </w:r>
    </w:p>
    <w:p w14:paraId="5450970B">
      <w:pPr>
        <w:pStyle w:val="9"/>
        <w:spacing w:before="23"/>
        <w:ind w:left="0"/>
        <w:jc w:val="left"/>
        <w:rPr>
          <w:rFonts w:hint="eastAsia"/>
        </w:rPr>
      </w:pPr>
      <w:r>
        <w:rPr>
          <w:rFonts w:hint="eastAsia"/>
        </w:rPr>
        <w:t>首先，他们聚集上帝的选民，将他们提到空中，安全地带到基督的右边（31, 41；太24:40-41，帖前4:13-17，启11:12, 14:14-20）。7</w:t>
      </w:r>
    </w:p>
    <w:p w14:paraId="0F07F4DF">
      <w:pPr>
        <w:pStyle w:val="9"/>
        <w:spacing w:before="23"/>
        <w:ind w:left="0"/>
        <w:jc w:val="left"/>
        <w:rPr>
          <w:rFonts w:hint="eastAsia"/>
        </w:rPr>
      </w:pPr>
    </w:p>
    <w:p w14:paraId="6FCBD13E">
      <w:pPr>
        <w:pStyle w:val="9"/>
        <w:spacing w:before="23"/>
        <w:ind w:left="0"/>
        <w:jc w:val="left"/>
        <w:rPr>
          <w:rFonts w:hint="eastAsia"/>
        </w:rPr>
      </w:pPr>
      <w:r>
        <w:rPr>
          <w:rFonts w:hint="eastAsia"/>
        </w:rPr>
        <w:t>Then they gather the wicked, possibly casting them immediately into the (newly created) Lake of Fire, but probably bringing them first to the (left hand of the) Judgment Seat of Christ (Mt. 13:41-42, 25:33, Rev. 14:14-20).</w:t>
      </w:r>
    </w:p>
    <w:p w14:paraId="164DC60A">
      <w:pPr>
        <w:pStyle w:val="9"/>
        <w:spacing w:before="23"/>
        <w:ind w:left="0"/>
        <w:jc w:val="left"/>
        <w:rPr>
          <w:rFonts w:hint="eastAsia"/>
        </w:rPr>
      </w:pPr>
      <w:r>
        <w:rPr>
          <w:rFonts w:hint="eastAsia"/>
        </w:rPr>
        <w:t>然后他们聚集恶人，可能立刻将他们扔进（新造的）火湖里，但更可能是先将他们带到基督的审判台（的左边）（太13:41-42, 25:33，启14:14-20）。</w:t>
      </w:r>
    </w:p>
    <w:p w14:paraId="51692355">
      <w:pPr>
        <w:pStyle w:val="9"/>
        <w:spacing w:before="23"/>
        <w:ind w:left="0"/>
        <w:jc w:val="left"/>
        <w:rPr>
          <w:rFonts w:hint="eastAsia"/>
        </w:rPr>
      </w:pPr>
    </w:p>
    <w:p w14:paraId="222C4401">
      <w:pPr>
        <w:pStyle w:val="9"/>
        <w:spacing w:before="23"/>
        <w:ind w:left="0"/>
        <w:jc w:val="left"/>
        <w:rPr>
          <w:rFonts w:hint="eastAsia"/>
        </w:rPr>
      </w:pPr>
      <w:r>
        <w:rPr>
          <w:rFonts w:hint="eastAsia"/>
        </w:rPr>
        <w:t>The earth and its works below are now being consumed with fire (2 Peter 3:8-13, Rev. 20:11).</w:t>
      </w:r>
    </w:p>
    <w:p w14:paraId="029FF301">
      <w:pPr>
        <w:pStyle w:val="9"/>
        <w:spacing w:before="23"/>
        <w:ind w:left="0"/>
        <w:jc w:val="left"/>
        <w:rPr>
          <w:rFonts w:hint="eastAsia"/>
        </w:rPr>
      </w:pPr>
      <w:r>
        <w:rPr>
          <w:rFonts w:hint="eastAsia"/>
        </w:rPr>
        <w:t>下面的地和其上的工程现在正被火焚烧（彼得后书3:8-13，启示录20:11）。</w:t>
      </w:r>
    </w:p>
    <w:p w14:paraId="6A83ECA0">
      <w:pPr>
        <w:pStyle w:val="9"/>
        <w:spacing w:before="23"/>
        <w:ind w:left="0"/>
        <w:jc w:val="left"/>
        <w:rPr>
          <w:rFonts w:hint="eastAsia"/>
        </w:rPr>
      </w:pPr>
    </w:p>
    <w:p w14:paraId="06BEC1DB">
      <w:pPr>
        <w:pStyle w:val="9"/>
        <w:spacing w:before="23"/>
        <w:ind w:left="0"/>
        <w:jc w:val="left"/>
        <w:rPr>
          <w:rFonts w:hint="eastAsia"/>
        </w:rPr>
      </w:pPr>
      <w:r>
        <w:rPr>
          <w:rFonts w:hint="eastAsia"/>
        </w:rPr>
        <w:t>Christ is enthroned in glory at the center of the universe (25:31:ff, Rev. 20:11-15).</w:t>
      </w:r>
    </w:p>
    <w:p w14:paraId="093F2848">
      <w:pPr>
        <w:pStyle w:val="9"/>
        <w:spacing w:before="23"/>
        <w:ind w:left="0"/>
        <w:jc w:val="left"/>
        <w:rPr>
          <w:rFonts w:hint="eastAsia"/>
        </w:rPr>
      </w:pPr>
      <w:r>
        <w:rPr>
          <w:rFonts w:hint="eastAsia"/>
        </w:rPr>
        <w:t>基督在荣耀中登基，在宇宙的中心（25:31及以下，启20:11-15）。</w:t>
      </w:r>
    </w:p>
    <w:p w14:paraId="6EB3B738">
      <w:pPr>
        <w:pStyle w:val="9"/>
        <w:spacing w:before="23"/>
        <w:ind w:left="0"/>
        <w:jc w:val="left"/>
        <w:rPr>
          <w:rFonts w:hint="eastAsia"/>
        </w:rPr>
      </w:pPr>
    </w:p>
    <w:p w14:paraId="36720F3E">
      <w:pPr>
        <w:pStyle w:val="9"/>
        <w:spacing w:before="23"/>
        <w:ind w:left="0"/>
        <w:jc w:val="left"/>
        <w:rPr>
          <w:rFonts w:hint="eastAsia"/>
        </w:rPr>
      </w:pPr>
      <w:r>
        <w:rPr>
          <w:rFonts w:hint="eastAsia"/>
        </w:rPr>
        <w:t>All men and all angels are assembled before him (2 Cor. 5:10).</w:t>
      </w:r>
    </w:p>
    <w:p w14:paraId="793CB6B1">
      <w:pPr>
        <w:pStyle w:val="9"/>
        <w:spacing w:before="23"/>
        <w:ind w:left="0"/>
        <w:jc w:val="left"/>
        <w:rPr>
          <w:rFonts w:hint="eastAsia"/>
        </w:rPr>
      </w:pPr>
      <w:r>
        <w:rPr>
          <w:rFonts w:hint="eastAsia"/>
        </w:rPr>
        <w:t>所有的人和所有的天使都聚集在祂面前（林后5:10）。</w:t>
      </w:r>
    </w:p>
    <w:p w14:paraId="439BBBC2">
      <w:pPr>
        <w:pStyle w:val="9"/>
        <w:spacing w:before="23"/>
        <w:ind w:left="0"/>
        <w:jc w:val="left"/>
        <w:rPr>
          <w:rFonts w:hint="eastAsia"/>
        </w:rPr>
      </w:pPr>
    </w:p>
    <w:p w14:paraId="3549DD6F">
      <w:pPr>
        <w:pStyle w:val="9"/>
        <w:spacing w:before="23"/>
        <w:ind w:left="0"/>
        <w:jc w:val="left"/>
        <w:rPr>
          <w:rFonts w:hint="eastAsia"/>
        </w:rPr>
      </w:pPr>
      <w:r>
        <w:rPr>
          <w:rFonts w:hint="eastAsia"/>
        </w:rPr>
        <w:t>The Judgment of the Great Day has begun (Jude 1:6).</w:t>
      </w:r>
    </w:p>
    <w:p w14:paraId="6C0C7043">
      <w:pPr>
        <w:pStyle w:val="9"/>
        <w:spacing w:before="23"/>
        <w:ind w:left="0"/>
        <w:jc w:val="left"/>
        <w:rPr>
          <w:rFonts w:hint="eastAsia"/>
        </w:rPr>
      </w:pPr>
      <w:r>
        <w:rPr>
          <w:rFonts w:hint="eastAsia"/>
        </w:rPr>
        <w:t>大日的审判已经开始（犹1:6）。</w:t>
      </w:r>
    </w:p>
    <w:p w14:paraId="7CA6ECF0">
      <w:pPr>
        <w:pStyle w:val="9"/>
        <w:spacing w:before="23"/>
        <w:ind w:left="0"/>
        <w:jc w:val="left"/>
        <w:rPr>
          <w:rFonts w:hint="eastAsia"/>
        </w:rPr>
      </w:pPr>
    </w:p>
    <w:p w14:paraId="40AEAE7A">
      <w:pPr>
        <w:pStyle w:val="9"/>
        <w:spacing w:before="23"/>
        <w:ind w:left="0"/>
        <w:jc w:val="left"/>
        <w:rPr>
          <w:rFonts w:hint="eastAsia"/>
        </w:rPr>
      </w:pPr>
      <w:r>
        <w:rPr>
          <w:rFonts w:hint="eastAsia"/>
        </w:rPr>
        <w:t>The Lesson of the Fig Tree (32-35)</w:t>
      </w:r>
    </w:p>
    <w:p w14:paraId="78620058">
      <w:pPr>
        <w:pStyle w:val="9"/>
        <w:spacing w:before="23"/>
        <w:ind w:left="0"/>
        <w:jc w:val="left"/>
        <w:rPr>
          <w:rFonts w:hint="eastAsia"/>
        </w:rPr>
      </w:pPr>
      <w:r>
        <w:rPr>
          <w:rFonts w:hint="eastAsia"/>
        </w:rPr>
        <w:t>无花果树的教训（32-35）</w:t>
      </w:r>
    </w:p>
    <w:p w14:paraId="051B362E">
      <w:pPr>
        <w:pStyle w:val="9"/>
        <w:spacing w:before="23"/>
        <w:ind w:left="0"/>
        <w:jc w:val="left"/>
        <w:rPr>
          <w:rFonts w:hint="eastAsia"/>
        </w:rPr>
      </w:pPr>
    </w:p>
    <w:p w14:paraId="4E4B0D3F">
      <w:pPr>
        <w:pStyle w:val="9"/>
        <w:spacing w:before="23"/>
        <w:ind w:left="0"/>
        <w:jc w:val="left"/>
        <w:rPr>
          <w:rFonts w:hint="eastAsia"/>
        </w:rPr>
      </w:pPr>
      <w:r>
        <w:rPr>
          <w:rFonts w:hint="eastAsia"/>
        </w:rPr>
        <w:t>In a moment, the Lord will conclude his Discourse by describing the Judgment itself (25:31ff).</w:t>
      </w:r>
    </w:p>
    <w:p w14:paraId="1DFFA196">
      <w:pPr>
        <w:pStyle w:val="9"/>
        <w:spacing w:before="23"/>
        <w:ind w:left="0"/>
        <w:jc w:val="left"/>
        <w:rPr>
          <w:rFonts w:hint="eastAsia"/>
        </w:rPr>
      </w:pPr>
      <w:r>
        <w:rPr>
          <w:rFonts w:hint="eastAsia"/>
        </w:rPr>
        <w:t>稍后，主将以描述审判本身来结束祂的论述（25:31及以下）。</w:t>
      </w:r>
    </w:p>
    <w:p w14:paraId="2F5149AC">
      <w:pPr>
        <w:pStyle w:val="9"/>
        <w:spacing w:before="23"/>
        <w:ind w:left="0"/>
        <w:jc w:val="left"/>
        <w:rPr>
          <w:rFonts w:hint="eastAsia"/>
        </w:rPr>
      </w:pPr>
    </w:p>
    <w:p w14:paraId="20C82BBA">
      <w:pPr>
        <w:pStyle w:val="9"/>
        <w:spacing w:before="23"/>
        <w:ind w:left="0"/>
        <w:jc w:val="left"/>
        <w:rPr>
          <w:rFonts w:hint="eastAsia"/>
        </w:rPr>
      </w:pPr>
      <w:r>
        <w:rPr>
          <w:rFonts w:hint="eastAsia"/>
        </w:rPr>
        <w:t>However, in light of the unspeakable weightiness of the Consummation here in view, he must first issue a number of exhortations.</w:t>
      </w:r>
    </w:p>
    <w:p w14:paraId="5200BDB6">
      <w:pPr>
        <w:pStyle w:val="9"/>
        <w:spacing w:before="23"/>
        <w:ind w:left="0"/>
        <w:jc w:val="left"/>
        <w:rPr>
          <w:rFonts w:hint="eastAsia"/>
        </w:rPr>
      </w:pPr>
      <w:r>
        <w:rPr>
          <w:rFonts w:hint="eastAsia"/>
        </w:rPr>
        <w:t>然而，鉴于这里所见的最终成全的难以言喻的沉重性，祂必须首先发出一些劝勉。</w:t>
      </w:r>
    </w:p>
    <w:p w14:paraId="3D54392A">
      <w:pPr>
        <w:pStyle w:val="9"/>
        <w:spacing w:before="23"/>
        <w:ind w:left="0"/>
        <w:jc w:val="left"/>
        <w:rPr>
          <w:rFonts w:hint="eastAsia"/>
        </w:rPr>
      </w:pPr>
    </w:p>
    <w:p w14:paraId="36046108">
      <w:pPr>
        <w:pStyle w:val="9"/>
        <w:spacing w:before="23"/>
        <w:ind w:left="0"/>
        <w:jc w:val="left"/>
        <w:rPr>
          <w:rFonts w:hint="eastAsia"/>
        </w:rPr>
      </w:pPr>
      <w:r>
        <w:rPr>
          <w:rFonts w:hint="eastAsia"/>
        </w:rPr>
        <w:t>He begins by pressing upon his disciples the importance of carefully watching for the signs of his Coming.</w:t>
      </w:r>
    </w:p>
    <w:p w14:paraId="71E02152">
      <w:pPr>
        <w:pStyle w:val="9"/>
        <w:spacing w:before="23"/>
        <w:ind w:left="0"/>
        <w:jc w:val="left"/>
        <w:rPr>
          <w:rFonts w:hint="eastAsia"/>
        </w:rPr>
      </w:pPr>
      <w:r>
        <w:rPr>
          <w:rFonts w:hint="eastAsia"/>
        </w:rPr>
        <w:t>祂开始时向祂的门徒强调仔细观察祂降临预兆的重要性。</w:t>
      </w:r>
    </w:p>
    <w:p w14:paraId="69AF9AE6">
      <w:pPr>
        <w:pStyle w:val="9"/>
        <w:spacing w:before="23"/>
        <w:ind w:left="0"/>
        <w:jc w:val="left"/>
        <w:rPr>
          <w:rFonts w:hint="eastAsia"/>
        </w:rPr>
      </w:pPr>
    </w:p>
    <w:p w14:paraId="794257D2">
      <w:pPr>
        <w:pStyle w:val="9"/>
        <w:spacing w:before="23"/>
        <w:ind w:left="0"/>
        <w:jc w:val="left"/>
        <w:rPr>
          <w:rFonts w:hint="eastAsia"/>
        </w:rPr>
      </w:pPr>
      <w:r>
        <w:rPr>
          <w:rFonts w:hint="eastAsia"/>
        </w:rPr>
        <w:t>To this end, he bids them learn a lesson from the fig tree: When they see it put out its leaves, they know summer is near.</w:t>
      </w:r>
    </w:p>
    <w:p w14:paraId="1677469E">
      <w:pPr>
        <w:pStyle w:val="9"/>
        <w:spacing w:before="23"/>
        <w:ind w:left="0"/>
        <w:jc w:val="left"/>
        <w:rPr>
          <w:rFonts w:hint="eastAsia"/>
        </w:rPr>
      </w:pPr>
      <w:r>
        <w:rPr>
          <w:rFonts w:hint="eastAsia"/>
        </w:rPr>
        <w:t>为此，祂吩咐他们从无花果树学一个比方：当他们看见它发嫩长叶的时候，就知道夏天近了。</w:t>
      </w:r>
    </w:p>
    <w:p w14:paraId="073D0EAD">
      <w:pPr>
        <w:pStyle w:val="9"/>
        <w:spacing w:before="23"/>
        <w:ind w:left="0"/>
        <w:jc w:val="left"/>
        <w:rPr>
          <w:rFonts w:hint="eastAsia"/>
        </w:rPr>
      </w:pPr>
    </w:p>
    <w:p w14:paraId="387C2F0E">
      <w:pPr>
        <w:pStyle w:val="9"/>
        <w:spacing w:before="23"/>
        <w:ind w:left="0"/>
        <w:jc w:val="left"/>
        <w:rPr>
          <w:rFonts w:hint="eastAsia"/>
        </w:rPr>
      </w:pPr>
      <w:r>
        <w:rPr>
          <w:rFonts w:hint="eastAsia"/>
        </w:rPr>
        <w:t>Likewise, when they see “all the things” he has just spoken of, they are to know that the Parousia is near, even at the door (32- 33).</w:t>
      </w:r>
    </w:p>
    <w:p w14:paraId="2CC8E215">
      <w:pPr>
        <w:pStyle w:val="9"/>
        <w:spacing w:before="23"/>
        <w:ind w:left="0"/>
        <w:jc w:val="left"/>
        <w:rPr>
          <w:rFonts w:hint="eastAsia"/>
        </w:rPr>
      </w:pPr>
      <w:r>
        <w:rPr>
          <w:rFonts w:hint="eastAsia"/>
        </w:rPr>
        <w:t>同样，当他们看见祂刚才所说的“这一切的事”时，他们就知道主临（Parousia）近了，正在门口了（32-33）。</w:t>
      </w:r>
    </w:p>
    <w:p w14:paraId="2FA344C0">
      <w:pPr>
        <w:pStyle w:val="9"/>
        <w:spacing w:before="23"/>
        <w:ind w:left="0"/>
        <w:jc w:val="left"/>
        <w:rPr>
          <w:rFonts w:hint="eastAsia"/>
        </w:rPr>
      </w:pPr>
    </w:p>
    <w:p w14:paraId="2DF2C220">
      <w:pPr>
        <w:pStyle w:val="9"/>
        <w:spacing w:before="23"/>
        <w:ind w:left="0"/>
        <w:jc w:val="left"/>
        <w:rPr>
          <w:rFonts w:hint="eastAsia"/>
        </w:rPr>
      </w:pPr>
      <w:r>
        <w:rPr>
          <w:rFonts w:hint="eastAsia"/>
        </w:rPr>
        <w:t>In other words, when there is a confluence of all the signs, including those that specially belong to the end of the age (15-28), they are to understand that their full redemption—the manifestation of the Kingdom in its full and final form—has drawn nigh (Luke 21:28, 31).</w:t>
      </w:r>
    </w:p>
    <w:p w14:paraId="20B19457">
      <w:pPr>
        <w:pStyle w:val="9"/>
        <w:spacing w:before="23"/>
        <w:ind w:left="0"/>
        <w:jc w:val="left"/>
        <w:rPr>
          <w:rFonts w:hint="eastAsia"/>
        </w:rPr>
      </w:pPr>
      <w:r>
        <w:rPr>
          <w:rFonts w:hint="eastAsia"/>
        </w:rPr>
        <w:t>换句话说，当所有预兆，包括那些特别属于世代末了的预兆（15-28）都汇集在一起时，他们就当明白，他们完全的救赎——即国度以其完全和最终形式的显现——已经近了（路加福音21:28, 31）。</w:t>
      </w:r>
    </w:p>
    <w:p w14:paraId="53C43561">
      <w:pPr>
        <w:pStyle w:val="9"/>
        <w:spacing w:before="23"/>
        <w:ind w:left="0"/>
        <w:jc w:val="left"/>
        <w:rPr>
          <w:rFonts w:hint="eastAsia"/>
        </w:rPr>
      </w:pPr>
    </w:p>
    <w:p w14:paraId="0CAB5ECE">
      <w:pPr>
        <w:pStyle w:val="9"/>
        <w:spacing w:before="23"/>
        <w:ind w:left="0"/>
        <w:jc w:val="left"/>
        <w:rPr>
          <w:rFonts w:hint="eastAsia"/>
        </w:rPr>
      </w:pPr>
      <w:r>
        <w:rPr>
          <w:rFonts w:hint="eastAsia"/>
        </w:rPr>
        <w:t>Verses 34-35 are difficult and controversial.</w:t>
      </w:r>
    </w:p>
    <w:p w14:paraId="5D534715">
      <w:pPr>
        <w:pStyle w:val="9"/>
        <w:spacing w:before="23"/>
        <w:ind w:left="0"/>
        <w:jc w:val="left"/>
        <w:rPr>
          <w:rFonts w:hint="eastAsia"/>
        </w:rPr>
      </w:pPr>
      <w:r>
        <w:rPr>
          <w:rFonts w:hint="eastAsia"/>
        </w:rPr>
        <w:t>第34-35节是困难和有争议的。</w:t>
      </w:r>
    </w:p>
    <w:p w14:paraId="4B70801D">
      <w:pPr>
        <w:pStyle w:val="9"/>
        <w:spacing w:before="23"/>
        <w:ind w:left="0"/>
        <w:jc w:val="left"/>
        <w:rPr>
          <w:rFonts w:hint="eastAsia"/>
        </w:rPr>
      </w:pPr>
    </w:p>
    <w:p w14:paraId="116DF919">
      <w:pPr>
        <w:pStyle w:val="9"/>
        <w:spacing w:before="23"/>
        <w:ind w:left="0"/>
        <w:jc w:val="left"/>
        <w:rPr>
          <w:rFonts w:hint="eastAsia"/>
        </w:rPr>
      </w:pPr>
      <w:r>
        <w:rPr>
          <w:rFonts w:hint="eastAsia"/>
        </w:rPr>
        <w:t>Here Jesus solemnly assures his disciples that “… this generation will not pass away till all these things take place.”</w:t>
      </w:r>
    </w:p>
    <w:p w14:paraId="232DE2A7">
      <w:pPr>
        <w:pStyle w:val="9"/>
        <w:spacing w:before="23"/>
        <w:ind w:left="0"/>
        <w:jc w:val="left"/>
        <w:rPr>
          <w:rFonts w:hint="eastAsia"/>
        </w:rPr>
      </w:pPr>
      <w:r>
        <w:rPr>
          <w:rFonts w:hint="eastAsia"/>
        </w:rPr>
        <w:t>在这里，耶稣庄严地向祂的门徒保证说：“……这世代还没有过去，这些事都要成就。”</w:t>
      </w:r>
    </w:p>
    <w:p w14:paraId="523BF0C9">
      <w:pPr>
        <w:pStyle w:val="9"/>
        <w:spacing w:before="23"/>
        <w:ind w:left="0"/>
        <w:jc w:val="left"/>
        <w:rPr>
          <w:rFonts w:hint="eastAsia"/>
        </w:rPr>
      </w:pPr>
    </w:p>
    <w:p w14:paraId="57B5D6B3">
      <w:pPr>
        <w:pStyle w:val="9"/>
        <w:spacing w:before="23"/>
        <w:ind w:left="0"/>
        <w:jc w:val="left"/>
        <w:rPr>
          <w:rFonts w:hint="eastAsia"/>
        </w:rPr>
      </w:pPr>
      <w:r>
        <w:rPr>
          <w:rFonts w:hint="eastAsia"/>
        </w:rPr>
        <w:t>What does he mean by “all these things”?</w:t>
      </w:r>
    </w:p>
    <w:p w14:paraId="7A1C5FAD">
      <w:pPr>
        <w:pStyle w:val="9"/>
        <w:spacing w:before="23"/>
        <w:ind w:left="0"/>
        <w:jc w:val="left"/>
        <w:rPr>
          <w:rFonts w:hint="eastAsia"/>
        </w:rPr>
      </w:pPr>
      <w:r>
        <w:rPr>
          <w:rFonts w:hint="eastAsia"/>
        </w:rPr>
        <w:t>祂说“这些事都要成就”是什么意思？</w:t>
      </w:r>
    </w:p>
    <w:p w14:paraId="5495EF3C">
      <w:pPr>
        <w:pStyle w:val="9"/>
        <w:spacing w:before="23"/>
        <w:ind w:left="0"/>
        <w:jc w:val="left"/>
        <w:rPr>
          <w:rFonts w:hint="eastAsia"/>
        </w:rPr>
      </w:pPr>
    </w:p>
    <w:p w14:paraId="62805CA4">
      <w:pPr>
        <w:pStyle w:val="9"/>
        <w:spacing w:before="23"/>
        <w:ind w:left="0"/>
        <w:jc w:val="left"/>
        <w:rPr>
          <w:rFonts w:hint="eastAsia"/>
        </w:rPr>
      </w:pPr>
      <w:r>
        <w:rPr>
          <w:rFonts w:hint="eastAsia"/>
        </w:rPr>
        <w:t>Verse 33 makes it clear he has in mind the signs he has spoken of, but not the Parousia itself.</w:t>
      </w:r>
    </w:p>
    <w:p w14:paraId="7DA23677">
      <w:pPr>
        <w:pStyle w:val="9"/>
        <w:spacing w:before="23"/>
        <w:ind w:left="0"/>
        <w:jc w:val="left"/>
        <w:rPr>
          <w:rFonts w:hint="eastAsia"/>
        </w:rPr>
      </w:pPr>
      <w:r>
        <w:rPr>
          <w:rFonts w:hint="eastAsia"/>
        </w:rPr>
        <w:t>第33节清楚地表明，祂心中所想的是祂所说的预兆，而非主临（Parousia）本身。</w:t>
      </w:r>
    </w:p>
    <w:p w14:paraId="3F1FD726">
      <w:pPr>
        <w:pStyle w:val="9"/>
        <w:spacing w:before="23"/>
        <w:ind w:left="0"/>
        <w:jc w:val="left"/>
        <w:rPr>
          <w:rFonts w:hint="eastAsia"/>
        </w:rPr>
      </w:pPr>
    </w:p>
    <w:p w14:paraId="397E5D41">
      <w:pPr>
        <w:pStyle w:val="9"/>
        <w:spacing w:before="23"/>
        <w:ind w:left="0"/>
        <w:jc w:val="left"/>
        <w:rPr>
          <w:rFonts w:hint="eastAsia"/>
        </w:rPr>
      </w:pPr>
      <w:r>
        <w:rPr>
          <w:rFonts w:hint="eastAsia"/>
        </w:rPr>
        <w:t>What does he mean by “this generation”?</w:t>
      </w:r>
    </w:p>
    <w:p w14:paraId="083BEC15">
      <w:pPr>
        <w:pStyle w:val="9"/>
        <w:spacing w:before="23"/>
        <w:ind w:left="0"/>
        <w:jc w:val="left"/>
        <w:rPr>
          <w:rFonts w:hint="eastAsia"/>
        </w:rPr>
      </w:pPr>
      <w:r>
        <w:rPr>
          <w:rFonts w:hint="eastAsia"/>
        </w:rPr>
        <w:t>祂说“这世代”是什么意思？</w:t>
      </w:r>
    </w:p>
    <w:p w14:paraId="16609438">
      <w:pPr>
        <w:pStyle w:val="9"/>
        <w:spacing w:before="23"/>
        <w:ind w:left="0"/>
        <w:jc w:val="left"/>
        <w:rPr>
          <w:rFonts w:hint="eastAsia"/>
        </w:rPr>
      </w:pPr>
    </w:p>
    <w:p w14:paraId="284834AA">
      <w:pPr>
        <w:pStyle w:val="9"/>
        <w:spacing w:before="23"/>
        <w:ind w:left="0"/>
        <w:jc w:val="left"/>
        <w:rPr>
          <w:rFonts w:hint="eastAsia"/>
        </w:rPr>
      </w:pPr>
      <w:r>
        <w:rPr>
          <w:rFonts w:hint="eastAsia"/>
        </w:rPr>
        <w:t>Certainly he means the people living in his day, the people who will experience Titus’ invasion and the lead-up to it; for in one form or another they did indeed see “all these things.”</w:t>
      </w:r>
    </w:p>
    <w:p w14:paraId="7442CB74">
      <w:pPr>
        <w:pStyle w:val="9"/>
        <w:spacing w:before="23"/>
        <w:ind w:left="0"/>
        <w:jc w:val="left"/>
        <w:rPr>
          <w:rFonts w:hint="eastAsia"/>
        </w:rPr>
      </w:pPr>
      <w:r>
        <w:rPr>
          <w:rFonts w:hint="eastAsia"/>
        </w:rPr>
        <w:t>祂当然指的是生活在祂那个时代的人，那些将经历提多入侵及其前奏的人；因为他们确实以某种形式看见了“这一切的事”。</w:t>
      </w:r>
    </w:p>
    <w:p w14:paraId="57E66934">
      <w:pPr>
        <w:pStyle w:val="9"/>
        <w:spacing w:before="23"/>
        <w:ind w:left="0"/>
        <w:jc w:val="left"/>
        <w:rPr>
          <w:rFonts w:hint="eastAsia"/>
        </w:rPr>
      </w:pPr>
    </w:p>
    <w:p w14:paraId="4479BF6A">
      <w:pPr>
        <w:pStyle w:val="9"/>
        <w:spacing w:before="23"/>
        <w:ind w:left="0"/>
        <w:jc w:val="left"/>
        <w:rPr>
          <w:rFonts w:hint="eastAsia"/>
        </w:rPr>
      </w:pPr>
      <w:r>
        <w:rPr>
          <w:rFonts w:hint="eastAsia"/>
        </w:rPr>
        <w:t>We know, however, that here too Jesus is using prophetic perspective to speak to his whole Church.</w:t>
      </w:r>
    </w:p>
    <w:p w14:paraId="1A58F041">
      <w:pPr>
        <w:pStyle w:val="9"/>
        <w:spacing w:before="23"/>
        <w:ind w:left="0"/>
        <w:jc w:val="left"/>
        <w:rPr>
          <w:rFonts w:hint="eastAsia"/>
        </w:rPr>
      </w:pPr>
      <w:r>
        <w:rPr>
          <w:rFonts w:hint="eastAsia"/>
        </w:rPr>
        <w:t>然而，我们也知道，耶稣在这里也使用预言性视角来对祂整个教会说话。</w:t>
      </w:r>
    </w:p>
    <w:p w14:paraId="21C9BA47">
      <w:pPr>
        <w:pStyle w:val="9"/>
        <w:spacing w:before="23"/>
        <w:ind w:left="0"/>
        <w:jc w:val="left"/>
        <w:rPr>
          <w:rFonts w:hint="eastAsia"/>
        </w:rPr>
      </w:pPr>
    </w:p>
    <w:p w14:paraId="530FBDBA">
      <w:pPr>
        <w:pStyle w:val="9"/>
        <w:spacing w:before="23"/>
        <w:ind w:left="0"/>
        <w:jc w:val="left"/>
        <w:rPr>
          <w:rFonts w:hint="eastAsia"/>
        </w:rPr>
      </w:pPr>
      <w:r>
        <w:rPr>
          <w:rFonts w:hint="eastAsia"/>
        </w:rPr>
        <w:t>Therefore, we also know that “this generation” must mean something more, something larger.</w:t>
      </w:r>
    </w:p>
    <w:p w14:paraId="1EAEB984">
      <w:pPr>
        <w:pStyle w:val="9"/>
        <w:spacing w:before="23"/>
        <w:ind w:left="0"/>
        <w:jc w:val="left"/>
        <w:rPr>
          <w:rFonts w:hint="eastAsia"/>
        </w:rPr>
      </w:pPr>
      <w:r>
        <w:rPr>
          <w:rFonts w:hint="eastAsia"/>
        </w:rPr>
        <w:t>因此，我们也知道“这世代”必定意味着更多、更广的东西。</w:t>
      </w:r>
    </w:p>
    <w:p w14:paraId="2CE615E9">
      <w:pPr>
        <w:pStyle w:val="9"/>
        <w:spacing w:before="23"/>
        <w:ind w:left="0"/>
        <w:jc w:val="left"/>
        <w:rPr>
          <w:rFonts w:hint="eastAsia"/>
        </w:rPr>
      </w:pPr>
    </w:p>
    <w:p w14:paraId="7F328D99">
      <w:pPr>
        <w:pStyle w:val="9"/>
        <w:spacing w:before="23"/>
        <w:ind w:left="0"/>
        <w:jc w:val="left"/>
        <w:rPr>
          <w:rFonts w:hint="eastAsia"/>
        </w:rPr>
      </w:pPr>
      <w:r>
        <w:rPr>
          <w:rFonts w:hint="eastAsia"/>
        </w:rPr>
        <w:t>On this score, some interpreters argue that he means “this race of unbelieving Jews.”</w:t>
      </w:r>
    </w:p>
    <w:p w14:paraId="2A38D4A4">
      <w:pPr>
        <w:pStyle w:val="9"/>
        <w:spacing w:before="23"/>
        <w:ind w:left="0"/>
        <w:jc w:val="left"/>
        <w:rPr>
          <w:rFonts w:hint="eastAsia"/>
        </w:rPr>
      </w:pPr>
      <w:r>
        <w:rPr>
          <w:rFonts w:hint="eastAsia"/>
        </w:rPr>
        <w:t>在这一点上，一些解释者认为祂的意思是“这不信的犹太民族”。</w:t>
      </w:r>
    </w:p>
    <w:p w14:paraId="3D38CCB2">
      <w:pPr>
        <w:pStyle w:val="9"/>
        <w:spacing w:before="23"/>
        <w:ind w:left="0"/>
        <w:jc w:val="left"/>
        <w:rPr>
          <w:rFonts w:hint="eastAsia"/>
        </w:rPr>
      </w:pPr>
    </w:p>
    <w:p w14:paraId="19C96577">
      <w:pPr>
        <w:pStyle w:val="9"/>
        <w:spacing w:before="23"/>
        <w:ind w:left="0"/>
        <w:jc w:val="left"/>
        <w:rPr>
          <w:rFonts w:hint="eastAsia"/>
        </w:rPr>
      </w:pPr>
      <w:r>
        <w:rPr>
          <w:rFonts w:hint="eastAsia"/>
        </w:rPr>
        <w:t>Others say he is referring to unbelieving humanity as a whole, of which the wicked, evil, adulterous, faithless, and perverse generation of Jesus’ Jewish contemporaries stands as a type (Mt. 12:39, 45, 17:17).</w:t>
      </w:r>
    </w:p>
    <w:p w14:paraId="622EC1BF">
      <w:pPr>
        <w:pStyle w:val="9"/>
        <w:spacing w:before="23"/>
        <w:ind w:left="0"/>
        <w:jc w:val="left"/>
        <w:rPr>
          <w:rFonts w:hint="eastAsia"/>
        </w:rPr>
      </w:pPr>
      <w:r>
        <w:rPr>
          <w:rFonts w:hint="eastAsia"/>
        </w:rPr>
        <w:t>另一些人说，祂指的是整个不信的人类，其中耶稣的犹太同时代人那邪恶、淫乱、不信、悖谬的世代是一个预表（太12:39, 45, 17:17）。</w:t>
      </w:r>
    </w:p>
    <w:p w14:paraId="3D946593">
      <w:pPr>
        <w:pStyle w:val="9"/>
        <w:spacing w:before="23"/>
        <w:ind w:left="0"/>
        <w:jc w:val="left"/>
        <w:rPr>
          <w:rFonts w:hint="eastAsia"/>
        </w:rPr>
      </w:pPr>
    </w:p>
    <w:p w14:paraId="56EA69F4">
      <w:pPr>
        <w:pStyle w:val="9"/>
        <w:spacing w:before="23"/>
        <w:ind w:left="0"/>
        <w:jc w:val="left"/>
        <w:rPr>
          <w:rFonts w:hint="eastAsia"/>
        </w:rPr>
      </w:pPr>
      <w:r>
        <w:rPr>
          <w:rFonts w:hint="eastAsia"/>
        </w:rPr>
        <w:t>Still others suggest that he is referring to the whole human race: the beloved, sinful, but eminently redeemable “generation” of Adam and Eve.</w:t>
      </w:r>
    </w:p>
    <w:p w14:paraId="62F23CD5">
      <w:pPr>
        <w:pStyle w:val="9"/>
        <w:spacing w:before="23"/>
        <w:ind w:left="0"/>
        <w:jc w:val="left"/>
        <w:rPr>
          <w:rFonts w:hint="eastAsia"/>
        </w:rPr>
      </w:pPr>
      <w:r>
        <w:rPr>
          <w:rFonts w:hint="eastAsia"/>
        </w:rPr>
        <w:t>还有一些人认为，祂指的是整个人类：亚当和夏娃那蒙爱、有罪但极可救赎的“世代”。</w:t>
      </w:r>
    </w:p>
    <w:p w14:paraId="52D225DA">
      <w:pPr>
        <w:pStyle w:val="9"/>
        <w:spacing w:before="23"/>
        <w:ind w:left="0"/>
        <w:jc w:val="left"/>
        <w:rPr>
          <w:rFonts w:hint="eastAsia"/>
        </w:rPr>
      </w:pPr>
    </w:p>
    <w:p w14:paraId="4E9E5FAE">
      <w:pPr>
        <w:pStyle w:val="9"/>
        <w:spacing w:before="23"/>
        <w:ind w:left="0"/>
        <w:jc w:val="left"/>
        <w:rPr>
          <w:rFonts w:hint="eastAsia"/>
        </w:rPr>
      </w:pPr>
      <w:r>
        <w:rPr>
          <w:rFonts w:hint="eastAsia"/>
        </w:rPr>
        <w:t>Given the Lord’s global and cosmic perspective in this passage, I favor the latter view.</w:t>
      </w:r>
    </w:p>
    <w:p w14:paraId="2989657F">
      <w:pPr>
        <w:pStyle w:val="9"/>
        <w:spacing w:before="23"/>
        <w:ind w:left="0"/>
        <w:jc w:val="left"/>
        <w:rPr>
          <w:rFonts w:hint="eastAsia"/>
        </w:rPr>
      </w:pPr>
      <w:r>
        <w:rPr>
          <w:rFonts w:hint="eastAsia"/>
        </w:rPr>
        <w:t>鉴于主在这段经文中的全球性和宇宙性视角，我偏爱后一种观点。</w:t>
      </w:r>
    </w:p>
    <w:p w14:paraId="045D8D6B">
      <w:pPr>
        <w:pStyle w:val="9"/>
        <w:spacing w:before="23"/>
        <w:ind w:left="0"/>
        <w:jc w:val="left"/>
        <w:rPr>
          <w:rFonts w:hint="eastAsia"/>
        </w:rPr>
      </w:pPr>
    </w:p>
    <w:p w14:paraId="2C7B3CB0">
      <w:pPr>
        <w:pStyle w:val="9"/>
        <w:spacing w:before="23"/>
        <w:ind w:left="0"/>
        <w:jc w:val="left"/>
        <w:rPr>
          <w:rFonts w:hint="eastAsia"/>
        </w:rPr>
      </w:pPr>
      <w:r>
        <w:rPr>
          <w:rFonts w:hint="eastAsia"/>
        </w:rPr>
        <w:t>In any case, the practical thrust of the saying is clear, and made explicit in verse 35: As surely as his words will never pass away, so surely will all these things be fulfilled—and then the end will come.8</w:t>
      </w:r>
    </w:p>
    <w:p w14:paraId="2B02877C">
      <w:pPr>
        <w:pStyle w:val="9"/>
        <w:spacing w:before="23"/>
        <w:ind w:left="0"/>
        <w:jc w:val="left"/>
        <w:rPr>
          <w:rFonts w:hint="eastAsia"/>
        </w:rPr>
      </w:pPr>
      <w:r>
        <w:rPr>
          <w:rFonts w:hint="eastAsia"/>
        </w:rPr>
        <w:t>无论如何，这番话的实际主旨是清楚的，并在第35节中得到了明确的说明：正如祂的话绝不会废去，这些事也必将成就——然后末期才会来到。8</w:t>
      </w:r>
    </w:p>
    <w:p w14:paraId="450997A8">
      <w:pPr>
        <w:pStyle w:val="9"/>
        <w:spacing w:before="23"/>
        <w:ind w:left="0"/>
        <w:jc w:val="left"/>
        <w:rPr>
          <w:rFonts w:hint="eastAsia"/>
        </w:rPr>
      </w:pPr>
    </w:p>
    <w:p w14:paraId="7C320353">
      <w:pPr>
        <w:pStyle w:val="9"/>
        <w:spacing w:before="23"/>
        <w:ind w:left="0"/>
        <w:jc w:val="left"/>
        <w:rPr>
          <w:rFonts w:hint="eastAsia"/>
        </w:rPr>
      </w:pPr>
      <w:r>
        <w:rPr>
          <w:rFonts w:hint="eastAsia"/>
        </w:rPr>
        <w:t>Amidst all their tribulations, the saints must reckon it to be so, and take heart.</w:t>
      </w:r>
    </w:p>
    <w:p w14:paraId="32D0BEE2">
      <w:pPr>
        <w:pStyle w:val="9"/>
        <w:spacing w:before="23"/>
        <w:ind w:left="0"/>
        <w:jc w:val="left"/>
        <w:rPr>
          <w:rFonts w:hint="eastAsia"/>
        </w:rPr>
      </w:pPr>
      <w:r>
        <w:rPr>
          <w:rFonts w:hint="eastAsia"/>
        </w:rPr>
        <w:t>在他们所有的患难中，圣徒们必须如此看待，并鼓起勇气。</w:t>
      </w:r>
    </w:p>
    <w:p w14:paraId="5E1B2400">
      <w:pPr>
        <w:pStyle w:val="9"/>
        <w:spacing w:before="23"/>
        <w:ind w:left="0"/>
        <w:jc w:val="left"/>
        <w:rPr>
          <w:rFonts w:hint="eastAsia"/>
        </w:rPr>
      </w:pPr>
    </w:p>
    <w:p w14:paraId="17C12367">
      <w:pPr>
        <w:pStyle w:val="9"/>
        <w:spacing w:before="23"/>
        <w:ind w:left="0"/>
        <w:jc w:val="left"/>
        <w:rPr>
          <w:rFonts w:hint="eastAsia"/>
        </w:rPr>
      </w:pPr>
      <w:r>
        <w:rPr>
          <w:rFonts w:hint="eastAsia"/>
        </w:rPr>
        <w:t>A Day Unknown and Unexpected (36-44; Luke 17:26-27)</w:t>
      </w:r>
    </w:p>
    <w:p w14:paraId="158FE33C">
      <w:pPr>
        <w:pStyle w:val="9"/>
        <w:spacing w:before="23"/>
        <w:ind w:left="0"/>
        <w:jc w:val="left"/>
        <w:rPr>
          <w:rFonts w:hint="eastAsia"/>
        </w:rPr>
      </w:pPr>
      <w:r>
        <w:rPr>
          <w:rFonts w:hint="eastAsia"/>
        </w:rPr>
        <w:t>一个未知且意想不到的日子（36-44；路17:26-27）</w:t>
      </w:r>
    </w:p>
    <w:p w14:paraId="57A85F7E">
      <w:pPr>
        <w:pStyle w:val="9"/>
        <w:spacing w:before="23"/>
        <w:ind w:left="0"/>
        <w:jc w:val="left"/>
        <w:rPr>
          <w:rFonts w:hint="eastAsia"/>
        </w:rPr>
      </w:pPr>
    </w:p>
    <w:p w14:paraId="6A104637">
      <w:pPr>
        <w:pStyle w:val="9"/>
        <w:spacing w:before="23"/>
        <w:ind w:left="0"/>
        <w:jc w:val="left"/>
        <w:rPr>
          <w:rFonts w:hint="eastAsia"/>
        </w:rPr>
      </w:pPr>
      <w:r>
        <w:rPr>
          <w:rFonts w:hint="eastAsia"/>
        </w:rPr>
        <w:t>Here, the exhortations begin.</w:t>
      </w:r>
    </w:p>
    <w:p w14:paraId="161CF10C">
      <w:pPr>
        <w:pStyle w:val="9"/>
        <w:spacing w:before="23"/>
        <w:ind w:left="0"/>
        <w:jc w:val="left"/>
        <w:rPr>
          <w:rFonts w:hint="eastAsia"/>
        </w:rPr>
      </w:pPr>
      <w:r>
        <w:rPr>
          <w:rFonts w:hint="eastAsia"/>
        </w:rPr>
        <w:t>在这里，劝勉开始了。</w:t>
      </w:r>
    </w:p>
    <w:p w14:paraId="570EE5D4">
      <w:pPr>
        <w:pStyle w:val="9"/>
        <w:spacing w:before="23"/>
        <w:ind w:left="0"/>
        <w:jc w:val="left"/>
        <w:rPr>
          <w:rFonts w:hint="eastAsia"/>
        </w:rPr>
      </w:pPr>
    </w:p>
    <w:p w14:paraId="3DED121E">
      <w:pPr>
        <w:pStyle w:val="9"/>
        <w:spacing w:before="23"/>
        <w:ind w:left="0"/>
        <w:jc w:val="left"/>
        <w:rPr>
          <w:rFonts w:hint="eastAsia"/>
        </w:rPr>
      </w:pPr>
      <w:r>
        <w:rPr>
          <w:rFonts w:hint="eastAsia"/>
        </w:rPr>
        <w:t>In essence, they come to this: Stay awake (24:36-25:13) and stay busy (25:14-30)!</w:t>
      </w:r>
    </w:p>
    <w:p w14:paraId="16741D7B">
      <w:pPr>
        <w:pStyle w:val="9"/>
        <w:spacing w:before="23"/>
        <w:ind w:left="0"/>
        <w:jc w:val="left"/>
        <w:rPr>
          <w:rFonts w:hint="eastAsia"/>
        </w:rPr>
      </w:pPr>
      <w:r>
        <w:rPr>
          <w:rFonts w:hint="eastAsia"/>
        </w:rPr>
        <w:t>本质上，它们归结为：要警醒（24:36-25:13）和要殷勤（25:14-30）！</w:t>
      </w:r>
    </w:p>
    <w:p w14:paraId="647C7A3B">
      <w:pPr>
        <w:pStyle w:val="9"/>
        <w:spacing w:before="23"/>
        <w:ind w:left="0"/>
        <w:jc w:val="left"/>
        <w:rPr>
          <w:rFonts w:hint="eastAsia"/>
        </w:rPr>
      </w:pPr>
    </w:p>
    <w:p w14:paraId="3D315D7E">
      <w:pPr>
        <w:pStyle w:val="9"/>
        <w:spacing w:before="23"/>
        <w:ind w:left="0"/>
        <w:jc w:val="left"/>
        <w:rPr>
          <w:rFonts w:hint="eastAsia"/>
        </w:rPr>
      </w:pPr>
      <w:r>
        <w:rPr>
          <w:rFonts w:hint="eastAsia"/>
        </w:rPr>
        <w:t>In this section, the emphasis is on staying awake.</w:t>
      </w:r>
    </w:p>
    <w:p w14:paraId="41FEEF17">
      <w:pPr>
        <w:pStyle w:val="9"/>
        <w:spacing w:before="23"/>
        <w:ind w:left="0"/>
        <w:jc w:val="left"/>
        <w:rPr>
          <w:rFonts w:hint="eastAsia"/>
        </w:rPr>
      </w:pPr>
      <w:r>
        <w:rPr>
          <w:rFonts w:hint="eastAsia"/>
        </w:rPr>
        <w:t>在这一部分，重点是保持警醒。</w:t>
      </w:r>
    </w:p>
    <w:p w14:paraId="0E4D4A68">
      <w:pPr>
        <w:pStyle w:val="9"/>
        <w:spacing w:before="23"/>
        <w:ind w:left="0"/>
        <w:jc w:val="left"/>
        <w:rPr>
          <w:rFonts w:hint="eastAsia"/>
        </w:rPr>
      </w:pPr>
    </w:p>
    <w:p w14:paraId="258C5BE9">
      <w:pPr>
        <w:pStyle w:val="9"/>
        <w:spacing w:before="23"/>
        <w:ind w:left="0"/>
        <w:jc w:val="left"/>
        <w:rPr>
          <w:rFonts w:hint="eastAsia"/>
        </w:rPr>
      </w:pPr>
      <w:r>
        <w:rPr>
          <w:rFonts w:hint="eastAsia"/>
        </w:rPr>
        <w:t>Why must the disciples always keep alert?</w:t>
      </w:r>
    </w:p>
    <w:p w14:paraId="1A08AF7B">
      <w:pPr>
        <w:pStyle w:val="9"/>
        <w:spacing w:before="23"/>
        <w:ind w:left="0"/>
        <w:jc w:val="left"/>
        <w:rPr>
          <w:rFonts w:hint="eastAsia"/>
        </w:rPr>
      </w:pPr>
      <w:r>
        <w:rPr>
          <w:rFonts w:hint="eastAsia"/>
        </w:rPr>
        <w:t>为何门徒们必须时刻保持警醒？</w:t>
      </w:r>
    </w:p>
    <w:p w14:paraId="20F194CF">
      <w:pPr>
        <w:pStyle w:val="9"/>
        <w:spacing w:before="23"/>
        <w:ind w:left="0"/>
        <w:jc w:val="left"/>
        <w:rPr>
          <w:rFonts w:hint="eastAsia"/>
        </w:rPr>
      </w:pPr>
    </w:p>
    <w:p w14:paraId="3B4130AE">
      <w:pPr>
        <w:pStyle w:val="9"/>
        <w:spacing w:before="23"/>
        <w:ind w:left="0"/>
        <w:jc w:val="left"/>
        <w:rPr>
          <w:rFonts w:hint="eastAsia"/>
        </w:rPr>
      </w:pPr>
      <w:r>
        <w:rPr>
          <w:rFonts w:hint="eastAsia"/>
        </w:rPr>
        <w:t>Jesus gives us two main reasons.</w:t>
      </w:r>
    </w:p>
    <w:p w14:paraId="5B1C467C">
      <w:pPr>
        <w:pStyle w:val="9"/>
        <w:spacing w:before="23"/>
        <w:ind w:left="0"/>
        <w:jc w:val="left"/>
        <w:rPr>
          <w:rFonts w:hint="eastAsia"/>
        </w:rPr>
      </w:pPr>
      <w:r>
        <w:rPr>
          <w:rFonts w:hint="eastAsia"/>
        </w:rPr>
        <w:t>耶稣给了我们两个主要原因。</w:t>
      </w:r>
    </w:p>
    <w:p w14:paraId="25105BC8">
      <w:pPr>
        <w:pStyle w:val="9"/>
        <w:spacing w:before="23"/>
        <w:ind w:left="0"/>
        <w:jc w:val="left"/>
        <w:rPr>
          <w:rFonts w:hint="eastAsia"/>
        </w:rPr>
      </w:pPr>
    </w:p>
    <w:p w14:paraId="5676782E">
      <w:pPr>
        <w:pStyle w:val="9"/>
        <w:spacing w:before="23"/>
        <w:ind w:left="0"/>
        <w:jc w:val="left"/>
        <w:rPr>
          <w:rFonts w:hint="eastAsia"/>
        </w:rPr>
      </w:pPr>
      <w:r>
        <w:rPr>
          <w:rFonts w:hint="eastAsia"/>
        </w:rPr>
        <w:t>First, no one—not even the Son himself (at least in the state of his humiliation)—knows the day or hour of his Parousia (36).</w:t>
      </w:r>
    </w:p>
    <w:p w14:paraId="17327DE2">
      <w:pPr>
        <w:pStyle w:val="9"/>
        <w:spacing w:before="23"/>
        <w:ind w:left="0"/>
        <w:jc w:val="left"/>
        <w:rPr>
          <w:rFonts w:hint="eastAsia"/>
        </w:rPr>
      </w:pPr>
      <w:r>
        <w:rPr>
          <w:rFonts w:hint="eastAsia"/>
        </w:rPr>
        <w:t>首先，没有人——甚至子祂自己（至少在祂降卑的状态下）——知道祂主临（Parousia）的日子或时辰（36）。</w:t>
      </w:r>
    </w:p>
    <w:p w14:paraId="5AD7E66D">
      <w:pPr>
        <w:pStyle w:val="9"/>
        <w:spacing w:before="23"/>
        <w:ind w:left="0"/>
        <w:jc w:val="left"/>
        <w:rPr>
          <w:rFonts w:hint="eastAsia"/>
        </w:rPr>
      </w:pPr>
    </w:p>
    <w:p w14:paraId="4819A42C">
      <w:pPr>
        <w:pStyle w:val="9"/>
        <w:spacing w:before="23"/>
        <w:ind w:left="0"/>
        <w:jc w:val="left"/>
        <w:rPr>
          <w:rFonts w:hint="eastAsia"/>
        </w:rPr>
      </w:pPr>
      <w:r>
        <w:rPr>
          <w:rFonts w:hint="eastAsia"/>
        </w:rPr>
        <w:t>By God’s good decree, the saints do not know the exact time of his coming, in order that they may be ready at all times for his coming.</w:t>
      </w:r>
    </w:p>
    <w:p w14:paraId="158F355E">
      <w:pPr>
        <w:pStyle w:val="9"/>
        <w:spacing w:before="23"/>
        <w:ind w:left="0"/>
        <w:jc w:val="left"/>
        <w:rPr>
          <w:rFonts w:hint="eastAsia"/>
        </w:rPr>
      </w:pPr>
      <w:r>
        <w:rPr>
          <w:rFonts w:hint="eastAsia"/>
        </w:rPr>
        <w:t>按照上帝美好的谕令，圣徒们不知道祂降临的确切时间，为要使他们可以时刻预备好祂的降临。</w:t>
      </w:r>
    </w:p>
    <w:p w14:paraId="5A03F73F">
      <w:pPr>
        <w:pStyle w:val="9"/>
        <w:spacing w:before="23"/>
        <w:ind w:left="0"/>
        <w:jc w:val="left"/>
        <w:rPr>
          <w:rFonts w:hint="eastAsia"/>
        </w:rPr>
      </w:pPr>
    </w:p>
    <w:p w14:paraId="4AF919D3">
      <w:pPr>
        <w:pStyle w:val="9"/>
        <w:spacing w:before="23"/>
        <w:ind w:left="0"/>
        <w:jc w:val="left"/>
        <w:rPr>
          <w:rFonts w:hint="eastAsia"/>
        </w:rPr>
      </w:pPr>
      <w:r>
        <w:rPr>
          <w:rFonts w:hint="eastAsia"/>
        </w:rPr>
        <w:t>Secondly, as it was prior to the Flood, so it will be prior to the Parousia: People will be spiritually asleep, conducting business as usual, unaware of the disaster that is at the door (37-42).</w:t>
      </w:r>
    </w:p>
    <w:p w14:paraId="2AE3CD74">
      <w:pPr>
        <w:pStyle w:val="9"/>
        <w:spacing w:before="23"/>
        <w:ind w:left="0"/>
        <w:jc w:val="left"/>
        <w:rPr>
          <w:rFonts w:hint="eastAsia"/>
        </w:rPr>
      </w:pPr>
      <w:r>
        <w:rPr>
          <w:rFonts w:hint="eastAsia"/>
        </w:rPr>
        <w:t>其次，挪亚的日子怎样，人子降临也要怎样：人们将属灵地沉睡，照常行事，不知道灾难就在门口（37-42）。</w:t>
      </w:r>
    </w:p>
    <w:p w14:paraId="4FDA6B64">
      <w:pPr>
        <w:pStyle w:val="9"/>
        <w:spacing w:before="23"/>
        <w:ind w:left="0"/>
        <w:jc w:val="left"/>
        <w:rPr>
          <w:rFonts w:hint="eastAsia"/>
        </w:rPr>
      </w:pPr>
    </w:p>
    <w:p w14:paraId="348E5EFD">
      <w:pPr>
        <w:pStyle w:val="9"/>
        <w:spacing w:before="23"/>
        <w:ind w:left="0"/>
        <w:jc w:val="left"/>
        <w:rPr>
          <w:rFonts w:hint="eastAsia"/>
        </w:rPr>
      </w:pPr>
      <w:r>
        <w:rPr>
          <w:rFonts w:hint="eastAsia"/>
        </w:rPr>
        <w:t>In such an environment, it will be all too easy for believers to slumber as well (Luke 18:8).</w:t>
      </w:r>
    </w:p>
    <w:p w14:paraId="3C1E6E61">
      <w:pPr>
        <w:pStyle w:val="9"/>
        <w:spacing w:before="23"/>
        <w:ind w:left="0"/>
        <w:jc w:val="left"/>
        <w:rPr>
          <w:rFonts w:hint="eastAsia"/>
        </w:rPr>
      </w:pPr>
      <w:r>
        <w:rPr>
          <w:rFonts w:hint="eastAsia"/>
        </w:rPr>
        <w:t>在这样的环境中，信徒也很容易打盹（路加福音18:8）。</w:t>
      </w:r>
    </w:p>
    <w:p w14:paraId="1F36E1AC">
      <w:pPr>
        <w:pStyle w:val="9"/>
        <w:spacing w:before="23"/>
        <w:ind w:left="0"/>
        <w:jc w:val="left"/>
        <w:rPr>
          <w:rFonts w:hint="eastAsia"/>
        </w:rPr>
      </w:pPr>
    </w:p>
    <w:p w14:paraId="29A429CF">
      <w:pPr>
        <w:pStyle w:val="9"/>
        <w:spacing w:before="23"/>
        <w:ind w:left="0"/>
        <w:jc w:val="left"/>
        <w:rPr>
          <w:rFonts w:hint="eastAsia"/>
        </w:rPr>
      </w:pPr>
      <w:r>
        <w:rPr>
          <w:rFonts w:hint="eastAsia"/>
        </w:rPr>
        <w:t>Ominously, the Lord warns that if certain people had known the hour of his coming, they would have prepared themselves, so destructive were the results of that visitation.</w:t>
      </w:r>
    </w:p>
    <w:p w14:paraId="2E5BE4AC">
      <w:pPr>
        <w:pStyle w:val="9"/>
        <w:spacing w:before="23"/>
        <w:ind w:left="0"/>
        <w:jc w:val="left"/>
        <w:rPr>
          <w:rFonts w:hint="eastAsia"/>
        </w:rPr>
      </w:pPr>
      <w:r>
        <w:rPr>
          <w:rFonts w:hint="eastAsia"/>
        </w:rPr>
        <w:t>主不祥地警告说，如果某些人知道祂降临的时辰，他们就会预备好自己，因为那次临到的结果是如此具有毁灭性。</w:t>
      </w:r>
    </w:p>
    <w:p w14:paraId="48C47E3A">
      <w:pPr>
        <w:pStyle w:val="9"/>
        <w:spacing w:before="23"/>
        <w:ind w:left="0"/>
        <w:jc w:val="left"/>
        <w:rPr>
          <w:rFonts w:hint="eastAsia"/>
        </w:rPr>
      </w:pPr>
    </w:p>
    <w:p w14:paraId="78500005">
      <w:pPr>
        <w:pStyle w:val="9"/>
        <w:spacing w:before="23"/>
        <w:ind w:left="0"/>
        <w:jc w:val="left"/>
        <w:rPr>
          <w:rFonts w:hint="eastAsia"/>
        </w:rPr>
      </w:pPr>
      <w:r>
        <w:rPr>
          <w:rFonts w:hint="eastAsia"/>
        </w:rPr>
        <w:t>Let no saint be among them; let every saint stay on the alert (43-44).</w:t>
      </w:r>
    </w:p>
    <w:p w14:paraId="56F33373">
      <w:pPr>
        <w:pStyle w:val="9"/>
        <w:spacing w:before="23"/>
        <w:ind w:left="0"/>
        <w:jc w:val="left"/>
        <w:rPr>
          <w:rFonts w:hint="eastAsia"/>
        </w:rPr>
      </w:pPr>
      <w:r>
        <w:rPr>
          <w:rFonts w:hint="eastAsia"/>
        </w:rPr>
        <w:t>愿没有圣徒在他们中间；愿每一位圣徒都保持警醒（43-44）。</w:t>
      </w:r>
    </w:p>
    <w:p w14:paraId="15FACD7E">
      <w:pPr>
        <w:pStyle w:val="9"/>
        <w:spacing w:before="23"/>
        <w:ind w:left="0"/>
        <w:jc w:val="left"/>
        <w:rPr>
          <w:rFonts w:hint="eastAsia"/>
        </w:rPr>
      </w:pPr>
    </w:p>
    <w:p w14:paraId="192A0288">
      <w:pPr>
        <w:pStyle w:val="9"/>
        <w:spacing w:before="23"/>
        <w:ind w:left="0"/>
        <w:jc w:val="left"/>
        <w:rPr>
          <w:rFonts w:hint="eastAsia"/>
        </w:rPr>
      </w:pPr>
      <w:r>
        <w:rPr>
          <w:rFonts w:hint="eastAsia"/>
        </w:rPr>
        <w:t>Three Parables of the Judgment (24:45-25:30)</w:t>
      </w:r>
    </w:p>
    <w:p w14:paraId="4BC0092F">
      <w:pPr>
        <w:pStyle w:val="9"/>
        <w:spacing w:before="23"/>
        <w:ind w:left="0"/>
        <w:jc w:val="left"/>
        <w:rPr>
          <w:rFonts w:hint="eastAsia"/>
        </w:rPr>
      </w:pPr>
      <w:r>
        <w:rPr>
          <w:rFonts w:hint="eastAsia"/>
        </w:rPr>
        <w:t>三个关于审判的比喻（24:45-25:30）</w:t>
      </w:r>
    </w:p>
    <w:p w14:paraId="5524DC58">
      <w:pPr>
        <w:pStyle w:val="9"/>
        <w:spacing w:before="23"/>
        <w:ind w:left="0"/>
        <w:jc w:val="left"/>
        <w:rPr>
          <w:rFonts w:hint="eastAsia"/>
        </w:rPr>
      </w:pPr>
    </w:p>
    <w:p w14:paraId="58721EB4">
      <w:pPr>
        <w:pStyle w:val="9"/>
        <w:spacing w:before="23"/>
        <w:ind w:left="0"/>
        <w:jc w:val="left"/>
        <w:rPr>
          <w:rFonts w:hint="eastAsia"/>
        </w:rPr>
      </w:pPr>
      <w:r>
        <w:rPr>
          <w:rFonts w:hint="eastAsia"/>
        </w:rPr>
        <w:t>Jesus’ exhortations continue in the form of three parables focusing on the Last Judgment: the Parable of the Servants (24:45-51; Luke 12:42-46), the Parable of the Ten Virgins (25:1-12), and the Parable of the Talents (25:14-30; Luke 19:12-27).</w:t>
      </w:r>
    </w:p>
    <w:p w14:paraId="1FBBC154">
      <w:pPr>
        <w:pStyle w:val="9"/>
        <w:spacing w:before="23"/>
        <w:ind w:left="0"/>
        <w:jc w:val="left"/>
        <w:rPr>
          <w:rFonts w:hint="eastAsia"/>
        </w:rPr>
      </w:pPr>
      <w:r>
        <w:rPr>
          <w:rFonts w:hint="eastAsia"/>
        </w:rPr>
        <w:t>耶稣的劝勉以三个聚焦于最后审判的比喻形式继续：仆人的比喻（24:45-51；路12:42-46），十个童女的比喻（25:1-12），和才干的比喻（25:14-30；路19:12-27）。</w:t>
      </w:r>
    </w:p>
    <w:p w14:paraId="15A43558">
      <w:pPr>
        <w:pStyle w:val="9"/>
        <w:spacing w:before="23"/>
        <w:ind w:left="0"/>
        <w:jc w:val="left"/>
        <w:rPr>
          <w:rFonts w:hint="eastAsia"/>
        </w:rPr>
      </w:pPr>
    </w:p>
    <w:p w14:paraId="4FFEBD2F">
      <w:pPr>
        <w:pStyle w:val="9"/>
        <w:spacing w:before="23"/>
        <w:ind w:left="0"/>
        <w:jc w:val="left"/>
        <w:rPr>
          <w:rFonts w:hint="eastAsia"/>
        </w:rPr>
      </w:pPr>
      <w:r>
        <w:rPr>
          <w:rFonts w:hint="eastAsia"/>
        </w:rPr>
        <w:t>Very importantly, all three clearly reveal his underlying assumptions about the structure of the Kingdom and the Consummation.</w:t>
      </w:r>
    </w:p>
    <w:p w14:paraId="0C082C07">
      <w:pPr>
        <w:pStyle w:val="9"/>
        <w:spacing w:before="23"/>
        <w:ind w:left="0"/>
        <w:jc w:val="left"/>
        <w:rPr>
          <w:rFonts w:hint="eastAsia"/>
        </w:rPr>
      </w:pPr>
      <w:r>
        <w:rPr>
          <w:rFonts w:hint="eastAsia"/>
        </w:rPr>
        <w:t>非常重要的是，这三个比喻都清楚地揭示了祂对国度和最终成全结构的基本假设。</w:t>
      </w:r>
    </w:p>
    <w:p w14:paraId="4B61294F">
      <w:pPr>
        <w:pStyle w:val="9"/>
        <w:spacing w:before="23"/>
        <w:ind w:left="0"/>
        <w:jc w:val="left"/>
        <w:rPr>
          <w:rFonts w:hint="eastAsia"/>
        </w:rPr>
      </w:pPr>
    </w:p>
    <w:p w14:paraId="5F860756">
      <w:pPr>
        <w:pStyle w:val="9"/>
        <w:spacing w:before="23"/>
        <w:ind w:left="0"/>
        <w:jc w:val="left"/>
        <w:rPr>
          <w:rFonts w:hint="eastAsia"/>
        </w:rPr>
      </w:pPr>
      <w:r>
        <w:rPr>
          <w:rFonts w:hint="eastAsia"/>
        </w:rPr>
        <w:t>Soon, via Calvary, the Master, Bridegroom, and King of his people will journey to the far country of heaven (25:14; Luke 19:12, 20:9).</w:t>
      </w:r>
    </w:p>
    <w:p w14:paraId="2E8892E7">
      <w:pPr>
        <w:pStyle w:val="9"/>
        <w:spacing w:before="23"/>
        <w:ind w:left="0"/>
        <w:jc w:val="left"/>
        <w:rPr>
          <w:rFonts w:hint="eastAsia"/>
        </w:rPr>
      </w:pPr>
      <w:r>
        <w:rPr>
          <w:rFonts w:hint="eastAsia"/>
        </w:rPr>
        <w:t>不久，通过加略山，祂子民的主人、新郎和君王将远行到天上的远方（25:14；路19:12, 20:9）。</w:t>
      </w:r>
    </w:p>
    <w:p w14:paraId="48D3AD2A">
      <w:pPr>
        <w:pStyle w:val="9"/>
        <w:spacing w:before="23"/>
        <w:ind w:left="0"/>
        <w:jc w:val="left"/>
        <w:rPr>
          <w:rFonts w:hint="eastAsia"/>
        </w:rPr>
      </w:pPr>
    </w:p>
    <w:p w14:paraId="6A092CF5">
      <w:pPr>
        <w:pStyle w:val="9"/>
        <w:spacing w:before="23"/>
        <w:ind w:left="0"/>
        <w:jc w:val="left"/>
        <w:rPr>
          <w:rFonts w:hint="eastAsia"/>
        </w:rPr>
      </w:pPr>
      <w:r>
        <w:rPr>
          <w:rFonts w:hint="eastAsia"/>
        </w:rPr>
        <w:t>Once there, he will be delayed for a long time (24:48, 25:5,19).</w:t>
      </w:r>
    </w:p>
    <w:p w14:paraId="003DFFDE">
      <w:pPr>
        <w:pStyle w:val="9"/>
        <w:spacing w:before="23"/>
        <w:ind w:left="0"/>
        <w:jc w:val="left"/>
        <w:rPr>
          <w:rFonts w:hint="eastAsia"/>
        </w:rPr>
      </w:pPr>
      <w:r>
        <w:rPr>
          <w:rFonts w:hint="eastAsia"/>
        </w:rPr>
        <w:t>一旦到了那里，祂将耽延很久（24:48, 25:5,19）。</w:t>
      </w:r>
    </w:p>
    <w:p w14:paraId="4D0A0204">
      <w:pPr>
        <w:pStyle w:val="9"/>
        <w:spacing w:before="23"/>
        <w:ind w:left="0"/>
        <w:jc w:val="left"/>
        <w:rPr>
          <w:rFonts w:hint="eastAsia"/>
        </w:rPr>
      </w:pPr>
    </w:p>
    <w:p w14:paraId="1CA6748D">
      <w:pPr>
        <w:pStyle w:val="9"/>
        <w:spacing w:before="23"/>
        <w:ind w:left="0"/>
        <w:jc w:val="left"/>
        <w:rPr>
          <w:rFonts w:hint="eastAsia"/>
        </w:rPr>
      </w:pPr>
      <w:r>
        <w:rPr>
          <w:rFonts w:hint="eastAsia"/>
        </w:rPr>
        <w:t>Though necessary, this delay is dangerous, exposing his followers on earth to various temptations.</w:t>
      </w:r>
    </w:p>
    <w:p w14:paraId="1D530182">
      <w:pPr>
        <w:pStyle w:val="9"/>
        <w:spacing w:before="23"/>
        <w:ind w:left="0"/>
        <w:jc w:val="left"/>
        <w:rPr>
          <w:rFonts w:hint="eastAsia"/>
        </w:rPr>
      </w:pPr>
      <w:r>
        <w:rPr>
          <w:rFonts w:hint="eastAsia"/>
        </w:rPr>
        <w:t>虽然是必要的，但这种耽延是危险的，使祂在地上的跟随者面临各种试探。</w:t>
      </w:r>
    </w:p>
    <w:p w14:paraId="2B614FC8">
      <w:pPr>
        <w:pStyle w:val="9"/>
        <w:spacing w:before="23"/>
        <w:ind w:left="0"/>
        <w:jc w:val="left"/>
        <w:rPr>
          <w:rFonts w:hint="eastAsia"/>
        </w:rPr>
      </w:pPr>
    </w:p>
    <w:p w14:paraId="2045B666">
      <w:pPr>
        <w:pStyle w:val="9"/>
        <w:spacing w:before="23"/>
        <w:ind w:left="0"/>
        <w:jc w:val="left"/>
        <w:rPr>
          <w:rFonts w:hint="eastAsia"/>
        </w:rPr>
      </w:pPr>
      <w:r>
        <w:rPr>
          <w:rFonts w:hint="eastAsia"/>
        </w:rPr>
        <w:t>Therefore, let them always remember: In the end, he will return to settle accounts with those who call themselves his own.</w:t>
      </w:r>
    </w:p>
    <w:p w14:paraId="286FDBA8">
      <w:pPr>
        <w:pStyle w:val="9"/>
        <w:spacing w:before="23"/>
        <w:ind w:left="0"/>
        <w:jc w:val="left"/>
        <w:rPr>
          <w:rFonts w:hint="eastAsia"/>
        </w:rPr>
      </w:pPr>
      <w:r>
        <w:rPr>
          <w:rFonts w:hint="eastAsia"/>
        </w:rPr>
        <w:t>因此，让他们永远记住：最终，祂将回来与那些自称为属祂的人算账。</w:t>
      </w:r>
    </w:p>
    <w:p w14:paraId="342640BC">
      <w:pPr>
        <w:pStyle w:val="9"/>
        <w:spacing w:before="23"/>
        <w:ind w:left="0"/>
        <w:jc w:val="left"/>
        <w:rPr>
          <w:rFonts w:hint="eastAsia"/>
        </w:rPr>
      </w:pPr>
    </w:p>
    <w:p w14:paraId="4C2C3E5F">
      <w:pPr>
        <w:pStyle w:val="9"/>
        <w:spacing w:before="23"/>
        <w:ind w:left="0"/>
        <w:jc w:val="left"/>
        <w:rPr>
          <w:rFonts w:hint="eastAsia"/>
        </w:rPr>
      </w:pPr>
      <w:r>
        <w:rPr>
          <w:rFonts w:hint="eastAsia"/>
        </w:rPr>
        <w:t>When he does, he will richly reward the watchful, faithful, and diligent, welcoming them into his eternal Kingdom (25:34); but the foolish, wicked, and lazy he will judge, appointing them their proper portion in hell with the hypocrites and unbelievers (24:51, 25:41; Luke 12:46).</w:t>
      </w:r>
    </w:p>
    <w:p w14:paraId="155F850E">
      <w:pPr>
        <w:pStyle w:val="9"/>
        <w:spacing w:before="23"/>
        <w:ind w:left="0"/>
        <w:jc w:val="left"/>
        <w:rPr>
          <w:rFonts w:hint="eastAsia"/>
        </w:rPr>
      </w:pPr>
      <w:r>
        <w:rPr>
          <w:rFonts w:hint="eastAsia"/>
        </w:rPr>
        <w:t>当祂这样做时，祂将丰厚地赏赐那些警醒、忠心和殷勤的人，欢迎他们进入祂永恒的国度（25:34）；但那些愚拙、邪恶和懒惰的，祂将审判他们，指定他们在地狱里与假冒为善的和不信的人同分（24:51, 25:41；路12:46）。</w:t>
      </w:r>
    </w:p>
    <w:p w14:paraId="3BBA4498">
      <w:pPr>
        <w:pStyle w:val="9"/>
        <w:spacing w:before="23"/>
        <w:ind w:left="0"/>
        <w:jc w:val="left"/>
        <w:rPr>
          <w:rFonts w:hint="eastAsia"/>
        </w:rPr>
      </w:pPr>
    </w:p>
    <w:p w14:paraId="0022098D">
      <w:pPr>
        <w:pStyle w:val="9"/>
        <w:spacing w:before="23"/>
        <w:ind w:left="0"/>
        <w:jc w:val="left"/>
        <w:rPr>
          <w:rFonts w:hint="eastAsia"/>
        </w:rPr>
      </w:pPr>
      <w:r>
        <w:rPr>
          <w:rFonts w:hint="eastAsia"/>
        </w:rPr>
        <w:t>Thus, in all three parables Jesus shows that he presupposes a simple two-staged Kingdom, separated by a single Consummation at his Parousia.</w:t>
      </w:r>
    </w:p>
    <w:p w14:paraId="1FC83E69">
      <w:pPr>
        <w:pStyle w:val="9"/>
        <w:spacing w:before="23"/>
        <w:ind w:left="0"/>
        <w:jc w:val="left"/>
        <w:rPr>
          <w:rFonts w:hint="eastAsia"/>
        </w:rPr>
      </w:pPr>
      <w:r>
        <w:rPr>
          <w:rFonts w:hint="eastAsia"/>
        </w:rPr>
        <w:t>因此，在这三个比喻中，耶稣都表明祂预设了一个简单的两阶段国度，由祂主临（Parousia）时的一次单一的最终成全所分隔。</w:t>
      </w:r>
    </w:p>
    <w:p w14:paraId="569F6D95">
      <w:pPr>
        <w:pStyle w:val="9"/>
        <w:spacing w:before="23"/>
        <w:ind w:left="0"/>
        <w:jc w:val="left"/>
        <w:rPr>
          <w:rFonts w:hint="eastAsia"/>
        </w:rPr>
      </w:pPr>
    </w:p>
    <w:p w14:paraId="7872D61F">
      <w:pPr>
        <w:pStyle w:val="9"/>
        <w:spacing w:before="23"/>
        <w:ind w:left="0"/>
        <w:jc w:val="left"/>
        <w:rPr>
          <w:rFonts w:hint="eastAsia"/>
        </w:rPr>
      </w:pPr>
      <w:r>
        <w:rPr>
          <w:rFonts w:hint="eastAsia"/>
        </w:rPr>
        <w:t>He also shows how much he desires his disciples to remain alert and faithful, so that at his Coming—when the Resurrection and the Judgment occur at last—they may fully and finally enter into the joy of their Lord (25:21, 23)!</w:t>
      </w:r>
    </w:p>
    <w:p w14:paraId="6A06E37D">
      <w:pPr>
        <w:pStyle w:val="9"/>
        <w:spacing w:before="23"/>
        <w:ind w:left="0"/>
        <w:jc w:val="left"/>
        <w:rPr>
          <w:rFonts w:hint="eastAsia"/>
        </w:rPr>
      </w:pPr>
      <w:r>
        <w:rPr>
          <w:rFonts w:hint="eastAsia"/>
        </w:rPr>
        <w:t>祂也表明祂是多么渴望祂的门徒保持警醒和忠心，好叫在祂降临时——当复活和审判最终发生时——他们可以完全并最终地进入他们主的快乐里（25:21, 23）！</w:t>
      </w:r>
    </w:p>
    <w:p w14:paraId="206ED242">
      <w:pPr>
        <w:pStyle w:val="9"/>
        <w:spacing w:before="23"/>
        <w:ind w:left="0"/>
        <w:jc w:val="left"/>
        <w:rPr>
          <w:rFonts w:hint="eastAsia"/>
        </w:rPr>
      </w:pPr>
    </w:p>
    <w:p w14:paraId="00500EA1">
      <w:pPr>
        <w:pStyle w:val="9"/>
        <w:spacing w:before="23"/>
        <w:ind w:left="0"/>
        <w:jc w:val="left"/>
        <w:rPr>
          <w:rFonts w:hint="eastAsia"/>
        </w:rPr>
      </w:pPr>
      <w:r>
        <w:rPr>
          <w:rFonts w:hint="eastAsia"/>
        </w:rPr>
        <w:t>The Last Judgment (25:31ff)</w:t>
      </w:r>
    </w:p>
    <w:p w14:paraId="021F76DC">
      <w:pPr>
        <w:pStyle w:val="9"/>
        <w:spacing w:before="23"/>
        <w:ind w:left="0"/>
        <w:jc w:val="left"/>
        <w:rPr>
          <w:rFonts w:hint="eastAsia"/>
        </w:rPr>
      </w:pPr>
      <w:r>
        <w:rPr>
          <w:rFonts w:hint="eastAsia"/>
        </w:rPr>
        <w:t>最后的审判（25:31及以下）</w:t>
      </w:r>
    </w:p>
    <w:p w14:paraId="4448D52E">
      <w:pPr>
        <w:pStyle w:val="9"/>
        <w:spacing w:before="23"/>
        <w:ind w:left="0"/>
        <w:jc w:val="left"/>
        <w:rPr>
          <w:rFonts w:hint="eastAsia"/>
        </w:rPr>
      </w:pPr>
    </w:p>
    <w:p w14:paraId="020C71E2">
      <w:pPr>
        <w:pStyle w:val="9"/>
        <w:spacing w:before="23"/>
        <w:ind w:left="0"/>
        <w:jc w:val="left"/>
        <w:rPr>
          <w:rFonts w:hint="eastAsia"/>
        </w:rPr>
      </w:pPr>
      <w:r>
        <w:rPr>
          <w:rFonts w:hint="eastAsia"/>
        </w:rPr>
        <w:t>Having issued both promises and warnings, the Lord now completes what he began in his description of the Parousia, bringing the Olivet Discourse to a close with his most extensive teaching on the Last Judgment.</w:t>
      </w:r>
    </w:p>
    <w:p w14:paraId="7BAA3355">
      <w:pPr>
        <w:pStyle w:val="9"/>
        <w:spacing w:before="23"/>
        <w:ind w:left="0"/>
        <w:jc w:val="left"/>
        <w:rPr>
          <w:rFonts w:hint="eastAsia"/>
        </w:rPr>
      </w:pPr>
      <w:r>
        <w:rPr>
          <w:rFonts w:hint="eastAsia"/>
        </w:rPr>
        <w:t>在发出了应许和警告之后，主现在完成了祂在描述主临（Parousia）时所开始的，以祂对最后审判最详尽的教导结束了橄榄山论述。</w:t>
      </w:r>
    </w:p>
    <w:p w14:paraId="7A4F8264">
      <w:pPr>
        <w:pStyle w:val="9"/>
        <w:spacing w:before="23"/>
        <w:ind w:left="0"/>
        <w:jc w:val="left"/>
        <w:rPr>
          <w:rFonts w:hint="eastAsia"/>
        </w:rPr>
      </w:pPr>
    </w:p>
    <w:p w14:paraId="38DC75AF">
      <w:pPr>
        <w:pStyle w:val="9"/>
        <w:spacing w:before="23"/>
        <w:ind w:left="0"/>
        <w:jc w:val="left"/>
        <w:rPr>
          <w:rFonts w:hint="eastAsia"/>
        </w:rPr>
      </w:pPr>
      <w:r>
        <w:rPr>
          <w:rFonts w:hint="eastAsia"/>
        </w:rPr>
        <w:t>It will occur at his Coming, when he arrives in the skies above the earth with all his holy angels (31).</w:t>
      </w:r>
    </w:p>
    <w:p w14:paraId="2F3B5AE4">
      <w:pPr>
        <w:pStyle w:val="9"/>
        <w:spacing w:before="23"/>
        <w:ind w:left="0"/>
        <w:jc w:val="left"/>
        <w:rPr>
          <w:rFonts w:hint="eastAsia"/>
        </w:rPr>
      </w:pPr>
      <w:r>
        <w:rPr>
          <w:rFonts w:hint="eastAsia"/>
        </w:rPr>
        <w:t>这将在祂降临时发生，那时祂将带着众圣天使来到地上空（31）。</w:t>
      </w:r>
    </w:p>
    <w:p w14:paraId="628C2B8F">
      <w:pPr>
        <w:pStyle w:val="9"/>
        <w:spacing w:before="23"/>
        <w:ind w:left="0"/>
        <w:jc w:val="left"/>
        <w:rPr>
          <w:rFonts w:hint="eastAsia"/>
        </w:rPr>
      </w:pPr>
    </w:p>
    <w:p w14:paraId="64D7BFF8">
      <w:pPr>
        <w:pStyle w:val="9"/>
        <w:spacing w:before="23"/>
        <w:ind w:left="0"/>
        <w:jc w:val="left"/>
        <w:rPr>
          <w:rFonts w:hint="eastAsia"/>
        </w:rPr>
      </w:pPr>
      <w:r>
        <w:rPr>
          <w:rFonts w:hint="eastAsia"/>
        </w:rPr>
        <w:t>It will be universal in scope: Having raised the dead, all nations of all people of all time will be gathered before him (32; John 5:28-29, Acts 24:15, 1 Cor. 15:23, 2 Cor. 5:10, Rev. 20:13).</w:t>
      </w:r>
    </w:p>
    <w:p w14:paraId="44C6C22A">
      <w:pPr>
        <w:pStyle w:val="9"/>
        <w:spacing w:before="23"/>
        <w:ind w:left="0"/>
        <w:jc w:val="left"/>
        <w:rPr>
          <w:rFonts w:hint="eastAsia"/>
        </w:rPr>
      </w:pPr>
      <w:r>
        <w:rPr>
          <w:rFonts w:hint="eastAsia"/>
        </w:rPr>
        <w:t>其范围将是普世的：在使死人复活后，所有时代的所有民族的所有人都将聚集在祂面前（32；约翰福音5:28-29，使徒行传24:15，哥林多前书15:23，哥林多后书5:10，启示录20:13）。</w:t>
      </w:r>
    </w:p>
    <w:p w14:paraId="35957C96">
      <w:pPr>
        <w:pStyle w:val="9"/>
        <w:spacing w:before="23"/>
        <w:ind w:left="0"/>
        <w:jc w:val="left"/>
        <w:rPr>
          <w:rFonts w:hint="eastAsia"/>
        </w:rPr>
      </w:pPr>
    </w:p>
    <w:p w14:paraId="52CFA432">
      <w:pPr>
        <w:pStyle w:val="9"/>
        <w:spacing w:before="23"/>
        <w:ind w:left="0"/>
        <w:jc w:val="left"/>
        <w:rPr>
          <w:rFonts w:hint="eastAsia"/>
        </w:rPr>
      </w:pPr>
      <w:r>
        <w:rPr>
          <w:rFonts w:hint="eastAsia"/>
        </w:rPr>
        <w:t>It will involve a final separation (32-33): Those who loved and served his brethren, he will welcome into the Kingdom prepared for them before the foundation of the world (34-40); those who did not, he will turn into Gehenna, the eternal (lake of) fire prepared for the devil and his angels (who are judged at this time as well) (41-42).</w:t>
      </w:r>
    </w:p>
    <w:p w14:paraId="7D5CAC8A">
      <w:pPr>
        <w:pStyle w:val="9"/>
        <w:spacing w:before="23"/>
        <w:ind w:left="0"/>
        <w:jc w:val="left"/>
        <w:rPr>
          <w:rFonts w:hint="eastAsia"/>
        </w:rPr>
      </w:pPr>
      <w:r>
        <w:rPr>
          <w:rFonts w:hint="eastAsia"/>
        </w:rPr>
        <w:t>这审判将涉及一次最后的分别（32-33）：那些爱祂并服事祂弟兄的，祂将欢迎他们进入那在创世以前为他们所预备的国（34-40）；那些没有的，祂将把他们丢在地狱，那为魔鬼和他的使者（那时也受审判）所预备的永（火湖）火里（41-42）。</w:t>
      </w:r>
    </w:p>
    <w:p w14:paraId="12AD9FCB">
      <w:pPr>
        <w:pStyle w:val="9"/>
        <w:spacing w:before="23"/>
        <w:ind w:left="0"/>
        <w:jc w:val="left"/>
        <w:rPr>
          <w:rFonts w:hint="eastAsia"/>
        </w:rPr>
      </w:pPr>
    </w:p>
    <w:p w14:paraId="690B16CE">
      <w:pPr>
        <w:pStyle w:val="9"/>
        <w:spacing w:before="23"/>
        <w:ind w:left="0"/>
        <w:jc w:val="left"/>
        <w:rPr>
          <w:rFonts w:hint="eastAsia"/>
        </w:rPr>
      </w:pPr>
      <w:r>
        <w:rPr>
          <w:rFonts w:hint="eastAsia"/>
        </w:rPr>
        <w:t>Contrary to dispensational teaching, Jesus’ “brethren” are not the (tribulation) Jews.</w:t>
      </w:r>
    </w:p>
    <w:p w14:paraId="27013D84">
      <w:pPr>
        <w:pStyle w:val="9"/>
        <w:spacing w:before="23"/>
        <w:ind w:left="0"/>
        <w:jc w:val="left"/>
        <w:rPr>
          <w:rFonts w:hint="eastAsia"/>
        </w:rPr>
      </w:pPr>
      <w:r>
        <w:rPr>
          <w:rFonts w:hint="eastAsia"/>
        </w:rPr>
        <w:t>与时代论的教导相反，耶稣的“弟兄”并非（大灾难中的）犹太人。</w:t>
      </w:r>
    </w:p>
    <w:p w14:paraId="0B58C162">
      <w:pPr>
        <w:pStyle w:val="9"/>
        <w:spacing w:before="23"/>
        <w:ind w:left="0"/>
        <w:jc w:val="left"/>
        <w:rPr>
          <w:rFonts w:hint="eastAsia"/>
        </w:rPr>
      </w:pPr>
    </w:p>
    <w:p w14:paraId="3B8E061F">
      <w:pPr>
        <w:pStyle w:val="9"/>
        <w:spacing w:before="23"/>
        <w:ind w:left="0"/>
        <w:jc w:val="left"/>
        <w:rPr>
          <w:rFonts w:hint="eastAsia"/>
        </w:rPr>
      </w:pPr>
      <w:r>
        <w:rPr>
          <w:rFonts w:hint="eastAsia"/>
        </w:rPr>
        <w:t>Rather, as he himself taught, they are loyal believers in Christ, whether Jew or Gentile (Mt. 10:42, 12:48-49).</w:t>
      </w:r>
    </w:p>
    <w:p w14:paraId="7F0244FC">
      <w:pPr>
        <w:pStyle w:val="9"/>
        <w:spacing w:before="23"/>
        <w:ind w:left="0"/>
        <w:jc w:val="left"/>
        <w:rPr>
          <w:rFonts w:hint="eastAsia"/>
        </w:rPr>
      </w:pPr>
      <w:r>
        <w:rPr>
          <w:rFonts w:hint="eastAsia"/>
        </w:rPr>
        <w:t>相反，正如祂自己所教导的，他们是忠于基督的信徒，无论是犹太人还是外邦人（太10:42, 12:48-49）。</w:t>
      </w:r>
    </w:p>
    <w:p w14:paraId="597D07AD">
      <w:pPr>
        <w:pStyle w:val="9"/>
        <w:spacing w:before="23"/>
        <w:ind w:left="0"/>
        <w:jc w:val="left"/>
        <w:rPr>
          <w:rFonts w:hint="eastAsia"/>
        </w:rPr>
      </w:pPr>
    </w:p>
    <w:p w14:paraId="08E16896">
      <w:pPr>
        <w:pStyle w:val="9"/>
        <w:spacing w:before="23"/>
        <w:ind w:left="0"/>
        <w:jc w:val="left"/>
        <w:rPr>
          <w:rFonts w:hint="eastAsia"/>
        </w:rPr>
      </w:pPr>
      <w:r>
        <w:rPr>
          <w:rFonts w:hint="eastAsia"/>
        </w:rPr>
        <w:t>Those who received them received Christ, and so became Christians themselves (Mt. 10:40-42).9</w:t>
      </w:r>
    </w:p>
    <w:p w14:paraId="3390C280">
      <w:pPr>
        <w:pStyle w:val="9"/>
        <w:spacing w:before="23"/>
        <w:ind w:left="0"/>
        <w:jc w:val="left"/>
        <w:rPr>
          <w:rFonts w:hint="eastAsia"/>
        </w:rPr>
      </w:pPr>
      <w:r>
        <w:rPr>
          <w:rFonts w:hint="eastAsia"/>
        </w:rPr>
        <w:t>那些接待他们的，就是接待了基督，因此他们自己也成了基督徒（太10:40-42）。9</w:t>
      </w:r>
    </w:p>
    <w:p w14:paraId="21ABDF6A">
      <w:pPr>
        <w:pStyle w:val="9"/>
        <w:spacing w:before="23"/>
        <w:ind w:left="0"/>
        <w:jc w:val="left"/>
        <w:rPr>
          <w:rFonts w:hint="eastAsia"/>
        </w:rPr>
      </w:pPr>
    </w:p>
    <w:p w14:paraId="126D62EF">
      <w:pPr>
        <w:pStyle w:val="9"/>
        <w:spacing w:before="23"/>
        <w:ind w:left="0"/>
        <w:jc w:val="left"/>
        <w:rPr>
          <w:rFonts w:hint="eastAsia"/>
        </w:rPr>
      </w:pPr>
      <w:r>
        <w:rPr>
          <w:rFonts w:hint="eastAsia"/>
        </w:rPr>
        <w:t>Finally, the Judgment will send all men to their eternal destiny: The wicked will go away to eternal punishment, but the righteous into eternal life (46).</w:t>
      </w:r>
    </w:p>
    <w:p w14:paraId="5FBFB182">
      <w:pPr>
        <w:pStyle w:val="9"/>
        <w:spacing w:before="23"/>
        <w:ind w:left="0"/>
        <w:jc w:val="left"/>
        <w:rPr>
          <w:rFonts w:hint="eastAsia"/>
        </w:rPr>
      </w:pPr>
      <w:r>
        <w:rPr>
          <w:rFonts w:hint="eastAsia"/>
        </w:rPr>
        <w:t>最后，审判将把所有的人送到他们永恒的命运中：恶人要往永刑里去，义人要往永生里去（46）。</w:t>
      </w:r>
    </w:p>
    <w:p w14:paraId="3772E39B">
      <w:pPr>
        <w:pStyle w:val="9"/>
        <w:spacing w:before="23"/>
        <w:ind w:left="0"/>
        <w:jc w:val="left"/>
        <w:rPr>
          <w:rFonts w:hint="eastAsia"/>
        </w:rPr>
      </w:pPr>
    </w:p>
    <w:p w14:paraId="1E54C10D">
      <w:pPr>
        <w:pStyle w:val="9"/>
        <w:spacing w:before="23"/>
        <w:ind w:left="0"/>
        <w:jc w:val="left"/>
        <w:rPr>
          <w:rFonts w:hint="eastAsia"/>
        </w:rPr>
      </w:pPr>
      <w:r>
        <w:rPr>
          <w:rFonts w:hint="eastAsia"/>
        </w:rPr>
        <w:t>Clearly, this is not a partial or preliminary judgment, ushering in a temporary earthly millennium.</w:t>
      </w:r>
    </w:p>
    <w:p w14:paraId="067C1A07">
      <w:pPr>
        <w:pStyle w:val="9"/>
        <w:spacing w:before="23"/>
        <w:ind w:left="0"/>
        <w:jc w:val="left"/>
        <w:rPr>
          <w:rFonts w:hint="eastAsia"/>
        </w:rPr>
      </w:pPr>
      <w:r>
        <w:rPr>
          <w:rFonts w:hint="eastAsia"/>
        </w:rPr>
        <w:t>显然，这不是一个部分的或初步的审判，引入一个暂时的地上千禧年。</w:t>
      </w:r>
    </w:p>
    <w:p w14:paraId="75CB455F">
      <w:pPr>
        <w:pStyle w:val="9"/>
        <w:spacing w:before="23"/>
        <w:ind w:left="0"/>
        <w:jc w:val="left"/>
        <w:rPr>
          <w:rFonts w:hint="eastAsia"/>
        </w:rPr>
      </w:pPr>
    </w:p>
    <w:p w14:paraId="17571DE1">
      <w:pPr>
        <w:pStyle w:val="9"/>
        <w:spacing w:before="23"/>
        <w:ind w:left="0"/>
        <w:jc w:val="left"/>
        <w:rPr>
          <w:rFonts w:hint="eastAsia"/>
        </w:rPr>
      </w:pPr>
      <w:r>
        <w:rPr>
          <w:rFonts w:hint="eastAsia"/>
        </w:rPr>
        <w:t>No, this is the one final, universal judgment that ushers in the eternal Kingdom of God.</w:t>
      </w:r>
    </w:p>
    <w:p w14:paraId="4B597229">
      <w:pPr>
        <w:pStyle w:val="9"/>
        <w:spacing w:before="23"/>
        <w:ind w:left="0"/>
        <w:jc w:val="left"/>
        <w:rPr>
          <w:rFonts w:hint="eastAsia"/>
        </w:rPr>
      </w:pPr>
      <w:r>
        <w:rPr>
          <w:rFonts w:hint="eastAsia"/>
        </w:rPr>
        <w:t>不，这是那一次最终的、普世的审判，引入永恒的上帝之国。</w:t>
      </w:r>
    </w:p>
    <w:p w14:paraId="2BFC60C5">
      <w:pPr>
        <w:pStyle w:val="9"/>
        <w:spacing w:before="23"/>
        <w:ind w:left="0"/>
        <w:jc w:val="left"/>
        <w:rPr>
          <w:rFonts w:hint="eastAsia"/>
        </w:rPr>
      </w:pPr>
    </w:p>
    <w:p w14:paraId="0728F94D">
      <w:pPr>
        <w:pStyle w:val="9"/>
        <w:spacing w:before="23"/>
        <w:ind w:left="0"/>
        <w:jc w:val="left"/>
        <w:rPr>
          <w:rFonts w:hint="eastAsia"/>
        </w:rPr>
      </w:pPr>
      <w:r>
        <w:rPr>
          <w:rFonts w:hint="eastAsia"/>
        </w:rPr>
        <w:t>Questions and Answers</w:t>
      </w:r>
    </w:p>
    <w:p w14:paraId="3C43D4CE">
      <w:pPr>
        <w:pStyle w:val="9"/>
        <w:spacing w:before="23"/>
        <w:ind w:left="0"/>
        <w:jc w:val="left"/>
        <w:rPr>
          <w:rFonts w:hint="eastAsia"/>
        </w:rPr>
      </w:pPr>
      <w:r>
        <w:rPr>
          <w:rFonts w:hint="eastAsia"/>
        </w:rPr>
        <w:t>问题与解答</w:t>
      </w:r>
    </w:p>
    <w:p w14:paraId="6CF39415">
      <w:pPr>
        <w:pStyle w:val="9"/>
        <w:spacing w:before="23"/>
        <w:ind w:left="0"/>
        <w:jc w:val="left"/>
        <w:rPr>
          <w:rFonts w:hint="eastAsia"/>
        </w:rPr>
      </w:pPr>
    </w:p>
    <w:p w14:paraId="68FE257C">
      <w:pPr>
        <w:pStyle w:val="9"/>
        <w:spacing w:before="23"/>
        <w:ind w:left="0"/>
        <w:jc w:val="left"/>
        <w:rPr>
          <w:rFonts w:hint="eastAsia"/>
        </w:rPr>
      </w:pPr>
      <w:r>
        <w:rPr>
          <w:rFonts w:hint="eastAsia"/>
        </w:rPr>
        <w:t>The Olivet Discourse raises a number of questions that have troubled modern Christians, in some cases opening a door to unorthodox views of the Consummation.</w:t>
      </w:r>
    </w:p>
    <w:p w14:paraId="020E9346">
      <w:pPr>
        <w:pStyle w:val="9"/>
        <w:spacing w:before="23"/>
        <w:ind w:left="0"/>
        <w:jc w:val="left"/>
        <w:rPr>
          <w:rFonts w:hint="eastAsia"/>
        </w:rPr>
      </w:pPr>
      <w:r>
        <w:rPr>
          <w:rFonts w:hint="eastAsia"/>
        </w:rPr>
        <w:t>橄榄山论述提出了一些困扰现代基督徒的问题，在某些情况下为关于最终成全的非正统观点打开了大门。</w:t>
      </w:r>
    </w:p>
    <w:p w14:paraId="558C0A3C">
      <w:pPr>
        <w:pStyle w:val="9"/>
        <w:spacing w:before="23"/>
        <w:ind w:left="0"/>
        <w:jc w:val="left"/>
        <w:rPr>
          <w:rFonts w:hint="eastAsia"/>
        </w:rPr>
      </w:pPr>
    </w:p>
    <w:p w14:paraId="03470AC5">
      <w:pPr>
        <w:pStyle w:val="9"/>
        <w:spacing w:before="23"/>
        <w:ind w:left="0"/>
        <w:jc w:val="left"/>
        <w:rPr>
          <w:rFonts w:hint="eastAsia"/>
        </w:rPr>
      </w:pPr>
      <w:r>
        <w:rPr>
          <w:rFonts w:hint="eastAsia"/>
        </w:rPr>
        <w:t>Let us take a moment to examine three of the most important.</w:t>
      </w:r>
    </w:p>
    <w:p w14:paraId="72AF758F">
      <w:pPr>
        <w:pStyle w:val="9"/>
        <w:spacing w:before="23"/>
        <w:ind w:left="0"/>
        <w:jc w:val="left"/>
        <w:rPr>
          <w:rFonts w:hint="eastAsia"/>
        </w:rPr>
      </w:pPr>
      <w:r>
        <w:rPr>
          <w:rFonts w:hint="eastAsia"/>
        </w:rPr>
        <w:t>让我们花点时间来审视其中最重要的三个。</w:t>
      </w:r>
    </w:p>
    <w:p w14:paraId="77845F24">
      <w:pPr>
        <w:pStyle w:val="9"/>
        <w:spacing w:before="23"/>
        <w:ind w:left="0"/>
        <w:jc w:val="left"/>
        <w:rPr>
          <w:rFonts w:hint="eastAsia"/>
        </w:rPr>
      </w:pPr>
    </w:p>
    <w:p w14:paraId="299C7042">
      <w:pPr>
        <w:pStyle w:val="9"/>
        <w:spacing w:before="23"/>
        <w:ind w:left="0"/>
        <w:jc w:val="left"/>
        <w:rPr>
          <w:rFonts w:hint="eastAsia"/>
        </w:rPr>
      </w:pPr>
      <w:r>
        <w:rPr>
          <w:rFonts w:hint="eastAsia"/>
        </w:rPr>
        <w:t>1.What exactly did Jesus have in mind when he spoke of “a great tribulation” (24:21)?</w:t>
      </w:r>
    </w:p>
    <w:p w14:paraId="580F55D1">
      <w:pPr>
        <w:pStyle w:val="9"/>
        <w:spacing w:before="23"/>
        <w:ind w:left="0"/>
        <w:jc w:val="left"/>
        <w:rPr>
          <w:rFonts w:hint="eastAsia"/>
        </w:rPr>
      </w:pPr>
      <w:r>
        <w:rPr>
          <w:rFonts w:hint="eastAsia"/>
        </w:rPr>
        <w:t>1.当耶稣说到“大患难”（24:21）时，祂心中究竟想的是什么？</w:t>
      </w:r>
    </w:p>
    <w:p w14:paraId="4256B4D1">
      <w:pPr>
        <w:pStyle w:val="9"/>
        <w:spacing w:before="23"/>
        <w:ind w:left="0"/>
        <w:jc w:val="left"/>
        <w:rPr>
          <w:rFonts w:hint="eastAsia"/>
        </w:rPr>
      </w:pPr>
    </w:p>
    <w:p w14:paraId="2E52E551">
      <w:pPr>
        <w:pStyle w:val="9"/>
        <w:spacing w:before="23"/>
        <w:ind w:left="0"/>
        <w:jc w:val="left"/>
        <w:rPr>
          <w:rFonts w:hint="eastAsia"/>
        </w:rPr>
      </w:pPr>
      <w:r>
        <w:rPr>
          <w:rFonts w:hint="eastAsia"/>
        </w:rPr>
        <w:t>Above, I suggested that he had in mind a brief season just prior to his Coming at the end of the age, a season characterized by unprecedented judgments upon the world and unprecedented persecution for the Church; it is a season pictured by the fall of Jerusalem, but not (fully) fulfilled in it.</w:t>
      </w:r>
    </w:p>
    <w:p w14:paraId="3E762001">
      <w:pPr>
        <w:pStyle w:val="9"/>
        <w:spacing w:before="23"/>
        <w:ind w:left="0"/>
        <w:jc w:val="left"/>
        <w:rPr>
          <w:rFonts w:hint="eastAsia"/>
        </w:rPr>
      </w:pPr>
      <w:r>
        <w:rPr>
          <w:rFonts w:hint="eastAsia"/>
        </w:rPr>
        <w:t>上面，我曾提出祂心中所想的是在世代末了祂降临前的一个短暂时期，这个时期的特点是对世界前所未有的审判和对教会前所未有的迫害；这是一个以耶路撒冷陷落为缩影，但并未（完全）在其中应验的时期。</w:t>
      </w:r>
    </w:p>
    <w:p w14:paraId="0E77EDF4">
      <w:pPr>
        <w:pStyle w:val="9"/>
        <w:spacing w:before="23"/>
        <w:ind w:left="0"/>
        <w:jc w:val="left"/>
        <w:rPr>
          <w:rFonts w:hint="eastAsia"/>
        </w:rPr>
      </w:pPr>
    </w:p>
    <w:p w14:paraId="177E99CC">
      <w:pPr>
        <w:pStyle w:val="9"/>
        <w:spacing w:before="23"/>
        <w:ind w:left="0"/>
        <w:jc w:val="left"/>
        <w:rPr>
          <w:rFonts w:hint="eastAsia"/>
        </w:rPr>
      </w:pPr>
      <w:r>
        <w:rPr>
          <w:rFonts w:hint="eastAsia"/>
        </w:rPr>
        <w:t>Here, I want to stress the fact that our Lord did not tell us how long this tribulation will be, only that God has cut it short for the sake of the elect.</w:t>
      </w:r>
    </w:p>
    <w:p w14:paraId="441F89C6">
      <w:pPr>
        <w:pStyle w:val="9"/>
        <w:spacing w:before="23"/>
        <w:ind w:left="0"/>
        <w:jc w:val="left"/>
        <w:rPr>
          <w:rFonts w:hint="eastAsia"/>
        </w:rPr>
      </w:pPr>
      <w:r>
        <w:rPr>
          <w:rFonts w:hint="eastAsia"/>
        </w:rPr>
        <w:t>在这里，我想强调一个事实，即我们的主并没有告诉我们这场患难将持续多久，只说上帝为选民的缘故缩短了那些日子。</w:t>
      </w:r>
    </w:p>
    <w:p w14:paraId="0598947B">
      <w:pPr>
        <w:pStyle w:val="9"/>
        <w:spacing w:before="23"/>
        <w:ind w:left="0"/>
        <w:jc w:val="left"/>
        <w:rPr>
          <w:rFonts w:hint="eastAsia"/>
        </w:rPr>
      </w:pPr>
    </w:p>
    <w:p w14:paraId="2E38B26E">
      <w:pPr>
        <w:pStyle w:val="9"/>
        <w:spacing w:before="23"/>
        <w:ind w:left="0"/>
        <w:jc w:val="left"/>
        <w:rPr>
          <w:rFonts w:hint="eastAsia"/>
        </w:rPr>
      </w:pPr>
      <w:r>
        <w:rPr>
          <w:rFonts w:hint="eastAsia"/>
        </w:rPr>
        <w:t>This is the biblical pattern.</w:t>
      </w:r>
    </w:p>
    <w:p w14:paraId="02F9C6BC">
      <w:pPr>
        <w:pStyle w:val="9"/>
        <w:spacing w:before="23"/>
        <w:ind w:left="0"/>
        <w:jc w:val="left"/>
        <w:rPr>
          <w:rFonts w:hint="eastAsia"/>
        </w:rPr>
      </w:pPr>
      <w:r>
        <w:rPr>
          <w:rFonts w:hint="eastAsia"/>
        </w:rPr>
        <w:t>这是圣经的模式。</w:t>
      </w:r>
    </w:p>
    <w:p w14:paraId="6E033406">
      <w:pPr>
        <w:pStyle w:val="9"/>
        <w:spacing w:before="23"/>
        <w:ind w:left="0"/>
        <w:jc w:val="left"/>
        <w:rPr>
          <w:rFonts w:hint="eastAsia"/>
        </w:rPr>
      </w:pPr>
    </w:p>
    <w:p w14:paraId="435188DC">
      <w:pPr>
        <w:pStyle w:val="9"/>
        <w:spacing w:before="23"/>
        <w:ind w:left="0"/>
        <w:jc w:val="left"/>
        <w:rPr>
          <w:rFonts w:hint="eastAsia"/>
        </w:rPr>
      </w:pPr>
      <w:r>
        <w:rPr>
          <w:rFonts w:hint="eastAsia"/>
        </w:rPr>
        <w:t>There is not a single biblical text telling us the duration of “the greatest tribulation”.</w:t>
      </w:r>
    </w:p>
    <w:p w14:paraId="0DFDD327">
      <w:pPr>
        <w:pStyle w:val="9"/>
        <w:spacing w:before="23"/>
        <w:ind w:left="0"/>
        <w:jc w:val="left"/>
        <w:rPr>
          <w:rFonts w:hint="eastAsia"/>
        </w:rPr>
      </w:pPr>
      <w:r>
        <w:rPr>
          <w:rFonts w:hint="eastAsia"/>
        </w:rPr>
        <w:t>没有一节圣经经文告诉我们“最大患难”的持续时间。</w:t>
      </w:r>
    </w:p>
    <w:p w14:paraId="4192E3CF">
      <w:pPr>
        <w:pStyle w:val="9"/>
        <w:spacing w:before="23"/>
        <w:ind w:left="0"/>
        <w:jc w:val="left"/>
        <w:rPr>
          <w:rFonts w:hint="eastAsia"/>
        </w:rPr>
      </w:pPr>
    </w:p>
    <w:p w14:paraId="06A9F8A3">
      <w:pPr>
        <w:pStyle w:val="9"/>
        <w:spacing w:before="23"/>
        <w:ind w:left="0"/>
        <w:jc w:val="left"/>
        <w:rPr>
          <w:rFonts w:hint="eastAsia"/>
        </w:rPr>
      </w:pPr>
      <w:r>
        <w:rPr>
          <w:rFonts w:hint="eastAsia"/>
        </w:rPr>
        <w:t>For over 150 years, dispensationalists have taught that it will last three and a half years.</w:t>
      </w:r>
    </w:p>
    <w:p w14:paraId="4403F501">
      <w:pPr>
        <w:pStyle w:val="9"/>
        <w:spacing w:before="23"/>
        <w:ind w:left="0"/>
        <w:jc w:val="left"/>
        <w:rPr>
          <w:rFonts w:hint="eastAsia"/>
        </w:rPr>
      </w:pPr>
      <w:r>
        <w:rPr>
          <w:rFonts w:hint="eastAsia"/>
        </w:rPr>
        <w:t>150多年来，时代论者一直教导说它将持续三年半。</w:t>
      </w:r>
    </w:p>
    <w:p w14:paraId="38FB0AC4">
      <w:pPr>
        <w:pStyle w:val="9"/>
        <w:spacing w:before="23"/>
        <w:ind w:left="0"/>
        <w:jc w:val="left"/>
        <w:rPr>
          <w:rFonts w:hint="eastAsia"/>
        </w:rPr>
      </w:pPr>
    </w:p>
    <w:p w14:paraId="544A3E55">
      <w:pPr>
        <w:pStyle w:val="9"/>
        <w:spacing w:before="23"/>
        <w:ind w:left="0"/>
        <w:jc w:val="left"/>
        <w:rPr>
          <w:rFonts w:hint="eastAsia"/>
        </w:rPr>
      </w:pPr>
      <w:r>
        <w:rPr>
          <w:rFonts w:hint="eastAsia"/>
        </w:rPr>
        <w:t>We have seen, however, that they base their assertion on a faulty exegesis of Daniel 9.</w:t>
      </w:r>
    </w:p>
    <w:p w14:paraId="6A904202">
      <w:pPr>
        <w:pStyle w:val="9"/>
        <w:spacing w:before="23"/>
        <w:ind w:left="0"/>
        <w:jc w:val="left"/>
        <w:rPr>
          <w:rFonts w:hint="eastAsia"/>
        </w:rPr>
      </w:pPr>
      <w:r>
        <w:rPr>
          <w:rFonts w:hint="eastAsia"/>
        </w:rPr>
        <w:t>然而，我们已经看到，他们的主张是基于对但以理书第9章的错误解经。</w:t>
      </w:r>
    </w:p>
    <w:p w14:paraId="7401A97D">
      <w:pPr>
        <w:pStyle w:val="9"/>
        <w:spacing w:before="23"/>
        <w:ind w:left="0"/>
        <w:jc w:val="left"/>
        <w:rPr>
          <w:rFonts w:hint="eastAsia"/>
        </w:rPr>
      </w:pPr>
    </w:p>
    <w:p w14:paraId="41D5AFC2">
      <w:pPr>
        <w:pStyle w:val="9"/>
        <w:spacing w:before="23"/>
        <w:ind w:left="0"/>
        <w:jc w:val="left"/>
        <w:rPr>
          <w:rFonts w:hint="eastAsia"/>
        </w:rPr>
      </w:pPr>
      <w:r>
        <w:rPr>
          <w:rFonts w:hint="eastAsia"/>
        </w:rPr>
        <w:t>Also, we have seen that in the Revelation there is nothing whatsoever to justify such a notion.</w:t>
      </w:r>
    </w:p>
    <w:p w14:paraId="30D90F73">
      <w:pPr>
        <w:pStyle w:val="9"/>
        <w:spacing w:before="23"/>
        <w:ind w:left="0"/>
        <w:jc w:val="left"/>
        <w:rPr>
          <w:rFonts w:hint="eastAsia"/>
        </w:rPr>
      </w:pPr>
      <w:r>
        <w:rPr>
          <w:rFonts w:hint="eastAsia"/>
        </w:rPr>
        <w:t>我们也已经看到，在《启示录》中，没有任何东西可以为这种观念辩护。</w:t>
      </w:r>
    </w:p>
    <w:p w14:paraId="1F7AFA88">
      <w:pPr>
        <w:pStyle w:val="9"/>
        <w:spacing w:before="23"/>
        <w:ind w:left="0"/>
        <w:jc w:val="left"/>
        <w:rPr>
          <w:rFonts w:hint="eastAsia"/>
        </w:rPr>
      </w:pPr>
    </w:p>
    <w:p w14:paraId="6E19BC26">
      <w:pPr>
        <w:pStyle w:val="9"/>
        <w:spacing w:before="23"/>
        <w:ind w:left="0"/>
        <w:jc w:val="left"/>
        <w:rPr>
          <w:rFonts w:hint="eastAsia"/>
        </w:rPr>
      </w:pPr>
      <w:r>
        <w:rPr>
          <w:rFonts w:hint="eastAsia"/>
        </w:rPr>
        <w:t>The “Great Tribulation” of Revelation 7:14 is the present evil age as a whole, out of which God has taken his suffering but faithful elect—both Old Testament and New—so that they might dwell with him in the World to Come.</w:t>
      </w:r>
    </w:p>
    <w:p w14:paraId="403E3375">
      <w:pPr>
        <w:pStyle w:val="9"/>
        <w:spacing w:before="23"/>
        <w:ind w:left="0"/>
        <w:jc w:val="left"/>
        <w:rPr>
          <w:rFonts w:hint="eastAsia"/>
        </w:rPr>
      </w:pPr>
      <w:r>
        <w:rPr>
          <w:rFonts w:hint="eastAsia"/>
        </w:rPr>
        <w:t>《启示录》7:14的“大患难”是整个现今邪恶的世代，上帝已从中取出了祂受苦但忠心的选民——包括旧约和新约的——使他们可以在将来的世界中与祂同住。</w:t>
      </w:r>
    </w:p>
    <w:p w14:paraId="7F670567">
      <w:pPr>
        <w:pStyle w:val="9"/>
        <w:spacing w:before="23"/>
        <w:ind w:left="0"/>
        <w:jc w:val="left"/>
        <w:rPr>
          <w:rFonts w:hint="eastAsia"/>
        </w:rPr>
      </w:pPr>
    </w:p>
    <w:p w14:paraId="50D3CDD6">
      <w:pPr>
        <w:pStyle w:val="9"/>
        <w:spacing w:before="23"/>
        <w:ind w:left="0"/>
        <w:jc w:val="left"/>
        <w:rPr>
          <w:rFonts w:hint="eastAsia"/>
        </w:rPr>
      </w:pPr>
      <w:r>
        <w:rPr>
          <w:rFonts w:hint="eastAsia"/>
        </w:rPr>
        <w:t>As for the permutations of three and a half, found throughout the Revelation, they all refer symbolically to the Era of Proclamation as a season of tribulation and sustenance for Christ’s pilgrim Church.</w:t>
      </w:r>
    </w:p>
    <w:p w14:paraId="0D9DE0F9">
      <w:pPr>
        <w:pStyle w:val="9"/>
        <w:spacing w:before="23"/>
        <w:ind w:left="0"/>
        <w:jc w:val="left"/>
        <w:rPr>
          <w:rFonts w:hint="eastAsia"/>
        </w:rPr>
      </w:pPr>
      <w:r>
        <w:rPr>
          <w:rFonts w:hint="eastAsia"/>
        </w:rPr>
        <w:t>至于在《启示录》中随处可见的三载半的各种变体，它们都象征性地指宣讲时代，作为基督朝圣教会的患难和供养的季节。</w:t>
      </w:r>
    </w:p>
    <w:p w14:paraId="35695D99">
      <w:pPr>
        <w:pStyle w:val="9"/>
        <w:spacing w:before="23"/>
        <w:ind w:left="0"/>
        <w:jc w:val="left"/>
        <w:rPr>
          <w:rFonts w:hint="eastAsia"/>
        </w:rPr>
      </w:pPr>
    </w:p>
    <w:p w14:paraId="4A8DF635">
      <w:pPr>
        <w:pStyle w:val="9"/>
        <w:spacing w:before="23"/>
        <w:ind w:left="0"/>
        <w:jc w:val="left"/>
        <w:rPr>
          <w:rFonts w:hint="eastAsia"/>
        </w:rPr>
      </w:pPr>
      <w:r>
        <w:rPr>
          <w:rFonts w:hint="eastAsia"/>
        </w:rPr>
        <w:t>If, then, we wish to speak of “the Great Tribulation”, we shall have to be very careful about defining our terms!</w:t>
      </w:r>
    </w:p>
    <w:p w14:paraId="34C880FE">
      <w:pPr>
        <w:pStyle w:val="9"/>
        <w:spacing w:before="23"/>
        <w:ind w:left="0"/>
        <w:jc w:val="left"/>
        <w:rPr>
          <w:rFonts w:hint="eastAsia"/>
        </w:rPr>
      </w:pPr>
      <w:r>
        <w:rPr>
          <w:rFonts w:hint="eastAsia"/>
        </w:rPr>
        <w:t>那么，如果我们想要谈论“大患难”，我们就必须非常小心地定义我们的术语！</w:t>
      </w:r>
    </w:p>
    <w:p w14:paraId="42AEDAB0">
      <w:pPr>
        <w:pStyle w:val="9"/>
        <w:spacing w:before="23"/>
        <w:ind w:left="0"/>
        <w:jc w:val="left"/>
        <w:rPr>
          <w:rFonts w:hint="eastAsia"/>
        </w:rPr>
      </w:pPr>
    </w:p>
    <w:p w14:paraId="121F077F">
      <w:pPr>
        <w:pStyle w:val="9"/>
        <w:spacing w:before="23"/>
        <w:ind w:left="0"/>
        <w:jc w:val="left"/>
        <w:rPr>
          <w:rFonts w:hint="eastAsia"/>
        </w:rPr>
      </w:pPr>
      <w:r>
        <w:rPr>
          <w:rFonts w:hint="eastAsia"/>
        </w:rPr>
        <w:t>2.Does Jesus really teach that his Parousia is “imminent,” in the sense that it could come “at any moment?”</w:t>
      </w:r>
    </w:p>
    <w:p w14:paraId="7FD11EF7">
      <w:pPr>
        <w:pStyle w:val="9"/>
        <w:spacing w:before="23"/>
        <w:ind w:left="0"/>
        <w:jc w:val="left"/>
        <w:rPr>
          <w:rFonts w:hint="eastAsia"/>
        </w:rPr>
      </w:pPr>
      <w:r>
        <w:rPr>
          <w:rFonts w:hint="eastAsia"/>
        </w:rPr>
        <w:t>2.耶稣真的教导说祂的主临（Parousia）是“迫近的”，即“随时可能”来临吗？</w:t>
      </w:r>
    </w:p>
    <w:p w14:paraId="2C8B6EDE">
      <w:pPr>
        <w:pStyle w:val="9"/>
        <w:spacing w:before="23"/>
        <w:ind w:left="0"/>
        <w:jc w:val="left"/>
        <w:rPr>
          <w:rFonts w:hint="eastAsia"/>
        </w:rPr>
      </w:pPr>
    </w:p>
    <w:p w14:paraId="5C4B8F62">
      <w:pPr>
        <w:pStyle w:val="9"/>
        <w:spacing w:before="23"/>
        <w:ind w:left="0"/>
        <w:jc w:val="left"/>
        <w:rPr>
          <w:rFonts w:hint="eastAsia"/>
        </w:rPr>
      </w:pPr>
      <w:r>
        <w:rPr>
          <w:rFonts w:hint="eastAsia"/>
        </w:rPr>
        <w:t>We have seen that in the Olivet Discourse the Lord told his disciples that no one except the Father knows the day or hour of his Coming (24:36); that he will come at a time when neither the world (24:38-39) nor the saints (24:40-43) expect him; and that his Coming will indeed catch certain professing believers unawares (24:45-25:13).</w:t>
      </w:r>
    </w:p>
    <w:p w14:paraId="7562E28F">
      <w:pPr>
        <w:pStyle w:val="9"/>
        <w:spacing w:before="23"/>
        <w:ind w:left="0"/>
        <w:jc w:val="left"/>
        <w:rPr>
          <w:rFonts w:hint="eastAsia"/>
        </w:rPr>
      </w:pPr>
      <w:r>
        <w:rPr>
          <w:rFonts w:hint="eastAsia"/>
        </w:rPr>
        <w:t>我们已经看到，在橄榄山论述中，主告诉祂的门徒，除了父以外，没有人知道祂降临的日子或时辰（24:36）；祂将在世界（24:38-39）和圣徒（24:40-43）都想不到的时候降临；祂的降临确实会使某些自称的信徒措手不及（24:45-25:13）。</w:t>
      </w:r>
    </w:p>
    <w:p w14:paraId="585119D3">
      <w:pPr>
        <w:pStyle w:val="9"/>
        <w:spacing w:before="23"/>
        <w:ind w:left="0"/>
        <w:jc w:val="left"/>
        <w:rPr>
          <w:rFonts w:hint="eastAsia"/>
        </w:rPr>
      </w:pPr>
    </w:p>
    <w:p w14:paraId="48D47F4D">
      <w:pPr>
        <w:pStyle w:val="9"/>
        <w:spacing w:before="23"/>
        <w:ind w:left="0"/>
        <w:jc w:val="left"/>
        <w:rPr>
          <w:rFonts w:hint="eastAsia"/>
        </w:rPr>
      </w:pPr>
      <w:r>
        <w:rPr>
          <w:rFonts w:hint="eastAsia"/>
        </w:rPr>
        <w:t>From texts like these, some have concluded that true watchfulness requires the saints to believe that Christ could return at any moment.</w:t>
      </w:r>
    </w:p>
    <w:p w14:paraId="16E58637">
      <w:pPr>
        <w:pStyle w:val="9"/>
        <w:spacing w:before="23"/>
        <w:ind w:left="0"/>
        <w:jc w:val="left"/>
        <w:rPr>
          <w:rFonts w:hint="eastAsia"/>
        </w:rPr>
      </w:pPr>
      <w:r>
        <w:rPr>
          <w:rFonts w:hint="eastAsia"/>
        </w:rPr>
        <w:t>从这些经文中，一些人得出结论，真正的警醒要求圣徒相信基督随时可能再来。</w:t>
      </w:r>
    </w:p>
    <w:p w14:paraId="1129AF8C">
      <w:pPr>
        <w:pStyle w:val="9"/>
        <w:spacing w:before="23"/>
        <w:ind w:left="0"/>
        <w:jc w:val="left"/>
        <w:rPr>
          <w:rFonts w:hint="eastAsia"/>
        </w:rPr>
      </w:pPr>
    </w:p>
    <w:p w14:paraId="57261BCD">
      <w:pPr>
        <w:pStyle w:val="9"/>
        <w:spacing w:before="23"/>
        <w:ind w:left="0"/>
        <w:jc w:val="left"/>
        <w:rPr>
          <w:rFonts w:hint="eastAsia"/>
        </w:rPr>
      </w:pPr>
      <w:r>
        <w:rPr>
          <w:rFonts w:hint="eastAsia"/>
        </w:rPr>
        <w:t>However, this is not at all what the Lord had in mind; indeed, he had in mind quite the opposite.</w:t>
      </w:r>
    </w:p>
    <w:p w14:paraId="2DB200F6">
      <w:pPr>
        <w:pStyle w:val="9"/>
        <w:spacing w:before="23"/>
        <w:ind w:left="0"/>
        <w:jc w:val="left"/>
        <w:rPr>
          <w:rFonts w:hint="eastAsia"/>
        </w:rPr>
      </w:pPr>
      <w:r>
        <w:rPr>
          <w:rFonts w:hint="eastAsia"/>
        </w:rPr>
        <w:t>然而，这根本不是主心中所想的；确实，祂心中所想的恰恰相反。</w:t>
      </w:r>
    </w:p>
    <w:p w14:paraId="03960F14">
      <w:pPr>
        <w:pStyle w:val="9"/>
        <w:spacing w:before="23"/>
        <w:ind w:left="0"/>
        <w:jc w:val="left"/>
        <w:rPr>
          <w:rFonts w:hint="eastAsia"/>
        </w:rPr>
      </w:pPr>
    </w:p>
    <w:p w14:paraId="36ACD45C">
      <w:pPr>
        <w:pStyle w:val="9"/>
        <w:spacing w:before="23"/>
        <w:ind w:left="0"/>
        <w:jc w:val="left"/>
        <w:rPr>
          <w:rFonts w:hint="eastAsia"/>
        </w:rPr>
      </w:pPr>
      <w:r>
        <w:rPr>
          <w:rFonts w:hint="eastAsia"/>
        </w:rPr>
        <w:t>As Mt. 24:23-28 makes clear, Jesus understood that faith in an “any moment return” sets the saints up for all kinds of “winds” of prophetic doctrine, one of which powerfully blew through the church at Thessalonica (2 Thess. 2:1-3).</w:t>
      </w:r>
    </w:p>
    <w:p w14:paraId="55D48813">
      <w:pPr>
        <w:pStyle w:val="9"/>
        <w:spacing w:before="23"/>
        <w:ind w:left="0"/>
        <w:jc w:val="left"/>
        <w:rPr>
          <w:rFonts w:hint="eastAsia"/>
        </w:rPr>
      </w:pPr>
      <w:r>
        <w:rPr>
          <w:rFonts w:hint="eastAsia"/>
        </w:rPr>
        <w:t>正如马太福音24:23-28所清楚表明的，耶稣明白，相信“随时再来”会使圣徒容易受到各种预言性教义的“风”的影响，其中一股强风就曾吹过帖撒罗尼迦的教会（帖后2:1-3）。</w:t>
      </w:r>
    </w:p>
    <w:p w14:paraId="67C642CD">
      <w:pPr>
        <w:pStyle w:val="9"/>
        <w:spacing w:before="23"/>
        <w:ind w:left="0"/>
        <w:jc w:val="left"/>
        <w:rPr>
          <w:rFonts w:hint="eastAsia"/>
        </w:rPr>
      </w:pPr>
    </w:p>
    <w:p w14:paraId="6F5F0956">
      <w:pPr>
        <w:pStyle w:val="9"/>
        <w:spacing w:before="23"/>
        <w:ind w:left="0"/>
        <w:jc w:val="left"/>
        <w:rPr>
          <w:rFonts w:hint="eastAsia"/>
        </w:rPr>
      </w:pPr>
      <w:r>
        <w:rPr>
          <w:rFonts w:hint="eastAsia"/>
        </w:rPr>
        <w:t>Therefore, his point here—and Paul’s in 2 Thessalonians 2—is to insist that he will not return until certain definite signs appear on the historical horizon.</w:t>
      </w:r>
    </w:p>
    <w:p w14:paraId="2F409782">
      <w:pPr>
        <w:pStyle w:val="9"/>
        <w:spacing w:before="23"/>
        <w:ind w:left="0"/>
        <w:jc w:val="left"/>
        <w:rPr>
          <w:rFonts w:hint="eastAsia"/>
        </w:rPr>
      </w:pPr>
      <w:r>
        <w:rPr>
          <w:rFonts w:hint="eastAsia"/>
        </w:rPr>
        <w:t>因此，祂在这里的重点——以及保罗在帖撒罗尼迦后书第2章的重点——是坚持说，祂不会再来，直到某些确定的预兆出现在历史的地平线上。</w:t>
      </w:r>
    </w:p>
    <w:p w14:paraId="00DB91A6">
      <w:pPr>
        <w:pStyle w:val="9"/>
        <w:spacing w:before="23"/>
        <w:ind w:left="0"/>
        <w:jc w:val="left"/>
        <w:rPr>
          <w:rFonts w:hint="eastAsia"/>
        </w:rPr>
      </w:pPr>
    </w:p>
    <w:p w14:paraId="53AF17B8">
      <w:pPr>
        <w:pStyle w:val="9"/>
        <w:spacing w:before="23"/>
        <w:ind w:left="0"/>
        <w:jc w:val="left"/>
        <w:rPr>
          <w:rFonts w:hint="eastAsia"/>
        </w:rPr>
      </w:pPr>
      <w:r>
        <w:rPr>
          <w:rFonts w:hint="eastAsia"/>
        </w:rPr>
        <w:t>When the saints see them, they will still not know the day or the hour of his Coming; but they will know—or at least very strongly suspect— that the day and hour have drawn nigh.</w:t>
      </w:r>
    </w:p>
    <w:p w14:paraId="03BEF4F5">
      <w:pPr>
        <w:pStyle w:val="9"/>
        <w:spacing w:before="23"/>
        <w:ind w:left="0"/>
        <w:jc w:val="left"/>
        <w:rPr>
          <w:rFonts w:hint="eastAsia"/>
        </w:rPr>
      </w:pPr>
      <w:r>
        <w:rPr>
          <w:rFonts w:hint="eastAsia"/>
        </w:rPr>
        <w:t>当圣徒们看见它们时，他们仍不会知道祂降临的日子或时辰；但他们会知道——或者至少非常强烈地怀疑——那日子和时辰已经近了。</w:t>
      </w:r>
    </w:p>
    <w:p w14:paraId="16399515">
      <w:pPr>
        <w:pStyle w:val="9"/>
        <w:spacing w:before="23"/>
        <w:ind w:left="0"/>
        <w:jc w:val="left"/>
        <w:rPr>
          <w:rFonts w:hint="eastAsia"/>
        </w:rPr>
      </w:pPr>
    </w:p>
    <w:p w14:paraId="60ED8C1E">
      <w:pPr>
        <w:pStyle w:val="9"/>
        <w:spacing w:before="23"/>
        <w:ind w:left="0"/>
        <w:jc w:val="left"/>
        <w:rPr>
          <w:rFonts w:hint="eastAsia"/>
        </w:rPr>
      </w:pPr>
      <w:r>
        <w:rPr>
          <w:rFonts w:hint="eastAsia"/>
        </w:rPr>
        <w:t>So then, Christians are indeed to watch: for the signs, signs that could quite suddenly appear on the stage of world history, with the return of their Lord following close behind (24:32- 33, Mark 13:37).10</w:t>
      </w:r>
    </w:p>
    <w:p w14:paraId="3CEDF446">
      <w:pPr>
        <w:pStyle w:val="9"/>
        <w:spacing w:before="23"/>
        <w:ind w:left="0"/>
        <w:jc w:val="left"/>
        <w:rPr>
          <w:rFonts w:hint="eastAsia"/>
        </w:rPr>
      </w:pPr>
      <w:r>
        <w:rPr>
          <w:rFonts w:hint="eastAsia"/>
        </w:rPr>
        <w:t>所以，基督徒确实要警醒：为那些预兆，那些可能相当突然地出现在世界历史舞台上的预兆，而他们的主再来将紧随其后（24:32-33，马可福音13:37）。10</w:t>
      </w:r>
    </w:p>
    <w:p w14:paraId="716604B0">
      <w:pPr>
        <w:pStyle w:val="9"/>
        <w:spacing w:before="23"/>
        <w:ind w:left="0"/>
        <w:jc w:val="left"/>
        <w:rPr>
          <w:rFonts w:hint="eastAsia"/>
        </w:rPr>
      </w:pPr>
    </w:p>
    <w:p w14:paraId="5636FD93">
      <w:pPr>
        <w:pStyle w:val="9"/>
        <w:spacing w:before="23"/>
        <w:ind w:left="0"/>
        <w:jc w:val="left"/>
        <w:rPr>
          <w:rFonts w:hint="eastAsia"/>
        </w:rPr>
      </w:pPr>
      <w:r>
        <w:rPr>
          <w:rFonts w:hint="eastAsia"/>
        </w:rPr>
        <w:t>3.If, at the end, the world is going through “the greatest tribulation”, how can the Parousia spring as a trap on people going about business as usual?</w:t>
      </w:r>
    </w:p>
    <w:p w14:paraId="7A6AE0A5">
      <w:pPr>
        <w:pStyle w:val="9"/>
        <w:spacing w:before="23"/>
        <w:ind w:left="0"/>
        <w:jc w:val="left"/>
        <w:rPr>
          <w:rFonts w:hint="eastAsia"/>
        </w:rPr>
      </w:pPr>
      <w:r>
        <w:rPr>
          <w:rFonts w:hint="eastAsia"/>
        </w:rPr>
        <w:t>3.如果在末了，世界正经历“最大的患难”，主临（Parousia）又怎能像陷阱一样，临到那些照常行事的人呢？</w:t>
      </w:r>
    </w:p>
    <w:p w14:paraId="6271B325">
      <w:pPr>
        <w:pStyle w:val="9"/>
        <w:spacing w:before="23"/>
        <w:ind w:left="0"/>
        <w:jc w:val="left"/>
        <w:rPr>
          <w:rFonts w:hint="eastAsia"/>
        </w:rPr>
      </w:pPr>
    </w:p>
    <w:p w14:paraId="67D98410">
      <w:pPr>
        <w:pStyle w:val="9"/>
        <w:spacing w:before="23"/>
        <w:ind w:left="0"/>
        <w:jc w:val="left"/>
        <w:rPr>
          <w:rFonts w:hint="eastAsia"/>
        </w:rPr>
      </w:pPr>
      <w:r>
        <w:rPr>
          <w:rFonts w:hint="eastAsia"/>
        </w:rPr>
        <w:t>The Olivet Discourse predicts both of these developments: unprecedented upheavals in nature and society, but also people eating, drinking, working, and marrying as usual, apparently oblivious to the Judgment coming their way.</w:t>
      </w:r>
    </w:p>
    <w:p w14:paraId="5B6603B0">
      <w:pPr>
        <w:pStyle w:val="9"/>
        <w:spacing w:before="23"/>
        <w:ind w:left="0"/>
        <w:jc w:val="left"/>
        <w:rPr>
          <w:rFonts w:hint="eastAsia"/>
        </w:rPr>
      </w:pPr>
      <w:r>
        <w:rPr>
          <w:rFonts w:hint="eastAsia"/>
        </w:rPr>
        <w:t>橄榄山论述预言了这两种发展：自然和社会中前所未有的动荡，但人们也照常吃喝、工作和嫁娶，显然对将要临到他们的审判一无所知。</w:t>
      </w:r>
    </w:p>
    <w:p w14:paraId="7F013776">
      <w:pPr>
        <w:pStyle w:val="9"/>
        <w:spacing w:before="23"/>
        <w:ind w:left="0"/>
        <w:jc w:val="left"/>
        <w:rPr>
          <w:rFonts w:hint="eastAsia"/>
        </w:rPr>
      </w:pPr>
    </w:p>
    <w:p w14:paraId="15913A08">
      <w:pPr>
        <w:pStyle w:val="9"/>
        <w:spacing w:before="23"/>
        <w:ind w:left="0"/>
        <w:jc w:val="left"/>
        <w:rPr>
          <w:rFonts w:hint="eastAsia"/>
        </w:rPr>
      </w:pPr>
      <w:r>
        <w:rPr>
          <w:rFonts w:hint="eastAsia"/>
        </w:rPr>
        <w:t>How can we reconcile these seemingly contradictory phenomena?</w:t>
      </w:r>
    </w:p>
    <w:p w14:paraId="4D83EB26">
      <w:pPr>
        <w:pStyle w:val="9"/>
        <w:spacing w:before="23"/>
        <w:ind w:left="0"/>
        <w:jc w:val="left"/>
        <w:rPr>
          <w:rFonts w:hint="eastAsia"/>
        </w:rPr>
      </w:pPr>
      <w:r>
        <w:rPr>
          <w:rFonts w:hint="eastAsia"/>
        </w:rPr>
        <w:t>我们如何能调和这些看似矛盾的现象？</w:t>
      </w:r>
    </w:p>
    <w:p w14:paraId="339DBE92">
      <w:pPr>
        <w:pStyle w:val="9"/>
        <w:spacing w:before="23"/>
        <w:ind w:left="0"/>
        <w:jc w:val="left"/>
        <w:rPr>
          <w:rFonts w:hint="eastAsia"/>
        </w:rPr>
      </w:pPr>
    </w:p>
    <w:p w14:paraId="576B1BDB">
      <w:pPr>
        <w:pStyle w:val="9"/>
        <w:spacing w:before="23"/>
        <w:ind w:left="0"/>
        <w:jc w:val="left"/>
        <w:rPr>
          <w:rFonts w:hint="eastAsia"/>
        </w:rPr>
      </w:pPr>
      <w:r>
        <w:rPr>
          <w:rFonts w:hint="eastAsia"/>
        </w:rPr>
        <w:t>The best answer, I think, is to recall that Jesus spoke of the latter-day tribulation in terms of birth pains (24:28).</w:t>
      </w:r>
    </w:p>
    <w:p w14:paraId="2F7773D2">
      <w:pPr>
        <w:pStyle w:val="9"/>
        <w:spacing w:before="23"/>
        <w:ind w:left="0"/>
        <w:jc w:val="left"/>
        <w:rPr>
          <w:rFonts w:hint="eastAsia"/>
        </w:rPr>
      </w:pPr>
      <w:r>
        <w:rPr>
          <w:rFonts w:hint="eastAsia"/>
        </w:rPr>
        <w:t>我认为，最好的答案是回想耶稣曾以产难来谈论末日的患难（24:28）。</w:t>
      </w:r>
    </w:p>
    <w:p w14:paraId="4D7D6829">
      <w:pPr>
        <w:pStyle w:val="9"/>
        <w:spacing w:before="23"/>
        <w:ind w:left="0"/>
        <w:jc w:val="left"/>
        <w:rPr>
          <w:rFonts w:hint="eastAsia"/>
        </w:rPr>
      </w:pPr>
    </w:p>
    <w:p w14:paraId="56738A04">
      <w:pPr>
        <w:pStyle w:val="9"/>
        <w:spacing w:before="23"/>
        <w:ind w:left="0"/>
        <w:jc w:val="left"/>
        <w:rPr>
          <w:rFonts w:hint="eastAsia"/>
        </w:rPr>
      </w:pPr>
      <w:r>
        <w:rPr>
          <w:rFonts w:hint="eastAsia"/>
        </w:rPr>
        <w:t>Birth pains come in waves, with each one more intense than its predecessor.</w:t>
      </w:r>
    </w:p>
    <w:p w14:paraId="5CB28549">
      <w:pPr>
        <w:pStyle w:val="9"/>
        <w:spacing w:before="23"/>
        <w:ind w:left="0"/>
        <w:jc w:val="left"/>
        <w:rPr>
          <w:rFonts w:hint="eastAsia"/>
        </w:rPr>
      </w:pPr>
      <w:r>
        <w:rPr>
          <w:rFonts w:hint="eastAsia"/>
        </w:rPr>
        <w:t>产难是一阵阵的，每一阵都比前一阵更剧烈。</w:t>
      </w:r>
    </w:p>
    <w:p w14:paraId="07C82AC3">
      <w:pPr>
        <w:pStyle w:val="9"/>
        <w:spacing w:before="23"/>
        <w:ind w:left="0"/>
        <w:jc w:val="left"/>
        <w:rPr>
          <w:rFonts w:hint="eastAsia"/>
        </w:rPr>
      </w:pPr>
    </w:p>
    <w:p w14:paraId="1E29C073">
      <w:pPr>
        <w:pStyle w:val="9"/>
        <w:spacing w:before="23"/>
        <w:ind w:left="0"/>
        <w:jc w:val="left"/>
        <w:rPr>
          <w:rFonts w:hint="eastAsia"/>
        </w:rPr>
      </w:pPr>
      <w:r>
        <w:rPr>
          <w:rFonts w:hint="eastAsia"/>
        </w:rPr>
        <w:t>It seems reasonable, then, to conclude that as the end approaches, the birth pains will intensify, yet still be marked by ebb and flow.</w:t>
      </w:r>
    </w:p>
    <w:p w14:paraId="775993FD">
      <w:pPr>
        <w:pStyle w:val="9"/>
        <w:spacing w:before="23"/>
        <w:ind w:left="0"/>
        <w:jc w:val="left"/>
        <w:rPr>
          <w:rFonts w:hint="eastAsia"/>
        </w:rPr>
      </w:pPr>
      <w:r>
        <w:rPr>
          <w:rFonts w:hint="eastAsia"/>
        </w:rPr>
        <w:t>因此，似乎可以合理地得出结论，随着末期的临近，产难将加剧，但仍会有起伏。</w:t>
      </w:r>
    </w:p>
    <w:p w14:paraId="0CAFF659">
      <w:pPr>
        <w:pStyle w:val="9"/>
        <w:spacing w:before="23"/>
        <w:ind w:left="0"/>
        <w:jc w:val="left"/>
        <w:rPr>
          <w:rFonts w:hint="eastAsia"/>
        </w:rPr>
      </w:pPr>
    </w:p>
    <w:p w14:paraId="51DEE21B">
      <w:pPr>
        <w:pStyle w:val="9"/>
        <w:spacing w:before="23"/>
        <w:ind w:left="0"/>
        <w:jc w:val="left"/>
        <w:rPr>
          <w:rFonts w:hint="eastAsia"/>
        </w:rPr>
      </w:pPr>
      <w:r>
        <w:rPr>
          <w:rFonts w:hint="eastAsia"/>
        </w:rPr>
        <w:t>Immediately prior to the end, they will ebb.</w:t>
      </w:r>
    </w:p>
    <w:p w14:paraId="70F5CC4D">
      <w:pPr>
        <w:pStyle w:val="9"/>
        <w:spacing w:before="23"/>
        <w:ind w:left="0"/>
        <w:jc w:val="left"/>
        <w:rPr>
          <w:rFonts w:hint="eastAsia"/>
        </w:rPr>
      </w:pPr>
      <w:r>
        <w:rPr>
          <w:rFonts w:hint="eastAsia"/>
        </w:rPr>
        <w:t>在末了之前，它们将减退。</w:t>
      </w:r>
    </w:p>
    <w:p w14:paraId="4A504C34">
      <w:pPr>
        <w:pStyle w:val="9"/>
        <w:spacing w:before="23"/>
        <w:ind w:left="0"/>
        <w:jc w:val="left"/>
        <w:rPr>
          <w:rFonts w:hint="eastAsia"/>
        </w:rPr>
      </w:pPr>
    </w:p>
    <w:p w14:paraId="68AF1CD5">
      <w:pPr>
        <w:pStyle w:val="9"/>
        <w:spacing w:before="23"/>
        <w:ind w:left="0"/>
        <w:jc w:val="left"/>
        <w:rPr>
          <w:rFonts w:hint="eastAsia"/>
        </w:rPr>
      </w:pPr>
      <w:r>
        <w:rPr>
          <w:rFonts w:hint="eastAsia"/>
        </w:rPr>
        <w:t>Then, when the world says, “Peace and safety!”</w:t>
      </w:r>
    </w:p>
    <w:p w14:paraId="7403D4F4">
      <w:pPr>
        <w:pStyle w:val="9"/>
        <w:spacing w:before="23"/>
        <w:ind w:left="0"/>
        <w:jc w:val="left"/>
        <w:rPr>
          <w:rFonts w:hint="eastAsia"/>
        </w:rPr>
      </w:pPr>
      <w:r>
        <w:rPr>
          <w:rFonts w:hint="eastAsia"/>
        </w:rPr>
        <w:t>然后，当世人说“平安稳妥！”</w:t>
      </w:r>
    </w:p>
    <w:p w14:paraId="13782A0D">
      <w:pPr>
        <w:pStyle w:val="9"/>
        <w:spacing w:before="23"/>
        <w:ind w:left="0"/>
        <w:jc w:val="left"/>
        <w:rPr>
          <w:rFonts w:hint="eastAsia"/>
        </w:rPr>
      </w:pPr>
    </w:p>
    <w:p w14:paraId="5E9F0369">
      <w:pPr>
        <w:pStyle w:val="9"/>
        <w:spacing w:before="23"/>
        <w:ind w:left="0"/>
        <w:jc w:val="left"/>
        <w:rPr>
          <w:rFonts w:hint="eastAsia"/>
        </w:rPr>
      </w:pPr>
      <w:r>
        <w:rPr>
          <w:rFonts w:hint="eastAsia"/>
        </w:rPr>
        <w:t>(presumably because of the power and promises of the Antichrist) sudden destruction will come upon them as (transitional) labor pains come upon a pregnant woman, and they will not escape (1 Thess. 5:3).</w:t>
      </w:r>
    </w:p>
    <w:p w14:paraId="706FA88C">
      <w:pPr>
        <w:pStyle w:val="9"/>
        <w:spacing w:before="23"/>
        <w:ind w:left="0"/>
        <w:jc w:val="left"/>
        <w:rPr>
          <w:rFonts w:hint="eastAsia"/>
        </w:rPr>
      </w:pPr>
      <w:r>
        <w:rPr>
          <w:rFonts w:hint="eastAsia"/>
        </w:rPr>
        <w:t>（大概是因为敌基督的能力和应许）灾祸忽然临到他们，如同（过渡性的）产难临到怀胎的妇人一样，他们绝不能逃脱（帖前5:3）。</w:t>
      </w:r>
    </w:p>
    <w:p w14:paraId="4F894539">
      <w:pPr>
        <w:pStyle w:val="9"/>
        <w:spacing w:before="23"/>
        <w:ind w:left="0"/>
        <w:jc w:val="left"/>
        <w:rPr>
          <w:rFonts w:hint="eastAsia"/>
        </w:rPr>
      </w:pPr>
    </w:p>
    <w:p w14:paraId="28B39285">
      <w:pPr>
        <w:pStyle w:val="9"/>
        <w:spacing w:before="23"/>
        <w:ind w:left="0"/>
        <w:jc w:val="left"/>
        <w:rPr>
          <w:rFonts w:hint="eastAsia"/>
        </w:rPr>
      </w:pPr>
      <w:r>
        <w:rPr>
          <w:rFonts w:hint="eastAsia"/>
        </w:rPr>
        <w:t>Summary</w:t>
      </w:r>
    </w:p>
    <w:p w14:paraId="2AB5E25B">
      <w:pPr>
        <w:pStyle w:val="9"/>
        <w:spacing w:before="23"/>
        <w:ind w:left="0"/>
        <w:jc w:val="left"/>
        <w:rPr>
          <w:rFonts w:hint="eastAsia"/>
        </w:rPr>
      </w:pPr>
      <w:r>
        <w:rPr>
          <w:rFonts w:hint="eastAsia"/>
        </w:rPr>
        <w:t>总结</w:t>
      </w:r>
    </w:p>
    <w:p w14:paraId="356E520C">
      <w:pPr>
        <w:pStyle w:val="9"/>
        <w:spacing w:before="23"/>
        <w:ind w:left="0"/>
        <w:jc w:val="left"/>
        <w:rPr>
          <w:rFonts w:hint="eastAsia"/>
        </w:rPr>
      </w:pPr>
    </w:p>
    <w:p w14:paraId="08CADF6D">
      <w:pPr>
        <w:pStyle w:val="9"/>
        <w:spacing w:before="23"/>
        <w:ind w:left="0"/>
        <w:jc w:val="left"/>
        <w:rPr>
          <w:rFonts w:hint="eastAsia"/>
        </w:rPr>
      </w:pPr>
      <w:r>
        <w:rPr>
          <w:rFonts w:hint="eastAsia"/>
        </w:rPr>
        <w:t>Because of its great importance and difficulty, I have lingered long over the Olivet Discourse.</w:t>
      </w:r>
    </w:p>
    <w:p w14:paraId="6AD5DC43">
      <w:pPr>
        <w:pStyle w:val="9"/>
        <w:spacing w:before="23"/>
        <w:ind w:left="0"/>
        <w:jc w:val="left"/>
        <w:rPr>
          <w:rFonts w:hint="eastAsia"/>
        </w:rPr>
      </w:pPr>
      <w:r>
        <w:rPr>
          <w:rFonts w:hint="eastAsia"/>
        </w:rPr>
        <w:t>由于其极大的重要性和难度，我已在橄榄山论述上停留了很长时间。</w:t>
      </w:r>
    </w:p>
    <w:p w14:paraId="19AF089F">
      <w:pPr>
        <w:pStyle w:val="9"/>
        <w:spacing w:before="23"/>
        <w:ind w:left="0"/>
        <w:jc w:val="left"/>
        <w:rPr>
          <w:rFonts w:hint="eastAsia"/>
        </w:rPr>
      </w:pPr>
    </w:p>
    <w:p w14:paraId="7BD6FA6D">
      <w:pPr>
        <w:pStyle w:val="9"/>
        <w:spacing w:before="23"/>
        <w:ind w:left="0"/>
        <w:jc w:val="left"/>
        <w:rPr>
          <w:rFonts w:hint="eastAsia"/>
        </w:rPr>
      </w:pPr>
      <w:r>
        <w:rPr>
          <w:rFonts w:hint="eastAsia"/>
        </w:rPr>
        <w:t>In a few words, what have we learned?</w:t>
      </w:r>
    </w:p>
    <w:p w14:paraId="7468703F">
      <w:pPr>
        <w:pStyle w:val="9"/>
        <w:spacing w:before="23"/>
        <w:ind w:left="0"/>
        <w:jc w:val="left"/>
        <w:rPr>
          <w:rFonts w:hint="eastAsia"/>
        </w:rPr>
      </w:pPr>
      <w:r>
        <w:rPr>
          <w:rFonts w:hint="eastAsia"/>
        </w:rPr>
        <w:t>简而言之，我们学到了什么？</w:t>
      </w:r>
    </w:p>
    <w:p w14:paraId="2FB4F0CB">
      <w:pPr>
        <w:pStyle w:val="9"/>
        <w:spacing w:before="23"/>
        <w:ind w:left="0"/>
        <w:jc w:val="left"/>
        <w:rPr>
          <w:rFonts w:hint="eastAsia"/>
        </w:rPr>
      </w:pPr>
    </w:p>
    <w:p w14:paraId="60D60F41">
      <w:pPr>
        <w:pStyle w:val="9"/>
        <w:spacing w:before="23"/>
        <w:ind w:left="0"/>
        <w:jc w:val="left"/>
        <w:rPr>
          <w:rFonts w:hint="eastAsia"/>
        </w:rPr>
      </w:pPr>
      <w:r>
        <w:rPr>
          <w:rFonts w:hint="eastAsia"/>
        </w:rPr>
        <w:t>Simply this: When we understand that Jesus was answering the disciples’ Question in prophetic perspective, and when we closely examine how he answered it, we immediately see once again his underlying assumptions about the structure of the Kingdom and the Consummation.</w:t>
      </w:r>
    </w:p>
    <w:p w14:paraId="35730030">
      <w:pPr>
        <w:pStyle w:val="9"/>
        <w:spacing w:before="23"/>
        <w:ind w:left="0"/>
        <w:jc w:val="left"/>
        <w:rPr>
          <w:rFonts w:hint="eastAsia"/>
        </w:rPr>
      </w:pPr>
      <w:r>
        <w:rPr>
          <w:rFonts w:hint="eastAsia"/>
        </w:rPr>
        <w:t>就是这样：当我们理解耶稣是在以预言性视角回答门徒们的问题，并且当我们仔细地考察祂是如何回答时，我们立刻再次看到祂对国度和最终成全结构的基本假设。</w:t>
      </w:r>
    </w:p>
    <w:p w14:paraId="6C383E1F">
      <w:pPr>
        <w:pStyle w:val="9"/>
        <w:spacing w:before="23"/>
        <w:ind w:left="0"/>
        <w:jc w:val="left"/>
        <w:rPr>
          <w:rFonts w:hint="eastAsia"/>
        </w:rPr>
      </w:pPr>
    </w:p>
    <w:p w14:paraId="6D019F00">
      <w:pPr>
        <w:pStyle w:val="9"/>
        <w:spacing w:before="23"/>
        <w:ind w:left="0"/>
        <w:jc w:val="left"/>
        <w:rPr>
          <w:rFonts w:hint="eastAsia"/>
        </w:rPr>
      </w:pPr>
      <w:r>
        <w:rPr>
          <w:rFonts w:hint="eastAsia"/>
        </w:rPr>
        <w:t>To be specific: He sees the Kingdom as coming in two simple stages, separated by a single Consummation at his Parousia.</w:t>
      </w:r>
    </w:p>
    <w:p w14:paraId="053A71AC">
      <w:pPr>
        <w:pStyle w:val="9"/>
        <w:spacing w:before="23"/>
        <w:ind w:left="0"/>
        <w:jc w:val="left"/>
        <w:rPr>
          <w:rFonts w:hint="eastAsia"/>
        </w:rPr>
      </w:pPr>
      <w:r>
        <w:rPr>
          <w:rFonts w:hint="eastAsia"/>
        </w:rPr>
        <w:t>具体来说：祂将国度看作是分两个简单的阶段来临，由祂主临（Parousia）时的一次单一的最终成全所分隔。</w:t>
      </w:r>
    </w:p>
    <w:p w14:paraId="05F18AB6">
      <w:pPr>
        <w:pStyle w:val="9"/>
        <w:spacing w:before="23"/>
        <w:ind w:left="0"/>
        <w:jc w:val="left"/>
        <w:rPr>
          <w:rFonts w:hint="eastAsia"/>
        </w:rPr>
      </w:pPr>
    </w:p>
    <w:p w14:paraId="4977D42E">
      <w:pPr>
        <w:pStyle w:val="9"/>
        <w:spacing w:before="23"/>
        <w:ind w:left="0"/>
        <w:jc w:val="left"/>
        <w:rPr>
          <w:rFonts w:hint="eastAsia"/>
        </w:rPr>
      </w:pPr>
      <w:r>
        <w:rPr>
          <w:rFonts w:hint="eastAsia"/>
        </w:rPr>
        <w:t>The first, which is coextensive with his heavenly reign, is a lengthy but finite season of mission, testing, judgments, signs, persecutions, and Kingdom growth.</w:t>
      </w:r>
    </w:p>
    <w:p w14:paraId="61B5F3EE">
      <w:pPr>
        <w:pStyle w:val="9"/>
        <w:spacing w:before="23"/>
        <w:ind w:left="0"/>
        <w:jc w:val="left"/>
        <w:rPr>
          <w:rFonts w:hint="eastAsia"/>
        </w:rPr>
      </w:pPr>
      <w:r>
        <w:rPr>
          <w:rFonts w:hint="eastAsia"/>
        </w:rPr>
        <w:t>第一个阶段，与祂属天的统治同时进行，是一个漫长但有限的时期，充满了使命、考验、审判、预兆、迫害和国度的成长。</w:t>
      </w:r>
    </w:p>
    <w:p w14:paraId="6DB4A7EC">
      <w:pPr>
        <w:pStyle w:val="9"/>
        <w:spacing w:before="23"/>
        <w:ind w:left="0"/>
        <w:jc w:val="left"/>
        <w:rPr>
          <w:rFonts w:hint="eastAsia"/>
        </w:rPr>
      </w:pPr>
    </w:p>
    <w:p w14:paraId="2DE609EE">
      <w:pPr>
        <w:pStyle w:val="9"/>
        <w:spacing w:before="23"/>
        <w:ind w:left="0"/>
        <w:jc w:val="left"/>
        <w:rPr>
          <w:rFonts w:hint="eastAsia"/>
        </w:rPr>
      </w:pPr>
      <w:r>
        <w:rPr>
          <w:rFonts w:hint="eastAsia"/>
        </w:rPr>
        <w:t>The second is an eternal season, whether of reward in the World to Come, or retribution in the fires of Gehenna.</w:t>
      </w:r>
    </w:p>
    <w:p w14:paraId="15239ECA">
      <w:pPr>
        <w:pStyle w:val="9"/>
        <w:spacing w:before="23"/>
        <w:ind w:left="0"/>
        <w:jc w:val="left"/>
        <w:rPr>
          <w:rFonts w:hint="eastAsia"/>
        </w:rPr>
      </w:pPr>
      <w:r>
        <w:rPr>
          <w:rFonts w:hint="eastAsia"/>
        </w:rPr>
        <w:t>第二个阶段是一个永恒的时期，无论是在将来的世界得赏赐，还是在地狱之火中受报应。</w:t>
      </w:r>
    </w:p>
    <w:p w14:paraId="199E68A5">
      <w:pPr>
        <w:pStyle w:val="9"/>
        <w:spacing w:before="23"/>
        <w:ind w:left="0"/>
        <w:jc w:val="left"/>
        <w:rPr>
          <w:rFonts w:hint="eastAsia"/>
        </w:rPr>
      </w:pPr>
    </w:p>
    <w:p w14:paraId="43E182AB">
      <w:pPr>
        <w:pStyle w:val="9"/>
        <w:spacing w:before="23"/>
        <w:ind w:left="0"/>
        <w:jc w:val="left"/>
        <w:rPr>
          <w:rFonts w:hint="eastAsia"/>
        </w:rPr>
      </w:pPr>
      <w:r>
        <w:rPr>
          <w:rFonts w:hint="eastAsia"/>
        </w:rPr>
        <w:t>Fittingly enough, the two stages are separated by a single Consummation that is cosmic in scope and climactic in its impact on man and nature.</w:t>
      </w:r>
    </w:p>
    <w:p w14:paraId="71B45E99">
      <w:pPr>
        <w:pStyle w:val="9"/>
        <w:spacing w:before="23"/>
        <w:ind w:left="0"/>
        <w:jc w:val="left"/>
        <w:rPr>
          <w:rFonts w:hint="eastAsia"/>
        </w:rPr>
      </w:pPr>
      <w:r>
        <w:rPr>
          <w:rFonts w:hint="eastAsia"/>
        </w:rPr>
        <w:t>恰当地，这两个阶段被一个单一的最终成全所分隔，其范围是宇宙性的，其对人和自然的影响是高潮性的。</w:t>
      </w:r>
    </w:p>
    <w:p w14:paraId="2EAD7E0E">
      <w:pPr>
        <w:pStyle w:val="9"/>
        <w:spacing w:before="23"/>
        <w:ind w:left="0"/>
        <w:jc w:val="left"/>
        <w:rPr>
          <w:rFonts w:hint="eastAsia"/>
        </w:rPr>
      </w:pPr>
    </w:p>
    <w:p w14:paraId="274E020F">
      <w:pPr>
        <w:pStyle w:val="9"/>
        <w:spacing w:before="23"/>
        <w:ind w:left="0"/>
        <w:jc w:val="left"/>
        <w:rPr>
          <w:rFonts w:hint="eastAsia"/>
        </w:rPr>
      </w:pPr>
      <w:r>
        <w:rPr>
          <w:rFonts w:hint="eastAsia"/>
        </w:rPr>
        <w:t>It will include the appearance of the glorified Son of Man in the darkened skies above the earth, a general resurrection of the dead, the transformation of the living saints, the gathering of all men and angels before the throne of Christ, the last Judgment, and the inauguration of the eternal Age to Come.</w:t>
      </w:r>
    </w:p>
    <w:p w14:paraId="20268320">
      <w:pPr>
        <w:pStyle w:val="9"/>
        <w:spacing w:before="23"/>
        <w:ind w:left="0"/>
        <w:jc w:val="left"/>
        <w:rPr>
          <w:rFonts w:hint="eastAsia"/>
        </w:rPr>
      </w:pPr>
      <w:r>
        <w:rPr>
          <w:rFonts w:hint="eastAsia"/>
        </w:rPr>
        <w:t>它将包括得荣耀的人子在变暗的天空中显现，死人的普世复活，活着圣徒的改变，所有人和天使聚集在基督的宝座前，最后的审判，以及将要来临的永恒世代的开始。</w:t>
      </w:r>
    </w:p>
    <w:p w14:paraId="30D54003">
      <w:pPr>
        <w:pStyle w:val="9"/>
        <w:spacing w:before="23"/>
        <w:ind w:left="0"/>
        <w:jc w:val="left"/>
        <w:rPr>
          <w:rFonts w:hint="eastAsia"/>
        </w:rPr>
      </w:pPr>
    </w:p>
    <w:p w14:paraId="44825F62">
      <w:pPr>
        <w:pStyle w:val="9"/>
        <w:spacing w:before="23"/>
        <w:ind w:left="0"/>
        <w:jc w:val="left"/>
        <w:rPr>
          <w:rFonts w:hint="eastAsia"/>
        </w:rPr>
      </w:pPr>
      <w:r>
        <w:rPr>
          <w:rFonts w:hint="eastAsia"/>
        </w:rPr>
        <w:t>This is the premise of the Olivet Discourse; this is the teaching of the Olivet Discourse; this is the premise and teaching of all NT eschatology; and this is the premise, teaching, and heart of amillennial faith.</w:t>
      </w:r>
    </w:p>
    <w:p w14:paraId="4CC4E568">
      <w:pPr>
        <w:pStyle w:val="9"/>
        <w:spacing w:before="23"/>
        <w:ind w:left="0"/>
        <w:jc w:val="left"/>
        <w:rPr>
          <w:rFonts w:hint="eastAsia"/>
        </w:rPr>
      </w:pPr>
      <w:r>
        <w:rPr>
          <w:rFonts w:hint="eastAsia"/>
        </w:rPr>
        <w:t>这是橄榄山论述的前提；这是橄榄山论述的教导；这是所有新约末世论的前提和教导；这也是无千禧年论信仰的前提、教导和核心。</w:t>
      </w:r>
    </w:p>
    <w:p w14:paraId="7BCC7C44">
      <w:pPr>
        <w:pStyle w:val="9"/>
        <w:spacing w:before="23"/>
        <w:ind w:left="0"/>
        <w:jc w:val="left"/>
        <w:rPr>
          <w:rFonts w:hint="eastAsia"/>
        </w:rPr>
      </w:pPr>
    </w:p>
    <w:p w14:paraId="5EFC2FF6">
      <w:pPr>
        <w:pStyle w:val="9"/>
        <w:spacing w:before="23"/>
        <w:ind w:left="0"/>
        <w:jc w:val="left"/>
        <w:rPr>
          <w:rFonts w:hint="eastAsia"/>
        </w:rPr>
      </w:pPr>
      <w:r>
        <w:rPr>
          <w:rFonts w:hint="eastAsia"/>
        </w:rPr>
        <w:t>5.I Will Come Again</w:t>
      </w:r>
    </w:p>
    <w:p w14:paraId="60905D1E">
      <w:pPr>
        <w:pStyle w:val="9"/>
        <w:spacing w:before="23"/>
        <w:ind w:left="0"/>
        <w:jc w:val="left"/>
        <w:rPr>
          <w:rFonts w:hint="eastAsia"/>
        </w:rPr>
      </w:pPr>
      <w:r>
        <w:rPr>
          <w:rFonts w:hint="eastAsia"/>
        </w:rPr>
        <w:t>5.我必再来</w:t>
      </w:r>
    </w:p>
    <w:p w14:paraId="2775EB21">
      <w:pPr>
        <w:pStyle w:val="9"/>
        <w:spacing w:before="23"/>
        <w:ind w:left="0"/>
        <w:jc w:val="left"/>
        <w:rPr>
          <w:rFonts w:hint="eastAsia"/>
        </w:rPr>
      </w:pPr>
    </w:p>
    <w:p w14:paraId="3E9C6FE9">
      <w:pPr>
        <w:pStyle w:val="9"/>
        <w:spacing w:before="23"/>
        <w:ind w:left="0"/>
        <w:jc w:val="left"/>
        <w:rPr>
          <w:rFonts w:hint="eastAsia"/>
        </w:rPr>
      </w:pPr>
      <w:r>
        <w:rPr>
          <w:rFonts w:hint="eastAsia"/>
        </w:rPr>
        <w:t>(John 14:1-3)</w:t>
      </w:r>
    </w:p>
    <w:p w14:paraId="48BE8069">
      <w:pPr>
        <w:pStyle w:val="9"/>
        <w:spacing w:before="23"/>
        <w:ind w:left="0"/>
        <w:jc w:val="left"/>
        <w:rPr>
          <w:rFonts w:hint="eastAsia"/>
        </w:rPr>
      </w:pPr>
      <w:r>
        <w:rPr>
          <w:rFonts w:hint="eastAsia"/>
        </w:rPr>
        <w:t>（约翰福音14:1-3）</w:t>
      </w:r>
    </w:p>
    <w:p w14:paraId="21206011">
      <w:pPr>
        <w:pStyle w:val="9"/>
        <w:spacing w:before="23"/>
        <w:ind w:left="0"/>
        <w:jc w:val="left"/>
        <w:rPr>
          <w:rFonts w:hint="eastAsia"/>
        </w:rPr>
      </w:pPr>
    </w:p>
    <w:p w14:paraId="0AF105C4">
      <w:pPr>
        <w:pStyle w:val="9"/>
        <w:spacing w:before="23"/>
        <w:ind w:left="0"/>
        <w:jc w:val="left"/>
        <w:rPr>
          <w:rFonts w:hint="eastAsia"/>
        </w:rPr>
      </w:pPr>
      <w:r>
        <w:rPr>
          <w:rFonts w:hint="eastAsia"/>
        </w:rPr>
        <w:t>This is one of the most comforting eschatological texts in all of sacred Scripture.</w:t>
      </w:r>
    </w:p>
    <w:p w14:paraId="32D99748">
      <w:pPr>
        <w:pStyle w:val="9"/>
        <w:spacing w:before="23"/>
        <w:ind w:left="0"/>
        <w:jc w:val="left"/>
        <w:rPr>
          <w:rFonts w:hint="eastAsia"/>
        </w:rPr>
      </w:pPr>
      <w:r>
        <w:rPr>
          <w:rFonts w:hint="eastAsia"/>
        </w:rPr>
        <w:t>这是所有圣经中最令人安慰的末世论经文之一。</w:t>
      </w:r>
    </w:p>
    <w:p w14:paraId="2D819898">
      <w:pPr>
        <w:pStyle w:val="9"/>
        <w:spacing w:before="23"/>
        <w:ind w:left="0"/>
        <w:jc w:val="left"/>
        <w:rPr>
          <w:rFonts w:hint="eastAsia"/>
        </w:rPr>
      </w:pPr>
    </w:p>
    <w:p w14:paraId="2522837E">
      <w:pPr>
        <w:pStyle w:val="9"/>
        <w:spacing w:before="23"/>
        <w:ind w:left="0"/>
        <w:jc w:val="left"/>
        <w:rPr>
          <w:rFonts w:hint="eastAsia"/>
        </w:rPr>
      </w:pPr>
      <w:r>
        <w:rPr>
          <w:rFonts w:hint="eastAsia"/>
        </w:rPr>
        <w:t>It is also one of the most controversial, since here dispensationalists find a primitive revelation of “the Rapture,” the secret coming of Christ in which he will allegedly resurrect and glorify his Church, and then remove her to heaven immediately prior to a seven year season of global Tribulation.</w:t>
      </w:r>
    </w:p>
    <w:p w14:paraId="478C43F1">
      <w:pPr>
        <w:pStyle w:val="9"/>
        <w:spacing w:before="23"/>
        <w:ind w:left="0"/>
        <w:jc w:val="left"/>
        <w:rPr>
          <w:rFonts w:hint="eastAsia"/>
        </w:rPr>
      </w:pPr>
      <w:r>
        <w:rPr>
          <w:rFonts w:hint="eastAsia"/>
        </w:rPr>
        <w:t>它也是最具争议的经文之一，因为时代论者在这里找到了关于“被提”的原始启示，即基督的秘密降临，据称祂将在这次降临中使祂的教会复活并得荣耀，然后在七年的全球大灾难季节之前将她提到天上。</w:t>
      </w:r>
    </w:p>
    <w:p w14:paraId="3A512FE7">
      <w:pPr>
        <w:pStyle w:val="9"/>
        <w:spacing w:before="23"/>
        <w:ind w:left="0"/>
        <w:jc w:val="left"/>
        <w:rPr>
          <w:rFonts w:hint="eastAsia"/>
        </w:rPr>
      </w:pPr>
    </w:p>
    <w:p w14:paraId="15C0C6CA">
      <w:pPr>
        <w:pStyle w:val="9"/>
        <w:spacing w:before="23"/>
        <w:ind w:left="0"/>
        <w:jc w:val="left"/>
        <w:rPr>
          <w:rFonts w:hint="eastAsia"/>
        </w:rPr>
      </w:pPr>
      <w:r>
        <w:rPr>
          <w:rFonts w:hint="eastAsia"/>
        </w:rPr>
        <w:t>Let us once again examine the text itself—this time a bit more closely—and then address the dispensational argument.</w:t>
      </w:r>
    </w:p>
    <w:p w14:paraId="1BEBAB2A">
      <w:pPr>
        <w:pStyle w:val="9"/>
        <w:spacing w:before="23"/>
        <w:ind w:left="0"/>
        <w:jc w:val="left"/>
        <w:rPr>
          <w:rFonts w:hint="eastAsia"/>
        </w:rPr>
      </w:pPr>
      <w:r>
        <w:rPr>
          <w:rFonts w:hint="eastAsia"/>
        </w:rPr>
        <w:t>让我们再次查考这经文本——这次更仔细一点——然后讨论时代论的论点。</w:t>
      </w:r>
    </w:p>
    <w:p w14:paraId="30CF2863">
      <w:pPr>
        <w:pStyle w:val="9"/>
        <w:spacing w:before="23"/>
        <w:ind w:left="0"/>
        <w:jc w:val="left"/>
        <w:rPr>
          <w:rFonts w:hint="eastAsia"/>
        </w:rPr>
      </w:pPr>
    </w:p>
    <w:p w14:paraId="470CB69C">
      <w:pPr>
        <w:pStyle w:val="9"/>
        <w:spacing w:before="23"/>
        <w:ind w:left="0"/>
        <w:jc w:val="left"/>
        <w:rPr>
          <w:rFonts w:hint="eastAsia"/>
        </w:rPr>
      </w:pPr>
      <w:r>
        <w:rPr>
          <w:rFonts w:hint="eastAsia"/>
        </w:rPr>
        <w:t>The disciples are troubled.</w:t>
      </w:r>
    </w:p>
    <w:p w14:paraId="6A337EFE">
      <w:pPr>
        <w:pStyle w:val="9"/>
        <w:spacing w:before="23"/>
        <w:ind w:left="0"/>
        <w:jc w:val="left"/>
        <w:rPr>
          <w:rFonts w:hint="eastAsia"/>
        </w:rPr>
      </w:pPr>
      <w:r>
        <w:rPr>
          <w:rFonts w:hint="eastAsia"/>
        </w:rPr>
        <w:t>门徒们忧愁。</w:t>
      </w:r>
    </w:p>
    <w:p w14:paraId="4FF369A5">
      <w:pPr>
        <w:pStyle w:val="9"/>
        <w:spacing w:before="23"/>
        <w:ind w:left="0"/>
        <w:jc w:val="left"/>
        <w:rPr>
          <w:rFonts w:hint="eastAsia"/>
        </w:rPr>
      </w:pPr>
    </w:p>
    <w:p w14:paraId="19004A2D">
      <w:pPr>
        <w:pStyle w:val="9"/>
        <w:spacing w:before="23"/>
        <w:ind w:left="0"/>
        <w:jc w:val="left"/>
        <w:rPr>
          <w:rFonts w:hint="eastAsia"/>
        </w:rPr>
      </w:pPr>
      <w:r>
        <w:rPr>
          <w:rFonts w:hint="eastAsia"/>
        </w:rPr>
        <w:t>Jesus has just said that one of them will betray him (13:21-30), and that another, their leader, is about to deny him three times (13:37-38).</w:t>
      </w:r>
    </w:p>
    <w:p w14:paraId="62E470BF">
      <w:pPr>
        <w:pStyle w:val="9"/>
        <w:spacing w:before="23"/>
        <w:ind w:left="0"/>
        <w:jc w:val="left"/>
        <w:rPr>
          <w:rFonts w:hint="eastAsia"/>
        </w:rPr>
      </w:pPr>
      <w:r>
        <w:rPr>
          <w:rFonts w:hint="eastAsia"/>
        </w:rPr>
        <w:t>耶稣刚说过他们中有一个人要卖祂（13:21-30），另一个，他们的领袖，将要三次不认祂（13:37-38）。</w:t>
      </w:r>
    </w:p>
    <w:p w14:paraId="598B0C7A">
      <w:pPr>
        <w:pStyle w:val="9"/>
        <w:spacing w:before="23"/>
        <w:ind w:left="0"/>
        <w:jc w:val="left"/>
        <w:rPr>
          <w:rFonts w:hint="eastAsia"/>
        </w:rPr>
      </w:pPr>
    </w:p>
    <w:p w14:paraId="3C8E7580">
      <w:pPr>
        <w:pStyle w:val="9"/>
        <w:spacing w:before="23"/>
        <w:ind w:left="0"/>
        <w:jc w:val="left"/>
        <w:rPr>
          <w:rFonts w:hint="eastAsia"/>
        </w:rPr>
      </w:pPr>
      <w:r>
        <w:rPr>
          <w:rFonts w:hint="eastAsia"/>
        </w:rPr>
        <w:t>Worst of all, he has told them that soon he will go away to his Father, and that they themselves cannot (yet) join him (13:33, 36).</w:t>
      </w:r>
    </w:p>
    <w:p w14:paraId="3D1912B0">
      <w:pPr>
        <w:pStyle w:val="9"/>
        <w:spacing w:before="23"/>
        <w:ind w:left="0"/>
        <w:jc w:val="left"/>
        <w:rPr>
          <w:rFonts w:hint="eastAsia"/>
        </w:rPr>
      </w:pPr>
      <w:r>
        <w:rPr>
          <w:rFonts w:hint="eastAsia"/>
        </w:rPr>
        <w:t>最糟的是，祂告诉他们祂快要往父那里去，而他们自己不能（暂时）跟祂去（13:33, 36）。</w:t>
      </w:r>
    </w:p>
    <w:p w14:paraId="30A191BF">
      <w:pPr>
        <w:pStyle w:val="9"/>
        <w:spacing w:before="23"/>
        <w:ind w:left="0"/>
        <w:jc w:val="left"/>
        <w:rPr>
          <w:rFonts w:hint="eastAsia"/>
        </w:rPr>
      </w:pPr>
    </w:p>
    <w:p w14:paraId="57A51D9B">
      <w:pPr>
        <w:pStyle w:val="9"/>
        <w:spacing w:before="23"/>
        <w:ind w:left="0"/>
        <w:jc w:val="left"/>
        <w:rPr>
          <w:rFonts w:hint="eastAsia"/>
        </w:rPr>
      </w:pPr>
      <w:r>
        <w:rPr>
          <w:rFonts w:hint="eastAsia"/>
        </w:rPr>
        <w:t>Aware of their fears (and forgetful of his own), he therefore devotes what remains of the Upper Room Discourse to preparing and encouraging them for all that lies ahead.</w:t>
      </w:r>
    </w:p>
    <w:p w14:paraId="46BDCCAB">
      <w:pPr>
        <w:pStyle w:val="9"/>
        <w:spacing w:before="23"/>
        <w:ind w:left="0"/>
        <w:jc w:val="left"/>
        <w:rPr>
          <w:rFonts w:hint="eastAsia"/>
        </w:rPr>
      </w:pPr>
      <w:r>
        <w:rPr>
          <w:rFonts w:hint="eastAsia"/>
        </w:rPr>
        <w:t>祂意识到他们的恐惧（却忘了自己的恐惧），因此将楼房论述的剩余部分用来预备和鼓励他们，为所有将要发生的事。</w:t>
      </w:r>
    </w:p>
    <w:p w14:paraId="67B17708">
      <w:pPr>
        <w:pStyle w:val="9"/>
        <w:spacing w:before="23"/>
        <w:ind w:left="0"/>
        <w:jc w:val="left"/>
        <w:rPr>
          <w:rFonts w:hint="eastAsia"/>
        </w:rPr>
      </w:pPr>
    </w:p>
    <w:p w14:paraId="2A946910">
      <w:pPr>
        <w:pStyle w:val="9"/>
        <w:spacing w:before="23"/>
        <w:ind w:left="0"/>
        <w:jc w:val="left"/>
        <w:rPr>
          <w:rFonts w:hint="eastAsia"/>
        </w:rPr>
      </w:pPr>
      <w:r>
        <w:rPr>
          <w:rFonts w:hint="eastAsia"/>
        </w:rPr>
        <w:t>He opens with three commands: “Let not your hearts be troubled: Believe in God, believe also in me” (1).</w:t>
      </w:r>
    </w:p>
    <w:p w14:paraId="27AC4A98">
      <w:pPr>
        <w:pStyle w:val="9"/>
        <w:spacing w:before="23"/>
        <w:ind w:left="0"/>
        <w:jc w:val="left"/>
        <w:rPr>
          <w:rFonts w:hint="eastAsia"/>
        </w:rPr>
      </w:pPr>
      <w:r>
        <w:rPr>
          <w:rFonts w:hint="eastAsia"/>
        </w:rPr>
        <w:t>祂以三个命令开始：“你们心里不要忧愁；你们信上帝，也当信我”（1）。</w:t>
      </w:r>
    </w:p>
    <w:p w14:paraId="0919FAFC">
      <w:pPr>
        <w:pStyle w:val="9"/>
        <w:spacing w:before="23"/>
        <w:ind w:left="0"/>
        <w:jc w:val="left"/>
        <w:rPr>
          <w:rFonts w:hint="eastAsia"/>
        </w:rPr>
      </w:pPr>
    </w:p>
    <w:p w14:paraId="571448B2">
      <w:pPr>
        <w:pStyle w:val="9"/>
        <w:spacing w:before="23"/>
        <w:ind w:left="0"/>
        <w:jc w:val="left"/>
        <w:rPr>
          <w:rFonts w:hint="eastAsia"/>
        </w:rPr>
      </w:pPr>
      <w:r>
        <w:rPr>
          <w:rFonts w:hint="eastAsia"/>
        </w:rPr>
        <w:t>The antidote to their fears—and to ours—is implicit trust in the character, sovereignty, promises, and salvation of God; and not only of God, but also of his Christ, in whom all of these precious gifts and remedies are found (2 Cor. 1:20).</w:t>
      </w:r>
    </w:p>
    <w:p w14:paraId="6C9B63EF">
      <w:pPr>
        <w:pStyle w:val="9"/>
        <w:spacing w:before="23"/>
        <w:ind w:left="0"/>
        <w:jc w:val="left"/>
        <w:rPr>
          <w:rFonts w:hint="eastAsia"/>
        </w:rPr>
      </w:pPr>
      <w:r>
        <w:rPr>
          <w:rFonts w:hint="eastAsia"/>
        </w:rPr>
        <w:t>他们——以及我们——恐惧的解药，是对上帝的品格、主权、应许和救恩的默然信靠；不仅是对上帝，也对祂的基督，因为所有这些宝贵的恩赐和良药都在基督里找到（林后1:20）。</w:t>
      </w:r>
    </w:p>
    <w:p w14:paraId="780B1EE8">
      <w:pPr>
        <w:pStyle w:val="9"/>
        <w:spacing w:before="23"/>
        <w:ind w:left="0"/>
        <w:jc w:val="left"/>
        <w:rPr>
          <w:rFonts w:hint="eastAsia"/>
        </w:rPr>
      </w:pPr>
    </w:p>
    <w:p w14:paraId="349B948D">
      <w:pPr>
        <w:pStyle w:val="9"/>
        <w:spacing w:before="23"/>
        <w:ind w:left="0"/>
        <w:jc w:val="left"/>
        <w:rPr>
          <w:rFonts w:hint="eastAsia"/>
        </w:rPr>
      </w:pPr>
      <w:r>
        <w:rPr>
          <w:rFonts w:hint="eastAsia"/>
        </w:rPr>
        <w:t>Next, he makes a very special promise, a promise designed to cheer their hearts and further strengthen them in the face of their fears:</w:t>
      </w:r>
    </w:p>
    <w:p w14:paraId="724F7543">
      <w:pPr>
        <w:pStyle w:val="9"/>
        <w:spacing w:before="23"/>
        <w:ind w:left="0"/>
        <w:jc w:val="left"/>
        <w:rPr>
          <w:rFonts w:hint="eastAsia"/>
        </w:rPr>
      </w:pPr>
      <w:r>
        <w:rPr>
          <w:rFonts w:hint="eastAsia"/>
        </w:rPr>
        <w:t>接着，祂作了一个非常特别的应许，一个旨在安慰他们的心，并进一步在他们恐惧面前坚固他们的应许：</w:t>
      </w:r>
    </w:p>
    <w:p w14:paraId="1D080AC2">
      <w:pPr>
        <w:pStyle w:val="9"/>
        <w:spacing w:before="23"/>
        <w:ind w:left="0"/>
        <w:jc w:val="left"/>
        <w:rPr>
          <w:rFonts w:hint="eastAsia"/>
        </w:rPr>
      </w:pPr>
    </w:p>
    <w:p w14:paraId="49A7B62C">
      <w:pPr>
        <w:pStyle w:val="9"/>
        <w:spacing w:before="23"/>
        <w:ind w:left="0"/>
        <w:jc w:val="left"/>
        <w:rPr>
          <w:rFonts w:hint="eastAsia"/>
        </w:rPr>
      </w:pPr>
      <w:r>
        <w:rPr>
          <w:rFonts w:hint="eastAsia"/>
        </w:rPr>
        <w:t>In my Father’s house there are many dwelling places.</w:t>
      </w:r>
    </w:p>
    <w:p w14:paraId="10A1F3D2">
      <w:pPr>
        <w:pStyle w:val="9"/>
        <w:spacing w:before="23"/>
        <w:ind w:left="0"/>
        <w:jc w:val="left"/>
        <w:rPr>
          <w:rFonts w:hint="eastAsia"/>
        </w:rPr>
      </w:pPr>
      <w:r>
        <w:rPr>
          <w:rFonts w:hint="eastAsia"/>
        </w:rPr>
        <w:t>在我父的家里有许多住处。</w:t>
      </w:r>
    </w:p>
    <w:p w14:paraId="6DA3ADCE">
      <w:pPr>
        <w:pStyle w:val="9"/>
        <w:spacing w:before="23"/>
        <w:ind w:left="0"/>
        <w:jc w:val="left"/>
        <w:rPr>
          <w:rFonts w:hint="eastAsia"/>
        </w:rPr>
      </w:pPr>
    </w:p>
    <w:p w14:paraId="1D9D7B15">
      <w:pPr>
        <w:pStyle w:val="9"/>
        <w:spacing w:before="23"/>
        <w:ind w:left="0"/>
        <w:jc w:val="left"/>
        <w:rPr>
          <w:rFonts w:hint="eastAsia"/>
        </w:rPr>
      </w:pPr>
      <w:r>
        <w:rPr>
          <w:rFonts w:hint="eastAsia"/>
        </w:rPr>
        <w:t>If it were not so, would I have told you that I go to prepare a place for you?</w:t>
      </w:r>
    </w:p>
    <w:p w14:paraId="26E9778B">
      <w:pPr>
        <w:pStyle w:val="9"/>
        <w:spacing w:before="23"/>
        <w:ind w:left="0"/>
        <w:jc w:val="left"/>
        <w:rPr>
          <w:rFonts w:hint="eastAsia"/>
        </w:rPr>
      </w:pPr>
      <w:r>
        <w:rPr>
          <w:rFonts w:hint="eastAsia"/>
        </w:rPr>
        <w:t>若是没有，我就早已告诉你们了。我去原是为你们预备地方去。</w:t>
      </w:r>
    </w:p>
    <w:p w14:paraId="60DE7A1A">
      <w:pPr>
        <w:pStyle w:val="9"/>
        <w:spacing w:before="23"/>
        <w:ind w:left="0"/>
        <w:jc w:val="left"/>
        <w:rPr>
          <w:rFonts w:hint="eastAsia"/>
        </w:rPr>
      </w:pPr>
    </w:p>
    <w:p w14:paraId="6FB37B26">
      <w:pPr>
        <w:pStyle w:val="9"/>
        <w:spacing w:before="23"/>
        <w:ind w:left="0"/>
        <w:jc w:val="left"/>
        <w:rPr>
          <w:rFonts w:hint="eastAsia"/>
        </w:rPr>
      </w:pPr>
      <w:r>
        <w:rPr>
          <w:rFonts w:hint="eastAsia"/>
        </w:rPr>
        <w:t>And if I go and prepare a place for you, I will come again and take you to myself, that where I am you may be also.</w:t>
      </w:r>
    </w:p>
    <w:p w14:paraId="15F7E0D1">
      <w:pPr>
        <w:pStyle w:val="9"/>
        <w:spacing w:before="23"/>
        <w:ind w:left="0"/>
        <w:jc w:val="left"/>
        <w:rPr>
          <w:rFonts w:hint="eastAsia"/>
        </w:rPr>
      </w:pPr>
      <w:r>
        <w:rPr>
          <w:rFonts w:hint="eastAsia"/>
        </w:rPr>
        <w:t>我若去为你们预备了地方，就必再来接你们到我那里去，我在哪里，叫你们也在那里。</w:t>
      </w:r>
    </w:p>
    <w:p w14:paraId="45707271">
      <w:pPr>
        <w:pStyle w:val="9"/>
        <w:spacing w:before="23"/>
        <w:ind w:left="0"/>
        <w:jc w:val="left"/>
        <w:rPr>
          <w:rFonts w:hint="eastAsia"/>
        </w:rPr>
      </w:pPr>
    </w:p>
    <w:p w14:paraId="2CD034A6">
      <w:pPr>
        <w:pStyle w:val="9"/>
        <w:spacing w:before="23"/>
        <w:ind w:left="0"/>
        <w:jc w:val="left"/>
        <w:rPr>
          <w:rFonts w:hint="eastAsia"/>
        </w:rPr>
      </w:pPr>
      <w:r>
        <w:rPr>
          <w:rFonts w:hint="eastAsia"/>
        </w:rPr>
        <w:t>—John 14:2-3</w:t>
      </w:r>
    </w:p>
    <w:p w14:paraId="0F0672CC">
      <w:pPr>
        <w:pStyle w:val="9"/>
        <w:spacing w:before="23"/>
        <w:ind w:left="0"/>
        <w:jc w:val="left"/>
        <w:rPr>
          <w:rFonts w:hint="eastAsia"/>
        </w:rPr>
      </w:pPr>
      <w:r>
        <w:rPr>
          <w:rFonts w:hint="eastAsia"/>
        </w:rPr>
        <w:t>——约翰福音14:2-3</w:t>
      </w:r>
    </w:p>
    <w:p w14:paraId="651F2A28">
      <w:pPr>
        <w:pStyle w:val="9"/>
        <w:spacing w:before="23"/>
        <w:ind w:left="0"/>
        <w:jc w:val="left"/>
        <w:rPr>
          <w:rFonts w:hint="eastAsia"/>
        </w:rPr>
      </w:pPr>
    </w:p>
    <w:p w14:paraId="274EE31F">
      <w:pPr>
        <w:pStyle w:val="9"/>
        <w:spacing w:before="23"/>
        <w:ind w:left="0"/>
        <w:jc w:val="left"/>
        <w:rPr>
          <w:rFonts w:hint="eastAsia"/>
        </w:rPr>
      </w:pPr>
      <w:r>
        <w:rPr>
          <w:rFonts w:hint="eastAsia"/>
        </w:rPr>
        <w:t>To receive the extraordinary comfort of these words, we must understand Jewish marriage customs, for they were very much in Jesus’ mind when he thus spoke.</w:t>
      </w:r>
    </w:p>
    <w:p w14:paraId="74E4141F">
      <w:pPr>
        <w:pStyle w:val="9"/>
        <w:spacing w:before="23"/>
        <w:ind w:left="0"/>
        <w:jc w:val="left"/>
        <w:rPr>
          <w:rFonts w:hint="eastAsia"/>
        </w:rPr>
      </w:pPr>
      <w:r>
        <w:rPr>
          <w:rFonts w:hint="eastAsia"/>
        </w:rPr>
        <w:t>要领受这些话语非凡的安慰，我们必须理解犹太人的婚姻习俗，因为耶稣这样说时，心中正是想着这些。</w:t>
      </w:r>
    </w:p>
    <w:p w14:paraId="672B4D13">
      <w:pPr>
        <w:pStyle w:val="9"/>
        <w:spacing w:before="23"/>
        <w:ind w:left="0"/>
        <w:jc w:val="left"/>
        <w:rPr>
          <w:rFonts w:hint="eastAsia"/>
        </w:rPr>
      </w:pPr>
    </w:p>
    <w:p w14:paraId="0CA3CD42">
      <w:pPr>
        <w:pStyle w:val="9"/>
        <w:spacing w:before="23"/>
        <w:ind w:left="0"/>
        <w:jc w:val="left"/>
        <w:rPr>
          <w:rFonts w:hint="eastAsia"/>
        </w:rPr>
      </w:pPr>
      <w:r>
        <w:rPr>
          <w:rFonts w:hint="eastAsia"/>
        </w:rPr>
        <w:t>Broadly, an ancient Jewish marriage had three components.</w:t>
      </w:r>
    </w:p>
    <w:p w14:paraId="0F70F9A7">
      <w:pPr>
        <w:pStyle w:val="9"/>
        <w:spacing w:before="23"/>
        <w:ind w:left="0"/>
        <w:jc w:val="left"/>
        <w:rPr>
          <w:rFonts w:hint="eastAsia"/>
        </w:rPr>
      </w:pPr>
      <w:r>
        <w:rPr>
          <w:rFonts w:hint="eastAsia"/>
        </w:rPr>
        <w:t>广义上，古代犹太人的婚姻有三个组成部分。</w:t>
      </w:r>
    </w:p>
    <w:p w14:paraId="598A1C45">
      <w:pPr>
        <w:pStyle w:val="9"/>
        <w:spacing w:before="23"/>
        <w:ind w:left="0"/>
        <w:jc w:val="left"/>
        <w:rPr>
          <w:rFonts w:hint="eastAsia"/>
        </w:rPr>
      </w:pPr>
    </w:p>
    <w:p w14:paraId="19BC03A1">
      <w:pPr>
        <w:pStyle w:val="9"/>
        <w:spacing w:before="23"/>
        <w:ind w:left="0"/>
        <w:jc w:val="left"/>
        <w:rPr>
          <w:rFonts w:hint="eastAsia"/>
        </w:rPr>
      </w:pPr>
      <w:r>
        <w:rPr>
          <w:rFonts w:hint="eastAsia"/>
        </w:rPr>
        <w:t>First came the betrothal.</w:t>
      </w:r>
    </w:p>
    <w:p w14:paraId="548B5187">
      <w:pPr>
        <w:pStyle w:val="9"/>
        <w:spacing w:before="23"/>
        <w:ind w:left="0"/>
        <w:jc w:val="left"/>
        <w:rPr>
          <w:rFonts w:hint="eastAsia"/>
        </w:rPr>
      </w:pPr>
      <w:r>
        <w:rPr>
          <w:rFonts w:hint="eastAsia"/>
        </w:rPr>
        <w:t>首先是订婚。</w:t>
      </w:r>
    </w:p>
    <w:p w14:paraId="2CC851A4">
      <w:pPr>
        <w:pStyle w:val="9"/>
        <w:spacing w:before="23"/>
        <w:ind w:left="0"/>
        <w:jc w:val="left"/>
        <w:rPr>
          <w:rFonts w:hint="eastAsia"/>
        </w:rPr>
      </w:pPr>
    </w:p>
    <w:p w14:paraId="104B4DB6">
      <w:pPr>
        <w:pStyle w:val="9"/>
        <w:spacing w:before="23"/>
        <w:ind w:left="0"/>
        <w:jc w:val="left"/>
        <w:rPr>
          <w:rFonts w:hint="eastAsia"/>
        </w:rPr>
      </w:pPr>
      <w:r>
        <w:rPr>
          <w:rFonts w:hint="eastAsia"/>
        </w:rPr>
        <w:t>Here the parents of a young man arranged a suitable marriage for their son.</w:t>
      </w:r>
    </w:p>
    <w:p w14:paraId="3AD2B661">
      <w:pPr>
        <w:pStyle w:val="9"/>
        <w:spacing w:before="23"/>
        <w:ind w:left="0"/>
        <w:jc w:val="left"/>
        <w:rPr>
          <w:rFonts w:hint="eastAsia"/>
        </w:rPr>
      </w:pPr>
      <w:r>
        <w:rPr>
          <w:rFonts w:hint="eastAsia"/>
        </w:rPr>
        <w:t>在这里，一个年轻人的父母为他们的儿子安排了一门合适的婚事。</w:t>
      </w:r>
    </w:p>
    <w:p w14:paraId="207316D0">
      <w:pPr>
        <w:pStyle w:val="9"/>
        <w:spacing w:before="23"/>
        <w:ind w:left="0"/>
        <w:jc w:val="left"/>
        <w:rPr>
          <w:rFonts w:hint="eastAsia"/>
        </w:rPr>
      </w:pPr>
    </w:p>
    <w:p w14:paraId="4615CAF5">
      <w:pPr>
        <w:pStyle w:val="9"/>
        <w:spacing w:before="23"/>
        <w:ind w:left="0"/>
        <w:jc w:val="left"/>
        <w:rPr>
          <w:rFonts w:hint="eastAsia"/>
        </w:rPr>
      </w:pPr>
      <w:r>
        <w:rPr>
          <w:rFonts w:hint="eastAsia"/>
        </w:rPr>
        <w:t>This involved the father paying a certain “price” to the bride’s parents, after which the families usually exchanged gifts and drank a cup of wine to seal the marriage covenant.</w:t>
      </w:r>
    </w:p>
    <w:p w14:paraId="212E487F">
      <w:pPr>
        <w:pStyle w:val="9"/>
        <w:spacing w:before="23"/>
        <w:ind w:left="0"/>
        <w:jc w:val="left"/>
        <w:rPr>
          <w:rFonts w:hint="eastAsia"/>
        </w:rPr>
      </w:pPr>
      <w:r>
        <w:rPr>
          <w:rFonts w:hint="eastAsia"/>
        </w:rPr>
        <w:t>这涉及到父亲向新娘的父母支付一定的“聘金”，之后两家通常会交换礼物并喝一杯酒来订立婚约。</w:t>
      </w:r>
    </w:p>
    <w:p w14:paraId="53FF2E46">
      <w:pPr>
        <w:pStyle w:val="9"/>
        <w:spacing w:before="23"/>
        <w:ind w:left="0"/>
        <w:jc w:val="left"/>
        <w:rPr>
          <w:rFonts w:hint="eastAsia"/>
        </w:rPr>
      </w:pPr>
    </w:p>
    <w:p w14:paraId="347D8FE9">
      <w:pPr>
        <w:pStyle w:val="9"/>
        <w:spacing w:before="23"/>
        <w:ind w:left="0"/>
        <w:jc w:val="left"/>
        <w:rPr>
          <w:rFonts w:hint="eastAsia"/>
        </w:rPr>
      </w:pPr>
      <w:r>
        <w:rPr>
          <w:rFonts w:hint="eastAsia"/>
        </w:rPr>
        <w:t>At this point, the couple was legally married.</w:t>
      </w:r>
    </w:p>
    <w:p w14:paraId="220783CB">
      <w:pPr>
        <w:pStyle w:val="9"/>
        <w:spacing w:before="23"/>
        <w:ind w:left="0"/>
        <w:jc w:val="left"/>
        <w:rPr>
          <w:rFonts w:hint="eastAsia"/>
        </w:rPr>
      </w:pPr>
      <w:r>
        <w:rPr>
          <w:rFonts w:hint="eastAsia"/>
        </w:rPr>
        <w:t>此时，这对夫妇就合法结婚了。</w:t>
      </w:r>
    </w:p>
    <w:p w14:paraId="09F58C8E">
      <w:pPr>
        <w:pStyle w:val="9"/>
        <w:spacing w:before="23"/>
        <w:ind w:left="0"/>
        <w:jc w:val="left"/>
        <w:rPr>
          <w:rFonts w:hint="eastAsia"/>
        </w:rPr>
      </w:pPr>
    </w:p>
    <w:p w14:paraId="708723DD">
      <w:pPr>
        <w:pStyle w:val="9"/>
        <w:spacing w:before="23"/>
        <w:ind w:left="0"/>
        <w:jc w:val="left"/>
        <w:rPr>
          <w:rFonts w:hint="eastAsia"/>
        </w:rPr>
      </w:pPr>
      <w:r>
        <w:rPr>
          <w:rFonts w:hint="eastAsia"/>
        </w:rPr>
        <w:t>Next there came a period of waiting.</w:t>
      </w:r>
    </w:p>
    <w:p w14:paraId="5319BB0A">
      <w:pPr>
        <w:pStyle w:val="9"/>
        <w:spacing w:before="23"/>
        <w:ind w:left="0"/>
        <w:jc w:val="left"/>
        <w:rPr>
          <w:rFonts w:hint="eastAsia"/>
        </w:rPr>
      </w:pPr>
      <w:r>
        <w:rPr>
          <w:rFonts w:hint="eastAsia"/>
        </w:rPr>
        <w:t>接着是一段等待的时期。</w:t>
      </w:r>
    </w:p>
    <w:p w14:paraId="1FBB4DFC">
      <w:pPr>
        <w:pStyle w:val="9"/>
        <w:spacing w:before="23"/>
        <w:ind w:left="0"/>
        <w:jc w:val="left"/>
        <w:rPr>
          <w:rFonts w:hint="eastAsia"/>
        </w:rPr>
      </w:pPr>
    </w:p>
    <w:p w14:paraId="401871AD">
      <w:pPr>
        <w:pStyle w:val="9"/>
        <w:spacing w:before="23"/>
        <w:ind w:left="0"/>
        <w:jc w:val="left"/>
        <w:rPr>
          <w:rFonts w:hint="eastAsia"/>
        </w:rPr>
      </w:pPr>
      <w:r>
        <w:rPr>
          <w:rFonts w:hint="eastAsia"/>
        </w:rPr>
        <w:t>During this time, which could be quite lengthy, the groom prepared a house (or rooms) for his bride, sometimes on his father’s estate.</w:t>
      </w:r>
    </w:p>
    <w:p w14:paraId="5CCD9C1A">
      <w:pPr>
        <w:pStyle w:val="9"/>
        <w:spacing w:before="23"/>
        <w:ind w:left="0"/>
        <w:jc w:val="left"/>
        <w:rPr>
          <w:rFonts w:hint="eastAsia"/>
        </w:rPr>
      </w:pPr>
      <w:r>
        <w:rPr>
          <w:rFonts w:hint="eastAsia"/>
        </w:rPr>
        <w:t>在这段时间里，可能相当长，新郎为他的新娘预备一个家（或房间），有时是在他父亲的产业上。</w:t>
      </w:r>
    </w:p>
    <w:p w14:paraId="18154C12">
      <w:pPr>
        <w:pStyle w:val="9"/>
        <w:spacing w:before="23"/>
        <w:ind w:left="0"/>
        <w:jc w:val="left"/>
        <w:rPr>
          <w:rFonts w:hint="eastAsia"/>
        </w:rPr>
      </w:pPr>
    </w:p>
    <w:p w14:paraId="4E067F68">
      <w:pPr>
        <w:pStyle w:val="9"/>
        <w:spacing w:before="23"/>
        <w:ind w:left="0"/>
        <w:jc w:val="left"/>
        <w:rPr>
          <w:rFonts w:hint="eastAsia"/>
        </w:rPr>
      </w:pPr>
      <w:r>
        <w:rPr>
          <w:rFonts w:hint="eastAsia"/>
        </w:rPr>
        <w:t>Meanwhile, the bride prepared herself to live and serve with her husband as a skillful keeper of his home.</w:t>
      </w:r>
    </w:p>
    <w:p w14:paraId="5727C8FC">
      <w:pPr>
        <w:pStyle w:val="9"/>
        <w:spacing w:before="23"/>
        <w:ind w:left="0"/>
        <w:jc w:val="left"/>
        <w:rPr>
          <w:rFonts w:hint="eastAsia"/>
        </w:rPr>
      </w:pPr>
      <w:r>
        <w:rPr>
          <w:rFonts w:hint="eastAsia"/>
        </w:rPr>
        <w:t>同时，新娘也预备自己，要作为一个熟练的管家，与她的丈夫一同生活和服事。</w:t>
      </w:r>
    </w:p>
    <w:p w14:paraId="7EDD2051">
      <w:pPr>
        <w:pStyle w:val="9"/>
        <w:spacing w:before="23"/>
        <w:ind w:left="0"/>
        <w:jc w:val="left"/>
        <w:rPr>
          <w:rFonts w:hint="eastAsia"/>
        </w:rPr>
      </w:pPr>
    </w:p>
    <w:p w14:paraId="0B3EE726">
      <w:pPr>
        <w:pStyle w:val="9"/>
        <w:spacing w:before="23"/>
        <w:ind w:left="0"/>
        <w:jc w:val="left"/>
        <w:rPr>
          <w:rFonts w:hint="eastAsia"/>
        </w:rPr>
      </w:pPr>
      <w:r>
        <w:rPr>
          <w:rFonts w:hint="eastAsia"/>
        </w:rPr>
        <w:t>Finally, there came the wedding ceremony.</w:t>
      </w:r>
    </w:p>
    <w:p w14:paraId="1C1F185B">
      <w:pPr>
        <w:pStyle w:val="9"/>
        <w:spacing w:before="23"/>
        <w:ind w:left="0"/>
        <w:jc w:val="left"/>
        <w:rPr>
          <w:rFonts w:hint="eastAsia"/>
        </w:rPr>
      </w:pPr>
      <w:r>
        <w:rPr>
          <w:rFonts w:hint="eastAsia"/>
        </w:rPr>
        <w:t>最后，是婚礼仪式。</w:t>
      </w:r>
    </w:p>
    <w:p w14:paraId="79DFDFB4">
      <w:pPr>
        <w:pStyle w:val="9"/>
        <w:spacing w:before="23"/>
        <w:ind w:left="0"/>
        <w:jc w:val="left"/>
        <w:rPr>
          <w:rFonts w:hint="eastAsia"/>
        </w:rPr>
      </w:pPr>
    </w:p>
    <w:p w14:paraId="367D7D65">
      <w:pPr>
        <w:pStyle w:val="9"/>
        <w:spacing w:before="23"/>
        <w:ind w:left="0"/>
        <w:jc w:val="left"/>
        <w:rPr>
          <w:rFonts w:hint="eastAsia"/>
        </w:rPr>
      </w:pPr>
      <w:r>
        <w:rPr>
          <w:rFonts w:hint="eastAsia"/>
        </w:rPr>
        <w:t>At night the groom and his friends would make their way through the streets to the bride’s house in a joyful procession.</w:t>
      </w:r>
    </w:p>
    <w:p w14:paraId="6C811481">
      <w:pPr>
        <w:pStyle w:val="9"/>
        <w:spacing w:before="23"/>
        <w:ind w:left="0"/>
        <w:jc w:val="left"/>
        <w:rPr>
          <w:rFonts w:hint="eastAsia"/>
        </w:rPr>
      </w:pPr>
      <w:r>
        <w:rPr>
          <w:rFonts w:hint="eastAsia"/>
        </w:rPr>
        <w:t>晚上，新郎和他的朋友们会以一个喜乐的队伍，穿过街道前往新娘的家。</w:t>
      </w:r>
    </w:p>
    <w:p w14:paraId="1E0B7419">
      <w:pPr>
        <w:pStyle w:val="9"/>
        <w:spacing w:before="23"/>
        <w:ind w:left="0"/>
        <w:jc w:val="left"/>
        <w:rPr>
          <w:rFonts w:hint="eastAsia"/>
        </w:rPr>
      </w:pPr>
    </w:p>
    <w:p w14:paraId="7799ED1D">
      <w:pPr>
        <w:pStyle w:val="9"/>
        <w:spacing w:before="23"/>
        <w:ind w:left="0"/>
        <w:jc w:val="left"/>
        <w:rPr>
          <w:rFonts w:hint="eastAsia"/>
        </w:rPr>
      </w:pPr>
      <w:r>
        <w:rPr>
          <w:rFonts w:hint="eastAsia"/>
        </w:rPr>
        <w:t>When they arrived, she and her maids would then join the groom, usually returning to his father’s house for the marriage ceremony, the marriage feast, the consummation of the marriage, and more festivities when the couple emerged from the chuppa, or bridal chamber, to rejoin the party.</w:t>
      </w:r>
    </w:p>
    <w:p w14:paraId="3671F4BD">
      <w:pPr>
        <w:pStyle w:val="9"/>
        <w:spacing w:before="23"/>
        <w:ind w:left="0"/>
        <w:jc w:val="left"/>
        <w:rPr>
          <w:rFonts w:hint="eastAsia"/>
        </w:rPr>
      </w:pPr>
      <w:r>
        <w:rPr>
          <w:rFonts w:hint="eastAsia"/>
        </w:rPr>
        <w:t>当他们到达时，她和她的伴娘们就会加入新郎，通常是回到他父亲的家举行婚礼仪式、婚宴、完婚，以及当这对夫妇从新房（或洞房）出来重新加入派对时更多的庆祝活动。</w:t>
      </w:r>
    </w:p>
    <w:p w14:paraId="755F1FAD">
      <w:pPr>
        <w:pStyle w:val="9"/>
        <w:spacing w:before="23"/>
        <w:ind w:left="0"/>
        <w:jc w:val="left"/>
        <w:rPr>
          <w:rFonts w:hint="eastAsia"/>
        </w:rPr>
      </w:pPr>
    </w:p>
    <w:p w14:paraId="241F38EB">
      <w:pPr>
        <w:pStyle w:val="9"/>
        <w:spacing w:before="23"/>
        <w:ind w:left="0"/>
        <w:jc w:val="left"/>
        <w:rPr>
          <w:rFonts w:hint="eastAsia"/>
        </w:rPr>
      </w:pPr>
      <w:r>
        <w:rPr>
          <w:rFonts w:hint="eastAsia"/>
        </w:rPr>
        <w:t>Henceforth, they would live together as husband and wife.</w:t>
      </w:r>
    </w:p>
    <w:p w14:paraId="51C0BD58">
      <w:pPr>
        <w:pStyle w:val="9"/>
        <w:spacing w:before="23"/>
        <w:ind w:left="0"/>
        <w:jc w:val="left"/>
        <w:rPr>
          <w:rFonts w:hint="eastAsia"/>
        </w:rPr>
      </w:pPr>
      <w:r>
        <w:rPr>
          <w:rFonts w:hint="eastAsia"/>
        </w:rPr>
        <w:t>从此以后，他们将作为夫妻一同生活。</w:t>
      </w:r>
    </w:p>
    <w:p w14:paraId="39ED4C7D">
      <w:pPr>
        <w:pStyle w:val="9"/>
        <w:spacing w:before="23"/>
        <w:ind w:left="0"/>
        <w:jc w:val="left"/>
        <w:rPr>
          <w:rFonts w:hint="eastAsia"/>
        </w:rPr>
      </w:pPr>
    </w:p>
    <w:p w14:paraId="2AE0A232">
      <w:pPr>
        <w:pStyle w:val="9"/>
        <w:spacing w:before="23"/>
        <w:ind w:left="0"/>
        <w:jc w:val="left"/>
        <w:rPr>
          <w:rFonts w:hint="eastAsia"/>
        </w:rPr>
      </w:pPr>
      <w:r>
        <w:rPr>
          <w:rFonts w:hint="eastAsia"/>
        </w:rPr>
        <w:t>Time would fail us to comment on the many ways in which the Holy Spirit drew upon these ancient customs to depict the great Romance of Redemption in Scripture.</w:t>
      </w:r>
    </w:p>
    <w:p w14:paraId="337BE854">
      <w:pPr>
        <w:pStyle w:val="9"/>
        <w:spacing w:before="23"/>
        <w:ind w:left="0"/>
        <w:jc w:val="left"/>
        <w:rPr>
          <w:rFonts w:hint="eastAsia"/>
        </w:rPr>
      </w:pPr>
      <w:r>
        <w:rPr>
          <w:rFonts w:hint="eastAsia"/>
        </w:rPr>
        <w:t>时间不足以让我们评论圣灵以多种方式借鉴这些古老习俗来描绘圣经中伟大的救赎罗曼史。</w:t>
      </w:r>
    </w:p>
    <w:p w14:paraId="74E06E52">
      <w:pPr>
        <w:pStyle w:val="9"/>
        <w:spacing w:before="23"/>
        <w:ind w:left="0"/>
        <w:jc w:val="left"/>
        <w:rPr>
          <w:rFonts w:hint="eastAsia"/>
        </w:rPr>
      </w:pPr>
    </w:p>
    <w:p w14:paraId="0F596B3A">
      <w:pPr>
        <w:pStyle w:val="9"/>
        <w:spacing w:before="23"/>
        <w:ind w:left="0"/>
        <w:jc w:val="left"/>
        <w:rPr>
          <w:rFonts w:hint="eastAsia"/>
        </w:rPr>
      </w:pPr>
      <w:r>
        <w:rPr>
          <w:rFonts w:hint="eastAsia"/>
        </w:rPr>
        <w:t>However, for our present purpose there is but one thing needful: to see that here, in John 14:2-3, Jesus was doing so, as well.</w:t>
      </w:r>
    </w:p>
    <w:p w14:paraId="2065E775">
      <w:pPr>
        <w:pStyle w:val="9"/>
        <w:spacing w:before="23"/>
        <w:ind w:left="0"/>
        <w:jc w:val="left"/>
        <w:rPr>
          <w:rFonts w:hint="eastAsia"/>
        </w:rPr>
      </w:pPr>
      <w:r>
        <w:rPr>
          <w:rFonts w:hint="eastAsia"/>
        </w:rPr>
        <w:t>然而，为了我们现在的目的，只有一件事是必需的：就是看到在这里，在约翰福音14:2-3中，耶稣也同样这样做了。</w:t>
      </w:r>
    </w:p>
    <w:p w14:paraId="5E4765F1">
      <w:pPr>
        <w:pStyle w:val="9"/>
        <w:spacing w:before="23"/>
        <w:ind w:left="0"/>
        <w:jc w:val="left"/>
        <w:rPr>
          <w:rFonts w:hint="eastAsia"/>
        </w:rPr>
      </w:pPr>
    </w:p>
    <w:p w14:paraId="619F694D">
      <w:pPr>
        <w:pStyle w:val="9"/>
        <w:spacing w:before="23"/>
        <w:ind w:left="0"/>
        <w:jc w:val="left"/>
        <w:rPr>
          <w:rFonts w:hint="eastAsia"/>
        </w:rPr>
      </w:pPr>
      <w:r>
        <w:rPr>
          <w:rFonts w:hint="eastAsia"/>
        </w:rPr>
        <w:t>He knew that at Calvary the Father would pay the Bride-price; he knew that immediately thereafter he would return to his Father’s heavenly house to prepare a dwelling place for his Beloved; and he knew that at the appointed time(s), he would return to receive his Bride to himself, so that she might be with him where he is (Mt. 25:1-13).</w:t>
      </w:r>
    </w:p>
    <w:p w14:paraId="0B9DD6E1">
      <w:pPr>
        <w:pStyle w:val="9"/>
        <w:spacing w:before="23"/>
        <w:ind w:left="0"/>
        <w:jc w:val="left"/>
        <w:rPr>
          <w:rFonts w:hint="eastAsia"/>
        </w:rPr>
      </w:pPr>
      <w:r>
        <w:rPr>
          <w:rFonts w:hint="eastAsia"/>
        </w:rPr>
        <w:t>祂知道在加略山，父将支付新妇的聘金；祂知道在那之后祂将立刻回到祂父天上的家，为祂的挚爱预备一个住处；祂知道在指定的时刻，祂将回来接祂的新妇到自己那里去，使她可以在祂所在的地方与祂同在（太25:1-13）。</w:t>
      </w:r>
    </w:p>
    <w:p w14:paraId="758A9F18">
      <w:pPr>
        <w:pStyle w:val="9"/>
        <w:spacing w:before="23"/>
        <w:ind w:left="0"/>
        <w:jc w:val="left"/>
        <w:rPr>
          <w:rFonts w:hint="eastAsia"/>
        </w:rPr>
      </w:pPr>
    </w:p>
    <w:p w14:paraId="3DEA6C9C">
      <w:pPr>
        <w:pStyle w:val="9"/>
        <w:spacing w:before="23"/>
        <w:ind w:left="0"/>
        <w:jc w:val="left"/>
        <w:rPr>
          <w:rFonts w:hint="eastAsia"/>
        </w:rPr>
      </w:pPr>
      <w:r>
        <w:rPr>
          <w:rFonts w:hint="eastAsia"/>
        </w:rPr>
        <w:t>We must pause, however, to probe Jesus’ words very carefully, for as we are about to see, they are fabulously rich with eschatological meaning.</w:t>
      </w:r>
    </w:p>
    <w:p w14:paraId="5D3F2906">
      <w:pPr>
        <w:pStyle w:val="9"/>
        <w:spacing w:before="23"/>
        <w:ind w:left="0"/>
        <w:jc w:val="left"/>
        <w:rPr>
          <w:rFonts w:hint="eastAsia"/>
        </w:rPr>
      </w:pPr>
      <w:r>
        <w:rPr>
          <w:rFonts w:hint="eastAsia"/>
        </w:rPr>
        <w:t>然而，我们必须暂停一下，非常仔细地探究耶稣的话语，因为正如我们将要看到的，它们充满了极其丰富的末世论意义。</w:t>
      </w:r>
    </w:p>
    <w:p w14:paraId="3E7BE81A">
      <w:pPr>
        <w:pStyle w:val="9"/>
        <w:spacing w:before="23"/>
        <w:ind w:left="0"/>
        <w:jc w:val="left"/>
        <w:rPr>
          <w:rFonts w:hint="eastAsia"/>
        </w:rPr>
      </w:pPr>
    </w:p>
    <w:p w14:paraId="53C65EAE">
      <w:pPr>
        <w:pStyle w:val="9"/>
        <w:spacing w:before="23"/>
        <w:ind w:left="0"/>
        <w:jc w:val="left"/>
        <w:rPr>
          <w:rFonts w:hint="eastAsia"/>
        </w:rPr>
      </w:pPr>
      <w:r>
        <w:rPr>
          <w:rFonts w:hint="eastAsia"/>
        </w:rPr>
        <w:t>First, he says, “In my Father’s house there are many dwelling places” (14:2).</w:t>
      </w:r>
    </w:p>
    <w:p w14:paraId="77B4D6F3">
      <w:pPr>
        <w:pStyle w:val="9"/>
        <w:spacing w:before="23"/>
        <w:ind w:left="0"/>
        <w:jc w:val="left"/>
        <w:rPr>
          <w:rFonts w:hint="eastAsia"/>
        </w:rPr>
      </w:pPr>
      <w:r>
        <w:rPr>
          <w:rFonts w:hint="eastAsia"/>
        </w:rPr>
        <w:t>首先，祂说：“在我父的家里有许多住处”（14:2）。</w:t>
      </w:r>
    </w:p>
    <w:p w14:paraId="7F3AA646">
      <w:pPr>
        <w:pStyle w:val="9"/>
        <w:spacing w:before="23"/>
        <w:ind w:left="0"/>
        <w:jc w:val="left"/>
        <w:rPr>
          <w:rFonts w:hint="eastAsia"/>
        </w:rPr>
      </w:pPr>
    </w:p>
    <w:p w14:paraId="5B5F8930">
      <w:pPr>
        <w:pStyle w:val="9"/>
        <w:spacing w:before="23"/>
        <w:ind w:left="0"/>
        <w:jc w:val="left"/>
        <w:rPr>
          <w:rFonts w:hint="eastAsia"/>
        </w:rPr>
      </w:pPr>
      <w:r>
        <w:rPr>
          <w:rFonts w:hint="eastAsia"/>
        </w:rPr>
        <w:t>The reference here is twofold : not only to heaven above, but also to the new heavens and the new earth that Christ will create at his return.</w:t>
      </w:r>
    </w:p>
    <w:p w14:paraId="00E933D8">
      <w:pPr>
        <w:pStyle w:val="9"/>
        <w:spacing w:before="23"/>
        <w:ind w:left="0"/>
        <w:jc w:val="left"/>
        <w:rPr>
          <w:rFonts w:hint="eastAsia"/>
        </w:rPr>
      </w:pPr>
      <w:r>
        <w:rPr>
          <w:rFonts w:hint="eastAsia"/>
        </w:rPr>
        <w:t>这里的所指有双重意义：不仅指天上的天堂，也指基督再来时将创造的新天新地。</w:t>
      </w:r>
    </w:p>
    <w:p w14:paraId="7DB67271">
      <w:pPr>
        <w:pStyle w:val="9"/>
        <w:spacing w:before="23"/>
        <w:ind w:left="0"/>
        <w:jc w:val="left"/>
        <w:rPr>
          <w:rFonts w:hint="eastAsia"/>
        </w:rPr>
      </w:pPr>
    </w:p>
    <w:p w14:paraId="7D7066C9">
      <w:pPr>
        <w:pStyle w:val="9"/>
        <w:spacing w:before="23"/>
        <w:ind w:left="0"/>
        <w:jc w:val="left"/>
        <w:rPr>
          <w:rFonts w:hint="eastAsia"/>
        </w:rPr>
      </w:pPr>
      <w:r>
        <w:rPr>
          <w:rFonts w:hint="eastAsia"/>
        </w:rPr>
        <w:t>In this twofold heaven there are (and will be) many dwelling places.</w:t>
      </w:r>
    </w:p>
    <w:p w14:paraId="702F166A">
      <w:pPr>
        <w:pStyle w:val="9"/>
        <w:spacing w:before="23"/>
        <w:ind w:left="0"/>
        <w:jc w:val="left"/>
        <w:rPr>
          <w:rFonts w:hint="eastAsia"/>
        </w:rPr>
      </w:pPr>
      <w:r>
        <w:rPr>
          <w:rFonts w:hint="eastAsia"/>
        </w:rPr>
        <w:t>在这双重的天堂里，有（并且将有）许多住处。</w:t>
      </w:r>
    </w:p>
    <w:p w14:paraId="279AA256">
      <w:pPr>
        <w:pStyle w:val="9"/>
        <w:spacing w:before="23"/>
        <w:ind w:left="0"/>
        <w:jc w:val="left"/>
        <w:rPr>
          <w:rFonts w:hint="eastAsia"/>
        </w:rPr>
      </w:pPr>
    </w:p>
    <w:p w14:paraId="32F8A6D2">
      <w:pPr>
        <w:pStyle w:val="9"/>
        <w:spacing w:before="23"/>
        <w:ind w:left="0"/>
        <w:jc w:val="left"/>
        <w:rPr>
          <w:rFonts w:hint="eastAsia"/>
        </w:rPr>
      </w:pPr>
      <w:r>
        <w:rPr>
          <w:rFonts w:hint="eastAsia"/>
        </w:rPr>
        <w:t>In other words, in both of these heavenly realms God has carefully prepared, not physical shelters, but spiritual niches; spheres of life and service specially designed for each of his dear children.</w:t>
      </w:r>
    </w:p>
    <w:p w14:paraId="5BE439BB">
      <w:pPr>
        <w:pStyle w:val="9"/>
        <w:spacing w:before="23"/>
        <w:ind w:left="0"/>
        <w:jc w:val="left"/>
        <w:rPr>
          <w:rFonts w:hint="eastAsia"/>
        </w:rPr>
      </w:pPr>
      <w:r>
        <w:rPr>
          <w:rFonts w:hint="eastAsia"/>
        </w:rPr>
        <w:t>换句话说，在这两个属天的领域里，上帝都精心预备了，不是物质的居所，而是属灵的壁龛；是为祂每一个亲爱的儿女特别设计的生活和服务领域。</w:t>
      </w:r>
    </w:p>
    <w:p w14:paraId="721519EC">
      <w:pPr>
        <w:pStyle w:val="9"/>
        <w:spacing w:before="23"/>
        <w:ind w:left="0"/>
        <w:jc w:val="left"/>
        <w:rPr>
          <w:rFonts w:hint="eastAsia"/>
        </w:rPr>
      </w:pPr>
    </w:p>
    <w:p w14:paraId="0319BE43">
      <w:pPr>
        <w:pStyle w:val="9"/>
        <w:spacing w:before="23"/>
        <w:ind w:left="0"/>
        <w:jc w:val="left"/>
        <w:rPr>
          <w:rFonts w:hint="eastAsia"/>
        </w:rPr>
      </w:pPr>
      <w:r>
        <w:rPr>
          <w:rFonts w:hint="eastAsia"/>
        </w:rPr>
        <w:t>And there are many such spheres, for the world up above, and the world up ahead, will be filled with a great multitude of people whom no man can number, taken from all nations, tribes, and tongues (Rev. 7:9f).</w:t>
      </w:r>
    </w:p>
    <w:p w14:paraId="51CC3A98">
      <w:pPr>
        <w:pStyle w:val="9"/>
        <w:spacing w:before="23"/>
        <w:ind w:left="0"/>
        <w:jc w:val="left"/>
        <w:rPr>
          <w:rFonts w:hint="eastAsia"/>
        </w:rPr>
      </w:pPr>
      <w:r>
        <w:rPr>
          <w:rFonts w:hint="eastAsia"/>
        </w:rPr>
        <w:t>并且有许多这样的领域，因为上面的世界和前面的世界，将充满许多的人，无人能数过来，是从各国、各族、各民、各方来的（启7:9及以下）。</w:t>
      </w:r>
    </w:p>
    <w:p w14:paraId="744B531D">
      <w:pPr>
        <w:pStyle w:val="9"/>
        <w:spacing w:before="23"/>
        <w:ind w:left="0"/>
        <w:jc w:val="left"/>
        <w:rPr>
          <w:rFonts w:hint="eastAsia"/>
        </w:rPr>
      </w:pPr>
    </w:p>
    <w:p w14:paraId="3EE83E1C">
      <w:pPr>
        <w:pStyle w:val="9"/>
        <w:spacing w:before="23"/>
        <w:ind w:left="0"/>
        <w:jc w:val="left"/>
        <w:rPr>
          <w:rFonts w:hint="eastAsia"/>
        </w:rPr>
      </w:pPr>
      <w:r>
        <w:rPr>
          <w:rFonts w:hint="eastAsia"/>
        </w:rPr>
        <w:t>As one commentator aptly put it, “The phrase means that (in the heavenly places) there is room, and room to spare, for all the redeemed of the Lord.”</w:t>
      </w:r>
    </w:p>
    <w:p w14:paraId="3216B3B1">
      <w:pPr>
        <w:pStyle w:val="9"/>
        <w:spacing w:before="23"/>
        <w:ind w:left="0"/>
        <w:jc w:val="left"/>
        <w:rPr>
          <w:rFonts w:hint="eastAsia"/>
        </w:rPr>
      </w:pPr>
      <w:r>
        <w:rPr>
          <w:rFonts w:hint="eastAsia"/>
        </w:rPr>
        <w:t>正如一位评论员所恰当说的：“这句话的意思是（在属天之处）有地方，而且有余地，给所有主的被赎者。”</w:t>
      </w:r>
    </w:p>
    <w:p w14:paraId="16466937">
      <w:pPr>
        <w:pStyle w:val="9"/>
        <w:spacing w:before="23"/>
        <w:ind w:left="0"/>
        <w:jc w:val="left"/>
        <w:rPr>
          <w:rFonts w:hint="eastAsia"/>
        </w:rPr>
      </w:pPr>
    </w:p>
    <w:p w14:paraId="225D7763">
      <w:pPr>
        <w:pStyle w:val="9"/>
        <w:spacing w:before="23"/>
        <w:ind w:left="0"/>
        <w:jc w:val="left"/>
        <w:rPr>
          <w:rFonts w:hint="eastAsia"/>
        </w:rPr>
      </w:pPr>
      <w:r>
        <w:rPr>
          <w:rFonts w:hint="eastAsia"/>
        </w:rPr>
        <w:t>Next, Jesus assures the disciples that “I go to prepare a place for you” (14:2).</w:t>
      </w:r>
    </w:p>
    <w:p w14:paraId="5D812FD7">
      <w:pPr>
        <w:pStyle w:val="9"/>
        <w:spacing w:before="23"/>
        <w:ind w:left="0"/>
        <w:jc w:val="left"/>
        <w:rPr>
          <w:rFonts w:hint="eastAsia"/>
        </w:rPr>
      </w:pPr>
      <w:r>
        <w:rPr>
          <w:rFonts w:hint="eastAsia"/>
        </w:rPr>
        <w:t>接着，耶稣向门徒们保证说：“我去原是为你们预备地方去”（14:2）。</w:t>
      </w:r>
    </w:p>
    <w:p w14:paraId="23FB3EB6">
      <w:pPr>
        <w:pStyle w:val="9"/>
        <w:spacing w:before="23"/>
        <w:ind w:left="0"/>
        <w:jc w:val="left"/>
        <w:rPr>
          <w:rFonts w:hint="eastAsia"/>
        </w:rPr>
      </w:pPr>
    </w:p>
    <w:p w14:paraId="21D877E2">
      <w:pPr>
        <w:pStyle w:val="9"/>
        <w:spacing w:before="23"/>
        <w:ind w:left="0"/>
        <w:jc w:val="left"/>
        <w:rPr>
          <w:rFonts w:hint="eastAsia"/>
        </w:rPr>
      </w:pPr>
      <w:r>
        <w:rPr>
          <w:rFonts w:hint="eastAsia"/>
        </w:rPr>
        <w:t>Again we have a twofold meaning.</w:t>
      </w:r>
    </w:p>
    <w:p w14:paraId="48F2A51E">
      <w:pPr>
        <w:pStyle w:val="9"/>
        <w:spacing w:before="23"/>
        <w:ind w:left="0"/>
        <w:jc w:val="left"/>
        <w:rPr>
          <w:rFonts w:hint="eastAsia"/>
        </w:rPr>
      </w:pPr>
      <w:r>
        <w:rPr>
          <w:rFonts w:hint="eastAsia"/>
        </w:rPr>
        <w:t>我们再次有了一个双重的意义。</w:t>
      </w:r>
    </w:p>
    <w:p w14:paraId="0EEE252C">
      <w:pPr>
        <w:pStyle w:val="9"/>
        <w:spacing w:before="23"/>
        <w:ind w:left="0"/>
        <w:jc w:val="left"/>
        <w:rPr>
          <w:rFonts w:hint="eastAsia"/>
        </w:rPr>
      </w:pPr>
    </w:p>
    <w:p w14:paraId="66FBC679">
      <w:pPr>
        <w:pStyle w:val="9"/>
        <w:spacing w:before="23"/>
        <w:ind w:left="0"/>
        <w:jc w:val="left"/>
        <w:rPr>
          <w:rFonts w:hint="eastAsia"/>
        </w:rPr>
      </w:pPr>
      <w:r>
        <w:rPr>
          <w:rFonts w:hint="eastAsia"/>
        </w:rPr>
        <w:t>First, he goes to prepare a place for the saints in heaven above.</w:t>
      </w:r>
    </w:p>
    <w:p w14:paraId="7503493D">
      <w:pPr>
        <w:pStyle w:val="9"/>
        <w:spacing w:before="23"/>
        <w:ind w:left="0"/>
        <w:jc w:val="left"/>
        <w:rPr>
          <w:rFonts w:hint="eastAsia"/>
        </w:rPr>
      </w:pPr>
      <w:r>
        <w:rPr>
          <w:rFonts w:hint="eastAsia"/>
        </w:rPr>
        <w:t>首先，祂去为圣徒们在天上的天堂预备地方。</w:t>
      </w:r>
    </w:p>
    <w:p w14:paraId="50016B3D">
      <w:pPr>
        <w:pStyle w:val="9"/>
        <w:spacing w:before="23"/>
        <w:ind w:left="0"/>
        <w:jc w:val="left"/>
        <w:rPr>
          <w:rFonts w:hint="eastAsia"/>
        </w:rPr>
      </w:pPr>
    </w:p>
    <w:p w14:paraId="335B94C0">
      <w:pPr>
        <w:pStyle w:val="9"/>
        <w:spacing w:before="23"/>
        <w:ind w:left="0"/>
        <w:jc w:val="left"/>
        <w:rPr>
          <w:rFonts w:hint="eastAsia"/>
        </w:rPr>
      </w:pPr>
      <w:r>
        <w:rPr>
          <w:rFonts w:hint="eastAsia"/>
        </w:rPr>
        <w:t>That is, he enters heaven as their High Priest and Sacrifice, there to make intercession for them, with the result that the Father now can welcome them into heaven as his beloved children (Rom. 8:34, Heb. 6:19-20, 7:25).</w:t>
      </w:r>
    </w:p>
    <w:p w14:paraId="16E1567A">
      <w:pPr>
        <w:pStyle w:val="9"/>
        <w:spacing w:before="23"/>
        <w:ind w:left="0"/>
        <w:jc w:val="left"/>
        <w:rPr>
          <w:rFonts w:hint="eastAsia"/>
        </w:rPr>
      </w:pPr>
      <w:r>
        <w:rPr>
          <w:rFonts w:hint="eastAsia"/>
        </w:rPr>
        <w:t>也就是说，祂作为他们的大祭司和祭物进入天堂，在那里为他们代求，结果是父现在可以欢迎他们进入天堂，作为祂的爱子（罗8:34，来6:19-20，7:25）。</w:t>
      </w:r>
    </w:p>
    <w:p w14:paraId="3DE9FA00">
      <w:pPr>
        <w:pStyle w:val="9"/>
        <w:spacing w:before="23"/>
        <w:ind w:left="0"/>
        <w:jc w:val="left"/>
        <w:rPr>
          <w:rFonts w:hint="eastAsia"/>
        </w:rPr>
      </w:pPr>
    </w:p>
    <w:p w14:paraId="206A6619">
      <w:pPr>
        <w:pStyle w:val="9"/>
        <w:spacing w:before="23"/>
        <w:ind w:left="0"/>
        <w:jc w:val="left"/>
        <w:rPr>
          <w:rFonts w:hint="eastAsia"/>
        </w:rPr>
      </w:pPr>
      <w:r>
        <w:rPr>
          <w:rFonts w:hint="eastAsia"/>
        </w:rPr>
        <w:t>But secondly, at his return he will create new heavens and a new earth, thus “preparing” an eternal chuppa (or dwelling place) for himself and his beloved Bride (Phil. 3:20-21, Rev. 21:1-2).</w:t>
      </w:r>
    </w:p>
    <w:p w14:paraId="0D44355C">
      <w:pPr>
        <w:pStyle w:val="9"/>
        <w:spacing w:before="23"/>
        <w:ind w:left="0"/>
        <w:jc w:val="left"/>
        <w:rPr>
          <w:rFonts w:hint="eastAsia"/>
        </w:rPr>
      </w:pPr>
      <w:r>
        <w:rPr>
          <w:rFonts w:hint="eastAsia"/>
        </w:rPr>
        <w:t>但其次，在祂再来时，祂将创造新天新地，从而为祂自己和祂挚爱的新妇“预备”一个永恒的华盖（或住处）（腓3:20-21，启21:1-2）。</w:t>
      </w:r>
    </w:p>
    <w:p w14:paraId="4DCFD10C">
      <w:pPr>
        <w:pStyle w:val="9"/>
        <w:spacing w:before="23"/>
        <w:ind w:left="0"/>
        <w:jc w:val="left"/>
        <w:rPr>
          <w:rFonts w:hint="eastAsia"/>
        </w:rPr>
      </w:pPr>
    </w:p>
    <w:p w14:paraId="134E204C">
      <w:pPr>
        <w:pStyle w:val="9"/>
        <w:spacing w:before="23"/>
        <w:ind w:left="0"/>
        <w:jc w:val="left"/>
        <w:rPr>
          <w:rFonts w:hint="eastAsia"/>
        </w:rPr>
      </w:pPr>
      <w:r>
        <w:rPr>
          <w:rFonts w:hint="eastAsia"/>
        </w:rPr>
        <w:t>Finally, Jesus promises all his fearful disciples that “… if I go and prepare a place for you, I will come again and take you to myself, that where I am you may be also” (14:3).</w:t>
      </w:r>
    </w:p>
    <w:p w14:paraId="54AE94D1">
      <w:pPr>
        <w:pStyle w:val="9"/>
        <w:spacing w:before="23"/>
        <w:ind w:left="0"/>
        <w:jc w:val="left"/>
        <w:rPr>
          <w:rFonts w:hint="eastAsia"/>
        </w:rPr>
      </w:pPr>
      <w:r>
        <w:rPr>
          <w:rFonts w:hint="eastAsia"/>
        </w:rPr>
        <w:t>最后，耶稣向所有祂恐惧的门徒应许说：“……我若去为你们预备了地方，就必再来接你们到我那里去，我在哪里，叫你们也在那里”（14:3）。</w:t>
      </w:r>
    </w:p>
    <w:p w14:paraId="62C52EE9">
      <w:pPr>
        <w:pStyle w:val="9"/>
        <w:spacing w:before="23"/>
        <w:ind w:left="0"/>
        <w:jc w:val="left"/>
        <w:rPr>
          <w:rFonts w:hint="eastAsia"/>
        </w:rPr>
      </w:pPr>
    </w:p>
    <w:p w14:paraId="3BAB7C63">
      <w:pPr>
        <w:pStyle w:val="9"/>
        <w:spacing w:before="23"/>
        <w:ind w:left="0"/>
        <w:jc w:val="left"/>
        <w:rPr>
          <w:rFonts w:hint="eastAsia"/>
        </w:rPr>
      </w:pPr>
      <w:r>
        <w:rPr>
          <w:rFonts w:hint="eastAsia"/>
        </w:rPr>
        <w:t>Again, these words are layered with eschatological meaning, meaning that our study has equipped us to see and enjoy.</w:t>
      </w:r>
    </w:p>
    <w:p w14:paraId="2BB77DE1">
      <w:pPr>
        <w:pStyle w:val="9"/>
        <w:spacing w:before="23"/>
        <w:ind w:left="0"/>
        <w:jc w:val="left"/>
        <w:rPr>
          <w:rFonts w:hint="eastAsia"/>
        </w:rPr>
      </w:pPr>
      <w:r>
        <w:rPr>
          <w:rFonts w:hint="eastAsia"/>
        </w:rPr>
        <w:t>再次，这些话语充满了末世论的意义，我们的研究已使我们有能力看见并享受这意义。</w:t>
      </w:r>
    </w:p>
    <w:p w14:paraId="7594939E">
      <w:pPr>
        <w:pStyle w:val="9"/>
        <w:spacing w:before="23"/>
        <w:ind w:left="0"/>
        <w:jc w:val="left"/>
        <w:rPr>
          <w:rFonts w:hint="eastAsia"/>
        </w:rPr>
      </w:pPr>
    </w:p>
    <w:p w14:paraId="6BC6ECE1">
      <w:pPr>
        <w:pStyle w:val="9"/>
        <w:spacing w:before="23"/>
        <w:ind w:left="0"/>
        <w:jc w:val="left"/>
        <w:rPr>
          <w:rFonts w:hint="eastAsia"/>
        </w:rPr>
      </w:pPr>
      <w:r>
        <w:rPr>
          <w:rFonts w:hint="eastAsia"/>
        </w:rPr>
        <w:t>The promise is that Jesus will come again and take his Bride to himself.</w:t>
      </w:r>
    </w:p>
    <w:p w14:paraId="2196318A">
      <w:pPr>
        <w:pStyle w:val="9"/>
        <w:spacing w:before="23"/>
        <w:ind w:left="0"/>
        <w:jc w:val="left"/>
        <w:rPr>
          <w:rFonts w:hint="eastAsia"/>
        </w:rPr>
      </w:pPr>
      <w:r>
        <w:rPr>
          <w:rFonts w:hint="eastAsia"/>
        </w:rPr>
        <w:t>这应许是耶稣将要再来，并将祂的新妇接到自己那里去。</w:t>
      </w:r>
    </w:p>
    <w:p w14:paraId="5A7DCD88">
      <w:pPr>
        <w:pStyle w:val="9"/>
        <w:spacing w:before="23"/>
        <w:ind w:left="0"/>
        <w:jc w:val="left"/>
        <w:rPr>
          <w:rFonts w:hint="eastAsia"/>
        </w:rPr>
      </w:pPr>
    </w:p>
    <w:p w14:paraId="0686CD26">
      <w:pPr>
        <w:pStyle w:val="9"/>
        <w:spacing w:before="23"/>
        <w:ind w:left="0"/>
        <w:jc w:val="left"/>
        <w:rPr>
          <w:rFonts w:hint="eastAsia"/>
        </w:rPr>
      </w:pPr>
      <w:r>
        <w:rPr>
          <w:rFonts w:hint="eastAsia"/>
        </w:rPr>
        <w:t>William Hendriksen well captures the romantic spirit of these words:</w:t>
      </w:r>
    </w:p>
    <w:p w14:paraId="5FF0C02F">
      <w:pPr>
        <w:pStyle w:val="9"/>
        <w:spacing w:before="23"/>
        <w:ind w:left="0"/>
        <w:jc w:val="left"/>
        <w:rPr>
          <w:rFonts w:hint="eastAsia"/>
        </w:rPr>
      </w:pPr>
      <w:r>
        <w:rPr>
          <w:rFonts w:hint="eastAsia"/>
        </w:rPr>
        <w:t>威廉·韩瑞森很好地捕捉了这些话语的浪漫精神：</w:t>
      </w:r>
    </w:p>
    <w:p w14:paraId="0B0D3AD4">
      <w:pPr>
        <w:pStyle w:val="9"/>
        <w:spacing w:before="23"/>
        <w:ind w:left="0"/>
        <w:jc w:val="left"/>
        <w:rPr>
          <w:rFonts w:hint="eastAsia"/>
        </w:rPr>
      </w:pPr>
    </w:p>
    <w:p w14:paraId="16C5CAE5">
      <w:pPr>
        <w:pStyle w:val="9"/>
        <w:spacing w:before="23"/>
        <w:ind w:left="0"/>
        <w:jc w:val="left"/>
        <w:rPr>
          <w:rFonts w:hint="eastAsia"/>
        </w:rPr>
      </w:pPr>
      <w:r>
        <w:rPr>
          <w:rFonts w:hint="eastAsia"/>
        </w:rPr>
        <w:t>Observe that instead of saying what one might expect him to say, namely, “And when I go and prepare a place for you, I will come again and take you to that place,” Jesus says something that is far more comforting: “I will take you to Myself (or, to be face to face with me).”</w:t>
      </w:r>
    </w:p>
    <w:p w14:paraId="2CBFDBC2">
      <w:pPr>
        <w:pStyle w:val="9"/>
        <w:spacing w:before="23"/>
        <w:ind w:left="0"/>
        <w:jc w:val="left"/>
        <w:rPr>
          <w:rFonts w:hint="eastAsia"/>
        </w:rPr>
      </w:pPr>
      <w:r>
        <w:rPr>
          <w:rFonts w:hint="eastAsia"/>
        </w:rPr>
        <w:t>请注意，耶稣没有说人们可能期望祂说的话，即，“我若去为你们预备了地方，就必再来接你们到那地方去”，而是说了一些更安慰人的话：“我要接你们到我这里来（或，与我面对面）。”</w:t>
      </w:r>
    </w:p>
    <w:p w14:paraId="02DC05A0">
      <w:pPr>
        <w:pStyle w:val="9"/>
        <w:spacing w:before="23"/>
        <w:ind w:left="0"/>
        <w:jc w:val="left"/>
        <w:rPr>
          <w:rFonts w:hint="eastAsia"/>
        </w:rPr>
      </w:pPr>
    </w:p>
    <w:p w14:paraId="1A36FE87">
      <w:pPr>
        <w:pStyle w:val="9"/>
        <w:spacing w:before="23"/>
        <w:ind w:left="0"/>
        <w:jc w:val="left"/>
        <w:rPr>
          <w:rFonts w:hint="eastAsia"/>
        </w:rPr>
      </w:pPr>
      <w:r>
        <w:rPr>
          <w:rFonts w:hint="eastAsia"/>
        </w:rPr>
        <w:t>So wonderful is Christ’s love for his own that he is not satisfied with the idea of merely bringing them to heaven.</w:t>
      </w:r>
    </w:p>
    <w:p w14:paraId="7BF57F27">
      <w:pPr>
        <w:pStyle w:val="9"/>
        <w:spacing w:before="23"/>
        <w:ind w:left="0"/>
        <w:jc w:val="left"/>
        <w:rPr>
          <w:rFonts w:hint="eastAsia"/>
        </w:rPr>
      </w:pPr>
      <w:r>
        <w:rPr>
          <w:rFonts w:hint="eastAsia"/>
        </w:rPr>
        <w:t>基督对属祂自己的人的爱是如此奇妙，以致祂不满足于仅仅把他们带到天上。</w:t>
      </w:r>
    </w:p>
    <w:p w14:paraId="778AD41A">
      <w:pPr>
        <w:pStyle w:val="9"/>
        <w:spacing w:before="23"/>
        <w:ind w:left="0"/>
        <w:jc w:val="left"/>
        <w:rPr>
          <w:rFonts w:hint="eastAsia"/>
        </w:rPr>
      </w:pPr>
    </w:p>
    <w:p w14:paraId="76300EB0">
      <w:pPr>
        <w:pStyle w:val="9"/>
        <w:spacing w:before="23"/>
        <w:ind w:left="0"/>
        <w:jc w:val="left"/>
        <w:rPr>
          <w:rFonts w:hint="eastAsia"/>
        </w:rPr>
      </w:pPr>
      <w:r>
        <w:rPr>
          <w:rFonts w:hint="eastAsia"/>
        </w:rPr>
        <w:t>He must needs take them into his own embrace.11</w:t>
      </w:r>
    </w:p>
    <w:p w14:paraId="07665A95">
      <w:pPr>
        <w:pStyle w:val="9"/>
        <w:spacing w:before="23"/>
        <w:ind w:left="0"/>
        <w:jc w:val="left"/>
        <w:rPr>
          <w:rFonts w:hint="eastAsia"/>
        </w:rPr>
      </w:pPr>
      <w:r>
        <w:rPr>
          <w:rFonts w:hint="eastAsia"/>
        </w:rPr>
        <w:t>祂必须将他们拥入祂自己的怀中。11</w:t>
      </w:r>
    </w:p>
    <w:p w14:paraId="6DBB4D29">
      <w:pPr>
        <w:pStyle w:val="9"/>
        <w:spacing w:before="23"/>
        <w:ind w:left="0"/>
        <w:jc w:val="left"/>
        <w:rPr>
          <w:rFonts w:hint="eastAsia"/>
        </w:rPr>
      </w:pPr>
    </w:p>
    <w:p w14:paraId="77C63571">
      <w:pPr>
        <w:pStyle w:val="9"/>
        <w:spacing w:before="23"/>
        <w:ind w:left="0"/>
        <w:jc w:val="left"/>
        <w:rPr>
          <w:rFonts w:hint="eastAsia"/>
        </w:rPr>
      </w:pPr>
      <w:r>
        <w:rPr>
          <w:rFonts w:hint="eastAsia"/>
        </w:rPr>
        <w:t>But how exactly is this romantic promise to be fulfilled?</w:t>
      </w:r>
    </w:p>
    <w:p w14:paraId="75A4B131">
      <w:pPr>
        <w:pStyle w:val="9"/>
        <w:spacing w:before="23"/>
        <w:ind w:left="0"/>
        <w:jc w:val="left"/>
        <w:rPr>
          <w:rFonts w:hint="eastAsia"/>
        </w:rPr>
      </w:pPr>
      <w:r>
        <w:rPr>
          <w:rFonts w:hint="eastAsia"/>
        </w:rPr>
        <w:t>但这浪漫的应许究竟将如何实现呢？</w:t>
      </w:r>
    </w:p>
    <w:p w14:paraId="034EED92">
      <w:pPr>
        <w:pStyle w:val="9"/>
        <w:spacing w:before="23"/>
        <w:ind w:left="0"/>
        <w:jc w:val="left"/>
        <w:rPr>
          <w:rFonts w:hint="eastAsia"/>
        </w:rPr>
      </w:pPr>
    </w:p>
    <w:p w14:paraId="49043448">
      <w:pPr>
        <w:pStyle w:val="9"/>
        <w:spacing w:before="23"/>
        <w:ind w:left="0"/>
        <w:jc w:val="left"/>
        <w:rPr>
          <w:rFonts w:hint="eastAsia"/>
        </w:rPr>
      </w:pPr>
      <w:r>
        <w:rPr>
          <w:rFonts w:hint="eastAsia"/>
        </w:rPr>
        <w:t>This time our answer is three-fold!</w:t>
      </w:r>
    </w:p>
    <w:p w14:paraId="10638472">
      <w:pPr>
        <w:pStyle w:val="9"/>
        <w:spacing w:before="23"/>
        <w:ind w:left="0"/>
        <w:jc w:val="left"/>
        <w:rPr>
          <w:rFonts w:hint="eastAsia"/>
        </w:rPr>
      </w:pPr>
      <w:r>
        <w:rPr>
          <w:rFonts w:hint="eastAsia"/>
        </w:rPr>
        <w:t>这次我们的答案是三重的！</w:t>
      </w:r>
    </w:p>
    <w:p w14:paraId="6BE66BF3">
      <w:pPr>
        <w:pStyle w:val="9"/>
        <w:spacing w:before="23"/>
        <w:ind w:left="0"/>
        <w:jc w:val="left"/>
        <w:rPr>
          <w:rFonts w:hint="eastAsia"/>
        </w:rPr>
      </w:pPr>
    </w:p>
    <w:p w14:paraId="65D53283">
      <w:pPr>
        <w:pStyle w:val="9"/>
        <w:spacing w:before="23"/>
        <w:ind w:left="0"/>
        <w:jc w:val="left"/>
        <w:rPr>
          <w:rFonts w:hint="eastAsia"/>
        </w:rPr>
      </w:pPr>
      <w:r>
        <w:rPr>
          <w:rFonts w:hint="eastAsia"/>
        </w:rPr>
        <w:t>First, at the moment of their new birth, Christ will come to his disciples in the Spirit and receive them to himself (John 14:16-18).</w:t>
      </w:r>
    </w:p>
    <w:p w14:paraId="085C531D">
      <w:pPr>
        <w:pStyle w:val="9"/>
        <w:spacing w:before="23"/>
        <w:ind w:left="0"/>
        <w:jc w:val="left"/>
        <w:rPr>
          <w:rFonts w:hint="eastAsia"/>
        </w:rPr>
      </w:pPr>
      <w:r>
        <w:rPr>
          <w:rFonts w:hint="eastAsia"/>
        </w:rPr>
        <w:t>首先，在他们重生的时候，基督将以圣灵的方式来到祂的门徒那里，并将他们接到祂自己这里来（约翰福音14:16-18）。</w:t>
      </w:r>
    </w:p>
    <w:p w14:paraId="5F77139A">
      <w:pPr>
        <w:pStyle w:val="9"/>
        <w:spacing w:before="23"/>
        <w:ind w:left="0"/>
        <w:jc w:val="left"/>
        <w:rPr>
          <w:rFonts w:hint="eastAsia"/>
        </w:rPr>
      </w:pPr>
    </w:p>
    <w:p w14:paraId="53699556">
      <w:pPr>
        <w:pStyle w:val="9"/>
        <w:spacing w:before="23"/>
        <w:ind w:left="0"/>
        <w:jc w:val="left"/>
        <w:rPr>
          <w:rFonts w:hint="eastAsia"/>
        </w:rPr>
      </w:pPr>
      <w:r>
        <w:rPr>
          <w:rFonts w:hint="eastAsia"/>
        </w:rPr>
        <w:t>For the eleven, this occurred on the Day of Pentecost.</w:t>
      </w:r>
    </w:p>
    <w:p w14:paraId="5F4D990C">
      <w:pPr>
        <w:pStyle w:val="9"/>
        <w:spacing w:before="23"/>
        <w:ind w:left="0"/>
        <w:jc w:val="left"/>
        <w:rPr>
          <w:rFonts w:hint="eastAsia"/>
        </w:rPr>
      </w:pPr>
      <w:r>
        <w:rPr>
          <w:rFonts w:hint="eastAsia"/>
        </w:rPr>
        <w:t>对那十一个人来说，这发生在五旬节那日。</w:t>
      </w:r>
    </w:p>
    <w:p w14:paraId="27462D7B">
      <w:pPr>
        <w:pStyle w:val="9"/>
        <w:spacing w:before="23"/>
        <w:ind w:left="0"/>
        <w:jc w:val="left"/>
        <w:rPr>
          <w:rFonts w:hint="eastAsia"/>
        </w:rPr>
      </w:pPr>
    </w:p>
    <w:p w14:paraId="09FCB029">
      <w:pPr>
        <w:pStyle w:val="9"/>
        <w:spacing w:before="23"/>
        <w:ind w:left="0"/>
        <w:jc w:val="left"/>
        <w:rPr>
          <w:rFonts w:hint="eastAsia"/>
        </w:rPr>
      </w:pPr>
      <w:r>
        <w:rPr>
          <w:rFonts w:hint="eastAsia"/>
        </w:rPr>
        <w:t>For the rest of us, it occurs in the centuries following.</w:t>
      </w:r>
    </w:p>
    <w:p w14:paraId="51567B87">
      <w:pPr>
        <w:pStyle w:val="9"/>
        <w:spacing w:before="23"/>
        <w:ind w:left="0"/>
        <w:jc w:val="left"/>
        <w:rPr>
          <w:rFonts w:hint="eastAsia"/>
        </w:rPr>
      </w:pPr>
      <w:r>
        <w:rPr>
          <w:rFonts w:hint="eastAsia"/>
        </w:rPr>
        <w:t>对我们其余的人来说，这发生在接下来的几个世纪里。</w:t>
      </w:r>
    </w:p>
    <w:p w14:paraId="06FB586F">
      <w:pPr>
        <w:pStyle w:val="9"/>
        <w:spacing w:before="23"/>
        <w:ind w:left="0"/>
        <w:jc w:val="left"/>
        <w:rPr>
          <w:rFonts w:hint="eastAsia"/>
        </w:rPr>
      </w:pPr>
    </w:p>
    <w:p w14:paraId="4B70E1C9">
      <w:pPr>
        <w:pStyle w:val="9"/>
        <w:spacing w:before="23"/>
        <w:ind w:left="0"/>
        <w:jc w:val="left"/>
        <w:rPr>
          <w:rFonts w:hint="eastAsia"/>
        </w:rPr>
      </w:pPr>
      <w:r>
        <w:rPr>
          <w:rFonts w:hint="eastAsia"/>
        </w:rPr>
        <w:t>As a result of this coming, the saints’ bodies continue to live and serve the Lord upon the earth, but their spirits are raised to newness of life, so that now they are seated in the heavenly places in Christ (Rom. 6:4, Eph. 2:5-6, Phil. 3:20).</w:t>
      </w:r>
    </w:p>
    <w:p w14:paraId="20C1F33F">
      <w:pPr>
        <w:pStyle w:val="9"/>
        <w:spacing w:before="23"/>
        <w:ind w:left="0"/>
        <w:jc w:val="left"/>
        <w:rPr>
          <w:rFonts w:hint="eastAsia"/>
        </w:rPr>
      </w:pPr>
      <w:r>
        <w:rPr>
          <w:rFonts w:hint="eastAsia"/>
        </w:rPr>
        <w:t>这次降临的结果是，圣徒们的身体继续在地上生活并事奉主，但他们的灵却活过来，得着了新的生命，以致如今他们在基督里坐在天上（罗6:4，弗2:5-6，腓3:20）。</w:t>
      </w:r>
    </w:p>
    <w:p w14:paraId="4B4A3A8E">
      <w:pPr>
        <w:pStyle w:val="9"/>
        <w:spacing w:before="23"/>
        <w:ind w:left="0"/>
        <w:jc w:val="left"/>
        <w:rPr>
          <w:rFonts w:hint="eastAsia"/>
        </w:rPr>
      </w:pPr>
    </w:p>
    <w:p w14:paraId="57967B3C">
      <w:pPr>
        <w:pStyle w:val="9"/>
        <w:spacing w:before="23"/>
        <w:ind w:left="0"/>
        <w:jc w:val="left"/>
        <w:rPr>
          <w:rFonts w:hint="eastAsia"/>
        </w:rPr>
      </w:pPr>
      <w:r>
        <w:rPr>
          <w:rFonts w:hint="eastAsia"/>
        </w:rPr>
        <w:t>Even now they are “with Christ where he is.”</w:t>
      </w:r>
    </w:p>
    <w:p w14:paraId="50D14E9B">
      <w:pPr>
        <w:pStyle w:val="9"/>
        <w:spacing w:before="23"/>
        <w:ind w:left="0"/>
        <w:jc w:val="left"/>
        <w:rPr>
          <w:rFonts w:hint="eastAsia"/>
        </w:rPr>
      </w:pPr>
      <w:r>
        <w:rPr>
          <w:rFonts w:hint="eastAsia"/>
        </w:rPr>
        <w:t>即使现在，他们也“与基督同在祂所在之处”。</w:t>
      </w:r>
    </w:p>
    <w:p w14:paraId="67A7260F">
      <w:pPr>
        <w:pStyle w:val="9"/>
        <w:spacing w:before="23"/>
        <w:ind w:left="0"/>
        <w:jc w:val="left"/>
        <w:rPr>
          <w:rFonts w:hint="eastAsia"/>
        </w:rPr>
      </w:pPr>
    </w:p>
    <w:p w14:paraId="5BBF98E7">
      <w:pPr>
        <w:pStyle w:val="9"/>
        <w:spacing w:before="23"/>
        <w:ind w:left="0"/>
        <w:jc w:val="left"/>
        <w:rPr>
          <w:rFonts w:hint="eastAsia"/>
        </w:rPr>
      </w:pPr>
      <w:r>
        <w:rPr>
          <w:rFonts w:hint="eastAsia"/>
        </w:rPr>
        <w:t>Even now—though only in a mirror dimly—they behold his glory (John 17:24, 1 Cor. 13:12 Cor. 3:18).</w:t>
      </w:r>
    </w:p>
    <w:p w14:paraId="55832E55">
      <w:pPr>
        <w:pStyle w:val="9"/>
        <w:spacing w:before="23"/>
        <w:ind w:left="0"/>
        <w:jc w:val="left"/>
        <w:rPr>
          <w:rFonts w:hint="eastAsia"/>
        </w:rPr>
      </w:pPr>
      <w:r>
        <w:rPr>
          <w:rFonts w:hint="eastAsia"/>
        </w:rPr>
        <w:t>即使现在——虽然只是模糊不清地在镜子里——他们也看见祂的荣耀（约翰福音17:24，哥林多前书13:12，哥林多后书3:18）。</w:t>
      </w:r>
    </w:p>
    <w:p w14:paraId="7A84C842">
      <w:pPr>
        <w:pStyle w:val="9"/>
        <w:spacing w:before="23"/>
        <w:ind w:left="0"/>
        <w:jc w:val="left"/>
        <w:rPr>
          <w:rFonts w:hint="eastAsia"/>
        </w:rPr>
      </w:pPr>
    </w:p>
    <w:p w14:paraId="6C851288">
      <w:pPr>
        <w:pStyle w:val="9"/>
        <w:spacing w:before="23"/>
        <w:ind w:left="0"/>
        <w:jc w:val="left"/>
        <w:rPr>
          <w:rFonts w:hint="eastAsia"/>
        </w:rPr>
      </w:pPr>
      <w:r>
        <w:rPr>
          <w:rFonts w:hint="eastAsia"/>
        </w:rPr>
        <w:t>Secondly, at the moment of their physical death, Christ will yet again come to his disciples in the Spirit, this time to take their disembodied spirits to live with him in heaven.</w:t>
      </w:r>
    </w:p>
    <w:p w14:paraId="369FB308">
      <w:pPr>
        <w:pStyle w:val="9"/>
        <w:spacing w:before="23"/>
        <w:ind w:left="0"/>
        <w:jc w:val="left"/>
        <w:rPr>
          <w:rFonts w:hint="eastAsia"/>
        </w:rPr>
      </w:pPr>
      <w:r>
        <w:rPr>
          <w:rFonts w:hint="eastAsia"/>
        </w:rPr>
        <w:t>其次，在他们肉体死亡的时刻，基督将再次以圣灵的方式来到祂的门徒那里，这次是带他们脱离身体的灵魂到天上与祂同活。</w:t>
      </w:r>
    </w:p>
    <w:p w14:paraId="437105B2">
      <w:pPr>
        <w:pStyle w:val="9"/>
        <w:spacing w:before="23"/>
        <w:ind w:left="0"/>
        <w:jc w:val="left"/>
        <w:rPr>
          <w:rFonts w:hint="eastAsia"/>
        </w:rPr>
      </w:pPr>
    </w:p>
    <w:p w14:paraId="16A09206">
      <w:pPr>
        <w:pStyle w:val="9"/>
        <w:spacing w:before="23"/>
        <w:ind w:left="0"/>
        <w:jc w:val="left"/>
        <w:rPr>
          <w:rFonts w:hint="eastAsia"/>
        </w:rPr>
      </w:pPr>
      <w:r>
        <w:rPr>
          <w:rFonts w:hint="eastAsia"/>
        </w:rPr>
        <w:t>In other words, Jesus’ words are also fulfilled in the Intermediate State, when the spirits of the departed saints live and reign with Christ in heaven until the Day of his Return (Luke 23:43, 2 Cor. 5:8, Rev. 14:13).</w:t>
      </w:r>
    </w:p>
    <w:p w14:paraId="67B729DE">
      <w:pPr>
        <w:pStyle w:val="9"/>
        <w:spacing w:before="23"/>
        <w:ind w:left="0"/>
        <w:jc w:val="left"/>
        <w:rPr>
          <w:rFonts w:hint="eastAsia"/>
        </w:rPr>
      </w:pPr>
      <w:r>
        <w:rPr>
          <w:rFonts w:hint="eastAsia"/>
        </w:rPr>
        <w:t>换句话说，耶稣的话语也在中间状态中应验，那时已故圣徒的灵魂在天上与基督同活同作王，直到祂再来之日（路加福音23:43，哥林多后书5:8，启示录14:13）。</w:t>
      </w:r>
    </w:p>
    <w:p w14:paraId="61B78646">
      <w:pPr>
        <w:pStyle w:val="9"/>
        <w:spacing w:before="23"/>
        <w:ind w:left="0"/>
        <w:jc w:val="left"/>
        <w:rPr>
          <w:rFonts w:hint="eastAsia"/>
        </w:rPr>
      </w:pPr>
    </w:p>
    <w:p w14:paraId="5AD4A8D7">
      <w:pPr>
        <w:pStyle w:val="9"/>
        <w:spacing w:before="23"/>
        <w:ind w:left="0"/>
        <w:jc w:val="left"/>
        <w:rPr>
          <w:rFonts w:hint="eastAsia"/>
        </w:rPr>
      </w:pPr>
      <w:r>
        <w:rPr>
          <w:rFonts w:hint="eastAsia"/>
        </w:rPr>
        <w:t>This, as we saw earlier, is the true burden of Revelation 20:4-6.</w:t>
      </w:r>
    </w:p>
    <w:p w14:paraId="33D9B049">
      <w:pPr>
        <w:pStyle w:val="9"/>
        <w:spacing w:before="23"/>
        <w:ind w:left="0"/>
        <w:jc w:val="left"/>
        <w:rPr>
          <w:rFonts w:hint="eastAsia"/>
        </w:rPr>
      </w:pPr>
      <w:r>
        <w:rPr>
          <w:rFonts w:hint="eastAsia"/>
        </w:rPr>
        <w:t>正如我们先前所见，这正是《启示录》20:4-6的真正负担。</w:t>
      </w:r>
    </w:p>
    <w:p w14:paraId="6D4D0B7A">
      <w:pPr>
        <w:pStyle w:val="9"/>
        <w:spacing w:before="23"/>
        <w:ind w:left="0"/>
        <w:jc w:val="left"/>
        <w:rPr>
          <w:rFonts w:hint="eastAsia"/>
        </w:rPr>
      </w:pPr>
    </w:p>
    <w:p w14:paraId="745CD31F">
      <w:pPr>
        <w:pStyle w:val="9"/>
        <w:spacing w:before="23"/>
        <w:ind w:left="0"/>
        <w:jc w:val="left"/>
        <w:rPr>
          <w:rFonts w:hint="eastAsia"/>
        </w:rPr>
      </w:pPr>
      <w:r>
        <w:rPr>
          <w:rFonts w:hint="eastAsia"/>
        </w:rPr>
        <w:t>In all such texts, the Lord would teach us that throughout the Intermediate State, where he is, we will be also: in heaven itself.</w:t>
      </w:r>
    </w:p>
    <w:p w14:paraId="0B1B3D2F">
      <w:pPr>
        <w:pStyle w:val="9"/>
        <w:spacing w:before="23"/>
        <w:ind w:left="0"/>
        <w:jc w:val="left"/>
        <w:rPr>
          <w:rFonts w:hint="eastAsia"/>
        </w:rPr>
      </w:pPr>
      <w:r>
        <w:rPr>
          <w:rFonts w:hint="eastAsia"/>
        </w:rPr>
        <w:t>在所有这些经文中，主都教导我们，在整个中间状态中，祂在哪里，我们也要在哪里：在天上本身。</w:t>
      </w:r>
    </w:p>
    <w:p w14:paraId="286FCF52">
      <w:pPr>
        <w:pStyle w:val="9"/>
        <w:spacing w:before="23"/>
        <w:ind w:left="0"/>
        <w:jc w:val="left"/>
        <w:rPr>
          <w:rFonts w:hint="eastAsia"/>
        </w:rPr>
      </w:pPr>
    </w:p>
    <w:p w14:paraId="2FC0B4E8">
      <w:pPr>
        <w:pStyle w:val="9"/>
        <w:spacing w:before="23"/>
        <w:ind w:left="0"/>
        <w:jc w:val="left"/>
        <w:rPr>
          <w:rFonts w:hint="eastAsia"/>
        </w:rPr>
      </w:pPr>
      <w:r>
        <w:rPr>
          <w:rFonts w:hint="eastAsia"/>
        </w:rPr>
        <w:t>But there we will be like him, for there we will see him face to face (1 Cor. 13:12, 1 John 3:2)!</w:t>
      </w:r>
    </w:p>
    <w:p w14:paraId="09FFCC1E">
      <w:pPr>
        <w:pStyle w:val="9"/>
        <w:spacing w:before="23"/>
        <w:ind w:left="0"/>
        <w:jc w:val="left"/>
        <w:rPr>
          <w:rFonts w:hint="eastAsia"/>
        </w:rPr>
      </w:pPr>
      <w:r>
        <w:rPr>
          <w:rFonts w:hint="eastAsia"/>
        </w:rPr>
        <w:t>但在那里我们将像祂，因为在那里我们将与祂面对面（林前13:12，约壹3:2）！</w:t>
      </w:r>
    </w:p>
    <w:p w14:paraId="6CDAC973">
      <w:pPr>
        <w:pStyle w:val="9"/>
        <w:spacing w:before="23"/>
        <w:ind w:left="0"/>
        <w:jc w:val="left"/>
        <w:rPr>
          <w:rFonts w:hint="eastAsia"/>
        </w:rPr>
      </w:pPr>
    </w:p>
    <w:p w14:paraId="25131759">
      <w:pPr>
        <w:pStyle w:val="9"/>
        <w:spacing w:before="23"/>
        <w:ind w:left="0"/>
        <w:jc w:val="left"/>
        <w:rPr>
          <w:rFonts w:hint="eastAsia"/>
        </w:rPr>
      </w:pPr>
      <w:r>
        <w:rPr>
          <w:rFonts w:hint="eastAsia"/>
        </w:rPr>
        <w:t>Finally, and perhaps most importantly, Christ will come to his disciples on the Day of his Parousia, when he descends from heaven to raise the dead, judge the world in righteousness, destroy the present earth and its works, and create new heavens and a new earth.</w:t>
      </w:r>
    </w:p>
    <w:p w14:paraId="6AE8A766">
      <w:pPr>
        <w:pStyle w:val="9"/>
        <w:spacing w:before="23"/>
        <w:ind w:left="0"/>
        <w:jc w:val="left"/>
        <w:rPr>
          <w:rFonts w:hint="eastAsia"/>
        </w:rPr>
      </w:pPr>
      <w:r>
        <w:rPr>
          <w:rFonts w:hint="eastAsia"/>
        </w:rPr>
        <w:t>最后，也许最重要的是，基督将在祂主临（Parousia）之日来到祂的门徒那里，那时祂将从天降临，使死人复活，按公义审判世界，毁灭现今的地和其上的工程，并创造新天新地。</w:t>
      </w:r>
    </w:p>
    <w:p w14:paraId="1D72BBE3">
      <w:pPr>
        <w:pStyle w:val="9"/>
        <w:spacing w:before="23"/>
        <w:ind w:left="0"/>
        <w:jc w:val="left"/>
        <w:rPr>
          <w:rFonts w:hint="eastAsia"/>
        </w:rPr>
      </w:pPr>
    </w:p>
    <w:p w14:paraId="3128B4FE">
      <w:pPr>
        <w:pStyle w:val="9"/>
        <w:spacing w:before="23"/>
        <w:ind w:left="0"/>
        <w:jc w:val="left"/>
        <w:rPr>
          <w:rFonts w:hint="eastAsia"/>
        </w:rPr>
      </w:pPr>
      <w:r>
        <w:rPr>
          <w:rFonts w:hint="eastAsia"/>
        </w:rPr>
        <w:t>When he does, he will take his Beloved Bride to himself one final time, so that henceforth she may be with him forever in the glorious new World to Come (Rev. 14:1, 21:1-5).</w:t>
      </w:r>
    </w:p>
    <w:p w14:paraId="2091ED9C">
      <w:pPr>
        <w:pStyle w:val="9"/>
        <w:spacing w:before="23"/>
        <w:ind w:left="0"/>
        <w:jc w:val="left"/>
        <w:rPr>
          <w:rFonts w:hint="eastAsia"/>
        </w:rPr>
      </w:pPr>
      <w:r>
        <w:rPr>
          <w:rFonts w:hint="eastAsia"/>
        </w:rPr>
        <w:t>当祂这样做时，祂将最后一次将祂挚爱的新妇接到自己那里去，使她从此以后可以在将来的荣耀新世界里永远与祂同在（启14:1, 21:1-5）。</w:t>
      </w:r>
    </w:p>
    <w:p w14:paraId="6BBC95A9">
      <w:pPr>
        <w:pStyle w:val="9"/>
        <w:spacing w:before="23"/>
        <w:ind w:left="0"/>
        <w:jc w:val="left"/>
        <w:rPr>
          <w:rFonts w:hint="eastAsia"/>
        </w:rPr>
      </w:pPr>
    </w:p>
    <w:p w14:paraId="248E8CCD">
      <w:pPr>
        <w:pStyle w:val="9"/>
        <w:spacing w:before="23"/>
        <w:ind w:left="0"/>
        <w:jc w:val="left"/>
        <w:rPr>
          <w:rFonts w:hint="eastAsia"/>
        </w:rPr>
      </w:pPr>
      <w:r>
        <w:rPr>
          <w:rFonts w:hint="eastAsia"/>
        </w:rPr>
        <w:t>Here, then, we have a mighty host of reasons why the Bride of Christ must not let her heart be troubled.</w:t>
      </w:r>
    </w:p>
    <w:p w14:paraId="09C7BFC4">
      <w:pPr>
        <w:pStyle w:val="9"/>
        <w:spacing w:before="23"/>
        <w:ind w:left="0"/>
        <w:jc w:val="left"/>
        <w:rPr>
          <w:rFonts w:hint="eastAsia"/>
        </w:rPr>
      </w:pPr>
      <w:r>
        <w:rPr>
          <w:rFonts w:hint="eastAsia"/>
        </w:rPr>
        <w:t>因此，在这里我们有许多强有力的理由，说明基督的新妇为何心里不应忧愁。</w:t>
      </w:r>
    </w:p>
    <w:p w14:paraId="585CCE6C">
      <w:pPr>
        <w:pStyle w:val="9"/>
        <w:spacing w:before="23"/>
        <w:ind w:left="0"/>
        <w:jc w:val="left"/>
        <w:rPr>
          <w:rFonts w:hint="eastAsia"/>
        </w:rPr>
      </w:pPr>
    </w:p>
    <w:p w14:paraId="48B0DBCD">
      <w:pPr>
        <w:pStyle w:val="9"/>
        <w:spacing w:before="23"/>
        <w:ind w:left="0"/>
        <w:jc w:val="left"/>
        <w:rPr>
          <w:rFonts w:hint="eastAsia"/>
        </w:rPr>
      </w:pPr>
      <w:r>
        <w:rPr>
          <w:rFonts w:hint="eastAsia"/>
        </w:rPr>
        <w:t>When fear and sorrow threaten to overwhelm, she is to steady herself by listening afresh to the voice of her heavenly Husband: “Beloved, always remember that in your new birth I have already come for you, and that even now you are with me where I am, and always will be.</w:t>
      </w:r>
    </w:p>
    <w:p w14:paraId="69381485">
      <w:pPr>
        <w:pStyle w:val="9"/>
        <w:spacing w:before="23"/>
        <w:ind w:left="0"/>
        <w:jc w:val="left"/>
        <w:rPr>
          <w:rFonts w:hint="eastAsia"/>
        </w:rPr>
      </w:pPr>
      <w:r>
        <w:rPr>
          <w:rFonts w:hint="eastAsia"/>
        </w:rPr>
        <w:t>当恐惧和忧愁要将她淹没时，她要重新聆听她天上丈夫的声音来稳住自己：“亲爱的，总要记得，在你重生时我已经为你而来，即使现在你也在我所在之处与我同在，并且将永远如此。”</w:t>
      </w:r>
    </w:p>
    <w:p w14:paraId="7A843D74">
      <w:pPr>
        <w:pStyle w:val="9"/>
        <w:spacing w:before="23"/>
        <w:ind w:left="0"/>
        <w:jc w:val="left"/>
        <w:rPr>
          <w:rFonts w:hint="eastAsia"/>
        </w:rPr>
      </w:pPr>
    </w:p>
    <w:p w14:paraId="428FF132">
      <w:pPr>
        <w:pStyle w:val="9"/>
        <w:spacing w:before="23"/>
        <w:ind w:left="0"/>
        <w:jc w:val="left"/>
        <w:rPr>
          <w:rFonts w:hint="eastAsia"/>
        </w:rPr>
      </w:pPr>
      <w:r>
        <w:rPr>
          <w:rFonts w:hint="eastAsia"/>
        </w:rPr>
        <w:t>But more than this, never forget that great things are waiting up ahead; that at the moment of your death—and also at the resurrection of the dead—I will come yet again and receive you to myself, so that where I am—and as I am—you may be also.</w:t>
      </w:r>
    </w:p>
    <w:p w14:paraId="5066B2E5">
      <w:pPr>
        <w:pStyle w:val="9"/>
        <w:spacing w:before="23"/>
        <w:ind w:left="0"/>
        <w:jc w:val="left"/>
        <w:rPr>
          <w:rFonts w:hint="eastAsia"/>
        </w:rPr>
      </w:pPr>
      <w:r>
        <w:rPr>
          <w:rFonts w:hint="eastAsia"/>
        </w:rPr>
        <w:t>“但不仅如此，永远不要忘记，前面还有大事等着；在你死的时刻——以及在死人复活时——我将再次来接你到我这里来，好叫我在哪里——并像我一样——你也在那里。”</w:t>
      </w:r>
    </w:p>
    <w:p w14:paraId="38226FD8">
      <w:pPr>
        <w:pStyle w:val="9"/>
        <w:spacing w:before="23"/>
        <w:ind w:left="0"/>
        <w:jc w:val="left"/>
        <w:rPr>
          <w:rFonts w:hint="eastAsia"/>
        </w:rPr>
      </w:pPr>
    </w:p>
    <w:p w14:paraId="0FCF702D">
      <w:pPr>
        <w:pStyle w:val="9"/>
        <w:spacing w:before="23"/>
        <w:ind w:left="0"/>
        <w:jc w:val="left"/>
        <w:rPr>
          <w:rFonts w:hint="eastAsia"/>
        </w:rPr>
      </w:pPr>
      <w:r>
        <w:rPr>
          <w:rFonts w:hint="eastAsia"/>
        </w:rPr>
        <w:t>My darling, be faithful until death, for truly, it will be worth the wait!”</w:t>
      </w:r>
    </w:p>
    <w:p w14:paraId="3F527C9A">
      <w:pPr>
        <w:pStyle w:val="9"/>
        <w:spacing w:before="23"/>
        <w:ind w:left="0"/>
        <w:jc w:val="left"/>
        <w:rPr>
          <w:rFonts w:hint="eastAsia"/>
        </w:rPr>
      </w:pPr>
      <w:r>
        <w:rPr>
          <w:rFonts w:hint="eastAsia"/>
        </w:rPr>
        <w:t>“我亲爱的，至死忠心吧，因为真的，这是值得等待的！”</w:t>
      </w:r>
    </w:p>
    <w:p w14:paraId="570152F9">
      <w:pPr>
        <w:pStyle w:val="9"/>
        <w:spacing w:before="23"/>
        <w:ind w:left="0"/>
        <w:jc w:val="left"/>
        <w:rPr>
          <w:rFonts w:hint="eastAsia"/>
        </w:rPr>
      </w:pPr>
    </w:p>
    <w:p w14:paraId="0A68F7F7">
      <w:pPr>
        <w:pStyle w:val="9"/>
        <w:spacing w:before="23"/>
        <w:ind w:left="0"/>
        <w:jc w:val="left"/>
        <w:rPr>
          <w:rFonts w:hint="eastAsia"/>
        </w:rPr>
      </w:pPr>
      <w:r>
        <w:rPr>
          <w:rFonts w:hint="eastAsia"/>
        </w:rPr>
        <w:t>The Dispensational View</w:t>
      </w:r>
    </w:p>
    <w:p w14:paraId="440F49D9">
      <w:pPr>
        <w:pStyle w:val="9"/>
        <w:spacing w:before="23"/>
        <w:ind w:left="0"/>
        <w:jc w:val="left"/>
        <w:rPr>
          <w:rFonts w:hint="eastAsia"/>
        </w:rPr>
      </w:pPr>
      <w:r>
        <w:rPr>
          <w:rFonts w:hint="eastAsia"/>
        </w:rPr>
        <w:t>时代论观点</w:t>
      </w:r>
    </w:p>
    <w:p w14:paraId="72935C22">
      <w:pPr>
        <w:pStyle w:val="9"/>
        <w:spacing w:before="23"/>
        <w:ind w:left="0"/>
        <w:jc w:val="left"/>
        <w:rPr>
          <w:rFonts w:hint="eastAsia"/>
        </w:rPr>
      </w:pPr>
    </w:p>
    <w:p w14:paraId="44B06E8E">
      <w:pPr>
        <w:pStyle w:val="9"/>
        <w:spacing w:before="23"/>
        <w:ind w:left="0"/>
        <w:jc w:val="left"/>
        <w:rPr>
          <w:rFonts w:hint="eastAsia"/>
        </w:rPr>
      </w:pPr>
      <w:r>
        <w:rPr>
          <w:rFonts w:hint="eastAsia"/>
        </w:rPr>
        <w:t>We have seen that John 14:1-3 harmonizes quite well with amillennial eschatology.</w:t>
      </w:r>
    </w:p>
    <w:p w14:paraId="7F15EEBA">
      <w:pPr>
        <w:pStyle w:val="9"/>
        <w:spacing w:before="23"/>
        <w:ind w:left="0"/>
        <w:jc w:val="left"/>
        <w:rPr>
          <w:rFonts w:hint="eastAsia"/>
        </w:rPr>
      </w:pPr>
      <w:r>
        <w:rPr>
          <w:rFonts w:hint="eastAsia"/>
        </w:rPr>
        <w:t>我们已经看到，约翰福音14:1-3与无千禧年论的末世论相当协调。</w:t>
      </w:r>
    </w:p>
    <w:p w14:paraId="61BDE116">
      <w:pPr>
        <w:pStyle w:val="9"/>
        <w:spacing w:before="23"/>
        <w:ind w:left="0"/>
        <w:jc w:val="left"/>
        <w:rPr>
          <w:rFonts w:hint="eastAsia"/>
        </w:rPr>
      </w:pPr>
    </w:p>
    <w:p w14:paraId="2EE01F50">
      <w:pPr>
        <w:pStyle w:val="9"/>
        <w:spacing w:before="23"/>
        <w:ind w:left="0"/>
        <w:jc w:val="left"/>
        <w:rPr>
          <w:rFonts w:hint="eastAsia"/>
        </w:rPr>
      </w:pPr>
      <w:r>
        <w:rPr>
          <w:rFonts w:hint="eastAsia"/>
        </w:rPr>
        <w:t>How does the dispensational view fare?</w:t>
      </w:r>
    </w:p>
    <w:p w14:paraId="000C23B8">
      <w:pPr>
        <w:pStyle w:val="9"/>
        <w:spacing w:before="23"/>
        <w:ind w:left="0"/>
        <w:jc w:val="left"/>
        <w:rPr>
          <w:rFonts w:hint="eastAsia"/>
        </w:rPr>
      </w:pPr>
      <w:r>
        <w:rPr>
          <w:rFonts w:hint="eastAsia"/>
        </w:rPr>
        <w:t>时代论的观点如何呢？</w:t>
      </w:r>
    </w:p>
    <w:p w14:paraId="74013D9E">
      <w:pPr>
        <w:pStyle w:val="9"/>
        <w:spacing w:before="23"/>
        <w:ind w:left="0"/>
        <w:jc w:val="left"/>
        <w:rPr>
          <w:rFonts w:hint="eastAsia"/>
        </w:rPr>
      </w:pPr>
    </w:p>
    <w:p w14:paraId="70A353FC">
      <w:pPr>
        <w:pStyle w:val="9"/>
        <w:spacing w:before="23"/>
        <w:ind w:left="0"/>
        <w:jc w:val="left"/>
        <w:rPr>
          <w:rFonts w:hint="eastAsia"/>
        </w:rPr>
      </w:pPr>
      <w:r>
        <w:rPr>
          <w:rFonts w:hint="eastAsia"/>
        </w:rPr>
        <w:t>To find out, let’s begin by hearing John MacArthur on our text:</w:t>
      </w:r>
    </w:p>
    <w:p w14:paraId="71301E61">
      <w:pPr>
        <w:pStyle w:val="9"/>
        <w:spacing w:before="23"/>
        <w:ind w:left="0"/>
        <w:jc w:val="left"/>
        <w:rPr>
          <w:rFonts w:hint="eastAsia"/>
        </w:rPr>
      </w:pPr>
      <w:r>
        <w:rPr>
          <w:rFonts w:hint="eastAsia"/>
        </w:rPr>
        <w:t>要找出答案，让我们先听听约翰·麦克阿瑟对我们这段经文的看法：</w:t>
      </w:r>
    </w:p>
    <w:p w14:paraId="0EB6E0DF">
      <w:pPr>
        <w:pStyle w:val="9"/>
        <w:spacing w:before="23"/>
        <w:ind w:left="0"/>
        <w:jc w:val="left"/>
        <w:rPr>
          <w:rFonts w:hint="eastAsia"/>
        </w:rPr>
      </w:pPr>
    </w:p>
    <w:p w14:paraId="1150A1C3">
      <w:pPr>
        <w:pStyle w:val="9"/>
        <w:spacing w:before="23"/>
        <w:ind w:left="0"/>
        <w:jc w:val="left"/>
        <w:rPr>
          <w:rFonts w:hint="eastAsia"/>
        </w:rPr>
      </w:pPr>
      <w:r>
        <w:rPr>
          <w:rFonts w:hint="eastAsia"/>
        </w:rPr>
        <w:t>This is one of the passages that refers to the Rapture of the saints at the end of the age when Christ returns.</w:t>
      </w:r>
    </w:p>
    <w:p w14:paraId="633D8CFA">
      <w:pPr>
        <w:pStyle w:val="9"/>
        <w:spacing w:before="23"/>
        <w:ind w:left="0"/>
        <w:jc w:val="left"/>
        <w:rPr>
          <w:rFonts w:hint="eastAsia"/>
        </w:rPr>
      </w:pPr>
      <w:r>
        <w:rPr>
          <w:rFonts w:hint="eastAsia"/>
        </w:rPr>
        <w:t>这是指在世代末了基督再来时圣徒被提的经文之一。</w:t>
      </w:r>
    </w:p>
    <w:p w14:paraId="7648D523">
      <w:pPr>
        <w:pStyle w:val="9"/>
        <w:spacing w:before="23"/>
        <w:ind w:left="0"/>
        <w:jc w:val="left"/>
        <w:rPr>
          <w:rFonts w:hint="eastAsia"/>
        </w:rPr>
      </w:pPr>
    </w:p>
    <w:p w14:paraId="70704ACB">
      <w:pPr>
        <w:pStyle w:val="9"/>
        <w:spacing w:before="23"/>
        <w:ind w:left="0"/>
        <w:jc w:val="left"/>
        <w:rPr>
          <w:rFonts w:hint="eastAsia"/>
        </w:rPr>
      </w:pPr>
      <w:r>
        <w:rPr>
          <w:rFonts w:hint="eastAsia"/>
        </w:rPr>
        <w:t>The features in this description do not describe Christ coming to earth with His saints to establish His kingdom (Rev. 19:11-15), but taking believers from earth to live in heaven.</w:t>
      </w:r>
    </w:p>
    <w:p w14:paraId="2B5DDBEB">
      <w:pPr>
        <w:pStyle w:val="9"/>
        <w:spacing w:before="23"/>
        <w:ind w:left="0"/>
        <w:jc w:val="left"/>
        <w:rPr>
          <w:rFonts w:hint="eastAsia"/>
        </w:rPr>
      </w:pPr>
      <w:r>
        <w:rPr>
          <w:rFonts w:hint="eastAsia"/>
        </w:rPr>
        <w:t>这段描述中的特征并非描述基督与祂的圣徒一同来到地上建立祂的国度（启19:11-15），而是将信徒从地上带到天上去生活。</w:t>
      </w:r>
    </w:p>
    <w:p w14:paraId="05BF0724">
      <w:pPr>
        <w:pStyle w:val="9"/>
        <w:spacing w:before="23"/>
        <w:ind w:left="0"/>
        <w:jc w:val="left"/>
        <w:rPr>
          <w:rFonts w:hint="eastAsia"/>
        </w:rPr>
      </w:pPr>
    </w:p>
    <w:p w14:paraId="0C98CBD3">
      <w:pPr>
        <w:pStyle w:val="9"/>
        <w:spacing w:before="23"/>
        <w:ind w:left="0"/>
        <w:jc w:val="left"/>
        <w:rPr>
          <w:rFonts w:hint="eastAsia"/>
        </w:rPr>
      </w:pPr>
      <w:r>
        <w:rPr>
          <w:rFonts w:hint="eastAsia"/>
        </w:rPr>
        <w:t>Since no judgment on the unsaved is described here, this is not the event of His return in glory and power to destroy the wicked (Mt. 131:36-43).</w:t>
      </w:r>
    </w:p>
    <w:p w14:paraId="709E83BF">
      <w:pPr>
        <w:pStyle w:val="9"/>
        <w:spacing w:before="23"/>
        <w:ind w:left="0"/>
        <w:jc w:val="left"/>
        <w:rPr>
          <w:rFonts w:hint="eastAsia"/>
        </w:rPr>
      </w:pPr>
      <w:r>
        <w:rPr>
          <w:rFonts w:hint="eastAsia"/>
        </w:rPr>
        <w:t>由于这里没有描述对未得救之人的审判，这并非祂在荣耀和能力中再来毁灭恶人的事件（太131:36-43）。</w:t>
      </w:r>
    </w:p>
    <w:p w14:paraId="08943B49">
      <w:pPr>
        <w:pStyle w:val="9"/>
        <w:spacing w:before="23"/>
        <w:ind w:left="0"/>
        <w:jc w:val="left"/>
        <w:rPr>
          <w:rFonts w:hint="eastAsia"/>
        </w:rPr>
      </w:pPr>
    </w:p>
    <w:p w14:paraId="642EE5B0">
      <w:pPr>
        <w:pStyle w:val="9"/>
        <w:spacing w:before="23"/>
        <w:ind w:left="0"/>
        <w:jc w:val="left"/>
        <w:rPr>
          <w:rFonts w:hint="eastAsia"/>
        </w:rPr>
      </w:pPr>
      <w:r>
        <w:rPr>
          <w:rFonts w:hint="eastAsia"/>
        </w:rPr>
        <w:t>Rather this describes his coming to gather his own.12</w:t>
      </w:r>
    </w:p>
    <w:p w14:paraId="09E93AF7">
      <w:pPr>
        <w:pStyle w:val="9"/>
        <w:spacing w:before="23"/>
        <w:ind w:left="0"/>
        <w:jc w:val="left"/>
        <w:rPr>
          <w:rFonts w:hint="eastAsia"/>
        </w:rPr>
      </w:pPr>
      <w:r>
        <w:rPr>
          <w:rFonts w:hint="eastAsia"/>
        </w:rPr>
        <w:t>相反，这描述的是祂来聚集属祂自己的人。12</w:t>
      </w:r>
    </w:p>
    <w:p w14:paraId="281ECDAE">
      <w:pPr>
        <w:pStyle w:val="9"/>
        <w:spacing w:before="23"/>
        <w:ind w:left="0"/>
        <w:jc w:val="left"/>
        <w:rPr>
          <w:rFonts w:hint="eastAsia"/>
        </w:rPr>
      </w:pPr>
    </w:p>
    <w:p w14:paraId="3B3AB7BA">
      <w:pPr>
        <w:pStyle w:val="9"/>
        <w:spacing w:before="23"/>
        <w:ind w:left="0"/>
        <w:jc w:val="left"/>
        <w:rPr>
          <w:rFonts w:hint="eastAsia"/>
        </w:rPr>
      </w:pPr>
      <w:r>
        <w:rPr>
          <w:rFonts w:hint="eastAsia"/>
        </w:rPr>
        <w:t>In reply, I would offer the following three observations.</w:t>
      </w:r>
    </w:p>
    <w:p w14:paraId="7983BAE5">
      <w:pPr>
        <w:pStyle w:val="9"/>
        <w:spacing w:before="23"/>
        <w:ind w:left="0"/>
        <w:jc w:val="left"/>
        <w:rPr>
          <w:rFonts w:hint="eastAsia"/>
        </w:rPr>
      </w:pPr>
      <w:r>
        <w:rPr>
          <w:rFonts w:hint="eastAsia"/>
        </w:rPr>
        <w:t>作为回应，我愿提出以下三点观察。</w:t>
      </w:r>
    </w:p>
    <w:p w14:paraId="2F95B4B5">
      <w:pPr>
        <w:pStyle w:val="9"/>
        <w:spacing w:before="23"/>
        <w:ind w:left="0"/>
        <w:jc w:val="left"/>
        <w:rPr>
          <w:rFonts w:hint="eastAsia"/>
        </w:rPr>
      </w:pPr>
    </w:p>
    <w:p w14:paraId="4068E1E8">
      <w:pPr>
        <w:pStyle w:val="9"/>
        <w:spacing w:before="23"/>
        <w:ind w:left="0"/>
        <w:jc w:val="left"/>
        <w:rPr>
          <w:rFonts w:hint="eastAsia"/>
        </w:rPr>
      </w:pPr>
      <w:r>
        <w:rPr>
          <w:rFonts w:hint="eastAsia"/>
        </w:rPr>
        <w:t>First, if it were true that the rest of the NT explicitly taught a pre- tribulation Rapture, then one would have to admit that this text could be referring to it.</w:t>
      </w:r>
    </w:p>
    <w:p w14:paraId="4E9CF7FC">
      <w:pPr>
        <w:pStyle w:val="9"/>
        <w:spacing w:before="23"/>
        <w:ind w:left="0"/>
        <w:jc w:val="left"/>
        <w:rPr>
          <w:rFonts w:hint="eastAsia"/>
        </w:rPr>
      </w:pPr>
      <w:r>
        <w:rPr>
          <w:rFonts w:hint="eastAsia"/>
        </w:rPr>
        <w:t>首先，如果新约的其余部分确实明确地教导了一次灾前被提，那么就必须承认这段经文可能指的是它。</w:t>
      </w:r>
    </w:p>
    <w:p w14:paraId="67CCC1EE">
      <w:pPr>
        <w:pStyle w:val="9"/>
        <w:spacing w:before="23"/>
        <w:ind w:left="0"/>
        <w:jc w:val="left"/>
        <w:rPr>
          <w:rFonts w:hint="eastAsia"/>
        </w:rPr>
      </w:pPr>
    </w:p>
    <w:p w14:paraId="3C29761D">
      <w:pPr>
        <w:pStyle w:val="9"/>
        <w:spacing w:before="23"/>
        <w:ind w:left="0"/>
        <w:jc w:val="left"/>
        <w:rPr>
          <w:rFonts w:hint="eastAsia"/>
        </w:rPr>
      </w:pPr>
      <w:r>
        <w:rPr>
          <w:rFonts w:hint="eastAsia"/>
        </w:rPr>
        <w:t>Certainly, there is little here to rule out the idea of a pre- tribulation Rapture, though the opposite is also true: There is little here positively to affirm it.</w:t>
      </w:r>
    </w:p>
    <w:p w14:paraId="55936876">
      <w:pPr>
        <w:pStyle w:val="9"/>
        <w:spacing w:before="23"/>
        <w:ind w:left="0"/>
        <w:jc w:val="left"/>
        <w:rPr>
          <w:rFonts w:hint="eastAsia"/>
        </w:rPr>
      </w:pPr>
      <w:r>
        <w:rPr>
          <w:rFonts w:hint="eastAsia"/>
        </w:rPr>
        <w:t>当然，这里很少有什么可以排除灾前被提的观念，尽管反过来也同样如此：这里很少有什么可以明确地肯定它。</w:t>
      </w:r>
    </w:p>
    <w:p w14:paraId="497238E7">
      <w:pPr>
        <w:pStyle w:val="9"/>
        <w:spacing w:before="23"/>
        <w:ind w:left="0"/>
        <w:jc w:val="left"/>
        <w:rPr>
          <w:rFonts w:hint="eastAsia"/>
        </w:rPr>
      </w:pPr>
    </w:p>
    <w:p w14:paraId="297F2A8D">
      <w:pPr>
        <w:pStyle w:val="9"/>
        <w:spacing w:before="23"/>
        <w:ind w:left="0"/>
        <w:jc w:val="left"/>
        <w:rPr>
          <w:rFonts w:hint="eastAsia"/>
        </w:rPr>
      </w:pPr>
      <w:r>
        <w:rPr>
          <w:rFonts w:hint="eastAsia"/>
        </w:rPr>
        <w:t>In other words, the text is something of a blank eschatological slate, amenable to different interpretations.</w:t>
      </w:r>
    </w:p>
    <w:p w14:paraId="3D556EE5">
      <w:pPr>
        <w:pStyle w:val="9"/>
        <w:spacing w:before="23"/>
        <w:ind w:left="0"/>
        <w:jc w:val="left"/>
        <w:rPr>
          <w:rFonts w:hint="eastAsia"/>
        </w:rPr>
      </w:pPr>
      <w:r>
        <w:rPr>
          <w:rFonts w:hint="eastAsia"/>
        </w:rPr>
        <w:t>换句话说，这段经文有点像一块空白的末世论石板，可以有不同的解释。</w:t>
      </w:r>
    </w:p>
    <w:p w14:paraId="0B7CDAC8">
      <w:pPr>
        <w:pStyle w:val="9"/>
        <w:spacing w:before="23"/>
        <w:ind w:left="0"/>
        <w:jc w:val="left"/>
        <w:rPr>
          <w:rFonts w:hint="eastAsia"/>
        </w:rPr>
      </w:pPr>
    </w:p>
    <w:p w14:paraId="481D2DFE">
      <w:pPr>
        <w:pStyle w:val="9"/>
        <w:spacing w:before="23"/>
        <w:ind w:left="0"/>
        <w:jc w:val="left"/>
        <w:rPr>
          <w:rFonts w:hint="eastAsia"/>
        </w:rPr>
      </w:pPr>
      <w:r>
        <w:rPr>
          <w:rFonts w:hint="eastAsia"/>
        </w:rPr>
        <w:t>We have seen, however, that the rest of the NT always teaches a single Coming of Christ at the end of the age.</w:t>
      </w:r>
    </w:p>
    <w:p w14:paraId="1C82543B">
      <w:pPr>
        <w:pStyle w:val="9"/>
        <w:spacing w:before="23"/>
        <w:ind w:left="0"/>
        <w:jc w:val="left"/>
        <w:rPr>
          <w:rFonts w:hint="eastAsia"/>
        </w:rPr>
      </w:pPr>
      <w:r>
        <w:rPr>
          <w:rFonts w:hint="eastAsia"/>
        </w:rPr>
        <w:t>然而，我们已经看到，新约的其余部分总是教导在世代末了有一次单一的基督降临。</w:t>
      </w:r>
    </w:p>
    <w:p w14:paraId="6231015B">
      <w:pPr>
        <w:pStyle w:val="9"/>
        <w:spacing w:before="23"/>
        <w:ind w:left="0"/>
        <w:jc w:val="left"/>
        <w:rPr>
          <w:rFonts w:hint="eastAsia"/>
        </w:rPr>
      </w:pPr>
    </w:p>
    <w:p w14:paraId="4F151190">
      <w:pPr>
        <w:pStyle w:val="9"/>
        <w:spacing w:before="23"/>
        <w:ind w:left="0"/>
        <w:jc w:val="left"/>
        <w:rPr>
          <w:rFonts w:hint="eastAsia"/>
        </w:rPr>
      </w:pPr>
      <w:r>
        <w:rPr>
          <w:rFonts w:hint="eastAsia"/>
        </w:rPr>
        <w:t>Therefore, we may be quite certain that this text does not refer to a pre-tribulation Rapture.</w:t>
      </w:r>
    </w:p>
    <w:p w14:paraId="3E0BFB33">
      <w:pPr>
        <w:pStyle w:val="9"/>
        <w:spacing w:before="23"/>
        <w:ind w:left="0"/>
        <w:jc w:val="left"/>
        <w:rPr>
          <w:rFonts w:hint="eastAsia"/>
        </w:rPr>
      </w:pPr>
      <w:r>
        <w:rPr>
          <w:rFonts w:hint="eastAsia"/>
        </w:rPr>
        <w:t>因此，我们可以相当肯定，这段经文并非指灾前被提。</w:t>
      </w:r>
    </w:p>
    <w:p w14:paraId="3BA39D49">
      <w:pPr>
        <w:pStyle w:val="9"/>
        <w:spacing w:before="23"/>
        <w:ind w:left="0"/>
        <w:jc w:val="left"/>
        <w:rPr>
          <w:rFonts w:hint="eastAsia"/>
        </w:rPr>
      </w:pPr>
    </w:p>
    <w:p w14:paraId="4381A637">
      <w:pPr>
        <w:pStyle w:val="9"/>
        <w:spacing w:before="23"/>
        <w:ind w:left="0"/>
        <w:jc w:val="left"/>
        <w:rPr>
          <w:rFonts w:hint="eastAsia"/>
        </w:rPr>
      </w:pPr>
      <w:r>
        <w:rPr>
          <w:rFonts w:hint="eastAsia"/>
        </w:rPr>
        <w:t>With reference to the end, what it does refer to—and must refer to—is the one Parousia.</w:t>
      </w:r>
    </w:p>
    <w:p w14:paraId="0ACBC1DD">
      <w:pPr>
        <w:pStyle w:val="9"/>
        <w:spacing w:before="23"/>
        <w:ind w:left="0"/>
        <w:jc w:val="left"/>
        <w:rPr>
          <w:rFonts w:hint="eastAsia"/>
        </w:rPr>
      </w:pPr>
      <w:r>
        <w:rPr>
          <w:rFonts w:hint="eastAsia"/>
        </w:rPr>
        <w:t>关于末了，它所指的——也必须指的——是那一次主临（Parousia）。</w:t>
      </w:r>
    </w:p>
    <w:p w14:paraId="03E5EA8A">
      <w:pPr>
        <w:pStyle w:val="9"/>
        <w:spacing w:before="23"/>
        <w:ind w:left="0"/>
        <w:jc w:val="left"/>
        <w:rPr>
          <w:rFonts w:hint="eastAsia"/>
        </w:rPr>
      </w:pPr>
    </w:p>
    <w:p w14:paraId="35DDD1ED">
      <w:pPr>
        <w:pStyle w:val="9"/>
        <w:spacing w:before="23"/>
        <w:ind w:left="0"/>
        <w:jc w:val="left"/>
        <w:rPr>
          <w:rFonts w:hint="eastAsia"/>
        </w:rPr>
      </w:pPr>
      <w:r>
        <w:rPr>
          <w:rFonts w:hint="eastAsia"/>
        </w:rPr>
        <w:t>Secondly, MacArthur states that our text does not describe Christ coming to earth with his saints to establish his kingdom on earth (Rev. 19:11-15).</w:t>
      </w:r>
    </w:p>
    <w:p w14:paraId="138A2A16">
      <w:pPr>
        <w:pStyle w:val="9"/>
        <w:spacing w:before="23"/>
        <w:ind w:left="0"/>
        <w:jc w:val="left"/>
        <w:rPr>
          <w:rFonts w:hint="eastAsia"/>
        </w:rPr>
      </w:pPr>
      <w:r>
        <w:rPr>
          <w:rFonts w:hint="eastAsia"/>
        </w:rPr>
        <w:t>其次，麦克阿瑟说我们的经文并非描述基督与祂的圣徒一同来到地上建立祂的国度（启19:11-15）。</w:t>
      </w:r>
    </w:p>
    <w:p w14:paraId="4C88D566">
      <w:pPr>
        <w:pStyle w:val="9"/>
        <w:spacing w:before="23"/>
        <w:ind w:left="0"/>
        <w:jc w:val="left"/>
        <w:rPr>
          <w:rFonts w:hint="eastAsia"/>
        </w:rPr>
      </w:pPr>
    </w:p>
    <w:p w14:paraId="1C222F8F">
      <w:pPr>
        <w:pStyle w:val="9"/>
        <w:spacing w:before="23"/>
        <w:ind w:left="0"/>
        <w:jc w:val="left"/>
        <w:rPr>
          <w:rFonts w:hint="eastAsia"/>
        </w:rPr>
      </w:pPr>
      <w:r>
        <w:rPr>
          <w:rFonts w:hint="eastAsia"/>
        </w:rPr>
        <w:t>But how can he be so sure of this?</w:t>
      </w:r>
    </w:p>
    <w:p w14:paraId="5C1D5FB7">
      <w:pPr>
        <w:pStyle w:val="9"/>
        <w:spacing w:before="23"/>
        <w:ind w:left="0"/>
        <w:jc w:val="left"/>
        <w:rPr>
          <w:rFonts w:hint="eastAsia"/>
        </w:rPr>
      </w:pPr>
      <w:r>
        <w:rPr>
          <w:rFonts w:hint="eastAsia"/>
        </w:rPr>
        <w:t>但祂怎能如此肯定呢？</w:t>
      </w:r>
    </w:p>
    <w:p w14:paraId="1391E5D8">
      <w:pPr>
        <w:pStyle w:val="9"/>
        <w:spacing w:before="23"/>
        <w:ind w:left="0"/>
        <w:jc w:val="left"/>
        <w:rPr>
          <w:rFonts w:hint="eastAsia"/>
        </w:rPr>
      </w:pPr>
    </w:p>
    <w:p w14:paraId="764351AF">
      <w:pPr>
        <w:pStyle w:val="9"/>
        <w:spacing w:before="23"/>
        <w:ind w:left="0"/>
        <w:jc w:val="left"/>
        <w:rPr>
          <w:rFonts w:hint="eastAsia"/>
        </w:rPr>
      </w:pPr>
      <w:r>
        <w:rPr>
          <w:rFonts w:hint="eastAsia"/>
        </w:rPr>
        <w:t>Jesus simply says, “I will come again and receive you to myself, that where I am, there you may be also.”</w:t>
      </w:r>
    </w:p>
    <w:p w14:paraId="3469741B">
      <w:pPr>
        <w:pStyle w:val="9"/>
        <w:spacing w:before="23"/>
        <w:ind w:left="0"/>
        <w:jc w:val="left"/>
        <w:rPr>
          <w:rFonts w:hint="eastAsia"/>
        </w:rPr>
      </w:pPr>
      <w:r>
        <w:rPr>
          <w:rFonts w:hint="eastAsia"/>
        </w:rPr>
        <w:t>耶稣只是说：“我必再来接你们到我那里去，我在哪里，叫你们也在那里。”</w:t>
      </w:r>
    </w:p>
    <w:p w14:paraId="6DD89815">
      <w:pPr>
        <w:pStyle w:val="9"/>
        <w:spacing w:before="23"/>
        <w:ind w:left="0"/>
        <w:jc w:val="left"/>
        <w:rPr>
          <w:rFonts w:hint="eastAsia"/>
        </w:rPr>
      </w:pPr>
    </w:p>
    <w:p w14:paraId="6D556353">
      <w:pPr>
        <w:pStyle w:val="9"/>
        <w:spacing w:before="23"/>
        <w:ind w:left="0"/>
        <w:jc w:val="left"/>
        <w:rPr>
          <w:rFonts w:hint="eastAsia"/>
        </w:rPr>
      </w:pPr>
      <w:r>
        <w:rPr>
          <w:rFonts w:hint="eastAsia"/>
        </w:rPr>
        <w:t>Why, then, could Jesus not have in mind a scenario like this: At his final coming for his Bride he descends from heaven with the spirits of the departed saints (Rev. 19:11-15); then he raises them from the dead, joining their spirits to their new resurrection bodies; then he transforms the living saints; then he receives them all to himself in the skies above the earth; and then, following the judgment, he descends with them to the new heavens and the new earth, so that ever after they may be with him where he is (Rev. 21:1-4)?</w:t>
      </w:r>
    </w:p>
    <w:p w14:paraId="7DC9EFB4">
      <w:pPr>
        <w:pStyle w:val="9"/>
        <w:spacing w:before="23"/>
        <w:ind w:left="0"/>
        <w:jc w:val="left"/>
        <w:rPr>
          <w:rFonts w:hint="eastAsia"/>
        </w:rPr>
      </w:pPr>
      <w:r>
        <w:rPr>
          <w:rFonts w:hint="eastAsia"/>
        </w:rPr>
        <w:t>那么，为何耶稣心中不能有这样一个情景：在祂为祂的新妇最后一次降临时，祂带着已故圣徒的灵魂从天降下（启19:11-15）；然后祂使他们从死里复活，将他们的灵魂与他们新的复活身体联合；然后祂改变活着的圣徒；然后祂在地上空将他们都接到自己那里去；然后，在审判之后，祂与他们一同降临到新天新地，使他们从此以后可以与祂同在祂所在之处（启21:1-4）？</w:t>
      </w:r>
    </w:p>
    <w:p w14:paraId="56F6F9CD">
      <w:pPr>
        <w:pStyle w:val="9"/>
        <w:spacing w:before="23"/>
        <w:ind w:left="0"/>
        <w:jc w:val="left"/>
        <w:rPr>
          <w:rFonts w:hint="eastAsia"/>
        </w:rPr>
      </w:pPr>
    </w:p>
    <w:p w14:paraId="74F8C172">
      <w:pPr>
        <w:pStyle w:val="9"/>
        <w:spacing w:before="23"/>
        <w:ind w:left="0"/>
        <w:jc w:val="left"/>
        <w:rPr>
          <w:rFonts w:hint="eastAsia"/>
        </w:rPr>
      </w:pPr>
      <w:r>
        <w:rPr>
          <w:rFonts w:hint="eastAsia"/>
        </w:rPr>
        <w:t>In short, why could Christ not be referring to the Consummation, and to eternal life with his own in the World to Come?</w:t>
      </w:r>
    </w:p>
    <w:p w14:paraId="103BF9A2">
      <w:pPr>
        <w:pStyle w:val="9"/>
        <w:spacing w:before="23"/>
        <w:ind w:left="0"/>
        <w:jc w:val="left"/>
        <w:rPr>
          <w:rFonts w:hint="eastAsia"/>
        </w:rPr>
      </w:pPr>
      <w:r>
        <w:rPr>
          <w:rFonts w:hint="eastAsia"/>
        </w:rPr>
        <w:t>简而言之，为何基督不能是指最终的成全，以及在将来的世界中与属祂自己的人同享永生呢？</w:t>
      </w:r>
    </w:p>
    <w:p w14:paraId="1A05C551">
      <w:pPr>
        <w:pStyle w:val="9"/>
        <w:spacing w:before="23"/>
        <w:ind w:left="0"/>
        <w:jc w:val="left"/>
        <w:rPr>
          <w:rFonts w:hint="eastAsia"/>
        </w:rPr>
      </w:pPr>
    </w:p>
    <w:p w14:paraId="7EF2B68A">
      <w:pPr>
        <w:pStyle w:val="9"/>
        <w:spacing w:before="23"/>
        <w:ind w:left="0"/>
        <w:jc w:val="left"/>
        <w:rPr>
          <w:rFonts w:hint="eastAsia"/>
        </w:rPr>
      </w:pPr>
      <w:r>
        <w:rPr>
          <w:rFonts w:hint="eastAsia"/>
        </w:rPr>
        <w:t>Thirdly, MacArthur says that no judgment on the unsaved is described here, so that this event cannot be Christ’s return in power and glory to destroy the wicked.</w:t>
      </w:r>
    </w:p>
    <w:p w14:paraId="13848939">
      <w:pPr>
        <w:pStyle w:val="9"/>
        <w:spacing w:before="23"/>
        <w:ind w:left="0"/>
        <w:jc w:val="left"/>
        <w:rPr>
          <w:rFonts w:hint="eastAsia"/>
        </w:rPr>
      </w:pPr>
      <w:r>
        <w:rPr>
          <w:rFonts w:hint="eastAsia"/>
        </w:rPr>
        <w:t>第三，麦克阿瑟说，这里没有描述对未得救之人的审判，所以这件事不可能是基督带着能力和荣耀再来毁灭恶人。</w:t>
      </w:r>
    </w:p>
    <w:p w14:paraId="5ABC0992">
      <w:pPr>
        <w:pStyle w:val="9"/>
        <w:spacing w:before="23"/>
        <w:ind w:left="0"/>
        <w:jc w:val="left"/>
        <w:rPr>
          <w:rFonts w:hint="eastAsia"/>
        </w:rPr>
      </w:pPr>
    </w:p>
    <w:p w14:paraId="1F88B01D">
      <w:pPr>
        <w:pStyle w:val="9"/>
        <w:spacing w:before="23"/>
        <w:ind w:left="0"/>
        <w:jc w:val="left"/>
        <w:rPr>
          <w:rFonts w:hint="eastAsia"/>
        </w:rPr>
      </w:pPr>
      <w:r>
        <w:rPr>
          <w:rFonts w:hint="eastAsia"/>
        </w:rPr>
        <w:t>But what if Jesus, in this saying, meant only to describe one facet of his Coming: his return in power to consummate the redemption of his Bride and welcome her into the World to Come?</w:t>
      </w:r>
    </w:p>
    <w:p w14:paraId="6F34DE42">
      <w:pPr>
        <w:pStyle w:val="9"/>
        <w:spacing w:before="23"/>
        <w:ind w:left="0"/>
        <w:jc w:val="left"/>
        <w:rPr>
          <w:rFonts w:hint="eastAsia"/>
        </w:rPr>
      </w:pPr>
      <w:r>
        <w:rPr>
          <w:rFonts w:hint="eastAsia"/>
        </w:rPr>
        <w:t>但如果耶稣在这句话中，只是意在描述祂降临的一个方面：祂带着能力再来，为要成全祂新妇的救赎，并欢迎她进入将来的世界呢？</w:t>
      </w:r>
    </w:p>
    <w:p w14:paraId="71F40865">
      <w:pPr>
        <w:pStyle w:val="9"/>
        <w:spacing w:before="23"/>
        <w:ind w:left="0"/>
        <w:jc w:val="left"/>
        <w:rPr>
          <w:rFonts w:hint="eastAsia"/>
        </w:rPr>
      </w:pPr>
    </w:p>
    <w:p w14:paraId="6D0C8540">
      <w:pPr>
        <w:pStyle w:val="9"/>
        <w:spacing w:before="23"/>
        <w:ind w:left="0"/>
        <w:jc w:val="left"/>
        <w:rPr>
          <w:rFonts w:hint="eastAsia"/>
        </w:rPr>
      </w:pPr>
      <w:r>
        <w:rPr>
          <w:rFonts w:hint="eastAsia"/>
        </w:rPr>
        <w:t>What if the destruction of the wicked does indeed occur at this time, but remains unmentioned simply because Jesus desired to focus on comforting his disciples?</w:t>
      </w:r>
    </w:p>
    <w:p w14:paraId="4BE64BFB">
      <w:pPr>
        <w:pStyle w:val="9"/>
        <w:spacing w:before="23"/>
        <w:ind w:left="0"/>
        <w:jc w:val="left"/>
        <w:rPr>
          <w:rFonts w:hint="eastAsia"/>
        </w:rPr>
      </w:pPr>
      <w:r>
        <w:rPr>
          <w:rFonts w:hint="eastAsia"/>
        </w:rPr>
        <w:t>如果恶人的毁灭确实在这时发生，但只是因为耶稣希望专注于安慰祂的门徒而未被提及呢？</w:t>
      </w:r>
    </w:p>
    <w:p w14:paraId="167711A8">
      <w:pPr>
        <w:pStyle w:val="9"/>
        <w:spacing w:before="23"/>
        <w:ind w:left="0"/>
        <w:jc w:val="left"/>
        <w:rPr>
          <w:rFonts w:hint="eastAsia"/>
        </w:rPr>
      </w:pPr>
    </w:p>
    <w:p w14:paraId="73B7952E">
      <w:pPr>
        <w:pStyle w:val="9"/>
        <w:spacing w:before="23"/>
        <w:ind w:left="0"/>
        <w:jc w:val="left"/>
        <w:rPr>
          <w:rFonts w:hint="eastAsia"/>
        </w:rPr>
      </w:pPr>
      <w:r>
        <w:rPr>
          <w:rFonts w:hint="eastAsia"/>
        </w:rPr>
        <w:t>MacArthur’s argument from silence is not persuasive; moreover, any number of NT texts refutes his conclusion by positively affirming that the destruction of the wicked will occur at the one Parousia of Christ (Mt. 13:37-43, Mt. 24-25, 1 Cor. 15:20-28, 50-58, 1 Thess. 4:13-5:11, 2 Thess. 1:3-12, 2:1-12, etc.).</w:t>
      </w:r>
    </w:p>
    <w:p w14:paraId="43E3C807">
      <w:pPr>
        <w:pStyle w:val="9"/>
        <w:spacing w:before="23"/>
        <w:ind w:left="0"/>
        <w:jc w:val="left"/>
        <w:rPr>
          <w:rFonts w:hint="eastAsia"/>
        </w:rPr>
      </w:pPr>
      <w:r>
        <w:rPr>
          <w:rFonts w:hint="eastAsia"/>
        </w:rPr>
        <w:t>麦克阿瑟的沉默论证并不具说服力；此外，许多新约经文都通过明确肯定恶人的毁灭将在基督的一次主临（Parousia）时发生，来反驳他的结论（太13:37-43，太24-25，林前15:20-28, 50-58，帖前4:13-5:11，帖后1:3-12, 2:1-12等）。</w:t>
      </w:r>
    </w:p>
    <w:p w14:paraId="1ADABBFE">
      <w:pPr>
        <w:pStyle w:val="9"/>
        <w:spacing w:before="23"/>
        <w:ind w:left="0"/>
        <w:jc w:val="left"/>
        <w:rPr>
          <w:rFonts w:hint="eastAsia"/>
        </w:rPr>
      </w:pPr>
    </w:p>
    <w:p w14:paraId="53DA6EBE">
      <w:pPr>
        <w:pStyle w:val="9"/>
        <w:spacing w:before="23"/>
        <w:ind w:left="0"/>
        <w:jc w:val="left"/>
        <w:rPr>
          <w:rFonts w:hint="eastAsia"/>
        </w:rPr>
      </w:pPr>
      <w:r>
        <w:rPr>
          <w:rFonts w:hint="eastAsia"/>
        </w:rPr>
        <w:t>We conclude, then, that in this saying Jesus once again presupposes a simple two-staged Kingdom, separated by a single Consummation at his Parousia; that he definitely desires his suffering disciples to take comfort in the thought of being with him in heaven throughout the Intermediate State; but that he also desires them to embrace the Parousia as their supreme eschatological hope.</w:t>
      </w:r>
    </w:p>
    <w:p w14:paraId="0BE19F7A">
      <w:pPr>
        <w:pStyle w:val="9"/>
        <w:spacing w:before="23"/>
        <w:ind w:left="0"/>
        <w:jc w:val="left"/>
        <w:rPr>
          <w:rFonts w:hint="eastAsia"/>
        </w:rPr>
      </w:pPr>
      <w:r>
        <w:rPr>
          <w:rFonts w:hint="eastAsia"/>
        </w:rPr>
        <w:t>因此，我们得出结论，在这句话中，耶稣再次预设了一个简单的两阶段国度，由祂主临（Parousia）时的一次单一的最终成全所分隔；祂确实渴望祂受苦的门徒在整个中间状态中，因与祂同在天上的思想而得安慰；但祂也渴望他们将主临（Parousia）作为他们至高的末世盼望来拥抱。</w:t>
      </w:r>
    </w:p>
    <w:p w14:paraId="138779DD">
      <w:pPr>
        <w:pStyle w:val="9"/>
        <w:spacing w:before="23"/>
        <w:ind w:left="0"/>
        <w:jc w:val="left"/>
        <w:rPr>
          <w:rFonts w:hint="eastAsia"/>
        </w:rPr>
      </w:pPr>
    </w:p>
    <w:p w14:paraId="2B9EB342">
      <w:pPr>
        <w:pStyle w:val="9"/>
        <w:spacing w:before="23"/>
        <w:ind w:left="0"/>
        <w:jc w:val="left"/>
        <w:rPr>
          <w:rFonts w:hint="eastAsia"/>
        </w:rPr>
      </w:pPr>
      <w:r>
        <w:rPr>
          <w:rFonts w:hint="eastAsia"/>
        </w:rPr>
        <w:t>When the heart of the Bride is troubled, she is therefore to think above all of the supreme joy of eternal life with her heavenly Husband at the Marriage Feast of the Lamb (Rev. 19:7).</w:t>
      </w:r>
    </w:p>
    <w:p w14:paraId="443972D5">
      <w:pPr>
        <w:pStyle w:val="9"/>
        <w:spacing w:before="23"/>
        <w:ind w:left="0"/>
        <w:jc w:val="left"/>
        <w:rPr>
          <w:rFonts w:hint="eastAsia"/>
        </w:rPr>
      </w:pPr>
      <w:r>
        <w:rPr>
          <w:rFonts w:hint="eastAsia"/>
        </w:rPr>
        <w:t>因此，当新妇的心忧愁时，她首先当思想的，是在羔羊的婚筵上与她天上丈夫同享永生的至高喜乐（启19:7）。</w:t>
      </w:r>
    </w:p>
    <w:p w14:paraId="4C548637">
      <w:pPr>
        <w:pStyle w:val="9"/>
        <w:spacing w:before="23"/>
        <w:ind w:left="0"/>
        <w:jc w:val="left"/>
        <w:rPr>
          <w:rFonts w:hint="eastAsia"/>
        </w:rPr>
      </w:pPr>
    </w:p>
    <w:p w14:paraId="754D6BE5">
      <w:pPr>
        <w:pStyle w:val="9"/>
        <w:spacing w:before="23"/>
        <w:ind w:left="0"/>
        <w:jc w:val="left"/>
        <w:rPr>
          <w:rFonts w:hint="eastAsia"/>
        </w:rPr>
      </w:pPr>
      <w:r>
        <w:rPr>
          <w:rFonts w:hint="eastAsia"/>
        </w:rPr>
        <w:t>6.To Every Man According to His Deeds</w:t>
      </w:r>
    </w:p>
    <w:p w14:paraId="09D40901">
      <w:pPr>
        <w:pStyle w:val="9"/>
        <w:spacing w:before="23"/>
        <w:ind w:left="0"/>
        <w:jc w:val="left"/>
        <w:rPr>
          <w:rFonts w:hint="eastAsia"/>
        </w:rPr>
      </w:pPr>
      <w:r>
        <w:rPr>
          <w:rFonts w:hint="eastAsia"/>
        </w:rPr>
        <w:t>6.各人照所行的得报应</w:t>
      </w:r>
    </w:p>
    <w:p w14:paraId="39F73BB5">
      <w:pPr>
        <w:pStyle w:val="9"/>
        <w:spacing w:before="23"/>
        <w:ind w:left="0"/>
        <w:jc w:val="left"/>
        <w:rPr>
          <w:rFonts w:hint="eastAsia"/>
        </w:rPr>
      </w:pPr>
    </w:p>
    <w:p w14:paraId="2B9B45D2">
      <w:pPr>
        <w:pStyle w:val="9"/>
        <w:spacing w:before="23"/>
        <w:ind w:left="0"/>
        <w:jc w:val="left"/>
        <w:rPr>
          <w:rFonts w:hint="eastAsia"/>
        </w:rPr>
      </w:pPr>
      <w:r>
        <w:rPr>
          <w:rFonts w:hint="eastAsia"/>
        </w:rPr>
        <w:t>(Romans 2:1-16)</w:t>
      </w:r>
    </w:p>
    <w:p w14:paraId="55649597">
      <w:pPr>
        <w:pStyle w:val="9"/>
        <w:spacing w:before="23"/>
        <w:ind w:left="0"/>
        <w:jc w:val="left"/>
        <w:rPr>
          <w:rFonts w:hint="eastAsia"/>
        </w:rPr>
      </w:pPr>
      <w:r>
        <w:rPr>
          <w:rFonts w:hint="eastAsia"/>
        </w:rPr>
        <w:t>（罗马书2:1-16）</w:t>
      </w:r>
    </w:p>
    <w:p w14:paraId="4A7D3983">
      <w:pPr>
        <w:pStyle w:val="9"/>
        <w:spacing w:before="23"/>
        <w:ind w:left="0"/>
        <w:jc w:val="left"/>
        <w:rPr>
          <w:rFonts w:hint="eastAsia"/>
        </w:rPr>
      </w:pPr>
    </w:p>
    <w:p w14:paraId="1CF03A06">
      <w:pPr>
        <w:pStyle w:val="9"/>
        <w:spacing w:before="23"/>
        <w:ind w:left="0"/>
        <w:jc w:val="left"/>
        <w:rPr>
          <w:rFonts w:hint="eastAsia"/>
        </w:rPr>
      </w:pPr>
      <w:r>
        <w:rPr>
          <w:rFonts w:hint="eastAsia"/>
        </w:rPr>
        <w:t>Among New Testament texts dealing with the Judgment, this is one of the lengthiest and most important.</w:t>
      </w:r>
    </w:p>
    <w:p w14:paraId="278D33DA">
      <w:pPr>
        <w:pStyle w:val="9"/>
        <w:spacing w:before="23"/>
        <w:ind w:left="0"/>
        <w:jc w:val="left"/>
        <w:rPr>
          <w:rFonts w:hint="eastAsia"/>
        </w:rPr>
      </w:pPr>
      <w:r>
        <w:rPr>
          <w:rFonts w:hint="eastAsia"/>
        </w:rPr>
        <w:t>在新约处理审判的经文中，这是最长且最重要的一段之一。</w:t>
      </w:r>
    </w:p>
    <w:p w14:paraId="7DBDB89D">
      <w:pPr>
        <w:pStyle w:val="9"/>
        <w:spacing w:before="23"/>
        <w:ind w:left="0"/>
        <w:jc w:val="left"/>
        <w:rPr>
          <w:rFonts w:hint="eastAsia"/>
        </w:rPr>
      </w:pPr>
    </w:p>
    <w:p w14:paraId="6D114DB3">
      <w:pPr>
        <w:pStyle w:val="9"/>
        <w:spacing w:before="23"/>
        <w:ind w:left="0"/>
        <w:jc w:val="left"/>
        <w:rPr>
          <w:rFonts w:hint="eastAsia"/>
        </w:rPr>
      </w:pPr>
      <w:r>
        <w:rPr>
          <w:rFonts w:hint="eastAsia"/>
        </w:rPr>
        <w:t>In his grand exposition of the Gospel, Paul has begun by demonstrating Gentile guilt before the God of general revelation (1:18-32).</w:t>
      </w:r>
    </w:p>
    <w:p w14:paraId="5D770C22">
      <w:pPr>
        <w:pStyle w:val="9"/>
        <w:spacing w:before="23"/>
        <w:ind w:left="0"/>
        <w:jc w:val="left"/>
        <w:rPr>
          <w:rFonts w:hint="eastAsia"/>
        </w:rPr>
      </w:pPr>
      <w:r>
        <w:rPr>
          <w:rFonts w:hint="eastAsia"/>
        </w:rPr>
        <w:t>保罗在他对福音的宏伟阐述中，开始时先证明了外邦人在普遍启示的上帝面前的罪（1:18-32）。</w:t>
      </w:r>
    </w:p>
    <w:p w14:paraId="657B898A">
      <w:pPr>
        <w:pStyle w:val="9"/>
        <w:spacing w:before="23"/>
        <w:ind w:left="0"/>
        <w:jc w:val="left"/>
        <w:rPr>
          <w:rFonts w:hint="eastAsia"/>
        </w:rPr>
      </w:pPr>
    </w:p>
    <w:p w14:paraId="0B339EE0">
      <w:pPr>
        <w:pStyle w:val="9"/>
        <w:spacing w:before="23"/>
        <w:ind w:left="0"/>
        <w:jc w:val="left"/>
        <w:rPr>
          <w:rFonts w:hint="eastAsia"/>
        </w:rPr>
      </w:pPr>
      <w:r>
        <w:rPr>
          <w:rFonts w:hint="eastAsia"/>
        </w:rPr>
        <w:t>Now he turns to the beneficiaries of God’s special revelation, the Jews (2:1ff).</w:t>
      </w:r>
    </w:p>
    <w:p w14:paraId="45158DF4">
      <w:pPr>
        <w:pStyle w:val="9"/>
        <w:spacing w:before="23"/>
        <w:ind w:left="0"/>
        <w:jc w:val="left"/>
        <w:rPr>
          <w:rFonts w:hint="eastAsia"/>
        </w:rPr>
      </w:pPr>
      <w:r>
        <w:rPr>
          <w:rFonts w:hint="eastAsia"/>
        </w:rPr>
        <w:t>现在祂转向上帝特殊启示的受益者，犹太人（2:1及以下）。</w:t>
      </w:r>
    </w:p>
    <w:p w14:paraId="5F399229">
      <w:pPr>
        <w:pStyle w:val="9"/>
        <w:spacing w:before="23"/>
        <w:ind w:left="0"/>
        <w:jc w:val="left"/>
        <w:rPr>
          <w:rFonts w:hint="eastAsia"/>
        </w:rPr>
      </w:pPr>
    </w:p>
    <w:p w14:paraId="59527F77">
      <w:pPr>
        <w:pStyle w:val="9"/>
        <w:spacing w:before="23"/>
        <w:ind w:left="0"/>
        <w:jc w:val="left"/>
        <w:rPr>
          <w:rFonts w:hint="eastAsia"/>
        </w:rPr>
      </w:pPr>
      <w:r>
        <w:rPr>
          <w:rFonts w:hint="eastAsia"/>
        </w:rPr>
        <w:t>He knows they agree that God’s judgment rightly falls on Gentile sinners.</w:t>
      </w:r>
    </w:p>
    <w:p w14:paraId="535B310F">
      <w:pPr>
        <w:pStyle w:val="9"/>
        <w:spacing w:before="23"/>
        <w:ind w:left="0"/>
        <w:jc w:val="left"/>
        <w:rPr>
          <w:rFonts w:hint="eastAsia"/>
        </w:rPr>
      </w:pPr>
      <w:r>
        <w:rPr>
          <w:rFonts w:hint="eastAsia"/>
        </w:rPr>
        <w:t>祂知道他们同意上帝的审判理当临到外邦罪人。</w:t>
      </w:r>
    </w:p>
    <w:p w14:paraId="2F2ECE24">
      <w:pPr>
        <w:pStyle w:val="9"/>
        <w:spacing w:before="23"/>
        <w:ind w:left="0"/>
        <w:jc w:val="left"/>
        <w:rPr>
          <w:rFonts w:hint="eastAsia"/>
        </w:rPr>
      </w:pPr>
    </w:p>
    <w:p w14:paraId="522D398B">
      <w:pPr>
        <w:pStyle w:val="9"/>
        <w:spacing w:before="23"/>
        <w:ind w:left="0"/>
        <w:jc w:val="left"/>
        <w:rPr>
          <w:rFonts w:hint="eastAsia"/>
        </w:rPr>
      </w:pPr>
      <w:r>
        <w:rPr>
          <w:rFonts w:hint="eastAsia"/>
        </w:rPr>
        <w:t>He wants them to understand, however, that it rightly falls on them as well, since they themselves do the very same things as the Gentiles (2:1-3).</w:t>
      </w:r>
    </w:p>
    <w:p w14:paraId="3976CB97">
      <w:pPr>
        <w:pStyle w:val="9"/>
        <w:spacing w:before="23"/>
        <w:ind w:left="0"/>
        <w:jc w:val="left"/>
        <w:rPr>
          <w:rFonts w:hint="eastAsia"/>
        </w:rPr>
      </w:pPr>
      <w:r>
        <w:rPr>
          <w:rFonts w:hint="eastAsia"/>
        </w:rPr>
        <w:t>然而，祂要他们明白，这审判也理当临到他们，因为他们自己也行外邦人所行的同样的事（2:1-3）。</w:t>
      </w:r>
    </w:p>
    <w:p w14:paraId="49887F56">
      <w:pPr>
        <w:pStyle w:val="9"/>
        <w:spacing w:before="23"/>
        <w:ind w:left="0"/>
        <w:jc w:val="left"/>
        <w:rPr>
          <w:rFonts w:hint="eastAsia"/>
        </w:rPr>
      </w:pPr>
    </w:p>
    <w:p w14:paraId="1482296B">
      <w:pPr>
        <w:pStyle w:val="9"/>
        <w:spacing w:before="23"/>
        <w:ind w:left="0"/>
        <w:jc w:val="left"/>
        <w:rPr>
          <w:rFonts w:hint="eastAsia"/>
        </w:rPr>
      </w:pPr>
      <w:r>
        <w:rPr>
          <w:rFonts w:hint="eastAsia"/>
        </w:rPr>
        <w:t>It is not the mere possessors of the Law who are justified before God, but the doers of the Law—and that mathematical set is empty of all human beings save One (2:13).</w:t>
      </w:r>
    </w:p>
    <w:p w14:paraId="17305C99">
      <w:pPr>
        <w:pStyle w:val="9"/>
        <w:spacing w:before="23"/>
        <w:ind w:left="0"/>
        <w:jc w:val="left"/>
        <w:rPr>
          <w:rFonts w:hint="eastAsia"/>
        </w:rPr>
      </w:pPr>
      <w:r>
        <w:rPr>
          <w:rFonts w:hint="eastAsia"/>
        </w:rPr>
        <w:t>在上帝面前称义的，不是单单拥有律法的人，而是行律法的人——而那个数学集合中除了那一位之外，空无一人（2:13）。</w:t>
      </w:r>
    </w:p>
    <w:p w14:paraId="20A48DB2">
      <w:pPr>
        <w:pStyle w:val="9"/>
        <w:spacing w:before="23"/>
        <w:ind w:left="0"/>
        <w:jc w:val="left"/>
        <w:rPr>
          <w:rFonts w:hint="eastAsia"/>
        </w:rPr>
      </w:pPr>
    </w:p>
    <w:p w14:paraId="2668FC8A">
      <w:pPr>
        <w:pStyle w:val="9"/>
        <w:spacing w:before="23"/>
        <w:ind w:left="0"/>
        <w:jc w:val="left"/>
        <w:rPr>
          <w:rFonts w:hint="eastAsia"/>
        </w:rPr>
      </w:pPr>
      <w:r>
        <w:rPr>
          <w:rFonts w:hint="eastAsia"/>
        </w:rPr>
        <w:t>In sum, without the gift of Christ’s righteousness, the Jews, as well as the Gentiles, are headed for disaster on the Day of Judgment (3:19-20).</w:t>
      </w:r>
    </w:p>
    <w:p w14:paraId="20AA2D01">
      <w:pPr>
        <w:pStyle w:val="9"/>
        <w:spacing w:before="23"/>
        <w:ind w:left="0"/>
        <w:jc w:val="left"/>
        <w:rPr>
          <w:rFonts w:hint="eastAsia"/>
        </w:rPr>
      </w:pPr>
      <w:r>
        <w:rPr>
          <w:rFonts w:hint="eastAsia"/>
        </w:rPr>
        <w:t>总而言之，若没有基督的义这个恩赐，犹太人和外邦人一样，在审判日都将面临灾难（3:19-20）。</w:t>
      </w:r>
    </w:p>
    <w:p w14:paraId="4874C86B">
      <w:pPr>
        <w:pStyle w:val="9"/>
        <w:spacing w:before="23"/>
        <w:ind w:left="0"/>
        <w:jc w:val="left"/>
        <w:rPr>
          <w:rFonts w:hint="eastAsia"/>
        </w:rPr>
      </w:pPr>
    </w:p>
    <w:p w14:paraId="42969740">
      <w:pPr>
        <w:pStyle w:val="9"/>
        <w:spacing w:before="23"/>
        <w:ind w:left="0"/>
        <w:jc w:val="left"/>
        <w:rPr>
          <w:rFonts w:hint="eastAsia"/>
        </w:rPr>
      </w:pPr>
      <w:r>
        <w:rPr>
          <w:rFonts w:hint="eastAsia"/>
        </w:rPr>
        <w:t>I cite this text because it powerfully depicts the Day of Judgment as just that: a single Day in which God, through Christ, will weigh and recompense both the motives and deeds of all who have ever lived.</w:t>
      </w:r>
    </w:p>
    <w:p w14:paraId="3D93DC68">
      <w:pPr>
        <w:pStyle w:val="9"/>
        <w:spacing w:before="23"/>
        <w:ind w:left="0"/>
        <w:jc w:val="left"/>
        <w:rPr>
          <w:rFonts w:hint="eastAsia"/>
        </w:rPr>
      </w:pPr>
      <w:r>
        <w:rPr>
          <w:rFonts w:hint="eastAsia"/>
        </w:rPr>
        <w:t>我引用这段经文，因为它有力地描绘了审判日就是这样：一个单一的日子，在其中上帝，通过基督，将衡量并报应所有曾活过之人的动机和行为。</w:t>
      </w:r>
    </w:p>
    <w:p w14:paraId="5259F600">
      <w:pPr>
        <w:pStyle w:val="9"/>
        <w:spacing w:before="23"/>
        <w:ind w:left="0"/>
        <w:jc w:val="left"/>
        <w:rPr>
          <w:rFonts w:hint="eastAsia"/>
        </w:rPr>
      </w:pPr>
    </w:p>
    <w:p w14:paraId="22426995">
      <w:pPr>
        <w:pStyle w:val="9"/>
        <w:spacing w:before="23"/>
        <w:ind w:left="0"/>
        <w:jc w:val="left"/>
        <w:rPr>
          <w:rFonts w:hint="eastAsia"/>
        </w:rPr>
      </w:pPr>
      <w:r>
        <w:rPr>
          <w:rFonts w:hint="eastAsia"/>
        </w:rPr>
        <w:t>Paul speaks of it as “the day of God’s wrath, when his righteous judgment will be revealed” (5).</w:t>
      </w:r>
    </w:p>
    <w:p w14:paraId="0090370B">
      <w:pPr>
        <w:pStyle w:val="9"/>
        <w:spacing w:before="23"/>
        <w:ind w:left="0"/>
        <w:jc w:val="left"/>
        <w:rPr>
          <w:rFonts w:hint="eastAsia"/>
        </w:rPr>
      </w:pPr>
      <w:r>
        <w:rPr>
          <w:rFonts w:hint="eastAsia"/>
        </w:rPr>
        <w:t>保罗称之为“上帝忿怒的日子，那时祂公义的审判将要显明”（5）。</w:t>
      </w:r>
    </w:p>
    <w:p w14:paraId="5F29FC18">
      <w:pPr>
        <w:pStyle w:val="9"/>
        <w:spacing w:before="23"/>
        <w:ind w:left="0"/>
        <w:jc w:val="left"/>
        <w:rPr>
          <w:rFonts w:hint="eastAsia"/>
        </w:rPr>
      </w:pPr>
    </w:p>
    <w:p w14:paraId="41176B89">
      <w:pPr>
        <w:pStyle w:val="9"/>
        <w:spacing w:before="23"/>
        <w:ind w:left="0"/>
        <w:jc w:val="left"/>
        <w:rPr>
          <w:rFonts w:hint="eastAsia"/>
        </w:rPr>
      </w:pPr>
      <w:r>
        <w:rPr>
          <w:rFonts w:hint="eastAsia"/>
        </w:rPr>
        <w:t>He speaks of it as “the day in which God will judge the secrets of men through Christ Jesus” (16).</w:t>
      </w:r>
    </w:p>
    <w:p w14:paraId="5A5CE6DD">
      <w:pPr>
        <w:pStyle w:val="9"/>
        <w:spacing w:before="23"/>
        <w:ind w:left="0"/>
        <w:jc w:val="left"/>
        <w:rPr>
          <w:rFonts w:hint="eastAsia"/>
        </w:rPr>
      </w:pPr>
      <w:r>
        <w:rPr>
          <w:rFonts w:hint="eastAsia"/>
        </w:rPr>
        <w:t>祂说这是“上帝藉耶稣基督审判人隐秘事的日子”（16）。</w:t>
      </w:r>
    </w:p>
    <w:p w14:paraId="616B186E">
      <w:pPr>
        <w:pStyle w:val="9"/>
        <w:spacing w:before="23"/>
        <w:ind w:left="0"/>
        <w:jc w:val="left"/>
        <w:rPr>
          <w:rFonts w:hint="eastAsia"/>
        </w:rPr>
      </w:pPr>
    </w:p>
    <w:p w14:paraId="0A3B83A0">
      <w:pPr>
        <w:pStyle w:val="9"/>
        <w:spacing w:before="23"/>
        <w:ind w:left="0"/>
        <w:jc w:val="left"/>
        <w:rPr>
          <w:rFonts w:hint="eastAsia"/>
        </w:rPr>
      </w:pPr>
      <w:r>
        <w:rPr>
          <w:rFonts w:hint="eastAsia"/>
        </w:rPr>
        <w:t>Alluding to its universality, he says that on that day, God will render to every man according to his deeds.</w:t>
      </w:r>
    </w:p>
    <w:p w14:paraId="0DFD9E2E">
      <w:pPr>
        <w:pStyle w:val="9"/>
        <w:spacing w:before="23"/>
        <w:ind w:left="0"/>
        <w:jc w:val="left"/>
        <w:rPr>
          <w:rFonts w:hint="eastAsia"/>
        </w:rPr>
      </w:pPr>
      <w:r>
        <w:rPr>
          <w:rFonts w:hint="eastAsia"/>
        </w:rPr>
        <w:t>祂暗指其普世性，说在那日，上帝将照各人所行的报应各人。</w:t>
      </w:r>
    </w:p>
    <w:p w14:paraId="07C95950">
      <w:pPr>
        <w:pStyle w:val="9"/>
        <w:spacing w:before="23"/>
        <w:ind w:left="0"/>
        <w:jc w:val="left"/>
        <w:rPr>
          <w:rFonts w:hint="eastAsia"/>
        </w:rPr>
      </w:pPr>
    </w:p>
    <w:p w14:paraId="3B823092">
      <w:pPr>
        <w:pStyle w:val="9"/>
        <w:spacing w:before="23"/>
        <w:ind w:left="0"/>
        <w:jc w:val="left"/>
        <w:rPr>
          <w:rFonts w:hint="eastAsia"/>
        </w:rPr>
      </w:pPr>
      <w:r>
        <w:rPr>
          <w:rFonts w:hint="eastAsia"/>
        </w:rPr>
        <w:t>There will be rich rewards to the (believing) good (7, 10), but terrible retribution to the (unbelieving) evil (8-9), whether Jew or Gentile (11-16).</w:t>
      </w:r>
    </w:p>
    <w:p w14:paraId="0194AF7D">
      <w:pPr>
        <w:pStyle w:val="9"/>
        <w:spacing w:before="23"/>
        <w:ind w:left="0"/>
        <w:jc w:val="left"/>
        <w:rPr>
          <w:rFonts w:hint="eastAsia"/>
        </w:rPr>
      </w:pPr>
      <w:r>
        <w:rPr>
          <w:rFonts w:hint="eastAsia"/>
        </w:rPr>
        <w:t>将有丰厚的赏赐给（信主的）善人（7, 10），但有可怕的报应给（不信的）恶人（8-9），无论是犹太人还是外邦人（11-16）。</w:t>
      </w:r>
    </w:p>
    <w:p w14:paraId="708078CA">
      <w:pPr>
        <w:pStyle w:val="9"/>
        <w:spacing w:before="23"/>
        <w:ind w:left="0"/>
        <w:jc w:val="left"/>
        <w:rPr>
          <w:rFonts w:hint="eastAsia"/>
        </w:rPr>
      </w:pPr>
    </w:p>
    <w:p w14:paraId="5B513DB7">
      <w:pPr>
        <w:pStyle w:val="9"/>
        <w:spacing w:before="23"/>
        <w:ind w:left="0"/>
        <w:jc w:val="left"/>
        <w:rPr>
          <w:rFonts w:hint="eastAsia"/>
        </w:rPr>
      </w:pPr>
      <w:r>
        <w:rPr>
          <w:rFonts w:hint="eastAsia"/>
        </w:rPr>
        <w:t>Good and evil, Jew and Gentile: All will be there.</w:t>
      </w:r>
    </w:p>
    <w:p w14:paraId="2768870E">
      <w:pPr>
        <w:pStyle w:val="9"/>
        <w:spacing w:before="23"/>
        <w:ind w:left="0"/>
        <w:jc w:val="left"/>
        <w:rPr>
          <w:rFonts w:hint="eastAsia"/>
        </w:rPr>
      </w:pPr>
      <w:r>
        <w:rPr>
          <w:rFonts w:hint="eastAsia"/>
        </w:rPr>
        <w:t>善与恶，犹太人与外邦人：所有人都将在那里。</w:t>
      </w:r>
    </w:p>
    <w:p w14:paraId="4B4062FC">
      <w:pPr>
        <w:pStyle w:val="9"/>
        <w:spacing w:before="23"/>
        <w:ind w:left="0"/>
        <w:jc w:val="left"/>
        <w:rPr>
          <w:rFonts w:hint="eastAsia"/>
        </w:rPr>
      </w:pPr>
    </w:p>
    <w:p w14:paraId="0BE7F39D">
      <w:pPr>
        <w:pStyle w:val="9"/>
        <w:spacing w:before="23"/>
        <w:ind w:left="0"/>
        <w:jc w:val="left"/>
        <w:rPr>
          <w:rFonts w:hint="eastAsia"/>
        </w:rPr>
      </w:pPr>
      <w:r>
        <w:rPr>
          <w:rFonts w:hint="eastAsia"/>
        </w:rPr>
        <w:t>It is, then, virtually impossible to think that here Paul had in mind anything other than a single universal Judgment, to be administered by Christ at his Parousia.</w:t>
      </w:r>
    </w:p>
    <w:p w14:paraId="2A73E5B4">
      <w:pPr>
        <w:pStyle w:val="9"/>
        <w:spacing w:before="23"/>
        <w:ind w:left="0"/>
        <w:jc w:val="left"/>
        <w:rPr>
          <w:rFonts w:hint="eastAsia"/>
        </w:rPr>
      </w:pPr>
      <w:r>
        <w:rPr>
          <w:rFonts w:hint="eastAsia"/>
        </w:rPr>
        <w:t>因此，几乎不可能认为保罗在这里心中所想的，除了在基督主临（Parousia）时由祂施行的一次单一的普世审判之外，还有其他任何事。</w:t>
      </w:r>
    </w:p>
    <w:p w14:paraId="1A1D0B6F">
      <w:pPr>
        <w:pStyle w:val="9"/>
        <w:spacing w:before="23"/>
        <w:ind w:left="0"/>
        <w:jc w:val="left"/>
        <w:rPr>
          <w:rFonts w:hint="eastAsia"/>
        </w:rPr>
      </w:pPr>
    </w:p>
    <w:p w14:paraId="0D67E709">
      <w:pPr>
        <w:pStyle w:val="9"/>
        <w:spacing w:before="23"/>
        <w:ind w:left="0"/>
        <w:jc w:val="left"/>
        <w:rPr>
          <w:rFonts w:hint="eastAsia"/>
        </w:rPr>
      </w:pPr>
      <w:r>
        <w:rPr>
          <w:rFonts w:hint="eastAsia"/>
        </w:rPr>
        <w:t>If, however, there were any remaining doubt about this, it would quickly be dispelled by consulting other Pauline texts on the same theme, most of which explicitly associate the Judgment with the Parousia (Acts 17:31, 1 Cor. 15:20-28, 50-58, 2 Cor. 5:10, 2 Thess. 1:3-12, 2:1-2).</w:t>
      </w:r>
    </w:p>
    <w:p w14:paraId="186C5E69">
      <w:pPr>
        <w:pStyle w:val="9"/>
        <w:spacing w:before="23"/>
        <w:ind w:left="0"/>
        <w:jc w:val="left"/>
        <w:rPr>
          <w:rFonts w:hint="eastAsia"/>
        </w:rPr>
      </w:pPr>
      <w:r>
        <w:rPr>
          <w:rFonts w:hint="eastAsia"/>
        </w:rPr>
        <w:t>然而，如果对此仍有任何疑问，查阅保罗关于同一主题的其他经文就会很快消除它，其中大部分都明确地将审判与主临（Parousia）联系在一起（使徒行传17:31，哥林多前书15:20-28, 50-58，哥林多后书5:10，帖撒罗尼迦后书1:3-12, 2:1-2）。</w:t>
      </w:r>
    </w:p>
    <w:p w14:paraId="15BF1405">
      <w:pPr>
        <w:pStyle w:val="9"/>
        <w:spacing w:before="23"/>
        <w:ind w:left="0"/>
        <w:jc w:val="left"/>
        <w:rPr>
          <w:rFonts w:hint="eastAsia"/>
        </w:rPr>
      </w:pPr>
    </w:p>
    <w:p w14:paraId="579CDB47">
      <w:pPr>
        <w:pStyle w:val="9"/>
        <w:spacing w:before="23"/>
        <w:ind w:left="0"/>
        <w:jc w:val="left"/>
        <w:rPr>
          <w:rFonts w:hint="eastAsia"/>
        </w:rPr>
      </w:pPr>
      <w:r>
        <w:rPr>
          <w:rFonts w:hint="eastAsia"/>
        </w:rPr>
        <w:t>Once again the amillennial doctrine of a single general judgment at the Parousia of Christ is abundantly confirmed.</w:t>
      </w:r>
    </w:p>
    <w:p w14:paraId="0D8F6428">
      <w:pPr>
        <w:pStyle w:val="9"/>
        <w:spacing w:before="23"/>
        <w:ind w:left="0"/>
        <w:jc w:val="left"/>
        <w:rPr>
          <w:rFonts w:hint="eastAsia"/>
        </w:rPr>
      </w:pPr>
      <w:r>
        <w:rPr>
          <w:rFonts w:hint="eastAsia"/>
        </w:rPr>
        <w:t>无千禧年论关于在基督主临（Parousia）时有一次单一普世审判的教义再次得到充分证实。</w:t>
      </w:r>
    </w:p>
    <w:p w14:paraId="09EC30D0">
      <w:pPr>
        <w:pStyle w:val="9"/>
        <w:spacing w:before="23"/>
        <w:ind w:left="0"/>
        <w:jc w:val="left"/>
        <w:rPr>
          <w:rFonts w:hint="eastAsia"/>
        </w:rPr>
      </w:pPr>
    </w:p>
    <w:p w14:paraId="614D13BA">
      <w:pPr>
        <w:pStyle w:val="9"/>
        <w:spacing w:before="23"/>
        <w:ind w:left="0"/>
        <w:jc w:val="left"/>
        <w:rPr>
          <w:rFonts w:hint="eastAsia"/>
        </w:rPr>
      </w:pPr>
      <w:r>
        <w:rPr>
          <w:rFonts w:hint="eastAsia"/>
        </w:rPr>
        <w:t>7.The Creation Freed and Lifted into Glory</w:t>
      </w:r>
    </w:p>
    <w:p w14:paraId="3DE630D0">
      <w:pPr>
        <w:pStyle w:val="9"/>
        <w:spacing w:before="23"/>
        <w:ind w:left="0"/>
        <w:jc w:val="left"/>
        <w:rPr>
          <w:rFonts w:hint="eastAsia"/>
        </w:rPr>
      </w:pPr>
      <w:r>
        <w:rPr>
          <w:rFonts w:hint="eastAsia"/>
        </w:rPr>
        <w:t>7.受造之物得释放，进入荣耀</w:t>
      </w:r>
    </w:p>
    <w:p w14:paraId="1CB1385F">
      <w:pPr>
        <w:pStyle w:val="9"/>
        <w:spacing w:before="23"/>
        <w:ind w:left="0"/>
        <w:jc w:val="left"/>
        <w:rPr>
          <w:rFonts w:hint="eastAsia"/>
        </w:rPr>
      </w:pPr>
    </w:p>
    <w:p w14:paraId="400849FE">
      <w:pPr>
        <w:pStyle w:val="9"/>
        <w:spacing w:before="23"/>
        <w:ind w:left="0"/>
        <w:jc w:val="left"/>
        <w:rPr>
          <w:rFonts w:hint="eastAsia"/>
        </w:rPr>
      </w:pPr>
      <w:r>
        <w:rPr>
          <w:rFonts w:hint="eastAsia"/>
        </w:rPr>
        <w:t>(Romans 8:18-26)</w:t>
      </w:r>
    </w:p>
    <w:p w14:paraId="56B358AC">
      <w:pPr>
        <w:pStyle w:val="9"/>
        <w:spacing w:before="23"/>
        <w:ind w:left="0"/>
        <w:jc w:val="left"/>
        <w:rPr>
          <w:rFonts w:hint="eastAsia"/>
        </w:rPr>
      </w:pPr>
      <w:r>
        <w:rPr>
          <w:rFonts w:hint="eastAsia"/>
        </w:rPr>
        <w:t>（罗马书8:18-26）</w:t>
      </w:r>
    </w:p>
    <w:p w14:paraId="28923A25">
      <w:pPr>
        <w:pStyle w:val="9"/>
        <w:spacing w:before="23"/>
        <w:ind w:left="0"/>
        <w:jc w:val="left"/>
        <w:rPr>
          <w:rFonts w:hint="eastAsia"/>
        </w:rPr>
      </w:pPr>
    </w:p>
    <w:p w14:paraId="62700ABD">
      <w:pPr>
        <w:pStyle w:val="9"/>
        <w:spacing w:before="23"/>
        <w:ind w:left="0"/>
        <w:jc w:val="left"/>
        <w:rPr>
          <w:rFonts w:hint="eastAsia"/>
        </w:rPr>
      </w:pPr>
      <w:r>
        <w:rPr>
          <w:rFonts w:hint="eastAsia"/>
        </w:rPr>
        <w:t>This is a major NT text dealing with the Regeneration, or the Restoration of All Things.</w:t>
      </w:r>
    </w:p>
    <w:p w14:paraId="0561C4BB">
      <w:pPr>
        <w:pStyle w:val="9"/>
        <w:spacing w:before="23"/>
        <w:ind w:left="0"/>
        <w:jc w:val="left"/>
        <w:rPr>
          <w:rFonts w:hint="eastAsia"/>
        </w:rPr>
      </w:pPr>
      <w:r>
        <w:rPr>
          <w:rFonts w:hint="eastAsia"/>
        </w:rPr>
        <w:t>这是处理重生，或万物复兴，的一段重要的新约经文。</w:t>
      </w:r>
    </w:p>
    <w:p w14:paraId="65360186">
      <w:pPr>
        <w:pStyle w:val="9"/>
        <w:spacing w:before="23"/>
        <w:ind w:left="0"/>
        <w:jc w:val="left"/>
        <w:rPr>
          <w:rFonts w:hint="eastAsia"/>
        </w:rPr>
      </w:pPr>
    </w:p>
    <w:p w14:paraId="7FC7A2FA">
      <w:pPr>
        <w:pStyle w:val="9"/>
        <w:spacing w:before="23"/>
        <w:ind w:left="0"/>
        <w:jc w:val="left"/>
        <w:rPr>
          <w:rFonts w:hint="eastAsia"/>
        </w:rPr>
      </w:pPr>
      <w:r>
        <w:rPr>
          <w:rFonts w:hint="eastAsia"/>
        </w:rPr>
        <w:t>Rightly understood, it is also a mighty bulwark of amillennial eschatology.</w:t>
      </w:r>
    </w:p>
    <w:p w14:paraId="40D78111">
      <w:pPr>
        <w:pStyle w:val="9"/>
        <w:spacing w:before="23"/>
        <w:ind w:left="0"/>
        <w:jc w:val="left"/>
        <w:rPr>
          <w:rFonts w:hint="eastAsia"/>
        </w:rPr>
      </w:pPr>
      <w:r>
        <w:rPr>
          <w:rFonts w:hint="eastAsia"/>
        </w:rPr>
        <w:t>若正确理解，它也是无千禧年论末世论的一座坚固堡垒。</w:t>
      </w:r>
    </w:p>
    <w:p w14:paraId="56310B2C">
      <w:pPr>
        <w:pStyle w:val="9"/>
        <w:spacing w:before="23"/>
        <w:ind w:left="0"/>
        <w:jc w:val="left"/>
        <w:rPr>
          <w:rFonts w:hint="eastAsia"/>
        </w:rPr>
      </w:pPr>
    </w:p>
    <w:p w14:paraId="22EF2B1E">
      <w:pPr>
        <w:pStyle w:val="9"/>
        <w:spacing w:before="23"/>
        <w:ind w:left="0"/>
        <w:jc w:val="left"/>
        <w:rPr>
          <w:rFonts w:hint="eastAsia"/>
        </w:rPr>
      </w:pPr>
      <w:r>
        <w:rPr>
          <w:rFonts w:hint="eastAsia"/>
        </w:rPr>
        <w:t>Paul has just told the Roman Christians that they are heirs of God and joint heirs with Christ, if indeed they faithfully suffer with their Master, so that they also may be glorified with him (17).</w:t>
      </w:r>
    </w:p>
    <w:p w14:paraId="23D54C52">
      <w:pPr>
        <w:pStyle w:val="9"/>
        <w:spacing w:before="23"/>
        <w:ind w:left="0"/>
        <w:jc w:val="left"/>
        <w:rPr>
          <w:rFonts w:hint="eastAsia"/>
        </w:rPr>
      </w:pPr>
      <w:r>
        <w:rPr>
          <w:rFonts w:hint="eastAsia"/>
        </w:rPr>
        <w:t>保罗刚刚告诉罗马的基督徒，他们是上帝的后嗣，和基督同作后嗣，如果他们确实与他们的主一同忠心地受苦，好叫他们也与祂一同得荣耀（17）。</w:t>
      </w:r>
    </w:p>
    <w:p w14:paraId="36AD4590">
      <w:pPr>
        <w:pStyle w:val="9"/>
        <w:spacing w:before="23"/>
        <w:ind w:left="0"/>
        <w:jc w:val="left"/>
        <w:rPr>
          <w:rFonts w:hint="eastAsia"/>
        </w:rPr>
      </w:pPr>
    </w:p>
    <w:p w14:paraId="6BC5A1D4">
      <w:pPr>
        <w:pStyle w:val="9"/>
        <w:spacing w:before="23"/>
        <w:ind w:left="0"/>
        <w:jc w:val="left"/>
        <w:rPr>
          <w:rFonts w:hint="eastAsia"/>
        </w:rPr>
      </w:pPr>
      <w:r>
        <w:rPr>
          <w:rFonts w:hint="eastAsia"/>
        </w:rPr>
        <w:t>In order to equip and strengthen them for such suffering, he now sets before their eyes the ultimate eschatological hope of the Church, a hope whose unspeakable blessedness will cause all previous earthly afflictions to pale into insignificance (18).</w:t>
      </w:r>
    </w:p>
    <w:p w14:paraId="313B29EC">
      <w:pPr>
        <w:pStyle w:val="9"/>
        <w:spacing w:before="23"/>
        <w:ind w:left="0"/>
        <w:jc w:val="left"/>
        <w:rPr>
          <w:rFonts w:hint="eastAsia"/>
        </w:rPr>
      </w:pPr>
      <w:r>
        <w:rPr>
          <w:rFonts w:hint="eastAsia"/>
        </w:rPr>
        <w:t>为了装备和坚固他们来面对这样的苦难，祂现在将教会最终的末世盼望摆在他们眼前，这盼望那难以言喻的福乐将使所有先前地上的苦难都显得微不足道（18）。</w:t>
      </w:r>
    </w:p>
    <w:p w14:paraId="25555477">
      <w:pPr>
        <w:pStyle w:val="9"/>
        <w:spacing w:before="23"/>
        <w:ind w:left="0"/>
        <w:jc w:val="left"/>
        <w:rPr>
          <w:rFonts w:hint="eastAsia"/>
        </w:rPr>
      </w:pPr>
    </w:p>
    <w:p w14:paraId="24615910">
      <w:pPr>
        <w:pStyle w:val="9"/>
        <w:spacing w:before="23"/>
        <w:ind w:left="0"/>
        <w:jc w:val="left"/>
        <w:rPr>
          <w:rFonts w:hint="eastAsia"/>
        </w:rPr>
      </w:pPr>
      <w:r>
        <w:rPr>
          <w:rFonts w:hint="eastAsia"/>
        </w:rPr>
        <w:t>This hope is neither life with Christ in heaven after death, nor even his Parousia at the end of the age.</w:t>
      </w:r>
    </w:p>
    <w:p w14:paraId="4C734091">
      <w:pPr>
        <w:pStyle w:val="9"/>
        <w:spacing w:before="23"/>
        <w:ind w:left="0"/>
        <w:jc w:val="left"/>
        <w:rPr>
          <w:rFonts w:hint="eastAsia"/>
        </w:rPr>
      </w:pPr>
      <w:r>
        <w:rPr>
          <w:rFonts w:hint="eastAsia"/>
        </w:rPr>
        <w:t>这盼望既非死后与基督在天上同活，甚至也非在世代末了祂的主临（Parousia）。</w:t>
      </w:r>
    </w:p>
    <w:p w14:paraId="01BAFA83">
      <w:pPr>
        <w:pStyle w:val="9"/>
        <w:spacing w:before="23"/>
        <w:ind w:left="0"/>
        <w:jc w:val="left"/>
        <w:rPr>
          <w:rFonts w:hint="eastAsia"/>
        </w:rPr>
      </w:pPr>
    </w:p>
    <w:p w14:paraId="5DED4658">
      <w:pPr>
        <w:pStyle w:val="9"/>
        <w:spacing w:before="23"/>
        <w:ind w:left="0"/>
        <w:jc w:val="left"/>
        <w:rPr>
          <w:rFonts w:hint="eastAsia"/>
        </w:rPr>
      </w:pPr>
      <w:r>
        <w:rPr>
          <w:rFonts w:hint="eastAsia"/>
        </w:rPr>
        <w:t>Rather, it is “the glory that is to be revealed in us.”</w:t>
      </w:r>
    </w:p>
    <w:p w14:paraId="07FD04B8">
      <w:pPr>
        <w:pStyle w:val="9"/>
        <w:spacing w:before="23"/>
        <w:ind w:left="0"/>
        <w:jc w:val="left"/>
        <w:rPr>
          <w:rFonts w:hint="eastAsia"/>
        </w:rPr>
      </w:pPr>
      <w:r>
        <w:rPr>
          <w:rFonts w:hint="eastAsia"/>
        </w:rPr>
        <w:t>而是“那将要显于我们的荣耀”。</w:t>
      </w:r>
    </w:p>
    <w:p w14:paraId="26DE9679">
      <w:pPr>
        <w:pStyle w:val="9"/>
        <w:spacing w:before="23"/>
        <w:ind w:left="0"/>
        <w:jc w:val="left"/>
        <w:rPr>
          <w:rFonts w:hint="eastAsia"/>
        </w:rPr>
      </w:pPr>
    </w:p>
    <w:p w14:paraId="09C41545">
      <w:pPr>
        <w:pStyle w:val="9"/>
        <w:spacing w:before="23"/>
        <w:ind w:left="0"/>
        <w:jc w:val="left"/>
        <w:rPr>
          <w:rFonts w:hint="eastAsia"/>
        </w:rPr>
      </w:pPr>
      <w:r>
        <w:rPr>
          <w:rFonts w:hint="eastAsia"/>
        </w:rPr>
        <w:t>What exactly does this expression mean?</w:t>
      </w:r>
    </w:p>
    <w:p w14:paraId="1C2D9A53">
      <w:pPr>
        <w:pStyle w:val="9"/>
        <w:spacing w:before="23"/>
        <w:ind w:left="0"/>
        <w:jc w:val="left"/>
        <w:rPr>
          <w:rFonts w:hint="eastAsia"/>
        </w:rPr>
      </w:pPr>
      <w:r>
        <w:rPr>
          <w:rFonts w:hint="eastAsia"/>
        </w:rPr>
        <w:t>这个表达究竟是什么意思？</w:t>
      </w:r>
    </w:p>
    <w:p w14:paraId="09D52AED">
      <w:pPr>
        <w:pStyle w:val="9"/>
        <w:spacing w:before="23"/>
        <w:ind w:left="0"/>
        <w:jc w:val="left"/>
        <w:rPr>
          <w:rFonts w:hint="eastAsia"/>
        </w:rPr>
      </w:pPr>
    </w:p>
    <w:p w14:paraId="7CF422D3">
      <w:pPr>
        <w:pStyle w:val="9"/>
        <w:spacing w:before="23"/>
        <w:ind w:left="0"/>
        <w:jc w:val="left"/>
        <w:rPr>
          <w:rFonts w:hint="eastAsia"/>
        </w:rPr>
      </w:pPr>
      <w:r>
        <w:rPr>
          <w:rFonts w:hint="eastAsia"/>
        </w:rPr>
        <w:t>What exactly, for Paul, is the saints’ “ultimate eschatological hope”?</w:t>
      </w:r>
    </w:p>
    <w:p w14:paraId="15E289EA">
      <w:pPr>
        <w:pStyle w:val="9"/>
        <w:spacing w:before="23"/>
        <w:ind w:left="0"/>
        <w:jc w:val="left"/>
        <w:rPr>
          <w:rFonts w:hint="eastAsia"/>
        </w:rPr>
      </w:pPr>
      <w:r>
        <w:rPr>
          <w:rFonts w:hint="eastAsia"/>
        </w:rPr>
        <w:t>对保罗而言，圣徒们“最终的末世盼望”究竟是什么？</w:t>
      </w:r>
    </w:p>
    <w:p w14:paraId="6A6A547B">
      <w:pPr>
        <w:pStyle w:val="9"/>
        <w:spacing w:before="23"/>
        <w:ind w:left="0"/>
        <w:jc w:val="left"/>
        <w:rPr>
          <w:rFonts w:hint="eastAsia"/>
        </w:rPr>
      </w:pPr>
    </w:p>
    <w:p w14:paraId="67C1BA3C">
      <w:pPr>
        <w:pStyle w:val="9"/>
        <w:spacing w:before="23"/>
        <w:ind w:left="0"/>
        <w:jc w:val="left"/>
        <w:rPr>
          <w:rFonts w:hint="eastAsia"/>
        </w:rPr>
      </w:pPr>
      <w:r>
        <w:rPr>
          <w:rFonts w:hint="eastAsia"/>
        </w:rPr>
        <w:t>In verses 19-25 he answers.</w:t>
      </w:r>
    </w:p>
    <w:p w14:paraId="13D17849">
      <w:pPr>
        <w:pStyle w:val="9"/>
        <w:spacing w:before="23"/>
        <w:ind w:left="0"/>
        <w:jc w:val="left"/>
        <w:rPr>
          <w:rFonts w:hint="eastAsia"/>
        </w:rPr>
      </w:pPr>
      <w:r>
        <w:rPr>
          <w:rFonts w:hint="eastAsia"/>
        </w:rPr>
        <w:t>在第19-25节，祂回答了。</w:t>
      </w:r>
    </w:p>
    <w:p w14:paraId="32CA8D6E">
      <w:pPr>
        <w:pStyle w:val="9"/>
        <w:spacing w:before="23"/>
        <w:ind w:left="0"/>
        <w:jc w:val="left"/>
        <w:rPr>
          <w:rFonts w:hint="eastAsia"/>
        </w:rPr>
      </w:pPr>
    </w:p>
    <w:p w14:paraId="7AB015A6">
      <w:pPr>
        <w:pStyle w:val="9"/>
        <w:spacing w:before="23"/>
        <w:ind w:left="0"/>
        <w:jc w:val="left"/>
        <w:rPr>
          <w:rFonts w:hint="eastAsia"/>
        </w:rPr>
      </w:pPr>
      <w:r>
        <w:rPr>
          <w:rFonts w:hint="eastAsia"/>
        </w:rPr>
        <w:t>Presently, the whole creation—and especially its various life forms—eagerly waits for the revealing of the sons of God (19).</w:t>
      </w:r>
    </w:p>
    <w:p w14:paraId="3975B78D">
      <w:pPr>
        <w:pStyle w:val="9"/>
        <w:spacing w:before="23"/>
        <w:ind w:left="0"/>
        <w:jc w:val="left"/>
        <w:rPr>
          <w:rFonts w:hint="eastAsia"/>
        </w:rPr>
      </w:pPr>
      <w:r>
        <w:rPr>
          <w:rFonts w:hint="eastAsia"/>
        </w:rPr>
        <w:t>现在，整个受造之物——尤其是其各种生命形式——都切望等候上帝的众子显出来（19）。</w:t>
      </w:r>
    </w:p>
    <w:p w14:paraId="3123DE4C">
      <w:pPr>
        <w:pStyle w:val="9"/>
        <w:spacing w:before="23"/>
        <w:ind w:left="0"/>
        <w:jc w:val="left"/>
        <w:rPr>
          <w:rFonts w:hint="eastAsia"/>
        </w:rPr>
      </w:pPr>
    </w:p>
    <w:p w14:paraId="2529F158">
      <w:pPr>
        <w:pStyle w:val="9"/>
        <w:spacing w:before="23"/>
        <w:ind w:left="0"/>
        <w:jc w:val="left"/>
        <w:rPr>
          <w:rFonts w:hint="eastAsia"/>
        </w:rPr>
      </w:pPr>
      <w:r>
        <w:rPr>
          <w:rFonts w:hint="eastAsia"/>
        </w:rPr>
        <w:t>In other words, it eagerly waits for the manifestation, in glory, of the resurrected (or transformed) saints (23; Col. 3:4).</w:t>
      </w:r>
    </w:p>
    <w:p w14:paraId="12E4F61E">
      <w:pPr>
        <w:pStyle w:val="9"/>
        <w:spacing w:before="23"/>
        <w:ind w:left="0"/>
        <w:jc w:val="left"/>
        <w:rPr>
          <w:rFonts w:hint="eastAsia"/>
        </w:rPr>
      </w:pPr>
      <w:r>
        <w:rPr>
          <w:rFonts w:hint="eastAsia"/>
        </w:rPr>
        <w:t>换句话说，它切望等候复活（或改变）的圣徒在荣耀中显现（23；西3:4）。</w:t>
      </w:r>
    </w:p>
    <w:p w14:paraId="707A08A0">
      <w:pPr>
        <w:pStyle w:val="9"/>
        <w:spacing w:before="23"/>
        <w:ind w:left="0"/>
        <w:jc w:val="left"/>
        <w:rPr>
          <w:rFonts w:hint="eastAsia"/>
        </w:rPr>
      </w:pPr>
    </w:p>
    <w:p w14:paraId="5B26E6CA">
      <w:pPr>
        <w:pStyle w:val="9"/>
        <w:spacing w:before="23"/>
        <w:ind w:left="0"/>
        <w:jc w:val="left"/>
        <w:rPr>
          <w:rFonts w:hint="eastAsia"/>
        </w:rPr>
      </w:pPr>
      <w:r>
        <w:rPr>
          <w:rFonts w:hint="eastAsia"/>
        </w:rPr>
        <w:t>But what is the source of this cosmic longing?</w:t>
      </w:r>
    </w:p>
    <w:p w14:paraId="25638293">
      <w:pPr>
        <w:pStyle w:val="9"/>
        <w:spacing w:before="23"/>
        <w:ind w:left="0"/>
        <w:jc w:val="left"/>
        <w:rPr>
          <w:rFonts w:hint="eastAsia"/>
        </w:rPr>
      </w:pPr>
      <w:r>
        <w:rPr>
          <w:rFonts w:hint="eastAsia"/>
        </w:rPr>
        <w:t>但这宇宙性的渴望源自何处？</w:t>
      </w:r>
    </w:p>
    <w:p w14:paraId="679D55C1">
      <w:pPr>
        <w:pStyle w:val="9"/>
        <w:spacing w:before="23"/>
        <w:ind w:left="0"/>
        <w:jc w:val="left"/>
        <w:rPr>
          <w:rFonts w:hint="eastAsia"/>
        </w:rPr>
      </w:pPr>
    </w:p>
    <w:p w14:paraId="27E84B32">
      <w:pPr>
        <w:pStyle w:val="9"/>
        <w:spacing w:before="23"/>
        <w:ind w:left="0"/>
        <w:jc w:val="left"/>
        <w:rPr>
          <w:rFonts w:hint="eastAsia"/>
        </w:rPr>
      </w:pPr>
      <w:r>
        <w:rPr>
          <w:rFonts w:hint="eastAsia"/>
        </w:rPr>
        <w:t>By way of explanation, Paul takes us back to the beginning.</w:t>
      </w:r>
    </w:p>
    <w:p w14:paraId="4F9B25DD">
      <w:pPr>
        <w:pStyle w:val="9"/>
        <w:spacing w:before="23"/>
        <w:ind w:left="0"/>
        <w:jc w:val="left"/>
        <w:rPr>
          <w:rFonts w:hint="eastAsia"/>
        </w:rPr>
      </w:pPr>
      <w:r>
        <w:rPr>
          <w:rFonts w:hint="eastAsia"/>
        </w:rPr>
        <w:t>作为解释，保罗带我们回到起初。</w:t>
      </w:r>
    </w:p>
    <w:p w14:paraId="51433FB6">
      <w:pPr>
        <w:pStyle w:val="9"/>
        <w:spacing w:before="23"/>
        <w:ind w:left="0"/>
        <w:jc w:val="left"/>
        <w:rPr>
          <w:rFonts w:hint="eastAsia"/>
        </w:rPr>
      </w:pPr>
    </w:p>
    <w:p w14:paraId="1A88DD5B">
      <w:pPr>
        <w:pStyle w:val="9"/>
        <w:spacing w:before="23"/>
        <w:ind w:left="0"/>
        <w:jc w:val="left"/>
        <w:rPr>
          <w:rFonts w:hint="eastAsia"/>
        </w:rPr>
      </w:pPr>
      <w:r>
        <w:rPr>
          <w:rFonts w:hint="eastAsia"/>
        </w:rPr>
        <w:t>At the fall of Adam, God placed a curse upon the whole creation, subjecting it to the “futility” of natural evil, suffering, and death, all of which have sundered the creation from God’s original purpose for it (20).</w:t>
      </w:r>
    </w:p>
    <w:p w14:paraId="4BE678B0">
      <w:pPr>
        <w:pStyle w:val="9"/>
        <w:spacing w:before="23"/>
        <w:ind w:left="0"/>
        <w:jc w:val="left"/>
        <w:rPr>
          <w:rFonts w:hint="eastAsia"/>
        </w:rPr>
      </w:pPr>
      <w:r>
        <w:rPr>
          <w:rFonts w:hint="eastAsia"/>
        </w:rPr>
        <w:t>在亚当堕落时，上帝将一个咒诅加在整个受造之物上，使其服在自然界的邪恶、苦难和死亡的“虚空”之下，所有这些都使受造之物偏离了上帝为其所定的原始旨意（20）。</w:t>
      </w:r>
    </w:p>
    <w:p w14:paraId="49D6F722">
      <w:pPr>
        <w:pStyle w:val="9"/>
        <w:spacing w:before="23"/>
        <w:ind w:left="0"/>
        <w:jc w:val="left"/>
        <w:rPr>
          <w:rFonts w:hint="eastAsia"/>
        </w:rPr>
      </w:pPr>
    </w:p>
    <w:p w14:paraId="76B17A9D">
      <w:pPr>
        <w:pStyle w:val="9"/>
        <w:spacing w:before="23"/>
        <w:ind w:left="0"/>
        <w:jc w:val="left"/>
        <w:rPr>
          <w:rFonts w:hint="eastAsia"/>
        </w:rPr>
      </w:pPr>
      <w:r>
        <w:rPr>
          <w:rFonts w:hint="eastAsia"/>
        </w:rPr>
        <w:t>However, the curse was by no means God’s last word.</w:t>
      </w:r>
    </w:p>
    <w:p w14:paraId="4BFF8FB0">
      <w:pPr>
        <w:pStyle w:val="9"/>
        <w:spacing w:before="23"/>
        <w:ind w:left="0"/>
        <w:jc w:val="left"/>
        <w:rPr>
          <w:rFonts w:hint="eastAsia"/>
        </w:rPr>
      </w:pPr>
      <w:r>
        <w:rPr>
          <w:rFonts w:hint="eastAsia"/>
        </w:rPr>
        <w:t>然而，咒诅绝非上帝的最后的话语。</w:t>
      </w:r>
    </w:p>
    <w:p w14:paraId="58F27C71">
      <w:pPr>
        <w:pStyle w:val="9"/>
        <w:spacing w:before="23"/>
        <w:ind w:left="0"/>
        <w:jc w:val="left"/>
        <w:rPr>
          <w:rFonts w:hint="eastAsia"/>
        </w:rPr>
      </w:pPr>
    </w:p>
    <w:p w14:paraId="6B5AF9DE">
      <w:pPr>
        <w:pStyle w:val="9"/>
        <w:spacing w:before="23"/>
        <w:ind w:left="0"/>
        <w:jc w:val="left"/>
        <w:rPr>
          <w:rFonts w:hint="eastAsia"/>
        </w:rPr>
      </w:pPr>
      <w:r>
        <w:rPr>
          <w:rFonts w:hint="eastAsia"/>
        </w:rPr>
        <w:t>For even as he subjected the creation to futility, he also placed within it, as it were, a spirit of hope; a spirit that moves all things to yearn for something that he himself has purposed, and that he will one day surely bring to pass: universal release from the fetters of the curse, and a full and final entrance into “the freedom of the glory of the children of God” (21).</w:t>
      </w:r>
    </w:p>
    <w:p w14:paraId="1D297B5B">
      <w:pPr>
        <w:pStyle w:val="9"/>
        <w:spacing w:before="23"/>
        <w:ind w:left="0"/>
        <w:jc w:val="left"/>
        <w:rPr>
          <w:rFonts w:hint="eastAsia"/>
        </w:rPr>
      </w:pPr>
      <w:r>
        <w:rPr>
          <w:rFonts w:hint="eastAsia"/>
        </w:rPr>
        <w:t>因为即使祂使受造之物服在虚空之下，祂也仿佛在其中放置了一种盼望的灵；一种驱使万物都渴慕祂自己所定意，并且祂某日必定会成就的事的灵：从咒诅的束缚中普世性的释放，以及完全并最终地进入“上帝儿女荣耀的自由”（21）。</w:t>
      </w:r>
    </w:p>
    <w:p w14:paraId="46709895">
      <w:pPr>
        <w:pStyle w:val="9"/>
        <w:spacing w:before="23"/>
        <w:ind w:left="0"/>
        <w:jc w:val="left"/>
        <w:rPr>
          <w:rFonts w:hint="eastAsia"/>
        </w:rPr>
      </w:pPr>
    </w:p>
    <w:p w14:paraId="779F8DE5">
      <w:pPr>
        <w:pStyle w:val="9"/>
        <w:spacing w:before="23"/>
        <w:ind w:left="0"/>
        <w:jc w:val="left"/>
        <w:rPr>
          <w:rFonts w:hint="eastAsia"/>
        </w:rPr>
      </w:pPr>
      <w:r>
        <w:rPr>
          <w:rFonts w:hint="eastAsia"/>
        </w:rPr>
        <w:t>For this reason, says the apostle, the creation is like a woman in labor: she groans and suffers, but she does so in hope, hope of an ultimate eschatological rebirth (22).</w:t>
      </w:r>
    </w:p>
    <w:p w14:paraId="0EF8EA28">
      <w:pPr>
        <w:pStyle w:val="9"/>
        <w:spacing w:before="23"/>
        <w:ind w:left="0"/>
        <w:jc w:val="left"/>
        <w:rPr>
          <w:rFonts w:hint="eastAsia"/>
        </w:rPr>
      </w:pPr>
      <w:r>
        <w:rPr>
          <w:rFonts w:hint="eastAsia"/>
        </w:rPr>
        <w:t>因此，使徒说，受造之物如同产难的妇人：她呻吟、受苦，但她这样做是带着盼望，盼望一次最终的末世重生（22）。</w:t>
      </w:r>
    </w:p>
    <w:p w14:paraId="0D05E37F">
      <w:pPr>
        <w:pStyle w:val="9"/>
        <w:spacing w:before="23"/>
        <w:ind w:left="0"/>
        <w:jc w:val="left"/>
        <w:rPr>
          <w:rFonts w:hint="eastAsia"/>
        </w:rPr>
      </w:pPr>
    </w:p>
    <w:p w14:paraId="0D3E4816">
      <w:pPr>
        <w:pStyle w:val="9"/>
        <w:spacing w:before="23"/>
        <w:ind w:left="0"/>
        <w:jc w:val="left"/>
        <w:rPr>
          <w:rFonts w:hint="eastAsia"/>
        </w:rPr>
      </w:pPr>
      <w:r>
        <w:rPr>
          <w:rFonts w:hint="eastAsia"/>
        </w:rPr>
        <w:t>Very importantly, in all of this she and the Church are one.</w:t>
      </w:r>
    </w:p>
    <w:p w14:paraId="46C6F8F3">
      <w:pPr>
        <w:pStyle w:val="9"/>
        <w:spacing w:before="23"/>
        <w:ind w:left="0"/>
        <w:jc w:val="left"/>
        <w:rPr>
          <w:rFonts w:hint="eastAsia"/>
        </w:rPr>
      </w:pPr>
      <w:r>
        <w:rPr>
          <w:rFonts w:hint="eastAsia"/>
        </w:rPr>
        <w:t>非常重要的是，在这一切中，她和教会是一体的。</w:t>
      </w:r>
    </w:p>
    <w:p w14:paraId="5F842C33">
      <w:pPr>
        <w:pStyle w:val="9"/>
        <w:spacing w:before="23"/>
        <w:ind w:left="0"/>
        <w:jc w:val="left"/>
        <w:rPr>
          <w:rFonts w:hint="eastAsia"/>
        </w:rPr>
      </w:pPr>
    </w:p>
    <w:p w14:paraId="3886109A">
      <w:pPr>
        <w:pStyle w:val="9"/>
        <w:spacing w:before="23"/>
        <w:ind w:left="0"/>
        <w:jc w:val="left"/>
        <w:rPr>
          <w:rFonts w:hint="eastAsia"/>
        </w:rPr>
      </w:pPr>
      <w:r>
        <w:rPr>
          <w:rFonts w:hint="eastAsia"/>
        </w:rPr>
        <w:t>For the Church herself, indwelt by the same Spirit of eschatological hope and desire, earnestly awaits her own rebirth.</w:t>
      </w:r>
    </w:p>
    <w:p w14:paraId="1BDF12E3">
      <w:pPr>
        <w:pStyle w:val="9"/>
        <w:spacing w:before="23"/>
        <w:ind w:left="0"/>
        <w:jc w:val="left"/>
        <w:rPr>
          <w:rFonts w:hint="eastAsia"/>
        </w:rPr>
      </w:pPr>
      <w:r>
        <w:rPr>
          <w:rFonts w:hint="eastAsia"/>
        </w:rPr>
        <w:t>因为教会自己，被同一个末世盼望和渴望的灵所内住，也切望等候她自己的重生。</w:t>
      </w:r>
    </w:p>
    <w:p w14:paraId="583B917A">
      <w:pPr>
        <w:pStyle w:val="9"/>
        <w:spacing w:before="23"/>
        <w:ind w:left="0"/>
        <w:jc w:val="left"/>
        <w:rPr>
          <w:rFonts w:hint="eastAsia"/>
        </w:rPr>
      </w:pPr>
    </w:p>
    <w:p w14:paraId="5820B32C">
      <w:pPr>
        <w:pStyle w:val="9"/>
        <w:spacing w:before="23"/>
        <w:ind w:left="0"/>
        <w:jc w:val="left"/>
        <w:rPr>
          <w:rFonts w:hint="eastAsia"/>
        </w:rPr>
      </w:pPr>
      <w:r>
        <w:rPr>
          <w:rFonts w:hint="eastAsia"/>
        </w:rPr>
        <w:t>Paul calls this rebirth “our adoption as sons,” expressly stating that it will occur at the resurrection, when the bodies of the saints, as well as their spirits, are fully and finally redeemed (23; Eph. 1:14).</w:t>
      </w:r>
    </w:p>
    <w:p w14:paraId="310C9204">
      <w:pPr>
        <w:pStyle w:val="9"/>
        <w:spacing w:before="23"/>
        <w:ind w:left="0"/>
        <w:jc w:val="left"/>
        <w:rPr>
          <w:rFonts w:hint="eastAsia"/>
        </w:rPr>
      </w:pPr>
      <w:r>
        <w:rPr>
          <w:rFonts w:hint="eastAsia"/>
        </w:rPr>
        <w:t>保罗称这次重生为“我们得儿子的名分”，明确指出这将在复活时发生，届时圣徒的身体，以及他们的灵，都将完全并最终地得赎（23；弗1:14）。</w:t>
      </w:r>
    </w:p>
    <w:p w14:paraId="266BFACF">
      <w:pPr>
        <w:pStyle w:val="9"/>
        <w:spacing w:before="23"/>
        <w:ind w:left="0"/>
        <w:jc w:val="left"/>
        <w:rPr>
          <w:rFonts w:hint="eastAsia"/>
        </w:rPr>
      </w:pPr>
    </w:p>
    <w:p w14:paraId="535789F6">
      <w:pPr>
        <w:pStyle w:val="9"/>
        <w:spacing w:before="23"/>
        <w:ind w:left="0"/>
        <w:jc w:val="left"/>
        <w:rPr>
          <w:rFonts w:hint="eastAsia"/>
        </w:rPr>
      </w:pPr>
      <w:r>
        <w:rPr>
          <w:rFonts w:hint="eastAsia"/>
        </w:rPr>
        <w:t>Therefore, let every suffering Christian fully understand and embrace this hope; and despite every obstacle encountered in his pilgrimage through this broken world, let him persevere in faith until he inherits the promise at last (24-25).</w:t>
      </w:r>
    </w:p>
    <w:p w14:paraId="7BFB6FCB">
      <w:pPr>
        <w:pStyle w:val="9"/>
        <w:spacing w:before="23"/>
        <w:ind w:left="0"/>
        <w:jc w:val="left"/>
        <w:rPr>
          <w:rFonts w:hint="eastAsia"/>
        </w:rPr>
      </w:pPr>
      <w:r>
        <w:rPr>
          <w:rFonts w:hint="eastAsia"/>
        </w:rPr>
        <w:t>因此，愿每一位受苦的基督徒都完全理解并拥抱这个盼望；尽管在他穿越这个破碎世界的朝圣之旅中遇到各种障碍，愿他仍能在信心中坚忍，直到最终承受那应许（24-25）。</w:t>
      </w:r>
    </w:p>
    <w:p w14:paraId="40640C30">
      <w:pPr>
        <w:pStyle w:val="9"/>
        <w:spacing w:before="23"/>
        <w:ind w:left="0"/>
        <w:jc w:val="left"/>
        <w:rPr>
          <w:rFonts w:hint="eastAsia"/>
        </w:rPr>
      </w:pPr>
    </w:p>
    <w:p w14:paraId="3F0E578E">
      <w:pPr>
        <w:pStyle w:val="9"/>
        <w:spacing w:before="23"/>
        <w:ind w:left="0"/>
        <w:jc w:val="left"/>
        <w:rPr>
          <w:rFonts w:hint="eastAsia"/>
        </w:rPr>
      </w:pPr>
      <w:r>
        <w:rPr>
          <w:rFonts w:hint="eastAsia"/>
        </w:rPr>
        <w:t>The eschatological premises underlying this profoundly comforting passage are both clear and richly applicable to our study.</w:t>
      </w:r>
    </w:p>
    <w:p w14:paraId="4E7B162B">
      <w:pPr>
        <w:pStyle w:val="9"/>
        <w:spacing w:before="23"/>
        <w:ind w:left="0"/>
        <w:jc w:val="left"/>
        <w:rPr>
          <w:rFonts w:hint="eastAsia"/>
        </w:rPr>
      </w:pPr>
      <w:r>
        <w:rPr>
          <w:rFonts w:hint="eastAsia"/>
        </w:rPr>
        <w:t>这篇极具安慰性的经文背后的末世论前提既清晰又对我们的研究有丰富的应用价值。</w:t>
      </w:r>
    </w:p>
    <w:p w14:paraId="04DF8833">
      <w:pPr>
        <w:pStyle w:val="9"/>
        <w:spacing w:before="23"/>
        <w:ind w:left="0"/>
        <w:jc w:val="left"/>
        <w:rPr>
          <w:rFonts w:hint="eastAsia"/>
        </w:rPr>
      </w:pPr>
    </w:p>
    <w:p w14:paraId="07269FD9">
      <w:pPr>
        <w:pStyle w:val="9"/>
        <w:spacing w:before="23"/>
        <w:ind w:left="0"/>
        <w:jc w:val="left"/>
        <w:rPr>
          <w:rFonts w:hint="eastAsia"/>
        </w:rPr>
      </w:pPr>
      <w:r>
        <w:rPr>
          <w:rFonts w:hint="eastAsia"/>
        </w:rPr>
        <w:t>The premises are these: At the sin of the first Adam, God (partially) absconded from his creation and temporarily imposed a dreadful curse upon it.</w:t>
      </w:r>
    </w:p>
    <w:p w14:paraId="6F0CF2B7">
      <w:pPr>
        <w:pStyle w:val="9"/>
        <w:spacing w:before="23"/>
        <w:ind w:left="0"/>
        <w:jc w:val="left"/>
        <w:rPr>
          <w:rFonts w:hint="eastAsia"/>
        </w:rPr>
      </w:pPr>
      <w:r>
        <w:rPr>
          <w:rFonts w:hint="eastAsia"/>
        </w:rPr>
        <w:t>前提是：在第一个亚当犯罪时，上帝（部分地）离开了祂的创造物，并暂时在其上施加了一个可怕的咒诅。</w:t>
      </w:r>
    </w:p>
    <w:p w14:paraId="0E8FC030">
      <w:pPr>
        <w:pStyle w:val="9"/>
        <w:spacing w:before="23"/>
        <w:ind w:left="0"/>
        <w:jc w:val="left"/>
        <w:rPr>
          <w:rFonts w:hint="eastAsia"/>
        </w:rPr>
      </w:pPr>
    </w:p>
    <w:p w14:paraId="75F29D51">
      <w:pPr>
        <w:pStyle w:val="9"/>
        <w:spacing w:before="23"/>
        <w:ind w:left="0"/>
        <w:jc w:val="left"/>
        <w:rPr>
          <w:rFonts w:hint="eastAsia"/>
        </w:rPr>
      </w:pPr>
      <w:r>
        <w:rPr>
          <w:rFonts w:hint="eastAsia"/>
        </w:rPr>
        <w:t>However, at the return of the Last Adam he will completely lift the curse, completely heal his creation, and completely return to it, filling it with his own presence and glory once and for all (1 Cor. 15:20-28, 50-58; Phil. 3:20-21).</w:t>
      </w:r>
    </w:p>
    <w:p w14:paraId="44A4C06C">
      <w:pPr>
        <w:pStyle w:val="9"/>
        <w:spacing w:before="23"/>
        <w:ind w:left="0"/>
        <w:jc w:val="left"/>
        <w:rPr>
          <w:rFonts w:hint="eastAsia"/>
        </w:rPr>
      </w:pPr>
      <w:r>
        <w:rPr>
          <w:rFonts w:hint="eastAsia"/>
        </w:rPr>
        <w:t>然而，在末后的亚当再来时，祂将完全除去咒诅，完全医治祂的创造物，并完全回到其中，用祂自己的同在和荣耀永远充满它（林前15:20-28, 50-58；腓3:20-21）。</w:t>
      </w:r>
    </w:p>
    <w:p w14:paraId="2E93A875">
      <w:pPr>
        <w:pStyle w:val="9"/>
        <w:spacing w:before="23"/>
        <w:ind w:left="0"/>
        <w:jc w:val="left"/>
        <w:rPr>
          <w:rFonts w:hint="eastAsia"/>
        </w:rPr>
      </w:pPr>
    </w:p>
    <w:p w14:paraId="029C6E5C">
      <w:pPr>
        <w:pStyle w:val="9"/>
        <w:spacing w:before="23"/>
        <w:ind w:left="0"/>
        <w:jc w:val="left"/>
        <w:rPr>
          <w:rFonts w:hint="eastAsia"/>
        </w:rPr>
      </w:pPr>
      <w:r>
        <w:rPr>
          <w:rFonts w:hint="eastAsia"/>
        </w:rPr>
        <w:t>As for the application to our study, it is found in the words “completely” and “once and for all.”</w:t>
      </w:r>
    </w:p>
    <w:p w14:paraId="06993DFC">
      <w:pPr>
        <w:pStyle w:val="9"/>
        <w:spacing w:before="23"/>
        <w:ind w:left="0"/>
        <w:jc w:val="left"/>
        <w:rPr>
          <w:rFonts w:hint="eastAsia"/>
        </w:rPr>
      </w:pPr>
      <w:r>
        <w:rPr>
          <w:rFonts w:hint="eastAsia"/>
        </w:rPr>
        <w:t>至于对我们研究的应用，它见于“完全地”和“一劳永逸地”这两个词中。</w:t>
      </w:r>
    </w:p>
    <w:p w14:paraId="2D832C26">
      <w:pPr>
        <w:pStyle w:val="9"/>
        <w:spacing w:before="23"/>
        <w:ind w:left="0"/>
        <w:jc w:val="left"/>
        <w:rPr>
          <w:rFonts w:hint="eastAsia"/>
        </w:rPr>
      </w:pPr>
    </w:p>
    <w:p w14:paraId="688B22E6">
      <w:pPr>
        <w:pStyle w:val="9"/>
        <w:spacing w:before="23"/>
        <w:ind w:left="0"/>
        <w:jc w:val="left"/>
        <w:rPr>
          <w:rFonts w:hint="eastAsia"/>
        </w:rPr>
      </w:pPr>
      <w:r>
        <w:rPr>
          <w:rFonts w:hint="eastAsia"/>
        </w:rPr>
        <w:t>Premillennarians assert that when Christ returns, he will partially lift the curse, and partially glorify the world; and that he will do so temporarily, for a thousand years, until the final glorification of all things.</w:t>
      </w:r>
    </w:p>
    <w:p w14:paraId="4A936D8E">
      <w:pPr>
        <w:pStyle w:val="9"/>
        <w:spacing w:before="23"/>
        <w:ind w:left="0"/>
        <w:jc w:val="left"/>
        <w:rPr>
          <w:rFonts w:hint="eastAsia"/>
        </w:rPr>
      </w:pPr>
      <w:r>
        <w:rPr>
          <w:rFonts w:hint="eastAsia"/>
        </w:rPr>
        <w:t>前千禧年论者断言，当基督再来时，祂将部分地除去咒诅，并部分地荣耀世界；并且祂将这样做一千年，直到万物最终的荣耀。</w:t>
      </w:r>
    </w:p>
    <w:p w14:paraId="29C1D99A">
      <w:pPr>
        <w:pStyle w:val="9"/>
        <w:spacing w:before="23"/>
        <w:ind w:left="0"/>
        <w:jc w:val="left"/>
        <w:rPr>
          <w:rFonts w:hint="eastAsia"/>
        </w:rPr>
      </w:pPr>
    </w:p>
    <w:p w14:paraId="4F486556">
      <w:pPr>
        <w:pStyle w:val="9"/>
        <w:spacing w:before="23"/>
        <w:ind w:left="0"/>
        <w:jc w:val="left"/>
        <w:rPr>
          <w:rFonts w:hint="eastAsia"/>
        </w:rPr>
      </w:pPr>
      <w:r>
        <w:rPr>
          <w:rFonts w:hint="eastAsia"/>
        </w:rPr>
        <w:t>However, that is not what our text says.</w:t>
      </w:r>
    </w:p>
    <w:p w14:paraId="13E7DA40">
      <w:pPr>
        <w:pStyle w:val="9"/>
        <w:spacing w:before="23"/>
        <w:ind w:left="0"/>
        <w:jc w:val="left"/>
        <w:rPr>
          <w:rFonts w:hint="eastAsia"/>
        </w:rPr>
      </w:pPr>
      <w:r>
        <w:rPr>
          <w:rFonts w:hint="eastAsia"/>
        </w:rPr>
        <w:t>然而，我们的经文并非如此说。</w:t>
      </w:r>
    </w:p>
    <w:p w14:paraId="0FC3B850">
      <w:pPr>
        <w:pStyle w:val="9"/>
        <w:spacing w:before="23"/>
        <w:ind w:left="0"/>
        <w:jc w:val="left"/>
        <w:rPr>
          <w:rFonts w:hint="eastAsia"/>
        </w:rPr>
      </w:pPr>
    </w:p>
    <w:p w14:paraId="1220F9E6">
      <w:pPr>
        <w:pStyle w:val="9"/>
        <w:spacing w:before="23"/>
        <w:ind w:left="0"/>
        <w:jc w:val="left"/>
        <w:rPr>
          <w:rFonts w:hint="eastAsia"/>
        </w:rPr>
      </w:pPr>
      <w:r>
        <w:rPr>
          <w:rFonts w:hint="eastAsia"/>
        </w:rPr>
        <w:t>Nor is it what Paul says in any of his other letters.</w:t>
      </w:r>
    </w:p>
    <w:p w14:paraId="616C53EB">
      <w:pPr>
        <w:pStyle w:val="9"/>
        <w:spacing w:before="23"/>
        <w:ind w:left="0"/>
        <w:jc w:val="left"/>
        <w:rPr>
          <w:rFonts w:hint="eastAsia"/>
        </w:rPr>
      </w:pPr>
      <w:r>
        <w:rPr>
          <w:rFonts w:hint="eastAsia"/>
        </w:rPr>
        <w:t>这也不是保罗在祂任何其他书信中所说的。</w:t>
      </w:r>
    </w:p>
    <w:p w14:paraId="4D922B59">
      <w:pPr>
        <w:pStyle w:val="9"/>
        <w:spacing w:before="23"/>
        <w:ind w:left="0"/>
        <w:jc w:val="left"/>
        <w:rPr>
          <w:rFonts w:hint="eastAsia"/>
        </w:rPr>
      </w:pPr>
    </w:p>
    <w:p w14:paraId="7E157E25">
      <w:pPr>
        <w:pStyle w:val="9"/>
        <w:spacing w:before="23"/>
        <w:ind w:left="0"/>
        <w:jc w:val="left"/>
        <w:rPr>
          <w:rFonts w:hint="eastAsia"/>
        </w:rPr>
      </w:pPr>
      <w:r>
        <w:rPr>
          <w:rFonts w:hint="eastAsia"/>
        </w:rPr>
        <w:t>What he actually says—both here and elsewhere— is this: When Christ returns to raise, transform, and glorify his Bride, he will raise, transform, and glorify her world—her new and eternal home—as well.</w:t>
      </w:r>
    </w:p>
    <w:p w14:paraId="6142CCD3">
      <w:pPr>
        <w:pStyle w:val="9"/>
        <w:spacing w:before="23"/>
        <w:ind w:left="0"/>
        <w:jc w:val="left"/>
        <w:rPr>
          <w:rFonts w:hint="eastAsia"/>
        </w:rPr>
      </w:pPr>
      <w:r>
        <w:rPr>
          <w:rFonts w:hint="eastAsia"/>
        </w:rPr>
        <w:t>祂实际上所说的——无论是在这里还是在别处——是：当基督再来使祂的新妇复活、改变和得荣耀时，祂也将使她的世界——她新的、永恒的家——复活、改变和得荣耀。</w:t>
      </w:r>
    </w:p>
    <w:p w14:paraId="18CC382C">
      <w:pPr>
        <w:pStyle w:val="9"/>
        <w:spacing w:before="23"/>
        <w:ind w:left="0"/>
        <w:jc w:val="left"/>
        <w:rPr>
          <w:rFonts w:hint="eastAsia"/>
        </w:rPr>
      </w:pPr>
    </w:p>
    <w:p w14:paraId="2A084CFD">
      <w:pPr>
        <w:pStyle w:val="9"/>
        <w:spacing w:before="23"/>
        <w:ind w:left="0"/>
        <w:jc w:val="left"/>
        <w:rPr>
          <w:rFonts w:hint="eastAsia"/>
        </w:rPr>
      </w:pPr>
      <w:r>
        <w:rPr>
          <w:rFonts w:hint="eastAsia"/>
        </w:rPr>
        <w:t>Here, then, is Paul’s ultimate eschatological hope: the glorious and eternal World to Come, a world that the High King of Heaven himself will create when he comes again to consummate all things.</w:t>
      </w:r>
    </w:p>
    <w:p w14:paraId="56F36C4F">
      <w:pPr>
        <w:pStyle w:val="9"/>
        <w:spacing w:before="23"/>
        <w:ind w:left="0"/>
        <w:jc w:val="left"/>
        <w:rPr>
          <w:rFonts w:hint="eastAsia"/>
        </w:rPr>
      </w:pPr>
      <w:r>
        <w:rPr>
          <w:rFonts w:hint="eastAsia"/>
        </w:rPr>
        <w:t>因此，这里是保罗最终的末世盼望：将要来临的荣耀而永恒的世界，一个由天上的至高君王祂自己在再来成全万事时所创造的世界。</w:t>
      </w:r>
    </w:p>
    <w:p w14:paraId="726610C2">
      <w:pPr>
        <w:pStyle w:val="9"/>
        <w:spacing w:before="23"/>
        <w:ind w:left="0"/>
        <w:jc w:val="left"/>
        <w:rPr>
          <w:rFonts w:hint="eastAsia"/>
        </w:rPr>
      </w:pPr>
    </w:p>
    <w:p w14:paraId="06777981">
      <w:pPr>
        <w:pStyle w:val="9"/>
        <w:spacing w:before="23"/>
        <w:ind w:left="0"/>
        <w:jc w:val="left"/>
        <w:rPr>
          <w:rFonts w:hint="eastAsia"/>
        </w:rPr>
      </w:pPr>
      <w:r>
        <w:rPr>
          <w:rFonts w:hint="eastAsia"/>
        </w:rPr>
        <w:t>A shorter, sweeter summary of amillennial eschatology would be difficult indeed to find.</w:t>
      </w:r>
    </w:p>
    <w:p w14:paraId="3ABE5E6A">
      <w:pPr>
        <w:pStyle w:val="9"/>
        <w:spacing w:before="23"/>
        <w:ind w:left="0"/>
        <w:jc w:val="left"/>
        <w:rPr>
          <w:rFonts w:hint="eastAsia"/>
        </w:rPr>
      </w:pPr>
      <w:r>
        <w:rPr>
          <w:rFonts w:hint="eastAsia"/>
        </w:rPr>
        <w:t>要找到一个更简短、更甜美的无千禧年论末世论总结，确实很难。</w:t>
      </w:r>
    </w:p>
    <w:p w14:paraId="45D5C787">
      <w:pPr>
        <w:pStyle w:val="9"/>
        <w:spacing w:before="23"/>
        <w:ind w:left="0"/>
        <w:jc w:val="left"/>
        <w:rPr>
          <w:rFonts w:hint="eastAsia"/>
        </w:rPr>
      </w:pPr>
    </w:p>
    <w:p w14:paraId="5F77B14B">
      <w:pPr>
        <w:pStyle w:val="9"/>
        <w:spacing w:before="23"/>
        <w:ind w:left="0"/>
        <w:jc w:val="left"/>
        <w:rPr>
          <w:rFonts w:hint="eastAsia"/>
        </w:rPr>
      </w:pPr>
      <w:r>
        <w:rPr>
          <w:rFonts w:hint="eastAsia"/>
        </w:rPr>
        <w:t>8.Life from the Dead!</w:t>
      </w:r>
    </w:p>
    <w:p w14:paraId="2B841C3C">
      <w:pPr>
        <w:pStyle w:val="9"/>
        <w:spacing w:before="23"/>
        <w:ind w:left="0"/>
        <w:jc w:val="left"/>
        <w:rPr>
          <w:rFonts w:hint="eastAsia"/>
        </w:rPr>
      </w:pPr>
      <w:r>
        <w:rPr>
          <w:rFonts w:hint="eastAsia"/>
        </w:rPr>
        <w:t>8.死里复生！</w:t>
      </w:r>
    </w:p>
    <w:p w14:paraId="009D19AF">
      <w:pPr>
        <w:pStyle w:val="9"/>
        <w:spacing w:before="23"/>
        <w:ind w:left="0"/>
        <w:jc w:val="left"/>
        <w:rPr>
          <w:rFonts w:hint="eastAsia"/>
        </w:rPr>
      </w:pPr>
    </w:p>
    <w:p w14:paraId="60A6AFDD">
      <w:pPr>
        <w:pStyle w:val="9"/>
        <w:spacing w:before="23"/>
        <w:ind w:left="0"/>
        <w:jc w:val="left"/>
        <w:rPr>
          <w:rFonts w:hint="eastAsia"/>
        </w:rPr>
      </w:pPr>
      <w:r>
        <w:rPr>
          <w:rFonts w:hint="eastAsia"/>
        </w:rPr>
        <w:t>(Romans 11:11-36)</w:t>
      </w:r>
    </w:p>
    <w:p w14:paraId="0D7E3ECF">
      <w:pPr>
        <w:pStyle w:val="9"/>
        <w:spacing w:before="23"/>
        <w:ind w:left="0"/>
        <w:jc w:val="left"/>
        <w:rPr>
          <w:rFonts w:hint="eastAsia"/>
        </w:rPr>
      </w:pPr>
      <w:r>
        <w:rPr>
          <w:rFonts w:hint="eastAsia"/>
        </w:rPr>
        <w:t>（罗马书11:11-36）</w:t>
      </w:r>
    </w:p>
    <w:p w14:paraId="0D9475C7">
      <w:pPr>
        <w:pStyle w:val="9"/>
        <w:spacing w:before="23"/>
        <w:ind w:left="0"/>
        <w:jc w:val="left"/>
        <w:rPr>
          <w:rFonts w:hint="eastAsia"/>
        </w:rPr>
      </w:pPr>
    </w:p>
    <w:p w14:paraId="71EC3754">
      <w:pPr>
        <w:pStyle w:val="9"/>
        <w:spacing w:before="23"/>
        <w:ind w:left="0"/>
        <w:jc w:val="left"/>
        <w:rPr>
          <w:rFonts w:hint="eastAsia"/>
        </w:rPr>
      </w:pPr>
      <w:r>
        <w:rPr>
          <w:rFonts w:hint="eastAsia"/>
        </w:rPr>
        <w:t>Though this passage touches only indirectly upon the Consummation, it is of great importance, since here we encounter yet another outstanding sign of its imminence: the latter-day conversion of ethnic Israel at large, leading swiftly to the Parousia and the Resurrection of the dead.</w:t>
      </w:r>
    </w:p>
    <w:p w14:paraId="5CDB9422">
      <w:pPr>
        <w:pStyle w:val="9"/>
        <w:spacing w:before="23"/>
        <w:ind w:left="0"/>
        <w:jc w:val="left"/>
        <w:rPr>
          <w:rFonts w:hint="eastAsia"/>
        </w:rPr>
      </w:pPr>
      <w:r>
        <w:rPr>
          <w:rFonts w:hint="eastAsia"/>
        </w:rPr>
        <w:t>虽然这段经文只是间接地触及最终的成全，但它却非常重要，因为我们在这里遇到了另一个其迫近的显著预兆：末后以色列民族的大规模归信，这迅速导致了主临（Parousia）和死人的复活。</w:t>
      </w:r>
    </w:p>
    <w:p w14:paraId="6F527AA0">
      <w:pPr>
        <w:pStyle w:val="9"/>
        <w:spacing w:before="23"/>
        <w:ind w:left="0"/>
        <w:jc w:val="left"/>
        <w:rPr>
          <w:rFonts w:hint="eastAsia"/>
        </w:rPr>
      </w:pPr>
    </w:p>
    <w:p w14:paraId="725EB80E">
      <w:pPr>
        <w:pStyle w:val="9"/>
        <w:spacing w:before="23"/>
        <w:ind w:left="0"/>
        <w:jc w:val="left"/>
        <w:rPr>
          <w:rFonts w:hint="eastAsia"/>
        </w:rPr>
      </w:pPr>
      <w:r>
        <w:rPr>
          <w:rFonts w:hint="eastAsia"/>
        </w:rPr>
        <w:t>Later, I will touch on some of the practical implications of this unique revelation for Christian life and ministry.</w:t>
      </w:r>
    </w:p>
    <w:p w14:paraId="34CFB68F">
      <w:pPr>
        <w:pStyle w:val="9"/>
        <w:spacing w:before="23"/>
        <w:ind w:left="0"/>
        <w:jc w:val="left"/>
        <w:rPr>
          <w:rFonts w:hint="eastAsia"/>
        </w:rPr>
      </w:pPr>
      <w:r>
        <w:rPr>
          <w:rFonts w:hint="eastAsia"/>
        </w:rPr>
        <w:t>稍后，我将谈及这个独特启示对基督徒生活和事工的一些实际涵义。</w:t>
      </w:r>
    </w:p>
    <w:p w14:paraId="3CC05977">
      <w:pPr>
        <w:pStyle w:val="9"/>
        <w:spacing w:before="23"/>
        <w:ind w:left="0"/>
        <w:jc w:val="left"/>
        <w:rPr>
          <w:rFonts w:hint="eastAsia"/>
        </w:rPr>
      </w:pPr>
    </w:p>
    <w:p w14:paraId="266EE060">
      <w:pPr>
        <w:pStyle w:val="9"/>
        <w:spacing w:before="23"/>
        <w:ind w:left="0"/>
        <w:jc w:val="left"/>
        <w:rPr>
          <w:rFonts w:hint="eastAsia"/>
        </w:rPr>
      </w:pPr>
      <w:r>
        <w:rPr>
          <w:rFonts w:hint="eastAsia"/>
        </w:rPr>
        <w:t>First, however, we must examine the text itself, in order to see if this really is the apostle’s message.</w:t>
      </w:r>
    </w:p>
    <w:p w14:paraId="01F3A18E">
      <w:pPr>
        <w:pStyle w:val="9"/>
        <w:spacing w:before="23"/>
        <w:ind w:left="0"/>
        <w:jc w:val="left"/>
        <w:rPr>
          <w:rFonts w:hint="eastAsia"/>
        </w:rPr>
      </w:pPr>
      <w:r>
        <w:rPr>
          <w:rFonts w:hint="eastAsia"/>
        </w:rPr>
        <w:t>然而，首先，我们必须查考经文本身，以便看看这是否真的是使徒的信息。</w:t>
      </w:r>
    </w:p>
    <w:p w14:paraId="25A0059A">
      <w:pPr>
        <w:pStyle w:val="9"/>
        <w:spacing w:before="23"/>
        <w:ind w:left="0"/>
        <w:jc w:val="left"/>
        <w:rPr>
          <w:rFonts w:hint="eastAsia"/>
        </w:rPr>
      </w:pPr>
    </w:p>
    <w:p w14:paraId="4770F8E2">
      <w:pPr>
        <w:pStyle w:val="9"/>
        <w:spacing w:before="23"/>
        <w:ind w:left="0"/>
        <w:jc w:val="left"/>
        <w:rPr>
          <w:rFonts w:hint="eastAsia"/>
        </w:rPr>
      </w:pPr>
      <w:r>
        <w:rPr>
          <w:rFonts w:hint="eastAsia"/>
        </w:rPr>
        <w:t>Introduction</w:t>
      </w:r>
    </w:p>
    <w:p w14:paraId="1A59DBE1">
      <w:pPr>
        <w:pStyle w:val="9"/>
        <w:spacing w:before="23"/>
        <w:ind w:left="0"/>
        <w:jc w:val="left"/>
        <w:rPr>
          <w:rFonts w:hint="eastAsia"/>
        </w:rPr>
      </w:pPr>
      <w:r>
        <w:rPr>
          <w:rFonts w:hint="eastAsia"/>
        </w:rPr>
        <w:t>引言</w:t>
      </w:r>
    </w:p>
    <w:p w14:paraId="75ED3190">
      <w:pPr>
        <w:pStyle w:val="9"/>
        <w:spacing w:before="23"/>
        <w:ind w:left="0"/>
        <w:jc w:val="left"/>
        <w:rPr>
          <w:rFonts w:hint="eastAsia"/>
        </w:rPr>
      </w:pPr>
    </w:p>
    <w:p w14:paraId="1D89EB88">
      <w:pPr>
        <w:pStyle w:val="9"/>
        <w:spacing w:before="23"/>
        <w:ind w:left="0"/>
        <w:jc w:val="left"/>
        <w:rPr>
          <w:rFonts w:hint="eastAsia"/>
        </w:rPr>
      </w:pPr>
      <w:r>
        <w:rPr>
          <w:rFonts w:hint="eastAsia"/>
        </w:rPr>
        <w:t>In Romans 9-11 Paul is addressing the problem of Jewish unbelief.</w:t>
      </w:r>
    </w:p>
    <w:p w14:paraId="434E2147">
      <w:pPr>
        <w:pStyle w:val="9"/>
        <w:spacing w:before="23"/>
        <w:ind w:left="0"/>
        <w:jc w:val="left"/>
        <w:rPr>
          <w:rFonts w:hint="eastAsia"/>
        </w:rPr>
      </w:pPr>
      <w:r>
        <w:rPr>
          <w:rFonts w:hint="eastAsia"/>
        </w:rPr>
        <w:t>在罗马书9-11章，保罗正在处理犹太人不信的问题。</w:t>
      </w:r>
    </w:p>
    <w:p w14:paraId="545C1C9E">
      <w:pPr>
        <w:pStyle w:val="9"/>
        <w:spacing w:before="23"/>
        <w:ind w:left="0"/>
        <w:jc w:val="left"/>
        <w:rPr>
          <w:rFonts w:hint="eastAsia"/>
        </w:rPr>
      </w:pPr>
    </w:p>
    <w:p w14:paraId="2D5FD073">
      <w:pPr>
        <w:pStyle w:val="9"/>
        <w:spacing w:before="23"/>
        <w:ind w:left="0"/>
        <w:jc w:val="left"/>
        <w:rPr>
          <w:rFonts w:hint="eastAsia"/>
        </w:rPr>
      </w:pPr>
      <w:r>
        <w:rPr>
          <w:rFonts w:hint="eastAsia"/>
        </w:rPr>
        <w:t>Yes, the primitive Church was comprised almost exclusively of Jews, some of whom were laid into her very foundation (Eph. 2:20, Rev. 21:14).</w:t>
      </w:r>
    </w:p>
    <w:p w14:paraId="65CED323">
      <w:pPr>
        <w:pStyle w:val="9"/>
        <w:spacing w:before="23"/>
        <w:ind w:left="0"/>
        <w:jc w:val="left"/>
        <w:rPr>
          <w:rFonts w:hint="eastAsia"/>
        </w:rPr>
      </w:pPr>
      <w:r>
        <w:rPr>
          <w:rFonts w:hint="eastAsia"/>
        </w:rPr>
        <w:t>是的，原始教会几乎完全由犹太人组成，其中一些人甚至被奠定在她最根本的基础之中（弗2:20，启21:14）。</w:t>
      </w:r>
    </w:p>
    <w:p w14:paraId="50C0996C">
      <w:pPr>
        <w:pStyle w:val="9"/>
        <w:spacing w:before="23"/>
        <w:ind w:left="0"/>
        <w:jc w:val="left"/>
        <w:rPr>
          <w:rFonts w:hint="eastAsia"/>
        </w:rPr>
      </w:pPr>
    </w:p>
    <w:p w14:paraId="0FDE4250">
      <w:pPr>
        <w:pStyle w:val="9"/>
        <w:spacing w:before="23"/>
        <w:ind w:left="0"/>
        <w:jc w:val="left"/>
        <w:rPr>
          <w:rFonts w:hint="eastAsia"/>
        </w:rPr>
      </w:pPr>
      <w:r>
        <w:rPr>
          <w:rFonts w:hint="eastAsia"/>
        </w:rPr>
        <w:t>Nevertheless, they represented a small minority of the nation.</w:t>
      </w:r>
    </w:p>
    <w:p w14:paraId="2BD6CF3E">
      <w:pPr>
        <w:pStyle w:val="9"/>
        <w:spacing w:before="23"/>
        <w:ind w:left="0"/>
        <w:jc w:val="left"/>
        <w:rPr>
          <w:rFonts w:hint="eastAsia"/>
        </w:rPr>
      </w:pPr>
      <w:r>
        <w:rPr>
          <w:rFonts w:hint="eastAsia"/>
        </w:rPr>
        <w:t>然而，他们只代表了该民族的一小部分。</w:t>
      </w:r>
    </w:p>
    <w:p w14:paraId="5887544C">
      <w:pPr>
        <w:pStyle w:val="9"/>
        <w:spacing w:before="23"/>
        <w:ind w:left="0"/>
        <w:jc w:val="left"/>
        <w:rPr>
          <w:rFonts w:hint="eastAsia"/>
        </w:rPr>
      </w:pPr>
    </w:p>
    <w:p w14:paraId="4A4C3176">
      <w:pPr>
        <w:pStyle w:val="9"/>
        <w:spacing w:before="23"/>
        <w:ind w:left="0"/>
        <w:jc w:val="left"/>
        <w:rPr>
          <w:rFonts w:hint="eastAsia"/>
        </w:rPr>
      </w:pPr>
      <w:r>
        <w:rPr>
          <w:rFonts w:hint="eastAsia"/>
        </w:rPr>
        <w:t>Moreover, once the Gospel overflowed the borders of Israel, multitudes of Gentiles began to receive Christ, while most of the Jews, both inside and outside of Palestine, continued to reject him.</w:t>
      </w:r>
    </w:p>
    <w:p w14:paraId="34CA185E">
      <w:pPr>
        <w:pStyle w:val="9"/>
        <w:spacing w:before="23"/>
        <w:ind w:left="0"/>
        <w:jc w:val="left"/>
        <w:rPr>
          <w:rFonts w:hint="eastAsia"/>
        </w:rPr>
      </w:pPr>
      <w:r>
        <w:rPr>
          <w:rFonts w:hint="eastAsia"/>
        </w:rPr>
        <w:t>此外，一旦福音越过以色列的边界，大批的外邦人开始接受基督，而大多数的犹太人，无论是在巴勒斯坦境内还是境外，都继续拒绝祂。</w:t>
      </w:r>
    </w:p>
    <w:p w14:paraId="230B0C23">
      <w:pPr>
        <w:pStyle w:val="9"/>
        <w:spacing w:before="23"/>
        <w:ind w:left="0"/>
        <w:jc w:val="left"/>
        <w:rPr>
          <w:rFonts w:hint="eastAsia"/>
        </w:rPr>
      </w:pPr>
    </w:p>
    <w:p w14:paraId="729B51D5">
      <w:pPr>
        <w:pStyle w:val="9"/>
        <w:spacing w:before="23"/>
        <w:ind w:left="0"/>
        <w:jc w:val="left"/>
        <w:rPr>
          <w:rFonts w:hint="eastAsia"/>
        </w:rPr>
      </w:pPr>
      <w:r>
        <w:rPr>
          <w:rFonts w:hint="eastAsia"/>
        </w:rPr>
        <w:t>So it was in NT times, and so it has been up to the present day: Always there has been a small remnant of believing Jews, while the large majority of Abraham’s physical seed continues in unbelief.</w:t>
      </w:r>
    </w:p>
    <w:p w14:paraId="1F5281D7">
      <w:pPr>
        <w:pStyle w:val="9"/>
        <w:spacing w:before="23"/>
        <w:ind w:left="0"/>
        <w:jc w:val="left"/>
        <w:rPr>
          <w:rFonts w:hint="eastAsia"/>
        </w:rPr>
      </w:pPr>
      <w:r>
        <w:rPr>
          <w:rFonts w:hint="eastAsia"/>
        </w:rPr>
        <w:t>新约时代如此，直到今天也是如此：总有一小部分信主的犹太余民，而亚伯拉罕肉身的后裔中绝大多数仍旧不信。</w:t>
      </w:r>
    </w:p>
    <w:p w14:paraId="396E8621">
      <w:pPr>
        <w:pStyle w:val="9"/>
        <w:spacing w:before="23"/>
        <w:ind w:left="0"/>
        <w:jc w:val="left"/>
        <w:rPr>
          <w:rFonts w:hint="eastAsia"/>
        </w:rPr>
      </w:pPr>
    </w:p>
    <w:p w14:paraId="2CBCDEC4">
      <w:pPr>
        <w:pStyle w:val="9"/>
        <w:spacing w:before="23"/>
        <w:ind w:left="0"/>
        <w:jc w:val="left"/>
        <w:rPr>
          <w:rFonts w:hint="eastAsia"/>
        </w:rPr>
      </w:pPr>
      <w:r>
        <w:rPr>
          <w:rFonts w:hint="eastAsia"/>
        </w:rPr>
        <w:t>From the length and ardor of his remarks on this troubling providence, it is clear that Paul was quite exercised about it, in large part because he knew that the opponents of Christianity would point over and again to Jewish rejection of the Gospel as a sign of its illegitimacy.</w:t>
      </w:r>
    </w:p>
    <w:p w14:paraId="034722A1">
      <w:pPr>
        <w:pStyle w:val="9"/>
        <w:spacing w:before="23"/>
        <w:ind w:left="0"/>
        <w:jc w:val="left"/>
        <w:rPr>
          <w:rFonts w:hint="eastAsia"/>
        </w:rPr>
      </w:pPr>
      <w:r>
        <w:rPr>
          <w:rFonts w:hint="eastAsia"/>
        </w:rPr>
        <w:t>从他对这个令人困扰的护理所作的冗长而热切的评论中可以清楚地看出，保罗对此事相当激动，很大程度上是因为祂知道基督教的反对者会一再地指出犹太人对福音的拒绝，作为其非法的标志。</w:t>
      </w:r>
    </w:p>
    <w:p w14:paraId="723D757E">
      <w:pPr>
        <w:pStyle w:val="9"/>
        <w:spacing w:before="23"/>
        <w:ind w:left="0"/>
        <w:jc w:val="left"/>
        <w:rPr>
          <w:rFonts w:hint="eastAsia"/>
        </w:rPr>
      </w:pPr>
    </w:p>
    <w:p w14:paraId="2ED388C5">
      <w:pPr>
        <w:pStyle w:val="9"/>
        <w:spacing w:before="23"/>
        <w:ind w:left="0"/>
        <w:jc w:val="left"/>
        <w:rPr>
          <w:rFonts w:hint="eastAsia"/>
        </w:rPr>
      </w:pPr>
      <w:r>
        <w:rPr>
          <w:rFonts w:hint="eastAsia"/>
        </w:rPr>
        <w:t>Here, then, we find him explaining large-scale Jewish unbelief, clearing himself of charges of anti- Semitism, and equipping believers of all generations to respond wisely to this apparent obstacle to faith.</w:t>
      </w:r>
    </w:p>
    <w:p w14:paraId="59A7BA11">
      <w:pPr>
        <w:pStyle w:val="9"/>
        <w:spacing w:before="23"/>
        <w:ind w:left="0"/>
        <w:jc w:val="left"/>
        <w:rPr>
          <w:rFonts w:hint="eastAsia"/>
        </w:rPr>
      </w:pPr>
      <w:r>
        <w:rPr>
          <w:rFonts w:hint="eastAsia"/>
        </w:rPr>
        <w:t>因此，在这里我们看到祂解释大规模的犹太人不信，为自己澄清反犹太主义的指控，并装备所有世代的信徒，以智慧回应这个对信仰的明显障碍。</w:t>
      </w:r>
    </w:p>
    <w:p w14:paraId="6E1F053D">
      <w:pPr>
        <w:pStyle w:val="9"/>
        <w:spacing w:before="23"/>
        <w:ind w:left="0"/>
        <w:jc w:val="left"/>
        <w:rPr>
          <w:rFonts w:hint="eastAsia"/>
        </w:rPr>
      </w:pPr>
    </w:p>
    <w:p w14:paraId="6E2F0068">
      <w:pPr>
        <w:pStyle w:val="9"/>
        <w:spacing w:before="23"/>
        <w:ind w:left="0"/>
        <w:jc w:val="left"/>
        <w:rPr>
          <w:rFonts w:hint="eastAsia"/>
        </w:rPr>
      </w:pPr>
    </w:p>
    <w:p w14:paraId="40214ECF">
      <w:pPr>
        <w:pStyle w:val="9"/>
        <w:spacing w:before="23"/>
        <w:ind w:left="0"/>
        <w:jc w:val="left"/>
        <w:rPr>
          <w:rFonts w:hint="eastAsia"/>
        </w:rPr>
      </w:pPr>
    </w:p>
    <w:p w14:paraId="37F41528">
      <w:pPr>
        <w:pStyle w:val="9"/>
        <w:spacing w:before="66"/>
        <w:ind w:left="0"/>
        <w:jc w:val="left"/>
        <w:rPr>
          <w:rFonts w:hint="eastAsia"/>
        </w:rPr>
      </w:pPr>
      <w:r>
        <w:rPr>
          <w:rFonts w:hint="eastAsia"/>
        </w:rPr>
        <w:t>Four Reasons for Jewish Unbelief</w:t>
      </w:r>
    </w:p>
    <w:p w14:paraId="1ABD4857">
      <w:pPr>
        <w:pStyle w:val="9"/>
        <w:spacing w:before="66"/>
        <w:ind w:left="0"/>
        <w:jc w:val="left"/>
        <w:rPr>
          <w:rFonts w:hint="eastAsia"/>
        </w:rPr>
      </w:pPr>
      <w:r>
        <w:rPr>
          <w:rFonts w:hint="eastAsia"/>
        </w:rPr>
        <w:t>犹太人不信的四个原因</w:t>
      </w:r>
    </w:p>
    <w:p w14:paraId="66FA5010">
      <w:pPr>
        <w:pStyle w:val="9"/>
        <w:spacing w:before="66"/>
        <w:ind w:left="0"/>
        <w:jc w:val="left"/>
        <w:rPr>
          <w:rFonts w:hint="eastAsia"/>
        </w:rPr>
      </w:pPr>
    </w:p>
    <w:p w14:paraId="4E2E9D06">
      <w:pPr>
        <w:pStyle w:val="9"/>
        <w:spacing w:before="66"/>
        <w:ind w:left="0"/>
        <w:jc w:val="left"/>
        <w:rPr>
          <w:rFonts w:hint="eastAsia"/>
        </w:rPr>
      </w:pPr>
      <w:r>
        <w:rPr>
          <w:rFonts w:hint="eastAsia"/>
        </w:rPr>
        <w:t>In essence, Paul offers four explanations of the problem of large-scale Jewish unbelief.</w:t>
      </w:r>
    </w:p>
    <w:p w14:paraId="2E2209B9">
      <w:pPr>
        <w:pStyle w:val="9"/>
        <w:spacing w:before="66"/>
        <w:ind w:left="0"/>
        <w:jc w:val="left"/>
        <w:rPr>
          <w:rFonts w:hint="eastAsia"/>
        </w:rPr>
      </w:pPr>
      <w:r>
        <w:rPr>
          <w:rFonts w:hint="eastAsia"/>
        </w:rPr>
        <w:t>本质上，保罗对大规模犹太人不信的问题提供了四种解释。</w:t>
      </w:r>
    </w:p>
    <w:p w14:paraId="5BD3ED62">
      <w:pPr>
        <w:pStyle w:val="9"/>
        <w:spacing w:before="66"/>
        <w:ind w:left="0"/>
        <w:jc w:val="left"/>
        <w:rPr>
          <w:rFonts w:hint="eastAsia"/>
        </w:rPr>
      </w:pPr>
    </w:p>
    <w:p w14:paraId="05C6A588">
      <w:pPr>
        <w:pStyle w:val="9"/>
        <w:spacing w:before="66"/>
        <w:ind w:left="0"/>
        <w:jc w:val="left"/>
        <w:rPr>
          <w:rFonts w:hint="eastAsia"/>
        </w:rPr>
      </w:pPr>
      <w:r>
        <w:rPr>
          <w:rFonts w:hint="eastAsia"/>
        </w:rPr>
        <w:t>First, contrary to present appearances, God’s OT predictions that he would create a vast new nation of believers in himself and his Messiah have not failed.</w:t>
      </w:r>
    </w:p>
    <w:p w14:paraId="4E2D15B2">
      <w:pPr>
        <w:pStyle w:val="9"/>
        <w:spacing w:before="66"/>
        <w:ind w:left="0"/>
        <w:jc w:val="left"/>
        <w:rPr>
          <w:rFonts w:hint="eastAsia"/>
        </w:rPr>
      </w:pPr>
      <w:r>
        <w:rPr>
          <w:rFonts w:hint="eastAsia"/>
        </w:rPr>
        <w:t>首先，与目前的表象相反，上帝在旧约中预言祂将创造一个信奉祂自己和祂弥赛亚的广大的新民族，这些预言并未落空。</w:t>
      </w:r>
    </w:p>
    <w:p w14:paraId="76C4A589">
      <w:pPr>
        <w:pStyle w:val="9"/>
        <w:spacing w:before="66"/>
        <w:ind w:left="0"/>
        <w:jc w:val="left"/>
        <w:rPr>
          <w:rFonts w:hint="eastAsia"/>
        </w:rPr>
      </w:pPr>
    </w:p>
    <w:p w14:paraId="64938FCD">
      <w:pPr>
        <w:pStyle w:val="9"/>
        <w:spacing w:before="66"/>
        <w:ind w:left="0"/>
        <w:jc w:val="left"/>
        <w:rPr>
          <w:rFonts w:hint="eastAsia"/>
        </w:rPr>
      </w:pPr>
      <w:r>
        <w:rPr>
          <w:rFonts w:hint="eastAsia"/>
        </w:rPr>
        <w:t>Why?</w:t>
      </w:r>
    </w:p>
    <w:p w14:paraId="27017B4E">
      <w:pPr>
        <w:pStyle w:val="9"/>
        <w:spacing w:before="66"/>
        <w:ind w:left="0"/>
        <w:jc w:val="left"/>
        <w:rPr>
          <w:rFonts w:hint="eastAsia"/>
        </w:rPr>
      </w:pPr>
      <w:r>
        <w:rPr>
          <w:rFonts w:hint="eastAsia"/>
        </w:rPr>
        <w:t>为何？</w:t>
      </w:r>
    </w:p>
    <w:p w14:paraId="5460256F">
      <w:pPr>
        <w:pStyle w:val="9"/>
        <w:spacing w:before="66"/>
        <w:ind w:left="0"/>
        <w:jc w:val="left"/>
        <w:rPr>
          <w:rFonts w:hint="eastAsia"/>
        </w:rPr>
      </w:pPr>
    </w:p>
    <w:p w14:paraId="5AB4DB0F">
      <w:pPr>
        <w:pStyle w:val="9"/>
        <w:spacing w:before="66"/>
        <w:ind w:left="0"/>
        <w:jc w:val="left"/>
        <w:rPr>
          <w:rFonts w:hint="eastAsia"/>
        </w:rPr>
      </w:pPr>
      <w:r>
        <w:rPr>
          <w:rFonts w:hint="eastAsia"/>
        </w:rPr>
        <w:t>Because “. . . they are not all Israel who are descended from Israel” (9:6).</w:t>
      </w:r>
    </w:p>
    <w:p w14:paraId="1FD78E2E">
      <w:pPr>
        <w:pStyle w:val="9"/>
        <w:spacing w:before="66"/>
        <w:ind w:left="0"/>
        <w:jc w:val="left"/>
        <w:rPr>
          <w:rFonts w:hint="eastAsia"/>
        </w:rPr>
      </w:pPr>
      <w:r>
        <w:rPr>
          <w:rFonts w:hint="eastAsia"/>
        </w:rPr>
        <w:t>因为“……从以色列生的，不都是以色列人”（9:6）。</w:t>
      </w:r>
    </w:p>
    <w:p w14:paraId="70EE4C2B">
      <w:pPr>
        <w:pStyle w:val="9"/>
        <w:spacing w:before="66"/>
        <w:ind w:left="0"/>
        <w:jc w:val="left"/>
        <w:rPr>
          <w:rFonts w:hint="eastAsia"/>
        </w:rPr>
      </w:pPr>
    </w:p>
    <w:p w14:paraId="73A1C181">
      <w:pPr>
        <w:pStyle w:val="9"/>
        <w:spacing w:before="66"/>
        <w:ind w:left="0"/>
        <w:jc w:val="left"/>
        <w:rPr>
          <w:rFonts w:hint="eastAsia"/>
        </w:rPr>
      </w:pPr>
      <w:r>
        <w:rPr>
          <w:rFonts w:hint="eastAsia"/>
        </w:rPr>
        <w:t>In other words, even now God is indeed fulfilling his OT Kingdom promises, but is doing so among spiritual Israel.</w:t>
      </w:r>
    </w:p>
    <w:p w14:paraId="0935F12D">
      <w:pPr>
        <w:pStyle w:val="9"/>
        <w:spacing w:before="66"/>
        <w:ind w:left="0"/>
        <w:jc w:val="left"/>
        <w:rPr>
          <w:rFonts w:hint="eastAsia"/>
        </w:rPr>
      </w:pPr>
      <w:r>
        <w:rPr>
          <w:rFonts w:hint="eastAsia"/>
        </w:rPr>
        <w:t>换句话说，即使现在，上帝确实在应验祂旧约的国度应许，但祂是在属灵的以色列中这样做的。</w:t>
      </w:r>
    </w:p>
    <w:p w14:paraId="764A3A6A">
      <w:pPr>
        <w:pStyle w:val="9"/>
        <w:spacing w:before="66"/>
        <w:ind w:left="0"/>
        <w:jc w:val="left"/>
        <w:rPr>
          <w:rFonts w:hint="eastAsia"/>
        </w:rPr>
      </w:pPr>
    </w:p>
    <w:p w14:paraId="0B055B05">
      <w:pPr>
        <w:pStyle w:val="9"/>
        <w:spacing w:before="66"/>
        <w:ind w:left="0"/>
        <w:jc w:val="left"/>
        <w:rPr>
          <w:rFonts w:hint="eastAsia"/>
        </w:rPr>
      </w:pPr>
      <w:r>
        <w:rPr>
          <w:rFonts w:hint="eastAsia"/>
        </w:rPr>
        <w:t>He is doing so in the One New Nation comprised of all believers in Jesus, whether Jew or Gentile (9:1-29; Gal. 6:16, Eph. 2:1ff, 1 Peter 2:9).</w:t>
      </w:r>
    </w:p>
    <w:p w14:paraId="1A02F58D">
      <w:pPr>
        <w:pStyle w:val="9"/>
        <w:spacing w:before="66"/>
        <w:ind w:left="0"/>
        <w:jc w:val="left"/>
        <w:rPr>
          <w:rFonts w:hint="eastAsia"/>
        </w:rPr>
      </w:pPr>
      <w:r>
        <w:rPr>
          <w:rFonts w:hint="eastAsia"/>
        </w:rPr>
        <w:t>祂是在那由所有信耶稣的人组成的一个新民族中这样做的，无论是犹太人还是外邦人（9:1-29；加6:16，弗2:1及以下，彼前2:9）。</w:t>
      </w:r>
    </w:p>
    <w:p w14:paraId="37DD93DC">
      <w:pPr>
        <w:pStyle w:val="9"/>
        <w:spacing w:before="66"/>
        <w:ind w:left="0"/>
        <w:jc w:val="left"/>
        <w:rPr>
          <w:rFonts w:hint="eastAsia"/>
        </w:rPr>
      </w:pPr>
    </w:p>
    <w:p w14:paraId="671EF9A5">
      <w:pPr>
        <w:pStyle w:val="9"/>
        <w:spacing w:before="66"/>
        <w:ind w:left="0"/>
        <w:jc w:val="left"/>
        <w:rPr>
          <w:rFonts w:hint="eastAsia"/>
        </w:rPr>
      </w:pPr>
      <w:r>
        <w:rPr>
          <w:rFonts w:hint="eastAsia"/>
        </w:rPr>
        <w:t>He is doing so in the Church.</w:t>
      </w:r>
    </w:p>
    <w:p w14:paraId="789E918F">
      <w:pPr>
        <w:pStyle w:val="9"/>
        <w:spacing w:before="66"/>
        <w:ind w:left="0"/>
        <w:jc w:val="left"/>
        <w:rPr>
          <w:rFonts w:hint="eastAsia"/>
        </w:rPr>
      </w:pPr>
      <w:r>
        <w:rPr>
          <w:rFonts w:hint="eastAsia"/>
        </w:rPr>
        <w:t>祂是在教会中这样做的。</w:t>
      </w:r>
    </w:p>
    <w:p w14:paraId="4C26578D">
      <w:pPr>
        <w:pStyle w:val="9"/>
        <w:spacing w:before="66"/>
        <w:ind w:left="0"/>
        <w:jc w:val="left"/>
        <w:rPr>
          <w:rFonts w:hint="eastAsia"/>
        </w:rPr>
      </w:pPr>
    </w:p>
    <w:p w14:paraId="02896D19">
      <w:pPr>
        <w:pStyle w:val="9"/>
        <w:spacing w:before="66"/>
        <w:ind w:left="0"/>
        <w:jc w:val="left"/>
        <w:rPr>
          <w:rFonts w:hint="eastAsia"/>
        </w:rPr>
      </w:pPr>
      <w:r>
        <w:rPr>
          <w:rFonts w:hint="eastAsia"/>
        </w:rPr>
        <w:t>Secondly, despite having heard the Good News of God’s free gift of righteousness through simple faith in Christ, the majority of Jews stubbornly cling to the Mosaic Law for right standing with God.</w:t>
      </w:r>
    </w:p>
    <w:p w14:paraId="53A8454C">
      <w:pPr>
        <w:pStyle w:val="9"/>
        <w:spacing w:before="66"/>
        <w:ind w:left="0"/>
        <w:jc w:val="left"/>
        <w:rPr>
          <w:rFonts w:hint="eastAsia"/>
        </w:rPr>
      </w:pPr>
      <w:r>
        <w:rPr>
          <w:rFonts w:hint="eastAsia"/>
        </w:rPr>
        <w:t>其次，尽管已经听闻上帝借着对基督的单纯信心所赐的义的白白恩典这好消息，大多数犹太人仍顽固地依附摩西律法，以求在上帝面前称义。</w:t>
      </w:r>
    </w:p>
    <w:p w14:paraId="65FB9139">
      <w:pPr>
        <w:pStyle w:val="9"/>
        <w:spacing w:before="66"/>
        <w:ind w:left="0"/>
        <w:jc w:val="left"/>
        <w:rPr>
          <w:rFonts w:hint="eastAsia"/>
        </w:rPr>
      </w:pPr>
    </w:p>
    <w:p w14:paraId="56C5C3F8">
      <w:pPr>
        <w:pStyle w:val="9"/>
        <w:spacing w:before="66"/>
        <w:ind w:left="0"/>
        <w:jc w:val="left"/>
        <w:rPr>
          <w:rFonts w:hint="eastAsia"/>
        </w:rPr>
      </w:pPr>
      <w:r>
        <w:rPr>
          <w:rFonts w:hint="eastAsia"/>
        </w:rPr>
        <w:t>They do not realize that the Law was actually fulfilled in Christ, and that it too proclaims righteousness by faith in Christ, rather than by our own obedience to its lofty precepts (9:30-10:21).</w:t>
      </w:r>
    </w:p>
    <w:p w14:paraId="5502B7F2">
      <w:pPr>
        <w:pStyle w:val="9"/>
        <w:spacing w:before="66"/>
        <w:ind w:left="0"/>
        <w:jc w:val="left"/>
        <w:rPr>
          <w:rFonts w:hint="eastAsia"/>
        </w:rPr>
      </w:pPr>
      <w:r>
        <w:rPr>
          <w:rFonts w:hint="eastAsia"/>
        </w:rPr>
        <w:t>他们没有意识到，律法实际上已在基督里成全，并且它也宣讲因信基督而来的义，而非借着我们自己对它崇高诫命的顺服（9:30-10:21）。</w:t>
      </w:r>
    </w:p>
    <w:p w14:paraId="550FFC89">
      <w:pPr>
        <w:pStyle w:val="9"/>
        <w:spacing w:before="66"/>
        <w:ind w:left="0"/>
        <w:jc w:val="left"/>
        <w:rPr>
          <w:rFonts w:hint="eastAsia"/>
        </w:rPr>
      </w:pPr>
    </w:p>
    <w:p w14:paraId="4BDF20A6">
      <w:pPr>
        <w:pStyle w:val="9"/>
        <w:spacing w:before="66"/>
        <w:ind w:left="0"/>
        <w:jc w:val="left"/>
        <w:rPr>
          <w:rFonts w:hint="eastAsia"/>
        </w:rPr>
      </w:pPr>
      <w:r>
        <w:rPr>
          <w:rFonts w:hint="eastAsia"/>
        </w:rPr>
        <w:t>Thirdly, God has by no means (altogether) rejected his OT people, since even now he has granted the gift of saving faith to a small remnant of Jews, one of whom is the apostle himself (11:1-10)!</w:t>
      </w:r>
    </w:p>
    <w:p w14:paraId="182B4747">
      <w:pPr>
        <w:pStyle w:val="9"/>
        <w:spacing w:before="66"/>
        <w:ind w:left="0"/>
        <w:jc w:val="left"/>
        <w:rPr>
          <w:rFonts w:hint="eastAsia"/>
        </w:rPr>
      </w:pPr>
      <w:r>
        <w:rPr>
          <w:rFonts w:hint="eastAsia"/>
        </w:rPr>
        <w:t>第三，上帝绝没有（完全地）弃绝祂旧约的子民，因为即使现在，祂也已将得救信心的恩赐赐给了少数的犹太余民，其中之一就是使徒他自己（11:1-10）！</w:t>
      </w:r>
    </w:p>
    <w:p w14:paraId="24B2E4C5">
      <w:pPr>
        <w:pStyle w:val="9"/>
        <w:spacing w:before="66"/>
        <w:ind w:left="0"/>
        <w:jc w:val="left"/>
        <w:rPr>
          <w:rFonts w:hint="eastAsia"/>
        </w:rPr>
      </w:pPr>
    </w:p>
    <w:p w14:paraId="3C3F284B">
      <w:pPr>
        <w:pStyle w:val="9"/>
        <w:spacing w:before="66"/>
        <w:ind w:left="0"/>
        <w:jc w:val="left"/>
        <w:rPr>
          <w:rFonts w:hint="eastAsia"/>
        </w:rPr>
      </w:pPr>
      <w:r>
        <w:rPr>
          <w:rFonts w:hint="eastAsia"/>
        </w:rPr>
        <w:t>This brings us to Paul’s final reason, and the one that concerns us here.</w:t>
      </w:r>
    </w:p>
    <w:p w14:paraId="2BC8873C">
      <w:pPr>
        <w:pStyle w:val="9"/>
        <w:spacing w:before="66"/>
        <w:ind w:left="0"/>
        <w:jc w:val="left"/>
        <w:rPr>
          <w:rFonts w:hint="eastAsia"/>
        </w:rPr>
      </w:pPr>
      <w:r>
        <w:rPr>
          <w:rFonts w:hint="eastAsia"/>
        </w:rPr>
        <w:t>这就把我们带到了保罗的最后一个理由，也是我们在这里关心的理由。</w:t>
      </w:r>
    </w:p>
    <w:p w14:paraId="0BADDDA8">
      <w:pPr>
        <w:pStyle w:val="9"/>
        <w:spacing w:before="66"/>
        <w:ind w:left="0"/>
        <w:jc w:val="left"/>
        <w:rPr>
          <w:rFonts w:hint="eastAsia"/>
        </w:rPr>
      </w:pPr>
    </w:p>
    <w:p w14:paraId="1A3DAABF">
      <w:pPr>
        <w:pStyle w:val="9"/>
        <w:spacing w:before="66"/>
        <w:ind w:left="0"/>
        <w:jc w:val="left"/>
        <w:rPr>
          <w:rFonts w:hint="eastAsia"/>
        </w:rPr>
      </w:pPr>
      <w:r>
        <w:rPr>
          <w:rFonts w:hint="eastAsia"/>
        </w:rPr>
        <w:t>He refers to it as a “mystery,” a previously hidden truth now revealed through the apostle himself.</w:t>
      </w:r>
    </w:p>
    <w:p w14:paraId="3AAB3C13">
      <w:pPr>
        <w:pStyle w:val="9"/>
        <w:spacing w:before="66"/>
        <w:ind w:left="0"/>
        <w:jc w:val="left"/>
        <w:rPr>
          <w:rFonts w:hint="eastAsia"/>
        </w:rPr>
      </w:pPr>
      <w:r>
        <w:rPr>
          <w:rFonts w:hint="eastAsia"/>
        </w:rPr>
        <w:t>他称之为“奥秘”，一个先前隐藏的真理，如今借着使徒自己被启示出来。</w:t>
      </w:r>
    </w:p>
    <w:p w14:paraId="3D764534">
      <w:pPr>
        <w:pStyle w:val="9"/>
        <w:spacing w:before="66"/>
        <w:ind w:left="0"/>
        <w:jc w:val="left"/>
        <w:rPr>
          <w:rFonts w:hint="eastAsia"/>
        </w:rPr>
      </w:pPr>
    </w:p>
    <w:p w14:paraId="0E2D5874">
      <w:pPr>
        <w:pStyle w:val="9"/>
        <w:spacing w:before="66"/>
        <w:ind w:left="0"/>
        <w:jc w:val="left"/>
        <w:rPr>
          <w:rFonts w:hint="eastAsia"/>
        </w:rPr>
      </w:pPr>
      <w:r>
        <w:rPr>
          <w:rFonts w:hint="eastAsia"/>
        </w:rPr>
        <w:t>He also regards it as a vital truth that the Church must never forget.</w:t>
      </w:r>
    </w:p>
    <w:p w14:paraId="01D1C73C">
      <w:pPr>
        <w:pStyle w:val="9"/>
        <w:spacing w:before="66"/>
        <w:ind w:left="0"/>
        <w:jc w:val="left"/>
        <w:rPr>
          <w:rFonts w:hint="eastAsia"/>
        </w:rPr>
      </w:pPr>
      <w:r>
        <w:rPr>
          <w:rFonts w:hint="eastAsia"/>
        </w:rPr>
        <w:t>他也认为这是教会绝不能忘记的一个重要真理。</w:t>
      </w:r>
    </w:p>
    <w:p w14:paraId="16248A4B">
      <w:pPr>
        <w:pStyle w:val="9"/>
        <w:spacing w:before="66"/>
        <w:ind w:left="0"/>
        <w:jc w:val="left"/>
        <w:rPr>
          <w:rFonts w:hint="eastAsia"/>
        </w:rPr>
      </w:pPr>
    </w:p>
    <w:p w14:paraId="420790D7">
      <w:pPr>
        <w:pStyle w:val="9"/>
        <w:spacing w:before="66"/>
        <w:ind w:left="0"/>
        <w:jc w:val="left"/>
        <w:rPr>
          <w:rFonts w:hint="eastAsia"/>
        </w:rPr>
      </w:pPr>
      <w:r>
        <w:rPr>
          <w:rFonts w:hint="eastAsia"/>
        </w:rPr>
        <w:t>It is this: While, for the moment, the majority of Jews have indeed stumbled over Christ, they have not utterly fallen; while they have indeed been temporarily broken off from the olive tree rooted in father Abraham, it is only so that in the end they may be grafted in again.</w:t>
      </w:r>
    </w:p>
    <w:p w14:paraId="15FEC4FE">
      <w:pPr>
        <w:pStyle w:val="9"/>
        <w:spacing w:before="66"/>
        <w:ind w:left="0"/>
        <w:jc w:val="left"/>
        <w:rPr>
          <w:rFonts w:hint="eastAsia"/>
        </w:rPr>
      </w:pPr>
      <w:r>
        <w:rPr>
          <w:rFonts w:hint="eastAsia"/>
        </w:rPr>
        <w:t>就是这样：虽然目前，大多数犹太人确实在基督身上绊倒了，但他们并没有完全跌倒；虽然他们确实被暂时从那根植于父亚伯拉罕的橄榄树上折下来，但这只是为了最终他们可以再被接上。</w:t>
      </w:r>
    </w:p>
    <w:p w14:paraId="36F6B1AD">
      <w:pPr>
        <w:pStyle w:val="9"/>
        <w:spacing w:before="66"/>
        <w:ind w:left="0"/>
        <w:jc w:val="left"/>
        <w:rPr>
          <w:rFonts w:hint="eastAsia"/>
        </w:rPr>
      </w:pPr>
    </w:p>
    <w:p w14:paraId="3EB518CD">
      <w:pPr>
        <w:pStyle w:val="9"/>
        <w:spacing w:before="66"/>
        <w:ind w:left="0"/>
        <w:jc w:val="left"/>
        <w:rPr>
          <w:rFonts w:hint="eastAsia"/>
        </w:rPr>
      </w:pPr>
      <w:r>
        <w:rPr>
          <w:rFonts w:hint="eastAsia"/>
        </w:rPr>
        <w:t>Moreover, when God does graft them in again, it will be an event of enormous eschatological significance, for it will mean nothing less than “life from the dead”!</w:t>
      </w:r>
    </w:p>
    <w:p w14:paraId="54AEC6E5">
      <w:pPr>
        <w:pStyle w:val="9"/>
        <w:spacing w:before="66"/>
        <w:ind w:left="0"/>
        <w:jc w:val="left"/>
        <w:rPr>
          <w:rFonts w:hint="eastAsia"/>
        </w:rPr>
      </w:pPr>
      <w:r>
        <w:rPr>
          <w:rFonts w:hint="eastAsia"/>
        </w:rPr>
        <w:t>此外，当上帝再次将他们接上时，这将是一个具有巨大末世论意义的事件，因为它将意味着无异于“死里复生”！</w:t>
      </w:r>
    </w:p>
    <w:p w14:paraId="4214057D">
      <w:pPr>
        <w:pStyle w:val="9"/>
        <w:spacing w:before="66"/>
        <w:ind w:left="0"/>
        <w:jc w:val="left"/>
        <w:rPr>
          <w:rFonts w:hint="eastAsia"/>
        </w:rPr>
      </w:pPr>
    </w:p>
    <w:p w14:paraId="46A82739">
      <w:pPr>
        <w:pStyle w:val="9"/>
        <w:spacing w:before="66"/>
        <w:ind w:left="0"/>
        <w:jc w:val="left"/>
        <w:rPr>
          <w:rFonts w:hint="eastAsia"/>
        </w:rPr>
      </w:pPr>
      <w:r>
        <w:rPr>
          <w:rFonts w:hint="eastAsia"/>
        </w:rPr>
        <w:t>In Romans 11:11-36, Paul explores this mystery at some length.</w:t>
      </w:r>
    </w:p>
    <w:p w14:paraId="29BAB022">
      <w:pPr>
        <w:pStyle w:val="9"/>
        <w:spacing w:before="66"/>
        <w:ind w:left="0"/>
        <w:jc w:val="left"/>
        <w:rPr>
          <w:rFonts w:hint="eastAsia"/>
        </w:rPr>
      </w:pPr>
      <w:r>
        <w:rPr>
          <w:rFonts w:hint="eastAsia"/>
        </w:rPr>
        <w:t>在罗马书11:11-36，保罗相当详细地探讨了这个奥秘。</w:t>
      </w:r>
    </w:p>
    <w:p w14:paraId="468A573E">
      <w:pPr>
        <w:pStyle w:val="9"/>
        <w:spacing w:before="66"/>
        <w:ind w:left="0"/>
        <w:jc w:val="left"/>
        <w:rPr>
          <w:rFonts w:hint="eastAsia"/>
        </w:rPr>
      </w:pPr>
    </w:p>
    <w:p w14:paraId="302F1E6A">
      <w:pPr>
        <w:pStyle w:val="9"/>
        <w:spacing w:before="66"/>
        <w:ind w:left="0"/>
        <w:jc w:val="left"/>
        <w:rPr>
          <w:rFonts w:hint="eastAsia"/>
        </w:rPr>
      </w:pPr>
      <w:r>
        <w:rPr>
          <w:rFonts w:hint="eastAsia"/>
        </w:rPr>
        <w:t>Let us briefly survey his teaching, focusing upon the many different ways in which the apostle seems powerfully to affirm a latter-day conversion of ethnic Jews just prior to the Consummation at Christ’s return.</w:t>
      </w:r>
    </w:p>
    <w:p w14:paraId="0E9BC23B">
      <w:pPr>
        <w:pStyle w:val="9"/>
        <w:spacing w:before="66"/>
        <w:ind w:left="0"/>
        <w:jc w:val="left"/>
        <w:rPr>
          <w:rFonts w:hint="eastAsia"/>
        </w:rPr>
      </w:pPr>
      <w:r>
        <w:rPr>
          <w:rFonts w:hint="eastAsia"/>
        </w:rPr>
        <w:t>让我们简要地考察祂的教导，聚焦于使徒似乎以多种不同方式，有力地肯定了在基督再来时的最终成全之前，以色列民族的末日归信。</w:t>
      </w:r>
    </w:p>
    <w:p w14:paraId="5BD7854D">
      <w:pPr>
        <w:pStyle w:val="9"/>
        <w:spacing w:before="66"/>
        <w:ind w:left="0"/>
        <w:jc w:val="left"/>
        <w:rPr>
          <w:rFonts w:hint="eastAsia"/>
        </w:rPr>
      </w:pPr>
    </w:p>
    <w:p w14:paraId="18BF69B3">
      <w:pPr>
        <w:pStyle w:val="9"/>
        <w:spacing w:before="66"/>
        <w:ind w:left="0"/>
        <w:jc w:val="left"/>
        <w:rPr>
          <w:rFonts w:hint="eastAsia"/>
        </w:rPr>
      </w:pPr>
      <w:r>
        <w:rPr>
          <w:rFonts w:hint="eastAsia"/>
        </w:rPr>
        <w:t>Israel’s Rejection is not Final (11-16)</w:t>
      </w:r>
    </w:p>
    <w:p w14:paraId="6858F927">
      <w:pPr>
        <w:pStyle w:val="9"/>
        <w:spacing w:before="66"/>
        <w:ind w:left="0"/>
        <w:jc w:val="left"/>
        <w:rPr>
          <w:rFonts w:hint="eastAsia"/>
        </w:rPr>
      </w:pPr>
      <w:r>
        <w:rPr>
          <w:rFonts w:hint="eastAsia"/>
        </w:rPr>
        <w:t>以色列的被弃绝并非最终的（11-16）</w:t>
      </w:r>
    </w:p>
    <w:p w14:paraId="0F001B63">
      <w:pPr>
        <w:pStyle w:val="9"/>
        <w:spacing w:before="66"/>
        <w:ind w:left="0"/>
        <w:jc w:val="left"/>
        <w:rPr>
          <w:rFonts w:hint="eastAsia"/>
        </w:rPr>
      </w:pPr>
    </w:p>
    <w:p w14:paraId="171C310C">
      <w:pPr>
        <w:pStyle w:val="9"/>
        <w:spacing w:before="66"/>
        <w:ind w:left="0"/>
        <w:jc w:val="left"/>
        <w:rPr>
          <w:rFonts w:hint="eastAsia"/>
        </w:rPr>
      </w:pPr>
      <w:r>
        <w:rPr>
          <w:rFonts w:hint="eastAsia"/>
        </w:rPr>
        <w:t>In verses 11-12, Paul begins to open up the mystery.</w:t>
      </w:r>
    </w:p>
    <w:p w14:paraId="0E3794E5">
      <w:pPr>
        <w:pStyle w:val="9"/>
        <w:spacing w:before="66"/>
        <w:ind w:left="0"/>
        <w:jc w:val="left"/>
        <w:rPr>
          <w:rFonts w:hint="eastAsia"/>
        </w:rPr>
      </w:pPr>
      <w:r>
        <w:rPr>
          <w:rFonts w:hint="eastAsia"/>
        </w:rPr>
        <w:t>在第11-12节，保罗开始揭开这个奥秘。</w:t>
      </w:r>
    </w:p>
    <w:p w14:paraId="786CEEE2">
      <w:pPr>
        <w:pStyle w:val="9"/>
        <w:spacing w:before="66"/>
        <w:ind w:left="0"/>
        <w:jc w:val="left"/>
        <w:rPr>
          <w:rFonts w:hint="eastAsia"/>
        </w:rPr>
      </w:pPr>
    </w:p>
    <w:p w14:paraId="46C7A35F">
      <w:pPr>
        <w:pStyle w:val="9"/>
        <w:spacing w:before="66"/>
        <w:ind w:left="0"/>
        <w:jc w:val="left"/>
        <w:rPr>
          <w:rFonts w:hint="eastAsia"/>
        </w:rPr>
      </w:pPr>
      <w:r>
        <w:rPr>
          <w:rFonts w:hint="eastAsia"/>
        </w:rPr>
        <w:t>Has ethnic Israel stumbled over Christ so as permanently to fall into perdition?</w:t>
      </w:r>
    </w:p>
    <w:p w14:paraId="7A17581D">
      <w:pPr>
        <w:pStyle w:val="9"/>
        <w:spacing w:before="66"/>
        <w:ind w:left="0"/>
        <w:jc w:val="left"/>
        <w:rPr>
          <w:rFonts w:hint="eastAsia"/>
        </w:rPr>
      </w:pPr>
      <w:r>
        <w:rPr>
          <w:rFonts w:hint="eastAsia"/>
        </w:rPr>
        <w:t>以色列民族是否在基督身上绊倒，以致永久地陷入沉沦？</w:t>
      </w:r>
    </w:p>
    <w:p w14:paraId="68183096">
      <w:pPr>
        <w:pStyle w:val="9"/>
        <w:spacing w:before="66"/>
        <w:ind w:left="0"/>
        <w:jc w:val="left"/>
        <w:rPr>
          <w:rFonts w:hint="eastAsia"/>
        </w:rPr>
      </w:pPr>
    </w:p>
    <w:p w14:paraId="7DAEDA16">
      <w:pPr>
        <w:pStyle w:val="9"/>
        <w:spacing w:before="66"/>
        <w:ind w:left="0"/>
        <w:jc w:val="left"/>
        <w:rPr>
          <w:rFonts w:hint="eastAsia"/>
        </w:rPr>
      </w:pPr>
      <w:r>
        <w:rPr>
          <w:rFonts w:hint="eastAsia"/>
        </w:rPr>
        <w:t>By no means (Prov. 24:16)!</w:t>
      </w:r>
    </w:p>
    <w:p w14:paraId="1CA6E525">
      <w:pPr>
        <w:pStyle w:val="9"/>
        <w:spacing w:before="66"/>
        <w:ind w:left="0"/>
        <w:jc w:val="left"/>
        <w:rPr>
          <w:rFonts w:hint="eastAsia"/>
        </w:rPr>
      </w:pPr>
      <w:r>
        <w:rPr>
          <w:rFonts w:hint="eastAsia"/>
        </w:rPr>
        <w:t>绝非如此（箴言24:16）！</w:t>
      </w:r>
    </w:p>
    <w:p w14:paraId="442A781E">
      <w:pPr>
        <w:pStyle w:val="9"/>
        <w:spacing w:before="66"/>
        <w:ind w:left="0"/>
        <w:jc w:val="left"/>
        <w:rPr>
          <w:rFonts w:hint="eastAsia"/>
        </w:rPr>
      </w:pPr>
    </w:p>
    <w:p w14:paraId="7ADEADE1">
      <w:pPr>
        <w:pStyle w:val="9"/>
        <w:spacing w:before="66"/>
        <w:ind w:left="0"/>
        <w:jc w:val="left"/>
        <w:rPr>
          <w:rFonts w:hint="eastAsia"/>
        </w:rPr>
      </w:pPr>
      <w:r>
        <w:rPr>
          <w:rFonts w:hint="eastAsia"/>
        </w:rPr>
        <w:t>Indeed, their stumbling is actually part of God’s larger purpose and plan; for through Israel’s trespass, salvation will come to the Gentiles; but then, through the salvation of the Gentiles, salvation will also come to Israel (11)!</w:t>
      </w:r>
    </w:p>
    <w:p w14:paraId="425468CA">
      <w:pPr>
        <w:pStyle w:val="9"/>
        <w:spacing w:before="66"/>
        <w:ind w:left="0"/>
        <w:jc w:val="left"/>
        <w:rPr>
          <w:rFonts w:hint="eastAsia"/>
        </w:rPr>
      </w:pPr>
      <w:r>
        <w:rPr>
          <w:rFonts w:hint="eastAsia"/>
        </w:rPr>
        <w:t>确实，他们的失脚实际上是上帝更大旨意和计划的一部分；因为因以色列的过犯，救恩便临到外邦人；但然后，因着外邦人的得救，救恩也必临到以色列（11）！</w:t>
      </w:r>
    </w:p>
    <w:p w14:paraId="6134C5D4">
      <w:pPr>
        <w:pStyle w:val="9"/>
        <w:spacing w:before="66"/>
        <w:ind w:left="0"/>
        <w:jc w:val="left"/>
        <w:rPr>
          <w:rFonts w:hint="eastAsia"/>
        </w:rPr>
      </w:pPr>
    </w:p>
    <w:p w14:paraId="5A959AEE">
      <w:pPr>
        <w:pStyle w:val="9"/>
        <w:spacing w:before="66"/>
        <w:ind w:left="0"/>
        <w:jc w:val="left"/>
        <w:rPr>
          <w:rFonts w:hint="eastAsia"/>
        </w:rPr>
      </w:pPr>
      <w:r>
        <w:rPr>
          <w:rFonts w:hint="eastAsia"/>
        </w:rPr>
        <w:t>Moreover, if Israel’s trespass means redemptive riches for the Gentiles, think what their fullness—the incorporation of the full number of elect Jews into the New Covenant Church—might mean (12)!</w:t>
      </w:r>
    </w:p>
    <w:p w14:paraId="43A8F759">
      <w:pPr>
        <w:pStyle w:val="9"/>
        <w:spacing w:before="66"/>
        <w:ind w:left="0"/>
        <w:jc w:val="left"/>
        <w:rPr>
          <w:rFonts w:hint="eastAsia"/>
        </w:rPr>
      </w:pPr>
      <w:r>
        <w:rPr>
          <w:rFonts w:hint="eastAsia"/>
        </w:rPr>
        <w:t>此外，如果以色列的过犯意味着外邦人的救赎丰富，那么请想一想他们的丰满——即所有被拣选的犹太人被纳入新约教会——可能意味着什么（12）！</w:t>
      </w:r>
    </w:p>
    <w:p w14:paraId="6CF2BC83">
      <w:pPr>
        <w:pStyle w:val="9"/>
        <w:spacing w:before="66"/>
        <w:ind w:left="0"/>
        <w:jc w:val="left"/>
        <w:rPr>
          <w:rFonts w:hint="eastAsia"/>
        </w:rPr>
      </w:pPr>
    </w:p>
    <w:p w14:paraId="3CACE4A8">
      <w:pPr>
        <w:pStyle w:val="9"/>
        <w:spacing w:before="66"/>
        <w:ind w:left="0"/>
        <w:jc w:val="left"/>
        <w:rPr>
          <w:rFonts w:hint="eastAsia"/>
        </w:rPr>
      </w:pPr>
      <w:r>
        <w:rPr>
          <w:rFonts w:hint="eastAsia"/>
        </w:rPr>
        <w:t>In a moment, Paul will tell us what it means (15).</w:t>
      </w:r>
    </w:p>
    <w:p w14:paraId="25E27D96">
      <w:pPr>
        <w:pStyle w:val="9"/>
        <w:spacing w:before="66"/>
        <w:ind w:left="0"/>
        <w:jc w:val="left"/>
        <w:rPr>
          <w:rFonts w:hint="eastAsia"/>
        </w:rPr>
      </w:pPr>
      <w:r>
        <w:rPr>
          <w:rFonts w:hint="eastAsia"/>
        </w:rPr>
        <w:t>稍后，保罗将告诉我们这意味着什么（15）。</w:t>
      </w:r>
    </w:p>
    <w:p w14:paraId="65D546D5">
      <w:pPr>
        <w:pStyle w:val="9"/>
        <w:spacing w:before="66"/>
        <w:ind w:left="0"/>
        <w:jc w:val="left"/>
        <w:rPr>
          <w:rFonts w:hint="eastAsia"/>
        </w:rPr>
      </w:pPr>
    </w:p>
    <w:p w14:paraId="128DF1BB">
      <w:pPr>
        <w:pStyle w:val="9"/>
        <w:spacing w:before="66"/>
        <w:ind w:left="0"/>
        <w:jc w:val="left"/>
        <w:rPr>
          <w:rFonts w:hint="eastAsia"/>
        </w:rPr>
      </w:pPr>
      <w:r>
        <w:rPr>
          <w:rFonts w:hint="eastAsia"/>
        </w:rPr>
        <w:t>Here, however, only two verses into his meditation, we already are getting a feel for the gist of the mystery: God is not done with ethnic Israel; indeed, he has something great in store for them, something that will herald the end of the age and the advent of the World to Come.</w:t>
      </w:r>
    </w:p>
    <w:p w14:paraId="46B64DE6">
      <w:pPr>
        <w:pStyle w:val="9"/>
        <w:spacing w:before="66"/>
        <w:ind w:left="0"/>
        <w:jc w:val="left"/>
        <w:rPr>
          <w:rFonts w:hint="eastAsia"/>
        </w:rPr>
      </w:pPr>
      <w:r>
        <w:rPr>
          <w:rFonts w:hint="eastAsia"/>
        </w:rPr>
        <w:t>然而，在这里，在他默想的仅仅两节经文之后，我们已经开始感觉到这个奥秘的要点：上帝对以色列民族的工作尚未完成；确实，祂为他们预备了伟大的事，这将预示着世代的终结和将来世界的来临。</w:t>
      </w:r>
    </w:p>
    <w:p w14:paraId="23080B9F">
      <w:pPr>
        <w:pStyle w:val="9"/>
        <w:spacing w:before="66"/>
        <w:ind w:left="0"/>
        <w:jc w:val="left"/>
        <w:rPr>
          <w:rFonts w:hint="eastAsia"/>
        </w:rPr>
      </w:pPr>
    </w:p>
    <w:p w14:paraId="64536397">
      <w:pPr>
        <w:pStyle w:val="9"/>
        <w:spacing w:before="66"/>
        <w:ind w:left="0"/>
        <w:jc w:val="left"/>
        <w:rPr>
          <w:rFonts w:hint="eastAsia"/>
        </w:rPr>
      </w:pPr>
      <w:r>
        <w:rPr>
          <w:rFonts w:hint="eastAsia"/>
        </w:rPr>
        <w:t>In verses 13-15, Paul pauses to let his Gentile audience in on a strategic secret about his evangelistic ministry: Whenever he ministers Christ to the Gentiles, he makes every effort to magnify (i.e., show off) the joy of his converts, if by any means he might provoke some of his Jewish kinsmen to jealousy, so that they too will desire Christ and be saved (13-14).</w:t>
      </w:r>
    </w:p>
    <w:p w14:paraId="31F8A460">
      <w:pPr>
        <w:pStyle w:val="9"/>
        <w:spacing w:before="66"/>
        <w:ind w:left="0"/>
        <w:jc w:val="left"/>
        <w:rPr>
          <w:rFonts w:hint="eastAsia"/>
        </w:rPr>
      </w:pPr>
      <w:r>
        <w:rPr>
          <w:rFonts w:hint="eastAsia"/>
        </w:rPr>
        <w:t>在第13-15节，保罗停下来，让他外邦的听众了解祂传福音事工的一个战略性秘密：每当祂向外邦人传讲基督时，祂都尽力显扬（即炫耀）祂归信者的喜乐，为的是或者可以激动祂一些犹太骨肉之亲发愤，好叫他们也渴望基督并得救（13-14）。</w:t>
      </w:r>
    </w:p>
    <w:p w14:paraId="0AF8B33F">
      <w:pPr>
        <w:pStyle w:val="9"/>
        <w:spacing w:before="66"/>
        <w:ind w:left="0"/>
        <w:jc w:val="left"/>
        <w:rPr>
          <w:rFonts w:hint="eastAsia"/>
        </w:rPr>
      </w:pPr>
    </w:p>
    <w:p w14:paraId="4BCEB990">
      <w:pPr>
        <w:pStyle w:val="9"/>
        <w:spacing w:before="66"/>
        <w:ind w:left="0"/>
        <w:jc w:val="left"/>
        <w:rPr>
          <w:rFonts w:hint="eastAsia"/>
        </w:rPr>
      </w:pPr>
      <w:r>
        <w:rPr>
          <w:rFonts w:hint="eastAsia"/>
        </w:rPr>
        <w:t>In so doing, he consciously aligns himself with the purpose and plan of God outlined in verses 11-12.</w:t>
      </w:r>
    </w:p>
    <w:p w14:paraId="4728E695">
      <w:pPr>
        <w:pStyle w:val="9"/>
        <w:spacing w:before="66"/>
        <w:ind w:left="0"/>
        <w:jc w:val="left"/>
        <w:rPr>
          <w:rFonts w:hint="eastAsia"/>
        </w:rPr>
      </w:pPr>
      <w:r>
        <w:rPr>
          <w:rFonts w:hint="eastAsia"/>
        </w:rPr>
        <w:t>这样做，祂有意识地将自己与第11-12节中概述的上帝的旨意和计划对齐。</w:t>
      </w:r>
    </w:p>
    <w:p w14:paraId="1A9E0DB0">
      <w:pPr>
        <w:pStyle w:val="9"/>
        <w:spacing w:before="66"/>
        <w:ind w:left="0"/>
        <w:jc w:val="left"/>
        <w:rPr>
          <w:rFonts w:hint="eastAsia"/>
        </w:rPr>
      </w:pPr>
    </w:p>
    <w:p w14:paraId="7E1894F1">
      <w:pPr>
        <w:pStyle w:val="9"/>
        <w:spacing w:before="66"/>
        <w:ind w:left="0"/>
        <w:jc w:val="left"/>
        <w:rPr>
          <w:rFonts w:hint="eastAsia"/>
        </w:rPr>
      </w:pPr>
      <w:r>
        <w:rPr>
          <w:rFonts w:hint="eastAsia"/>
        </w:rPr>
        <w:t>In verse 15, he gives us still another reason for doing what he does, a reason full of eschatological interest: If Israel’s rejection means spiritual life for the Gentile world, then what will their final acceptance mean, if not “life from the dead”?</w:t>
      </w:r>
    </w:p>
    <w:p w14:paraId="585B1D6F">
      <w:pPr>
        <w:pStyle w:val="9"/>
        <w:spacing w:before="66"/>
        <w:ind w:left="0"/>
        <w:jc w:val="left"/>
        <w:rPr>
          <w:rFonts w:hint="eastAsia"/>
        </w:rPr>
      </w:pPr>
      <w:r>
        <w:rPr>
          <w:rFonts w:hint="eastAsia"/>
        </w:rPr>
        <w:t>在第15节，祂给了我们祂这样做的另一个理由，一个充满末世论趣味的理由：如果以色列的被弃绝意味着外邦世界的属灵生命，那么他们最终的被接纳又意味着什么，若非“死里复生”？</w:t>
      </w:r>
    </w:p>
    <w:p w14:paraId="081DDEC1">
      <w:pPr>
        <w:pStyle w:val="9"/>
        <w:spacing w:before="66"/>
        <w:ind w:left="0"/>
        <w:jc w:val="left"/>
        <w:rPr>
          <w:rFonts w:hint="eastAsia"/>
        </w:rPr>
      </w:pPr>
    </w:p>
    <w:p w14:paraId="1D83FC06">
      <w:pPr>
        <w:pStyle w:val="9"/>
        <w:spacing w:before="66"/>
        <w:ind w:left="0"/>
        <w:jc w:val="left"/>
        <w:rPr>
          <w:rFonts w:hint="eastAsia"/>
        </w:rPr>
      </w:pPr>
      <w:r>
        <w:rPr>
          <w:rFonts w:hint="eastAsia"/>
        </w:rPr>
        <w:t>Obviously, “life from the dead” is something good, and something whose time Paul desires to hasten.</w:t>
      </w:r>
    </w:p>
    <w:p w14:paraId="0931733E">
      <w:pPr>
        <w:pStyle w:val="9"/>
        <w:spacing w:before="66"/>
        <w:ind w:left="0"/>
        <w:jc w:val="left"/>
        <w:rPr>
          <w:rFonts w:hint="eastAsia"/>
        </w:rPr>
      </w:pPr>
      <w:r>
        <w:rPr>
          <w:rFonts w:hint="eastAsia"/>
        </w:rPr>
        <w:t>显然，“死里复生”是件好事，也是保罗渴望加速其到来的事。</w:t>
      </w:r>
    </w:p>
    <w:p w14:paraId="454F45D3">
      <w:pPr>
        <w:pStyle w:val="9"/>
        <w:spacing w:before="66"/>
        <w:ind w:left="0"/>
        <w:jc w:val="left"/>
        <w:rPr>
          <w:rFonts w:hint="eastAsia"/>
        </w:rPr>
      </w:pPr>
    </w:p>
    <w:p w14:paraId="6B41E1F1">
      <w:pPr>
        <w:pStyle w:val="9"/>
        <w:spacing w:before="66"/>
        <w:ind w:left="0"/>
        <w:jc w:val="left"/>
        <w:rPr>
          <w:rFonts w:hint="eastAsia"/>
        </w:rPr>
      </w:pPr>
      <w:r>
        <w:rPr>
          <w:rFonts w:hint="eastAsia"/>
        </w:rPr>
        <w:t>But what is it?</w:t>
      </w:r>
    </w:p>
    <w:p w14:paraId="3C39DB6C">
      <w:pPr>
        <w:pStyle w:val="9"/>
        <w:spacing w:before="66"/>
        <w:ind w:left="0"/>
        <w:jc w:val="left"/>
        <w:rPr>
          <w:rFonts w:hint="eastAsia"/>
        </w:rPr>
      </w:pPr>
      <w:r>
        <w:rPr>
          <w:rFonts w:hint="eastAsia"/>
        </w:rPr>
        <w:t>但它是什么？</w:t>
      </w:r>
    </w:p>
    <w:p w14:paraId="59A7A515">
      <w:pPr>
        <w:pStyle w:val="9"/>
        <w:spacing w:before="66"/>
        <w:ind w:left="0"/>
        <w:jc w:val="left"/>
        <w:rPr>
          <w:rFonts w:hint="eastAsia"/>
        </w:rPr>
      </w:pPr>
    </w:p>
    <w:p w14:paraId="7376B808">
      <w:pPr>
        <w:pStyle w:val="9"/>
        <w:spacing w:before="66"/>
        <w:ind w:left="0"/>
        <w:jc w:val="left"/>
        <w:rPr>
          <w:rFonts w:hint="eastAsia"/>
        </w:rPr>
      </w:pPr>
      <w:r>
        <w:rPr>
          <w:rFonts w:hint="eastAsia"/>
        </w:rPr>
        <w:t>In the verses ahead, he will answer.</w:t>
      </w:r>
    </w:p>
    <w:p w14:paraId="1E038ADD">
      <w:pPr>
        <w:pStyle w:val="9"/>
        <w:spacing w:before="66"/>
        <w:ind w:left="0"/>
        <w:jc w:val="left"/>
        <w:rPr>
          <w:rFonts w:hint="eastAsia"/>
        </w:rPr>
      </w:pPr>
      <w:r>
        <w:rPr>
          <w:rFonts w:hint="eastAsia"/>
        </w:rPr>
        <w:t>在接下来的经文中，祂将回答。</w:t>
      </w:r>
    </w:p>
    <w:p w14:paraId="74ED2517">
      <w:pPr>
        <w:pStyle w:val="9"/>
        <w:spacing w:before="66"/>
        <w:ind w:left="0"/>
        <w:jc w:val="left"/>
        <w:rPr>
          <w:rFonts w:hint="eastAsia"/>
        </w:rPr>
      </w:pPr>
    </w:p>
    <w:p w14:paraId="0116328D">
      <w:pPr>
        <w:pStyle w:val="9"/>
        <w:spacing w:before="66"/>
        <w:ind w:left="0"/>
        <w:jc w:val="left"/>
        <w:rPr>
          <w:rFonts w:hint="eastAsia"/>
        </w:rPr>
      </w:pPr>
      <w:r>
        <w:rPr>
          <w:rFonts w:hint="eastAsia"/>
        </w:rPr>
        <w:t>There we learn that ethnic Israel’s latter-day return to the faith of their father Abraham—which is none other than faith in Christ —will mark the completion of God’s redemptive ingathering.</w:t>
      </w:r>
    </w:p>
    <w:p w14:paraId="03FD3104">
      <w:pPr>
        <w:pStyle w:val="9"/>
        <w:spacing w:before="66"/>
        <w:ind w:left="0"/>
        <w:jc w:val="left"/>
        <w:rPr>
          <w:rFonts w:hint="eastAsia"/>
        </w:rPr>
      </w:pPr>
      <w:r>
        <w:rPr>
          <w:rFonts w:hint="eastAsia"/>
        </w:rPr>
        <w:t>在那里我们了解到，以色列民族末后的回归到他们父亚伯拉罕的信仰——这正是对基督的信心——将标志着上帝救赎性招聚的完成。</w:t>
      </w:r>
    </w:p>
    <w:p w14:paraId="5F74FBB6">
      <w:pPr>
        <w:pStyle w:val="9"/>
        <w:spacing w:before="66"/>
        <w:ind w:left="0"/>
        <w:jc w:val="left"/>
        <w:rPr>
          <w:rFonts w:hint="eastAsia"/>
        </w:rPr>
      </w:pPr>
    </w:p>
    <w:p w14:paraId="6F543BBE">
      <w:pPr>
        <w:pStyle w:val="9"/>
        <w:spacing w:before="66"/>
        <w:ind w:left="0"/>
        <w:jc w:val="left"/>
        <w:rPr>
          <w:rFonts w:hint="eastAsia"/>
        </w:rPr>
      </w:pPr>
      <w:r>
        <w:rPr>
          <w:rFonts w:hint="eastAsia"/>
        </w:rPr>
        <w:t>It will mark the attaining of the full number of elect Jews and elect Gentiles, the completion of the Body of Christ.</w:t>
      </w:r>
    </w:p>
    <w:p w14:paraId="0EDAF0AE">
      <w:pPr>
        <w:pStyle w:val="9"/>
        <w:spacing w:before="66"/>
        <w:ind w:left="0"/>
        <w:jc w:val="left"/>
        <w:rPr>
          <w:rFonts w:hint="eastAsia"/>
        </w:rPr>
      </w:pPr>
      <w:r>
        <w:rPr>
          <w:rFonts w:hint="eastAsia"/>
        </w:rPr>
        <w:t>这将标志着被拣选的犹太人和被拣选的外邦人的数目都满了，基督的身体得以完全。</w:t>
      </w:r>
    </w:p>
    <w:p w14:paraId="660D5183">
      <w:pPr>
        <w:pStyle w:val="9"/>
        <w:spacing w:before="66"/>
        <w:ind w:left="0"/>
        <w:jc w:val="left"/>
        <w:rPr>
          <w:rFonts w:hint="eastAsia"/>
        </w:rPr>
      </w:pPr>
    </w:p>
    <w:p w14:paraId="6A7576C7">
      <w:pPr>
        <w:pStyle w:val="9"/>
        <w:spacing w:before="66"/>
        <w:ind w:left="0"/>
        <w:jc w:val="left"/>
        <w:rPr>
          <w:rFonts w:hint="eastAsia"/>
        </w:rPr>
      </w:pPr>
      <w:r>
        <w:rPr>
          <w:rFonts w:hint="eastAsia"/>
        </w:rPr>
        <w:t>But what exactly will happen when this fullness is attained?</w:t>
      </w:r>
    </w:p>
    <w:p w14:paraId="7D9ED58B">
      <w:pPr>
        <w:pStyle w:val="9"/>
        <w:spacing w:before="66"/>
        <w:ind w:left="0"/>
        <w:jc w:val="left"/>
        <w:rPr>
          <w:rFonts w:hint="eastAsia"/>
        </w:rPr>
      </w:pPr>
      <w:r>
        <w:rPr>
          <w:rFonts w:hint="eastAsia"/>
        </w:rPr>
        <w:t>但当这丰满达到时，究竟会发生什么？</w:t>
      </w:r>
    </w:p>
    <w:p w14:paraId="744FF382">
      <w:pPr>
        <w:pStyle w:val="9"/>
        <w:spacing w:before="66"/>
        <w:ind w:left="0"/>
        <w:jc w:val="left"/>
        <w:rPr>
          <w:rFonts w:hint="eastAsia"/>
        </w:rPr>
      </w:pPr>
    </w:p>
    <w:p w14:paraId="5835DC93">
      <w:pPr>
        <w:pStyle w:val="9"/>
        <w:spacing w:before="66"/>
        <w:ind w:left="0"/>
        <w:jc w:val="left"/>
        <w:rPr>
          <w:rFonts w:hint="eastAsia"/>
        </w:rPr>
      </w:pPr>
      <w:r>
        <w:rPr>
          <w:rFonts w:hint="eastAsia"/>
        </w:rPr>
        <w:t>The One Shepherd, whom the Father appointed to gather his one flock, has told us: “This Gospel of the Kingdom will be preached in the whole world as a testimony to all nations, and then the end will come” (Mt. 24:14, John 10:16).</w:t>
      </w:r>
    </w:p>
    <w:p w14:paraId="2757B3BB">
      <w:pPr>
        <w:pStyle w:val="9"/>
        <w:spacing w:before="66"/>
        <w:ind w:left="0"/>
        <w:jc w:val="left"/>
        <w:rPr>
          <w:rFonts w:hint="eastAsia"/>
        </w:rPr>
      </w:pPr>
      <w:r>
        <w:rPr>
          <w:rFonts w:hint="eastAsia"/>
        </w:rPr>
        <w:t>那一位牧人，父所指派来聚集祂那一个羊群的，已经告诉我们：“这天国的福音要传遍天下，对万民作见证，然后末期才来到”（太24:14，约10:16）。</w:t>
      </w:r>
    </w:p>
    <w:p w14:paraId="01A2604D">
      <w:pPr>
        <w:pStyle w:val="9"/>
        <w:spacing w:before="66"/>
        <w:ind w:left="0"/>
        <w:jc w:val="left"/>
        <w:rPr>
          <w:rFonts w:hint="eastAsia"/>
        </w:rPr>
      </w:pPr>
    </w:p>
    <w:p w14:paraId="5B4E6A70">
      <w:pPr>
        <w:pStyle w:val="9"/>
        <w:spacing w:before="66"/>
        <w:ind w:left="0"/>
        <w:jc w:val="left"/>
        <w:rPr>
          <w:rFonts w:hint="eastAsia"/>
        </w:rPr>
      </w:pPr>
      <w:r>
        <w:rPr>
          <w:rFonts w:hint="eastAsia"/>
        </w:rPr>
        <w:t>So then, for Jesus the completion of the evangelistic ministry of the Church brings “the end,” the Consummation; and for Paul, the completion of that same ministry—which is marked by a final ingathering of ethnic Israel—brings “life from the dead.”</w:t>
      </w:r>
    </w:p>
    <w:p w14:paraId="40B73FC3">
      <w:pPr>
        <w:pStyle w:val="9"/>
        <w:spacing w:before="66"/>
        <w:ind w:left="0"/>
        <w:jc w:val="left"/>
        <w:rPr>
          <w:rFonts w:hint="eastAsia"/>
        </w:rPr>
      </w:pPr>
      <w:r>
        <w:rPr>
          <w:rFonts w:hint="eastAsia"/>
        </w:rPr>
        <w:t>所以，对耶稣而言，教会传福音事工的完成带来了“末了”，即最终的成全；而对保罗而言，那同样事工的完成——以以色列民族最后的招聚为标志——带来了“死里复生”。</w:t>
      </w:r>
    </w:p>
    <w:p w14:paraId="37577D57">
      <w:pPr>
        <w:pStyle w:val="9"/>
        <w:spacing w:before="66"/>
        <w:ind w:left="0"/>
        <w:jc w:val="left"/>
        <w:rPr>
          <w:rFonts w:hint="eastAsia"/>
        </w:rPr>
      </w:pPr>
    </w:p>
    <w:p w14:paraId="2857EA12">
      <w:pPr>
        <w:pStyle w:val="9"/>
        <w:spacing w:before="66"/>
        <w:ind w:left="0"/>
        <w:jc w:val="left"/>
        <w:rPr>
          <w:rFonts w:hint="eastAsia"/>
        </w:rPr>
      </w:pPr>
      <w:r>
        <w:rPr>
          <w:rFonts w:hint="eastAsia"/>
        </w:rPr>
        <w:t>Should we not therefore conclude that “life from the dead” means exactly what we thought it meant when we first read this text, and exactly what many commentators take it to mean: the Resurrection of the Dead?</w:t>
      </w:r>
    </w:p>
    <w:p w14:paraId="2E0FE89F">
      <w:pPr>
        <w:pStyle w:val="9"/>
        <w:spacing w:before="66"/>
        <w:ind w:left="0"/>
        <w:jc w:val="left"/>
        <w:rPr>
          <w:rFonts w:hint="eastAsia"/>
        </w:rPr>
      </w:pPr>
      <w:r>
        <w:rPr>
          <w:rFonts w:hint="eastAsia"/>
        </w:rPr>
        <w:t>因此，我们岂不应得出结论，“死里复生”的意思正是我们初读此经文时所想的意思，也正是许多注释家所认为的意思：死人的复活？</w:t>
      </w:r>
    </w:p>
    <w:p w14:paraId="17DEF4CC">
      <w:pPr>
        <w:pStyle w:val="9"/>
        <w:spacing w:before="66"/>
        <w:ind w:left="0"/>
        <w:jc w:val="left"/>
        <w:rPr>
          <w:rFonts w:hint="eastAsia"/>
        </w:rPr>
      </w:pPr>
    </w:p>
    <w:p w14:paraId="7F627AAE">
      <w:pPr>
        <w:pStyle w:val="9"/>
        <w:spacing w:before="66"/>
        <w:ind w:left="0"/>
        <w:jc w:val="left"/>
        <w:rPr>
          <w:rFonts w:hint="eastAsia"/>
        </w:rPr>
      </w:pPr>
      <w:r>
        <w:rPr>
          <w:rFonts w:hint="eastAsia"/>
        </w:rPr>
        <w:t>If so, the latter-day conversion of ethnic Israel is indeed a great sign: a sign that the Parousia, the Resurrection, the Judgment, and the World to Come are at hand, even at the door!</w:t>
      </w:r>
    </w:p>
    <w:p w14:paraId="0BA13697">
      <w:pPr>
        <w:pStyle w:val="9"/>
        <w:spacing w:before="66"/>
        <w:ind w:left="0"/>
        <w:jc w:val="left"/>
        <w:rPr>
          <w:rFonts w:hint="eastAsia"/>
        </w:rPr>
      </w:pPr>
      <w:r>
        <w:rPr>
          <w:rFonts w:hint="eastAsia"/>
        </w:rPr>
        <w:t>如果是这样，那么以色列民族的末日归信确实是一个大预兆：预兆着主临（Parousia）、复活、审判和将来的世界都近了，正在门口了！</w:t>
      </w:r>
    </w:p>
    <w:p w14:paraId="678E9127">
      <w:pPr>
        <w:pStyle w:val="9"/>
        <w:spacing w:before="66"/>
        <w:ind w:left="0"/>
        <w:jc w:val="left"/>
        <w:rPr>
          <w:rFonts w:hint="eastAsia"/>
        </w:rPr>
      </w:pPr>
    </w:p>
    <w:p w14:paraId="52AF2D25">
      <w:pPr>
        <w:pStyle w:val="9"/>
        <w:spacing w:before="66"/>
        <w:ind w:left="0"/>
        <w:jc w:val="left"/>
        <w:rPr>
          <w:rFonts w:hint="eastAsia"/>
        </w:rPr>
      </w:pPr>
      <w:r>
        <w:rPr>
          <w:rFonts w:hint="eastAsia"/>
        </w:rPr>
        <w:t>The Mystery of the Wild Olive Tree (17-24)</w:t>
      </w:r>
    </w:p>
    <w:p w14:paraId="3C1A7BF6">
      <w:pPr>
        <w:pStyle w:val="9"/>
        <w:spacing w:before="66"/>
        <w:ind w:left="0"/>
        <w:jc w:val="left"/>
        <w:rPr>
          <w:rFonts w:hint="eastAsia"/>
        </w:rPr>
      </w:pPr>
      <w:r>
        <w:rPr>
          <w:rFonts w:hint="eastAsia"/>
        </w:rPr>
        <w:t>野橄榄树的奥秘（17-24）</w:t>
      </w:r>
    </w:p>
    <w:p w14:paraId="5FCA62E3">
      <w:pPr>
        <w:pStyle w:val="9"/>
        <w:spacing w:before="66"/>
        <w:ind w:left="0"/>
        <w:jc w:val="left"/>
        <w:rPr>
          <w:rFonts w:hint="eastAsia"/>
        </w:rPr>
      </w:pPr>
    </w:p>
    <w:p w14:paraId="2BB41142">
      <w:pPr>
        <w:pStyle w:val="9"/>
        <w:spacing w:before="66"/>
        <w:ind w:left="0"/>
        <w:jc w:val="left"/>
        <w:rPr>
          <w:rFonts w:hint="eastAsia"/>
        </w:rPr>
      </w:pPr>
      <w:r>
        <w:rPr>
          <w:rFonts w:hint="eastAsia"/>
        </w:rPr>
        <w:t>In verses 16-25 the apostle elaborates on these ideas, but with a special pastoral emphasis.</w:t>
      </w:r>
    </w:p>
    <w:p w14:paraId="4FEDABAC">
      <w:pPr>
        <w:pStyle w:val="9"/>
        <w:spacing w:before="66"/>
        <w:ind w:left="0"/>
        <w:jc w:val="left"/>
        <w:rPr>
          <w:rFonts w:hint="eastAsia"/>
        </w:rPr>
      </w:pPr>
      <w:r>
        <w:rPr>
          <w:rFonts w:hint="eastAsia"/>
        </w:rPr>
        <w:t>在第16-25节，使徒详细阐述了这些观念，但带着特别的教牧重点。</w:t>
      </w:r>
    </w:p>
    <w:p w14:paraId="63F19FF2">
      <w:pPr>
        <w:pStyle w:val="9"/>
        <w:spacing w:before="66"/>
        <w:ind w:left="0"/>
        <w:jc w:val="left"/>
        <w:rPr>
          <w:rFonts w:hint="eastAsia"/>
        </w:rPr>
      </w:pPr>
    </w:p>
    <w:p w14:paraId="035CE16F">
      <w:pPr>
        <w:pStyle w:val="9"/>
        <w:spacing w:before="66"/>
        <w:ind w:left="0"/>
        <w:jc w:val="left"/>
        <w:rPr>
          <w:rFonts w:hint="eastAsia"/>
        </w:rPr>
      </w:pPr>
      <w:r>
        <w:rPr>
          <w:rFonts w:hint="eastAsia"/>
        </w:rPr>
        <w:t>He desires that his Gentile readers should never become “puffed up” against ethnic Israel.</w:t>
      </w:r>
    </w:p>
    <w:p w14:paraId="268DC456">
      <w:pPr>
        <w:pStyle w:val="9"/>
        <w:spacing w:before="66"/>
        <w:ind w:left="0"/>
        <w:jc w:val="left"/>
        <w:rPr>
          <w:rFonts w:hint="eastAsia"/>
        </w:rPr>
      </w:pPr>
      <w:r>
        <w:rPr>
          <w:rFonts w:hint="eastAsia"/>
        </w:rPr>
        <w:t>他渴望他外邦的读者绝不可因以色列民族而“自高”。</w:t>
      </w:r>
    </w:p>
    <w:p w14:paraId="277812D7">
      <w:pPr>
        <w:pStyle w:val="9"/>
        <w:spacing w:before="66"/>
        <w:ind w:left="0"/>
        <w:jc w:val="left"/>
        <w:rPr>
          <w:rFonts w:hint="eastAsia"/>
        </w:rPr>
      </w:pPr>
    </w:p>
    <w:p w14:paraId="3190DF61">
      <w:pPr>
        <w:pStyle w:val="9"/>
        <w:spacing w:before="66"/>
        <w:ind w:left="0"/>
        <w:jc w:val="left"/>
        <w:rPr>
          <w:rFonts w:hint="eastAsia"/>
        </w:rPr>
      </w:pPr>
      <w:r>
        <w:rPr>
          <w:rFonts w:hint="eastAsia"/>
        </w:rPr>
        <w:t>To the contrary, he wants them fully to appreciate God’s “unfathomable” strategy for forming the Body of Christ, the gratuitousness of their salvation, his abiding love for ethnic Israel, and his ultimate purpose for the same, so that they (i.e., Gentile believers) may walk in due humility, gratitude, and holy fear with respect to their own salvation; and also in abiding love for—and ministry to—the Jews.</w:t>
      </w:r>
    </w:p>
    <w:p w14:paraId="1E87868F">
      <w:pPr>
        <w:pStyle w:val="9"/>
        <w:spacing w:before="66"/>
        <w:ind w:left="0"/>
        <w:jc w:val="left"/>
        <w:rPr>
          <w:rFonts w:hint="eastAsia"/>
        </w:rPr>
      </w:pPr>
      <w:r>
        <w:rPr>
          <w:rFonts w:hint="eastAsia"/>
        </w:rPr>
        <w:t>相反，他要他们完全地欣赏上帝为形成基督身体所定的“不可测度”的策略，他们救恩的白白恩典，祂对以色列民族持久的爱，以及祂对以色列民族的最终旨意，好叫他们（即外邦信徒）在他们自己的救恩上，能行在当有的谦卑、感恩和圣洁的敬畏中；也行在对犹太人持久的爱和事奉中。</w:t>
      </w:r>
    </w:p>
    <w:p w14:paraId="3C8250D2">
      <w:pPr>
        <w:pStyle w:val="9"/>
        <w:spacing w:before="66"/>
        <w:ind w:left="0"/>
        <w:jc w:val="left"/>
        <w:rPr>
          <w:rFonts w:hint="eastAsia"/>
        </w:rPr>
      </w:pPr>
    </w:p>
    <w:p w14:paraId="7C298D74">
      <w:pPr>
        <w:pStyle w:val="9"/>
        <w:spacing w:before="66"/>
        <w:ind w:left="0"/>
        <w:jc w:val="left"/>
        <w:rPr>
          <w:rFonts w:hint="eastAsia"/>
        </w:rPr>
      </w:pPr>
      <w:r>
        <w:rPr>
          <w:rFonts w:hint="eastAsia"/>
        </w:rPr>
        <w:t>He sounds this theme in verse 16: If the dough offered as first fruits is holy, so too is the whole lump; if the root is holy, so too are the branches.</w:t>
      </w:r>
    </w:p>
    <w:p w14:paraId="6946EE22">
      <w:pPr>
        <w:pStyle w:val="9"/>
        <w:spacing w:before="66"/>
        <w:ind w:left="0"/>
        <w:jc w:val="left"/>
        <w:rPr>
          <w:rFonts w:hint="eastAsia"/>
        </w:rPr>
      </w:pPr>
      <w:r>
        <w:rPr>
          <w:rFonts w:hint="eastAsia"/>
        </w:rPr>
        <w:t>他在第16节中提出了这个主题：若初熟的面是圣洁的，全团也就圣洁了；若树根是圣洁的，树枝也就圣洁了。</w:t>
      </w:r>
    </w:p>
    <w:p w14:paraId="122FF850">
      <w:pPr>
        <w:pStyle w:val="9"/>
        <w:spacing w:before="66"/>
        <w:ind w:left="0"/>
        <w:jc w:val="left"/>
        <w:rPr>
          <w:rFonts w:hint="eastAsia"/>
        </w:rPr>
      </w:pPr>
    </w:p>
    <w:p w14:paraId="18EF7712">
      <w:pPr>
        <w:pStyle w:val="9"/>
        <w:spacing w:before="66"/>
        <w:ind w:left="0"/>
        <w:jc w:val="left"/>
        <w:rPr>
          <w:rFonts w:hint="eastAsia"/>
        </w:rPr>
      </w:pPr>
      <w:r>
        <w:rPr>
          <w:rFonts w:hint="eastAsia"/>
        </w:rPr>
        <w:t>Though the words are cryptic, the context makes the meaning clear: If God regarded Abraham—the physical father of ethnic Israel—as holy, then surely he still regards Abraham’s children as holy.</w:t>
      </w:r>
    </w:p>
    <w:p w14:paraId="4866738C">
      <w:pPr>
        <w:pStyle w:val="9"/>
        <w:spacing w:before="66"/>
        <w:ind w:left="0"/>
        <w:jc w:val="left"/>
        <w:rPr>
          <w:rFonts w:hint="eastAsia"/>
        </w:rPr>
      </w:pPr>
      <w:r>
        <w:rPr>
          <w:rFonts w:hint="eastAsia"/>
        </w:rPr>
        <w:t>虽然这些话语是隐晦的，但上下文使意思清楚了：如果上帝将亚伯拉罕——以色列民族肉身的父亲——视为圣洁，那么祂肯定仍然将亚伯拉罕的子孙视为圣洁。</w:t>
      </w:r>
    </w:p>
    <w:p w14:paraId="2C3ABA3E">
      <w:pPr>
        <w:pStyle w:val="9"/>
        <w:spacing w:before="66"/>
        <w:ind w:left="0"/>
        <w:jc w:val="left"/>
        <w:rPr>
          <w:rFonts w:hint="eastAsia"/>
        </w:rPr>
      </w:pPr>
    </w:p>
    <w:p w14:paraId="1A15517B">
      <w:pPr>
        <w:pStyle w:val="9"/>
        <w:spacing w:before="66"/>
        <w:ind w:left="0"/>
        <w:jc w:val="left"/>
        <w:rPr>
          <w:rFonts w:hint="eastAsia"/>
        </w:rPr>
      </w:pPr>
      <w:r>
        <w:rPr>
          <w:rFonts w:hint="eastAsia"/>
        </w:rPr>
        <w:t>But how can this be, seeing that Israel is presently in large-scale unbelief?</w:t>
      </w:r>
    </w:p>
    <w:p w14:paraId="7E0B7994">
      <w:pPr>
        <w:pStyle w:val="9"/>
        <w:spacing w:before="66"/>
        <w:ind w:left="0"/>
        <w:jc w:val="left"/>
        <w:rPr>
          <w:rFonts w:hint="eastAsia"/>
        </w:rPr>
      </w:pPr>
      <w:r>
        <w:rPr>
          <w:rFonts w:hint="eastAsia"/>
        </w:rPr>
        <w:t>但既然以色列现今正处于大规模的不信之中，这又怎么可能呢？</w:t>
      </w:r>
    </w:p>
    <w:p w14:paraId="711FBC23">
      <w:pPr>
        <w:pStyle w:val="9"/>
        <w:spacing w:before="66"/>
        <w:ind w:left="0"/>
        <w:jc w:val="left"/>
        <w:rPr>
          <w:rFonts w:hint="eastAsia"/>
        </w:rPr>
      </w:pPr>
    </w:p>
    <w:p w14:paraId="6007545B">
      <w:pPr>
        <w:pStyle w:val="9"/>
        <w:spacing w:before="66"/>
        <w:ind w:left="0"/>
        <w:jc w:val="left"/>
        <w:rPr>
          <w:rFonts w:hint="eastAsia"/>
        </w:rPr>
      </w:pPr>
      <w:r>
        <w:rPr>
          <w:rFonts w:hint="eastAsia"/>
        </w:rPr>
        <w:t>Already, Paul has begun to unveil the answer: In God’s heart and in his redemptive plans he has set them apart.</w:t>
      </w:r>
    </w:p>
    <w:p w14:paraId="0E062822">
      <w:pPr>
        <w:pStyle w:val="9"/>
        <w:spacing w:before="66"/>
        <w:ind w:left="0"/>
        <w:jc w:val="left"/>
        <w:rPr>
          <w:rFonts w:hint="eastAsia"/>
        </w:rPr>
      </w:pPr>
      <w:r>
        <w:rPr>
          <w:rFonts w:hint="eastAsia"/>
        </w:rPr>
        <w:t>保罗已经开始揭示答案：在上帝的心中和祂的救赎计划中，祂已将他们分别出来。</w:t>
      </w:r>
    </w:p>
    <w:p w14:paraId="7E0C0A87">
      <w:pPr>
        <w:pStyle w:val="9"/>
        <w:spacing w:before="66"/>
        <w:ind w:left="0"/>
        <w:jc w:val="left"/>
        <w:rPr>
          <w:rFonts w:hint="eastAsia"/>
        </w:rPr>
      </w:pPr>
    </w:p>
    <w:p w14:paraId="575ABD6D">
      <w:pPr>
        <w:pStyle w:val="9"/>
        <w:spacing w:before="66"/>
        <w:ind w:left="0"/>
        <w:jc w:val="left"/>
        <w:rPr>
          <w:rFonts w:hint="eastAsia"/>
        </w:rPr>
      </w:pPr>
      <w:r>
        <w:rPr>
          <w:rFonts w:hint="eastAsia"/>
        </w:rPr>
        <w:t>He is not done with them.</w:t>
      </w:r>
    </w:p>
    <w:p w14:paraId="3BD7343A">
      <w:pPr>
        <w:pStyle w:val="9"/>
        <w:spacing w:before="66"/>
        <w:ind w:left="0"/>
        <w:jc w:val="left"/>
        <w:rPr>
          <w:rFonts w:hint="eastAsia"/>
        </w:rPr>
      </w:pPr>
      <w:r>
        <w:rPr>
          <w:rFonts w:hint="eastAsia"/>
        </w:rPr>
        <w:t>祂对他们的工作尚未完成。</w:t>
      </w:r>
    </w:p>
    <w:p w14:paraId="1EF3F514">
      <w:pPr>
        <w:pStyle w:val="9"/>
        <w:spacing w:before="66"/>
        <w:ind w:left="0"/>
        <w:jc w:val="left"/>
        <w:rPr>
          <w:rFonts w:hint="eastAsia"/>
        </w:rPr>
      </w:pPr>
    </w:p>
    <w:p w14:paraId="7379B8D2">
      <w:pPr>
        <w:pStyle w:val="9"/>
        <w:spacing w:before="66"/>
        <w:ind w:left="0"/>
        <w:jc w:val="left"/>
        <w:rPr>
          <w:rFonts w:hint="eastAsia"/>
        </w:rPr>
      </w:pPr>
      <w:r>
        <w:rPr>
          <w:rFonts w:hint="eastAsia"/>
        </w:rPr>
        <w:t>Abraham’s salvation was, as it were, a guarantee of great things to come: the salvation of “the whole lump,” the restoration of beloved “branches” temporarily broken off.</w:t>
      </w:r>
    </w:p>
    <w:p w14:paraId="71091016">
      <w:pPr>
        <w:pStyle w:val="9"/>
        <w:spacing w:before="66"/>
        <w:ind w:left="0"/>
        <w:jc w:val="left"/>
        <w:rPr>
          <w:rFonts w:hint="eastAsia"/>
        </w:rPr>
      </w:pPr>
      <w:r>
        <w:rPr>
          <w:rFonts w:hint="eastAsia"/>
        </w:rPr>
        <w:t>亚伯拉罕的得救，可以说是将要来临之大事的保证：即“全团”的得救，暂时被折断的蒙爱“枝子”的恢复。</w:t>
      </w:r>
    </w:p>
    <w:p w14:paraId="564243C0">
      <w:pPr>
        <w:pStyle w:val="9"/>
        <w:spacing w:before="66"/>
        <w:ind w:left="0"/>
        <w:jc w:val="left"/>
        <w:rPr>
          <w:rFonts w:hint="eastAsia"/>
        </w:rPr>
      </w:pPr>
    </w:p>
    <w:p w14:paraId="4F757112">
      <w:pPr>
        <w:pStyle w:val="9"/>
        <w:spacing w:before="66"/>
        <w:ind w:left="0"/>
        <w:jc w:val="left"/>
        <w:rPr>
          <w:rFonts w:hint="eastAsia"/>
        </w:rPr>
      </w:pPr>
      <w:r>
        <w:rPr>
          <w:rFonts w:hint="eastAsia"/>
        </w:rPr>
        <w:t>Very much liking the metaphor of the olive tree, Paul now develops this motif at some length (17-24).</w:t>
      </w:r>
    </w:p>
    <w:p w14:paraId="6D2982C6">
      <w:pPr>
        <w:pStyle w:val="9"/>
        <w:spacing w:before="66"/>
        <w:ind w:left="0"/>
        <w:jc w:val="left"/>
        <w:rPr>
          <w:rFonts w:hint="eastAsia"/>
        </w:rPr>
      </w:pPr>
      <w:r>
        <w:rPr>
          <w:rFonts w:hint="eastAsia"/>
        </w:rPr>
        <w:t>保罗非常喜欢橄榄树的比喻，现在他相当详细地发展了这个母题（17-24）。</w:t>
      </w:r>
    </w:p>
    <w:p w14:paraId="2CB9D750">
      <w:pPr>
        <w:pStyle w:val="9"/>
        <w:spacing w:before="66"/>
        <w:ind w:left="0"/>
        <w:jc w:val="left"/>
        <w:rPr>
          <w:rFonts w:hint="eastAsia"/>
        </w:rPr>
      </w:pPr>
    </w:p>
    <w:p w14:paraId="6A93FCCE">
      <w:pPr>
        <w:pStyle w:val="9"/>
        <w:spacing w:before="66"/>
        <w:ind w:left="0"/>
        <w:jc w:val="left"/>
        <w:rPr>
          <w:rFonts w:hint="eastAsia"/>
        </w:rPr>
      </w:pPr>
      <w:r>
        <w:rPr>
          <w:rFonts w:hint="eastAsia"/>
        </w:rPr>
        <w:t>In verses 17-18 he asks: “How appropriate is it for you Gentiles to be puffed up against poor fallen Israel, when the Jews belong naturally to the divinely cultivated tree that is Abraham’s family, whereas you, like branches cut from a wild olive tree, have been grafted into Abraham’s tree ‘contrary to nature’ (24; 9:3-5)?</w:t>
      </w:r>
    </w:p>
    <w:p w14:paraId="760CCEB7">
      <w:pPr>
        <w:pStyle w:val="9"/>
        <w:spacing w:before="66"/>
        <w:ind w:left="0"/>
        <w:jc w:val="left"/>
        <w:rPr>
          <w:rFonts w:hint="eastAsia"/>
        </w:rPr>
      </w:pPr>
      <w:r>
        <w:rPr>
          <w:rFonts w:hint="eastAsia"/>
        </w:rPr>
        <w:t>在第17-18节，他问道：“你们外邦人对可怜堕落的以色列自高，这又有多合适呢？犹太人本是属于那神所栽培的树，就是亚伯拉罕的家，而你们，就像从野橄榄树上砍下来的枝子，被‘逆着性’接在亚伯拉罕的树上（24；9:3-5）？”</w:t>
      </w:r>
    </w:p>
    <w:p w14:paraId="79B5426E">
      <w:pPr>
        <w:pStyle w:val="9"/>
        <w:spacing w:before="66"/>
        <w:ind w:left="0"/>
        <w:jc w:val="left"/>
        <w:rPr>
          <w:rFonts w:hint="eastAsia"/>
        </w:rPr>
      </w:pPr>
    </w:p>
    <w:p w14:paraId="7A0997FA">
      <w:pPr>
        <w:pStyle w:val="9"/>
        <w:spacing w:before="66"/>
        <w:ind w:left="0"/>
        <w:jc w:val="left"/>
        <w:rPr>
          <w:rFonts w:hint="eastAsia"/>
        </w:rPr>
      </w:pPr>
      <w:r>
        <w:rPr>
          <w:rFonts w:hint="eastAsia"/>
        </w:rPr>
        <w:t>Moreover, if you are not yet duly impressed by the sheer gratuitousness of your salvation, then consider this as well: God did not launch and develop his redemptive program for the world from among you Gentiles.</w:t>
      </w:r>
    </w:p>
    <w:p w14:paraId="73F3D56F">
      <w:pPr>
        <w:pStyle w:val="9"/>
        <w:spacing w:before="66"/>
        <w:ind w:left="0"/>
        <w:jc w:val="left"/>
        <w:rPr>
          <w:rFonts w:hint="eastAsia"/>
        </w:rPr>
      </w:pPr>
      <w:r>
        <w:rPr>
          <w:rFonts w:hint="eastAsia"/>
        </w:rPr>
        <w:t>此外，如果你们对你们救恩的全然白白恩典尚未留下应有的深刻印象，那么也请思考这一点：上帝并非从你们外邦人中间发起并发展祂对世界的救赎计划。</w:t>
      </w:r>
    </w:p>
    <w:p w14:paraId="5AC091D4">
      <w:pPr>
        <w:pStyle w:val="9"/>
        <w:spacing w:before="66"/>
        <w:ind w:left="0"/>
        <w:jc w:val="left"/>
        <w:rPr>
          <w:rFonts w:hint="eastAsia"/>
        </w:rPr>
      </w:pPr>
    </w:p>
    <w:p w14:paraId="78858B92">
      <w:pPr>
        <w:pStyle w:val="9"/>
        <w:spacing w:before="66"/>
        <w:ind w:left="0"/>
        <w:jc w:val="left"/>
        <w:rPr>
          <w:rFonts w:hint="eastAsia"/>
        </w:rPr>
      </w:pPr>
      <w:r>
        <w:rPr>
          <w:rFonts w:hint="eastAsia"/>
        </w:rPr>
        <w:t>No, he launched it from father Abraham, and developed it among Isaac, Jacob, Moses, and David; he launched and developed it from the Jewish ‘root’ that in these last days, by God’s mere good pleasure, presently supports you in your saving faith in Christ (Eph. 2:11-13)!”</w:t>
      </w:r>
    </w:p>
    <w:p w14:paraId="6D23DE82">
      <w:pPr>
        <w:pStyle w:val="9"/>
        <w:spacing w:before="66"/>
        <w:ind w:left="0"/>
        <w:jc w:val="left"/>
        <w:rPr>
          <w:rFonts w:hint="eastAsia"/>
        </w:rPr>
      </w:pPr>
      <w:r>
        <w:rPr>
          <w:rFonts w:hint="eastAsia"/>
        </w:rPr>
        <w:t>不，祂是从父亚伯拉罕那里发起的，并在以撒、雅各、摩西和大卫中间发展的；祂是从那犹太人的‘根’那里发起并发展的，在这末后的日子里，只凭上帝的美意，现在在你们对基督的得救信心中支持你们（弗2:11-13）！”</w:t>
      </w:r>
    </w:p>
    <w:p w14:paraId="10E33C79">
      <w:pPr>
        <w:pStyle w:val="9"/>
        <w:spacing w:before="66"/>
        <w:ind w:left="0"/>
        <w:jc w:val="left"/>
        <w:rPr>
          <w:rFonts w:hint="eastAsia"/>
        </w:rPr>
      </w:pPr>
    </w:p>
    <w:p w14:paraId="5FCB532B">
      <w:pPr>
        <w:pStyle w:val="9"/>
        <w:spacing w:before="66"/>
        <w:ind w:left="0"/>
        <w:jc w:val="left"/>
        <w:rPr>
          <w:rFonts w:hint="eastAsia"/>
        </w:rPr>
      </w:pPr>
      <w:r>
        <w:rPr>
          <w:rFonts w:hint="eastAsia"/>
        </w:rPr>
        <w:t>In a moment, Paul will bring this line of reasoning to its conclusion, but already it is easy to see what the conclusion will be: “Since it is only natural for the natural branches to belong to the cultivated olive tree, it is certain that one day soon they will!”</w:t>
      </w:r>
    </w:p>
    <w:p w14:paraId="7C8ACC67">
      <w:pPr>
        <w:pStyle w:val="9"/>
        <w:spacing w:before="66"/>
        <w:ind w:left="0"/>
        <w:jc w:val="left"/>
        <w:rPr>
          <w:rFonts w:hint="eastAsia"/>
        </w:rPr>
      </w:pPr>
      <w:r>
        <w:rPr>
          <w:rFonts w:hint="eastAsia"/>
        </w:rPr>
        <w:t>稍后，保罗将把这一推理引向其结论，但现在已经很容易看出结论将是什么：“既然本枝归于栽种的橄榄树是自然不过的事，那么可以肯定，不久的将来他们必会如此！”</w:t>
      </w:r>
    </w:p>
    <w:p w14:paraId="113102A6">
      <w:pPr>
        <w:pStyle w:val="9"/>
        <w:spacing w:before="66"/>
        <w:ind w:left="0"/>
        <w:jc w:val="left"/>
        <w:rPr>
          <w:rFonts w:hint="eastAsia"/>
        </w:rPr>
      </w:pPr>
    </w:p>
    <w:p w14:paraId="292CFB17">
      <w:pPr>
        <w:pStyle w:val="9"/>
        <w:spacing w:before="66"/>
        <w:ind w:left="0"/>
        <w:jc w:val="left"/>
        <w:rPr>
          <w:rFonts w:hint="eastAsia"/>
        </w:rPr>
      </w:pPr>
      <w:r>
        <w:rPr>
          <w:rFonts w:hint="eastAsia"/>
        </w:rPr>
        <w:t>Anticipating persistent Gentile contempt for unbelieving Israel, Paul uses verses 19-22 to bring yet another argument, and to unveil yet another (aspect of the) mystery.</w:t>
      </w:r>
    </w:p>
    <w:p w14:paraId="36D8CE9C">
      <w:pPr>
        <w:pStyle w:val="9"/>
        <w:spacing w:before="66"/>
        <w:ind w:left="0"/>
        <w:jc w:val="left"/>
        <w:rPr>
          <w:rFonts w:hint="eastAsia"/>
        </w:rPr>
      </w:pPr>
      <w:r>
        <w:rPr>
          <w:rFonts w:hint="eastAsia"/>
        </w:rPr>
        <w:t>预料到外邦人对不信的以色列持续的藐视，保罗在第19-22节中提出了另一个论点，并揭示了另一个（方面的）奥秘。</w:t>
      </w:r>
    </w:p>
    <w:p w14:paraId="2704DC7D">
      <w:pPr>
        <w:pStyle w:val="9"/>
        <w:spacing w:before="66"/>
        <w:ind w:left="0"/>
        <w:jc w:val="left"/>
        <w:rPr>
          <w:rFonts w:hint="eastAsia"/>
        </w:rPr>
      </w:pPr>
    </w:p>
    <w:p w14:paraId="3C169B34">
      <w:pPr>
        <w:pStyle w:val="9"/>
        <w:spacing w:before="66"/>
        <w:ind w:left="0"/>
        <w:jc w:val="left"/>
        <w:rPr>
          <w:rFonts w:hint="eastAsia"/>
        </w:rPr>
      </w:pPr>
      <w:r>
        <w:rPr>
          <w:rFonts w:hint="eastAsia"/>
        </w:rPr>
        <w:t>Yes, it is true that Jewish branches were broken off so that Gentile branches could be grafted in (19).</w:t>
      </w:r>
    </w:p>
    <w:p w14:paraId="076A3175">
      <w:pPr>
        <w:pStyle w:val="9"/>
        <w:spacing w:before="66"/>
        <w:ind w:left="0"/>
        <w:jc w:val="left"/>
        <w:rPr>
          <w:rFonts w:hint="eastAsia"/>
        </w:rPr>
      </w:pPr>
      <w:r>
        <w:rPr>
          <w:rFonts w:hint="eastAsia"/>
        </w:rPr>
        <w:t>是的，犹太枝子被折下来，好叫外邦枝子得以接上，这是真的（19）。</w:t>
      </w:r>
    </w:p>
    <w:p w14:paraId="3E492CC0">
      <w:pPr>
        <w:pStyle w:val="9"/>
        <w:spacing w:before="66"/>
        <w:ind w:left="0"/>
        <w:jc w:val="left"/>
        <w:rPr>
          <w:rFonts w:hint="eastAsia"/>
        </w:rPr>
      </w:pPr>
    </w:p>
    <w:p w14:paraId="4E6160DC">
      <w:pPr>
        <w:pStyle w:val="9"/>
        <w:spacing w:before="66"/>
        <w:ind w:left="0"/>
        <w:jc w:val="left"/>
        <w:rPr>
          <w:rFonts w:hint="eastAsia"/>
        </w:rPr>
      </w:pPr>
      <w:r>
        <w:rPr>
          <w:rFonts w:hint="eastAsia"/>
        </w:rPr>
        <w:t>But why should this be an occasion for Gentile haughtiness?</w:t>
      </w:r>
    </w:p>
    <w:p w14:paraId="39AF4FC0">
      <w:pPr>
        <w:pStyle w:val="9"/>
        <w:spacing w:before="66"/>
        <w:ind w:left="0"/>
        <w:jc w:val="left"/>
        <w:rPr>
          <w:rFonts w:hint="eastAsia"/>
        </w:rPr>
      </w:pPr>
      <w:r>
        <w:rPr>
          <w:rFonts w:hint="eastAsia"/>
        </w:rPr>
        <w:t>但这为何应成为外邦人骄傲的理由呢？</w:t>
      </w:r>
    </w:p>
    <w:p w14:paraId="21B3D063">
      <w:pPr>
        <w:pStyle w:val="9"/>
        <w:spacing w:before="66"/>
        <w:ind w:left="0"/>
        <w:jc w:val="left"/>
        <w:rPr>
          <w:rFonts w:hint="eastAsia"/>
        </w:rPr>
      </w:pPr>
    </w:p>
    <w:p w14:paraId="25F653D4">
      <w:pPr>
        <w:pStyle w:val="9"/>
        <w:spacing w:before="66"/>
        <w:ind w:left="0"/>
        <w:jc w:val="left"/>
        <w:rPr>
          <w:rFonts w:hint="eastAsia"/>
        </w:rPr>
      </w:pPr>
      <w:r>
        <w:rPr>
          <w:rFonts w:hint="eastAsia"/>
        </w:rPr>
        <w:t>Who, after all, left Israel in (temporary) unbelief (11:7)?</w:t>
      </w:r>
    </w:p>
    <w:p w14:paraId="46556CB2">
      <w:pPr>
        <w:pStyle w:val="9"/>
        <w:spacing w:before="66"/>
        <w:ind w:left="0"/>
        <w:jc w:val="left"/>
        <w:rPr>
          <w:rFonts w:hint="eastAsia"/>
        </w:rPr>
      </w:pPr>
      <w:r>
        <w:rPr>
          <w:rFonts w:hint="eastAsia"/>
        </w:rPr>
        <w:t>毕竟，是谁让以色列（暂时地）留在不信中（11:7）？</w:t>
      </w:r>
    </w:p>
    <w:p w14:paraId="432D4239">
      <w:pPr>
        <w:pStyle w:val="9"/>
        <w:spacing w:before="66"/>
        <w:ind w:left="0"/>
        <w:jc w:val="left"/>
        <w:rPr>
          <w:rFonts w:hint="eastAsia"/>
        </w:rPr>
      </w:pPr>
    </w:p>
    <w:p w14:paraId="30BF10B9">
      <w:pPr>
        <w:pStyle w:val="9"/>
        <w:spacing w:before="66"/>
        <w:ind w:left="0"/>
        <w:jc w:val="left"/>
        <w:rPr>
          <w:rFonts w:hint="eastAsia"/>
        </w:rPr>
      </w:pPr>
      <w:r>
        <w:rPr>
          <w:rFonts w:hint="eastAsia"/>
        </w:rPr>
        <w:t>And who, after all, granted the Gentiles the grace of faith (20; 9:16; Eph. 2:8-9)?</w:t>
      </w:r>
    </w:p>
    <w:p w14:paraId="43BE24DD">
      <w:pPr>
        <w:pStyle w:val="9"/>
        <w:spacing w:before="66"/>
        <w:ind w:left="0"/>
        <w:jc w:val="left"/>
        <w:rPr>
          <w:rFonts w:hint="eastAsia"/>
        </w:rPr>
      </w:pPr>
      <w:r>
        <w:rPr>
          <w:rFonts w:hint="eastAsia"/>
        </w:rPr>
        <w:t>毕竟，又是谁将信心的恩典赐给外邦人（20；9:16；弗2:8-9）？</w:t>
      </w:r>
    </w:p>
    <w:p w14:paraId="59CF1F46">
      <w:pPr>
        <w:pStyle w:val="9"/>
        <w:spacing w:before="66"/>
        <w:ind w:left="0"/>
        <w:jc w:val="left"/>
        <w:rPr>
          <w:rFonts w:hint="eastAsia"/>
        </w:rPr>
      </w:pPr>
    </w:p>
    <w:p w14:paraId="067837AA">
      <w:pPr>
        <w:pStyle w:val="9"/>
        <w:spacing w:before="66"/>
        <w:ind w:left="0"/>
        <w:jc w:val="left"/>
        <w:rPr>
          <w:rFonts w:hint="eastAsia"/>
        </w:rPr>
      </w:pPr>
      <w:r>
        <w:rPr>
          <w:rFonts w:hint="eastAsia"/>
        </w:rPr>
        <w:t>The answer is clear.</w:t>
      </w:r>
    </w:p>
    <w:p w14:paraId="1088433F">
      <w:pPr>
        <w:pStyle w:val="9"/>
        <w:spacing w:before="66"/>
        <w:ind w:left="0"/>
        <w:jc w:val="left"/>
        <w:rPr>
          <w:rFonts w:hint="eastAsia"/>
        </w:rPr>
      </w:pPr>
      <w:r>
        <w:rPr>
          <w:rFonts w:hint="eastAsia"/>
        </w:rPr>
        <w:t>答案是清楚的。</w:t>
      </w:r>
    </w:p>
    <w:p w14:paraId="11E201EB">
      <w:pPr>
        <w:pStyle w:val="9"/>
        <w:spacing w:before="66"/>
        <w:ind w:left="0"/>
        <w:jc w:val="left"/>
        <w:rPr>
          <w:rFonts w:hint="eastAsia"/>
        </w:rPr>
      </w:pPr>
    </w:p>
    <w:p w14:paraId="08AF0FD0">
      <w:pPr>
        <w:pStyle w:val="9"/>
        <w:spacing w:before="66"/>
        <w:ind w:left="0"/>
        <w:jc w:val="left"/>
        <w:rPr>
          <w:rFonts w:hint="eastAsia"/>
        </w:rPr>
      </w:pPr>
      <w:r>
        <w:rPr>
          <w:rFonts w:hint="eastAsia"/>
        </w:rPr>
        <w:t>But in case they doubt God’s absolute sovereignty in salvation, let puffed up Gentiles consider this mystery as well: Just as God has broken off Jewish branches in order to make room for Gentile branches, so too in days ahead will he break off Gentile branches in order to make room for Jewish (20-21)!</w:t>
      </w:r>
    </w:p>
    <w:p w14:paraId="752F1794">
      <w:pPr>
        <w:pStyle w:val="9"/>
        <w:spacing w:before="66"/>
        <w:ind w:left="0"/>
        <w:jc w:val="left"/>
        <w:rPr>
          <w:rFonts w:hint="eastAsia"/>
        </w:rPr>
      </w:pPr>
      <w:r>
        <w:rPr>
          <w:rFonts w:hint="eastAsia"/>
        </w:rPr>
        <w:t>但万一他们怀疑上帝在救恩中的绝对主权，让那些骄傲的外邦人也思想这个奥秘：正如上帝折下犹太的枝子为要给外邦的枝子腾出地方，同样在将来的日子里，祂也将折下外邦的枝子为要给犹太的枝子腾出地方（20-21）！</w:t>
      </w:r>
    </w:p>
    <w:p w14:paraId="1B2567BB">
      <w:pPr>
        <w:pStyle w:val="9"/>
        <w:spacing w:before="66"/>
        <w:ind w:left="0"/>
        <w:jc w:val="left"/>
        <w:rPr>
          <w:rFonts w:hint="eastAsia"/>
        </w:rPr>
      </w:pPr>
    </w:p>
    <w:p w14:paraId="05C8B4FE">
      <w:pPr>
        <w:pStyle w:val="9"/>
        <w:spacing w:before="66"/>
        <w:ind w:left="0"/>
        <w:jc w:val="left"/>
        <w:rPr>
          <w:rFonts w:hint="eastAsia"/>
        </w:rPr>
      </w:pPr>
      <w:r>
        <w:rPr>
          <w:rFonts w:hint="eastAsia"/>
        </w:rPr>
        <w:t>For modern Christians living in the West, this is a sobering thought indeed: The ingathering of ethnic Israel will apparently be preceded by the large-scale collapse of historic Christendom (Luke 18:8).</w:t>
      </w:r>
    </w:p>
    <w:p w14:paraId="4C5B8D7F">
      <w:pPr>
        <w:pStyle w:val="9"/>
        <w:spacing w:before="66"/>
        <w:ind w:left="0"/>
        <w:jc w:val="left"/>
        <w:rPr>
          <w:rFonts w:hint="eastAsia"/>
        </w:rPr>
      </w:pPr>
      <w:r>
        <w:rPr>
          <w:rFonts w:hint="eastAsia"/>
        </w:rPr>
        <w:t>对生活在西方的现代基督徒而言，这确实是一个令人警醒的想法：以色列民族的招聚显然将以历史性基督教世界的大规模崩溃为前奏（路加福音18:8）。</w:t>
      </w:r>
    </w:p>
    <w:p w14:paraId="46275B95">
      <w:pPr>
        <w:pStyle w:val="9"/>
        <w:spacing w:before="66"/>
        <w:ind w:left="0"/>
        <w:jc w:val="left"/>
        <w:rPr>
          <w:rFonts w:hint="eastAsia"/>
        </w:rPr>
      </w:pPr>
    </w:p>
    <w:p w14:paraId="0B0C6D3C">
      <w:pPr>
        <w:pStyle w:val="9"/>
        <w:spacing w:before="66"/>
        <w:ind w:left="0"/>
        <w:jc w:val="left"/>
        <w:rPr>
          <w:rFonts w:hint="eastAsia"/>
        </w:rPr>
      </w:pPr>
      <w:r>
        <w:rPr>
          <w:rFonts w:hint="eastAsia"/>
        </w:rPr>
        <w:t>Therefore, let every Gentile believer in Jesus humble himself.</w:t>
      </w:r>
    </w:p>
    <w:p w14:paraId="09FCC73A">
      <w:pPr>
        <w:pStyle w:val="9"/>
        <w:spacing w:before="66"/>
        <w:ind w:left="0"/>
        <w:jc w:val="left"/>
        <w:rPr>
          <w:rFonts w:hint="eastAsia"/>
        </w:rPr>
      </w:pPr>
      <w:r>
        <w:rPr>
          <w:rFonts w:hint="eastAsia"/>
        </w:rPr>
        <w:t>因此，愿每一位信耶稣的外邦人都谦卑自己。</w:t>
      </w:r>
    </w:p>
    <w:p w14:paraId="5F9E4850">
      <w:pPr>
        <w:pStyle w:val="9"/>
        <w:spacing w:before="66"/>
        <w:ind w:left="0"/>
        <w:jc w:val="left"/>
        <w:rPr>
          <w:rFonts w:hint="eastAsia"/>
        </w:rPr>
      </w:pPr>
    </w:p>
    <w:p w14:paraId="2BE3DB2B">
      <w:pPr>
        <w:pStyle w:val="9"/>
        <w:spacing w:before="66"/>
        <w:ind w:left="0"/>
        <w:jc w:val="left"/>
        <w:rPr>
          <w:rFonts w:hint="eastAsia"/>
        </w:rPr>
      </w:pPr>
      <w:r>
        <w:rPr>
          <w:rFonts w:hint="eastAsia"/>
        </w:rPr>
        <w:t>Let him cultivate holy fear, gratitude, and compassion.</w:t>
      </w:r>
    </w:p>
    <w:p w14:paraId="391CA319">
      <w:pPr>
        <w:pStyle w:val="9"/>
        <w:spacing w:before="66"/>
        <w:ind w:left="0"/>
        <w:jc w:val="left"/>
        <w:rPr>
          <w:rFonts w:hint="eastAsia"/>
        </w:rPr>
      </w:pPr>
      <w:r>
        <w:rPr>
          <w:rFonts w:hint="eastAsia"/>
        </w:rPr>
        <w:t>愿祂培养圣洁的敬畏、感恩和怜悯。</w:t>
      </w:r>
    </w:p>
    <w:p w14:paraId="6AA278FC">
      <w:pPr>
        <w:pStyle w:val="9"/>
        <w:spacing w:before="66"/>
        <w:ind w:left="0"/>
        <w:jc w:val="left"/>
        <w:rPr>
          <w:rFonts w:hint="eastAsia"/>
        </w:rPr>
      </w:pPr>
    </w:p>
    <w:p w14:paraId="44A4880F">
      <w:pPr>
        <w:pStyle w:val="9"/>
        <w:spacing w:before="66"/>
        <w:ind w:left="0"/>
        <w:jc w:val="left"/>
        <w:rPr>
          <w:rFonts w:hint="eastAsia"/>
        </w:rPr>
      </w:pPr>
      <w:r>
        <w:rPr>
          <w:rFonts w:hint="eastAsia"/>
        </w:rPr>
        <w:t>And by all means, let him continue in God’s kindness, lest he too should fall (20, 22).</w:t>
      </w:r>
    </w:p>
    <w:p w14:paraId="0766E398">
      <w:pPr>
        <w:pStyle w:val="9"/>
        <w:spacing w:before="66"/>
        <w:ind w:left="0"/>
        <w:jc w:val="left"/>
        <w:rPr>
          <w:rFonts w:hint="eastAsia"/>
        </w:rPr>
      </w:pPr>
      <w:r>
        <w:rPr>
          <w:rFonts w:hint="eastAsia"/>
        </w:rPr>
        <w:t>无论如何，愿祂常在上帝的恩慈里，免得祂也跌倒（20, 22）。</w:t>
      </w:r>
    </w:p>
    <w:p w14:paraId="72040362">
      <w:pPr>
        <w:pStyle w:val="9"/>
        <w:spacing w:before="66"/>
        <w:ind w:left="0"/>
        <w:jc w:val="left"/>
        <w:rPr>
          <w:rFonts w:hint="eastAsia"/>
        </w:rPr>
      </w:pPr>
    </w:p>
    <w:p w14:paraId="6EDEC898">
      <w:pPr>
        <w:pStyle w:val="9"/>
        <w:spacing w:before="66"/>
        <w:ind w:left="0"/>
        <w:jc w:val="left"/>
        <w:rPr>
          <w:rFonts w:hint="eastAsia"/>
        </w:rPr>
      </w:pPr>
      <w:r>
        <w:rPr>
          <w:rFonts w:hint="eastAsia"/>
        </w:rPr>
        <w:t>In verses 23-24, Paul prepares us for the full unveiling of the mystery of God’s plan for ethnic Israel.</w:t>
      </w:r>
    </w:p>
    <w:p w14:paraId="5B7E68A3">
      <w:pPr>
        <w:pStyle w:val="9"/>
        <w:spacing w:before="66"/>
        <w:ind w:left="0"/>
        <w:jc w:val="left"/>
        <w:rPr>
          <w:rFonts w:hint="eastAsia"/>
        </w:rPr>
      </w:pPr>
      <w:r>
        <w:rPr>
          <w:rFonts w:hint="eastAsia"/>
        </w:rPr>
        <w:t>在第23-24节，保罗为我们预备了上帝对以色列民族计划奥秘的完全揭示。</w:t>
      </w:r>
    </w:p>
    <w:p w14:paraId="0E4FEA52">
      <w:pPr>
        <w:pStyle w:val="9"/>
        <w:spacing w:before="66"/>
        <w:ind w:left="0"/>
        <w:jc w:val="left"/>
        <w:rPr>
          <w:rFonts w:hint="eastAsia"/>
        </w:rPr>
      </w:pPr>
    </w:p>
    <w:p w14:paraId="212C25D3">
      <w:pPr>
        <w:pStyle w:val="9"/>
        <w:spacing w:before="66"/>
        <w:ind w:left="0"/>
        <w:jc w:val="left"/>
        <w:rPr>
          <w:rFonts w:hint="eastAsia"/>
        </w:rPr>
      </w:pPr>
      <w:r>
        <w:rPr>
          <w:rFonts w:hint="eastAsia"/>
        </w:rPr>
        <w:t>Their current unbelief is not set in stone (23).</w:t>
      </w:r>
    </w:p>
    <w:p w14:paraId="06599B61">
      <w:pPr>
        <w:pStyle w:val="9"/>
        <w:spacing w:before="66"/>
        <w:ind w:left="0"/>
        <w:jc w:val="left"/>
        <w:rPr>
          <w:rFonts w:hint="eastAsia"/>
        </w:rPr>
      </w:pPr>
      <w:r>
        <w:rPr>
          <w:rFonts w:hint="eastAsia"/>
        </w:rPr>
        <w:t>他们现今的不信并非一成不变（23）。</w:t>
      </w:r>
    </w:p>
    <w:p w14:paraId="477BCBA6">
      <w:pPr>
        <w:pStyle w:val="9"/>
        <w:spacing w:before="66"/>
        <w:ind w:left="0"/>
        <w:jc w:val="left"/>
        <w:rPr>
          <w:rFonts w:hint="eastAsia"/>
        </w:rPr>
      </w:pPr>
    </w:p>
    <w:p w14:paraId="1D7FBBAE">
      <w:pPr>
        <w:pStyle w:val="9"/>
        <w:spacing w:before="66"/>
        <w:ind w:left="0"/>
        <w:jc w:val="left"/>
        <w:rPr>
          <w:rFonts w:hint="eastAsia"/>
        </w:rPr>
      </w:pPr>
      <w:r>
        <w:rPr>
          <w:rFonts w:hint="eastAsia"/>
        </w:rPr>
        <w:t>God is well able to graft them in again (23).</w:t>
      </w:r>
    </w:p>
    <w:p w14:paraId="77CF5358">
      <w:pPr>
        <w:pStyle w:val="9"/>
        <w:spacing w:before="66"/>
        <w:ind w:left="0"/>
        <w:jc w:val="left"/>
        <w:rPr>
          <w:rFonts w:hint="eastAsia"/>
        </w:rPr>
      </w:pPr>
      <w:r>
        <w:rPr>
          <w:rFonts w:hint="eastAsia"/>
        </w:rPr>
        <w:t>上帝能把他们再接上（23）。</w:t>
      </w:r>
    </w:p>
    <w:p w14:paraId="343CF611">
      <w:pPr>
        <w:pStyle w:val="9"/>
        <w:spacing w:before="66"/>
        <w:ind w:left="0"/>
        <w:jc w:val="left"/>
        <w:rPr>
          <w:rFonts w:hint="eastAsia"/>
        </w:rPr>
      </w:pPr>
    </w:p>
    <w:p w14:paraId="2C6A351B">
      <w:pPr>
        <w:pStyle w:val="9"/>
        <w:spacing w:before="66"/>
        <w:ind w:left="0"/>
        <w:jc w:val="left"/>
        <w:rPr>
          <w:rFonts w:hint="eastAsia"/>
        </w:rPr>
      </w:pPr>
      <w:r>
        <w:rPr>
          <w:rFonts w:hint="eastAsia"/>
        </w:rPr>
        <w:t>Moreover, we are wise to expect that he will graft them in again, seeing that they, unlike the Gentiles, belong naturally in the cultivated olive tree that is the family of father Abraham (24).</w:t>
      </w:r>
    </w:p>
    <w:p w14:paraId="6982F5D1">
      <w:pPr>
        <w:pStyle w:val="9"/>
        <w:spacing w:before="66"/>
        <w:ind w:left="0"/>
        <w:jc w:val="left"/>
        <w:rPr>
          <w:rFonts w:hint="eastAsia"/>
        </w:rPr>
      </w:pPr>
      <w:r>
        <w:rPr>
          <w:rFonts w:hint="eastAsia"/>
        </w:rPr>
        <w:t>此外，我们期望祂将他们再接上是明智的，因为他们，不像外邦人，本是属于那栽种的橄榄树，就是父亚伯拉罕的家（24）。</w:t>
      </w:r>
    </w:p>
    <w:p w14:paraId="7510FFF1">
      <w:pPr>
        <w:pStyle w:val="9"/>
        <w:spacing w:before="66"/>
        <w:ind w:left="0"/>
        <w:jc w:val="left"/>
        <w:rPr>
          <w:rFonts w:hint="eastAsia"/>
        </w:rPr>
      </w:pPr>
    </w:p>
    <w:p w14:paraId="01420435">
      <w:pPr>
        <w:pStyle w:val="9"/>
        <w:spacing w:before="66"/>
        <w:ind w:left="0"/>
        <w:jc w:val="left"/>
        <w:rPr>
          <w:rFonts w:hint="eastAsia"/>
        </w:rPr>
      </w:pPr>
      <w:r>
        <w:rPr>
          <w:rFonts w:hint="eastAsia"/>
        </w:rPr>
        <w:t>The Mystery Unveiled (25-27)</w:t>
      </w:r>
    </w:p>
    <w:p w14:paraId="702F9E70">
      <w:pPr>
        <w:pStyle w:val="9"/>
        <w:spacing w:before="66"/>
        <w:ind w:left="0"/>
        <w:jc w:val="left"/>
        <w:rPr>
          <w:rFonts w:hint="eastAsia"/>
        </w:rPr>
      </w:pPr>
      <w:r>
        <w:rPr>
          <w:rFonts w:hint="eastAsia"/>
        </w:rPr>
        <w:t>奥秘的揭示（25-27）</w:t>
      </w:r>
    </w:p>
    <w:p w14:paraId="735F0D17">
      <w:pPr>
        <w:pStyle w:val="9"/>
        <w:spacing w:before="66"/>
        <w:ind w:left="0"/>
        <w:jc w:val="left"/>
        <w:rPr>
          <w:rFonts w:hint="eastAsia"/>
        </w:rPr>
      </w:pPr>
    </w:p>
    <w:p w14:paraId="6A78672F">
      <w:pPr>
        <w:pStyle w:val="9"/>
        <w:spacing w:before="66"/>
        <w:ind w:left="0"/>
        <w:jc w:val="left"/>
        <w:rPr>
          <w:rFonts w:hint="eastAsia"/>
        </w:rPr>
      </w:pPr>
      <w:r>
        <w:rPr>
          <w:rFonts w:hint="eastAsia"/>
        </w:rPr>
        <w:t>In verses 25-27, Paul reaches the climax of his discourse, wherein the mystery is now openly proclaimed.</w:t>
      </w:r>
    </w:p>
    <w:p w14:paraId="1BAC0DB7">
      <w:pPr>
        <w:pStyle w:val="9"/>
        <w:spacing w:before="66"/>
        <w:ind w:left="0"/>
        <w:jc w:val="left"/>
        <w:rPr>
          <w:rFonts w:hint="eastAsia"/>
        </w:rPr>
      </w:pPr>
      <w:r>
        <w:rPr>
          <w:rFonts w:hint="eastAsia"/>
        </w:rPr>
        <w:t>在第25-27节，保罗的论述达到了高潮，奥秘如今被公开宣告出来。</w:t>
      </w:r>
    </w:p>
    <w:p w14:paraId="6257ECA5">
      <w:pPr>
        <w:pStyle w:val="9"/>
        <w:spacing w:before="66"/>
        <w:ind w:left="0"/>
        <w:jc w:val="left"/>
        <w:rPr>
          <w:rFonts w:hint="eastAsia"/>
        </w:rPr>
      </w:pPr>
    </w:p>
    <w:p w14:paraId="1DF6D7E3">
      <w:pPr>
        <w:pStyle w:val="9"/>
        <w:spacing w:before="66"/>
        <w:ind w:left="0"/>
        <w:jc w:val="left"/>
        <w:rPr>
          <w:rFonts w:hint="eastAsia"/>
        </w:rPr>
      </w:pPr>
      <w:r>
        <w:rPr>
          <w:rFonts w:hint="eastAsia"/>
        </w:rPr>
        <w:t>It is this: A partial hardening has happened to Israel until the fullness of the Gentiles has come in (25).</w:t>
      </w:r>
    </w:p>
    <w:p w14:paraId="7A7A477C">
      <w:pPr>
        <w:pStyle w:val="9"/>
        <w:spacing w:before="66"/>
        <w:ind w:left="0"/>
        <w:jc w:val="left"/>
        <w:rPr>
          <w:rFonts w:hint="eastAsia"/>
        </w:rPr>
      </w:pPr>
      <w:r>
        <w:rPr>
          <w:rFonts w:hint="eastAsia"/>
        </w:rPr>
        <w:t>就是这样：以色列人有几分是硬心的，等到外邦人的数目添满了（25）。</w:t>
      </w:r>
    </w:p>
    <w:p w14:paraId="59F6CF03">
      <w:pPr>
        <w:pStyle w:val="9"/>
        <w:spacing w:before="66"/>
        <w:ind w:left="0"/>
        <w:jc w:val="left"/>
        <w:rPr>
          <w:rFonts w:hint="eastAsia"/>
        </w:rPr>
      </w:pPr>
    </w:p>
    <w:p w14:paraId="12896612">
      <w:pPr>
        <w:pStyle w:val="9"/>
        <w:spacing w:before="66"/>
        <w:ind w:left="0"/>
        <w:jc w:val="left"/>
        <w:rPr>
          <w:rFonts w:hint="eastAsia"/>
        </w:rPr>
      </w:pPr>
      <w:r>
        <w:rPr>
          <w:rFonts w:hint="eastAsia"/>
        </w:rPr>
        <w:t>Having already spoken at length about God’s intention to restore Israel, he leaves it to us to draw the obvious conclusion: When Christ has finally gathered in the full number of elect Gentiles, he will then turn his attention to ethnic Israel at large, soften their hearts to the Gospel, and bring them into the New Covenant.</w:t>
      </w:r>
    </w:p>
    <w:p w14:paraId="585FE3F4">
      <w:pPr>
        <w:pStyle w:val="9"/>
        <w:spacing w:before="66"/>
        <w:ind w:left="0"/>
        <w:jc w:val="left"/>
        <w:rPr>
          <w:rFonts w:hint="eastAsia"/>
        </w:rPr>
      </w:pPr>
      <w:r>
        <w:rPr>
          <w:rFonts w:hint="eastAsia"/>
        </w:rPr>
        <w:t>祂既然已经详细地谈到上帝恢复以色列的意图，祂就留给我们去得出显而易见的结论：当基督最终招聚了所有被拣选的外邦人之后，祂将转而关注整个以色列民族，软化他们对福音的心，并将他们带入新约之中。</w:t>
      </w:r>
    </w:p>
    <w:p w14:paraId="30D62148">
      <w:pPr>
        <w:pStyle w:val="9"/>
        <w:spacing w:before="66"/>
        <w:ind w:left="0"/>
        <w:jc w:val="left"/>
        <w:rPr>
          <w:rFonts w:hint="eastAsia"/>
        </w:rPr>
      </w:pPr>
    </w:p>
    <w:p w14:paraId="180FEFC4">
      <w:pPr>
        <w:pStyle w:val="9"/>
        <w:spacing w:before="66"/>
        <w:ind w:left="0"/>
        <w:jc w:val="left"/>
        <w:rPr>
          <w:rFonts w:hint="eastAsia"/>
        </w:rPr>
      </w:pPr>
      <w:r>
        <w:rPr>
          <w:rFonts w:hint="eastAsia"/>
        </w:rPr>
        <w:t>“And thus (i.e., when the fullness of the Gentiles has been attained) all Israel (i.e., latter-day ethnic Israel at large, joining elect Jews of previous generations) will be saved” (26).</w:t>
      </w:r>
    </w:p>
    <w:p w14:paraId="60995B8C">
      <w:pPr>
        <w:pStyle w:val="9"/>
        <w:spacing w:before="66"/>
        <w:ind w:left="0"/>
        <w:jc w:val="left"/>
        <w:rPr>
          <w:rFonts w:hint="eastAsia"/>
        </w:rPr>
      </w:pPr>
      <w:r>
        <w:rPr>
          <w:rFonts w:hint="eastAsia"/>
        </w:rPr>
        <w:t>“于是（即，当外邦人的数目添满了）以色列全家都要得救”（26）。</w:t>
      </w:r>
    </w:p>
    <w:p w14:paraId="6ACB7CEE">
      <w:pPr>
        <w:pStyle w:val="9"/>
        <w:spacing w:before="66"/>
        <w:ind w:left="0"/>
        <w:jc w:val="left"/>
        <w:rPr>
          <w:rFonts w:hint="eastAsia"/>
        </w:rPr>
      </w:pPr>
    </w:p>
    <w:p w14:paraId="1CFF178F">
      <w:pPr>
        <w:pStyle w:val="9"/>
        <w:spacing w:before="66"/>
        <w:ind w:left="0"/>
        <w:jc w:val="left"/>
        <w:rPr>
          <w:rFonts w:hint="eastAsia"/>
        </w:rPr>
      </w:pPr>
      <w:r>
        <w:rPr>
          <w:rFonts w:hint="eastAsia"/>
        </w:rPr>
        <w:t>In other words, at this point “the fullness” of the Gentiles and the fullness of ethnic Israel will have come in (12).</w:t>
      </w:r>
    </w:p>
    <w:p w14:paraId="6EE99964">
      <w:pPr>
        <w:pStyle w:val="9"/>
        <w:spacing w:before="66"/>
        <w:ind w:left="0"/>
        <w:jc w:val="left"/>
        <w:rPr>
          <w:rFonts w:hint="eastAsia"/>
        </w:rPr>
      </w:pPr>
      <w:r>
        <w:rPr>
          <w:rFonts w:hint="eastAsia"/>
        </w:rPr>
        <w:t>换句话说，此时外邦人的“丰满”和以色列民族的丰满都将进来（12）。</w:t>
      </w:r>
    </w:p>
    <w:p w14:paraId="7DCC1D37">
      <w:pPr>
        <w:pStyle w:val="9"/>
        <w:spacing w:before="66"/>
        <w:ind w:left="0"/>
        <w:jc w:val="left"/>
        <w:rPr>
          <w:rFonts w:hint="eastAsia"/>
        </w:rPr>
      </w:pPr>
    </w:p>
    <w:p w14:paraId="1DE20F3F">
      <w:pPr>
        <w:pStyle w:val="9"/>
        <w:spacing w:before="66"/>
        <w:ind w:left="0"/>
        <w:jc w:val="left"/>
        <w:rPr>
          <w:rFonts w:hint="eastAsia"/>
        </w:rPr>
      </w:pPr>
      <w:r>
        <w:rPr>
          <w:rFonts w:hint="eastAsia"/>
        </w:rPr>
        <w:t>Small wonder, then, that Paul associates that happy day with “life from the dead” (15)!</w:t>
      </w:r>
    </w:p>
    <w:p w14:paraId="62E85F76">
      <w:pPr>
        <w:pStyle w:val="9"/>
        <w:spacing w:before="66"/>
        <w:ind w:left="0"/>
        <w:jc w:val="left"/>
        <w:rPr>
          <w:rFonts w:hint="eastAsia"/>
        </w:rPr>
      </w:pPr>
      <w:r>
        <w:rPr>
          <w:rFonts w:hint="eastAsia"/>
        </w:rPr>
        <w:t>那么，不足为奇的是，保罗将那快乐的日子与“死里复生”联系在一起（15）！</w:t>
      </w:r>
    </w:p>
    <w:p w14:paraId="6EB941E1">
      <w:pPr>
        <w:pStyle w:val="9"/>
        <w:spacing w:before="66"/>
        <w:ind w:left="0"/>
        <w:jc w:val="left"/>
        <w:rPr>
          <w:rFonts w:hint="eastAsia"/>
        </w:rPr>
      </w:pPr>
    </w:p>
    <w:p w14:paraId="2B8AB7F5">
      <w:pPr>
        <w:pStyle w:val="9"/>
        <w:spacing w:before="66"/>
        <w:ind w:left="0"/>
        <w:jc w:val="left"/>
        <w:rPr>
          <w:rFonts w:hint="eastAsia"/>
        </w:rPr>
      </w:pPr>
      <w:r>
        <w:rPr>
          <w:rFonts w:hint="eastAsia"/>
        </w:rPr>
        <w:t>Support for this line of interpretation is found in the rest of verses 26-27.</w:t>
      </w:r>
    </w:p>
    <w:p w14:paraId="4616269A">
      <w:pPr>
        <w:pStyle w:val="9"/>
        <w:spacing w:before="66"/>
        <w:ind w:left="0"/>
        <w:jc w:val="left"/>
        <w:rPr>
          <w:rFonts w:hint="eastAsia"/>
        </w:rPr>
      </w:pPr>
      <w:r>
        <w:rPr>
          <w:rFonts w:hint="eastAsia"/>
        </w:rPr>
        <w:t>对这种解释路线的支持，见于第26-27节的其余部分。</w:t>
      </w:r>
    </w:p>
    <w:p w14:paraId="7FFFC697">
      <w:pPr>
        <w:pStyle w:val="9"/>
        <w:spacing w:before="66"/>
        <w:ind w:left="0"/>
        <w:jc w:val="left"/>
        <w:rPr>
          <w:rFonts w:hint="eastAsia"/>
        </w:rPr>
      </w:pPr>
    </w:p>
    <w:p w14:paraId="6909C95E">
      <w:pPr>
        <w:pStyle w:val="9"/>
        <w:spacing w:before="66"/>
        <w:ind w:left="0"/>
        <w:jc w:val="left"/>
        <w:rPr>
          <w:rFonts w:hint="eastAsia"/>
        </w:rPr>
      </w:pPr>
      <w:r>
        <w:rPr>
          <w:rFonts w:hint="eastAsia"/>
        </w:rPr>
        <w:t>Here Paul cites from—and boldly modifies—a number of OT Kingdom prophecies, but chiefly Isaiah 59:20-21 (cf., Isaiah 27:9, Jer. 31:33-34).</w:t>
      </w:r>
    </w:p>
    <w:p w14:paraId="1432CB60">
      <w:pPr>
        <w:pStyle w:val="9"/>
        <w:spacing w:before="66"/>
        <w:ind w:left="0"/>
        <w:jc w:val="left"/>
        <w:rPr>
          <w:rFonts w:hint="eastAsia"/>
        </w:rPr>
      </w:pPr>
      <w:r>
        <w:rPr>
          <w:rFonts w:hint="eastAsia"/>
        </w:rPr>
        <w:t>在这里，保罗引用了——并大胆地修改了——一些旧约国度预言，但主要是以赛亚书59:20-21（参看以赛亚书27:9，耶利米书31:33-34）。</w:t>
      </w:r>
    </w:p>
    <w:p w14:paraId="7C109579">
      <w:pPr>
        <w:pStyle w:val="9"/>
        <w:spacing w:before="66"/>
        <w:ind w:left="0"/>
        <w:jc w:val="left"/>
        <w:rPr>
          <w:rFonts w:hint="eastAsia"/>
        </w:rPr>
      </w:pPr>
    </w:p>
    <w:p w14:paraId="6ECAC908">
      <w:pPr>
        <w:pStyle w:val="9"/>
        <w:spacing w:before="66"/>
        <w:ind w:left="0"/>
        <w:jc w:val="left"/>
        <w:rPr>
          <w:rFonts w:hint="eastAsia"/>
        </w:rPr>
      </w:pPr>
      <w:r>
        <w:rPr>
          <w:rFonts w:hint="eastAsia"/>
        </w:rPr>
        <w:t>Again, he is not speaking here of the Parousia (as some premillennarians assert), for the NT is clear that the Parousia will bring conversion to no one, whether Jew or Gentile.</w:t>
      </w:r>
    </w:p>
    <w:p w14:paraId="4661C6F0">
      <w:pPr>
        <w:pStyle w:val="9"/>
        <w:spacing w:before="66"/>
        <w:ind w:left="0"/>
        <w:jc w:val="left"/>
        <w:rPr>
          <w:rFonts w:hint="eastAsia"/>
        </w:rPr>
      </w:pPr>
      <w:r>
        <w:rPr>
          <w:rFonts w:hint="eastAsia"/>
        </w:rPr>
        <w:t>再次，祂在这里并非在讲主临（Parousia）（如一些前千禧年论者所断言的），因为新约清楚地表明，主临不会给任何人带来归信，无论是犹太人还是外邦人。</w:t>
      </w:r>
    </w:p>
    <w:p w14:paraId="4CF96B3A">
      <w:pPr>
        <w:pStyle w:val="9"/>
        <w:spacing w:before="66"/>
        <w:ind w:left="0"/>
        <w:jc w:val="left"/>
        <w:rPr>
          <w:rFonts w:hint="eastAsia"/>
        </w:rPr>
      </w:pPr>
    </w:p>
    <w:p w14:paraId="47881F6F">
      <w:pPr>
        <w:pStyle w:val="9"/>
        <w:spacing w:before="66"/>
        <w:ind w:left="0"/>
        <w:jc w:val="left"/>
        <w:rPr>
          <w:rFonts w:hint="eastAsia"/>
        </w:rPr>
      </w:pPr>
      <w:r>
        <w:rPr>
          <w:rFonts w:hint="eastAsia"/>
        </w:rPr>
        <w:t>Rather, it will simply ratify one’s response to the Gospel throughout the Era of Proclamation, whether by reward or retribution.</w:t>
      </w:r>
    </w:p>
    <w:p w14:paraId="168584A8">
      <w:pPr>
        <w:pStyle w:val="9"/>
        <w:spacing w:before="66"/>
        <w:ind w:left="0"/>
        <w:jc w:val="left"/>
        <w:rPr>
          <w:rFonts w:hint="eastAsia"/>
        </w:rPr>
      </w:pPr>
      <w:r>
        <w:rPr>
          <w:rFonts w:hint="eastAsia"/>
        </w:rPr>
        <w:t>相反，它只是确认一个人在整个宣讲时代对福音的回应，无论是通过赏赐还是报应。</w:t>
      </w:r>
    </w:p>
    <w:p w14:paraId="373F87E5">
      <w:pPr>
        <w:pStyle w:val="9"/>
        <w:spacing w:before="66"/>
        <w:ind w:left="0"/>
        <w:jc w:val="left"/>
        <w:rPr>
          <w:rFonts w:hint="eastAsia"/>
        </w:rPr>
      </w:pPr>
    </w:p>
    <w:p w14:paraId="57CA2364">
      <w:pPr>
        <w:pStyle w:val="9"/>
        <w:spacing w:before="66"/>
        <w:ind w:left="0"/>
        <w:jc w:val="left"/>
        <w:rPr>
          <w:rFonts w:hint="eastAsia"/>
        </w:rPr>
      </w:pPr>
      <w:r>
        <w:rPr>
          <w:rFonts w:hint="eastAsia"/>
        </w:rPr>
        <w:t>Moreover, all throughout this passage Paul has been speaking of the grafting of ethnic Israel back into the olive tree of the spiritual family of father Abraham—the very same kind of grafting that the Gentiles have experienced by faith .</w:t>
      </w:r>
    </w:p>
    <w:p w14:paraId="26211B65">
      <w:pPr>
        <w:pStyle w:val="9"/>
        <w:spacing w:before="66"/>
        <w:ind w:left="0"/>
        <w:jc w:val="left"/>
        <w:rPr>
          <w:rFonts w:hint="eastAsia"/>
        </w:rPr>
      </w:pPr>
      <w:r>
        <w:rPr>
          <w:rFonts w:hint="eastAsia"/>
        </w:rPr>
        <w:t>此外，在整段经文中，保罗一直在谈论将以色列民族重新接回父亚伯拉罕属灵家庭的橄榄树上——这正是外邦人因信所经历的同一种嫁接。</w:t>
      </w:r>
    </w:p>
    <w:p w14:paraId="030F2D0F">
      <w:pPr>
        <w:pStyle w:val="9"/>
        <w:spacing w:before="66"/>
        <w:ind w:left="0"/>
        <w:jc w:val="left"/>
        <w:rPr>
          <w:rFonts w:hint="eastAsia"/>
        </w:rPr>
      </w:pPr>
    </w:p>
    <w:p w14:paraId="690FFAD9">
      <w:pPr>
        <w:pStyle w:val="9"/>
        <w:spacing w:before="66"/>
        <w:ind w:left="0"/>
        <w:jc w:val="left"/>
        <w:rPr>
          <w:rFonts w:hint="eastAsia"/>
        </w:rPr>
      </w:pPr>
      <w:r>
        <w:rPr>
          <w:rFonts w:hint="eastAsia"/>
        </w:rPr>
        <w:t>We conclude, then, that here Paul has in mind the latter-day conversion of ethnic Israel at large under the preaching of the Gospel (cf. v. 23).</w:t>
      </w:r>
    </w:p>
    <w:p w14:paraId="5F6B0E94">
      <w:pPr>
        <w:pStyle w:val="9"/>
        <w:spacing w:before="66"/>
        <w:ind w:left="0"/>
        <w:jc w:val="left"/>
        <w:rPr>
          <w:rFonts w:hint="eastAsia"/>
        </w:rPr>
      </w:pPr>
      <w:r>
        <w:rPr>
          <w:rFonts w:hint="eastAsia"/>
        </w:rPr>
        <w:t>因此，我们得出结论，保罗在这里心中所想的是在福音宣讲之下，以色列民族在末后的日子里大规模的归信（参看第23节）。</w:t>
      </w:r>
    </w:p>
    <w:p w14:paraId="3CE8BE81">
      <w:pPr>
        <w:pStyle w:val="9"/>
        <w:spacing w:before="66"/>
        <w:ind w:left="0"/>
        <w:jc w:val="left"/>
        <w:rPr>
          <w:rFonts w:hint="eastAsia"/>
        </w:rPr>
      </w:pPr>
    </w:p>
    <w:p w14:paraId="52CF7307">
      <w:pPr>
        <w:pStyle w:val="9"/>
        <w:spacing w:before="66"/>
        <w:ind w:left="0"/>
        <w:jc w:val="left"/>
        <w:rPr>
          <w:rFonts w:hint="eastAsia"/>
        </w:rPr>
      </w:pPr>
      <w:r>
        <w:rPr>
          <w:rFonts w:hint="eastAsia"/>
        </w:rPr>
        <w:t>To paraphrase it as he might: By the Spirit, and through the preaching of the Gospel, the Deliverer will come to ethnic Israel from the Zion above; when he does, he will grant them faith in himself; and when they believe, he will take away their sins and remove from them all ungodliness, through the great New Covenant gifts of justification, sanctification, and glorification (8:29-30).</w:t>
      </w:r>
    </w:p>
    <w:p w14:paraId="0A9771FA">
      <w:pPr>
        <w:pStyle w:val="9"/>
        <w:spacing w:before="66"/>
        <w:ind w:left="0"/>
        <w:jc w:val="left"/>
        <w:rPr>
          <w:rFonts w:hint="eastAsia"/>
        </w:rPr>
      </w:pPr>
      <w:r>
        <w:rPr>
          <w:rFonts w:hint="eastAsia"/>
        </w:rPr>
        <w:t>用祂可能会说的方式来意译：借着圣灵，并通过福音的宣讲，拯救主将从天上的锡安临到以色列民族；当祂这样做时，祂将赐给他们对祂自己的信心；当他们信的时候，祂将除去他们的罪，并借着新约那称义、成圣和得荣耀的伟大恩赐，除去他们所有的不敬虔（8:29-30）。</w:t>
      </w:r>
    </w:p>
    <w:p w14:paraId="75092447">
      <w:pPr>
        <w:pStyle w:val="9"/>
        <w:spacing w:before="66"/>
        <w:ind w:left="0"/>
        <w:jc w:val="left"/>
        <w:rPr>
          <w:rFonts w:hint="eastAsia"/>
        </w:rPr>
      </w:pPr>
    </w:p>
    <w:p w14:paraId="2DFA648A">
      <w:pPr>
        <w:pStyle w:val="9"/>
        <w:spacing w:before="66"/>
        <w:ind w:left="0"/>
        <w:jc w:val="left"/>
        <w:rPr>
          <w:rFonts w:hint="eastAsia"/>
        </w:rPr>
      </w:pPr>
      <w:r>
        <w:rPr>
          <w:rFonts w:hint="eastAsia"/>
        </w:rPr>
        <w:t>In passing, we should note that some commentators interpret verses 26-27 as referring to the Parousia and the final “salvation” (i.e., the glorification) of the Church, which is the spiritual “Israel of God,” comprised of Jew and Gentile (Gal. 6:16).</w:t>
      </w:r>
    </w:p>
    <w:p w14:paraId="7F2CD113">
      <w:pPr>
        <w:pStyle w:val="9"/>
        <w:spacing w:before="66"/>
        <w:ind w:left="0"/>
        <w:jc w:val="left"/>
        <w:rPr>
          <w:rFonts w:hint="eastAsia"/>
        </w:rPr>
      </w:pPr>
      <w:r>
        <w:rPr>
          <w:rFonts w:hint="eastAsia"/>
        </w:rPr>
        <w:t>顺便提一下，我们应该注意，一些注释家将第26-27节解释为指主临（Parousia）和教会的最后“拯救”（即得荣耀），教会是由犹太人和外邦人组成的属灵的“上帝的以色列”（加6:16）。</w:t>
      </w:r>
    </w:p>
    <w:p w14:paraId="3D00B9FB">
      <w:pPr>
        <w:pStyle w:val="9"/>
        <w:spacing w:before="66"/>
        <w:ind w:left="0"/>
        <w:jc w:val="left"/>
        <w:rPr>
          <w:rFonts w:hint="eastAsia"/>
        </w:rPr>
      </w:pPr>
    </w:p>
    <w:p w14:paraId="5C9E6A48">
      <w:pPr>
        <w:pStyle w:val="9"/>
        <w:spacing w:before="66"/>
        <w:ind w:left="0"/>
        <w:jc w:val="left"/>
        <w:rPr>
          <w:rFonts w:hint="eastAsia"/>
        </w:rPr>
      </w:pPr>
      <w:r>
        <w:rPr>
          <w:rFonts w:hint="eastAsia"/>
        </w:rPr>
        <w:t>However, while this view is fully compatible with amillennial eschatology, I do not favor it.</w:t>
      </w:r>
    </w:p>
    <w:p w14:paraId="0B7EFDA4">
      <w:pPr>
        <w:pStyle w:val="9"/>
        <w:spacing w:before="66"/>
        <w:ind w:left="0"/>
        <w:jc w:val="left"/>
        <w:rPr>
          <w:rFonts w:hint="eastAsia"/>
        </w:rPr>
      </w:pPr>
      <w:r>
        <w:rPr>
          <w:rFonts w:hint="eastAsia"/>
        </w:rPr>
        <w:t>然而，虽然这种观点与无千禧年论的末世论完全相容，我却不赞成它。</w:t>
      </w:r>
    </w:p>
    <w:p w14:paraId="572E8ED4">
      <w:pPr>
        <w:pStyle w:val="9"/>
        <w:spacing w:before="66"/>
        <w:ind w:left="0"/>
        <w:jc w:val="left"/>
        <w:rPr>
          <w:rFonts w:hint="eastAsia"/>
        </w:rPr>
      </w:pPr>
    </w:p>
    <w:p w14:paraId="1FE26C8E">
      <w:pPr>
        <w:pStyle w:val="9"/>
        <w:spacing w:before="66"/>
        <w:ind w:left="0"/>
        <w:jc w:val="left"/>
        <w:rPr>
          <w:rFonts w:hint="eastAsia"/>
        </w:rPr>
      </w:pPr>
      <w:r>
        <w:rPr>
          <w:rFonts w:hint="eastAsia"/>
        </w:rPr>
        <w:t>Throughout chapter 11 Paul’s concern has been to predict ethnic Israel’s restoration to the olive tree, which must come by faith in the message preached, and which cannot come at the Parousia (20, 23; 10:17; Rom. 10:14f, 1 Cor. 1:21).</w:t>
      </w:r>
    </w:p>
    <w:p w14:paraId="27604044">
      <w:pPr>
        <w:pStyle w:val="9"/>
        <w:spacing w:before="66"/>
        <w:ind w:left="0"/>
        <w:jc w:val="left"/>
        <w:rPr>
          <w:rFonts w:hint="eastAsia"/>
        </w:rPr>
      </w:pPr>
      <w:r>
        <w:rPr>
          <w:rFonts w:hint="eastAsia"/>
        </w:rPr>
        <w:t>在整个第11章，保罗的关切一直是预言以色列民族恢复到橄榄树上，这必须通过对所传信息的信心而来，并且不能在主临（Parousia）时发生（20, 23；10:17；罗10:14及以下，林前1:21）。</w:t>
      </w:r>
    </w:p>
    <w:p w14:paraId="6FD03E14">
      <w:pPr>
        <w:pStyle w:val="9"/>
        <w:spacing w:before="66"/>
        <w:ind w:left="0"/>
        <w:jc w:val="left"/>
        <w:rPr>
          <w:rFonts w:hint="eastAsia"/>
        </w:rPr>
      </w:pPr>
    </w:p>
    <w:p w14:paraId="14A86B04">
      <w:pPr>
        <w:pStyle w:val="9"/>
        <w:spacing w:before="66"/>
        <w:ind w:left="0"/>
        <w:jc w:val="left"/>
        <w:rPr>
          <w:rFonts w:hint="eastAsia"/>
        </w:rPr>
      </w:pPr>
      <w:r>
        <w:rPr>
          <w:rFonts w:hint="eastAsia"/>
        </w:rPr>
        <w:t>At his Parousia, Christ does not take away sins; he glorifies saints (v. 27).</w:t>
      </w:r>
    </w:p>
    <w:p w14:paraId="11742D8F">
      <w:pPr>
        <w:pStyle w:val="9"/>
        <w:spacing w:before="66"/>
        <w:ind w:left="0"/>
        <w:jc w:val="left"/>
        <w:rPr>
          <w:rFonts w:hint="eastAsia"/>
        </w:rPr>
      </w:pPr>
      <w:r>
        <w:rPr>
          <w:rFonts w:hint="eastAsia"/>
        </w:rPr>
        <w:t>在祂的主临（Parousia）时，基督不是除去罪孽；祂是荣耀圣徒（第27节）。</w:t>
      </w:r>
    </w:p>
    <w:p w14:paraId="68E36A08">
      <w:pPr>
        <w:pStyle w:val="9"/>
        <w:spacing w:before="66"/>
        <w:ind w:left="0"/>
        <w:jc w:val="left"/>
        <w:rPr>
          <w:rFonts w:hint="eastAsia"/>
        </w:rPr>
      </w:pPr>
    </w:p>
    <w:p w14:paraId="69A496DC">
      <w:pPr>
        <w:pStyle w:val="9"/>
        <w:spacing w:before="66"/>
        <w:ind w:left="0"/>
        <w:jc w:val="left"/>
        <w:rPr>
          <w:rFonts w:hint="eastAsia"/>
        </w:rPr>
      </w:pPr>
      <w:r>
        <w:rPr>
          <w:rFonts w:hint="eastAsia"/>
        </w:rPr>
        <w:t>Also, verses 28-32 seem to rule out this interpretation, for here too we find Paul speaking, not of the Church as a whole, but of ethnic Israel.</w:t>
      </w:r>
    </w:p>
    <w:p w14:paraId="29538ACE">
      <w:pPr>
        <w:pStyle w:val="9"/>
        <w:spacing w:before="66"/>
        <w:ind w:left="0"/>
        <w:jc w:val="left"/>
        <w:rPr>
          <w:rFonts w:hint="eastAsia"/>
        </w:rPr>
      </w:pPr>
      <w:r>
        <w:rPr>
          <w:rFonts w:hint="eastAsia"/>
        </w:rPr>
        <w:t>另外，第28-32节似乎排除了这种解释，因为在这里我们也发现保罗并非在谈论整个教会，而是在谈论以色列民族。</w:t>
      </w:r>
    </w:p>
    <w:p w14:paraId="2263C327">
      <w:pPr>
        <w:pStyle w:val="9"/>
        <w:spacing w:before="66"/>
        <w:ind w:left="0"/>
        <w:jc w:val="left"/>
        <w:rPr>
          <w:rFonts w:hint="eastAsia"/>
        </w:rPr>
      </w:pPr>
    </w:p>
    <w:p w14:paraId="688D20BC">
      <w:pPr>
        <w:pStyle w:val="9"/>
        <w:spacing w:before="66"/>
        <w:ind w:left="0"/>
        <w:jc w:val="left"/>
        <w:rPr>
          <w:rFonts w:hint="eastAsia"/>
        </w:rPr>
      </w:pPr>
      <w:r>
        <w:rPr>
          <w:rFonts w:hint="eastAsia"/>
        </w:rPr>
        <w:t>The Mystery Summarized (28-32)</w:t>
      </w:r>
    </w:p>
    <w:p w14:paraId="2C1870DA">
      <w:pPr>
        <w:pStyle w:val="9"/>
        <w:spacing w:before="66"/>
        <w:ind w:left="0"/>
        <w:jc w:val="left"/>
        <w:rPr>
          <w:rFonts w:hint="eastAsia"/>
        </w:rPr>
      </w:pPr>
      <w:r>
        <w:rPr>
          <w:rFonts w:hint="eastAsia"/>
        </w:rPr>
        <w:t>奥秘的总结（28-32）</w:t>
      </w:r>
    </w:p>
    <w:p w14:paraId="6814A9A6">
      <w:pPr>
        <w:pStyle w:val="9"/>
        <w:spacing w:before="66"/>
        <w:ind w:left="0"/>
        <w:jc w:val="left"/>
        <w:rPr>
          <w:rFonts w:hint="eastAsia"/>
        </w:rPr>
      </w:pPr>
    </w:p>
    <w:p w14:paraId="60F753EB">
      <w:pPr>
        <w:pStyle w:val="9"/>
        <w:spacing w:before="66"/>
        <w:ind w:left="0"/>
        <w:jc w:val="left"/>
        <w:rPr>
          <w:rFonts w:hint="eastAsia"/>
        </w:rPr>
      </w:pPr>
      <w:r>
        <w:rPr>
          <w:rFonts w:hint="eastAsia"/>
        </w:rPr>
        <w:t>In verses 28-29, the apostle briefly summarizes what has gone before.</w:t>
      </w:r>
    </w:p>
    <w:p w14:paraId="1B15EE4E">
      <w:pPr>
        <w:pStyle w:val="9"/>
        <w:spacing w:before="66"/>
        <w:ind w:left="0"/>
        <w:jc w:val="left"/>
        <w:rPr>
          <w:rFonts w:hint="eastAsia"/>
        </w:rPr>
      </w:pPr>
      <w:r>
        <w:rPr>
          <w:rFonts w:hint="eastAsia"/>
        </w:rPr>
        <w:t>在第28-29节，使徒简要地总结了前面所讲的。</w:t>
      </w:r>
    </w:p>
    <w:p w14:paraId="5202581B">
      <w:pPr>
        <w:pStyle w:val="9"/>
        <w:spacing w:before="66"/>
        <w:ind w:left="0"/>
        <w:jc w:val="left"/>
        <w:rPr>
          <w:rFonts w:hint="eastAsia"/>
        </w:rPr>
      </w:pPr>
    </w:p>
    <w:p w14:paraId="3053E136">
      <w:pPr>
        <w:pStyle w:val="9"/>
        <w:spacing w:before="66"/>
        <w:ind w:left="0"/>
        <w:jc w:val="left"/>
        <w:rPr>
          <w:rFonts w:hint="eastAsia"/>
        </w:rPr>
      </w:pPr>
      <w:r>
        <w:rPr>
          <w:rFonts w:hint="eastAsia"/>
        </w:rPr>
        <w:t>From the point of view of the historical progress of the Gospel, the (majority of the) Jews are now God's enemies, so that God may make friends of the Gentiles.</w:t>
      </w:r>
    </w:p>
    <w:p w14:paraId="1D5E2E8D">
      <w:pPr>
        <w:pStyle w:val="9"/>
        <w:spacing w:before="66"/>
        <w:ind w:left="0"/>
        <w:jc w:val="left"/>
        <w:rPr>
          <w:rFonts w:hint="eastAsia"/>
        </w:rPr>
      </w:pPr>
      <w:r>
        <w:rPr>
          <w:rFonts w:hint="eastAsia"/>
        </w:rPr>
        <w:t>从福音历史进展的角度来看，（大多数的）犹太人现在是上帝的仇敌，好叫上帝可以与外邦人作朋友。</w:t>
      </w:r>
    </w:p>
    <w:p w14:paraId="010DF5B0">
      <w:pPr>
        <w:pStyle w:val="9"/>
        <w:spacing w:before="66"/>
        <w:ind w:left="0"/>
        <w:jc w:val="left"/>
        <w:rPr>
          <w:rFonts w:hint="eastAsia"/>
        </w:rPr>
      </w:pPr>
    </w:p>
    <w:p w14:paraId="76DDBB54">
      <w:pPr>
        <w:pStyle w:val="9"/>
        <w:spacing w:before="66"/>
        <w:ind w:left="0"/>
        <w:jc w:val="left"/>
        <w:rPr>
          <w:rFonts w:hint="eastAsia"/>
        </w:rPr>
      </w:pPr>
      <w:r>
        <w:rPr>
          <w:rFonts w:hint="eastAsia"/>
        </w:rPr>
        <w:t>But from the point of view of divine election, this situation cannot continue indefinitely.</w:t>
      </w:r>
    </w:p>
    <w:p w14:paraId="5B90668B">
      <w:pPr>
        <w:pStyle w:val="9"/>
        <w:spacing w:before="66"/>
        <w:ind w:left="0"/>
        <w:jc w:val="left"/>
        <w:rPr>
          <w:rFonts w:hint="eastAsia"/>
        </w:rPr>
      </w:pPr>
      <w:r>
        <w:rPr>
          <w:rFonts w:hint="eastAsia"/>
        </w:rPr>
        <w:t>但从神圣拣选的角度来看，这种情况不能无限期地持续下去。</w:t>
      </w:r>
    </w:p>
    <w:p w14:paraId="5FD456EC">
      <w:pPr>
        <w:pStyle w:val="9"/>
        <w:spacing w:before="66"/>
        <w:ind w:left="0"/>
        <w:jc w:val="left"/>
        <w:rPr>
          <w:rFonts w:hint="eastAsia"/>
        </w:rPr>
      </w:pPr>
    </w:p>
    <w:p w14:paraId="6F297805">
      <w:pPr>
        <w:pStyle w:val="9"/>
        <w:spacing w:before="66"/>
        <w:ind w:left="0"/>
        <w:jc w:val="left"/>
        <w:rPr>
          <w:rFonts w:hint="eastAsia"/>
        </w:rPr>
      </w:pPr>
      <w:r>
        <w:rPr>
          <w:rFonts w:hint="eastAsia"/>
        </w:rPr>
        <w:t>For just as God loved father Abraham, so He loves his physical children, the Jews.</w:t>
      </w:r>
    </w:p>
    <w:p w14:paraId="47887103">
      <w:pPr>
        <w:pStyle w:val="9"/>
        <w:spacing w:before="66"/>
        <w:ind w:left="0"/>
        <w:jc w:val="left"/>
        <w:rPr>
          <w:rFonts w:hint="eastAsia"/>
        </w:rPr>
      </w:pPr>
      <w:r>
        <w:rPr>
          <w:rFonts w:hint="eastAsia"/>
        </w:rPr>
        <w:t>因为正如上帝爱父亚伯拉罕，祂也爱他的肉身子孙，犹太人。</w:t>
      </w:r>
    </w:p>
    <w:p w14:paraId="7F3DBD4F">
      <w:pPr>
        <w:pStyle w:val="9"/>
        <w:spacing w:before="66"/>
        <w:ind w:left="0"/>
        <w:jc w:val="left"/>
        <w:rPr>
          <w:rFonts w:hint="eastAsia"/>
        </w:rPr>
      </w:pPr>
    </w:p>
    <w:p w14:paraId="00134815">
      <w:pPr>
        <w:pStyle w:val="9"/>
        <w:spacing w:before="66"/>
        <w:ind w:left="0"/>
        <w:jc w:val="left"/>
        <w:rPr>
          <w:rFonts w:hint="eastAsia"/>
        </w:rPr>
      </w:pPr>
      <w:r>
        <w:rPr>
          <w:rFonts w:hint="eastAsia"/>
        </w:rPr>
        <w:t>Just as God chose father Abraham, so he has chosen (many of) his physical children, the Jews (28).</w:t>
      </w:r>
    </w:p>
    <w:p w14:paraId="482E1163">
      <w:pPr>
        <w:pStyle w:val="9"/>
        <w:spacing w:before="66"/>
        <w:ind w:left="0"/>
        <w:jc w:val="left"/>
        <w:rPr>
          <w:rFonts w:hint="eastAsia"/>
        </w:rPr>
      </w:pPr>
      <w:r>
        <w:rPr>
          <w:rFonts w:hint="eastAsia"/>
        </w:rPr>
        <w:t>正如上帝拣选了父亚伯拉罕，祂也拣选了（许多）祂的肉身子孙，犹太人（28）。</w:t>
      </w:r>
    </w:p>
    <w:p w14:paraId="4CD35FF6">
      <w:pPr>
        <w:pStyle w:val="9"/>
        <w:spacing w:before="66"/>
        <w:ind w:left="0"/>
        <w:jc w:val="left"/>
        <w:rPr>
          <w:rFonts w:hint="eastAsia"/>
        </w:rPr>
      </w:pPr>
    </w:p>
    <w:p w14:paraId="739FA616">
      <w:pPr>
        <w:pStyle w:val="9"/>
        <w:spacing w:before="66"/>
        <w:ind w:left="0"/>
        <w:jc w:val="left"/>
        <w:rPr>
          <w:rFonts w:hint="eastAsia"/>
        </w:rPr>
      </w:pPr>
      <w:r>
        <w:rPr>
          <w:rFonts w:hint="eastAsia"/>
        </w:rPr>
        <w:t>Electing love does not change.</w:t>
      </w:r>
    </w:p>
    <w:p w14:paraId="653557CF">
      <w:pPr>
        <w:pStyle w:val="9"/>
        <w:spacing w:before="66"/>
        <w:ind w:left="0"/>
        <w:jc w:val="left"/>
        <w:rPr>
          <w:rFonts w:hint="eastAsia"/>
        </w:rPr>
      </w:pPr>
      <w:r>
        <w:rPr>
          <w:rFonts w:hint="eastAsia"/>
        </w:rPr>
        <w:t>拣选的爱不改变。</w:t>
      </w:r>
    </w:p>
    <w:p w14:paraId="14EF2A99">
      <w:pPr>
        <w:pStyle w:val="9"/>
        <w:spacing w:before="66"/>
        <w:ind w:left="0"/>
        <w:jc w:val="left"/>
        <w:rPr>
          <w:rFonts w:hint="eastAsia"/>
        </w:rPr>
      </w:pPr>
    </w:p>
    <w:p w14:paraId="188BC192">
      <w:pPr>
        <w:pStyle w:val="9"/>
        <w:spacing w:before="66"/>
        <w:ind w:left="0"/>
        <w:jc w:val="left"/>
        <w:rPr>
          <w:rFonts w:hint="eastAsia"/>
        </w:rPr>
      </w:pPr>
      <w:r>
        <w:rPr>
          <w:rFonts w:hint="eastAsia"/>
        </w:rPr>
        <w:t>Therefore, the gifts and calling of God towards ethnic Israel do not change: They are irrevocable (29).</w:t>
      </w:r>
    </w:p>
    <w:p w14:paraId="03733D72">
      <w:pPr>
        <w:pStyle w:val="9"/>
        <w:spacing w:before="66"/>
        <w:ind w:left="0"/>
        <w:jc w:val="left"/>
        <w:rPr>
          <w:rFonts w:hint="eastAsia"/>
        </w:rPr>
      </w:pPr>
      <w:r>
        <w:rPr>
          <w:rFonts w:hint="eastAsia"/>
        </w:rPr>
        <w:t>因此，上帝对以色列民族的恩赐和选召是不改变的：它们是不可撤销的（29）。</w:t>
      </w:r>
    </w:p>
    <w:p w14:paraId="03E8BEAE">
      <w:pPr>
        <w:pStyle w:val="9"/>
        <w:spacing w:before="66"/>
        <w:ind w:left="0"/>
        <w:jc w:val="left"/>
        <w:rPr>
          <w:rFonts w:hint="eastAsia"/>
        </w:rPr>
      </w:pPr>
    </w:p>
    <w:p w14:paraId="2354383F">
      <w:pPr>
        <w:pStyle w:val="9"/>
        <w:spacing w:before="66"/>
        <w:ind w:left="0"/>
        <w:jc w:val="left"/>
        <w:rPr>
          <w:rFonts w:hint="eastAsia"/>
        </w:rPr>
      </w:pPr>
      <w:r>
        <w:rPr>
          <w:rFonts w:hint="eastAsia"/>
        </w:rPr>
        <w:t>In verses 30-32 Paul draws out the eschatological implications of these great truths.</w:t>
      </w:r>
    </w:p>
    <w:p w14:paraId="5B4B5368">
      <w:pPr>
        <w:pStyle w:val="9"/>
        <w:spacing w:before="66"/>
        <w:ind w:left="0"/>
        <w:jc w:val="left"/>
        <w:rPr>
          <w:rFonts w:hint="eastAsia"/>
        </w:rPr>
      </w:pPr>
      <w:r>
        <w:rPr>
          <w:rFonts w:hint="eastAsia"/>
        </w:rPr>
        <w:t>在第30-32节，保罗阐述了这些伟大真理的末世论涵义。</w:t>
      </w:r>
    </w:p>
    <w:p w14:paraId="4C614AC8">
      <w:pPr>
        <w:pStyle w:val="9"/>
        <w:spacing w:before="66"/>
        <w:ind w:left="0"/>
        <w:jc w:val="left"/>
        <w:rPr>
          <w:rFonts w:hint="eastAsia"/>
        </w:rPr>
      </w:pPr>
    </w:p>
    <w:p w14:paraId="3E0751B5">
      <w:pPr>
        <w:pStyle w:val="9"/>
        <w:spacing w:before="66"/>
        <w:ind w:left="0"/>
        <w:jc w:val="left"/>
        <w:rPr>
          <w:rFonts w:hint="eastAsia"/>
        </w:rPr>
      </w:pPr>
      <w:r>
        <w:rPr>
          <w:rFonts w:hint="eastAsia"/>
        </w:rPr>
        <w:t>In his wise purpose and plan, God had previously “shut up” (i.e., imprisoned) the sinful Gentiles in disobedience by means of his Law written on their hearts, while Israel enjoyed his special mercies under the Old Covenant (Rom. 1:18ff).</w:t>
      </w:r>
    </w:p>
    <w:p w14:paraId="703B06FB">
      <w:pPr>
        <w:pStyle w:val="9"/>
        <w:spacing w:before="66"/>
        <w:ind w:left="0"/>
        <w:jc w:val="left"/>
        <w:rPr>
          <w:rFonts w:hint="eastAsia"/>
        </w:rPr>
      </w:pPr>
      <w:r>
        <w:rPr>
          <w:rFonts w:hint="eastAsia"/>
        </w:rPr>
        <w:t>在祂智慧的旨意和计划中，上帝先前曾借着写在他们心里的律法，将有罪的外邦人“圈在”（即监禁在）不顺服中，而以色列则在旧约之下享受祂特别的怜悯（罗1:18及以下）。</w:t>
      </w:r>
    </w:p>
    <w:p w14:paraId="184841BF">
      <w:pPr>
        <w:pStyle w:val="9"/>
        <w:spacing w:before="66"/>
        <w:ind w:left="0"/>
        <w:jc w:val="left"/>
        <w:rPr>
          <w:rFonts w:hint="eastAsia"/>
        </w:rPr>
      </w:pPr>
    </w:p>
    <w:p w14:paraId="40D08901">
      <w:pPr>
        <w:pStyle w:val="9"/>
        <w:spacing w:before="66"/>
        <w:ind w:left="0"/>
        <w:jc w:val="left"/>
        <w:rPr>
          <w:rFonts w:hint="eastAsia"/>
        </w:rPr>
      </w:pPr>
      <w:r>
        <w:rPr>
          <w:rFonts w:hint="eastAsia"/>
        </w:rPr>
        <w:t>Now, however, under the New Covenant, he has shut up sinful Israel in disobedience through their rejection of the Gospel, so that the Gentiles may be shown mercy.</w:t>
      </w:r>
    </w:p>
    <w:p w14:paraId="539C0557">
      <w:pPr>
        <w:pStyle w:val="9"/>
        <w:spacing w:before="66"/>
        <w:ind w:left="0"/>
        <w:jc w:val="left"/>
        <w:rPr>
          <w:rFonts w:hint="eastAsia"/>
        </w:rPr>
      </w:pPr>
      <w:r>
        <w:rPr>
          <w:rFonts w:hint="eastAsia"/>
        </w:rPr>
        <w:t>然而，如今在新约之下，祂借着他们对福音的拒绝，将有罪的以色列圈在不顺服中，好叫外邦人得蒙怜恤。</w:t>
      </w:r>
    </w:p>
    <w:p w14:paraId="52DE1703">
      <w:pPr>
        <w:pStyle w:val="9"/>
        <w:spacing w:before="66"/>
        <w:ind w:left="0"/>
        <w:jc w:val="left"/>
        <w:rPr>
          <w:rFonts w:hint="eastAsia"/>
        </w:rPr>
      </w:pPr>
    </w:p>
    <w:p w14:paraId="0740B4A5">
      <w:pPr>
        <w:pStyle w:val="9"/>
        <w:spacing w:before="66"/>
        <w:ind w:left="0"/>
        <w:jc w:val="left"/>
        <w:rPr>
          <w:rFonts w:hint="eastAsia"/>
        </w:rPr>
      </w:pPr>
      <w:r>
        <w:rPr>
          <w:rFonts w:hint="eastAsia"/>
        </w:rPr>
        <w:t>But that is not the end of the story.</w:t>
      </w:r>
    </w:p>
    <w:p w14:paraId="466AE905">
      <w:pPr>
        <w:pStyle w:val="9"/>
        <w:spacing w:before="66"/>
        <w:ind w:left="0"/>
        <w:jc w:val="left"/>
        <w:rPr>
          <w:rFonts w:hint="eastAsia"/>
        </w:rPr>
      </w:pPr>
      <w:r>
        <w:rPr>
          <w:rFonts w:hint="eastAsia"/>
        </w:rPr>
        <w:t>但那不是故事的结局。</w:t>
      </w:r>
    </w:p>
    <w:p w14:paraId="13E5455D">
      <w:pPr>
        <w:pStyle w:val="9"/>
        <w:spacing w:before="66"/>
        <w:ind w:left="0"/>
        <w:jc w:val="left"/>
        <w:rPr>
          <w:rFonts w:hint="eastAsia"/>
        </w:rPr>
      </w:pPr>
    </w:p>
    <w:p w14:paraId="68957B23">
      <w:pPr>
        <w:pStyle w:val="9"/>
        <w:spacing w:before="66"/>
        <w:ind w:left="0"/>
        <w:jc w:val="left"/>
        <w:rPr>
          <w:rFonts w:hint="eastAsia"/>
        </w:rPr>
      </w:pPr>
      <w:r>
        <w:rPr>
          <w:rFonts w:hint="eastAsia"/>
        </w:rPr>
        <w:t>For through the mercy now being shown to the Gentiles, he is now showing—and will soon show in far greater measure—mercy to the Jews, first provoking them to jealousy, and then to salvation in Christ (Acts 28:28)!</w:t>
      </w:r>
    </w:p>
    <w:p w14:paraId="2742871C">
      <w:pPr>
        <w:pStyle w:val="9"/>
        <w:spacing w:before="66"/>
        <w:ind w:left="0"/>
        <w:jc w:val="left"/>
        <w:rPr>
          <w:rFonts w:hint="eastAsia"/>
        </w:rPr>
      </w:pPr>
      <w:r>
        <w:rPr>
          <w:rFonts w:hint="eastAsia"/>
        </w:rPr>
        <w:t>因为借着现今向外邦人所显的怜悯，祂现今也正向犹太人显明怜悯——并且不久将以更大的量度显明——首先激动他们发愤，然后得救在基督里（使徒行传28:28）！</w:t>
      </w:r>
    </w:p>
    <w:p w14:paraId="1C653EE3">
      <w:pPr>
        <w:pStyle w:val="9"/>
        <w:spacing w:before="66"/>
        <w:ind w:left="0"/>
        <w:jc w:val="left"/>
        <w:rPr>
          <w:rFonts w:hint="eastAsia"/>
        </w:rPr>
      </w:pPr>
    </w:p>
    <w:p w14:paraId="262B104D">
      <w:pPr>
        <w:pStyle w:val="9"/>
        <w:spacing w:before="66"/>
        <w:ind w:left="0"/>
        <w:jc w:val="left"/>
        <w:rPr>
          <w:rFonts w:hint="eastAsia"/>
        </w:rPr>
      </w:pPr>
      <w:r>
        <w:rPr>
          <w:rFonts w:hint="eastAsia"/>
        </w:rPr>
        <w:t>Thus, surveying the vast course of the ages, we see that the sovereign God has shut up both Jew and Gentile in disobedience, so that in his own times and ways he may have mercy on both (31).</w:t>
      </w:r>
    </w:p>
    <w:p w14:paraId="38D7502E">
      <w:pPr>
        <w:pStyle w:val="9"/>
        <w:spacing w:before="66"/>
        <w:ind w:left="0"/>
        <w:jc w:val="left"/>
        <w:rPr>
          <w:rFonts w:hint="eastAsia"/>
        </w:rPr>
      </w:pPr>
      <w:r>
        <w:rPr>
          <w:rFonts w:hint="eastAsia"/>
        </w:rPr>
        <w:t>因此，纵览历代漫长的进程，我们看到主宰的上帝将犹太人和外邦人都圈在不顺服中，好叫祂在自己的时候和方式里，可以怜悯他们双方（31）。</w:t>
      </w:r>
    </w:p>
    <w:p w14:paraId="228A121D">
      <w:pPr>
        <w:pStyle w:val="9"/>
        <w:spacing w:before="66"/>
        <w:ind w:left="0"/>
        <w:jc w:val="left"/>
        <w:rPr>
          <w:rFonts w:hint="eastAsia"/>
        </w:rPr>
      </w:pPr>
    </w:p>
    <w:p w14:paraId="01B35DA1">
      <w:pPr>
        <w:pStyle w:val="9"/>
        <w:spacing w:before="66"/>
        <w:ind w:left="0"/>
        <w:jc w:val="left"/>
        <w:rPr>
          <w:rFonts w:hint="eastAsia"/>
        </w:rPr>
      </w:pPr>
      <w:r>
        <w:rPr>
          <w:rFonts w:hint="eastAsia"/>
        </w:rPr>
        <w:t>But in all this we also see his abiding love for—and election of—ethnic Israel, whom, under their Messiah, he has made to be the Alpha and the Omega, the Beginning and the End, of Salvation History!</w:t>
      </w:r>
    </w:p>
    <w:p w14:paraId="4E00E7F5">
      <w:pPr>
        <w:pStyle w:val="9"/>
        <w:spacing w:before="66"/>
        <w:ind w:left="0"/>
        <w:jc w:val="left"/>
        <w:rPr>
          <w:rFonts w:hint="eastAsia"/>
        </w:rPr>
      </w:pPr>
      <w:r>
        <w:rPr>
          <w:rFonts w:hint="eastAsia"/>
        </w:rPr>
        <w:t>但在这一切中，我们也看到祂对以色列民族持久的爱和拣选，祂在他们的弥赛亚之下，已使他们成为救赎历史的阿拉法和俄梅戛，始终和末了！</w:t>
      </w:r>
    </w:p>
    <w:p w14:paraId="570ED009">
      <w:pPr>
        <w:pStyle w:val="9"/>
        <w:spacing w:before="66"/>
        <w:ind w:left="0"/>
        <w:jc w:val="left"/>
        <w:rPr>
          <w:rFonts w:hint="eastAsia"/>
        </w:rPr>
      </w:pPr>
    </w:p>
    <w:p w14:paraId="13F340C8">
      <w:pPr>
        <w:pStyle w:val="9"/>
        <w:spacing w:before="66"/>
        <w:ind w:left="0"/>
        <w:jc w:val="left"/>
        <w:rPr>
          <w:rFonts w:hint="eastAsia"/>
        </w:rPr>
      </w:pPr>
      <w:r>
        <w:rPr>
          <w:rFonts w:hint="eastAsia"/>
        </w:rPr>
        <w:t>The God of the Mystery Glorified (33-36)</w:t>
      </w:r>
    </w:p>
    <w:p w14:paraId="161EEBEB">
      <w:pPr>
        <w:pStyle w:val="9"/>
        <w:spacing w:before="66"/>
        <w:ind w:left="0"/>
        <w:jc w:val="left"/>
        <w:rPr>
          <w:rFonts w:hint="eastAsia"/>
        </w:rPr>
      </w:pPr>
      <w:r>
        <w:rPr>
          <w:rFonts w:hint="eastAsia"/>
        </w:rPr>
        <w:t>奥秘的上帝得荣耀（33-36）</w:t>
      </w:r>
    </w:p>
    <w:p w14:paraId="782DDDC2">
      <w:pPr>
        <w:pStyle w:val="9"/>
        <w:spacing w:before="66"/>
        <w:ind w:left="0"/>
        <w:jc w:val="left"/>
        <w:rPr>
          <w:rFonts w:hint="eastAsia"/>
        </w:rPr>
      </w:pPr>
    </w:p>
    <w:p w14:paraId="02034843">
      <w:pPr>
        <w:pStyle w:val="9"/>
        <w:spacing w:before="66"/>
        <w:ind w:left="0"/>
        <w:jc w:val="left"/>
        <w:rPr>
          <w:rFonts w:hint="eastAsia"/>
        </w:rPr>
      </w:pPr>
      <w:r>
        <w:rPr>
          <w:rFonts w:hint="eastAsia"/>
        </w:rPr>
        <w:t>The revelation of these decrees, which raises as many questions as it answers, utterly abases the finite human mind.</w:t>
      </w:r>
    </w:p>
    <w:p w14:paraId="6106BD1B">
      <w:pPr>
        <w:pStyle w:val="9"/>
        <w:spacing w:before="66"/>
        <w:ind w:left="0"/>
        <w:jc w:val="left"/>
        <w:rPr>
          <w:rFonts w:hint="eastAsia"/>
        </w:rPr>
      </w:pPr>
      <w:r>
        <w:rPr>
          <w:rFonts w:hint="eastAsia"/>
        </w:rPr>
        <w:t>这些谕令的启示，提出的问题和回答的一样多，完全使有限的人类心智谦卑下来。</w:t>
      </w:r>
    </w:p>
    <w:p w14:paraId="16D1E6D3">
      <w:pPr>
        <w:pStyle w:val="9"/>
        <w:spacing w:before="66"/>
        <w:ind w:left="0"/>
        <w:jc w:val="left"/>
        <w:rPr>
          <w:rFonts w:hint="eastAsia"/>
        </w:rPr>
      </w:pPr>
    </w:p>
    <w:p w14:paraId="2E90C7FD">
      <w:pPr>
        <w:pStyle w:val="9"/>
        <w:spacing w:before="66"/>
        <w:ind w:left="0"/>
        <w:jc w:val="left"/>
        <w:rPr>
          <w:rFonts w:hint="eastAsia"/>
        </w:rPr>
      </w:pPr>
      <w:r>
        <w:rPr>
          <w:rFonts w:hint="eastAsia"/>
        </w:rPr>
        <w:t>Such things cannot be (fully) understood, but—among God's grateful elect, both Jew and Gentile—they can be adored.</w:t>
      </w:r>
    </w:p>
    <w:p w14:paraId="796D26F0">
      <w:pPr>
        <w:pStyle w:val="9"/>
        <w:spacing w:before="66"/>
        <w:ind w:left="0"/>
        <w:jc w:val="left"/>
        <w:rPr>
          <w:rFonts w:hint="eastAsia"/>
        </w:rPr>
      </w:pPr>
      <w:r>
        <w:rPr>
          <w:rFonts w:hint="eastAsia"/>
        </w:rPr>
        <w:t>这些事无法（完全）被理解，但——在上帝感恩的选民中，无论是犹太人还是外邦人——它们可以被敬拜。</w:t>
      </w:r>
    </w:p>
    <w:p w14:paraId="4F5A0312">
      <w:pPr>
        <w:pStyle w:val="9"/>
        <w:spacing w:before="66"/>
        <w:ind w:left="0"/>
        <w:jc w:val="left"/>
        <w:rPr>
          <w:rFonts w:hint="eastAsia"/>
        </w:rPr>
      </w:pPr>
    </w:p>
    <w:p w14:paraId="44D1A9B8">
      <w:pPr>
        <w:pStyle w:val="9"/>
        <w:spacing w:before="66"/>
        <w:ind w:left="0"/>
        <w:jc w:val="left"/>
        <w:rPr>
          <w:rFonts w:hint="eastAsia"/>
        </w:rPr>
      </w:pPr>
      <w:r>
        <w:rPr>
          <w:rFonts w:hint="eastAsia"/>
        </w:rPr>
        <w:t>And indeed that is one of God's great purposes in revealing them.</w:t>
      </w:r>
    </w:p>
    <w:p w14:paraId="5EC66ED8">
      <w:pPr>
        <w:pStyle w:val="9"/>
        <w:spacing w:before="66"/>
        <w:ind w:left="0"/>
        <w:jc w:val="left"/>
        <w:rPr>
          <w:rFonts w:hint="eastAsia"/>
        </w:rPr>
      </w:pPr>
      <w:r>
        <w:rPr>
          <w:rFonts w:hint="eastAsia"/>
        </w:rPr>
        <w:t>确实，这正是上帝启示它们的伟大目的之一。</w:t>
      </w:r>
    </w:p>
    <w:p w14:paraId="45C1786B">
      <w:pPr>
        <w:pStyle w:val="9"/>
        <w:spacing w:before="66"/>
        <w:ind w:left="0"/>
        <w:jc w:val="left"/>
        <w:rPr>
          <w:rFonts w:hint="eastAsia"/>
        </w:rPr>
      </w:pPr>
    </w:p>
    <w:p w14:paraId="022D4CD4">
      <w:pPr>
        <w:pStyle w:val="9"/>
        <w:spacing w:before="66"/>
        <w:ind w:left="0"/>
        <w:jc w:val="left"/>
        <w:rPr>
          <w:rFonts w:hint="eastAsia"/>
        </w:rPr>
      </w:pPr>
      <w:r>
        <w:rPr>
          <w:rFonts w:hint="eastAsia"/>
        </w:rPr>
        <w:t>Small wonder, then, that at the close of this towering meditation on the redemptive purpose and plan of God, the apostle is flat on his face, undone by His unsearchable wisdom, knowledge, and judgments, but also raised to the glad and grateful worship of the One who is sovereign over all things (33-36)!</w:t>
      </w:r>
    </w:p>
    <w:p w14:paraId="0A0B4AAA">
      <w:pPr>
        <w:pStyle w:val="9"/>
        <w:spacing w:before="66"/>
        <w:ind w:left="0"/>
        <w:jc w:val="left"/>
        <w:rPr>
          <w:rFonts w:hint="eastAsia"/>
        </w:rPr>
      </w:pPr>
      <w:r>
        <w:rPr>
          <w:rFonts w:hint="eastAsia"/>
        </w:rPr>
        <w:t>那么，不足为奇的是，在这篇关于上帝救赎旨意和计划的崇高默想结束时，使徒俯伏在地，因祂那不可测度的智慧、知识和判断而折服，但也提升到对那位掌管万有之主的喜乐和感恩的敬拜中（33-36）！</w:t>
      </w:r>
    </w:p>
    <w:p w14:paraId="4C57D6BA">
      <w:pPr>
        <w:pStyle w:val="9"/>
        <w:spacing w:before="66"/>
        <w:ind w:left="0"/>
        <w:jc w:val="left"/>
        <w:rPr>
          <w:rFonts w:hint="eastAsia"/>
        </w:rPr>
      </w:pPr>
    </w:p>
    <w:p w14:paraId="15F5BA63">
      <w:pPr>
        <w:pStyle w:val="9"/>
        <w:spacing w:before="66"/>
        <w:ind w:left="0"/>
        <w:jc w:val="left"/>
        <w:rPr>
          <w:rFonts w:hint="eastAsia"/>
        </w:rPr>
      </w:pPr>
      <w:r>
        <w:rPr>
          <w:rFonts w:hint="eastAsia"/>
        </w:rPr>
        <w:t>Conclusion</w:t>
      </w:r>
    </w:p>
    <w:p w14:paraId="59B4F4A3">
      <w:pPr>
        <w:pStyle w:val="9"/>
        <w:spacing w:before="66"/>
        <w:ind w:left="0"/>
        <w:jc w:val="left"/>
        <w:rPr>
          <w:rFonts w:hint="eastAsia"/>
        </w:rPr>
      </w:pPr>
      <w:r>
        <w:rPr>
          <w:rFonts w:hint="eastAsia"/>
        </w:rPr>
        <w:t>结论</w:t>
      </w:r>
    </w:p>
    <w:p w14:paraId="08F8F52A">
      <w:pPr>
        <w:pStyle w:val="9"/>
        <w:spacing w:before="66"/>
        <w:ind w:left="0"/>
        <w:jc w:val="left"/>
        <w:rPr>
          <w:rFonts w:hint="eastAsia"/>
        </w:rPr>
      </w:pPr>
    </w:p>
    <w:p w14:paraId="1641AC52">
      <w:pPr>
        <w:pStyle w:val="9"/>
        <w:spacing w:before="66"/>
        <w:ind w:left="0"/>
        <w:jc w:val="left"/>
        <w:rPr>
          <w:rFonts w:hint="eastAsia"/>
        </w:rPr>
      </w:pPr>
      <w:r>
        <w:rPr>
          <w:rFonts w:hint="eastAsia"/>
        </w:rPr>
        <w:t>We have seen that in this challenging text the apostle speaks over and again of a great NT mystery.</w:t>
      </w:r>
    </w:p>
    <w:p w14:paraId="7DFE3CA8">
      <w:pPr>
        <w:pStyle w:val="9"/>
        <w:spacing w:before="66"/>
        <w:ind w:left="0"/>
        <w:jc w:val="left"/>
        <w:rPr>
          <w:rFonts w:hint="eastAsia"/>
        </w:rPr>
      </w:pPr>
      <w:r>
        <w:rPr>
          <w:rFonts w:hint="eastAsia"/>
        </w:rPr>
        <w:t>我们已经看到，在这段富有挑战性的经文中，使徒一再地谈到一个伟大的新约奥秘。</w:t>
      </w:r>
    </w:p>
    <w:p w14:paraId="6B8F9DC4">
      <w:pPr>
        <w:pStyle w:val="9"/>
        <w:spacing w:before="66"/>
        <w:ind w:left="0"/>
        <w:jc w:val="left"/>
        <w:rPr>
          <w:rFonts w:hint="eastAsia"/>
        </w:rPr>
      </w:pPr>
    </w:p>
    <w:p w14:paraId="4B35ED4A">
      <w:pPr>
        <w:pStyle w:val="9"/>
        <w:spacing w:before="66"/>
        <w:ind w:left="0"/>
        <w:jc w:val="left"/>
        <w:rPr>
          <w:rFonts w:hint="eastAsia"/>
        </w:rPr>
      </w:pPr>
      <w:r>
        <w:rPr>
          <w:rFonts w:hint="eastAsia"/>
        </w:rPr>
        <w:t>Just prior to the Parousia, when the fullness of the Gentiles has come in, God will turn again to his Old Covenant people.</w:t>
      </w:r>
    </w:p>
    <w:p w14:paraId="30A82317">
      <w:pPr>
        <w:pStyle w:val="9"/>
        <w:spacing w:before="66"/>
        <w:ind w:left="0"/>
        <w:jc w:val="left"/>
        <w:rPr>
          <w:rFonts w:hint="eastAsia"/>
        </w:rPr>
      </w:pPr>
      <w:r>
        <w:rPr>
          <w:rFonts w:hint="eastAsia"/>
        </w:rPr>
        <w:t>就在主临（Parousia）之前，当外邦人的数目添满了，上帝将再次转向祂的旧约子民。</w:t>
      </w:r>
    </w:p>
    <w:p w14:paraId="3DC52F45">
      <w:pPr>
        <w:pStyle w:val="9"/>
        <w:spacing w:before="66"/>
        <w:ind w:left="0"/>
        <w:jc w:val="left"/>
        <w:rPr>
          <w:rFonts w:hint="eastAsia"/>
        </w:rPr>
      </w:pPr>
    </w:p>
    <w:p w14:paraId="622B53BD">
      <w:pPr>
        <w:pStyle w:val="9"/>
        <w:spacing w:before="66"/>
        <w:ind w:left="0"/>
        <w:jc w:val="left"/>
        <w:rPr>
          <w:rFonts w:hint="eastAsia"/>
        </w:rPr>
      </w:pPr>
      <w:r>
        <w:rPr>
          <w:rFonts w:hint="eastAsia"/>
        </w:rPr>
        <w:t>By Christ, through the Spirit, and through the proclamation of the Gospel, he will again visit ethnic Israel at large, open their spiritual eyes, and grant them saving faith in their Messiah.</w:t>
      </w:r>
    </w:p>
    <w:p w14:paraId="7A5E0308">
      <w:pPr>
        <w:pStyle w:val="9"/>
        <w:spacing w:before="66"/>
        <w:ind w:left="0"/>
        <w:jc w:val="left"/>
        <w:rPr>
          <w:rFonts w:hint="eastAsia"/>
        </w:rPr>
      </w:pPr>
      <w:r>
        <w:rPr>
          <w:rFonts w:hint="eastAsia"/>
        </w:rPr>
        <w:t>借着基督，通过圣灵，并通过福音的宣讲，祂将再次临到整个以色列民族，打开他们的属灵眼睛，并赐给他们对他们弥赛亚的得救信心。</w:t>
      </w:r>
    </w:p>
    <w:p w14:paraId="31518BE6">
      <w:pPr>
        <w:pStyle w:val="9"/>
        <w:spacing w:before="66"/>
        <w:ind w:left="0"/>
        <w:jc w:val="left"/>
        <w:rPr>
          <w:rFonts w:hint="eastAsia"/>
        </w:rPr>
      </w:pPr>
    </w:p>
    <w:p w14:paraId="07A2635E">
      <w:pPr>
        <w:pStyle w:val="9"/>
        <w:spacing w:before="66"/>
        <w:ind w:left="0"/>
        <w:jc w:val="left"/>
        <w:rPr>
          <w:rFonts w:hint="eastAsia"/>
        </w:rPr>
      </w:pPr>
      <w:r>
        <w:rPr>
          <w:rFonts w:hint="eastAsia"/>
        </w:rPr>
        <w:t>He will draw them into the Eternal Covenant, so that spiritually, as well as physically, they may be the children of their father Abraham (4:1ff).</w:t>
      </w:r>
    </w:p>
    <w:p w14:paraId="467BB530">
      <w:pPr>
        <w:pStyle w:val="9"/>
        <w:spacing w:before="66"/>
        <w:ind w:left="0"/>
        <w:jc w:val="left"/>
        <w:rPr>
          <w:rFonts w:hint="eastAsia"/>
        </w:rPr>
      </w:pPr>
      <w:r>
        <w:rPr>
          <w:rFonts w:hint="eastAsia"/>
        </w:rPr>
        <w:t>祂将把他们吸引进入永恒之约，使他们不仅在肉体上，也在属灵上，成为他们父亚伯拉罕的儿女（4:1及以下）。</w:t>
      </w:r>
    </w:p>
    <w:p w14:paraId="1C32983B">
      <w:pPr>
        <w:pStyle w:val="9"/>
        <w:spacing w:before="66"/>
        <w:ind w:left="0"/>
        <w:jc w:val="left"/>
        <w:rPr>
          <w:rFonts w:hint="eastAsia"/>
        </w:rPr>
      </w:pPr>
    </w:p>
    <w:p w14:paraId="2FA3918E">
      <w:pPr>
        <w:pStyle w:val="9"/>
        <w:spacing w:before="66"/>
        <w:ind w:left="0"/>
        <w:jc w:val="left"/>
        <w:rPr>
          <w:rFonts w:hint="eastAsia"/>
        </w:rPr>
      </w:pPr>
      <w:r>
        <w:rPr>
          <w:rFonts w:hint="eastAsia"/>
        </w:rPr>
        <w:t>When this happens, it will mean “life from the dead.”</w:t>
      </w:r>
    </w:p>
    <w:p w14:paraId="3446C63E">
      <w:pPr>
        <w:pStyle w:val="9"/>
        <w:spacing w:before="66"/>
        <w:ind w:left="0"/>
        <w:jc w:val="left"/>
        <w:rPr>
          <w:rFonts w:hint="eastAsia"/>
        </w:rPr>
      </w:pPr>
      <w:r>
        <w:rPr>
          <w:rFonts w:hint="eastAsia"/>
        </w:rPr>
        <w:t>当这事发生时，这将意味着“死里复生”。</w:t>
      </w:r>
    </w:p>
    <w:p w14:paraId="1C25B531">
      <w:pPr>
        <w:pStyle w:val="9"/>
        <w:spacing w:before="66"/>
        <w:ind w:left="0"/>
        <w:jc w:val="left"/>
        <w:rPr>
          <w:rFonts w:hint="eastAsia"/>
        </w:rPr>
      </w:pPr>
    </w:p>
    <w:p w14:paraId="1CD6A636">
      <w:pPr>
        <w:pStyle w:val="9"/>
        <w:spacing w:before="66"/>
        <w:ind w:left="0"/>
        <w:jc w:val="left"/>
        <w:rPr>
          <w:rFonts w:hint="eastAsia"/>
        </w:rPr>
      </w:pPr>
      <w:r>
        <w:rPr>
          <w:rFonts w:hint="eastAsia"/>
        </w:rPr>
        <w:t>With the full harvest now in, the High King will be free to descend from heaven, raise the dead, judge the world in righteousness, and bring in God’s eternal Kingdom in its full and final form.</w:t>
      </w:r>
    </w:p>
    <w:p w14:paraId="24AF900F">
      <w:pPr>
        <w:pStyle w:val="9"/>
        <w:spacing w:before="66"/>
        <w:ind w:left="0"/>
        <w:jc w:val="left"/>
        <w:rPr>
          <w:rFonts w:hint="eastAsia"/>
        </w:rPr>
      </w:pPr>
      <w:r>
        <w:rPr>
          <w:rFonts w:hint="eastAsia"/>
        </w:rPr>
        <w:t>随着庄稼完全收割完毕，至高君王将可以自由地从天降临，使死人复活，按公义审判世界，并带来上帝永恒的国度，以其完全和最终的形式。</w:t>
      </w:r>
    </w:p>
    <w:p w14:paraId="40D13B6C">
      <w:pPr>
        <w:pStyle w:val="9"/>
        <w:spacing w:before="66"/>
        <w:ind w:left="0"/>
        <w:jc w:val="left"/>
        <w:rPr>
          <w:rFonts w:hint="eastAsia"/>
        </w:rPr>
      </w:pPr>
    </w:p>
    <w:p w14:paraId="1EF906C2">
      <w:pPr>
        <w:pStyle w:val="9"/>
        <w:spacing w:before="66"/>
        <w:ind w:left="0"/>
        <w:jc w:val="left"/>
        <w:rPr>
          <w:rFonts w:hint="eastAsia"/>
        </w:rPr>
      </w:pPr>
      <w:r>
        <w:rPr>
          <w:rFonts w:hint="eastAsia"/>
        </w:rPr>
        <w:t>For a number of reasons, this is vital information for the (largely Gentile) Church of our day.</w:t>
      </w:r>
    </w:p>
    <w:p w14:paraId="470A1EBF">
      <w:pPr>
        <w:pStyle w:val="9"/>
        <w:spacing w:before="66"/>
        <w:ind w:left="0"/>
        <w:jc w:val="left"/>
        <w:rPr>
          <w:rFonts w:hint="eastAsia"/>
        </w:rPr>
      </w:pPr>
      <w:r>
        <w:rPr>
          <w:rFonts w:hint="eastAsia"/>
        </w:rPr>
        <w:t>出于一些原因，这对我们今天（主要是外邦人的）教会来说是至关重要的信息。</w:t>
      </w:r>
    </w:p>
    <w:p w14:paraId="7AFB5927">
      <w:pPr>
        <w:pStyle w:val="9"/>
        <w:spacing w:before="66"/>
        <w:ind w:left="0"/>
        <w:jc w:val="left"/>
        <w:rPr>
          <w:rFonts w:hint="eastAsia"/>
        </w:rPr>
      </w:pPr>
    </w:p>
    <w:p w14:paraId="31C08CCB">
      <w:pPr>
        <w:pStyle w:val="9"/>
        <w:spacing w:before="66"/>
        <w:ind w:left="0"/>
        <w:jc w:val="left"/>
        <w:rPr>
          <w:rFonts w:hint="eastAsia"/>
        </w:rPr>
      </w:pPr>
      <w:r>
        <w:rPr>
          <w:rFonts w:hint="eastAsia"/>
        </w:rPr>
        <w:t>Again, it keeps us humble and makes us grateful.</w:t>
      </w:r>
    </w:p>
    <w:p w14:paraId="19464D58">
      <w:pPr>
        <w:pStyle w:val="9"/>
        <w:spacing w:before="66"/>
        <w:ind w:left="0"/>
        <w:jc w:val="left"/>
        <w:rPr>
          <w:rFonts w:hint="eastAsia"/>
        </w:rPr>
      </w:pPr>
      <w:r>
        <w:rPr>
          <w:rFonts w:hint="eastAsia"/>
        </w:rPr>
        <w:t>再次，它使我们谦卑并感恩。</w:t>
      </w:r>
    </w:p>
    <w:p w14:paraId="49689DA6">
      <w:pPr>
        <w:pStyle w:val="9"/>
        <w:spacing w:before="66"/>
        <w:ind w:left="0"/>
        <w:jc w:val="left"/>
        <w:rPr>
          <w:rFonts w:hint="eastAsia"/>
        </w:rPr>
      </w:pPr>
    </w:p>
    <w:p w14:paraId="14D78388">
      <w:pPr>
        <w:pStyle w:val="9"/>
        <w:spacing w:before="66"/>
        <w:ind w:left="0"/>
        <w:jc w:val="left"/>
        <w:rPr>
          <w:rFonts w:hint="eastAsia"/>
        </w:rPr>
      </w:pPr>
      <w:r>
        <w:rPr>
          <w:rFonts w:hint="eastAsia"/>
        </w:rPr>
        <w:t>It fills us with compassion and hope for our Jewish neighbors.</w:t>
      </w:r>
    </w:p>
    <w:p w14:paraId="78E25CD5">
      <w:pPr>
        <w:pStyle w:val="9"/>
        <w:spacing w:before="66"/>
        <w:ind w:left="0"/>
        <w:jc w:val="left"/>
        <w:rPr>
          <w:rFonts w:hint="eastAsia"/>
        </w:rPr>
      </w:pPr>
      <w:r>
        <w:rPr>
          <w:rFonts w:hint="eastAsia"/>
        </w:rPr>
        <w:t>它使我们对我们的犹太邻居充满怜悯和盼望。</w:t>
      </w:r>
    </w:p>
    <w:p w14:paraId="5B1E5F00">
      <w:pPr>
        <w:pStyle w:val="9"/>
        <w:spacing w:before="66"/>
        <w:ind w:left="0"/>
        <w:jc w:val="left"/>
        <w:rPr>
          <w:rFonts w:hint="eastAsia"/>
        </w:rPr>
      </w:pPr>
    </w:p>
    <w:p w14:paraId="4CF95E6D">
      <w:pPr>
        <w:pStyle w:val="9"/>
        <w:spacing w:before="66"/>
        <w:ind w:left="0"/>
        <w:jc w:val="left"/>
        <w:rPr>
          <w:rFonts w:hint="eastAsia"/>
        </w:rPr>
      </w:pPr>
      <w:r>
        <w:rPr>
          <w:rFonts w:hint="eastAsia"/>
        </w:rPr>
        <w:t>It moves us afresh to pray for them, and to reach out to them, and to all men (10:1).</w:t>
      </w:r>
    </w:p>
    <w:p w14:paraId="2DB4A56E">
      <w:pPr>
        <w:pStyle w:val="9"/>
        <w:spacing w:before="66"/>
        <w:ind w:left="0"/>
        <w:jc w:val="left"/>
        <w:rPr>
          <w:rFonts w:hint="eastAsia"/>
        </w:rPr>
      </w:pPr>
      <w:r>
        <w:rPr>
          <w:rFonts w:hint="eastAsia"/>
        </w:rPr>
        <w:t>它再次激励我们为他们祷告，并向他们，以及向所有的人传福音（10:1）。</w:t>
      </w:r>
    </w:p>
    <w:p w14:paraId="58B15C5E">
      <w:pPr>
        <w:pStyle w:val="9"/>
        <w:spacing w:before="66"/>
        <w:ind w:left="0"/>
        <w:jc w:val="left"/>
        <w:rPr>
          <w:rFonts w:hint="eastAsia"/>
        </w:rPr>
      </w:pPr>
    </w:p>
    <w:p w14:paraId="48F6019A">
      <w:pPr>
        <w:pStyle w:val="9"/>
        <w:spacing w:before="66"/>
        <w:ind w:left="0"/>
        <w:jc w:val="left"/>
        <w:rPr>
          <w:rFonts w:hint="eastAsia"/>
        </w:rPr>
      </w:pPr>
      <w:r>
        <w:rPr>
          <w:rFonts w:hint="eastAsia"/>
        </w:rPr>
        <w:t>Finally, it supplies us with one of the most important signs of the imminence of our Lord’s Parousia.</w:t>
      </w:r>
    </w:p>
    <w:p w14:paraId="09A397CF">
      <w:pPr>
        <w:pStyle w:val="9"/>
        <w:spacing w:before="66"/>
        <w:ind w:left="0"/>
        <w:jc w:val="left"/>
        <w:rPr>
          <w:rFonts w:hint="eastAsia"/>
        </w:rPr>
      </w:pPr>
      <w:r>
        <w:rPr>
          <w:rFonts w:hint="eastAsia"/>
        </w:rPr>
        <w:t>最后，它为我们提供了我们主主临（Parousia）迫近的最重要预兆之一。</w:t>
      </w:r>
    </w:p>
    <w:p w14:paraId="76933111">
      <w:pPr>
        <w:pStyle w:val="9"/>
        <w:spacing w:before="66"/>
        <w:ind w:left="0"/>
        <w:jc w:val="left"/>
        <w:rPr>
          <w:rFonts w:hint="eastAsia"/>
        </w:rPr>
      </w:pPr>
    </w:p>
    <w:p w14:paraId="2861C150">
      <w:pPr>
        <w:pStyle w:val="9"/>
        <w:spacing w:before="66"/>
        <w:ind w:left="0"/>
        <w:jc w:val="left"/>
        <w:rPr>
          <w:rFonts w:hint="eastAsia"/>
        </w:rPr>
      </w:pPr>
      <w:r>
        <w:rPr>
          <w:rFonts w:hint="eastAsia"/>
        </w:rPr>
        <w:t>Let us therefore stay on the alert.</w:t>
      </w:r>
    </w:p>
    <w:p w14:paraId="13E6F661">
      <w:pPr>
        <w:pStyle w:val="9"/>
        <w:spacing w:before="66"/>
        <w:ind w:left="0"/>
        <w:jc w:val="left"/>
        <w:rPr>
          <w:rFonts w:hint="eastAsia"/>
        </w:rPr>
      </w:pPr>
      <w:r>
        <w:rPr>
          <w:rFonts w:hint="eastAsia"/>
        </w:rPr>
        <w:t>因此，让我们保持警醒。</w:t>
      </w:r>
    </w:p>
    <w:p w14:paraId="4E249BFD">
      <w:pPr>
        <w:pStyle w:val="9"/>
        <w:spacing w:before="66"/>
        <w:ind w:left="0"/>
        <w:jc w:val="left"/>
        <w:rPr>
          <w:rFonts w:hint="eastAsia"/>
        </w:rPr>
      </w:pPr>
    </w:p>
    <w:p w14:paraId="185F125D">
      <w:pPr>
        <w:pStyle w:val="9"/>
        <w:spacing w:before="66"/>
        <w:ind w:left="0"/>
        <w:jc w:val="left"/>
        <w:rPr>
          <w:rFonts w:hint="eastAsia"/>
        </w:rPr>
      </w:pPr>
      <w:r>
        <w:rPr>
          <w:rFonts w:hint="eastAsia"/>
        </w:rPr>
        <w:t>For when at long last we see the great mass of world Jewry turning to Christ, we can lift up our eyes, knowing that our redemption—even life from the dead—has drawn near!13</w:t>
      </w:r>
    </w:p>
    <w:p w14:paraId="34552A3B">
      <w:pPr>
        <w:pStyle w:val="9"/>
        <w:spacing w:before="66"/>
        <w:ind w:left="0"/>
        <w:jc w:val="left"/>
        <w:rPr>
          <w:rFonts w:hint="eastAsia"/>
        </w:rPr>
      </w:pPr>
      <w:r>
        <w:rPr>
          <w:rFonts w:hint="eastAsia"/>
        </w:rPr>
        <w:t>因为当最后我们看到全世界的犹太人大众归向基督时，我们就可以举目，知道我们的救赎——甚至是死里复生——已经近了！13</w:t>
      </w:r>
    </w:p>
    <w:p w14:paraId="3BFB5A08">
      <w:pPr>
        <w:pStyle w:val="9"/>
        <w:spacing w:before="66"/>
        <w:ind w:left="0"/>
        <w:jc w:val="left"/>
        <w:rPr>
          <w:rFonts w:hint="eastAsia"/>
        </w:rPr>
      </w:pPr>
    </w:p>
    <w:p w14:paraId="24C58F30">
      <w:pPr>
        <w:pStyle w:val="9"/>
        <w:spacing w:before="66"/>
        <w:ind w:left="0"/>
        <w:jc w:val="left"/>
        <w:rPr>
          <w:rFonts w:hint="eastAsia"/>
        </w:rPr>
      </w:pPr>
      <w:r>
        <w:rPr>
          <w:rFonts w:hint="eastAsia"/>
        </w:rPr>
        <w:t>1.Behold, I Tell You a Mystery!</w:t>
      </w:r>
    </w:p>
    <w:p w14:paraId="1628D572">
      <w:pPr>
        <w:pStyle w:val="9"/>
        <w:spacing w:before="66"/>
        <w:ind w:left="0"/>
        <w:jc w:val="left"/>
        <w:rPr>
          <w:rFonts w:hint="eastAsia"/>
        </w:rPr>
      </w:pPr>
      <w:r>
        <w:rPr>
          <w:rFonts w:hint="eastAsia"/>
        </w:rPr>
        <w:t>1.看哪，我告诉你们一件奥秘！</w:t>
      </w:r>
    </w:p>
    <w:p w14:paraId="79BE74A2">
      <w:pPr>
        <w:pStyle w:val="9"/>
        <w:spacing w:before="66"/>
        <w:ind w:left="0"/>
        <w:jc w:val="left"/>
        <w:rPr>
          <w:rFonts w:hint="eastAsia"/>
        </w:rPr>
      </w:pPr>
    </w:p>
    <w:p w14:paraId="43B3020C">
      <w:pPr>
        <w:pStyle w:val="9"/>
        <w:spacing w:before="66"/>
        <w:ind w:left="0"/>
        <w:jc w:val="left"/>
        <w:rPr>
          <w:rFonts w:hint="eastAsia"/>
        </w:rPr>
      </w:pPr>
      <w:r>
        <w:rPr>
          <w:rFonts w:hint="eastAsia"/>
        </w:rPr>
        <w:t>(1 Corinthians 15:50-58)</w:t>
      </w:r>
    </w:p>
    <w:p w14:paraId="0EDA28CB">
      <w:pPr>
        <w:pStyle w:val="9"/>
        <w:spacing w:before="66"/>
        <w:ind w:left="0"/>
        <w:jc w:val="left"/>
        <w:rPr>
          <w:rFonts w:hint="eastAsia"/>
        </w:rPr>
      </w:pPr>
      <w:r>
        <w:rPr>
          <w:rFonts w:hint="eastAsia"/>
        </w:rPr>
        <w:t>（哥林多前书15:50-58）</w:t>
      </w:r>
    </w:p>
    <w:p w14:paraId="280BF6E7">
      <w:pPr>
        <w:pStyle w:val="9"/>
        <w:spacing w:before="66"/>
        <w:ind w:left="0"/>
        <w:jc w:val="left"/>
        <w:rPr>
          <w:rFonts w:hint="eastAsia"/>
        </w:rPr>
      </w:pPr>
    </w:p>
    <w:p w14:paraId="5028D8CE">
      <w:pPr>
        <w:pStyle w:val="9"/>
        <w:spacing w:before="66"/>
        <w:ind w:left="0"/>
        <w:jc w:val="left"/>
        <w:rPr>
          <w:rFonts w:hint="eastAsia"/>
        </w:rPr>
      </w:pPr>
      <w:r>
        <w:rPr>
          <w:rFonts w:hint="eastAsia"/>
        </w:rPr>
        <w:t>In the course of our journey, we have seen that 1 Corinthians 15 is one of the top two or three eschatological texts in the Didactic NT.</w:t>
      </w:r>
    </w:p>
    <w:p w14:paraId="0E16D421">
      <w:pPr>
        <w:pStyle w:val="9"/>
        <w:spacing w:before="66"/>
        <w:ind w:left="0"/>
        <w:jc w:val="left"/>
        <w:rPr>
          <w:rFonts w:hint="eastAsia"/>
        </w:rPr>
      </w:pPr>
      <w:r>
        <w:rPr>
          <w:rFonts w:hint="eastAsia"/>
        </w:rPr>
        <w:t>在我们旅程的过程中，我们已经看到哥林多前书第15章是教导性新约中最重要的两三段末世论经文之一。</w:t>
      </w:r>
    </w:p>
    <w:p w14:paraId="4B25EB28">
      <w:pPr>
        <w:pStyle w:val="9"/>
        <w:spacing w:before="66"/>
        <w:ind w:left="0"/>
        <w:jc w:val="left"/>
        <w:rPr>
          <w:rFonts w:hint="eastAsia"/>
        </w:rPr>
      </w:pPr>
    </w:p>
    <w:p w14:paraId="3DBBBF0D">
      <w:pPr>
        <w:pStyle w:val="9"/>
        <w:spacing w:before="66"/>
        <w:ind w:left="0"/>
        <w:jc w:val="left"/>
        <w:rPr>
          <w:rFonts w:hint="eastAsia"/>
        </w:rPr>
      </w:pPr>
      <w:r>
        <w:rPr>
          <w:rFonts w:hint="eastAsia"/>
        </w:rPr>
        <w:t>Like the parable of the Wheat and the Tares (Mt. 13), the Olivet Discourse (Mt. 24), and Paul’s eschatological remarks to the Thessalonians, it touches on every aspect of the Consummation.</w:t>
      </w:r>
    </w:p>
    <w:p w14:paraId="0DA7387B">
      <w:pPr>
        <w:pStyle w:val="9"/>
        <w:spacing w:before="66"/>
        <w:ind w:left="0"/>
        <w:jc w:val="left"/>
        <w:rPr>
          <w:rFonts w:hint="eastAsia"/>
        </w:rPr>
      </w:pPr>
      <w:r>
        <w:rPr>
          <w:rFonts w:hint="eastAsia"/>
        </w:rPr>
        <w:t>如同麦子和稗子的比喻（太13），橄榄山论述（太24），以及保罗对帖撒罗尼迦人的末世论言论，它触及了最终成全的每一个方面。</w:t>
      </w:r>
    </w:p>
    <w:p w14:paraId="2A701386">
      <w:pPr>
        <w:pStyle w:val="9"/>
        <w:spacing w:before="66"/>
        <w:ind w:left="0"/>
        <w:jc w:val="left"/>
        <w:rPr>
          <w:rFonts w:hint="eastAsia"/>
        </w:rPr>
      </w:pPr>
    </w:p>
    <w:p w14:paraId="497B92D8">
      <w:pPr>
        <w:pStyle w:val="9"/>
        <w:spacing w:before="66"/>
        <w:ind w:left="0"/>
        <w:jc w:val="left"/>
        <w:rPr>
          <w:rFonts w:hint="eastAsia"/>
        </w:rPr>
      </w:pPr>
      <w:r>
        <w:rPr>
          <w:rFonts w:hint="eastAsia"/>
        </w:rPr>
        <w:t>Moreover, as I argued earlier, verses 20-28 are of special importance in establishing NT eschatology, supplying as they do Paul’s most explicit teaching on the structure of the Kingdom of God.</w:t>
      </w:r>
    </w:p>
    <w:p w14:paraId="485E22F6">
      <w:pPr>
        <w:pStyle w:val="9"/>
        <w:spacing w:before="66"/>
        <w:ind w:left="0"/>
        <w:jc w:val="left"/>
        <w:rPr>
          <w:rFonts w:hint="eastAsia"/>
        </w:rPr>
      </w:pPr>
      <w:r>
        <w:rPr>
          <w:rFonts w:hint="eastAsia"/>
        </w:rPr>
        <w:t>此外，正如我先前所论证的，第20-28节在建立新约末世论方面特别重要，因为它们提供了保罗关于上帝之国结构最明确的教导。</w:t>
      </w:r>
    </w:p>
    <w:p w14:paraId="3870378B">
      <w:pPr>
        <w:pStyle w:val="9"/>
        <w:spacing w:before="66"/>
        <w:ind w:left="0"/>
        <w:jc w:val="left"/>
        <w:rPr>
          <w:rFonts w:hint="eastAsia"/>
        </w:rPr>
      </w:pPr>
    </w:p>
    <w:p w14:paraId="066B2DC3">
      <w:pPr>
        <w:pStyle w:val="9"/>
        <w:spacing w:before="66"/>
        <w:ind w:left="0"/>
        <w:jc w:val="left"/>
        <w:rPr>
          <w:rFonts w:hint="eastAsia"/>
        </w:rPr>
      </w:pPr>
      <w:r>
        <w:rPr>
          <w:rFonts w:hint="eastAsia"/>
        </w:rPr>
        <w:t>Examining it carefully, we found that he, like his Master, understands the Kingdom as appearing in two simple stages, separated by a single Parousia of Christ.</w:t>
      </w:r>
    </w:p>
    <w:p w14:paraId="6DC8CD5D">
      <w:pPr>
        <w:pStyle w:val="9"/>
        <w:spacing w:before="66"/>
        <w:ind w:left="0"/>
        <w:jc w:val="left"/>
        <w:rPr>
          <w:rFonts w:hint="eastAsia"/>
        </w:rPr>
      </w:pPr>
      <w:r>
        <w:rPr>
          <w:rFonts w:hint="eastAsia"/>
        </w:rPr>
        <w:t>仔细地考察它，我们发现祂，像祂的主一样，将国度理解为分两个简单的阶段出现，由基督的一次主临（Parousia）所分隔。</w:t>
      </w:r>
    </w:p>
    <w:p w14:paraId="502C353D">
      <w:pPr>
        <w:pStyle w:val="9"/>
        <w:spacing w:before="66"/>
        <w:ind w:left="0"/>
        <w:jc w:val="left"/>
        <w:rPr>
          <w:rFonts w:hint="eastAsia"/>
        </w:rPr>
      </w:pPr>
    </w:p>
    <w:p w14:paraId="3497AB3E">
      <w:pPr>
        <w:pStyle w:val="9"/>
        <w:spacing w:before="66"/>
        <w:ind w:left="0"/>
        <w:jc w:val="left"/>
        <w:rPr>
          <w:rFonts w:hint="eastAsia"/>
        </w:rPr>
      </w:pPr>
      <w:r>
        <w:rPr>
          <w:rFonts w:hint="eastAsia"/>
        </w:rPr>
        <w:t>And we found that this understanding positively precludes the twin premillennial theses of a three-staged Kingdom and two or more comings of Christ.</w:t>
      </w:r>
    </w:p>
    <w:p w14:paraId="092A9F3F">
      <w:pPr>
        <w:pStyle w:val="9"/>
        <w:spacing w:before="66"/>
        <w:ind w:left="0"/>
        <w:jc w:val="left"/>
        <w:rPr>
          <w:rFonts w:hint="eastAsia"/>
        </w:rPr>
      </w:pPr>
      <w:r>
        <w:rPr>
          <w:rFonts w:hint="eastAsia"/>
        </w:rPr>
        <w:t>我们发现，这种理解明确地排除了前千禧年论关于三阶段国度和两次或更多次基督降临的双重论点。</w:t>
      </w:r>
    </w:p>
    <w:p w14:paraId="2C9F5F6B">
      <w:pPr>
        <w:pStyle w:val="9"/>
        <w:spacing w:before="66"/>
        <w:ind w:left="0"/>
        <w:jc w:val="left"/>
        <w:rPr>
          <w:rFonts w:hint="eastAsia"/>
        </w:rPr>
      </w:pPr>
    </w:p>
    <w:p w14:paraId="2F95DB1D">
      <w:pPr>
        <w:pStyle w:val="9"/>
        <w:spacing w:before="66"/>
        <w:ind w:left="0"/>
        <w:jc w:val="left"/>
        <w:rPr>
          <w:rFonts w:hint="eastAsia"/>
        </w:rPr>
      </w:pPr>
      <w:r>
        <w:rPr>
          <w:rFonts w:hint="eastAsia"/>
        </w:rPr>
        <w:t>We have not, however, dealt at any length with verses 50-58, wherein Paul unveils, for the first time, the “mystery” of the transformation and glorification of the living saints at Christ’s Parousia.</w:t>
      </w:r>
    </w:p>
    <w:p w14:paraId="456824FC">
      <w:pPr>
        <w:pStyle w:val="9"/>
        <w:spacing w:before="66"/>
        <w:ind w:left="0"/>
        <w:jc w:val="left"/>
        <w:rPr>
          <w:rFonts w:hint="eastAsia"/>
        </w:rPr>
      </w:pPr>
      <w:r>
        <w:rPr>
          <w:rFonts w:hint="eastAsia"/>
        </w:rPr>
        <w:t>然而，我们尚未详细处理第50-58节，保罗在其中首次揭示了在基督主临（Parousia）时活着圣徒的改变和得荣耀的“奥秘”。</w:t>
      </w:r>
    </w:p>
    <w:p w14:paraId="5E8DA512">
      <w:pPr>
        <w:pStyle w:val="9"/>
        <w:spacing w:before="66"/>
        <w:ind w:left="0"/>
        <w:jc w:val="left"/>
        <w:rPr>
          <w:rFonts w:hint="eastAsia"/>
        </w:rPr>
      </w:pPr>
    </w:p>
    <w:p w14:paraId="01BF97F9">
      <w:pPr>
        <w:pStyle w:val="9"/>
        <w:spacing w:before="66"/>
        <w:ind w:left="0"/>
        <w:jc w:val="left"/>
        <w:rPr>
          <w:rFonts w:hint="eastAsia"/>
        </w:rPr>
      </w:pPr>
      <w:r>
        <w:rPr>
          <w:rFonts w:hint="eastAsia"/>
        </w:rPr>
        <w:t>Since this text is both fascinating and relevant to our study, let us take a moment to examine it more closely.</w:t>
      </w:r>
    </w:p>
    <w:p w14:paraId="4BC1D82D">
      <w:pPr>
        <w:pStyle w:val="9"/>
        <w:spacing w:before="66"/>
        <w:ind w:left="0"/>
        <w:jc w:val="left"/>
        <w:rPr>
          <w:rFonts w:hint="eastAsia"/>
        </w:rPr>
      </w:pPr>
      <w:r>
        <w:rPr>
          <w:rFonts w:hint="eastAsia"/>
        </w:rPr>
        <w:t>既然这段经文既引人入胜又与我们的研究相关，让我们花点时间更仔细地审视它。</w:t>
      </w:r>
    </w:p>
    <w:p w14:paraId="1B961781">
      <w:pPr>
        <w:pStyle w:val="9"/>
        <w:spacing w:before="66"/>
        <w:ind w:left="0"/>
        <w:jc w:val="left"/>
        <w:rPr>
          <w:rFonts w:hint="eastAsia"/>
        </w:rPr>
      </w:pPr>
    </w:p>
    <w:p w14:paraId="1DD5C0C9">
      <w:pPr>
        <w:pStyle w:val="9"/>
        <w:spacing w:before="66"/>
        <w:ind w:left="0"/>
        <w:jc w:val="left"/>
        <w:rPr>
          <w:rFonts w:hint="eastAsia"/>
        </w:rPr>
      </w:pPr>
      <w:r>
        <w:rPr>
          <w:rFonts w:hint="eastAsia"/>
        </w:rPr>
        <w:t>In verse 50 Paul begins by supplying the rationale for God’s glorifying the bodies of his saints at the Parousia (23): Mere flesh and blood, as presently constituted, could not possibly survive the weight of glory that will pervade the (consummated) Kingdom that Christ will introduce.</w:t>
      </w:r>
    </w:p>
    <w:p w14:paraId="183AB2D0">
      <w:pPr>
        <w:pStyle w:val="9"/>
        <w:spacing w:before="66"/>
        <w:ind w:left="0"/>
        <w:jc w:val="left"/>
        <w:rPr>
          <w:rFonts w:hint="eastAsia"/>
        </w:rPr>
      </w:pPr>
      <w:r>
        <w:rPr>
          <w:rFonts w:hint="eastAsia"/>
        </w:rPr>
        <w:t>在第50节，保罗开始提供上帝在主临（Parousia）时荣耀祂圣徒身体的理由（23）：单纯的血肉之躯，如其现有的构成，绝不可能承受那将要充满基督所引入的（成全的）国度的荣耀的重量。</w:t>
      </w:r>
    </w:p>
    <w:p w14:paraId="699CF7E0">
      <w:pPr>
        <w:pStyle w:val="9"/>
        <w:spacing w:before="66"/>
        <w:ind w:left="0"/>
        <w:jc w:val="left"/>
        <w:rPr>
          <w:rFonts w:hint="eastAsia"/>
        </w:rPr>
      </w:pPr>
    </w:p>
    <w:p w14:paraId="2C19CCD5">
      <w:pPr>
        <w:pStyle w:val="9"/>
        <w:spacing w:before="66"/>
        <w:ind w:left="0"/>
        <w:jc w:val="left"/>
        <w:rPr>
          <w:rFonts w:hint="eastAsia"/>
        </w:rPr>
      </w:pPr>
      <w:r>
        <w:rPr>
          <w:rFonts w:hint="eastAsia"/>
        </w:rPr>
        <w:t>The earthly bodies of the saints must be conformed to their new heavenly environment.</w:t>
      </w:r>
    </w:p>
    <w:p w14:paraId="7EF13347">
      <w:pPr>
        <w:pStyle w:val="9"/>
        <w:spacing w:before="66"/>
        <w:ind w:left="0"/>
        <w:jc w:val="left"/>
        <w:rPr>
          <w:rFonts w:hint="eastAsia"/>
        </w:rPr>
      </w:pPr>
      <w:r>
        <w:rPr>
          <w:rFonts w:hint="eastAsia"/>
        </w:rPr>
        <w:t>圣徒们属地的身体必须与他们新的属天环境相称。</w:t>
      </w:r>
    </w:p>
    <w:p w14:paraId="05125573">
      <w:pPr>
        <w:pStyle w:val="9"/>
        <w:spacing w:before="66"/>
        <w:ind w:left="0"/>
        <w:jc w:val="left"/>
        <w:rPr>
          <w:rFonts w:hint="eastAsia"/>
        </w:rPr>
      </w:pPr>
    </w:p>
    <w:p w14:paraId="2FE2B811">
      <w:pPr>
        <w:pStyle w:val="9"/>
        <w:spacing w:before="66"/>
        <w:ind w:left="0"/>
        <w:jc w:val="left"/>
        <w:rPr>
          <w:rFonts w:hint="eastAsia"/>
        </w:rPr>
      </w:pPr>
      <w:r>
        <w:rPr>
          <w:rFonts w:hint="eastAsia"/>
        </w:rPr>
        <w:t>To live in the Sun, one must be a creature of fire.</w:t>
      </w:r>
    </w:p>
    <w:p w14:paraId="3D9D33AD">
      <w:pPr>
        <w:pStyle w:val="9"/>
        <w:spacing w:before="66"/>
        <w:ind w:left="0"/>
        <w:jc w:val="left"/>
        <w:rPr>
          <w:rFonts w:hint="eastAsia"/>
        </w:rPr>
      </w:pPr>
      <w:r>
        <w:rPr>
          <w:rFonts w:hint="eastAsia"/>
        </w:rPr>
        <w:t>要活在太阳里，人必须是火的造物。</w:t>
      </w:r>
    </w:p>
    <w:p w14:paraId="669055DA">
      <w:pPr>
        <w:pStyle w:val="9"/>
        <w:spacing w:before="66"/>
        <w:ind w:left="0"/>
        <w:jc w:val="left"/>
        <w:rPr>
          <w:rFonts w:hint="eastAsia"/>
        </w:rPr>
      </w:pPr>
    </w:p>
    <w:p w14:paraId="491E8182">
      <w:pPr>
        <w:pStyle w:val="9"/>
        <w:spacing w:before="66"/>
        <w:ind w:left="0"/>
        <w:jc w:val="left"/>
        <w:rPr>
          <w:rFonts w:hint="eastAsia"/>
        </w:rPr>
      </w:pPr>
      <w:r>
        <w:rPr>
          <w:rFonts w:hint="eastAsia"/>
        </w:rPr>
        <w:t>Paul’s teaching here clearly rules out the premillennial scenario, which explicitly asserts that at his coming Christ will introduce a temporary kingdom that is to be inhabited by “flesh and blood” (e.g., children, tribulation Jews, tribulation converts, etc.).</w:t>
      </w:r>
    </w:p>
    <w:p w14:paraId="58080D59">
      <w:pPr>
        <w:pStyle w:val="9"/>
        <w:spacing w:before="66"/>
        <w:ind w:left="0"/>
        <w:jc w:val="left"/>
        <w:rPr>
          <w:rFonts w:hint="eastAsia"/>
        </w:rPr>
      </w:pPr>
      <w:r>
        <w:rPr>
          <w:rFonts w:hint="eastAsia"/>
        </w:rPr>
        <w:t>保罗在这里的教导明确地排除了前千禧年的情景，后者明确地断言基督在祂降临时将引入一个暂时的国度，其中将居住着“血肉之躯”（例如，孩子、大灾难中的犹太人、大灾难中的归信者等）。</w:t>
      </w:r>
    </w:p>
    <w:p w14:paraId="74DCDB85">
      <w:pPr>
        <w:pStyle w:val="9"/>
        <w:spacing w:before="66"/>
        <w:ind w:left="0"/>
        <w:jc w:val="left"/>
        <w:rPr>
          <w:rFonts w:hint="eastAsia"/>
        </w:rPr>
      </w:pPr>
    </w:p>
    <w:p w14:paraId="7B7CB9CF">
      <w:pPr>
        <w:pStyle w:val="9"/>
        <w:spacing w:before="66"/>
        <w:ind w:left="0"/>
        <w:jc w:val="left"/>
        <w:rPr>
          <w:rFonts w:hint="eastAsia"/>
        </w:rPr>
      </w:pPr>
      <w:r>
        <w:rPr>
          <w:rFonts w:hint="eastAsia"/>
        </w:rPr>
        <w:t>Note also that Paul refers to the coming Kingdom as incorruptible.</w:t>
      </w:r>
    </w:p>
    <w:p w14:paraId="70B7B517">
      <w:pPr>
        <w:pStyle w:val="9"/>
        <w:spacing w:before="66"/>
        <w:ind w:left="0"/>
        <w:jc w:val="left"/>
        <w:rPr>
          <w:rFonts w:hint="eastAsia"/>
        </w:rPr>
      </w:pPr>
      <w:r>
        <w:rPr>
          <w:rFonts w:hint="eastAsia"/>
        </w:rPr>
        <w:t>也请注意，保罗称将要来临的国度为不朽坏的。</w:t>
      </w:r>
    </w:p>
    <w:p w14:paraId="392B2F42">
      <w:pPr>
        <w:pStyle w:val="9"/>
        <w:spacing w:before="66"/>
        <w:ind w:left="0"/>
        <w:jc w:val="left"/>
        <w:rPr>
          <w:rFonts w:hint="eastAsia"/>
        </w:rPr>
      </w:pPr>
    </w:p>
    <w:p w14:paraId="0E1AD215">
      <w:pPr>
        <w:pStyle w:val="9"/>
        <w:spacing w:before="66"/>
        <w:ind w:left="0"/>
        <w:jc w:val="left"/>
        <w:rPr>
          <w:rFonts w:hint="eastAsia"/>
        </w:rPr>
      </w:pPr>
      <w:r>
        <w:rPr>
          <w:rFonts w:hint="eastAsia"/>
        </w:rPr>
        <w:t>As with the saints’ future bodies, so with their future world: Because both are glorious, both are incorrupt; because they are incorrupt, they are eternal, unchanging, and imperishable.</w:t>
      </w:r>
    </w:p>
    <w:p w14:paraId="75AE5D19">
      <w:pPr>
        <w:pStyle w:val="9"/>
        <w:spacing w:before="66"/>
        <w:ind w:left="0"/>
        <w:jc w:val="left"/>
        <w:rPr>
          <w:rFonts w:hint="eastAsia"/>
        </w:rPr>
      </w:pPr>
      <w:r>
        <w:rPr>
          <w:rFonts w:hint="eastAsia"/>
        </w:rPr>
        <w:t>如同圣徒们将来的身体，他们将来的世界也是如此：因为两者都是荣耀的，所以两者都是不朽坏的；因为它们是不朽坏的，所以它们是永恒的、不变的、不朽坏的。</w:t>
      </w:r>
    </w:p>
    <w:p w14:paraId="394E9B16">
      <w:pPr>
        <w:pStyle w:val="9"/>
        <w:spacing w:before="66"/>
        <w:ind w:left="0"/>
        <w:jc w:val="left"/>
        <w:rPr>
          <w:rFonts w:hint="eastAsia"/>
        </w:rPr>
      </w:pPr>
    </w:p>
    <w:p w14:paraId="4D8285CA">
      <w:pPr>
        <w:pStyle w:val="9"/>
        <w:spacing w:before="66"/>
        <w:ind w:left="0"/>
        <w:jc w:val="left"/>
        <w:rPr>
          <w:rFonts w:hint="eastAsia"/>
        </w:rPr>
      </w:pPr>
      <w:r>
        <w:rPr>
          <w:rFonts w:hint="eastAsia"/>
        </w:rPr>
        <w:t>Again, this leaves no room for that strange mingling of the temporary and the eternal, the corruptible and the incorruptible, that fills the premillennarian’s dreams.</w:t>
      </w:r>
    </w:p>
    <w:p w14:paraId="1E5BE605">
      <w:pPr>
        <w:pStyle w:val="9"/>
        <w:spacing w:before="66"/>
        <w:ind w:left="0"/>
        <w:jc w:val="left"/>
        <w:rPr>
          <w:rFonts w:hint="eastAsia"/>
        </w:rPr>
      </w:pPr>
      <w:r>
        <w:rPr>
          <w:rFonts w:hint="eastAsia"/>
        </w:rPr>
        <w:t>再次，这没有留下任何空间给那种充满前千禧年论者梦想的、暂时的与永恒的、可朽坏的与不朽坏的奇异混合。</w:t>
      </w:r>
    </w:p>
    <w:p w14:paraId="381F7798">
      <w:pPr>
        <w:pStyle w:val="9"/>
        <w:spacing w:before="66"/>
        <w:ind w:left="0"/>
        <w:jc w:val="left"/>
        <w:rPr>
          <w:rFonts w:hint="eastAsia"/>
        </w:rPr>
      </w:pPr>
    </w:p>
    <w:p w14:paraId="313EAF55">
      <w:pPr>
        <w:pStyle w:val="9"/>
        <w:spacing w:before="66"/>
        <w:ind w:left="0"/>
        <w:jc w:val="left"/>
        <w:rPr>
          <w:rFonts w:hint="eastAsia"/>
        </w:rPr>
      </w:pPr>
      <w:r>
        <w:rPr>
          <w:rFonts w:hint="eastAsia"/>
        </w:rPr>
        <w:t>In verses 51-52 Paul unveils the new eschatological mystery.</w:t>
      </w:r>
    </w:p>
    <w:p w14:paraId="24B02D0C">
      <w:pPr>
        <w:pStyle w:val="9"/>
        <w:spacing w:before="66"/>
        <w:ind w:left="0"/>
        <w:jc w:val="left"/>
        <w:rPr>
          <w:rFonts w:hint="eastAsia"/>
        </w:rPr>
      </w:pPr>
      <w:r>
        <w:rPr>
          <w:rFonts w:hint="eastAsia"/>
        </w:rPr>
        <w:t>在第51-52节，保罗揭示了新的末世论奥秘。</w:t>
      </w:r>
    </w:p>
    <w:p w14:paraId="266AFCD5">
      <w:pPr>
        <w:pStyle w:val="9"/>
        <w:spacing w:before="66"/>
        <w:ind w:left="0"/>
        <w:jc w:val="left"/>
        <w:rPr>
          <w:rFonts w:hint="eastAsia"/>
        </w:rPr>
      </w:pPr>
    </w:p>
    <w:p w14:paraId="63170E0B">
      <w:pPr>
        <w:pStyle w:val="9"/>
        <w:spacing w:before="66"/>
        <w:ind w:left="0"/>
        <w:jc w:val="left"/>
        <w:rPr>
          <w:rFonts w:hint="eastAsia"/>
        </w:rPr>
      </w:pPr>
      <w:r>
        <w:rPr>
          <w:rFonts w:hint="eastAsia"/>
        </w:rPr>
        <w:t>It is this: Not all the saints will sleep the sleep of death (though in the case of those who do, it is only their bodies that will sleep, for throughout the Intermediate State their souls will be awake in heaven with Christ); but all the saints will be changed (i.e., glorified).</w:t>
      </w:r>
    </w:p>
    <w:p w14:paraId="1BEFA4BA">
      <w:pPr>
        <w:pStyle w:val="9"/>
        <w:spacing w:before="66"/>
        <w:ind w:left="0"/>
        <w:jc w:val="left"/>
        <w:rPr>
          <w:rFonts w:hint="eastAsia"/>
        </w:rPr>
      </w:pPr>
      <w:r>
        <w:rPr>
          <w:rFonts w:hint="eastAsia"/>
        </w:rPr>
        <w:t>就是这样：并非所有圣徒都会睡死亡的觉（虽然在那些睡了的人的情况下，只是他们的身体睡了，因为在整个中间状态中，他们的灵魂将在天上与基督一同醒着）；但所有圣徒都将被改变（即得荣耀）。</w:t>
      </w:r>
    </w:p>
    <w:p w14:paraId="492A73BC">
      <w:pPr>
        <w:pStyle w:val="9"/>
        <w:spacing w:before="66"/>
        <w:ind w:left="0"/>
        <w:jc w:val="left"/>
        <w:rPr>
          <w:rFonts w:hint="eastAsia"/>
        </w:rPr>
      </w:pPr>
    </w:p>
    <w:p w14:paraId="4CFE74F2">
      <w:pPr>
        <w:pStyle w:val="9"/>
        <w:spacing w:before="66"/>
        <w:ind w:left="0"/>
        <w:jc w:val="left"/>
        <w:rPr>
          <w:rFonts w:hint="eastAsia"/>
        </w:rPr>
      </w:pPr>
      <w:r>
        <w:rPr>
          <w:rFonts w:hint="eastAsia"/>
        </w:rPr>
        <w:t>In other words, immediately after the resurrection of the dead, the living saints—those “who are alive and remain until the coming of the Lord”—will simply, and very suddenly, be changed, glorified (1 Thess. 4:15).</w:t>
      </w:r>
    </w:p>
    <w:p w14:paraId="652056F9">
      <w:pPr>
        <w:pStyle w:val="9"/>
        <w:spacing w:before="66"/>
        <w:ind w:left="0"/>
        <w:jc w:val="left"/>
        <w:rPr>
          <w:rFonts w:hint="eastAsia"/>
        </w:rPr>
      </w:pPr>
      <w:r>
        <w:rPr>
          <w:rFonts w:hint="eastAsia"/>
        </w:rPr>
        <w:t>换句话说，在死人复活之后，活着的圣徒——那些“还存留到主降临的人”——将简单地，且非常突然地，被改变，得荣耀（帖前4:15）。</w:t>
      </w:r>
    </w:p>
    <w:p w14:paraId="3E896DC3">
      <w:pPr>
        <w:pStyle w:val="9"/>
        <w:spacing w:before="66"/>
        <w:ind w:left="0"/>
        <w:jc w:val="left"/>
        <w:rPr>
          <w:rFonts w:hint="eastAsia"/>
        </w:rPr>
      </w:pPr>
    </w:p>
    <w:p w14:paraId="1EACA78B">
      <w:pPr>
        <w:pStyle w:val="9"/>
        <w:spacing w:before="66"/>
        <w:ind w:left="0"/>
        <w:jc w:val="left"/>
        <w:rPr>
          <w:rFonts w:hint="eastAsia"/>
        </w:rPr>
      </w:pPr>
      <w:r>
        <w:rPr>
          <w:rFonts w:hint="eastAsia"/>
        </w:rPr>
        <w:t>Here then we find Paul elaborating on verse 23, explaining in greater detail exactly what will happen to all “… who are Christ’s at his coming.”</w:t>
      </w:r>
    </w:p>
    <w:p w14:paraId="5824DBDA">
      <w:pPr>
        <w:pStyle w:val="9"/>
        <w:spacing w:before="66"/>
        <w:ind w:left="0"/>
        <w:jc w:val="left"/>
        <w:rPr>
          <w:rFonts w:hint="eastAsia"/>
        </w:rPr>
      </w:pPr>
      <w:r>
        <w:rPr>
          <w:rFonts w:hint="eastAsia"/>
        </w:rPr>
        <w:t>因此，我们在这里发现保罗详细阐述了第23节，更详细地解释了所有“……在祂来的时候是属基督的”人将要发生的事。</w:t>
      </w:r>
    </w:p>
    <w:p w14:paraId="6635EE59">
      <w:pPr>
        <w:pStyle w:val="9"/>
        <w:spacing w:before="66"/>
        <w:ind w:left="0"/>
        <w:jc w:val="left"/>
        <w:rPr>
          <w:rFonts w:hint="eastAsia"/>
        </w:rPr>
      </w:pPr>
    </w:p>
    <w:p w14:paraId="4E59CF18">
      <w:pPr>
        <w:pStyle w:val="9"/>
        <w:spacing w:before="66"/>
        <w:ind w:left="0"/>
        <w:jc w:val="left"/>
        <w:rPr>
          <w:rFonts w:hint="eastAsia"/>
        </w:rPr>
      </w:pPr>
      <w:r>
        <w:rPr>
          <w:rFonts w:hint="eastAsia"/>
        </w:rPr>
        <w:t>Observe carefully that all of this happens not simply at the Parousia, but also at the last trumpet, which Paul clearly assumes to be simultaneous with the Parousia (52; Mt. 24:31, 1 Thess. 4:16).</w:t>
      </w:r>
    </w:p>
    <w:p w14:paraId="5A0C0142">
      <w:pPr>
        <w:pStyle w:val="9"/>
        <w:spacing w:before="66"/>
        <w:ind w:left="0"/>
        <w:jc w:val="left"/>
        <w:rPr>
          <w:rFonts w:hint="eastAsia"/>
        </w:rPr>
      </w:pPr>
      <w:r>
        <w:rPr>
          <w:rFonts w:hint="eastAsia"/>
        </w:rPr>
        <w:t>请仔细观察，这一切不仅发生在主临（Parousia）时，也发生在末次号筒吹响时，保罗显然假设这与主临是同时的（52；太24:31，帖前4:16）。</w:t>
      </w:r>
    </w:p>
    <w:p w14:paraId="55C5747A">
      <w:pPr>
        <w:pStyle w:val="9"/>
        <w:spacing w:before="66"/>
        <w:ind w:left="0"/>
        <w:jc w:val="left"/>
        <w:rPr>
          <w:rFonts w:hint="eastAsia"/>
        </w:rPr>
      </w:pPr>
    </w:p>
    <w:p w14:paraId="51EDD489">
      <w:pPr>
        <w:pStyle w:val="9"/>
        <w:spacing w:before="66"/>
        <w:ind w:left="0"/>
        <w:jc w:val="left"/>
        <w:rPr>
          <w:rFonts w:hint="eastAsia"/>
        </w:rPr>
      </w:pPr>
      <w:r>
        <w:rPr>
          <w:rFonts w:hint="eastAsia"/>
        </w:rPr>
        <w:t>If, however, “last” means “last,” then certainly there cannot be another sounding of the resurrection trumpet at the end of a future Millennium.</w:t>
      </w:r>
    </w:p>
    <w:p w14:paraId="18C620E5">
      <w:pPr>
        <w:pStyle w:val="9"/>
        <w:spacing w:before="66"/>
        <w:ind w:left="0"/>
        <w:jc w:val="left"/>
        <w:rPr>
          <w:rFonts w:hint="eastAsia"/>
        </w:rPr>
      </w:pPr>
      <w:r>
        <w:rPr>
          <w:rFonts w:hint="eastAsia"/>
        </w:rPr>
        <w:t>然而，如果“末次”意味着“最后一次”，那么在未来的千禧年结束时，肯定不会有另一次复活的号筒吹响。</w:t>
      </w:r>
    </w:p>
    <w:p w14:paraId="4DAAD56E">
      <w:pPr>
        <w:pStyle w:val="9"/>
        <w:spacing w:before="66"/>
        <w:ind w:left="0"/>
        <w:jc w:val="left"/>
        <w:rPr>
          <w:rFonts w:hint="eastAsia"/>
        </w:rPr>
      </w:pPr>
    </w:p>
    <w:p w14:paraId="33503AEA">
      <w:pPr>
        <w:pStyle w:val="9"/>
        <w:spacing w:before="66"/>
        <w:ind w:left="0"/>
        <w:jc w:val="left"/>
        <w:rPr>
          <w:rFonts w:hint="eastAsia"/>
        </w:rPr>
      </w:pPr>
      <w:r>
        <w:rPr>
          <w:rFonts w:hint="eastAsia"/>
        </w:rPr>
        <w:t>Still less can there be millions of such soundings, scattered over a thousand years, occurring every time a millennial saint dies and is instantly glorified!</w:t>
      </w:r>
    </w:p>
    <w:p w14:paraId="3BCA8A11">
      <w:pPr>
        <w:pStyle w:val="9"/>
        <w:spacing w:before="66"/>
        <w:ind w:left="0"/>
        <w:jc w:val="left"/>
        <w:rPr>
          <w:rFonts w:hint="eastAsia"/>
        </w:rPr>
      </w:pPr>
      <w:r>
        <w:rPr>
          <w:rFonts w:hint="eastAsia"/>
        </w:rPr>
        <w:t>更不可能有数百万次这样的号声，分散在一千年里，每当一个千禧年的圣徒死去并立刻得荣耀时就发生！</w:t>
      </w:r>
    </w:p>
    <w:p w14:paraId="2FD13775">
      <w:pPr>
        <w:pStyle w:val="9"/>
        <w:spacing w:before="66"/>
        <w:ind w:left="0"/>
        <w:jc w:val="left"/>
        <w:rPr>
          <w:rFonts w:hint="eastAsia"/>
        </w:rPr>
      </w:pPr>
    </w:p>
    <w:p w14:paraId="4EA71175">
      <w:pPr>
        <w:pStyle w:val="9"/>
        <w:spacing w:before="66"/>
        <w:ind w:left="0"/>
        <w:jc w:val="left"/>
        <w:rPr>
          <w:rFonts w:hint="eastAsia"/>
        </w:rPr>
      </w:pPr>
      <w:r>
        <w:rPr>
          <w:rFonts w:hint="eastAsia"/>
        </w:rPr>
        <w:t>No, the far horizon of Paul’s eschatology is the Parousia, when the whole Church—“those who are Christ’s at his coming”— is glorified, and so enters the eternal Kingdom of God.</w:t>
      </w:r>
    </w:p>
    <w:p w14:paraId="0708A550">
      <w:pPr>
        <w:pStyle w:val="9"/>
        <w:spacing w:before="66"/>
        <w:ind w:left="0"/>
        <w:jc w:val="left"/>
        <w:rPr>
          <w:rFonts w:hint="eastAsia"/>
        </w:rPr>
      </w:pPr>
      <w:r>
        <w:rPr>
          <w:rFonts w:hint="eastAsia"/>
        </w:rPr>
        <w:t>不，保罗末世论的远景是主临（Parousia），那时整个教会——“那些在祂来的时候是属基督的”——都得荣耀，从而进入上帝永恒的国度。</w:t>
      </w:r>
    </w:p>
    <w:p w14:paraId="476CB691">
      <w:pPr>
        <w:pStyle w:val="9"/>
        <w:spacing w:before="66"/>
        <w:ind w:left="0"/>
        <w:jc w:val="left"/>
        <w:rPr>
          <w:rFonts w:hint="eastAsia"/>
        </w:rPr>
      </w:pPr>
    </w:p>
    <w:p w14:paraId="0B67F024">
      <w:pPr>
        <w:pStyle w:val="9"/>
        <w:spacing w:before="66"/>
        <w:ind w:left="0"/>
        <w:jc w:val="left"/>
        <w:rPr>
          <w:rFonts w:hint="eastAsia"/>
        </w:rPr>
      </w:pPr>
      <w:r>
        <w:rPr>
          <w:rFonts w:hint="eastAsia"/>
        </w:rPr>
        <w:t>Verses 53-55 bring the disclosure of the mystery—and Paul’s entire discourse on the resurrection—to their glorious climax.</w:t>
      </w:r>
    </w:p>
    <w:p w14:paraId="7166D021">
      <w:pPr>
        <w:pStyle w:val="9"/>
        <w:spacing w:before="66"/>
        <w:ind w:left="0"/>
        <w:jc w:val="left"/>
        <w:rPr>
          <w:rFonts w:hint="eastAsia"/>
        </w:rPr>
      </w:pPr>
      <w:r>
        <w:rPr>
          <w:rFonts w:hint="eastAsia"/>
        </w:rPr>
        <w:t>第53-55节将这个奥秘的揭示——以及保罗关于复活的整个论述——带到了其荣耀的高潮。</w:t>
      </w:r>
    </w:p>
    <w:p w14:paraId="18D457D7">
      <w:pPr>
        <w:pStyle w:val="9"/>
        <w:spacing w:before="66"/>
        <w:ind w:left="0"/>
        <w:jc w:val="left"/>
        <w:rPr>
          <w:rFonts w:hint="eastAsia"/>
        </w:rPr>
      </w:pPr>
    </w:p>
    <w:p w14:paraId="5E7D4E1B">
      <w:pPr>
        <w:pStyle w:val="9"/>
        <w:spacing w:before="66"/>
        <w:ind w:left="0"/>
        <w:jc w:val="left"/>
        <w:rPr>
          <w:rFonts w:hint="eastAsia"/>
        </w:rPr>
      </w:pPr>
      <w:r>
        <w:rPr>
          <w:rFonts w:hint="eastAsia"/>
        </w:rPr>
        <w:t>First, he reiterates what he said moments earlier: This corruptible (Adamic flesh) must put on incorruption, and this mortal must put on immortality, above all because it is God’s own purpose and plan, but also because the very nature of the Kingdom requires it (50; 42-44).</w:t>
      </w:r>
    </w:p>
    <w:p w14:paraId="0497D51E">
      <w:pPr>
        <w:pStyle w:val="9"/>
        <w:spacing w:before="66"/>
        <w:ind w:left="0"/>
        <w:jc w:val="left"/>
        <w:rPr>
          <w:rFonts w:hint="eastAsia"/>
        </w:rPr>
      </w:pPr>
      <w:r>
        <w:rPr>
          <w:rFonts w:hint="eastAsia"/>
        </w:rPr>
        <w:t>首先，祂重申了祂刚才所说的话：这必朽坏的（亚当的肉体）总要变成不朽坏的，这必死的总要变成不死的，首先因为这是上帝自己的旨意和计划，但也因为国度的本质要求如此（50；42-44）。</w:t>
      </w:r>
    </w:p>
    <w:p w14:paraId="0C4ADFF4">
      <w:pPr>
        <w:pStyle w:val="9"/>
        <w:spacing w:before="66"/>
        <w:ind w:left="0"/>
        <w:jc w:val="left"/>
        <w:rPr>
          <w:rFonts w:hint="eastAsia"/>
        </w:rPr>
      </w:pPr>
    </w:p>
    <w:p w14:paraId="07CCBF4C">
      <w:pPr>
        <w:pStyle w:val="9"/>
        <w:spacing w:before="66"/>
        <w:ind w:left="0"/>
        <w:jc w:val="left"/>
        <w:rPr>
          <w:rFonts w:hint="eastAsia"/>
        </w:rPr>
      </w:pPr>
      <w:r>
        <w:rPr>
          <w:rFonts w:hint="eastAsia"/>
        </w:rPr>
        <w:t>Then, in language brimming with celebration and doxology, the apostle affirms that when the resurrection occurs, God will fulfill his ancient Kingdom promise to the effect that death will be swallowed up in victory (Isaiah 25:8, Hosea 13:14).</w:t>
      </w:r>
    </w:p>
    <w:p w14:paraId="447D7576">
      <w:pPr>
        <w:pStyle w:val="9"/>
        <w:spacing w:before="66"/>
        <w:ind w:left="0"/>
        <w:jc w:val="left"/>
        <w:rPr>
          <w:rFonts w:hint="eastAsia"/>
        </w:rPr>
      </w:pPr>
      <w:r>
        <w:rPr>
          <w:rFonts w:hint="eastAsia"/>
        </w:rPr>
        <w:t>然后，使徒用充满庆典和颂赞的语言肯定，当复活发生时，上帝将应验祂古老的国度应许，即死亡将被胜利吞灭（以赛亚书25:8，何西阿书13:14）。</w:t>
      </w:r>
    </w:p>
    <w:p w14:paraId="3600A32A">
      <w:pPr>
        <w:pStyle w:val="9"/>
        <w:spacing w:before="66"/>
        <w:ind w:left="0"/>
        <w:jc w:val="left"/>
        <w:rPr>
          <w:rFonts w:hint="eastAsia"/>
        </w:rPr>
      </w:pPr>
    </w:p>
    <w:p w14:paraId="4CCC8426">
      <w:pPr>
        <w:pStyle w:val="9"/>
        <w:spacing w:before="66"/>
        <w:ind w:left="0"/>
        <w:jc w:val="left"/>
        <w:rPr>
          <w:rFonts w:hint="eastAsia"/>
        </w:rPr>
      </w:pPr>
      <w:r>
        <w:rPr>
          <w:rFonts w:hint="eastAsia"/>
        </w:rPr>
        <w:t>It is vital to understand what Paul has in mind here.</w:t>
      </w:r>
    </w:p>
    <w:p w14:paraId="10467B97">
      <w:pPr>
        <w:pStyle w:val="9"/>
        <w:spacing w:before="66"/>
        <w:ind w:left="0"/>
        <w:jc w:val="left"/>
        <w:rPr>
          <w:rFonts w:hint="eastAsia"/>
        </w:rPr>
      </w:pPr>
      <w:r>
        <w:rPr>
          <w:rFonts w:hint="eastAsia"/>
        </w:rPr>
        <w:t>理解保罗在这里心中所想的是至关重要的。</w:t>
      </w:r>
    </w:p>
    <w:p w14:paraId="73807414">
      <w:pPr>
        <w:pStyle w:val="9"/>
        <w:spacing w:before="66"/>
        <w:ind w:left="0"/>
        <w:jc w:val="left"/>
        <w:rPr>
          <w:rFonts w:hint="eastAsia"/>
        </w:rPr>
      </w:pPr>
    </w:p>
    <w:p w14:paraId="599AAADB">
      <w:pPr>
        <w:pStyle w:val="9"/>
        <w:spacing w:before="66"/>
        <w:ind w:left="0"/>
        <w:jc w:val="left"/>
        <w:rPr>
          <w:rFonts w:hint="eastAsia"/>
        </w:rPr>
      </w:pPr>
      <w:r>
        <w:rPr>
          <w:rFonts w:hint="eastAsia"/>
        </w:rPr>
        <w:t>Importantly, he has already explained it in verses 20-28.</w:t>
      </w:r>
    </w:p>
    <w:p w14:paraId="17CEA0DB">
      <w:pPr>
        <w:pStyle w:val="9"/>
        <w:spacing w:before="66"/>
        <w:ind w:left="0"/>
        <w:jc w:val="left"/>
        <w:rPr>
          <w:rFonts w:hint="eastAsia"/>
        </w:rPr>
      </w:pPr>
      <w:r>
        <w:rPr>
          <w:rFonts w:hint="eastAsia"/>
        </w:rPr>
        <w:t>重要的是，祂已经在第20-28节中解释过了。</w:t>
      </w:r>
    </w:p>
    <w:p w14:paraId="0F4E862B">
      <w:pPr>
        <w:pStyle w:val="9"/>
        <w:spacing w:before="66"/>
        <w:ind w:left="0"/>
        <w:jc w:val="left"/>
        <w:rPr>
          <w:rFonts w:hint="eastAsia"/>
        </w:rPr>
      </w:pPr>
    </w:p>
    <w:p w14:paraId="71C62FA3">
      <w:pPr>
        <w:pStyle w:val="9"/>
        <w:spacing w:before="66"/>
        <w:ind w:left="0"/>
        <w:jc w:val="left"/>
        <w:rPr>
          <w:rFonts w:hint="eastAsia"/>
        </w:rPr>
      </w:pPr>
      <w:r>
        <w:rPr>
          <w:rFonts w:hint="eastAsia"/>
        </w:rPr>
        <w:t>What he has in mind is final, ultimate victory.</w:t>
      </w:r>
    </w:p>
    <w:p w14:paraId="3998E941">
      <w:pPr>
        <w:pStyle w:val="9"/>
        <w:spacing w:before="66"/>
        <w:ind w:left="0"/>
        <w:jc w:val="left"/>
        <w:rPr>
          <w:rFonts w:hint="eastAsia"/>
        </w:rPr>
      </w:pPr>
      <w:r>
        <w:rPr>
          <w:rFonts w:hint="eastAsia"/>
        </w:rPr>
        <w:t>祂心中所想的是最终的、终极的胜利。</w:t>
      </w:r>
    </w:p>
    <w:p w14:paraId="4D01B06C">
      <w:pPr>
        <w:pStyle w:val="9"/>
        <w:spacing w:before="66"/>
        <w:ind w:left="0"/>
        <w:jc w:val="left"/>
        <w:rPr>
          <w:rFonts w:hint="eastAsia"/>
        </w:rPr>
      </w:pPr>
    </w:p>
    <w:p w14:paraId="66B88378">
      <w:pPr>
        <w:pStyle w:val="9"/>
        <w:spacing w:before="66"/>
        <w:ind w:left="0"/>
        <w:jc w:val="left"/>
        <w:rPr>
          <w:rFonts w:hint="eastAsia"/>
        </w:rPr>
      </w:pPr>
      <w:r>
        <w:rPr>
          <w:rFonts w:hint="eastAsia"/>
        </w:rPr>
        <w:t>What he has in mind is the abolition of the last enemy, which is death (26).</w:t>
      </w:r>
    </w:p>
    <w:p w14:paraId="66CCBA93">
      <w:pPr>
        <w:pStyle w:val="9"/>
        <w:spacing w:before="66"/>
        <w:ind w:left="0"/>
        <w:jc w:val="left"/>
        <w:rPr>
          <w:rFonts w:hint="eastAsia"/>
        </w:rPr>
      </w:pPr>
      <w:r>
        <w:rPr>
          <w:rFonts w:hint="eastAsia"/>
        </w:rPr>
        <w:t>祂心中所想的是废除那尽末了的仇敌，就是死（26）。</w:t>
      </w:r>
    </w:p>
    <w:p w14:paraId="1AE2E3B7">
      <w:pPr>
        <w:pStyle w:val="9"/>
        <w:spacing w:before="66"/>
        <w:ind w:left="0"/>
        <w:jc w:val="left"/>
        <w:rPr>
          <w:rFonts w:hint="eastAsia"/>
        </w:rPr>
      </w:pPr>
    </w:p>
    <w:p w14:paraId="47877D69">
      <w:pPr>
        <w:pStyle w:val="9"/>
        <w:spacing w:before="66"/>
        <w:ind w:left="0"/>
        <w:jc w:val="left"/>
        <w:rPr>
          <w:rFonts w:hint="eastAsia"/>
        </w:rPr>
      </w:pPr>
      <w:r>
        <w:rPr>
          <w:rFonts w:hint="eastAsia"/>
        </w:rPr>
        <w:t>And what he has in mind is the abolition of every other enemy, for which death stands as the supreme emblem (25).</w:t>
      </w:r>
    </w:p>
    <w:p w14:paraId="0F8CB624">
      <w:pPr>
        <w:pStyle w:val="9"/>
        <w:spacing w:before="66"/>
        <w:ind w:left="0"/>
        <w:jc w:val="left"/>
        <w:rPr>
          <w:rFonts w:hint="eastAsia"/>
        </w:rPr>
      </w:pPr>
      <w:r>
        <w:rPr>
          <w:rFonts w:hint="eastAsia"/>
        </w:rPr>
        <w:t>祂心中所想的是废除所有其他的仇敌，死亡是其至高的象征（25）。</w:t>
      </w:r>
    </w:p>
    <w:p w14:paraId="36572D3F">
      <w:pPr>
        <w:pStyle w:val="9"/>
        <w:spacing w:before="66"/>
        <w:ind w:left="0"/>
        <w:jc w:val="left"/>
        <w:rPr>
          <w:rFonts w:hint="eastAsia"/>
        </w:rPr>
      </w:pPr>
    </w:p>
    <w:p w14:paraId="44356373">
      <w:pPr>
        <w:pStyle w:val="9"/>
        <w:spacing w:before="66"/>
        <w:ind w:left="0"/>
        <w:jc w:val="left"/>
        <w:rPr>
          <w:rFonts w:hint="eastAsia"/>
        </w:rPr>
      </w:pPr>
      <w:r>
        <w:rPr>
          <w:rFonts w:hint="eastAsia"/>
        </w:rPr>
        <w:t>How, then, can he not be exultant at the thought of the resurrection, seeing that when it occurs Christ will completely expel all evil, suffering, and death from the cosmos, and completely glorify all (redeemed) things?</w:t>
      </w:r>
    </w:p>
    <w:p w14:paraId="65CF7D73">
      <w:pPr>
        <w:pStyle w:val="9"/>
        <w:spacing w:before="66"/>
        <w:ind w:left="0"/>
        <w:jc w:val="left"/>
        <w:rPr>
          <w:rFonts w:hint="eastAsia"/>
        </w:rPr>
      </w:pPr>
      <w:r>
        <w:rPr>
          <w:rFonts w:hint="eastAsia"/>
        </w:rPr>
        <w:t>那么，当祂想到复活时，又怎能不欢欣鼓舞呢？因为当复活发生时，基督将彻底地将所有邪恶、苦难和死亡从宇宙中驱逐出去，并彻底地荣耀所有（被赎的）事物。</w:t>
      </w:r>
    </w:p>
    <w:p w14:paraId="70F7AA56">
      <w:pPr>
        <w:pStyle w:val="9"/>
        <w:spacing w:before="66"/>
        <w:ind w:left="0"/>
        <w:jc w:val="left"/>
        <w:rPr>
          <w:rFonts w:hint="eastAsia"/>
        </w:rPr>
      </w:pPr>
    </w:p>
    <w:p w14:paraId="1ABB3240">
      <w:pPr>
        <w:pStyle w:val="9"/>
        <w:spacing w:before="66"/>
        <w:ind w:left="0"/>
        <w:jc w:val="left"/>
        <w:rPr>
          <w:rFonts w:hint="eastAsia"/>
        </w:rPr>
      </w:pPr>
      <w:r>
        <w:rPr>
          <w:rFonts w:hint="eastAsia"/>
        </w:rPr>
        <w:t>In short, Paul exults because the Parousia brings the Resurrection, and the Resurrection brings complete cosmic victory: the Consummation and Restoration of all things (23, 27- 28).</w:t>
      </w:r>
    </w:p>
    <w:p w14:paraId="682341D3">
      <w:pPr>
        <w:pStyle w:val="9"/>
        <w:spacing w:before="66"/>
        <w:ind w:left="0"/>
        <w:jc w:val="left"/>
        <w:rPr>
          <w:rFonts w:hint="eastAsia"/>
        </w:rPr>
      </w:pPr>
      <w:r>
        <w:rPr>
          <w:rFonts w:hint="eastAsia"/>
        </w:rPr>
        <w:t>简而言之，保罗欢欣，因为主临（Parousia）带来了复活，而复活带来了完全的宇宙性胜利：万物的最终成全和恢复（23, 27-28）。</w:t>
      </w:r>
    </w:p>
    <w:p w14:paraId="34017AE6">
      <w:pPr>
        <w:pStyle w:val="9"/>
        <w:spacing w:before="66"/>
        <w:ind w:left="0"/>
        <w:jc w:val="left"/>
        <w:rPr>
          <w:rFonts w:hint="eastAsia"/>
        </w:rPr>
      </w:pPr>
    </w:p>
    <w:p w14:paraId="0A4C6E2D">
      <w:pPr>
        <w:pStyle w:val="9"/>
        <w:spacing w:before="66"/>
        <w:ind w:left="0"/>
        <w:jc w:val="left"/>
        <w:rPr>
          <w:rFonts w:hint="eastAsia"/>
        </w:rPr>
      </w:pPr>
      <w:r>
        <w:rPr>
          <w:rFonts w:hint="eastAsia"/>
        </w:rPr>
        <w:t>Again, this is the end of all premillennialism.</w:t>
      </w:r>
    </w:p>
    <w:p w14:paraId="5CDC6346">
      <w:pPr>
        <w:pStyle w:val="9"/>
        <w:spacing w:before="66"/>
        <w:ind w:left="0"/>
        <w:jc w:val="left"/>
        <w:rPr>
          <w:rFonts w:hint="eastAsia"/>
        </w:rPr>
      </w:pPr>
      <w:r>
        <w:rPr>
          <w:rFonts w:hint="eastAsia"/>
        </w:rPr>
        <w:t>再次，这是所有前千禧年论的终结。</w:t>
      </w:r>
    </w:p>
    <w:p w14:paraId="2FC08696">
      <w:pPr>
        <w:pStyle w:val="9"/>
        <w:spacing w:before="66"/>
        <w:ind w:left="0"/>
        <w:jc w:val="left"/>
        <w:rPr>
          <w:rFonts w:hint="eastAsia"/>
        </w:rPr>
      </w:pPr>
    </w:p>
    <w:p w14:paraId="3B4CEDC5">
      <w:pPr>
        <w:pStyle w:val="9"/>
        <w:spacing w:before="66"/>
        <w:ind w:left="0"/>
        <w:jc w:val="left"/>
        <w:rPr>
          <w:rFonts w:hint="eastAsia"/>
        </w:rPr>
      </w:pPr>
      <w:r>
        <w:rPr>
          <w:rFonts w:hint="eastAsia"/>
        </w:rPr>
        <w:t>Premillennialism envisions the persistence of many enemies, including death itself, for a thousand years subsequent to Christ’s return.</w:t>
      </w:r>
    </w:p>
    <w:p w14:paraId="12CA6227">
      <w:pPr>
        <w:pStyle w:val="9"/>
        <w:spacing w:before="66"/>
        <w:ind w:left="0"/>
        <w:jc w:val="left"/>
        <w:rPr>
          <w:rFonts w:hint="eastAsia"/>
        </w:rPr>
      </w:pPr>
      <w:r>
        <w:rPr>
          <w:rFonts w:hint="eastAsia"/>
        </w:rPr>
        <w:t>前千禧年论设想许多仇敌，包括死亡本身，在基督再来后将持续存在一千年。</w:t>
      </w:r>
    </w:p>
    <w:p w14:paraId="412A9974">
      <w:pPr>
        <w:pStyle w:val="9"/>
        <w:spacing w:before="66"/>
        <w:ind w:left="0"/>
        <w:jc w:val="left"/>
        <w:rPr>
          <w:rFonts w:hint="eastAsia"/>
        </w:rPr>
      </w:pPr>
    </w:p>
    <w:p w14:paraId="6BDAC138">
      <w:pPr>
        <w:pStyle w:val="9"/>
        <w:spacing w:before="66"/>
        <w:ind w:left="0"/>
        <w:jc w:val="left"/>
        <w:rPr>
          <w:rFonts w:hint="eastAsia"/>
        </w:rPr>
      </w:pPr>
      <w:r>
        <w:rPr>
          <w:rFonts w:hint="eastAsia"/>
        </w:rPr>
        <w:t>But here in 1 Corinthians 15, Paul says that at the Parousia and the Resurrection God will place all of Christ’s enemies, including death itself, beneath his feet, once and for all, thereby bringing in the eternal Kingdom of the Father.</w:t>
      </w:r>
    </w:p>
    <w:p w14:paraId="650DDA4C">
      <w:pPr>
        <w:pStyle w:val="9"/>
        <w:spacing w:before="66"/>
        <w:ind w:left="0"/>
        <w:jc w:val="left"/>
        <w:rPr>
          <w:rFonts w:hint="eastAsia"/>
        </w:rPr>
      </w:pPr>
      <w:r>
        <w:rPr>
          <w:rFonts w:hint="eastAsia"/>
        </w:rPr>
        <w:t>但在这里，在哥林多前书第15章，保罗说，在主临（Parousia）和复活时，上帝将把基督所有的仇敌，包括死亡本身，都放在祂的脚下，一劳永逸，从而带来父的永恒国度。</w:t>
      </w:r>
    </w:p>
    <w:p w14:paraId="7C5F5496">
      <w:pPr>
        <w:pStyle w:val="9"/>
        <w:spacing w:before="66"/>
        <w:ind w:left="0"/>
        <w:jc w:val="left"/>
        <w:rPr>
          <w:rFonts w:hint="eastAsia"/>
        </w:rPr>
      </w:pPr>
    </w:p>
    <w:p w14:paraId="749382EA">
      <w:pPr>
        <w:pStyle w:val="9"/>
        <w:spacing w:before="66"/>
        <w:ind w:left="0"/>
        <w:jc w:val="left"/>
        <w:rPr>
          <w:rFonts w:hint="eastAsia"/>
        </w:rPr>
      </w:pPr>
      <w:r>
        <w:rPr>
          <w:rFonts w:hint="eastAsia"/>
        </w:rPr>
        <w:t>Verses 56-58, which bring the chapter to a close, elaborate upon the theme of victory, drawing out its practical application for the saints.</w:t>
      </w:r>
    </w:p>
    <w:p w14:paraId="2A680B84">
      <w:pPr>
        <w:pStyle w:val="9"/>
        <w:spacing w:before="66"/>
        <w:ind w:left="0"/>
        <w:jc w:val="left"/>
        <w:rPr>
          <w:rFonts w:hint="eastAsia"/>
        </w:rPr>
      </w:pPr>
      <w:r>
        <w:rPr>
          <w:rFonts w:hint="eastAsia"/>
        </w:rPr>
        <w:t>第56-58节，为本章作结，详细阐述了胜利的主题，并引申出其对圣徒的实际应用。</w:t>
      </w:r>
    </w:p>
    <w:p w14:paraId="61E72441">
      <w:pPr>
        <w:pStyle w:val="9"/>
        <w:spacing w:before="66"/>
        <w:ind w:left="0"/>
        <w:jc w:val="left"/>
        <w:rPr>
          <w:rFonts w:hint="eastAsia"/>
        </w:rPr>
      </w:pPr>
    </w:p>
    <w:p w14:paraId="193AE2F3">
      <w:pPr>
        <w:pStyle w:val="9"/>
        <w:spacing w:before="66"/>
        <w:ind w:left="0"/>
        <w:jc w:val="left"/>
        <w:rPr>
          <w:rFonts w:hint="eastAsia"/>
        </w:rPr>
      </w:pPr>
      <w:r>
        <w:rPr>
          <w:rFonts w:hint="eastAsia"/>
        </w:rPr>
        <w:t>Through Christ, God has already given us the victory over death, sin, and the power of the law to condemn us.</w:t>
      </w:r>
    </w:p>
    <w:p w14:paraId="5E6E8491">
      <w:pPr>
        <w:pStyle w:val="9"/>
        <w:spacing w:before="66"/>
        <w:ind w:left="0"/>
        <w:jc w:val="left"/>
        <w:rPr>
          <w:rFonts w:hint="eastAsia"/>
        </w:rPr>
      </w:pPr>
      <w:r>
        <w:rPr>
          <w:rFonts w:hint="eastAsia"/>
        </w:rPr>
        <w:t>借着基督，上帝已经赐给我们胜过死亡、罪和律法定罪权势的胜利。</w:t>
      </w:r>
    </w:p>
    <w:p w14:paraId="56546983">
      <w:pPr>
        <w:pStyle w:val="9"/>
        <w:spacing w:before="66"/>
        <w:ind w:left="0"/>
        <w:jc w:val="left"/>
        <w:rPr>
          <w:rFonts w:hint="eastAsia"/>
        </w:rPr>
      </w:pPr>
    </w:p>
    <w:p w14:paraId="18BB2BDB">
      <w:pPr>
        <w:pStyle w:val="9"/>
        <w:spacing w:before="66"/>
        <w:ind w:left="0"/>
        <w:jc w:val="left"/>
        <w:rPr>
          <w:rFonts w:hint="eastAsia"/>
        </w:rPr>
      </w:pPr>
      <w:r>
        <w:rPr>
          <w:rFonts w:hint="eastAsia"/>
        </w:rPr>
        <w:t>Therefore, in what remains of the present evil age, let us be steadfast and immovable in our faith, always abounding in the work of the Lord.</w:t>
      </w:r>
    </w:p>
    <w:p w14:paraId="285FC713">
      <w:pPr>
        <w:pStyle w:val="9"/>
        <w:spacing w:before="66"/>
        <w:ind w:left="0"/>
        <w:jc w:val="left"/>
        <w:rPr>
          <w:rFonts w:hint="eastAsia"/>
        </w:rPr>
      </w:pPr>
      <w:r>
        <w:rPr>
          <w:rFonts w:hint="eastAsia"/>
        </w:rPr>
        <w:t>因此，在现今邪恶世代余下的日子里，让我们在信心中坚固，不可摇动，常常竭力多作主工。</w:t>
      </w:r>
    </w:p>
    <w:p w14:paraId="34150F4D">
      <w:pPr>
        <w:pStyle w:val="9"/>
        <w:spacing w:before="66"/>
        <w:ind w:left="0"/>
        <w:jc w:val="left"/>
        <w:rPr>
          <w:rFonts w:hint="eastAsia"/>
        </w:rPr>
      </w:pPr>
    </w:p>
    <w:p w14:paraId="6B326B1E">
      <w:pPr>
        <w:pStyle w:val="9"/>
        <w:spacing w:before="66"/>
        <w:ind w:left="0"/>
        <w:jc w:val="left"/>
        <w:rPr>
          <w:rFonts w:hint="eastAsia"/>
        </w:rPr>
      </w:pPr>
      <w:r>
        <w:rPr>
          <w:rFonts w:hint="eastAsia"/>
        </w:rPr>
        <w:t>Why?</w:t>
      </w:r>
    </w:p>
    <w:p w14:paraId="2887C79E">
      <w:pPr>
        <w:pStyle w:val="9"/>
        <w:spacing w:before="66"/>
        <w:ind w:left="0"/>
        <w:jc w:val="left"/>
        <w:rPr>
          <w:rFonts w:hint="eastAsia"/>
        </w:rPr>
      </w:pPr>
      <w:r>
        <w:rPr>
          <w:rFonts w:hint="eastAsia"/>
        </w:rPr>
        <w:t>为何？</w:t>
      </w:r>
    </w:p>
    <w:p w14:paraId="34589FAF">
      <w:pPr>
        <w:pStyle w:val="9"/>
        <w:spacing w:before="66"/>
        <w:ind w:left="0"/>
        <w:jc w:val="left"/>
        <w:rPr>
          <w:rFonts w:hint="eastAsia"/>
        </w:rPr>
      </w:pPr>
    </w:p>
    <w:p w14:paraId="634A3B95">
      <w:pPr>
        <w:pStyle w:val="9"/>
        <w:spacing w:before="66"/>
        <w:ind w:left="0"/>
        <w:jc w:val="left"/>
        <w:rPr>
          <w:rFonts w:hint="eastAsia"/>
        </w:rPr>
      </w:pPr>
      <w:r>
        <w:rPr>
          <w:rFonts w:hint="eastAsia"/>
        </w:rPr>
        <w:t>Because we know that our labors are not in vain, but that they will be richly rewarded at the Parousia, when Christ raises the dead, transforms the living, triumphs over every spiritual and physical enemy, and bestows full and final victory upon his glorified people and their world.14</w:t>
      </w:r>
    </w:p>
    <w:p w14:paraId="5BAFF8E0">
      <w:pPr>
        <w:pStyle w:val="9"/>
        <w:spacing w:before="66"/>
        <w:ind w:left="0"/>
        <w:jc w:val="left"/>
        <w:rPr>
          <w:rFonts w:hint="eastAsia"/>
        </w:rPr>
      </w:pPr>
      <w:r>
        <w:rPr>
          <w:rFonts w:hint="eastAsia"/>
        </w:rPr>
        <w:t>因为我们知道，我们的劳苦不是徒然的，而是在主临（Parousia）时将得到丰厚的赏赐，那时基督使死人复活，改变活人，胜过每一个属灵和属物质的仇敌，并将完全和最终的胜利赐给祂得荣耀的子民和他们的世界。14</w:t>
      </w:r>
    </w:p>
    <w:p w14:paraId="6C263305">
      <w:pPr>
        <w:pStyle w:val="9"/>
        <w:spacing w:before="66"/>
        <w:ind w:left="0"/>
        <w:jc w:val="left"/>
        <w:rPr>
          <w:rFonts w:hint="eastAsia"/>
        </w:rPr>
      </w:pPr>
    </w:p>
    <w:p w14:paraId="753ACB29">
      <w:pPr>
        <w:pStyle w:val="9"/>
        <w:spacing w:before="66"/>
        <w:ind w:left="0"/>
        <w:jc w:val="left"/>
        <w:rPr>
          <w:rFonts w:hint="eastAsia"/>
        </w:rPr>
      </w:pPr>
      <w:r>
        <w:rPr>
          <w:rFonts w:hint="eastAsia"/>
        </w:rPr>
        <w:t>2.An Eternal Building from God</w:t>
      </w:r>
    </w:p>
    <w:p w14:paraId="7C63CB7D">
      <w:pPr>
        <w:pStyle w:val="9"/>
        <w:spacing w:before="66"/>
        <w:ind w:left="0"/>
        <w:jc w:val="left"/>
        <w:rPr>
          <w:rFonts w:hint="eastAsia"/>
        </w:rPr>
      </w:pPr>
      <w:r>
        <w:rPr>
          <w:rFonts w:hint="eastAsia"/>
        </w:rPr>
        <w:t>2.从上帝而来的永恒建筑</w:t>
      </w:r>
    </w:p>
    <w:p w14:paraId="312D9FB8">
      <w:pPr>
        <w:pStyle w:val="9"/>
        <w:spacing w:before="66"/>
        <w:ind w:left="0"/>
        <w:jc w:val="left"/>
        <w:rPr>
          <w:rFonts w:hint="eastAsia"/>
        </w:rPr>
      </w:pPr>
    </w:p>
    <w:p w14:paraId="505BC1EB">
      <w:pPr>
        <w:pStyle w:val="9"/>
        <w:spacing w:before="66"/>
        <w:ind w:left="0"/>
        <w:jc w:val="left"/>
        <w:rPr>
          <w:rFonts w:hint="eastAsia"/>
        </w:rPr>
      </w:pPr>
      <w:r>
        <w:rPr>
          <w:rFonts w:hint="eastAsia"/>
        </w:rPr>
        <w:t>(2 Corinthians 5:1-10)</w:t>
      </w:r>
    </w:p>
    <w:p w14:paraId="3402AD9E">
      <w:pPr>
        <w:pStyle w:val="9"/>
        <w:spacing w:before="66"/>
        <w:ind w:left="0"/>
        <w:jc w:val="left"/>
        <w:rPr>
          <w:rFonts w:hint="eastAsia"/>
        </w:rPr>
      </w:pPr>
      <w:r>
        <w:rPr>
          <w:rFonts w:hint="eastAsia"/>
        </w:rPr>
        <w:t>（哥林多后书5:1-10）</w:t>
      </w:r>
    </w:p>
    <w:p w14:paraId="3E63CD9A">
      <w:pPr>
        <w:pStyle w:val="9"/>
        <w:spacing w:before="66"/>
        <w:ind w:left="0"/>
        <w:jc w:val="left"/>
        <w:rPr>
          <w:rFonts w:hint="eastAsia"/>
        </w:rPr>
      </w:pPr>
    </w:p>
    <w:p w14:paraId="4A3CF711">
      <w:pPr>
        <w:pStyle w:val="9"/>
        <w:spacing w:before="66"/>
        <w:ind w:left="0"/>
        <w:jc w:val="left"/>
        <w:rPr>
          <w:rFonts w:hint="eastAsia"/>
        </w:rPr>
      </w:pPr>
      <w:r>
        <w:rPr>
          <w:rFonts w:hint="eastAsia"/>
        </w:rPr>
        <w:t>In his second letter to the Corinthians, we find the apostle Paul defending himself against the malicious attacks of certain false brethren (10:1ff), thereby also defending the Corinthian church against their destructive influences.</w:t>
      </w:r>
    </w:p>
    <w:p w14:paraId="1047BD72">
      <w:pPr>
        <w:pStyle w:val="9"/>
        <w:spacing w:before="66"/>
        <w:ind w:left="0"/>
        <w:jc w:val="left"/>
        <w:rPr>
          <w:rFonts w:hint="eastAsia"/>
        </w:rPr>
      </w:pPr>
      <w:r>
        <w:rPr>
          <w:rFonts w:hint="eastAsia"/>
        </w:rPr>
        <w:t>在写给哥林多人的第二封信中，我们看到使徒保罗为自己辩护，抵挡某些假弟兄的恶意攻击（10:1及以下），从而也为哥林多教会辩护，抵挡他们破坏性的影响。</w:t>
      </w:r>
    </w:p>
    <w:p w14:paraId="63E5FF6E">
      <w:pPr>
        <w:pStyle w:val="9"/>
        <w:spacing w:before="66"/>
        <w:ind w:left="0"/>
        <w:jc w:val="left"/>
        <w:rPr>
          <w:rFonts w:hint="eastAsia"/>
        </w:rPr>
      </w:pPr>
    </w:p>
    <w:p w14:paraId="151D894E">
      <w:pPr>
        <w:pStyle w:val="9"/>
        <w:spacing w:before="66"/>
        <w:ind w:left="0"/>
        <w:jc w:val="left"/>
        <w:rPr>
          <w:rFonts w:hint="eastAsia"/>
        </w:rPr>
      </w:pPr>
      <w:r>
        <w:rPr>
          <w:rFonts w:hint="eastAsia"/>
        </w:rPr>
        <w:t>The opponents complain, above all, about his frequent persecutions, citing them as marks of divine disapproval.</w:t>
      </w:r>
    </w:p>
    <w:p w14:paraId="60715C34">
      <w:pPr>
        <w:pStyle w:val="9"/>
        <w:spacing w:before="66"/>
        <w:ind w:left="0"/>
        <w:jc w:val="left"/>
        <w:rPr>
          <w:rFonts w:hint="eastAsia"/>
        </w:rPr>
      </w:pPr>
      <w:r>
        <w:rPr>
          <w:rFonts w:hint="eastAsia"/>
        </w:rPr>
        <w:t>反对者首先抱怨的是祂频繁受迫害，并以此作为神不悦的标记。</w:t>
      </w:r>
    </w:p>
    <w:p w14:paraId="0ED34F04">
      <w:pPr>
        <w:pStyle w:val="9"/>
        <w:spacing w:before="66"/>
        <w:ind w:left="0"/>
        <w:jc w:val="left"/>
        <w:rPr>
          <w:rFonts w:hint="eastAsia"/>
        </w:rPr>
      </w:pPr>
    </w:p>
    <w:p w14:paraId="7BA4ABF3">
      <w:pPr>
        <w:pStyle w:val="9"/>
        <w:spacing w:before="66"/>
        <w:ind w:left="0"/>
        <w:jc w:val="left"/>
        <w:rPr>
          <w:rFonts w:hint="eastAsia"/>
        </w:rPr>
      </w:pPr>
      <w:r>
        <w:rPr>
          <w:rFonts w:hint="eastAsia"/>
        </w:rPr>
        <w:t>Paul, however, turns the tables on them, framing them as the marks of a true minister of God (4:7-15, 6:4-10, 11:23-33).</w:t>
      </w:r>
    </w:p>
    <w:p w14:paraId="235D90EF">
      <w:pPr>
        <w:pStyle w:val="9"/>
        <w:spacing w:before="66"/>
        <w:ind w:left="0"/>
        <w:jc w:val="left"/>
        <w:rPr>
          <w:rFonts w:hint="eastAsia"/>
        </w:rPr>
      </w:pPr>
      <w:r>
        <w:rPr>
          <w:rFonts w:hint="eastAsia"/>
        </w:rPr>
        <w:t>然而，保罗扭转了局势，将它们塑造成上帝真仆人的标记（4:7-15, 6:4-10, 11:23-33）。</w:t>
      </w:r>
    </w:p>
    <w:p w14:paraId="4AF3A6B1">
      <w:pPr>
        <w:pStyle w:val="9"/>
        <w:spacing w:before="66"/>
        <w:ind w:left="0"/>
        <w:jc w:val="left"/>
        <w:rPr>
          <w:rFonts w:hint="eastAsia"/>
        </w:rPr>
      </w:pPr>
    </w:p>
    <w:p w14:paraId="410D5E1D">
      <w:pPr>
        <w:pStyle w:val="9"/>
        <w:spacing w:before="66"/>
        <w:ind w:left="0"/>
        <w:jc w:val="left"/>
        <w:rPr>
          <w:rFonts w:hint="eastAsia"/>
        </w:rPr>
      </w:pPr>
      <w:r>
        <w:rPr>
          <w:rFonts w:hint="eastAsia"/>
        </w:rPr>
        <w:t>But why—and how—does he endure such terrible trials?</w:t>
      </w:r>
    </w:p>
    <w:p w14:paraId="0EE43B13">
      <w:pPr>
        <w:pStyle w:val="9"/>
        <w:spacing w:before="66"/>
        <w:ind w:left="0"/>
        <w:jc w:val="left"/>
        <w:rPr>
          <w:rFonts w:hint="eastAsia"/>
        </w:rPr>
      </w:pPr>
      <w:r>
        <w:rPr>
          <w:rFonts w:hint="eastAsia"/>
        </w:rPr>
        <w:t>但祂为何——以及如何——忍受如此可怕的试炼？</w:t>
      </w:r>
    </w:p>
    <w:p w14:paraId="0B05D39E">
      <w:pPr>
        <w:pStyle w:val="9"/>
        <w:spacing w:before="66"/>
        <w:ind w:left="0"/>
        <w:jc w:val="left"/>
        <w:rPr>
          <w:rFonts w:hint="eastAsia"/>
        </w:rPr>
      </w:pPr>
    </w:p>
    <w:p w14:paraId="2E8DC99A">
      <w:pPr>
        <w:pStyle w:val="9"/>
        <w:spacing w:before="66"/>
        <w:ind w:left="0"/>
        <w:jc w:val="left"/>
        <w:rPr>
          <w:rFonts w:hint="eastAsia"/>
        </w:rPr>
      </w:pPr>
      <w:r>
        <w:rPr>
          <w:rFonts w:hint="eastAsia"/>
        </w:rPr>
        <w:t>In 4:16-18 he answers: Through them, God is producing in him—and in all the saints—an “eternal weight of glory”, a glory that cannot be compared with anything they have ever known on this earth; a glory not worthy to be compared with the light and momentary afflictions they are now experiencing (Rom. 8:18)!</w:t>
      </w:r>
    </w:p>
    <w:p w14:paraId="48C732D5">
      <w:pPr>
        <w:pStyle w:val="9"/>
        <w:spacing w:before="66"/>
        <w:ind w:left="0"/>
        <w:jc w:val="left"/>
        <w:rPr>
          <w:rFonts w:hint="eastAsia"/>
        </w:rPr>
      </w:pPr>
      <w:r>
        <w:rPr>
          <w:rFonts w:hint="eastAsia"/>
        </w:rPr>
        <w:t>在4:16-18，祂回答说：通过这些试炼，上帝正在祂里面——以及在所有圣徒里面——造就一个“极重无比、永远的荣耀”，这荣耀是他们在地上所曾知道的任何事物都无法比拟的；这荣耀与他们现在所经历的至暂至轻的苦楚是无法相比的（罗8:18）！</w:t>
      </w:r>
    </w:p>
    <w:p w14:paraId="24EA58BF">
      <w:pPr>
        <w:pStyle w:val="9"/>
        <w:spacing w:before="66"/>
        <w:ind w:left="0"/>
        <w:jc w:val="left"/>
        <w:rPr>
          <w:rFonts w:hint="eastAsia"/>
        </w:rPr>
      </w:pPr>
    </w:p>
    <w:p w14:paraId="4CCCD7AA">
      <w:pPr>
        <w:pStyle w:val="9"/>
        <w:spacing w:before="66"/>
        <w:ind w:left="0"/>
        <w:jc w:val="left"/>
        <w:rPr>
          <w:rFonts w:hint="eastAsia"/>
        </w:rPr>
      </w:pPr>
      <w:r>
        <w:rPr>
          <w:rFonts w:hint="eastAsia"/>
        </w:rPr>
        <w:t>Moreover, this is precisely how God means for the saints to endure such afflictions: by remembering his purpose in them, and by fixing their eyes, not upon their temporary troubles in this present evil world, but upon the eternal rewards awaiting them in the glorious World to Come.</w:t>
      </w:r>
    </w:p>
    <w:p w14:paraId="122D1825">
      <w:pPr>
        <w:pStyle w:val="9"/>
        <w:spacing w:before="66"/>
        <w:ind w:left="0"/>
        <w:jc w:val="left"/>
        <w:rPr>
          <w:rFonts w:hint="eastAsia"/>
        </w:rPr>
      </w:pPr>
      <w:r>
        <w:rPr>
          <w:rFonts w:hint="eastAsia"/>
        </w:rPr>
        <w:t>此外，这正是上帝意在使圣徒忍受这类苦难的方式：通过记住祂在其中的目的，并将他们的眼睛定睛，不是在这现今邪恶世界中他们暂时的麻烦上，而是定睛在将来的荣耀世界中等待他们的永恒赏赐上。</w:t>
      </w:r>
    </w:p>
    <w:p w14:paraId="737D3F6A">
      <w:pPr>
        <w:pStyle w:val="9"/>
        <w:spacing w:before="66"/>
        <w:ind w:left="0"/>
        <w:jc w:val="left"/>
        <w:rPr>
          <w:rFonts w:hint="eastAsia"/>
        </w:rPr>
      </w:pPr>
    </w:p>
    <w:p w14:paraId="2913D707">
      <w:pPr>
        <w:pStyle w:val="9"/>
        <w:spacing w:before="66"/>
        <w:ind w:left="0"/>
        <w:jc w:val="left"/>
        <w:rPr>
          <w:rFonts w:hint="eastAsia"/>
        </w:rPr>
      </w:pPr>
      <w:r>
        <w:rPr>
          <w:rFonts w:hint="eastAsia"/>
        </w:rPr>
        <w:t>In short, here Paul again commends to his suffering brethren the ultimate hope of the Church: the eternal weight of glory that Christ will bestow upon his saints at the Judgment, a judgment destined to occur at the Parousia and the Resurrection of the dead (5:9-10; Rom. 5:1-2, 8:18-21, 1 Cor. 15:35ff, Col. 3:4).</w:t>
      </w:r>
    </w:p>
    <w:p w14:paraId="14610D54">
      <w:pPr>
        <w:pStyle w:val="9"/>
        <w:spacing w:before="66"/>
        <w:ind w:left="0"/>
        <w:jc w:val="left"/>
        <w:rPr>
          <w:rFonts w:hint="eastAsia"/>
        </w:rPr>
      </w:pPr>
      <w:r>
        <w:rPr>
          <w:rFonts w:hint="eastAsia"/>
        </w:rPr>
        <w:t>简而言之，保罗在这里再次向他受苦的弟兄们推荐教会最终的盼望：基督将在审判时赐给祂圣徒的永远的荣耀重量，这审判注定在主临（Parousia）和死人复活时发生（5:9-10；罗5:1-2, 8:18-21，林前15:35及以下，西3:4）。</w:t>
      </w:r>
    </w:p>
    <w:p w14:paraId="0718EE8C">
      <w:pPr>
        <w:pStyle w:val="9"/>
        <w:spacing w:before="66"/>
        <w:ind w:left="0"/>
        <w:jc w:val="left"/>
        <w:rPr>
          <w:rFonts w:hint="eastAsia"/>
        </w:rPr>
      </w:pPr>
    </w:p>
    <w:p w14:paraId="0A7AC592">
      <w:pPr>
        <w:pStyle w:val="9"/>
        <w:spacing w:before="66"/>
        <w:ind w:left="0"/>
        <w:jc w:val="left"/>
        <w:rPr>
          <w:rFonts w:hint="eastAsia"/>
        </w:rPr>
      </w:pPr>
      <w:r>
        <w:rPr>
          <w:rFonts w:hint="eastAsia"/>
        </w:rPr>
        <w:t>This perspective enables us better to understand a text that has challenged many interpreters: 2 Corinthians 5:1-10.</w:t>
      </w:r>
    </w:p>
    <w:p w14:paraId="0E6CD069">
      <w:pPr>
        <w:pStyle w:val="9"/>
        <w:spacing w:before="66"/>
        <w:ind w:left="0"/>
        <w:jc w:val="left"/>
        <w:rPr>
          <w:rFonts w:hint="eastAsia"/>
        </w:rPr>
      </w:pPr>
      <w:r>
        <w:rPr>
          <w:rFonts w:hint="eastAsia"/>
        </w:rPr>
        <w:t>这个视角使我们能更好地理解一段挑战了许多解释者的经文：哥林多后书5:1-10。</w:t>
      </w:r>
    </w:p>
    <w:p w14:paraId="1193636B">
      <w:pPr>
        <w:pStyle w:val="9"/>
        <w:spacing w:before="66"/>
        <w:ind w:left="0"/>
        <w:jc w:val="left"/>
        <w:rPr>
          <w:rFonts w:hint="eastAsia"/>
        </w:rPr>
      </w:pPr>
    </w:p>
    <w:p w14:paraId="0EDBB987">
      <w:pPr>
        <w:pStyle w:val="9"/>
        <w:spacing w:before="66"/>
        <w:ind w:left="0"/>
        <w:jc w:val="left"/>
        <w:rPr>
          <w:rFonts w:hint="eastAsia"/>
        </w:rPr>
      </w:pPr>
      <w:r>
        <w:rPr>
          <w:rFonts w:hint="eastAsia"/>
        </w:rPr>
        <w:t>What is the apostle’s goal in this passage?</w:t>
      </w:r>
    </w:p>
    <w:p w14:paraId="7CCA7523">
      <w:pPr>
        <w:pStyle w:val="9"/>
        <w:spacing w:before="66"/>
        <w:ind w:left="0"/>
        <w:jc w:val="left"/>
        <w:rPr>
          <w:rFonts w:hint="eastAsia"/>
        </w:rPr>
      </w:pPr>
      <w:r>
        <w:rPr>
          <w:rFonts w:hint="eastAsia"/>
        </w:rPr>
        <w:t>使徒在这段经文中的目标是什么？</w:t>
      </w:r>
    </w:p>
    <w:p w14:paraId="39B9465F">
      <w:pPr>
        <w:pStyle w:val="9"/>
        <w:spacing w:before="66"/>
        <w:ind w:left="0"/>
        <w:jc w:val="left"/>
        <w:rPr>
          <w:rFonts w:hint="eastAsia"/>
        </w:rPr>
      </w:pPr>
    </w:p>
    <w:p w14:paraId="3452FA01">
      <w:pPr>
        <w:pStyle w:val="9"/>
        <w:spacing w:before="66"/>
        <w:ind w:left="0"/>
        <w:jc w:val="left"/>
        <w:rPr>
          <w:rFonts w:hint="eastAsia"/>
        </w:rPr>
      </w:pPr>
      <w:r>
        <w:rPr>
          <w:rFonts w:hint="eastAsia"/>
        </w:rPr>
        <w:t>My answer would be this: simply to expound what he had in mind in 4:16-18!</w:t>
      </w:r>
    </w:p>
    <w:p w14:paraId="278C0DD9">
      <w:pPr>
        <w:pStyle w:val="9"/>
        <w:spacing w:before="66"/>
        <w:ind w:left="0"/>
        <w:jc w:val="left"/>
        <w:rPr>
          <w:rFonts w:hint="eastAsia"/>
        </w:rPr>
      </w:pPr>
      <w:r>
        <w:rPr>
          <w:rFonts w:hint="eastAsia"/>
        </w:rPr>
        <w:t>我的答案是：仅仅是阐述祂在4:16-18中所想的！</w:t>
      </w:r>
    </w:p>
    <w:p w14:paraId="6E06D2FE">
      <w:pPr>
        <w:pStyle w:val="9"/>
        <w:spacing w:before="66"/>
        <w:ind w:left="0"/>
        <w:jc w:val="left"/>
        <w:rPr>
          <w:rFonts w:hint="eastAsia"/>
        </w:rPr>
      </w:pPr>
    </w:p>
    <w:p w14:paraId="5CFE2A7D">
      <w:pPr>
        <w:pStyle w:val="9"/>
        <w:spacing w:before="66"/>
        <w:ind w:left="0"/>
        <w:jc w:val="left"/>
        <w:rPr>
          <w:rFonts w:hint="eastAsia"/>
        </w:rPr>
      </w:pPr>
      <w:r>
        <w:rPr>
          <w:rFonts w:hint="eastAsia"/>
        </w:rPr>
        <w:t>In other words, his goal is to strengthen the saints’ hearts by reminding them yet again of their Blessed Hope, a hope that includes not only life with Christ in heaven as a disembodied spirit during the Intermediate State (5-8), but also (and especially) life with Christ in the glorious World to Come after the Resurrection and the Last Judgment (1-4, 9-10).</w:t>
      </w:r>
    </w:p>
    <w:p w14:paraId="756A72AA">
      <w:pPr>
        <w:pStyle w:val="9"/>
        <w:spacing w:before="66"/>
        <w:ind w:left="0"/>
        <w:jc w:val="left"/>
        <w:rPr>
          <w:rFonts w:hint="eastAsia"/>
        </w:rPr>
      </w:pPr>
      <w:r>
        <w:rPr>
          <w:rFonts w:hint="eastAsia"/>
        </w:rPr>
        <w:t>换句话说，祂的目标是坚固圣徒们的心，再次提醒他们他们有福的盼望，这个盼望不仅包括在中间状态时作为脱离身体的灵魂与基督在天上同活（5-8），也（尤其是）包括在复活和最后审判之后，在将来的荣耀世界中与基督同活（1-4, 9-10）。</w:t>
      </w:r>
    </w:p>
    <w:p w14:paraId="778FC5A8">
      <w:pPr>
        <w:pStyle w:val="9"/>
        <w:spacing w:before="66"/>
        <w:ind w:left="0"/>
        <w:jc w:val="left"/>
        <w:rPr>
          <w:rFonts w:hint="eastAsia"/>
        </w:rPr>
      </w:pPr>
    </w:p>
    <w:p w14:paraId="18CDC89D">
      <w:pPr>
        <w:pStyle w:val="9"/>
        <w:spacing w:before="66"/>
        <w:ind w:left="0"/>
        <w:jc w:val="left"/>
        <w:rPr>
          <w:rFonts w:hint="eastAsia"/>
        </w:rPr>
      </w:pPr>
      <w:r>
        <w:rPr>
          <w:rFonts w:hint="eastAsia"/>
        </w:rPr>
        <w:t>A closer look at the text itself will confirm that this is indeed Paul’s eschatological outlook.</w:t>
      </w:r>
    </w:p>
    <w:p w14:paraId="6F8542FB">
      <w:pPr>
        <w:pStyle w:val="9"/>
        <w:spacing w:before="66"/>
        <w:ind w:left="0"/>
        <w:jc w:val="left"/>
        <w:rPr>
          <w:rFonts w:hint="eastAsia"/>
        </w:rPr>
      </w:pPr>
      <w:r>
        <w:rPr>
          <w:rFonts w:hint="eastAsia"/>
        </w:rPr>
        <w:t>更仔细地查考经文本身将证实，这确实是保罗的末世论观点。</w:t>
      </w:r>
    </w:p>
    <w:p w14:paraId="5B4A32F9">
      <w:pPr>
        <w:pStyle w:val="9"/>
        <w:spacing w:before="66"/>
        <w:ind w:left="0"/>
        <w:jc w:val="left"/>
        <w:rPr>
          <w:rFonts w:hint="eastAsia"/>
        </w:rPr>
      </w:pPr>
    </w:p>
    <w:p w14:paraId="4AF7AC8C">
      <w:pPr>
        <w:pStyle w:val="9"/>
        <w:spacing w:before="66"/>
        <w:ind w:left="0"/>
        <w:jc w:val="left"/>
        <w:rPr>
          <w:rFonts w:hint="eastAsia"/>
        </w:rPr>
      </w:pPr>
      <w:r>
        <w:rPr>
          <w:rFonts w:hint="eastAsia"/>
        </w:rPr>
        <w:t>In verse 1, he opens by presenting to the Corinthians their ultimate hope: life with Christ in a new resurrection body in the new heavens and the new earth.</w:t>
      </w:r>
    </w:p>
    <w:p w14:paraId="66D0A5E8">
      <w:pPr>
        <w:pStyle w:val="9"/>
        <w:spacing w:before="66"/>
        <w:ind w:left="0"/>
        <w:jc w:val="left"/>
        <w:rPr>
          <w:rFonts w:hint="eastAsia"/>
        </w:rPr>
      </w:pPr>
      <w:r>
        <w:rPr>
          <w:rFonts w:hint="eastAsia"/>
        </w:rPr>
        <w:t>在第1节，祂开始时向哥林多人呈现了他们最终的盼望：在新天新地中，以一个新的复活身体与基督同活。</w:t>
      </w:r>
    </w:p>
    <w:p w14:paraId="35DAB96D">
      <w:pPr>
        <w:pStyle w:val="9"/>
        <w:spacing w:before="66"/>
        <w:ind w:left="0"/>
        <w:jc w:val="left"/>
        <w:rPr>
          <w:rFonts w:hint="eastAsia"/>
        </w:rPr>
      </w:pPr>
    </w:p>
    <w:p w14:paraId="0C461EE7">
      <w:pPr>
        <w:pStyle w:val="9"/>
        <w:spacing w:before="66"/>
        <w:ind w:left="0"/>
        <w:jc w:val="left"/>
        <w:rPr>
          <w:rFonts w:hint="eastAsia"/>
        </w:rPr>
      </w:pPr>
      <w:r>
        <w:rPr>
          <w:rFonts w:hint="eastAsia"/>
        </w:rPr>
        <w:t>They already know this, for he has taught it to them in person and by letter (1 Cor. 15:1ff).</w:t>
      </w:r>
    </w:p>
    <w:p w14:paraId="29774E7C">
      <w:pPr>
        <w:pStyle w:val="9"/>
        <w:spacing w:before="66"/>
        <w:ind w:left="0"/>
        <w:jc w:val="left"/>
        <w:rPr>
          <w:rFonts w:hint="eastAsia"/>
        </w:rPr>
      </w:pPr>
      <w:r>
        <w:rPr>
          <w:rFonts w:hint="eastAsia"/>
        </w:rPr>
        <w:t>他们已经知道这一点，因为祂已亲自并写信教导过他们（林前15:1及以下）。</w:t>
      </w:r>
    </w:p>
    <w:p w14:paraId="396EF72F">
      <w:pPr>
        <w:pStyle w:val="9"/>
        <w:spacing w:before="66"/>
        <w:ind w:left="0"/>
        <w:jc w:val="left"/>
        <w:rPr>
          <w:rFonts w:hint="eastAsia"/>
        </w:rPr>
      </w:pPr>
    </w:p>
    <w:p w14:paraId="3C5993E9">
      <w:pPr>
        <w:pStyle w:val="9"/>
        <w:spacing w:before="66"/>
        <w:ind w:left="0"/>
        <w:jc w:val="left"/>
        <w:rPr>
          <w:rFonts w:hint="eastAsia"/>
        </w:rPr>
      </w:pPr>
      <w:r>
        <w:rPr>
          <w:rFonts w:hint="eastAsia"/>
        </w:rPr>
        <w:t>In particular, they know that if their present earthly body—a temporary tent for their soul—is destroyed, they have (waiting for them at the Resurrection) a far more permanent and enduring structure: a building from God, a resurrection body not created by human hands, but by the Risen Lord himself.</w:t>
      </w:r>
    </w:p>
    <w:p w14:paraId="1475781D">
      <w:pPr>
        <w:pStyle w:val="9"/>
        <w:spacing w:before="66"/>
        <w:ind w:left="0"/>
        <w:jc w:val="left"/>
        <w:rPr>
          <w:rFonts w:hint="eastAsia"/>
        </w:rPr>
      </w:pPr>
      <w:r>
        <w:rPr>
          <w:rFonts w:hint="eastAsia"/>
        </w:rPr>
        <w:t>特别是，他们知道如果他们现今属地的身体——他们灵魂暂时的帐棚——被毁坏了，他们就有（在复活时等待他们的）一个更永久、更持久的建筑：一座从上帝而来的建筑，一个并非人手所造的复活身体，而是由复活的主祂自己所造。</w:t>
      </w:r>
    </w:p>
    <w:p w14:paraId="68DD3F70">
      <w:pPr>
        <w:pStyle w:val="9"/>
        <w:spacing w:before="66"/>
        <w:ind w:left="0"/>
        <w:jc w:val="left"/>
        <w:rPr>
          <w:rFonts w:hint="eastAsia"/>
        </w:rPr>
      </w:pPr>
    </w:p>
    <w:p w14:paraId="03B0CEAD">
      <w:pPr>
        <w:pStyle w:val="9"/>
        <w:spacing w:before="66"/>
        <w:ind w:left="0"/>
        <w:jc w:val="left"/>
        <w:rPr>
          <w:rFonts w:hint="eastAsia"/>
        </w:rPr>
      </w:pPr>
      <w:r>
        <w:rPr>
          <w:rFonts w:hint="eastAsia"/>
        </w:rPr>
        <w:t>Very importantly, this house is “eternal in the heavens.”</w:t>
      </w:r>
    </w:p>
    <w:p w14:paraId="02E38098">
      <w:pPr>
        <w:pStyle w:val="9"/>
        <w:spacing w:before="66"/>
        <w:ind w:left="0"/>
        <w:jc w:val="left"/>
        <w:rPr>
          <w:rFonts w:hint="eastAsia"/>
        </w:rPr>
      </w:pPr>
      <w:r>
        <w:rPr>
          <w:rFonts w:hint="eastAsia"/>
        </w:rPr>
        <w:t>非常重要的是，这房屋是“永远在天上的”。</w:t>
      </w:r>
    </w:p>
    <w:p w14:paraId="7F6325E8">
      <w:pPr>
        <w:pStyle w:val="9"/>
        <w:spacing w:before="66"/>
        <w:ind w:left="0"/>
        <w:jc w:val="left"/>
        <w:rPr>
          <w:rFonts w:hint="eastAsia"/>
        </w:rPr>
      </w:pPr>
    </w:p>
    <w:p w14:paraId="739D245B">
      <w:pPr>
        <w:pStyle w:val="9"/>
        <w:spacing w:before="66"/>
        <w:ind w:left="0"/>
        <w:jc w:val="left"/>
        <w:rPr>
          <w:rFonts w:hint="eastAsia"/>
        </w:rPr>
      </w:pPr>
      <w:r>
        <w:rPr>
          <w:rFonts w:hint="eastAsia"/>
        </w:rPr>
        <w:t>The phrase is telling and decisive.</w:t>
      </w:r>
    </w:p>
    <w:p w14:paraId="57EC392F">
      <w:pPr>
        <w:pStyle w:val="9"/>
        <w:spacing w:before="66"/>
        <w:ind w:left="0"/>
        <w:jc w:val="left"/>
        <w:rPr>
          <w:rFonts w:hint="eastAsia"/>
        </w:rPr>
      </w:pPr>
      <w:r>
        <w:rPr>
          <w:rFonts w:hint="eastAsia"/>
        </w:rPr>
        <w:t>这个短语是意味深长且决定性的。</w:t>
      </w:r>
    </w:p>
    <w:p w14:paraId="15A4382B">
      <w:pPr>
        <w:pStyle w:val="9"/>
        <w:spacing w:before="66"/>
        <w:ind w:left="0"/>
        <w:jc w:val="left"/>
        <w:rPr>
          <w:rFonts w:hint="eastAsia"/>
        </w:rPr>
      </w:pPr>
    </w:p>
    <w:p w14:paraId="24FAF447">
      <w:pPr>
        <w:pStyle w:val="9"/>
        <w:spacing w:before="66"/>
        <w:ind w:left="0"/>
        <w:jc w:val="left"/>
        <w:rPr>
          <w:rFonts w:hint="eastAsia"/>
        </w:rPr>
      </w:pPr>
      <w:r>
        <w:rPr>
          <w:rFonts w:hint="eastAsia"/>
        </w:rPr>
        <w:t>Obviously, the house Paul has in mind cannot be heaven itself, for he says it will be in the heavens.</w:t>
      </w:r>
    </w:p>
    <w:p w14:paraId="56E5F45F">
      <w:pPr>
        <w:pStyle w:val="9"/>
        <w:spacing w:before="66"/>
        <w:ind w:left="0"/>
        <w:jc w:val="left"/>
        <w:rPr>
          <w:rFonts w:hint="eastAsia"/>
        </w:rPr>
      </w:pPr>
      <w:r>
        <w:rPr>
          <w:rFonts w:hint="eastAsia"/>
        </w:rPr>
        <w:t>显然，保罗心中所想的房屋不可能是天堂本身，因为祂说它将在天上。</w:t>
      </w:r>
    </w:p>
    <w:p w14:paraId="4DA46D01">
      <w:pPr>
        <w:pStyle w:val="9"/>
        <w:spacing w:before="66"/>
        <w:ind w:left="0"/>
        <w:jc w:val="left"/>
        <w:rPr>
          <w:rFonts w:hint="eastAsia"/>
        </w:rPr>
      </w:pPr>
    </w:p>
    <w:p w14:paraId="715CFBE9">
      <w:pPr>
        <w:pStyle w:val="9"/>
        <w:spacing w:before="66"/>
        <w:ind w:left="0"/>
        <w:jc w:val="left"/>
        <w:rPr>
          <w:rFonts w:hint="eastAsia"/>
        </w:rPr>
      </w:pPr>
      <w:r>
        <w:rPr>
          <w:rFonts w:hint="eastAsia"/>
        </w:rPr>
        <w:t>It must, then, be the resurrection body, a body that will exist forever “in the heavens.”</w:t>
      </w:r>
    </w:p>
    <w:p w14:paraId="113E613A">
      <w:pPr>
        <w:pStyle w:val="9"/>
        <w:spacing w:before="66"/>
        <w:ind w:left="0"/>
        <w:jc w:val="left"/>
        <w:rPr>
          <w:rFonts w:hint="eastAsia"/>
        </w:rPr>
      </w:pPr>
      <w:r>
        <w:rPr>
          <w:rFonts w:hint="eastAsia"/>
        </w:rPr>
        <w:t>那么，它必定是复活的身体，一个将永远存在于“天上”的身体。</w:t>
      </w:r>
    </w:p>
    <w:p w14:paraId="189D3527">
      <w:pPr>
        <w:pStyle w:val="9"/>
        <w:spacing w:before="66"/>
        <w:ind w:left="0"/>
        <w:jc w:val="left"/>
        <w:rPr>
          <w:rFonts w:hint="eastAsia"/>
        </w:rPr>
      </w:pPr>
    </w:p>
    <w:p w14:paraId="517CA42C">
      <w:pPr>
        <w:pStyle w:val="9"/>
        <w:spacing w:before="66"/>
        <w:ind w:left="0"/>
        <w:jc w:val="left"/>
        <w:rPr>
          <w:rFonts w:hint="eastAsia"/>
        </w:rPr>
      </w:pPr>
      <w:r>
        <w:rPr>
          <w:rFonts w:hint="eastAsia"/>
        </w:rPr>
        <w:t>But does this mean, as some have argued, that Christians will receive their resurrection bodies when they die and go to heaven above?</w:t>
      </w:r>
    </w:p>
    <w:p w14:paraId="5B068C4A">
      <w:pPr>
        <w:pStyle w:val="9"/>
        <w:spacing w:before="66"/>
        <w:ind w:left="0"/>
        <w:jc w:val="left"/>
        <w:rPr>
          <w:rFonts w:hint="eastAsia"/>
        </w:rPr>
      </w:pPr>
      <w:r>
        <w:rPr>
          <w:rFonts w:hint="eastAsia"/>
        </w:rPr>
        <w:t>但这是否意味着，如一些人所论证的，基督徒在死后去到天上的天堂时就会领受他们复活的身体？</w:t>
      </w:r>
    </w:p>
    <w:p w14:paraId="0D085C50">
      <w:pPr>
        <w:pStyle w:val="9"/>
        <w:spacing w:before="66"/>
        <w:ind w:left="0"/>
        <w:jc w:val="left"/>
        <w:rPr>
          <w:rFonts w:hint="eastAsia"/>
        </w:rPr>
      </w:pPr>
    </w:p>
    <w:p w14:paraId="77E91FAA">
      <w:pPr>
        <w:pStyle w:val="9"/>
        <w:spacing w:before="66"/>
        <w:ind w:left="0"/>
        <w:jc w:val="left"/>
        <w:rPr>
          <w:rFonts w:hint="eastAsia"/>
        </w:rPr>
      </w:pPr>
      <w:r>
        <w:rPr>
          <w:rFonts w:hint="eastAsia"/>
        </w:rPr>
        <w:t>No, for Paul himself consistently teaches that the saints will receive their resurrection bodies at the Parousia, in the general Resurrection of the dead (John 5:21- 29, Rom. 8:18-25, 1 Cor. 15:20-28, 50-58, 1 Thess. 4:13f).</w:t>
      </w:r>
    </w:p>
    <w:p w14:paraId="7053F748">
      <w:pPr>
        <w:pStyle w:val="9"/>
        <w:spacing w:before="66"/>
        <w:ind w:left="0"/>
        <w:jc w:val="left"/>
        <w:rPr>
          <w:rFonts w:hint="eastAsia"/>
        </w:rPr>
      </w:pPr>
      <w:r>
        <w:rPr>
          <w:rFonts w:hint="eastAsia"/>
        </w:rPr>
        <w:t>不，因为保罗他自己一贯地教导说，圣徒们将在主临（Parousia）时，在死人的普世复活中领受他们复活的身体（约翰福音5:21-29，罗马书8:18-25，哥林多前书15:20-28, 50-58，帖撒罗尼迦前书4:13及以下）。</w:t>
      </w:r>
    </w:p>
    <w:p w14:paraId="57062062">
      <w:pPr>
        <w:pStyle w:val="9"/>
        <w:spacing w:before="66"/>
        <w:ind w:left="0"/>
        <w:jc w:val="left"/>
        <w:rPr>
          <w:rFonts w:hint="eastAsia"/>
        </w:rPr>
      </w:pPr>
    </w:p>
    <w:p w14:paraId="3E9D14CF">
      <w:pPr>
        <w:pStyle w:val="9"/>
        <w:spacing w:before="66"/>
        <w:ind w:left="0"/>
        <w:jc w:val="left"/>
        <w:rPr>
          <w:rFonts w:hint="eastAsia"/>
        </w:rPr>
      </w:pPr>
      <w:r>
        <w:rPr>
          <w:rFonts w:hint="eastAsia"/>
        </w:rPr>
        <w:t>So then, in this context, “the heavens” serves as shorthand for “the World to Come,” a world so full of God and his glory that it is, henceforth and forever, heaven itself (1 Cor. 15:50, 1 Peter 1:3-5).</w:t>
      </w:r>
    </w:p>
    <w:p w14:paraId="757374D0">
      <w:pPr>
        <w:pStyle w:val="9"/>
        <w:spacing w:before="66"/>
        <w:ind w:left="0"/>
        <w:jc w:val="left"/>
        <w:rPr>
          <w:rFonts w:hint="eastAsia"/>
        </w:rPr>
      </w:pPr>
      <w:r>
        <w:rPr>
          <w:rFonts w:hint="eastAsia"/>
        </w:rPr>
        <w:t>所以，在这种情况下，“天上”是“将来的世界”的简称，那世界充满了上帝和祂的荣耀，从此以后直到永远，它本身就是天堂（林前15:50，彼前1:3-5）。</w:t>
      </w:r>
    </w:p>
    <w:p w14:paraId="65E9016B">
      <w:pPr>
        <w:pStyle w:val="9"/>
        <w:spacing w:before="66"/>
        <w:ind w:left="0"/>
        <w:jc w:val="left"/>
        <w:rPr>
          <w:rFonts w:hint="eastAsia"/>
        </w:rPr>
      </w:pPr>
    </w:p>
    <w:p w14:paraId="7165A3E6">
      <w:pPr>
        <w:pStyle w:val="9"/>
        <w:spacing w:before="66"/>
        <w:ind w:left="0"/>
        <w:jc w:val="left"/>
        <w:rPr>
          <w:rFonts w:hint="eastAsia"/>
        </w:rPr>
      </w:pPr>
      <w:r>
        <w:rPr>
          <w:rFonts w:hint="eastAsia"/>
        </w:rPr>
        <w:t>Verses 2-3 abundantly confirm this interpretation.</w:t>
      </w:r>
    </w:p>
    <w:p w14:paraId="07FF7067">
      <w:pPr>
        <w:pStyle w:val="9"/>
        <w:spacing w:before="66"/>
        <w:ind w:left="0"/>
        <w:jc w:val="left"/>
        <w:rPr>
          <w:rFonts w:hint="eastAsia"/>
        </w:rPr>
      </w:pPr>
      <w:r>
        <w:rPr>
          <w:rFonts w:hint="eastAsia"/>
        </w:rPr>
        <w:t>第2-3节充分地证实了这一解释。</w:t>
      </w:r>
    </w:p>
    <w:p w14:paraId="556DFD54">
      <w:pPr>
        <w:pStyle w:val="9"/>
        <w:spacing w:before="66"/>
        <w:ind w:left="0"/>
        <w:jc w:val="left"/>
        <w:rPr>
          <w:rFonts w:hint="eastAsia"/>
        </w:rPr>
      </w:pPr>
    </w:p>
    <w:p w14:paraId="3A2BACDC">
      <w:pPr>
        <w:pStyle w:val="9"/>
        <w:spacing w:before="66"/>
        <w:ind w:left="0"/>
        <w:jc w:val="left"/>
        <w:rPr>
          <w:rFonts w:hint="eastAsia"/>
        </w:rPr>
      </w:pPr>
      <w:r>
        <w:rPr>
          <w:rFonts w:hint="eastAsia"/>
        </w:rPr>
        <w:t>Paul’s main goal here is to speak further about the ultimate blessing for which the saints, indwelt by the forward-looking Spirit of God, now groan.</w:t>
      </w:r>
    </w:p>
    <w:p w14:paraId="00629954">
      <w:pPr>
        <w:pStyle w:val="9"/>
        <w:spacing w:before="66"/>
        <w:ind w:left="0"/>
        <w:jc w:val="left"/>
        <w:rPr>
          <w:rFonts w:hint="eastAsia"/>
        </w:rPr>
      </w:pPr>
      <w:r>
        <w:rPr>
          <w:rFonts w:hint="eastAsia"/>
        </w:rPr>
        <w:t>保罗在这里的主要目标是进一步谈论那终极的祝福，圣徒们，被前瞻性的上帝之灵所内住，现在为此而叹息。</w:t>
      </w:r>
    </w:p>
    <w:p w14:paraId="1E7663E8">
      <w:pPr>
        <w:pStyle w:val="9"/>
        <w:spacing w:before="66"/>
        <w:ind w:left="0"/>
        <w:jc w:val="left"/>
        <w:rPr>
          <w:rFonts w:hint="eastAsia"/>
        </w:rPr>
      </w:pPr>
    </w:p>
    <w:p w14:paraId="772A9869">
      <w:pPr>
        <w:pStyle w:val="9"/>
        <w:spacing w:before="66"/>
        <w:ind w:left="0"/>
        <w:jc w:val="left"/>
        <w:rPr>
          <w:rFonts w:hint="eastAsia"/>
        </w:rPr>
      </w:pPr>
      <w:r>
        <w:rPr>
          <w:rFonts w:hint="eastAsia"/>
        </w:rPr>
        <w:t>According to Romans 8:23, that blessing is the redemption of their body.</w:t>
      </w:r>
    </w:p>
    <w:p w14:paraId="752C45DC">
      <w:pPr>
        <w:pStyle w:val="9"/>
        <w:spacing w:before="66"/>
        <w:ind w:left="0"/>
        <w:jc w:val="left"/>
        <w:rPr>
          <w:rFonts w:hint="eastAsia"/>
        </w:rPr>
      </w:pPr>
      <w:r>
        <w:rPr>
          <w:rFonts w:hint="eastAsia"/>
        </w:rPr>
        <w:t>根据罗马书8:23，那祝福是他们身体的得赎。</w:t>
      </w:r>
    </w:p>
    <w:p w14:paraId="3AAE9478">
      <w:pPr>
        <w:pStyle w:val="9"/>
        <w:spacing w:before="66"/>
        <w:ind w:left="0"/>
        <w:jc w:val="left"/>
        <w:rPr>
          <w:rFonts w:hint="eastAsia"/>
        </w:rPr>
      </w:pPr>
    </w:p>
    <w:p w14:paraId="4E53361B">
      <w:pPr>
        <w:pStyle w:val="9"/>
        <w:spacing w:before="66"/>
        <w:ind w:left="0"/>
        <w:jc w:val="left"/>
        <w:rPr>
          <w:rFonts w:hint="eastAsia"/>
        </w:rPr>
      </w:pPr>
      <w:r>
        <w:rPr>
          <w:rFonts w:hint="eastAsia"/>
        </w:rPr>
        <w:t>And with this verses 2-3 agree perfectly.</w:t>
      </w:r>
    </w:p>
    <w:p w14:paraId="75046DF0">
      <w:pPr>
        <w:pStyle w:val="9"/>
        <w:spacing w:before="66"/>
        <w:ind w:left="0"/>
        <w:jc w:val="left"/>
        <w:rPr>
          <w:rFonts w:hint="eastAsia"/>
        </w:rPr>
      </w:pPr>
      <w:r>
        <w:rPr>
          <w:rFonts w:hint="eastAsia"/>
        </w:rPr>
        <w:t>而这与第2-3节完全吻合。</w:t>
      </w:r>
    </w:p>
    <w:p w14:paraId="09DED132">
      <w:pPr>
        <w:pStyle w:val="9"/>
        <w:spacing w:before="66"/>
        <w:ind w:left="0"/>
        <w:jc w:val="left"/>
        <w:rPr>
          <w:rFonts w:hint="eastAsia"/>
        </w:rPr>
      </w:pPr>
    </w:p>
    <w:p w14:paraId="52C788AD">
      <w:pPr>
        <w:pStyle w:val="9"/>
        <w:spacing w:before="66"/>
        <w:ind w:left="0"/>
        <w:jc w:val="left"/>
        <w:rPr>
          <w:rFonts w:hint="eastAsia"/>
        </w:rPr>
      </w:pPr>
      <w:r>
        <w:rPr>
          <w:rFonts w:hint="eastAsia"/>
        </w:rPr>
        <w:t>The Christian groans and longs for his soul to be “clothed” with its ultimate dwelling place: his resurrection body.</w:t>
      </w:r>
    </w:p>
    <w:p w14:paraId="4BEA9B8C">
      <w:pPr>
        <w:pStyle w:val="9"/>
        <w:spacing w:before="66"/>
        <w:ind w:left="0"/>
        <w:jc w:val="left"/>
        <w:rPr>
          <w:rFonts w:hint="eastAsia"/>
        </w:rPr>
      </w:pPr>
      <w:r>
        <w:rPr>
          <w:rFonts w:hint="eastAsia"/>
        </w:rPr>
        <w:t>基督徒叹息，渴望他的灵魂能“穿上”其最终的居所：他复活的身体。</w:t>
      </w:r>
    </w:p>
    <w:p w14:paraId="4D52F9F0">
      <w:pPr>
        <w:pStyle w:val="9"/>
        <w:spacing w:before="66"/>
        <w:ind w:left="0"/>
        <w:jc w:val="left"/>
        <w:rPr>
          <w:rFonts w:hint="eastAsia"/>
        </w:rPr>
      </w:pPr>
    </w:p>
    <w:p w14:paraId="2B2B4CA1">
      <w:pPr>
        <w:pStyle w:val="9"/>
        <w:spacing w:before="66"/>
        <w:ind w:left="0"/>
        <w:jc w:val="left"/>
        <w:rPr>
          <w:rFonts w:hint="eastAsia"/>
        </w:rPr>
      </w:pPr>
      <w:r>
        <w:rPr>
          <w:rFonts w:hint="eastAsia"/>
        </w:rPr>
        <w:t>It is a dwelling place “from heaven”—created from above, by the power of the One who, at his Parousia, will descend from above.</w:t>
      </w:r>
    </w:p>
    <w:p w14:paraId="2DB40E07">
      <w:pPr>
        <w:pStyle w:val="9"/>
        <w:spacing w:before="66"/>
        <w:ind w:left="0"/>
        <w:jc w:val="left"/>
        <w:rPr>
          <w:rFonts w:hint="eastAsia"/>
        </w:rPr>
      </w:pPr>
      <w:r>
        <w:rPr>
          <w:rFonts w:hint="eastAsia"/>
        </w:rPr>
        <w:t>这是一个“从天上来”的居所——从上头被造，借着那位将在祂主临（Parousia）时从上头降临之主的能力。</w:t>
      </w:r>
    </w:p>
    <w:p w14:paraId="4DB22624">
      <w:pPr>
        <w:pStyle w:val="9"/>
        <w:spacing w:before="66"/>
        <w:ind w:left="0"/>
        <w:jc w:val="left"/>
        <w:rPr>
          <w:rFonts w:hint="eastAsia"/>
        </w:rPr>
      </w:pPr>
    </w:p>
    <w:p w14:paraId="22953864">
      <w:pPr>
        <w:pStyle w:val="9"/>
        <w:spacing w:before="66"/>
        <w:ind w:left="0"/>
        <w:jc w:val="left"/>
        <w:rPr>
          <w:rFonts w:hint="eastAsia"/>
        </w:rPr>
      </w:pPr>
      <w:r>
        <w:rPr>
          <w:rFonts w:hint="eastAsia"/>
        </w:rPr>
        <w:t>Verse 3 is difficult.</w:t>
      </w:r>
    </w:p>
    <w:p w14:paraId="7C087C8D">
      <w:pPr>
        <w:pStyle w:val="9"/>
        <w:spacing w:before="66"/>
        <w:ind w:left="0"/>
        <w:jc w:val="left"/>
        <w:rPr>
          <w:rFonts w:hint="eastAsia"/>
        </w:rPr>
      </w:pPr>
      <w:r>
        <w:rPr>
          <w:rFonts w:hint="eastAsia"/>
        </w:rPr>
        <w:t>第3节是困难的。</w:t>
      </w:r>
    </w:p>
    <w:p w14:paraId="10B4251F">
      <w:pPr>
        <w:pStyle w:val="9"/>
        <w:spacing w:before="66"/>
        <w:ind w:left="0"/>
        <w:jc w:val="left"/>
        <w:rPr>
          <w:rFonts w:hint="eastAsia"/>
        </w:rPr>
      </w:pPr>
    </w:p>
    <w:p w14:paraId="36594660">
      <w:pPr>
        <w:pStyle w:val="9"/>
        <w:spacing w:before="66"/>
        <w:ind w:left="0"/>
        <w:jc w:val="left"/>
        <w:rPr>
          <w:rFonts w:hint="eastAsia"/>
        </w:rPr>
      </w:pPr>
      <w:r>
        <w:rPr>
          <w:rFonts w:hint="eastAsia"/>
        </w:rPr>
        <w:t>The NKJV reads, “… if indeed, having been clothed, we shall not be found naked.”</w:t>
      </w:r>
    </w:p>
    <w:p w14:paraId="7FFDA6FC">
      <w:pPr>
        <w:pStyle w:val="9"/>
        <w:spacing w:before="66"/>
        <w:ind w:left="0"/>
        <w:jc w:val="left"/>
        <w:rPr>
          <w:rFonts w:hint="eastAsia"/>
        </w:rPr>
      </w:pPr>
      <w:r>
        <w:rPr>
          <w:rFonts w:hint="eastAsia"/>
        </w:rPr>
        <w:t>新钦定本读作：“……倘若穿上，就不至于赤身了。”</w:t>
      </w:r>
    </w:p>
    <w:p w14:paraId="2D051101">
      <w:pPr>
        <w:pStyle w:val="9"/>
        <w:spacing w:before="66"/>
        <w:ind w:left="0"/>
        <w:jc w:val="left"/>
        <w:rPr>
          <w:rFonts w:hint="eastAsia"/>
        </w:rPr>
      </w:pPr>
    </w:p>
    <w:p w14:paraId="26B6BAE7">
      <w:pPr>
        <w:pStyle w:val="9"/>
        <w:spacing w:before="66"/>
        <w:ind w:left="0"/>
        <w:jc w:val="left"/>
        <w:rPr>
          <w:rFonts w:hint="eastAsia"/>
        </w:rPr>
      </w:pPr>
      <w:r>
        <w:rPr>
          <w:rFonts w:hint="eastAsia"/>
        </w:rPr>
        <w:t>If this is the correct translation, Paul is warning that the Resurrection may expose professing (but hypocritical) Christians to wrath, unless, even now, they sincerely clothe themselves with the righteousness of Christ.</w:t>
      </w:r>
    </w:p>
    <w:p w14:paraId="55C0DE96">
      <w:pPr>
        <w:pStyle w:val="9"/>
        <w:spacing w:before="66"/>
        <w:ind w:left="0"/>
        <w:jc w:val="left"/>
        <w:rPr>
          <w:rFonts w:hint="eastAsia"/>
        </w:rPr>
      </w:pPr>
      <w:r>
        <w:rPr>
          <w:rFonts w:hint="eastAsia"/>
        </w:rPr>
        <w:t>如果这是正确的翻译，那么保罗是在警告说，复活可能会使自称的（但虚伪的）基督徒遭受忿怒，除非他们现在就真诚地穿上基督的义。</w:t>
      </w:r>
    </w:p>
    <w:p w14:paraId="55B2C268">
      <w:pPr>
        <w:pStyle w:val="9"/>
        <w:spacing w:before="66"/>
        <w:ind w:left="0"/>
        <w:jc w:val="left"/>
        <w:rPr>
          <w:rFonts w:hint="eastAsia"/>
        </w:rPr>
      </w:pPr>
    </w:p>
    <w:p w14:paraId="18A01EE9">
      <w:pPr>
        <w:pStyle w:val="9"/>
        <w:spacing w:before="66"/>
        <w:ind w:left="0"/>
        <w:jc w:val="left"/>
        <w:rPr>
          <w:rFonts w:hint="eastAsia"/>
        </w:rPr>
      </w:pPr>
      <w:r>
        <w:rPr>
          <w:rFonts w:hint="eastAsia"/>
        </w:rPr>
        <w:t>However, while such a rendering is possible, it seems to inject a strain of doubt that is alien to a text otherwise devoted to the instruction and encouragement of suffering believers.</w:t>
      </w:r>
    </w:p>
    <w:p w14:paraId="047CB6A1">
      <w:pPr>
        <w:pStyle w:val="9"/>
        <w:spacing w:before="66"/>
        <w:ind w:left="0"/>
        <w:jc w:val="left"/>
        <w:rPr>
          <w:rFonts w:hint="eastAsia"/>
        </w:rPr>
      </w:pPr>
      <w:r>
        <w:rPr>
          <w:rFonts w:hint="eastAsia"/>
        </w:rPr>
        <w:t>然而，虽然这样的翻译是可能的，但它似乎注入了一种怀疑的成分，这与一段本来致力于教导和鼓励受苦信徒的经文格格不入。</w:t>
      </w:r>
    </w:p>
    <w:p w14:paraId="7EAE00D0">
      <w:pPr>
        <w:pStyle w:val="9"/>
        <w:spacing w:before="66"/>
        <w:ind w:left="0"/>
        <w:jc w:val="left"/>
        <w:rPr>
          <w:rFonts w:hint="eastAsia"/>
        </w:rPr>
      </w:pPr>
    </w:p>
    <w:p w14:paraId="28FAB034">
      <w:pPr>
        <w:pStyle w:val="9"/>
        <w:spacing w:before="66"/>
        <w:ind w:left="0"/>
        <w:jc w:val="left"/>
        <w:rPr>
          <w:rFonts w:hint="eastAsia"/>
        </w:rPr>
      </w:pPr>
      <w:r>
        <w:rPr>
          <w:rFonts w:hint="eastAsia"/>
        </w:rPr>
        <w:t>For this reason, I favor the NAS translation, which reads, “… inasmuch as we, having put it on, shall not be found naked.”</w:t>
      </w:r>
    </w:p>
    <w:p w14:paraId="7511C997">
      <w:pPr>
        <w:pStyle w:val="9"/>
        <w:spacing w:before="66"/>
        <w:ind w:left="0"/>
        <w:jc w:val="left"/>
        <w:rPr>
          <w:rFonts w:hint="eastAsia"/>
        </w:rPr>
      </w:pPr>
      <w:r>
        <w:rPr>
          <w:rFonts w:hint="eastAsia"/>
        </w:rPr>
        <w:t>因此，我偏爱新美国标准版的翻译，其读作：“……既然我们穿上了，就不至于赤身了。”</w:t>
      </w:r>
    </w:p>
    <w:p w14:paraId="720F418D">
      <w:pPr>
        <w:pStyle w:val="9"/>
        <w:spacing w:before="66"/>
        <w:ind w:left="0"/>
        <w:jc w:val="left"/>
        <w:rPr>
          <w:rFonts w:hint="eastAsia"/>
        </w:rPr>
      </w:pPr>
    </w:p>
    <w:p w14:paraId="3E1DBBA8">
      <w:pPr>
        <w:pStyle w:val="9"/>
        <w:spacing w:before="66"/>
        <w:ind w:left="0"/>
        <w:jc w:val="left"/>
        <w:rPr>
          <w:rFonts w:hint="eastAsia"/>
        </w:rPr>
      </w:pPr>
      <w:r>
        <w:rPr>
          <w:rFonts w:hint="eastAsia"/>
        </w:rPr>
        <w:t>On this view, Paul is celebrating the fact that the saints, having put on their new resurrection bodies, shall not, like unbelievers, be found naked in the sight of Christ the Judge (9-10; Heb. 4:14, Rev. 3:17, 16:15).</w:t>
      </w:r>
    </w:p>
    <w:p w14:paraId="309DEC1E">
      <w:pPr>
        <w:pStyle w:val="9"/>
        <w:spacing w:before="66"/>
        <w:ind w:left="0"/>
        <w:jc w:val="left"/>
        <w:rPr>
          <w:rFonts w:hint="eastAsia"/>
        </w:rPr>
      </w:pPr>
      <w:r>
        <w:rPr>
          <w:rFonts w:hint="eastAsia"/>
        </w:rPr>
        <w:t>根据这种观点，保罗是在庆祝这样一个事实，即圣徒们，穿上了他们新的复活身体后，就不会像不信的人一样，在审判主基督的面前被发现是赤身的（9-10；来4:14，启3:17, 16:15）。</w:t>
      </w:r>
    </w:p>
    <w:p w14:paraId="7946F325">
      <w:pPr>
        <w:pStyle w:val="9"/>
        <w:spacing w:before="66"/>
        <w:ind w:left="0"/>
        <w:jc w:val="left"/>
        <w:rPr>
          <w:rFonts w:hint="eastAsia"/>
        </w:rPr>
      </w:pPr>
    </w:p>
    <w:p w14:paraId="7FEAB560">
      <w:pPr>
        <w:pStyle w:val="9"/>
        <w:spacing w:before="66"/>
        <w:ind w:left="0"/>
        <w:jc w:val="left"/>
        <w:rPr>
          <w:rFonts w:hint="eastAsia"/>
        </w:rPr>
      </w:pPr>
      <w:r>
        <w:rPr>
          <w:rFonts w:hint="eastAsia"/>
        </w:rPr>
        <w:t>Verse 4, which continues to explore the object of the saints’ groaning, strikes a blow at Greek conceptions of the afterlife and the final state.</w:t>
      </w:r>
    </w:p>
    <w:p w14:paraId="0A24C354">
      <w:pPr>
        <w:pStyle w:val="9"/>
        <w:spacing w:before="66"/>
        <w:ind w:left="0"/>
        <w:jc w:val="left"/>
        <w:rPr>
          <w:rFonts w:hint="eastAsia"/>
        </w:rPr>
      </w:pPr>
      <w:r>
        <w:rPr>
          <w:rFonts w:hint="eastAsia"/>
        </w:rPr>
        <w:t>第4节，继续探讨圣徒们叹息的对象，对希腊人关于来世和最终状态的观念给予了一击。</w:t>
      </w:r>
    </w:p>
    <w:p w14:paraId="2BDACB4A">
      <w:pPr>
        <w:pStyle w:val="9"/>
        <w:spacing w:before="66"/>
        <w:ind w:left="0"/>
        <w:jc w:val="left"/>
        <w:rPr>
          <w:rFonts w:hint="eastAsia"/>
        </w:rPr>
      </w:pPr>
    </w:p>
    <w:p w14:paraId="68819CCF">
      <w:pPr>
        <w:pStyle w:val="9"/>
        <w:spacing w:before="66"/>
        <w:ind w:left="0"/>
        <w:jc w:val="left"/>
        <w:rPr>
          <w:rFonts w:hint="eastAsia"/>
        </w:rPr>
      </w:pPr>
      <w:r>
        <w:rPr>
          <w:rFonts w:hint="eastAsia"/>
        </w:rPr>
        <w:t>Unlike the Gentiles, God’s saints are (joyfully) “burdened,” not because they want to be unclothed (i.e., exist in heaven as disembodied spirits), but because they want to be further clothed with their new, glorified bodies.</w:t>
      </w:r>
    </w:p>
    <w:p w14:paraId="17678147">
      <w:pPr>
        <w:pStyle w:val="9"/>
        <w:spacing w:before="66"/>
        <w:ind w:left="0"/>
        <w:jc w:val="left"/>
        <w:rPr>
          <w:rFonts w:hint="eastAsia"/>
        </w:rPr>
      </w:pPr>
      <w:r>
        <w:rPr>
          <w:rFonts w:hint="eastAsia"/>
        </w:rPr>
        <w:t>与外邦人不同，上帝的圣徒们（喜乐地）“担重担”，不是因为他们想要脱去衣服（即，在天上作为脱离身体的灵魂存在），而是因为他们想要再穿上他们新的、得荣耀的身体。</w:t>
      </w:r>
    </w:p>
    <w:p w14:paraId="741862B8">
      <w:pPr>
        <w:pStyle w:val="9"/>
        <w:spacing w:before="66"/>
        <w:ind w:left="0"/>
        <w:jc w:val="left"/>
        <w:rPr>
          <w:rFonts w:hint="eastAsia"/>
        </w:rPr>
      </w:pPr>
    </w:p>
    <w:p w14:paraId="170F5D18">
      <w:pPr>
        <w:pStyle w:val="9"/>
        <w:spacing w:before="66"/>
        <w:ind w:left="0"/>
        <w:jc w:val="left"/>
        <w:rPr>
          <w:rFonts w:hint="eastAsia"/>
        </w:rPr>
      </w:pPr>
      <w:r>
        <w:rPr>
          <w:rFonts w:hint="eastAsia"/>
        </w:rPr>
        <w:t>Note carefully that as in 1 Cor. 15:54, so here: The one Resurrection at the Parousia of Christ brings the full and final abolition of all mortality.</w:t>
      </w:r>
    </w:p>
    <w:p w14:paraId="2A76F989">
      <w:pPr>
        <w:pStyle w:val="9"/>
        <w:spacing w:before="66"/>
        <w:ind w:left="0"/>
        <w:jc w:val="left"/>
        <w:rPr>
          <w:rFonts w:hint="eastAsia"/>
        </w:rPr>
      </w:pPr>
      <w:r>
        <w:rPr>
          <w:rFonts w:hint="eastAsia"/>
        </w:rPr>
        <w:t>请仔细注意，如同在哥林多前书15:54中，这里也是如此：在基督主临（Parousia）时的一次复活，带来了所有必死之物的完全和最终的废除。</w:t>
      </w:r>
    </w:p>
    <w:p w14:paraId="14643CA9">
      <w:pPr>
        <w:pStyle w:val="9"/>
        <w:spacing w:before="66"/>
        <w:ind w:left="0"/>
        <w:jc w:val="left"/>
        <w:rPr>
          <w:rFonts w:hint="eastAsia"/>
        </w:rPr>
      </w:pPr>
    </w:p>
    <w:p w14:paraId="3A08DFEA">
      <w:pPr>
        <w:pStyle w:val="9"/>
        <w:spacing w:before="66"/>
        <w:ind w:left="0"/>
        <w:jc w:val="left"/>
        <w:rPr>
          <w:rFonts w:hint="eastAsia"/>
        </w:rPr>
      </w:pPr>
      <w:r>
        <w:rPr>
          <w:rFonts w:hint="eastAsia"/>
        </w:rPr>
        <w:t>Death, the fearsome swallower of man and nature, will itself be altogether swallowed up by life (Isaiah 25:8, Heb. 2:5)!</w:t>
      </w:r>
    </w:p>
    <w:p w14:paraId="4A2CEDD9">
      <w:pPr>
        <w:pStyle w:val="9"/>
        <w:spacing w:before="66"/>
        <w:ind w:left="0"/>
        <w:jc w:val="left"/>
        <w:rPr>
          <w:rFonts w:hint="eastAsia"/>
        </w:rPr>
      </w:pPr>
      <w:r>
        <w:rPr>
          <w:rFonts w:hint="eastAsia"/>
        </w:rPr>
        <w:t>死亡，那可怕的、吞噬人和自然的，自己本身也将完全被生命吞灭（以赛亚书25:8，希伯来书2:5）！</w:t>
      </w:r>
    </w:p>
    <w:p w14:paraId="74EE3978">
      <w:pPr>
        <w:pStyle w:val="9"/>
        <w:spacing w:before="66"/>
        <w:ind w:left="0"/>
        <w:jc w:val="left"/>
        <w:rPr>
          <w:rFonts w:hint="eastAsia"/>
        </w:rPr>
      </w:pPr>
    </w:p>
    <w:p w14:paraId="55646180">
      <w:pPr>
        <w:pStyle w:val="9"/>
        <w:spacing w:before="66"/>
        <w:ind w:left="0"/>
        <w:jc w:val="left"/>
        <w:rPr>
          <w:rFonts w:hint="eastAsia"/>
        </w:rPr>
      </w:pPr>
      <w:r>
        <w:rPr>
          <w:rFonts w:hint="eastAsia"/>
        </w:rPr>
        <w:t>How then can death continue to swallow up life in a Millennium that (allegedly) comes after the Resurrection?</w:t>
      </w:r>
    </w:p>
    <w:p w14:paraId="14923E8B">
      <w:pPr>
        <w:pStyle w:val="9"/>
        <w:spacing w:before="66"/>
        <w:ind w:left="0"/>
        <w:jc w:val="left"/>
        <w:rPr>
          <w:rFonts w:hint="eastAsia"/>
        </w:rPr>
      </w:pPr>
      <w:r>
        <w:rPr>
          <w:rFonts w:hint="eastAsia"/>
        </w:rPr>
        <w:t>那么，在（据称）复活之后的千禧年中，死亡又怎能继续吞噬生命呢？</w:t>
      </w:r>
    </w:p>
    <w:p w14:paraId="68C9A4BD">
      <w:pPr>
        <w:pStyle w:val="9"/>
        <w:spacing w:before="66"/>
        <w:ind w:left="0"/>
        <w:jc w:val="left"/>
        <w:rPr>
          <w:rFonts w:hint="eastAsia"/>
        </w:rPr>
      </w:pPr>
    </w:p>
    <w:p w14:paraId="5D932063">
      <w:pPr>
        <w:pStyle w:val="9"/>
        <w:spacing w:before="66"/>
        <w:ind w:left="0"/>
        <w:jc w:val="left"/>
        <w:rPr>
          <w:rFonts w:hint="eastAsia"/>
        </w:rPr>
      </w:pPr>
      <w:r>
        <w:rPr>
          <w:rFonts w:hint="eastAsia"/>
        </w:rPr>
        <w:t>Still further illuminating the eschatological longings of the saints, Paul now tells his readers in verse 5 that such desires actually come from God.</w:t>
      </w:r>
    </w:p>
    <w:p w14:paraId="08EBAF20">
      <w:pPr>
        <w:pStyle w:val="9"/>
        <w:spacing w:before="66"/>
        <w:ind w:left="0"/>
        <w:jc w:val="left"/>
        <w:rPr>
          <w:rFonts w:hint="eastAsia"/>
        </w:rPr>
      </w:pPr>
      <w:r>
        <w:rPr>
          <w:rFonts w:hint="eastAsia"/>
        </w:rPr>
        <w:t>保罗现在在第5节告诉他的读者，这种渴望实际上来自上帝，这进一步阐明了圣徒们的末世盼望。</w:t>
      </w:r>
    </w:p>
    <w:p w14:paraId="092AF01D">
      <w:pPr>
        <w:pStyle w:val="9"/>
        <w:spacing w:before="66"/>
        <w:ind w:left="0"/>
        <w:jc w:val="left"/>
        <w:rPr>
          <w:rFonts w:hint="eastAsia"/>
        </w:rPr>
      </w:pPr>
    </w:p>
    <w:p w14:paraId="45BCF996">
      <w:pPr>
        <w:pStyle w:val="9"/>
        <w:spacing w:before="66"/>
        <w:ind w:left="0"/>
        <w:jc w:val="left"/>
        <w:rPr>
          <w:rFonts w:hint="eastAsia"/>
        </w:rPr>
      </w:pPr>
      <w:r>
        <w:rPr>
          <w:rFonts w:hint="eastAsia"/>
        </w:rPr>
        <w:t>God himself has foreordained the saints to eternal resurrection life, and, in preparation for it, has given them the indwelling Holy Spirit as a down payment or guarantee.</w:t>
      </w:r>
    </w:p>
    <w:p w14:paraId="1847B6B6">
      <w:pPr>
        <w:pStyle w:val="9"/>
        <w:spacing w:before="66"/>
        <w:ind w:left="0"/>
        <w:jc w:val="left"/>
        <w:rPr>
          <w:rFonts w:hint="eastAsia"/>
        </w:rPr>
      </w:pPr>
      <w:r>
        <w:rPr>
          <w:rFonts w:hint="eastAsia"/>
        </w:rPr>
        <w:t>上帝祂自己已预定圣徒们得永恒的复活生命，并且，为作预备，已赐给他们内住的圣灵作为凭据或保证。</w:t>
      </w:r>
    </w:p>
    <w:p w14:paraId="2E41585B">
      <w:pPr>
        <w:pStyle w:val="9"/>
        <w:spacing w:before="66"/>
        <w:ind w:left="0"/>
        <w:jc w:val="left"/>
        <w:rPr>
          <w:rFonts w:hint="eastAsia"/>
        </w:rPr>
      </w:pPr>
    </w:p>
    <w:p w14:paraId="0B5A7E6B">
      <w:pPr>
        <w:pStyle w:val="9"/>
        <w:spacing w:before="66"/>
        <w:ind w:left="0"/>
        <w:jc w:val="left"/>
        <w:rPr>
          <w:rFonts w:hint="eastAsia"/>
        </w:rPr>
      </w:pPr>
      <w:r>
        <w:rPr>
          <w:rFonts w:hint="eastAsia"/>
        </w:rPr>
        <w:t>Because the eternal Spirit knows God’s ultimate purpose for his people, he graciously creates in them not only a desire for it, but also a stubborn determination to attain it (Acts 23:6, Rom. 8:26-27, Phil. 3:11)!</w:t>
      </w:r>
    </w:p>
    <w:p w14:paraId="2AAF0BB0">
      <w:pPr>
        <w:pStyle w:val="9"/>
        <w:spacing w:before="66"/>
        <w:ind w:left="0"/>
        <w:jc w:val="left"/>
        <w:rPr>
          <w:rFonts w:hint="eastAsia"/>
        </w:rPr>
      </w:pPr>
      <w:r>
        <w:rPr>
          <w:rFonts w:hint="eastAsia"/>
        </w:rPr>
        <w:t>因为永恒的圣灵知道上帝对祂子民的最终旨意，祂就恩慈地在他们里面不仅创造了一种对它的渴望，也创造了一种要得着它的顽强决心（使徒行传23:6，罗马书8:26-27，腓立比书3:11）！</w:t>
      </w:r>
    </w:p>
    <w:p w14:paraId="363A1249">
      <w:pPr>
        <w:pStyle w:val="9"/>
        <w:spacing w:before="66"/>
        <w:ind w:left="0"/>
        <w:jc w:val="left"/>
        <w:rPr>
          <w:rFonts w:hint="eastAsia"/>
        </w:rPr>
      </w:pPr>
    </w:p>
    <w:p w14:paraId="24BBBCC2">
      <w:pPr>
        <w:pStyle w:val="9"/>
        <w:spacing w:before="66"/>
        <w:ind w:left="0"/>
        <w:jc w:val="left"/>
        <w:rPr>
          <w:rFonts w:hint="eastAsia"/>
        </w:rPr>
      </w:pPr>
      <w:r>
        <w:rPr>
          <w:rFonts w:hint="eastAsia"/>
        </w:rPr>
        <w:t>In verses 6-8, Paul shifts his focus, directing his reader’s thoughts to the Intermediate State.</w:t>
      </w:r>
    </w:p>
    <w:p w14:paraId="66B10955">
      <w:pPr>
        <w:pStyle w:val="9"/>
        <w:spacing w:before="66"/>
        <w:ind w:left="0"/>
        <w:jc w:val="left"/>
        <w:rPr>
          <w:rFonts w:hint="eastAsia"/>
        </w:rPr>
      </w:pPr>
      <w:r>
        <w:rPr>
          <w:rFonts w:hint="eastAsia"/>
        </w:rPr>
        <w:t>在第6-8节，保罗转移了他的焦点，将读者的思绪引向中间状态。</w:t>
      </w:r>
    </w:p>
    <w:p w14:paraId="4F84E4B5">
      <w:pPr>
        <w:pStyle w:val="9"/>
        <w:spacing w:before="66"/>
        <w:ind w:left="0"/>
        <w:jc w:val="left"/>
        <w:rPr>
          <w:rFonts w:hint="eastAsia"/>
        </w:rPr>
      </w:pPr>
    </w:p>
    <w:p w14:paraId="38BC57C2">
      <w:pPr>
        <w:pStyle w:val="9"/>
        <w:spacing w:before="66"/>
        <w:ind w:left="0"/>
        <w:jc w:val="left"/>
        <w:rPr>
          <w:rFonts w:hint="eastAsia"/>
        </w:rPr>
      </w:pPr>
      <w:r>
        <w:rPr>
          <w:rFonts w:hint="eastAsia"/>
        </w:rPr>
        <w:t>Because God has given the Holy Spirit to his people, they can always be confident, even in the face of death itself (Heb. 2:14- 15).</w:t>
      </w:r>
    </w:p>
    <w:p w14:paraId="6A2F719E">
      <w:pPr>
        <w:pStyle w:val="9"/>
        <w:spacing w:before="66"/>
        <w:ind w:left="0"/>
        <w:jc w:val="left"/>
        <w:rPr>
          <w:rFonts w:hint="eastAsia"/>
        </w:rPr>
      </w:pPr>
      <w:r>
        <w:rPr>
          <w:rFonts w:hint="eastAsia"/>
        </w:rPr>
        <w:t>因为上帝已将圣灵赐给祂的子民，他们就可以坦然无惧，即使面对死亡本身也是如此（来2:14-15）。</w:t>
      </w:r>
    </w:p>
    <w:p w14:paraId="76A5F8E2">
      <w:pPr>
        <w:pStyle w:val="9"/>
        <w:spacing w:before="66"/>
        <w:ind w:left="0"/>
        <w:jc w:val="left"/>
        <w:rPr>
          <w:rFonts w:hint="eastAsia"/>
        </w:rPr>
      </w:pPr>
    </w:p>
    <w:p w14:paraId="63C3A64C">
      <w:pPr>
        <w:pStyle w:val="9"/>
        <w:spacing w:before="66"/>
        <w:ind w:left="0"/>
        <w:jc w:val="left"/>
        <w:rPr>
          <w:rFonts w:hint="eastAsia"/>
        </w:rPr>
      </w:pPr>
      <w:r>
        <w:rPr>
          <w:rFonts w:hint="eastAsia"/>
        </w:rPr>
        <w:t>For just as the Spirit teaches them to long for the resurrection, so too he teaches them that while they are “at home in the body” (i.e., in their present tents here on earth), they are “absent from the Lord”, that as soon as they die, their spirits will immediately ascend to join Christ in heaven.</w:t>
      </w:r>
    </w:p>
    <w:p w14:paraId="1F8986E7">
      <w:pPr>
        <w:pStyle w:val="9"/>
        <w:spacing w:before="66"/>
        <w:ind w:left="0"/>
        <w:jc w:val="left"/>
        <w:rPr>
          <w:rFonts w:hint="eastAsia"/>
        </w:rPr>
      </w:pPr>
      <w:r>
        <w:rPr>
          <w:rFonts w:hint="eastAsia"/>
        </w:rPr>
        <w:t>因为正如圣灵教导他们渴望复活，祂也教导他们，当他们“住在身内”（即，在他们现今地上的帐棚里）时，他们是“与主相离”的，一旦他们死了，他们的灵魂将立刻升天与基督同在。</w:t>
      </w:r>
    </w:p>
    <w:p w14:paraId="29FBC410">
      <w:pPr>
        <w:pStyle w:val="9"/>
        <w:spacing w:before="66"/>
        <w:ind w:left="0"/>
        <w:jc w:val="left"/>
        <w:rPr>
          <w:rFonts w:hint="eastAsia"/>
        </w:rPr>
      </w:pPr>
    </w:p>
    <w:p w14:paraId="6B00769A">
      <w:pPr>
        <w:pStyle w:val="9"/>
        <w:spacing w:before="66"/>
        <w:ind w:left="0"/>
        <w:jc w:val="left"/>
        <w:rPr>
          <w:rFonts w:hint="eastAsia"/>
        </w:rPr>
      </w:pPr>
      <w:r>
        <w:rPr>
          <w:rFonts w:hint="eastAsia"/>
        </w:rPr>
        <w:t>So wonderful is this knowledge, that it completely changes their attitude towards the last enemy.</w:t>
      </w:r>
    </w:p>
    <w:p w14:paraId="31D09276">
      <w:pPr>
        <w:pStyle w:val="9"/>
        <w:spacing w:before="66"/>
        <w:ind w:left="0"/>
        <w:jc w:val="left"/>
        <w:rPr>
          <w:rFonts w:hint="eastAsia"/>
        </w:rPr>
      </w:pPr>
      <w:r>
        <w:rPr>
          <w:rFonts w:hint="eastAsia"/>
        </w:rPr>
        <w:t>这知识是如此奇妙，以致它完全改变了他们对那尽末了的仇敌的态度。</w:t>
      </w:r>
    </w:p>
    <w:p w14:paraId="72373AB9">
      <w:pPr>
        <w:pStyle w:val="9"/>
        <w:spacing w:before="66"/>
        <w:ind w:left="0"/>
        <w:jc w:val="left"/>
        <w:rPr>
          <w:rFonts w:hint="eastAsia"/>
        </w:rPr>
      </w:pPr>
    </w:p>
    <w:p w14:paraId="246B7B04">
      <w:pPr>
        <w:pStyle w:val="9"/>
        <w:spacing w:before="66"/>
        <w:ind w:left="0"/>
        <w:jc w:val="left"/>
        <w:rPr>
          <w:rFonts w:hint="eastAsia"/>
        </w:rPr>
      </w:pPr>
      <w:r>
        <w:rPr>
          <w:rFonts w:hint="eastAsia"/>
        </w:rPr>
        <w:t>Henceforth, they are eager to be absent from the body and present with the Lord (vv. 7-8; Phil. 1:21-23)!</w:t>
      </w:r>
    </w:p>
    <w:p w14:paraId="422F6619">
      <w:pPr>
        <w:pStyle w:val="9"/>
        <w:spacing w:before="66"/>
        <w:ind w:left="0"/>
        <w:jc w:val="left"/>
        <w:rPr>
          <w:rFonts w:hint="eastAsia"/>
        </w:rPr>
      </w:pPr>
      <w:r>
        <w:rPr>
          <w:rFonts w:hint="eastAsia"/>
        </w:rPr>
        <w:t>从此以后，他们情愿离世与主同在（7-8节；腓1:21-23）！</w:t>
      </w:r>
    </w:p>
    <w:p w14:paraId="25CC323D">
      <w:pPr>
        <w:pStyle w:val="9"/>
        <w:spacing w:before="66"/>
        <w:ind w:left="0"/>
        <w:jc w:val="left"/>
        <w:rPr>
          <w:rFonts w:hint="eastAsia"/>
        </w:rPr>
      </w:pPr>
    </w:p>
    <w:p w14:paraId="71CCEB26">
      <w:pPr>
        <w:pStyle w:val="9"/>
        <w:spacing w:before="66"/>
        <w:ind w:left="0"/>
        <w:jc w:val="left"/>
        <w:rPr>
          <w:rFonts w:hint="eastAsia"/>
        </w:rPr>
      </w:pPr>
      <w:r>
        <w:rPr>
          <w:rFonts w:hint="eastAsia"/>
        </w:rPr>
        <w:t>Observe, then, from Paul’s overall teaching in vv. 1-8, the profound blessedness of the believer’s eschatological hope: From the moment of death, he will be present with the Lord forever, whether in heaven during the Intermediate State, or at Christ’s side during the Consummation, or upon a beautiful new earth in the glorious World to Come.</w:t>
      </w:r>
    </w:p>
    <w:p w14:paraId="0C6A7ED0">
      <w:pPr>
        <w:pStyle w:val="9"/>
        <w:spacing w:before="66"/>
        <w:ind w:left="0"/>
        <w:jc w:val="left"/>
        <w:rPr>
          <w:rFonts w:hint="eastAsia"/>
        </w:rPr>
      </w:pPr>
      <w:r>
        <w:rPr>
          <w:rFonts w:hint="eastAsia"/>
        </w:rPr>
        <w:t>那么，从保罗在第1-8节的整体教导中观察，信徒末世盼望的深邃福乐：从死亡的那一刻起，他将永远与主同在，无论是在中间状态的天上，还是在最终成全时在基督的身边，或是在将来的荣耀世界中美丽的地球上。</w:t>
      </w:r>
    </w:p>
    <w:p w14:paraId="30E89235">
      <w:pPr>
        <w:pStyle w:val="9"/>
        <w:spacing w:before="66"/>
        <w:ind w:left="0"/>
        <w:jc w:val="left"/>
        <w:rPr>
          <w:rFonts w:hint="eastAsia"/>
        </w:rPr>
      </w:pPr>
    </w:p>
    <w:p w14:paraId="51ED52E3">
      <w:pPr>
        <w:pStyle w:val="9"/>
        <w:spacing w:before="66"/>
        <w:ind w:left="0"/>
        <w:jc w:val="left"/>
        <w:rPr>
          <w:rFonts w:hint="eastAsia"/>
        </w:rPr>
      </w:pPr>
      <w:r>
        <w:rPr>
          <w:rFonts w:hint="eastAsia"/>
        </w:rPr>
        <w:t>Small wonder that those whose outer man is perishing (4:16), and those who are being handed over to death daily (4:11), eagerly desire, not death itself, but the eternal company of the One into whose joyful presence death will obediently usher them.</w:t>
      </w:r>
    </w:p>
    <w:p w14:paraId="0F034322">
      <w:pPr>
        <w:pStyle w:val="9"/>
        <w:spacing w:before="66"/>
        <w:ind w:left="0"/>
        <w:jc w:val="left"/>
        <w:rPr>
          <w:rFonts w:hint="eastAsia"/>
        </w:rPr>
      </w:pPr>
      <w:r>
        <w:rPr>
          <w:rFonts w:hint="eastAsia"/>
        </w:rPr>
        <w:t>不足为奇的是，那些外体毁坏的人（4:16），和那些天天被交于死地的人（4:11），切望的不是死亡本身，而是那位主的永恒同在，死亡将顺服地将他们引到祂喜乐的面前。</w:t>
      </w:r>
    </w:p>
    <w:p w14:paraId="0057EA46">
      <w:pPr>
        <w:pStyle w:val="9"/>
        <w:spacing w:before="66"/>
        <w:ind w:left="0"/>
        <w:jc w:val="left"/>
        <w:rPr>
          <w:rFonts w:hint="eastAsia"/>
        </w:rPr>
      </w:pPr>
    </w:p>
    <w:p w14:paraId="30AA74FA">
      <w:pPr>
        <w:pStyle w:val="9"/>
        <w:spacing w:before="66"/>
        <w:ind w:left="0"/>
        <w:jc w:val="left"/>
        <w:rPr>
          <w:rFonts w:hint="eastAsia"/>
        </w:rPr>
      </w:pPr>
      <w:r>
        <w:rPr>
          <w:rFonts w:hint="eastAsia"/>
        </w:rPr>
        <w:t>In verses 9-10, Paul concludes his meditation by confessing its practical effect upon his own life and the lives of the other apostles.</w:t>
      </w:r>
    </w:p>
    <w:p w14:paraId="4B1A2963">
      <w:pPr>
        <w:pStyle w:val="9"/>
        <w:spacing w:before="66"/>
        <w:ind w:left="0"/>
        <w:jc w:val="left"/>
        <w:rPr>
          <w:rFonts w:hint="eastAsia"/>
        </w:rPr>
      </w:pPr>
      <w:r>
        <w:rPr>
          <w:rFonts w:hint="eastAsia"/>
        </w:rPr>
        <w:t>在第9-10节，保罗结束他的默想，承认其对他自己和其他使徒生活中的实际影响。</w:t>
      </w:r>
    </w:p>
    <w:p w14:paraId="532952FA">
      <w:pPr>
        <w:pStyle w:val="9"/>
        <w:spacing w:before="66"/>
        <w:ind w:left="0"/>
        <w:jc w:val="left"/>
        <w:rPr>
          <w:rFonts w:hint="eastAsia"/>
        </w:rPr>
      </w:pPr>
    </w:p>
    <w:p w14:paraId="00917757">
      <w:pPr>
        <w:pStyle w:val="9"/>
        <w:spacing w:before="66"/>
        <w:ind w:left="0"/>
        <w:jc w:val="left"/>
        <w:rPr>
          <w:rFonts w:hint="eastAsia"/>
        </w:rPr>
      </w:pPr>
      <w:r>
        <w:rPr>
          <w:rFonts w:hint="eastAsia"/>
        </w:rPr>
        <w:t>Knowing that he, they, and all believers must, at the end, stand before the Judgment Seat of Christ, he makes it his ambition always to be well pleasing to the Lord (1 Cor. 3:12-15).</w:t>
      </w:r>
    </w:p>
    <w:p w14:paraId="30D44A5C">
      <w:pPr>
        <w:pStyle w:val="9"/>
        <w:spacing w:before="66"/>
        <w:ind w:left="0"/>
        <w:jc w:val="left"/>
        <w:rPr>
          <w:rFonts w:hint="eastAsia"/>
        </w:rPr>
      </w:pPr>
      <w:r>
        <w:rPr>
          <w:rFonts w:hint="eastAsia"/>
        </w:rPr>
        <w:t>祂知道祂、他们和所有信徒，在末了，都必须站在基督的审判台前，所以祂立了志向，要凡事讨主喜悦（林前3:12-15）。</w:t>
      </w:r>
    </w:p>
    <w:p w14:paraId="02ED6EF0">
      <w:pPr>
        <w:pStyle w:val="9"/>
        <w:spacing w:before="66"/>
        <w:ind w:left="0"/>
        <w:jc w:val="left"/>
        <w:rPr>
          <w:rFonts w:hint="eastAsia"/>
        </w:rPr>
      </w:pPr>
    </w:p>
    <w:p w14:paraId="0B8CE1E3">
      <w:pPr>
        <w:pStyle w:val="9"/>
        <w:spacing w:before="66"/>
        <w:ind w:left="0"/>
        <w:jc w:val="left"/>
        <w:rPr>
          <w:rFonts w:hint="eastAsia"/>
        </w:rPr>
      </w:pPr>
      <w:r>
        <w:rPr>
          <w:rFonts w:hint="eastAsia"/>
        </w:rPr>
        <w:t>Here we find Paul again returning to the outermost horizon of his eschatology.</w:t>
      </w:r>
    </w:p>
    <w:p w14:paraId="46B1B047">
      <w:pPr>
        <w:pStyle w:val="9"/>
        <w:spacing w:before="66"/>
        <w:ind w:left="0"/>
        <w:jc w:val="left"/>
        <w:rPr>
          <w:rFonts w:hint="eastAsia"/>
        </w:rPr>
      </w:pPr>
      <w:r>
        <w:rPr>
          <w:rFonts w:hint="eastAsia"/>
        </w:rPr>
        <w:t>在这里我们发现保罗再次回到他末世论的最远景。</w:t>
      </w:r>
    </w:p>
    <w:p w14:paraId="66231FE5">
      <w:pPr>
        <w:pStyle w:val="9"/>
        <w:spacing w:before="66"/>
        <w:ind w:left="0"/>
        <w:jc w:val="left"/>
        <w:rPr>
          <w:rFonts w:hint="eastAsia"/>
        </w:rPr>
      </w:pPr>
    </w:p>
    <w:p w14:paraId="384129DB">
      <w:pPr>
        <w:pStyle w:val="9"/>
        <w:spacing w:before="66"/>
        <w:ind w:left="0"/>
        <w:jc w:val="left"/>
        <w:rPr>
          <w:rFonts w:hint="eastAsia"/>
        </w:rPr>
      </w:pPr>
      <w:r>
        <w:rPr>
          <w:rFonts w:hint="eastAsia"/>
        </w:rPr>
        <w:t>Likely as not he will die; likely as not he will enter heaven as a disembodied spirit; likely as not he will tarry there, with his Lord, for many days.</w:t>
      </w:r>
    </w:p>
    <w:p w14:paraId="4997F851">
      <w:pPr>
        <w:pStyle w:val="9"/>
        <w:spacing w:before="66"/>
        <w:ind w:left="0"/>
        <w:jc w:val="left"/>
        <w:rPr>
          <w:rFonts w:hint="eastAsia"/>
        </w:rPr>
      </w:pPr>
      <w:r>
        <w:rPr>
          <w:rFonts w:hint="eastAsia"/>
        </w:rPr>
        <w:t>祂很可能会死；很可能会作为脱离身体的灵魂进入天堂；很可能会在那里，与祂的主，耽延许多日子。</w:t>
      </w:r>
    </w:p>
    <w:p w14:paraId="037B2F84">
      <w:pPr>
        <w:pStyle w:val="9"/>
        <w:spacing w:before="66"/>
        <w:ind w:left="0"/>
        <w:jc w:val="left"/>
        <w:rPr>
          <w:rFonts w:hint="eastAsia"/>
        </w:rPr>
      </w:pPr>
    </w:p>
    <w:p w14:paraId="04140794">
      <w:pPr>
        <w:pStyle w:val="9"/>
        <w:spacing w:before="66"/>
        <w:ind w:left="0"/>
        <w:jc w:val="left"/>
        <w:rPr>
          <w:rFonts w:hint="eastAsia"/>
        </w:rPr>
      </w:pPr>
      <w:r>
        <w:rPr>
          <w:rFonts w:hint="eastAsia"/>
        </w:rPr>
        <w:t>But at the end—the very end—Christ will come again to the earth, and the spirits of the departed saints with him, so that having been raised from the dead they may stand before his Judgment Seat, receive their eternal rewards, and enter the glorious World to Come.</w:t>
      </w:r>
    </w:p>
    <w:p w14:paraId="29A31C6F">
      <w:pPr>
        <w:pStyle w:val="9"/>
        <w:spacing w:before="66"/>
        <w:ind w:left="0"/>
        <w:jc w:val="left"/>
        <w:rPr>
          <w:rFonts w:hint="eastAsia"/>
        </w:rPr>
      </w:pPr>
      <w:r>
        <w:rPr>
          <w:rFonts w:hint="eastAsia"/>
        </w:rPr>
        <w:t>但在末了——就是那最后的末了——基督将再次来到地上，已故圣徒的灵魂也与祂同来，好叫他们从死里复活后，可以站在祂的审判台前，领受他们永恒的赏赐，并进入将来的荣耀世界。</w:t>
      </w:r>
    </w:p>
    <w:p w14:paraId="594ED9EA">
      <w:pPr>
        <w:pStyle w:val="9"/>
        <w:spacing w:before="66"/>
        <w:ind w:left="0"/>
        <w:jc w:val="left"/>
        <w:rPr>
          <w:rFonts w:hint="eastAsia"/>
        </w:rPr>
      </w:pPr>
    </w:p>
    <w:p w14:paraId="1F837852">
      <w:pPr>
        <w:pStyle w:val="9"/>
        <w:spacing w:before="66"/>
        <w:ind w:left="0"/>
        <w:jc w:val="left"/>
        <w:rPr>
          <w:rFonts w:hint="eastAsia"/>
        </w:rPr>
      </w:pPr>
      <w:r>
        <w:rPr>
          <w:rFonts w:hint="eastAsia"/>
        </w:rPr>
        <w:t>Let every saint be diligent to prepare himself for that soon-coming Day!</w:t>
      </w:r>
    </w:p>
    <w:p w14:paraId="2F411A0A">
      <w:pPr>
        <w:pStyle w:val="9"/>
        <w:spacing w:before="66"/>
        <w:ind w:left="0"/>
        <w:jc w:val="left"/>
        <w:rPr>
          <w:rFonts w:hint="eastAsia"/>
        </w:rPr>
      </w:pPr>
      <w:r>
        <w:rPr>
          <w:rFonts w:hint="eastAsia"/>
        </w:rPr>
        <w:t>愿每一位圣徒都殷勤地为那快要来临的日子预备自己！</w:t>
      </w:r>
    </w:p>
    <w:p w14:paraId="3148B05F">
      <w:pPr>
        <w:pStyle w:val="9"/>
        <w:spacing w:before="66"/>
        <w:ind w:left="0"/>
        <w:jc w:val="left"/>
        <w:rPr>
          <w:rFonts w:hint="eastAsia"/>
        </w:rPr>
      </w:pPr>
    </w:p>
    <w:p w14:paraId="23FD0A86">
      <w:pPr>
        <w:pStyle w:val="9"/>
        <w:spacing w:before="66"/>
        <w:ind w:left="0"/>
        <w:jc w:val="left"/>
        <w:rPr>
          <w:rFonts w:hint="eastAsia"/>
        </w:rPr>
      </w:pPr>
      <w:r>
        <w:rPr>
          <w:rFonts w:hint="eastAsia"/>
        </w:rPr>
        <w:t>Summing up, we have seen that in this difficult passage Paul’s goal is to encourage suffering saints with their twofold eschatological hope: life with Christ in heaven as a disembodied spirit throughout the Intermediate State, and life with Christ in the World to Come as a resurrected saint throughout all eternity.</w:t>
      </w:r>
    </w:p>
    <w:p w14:paraId="3FB8FCF9">
      <w:pPr>
        <w:pStyle w:val="9"/>
        <w:spacing w:before="66"/>
        <w:ind w:left="0"/>
        <w:jc w:val="left"/>
        <w:rPr>
          <w:rFonts w:hint="eastAsia"/>
        </w:rPr>
      </w:pPr>
      <w:r>
        <w:rPr>
          <w:rFonts w:hint="eastAsia"/>
        </w:rPr>
        <w:t>总结来说，我们已经看到，在这段困难的经文中，保罗的目标是用他们双重的末世盼望来鼓励受苦的圣徒：在整个中间状态中作为脱离身体的灵魂与基督在天上同活，以及在将来的世界中作为复活的圣徒与基督同活直到永远。</w:t>
      </w:r>
    </w:p>
    <w:p w14:paraId="7A27B73D">
      <w:pPr>
        <w:pStyle w:val="9"/>
        <w:spacing w:before="66"/>
        <w:ind w:left="0"/>
        <w:jc w:val="left"/>
        <w:rPr>
          <w:rFonts w:hint="eastAsia"/>
        </w:rPr>
      </w:pPr>
    </w:p>
    <w:p w14:paraId="2DDC45B9">
      <w:pPr>
        <w:pStyle w:val="9"/>
        <w:spacing w:before="66"/>
        <w:ind w:left="0"/>
        <w:jc w:val="left"/>
        <w:rPr>
          <w:rFonts w:hint="eastAsia"/>
        </w:rPr>
      </w:pPr>
      <w:r>
        <w:rPr>
          <w:rFonts w:hint="eastAsia"/>
        </w:rPr>
        <w:t>Close parallels with related texts assure us that this is indeed the sum and substance of the apostle's eschatology; that he has no notion whatsoever of a future millennial kingdom; that the farthest horizon of his eschatological hope is simply the Consummation followed by the new heavens and the new earth.</w:t>
      </w:r>
    </w:p>
    <w:p w14:paraId="41E3F27D">
      <w:pPr>
        <w:pStyle w:val="9"/>
        <w:spacing w:before="66"/>
        <w:ind w:left="0"/>
        <w:jc w:val="left"/>
        <w:rPr>
          <w:rFonts w:hint="eastAsia"/>
        </w:rPr>
      </w:pPr>
      <w:r>
        <w:rPr>
          <w:rFonts w:hint="eastAsia"/>
        </w:rPr>
        <w:t>与相关经文的密切平行向我们保证，这确实是使徒末世论的总和与实质；祂完全没有未来千禧年国度的概念；祂末世盼望的最远景就是最终的成全，其后是新天新地。</w:t>
      </w:r>
    </w:p>
    <w:p w14:paraId="5769770D">
      <w:pPr>
        <w:pStyle w:val="9"/>
        <w:spacing w:before="66"/>
        <w:ind w:left="0"/>
        <w:jc w:val="left"/>
        <w:rPr>
          <w:rFonts w:hint="eastAsia"/>
        </w:rPr>
      </w:pPr>
    </w:p>
    <w:p w14:paraId="1525D02E">
      <w:pPr>
        <w:pStyle w:val="9"/>
        <w:spacing w:before="66"/>
        <w:ind w:left="0"/>
        <w:jc w:val="left"/>
        <w:rPr>
          <w:rFonts w:hint="eastAsia"/>
        </w:rPr>
      </w:pPr>
      <w:r>
        <w:rPr>
          <w:rFonts w:hint="eastAsia"/>
        </w:rPr>
        <w:t>Here, then, as everywhere else in his writings, Paul’s eschatology and the classic Reformed eschatology are one.</w:t>
      </w:r>
    </w:p>
    <w:p w14:paraId="1B89C428">
      <w:pPr>
        <w:pStyle w:val="9"/>
        <w:spacing w:before="66"/>
        <w:ind w:left="0"/>
        <w:jc w:val="left"/>
        <w:rPr>
          <w:rFonts w:hint="eastAsia"/>
        </w:rPr>
      </w:pPr>
      <w:r>
        <w:rPr>
          <w:rFonts w:hint="eastAsia"/>
        </w:rPr>
        <w:t>因此，在这里，如同在祂所有著作的其他地方一样，保罗的末世论和经典的改革宗教义末世论是一致的。</w:t>
      </w:r>
    </w:p>
    <w:p w14:paraId="2D28462E">
      <w:pPr>
        <w:pStyle w:val="9"/>
        <w:spacing w:before="66"/>
        <w:ind w:left="0"/>
        <w:jc w:val="left"/>
        <w:rPr>
          <w:rFonts w:hint="eastAsia"/>
        </w:rPr>
      </w:pPr>
    </w:p>
    <w:p w14:paraId="74E217C9">
      <w:pPr>
        <w:pStyle w:val="9"/>
        <w:spacing w:before="66"/>
        <w:ind w:left="0"/>
        <w:jc w:val="left"/>
        <w:rPr>
          <w:rFonts w:hint="eastAsia"/>
        </w:rPr>
      </w:pPr>
      <w:r>
        <w:rPr>
          <w:rFonts w:hint="eastAsia"/>
        </w:rPr>
        <w:t>Chapter 24</w:t>
      </w:r>
    </w:p>
    <w:p w14:paraId="14129C08">
      <w:pPr>
        <w:pStyle w:val="9"/>
        <w:spacing w:before="66"/>
        <w:ind w:left="0"/>
        <w:jc w:val="left"/>
        <w:rPr>
          <w:rFonts w:hint="eastAsia"/>
        </w:rPr>
      </w:pPr>
      <w:r>
        <w:rPr>
          <w:rFonts w:hint="eastAsia"/>
        </w:rPr>
        <w:t>第二十四章</w:t>
      </w:r>
    </w:p>
    <w:p w14:paraId="60DCA0A9">
      <w:pPr>
        <w:pStyle w:val="9"/>
        <w:spacing w:before="66"/>
        <w:ind w:left="0"/>
        <w:jc w:val="left"/>
        <w:rPr>
          <w:rFonts w:hint="eastAsia"/>
        </w:rPr>
      </w:pPr>
    </w:p>
    <w:p w14:paraId="7553041C">
      <w:pPr>
        <w:pStyle w:val="9"/>
        <w:spacing w:before="66"/>
        <w:ind w:left="0"/>
        <w:jc w:val="left"/>
        <w:rPr>
          <w:rFonts w:hint="eastAsia"/>
        </w:rPr>
      </w:pPr>
      <w:r>
        <w:rPr>
          <w:rFonts w:hint="eastAsia"/>
        </w:rPr>
        <w:t>Crucial NT Texts Pertaining to the Consummation (2)</w:t>
      </w:r>
    </w:p>
    <w:p w14:paraId="517F969E">
      <w:pPr>
        <w:pStyle w:val="9"/>
        <w:spacing w:before="66"/>
        <w:ind w:left="0"/>
        <w:jc w:val="left"/>
        <w:rPr>
          <w:rFonts w:hint="eastAsia"/>
        </w:rPr>
      </w:pPr>
      <w:r>
        <w:rPr>
          <w:rFonts w:hint="eastAsia"/>
        </w:rPr>
        <w:t>有关最终成全的关键新约经文（二）</w:t>
      </w:r>
    </w:p>
    <w:p w14:paraId="294E9655">
      <w:pPr>
        <w:pStyle w:val="9"/>
        <w:spacing w:before="66"/>
        <w:ind w:left="0"/>
        <w:jc w:val="left"/>
        <w:rPr>
          <w:rFonts w:hint="eastAsia"/>
        </w:rPr>
      </w:pPr>
    </w:p>
    <w:p w14:paraId="503C5533">
      <w:pPr>
        <w:pStyle w:val="9"/>
        <w:spacing w:before="66"/>
        <w:ind w:left="0"/>
        <w:jc w:val="left"/>
        <w:rPr>
          <w:rFonts w:hint="eastAsia"/>
        </w:rPr>
      </w:pPr>
      <w:r>
        <w:rPr>
          <w:rFonts w:hint="eastAsia"/>
        </w:rPr>
        <w:t>IN THIS CHAPTER we will continue our look at crucial NT texts pertaining to the Consummation, paying special attention to the eschatology of the Thessalonian letters and the epistles of Peter.</w:t>
      </w:r>
    </w:p>
    <w:p w14:paraId="46C5C975">
      <w:pPr>
        <w:pStyle w:val="9"/>
        <w:spacing w:before="66"/>
        <w:ind w:left="0"/>
        <w:jc w:val="left"/>
        <w:rPr>
          <w:rFonts w:hint="eastAsia"/>
        </w:rPr>
      </w:pPr>
      <w:r>
        <w:rPr>
          <w:rFonts w:hint="eastAsia"/>
        </w:rPr>
        <w:t>在本章中，我们将继续查考有关最终成全的关键新约经文，特别关注帖撒罗尼迦书信和彼得书信的末世论。</w:t>
      </w:r>
    </w:p>
    <w:p w14:paraId="530DB203">
      <w:pPr>
        <w:pStyle w:val="9"/>
        <w:spacing w:before="66"/>
        <w:ind w:left="0"/>
        <w:jc w:val="left"/>
        <w:rPr>
          <w:rFonts w:hint="eastAsia"/>
        </w:rPr>
      </w:pPr>
    </w:p>
    <w:p w14:paraId="7FDAEED1">
      <w:pPr>
        <w:pStyle w:val="9"/>
        <w:spacing w:before="66"/>
        <w:ind w:left="0"/>
        <w:jc w:val="left"/>
        <w:rPr>
          <w:rFonts w:hint="eastAsia"/>
        </w:rPr>
      </w:pPr>
      <w:r>
        <w:rPr>
          <w:rFonts w:hint="eastAsia"/>
        </w:rPr>
        <w:t>3.All Things Subjected to Christ</w:t>
      </w:r>
    </w:p>
    <w:p w14:paraId="690E1024">
      <w:pPr>
        <w:pStyle w:val="9"/>
        <w:spacing w:before="66"/>
        <w:ind w:left="0"/>
        <w:jc w:val="left"/>
        <w:rPr>
          <w:rFonts w:hint="eastAsia"/>
        </w:rPr>
      </w:pPr>
      <w:r>
        <w:rPr>
          <w:rFonts w:hint="eastAsia"/>
        </w:rPr>
        <w:t>3.万有都服了基督</w:t>
      </w:r>
    </w:p>
    <w:p w14:paraId="3014299C">
      <w:pPr>
        <w:pStyle w:val="9"/>
        <w:spacing w:before="66"/>
        <w:ind w:left="0"/>
        <w:jc w:val="left"/>
        <w:rPr>
          <w:rFonts w:hint="eastAsia"/>
        </w:rPr>
      </w:pPr>
    </w:p>
    <w:p w14:paraId="58DCFFB3">
      <w:pPr>
        <w:pStyle w:val="9"/>
        <w:spacing w:before="66"/>
        <w:ind w:left="0"/>
        <w:jc w:val="left"/>
        <w:rPr>
          <w:rFonts w:hint="eastAsia"/>
        </w:rPr>
      </w:pPr>
      <w:r>
        <w:rPr>
          <w:rFonts w:hint="eastAsia"/>
        </w:rPr>
        <w:t>(Philippians 3:17-21)</w:t>
      </w:r>
    </w:p>
    <w:p w14:paraId="7F407463">
      <w:pPr>
        <w:pStyle w:val="9"/>
        <w:spacing w:before="66"/>
        <w:ind w:left="0"/>
        <w:jc w:val="left"/>
        <w:rPr>
          <w:rFonts w:hint="eastAsia"/>
        </w:rPr>
      </w:pPr>
      <w:r>
        <w:rPr>
          <w:rFonts w:hint="eastAsia"/>
        </w:rPr>
        <w:t>（腓立比书3:17-21）</w:t>
      </w:r>
    </w:p>
    <w:p w14:paraId="62118761">
      <w:pPr>
        <w:pStyle w:val="9"/>
        <w:spacing w:before="66"/>
        <w:ind w:left="0"/>
        <w:jc w:val="left"/>
        <w:rPr>
          <w:rFonts w:hint="eastAsia"/>
        </w:rPr>
      </w:pPr>
    </w:p>
    <w:p w14:paraId="78E33E94">
      <w:pPr>
        <w:pStyle w:val="9"/>
        <w:spacing w:before="66"/>
        <w:ind w:left="0"/>
        <w:jc w:val="left"/>
        <w:rPr>
          <w:rFonts w:hint="eastAsia"/>
        </w:rPr>
      </w:pPr>
      <w:r>
        <w:rPr>
          <w:rFonts w:hint="eastAsia"/>
        </w:rPr>
        <w:t>We have touched on this text several times, but here I want to probe a little deeper, seeing that in two short (and very inspiring) verses the apostle marvelously encapsulates, reiterates, and confirms his entire eschatological outlook.</w:t>
      </w:r>
    </w:p>
    <w:p w14:paraId="02E0AD96">
      <w:pPr>
        <w:pStyle w:val="9"/>
        <w:spacing w:before="66"/>
        <w:ind w:left="0"/>
        <w:jc w:val="left"/>
        <w:rPr>
          <w:rFonts w:hint="eastAsia"/>
        </w:rPr>
      </w:pPr>
      <w:r>
        <w:rPr>
          <w:rFonts w:hint="eastAsia"/>
        </w:rPr>
        <w:t>我们已经多次触及这段经文，但在这里我想更深入地探讨，因为在这两节简短（且极具启发性）的经文中，使徒奇妙地概括、重申并证实了他整个的末世论观点。</w:t>
      </w:r>
    </w:p>
    <w:p w14:paraId="0001DCA9">
      <w:pPr>
        <w:pStyle w:val="9"/>
        <w:spacing w:before="66"/>
        <w:ind w:left="0"/>
        <w:jc w:val="left"/>
        <w:rPr>
          <w:rFonts w:hint="eastAsia"/>
        </w:rPr>
      </w:pPr>
    </w:p>
    <w:p w14:paraId="3479D6A0">
      <w:pPr>
        <w:pStyle w:val="9"/>
        <w:spacing w:before="66"/>
        <w:ind w:left="0"/>
        <w:jc w:val="left"/>
        <w:rPr>
          <w:rFonts w:hint="eastAsia"/>
        </w:rPr>
      </w:pPr>
      <w:r>
        <w:rPr>
          <w:rFonts w:hint="eastAsia"/>
        </w:rPr>
        <w:t>Paul is exhorting the saints to imitate him and their other leaders (17).</w:t>
      </w:r>
    </w:p>
    <w:p w14:paraId="42A36FF5">
      <w:pPr>
        <w:pStyle w:val="9"/>
        <w:spacing w:before="66"/>
        <w:ind w:left="0"/>
        <w:jc w:val="left"/>
        <w:rPr>
          <w:rFonts w:hint="eastAsia"/>
        </w:rPr>
      </w:pPr>
      <w:r>
        <w:rPr>
          <w:rFonts w:hint="eastAsia"/>
        </w:rPr>
        <w:t>保罗劝勉圣徒们效法他和他们其他的领袖（17）。</w:t>
      </w:r>
    </w:p>
    <w:p w14:paraId="5B3469E2">
      <w:pPr>
        <w:pStyle w:val="9"/>
        <w:spacing w:before="66"/>
        <w:ind w:left="0"/>
        <w:jc w:val="left"/>
        <w:rPr>
          <w:rFonts w:hint="eastAsia"/>
        </w:rPr>
      </w:pPr>
    </w:p>
    <w:p w14:paraId="59332320">
      <w:pPr>
        <w:pStyle w:val="9"/>
        <w:spacing w:before="66"/>
        <w:ind w:left="0"/>
        <w:jc w:val="left"/>
        <w:rPr>
          <w:rFonts w:hint="eastAsia"/>
        </w:rPr>
      </w:pPr>
      <w:r>
        <w:rPr>
          <w:rFonts w:hint="eastAsia"/>
        </w:rPr>
        <w:t>In order to move them to holy obedience, he brings before their eyes the final destiny of both sinners and saints.</w:t>
      </w:r>
    </w:p>
    <w:p w14:paraId="368D2EBD">
      <w:pPr>
        <w:pStyle w:val="9"/>
        <w:spacing w:before="66"/>
        <w:ind w:left="0"/>
        <w:jc w:val="left"/>
        <w:rPr>
          <w:rFonts w:hint="eastAsia"/>
        </w:rPr>
      </w:pPr>
      <w:r>
        <w:rPr>
          <w:rFonts w:hint="eastAsia"/>
        </w:rPr>
        <w:t>为了激励他们过圣洁的顺服生活，他将罪人和圣徒的最终命运摆在他们眼前。</w:t>
      </w:r>
    </w:p>
    <w:p w14:paraId="4EDCD173">
      <w:pPr>
        <w:pStyle w:val="9"/>
        <w:spacing w:before="66"/>
        <w:ind w:left="0"/>
        <w:jc w:val="left"/>
        <w:rPr>
          <w:rFonts w:hint="eastAsia"/>
        </w:rPr>
      </w:pPr>
    </w:p>
    <w:p w14:paraId="1F97C1DF">
      <w:pPr>
        <w:pStyle w:val="9"/>
        <w:spacing w:before="66"/>
        <w:ind w:left="0"/>
        <w:jc w:val="left"/>
        <w:rPr>
          <w:rFonts w:hint="eastAsia"/>
        </w:rPr>
      </w:pPr>
      <w:r>
        <w:rPr>
          <w:rFonts w:hint="eastAsia"/>
        </w:rPr>
        <w:t>As for worldly, gluttonous, and licentious men who walk as enemies of the Cross of Christ, their (final) end is destruction.</w:t>
      </w:r>
    </w:p>
    <w:p w14:paraId="4FE67CC0">
      <w:pPr>
        <w:pStyle w:val="9"/>
        <w:spacing w:before="66"/>
        <w:ind w:left="0"/>
        <w:jc w:val="left"/>
        <w:rPr>
          <w:rFonts w:hint="eastAsia"/>
        </w:rPr>
      </w:pPr>
      <w:r>
        <w:rPr>
          <w:rFonts w:hint="eastAsia"/>
        </w:rPr>
        <w:t>至于那些属世、贪食、好色、行事是基督十字架仇敌的人，他们的（最终）结局就是沉沦。</w:t>
      </w:r>
    </w:p>
    <w:p w14:paraId="2C1384F6">
      <w:pPr>
        <w:pStyle w:val="9"/>
        <w:spacing w:before="66"/>
        <w:ind w:left="0"/>
        <w:jc w:val="left"/>
        <w:rPr>
          <w:rFonts w:hint="eastAsia"/>
        </w:rPr>
      </w:pPr>
    </w:p>
    <w:p w14:paraId="04A6457A">
      <w:pPr>
        <w:pStyle w:val="9"/>
        <w:spacing w:before="66"/>
        <w:ind w:left="0"/>
        <w:jc w:val="left"/>
        <w:rPr>
          <w:rFonts w:hint="eastAsia"/>
        </w:rPr>
      </w:pPr>
      <w:r>
        <w:rPr>
          <w:rFonts w:hint="eastAsia"/>
        </w:rPr>
        <w:t>This is not annihilation, but rather an eternal “tearing down” (i.e., punishment, loss of well-being) of body and soul in Gehenna (Mt. 7:13, Rom. 9:22, 1 Cor. 5:5, 2 Cor. 10:8, 1 Thess. 5:3, 2 Thess. 1:9).</w:t>
      </w:r>
    </w:p>
    <w:p w14:paraId="367F01E6">
      <w:pPr>
        <w:pStyle w:val="9"/>
        <w:spacing w:before="66"/>
        <w:ind w:left="0"/>
        <w:jc w:val="left"/>
        <w:rPr>
          <w:rFonts w:hint="eastAsia"/>
        </w:rPr>
      </w:pPr>
      <w:r>
        <w:rPr>
          <w:rFonts w:hint="eastAsia"/>
        </w:rPr>
        <w:t>这不是灭绝，而是身体和灵魂在地狱里永远的“拆毁”（即惩罚、失去福乐）（太7:13，罗9:22，林前5:5，林后10:8，帖前5:3，帖后1:9）。</w:t>
      </w:r>
    </w:p>
    <w:p w14:paraId="7C77B920">
      <w:pPr>
        <w:pStyle w:val="9"/>
        <w:spacing w:before="66"/>
        <w:ind w:left="0"/>
        <w:jc w:val="left"/>
        <w:rPr>
          <w:rFonts w:hint="eastAsia"/>
        </w:rPr>
      </w:pPr>
    </w:p>
    <w:p w14:paraId="3CA44458">
      <w:pPr>
        <w:pStyle w:val="9"/>
        <w:spacing w:before="66"/>
        <w:ind w:left="0"/>
        <w:jc w:val="left"/>
        <w:rPr>
          <w:rFonts w:hint="eastAsia"/>
        </w:rPr>
      </w:pPr>
      <w:r>
        <w:rPr>
          <w:rFonts w:hint="eastAsia"/>
        </w:rPr>
        <w:t>In verses 20-21, he turns his attention to the (final) end of the saints.</w:t>
      </w:r>
    </w:p>
    <w:p w14:paraId="5C33F6D0">
      <w:pPr>
        <w:pStyle w:val="9"/>
        <w:spacing w:before="66"/>
        <w:ind w:left="0"/>
        <w:jc w:val="left"/>
        <w:rPr>
          <w:rFonts w:hint="eastAsia"/>
        </w:rPr>
      </w:pPr>
      <w:r>
        <w:rPr>
          <w:rFonts w:hint="eastAsia"/>
        </w:rPr>
        <w:t>在第20-21节，他转向圣徒们（最终的）结局。</w:t>
      </w:r>
    </w:p>
    <w:p w14:paraId="376174CD">
      <w:pPr>
        <w:pStyle w:val="9"/>
        <w:spacing w:before="66"/>
        <w:ind w:left="0"/>
        <w:jc w:val="left"/>
        <w:rPr>
          <w:rFonts w:hint="eastAsia"/>
        </w:rPr>
      </w:pPr>
    </w:p>
    <w:p w14:paraId="666A5333">
      <w:pPr>
        <w:pStyle w:val="9"/>
        <w:spacing w:before="66"/>
        <w:ind w:left="0"/>
        <w:jc w:val="left"/>
        <w:rPr>
          <w:rFonts w:hint="eastAsia"/>
        </w:rPr>
      </w:pPr>
      <w:r>
        <w:rPr>
          <w:rFonts w:hint="eastAsia"/>
        </w:rPr>
        <w:t>Again, here his whole eschatology is compressed into a single short sentence.</w:t>
      </w:r>
    </w:p>
    <w:p w14:paraId="3BE1B34A">
      <w:pPr>
        <w:pStyle w:val="9"/>
        <w:spacing w:before="66"/>
        <w:ind w:left="0"/>
        <w:jc w:val="left"/>
        <w:rPr>
          <w:rFonts w:hint="eastAsia"/>
        </w:rPr>
      </w:pPr>
      <w:r>
        <w:rPr>
          <w:rFonts w:hint="eastAsia"/>
        </w:rPr>
        <w:t>再次，在这里祂整个的末世论被压缩成一句简短的话。</w:t>
      </w:r>
    </w:p>
    <w:p w14:paraId="73698A61">
      <w:pPr>
        <w:pStyle w:val="9"/>
        <w:spacing w:before="66"/>
        <w:ind w:left="0"/>
        <w:jc w:val="left"/>
        <w:rPr>
          <w:rFonts w:hint="eastAsia"/>
        </w:rPr>
      </w:pPr>
    </w:p>
    <w:p w14:paraId="6E51F135">
      <w:pPr>
        <w:pStyle w:val="9"/>
        <w:spacing w:before="66"/>
        <w:ind w:left="0"/>
        <w:jc w:val="left"/>
        <w:rPr>
          <w:rFonts w:hint="eastAsia"/>
        </w:rPr>
      </w:pPr>
      <w:r>
        <w:rPr>
          <w:rFonts w:hint="eastAsia"/>
        </w:rPr>
        <w:t>The wicked set their minds on earthly things (19).</w:t>
      </w:r>
    </w:p>
    <w:p w14:paraId="7927EB3C">
      <w:pPr>
        <w:pStyle w:val="9"/>
        <w:spacing w:before="66"/>
        <w:ind w:left="0"/>
        <w:jc w:val="left"/>
        <w:rPr>
          <w:rFonts w:hint="eastAsia"/>
        </w:rPr>
      </w:pPr>
      <w:r>
        <w:rPr>
          <w:rFonts w:hint="eastAsia"/>
        </w:rPr>
        <w:t>恶人专以地上的事为念（19）。</w:t>
      </w:r>
    </w:p>
    <w:p w14:paraId="0320E731">
      <w:pPr>
        <w:pStyle w:val="9"/>
        <w:spacing w:before="66"/>
        <w:ind w:left="0"/>
        <w:jc w:val="left"/>
        <w:rPr>
          <w:rFonts w:hint="eastAsia"/>
        </w:rPr>
      </w:pPr>
    </w:p>
    <w:p w14:paraId="72E7614B">
      <w:pPr>
        <w:pStyle w:val="9"/>
        <w:spacing w:before="66"/>
        <w:ind w:left="0"/>
        <w:jc w:val="left"/>
        <w:rPr>
          <w:rFonts w:hint="eastAsia"/>
        </w:rPr>
      </w:pPr>
      <w:r>
        <w:rPr>
          <w:rFonts w:hint="eastAsia"/>
        </w:rPr>
        <w:t>But with the saints it is not so, for because of the new birth their citizenship, even now, is in heaven (20; Eph. 1:3, 2:6, Col. 3:1-4).</w:t>
      </w:r>
    </w:p>
    <w:p w14:paraId="5C92FFFB">
      <w:pPr>
        <w:pStyle w:val="9"/>
        <w:spacing w:before="66"/>
        <w:ind w:left="0"/>
        <w:jc w:val="left"/>
        <w:rPr>
          <w:rFonts w:hint="eastAsia"/>
        </w:rPr>
      </w:pPr>
      <w:r>
        <w:rPr>
          <w:rFonts w:hint="eastAsia"/>
        </w:rPr>
        <w:t>但圣徒并非如此，因为借着重生，他们的国籍，即使现在，也在天上（20；弗1:3, 2:6，西3:1-4）。</w:t>
      </w:r>
    </w:p>
    <w:p w14:paraId="2ED60DD4">
      <w:pPr>
        <w:pStyle w:val="9"/>
        <w:spacing w:before="66"/>
        <w:ind w:left="0"/>
        <w:jc w:val="left"/>
        <w:rPr>
          <w:rFonts w:hint="eastAsia"/>
        </w:rPr>
      </w:pPr>
    </w:p>
    <w:p w14:paraId="3992B406">
      <w:pPr>
        <w:pStyle w:val="9"/>
        <w:spacing w:before="66"/>
        <w:ind w:left="0"/>
        <w:jc w:val="left"/>
        <w:rPr>
          <w:rFonts w:hint="eastAsia"/>
        </w:rPr>
      </w:pPr>
      <w:r>
        <w:rPr>
          <w:rFonts w:hint="eastAsia"/>
        </w:rPr>
        <w:t>In other words, God’s Kingdom has already come, and he has already transferred his believing people into it, with more to come (Col. 1:13).</w:t>
      </w:r>
    </w:p>
    <w:p w14:paraId="015CEAD3">
      <w:pPr>
        <w:pStyle w:val="9"/>
        <w:spacing w:before="66"/>
        <w:ind w:left="0"/>
        <w:jc w:val="left"/>
        <w:rPr>
          <w:rFonts w:hint="eastAsia"/>
        </w:rPr>
      </w:pPr>
      <w:r>
        <w:rPr>
          <w:rFonts w:hint="eastAsia"/>
        </w:rPr>
        <w:t>换句话说，上帝的国已经来临，祂已经将祂信主的子民迁入其中，并且还有更多要来（西1:13）。</w:t>
      </w:r>
    </w:p>
    <w:p w14:paraId="69AF623D">
      <w:pPr>
        <w:pStyle w:val="9"/>
        <w:spacing w:before="66"/>
        <w:ind w:left="0"/>
        <w:jc w:val="left"/>
        <w:rPr>
          <w:rFonts w:hint="eastAsia"/>
        </w:rPr>
      </w:pPr>
    </w:p>
    <w:p w14:paraId="069CDED0">
      <w:pPr>
        <w:pStyle w:val="9"/>
        <w:spacing w:before="66"/>
        <w:ind w:left="0"/>
        <w:jc w:val="left"/>
        <w:rPr>
          <w:rFonts w:hint="eastAsia"/>
        </w:rPr>
      </w:pPr>
      <w:r>
        <w:rPr>
          <w:rFonts w:hint="eastAsia"/>
        </w:rPr>
        <w:t>Therefore, while owing a real measure of honor, deference, and obedience to emperor Caesar, the saints are, above all else, the happy and willing subjects of the High King of Heaven (Rom. 13:1f).</w:t>
      </w:r>
    </w:p>
    <w:p w14:paraId="6F78510C">
      <w:pPr>
        <w:pStyle w:val="9"/>
        <w:spacing w:before="66"/>
        <w:ind w:left="0"/>
        <w:jc w:val="left"/>
        <w:rPr>
          <w:rFonts w:hint="eastAsia"/>
        </w:rPr>
      </w:pPr>
      <w:r>
        <w:rPr>
          <w:rFonts w:hint="eastAsia"/>
        </w:rPr>
        <w:t>因此，圣徒们虽然对凯撒皇帝有相当程度的尊敬、顺从和服从，但他们首先是天上的至高君王快乐和甘心的臣民（罗13:1及以下）。</w:t>
      </w:r>
    </w:p>
    <w:p w14:paraId="7076D3C1">
      <w:pPr>
        <w:pStyle w:val="9"/>
        <w:spacing w:before="66"/>
        <w:ind w:left="0"/>
        <w:jc w:val="left"/>
        <w:rPr>
          <w:rFonts w:hint="eastAsia"/>
        </w:rPr>
      </w:pPr>
    </w:p>
    <w:p w14:paraId="04002680">
      <w:pPr>
        <w:pStyle w:val="9"/>
        <w:spacing w:before="66"/>
        <w:ind w:left="0"/>
        <w:jc w:val="left"/>
        <w:rPr>
          <w:rFonts w:hint="eastAsia"/>
        </w:rPr>
      </w:pPr>
      <w:r>
        <w:rPr>
          <w:rFonts w:hint="eastAsia"/>
        </w:rPr>
        <w:t>Yet Paul is no preterist.</w:t>
      </w:r>
    </w:p>
    <w:p w14:paraId="119BE721">
      <w:pPr>
        <w:pStyle w:val="9"/>
        <w:spacing w:before="66"/>
        <w:ind w:left="0"/>
        <w:jc w:val="left"/>
        <w:rPr>
          <w:rFonts w:hint="eastAsia"/>
        </w:rPr>
      </w:pPr>
      <w:r>
        <w:rPr>
          <w:rFonts w:hint="eastAsia"/>
        </w:rPr>
        <w:t>然而，保罗并非过去派。</w:t>
      </w:r>
    </w:p>
    <w:p w14:paraId="670E94E5">
      <w:pPr>
        <w:pStyle w:val="9"/>
        <w:spacing w:before="66"/>
        <w:ind w:left="0"/>
        <w:jc w:val="left"/>
        <w:rPr>
          <w:rFonts w:hint="eastAsia"/>
        </w:rPr>
      </w:pPr>
    </w:p>
    <w:p w14:paraId="602AA140">
      <w:pPr>
        <w:pStyle w:val="9"/>
        <w:spacing w:before="66"/>
        <w:ind w:left="0"/>
        <w:jc w:val="left"/>
        <w:rPr>
          <w:rFonts w:hint="eastAsia"/>
        </w:rPr>
      </w:pPr>
      <w:r>
        <w:rPr>
          <w:rFonts w:hint="eastAsia"/>
        </w:rPr>
        <w:t>Yes, the Kingdom has already come; but it has not yet fully come.</w:t>
      </w:r>
    </w:p>
    <w:p w14:paraId="12CDA2C1">
      <w:pPr>
        <w:pStyle w:val="9"/>
        <w:spacing w:before="66"/>
        <w:ind w:left="0"/>
        <w:jc w:val="left"/>
        <w:rPr>
          <w:rFonts w:hint="eastAsia"/>
        </w:rPr>
      </w:pPr>
      <w:r>
        <w:rPr>
          <w:rFonts w:hint="eastAsia"/>
        </w:rPr>
        <w:t>是的，国度已经来临；但尚未完全来临。</w:t>
      </w:r>
    </w:p>
    <w:p w14:paraId="75D49615">
      <w:pPr>
        <w:pStyle w:val="9"/>
        <w:spacing w:before="66"/>
        <w:ind w:left="0"/>
        <w:jc w:val="left"/>
        <w:rPr>
          <w:rFonts w:hint="eastAsia"/>
        </w:rPr>
      </w:pPr>
    </w:p>
    <w:p w14:paraId="19CB6D93">
      <w:pPr>
        <w:pStyle w:val="9"/>
        <w:spacing w:before="66"/>
        <w:ind w:left="0"/>
        <w:jc w:val="left"/>
        <w:rPr>
          <w:rFonts w:hint="eastAsia"/>
        </w:rPr>
      </w:pPr>
      <w:r>
        <w:rPr>
          <w:rFonts w:hint="eastAsia"/>
        </w:rPr>
        <w:t>Why?</w:t>
      </w:r>
    </w:p>
    <w:p w14:paraId="1D3969DA">
      <w:pPr>
        <w:pStyle w:val="9"/>
        <w:spacing w:before="66"/>
        <w:ind w:left="0"/>
        <w:jc w:val="left"/>
        <w:rPr>
          <w:rFonts w:hint="eastAsia"/>
        </w:rPr>
      </w:pPr>
      <w:r>
        <w:rPr>
          <w:rFonts w:hint="eastAsia"/>
        </w:rPr>
        <w:t>为何？</w:t>
      </w:r>
    </w:p>
    <w:p w14:paraId="6FFD8A8D">
      <w:pPr>
        <w:pStyle w:val="9"/>
        <w:spacing w:before="66"/>
        <w:ind w:left="0"/>
        <w:jc w:val="left"/>
        <w:rPr>
          <w:rFonts w:hint="eastAsia"/>
        </w:rPr>
      </w:pPr>
    </w:p>
    <w:p w14:paraId="0F1BE6C3">
      <w:pPr>
        <w:pStyle w:val="9"/>
        <w:spacing w:before="66"/>
        <w:ind w:left="0"/>
        <w:jc w:val="left"/>
        <w:rPr>
          <w:rFonts w:hint="eastAsia"/>
        </w:rPr>
      </w:pPr>
      <w:r>
        <w:rPr>
          <w:rFonts w:hint="eastAsia"/>
        </w:rPr>
        <w:t>Because the High King himself has not yet come again!</w:t>
      </w:r>
    </w:p>
    <w:p w14:paraId="468391E3">
      <w:pPr>
        <w:pStyle w:val="9"/>
        <w:spacing w:before="66"/>
        <w:ind w:left="0"/>
        <w:jc w:val="left"/>
        <w:rPr>
          <w:rFonts w:hint="eastAsia"/>
        </w:rPr>
      </w:pPr>
      <w:r>
        <w:rPr>
          <w:rFonts w:hint="eastAsia"/>
        </w:rPr>
        <w:t>因为至高君王祂自己尚未再来！</w:t>
      </w:r>
    </w:p>
    <w:p w14:paraId="77610DF4">
      <w:pPr>
        <w:pStyle w:val="9"/>
        <w:spacing w:before="66"/>
        <w:ind w:left="0"/>
        <w:jc w:val="left"/>
        <w:rPr>
          <w:rFonts w:hint="eastAsia"/>
        </w:rPr>
      </w:pPr>
    </w:p>
    <w:p w14:paraId="32A767FF">
      <w:pPr>
        <w:pStyle w:val="9"/>
        <w:spacing w:before="66"/>
        <w:ind w:left="0"/>
        <w:jc w:val="left"/>
        <w:rPr>
          <w:rFonts w:hint="eastAsia"/>
        </w:rPr>
      </w:pPr>
      <w:r>
        <w:rPr>
          <w:rFonts w:hint="eastAsia"/>
        </w:rPr>
        <w:t>This is the mind-set of the true spiritual Church throughout all generations: Now we are seated with Christ in heaven, even as we eagerly await his return from heaven (20; 1 Thess. 1:10, 4:16, 2 Thess. 1:7).</w:t>
      </w:r>
    </w:p>
    <w:p w14:paraId="18DB4C83">
      <w:pPr>
        <w:pStyle w:val="9"/>
        <w:spacing w:before="66"/>
        <w:ind w:left="0"/>
        <w:jc w:val="left"/>
        <w:rPr>
          <w:rFonts w:hint="eastAsia"/>
        </w:rPr>
      </w:pPr>
      <w:r>
        <w:rPr>
          <w:rFonts w:hint="eastAsia"/>
        </w:rPr>
        <w:t>这是历代真正属灵教会的心态：现在我们与基督一同坐在天上，同时又切望等候祂从天再来（20；帖前1:10, 4:16，帖后1:7）。</w:t>
      </w:r>
    </w:p>
    <w:p w14:paraId="50B31444">
      <w:pPr>
        <w:pStyle w:val="9"/>
        <w:spacing w:before="66"/>
        <w:ind w:left="0"/>
        <w:jc w:val="left"/>
        <w:rPr>
          <w:rFonts w:hint="eastAsia"/>
        </w:rPr>
      </w:pPr>
    </w:p>
    <w:p w14:paraId="709A9B13">
      <w:pPr>
        <w:pStyle w:val="9"/>
        <w:spacing w:before="66"/>
        <w:ind w:left="0"/>
        <w:jc w:val="left"/>
        <w:rPr>
          <w:rFonts w:hint="eastAsia"/>
        </w:rPr>
      </w:pPr>
      <w:r>
        <w:rPr>
          <w:rFonts w:hint="eastAsia"/>
        </w:rPr>
        <w:t>And what exactly do God’s people expect Christ to do when he finally does return to the earth?</w:t>
      </w:r>
    </w:p>
    <w:p w14:paraId="11360A5B">
      <w:pPr>
        <w:pStyle w:val="9"/>
        <w:spacing w:before="66"/>
        <w:ind w:left="0"/>
        <w:jc w:val="left"/>
        <w:rPr>
          <w:rFonts w:hint="eastAsia"/>
        </w:rPr>
      </w:pPr>
      <w:r>
        <w:rPr>
          <w:rFonts w:hint="eastAsia"/>
        </w:rPr>
        <w:t>当基督最终回到地上时，上帝的子民究竟期望祂做什么？</w:t>
      </w:r>
    </w:p>
    <w:p w14:paraId="53EB5016">
      <w:pPr>
        <w:pStyle w:val="9"/>
        <w:spacing w:before="66"/>
        <w:ind w:left="0"/>
        <w:jc w:val="left"/>
        <w:rPr>
          <w:rFonts w:hint="eastAsia"/>
        </w:rPr>
      </w:pPr>
    </w:p>
    <w:p w14:paraId="4EBFAB95">
      <w:pPr>
        <w:pStyle w:val="9"/>
        <w:spacing w:before="66"/>
        <w:ind w:left="0"/>
        <w:jc w:val="left"/>
        <w:rPr>
          <w:rFonts w:hint="eastAsia"/>
        </w:rPr>
      </w:pPr>
      <w:r>
        <w:rPr>
          <w:rFonts w:hint="eastAsia"/>
        </w:rPr>
        <w:t>Verse 20 tells us in a single word, verse 21 explains.</w:t>
      </w:r>
    </w:p>
    <w:p w14:paraId="765294CC">
      <w:pPr>
        <w:pStyle w:val="9"/>
        <w:spacing w:before="66"/>
        <w:ind w:left="0"/>
        <w:jc w:val="left"/>
        <w:rPr>
          <w:rFonts w:hint="eastAsia"/>
        </w:rPr>
      </w:pPr>
      <w:r>
        <w:rPr>
          <w:rFonts w:hint="eastAsia"/>
        </w:rPr>
        <w:t>第20节用一个词告诉我们，第21节解释了。</w:t>
      </w:r>
    </w:p>
    <w:p w14:paraId="5AAEDA27">
      <w:pPr>
        <w:pStyle w:val="9"/>
        <w:spacing w:before="66"/>
        <w:ind w:left="0"/>
        <w:jc w:val="left"/>
        <w:rPr>
          <w:rFonts w:hint="eastAsia"/>
        </w:rPr>
      </w:pPr>
    </w:p>
    <w:p w14:paraId="62F1018B">
      <w:pPr>
        <w:pStyle w:val="9"/>
        <w:spacing w:before="66"/>
        <w:ind w:left="0"/>
        <w:jc w:val="left"/>
        <w:rPr>
          <w:rFonts w:hint="eastAsia"/>
        </w:rPr>
      </w:pPr>
      <w:r>
        <w:rPr>
          <w:rFonts w:hint="eastAsia"/>
        </w:rPr>
        <w:t>When he comes again, he will be his people’s Savior, but this time to the uttermost (20; Heb. 7:25).</w:t>
      </w:r>
    </w:p>
    <w:p w14:paraId="4DF83759">
      <w:pPr>
        <w:pStyle w:val="9"/>
        <w:spacing w:before="66"/>
        <w:ind w:left="0"/>
        <w:jc w:val="left"/>
        <w:rPr>
          <w:rFonts w:hint="eastAsia"/>
        </w:rPr>
      </w:pPr>
      <w:r>
        <w:rPr>
          <w:rFonts w:hint="eastAsia"/>
        </w:rPr>
        <w:t>当祂再来时，祂将作祂子民的救主，但这次是拯救到底（20；来7:25）。</w:t>
      </w:r>
    </w:p>
    <w:p w14:paraId="07B233BF">
      <w:pPr>
        <w:pStyle w:val="9"/>
        <w:spacing w:before="66"/>
        <w:ind w:left="0"/>
        <w:jc w:val="left"/>
        <w:rPr>
          <w:rFonts w:hint="eastAsia"/>
        </w:rPr>
      </w:pPr>
    </w:p>
    <w:p w14:paraId="7EFF094F">
      <w:pPr>
        <w:pStyle w:val="9"/>
        <w:spacing w:before="66"/>
        <w:ind w:left="0"/>
        <w:jc w:val="left"/>
        <w:rPr>
          <w:rFonts w:hint="eastAsia"/>
        </w:rPr>
      </w:pPr>
      <w:r>
        <w:rPr>
          <w:rFonts w:hint="eastAsia"/>
        </w:rPr>
        <w:t>That is, he will not only deliver them from the wrath to come, but will also rescue them from every enemy introduced by the Fall, even as he restores them to the glory of God (Rom. 13:11, 1 Thess. 1:10, Heb. 9:28).</w:t>
      </w:r>
    </w:p>
    <w:p w14:paraId="1264453E">
      <w:pPr>
        <w:pStyle w:val="9"/>
        <w:spacing w:before="66"/>
        <w:ind w:left="0"/>
        <w:jc w:val="left"/>
        <w:rPr>
          <w:rFonts w:hint="eastAsia"/>
        </w:rPr>
      </w:pPr>
      <w:r>
        <w:rPr>
          <w:rFonts w:hint="eastAsia"/>
        </w:rPr>
        <w:t>也就是说，祂不仅要救他们脱离将来的忿怒，也要救他们脱离堕落所引入的每一个仇敌，同时又恢复他们到上帝的荣耀里（罗13:11，帖前1:10，来9:28）。</w:t>
      </w:r>
    </w:p>
    <w:p w14:paraId="16E40E3B">
      <w:pPr>
        <w:pStyle w:val="9"/>
        <w:spacing w:before="66"/>
        <w:ind w:left="0"/>
        <w:jc w:val="left"/>
        <w:rPr>
          <w:rFonts w:hint="eastAsia"/>
        </w:rPr>
      </w:pPr>
    </w:p>
    <w:p w14:paraId="05843094">
      <w:pPr>
        <w:pStyle w:val="9"/>
        <w:spacing w:before="66"/>
        <w:ind w:left="0"/>
        <w:jc w:val="left"/>
        <w:rPr>
          <w:rFonts w:hint="eastAsia"/>
        </w:rPr>
      </w:pPr>
      <w:r>
        <w:rPr>
          <w:rFonts w:hint="eastAsia"/>
        </w:rPr>
        <w:t>According to verse 21, this consummate salvation commences with the Resurrection: Christ will conform the saints’ lowly bodies (literally, “the body of their humiliation”) to his own glorious body (Rom. 8:29, 1 Cor. 15:20-28).</w:t>
      </w:r>
    </w:p>
    <w:p w14:paraId="774C6DD0">
      <w:pPr>
        <w:pStyle w:val="9"/>
        <w:spacing w:before="66"/>
        <w:ind w:left="0"/>
        <w:jc w:val="left"/>
        <w:rPr>
          <w:rFonts w:hint="eastAsia"/>
        </w:rPr>
      </w:pPr>
      <w:r>
        <w:rPr>
          <w:rFonts w:hint="eastAsia"/>
        </w:rPr>
        <w:t>根据第21节，这完全的救恩始于复活：基督要将圣徒们这卑贱的身体（字面意思是，“他们羞辱的身体”）改变形状，和祂自己荣耀的身体相似（罗8:29，林前15:20-28）。</w:t>
      </w:r>
    </w:p>
    <w:p w14:paraId="152266BA">
      <w:pPr>
        <w:pStyle w:val="9"/>
        <w:spacing w:before="66"/>
        <w:ind w:left="0"/>
        <w:jc w:val="left"/>
        <w:rPr>
          <w:rFonts w:hint="eastAsia"/>
        </w:rPr>
      </w:pPr>
    </w:p>
    <w:p w14:paraId="0044AAE0">
      <w:pPr>
        <w:pStyle w:val="9"/>
        <w:spacing w:before="66"/>
        <w:ind w:left="0"/>
        <w:jc w:val="left"/>
        <w:rPr>
          <w:rFonts w:hint="eastAsia"/>
        </w:rPr>
      </w:pPr>
      <w:r>
        <w:rPr>
          <w:rFonts w:hint="eastAsia"/>
        </w:rPr>
        <w:t>However, in that Day he will also use that same resurrection power to subject “all things”—i.e., the whole cosmos—to himself.</w:t>
      </w:r>
    </w:p>
    <w:p w14:paraId="2C76D086">
      <w:pPr>
        <w:pStyle w:val="9"/>
        <w:spacing w:before="66"/>
        <w:ind w:left="0"/>
        <w:jc w:val="left"/>
        <w:rPr>
          <w:rFonts w:hint="eastAsia"/>
        </w:rPr>
      </w:pPr>
      <w:r>
        <w:rPr>
          <w:rFonts w:hint="eastAsia"/>
        </w:rPr>
        <w:t>然而，在那日，祂也将用那同样的复活大能，使“万有”——即整个宇宙——都服了自己。</w:t>
      </w:r>
    </w:p>
    <w:p w14:paraId="72634328">
      <w:pPr>
        <w:pStyle w:val="9"/>
        <w:spacing w:before="66"/>
        <w:ind w:left="0"/>
        <w:jc w:val="left"/>
        <w:rPr>
          <w:rFonts w:hint="eastAsia"/>
        </w:rPr>
      </w:pPr>
    </w:p>
    <w:p w14:paraId="550CBC6A">
      <w:pPr>
        <w:pStyle w:val="9"/>
        <w:spacing w:before="66"/>
        <w:ind w:left="0"/>
        <w:jc w:val="left"/>
        <w:rPr>
          <w:rFonts w:hint="eastAsia"/>
        </w:rPr>
      </w:pPr>
      <w:r>
        <w:rPr>
          <w:rFonts w:hint="eastAsia"/>
        </w:rPr>
        <w:t>This stunningly expansive promise raises a crucial eschatological question: Once Christ has subjected “all things” to himself, where will all of his enemies be?</w:t>
      </w:r>
    </w:p>
    <w:p w14:paraId="540EE2C7">
      <w:pPr>
        <w:pStyle w:val="9"/>
        <w:spacing w:before="66"/>
        <w:ind w:left="0"/>
        <w:jc w:val="left"/>
        <w:rPr>
          <w:rFonts w:hint="eastAsia"/>
        </w:rPr>
      </w:pPr>
      <w:r>
        <w:rPr>
          <w:rFonts w:hint="eastAsia"/>
        </w:rPr>
        <w:t>这个惊人地广阔的应许提出了一个关键的末世论问题：一旦基督使“万有”都服了自己，祂所有的仇敌将在哪里？</w:t>
      </w:r>
    </w:p>
    <w:p w14:paraId="74B61E91">
      <w:pPr>
        <w:pStyle w:val="9"/>
        <w:spacing w:before="66"/>
        <w:ind w:left="0"/>
        <w:jc w:val="left"/>
        <w:rPr>
          <w:rFonts w:hint="eastAsia"/>
        </w:rPr>
      </w:pPr>
    </w:p>
    <w:p w14:paraId="17A7B324">
      <w:pPr>
        <w:pStyle w:val="9"/>
        <w:spacing w:before="66"/>
        <w:ind w:left="0"/>
        <w:jc w:val="left"/>
        <w:rPr>
          <w:rFonts w:hint="eastAsia"/>
        </w:rPr>
      </w:pPr>
      <w:r>
        <w:rPr>
          <w:rFonts w:hint="eastAsia"/>
        </w:rPr>
        <w:t>The answer—which I would invite my premillennarian brothers to ponder with great care—is self-evident: They will be altogether gone, for the Kingdom will have altogether come, and the whole creation will have been altogether set free into the freedom of the glory of the children of God (Rom. 8:21, 1 Cor. 15:20-28, 50-58)!</w:t>
      </w:r>
    </w:p>
    <w:p w14:paraId="7D74563A">
      <w:pPr>
        <w:pStyle w:val="9"/>
        <w:spacing w:before="66"/>
        <w:ind w:left="0"/>
        <w:jc w:val="left"/>
        <w:rPr>
          <w:rFonts w:hint="eastAsia"/>
        </w:rPr>
      </w:pPr>
      <w:r>
        <w:rPr>
          <w:rFonts w:hint="eastAsia"/>
        </w:rPr>
        <w:t>答案——我愿邀请我的前千禧年论弟兄们仔细地默想——是自明的：他们将完全消失，因为国度将完全来临，整个受造之物也将完全得释放，进入上帝儿女荣耀的自由中（罗8:21，林前15:20-28, 50-58）！</w:t>
      </w:r>
    </w:p>
    <w:p w14:paraId="710143D6">
      <w:pPr>
        <w:pStyle w:val="9"/>
        <w:spacing w:before="66"/>
        <w:ind w:left="0"/>
        <w:jc w:val="left"/>
        <w:rPr>
          <w:rFonts w:hint="eastAsia"/>
        </w:rPr>
      </w:pPr>
    </w:p>
    <w:p w14:paraId="5B9DBA7C">
      <w:pPr>
        <w:pStyle w:val="9"/>
        <w:spacing w:before="66"/>
        <w:ind w:left="0"/>
        <w:jc w:val="left"/>
        <w:rPr>
          <w:rFonts w:hint="eastAsia"/>
        </w:rPr>
      </w:pPr>
      <w:r>
        <w:rPr>
          <w:rFonts w:hint="eastAsia"/>
        </w:rPr>
        <w:t>Yes, here in Philippians 3 we do indeed find Paul’s whole eschatology in a nutshell.</w:t>
      </w:r>
    </w:p>
    <w:p w14:paraId="4DC90914">
      <w:pPr>
        <w:pStyle w:val="9"/>
        <w:spacing w:before="66"/>
        <w:ind w:left="0"/>
        <w:jc w:val="left"/>
        <w:rPr>
          <w:rFonts w:hint="eastAsia"/>
        </w:rPr>
      </w:pPr>
      <w:r>
        <w:rPr>
          <w:rFonts w:hint="eastAsia"/>
        </w:rPr>
        <w:t>是的，在这里，在腓立比书第3章，我们确实简要地找到了保罗整个的末世论。</w:t>
      </w:r>
    </w:p>
    <w:p w14:paraId="3CB77DE6">
      <w:pPr>
        <w:pStyle w:val="9"/>
        <w:spacing w:before="66"/>
        <w:ind w:left="0"/>
        <w:jc w:val="left"/>
        <w:rPr>
          <w:rFonts w:hint="eastAsia"/>
        </w:rPr>
      </w:pPr>
    </w:p>
    <w:p w14:paraId="5119AAAB">
      <w:pPr>
        <w:pStyle w:val="9"/>
        <w:spacing w:before="66"/>
        <w:ind w:left="0"/>
        <w:jc w:val="left"/>
        <w:rPr>
          <w:rFonts w:hint="eastAsia"/>
        </w:rPr>
      </w:pPr>
      <w:r>
        <w:rPr>
          <w:rFonts w:hint="eastAsia"/>
        </w:rPr>
        <w:t>And as we have seen so many times before, it is nothing other than the eschatology of Christ, the rest of the writing apostles, and the fathers of our glorious Reformation faith.</w:t>
      </w:r>
    </w:p>
    <w:p w14:paraId="51074C50">
      <w:pPr>
        <w:pStyle w:val="9"/>
        <w:spacing w:before="66"/>
        <w:ind w:left="0"/>
        <w:jc w:val="left"/>
        <w:rPr>
          <w:rFonts w:hint="eastAsia"/>
        </w:rPr>
      </w:pPr>
      <w:r>
        <w:rPr>
          <w:rFonts w:hint="eastAsia"/>
        </w:rPr>
        <w:t>正如我们已多次见过的，这无非是基督、其余的使徒作者们，以及我们荣耀的宗教改革信仰的教父们的末世论。</w:t>
      </w:r>
    </w:p>
    <w:p w14:paraId="4E39A0FE">
      <w:pPr>
        <w:pStyle w:val="9"/>
        <w:spacing w:before="66"/>
        <w:ind w:left="0"/>
        <w:jc w:val="left"/>
        <w:rPr>
          <w:rFonts w:hint="eastAsia"/>
        </w:rPr>
      </w:pPr>
    </w:p>
    <w:p w14:paraId="58E38F59">
      <w:pPr>
        <w:pStyle w:val="9"/>
        <w:spacing w:before="66"/>
        <w:ind w:left="0"/>
        <w:jc w:val="left"/>
        <w:rPr>
          <w:rFonts w:hint="eastAsia"/>
        </w:rPr>
      </w:pPr>
      <w:r>
        <w:rPr>
          <w:rFonts w:hint="eastAsia"/>
        </w:rPr>
        <w:t>4.The Comfort of His Coming</w:t>
      </w:r>
    </w:p>
    <w:p w14:paraId="149650D3">
      <w:pPr>
        <w:pStyle w:val="9"/>
        <w:spacing w:before="66"/>
        <w:ind w:left="0"/>
        <w:jc w:val="left"/>
        <w:rPr>
          <w:rFonts w:hint="eastAsia"/>
        </w:rPr>
      </w:pPr>
      <w:r>
        <w:rPr>
          <w:rFonts w:hint="eastAsia"/>
        </w:rPr>
        <w:t>4.祂降临的安慰</w:t>
      </w:r>
    </w:p>
    <w:p w14:paraId="7FB34CB3">
      <w:pPr>
        <w:pStyle w:val="9"/>
        <w:spacing w:before="66"/>
        <w:ind w:left="0"/>
        <w:jc w:val="left"/>
        <w:rPr>
          <w:rFonts w:hint="eastAsia"/>
        </w:rPr>
      </w:pPr>
    </w:p>
    <w:p w14:paraId="08FA61F0">
      <w:pPr>
        <w:pStyle w:val="9"/>
        <w:spacing w:before="66"/>
        <w:ind w:left="0"/>
        <w:jc w:val="left"/>
        <w:rPr>
          <w:rFonts w:hint="eastAsia"/>
        </w:rPr>
      </w:pPr>
      <w:r>
        <w:rPr>
          <w:rFonts w:hint="eastAsia"/>
        </w:rPr>
        <w:t>(1 Thessalonians 4:13-5:10)</w:t>
      </w:r>
    </w:p>
    <w:p w14:paraId="3C60F979">
      <w:pPr>
        <w:pStyle w:val="9"/>
        <w:spacing w:before="66"/>
        <w:ind w:left="0"/>
        <w:jc w:val="left"/>
        <w:rPr>
          <w:rFonts w:hint="eastAsia"/>
        </w:rPr>
      </w:pPr>
      <w:r>
        <w:rPr>
          <w:rFonts w:hint="eastAsia"/>
        </w:rPr>
        <w:t>（帖撒罗尼迦前书4:13-5:10）</w:t>
      </w:r>
    </w:p>
    <w:p w14:paraId="6AC0D655">
      <w:pPr>
        <w:pStyle w:val="9"/>
        <w:spacing w:before="66"/>
        <w:ind w:left="0"/>
        <w:jc w:val="left"/>
        <w:rPr>
          <w:rFonts w:hint="eastAsia"/>
        </w:rPr>
      </w:pPr>
    </w:p>
    <w:p w14:paraId="6BA28248">
      <w:pPr>
        <w:pStyle w:val="9"/>
        <w:spacing w:before="66"/>
        <w:ind w:left="0"/>
        <w:jc w:val="left"/>
        <w:rPr>
          <w:rFonts w:hint="eastAsia"/>
        </w:rPr>
      </w:pPr>
      <w:r>
        <w:rPr>
          <w:rFonts w:hint="eastAsia"/>
        </w:rPr>
        <w:t>Paul’s two letters to the Thessalonian Christians contain some of the New Testament’s richest veins of eschatological gold.</w:t>
      </w:r>
    </w:p>
    <w:p w14:paraId="170356A2">
      <w:pPr>
        <w:pStyle w:val="9"/>
        <w:spacing w:before="66"/>
        <w:ind w:left="0"/>
        <w:jc w:val="left"/>
        <w:rPr>
          <w:rFonts w:hint="eastAsia"/>
        </w:rPr>
      </w:pPr>
      <w:r>
        <w:rPr>
          <w:rFonts w:hint="eastAsia"/>
        </w:rPr>
        <w:t>保罗写给帖撒罗尼迦基督徒的两封信包含了新约中一些最丰富的末世论金矿。</w:t>
      </w:r>
    </w:p>
    <w:p w14:paraId="6A19DB50">
      <w:pPr>
        <w:pStyle w:val="9"/>
        <w:spacing w:before="66"/>
        <w:ind w:left="0"/>
        <w:jc w:val="left"/>
        <w:rPr>
          <w:rFonts w:hint="eastAsia"/>
        </w:rPr>
      </w:pPr>
    </w:p>
    <w:p w14:paraId="69ADEC6F">
      <w:pPr>
        <w:pStyle w:val="9"/>
        <w:spacing w:before="66"/>
        <w:ind w:left="0"/>
        <w:jc w:val="left"/>
        <w:rPr>
          <w:rFonts w:hint="eastAsia"/>
        </w:rPr>
      </w:pPr>
      <w:r>
        <w:rPr>
          <w:rFonts w:hint="eastAsia"/>
        </w:rPr>
        <w:t>Written from Corinth around AD 50-51, they reveal that the apostles’ early ministry to the European Gentiles was charged with a lively expectation of Christ’s soon return (1 Thess. 1:10, 2:19, 3:11-13; cf. Acts 17:16ff, 1 Cor. 15).</w:t>
      </w:r>
    </w:p>
    <w:p w14:paraId="02C4FDCB">
      <w:pPr>
        <w:pStyle w:val="9"/>
        <w:spacing w:before="66"/>
        <w:ind w:left="0"/>
        <w:jc w:val="left"/>
        <w:rPr>
          <w:rFonts w:hint="eastAsia"/>
        </w:rPr>
      </w:pPr>
      <w:r>
        <w:rPr>
          <w:rFonts w:hint="eastAsia"/>
        </w:rPr>
        <w:t>这些信约于公元50-51年写于哥林多，它们揭示了使徒们早期向欧洲外邦人传道的事工充满了对基督快要再来的活泼盼望（帖前1:10, 2:19, 3:11-13；参看使徒行传17:16及以下，哥林多前书15）。</w:t>
      </w:r>
    </w:p>
    <w:p w14:paraId="47AEE0DB">
      <w:pPr>
        <w:pStyle w:val="9"/>
        <w:spacing w:before="66"/>
        <w:ind w:left="0"/>
        <w:jc w:val="left"/>
        <w:rPr>
          <w:rFonts w:hint="eastAsia"/>
        </w:rPr>
      </w:pPr>
    </w:p>
    <w:p w14:paraId="44ADCA76">
      <w:pPr>
        <w:pStyle w:val="9"/>
        <w:spacing w:before="66"/>
        <w:ind w:left="0"/>
        <w:jc w:val="left"/>
        <w:rPr>
          <w:rFonts w:hint="eastAsia"/>
        </w:rPr>
      </w:pPr>
      <w:r>
        <w:rPr>
          <w:rFonts w:hint="eastAsia"/>
        </w:rPr>
        <w:t>However, they also reveal a problem: Paul’s Jewish opponents had forced him quickly to flee the city, with the result that some of his Thessalonian converts were left confused (or ignorant) about his teaching on the afterlife and the Consummation (Acts 17:1-9).</w:t>
      </w:r>
    </w:p>
    <w:p w14:paraId="49CCB00D">
      <w:pPr>
        <w:pStyle w:val="9"/>
        <w:spacing w:before="66"/>
        <w:ind w:left="0"/>
        <w:jc w:val="left"/>
        <w:rPr>
          <w:rFonts w:hint="eastAsia"/>
        </w:rPr>
      </w:pPr>
      <w:r>
        <w:rPr>
          <w:rFonts w:hint="eastAsia"/>
        </w:rPr>
        <w:t>然而，它们也揭示了一个问题：保罗的犹太对头迫使祂迅速逃离那城，结果祂一些帖撒罗尼迦的归信者对祂关于来生和最终成全的教导感到困惑（或无知）（使徒行传17:1-9）。</w:t>
      </w:r>
    </w:p>
    <w:p w14:paraId="55D351AA">
      <w:pPr>
        <w:pStyle w:val="9"/>
        <w:spacing w:before="66"/>
        <w:ind w:left="0"/>
        <w:jc w:val="left"/>
        <w:rPr>
          <w:rFonts w:hint="eastAsia"/>
        </w:rPr>
      </w:pPr>
    </w:p>
    <w:p w14:paraId="4F9B0FFA">
      <w:pPr>
        <w:pStyle w:val="9"/>
        <w:spacing w:before="66"/>
        <w:ind w:left="0"/>
        <w:jc w:val="left"/>
        <w:rPr>
          <w:rFonts w:hint="eastAsia"/>
        </w:rPr>
      </w:pPr>
      <w:r>
        <w:rPr>
          <w:rFonts w:hint="eastAsia"/>
        </w:rPr>
        <w:t>These two letters represent his painstaking effort to clear up every such misunderstanding.</w:t>
      </w:r>
    </w:p>
    <w:p w14:paraId="49E8F608">
      <w:pPr>
        <w:pStyle w:val="9"/>
        <w:spacing w:before="66"/>
        <w:ind w:left="0"/>
        <w:jc w:val="left"/>
        <w:rPr>
          <w:rFonts w:hint="eastAsia"/>
        </w:rPr>
      </w:pPr>
      <w:r>
        <w:rPr>
          <w:rFonts w:hint="eastAsia"/>
        </w:rPr>
        <w:t>这两封信代表了祂为澄清所有这类误解所作的艰苦努力。</w:t>
      </w:r>
    </w:p>
    <w:p w14:paraId="53F76775">
      <w:pPr>
        <w:pStyle w:val="9"/>
        <w:spacing w:before="66"/>
        <w:ind w:left="0"/>
        <w:jc w:val="left"/>
        <w:rPr>
          <w:rFonts w:hint="eastAsia"/>
        </w:rPr>
      </w:pPr>
    </w:p>
    <w:p w14:paraId="21F6EBD6">
      <w:pPr>
        <w:pStyle w:val="9"/>
        <w:spacing w:before="66"/>
        <w:ind w:left="0"/>
        <w:jc w:val="left"/>
        <w:rPr>
          <w:rFonts w:hint="eastAsia"/>
        </w:rPr>
      </w:pPr>
      <w:r>
        <w:rPr>
          <w:rFonts w:hint="eastAsia"/>
        </w:rPr>
        <w:t>Not surprisingly, they therefore speak often and in great detail about the Last Things: the signs of Christ’s Parousia, the nature and purpose of the Parousia, the Resurrection, the Judgment, and the World to Come (1 Thess. 4:13-18, 5:1-10; 2 Thess. 1:3-12, 2:1-13).</w:t>
      </w:r>
    </w:p>
    <w:p w14:paraId="1B53A7F4">
      <w:pPr>
        <w:pStyle w:val="9"/>
        <w:spacing w:before="66"/>
        <w:ind w:left="0"/>
        <w:jc w:val="left"/>
        <w:rPr>
          <w:rFonts w:hint="eastAsia"/>
        </w:rPr>
      </w:pPr>
      <w:r>
        <w:rPr>
          <w:rFonts w:hint="eastAsia"/>
        </w:rPr>
        <w:t>因此，不足为奇的是，它们经常且非常详细地谈论末后的事：基督主临（Parousia）的预兆，主临的性质和目的，复活，审判，以及将来的世界（帖前4:13-18, 5:1-10；帖后1:3-12, 2:1-13）。</w:t>
      </w:r>
    </w:p>
    <w:p w14:paraId="0EDA9E09">
      <w:pPr>
        <w:pStyle w:val="9"/>
        <w:spacing w:before="66"/>
        <w:ind w:left="0"/>
        <w:jc w:val="left"/>
        <w:rPr>
          <w:rFonts w:hint="eastAsia"/>
        </w:rPr>
      </w:pPr>
    </w:p>
    <w:p w14:paraId="04554258">
      <w:pPr>
        <w:pStyle w:val="9"/>
        <w:spacing w:before="66"/>
        <w:ind w:left="0"/>
        <w:jc w:val="left"/>
        <w:rPr>
          <w:rFonts w:hint="eastAsia"/>
        </w:rPr>
      </w:pPr>
      <w:r>
        <w:rPr>
          <w:rFonts w:hint="eastAsia"/>
        </w:rPr>
        <w:t>Accordingly, they are indeed a vast and precious treasure- trove of eschatological truth for the whole Church of Christ!</w:t>
      </w:r>
    </w:p>
    <w:p w14:paraId="6C8BDA5E">
      <w:pPr>
        <w:pStyle w:val="9"/>
        <w:spacing w:before="66"/>
        <w:ind w:left="0"/>
        <w:jc w:val="left"/>
        <w:rPr>
          <w:rFonts w:hint="eastAsia"/>
        </w:rPr>
      </w:pPr>
      <w:r>
        <w:rPr>
          <w:rFonts w:hint="eastAsia"/>
        </w:rPr>
        <w:t>因此，它们确实是为整个基督教会预备的、关于末世真理的巨大而宝贵的宝库！</w:t>
      </w:r>
    </w:p>
    <w:p w14:paraId="05E6D44D">
      <w:pPr>
        <w:pStyle w:val="9"/>
        <w:spacing w:before="66"/>
        <w:ind w:left="0"/>
        <w:jc w:val="left"/>
        <w:rPr>
          <w:rFonts w:hint="eastAsia"/>
        </w:rPr>
      </w:pPr>
    </w:p>
    <w:p w14:paraId="598FDEF2">
      <w:pPr>
        <w:pStyle w:val="9"/>
        <w:spacing w:before="66"/>
        <w:ind w:left="0"/>
        <w:jc w:val="left"/>
        <w:rPr>
          <w:rFonts w:hint="eastAsia"/>
        </w:rPr>
      </w:pPr>
      <w:r>
        <w:rPr>
          <w:rFonts w:hint="eastAsia"/>
        </w:rPr>
        <w:t>In the pages ahead we’ll be looking at three major texts from the Thessalonian letters.</w:t>
      </w:r>
    </w:p>
    <w:p w14:paraId="24F493B1">
      <w:pPr>
        <w:pStyle w:val="9"/>
        <w:spacing w:before="66"/>
        <w:ind w:left="0"/>
        <w:jc w:val="left"/>
        <w:rPr>
          <w:rFonts w:hint="eastAsia"/>
        </w:rPr>
      </w:pPr>
      <w:r>
        <w:rPr>
          <w:rFonts w:hint="eastAsia"/>
        </w:rPr>
        <w:t>在接下来的篇幅中，我们将查考帖撒罗尼迦书信中的三段主要经文。</w:t>
      </w:r>
    </w:p>
    <w:p w14:paraId="752BD69F">
      <w:pPr>
        <w:pStyle w:val="9"/>
        <w:spacing w:before="66"/>
        <w:ind w:left="0"/>
        <w:jc w:val="left"/>
        <w:rPr>
          <w:rFonts w:hint="eastAsia"/>
        </w:rPr>
      </w:pPr>
    </w:p>
    <w:p w14:paraId="26989299">
      <w:pPr>
        <w:pStyle w:val="9"/>
        <w:spacing w:before="66"/>
        <w:ind w:left="0"/>
        <w:jc w:val="left"/>
        <w:rPr>
          <w:rFonts w:hint="eastAsia"/>
        </w:rPr>
      </w:pPr>
      <w:r>
        <w:rPr>
          <w:rFonts w:hint="eastAsia"/>
        </w:rPr>
        <w:t>The first is 1 Thessalonians 4:13-5:10.</w:t>
      </w:r>
    </w:p>
    <w:p w14:paraId="3CDAE123">
      <w:pPr>
        <w:pStyle w:val="9"/>
        <w:spacing w:before="66"/>
        <w:ind w:left="0"/>
        <w:jc w:val="left"/>
        <w:rPr>
          <w:rFonts w:hint="eastAsia"/>
        </w:rPr>
      </w:pPr>
      <w:r>
        <w:rPr>
          <w:rFonts w:hint="eastAsia"/>
        </w:rPr>
        <w:t>第一段是帖撒罗尼迦前书4:13-5:10。</w:t>
      </w:r>
    </w:p>
    <w:p w14:paraId="34EE03D9">
      <w:pPr>
        <w:pStyle w:val="9"/>
        <w:spacing w:before="66"/>
        <w:ind w:left="0"/>
        <w:jc w:val="left"/>
        <w:rPr>
          <w:rFonts w:hint="eastAsia"/>
        </w:rPr>
      </w:pPr>
    </w:p>
    <w:p w14:paraId="4862AB25">
      <w:pPr>
        <w:pStyle w:val="9"/>
        <w:spacing w:before="66"/>
        <w:ind w:left="0"/>
        <w:jc w:val="left"/>
        <w:rPr>
          <w:rFonts w:hint="eastAsia"/>
        </w:rPr>
      </w:pPr>
      <w:r>
        <w:rPr>
          <w:rFonts w:hint="eastAsia"/>
        </w:rPr>
        <w:t>As I mentioned earlier, this is one of three NT passages upon which our dispensational brethren base their doctrine of a pre-tribulation Rapture (cf., John 14:1-3, 1 Cor. 15:50f).</w:t>
      </w:r>
    </w:p>
    <w:p w14:paraId="52F9A3E3">
      <w:pPr>
        <w:pStyle w:val="9"/>
        <w:spacing w:before="66"/>
        <w:ind w:left="0"/>
        <w:jc w:val="left"/>
        <w:rPr>
          <w:rFonts w:hint="eastAsia"/>
        </w:rPr>
      </w:pPr>
      <w:r>
        <w:rPr>
          <w:rFonts w:hint="eastAsia"/>
        </w:rPr>
        <w:t>正如我先前所提到的，这是我们时代论弟兄们建立他们灾前被提教义所依据的三段新约经文之一（参看约翰福音14:1-3，哥林多前书15:50及以下）。</w:t>
      </w:r>
    </w:p>
    <w:p w14:paraId="4C3DFCDF">
      <w:pPr>
        <w:pStyle w:val="9"/>
        <w:spacing w:before="66"/>
        <w:ind w:left="0"/>
        <w:jc w:val="left"/>
        <w:rPr>
          <w:rFonts w:hint="eastAsia"/>
        </w:rPr>
      </w:pPr>
    </w:p>
    <w:p w14:paraId="19F102E7">
      <w:pPr>
        <w:pStyle w:val="9"/>
        <w:spacing w:before="66"/>
        <w:ind w:left="0"/>
        <w:jc w:val="left"/>
        <w:rPr>
          <w:rFonts w:hint="eastAsia"/>
        </w:rPr>
      </w:pPr>
      <w:r>
        <w:rPr>
          <w:rFonts w:hint="eastAsia"/>
        </w:rPr>
        <w:t>Therefore my approach in this section will be twofold .</w:t>
      </w:r>
    </w:p>
    <w:p w14:paraId="61D886D1">
      <w:pPr>
        <w:pStyle w:val="9"/>
        <w:spacing w:before="66"/>
        <w:ind w:left="0"/>
        <w:jc w:val="left"/>
        <w:rPr>
          <w:rFonts w:hint="eastAsia"/>
        </w:rPr>
      </w:pPr>
      <w:r>
        <w:rPr>
          <w:rFonts w:hint="eastAsia"/>
        </w:rPr>
        <w:t>因此，我在这一部分的方法将是双重的。</w:t>
      </w:r>
    </w:p>
    <w:p w14:paraId="3B2B9BAD">
      <w:pPr>
        <w:pStyle w:val="9"/>
        <w:spacing w:before="66"/>
        <w:ind w:left="0"/>
        <w:jc w:val="left"/>
        <w:rPr>
          <w:rFonts w:hint="eastAsia"/>
        </w:rPr>
      </w:pPr>
    </w:p>
    <w:p w14:paraId="0CE45C8E">
      <w:pPr>
        <w:pStyle w:val="9"/>
        <w:spacing w:before="66"/>
        <w:ind w:left="0"/>
        <w:jc w:val="left"/>
        <w:rPr>
          <w:rFonts w:hint="eastAsia"/>
        </w:rPr>
      </w:pPr>
      <w:r>
        <w:rPr>
          <w:rFonts w:hint="eastAsia"/>
        </w:rPr>
        <w:t>First, I will offer a straightforward exegesis of the text itself, showing that it both presupposes and richly undergirds the traditional Reformation eschatology.</w:t>
      </w:r>
    </w:p>
    <w:p w14:paraId="6DF0102C">
      <w:pPr>
        <w:pStyle w:val="9"/>
        <w:spacing w:before="66"/>
        <w:ind w:left="0"/>
        <w:jc w:val="left"/>
        <w:rPr>
          <w:rFonts w:hint="eastAsia"/>
        </w:rPr>
      </w:pPr>
      <w:r>
        <w:rPr>
          <w:rFonts w:hint="eastAsia"/>
        </w:rPr>
        <w:t>首先，我将对经文本身作一个直接的解经，表明它既预设了，也丰富地支持了传统的宗教改革末世论。</w:t>
      </w:r>
    </w:p>
    <w:p w14:paraId="7B0C9295">
      <w:pPr>
        <w:pStyle w:val="9"/>
        <w:spacing w:before="66"/>
        <w:ind w:left="0"/>
        <w:jc w:val="left"/>
        <w:rPr>
          <w:rFonts w:hint="eastAsia"/>
        </w:rPr>
      </w:pPr>
    </w:p>
    <w:p w14:paraId="5A9718DA">
      <w:pPr>
        <w:pStyle w:val="9"/>
        <w:spacing w:before="66"/>
        <w:ind w:left="0"/>
        <w:jc w:val="left"/>
        <w:rPr>
          <w:rFonts w:hint="eastAsia"/>
        </w:rPr>
      </w:pPr>
      <w:r>
        <w:rPr>
          <w:rFonts w:hint="eastAsia"/>
        </w:rPr>
        <w:t>And secondly, I will discuss the dispensational interpretation, seeking to address all its main arguments for a secret, pre-tribulation Rapture.</w:t>
      </w:r>
    </w:p>
    <w:p w14:paraId="78618985">
      <w:pPr>
        <w:pStyle w:val="9"/>
        <w:spacing w:before="66"/>
        <w:ind w:left="0"/>
        <w:jc w:val="left"/>
        <w:rPr>
          <w:rFonts w:hint="eastAsia"/>
        </w:rPr>
      </w:pPr>
      <w:r>
        <w:rPr>
          <w:rFonts w:hint="eastAsia"/>
        </w:rPr>
        <w:t>其次，我将讨论时代论的解释，力图处理其所有关于秘密、灾前被提的主要论点。</w:t>
      </w:r>
    </w:p>
    <w:p w14:paraId="4EE80435">
      <w:pPr>
        <w:pStyle w:val="9"/>
        <w:spacing w:before="66"/>
        <w:ind w:left="0"/>
        <w:jc w:val="left"/>
        <w:rPr>
          <w:rFonts w:hint="eastAsia"/>
        </w:rPr>
      </w:pPr>
    </w:p>
    <w:p w14:paraId="487756FB">
      <w:pPr>
        <w:pStyle w:val="9"/>
        <w:spacing w:before="66"/>
        <w:ind w:left="0"/>
        <w:jc w:val="left"/>
        <w:rPr>
          <w:rFonts w:hint="eastAsia"/>
        </w:rPr>
      </w:pPr>
      <w:r>
        <w:rPr>
          <w:rFonts w:hint="eastAsia"/>
        </w:rPr>
        <w:t>1 Thessalonians 4:13-18</w:t>
      </w:r>
    </w:p>
    <w:p w14:paraId="1A6B6439">
      <w:pPr>
        <w:pStyle w:val="9"/>
        <w:spacing w:before="66"/>
        <w:ind w:left="0"/>
        <w:jc w:val="left"/>
        <w:rPr>
          <w:rFonts w:hint="eastAsia"/>
        </w:rPr>
      </w:pPr>
      <w:r>
        <w:rPr>
          <w:rFonts w:hint="eastAsia"/>
        </w:rPr>
        <w:t>帖撒罗尼迦前书4:13-18</w:t>
      </w:r>
    </w:p>
    <w:p w14:paraId="486EF4E7">
      <w:pPr>
        <w:pStyle w:val="9"/>
        <w:spacing w:before="66"/>
        <w:ind w:left="0"/>
        <w:jc w:val="left"/>
        <w:rPr>
          <w:rFonts w:hint="eastAsia"/>
        </w:rPr>
      </w:pPr>
    </w:p>
    <w:p w14:paraId="0BC03B7B">
      <w:pPr>
        <w:pStyle w:val="9"/>
        <w:spacing w:before="66"/>
        <w:ind w:left="0"/>
        <w:jc w:val="left"/>
        <w:rPr>
          <w:rFonts w:hint="eastAsia"/>
        </w:rPr>
      </w:pPr>
      <w:r>
        <w:rPr>
          <w:rFonts w:hint="eastAsia"/>
        </w:rPr>
        <w:t>Our text begins in verse 13, where Paul states his purpose for the remarks to follow.</w:t>
      </w:r>
    </w:p>
    <w:p w14:paraId="45811BB7">
      <w:pPr>
        <w:pStyle w:val="9"/>
        <w:spacing w:before="66"/>
        <w:ind w:left="0"/>
        <w:jc w:val="left"/>
        <w:rPr>
          <w:rFonts w:hint="eastAsia"/>
        </w:rPr>
      </w:pPr>
      <w:r>
        <w:rPr>
          <w:rFonts w:hint="eastAsia"/>
        </w:rPr>
        <w:t>我们的经文从第13节开始，保罗在那里陈述了他接下来言论的目的。</w:t>
      </w:r>
    </w:p>
    <w:p w14:paraId="51777E55">
      <w:pPr>
        <w:pStyle w:val="9"/>
        <w:spacing w:before="66"/>
        <w:ind w:left="0"/>
        <w:jc w:val="left"/>
        <w:rPr>
          <w:rFonts w:hint="eastAsia"/>
        </w:rPr>
      </w:pPr>
    </w:p>
    <w:p w14:paraId="192DA8B3">
      <w:pPr>
        <w:pStyle w:val="9"/>
        <w:spacing w:before="66"/>
        <w:ind w:left="0"/>
        <w:jc w:val="left"/>
        <w:rPr>
          <w:rFonts w:hint="eastAsia"/>
        </w:rPr>
      </w:pPr>
      <w:r>
        <w:rPr>
          <w:rFonts w:hint="eastAsia"/>
        </w:rPr>
        <w:t>In essence, it is to give hope to Christians whose (believing) loved ones have recently “fallen asleep”; that is, who have died in the Lord.</w:t>
      </w:r>
    </w:p>
    <w:p w14:paraId="21EB8239">
      <w:pPr>
        <w:pStyle w:val="9"/>
        <w:spacing w:before="66"/>
        <w:ind w:left="0"/>
        <w:jc w:val="left"/>
        <w:rPr>
          <w:rFonts w:hint="eastAsia"/>
        </w:rPr>
      </w:pPr>
      <w:r>
        <w:rPr>
          <w:rFonts w:hint="eastAsia"/>
        </w:rPr>
        <w:t>本质上，它是要给那些（信主的）亲人最近“睡了”的基督徒盼望；也就是说，那些在主里死了的人。</w:t>
      </w:r>
    </w:p>
    <w:p w14:paraId="55AF101B">
      <w:pPr>
        <w:pStyle w:val="9"/>
        <w:spacing w:before="66"/>
        <w:ind w:left="0"/>
        <w:jc w:val="left"/>
        <w:rPr>
          <w:rFonts w:hint="eastAsia"/>
        </w:rPr>
      </w:pPr>
    </w:p>
    <w:p w14:paraId="5748CC19">
      <w:pPr>
        <w:pStyle w:val="9"/>
        <w:spacing w:before="66"/>
        <w:ind w:left="0"/>
        <w:jc w:val="left"/>
        <w:rPr>
          <w:rFonts w:hint="eastAsia"/>
        </w:rPr>
      </w:pPr>
      <w:r>
        <w:rPr>
          <w:rFonts w:hint="eastAsia"/>
        </w:rPr>
        <w:t>He knows that some of the brethren are troubled about this.</w:t>
      </w:r>
    </w:p>
    <w:p w14:paraId="61024801">
      <w:pPr>
        <w:pStyle w:val="9"/>
        <w:spacing w:before="66"/>
        <w:ind w:left="0"/>
        <w:jc w:val="left"/>
        <w:rPr>
          <w:rFonts w:hint="eastAsia"/>
        </w:rPr>
      </w:pPr>
      <w:r>
        <w:rPr>
          <w:rFonts w:hint="eastAsia"/>
        </w:rPr>
        <w:t>祂知道有些弟兄为此事忧愁。</w:t>
      </w:r>
    </w:p>
    <w:p w14:paraId="082C7434">
      <w:pPr>
        <w:pStyle w:val="9"/>
        <w:spacing w:before="66"/>
        <w:ind w:left="0"/>
        <w:jc w:val="left"/>
        <w:rPr>
          <w:rFonts w:hint="eastAsia"/>
        </w:rPr>
      </w:pPr>
    </w:p>
    <w:p w14:paraId="3CF3331A">
      <w:pPr>
        <w:pStyle w:val="9"/>
        <w:spacing w:before="66"/>
        <w:ind w:left="0"/>
        <w:jc w:val="left"/>
        <w:rPr>
          <w:rFonts w:hint="eastAsia"/>
        </w:rPr>
      </w:pPr>
      <w:r>
        <w:rPr>
          <w:rFonts w:hint="eastAsia"/>
        </w:rPr>
        <w:t>Perhaps they fear their departed loved ones will not be included in Christ’s Kingdom when he comes again.</w:t>
      </w:r>
    </w:p>
    <w:p w14:paraId="50516250">
      <w:pPr>
        <w:pStyle w:val="9"/>
        <w:spacing w:before="66"/>
        <w:ind w:left="0"/>
        <w:jc w:val="left"/>
        <w:rPr>
          <w:rFonts w:hint="eastAsia"/>
        </w:rPr>
      </w:pPr>
      <w:r>
        <w:rPr>
          <w:rFonts w:hint="eastAsia"/>
        </w:rPr>
        <w:t>或许他们担心他们已故的亲人，在祂再来时，将不被包括在基督的国度里。</w:t>
      </w:r>
    </w:p>
    <w:p w14:paraId="29509A2D">
      <w:pPr>
        <w:pStyle w:val="9"/>
        <w:spacing w:before="66"/>
        <w:ind w:left="0"/>
        <w:jc w:val="left"/>
        <w:rPr>
          <w:rFonts w:hint="eastAsia"/>
        </w:rPr>
      </w:pPr>
    </w:p>
    <w:p w14:paraId="2199BCBE">
      <w:pPr>
        <w:pStyle w:val="9"/>
        <w:spacing w:before="66"/>
        <w:ind w:left="0"/>
        <w:jc w:val="left"/>
        <w:rPr>
          <w:rFonts w:hint="eastAsia"/>
        </w:rPr>
      </w:pPr>
      <w:r>
        <w:rPr>
          <w:rFonts w:hint="eastAsia"/>
        </w:rPr>
        <w:t>Certainly they fear they will never see them again.</w:t>
      </w:r>
    </w:p>
    <w:p w14:paraId="51EE2C05">
      <w:pPr>
        <w:pStyle w:val="9"/>
        <w:spacing w:before="66"/>
        <w:ind w:left="0"/>
        <w:jc w:val="left"/>
        <w:rPr>
          <w:rFonts w:hint="eastAsia"/>
        </w:rPr>
      </w:pPr>
      <w:r>
        <w:rPr>
          <w:rFonts w:hint="eastAsia"/>
        </w:rPr>
        <w:t>他们当然害怕他们再也见不到他们了。</w:t>
      </w:r>
    </w:p>
    <w:p w14:paraId="73897F1B">
      <w:pPr>
        <w:pStyle w:val="9"/>
        <w:spacing w:before="66"/>
        <w:ind w:left="0"/>
        <w:jc w:val="left"/>
        <w:rPr>
          <w:rFonts w:hint="eastAsia"/>
        </w:rPr>
      </w:pPr>
    </w:p>
    <w:p w14:paraId="59B68FD7">
      <w:pPr>
        <w:pStyle w:val="9"/>
        <w:spacing w:before="66"/>
        <w:ind w:left="0"/>
        <w:jc w:val="left"/>
        <w:rPr>
          <w:rFonts w:hint="eastAsia"/>
        </w:rPr>
      </w:pPr>
      <w:r>
        <w:rPr>
          <w:rFonts w:hint="eastAsia"/>
        </w:rPr>
        <w:t>Therefore, Paul writes to instruct them once again, so that they will no longer grieve as unbelievers do, but will awaken instead to a lively hope of being reunited with their Christian family and friends—soon!</w:t>
      </w:r>
    </w:p>
    <w:p w14:paraId="61F2AF57">
      <w:pPr>
        <w:pStyle w:val="9"/>
        <w:spacing w:before="66"/>
        <w:ind w:left="0"/>
        <w:jc w:val="left"/>
        <w:rPr>
          <w:rFonts w:hint="eastAsia"/>
        </w:rPr>
      </w:pPr>
      <w:r>
        <w:rPr>
          <w:rFonts w:hint="eastAsia"/>
        </w:rPr>
        <w:t>因此，保罗再次写信教导他们，好叫他们不再像不信的人那样忧伤，而是苏醒过来，对与他们的基督徒家人和朋友——很快！——重聚有一个活泼的盼望。</w:t>
      </w:r>
    </w:p>
    <w:p w14:paraId="2586594E">
      <w:pPr>
        <w:pStyle w:val="9"/>
        <w:spacing w:before="66"/>
        <w:ind w:left="0"/>
        <w:jc w:val="left"/>
        <w:rPr>
          <w:rFonts w:hint="eastAsia"/>
        </w:rPr>
      </w:pPr>
    </w:p>
    <w:p w14:paraId="641EDAED">
      <w:pPr>
        <w:pStyle w:val="9"/>
        <w:spacing w:before="66"/>
        <w:ind w:left="0"/>
        <w:jc w:val="left"/>
        <w:rPr>
          <w:rFonts w:hint="eastAsia"/>
        </w:rPr>
      </w:pPr>
      <w:r>
        <w:rPr>
          <w:rFonts w:hint="eastAsia"/>
        </w:rPr>
        <w:t>In verse 14, Paul succinctly states the healing truth; then, in the verses that follow, he carefully explains it.</w:t>
      </w:r>
    </w:p>
    <w:p w14:paraId="69D9A412">
      <w:pPr>
        <w:pStyle w:val="9"/>
        <w:spacing w:before="66"/>
        <w:ind w:left="0"/>
        <w:jc w:val="left"/>
        <w:rPr>
          <w:rFonts w:hint="eastAsia"/>
        </w:rPr>
      </w:pPr>
      <w:r>
        <w:rPr>
          <w:rFonts w:hint="eastAsia"/>
        </w:rPr>
        <w:t>在第14节，保罗简洁地陈述了那医治的真理；然后，在接下来的经文中，他仔细地解释了它。</w:t>
      </w:r>
    </w:p>
    <w:p w14:paraId="061498AB">
      <w:pPr>
        <w:pStyle w:val="9"/>
        <w:spacing w:before="66"/>
        <w:ind w:left="0"/>
        <w:jc w:val="left"/>
        <w:rPr>
          <w:rFonts w:hint="eastAsia"/>
        </w:rPr>
      </w:pPr>
    </w:p>
    <w:p w14:paraId="7D28877C">
      <w:pPr>
        <w:pStyle w:val="9"/>
        <w:spacing w:before="66"/>
        <w:ind w:left="0"/>
        <w:jc w:val="left"/>
        <w:rPr>
          <w:rFonts w:hint="eastAsia"/>
        </w:rPr>
      </w:pPr>
      <w:r>
        <w:rPr>
          <w:rFonts w:hint="eastAsia"/>
        </w:rPr>
        <w:t>In essence, it is this: “When Jesus comes again, he will bring your departed loved one(s) with him, and back to you!”</w:t>
      </w:r>
    </w:p>
    <w:p w14:paraId="4DAFED48">
      <w:pPr>
        <w:pStyle w:val="9"/>
        <w:spacing w:before="66"/>
        <w:ind w:left="0"/>
        <w:jc w:val="left"/>
        <w:rPr>
          <w:rFonts w:hint="eastAsia"/>
        </w:rPr>
      </w:pPr>
      <w:r>
        <w:rPr>
          <w:rFonts w:hint="eastAsia"/>
        </w:rPr>
        <w:t>本质上，就是这样：“当耶稣再来时，祂将把你们已故的亲人与祂一同带来，带回到你们身边！”</w:t>
      </w:r>
    </w:p>
    <w:p w14:paraId="7F19B226">
      <w:pPr>
        <w:pStyle w:val="9"/>
        <w:spacing w:before="66"/>
        <w:ind w:left="0"/>
        <w:jc w:val="left"/>
        <w:rPr>
          <w:rFonts w:hint="eastAsia"/>
        </w:rPr>
      </w:pPr>
    </w:p>
    <w:p w14:paraId="7723C628">
      <w:pPr>
        <w:pStyle w:val="9"/>
        <w:spacing w:before="66"/>
        <w:ind w:left="0"/>
        <w:jc w:val="left"/>
        <w:rPr>
          <w:rFonts w:hint="eastAsia"/>
        </w:rPr>
      </w:pPr>
      <w:r>
        <w:rPr>
          <w:rFonts w:hint="eastAsia"/>
        </w:rPr>
        <w:t>Observe how Paul, in declaring this truth, builds on the Thessalonian’s pre-existing faith: They already believe that God has raised Jesus from the dead.</w:t>
      </w:r>
    </w:p>
    <w:p w14:paraId="66D795A8">
      <w:pPr>
        <w:pStyle w:val="9"/>
        <w:spacing w:before="66"/>
        <w:ind w:left="0"/>
        <w:jc w:val="left"/>
        <w:rPr>
          <w:rFonts w:hint="eastAsia"/>
        </w:rPr>
      </w:pPr>
      <w:r>
        <w:rPr>
          <w:rFonts w:hint="eastAsia"/>
        </w:rPr>
        <w:t>请看保罗在宣告这真理时，是如何建立在帖撒罗尼迦人已有的信心的基础上：他们已经相信上帝已使耶稣从死里复活。</w:t>
      </w:r>
    </w:p>
    <w:p w14:paraId="7FCBBD51">
      <w:pPr>
        <w:pStyle w:val="9"/>
        <w:spacing w:before="66"/>
        <w:ind w:left="0"/>
        <w:jc w:val="left"/>
        <w:rPr>
          <w:rFonts w:hint="eastAsia"/>
        </w:rPr>
      </w:pPr>
    </w:p>
    <w:p w14:paraId="60435039">
      <w:pPr>
        <w:pStyle w:val="9"/>
        <w:spacing w:before="66"/>
        <w:ind w:left="0"/>
        <w:jc w:val="left"/>
        <w:rPr>
          <w:rFonts w:hint="eastAsia"/>
        </w:rPr>
      </w:pPr>
      <w:r>
        <w:rPr>
          <w:rFonts w:hint="eastAsia"/>
        </w:rPr>
        <w:t>But if they can believe that, surely it is no great stretch to believe that he can raise their departed loved one(s) as well.</w:t>
      </w:r>
    </w:p>
    <w:p w14:paraId="2103FC28">
      <w:pPr>
        <w:pStyle w:val="9"/>
        <w:spacing w:before="66"/>
        <w:ind w:left="0"/>
        <w:jc w:val="left"/>
        <w:rPr>
          <w:rFonts w:hint="eastAsia"/>
        </w:rPr>
      </w:pPr>
      <w:r>
        <w:rPr>
          <w:rFonts w:hint="eastAsia"/>
        </w:rPr>
        <w:t>但如果他们能相信那一点，那么相信祂也能使他们已故的亲人复活，这当然不是什么大的跨越。</w:t>
      </w:r>
    </w:p>
    <w:p w14:paraId="39626A7A">
      <w:pPr>
        <w:pStyle w:val="9"/>
        <w:spacing w:before="66"/>
        <w:ind w:left="0"/>
        <w:jc w:val="left"/>
        <w:rPr>
          <w:rFonts w:hint="eastAsia"/>
        </w:rPr>
      </w:pPr>
    </w:p>
    <w:p w14:paraId="4D086A0C">
      <w:pPr>
        <w:pStyle w:val="9"/>
        <w:spacing w:before="66"/>
        <w:ind w:left="0"/>
        <w:jc w:val="left"/>
        <w:rPr>
          <w:rFonts w:hint="eastAsia"/>
        </w:rPr>
      </w:pPr>
      <w:r>
        <w:rPr>
          <w:rFonts w:hint="eastAsia"/>
        </w:rPr>
        <w:t>And, says Paul, that is exactly what he has promised to do: At the Parousia, God will bring with Christ the souls of all who have fallen asleep in Jesus, so that they, just like their Lord, may rise from the dead, and then be reunited with the saints who are still living upon the earth at that time.</w:t>
      </w:r>
    </w:p>
    <w:p w14:paraId="1900F59A">
      <w:pPr>
        <w:pStyle w:val="9"/>
        <w:spacing w:before="66"/>
        <w:ind w:left="0"/>
        <w:jc w:val="left"/>
        <w:rPr>
          <w:rFonts w:hint="eastAsia"/>
        </w:rPr>
      </w:pPr>
      <w:r>
        <w:rPr>
          <w:rFonts w:hint="eastAsia"/>
        </w:rPr>
        <w:t>保罗说，这正是祂所应许要做的：在主临（Parousia）时，上帝将把所有在耶稣里睡了之人的灵魂与基督一同带来，好叫他们，就像他们的主一样，可以从死里复活，然后与那时仍在地上活着的圣徒们重聚。</w:t>
      </w:r>
    </w:p>
    <w:p w14:paraId="3E647201">
      <w:pPr>
        <w:pStyle w:val="9"/>
        <w:spacing w:before="66"/>
        <w:ind w:left="0"/>
        <w:jc w:val="left"/>
        <w:rPr>
          <w:rFonts w:hint="eastAsia"/>
        </w:rPr>
      </w:pPr>
    </w:p>
    <w:p w14:paraId="36BEE05D">
      <w:pPr>
        <w:pStyle w:val="9"/>
        <w:spacing w:before="66"/>
        <w:ind w:left="0"/>
        <w:jc w:val="left"/>
        <w:rPr>
          <w:rFonts w:hint="eastAsia"/>
        </w:rPr>
      </w:pPr>
      <w:r>
        <w:rPr>
          <w:rFonts w:hint="eastAsia"/>
        </w:rPr>
        <w:t>Importantly, Paul has already touched on this subject in 3:11-13, where he prayed that God would establish the Thessalonians’ hearts “… unblamable in holiness before our God and Father at the Parousia of our Lord Jesus with all his holy ones.”</w:t>
      </w:r>
    </w:p>
    <w:p w14:paraId="4A3A171D">
      <w:pPr>
        <w:pStyle w:val="9"/>
        <w:spacing w:before="66"/>
        <w:ind w:left="0"/>
        <w:jc w:val="left"/>
        <w:rPr>
          <w:rFonts w:hint="eastAsia"/>
        </w:rPr>
      </w:pPr>
      <w:r>
        <w:rPr>
          <w:rFonts w:hint="eastAsia"/>
        </w:rPr>
        <w:t>重要的是，保罗已在3:11-13中触及了这个主题，祂在那里祷告说，愿上帝坚固帖撒罗尼迦人的心，“……在我们的上帝父面前，在我们的主耶稣和祂众圣徒同来的时候，成为圣洁，无可指摘。”</w:t>
      </w:r>
    </w:p>
    <w:p w14:paraId="0CEB0C55">
      <w:pPr>
        <w:pStyle w:val="9"/>
        <w:spacing w:before="66"/>
        <w:ind w:left="0"/>
        <w:jc w:val="left"/>
        <w:rPr>
          <w:rFonts w:hint="eastAsia"/>
        </w:rPr>
      </w:pPr>
    </w:p>
    <w:p w14:paraId="3013F57C">
      <w:pPr>
        <w:pStyle w:val="9"/>
        <w:spacing w:before="66"/>
        <w:ind w:left="0"/>
        <w:jc w:val="left"/>
        <w:rPr>
          <w:rFonts w:hint="eastAsia"/>
        </w:rPr>
      </w:pPr>
      <w:r>
        <w:rPr>
          <w:rFonts w:hint="eastAsia"/>
        </w:rPr>
        <w:t>Note the comprehensiveness of that final phrase: When he comes again, Christ will empty heaven, bringing all the holy angels, and all the spirits of all the departed saints whom he has redemptively separated to himself.</w:t>
      </w:r>
    </w:p>
    <w:p w14:paraId="5F015383">
      <w:pPr>
        <w:pStyle w:val="9"/>
        <w:spacing w:before="66"/>
        <w:ind w:left="0"/>
        <w:jc w:val="left"/>
        <w:rPr>
          <w:rFonts w:hint="eastAsia"/>
        </w:rPr>
      </w:pPr>
      <w:r>
        <w:rPr>
          <w:rFonts w:hint="eastAsia"/>
        </w:rPr>
        <w:t>请注意最后那个短语的全面性：当祂再来时，基督将倒空天堂，带来所有圣天使，以及所有祂已救赎地分别归祂自己的已故圣徒的灵魂。</w:t>
      </w:r>
    </w:p>
    <w:p w14:paraId="0790B54A">
      <w:pPr>
        <w:pStyle w:val="9"/>
        <w:spacing w:before="66"/>
        <w:ind w:left="0"/>
        <w:jc w:val="left"/>
        <w:rPr>
          <w:rFonts w:hint="eastAsia"/>
        </w:rPr>
      </w:pPr>
    </w:p>
    <w:p w14:paraId="2CE36819">
      <w:pPr>
        <w:pStyle w:val="9"/>
        <w:spacing w:before="66"/>
        <w:ind w:left="0"/>
        <w:jc w:val="left"/>
        <w:rPr>
          <w:rFonts w:hint="eastAsia"/>
        </w:rPr>
      </w:pPr>
      <w:r>
        <w:rPr>
          <w:rFonts w:hint="eastAsia"/>
        </w:rPr>
        <w:t>Thus will he set the stage for cosmic history’s most Momentous Event!</w:t>
      </w:r>
    </w:p>
    <w:p w14:paraId="79FF49DC">
      <w:pPr>
        <w:pStyle w:val="9"/>
        <w:spacing w:before="66"/>
        <w:ind w:left="0"/>
        <w:jc w:val="left"/>
        <w:rPr>
          <w:rFonts w:hint="eastAsia"/>
        </w:rPr>
      </w:pPr>
      <w:r>
        <w:rPr>
          <w:rFonts w:hint="eastAsia"/>
        </w:rPr>
        <w:t>祂就这样为宇宙历史上最重大的事件布置了舞台！</w:t>
      </w:r>
    </w:p>
    <w:p w14:paraId="0D1B5D76">
      <w:pPr>
        <w:pStyle w:val="9"/>
        <w:spacing w:before="66"/>
        <w:ind w:left="0"/>
        <w:jc w:val="left"/>
        <w:rPr>
          <w:rFonts w:hint="eastAsia"/>
        </w:rPr>
      </w:pPr>
    </w:p>
    <w:p w14:paraId="36A52B67">
      <w:pPr>
        <w:pStyle w:val="9"/>
        <w:spacing w:before="66"/>
        <w:ind w:left="0"/>
        <w:jc w:val="left"/>
        <w:rPr>
          <w:rFonts w:hint="eastAsia"/>
        </w:rPr>
      </w:pPr>
      <w:r>
        <w:rPr>
          <w:rFonts w:hint="eastAsia"/>
        </w:rPr>
        <w:t>In verses 15-17, the apostle delves deeper into the Consummation, supplying a detailed description of the portion of it that lies uppermost in the minds of his flock: the reunion of the departed saints with the living saints.</w:t>
      </w:r>
    </w:p>
    <w:p w14:paraId="107DA451">
      <w:pPr>
        <w:pStyle w:val="9"/>
        <w:spacing w:before="66"/>
        <w:ind w:left="0"/>
        <w:jc w:val="left"/>
        <w:rPr>
          <w:rFonts w:hint="eastAsia"/>
        </w:rPr>
      </w:pPr>
      <w:r>
        <w:rPr>
          <w:rFonts w:hint="eastAsia"/>
        </w:rPr>
        <w:t>在第15-17节，使徒更深入地探讨最终的成全，提供了对其中最牵动祂羊群心思的部分的详细描述：已故圣徒与活着圣徒的重聚。</w:t>
      </w:r>
    </w:p>
    <w:p w14:paraId="34E18502">
      <w:pPr>
        <w:pStyle w:val="9"/>
        <w:spacing w:before="66"/>
        <w:ind w:left="0"/>
        <w:jc w:val="left"/>
        <w:rPr>
          <w:rFonts w:hint="eastAsia"/>
        </w:rPr>
      </w:pPr>
    </w:p>
    <w:p w14:paraId="0E8B4FDF">
      <w:pPr>
        <w:pStyle w:val="9"/>
        <w:spacing w:before="66"/>
        <w:ind w:left="0"/>
        <w:jc w:val="left"/>
        <w:rPr>
          <w:rFonts w:hint="eastAsia"/>
        </w:rPr>
      </w:pPr>
      <w:r>
        <w:rPr>
          <w:rFonts w:hint="eastAsia"/>
        </w:rPr>
        <w:t>As we shall see in a moment, in 1 Thess. 5:1-11 he immediately goes on to complete the picture by turning to the subject of the Last Judgment.</w:t>
      </w:r>
    </w:p>
    <w:p w14:paraId="55DE50B0">
      <w:pPr>
        <w:pStyle w:val="9"/>
        <w:spacing w:before="66"/>
        <w:ind w:left="0"/>
        <w:jc w:val="left"/>
        <w:rPr>
          <w:rFonts w:hint="eastAsia"/>
        </w:rPr>
      </w:pPr>
      <w:r>
        <w:rPr>
          <w:rFonts w:hint="eastAsia"/>
        </w:rPr>
        <w:t>我们稍后将看到，在帖撒罗尼迦前书5:1-11，他立刻接着转向最后审判的主题，以完成这幅图画。</w:t>
      </w:r>
    </w:p>
    <w:p w14:paraId="2C2FAC99">
      <w:pPr>
        <w:pStyle w:val="9"/>
        <w:spacing w:before="66"/>
        <w:ind w:left="0"/>
        <w:jc w:val="left"/>
        <w:rPr>
          <w:rFonts w:hint="eastAsia"/>
        </w:rPr>
      </w:pPr>
    </w:p>
    <w:p w14:paraId="07AFE230">
      <w:pPr>
        <w:pStyle w:val="9"/>
        <w:spacing w:before="66"/>
        <w:ind w:left="0"/>
        <w:jc w:val="left"/>
        <w:rPr>
          <w:rFonts w:hint="eastAsia"/>
        </w:rPr>
      </w:pPr>
      <w:r>
        <w:rPr>
          <w:rFonts w:hint="eastAsia"/>
        </w:rPr>
        <w:t>Thus, Paul’s theme in his eschatological remarks is not a secret Rapture of the Church; it is the one Consummation of all things at the Parousia of Christ.</w:t>
      </w:r>
    </w:p>
    <w:p w14:paraId="622CE643">
      <w:pPr>
        <w:pStyle w:val="9"/>
        <w:spacing w:before="66"/>
        <w:ind w:left="0"/>
        <w:jc w:val="left"/>
        <w:rPr>
          <w:rFonts w:hint="eastAsia"/>
        </w:rPr>
      </w:pPr>
      <w:r>
        <w:rPr>
          <w:rFonts w:hint="eastAsia"/>
        </w:rPr>
        <w:t>因此，保罗在他末世论言论中的主题，并非教会的秘密被提；而是万物在基督主临（Parousia）时的一次性最终成全。</w:t>
      </w:r>
    </w:p>
    <w:p w14:paraId="6F7FEE48">
      <w:pPr>
        <w:pStyle w:val="9"/>
        <w:spacing w:before="66"/>
        <w:ind w:left="0"/>
        <w:jc w:val="left"/>
        <w:rPr>
          <w:rFonts w:hint="eastAsia"/>
        </w:rPr>
      </w:pPr>
    </w:p>
    <w:p w14:paraId="3B6E47A4">
      <w:pPr>
        <w:pStyle w:val="9"/>
        <w:spacing w:before="66"/>
        <w:ind w:left="0"/>
        <w:jc w:val="left"/>
        <w:rPr>
          <w:rFonts w:hint="eastAsia"/>
        </w:rPr>
      </w:pPr>
      <w:r>
        <w:rPr>
          <w:rFonts w:hint="eastAsia"/>
        </w:rPr>
        <w:t>In verse 15, Paul begins by declaring that the instruction he is about to give is “the word of the Lord”.</w:t>
      </w:r>
    </w:p>
    <w:p w14:paraId="12A75803">
      <w:pPr>
        <w:pStyle w:val="9"/>
        <w:spacing w:before="66"/>
        <w:ind w:left="0"/>
        <w:jc w:val="left"/>
        <w:rPr>
          <w:rFonts w:hint="eastAsia"/>
        </w:rPr>
      </w:pPr>
      <w:r>
        <w:rPr>
          <w:rFonts w:hint="eastAsia"/>
        </w:rPr>
        <w:t>在第15节，保罗开始时宣告祂将要给的教训是“主的话”。</w:t>
      </w:r>
    </w:p>
    <w:p w14:paraId="7C3E36B9">
      <w:pPr>
        <w:pStyle w:val="9"/>
        <w:spacing w:before="66"/>
        <w:ind w:left="0"/>
        <w:jc w:val="left"/>
        <w:rPr>
          <w:rFonts w:hint="eastAsia"/>
        </w:rPr>
      </w:pPr>
    </w:p>
    <w:p w14:paraId="507BC846">
      <w:pPr>
        <w:pStyle w:val="9"/>
        <w:spacing w:before="66"/>
        <w:ind w:left="0"/>
        <w:jc w:val="left"/>
        <w:rPr>
          <w:rFonts w:hint="eastAsia"/>
        </w:rPr>
      </w:pPr>
      <w:r>
        <w:rPr>
          <w:rFonts w:hint="eastAsia"/>
        </w:rPr>
        <w:t>That is, it comes, at least in part, from the earthly teaching ministry of Christ himself (Mt. 13:37-43, 24:29-31, etc.).</w:t>
      </w:r>
    </w:p>
    <w:p w14:paraId="1EA7116F">
      <w:pPr>
        <w:pStyle w:val="9"/>
        <w:spacing w:before="66"/>
        <w:ind w:left="0"/>
        <w:jc w:val="left"/>
        <w:rPr>
          <w:rFonts w:hint="eastAsia"/>
        </w:rPr>
      </w:pPr>
      <w:r>
        <w:rPr>
          <w:rFonts w:hint="eastAsia"/>
        </w:rPr>
        <w:t>也就是说，它至少部分地来自基督祂自己在世上的教导事工（太13:37-43, 24:29-31等）。</w:t>
      </w:r>
    </w:p>
    <w:p w14:paraId="192BD985">
      <w:pPr>
        <w:pStyle w:val="9"/>
        <w:spacing w:before="66"/>
        <w:ind w:left="0"/>
        <w:jc w:val="left"/>
        <w:rPr>
          <w:rFonts w:hint="eastAsia"/>
        </w:rPr>
      </w:pPr>
    </w:p>
    <w:p w14:paraId="792D622A">
      <w:pPr>
        <w:pStyle w:val="9"/>
        <w:spacing w:before="66"/>
        <w:ind w:left="0"/>
        <w:jc w:val="left"/>
        <w:rPr>
          <w:rFonts w:hint="eastAsia"/>
        </w:rPr>
      </w:pPr>
      <w:r>
        <w:rPr>
          <w:rFonts w:hint="eastAsia"/>
        </w:rPr>
        <w:t>Possibly it also includes some new, “mysterious” truth, vouchsafed to his apostle by special revelation (1 Cor. 15:51f).</w:t>
      </w:r>
    </w:p>
    <w:p w14:paraId="76882806">
      <w:pPr>
        <w:pStyle w:val="9"/>
        <w:spacing w:before="66"/>
        <w:ind w:left="0"/>
        <w:jc w:val="left"/>
        <w:rPr>
          <w:rFonts w:hint="eastAsia"/>
        </w:rPr>
      </w:pPr>
      <w:r>
        <w:rPr>
          <w:rFonts w:hint="eastAsia"/>
        </w:rPr>
        <w:t>可能它也包含一些新的、“奥秘”的真理，是借着特别的启示赐给祂的使徒的（林前15:51及以下）。</w:t>
      </w:r>
    </w:p>
    <w:p w14:paraId="52847956">
      <w:pPr>
        <w:pStyle w:val="9"/>
        <w:spacing w:before="66"/>
        <w:ind w:left="0"/>
        <w:jc w:val="left"/>
        <w:rPr>
          <w:rFonts w:hint="eastAsia"/>
        </w:rPr>
      </w:pPr>
    </w:p>
    <w:p w14:paraId="4A35CC79">
      <w:pPr>
        <w:pStyle w:val="9"/>
        <w:spacing w:before="66"/>
        <w:ind w:left="0"/>
        <w:jc w:val="left"/>
        <w:rPr>
          <w:rFonts w:hint="eastAsia"/>
        </w:rPr>
      </w:pPr>
      <w:r>
        <w:rPr>
          <w:rFonts w:hint="eastAsia"/>
        </w:rPr>
        <w:t>In any case, the Thessalonians can trust implicitly in what he is about to say, since it is God’s very own word.</w:t>
      </w:r>
    </w:p>
    <w:p w14:paraId="09ABE3CB">
      <w:pPr>
        <w:pStyle w:val="9"/>
        <w:spacing w:before="66"/>
        <w:ind w:left="0"/>
        <w:jc w:val="left"/>
        <w:rPr>
          <w:rFonts w:hint="eastAsia"/>
        </w:rPr>
      </w:pPr>
      <w:r>
        <w:rPr>
          <w:rFonts w:hint="eastAsia"/>
        </w:rPr>
        <w:t>无论如何，帖撒罗尼迦人可以完全地信靠祂将要说的话，因为这是上帝祂自己的话。</w:t>
      </w:r>
    </w:p>
    <w:p w14:paraId="4400FD22">
      <w:pPr>
        <w:pStyle w:val="9"/>
        <w:spacing w:before="66"/>
        <w:ind w:left="0"/>
        <w:jc w:val="left"/>
        <w:rPr>
          <w:rFonts w:hint="eastAsia"/>
        </w:rPr>
      </w:pPr>
    </w:p>
    <w:p w14:paraId="3A6D9739">
      <w:pPr>
        <w:pStyle w:val="9"/>
        <w:spacing w:before="66"/>
        <w:ind w:left="0"/>
        <w:jc w:val="left"/>
        <w:rPr>
          <w:rFonts w:hint="eastAsia"/>
        </w:rPr>
      </w:pPr>
      <w:r>
        <w:rPr>
          <w:rFonts w:hint="eastAsia"/>
        </w:rPr>
        <w:t>Next, he affirms that “… we who are alive and remain until the Parousia of the Lord shall not precede those who have fallen asleep.”</w:t>
      </w:r>
    </w:p>
    <w:p w14:paraId="478B68DD">
      <w:pPr>
        <w:pStyle w:val="9"/>
        <w:spacing w:before="66"/>
        <w:ind w:left="0"/>
        <w:jc w:val="left"/>
        <w:rPr>
          <w:rFonts w:hint="eastAsia"/>
        </w:rPr>
      </w:pPr>
      <w:r>
        <w:rPr>
          <w:rFonts w:hint="eastAsia"/>
        </w:rPr>
        <w:t>接着，祂肯定说：“……我们这活着还存留到主降临的人，断不能在那已经睡了的人之先。”</w:t>
      </w:r>
    </w:p>
    <w:p w14:paraId="7F73E99F">
      <w:pPr>
        <w:pStyle w:val="9"/>
        <w:spacing w:before="66"/>
        <w:ind w:left="0"/>
        <w:jc w:val="left"/>
        <w:rPr>
          <w:rFonts w:hint="eastAsia"/>
        </w:rPr>
      </w:pPr>
    </w:p>
    <w:p w14:paraId="2BD254E8">
      <w:pPr>
        <w:pStyle w:val="9"/>
        <w:spacing w:before="66"/>
        <w:ind w:left="0"/>
        <w:jc w:val="left"/>
        <w:rPr>
          <w:rFonts w:hint="eastAsia"/>
        </w:rPr>
      </w:pPr>
      <w:r>
        <w:rPr>
          <w:rFonts w:hint="eastAsia"/>
        </w:rPr>
        <w:t>As the subsequent verses make clear, he means that the living saints will not precede those who have died in receiving their glorified bodies.</w:t>
      </w:r>
    </w:p>
    <w:p w14:paraId="76D45C72">
      <w:pPr>
        <w:pStyle w:val="9"/>
        <w:spacing w:before="66"/>
        <w:ind w:left="0"/>
        <w:jc w:val="left"/>
        <w:rPr>
          <w:rFonts w:hint="eastAsia"/>
        </w:rPr>
      </w:pPr>
      <w:r>
        <w:rPr>
          <w:rFonts w:hint="eastAsia"/>
        </w:rPr>
        <w:t>正如随后的经文所清楚表明的，祂的意思是活着的圣徒在领受他们得荣耀的身体方面，不会先于那些已经死去的人。</w:t>
      </w:r>
    </w:p>
    <w:p w14:paraId="5D4F8E94">
      <w:pPr>
        <w:pStyle w:val="9"/>
        <w:spacing w:before="66"/>
        <w:ind w:left="0"/>
        <w:jc w:val="left"/>
        <w:rPr>
          <w:rFonts w:hint="eastAsia"/>
        </w:rPr>
      </w:pPr>
    </w:p>
    <w:p w14:paraId="08A011C6">
      <w:pPr>
        <w:pStyle w:val="9"/>
        <w:spacing w:before="66"/>
        <w:ind w:left="0"/>
        <w:jc w:val="left"/>
        <w:rPr>
          <w:rFonts w:hint="eastAsia"/>
        </w:rPr>
      </w:pPr>
      <w:r>
        <w:rPr>
          <w:rFonts w:hint="eastAsia"/>
        </w:rPr>
        <w:t>There is, then, a definite sequence in the glorification of the Church: First, Christ will join the souls of the departed saints to their new, resurrected and glorified bodies; then—and only then—he will transform and glorify the bodies of the living saints.</w:t>
      </w:r>
    </w:p>
    <w:p w14:paraId="30B17DAE">
      <w:pPr>
        <w:pStyle w:val="9"/>
        <w:spacing w:before="66"/>
        <w:ind w:left="0"/>
        <w:jc w:val="left"/>
        <w:rPr>
          <w:rFonts w:hint="eastAsia"/>
        </w:rPr>
      </w:pPr>
      <w:r>
        <w:rPr>
          <w:rFonts w:hint="eastAsia"/>
        </w:rPr>
        <w:t>因此，在教会得荣耀的过程中，有一个明确的次序：首先，基督将把已故圣徒的灵魂与他们新的、复活并得荣耀的身体联合；然后——也只有在那之后——祂才会改变并荣耀活着圣徒的身体。</w:t>
      </w:r>
    </w:p>
    <w:p w14:paraId="4744B65C">
      <w:pPr>
        <w:pStyle w:val="9"/>
        <w:spacing w:before="66"/>
        <w:ind w:left="0"/>
        <w:jc w:val="left"/>
        <w:rPr>
          <w:rFonts w:hint="eastAsia"/>
        </w:rPr>
      </w:pPr>
    </w:p>
    <w:p w14:paraId="02B9F2E0">
      <w:pPr>
        <w:pStyle w:val="9"/>
        <w:spacing w:before="66"/>
        <w:ind w:left="0"/>
        <w:jc w:val="left"/>
        <w:rPr>
          <w:rFonts w:hint="eastAsia"/>
        </w:rPr>
      </w:pPr>
      <w:r>
        <w:rPr>
          <w:rFonts w:hint="eastAsia"/>
        </w:rPr>
        <w:t>A little later in his teaching ministry, Paul will say much the same thing to the Corinthians: “For the trumpet will sound, and the dead will be raised imperishable, and we (who are alive and remain) shall be changed” (1 Cor. 15:50-53).</w:t>
      </w:r>
    </w:p>
    <w:p w14:paraId="40C53FDB">
      <w:pPr>
        <w:pStyle w:val="9"/>
        <w:spacing w:before="66"/>
        <w:ind w:left="0"/>
        <w:jc w:val="left"/>
        <w:rPr>
          <w:rFonts w:hint="eastAsia"/>
        </w:rPr>
      </w:pPr>
      <w:r>
        <w:rPr>
          <w:rFonts w:hint="eastAsia"/>
        </w:rPr>
        <w:t>保罗在祂教导事工的后期，将对哥林多人说大致相同的话：“因号筒要响，死人要复活成为不朽坏的，我们（活着还存留的）也要改变”（林前15:50-53）。</w:t>
      </w:r>
    </w:p>
    <w:p w14:paraId="2C4D39F9">
      <w:pPr>
        <w:pStyle w:val="9"/>
        <w:spacing w:before="66"/>
        <w:ind w:left="0"/>
        <w:jc w:val="left"/>
        <w:rPr>
          <w:rFonts w:hint="eastAsia"/>
        </w:rPr>
      </w:pPr>
    </w:p>
    <w:p w14:paraId="3BB9F698">
      <w:pPr>
        <w:pStyle w:val="9"/>
        <w:spacing w:before="66"/>
        <w:ind w:left="0"/>
        <w:jc w:val="left"/>
        <w:rPr>
          <w:rFonts w:hint="eastAsia"/>
        </w:rPr>
      </w:pPr>
      <w:r>
        <w:rPr>
          <w:rFonts w:hint="eastAsia"/>
        </w:rPr>
        <w:t>Observe carefully that all of this happens at “the Parousia of the Lord” (15).</w:t>
      </w:r>
    </w:p>
    <w:p w14:paraId="3914345B">
      <w:pPr>
        <w:pStyle w:val="9"/>
        <w:spacing w:before="66"/>
        <w:ind w:left="0"/>
        <w:jc w:val="left"/>
        <w:rPr>
          <w:rFonts w:hint="eastAsia"/>
        </w:rPr>
      </w:pPr>
      <w:r>
        <w:rPr>
          <w:rFonts w:hint="eastAsia"/>
        </w:rPr>
        <w:t>请仔细观察，这一切都发生在“主的降临”（15）时。</w:t>
      </w:r>
    </w:p>
    <w:p w14:paraId="4CD1A84A">
      <w:pPr>
        <w:pStyle w:val="9"/>
        <w:spacing w:before="66"/>
        <w:ind w:left="0"/>
        <w:jc w:val="left"/>
        <w:rPr>
          <w:rFonts w:hint="eastAsia"/>
        </w:rPr>
      </w:pPr>
    </w:p>
    <w:p w14:paraId="47B2C375">
      <w:pPr>
        <w:pStyle w:val="9"/>
        <w:spacing w:before="66"/>
        <w:ind w:left="0"/>
        <w:jc w:val="left"/>
        <w:rPr>
          <w:rFonts w:hint="eastAsia"/>
        </w:rPr>
      </w:pPr>
      <w:r>
        <w:rPr>
          <w:rFonts w:hint="eastAsia"/>
        </w:rPr>
        <w:t>There is only one of them.</w:t>
      </w:r>
    </w:p>
    <w:p w14:paraId="214C8C98">
      <w:pPr>
        <w:pStyle w:val="9"/>
        <w:spacing w:before="66"/>
        <w:ind w:left="0"/>
        <w:jc w:val="left"/>
        <w:rPr>
          <w:rFonts w:hint="eastAsia"/>
        </w:rPr>
      </w:pPr>
      <w:r>
        <w:rPr>
          <w:rFonts w:hint="eastAsia"/>
        </w:rPr>
        <w:t>只有一个。</w:t>
      </w:r>
    </w:p>
    <w:p w14:paraId="518A2196">
      <w:pPr>
        <w:pStyle w:val="9"/>
        <w:spacing w:before="66"/>
        <w:ind w:left="0"/>
        <w:jc w:val="left"/>
        <w:rPr>
          <w:rFonts w:hint="eastAsia"/>
        </w:rPr>
      </w:pPr>
    </w:p>
    <w:p w14:paraId="05D534C7">
      <w:pPr>
        <w:pStyle w:val="9"/>
        <w:spacing w:before="66"/>
        <w:ind w:left="0"/>
        <w:jc w:val="left"/>
        <w:rPr>
          <w:rFonts w:hint="eastAsia"/>
        </w:rPr>
      </w:pPr>
      <w:r>
        <w:rPr>
          <w:rFonts w:hint="eastAsia"/>
        </w:rPr>
        <w:t>And according to every other Pauline text touching on this event, it has nothing to do with Christ secretly removing his Church to heaven for seven years; rather, it has everything to do with his raising (all) the dead, judging the world in righteousness, and bringing in the completed Kingdom of God.1</w:t>
      </w:r>
    </w:p>
    <w:p w14:paraId="48B54007">
      <w:pPr>
        <w:pStyle w:val="9"/>
        <w:spacing w:before="66"/>
        <w:ind w:left="0"/>
        <w:jc w:val="left"/>
        <w:rPr>
          <w:rFonts w:hint="eastAsia"/>
        </w:rPr>
      </w:pPr>
      <w:r>
        <w:rPr>
          <w:rFonts w:hint="eastAsia"/>
        </w:rPr>
        <w:t>根据所有其他触及此事的保罗经文，这与基督秘密地将祂的教会提到天上七年无关；相反，这完全与祂使（所有）死人复活，按公义审判世界，并带来完全的上帝之国有关。1</w:t>
      </w:r>
    </w:p>
    <w:p w14:paraId="695D2481">
      <w:pPr>
        <w:pStyle w:val="9"/>
        <w:spacing w:before="66"/>
        <w:ind w:left="0"/>
        <w:jc w:val="left"/>
        <w:rPr>
          <w:rFonts w:hint="eastAsia"/>
        </w:rPr>
      </w:pPr>
    </w:p>
    <w:p w14:paraId="304349F9">
      <w:pPr>
        <w:pStyle w:val="9"/>
        <w:spacing w:before="66"/>
        <w:ind w:left="0"/>
        <w:jc w:val="left"/>
        <w:rPr>
          <w:rFonts w:hint="eastAsia"/>
        </w:rPr>
      </w:pPr>
      <w:r>
        <w:rPr>
          <w:rFonts w:hint="eastAsia"/>
        </w:rPr>
        <w:t>More on this in a moment.</w:t>
      </w:r>
    </w:p>
    <w:p w14:paraId="754AB386">
      <w:pPr>
        <w:pStyle w:val="9"/>
        <w:spacing w:before="66"/>
        <w:ind w:left="0"/>
        <w:jc w:val="left"/>
        <w:rPr>
          <w:rFonts w:hint="eastAsia"/>
        </w:rPr>
      </w:pPr>
      <w:r>
        <w:rPr>
          <w:rFonts w:hint="eastAsia"/>
        </w:rPr>
        <w:t>稍后再详述。</w:t>
      </w:r>
    </w:p>
    <w:p w14:paraId="60E6C0ED">
      <w:pPr>
        <w:pStyle w:val="9"/>
        <w:spacing w:before="66"/>
        <w:ind w:left="0"/>
        <w:jc w:val="left"/>
        <w:rPr>
          <w:rFonts w:hint="eastAsia"/>
        </w:rPr>
      </w:pPr>
    </w:p>
    <w:p w14:paraId="79CA6001">
      <w:pPr>
        <w:pStyle w:val="9"/>
        <w:spacing w:before="66"/>
        <w:ind w:left="0"/>
        <w:jc w:val="left"/>
        <w:rPr>
          <w:rFonts w:hint="eastAsia"/>
        </w:rPr>
      </w:pPr>
      <w:r>
        <w:rPr>
          <w:rFonts w:hint="eastAsia"/>
        </w:rPr>
        <w:t>In verses 16-17—which closely parallel his Master’s own descriptions of the Consummation—Paul now elaborates on what he has just said about the sequence of events surrounding the Parousia (Mt. 13:37-43, 24:29-31).</w:t>
      </w:r>
    </w:p>
    <w:p w14:paraId="1EB00214">
      <w:pPr>
        <w:pStyle w:val="9"/>
        <w:spacing w:before="66"/>
        <w:ind w:left="0"/>
        <w:jc w:val="left"/>
        <w:rPr>
          <w:rFonts w:hint="eastAsia"/>
        </w:rPr>
      </w:pPr>
      <w:r>
        <w:rPr>
          <w:rFonts w:hint="eastAsia"/>
        </w:rPr>
        <w:t>在第16-17节——这与祂夫子自己对最终成全的描述密切平行——保罗现在详细阐述了祂刚才所说的关于主临（Parousia）前后事件的次序（太13:37-43, 24:29-31）。</w:t>
      </w:r>
    </w:p>
    <w:p w14:paraId="3C493898">
      <w:pPr>
        <w:pStyle w:val="9"/>
        <w:spacing w:before="66"/>
        <w:ind w:left="0"/>
        <w:jc w:val="left"/>
        <w:rPr>
          <w:rFonts w:hint="eastAsia"/>
        </w:rPr>
      </w:pPr>
    </w:p>
    <w:p w14:paraId="162E3AC7">
      <w:pPr>
        <w:pStyle w:val="9"/>
        <w:spacing w:before="66"/>
        <w:ind w:left="0"/>
        <w:jc w:val="left"/>
        <w:rPr>
          <w:rFonts w:hint="eastAsia"/>
        </w:rPr>
      </w:pPr>
      <w:r>
        <w:rPr>
          <w:rFonts w:hint="eastAsia"/>
        </w:rPr>
        <w:t>He begins with this: “The Lord himself will descend from heaven.”</w:t>
      </w:r>
    </w:p>
    <w:p w14:paraId="56B65D3E">
      <w:pPr>
        <w:pStyle w:val="9"/>
        <w:spacing w:before="66"/>
        <w:ind w:left="0"/>
        <w:jc w:val="left"/>
        <w:rPr>
          <w:rFonts w:hint="eastAsia"/>
        </w:rPr>
      </w:pPr>
      <w:r>
        <w:rPr>
          <w:rFonts w:hint="eastAsia"/>
        </w:rPr>
        <w:t>祂以这句话开始：“主必亲自从天降临。”</w:t>
      </w:r>
    </w:p>
    <w:p w14:paraId="228C4C5F">
      <w:pPr>
        <w:pStyle w:val="9"/>
        <w:spacing w:before="66"/>
        <w:ind w:left="0"/>
        <w:jc w:val="left"/>
        <w:rPr>
          <w:rFonts w:hint="eastAsia"/>
        </w:rPr>
      </w:pPr>
    </w:p>
    <w:p w14:paraId="0B95D812">
      <w:pPr>
        <w:pStyle w:val="9"/>
        <w:spacing w:before="66"/>
        <w:ind w:left="0"/>
        <w:jc w:val="left"/>
        <w:rPr>
          <w:rFonts w:hint="eastAsia"/>
        </w:rPr>
      </w:pPr>
      <w:r>
        <w:rPr>
          <w:rFonts w:hint="eastAsia"/>
        </w:rPr>
        <w:t>The view of the dispensationalists notwithstanding, I would argue, on the strength of all the rest of Paul’s eschatological writings, that this is Christ’s definitive descent to the earth; the descent that results in the final glorification of the cosmos; the descent that therefore effectively joins heaven and earth, bringing Christ and the Church to their eternal home once and for all (Rev. 21:1f).</w:t>
      </w:r>
    </w:p>
    <w:p w14:paraId="1B970F4C">
      <w:pPr>
        <w:pStyle w:val="9"/>
        <w:spacing w:before="66"/>
        <w:ind w:left="0"/>
        <w:jc w:val="left"/>
        <w:rPr>
          <w:rFonts w:hint="eastAsia"/>
        </w:rPr>
      </w:pPr>
      <w:r>
        <w:rPr>
          <w:rFonts w:hint="eastAsia"/>
        </w:rPr>
        <w:t>尽管时代论者有不同的观点，我愿根据保罗所有其余的末世论著作的力证来论证，这是基督明确地降临到地上；这次降临导致宇宙的最终得荣耀；这次降临因此有效地联合了天和地，将基督和教会一次性地带到他们永恒的家（启21:1及以下）。</w:t>
      </w:r>
    </w:p>
    <w:p w14:paraId="4AB2A731">
      <w:pPr>
        <w:pStyle w:val="9"/>
        <w:spacing w:before="66"/>
        <w:ind w:left="0"/>
        <w:jc w:val="left"/>
        <w:rPr>
          <w:rFonts w:hint="eastAsia"/>
        </w:rPr>
      </w:pPr>
    </w:p>
    <w:p w14:paraId="61D1C837">
      <w:pPr>
        <w:pStyle w:val="9"/>
        <w:spacing w:before="66"/>
        <w:ind w:left="0"/>
        <w:jc w:val="left"/>
        <w:rPr>
          <w:rFonts w:hint="eastAsia"/>
        </w:rPr>
      </w:pPr>
      <w:r>
        <w:rPr>
          <w:rFonts w:hint="eastAsia"/>
        </w:rPr>
        <w:t>When the Lord thus descends, it will be with three great sounds: a shout (or “cry of command”), the voice of the archangel, and the trumpet of God.</w:t>
      </w:r>
    </w:p>
    <w:p w14:paraId="46CF8A27">
      <w:pPr>
        <w:pStyle w:val="9"/>
        <w:spacing w:before="66"/>
        <w:ind w:left="0"/>
        <w:jc w:val="left"/>
        <w:rPr>
          <w:rFonts w:hint="eastAsia"/>
        </w:rPr>
      </w:pPr>
      <w:r>
        <w:rPr>
          <w:rFonts w:hint="eastAsia"/>
        </w:rPr>
        <w:t>当主如此降临时，将有三个大的响声：一个呼喊声（或“命令的呼声”），天使长的声音，和上帝的号筒声。</w:t>
      </w:r>
    </w:p>
    <w:p w14:paraId="6988DBCF">
      <w:pPr>
        <w:pStyle w:val="9"/>
        <w:spacing w:before="66"/>
        <w:ind w:left="0"/>
        <w:jc w:val="left"/>
        <w:rPr>
          <w:rFonts w:hint="eastAsia"/>
        </w:rPr>
      </w:pPr>
    </w:p>
    <w:p w14:paraId="639B9CC6">
      <w:pPr>
        <w:pStyle w:val="9"/>
        <w:spacing w:before="66"/>
        <w:ind w:left="0"/>
        <w:jc w:val="left"/>
        <w:rPr>
          <w:rFonts w:hint="eastAsia"/>
        </w:rPr>
      </w:pPr>
      <w:r>
        <w:rPr>
          <w:rFonts w:hint="eastAsia"/>
        </w:rPr>
        <w:t>I take it that the shout emanates from the lips of Christ himself.</w:t>
      </w:r>
    </w:p>
    <w:p w14:paraId="218F6B5E">
      <w:pPr>
        <w:pStyle w:val="9"/>
        <w:spacing w:before="66"/>
        <w:ind w:left="0"/>
        <w:jc w:val="left"/>
        <w:rPr>
          <w:rFonts w:hint="eastAsia"/>
        </w:rPr>
      </w:pPr>
      <w:r>
        <w:rPr>
          <w:rFonts w:hint="eastAsia"/>
        </w:rPr>
        <w:t>我认为这呼喊声出自基督祂自己的口。</w:t>
      </w:r>
    </w:p>
    <w:p w14:paraId="28DB1760">
      <w:pPr>
        <w:pStyle w:val="9"/>
        <w:spacing w:before="66"/>
        <w:ind w:left="0"/>
        <w:jc w:val="left"/>
        <w:rPr>
          <w:rFonts w:hint="eastAsia"/>
        </w:rPr>
      </w:pPr>
    </w:p>
    <w:p w14:paraId="7BB57F0A">
      <w:pPr>
        <w:pStyle w:val="9"/>
        <w:spacing w:before="66"/>
        <w:ind w:left="0"/>
        <w:jc w:val="left"/>
        <w:rPr>
          <w:rFonts w:hint="eastAsia"/>
        </w:rPr>
      </w:pPr>
      <w:r>
        <w:rPr>
          <w:rFonts w:hint="eastAsia"/>
        </w:rPr>
        <w:t>If it is indeed a shout, it is a shout of (final) victory (Num. 23:21, Josh. 6:5, Psalm 47:5, Isaiah 42:13, Jer. 25:30; 1 Cor. 15:54).</w:t>
      </w:r>
    </w:p>
    <w:p w14:paraId="6DABCC8C">
      <w:pPr>
        <w:pStyle w:val="9"/>
        <w:spacing w:before="66"/>
        <w:ind w:left="0"/>
        <w:jc w:val="left"/>
        <w:rPr>
          <w:rFonts w:hint="eastAsia"/>
        </w:rPr>
      </w:pPr>
      <w:r>
        <w:rPr>
          <w:rFonts w:hint="eastAsia"/>
        </w:rPr>
        <w:t>如果这确实是一个呼喊声，那么它是一个（最终的）胜利的呼喊（民数记23:21，约书亚记6:5，诗篇47:5，以赛亚书42:13，耶利米书25:30；哥林多前书15:54）。</w:t>
      </w:r>
    </w:p>
    <w:p w14:paraId="78C5FE62">
      <w:pPr>
        <w:pStyle w:val="9"/>
        <w:spacing w:before="66"/>
        <w:ind w:left="0"/>
        <w:jc w:val="left"/>
        <w:rPr>
          <w:rFonts w:hint="eastAsia"/>
        </w:rPr>
      </w:pPr>
    </w:p>
    <w:p w14:paraId="0EE89290">
      <w:pPr>
        <w:pStyle w:val="9"/>
        <w:spacing w:before="66"/>
        <w:ind w:left="0"/>
        <w:jc w:val="left"/>
        <w:rPr>
          <w:rFonts w:hint="eastAsia"/>
        </w:rPr>
      </w:pPr>
      <w:r>
        <w:rPr>
          <w:rFonts w:hint="eastAsia"/>
        </w:rPr>
        <w:t>If, as seems more likely, it is a cry of command, it is the voice of Christ summoning the dead from their graves (John 5:25, 11:43), and/or sending the holy angels to their work (Mark 13:27).</w:t>
      </w:r>
    </w:p>
    <w:p w14:paraId="7784DB72">
      <w:pPr>
        <w:pStyle w:val="9"/>
        <w:spacing w:before="66"/>
        <w:ind w:left="0"/>
        <w:jc w:val="left"/>
        <w:rPr>
          <w:rFonts w:hint="eastAsia"/>
        </w:rPr>
      </w:pPr>
      <w:r>
        <w:rPr>
          <w:rFonts w:hint="eastAsia"/>
        </w:rPr>
        <w:t>如果，如似乎更可能的，这是一个命令的呼声，那么这是基督召唤死人出坟墓的声音（约翰福音5:25, 11:43），和/或差遣圣天使去作他们的工（马可福音13:27）。</w:t>
      </w:r>
    </w:p>
    <w:p w14:paraId="302BBF7C">
      <w:pPr>
        <w:pStyle w:val="9"/>
        <w:spacing w:before="66"/>
        <w:ind w:left="0"/>
        <w:jc w:val="left"/>
        <w:rPr>
          <w:rFonts w:hint="eastAsia"/>
        </w:rPr>
      </w:pPr>
    </w:p>
    <w:p w14:paraId="3D458A34">
      <w:pPr>
        <w:pStyle w:val="9"/>
        <w:spacing w:before="66"/>
        <w:ind w:left="0"/>
        <w:jc w:val="left"/>
        <w:rPr>
          <w:rFonts w:hint="eastAsia"/>
        </w:rPr>
      </w:pPr>
      <w:r>
        <w:rPr>
          <w:rFonts w:hint="eastAsia"/>
        </w:rPr>
        <w:t>Perhaps it is both.</w:t>
      </w:r>
    </w:p>
    <w:p w14:paraId="1EB00562">
      <w:pPr>
        <w:pStyle w:val="9"/>
        <w:spacing w:before="66"/>
        <w:ind w:left="0"/>
        <w:jc w:val="left"/>
        <w:rPr>
          <w:rFonts w:hint="eastAsia"/>
        </w:rPr>
      </w:pPr>
      <w:r>
        <w:rPr>
          <w:rFonts w:hint="eastAsia"/>
        </w:rPr>
        <w:t>或许两者都是。</w:t>
      </w:r>
    </w:p>
    <w:p w14:paraId="41D81236">
      <w:pPr>
        <w:pStyle w:val="9"/>
        <w:spacing w:before="66"/>
        <w:ind w:left="0"/>
        <w:jc w:val="left"/>
        <w:rPr>
          <w:rFonts w:hint="eastAsia"/>
        </w:rPr>
      </w:pPr>
    </w:p>
    <w:p w14:paraId="3EC491DC">
      <w:pPr>
        <w:pStyle w:val="9"/>
        <w:spacing w:before="66"/>
        <w:ind w:left="0"/>
        <w:jc w:val="left"/>
        <w:rPr>
          <w:rFonts w:hint="eastAsia"/>
        </w:rPr>
      </w:pPr>
      <w:r>
        <w:rPr>
          <w:rFonts w:hint="eastAsia"/>
        </w:rPr>
        <w:t>Concerning the archangel, this is almost certainly Michael (Dan. 12:1, Jude 9) or Gabriel (Dan. 8:16, 9:21, Luke 1:19, 26).</w:t>
      </w:r>
    </w:p>
    <w:p w14:paraId="01071C8C">
      <w:pPr>
        <w:pStyle w:val="9"/>
        <w:spacing w:before="66"/>
        <w:ind w:left="0"/>
        <w:jc w:val="left"/>
        <w:rPr>
          <w:rFonts w:hint="eastAsia"/>
        </w:rPr>
      </w:pPr>
      <w:r>
        <w:rPr>
          <w:rFonts w:hint="eastAsia"/>
        </w:rPr>
        <w:t>关于天使长，这几乎可以肯定是米迦勒（但12:1，犹9）或加百列（但8:16, 9:21，路1:19, 26）。</w:t>
      </w:r>
    </w:p>
    <w:p w14:paraId="78CB82B9">
      <w:pPr>
        <w:pStyle w:val="9"/>
        <w:spacing w:before="66"/>
        <w:ind w:left="0"/>
        <w:jc w:val="left"/>
        <w:rPr>
          <w:rFonts w:hint="eastAsia"/>
        </w:rPr>
      </w:pPr>
    </w:p>
    <w:p w14:paraId="0B7EF4CB">
      <w:pPr>
        <w:pStyle w:val="9"/>
        <w:spacing w:before="66"/>
        <w:ind w:left="0"/>
        <w:jc w:val="left"/>
        <w:rPr>
          <w:rFonts w:hint="eastAsia"/>
        </w:rPr>
      </w:pPr>
      <w:r>
        <w:rPr>
          <w:rFonts w:hint="eastAsia"/>
        </w:rPr>
        <w:t>In any case, by definition he is a ruler over the other angels.</w:t>
      </w:r>
    </w:p>
    <w:p w14:paraId="7763C26C">
      <w:pPr>
        <w:pStyle w:val="9"/>
        <w:spacing w:before="66"/>
        <w:ind w:left="0"/>
        <w:jc w:val="left"/>
        <w:rPr>
          <w:rFonts w:hint="eastAsia"/>
        </w:rPr>
      </w:pPr>
      <w:r>
        <w:rPr>
          <w:rFonts w:hint="eastAsia"/>
        </w:rPr>
        <w:t>无论如何，根据定义，祂是其他天使的统治者。</w:t>
      </w:r>
    </w:p>
    <w:p w14:paraId="224FBCD1">
      <w:pPr>
        <w:pStyle w:val="9"/>
        <w:spacing w:before="66"/>
        <w:ind w:left="0"/>
        <w:jc w:val="left"/>
        <w:rPr>
          <w:rFonts w:hint="eastAsia"/>
        </w:rPr>
      </w:pPr>
    </w:p>
    <w:p w14:paraId="442001BA">
      <w:pPr>
        <w:pStyle w:val="9"/>
        <w:spacing w:before="66"/>
        <w:ind w:left="0"/>
        <w:jc w:val="left"/>
        <w:rPr>
          <w:rFonts w:hint="eastAsia"/>
        </w:rPr>
      </w:pPr>
      <w:r>
        <w:rPr>
          <w:rFonts w:hint="eastAsia"/>
        </w:rPr>
        <w:t>Therefore, his presence on the scene implies what the NT explicitly teaches elsewhere: the presence of all the holy angels (Mt. 25:31).</w:t>
      </w:r>
    </w:p>
    <w:p w14:paraId="5D0BC6BC">
      <w:pPr>
        <w:pStyle w:val="9"/>
        <w:spacing w:before="66"/>
        <w:ind w:left="0"/>
        <w:jc w:val="left"/>
        <w:rPr>
          <w:rFonts w:hint="eastAsia"/>
        </w:rPr>
      </w:pPr>
      <w:r>
        <w:rPr>
          <w:rFonts w:hint="eastAsia"/>
        </w:rPr>
        <w:t>因此，祂在场上的出现，暗示了新约在别处明确教导的：所有圣天使的在场（太25:31）。</w:t>
      </w:r>
    </w:p>
    <w:p w14:paraId="5FE706BD">
      <w:pPr>
        <w:pStyle w:val="9"/>
        <w:spacing w:before="66"/>
        <w:ind w:left="0"/>
        <w:jc w:val="left"/>
        <w:rPr>
          <w:rFonts w:hint="eastAsia"/>
        </w:rPr>
      </w:pPr>
    </w:p>
    <w:p w14:paraId="65229C64">
      <w:pPr>
        <w:pStyle w:val="9"/>
        <w:spacing w:before="66"/>
        <w:ind w:left="0"/>
        <w:jc w:val="left"/>
        <w:rPr>
          <w:rFonts w:hint="eastAsia"/>
        </w:rPr>
      </w:pPr>
      <w:r>
        <w:rPr>
          <w:rFonts w:hint="eastAsia"/>
        </w:rPr>
        <w:t>When he raises his voice, it is most likely for the purpose of sending those angels to their great work of judicial and redemptive ingathering (Mt. 13:41, 24:31, Rev. 14:18).</w:t>
      </w:r>
    </w:p>
    <w:p w14:paraId="16961B9F">
      <w:pPr>
        <w:pStyle w:val="9"/>
        <w:spacing w:before="66"/>
        <w:ind w:left="0"/>
        <w:jc w:val="left"/>
        <w:rPr>
          <w:rFonts w:hint="eastAsia"/>
        </w:rPr>
      </w:pPr>
      <w:r>
        <w:rPr>
          <w:rFonts w:hint="eastAsia"/>
        </w:rPr>
        <w:t>当祂扬声时，很可能是为了差遣那些天使去作他们审判性和救赎性招聚的伟大工作（太13:41, 24:31，启14:18）。</w:t>
      </w:r>
    </w:p>
    <w:p w14:paraId="2BC0FE1A">
      <w:pPr>
        <w:pStyle w:val="9"/>
        <w:spacing w:before="66"/>
        <w:ind w:left="0"/>
        <w:jc w:val="left"/>
        <w:rPr>
          <w:rFonts w:hint="eastAsia"/>
        </w:rPr>
      </w:pPr>
    </w:p>
    <w:p w14:paraId="51679B99">
      <w:pPr>
        <w:pStyle w:val="9"/>
        <w:spacing w:before="66"/>
        <w:ind w:left="0"/>
        <w:jc w:val="left"/>
        <w:rPr>
          <w:rFonts w:hint="eastAsia"/>
        </w:rPr>
      </w:pPr>
      <w:r>
        <w:rPr>
          <w:rFonts w:hint="eastAsia"/>
        </w:rPr>
        <w:t>Finally, there is the trumpet of God.</w:t>
      </w:r>
    </w:p>
    <w:p w14:paraId="44FB87C4">
      <w:pPr>
        <w:pStyle w:val="9"/>
        <w:spacing w:before="66"/>
        <w:ind w:left="0"/>
        <w:jc w:val="left"/>
        <w:rPr>
          <w:rFonts w:hint="eastAsia"/>
        </w:rPr>
      </w:pPr>
      <w:r>
        <w:rPr>
          <w:rFonts w:hint="eastAsia"/>
        </w:rPr>
        <w:t>最后，有上帝的号筒。</w:t>
      </w:r>
    </w:p>
    <w:p w14:paraId="12DAE6BB">
      <w:pPr>
        <w:pStyle w:val="9"/>
        <w:spacing w:before="66"/>
        <w:ind w:left="0"/>
        <w:jc w:val="left"/>
        <w:rPr>
          <w:rFonts w:hint="eastAsia"/>
        </w:rPr>
      </w:pPr>
    </w:p>
    <w:p w14:paraId="64399F1D">
      <w:pPr>
        <w:pStyle w:val="9"/>
        <w:spacing w:before="66"/>
        <w:ind w:left="0"/>
        <w:jc w:val="left"/>
        <w:rPr>
          <w:rFonts w:hint="eastAsia"/>
        </w:rPr>
      </w:pPr>
      <w:r>
        <w:rPr>
          <w:rFonts w:hint="eastAsia"/>
        </w:rPr>
        <w:t>Its blast signals the final destruction of the evil world-system (Josh. 6:15-21), but also the summoning of God’s people to their full, New Covenant inheritance; to their enjoyment of eternal life in the glorious “holy mountain” that is the new heavens and the new earth (Exodus 19:1ff, Mt. 24:31).</w:t>
      </w:r>
    </w:p>
    <w:p w14:paraId="6C9FE1A5">
      <w:pPr>
        <w:pStyle w:val="9"/>
        <w:spacing w:before="66"/>
        <w:ind w:left="0"/>
        <w:jc w:val="left"/>
        <w:rPr>
          <w:rFonts w:hint="eastAsia"/>
        </w:rPr>
      </w:pPr>
      <w:r>
        <w:rPr>
          <w:rFonts w:hint="eastAsia"/>
        </w:rPr>
        <w:t>它的吹响预示着邪恶世界体系的最终毁灭（约书亚记6:15-21），也预示着上帝子民被召集到他们完全的、新约的产业中；到他们在荣耀的“圣山”，即新天新地中享受永生（出埃及记19:1及以下，马太福音24:31）。</w:t>
      </w:r>
    </w:p>
    <w:p w14:paraId="1FEB7BC0">
      <w:pPr>
        <w:pStyle w:val="9"/>
        <w:spacing w:before="66"/>
        <w:ind w:left="0"/>
        <w:jc w:val="left"/>
        <w:rPr>
          <w:rFonts w:hint="eastAsia"/>
        </w:rPr>
      </w:pPr>
    </w:p>
    <w:p w14:paraId="6583F619">
      <w:pPr>
        <w:pStyle w:val="9"/>
        <w:spacing w:before="66"/>
        <w:ind w:left="0"/>
        <w:jc w:val="left"/>
        <w:rPr>
          <w:rFonts w:hint="eastAsia"/>
        </w:rPr>
      </w:pPr>
      <w:r>
        <w:rPr>
          <w:rFonts w:hint="eastAsia"/>
        </w:rPr>
        <w:t>This line of interpretation accords well with the word of the apostle found in 1 Cor. 15:52: The trumpet that will raise the dead is the last trumpet, the trumpet that will consummate the purposes of God and bring in the World to Come.</w:t>
      </w:r>
    </w:p>
    <w:p w14:paraId="5DC2AFD5">
      <w:pPr>
        <w:pStyle w:val="9"/>
        <w:spacing w:before="66"/>
        <w:ind w:left="0"/>
        <w:jc w:val="left"/>
        <w:rPr>
          <w:rFonts w:hint="eastAsia"/>
        </w:rPr>
      </w:pPr>
      <w:r>
        <w:rPr>
          <w:rFonts w:hint="eastAsia"/>
        </w:rPr>
        <w:t>这种解释路线与使徒在哥林多前书15:52中的话语非常吻合：那将使死人复活的号筒是末次的号筒，那将成全上帝旨意并带来将来世界的号筒。</w:t>
      </w:r>
    </w:p>
    <w:p w14:paraId="3DA0445E">
      <w:pPr>
        <w:pStyle w:val="9"/>
        <w:spacing w:before="66"/>
        <w:ind w:left="0"/>
        <w:jc w:val="left"/>
        <w:rPr>
          <w:rFonts w:hint="eastAsia"/>
        </w:rPr>
      </w:pPr>
    </w:p>
    <w:p w14:paraId="019E0DDA">
      <w:pPr>
        <w:pStyle w:val="9"/>
        <w:spacing w:before="66"/>
        <w:ind w:left="0"/>
        <w:jc w:val="left"/>
        <w:rPr>
          <w:rFonts w:hint="eastAsia"/>
        </w:rPr>
      </w:pPr>
      <w:r>
        <w:rPr>
          <w:rFonts w:hint="eastAsia"/>
        </w:rPr>
        <w:t>Considering the character of these two verses, it is marvelous indeed that anyone could find here a “secret” eschatological event, devolving exclusively upon the saints, who alone can see and hear it!</w:t>
      </w:r>
    </w:p>
    <w:p w14:paraId="108A0860">
      <w:pPr>
        <w:pStyle w:val="9"/>
        <w:spacing w:before="66"/>
        <w:ind w:left="0"/>
        <w:jc w:val="left"/>
        <w:rPr>
          <w:rFonts w:hint="eastAsia"/>
        </w:rPr>
      </w:pPr>
      <w:r>
        <w:rPr>
          <w:rFonts w:hint="eastAsia"/>
        </w:rPr>
        <w:t>考虑到这两节经文的性质，任何人竟能在这里发现一个“秘密的”末世事件，专门只关乎圣徒，只有他们能看见和听见，这确实是奇妙的！</w:t>
      </w:r>
    </w:p>
    <w:p w14:paraId="28DC0C79">
      <w:pPr>
        <w:pStyle w:val="9"/>
        <w:spacing w:before="66"/>
        <w:ind w:left="0"/>
        <w:jc w:val="left"/>
        <w:rPr>
          <w:rFonts w:hint="eastAsia"/>
        </w:rPr>
      </w:pPr>
    </w:p>
    <w:p w14:paraId="28F2AC38">
      <w:pPr>
        <w:pStyle w:val="9"/>
        <w:spacing w:before="66"/>
        <w:ind w:left="0"/>
        <w:jc w:val="left"/>
        <w:rPr>
          <w:rFonts w:hint="eastAsia"/>
        </w:rPr>
      </w:pPr>
      <w:r>
        <w:rPr>
          <w:rFonts w:hint="eastAsia"/>
        </w:rPr>
        <w:t>Quite to the contrary, the actual data cry out, over and again, that this is a hugely public event, precisely because it devolves, not simply upon the Church, but upon the whole created cosmos.</w:t>
      </w:r>
    </w:p>
    <w:p w14:paraId="03548860">
      <w:pPr>
        <w:pStyle w:val="9"/>
        <w:spacing w:before="66"/>
        <w:ind w:left="0"/>
        <w:jc w:val="left"/>
        <w:rPr>
          <w:rFonts w:hint="eastAsia"/>
        </w:rPr>
      </w:pPr>
      <w:r>
        <w:rPr>
          <w:rFonts w:hint="eastAsia"/>
        </w:rPr>
        <w:t>恰恰相反，实际的数据一再地呼喊，这是一个极其公开的事件，正是因为它不仅关乎教会，也关乎整个受造的宇宙。</w:t>
      </w:r>
    </w:p>
    <w:p w14:paraId="7C44C619">
      <w:pPr>
        <w:pStyle w:val="9"/>
        <w:spacing w:before="66"/>
        <w:ind w:left="0"/>
        <w:jc w:val="left"/>
        <w:rPr>
          <w:rFonts w:hint="eastAsia"/>
        </w:rPr>
      </w:pPr>
    </w:p>
    <w:p w14:paraId="72342662">
      <w:pPr>
        <w:pStyle w:val="9"/>
        <w:spacing w:before="66"/>
        <w:ind w:left="0"/>
        <w:jc w:val="left"/>
        <w:rPr>
          <w:rFonts w:hint="eastAsia"/>
        </w:rPr>
      </w:pPr>
      <w:r>
        <w:rPr>
          <w:rFonts w:hint="eastAsia"/>
        </w:rPr>
        <w:t>Just as every eye will see, so too every ear will hear: Christ’s shout, the archangel’s voice, and the final blast of the trumpet of God (Mt. 26:64, John 5:28, Phil. 2:9-11, Rev. 1:7).</w:t>
      </w:r>
    </w:p>
    <w:p w14:paraId="2E7E8D8B">
      <w:pPr>
        <w:pStyle w:val="9"/>
        <w:spacing w:before="66"/>
        <w:ind w:left="0"/>
        <w:jc w:val="left"/>
        <w:rPr>
          <w:rFonts w:hint="eastAsia"/>
        </w:rPr>
      </w:pPr>
      <w:r>
        <w:rPr>
          <w:rFonts w:hint="eastAsia"/>
        </w:rPr>
        <w:t>正如万目都要看见，万耳也都要听见：基督的呼喊，天使长的声音，以及上帝号筒的最后吹响（太26:64，约5:28，腓2:9-11，启1:7）。</w:t>
      </w:r>
    </w:p>
    <w:p w14:paraId="5661EFE6">
      <w:pPr>
        <w:pStyle w:val="9"/>
        <w:spacing w:before="66"/>
        <w:ind w:left="0"/>
        <w:jc w:val="left"/>
        <w:rPr>
          <w:rFonts w:hint="eastAsia"/>
        </w:rPr>
      </w:pPr>
    </w:p>
    <w:p w14:paraId="752210E6">
      <w:pPr>
        <w:pStyle w:val="9"/>
        <w:spacing w:before="66"/>
        <w:ind w:left="0"/>
        <w:jc w:val="left"/>
        <w:rPr>
          <w:rFonts w:hint="eastAsia"/>
        </w:rPr>
      </w:pPr>
      <w:r>
        <w:rPr>
          <w:rFonts w:hint="eastAsia"/>
        </w:rPr>
        <w:t>In verse 16b, Paul reiterates the basic message of verse 15: When the Lord returns, the dead in Christ will rise first.</w:t>
      </w:r>
    </w:p>
    <w:p w14:paraId="3C43E1AF">
      <w:pPr>
        <w:pStyle w:val="9"/>
        <w:spacing w:before="66"/>
        <w:ind w:left="0"/>
        <w:jc w:val="left"/>
        <w:rPr>
          <w:rFonts w:hint="eastAsia"/>
        </w:rPr>
      </w:pPr>
      <w:r>
        <w:rPr>
          <w:rFonts w:hint="eastAsia"/>
        </w:rPr>
        <w:t>在第16节下半，保罗重申了第15节的基本信息：当主再来时，在基督里死了的人必先复活。</w:t>
      </w:r>
    </w:p>
    <w:p w14:paraId="015F605A">
      <w:pPr>
        <w:pStyle w:val="9"/>
        <w:spacing w:before="66"/>
        <w:ind w:left="0"/>
        <w:jc w:val="left"/>
        <w:rPr>
          <w:rFonts w:hint="eastAsia"/>
        </w:rPr>
      </w:pPr>
    </w:p>
    <w:p w14:paraId="5FF7029E">
      <w:pPr>
        <w:pStyle w:val="9"/>
        <w:spacing w:before="66"/>
        <w:ind w:left="0"/>
        <w:jc w:val="left"/>
        <w:rPr>
          <w:rFonts w:hint="eastAsia"/>
        </w:rPr>
      </w:pPr>
      <w:r>
        <w:rPr>
          <w:rFonts w:hint="eastAsia"/>
        </w:rPr>
        <w:t>Then, in verse 17, he explains what will happen after that, so that the reunion of separated loved ones may be accomplished once and for all.</w:t>
      </w:r>
    </w:p>
    <w:p w14:paraId="2DC2B915">
      <w:pPr>
        <w:pStyle w:val="9"/>
        <w:spacing w:before="66"/>
        <w:ind w:left="0"/>
        <w:jc w:val="left"/>
        <w:rPr>
          <w:rFonts w:hint="eastAsia"/>
        </w:rPr>
      </w:pPr>
      <w:r>
        <w:rPr>
          <w:rFonts w:hint="eastAsia"/>
        </w:rPr>
        <w:t>然后，在第17节，他解释了之后会发生什么，好叫分离的亲人得以一劳永逸地重聚。</w:t>
      </w:r>
    </w:p>
    <w:p w14:paraId="27A0B556">
      <w:pPr>
        <w:pStyle w:val="9"/>
        <w:spacing w:before="66"/>
        <w:ind w:left="0"/>
        <w:jc w:val="left"/>
        <w:rPr>
          <w:rFonts w:hint="eastAsia"/>
        </w:rPr>
      </w:pPr>
    </w:p>
    <w:p w14:paraId="4ECAF10C">
      <w:pPr>
        <w:pStyle w:val="9"/>
        <w:spacing w:before="66"/>
        <w:ind w:left="0"/>
        <w:jc w:val="left"/>
        <w:rPr>
          <w:rFonts w:hint="eastAsia"/>
        </w:rPr>
      </w:pPr>
      <w:r>
        <w:rPr>
          <w:rFonts w:hint="eastAsia"/>
        </w:rPr>
        <w:t>To understand his thought here, we must read it with 1 Cor. 15:50ff in mind.</w:t>
      </w:r>
    </w:p>
    <w:p w14:paraId="029B58BA">
      <w:pPr>
        <w:pStyle w:val="9"/>
        <w:spacing w:before="66"/>
        <w:ind w:left="0"/>
        <w:jc w:val="left"/>
        <w:rPr>
          <w:rFonts w:hint="eastAsia"/>
        </w:rPr>
      </w:pPr>
      <w:r>
        <w:rPr>
          <w:rFonts w:hint="eastAsia"/>
        </w:rPr>
        <w:t>要理解祂在这里的思想，我们必须带着哥林多前书15:50及以下的经文来读。</w:t>
      </w:r>
    </w:p>
    <w:p w14:paraId="30B84935">
      <w:pPr>
        <w:pStyle w:val="9"/>
        <w:spacing w:before="66"/>
        <w:ind w:left="0"/>
        <w:jc w:val="left"/>
        <w:rPr>
          <w:rFonts w:hint="eastAsia"/>
        </w:rPr>
      </w:pPr>
    </w:p>
    <w:p w14:paraId="711AAD5C">
      <w:pPr>
        <w:pStyle w:val="9"/>
        <w:spacing w:before="66"/>
        <w:ind w:left="0"/>
        <w:jc w:val="left"/>
        <w:rPr>
          <w:rFonts w:hint="eastAsia"/>
        </w:rPr>
      </w:pPr>
      <w:r>
        <w:rPr>
          <w:rFonts w:hint="eastAsia"/>
        </w:rPr>
        <w:t>When we do, a very clear picture emerges: Immediately following the resurrection of the dead, the living saints (“we who are alive and remain”) will be changed, glorified (1 Cor. 15:51-52).</w:t>
      </w:r>
    </w:p>
    <w:p w14:paraId="06F9E1B3">
      <w:pPr>
        <w:pStyle w:val="9"/>
        <w:spacing w:before="66"/>
        <w:ind w:left="0"/>
        <w:jc w:val="left"/>
        <w:rPr>
          <w:rFonts w:hint="eastAsia"/>
        </w:rPr>
      </w:pPr>
      <w:r>
        <w:rPr>
          <w:rFonts w:hint="eastAsia"/>
        </w:rPr>
        <w:t>当我们这样做时，一幅非常清晰的图画就浮现出来：在死人复活之后，活着的圣徒（“我们这活着还存留的人”）将被改变，得荣耀（林前15:51-52）。</w:t>
      </w:r>
    </w:p>
    <w:p w14:paraId="14DC9013">
      <w:pPr>
        <w:pStyle w:val="9"/>
        <w:spacing w:before="66"/>
        <w:ind w:left="0"/>
        <w:jc w:val="left"/>
        <w:rPr>
          <w:rFonts w:hint="eastAsia"/>
        </w:rPr>
      </w:pPr>
    </w:p>
    <w:p w14:paraId="1221BF86">
      <w:pPr>
        <w:pStyle w:val="9"/>
        <w:spacing w:before="66"/>
        <w:ind w:left="0"/>
        <w:jc w:val="left"/>
        <w:rPr>
          <w:rFonts w:hint="eastAsia"/>
        </w:rPr>
      </w:pPr>
      <w:r>
        <w:rPr>
          <w:rFonts w:hint="eastAsia"/>
        </w:rPr>
        <w:t>Then the entire company “… will be caught up in the clouds to meet the Lord in the air.”</w:t>
      </w:r>
    </w:p>
    <w:p w14:paraId="74FE8CFD">
      <w:pPr>
        <w:pStyle w:val="9"/>
        <w:spacing w:before="66"/>
        <w:ind w:left="0"/>
        <w:jc w:val="left"/>
        <w:rPr>
          <w:rFonts w:hint="eastAsia"/>
        </w:rPr>
      </w:pPr>
      <w:r>
        <w:rPr>
          <w:rFonts w:hint="eastAsia"/>
        </w:rPr>
        <w:t>然后全会众“……要在云中被提到空中，与主相遇。”</w:t>
      </w:r>
    </w:p>
    <w:p w14:paraId="1D9BB34F">
      <w:pPr>
        <w:pStyle w:val="9"/>
        <w:spacing w:before="66"/>
        <w:ind w:left="0"/>
        <w:jc w:val="left"/>
        <w:rPr>
          <w:rFonts w:hint="eastAsia"/>
        </w:rPr>
      </w:pPr>
    </w:p>
    <w:p w14:paraId="16FEDD76">
      <w:pPr>
        <w:pStyle w:val="9"/>
        <w:spacing w:before="66"/>
        <w:ind w:left="0"/>
        <w:jc w:val="left"/>
        <w:rPr>
          <w:rFonts w:hint="eastAsia"/>
        </w:rPr>
      </w:pPr>
      <w:r>
        <w:rPr>
          <w:rFonts w:hint="eastAsia"/>
        </w:rPr>
        <w:t>The Greek word for “caught up” (arpazo) is perhaps best translated to seize.</w:t>
      </w:r>
    </w:p>
    <w:p w14:paraId="4A632F42">
      <w:pPr>
        <w:pStyle w:val="9"/>
        <w:spacing w:before="66"/>
        <w:ind w:left="0"/>
        <w:jc w:val="left"/>
        <w:rPr>
          <w:rFonts w:hint="eastAsia"/>
        </w:rPr>
      </w:pPr>
      <w:r>
        <w:rPr>
          <w:rFonts w:hint="eastAsia"/>
        </w:rPr>
        <w:t>希腊词“被提”（arpazo）或许最好翻译为抓住。</w:t>
      </w:r>
    </w:p>
    <w:p w14:paraId="2DC54437">
      <w:pPr>
        <w:pStyle w:val="9"/>
        <w:spacing w:before="66"/>
        <w:ind w:left="0"/>
        <w:jc w:val="left"/>
        <w:rPr>
          <w:rFonts w:hint="eastAsia"/>
        </w:rPr>
      </w:pPr>
    </w:p>
    <w:p w14:paraId="043521C5">
      <w:pPr>
        <w:pStyle w:val="9"/>
        <w:spacing w:before="66"/>
        <w:ind w:left="0"/>
        <w:jc w:val="left"/>
        <w:rPr>
          <w:rFonts w:hint="eastAsia"/>
        </w:rPr>
      </w:pPr>
      <w:r>
        <w:rPr>
          <w:rFonts w:hint="eastAsia"/>
        </w:rPr>
        <w:t>It connotes taking (or being taken) suddenly and with great force, whether urgently to obtain (Mt. 11:12, NIV), maliciously to abduct (Mt. 13:19, John 6:15, 10:12), or benevolently to help or rescue (Acts 8:39, 2 Cor. 12:2, Jude 23).</w:t>
      </w:r>
    </w:p>
    <w:p w14:paraId="5FC9B407">
      <w:pPr>
        <w:pStyle w:val="9"/>
        <w:spacing w:before="66"/>
        <w:ind w:left="0"/>
        <w:jc w:val="left"/>
        <w:rPr>
          <w:rFonts w:hint="eastAsia"/>
        </w:rPr>
      </w:pPr>
      <w:r>
        <w:rPr>
          <w:rFonts w:hint="eastAsia"/>
        </w:rPr>
        <w:t>它含有突然并用力地拿（或被拿）的意思，无论是为紧急地获得（太11:12，新国际版），恶意地绑架（太13:19，约6:15, 10:12），还是仁慈地帮助或拯救（徒8:39，林后12:2，犹23）。</w:t>
      </w:r>
    </w:p>
    <w:p w14:paraId="05458790">
      <w:pPr>
        <w:pStyle w:val="9"/>
        <w:spacing w:before="66"/>
        <w:ind w:left="0"/>
        <w:jc w:val="left"/>
        <w:rPr>
          <w:rFonts w:hint="eastAsia"/>
        </w:rPr>
      </w:pPr>
    </w:p>
    <w:p w14:paraId="0B240637">
      <w:pPr>
        <w:pStyle w:val="9"/>
        <w:spacing w:before="66"/>
        <w:ind w:left="0"/>
        <w:jc w:val="left"/>
        <w:rPr>
          <w:rFonts w:hint="eastAsia"/>
        </w:rPr>
      </w:pPr>
      <w:r>
        <w:rPr>
          <w:rFonts w:hint="eastAsia"/>
        </w:rPr>
        <w:t>Here, it is used in the latter sense, since the Lord—with great zeal, and power to match—swiftly gathers his Bride to himself, even as he rescues her from fiery judgment descending upon the earth below (2 Peter 3:8-13).</w:t>
      </w:r>
    </w:p>
    <w:p w14:paraId="776AB14B">
      <w:pPr>
        <w:pStyle w:val="9"/>
        <w:spacing w:before="66"/>
        <w:ind w:left="0"/>
        <w:jc w:val="left"/>
        <w:rPr>
          <w:rFonts w:hint="eastAsia"/>
        </w:rPr>
      </w:pPr>
      <w:r>
        <w:rPr>
          <w:rFonts w:hint="eastAsia"/>
        </w:rPr>
        <w:t>在这里，它是以后一种意义使用的，因为主——带着极大的热心，以及与之相称的能力——迅速地将祂的新妇聚集到自己这里来，同时又将她从降在下面地上的烈火审判中拯救出来（彼得后书3:8-13）。</w:t>
      </w:r>
    </w:p>
    <w:p w14:paraId="11FA507A">
      <w:pPr>
        <w:pStyle w:val="9"/>
        <w:spacing w:before="66"/>
        <w:ind w:left="0"/>
        <w:jc w:val="left"/>
        <w:rPr>
          <w:rFonts w:hint="eastAsia"/>
        </w:rPr>
      </w:pPr>
    </w:p>
    <w:p w14:paraId="61722F3E">
      <w:pPr>
        <w:pStyle w:val="9"/>
        <w:spacing w:before="66"/>
        <w:ind w:left="0"/>
        <w:jc w:val="left"/>
        <w:rPr>
          <w:rFonts w:hint="eastAsia"/>
        </w:rPr>
      </w:pPr>
      <w:r>
        <w:rPr>
          <w:rFonts w:hint="eastAsia"/>
        </w:rPr>
        <w:t>How exactly will Christ catch up his Church?</w:t>
      </w:r>
    </w:p>
    <w:p w14:paraId="1745D331">
      <w:pPr>
        <w:pStyle w:val="9"/>
        <w:spacing w:before="66"/>
        <w:ind w:left="0"/>
        <w:jc w:val="left"/>
        <w:rPr>
          <w:rFonts w:hint="eastAsia"/>
        </w:rPr>
      </w:pPr>
      <w:r>
        <w:rPr>
          <w:rFonts w:hint="eastAsia"/>
        </w:rPr>
        <w:t>基督究竟将如何提接祂的教会？</w:t>
      </w:r>
    </w:p>
    <w:p w14:paraId="0959500A">
      <w:pPr>
        <w:pStyle w:val="9"/>
        <w:spacing w:before="66"/>
        <w:ind w:left="0"/>
        <w:jc w:val="left"/>
        <w:rPr>
          <w:rFonts w:hint="eastAsia"/>
        </w:rPr>
      </w:pPr>
    </w:p>
    <w:p w14:paraId="28D1B6E3">
      <w:pPr>
        <w:pStyle w:val="9"/>
        <w:spacing w:before="66"/>
        <w:ind w:left="0"/>
        <w:jc w:val="left"/>
        <w:rPr>
          <w:rFonts w:hint="eastAsia"/>
        </w:rPr>
      </w:pPr>
      <w:r>
        <w:rPr>
          <w:rFonts w:hint="eastAsia"/>
        </w:rPr>
        <w:t>As we have seen, it will be at the hands of the holy angels (Mt. 24:31, Mark 13:27, Rev. 14:14-16).</w:t>
      </w:r>
    </w:p>
    <w:p w14:paraId="20DB5652">
      <w:pPr>
        <w:pStyle w:val="9"/>
        <w:spacing w:before="66"/>
        <w:ind w:left="0"/>
        <w:jc w:val="left"/>
        <w:rPr>
          <w:rFonts w:hint="eastAsia"/>
        </w:rPr>
      </w:pPr>
      <w:r>
        <w:rPr>
          <w:rFonts w:hint="eastAsia"/>
        </w:rPr>
        <w:t>正如我们所见，这将由圣天使的手来完成（太24:31，可13:27，启14:14-16）。</w:t>
      </w:r>
    </w:p>
    <w:p w14:paraId="2B5D8783">
      <w:pPr>
        <w:pStyle w:val="9"/>
        <w:spacing w:before="66"/>
        <w:ind w:left="0"/>
        <w:jc w:val="left"/>
        <w:rPr>
          <w:rFonts w:hint="eastAsia"/>
        </w:rPr>
      </w:pPr>
    </w:p>
    <w:p w14:paraId="3F758C28">
      <w:pPr>
        <w:pStyle w:val="9"/>
        <w:spacing w:before="66"/>
        <w:ind w:left="0"/>
        <w:jc w:val="left"/>
        <w:rPr>
          <w:rFonts w:hint="eastAsia"/>
        </w:rPr>
      </w:pPr>
      <w:r>
        <w:rPr>
          <w:rFonts w:hint="eastAsia"/>
        </w:rPr>
        <w:t>Carrying the saints into (and through?) the spiritual “clouds” by which God and Christ will visibly manifest their presence, power, and glory, they will bring them to meet the Lord in the air (Luke 9:34, Acts 1:9).</w:t>
      </w:r>
    </w:p>
    <w:p w14:paraId="6235590D">
      <w:pPr>
        <w:pStyle w:val="9"/>
        <w:spacing w:before="66"/>
        <w:ind w:left="0"/>
        <w:jc w:val="left"/>
        <w:rPr>
          <w:rFonts w:hint="eastAsia"/>
        </w:rPr>
      </w:pPr>
      <w:r>
        <w:rPr>
          <w:rFonts w:hint="eastAsia"/>
        </w:rPr>
        <w:t>他们将圣徒们带入（并穿过？）属灵的“云彩”，上帝和基督将借此可见地彰显祂们的同在、能力和荣耀，并将他们带到空中与主相遇（路加福音9:34，使徒行传1:9）。</w:t>
      </w:r>
    </w:p>
    <w:p w14:paraId="7BB95317">
      <w:pPr>
        <w:pStyle w:val="9"/>
        <w:spacing w:before="66"/>
        <w:ind w:left="0"/>
        <w:jc w:val="left"/>
        <w:rPr>
          <w:rFonts w:hint="eastAsia"/>
        </w:rPr>
      </w:pPr>
    </w:p>
    <w:p w14:paraId="22E7FB97">
      <w:pPr>
        <w:pStyle w:val="9"/>
        <w:spacing w:before="66"/>
        <w:ind w:left="0"/>
        <w:jc w:val="left"/>
        <w:rPr>
          <w:rFonts w:hint="eastAsia"/>
        </w:rPr>
      </w:pPr>
      <w:r>
        <w:rPr>
          <w:rFonts w:hint="eastAsia"/>
        </w:rPr>
        <w:t>This final detail is important, signaling as it does that when Christ comes again he will draw very near to the earth, which, according to Scripture, is the center of the cosmos, the apple of God’s eye, and the home of Christ himself in the eternal World to Come (Mt. 17:5, 24:30, Luke 9:34-5, Luke 21:27, Rev. 21:1f).</w:t>
      </w:r>
    </w:p>
    <w:p w14:paraId="079C8C08">
      <w:pPr>
        <w:pStyle w:val="9"/>
        <w:spacing w:before="66"/>
        <w:ind w:left="0"/>
        <w:jc w:val="left"/>
        <w:rPr>
          <w:rFonts w:hint="eastAsia"/>
        </w:rPr>
      </w:pPr>
      <w:r>
        <w:rPr>
          <w:rFonts w:hint="eastAsia"/>
        </w:rPr>
        <w:t>这个最后的细节很重要，它表明当基督再来时，祂将非常靠近地球，根据圣经，地球是宇宙的中心，是上帝眼中的瞳人，也是基督祂自己在将来的永恒世界中的家（太17:5, 24:30，路9:34-5，路21:27，启21:1及以下）。</w:t>
      </w:r>
    </w:p>
    <w:p w14:paraId="0F5B0A89">
      <w:pPr>
        <w:pStyle w:val="9"/>
        <w:spacing w:before="66"/>
        <w:ind w:left="0"/>
        <w:jc w:val="left"/>
        <w:rPr>
          <w:rFonts w:hint="eastAsia"/>
        </w:rPr>
      </w:pPr>
    </w:p>
    <w:p w14:paraId="7C7A2253">
      <w:pPr>
        <w:pStyle w:val="9"/>
        <w:spacing w:before="66"/>
        <w:ind w:left="0"/>
        <w:jc w:val="left"/>
        <w:rPr>
          <w:rFonts w:hint="eastAsia"/>
        </w:rPr>
      </w:pPr>
      <w:r>
        <w:rPr>
          <w:rFonts w:hint="eastAsia"/>
        </w:rPr>
        <w:t>Observe carefully that Paul says nothing at all about the Lord removing his Church to heaven.</w:t>
      </w:r>
    </w:p>
    <w:p w14:paraId="70AABFA4">
      <w:pPr>
        <w:pStyle w:val="9"/>
        <w:spacing w:before="66"/>
        <w:ind w:left="0"/>
        <w:jc w:val="left"/>
        <w:rPr>
          <w:rFonts w:hint="eastAsia"/>
        </w:rPr>
      </w:pPr>
      <w:r>
        <w:rPr>
          <w:rFonts w:hint="eastAsia"/>
        </w:rPr>
        <w:t>请仔细观察，保罗完全没有提到主将祂的教会提到天上。</w:t>
      </w:r>
    </w:p>
    <w:p w14:paraId="18C950A5">
      <w:pPr>
        <w:pStyle w:val="9"/>
        <w:spacing w:before="66"/>
        <w:ind w:left="0"/>
        <w:jc w:val="left"/>
        <w:rPr>
          <w:rFonts w:hint="eastAsia"/>
        </w:rPr>
      </w:pPr>
    </w:p>
    <w:p w14:paraId="6334CDAD">
      <w:pPr>
        <w:pStyle w:val="9"/>
        <w:spacing w:before="66"/>
        <w:ind w:left="0"/>
        <w:jc w:val="left"/>
        <w:rPr>
          <w:rFonts w:hint="eastAsia"/>
        </w:rPr>
      </w:pPr>
      <w:r>
        <w:rPr>
          <w:rFonts w:hint="eastAsia"/>
        </w:rPr>
        <w:t>The apostle leaves her—and us—in the air.</w:t>
      </w:r>
    </w:p>
    <w:p w14:paraId="08CA3673">
      <w:pPr>
        <w:pStyle w:val="9"/>
        <w:spacing w:before="66"/>
        <w:ind w:left="0"/>
        <w:jc w:val="left"/>
        <w:rPr>
          <w:rFonts w:hint="eastAsia"/>
        </w:rPr>
      </w:pPr>
      <w:r>
        <w:rPr>
          <w:rFonts w:hint="eastAsia"/>
        </w:rPr>
        <w:t>使徒将她——以及我们——留在空中。</w:t>
      </w:r>
    </w:p>
    <w:p w14:paraId="760DDD03">
      <w:pPr>
        <w:pStyle w:val="9"/>
        <w:spacing w:before="66"/>
        <w:ind w:left="0"/>
        <w:jc w:val="left"/>
        <w:rPr>
          <w:rFonts w:hint="eastAsia"/>
        </w:rPr>
      </w:pPr>
    </w:p>
    <w:p w14:paraId="2A296822">
      <w:pPr>
        <w:pStyle w:val="9"/>
        <w:spacing w:before="66"/>
        <w:ind w:left="0"/>
        <w:jc w:val="left"/>
        <w:rPr>
          <w:rFonts w:hint="eastAsia"/>
        </w:rPr>
      </w:pPr>
      <w:r>
        <w:rPr>
          <w:rFonts w:hint="eastAsia"/>
        </w:rPr>
        <w:t>What, then, will happen after this happy reunion?</w:t>
      </w:r>
    </w:p>
    <w:p w14:paraId="055B3BFA">
      <w:pPr>
        <w:pStyle w:val="9"/>
        <w:spacing w:before="66"/>
        <w:ind w:left="0"/>
        <w:jc w:val="left"/>
        <w:rPr>
          <w:rFonts w:hint="eastAsia"/>
        </w:rPr>
      </w:pPr>
      <w:r>
        <w:rPr>
          <w:rFonts w:hint="eastAsia"/>
        </w:rPr>
        <w:t>那么，在这快乐的重聚之后会发生什么？</w:t>
      </w:r>
    </w:p>
    <w:p w14:paraId="76CEF1A0">
      <w:pPr>
        <w:pStyle w:val="9"/>
        <w:spacing w:before="66"/>
        <w:ind w:left="0"/>
        <w:jc w:val="left"/>
        <w:rPr>
          <w:rFonts w:hint="eastAsia"/>
        </w:rPr>
      </w:pPr>
    </w:p>
    <w:p w14:paraId="316DFD2D">
      <w:pPr>
        <w:pStyle w:val="9"/>
        <w:spacing w:before="66"/>
        <w:ind w:left="0"/>
        <w:jc w:val="left"/>
        <w:rPr>
          <w:rFonts w:hint="eastAsia"/>
        </w:rPr>
      </w:pPr>
      <w:r>
        <w:rPr>
          <w:rFonts w:hint="eastAsia"/>
        </w:rPr>
        <w:t>Here, Paul does not say.</w:t>
      </w:r>
    </w:p>
    <w:p w14:paraId="26C3DF38">
      <w:pPr>
        <w:pStyle w:val="9"/>
        <w:spacing w:before="66"/>
        <w:ind w:left="0"/>
        <w:jc w:val="left"/>
        <w:rPr>
          <w:rFonts w:hint="eastAsia"/>
        </w:rPr>
      </w:pPr>
      <w:r>
        <w:rPr>
          <w:rFonts w:hint="eastAsia"/>
        </w:rPr>
        <w:t>在这里，保罗没有说。</w:t>
      </w:r>
    </w:p>
    <w:p w14:paraId="4FAB7083">
      <w:pPr>
        <w:pStyle w:val="9"/>
        <w:spacing w:before="66"/>
        <w:ind w:left="0"/>
        <w:jc w:val="left"/>
        <w:rPr>
          <w:rFonts w:hint="eastAsia"/>
        </w:rPr>
      </w:pPr>
    </w:p>
    <w:p w14:paraId="4B90F2E5">
      <w:pPr>
        <w:pStyle w:val="9"/>
        <w:spacing w:before="66"/>
        <w:ind w:left="0"/>
        <w:jc w:val="left"/>
        <w:rPr>
          <w:rFonts w:hint="eastAsia"/>
        </w:rPr>
      </w:pPr>
      <w:r>
        <w:rPr>
          <w:rFonts w:hint="eastAsia"/>
        </w:rPr>
        <w:t>However, what he does say suggests an interpretation far superior to the dispensational.</w:t>
      </w:r>
    </w:p>
    <w:p w14:paraId="73A483B4">
      <w:pPr>
        <w:pStyle w:val="9"/>
        <w:spacing w:before="66"/>
        <w:ind w:left="0"/>
        <w:jc w:val="left"/>
        <w:rPr>
          <w:rFonts w:hint="eastAsia"/>
        </w:rPr>
      </w:pPr>
      <w:r>
        <w:rPr>
          <w:rFonts w:hint="eastAsia"/>
        </w:rPr>
        <w:t>然而，祂所说的却暗示了一个远优于时代论的解释。</w:t>
      </w:r>
    </w:p>
    <w:p w14:paraId="34110012">
      <w:pPr>
        <w:pStyle w:val="9"/>
        <w:spacing w:before="66"/>
        <w:ind w:left="0"/>
        <w:jc w:val="left"/>
        <w:rPr>
          <w:rFonts w:hint="eastAsia"/>
        </w:rPr>
      </w:pPr>
    </w:p>
    <w:p w14:paraId="4780817B">
      <w:pPr>
        <w:pStyle w:val="9"/>
        <w:spacing w:before="66"/>
        <w:ind w:left="0"/>
        <w:jc w:val="left"/>
        <w:rPr>
          <w:rFonts w:hint="eastAsia"/>
        </w:rPr>
      </w:pPr>
      <w:r>
        <w:rPr>
          <w:rFonts w:hint="eastAsia"/>
        </w:rPr>
        <w:t>It is this: “And thus we shall always be with the Lord.”</w:t>
      </w:r>
    </w:p>
    <w:p w14:paraId="55F73354">
      <w:pPr>
        <w:pStyle w:val="9"/>
        <w:spacing w:before="66"/>
        <w:ind w:left="0"/>
        <w:jc w:val="left"/>
        <w:rPr>
          <w:rFonts w:hint="eastAsia"/>
        </w:rPr>
      </w:pPr>
      <w:r>
        <w:rPr>
          <w:rFonts w:hint="eastAsia"/>
        </w:rPr>
        <w:t>就是这样：“这样，我们就要和主永远同在。”</w:t>
      </w:r>
    </w:p>
    <w:p w14:paraId="42D7B461">
      <w:pPr>
        <w:pStyle w:val="9"/>
        <w:spacing w:before="66"/>
        <w:ind w:left="0"/>
        <w:jc w:val="left"/>
        <w:rPr>
          <w:rFonts w:hint="eastAsia"/>
        </w:rPr>
      </w:pPr>
    </w:p>
    <w:p w14:paraId="5C542A16">
      <w:pPr>
        <w:pStyle w:val="9"/>
        <w:spacing w:before="66"/>
        <w:ind w:left="0"/>
        <w:jc w:val="left"/>
        <w:rPr>
          <w:rFonts w:hint="eastAsia"/>
        </w:rPr>
      </w:pPr>
      <w:r>
        <w:rPr>
          <w:rFonts w:hint="eastAsia"/>
        </w:rPr>
        <w:t>Note the finality—the ultimacy—of that phrase.</w:t>
      </w:r>
    </w:p>
    <w:p w14:paraId="226F4CC3">
      <w:pPr>
        <w:pStyle w:val="9"/>
        <w:spacing w:before="66"/>
        <w:ind w:left="0"/>
        <w:jc w:val="left"/>
        <w:rPr>
          <w:rFonts w:hint="eastAsia"/>
        </w:rPr>
      </w:pPr>
      <w:r>
        <w:rPr>
          <w:rFonts w:hint="eastAsia"/>
        </w:rPr>
        <w:t>请注意那个短语的终极性——最终性。</w:t>
      </w:r>
    </w:p>
    <w:p w14:paraId="071AB4D3">
      <w:pPr>
        <w:pStyle w:val="9"/>
        <w:spacing w:before="66"/>
        <w:ind w:left="0"/>
        <w:jc w:val="left"/>
        <w:rPr>
          <w:rFonts w:hint="eastAsia"/>
        </w:rPr>
      </w:pPr>
    </w:p>
    <w:p w14:paraId="79E7FD6F">
      <w:pPr>
        <w:pStyle w:val="9"/>
        <w:spacing w:before="66"/>
        <w:ind w:left="0"/>
        <w:jc w:val="left"/>
        <w:rPr>
          <w:rFonts w:hint="eastAsia"/>
        </w:rPr>
      </w:pPr>
      <w:r>
        <w:rPr>
          <w:rFonts w:hint="eastAsia"/>
        </w:rPr>
        <w:t>When the Lord returns, we shall always be together: together with him, and together with one other!</w:t>
      </w:r>
    </w:p>
    <w:p w14:paraId="01F6A247">
      <w:pPr>
        <w:pStyle w:val="9"/>
        <w:spacing w:before="66"/>
        <w:ind w:left="0"/>
        <w:jc w:val="left"/>
        <w:rPr>
          <w:rFonts w:hint="eastAsia"/>
        </w:rPr>
      </w:pPr>
      <w:r>
        <w:rPr>
          <w:rFonts w:hint="eastAsia"/>
        </w:rPr>
        <w:t>当主再来时，我们将永远在一起：与祂在一起，也彼此在一起！</w:t>
      </w:r>
    </w:p>
    <w:p w14:paraId="4AD7C949">
      <w:pPr>
        <w:pStyle w:val="9"/>
        <w:spacing w:before="66"/>
        <w:ind w:left="0"/>
        <w:jc w:val="left"/>
        <w:rPr>
          <w:rFonts w:hint="eastAsia"/>
        </w:rPr>
      </w:pPr>
    </w:p>
    <w:p w14:paraId="52E71AE6">
      <w:pPr>
        <w:pStyle w:val="9"/>
        <w:spacing w:before="66"/>
        <w:ind w:left="0"/>
        <w:jc w:val="left"/>
        <w:rPr>
          <w:rFonts w:hint="eastAsia"/>
        </w:rPr>
      </w:pPr>
      <w:r>
        <w:rPr>
          <w:rFonts w:hint="eastAsia"/>
        </w:rPr>
        <w:t>Thus, Paul’s exact wording strongly suggests that he has in mind the ultimate goal of Salvation History: life together with Christ in the new heavens and the new earth.</w:t>
      </w:r>
    </w:p>
    <w:p w14:paraId="5F4E18EE">
      <w:pPr>
        <w:pStyle w:val="9"/>
        <w:spacing w:before="66"/>
        <w:ind w:left="0"/>
        <w:jc w:val="left"/>
        <w:rPr>
          <w:rFonts w:hint="eastAsia"/>
        </w:rPr>
      </w:pPr>
      <w:r>
        <w:rPr>
          <w:rFonts w:hint="eastAsia"/>
        </w:rPr>
        <w:t>因此，保罗确切的措辞强烈暗示，他心中所想的是救赎历史的最终目标：在新天新地中与基督一同生活。</w:t>
      </w:r>
    </w:p>
    <w:p w14:paraId="5A09784E">
      <w:pPr>
        <w:pStyle w:val="9"/>
        <w:spacing w:before="66"/>
        <w:ind w:left="0"/>
        <w:jc w:val="left"/>
        <w:rPr>
          <w:rFonts w:hint="eastAsia"/>
        </w:rPr>
      </w:pPr>
    </w:p>
    <w:p w14:paraId="01A9B80F">
      <w:pPr>
        <w:pStyle w:val="9"/>
        <w:spacing w:before="66"/>
        <w:ind w:left="0"/>
        <w:jc w:val="left"/>
        <w:rPr>
          <w:rFonts w:hint="eastAsia"/>
        </w:rPr>
      </w:pPr>
      <w:r>
        <w:rPr>
          <w:rFonts w:hint="eastAsia"/>
        </w:rPr>
        <w:t>Admittedly, he makes no explicit mention of this; of where the saints will ever be with the Lord.</w:t>
      </w:r>
    </w:p>
    <w:p w14:paraId="78C3C96D">
      <w:pPr>
        <w:pStyle w:val="9"/>
        <w:spacing w:before="66"/>
        <w:ind w:left="0"/>
        <w:jc w:val="left"/>
        <w:rPr>
          <w:rFonts w:hint="eastAsia"/>
        </w:rPr>
      </w:pPr>
      <w:r>
        <w:rPr>
          <w:rFonts w:hint="eastAsia"/>
        </w:rPr>
        <w:t>诚然，他没有明确地提及这一点；即圣徒们将永远与主在哪里。</w:t>
      </w:r>
    </w:p>
    <w:p w14:paraId="22713A36">
      <w:pPr>
        <w:pStyle w:val="9"/>
        <w:spacing w:before="66"/>
        <w:ind w:left="0"/>
        <w:jc w:val="left"/>
        <w:rPr>
          <w:rFonts w:hint="eastAsia"/>
        </w:rPr>
      </w:pPr>
    </w:p>
    <w:p w14:paraId="67374FC6">
      <w:pPr>
        <w:pStyle w:val="9"/>
        <w:spacing w:before="66"/>
        <w:ind w:left="0"/>
        <w:jc w:val="left"/>
        <w:rPr>
          <w:rFonts w:hint="eastAsia"/>
        </w:rPr>
      </w:pPr>
      <w:r>
        <w:rPr>
          <w:rFonts w:hint="eastAsia"/>
        </w:rPr>
        <w:t>But that is simply because his present focus is elsewhere, upon the reunion of separated loved ones at the Parousia.</w:t>
      </w:r>
    </w:p>
    <w:p w14:paraId="1712619E">
      <w:pPr>
        <w:pStyle w:val="9"/>
        <w:spacing w:before="66"/>
        <w:ind w:left="0"/>
        <w:jc w:val="left"/>
        <w:rPr>
          <w:rFonts w:hint="eastAsia"/>
        </w:rPr>
      </w:pPr>
      <w:r>
        <w:rPr>
          <w:rFonts w:hint="eastAsia"/>
        </w:rPr>
        <w:t>但这仅仅是因为他目前的焦点在别处，即在主临（Parousia）时分离亲人的重聚。</w:t>
      </w:r>
    </w:p>
    <w:p w14:paraId="7E79827C">
      <w:pPr>
        <w:pStyle w:val="9"/>
        <w:spacing w:before="66"/>
        <w:ind w:left="0"/>
        <w:jc w:val="left"/>
        <w:rPr>
          <w:rFonts w:hint="eastAsia"/>
        </w:rPr>
      </w:pPr>
    </w:p>
    <w:p w14:paraId="144B0012">
      <w:pPr>
        <w:pStyle w:val="9"/>
        <w:spacing w:before="66"/>
        <w:ind w:left="0"/>
        <w:jc w:val="left"/>
        <w:rPr>
          <w:rFonts w:hint="eastAsia"/>
        </w:rPr>
      </w:pPr>
      <w:r>
        <w:rPr>
          <w:rFonts w:hint="eastAsia"/>
        </w:rPr>
        <w:t>We have already seen, however, that in his other eschatological writings Paul unfailingly associates the Resurrection with the final renewal of all creation (Rom. 8:18-25, 1 Cor. 15, Phil. 3:20-21).</w:t>
      </w:r>
    </w:p>
    <w:p w14:paraId="573A39D3">
      <w:pPr>
        <w:pStyle w:val="9"/>
        <w:spacing w:before="66"/>
        <w:ind w:left="0"/>
        <w:jc w:val="left"/>
        <w:rPr>
          <w:rFonts w:hint="eastAsia"/>
        </w:rPr>
      </w:pPr>
      <w:r>
        <w:rPr>
          <w:rFonts w:hint="eastAsia"/>
        </w:rPr>
        <w:t>然而，我们已经看到，在祂其他的末世论著作中，保罗总是将复活与所有受造之物的最后更新联系在一起（罗8:18-25，林前15，腓3:20-21）。</w:t>
      </w:r>
    </w:p>
    <w:p w14:paraId="0C6B08A9">
      <w:pPr>
        <w:pStyle w:val="9"/>
        <w:spacing w:before="66"/>
        <w:ind w:left="0"/>
        <w:jc w:val="left"/>
        <w:rPr>
          <w:rFonts w:hint="eastAsia"/>
        </w:rPr>
      </w:pPr>
    </w:p>
    <w:p w14:paraId="56AF6661">
      <w:pPr>
        <w:pStyle w:val="9"/>
        <w:spacing w:before="66"/>
        <w:ind w:left="0"/>
        <w:jc w:val="left"/>
        <w:rPr>
          <w:rFonts w:hint="eastAsia"/>
        </w:rPr>
      </w:pPr>
      <w:r>
        <w:rPr>
          <w:rFonts w:hint="eastAsia"/>
        </w:rPr>
        <w:t>So then, his thought here is that a glorious reunion awaits all the saints, and immediately after that, a glorious life together in the World to Come!</w:t>
      </w:r>
    </w:p>
    <w:p w14:paraId="4C07A79E">
      <w:pPr>
        <w:pStyle w:val="9"/>
        <w:spacing w:before="66"/>
        <w:ind w:left="0"/>
        <w:jc w:val="left"/>
        <w:rPr>
          <w:rFonts w:hint="eastAsia"/>
        </w:rPr>
      </w:pPr>
      <w:r>
        <w:rPr>
          <w:rFonts w:hint="eastAsia"/>
        </w:rPr>
        <w:t>所以，祂在这里的思想是，一个荣耀的重聚等待着所有的圣徒，紧随其后的是在将来世界中荣耀的同活！</w:t>
      </w:r>
    </w:p>
    <w:p w14:paraId="663FB101">
      <w:pPr>
        <w:pStyle w:val="9"/>
        <w:spacing w:before="66"/>
        <w:ind w:left="0"/>
        <w:jc w:val="left"/>
        <w:rPr>
          <w:rFonts w:hint="eastAsia"/>
        </w:rPr>
      </w:pPr>
    </w:p>
    <w:p w14:paraId="3984366E">
      <w:pPr>
        <w:pStyle w:val="9"/>
        <w:spacing w:before="66"/>
        <w:ind w:left="0"/>
        <w:jc w:val="left"/>
        <w:rPr>
          <w:rFonts w:hint="eastAsia"/>
        </w:rPr>
      </w:pPr>
      <w:r>
        <w:rPr>
          <w:rFonts w:hint="eastAsia"/>
        </w:rPr>
        <w:t>In every generation, let the saints comfort one another with these astonishing words (8).</w:t>
      </w:r>
    </w:p>
    <w:p w14:paraId="08552068">
      <w:pPr>
        <w:pStyle w:val="9"/>
        <w:spacing w:before="66"/>
        <w:ind w:left="0"/>
        <w:jc w:val="left"/>
        <w:rPr>
          <w:rFonts w:hint="eastAsia"/>
        </w:rPr>
      </w:pPr>
      <w:r>
        <w:rPr>
          <w:rFonts w:hint="eastAsia"/>
        </w:rPr>
        <w:t>在每一代人中，愿圣徒们用这些惊人的话语彼此安慰（8）。</w:t>
      </w:r>
    </w:p>
    <w:p w14:paraId="405E3750">
      <w:pPr>
        <w:pStyle w:val="9"/>
        <w:spacing w:before="66"/>
        <w:ind w:left="0"/>
        <w:jc w:val="left"/>
        <w:rPr>
          <w:rFonts w:hint="eastAsia"/>
        </w:rPr>
      </w:pPr>
    </w:p>
    <w:p w14:paraId="47D5531D">
      <w:pPr>
        <w:pStyle w:val="9"/>
        <w:spacing w:before="66"/>
        <w:ind w:left="0"/>
        <w:jc w:val="left"/>
        <w:rPr>
          <w:rFonts w:hint="eastAsia"/>
        </w:rPr>
      </w:pPr>
      <w:r>
        <w:rPr>
          <w:rFonts w:hint="eastAsia"/>
        </w:rPr>
        <w:t>1 Thessalonians 5:1-10</w:t>
      </w:r>
    </w:p>
    <w:p w14:paraId="2711BA80">
      <w:pPr>
        <w:pStyle w:val="9"/>
        <w:spacing w:before="66"/>
        <w:ind w:left="0"/>
        <w:jc w:val="left"/>
        <w:rPr>
          <w:rFonts w:hint="eastAsia"/>
        </w:rPr>
      </w:pPr>
      <w:r>
        <w:rPr>
          <w:rFonts w:hint="eastAsia"/>
        </w:rPr>
        <w:t>帖撒罗尼迦前书5:1-10</w:t>
      </w:r>
    </w:p>
    <w:p w14:paraId="628037E8">
      <w:pPr>
        <w:pStyle w:val="9"/>
        <w:spacing w:before="66"/>
        <w:ind w:left="0"/>
        <w:jc w:val="left"/>
        <w:rPr>
          <w:rFonts w:hint="eastAsia"/>
        </w:rPr>
      </w:pPr>
    </w:p>
    <w:p w14:paraId="2704A16A">
      <w:pPr>
        <w:pStyle w:val="9"/>
        <w:spacing w:before="66"/>
        <w:ind w:left="0"/>
        <w:jc w:val="left"/>
        <w:rPr>
          <w:rFonts w:hint="eastAsia"/>
        </w:rPr>
      </w:pPr>
      <w:r>
        <w:rPr>
          <w:rFonts w:hint="eastAsia"/>
        </w:rPr>
        <w:t>This brings us to part two of our text, 1 Thess. 5:1-10.</w:t>
      </w:r>
    </w:p>
    <w:p w14:paraId="6BD6E128">
      <w:pPr>
        <w:pStyle w:val="9"/>
        <w:spacing w:before="66"/>
        <w:ind w:left="0"/>
        <w:jc w:val="left"/>
        <w:rPr>
          <w:rFonts w:hint="eastAsia"/>
        </w:rPr>
      </w:pPr>
      <w:r>
        <w:rPr>
          <w:rFonts w:hint="eastAsia"/>
        </w:rPr>
        <w:t>这就把我们带到了我们经文的第二部分，帖撒罗尼迦前书5:1-10。</w:t>
      </w:r>
    </w:p>
    <w:p w14:paraId="6F513212">
      <w:pPr>
        <w:pStyle w:val="9"/>
        <w:spacing w:before="66"/>
        <w:ind w:left="0"/>
        <w:jc w:val="left"/>
        <w:rPr>
          <w:rFonts w:hint="eastAsia"/>
        </w:rPr>
      </w:pPr>
    </w:p>
    <w:p w14:paraId="3EB9FDC5">
      <w:pPr>
        <w:pStyle w:val="9"/>
        <w:spacing w:before="66"/>
        <w:ind w:left="0"/>
        <w:jc w:val="left"/>
        <w:rPr>
          <w:rFonts w:hint="eastAsia"/>
        </w:rPr>
      </w:pPr>
      <w:r>
        <w:rPr>
          <w:rFonts w:hint="eastAsia"/>
        </w:rPr>
        <w:t>Here we do well to remember that the Greek NT does not contain chapters or verses.</w:t>
      </w:r>
    </w:p>
    <w:p w14:paraId="32896926">
      <w:pPr>
        <w:pStyle w:val="9"/>
        <w:spacing w:before="66"/>
        <w:ind w:left="0"/>
        <w:jc w:val="left"/>
        <w:rPr>
          <w:rFonts w:hint="eastAsia"/>
        </w:rPr>
      </w:pPr>
      <w:r>
        <w:rPr>
          <w:rFonts w:hint="eastAsia"/>
        </w:rPr>
        <w:t>在这里我们最好记住，希腊文新约没有章节。</w:t>
      </w:r>
    </w:p>
    <w:p w14:paraId="19007F31">
      <w:pPr>
        <w:pStyle w:val="9"/>
        <w:spacing w:before="66"/>
        <w:ind w:left="0"/>
        <w:jc w:val="left"/>
        <w:rPr>
          <w:rFonts w:hint="eastAsia"/>
        </w:rPr>
      </w:pPr>
    </w:p>
    <w:p w14:paraId="6BE75D3F">
      <w:pPr>
        <w:pStyle w:val="9"/>
        <w:spacing w:before="66"/>
        <w:ind w:left="0"/>
        <w:jc w:val="left"/>
        <w:rPr>
          <w:rFonts w:hint="eastAsia"/>
        </w:rPr>
      </w:pPr>
      <w:r>
        <w:rPr>
          <w:rFonts w:hint="eastAsia"/>
        </w:rPr>
        <w:t>There is no new chapter, and—in the broadest sense—there is no new theme.</w:t>
      </w:r>
    </w:p>
    <w:p w14:paraId="463BF266">
      <w:pPr>
        <w:pStyle w:val="9"/>
        <w:spacing w:before="66"/>
        <w:ind w:left="0"/>
        <w:jc w:val="left"/>
        <w:rPr>
          <w:rFonts w:hint="eastAsia"/>
        </w:rPr>
      </w:pPr>
      <w:r>
        <w:rPr>
          <w:rFonts w:hint="eastAsia"/>
        </w:rPr>
        <w:t>没有新的章节，并且——在最广泛的意义上——没有新的主题。</w:t>
      </w:r>
    </w:p>
    <w:p w14:paraId="7ABB3CAD">
      <w:pPr>
        <w:pStyle w:val="9"/>
        <w:spacing w:before="66"/>
        <w:ind w:left="0"/>
        <w:jc w:val="left"/>
        <w:rPr>
          <w:rFonts w:hint="eastAsia"/>
        </w:rPr>
      </w:pPr>
    </w:p>
    <w:p w14:paraId="7F9CF3B6">
      <w:pPr>
        <w:pStyle w:val="9"/>
        <w:spacing w:before="66"/>
        <w:ind w:left="0"/>
        <w:jc w:val="left"/>
        <w:rPr>
          <w:rFonts w:hint="eastAsia"/>
        </w:rPr>
      </w:pPr>
      <w:r>
        <w:rPr>
          <w:rFonts w:hint="eastAsia"/>
        </w:rPr>
        <w:t>Paul is still dealing with the Parousia and the Consummation.</w:t>
      </w:r>
    </w:p>
    <w:p w14:paraId="203ADB0B">
      <w:pPr>
        <w:pStyle w:val="9"/>
        <w:spacing w:before="66"/>
        <w:ind w:left="0"/>
        <w:jc w:val="left"/>
        <w:rPr>
          <w:rFonts w:hint="eastAsia"/>
        </w:rPr>
      </w:pPr>
      <w:r>
        <w:rPr>
          <w:rFonts w:hint="eastAsia"/>
        </w:rPr>
        <w:t>保罗仍在处理主临（Parousia）和最终的成全。</w:t>
      </w:r>
    </w:p>
    <w:p w14:paraId="34A453D3">
      <w:pPr>
        <w:pStyle w:val="9"/>
        <w:spacing w:before="66"/>
        <w:ind w:left="0"/>
        <w:jc w:val="left"/>
        <w:rPr>
          <w:rFonts w:hint="eastAsia"/>
        </w:rPr>
      </w:pPr>
    </w:p>
    <w:p w14:paraId="496C4A39">
      <w:pPr>
        <w:pStyle w:val="9"/>
        <w:spacing w:before="66"/>
        <w:ind w:left="0"/>
        <w:jc w:val="left"/>
        <w:rPr>
          <w:rFonts w:hint="eastAsia"/>
        </w:rPr>
      </w:pPr>
      <w:r>
        <w:rPr>
          <w:rFonts w:hint="eastAsia"/>
        </w:rPr>
        <w:t>Here, however, he turns to another facet of the Consummation, and in so doing from comfort to exhortation.</w:t>
      </w:r>
    </w:p>
    <w:p w14:paraId="57F5150C">
      <w:pPr>
        <w:pStyle w:val="9"/>
        <w:spacing w:before="66"/>
        <w:ind w:left="0"/>
        <w:jc w:val="left"/>
        <w:rPr>
          <w:rFonts w:hint="eastAsia"/>
        </w:rPr>
      </w:pPr>
      <w:r>
        <w:rPr>
          <w:rFonts w:hint="eastAsia"/>
        </w:rPr>
        <w:t>然而，在这里，祂转向最终成全的另一个方面，并因此从安慰转向劝勉。</w:t>
      </w:r>
    </w:p>
    <w:p w14:paraId="063F4EAE">
      <w:pPr>
        <w:pStyle w:val="9"/>
        <w:spacing w:before="66"/>
        <w:ind w:left="0"/>
        <w:jc w:val="left"/>
        <w:rPr>
          <w:rFonts w:hint="eastAsia"/>
        </w:rPr>
      </w:pPr>
    </w:p>
    <w:p w14:paraId="3783B0D2">
      <w:pPr>
        <w:pStyle w:val="9"/>
        <w:spacing w:before="66"/>
        <w:ind w:left="0"/>
        <w:jc w:val="left"/>
        <w:rPr>
          <w:rFonts w:hint="eastAsia"/>
        </w:rPr>
      </w:pPr>
      <w:r>
        <w:rPr>
          <w:rFonts w:hint="eastAsia"/>
        </w:rPr>
        <w:t>For now, having given the Thessalonians a tiny glimpse of the joys of eternal life together in the World to Come (17), he would prepare them for yet another element of the Consummation, through which they must safely pass if they hope to enter that World: the Judgment.</w:t>
      </w:r>
    </w:p>
    <w:p w14:paraId="1575EBD6">
      <w:pPr>
        <w:pStyle w:val="9"/>
        <w:spacing w:before="66"/>
        <w:ind w:left="0"/>
        <w:jc w:val="left"/>
        <w:rPr>
          <w:rFonts w:hint="eastAsia"/>
        </w:rPr>
      </w:pPr>
      <w:r>
        <w:rPr>
          <w:rFonts w:hint="eastAsia"/>
        </w:rPr>
        <w:t>因为现在，在给了帖撒罗尼迦人一瞥在将来世界中同享永生之乐的喜悦后（17），祂要为他们预备最终成全的另一个要素，如果他们希望进入那个世界，就必须安全地通过它：审判。</w:t>
      </w:r>
    </w:p>
    <w:p w14:paraId="15FF164A">
      <w:pPr>
        <w:pStyle w:val="9"/>
        <w:spacing w:before="66"/>
        <w:ind w:left="0"/>
        <w:jc w:val="left"/>
        <w:rPr>
          <w:rFonts w:hint="eastAsia"/>
        </w:rPr>
      </w:pPr>
    </w:p>
    <w:p w14:paraId="64154EAD">
      <w:pPr>
        <w:pStyle w:val="9"/>
        <w:spacing w:before="66"/>
        <w:ind w:left="0"/>
        <w:jc w:val="left"/>
        <w:rPr>
          <w:rFonts w:hint="eastAsia"/>
        </w:rPr>
      </w:pPr>
      <w:r>
        <w:rPr>
          <w:rFonts w:hint="eastAsia"/>
        </w:rPr>
        <w:t>It too will occur at the Parousia, for in that Day Christ will not only raise the dead, transform the living, and catch up his glorified Bride into the sky above the earth, but he will also judge the whole world in righteousness.</w:t>
      </w:r>
    </w:p>
    <w:p w14:paraId="100D67AC">
      <w:pPr>
        <w:pStyle w:val="9"/>
        <w:spacing w:before="66"/>
        <w:ind w:left="0"/>
        <w:jc w:val="left"/>
        <w:rPr>
          <w:rFonts w:hint="eastAsia"/>
        </w:rPr>
      </w:pPr>
      <w:r>
        <w:rPr>
          <w:rFonts w:hint="eastAsia"/>
        </w:rPr>
        <w:t>它也将在主临（Parousia）时发生，因为在那日，基督不仅要使死人复活，改变活人，并将祂得荣耀的新妇提到地上空，祂也要按公义审判全世界。</w:t>
      </w:r>
    </w:p>
    <w:p w14:paraId="3E08B766">
      <w:pPr>
        <w:pStyle w:val="9"/>
        <w:spacing w:before="66"/>
        <w:ind w:left="0"/>
        <w:jc w:val="left"/>
        <w:rPr>
          <w:rFonts w:hint="eastAsia"/>
        </w:rPr>
      </w:pPr>
    </w:p>
    <w:p w14:paraId="18759A79">
      <w:pPr>
        <w:pStyle w:val="9"/>
        <w:spacing w:before="66"/>
        <w:ind w:left="0"/>
        <w:jc w:val="left"/>
        <w:rPr>
          <w:rFonts w:hint="eastAsia"/>
        </w:rPr>
      </w:pPr>
      <w:r>
        <w:rPr>
          <w:rFonts w:hint="eastAsia"/>
        </w:rPr>
        <w:t>As ever, Paul has a single, unified Consummation in view.</w:t>
      </w:r>
    </w:p>
    <w:p w14:paraId="2A37EE54">
      <w:pPr>
        <w:pStyle w:val="9"/>
        <w:spacing w:before="66"/>
        <w:ind w:left="0"/>
        <w:jc w:val="left"/>
        <w:rPr>
          <w:rFonts w:hint="eastAsia"/>
        </w:rPr>
      </w:pPr>
      <w:r>
        <w:rPr>
          <w:rFonts w:hint="eastAsia"/>
        </w:rPr>
        <w:t>保罗一如既往地心中有一个单一的、统一的最终成全。</w:t>
      </w:r>
    </w:p>
    <w:p w14:paraId="75BC1AA5">
      <w:pPr>
        <w:pStyle w:val="9"/>
        <w:spacing w:before="66"/>
        <w:ind w:left="0"/>
        <w:jc w:val="left"/>
        <w:rPr>
          <w:rFonts w:hint="eastAsia"/>
        </w:rPr>
      </w:pPr>
    </w:p>
    <w:p w14:paraId="3FD05089">
      <w:pPr>
        <w:pStyle w:val="9"/>
        <w:spacing w:before="66"/>
        <w:ind w:left="0"/>
        <w:jc w:val="left"/>
        <w:rPr>
          <w:rFonts w:hint="eastAsia"/>
        </w:rPr>
      </w:pPr>
      <w:r>
        <w:rPr>
          <w:rFonts w:hint="eastAsia"/>
        </w:rPr>
        <w:t>He opens by saying, “Now as to the times and the seasons, brethren . . .” (5:1).</w:t>
      </w:r>
    </w:p>
    <w:p w14:paraId="0EC26DF9">
      <w:pPr>
        <w:pStyle w:val="9"/>
        <w:spacing w:before="66"/>
        <w:ind w:left="0"/>
        <w:jc w:val="left"/>
        <w:rPr>
          <w:rFonts w:hint="eastAsia"/>
        </w:rPr>
      </w:pPr>
      <w:r>
        <w:rPr>
          <w:rFonts w:hint="eastAsia"/>
        </w:rPr>
        <w:t>祂开头说：“弟兄们，论到时候日期……”（5:1）。</w:t>
      </w:r>
    </w:p>
    <w:p w14:paraId="008C6437">
      <w:pPr>
        <w:pStyle w:val="9"/>
        <w:spacing w:before="66"/>
        <w:ind w:left="0"/>
        <w:jc w:val="left"/>
        <w:rPr>
          <w:rFonts w:hint="eastAsia"/>
        </w:rPr>
      </w:pPr>
    </w:p>
    <w:p w14:paraId="57FA8450">
      <w:pPr>
        <w:pStyle w:val="9"/>
        <w:spacing w:before="66"/>
        <w:ind w:left="0"/>
        <w:jc w:val="left"/>
        <w:rPr>
          <w:rFonts w:hint="eastAsia"/>
        </w:rPr>
      </w:pPr>
      <w:r>
        <w:rPr>
          <w:rFonts w:hint="eastAsia"/>
        </w:rPr>
        <w:t>Here, a question immediately arises: The times and seasons of what?</w:t>
      </w:r>
    </w:p>
    <w:p w14:paraId="789116CC">
      <w:pPr>
        <w:pStyle w:val="9"/>
        <w:spacing w:before="66"/>
        <w:ind w:left="0"/>
        <w:jc w:val="left"/>
        <w:rPr>
          <w:rFonts w:hint="eastAsia"/>
        </w:rPr>
      </w:pPr>
      <w:r>
        <w:rPr>
          <w:rFonts w:hint="eastAsia"/>
        </w:rPr>
        <w:t>在这里，一个问题立刻出现：什么时候的日期？</w:t>
      </w:r>
    </w:p>
    <w:p w14:paraId="5B54D400">
      <w:pPr>
        <w:pStyle w:val="9"/>
        <w:spacing w:before="66"/>
        <w:ind w:left="0"/>
        <w:jc w:val="left"/>
        <w:rPr>
          <w:rFonts w:hint="eastAsia"/>
        </w:rPr>
      </w:pPr>
    </w:p>
    <w:p w14:paraId="545FC539">
      <w:pPr>
        <w:pStyle w:val="9"/>
        <w:spacing w:before="66"/>
        <w:ind w:left="0"/>
        <w:jc w:val="left"/>
        <w:rPr>
          <w:rFonts w:hint="eastAsia"/>
        </w:rPr>
      </w:pPr>
      <w:r>
        <w:rPr>
          <w:rFonts w:hint="eastAsia"/>
        </w:rPr>
        <w:t>The answer is obvious: the times and seasons of the Parousia he has just been speaking of.</w:t>
      </w:r>
    </w:p>
    <w:p w14:paraId="2ACA39B2">
      <w:pPr>
        <w:pStyle w:val="9"/>
        <w:spacing w:before="66"/>
        <w:ind w:left="0"/>
        <w:jc w:val="left"/>
        <w:rPr>
          <w:rFonts w:hint="eastAsia"/>
        </w:rPr>
      </w:pPr>
      <w:r>
        <w:rPr>
          <w:rFonts w:hint="eastAsia"/>
        </w:rPr>
        <w:t>答案是显而易见的：祂刚才所说的那个主临（Parousia）的日期。</w:t>
      </w:r>
    </w:p>
    <w:p w14:paraId="0003FC16">
      <w:pPr>
        <w:pStyle w:val="9"/>
        <w:spacing w:before="66"/>
        <w:ind w:left="0"/>
        <w:jc w:val="left"/>
        <w:rPr>
          <w:rFonts w:hint="eastAsia"/>
        </w:rPr>
      </w:pPr>
    </w:p>
    <w:p w14:paraId="215848C6">
      <w:pPr>
        <w:pStyle w:val="9"/>
        <w:spacing w:before="66"/>
        <w:ind w:left="0"/>
        <w:jc w:val="left"/>
        <w:rPr>
          <w:rFonts w:hint="eastAsia"/>
        </w:rPr>
      </w:pPr>
      <w:r>
        <w:rPr>
          <w:rFonts w:hint="eastAsia"/>
        </w:rPr>
        <w:t>Now, however, he refers to it as the Day of the Lord (5:2, 4).</w:t>
      </w:r>
    </w:p>
    <w:p w14:paraId="677CE94D">
      <w:pPr>
        <w:pStyle w:val="9"/>
        <w:spacing w:before="66"/>
        <w:ind w:left="0"/>
        <w:jc w:val="left"/>
        <w:rPr>
          <w:rFonts w:hint="eastAsia"/>
        </w:rPr>
      </w:pPr>
      <w:r>
        <w:rPr>
          <w:rFonts w:hint="eastAsia"/>
        </w:rPr>
        <w:t>然而，现在祂称之为“主的日子”（5:2, 4）。</w:t>
      </w:r>
    </w:p>
    <w:p w14:paraId="05CF8125">
      <w:pPr>
        <w:pStyle w:val="9"/>
        <w:spacing w:before="66"/>
        <w:ind w:left="0"/>
        <w:jc w:val="left"/>
        <w:rPr>
          <w:rFonts w:hint="eastAsia"/>
        </w:rPr>
      </w:pPr>
    </w:p>
    <w:p w14:paraId="1059BA3D">
      <w:pPr>
        <w:pStyle w:val="9"/>
        <w:spacing w:before="66"/>
        <w:ind w:left="0"/>
        <w:jc w:val="left"/>
        <w:rPr>
          <w:rFonts w:hint="eastAsia"/>
        </w:rPr>
      </w:pPr>
      <w:r>
        <w:rPr>
          <w:rFonts w:hint="eastAsia"/>
        </w:rPr>
        <w:t>Why so?</w:t>
      </w:r>
    </w:p>
    <w:p w14:paraId="6FDCB92B">
      <w:pPr>
        <w:pStyle w:val="9"/>
        <w:spacing w:before="66"/>
        <w:ind w:left="0"/>
        <w:jc w:val="left"/>
        <w:rPr>
          <w:rFonts w:hint="eastAsia"/>
        </w:rPr>
      </w:pPr>
      <w:r>
        <w:rPr>
          <w:rFonts w:hint="eastAsia"/>
        </w:rPr>
        <w:t>为何如此？</w:t>
      </w:r>
    </w:p>
    <w:p w14:paraId="666754C8">
      <w:pPr>
        <w:pStyle w:val="9"/>
        <w:spacing w:before="66"/>
        <w:ind w:left="0"/>
        <w:jc w:val="left"/>
        <w:rPr>
          <w:rFonts w:hint="eastAsia"/>
        </w:rPr>
      </w:pPr>
    </w:p>
    <w:p w14:paraId="242C6025">
      <w:pPr>
        <w:pStyle w:val="9"/>
        <w:spacing w:before="66"/>
        <w:ind w:left="0"/>
        <w:jc w:val="left"/>
        <w:rPr>
          <w:rFonts w:hint="eastAsia"/>
        </w:rPr>
      </w:pPr>
      <w:r>
        <w:rPr>
          <w:rFonts w:hint="eastAsia"/>
        </w:rPr>
        <w:t>Because now his focus is upon judgment and retribution, themes that appear prominently in all the Day of the LORD passages found in the OT (e.g., Isaiah 2, Joel 2, Amos 5, Zeph. 1, Mal. 1).</w:t>
      </w:r>
    </w:p>
    <w:p w14:paraId="49582C50">
      <w:pPr>
        <w:pStyle w:val="9"/>
        <w:spacing w:before="66"/>
        <w:ind w:left="0"/>
        <w:jc w:val="left"/>
        <w:rPr>
          <w:rFonts w:hint="eastAsia"/>
        </w:rPr>
      </w:pPr>
      <w:r>
        <w:rPr>
          <w:rFonts w:hint="eastAsia"/>
        </w:rPr>
        <w:t>因为现在祂的焦点在审判和报应上，这些主题在旧约中所有关于耶和华的日子的段落中都突出地出现（例如，以赛亚书2，约珥书2，阿摩司书5，西番雅书1，玛拉基书1）。</w:t>
      </w:r>
    </w:p>
    <w:p w14:paraId="191D544B">
      <w:pPr>
        <w:pStyle w:val="9"/>
        <w:spacing w:before="66"/>
        <w:ind w:left="0"/>
        <w:jc w:val="left"/>
        <w:rPr>
          <w:rFonts w:hint="eastAsia"/>
        </w:rPr>
      </w:pPr>
    </w:p>
    <w:p w14:paraId="1EA20886">
      <w:pPr>
        <w:pStyle w:val="9"/>
        <w:spacing w:before="66"/>
        <w:ind w:left="0"/>
        <w:jc w:val="left"/>
        <w:rPr>
          <w:rFonts w:hint="eastAsia"/>
        </w:rPr>
      </w:pPr>
      <w:r>
        <w:rPr>
          <w:rFonts w:hint="eastAsia"/>
        </w:rPr>
        <w:t>But again, in the NT the Day of the LORD becomes the Day of the Lord Jesus Christ.</w:t>
      </w:r>
    </w:p>
    <w:p w14:paraId="64186264">
      <w:pPr>
        <w:pStyle w:val="9"/>
        <w:spacing w:before="66"/>
        <w:ind w:left="0"/>
        <w:jc w:val="left"/>
        <w:rPr>
          <w:rFonts w:hint="eastAsia"/>
        </w:rPr>
      </w:pPr>
      <w:r>
        <w:rPr>
          <w:rFonts w:hint="eastAsia"/>
        </w:rPr>
        <w:t>但再次，在新约中，耶和华的日子变成了主耶稣基督的日子。</w:t>
      </w:r>
    </w:p>
    <w:p w14:paraId="4217A61D">
      <w:pPr>
        <w:pStyle w:val="9"/>
        <w:spacing w:before="66"/>
        <w:ind w:left="0"/>
        <w:jc w:val="left"/>
        <w:rPr>
          <w:rFonts w:hint="eastAsia"/>
        </w:rPr>
      </w:pPr>
    </w:p>
    <w:p w14:paraId="1F39B4E3">
      <w:pPr>
        <w:pStyle w:val="9"/>
        <w:spacing w:before="66"/>
        <w:ind w:left="0"/>
        <w:jc w:val="left"/>
        <w:rPr>
          <w:rFonts w:hint="eastAsia"/>
        </w:rPr>
      </w:pPr>
      <w:r>
        <w:rPr>
          <w:rFonts w:hint="eastAsia"/>
        </w:rPr>
        <w:t>Here, then, Paul’s focus is upon what Christ will do at his Parousia and after the Resurrection: He will judge the world in righteousness (Acts 17:31).</w:t>
      </w:r>
    </w:p>
    <w:p w14:paraId="3F243114">
      <w:pPr>
        <w:pStyle w:val="9"/>
        <w:spacing w:before="66"/>
        <w:ind w:left="0"/>
        <w:jc w:val="left"/>
        <w:rPr>
          <w:rFonts w:hint="eastAsia"/>
        </w:rPr>
      </w:pPr>
      <w:r>
        <w:rPr>
          <w:rFonts w:hint="eastAsia"/>
        </w:rPr>
        <w:t>因此，在这里，保罗的焦点在于基督在祂的主临（Parousia）时和复活之后将要做什么：祂将按公义审判世界（使徒行传17:31）。</w:t>
      </w:r>
    </w:p>
    <w:p w14:paraId="6B4A192B">
      <w:pPr>
        <w:pStyle w:val="9"/>
        <w:spacing w:before="66"/>
        <w:ind w:left="0"/>
        <w:jc w:val="left"/>
        <w:rPr>
          <w:rFonts w:hint="eastAsia"/>
        </w:rPr>
      </w:pPr>
    </w:p>
    <w:p w14:paraId="14FD8002">
      <w:pPr>
        <w:pStyle w:val="9"/>
        <w:spacing w:before="66"/>
        <w:ind w:left="0"/>
        <w:jc w:val="left"/>
        <w:rPr>
          <w:rFonts w:hint="eastAsia"/>
        </w:rPr>
      </w:pPr>
      <w:r>
        <w:rPr>
          <w:rFonts w:hint="eastAsia"/>
        </w:rPr>
        <w:t>To read the rest of the text is to understand the compelling reasons for his lengthy exhortation.</w:t>
      </w:r>
    </w:p>
    <w:p w14:paraId="186B8D6C">
      <w:pPr>
        <w:pStyle w:val="9"/>
        <w:spacing w:before="66"/>
        <w:ind w:left="0"/>
        <w:jc w:val="left"/>
        <w:rPr>
          <w:rFonts w:hint="eastAsia"/>
        </w:rPr>
      </w:pPr>
      <w:r>
        <w:rPr>
          <w:rFonts w:hint="eastAsia"/>
        </w:rPr>
        <w:t>阅读经文的其余部分，就是理解祂长篇劝勉的有力理由。</w:t>
      </w:r>
    </w:p>
    <w:p w14:paraId="2F6E230E">
      <w:pPr>
        <w:pStyle w:val="9"/>
        <w:spacing w:before="66"/>
        <w:ind w:left="0"/>
        <w:jc w:val="left"/>
        <w:rPr>
          <w:rFonts w:hint="eastAsia"/>
        </w:rPr>
      </w:pPr>
    </w:p>
    <w:p w14:paraId="1C139D28">
      <w:pPr>
        <w:pStyle w:val="9"/>
        <w:spacing w:before="66"/>
        <w:ind w:left="0"/>
        <w:jc w:val="left"/>
        <w:rPr>
          <w:rFonts w:hint="eastAsia"/>
        </w:rPr>
      </w:pPr>
      <w:r>
        <w:rPr>
          <w:rFonts w:hint="eastAsia"/>
        </w:rPr>
        <w:t>When the Lord returns, he will come as a thief in the night (v. 2).</w:t>
      </w:r>
    </w:p>
    <w:p w14:paraId="388A2B9D">
      <w:pPr>
        <w:pStyle w:val="9"/>
        <w:spacing w:before="66"/>
        <w:ind w:left="0"/>
        <w:jc w:val="left"/>
        <w:rPr>
          <w:rFonts w:hint="eastAsia"/>
        </w:rPr>
      </w:pPr>
      <w:r>
        <w:rPr>
          <w:rFonts w:hint="eastAsia"/>
        </w:rPr>
        <w:t>当主再来时，祂将像夜间的贼一样来到（第2节）。</w:t>
      </w:r>
    </w:p>
    <w:p w14:paraId="0635A1C9">
      <w:pPr>
        <w:pStyle w:val="9"/>
        <w:spacing w:before="66"/>
        <w:ind w:left="0"/>
        <w:jc w:val="left"/>
        <w:rPr>
          <w:rFonts w:hint="eastAsia"/>
        </w:rPr>
      </w:pPr>
    </w:p>
    <w:p w14:paraId="5F07B7B7">
      <w:pPr>
        <w:pStyle w:val="9"/>
        <w:spacing w:before="66"/>
        <w:ind w:left="0"/>
        <w:jc w:val="left"/>
        <w:rPr>
          <w:rFonts w:hint="eastAsia"/>
        </w:rPr>
      </w:pPr>
      <w:r>
        <w:rPr>
          <w:rFonts w:hint="eastAsia"/>
        </w:rPr>
        <w:t>At that time, he will wreak sudden destruction upon a world-system completely unprepared for his arrival; a world deluded, it would appear, by the false assurances of the Antichrist (v. 3, 2 Thess. 2).</w:t>
      </w:r>
    </w:p>
    <w:p w14:paraId="03035EB8">
      <w:pPr>
        <w:pStyle w:val="9"/>
        <w:spacing w:before="66"/>
        <w:ind w:left="0"/>
        <w:jc w:val="left"/>
        <w:rPr>
          <w:rFonts w:hint="eastAsia"/>
        </w:rPr>
      </w:pPr>
      <w:r>
        <w:rPr>
          <w:rFonts w:hint="eastAsia"/>
        </w:rPr>
        <w:t>到那时，祂将对一个完全没有预备好祂到来的世界体系施行突然的毁灭；一个似乎被敌基督虚假的保证所迷惑的世界（第3节，帖后2）。</w:t>
      </w:r>
    </w:p>
    <w:p w14:paraId="11F965F9">
      <w:pPr>
        <w:pStyle w:val="9"/>
        <w:spacing w:before="66"/>
        <w:ind w:left="0"/>
        <w:jc w:val="left"/>
        <w:rPr>
          <w:rFonts w:hint="eastAsia"/>
        </w:rPr>
      </w:pPr>
    </w:p>
    <w:p w14:paraId="1E71809F">
      <w:pPr>
        <w:pStyle w:val="9"/>
        <w:spacing w:before="66"/>
        <w:ind w:left="0"/>
        <w:jc w:val="left"/>
        <w:rPr>
          <w:rFonts w:hint="eastAsia"/>
        </w:rPr>
      </w:pPr>
      <w:r>
        <w:rPr>
          <w:rFonts w:hint="eastAsia"/>
        </w:rPr>
        <w:t>What will this destruction look like?</w:t>
      </w:r>
    </w:p>
    <w:p w14:paraId="6E26E18E">
      <w:pPr>
        <w:pStyle w:val="9"/>
        <w:spacing w:before="66"/>
        <w:ind w:left="0"/>
        <w:jc w:val="left"/>
        <w:rPr>
          <w:rFonts w:hint="eastAsia"/>
        </w:rPr>
      </w:pPr>
      <w:r>
        <w:rPr>
          <w:rFonts w:hint="eastAsia"/>
        </w:rPr>
        <w:t>这次毁灭将是什么样子？</w:t>
      </w:r>
    </w:p>
    <w:p w14:paraId="2DD7A864">
      <w:pPr>
        <w:pStyle w:val="9"/>
        <w:spacing w:before="66"/>
        <w:ind w:left="0"/>
        <w:jc w:val="left"/>
        <w:rPr>
          <w:rFonts w:hint="eastAsia"/>
        </w:rPr>
      </w:pPr>
    </w:p>
    <w:p w14:paraId="316C22AD">
      <w:pPr>
        <w:pStyle w:val="9"/>
        <w:spacing w:before="66"/>
        <w:ind w:left="0"/>
        <w:jc w:val="left"/>
        <w:rPr>
          <w:rFonts w:hint="eastAsia"/>
        </w:rPr>
      </w:pPr>
      <w:r>
        <w:rPr>
          <w:rFonts w:hint="eastAsia"/>
        </w:rPr>
        <w:t>Here Paul does not say, though other NT texts tell us that it will be with fire, and that it will involve the holy angels catching up the (resurrected or transformed) wicked: first (it would appear) to the Judgment Seat of Christ (in the air), and ultimately to Gehenna (the Lake of Fire), where they will endure eternal punishment away from the presence of the Lord and the glory of his power (Mt. 13:37- 43, 2 Cor. 5:10, 2 Thess. 1:9, 2 Peter 3, Rev. 20:11:15f).</w:t>
      </w:r>
    </w:p>
    <w:p w14:paraId="1BFBF1C4">
      <w:pPr>
        <w:pStyle w:val="9"/>
        <w:spacing w:before="66"/>
        <w:ind w:left="0"/>
        <w:jc w:val="left"/>
        <w:rPr>
          <w:rFonts w:hint="eastAsia"/>
        </w:rPr>
      </w:pPr>
      <w:r>
        <w:rPr>
          <w:rFonts w:hint="eastAsia"/>
        </w:rPr>
        <w:t>保罗在这里没有说，尽管其他新约经文告诉我们，这将是用火，并且将涉及圣天使提接（复活或改变的）恶人：首先（似乎）到基督的审判台（在空中），最终到地狱（火湖），在那里他们将远离主的面和祂权能的荣光，忍受永恒的惩罚（太13:37-43，林后5:10，帖后1:9，彼后3，启20:11:15及以下）。</w:t>
      </w:r>
    </w:p>
    <w:p w14:paraId="11A2E617">
      <w:pPr>
        <w:pStyle w:val="9"/>
        <w:spacing w:before="66"/>
        <w:ind w:left="0"/>
        <w:jc w:val="left"/>
        <w:rPr>
          <w:rFonts w:hint="eastAsia"/>
        </w:rPr>
      </w:pPr>
    </w:p>
    <w:p w14:paraId="77F1291B">
      <w:pPr>
        <w:pStyle w:val="9"/>
        <w:spacing w:before="66"/>
        <w:ind w:left="0"/>
        <w:jc w:val="left"/>
        <w:rPr>
          <w:rFonts w:hint="eastAsia"/>
        </w:rPr>
      </w:pPr>
      <w:r>
        <w:rPr>
          <w:rFonts w:hint="eastAsia"/>
        </w:rPr>
        <w:t>But with the saints it will not be so.</w:t>
      </w:r>
    </w:p>
    <w:p w14:paraId="20D29397">
      <w:pPr>
        <w:pStyle w:val="9"/>
        <w:spacing w:before="66"/>
        <w:ind w:left="0"/>
        <w:jc w:val="left"/>
        <w:rPr>
          <w:rFonts w:hint="eastAsia"/>
        </w:rPr>
      </w:pPr>
      <w:r>
        <w:rPr>
          <w:rFonts w:hint="eastAsia"/>
        </w:rPr>
        <w:t>但圣徒们却不是这样。</w:t>
      </w:r>
    </w:p>
    <w:p w14:paraId="180F8B8D">
      <w:pPr>
        <w:pStyle w:val="9"/>
        <w:spacing w:before="66"/>
        <w:ind w:left="0"/>
        <w:jc w:val="left"/>
        <w:rPr>
          <w:rFonts w:hint="eastAsia"/>
        </w:rPr>
      </w:pPr>
    </w:p>
    <w:p w14:paraId="49B25AD9">
      <w:pPr>
        <w:pStyle w:val="9"/>
        <w:spacing w:before="66"/>
        <w:ind w:left="0"/>
        <w:jc w:val="left"/>
        <w:rPr>
          <w:rFonts w:hint="eastAsia"/>
        </w:rPr>
      </w:pPr>
      <w:r>
        <w:rPr>
          <w:rFonts w:hint="eastAsia"/>
        </w:rPr>
        <w:t>They are not in darkness: neither in intellectual darkness about the times, seasons, and events of the Consummation, nor in the moral darkness for which the world-system will then be destroyed (4-5).</w:t>
      </w:r>
    </w:p>
    <w:p w14:paraId="709A50A1">
      <w:pPr>
        <w:pStyle w:val="9"/>
        <w:spacing w:before="66"/>
        <w:ind w:left="0"/>
        <w:jc w:val="left"/>
        <w:rPr>
          <w:rFonts w:hint="eastAsia"/>
        </w:rPr>
      </w:pPr>
      <w:r>
        <w:rPr>
          <w:rFonts w:hint="eastAsia"/>
        </w:rPr>
        <w:t>他们不在黑暗里：既不在关于最终成全的时间、季节和事件的理智黑暗中，也不在那将要因此被毁灭的世界体系的道德黑暗中（4-5）。</w:t>
      </w:r>
    </w:p>
    <w:p w14:paraId="6C99FABD">
      <w:pPr>
        <w:pStyle w:val="9"/>
        <w:spacing w:before="66"/>
        <w:ind w:left="0"/>
        <w:jc w:val="left"/>
        <w:rPr>
          <w:rFonts w:hint="eastAsia"/>
        </w:rPr>
      </w:pPr>
    </w:p>
    <w:p w14:paraId="03CD2168">
      <w:pPr>
        <w:pStyle w:val="9"/>
        <w:spacing w:before="66"/>
        <w:ind w:left="0"/>
        <w:jc w:val="left"/>
        <w:rPr>
          <w:rFonts w:hint="eastAsia"/>
        </w:rPr>
      </w:pPr>
      <w:r>
        <w:rPr>
          <w:rFonts w:hint="eastAsia"/>
        </w:rPr>
        <w:t>However, in order to escape the Judgment, they must maintain all due diligence (Mt. 24:32-25:30).</w:t>
      </w:r>
    </w:p>
    <w:p w14:paraId="2A2F2565">
      <w:pPr>
        <w:pStyle w:val="9"/>
        <w:spacing w:before="66"/>
        <w:ind w:left="0"/>
        <w:jc w:val="left"/>
        <w:rPr>
          <w:rFonts w:hint="eastAsia"/>
        </w:rPr>
      </w:pPr>
      <w:r>
        <w:rPr>
          <w:rFonts w:hint="eastAsia"/>
        </w:rPr>
        <w:t>然而，为了逃避审判，他们必须尽一切应尽的勤勉（太24:32-25:30）。</w:t>
      </w:r>
    </w:p>
    <w:p w14:paraId="71324569">
      <w:pPr>
        <w:pStyle w:val="9"/>
        <w:spacing w:before="66"/>
        <w:ind w:left="0"/>
        <w:jc w:val="left"/>
        <w:rPr>
          <w:rFonts w:hint="eastAsia"/>
        </w:rPr>
      </w:pPr>
    </w:p>
    <w:p w14:paraId="565EFD7C">
      <w:pPr>
        <w:pStyle w:val="9"/>
        <w:spacing w:before="66"/>
        <w:ind w:left="0"/>
        <w:jc w:val="left"/>
        <w:rPr>
          <w:rFonts w:hint="eastAsia"/>
        </w:rPr>
      </w:pPr>
      <w:r>
        <w:rPr>
          <w:rFonts w:hint="eastAsia"/>
        </w:rPr>
        <w:t>They must remain spiritually alert and sober.</w:t>
      </w:r>
    </w:p>
    <w:p w14:paraId="09BB44AA">
      <w:pPr>
        <w:pStyle w:val="9"/>
        <w:spacing w:before="66"/>
        <w:ind w:left="0"/>
        <w:jc w:val="left"/>
        <w:rPr>
          <w:rFonts w:hint="eastAsia"/>
        </w:rPr>
      </w:pPr>
      <w:r>
        <w:rPr>
          <w:rFonts w:hint="eastAsia"/>
        </w:rPr>
        <w:t>他们必须在属灵上警醒谨守。</w:t>
      </w:r>
    </w:p>
    <w:p w14:paraId="374DC3FB">
      <w:pPr>
        <w:pStyle w:val="9"/>
        <w:spacing w:before="66"/>
        <w:ind w:left="0"/>
        <w:jc w:val="left"/>
        <w:rPr>
          <w:rFonts w:hint="eastAsia"/>
        </w:rPr>
      </w:pPr>
    </w:p>
    <w:p w14:paraId="168B2F2C">
      <w:pPr>
        <w:pStyle w:val="9"/>
        <w:spacing w:before="66"/>
        <w:ind w:left="0"/>
        <w:jc w:val="left"/>
        <w:rPr>
          <w:rFonts w:hint="eastAsia"/>
        </w:rPr>
      </w:pPr>
      <w:r>
        <w:rPr>
          <w:rFonts w:hint="eastAsia"/>
        </w:rPr>
        <w:t>They must walk as good soldiers of Christ.</w:t>
      </w:r>
    </w:p>
    <w:p w14:paraId="041FBE4E">
      <w:pPr>
        <w:pStyle w:val="9"/>
        <w:spacing w:before="66"/>
        <w:ind w:left="0"/>
        <w:jc w:val="left"/>
        <w:rPr>
          <w:rFonts w:hint="eastAsia"/>
        </w:rPr>
      </w:pPr>
      <w:r>
        <w:rPr>
          <w:rFonts w:hint="eastAsia"/>
        </w:rPr>
        <w:t>他们必须行事为人像基督的精兵。</w:t>
      </w:r>
    </w:p>
    <w:p w14:paraId="3D125B14">
      <w:pPr>
        <w:pStyle w:val="9"/>
        <w:spacing w:before="66"/>
        <w:ind w:left="0"/>
        <w:jc w:val="left"/>
        <w:rPr>
          <w:rFonts w:hint="eastAsia"/>
        </w:rPr>
      </w:pPr>
    </w:p>
    <w:p w14:paraId="173A162E">
      <w:pPr>
        <w:pStyle w:val="9"/>
        <w:spacing w:before="66"/>
        <w:ind w:left="0"/>
        <w:jc w:val="left"/>
        <w:rPr>
          <w:rFonts w:hint="eastAsia"/>
        </w:rPr>
      </w:pPr>
      <w:r>
        <w:rPr>
          <w:rFonts w:hint="eastAsia"/>
        </w:rPr>
        <w:t>They must clothe themselves with the breastplate of faith and love; and for a helmet, they must put on the hope (i.e., confident assurance) of salvation (vv. 6-8).</w:t>
      </w:r>
    </w:p>
    <w:p w14:paraId="56847AF7">
      <w:pPr>
        <w:pStyle w:val="9"/>
        <w:spacing w:before="66"/>
        <w:ind w:left="0"/>
        <w:jc w:val="left"/>
        <w:rPr>
          <w:rFonts w:hint="eastAsia"/>
        </w:rPr>
      </w:pPr>
      <w:r>
        <w:rPr>
          <w:rFonts w:hint="eastAsia"/>
        </w:rPr>
        <w:t>他们必须穿上信和爱当作护心镜遮胸；又把得救的盼望（即确信的保证）当作头盔戴上（6-8节）。</w:t>
      </w:r>
    </w:p>
    <w:p w14:paraId="6EE704C5">
      <w:pPr>
        <w:pStyle w:val="9"/>
        <w:spacing w:before="66"/>
        <w:ind w:left="0"/>
        <w:jc w:val="left"/>
        <w:rPr>
          <w:rFonts w:hint="eastAsia"/>
        </w:rPr>
      </w:pPr>
    </w:p>
    <w:p w14:paraId="09A0EF90">
      <w:pPr>
        <w:pStyle w:val="9"/>
        <w:spacing w:before="66"/>
        <w:ind w:left="0"/>
        <w:jc w:val="left"/>
        <w:rPr>
          <w:rFonts w:hint="eastAsia"/>
        </w:rPr>
      </w:pPr>
      <w:r>
        <w:rPr>
          <w:rFonts w:hint="eastAsia"/>
        </w:rPr>
        <w:t>Happily, they are well able to do so, since the sovereign God has not destined them for the outpouring of his wrath that will occur on the Day of the Lord Jesus (v. 2; 1 Cor. 5:5, 2 Cor. 1:14; 2 Thess. 1:3-12, 2 Thess. 2:1-12).</w:t>
      </w:r>
    </w:p>
    <w:p w14:paraId="39F74D0A">
      <w:pPr>
        <w:pStyle w:val="9"/>
        <w:spacing w:before="66"/>
        <w:ind w:left="0"/>
        <w:jc w:val="left"/>
        <w:rPr>
          <w:rFonts w:hint="eastAsia"/>
        </w:rPr>
      </w:pPr>
      <w:r>
        <w:rPr>
          <w:rFonts w:hint="eastAsia"/>
        </w:rPr>
        <w:t>幸运的是，他们完全能够这样做，因为主宰的上帝并没有预定他们遭受那将在主耶稣的日子倾倒的忿怒（第2节；林前5:5，林后1:14；帖后1:3-12, 2:1-12）。</w:t>
      </w:r>
    </w:p>
    <w:p w14:paraId="088FCE72">
      <w:pPr>
        <w:pStyle w:val="9"/>
        <w:spacing w:before="66"/>
        <w:ind w:left="0"/>
        <w:jc w:val="left"/>
        <w:rPr>
          <w:rFonts w:hint="eastAsia"/>
        </w:rPr>
      </w:pPr>
    </w:p>
    <w:p w14:paraId="5E612E51">
      <w:pPr>
        <w:pStyle w:val="9"/>
        <w:spacing w:before="66"/>
        <w:ind w:left="0"/>
        <w:jc w:val="left"/>
        <w:rPr>
          <w:rFonts w:hint="eastAsia"/>
        </w:rPr>
      </w:pPr>
      <w:r>
        <w:rPr>
          <w:rFonts w:hint="eastAsia"/>
        </w:rPr>
        <w:t>Rather, he has destined them for full and final salvation, which Christ will bestow upon his own when he comes again (1 Thess. 4:13-18, 2 Thess. 1:3-12; Rom. 8:18-25, 2 Cor. 5:1-10, Phil. 3:20-21, etc.).</w:t>
      </w:r>
    </w:p>
    <w:p w14:paraId="795210C3">
      <w:pPr>
        <w:pStyle w:val="9"/>
        <w:spacing w:before="66"/>
        <w:ind w:left="0"/>
        <w:jc w:val="left"/>
        <w:rPr>
          <w:rFonts w:hint="eastAsia"/>
        </w:rPr>
      </w:pPr>
      <w:r>
        <w:rPr>
          <w:rFonts w:hint="eastAsia"/>
        </w:rPr>
        <w:t>相反，祂已预定他们得着完全和最终的救恩，这救恩是基督在祂再来时将赐给属祂自己的人的（帖前4:13-18，帖后1:3-12；罗8:18-25，林后5:1-10，腓3:20-21等）。</w:t>
      </w:r>
    </w:p>
    <w:p w14:paraId="2DCFD2D1">
      <w:pPr>
        <w:pStyle w:val="9"/>
        <w:spacing w:before="66"/>
        <w:ind w:left="0"/>
        <w:jc w:val="left"/>
        <w:rPr>
          <w:rFonts w:hint="eastAsia"/>
        </w:rPr>
      </w:pPr>
    </w:p>
    <w:p w14:paraId="59376386">
      <w:pPr>
        <w:pStyle w:val="9"/>
        <w:spacing w:before="66"/>
        <w:ind w:left="0"/>
        <w:jc w:val="left"/>
        <w:rPr>
          <w:rFonts w:hint="eastAsia"/>
        </w:rPr>
      </w:pPr>
      <w:r>
        <w:rPr>
          <w:rFonts w:hint="eastAsia"/>
        </w:rPr>
        <w:t>Observe in verse 10 how Paul concludes this section by reverting to the theme with which he opened his meditation in 4:13-18.</w:t>
      </w:r>
    </w:p>
    <w:p w14:paraId="57A45F7B">
      <w:pPr>
        <w:pStyle w:val="9"/>
        <w:spacing w:before="66"/>
        <w:ind w:left="0"/>
        <w:jc w:val="left"/>
        <w:rPr>
          <w:rFonts w:hint="eastAsia"/>
        </w:rPr>
      </w:pPr>
      <w:r>
        <w:rPr>
          <w:rFonts w:hint="eastAsia"/>
        </w:rPr>
        <w:t>请观察在第10节，保罗如何通过回到他在4:13-18开始默想的主题来结束这一部分。</w:t>
      </w:r>
    </w:p>
    <w:p w14:paraId="1B407FA7">
      <w:pPr>
        <w:pStyle w:val="9"/>
        <w:spacing w:before="66"/>
        <w:ind w:left="0"/>
        <w:jc w:val="left"/>
        <w:rPr>
          <w:rFonts w:hint="eastAsia"/>
        </w:rPr>
      </w:pPr>
    </w:p>
    <w:p w14:paraId="7411ACFE">
      <w:pPr>
        <w:pStyle w:val="9"/>
        <w:spacing w:before="66"/>
        <w:ind w:left="0"/>
        <w:jc w:val="left"/>
        <w:rPr>
          <w:rFonts w:hint="eastAsia"/>
        </w:rPr>
      </w:pPr>
      <w:r>
        <w:rPr>
          <w:rFonts w:hint="eastAsia"/>
        </w:rPr>
        <w:t>The Lord has died for us, so that whether we are awake (i.e., physically alive) or asleep (i.e., physically dead) we can live: together with him now on earth, together with him in heaven during the Intermediate State, and together with him and one another in the new world that he will create for us when he comes again!</w:t>
      </w:r>
    </w:p>
    <w:p w14:paraId="620E7EB5">
      <w:pPr>
        <w:pStyle w:val="9"/>
        <w:spacing w:before="66"/>
        <w:ind w:left="0"/>
        <w:jc w:val="left"/>
        <w:rPr>
          <w:rFonts w:hint="eastAsia"/>
        </w:rPr>
      </w:pPr>
      <w:r>
        <w:rPr>
          <w:rFonts w:hint="eastAsia"/>
        </w:rPr>
        <w:t>主为我们死了，好叫我们或醒着（即肉身活着），或睡了（即肉身死了），都可以活：现在在地上与祂同活，在中间状态时在天上与祂同活，并在祂再来时为我们创造的新世界里与祂并彼此同活！</w:t>
      </w:r>
    </w:p>
    <w:p w14:paraId="5FD6743E">
      <w:pPr>
        <w:pStyle w:val="9"/>
        <w:spacing w:before="66"/>
        <w:ind w:left="0"/>
        <w:jc w:val="left"/>
        <w:rPr>
          <w:rFonts w:hint="eastAsia"/>
        </w:rPr>
      </w:pPr>
    </w:p>
    <w:p w14:paraId="782A96EE">
      <w:pPr>
        <w:pStyle w:val="9"/>
        <w:spacing w:before="66"/>
        <w:ind w:left="0"/>
        <w:jc w:val="left"/>
        <w:rPr>
          <w:rFonts w:hint="eastAsia"/>
        </w:rPr>
      </w:pPr>
      <w:r>
        <w:rPr>
          <w:rFonts w:hint="eastAsia"/>
        </w:rPr>
        <w:t>Our text is indeed a unit, exploring different facets of the one Consummation set to occur at the Parousia of the Lord Jesus Christ.</w:t>
      </w:r>
    </w:p>
    <w:p w14:paraId="1DC6C5AA">
      <w:pPr>
        <w:pStyle w:val="9"/>
        <w:spacing w:before="66"/>
        <w:ind w:left="0"/>
        <w:jc w:val="left"/>
        <w:rPr>
          <w:rFonts w:hint="eastAsia"/>
        </w:rPr>
      </w:pPr>
      <w:r>
        <w:rPr>
          <w:rFonts w:hint="eastAsia"/>
        </w:rPr>
        <w:t>我们的经文确实是一个整体，探讨了在主耶稣基督主临（Parousia）时将要发生的一次性最终成全的不同方面。</w:t>
      </w:r>
    </w:p>
    <w:p w14:paraId="75927C86">
      <w:pPr>
        <w:pStyle w:val="9"/>
        <w:spacing w:before="66"/>
        <w:ind w:left="0"/>
        <w:jc w:val="left"/>
        <w:rPr>
          <w:rFonts w:hint="eastAsia"/>
        </w:rPr>
      </w:pPr>
    </w:p>
    <w:p w14:paraId="779B4D90">
      <w:pPr>
        <w:pStyle w:val="9"/>
        <w:spacing w:before="66"/>
        <w:ind w:left="0"/>
        <w:jc w:val="left"/>
        <w:rPr>
          <w:rFonts w:hint="eastAsia"/>
        </w:rPr>
      </w:pPr>
      <w:r>
        <w:rPr>
          <w:rFonts w:hint="eastAsia"/>
        </w:rPr>
        <w:t>The Dispensational Interpretation</w:t>
      </w:r>
    </w:p>
    <w:p w14:paraId="53FAA917">
      <w:pPr>
        <w:pStyle w:val="9"/>
        <w:spacing w:before="66"/>
        <w:ind w:left="0"/>
        <w:jc w:val="left"/>
        <w:rPr>
          <w:rFonts w:hint="eastAsia"/>
        </w:rPr>
      </w:pPr>
      <w:r>
        <w:rPr>
          <w:rFonts w:hint="eastAsia"/>
        </w:rPr>
        <w:t>时代论的解释</w:t>
      </w:r>
    </w:p>
    <w:p w14:paraId="00C100CF">
      <w:pPr>
        <w:pStyle w:val="9"/>
        <w:spacing w:before="66"/>
        <w:ind w:left="0"/>
        <w:jc w:val="left"/>
        <w:rPr>
          <w:rFonts w:hint="eastAsia"/>
        </w:rPr>
      </w:pPr>
    </w:p>
    <w:p w14:paraId="43952136">
      <w:pPr>
        <w:pStyle w:val="9"/>
        <w:spacing w:before="66"/>
        <w:ind w:left="0"/>
        <w:jc w:val="left"/>
        <w:rPr>
          <w:rFonts w:hint="eastAsia"/>
        </w:rPr>
      </w:pPr>
      <w:r>
        <w:rPr>
          <w:rFonts w:hint="eastAsia"/>
        </w:rPr>
        <w:t>I have argued that 1 Thess. 4:13-5:10 not only accommodates but positively teaches a single Consummation.</w:t>
      </w:r>
    </w:p>
    <w:p w14:paraId="25450682">
      <w:pPr>
        <w:pStyle w:val="9"/>
        <w:spacing w:before="66"/>
        <w:ind w:left="0"/>
        <w:jc w:val="left"/>
        <w:rPr>
          <w:rFonts w:hint="eastAsia"/>
        </w:rPr>
      </w:pPr>
      <w:r>
        <w:rPr>
          <w:rFonts w:hint="eastAsia"/>
        </w:rPr>
        <w:t>我已论证帖撒罗尼迦前书4:13-5:10不仅容纳，而且明确地教导了一个单一的最终成全。</w:t>
      </w:r>
    </w:p>
    <w:p w14:paraId="321538BC">
      <w:pPr>
        <w:pStyle w:val="9"/>
        <w:spacing w:before="66"/>
        <w:ind w:left="0"/>
        <w:jc w:val="left"/>
        <w:rPr>
          <w:rFonts w:hint="eastAsia"/>
        </w:rPr>
      </w:pPr>
    </w:p>
    <w:p w14:paraId="2777BB85">
      <w:pPr>
        <w:pStyle w:val="9"/>
        <w:spacing w:before="66"/>
        <w:ind w:left="0"/>
        <w:jc w:val="left"/>
        <w:rPr>
          <w:rFonts w:hint="eastAsia"/>
        </w:rPr>
      </w:pPr>
      <w:r>
        <w:rPr>
          <w:rFonts w:hint="eastAsia"/>
        </w:rPr>
        <w:t>Our dispensational brethren disagree.</w:t>
      </w:r>
    </w:p>
    <w:p w14:paraId="437BED85">
      <w:pPr>
        <w:pStyle w:val="9"/>
        <w:spacing w:before="66"/>
        <w:ind w:left="0"/>
        <w:jc w:val="left"/>
        <w:rPr>
          <w:rFonts w:hint="eastAsia"/>
        </w:rPr>
      </w:pPr>
      <w:r>
        <w:rPr>
          <w:rFonts w:hint="eastAsia"/>
        </w:rPr>
        <w:t>我们的时代论弟兄们不同意。</w:t>
      </w:r>
    </w:p>
    <w:p w14:paraId="781BCAF1">
      <w:pPr>
        <w:pStyle w:val="9"/>
        <w:spacing w:before="66"/>
        <w:ind w:left="0"/>
        <w:jc w:val="left"/>
        <w:rPr>
          <w:rFonts w:hint="eastAsia"/>
        </w:rPr>
      </w:pPr>
    </w:p>
    <w:p w14:paraId="20CEF29A">
      <w:pPr>
        <w:pStyle w:val="9"/>
        <w:spacing w:before="66"/>
        <w:ind w:left="0"/>
        <w:jc w:val="left"/>
        <w:rPr>
          <w:rFonts w:hint="eastAsia"/>
        </w:rPr>
      </w:pPr>
      <w:r>
        <w:rPr>
          <w:rFonts w:hint="eastAsia"/>
        </w:rPr>
        <w:t>John MacArthur writes, “This passage, along with John 14:1-3 and 1 Cor. 15:51-52, forms the biblical basis for the ‘Rapture’ of the Church, which takes place when Jesus comes to collect his redeemed and take them back to heaven.”</w:t>
      </w:r>
    </w:p>
    <w:p w14:paraId="03756935">
      <w:pPr>
        <w:pStyle w:val="9"/>
        <w:spacing w:before="66"/>
        <w:ind w:left="0"/>
        <w:jc w:val="left"/>
        <w:rPr>
          <w:rFonts w:hint="eastAsia"/>
        </w:rPr>
      </w:pPr>
      <w:r>
        <w:rPr>
          <w:rFonts w:hint="eastAsia"/>
        </w:rPr>
        <w:t>约翰·麦克阿瑟写道：“这段经文，连同约翰福音14:1-3和哥林多前书15:51-52，构成了教会‘被提’的圣经基础，这发生在耶稣来收集祂的被赎者并将他们带回天堂之时。”</w:t>
      </w:r>
    </w:p>
    <w:p w14:paraId="3C79A135">
      <w:pPr>
        <w:pStyle w:val="9"/>
        <w:spacing w:before="66"/>
        <w:ind w:left="0"/>
        <w:jc w:val="left"/>
        <w:rPr>
          <w:rFonts w:hint="eastAsia"/>
        </w:rPr>
      </w:pPr>
    </w:p>
    <w:p w14:paraId="56356CC6">
      <w:pPr>
        <w:pStyle w:val="9"/>
        <w:spacing w:before="66"/>
        <w:ind w:left="0"/>
        <w:jc w:val="left"/>
        <w:rPr>
          <w:rFonts w:hint="eastAsia"/>
        </w:rPr>
      </w:pPr>
      <w:r>
        <w:rPr>
          <w:rFonts w:hint="eastAsia"/>
        </w:rPr>
        <w:t>In commenting further, MacArthur argues that the Rapture will occur seven years prior to the Day of the Lord; that the Day of the Lord is exclusively a Day of Judgment upon the unbelieving world; and that the Day of the Lord “falls into two parts,” the first occurring throughout—but especially at the end of—the Great Tribulation, and the second occurring at the close of the Millennium.</w:t>
      </w:r>
    </w:p>
    <w:p w14:paraId="07D0C2DF">
      <w:pPr>
        <w:pStyle w:val="9"/>
        <w:spacing w:before="66"/>
        <w:ind w:left="0"/>
        <w:jc w:val="left"/>
        <w:rPr>
          <w:rFonts w:hint="eastAsia"/>
        </w:rPr>
      </w:pPr>
      <w:r>
        <w:rPr>
          <w:rFonts w:hint="eastAsia"/>
        </w:rPr>
        <w:t>在进一步的评论中，麦克阿瑟论证说，被提将在主的日子之前七年发生；主的日子完全是审判不信世界的一日；并且主的日子“分为两部分”，第一部分发生在整个——但尤其是在末了的——大灾难期间，第二部分发生在千禧年结束时。</w:t>
      </w:r>
    </w:p>
    <w:p w14:paraId="580DF30E">
      <w:pPr>
        <w:pStyle w:val="9"/>
        <w:spacing w:before="66"/>
        <w:ind w:left="0"/>
        <w:jc w:val="left"/>
        <w:rPr>
          <w:rFonts w:hint="eastAsia"/>
        </w:rPr>
      </w:pPr>
    </w:p>
    <w:p w14:paraId="4F6F9C9C">
      <w:pPr>
        <w:pStyle w:val="9"/>
        <w:spacing w:before="66"/>
        <w:ind w:left="0"/>
        <w:jc w:val="left"/>
        <w:rPr>
          <w:rFonts w:hint="eastAsia"/>
        </w:rPr>
      </w:pPr>
      <w:r>
        <w:rPr>
          <w:rFonts w:hint="eastAsia"/>
        </w:rPr>
        <w:t>Needless to say, this interpretation is controversial.</w:t>
      </w:r>
    </w:p>
    <w:p w14:paraId="15289205">
      <w:pPr>
        <w:pStyle w:val="9"/>
        <w:spacing w:before="66"/>
        <w:ind w:left="0"/>
        <w:jc w:val="left"/>
        <w:rPr>
          <w:rFonts w:hint="eastAsia"/>
        </w:rPr>
      </w:pPr>
      <w:r>
        <w:rPr>
          <w:rFonts w:hint="eastAsia"/>
        </w:rPr>
        <w:t>不用说，这种解释是有争议的。</w:t>
      </w:r>
    </w:p>
    <w:p w14:paraId="53A730FB">
      <w:pPr>
        <w:pStyle w:val="9"/>
        <w:spacing w:before="66"/>
        <w:ind w:left="0"/>
        <w:jc w:val="left"/>
        <w:rPr>
          <w:rFonts w:hint="eastAsia"/>
        </w:rPr>
      </w:pPr>
    </w:p>
    <w:p w14:paraId="7C09CE8B">
      <w:pPr>
        <w:pStyle w:val="9"/>
        <w:spacing w:before="66"/>
        <w:ind w:left="0"/>
        <w:jc w:val="left"/>
        <w:rPr>
          <w:rFonts w:hint="eastAsia"/>
        </w:rPr>
      </w:pPr>
      <w:r>
        <w:rPr>
          <w:rFonts w:hint="eastAsia"/>
        </w:rPr>
        <w:t>As MacArthur himself would freely admit, the text itself explicitly teaches none of these things.</w:t>
      </w:r>
    </w:p>
    <w:p w14:paraId="5FAA8262">
      <w:pPr>
        <w:pStyle w:val="9"/>
        <w:spacing w:before="66"/>
        <w:ind w:left="0"/>
        <w:jc w:val="left"/>
        <w:rPr>
          <w:rFonts w:hint="eastAsia"/>
        </w:rPr>
      </w:pPr>
      <w:r>
        <w:rPr>
          <w:rFonts w:hint="eastAsia"/>
        </w:rPr>
        <w:t>正如麦克阿瑟自己会坦然承认的，经文本身并没有明确地教导这些事。</w:t>
      </w:r>
    </w:p>
    <w:p w14:paraId="47911D07">
      <w:pPr>
        <w:pStyle w:val="9"/>
        <w:spacing w:before="66"/>
        <w:ind w:left="0"/>
        <w:jc w:val="left"/>
        <w:rPr>
          <w:rFonts w:hint="eastAsia"/>
        </w:rPr>
      </w:pPr>
    </w:p>
    <w:p w14:paraId="136B2CE0">
      <w:pPr>
        <w:pStyle w:val="9"/>
        <w:spacing w:before="66"/>
        <w:ind w:left="0"/>
        <w:jc w:val="left"/>
        <w:rPr>
          <w:rFonts w:hint="eastAsia"/>
        </w:rPr>
      </w:pPr>
      <w:r>
        <w:rPr>
          <w:rFonts w:hint="eastAsia"/>
        </w:rPr>
        <w:t>In particular, it says nothing about Christ taking his Church to heaven, nothing about a future millennium, nothing about the Day of the Lord being devoted exclusively to judgment, nothing about it “falling into two parts,” and nothing about the multiple resurrections required in order to make this complicated scenario work.</w:t>
      </w:r>
    </w:p>
    <w:p w14:paraId="6E51B3DB">
      <w:pPr>
        <w:pStyle w:val="9"/>
        <w:spacing w:before="66"/>
        <w:ind w:left="0"/>
        <w:jc w:val="left"/>
        <w:rPr>
          <w:rFonts w:hint="eastAsia"/>
        </w:rPr>
      </w:pPr>
      <w:r>
        <w:rPr>
          <w:rFonts w:hint="eastAsia"/>
        </w:rPr>
        <w:t>特别是，它没有说任何关于基督将祂的教会带到天上的事，没有说任何关于未来千禧年的事，没有说任何关于主的日子完全是审判的事，没有说任何关于它“分为两部分”的事，也没有说任何关于要使这个复杂的情景奏效所需要的多次复活的事。</w:t>
      </w:r>
    </w:p>
    <w:p w14:paraId="4DFD3B4F">
      <w:pPr>
        <w:pStyle w:val="9"/>
        <w:spacing w:before="66"/>
        <w:ind w:left="0"/>
        <w:jc w:val="left"/>
        <w:rPr>
          <w:rFonts w:hint="eastAsia"/>
        </w:rPr>
      </w:pPr>
    </w:p>
    <w:p w14:paraId="18C3059C">
      <w:pPr>
        <w:pStyle w:val="9"/>
        <w:spacing w:before="66"/>
        <w:ind w:left="0"/>
        <w:jc w:val="left"/>
        <w:rPr>
          <w:rFonts w:hint="eastAsia"/>
        </w:rPr>
      </w:pPr>
      <w:r>
        <w:rPr>
          <w:rFonts w:hint="eastAsia"/>
        </w:rPr>
        <w:t>Clearly, MacArthur is reading his eschatology into the text.</w:t>
      </w:r>
    </w:p>
    <w:p w14:paraId="70E5FD7E">
      <w:pPr>
        <w:pStyle w:val="9"/>
        <w:spacing w:before="66"/>
        <w:ind w:left="0"/>
        <w:jc w:val="left"/>
        <w:rPr>
          <w:rFonts w:hint="eastAsia"/>
        </w:rPr>
      </w:pPr>
      <w:r>
        <w:rPr>
          <w:rFonts w:hint="eastAsia"/>
        </w:rPr>
        <w:t>显然，麦克阿瑟正在将他的末世论读入经文中。</w:t>
      </w:r>
    </w:p>
    <w:p w14:paraId="4D940AB0">
      <w:pPr>
        <w:pStyle w:val="9"/>
        <w:spacing w:before="66"/>
        <w:ind w:left="0"/>
        <w:jc w:val="left"/>
        <w:rPr>
          <w:rFonts w:hint="eastAsia"/>
        </w:rPr>
      </w:pPr>
    </w:p>
    <w:p w14:paraId="3AC62F1D">
      <w:pPr>
        <w:pStyle w:val="9"/>
        <w:spacing w:before="66"/>
        <w:ind w:left="0"/>
        <w:jc w:val="left"/>
        <w:rPr>
          <w:rFonts w:hint="eastAsia"/>
        </w:rPr>
      </w:pPr>
      <w:r>
        <w:rPr>
          <w:rFonts w:hint="eastAsia"/>
        </w:rPr>
        <w:t>The great questions are: “Has he done so successfully?</w:t>
      </w:r>
    </w:p>
    <w:p w14:paraId="6E86A847">
      <w:pPr>
        <w:pStyle w:val="9"/>
        <w:spacing w:before="66"/>
        <w:ind w:left="0"/>
        <w:jc w:val="left"/>
        <w:rPr>
          <w:rFonts w:hint="eastAsia"/>
        </w:rPr>
      </w:pPr>
      <w:r>
        <w:rPr>
          <w:rFonts w:hint="eastAsia"/>
        </w:rPr>
        <w:t>最大的问题是：“祂这样做成功了吗？</w:t>
      </w:r>
    </w:p>
    <w:p w14:paraId="5742FE60">
      <w:pPr>
        <w:pStyle w:val="9"/>
        <w:spacing w:before="66"/>
        <w:ind w:left="0"/>
        <w:jc w:val="left"/>
        <w:rPr>
          <w:rFonts w:hint="eastAsia"/>
        </w:rPr>
      </w:pPr>
    </w:p>
    <w:p w14:paraId="156F36FF">
      <w:pPr>
        <w:pStyle w:val="9"/>
        <w:spacing w:before="66"/>
        <w:ind w:left="0"/>
        <w:jc w:val="left"/>
        <w:rPr>
          <w:rFonts w:hint="eastAsia"/>
        </w:rPr>
      </w:pPr>
      <w:r>
        <w:rPr>
          <w:rFonts w:hint="eastAsia"/>
        </w:rPr>
        <w:t>What arguments does he offer?</w:t>
      </w:r>
    </w:p>
    <w:p w14:paraId="7CCFCD7F">
      <w:pPr>
        <w:pStyle w:val="9"/>
        <w:spacing w:before="66"/>
        <w:ind w:left="0"/>
        <w:jc w:val="left"/>
        <w:rPr>
          <w:rFonts w:hint="eastAsia"/>
        </w:rPr>
      </w:pPr>
      <w:r>
        <w:rPr>
          <w:rFonts w:hint="eastAsia"/>
        </w:rPr>
        <w:t>他提供了什么论据？</w:t>
      </w:r>
    </w:p>
    <w:p w14:paraId="28B0FFF2">
      <w:pPr>
        <w:pStyle w:val="9"/>
        <w:spacing w:before="66"/>
        <w:ind w:left="0"/>
        <w:jc w:val="left"/>
        <w:rPr>
          <w:rFonts w:hint="eastAsia"/>
        </w:rPr>
      </w:pPr>
    </w:p>
    <w:p w14:paraId="65457521">
      <w:pPr>
        <w:pStyle w:val="9"/>
        <w:spacing w:before="66"/>
        <w:ind w:left="0"/>
        <w:jc w:val="left"/>
        <w:rPr>
          <w:rFonts w:hint="eastAsia"/>
        </w:rPr>
      </w:pPr>
      <w:r>
        <w:rPr>
          <w:rFonts w:hint="eastAsia"/>
        </w:rPr>
        <w:t>Are his arguments sound?”</w:t>
      </w:r>
    </w:p>
    <w:p w14:paraId="5CB6AE85">
      <w:pPr>
        <w:pStyle w:val="9"/>
        <w:spacing w:before="66"/>
        <w:ind w:left="0"/>
        <w:jc w:val="left"/>
        <w:rPr>
          <w:rFonts w:hint="eastAsia"/>
        </w:rPr>
      </w:pPr>
      <w:r>
        <w:rPr>
          <w:rFonts w:hint="eastAsia"/>
        </w:rPr>
        <w:t>祂的论点站得住脚吗？”</w:t>
      </w:r>
    </w:p>
    <w:p w14:paraId="698DF86E">
      <w:pPr>
        <w:pStyle w:val="9"/>
        <w:spacing w:before="66"/>
        <w:ind w:left="0"/>
        <w:jc w:val="left"/>
        <w:rPr>
          <w:rFonts w:hint="eastAsia"/>
        </w:rPr>
      </w:pPr>
    </w:p>
    <w:p w14:paraId="24E94CA3">
      <w:pPr>
        <w:pStyle w:val="9"/>
        <w:spacing w:before="66"/>
        <w:ind w:left="0"/>
        <w:jc w:val="left"/>
        <w:rPr>
          <w:rFonts w:hint="eastAsia"/>
        </w:rPr>
      </w:pPr>
      <w:r>
        <w:rPr>
          <w:rFonts w:hint="eastAsia"/>
        </w:rPr>
        <w:t>Let us turn to the notes of The MacArthur Study Bible in order to find out.</w:t>
      </w:r>
    </w:p>
    <w:p w14:paraId="327FD6B9">
      <w:pPr>
        <w:pStyle w:val="9"/>
        <w:spacing w:before="66"/>
        <w:ind w:left="0"/>
        <w:jc w:val="left"/>
        <w:rPr>
          <w:rFonts w:hint="eastAsia"/>
        </w:rPr>
      </w:pPr>
      <w:r>
        <w:rPr>
          <w:rFonts w:hint="eastAsia"/>
        </w:rPr>
        <w:t>让我们转向《麦克阿瑟研读本圣经》的注释来找出答案。</w:t>
      </w:r>
    </w:p>
    <w:p w14:paraId="4F62AB31">
      <w:pPr>
        <w:pStyle w:val="9"/>
        <w:spacing w:before="66"/>
        <w:ind w:left="0"/>
        <w:jc w:val="left"/>
        <w:rPr>
          <w:rFonts w:hint="eastAsia"/>
        </w:rPr>
      </w:pPr>
    </w:p>
    <w:p w14:paraId="5EF75A86">
      <w:pPr>
        <w:pStyle w:val="9"/>
        <w:spacing w:before="66"/>
        <w:ind w:left="0"/>
        <w:jc w:val="left"/>
        <w:rPr>
          <w:rFonts w:hint="eastAsia"/>
        </w:rPr>
      </w:pPr>
      <w:r>
        <w:rPr>
          <w:rFonts w:hint="eastAsia"/>
        </w:rPr>
        <w:t>MacArthur opens his case by appealing to two other NT texts, John 14:1-3 and 1 Cor. 15:51-52.</w:t>
      </w:r>
    </w:p>
    <w:p w14:paraId="19553FD0">
      <w:pPr>
        <w:pStyle w:val="9"/>
        <w:spacing w:before="66"/>
        <w:ind w:left="0"/>
        <w:jc w:val="left"/>
        <w:rPr>
          <w:rFonts w:hint="eastAsia"/>
        </w:rPr>
      </w:pPr>
      <w:r>
        <w:rPr>
          <w:rFonts w:hint="eastAsia"/>
        </w:rPr>
        <w:t>麦克阿瑟通过诉诸另外两段新约经文，约翰福音14:1-3和哥林多前书15:51-52，来开始他的论证。</w:t>
      </w:r>
    </w:p>
    <w:p w14:paraId="48674AD6">
      <w:pPr>
        <w:pStyle w:val="9"/>
        <w:spacing w:before="66"/>
        <w:ind w:left="0"/>
        <w:jc w:val="left"/>
        <w:rPr>
          <w:rFonts w:hint="eastAsia"/>
        </w:rPr>
      </w:pPr>
    </w:p>
    <w:p w14:paraId="25820FF1">
      <w:pPr>
        <w:pStyle w:val="9"/>
        <w:spacing w:before="66"/>
        <w:ind w:left="0"/>
        <w:jc w:val="left"/>
        <w:rPr>
          <w:rFonts w:hint="eastAsia"/>
        </w:rPr>
      </w:pPr>
      <w:r>
        <w:rPr>
          <w:rFonts w:hint="eastAsia"/>
        </w:rPr>
        <w:t>The former, he says, “specifically explained” the mystery of the Rapture, the latter further illumined it.</w:t>
      </w:r>
    </w:p>
    <w:p w14:paraId="6179878B">
      <w:pPr>
        <w:pStyle w:val="9"/>
        <w:spacing w:before="66"/>
        <w:ind w:left="0"/>
        <w:jc w:val="left"/>
        <w:rPr>
          <w:rFonts w:hint="eastAsia"/>
        </w:rPr>
      </w:pPr>
      <w:r>
        <w:rPr>
          <w:rFonts w:hint="eastAsia"/>
        </w:rPr>
        <w:t>前者，祂说，“明确地解释了”被提的奥秘，后者进一步阐明了它。</w:t>
      </w:r>
    </w:p>
    <w:p w14:paraId="407AEEBD">
      <w:pPr>
        <w:pStyle w:val="9"/>
        <w:spacing w:before="66"/>
        <w:ind w:left="0"/>
        <w:jc w:val="left"/>
        <w:rPr>
          <w:rFonts w:hint="eastAsia"/>
        </w:rPr>
      </w:pPr>
    </w:p>
    <w:p w14:paraId="09ABF86A">
      <w:pPr>
        <w:pStyle w:val="9"/>
        <w:spacing w:before="66"/>
        <w:ind w:left="0"/>
        <w:jc w:val="left"/>
        <w:rPr>
          <w:rFonts w:hint="eastAsia"/>
        </w:rPr>
      </w:pPr>
      <w:r>
        <w:rPr>
          <w:rFonts w:hint="eastAsia"/>
        </w:rPr>
        <w:t>Now, in 1 Thess. 4:13-18, Paul goes on to complete the revelation of this mystery, filling in all the “details.”</w:t>
      </w:r>
    </w:p>
    <w:p w14:paraId="1505B161">
      <w:pPr>
        <w:pStyle w:val="9"/>
        <w:spacing w:before="66"/>
        <w:ind w:left="0"/>
        <w:jc w:val="left"/>
        <w:rPr>
          <w:rFonts w:hint="eastAsia"/>
        </w:rPr>
      </w:pPr>
      <w:r>
        <w:rPr>
          <w:rFonts w:hint="eastAsia"/>
        </w:rPr>
        <w:t>现在，在帖撒罗尼迦前书4:13-18中，保罗继续完成这个奥秘的启示，填补了所有的“细节”。</w:t>
      </w:r>
    </w:p>
    <w:p w14:paraId="695031D6">
      <w:pPr>
        <w:pStyle w:val="9"/>
        <w:spacing w:before="66"/>
        <w:ind w:left="0"/>
        <w:jc w:val="left"/>
        <w:rPr>
          <w:rFonts w:hint="eastAsia"/>
        </w:rPr>
      </w:pPr>
    </w:p>
    <w:p w14:paraId="5BF49034">
      <w:pPr>
        <w:pStyle w:val="9"/>
        <w:spacing w:before="66"/>
        <w:ind w:left="0"/>
        <w:jc w:val="left"/>
        <w:rPr>
          <w:rFonts w:hint="eastAsia"/>
        </w:rPr>
      </w:pPr>
      <w:r>
        <w:rPr>
          <w:rFonts w:hint="eastAsia"/>
        </w:rPr>
        <w:t>We have seen, however, that in John 14:1-3, Christ did not “specifically explain” the Rapture; that his words could refer to his removing the Church to heaven; but that his words elsewhere (both in the Gospels and the epistles) rule out this interpretation, inviting us to embrace the traditional Reformation view, with which John 14:1-3 harmonizes quite well.</w:t>
      </w:r>
    </w:p>
    <w:p w14:paraId="6331842C">
      <w:pPr>
        <w:pStyle w:val="9"/>
        <w:spacing w:before="66"/>
        <w:ind w:left="0"/>
        <w:jc w:val="left"/>
        <w:rPr>
          <w:rFonts w:hint="eastAsia"/>
        </w:rPr>
      </w:pPr>
      <w:r>
        <w:rPr>
          <w:rFonts w:hint="eastAsia"/>
        </w:rPr>
        <w:t>然而，我们已经看到，在约翰福音14:1-3中，基督并没有“明确地解释”被提；祂的话语可以指祂将教会提到天上；但祂在别处的话语（无论是在福音书还是书信中）都排除了这种解释，邀请我们接受传统的宗教改革观点，约翰福音14:1-3与此相当协调。</w:t>
      </w:r>
    </w:p>
    <w:p w14:paraId="56E071FD">
      <w:pPr>
        <w:pStyle w:val="9"/>
        <w:spacing w:before="66"/>
        <w:ind w:left="0"/>
        <w:jc w:val="left"/>
        <w:rPr>
          <w:rFonts w:hint="eastAsia"/>
        </w:rPr>
      </w:pPr>
    </w:p>
    <w:p w14:paraId="2B0A78CB">
      <w:pPr>
        <w:pStyle w:val="9"/>
        <w:spacing w:before="66"/>
        <w:ind w:left="0"/>
        <w:jc w:val="left"/>
        <w:rPr>
          <w:rFonts w:hint="eastAsia"/>
        </w:rPr>
      </w:pPr>
      <w:r>
        <w:rPr>
          <w:rFonts w:hint="eastAsia"/>
        </w:rPr>
        <w:t>As for 1 Cor. 15:51-52, we have seen that it closely parallels 1 Thess. 4:13-18, teaching nothing more (or less) than the sudden, supernatural transformation of the living saints.</w:t>
      </w:r>
    </w:p>
    <w:p w14:paraId="184835CE">
      <w:pPr>
        <w:pStyle w:val="9"/>
        <w:spacing w:before="66"/>
        <w:ind w:left="0"/>
        <w:jc w:val="left"/>
        <w:rPr>
          <w:rFonts w:hint="eastAsia"/>
        </w:rPr>
      </w:pPr>
      <w:r>
        <w:rPr>
          <w:rFonts w:hint="eastAsia"/>
        </w:rPr>
        <w:t>至于哥林多前书15:51-52，我们已经看到它与帖撒罗尼迦前书4:13-18密切平行，教导的无非是活着圣徒的突然、超自然的改变。</w:t>
      </w:r>
    </w:p>
    <w:p w14:paraId="07F5163C">
      <w:pPr>
        <w:pStyle w:val="9"/>
        <w:spacing w:before="66"/>
        <w:ind w:left="0"/>
        <w:jc w:val="left"/>
        <w:rPr>
          <w:rFonts w:hint="eastAsia"/>
        </w:rPr>
      </w:pPr>
    </w:p>
    <w:p w14:paraId="42E13B0D">
      <w:pPr>
        <w:pStyle w:val="9"/>
        <w:spacing w:before="66"/>
        <w:ind w:left="0"/>
        <w:jc w:val="left"/>
        <w:rPr>
          <w:rFonts w:hint="eastAsia"/>
        </w:rPr>
      </w:pPr>
      <w:r>
        <w:rPr>
          <w:rFonts w:hint="eastAsia"/>
        </w:rPr>
        <w:t>It makes no mention whatsoever of a secret Rapture into heaven.</w:t>
      </w:r>
    </w:p>
    <w:p w14:paraId="6EBDE4DB">
      <w:pPr>
        <w:pStyle w:val="9"/>
        <w:spacing w:before="66"/>
        <w:ind w:left="0"/>
        <w:jc w:val="left"/>
        <w:rPr>
          <w:rFonts w:hint="eastAsia"/>
        </w:rPr>
      </w:pPr>
      <w:r>
        <w:rPr>
          <w:rFonts w:hint="eastAsia"/>
        </w:rPr>
        <w:t>它完全没有提到一次秘密的被提到天上。</w:t>
      </w:r>
    </w:p>
    <w:p w14:paraId="732EF6FE">
      <w:pPr>
        <w:pStyle w:val="9"/>
        <w:spacing w:before="66"/>
        <w:ind w:left="0"/>
        <w:jc w:val="left"/>
        <w:rPr>
          <w:rFonts w:hint="eastAsia"/>
        </w:rPr>
      </w:pPr>
    </w:p>
    <w:p w14:paraId="171A33B6">
      <w:pPr>
        <w:pStyle w:val="9"/>
        <w:spacing w:before="66"/>
        <w:ind w:left="0"/>
        <w:jc w:val="left"/>
        <w:rPr>
          <w:rFonts w:hint="eastAsia"/>
        </w:rPr>
      </w:pPr>
      <w:r>
        <w:rPr>
          <w:rFonts w:hint="eastAsia"/>
        </w:rPr>
        <w:t>If, then, as MacArthur states, 1 Thess. 4:13-18 is indeed the premiere NT text on the Rapture, in which Paul gives us the full “details” about this great eschatological mystery, certainly we would expect him (Paul) at least to mention—and hopefully explain—the removal of the Church to heaven for seven years.</w:t>
      </w:r>
    </w:p>
    <w:p w14:paraId="515766D6">
      <w:pPr>
        <w:pStyle w:val="9"/>
        <w:spacing w:before="66"/>
        <w:ind w:left="0"/>
        <w:jc w:val="left"/>
        <w:rPr>
          <w:rFonts w:hint="eastAsia"/>
        </w:rPr>
      </w:pPr>
      <w:r>
        <w:rPr>
          <w:rFonts w:hint="eastAsia"/>
        </w:rPr>
        <w:t>那么，如果，如麦克阿瑟所说，帖撒罗尼迦前书4:13-18确实是新约中关于被提的首要经文，保罗在其中给了我们关于这个伟大末世奥秘的全部“细节”，我们当然会期望祂（保罗）至少提到——并希望能解释——教会到天上七年的事。</w:t>
      </w:r>
    </w:p>
    <w:p w14:paraId="5A284BB1">
      <w:pPr>
        <w:pStyle w:val="9"/>
        <w:spacing w:before="66"/>
        <w:ind w:left="0"/>
        <w:jc w:val="left"/>
        <w:rPr>
          <w:rFonts w:hint="eastAsia"/>
        </w:rPr>
      </w:pPr>
    </w:p>
    <w:p w14:paraId="07C76048">
      <w:pPr>
        <w:pStyle w:val="9"/>
        <w:spacing w:before="66"/>
        <w:ind w:left="0"/>
        <w:jc w:val="left"/>
        <w:rPr>
          <w:rFonts w:hint="eastAsia"/>
        </w:rPr>
      </w:pPr>
      <w:r>
        <w:rPr>
          <w:rFonts w:hint="eastAsia"/>
        </w:rPr>
        <w:t>We have just seen, however, that he does neither.</w:t>
      </w:r>
    </w:p>
    <w:p w14:paraId="4FA00237">
      <w:pPr>
        <w:pStyle w:val="9"/>
        <w:spacing w:before="66"/>
        <w:ind w:left="0"/>
        <w:jc w:val="left"/>
        <w:rPr>
          <w:rFonts w:hint="eastAsia"/>
        </w:rPr>
      </w:pPr>
      <w:r>
        <w:rPr>
          <w:rFonts w:hint="eastAsia"/>
        </w:rPr>
        <w:t>然而，我们刚才已经看到，祂两者都没有做。</w:t>
      </w:r>
    </w:p>
    <w:p w14:paraId="7D026F16">
      <w:pPr>
        <w:pStyle w:val="9"/>
        <w:spacing w:before="66"/>
        <w:ind w:left="0"/>
        <w:jc w:val="left"/>
        <w:rPr>
          <w:rFonts w:hint="eastAsia"/>
        </w:rPr>
      </w:pPr>
    </w:p>
    <w:p w14:paraId="3334399D">
      <w:pPr>
        <w:pStyle w:val="9"/>
        <w:spacing w:before="66"/>
        <w:ind w:left="0"/>
        <w:jc w:val="left"/>
        <w:rPr>
          <w:rFonts w:hint="eastAsia"/>
        </w:rPr>
      </w:pPr>
      <w:r>
        <w:rPr>
          <w:rFonts w:hint="eastAsia"/>
        </w:rPr>
        <w:t>Secondly, MacArthur points to various dissimilarities between the Rapture of 1 Thess. 4 and the Parousia of Mt. 24 (and the parallel Gospel texts), deducing from them that two distinct events are in view.</w:t>
      </w:r>
    </w:p>
    <w:p w14:paraId="5BD4BC7F">
      <w:pPr>
        <w:pStyle w:val="9"/>
        <w:spacing w:before="66"/>
        <w:ind w:left="0"/>
        <w:jc w:val="left"/>
        <w:rPr>
          <w:rFonts w:hint="eastAsia"/>
        </w:rPr>
      </w:pPr>
      <w:r>
        <w:rPr>
          <w:rFonts w:hint="eastAsia"/>
        </w:rPr>
        <w:t>其次，麦克阿瑟指出了帖撒罗尼迦前书第4章的被提与马太福音第24章（以及平行的福音书经文）的主临（Parousia）之间的各种差异，并由此推断出这里涉及两个不同的事件。</w:t>
      </w:r>
    </w:p>
    <w:p w14:paraId="5D34B7CC">
      <w:pPr>
        <w:pStyle w:val="9"/>
        <w:spacing w:before="66"/>
        <w:ind w:left="0"/>
        <w:jc w:val="left"/>
        <w:rPr>
          <w:rFonts w:hint="eastAsia"/>
        </w:rPr>
      </w:pPr>
    </w:p>
    <w:p w14:paraId="1E89CFD7">
      <w:pPr>
        <w:pStyle w:val="9"/>
        <w:spacing w:before="66"/>
        <w:ind w:left="0"/>
        <w:jc w:val="left"/>
        <w:rPr>
          <w:rFonts w:hint="eastAsia"/>
        </w:rPr>
      </w:pPr>
      <w:r>
        <w:rPr>
          <w:rFonts w:hint="eastAsia"/>
        </w:rPr>
        <w:t>Happily, he acknowledges the many similarities: a trumpet, a resurrection, glory clouds, and the ingathering of elect believers.</w:t>
      </w:r>
    </w:p>
    <w:p w14:paraId="1B114421">
      <w:pPr>
        <w:pStyle w:val="9"/>
        <w:spacing w:before="66"/>
        <w:ind w:left="0"/>
        <w:jc w:val="left"/>
        <w:rPr>
          <w:rFonts w:hint="eastAsia"/>
        </w:rPr>
      </w:pPr>
      <w:r>
        <w:rPr>
          <w:rFonts w:hint="eastAsia"/>
        </w:rPr>
        <w:t>幸好，他承认了许多相似之处：号筒、复活、荣耀的云彩，以及被拣选信徒的聚集。</w:t>
      </w:r>
    </w:p>
    <w:p w14:paraId="4A1E99DA">
      <w:pPr>
        <w:pStyle w:val="9"/>
        <w:spacing w:before="66"/>
        <w:ind w:left="0"/>
        <w:jc w:val="left"/>
        <w:rPr>
          <w:rFonts w:hint="eastAsia"/>
        </w:rPr>
      </w:pPr>
    </w:p>
    <w:p w14:paraId="21BAD992">
      <w:pPr>
        <w:pStyle w:val="9"/>
        <w:spacing w:before="66"/>
        <w:ind w:left="0"/>
        <w:jc w:val="left"/>
        <w:rPr>
          <w:rFonts w:hint="eastAsia"/>
        </w:rPr>
      </w:pPr>
      <w:r>
        <w:rPr>
          <w:rFonts w:hint="eastAsia"/>
        </w:rPr>
        <w:t>However, he refuses to draw from these similarities the most natural conclusion: that Paul, with the benefit of fresh apostolic insight, is simply providing us with further details about the same event; about the one Parousia that Christ will effect at the Consummation of all things.</w:t>
      </w:r>
    </w:p>
    <w:p w14:paraId="05C49713">
      <w:pPr>
        <w:pStyle w:val="9"/>
        <w:spacing w:before="66"/>
        <w:ind w:left="0"/>
        <w:jc w:val="left"/>
        <w:rPr>
          <w:rFonts w:hint="eastAsia"/>
        </w:rPr>
      </w:pPr>
      <w:r>
        <w:rPr>
          <w:rFonts w:hint="eastAsia"/>
        </w:rPr>
        <w:t>然而，祂拒绝从这些相似之处得出最自然的结论：即保罗，借着新的使徒性洞察力，只是在为我们提供关于同一事件的更多细节；关于基督将在万物最终成全时成就的那一次主临（Parousia）。</w:t>
      </w:r>
    </w:p>
    <w:p w14:paraId="2E067075">
      <w:pPr>
        <w:pStyle w:val="9"/>
        <w:spacing w:before="66"/>
        <w:ind w:left="0"/>
        <w:jc w:val="left"/>
        <w:rPr>
          <w:rFonts w:hint="eastAsia"/>
        </w:rPr>
      </w:pPr>
    </w:p>
    <w:p w14:paraId="16DB518A">
      <w:pPr>
        <w:pStyle w:val="9"/>
        <w:spacing w:before="66"/>
        <w:ind w:left="0"/>
        <w:jc w:val="left"/>
        <w:rPr>
          <w:rFonts w:hint="eastAsia"/>
        </w:rPr>
      </w:pPr>
      <w:r>
        <w:rPr>
          <w:rFonts w:hint="eastAsia"/>
        </w:rPr>
        <w:t>MacArthur’s case for distinguishing the Parousia of Mt. 24 from the Rapture of 1 Thess. 4 is not persuasive.</w:t>
      </w:r>
    </w:p>
    <w:p w14:paraId="5BC1A855">
      <w:pPr>
        <w:pStyle w:val="9"/>
        <w:spacing w:before="66"/>
        <w:ind w:left="0"/>
        <w:jc w:val="left"/>
        <w:rPr>
          <w:rFonts w:hint="eastAsia"/>
        </w:rPr>
      </w:pPr>
      <w:r>
        <w:rPr>
          <w:rFonts w:hint="eastAsia"/>
        </w:rPr>
        <w:t>麦克阿瑟为区分马太福音24章的主临（Parousia）与帖撒罗尼迦前书4章的被提而提出的论点并不具说服力。</w:t>
      </w:r>
    </w:p>
    <w:p w14:paraId="51B453B2">
      <w:pPr>
        <w:pStyle w:val="9"/>
        <w:spacing w:before="66"/>
        <w:ind w:left="0"/>
        <w:jc w:val="left"/>
        <w:rPr>
          <w:rFonts w:hint="eastAsia"/>
        </w:rPr>
      </w:pPr>
    </w:p>
    <w:p w14:paraId="5D2D10BC">
      <w:pPr>
        <w:pStyle w:val="9"/>
        <w:spacing w:before="66"/>
        <w:ind w:left="0"/>
        <w:jc w:val="left"/>
        <w:rPr>
          <w:rFonts w:hint="eastAsia"/>
        </w:rPr>
      </w:pPr>
      <w:r>
        <w:rPr>
          <w:rFonts w:hint="eastAsia"/>
        </w:rPr>
        <w:t>For example, he points out that in Matthew we see the Son of Man coming on the clouds, but that in 1 Thessalonians we see believers ascending in them.</w:t>
      </w:r>
    </w:p>
    <w:p w14:paraId="4C26A17D">
      <w:pPr>
        <w:pStyle w:val="9"/>
        <w:spacing w:before="66"/>
        <w:ind w:left="0"/>
        <w:jc w:val="left"/>
        <w:rPr>
          <w:rFonts w:hint="eastAsia"/>
        </w:rPr>
      </w:pPr>
      <w:r>
        <w:rPr>
          <w:rFonts w:hint="eastAsia"/>
        </w:rPr>
        <w:t>例如，祂指出在马太福音中我们看到人子驾云降临，但在帖撒罗尼迦前书中我们看到信徒在云中升天。</w:t>
      </w:r>
    </w:p>
    <w:p w14:paraId="3601E12E">
      <w:pPr>
        <w:pStyle w:val="9"/>
        <w:spacing w:before="66"/>
        <w:ind w:left="0"/>
        <w:jc w:val="left"/>
        <w:rPr>
          <w:rFonts w:hint="eastAsia"/>
        </w:rPr>
      </w:pPr>
    </w:p>
    <w:p w14:paraId="1B06180B">
      <w:pPr>
        <w:pStyle w:val="9"/>
        <w:spacing w:before="66"/>
        <w:ind w:left="0"/>
        <w:jc w:val="left"/>
        <w:rPr>
          <w:rFonts w:hint="eastAsia"/>
        </w:rPr>
      </w:pPr>
      <w:r>
        <w:rPr>
          <w:rFonts w:hint="eastAsia"/>
        </w:rPr>
        <w:t>But does this “dissimilarity” really require us to posit two separate events?</w:t>
      </w:r>
    </w:p>
    <w:p w14:paraId="578F39E8">
      <w:pPr>
        <w:pStyle w:val="9"/>
        <w:spacing w:before="66"/>
        <w:ind w:left="0"/>
        <w:jc w:val="left"/>
        <w:rPr>
          <w:rFonts w:hint="eastAsia"/>
        </w:rPr>
      </w:pPr>
      <w:r>
        <w:rPr>
          <w:rFonts w:hint="eastAsia"/>
        </w:rPr>
        <w:t>但这种“不相似”真的要求我们假设有两个独立的事件吗？</w:t>
      </w:r>
    </w:p>
    <w:p w14:paraId="3D06B2EC">
      <w:pPr>
        <w:pStyle w:val="9"/>
        <w:spacing w:before="66"/>
        <w:ind w:left="0"/>
        <w:jc w:val="left"/>
        <w:rPr>
          <w:rFonts w:hint="eastAsia"/>
        </w:rPr>
      </w:pPr>
    </w:p>
    <w:p w14:paraId="24AB17A0">
      <w:pPr>
        <w:pStyle w:val="9"/>
        <w:spacing w:before="66"/>
        <w:ind w:left="0"/>
        <w:jc w:val="left"/>
        <w:rPr>
          <w:rFonts w:hint="eastAsia"/>
        </w:rPr>
      </w:pPr>
      <w:r>
        <w:rPr>
          <w:rFonts w:hint="eastAsia"/>
        </w:rPr>
        <w:t>Is it not far simpler—and far more reasonable—to say that Christ, at his Parousia, first arrives on the clouds of heaven, and then, by means of angelic agency, gathers his saints into the clouds and safely to his side (Luke 9:34)?</w:t>
      </w:r>
    </w:p>
    <w:p w14:paraId="178E1879">
      <w:pPr>
        <w:pStyle w:val="9"/>
        <w:spacing w:before="66"/>
        <w:ind w:left="0"/>
        <w:jc w:val="left"/>
        <w:rPr>
          <w:rFonts w:hint="eastAsia"/>
        </w:rPr>
      </w:pPr>
      <w:r>
        <w:rPr>
          <w:rFonts w:hint="eastAsia"/>
        </w:rPr>
        <w:t>说基督在祂主临（Parousia）时，先驾着天上的云彩来到，然后借着天使的作为，将祂的圣徒聚集到云彩里，安全地带到祂身边，这岂不是更简单——也更合理吗（路加福音9:34）？</w:t>
      </w:r>
    </w:p>
    <w:p w14:paraId="5CA0F965">
      <w:pPr>
        <w:pStyle w:val="9"/>
        <w:spacing w:before="66"/>
        <w:ind w:left="0"/>
        <w:jc w:val="left"/>
        <w:rPr>
          <w:rFonts w:hint="eastAsia"/>
        </w:rPr>
      </w:pPr>
    </w:p>
    <w:p w14:paraId="1A76B187">
      <w:pPr>
        <w:pStyle w:val="9"/>
        <w:spacing w:before="66"/>
        <w:ind w:left="0"/>
        <w:jc w:val="left"/>
        <w:rPr>
          <w:rFonts w:hint="eastAsia"/>
        </w:rPr>
      </w:pPr>
      <w:r>
        <w:rPr>
          <w:rFonts w:hint="eastAsia"/>
        </w:rPr>
        <w:t>Again, MacArthur says that in Matthew 24 we find the angels gathering up Christ’s “elect” (i.e., the tribulation saints), while in 1 Thessalonians 4 we see Christ himself personally gathering in a different elect (i.e., his Church).</w:t>
      </w:r>
    </w:p>
    <w:p w14:paraId="1F33BF69">
      <w:pPr>
        <w:pStyle w:val="9"/>
        <w:spacing w:before="66"/>
        <w:ind w:left="0"/>
        <w:jc w:val="left"/>
        <w:rPr>
          <w:rFonts w:hint="eastAsia"/>
        </w:rPr>
      </w:pPr>
      <w:r>
        <w:rPr>
          <w:rFonts w:hint="eastAsia"/>
        </w:rPr>
        <w:t>再次，麦克阿瑟说，在马太福音24章，我们看到天使聚集基督的“选民”（即大灾难中的圣徒），而在帖撒罗尼迦前书4章，我们看到基督祂自己亲自聚集了另一个选民（即祂的教会）。</w:t>
      </w:r>
    </w:p>
    <w:p w14:paraId="6323C4E4">
      <w:pPr>
        <w:pStyle w:val="9"/>
        <w:spacing w:before="66"/>
        <w:ind w:left="0"/>
        <w:jc w:val="left"/>
        <w:rPr>
          <w:rFonts w:hint="eastAsia"/>
        </w:rPr>
      </w:pPr>
    </w:p>
    <w:p w14:paraId="7D9801FF">
      <w:pPr>
        <w:pStyle w:val="9"/>
        <w:spacing w:before="66"/>
        <w:ind w:left="0"/>
        <w:jc w:val="left"/>
        <w:rPr>
          <w:rFonts w:hint="eastAsia"/>
        </w:rPr>
      </w:pPr>
      <w:r>
        <w:rPr>
          <w:rFonts w:hint="eastAsia"/>
        </w:rPr>
        <w:t>However, Paul does not say that Christ himself will gather his Church.</w:t>
      </w:r>
    </w:p>
    <w:p w14:paraId="09DF8EAA">
      <w:pPr>
        <w:pStyle w:val="9"/>
        <w:spacing w:before="66"/>
        <w:ind w:left="0"/>
        <w:jc w:val="left"/>
        <w:rPr>
          <w:rFonts w:hint="eastAsia"/>
        </w:rPr>
      </w:pPr>
      <w:r>
        <w:rPr>
          <w:rFonts w:hint="eastAsia"/>
        </w:rPr>
        <w:t>然而，保罗并没有说基督祂自己将聚集祂的教会。</w:t>
      </w:r>
    </w:p>
    <w:p w14:paraId="06B18C7E">
      <w:pPr>
        <w:pStyle w:val="9"/>
        <w:spacing w:before="66"/>
        <w:ind w:left="0"/>
        <w:jc w:val="left"/>
        <w:rPr>
          <w:rFonts w:hint="eastAsia"/>
        </w:rPr>
      </w:pPr>
    </w:p>
    <w:p w14:paraId="734A8E4A">
      <w:pPr>
        <w:pStyle w:val="9"/>
        <w:spacing w:before="66"/>
        <w:ind w:left="0"/>
        <w:jc w:val="left"/>
        <w:rPr>
          <w:rFonts w:hint="eastAsia"/>
        </w:rPr>
      </w:pPr>
      <w:r>
        <w:rPr>
          <w:rFonts w:hint="eastAsia"/>
        </w:rPr>
        <w:t>Rather, he simply says that “we … will be caught up together to meet the Lord in the air” (v. 17).</w:t>
      </w:r>
    </w:p>
    <w:p w14:paraId="4A6FF64A">
      <w:pPr>
        <w:pStyle w:val="9"/>
        <w:spacing w:before="66"/>
        <w:ind w:left="0"/>
        <w:jc w:val="left"/>
        <w:rPr>
          <w:rFonts w:hint="eastAsia"/>
        </w:rPr>
      </w:pPr>
      <w:r>
        <w:rPr>
          <w:rFonts w:hint="eastAsia"/>
        </w:rPr>
        <w:t>相反，祂只是说：“我们……要在空中与主相遇”（第17节）。</w:t>
      </w:r>
    </w:p>
    <w:p w14:paraId="0ADF6F8A">
      <w:pPr>
        <w:pStyle w:val="9"/>
        <w:spacing w:before="66"/>
        <w:ind w:left="0"/>
        <w:jc w:val="left"/>
        <w:rPr>
          <w:rFonts w:hint="eastAsia"/>
        </w:rPr>
      </w:pPr>
    </w:p>
    <w:p w14:paraId="3664E9FF">
      <w:pPr>
        <w:pStyle w:val="9"/>
        <w:spacing w:before="66"/>
        <w:ind w:left="0"/>
        <w:jc w:val="left"/>
        <w:rPr>
          <w:rFonts w:hint="eastAsia"/>
        </w:rPr>
      </w:pPr>
      <w:r>
        <w:rPr>
          <w:rFonts w:hint="eastAsia"/>
        </w:rPr>
        <w:t>So again, there is no real conflict between the two passages, since in both cases it is clearly Christ who does the “catching up” by means of angelic agency (Mt. 24:31).</w:t>
      </w:r>
    </w:p>
    <w:p w14:paraId="498F3B49">
      <w:pPr>
        <w:pStyle w:val="9"/>
        <w:spacing w:before="66"/>
        <w:ind w:left="0"/>
        <w:jc w:val="left"/>
        <w:rPr>
          <w:rFonts w:hint="eastAsia"/>
        </w:rPr>
      </w:pPr>
      <w:r>
        <w:rPr>
          <w:rFonts w:hint="eastAsia"/>
        </w:rPr>
        <w:t>所以再次，这两段经文之间没有真正的冲突，因为在这两种情况下，显然都是基督借着天使的作为来“提接”的（太24:31）。</w:t>
      </w:r>
    </w:p>
    <w:p w14:paraId="041F93DA">
      <w:pPr>
        <w:pStyle w:val="9"/>
        <w:spacing w:before="66"/>
        <w:ind w:left="0"/>
        <w:jc w:val="left"/>
        <w:rPr>
          <w:rFonts w:hint="eastAsia"/>
        </w:rPr>
      </w:pPr>
    </w:p>
    <w:p w14:paraId="3C7CB39F">
      <w:pPr>
        <w:pStyle w:val="9"/>
        <w:spacing w:before="66"/>
        <w:ind w:left="0"/>
        <w:jc w:val="left"/>
        <w:rPr>
          <w:rFonts w:hint="eastAsia"/>
        </w:rPr>
      </w:pPr>
      <w:r>
        <w:rPr>
          <w:rFonts w:hint="eastAsia"/>
        </w:rPr>
        <w:t>This, in turn, means that there is no need to distinguish between two different “elects.”</w:t>
      </w:r>
    </w:p>
    <w:p w14:paraId="31E0227E">
      <w:pPr>
        <w:pStyle w:val="9"/>
        <w:spacing w:before="66"/>
        <w:ind w:left="0"/>
        <w:jc w:val="left"/>
        <w:rPr>
          <w:rFonts w:hint="eastAsia"/>
        </w:rPr>
      </w:pPr>
      <w:r>
        <w:rPr>
          <w:rFonts w:hint="eastAsia"/>
        </w:rPr>
        <w:t>这反过来又意味着，没有必要区分两种不同的“选民”。</w:t>
      </w:r>
    </w:p>
    <w:p w14:paraId="0D09B7DC">
      <w:pPr>
        <w:pStyle w:val="9"/>
        <w:spacing w:before="66"/>
        <w:ind w:left="0"/>
        <w:jc w:val="left"/>
        <w:rPr>
          <w:rFonts w:hint="eastAsia"/>
        </w:rPr>
      </w:pPr>
    </w:p>
    <w:p w14:paraId="1DC5F024">
      <w:pPr>
        <w:pStyle w:val="9"/>
        <w:spacing w:before="66"/>
        <w:ind w:left="0"/>
        <w:jc w:val="left"/>
        <w:rPr>
          <w:rFonts w:hint="eastAsia"/>
        </w:rPr>
      </w:pPr>
      <w:r>
        <w:rPr>
          <w:rFonts w:hint="eastAsia"/>
        </w:rPr>
        <w:t>Both texts deal with one and the same elect: the Church, the called out ones of all time, whether Jew or Gentile.</w:t>
      </w:r>
    </w:p>
    <w:p w14:paraId="4519ABBC">
      <w:pPr>
        <w:pStyle w:val="9"/>
        <w:spacing w:before="66"/>
        <w:ind w:left="0"/>
        <w:jc w:val="left"/>
        <w:rPr>
          <w:rFonts w:hint="eastAsia"/>
        </w:rPr>
      </w:pPr>
      <w:r>
        <w:rPr>
          <w:rFonts w:hint="eastAsia"/>
        </w:rPr>
        <w:t>两段经文都处理的是同一个选民：教会，所有时代的被召者，无论是犹太人还是外邦人。</w:t>
      </w:r>
    </w:p>
    <w:p w14:paraId="2E6D8637">
      <w:pPr>
        <w:pStyle w:val="9"/>
        <w:spacing w:before="66"/>
        <w:ind w:left="0"/>
        <w:jc w:val="left"/>
        <w:rPr>
          <w:rFonts w:hint="eastAsia"/>
        </w:rPr>
      </w:pPr>
    </w:p>
    <w:p w14:paraId="3CF09F5B">
      <w:pPr>
        <w:pStyle w:val="9"/>
        <w:spacing w:before="66"/>
        <w:ind w:left="0"/>
        <w:jc w:val="left"/>
        <w:rPr>
          <w:rFonts w:hint="eastAsia"/>
        </w:rPr>
      </w:pPr>
      <w:r>
        <w:rPr>
          <w:rFonts w:hint="eastAsia"/>
        </w:rPr>
        <w:t>Finally, MacArthur states that in Matthew 24 there is no mention of the Resurrection, while with Paul it is his main theme.</w:t>
      </w:r>
    </w:p>
    <w:p w14:paraId="2846F234">
      <w:pPr>
        <w:pStyle w:val="9"/>
        <w:spacing w:before="66"/>
        <w:ind w:left="0"/>
        <w:jc w:val="left"/>
        <w:rPr>
          <w:rFonts w:hint="eastAsia"/>
        </w:rPr>
      </w:pPr>
      <w:r>
        <w:rPr>
          <w:rFonts w:hint="eastAsia"/>
        </w:rPr>
        <w:t>最后，麦克阿瑟说在马太福音24章没有提到复活，而对保罗来说，这却是祂的主要主题。</w:t>
      </w:r>
    </w:p>
    <w:p w14:paraId="7D8FC0FD">
      <w:pPr>
        <w:pStyle w:val="9"/>
        <w:spacing w:before="66"/>
        <w:ind w:left="0"/>
        <w:jc w:val="left"/>
        <w:rPr>
          <w:rFonts w:hint="eastAsia"/>
        </w:rPr>
      </w:pPr>
    </w:p>
    <w:p w14:paraId="4BC4DB8D">
      <w:pPr>
        <w:pStyle w:val="9"/>
        <w:spacing w:before="66"/>
        <w:ind w:left="0"/>
        <w:jc w:val="left"/>
        <w:rPr>
          <w:rFonts w:hint="eastAsia"/>
        </w:rPr>
      </w:pPr>
      <w:r>
        <w:rPr>
          <w:rFonts w:hint="eastAsia"/>
        </w:rPr>
        <w:t>Given, however, the many similarities between the two passages, surely the most natural explanation for this minor difference is to say that in the Olivet Discourse (as elsewhere) Christ simply presupposed a knowledge of the Resurrection on the part of his hearers (Mt. 13:37-43, 22:23-33).</w:t>
      </w:r>
    </w:p>
    <w:p w14:paraId="54FE9667">
      <w:pPr>
        <w:pStyle w:val="9"/>
        <w:spacing w:before="66"/>
        <w:ind w:left="0"/>
        <w:jc w:val="left"/>
        <w:rPr>
          <w:rFonts w:hint="eastAsia"/>
        </w:rPr>
      </w:pPr>
      <w:r>
        <w:rPr>
          <w:rFonts w:hint="eastAsia"/>
        </w:rPr>
        <w:t>然而，鉴于这两段经文的许多相似之处，对这个微小差异最自然的解释无疑是，在橄榄山论述中（如在别处一样），基督只是预设了祂的听众对复活的知识（太13:37-43, 22:23-33）。</w:t>
      </w:r>
    </w:p>
    <w:p w14:paraId="4B7E1242">
      <w:pPr>
        <w:pStyle w:val="9"/>
        <w:spacing w:before="66"/>
        <w:ind w:left="0"/>
        <w:jc w:val="left"/>
        <w:rPr>
          <w:rFonts w:hint="eastAsia"/>
        </w:rPr>
      </w:pPr>
    </w:p>
    <w:p w14:paraId="70BEB82E">
      <w:pPr>
        <w:pStyle w:val="9"/>
        <w:spacing w:before="66"/>
        <w:ind w:left="0"/>
        <w:jc w:val="left"/>
        <w:rPr>
          <w:rFonts w:hint="eastAsia"/>
        </w:rPr>
      </w:pPr>
      <w:r>
        <w:rPr>
          <w:rFonts w:hint="eastAsia"/>
        </w:rPr>
        <w:t>Certainly he had already taught his disciples that the Parousia, the Resurrection, and the Judgment were essentially simultaneous events (John 5:19-29).</w:t>
      </w:r>
    </w:p>
    <w:p w14:paraId="4988EB94">
      <w:pPr>
        <w:pStyle w:val="9"/>
        <w:spacing w:before="66"/>
        <w:ind w:left="0"/>
        <w:jc w:val="left"/>
        <w:rPr>
          <w:rFonts w:hint="eastAsia"/>
        </w:rPr>
      </w:pPr>
      <w:r>
        <w:rPr>
          <w:rFonts w:hint="eastAsia"/>
        </w:rPr>
        <w:t>祂当然已经教导祂的门徒，主临（Parousia）、复活和审判基本上是同时发生的事件（约翰福音5:19-29）。</w:t>
      </w:r>
    </w:p>
    <w:p w14:paraId="3F2DCDBE">
      <w:pPr>
        <w:pStyle w:val="9"/>
        <w:spacing w:before="66"/>
        <w:ind w:left="0"/>
        <w:jc w:val="left"/>
        <w:rPr>
          <w:rFonts w:hint="eastAsia"/>
        </w:rPr>
      </w:pPr>
    </w:p>
    <w:p w14:paraId="59E005F3">
      <w:pPr>
        <w:pStyle w:val="9"/>
        <w:spacing w:before="66"/>
        <w:ind w:left="0"/>
        <w:jc w:val="left"/>
        <w:rPr>
          <w:rFonts w:hint="eastAsia"/>
        </w:rPr>
      </w:pPr>
      <w:r>
        <w:rPr>
          <w:rFonts w:hint="eastAsia"/>
        </w:rPr>
        <w:t>In the Olivet Discourse, he therefore assumes that they remember what he said.</w:t>
      </w:r>
    </w:p>
    <w:p w14:paraId="1D9686F0">
      <w:pPr>
        <w:pStyle w:val="9"/>
        <w:spacing w:before="66"/>
        <w:ind w:left="0"/>
        <w:jc w:val="left"/>
        <w:rPr>
          <w:rFonts w:hint="eastAsia"/>
        </w:rPr>
      </w:pPr>
      <w:r>
        <w:rPr>
          <w:rFonts w:hint="eastAsia"/>
        </w:rPr>
        <w:t>因此，在橄榄山论述中，祂假设他们记得祂所说的话。</w:t>
      </w:r>
    </w:p>
    <w:p w14:paraId="5147C4B6">
      <w:pPr>
        <w:pStyle w:val="9"/>
        <w:spacing w:before="66"/>
        <w:ind w:left="0"/>
        <w:jc w:val="left"/>
        <w:rPr>
          <w:rFonts w:hint="eastAsia"/>
        </w:rPr>
      </w:pPr>
    </w:p>
    <w:p w14:paraId="69E39BD5">
      <w:pPr>
        <w:pStyle w:val="9"/>
        <w:spacing w:before="66"/>
        <w:ind w:left="0"/>
        <w:jc w:val="left"/>
        <w:rPr>
          <w:rFonts w:hint="eastAsia"/>
        </w:rPr>
      </w:pPr>
      <w:r>
        <w:rPr>
          <w:rFonts w:hint="eastAsia"/>
        </w:rPr>
        <w:t>Also, it is well worth pointing out that dispensationalists themselves teach that at the Parousia (seven years after the Rapture) there will be a resurrection—of the OT saints, and of those who died during the Tribulation.2</w:t>
      </w:r>
    </w:p>
    <w:p w14:paraId="7C7ECFD9">
      <w:pPr>
        <w:pStyle w:val="9"/>
        <w:spacing w:before="66"/>
        <w:ind w:left="0"/>
        <w:jc w:val="left"/>
        <w:rPr>
          <w:rFonts w:hint="eastAsia"/>
        </w:rPr>
      </w:pPr>
      <w:r>
        <w:rPr>
          <w:rFonts w:hint="eastAsia"/>
        </w:rPr>
        <w:t>另外，值得指出的是，时代论者自己也教导说，在主临（Parousia）时（被提后七年），将有一次复活——旧约圣徒的复活，以及在大灾难期间死去之人的复活。2</w:t>
      </w:r>
    </w:p>
    <w:p w14:paraId="7B81769A">
      <w:pPr>
        <w:pStyle w:val="9"/>
        <w:spacing w:before="66"/>
        <w:ind w:left="0"/>
        <w:jc w:val="left"/>
        <w:rPr>
          <w:rFonts w:hint="eastAsia"/>
        </w:rPr>
      </w:pPr>
    </w:p>
    <w:p w14:paraId="6EEBA595">
      <w:pPr>
        <w:pStyle w:val="9"/>
        <w:spacing w:before="66"/>
        <w:ind w:left="0"/>
        <w:jc w:val="left"/>
        <w:rPr>
          <w:rFonts w:hint="eastAsia"/>
        </w:rPr>
      </w:pPr>
      <w:r>
        <w:rPr>
          <w:rFonts w:hint="eastAsia"/>
        </w:rPr>
        <w:t>But if Jesus’ silence about a resurrection in Mt. 24 does not actually rule out a resurrection, who is to say that Mt. 24 and 1 Thess. 4 are not parallel after all?</w:t>
      </w:r>
    </w:p>
    <w:p w14:paraId="2EE9B702">
      <w:pPr>
        <w:pStyle w:val="9"/>
        <w:spacing w:before="66"/>
        <w:ind w:left="0"/>
        <w:jc w:val="left"/>
        <w:rPr>
          <w:rFonts w:hint="eastAsia"/>
        </w:rPr>
      </w:pPr>
      <w:r>
        <w:rPr>
          <w:rFonts w:hint="eastAsia"/>
        </w:rPr>
        <w:t>但如果耶稣在马太福音24章中对复活的沉默并不实际排除一次复活，谁又能说马太福音24章和帖撒罗尼迦前书4章毕竟不是平行的呢？</w:t>
      </w:r>
    </w:p>
    <w:p w14:paraId="08E7121E">
      <w:pPr>
        <w:pStyle w:val="9"/>
        <w:spacing w:before="66"/>
        <w:ind w:left="0"/>
        <w:jc w:val="left"/>
        <w:rPr>
          <w:rFonts w:hint="eastAsia"/>
        </w:rPr>
      </w:pPr>
    </w:p>
    <w:p w14:paraId="4381A41E">
      <w:pPr>
        <w:pStyle w:val="9"/>
        <w:spacing w:before="66"/>
        <w:ind w:left="0"/>
        <w:jc w:val="left"/>
        <w:rPr>
          <w:rFonts w:hint="eastAsia"/>
        </w:rPr>
      </w:pPr>
      <w:r>
        <w:rPr>
          <w:rFonts w:hint="eastAsia"/>
        </w:rPr>
        <w:t>Seeing, then, that all of MacArthur’s “dissimilarities” are easily explained, and seeing that the many similarities are actually quite compelling, we conclude that these two texts are indeed parallel; that both passages teach and presuppose a single Parousia of Christ, at which time there will be a general resurrection and a general judgment.</w:t>
      </w:r>
    </w:p>
    <w:p w14:paraId="2B1F10BA">
      <w:pPr>
        <w:pStyle w:val="9"/>
        <w:spacing w:before="66"/>
        <w:ind w:left="0"/>
        <w:jc w:val="left"/>
        <w:rPr>
          <w:rFonts w:hint="eastAsia"/>
        </w:rPr>
      </w:pPr>
      <w:r>
        <w:rPr>
          <w:rFonts w:hint="eastAsia"/>
        </w:rPr>
        <w:t>因此，鉴于麦克阿瑟的所有“不相似之处”都容易解释，并且鉴于许多相似之处实际上相当有说服力，我们得出结论，这两段经文确实是平行的；两段经文都教导并预设了基督的一次主临（Parousia），届时将有一次普世的复活和一次普世的审判。</w:t>
      </w:r>
    </w:p>
    <w:p w14:paraId="245D77C3">
      <w:pPr>
        <w:pStyle w:val="9"/>
        <w:spacing w:before="66"/>
        <w:ind w:left="0"/>
        <w:jc w:val="left"/>
        <w:rPr>
          <w:rFonts w:hint="eastAsia"/>
        </w:rPr>
      </w:pPr>
    </w:p>
    <w:p w14:paraId="76A3FF00">
      <w:pPr>
        <w:pStyle w:val="9"/>
        <w:spacing w:before="66"/>
        <w:ind w:left="0"/>
        <w:jc w:val="left"/>
        <w:rPr>
          <w:rFonts w:hint="eastAsia"/>
        </w:rPr>
      </w:pPr>
      <w:r>
        <w:rPr>
          <w:rFonts w:hint="eastAsia"/>
        </w:rPr>
        <w:t>And if there were any doubts about this, numerous other NT texts teaching precisely the same thing should rule them out completely (John 5:19-29, 1 Cor. 15:20-28, 50-58, 2 Cor. 5:1-10, Phil. 3:20-21).</w:t>
      </w:r>
    </w:p>
    <w:p w14:paraId="627A5DE5">
      <w:pPr>
        <w:pStyle w:val="9"/>
        <w:spacing w:before="66"/>
        <w:ind w:left="0"/>
        <w:jc w:val="left"/>
        <w:rPr>
          <w:rFonts w:hint="eastAsia"/>
        </w:rPr>
      </w:pPr>
      <w:r>
        <w:rPr>
          <w:rFonts w:hint="eastAsia"/>
        </w:rPr>
        <w:t>如果对此有任何疑问，许多教导完全相同内容的新约经文应能彻底排除它们（约翰福音5:19-29，哥林多前书15:20-28, 50-58，哥林多后书5:1-10，腓立比书3:20-21）。</w:t>
      </w:r>
    </w:p>
    <w:p w14:paraId="234D29D5">
      <w:pPr>
        <w:pStyle w:val="9"/>
        <w:spacing w:before="66"/>
        <w:ind w:left="0"/>
        <w:jc w:val="left"/>
        <w:rPr>
          <w:rFonts w:hint="eastAsia"/>
        </w:rPr>
      </w:pPr>
    </w:p>
    <w:p w14:paraId="0091C0D0">
      <w:pPr>
        <w:pStyle w:val="9"/>
        <w:spacing w:before="66"/>
        <w:ind w:left="0"/>
        <w:jc w:val="left"/>
        <w:rPr>
          <w:rFonts w:hint="eastAsia"/>
        </w:rPr>
      </w:pPr>
      <w:r>
        <w:rPr>
          <w:rFonts w:hint="eastAsia"/>
        </w:rPr>
        <w:t>In his final argument for a pre-tribulation Rapture, MacArthur invites us to draw a sharp distinction between the two parts of our text.</w:t>
      </w:r>
    </w:p>
    <w:p w14:paraId="5FAEEA17">
      <w:pPr>
        <w:pStyle w:val="9"/>
        <w:spacing w:before="66"/>
        <w:ind w:left="0"/>
        <w:jc w:val="left"/>
        <w:rPr>
          <w:rFonts w:hint="eastAsia"/>
        </w:rPr>
      </w:pPr>
      <w:r>
        <w:rPr>
          <w:rFonts w:hint="eastAsia"/>
        </w:rPr>
        <w:t>在祂对灾前被提的最后论证中，麦克阿瑟邀请我们对我们经文的两部分作出明确的区分。</w:t>
      </w:r>
    </w:p>
    <w:p w14:paraId="62A03102">
      <w:pPr>
        <w:pStyle w:val="9"/>
        <w:spacing w:before="66"/>
        <w:ind w:left="0"/>
        <w:jc w:val="left"/>
        <w:rPr>
          <w:rFonts w:hint="eastAsia"/>
        </w:rPr>
      </w:pPr>
    </w:p>
    <w:p w14:paraId="7AD8F9B7">
      <w:pPr>
        <w:pStyle w:val="9"/>
        <w:spacing w:before="66"/>
        <w:ind w:left="0"/>
        <w:jc w:val="left"/>
        <w:rPr>
          <w:rFonts w:hint="eastAsia"/>
        </w:rPr>
      </w:pPr>
      <w:r>
        <w:rPr>
          <w:rFonts w:hint="eastAsia"/>
        </w:rPr>
        <w:t>He states that the first part (4:13-18) deals with the redemption of the Church, whereas the second (5:1-10) deals with the judgment of the unbelieving world.</w:t>
      </w:r>
    </w:p>
    <w:p w14:paraId="37F3CDC5">
      <w:pPr>
        <w:pStyle w:val="9"/>
        <w:spacing w:before="66"/>
        <w:ind w:left="0"/>
        <w:jc w:val="left"/>
        <w:rPr>
          <w:rFonts w:hint="eastAsia"/>
        </w:rPr>
      </w:pPr>
      <w:r>
        <w:rPr>
          <w:rFonts w:hint="eastAsia"/>
        </w:rPr>
        <w:t>他说第一部分（4:13-18）处理的是教会的救赎，而第二部分（5:1-10）处理的是对不信世界的审判。</w:t>
      </w:r>
    </w:p>
    <w:p w14:paraId="14D7C6FE">
      <w:pPr>
        <w:pStyle w:val="9"/>
        <w:spacing w:before="66"/>
        <w:ind w:left="0"/>
        <w:jc w:val="left"/>
        <w:rPr>
          <w:rFonts w:hint="eastAsia"/>
        </w:rPr>
      </w:pPr>
    </w:p>
    <w:p w14:paraId="08B6BB2E">
      <w:pPr>
        <w:pStyle w:val="9"/>
        <w:spacing w:before="66"/>
        <w:ind w:left="0"/>
        <w:jc w:val="left"/>
        <w:rPr>
          <w:rFonts w:hint="eastAsia"/>
        </w:rPr>
      </w:pPr>
      <w:r>
        <w:rPr>
          <w:rFonts w:hint="eastAsia"/>
        </w:rPr>
        <w:t>In particular, he asserts that the “Coming” of Christ mentioned in 4:15 (i.e., the Rapture) exclusively affects the Church, while the Day of the Lord mentioned in 5:2 exclusively affects unbelievers living at three different times: 1) during the seven year Tribulation, 2) at the Judgment at Christ’s Coming at the end of the Tribulation, and 3) at the Judgment at the end of the Millennium.3</w:t>
      </w:r>
    </w:p>
    <w:p w14:paraId="09D793E8">
      <w:pPr>
        <w:pStyle w:val="9"/>
        <w:spacing w:before="66"/>
        <w:ind w:left="0"/>
        <w:jc w:val="left"/>
        <w:rPr>
          <w:rFonts w:hint="eastAsia"/>
        </w:rPr>
      </w:pPr>
      <w:r>
        <w:rPr>
          <w:rFonts w:hint="eastAsia"/>
        </w:rPr>
        <w:t>特别是，他断言4:15中提到的基督“降临”（即被提）只影响教会，而5:2中提到的主的日子只影响在三个不同时期生活的不信者：1）在七年大灾难期间，2）在大灾难结束时基督降临时审判，以及3）在千禧年结束时审判。3</w:t>
      </w:r>
    </w:p>
    <w:p w14:paraId="0E6EB107">
      <w:pPr>
        <w:pStyle w:val="9"/>
        <w:spacing w:before="66"/>
        <w:ind w:left="0"/>
        <w:jc w:val="left"/>
        <w:rPr>
          <w:rFonts w:hint="eastAsia"/>
        </w:rPr>
      </w:pPr>
    </w:p>
    <w:p w14:paraId="17EEBBCE">
      <w:pPr>
        <w:pStyle w:val="9"/>
        <w:spacing w:before="66"/>
        <w:ind w:left="0"/>
        <w:jc w:val="left"/>
        <w:rPr>
          <w:rFonts w:hint="eastAsia"/>
        </w:rPr>
      </w:pPr>
      <w:r>
        <w:rPr>
          <w:rFonts w:hint="eastAsia"/>
        </w:rPr>
        <w:t>In short, the “Coming” of 4:13-18 is redemptive only, while the Day of the Lord of 5:1-10 is judicial only.</w:t>
      </w:r>
    </w:p>
    <w:p w14:paraId="1C79C67B">
      <w:pPr>
        <w:pStyle w:val="9"/>
        <w:spacing w:before="66"/>
        <w:ind w:left="0"/>
        <w:jc w:val="left"/>
        <w:rPr>
          <w:rFonts w:hint="eastAsia"/>
        </w:rPr>
      </w:pPr>
      <w:r>
        <w:rPr>
          <w:rFonts w:hint="eastAsia"/>
        </w:rPr>
        <w:t>简而言之，4:13-18的“降临”只是救赎性的，而5:1-10的主的日子只是审判性的。</w:t>
      </w:r>
    </w:p>
    <w:p w14:paraId="2BE628E9">
      <w:pPr>
        <w:pStyle w:val="9"/>
        <w:spacing w:before="66"/>
        <w:ind w:left="0"/>
        <w:jc w:val="left"/>
        <w:rPr>
          <w:rFonts w:hint="eastAsia"/>
        </w:rPr>
      </w:pPr>
    </w:p>
    <w:p w14:paraId="7484E868">
      <w:pPr>
        <w:pStyle w:val="9"/>
        <w:spacing w:before="66"/>
        <w:ind w:left="0"/>
        <w:jc w:val="left"/>
        <w:rPr>
          <w:rFonts w:hint="eastAsia"/>
        </w:rPr>
      </w:pPr>
      <w:r>
        <w:rPr>
          <w:rFonts w:hint="eastAsia"/>
        </w:rPr>
        <w:t>For many reasons, this distinction is profoundly misguided.</w:t>
      </w:r>
    </w:p>
    <w:p w14:paraId="3E42046F">
      <w:pPr>
        <w:pStyle w:val="9"/>
        <w:spacing w:before="66"/>
        <w:ind w:left="0"/>
        <w:jc w:val="left"/>
        <w:rPr>
          <w:rFonts w:hint="eastAsia"/>
        </w:rPr>
      </w:pPr>
      <w:r>
        <w:rPr>
          <w:rFonts w:hint="eastAsia"/>
        </w:rPr>
        <w:t>出于许多原因，这种区分是极其错误的。</w:t>
      </w:r>
    </w:p>
    <w:p w14:paraId="2104E659">
      <w:pPr>
        <w:pStyle w:val="9"/>
        <w:spacing w:before="66"/>
        <w:ind w:left="0"/>
        <w:jc w:val="left"/>
        <w:rPr>
          <w:rFonts w:hint="eastAsia"/>
        </w:rPr>
      </w:pPr>
    </w:p>
    <w:p w14:paraId="5D1A0702">
      <w:pPr>
        <w:pStyle w:val="9"/>
        <w:spacing w:before="66"/>
        <w:ind w:left="0"/>
        <w:jc w:val="left"/>
        <w:rPr>
          <w:rFonts w:hint="eastAsia"/>
        </w:rPr>
      </w:pPr>
      <w:r>
        <w:rPr>
          <w:rFonts w:hint="eastAsia"/>
        </w:rPr>
        <w:t>Concerning the text itself, we have already seen that it is indeed a unit; that here Paul has in mind a single Momentous Event.</w:t>
      </w:r>
    </w:p>
    <w:p w14:paraId="56BB6446">
      <w:pPr>
        <w:pStyle w:val="9"/>
        <w:spacing w:before="66"/>
        <w:ind w:left="0"/>
        <w:jc w:val="left"/>
        <w:rPr>
          <w:rFonts w:hint="eastAsia"/>
        </w:rPr>
      </w:pPr>
      <w:r>
        <w:rPr>
          <w:rFonts w:hint="eastAsia"/>
        </w:rPr>
        <w:t>关于经文本身，我们已经看到它确实是一个单元；保罗在这里心中所想的是一次单一的重大事件。</w:t>
      </w:r>
    </w:p>
    <w:p w14:paraId="6DA99B7B">
      <w:pPr>
        <w:pStyle w:val="9"/>
        <w:spacing w:before="66"/>
        <w:ind w:left="0"/>
        <w:jc w:val="left"/>
        <w:rPr>
          <w:rFonts w:hint="eastAsia"/>
        </w:rPr>
      </w:pPr>
    </w:p>
    <w:p w14:paraId="5353DCC5">
      <w:pPr>
        <w:pStyle w:val="9"/>
        <w:spacing w:before="66"/>
        <w:ind w:left="0"/>
        <w:jc w:val="left"/>
        <w:rPr>
          <w:rFonts w:hint="eastAsia"/>
        </w:rPr>
      </w:pPr>
      <w:r>
        <w:rPr>
          <w:rFonts w:hint="eastAsia"/>
        </w:rPr>
        <w:t>It is the Day of the Lord Jesus (5:2), which will occur at the Parousia (4:15), and which has both redemptive (4:13-18) and judicial (or retributive) aspects (5:1-10).</w:t>
      </w:r>
    </w:p>
    <w:p w14:paraId="73E6A1D0">
      <w:pPr>
        <w:pStyle w:val="9"/>
        <w:spacing w:before="66"/>
        <w:ind w:left="0"/>
        <w:jc w:val="left"/>
        <w:rPr>
          <w:rFonts w:hint="eastAsia"/>
        </w:rPr>
      </w:pPr>
      <w:r>
        <w:rPr>
          <w:rFonts w:hint="eastAsia"/>
        </w:rPr>
        <w:t>这是主耶稣的日子（5:2），将在主临（Parousia）时发生（4:15），并且既有救赎的（4:13-18）又有审判的（或报应的）方面（5:1-10）。</w:t>
      </w:r>
    </w:p>
    <w:p w14:paraId="54354302">
      <w:pPr>
        <w:pStyle w:val="9"/>
        <w:spacing w:before="66"/>
        <w:ind w:left="0"/>
        <w:jc w:val="left"/>
        <w:rPr>
          <w:rFonts w:hint="eastAsia"/>
        </w:rPr>
      </w:pPr>
    </w:p>
    <w:p w14:paraId="4E79E3D6">
      <w:pPr>
        <w:pStyle w:val="9"/>
        <w:spacing w:before="66"/>
        <w:ind w:left="0"/>
        <w:jc w:val="left"/>
        <w:rPr>
          <w:rFonts w:hint="eastAsia"/>
        </w:rPr>
      </w:pPr>
      <w:r>
        <w:rPr>
          <w:rFonts w:hint="eastAsia"/>
        </w:rPr>
        <w:t>Concerning the one Parousia, we have seen that it most certainly does devolve judicially upon the unbelieving world, as well as redemptively upon the Church (Mt. 13:37-43, Mt. 24-25, 1 Cor. 15:20-28, 2 Thess. 1-2).</w:t>
      </w:r>
    </w:p>
    <w:p w14:paraId="342FFBDF">
      <w:pPr>
        <w:pStyle w:val="9"/>
        <w:spacing w:before="66"/>
        <w:ind w:left="0"/>
        <w:jc w:val="left"/>
        <w:rPr>
          <w:rFonts w:hint="eastAsia"/>
        </w:rPr>
      </w:pPr>
      <w:r>
        <w:rPr>
          <w:rFonts w:hint="eastAsia"/>
        </w:rPr>
        <w:t>关于那一次主临（Parousia），我们已经看到，它无疑既审判地临到不信的世界，也救赎地临到教会（太13:37-43，太24-25，林前15:20-28，帖后1-2）。</w:t>
      </w:r>
    </w:p>
    <w:p w14:paraId="5C31CF13">
      <w:pPr>
        <w:pStyle w:val="9"/>
        <w:spacing w:before="66"/>
        <w:ind w:left="0"/>
        <w:jc w:val="left"/>
        <w:rPr>
          <w:rFonts w:hint="eastAsia"/>
        </w:rPr>
      </w:pPr>
    </w:p>
    <w:p w14:paraId="718E8D38">
      <w:pPr>
        <w:pStyle w:val="9"/>
        <w:spacing w:before="66"/>
        <w:ind w:left="0"/>
        <w:jc w:val="left"/>
        <w:rPr>
          <w:rFonts w:hint="eastAsia"/>
        </w:rPr>
      </w:pPr>
      <w:r>
        <w:rPr>
          <w:rFonts w:hint="eastAsia"/>
        </w:rPr>
        <w:t>Concerning the one Day of the Lord, we have seen that it most certainly does devolve redemptively upon the Church, and not only judicially upon the unbelieving world.</w:t>
      </w:r>
    </w:p>
    <w:p w14:paraId="5C605D4D">
      <w:pPr>
        <w:pStyle w:val="9"/>
        <w:spacing w:before="66"/>
        <w:ind w:left="0"/>
        <w:jc w:val="left"/>
        <w:rPr>
          <w:rFonts w:hint="eastAsia"/>
        </w:rPr>
      </w:pPr>
      <w:r>
        <w:rPr>
          <w:rFonts w:hint="eastAsia"/>
        </w:rPr>
        <w:t>关于主的那一日，我们已经看到，它无疑确实是救赎性地临到教会，而不仅仅是审判性地临到不信的世界。</w:t>
      </w:r>
    </w:p>
    <w:p w14:paraId="6F2B3DE5">
      <w:pPr>
        <w:pStyle w:val="9"/>
        <w:spacing w:before="66"/>
        <w:ind w:left="0"/>
        <w:jc w:val="left"/>
        <w:rPr>
          <w:rFonts w:hint="eastAsia"/>
        </w:rPr>
      </w:pPr>
    </w:p>
    <w:p w14:paraId="617302BD">
      <w:pPr>
        <w:pStyle w:val="9"/>
        <w:spacing w:before="66"/>
        <w:ind w:left="0"/>
        <w:jc w:val="left"/>
        <w:rPr>
          <w:rFonts w:hint="eastAsia"/>
        </w:rPr>
      </w:pPr>
      <w:r>
        <w:rPr>
          <w:rFonts w:hint="eastAsia"/>
        </w:rPr>
        <w:t>Indisputably, this is the united testimony of God’s OT prophets, Christ himself, and all his holy NT apostles (Isaiah 2:1-22, Ezek. 38-39, Joel 2:28-32, 3:12-17, Obadiah 15-21, Nahum 1:12-15, Zeph. 2:4-11, 3:8-13, Zech. 12:1-9; Mt. 7:21-23, 26:29, 2 Cor. 1:14, 2 Tim. 1:12, 4:8, 2 Peter 3:10-13).</w:t>
      </w:r>
    </w:p>
    <w:p w14:paraId="5FC0E6EF">
      <w:pPr>
        <w:pStyle w:val="9"/>
        <w:spacing w:before="66"/>
        <w:ind w:left="0"/>
        <w:jc w:val="left"/>
        <w:rPr>
          <w:rFonts w:hint="eastAsia"/>
        </w:rPr>
      </w:pPr>
      <w:r>
        <w:rPr>
          <w:rFonts w:hint="eastAsia"/>
        </w:rPr>
        <w:t>无可争议的是，这是上帝旧约先知、基督祂自己，以及祂所有新约圣使徒的共同见证（以赛亚书2:1-22，以西结书38-39，约珥书2:28-32, 3:12-17，俄巴底亚书15-21，那鸿书1:12-15，西番雅书2:4-11, 3:8-13，撒迦利亚书12:1-9；马太福音7:21-23, 26:29，哥林多后书1:14，提摩太后书1:12, 4:8，彼得后书3:10-13）。</w:t>
      </w:r>
    </w:p>
    <w:p w14:paraId="3FC8B9E4">
      <w:pPr>
        <w:pStyle w:val="9"/>
        <w:spacing w:before="66"/>
        <w:ind w:left="0"/>
        <w:jc w:val="left"/>
        <w:rPr>
          <w:rFonts w:hint="eastAsia"/>
        </w:rPr>
      </w:pPr>
    </w:p>
    <w:p w14:paraId="0432B820">
      <w:pPr>
        <w:pStyle w:val="9"/>
        <w:spacing w:before="66"/>
        <w:ind w:left="0"/>
        <w:jc w:val="left"/>
        <w:rPr>
          <w:rFonts w:hint="eastAsia"/>
        </w:rPr>
      </w:pPr>
      <w:r>
        <w:rPr>
          <w:rFonts w:hint="eastAsia"/>
        </w:rPr>
        <w:t>Finally, we are about see that as in 1 Thessalonians, so in 2 Thessalonians: Paul quite powerfully represents the Day of Christ as having both redemptive and judicial components (2 Thess. 1:2-10, 2:11-12).</w:t>
      </w:r>
    </w:p>
    <w:p w14:paraId="73127730">
      <w:pPr>
        <w:pStyle w:val="9"/>
        <w:spacing w:before="66"/>
        <w:ind w:left="0"/>
        <w:jc w:val="left"/>
        <w:rPr>
          <w:rFonts w:hint="eastAsia"/>
        </w:rPr>
      </w:pPr>
      <w:r>
        <w:rPr>
          <w:rFonts w:hint="eastAsia"/>
        </w:rPr>
        <w:t>最后，我们即将看到，如同在帖撒罗尼迦前书中一样，在帖撒罗尼迦后书中：保罗相当有力地将基督的日子描绘为既有救赎的又有审判的成分（帖后1:2-10, 2:11-12）。</w:t>
      </w:r>
    </w:p>
    <w:p w14:paraId="32E8A504">
      <w:pPr>
        <w:pStyle w:val="9"/>
        <w:spacing w:before="66"/>
        <w:ind w:left="0"/>
        <w:jc w:val="left"/>
        <w:rPr>
          <w:rFonts w:hint="eastAsia"/>
        </w:rPr>
      </w:pPr>
    </w:p>
    <w:p w14:paraId="46BA3E90">
      <w:pPr>
        <w:pStyle w:val="9"/>
        <w:spacing w:before="66"/>
        <w:ind w:left="0"/>
        <w:jc w:val="left"/>
        <w:rPr>
          <w:rFonts w:hint="eastAsia"/>
        </w:rPr>
      </w:pPr>
      <w:r>
        <w:rPr>
          <w:rFonts w:hint="eastAsia"/>
        </w:rPr>
        <w:t>For all of these reasons, then, MacArthur seriously errs when he states, “Believers have no part in the Day of the Lord.”</w:t>
      </w:r>
    </w:p>
    <w:p w14:paraId="17609D78">
      <w:pPr>
        <w:pStyle w:val="9"/>
        <w:spacing w:before="66"/>
        <w:ind w:left="0"/>
        <w:jc w:val="left"/>
        <w:rPr>
          <w:rFonts w:hint="eastAsia"/>
        </w:rPr>
      </w:pPr>
      <w:r>
        <w:rPr>
          <w:rFonts w:hint="eastAsia"/>
        </w:rPr>
        <w:t>因此，基于所有这些原因，麦克阿瑟在陈述“信徒在主的日子里无分”时，犯了严重的错误。</w:t>
      </w:r>
    </w:p>
    <w:p w14:paraId="6EBBAEE1">
      <w:pPr>
        <w:pStyle w:val="9"/>
        <w:spacing w:before="66"/>
        <w:ind w:left="0"/>
        <w:jc w:val="left"/>
        <w:rPr>
          <w:rFonts w:hint="eastAsia"/>
        </w:rPr>
      </w:pPr>
    </w:p>
    <w:p w14:paraId="7579559B">
      <w:pPr>
        <w:pStyle w:val="9"/>
        <w:spacing w:before="66"/>
        <w:ind w:left="0"/>
        <w:jc w:val="left"/>
        <w:rPr>
          <w:rFonts w:hint="eastAsia"/>
        </w:rPr>
      </w:pPr>
      <w:r>
        <w:rPr>
          <w:rFonts w:hint="eastAsia"/>
        </w:rPr>
        <w:t>He also errs when he therefore concludes that the Rapture (4:15) and the Day of the Lord (5:2) are two separate events.</w:t>
      </w:r>
    </w:p>
    <w:p w14:paraId="66AB714F">
      <w:pPr>
        <w:pStyle w:val="9"/>
        <w:spacing w:before="66"/>
        <w:ind w:left="0"/>
        <w:jc w:val="left"/>
        <w:rPr>
          <w:rFonts w:hint="eastAsia"/>
        </w:rPr>
      </w:pPr>
      <w:r>
        <w:rPr>
          <w:rFonts w:hint="eastAsia"/>
        </w:rPr>
        <w:t>祂也因此错误地得出结论，认为被提（4:15）和主的日子（5:2）是两个独立的事件。</w:t>
      </w:r>
    </w:p>
    <w:p w14:paraId="47E3A6DA">
      <w:pPr>
        <w:pStyle w:val="9"/>
        <w:spacing w:before="66"/>
        <w:ind w:left="0"/>
        <w:jc w:val="left"/>
        <w:rPr>
          <w:rFonts w:hint="eastAsia"/>
        </w:rPr>
      </w:pPr>
    </w:p>
    <w:p w14:paraId="5AEAC6F8">
      <w:pPr>
        <w:pStyle w:val="9"/>
        <w:spacing w:before="66"/>
        <w:ind w:left="0"/>
        <w:jc w:val="left"/>
        <w:rPr>
          <w:rFonts w:hint="eastAsia"/>
        </w:rPr>
      </w:pPr>
      <w:r>
        <w:rPr>
          <w:rFonts w:hint="eastAsia"/>
        </w:rPr>
        <w:t>Some Final Questions</w:t>
      </w:r>
    </w:p>
    <w:p w14:paraId="45AB870C">
      <w:pPr>
        <w:pStyle w:val="9"/>
        <w:spacing w:before="66"/>
        <w:ind w:left="0"/>
        <w:jc w:val="left"/>
        <w:rPr>
          <w:rFonts w:hint="eastAsia"/>
        </w:rPr>
      </w:pPr>
      <w:r>
        <w:rPr>
          <w:rFonts w:hint="eastAsia"/>
        </w:rPr>
        <w:t>一些最后的问题</w:t>
      </w:r>
    </w:p>
    <w:p w14:paraId="5886C5F8">
      <w:pPr>
        <w:pStyle w:val="9"/>
        <w:spacing w:before="66"/>
        <w:ind w:left="0"/>
        <w:jc w:val="left"/>
        <w:rPr>
          <w:rFonts w:hint="eastAsia"/>
        </w:rPr>
      </w:pPr>
    </w:p>
    <w:p w14:paraId="221C0DCA">
      <w:pPr>
        <w:pStyle w:val="9"/>
        <w:spacing w:before="66"/>
        <w:ind w:left="0"/>
        <w:jc w:val="left"/>
        <w:rPr>
          <w:rFonts w:hint="eastAsia"/>
        </w:rPr>
      </w:pPr>
      <w:r>
        <w:rPr>
          <w:rFonts w:hint="eastAsia"/>
        </w:rPr>
        <w:t>Having addressed MacArthur’s arguments for a pre-tribulation Rapture, I want to conclude our study of this crucial text by asking my dispensational brethren a few important questions.</w:t>
      </w:r>
    </w:p>
    <w:p w14:paraId="38AE545B">
      <w:pPr>
        <w:pStyle w:val="9"/>
        <w:spacing w:before="66"/>
        <w:ind w:left="0"/>
        <w:jc w:val="left"/>
        <w:rPr>
          <w:rFonts w:hint="eastAsia"/>
        </w:rPr>
      </w:pPr>
      <w:r>
        <w:rPr>
          <w:rFonts w:hint="eastAsia"/>
        </w:rPr>
        <w:t>在讨论了麦克阿瑟关于灾前被提的论点之后，我想通过向我的时代论弟兄们提出几个重要问题来结束我们对这段关键经文的研究。</w:t>
      </w:r>
    </w:p>
    <w:p w14:paraId="59B98E3C">
      <w:pPr>
        <w:pStyle w:val="9"/>
        <w:spacing w:before="66"/>
        <w:ind w:left="0"/>
        <w:jc w:val="left"/>
        <w:rPr>
          <w:rFonts w:hint="eastAsia"/>
        </w:rPr>
      </w:pPr>
    </w:p>
    <w:p w14:paraId="656B997B">
      <w:pPr>
        <w:pStyle w:val="9"/>
        <w:spacing w:before="66"/>
        <w:ind w:left="0"/>
        <w:jc w:val="left"/>
        <w:rPr>
          <w:rFonts w:hint="eastAsia"/>
        </w:rPr>
      </w:pPr>
      <w:r>
        <w:rPr>
          <w:rFonts w:hint="eastAsia"/>
        </w:rPr>
        <w:t>If Paul really desired to distinguish between a coming for the saints (4:15) and a coming with the saints (13), why would he not have introduced a new technical term for the former—a good, sturdy noun like appearing or revelation—so as to avoid any confusion?</w:t>
      </w:r>
    </w:p>
    <w:p w14:paraId="5D423109">
      <w:pPr>
        <w:pStyle w:val="9"/>
        <w:spacing w:before="66"/>
        <w:ind w:left="0"/>
        <w:jc w:val="left"/>
        <w:rPr>
          <w:rFonts w:hint="eastAsia"/>
        </w:rPr>
      </w:pPr>
      <w:r>
        <w:rPr>
          <w:rFonts w:hint="eastAsia"/>
        </w:rPr>
        <w:t>如果保罗真的想要区分一次为圣徒的降临（4:15）和一次与圣徒同来的降临（13），祂为何不为前者引入一个新的术语——一个好的、坚实的词，如显现或启示——以避免任何混淆？</w:t>
      </w:r>
    </w:p>
    <w:p w14:paraId="45EBCFC0">
      <w:pPr>
        <w:pStyle w:val="9"/>
        <w:spacing w:before="66"/>
        <w:ind w:left="0"/>
        <w:jc w:val="left"/>
        <w:rPr>
          <w:rFonts w:hint="eastAsia"/>
        </w:rPr>
      </w:pPr>
    </w:p>
    <w:p w14:paraId="763CAFF1">
      <w:pPr>
        <w:pStyle w:val="9"/>
        <w:spacing w:before="66"/>
        <w:ind w:left="0"/>
        <w:jc w:val="left"/>
        <w:rPr>
          <w:rFonts w:hint="eastAsia"/>
        </w:rPr>
      </w:pPr>
      <w:r>
        <w:rPr>
          <w:rFonts w:hint="eastAsia"/>
        </w:rPr>
        <w:t>Why have dispensationalists had to invent such a term (i.e., Rapture)?</w:t>
      </w:r>
    </w:p>
    <w:p w14:paraId="6EF3C365">
      <w:pPr>
        <w:pStyle w:val="9"/>
        <w:spacing w:before="66"/>
        <w:ind w:left="0"/>
        <w:jc w:val="left"/>
        <w:rPr>
          <w:rFonts w:hint="eastAsia"/>
        </w:rPr>
      </w:pPr>
      <w:r>
        <w:rPr>
          <w:rFonts w:hint="eastAsia"/>
        </w:rPr>
        <w:t>为何时代论者必须发明这样一个术语（即被提）？</w:t>
      </w:r>
    </w:p>
    <w:p w14:paraId="3FC1E40F">
      <w:pPr>
        <w:pStyle w:val="9"/>
        <w:spacing w:before="66"/>
        <w:ind w:left="0"/>
        <w:jc w:val="left"/>
        <w:rPr>
          <w:rFonts w:hint="eastAsia"/>
        </w:rPr>
      </w:pPr>
    </w:p>
    <w:p w14:paraId="1E56522C">
      <w:pPr>
        <w:pStyle w:val="9"/>
        <w:spacing w:before="66"/>
        <w:ind w:left="0"/>
        <w:jc w:val="left"/>
        <w:rPr>
          <w:rFonts w:hint="eastAsia"/>
        </w:rPr>
      </w:pPr>
      <w:r>
        <w:rPr>
          <w:rFonts w:hint="eastAsia"/>
        </w:rPr>
        <w:t>And why do they persist in using it, as though it depicted a discrete event in Salvation History, when it neither appears here, in the “definitive” biblical text on the Rapture, nor anywhere else in the NT?</w:t>
      </w:r>
    </w:p>
    <w:p w14:paraId="69B59915">
      <w:pPr>
        <w:pStyle w:val="9"/>
        <w:spacing w:before="66"/>
        <w:ind w:left="0"/>
        <w:jc w:val="left"/>
        <w:rPr>
          <w:rFonts w:hint="eastAsia"/>
        </w:rPr>
      </w:pPr>
      <w:r>
        <w:rPr>
          <w:rFonts w:hint="eastAsia"/>
        </w:rPr>
        <w:t>他们为何坚持使用它，仿佛它描绘了救赎历史中一个独立的事件，而它既没有出现在这里，这关于被提的“权威”圣经经文中，也没有出现在新约的任何其他地方？</w:t>
      </w:r>
    </w:p>
    <w:p w14:paraId="02CB570E">
      <w:pPr>
        <w:pStyle w:val="9"/>
        <w:spacing w:before="66"/>
        <w:ind w:left="0"/>
        <w:jc w:val="left"/>
        <w:rPr>
          <w:rFonts w:hint="eastAsia"/>
        </w:rPr>
      </w:pPr>
    </w:p>
    <w:p w14:paraId="79FCEF0E">
      <w:pPr>
        <w:pStyle w:val="9"/>
        <w:spacing w:before="66"/>
        <w:ind w:left="0"/>
        <w:jc w:val="left"/>
        <w:rPr>
          <w:rFonts w:hint="eastAsia"/>
        </w:rPr>
      </w:pPr>
      <w:r>
        <w:rPr>
          <w:rFonts w:hint="eastAsia"/>
        </w:rPr>
        <w:t>Why, in all of Paul’s writings, would he repeatedly speak of the Coming of Christ (1 Thess. 3:13, 4:15, 5:23, 2 Thess. 2:1) or “his Coming,” as though there were only one of them (1 Cor. 15:23, 1 Thess. 2:19, 2 Thess. 2:8)?</w:t>
      </w:r>
    </w:p>
    <w:p w14:paraId="699810E5">
      <w:pPr>
        <w:pStyle w:val="9"/>
        <w:spacing w:before="66"/>
        <w:ind w:left="0"/>
        <w:jc w:val="left"/>
        <w:rPr>
          <w:rFonts w:hint="eastAsia"/>
        </w:rPr>
      </w:pPr>
      <w:r>
        <w:rPr>
          <w:rFonts w:hint="eastAsia"/>
        </w:rPr>
        <w:t>为何保罗在他所有的著作中，会一再地谈到基督的降临（帖前3:13, 4:15, 5:23，帖后2:1）或“祂的降临”，仿佛只有一个（林前15:23，帖前2:19，帖后2:8）？</w:t>
      </w:r>
    </w:p>
    <w:p w14:paraId="43EDC897">
      <w:pPr>
        <w:pStyle w:val="9"/>
        <w:spacing w:before="66"/>
        <w:ind w:left="0"/>
        <w:jc w:val="left"/>
        <w:rPr>
          <w:rFonts w:hint="eastAsia"/>
        </w:rPr>
      </w:pPr>
    </w:p>
    <w:p w14:paraId="4291D7A4">
      <w:pPr>
        <w:pStyle w:val="9"/>
        <w:spacing w:before="66"/>
        <w:ind w:left="0"/>
        <w:jc w:val="left"/>
        <w:rPr>
          <w:rFonts w:hint="eastAsia"/>
        </w:rPr>
      </w:pPr>
      <w:r>
        <w:rPr>
          <w:rFonts w:hint="eastAsia"/>
        </w:rPr>
        <w:t>Why would he speak of the Resurrection, as though there were only one of them (Acts 17:18, 32, 1 Cor. 15:21, 42, 2 Tim. 2:18)?</w:t>
      </w:r>
    </w:p>
    <w:p w14:paraId="5126B303">
      <w:pPr>
        <w:pStyle w:val="9"/>
        <w:spacing w:before="66"/>
        <w:ind w:left="0"/>
        <w:jc w:val="left"/>
        <w:rPr>
          <w:rFonts w:hint="eastAsia"/>
        </w:rPr>
      </w:pPr>
      <w:r>
        <w:rPr>
          <w:rFonts w:hint="eastAsia"/>
        </w:rPr>
        <w:t>祂为何会谈到复活，仿佛只有一个（使徒行传17:18, 32，哥林多前书15:21, 42，提摩太后书2:18）？</w:t>
      </w:r>
    </w:p>
    <w:p w14:paraId="1E296AD0">
      <w:pPr>
        <w:pStyle w:val="9"/>
        <w:spacing w:before="66"/>
        <w:ind w:left="0"/>
        <w:jc w:val="left"/>
        <w:rPr>
          <w:rFonts w:hint="eastAsia"/>
        </w:rPr>
      </w:pPr>
    </w:p>
    <w:p w14:paraId="5DB90B36">
      <w:pPr>
        <w:pStyle w:val="9"/>
        <w:spacing w:before="66"/>
        <w:ind w:left="0"/>
        <w:jc w:val="left"/>
        <w:rPr>
          <w:rFonts w:hint="eastAsia"/>
        </w:rPr>
      </w:pPr>
      <w:r>
        <w:rPr>
          <w:rFonts w:hint="eastAsia"/>
        </w:rPr>
        <w:t>Why would he speak of the Judgment (Acts 24:25, Rom. 2:2), or the Day of Judgment (Rom. 2:16), or the Day of the Lord (1 Cor. 5:5, 2 Cor. 1:14, 1 Thess 5:3) as though there were only one of them?</w:t>
      </w:r>
    </w:p>
    <w:p w14:paraId="4A5A52A8">
      <w:pPr>
        <w:pStyle w:val="9"/>
        <w:spacing w:before="66"/>
        <w:ind w:left="0"/>
        <w:jc w:val="left"/>
        <w:rPr>
          <w:rFonts w:hint="eastAsia"/>
        </w:rPr>
      </w:pPr>
      <w:r>
        <w:rPr>
          <w:rFonts w:hint="eastAsia"/>
        </w:rPr>
        <w:t>祂为何会谈到审判（使徒行传24:25，罗马书2:2），或审判的日子（罗马书2:16），或主的日子（哥林多前书5:5，哥林多后书1:14，帖撒罗尼迦前书5:3），仿佛只有一个？</w:t>
      </w:r>
    </w:p>
    <w:p w14:paraId="18F0F10D">
      <w:pPr>
        <w:pStyle w:val="9"/>
        <w:spacing w:before="66"/>
        <w:ind w:left="0"/>
        <w:jc w:val="left"/>
        <w:rPr>
          <w:rFonts w:hint="eastAsia"/>
        </w:rPr>
      </w:pPr>
    </w:p>
    <w:p w14:paraId="6601EA42">
      <w:pPr>
        <w:pStyle w:val="9"/>
        <w:spacing w:before="66"/>
        <w:ind w:left="0"/>
        <w:jc w:val="left"/>
        <w:rPr>
          <w:rFonts w:hint="eastAsia"/>
        </w:rPr>
      </w:pPr>
      <w:r>
        <w:rPr>
          <w:rFonts w:hint="eastAsia"/>
        </w:rPr>
        <w:t>And why, if the Parousia, and the Resurrection, and the Day of the Lord all fall into several parts, would he not carefully explain such crucial distinctions, whether here in the Thessalonian letters, or elsewhere in the NT?</w:t>
      </w:r>
    </w:p>
    <w:p w14:paraId="4EEA402A">
      <w:pPr>
        <w:pStyle w:val="9"/>
        <w:spacing w:before="66"/>
        <w:ind w:left="0"/>
        <w:jc w:val="left"/>
        <w:rPr>
          <w:rFonts w:hint="eastAsia"/>
        </w:rPr>
      </w:pPr>
      <w:r>
        <w:rPr>
          <w:rFonts w:hint="eastAsia"/>
        </w:rPr>
        <w:t>并且，如果主临（Parousia）、复活和主的日子都分为几个部分，祂为何不仔细地解释这些关键的区别，无论是在帖撒罗尼迦书信中，还是在新约的其他地方？</w:t>
      </w:r>
    </w:p>
    <w:p w14:paraId="4EAB9FA5">
      <w:pPr>
        <w:pStyle w:val="9"/>
        <w:spacing w:before="66"/>
        <w:ind w:left="0"/>
        <w:jc w:val="left"/>
        <w:rPr>
          <w:rFonts w:hint="eastAsia"/>
        </w:rPr>
      </w:pPr>
    </w:p>
    <w:p w14:paraId="5ECB045A">
      <w:pPr>
        <w:pStyle w:val="9"/>
        <w:spacing w:before="66"/>
        <w:ind w:left="0"/>
        <w:jc w:val="left"/>
        <w:rPr>
          <w:rFonts w:hint="eastAsia"/>
        </w:rPr>
      </w:pPr>
      <w:r>
        <w:rPr>
          <w:rFonts w:hint="eastAsia"/>
        </w:rPr>
        <w:t>Finally, is it not clear from all these questions that Paul views the Consummation as a single unified event, set to occur at the Parousia?</w:t>
      </w:r>
    </w:p>
    <w:p w14:paraId="3A1F705F">
      <w:pPr>
        <w:pStyle w:val="9"/>
        <w:spacing w:before="66"/>
        <w:ind w:left="0"/>
        <w:jc w:val="left"/>
        <w:rPr>
          <w:rFonts w:hint="eastAsia"/>
        </w:rPr>
      </w:pPr>
      <w:r>
        <w:rPr>
          <w:rFonts w:hint="eastAsia"/>
        </w:rPr>
        <w:t>最后，从所有这些问题中，难道不清楚保罗将最终的成全视为一个单一的统一事件，预定在主临（Parousia）时发生吗？</w:t>
      </w:r>
    </w:p>
    <w:p w14:paraId="4EB274B5">
      <w:pPr>
        <w:pStyle w:val="9"/>
        <w:spacing w:before="66"/>
        <w:ind w:left="0"/>
        <w:jc w:val="left"/>
        <w:rPr>
          <w:rFonts w:hint="eastAsia"/>
        </w:rPr>
      </w:pPr>
    </w:p>
    <w:p w14:paraId="1CD84542">
      <w:pPr>
        <w:pStyle w:val="9"/>
        <w:spacing w:before="66"/>
        <w:ind w:left="0"/>
        <w:jc w:val="left"/>
        <w:rPr>
          <w:rFonts w:hint="eastAsia"/>
        </w:rPr>
      </w:pPr>
      <w:r>
        <w:rPr>
          <w:rFonts w:hint="eastAsia"/>
        </w:rPr>
        <w:t>And is it not clear that if this is true, then Dispensationalism, with its endless multiplication of eschatological acts and events, must be false?</w:t>
      </w:r>
    </w:p>
    <w:p w14:paraId="375B47DA">
      <w:pPr>
        <w:pStyle w:val="9"/>
        <w:spacing w:before="66"/>
        <w:ind w:left="0"/>
        <w:jc w:val="left"/>
        <w:rPr>
          <w:rFonts w:hint="eastAsia"/>
        </w:rPr>
      </w:pPr>
      <w:r>
        <w:rPr>
          <w:rFonts w:hint="eastAsia"/>
        </w:rPr>
        <w:t>并且，如果这是真的，那么时代论，以其对末世作为和事件的无尽增加，岂不必定是错误的吗？</w:t>
      </w:r>
    </w:p>
    <w:p w14:paraId="37C90403">
      <w:pPr>
        <w:pStyle w:val="9"/>
        <w:spacing w:before="66"/>
        <w:ind w:left="0"/>
        <w:jc w:val="left"/>
        <w:rPr>
          <w:rFonts w:hint="eastAsia"/>
        </w:rPr>
      </w:pPr>
    </w:p>
    <w:p w14:paraId="77F14399">
      <w:pPr>
        <w:pStyle w:val="9"/>
        <w:spacing w:before="66"/>
        <w:ind w:left="0"/>
        <w:jc w:val="left"/>
        <w:rPr>
          <w:rFonts w:hint="eastAsia"/>
        </w:rPr>
      </w:pPr>
      <w:r>
        <w:rPr>
          <w:rFonts w:hint="eastAsia"/>
        </w:rPr>
        <w:t>Conclusion</w:t>
      </w:r>
    </w:p>
    <w:p w14:paraId="43A404B4">
      <w:pPr>
        <w:pStyle w:val="9"/>
        <w:spacing w:before="66"/>
        <w:ind w:left="0"/>
        <w:jc w:val="left"/>
        <w:rPr>
          <w:rFonts w:hint="eastAsia"/>
        </w:rPr>
      </w:pPr>
      <w:r>
        <w:rPr>
          <w:rFonts w:hint="eastAsia"/>
        </w:rPr>
        <w:t>结论</w:t>
      </w:r>
    </w:p>
    <w:p w14:paraId="53B66EB2">
      <w:pPr>
        <w:pStyle w:val="9"/>
        <w:spacing w:before="66"/>
        <w:ind w:left="0"/>
        <w:jc w:val="left"/>
        <w:rPr>
          <w:rFonts w:hint="eastAsia"/>
        </w:rPr>
      </w:pPr>
    </w:p>
    <w:p w14:paraId="7D4D62D4">
      <w:pPr>
        <w:pStyle w:val="9"/>
        <w:spacing w:before="66"/>
        <w:ind w:left="0"/>
        <w:jc w:val="left"/>
        <w:rPr>
          <w:rFonts w:hint="eastAsia"/>
        </w:rPr>
      </w:pPr>
      <w:r>
        <w:rPr>
          <w:rFonts w:hint="eastAsia"/>
        </w:rPr>
        <w:t>We have seen that 1 Thess. 4:13-5:10 is an eschatological unit.</w:t>
      </w:r>
    </w:p>
    <w:p w14:paraId="0A38D4E5">
      <w:pPr>
        <w:pStyle w:val="9"/>
        <w:spacing w:before="66"/>
        <w:ind w:left="0"/>
        <w:jc w:val="left"/>
        <w:rPr>
          <w:rFonts w:hint="eastAsia"/>
        </w:rPr>
      </w:pPr>
      <w:r>
        <w:rPr>
          <w:rFonts w:hint="eastAsia"/>
        </w:rPr>
        <w:t>我们已经看到，帖撒罗尼迦前书4:13-5:10是一个末世论的单元。</w:t>
      </w:r>
    </w:p>
    <w:p w14:paraId="66B949A6">
      <w:pPr>
        <w:pStyle w:val="9"/>
        <w:spacing w:before="66"/>
        <w:ind w:left="0"/>
        <w:jc w:val="left"/>
        <w:rPr>
          <w:rFonts w:hint="eastAsia"/>
        </w:rPr>
      </w:pPr>
    </w:p>
    <w:p w14:paraId="2B716209">
      <w:pPr>
        <w:pStyle w:val="9"/>
        <w:spacing w:before="66"/>
        <w:ind w:left="0"/>
        <w:jc w:val="left"/>
        <w:rPr>
          <w:rFonts w:hint="eastAsia"/>
        </w:rPr>
      </w:pPr>
      <w:r>
        <w:rPr>
          <w:rFonts w:hint="eastAsia"/>
        </w:rPr>
        <w:t>Here, as elsewhere in the corpus of his writings, Paul has in view a single Momentous Event.</w:t>
      </w:r>
    </w:p>
    <w:p w14:paraId="7CC0C4D9">
      <w:pPr>
        <w:pStyle w:val="9"/>
        <w:spacing w:before="66"/>
        <w:ind w:left="0"/>
        <w:jc w:val="left"/>
        <w:rPr>
          <w:rFonts w:hint="eastAsia"/>
        </w:rPr>
      </w:pPr>
      <w:r>
        <w:rPr>
          <w:rFonts w:hint="eastAsia"/>
        </w:rPr>
        <w:t>在这里，如同在祂著作的其他地方一样，保罗心中所想的是一次单一的重大事件。</w:t>
      </w:r>
    </w:p>
    <w:p w14:paraId="5BB3CD25">
      <w:pPr>
        <w:pStyle w:val="9"/>
        <w:spacing w:before="66"/>
        <w:ind w:left="0"/>
        <w:jc w:val="left"/>
        <w:rPr>
          <w:rFonts w:hint="eastAsia"/>
        </w:rPr>
      </w:pPr>
    </w:p>
    <w:p w14:paraId="5E77B62C">
      <w:pPr>
        <w:pStyle w:val="9"/>
        <w:spacing w:before="66"/>
        <w:ind w:left="0"/>
        <w:jc w:val="left"/>
        <w:rPr>
          <w:rFonts w:hint="eastAsia"/>
        </w:rPr>
      </w:pPr>
      <w:r>
        <w:rPr>
          <w:rFonts w:hint="eastAsia"/>
        </w:rPr>
        <w:t>He is not looking for a secret, pre-tribulational coming of Christ that removes the Church to heaven, followed by a public, post-tribulational coming seven years later.</w:t>
      </w:r>
    </w:p>
    <w:p w14:paraId="66E98485">
      <w:pPr>
        <w:pStyle w:val="9"/>
        <w:spacing w:before="66"/>
        <w:ind w:left="0"/>
        <w:jc w:val="left"/>
        <w:rPr>
          <w:rFonts w:hint="eastAsia"/>
        </w:rPr>
      </w:pPr>
      <w:r>
        <w:rPr>
          <w:rFonts w:hint="eastAsia"/>
        </w:rPr>
        <w:t>祂并非在寻找一次秘密的、灾前的基督降临，将教会提到天上，其后是七年后的公开、灾后的降临。</w:t>
      </w:r>
    </w:p>
    <w:p w14:paraId="56B09A8C">
      <w:pPr>
        <w:pStyle w:val="9"/>
        <w:spacing w:before="66"/>
        <w:ind w:left="0"/>
        <w:jc w:val="left"/>
        <w:rPr>
          <w:rFonts w:hint="eastAsia"/>
        </w:rPr>
      </w:pPr>
    </w:p>
    <w:p w14:paraId="32DCC69A">
      <w:pPr>
        <w:pStyle w:val="9"/>
        <w:spacing w:before="66"/>
        <w:ind w:left="0"/>
        <w:jc w:val="left"/>
        <w:rPr>
          <w:rFonts w:hint="eastAsia"/>
        </w:rPr>
      </w:pPr>
      <w:r>
        <w:rPr>
          <w:rFonts w:hint="eastAsia"/>
        </w:rPr>
        <w:t>Nor is he looking for a premillennial coming of Christ, followed by yet another coming a thousand years thereafter.</w:t>
      </w:r>
    </w:p>
    <w:p w14:paraId="7FCA8251">
      <w:pPr>
        <w:pStyle w:val="9"/>
        <w:spacing w:before="66"/>
        <w:ind w:left="0"/>
        <w:jc w:val="left"/>
        <w:rPr>
          <w:rFonts w:hint="eastAsia"/>
        </w:rPr>
      </w:pPr>
      <w:r>
        <w:rPr>
          <w:rFonts w:hint="eastAsia"/>
        </w:rPr>
        <w:t>祂也并非在寻找一次前千禧年的基督降临，其后一千年还有另一次降临。</w:t>
      </w:r>
    </w:p>
    <w:p w14:paraId="1537DBF5">
      <w:pPr>
        <w:pStyle w:val="9"/>
        <w:spacing w:before="66"/>
        <w:ind w:left="0"/>
        <w:jc w:val="left"/>
        <w:rPr>
          <w:rFonts w:hint="eastAsia"/>
        </w:rPr>
      </w:pPr>
    </w:p>
    <w:p w14:paraId="758BCDB7">
      <w:pPr>
        <w:pStyle w:val="9"/>
        <w:spacing w:before="66"/>
        <w:ind w:left="0"/>
        <w:jc w:val="left"/>
        <w:rPr>
          <w:rFonts w:hint="eastAsia"/>
        </w:rPr>
      </w:pPr>
      <w:r>
        <w:rPr>
          <w:rFonts w:hint="eastAsia"/>
        </w:rPr>
        <w:t>We search in vain for the slightest hint of any such distinctions or any such fracturing and fragmenting of the Church’s Blessed Hope.</w:t>
      </w:r>
    </w:p>
    <w:p w14:paraId="038E105A">
      <w:pPr>
        <w:pStyle w:val="9"/>
        <w:spacing w:before="66"/>
        <w:ind w:left="0"/>
        <w:jc w:val="left"/>
        <w:rPr>
          <w:rFonts w:hint="eastAsia"/>
        </w:rPr>
      </w:pPr>
      <w:r>
        <w:rPr>
          <w:rFonts w:hint="eastAsia"/>
        </w:rPr>
        <w:t>我们徒然地寻找任何这类区别的丝毫暗示，或任何这类对教会有福盼望的分裂和肢解。</w:t>
      </w:r>
    </w:p>
    <w:p w14:paraId="32EA557B">
      <w:pPr>
        <w:pStyle w:val="9"/>
        <w:spacing w:before="66"/>
        <w:ind w:left="0"/>
        <w:jc w:val="left"/>
        <w:rPr>
          <w:rFonts w:hint="eastAsia"/>
        </w:rPr>
      </w:pPr>
    </w:p>
    <w:p w14:paraId="53AE7FAE">
      <w:pPr>
        <w:pStyle w:val="9"/>
        <w:spacing w:before="66"/>
        <w:ind w:left="0"/>
        <w:jc w:val="left"/>
        <w:rPr>
          <w:rFonts w:hint="eastAsia"/>
        </w:rPr>
      </w:pPr>
      <w:r>
        <w:rPr>
          <w:rFonts w:hint="eastAsia"/>
        </w:rPr>
        <w:t>Rather, the apostle is looking for a single, dramatic, powerful, and supremely public Consummation of all things; a Consummation to be effected by Christ at his Parousia; a Consummation that involves a general Resurrection of the dead, the glorification of the living saints, the “catching up” of the Church into the air, the Last Judgment of all men and all angels before the throne of Christ, the final restoration of the universe, and the descent of Christ’s glorified Bride to her new home in the World to Come.</w:t>
      </w:r>
    </w:p>
    <w:p w14:paraId="72B94933">
      <w:pPr>
        <w:pStyle w:val="9"/>
        <w:spacing w:before="66"/>
        <w:ind w:left="0"/>
        <w:jc w:val="left"/>
        <w:rPr>
          <w:rFonts w:hint="eastAsia"/>
        </w:rPr>
      </w:pPr>
      <w:r>
        <w:rPr>
          <w:rFonts w:hint="eastAsia"/>
        </w:rPr>
        <w:t>相反，使徒正在寻找的是一次单一的、戏剧性的、有力的、极其公开的万物最终成全；一个由基督在祂主临（Parousia）时成就的最终成全；一个涉及死人普世复活、活着圣徒得荣耀、教会“被提”到空中、所有人和所有天使在基督宝座前的最后审判、宇宙的最终恢复，以及基督得荣耀的新妇降临到她在将来世界中的新家。</w:t>
      </w:r>
    </w:p>
    <w:p w14:paraId="174B9315">
      <w:pPr>
        <w:pStyle w:val="9"/>
        <w:spacing w:before="66"/>
        <w:ind w:left="0"/>
        <w:jc w:val="left"/>
        <w:rPr>
          <w:rFonts w:hint="eastAsia"/>
        </w:rPr>
      </w:pPr>
    </w:p>
    <w:p w14:paraId="11EFD981">
      <w:pPr>
        <w:pStyle w:val="9"/>
        <w:spacing w:before="66"/>
        <w:ind w:left="0"/>
        <w:jc w:val="left"/>
        <w:rPr>
          <w:rFonts w:hint="eastAsia"/>
        </w:rPr>
      </w:pPr>
      <w:r>
        <w:rPr>
          <w:rFonts w:hint="eastAsia"/>
        </w:rPr>
        <w:t>This is the Pauline eschatology; this is the sense of our text; this is the teaching of the classical Reformation; and this is the Blessed Hope of Christ’s Church.</w:t>
      </w:r>
    </w:p>
    <w:p w14:paraId="0628D4D8">
      <w:pPr>
        <w:pStyle w:val="9"/>
        <w:spacing w:before="66"/>
        <w:ind w:left="0"/>
        <w:jc w:val="left"/>
        <w:rPr>
          <w:rFonts w:hint="eastAsia"/>
        </w:rPr>
      </w:pPr>
      <w:r>
        <w:rPr>
          <w:rFonts w:hint="eastAsia"/>
        </w:rPr>
        <w:t>这是保罗的末世论；这是我们经文的意义；这是经典宗教改革的教导；这也是基督教会的有福盼望。</w:t>
      </w:r>
    </w:p>
    <w:p w14:paraId="34F30487">
      <w:pPr>
        <w:pStyle w:val="9"/>
        <w:spacing w:before="66"/>
        <w:ind w:left="0"/>
        <w:jc w:val="left"/>
        <w:rPr>
          <w:rFonts w:hint="eastAsia"/>
        </w:rPr>
      </w:pPr>
    </w:p>
    <w:p w14:paraId="66061B61">
      <w:pPr>
        <w:pStyle w:val="9"/>
        <w:spacing w:after="0" w:line="249" w:lineRule="auto"/>
        <w:rPr>
          <w:rFonts w:hint="eastAsia"/>
        </w:rPr>
      </w:pPr>
      <w:r>
        <w:rPr>
          <w:rFonts w:hint="eastAsia"/>
        </w:rPr>
        <w:t>1.The Righteous Judgment of God</w:t>
      </w:r>
    </w:p>
    <w:p w14:paraId="5D8FD9A9">
      <w:pPr>
        <w:pStyle w:val="9"/>
        <w:spacing w:after="0" w:line="249" w:lineRule="auto"/>
        <w:rPr>
          <w:rFonts w:hint="eastAsia"/>
        </w:rPr>
      </w:pPr>
      <w:r>
        <w:rPr>
          <w:rFonts w:hint="eastAsia"/>
        </w:rPr>
        <w:t>1.上帝公义的审判</w:t>
      </w:r>
    </w:p>
    <w:p w14:paraId="3FAC197C">
      <w:pPr>
        <w:pStyle w:val="9"/>
        <w:spacing w:after="0" w:line="249" w:lineRule="auto"/>
        <w:rPr>
          <w:rFonts w:hint="eastAsia"/>
        </w:rPr>
      </w:pPr>
    </w:p>
    <w:p w14:paraId="7311F81C">
      <w:pPr>
        <w:pStyle w:val="9"/>
        <w:spacing w:after="0" w:line="249" w:lineRule="auto"/>
        <w:rPr>
          <w:rFonts w:hint="eastAsia"/>
        </w:rPr>
      </w:pPr>
      <w:r>
        <w:rPr>
          <w:rFonts w:hint="eastAsia"/>
        </w:rPr>
        <w:t>(2 Thessalonians 1:3-10)</w:t>
      </w:r>
    </w:p>
    <w:p w14:paraId="58EE2D22">
      <w:pPr>
        <w:pStyle w:val="9"/>
        <w:spacing w:after="0" w:line="249" w:lineRule="auto"/>
        <w:rPr>
          <w:rFonts w:hint="eastAsia"/>
        </w:rPr>
      </w:pPr>
      <w:r>
        <w:rPr>
          <w:rFonts w:hint="eastAsia"/>
        </w:rPr>
        <w:t>（帖撒罗尼迦后书1:3-10）</w:t>
      </w:r>
    </w:p>
    <w:p w14:paraId="45971E08">
      <w:pPr>
        <w:pStyle w:val="9"/>
        <w:spacing w:after="0" w:line="249" w:lineRule="auto"/>
        <w:rPr>
          <w:rFonts w:hint="eastAsia"/>
        </w:rPr>
      </w:pPr>
    </w:p>
    <w:p w14:paraId="5E26EC11">
      <w:pPr>
        <w:pStyle w:val="9"/>
        <w:spacing w:after="0" w:line="249" w:lineRule="auto"/>
        <w:rPr>
          <w:rFonts w:hint="eastAsia"/>
        </w:rPr>
      </w:pPr>
      <w:r>
        <w:rPr>
          <w:rFonts w:hint="eastAsia"/>
        </w:rPr>
        <w:t>In Paul’s second letter to the Thessalonians eschatological teaching appears even more prominently than in the first.</w:t>
      </w:r>
    </w:p>
    <w:p w14:paraId="77FB5FFB">
      <w:pPr>
        <w:pStyle w:val="9"/>
        <w:spacing w:after="0" w:line="249" w:lineRule="auto"/>
        <w:rPr>
          <w:rFonts w:hint="eastAsia"/>
        </w:rPr>
      </w:pPr>
      <w:r>
        <w:rPr>
          <w:rFonts w:hint="eastAsia"/>
        </w:rPr>
        <w:t>在保罗写给帖撒罗尼迦人的第二封信中，末世论的教导比在第一封信中更为突出。</w:t>
      </w:r>
    </w:p>
    <w:p w14:paraId="59EF62BD">
      <w:pPr>
        <w:pStyle w:val="9"/>
        <w:spacing w:after="0" w:line="249" w:lineRule="auto"/>
        <w:rPr>
          <w:rFonts w:hint="eastAsia"/>
        </w:rPr>
      </w:pPr>
    </w:p>
    <w:p w14:paraId="0D2EAD86">
      <w:pPr>
        <w:pStyle w:val="9"/>
        <w:spacing w:after="0" w:line="249" w:lineRule="auto"/>
        <w:rPr>
          <w:rFonts w:hint="eastAsia"/>
        </w:rPr>
      </w:pPr>
      <w:r>
        <w:rPr>
          <w:rFonts w:hint="eastAsia"/>
        </w:rPr>
        <w:t>The Thessalonians continue to endure severe persecution (1 Thess. 3:3, 2 Thess. 1:4).</w:t>
      </w:r>
    </w:p>
    <w:p w14:paraId="1D330709">
      <w:pPr>
        <w:pStyle w:val="9"/>
        <w:spacing w:after="0" w:line="249" w:lineRule="auto"/>
        <w:rPr>
          <w:rFonts w:hint="eastAsia"/>
        </w:rPr>
      </w:pPr>
      <w:r>
        <w:rPr>
          <w:rFonts w:hint="eastAsia"/>
        </w:rPr>
        <w:t>帖撒罗尼迦人继续忍受严酷的迫害（帖前3:3，帖后1:4）。</w:t>
      </w:r>
    </w:p>
    <w:p w14:paraId="3F1E240A">
      <w:pPr>
        <w:pStyle w:val="9"/>
        <w:spacing w:after="0" w:line="249" w:lineRule="auto"/>
        <w:rPr>
          <w:rFonts w:hint="eastAsia"/>
        </w:rPr>
      </w:pPr>
    </w:p>
    <w:p w14:paraId="56853936">
      <w:pPr>
        <w:pStyle w:val="9"/>
        <w:spacing w:after="0" w:line="249" w:lineRule="auto"/>
        <w:rPr>
          <w:rFonts w:hint="eastAsia"/>
        </w:rPr>
      </w:pPr>
      <w:r>
        <w:rPr>
          <w:rFonts w:hint="eastAsia"/>
        </w:rPr>
        <w:t>Because of this, and because of the apostle’s earlier letter, they eagerly await the Coming of their Lord (1 Thess. 1:10).</w:t>
      </w:r>
    </w:p>
    <w:p w14:paraId="3872FE1F">
      <w:pPr>
        <w:pStyle w:val="9"/>
        <w:spacing w:after="0" w:line="249" w:lineRule="auto"/>
        <w:rPr>
          <w:rFonts w:hint="eastAsia"/>
        </w:rPr>
      </w:pPr>
      <w:r>
        <w:rPr>
          <w:rFonts w:hint="eastAsia"/>
        </w:rPr>
        <w:t>因此，也因为使徒先前的信，他们热切地等候他们主的降临（帖前1:10）。</w:t>
      </w:r>
    </w:p>
    <w:p w14:paraId="6D6CD73E">
      <w:pPr>
        <w:pStyle w:val="9"/>
        <w:spacing w:after="0" w:line="249" w:lineRule="auto"/>
        <w:rPr>
          <w:rFonts w:hint="eastAsia"/>
        </w:rPr>
      </w:pPr>
    </w:p>
    <w:p w14:paraId="3468E545">
      <w:pPr>
        <w:pStyle w:val="9"/>
        <w:spacing w:after="0" w:line="249" w:lineRule="auto"/>
        <w:rPr>
          <w:rFonts w:hint="eastAsia"/>
        </w:rPr>
      </w:pPr>
      <w:r>
        <w:rPr>
          <w:rFonts w:hint="eastAsia"/>
        </w:rPr>
        <w:t>Now, however, a rumor is circulating, to the effect that “the Day of the Lord has come”— that Christ’s return is “at the very door” (Mt. 24:33).</w:t>
      </w:r>
    </w:p>
    <w:p w14:paraId="641354DC">
      <w:pPr>
        <w:pStyle w:val="9"/>
        <w:spacing w:after="0" w:line="249" w:lineRule="auto"/>
        <w:rPr>
          <w:rFonts w:hint="eastAsia"/>
        </w:rPr>
      </w:pPr>
      <w:r>
        <w:rPr>
          <w:rFonts w:hint="eastAsia"/>
        </w:rPr>
        <w:t>然而，如今有一个谣言在流传，大意是“主的日子到了”——即基督的再来“正在门口了”（太24:33）。</w:t>
      </w:r>
    </w:p>
    <w:p w14:paraId="7386F03C">
      <w:pPr>
        <w:pStyle w:val="9"/>
        <w:spacing w:after="0" w:line="249" w:lineRule="auto"/>
        <w:rPr>
          <w:rFonts w:hint="eastAsia"/>
        </w:rPr>
      </w:pPr>
    </w:p>
    <w:p w14:paraId="664E86F6">
      <w:pPr>
        <w:pStyle w:val="9"/>
        <w:spacing w:after="0" w:line="249" w:lineRule="auto"/>
        <w:rPr>
          <w:rFonts w:hint="eastAsia"/>
        </w:rPr>
      </w:pPr>
      <w:r>
        <w:rPr>
          <w:rFonts w:hint="eastAsia"/>
        </w:rPr>
        <w:t>As a result, the Thessalonians are troubled, shaken from their spiritual composure (2 Thess. 2:2).</w:t>
      </w:r>
    </w:p>
    <w:p w14:paraId="59F35857">
      <w:pPr>
        <w:pStyle w:val="9"/>
        <w:spacing w:after="0" w:line="249" w:lineRule="auto"/>
        <w:rPr>
          <w:rFonts w:hint="eastAsia"/>
        </w:rPr>
      </w:pPr>
      <w:r>
        <w:rPr>
          <w:rFonts w:hint="eastAsia"/>
        </w:rPr>
        <w:t>结果，帖撒罗尼迦人心里惊慌，从他们属灵的镇定中被摇动（帖后2:2）。</w:t>
      </w:r>
    </w:p>
    <w:p w14:paraId="537D8FB1">
      <w:pPr>
        <w:pStyle w:val="9"/>
        <w:spacing w:after="0" w:line="249" w:lineRule="auto"/>
        <w:rPr>
          <w:rFonts w:hint="eastAsia"/>
        </w:rPr>
      </w:pPr>
    </w:p>
    <w:p w14:paraId="5BB5EFAD">
      <w:pPr>
        <w:pStyle w:val="9"/>
        <w:spacing w:after="0" w:line="249" w:lineRule="auto"/>
        <w:rPr>
          <w:rFonts w:hint="eastAsia"/>
        </w:rPr>
      </w:pPr>
      <w:r>
        <w:rPr>
          <w:rFonts w:hint="eastAsia"/>
        </w:rPr>
        <w:t>Doubtless a vigorous debate has arisen in their congregations, seeing that the rumor does not square with Paul’s previous instruction (2 Thess. 2:5).</w:t>
      </w:r>
    </w:p>
    <w:p w14:paraId="262698B5">
      <w:pPr>
        <w:pStyle w:val="9"/>
        <w:spacing w:after="0" w:line="249" w:lineRule="auto"/>
        <w:rPr>
          <w:rFonts w:hint="eastAsia"/>
        </w:rPr>
      </w:pPr>
      <w:r>
        <w:rPr>
          <w:rFonts w:hint="eastAsia"/>
        </w:rPr>
        <w:t>无疑，在他们的会众中已起了激烈的辩论，因为这谣言与保罗先前的教导不符（帖后2:5）。</w:t>
      </w:r>
    </w:p>
    <w:p w14:paraId="7100CD0F">
      <w:pPr>
        <w:pStyle w:val="9"/>
        <w:spacing w:after="0" w:line="249" w:lineRule="auto"/>
        <w:rPr>
          <w:rFonts w:hint="eastAsia"/>
        </w:rPr>
      </w:pPr>
    </w:p>
    <w:p w14:paraId="441BBC63">
      <w:pPr>
        <w:pStyle w:val="9"/>
        <w:spacing w:after="0" w:line="249" w:lineRule="auto"/>
        <w:rPr>
          <w:rFonts w:hint="eastAsia"/>
        </w:rPr>
      </w:pPr>
      <w:r>
        <w:rPr>
          <w:rFonts w:hint="eastAsia"/>
        </w:rPr>
        <w:t>Also, certain men, previously reproved for their indolence, are probably using the rumor as an excuse to dodge the responsibility of regular work (1 Thess. 4:11-12, 5:14).</w:t>
      </w:r>
    </w:p>
    <w:p w14:paraId="7B4162E8">
      <w:pPr>
        <w:pStyle w:val="9"/>
        <w:spacing w:after="0" w:line="249" w:lineRule="auto"/>
        <w:rPr>
          <w:rFonts w:hint="eastAsia"/>
        </w:rPr>
      </w:pPr>
      <w:r>
        <w:rPr>
          <w:rFonts w:hint="eastAsia"/>
        </w:rPr>
        <w:t>还有，某些先前因懒惰受责备的人，可能正利用这谣言作为逃避正常工作责任的借口（帖前4:11-12, 5:14）。</w:t>
      </w:r>
    </w:p>
    <w:p w14:paraId="410DE571">
      <w:pPr>
        <w:pStyle w:val="9"/>
        <w:spacing w:after="0" w:line="249" w:lineRule="auto"/>
        <w:rPr>
          <w:rFonts w:hint="eastAsia"/>
        </w:rPr>
      </w:pPr>
    </w:p>
    <w:p w14:paraId="3020B96B">
      <w:pPr>
        <w:pStyle w:val="9"/>
        <w:spacing w:after="0" w:line="249" w:lineRule="auto"/>
        <w:rPr>
          <w:rFonts w:hint="eastAsia"/>
        </w:rPr>
      </w:pPr>
      <w:r>
        <w:rPr>
          <w:rFonts w:hint="eastAsia"/>
        </w:rPr>
        <w:t>In the good providence of God, Paul gets wind of these things and again takes pen in hand.</w:t>
      </w:r>
    </w:p>
    <w:p w14:paraId="40DFD3BC">
      <w:pPr>
        <w:pStyle w:val="9"/>
        <w:spacing w:after="0" w:line="249" w:lineRule="auto"/>
        <w:rPr>
          <w:rFonts w:hint="eastAsia"/>
        </w:rPr>
      </w:pPr>
      <w:r>
        <w:rPr>
          <w:rFonts w:hint="eastAsia"/>
        </w:rPr>
        <w:t>在上帝美好的护理中，保罗听闻了这些事，并再次提笔。</w:t>
      </w:r>
    </w:p>
    <w:p w14:paraId="5A3A42C0">
      <w:pPr>
        <w:pStyle w:val="9"/>
        <w:spacing w:after="0" w:line="249" w:lineRule="auto"/>
        <w:rPr>
          <w:rFonts w:hint="eastAsia"/>
        </w:rPr>
      </w:pPr>
    </w:p>
    <w:p w14:paraId="6CF3DA77">
      <w:pPr>
        <w:pStyle w:val="9"/>
        <w:spacing w:after="0" w:line="249" w:lineRule="auto"/>
        <w:rPr>
          <w:rFonts w:hint="eastAsia"/>
        </w:rPr>
      </w:pPr>
      <w:r>
        <w:rPr>
          <w:rFonts w:hint="eastAsia"/>
        </w:rPr>
        <w:t>Our text, 2 Thessalonians 1:3-10, is the first of two passages in this letter devoted almost entirely to eschatological themes.</w:t>
      </w:r>
    </w:p>
    <w:p w14:paraId="4A8380A8">
      <w:pPr>
        <w:pStyle w:val="9"/>
        <w:spacing w:after="0" w:line="249" w:lineRule="auto"/>
        <w:rPr>
          <w:rFonts w:hint="eastAsia"/>
        </w:rPr>
      </w:pPr>
      <w:r>
        <w:rPr>
          <w:rFonts w:hint="eastAsia"/>
        </w:rPr>
        <w:t>我们的经文，帖撒罗尼迦后书1:3-10，是这封信中几乎完全致力于末世论主题的两段经文中的第一段。</w:t>
      </w:r>
    </w:p>
    <w:p w14:paraId="6C4AC030">
      <w:pPr>
        <w:pStyle w:val="9"/>
        <w:spacing w:after="0" w:line="249" w:lineRule="auto"/>
        <w:rPr>
          <w:rFonts w:hint="eastAsia"/>
        </w:rPr>
      </w:pPr>
    </w:p>
    <w:p w14:paraId="448FCBE7">
      <w:pPr>
        <w:pStyle w:val="9"/>
        <w:spacing w:after="0" w:line="249" w:lineRule="auto"/>
        <w:rPr>
          <w:rFonts w:hint="eastAsia"/>
        </w:rPr>
      </w:pPr>
      <w:r>
        <w:rPr>
          <w:rFonts w:hint="eastAsia"/>
        </w:rPr>
        <w:t>In essence, it celebrates the Thessalonians's faithfulness and endurance amidst their severe persecutions, even as it encourages them to stay the course, seeing that Christ will soon return to administer perfect justice in the form of eternal rewards and retribution.</w:t>
      </w:r>
    </w:p>
    <w:p w14:paraId="668B8DC1">
      <w:pPr>
        <w:pStyle w:val="9"/>
        <w:spacing w:after="0" w:line="249" w:lineRule="auto"/>
        <w:rPr>
          <w:rFonts w:hint="eastAsia"/>
        </w:rPr>
      </w:pPr>
      <w:r>
        <w:rPr>
          <w:rFonts w:hint="eastAsia"/>
        </w:rPr>
        <w:t>本质上，它颂扬了帖撒罗尼迦人在严酷迫害中的忠心和坚忍，同时也鼓励他们坚持到底，因为基督快要再来，以永恒的赏赐和报应的形式施行完全的公义。</w:t>
      </w:r>
    </w:p>
    <w:p w14:paraId="2608CB53">
      <w:pPr>
        <w:pStyle w:val="9"/>
        <w:spacing w:after="0" w:line="249" w:lineRule="auto"/>
        <w:rPr>
          <w:rFonts w:hint="eastAsia"/>
        </w:rPr>
      </w:pPr>
    </w:p>
    <w:p w14:paraId="28A7C58B">
      <w:pPr>
        <w:pStyle w:val="9"/>
        <w:spacing w:after="0" w:line="249" w:lineRule="auto"/>
        <w:rPr>
          <w:rFonts w:hint="eastAsia"/>
        </w:rPr>
      </w:pPr>
      <w:r>
        <w:rPr>
          <w:rFonts w:hint="eastAsia"/>
        </w:rPr>
        <w:t>Let us briefly survey it, paying special attention to any signs that Paul has in view the single, Christ-centered Consummation of classic amillennial eschatology.</w:t>
      </w:r>
    </w:p>
    <w:p w14:paraId="2B0C1FA3">
      <w:pPr>
        <w:pStyle w:val="9"/>
        <w:spacing w:after="0" w:line="249" w:lineRule="auto"/>
        <w:rPr>
          <w:rFonts w:hint="eastAsia"/>
        </w:rPr>
      </w:pPr>
      <w:r>
        <w:rPr>
          <w:rFonts w:hint="eastAsia"/>
        </w:rPr>
        <w:t>让我们简要地考察它，特别注意任何表明保罗心中所想的是经典无千禧年论末世论中那单一的、以基督为中心的最终成全的迹象。</w:t>
      </w:r>
    </w:p>
    <w:p w14:paraId="598F5EB6">
      <w:pPr>
        <w:pStyle w:val="9"/>
        <w:spacing w:after="0" w:line="249" w:lineRule="auto"/>
        <w:rPr>
          <w:rFonts w:hint="eastAsia"/>
        </w:rPr>
      </w:pPr>
    </w:p>
    <w:p w14:paraId="0499DCC2">
      <w:pPr>
        <w:pStyle w:val="9"/>
        <w:spacing w:after="0" w:line="249" w:lineRule="auto"/>
        <w:rPr>
          <w:rFonts w:hint="eastAsia"/>
        </w:rPr>
      </w:pPr>
      <w:r>
        <w:rPr>
          <w:rFonts w:hint="eastAsia"/>
        </w:rPr>
        <w:t>In verses 3-4, the apostle opens with an expression of thanksgiving.</w:t>
      </w:r>
    </w:p>
    <w:p w14:paraId="37442A8E">
      <w:pPr>
        <w:pStyle w:val="9"/>
        <w:spacing w:after="0" w:line="249" w:lineRule="auto"/>
        <w:rPr>
          <w:rFonts w:hint="eastAsia"/>
        </w:rPr>
      </w:pPr>
      <w:r>
        <w:rPr>
          <w:rFonts w:hint="eastAsia"/>
        </w:rPr>
        <w:t>在第3-4节，使徒以感恩的表达开始。</w:t>
      </w:r>
    </w:p>
    <w:p w14:paraId="4B24DE35">
      <w:pPr>
        <w:pStyle w:val="9"/>
        <w:spacing w:after="0" w:line="249" w:lineRule="auto"/>
        <w:rPr>
          <w:rFonts w:hint="eastAsia"/>
        </w:rPr>
      </w:pPr>
    </w:p>
    <w:p w14:paraId="1A44A299">
      <w:pPr>
        <w:pStyle w:val="9"/>
        <w:spacing w:after="0" w:line="249" w:lineRule="auto"/>
        <w:rPr>
          <w:rFonts w:hint="eastAsia"/>
        </w:rPr>
      </w:pPr>
      <w:r>
        <w:rPr>
          <w:rFonts w:hint="eastAsia"/>
        </w:rPr>
        <w:t>He is deeply grateful for the Thessalonians’ growth in faith and brotherly love, and especially for their perseverance amidst so many dire persecutions and afflictions (Acts 17:5-9, 1 Thess. 1:6, 2:14, 3:3).</w:t>
      </w:r>
    </w:p>
    <w:p w14:paraId="4045021C">
      <w:pPr>
        <w:pStyle w:val="9"/>
        <w:spacing w:after="0" w:line="249" w:lineRule="auto"/>
        <w:rPr>
          <w:rFonts w:hint="eastAsia"/>
        </w:rPr>
      </w:pPr>
      <w:r>
        <w:rPr>
          <w:rFonts w:hint="eastAsia"/>
        </w:rPr>
        <w:t>祂深为帖撒罗尼迦人在信心和弟兄相爱上的长进而感恩，尤其为他们在诸多可怕的迫害和患难中的坚忍而感恩（使徒行传17:5-9，帖撒罗尼迦前书1:6, 2:14, 3:3）。</w:t>
      </w:r>
    </w:p>
    <w:p w14:paraId="331A6AF9">
      <w:pPr>
        <w:pStyle w:val="9"/>
        <w:spacing w:after="0" w:line="249" w:lineRule="auto"/>
        <w:rPr>
          <w:rFonts w:hint="eastAsia"/>
        </w:rPr>
      </w:pPr>
    </w:p>
    <w:p w14:paraId="78B41FDB">
      <w:pPr>
        <w:pStyle w:val="9"/>
        <w:spacing w:after="0" w:line="249" w:lineRule="auto"/>
        <w:rPr>
          <w:rFonts w:hint="eastAsia"/>
        </w:rPr>
      </w:pPr>
      <w:r>
        <w:rPr>
          <w:rFonts w:hint="eastAsia"/>
        </w:rPr>
        <w:t>He feels he ought always to thank God for such exemplary qualities in such exemplary Christians, and proudly declares that he openly boasts about them to the other churches of God.</w:t>
      </w:r>
    </w:p>
    <w:p w14:paraId="4B3B1CE8">
      <w:pPr>
        <w:pStyle w:val="9"/>
        <w:spacing w:after="0" w:line="249" w:lineRule="auto"/>
        <w:rPr>
          <w:rFonts w:hint="eastAsia"/>
        </w:rPr>
      </w:pPr>
      <w:r>
        <w:rPr>
          <w:rFonts w:hint="eastAsia"/>
        </w:rPr>
        <w:t>祂觉得祂应当为这些模范基督徒身上的模范品质常常感谢上帝，并自豪地宣告祂在上帝的众教会中公开地夸奖他们。</w:t>
      </w:r>
    </w:p>
    <w:p w14:paraId="4BE47F46">
      <w:pPr>
        <w:pStyle w:val="9"/>
        <w:spacing w:after="0" w:line="249" w:lineRule="auto"/>
        <w:rPr>
          <w:rFonts w:hint="eastAsia"/>
        </w:rPr>
      </w:pPr>
    </w:p>
    <w:p w14:paraId="7927F8D6">
      <w:pPr>
        <w:pStyle w:val="9"/>
        <w:spacing w:after="0" w:line="249" w:lineRule="auto"/>
        <w:rPr>
          <w:rFonts w:hint="eastAsia"/>
        </w:rPr>
      </w:pPr>
      <w:r>
        <w:rPr>
          <w:rFonts w:hint="eastAsia"/>
        </w:rPr>
        <w:t>In verse 5-10 he goes on to encourage them to keep up the good fight.</w:t>
      </w:r>
    </w:p>
    <w:p w14:paraId="6A94EDFC">
      <w:pPr>
        <w:pStyle w:val="9"/>
        <w:spacing w:after="0" w:line="249" w:lineRule="auto"/>
        <w:rPr>
          <w:rFonts w:hint="eastAsia"/>
        </w:rPr>
      </w:pPr>
      <w:r>
        <w:rPr>
          <w:rFonts w:hint="eastAsia"/>
        </w:rPr>
        <w:t>在第5-10节，祂继续鼓励他们要打那美好的仗。</w:t>
      </w:r>
    </w:p>
    <w:p w14:paraId="6871AB40">
      <w:pPr>
        <w:pStyle w:val="9"/>
        <w:spacing w:after="0" w:line="249" w:lineRule="auto"/>
        <w:rPr>
          <w:rFonts w:hint="eastAsia"/>
        </w:rPr>
      </w:pPr>
    </w:p>
    <w:p w14:paraId="477C5459">
      <w:pPr>
        <w:pStyle w:val="9"/>
        <w:spacing w:after="0" w:line="249" w:lineRule="auto"/>
        <w:rPr>
          <w:rFonts w:hint="eastAsia"/>
        </w:rPr>
      </w:pPr>
      <w:r>
        <w:rPr>
          <w:rFonts w:hint="eastAsia"/>
        </w:rPr>
        <w:t>This tightly knit section may be divided into three parts.</w:t>
      </w:r>
    </w:p>
    <w:p w14:paraId="67E97CDC">
      <w:pPr>
        <w:pStyle w:val="9"/>
        <w:spacing w:after="0" w:line="249" w:lineRule="auto"/>
        <w:rPr>
          <w:rFonts w:hint="eastAsia"/>
        </w:rPr>
      </w:pPr>
      <w:r>
        <w:rPr>
          <w:rFonts w:hint="eastAsia"/>
        </w:rPr>
        <w:t>这个紧密相连的部分可以分为三个部分。</w:t>
      </w:r>
    </w:p>
    <w:p w14:paraId="54999A69">
      <w:pPr>
        <w:pStyle w:val="9"/>
        <w:spacing w:after="0" w:line="249" w:lineRule="auto"/>
        <w:rPr>
          <w:rFonts w:hint="eastAsia"/>
        </w:rPr>
      </w:pPr>
    </w:p>
    <w:p w14:paraId="7475321C">
      <w:pPr>
        <w:pStyle w:val="9"/>
        <w:spacing w:after="0" w:line="249" w:lineRule="auto"/>
        <w:rPr>
          <w:rFonts w:hint="eastAsia"/>
        </w:rPr>
      </w:pPr>
      <w:r>
        <w:rPr>
          <w:rFonts w:hint="eastAsia"/>
        </w:rPr>
        <w:t>In verse 5, Paul states his theme for the passage: the righteous judgment of God.</w:t>
      </w:r>
    </w:p>
    <w:p w14:paraId="022E2E98">
      <w:pPr>
        <w:pStyle w:val="9"/>
        <w:spacing w:after="0" w:line="249" w:lineRule="auto"/>
        <w:rPr>
          <w:rFonts w:hint="eastAsia"/>
        </w:rPr>
      </w:pPr>
      <w:r>
        <w:rPr>
          <w:rFonts w:hint="eastAsia"/>
        </w:rPr>
        <w:t>在第5节，保罗陈述了这段经文的主题：上帝公义的审判。</w:t>
      </w:r>
    </w:p>
    <w:p w14:paraId="70FA40DD">
      <w:pPr>
        <w:pStyle w:val="9"/>
        <w:spacing w:after="0" w:line="249" w:lineRule="auto"/>
        <w:rPr>
          <w:rFonts w:hint="eastAsia"/>
        </w:rPr>
      </w:pPr>
    </w:p>
    <w:p w14:paraId="323C86A6">
      <w:pPr>
        <w:pStyle w:val="9"/>
        <w:spacing w:after="0" w:line="249" w:lineRule="auto"/>
        <w:rPr>
          <w:rFonts w:hint="eastAsia"/>
        </w:rPr>
      </w:pPr>
      <w:r>
        <w:rPr>
          <w:rFonts w:hint="eastAsia"/>
        </w:rPr>
        <w:t>The Thessalonians are to remember that their admirable endurance through these unjust persecutions stands as a “plain indication” (or “manifest evidence,” NKJV) that God, the Righteous Judge, has already declared them to be righteous because of their faith in Christ, and in so doing has made them worthy to enter his eternal Kingdom.</w:t>
      </w:r>
    </w:p>
    <w:p w14:paraId="1BB2DC18">
      <w:pPr>
        <w:pStyle w:val="9"/>
        <w:spacing w:after="0" w:line="249" w:lineRule="auto"/>
        <w:rPr>
          <w:rFonts w:hint="eastAsia"/>
        </w:rPr>
      </w:pPr>
      <w:r>
        <w:rPr>
          <w:rFonts w:hint="eastAsia"/>
        </w:rPr>
        <w:t>帖撒罗尼迦人要记住，他们在这不公义的迫害中所表现出的令人钦佩的坚忍，正是上帝，那位公义的审判主，已经因他们对基督的信心而宣告他们为义的“明证”（或“明显证据”，新钦定本），并因此使他们配得进入祂永恒的国度。</w:t>
      </w:r>
    </w:p>
    <w:p w14:paraId="4A314CBE">
      <w:pPr>
        <w:pStyle w:val="9"/>
        <w:spacing w:after="0" w:line="249" w:lineRule="auto"/>
        <w:rPr>
          <w:rFonts w:hint="eastAsia"/>
        </w:rPr>
      </w:pPr>
    </w:p>
    <w:p w14:paraId="11F1EFF5">
      <w:pPr>
        <w:pStyle w:val="9"/>
        <w:spacing w:after="0" w:line="249" w:lineRule="auto"/>
        <w:rPr>
          <w:rFonts w:hint="eastAsia"/>
        </w:rPr>
      </w:pPr>
      <w:r>
        <w:rPr>
          <w:rFonts w:hint="eastAsia"/>
        </w:rPr>
        <w:t>However, they must continue to endure, so that their righteousness may be fully vindicated on the Day of the Lord Jesus (Mt. 24:13, Rom. 8:17, 11:22, Col. 1:23, 1 Tim. 2:15).</w:t>
      </w:r>
    </w:p>
    <w:p w14:paraId="1354BC39">
      <w:pPr>
        <w:pStyle w:val="9"/>
        <w:spacing w:after="0" w:line="249" w:lineRule="auto"/>
        <w:rPr>
          <w:rFonts w:hint="eastAsia"/>
        </w:rPr>
      </w:pPr>
      <w:r>
        <w:rPr>
          <w:rFonts w:hint="eastAsia"/>
        </w:rPr>
        <w:t>然而，他们必须继续忍耐，好叫他们的义在主耶稣的日子得以完全证实（太24:13，罗8:17, 11:22，西1:23，提前2:15）。</w:t>
      </w:r>
    </w:p>
    <w:p w14:paraId="77D9FF06">
      <w:pPr>
        <w:pStyle w:val="9"/>
        <w:spacing w:after="0" w:line="249" w:lineRule="auto"/>
        <w:rPr>
          <w:rFonts w:hint="eastAsia"/>
        </w:rPr>
      </w:pPr>
    </w:p>
    <w:p w14:paraId="20C00207">
      <w:pPr>
        <w:pStyle w:val="9"/>
        <w:spacing w:after="0" w:line="249" w:lineRule="auto"/>
        <w:rPr>
          <w:rFonts w:hint="eastAsia"/>
        </w:rPr>
      </w:pPr>
      <w:r>
        <w:rPr>
          <w:rFonts w:hint="eastAsia"/>
        </w:rPr>
        <w:t>As Paul will later say it to the Philippians, the calm perseverance of believers in the midst of persecution is a sure sign: a sign of future destruction for their persecutors, but of (present and therefore) future salvation for the believers themselves (Phil. 1:28).4</w:t>
      </w:r>
    </w:p>
    <w:p w14:paraId="4847065D">
      <w:pPr>
        <w:pStyle w:val="9"/>
        <w:spacing w:after="0" w:line="249" w:lineRule="auto"/>
        <w:rPr>
          <w:rFonts w:hint="eastAsia"/>
        </w:rPr>
      </w:pPr>
      <w:r>
        <w:rPr>
          <w:rFonts w:hint="eastAsia"/>
        </w:rPr>
        <w:t>正如保罗后来对腓立比人所说的，信徒在迫害中的平静坚忍是一个确定的记号：对他们迫害者将来毁灭的记号，但对信徒自己（现在因此也）将来得救的记号（腓1:28）。4</w:t>
      </w:r>
    </w:p>
    <w:p w14:paraId="05553BE3">
      <w:pPr>
        <w:pStyle w:val="9"/>
        <w:spacing w:after="0" w:line="249" w:lineRule="auto"/>
        <w:rPr>
          <w:rFonts w:hint="eastAsia"/>
        </w:rPr>
      </w:pPr>
    </w:p>
    <w:p w14:paraId="69B252E2">
      <w:pPr>
        <w:pStyle w:val="9"/>
        <w:spacing w:after="0" w:line="249" w:lineRule="auto"/>
        <w:rPr>
          <w:rFonts w:hint="eastAsia"/>
        </w:rPr>
      </w:pPr>
      <w:r>
        <w:rPr>
          <w:rFonts w:hint="eastAsia"/>
        </w:rPr>
        <w:t>In verses 6-8, Paul continues his meditation on God’s righteous judgments.</w:t>
      </w:r>
    </w:p>
    <w:p w14:paraId="00B7F0D2">
      <w:pPr>
        <w:pStyle w:val="9"/>
        <w:spacing w:after="0" w:line="249" w:lineRule="auto"/>
        <w:rPr>
          <w:rFonts w:hint="eastAsia"/>
        </w:rPr>
      </w:pPr>
      <w:r>
        <w:rPr>
          <w:rFonts w:hint="eastAsia"/>
        </w:rPr>
        <w:t>在第6-8节，保罗继续默想上帝公义的审判。</w:t>
      </w:r>
    </w:p>
    <w:p w14:paraId="751B38A5">
      <w:pPr>
        <w:pStyle w:val="9"/>
        <w:spacing w:after="0" w:line="249" w:lineRule="auto"/>
        <w:rPr>
          <w:rFonts w:hint="eastAsia"/>
        </w:rPr>
      </w:pPr>
    </w:p>
    <w:p w14:paraId="0F93C5BC">
      <w:pPr>
        <w:pStyle w:val="9"/>
        <w:spacing w:after="0" w:line="249" w:lineRule="auto"/>
        <w:rPr>
          <w:rFonts w:hint="eastAsia"/>
        </w:rPr>
      </w:pPr>
      <w:r>
        <w:rPr>
          <w:rFonts w:hint="eastAsia"/>
        </w:rPr>
        <w:t>Now, however, his thoughts pass on to the Last Judgment itself.</w:t>
      </w:r>
    </w:p>
    <w:p w14:paraId="079AC4CF">
      <w:pPr>
        <w:pStyle w:val="9"/>
        <w:spacing w:after="0" w:line="249" w:lineRule="auto"/>
        <w:rPr>
          <w:rFonts w:hint="eastAsia"/>
        </w:rPr>
      </w:pPr>
      <w:r>
        <w:rPr>
          <w:rFonts w:hint="eastAsia"/>
        </w:rPr>
        <w:t>然而，现在祂的思想转向了最后的审判本身。</w:t>
      </w:r>
    </w:p>
    <w:p w14:paraId="4B5F0967">
      <w:pPr>
        <w:pStyle w:val="9"/>
        <w:spacing w:after="0" w:line="249" w:lineRule="auto"/>
        <w:rPr>
          <w:rFonts w:hint="eastAsia"/>
        </w:rPr>
      </w:pPr>
    </w:p>
    <w:p w14:paraId="5F1B7E63">
      <w:pPr>
        <w:pStyle w:val="9"/>
        <w:spacing w:after="0" w:line="249" w:lineRule="auto"/>
        <w:rPr>
          <w:rFonts w:hint="eastAsia"/>
        </w:rPr>
      </w:pPr>
      <w:r>
        <w:rPr>
          <w:rFonts w:hint="eastAsia"/>
        </w:rPr>
        <w:t>He means his words to be a great encouragement to the Thessalonians.</w:t>
      </w:r>
    </w:p>
    <w:p w14:paraId="7AD26A33">
      <w:pPr>
        <w:pStyle w:val="9"/>
        <w:spacing w:after="0" w:line="249" w:lineRule="auto"/>
        <w:rPr>
          <w:rFonts w:hint="eastAsia"/>
        </w:rPr>
      </w:pPr>
      <w:r>
        <w:rPr>
          <w:rFonts w:hint="eastAsia"/>
        </w:rPr>
        <w:t>祂意在祂的话语对帖撒罗尼迦人是一个极大的鼓励。</w:t>
      </w:r>
    </w:p>
    <w:p w14:paraId="4B09ED0C">
      <w:pPr>
        <w:pStyle w:val="9"/>
        <w:spacing w:after="0" w:line="249" w:lineRule="auto"/>
        <w:rPr>
          <w:rFonts w:hint="eastAsia"/>
        </w:rPr>
      </w:pPr>
    </w:p>
    <w:p w14:paraId="295F672F">
      <w:pPr>
        <w:pStyle w:val="9"/>
        <w:spacing w:after="0" w:line="249" w:lineRule="auto"/>
        <w:rPr>
          <w:rFonts w:hint="eastAsia"/>
        </w:rPr>
      </w:pPr>
      <w:r>
        <w:rPr>
          <w:rFonts w:hint="eastAsia"/>
        </w:rPr>
        <w:t>In that Day, God will send the Lord Jesus down from heaven, surrounded by flaming fire (i.e., divine glory in manifestation) and accompanied by his mighty angels.</w:t>
      </w:r>
    </w:p>
    <w:p w14:paraId="22B79F1F">
      <w:pPr>
        <w:pStyle w:val="9"/>
        <w:spacing w:after="0" w:line="249" w:lineRule="auto"/>
        <w:rPr>
          <w:rFonts w:hint="eastAsia"/>
        </w:rPr>
      </w:pPr>
      <w:r>
        <w:rPr>
          <w:rFonts w:hint="eastAsia"/>
        </w:rPr>
        <w:t>在那日，上帝将差遣主耶稣从天降临，周围有火焰（即神圣荣耀的彰显），并有祂大能的天使同来。</w:t>
      </w:r>
    </w:p>
    <w:p w14:paraId="749D66F5">
      <w:pPr>
        <w:pStyle w:val="9"/>
        <w:spacing w:after="0" w:line="249" w:lineRule="auto"/>
        <w:rPr>
          <w:rFonts w:hint="eastAsia"/>
        </w:rPr>
      </w:pPr>
    </w:p>
    <w:p w14:paraId="47020D84">
      <w:pPr>
        <w:pStyle w:val="9"/>
        <w:spacing w:after="0" w:line="249" w:lineRule="auto"/>
        <w:rPr>
          <w:rFonts w:hint="eastAsia"/>
        </w:rPr>
      </w:pPr>
      <w:r>
        <w:rPr>
          <w:rFonts w:hint="eastAsia"/>
        </w:rPr>
        <w:t>When he arrives, he himself will consummately administer “the righteous judgment of God,” turning a morally upside down world right side up.</w:t>
      </w:r>
    </w:p>
    <w:p w14:paraId="5EE6A4FA">
      <w:pPr>
        <w:pStyle w:val="9"/>
        <w:spacing w:after="0" w:line="249" w:lineRule="auto"/>
        <w:rPr>
          <w:rFonts w:hint="eastAsia"/>
        </w:rPr>
      </w:pPr>
      <w:r>
        <w:rPr>
          <w:rFonts w:hint="eastAsia"/>
        </w:rPr>
        <w:t>当祂降临时，祂自己将完全地施行“上帝公义的审判”，将一个道德颠倒的世界拨乱反正。</w:t>
      </w:r>
    </w:p>
    <w:p w14:paraId="4A20EC29">
      <w:pPr>
        <w:pStyle w:val="9"/>
        <w:spacing w:after="0" w:line="249" w:lineRule="auto"/>
        <w:rPr>
          <w:rFonts w:hint="eastAsia"/>
        </w:rPr>
      </w:pPr>
    </w:p>
    <w:p w14:paraId="7AD3D88A">
      <w:pPr>
        <w:pStyle w:val="9"/>
        <w:spacing w:after="0" w:line="249" w:lineRule="auto"/>
        <w:rPr>
          <w:rFonts w:hint="eastAsia"/>
        </w:rPr>
      </w:pPr>
      <w:r>
        <w:rPr>
          <w:rFonts w:hint="eastAsia"/>
        </w:rPr>
        <w:t>How will he do this?</w:t>
      </w:r>
    </w:p>
    <w:p w14:paraId="48879B29">
      <w:pPr>
        <w:pStyle w:val="9"/>
        <w:spacing w:after="0" w:line="249" w:lineRule="auto"/>
        <w:rPr>
          <w:rFonts w:hint="eastAsia"/>
        </w:rPr>
      </w:pPr>
      <w:r>
        <w:rPr>
          <w:rFonts w:hint="eastAsia"/>
        </w:rPr>
        <w:t>祂将如何做到这一点？</w:t>
      </w:r>
    </w:p>
    <w:p w14:paraId="6F997933">
      <w:pPr>
        <w:pStyle w:val="9"/>
        <w:spacing w:after="0" w:line="249" w:lineRule="auto"/>
        <w:rPr>
          <w:rFonts w:hint="eastAsia"/>
        </w:rPr>
      </w:pPr>
    </w:p>
    <w:p w14:paraId="7CDF1517">
      <w:pPr>
        <w:pStyle w:val="9"/>
        <w:spacing w:after="0" w:line="249" w:lineRule="auto"/>
        <w:rPr>
          <w:rFonts w:hint="eastAsia"/>
        </w:rPr>
      </w:pPr>
      <w:r>
        <w:rPr>
          <w:rFonts w:hint="eastAsia"/>
        </w:rPr>
        <w:t>He will do it by afflicting the afflicters, and by relieving the afflicted (verses 6-7).</w:t>
      </w:r>
    </w:p>
    <w:p w14:paraId="64877AA7">
      <w:pPr>
        <w:pStyle w:val="9"/>
        <w:spacing w:after="0" w:line="249" w:lineRule="auto"/>
        <w:rPr>
          <w:rFonts w:hint="eastAsia"/>
        </w:rPr>
      </w:pPr>
      <w:r>
        <w:rPr>
          <w:rFonts w:hint="eastAsia"/>
        </w:rPr>
        <w:t>祂将通过苦待那些苦待人的，并解救那些受苦的来做到这一点（6-7节）。</w:t>
      </w:r>
    </w:p>
    <w:p w14:paraId="4E532CB0">
      <w:pPr>
        <w:pStyle w:val="9"/>
        <w:spacing w:after="0" w:line="249" w:lineRule="auto"/>
        <w:rPr>
          <w:rFonts w:hint="eastAsia"/>
        </w:rPr>
      </w:pPr>
    </w:p>
    <w:p w14:paraId="7E35178E">
      <w:pPr>
        <w:pStyle w:val="9"/>
        <w:spacing w:after="0" w:line="249" w:lineRule="auto"/>
        <w:rPr>
          <w:rFonts w:hint="eastAsia"/>
        </w:rPr>
      </w:pPr>
      <w:r>
        <w:rPr>
          <w:rFonts w:hint="eastAsia"/>
        </w:rPr>
        <w:t>He will do it by dealing out fiery retribution to all who have spurned the knowledge of God and refused to obey the Gospel of Christ (v. 8; Rom. 1:5, 28).</w:t>
      </w:r>
    </w:p>
    <w:p w14:paraId="26E53B4B">
      <w:pPr>
        <w:pStyle w:val="9"/>
        <w:spacing w:after="0" w:line="249" w:lineRule="auto"/>
        <w:rPr>
          <w:rFonts w:hint="eastAsia"/>
        </w:rPr>
      </w:pPr>
      <w:r>
        <w:rPr>
          <w:rFonts w:hint="eastAsia"/>
        </w:rPr>
        <w:t>祂将通过向所有藐视上帝知识、拒绝顺服基督福音的人施行烈火的报应来做到这一点（第8节；罗1:5, 28）。</w:t>
      </w:r>
    </w:p>
    <w:p w14:paraId="07098549">
      <w:pPr>
        <w:pStyle w:val="9"/>
        <w:spacing w:after="0" w:line="249" w:lineRule="auto"/>
        <w:rPr>
          <w:rFonts w:hint="eastAsia"/>
        </w:rPr>
      </w:pPr>
    </w:p>
    <w:p w14:paraId="6D31FC85">
      <w:pPr>
        <w:pStyle w:val="9"/>
        <w:spacing w:after="0" w:line="249" w:lineRule="auto"/>
        <w:rPr>
          <w:rFonts w:hint="eastAsia"/>
        </w:rPr>
      </w:pPr>
      <w:r>
        <w:rPr>
          <w:rFonts w:hint="eastAsia"/>
        </w:rPr>
        <w:t>Is this indeed the Last Judgment?</w:t>
      </w:r>
    </w:p>
    <w:p w14:paraId="5DC9CB95">
      <w:pPr>
        <w:pStyle w:val="9"/>
        <w:spacing w:after="0" w:line="249" w:lineRule="auto"/>
        <w:rPr>
          <w:rFonts w:hint="eastAsia"/>
        </w:rPr>
      </w:pPr>
      <w:r>
        <w:rPr>
          <w:rFonts w:hint="eastAsia"/>
        </w:rPr>
        <w:t>这真的是最后的审判吗？</w:t>
      </w:r>
    </w:p>
    <w:p w14:paraId="454CC5CC">
      <w:pPr>
        <w:pStyle w:val="9"/>
        <w:spacing w:after="0" w:line="249" w:lineRule="auto"/>
        <w:rPr>
          <w:rFonts w:hint="eastAsia"/>
        </w:rPr>
      </w:pPr>
    </w:p>
    <w:p w14:paraId="2D561556">
      <w:pPr>
        <w:pStyle w:val="9"/>
        <w:spacing w:after="0" w:line="249" w:lineRule="auto"/>
        <w:rPr>
          <w:rFonts w:hint="eastAsia"/>
        </w:rPr>
      </w:pPr>
      <w:r>
        <w:rPr>
          <w:rFonts w:hint="eastAsia"/>
        </w:rPr>
        <w:t>Verses 9-10 assure us that it is.</w:t>
      </w:r>
    </w:p>
    <w:p w14:paraId="360898B9">
      <w:pPr>
        <w:pStyle w:val="9"/>
        <w:spacing w:after="0" w:line="249" w:lineRule="auto"/>
        <w:rPr>
          <w:rFonts w:hint="eastAsia"/>
        </w:rPr>
      </w:pPr>
      <w:r>
        <w:rPr>
          <w:rFonts w:hint="eastAsia"/>
        </w:rPr>
        <w:t>第9-10节向我们保证，是的。</w:t>
      </w:r>
    </w:p>
    <w:p w14:paraId="1C4E4EEA">
      <w:pPr>
        <w:pStyle w:val="9"/>
        <w:spacing w:after="0" w:line="249" w:lineRule="auto"/>
        <w:rPr>
          <w:rFonts w:hint="eastAsia"/>
        </w:rPr>
      </w:pPr>
    </w:p>
    <w:p w14:paraId="22E31546">
      <w:pPr>
        <w:pStyle w:val="9"/>
        <w:spacing w:after="0" w:line="249" w:lineRule="auto"/>
        <w:rPr>
          <w:rFonts w:hint="eastAsia"/>
        </w:rPr>
      </w:pPr>
      <w:r>
        <w:rPr>
          <w:rFonts w:hint="eastAsia"/>
        </w:rPr>
        <w:t>In verse 9, Paul says that the unbelieving rebels will pay the penalty of eternal destruction.</w:t>
      </w:r>
    </w:p>
    <w:p w14:paraId="0F57278E">
      <w:pPr>
        <w:pStyle w:val="9"/>
        <w:spacing w:after="0" w:line="249" w:lineRule="auto"/>
        <w:rPr>
          <w:rFonts w:hint="eastAsia"/>
        </w:rPr>
      </w:pPr>
      <w:r>
        <w:rPr>
          <w:rFonts w:hint="eastAsia"/>
        </w:rPr>
        <w:t>在第9节，保罗说不信的悖逆者将受永刑的刑罚。</w:t>
      </w:r>
    </w:p>
    <w:p w14:paraId="5729C4FC">
      <w:pPr>
        <w:pStyle w:val="9"/>
        <w:spacing w:after="0" w:line="249" w:lineRule="auto"/>
        <w:rPr>
          <w:rFonts w:hint="eastAsia"/>
        </w:rPr>
      </w:pPr>
    </w:p>
    <w:p w14:paraId="4E572382">
      <w:pPr>
        <w:pStyle w:val="9"/>
        <w:spacing w:after="0" w:line="249" w:lineRule="auto"/>
        <w:rPr>
          <w:rFonts w:hint="eastAsia"/>
        </w:rPr>
      </w:pPr>
      <w:r>
        <w:rPr>
          <w:rFonts w:hint="eastAsia"/>
        </w:rPr>
        <w:t>Again, by this word he means the eternal ruin of all spiritual and physical wellbeing for those consigned to Gehenna, which is the Lake of Fire (1 Thess. 5:3; Mt. 13:41f, 25:46, Phil. 3:19).</w:t>
      </w:r>
    </w:p>
    <w:p w14:paraId="2918595C">
      <w:pPr>
        <w:pStyle w:val="9"/>
        <w:spacing w:after="0" w:line="249" w:lineRule="auto"/>
        <w:rPr>
          <w:rFonts w:hint="eastAsia"/>
        </w:rPr>
      </w:pPr>
      <w:r>
        <w:rPr>
          <w:rFonts w:hint="eastAsia"/>
        </w:rPr>
        <w:t>再次，祂用这个词意指那些被扔进地狱，即火湖之人的所有属灵和属肉体福乐的永远毁灭（帖前5:3；太13:41及以下, 25:46，腓3:19）。</w:t>
      </w:r>
    </w:p>
    <w:p w14:paraId="75B3E458">
      <w:pPr>
        <w:pStyle w:val="9"/>
        <w:spacing w:after="0" w:line="249" w:lineRule="auto"/>
        <w:rPr>
          <w:rFonts w:hint="eastAsia"/>
        </w:rPr>
      </w:pPr>
    </w:p>
    <w:p w14:paraId="55AA8206">
      <w:pPr>
        <w:pStyle w:val="9"/>
        <w:spacing w:after="0" w:line="249" w:lineRule="auto"/>
        <w:rPr>
          <w:rFonts w:hint="eastAsia"/>
        </w:rPr>
      </w:pPr>
      <w:r>
        <w:rPr>
          <w:rFonts w:hint="eastAsia"/>
        </w:rPr>
        <w:t>Note also that this judgment removes unbelievers from “the presence of the Lord and the glory of his power.”</w:t>
      </w:r>
    </w:p>
    <w:p w14:paraId="5242908E">
      <w:pPr>
        <w:pStyle w:val="9"/>
        <w:spacing w:after="0" w:line="249" w:lineRule="auto"/>
        <w:rPr>
          <w:rFonts w:hint="eastAsia"/>
        </w:rPr>
      </w:pPr>
      <w:r>
        <w:rPr>
          <w:rFonts w:hint="eastAsia"/>
        </w:rPr>
        <w:t>也请注意，这审判将不信的人从“主的面和祂权能的荣光”中除去。</w:t>
      </w:r>
    </w:p>
    <w:p w14:paraId="0DD4A955">
      <w:pPr>
        <w:pStyle w:val="9"/>
        <w:spacing w:after="0" w:line="249" w:lineRule="auto"/>
        <w:rPr>
          <w:rFonts w:hint="eastAsia"/>
        </w:rPr>
      </w:pPr>
    </w:p>
    <w:p w14:paraId="1B5F784A">
      <w:pPr>
        <w:pStyle w:val="9"/>
        <w:spacing w:after="0" w:line="249" w:lineRule="auto"/>
        <w:rPr>
          <w:rFonts w:hint="eastAsia"/>
        </w:rPr>
      </w:pPr>
      <w:r>
        <w:rPr>
          <w:rFonts w:hint="eastAsia"/>
        </w:rPr>
        <w:t>Here Paul has the Regeneration in view.</w:t>
      </w:r>
    </w:p>
    <w:p w14:paraId="3634C512">
      <w:pPr>
        <w:pStyle w:val="9"/>
        <w:spacing w:after="0" w:line="249" w:lineRule="auto"/>
        <w:rPr>
          <w:rFonts w:hint="eastAsia"/>
        </w:rPr>
      </w:pPr>
      <w:r>
        <w:rPr>
          <w:rFonts w:hint="eastAsia"/>
        </w:rPr>
        <w:t>保罗在这里心中所想的是重生。</w:t>
      </w:r>
    </w:p>
    <w:p w14:paraId="106CC68E">
      <w:pPr>
        <w:pStyle w:val="9"/>
        <w:spacing w:after="0" w:line="249" w:lineRule="auto"/>
        <w:rPr>
          <w:rFonts w:hint="eastAsia"/>
        </w:rPr>
      </w:pPr>
    </w:p>
    <w:p w14:paraId="4C54E7D4">
      <w:pPr>
        <w:pStyle w:val="9"/>
        <w:spacing w:after="0" w:line="249" w:lineRule="auto"/>
        <w:rPr>
          <w:rFonts w:hint="eastAsia"/>
        </w:rPr>
      </w:pPr>
      <w:r>
        <w:rPr>
          <w:rFonts w:hint="eastAsia"/>
        </w:rPr>
        <w:t>Unbelievers will neither taste the powers, nor behold the glories, of the eternal World to Come, when God and Christ feast together with the saints in the new heavens and the new earth (v. 9, Luke 14:24).</w:t>
      </w:r>
    </w:p>
    <w:p w14:paraId="250FCDC4">
      <w:pPr>
        <w:pStyle w:val="9"/>
        <w:spacing w:after="0" w:line="249" w:lineRule="auto"/>
        <w:rPr>
          <w:rFonts w:hint="eastAsia"/>
        </w:rPr>
      </w:pPr>
      <w:r>
        <w:rPr>
          <w:rFonts w:hint="eastAsia"/>
        </w:rPr>
        <w:t>不信的人既不能尝到将来的永恒世界的权能，也不能看见其荣耀，那时上帝和基督将与圣徒们一同在新天新地里筵席（第9节，路加福音14:24）。</w:t>
      </w:r>
    </w:p>
    <w:p w14:paraId="578462A7">
      <w:pPr>
        <w:pStyle w:val="9"/>
        <w:spacing w:after="0" w:line="249" w:lineRule="auto"/>
        <w:rPr>
          <w:rFonts w:hint="eastAsia"/>
        </w:rPr>
      </w:pPr>
    </w:p>
    <w:p w14:paraId="66B2DA7A">
      <w:pPr>
        <w:pStyle w:val="9"/>
        <w:spacing w:after="0" w:line="249" w:lineRule="auto"/>
        <w:rPr>
          <w:rFonts w:hint="eastAsia"/>
        </w:rPr>
      </w:pPr>
      <w:r>
        <w:rPr>
          <w:rFonts w:hint="eastAsia"/>
        </w:rPr>
        <w:t>Verse 10 also points conclusively to the Last Judgment.</w:t>
      </w:r>
    </w:p>
    <w:p w14:paraId="180F521C">
      <w:pPr>
        <w:pStyle w:val="9"/>
        <w:spacing w:after="0" w:line="249" w:lineRule="auto"/>
        <w:rPr>
          <w:rFonts w:hint="eastAsia"/>
        </w:rPr>
      </w:pPr>
      <w:r>
        <w:rPr>
          <w:rFonts w:hint="eastAsia"/>
        </w:rPr>
        <w:t>第10节也确凿地指向最后的审判。</w:t>
      </w:r>
    </w:p>
    <w:p w14:paraId="40676685">
      <w:pPr>
        <w:pStyle w:val="9"/>
        <w:spacing w:after="0" w:line="249" w:lineRule="auto"/>
        <w:rPr>
          <w:rFonts w:hint="eastAsia"/>
        </w:rPr>
      </w:pPr>
    </w:p>
    <w:p w14:paraId="32927F45">
      <w:pPr>
        <w:pStyle w:val="9"/>
        <w:spacing w:after="0" w:line="249" w:lineRule="auto"/>
        <w:rPr>
          <w:rFonts w:hint="eastAsia"/>
        </w:rPr>
      </w:pPr>
      <w:r>
        <w:rPr>
          <w:rFonts w:hint="eastAsia"/>
        </w:rPr>
        <w:t>When he comes, Christ will “… be glorified in his saints on that day, and marveled at among all who have believed.”</w:t>
      </w:r>
    </w:p>
    <w:p w14:paraId="3BFB51C3">
      <w:pPr>
        <w:pStyle w:val="9"/>
        <w:spacing w:after="0" w:line="249" w:lineRule="auto"/>
        <w:rPr>
          <w:rFonts w:hint="eastAsia"/>
        </w:rPr>
      </w:pPr>
      <w:r>
        <w:rPr>
          <w:rFonts w:hint="eastAsia"/>
        </w:rPr>
        <w:t>当祂来临时，基督将“……在那日，在祂的圣徒身上得荣耀，又在一切信的人身上显为希奇”。</w:t>
      </w:r>
    </w:p>
    <w:p w14:paraId="6304CE92">
      <w:pPr>
        <w:pStyle w:val="9"/>
        <w:spacing w:after="0" w:line="249" w:lineRule="auto"/>
        <w:rPr>
          <w:rFonts w:hint="eastAsia"/>
        </w:rPr>
      </w:pPr>
    </w:p>
    <w:p w14:paraId="60504790">
      <w:pPr>
        <w:pStyle w:val="9"/>
        <w:spacing w:after="0" w:line="249" w:lineRule="auto"/>
        <w:rPr>
          <w:rFonts w:hint="eastAsia"/>
        </w:rPr>
      </w:pPr>
      <w:r>
        <w:rPr>
          <w:rFonts w:hint="eastAsia"/>
        </w:rPr>
        <w:t>Paul has in view the entire Church: all the saints, all who have believed.</w:t>
      </w:r>
    </w:p>
    <w:p w14:paraId="142E2EC4">
      <w:pPr>
        <w:pStyle w:val="9"/>
        <w:spacing w:after="0" w:line="249" w:lineRule="auto"/>
        <w:rPr>
          <w:rFonts w:hint="eastAsia"/>
        </w:rPr>
      </w:pPr>
      <w:r>
        <w:rPr>
          <w:rFonts w:hint="eastAsia"/>
        </w:rPr>
        <w:t>保罗心中所想的是整个教会：所有的圣徒，所有信的人。</w:t>
      </w:r>
    </w:p>
    <w:p w14:paraId="081818DC">
      <w:pPr>
        <w:pStyle w:val="9"/>
        <w:spacing w:after="0" w:line="249" w:lineRule="auto"/>
        <w:rPr>
          <w:rFonts w:hint="eastAsia"/>
        </w:rPr>
      </w:pPr>
    </w:p>
    <w:p w14:paraId="3C38EF3F">
      <w:pPr>
        <w:pStyle w:val="9"/>
        <w:spacing w:after="0" w:line="249" w:lineRule="auto"/>
        <w:rPr>
          <w:rFonts w:hint="eastAsia"/>
        </w:rPr>
      </w:pPr>
      <w:r>
        <w:rPr>
          <w:rFonts w:hint="eastAsia"/>
        </w:rPr>
        <w:t>And how exactly will all arrive upon the scene?</w:t>
      </w:r>
    </w:p>
    <w:p w14:paraId="5711AA6A">
      <w:pPr>
        <w:pStyle w:val="9"/>
        <w:spacing w:after="0" w:line="249" w:lineRule="auto"/>
        <w:rPr>
          <w:rFonts w:hint="eastAsia"/>
        </w:rPr>
      </w:pPr>
      <w:r>
        <w:rPr>
          <w:rFonts w:hint="eastAsia"/>
        </w:rPr>
        <w:t>那么，所有人究竟将如何到场呢？</w:t>
      </w:r>
    </w:p>
    <w:p w14:paraId="30AA750E">
      <w:pPr>
        <w:pStyle w:val="9"/>
        <w:spacing w:after="0" w:line="249" w:lineRule="auto"/>
        <w:rPr>
          <w:rFonts w:hint="eastAsia"/>
        </w:rPr>
      </w:pPr>
    </w:p>
    <w:p w14:paraId="14990554">
      <w:pPr>
        <w:pStyle w:val="9"/>
        <w:spacing w:after="0" w:line="249" w:lineRule="auto"/>
        <w:rPr>
          <w:rFonts w:hint="eastAsia"/>
        </w:rPr>
      </w:pPr>
      <w:r>
        <w:rPr>
          <w:rFonts w:hint="eastAsia"/>
        </w:rPr>
        <w:t>The apostle need not say, for in 1 Thessalonians 4:13-18 he has explained everything: On the Day when Christ is revealed from heaven, he will bring with him the spirits of the departed saints, clothe them with their new resurrection bodies, and then transform the living saints.</w:t>
      </w:r>
    </w:p>
    <w:p w14:paraId="479A7390">
      <w:pPr>
        <w:pStyle w:val="9"/>
        <w:spacing w:after="0" w:line="249" w:lineRule="auto"/>
        <w:rPr>
          <w:rFonts w:hint="eastAsia"/>
        </w:rPr>
      </w:pPr>
      <w:r>
        <w:rPr>
          <w:rFonts w:hint="eastAsia"/>
        </w:rPr>
        <w:t>使徒无需多言，因为在帖撒罗尼迦前书4:13-18中，他已经解释了一切：在基督从天显现的日子，祂将把已故圣徒的灵魂与祂一同带来，给他们穿上新的复活身体，然后改变活着的圣徒。</w:t>
      </w:r>
    </w:p>
    <w:p w14:paraId="2DC277B1">
      <w:pPr>
        <w:pStyle w:val="9"/>
        <w:spacing w:after="0" w:line="249" w:lineRule="auto"/>
        <w:rPr>
          <w:rFonts w:hint="eastAsia"/>
        </w:rPr>
      </w:pPr>
    </w:p>
    <w:p w14:paraId="58502A6C">
      <w:pPr>
        <w:pStyle w:val="9"/>
        <w:spacing w:after="0" w:line="249" w:lineRule="auto"/>
        <w:rPr>
          <w:rFonts w:hint="eastAsia"/>
        </w:rPr>
      </w:pPr>
      <w:r>
        <w:rPr>
          <w:rFonts w:hint="eastAsia"/>
        </w:rPr>
        <w:t>At that point, all the saints of all time will be standing before him in glory!</w:t>
      </w:r>
    </w:p>
    <w:p w14:paraId="686217BA">
      <w:pPr>
        <w:pStyle w:val="9"/>
        <w:spacing w:after="0" w:line="249" w:lineRule="auto"/>
        <w:rPr>
          <w:rFonts w:hint="eastAsia"/>
        </w:rPr>
      </w:pPr>
      <w:r>
        <w:rPr>
          <w:rFonts w:hint="eastAsia"/>
        </w:rPr>
        <w:t>到那时，所有时代的圣徒都将站在祂面前，在荣耀中！</w:t>
      </w:r>
    </w:p>
    <w:p w14:paraId="6B69E319">
      <w:pPr>
        <w:pStyle w:val="9"/>
        <w:spacing w:after="0" w:line="249" w:lineRule="auto"/>
        <w:rPr>
          <w:rFonts w:hint="eastAsia"/>
        </w:rPr>
      </w:pPr>
    </w:p>
    <w:p w14:paraId="7E88ADB2">
      <w:pPr>
        <w:pStyle w:val="9"/>
        <w:spacing w:after="0" w:line="249" w:lineRule="auto"/>
        <w:rPr>
          <w:rFonts w:hint="eastAsia"/>
        </w:rPr>
      </w:pPr>
      <w:r>
        <w:rPr>
          <w:rFonts w:hint="eastAsia"/>
        </w:rPr>
        <w:t>I agree, therefore, with F. F. Bruce, when he writes, “Christian men and women are meant here.</w:t>
      </w:r>
    </w:p>
    <w:p w14:paraId="4EDEE925">
      <w:pPr>
        <w:pStyle w:val="9"/>
        <w:spacing w:after="0" w:line="249" w:lineRule="auto"/>
        <w:rPr>
          <w:rFonts w:hint="eastAsia"/>
        </w:rPr>
      </w:pPr>
      <w:r>
        <w:rPr>
          <w:rFonts w:hint="eastAsia"/>
        </w:rPr>
        <w:t>因此，我同意F. F. 布鲁斯的观点，他写道：“这里指的是基督徒男女。”</w:t>
      </w:r>
    </w:p>
    <w:p w14:paraId="27F31BAB">
      <w:pPr>
        <w:pStyle w:val="9"/>
        <w:spacing w:after="0" w:line="249" w:lineRule="auto"/>
        <w:rPr>
          <w:rFonts w:hint="eastAsia"/>
        </w:rPr>
      </w:pPr>
    </w:p>
    <w:p w14:paraId="32671E42">
      <w:pPr>
        <w:pStyle w:val="9"/>
        <w:spacing w:after="0" w:line="249" w:lineRule="auto"/>
        <w:rPr>
          <w:rFonts w:hint="eastAsia"/>
        </w:rPr>
      </w:pPr>
      <w:r>
        <w:rPr>
          <w:rFonts w:hint="eastAsia"/>
        </w:rPr>
        <w:t>They are to share in Christ’s glory.</w:t>
      </w:r>
    </w:p>
    <w:p w14:paraId="63FCE78D">
      <w:pPr>
        <w:pStyle w:val="9"/>
        <w:spacing w:after="0" w:line="249" w:lineRule="auto"/>
        <w:rPr>
          <w:rFonts w:hint="eastAsia"/>
        </w:rPr>
      </w:pPr>
      <w:r>
        <w:rPr>
          <w:rFonts w:hint="eastAsia"/>
        </w:rPr>
        <w:t>他们将分享基督的荣耀。</w:t>
      </w:r>
    </w:p>
    <w:p w14:paraId="20FA97D0">
      <w:pPr>
        <w:pStyle w:val="9"/>
        <w:spacing w:after="0" w:line="249" w:lineRule="auto"/>
        <w:rPr>
          <w:rFonts w:hint="eastAsia"/>
        </w:rPr>
      </w:pPr>
    </w:p>
    <w:p w14:paraId="29AC21ED">
      <w:pPr>
        <w:pStyle w:val="9"/>
        <w:spacing w:after="0" w:line="249" w:lineRule="auto"/>
        <w:rPr>
          <w:rFonts w:hint="eastAsia"/>
        </w:rPr>
      </w:pPr>
      <w:r>
        <w:rPr>
          <w:rFonts w:hint="eastAsia"/>
        </w:rPr>
        <w:t>The revealing of the Lord Jesus from heaven (v. 7) is also the day of the revealing of the sons of God” (Rom. 8:19, Col. 1:3).5</w:t>
      </w:r>
    </w:p>
    <w:p w14:paraId="087731FD">
      <w:pPr>
        <w:pStyle w:val="9"/>
        <w:spacing w:after="0" w:line="249" w:lineRule="auto"/>
        <w:rPr>
          <w:rFonts w:hint="eastAsia"/>
        </w:rPr>
      </w:pPr>
      <w:r>
        <w:rPr>
          <w:rFonts w:hint="eastAsia"/>
        </w:rPr>
        <w:t>主耶稣从天显现（第7节）也是上帝众子显现的日子”（罗8:19，西1:3）。5</w:t>
      </w:r>
    </w:p>
    <w:p w14:paraId="4379E9B7">
      <w:pPr>
        <w:pStyle w:val="9"/>
        <w:spacing w:after="0" w:line="249" w:lineRule="auto"/>
        <w:rPr>
          <w:rFonts w:hint="eastAsia"/>
        </w:rPr>
      </w:pPr>
    </w:p>
    <w:p w14:paraId="451ABF7A">
      <w:pPr>
        <w:pStyle w:val="9"/>
        <w:spacing w:after="0" w:line="249" w:lineRule="auto"/>
        <w:rPr>
          <w:rFonts w:hint="eastAsia"/>
        </w:rPr>
      </w:pPr>
      <w:r>
        <w:rPr>
          <w:rFonts w:hint="eastAsia"/>
        </w:rPr>
        <w:t>Finally, note in verse 10 Paul’s reference to “that day.”</w:t>
      </w:r>
    </w:p>
    <w:p w14:paraId="7C72350B">
      <w:pPr>
        <w:pStyle w:val="9"/>
        <w:spacing w:after="0" w:line="249" w:lineRule="auto"/>
        <w:rPr>
          <w:rFonts w:hint="eastAsia"/>
        </w:rPr>
      </w:pPr>
      <w:r>
        <w:rPr>
          <w:rFonts w:hint="eastAsia"/>
        </w:rPr>
        <w:t>最后，请注意在第10节，保罗提到了“那日”。</w:t>
      </w:r>
    </w:p>
    <w:p w14:paraId="0EBA2B2A">
      <w:pPr>
        <w:pStyle w:val="9"/>
        <w:spacing w:after="0" w:line="249" w:lineRule="auto"/>
        <w:rPr>
          <w:rFonts w:hint="eastAsia"/>
        </w:rPr>
      </w:pPr>
    </w:p>
    <w:p w14:paraId="4ED716DF">
      <w:pPr>
        <w:pStyle w:val="9"/>
        <w:spacing w:after="0" w:line="249" w:lineRule="auto"/>
        <w:rPr>
          <w:rFonts w:hint="eastAsia"/>
        </w:rPr>
      </w:pPr>
      <w:r>
        <w:rPr>
          <w:rFonts w:hint="eastAsia"/>
        </w:rPr>
        <w:t>What day does he mean?</w:t>
      </w:r>
    </w:p>
    <w:p w14:paraId="4FE6ADBA">
      <w:pPr>
        <w:pStyle w:val="9"/>
        <w:spacing w:after="0" w:line="249" w:lineRule="auto"/>
        <w:rPr>
          <w:rFonts w:hint="eastAsia"/>
        </w:rPr>
      </w:pPr>
      <w:r>
        <w:rPr>
          <w:rFonts w:hint="eastAsia"/>
        </w:rPr>
        <w:t>祂是指哪一天？</w:t>
      </w:r>
    </w:p>
    <w:p w14:paraId="4396F0A4">
      <w:pPr>
        <w:pStyle w:val="9"/>
        <w:spacing w:after="0" w:line="249" w:lineRule="auto"/>
        <w:rPr>
          <w:rFonts w:hint="eastAsia"/>
        </w:rPr>
      </w:pPr>
    </w:p>
    <w:p w14:paraId="306A68EE">
      <w:pPr>
        <w:pStyle w:val="9"/>
        <w:spacing w:after="0" w:line="249" w:lineRule="auto"/>
        <w:rPr>
          <w:rFonts w:hint="eastAsia"/>
        </w:rPr>
      </w:pPr>
      <w:r>
        <w:rPr>
          <w:rFonts w:hint="eastAsia"/>
        </w:rPr>
        <w:t>As the phrase itself indicates, there is, and can be, only one of them: the Day of the Lord Jesus.</w:t>
      </w:r>
    </w:p>
    <w:p w14:paraId="276FCCEF">
      <w:pPr>
        <w:pStyle w:val="9"/>
        <w:spacing w:after="0" w:line="249" w:lineRule="auto"/>
        <w:rPr>
          <w:rFonts w:hint="eastAsia"/>
        </w:rPr>
      </w:pPr>
      <w:r>
        <w:rPr>
          <w:rFonts w:hint="eastAsia"/>
        </w:rPr>
        <w:t>正如这个短语本身所表明的，只有一个，也只能有一个：主耶稣的日子。</w:t>
      </w:r>
    </w:p>
    <w:p w14:paraId="13B09C7A">
      <w:pPr>
        <w:pStyle w:val="9"/>
        <w:spacing w:after="0" w:line="249" w:lineRule="auto"/>
        <w:rPr>
          <w:rFonts w:hint="eastAsia"/>
        </w:rPr>
      </w:pPr>
    </w:p>
    <w:p w14:paraId="3BBEBEA5">
      <w:pPr>
        <w:pStyle w:val="9"/>
        <w:spacing w:after="0" w:line="249" w:lineRule="auto"/>
        <w:rPr>
          <w:rFonts w:hint="eastAsia"/>
        </w:rPr>
      </w:pPr>
      <w:r>
        <w:rPr>
          <w:rFonts w:hint="eastAsia"/>
        </w:rPr>
        <w:t>Moreover, in this text—as in so many others like it—it is plainly a day of eternal reward and retribution (1 Cor. 5:5, 2 Cor. 1:14, 1 Thess 5:2, 2 Thess. 2:2, 2 Peter 3:10f).</w:t>
      </w:r>
    </w:p>
    <w:p w14:paraId="1839F197">
      <w:pPr>
        <w:pStyle w:val="9"/>
        <w:spacing w:after="0" w:line="249" w:lineRule="auto"/>
        <w:rPr>
          <w:rFonts w:hint="eastAsia"/>
        </w:rPr>
      </w:pPr>
      <w:r>
        <w:rPr>
          <w:rFonts w:hint="eastAsia"/>
        </w:rPr>
        <w:t>此外，在这段经文中——如同在许多其他类似的经文中——这显然是一个永恒赏赐和报应的日子（林前5:5，林后1:14，帖前5:2，帖后2:2，彼后3:10及以下）。</w:t>
      </w:r>
    </w:p>
    <w:p w14:paraId="0289E65F">
      <w:pPr>
        <w:pStyle w:val="9"/>
        <w:spacing w:after="0" w:line="249" w:lineRule="auto"/>
        <w:rPr>
          <w:rFonts w:hint="eastAsia"/>
        </w:rPr>
      </w:pPr>
    </w:p>
    <w:p w14:paraId="711CEC16">
      <w:pPr>
        <w:pStyle w:val="9"/>
        <w:spacing w:after="0" w:line="249" w:lineRule="auto"/>
        <w:rPr>
          <w:rFonts w:hint="eastAsia"/>
        </w:rPr>
      </w:pPr>
      <w:r>
        <w:rPr>
          <w:rFonts w:hint="eastAsia"/>
        </w:rPr>
        <w:t>In sum, it is the Last Day, the Day of the general Resurrection, the general Judgment, and the inauguration of the Final State for all men and angels (John 6:39, 40, 44, 54).</w:t>
      </w:r>
    </w:p>
    <w:p w14:paraId="356DFA75">
      <w:pPr>
        <w:pStyle w:val="9"/>
        <w:spacing w:after="0" w:line="249" w:lineRule="auto"/>
        <w:rPr>
          <w:rFonts w:hint="eastAsia"/>
        </w:rPr>
      </w:pPr>
      <w:r>
        <w:rPr>
          <w:rFonts w:hint="eastAsia"/>
        </w:rPr>
        <w:t>总而言之，这是末日，是普世复活的日子，普世审判的日子，以及所有人和天使最终状态的开始（约翰福音6:39, 40, 44, 54）。</w:t>
      </w:r>
    </w:p>
    <w:p w14:paraId="322798D6">
      <w:pPr>
        <w:pStyle w:val="9"/>
        <w:spacing w:after="0" w:line="249" w:lineRule="auto"/>
        <w:rPr>
          <w:rFonts w:hint="eastAsia"/>
        </w:rPr>
      </w:pPr>
    </w:p>
    <w:p w14:paraId="49156F37">
      <w:pPr>
        <w:pStyle w:val="9"/>
        <w:spacing w:after="0" w:line="249" w:lineRule="auto"/>
        <w:rPr>
          <w:rFonts w:hint="eastAsia"/>
        </w:rPr>
      </w:pPr>
      <w:r>
        <w:rPr>
          <w:rFonts w:hint="eastAsia"/>
        </w:rPr>
        <w:t>This text is highly problematic for our dispensational brethren.</w:t>
      </w:r>
    </w:p>
    <w:p w14:paraId="3280C58E">
      <w:pPr>
        <w:pStyle w:val="9"/>
        <w:spacing w:after="0" w:line="249" w:lineRule="auto"/>
        <w:rPr>
          <w:rFonts w:hint="eastAsia"/>
        </w:rPr>
      </w:pPr>
      <w:r>
        <w:rPr>
          <w:rFonts w:hint="eastAsia"/>
        </w:rPr>
        <w:t>这段经文对我们的时代论弟兄来说极具问题性。</w:t>
      </w:r>
    </w:p>
    <w:p w14:paraId="20818516">
      <w:pPr>
        <w:pStyle w:val="9"/>
        <w:spacing w:after="0" w:line="249" w:lineRule="auto"/>
        <w:rPr>
          <w:rFonts w:hint="eastAsia"/>
        </w:rPr>
      </w:pPr>
    </w:p>
    <w:p w14:paraId="607A38EF">
      <w:pPr>
        <w:pStyle w:val="9"/>
        <w:spacing w:after="0" w:line="249" w:lineRule="auto"/>
        <w:rPr>
          <w:rFonts w:hint="eastAsia"/>
        </w:rPr>
      </w:pPr>
      <w:r>
        <w:rPr>
          <w:rFonts w:hint="eastAsia"/>
        </w:rPr>
        <w:t>If, in 1 Thessalonians 4:13-18, Paul was extending to his flock the hope of a secret Coming and a secret removal to heaven, how is it that here he is extending to that very same flock a completely different hope: the hope of an exceedingly public Coming, resulting in final redemption for the saints and final retribution for sinners?</w:t>
      </w:r>
    </w:p>
    <w:p w14:paraId="708679A3">
      <w:pPr>
        <w:pStyle w:val="9"/>
        <w:spacing w:after="0" w:line="249" w:lineRule="auto"/>
        <w:rPr>
          <w:rFonts w:hint="eastAsia"/>
        </w:rPr>
      </w:pPr>
      <w:r>
        <w:rPr>
          <w:rFonts w:hint="eastAsia"/>
        </w:rPr>
        <w:t>如果在帖撒罗尼迦前书4:13-18中，保罗是在向祂的羊群延伸一个秘密降临和秘密提到天上的盼望，那么祂在这里又如何向那同一群羊延伸一个完全不同的盼望：一个极其公开的降临，结果是圣徒的最后救赎和罪人的最后报应？</w:t>
      </w:r>
    </w:p>
    <w:p w14:paraId="117FEEE8">
      <w:pPr>
        <w:pStyle w:val="9"/>
        <w:spacing w:after="0" w:line="249" w:lineRule="auto"/>
        <w:rPr>
          <w:rFonts w:hint="eastAsia"/>
        </w:rPr>
      </w:pPr>
    </w:p>
    <w:p w14:paraId="6B730FF4">
      <w:pPr>
        <w:pStyle w:val="9"/>
        <w:spacing w:after="0" w:line="249" w:lineRule="auto"/>
        <w:rPr>
          <w:rFonts w:hint="eastAsia"/>
        </w:rPr>
      </w:pPr>
      <w:r>
        <w:rPr>
          <w:rFonts w:hint="eastAsia"/>
        </w:rPr>
        <w:t>No, in both of these passages Paul clearly has in mind the same Day.</w:t>
      </w:r>
    </w:p>
    <w:p w14:paraId="51E0AB5D">
      <w:pPr>
        <w:pStyle w:val="9"/>
        <w:spacing w:after="0" w:line="249" w:lineRule="auto"/>
        <w:rPr>
          <w:rFonts w:hint="eastAsia"/>
        </w:rPr>
      </w:pPr>
      <w:r>
        <w:rPr>
          <w:rFonts w:hint="eastAsia"/>
        </w:rPr>
        <w:t>不，在这两段经文中，保罗心中所想的显然是同一个日子。</w:t>
      </w:r>
    </w:p>
    <w:p w14:paraId="767CB594">
      <w:pPr>
        <w:pStyle w:val="9"/>
        <w:spacing w:after="0" w:line="249" w:lineRule="auto"/>
        <w:rPr>
          <w:rFonts w:hint="eastAsia"/>
        </w:rPr>
      </w:pPr>
    </w:p>
    <w:p w14:paraId="5517B072">
      <w:pPr>
        <w:pStyle w:val="9"/>
        <w:spacing w:after="0" w:line="249" w:lineRule="auto"/>
        <w:rPr>
          <w:rFonts w:hint="eastAsia"/>
        </w:rPr>
      </w:pPr>
      <w:r>
        <w:rPr>
          <w:rFonts w:hint="eastAsia"/>
        </w:rPr>
        <w:t>It is the Last Day, the Day of the Lord Jesus Christ, the Day of the Consummation, in which the glorified Lord Jesus will come to the earth one final time to raise the dead, judge the world in righteousness, and introduce the Kingdom of God in its glorious fullness.</w:t>
      </w:r>
    </w:p>
    <w:p w14:paraId="3E5354AB">
      <w:pPr>
        <w:pStyle w:val="9"/>
        <w:spacing w:after="0" w:line="249" w:lineRule="auto"/>
        <w:rPr>
          <w:rFonts w:hint="eastAsia"/>
        </w:rPr>
      </w:pPr>
      <w:r>
        <w:rPr>
          <w:rFonts w:hint="eastAsia"/>
        </w:rPr>
        <w:t>这是末日，是主耶稣基督的日子，是最终成全的日子，届时得荣耀的主耶稣将最后一次来到地上，使死人复活，按公义审判世界，并引入上帝荣耀丰满的国度。</w:t>
      </w:r>
    </w:p>
    <w:p w14:paraId="3F6C666A">
      <w:pPr>
        <w:pStyle w:val="9"/>
        <w:spacing w:after="0" w:line="249" w:lineRule="auto"/>
        <w:rPr>
          <w:rFonts w:hint="eastAsia"/>
        </w:rPr>
      </w:pPr>
    </w:p>
    <w:p w14:paraId="7348A42A">
      <w:pPr>
        <w:pStyle w:val="9"/>
        <w:spacing w:after="0" w:line="249" w:lineRule="auto"/>
        <w:rPr>
          <w:rFonts w:hint="eastAsia"/>
        </w:rPr>
      </w:pPr>
      <w:r>
        <w:rPr>
          <w:rFonts w:hint="eastAsia"/>
        </w:rPr>
        <w:t>So our Protestant forefathers believed, taught, and joyfully proclaimed.</w:t>
      </w:r>
    </w:p>
    <w:p w14:paraId="2FCAB90F">
      <w:pPr>
        <w:pStyle w:val="9"/>
        <w:spacing w:after="0" w:line="249" w:lineRule="auto"/>
        <w:rPr>
          <w:rFonts w:hint="eastAsia"/>
        </w:rPr>
      </w:pPr>
      <w:r>
        <w:rPr>
          <w:rFonts w:hint="eastAsia"/>
        </w:rPr>
        <w:t>我们的新教先辈们如此相信、教导并欢喜地宣告。</w:t>
      </w:r>
    </w:p>
    <w:p w14:paraId="4F29D173">
      <w:pPr>
        <w:pStyle w:val="9"/>
        <w:spacing w:after="0" w:line="249" w:lineRule="auto"/>
        <w:rPr>
          <w:rFonts w:hint="eastAsia"/>
        </w:rPr>
      </w:pPr>
    </w:p>
    <w:p w14:paraId="62756950">
      <w:pPr>
        <w:pStyle w:val="9"/>
        <w:spacing w:after="0" w:line="249" w:lineRule="auto"/>
        <w:rPr>
          <w:rFonts w:hint="eastAsia"/>
        </w:rPr>
      </w:pPr>
      <w:r>
        <w:rPr>
          <w:rFonts w:hint="eastAsia"/>
        </w:rPr>
        <w:t>We do well to follow in their footsteps.</w:t>
      </w:r>
    </w:p>
    <w:p w14:paraId="189E8847">
      <w:pPr>
        <w:pStyle w:val="9"/>
        <w:spacing w:after="0" w:line="249" w:lineRule="auto"/>
        <w:rPr>
          <w:rFonts w:hint="eastAsia"/>
        </w:rPr>
      </w:pPr>
      <w:r>
        <w:rPr>
          <w:rFonts w:hint="eastAsia"/>
        </w:rPr>
        <w:t>我们最好跟随他们的脚踪。</w:t>
      </w:r>
    </w:p>
    <w:p w14:paraId="68280341">
      <w:pPr>
        <w:pStyle w:val="9"/>
        <w:spacing w:after="0" w:line="249" w:lineRule="auto"/>
        <w:rPr>
          <w:rFonts w:hint="eastAsia"/>
        </w:rPr>
      </w:pPr>
    </w:p>
    <w:p w14:paraId="5EDCD4FA">
      <w:pPr>
        <w:pStyle w:val="9"/>
        <w:spacing w:after="0" w:line="249" w:lineRule="auto"/>
        <w:rPr>
          <w:rFonts w:hint="eastAsia"/>
        </w:rPr>
      </w:pPr>
      <w:r>
        <w:rPr>
          <w:rFonts w:hint="eastAsia"/>
        </w:rPr>
        <w:t>2.It Will Not Come Unless</w:t>
      </w:r>
    </w:p>
    <w:p w14:paraId="4DDB3F1E">
      <w:pPr>
        <w:pStyle w:val="9"/>
        <w:spacing w:after="0" w:line="249" w:lineRule="auto"/>
        <w:rPr>
          <w:rFonts w:hint="eastAsia"/>
        </w:rPr>
      </w:pPr>
      <w:r>
        <w:rPr>
          <w:rFonts w:hint="eastAsia"/>
        </w:rPr>
        <w:t>2.若不……就不能来到</w:t>
      </w:r>
    </w:p>
    <w:p w14:paraId="23AA8C0A">
      <w:pPr>
        <w:pStyle w:val="9"/>
        <w:spacing w:after="0" w:line="249" w:lineRule="auto"/>
        <w:rPr>
          <w:rFonts w:hint="eastAsia"/>
        </w:rPr>
      </w:pPr>
    </w:p>
    <w:p w14:paraId="03821F75">
      <w:pPr>
        <w:pStyle w:val="9"/>
        <w:spacing w:after="0" w:line="249" w:lineRule="auto"/>
        <w:rPr>
          <w:rFonts w:hint="eastAsia"/>
        </w:rPr>
      </w:pPr>
      <w:r>
        <w:rPr>
          <w:rFonts w:hint="eastAsia"/>
        </w:rPr>
        <w:t>(2 Thessalonians 2:1-13)</w:t>
      </w:r>
    </w:p>
    <w:p w14:paraId="6926E6E7">
      <w:pPr>
        <w:pStyle w:val="9"/>
        <w:spacing w:after="0" w:line="249" w:lineRule="auto"/>
        <w:rPr>
          <w:rFonts w:hint="eastAsia"/>
        </w:rPr>
      </w:pPr>
      <w:r>
        <w:rPr>
          <w:rFonts w:hint="eastAsia"/>
        </w:rPr>
        <w:t>（帖撒罗尼迦后书2:1-13）</w:t>
      </w:r>
    </w:p>
    <w:p w14:paraId="7A074CFF">
      <w:pPr>
        <w:pStyle w:val="9"/>
        <w:spacing w:after="0" w:line="249" w:lineRule="auto"/>
        <w:rPr>
          <w:rFonts w:hint="eastAsia"/>
        </w:rPr>
      </w:pPr>
    </w:p>
    <w:p w14:paraId="2E45158D">
      <w:pPr>
        <w:pStyle w:val="9"/>
        <w:spacing w:after="0" w:line="249" w:lineRule="auto"/>
        <w:rPr>
          <w:rFonts w:hint="eastAsia"/>
        </w:rPr>
      </w:pPr>
      <w:r>
        <w:rPr>
          <w:rFonts w:hint="eastAsia"/>
        </w:rPr>
        <w:t>For all its doctrinal complexity, this lengthy eschatological text was written primarily out of deep pastoral concern.</w:t>
      </w:r>
    </w:p>
    <w:p w14:paraId="257EEAC5">
      <w:pPr>
        <w:pStyle w:val="9"/>
        <w:spacing w:after="0" w:line="249" w:lineRule="auto"/>
        <w:rPr>
          <w:rFonts w:hint="eastAsia"/>
        </w:rPr>
      </w:pPr>
      <w:r>
        <w:rPr>
          <w:rFonts w:hint="eastAsia"/>
        </w:rPr>
        <w:t>尽管这段经文在教义上相当复杂，但它主要是出于深切的教牧关怀而写的。</w:t>
      </w:r>
    </w:p>
    <w:p w14:paraId="32EE6D17">
      <w:pPr>
        <w:pStyle w:val="9"/>
        <w:spacing w:after="0" w:line="249" w:lineRule="auto"/>
        <w:rPr>
          <w:rFonts w:hint="eastAsia"/>
        </w:rPr>
      </w:pPr>
    </w:p>
    <w:p w14:paraId="2B4F77E2">
      <w:pPr>
        <w:pStyle w:val="9"/>
        <w:spacing w:after="0" w:line="249" w:lineRule="auto"/>
        <w:rPr>
          <w:rFonts w:hint="eastAsia"/>
        </w:rPr>
      </w:pPr>
      <w:r>
        <w:rPr>
          <w:rFonts w:hint="eastAsia"/>
        </w:rPr>
        <w:t>As verses 1-2 make plain, a rumor was circulating among the Thessalonian house churches, to the effect that the Day of the Lord had come; that it was imminent.</w:t>
      </w:r>
    </w:p>
    <w:p w14:paraId="1199C191">
      <w:pPr>
        <w:pStyle w:val="9"/>
        <w:spacing w:after="0" w:line="249" w:lineRule="auto"/>
        <w:rPr>
          <w:rFonts w:hint="eastAsia"/>
        </w:rPr>
      </w:pPr>
      <w:r>
        <w:rPr>
          <w:rFonts w:hint="eastAsia"/>
        </w:rPr>
        <w:t>如第1-2节所清楚表明的，当时帖撒罗尼迦的家庭教会中流传着一个谣言，大意是主的日子已经来到；即迫在眉睫。</w:t>
      </w:r>
    </w:p>
    <w:p w14:paraId="20037559">
      <w:pPr>
        <w:pStyle w:val="9"/>
        <w:spacing w:after="0" w:line="249" w:lineRule="auto"/>
        <w:rPr>
          <w:rFonts w:hint="eastAsia"/>
        </w:rPr>
      </w:pPr>
    </w:p>
    <w:p w14:paraId="237C9F38">
      <w:pPr>
        <w:pStyle w:val="9"/>
        <w:spacing w:after="0" w:line="249" w:lineRule="auto"/>
        <w:rPr>
          <w:rFonts w:hint="eastAsia"/>
        </w:rPr>
      </w:pPr>
      <w:r>
        <w:rPr>
          <w:rFonts w:hint="eastAsia"/>
        </w:rPr>
        <w:t>Since this rumor was troubling the brethren, distracting them from their spiritual mission and daily responsibilities, Paul addressed it pointedly.</w:t>
      </w:r>
    </w:p>
    <w:p w14:paraId="5E1BADC0">
      <w:pPr>
        <w:pStyle w:val="9"/>
        <w:spacing w:after="0" w:line="249" w:lineRule="auto"/>
        <w:rPr>
          <w:rFonts w:hint="eastAsia"/>
        </w:rPr>
      </w:pPr>
      <w:r>
        <w:rPr>
          <w:rFonts w:hint="eastAsia"/>
        </w:rPr>
        <w:t>由于这个谣言困扰着弟兄们，使他们分心，不能专注于他们的属灵使命和日常责任，保罗便尖锐地处理了它。</w:t>
      </w:r>
    </w:p>
    <w:p w14:paraId="1974D17A">
      <w:pPr>
        <w:pStyle w:val="9"/>
        <w:spacing w:after="0" w:line="249" w:lineRule="auto"/>
        <w:rPr>
          <w:rFonts w:hint="eastAsia"/>
        </w:rPr>
      </w:pPr>
    </w:p>
    <w:p w14:paraId="0C24090F">
      <w:pPr>
        <w:pStyle w:val="9"/>
        <w:spacing w:after="0" w:line="249" w:lineRule="auto"/>
        <w:rPr>
          <w:rFonts w:hint="eastAsia"/>
        </w:rPr>
      </w:pPr>
      <w:r>
        <w:rPr>
          <w:rFonts w:hint="eastAsia"/>
        </w:rPr>
        <w:t>His message is clear: The Day of the Lord will not come until certain things happen first; until certain unmistakable signs appear on the historical horizon.</w:t>
      </w:r>
    </w:p>
    <w:p w14:paraId="42480908">
      <w:pPr>
        <w:pStyle w:val="9"/>
        <w:spacing w:after="0" w:line="249" w:lineRule="auto"/>
        <w:rPr>
          <w:rFonts w:hint="eastAsia"/>
        </w:rPr>
      </w:pPr>
      <w:r>
        <w:rPr>
          <w:rFonts w:hint="eastAsia"/>
        </w:rPr>
        <w:t>祂的信息是清楚的：主的日子不会来到，除非某些事情先发生；除非某些明确的预兆出现在历史的地平线上。</w:t>
      </w:r>
    </w:p>
    <w:p w14:paraId="3D0902A3">
      <w:pPr>
        <w:pStyle w:val="9"/>
        <w:spacing w:after="0" w:line="249" w:lineRule="auto"/>
        <w:rPr>
          <w:rFonts w:hint="eastAsia"/>
        </w:rPr>
      </w:pPr>
    </w:p>
    <w:p w14:paraId="68F05AEB">
      <w:pPr>
        <w:pStyle w:val="9"/>
        <w:spacing w:after="0" w:line="249" w:lineRule="auto"/>
        <w:rPr>
          <w:rFonts w:hint="eastAsia"/>
        </w:rPr>
      </w:pPr>
      <w:r>
        <w:rPr>
          <w:rFonts w:hint="eastAsia"/>
        </w:rPr>
        <w:t>So until you see those signs, stand firm (2:15) and stay busy (2:17, 3:6f)!</w:t>
      </w:r>
    </w:p>
    <w:p w14:paraId="320126E0">
      <w:pPr>
        <w:pStyle w:val="9"/>
        <w:spacing w:after="0" w:line="249" w:lineRule="auto"/>
        <w:rPr>
          <w:rFonts w:hint="eastAsia"/>
        </w:rPr>
      </w:pPr>
      <w:r>
        <w:rPr>
          <w:rFonts w:hint="eastAsia"/>
        </w:rPr>
        <w:t>所以，在你们看见那些预兆之前，要站立得稳（2:15），并要殷勤（2:17, 3:6及以下）！</w:t>
      </w:r>
    </w:p>
    <w:p w14:paraId="1E5230A1">
      <w:pPr>
        <w:pStyle w:val="9"/>
        <w:spacing w:after="0" w:line="249" w:lineRule="auto"/>
        <w:rPr>
          <w:rFonts w:hint="eastAsia"/>
        </w:rPr>
      </w:pPr>
    </w:p>
    <w:p w14:paraId="62DA344F">
      <w:pPr>
        <w:pStyle w:val="9"/>
        <w:spacing w:after="0" w:line="249" w:lineRule="auto"/>
        <w:rPr>
          <w:rFonts w:hint="eastAsia"/>
        </w:rPr>
      </w:pPr>
      <w:r>
        <w:rPr>
          <w:rFonts w:hint="eastAsia"/>
        </w:rPr>
        <w:t>Because this passage tells the Church so much about events leading up to the Consummation, it invites a closer look.</w:t>
      </w:r>
    </w:p>
    <w:p w14:paraId="731DB407">
      <w:pPr>
        <w:pStyle w:val="9"/>
        <w:spacing w:after="0" w:line="249" w:lineRule="auto"/>
        <w:rPr>
          <w:rFonts w:hint="eastAsia"/>
        </w:rPr>
      </w:pPr>
      <w:r>
        <w:rPr>
          <w:rFonts w:hint="eastAsia"/>
        </w:rPr>
        <w:t>因为这段经文告诉了教会许多关于导致最终成全的事件，它值得我们更仔细地审视。</w:t>
      </w:r>
    </w:p>
    <w:p w14:paraId="35CA293B">
      <w:pPr>
        <w:pStyle w:val="9"/>
        <w:spacing w:after="0" w:line="249" w:lineRule="auto"/>
        <w:rPr>
          <w:rFonts w:hint="eastAsia"/>
        </w:rPr>
      </w:pPr>
    </w:p>
    <w:p w14:paraId="6D8D367A">
      <w:pPr>
        <w:pStyle w:val="9"/>
        <w:spacing w:after="0" w:line="249" w:lineRule="auto"/>
        <w:rPr>
          <w:rFonts w:hint="eastAsia"/>
        </w:rPr>
      </w:pPr>
      <w:r>
        <w:rPr>
          <w:rFonts w:hint="eastAsia"/>
        </w:rPr>
        <w:t>Once again my approach will be to give the gist of each section, and then to spotlight the many indications that Paul here presupposes a single Consummation at the Parousia of Christ.</w:t>
      </w:r>
    </w:p>
    <w:p w14:paraId="53C12291">
      <w:pPr>
        <w:pStyle w:val="9"/>
        <w:spacing w:after="0" w:line="249" w:lineRule="auto"/>
        <w:rPr>
          <w:rFonts w:hint="eastAsia"/>
        </w:rPr>
      </w:pPr>
      <w:r>
        <w:rPr>
          <w:rFonts w:hint="eastAsia"/>
        </w:rPr>
        <w:t>我的方法将再次是给出每一部分的要点，然后突显许多表明保罗在这里预设了在基督主临（Parousia）时有一次单一的最终成全的迹象。</w:t>
      </w:r>
    </w:p>
    <w:p w14:paraId="73F0026F">
      <w:pPr>
        <w:pStyle w:val="9"/>
        <w:spacing w:after="0" w:line="249" w:lineRule="auto"/>
        <w:rPr>
          <w:rFonts w:hint="eastAsia"/>
        </w:rPr>
      </w:pPr>
    </w:p>
    <w:p w14:paraId="120160FF">
      <w:pPr>
        <w:pStyle w:val="9"/>
        <w:spacing w:after="0" w:line="249" w:lineRule="auto"/>
        <w:rPr>
          <w:rFonts w:hint="eastAsia"/>
        </w:rPr>
      </w:pPr>
      <w:r>
        <w:rPr>
          <w:rFonts w:hint="eastAsia"/>
        </w:rPr>
        <w:t>An Urgent Request (1-2)</w:t>
      </w:r>
    </w:p>
    <w:p w14:paraId="462A8038">
      <w:pPr>
        <w:pStyle w:val="9"/>
        <w:spacing w:after="0" w:line="249" w:lineRule="auto"/>
        <w:rPr>
          <w:rFonts w:hint="eastAsia"/>
        </w:rPr>
      </w:pPr>
      <w:r>
        <w:rPr>
          <w:rFonts w:hint="eastAsia"/>
        </w:rPr>
        <w:t>一个紧急的请求（1-2）</w:t>
      </w:r>
    </w:p>
    <w:p w14:paraId="7A2C1AD8">
      <w:pPr>
        <w:pStyle w:val="9"/>
        <w:spacing w:after="0" w:line="249" w:lineRule="auto"/>
        <w:rPr>
          <w:rFonts w:hint="eastAsia"/>
        </w:rPr>
      </w:pPr>
    </w:p>
    <w:p w14:paraId="1AE56B71">
      <w:pPr>
        <w:pStyle w:val="9"/>
        <w:spacing w:after="0" w:line="249" w:lineRule="auto"/>
        <w:rPr>
          <w:rFonts w:hint="eastAsia"/>
        </w:rPr>
      </w:pPr>
      <w:r>
        <w:rPr>
          <w:rFonts w:hint="eastAsia"/>
        </w:rPr>
        <w:t>Verses 1-2 present the apostle’s urgent request.</w:t>
      </w:r>
    </w:p>
    <w:p w14:paraId="1EFF03DB">
      <w:pPr>
        <w:pStyle w:val="9"/>
        <w:spacing w:after="0" w:line="249" w:lineRule="auto"/>
        <w:rPr>
          <w:rFonts w:hint="eastAsia"/>
        </w:rPr>
      </w:pPr>
      <w:r>
        <w:rPr>
          <w:rFonts w:hint="eastAsia"/>
        </w:rPr>
        <w:t>第1-2节提出了使徒紧急的请求。</w:t>
      </w:r>
    </w:p>
    <w:p w14:paraId="07D08E74">
      <w:pPr>
        <w:pStyle w:val="9"/>
        <w:spacing w:after="0" w:line="249" w:lineRule="auto"/>
        <w:rPr>
          <w:rFonts w:hint="eastAsia"/>
        </w:rPr>
      </w:pPr>
    </w:p>
    <w:p w14:paraId="46B6F341">
      <w:pPr>
        <w:pStyle w:val="9"/>
        <w:spacing w:after="0" w:line="249" w:lineRule="auto"/>
        <w:rPr>
          <w:rFonts w:hint="eastAsia"/>
        </w:rPr>
      </w:pPr>
      <w:r>
        <w:rPr>
          <w:rFonts w:hint="eastAsia"/>
        </w:rPr>
        <w:t>The subject matter of the request is threefold: the Coming of Christ (1 Thess. 2:19, 3:13, 4:15, 5:23), the gathering together of the saints to Christ (i.e., the “rapture” of 1 Thess. 4:17), and the Day of the Lord (1 Thess. 5:2).</w:t>
      </w:r>
    </w:p>
    <w:p w14:paraId="5AC4F578">
      <w:pPr>
        <w:pStyle w:val="9"/>
        <w:spacing w:after="0" w:line="249" w:lineRule="auto"/>
        <w:rPr>
          <w:rFonts w:hint="eastAsia"/>
        </w:rPr>
      </w:pPr>
      <w:r>
        <w:rPr>
          <w:rFonts w:hint="eastAsia"/>
        </w:rPr>
        <w:t>请求的主题有三方面：基督的降临（帖前2:19, 3:13, 4:15, 5:23），圣徒们被聚集到基督那里（即帖前4:17的“被提”），和主的日子（帖前5:2）。</w:t>
      </w:r>
    </w:p>
    <w:p w14:paraId="6894AF02">
      <w:pPr>
        <w:pStyle w:val="9"/>
        <w:spacing w:after="0" w:line="249" w:lineRule="auto"/>
        <w:rPr>
          <w:rFonts w:hint="eastAsia"/>
        </w:rPr>
      </w:pPr>
    </w:p>
    <w:p w14:paraId="2B020511">
      <w:pPr>
        <w:pStyle w:val="9"/>
        <w:spacing w:after="0" w:line="249" w:lineRule="auto"/>
        <w:rPr>
          <w:rFonts w:hint="eastAsia"/>
        </w:rPr>
      </w:pPr>
      <w:r>
        <w:rPr>
          <w:rFonts w:hint="eastAsia"/>
        </w:rPr>
        <w:t>The protests of our dispensational brethren notwithstanding, the juxtaposition of these closely related themes makes it quite clear that Paul has in mind a single Consummation.</w:t>
      </w:r>
    </w:p>
    <w:p w14:paraId="54905918">
      <w:pPr>
        <w:pStyle w:val="9"/>
        <w:spacing w:after="0" w:line="249" w:lineRule="auto"/>
        <w:rPr>
          <w:rFonts w:hint="eastAsia"/>
        </w:rPr>
      </w:pPr>
      <w:r>
        <w:rPr>
          <w:rFonts w:hint="eastAsia"/>
        </w:rPr>
        <w:t>尽管我们时代论弟兄们有抗议，但这些密切相关主题的并置，清楚地表明保罗心中所想的是一次单一的最终成全。</w:t>
      </w:r>
    </w:p>
    <w:p w14:paraId="0092C774">
      <w:pPr>
        <w:pStyle w:val="9"/>
        <w:spacing w:after="0" w:line="249" w:lineRule="auto"/>
        <w:rPr>
          <w:rFonts w:hint="eastAsia"/>
        </w:rPr>
      </w:pPr>
    </w:p>
    <w:p w14:paraId="117CBA8A">
      <w:pPr>
        <w:pStyle w:val="9"/>
        <w:spacing w:after="0" w:line="249" w:lineRule="auto"/>
        <w:rPr>
          <w:rFonts w:hint="eastAsia"/>
        </w:rPr>
      </w:pPr>
      <w:r>
        <w:rPr>
          <w:rFonts w:hint="eastAsia"/>
        </w:rPr>
        <w:t>The Parousia, the Resurrection, the Gathering Together, and the Judgment of the Day of the Lord all occur basically simultaneously.</w:t>
      </w:r>
    </w:p>
    <w:p w14:paraId="1C46BB6B">
      <w:pPr>
        <w:pStyle w:val="9"/>
        <w:spacing w:after="0" w:line="249" w:lineRule="auto"/>
        <w:rPr>
          <w:rFonts w:hint="eastAsia"/>
        </w:rPr>
      </w:pPr>
      <w:r>
        <w:rPr>
          <w:rFonts w:hint="eastAsia"/>
        </w:rPr>
        <w:t>主临（Parousia）、复活、聚集和主日的审判，基本上是同时发生的。</w:t>
      </w:r>
    </w:p>
    <w:p w14:paraId="1A1E0085">
      <w:pPr>
        <w:pStyle w:val="9"/>
        <w:spacing w:after="0" w:line="249" w:lineRule="auto"/>
        <w:rPr>
          <w:rFonts w:hint="eastAsia"/>
        </w:rPr>
      </w:pPr>
    </w:p>
    <w:p w14:paraId="60B9A689">
      <w:pPr>
        <w:pStyle w:val="9"/>
        <w:spacing w:after="0" w:line="249" w:lineRule="auto"/>
        <w:rPr>
          <w:rFonts w:hint="eastAsia"/>
        </w:rPr>
      </w:pPr>
      <w:r>
        <w:rPr>
          <w:rFonts w:hint="eastAsia"/>
        </w:rPr>
        <w:t>Yes, each of these is a discrete event; but the discrete events are also parts or elements of a single Momentous Event.</w:t>
      </w:r>
    </w:p>
    <w:p w14:paraId="3684F3F8">
      <w:pPr>
        <w:pStyle w:val="9"/>
        <w:spacing w:after="0" w:line="249" w:lineRule="auto"/>
        <w:rPr>
          <w:rFonts w:hint="eastAsia"/>
        </w:rPr>
      </w:pPr>
      <w:r>
        <w:rPr>
          <w:rFonts w:hint="eastAsia"/>
        </w:rPr>
        <w:t>是的，这些都是独立的事件；但这些独立的事件也是一个单一重大事件的部分或要素。</w:t>
      </w:r>
    </w:p>
    <w:p w14:paraId="4EE6CAA1">
      <w:pPr>
        <w:pStyle w:val="9"/>
        <w:spacing w:after="0" w:line="249" w:lineRule="auto"/>
        <w:rPr>
          <w:rFonts w:hint="eastAsia"/>
        </w:rPr>
      </w:pPr>
    </w:p>
    <w:p w14:paraId="243AD0A9">
      <w:pPr>
        <w:pStyle w:val="9"/>
        <w:spacing w:after="0" w:line="249" w:lineRule="auto"/>
        <w:rPr>
          <w:rFonts w:hint="eastAsia"/>
        </w:rPr>
      </w:pPr>
      <w:r>
        <w:rPr>
          <w:rFonts w:hint="eastAsia"/>
        </w:rPr>
        <w:t>If the concerned apostle and pastor thought otherwise, would he not have said so?</w:t>
      </w:r>
    </w:p>
    <w:p w14:paraId="52C0C34B">
      <w:pPr>
        <w:pStyle w:val="9"/>
        <w:spacing w:after="0" w:line="249" w:lineRule="auto"/>
        <w:rPr>
          <w:rFonts w:hint="eastAsia"/>
        </w:rPr>
      </w:pPr>
      <w:r>
        <w:rPr>
          <w:rFonts w:hint="eastAsia"/>
        </w:rPr>
        <w:t>如果这位忧心的使徒和牧者有不同的想法，祂岂不说出来吗？</w:t>
      </w:r>
    </w:p>
    <w:p w14:paraId="3B956F07">
      <w:pPr>
        <w:pStyle w:val="9"/>
        <w:spacing w:after="0" w:line="249" w:lineRule="auto"/>
        <w:rPr>
          <w:rFonts w:hint="eastAsia"/>
        </w:rPr>
      </w:pPr>
    </w:p>
    <w:p w14:paraId="31E66E9C">
      <w:pPr>
        <w:pStyle w:val="9"/>
        <w:spacing w:after="0" w:line="249" w:lineRule="auto"/>
        <w:rPr>
          <w:rFonts w:hint="eastAsia"/>
        </w:rPr>
      </w:pPr>
      <w:r>
        <w:rPr>
          <w:rFonts w:hint="eastAsia"/>
        </w:rPr>
        <w:t>As for the request itself, it is this: Don’t let any evil spirit, false word of teaching or prophecy, or phony letter as if from one of us apostles, persuade you that the Day of the Lord (or the Parousia, or the Gathering Together of the saints) has come, and so shake you from your proper spiritual composure (Mark 13:7).</w:t>
      </w:r>
    </w:p>
    <w:p w14:paraId="14188F99">
      <w:pPr>
        <w:pStyle w:val="9"/>
        <w:spacing w:after="0" w:line="249" w:lineRule="auto"/>
        <w:rPr>
          <w:rFonts w:hint="eastAsia"/>
        </w:rPr>
      </w:pPr>
      <w:r>
        <w:rPr>
          <w:rFonts w:hint="eastAsia"/>
        </w:rPr>
        <w:t>至于请求本身，就是这样：不要让任何邪灵、虚假的教导或预言的话，或仿佛是我们使徒之一的假信，说服你们主的日子（或主临，或圣徒的聚集）已经来到，从而动摇你们应有的属灵镇定（马可福音13:7）。</w:t>
      </w:r>
    </w:p>
    <w:p w14:paraId="791D37F3">
      <w:pPr>
        <w:pStyle w:val="9"/>
        <w:spacing w:after="0" w:line="249" w:lineRule="auto"/>
        <w:rPr>
          <w:rFonts w:hint="eastAsia"/>
        </w:rPr>
      </w:pPr>
    </w:p>
    <w:p w14:paraId="575CC4E1">
      <w:pPr>
        <w:pStyle w:val="9"/>
        <w:spacing w:after="0" w:line="249" w:lineRule="auto"/>
        <w:rPr>
          <w:rFonts w:hint="eastAsia"/>
        </w:rPr>
      </w:pPr>
      <w:r>
        <w:rPr>
          <w:rFonts w:hint="eastAsia"/>
        </w:rPr>
        <w:t>Concerning the crucial phrase “has come,” the NIV Study Bible well comments: “Obviously, Christ’s climactic return had not occurred, but Paul was combating the idea that the final days had begun and their completion would be imminent.”6</w:t>
      </w:r>
    </w:p>
    <w:p w14:paraId="258BD846">
      <w:pPr>
        <w:pStyle w:val="9"/>
        <w:spacing w:after="0" w:line="249" w:lineRule="auto"/>
        <w:rPr>
          <w:rFonts w:hint="eastAsia"/>
        </w:rPr>
      </w:pPr>
      <w:r>
        <w:rPr>
          <w:rFonts w:hint="eastAsia"/>
        </w:rPr>
        <w:t>关于关键短语“已经来到”，新国际版研读本圣经作了很好的评论：“显然，基督高潮性的再来尚未发生，但保罗是在对抗这样一种观念，即末后的日子已经开始，其完成将迫在眉睫。”6</w:t>
      </w:r>
    </w:p>
    <w:p w14:paraId="0F2040F0">
      <w:pPr>
        <w:pStyle w:val="9"/>
        <w:spacing w:after="0" w:line="249" w:lineRule="auto"/>
        <w:rPr>
          <w:rFonts w:hint="eastAsia"/>
        </w:rPr>
      </w:pPr>
    </w:p>
    <w:p w14:paraId="45B42849">
      <w:pPr>
        <w:pStyle w:val="9"/>
        <w:spacing w:after="0" w:line="249" w:lineRule="auto"/>
        <w:rPr>
          <w:rFonts w:hint="eastAsia"/>
        </w:rPr>
      </w:pPr>
      <w:r>
        <w:rPr>
          <w:rFonts w:hint="eastAsia"/>
        </w:rPr>
        <w:t>So then, for Paul, the one Parousia of Christ is not imminent in the technical sense defended by dispensationalists.</w:t>
      </w:r>
    </w:p>
    <w:p w14:paraId="0B8D09E6">
      <w:pPr>
        <w:pStyle w:val="9"/>
        <w:spacing w:after="0" w:line="249" w:lineRule="auto"/>
        <w:rPr>
          <w:rFonts w:hint="eastAsia"/>
        </w:rPr>
      </w:pPr>
      <w:r>
        <w:rPr>
          <w:rFonts w:hint="eastAsia"/>
        </w:rPr>
        <w:t>所以，对保罗而言，基督的一次主临（Parousia）并非时代论者所辩护的技术意义上的迫近。</w:t>
      </w:r>
    </w:p>
    <w:p w14:paraId="04EBD13F">
      <w:pPr>
        <w:pStyle w:val="9"/>
        <w:spacing w:after="0" w:line="249" w:lineRule="auto"/>
        <w:rPr>
          <w:rFonts w:hint="eastAsia"/>
        </w:rPr>
      </w:pPr>
    </w:p>
    <w:p w14:paraId="0FED7DE7">
      <w:pPr>
        <w:pStyle w:val="9"/>
        <w:spacing w:after="0" w:line="249" w:lineRule="auto"/>
        <w:rPr>
          <w:rFonts w:hint="eastAsia"/>
        </w:rPr>
      </w:pPr>
      <w:r>
        <w:rPr>
          <w:rFonts w:hint="eastAsia"/>
        </w:rPr>
        <w:t>Certain things must happen first, certain signs must appear on the stage of history.</w:t>
      </w:r>
    </w:p>
    <w:p w14:paraId="773211D1">
      <w:pPr>
        <w:pStyle w:val="9"/>
        <w:spacing w:after="0" w:line="249" w:lineRule="auto"/>
        <w:rPr>
          <w:rFonts w:hint="eastAsia"/>
        </w:rPr>
      </w:pPr>
      <w:r>
        <w:rPr>
          <w:rFonts w:hint="eastAsia"/>
        </w:rPr>
        <w:t>某些事情必须先发生，某些预兆必须出现在历史的舞台上。</w:t>
      </w:r>
    </w:p>
    <w:p w14:paraId="67754533">
      <w:pPr>
        <w:pStyle w:val="9"/>
        <w:spacing w:after="0" w:line="249" w:lineRule="auto"/>
        <w:rPr>
          <w:rFonts w:hint="eastAsia"/>
        </w:rPr>
      </w:pPr>
    </w:p>
    <w:p w14:paraId="07C785CD">
      <w:pPr>
        <w:pStyle w:val="9"/>
        <w:spacing w:after="0" w:line="249" w:lineRule="auto"/>
        <w:rPr>
          <w:rFonts w:hint="eastAsia"/>
        </w:rPr>
      </w:pPr>
      <w:r>
        <w:rPr>
          <w:rFonts w:hint="eastAsia"/>
        </w:rPr>
        <w:t>This simple truth is of great importance for all the saints, but especially for those living and serving in the last generation.</w:t>
      </w:r>
    </w:p>
    <w:p w14:paraId="0FB64A26">
      <w:pPr>
        <w:pStyle w:val="9"/>
        <w:spacing w:after="0" w:line="249" w:lineRule="auto"/>
        <w:rPr>
          <w:rFonts w:hint="eastAsia"/>
        </w:rPr>
      </w:pPr>
      <w:r>
        <w:rPr>
          <w:rFonts w:hint="eastAsia"/>
        </w:rPr>
        <w:t>这个简单的真理对所有圣徒都极为重要，但尤其对那些生活和事奉在最后一代的人。</w:t>
      </w:r>
    </w:p>
    <w:p w14:paraId="183A8C2C">
      <w:pPr>
        <w:pStyle w:val="9"/>
        <w:spacing w:after="0" w:line="249" w:lineRule="auto"/>
        <w:rPr>
          <w:rFonts w:hint="eastAsia"/>
        </w:rPr>
      </w:pPr>
    </w:p>
    <w:p w14:paraId="7757C5EB">
      <w:pPr>
        <w:pStyle w:val="9"/>
        <w:spacing w:after="0" w:line="249" w:lineRule="auto"/>
        <w:rPr>
          <w:rFonts w:hint="eastAsia"/>
        </w:rPr>
      </w:pPr>
      <w:r>
        <w:rPr>
          <w:rFonts w:hint="eastAsia"/>
        </w:rPr>
        <w:t>Because God has structured the Consummation in this manner, and because he has moved Christ and his apostles carefully to teach us about it, Christians should be well able to keep their cool, even at the end of the world!</w:t>
      </w:r>
    </w:p>
    <w:p w14:paraId="29D2670A">
      <w:pPr>
        <w:pStyle w:val="9"/>
        <w:spacing w:after="0" w:line="249" w:lineRule="auto"/>
        <w:rPr>
          <w:rFonts w:hint="eastAsia"/>
        </w:rPr>
      </w:pPr>
      <w:r>
        <w:rPr>
          <w:rFonts w:hint="eastAsia"/>
        </w:rPr>
        <w:t>因为上帝已如此构建了最终的成全，因为祂已感动基督和祂的使徒们仔细地教导我们关于它，基督徒应该完全能够在世界末了时保持冷静！</w:t>
      </w:r>
    </w:p>
    <w:p w14:paraId="6E205419">
      <w:pPr>
        <w:pStyle w:val="9"/>
        <w:spacing w:after="0" w:line="249" w:lineRule="auto"/>
        <w:rPr>
          <w:rFonts w:hint="eastAsia"/>
        </w:rPr>
      </w:pPr>
    </w:p>
    <w:p w14:paraId="4EA5698E">
      <w:pPr>
        <w:pStyle w:val="9"/>
        <w:spacing w:after="0" w:line="249" w:lineRule="auto"/>
        <w:rPr>
          <w:rFonts w:hint="eastAsia"/>
        </w:rPr>
      </w:pPr>
      <w:r>
        <w:rPr>
          <w:rFonts w:hint="eastAsia"/>
        </w:rPr>
        <w:t>It Will Not Come Unless (3-5)</w:t>
      </w:r>
    </w:p>
    <w:p w14:paraId="3C2D3287">
      <w:pPr>
        <w:pStyle w:val="9"/>
        <w:spacing w:after="0" w:line="249" w:lineRule="auto"/>
        <w:rPr>
          <w:rFonts w:hint="eastAsia"/>
        </w:rPr>
      </w:pPr>
      <w:r>
        <w:rPr>
          <w:rFonts w:hint="eastAsia"/>
        </w:rPr>
        <w:t>若不……就不能来到（3-5）</w:t>
      </w:r>
    </w:p>
    <w:p w14:paraId="4420E4CD">
      <w:pPr>
        <w:pStyle w:val="9"/>
        <w:spacing w:after="0" w:line="249" w:lineRule="auto"/>
        <w:rPr>
          <w:rFonts w:hint="eastAsia"/>
        </w:rPr>
      </w:pPr>
    </w:p>
    <w:p w14:paraId="0AA15068">
      <w:pPr>
        <w:pStyle w:val="9"/>
        <w:spacing w:after="0" w:line="249" w:lineRule="auto"/>
        <w:rPr>
          <w:rFonts w:hint="eastAsia"/>
        </w:rPr>
      </w:pPr>
      <w:r>
        <w:rPr>
          <w:rFonts w:hint="eastAsia"/>
        </w:rPr>
        <w:t>What exactly are the telltale signs that will enable them to do so?</w:t>
      </w:r>
    </w:p>
    <w:p w14:paraId="7F6BED4F">
      <w:pPr>
        <w:pStyle w:val="9"/>
        <w:spacing w:after="0" w:line="249" w:lineRule="auto"/>
        <w:rPr>
          <w:rFonts w:hint="eastAsia"/>
        </w:rPr>
      </w:pPr>
      <w:r>
        <w:rPr>
          <w:rFonts w:hint="eastAsia"/>
        </w:rPr>
        <w:t>究竟是什么样的预兆能使他们这样做呢？</w:t>
      </w:r>
    </w:p>
    <w:p w14:paraId="3B2D9581">
      <w:pPr>
        <w:pStyle w:val="9"/>
        <w:spacing w:after="0" w:line="249" w:lineRule="auto"/>
        <w:rPr>
          <w:rFonts w:hint="eastAsia"/>
        </w:rPr>
      </w:pPr>
    </w:p>
    <w:p w14:paraId="3C14AFCB">
      <w:pPr>
        <w:pStyle w:val="9"/>
        <w:spacing w:after="0" w:line="249" w:lineRule="auto"/>
        <w:rPr>
          <w:rFonts w:hint="eastAsia"/>
        </w:rPr>
      </w:pPr>
      <w:r>
        <w:rPr>
          <w:rFonts w:hint="eastAsia"/>
        </w:rPr>
        <w:t>In our journey thus far, we have discussed several of them.</w:t>
      </w:r>
    </w:p>
    <w:p w14:paraId="5D84F8E5">
      <w:pPr>
        <w:pStyle w:val="9"/>
        <w:spacing w:after="0" w:line="249" w:lineRule="auto"/>
        <w:rPr>
          <w:rFonts w:hint="eastAsia"/>
        </w:rPr>
      </w:pPr>
      <w:r>
        <w:rPr>
          <w:rFonts w:hint="eastAsia"/>
        </w:rPr>
        <w:t>在我们迄今的旅程中，我们已经讨论了其中几个。</w:t>
      </w:r>
    </w:p>
    <w:p w14:paraId="44041203">
      <w:pPr>
        <w:pStyle w:val="9"/>
        <w:spacing w:after="0" w:line="249" w:lineRule="auto"/>
        <w:rPr>
          <w:rFonts w:hint="eastAsia"/>
        </w:rPr>
      </w:pPr>
    </w:p>
    <w:p w14:paraId="75A76624">
      <w:pPr>
        <w:pStyle w:val="9"/>
        <w:spacing w:after="0" w:line="249" w:lineRule="auto"/>
        <w:rPr>
          <w:rFonts w:hint="eastAsia"/>
        </w:rPr>
      </w:pPr>
      <w:r>
        <w:rPr>
          <w:rFonts w:hint="eastAsia"/>
        </w:rPr>
        <w:t>Here, however, in verses 3-5, Paul focuses on just two, presumably because they will occur closest to the end.</w:t>
      </w:r>
    </w:p>
    <w:p w14:paraId="4FC750F0">
      <w:pPr>
        <w:pStyle w:val="9"/>
        <w:spacing w:after="0" w:line="249" w:lineRule="auto"/>
        <w:rPr>
          <w:rFonts w:hint="eastAsia"/>
        </w:rPr>
      </w:pPr>
      <w:r>
        <w:rPr>
          <w:rFonts w:hint="eastAsia"/>
        </w:rPr>
        <w:t>然而，在这里，在第3-5节，保罗只聚焦于两个，大概是因为它们将在最接近末了的时候发生。</w:t>
      </w:r>
    </w:p>
    <w:p w14:paraId="29411FFF">
      <w:pPr>
        <w:pStyle w:val="9"/>
        <w:spacing w:after="0" w:line="249" w:lineRule="auto"/>
        <w:rPr>
          <w:rFonts w:hint="eastAsia"/>
        </w:rPr>
      </w:pPr>
    </w:p>
    <w:p w14:paraId="00746811">
      <w:pPr>
        <w:pStyle w:val="9"/>
        <w:spacing w:after="0" w:line="249" w:lineRule="auto"/>
        <w:rPr>
          <w:rFonts w:hint="eastAsia"/>
        </w:rPr>
      </w:pPr>
      <w:r>
        <w:rPr>
          <w:rFonts w:hint="eastAsia"/>
        </w:rPr>
        <w:t>They are the rebellion (or apostasy), and the revelation of the Man of Lawlessness (or the Antichrist).</w:t>
      </w:r>
    </w:p>
    <w:p w14:paraId="304464B9">
      <w:pPr>
        <w:pStyle w:val="9"/>
        <w:spacing w:after="0" w:line="249" w:lineRule="auto"/>
        <w:rPr>
          <w:rFonts w:hint="eastAsia"/>
        </w:rPr>
      </w:pPr>
      <w:r>
        <w:rPr>
          <w:rFonts w:hint="eastAsia"/>
        </w:rPr>
        <w:t>它们是背道（或离道反教），以及不法之人的显露（或敌基督）。</w:t>
      </w:r>
    </w:p>
    <w:p w14:paraId="6EE45EF4">
      <w:pPr>
        <w:pStyle w:val="9"/>
        <w:spacing w:after="0" w:line="249" w:lineRule="auto"/>
        <w:rPr>
          <w:rFonts w:hint="eastAsia"/>
        </w:rPr>
      </w:pPr>
    </w:p>
    <w:p w14:paraId="1A6D492C">
      <w:pPr>
        <w:pStyle w:val="9"/>
        <w:spacing w:after="0" w:line="249" w:lineRule="auto"/>
        <w:rPr>
          <w:rFonts w:hint="eastAsia"/>
        </w:rPr>
      </w:pPr>
      <w:r>
        <w:rPr>
          <w:rFonts w:hint="eastAsia"/>
        </w:rPr>
        <w:t>Concerning the first of these, it is true that the NT anticipates a large- scale apostasy, or falling away from the faith, at the time of the end (Mt. 24:10-12, 1 Tim. 4:1, 2 Tim. 3:1-9).</w:t>
      </w:r>
    </w:p>
    <w:p w14:paraId="1DA75A05">
      <w:pPr>
        <w:pStyle w:val="9"/>
        <w:spacing w:after="0" w:line="249" w:lineRule="auto"/>
        <w:rPr>
          <w:rFonts w:hint="eastAsia"/>
        </w:rPr>
      </w:pPr>
      <w:r>
        <w:rPr>
          <w:rFonts w:hint="eastAsia"/>
        </w:rPr>
        <w:t>关于前者，新约确实预见到在末期将有一次大规模的离道反教，或背离信仰（太24:10-12，提前4:1，提后3:1-9）。</w:t>
      </w:r>
    </w:p>
    <w:p w14:paraId="2F622D57">
      <w:pPr>
        <w:pStyle w:val="9"/>
        <w:spacing w:after="0" w:line="249" w:lineRule="auto"/>
        <w:rPr>
          <w:rFonts w:hint="eastAsia"/>
        </w:rPr>
      </w:pPr>
    </w:p>
    <w:p w14:paraId="1807B558">
      <w:pPr>
        <w:pStyle w:val="9"/>
        <w:spacing w:after="0" w:line="249" w:lineRule="auto"/>
        <w:rPr>
          <w:rFonts w:hint="eastAsia"/>
        </w:rPr>
      </w:pPr>
      <w:r>
        <w:rPr>
          <w:rFonts w:hint="eastAsia"/>
        </w:rPr>
        <w:t>Here, however, the close association of the apostasia with the revelation of the Man of Lawlessness strongly suggests a causal relation.</w:t>
      </w:r>
    </w:p>
    <w:p w14:paraId="2A710137">
      <w:pPr>
        <w:pStyle w:val="9"/>
        <w:spacing w:after="0" w:line="249" w:lineRule="auto"/>
        <w:rPr>
          <w:rFonts w:hint="eastAsia"/>
        </w:rPr>
      </w:pPr>
      <w:r>
        <w:rPr>
          <w:rFonts w:hint="eastAsia"/>
        </w:rPr>
        <w:t>然而，在这里，“离道反教”（apostasia）与“不法之人”的显露的密切关联强烈地暗示了一种因果关系。</w:t>
      </w:r>
    </w:p>
    <w:p w14:paraId="10744C6F">
      <w:pPr>
        <w:pStyle w:val="9"/>
        <w:spacing w:after="0" w:line="249" w:lineRule="auto"/>
        <w:rPr>
          <w:rFonts w:hint="eastAsia"/>
        </w:rPr>
      </w:pPr>
    </w:p>
    <w:p w14:paraId="1DF14BB8">
      <w:pPr>
        <w:pStyle w:val="9"/>
        <w:spacing w:after="0" w:line="249" w:lineRule="auto"/>
        <w:rPr>
          <w:rFonts w:hint="eastAsia"/>
        </w:rPr>
      </w:pPr>
      <w:r>
        <w:rPr>
          <w:rFonts w:hint="eastAsia"/>
        </w:rPr>
        <w:t>If so, it is probably best to translate apostasia as rebellion (NIV, ESV).</w:t>
      </w:r>
    </w:p>
    <w:p w14:paraId="363039F6">
      <w:pPr>
        <w:pStyle w:val="9"/>
        <w:spacing w:after="0" w:line="249" w:lineRule="auto"/>
        <w:rPr>
          <w:rFonts w:hint="eastAsia"/>
        </w:rPr>
      </w:pPr>
      <w:r>
        <w:rPr>
          <w:rFonts w:hint="eastAsia"/>
        </w:rPr>
        <w:t>如果是这样，最好是将apostasia翻译为背叛（新国际版，英文标准版）。</w:t>
      </w:r>
    </w:p>
    <w:p w14:paraId="060D5C0E">
      <w:pPr>
        <w:pStyle w:val="9"/>
        <w:spacing w:after="0" w:line="249" w:lineRule="auto"/>
        <w:rPr>
          <w:rFonts w:hint="eastAsia"/>
        </w:rPr>
      </w:pPr>
    </w:p>
    <w:p w14:paraId="72F3C54C">
      <w:pPr>
        <w:pStyle w:val="9"/>
        <w:spacing w:after="0" w:line="249" w:lineRule="auto"/>
        <w:rPr>
          <w:rFonts w:hint="eastAsia"/>
        </w:rPr>
      </w:pPr>
      <w:r>
        <w:rPr>
          <w:rFonts w:hint="eastAsia"/>
        </w:rPr>
        <w:t>On this reading, Paul’s thought would be that the Day of the Lord will not come until the corrupt world-system fully and finally rebels against the Law and Gospel of God, paving the way for Satan to go public with his counterfeit Christ; paving the way for the Antichrist to be revealed, and for the whole fallen world to follow after him (vv. 10-11, Mt. 24:12, Rev. 13:3).</w:t>
      </w:r>
    </w:p>
    <w:p w14:paraId="3F4209B8">
      <w:pPr>
        <w:pStyle w:val="9"/>
        <w:spacing w:after="0" w:line="249" w:lineRule="auto"/>
        <w:rPr>
          <w:rFonts w:hint="eastAsia"/>
        </w:rPr>
      </w:pPr>
      <w:r>
        <w:rPr>
          <w:rFonts w:hint="eastAsia"/>
        </w:rPr>
        <w:t>根据这种解读，保罗的思想将是，主的日子不会来到，除非败坏的世界体系完全并最终地背叛上帝的律法和福音，为撒但公开推出祂的假基督铺平道路；为敌基督的显露铺平道路，并为整个堕落的世界跟随祂铺平道路（10-11节，太24:12，启13:3）。</w:t>
      </w:r>
    </w:p>
    <w:p w14:paraId="784524BB">
      <w:pPr>
        <w:pStyle w:val="9"/>
        <w:spacing w:after="0" w:line="249" w:lineRule="auto"/>
        <w:rPr>
          <w:rFonts w:hint="eastAsia"/>
        </w:rPr>
      </w:pPr>
    </w:p>
    <w:p w14:paraId="4527726F">
      <w:pPr>
        <w:pStyle w:val="9"/>
        <w:spacing w:after="0" w:line="249" w:lineRule="auto"/>
        <w:rPr>
          <w:rFonts w:hint="eastAsia"/>
        </w:rPr>
      </w:pPr>
      <w:r>
        <w:rPr>
          <w:rFonts w:hint="eastAsia"/>
        </w:rPr>
        <w:t>As for the Man of Lawlessness, Paul draws freely upon OT prophecy to give us the gist of his character and very short career (vv. 3-4; Dan. 7:8, 20- 21, 25, 9:26-27, 11:36).</w:t>
      </w:r>
    </w:p>
    <w:p w14:paraId="576D9D4A">
      <w:pPr>
        <w:pStyle w:val="9"/>
        <w:spacing w:after="0" w:line="249" w:lineRule="auto"/>
        <w:rPr>
          <w:rFonts w:hint="eastAsia"/>
        </w:rPr>
      </w:pPr>
      <w:r>
        <w:rPr>
          <w:rFonts w:hint="eastAsia"/>
        </w:rPr>
        <w:t>至于那不法之人，保罗自由地借鉴旧约预言，为我们提供了祂品格和极短生涯的要点（3-4节；但7:8, 20-21, 25, 9:26-27, 11:36）。</w:t>
      </w:r>
    </w:p>
    <w:p w14:paraId="308AFF3D">
      <w:pPr>
        <w:pStyle w:val="9"/>
        <w:spacing w:after="0" w:line="249" w:lineRule="auto"/>
        <w:rPr>
          <w:rFonts w:hint="eastAsia"/>
        </w:rPr>
      </w:pPr>
    </w:p>
    <w:p w14:paraId="16702F7B">
      <w:pPr>
        <w:pStyle w:val="9"/>
        <w:spacing w:after="0" w:line="249" w:lineRule="auto"/>
        <w:rPr>
          <w:rFonts w:hint="eastAsia"/>
        </w:rPr>
      </w:pPr>
      <w:r>
        <w:rPr>
          <w:rFonts w:hint="eastAsia"/>
        </w:rPr>
        <w:t>Though he does not use the word, it is clear that Paul thinks of this man, above all, as an antichrist; indeed, as the final embodiment of “the spirit of antichrist,” and so as the Antichrist himself (1 John 2:18, 22, 4:3).</w:t>
      </w:r>
    </w:p>
    <w:p w14:paraId="3D2EAEAE">
      <w:pPr>
        <w:pStyle w:val="9"/>
        <w:spacing w:after="0" w:line="249" w:lineRule="auto"/>
        <w:rPr>
          <w:rFonts w:hint="eastAsia"/>
        </w:rPr>
      </w:pPr>
      <w:r>
        <w:rPr>
          <w:rFonts w:hint="eastAsia"/>
        </w:rPr>
        <w:t>虽然祂没有使用这个词，但很清楚保罗首先将这个人看作是敌基督；确实，是“敌基督的灵”的最终化身，因此也就是敌基督他自己（约翰一书2:18, 22, 4:3）。</w:t>
      </w:r>
    </w:p>
    <w:p w14:paraId="4A1FA69C">
      <w:pPr>
        <w:pStyle w:val="9"/>
        <w:spacing w:after="0" w:line="249" w:lineRule="auto"/>
        <w:rPr>
          <w:rFonts w:hint="eastAsia"/>
        </w:rPr>
      </w:pPr>
    </w:p>
    <w:p w14:paraId="561EFF66">
      <w:pPr>
        <w:pStyle w:val="9"/>
        <w:spacing w:after="0" w:line="249" w:lineRule="auto"/>
        <w:rPr>
          <w:rFonts w:hint="eastAsia"/>
        </w:rPr>
      </w:pPr>
      <w:r>
        <w:rPr>
          <w:rFonts w:hint="eastAsia"/>
        </w:rPr>
        <w:t>Very importantly, the Greek word anti can mean against or instead of.</w:t>
      </w:r>
    </w:p>
    <w:p w14:paraId="4616ABEC">
      <w:pPr>
        <w:pStyle w:val="9"/>
        <w:spacing w:after="0" w:line="249" w:lineRule="auto"/>
        <w:rPr>
          <w:rFonts w:hint="eastAsia"/>
        </w:rPr>
      </w:pPr>
      <w:r>
        <w:rPr>
          <w:rFonts w:hint="eastAsia"/>
        </w:rPr>
        <w:t>非常重要的是，希腊词anti可以表示“反对”或“代替”。</w:t>
      </w:r>
    </w:p>
    <w:p w14:paraId="086B2C1A">
      <w:pPr>
        <w:pStyle w:val="9"/>
        <w:spacing w:after="0" w:line="249" w:lineRule="auto"/>
        <w:rPr>
          <w:rFonts w:hint="eastAsia"/>
        </w:rPr>
      </w:pPr>
    </w:p>
    <w:p w14:paraId="7905D0F8">
      <w:pPr>
        <w:pStyle w:val="9"/>
        <w:spacing w:after="0" w:line="249" w:lineRule="auto"/>
        <w:rPr>
          <w:rFonts w:hint="eastAsia"/>
        </w:rPr>
      </w:pPr>
      <w:r>
        <w:rPr>
          <w:rFonts w:hint="eastAsia"/>
        </w:rPr>
        <w:t>We see both elements here and later on in our text.</w:t>
      </w:r>
    </w:p>
    <w:p w14:paraId="026E7BDC">
      <w:pPr>
        <w:pStyle w:val="9"/>
        <w:spacing w:after="0" w:line="249" w:lineRule="auto"/>
        <w:rPr>
          <w:rFonts w:hint="eastAsia"/>
        </w:rPr>
      </w:pPr>
      <w:r>
        <w:rPr>
          <w:rFonts w:hint="eastAsia"/>
        </w:rPr>
        <w:t>我们在这段经文的前后都看到了这两个要素。</w:t>
      </w:r>
    </w:p>
    <w:p w14:paraId="1ACE19E8">
      <w:pPr>
        <w:pStyle w:val="9"/>
        <w:spacing w:after="0" w:line="249" w:lineRule="auto"/>
        <w:rPr>
          <w:rFonts w:hint="eastAsia"/>
        </w:rPr>
      </w:pPr>
    </w:p>
    <w:p w14:paraId="1F4B9906">
      <w:pPr>
        <w:pStyle w:val="9"/>
        <w:spacing w:after="0" w:line="249" w:lineRule="auto"/>
        <w:rPr>
          <w:rFonts w:hint="eastAsia"/>
        </w:rPr>
      </w:pPr>
      <w:r>
        <w:rPr>
          <w:rFonts w:hint="eastAsia"/>
        </w:rPr>
        <w:t>The Man of Lawlessness will act against Christ, even as he seeks to act instead of Christ as the appointed prophet, priest, and king of the whole world.</w:t>
      </w:r>
    </w:p>
    <w:p w14:paraId="1BFBD90B">
      <w:pPr>
        <w:pStyle w:val="9"/>
        <w:spacing w:after="0" w:line="249" w:lineRule="auto"/>
        <w:rPr>
          <w:rFonts w:hint="eastAsia"/>
        </w:rPr>
      </w:pPr>
      <w:r>
        <w:rPr>
          <w:rFonts w:hint="eastAsia"/>
        </w:rPr>
        <w:t>那不法之人将敌对基督行事，同时又企图代替基督行事，作全世界所立的先知、祭司和君王。</w:t>
      </w:r>
    </w:p>
    <w:p w14:paraId="07D881F7">
      <w:pPr>
        <w:pStyle w:val="9"/>
        <w:spacing w:after="0" w:line="249" w:lineRule="auto"/>
        <w:rPr>
          <w:rFonts w:hint="eastAsia"/>
        </w:rPr>
      </w:pPr>
    </w:p>
    <w:p w14:paraId="5B5ECE14">
      <w:pPr>
        <w:pStyle w:val="9"/>
        <w:spacing w:after="0" w:line="249" w:lineRule="auto"/>
        <w:rPr>
          <w:rFonts w:hint="eastAsia"/>
        </w:rPr>
      </w:pPr>
      <w:r>
        <w:rPr>
          <w:rFonts w:hint="eastAsia"/>
        </w:rPr>
        <w:t>Verses 3-5 give us several illustrations of this all-pervading motif.</w:t>
      </w:r>
    </w:p>
    <w:p w14:paraId="5BD135AA">
      <w:pPr>
        <w:pStyle w:val="9"/>
        <w:spacing w:after="0" w:line="249" w:lineRule="auto"/>
        <w:rPr>
          <w:rFonts w:hint="eastAsia"/>
        </w:rPr>
      </w:pPr>
      <w:r>
        <w:rPr>
          <w:rFonts w:hint="eastAsia"/>
        </w:rPr>
        <w:t>第3-5节为我们提供了这个贯穿始终的主题的几个例证。</w:t>
      </w:r>
    </w:p>
    <w:p w14:paraId="6E5FAEC2">
      <w:pPr>
        <w:pStyle w:val="9"/>
        <w:spacing w:after="0" w:line="249" w:lineRule="auto"/>
        <w:rPr>
          <w:rFonts w:hint="eastAsia"/>
        </w:rPr>
      </w:pPr>
    </w:p>
    <w:p w14:paraId="25EF3900">
      <w:pPr>
        <w:pStyle w:val="9"/>
        <w:spacing w:after="0" w:line="249" w:lineRule="auto"/>
        <w:rPr>
          <w:rFonts w:hint="eastAsia"/>
        </w:rPr>
      </w:pPr>
      <w:r>
        <w:rPr>
          <w:rFonts w:hint="eastAsia"/>
        </w:rPr>
        <w:t>Like Christ at his first and second comings, the Man of Lawlessness will be revealed in his proper time; yet only for a short time, seeing that he, unlike Christ, is a son of destruction (i.e., one doomed to destruction), (3; 2 Thess. 1:7, 2 Tim. 1:10, 1 Peter 1:7, 13, 1 John 3:2).</w:t>
      </w:r>
    </w:p>
    <w:p w14:paraId="52275533">
      <w:pPr>
        <w:pStyle w:val="9"/>
        <w:spacing w:after="0" w:line="249" w:lineRule="auto"/>
        <w:rPr>
          <w:rFonts w:hint="eastAsia"/>
        </w:rPr>
      </w:pPr>
      <w:r>
        <w:rPr>
          <w:rFonts w:hint="eastAsia"/>
        </w:rPr>
        <w:t>如同基督在祂第一次和第二次降临时一样，那不法之人也将在他适当的时候被显露出来；然而只是短暂的时间，因为他，不像基督，是沉沦之子（即注定要灭亡的人），（3；帖后1:7，提后1:10，彼前1:7, 13，约壹3:2）。</w:t>
      </w:r>
    </w:p>
    <w:p w14:paraId="1B3EB898">
      <w:pPr>
        <w:pStyle w:val="9"/>
        <w:spacing w:after="0" w:line="249" w:lineRule="auto"/>
        <w:rPr>
          <w:rFonts w:hint="eastAsia"/>
        </w:rPr>
      </w:pPr>
    </w:p>
    <w:p w14:paraId="4F32A629">
      <w:pPr>
        <w:pStyle w:val="9"/>
        <w:spacing w:after="0" w:line="249" w:lineRule="auto"/>
        <w:rPr>
          <w:rFonts w:hint="eastAsia"/>
        </w:rPr>
      </w:pPr>
      <w:r>
        <w:rPr>
          <w:rFonts w:hint="eastAsia"/>
        </w:rPr>
        <w:t>Unlike Christ, who loved the Father and delighted to do his will, the Man of Lawlessness will oppose every so-called god or object of worship, including the one true living God and his divine Son (3, 8; John 8:28, Heb. 10:7).</w:t>
      </w:r>
    </w:p>
    <w:p w14:paraId="14DABBDB">
      <w:pPr>
        <w:pStyle w:val="9"/>
        <w:spacing w:after="0" w:line="249" w:lineRule="auto"/>
        <w:rPr>
          <w:rFonts w:hint="eastAsia"/>
        </w:rPr>
      </w:pPr>
      <w:r>
        <w:rPr>
          <w:rFonts w:hint="eastAsia"/>
        </w:rPr>
        <w:t>与基督不同，祂爱父并乐意遵行祂的旨意，那不法之人将敌对所有所谓的或人所敬拜的神，包括独一的真活神和祂的神子（3, 8；约翰福音8:28，希伯来书10:7）。</w:t>
      </w:r>
    </w:p>
    <w:p w14:paraId="6C2339BF">
      <w:pPr>
        <w:pStyle w:val="9"/>
        <w:spacing w:after="0" w:line="249" w:lineRule="auto"/>
        <w:rPr>
          <w:rFonts w:hint="eastAsia"/>
        </w:rPr>
      </w:pPr>
    </w:p>
    <w:p w14:paraId="5FB32599">
      <w:pPr>
        <w:pStyle w:val="9"/>
        <w:spacing w:after="0" w:line="249" w:lineRule="auto"/>
        <w:rPr>
          <w:rFonts w:hint="eastAsia"/>
        </w:rPr>
      </w:pPr>
      <w:r>
        <w:rPr>
          <w:rFonts w:hint="eastAsia"/>
        </w:rPr>
        <w:t>He will stand against the true God and his people.</w:t>
      </w:r>
    </w:p>
    <w:p w14:paraId="5AC2532A">
      <w:pPr>
        <w:pStyle w:val="9"/>
        <w:spacing w:after="0" w:line="249" w:lineRule="auto"/>
        <w:rPr>
          <w:rFonts w:hint="eastAsia"/>
        </w:rPr>
      </w:pPr>
      <w:r>
        <w:rPr>
          <w:rFonts w:hint="eastAsia"/>
        </w:rPr>
        <w:t>祂将敌对真神和祂的子民。</w:t>
      </w:r>
    </w:p>
    <w:p w14:paraId="7048D92B">
      <w:pPr>
        <w:pStyle w:val="9"/>
        <w:spacing w:after="0" w:line="249" w:lineRule="auto"/>
        <w:rPr>
          <w:rFonts w:hint="eastAsia"/>
        </w:rPr>
      </w:pPr>
    </w:p>
    <w:p w14:paraId="56B5B75D">
      <w:pPr>
        <w:pStyle w:val="9"/>
        <w:spacing w:after="0" w:line="249" w:lineRule="auto"/>
        <w:rPr>
          <w:rFonts w:hint="eastAsia"/>
        </w:rPr>
      </w:pPr>
      <w:r>
        <w:rPr>
          <w:rFonts w:hint="eastAsia"/>
        </w:rPr>
        <w:t>Finally, acting instead of Christ, the Man of Lawlessness will “take his seat in the temple of God, displaying himself as being God” (4).</w:t>
      </w:r>
    </w:p>
    <w:p w14:paraId="3A017E59">
      <w:pPr>
        <w:pStyle w:val="9"/>
        <w:spacing w:after="0" w:line="249" w:lineRule="auto"/>
        <w:rPr>
          <w:rFonts w:hint="eastAsia"/>
        </w:rPr>
      </w:pPr>
      <w:r>
        <w:rPr>
          <w:rFonts w:hint="eastAsia"/>
        </w:rPr>
        <w:t>最后，那不法之人将代替基督行事，他将“坐在上帝的殿里，自称为上帝”（4）。</w:t>
      </w:r>
    </w:p>
    <w:p w14:paraId="312EFC28">
      <w:pPr>
        <w:pStyle w:val="9"/>
        <w:spacing w:after="0" w:line="249" w:lineRule="auto"/>
        <w:rPr>
          <w:rFonts w:hint="eastAsia"/>
        </w:rPr>
      </w:pPr>
    </w:p>
    <w:p w14:paraId="320135B2">
      <w:pPr>
        <w:pStyle w:val="9"/>
        <w:spacing w:after="0" w:line="249" w:lineRule="auto"/>
        <w:rPr>
          <w:rFonts w:hint="eastAsia"/>
        </w:rPr>
      </w:pPr>
      <w:r>
        <w:rPr>
          <w:rFonts w:hint="eastAsia"/>
        </w:rPr>
        <w:t>This verse calls to mind the sin of Lucifer, who, from the very beginning, has ever desired to exalt himself above God and to usurp the worship properly belonging to him (Isaiah 14:13-14, Mt. 4:9).</w:t>
      </w:r>
    </w:p>
    <w:p w14:paraId="53D9A197">
      <w:pPr>
        <w:pStyle w:val="9"/>
        <w:spacing w:after="0" w:line="249" w:lineRule="auto"/>
        <w:rPr>
          <w:rFonts w:hint="eastAsia"/>
        </w:rPr>
      </w:pPr>
      <w:r>
        <w:rPr>
          <w:rFonts w:hint="eastAsia"/>
        </w:rPr>
        <w:t>这节经文让人想起路西弗的罪，他从起初就一直渴望高抬自己超过上帝，并篡夺本应属于祂的敬拜（以赛亚书14:13-14，马太福音4:9）。</w:t>
      </w:r>
    </w:p>
    <w:p w14:paraId="46E9332B">
      <w:pPr>
        <w:pStyle w:val="9"/>
        <w:spacing w:after="0" w:line="249" w:lineRule="auto"/>
        <w:rPr>
          <w:rFonts w:hint="eastAsia"/>
        </w:rPr>
      </w:pPr>
    </w:p>
    <w:p w14:paraId="34CF3973">
      <w:pPr>
        <w:pStyle w:val="9"/>
        <w:spacing w:after="0" w:line="249" w:lineRule="auto"/>
        <w:rPr>
          <w:rFonts w:hint="eastAsia"/>
        </w:rPr>
      </w:pPr>
      <w:r>
        <w:rPr>
          <w:rFonts w:hint="eastAsia"/>
        </w:rPr>
        <w:t>In the Man of Lawlessness— who will project himself as God incarnate—he (Satan) will briefly achieve his goal: The whole (unregenerate) world will worship him (Rev. 13:8).</w:t>
      </w:r>
    </w:p>
    <w:p w14:paraId="3A980744">
      <w:pPr>
        <w:pStyle w:val="9"/>
        <w:spacing w:after="0" w:line="249" w:lineRule="auto"/>
        <w:rPr>
          <w:rFonts w:hint="eastAsia"/>
        </w:rPr>
      </w:pPr>
      <w:r>
        <w:rPr>
          <w:rFonts w:hint="eastAsia"/>
        </w:rPr>
        <w:t>在那不法之人——他将自称为上帝的化身——里面，他（撒但）将短暂地达到他的目的：整个（未重生的）世界都将敬拜他（启13:8）。</w:t>
      </w:r>
    </w:p>
    <w:p w14:paraId="4F3C9C67">
      <w:pPr>
        <w:pStyle w:val="9"/>
        <w:spacing w:after="0" w:line="249" w:lineRule="auto"/>
        <w:rPr>
          <w:rFonts w:hint="eastAsia"/>
        </w:rPr>
      </w:pPr>
    </w:p>
    <w:p w14:paraId="5C0069BF">
      <w:pPr>
        <w:pStyle w:val="9"/>
        <w:spacing w:after="0" w:line="249" w:lineRule="auto"/>
        <w:rPr>
          <w:rFonts w:hint="eastAsia"/>
        </w:rPr>
      </w:pPr>
      <w:r>
        <w:rPr>
          <w:rFonts w:hint="eastAsia"/>
        </w:rPr>
        <w:t>This, I believe, is the sense of Paul’s words about “the temple.”</w:t>
      </w:r>
    </w:p>
    <w:p w14:paraId="078FAA63">
      <w:pPr>
        <w:pStyle w:val="9"/>
        <w:spacing w:after="0" w:line="249" w:lineRule="auto"/>
        <w:rPr>
          <w:rFonts w:hint="eastAsia"/>
        </w:rPr>
      </w:pPr>
      <w:r>
        <w:rPr>
          <w:rFonts w:hint="eastAsia"/>
        </w:rPr>
        <w:t>我相信，这就是保罗关于“殿”的话语的意思。</w:t>
      </w:r>
    </w:p>
    <w:p w14:paraId="3EE450AD">
      <w:pPr>
        <w:pStyle w:val="9"/>
        <w:spacing w:after="0" w:line="249" w:lineRule="auto"/>
        <w:rPr>
          <w:rFonts w:hint="eastAsia"/>
        </w:rPr>
      </w:pPr>
    </w:p>
    <w:p w14:paraId="54607EA5">
      <w:pPr>
        <w:pStyle w:val="9"/>
        <w:spacing w:after="0" w:line="249" w:lineRule="auto"/>
        <w:rPr>
          <w:rFonts w:hint="eastAsia"/>
        </w:rPr>
      </w:pPr>
      <w:r>
        <w:rPr>
          <w:rFonts w:hint="eastAsia"/>
        </w:rPr>
        <w:t>He does not look for the Man of Lawlessness to seat himself in the temple at Jerusalem, from which he could hardly be expected to gain a worldwide following.</w:t>
      </w:r>
    </w:p>
    <w:p w14:paraId="6B7D70BB">
      <w:pPr>
        <w:pStyle w:val="9"/>
        <w:spacing w:after="0" w:line="249" w:lineRule="auto"/>
        <w:rPr>
          <w:rFonts w:hint="eastAsia"/>
        </w:rPr>
      </w:pPr>
      <w:r>
        <w:rPr>
          <w:rFonts w:hint="eastAsia"/>
        </w:rPr>
        <w:t>祂并非期望那不法之人坐在耶路撒冷的殿里，从那里他几乎不可能获得全世界的追随。</w:t>
      </w:r>
    </w:p>
    <w:p w14:paraId="7FF889C5">
      <w:pPr>
        <w:pStyle w:val="9"/>
        <w:spacing w:after="0" w:line="249" w:lineRule="auto"/>
        <w:rPr>
          <w:rFonts w:hint="eastAsia"/>
        </w:rPr>
      </w:pPr>
    </w:p>
    <w:p w14:paraId="597BCA43">
      <w:pPr>
        <w:pStyle w:val="9"/>
        <w:spacing w:after="0" w:line="249" w:lineRule="auto"/>
        <w:rPr>
          <w:rFonts w:hint="eastAsia"/>
        </w:rPr>
      </w:pPr>
      <w:r>
        <w:rPr>
          <w:rFonts w:hint="eastAsia"/>
        </w:rPr>
        <w:t>Still less does he look for this man to seat himself in the Church, since at that point in history the Church had neither institutional status nor spiritual credibility in the eyes of the Gentile world (1 Cor. 3:16, 2 Cor. 6:16, Eph. 2:21).</w:t>
      </w:r>
    </w:p>
    <w:p w14:paraId="23D58474">
      <w:pPr>
        <w:pStyle w:val="9"/>
        <w:spacing w:after="0" w:line="249" w:lineRule="auto"/>
        <w:rPr>
          <w:rFonts w:hint="eastAsia"/>
        </w:rPr>
      </w:pPr>
      <w:r>
        <w:rPr>
          <w:rFonts w:hint="eastAsia"/>
        </w:rPr>
        <w:t>祂更不期望这个人坐在教会里，因为在那个历史时期，教会在外邦世界眼中既没有制度性的地位，也没有属灵的信誉（林前3:16，林后6:16，弗2:21）。</w:t>
      </w:r>
    </w:p>
    <w:p w14:paraId="34D3A934">
      <w:pPr>
        <w:pStyle w:val="9"/>
        <w:spacing w:after="0" w:line="249" w:lineRule="auto"/>
        <w:rPr>
          <w:rFonts w:hint="eastAsia"/>
        </w:rPr>
      </w:pPr>
    </w:p>
    <w:p w14:paraId="76B9F2E6">
      <w:pPr>
        <w:pStyle w:val="9"/>
        <w:spacing w:after="0" w:line="249" w:lineRule="auto"/>
        <w:rPr>
          <w:rFonts w:hint="eastAsia"/>
        </w:rPr>
      </w:pPr>
      <w:r>
        <w:rPr>
          <w:rFonts w:hint="eastAsia"/>
        </w:rPr>
        <w:t>Rather, he appears simply to look for the Man of Lawlessness to represent himself as God incarnate, and thereby to (try to) rob God and Christ of the universal worship that rightfully belongs only to them.7</w:t>
      </w:r>
    </w:p>
    <w:p w14:paraId="16117C79">
      <w:pPr>
        <w:pStyle w:val="9"/>
        <w:spacing w:after="0" w:line="249" w:lineRule="auto"/>
        <w:rPr>
          <w:rFonts w:hint="eastAsia"/>
        </w:rPr>
      </w:pPr>
      <w:r>
        <w:rPr>
          <w:rFonts w:hint="eastAsia"/>
        </w:rPr>
        <w:t>相反，他似乎只是期望那不法之人将自己表现为上帝的化身，从而（企图）夺取上帝和基督理当独享的普世敬拜。7</w:t>
      </w:r>
    </w:p>
    <w:p w14:paraId="0B6F6592">
      <w:pPr>
        <w:pStyle w:val="9"/>
        <w:spacing w:after="0" w:line="249" w:lineRule="auto"/>
        <w:rPr>
          <w:rFonts w:hint="eastAsia"/>
        </w:rPr>
      </w:pPr>
    </w:p>
    <w:p w14:paraId="54F9E3E1">
      <w:pPr>
        <w:pStyle w:val="9"/>
        <w:spacing w:after="0" w:line="249" w:lineRule="auto"/>
        <w:rPr>
          <w:rFonts w:hint="eastAsia"/>
        </w:rPr>
      </w:pPr>
      <w:r>
        <w:rPr>
          <w:rFonts w:hint="eastAsia"/>
        </w:rPr>
        <w:t>Note from verse 5 how Paul had previously taught these things to the Thessalonians, and how surprised he is that they have already forgotten them!</w:t>
      </w:r>
    </w:p>
    <w:p w14:paraId="0FF250A5">
      <w:pPr>
        <w:pStyle w:val="9"/>
        <w:spacing w:after="0" w:line="249" w:lineRule="auto"/>
        <w:rPr>
          <w:rFonts w:hint="eastAsia"/>
        </w:rPr>
      </w:pPr>
      <w:r>
        <w:rPr>
          <w:rFonts w:hint="eastAsia"/>
        </w:rPr>
        <w:t>请从第5节注意保罗先前是如何教导帖撒罗尼迦人这些事的，以及祂对他们已经忘记这些事感到多么惊讶！</w:t>
      </w:r>
    </w:p>
    <w:p w14:paraId="6A19F147">
      <w:pPr>
        <w:pStyle w:val="9"/>
        <w:spacing w:after="0" w:line="249" w:lineRule="auto"/>
        <w:rPr>
          <w:rFonts w:hint="eastAsia"/>
        </w:rPr>
      </w:pPr>
    </w:p>
    <w:p w14:paraId="3B46435C">
      <w:pPr>
        <w:pStyle w:val="9"/>
        <w:spacing w:after="0" w:line="249" w:lineRule="auto"/>
        <w:rPr>
          <w:rFonts w:hint="eastAsia"/>
        </w:rPr>
      </w:pPr>
      <w:r>
        <w:rPr>
          <w:rFonts w:hint="eastAsia"/>
        </w:rPr>
        <w:t>Now if, as our dispensational brethren so frequently admonish us, the Church is supposed to look only for Christ (at a secret Rapture), and never for the Antichrist (as a sign of Christ’s Coming), why does Paul here instruct the Thessalonians to do the exact opposite?</w:t>
      </w:r>
    </w:p>
    <w:p w14:paraId="7E4BB15A">
      <w:pPr>
        <w:pStyle w:val="9"/>
        <w:spacing w:after="0" w:line="249" w:lineRule="auto"/>
        <w:rPr>
          <w:rFonts w:hint="eastAsia"/>
        </w:rPr>
      </w:pPr>
      <w:r>
        <w:rPr>
          <w:rFonts w:hint="eastAsia"/>
        </w:rPr>
        <w:t>那么，如果，如我们时代论的弟兄们经常劝告我们的，教会只应仰望基督（在一次秘密的被提中），而绝不应仰望敌基督（作为基督降临的预兆），为何保罗在这里却指示帖撒罗尼迦人做恰恰相反的事呢？</w:t>
      </w:r>
    </w:p>
    <w:p w14:paraId="18DFCEBA">
      <w:pPr>
        <w:pStyle w:val="9"/>
        <w:spacing w:after="0" w:line="249" w:lineRule="auto"/>
        <w:rPr>
          <w:rFonts w:hint="eastAsia"/>
        </w:rPr>
      </w:pPr>
    </w:p>
    <w:p w14:paraId="1D6B8E89">
      <w:pPr>
        <w:pStyle w:val="9"/>
        <w:spacing w:after="0" w:line="249" w:lineRule="auto"/>
        <w:rPr>
          <w:rFonts w:hint="eastAsia"/>
        </w:rPr>
      </w:pPr>
      <w:r>
        <w:rPr>
          <w:rFonts w:hint="eastAsia"/>
        </w:rPr>
        <w:t>The answer is clear: He never told them to look for a secret Rapture in the first place.</w:t>
      </w:r>
    </w:p>
    <w:p w14:paraId="01BD6E83">
      <w:pPr>
        <w:pStyle w:val="9"/>
        <w:spacing w:after="0" w:line="249" w:lineRule="auto"/>
        <w:rPr>
          <w:rFonts w:hint="eastAsia"/>
        </w:rPr>
      </w:pPr>
      <w:r>
        <w:rPr>
          <w:rFonts w:hint="eastAsia"/>
        </w:rPr>
        <w:t>答案是清楚的：祂从未叫他们首先去寻找一个秘密的被提。</w:t>
      </w:r>
    </w:p>
    <w:p w14:paraId="4CB39D0F">
      <w:pPr>
        <w:pStyle w:val="9"/>
        <w:spacing w:after="0" w:line="249" w:lineRule="auto"/>
        <w:rPr>
          <w:rFonts w:hint="eastAsia"/>
        </w:rPr>
      </w:pPr>
    </w:p>
    <w:p w14:paraId="5F88944B">
      <w:pPr>
        <w:pStyle w:val="9"/>
        <w:spacing w:after="0" w:line="249" w:lineRule="auto"/>
        <w:rPr>
          <w:rFonts w:hint="eastAsia"/>
        </w:rPr>
      </w:pPr>
      <w:r>
        <w:rPr>
          <w:rFonts w:hint="eastAsia"/>
        </w:rPr>
        <w:t>Rather, he told them to look for the one Coming of Christ, but also for the foremost sign of that Coming: the appearance of the Antichrist.</w:t>
      </w:r>
    </w:p>
    <w:p w14:paraId="7D3718F4">
      <w:pPr>
        <w:pStyle w:val="9"/>
        <w:spacing w:after="0" w:line="249" w:lineRule="auto"/>
        <w:rPr>
          <w:rFonts w:hint="eastAsia"/>
        </w:rPr>
      </w:pPr>
      <w:r>
        <w:rPr>
          <w:rFonts w:hint="eastAsia"/>
        </w:rPr>
        <w:t>相反，祂告诉他们要仰望基督的一次降临，但也要仰望那降临的最重要的预兆：敌基督的出现。</w:t>
      </w:r>
    </w:p>
    <w:p w14:paraId="675941D4">
      <w:pPr>
        <w:pStyle w:val="9"/>
        <w:spacing w:after="0" w:line="249" w:lineRule="auto"/>
        <w:rPr>
          <w:rFonts w:hint="eastAsia"/>
        </w:rPr>
      </w:pPr>
    </w:p>
    <w:p w14:paraId="203E404E">
      <w:pPr>
        <w:pStyle w:val="9"/>
        <w:spacing w:after="0" w:line="249" w:lineRule="auto"/>
        <w:rPr>
          <w:rFonts w:hint="eastAsia"/>
        </w:rPr>
      </w:pPr>
      <w:r>
        <w:rPr>
          <w:rFonts w:hint="eastAsia"/>
        </w:rPr>
        <w:t>Armed with such an understanding of the lead-up to the end, they could not possibly fall prey to false prophecies about an “imminent” return of Christ—as too many of our dispensational brethren have.</w:t>
      </w:r>
    </w:p>
    <w:p w14:paraId="713ECDA3">
      <w:pPr>
        <w:pStyle w:val="9"/>
        <w:spacing w:after="0" w:line="249" w:lineRule="auto"/>
        <w:rPr>
          <w:rFonts w:hint="eastAsia"/>
        </w:rPr>
      </w:pPr>
      <w:r>
        <w:rPr>
          <w:rFonts w:hint="eastAsia"/>
        </w:rPr>
        <w:t>有了这样对末了前奏的理解，他们就不可能落入关于基督“迫近”再来的假预言的圈套——正如我们太多的时代论弟兄们所做的那样。</w:t>
      </w:r>
    </w:p>
    <w:p w14:paraId="7D69EBAA">
      <w:pPr>
        <w:pStyle w:val="9"/>
        <w:spacing w:after="0" w:line="249" w:lineRule="auto"/>
        <w:rPr>
          <w:rFonts w:hint="eastAsia"/>
        </w:rPr>
      </w:pPr>
    </w:p>
    <w:p w14:paraId="26CF5231">
      <w:pPr>
        <w:pStyle w:val="9"/>
        <w:spacing w:after="0" w:line="249" w:lineRule="auto"/>
        <w:rPr>
          <w:rFonts w:hint="eastAsia"/>
        </w:rPr>
      </w:pPr>
      <w:r>
        <w:rPr>
          <w:rFonts w:hint="eastAsia"/>
        </w:rPr>
        <w:t>The Restrainer (6-7)</w:t>
      </w:r>
    </w:p>
    <w:p w14:paraId="5B4BD28E">
      <w:pPr>
        <w:pStyle w:val="9"/>
        <w:spacing w:after="0" w:line="249" w:lineRule="auto"/>
        <w:rPr>
          <w:rFonts w:hint="eastAsia"/>
        </w:rPr>
      </w:pPr>
      <w:r>
        <w:rPr>
          <w:rFonts w:hint="eastAsia"/>
        </w:rPr>
        <w:t>那拦阻者（6-7）</w:t>
      </w:r>
    </w:p>
    <w:p w14:paraId="1FAA5C24">
      <w:pPr>
        <w:pStyle w:val="9"/>
        <w:spacing w:after="0" w:line="249" w:lineRule="auto"/>
        <w:rPr>
          <w:rFonts w:hint="eastAsia"/>
        </w:rPr>
      </w:pPr>
    </w:p>
    <w:p w14:paraId="13F1C8E6">
      <w:pPr>
        <w:pStyle w:val="9"/>
        <w:spacing w:after="0" w:line="249" w:lineRule="auto"/>
        <w:rPr>
          <w:rFonts w:hint="eastAsia"/>
        </w:rPr>
      </w:pPr>
      <w:r>
        <w:rPr>
          <w:rFonts w:hint="eastAsia"/>
        </w:rPr>
        <w:t>Seeking to keep the Thessalonians on their spiritual toes, Paul now reminds them in verses 6-7 that the mystery of lawlessness is already at work.</w:t>
      </w:r>
    </w:p>
    <w:p w14:paraId="1F77AD57">
      <w:pPr>
        <w:pStyle w:val="9"/>
        <w:spacing w:after="0" w:line="249" w:lineRule="auto"/>
        <w:rPr>
          <w:rFonts w:hint="eastAsia"/>
        </w:rPr>
      </w:pPr>
      <w:r>
        <w:rPr>
          <w:rFonts w:hint="eastAsia"/>
        </w:rPr>
        <w:t>为要使帖撒罗尼迦人保持属灵的警醒，保罗现在在第6-7节提醒他们，那不法的隐意已经发动。</w:t>
      </w:r>
    </w:p>
    <w:p w14:paraId="6FDC9D1F">
      <w:pPr>
        <w:pStyle w:val="9"/>
        <w:spacing w:after="0" w:line="249" w:lineRule="auto"/>
        <w:rPr>
          <w:rFonts w:hint="eastAsia"/>
        </w:rPr>
      </w:pPr>
    </w:p>
    <w:p w14:paraId="69981D06">
      <w:pPr>
        <w:pStyle w:val="9"/>
        <w:spacing w:after="0" w:line="249" w:lineRule="auto"/>
        <w:rPr>
          <w:rFonts w:hint="eastAsia"/>
        </w:rPr>
      </w:pPr>
      <w:r>
        <w:rPr>
          <w:rFonts w:hint="eastAsia"/>
        </w:rPr>
        <w:t>He means that the spirit of antichrist (i.e., Satan and his demonic hosts) is now abroad in the world, eager to raise up and bring forth the Antichrist himself, the Man of Lawlessness (1 John 2:18).</w:t>
      </w:r>
    </w:p>
    <w:p w14:paraId="023B5467">
      <w:pPr>
        <w:pStyle w:val="9"/>
        <w:spacing w:after="0" w:line="249" w:lineRule="auto"/>
        <w:rPr>
          <w:rFonts w:hint="eastAsia"/>
        </w:rPr>
      </w:pPr>
      <w:r>
        <w:rPr>
          <w:rFonts w:hint="eastAsia"/>
        </w:rPr>
        <w:t>祂的意思是，敌基督的灵（即撒但和他的魔鬼大军）现今正在世上活动，急于兴起并带出敌基督他自己，那不法之人（约翰一书2:18）。</w:t>
      </w:r>
    </w:p>
    <w:p w14:paraId="2BFEFFF6">
      <w:pPr>
        <w:pStyle w:val="9"/>
        <w:spacing w:after="0" w:line="249" w:lineRule="auto"/>
        <w:rPr>
          <w:rFonts w:hint="eastAsia"/>
        </w:rPr>
      </w:pPr>
    </w:p>
    <w:p w14:paraId="4173D00D">
      <w:pPr>
        <w:pStyle w:val="9"/>
        <w:spacing w:after="0" w:line="249" w:lineRule="auto"/>
        <w:rPr>
          <w:rFonts w:hint="eastAsia"/>
        </w:rPr>
      </w:pPr>
      <w:r>
        <w:rPr>
          <w:rFonts w:hint="eastAsia"/>
        </w:rPr>
        <w:t>For the moment, God is restraining Satan from doing so—through what instrumentality, Paul does not say, having spoken of this earlier when he was with them.</w:t>
      </w:r>
    </w:p>
    <w:p w14:paraId="03EC199E">
      <w:pPr>
        <w:pStyle w:val="9"/>
        <w:spacing w:after="0" w:line="249" w:lineRule="auto"/>
        <w:rPr>
          <w:rFonts w:hint="eastAsia"/>
        </w:rPr>
      </w:pPr>
      <w:r>
        <w:rPr>
          <w:rFonts w:hint="eastAsia"/>
        </w:rPr>
        <w:t>目前，上帝正在约束撒但这样做——通过什么工具，保罗没有说，因为祂先前与他们在一起时已经谈过此事。</w:t>
      </w:r>
    </w:p>
    <w:p w14:paraId="71B9D562">
      <w:pPr>
        <w:pStyle w:val="9"/>
        <w:spacing w:after="0" w:line="249" w:lineRule="auto"/>
        <w:rPr>
          <w:rFonts w:hint="eastAsia"/>
        </w:rPr>
      </w:pPr>
    </w:p>
    <w:p w14:paraId="50D74303">
      <w:pPr>
        <w:pStyle w:val="9"/>
        <w:spacing w:after="0" w:line="249" w:lineRule="auto"/>
        <w:rPr>
          <w:rFonts w:hint="eastAsia"/>
        </w:rPr>
      </w:pPr>
      <w:r>
        <w:rPr>
          <w:rFonts w:hint="eastAsia"/>
        </w:rPr>
        <w:t>Possibly he has in mind certain Roman rulers (whom he would be loathe to mention in a letter), or angels, or simply the power and person of the Holy Spirit himself (Rom. 13:1f, Rev. 12:7).</w:t>
      </w:r>
    </w:p>
    <w:p w14:paraId="127A20C4">
      <w:pPr>
        <w:pStyle w:val="9"/>
        <w:spacing w:after="0" w:line="249" w:lineRule="auto"/>
        <w:rPr>
          <w:rFonts w:hint="eastAsia"/>
        </w:rPr>
      </w:pPr>
      <w:r>
        <w:rPr>
          <w:rFonts w:hint="eastAsia"/>
        </w:rPr>
        <w:t>可能祂心中所想的是某些罗马的统治者（祂不愿在信中提及），或天使，或干脆就是圣灵祂自己的能力和位格（罗13:1及以下，启12:7）。</w:t>
      </w:r>
    </w:p>
    <w:p w14:paraId="24240BDD">
      <w:pPr>
        <w:pStyle w:val="9"/>
        <w:spacing w:after="0" w:line="249" w:lineRule="auto"/>
        <w:rPr>
          <w:rFonts w:hint="eastAsia"/>
        </w:rPr>
      </w:pPr>
    </w:p>
    <w:p w14:paraId="5333F280">
      <w:pPr>
        <w:pStyle w:val="9"/>
        <w:spacing w:after="0" w:line="249" w:lineRule="auto"/>
        <w:rPr>
          <w:rFonts w:hint="eastAsia"/>
        </w:rPr>
      </w:pPr>
      <w:r>
        <w:rPr>
          <w:rFonts w:hint="eastAsia"/>
        </w:rPr>
        <w:t>In any case, the restrainer will continue to restrain until God, at his good pleasure, takes him out of the way.</w:t>
      </w:r>
    </w:p>
    <w:p w14:paraId="27A4E775">
      <w:pPr>
        <w:pStyle w:val="9"/>
        <w:spacing w:after="0" w:line="249" w:lineRule="auto"/>
        <w:rPr>
          <w:rFonts w:hint="eastAsia"/>
        </w:rPr>
      </w:pPr>
      <w:r>
        <w:rPr>
          <w:rFonts w:hint="eastAsia"/>
        </w:rPr>
        <w:t>无论如何，那拦阻的将继续拦阻，直到上帝，按着祂的美意，将祂除去。</w:t>
      </w:r>
    </w:p>
    <w:p w14:paraId="7801A2FB">
      <w:pPr>
        <w:pStyle w:val="9"/>
        <w:spacing w:after="0" w:line="249" w:lineRule="auto"/>
        <w:rPr>
          <w:rFonts w:hint="eastAsia"/>
        </w:rPr>
      </w:pPr>
    </w:p>
    <w:p w14:paraId="2EFFEF45">
      <w:pPr>
        <w:pStyle w:val="9"/>
        <w:spacing w:after="0" w:line="249" w:lineRule="auto"/>
        <w:rPr>
          <w:rFonts w:hint="eastAsia"/>
        </w:rPr>
      </w:pPr>
      <w:r>
        <w:rPr>
          <w:rFonts w:hint="eastAsia"/>
        </w:rPr>
        <w:t>Since this must happen, and since it could happen without warning, the saints must remain ever watchful.</w:t>
      </w:r>
    </w:p>
    <w:p w14:paraId="2A55374B">
      <w:pPr>
        <w:pStyle w:val="9"/>
        <w:spacing w:after="0" w:line="249" w:lineRule="auto"/>
        <w:rPr>
          <w:rFonts w:hint="eastAsia"/>
        </w:rPr>
      </w:pPr>
      <w:r>
        <w:rPr>
          <w:rFonts w:hint="eastAsia"/>
        </w:rPr>
        <w:t>既然这事必会发生，并且可能毫无预警地发生，圣徒们就必须时刻警醒。</w:t>
      </w:r>
    </w:p>
    <w:p w14:paraId="4BF2792C">
      <w:pPr>
        <w:pStyle w:val="9"/>
        <w:spacing w:after="0" w:line="249" w:lineRule="auto"/>
        <w:rPr>
          <w:rFonts w:hint="eastAsia"/>
        </w:rPr>
      </w:pPr>
    </w:p>
    <w:p w14:paraId="2518FEA1">
      <w:pPr>
        <w:pStyle w:val="9"/>
        <w:spacing w:after="0" w:line="249" w:lineRule="auto"/>
        <w:rPr>
          <w:rFonts w:hint="eastAsia"/>
        </w:rPr>
      </w:pPr>
      <w:r>
        <w:rPr>
          <w:rFonts w:hint="eastAsia"/>
        </w:rPr>
        <w:t>In passing, let us note how closely these verses parallel the teaching of Revelation 20: In both cases we learn that Satan is bound—and the Church free to fulfill her mission of global evangelism—until God removes the restrainer (who is ultimately God himself), thereby releasing the devil for a little season, thereby bringing on the Last Battle, thereby bringing the High King of Heaven back to the earth!</w:t>
      </w:r>
    </w:p>
    <w:p w14:paraId="389329E5">
      <w:pPr>
        <w:pStyle w:val="9"/>
        <w:spacing w:after="0" w:line="249" w:lineRule="auto"/>
        <w:rPr>
          <w:rFonts w:hint="eastAsia"/>
        </w:rPr>
      </w:pPr>
      <w:r>
        <w:rPr>
          <w:rFonts w:hint="eastAsia"/>
        </w:rPr>
        <w:t>顺便提一下，让我们注意这些经文与《启示录》20章的教导是多么地平行：在这两种情况下我们都了解到，撒但被捆绑——教会得以自由地完成她全球传福音的使命——直到上帝除去那拦阻的（最终就是上帝祂自己），从而释放魔鬼片时，从而引发末日争战，从而将天上的至高君王带回地上！</w:t>
      </w:r>
    </w:p>
    <w:p w14:paraId="6812AC98">
      <w:pPr>
        <w:pStyle w:val="9"/>
        <w:spacing w:after="0" w:line="249" w:lineRule="auto"/>
        <w:rPr>
          <w:rFonts w:hint="eastAsia"/>
        </w:rPr>
      </w:pPr>
    </w:p>
    <w:p w14:paraId="4ABC5829">
      <w:pPr>
        <w:pStyle w:val="9"/>
        <w:spacing w:after="0" w:line="249" w:lineRule="auto"/>
        <w:rPr>
          <w:rFonts w:hint="eastAsia"/>
        </w:rPr>
      </w:pPr>
      <w:r>
        <w:rPr>
          <w:rFonts w:hint="eastAsia"/>
        </w:rPr>
        <w:t>The Deceptive Career of a Counterfeit Christ (8-12)</w:t>
      </w:r>
    </w:p>
    <w:p w14:paraId="2EE20436">
      <w:pPr>
        <w:pStyle w:val="9"/>
        <w:spacing w:after="0" w:line="249" w:lineRule="auto"/>
        <w:rPr>
          <w:rFonts w:hint="eastAsia"/>
        </w:rPr>
      </w:pPr>
      <w:r>
        <w:rPr>
          <w:rFonts w:hint="eastAsia"/>
        </w:rPr>
        <w:t>一个假基督的欺骗性生涯（8-12）</w:t>
      </w:r>
    </w:p>
    <w:p w14:paraId="200E031F">
      <w:pPr>
        <w:pStyle w:val="9"/>
        <w:spacing w:after="0" w:line="249" w:lineRule="auto"/>
        <w:rPr>
          <w:rFonts w:hint="eastAsia"/>
        </w:rPr>
      </w:pPr>
    </w:p>
    <w:p w14:paraId="53130DA6">
      <w:pPr>
        <w:pStyle w:val="9"/>
        <w:spacing w:after="0" w:line="249" w:lineRule="auto"/>
        <w:rPr>
          <w:rFonts w:hint="eastAsia"/>
        </w:rPr>
      </w:pPr>
      <w:r>
        <w:rPr>
          <w:rFonts w:hint="eastAsia"/>
        </w:rPr>
        <w:t>In verses 8-12 Paul once again takes up his theme of the revelation of the Man of Lawlessness, this time going into greater detail about his brief, dramatic, and dangerously deceptive career.</w:t>
      </w:r>
    </w:p>
    <w:p w14:paraId="1FCB4539">
      <w:pPr>
        <w:pStyle w:val="9"/>
        <w:spacing w:after="0" w:line="249" w:lineRule="auto"/>
        <w:rPr>
          <w:rFonts w:hint="eastAsia"/>
        </w:rPr>
      </w:pPr>
      <w:r>
        <w:rPr>
          <w:rFonts w:hint="eastAsia"/>
        </w:rPr>
        <w:t>在第8-12节，保罗再次拾起祂关于不法之人显露的主题，这次更详细地讲述了他短暂、戏剧性且危险的欺骗性生涯。</w:t>
      </w:r>
    </w:p>
    <w:p w14:paraId="4A80950D">
      <w:pPr>
        <w:pStyle w:val="9"/>
        <w:spacing w:after="0" w:line="249" w:lineRule="auto"/>
        <w:rPr>
          <w:rFonts w:hint="eastAsia"/>
        </w:rPr>
      </w:pPr>
    </w:p>
    <w:p w14:paraId="513C56F0">
      <w:pPr>
        <w:pStyle w:val="9"/>
        <w:spacing w:after="0" w:line="249" w:lineRule="auto"/>
        <w:rPr>
          <w:rFonts w:hint="eastAsia"/>
        </w:rPr>
      </w:pPr>
      <w:r>
        <w:rPr>
          <w:rFonts w:hint="eastAsia"/>
        </w:rPr>
        <w:t>By way of introduction, observe that this text gives us an astonishing revelation, not simply of a sovereign God, but of a sovereign God with a great flair for the dramatic.</w:t>
      </w:r>
    </w:p>
    <w:p w14:paraId="1B556F06">
      <w:pPr>
        <w:pStyle w:val="9"/>
        <w:spacing w:after="0" w:line="249" w:lineRule="auto"/>
        <w:rPr>
          <w:rFonts w:hint="eastAsia"/>
        </w:rPr>
      </w:pPr>
      <w:r>
        <w:rPr>
          <w:rFonts w:hint="eastAsia"/>
        </w:rPr>
        <w:t>作为引言，请注意这段经文给了我们一个惊人的启示，不仅仅是一个主宰的上帝，而是一个极具戏剧天赋的主宰上帝。</w:t>
      </w:r>
    </w:p>
    <w:p w14:paraId="13D6C815">
      <w:pPr>
        <w:pStyle w:val="9"/>
        <w:spacing w:after="0" w:line="249" w:lineRule="auto"/>
        <w:rPr>
          <w:rFonts w:hint="eastAsia"/>
        </w:rPr>
      </w:pPr>
    </w:p>
    <w:p w14:paraId="615E5249">
      <w:pPr>
        <w:pStyle w:val="9"/>
        <w:spacing w:after="0" w:line="249" w:lineRule="auto"/>
        <w:rPr>
          <w:rFonts w:hint="eastAsia"/>
        </w:rPr>
      </w:pPr>
      <w:r>
        <w:rPr>
          <w:rFonts w:hint="eastAsia"/>
        </w:rPr>
        <w:t>We see this in his decrees relative to the Consummation.</w:t>
      </w:r>
    </w:p>
    <w:p w14:paraId="4BF7B4C1">
      <w:pPr>
        <w:pStyle w:val="9"/>
        <w:spacing w:after="0" w:line="249" w:lineRule="auto"/>
        <w:rPr>
          <w:rFonts w:hint="eastAsia"/>
        </w:rPr>
      </w:pPr>
      <w:r>
        <w:rPr>
          <w:rFonts w:hint="eastAsia"/>
        </w:rPr>
        <w:t>我们在祂关于最终成全的谕令中看到了这一点。</w:t>
      </w:r>
    </w:p>
    <w:p w14:paraId="7286A9D3">
      <w:pPr>
        <w:pStyle w:val="9"/>
        <w:spacing w:after="0" w:line="249" w:lineRule="auto"/>
        <w:rPr>
          <w:rFonts w:hint="eastAsia"/>
        </w:rPr>
      </w:pPr>
    </w:p>
    <w:p w14:paraId="4248271E">
      <w:pPr>
        <w:pStyle w:val="9"/>
        <w:spacing w:after="0" w:line="249" w:lineRule="auto"/>
        <w:rPr>
          <w:rFonts w:hint="eastAsia"/>
        </w:rPr>
      </w:pPr>
      <w:r>
        <w:rPr>
          <w:rFonts w:hint="eastAsia"/>
        </w:rPr>
        <w:t>As Paul teaches us here, God has ordained that at the end of Salvation History, Satan will raise up a counterfeit prophet, priest, king, kingdom, and “god-man” who, in many ways, will darkly mirror the Person and Work of the true Christ.</w:t>
      </w:r>
    </w:p>
    <w:p w14:paraId="450B7D12">
      <w:pPr>
        <w:pStyle w:val="9"/>
        <w:spacing w:after="0" w:line="249" w:lineRule="auto"/>
        <w:rPr>
          <w:rFonts w:hint="eastAsia"/>
        </w:rPr>
      </w:pPr>
      <w:r>
        <w:rPr>
          <w:rFonts w:hint="eastAsia"/>
        </w:rPr>
        <w:t>正如保罗在这里所教导我们的，上帝已命定，在救赎历史的末了，撒但将兴起一个假先知、假祭司、假君王、假国度和一个“神人”，他将在许多方面，黑暗地反映真基督的位格与工作。</w:t>
      </w:r>
    </w:p>
    <w:p w14:paraId="2E181F07">
      <w:pPr>
        <w:pStyle w:val="9"/>
        <w:spacing w:after="0" w:line="249" w:lineRule="auto"/>
        <w:rPr>
          <w:rFonts w:hint="eastAsia"/>
        </w:rPr>
      </w:pPr>
    </w:p>
    <w:p w14:paraId="0DA4FC36">
      <w:pPr>
        <w:pStyle w:val="9"/>
        <w:spacing w:after="0" w:line="249" w:lineRule="auto"/>
        <w:rPr>
          <w:rFonts w:hint="eastAsia"/>
        </w:rPr>
      </w:pPr>
      <w:r>
        <w:rPr>
          <w:rFonts w:hint="eastAsia"/>
        </w:rPr>
        <w:t>Here we have the outworking of the principle laid down by the Lord Jesus himself in his Parable of the Wheat and the Tares, to the effect that both Christ and Satan will have their own people and their own kingdoms, sown together in the same earth, growing up side- by-side, and running closely parallel to one another until the Day of the final harvest and separation at the end of the age (Mt. 12:22-30, 13:36-43, Luke 4:6, Rev. 14:14f).</w:t>
      </w:r>
    </w:p>
    <w:p w14:paraId="2CFC05A4">
      <w:pPr>
        <w:pStyle w:val="9"/>
        <w:spacing w:after="0" w:line="249" w:lineRule="auto"/>
        <w:rPr>
          <w:rFonts w:hint="eastAsia"/>
        </w:rPr>
      </w:pPr>
      <w:r>
        <w:rPr>
          <w:rFonts w:hint="eastAsia"/>
        </w:rPr>
        <w:t>在这里，我们看到了主耶稣祂自己在麦子和稗子的比喻中所立下的原则的运作，大意是基督和撒但都将有他们自己的子民和他们自己的国度，一同撒在同一块地里，并肩成长，并彼此密切平行地运行，直到世代末了的最后收割和分别的日子（太12:22-30, 13:36-43，路4:6，启14:14及以下）。</w:t>
      </w:r>
    </w:p>
    <w:p w14:paraId="38209B33">
      <w:pPr>
        <w:pStyle w:val="9"/>
        <w:spacing w:after="0" w:line="249" w:lineRule="auto"/>
        <w:rPr>
          <w:rFonts w:hint="eastAsia"/>
        </w:rPr>
      </w:pPr>
    </w:p>
    <w:p w14:paraId="0611363D">
      <w:pPr>
        <w:pStyle w:val="9"/>
        <w:spacing w:after="0" w:line="249" w:lineRule="auto"/>
        <w:rPr>
          <w:rFonts w:hint="eastAsia"/>
        </w:rPr>
      </w:pPr>
      <w:r>
        <w:rPr>
          <w:rFonts w:hint="eastAsia"/>
        </w:rPr>
        <w:t>Understanding all this, Paul is yet again at pains to show the saints that the Man of Lawlessness is indeed a true antichrist: He not only opposes Christ, but also apes Christ—powerfully, deceptively, and dangerously.</w:t>
      </w:r>
    </w:p>
    <w:p w14:paraId="1F413EDA">
      <w:pPr>
        <w:pStyle w:val="9"/>
        <w:spacing w:after="0" w:line="249" w:lineRule="auto"/>
        <w:rPr>
          <w:rFonts w:hint="eastAsia"/>
        </w:rPr>
      </w:pPr>
      <w:r>
        <w:rPr>
          <w:rFonts w:hint="eastAsia"/>
        </w:rPr>
        <w:t>理解了这一切，保罗再次不辞劳苦地向圣徒们表明，那不法之人确实是真正的敌基督：祂不仅敌对基督，也模仿基督——有力地、欺骗地、危险地。</w:t>
      </w:r>
    </w:p>
    <w:p w14:paraId="12500837">
      <w:pPr>
        <w:pStyle w:val="9"/>
        <w:spacing w:after="0" w:line="249" w:lineRule="auto"/>
        <w:rPr>
          <w:rFonts w:hint="eastAsia"/>
        </w:rPr>
      </w:pPr>
    </w:p>
    <w:p w14:paraId="7AAC3C32">
      <w:pPr>
        <w:pStyle w:val="9"/>
        <w:spacing w:after="0" w:line="249" w:lineRule="auto"/>
        <w:rPr>
          <w:rFonts w:hint="eastAsia"/>
        </w:rPr>
      </w:pPr>
      <w:r>
        <w:rPr>
          <w:rFonts w:hint="eastAsia"/>
        </w:rPr>
        <w:t>Yet for all that, he and his career are in the mighty, sovereign hands of the true God and the true Christ, who will not let their chosen ones spiritually succumb.</w:t>
      </w:r>
    </w:p>
    <w:p w14:paraId="71951AF2">
      <w:pPr>
        <w:pStyle w:val="9"/>
        <w:spacing w:after="0" w:line="249" w:lineRule="auto"/>
        <w:rPr>
          <w:rFonts w:hint="eastAsia"/>
        </w:rPr>
      </w:pPr>
      <w:r>
        <w:rPr>
          <w:rFonts w:hint="eastAsia"/>
        </w:rPr>
        <w:t>然而，尽管如此，祂和祂的生涯都在真神和真基督大能的、主宰的手中，祂们不会让祂们的选民在属灵上屈服。</w:t>
      </w:r>
    </w:p>
    <w:p w14:paraId="73A55B0E">
      <w:pPr>
        <w:pStyle w:val="9"/>
        <w:spacing w:after="0" w:line="249" w:lineRule="auto"/>
        <w:rPr>
          <w:rFonts w:hint="eastAsia"/>
        </w:rPr>
      </w:pPr>
    </w:p>
    <w:p w14:paraId="2FF12AE7">
      <w:pPr>
        <w:pStyle w:val="9"/>
        <w:spacing w:after="0" w:line="249" w:lineRule="auto"/>
        <w:rPr>
          <w:rFonts w:hint="eastAsia"/>
        </w:rPr>
      </w:pPr>
      <w:r>
        <w:rPr>
          <w:rFonts w:hint="eastAsia"/>
        </w:rPr>
        <w:t>With these thoughts in mind, Paul begins by telling us what will happen when the restrainer is removed: The lawless one will be revealed, much as Christ was revealed in the days of his flesh (and will again be revealed in the Day of the Lord).</w:t>
      </w:r>
    </w:p>
    <w:p w14:paraId="7BA7347F">
      <w:pPr>
        <w:pStyle w:val="9"/>
        <w:spacing w:after="0" w:line="249" w:lineRule="auto"/>
        <w:rPr>
          <w:rFonts w:hint="eastAsia"/>
        </w:rPr>
      </w:pPr>
      <w:r>
        <w:rPr>
          <w:rFonts w:hint="eastAsia"/>
        </w:rPr>
        <w:t>带着这些想法，保罗开始告诉我们当那拦阻的被除去时会发生什么：那不法之人必显露出来，就像基督在祂肉身的日子里被显露出来一样（并且将在主的日子再次被显露出来）。</w:t>
      </w:r>
    </w:p>
    <w:p w14:paraId="38F9B6F6">
      <w:pPr>
        <w:pStyle w:val="9"/>
        <w:spacing w:after="0" w:line="249" w:lineRule="auto"/>
        <w:rPr>
          <w:rFonts w:hint="eastAsia"/>
        </w:rPr>
      </w:pPr>
    </w:p>
    <w:p w14:paraId="5F87E0F8">
      <w:pPr>
        <w:pStyle w:val="9"/>
        <w:spacing w:after="0" w:line="249" w:lineRule="auto"/>
        <w:rPr>
          <w:rFonts w:hint="eastAsia"/>
        </w:rPr>
      </w:pPr>
      <w:r>
        <w:rPr>
          <w:rFonts w:hint="eastAsia"/>
        </w:rPr>
        <w:t>Unexpectedly, yet quite significantly, Paul does not immediately go on to describe the career of the Lawless One.</w:t>
      </w:r>
    </w:p>
    <w:p w14:paraId="5C7476B1">
      <w:pPr>
        <w:pStyle w:val="9"/>
        <w:spacing w:after="0" w:line="249" w:lineRule="auto"/>
        <w:rPr>
          <w:rFonts w:hint="eastAsia"/>
        </w:rPr>
      </w:pPr>
      <w:r>
        <w:rPr>
          <w:rFonts w:hint="eastAsia"/>
        </w:rPr>
        <w:t>出人意料地，但又相当重要地，保罗没有立刻接着描述那不法之人的生涯。</w:t>
      </w:r>
    </w:p>
    <w:p w14:paraId="1C877A9B">
      <w:pPr>
        <w:pStyle w:val="9"/>
        <w:spacing w:after="0" w:line="249" w:lineRule="auto"/>
        <w:rPr>
          <w:rFonts w:hint="eastAsia"/>
        </w:rPr>
      </w:pPr>
    </w:p>
    <w:p w14:paraId="0ACF42B3">
      <w:pPr>
        <w:pStyle w:val="9"/>
        <w:spacing w:after="0" w:line="249" w:lineRule="auto"/>
        <w:rPr>
          <w:rFonts w:hint="eastAsia"/>
        </w:rPr>
      </w:pPr>
      <w:r>
        <w:rPr>
          <w:rFonts w:hint="eastAsia"/>
        </w:rPr>
        <w:t>Rather, drawing on a Messianic prophecy found in Isaiah, he first speaks of his destruction: The Lord himself will slay him with the breath of his mouth at the appearing (epiphaneia) of his coming (parousia), (Isaiah 11:4)!</w:t>
      </w:r>
    </w:p>
    <w:p w14:paraId="185B0360">
      <w:pPr>
        <w:pStyle w:val="9"/>
        <w:spacing w:after="0" w:line="249" w:lineRule="auto"/>
        <w:rPr>
          <w:rFonts w:hint="eastAsia"/>
        </w:rPr>
      </w:pPr>
      <w:r>
        <w:rPr>
          <w:rFonts w:hint="eastAsia"/>
        </w:rPr>
        <w:t>相反，祂借鉴了以赛亚书中的一段弥赛亚预言，首先谈到了祂的毁灭：主祂自己将在祂降临（parousia）的显现（epiphaneia）时，用祂口中的气杀灭祂（以赛亚书11:4）！</w:t>
      </w:r>
    </w:p>
    <w:p w14:paraId="4550FD41">
      <w:pPr>
        <w:pStyle w:val="9"/>
        <w:spacing w:after="0" w:line="249" w:lineRule="auto"/>
        <w:rPr>
          <w:rFonts w:hint="eastAsia"/>
        </w:rPr>
      </w:pPr>
    </w:p>
    <w:p w14:paraId="07C83BF8">
      <w:pPr>
        <w:pStyle w:val="9"/>
        <w:spacing w:after="0" w:line="249" w:lineRule="auto"/>
        <w:rPr>
          <w:rFonts w:hint="eastAsia"/>
        </w:rPr>
      </w:pPr>
      <w:r>
        <w:rPr>
          <w:rFonts w:hint="eastAsia"/>
        </w:rPr>
        <w:t>Paul’s message in this close sequence is both clear and comforting: The career of the Lawless One will be exceedingly short, brought swiftly to an end by the return of Christ in judgment.</w:t>
      </w:r>
    </w:p>
    <w:p w14:paraId="1DAF0C84">
      <w:pPr>
        <w:pStyle w:val="9"/>
        <w:spacing w:after="0" w:line="249" w:lineRule="auto"/>
        <w:rPr>
          <w:rFonts w:hint="eastAsia"/>
        </w:rPr>
      </w:pPr>
      <w:r>
        <w:rPr>
          <w:rFonts w:hint="eastAsia"/>
        </w:rPr>
        <w:t>保罗在这个紧密的序列中的信息既清晰又安慰：那不法之人的生涯将极其短暂，被基督在审判中的再来迅速地终结。</w:t>
      </w:r>
    </w:p>
    <w:p w14:paraId="7E9F1D4D">
      <w:pPr>
        <w:pStyle w:val="9"/>
        <w:spacing w:after="0" w:line="249" w:lineRule="auto"/>
        <w:rPr>
          <w:rFonts w:hint="eastAsia"/>
        </w:rPr>
      </w:pPr>
    </w:p>
    <w:p w14:paraId="09AB961B">
      <w:pPr>
        <w:pStyle w:val="9"/>
        <w:spacing w:after="0" w:line="249" w:lineRule="auto"/>
        <w:rPr>
          <w:rFonts w:hint="eastAsia"/>
        </w:rPr>
      </w:pPr>
      <w:r>
        <w:rPr>
          <w:rFonts w:hint="eastAsia"/>
        </w:rPr>
        <w:t>For this reason, the revelation of the Man of Lawlessness becomes what is likely the single most important sign of the imminence of the end—and, in its own way, a great encouragement to the (suffering) saints of God (Luke 21:28).</w:t>
      </w:r>
    </w:p>
    <w:p w14:paraId="608FC080">
      <w:pPr>
        <w:pStyle w:val="9"/>
        <w:spacing w:after="0" w:line="249" w:lineRule="auto"/>
        <w:rPr>
          <w:rFonts w:hint="eastAsia"/>
        </w:rPr>
      </w:pPr>
      <w:r>
        <w:rPr>
          <w:rFonts w:hint="eastAsia"/>
        </w:rPr>
        <w:t>因此，不法之人的显露，可能成了末日迫近的最重要预兆——并且，以其自己的方式，对上帝（受苦的）圣徒是一个极大的鼓励（路加福音21:28）。</w:t>
      </w:r>
    </w:p>
    <w:p w14:paraId="1FB2DCE5">
      <w:pPr>
        <w:pStyle w:val="9"/>
        <w:spacing w:after="0" w:line="249" w:lineRule="auto"/>
        <w:rPr>
          <w:rFonts w:hint="eastAsia"/>
        </w:rPr>
      </w:pPr>
    </w:p>
    <w:p w14:paraId="3BD4DBFD">
      <w:pPr>
        <w:pStyle w:val="9"/>
        <w:spacing w:after="0" w:line="249" w:lineRule="auto"/>
        <w:rPr>
          <w:rFonts w:hint="eastAsia"/>
        </w:rPr>
      </w:pPr>
      <w:r>
        <w:rPr>
          <w:rFonts w:hint="eastAsia"/>
        </w:rPr>
        <w:t>In verse 9, Paul resumes his teaching about the career of the Antichrist.</w:t>
      </w:r>
    </w:p>
    <w:p w14:paraId="5ABB3BC1">
      <w:pPr>
        <w:pStyle w:val="9"/>
        <w:spacing w:after="0" w:line="249" w:lineRule="auto"/>
        <w:rPr>
          <w:rFonts w:hint="eastAsia"/>
        </w:rPr>
      </w:pPr>
      <w:r>
        <w:rPr>
          <w:rFonts w:hint="eastAsia"/>
        </w:rPr>
        <w:t>在第9节，保罗恢复祂关于敌基督生涯的教导。</w:t>
      </w:r>
    </w:p>
    <w:p w14:paraId="2BD63B9B">
      <w:pPr>
        <w:pStyle w:val="9"/>
        <w:spacing w:after="0" w:line="249" w:lineRule="auto"/>
        <w:rPr>
          <w:rFonts w:hint="eastAsia"/>
        </w:rPr>
      </w:pPr>
    </w:p>
    <w:p w14:paraId="45EB963D">
      <w:pPr>
        <w:pStyle w:val="9"/>
        <w:spacing w:after="0" w:line="249" w:lineRule="auto"/>
        <w:rPr>
          <w:rFonts w:hint="eastAsia"/>
        </w:rPr>
      </w:pPr>
      <w:r>
        <w:rPr>
          <w:rFonts w:hint="eastAsia"/>
        </w:rPr>
        <w:t>Now, however, he speaks of his coming.</w:t>
      </w:r>
    </w:p>
    <w:p w14:paraId="49B993D9">
      <w:pPr>
        <w:pStyle w:val="9"/>
        <w:spacing w:after="0" w:line="249" w:lineRule="auto"/>
        <w:rPr>
          <w:rFonts w:hint="eastAsia"/>
        </w:rPr>
      </w:pPr>
      <w:r>
        <w:rPr>
          <w:rFonts w:hint="eastAsia"/>
        </w:rPr>
        <w:t>然而，现在祂谈到祂的降临。</w:t>
      </w:r>
    </w:p>
    <w:p w14:paraId="1C969E94">
      <w:pPr>
        <w:pStyle w:val="9"/>
        <w:spacing w:after="0" w:line="249" w:lineRule="auto"/>
        <w:rPr>
          <w:rFonts w:hint="eastAsia"/>
        </w:rPr>
      </w:pPr>
    </w:p>
    <w:p w14:paraId="6B1044BA">
      <w:pPr>
        <w:pStyle w:val="9"/>
        <w:spacing w:after="0" w:line="249" w:lineRule="auto"/>
        <w:rPr>
          <w:rFonts w:hint="eastAsia"/>
        </w:rPr>
      </w:pPr>
      <w:r>
        <w:rPr>
          <w:rFonts w:hint="eastAsia"/>
        </w:rPr>
        <w:t>We remember that this word denotes the arrival of a powerful dignitary, as of an emperor or a king.</w:t>
      </w:r>
    </w:p>
    <w:p w14:paraId="7E55C583">
      <w:pPr>
        <w:pStyle w:val="9"/>
        <w:spacing w:after="0" w:line="249" w:lineRule="auto"/>
        <w:rPr>
          <w:rFonts w:hint="eastAsia"/>
        </w:rPr>
      </w:pPr>
      <w:r>
        <w:rPr>
          <w:rFonts w:hint="eastAsia"/>
        </w:rPr>
        <w:t>我们记得这个词表示一位有权势的显要人物的到来，如皇帝或君王。</w:t>
      </w:r>
    </w:p>
    <w:p w14:paraId="14461E2D">
      <w:pPr>
        <w:pStyle w:val="9"/>
        <w:spacing w:after="0" w:line="249" w:lineRule="auto"/>
        <w:rPr>
          <w:rFonts w:hint="eastAsia"/>
        </w:rPr>
      </w:pPr>
    </w:p>
    <w:p w14:paraId="741ECE3C">
      <w:pPr>
        <w:pStyle w:val="9"/>
        <w:spacing w:after="0" w:line="249" w:lineRule="auto"/>
        <w:rPr>
          <w:rFonts w:hint="eastAsia"/>
        </w:rPr>
      </w:pPr>
      <w:r>
        <w:rPr>
          <w:rFonts w:hint="eastAsia"/>
        </w:rPr>
        <w:t>Just as Christ, in the days of his flesh, arrived upon the scene in great power and authority, so too will the Lawless One.</w:t>
      </w:r>
    </w:p>
    <w:p w14:paraId="03196386">
      <w:pPr>
        <w:pStyle w:val="9"/>
        <w:spacing w:after="0" w:line="249" w:lineRule="auto"/>
        <w:rPr>
          <w:rFonts w:hint="eastAsia"/>
        </w:rPr>
      </w:pPr>
      <w:r>
        <w:rPr>
          <w:rFonts w:hint="eastAsia"/>
        </w:rPr>
        <w:t>正如基督，在祂肉身的日子里，带着极大的能力和权柄来到世上，那不法之人也必如此。</w:t>
      </w:r>
    </w:p>
    <w:p w14:paraId="794611E5">
      <w:pPr>
        <w:pStyle w:val="9"/>
        <w:spacing w:after="0" w:line="249" w:lineRule="auto"/>
        <w:rPr>
          <w:rFonts w:hint="eastAsia"/>
        </w:rPr>
      </w:pPr>
    </w:p>
    <w:p w14:paraId="6B81B28B">
      <w:pPr>
        <w:pStyle w:val="9"/>
        <w:spacing w:after="0" w:line="249" w:lineRule="auto"/>
        <w:rPr>
          <w:rFonts w:hint="eastAsia"/>
        </w:rPr>
      </w:pPr>
      <w:r>
        <w:rPr>
          <w:rFonts w:hint="eastAsia"/>
        </w:rPr>
        <w:t>Just as God the Father enabled Christ to perform signs and true wonders, so too will Satan, the spiritual father of the Lawless One, enable his son to perform signs and “false” (i.e., real, but misleading) wonders (John 8:44, Rev. 13:2, 4).</w:t>
      </w:r>
    </w:p>
    <w:p w14:paraId="4C95EC88">
      <w:pPr>
        <w:pStyle w:val="9"/>
        <w:spacing w:after="0" w:line="249" w:lineRule="auto"/>
        <w:rPr>
          <w:rFonts w:hint="eastAsia"/>
        </w:rPr>
      </w:pPr>
      <w:r>
        <w:rPr>
          <w:rFonts w:hint="eastAsia"/>
        </w:rPr>
        <w:t>正如父上帝使基督能行神迹奇事，同样，那不法之人的属灵父亲撒但也必使他的儿子能行神迹和“虚假的”（即真实的，但误导人的）奇事（约翰福音8:44，启示录13:2, 4）。</w:t>
      </w:r>
    </w:p>
    <w:p w14:paraId="25FCA803">
      <w:pPr>
        <w:pStyle w:val="9"/>
        <w:spacing w:after="0" w:line="249" w:lineRule="auto"/>
        <w:rPr>
          <w:rFonts w:hint="eastAsia"/>
        </w:rPr>
      </w:pPr>
    </w:p>
    <w:p w14:paraId="43A547F6">
      <w:pPr>
        <w:pStyle w:val="9"/>
        <w:spacing w:after="0" w:line="249" w:lineRule="auto"/>
        <w:rPr>
          <w:rFonts w:hint="eastAsia"/>
        </w:rPr>
      </w:pPr>
      <w:r>
        <w:rPr>
          <w:rFonts w:hint="eastAsia"/>
        </w:rPr>
        <w:t>Speaking of the final clash of the kingdoms in the last of the last days, the Lord Jesus himself warned of this very thing (Mt. 24:24).</w:t>
      </w:r>
    </w:p>
    <w:p w14:paraId="2F58C75B">
      <w:pPr>
        <w:pStyle w:val="9"/>
        <w:spacing w:after="0" w:line="249" w:lineRule="auto"/>
        <w:rPr>
          <w:rFonts w:hint="eastAsia"/>
        </w:rPr>
      </w:pPr>
      <w:r>
        <w:rPr>
          <w:rFonts w:hint="eastAsia"/>
        </w:rPr>
        <w:t>谈到末后末期国度的最后冲突，主耶稣祂自己就警告过这事（太24:24）。</w:t>
      </w:r>
    </w:p>
    <w:p w14:paraId="487C942C">
      <w:pPr>
        <w:pStyle w:val="9"/>
        <w:spacing w:after="0" w:line="249" w:lineRule="auto"/>
        <w:rPr>
          <w:rFonts w:hint="eastAsia"/>
        </w:rPr>
      </w:pPr>
    </w:p>
    <w:p w14:paraId="3645CA91">
      <w:pPr>
        <w:pStyle w:val="9"/>
        <w:spacing w:after="0" w:line="249" w:lineRule="auto"/>
        <w:rPr>
          <w:rFonts w:hint="eastAsia"/>
        </w:rPr>
      </w:pPr>
      <w:r>
        <w:rPr>
          <w:rFonts w:hint="eastAsia"/>
        </w:rPr>
        <w:t>Later on, John the Revelator will do the same (Rev. 13:13-14, 16:14, 19:20).</w:t>
      </w:r>
    </w:p>
    <w:p w14:paraId="64138752">
      <w:pPr>
        <w:pStyle w:val="9"/>
        <w:spacing w:after="0" w:line="249" w:lineRule="auto"/>
        <w:rPr>
          <w:rFonts w:hint="eastAsia"/>
        </w:rPr>
      </w:pPr>
      <w:r>
        <w:rPr>
          <w:rFonts w:hint="eastAsia"/>
        </w:rPr>
        <w:t>后来，启示者约翰也会这样做（启13:13-14, 16:14, 19:20）。</w:t>
      </w:r>
    </w:p>
    <w:p w14:paraId="700777E0">
      <w:pPr>
        <w:pStyle w:val="9"/>
        <w:spacing w:after="0" w:line="249" w:lineRule="auto"/>
        <w:rPr>
          <w:rFonts w:hint="eastAsia"/>
        </w:rPr>
      </w:pPr>
    </w:p>
    <w:p w14:paraId="3F50D0B1">
      <w:pPr>
        <w:pStyle w:val="9"/>
        <w:spacing w:after="0" w:line="249" w:lineRule="auto"/>
        <w:rPr>
          <w:rFonts w:hint="eastAsia"/>
        </w:rPr>
      </w:pPr>
      <w:r>
        <w:rPr>
          <w:rFonts w:hint="eastAsia"/>
        </w:rPr>
        <w:t>Let not the saints forget.</w:t>
      </w:r>
    </w:p>
    <w:p w14:paraId="2AF18C50">
      <w:pPr>
        <w:pStyle w:val="9"/>
        <w:spacing w:after="0" w:line="249" w:lineRule="auto"/>
        <w:rPr>
          <w:rFonts w:hint="eastAsia"/>
        </w:rPr>
      </w:pPr>
      <w:r>
        <w:rPr>
          <w:rFonts w:hint="eastAsia"/>
        </w:rPr>
        <w:t>愿圣徒们不要忘记。</w:t>
      </w:r>
    </w:p>
    <w:p w14:paraId="75A0CBC1">
      <w:pPr>
        <w:pStyle w:val="9"/>
        <w:spacing w:after="0" w:line="249" w:lineRule="auto"/>
        <w:rPr>
          <w:rFonts w:hint="eastAsia"/>
        </w:rPr>
      </w:pPr>
    </w:p>
    <w:p w14:paraId="3D9CEEA8">
      <w:pPr>
        <w:pStyle w:val="9"/>
        <w:spacing w:after="0" w:line="249" w:lineRule="auto"/>
        <w:rPr>
          <w:rFonts w:hint="eastAsia"/>
        </w:rPr>
      </w:pPr>
      <w:r>
        <w:rPr>
          <w:rFonts w:hint="eastAsia"/>
        </w:rPr>
        <w:t>According to verse 10, when the Lawless One arises he will not only come with counterfeit miracles, but also with “every deception of wickedness.”</w:t>
      </w:r>
    </w:p>
    <w:p w14:paraId="734B92B4">
      <w:pPr>
        <w:pStyle w:val="9"/>
        <w:spacing w:after="0" w:line="249" w:lineRule="auto"/>
        <w:rPr>
          <w:rFonts w:hint="eastAsia"/>
        </w:rPr>
      </w:pPr>
      <w:r>
        <w:rPr>
          <w:rFonts w:hint="eastAsia"/>
        </w:rPr>
        <w:t>根据第10节，当那不法之人兴起时，祂不仅会带着假神迹来，也会带着“各样行不义的诡诈”。</w:t>
      </w:r>
    </w:p>
    <w:p w14:paraId="20617E98">
      <w:pPr>
        <w:pStyle w:val="9"/>
        <w:spacing w:after="0" w:line="249" w:lineRule="auto"/>
        <w:rPr>
          <w:rFonts w:hint="eastAsia"/>
        </w:rPr>
      </w:pPr>
    </w:p>
    <w:p w14:paraId="128ECCAA">
      <w:pPr>
        <w:pStyle w:val="9"/>
        <w:spacing w:after="0" w:line="249" w:lineRule="auto"/>
        <w:rPr>
          <w:rFonts w:hint="eastAsia"/>
        </w:rPr>
      </w:pPr>
      <w:r>
        <w:rPr>
          <w:rFonts w:hint="eastAsia"/>
        </w:rPr>
        <w:t>This deception will include “the lie”—a false but very winsome gospel; a new, alternative religion.</w:t>
      </w:r>
    </w:p>
    <w:p w14:paraId="3264150E">
      <w:pPr>
        <w:pStyle w:val="9"/>
        <w:spacing w:after="0" w:line="249" w:lineRule="auto"/>
        <w:rPr>
          <w:rFonts w:hint="eastAsia"/>
        </w:rPr>
      </w:pPr>
      <w:r>
        <w:rPr>
          <w:rFonts w:hint="eastAsia"/>
        </w:rPr>
        <w:t>这种欺骗将包括“谎言”——一个虚假但非常迷人的福音；一个新的、另类的宗教。</w:t>
      </w:r>
    </w:p>
    <w:p w14:paraId="2627454F">
      <w:pPr>
        <w:pStyle w:val="9"/>
        <w:spacing w:after="0" w:line="249" w:lineRule="auto"/>
        <w:rPr>
          <w:rFonts w:hint="eastAsia"/>
        </w:rPr>
      </w:pPr>
    </w:p>
    <w:p w14:paraId="24EA1778">
      <w:pPr>
        <w:pStyle w:val="9"/>
        <w:spacing w:after="0" w:line="249" w:lineRule="auto"/>
        <w:rPr>
          <w:rFonts w:hint="eastAsia"/>
        </w:rPr>
      </w:pPr>
      <w:r>
        <w:rPr>
          <w:rFonts w:hint="eastAsia"/>
        </w:rPr>
        <w:t>It will work.</w:t>
      </w:r>
    </w:p>
    <w:p w14:paraId="0FB6106F">
      <w:pPr>
        <w:pStyle w:val="9"/>
        <w:spacing w:after="0" w:line="249" w:lineRule="auto"/>
        <w:rPr>
          <w:rFonts w:hint="eastAsia"/>
        </w:rPr>
      </w:pPr>
      <w:r>
        <w:rPr>
          <w:rFonts w:hint="eastAsia"/>
        </w:rPr>
        <w:t>它会奏效。</w:t>
      </w:r>
    </w:p>
    <w:p w14:paraId="2D73917F">
      <w:pPr>
        <w:pStyle w:val="9"/>
        <w:spacing w:after="0" w:line="249" w:lineRule="auto"/>
        <w:rPr>
          <w:rFonts w:hint="eastAsia"/>
        </w:rPr>
      </w:pPr>
    </w:p>
    <w:p w14:paraId="5658B788">
      <w:pPr>
        <w:pStyle w:val="9"/>
        <w:spacing w:after="0" w:line="249" w:lineRule="auto"/>
        <w:rPr>
          <w:rFonts w:hint="eastAsia"/>
        </w:rPr>
      </w:pPr>
      <w:r>
        <w:rPr>
          <w:rFonts w:hint="eastAsia"/>
        </w:rPr>
        <w:t>Multitudes who did not receive the love of the true Gospel will believe the false gospel of the Antichrist, and so perish (v. 11; Rev. 13:3).</w:t>
      </w:r>
    </w:p>
    <w:p w14:paraId="6DC55881">
      <w:pPr>
        <w:pStyle w:val="9"/>
        <w:spacing w:after="0" w:line="249" w:lineRule="auto"/>
        <w:rPr>
          <w:rFonts w:hint="eastAsia"/>
        </w:rPr>
      </w:pPr>
      <w:r>
        <w:rPr>
          <w:rFonts w:hint="eastAsia"/>
        </w:rPr>
        <w:t>许多没有领受真福音之爱的人将相信敌基督的假福音，从而灭亡（第11节；启13:3）。</w:t>
      </w:r>
    </w:p>
    <w:p w14:paraId="19B3F4A2">
      <w:pPr>
        <w:pStyle w:val="9"/>
        <w:spacing w:after="0" w:line="249" w:lineRule="auto"/>
        <w:rPr>
          <w:rFonts w:hint="eastAsia"/>
        </w:rPr>
      </w:pPr>
    </w:p>
    <w:p w14:paraId="5B522FA1">
      <w:pPr>
        <w:pStyle w:val="9"/>
        <w:spacing w:after="0" w:line="249" w:lineRule="auto"/>
        <w:rPr>
          <w:rFonts w:hint="eastAsia"/>
        </w:rPr>
      </w:pPr>
      <w:r>
        <w:rPr>
          <w:rFonts w:hint="eastAsia"/>
        </w:rPr>
        <w:t>Because the Antichrist will gain such a large following, and because it will be helpful for the saints to understand why, Paul is moved to explain.</w:t>
      </w:r>
    </w:p>
    <w:p w14:paraId="248EF97C">
      <w:pPr>
        <w:pStyle w:val="9"/>
        <w:spacing w:after="0" w:line="249" w:lineRule="auto"/>
        <w:rPr>
          <w:rFonts w:hint="eastAsia"/>
        </w:rPr>
      </w:pPr>
      <w:r>
        <w:rPr>
          <w:rFonts w:hint="eastAsia"/>
        </w:rPr>
        <w:t>因为敌基督将获得如此众多的追随者，并且这对圣徒理解原因将有所帮助，保罗便被感动来解释。</w:t>
      </w:r>
    </w:p>
    <w:p w14:paraId="2CB84D46">
      <w:pPr>
        <w:pStyle w:val="9"/>
        <w:spacing w:after="0" w:line="249" w:lineRule="auto"/>
        <w:rPr>
          <w:rFonts w:hint="eastAsia"/>
        </w:rPr>
      </w:pPr>
    </w:p>
    <w:p w14:paraId="70EFFF0F">
      <w:pPr>
        <w:pStyle w:val="9"/>
        <w:spacing w:after="0" w:line="249" w:lineRule="auto"/>
        <w:rPr>
          <w:rFonts w:hint="eastAsia"/>
        </w:rPr>
      </w:pPr>
      <w:r>
        <w:rPr>
          <w:rFonts w:hint="eastAsia"/>
        </w:rPr>
        <w:t>He does so in verses 11-13.</w:t>
      </w:r>
    </w:p>
    <w:p w14:paraId="1E451226">
      <w:pPr>
        <w:pStyle w:val="9"/>
        <w:spacing w:after="0" w:line="249" w:lineRule="auto"/>
        <w:rPr>
          <w:rFonts w:hint="eastAsia"/>
        </w:rPr>
      </w:pPr>
      <w:r>
        <w:rPr>
          <w:rFonts w:hint="eastAsia"/>
        </w:rPr>
        <w:t>祂在第11-13节中这样做了。</w:t>
      </w:r>
    </w:p>
    <w:p w14:paraId="3643DBB3">
      <w:pPr>
        <w:pStyle w:val="9"/>
        <w:spacing w:after="0" w:line="249" w:lineRule="auto"/>
        <w:rPr>
          <w:rFonts w:hint="eastAsia"/>
        </w:rPr>
      </w:pPr>
    </w:p>
    <w:p w14:paraId="03E5A7A8">
      <w:pPr>
        <w:pStyle w:val="9"/>
        <w:spacing w:after="0" w:line="249" w:lineRule="auto"/>
        <w:rPr>
          <w:rFonts w:hint="eastAsia"/>
        </w:rPr>
      </w:pPr>
      <w:r>
        <w:rPr>
          <w:rFonts w:hint="eastAsia"/>
        </w:rPr>
        <w:t>He has just said that the Man of Lawlessness will be able to deceive multitudes because, prior to his (the Antichrist’s) coming, “they did not receive the love of the truth.”</w:t>
      </w:r>
    </w:p>
    <w:p w14:paraId="410BE0CE">
      <w:pPr>
        <w:pStyle w:val="9"/>
        <w:spacing w:after="0" w:line="249" w:lineRule="auto"/>
        <w:rPr>
          <w:rFonts w:hint="eastAsia"/>
        </w:rPr>
      </w:pPr>
      <w:r>
        <w:rPr>
          <w:rFonts w:hint="eastAsia"/>
        </w:rPr>
        <w:t>祂刚说过，那不法之人之所以能迷惑许多人，是因为在他（敌基督）来临之前，“他们不领受爱真理的心”。</w:t>
      </w:r>
    </w:p>
    <w:p w14:paraId="1B9CCA71">
      <w:pPr>
        <w:pStyle w:val="9"/>
        <w:spacing w:after="0" w:line="249" w:lineRule="auto"/>
        <w:rPr>
          <w:rFonts w:hint="eastAsia"/>
        </w:rPr>
      </w:pPr>
    </w:p>
    <w:p w14:paraId="255AFDE7">
      <w:pPr>
        <w:pStyle w:val="9"/>
        <w:spacing w:after="0" w:line="249" w:lineRule="auto"/>
        <w:rPr>
          <w:rFonts w:hint="eastAsia"/>
        </w:rPr>
      </w:pPr>
      <w:r>
        <w:rPr>
          <w:rFonts w:hint="eastAsia"/>
        </w:rPr>
        <w:t>The Greek word used here is dechomai, which can mean to receive or to welcome.</w:t>
      </w:r>
    </w:p>
    <w:p w14:paraId="55B8D113">
      <w:pPr>
        <w:pStyle w:val="9"/>
        <w:spacing w:after="0" w:line="249" w:lineRule="auto"/>
        <w:rPr>
          <w:rFonts w:hint="eastAsia"/>
        </w:rPr>
      </w:pPr>
      <w:r>
        <w:rPr>
          <w:rFonts w:hint="eastAsia"/>
        </w:rPr>
        <w:t>这里使用的希腊词是dechomai，可以表示接受或欢迎。</w:t>
      </w:r>
    </w:p>
    <w:p w14:paraId="7DA6E1BF">
      <w:pPr>
        <w:pStyle w:val="9"/>
        <w:spacing w:after="0" w:line="249" w:lineRule="auto"/>
        <w:rPr>
          <w:rFonts w:hint="eastAsia"/>
        </w:rPr>
      </w:pPr>
    </w:p>
    <w:p w14:paraId="696DB543">
      <w:pPr>
        <w:pStyle w:val="9"/>
        <w:spacing w:after="0" w:line="249" w:lineRule="auto"/>
        <w:rPr>
          <w:rFonts w:hint="eastAsia"/>
        </w:rPr>
      </w:pPr>
      <w:r>
        <w:rPr>
          <w:rFonts w:hint="eastAsia"/>
        </w:rPr>
        <w:t>Both meanings are applicable.</w:t>
      </w:r>
    </w:p>
    <w:p w14:paraId="1B0E5335">
      <w:pPr>
        <w:pStyle w:val="9"/>
        <w:spacing w:after="0" w:line="249" w:lineRule="auto"/>
        <w:rPr>
          <w:rFonts w:hint="eastAsia"/>
        </w:rPr>
      </w:pPr>
      <w:r>
        <w:rPr>
          <w:rFonts w:hint="eastAsia"/>
        </w:rPr>
        <w:t>两种意思都适用。</w:t>
      </w:r>
    </w:p>
    <w:p w14:paraId="50852F9E">
      <w:pPr>
        <w:pStyle w:val="9"/>
        <w:spacing w:after="0" w:line="249" w:lineRule="auto"/>
        <w:rPr>
          <w:rFonts w:hint="eastAsia"/>
        </w:rPr>
      </w:pPr>
    </w:p>
    <w:p w14:paraId="4FA659B5">
      <w:pPr>
        <w:pStyle w:val="9"/>
        <w:spacing w:after="0" w:line="249" w:lineRule="auto"/>
        <w:rPr>
          <w:rFonts w:hint="eastAsia"/>
        </w:rPr>
      </w:pPr>
      <w:r>
        <w:rPr>
          <w:rFonts w:hint="eastAsia"/>
        </w:rPr>
        <w:t>On the one hand, multitudes will believe the false gospel of the Antichrist because the sovereign God will not bestow upon them his gracious gift of the love of the truth (Mt. 13:10-17, John 3:20-21, 8:43-45, Rom. 9:14-26).</w:t>
      </w:r>
    </w:p>
    <w:p w14:paraId="25D68DE9">
      <w:pPr>
        <w:pStyle w:val="9"/>
        <w:spacing w:after="0" w:line="249" w:lineRule="auto"/>
        <w:rPr>
          <w:rFonts w:hint="eastAsia"/>
        </w:rPr>
      </w:pPr>
      <w:r>
        <w:rPr>
          <w:rFonts w:hint="eastAsia"/>
        </w:rPr>
        <w:t>一方面，许多人会相信敌基督的假福音，因为主宰的上帝不会将祂那爱真理的恩赐赐给他们（太13:10-17，约3:20-21, 8:43-45，罗9:14-26）。</w:t>
      </w:r>
    </w:p>
    <w:p w14:paraId="2BAACAB3">
      <w:pPr>
        <w:pStyle w:val="9"/>
        <w:spacing w:after="0" w:line="249" w:lineRule="auto"/>
        <w:rPr>
          <w:rFonts w:hint="eastAsia"/>
        </w:rPr>
      </w:pPr>
    </w:p>
    <w:p w14:paraId="059C7F36">
      <w:pPr>
        <w:pStyle w:val="9"/>
        <w:spacing w:after="0" w:line="249" w:lineRule="auto"/>
        <w:rPr>
          <w:rFonts w:hint="eastAsia"/>
        </w:rPr>
      </w:pPr>
      <w:r>
        <w:rPr>
          <w:rFonts w:hint="eastAsia"/>
        </w:rPr>
        <w:t>And yet they will still be culpable, for when God does offer them the truth, they themselves, preferring to live in their sin, will not welcome it (John 3:17f, Acts 13:46).</w:t>
      </w:r>
    </w:p>
    <w:p w14:paraId="4D89CDC7">
      <w:pPr>
        <w:pStyle w:val="9"/>
        <w:spacing w:after="0" w:line="249" w:lineRule="auto"/>
        <w:rPr>
          <w:rFonts w:hint="eastAsia"/>
        </w:rPr>
      </w:pPr>
      <w:r>
        <w:rPr>
          <w:rFonts w:hint="eastAsia"/>
        </w:rPr>
        <w:t>然而他们仍将是有罪的，因为当上帝确实向他们提供真理时，他们自己，宁愿活在罪中，也不会欢迎它（约翰福音3:17及以下，使徒行传13:46）。</w:t>
      </w:r>
    </w:p>
    <w:p w14:paraId="664C88FA">
      <w:pPr>
        <w:pStyle w:val="9"/>
        <w:spacing w:after="0" w:line="249" w:lineRule="auto"/>
        <w:rPr>
          <w:rFonts w:hint="eastAsia"/>
        </w:rPr>
      </w:pPr>
    </w:p>
    <w:p w14:paraId="4DFB8017">
      <w:pPr>
        <w:pStyle w:val="9"/>
        <w:spacing w:after="0" w:line="249" w:lineRule="auto"/>
        <w:rPr>
          <w:rFonts w:hint="eastAsia"/>
        </w:rPr>
      </w:pPr>
      <w:r>
        <w:rPr>
          <w:rFonts w:hint="eastAsia"/>
        </w:rPr>
        <w:t>For this reason, according to verses 11-12, God will justly judge them, sending upon them a deluding influence, so that they who took pleasure in wickedness may now believe “the lie”— and perish.</w:t>
      </w:r>
    </w:p>
    <w:p w14:paraId="7A0F5A01">
      <w:pPr>
        <w:pStyle w:val="9"/>
        <w:spacing w:after="0" w:line="249" w:lineRule="auto"/>
        <w:rPr>
          <w:rFonts w:hint="eastAsia"/>
        </w:rPr>
      </w:pPr>
      <w:r>
        <w:rPr>
          <w:rFonts w:hint="eastAsia"/>
        </w:rPr>
        <w:t>因此，根据第11-12节，上帝将公义地审判他们，差遣一个使人迷惑的影响临到他们，好叫那些喜爱不义的人现在相信“谎言”——并灭亡。</w:t>
      </w:r>
    </w:p>
    <w:p w14:paraId="75FBD8C3">
      <w:pPr>
        <w:pStyle w:val="9"/>
        <w:spacing w:after="0" w:line="249" w:lineRule="auto"/>
        <w:rPr>
          <w:rFonts w:hint="eastAsia"/>
        </w:rPr>
      </w:pPr>
    </w:p>
    <w:p w14:paraId="3DBCC3D1">
      <w:pPr>
        <w:pStyle w:val="9"/>
        <w:spacing w:after="0" w:line="249" w:lineRule="auto"/>
        <w:rPr>
          <w:rFonts w:hint="eastAsia"/>
        </w:rPr>
      </w:pPr>
      <w:r>
        <w:rPr>
          <w:rFonts w:hint="eastAsia"/>
        </w:rPr>
        <w:t>This note of sovereign grace—quietly running through verses 10-12—is loudly struck in verse 13, where Paul concludes by giving thanks to the God who has so graciously chosen a beloved people for salvation, through sanctification by the Spirit and faith in (and love of) the truth.</w:t>
      </w:r>
    </w:p>
    <w:p w14:paraId="6A107899">
      <w:pPr>
        <w:pStyle w:val="9"/>
        <w:spacing w:after="0" w:line="249" w:lineRule="auto"/>
        <w:rPr>
          <w:rFonts w:hint="eastAsia"/>
        </w:rPr>
      </w:pPr>
      <w:r>
        <w:rPr>
          <w:rFonts w:hint="eastAsia"/>
        </w:rPr>
        <w:t>这主权恩典的音符——在第10-12节中悄然流淌——在第13节中被响亮地奏响，保罗在那里以感谢那位如此恩慈地拣选了一群蒙爱的子民得救的上帝来结束，这救恩是通过圣灵的成圣和对真理的信心（和爱）。</w:t>
      </w:r>
    </w:p>
    <w:p w14:paraId="702C2174">
      <w:pPr>
        <w:pStyle w:val="9"/>
        <w:spacing w:after="0" w:line="249" w:lineRule="auto"/>
        <w:rPr>
          <w:rFonts w:hint="eastAsia"/>
        </w:rPr>
      </w:pPr>
    </w:p>
    <w:p w14:paraId="1AEA2734">
      <w:pPr>
        <w:pStyle w:val="9"/>
        <w:spacing w:after="0" w:line="249" w:lineRule="auto"/>
        <w:rPr>
          <w:rFonts w:hint="eastAsia"/>
        </w:rPr>
      </w:pPr>
      <w:r>
        <w:rPr>
          <w:rFonts w:hint="eastAsia"/>
        </w:rPr>
        <w:t>Conclusion</w:t>
      </w:r>
    </w:p>
    <w:p w14:paraId="79078A91">
      <w:pPr>
        <w:pStyle w:val="9"/>
        <w:spacing w:after="0" w:line="249" w:lineRule="auto"/>
        <w:rPr>
          <w:rFonts w:hint="eastAsia"/>
        </w:rPr>
      </w:pPr>
      <w:r>
        <w:rPr>
          <w:rFonts w:hint="eastAsia"/>
        </w:rPr>
        <w:t>结论</w:t>
      </w:r>
    </w:p>
    <w:p w14:paraId="4DC8E97A">
      <w:pPr>
        <w:pStyle w:val="9"/>
        <w:spacing w:after="0" w:line="249" w:lineRule="auto"/>
        <w:rPr>
          <w:rFonts w:hint="eastAsia"/>
        </w:rPr>
      </w:pPr>
    </w:p>
    <w:p w14:paraId="24309CEA">
      <w:pPr>
        <w:pStyle w:val="9"/>
        <w:spacing w:after="0" w:line="249" w:lineRule="auto"/>
        <w:rPr>
          <w:rFonts w:hint="eastAsia"/>
        </w:rPr>
      </w:pPr>
      <w:r>
        <w:rPr>
          <w:rFonts w:hint="eastAsia"/>
        </w:rPr>
        <w:t>Reading this challenging text, Christ’s Church is to understand, fear, and rejoice.</w:t>
      </w:r>
    </w:p>
    <w:p w14:paraId="5820246F">
      <w:pPr>
        <w:pStyle w:val="9"/>
        <w:spacing w:after="0" w:line="249" w:lineRule="auto"/>
        <w:rPr>
          <w:rFonts w:hint="eastAsia"/>
        </w:rPr>
      </w:pPr>
      <w:r>
        <w:rPr>
          <w:rFonts w:hint="eastAsia"/>
        </w:rPr>
        <w:t>读着这段富有挑战性的经文，基督的教会要明白、敬畏和欢喜。</w:t>
      </w:r>
    </w:p>
    <w:p w14:paraId="6FEAB746">
      <w:pPr>
        <w:pStyle w:val="9"/>
        <w:spacing w:after="0" w:line="249" w:lineRule="auto"/>
        <w:rPr>
          <w:rFonts w:hint="eastAsia"/>
        </w:rPr>
      </w:pPr>
    </w:p>
    <w:p w14:paraId="127B4F8D">
      <w:pPr>
        <w:pStyle w:val="9"/>
        <w:spacing w:after="0" w:line="249" w:lineRule="auto"/>
        <w:rPr>
          <w:rFonts w:hint="eastAsia"/>
        </w:rPr>
      </w:pPr>
      <w:r>
        <w:rPr>
          <w:rFonts w:hint="eastAsia"/>
        </w:rPr>
        <w:t>One day, Satan will unveil his man.</w:t>
      </w:r>
    </w:p>
    <w:p w14:paraId="628B2A22">
      <w:pPr>
        <w:pStyle w:val="9"/>
        <w:spacing w:after="0" w:line="249" w:lineRule="auto"/>
        <w:rPr>
          <w:rFonts w:hint="eastAsia"/>
        </w:rPr>
      </w:pPr>
      <w:r>
        <w:rPr>
          <w:rFonts w:hint="eastAsia"/>
        </w:rPr>
        <w:t>有一天，撒但将揭开祂的人的面纱。</w:t>
      </w:r>
    </w:p>
    <w:p w14:paraId="41C76BB5">
      <w:pPr>
        <w:pStyle w:val="9"/>
        <w:spacing w:after="0" w:line="249" w:lineRule="auto"/>
        <w:rPr>
          <w:rFonts w:hint="eastAsia"/>
        </w:rPr>
      </w:pPr>
    </w:p>
    <w:p w14:paraId="49A9EB4C">
      <w:pPr>
        <w:pStyle w:val="9"/>
        <w:spacing w:after="0" w:line="249" w:lineRule="auto"/>
        <w:rPr>
          <w:rFonts w:hint="eastAsia"/>
        </w:rPr>
      </w:pPr>
      <w:r>
        <w:rPr>
          <w:rFonts w:hint="eastAsia"/>
        </w:rPr>
        <w:t>When he does, few on earth will be able to discern or resist him, seeing that this person and his work will hew so closely to the Person and Work of Christ.</w:t>
      </w:r>
    </w:p>
    <w:p w14:paraId="3840FD34">
      <w:pPr>
        <w:pStyle w:val="9"/>
        <w:spacing w:after="0" w:line="249" w:lineRule="auto"/>
        <w:rPr>
          <w:rFonts w:hint="eastAsia"/>
        </w:rPr>
      </w:pPr>
      <w:r>
        <w:rPr>
          <w:rFonts w:hint="eastAsia"/>
        </w:rPr>
        <w:t>当他这样做时，地上很少有人能够辨别或抵挡他，因为这个人和他的工作将如此紧密地模仿基督的位格与工作。</w:t>
      </w:r>
    </w:p>
    <w:p w14:paraId="59D69ABA">
      <w:pPr>
        <w:pStyle w:val="9"/>
        <w:spacing w:after="0" w:line="249" w:lineRule="auto"/>
        <w:rPr>
          <w:rFonts w:hint="eastAsia"/>
        </w:rPr>
      </w:pPr>
    </w:p>
    <w:p w14:paraId="5C7042F1">
      <w:pPr>
        <w:pStyle w:val="9"/>
        <w:spacing w:after="0" w:line="249" w:lineRule="auto"/>
        <w:rPr>
          <w:rFonts w:hint="eastAsia"/>
        </w:rPr>
      </w:pPr>
      <w:r>
        <w:rPr>
          <w:rFonts w:hint="eastAsia"/>
        </w:rPr>
        <w:t>Like Christ, the Antichrist will have a coming and a revelation.</w:t>
      </w:r>
    </w:p>
    <w:p w14:paraId="717A1A77">
      <w:pPr>
        <w:pStyle w:val="9"/>
        <w:spacing w:after="0" w:line="249" w:lineRule="auto"/>
        <w:rPr>
          <w:rFonts w:hint="eastAsia"/>
        </w:rPr>
      </w:pPr>
      <w:r>
        <w:rPr>
          <w:rFonts w:hint="eastAsia"/>
        </w:rPr>
        <w:t>像基督一样，敌基督也将有一次降临和一次显现。</w:t>
      </w:r>
    </w:p>
    <w:p w14:paraId="401770DF">
      <w:pPr>
        <w:pStyle w:val="9"/>
        <w:spacing w:after="0" w:line="249" w:lineRule="auto"/>
        <w:rPr>
          <w:rFonts w:hint="eastAsia"/>
        </w:rPr>
      </w:pPr>
    </w:p>
    <w:p w14:paraId="2BF39ADB">
      <w:pPr>
        <w:pStyle w:val="9"/>
        <w:spacing w:after="0" w:line="249" w:lineRule="auto"/>
        <w:rPr>
          <w:rFonts w:hint="eastAsia"/>
        </w:rPr>
      </w:pPr>
      <w:r>
        <w:rPr>
          <w:rFonts w:hint="eastAsia"/>
        </w:rPr>
        <w:t>Like Christ, he will have a spiritual father who leads and empowers him.</w:t>
      </w:r>
    </w:p>
    <w:p w14:paraId="54D8D648">
      <w:pPr>
        <w:pStyle w:val="9"/>
        <w:spacing w:after="0" w:line="249" w:lineRule="auto"/>
        <w:rPr>
          <w:rFonts w:hint="eastAsia"/>
        </w:rPr>
      </w:pPr>
      <w:r>
        <w:rPr>
          <w:rFonts w:hint="eastAsia"/>
        </w:rPr>
        <w:t>像基督一样，祂将有一个属灵的父来引导和赋予祂能力。</w:t>
      </w:r>
    </w:p>
    <w:p w14:paraId="7543CB7C">
      <w:pPr>
        <w:pStyle w:val="9"/>
        <w:spacing w:after="0" w:line="249" w:lineRule="auto"/>
        <w:rPr>
          <w:rFonts w:hint="eastAsia"/>
        </w:rPr>
      </w:pPr>
    </w:p>
    <w:p w14:paraId="451DEBC2">
      <w:pPr>
        <w:pStyle w:val="9"/>
        <w:spacing w:after="0" w:line="249" w:lineRule="auto"/>
        <w:rPr>
          <w:rFonts w:hint="eastAsia"/>
        </w:rPr>
      </w:pPr>
      <w:r>
        <w:rPr>
          <w:rFonts w:hint="eastAsia"/>
        </w:rPr>
        <w:t>Like Christ, he will perform supernatural signs and wonders.</w:t>
      </w:r>
    </w:p>
    <w:p w14:paraId="3D5336E8">
      <w:pPr>
        <w:pStyle w:val="9"/>
        <w:spacing w:after="0" w:line="249" w:lineRule="auto"/>
        <w:rPr>
          <w:rFonts w:hint="eastAsia"/>
        </w:rPr>
      </w:pPr>
      <w:r>
        <w:rPr>
          <w:rFonts w:hint="eastAsia"/>
        </w:rPr>
        <w:t>像基督一样，他将行超自然的神迹奇事。</w:t>
      </w:r>
    </w:p>
    <w:p w14:paraId="296B9551">
      <w:pPr>
        <w:pStyle w:val="9"/>
        <w:spacing w:after="0" w:line="249" w:lineRule="auto"/>
        <w:rPr>
          <w:rFonts w:hint="eastAsia"/>
        </w:rPr>
      </w:pPr>
    </w:p>
    <w:p w14:paraId="54DDA6AF">
      <w:pPr>
        <w:pStyle w:val="9"/>
        <w:spacing w:after="0" w:line="249" w:lineRule="auto"/>
        <w:rPr>
          <w:rFonts w:hint="eastAsia"/>
        </w:rPr>
      </w:pPr>
      <w:r>
        <w:rPr>
          <w:rFonts w:hint="eastAsia"/>
        </w:rPr>
        <w:t>Like Christ, he will proclaim a gospel of salvation.</w:t>
      </w:r>
    </w:p>
    <w:p w14:paraId="36521E1C">
      <w:pPr>
        <w:pStyle w:val="9"/>
        <w:spacing w:after="0" w:line="249" w:lineRule="auto"/>
        <w:rPr>
          <w:rFonts w:hint="eastAsia"/>
        </w:rPr>
      </w:pPr>
      <w:r>
        <w:rPr>
          <w:rFonts w:hint="eastAsia"/>
        </w:rPr>
        <w:t>像基督一样，祂将宣讲一个救恩的福音。</w:t>
      </w:r>
    </w:p>
    <w:p w14:paraId="432E3979">
      <w:pPr>
        <w:pStyle w:val="9"/>
        <w:spacing w:after="0" w:line="249" w:lineRule="auto"/>
        <w:rPr>
          <w:rFonts w:hint="eastAsia"/>
        </w:rPr>
      </w:pPr>
    </w:p>
    <w:p w14:paraId="51CF87C2">
      <w:pPr>
        <w:pStyle w:val="9"/>
        <w:spacing w:after="0" w:line="249" w:lineRule="auto"/>
        <w:rPr>
          <w:rFonts w:hint="eastAsia"/>
        </w:rPr>
      </w:pPr>
      <w:r>
        <w:rPr>
          <w:rFonts w:hint="eastAsia"/>
        </w:rPr>
        <w:t>Like Christ, he will have a flock and a kingdom—and in that day, both will seem larger and more powerful than those of the Good Shepherd.</w:t>
      </w:r>
    </w:p>
    <w:p w14:paraId="2E977FB7">
      <w:pPr>
        <w:pStyle w:val="9"/>
        <w:spacing w:after="0" w:line="249" w:lineRule="auto"/>
        <w:rPr>
          <w:rFonts w:hint="eastAsia"/>
        </w:rPr>
      </w:pPr>
      <w:r>
        <w:rPr>
          <w:rFonts w:hint="eastAsia"/>
        </w:rPr>
        <w:t>像基督一样，祂将有一个羊群和一个国度——在那日，两者都将显得比那位好牧人的更大、更有能力。</w:t>
      </w:r>
    </w:p>
    <w:p w14:paraId="3EE7B6F8">
      <w:pPr>
        <w:pStyle w:val="9"/>
        <w:spacing w:after="0" w:line="249" w:lineRule="auto"/>
        <w:rPr>
          <w:rFonts w:hint="eastAsia"/>
        </w:rPr>
      </w:pPr>
    </w:p>
    <w:p w14:paraId="1CFEBE89">
      <w:pPr>
        <w:pStyle w:val="9"/>
        <w:spacing w:after="0" w:line="249" w:lineRule="auto"/>
        <w:rPr>
          <w:rFonts w:hint="eastAsia"/>
        </w:rPr>
      </w:pPr>
      <w:r>
        <w:rPr>
          <w:rFonts w:hint="eastAsia"/>
        </w:rPr>
        <w:t>Therefore, at that time it will be just as the Master said: “False Christs and false prophets will arise and will show great signs and wonders, so as to mislead, if it were possible, even the elect” (Mt. 24:24).</w:t>
      </w:r>
    </w:p>
    <w:p w14:paraId="2FA695BC">
      <w:pPr>
        <w:pStyle w:val="9"/>
        <w:spacing w:after="0" w:line="249" w:lineRule="auto"/>
        <w:rPr>
          <w:rFonts w:hint="eastAsia"/>
        </w:rPr>
      </w:pPr>
      <w:r>
        <w:rPr>
          <w:rFonts w:hint="eastAsia"/>
        </w:rPr>
        <w:t>因此，到那时，将正如主所说的：“假基督、假先知将要起来，显大神迹、大奇事，倘若能行，连选民也就迷惑了”（太24:24）。</w:t>
      </w:r>
    </w:p>
    <w:p w14:paraId="53B3FE23">
      <w:pPr>
        <w:pStyle w:val="9"/>
        <w:spacing w:after="0" w:line="249" w:lineRule="auto"/>
        <w:rPr>
          <w:rFonts w:hint="eastAsia"/>
        </w:rPr>
      </w:pPr>
    </w:p>
    <w:p w14:paraId="24058380">
      <w:pPr>
        <w:pStyle w:val="9"/>
        <w:spacing w:after="0" w:line="249" w:lineRule="auto"/>
        <w:rPr>
          <w:rFonts w:hint="eastAsia"/>
        </w:rPr>
      </w:pPr>
      <w:r>
        <w:rPr>
          <w:rFonts w:hint="eastAsia"/>
        </w:rPr>
        <w:t>Therefore, let the elect always give thanks to the loving and sovereign God who has purposed to keep them from such powerful deception.</w:t>
      </w:r>
    </w:p>
    <w:p w14:paraId="3BBC5FDB">
      <w:pPr>
        <w:pStyle w:val="9"/>
        <w:spacing w:after="0" w:line="249" w:lineRule="auto"/>
        <w:rPr>
          <w:rFonts w:hint="eastAsia"/>
        </w:rPr>
      </w:pPr>
      <w:r>
        <w:rPr>
          <w:rFonts w:hint="eastAsia"/>
        </w:rPr>
        <w:t>因此，愿选民永远感谢那慈爱和主宰的上帝，祂已定意保守他们脱离如此强大的欺骗。</w:t>
      </w:r>
    </w:p>
    <w:p w14:paraId="490CD6D8">
      <w:pPr>
        <w:pStyle w:val="9"/>
        <w:spacing w:after="0" w:line="249" w:lineRule="auto"/>
        <w:rPr>
          <w:rFonts w:hint="eastAsia"/>
        </w:rPr>
      </w:pPr>
    </w:p>
    <w:p w14:paraId="2A11F175">
      <w:pPr>
        <w:pStyle w:val="9"/>
        <w:spacing w:after="0" w:line="249" w:lineRule="auto"/>
        <w:rPr>
          <w:rFonts w:hint="eastAsia"/>
        </w:rPr>
      </w:pPr>
      <w:r>
        <w:rPr>
          <w:rFonts w:hint="eastAsia"/>
        </w:rPr>
        <w:t>But let them also see to it that now, as then, they remain ever vigilant to receive and welcome the love of the truth (2 Thess. 2:9, 13).</w:t>
      </w:r>
    </w:p>
    <w:p w14:paraId="10459A44">
      <w:pPr>
        <w:pStyle w:val="9"/>
        <w:spacing w:after="0" w:line="249" w:lineRule="auto"/>
        <w:rPr>
          <w:rFonts w:hint="eastAsia"/>
        </w:rPr>
      </w:pPr>
      <w:r>
        <w:rPr>
          <w:rFonts w:hint="eastAsia"/>
        </w:rPr>
        <w:t>但愿他们也务要做到，现在，如同那时一样，他们始终保持警醒，领受并欢迎对真理的爱（帖后2:9, 13）。</w:t>
      </w:r>
    </w:p>
    <w:p w14:paraId="66A36991">
      <w:pPr>
        <w:pStyle w:val="9"/>
        <w:spacing w:after="0" w:line="249" w:lineRule="auto"/>
        <w:rPr>
          <w:rFonts w:hint="eastAsia"/>
        </w:rPr>
      </w:pPr>
    </w:p>
    <w:p w14:paraId="06A466C9">
      <w:pPr>
        <w:pStyle w:val="9"/>
        <w:spacing w:after="0" w:line="249" w:lineRule="auto"/>
        <w:rPr>
          <w:rFonts w:hint="eastAsia"/>
        </w:rPr>
      </w:pPr>
      <w:r>
        <w:rPr>
          <w:rFonts w:hint="eastAsia"/>
        </w:rPr>
        <w:t>3.The End of All Things is at Hand</w:t>
      </w:r>
    </w:p>
    <w:p w14:paraId="71B79086">
      <w:pPr>
        <w:pStyle w:val="9"/>
        <w:spacing w:after="0" w:line="249" w:lineRule="auto"/>
        <w:rPr>
          <w:rFonts w:hint="eastAsia"/>
        </w:rPr>
      </w:pPr>
      <w:r>
        <w:rPr>
          <w:rFonts w:hint="eastAsia"/>
        </w:rPr>
        <w:t>3.万物的结局近了</w:t>
      </w:r>
    </w:p>
    <w:p w14:paraId="1CB161D5">
      <w:pPr>
        <w:pStyle w:val="9"/>
        <w:spacing w:after="0" w:line="249" w:lineRule="auto"/>
        <w:rPr>
          <w:rFonts w:hint="eastAsia"/>
        </w:rPr>
      </w:pPr>
    </w:p>
    <w:p w14:paraId="1FB60E23">
      <w:pPr>
        <w:pStyle w:val="9"/>
        <w:spacing w:after="0" w:line="249" w:lineRule="auto"/>
        <w:rPr>
          <w:rFonts w:hint="eastAsia"/>
        </w:rPr>
      </w:pPr>
      <w:r>
        <w:rPr>
          <w:rFonts w:hint="eastAsia"/>
        </w:rPr>
        <w:t>(1 Peter 4:7-19)</w:t>
      </w:r>
    </w:p>
    <w:p w14:paraId="21A1CB97">
      <w:pPr>
        <w:pStyle w:val="9"/>
        <w:spacing w:after="0" w:line="249" w:lineRule="auto"/>
        <w:rPr>
          <w:rFonts w:hint="eastAsia"/>
        </w:rPr>
      </w:pPr>
      <w:r>
        <w:rPr>
          <w:rFonts w:hint="eastAsia"/>
        </w:rPr>
        <w:t>（彼得前书4:7-19）</w:t>
      </w:r>
    </w:p>
    <w:p w14:paraId="77FD7A22">
      <w:pPr>
        <w:pStyle w:val="9"/>
        <w:spacing w:after="0" w:line="249" w:lineRule="auto"/>
        <w:rPr>
          <w:rFonts w:hint="eastAsia"/>
        </w:rPr>
      </w:pPr>
    </w:p>
    <w:p w14:paraId="38DDDD4F">
      <w:pPr>
        <w:pStyle w:val="9"/>
        <w:spacing w:after="0" w:line="249" w:lineRule="auto"/>
        <w:rPr>
          <w:rFonts w:hint="eastAsia"/>
        </w:rPr>
      </w:pPr>
      <w:r>
        <w:rPr>
          <w:rFonts w:hint="eastAsia"/>
        </w:rPr>
        <w:t>Our final two texts are found in the epistles of Peter.</w:t>
      </w:r>
    </w:p>
    <w:p w14:paraId="54A71CCE">
      <w:pPr>
        <w:pStyle w:val="9"/>
        <w:spacing w:after="0" w:line="249" w:lineRule="auto"/>
        <w:rPr>
          <w:rFonts w:hint="eastAsia"/>
        </w:rPr>
      </w:pPr>
      <w:r>
        <w:rPr>
          <w:rFonts w:hint="eastAsia"/>
        </w:rPr>
        <w:t>我们最后的两段经文见于彼得的书信。</w:t>
      </w:r>
    </w:p>
    <w:p w14:paraId="1AF83D90">
      <w:pPr>
        <w:pStyle w:val="9"/>
        <w:spacing w:after="0" w:line="249" w:lineRule="auto"/>
        <w:rPr>
          <w:rFonts w:hint="eastAsia"/>
        </w:rPr>
      </w:pPr>
    </w:p>
    <w:p w14:paraId="609D276D">
      <w:pPr>
        <w:pStyle w:val="9"/>
        <w:spacing w:after="0" w:line="249" w:lineRule="auto"/>
        <w:rPr>
          <w:rFonts w:hint="eastAsia"/>
        </w:rPr>
      </w:pPr>
      <w:r>
        <w:rPr>
          <w:rFonts w:hint="eastAsia"/>
        </w:rPr>
        <w:t>It is widely believed he wrote them from Rome sometime between AD 60-68, during the reign of that infamous persecutor of the fledgling Church, the emperor Nero.</w:t>
      </w:r>
    </w:p>
    <w:p w14:paraId="3B40744B">
      <w:pPr>
        <w:pStyle w:val="9"/>
        <w:spacing w:after="0" w:line="249" w:lineRule="auto"/>
        <w:rPr>
          <w:rFonts w:hint="eastAsia"/>
        </w:rPr>
      </w:pPr>
      <w:r>
        <w:rPr>
          <w:rFonts w:hint="eastAsia"/>
        </w:rPr>
        <w:t>普遍认为祂是在公元60-68年间，在罗马，在那位迫害初生教会的臭名昭著的皇帝尼禄统治期间写下这些信的。</w:t>
      </w:r>
    </w:p>
    <w:p w14:paraId="45588F8B">
      <w:pPr>
        <w:pStyle w:val="9"/>
        <w:spacing w:after="0" w:line="249" w:lineRule="auto"/>
        <w:rPr>
          <w:rFonts w:hint="eastAsia"/>
        </w:rPr>
      </w:pPr>
    </w:p>
    <w:p w14:paraId="4BACF9C4">
      <w:pPr>
        <w:pStyle w:val="9"/>
        <w:spacing w:after="0" w:line="249" w:lineRule="auto"/>
        <w:rPr>
          <w:rFonts w:hint="eastAsia"/>
        </w:rPr>
      </w:pPr>
      <w:r>
        <w:rPr>
          <w:rFonts w:hint="eastAsia"/>
        </w:rPr>
        <w:t>In his first letter, Peter repeatedly encourages the suffering Church with the hope of eternal glory at the revelation of Christ.</w:t>
      </w:r>
    </w:p>
    <w:p w14:paraId="3F9C43F9">
      <w:pPr>
        <w:pStyle w:val="9"/>
        <w:spacing w:after="0" w:line="249" w:lineRule="auto"/>
        <w:rPr>
          <w:rFonts w:hint="eastAsia"/>
        </w:rPr>
      </w:pPr>
      <w:r>
        <w:rPr>
          <w:rFonts w:hint="eastAsia"/>
        </w:rPr>
        <w:t>在他的第一封信中，彼得一再地用基督显现时永恒荣耀的盼望来鼓励受苦的教会。</w:t>
      </w:r>
    </w:p>
    <w:p w14:paraId="6885E431">
      <w:pPr>
        <w:pStyle w:val="9"/>
        <w:spacing w:after="0" w:line="249" w:lineRule="auto"/>
        <w:rPr>
          <w:rFonts w:hint="eastAsia"/>
        </w:rPr>
      </w:pPr>
    </w:p>
    <w:p w14:paraId="22D5676F">
      <w:pPr>
        <w:pStyle w:val="9"/>
        <w:spacing w:after="0" w:line="249" w:lineRule="auto"/>
        <w:rPr>
          <w:rFonts w:hint="eastAsia"/>
        </w:rPr>
      </w:pPr>
      <w:r>
        <w:rPr>
          <w:rFonts w:hint="eastAsia"/>
        </w:rPr>
        <w:t>From this, it is evident that he (circumspectly) looked for the Lord’s return in his own lifetime.</w:t>
      </w:r>
    </w:p>
    <w:p w14:paraId="74D11B23">
      <w:pPr>
        <w:pStyle w:val="9"/>
        <w:spacing w:after="0" w:line="249" w:lineRule="auto"/>
        <w:rPr>
          <w:rFonts w:hint="eastAsia"/>
        </w:rPr>
      </w:pPr>
      <w:r>
        <w:rPr>
          <w:rFonts w:hint="eastAsia"/>
        </w:rPr>
        <w:t>由此可见，祂（谨慎地）盼望主在祂有生之年再来。</w:t>
      </w:r>
    </w:p>
    <w:p w14:paraId="0836957D">
      <w:pPr>
        <w:pStyle w:val="9"/>
        <w:spacing w:after="0" w:line="249" w:lineRule="auto"/>
        <w:rPr>
          <w:rFonts w:hint="eastAsia"/>
        </w:rPr>
      </w:pPr>
    </w:p>
    <w:p w14:paraId="1D27E529">
      <w:pPr>
        <w:pStyle w:val="9"/>
        <w:spacing w:after="0" w:line="249" w:lineRule="auto"/>
        <w:rPr>
          <w:rFonts w:hint="eastAsia"/>
        </w:rPr>
      </w:pPr>
      <w:r>
        <w:rPr>
          <w:rFonts w:hint="eastAsia"/>
        </w:rPr>
        <w:t>However, by the time of his second letter, the apostle has realized that soon he will be martyred (2 Peter 1:12-14, John 21:18), and that the Lord may yet tarry a great while (2 Peter 3:8-9).</w:t>
      </w:r>
    </w:p>
    <w:p w14:paraId="76C5E98E">
      <w:pPr>
        <w:pStyle w:val="9"/>
        <w:spacing w:after="0" w:line="249" w:lineRule="auto"/>
        <w:rPr>
          <w:rFonts w:hint="eastAsia"/>
        </w:rPr>
      </w:pPr>
      <w:r>
        <w:rPr>
          <w:rFonts w:hint="eastAsia"/>
        </w:rPr>
        <w:t>然而，到了祂写第二封信时，使徒已意识到祂快要殉道（彼得后书1:12-14，约翰福音21:18），并且主可能还会耽延很久（彼得后书3:8-9）。</w:t>
      </w:r>
    </w:p>
    <w:p w14:paraId="347720D9">
      <w:pPr>
        <w:pStyle w:val="9"/>
        <w:spacing w:after="0" w:line="249" w:lineRule="auto"/>
        <w:rPr>
          <w:rFonts w:hint="eastAsia"/>
        </w:rPr>
      </w:pPr>
    </w:p>
    <w:p w14:paraId="6003092C">
      <w:pPr>
        <w:pStyle w:val="9"/>
        <w:spacing w:after="0" w:line="249" w:lineRule="auto"/>
        <w:rPr>
          <w:rFonts w:hint="eastAsia"/>
        </w:rPr>
      </w:pPr>
      <w:r>
        <w:rPr>
          <w:rFonts w:hint="eastAsia"/>
        </w:rPr>
        <w:t>Accordingly, he is now at pains to leave behind a body of written instruction and exhortation; instruction that will include, not least of all, important information about the Consummation, so that Christ’s pilgrim Church may always be able to keep her Blessed Hope before her eyes, and so walk in strength and purity, pleasing to the Lord (2 Peter 1:15, 3:1-18).</w:t>
      </w:r>
    </w:p>
    <w:p w14:paraId="5E5CE4E7">
      <w:pPr>
        <w:pStyle w:val="9"/>
        <w:spacing w:after="0" w:line="249" w:lineRule="auto"/>
        <w:rPr>
          <w:rFonts w:hint="eastAsia"/>
        </w:rPr>
      </w:pPr>
      <w:r>
        <w:rPr>
          <w:rFonts w:hint="eastAsia"/>
        </w:rPr>
        <w:t>因此，祂现在不辞辛劳地留下一套书面的教导和劝勉；这些教导将包括，尤其重要的是，关于最终成全的重要信息，好叫基督的朝圣教会能始终将她有福的盼望摆在眼前，从而在力量和纯洁中行走，讨主喜悦（彼得后书1:15, 3:1-18）。</w:t>
      </w:r>
    </w:p>
    <w:p w14:paraId="4B16B0EE">
      <w:pPr>
        <w:pStyle w:val="9"/>
        <w:spacing w:after="0" w:line="249" w:lineRule="auto"/>
        <w:rPr>
          <w:rFonts w:hint="eastAsia"/>
        </w:rPr>
      </w:pPr>
    </w:p>
    <w:p w14:paraId="589181BC">
      <w:pPr>
        <w:pStyle w:val="9"/>
        <w:spacing w:after="0" w:line="249" w:lineRule="auto"/>
        <w:rPr>
          <w:rFonts w:hint="eastAsia"/>
        </w:rPr>
      </w:pPr>
      <w:r>
        <w:rPr>
          <w:rFonts w:hint="eastAsia"/>
        </w:rPr>
        <w:t>In the paragraphs ahead we will discuss 1 Peter 4:7-19, a passage that well reflects the apostles’ view of the Consummation.</w:t>
      </w:r>
    </w:p>
    <w:p w14:paraId="059A3BE2">
      <w:pPr>
        <w:pStyle w:val="9"/>
        <w:spacing w:after="0" w:line="249" w:lineRule="auto"/>
        <w:rPr>
          <w:rFonts w:hint="eastAsia"/>
        </w:rPr>
      </w:pPr>
      <w:r>
        <w:rPr>
          <w:rFonts w:hint="eastAsia"/>
        </w:rPr>
        <w:t>在接下来的段落中，我们将讨论彼得前书4:7-19，这段经文很好地反映了使徒们对最终成全的观点。</w:t>
      </w:r>
    </w:p>
    <w:p w14:paraId="4F9D38C2">
      <w:pPr>
        <w:pStyle w:val="9"/>
        <w:spacing w:after="0" w:line="249" w:lineRule="auto"/>
        <w:rPr>
          <w:rFonts w:hint="eastAsia"/>
        </w:rPr>
      </w:pPr>
    </w:p>
    <w:p w14:paraId="10BF87E1">
      <w:pPr>
        <w:pStyle w:val="9"/>
        <w:spacing w:after="0" w:line="249" w:lineRule="auto"/>
        <w:rPr>
          <w:rFonts w:hint="eastAsia"/>
        </w:rPr>
      </w:pPr>
      <w:r>
        <w:rPr>
          <w:rFonts w:hint="eastAsia"/>
        </w:rPr>
        <w:t>However, in order to understand it most fully, let us take few moments to survey the eschatology of the letter as a whole.</w:t>
      </w:r>
    </w:p>
    <w:p w14:paraId="556FA80A">
      <w:pPr>
        <w:pStyle w:val="9"/>
        <w:spacing w:after="0" w:line="249" w:lineRule="auto"/>
        <w:rPr>
          <w:rFonts w:hint="eastAsia"/>
        </w:rPr>
      </w:pPr>
      <w:r>
        <w:rPr>
          <w:rFonts w:hint="eastAsia"/>
        </w:rPr>
        <w:t>然而，为了最充分地理解它，让我们花些时间来考察这封信的末世论作为一个整体。</w:t>
      </w:r>
    </w:p>
    <w:p w14:paraId="0B860DAE">
      <w:pPr>
        <w:pStyle w:val="9"/>
        <w:spacing w:after="0" w:line="249" w:lineRule="auto"/>
        <w:rPr>
          <w:rFonts w:hint="eastAsia"/>
        </w:rPr>
      </w:pPr>
    </w:p>
    <w:p w14:paraId="1282B604">
      <w:pPr>
        <w:pStyle w:val="9"/>
        <w:spacing w:after="0" w:line="249" w:lineRule="auto"/>
        <w:rPr>
          <w:rFonts w:hint="eastAsia"/>
        </w:rPr>
      </w:pPr>
      <w:r>
        <w:rPr>
          <w:rFonts w:hint="eastAsia"/>
        </w:rPr>
        <w:t>The Eschatology of 1 Peter</w:t>
      </w:r>
    </w:p>
    <w:p w14:paraId="28CDE3F7">
      <w:pPr>
        <w:pStyle w:val="9"/>
        <w:spacing w:after="0" w:line="249" w:lineRule="auto"/>
        <w:rPr>
          <w:rFonts w:hint="eastAsia"/>
        </w:rPr>
      </w:pPr>
      <w:r>
        <w:rPr>
          <w:rFonts w:hint="eastAsia"/>
        </w:rPr>
        <w:t>彼得前书的末世论</w:t>
      </w:r>
    </w:p>
    <w:p w14:paraId="5DFA1B26">
      <w:pPr>
        <w:pStyle w:val="9"/>
        <w:spacing w:after="0" w:line="249" w:lineRule="auto"/>
        <w:rPr>
          <w:rFonts w:hint="eastAsia"/>
        </w:rPr>
      </w:pPr>
    </w:p>
    <w:p w14:paraId="71309958">
      <w:pPr>
        <w:pStyle w:val="9"/>
        <w:spacing w:after="0" w:line="249" w:lineRule="auto"/>
        <w:rPr>
          <w:rFonts w:hint="eastAsia"/>
        </w:rPr>
      </w:pPr>
      <w:r>
        <w:rPr>
          <w:rFonts w:hint="eastAsia"/>
        </w:rPr>
        <w:t>The eschatology of this epistle is comprised of four main elements.</w:t>
      </w:r>
    </w:p>
    <w:p w14:paraId="7A082DAB">
      <w:pPr>
        <w:pStyle w:val="9"/>
        <w:spacing w:after="0" w:line="249" w:lineRule="auto"/>
        <w:rPr>
          <w:rFonts w:hint="eastAsia"/>
        </w:rPr>
      </w:pPr>
      <w:r>
        <w:rPr>
          <w:rFonts w:hint="eastAsia"/>
        </w:rPr>
        <w:t>这封书信的末世论由四个主要要素组成。</w:t>
      </w:r>
    </w:p>
    <w:p w14:paraId="6DFCFEF7">
      <w:pPr>
        <w:pStyle w:val="9"/>
        <w:spacing w:after="0" w:line="249" w:lineRule="auto"/>
        <w:rPr>
          <w:rFonts w:hint="eastAsia"/>
        </w:rPr>
      </w:pPr>
    </w:p>
    <w:p w14:paraId="6B33EC60">
      <w:pPr>
        <w:pStyle w:val="9"/>
        <w:spacing w:after="0" w:line="249" w:lineRule="auto"/>
        <w:rPr>
          <w:rFonts w:hint="eastAsia"/>
        </w:rPr>
      </w:pPr>
      <w:r>
        <w:rPr>
          <w:rFonts w:hint="eastAsia"/>
        </w:rPr>
        <w:t>First, there is suffering.</w:t>
      </w:r>
    </w:p>
    <w:p w14:paraId="4689A065">
      <w:pPr>
        <w:pStyle w:val="9"/>
        <w:spacing w:after="0" w:line="249" w:lineRule="auto"/>
        <w:rPr>
          <w:rFonts w:hint="eastAsia"/>
        </w:rPr>
      </w:pPr>
      <w:r>
        <w:rPr>
          <w:rFonts w:hint="eastAsia"/>
        </w:rPr>
        <w:t>首先，是受苦。</w:t>
      </w:r>
    </w:p>
    <w:p w14:paraId="0BD7E44C">
      <w:pPr>
        <w:pStyle w:val="9"/>
        <w:spacing w:after="0" w:line="249" w:lineRule="auto"/>
        <w:rPr>
          <w:rFonts w:hint="eastAsia"/>
        </w:rPr>
      </w:pPr>
    </w:p>
    <w:p w14:paraId="46B8DD34">
      <w:pPr>
        <w:pStyle w:val="9"/>
        <w:spacing w:after="0" w:line="249" w:lineRule="auto"/>
        <w:rPr>
          <w:rFonts w:hint="eastAsia"/>
        </w:rPr>
      </w:pPr>
      <w:r>
        <w:rPr>
          <w:rFonts w:hint="eastAsia"/>
        </w:rPr>
        <w:t>This theme is quite prominent, seeing that the recipients of the letter themselves were suffering greatly.</w:t>
      </w:r>
    </w:p>
    <w:p w14:paraId="12DA4835">
      <w:pPr>
        <w:pStyle w:val="9"/>
        <w:spacing w:after="0" w:line="249" w:lineRule="auto"/>
        <w:rPr>
          <w:rFonts w:hint="eastAsia"/>
        </w:rPr>
      </w:pPr>
      <w:r>
        <w:rPr>
          <w:rFonts w:hint="eastAsia"/>
        </w:rPr>
        <w:t>这个主题相当突出，因为这封信的收信人自己正遭受极大的苦难。</w:t>
      </w:r>
    </w:p>
    <w:p w14:paraId="04BCE045">
      <w:pPr>
        <w:pStyle w:val="9"/>
        <w:spacing w:after="0" w:line="249" w:lineRule="auto"/>
        <w:rPr>
          <w:rFonts w:hint="eastAsia"/>
        </w:rPr>
      </w:pPr>
    </w:p>
    <w:p w14:paraId="7860FB98">
      <w:pPr>
        <w:pStyle w:val="9"/>
        <w:spacing w:after="0" w:line="249" w:lineRule="auto"/>
        <w:rPr>
          <w:rFonts w:hint="eastAsia"/>
        </w:rPr>
      </w:pPr>
      <w:r>
        <w:rPr>
          <w:rFonts w:hint="eastAsia"/>
        </w:rPr>
        <w:t>When they followed the pagan traditions of their forefathers, they experienced little or no persecution.</w:t>
      </w:r>
    </w:p>
    <w:p w14:paraId="5A1A3BF1">
      <w:pPr>
        <w:pStyle w:val="9"/>
        <w:spacing w:after="0" w:line="249" w:lineRule="auto"/>
        <w:rPr>
          <w:rFonts w:hint="eastAsia"/>
        </w:rPr>
      </w:pPr>
      <w:r>
        <w:rPr>
          <w:rFonts w:hint="eastAsia"/>
        </w:rPr>
        <w:t>当他们遵从他们祖先的异教传统时，他们很少或根本没有经历过迫害。</w:t>
      </w:r>
    </w:p>
    <w:p w14:paraId="55917020">
      <w:pPr>
        <w:pStyle w:val="9"/>
        <w:spacing w:after="0" w:line="249" w:lineRule="auto"/>
        <w:rPr>
          <w:rFonts w:hint="eastAsia"/>
        </w:rPr>
      </w:pPr>
    </w:p>
    <w:p w14:paraId="1E70DD85">
      <w:pPr>
        <w:pStyle w:val="9"/>
        <w:spacing w:after="0" w:line="249" w:lineRule="auto"/>
        <w:rPr>
          <w:rFonts w:hint="eastAsia"/>
        </w:rPr>
      </w:pPr>
      <w:r>
        <w:rPr>
          <w:rFonts w:hint="eastAsia"/>
        </w:rPr>
        <w:t>Now, however, by God’s grace, they serve the King of kings and the Lord of lords.</w:t>
      </w:r>
    </w:p>
    <w:p w14:paraId="26D72256">
      <w:pPr>
        <w:pStyle w:val="9"/>
        <w:spacing w:after="0" w:line="249" w:lineRule="auto"/>
        <w:rPr>
          <w:rFonts w:hint="eastAsia"/>
        </w:rPr>
      </w:pPr>
      <w:r>
        <w:rPr>
          <w:rFonts w:hint="eastAsia"/>
        </w:rPr>
        <w:t>然而，如今，靠着上帝的恩典，他们事奉万王之王，万主之主。</w:t>
      </w:r>
    </w:p>
    <w:p w14:paraId="15D1071E">
      <w:pPr>
        <w:pStyle w:val="9"/>
        <w:spacing w:after="0" w:line="249" w:lineRule="auto"/>
        <w:rPr>
          <w:rFonts w:hint="eastAsia"/>
        </w:rPr>
      </w:pPr>
    </w:p>
    <w:p w14:paraId="28512662">
      <w:pPr>
        <w:pStyle w:val="9"/>
        <w:spacing w:after="0" w:line="249" w:lineRule="auto"/>
        <w:rPr>
          <w:rFonts w:hint="eastAsia"/>
        </w:rPr>
      </w:pPr>
      <w:r>
        <w:rPr>
          <w:rFonts w:hint="eastAsia"/>
        </w:rPr>
        <w:t>Now they can no longer render unto Caesar what properly belongs to God and Christ (Mark 12:17).</w:t>
      </w:r>
    </w:p>
    <w:p w14:paraId="64447CBC">
      <w:pPr>
        <w:pStyle w:val="9"/>
        <w:spacing w:after="0" w:line="249" w:lineRule="auto"/>
        <w:rPr>
          <w:rFonts w:hint="eastAsia"/>
        </w:rPr>
      </w:pPr>
      <w:r>
        <w:rPr>
          <w:rFonts w:hint="eastAsia"/>
        </w:rPr>
        <w:t>如今他们不能再将属上帝和基督的物归给凯撒了（马可福音12:17）。</w:t>
      </w:r>
    </w:p>
    <w:p w14:paraId="089685E9">
      <w:pPr>
        <w:pStyle w:val="9"/>
        <w:spacing w:after="0" w:line="249" w:lineRule="auto"/>
        <w:rPr>
          <w:rFonts w:hint="eastAsia"/>
        </w:rPr>
      </w:pPr>
    </w:p>
    <w:p w14:paraId="442AEB22">
      <w:pPr>
        <w:pStyle w:val="9"/>
        <w:spacing w:after="0" w:line="249" w:lineRule="auto"/>
        <w:rPr>
          <w:rFonts w:hint="eastAsia"/>
        </w:rPr>
      </w:pPr>
      <w:r>
        <w:rPr>
          <w:rFonts w:hint="eastAsia"/>
        </w:rPr>
        <w:t>Now they must try, with gentleness and respect, to press upon their idolatrous neighbors the rightful claims of the one true living God (1:17-19, 3:15).</w:t>
      </w:r>
    </w:p>
    <w:p w14:paraId="64C9016A">
      <w:pPr>
        <w:pStyle w:val="9"/>
        <w:spacing w:after="0" w:line="249" w:lineRule="auto"/>
        <w:rPr>
          <w:rFonts w:hint="eastAsia"/>
        </w:rPr>
      </w:pPr>
      <w:r>
        <w:rPr>
          <w:rFonts w:hint="eastAsia"/>
        </w:rPr>
        <w:t>现在他们必须以温柔和尊敬，向他们拜偶像的邻舍强调独一真活神的合法要求（1:17-19, 3:15）。</w:t>
      </w:r>
    </w:p>
    <w:p w14:paraId="6FA305D8">
      <w:pPr>
        <w:pStyle w:val="9"/>
        <w:spacing w:after="0" w:line="249" w:lineRule="auto"/>
        <w:rPr>
          <w:rFonts w:hint="eastAsia"/>
        </w:rPr>
      </w:pPr>
    </w:p>
    <w:p w14:paraId="7006434E">
      <w:pPr>
        <w:pStyle w:val="9"/>
        <w:spacing w:after="0" w:line="249" w:lineRule="auto"/>
        <w:rPr>
          <w:rFonts w:hint="eastAsia"/>
        </w:rPr>
      </w:pPr>
      <w:r>
        <w:rPr>
          <w:rFonts w:hint="eastAsia"/>
        </w:rPr>
        <w:t>Now, therefore, they do experience persecution (1:6-9, 3:13-22, 4:1-2, 12-19).</w:t>
      </w:r>
    </w:p>
    <w:p w14:paraId="750F5916">
      <w:pPr>
        <w:pStyle w:val="9"/>
        <w:spacing w:after="0" w:line="249" w:lineRule="auto"/>
        <w:rPr>
          <w:rFonts w:hint="eastAsia"/>
        </w:rPr>
      </w:pPr>
      <w:r>
        <w:rPr>
          <w:rFonts w:hint="eastAsia"/>
        </w:rPr>
        <w:t>因此，如今他们确实经历了迫害（1:6-9, 3:13-22, 4:1-2, 12-19）。</w:t>
      </w:r>
    </w:p>
    <w:p w14:paraId="0A25A227">
      <w:pPr>
        <w:pStyle w:val="9"/>
        <w:spacing w:after="0" w:line="249" w:lineRule="auto"/>
        <w:rPr>
          <w:rFonts w:hint="eastAsia"/>
        </w:rPr>
      </w:pPr>
    </w:p>
    <w:p w14:paraId="555735F0">
      <w:pPr>
        <w:pStyle w:val="9"/>
        <w:spacing w:after="0" w:line="249" w:lineRule="auto"/>
        <w:rPr>
          <w:rFonts w:hint="eastAsia"/>
        </w:rPr>
      </w:pPr>
      <w:r>
        <w:rPr>
          <w:rFonts w:hint="eastAsia"/>
        </w:rPr>
        <w:t>Moreover, they are not to see it as some “strange thing,” but as an integral part of the plan of God, who uses persecution to manifest his faithfulness (4:19), purify his people (1:1:7, 4:1-2), visit the (convicted) souls of unbelievers who witness their steadfastness (2:12), and secure eternal rewards for the saints (1:7, 4:13).</w:t>
      </w:r>
    </w:p>
    <w:p w14:paraId="74AD559E">
      <w:pPr>
        <w:pStyle w:val="9"/>
        <w:spacing w:after="0" w:line="249" w:lineRule="auto"/>
        <w:rPr>
          <w:rFonts w:hint="eastAsia"/>
        </w:rPr>
      </w:pPr>
      <w:r>
        <w:rPr>
          <w:rFonts w:hint="eastAsia"/>
        </w:rPr>
        <w:t>此外，他们不应将此看作是“奇怪的事”，而应看作是上帝计划中不可或缺的一部分，上帝使用迫害来彰显祂的信实（4:19），洁净祂的子民（1:1:7, 4:1-2），临到那些目睹他们坚贞不渝的不信者（被定罪的）灵魂（2:12），并为圣徒们确保永恒的赏赐（1:7, 4:13）。</w:t>
      </w:r>
    </w:p>
    <w:p w14:paraId="6432A081">
      <w:pPr>
        <w:pStyle w:val="9"/>
        <w:spacing w:after="0" w:line="249" w:lineRule="auto"/>
        <w:rPr>
          <w:rFonts w:hint="eastAsia"/>
        </w:rPr>
      </w:pPr>
    </w:p>
    <w:p w14:paraId="684A3A4C">
      <w:pPr>
        <w:pStyle w:val="9"/>
        <w:spacing w:after="0" w:line="249" w:lineRule="auto"/>
        <w:rPr>
          <w:rFonts w:hint="eastAsia"/>
        </w:rPr>
      </w:pPr>
      <w:r>
        <w:rPr>
          <w:rFonts w:hint="eastAsia"/>
        </w:rPr>
        <w:t>In reading this epistle we therefore see that Peter’s eschatology closely resembles Paul’s in the Thessalonian letters, and also his Master’s in the Olivet Discourse.</w:t>
      </w:r>
    </w:p>
    <w:p w14:paraId="32F9FE7D">
      <w:pPr>
        <w:pStyle w:val="9"/>
        <w:spacing w:after="0" w:line="249" w:lineRule="auto"/>
        <w:rPr>
          <w:rFonts w:hint="eastAsia"/>
        </w:rPr>
      </w:pPr>
      <w:r>
        <w:rPr>
          <w:rFonts w:hint="eastAsia"/>
        </w:rPr>
        <w:t>因此，在阅读这封书信时，我们看到彼得的末世论与保罗在帖撒罗尼迦书信中的末世论非常相似，也与祂夫子在橄榄山论述中的末世论相似。</w:t>
      </w:r>
    </w:p>
    <w:p w14:paraId="6B703FC8">
      <w:pPr>
        <w:pStyle w:val="9"/>
        <w:spacing w:after="0" w:line="249" w:lineRule="auto"/>
        <w:rPr>
          <w:rFonts w:hint="eastAsia"/>
        </w:rPr>
      </w:pPr>
    </w:p>
    <w:p w14:paraId="562483AD">
      <w:pPr>
        <w:pStyle w:val="9"/>
        <w:spacing w:after="0" w:line="249" w:lineRule="auto"/>
        <w:rPr>
          <w:rFonts w:hint="eastAsia"/>
        </w:rPr>
      </w:pPr>
      <w:r>
        <w:rPr>
          <w:rFonts w:hint="eastAsia"/>
        </w:rPr>
        <w:t>Like them, he understands that prior to the end the suffering Church must pass through a brief season of great tribulation, but after that into the glories of the eternal Kingdom.</w:t>
      </w:r>
    </w:p>
    <w:p w14:paraId="361F6CC9">
      <w:pPr>
        <w:pStyle w:val="9"/>
        <w:spacing w:after="0" w:line="249" w:lineRule="auto"/>
        <w:rPr>
          <w:rFonts w:hint="eastAsia"/>
        </w:rPr>
      </w:pPr>
      <w:r>
        <w:rPr>
          <w:rFonts w:hint="eastAsia"/>
        </w:rPr>
        <w:t>像他们一样，祂明白在末了之前，受苦的教会必须经过一个短暂的大患难时期，但之后将进入永恒国度的荣耀。</w:t>
      </w:r>
    </w:p>
    <w:p w14:paraId="6A255E59">
      <w:pPr>
        <w:pStyle w:val="9"/>
        <w:spacing w:after="0" w:line="249" w:lineRule="auto"/>
        <w:rPr>
          <w:rFonts w:hint="eastAsia"/>
        </w:rPr>
      </w:pPr>
    </w:p>
    <w:p w14:paraId="0994AB12">
      <w:pPr>
        <w:pStyle w:val="9"/>
        <w:spacing w:after="0" w:line="249" w:lineRule="auto"/>
        <w:rPr>
          <w:rFonts w:hint="eastAsia"/>
        </w:rPr>
      </w:pPr>
      <w:r>
        <w:rPr>
          <w:rFonts w:hint="eastAsia"/>
        </w:rPr>
        <w:t>Peter, as a matter of private opinion, may well have thought that under Nero the Church was about to do that very thing (4:12f).</w:t>
      </w:r>
    </w:p>
    <w:p w14:paraId="3616B254">
      <w:pPr>
        <w:pStyle w:val="9"/>
        <w:spacing w:after="0" w:line="249" w:lineRule="auto"/>
        <w:rPr>
          <w:rFonts w:hint="eastAsia"/>
        </w:rPr>
      </w:pPr>
      <w:r>
        <w:rPr>
          <w:rFonts w:hint="eastAsia"/>
        </w:rPr>
        <w:t>彼得，就个人意见而言，很可能认为在尼禄统治下，教会即将做那件事（4:12及以下）。</w:t>
      </w:r>
    </w:p>
    <w:p w14:paraId="481B3475">
      <w:pPr>
        <w:pStyle w:val="9"/>
        <w:spacing w:after="0" w:line="249" w:lineRule="auto"/>
        <w:rPr>
          <w:rFonts w:hint="eastAsia"/>
        </w:rPr>
      </w:pPr>
    </w:p>
    <w:p w14:paraId="67EF6EFE">
      <w:pPr>
        <w:pStyle w:val="9"/>
        <w:spacing w:after="0" w:line="249" w:lineRule="auto"/>
        <w:rPr>
          <w:rFonts w:hint="eastAsia"/>
        </w:rPr>
      </w:pPr>
      <w:r>
        <w:rPr>
          <w:rFonts w:hint="eastAsia"/>
        </w:rPr>
        <w:t>The second element—and the central one—is the revelation of Christ.</w:t>
      </w:r>
    </w:p>
    <w:p w14:paraId="00D74932">
      <w:pPr>
        <w:pStyle w:val="9"/>
        <w:spacing w:after="0" w:line="249" w:lineRule="auto"/>
        <w:rPr>
          <w:rFonts w:hint="eastAsia"/>
        </w:rPr>
      </w:pPr>
      <w:r>
        <w:rPr>
          <w:rFonts w:hint="eastAsia"/>
        </w:rPr>
        <w:t>第二个要素——也是核心要素——是基督的显现。</w:t>
      </w:r>
    </w:p>
    <w:p w14:paraId="49E568DD">
      <w:pPr>
        <w:pStyle w:val="9"/>
        <w:spacing w:after="0" w:line="249" w:lineRule="auto"/>
        <w:rPr>
          <w:rFonts w:hint="eastAsia"/>
        </w:rPr>
      </w:pPr>
    </w:p>
    <w:p w14:paraId="4784A078">
      <w:pPr>
        <w:pStyle w:val="9"/>
        <w:spacing w:after="0" w:line="249" w:lineRule="auto"/>
        <w:rPr>
          <w:rFonts w:hint="eastAsia"/>
        </w:rPr>
      </w:pPr>
      <w:r>
        <w:rPr>
          <w:rFonts w:hint="eastAsia"/>
        </w:rPr>
        <w:t>By far, this is Peter’s favorite term for the Second Coming (1:7, 13, 4:13, 5:1).</w:t>
      </w:r>
    </w:p>
    <w:p w14:paraId="454FC1ED">
      <w:pPr>
        <w:pStyle w:val="9"/>
        <w:spacing w:after="0" w:line="249" w:lineRule="auto"/>
        <w:rPr>
          <w:rFonts w:hint="eastAsia"/>
        </w:rPr>
      </w:pPr>
      <w:r>
        <w:rPr>
          <w:rFonts w:hint="eastAsia"/>
        </w:rPr>
        <w:t>到目前为止，这是彼得最喜欢的用于第二次降临的术语（1:7, 13, 4:13, 5:1）。</w:t>
      </w:r>
    </w:p>
    <w:p w14:paraId="361C05F7">
      <w:pPr>
        <w:pStyle w:val="9"/>
        <w:spacing w:after="0" w:line="249" w:lineRule="auto"/>
        <w:rPr>
          <w:rFonts w:hint="eastAsia"/>
        </w:rPr>
      </w:pPr>
    </w:p>
    <w:p w14:paraId="65325E8B">
      <w:pPr>
        <w:pStyle w:val="9"/>
        <w:spacing w:after="0" w:line="249" w:lineRule="auto"/>
        <w:rPr>
          <w:rFonts w:hint="eastAsia"/>
        </w:rPr>
      </w:pPr>
      <w:r>
        <w:rPr>
          <w:rFonts w:hint="eastAsia"/>
        </w:rPr>
        <w:t>In every text where it appears, he treats it as the one and only Blessed Hope of the Church.</w:t>
      </w:r>
    </w:p>
    <w:p w14:paraId="69DC3997">
      <w:pPr>
        <w:pStyle w:val="9"/>
        <w:spacing w:after="0" w:line="249" w:lineRule="auto"/>
        <w:rPr>
          <w:rFonts w:hint="eastAsia"/>
        </w:rPr>
      </w:pPr>
      <w:r>
        <w:rPr>
          <w:rFonts w:hint="eastAsia"/>
        </w:rPr>
        <w:t>在每一个出现它的经文中，祂都将其视为教会唯一有福的盼望。</w:t>
      </w:r>
    </w:p>
    <w:p w14:paraId="41F80A80">
      <w:pPr>
        <w:pStyle w:val="9"/>
        <w:spacing w:after="0" w:line="249" w:lineRule="auto"/>
        <w:rPr>
          <w:rFonts w:hint="eastAsia"/>
        </w:rPr>
      </w:pPr>
    </w:p>
    <w:p w14:paraId="566BCAE4">
      <w:pPr>
        <w:pStyle w:val="9"/>
        <w:spacing w:after="0" w:line="249" w:lineRule="auto"/>
        <w:rPr>
          <w:rFonts w:hint="eastAsia"/>
        </w:rPr>
      </w:pPr>
      <w:r>
        <w:rPr>
          <w:rFonts w:hint="eastAsia"/>
        </w:rPr>
        <w:t>Most emphatically, he is not looking for a secret “coming” of Christ, nor is he counseling his suffering brethren to do so.</w:t>
      </w:r>
    </w:p>
    <w:p w14:paraId="54318DC3">
      <w:pPr>
        <w:pStyle w:val="9"/>
        <w:spacing w:after="0" w:line="249" w:lineRule="auto"/>
        <w:rPr>
          <w:rFonts w:hint="eastAsia"/>
        </w:rPr>
      </w:pPr>
      <w:r>
        <w:rPr>
          <w:rFonts w:hint="eastAsia"/>
        </w:rPr>
        <w:t>祂最强调的是，祂并非在寻找一次基督秘密的“降临”，也非在劝告祂受苦的弟兄们这样做。</w:t>
      </w:r>
    </w:p>
    <w:p w14:paraId="0B8DFA8C">
      <w:pPr>
        <w:pStyle w:val="9"/>
        <w:spacing w:after="0" w:line="249" w:lineRule="auto"/>
        <w:rPr>
          <w:rFonts w:hint="eastAsia"/>
        </w:rPr>
      </w:pPr>
    </w:p>
    <w:p w14:paraId="1C1049C8">
      <w:pPr>
        <w:pStyle w:val="9"/>
        <w:spacing w:after="0" w:line="249" w:lineRule="auto"/>
        <w:rPr>
          <w:rFonts w:hint="eastAsia"/>
        </w:rPr>
      </w:pPr>
      <w:r>
        <w:rPr>
          <w:rFonts w:hint="eastAsia"/>
        </w:rPr>
        <w:t>Rather, he is simply waiting for the glorified Christ to appear (5:4, Col. 3:4, 1 John 2:28); to be revealed to all (4:13, 5:1), saints and sinners alike (4:15, 17; 2 Thess. 1:7).</w:t>
      </w:r>
    </w:p>
    <w:p w14:paraId="3D51E64F">
      <w:pPr>
        <w:pStyle w:val="9"/>
        <w:spacing w:after="0" w:line="249" w:lineRule="auto"/>
        <w:rPr>
          <w:rFonts w:hint="eastAsia"/>
        </w:rPr>
      </w:pPr>
      <w:r>
        <w:rPr>
          <w:rFonts w:hint="eastAsia"/>
        </w:rPr>
        <w:t>相反，祂只是在等候得荣耀的基督显现（5:4，西3:4，约壹2:28）；向所有人显现（4:13, 5:1），无论是圣徒还是罪人（4:15, 17；帖后1:7）。</w:t>
      </w:r>
    </w:p>
    <w:p w14:paraId="3D38166D">
      <w:pPr>
        <w:pStyle w:val="9"/>
        <w:spacing w:after="0" w:line="249" w:lineRule="auto"/>
        <w:rPr>
          <w:rFonts w:hint="eastAsia"/>
        </w:rPr>
      </w:pPr>
    </w:p>
    <w:p w14:paraId="4BE9A8EA">
      <w:pPr>
        <w:pStyle w:val="9"/>
        <w:spacing w:after="0" w:line="249" w:lineRule="auto"/>
        <w:rPr>
          <w:rFonts w:hint="eastAsia"/>
        </w:rPr>
      </w:pPr>
      <w:r>
        <w:rPr>
          <w:rFonts w:hint="eastAsia"/>
        </w:rPr>
        <w:t>This brings us to the third element: the Judgment.</w:t>
      </w:r>
    </w:p>
    <w:p w14:paraId="25639EA1">
      <w:pPr>
        <w:pStyle w:val="9"/>
        <w:spacing w:after="0" w:line="249" w:lineRule="auto"/>
        <w:rPr>
          <w:rFonts w:hint="eastAsia"/>
        </w:rPr>
      </w:pPr>
      <w:r>
        <w:rPr>
          <w:rFonts w:hint="eastAsia"/>
        </w:rPr>
        <w:t>这就把我们带到了第三个要素：审判。</w:t>
      </w:r>
    </w:p>
    <w:p w14:paraId="69484F35">
      <w:pPr>
        <w:pStyle w:val="9"/>
        <w:spacing w:after="0" w:line="249" w:lineRule="auto"/>
        <w:rPr>
          <w:rFonts w:hint="eastAsia"/>
        </w:rPr>
      </w:pPr>
    </w:p>
    <w:p w14:paraId="5DC43C00">
      <w:pPr>
        <w:pStyle w:val="9"/>
        <w:spacing w:after="0" w:line="249" w:lineRule="auto"/>
        <w:rPr>
          <w:rFonts w:hint="eastAsia"/>
        </w:rPr>
      </w:pPr>
      <w:r>
        <w:rPr>
          <w:rFonts w:hint="eastAsia"/>
        </w:rPr>
        <w:t>When Christ is revealed, he will judge the world in righteousness.</w:t>
      </w:r>
    </w:p>
    <w:p w14:paraId="47D9BB5C">
      <w:pPr>
        <w:pStyle w:val="9"/>
        <w:spacing w:after="0" w:line="249" w:lineRule="auto"/>
        <w:rPr>
          <w:rFonts w:hint="eastAsia"/>
        </w:rPr>
      </w:pPr>
      <w:r>
        <w:rPr>
          <w:rFonts w:hint="eastAsia"/>
        </w:rPr>
        <w:t>当基督显现时，祂将按公义审判世界。</w:t>
      </w:r>
    </w:p>
    <w:p w14:paraId="64187E39">
      <w:pPr>
        <w:pStyle w:val="9"/>
        <w:spacing w:after="0" w:line="249" w:lineRule="auto"/>
        <w:rPr>
          <w:rFonts w:hint="eastAsia"/>
        </w:rPr>
      </w:pPr>
    </w:p>
    <w:p w14:paraId="771446DD">
      <w:pPr>
        <w:pStyle w:val="9"/>
        <w:spacing w:after="0" w:line="249" w:lineRule="auto"/>
        <w:rPr>
          <w:rFonts w:hint="eastAsia"/>
        </w:rPr>
      </w:pPr>
      <w:r>
        <w:rPr>
          <w:rFonts w:hint="eastAsia"/>
        </w:rPr>
        <w:t>Later, in his second epistle, Peter will develop this theme at greater length (2 Peter 3).</w:t>
      </w:r>
    </w:p>
    <w:p w14:paraId="2EE24D60">
      <w:pPr>
        <w:pStyle w:val="9"/>
        <w:spacing w:after="0" w:line="249" w:lineRule="auto"/>
        <w:rPr>
          <w:rFonts w:hint="eastAsia"/>
        </w:rPr>
      </w:pPr>
      <w:r>
        <w:rPr>
          <w:rFonts w:hint="eastAsia"/>
        </w:rPr>
        <w:t>后来，在他的第二封信中，彼得将更详细地发展这个主题（彼得后书3）。</w:t>
      </w:r>
    </w:p>
    <w:p w14:paraId="71CC664E">
      <w:pPr>
        <w:pStyle w:val="9"/>
        <w:spacing w:after="0" w:line="249" w:lineRule="auto"/>
        <w:rPr>
          <w:rFonts w:hint="eastAsia"/>
        </w:rPr>
      </w:pPr>
    </w:p>
    <w:p w14:paraId="169BC955">
      <w:pPr>
        <w:pStyle w:val="9"/>
        <w:spacing w:after="0" w:line="249" w:lineRule="auto"/>
        <w:rPr>
          <w:rFonts w:hint="eastAsia"/>
        </w:rPr>
      </w:pPr>
      <w:r>
        <w:rPr>
          <w:rFonts w:hint="eastAsia"/>
        </w:rPr>
        <w:t>However, it definitely shows up here (4:15, 17).</w:t>
      </w:r>
    </w:p>
    <w:p w14:paraId="7DB83A39">
      <w:pPr>
        <w:pStyle w:val="9"/>
        <w:spacing w:after="0" w:line="249" w:lineRule="auto"/>
        <w:rPr>
          <w:rFonts w:hint="eastAsia"/>
        </w:rPr>
      </w:pPr>
      <w:r>
        <w:rPr>
          <w:rFonts w:hint="eastAsia"/>
        </w:rPr>
        <w:t>然而，它确实在这里出现了（4:15, 17）。</w:t>
      </w:r>
    </w:p>
    <w:p w14:paraId="327A923B">
      <w:pPr>
        <w:pStyle w:val="9"/>
        <w:spacing w:after="0" w:line="249" w:lineRule="auto"/>
        <w:rPr>
          <w:rFonts w:hint="eastAsia"/>
        </w:rPr>
      </w:pPr>
    </w:p>
    <w:p w14:paraId="2247FB95">
      <w:pPr>
        <w:pStyle w:val="9"/>
        <w:spacing w:after="0" w:line="249" w:lineRule="auto"/>
        <w:rPr>
          <w:rFonts w:hint="eastAsia"/>
        </w:rPr>
      </w:pPr>
      <w:r>
        <w:rPr>
          <w:rFonts w:hint="eastAsia"/>
        </w:rPr>
        <w:t>Everywhere, he assumes that there is to be one final Judgment which will occur by the hand of Christ at his Revelation.</w:t>
      </w:r>
    </w:p>
    <w:p w14:paraId="287FFAD4">
      <w:pPr>
        <w:pStyle w:val="9"/>
        <w:spacing w:after="0" w:line="249" w:lineRule="auto"/>
        <w:rPr>
          <w:rFonts w:hint="eastAsia"/>
        </w:rPr>
      </w:pPr>
      <w:r>
        <w:rPr>
          <w:rFonts w:hint="eastAsia"/>
        </w:rPr>
        <w:t>在各处，祂都假设将有一次最后的审判，这审判将在基督显现时由祂的手来施行。</w:t>
      </w:r>
    </w:p>
    <w:p w14:paraId="79567132">
      <w:pPr>
        <w:pStyle w:val="9"/>
        <w:spacing w:after="0" w:line="249" w:lineRule="auto"/>
        <w:rPr>
          <w:rFonts w:hint="eastAsia"/>
        </w:rPr>
      </w:pPr>
    </w:p>
    <w:p w14:paraId="3974ED0C">
      <w:pPr>
        <w:pStyle w:val="9"/>
        <w:spacing w:after="0" w:line="249" w:lineRule="auto"/>
        <w:rPr>
          <w:rFonts w:hint="eastAsia"/>
        </w:rPr>
      </w:pPr>
      <w:r>
        <w:rPr>
          <w:rFonts w:hint="eastAsia"/>
        </w:rPr>
        <w:t>As a rule, he likes to think of it as the appointed time of final rewards for the saints, for it will bring them praise, glory, and honor from Christ (1:7), special grace that consummates their redemption (1:13), unfading crowns of glory (5:4), and the perfection of their very being (5:10).</w:t>
      </w:r>
    </w:p>
    <w:p w14:paraId="61E68586">
      <w:pPr>
        <w:pStyle w:val="9"/>
        <w:spacing w:after="0" w:line="249" w:lineRule="auto"/>
        <w:rPr>
          <w:rFonts w:hint="eastAsia"/>
        </w:rPr>
      </w:pPr>
      <w:r>
        <w:rPr>
          <w:rFonts w:hint="eastAsia"/>
        </w:rPr>
        <w:t>通常，祂喜欢将其看作是为圣徒们预备的最后赏赐的指定时间，因为它将从基督那里带给他们称赞、荣耀和尊贵（1:7），成全他们救赎的特别恩典（1:13），永不衰残的荣耀冠冕（5:4），以及他们存在的完全（5:10）。</w:t>
      </w:r>
    </w:p>
    <w:p w14:paraId="6F0BEFCE">
      <w:pPr>
        <w:pStyle w:val="9"/>
        <w:spacing w:after="0" w:line="249" w:lineRule="auto"/>
        <w:rPr>
          <w:rFonts w:hint="eastAsia"/>
        </w:rPr>
      </w:pPr>
    </w:p>
    <w:p w14:paraId="5F66C81A">
      <w:pPr>
        <w:pStyle w:val="9"/>
        <w:spacing w:after="0" w:line="249" w:lineRule="auto"/>
        <w:rPr>
          <w:rFonts w:hint="eastAsia"/>
        </w:rPr>
      </w:pPr>
      <w:r>
        <w:rPr>
          <w:rFonts w:hint="eastAsia"/>
        </w:rPr>
        <w:t>Nevertheless, Peter recognizes that the one Judgment will also bring (final) retribution for the godless and the sinner (4:17-18).</w:t>
      </w:r>
    </w:p>
    <w:p w14:paraId="2788E242">
      <w:pPr>
        <w:pStyle w:val="9"/>
        <w:spacing w:after="0" w:line="249" w:lineRule="auto"/>
        <w:rPr>
          <w:rFonts w:hint="eastAsia"/>
        </w:rPr>
      </w:pPr>
      <w:r>
        <w:rPr>
          <w:rFonts w:hint="eastAsia"/>
        </w:rPr>
        <w:t>然而，彼得承认，那一次审判也将给不敬虔的和罪人带来（最后的）报应（4:17-18）。</w:t>
      </w:r>
    </w:p>
    <w:p w14:paraId="24CC1455">
      <w:pPr>
        <w:pStyle w:val="9"/>
        <w:spacing w:after="0" w:line="249" w:lineRule="auto"/>
        <w:rPr>
          <w:rFonts w:hint="eastAsia"/>
        </w:rPr>
      </w:pPr>
    </w:p>
    <w:p w14:paraId="52188507">
      <w:pPr>
        <w:pStyle w:val="9"/>
        <w:spacing w:after="0" w:line="249" w:lineRule="auto"/>
        <w:rPr>
          <w:rFonts w:hint="eastAsia"/>
        </w:rPr>
      </w:pPr>
      <w:r>
        <w:rPr>
          <w:rFonts w:hint="eastAsia"/>
        </w:rPr>
        <w:t>The fourth and final element of Peter’s eschatology is the World to Come.</w:t>
      </w:r>
    </w:p>
    <w:p w14:paraId="0692BB4A">
      <w:pPr>
        <w:pStyle w:val="9"/>
        <w:spacing w:after="0" w:line="249" w:lineRule="auto"/>
        <w:rPr>
          <w:rFonts w:hint="eastAsia"/>
        </w:rPr>
      </w:pPr>
      <w:r>
        <w:rPr>
          <w:rFonts w:hint="eastAsia"/>
        </w:rPr>
        <w:t>彼得末世论的第四个也是最后一个要素是将来的世界。</w:t>
      </w:r>
    </w:p>
    <w:p w14:paraId="060434CF">
      <w:pPr>
        <w:pStyle w:val="9"/>
        <w:spacing w:after="0" w:line="249" w:lineRule="auto"/>
        <w:rPr>
          <w:rFonts w:hint="eastAsia"/>
        </w:rPr>
      </w:pPr>
    </w:p>
    <w:p w14:paraId="1FE03A7F">
      <w:pPr>
        <w:pStyle w:val="9"/>
        <w:spacing w:after="0" w:line="249" w:lineRule="auto"/>
        <w:rPr>
          <w:rFonts w:hint="eastAsia"/>
        </w:rPr>
      </w:pPr>
      <w:r>
        <w:rPr>
          <w:rFonts w:hint="eastAsia"/>
        </w:rPr>
        <w:t>This, and this alone, awaits him on the far side of the Revelation of Christ and the Judgment.</w:t>
      </w:r>
    </w:p>
    <w:p w14:paraId="3237D6EC">
      <w:pPr>
        <w:pStyle w:val="9"/>
        <w:spacing w:after="0" w:line="249" w:lineRule="auto"/>
        <w:rPr>
          <w:rFonts w:hint="eastAsia"/>
        </w:rPr>
      </w:pPr>
      <w:r>
        <w:rPr>
          <w:rFonts w:hint="eastAsia"/>
        </w:rPr>
        <w:t>这，也只有这，在基督的显现和审判的另一边等待着祂。</w:t>
      </w:r>
    </w:p>
    <w:p w14:paraId="780A3D09">
      <w:pPr>
        <w:pStyle w:val="9"/>
        <w:spacing w:after="0" w:line="249" w:lineRule="auto"/>
        <w:rPr>
          <w:rFonts w:hint="eastAsia"/>
        </w:rPr>
      </w:pPr>
    </w:p>
    <w:p w14:paraId="7BA4ED50">
      <w:pPr>
        <w:pStyle w:val="9"/>
        <w:spacing w:after="0" w:line="249" w:lineRule="auto"/>
        <w:rPr>
          <w:rFonts w:hint="eastAsia"/>
        </w:rPr>
      </w:pPr>
      <w:r>
        <w:rPr>
          <w:rFonts w:hint="eastAsia"/>
        </w:rPr>
        <w:t>In his second epistle, Peter will call it the new heavens and the new earth (2 Peter 3:13).</w:t>
      </w:r>
    </w:p>
    <w:p w14:paraId="0598A6B5">
      <w:pPr>
        <w:pStyle w:val="9"/>
        <w:spacing w:after="0" w:line="249" w:lineRule="auto"/>
        <w:rPr>
          <w:rFonts w:hint="eastAsia"/>
        </w:rPr>
      </w:pPr>
      <w:r>
        <w:rPr>
          <w:rFonts w:hint="eastAsia"/>
        </w:rPr>
        <w:t>在他的第二封信中，彼得将称之为新天新地（彼得后书3:13）。</w:t>
      </w:r>
    </w:p>
    <w:p w14:paraId="0FAE812E">
      <w:pPr>
        <w:pStyle w:val="9"/>
        <w:spacing w:after="0" w:line="249" w:lineRule="auto"/>
        <w:rPr>
          <w:rFonts w:hint="eastAsia"/>
        </w:rPr>
      </w:pPr>
    </w:p>
    <w:p w14:paraId="07C00924">
      <w:pPr>
        <w:pStyle w:val="9"/>
        <w:spacing w:after="0" w:line="249" w:lineRule="auto"/>
        <w:rPr>
          <w:rFonts w:hint="eastAsia"/>
        </w:rPr>
      </w:pPr>
      <w:r>
        <w:rPr>
          <w:rFonts w:hint="eastAsia"/>
        </w:rPr>
        <w:t>Here, he simply refers to it as “heaven” (1:4-5), and also as “the glory that is to be revealed” (5:1).</w:t>
      </w:r>
    </w:p>
    <w:p w14:paraId="2B51D776">
      <w:pPr>
        <w:pStyle w:val="9"/>
        <w:spacing w:after="0" w:line="249" w:lineRule="auto"/>
        <w:rPr>
          <w:rFonts w:hint="eastAsia"/>
        </w:rPr>
      </w:pPr>
      <w:r>
        <w:rPr>
          <w:rFonts w:hint="eastAsia"/>
        </w:rPr>
        <w:t>在这里，祂只是称之为“天”（1:4-5），也称之为“那将要显现的荣耀”（5:1）。</w:t>
      </w:r>
    </w:p>
    <w:p w14:paraId="7B620D0F">
      <w:pPr>
        <w:pStyle w:val="9"/>
        <w:spacing w:after="0" w:line="249" w:lineRule="auto"/>
        <w:rPr>
          <w:rFonts w:hint="eastAsia"/>
        </w:rPr>
      </w:pPr>
    </w:p>
    <w:p w14:paraId="09D47147">
      <w:pPr>
        <w:pStyle w:val="9"/>
        <w:spacing w:after="0" w:line="249" w:lineRule="auto"/>
        <w:rPr>
          <w:rFonts w:hint="eastAsia"/>
        </w:rPr>
      </w:pPr>
      <w:r>
        <w:rPr>
          <w:rFonts w:hint="eastAsia"/>
        </w:rPr>
        <w:t>We look in vain for the slightest hint of a future millennial era in which glory and sin, life and death, peace and war, joy and sorrow will again commingle.</w:t>
      </w:r>
    </w:p>
    <w:p w14:paraId="1CACC47D">
      <w:pPr>
        <w:pStyle w:val="9"/>
        <w:spacing w:after="0" w:line="249" w:lineRule="auto"/>
        <w:rPr>
          <w:rFonts w:hint="eastAsia"/>
        </w:rPr>
      </w:pPr>
      <w:r>
        <w:rPr>
          <w:rFonts w:hint="eastAsia"/>
        </w:rPr>
        <w:t>我们徒然地寻找丝毫的暗示，表明在未来的千禧年时代，荣耀与罪，生命与死亡，和平与战争，喜乐与忧愁将再次混合。</w:t>
      </w:r>
    </w:p>
    <w:p w14:paraId="7C622FBE">
      <w:pPr>
        <w:pStyle w:val="9"/>
        <w:spacing w:after="0" w:line="249" w:lineRule="auto"/>
        <w:rPr>
          <w:rFonts w:hint="eastAsia"/>
        </w:rPr>
      </w:pPr>
    </w:p>
    <w:p w14:paraId="55C5C2C8">
      <w:pPr>
        <w:pStyle w:val="9"/>
        <w:spacing w:after="0" w:line="249" w:lineRule="auto"/>
        <w:rPr>
          <w:rFonts w:hint="eastAsia"/>
        </w:rPr>
      </w:pPr>
      <w:r>
        <w:rPr>
          <w:rFonts w:hint="eastAsia"/>
        </w:rPr>
        <w:t>No, Peter is eagerly waiting for “… an inheritance that is imperishable and undefiled and will not fade away …” (1:4).</w:t>
      </w:r>
    </w:p>
    <w:p w14:paraId="709B046F">
      <w:pPr>
        <w:pStyle w:val="9"/>
        <w:spacing w:after="0" w:line="249" w:lineRule="auto"/>
        <w:rPr>
          <w:rFonts w:hint="eastAsia"/>
        </w:rPr>
      </w:pPr>
      <w:r>
        <w:rPr>
          <w:rFonts w:hint="eastAsia"/>
        </w:rPr>
        <w:t>不，彼得正切望等候“……一个不能朽坏、不能玷污、不能衰残的产业……”（1:4）。</w:t>
      </w:r>
    </w:p>
    <w:p w14:paraId="27E40775">
      <w:pPr>
        <w:pStyle w:val="9"/>
        <w:spacing w:after="0" w:line="249" w:lineRule="auto"/>
        <w:rPr>
          <w:rFonts w:hint="eastAsia"/>
        </w:rPr>
      </w:pPr>
    </w:p>
    <w:p w14:paraId="5A0B3CC1">
      <w:pPr>
        <w:pStyle w:val="9"/>
        <w:spacing w:after="0" w:line="249" w:lineRule="auto"/>
        <w:rPr>
          <w:rFonts w:hint="eastAsia"/>
        </w:rPr>
      </w:pPr>
      <w:r>
        <w:rPr>
          <w:rFonts w:hint="eastAsia"/>
        </w:rPr>
        <w:t>He would have the suffering saints do the same.</w:t>
      </w:r>
    </w:p>
    <w:p w14:paraId="44EBACE5">
      <w:pPr>
        <w:pStyle w:val="9"/>
        <w:spacing w:after="0" w:line="249" w:lineRule="auto"/>
        <w:rPr>
          <w:rFonts w:hint="eastAsia"/>
        </w:rPr>
      </w:pPr>
      <w:r>
        <w:rPr>
          <w:rFonts w:hint="eastAsia"/>
        </w:rPr>
        <w:t>祂也愿受苦的圣徒们这样做。</w:t>
      </w:r>
    </w:p>
    <w:p w14:paraId="21AAB35C">
      <w:pPr>
        <w:pStyle w:val="9"/>
        <w:spacing w:after="0" w:line="249" w:lineRule="auto"/>
        <w:rPr>
          <w:rFonts w:hint="eastAsia"/>
        </w:rPr>
      </w:pPr>
    </w:p>
    <w:p w14:paraId="6DBB79BE">
      <w:pPr>
        <w:pStyle w:val="9"/>
        <w:spacing w:after="0" w:line="249" w:lineRule="auto"/>
        <w:rPr>
          <w:rFonts w:hint="eastAsia"/>
        </w:rPr>
      </w:pPr>
      <w:r>
        <w:rPr>
          <w:rFonts w:hint="eastAsia"/>
        </w:rPr>
        <w:t>Here, then, in a nutshell, is the eschatology of 1 Peter, and his view of the Consummation.</w:t>
      </w:r>
    </w:p>
    <w:p w14:paraId="3075C2B1">
      <w:pPr>
        <w:pStyle w:val="9"/>
        <w:spacing w:after="0" w:line="249" w:lineRule="auto"/>
        <w:rPr>
          <w:rFonts w:hint="eastAsia"/>
        </w:rPr>
      </w:pPr>
      <w:r>
        <w:rPr>
          <w:rFonts w:hint="eastAsia"/>
        </w:rPr>
        <w:t>因此，简而言之，这就是彼得前书的末世论，以及他对最终成全的观点。</w:t>
      </w:r>
    </w:p>
    <w:p w14:paraId="5B80EBA9">
      <w:pPr>
        <w:pStyle w:val="9"/>
        <w:spacing w:after="0" w:line="249" w:lineRule="auto"/>
        <w:rPr>
          <w:rFonts w:hint="eastAsia"/>
        </w:rPr>
      </w:pPr>
    </w:p>
    <w:p w14:paraId="3F6F2F1E">
      <w:pPr>
        <w:pStyle w:val="9"/>
        <w:spacing w:after="0" w:line="249" w:lineRule="auto"/>
        <w:rPr>
          <w:rFonts w:hint="eastAsia"/>
        </w:rPr>
      </w:pPr>
      <w:r>
        <w:rPr>
          <w:rFonts w:hint="eastAsia"/>
        </w:rPr>
        <w:t>Following a brief season of intense tribulation for the Church, the Lord Jesus Christ will come again and be revealed in all his glory, at which time he will punish the ungodly, richly reward the saints, and bestow upon them the glories and joys of the World to Come.</w:t>
      </w:r>
    </w:p>
    <w:p w14:paraId="08294E25">
      <w:pPr>
        <w:pStyle w:val="9"/>
        <w:spacing w:after="0" w:line="249" w:lineRule="auto"/>
        <w:rPr>
          <w:rFonts w:hint="eastAsia"/>
        </w:rPr>
      </w:pPr>
      <w:r>
        <w:rPr>
          <w:rFonts w:hint="eastAsia"/>
        </w:rPr>
        <w:t>在教会经历了一个短暂的剧烈患难时期之后，主耶稣基督将再次降临，并在祂所有的荣耀中显现，届时祂将惩罚不敬虔的人，丰厚地赏赐圣徒，并将将来世界的荣耀和喜乐赐给他们。</w:t>
      </w:r>
    </w:p>
    <w:p w14:paraId="3EA741DC">
      <w:pPr>
        <w:pStyle w:val="9"/>
        <w:spacing w:after="0" w:line="249" w:lineRule="auto"/>
        <w:rPr>
          <w:rFonts w:hint="eastAsia"/>
        </w:rPr>
      </w:pPr>
    </w:p>
    <w:p w14:paraId="08218305">
      <w:pPr>
        <w:pStyle w:val="9"/>
        <w:spacing w:after="0" w:line="249" w:lineRule="auto"/>
        <w:rPr>
          <w:rFonts w:hint="eastAsia"/>
        </w:rPr>
      </w:pPr>
      <w:r>
        <w:rPr>
          <w:rFonts w:hint="eastAsia"/>
        </w:rPr>
        <w:t>The End of All Things is at Hand (1 Peter 4:7-19)</w:t>
      </w:r>
    </w:p>
    <w:p w14:paraId="38C82756">
      <w:pPr>
        <w:pStyle w:val="9"/>
        <w:spacing w:after="0" w:line="249" w:lineRule="auto"/>
        <w:rPr>
          <w:rFonts w:hint="eastAsia"/>
        </w:rPr>
      </w:pPr>
      <w:r>
        <w:rPr>
          <w:rFonts w:hint="eastAsia"/>
        </w:rPr>
        <w:t>万物的结局近了（彼得前书4:7-19）</w:t>
      </w:r>
    </w:p>
    <w:p w14:paraId="3049861C">
      <w:pPr>
        <w:pStyle w:val="9"/>
        <w:spacing w:after="0" w:line="249" w:lineRule="auto"/>
        <w:rPr>
          <w:rFonts w:hint="eastAsia"/>
        </w:rPr>
      </w:pPr>
    </w:p>
    <w:p w14:paraId="6CA492D6">
      <w:pPr>
        <w:pStyle w:val="9"/>
        <w:spacing w:after="0" w:line="249" w:lineRule="auto"/>
        <w:rPr>
          <w:rFonts w:hint="eastAsia"/>
        </w:rPr>
      </w:pPr>
      <w:r>
        <w:rPr>
          <w:rFonts w:hint="eastAsia"/>
        </w:rPr>
        <w:t>With these preliminaries to guide us, let us now take a closer look at our first Petrine text.</w:t>
      </w:r>
    </w:p>
    <w:p w14:paraId="1570A7CE">
      <w:pPr>
        <w:pStyle w:val="9"/>
        <w:spacing w:after="0" w:line="249" w:lineRule="auto"/>
        <w:rPr>
          <w:rFonts w:hint="eastAsia"/>
        </w:rPr>
      </w:pPr>
      <w:r>
        <w:rPr>
          <w:rFonts w:hint="eastAsia"/>
        </w:rPr>
        <w:t>有了这些初步的指导，让我们现在更仔细地审视我们的第一段彼得经文。</w:t>
      </w:r>
    </w:p>
    <w:p w14:paraId="60695314">
      <w:pPr>
        <w:pStyle w:val="9"/>
        <w:spacing w:after="0" w:line="249" w:lineRule="auto"/>
        <w:rPr>
          <w:rFonts w:hint="eastAsia"/>
        </w:rPr>
      </w:pPr>
    </w:p>
    <w:p w14:paraId="5BFC903C">
      <w:pPr>
        <w:pStyle w:val="9"/>
        <w:spacing w:after="0" w:line="249" w:lineRule="auto"/>
        <w:rPr>
          <w:rFonts w:hint="eastAsia"/>
        </w:rPr>
      </w:pPr>
      <w:r>
        <w:rPr>
          <w:rFonts w:hint="eastAsia"/>
        </w:rPr>
        <w:t>In verses 7-10, Peter issues a series of familiar commands: The saints are to devote themselves to prayer (v. 7), keep fervent in their love for one another (v. 8), be hospitable without complaint (v. 9), and faithfully use their spiritual gifts for the glory of God and the good of the Church (vv. 10- 11).</w:t>
      </w:r>
    </w:p>
    <w:p w14:paraId="2E729981">
      <w:pPr>
        <w:pStyle w:val="9"/>
        <w:spacing w:after="0" w:line="249" w:lineRule="auto"/>
        <w:rPr>
          <w:rFonts w:hint="eastAsia"/>
        </w:rPr>
      </w:pPr>
      <w:r>
        <w:rPr>
          <w:rFonts w:hint="eastAsia"/>
        </w:rPr>
        <w:t>在第7-10节，彼得发出了一系列熟悉的命令：圣徒们要专心祷告（第7节），彼此切实相爱（第8节），互相款待，不发怨言（第9节），并忠心地使用他们的属灵恩赐，为上帝的荣耀和教会的益处（10-11节）。</w:t>
      </w:r>
    </w:p>
    <w:p w14:paraId="7B0C145E">
      <w:pPr>
        <w:pStyle w:val="9"/>
        <w:spacing w:after="0" w:line="249" w:lineRule="auto"/>
        <w:rPr>
          <w:rFonts w:hint="eastAsia"/>
        </w:rPr>
      </w:pPr>
    </w:p>
    <w:p w14:paraId="56FF4354">
      <w:pPr>
        <w:pStyle w:val="9"/>
        <w:spacing w:after="0" w:line="249" w:lineRule="auto"/>
        <w:rPr>
          <w:rFonts w:hint="eastAsia"/>
        </w:rPr>
      </w:pPr>
      <w:r>
        <w:rPr>
          <w:rFonts w:hint="eastAsia"/>
        </w:rPr>
        <w:t>What is remarkable here is the little phrase that stands at the head of these exhortations: “The end of all things is at hand” (v. 7, 1 John 2:18).</w:t>
      </w:r>
    </w:p>
    <w:p w14:paraId="1BEE5E2F">
      <w:pPr>
        <w:pStyle w:val="9"/>
        <w:spacing w:after="0" w:line="249" w:lineRule="auto"/>
        <w:rPr>
          <w:rFonts w:hint="eastAsia"/>
        </w:rPr>
      </w:pPr>
      <w:r>
        <w:rPr>
          <w:rFonts w:hint="eastAsia"/>
        </w:rPr>
        <w:t>这里引人注目的是这些劝勉开头的小短语：“万物的结局近了”（第7节，约翰一书2:18）。</w:t>
      </w:r>
    </w:p>
    <w:p w14:paraId="684F21E5">
      <w:pPr>
        <w:pStyle w:val="9"/>
        <w:spacing w:after="0" w:line="249" w:lineRule="auto"/>
        <w:rPr>
          <w:rFonts w:hint="eastAsia"/>
        </w:rPr>
      </w:pPr>
    </w:p>
    <w:p w14:paraId="66B86F88">
      <w:pPr>
        <w:pStyle w:val="9"/>
        <w:spacing w:after="0" w:line="249" w:lineRule="auto"/>
        <w:rPr>
          <w:rFonts w:hint="eastAsia"/>
        </w:rPr>
      </w:pPr>
      <w:r>
        <w:rPr>
          <w:rFonts w:hint="eastAsia"/>
        </w:rPr>
        <w:t>Because of this, the saints—with a diligence proper to the urgency of their historical situation—must busy themselves with the responsibilities and privileges of Christian discipleship (James 5:8).</w:t>
      </w:r>
    </w:p>
    <w:p w14:paraId="1B323720">
      <w:pPr>
        <w:pStyle w:val="9"/>
        <w:spacing w:after="0" w:line="249" w:lineRule="auto"/>
        <w:rPr>
          <w:rFonts w:hint="eastAsia"/>
        </w:rPr>
      </w:pPr>
      <w:r>
        <w:rPr>
          <w:rFonts w:hint="eastAsia"/>
        </w:rPr>
        <w:t>因此，圣徒们——以与其历史处境紧迫性相称的勤勉——必须忙于基督徒门徒身份的责任和特权（雅各书5:8）。</w:t>
      </w:r>
    </w:p>
    <w:p w14:paraId="0DBA09E2">
      <w:pPr>
        <w:pStyle w:val="9"/>
        <w:spacing w:after="0" w:line="249" w:lineRule="auto"/>
        <w:rPr>
          <w:rFonts w:hint="eastAsia"/>
        </w:rPr>
      </w:pPr>
    </w:p>
    <w:p w14:paraId="6029ACCA">
      <w:pPr>
        <w:pStyle w:val="9"/>
        <w:spacing w:after="0" w:line="249" w:lineRule="auto"/>
        <w:rPr>
          <w:rFonts w:hint="eastAsia"/>
        </w:rPr>
      </w:pPr>
      <w:r>
        <w:rPr>
          <w:rFonts w:hint="eastAsia"/>
        </w:rPr>
        <w:t>This phrase assures us that Peter had in mind a single Consummation.</w:t>
      </w:r>
    </w:p>
    <w:p w14:paraId="6629ED7C">
      <w:pPr>
        <w:pStyle w:val="9"/>
        <w:spacing w:after="0" w:line="249" w:lineRule="auto"/>
        <w:rPr>
          <w:rFonts w:hint="eastAsia"/>
        </w:rPr>
      </w:pPr>
      <w:r>
        <w:rPr>
          <w:rFonts w:hint="eastAsia"/>
        </w:rPr>
        <w:t>这个短语向我们保证，彼得心中所想的是一次单一的最终成全。</w:t>
      </w:r>
    </w:p>
    <w:p w14:paraId="1ACF0086">
      <w:pPr>
        <w:pStyle w:val="9"/>
        <w:spacing w:after="0" w:line="249" w:lineRule="auto"/>
        <w:rPr>
          <w:rFonts w:hint="eastAsia"/>
        </w:rPr>
      </w:pPr>
    </w:p>
    <w:p w14:paraId="39326322">
      <w:pPr>
        <w:pStyle w:val="9"/>
        <w:spacing w:after="0" w:line="249" w:lineRule="auto"/>
        <w:rPr>
          <w:rFonts w:hint="eastAsia"/>
        </w:rPr>
      </w:pPr>
      <w:r>
        <w:rPr>
          <w:rFonts w:hint="eastAsia"/>
        </w:rPr>
        <w:t>If anyone wanted to speak of the ultimate goal of Salvation History, how could he possibly choose a more apt expression?</w:t>
      </w:r>
    </w:p>
    <w:p w14:paraId="6817296A">
      <w:pPr>
        <w:pStyle w:val="9"/>
        <w:spacing w:after="0" w:line="249" w:lineRule="auto"/>
        <w:rPr>
          <w:rFonts w:hint="eastAsia"/>
        </w:rPr>
      </w:pPr>
      <w:r>
        <w:rPr>
          <w:rFonts w:hint="eastAsia"/>
        </w:rPr>
        <w:t>如果有人想谈论救赎历史的最终目标，他怎么可能选择一个更恰当的表达方式呢？</w:t>
      </w:r>
    </w:p>
    <w:p w14:paraId="34ADA892">
      <w:pPr>
        <w:pStyle w:val="9"/>
        <w:spacing w:after="0" w:line="249" w:lineRule="auto"/>
        <w:rPr>
          <w:rFonts w:hint="eastAsia"/>
        </w:rPr>
      </w:pPr>
    </w:p>
    <w:p w14:paraId="4F9C496D">
      <w:pPr>
        <w:pStyle w:val="9"/>
        <w:spacing w:after="0" w:line="249" w:lineRule="auto"/>
        <w:rPr>
          <w:rFonts w:hint="eastAsia"/>
        </w:rPr>
      </w:pPr>
      <w:r>
        <w:rPr>
          <w:rFonts w:hint="eastAsia"/>
        </w:rPr>
        <w:t>Importantly, the verses that follow confirm this conclusion, showing not only that he did indeed have the one Consummation in mind, but also that he very much wanted his brothers and sisters in Christ to be prepared for it.</w:t>
      </w:r>
    </w:p>
    <w:p w14:paraId="75DFF223">
      <w:pPr>
        <w:pStyle w:val="9"/>
        <w:spacing w:after="0" w:line="249" w:lineRule="auto"/>
        <w:rPr>
          <w:rFonts w:hint="eastAsia"/>
        </w:rPr>
      </w:pPr>
      <w:r>
        <w:rPr>
          <w:rFonts w:hint="eastAsia"/>
        </w:rPr>
        <w:t>重要的是，接下来的经文证实了这一结论，不仅表明祂确实心中有那一次的最终成全，也表明祂非常希望祂在基督里的弟兄姐妹们为此作好准备。</w:t>
      </w:r>
    </w:p>
    <w:p w14:paraId="745F5C07">
      <w:pPr>
        <w:pStyle w:val="9"/>
        <w:spacing w:after="0" w:line="249" w:lineRule="auto"/>
        <w:rPr>
          <w:rFonts w:hint="eastAsia"/>
        </w:rPr>
      </w:pPr>
    </w:p>
    <w:p w14:paraId="54858FDB">
      <w:pPr>
        <w:pStyle w:val="9"/>
        <w:spacing w:after="0" w:line="249" w:lineRule="auto"/>
        <w:rPr>
          <w:rFonts w:hint="eastAsia"/>
        </w:rPr>
      </w:pPr>
      <w:r>
        <w:rPr>
          <w:rFonts w:hint="eastAsia"/>
        </w:rPr>
        <w:t>In verses 12-13, he launches his pastoral thrust with an exhortation: The saints are not to be surprised or offended by the “fiery ordeal” that has, or will, come upon them.</w:t>
      </w:r>
    </w:p>
    <w:p w14:paraId="50E1257D">
      <w:pPr>
        <w:pStyle w:val="9"/>
        <w:spacing w:after="0" w:line="249" w:lineRule="auto"/>
        <w:rPr>
          <w:rFonts w:hint="eastAsia"/>
        </w:rPr>
      </w:pPr>
      <w:r>
        <w:rPr>
          <w:rFonts w:hint="eastAsia"/>
        </w:rPr>
        <w:t>在第12-13节，他以一个劝勉开始了他的教牧重点：圣徒们不应为那临到他们或将要临到他们的“火炼的试炼”感到惊奇或冒犯。</w:t>
      </w:r>
    </w:p>
    <w:p w14:paraId="6C871763">
      <w:pPr>
        <w:pStyle w:val="9"/>
        <w:spacing w:after="0" w:line="249" w:lineRule="auto"/>
        <w:rPr>
          <w:rFonts w:hint="eastAsia"/>
        </w:rPr>
      </w:pPr>
    </w:p>
    <w:p w14:paraId="74823D6F">
      <w:pPr>
        <w:pStyle w:val="9"/>
        <w:spacing w:after="0" w:line="249" w:lineRule="auto"/>
        <w:rPr>
          <w:rFonts w:hint="eastAsia"/>
        </w:rPr>
      </w:pPr>
      <w:r>
        <w:rPr>
          <w:rFonts w:hint="eastAsia"/>
        </w:rPr>
        <w:t>Far from thinking this a “strange” thing, they should understand that it is part of God’s wise plan for his people: Through such suffering, he “tests” (i.e., refines) them (1:6-7), affords them the privilege of sharing in Christ’s sufferings and redemptive activity (2:12), and prepares them for the exultation they will experience at his Revelation, when he consummates their redemption and rewards them for their faithfulness (1:3- 9, 13, 5:10-11).</w:t>
      </w:r>
    </w:p>
    <w:p w14:paraId="63B95EE8">
      <w:pPr>
        <w:pStyle w:val="9"/>
        <w:spacing w:after="0" w:line="249" w:lineRule="auto"/>
        <w:rPr>
          <w:rFonts w:hint="eastAsia"/>
        </w:rPr>
      </w:pPr>
      <w:r>
        <w:rPr>
          <w:rFonts w:hint="eastAsia"/>
        </w:rPr>
        <w:t>他们绝不应认为这是“奇怪的事”，而应理解这是上帝对祂子民的智慧计划的一部分：通过这样的苦难，祂“试验”（即炼净）他们（1:6-7），赐给他们分享基督苦难和救赎活动的特权（2:12），并预备他们在祂显现时将要经历的欢欣，那时祂将成全他们的救赎并因他们的忠心赏赐他们（1:3-9, 13, 5:10-11）。</w:t>
      </w:r>
    </w:p>
    <w:p w14:paraId="2F5883D8">
      <w:pPr>
        <w:pStyle w:val="9"/>
        <w:spacing w:after="0" w:line="249" w:lineRule="auto"/>
        <w:rPr>
          <w:rFonts w:hint="eastAsia"/>
        </w:rPr>
      </w:pPr>
    </w:p>
    <w:p w14:paraId="23BBE91B">
      <w:pPr>
        <w:pStyle w:val="9"/>
        <w:spacing w:after="0" w:line="249" w:lineRule="auto"/>
        <w:rPr>
          <w:rFonts w:hint="eastAsia"/>
        </w:rPr>
      </w:pPr>
      <w:r>
        <w:rPr>
          <w:rFonts w:hint="eastAsia"/>
        </w:rPr>
        <w:t>Again, in light of verse 7, it appears that Peter himself, at this stage of his ministry, viewed the present (or imminent) persecutions under Nero as part of the final tribulation that would soon culminate in the return of Christ.</w:t>
      </w:r>
    </w:p>
    <w:p w14:paraId="4E6301CA">
      <w:pPr>
        <w:pStyle w:val="9"/>
        <w:spacing w:after="0" w:line="249" w:lineRule="auto"/>
        <w:rPr>
          <w:rFonts w:hint="eastAsia"/>
        </w:rPr>
      </w:pPr>
      <w:r>
        <w:rPr>
          <w:rFonts w:hint="eastAsia"/>
        </w:rPr>
        <w:t>再次，鉴于第7节，看来彼得祂自己在事奉的这个阶段，将尼禄治下现今（或即将来临）的迫害视为最后患难的一部分，这患难将很快以基督的再来达到高潮。</w:t>
      </w:r>
    </w:p>
    <w:p w14:paraId="2A6ABC6A">
      <w:pPr>
        <w:pStyle w:val="9"/>
        <w:spacing w:after="0" w:line="249" w:lineRule="auto"/>
        <w:rPr>
          <w:rFonts w:hint="eastAsia"/>
        </w:rPr>
      </w:pPr>
    </w:p>
    <w:p w14:paraId="2A8F5BFF">
      <w:pPr>
        <w:pStyle w:val="9"/>
        <w:spacing w:after="0" w:line="249" w:lineRule="auto"/>
        <w:rPr>
          <w:rFonts w:hint="eastAsia"/>
        </w:rPr>
      </w:pPr>
      <w:r>
        <w:rPr>
          <w:rFonts w:hint="eastAsia"/>
        </w:rPr>
        <w:t>In verses 14-16, the apostle offers further words of encouragement and exhortation to the pilgrim Church (1:1).</w:t>
      </w:r>
    </w:p>
    <w:p w14:paraId="4B23E95E">
      <w:pPr>
        <w:pStyle w:val="9"/>
        <w:spacing w:after="0" w:line="249" w:lineRule="auto"/>
        <w:rPr>
          <w:rFonts w:hint="eastAsia"/>
        </w:rPr>
      </w:pPr>
      <w:r>
        <w:rPr>
          <w:rFonts w:hint="eastAsia"/>
        </w:rPr>
        <w:t>在第14-16节，使徒向朝圣的教会（1:1）提供了进一步的鼓励和劝勉。</w:t>
      </w:r>
    </w:p>
    <w:p w14:paraId="710F2064">
      <w:pPr>
        <w:pStyle w:val="9"/>
        <w:spacing w:after="0" w:line="249" w:lineRule="auto"/>
        <w:rPr>
          <w:rFonts w:hint="eastAsia"/>
        </w:rPr>
      </w:pPr>
    </w:p>
    <w:p w14:paraId="4BBFFF33">
      <w:pPr>
        <w:pStyle w:val="9"/>
        <w:spacing w:after="0" w:line="249" w:lineRule="auto"/>
        <w:rPr>
          <w:rFonts w:hint="eastAsia"/>
        </w:rPr>
      </w:pPr>
      <w:r>
        <w:rPr>
          <w:rFonts w:hint="eastAsia"/>
        </w:rPr>
        <w:t>If, as they sojourn through this hostile world, they yield to temptation and then suffer as murderers, thieves, evildoers, or meddlers, they are simply getting what they deserve, and should certainly feel ashamed of it.</w:t>
      </w:r>
    </w:p>
    <w:p w14:paraId="6358B5AC">
      <w:pPr>
        <w:pStyle w:val="9"/>
        <w:spacing w:after="0" w:line="249" w:lineRule="auto"/>
        <w:rPr>
          <w:rFonts w:hint="eastAsia"/>
        </w:rPr>
      </w:pPr>
      <w:r>
        <w:rPr>
          <w:rFonts w:hint="eastAsia"/>
        </w:rPr>
        <w:t>如果，当他们在这个敌对的世界中寄居时，他们屈服于试探，然后像杀人犯、偷窃的、作恶的或好管闲事的人一样受苦，他们只是得到了他们应得的，并且当然应该为此感到羞愧。</w:t>
      </w:r>
    </w:p>
    <w:p w14:paraId="273833FB">
      <w:pPr>
        <w:pStyle w:val="9"/>
        <w:spacing w:after="0" w:line="249" w:lineRule="auto"/>
        <w:rPr>
          <w:rFonts w:hint="eastAsia"/>
        </w:rPr>
      </w:pPr>
    </w:p>
    <w:p w14:paraId="32624F6A">
      <w:pPr>
        <w:pStyle w:val="9"/>
        <w:spacing w:after="0" w:line="249" w:lineRule="auto"/>
        <w:rPr>
          <w:rFonts w:hint="eastAsia"/>
        </w:rPr>
      </w:pPr>
      <w:r>
        <w:rPr>
          <w:rFonts w:hint="eastAsia"/>
        </w:rPr>
        <w:t>But if they suffer for carrying the Name of Christ, then far from feeling ashamed, they should wear that Name as a badge of honor!</w:t>
      </w:r>
    </w:p>
    <w:p w14:paraId="75ECDC6A">
      <w:pPr>
        <w:pStyle w:val="9"/>
        <w:spacing w:after="0" w:line="249" w:lineRule="auto"/>
        <w:rPr>
          <w:rFonts w:hint="eastAsia"/>
        </w:rPr>
      </w:pPr>
      <w:r>
        <w:rPr>
          <w:rFonts w:hint="eastAsia"/>
        </w:rPr>
        <w:t>但如果他们为基督的名受苦，那么绝不应感到羞愧，而应将那名当作荣耀的徽章！</w:t>
      </w:r>
    </w:p>
    <w:p w14:paraId="77B9BB9C">
      <w:pPr>
        <w:pStyle w:val="9"/>
        <w:spacing w:after="0" w:line="249" w:lineRule="auto"/>
        <w:rPr>
          <w:rFonts w:hint="eastAsia"/>
        </w:rPr>
      </w:pPr>
    </w:p>
    <w:p w14:paraId="0D2EB093">
      <w:pPr>
        <w:pStyle w:val="9"/>
        <w:spacing w:after="0" w:line="249" w:lineRule="auto"/>
        <w:rPr>
          <w:rFonts w:hint="eastAsia"/>
        </w:rPr>
      </w:pPr>
      <w:r>
        <w:rPr>
          <w:rFonts w:hint="eastAsia"/>
        </w:rPr>
        <w:t>And they should also recognize that amidst any and all such suffering, their Creator is faithful to make it up to them with corresponding effusions of his soul-strengthening Spirit (3:19).</w:t>
      </w:r>
    </w:p>
    <w:p w14:paraId="173C742C">
      <w:pPr>
        <w:pStyle w:val="9"/>
        <w:spacing w:after="0" w:line="249" w:lineRule="auto"/>
        <w:rPr>
          <w:rFonts w:hint="eastAsia"/>
        </w:rPr>
      </w:pPr>
      <w:r>
        <w:rPr>
          <w:rFonts w:hint="eastAsia"/>
        </w:rPr>
        <w:t>他们也当认识到，在任何和所有这类苦难中，他们的创造主是信实的，必用相应地、能坚固他们灵魂的圣灵的浇灌来补偿他们（3:19）。</w:t>
      </w:r>
    </w:p>
    <w:p w14:paraId="164DD468">
      <w:pPr>
        <w:pStyle w:val="9"/>
        <w:spacing w:after="0" w:line="249" w:lineRule="auto"/>
        <w:rPr>
          <w:rFonts w:hint="eastAsia"/>
        </w:rPr>
      </w:pPr>
    </w:p>
    <w:p w14:paraId="6EB80942">
      <w:pPr>
        <w:pStyle w:val="9"/>
        <w:spacing w:after="0" w:line="249" w:lineRule="auto"/>
        <w:rPr>
          <w:rFonts w:hint="eastAsia"/>
        </w:rPr>
      </w:pPr>
      <w:r>
        <w:rPr>
          <w:rFonts w:hint="eastAsia"/>
        </w:rPr>
        <w:t>Here, then, is how tribulation saints “gird up the loins of their minds” for the rigors of the last days (1:13).</w:t>
      </w:r>
    </w:p>
    <w:p w14:paraId="02F8401F">
      <w:pPr>
        <w:pStyle w:val="9"/>
        <w:spacing w:after="0" w:line="249" w:lineRule="auto"/>
        <w:rPr>
          <w:rFonts w:hint="eastAsia"/>
        </w:rPr>
      </w:pPr>
      <w:r>
        <w:rPr>
          <w:rFonts w:hint="eastAsia"/>
        </w:rPr>
        <w:t>因此，这就是患难中的圣徒们如何“束上你们心中的腰”，为末后的严酷作准备（1:13）。</w:t>
      </w:r>
    </w:p>
    <w:p w14:paraId="70C8F0CF">
      <w:pPr>
        <w:pStyle w:val="9"/>
        <w:spacing w:after="0" w:line="249" w:lineRule="auto"/>
        <w:rPr>
          <w:rFonts w:hint="eastAsia"/>
        </w:rPr>
      </w:pPr>
    </w:p>
    <w:p w14:paraId="63D6F8A6">
      <w:pPr>
        <w:pStyle w:val="9"/>
        <w:spacing w:after="0" w:line="249" w:lineRule="auto"/>
        <w:rPr>
          <w:rFonts w:hint="eastAsia"/>
        </w:rPr>
      </w:pPr>
      <w:r>
        <w:rPr>
          <w:rFonts w:hint="eastAsia"/>
        </w:rPr>
        <w:t>In verses 17-18, Peter gives an important rationale for his exhortations: The saints must walk in holiness because “It is time for judgment to begin.”</w:t>
      </w:r>
    </w:p>
    <w:p w14:paraId="0BE77BF9">
      <w:pPr>
        <w:pStyle w:val="9"/>
        <w:spacing w:after="0" w:line="249" w:lineRule="auto"/>
        <w:rPr>
          <w:rFonts w:hint="eastAsia"/>
        </w:rPr>
      </w:pPr>
      <w:r>
        <w:rPr>
          <w:rFonts w:hint="eastAsia"/>
        </w:rPr>
        <w:t>在第17-18节，彼得为他的劝勉给出了一个重要的理由：圣徒们必须行在圣洁中，因为“审判的时候到了”。</w:t>
      </w:r>
    </w:p>
    <w:p w14:paraId="04AF8AA3">
      <w:pPr>
        <w:pStyle w:val="9"/>
        <w:spacing w:after="0" w:line="249" w:lineRule="auto"/>
        <w:rPr>
          <w:rFonts w:hint="eastAsia"/>
        </w:rPr>
      </w:pPr>
    </w:p>
    <w:p w14:paraId="4D61C8E4">
      <w:pPr>
        <w:pStyle w:val="9"/>
        <w:spacing w:after="0" w:line="249" w:lineRule="auto"/>
        <w:rPr>
          <w:rFonts w:hint="eastAsia"/>
        </w:rPr>
      </w:pPr>
      <w:r>
        <w:rPr>
          <w:rFonts w:hint="eastAsia"/>
        </w:rPr>
        <w:t>Verse 7 of this chapter illumines his meaning: He has in mind the Last Judgment, for the end of all things is at hand.</w:t>
      </w:r>
    </w:p>
    <w:p w14:paraId="64AD07B6">
      <w:pPr>
        <w:pStyle w:val="9"/>
        <w:spacing w:after="0" w:line="249" w:lineRule="auto"/>
        <w:rPr>
          <w:rFonts w:hint="eastAsia"/>
        </w:rPr>
      </w:pPr>
      <w:r>
        <w:rPr>
          <w:rFonts w:hint="eastAsia"/>
        </w:rPr>
        <w:t>本章第7节阐明了祂的意思：祂心中所想的是最后的审判，因为万物的结局近了。</w:t>
      </w:r>
    </w:p>
    <w:p w14:paraId="5147B014">
      <w:pPr>
        <w:pStyle w:val="9"/>
        <w:spacing w:after="0" w:line="249" w:lineRule="auto"/>
        <w:rPr>
          <w:rFonts w:hint="eastAsia"/>
        </w:rPr>
      </w:pPr>
    </w:p>
    <w:p w14:paraId="189F8382">
      <w:pPr>
        <w:pStyle w:val="9"/>
        <w:spacing w:after="0" w:line="249" w:lineRule="auto"/>
        <w:rPr>
          <w:rFonts w:hint="eastAsia"/>
        </w:rPr>
      </w:pPr>
      <w:r>
        <w:rPr>
          <w:rFonts w:hint="eastAsia"/>
        </w:rPr>
        <w:t>Reading our passage in context, we therefore understand that this Judgment will occur at the Revelation of Christ (4:13), begin with the Church, and then immediately fall upon those who do not obey the Gospel of Christ (2 Thess. 1:8).</w:t>
      </w:r>
    </w:p>
    <w:p w14:paraId="5CCB55F3">
      <w:pPr>
        <w:pStyle w:val="9"/>
        <w:spacing w:after="0" w:line="249" w:lineRule="auto"/>
        <w:rPr>
          <w:rFonts w:hint="eastAsia"/>
        </w:rPr>
      </w:pPr>
      <w:r>
        <w:rPr>
          <w:rFonts w:hint="eastAsia"/>
        </w:rPr>
        <w:t>因此，在上下文中阅读我们的经文，我们理解这场审判将在基督的显现时发生（4:13），从教会开始，然后立刻临到那些不顺服基督福音的人（帖后1:8）。</w:t>
      </w:r>
    </w:p>
    <w:p w14:paraId="0E7D8BF8">
      <w:pPr>
        <w:pStyle w:val="9"/>
        <w:spacing w:after="0" w:line="249" w:lineRule="auto"/>
        <w:rPr>
          <w:rFonts w:hint="eastAsia"/>
        </w:rPr>
      </w:pPr>
    </w:p>
    <w:p w14:paraId="2A3CED6A">
      <w:pPr>
        <w:pStyle w:val="9"/>
        <w:spacing w:after="0" w:line="249" w:lineRule="auto"/>
        <w:rPr>
          <w:rFonts w:hint="eastAsia"/>
        </w:rPr>
      </w:pPr>
      <w:r>
        <w:rPr>
          <w:rFonts w:hint="eastAsia"/>
        </w:rPr>
        <w:t>In other words, at the one Consummation both the godly and the ungodly, the righteous and sinners, will stand together before Christ the Judge (3:18).</w:t>
      </w:r>
    </w:p>
    <w:p w14:paraId="1DF00384">
      <w:pPr>
        <w:pStyle w:val="9"/>
        <w:spacing w:after="0" w:line="249" w:lineRule="auto"/>
        <w:rPr>
          <w:rFonts w:hint="eastAsia"/>
        </w:rPr>
      </w:pPr>
      <w:r>
        <w:rPr>
          <w:rFonts w:hint="eastAsia"/>
        </w:rPr>
        <w:t>换句话说，在一次的最终成全时，敬虔的和不敬虔的，义人和罪人，都将一同站在审判主基督面前（3:18）。</w:t>
      </w:r>
    </w:p>
    <w:p w14:paraId="0EEB5062">
      <w:pPr>
        <w:pStyle w:val="9"/>
        <w:spacing w:after="0" w:line="249" w:lineRule="auto"/>
        <w:rPr>
          <w:rFonts w:hint="eastAsia"/>
        </w:rPr>
      </w:pPr>
    </w:p>
    <w:p w14:paraId="16657AA7">
      <w:pPr>
        <w:pStyle w:val="9"/>
        <w:spacing w:after="0" w:line="249" w:lineRule="auto"/>
        <w:rPr>
          <w:rFonts w:hint="eastAsia"/>
        </w:rPr>
      </w:pPr>
      <w:r>
        <w:rPr>
          <w:rFonts w:hint="eastAsia"/>
        </w:rPr>
        <w:t>And if our text left any room for doubt about the unity of this Judgment, a close reading of 2 Peter 3 would remove it completely.</w:t>
      </w:r>
    </w:p>
    <w:p w14:paraId="119A9091">
      <w:pPr>
        <w:pStyle w:val="9"/>
        <w:spacing w:after="0" w:line="249" w:lineRule="auto"/>
        <w:rPr>
          <w:rFonts w:hint="eastAsia"/>
        </w:rPr>
      </w:pPr>
      <w:r>
        <w:rPr>
          <w:rFonts w:hint="eastAsia"/>
        </w:rPr>
        <w:t>如果我们的经文对这次审判的统一性留有任何疑问，仔细阅读彼得后书第3章就会完全消除它。</w:t>
      </w:r>
    </w:p>
    <w:p w14:paraId="1BA1232A">
      <w:pPr>
        <w:pStyle w:val="9"/>
        <w:spacing w:after="0" w:line="249" w:lineRule="auto"/>
        <w:rPr>
          <w:rFonts w:hint="eastAsia"/>
        </w:rPr>
      </w:pPr>
    </w:p>
    <w:p w14:paraId="3990A135">
      <w:pPr>
        <w:pStyle w:val="9"/>
        <w:spacing w:after="0" w:line="249" w:lineRule="auto"/>
        <w:rPr>
          <w:rFonts w:hint="eastAsia"/>
        </w:rPr>
      </w:pPr>
      <w:r>
        <w:rPr>
          <w:rFonts w:hint="eastAsia"/>
        </w:rPr>
        <w:t>In verse 19, Peter concludes with still another exhortation.</w:t>
      </w:r>
    </w:p>
    <w:p w14:paraId="20ED628F">
      <w:pPr>
        <w:pStyle w:val="9"/>
        <w:spacing w:after="0" w:line="249" w:lineRule="auto"/>
        <w:rPr>
          <w:rFonts w:hint="eastAsia"/>
        </w:rPr>
      </w:pPr>
      <w:r>
        <w:rPr>
          <w:rFonts w:hint="eastAsia"/>
        </w:rPr>
        <w:t>在第19节，彼得以又一个劝勉作结。</w:t>
      </w:r>
    </w:p>
    <w:p w14:paraId="23627F41">
      <w:pPr>
        <w:pStyle w:val="9"/>
        <w:spacing w:after="0" w:line="249" w:lineRule="auto"/>
        <w:rPr>
          <w:rFonts w:hint="eastAsia"/>
        </w:rPr>
      </w:pPr>
    </w:p>
    <w:p w14:paraId="4FB55AA6">
      <w:pPr>
        <w:pStyle w:val="9"/>
        <w:spacing w:after="0" w:line="249" w:lineRule="auto"/>
        <w:rPr>
          <w:rFonts w:hint="eastAsia"/>
        </w:rPr>
      </w:pPr>
      <w:r>
        <w:rPr>
          <w:rFonts w:hint="eastAsia"/>
        </w:rPr>
        <w:t>In view of the impending Judgment, let every believer keep entrusting his soul to a faithful Creator in doing what is right; to a faithful Creator, because he knows our frame and can strengthen it; in doing what is right, because the Judge is at the door , and because believers walking in holiness will have no cause to shrink back when he walks through it (2:13-21, 1 John 2:28)!</w:t>
      </w:r>
    </w:p>
    <w:p w14:paraId="509CBBBA">
      <w:pPr>
        <w:pStyle w:val="9"/>
        <w:spacing w:after="0" w:line="249" w:lineRule="auto"/>
        <w:rPr>
          <w:rFonts w:hint="eastAsia"/>
        </w:rPr>
      </w:pPr>
      <w:r>
        <w:rPr>
          <w:rFonts w:hint="eastAsia"/>
        </w:rPr>
        <w:t>鉴于将临的审判，愿每一位信徒在行善时，都将自己的灵魂交托那信实的造化之主；交托信实的造化之主，因为祂知道我们的本体，并能坚固它；在行善时，因为审判主正在门口，并且行在圣洁中的信徒，当祂走进来时，将无缘退缩（2:13-21，约壹2:28）！</w:t>
      </w:r>
    </w:p>
    <w:p w14:paraId="5BDCFB49">
      <w:pPr>
        <w:pStyle w:val="9"/>
        <w:spacing w:after="0" w:line="249" w:lineRule="auto"/>
        <w:rPr>
          <w:rFonts w:hint="eastAsia"/>
        </w:rPr>
      </w:pPr>
    </w:p>
    <w:p w14:paraId="584052F0">
      <w:pPr>
        <w:pStyle w:val="9"/>
        <w:spacing w:after="0" w:line="249" w:lineRule="auto"/>
        <w:rPr>
          <w:rFonts w:hint="eastAsia"/>
        </w:rPr>
      </w:pPr>
      <w:r>
        <w:rPr>
          <w:rFonts w:hint="eastAsia"/>
        </w:rPr>
        <w:t>Was the apostle wrong when he declared that “the end of all things is at hand,” or that “it is time for judgment to begin?”</w:t>
      </w:r>
    </w:p>
    <w:p w14:paraId="3D0FF5E2">
      <w:pPr>
        <w:pStyle w:val="9"/>
        <w:spacing w:after="0" w:line="249" w:lineRule="auto"/>
        <w:rPr>
          <w:rFonts w:hint="eastAsia"/>
        </w:rPr>
      </w:pPr>
      <w:r>
        <w:rPr>
          <w:rFonts w:hint="eastAsia"/>
        </w:rPr>
        <w:t>当使徒宣告“万物的结局近了”，或“审判的时候到了”时，祂错了吗？</w:t>
      </w:r>
    </w:p>
    <w:p w14:paraId="79B4CC7B">
      <w:pPr>
        <w:pStyle w:val="9"/>
        <w:spacing w:after="0" w:line="249" w:lineRule="auto"/>
        <w:rPr>
          <w:rFonts w:hint="eastAsia"/>
        </w:rPr>
      </w:pPr>
    </w:p>
    <w:p w14:paraId="3A987C68">
      <w:pPr>
        <w:pStyle w:val="9"/>
        <w:spacing w:after="0" w:line="249" w:lineRule="auto"/>
        <w:rPr>
          <w:rFonts w:hint="eastAsia"/>
        </w:rPr>
      </w:pPr>
      <w:r>
        <w:rPr>
          <w:rFonts w:hint="eastAsia"/>
        </w:rPr>
        <w:t>No, he was not.</w:t>
      </w:r>
    </w:p>
    <w:p w14:paraId="742E11FA">
      <w:pPr>
        <w:pStyle w:val="9"/>
        <w:spacing w:after="0" w:line="249" w:lineRule="auto"/>
        <w:rPr>
          <w:rFonts w:hint="eastAsia"/>
        </w:rPr>
      </w:pPr>
      <w:r>
        <w:rPr>
          <w:rFonts w:hint="eastAsia"/>
        </w:rPr>
        <w:t>不，祂没有。</w:t>
      </w:r>
    </w:p>
    <w:p w14:paraId="25ED2189">
      <w:pPr>
        <w:pStyle w:val="9"/>
        <w:spacing w:after="0" w:line="249" w:lineRule="auto"/>
        <w:rPr>
          <w:rFonts w:hint="eastAsia"/>
        </w:rPr>
      </w:pPr>
    </w:p>
    <w:p w14:paraId="499CD6A5">
      <w:pPr>
        <w:pStyle w:val="9"/>
        <w:spacing w:after="0" w:line="249" w:lineRule="auto"/>
        <w:rPr>
          <w:rFonts w:hint="eastAsia"/>
        </w:rPr>
      </w:pPr>
      <w:r>
        <w:rPr>
          <w:rFonts w:hint="eastAsia"/>
        </w:rPr>
        <w:t>As he himself would write in his second epistle, with the Lord a thousand years is as one day (2 Peter 3:8; 1 John 2:18).</w:t>
      </w:r>
    </w:p>
    <w:p w14:paraId="2F007911">
      <w:pPr>
        <w:pStyle w:val="9"/>
        <w:spacing w:after="0" w:line="249" w:lineRule="auto"/>
        <w:rPr>
          <w:rFonts w:hint="eastAsia"/>
        </w:rPr>
      </w:pPr>
      <w:r>
        <w:rPr>
          <w:rFonts w:hint="eastAsia"/>
        </w:rPr>
        <w:t>正如祂自己在第二封信中所写，在主看来，一日如千年（彼得后书3:8；约翰一书2:18）。</w:t>
      </w:r>
    </w:p>
    <w:p w14:paraId="7690CE93">
      <w:pPr>
        <w:pStyle w:val="9"/>
        <w:spacing w:after="0" w:line="249" w:lineRule="auto"/>
        <w:rPr>
          <w:rFonts w:hint="eastAsia"/>
        </w:rPr>
      </w:pPr>
    </w:p>
    <w:p w14:paraId="1E86257D">
      <w:pPr>
        <w:pStyle w:val="9"/>
        <w:spacing w:after="0" w:line="249" w:lineRule="auto"/>
        <w:rPr>
          <w:rFonts w:hint="eastAsia"/>
        </w:rPr>
      </w:pPr>
      <w:r>
        <w:rPr>
          <w:rFonts w:hint="eastAsia"/>
        </w:rPr>
        <w:t>Therefore, by God’s reckoning, Peter wrote to us 21st century Christians only two days ago.</w:t>
      </w:r>
    </w:p>
    <w:p w14:paraId="461D0817">
      <w:pPr>
        <w:pStyle w:val="9"/>
        <w:spacing w:after="0" w:line="249" w:lineRule="auto"/>
        <w:rPr>
          <w:rFonts w:hint="eastAsia"/>
        </w:rPr>
      </w:pPr>
      <w:r>
        <w:rPr>
          <w:rFonts w:hint="eastAsia"/>
        </w:rPr>
        <w:t>因此，按着上帝的计算，彼得只是两天前才写信给我们二十一世纪的基督徒。</w:t>
      </w:r>
    </w:p>
    <w:p w14:paraId="70A8C741">
      <w:pPr>
        <w:pStyle w:val="9"/>
        <w:spacing w:after="0" w:line="249" w:lineRule="auto"/>
        <w:rPr>
          <w:rFonts w:hint="eastAsia"/>
        </w:rPr>
      </w:pPr>
    </w:p>
    <w:p w14:paraId="2EF7765F">
      <w:pPr>
        <w:pStyle w:val="9"/>
        <w:spacing w:after="0" w:line="249" w:lineRule="auto"/>
        <w:rPr>
          <w:rFonts w:hint="eastAsia"/>
        </w:rPr>
      </w:pPr>
      <w:r>
        <w:rPr>
          <w:rFonts w:hint="eastAsia"/>
        </w:rPr>
        <w:t>The end of all things is indeed at hand, and the time for the Judgment is upon us, and it is nearer now than ever before (Rom. 13:11)!</w:t>
      </w:r>
    </w:p>
    <w:p w14:paraId="525344EE">
      <w:pPr>
        <w:pStyle w:val="9"/>
        <w:spacing w:after="0" w:line="249" w:lineRule="auto"/>
        <w:rPr>
          <w:rFonts w:hint="eastAsia"/>
        </w:rPr>
      </w:pPr>
      <w:r>
        <w:rPr>
          <w:rFonts w:hint="eastAsia"/>
        </w:rPr>
        <w:t>万物的结局确实近了，审判的时候也临到我们了，并且比以往任何时候都更近了（罗13:11）！</w:t>
      </w:r>
    </w:p>
    <w:p w14:paraId="09A7A732">
      <w:pPr>
        <w:pStyle w:val="9"/>
        <w:spacing w:after="0" w:line="249" w:lineRule="auto"/>
        <w:rPr>
          <w:rFonts w:hint="eastAsia"/>
        </w:rPr>
      </w:pPr>
    </w:p>
    <w:p w14:paraId="43E76BF7">
      <w:pPr>
        <w:pStyle w:val="9"/>
        <w:spacing w:after="0" w:line="249" w:lineRule="auto"/>
        <w:rPr>
          <w:rFonts w:hint="eastAsia"/>
        </w:rPr>
      </w:pPr>
      <w:r>
        <w:rPr>
          <w:rFonts w:hint="eastAsia"/>
        </w:rPr>
        <w:t>Therefore, just like our brethren under the Emperor Nero, we too must faithfully gird up the loins of our minds for action, stay sober in spirit, and fix our hope completely on the grace to be brought to us in the one Consummation set to occur at the Revelation of the High King of Heaven (1:13).</w:t>
      </w:r>
    </w:p>
    <w:p w14:paraId="437EE4E4">
      <w:pPr>
        <w:pStyle w:val="9"/>
        <w:spacing w:after="0" w:line="249" w:lineRule="auto"/>
        <w:rPr>
          <w:rFonts w:hint="eastAsia"/>
        </w:rPr>
      </w:pPr>
      <w:r>
        <w:rPr>
          <w:rFonts w:hint="eastAsia"/>
        </w:rPr>
        <w:t>因此，就像我们在尼禄皇帝之下的弟兄们一样，我们也必须忠心地束上我们心中的腰，准备行动，在灵里警醒，并将我们的盼望完全寄托在那将在天上至高君王显现时成就的一次性最终成全中所要带给我们的恩典上（1:13）。</w:t>
      </w:r>
    </w:p>
    <w:p w14:paraId="6F63A59C">
      <w:pPr>
        <w:pStyle w:val="9"/>
        <w:spacing w:after="0" w:line="249" w:lineRule="auto"/>
        <w:rPr>
          <w:rFonts w:hint="eastAsia"/>
        </w:rPr>
      </w:pPr>
    </w:p>
    <w:p w14:paraId="02FFCD23">
      <w:pPr>
        <w:pStyle w:val="9"/>
        <w:spacing w:after="0" w:line="249" w:lineRule="auto"/>
        <w:rPr>
          <w:rFonts w:hint="eastAsia"/>
        </w:rPr>
      </w:pPr>
      <w:r>
        <w:rPr>
          <w:rFonts w:hint="eastAsia"/>
        </w:rPr>
        <w:t>4.The Day of the Lord Will Come</w:t>
      </w:r>
    </w:p>
    <w:p w14:paraId="00CEEFC0">
      <w:pPr>
        <w:pStyle w:val="9"/>
        <w:spacing w:after="0" w:line="249" w:lineRule="auto"/>
        <w:rPr>
          <w:rFonts w:hint="eastAsia"/>
        </w:rPr>
      </w:pPr>
      <w:r>
        <w:rPr>
          <w:rFonts w:hint="eastAsia"/>
        </w:rPr>
        <w:t>4.主的日子要来</w:t>
      </w:r>
    </w:p>
    <w:p w14:paraId="5D71C836">
      <w:pPr>
        <w:pStyle w:val="9"/>
        <w:spacing w:after="0" w:line="249" w:lineRule="auto"/>
        <w:rPr>
          <w:rFonts w:hint="eastAsia"/>
        </w:rPr>
      </w:pPr>
    </w:p>
    <w:p w14:paraId="1BC84C62">
      <w:pPr>
        <w:pStyle w:val="9"/>
        <w:spacing w:after="0" w:line="249" w:lineRule="auto"/>
        <w:rPr>
          <w:rFonts w:hint="eastAsia"/>
        </w:rPr>
      </w:pPr>
      <w:r>
        <w:rPr>
          <w:rFonts w:hint="eastAsia"/>
        </w:rPr>
        <w:t>(2 Peter 3:3-13)</w:t>
      </w:r>
    </w:p>
    <w:p w14:paraId="4112A14F">
      <w:pPr>
        <w:pStyle w:val="9"/>
        <w:spacing w:after="0" w:line="249" w:lineRule="auto"/>
        <w:rPr>
          <w:rFonts w:hint="eastAsia"/>
        </w:rPr>
      </w:pPr>
      <w:r>
        <w:rPr>
          <w:rFonts w:hint="eastAsia"/>
        </w:rPr>
        <w:t>（彼得后书3:3-13）</w:t>
      </w:r>
    </w:p>
    <w:p w14:paraId="1A23B39C">
      <w:pPr>
        <w:pStyle w:val="9"/>
        <w:spacing w:after="0" w:line="249" w:lineRule="auto"/>
        <w:rPr>
          <w:rFonts w:hint="eastAsia"/>
        </w:rPr>
      </w:pPr>
    </w:p>
    <w:p w14:paraId="5FF12337">
      <w:pPr>
        <w:pStyle w:val="9"/>
        <w:spacing w:after="0" w:line="249" w:lineRule="auto"/>
        <w:rPr>
          <w:rFonts w:hint="eastAsia"/>
        </w:rPr>
      </w:pPr>
      <w:r>
        <w:rPr>
          <w:rFonts w:hint="eastAsia"/>
        </w:rPr>
        <w:t>For sheer power and majesty, 2 Peter 3:3-13 stands among the top two or three eschatological texts of the NT.</w:t>
      </w:r>
    </w:p>
    <w:p w14:paraId="438CA4F1">
      <w:pPr>
        <w:pStyle w:val="9"/>
        <w:spacing w:after="0" w:line="249" w:lineRule="auto"/>
        <w:rPr>
          <w:rFonts w:hint="eastAsia"/>
        </w:rPr>
      </w:pPr>
      <w:r>
        <w:rPr>
          <w:rFonts w:hint="eastAsia"/>
        </w:rPr>
        <w:t>就其纯粹的能力和威严而言，彼得后书3:3-13是新约中最重要的两三段末世论经文之一。</w:t>
      </w:r>
    </w:p>
    <w:p w14:paraId="3D06A181">
      <w:pPr>
        <w:pStyle w:val="9"/>
        <w:spacing w:after="0" w:line="249" w:lineRule="auto"/>
        <w:rPr>
          <w:rFonts w:hint="eastAsia"/>
        </w:rPr>
      </w:pPr>
    </w:p>
    <w:p w14:paraId="7DDFFD56">
      <w:pPr>
        <w:pStyle w:val="9"/>
        <w:spacing w:after="0" w:line="249" w:lineRule="auto"/>
        <w:rPr>
          <w:rFonts w:hint="eastAsia"/>
        </w:rPr>
      </w:pPr>
      <w:r>
        <w:rPr>
          <w:rFonts w:hint="eastAsia"/>
        </w:rPr>
        <w:t>Here the apostle fully unveils his conception of “the end of all things” (1 Peter 4:7).</w:t>
      </w:r>
    </w:p>
    <w:p w14:paraId="60C81AC9">
      <w:pPr>
        <w:pStyle w:val="9"/>
        <w:spacing w:after="0" w:line="249" w:lineRule="auto"/>
        <w:rPr>
          <w:rFonts w:hint="eastAsia"/>
        </w:rPr>
      </w:pPr>
      <w:r>
        <w:rPr>
          <w:rFonts w:hint="eastAsia"/>
        </w:rPr>
        <w:t>在这里，使徒完全揭示了他对“万物的结局”（彼得前书4:7）的构想。</w:t>
      </w:r>
    </w:p>
    <w:p w14:paraId="0B3C56D3">
      <w:pPr>
        <w:pStyle w:val="9"/>
        <w:spacing w:after="0" w:line="249" w:lineRule="auto"/>
        <w:rPr>
          <w:rFonts w:hint="eastAsia"/>
        </w:rPr>
      </w:pPr>
    </w:p>
    <w:p w14:paraId="5E894FDF">
      <w:pPr>
        <w:pStyle w:val="9"/>
        <w:spacing w:after="0" w:line="249" w:lineRule="auto"/>
        <w:rPr>
          <w:rFonts w:hint="eastAsia"/>
        </w:rPr>
      </w:pPr>
      <w:r>
        <w:rPr>
          <w:rFonts w:hint="eastAsia"/>
        </w:rPr>
        <w:t>As ever, the Parousia lies at its heart (3:4).</w:t>
      </w:r>
    </w:p>
    <w:p w14:paraId="23B42F9A">
      <w:pPr>
        <w:pStyle w:val="9"/>
        <w:spacing w:after="0" w:line="249" w:lineRule="auto"/>
        <w:rPr>
          <w:rFonts w:hint="eastAsia"/>
        </w:rPr>
      </w:pPr>
      <w:r>
        <w:rPr>
          <w:rFonts w:hint="eastAsia"/>
        </w:rPr>
        <w:t>一如既往，主临（Parousia）是其核心（3:4）。</w:t>
      </w:r>
    </w:p>
    <w:p w14:paraId="63D532F5">
      <w:pPr>
        <w:pStyle w:val="9"/>
        <w:spacing w:after="0" w:line="249" w:lineRule="auto"/>
        <w:rPr>
          <w:rFonts w:hint="eastAsia"/>
        </w:rPr>
      </w:pPr>
    </w:p>
    <w:p w14:paraId="1CFBEC6B">
      <w:pPr>
        <w:pStyle w:val="9"/>
        <w:spacing w:after="0" w:line="249" w:lineRule="auto"/>
        <w:rPr>
          <w:rFonts w:hint="eastAsia"/>
        </w:rPr>
      </w:pPr>
      <w:r>
        <w:rPr>
          <w:rFonts w:hint="eastAsia"/>
        </w:rPr>
        <w:t>Now, however, the accent falls upon the one Judgment that Christ will effect at his return, and also upon the cosmic implications of that Judgment.</w:t>
      </w:r>
    </w:p>
    <w:p w14:paraId="1AAC02A3">
      <w:pPr>
        <w:pStyle w:val="9"/>
        <w:spacing w:after="0" w:line="249" w:lineRule="auto"/>
        <w:rPr>
          <w:rFonts w:hint="eastAsia"/>
        </w:rPr>
      </w:pPr>
      <w:r>
        <w:rPr>
          <w:rFonts w:hint="eastAsia"/>
        </w:rPr>
        <w:t>然而，现在重点落在基督再来时将要施行的那一次审判，以及那审判的宇宙性涵义上。</w:t>
      </w:r>
    </w:p>
    <w:p w14:paraId="6A07FB3E">
      <w:pPr>
        <w:pStyle w:val="9"/>
        <w:spacing w:after="0" w:line="249" w:lineRule="auto"/>
        <w:rPr>
          <w:rFonts w:hint="eastAsia"/>
        </w:rPr>
      </w:pPr>
    </w:p>
    <w:p w14:paraId="4936A0A6">
      <w:pPr>
        <w:pStyle w:val="9"/>
        <w:spacing w:after="0" w:line="249" w:lineRule="auto"/>
        <w:rPr>
          <w:rFonts w:hint="eastAsia"/>
        </w:rPr>
      </w:pPr>
      <w:r>
        <w:rPr>
          <w:rFonts w:hint="eastAsia"/>
        </w:rPr>
        <w:t>The result is one of Scripture’s most comprehensive pictures of the Consummation, a picture whose character and unity completely rule out every premillennial scheme.</w:t>
      </w:r>
    </w:p>
    <w:p w14:paraId="7164654C">
      <w:pPr>
        <w:pStyle w:val="9"/>
        <w:spacing w:after="0" w:line="249" w:lineRule="auto"/>
        <w:rPr>
          <w:rFonts w:hint="eastAsia"/>
        </w:rPr>
      </w:pPr>
      <w:r>
        <w:rPr>
          <w:rFonts w:hint="eastAsia"/>
        </w:rPr>
        <w:t>其结果是圣经中对最终成全最全面的描绘之一，这幅图画的特征和统一性完全排除了每一种前千禧年论的方案。</w:t>
      </w:r>
    </w:p>
    <w:p w14:paraId="515E8506">
      <w:pPr>
        <w:pStyle w:val="9"/>
        <w:spacing w:after="0" w:line="249" w:lineRule="auto"/>
        <w:rPr>
          <w:rFonts w:hint="eastAsia"/>
        </w:rPr>
      </w:pPr>
    </w:p>
    <w:p w14:paraId="168A3A9E">
      <w:pPr>
        <w:pStyle w:val="9"/>
        <w:spacing w:after="0" w:line="249" w:lineRule="auto"/>
        <w:rPr>
          <w:rFonts w:hint="eastAsia"/>
        </w:rPr>
      </w:pPr>
      <w:r>
        <w:rPr>
          <w:rFonts w:hint="eastAsia"/>
        </w:rPr>
        <w:t>Truly, this text serves as a mighty bulwark of the classic Reformation eschatology.</w:t>
      </w:r>
    </w:p>
    <w:p w14:paraId="41E36A43">
      <w:pPr>
        <w:pStyle w:val="9"/>
        <w:spacing w:after="0" w:line="249" w:lineRule="auto"/>
        <w:rPr>
          <w:rFonts w:hint="eastAsia"/>
        </w:rPr>
      </w:pPr>
      <w:r>
        <w:rPr>
          <w:rFonts w:hint="eastAsia"/>
        </w:rPr>
        <w:t>真的，这段经文是经典宗教改革末世论的坚固堡垒。</w:t>
      </w:r>
    </w:p>
    <w:p w14:paraId="00B91A69">
      <w:pPr>
        <w:pStyle w:val="9"/>
        <w:spacing w:after="0" w:line="249" w:lineRule="auto"/>
        <w:rPr>
          <w:rFonts w:hint="eastAsia"/>
        </w:rPr>
      </w:pPr>
    </w:p>
    <w:p w14:paraId="051AF815">
      <w:pPr>
        <w:pStyle w:val="9"/>
        <w:spacing w:after="0" w:line="249" w:lineRule="auto"/>
        <w:rPr>
          <w:rFonts w:hint="eastAsia"/>
        </w:rPr>
      </w:pPr>
      <w:r>
        <w:rPr>
          <w:rFonts w:hint="eastAsia"/>
        </w:rPr>
        <w:t>Before plunging into the passage itself, a few introductory words are in order.</w:t>
      </w:r>
    </w:p>
    <w:p w14:paraId="363AE9E9">
      <w:pPr>
        <w:pStyle w:val="9"/>
        <w:spacing w:after="0" w:line="249" w:lineRule="auto"/>
        <w:rPr>
          <w:rFonts w:hint="eastAsia"/>
        </w:rPr>
      </w:pPr>
      <w:r>
        <w:rPr>
          <w:rFonts w:hint="eastAsia"/>
        </w:rPr>
        <w:t>在深入探讨这段经文之前，有必要作一些介绍性的话语。</w:t>
      </w:r>
    </w:p>
    <w:p w14:paraId="43CF2E39">
      <w:pPr>
        <w:pStyle w:val="9"/>
        <w:spacing w:after="0" w:line="249" w:lineRule="auto"/>
        <w:rPr>
          <w:rFonts w:hint="eastAsia"/>
        </w:rPr>
      </w:pPr>
    </w:p>
    <w:p w14:paraId="564F1638">
      <w:pPr>
        <w:pStyle w:val="9"/>
        <w:spacing w:after="0" w:line="249" w:lineRule="auto"/>
        <w:rPr>
          <w:rFonts w:hint="eastAsia"/>
        </w:rPr>
      </w:pPr>
      <w:r>
        <w:rPr>
          <w:rFonts w:hint="eastAsia"/>
        </w:rPr>
        <w:t>As we saw earlier, Peter now knows that the time of his departure from this world is at hand (1:14).</w:t>
      </w:r>
    </w:p>
    <w:p w14:paraId="3589A31B">
      <w:pPr>
        <w:pStyle w:val="9"/>
        <w:spacing w:after="0" w:line="249" w:lineRule="auto"/>
        <w:rPr>
          <w:rFonts w:hint="eastAsia"/>
        </w:rPr>
      </w:pPr>
      <w:r>
        <w:rPr>
          <w:rFonts w:hint="eastAsia"/>
        </w:rPr>
        <w:t>正如我们先前所见，彼得现在知道他离开这世界的时候到了（1:14）。</w:t>
      </w:r>
    </w:p>
    <w:p w14:paraId="57D7CA0E">
      <w:pPr>
        <w:pStyle w:val="9"/>
        <w:spacing w:after="0" w:line="249" w:lineRule="auto"/>
        <w:rPr>
          <w:rFonts w:hint="eastAsia"/>
        </w:rPr>
      </w:pPr>
    </w:p>
    <w:p w14:paraId="5F28683B">
      <w:pPr>
        <w:pStyle w:val="9"/>
        <w:spacing w:after="0" w:line="249" w:lineRule="auto"/>
        <w:rPr>
          <w:rFonts w:hint="eastAsia"/>
        </w:rPr>
      </w:pPr>
      <w:r>
        <w:rPr>
          <w:rFonts w:hint="eastAsia"/>
        </w:rPr>
        <w:t>Accordingly, he desires to leave his fellow pilgrims with some final words of instruction, encouragement, and exhortation.</w:t>
      </w:r>
    </w:p>
    <w:p w14:paraId="11D451F8">
      <w:pPr>
        <w:pStyle w:val="9"/>
        <w:spacing w:after="0" w:line="249" w:lineRule="auto"/>
        <w:rPr>
          <w:rFonts w:hint="eastAsia"/>
        </w:rPr>
      </w:pPr>
      <w:r>
        <w:rPr>
          <w:rFonts w:hint="eastAsia"/>
        </w:rPr>
        <w:t>因此，他渴望给他的同路人留下一些最后的教导、鼓励和劝勉。</w:t>
      </w:r>
    </w:p>
    <w:p w14:paraId="2F60C60A">
      <w:pPr>
        <w:pStyle w:val="9"/>
        <w:spacing w:after="0" w:line="249" w:lineRule="auto"/>
        <w:rPr>
          <w:rFonts w:hint="eastAsia"/>
        </w:rPr>
      </w:pPr>
    </w:p>
    <w:p w14:paraId="53AFE8E0">
      <w:pPr>
        <w:pStyle w:val="9"/>
        <w:spacing w:after="0" w:line="249" w:lineRule="auto"/>
        <w:rPr>
          <w:rFonts w:hint="eastAsia"/>
        </w:rPr>
      </w:pPr>
      <w:r>
        <w:rPr>
          <w:rFonts w:hint="eastAsia"/>
        </w:rPr>
        <w:t>He explains to them how they can make their calling and election sure (1:3-11).</w:t>
      </w:r>
    </w:p>
    <w:p w14:paraId="40DC440E">
      <w:pPr>
        <w:pStyle w:val="9"/>
        <w:spacing w:after="0" w:line="249" w:lineRule="auto"/>
        <w:rPr>
          <w:rFonts w:hint="eastAsia"/>
        </w:rPr>
      </w:pPr>
      <w:r>
        <w:rPr>
          <w:rFonts w:hint="eastAsia"/>
        </w:rPr>
        <w:t>祂向他们解释如何使他们所蒙的恩召和拣选坚定不移（1:3-11）。</w:t>
      </w:r>
    </w:p>
    <w:p w14:paraId="3321394B">
      <w:pPr>
        <w:pStyle w:val="9"/>
        <w:spacing w:after="0" w:line="249" w:lineRule="auto"/>
        <w:rPr>
          <w:rFonts w:hint="eastAsia"/>
        </w:rPr>
      </w:pPr>
    </w:p>
    <w:p w14:paraId="1676337C">
      <w:pPr>
        <w:pStyle w:val="9"/>
        <w:spacing w:after="0" w:line="249" w:lineRule="auto"/>
        <w:rPr>
          <w:rFonts w:hint="eastAsia"/>
        </w:rPr>
      </w:pPr>
      <w:r>
        <w:rPr>
          <w:rFonts w:hint="eastAsia"/>
        </w:rPr>
        <w:t>He directs them to the unfailing sources of spiritual light and strength: the Lord’s own commandments, the apostles’ testimony, and the inspired words of the Old Testament prophets (1:12-21, 3:1-2).</w:t>
      </w:r>
    </w:p>
    <w:p w14:paraId="6767FFC3">
      <w:pPr>
        <w:pStyle w:val="9"/>
        <w:spacing w:after="0" w:line="249" w:lineRule="auto"/>
        <w:rPr>
          <w:rFonts w:hint="eastAsia"/>
        </w:rPr>
      </w:pPr>
      <w:r>
        <w:rPr>
          <w:rFonts w:hint="eastAsia"/>
        </w:rPr>
        <w:t>祂引导他们到属灵亮光和力量的永不枯竭的源泉：主自己的诫命，使徒们的见证，以及旧约先知们受默示的话语（1:12-21, 3:1-2）。</w:t>
      </w:r>
    </w:p>
    <w:p w14:paraId="2516D699">
      <w:pPr>
        <w:pStyle w:val="9"/>
        <w:spacing w:after="0" w:line="249" w:lineRule="auto"/>
        <w:rPr>
          <w:rFonts w:hint="eastAsia"/>
        </w:rPr>
      </w:pPr>
    </w:p>
    <w:p w14:paraId="6827D33E">
      <w:pPr>
        <w:pStyle w:val="9"/>
        <w:spacing w:after="0" w:line="249" w:lineRule="auto"/>
        <w:rPr>
          <w:rFonts w:hint="eastAsia"/>
        </w:rPr>
      </w:pPr>
      <w:r>
        <w:rPr>
          <w:rFonts w:hint="eastAsia"/>
        </w:rPr>
        <w:t>Mindful that apostates and false teachers are now infiltrating the churches, he sharply warns the brethren against following them into error and sin.</w:t>
      </w:r>
    </w:p>
    <w:p w14:paraId="0D6EBF25">
      <w:pPr>
        <w:pStyle w:val="9"/>
        <w:spacing w:after="0" w:line="249" w:lineRule="auto"/>
        <w:rPr>
          <w:rFonts w:hint="eastAsia"/>
        </w:rPr>
      </w:pPr>
      <w:r>
        <w:rPr>
          <w:rFonts w:hint="eastAsia"/>
        </w:rPr>
        <w:t>祂留意到背道者和假教师现正潜入教会，便严厉地警告弟兄们不要跟随他们进入错谬和罪恶。</w:t>
      </w:r>
    </w:p>
    <w:p w14:paraId="047EA555">
      <w:pPr>
        <w:pStyle w:val="9"/>
        <w:spacing w:after="0" w:line="249" w:lineRule="auto"/>
        <w:rPr>
          <w:rFonts w:hint="eastAsia"/>
        </w:rPr>
      </w:pPr>
    </w:p>
    <w:p w14:paraId="3E8757C5">
      <w:pPr>
        <w:pStyle w:val="9"/>
        <w:spacing w:after="0" w:line="249" w:lineRule="auto"/>
        <w:rPr>
          <w:rFonts w:hint="eastAsia"/>
        </w:rPr>
      </w:pPr>
      <w:r>
        <w:rPr>
          <w:rFonts w:hint="eastAsia"/>
        </w:rPr>
        <w:t>He also assures us that God is faithful to preserve all who walk in holiness from the Judgment that is soon to fall on those who have spurned Christ (2:1-22).</w:t>
      </w:r>
    </w:p>
    <w:p w14:paraId="7BF29207">
      <w:pPr>
        <w:pStyle w:val="9"/>
        <w:spacing w:after="0" w:line="249" w:lineRule="auto"/>
        <w:rPr>
          <w:rFonts w:hint="eastAsia"/>
        </w:rPr>
      </w:pPr>
      <w:r>
        <w:rPr>
          <w:rFonts w:hint="eastAsia"/>
        </w:rPr>
        <w:t>祂也向我们保证，上帝是信实的，必保守所有行在圣洁中的人，免于那快要临到藐视基督之人的审判（2:1-22）。</w:t>
      </w:r>
    </w:p>
    <w:p w14:paraId="0629E827">
      <w:pPr>
        <w:pStyle w:val="9"/>
        <w:spacing w:after="0" w:line="249" w:lineRule="auto"/>
        <w:rPr>
          <w:rFonts w:hint="eastAsia"/>
        </w:rPr>
      </w:pPr>
    </w:p>
    <w:p w14:paraId="27D85FCA">
      <w:pPr>
        <w:pStyle w:val="9"/>
        <w:spacing w:after="0" w:line="249" w:lineRule="auto"/>
        <w:rPr>
          <w:rFonts w:hint="eastAsia"/>
        </w:rPr>
      </w:pPr>
      <w:r>
        <w:rPr>
          <w:rFonts w:hint="eastAsia"/>
        </w:rPr>
        <w:t>Notably, chapter 2 is loaded with various OT types and shadows of the Day of the LORD, a Day that he will expound here in chapter 3 (2:4- 9).</w:t>
      </w:r>
    </w:p>
    <w:p w14:paraId="6D499335">
      <w:pPr>
        <w:pStyle w:val="9"/>
        <w:spacing w:after="0" w:line="249" w:lineRule="auto"/>
        <w:rPr>
          <w:rFonts w:hint="eastAsia"/>
        </w:rPr>
      </w:pPr>
      <w:r>
        <w:rPr>
          <w:rFonts w:hint="eastAsia"/>
        </w:rPr>
        <w:t>值得注意的是，第2章充满了关于耶和华的日子的各种旧约预表和影像，祂将在第3章中阐述这一日（2:4-9）。</w:t>
      </w:r>
    </w:p>
    <w:p w14:paraId="5B614AB9">
      <w:pPr>
        <w:pStyle w:val="9"/>
        <w:spacing w:after="0" w:line="249" w:lineRule="auto"/>
        <w:rPr>
          <w:rFonts w:hint="eastAsia"/>
        </w:rPr>
      </w:pPr>
    </w:p>
    <w:p w14:paraId="2215C4A1">
      <w:pPr>
        <w:pStyle w:val="9"/>
        <w:spacing w:after="0" w:line="249" w:lineRule="auto"/>
        <w:rPr>
          <w:rFonts w:hint="eastAsia"/>
        </w:rPr>
      </w:pPr>
      <w:r>
        <w:rPr>
          <w:rFonts w:hint="eastAsia"/>
        </w:rPr>
        <w:t>Peter opens with an exhortation (3:1-2).</w:t>
      </w:r>
    </w:p>
    <w:p w14:paraId="15DB8672">
      <w:pPr>
        <w:pStyle w:val="9"/>
        <w:spacing w:after="0" w:line="249" w:lineRule="auto"/>
        <w:rPr>
          <w:rFonts w:hint="eastAsia"/>
        </w:rPr>
      </w:pPr>
      <w:r>
        <w:rPr>
          <w:rFonts w:hint="eastAsia"/>
        </w:rPr>
        <w:t>彼得以一个劝勉开始（3:1-2）。</w:t>
      </w:r>
    </w:p>
    <w:p w14:paraId="79557363">
      <w:pPr>
        <w:pStyle w:val="9"/>
        <w:spacing w:after="0" w:line="249" w:lineRule="auto"/>
        <w:rPr>
          <w:rFonts w:hint="eastAsia"/>
        </w:rPr>
      </w:pPr>
    </w:p>
    <w:p w14:paraId="1F467E79">
      <w:pPr>
        <w:pStyle w:val="9"/>
        <w:spacing w:after="0" w:line="249" w:lineRule="auto"/>
        <w:rPr>
          <w:rFonts w:hint="eastAsia"/>
        </w:rPr>
      </w:pPr>
      <w:r>
        <w:rPr>
          <w:rFonts w:hint="eastAsia"/>
        </w:rPr>
        <w:t>The saints must always remember the words of the OT prophets and the commandment of their Lord and Savior, formerly conveyed to them by the apostles who first taught them.</w:t>
      </w:r>
    </w:p>
    <w:p w14:paraId="1916F5F4">
      <w:pPr>
        <w:pStyle w:val="9"/>
        <w:spacing w:after="0" w:line="249" w:lineRule="auto"/>
        <w:rPr>
          <w:rFonts w:hint="eastAsia"/>
        </w:rPr>
      </w:pPr>
      <w:r>
        <w:rPr>
          <w:rFonts w:hint="eastAsia"/>
        </w:rPr>
        <w:t>圣徒们必须时刻记住旧约先知们的话语和他们主救主的诫命，这些是先前由初次教导他们的使徒们所传达给他们的。</w:t>
      </w:r>
    </w:p>
    <w:p w14:paraId="00E714E9">
      <w:pPr>
        <w:pStyle w:val="9"/>
        <w:spacing w:after="0" w:line="249" w:lineRule="auto"/>
        <w:rPr>
          <w:rFonts w:hint="eastAsia"/>
        </w:rPr>
      </w:pPr>
    </w:p>
    <w:p w14:paraId="72D52DC9">
      <w:pPr>
        <w:pStyle w:val="9"/>
        <w:spacing w:after="0" w:line="249" w:lineRule="auto"/>
        <w:rPr>
          <w:rFonts w:hint="eastAsia"/>
        </w:rPr>
      </w:pPr>
      <w:r>
        <w:rPr>
          <w:rFonts w:hint="eastAsia"/>
        </w:rPr>
        <w:t>In chapters 1 and 2, he has marvelously exemplified this very pattern, teaching them not only out of his own personal experience with Christ (1:12-18), but also out of the rich treasury of OT history (2:1-22).</w:t>
      </w:r>
    </w:p>
    <w:p w14:paraId="3CEF3EFE">
      <w:pPr>
        <w:pStyle w:val="9"/>
        <w:spacing w:after="0" w:line="249" w:lineRule="auto"/>
        <w:rPr>
          <w:rFonts w:hint="eastAsia"/>
        </w:rPr>
      </w:pPr>
      <w:r>
        <w:rPr>
          <w:rFonts w:hint="eastAsia"/>
        </w:rPr>
        <w:t>在第1章和第2章，他奇妙地体现了这一模式，不仅从祂自己与基督的个人经历（1:12-18）来教导他们，也从旧约历史丰富的宝库中（2:1-22）来教导他们。</w:t>
      </w:r>
    </w:p>
    <w:p w14:paraId="5C260787">
      <w:pPr>
        <w:pStyle w:val="9"/>
        <w:spacing w:after="0" w:line="249" w:lineRule="auto"/>
        <w:rPr>
          <w:rFonts w:hint="eastAsia"/>
        </w:rPr>
      </w:pPr>
    </w:p>
    <w:p w14:paraId="73B4453E">
      <w:pPr>
        <w:pStyle w:val="9"/>
        <w:spacing w:after="0" w:line="249" w:lineRule="auto"/>
        <w:rPr>
          <w:rFonts w:hint="eastAsia"/>
        </w:rPr>
      </w:pPr>
      <w:r>
        <w:rPr>
          <w:rFonts w:hint="eastAsia"/>
        </w:rPr>
        <w:t>At this point, the apostle turns to eschatology.</w:t>
      </w:r>
    </w:p>
    <w:p w14:paraId="37BA9648">
      <w:pPr>
        <w:pStyle w:val="9"/>
        <w:spacing w:after="0" w:line="249" w:lineRule="auto"/>
        <w:rPr>
          <w:rFonts w:hint="eastAsia"/>
        </w:rPr>
      </w:pPr>
      <w:r>
        <w:rPr>
          <w:rFonts w:hint="eastAsia"/>
        </w:rPr>
        <w:t>此时，使徒转向末世论。</w:t>
      </w:r>
    </w:p>
    <w:p w14:paraId="1135EB20">
      <w:pPr>
        <w:pStyle w:val="9"/>
        <w:spacing w:after="0" w:line="249" w:lineRule="auto"/>
        <w:rPr>
          <w:rFonts w:hint="eastAsia"/>
        </w:rPr>
      </w:pPr>
    </w:p>
    <w:p w14:paraId="6A114C78">
      <w:pPr>
        <w:pStyle w:val="9"/>
        <w:spacing w:after="0" w:line="249" w:lineRule="auto"/>
        <w:rPr>
          <w:rFonts w:hint="eastAsia"/>
        </w:rPr>
      </w:pPr>
      <w:r>
        <w:rPr>
          <w:rFonts w:hint="eastAsia"/>
        </w:rPr>
        <w:t>One crucial component of previous apostolic teaching consisted of warnings about the character of the end times.</w:t>
      </w:r>
    </w:p>
    <w:p w14:paraId="79C60757">
      <w:pPr>
        <w:pStyle w:val="9"/>
        <w:spacing w:after="0" w:line="249" w:lineRule="auto"/>
        <w:rPr>
          <w:rFonts w:hint="eastAsia"/>
        </w:rPr>
      </w:pPr>
      <w:r>
        <w:rPr>
          <w:rFonts w:hint="eastAsia"/>
        </w:rPr>
        <w:t>先前使徒教导的一个关键组成部分是关于末世特征的警告。</w:t>
      </w:r>
    </w:p>
    <w:p w14:paraId="282655CE">
      <w:pPr>
        <w:pStyle w:val="9"/>
        <w:spacing w:after="0" w:line="249" w:lineRule="auto"/>
        <w:rPr>
          <w:rFonts w:hint="eastAsia"/>
        </w:rPr>
      </w:pPr>
    </w:p>
    <w:p w14:paraId="07ADBB1A">
      <w:pPr>
        <w:pStyle w:val="9"/>
        <w:spacing w:after="0" w:line="249" w:lineRule="auto"/>
        <w:rPr>
          <w:rFonts w:hint="eastAsia"/>
        </w:rPr>
      </w:pPr>
      <w:r>
        <w:rPr>
          <w:rFonts w:hint="eastAsia"/>
        </w:rPr>
        <w:t>In verses 3-4 he turns again to this theme: In the last days, mockers will rise up, following after their own lusts, saying, “Where is the promise of his Parousia?</w:t>
      </w:r>
    </w:p>
    <w:p w14:paraId="09B6AAB4">
      <w:pPr>
        <w:pStyle w:val="9"/>
        <w:spacing w:after="0" w:line="249" w:lineRule="auto"/>
        <w:rPr>
          <w:rFonts w:hint="eastAsia"/>
        </w:rPr>
      </w:pPr>
      <w:r>
        <w:rPr>
          <w:rFonts w:hint="eastAsia"/>
        </w:rPr>
        <w:t>在第3-4节，他再次转向这个主题：在末后的日子，必有好讥诮的人起来，随从自己的私欲，说：“祂降临（Parousia）的应许在哪里呢？”</w:t>
      </w:r>
    </w:p>
    <w:p w14:paraId="5F3D2049">
      <w:pPr>
        <w:pStyle w:val="9"/>
        <w:spacing w:after="0" w:line="249" w:lineRule="auto"/>
        <w:rPr>
          <w:rFonts w:hint="eastAsia"/>
        </w:rPr>
      </w:pPr>
    </w:p>
    <w:p w14:paraId="367600EA">
      <w:pPr>
        <w:pStyle w:val="9"/>
        <w:spacing w:after="0" w:line="249" w:lineRule="auto"/>
        <w:rPr>
          <w:rFonts w:hint="eastAsia"/>
        </w:rPr>
      </w:pPr>
      <w:r>
        <w:rPr>
          <w:rFonts w:hint="eastAsia"/>
        </w:rPr>
        <w:t>For ever since the (OT) fathers fell asleep, all things continue just as they have from the beginning of creation.”</w:t>
      </w:r>
    </w:p>
    <w:p w14:paraId="65B1DA65">
      <w:pPr>
        <w:pStyle w:val="9"/>
        <w:spacing w:after="0" w:line="249" w:lineRule="auto"/>
        <w:rPr>
          <w:rFonts w:hint="eastAsia"/>
        </w:rPr>
      </w:pPr>
      <w:r>
        <w:rPr>
          <w:rFonts w:hint="eastAsia"/>
        </w:rPr>
        <w:t>“因为从（旧约）列祖睡了以来，万物与起初创造的时候仍是一样。”</w:t>
      </w:r>
    </w:p>
    <w:p w14:paraId="0A02CA35">
      <w:pPr>
        <w:pStyle w:val="9"/>
        <w:spacing w:after="0" w:line="249" w:lineRule="auto"/>
        <w:rPr>
          <w:rFonts w:hint="eastAsia"/>
        </w:rPr>
      </w:pPr>
    </w:p>
    <w:p w14:paraId="35D8BA27">
      <w:pPr>
        <w:pStyle w:val="9"/>
        <w:spacing w:after="0" w:line="249" w:lineRule="auto"/>
        <w:rPr>
          <w:rFonts w:hint="eastAsia"/>
        </w:rPr>
      </w:pPr>
      <w:r>
        <w:rPr>
          <w:rFonts w:hint="eastAsia"/>
        </w:rPr>
        <w:t>Here, Peter is addressing the growing problem of a perceived delay in the return of Christ.</w:t>
      </w:r>
    </w:p>
    <w:p w14:paraId="46B765B9">
      <w:pPr>
        <w:pStyle w:val="9"/>
        <w:spacing w:after="0" w:line="249" w:lineRule="auto"/>
        <w:rPr>
          <w:rFonts w:hint="eastAsia"/>
        </w:rPr>
      </w:pPr>
      <w:r>
        <w:rPr>
          <w:rFonts w:hint="eastAsia"/>
        </w:rPr>
        <w:t>在这里，彼得正在处理一个日益严重的问题，即基督再来的被感知到的耽延。</w:t>
      </w:r>
    </w:p>
    <w:p w14:paraId="5F790F1D">
      <w:pPr>
        <w:pStyle w:val="9"/>
        <w:spacing w:after="0" w:line="249" w:lineRule="auto"/>
        <w:rPr>
          <w:rFonts w:hint="eastAsia"/>
        </w:rPr>
      </w:pPr>
    </w:p>
    <w:p w14:paraId="159451ED">
      <w:pPr>
        <w:pStyle w:val="9"/>
        <w:spacing w:after="0" w:line="249" w:lineRule="auto"/>
        <w:rPr>
          <w:rFonts w:hint="eastAsia"/>
        </w:rPr>
      </w:pPr>
      <w:r>
        <w:rPr>
          <w:rFonts w:hint="eastAsia"/>
        </w:rPr>
        <w:t>Though uncertain as to how long, he himself knows that the Lord will indeed tarry (Mt. 25:5, 19).</w:t>
      </w:r>
    </w:p>
    <w:p w14:paraId="68000AFA">
      <w:pPr>
        <w:pStyle w:val="9"/>
        <w:spacing w:after="0" w:line="249" w:lineRule="auto"/>
        <w:rPr>
          <w:rFonts w:hint="eastAsia"/>
        </w:rPr>
      </w:pPr>
      <w:r>
        <w:rPr>
          <w:rFonts w:hint="eastAsia"/>
        </w:rPr>
        <w:t>虽然不确定有多久，但祂自己知道主确实会耽延（太25:5, 19）。</w:t>
      </w:r>
    </w:p>
    <w:p w14:paraId="052FC2A9">
      <w:pPr>
        <w:pStyle w:val="9"/>
        <w:spacing w:after="0" w:line="249" w:lineRule="auto"/>
        <w:rPr>
          <w:rFonts w:hint="eastAsia"/>
        </w:rPr>
      </w:pPr>
    </w:p>
    <w:p w14:paraId="0D23E2ED">
      <w:pPr>
        <w:pStyle w:val="9"/>
        <w:spacing w:after="0" w:line="249" w:lineRule="auto"/>
        <w:rPr>
          <w:rFonts w:hint="eastAsia"/>
        </w:rPr>
      </w:pPr>
      <w:r>
        <w:rPr>
          <w:rFonts w:hint="eastAsia"/>
        </w:rPr>
        <w:t>He also knows this “delay” will flush the hypocrites and apostates out into the open (Mt. 24:48f, Luke 19:11f).</w:t>
      </w:r>
    </w:p>
    <w:p w14:paraId="3FBD824A">
      <w:pPr>
        <w:pStyle w:val="9"/>
        <w:spacing w:after="0" w:line="249" w:lineRule="auto"/>
        <w:rPr>
          <w:rFonts w:hint="eastAsia"/>
        </w:rPr>
      </w:pPr>
      <w:r>
        <w:rPr>
          <w:rFonts w:hint="eastAsia"/>
        </w:rPr>
        <w:t>祂也知道这次“耽延”将使假冒为善的人和背道者暴露无遗（太24:48及以下，路19:11及以下）。</w:t>
      </w:r>
    </w:p>
    <w:p w14:paraId="19B696A3">
      <w:pPr>
        <w:pStyle w:val="9"/>
        <w:spacing w:after="0" w:line="249" w:lineRule="auto"/>
        <w:rPr>
          <w:rFonts w:hint="eastAsia"/>
        </w:rPr>
      </w:pPr>
    </w:p>
    <w:p w14:paraId="5C2C627D">
      <w:pPr>
        <w:pStyle w:val="9"/>
        <w:spacing w:after="0" w:line="249" w:lineRule="auto"/>
        <w:rPr>
          <w:rFonts w:hint="eastAsia"/>
        </w:rPr>
      </w:pPr>
      <w:r>
        <w:rPr>
          <w:rFonts w:hint="eastAsia"/>
        </w:rPr>
        <w:t>And he knows that when they do show themselves, they will try to stumble the true saints by mocking their faith in the Lord’s promise of a soon return.</w:t>
      </w:r>
    </w:p>
    <w:p w14:paraId="39737566">
      <w:pPr>
        <w:pStyle w:val="9"/>
        <w:spacing w:after="0" w:line="249" w:lineRule="auto"/>
        <w:rPr>
          <w:rFonts w:hint="eastAsia"/>
        </w:rPr>
      </w:pPr>
      <w:r>
        <w:rPr>
          <w:rFonts w:hint="eastAsia"/>
        </w:rPr>
        <w:t>祂知道当他们显露出来时，他们会试图通过嘲笑真圣徒对主快要再来之应许的信心，来使他们跌倒。</w:t>
      </w:r>
    </w:p>
    <w:p w14:paraId="31608731">
      <w:pPr>
        <w:pStyle w:val="9"/>
        <w:spacing w:after="0" w:line="249" w:lineRule="auto"/>
        <w:rPr>
          <w:rFonts w:hint="eastAsia"/>
        </w:rPr>
      </w:pPr>
    </w:p>
    <w:p w14:paraId="0C25313C">
      <w:pPr>
        <w:pStyle w:val="9"/>
        <w:spacing w:after="0" w:line="249" w:lineRule="auto"/>
        <w:rPr>
          <w:rFonts w:hint="eastAsia"/>
        </w:rPr>
      </w:pPr>
      <w:r>
        <w:rPr>
          <w:rFonts w:hint="eastAsia"/>
        </w:rPr>
        <w:t>Being, therefore, an excellent apologist, he would prepare the brethren for the inevitable spiritual contest.</w:t>
      </w:r>
    </w:p>
    <w:p w14:paraId="6C913CD3">
      <w:pPr>
        <w:pStyle w:val="9"/>
        <w:spacing w:after="0" w:line="249" w:lineRule="auto"/>
        <w:rPr>
          <w:rFonts w:hint="eastAsia"/>
        </w:rPr>
      </w:pPr>
      <w:r>
        <w:rPr>
          <w:rFonts w:hint="eastAsia"/>
        </w:rPr>
        <w:t>因此，祂作为一位优秀的护教家，要为弟兄们预备那不可避免的属灵争战。</w:t>
      </w:r>
    </w:p>
    <w:p w14:paraId="1D11372D">
      <w:pPr>
        <w:pStyle w:val="9"/>
        <w:spacing w:after="0" w:line="249" w:lineRule="auto"/>
        <w:rPr>
          <w:rFonts w:hint="eastAsia"/>
        </w:rPr>
      </w:pPr>
    </w:p>
    <w:p w14:paraId="6D67D9ED">
      <w:pPr>
        <w:pStyle w:val="9"/>
        <w:spacing w:after="0" w:line="249" w:lineRule="auto"/>
        <w:rPr>
          <w:rFonts w:hint="eastAsia"/>
        </w:rPr>
      </w:pPr>
      <w:r>
        <w:rPr>
          <w:rFonts w:hint="eastAsia"/>
        </w:rPr>
        <w:t>In passing, note carefully from verse 4 that throughout the discussion ahead the great bone of contention is “the promise of his Parousia.”</w:t>
      </w:r>
    </w:p>
    <w:p w14:paraId="1FA3330B">
      <w:pPr>
        <w:pStyle w:val="9"/>
        <w:spacing w:after="0" w:line="249" w:lineRule="auto"/>
        <w:rPr>
          <w:rFonts w:hint="eastAsia"/>
        </w:rPr>
      </w:pPr>
      <w:r>
        <w:rPr>
          <w:rFonts w:hint="eastAsia"/>
        </w:rPr>
        <w:t>顺便提一下，请从第4节仔细注意，在接下来的讨论中，争论的焦点是“祂降临（Parousia）的应许”。</w:t>
      </w:r>
    </w:p>
    <w:p w14:paraId="198EA43E">
      <w:pPr>
        <w:pStyle w:val="9"/>
        <w:spacing w:after="0" w:line="249" w:lineRule="auto"/>
        <w:rPr>
          <w:rFonts w:hint="eastAsia"/>
        </w:rPr>
      </w:pPr>
    </w:p>
    <w:p w14:paraId="4C97AB19">
      <w:pPr>
        <w:pStyle w:val="9"/>
        <w:spacing w:after="0" w:line="249" w:lineRule="auto"/>
        <w:rPr>
          <w:rFonts w:hint="eastAsia"/>
        </w:rPr>
      </w:pPr>
      <w:r>
        <w:rPr>
          <w:rFonts w:hint="eastAsia"/>
        </w:rPr>
        <w:t>This means that in everything he says subsequent to verse 4, Peter is not only assuring his readers that Christ will indeed come again, but also reminding them of what Christ will do when he does.</w:t>
      </w:r>
    </w:p>
    <w:p w14:paraId="30B8AF13">
      <w:pPr>
        <w:pStyle w:val="9"/>
        <w:spacing w:after="0" w:line="249" w:lineRule="auto"/>
        <w:rPr>
          <w:rFonts w:hint="eastAsia"/>
        </w:rPr>
      </w:pPr>
      <w:r>
        <w:rPr>
          <w:rFonts w:hint="eastAsia"/>
        </w:rPr>
        <w:t>这意味着，在第4节之后祂所说的一切话中，彼得不仅在向他的读者保证基督确实会再来，也在提醒他们当基督再来时祂会做什么。</w:t>
      </w:r>
    </w:p>
    <w:p w14:paraId="7A7AA752">
      <w:pPr>
        <w:pStyle w:val="9"/>
        <w:spacing w:after="0" w:line="249" w:lineRule="auto"/>
        <w:rPr>
          <w:rFonts w:hint="eastAsia"/>
        </w:rPr>
      </w:pPr>
    </w:p>
    <w:p w14:paraId="739F3A4B">
      <w:pPr>
        <w:pStyle w:val="9"/>
        <w:spacing w:after="0" w:line="249" w:lineRule="auto"/>
        <w:rPr>
          <w:rFonts w:hint="eastAsia"/>
        </w:rPr>
      </w:pPr>
      <w:r>
        <w:rPr>
          <w:rFonts w:hint="eastAsia"/>
        </w:rPr>
        <w:t>Not surprisingly, the resulting picture is of a single Consummation centered on the Lord Jesus Christ at his Parousia (3:7, 10, 13).</w:t>
      </w:r>
    </w:p>
    <w:p w14:paraId="6E9DE934">
      <w:pPr>
        <w:pStyle w:val="9"/>
        <w:spacing w:after="0" w:line="249" w:lineRule="auto"/>
        <w:rPr>
          <w:rFonts w:hint="eastAsia"/>
        </w:rPr>
      </w:pPr>
      <w:r>
        <w:rPr>
          <w:rFonts w:hint="eastAsia"/>
        </w:rPr>
        <w:t>不足为奇的是，其结果是一幅以主耶稣基督在祂主临（Parousia）时为中心的单一的最终成全的图画（3:7, 10, 13）。</w:t>
      </w:r>
    </w:p>
    <w:p w14:paraId="7D8750F2">
      <w:pPr>
        <w:pStyle w:val="9"/>
        <w:spacing w:after="0" w:line="249" w:lineRule="auto"/>
        <w:rPr>
          <w:rFonts w:hint="eastAsia"/>
        </w:rPr>
      </w:pPr>
    </w:p>
    <w:p w14:paraId="71F4BB3E">
      <w:pPr>
        <w:pStyle w:val="9"/>
        <w:spacing w:after="0" w:line="249" w:lineRule="auto"/>
        <w:rPr>
          <w:rFonts w:hint="eastAsia"/>
        </w:rPr>
      </w:pPr>
      <w:r>
        <w:rPr>
          <w:rFonts w:hint="eastAsia"/>
        </w:rPr>
        <w:t>In verses 5-7, Peter responds directly to the mockers.</w:t>
      </w:r>
    </w:p>
    <w:p w14:paraId="02AAD3C4">
      <w:pPr>
        <w:pStyle w:val="9"/>
        <w:spacing w:after="0" w:line="249" w:lineRule="auto"/>
        <w:rPr>
          <w:rFonts w:hint="eastAsia"/>
        </w:rPr>
      </w:pPr>
      <w:r>
        <w:rPr>
          <w:rFonts w:hint="eastAsia"/>
        </w:rPr>
        <w:t>在第5-7节，彼得直接回应了那些好讥诮的人。</w:t>
      </w:r>
    </w:p>
    <w:p w14:paraId="5599424B">
      <w:pPr>
        <w:pStyle w:val="9"/>
        <w:spacing w:after="0" w:line="249" w:lineRule="auto"/>
        <w:rPr>
          <w:rFonts w:hint="eastAsia"/>
        </w:rPr>
      </w:pPr>
    </w:p>
    <w:p w14:paraId="5CE02DD1">
      <w:pPr>
        <w:pStyle w:val="9"/>
        <w:spacing w:after="0" w:line="249" w:lineRule="auto"/>
        <w:rPr>
          <w:rFonts w:hint="eastAsia"/>
        </w:rPr>
      </w:pPr>
      <w:r>
        <w:rPr>
          <w:rFonts w:hint="eastAsia"/>
        </w:rPr>
        <w:t>In saying that all things continue as they have from the beginning of the creation, these men (like modern philosophical naturalists) deliberately forget several important biblical truths.</w:t>
      </w:r>
    </w:p>
    <w:p w14:paraId="05212441">
      <w:pPr>
        <w:pStyle w:val="9"/>
        <w:spacing w:after="0" w:line="249" w:lineRule="auto"/>
        <w:rPr>
          <w:rFonts w:hint="eastAsia"/>
        </w:rPr>
      </w:pPr>
      <w:r>
        <w:rPr>
          <w:rFonts w:hint="eastAsia"/>
        </w:rPr>
        <w:t>在说万物从创世之初就一直如此时，这些人（像现代的哲学自然主义者）故意忘记了几个重要的圣经真理。</w:t>
      </w:r>
    </w:p>
    <w:p w14:paraId="1D6E294C">
      <w:pPr>
        <w:pStyle w:val="9"/>
        <w:spacing w:after="0" w:line="249" w:lineRule="auto"/>
        <w:rPr>
          <w:rFonts w:hint="eastAsia"/>
        </w:rPr>
      </w:pPr>
    </w:p>
    <w:p w14:paraId="6CDB18A5">
      <w:pPr>
        <w:pStyle w:val="9"/>
        <w:spacing w:after="0" w:line="249" w:lineRule="auto"/>
        <w:rPr>
          <w:rFonts w:hint="eastAsia"/>
        </w:rPr>
      </w:pPr>
      <w:r>
        <w:rPr>
          <w:rFonts w:hint="eastAsia"/>
        </w:rPr>
        <w:t>First, if God created the heavens and the earth by his powerful word, who is to say that the same omnipotent Being cannot destroy or renew all things by subsequent words (3:5, 7, 13)?</w:t>
      </w:r>
    </w:p>
    <w:p w14:paraId="450247C0">
      <w:pPr>
        <w:pStyle w:val="9"/>
        <w:spacing w:after="0" w:line="249" w:lineRule="auto"/>
        <w:rPr>
          <w:rFonts w:hint="eastAsia"/>
        </w:rPr>
      </w:pPr>
      <w:r>
        <w:rPr>
          <w:rFonts w:hint="eastAsia"/>
        </w:rPr>
        <w:t>首先，如果上帝用祂大能的话语创造了天地，谁能说那同一位全能者不能用随后的话语来毁灭或更新万物呢（3:5, 7, 13）？</w:t>
      </w:r>
    </w:p>
    <w:p w14:paraId="7527C2EC">
      <w:pPr>
        <w:pStyle w:val="9"/>
        <w:spacing w:after="0" w:line="249" w:lineRule="auto"/>
        <w:rPr>
          <w:rFonts w:hint="eastAsia"/>
        </w:rPr>
      </w:pPr>
    </w:p>
    <w:p w14:paraId="3BDB5D21">
      <w:pPr>
        <w:pStyle w:val="9"/>
        <w:spacing w:after="0" w:line="249" w:lineRule="auto"/>
        <w:rPr>
          <w:rFonts w:hint="eastAsia"/>
        </w:rPr>
      </w:pPr>
      <w:r>
        <w:rPr>
          <w:rFonts w:hint="eastAsia"/>
        </w:rPr>
        <w:t>Secondly, as a matter of historical fact, all things have not continued as they are from the beginning, since at the Flood, God supernaturally intervened to destroy the earth (3:6).</w:t>
      </w:r>
    </w:p>
    <w:p w14:paraId="26611566">
      <w:pPr>
        <w:pStyle w:val="9"/>
        <w:spacing w:after="0" w:line="249" w:lineRule="auto"/>
        <w:rPr>
          <w:rFonts w:hint="eastAsia"/>
        </w:rPr>
      </w:pPr>
      <w:r>
        <w:rPr>
          <w:rFonts w:hint="eastAsia"/>
        </w:rPr>
        <w:t>其次，就历史事实而言，万物并非从起初就一直如此，因为在洪水时，上帝超自然地介入，毁灭了地（3:6）。</w:t>
      </w:r>
    </w:p>
    <w:p w14:paraId="3024E092">
      <w:pPr>
        <w:pStyle w:val="9"/>
        <w:spacing w:after="0" w:line="249" w:lineRule="auto"/>
        <w:rPr>
          <w:rFonts w:hint="eastAsia"/>
        </w:rPr>
      </w:pPr>
    </w:p>
    <w:p w14:paraId="75296B6A">
      <w:pPr>
        <w:pStyle w:val="9"/>
        <w:spacing w:after="0" w:line="249" w:lineRule="auto"/>
        <w:rPr>
          <w:rFonts w:hint="eastAsia"/>
        </w:rPr>
      </w:pPr>
      <w:r>
        <w:rPr>
          <w:rFonts w:hint="eastAsia"/>
        </w:rPr>
        <w:t>And thirdly, in OT prophecy, as well as in the teaching ministry of his Son, God has openly declared that indeed he will intervene again, this time by fire, in the Day of the judgment and destruction of ungodly men (3:7; Deut. 32:22, Isaiah 66:15, Mal. 4:1; Mt. 3:12, 13:40-43, Mark 24:35, Luke 17:29).</w:t>
      </w:r>
    </w:p>
    <w:p w14:paraId="2AD869B0">
      <w:pPr>
        <w:pStyle w:val="9"/>
        <w:spacing w:after="0" w:line="249" w:lineRule="auto"/>
        <w:rPr>
          <w:rFonts w:hint="eastAsia"/>
        </w:rPr>
      </w:pPr>
      <w:r>
        <w:rPr>
          <w:rFonts w:hint="eastAsia"/>
        </w:rPr>
        <w:t>第三，在旧约预言中，以及在祂儿子的教导事工中，上帝已公开宣告祂确实会再次介入，这次是用火，在审判和毁灭不敬虔之人的日子（3:7；申32:22，赛66:15，玛4:1；太3:12, 13:40-43，可24:35，路17:29）。</w:t>
      </w:r>
    </w:p>
    <w:p w14:paraId="2F2F88F4">
      <w:pPr>
        <w:pStyle w:val="9"/>
        <w:spacing w:after="0" w:line="249" w:lineRule="auto"/>
        <w:rPr>
          <w:rFonts w:hint="eastAsia"/>
        </w:rPr>
      </w:pPr>
    </w:p>
    <w:p w14:paraId="6E5F0A9A">
      <w:pPr>
        <w:pStyle w:val="9"/>
        <w:spacing w:after="0" w:line="249" w:lineRule="auto"/>
        <w:rPr>
          <w:rFonts w:hint="eastAsia"/>
        </w:rPr>
      </w:pPr>
      <w:r>
        <w:rPr>
          <w:rFonts w:hint="eastAsia"/>
        </w:rPr>
        <w:t>Importantly, the mockers, seeing only what they want to see, fail to realize that they too are among the ungodly, and are actually condemning themselves to this very destruction.</w:t>
      </w:r>
    </w:p>
    <w:p w14:paraId="20671E6D">
      <w:pPr>
        <w:pStyle w:val="9"/>
        <w:spacing w:after="0" w:line="249" w:lineRule="auto"/>
        <w:rPr>
          <w:rFonts w:hint="eastAsia"/>
        </w:rPr>
      </w:pPr>
      <w:r>
        <w:rPr>
          <w:rFonts w:hint="eastAsia"/>
        </w:rPr>
        <w:t>重要的是，那些好讥诮的人，只看他们想看的，却没有意识到他们自己也在不敬虔之列，并且实际上正在定自己的罪，走向这同样的毁灭。</w:t>
      </w:r>
    </w:p>
    <w:p w14:paraId="3A0D9B9F">
      <w:pPr>
        <w:pStyle w:val="9"/>
        <w:spacing w:after="0" w:line="249" w:lineRule="auto"/>
        <w:rPr>
          <w:rFonts w:hint="eastAsia"/>
        </w:rPr>
      </w:pPr>
    </w:p>
    <w:p w14:paraId="2C17F089">
      <w:pPr>
        <w:pStyle w:val="9"/>
        <w:spacing w:after="0" w:line="249" w:lineRule="auto"/>
        <w:rPr>
          <w:rFonts w:hint="eastAsia"/>
        </w:rPr>
      </w:pPr>
      <w:r>
        <w:rPr>
          <w:rFonts w:hint="eastAsia"/>
        </w:rPr>
        <w:t>In passing, note from verse 7 that Peter speaks of the Day of Judgment: There is only one of them, and it occurs at the Coming of the Lord, just as the Lord himself promised (3:4; Mt. 13:37-43, 25:31f, Luke 17:22-36).</w:t>
      </w:r>
    </w:p>
    <w:p w14:paraId="7BB06766">
      <w:pPr>
        <w:pStyle w:val="9"/>
        <w:spacing w:after="0" w:line="249" w:lineRule="auto"/>
        <w:rPr>
          <w:rFonts w:hint="eastAsia"/>
        </w:rPr>
      </w:pPr>
      <w:r>
        <w:rPr>
          <w:rFonts w:hint="eastAsia"/>
        </w:rPr>
        <w:t>顺便提一下，请从第7节注意彼得谈到了审判的日子：只有一个，它发生在主的降临时，正如主祂自己所应许的（3:4；太13:37-43, 25:31及以下，路17:22-36）。</w:t>
      </w:r>
    </w:p>
    <w:p w14:paraId="2CAB48C4">
      <w:pPr>
        <w:pStyle w:val="9"/>
        <w:spacing w:after="0" w:line="249" w:lineRule="auto"/>
        <w:rPr>
          <w:rFonts w:hint="eastAsia"/>
        </w:rPr>
      </w:pPr>
    </w:p>
    <w:p w14:paraId="0DC537CF">
      <w:pPr>
        <w:pStyle w:val="9"/>
        <w:spacing w:after="0" w:line="249" w:lineRule="auto"/>
        <w:rPr>
          <w:rFonts w:hint="eastAsia"/>
        </w:rPr>
      </w:pPr>
      <w:r>
        <w:rPr>
          <w:rFonts w:hint="eastAsia"/>
        </w:rPr>
        <w:t>Again, Peter assumes a single, unified Consummation.</w:t>
      </w:r>
    </w:p>
    <w:p w14:paraId="49FC5FC5">
      <w:pPr>
        <w:pStyle w:val="9"/>
        <w:spacing w:after="0" w:line="249" w:lineRule="auto"/>
        <w:rPr>
          <w:rFonts w:hint="eastAsia"/>
        </w:rPr>
      </w:pPr>
      <w:r>
        <w:rPr>
          <w:rFonts w:hint="eastAsia"/>
        </w:rPr>
        <w:t>再次，彼得假设了一个单一的、统一的最终成全。</w:t>
      </w:r>
    </w:p>
    <w:p w14:paraId="2B3C87F3">
      <w:pPr>
        <w:pStyle w:val="9"/>
        <w:spacing w:after="0" w:line="249" w:lineRule="auto"/>
        <w:rPr>
          <w:rFonts w:hint="eastAsia"/>
        </w:rPr>
      </w:pPr>
    </w:p>
    <w:p w14:paraId="38F470D3">
      <w:pPr>
        <w:pStyle w:val="9"/>
        <w:spacing w:after="0" w:line="249" w:lineRule="auto"/>
        <w:rPr>
          <w:rFonts w:hint="eastAsia"/>
        </w:rPr>
      </w:pPr>
      <w:r>
        <w:rPr>
          <w:rFonts w:hint="eastAsia"/>
        </w:rPr>
        <w:t>In verse 8, the apostle turns his attention away from the mockers and towards his beloved flock.</w:t>
      </w:r>
    </w:p>
    <w:p w14:paraId="57858164">
      <w:pPr>
        <w:pStyle w:val="9"/>
        <w:spacing w:after="0" w:line="249" w:lineRule="auto"/>
        <w:rPr>
          <w:rFonts w:hint="eastAsia"/>
        </w:rPr>
      </w:pPr>
      <w:r>
        <w:rPr>
          <w:rFonts w:hint="eastAsia"/>
        </w:rPr>
        <w:t>在第8节，使徒将他的注意力从好讥诮的人转向他所爱的羊群。</w:t>
      </w:r>
    </w:p>
    <w:p w14:paraId="719589A0">
      <w:pPr>
        <w:pStyle w:val="9"/>
        <w:spacing w:after="0" w:line="249" w:lineRule="auto"/>
        <w:rPr>
          <w:rFonts w:hint="eastAsia"/>
        </w:rPr>
      </w:pPr>
    </w:p>
    <w:p w14:paraId="24FF4C7B">
      <w:pPr>
        <w:pStyle w:val="9"/>
        <w:spacing w:after="0" w:line="249" w:lineRule="auto"/>
        <w:rPr>
          <w:rFonts w:hint="eastAsia"/>
        </w:rPr>
      </w:pPr>
      <w:r>
        <w:rPr>
          <w:rFonts w:hint="eastAsia"/>
        </w:rPr>
        <w:t>Now he wants to give them a fresh perspective on time, a perspective that will help them adjust to Christ’s seeming delay.</w:t>
      </w:r>
    </w:p>
    <w:p w14:paraId="773857D7">
      <w:pPr>
        <w:pStyle w:val="9"/>
        <w:spacing w:after="0" w:line="249" w:lineRule="auto"/>
        <w:rPr>
          <w:rFonts w:hint="eastAsia"/>
        </w:rPr>
      </w:pPr>
      <w:r>
        <w:rPr>
          <w:rFonts w:hint="eastAsia"/>
        </w:rPr>
        <w:t>现在祂想给他们一个关于时间的新视角，一个能帮助他们适应基督看似耽延的视角。</w:t>
      </w:r>
    </w:p>
    <w:p w14:paraId="346A0A74">
      <w:pPr>
        <w:pStyle w:val="9"/>
        <w:spacing w:after="0" w:line="249" w:lineRule="auto"/>
        <w:rPr>
          <w:rFonts w:hint="eastAsia"/>
        </w:rPr>
      </w:pPr>
    </w:p>
    <w:p w14:paraId="56079E70">
      <w:pPr>
        <w:pStyle w:val="9"/>
        <w:spacing w:after="0" w:line="249" w:lineRule="auto"/>
        <w:rPr>
          <w:rFonts w:hint="eastAsia"/>
        </w:rPr>
      </w:pPr>
      <w:r>
        <w:rPr>
          <w:rFonts w:hint="eastAsia"/>
        </w:rPr>
        <w:t>Therefore, he tells them that with the Lord a day is as a thousand years, and a thousand years as a single day (Psalm 90:4).</w:t>
      </w:r>
    </w:p>
    <w:p w14:paraId="36BAE07C">
      <w:pPr>
        <w:pStyle w:val="9"/>
        <w:spacing w:after="0" w:line="249" w:lineRule="auto"/>
        <w:rPr>
          <w:rFonts w:hint="eastAsia"/>
        </w:rPr>
      </w:pPr>
      <w:r>
        <w:rPr>
          <w:rFonts w:hint="eastAsia"/>
        </w:rPr>
        <w:t>因此，祂告诉他们，在主看来，一日如千年，千年如一日（诗篇90:4）。</w:t>
      </w:r>
    </w:p>
    <w:p w14:paraId="6694EA35">
      <w:pPr>
        <w:pStyle w:val="9"/>
        <w:spacing w:after="0" w:line="249" w:lineRule="auto"/>
        <w:rPr>
          <w:rFonts w:hint="eastAsia"/>
        </w:rPr>
      </w:pPr>
    </w:p>
    <w:p w14:paraId="35D4F7AA">
      <w:pPr>
        <w:pStyle w:val="9"/>
        <w:spacing w:after="0" w:line="249" w:lineRule="auto"/>
        <w:rPr>
          <w:rFonts w:hint="eastAsia"/>
        </w:rPr>
      </w:pPr>
      <w:r>
        <w:rPr>
          <w:rFonts w:hint="eastAsia"/>
        </w:rPr>
        <w:t>Commenting on this thought- provoking verse, Michael Green well observes:</w:t>
      </w:r>
    </w:p>
    <w:p w14:paraId="4498FC1A">
      <w:pPr>
        <w:pStyle w:val="9"/>
        <w:spacing w:after="0" w:line="249" w:lineRule="auto"/>
        <w:rPr>
          <w:rFonts w:hint="eastAsia"/>
        </w:rPr>
      </w:pPr>
      <w:r>
        <w:rPr>
          <w:rFonts w:hint="eastAsia"/>
        </w:rPr>
        <w:t>迈克尔·格林在评论这节发人深省的经文时，作了很好的观察：</w:t>
      </w:r>
    </w:p>
    <w:p w14:paraId="120DD06D">
      <w:pPr>
        <w:pStyle w:val="9"/>
        <w:spacing w:after="0" w:line="249" w:lineRule="auto"/>
        <w:rPr>
          <w:rFonts w:hint="eastAsia"/>
        </w:rPr>
      </w:pPr>
    </w:p>
    <w:p w14:paraId="3CE487D8">
      <w:pPr>
        <w:pStyle w:val="9"/>
        <w:spacing w:after="0" w:line="249" w:lineRule="auto"/>
        <w:rPr>
          <w:rFonts w:hint="eastAsia"/>
        </w:rPr>
      </w:pPr>
      <w:r>
        <w:rPr>
          <w:rFonts w:hint="eastAsia"/>
        </w:rPr>
        <w:t>God sees time with a perspective we lack: Even the delay of a thousand years may well seem like a day against the backdrop of eternity.</w:t>
      </w:r>
    </w:p>
    <w:p w14:paraId="1D01ADEA">
      <w:pPr>
        <w:pStyle w:val="9"/>
        <w:spacing w:after="0" w:line="249" w:lineRule="auto"/>
        <w:rPr>
          <w:rFonts w:hint="eastAsia"/>
        </w:rPr>
      </w:pPr>
      <w:r>
        <w:rPr>
          <w:rFonts w:hint="eastAsia"/>
        </w:rPr>
        <w:t>上帝以我们所缺乏的视角看待时间：即使是一千年的耽延，在永恒的背景下也可能看似一日。</w:t>
      </w:r>
    </w:p>
    <w:p w14:paraId="0B7523D4">
      <w:pPr>
        <w:pStyle w:val="9"/>
        <w:spacing w:after="0" w:line="249" w:lineRule="auto"/>
        <w:rPr>
          <w:rFonts w:hint="eastAsia"/>
        </w:rPr>
      </w:pPr>
    </w:p>
    <w:p w14:paraId="553FCB01">
      <w:pPr>
        <w:pStyle w:val="9"/>
        <w:spacing w:after="0" w:line="249" w:lineRule="auto"/>
        <w:rPr>
          <w:rFonts w:hint="eastAsia"/>
        </w:rPr>
      </w:pPr>
      <w:r>
        <w:rPr>
          <w:rFonts w:hint="eastAsia"/>
        </w:rPr>
        <w:t>Furthermore, God sees with an intensity we lack: One day with the Lord is like a thousand years.8</w:t>
      </w:r>
    </w:p>
    <w:p w14:paraId="72FF1CF8">
      <w:pPr>
        <w:pStyle w:val="9"/>
        <w:spacing w:after="0" w:line="249" w:lineRule="auto"/>
        <w:rPr>
          <w:rFonts w:hint="eastAsia"/>
        </w:rPr>
      </w:pPr>
      <w:r>
        <w:rPr>
          <w:rFonts w:hint="eastAsia"/>
        </w:rPr>
        <w:t>此外，上帝以我们所缺乏的强度看待时间：在主的一日如千年。8</w:t>
      </w:r>
    </w:p>
    <w:p w14:paraId="77252D33">
      <w:pPr>
        <w:pStyle w:val="9"/>
        <w:spacing w:after="0" w:line="249" w:lineRule="auto"/>
        <w:rPr>
          <w:rFonts w:hint="eastAsia"/>
        </w:rPr>
      </w:pPr>
    </w:p>
    <w:p w14:paraId="70024F2C">
      <w:pPr>
        <w:pStyle w:val="9"/>
        <w:spacing w:after="0" w:line="249" w:lineRule="auto"/>
        <w:rPr>
          <w:rFonts w:hint="eastAsia"/>
        </w:rPr>
      </w:pPr>
      <w:r>
        <w:rPr>
          <w:rFonts w:hint="eastAsia"/>
        </w:rPr>
        <w:t>Again, Peter is seeking to reframe the believer’s perspective on time.</w:t>
      </w:r>
    </w:p>
    <w:p w14:paraId="16E2C943">
      <w:pPr>
        <w:pStyle w:val="9"/>
        <w:spacing w:after="0" w:line="249" w:lineRule="auto"/>
        <w:rPr>
          <w:rFonts w:hint="eastAsia"/>
        </w:rPr>
      </w:pPr>
      <w:r>
        <w:rPr>
          <w:rFonts w:hint="eastAsia"/>
        </w:rPr>
        <w:t>再次，彼得是在试图重塑信徒对时间的视角。</w:t>
      </w:r>
    </w:p>
    <w:p w14:paraId="01323B3B">
      <w:pPr>
        <w:pStyle w:val="9"/>
        <w:spacing w:after="0" w:line="249" w:lineRule="auto"/>
        <w:rPr>
          <w:rFonts w:hint="eastAsia"/>
        </w:rPr>
      </w:pPr>
    </w:p>
    <w:p w14:paraId="78A9613A">
      <w:pPr>
        <w:pStyle w:val="9"/>
        <w:spacing w:after="0" w:line="249" w:lineRule="auto"/>
        <w:rPr>
          <w:rFonts w:hint="eastAsia"/>
        </w:rPr>
      </w:pPr>
      <w:r>
        <w:rPr>
          <w:rFonts w:hint="eastAsia"/>
        </w:rPr>
        <w:t>To the extent they can adopt God’s eternal perspective, they can see that Christ has not really delayed his Coming at all; that 2000 years is as a mere two days in the Lord's sight; that he is indeed coming “quickly,” just as he said (Rev. 22:7, 12, 20).</w:t>
      </w:r>
    </w:p>
    <w:p w14:paraId="28B5A0E2">
      <w:pPr>
        <w:pStyle w:val="9"/>
        <w:spacing w:after="0" w:line="249" w:lineRule="auto"/>
        <w:rPr>
          <w:rFonts w:hint="eastAsia"/>
        </w:rPr>
      </w:pPr>
      <w:r>
        <w:rPr>
          <w:rFonts w:hint="eastAsia"/>
        </w:rPr>
        <w:t>他们若能在一定程度上采纳上帝永恒的视角，就能看到基督根本没有耽延祂的降临；两千年不过是主眼中的两天；祂确实是“快要”来了，正如祂所说（启22:7, 12, 20）。</w:t>
      </w:r>
    </w:p>
    <w:p w14:paraId="3D3E801A">
      <w:pPr>
        <w:pStyle w:val="9"/>
        <w:spacing w:after="0" w:line="249" w:lineRule="auto"/>
        <w:rPr>
          <w:rFonts w:hint="eastAsia"/>
        </w:rPr>
      </w:pPr>
    </w:p>
    <w:p w14:paraId="09C795EA">
      <w:pPr>
        <w:pStyle w:val="9"/>
        <w:spacing w:after="0" w:line="249" w:lineRule="auto"/>
        <w:rPr>
          <w:rFonts w:hint="eastAsia"/>
        </w:rPr>
      </w:pPr>
      <w:r>
        <w:rPr>
          <w:rFonts w:hint="eastAsia"/>
        </w:rPr>
        <w:t>But to the extent they can adopt God’s probing intensity, they also can see that he carefully scrutinizes every deed of every person—both good and evil—through the twin prisms of final redemption and final judgment.</w:t>
      </w:r>
    </w:p>
    <w:p w14:paraId="2402347F">
      <w:pPr>
        <w:pStyle w:val="9"/>
        <w:spacing w:after="0" w:line="249" w:lineRule="auto"/>
        <w:rPr>
          <w:rFonts w:hint="eastAsia"/>
        </w:rPr>
      </w:pPr>
      <w:r>
        <w:rPr>
          <w:rFonts w:hint="eastAsia"/>
        </w:rPr>
        <w:t>但他们若能在一定程度上采纳上帝审视的强度，他们也能看到祂通过最终救赎和最终审判的双重棱镜，仔细地审查每个人的每一个行为——无论是善是恶。</w:t>
      </w:r>
    </w:p>
    <w:p w14:paraId="292B00B5">
      <w:pPr>
        <w:pStyle w:val="9"/>
        <w:spacing w:after="0" w:line="249" w:lineRule="auto"/>
        <w:rPr>
          <w:rFonts w:hint="eastAsia"/>
        </w:rPr>
      </w:pPr>
    </w:p>
    <w:p w14:paraId="6A7E4B0A">
      <w:pPr>
        <w:pStyle w:val="9"/>
        <w:spacing w:after="0" w:line="249" w:lineRule="auto"/>
        <w:rPr>
          <w:rFonts w:hint="eastAsia"/>
        </w:rPr>
      </w:pPr>
      <w:r>
        <w:rPr>
          <w:rFonts w:hint="eastAsia"/>
        </w:rPr>
        <w:t>Both outlooks will help the saints to remain faithful to their Lord, no matter how long he tarries.</w:t>
      </w:r>
    </w:p>
    <w:p w14:paraId="6AED4C14">
      <w:pPr>
        <w:pStyle w:val="9"/>
        <w:spacing w:after="0" w:line="249" w:lineRule="auto"/>
        <w:rPr>
          <w:rFonts w:hint="eastAsia"/>
        </w:rPr>
      </w:pPr>
      <w:r>
        <w:rPr>
          <w:rFonts w:hint="eastAsia"/>
        </w:rPr>
        <w:t>这两种观点都有助于圣徒们忠于他们的主，无论祂耽延多久。</w:t>
      </w:r>
    </w:p>
    <w:p w14:paraId="35648B78">
      <w:pPr>
        <w:pStyle w:val="9"/>
        <w:spacing w:after="0" w:line="249" w:lineRule="auto"/>
        <w:rPr>
          <w:rFonts w:hint="eastAsia"/>
        </w:rPr>
      </w:pPr>
    </w:p>
    <w:p w14:paraId="22A32D05">
      <w:pPr>
        <w:pStyle w:val="9"/>
        <w:spacing w:after="0" w:line="249" w:lineRule="auto"/>
        <w:rPr>
          <w:rFonts w:hint="eastAsia"/>
        </w:rPr>
      </w:pPr>
      <w:r>
        <w:rPr>
          <w:rFonts w:hint="eastAsia"/>
        </w:rPr>
        <w:t>In verse 9 Peter continues to modify our perspective on time.</w:t>
      </w:r>
    </w:p>
    <w:p w14:paraId="524D51E4">
      <w:pPr>
        <w:pStyle w:val="9"/>
        <w:spacing w:after="0" w:line="249" w:lineRule="auto"/>
        <w:rPr>
          <w:rFonts w:hint="eastAsia"/>
        </w:rPr>
      </w:pPr>
      <w:r>
        <w:rPr>
          <w:rFonts w:hint="eastAsia"/>
        </w:rPr>
        <w:t>在第9节，彼得继续修正我们对时间的看法。</w:t>
      </w:r>
    </w:p>
    <w:p w14:paraId="63ED2EC3">
      <w:pPr>
        <w:pStyle w:val="9"/>
        <w:spacing w:after="0" w:line="249" w:lineRule="auto"/>
        <w:rPr>
          <w:rFonts w:hint="eastAsia"/>
        </w:rPr>
      </w:pPr>
    </w:p>
    <w:p w14:paraId="3B7B9C3E">
      <w:pPr>
        <w:pStyle w:val="9"/>
        <w:spacing w:after="0" w:line="249" w:lineRule="auto"/>
        <w:rPr>
          <w:rFonts w:hint="eastAsia"/>
        </w:rPr>
      </w:pPr>
      <w:r>
        <w:rPr>
          <w:rFonts w:hint="eastAsia"/>
        </w:rPr>
        <w:t>What appears to men as “slowness” (i.e., unpunctuality), is actually longsuffering and patience.</w:t>
      </w:r>
    </w:p>
    <w:p w14:paraId="7FCB64B7">
      <w:pPr>
        <w:pStyle w:val="9"/>
        <w:spacing w:after="0" w:line="249" w:lineRule="auto"/>
        <w:rPr>
          <w:rFonts w:hint="eastAsia"/>
        </w:rPr>
      </w:pPr>
      <w:r>
        <w:rPr>
          <w:rFonts w:hint="eastAsia"/>
        </w:rPr>
        <w:t>在人看来是“迟延”（即不守时），实际上是恒久忍耐和宽容。</w:t>
      </w:r>
    </w:p>
    <w:p w14:paraId="05C3CD58">
      <w:pPr>
        <w:pStyle w:val="9"/>
        <w:spacing w:after="0" w:line="249" w:lineRule="auto"/>
        <w:rPr>
          <w:rFonts w:hint="eastAsia"/>
        </w:rPr>
      </w:pPr>
    </w:p>
    <w:p w14:paraId="3297A1FC">
      <w:pPr>
        <w:pStyle w:val="9"/>
        <w:spacing w:after="0" w:line="249" w:lineRule="auto"/>
        <w:rPr>
          <w:rFonts w:hint="eastAsia"/>
        </w:rPr>
      </w:pPr>
      <w:r>
        <w:rPr>
          <w:rFonts w:hint="eastAsia"/>
        </w:rPr>
        <w:t>Christ long endures the world’s sin (and mockery) because he is patiently waiting until all his elect children are safely gathered in.</w:t>
      </w:r>
    </w:p>
    <w:p w14:paraId="43CC9BB5">
      <w:pPr>
        <w:pStyle w:val="9"/>
        <w:spacing w:after="0" w:line="249" w:lineRule="auto"/>
        <w:rPr>
          <w:rFonts w:hint="eastAsia"/>
        </w:rPr>
      </w:pPr>
      <w:r>
        <w:rPr>
          <w:rFonts w:hint="eastAsia"/>
        </w:rPr>
        <w:t>基督恒久忍耐世人的罪（和讥诮），因为祂正耐心地等候，直到祂所有蒙拣选的儿女都安全地被聚集。</w:t>
      </w:r>
    </w:p>
    <w:p w14:paraId="3A0F2B23">
      <w:pPr>
        <w:pStyle w:val="9"/>
        <w:spacing w:after="0" w:line="249" w:lineRule="auto"/>
        <w:rPr>
          <w:rFonts w:hint="eastAsia"/>
        </w:rPr>
      </w:pPr>
    </w:p>
    <w:p w14:paraId="1108EBC1">
      <w:pPr>
        <w:pStyle w:val="9"/>
        <w:spacing w:after="0" w:line="249" w:lineRule="auto"/>
        <w:rPr>
          <w:rFonts w:hint="eastAsia"/>
        </w:rPr>
      </w:pPr>
      <w:r>
        <w:rPr>
          <w:rFonts w:hint="eastAsia"/>
        </w:rPr>
        <w:t>Only then will he return for the Judgment.</w:t>
      </w:r>
    </w:p>
    <w:p w14:paraId="3DD38940">
      <w:pPr>
        <w:pStyle w:val="9"/>
        <w:spacing w:after="0" w:line="249" w:lineRule="auto"/>
        <w:rPr>
          <w:rFonts w:hint="eastAsia"/>
        </w:rPr>
      </w:pPr>
      <w:r>
        <w:rPr>
          <w:rFonts w:hint="eastAsia"/>
        </w:rPr>
        <w:t>只有到那时，祂才会回来施行审判。</w:t>
      </w:r>
    </w:p>
    <w:p w14:paraId="4BB6F53F">
      <w:pPr>
        <w:pStyle w:val="9"/>
        <w:spacing w:after="0" w:line="249" w:lineRule="auto"/>
        <w:rPr>
          <w:rFonts w:hint="eastAsia"/>
        </w:rPr>
      </w:pPr>
    </w:p>
    <w:p w14:paraId="188CFED3">
      <w:pPr>
        <w:pStyle w:val="9"/>
        <w:spacing w:after="0" w:line="249" w:lineRule="auto"/>
        <w:rPr>
          <w:rFonts w:hint="eastAsia"/>
        </w:rPr>
      </w:pPr>
      <w:r>
        <w:rPr>
          <w:rFonts w:hint="eastAsia"/>
        </w:rPr>
        <w:t>The saints are to regard the patience of the Lord as salvation (3:15).</w:t>
      </w:r>
    </w:p>
    <w:p w14:paraId="20911CE1">
      <w:pPr>
        <w:pStyle w:val="9"/>
        <w:spacing w:after="0" w:line="249" w:lineRule="auto"/>
        <w:rPr>
          <w:rFonts w:hint="eastAsia"/>
        </w:rPr>
      </w:pPr>
      <w:r>
        <w:rPr>
          <w:rFonts w:hint="eastAsia"/>
        </w:rPr>
        <w:t>圣徒们当以主的忍耐为得救的因由（3:15）。</w:t>
      </w:r>
    </w:p>
    <w:p w14:paraId="4C4D37E1">
      <w:pPr>
        <w:pStyle w:val="9"/>
        <w:spacing w:after="0" w:line="249" w:lineRule="auto"/>
        <w:rPr>
          <w:rFonts w:hint="eastAsia"/>
        </w:rPr>
      </w:pPr>
    </w:p>
    <w:p w14:paraId="2EF43CE7">
      <w:pPr>
        <w:pStyle w:val="9"/>
        <w:spacing w:after="0" w:line="249" w:lineRule="auto"/>
        <w:rPr>
          <w:rFonts w:hint="eastAsia"/>
        </w:rPr>
      </w:pPr>
      <w:r>
        <w:rPr>
          <w:rFonts w:hint="eastAsia"/>
        </w:rPr>
        <w:t>In verse 10, Peter boldly affirms that the Day of the Lord will come.</w:t>
      </w:r>
    </w:p>
    <w:p w14:paraId="375A0946">
      <w:pPr>
        <w:pStyle w:val="9"/>
        <w:spacing w:after="0" w:line="249" w:lineRule="auto"/>
        <w:rPr>
          <w:rFonts w:hint="eastAsia"/>
        </w:rPr>
      </w:pPr>
      <w:r>
        <w:rPr>
          <w:rFonts w:hint="eastAsia"/>
        </w:rPr>
        <w:t>在第10节，彼得勇敢地肯定主的日子要来。</w:t>
      </w:r>
    </w:p>
    <w:p w14:paraId="49FFD731">
      <w:pPr>
        <w:pStyle w:val="9"/>
        <w:spacing w:after="0" w:line="249" w:lineRule="auto"/>
        <w:rPr>
          <w:rFonts w:hint="eastAsia"/>
        </w:rPr>
      </w:pPr>
    </w:p>
    <w:p w14:paraId="23ECA46A">
      <w:pPr>
        <w:pStyle w:val="9"/>
        <w:spacing w:after="0" w:line="249" w:lineRule="auto"/>
        <w:rPr>
          <w:rFonts w:hint="eastAsia"/>
        </w:rPr>
      </w:pPr>
      <w:r>
        <w:rPr>
          <w:rFonts w:hint="eastAsia"/>
        </w:rPr>
        <w:t>For four reasons, this verse is a mighty pillar of Reformed eschatology, and the bane of all premillennialism.</w:t>
      </w:r>
    </w:p>
    <w:p w14:paraId="52B915F0">
      <w:pPr>
        <w:pStyle w:val="9"/>
        <w:spacing w:after="0" w:line="249" w:lineRule="auto"/>
        <w:rPr>
          <w:rFonts w:hint="eastAsia"/>
        </w:rPr>
      </w:pPr>
      <w:r>
        <w:rPr>
          <w:rFonts w:hint="eastAsia"/>
        </w:rPr>
        <w:t>出于四个原因，这节经文是改革宗教义末世论的坚固柱石，也是所有前千禧年论的祸根。</w:t>
      </w:r>
    </w:p>
    <w:p w14:paraId="59AD61B4">
      <w:pPr>
        <w:pStyle w:val="9"/>
        <w:spacing w:after="0" w:line="249" w:lineRule="auto"/>
        <w:rPr>
          <w:rFonts w:hint="eastAsia"/>
        </w:rPr>
      </w:pPr>
    </w:p>
    <w:p w14:paraId="0BC26ECA">
      <w:pPr>
        <w:pStyle w:val="9"/>
        <w:spacing w:after="0" w:line="249" w:lineRule="auto"/>
        <w:rPr>
          <w:rFonts w:hint="eastAsia"/>
        </w:rPr>
      </w:pPr>
      <w:r>
        <w:rPr>
          <w:rFonts w:hint="eastAsia"/>
        </w:rPr>
        <w:t>First, it speaks of “the” Day of the Lord.</w:t>
      </w:r>
    </w:p>
    <w:p w14:paraId="7727F6D9">
      <w:pPr>
        <w:pStyle w:val="9"/>
        <w:spacing w:after="0" w:line="249" w:lineRule="auto"/>
        <w:rPr>
          <w:rFonts w:hint="eastAsia"/>
        </w:rPr>
      </w:pPr>
      <w:r>
        <w:rPr>
          <w:rFonts w:hint="eastAsia"/>
        </w:rPr>
        <w:t>首先，它说的是“那”主的日子。</w:t>
      </w:r>
    </w:p>
    <w:p w14:paraId="658BFA68">
      <w:pPr>
        <w:pStyle w:val="9"/>
        <w:spacing w:after="0" w:line="249" w:lineRule="auto"/>
        <w:rPr>
          <w:rFonts w:hint="eastAsia"/>
        </w:rPr>
      </w:pPr>
    </w:p>
    <w:p w14:paraId="71B5004C">
      <w:pPr>
        <w:pStyle w:val="9"/>
        <w:spacing w:after="0" w:line="249" w:lineRule="auto"/>
        <w:rPr>
          <w:rFonts w:hint="eastAsia"/>
        </w:rPr>
      </w:pPr>
      <w:r>
        <w:rPr>
          <w:rFonts w:hint="eastAsia"/>
        </w:rPr>
        <w:t>Again, there is only one of them.</w:t>
      </w:r>
    </w:p>
    <w:p w14:paraId="243620D3">
      <w:pPr>
        <w:pStyle w:val="9"/>
        <w:spacing w:after="0" w:line="249" w:lineRule="auto"/>
        <w:rPr>
          <w:rFonts w:hint="eastAsia"/>
        </w:rPr>
      </w:pPr>
      <w:r>
        <w:rPr>
          <w:rFonts w:hint="eastAsia"/>
        </w:rPr>
        <w:t>再次，只有一个。</w:t>
      </w:r>
    </w:p>
    <w:p w14:paraId="1BC82454">
      <w:pPr>
        <w:pStyle w:val="9"/>
        <w:spacing w:after="0" w:line="249" w:lineRule="auto"/>
        <w:rPr>
          <w:rFonts w:hint="eastAsia"/>
        </w:rPr>
      </w:pPr>
    </w:p>
    <w:p w14:paraId="40A3D016">
      <w:pPr>
        <w:pStyle w:val="9"/>
        <w:spacing w:after="0" w:line="249" w:lineRule="auto"/>
        <w:rPr>
          <w:rFonts w:hint="eastAsia"/>
        </w:rPr>
      </w:pPr>
      <w:r>
        <w:rPr>
          <w:rFonts w:hint="eastAsia"/>
        </w:rPr>
        <w:t>Contrary to John MacArthur, the apostle does not give us the least hint that the one Day is divided into three separate “phases,” two of which are separated by a thousand years!</w:t>
      </w:r>
    </w:p>
    <w:p w14:paraId="0218C4FD">
      <w:pPr>
        <w:pStyle w:val="9"/>
        <w:spacing w:after="0" w:line="249" w:lineRule="auto"/>
        <w:rPr>
          <w:rFonts w:hint="eastAsia"/>
        </w:rPr>
      </w:pPr>
      <w:r>
        <w:rPr>
          <w:rFonts w:hint="eastAsia"/>
        </w:rPr>
        <w:t>与约翰·麦克阿瑟相反，使徒没有给我们丝毫的暗示，表明那一日被分为三个独立的“阶段”，其中两个被一千年所分隔！</w:t>
      </w:r>
    </w:p>
    <w:p w14:paraId="75CA8204">
      <w:pPr>
        <w:pStyle w:val="9"/>
        <w:spacing w:after="0" w:line="249" w:lineRule="auto"/>
        <w:rPr>
          <w:rFonts w:hint="eastAsia"/>
        </w:rPr>
      </w:pPr>
    </w:p>
    <w:p w14:paraId="7461D819">
      <w:pPr>
        <w:pStyle w:val="9"/>
        <w:spacing w:after="0" w:line="249" w:lineRule="auto"/>
        <w:rPr>
          <w:rFonts w:hint="eastAsia"/>
        </w:rPr>
      </w:pPr>
      <w:r>
        <w:rPr>
          <w:rFonts w:hint="eastAsia"/>
        </w:rPr>
        <w:t>Secondly, this Day will come like a thief.</w:t>
      </w:r>
    </w:p>
    <w:p w14:paraId="1D85CA1E">
      <w:pPr>
        <w:pStyle w:val="9"/>
        <w:spacing w:after="0" w:line="249" w:lineRule="auto"/>
        <w:rPr>
          <w:rFonts w:hint="eastAsia"/>
        </w:rPr>
      </w:pPr>
      <w:r>
        <w:rPr>
          <w:rFonts w:hint="eastAsia"/>
        </w:rPr>
        <w:t>其次，这日子要像贼一样来到。</w:t>
      </w:r>
    </w:p>
    <w:p w14:paraId="24CB48C5">
      <w:pPr>
        <w:pStyle w:val="9"/>
        <w:spacing w:after="0" w:line="249" w:lineRule="auto"/>
        <w:rPr>
          <w:rFonts w:hint="eastAsia"/>
        </w:rPr>
      </w:pPr>
    </w:p>
    <w:p w14:paraId="314B2227">
      <w:pPr>
        <w:pStyle w:val="9"/>
        <w:spacing w:after="0" w:line="249" w:lineRule="auto"/>
        <w:rPr>
          <w:rFonts w:hint="eastAsia"/>
        </w:rPr>
      </w:pPr>
      <w:r>
        <w:rPr>
          <w:rFonts w:hint="eastAsia"/>
        </w:rPr>
        <w:t>It is, then, the very same Day that Christ and the apostles have been speaking of right along; the Day that will bring to a close the present evil age, and not some future millennium (Mt. 24:43, Luke 12:39, 1 Thess. 5:2-4).</w:t>
      </w:r>
    </w:p>
    <w:p w14:paraId="7D8E7099">
      <w:pPr>
        <w:pStyle w:val="9"/>
        <w:spacing w:after="0" w:line="249" w:lineRule="auto"/>
        <w:rPr>
          <w:rFonts w:hint="eastAsia"/>
        </w:rPr>
      </w:pPr>
      <w:r>
        <w:rPr>
          <w:rFonts w:hint="eastAsia"/>
        </w:rPr>
        <w:t>那么，这正是基督和使徒们一直以来所谈论的那一日；那将结束现今邪恶世代，而非某个未来千禧年的日子（太24:43，路12:39，帖前5:2-4）。</w:t>
      </w:r>
    </w:p>
    <w:p w14:paraId="6A6AB1D3">
      <w:pPr>
        <w:pStyle w:val="9"/>
        <w:spacing w:after="0" w:line="249" w:lineRule="auto"/>
        <w:rPr>
          <w:rFonts w:hint="eastAsia"/>
        </w:rPr>
      </w:pPr>
    </w:p>
    <w:p w14:paraId="645EBE4A">
      <w:pPr>
        <w:pStyle w:val="9"/>
        <w:spacing w:after="0" w:line="249" w:lineRule="auto"/>
        <w:rPr>
          <w:rFonts w:hint="eastAsia"/>
        </w:rPr>
      </w:pPr>
      <w:r>
        <w:rPr>
          <w:rFonts w:hint="eastAsia"/>
        </w:rPr>
        <w:t>For how shall a Day scheduled to arrive at the end of a thousand literal years come as a thief in the night?</w:t>
      </w:r>
    </w:p>
    <w:p w14:paraId="4ECC0869">
      <w:pPr>
        <w:pStyle w:val="9"/>
        <w:spacing w:after="0" w:line="249" w:lineRule="auto"/>
        <w:rPr>
          <w:rFonts w:hint="eastAsia"/>
        </w:rPr>
      </w:pPr>
      <w:r>
        <w:rPr>
          <w:rFonts w:hint="eastAsia"/>
        </w:rPr>
        <w:t>因为一个预定在一千年结束后到来的日子，又怎能像夜间的贼一样来到呢？</w:t>
      </w:r>
    </w:p>
    <w:p w14:paraId="23D5F53B">
      <w:pPr>
        <w:pStyle w:val="9"/>
        <w:spacing w:after="0" w:line="249" w:lineRule="auto"/>
        <w:rPr>
          <w:rFonts w:hint="eastAsia"/>
        </w:rPr>
      </w:pPr>
    </w:p>
    <w:p w14:paraId="5D7948BD">
      <w:pPr>
        <w:pStyle w:val="9"/>
        <w:spacing w:after="0" w:line="249" w:lineRule="auto"/>
        <w:rPr>
          <w:rFonts w:hint="eastAsia"/>
        </w:rPr>
      </w:pPr>
      <w:r>
        <w:rPr>
          <w:rFonts w:hint="eastAsia"/>
        </w:rPr>
        <w:t>Thirdly, this will be a Day of complete cosmic destruction; a day in which “the heavens will pass away with a roar, the elements will be destroyed with intense heat, and the earth and its works will be burned up” (3:7; Mt. 24:35, Rev. 20:11).</w:t>
      </w:r>
    </w:p>
    <w:p w14:paraId="2E0375AA">
      <w:pPr>
        <w:pStyle w:val="9"/>
        <w:spacing w:after="0" w:line="249" w:lineRule="auto"/>
        <w:rPr>
          <w:rFonts w:hint="eastAsia"/>
        </w:rPr>
      </w:pPr>
      <w:r>
        <w:rPr>
          <w:rFonts w:hint="eastAsia"/>
        </w:rPr>
        <w:t>第三，这将是一个完全的宇宙性毁灭的日子；在那日，“天必大有响声废去，有形质的都要被烈火销化，地和其上的物都要烧尽了”（3:7；太24:35，启20:11）。</w:t>
      </w:r>
    </w:p>
    <w:p w14:paraId="393E3F0C">
      <w:pPr>
        <w:pStyle w:val="9"/>
        <w:spacing w:after="0" w:line="249" w:lineRule="auto"/>
        <w:rPr>
          <w:rFonts w:hint="eastAsia"/>
        </w:rPr>
      </w:pPr>
    </w:p>
    <w:p w14:paraId="5FC12787">
      <w:pPr>
        <w:pStyle w:val="9"/>
        <w:spacing w:after="0" w:line="249" w:lineRule="auto"/>
        <w:rPr>
          <w:rFonts w:hint="eastAsia"/>
        </w:rPr>
      </w:pPr>
      <w:r>
        <w:rPr>
          <w:rFonts w:hint="eastAsia"/>
        </w:rPr>
        <w:t>According to premillennarians, Christ will modify or transform the world when he comes.</w:t>
      </w:r>
    </w:p>
    <w:p w14:paraId="026471C9">
      <w:pPr>
        <w:pStyle w:val="9"/>
        <w:spacing w:after="0" w:line="249" w:lineRule="auto"/>
        <w:rPr>
          <w:rFonts w:hint="eastAsia"/>
        </w:rPr>
      </w:pPr>
      <w:r>
        <w:rPr>
          <w:rFonts w:hint="eastAsia"/>
        </w:rPr>
        <w:t>根据前千禧年论者的说法，基督来临时将修改或改变世界。</w:t>
      </w:r>
    </w:p>
    <w:p w14:paraId="0CFDD653">
      <w:pPr>
        <w:pStyle w:val="9"/>
        <w:spacing w:after="0" w:line="249" w:lineRule="auto"/>
        <w:rPr>
          <w:rFonts w:hint="eastAsia"/>
        </w:rPr>
      </w:pPr>
    </w:p>
    <w:p w14:paraId="704E381F">
      <w:pPr>
        <w:pStyle w:val="9"/>
        <w:spacing w:after="0" w:line="249" w:lineRule="auto"/>
        <w:rPr>
          <w:rFonts w:hint="eastAsia"/>
        </w:rPr>
      </w:pPr>
      <w:r>
        <w:rPr>
          <w:rFonts w:hint="eastAsia"/>
        </w:rPr>
        <w:t>But according to Peter, he will cause it to pass away!</w:t>
      </w:r>
    </w:p>
    <w:p w14:paraId="5FD1DB4C">
      <w:pPr>
        <w:pStyle w:val="9"/>
        <w:spacing w:after="0" w:line="249" w:lineRule="auto"/>
        <w:rPr>
          <w:rFonts w:hint="eastAsia"/>
        </w:rPr>
      </w:pPr>
      <w:r>
        <w:rPr>
          <w:rFonts w:hint="eastAsia"/>
        </w:rPr>
        <w:t>但根据彼得，祂将使它废去！</w:t>
      </w:r>
    </w:p>
    <w:p w14:paraId="4EC9E69D">
      <w:pPr>
        <w:pStyle w:val="9"/>
        <w:spacing w:after="0" w:line="249" w:lineRule="auto"/>
        <w:rPr>
          <w:rFonts w:hint="eastAsia"/>
        </w:rPr>
      </w:pPr>
    </w:p>
    <w:p w14:paraId="24C29BF4">
      <w:pPr>
        <w:pStyle w:val="9"/>
        <w:spacing w:after="0" w:line="249" w:lineRule="auto"/>
        <w:rPr>
          <w:rFonts w:hint="eastAsia"/>
        </w:rPr>
      </w:pPr>
      <w:r>
        <w:rPr>
          <w:rFonts w:hint="eastAsia"/>
        </w:rPr>
        <w:t>This brings us to our fourth and final point.</w:t>
      </w:r>
    </w:p>
    <w:p w14:paraId="5AD8DCAD">
      <w:pPr>
        <w:pStyle w:val="9"/>
        <w:spacing w:after="0" w:line="249" w:lineRule="auto"/>
        <w:rPr>
          <w:rFonts w:hint="eastAsia"/>
        </w:rPr>
      </w:pPr>
      <w:r>
        <w:rPr>
          <w:rFonts w:hint="eastAsia"/>
        </w:rPr>
        <w:t>这就把我们带到了第四个也是最后一个点。</w:t>
      </w:r>
    </w:p>
    <w:p w14:paraId="1B174ED4">
      <w:pPr>
        <w:pStyle w:val="9"/>
        <w:spacing w:after="0" w:line="249" w:lineRule="auto"/>
        <w:rPr>
          <w:rFonts w:hint="eastAsia"/>
        </w:rPr>
      </w:pPr>
    </w:p>
    <w:p w14:paraId="77D35D12">
      <w:pPr>
        <w:pStyle w:val="9"/>
        <w:spacing w:after="0" w:line="249" w:lineRule="auto"/>
        <w:rPr>
          <w:rFonts w:hint="eastAsia"/>
        </w:rPr>
      </w:pPr>
      <w:r>
        <w:rPr>
          <w:rFonts w:hint="eastAsia"/>
        </w:rPr>
        <w:t>According to verse 13, the Day of the LORD—which is none other than the Day of Christ’s Parousia —will bring in the new heavens and the new earth, the eternal home of the redeemed.</w:t>
      </w:r>
    </w:p>
    <w:p w14:paraId="088D2993">
      <w:pPr>
        <w:pStyle w:val="9"/>
        <w:spacing w:after="0" w:line="249" w:lineRule="auto"/>
        <w:rPr>
          <w:rFonts w:hint="eastAsia"/>
        </w:rPr>
      </w:pPr>
      <w:r>
        <w:rPr>
          <w:rFonts w:hint="eastAsia"/>
        </w:rPr>
        <w:t>根据第13节，耶和华的日子——这正是基督主临（Parousia）的日子——将带来新天新地，即被赎之民永恒的家。</w:t>
      </w:r>
    </w:p>
    <w:p w14:paraId="54F4600D">
      <w:pPr>
        <w:pStyle w:val="9"/>
        <w:spacing w:after="0" w:line="249" w:lineRule="auto"/>
        <w:rPr>
          <w:rFonts w:hint="eastAsia"/>
        </w:rPr>
      </w:pPr>
    </w:p>
    <w:p w14:paraId="7A1E858C">
      <w:pPr>
        <w:pStyle w:val="9"/>
        <w:spacing w:after="0" w:line="249" w:lineRule="auto"/>
        <w:rPr>
          <w:rFonts w:hint="eastAsia"/>
        </w:rPr>
      </w:pPr>
      <w:r>
        <w:rPr>
          <w:rFonts w:hint="eastAsia"/>
        </w:rPr>
        <w:t>Where, then, is there room for a future millennium?</w:t>
      </w:r>
    </w:p>
    <w:p w14:paraId="6EA3B526">
      <w:pPr>
        <w:pStyle w:val="9"/>
        <w:spacing w:after="0" w:line="249" w:lineRule="auto"/>
        <w:rPr>
          <w:rFonts w:hint="eastAsia"/>
        </w:rPr>
      </w:pPr>
      <w:r>
        <w:rPr>
          <w:rFonts w:hint="eastAsia"/>
        </w:rPr>
        <w:t>那么，哪里还有未来千禧年的空间呢？</w:t>
      </w:r>
    </w:p>
    <w:p w14:paraId="69B51BCF">
      <w:pPr>
        <w:pStyle w:val="9"/>
        <w:spacing w:after="0" w:line="249" w:lineRule="auto"/>
        <w:rPr>
          <w:rFonts w:hint="eastAsia"/>
        </w:rPr>
      </w:pPr>
    </w:p>
    <w:p w14:paraId="062A962F">
      <w:pPr>
        <w:pStyle w:val="9"/>
        <w:spacing w:after="0" w:line="249" w:lineRule="auto"/>
        <w:rPr>
          <w:rFonts w:hint="eastAsia"/>
        </w:rPr>
      </w:pPr>
      <w:r>
        <w:rPr>
          <w:rFonts w:hint="eastAsia"/>
        </w:rPr>
        <w:t>In verses 11-14, Peter concludes his argument by drawing out the practical applications of his eschatology.</w:t>
      </w:r>
    </w:p>
    <w:p w14:paraId="1647EC1A">
      <w:pPr>
        <w:pStyle w:val="9"/>
        <w:spacing w:after="0" w:line="249" w:lineRule="auto"/>
        <w:rPr>
          <w:rFonts w:hint="eastAsia"/>
        </w:rPr>
      </w:pPr>
      <w:r>
        <w:rPr>
          <w:rFonts w:hint="eastAsia"/>
        </w:rPr>
        <w:t>在第11-14节，彼得以引申其末世论的实际应用来结束他的论证。</w:t>
      </w:r>
    </w:p>
    <w:p w14:paraId="1BFD1A33">
      <w:pPr>
        <w:pStyle w:val="9"/>
        <w:spacing w:after="0" w:line="249" w:lineRule="auto"/>
        <w:rPr>
          <w:rFonts w:hint="eastAsia"/>
        </w:rPr>
      </w:pPr>
    </w:p>
    <w:p w14:paraId="565D9271">
      <w:pPr>
        <w:pStyle w:val="9"/>
        <w:spacing w:after="0" w:line="249" w:lineRule="auto"/>
        <w:rPr>
          <w:rFonts w:hint="eastAsia"/>
        </w:rPr>
      </w:pPr>
      <w:r>
        <w:rPr>
          <w:rFonts w:hint="eastAsia"/>
        </w:rPr>
        <w:t>This passage is also quite relevant for our study.</w:t>
      </w:r>
    </w:p>
    <w:p w14:paraId="742632E2">
      <w:pPr>
        <w:pStyle w:val="9"/>
        <w:spacing w:after="0" w:line="249" w:lineRule="auto"/>
        <w:rPr>
          <w:rFonts w:hint="eastAsia"/>
        </w:rPr>
      </w:pPr>
      <w:r>
        <w:rPr>
          <w:rFonts w:hint="eastAsia"/>
        </w:rPr>
        <w:t>这段经文对我们的研究也相当有关系。</w:t>
      </w:r>
    </w:p>
    <w:p w14:paraId="57C97510">
      <w:pPr>
        <w:pStyle w:val="9"/>
        <w:spacing w:after="0" w:line="249" w:lineRule="auto"/>
        <w:rPr>
          <w:rFonts w:hint="eastAsia"/>
        </w:rPr>
      </w:pPr>
    </w:p>
    <w:p w14:paraId="107F0E4B">
      <w:pPr>
        <w:pStyle w:val="9"/>
        <w:spacing w:after="0" w:line="249" w:lineRule="auto"/>
        <w:rPr>
          <w:rFonts w:hint="eastAsia"/>
        </w:rPr>
      </w:pPr>
      <w:r>
        <w:rPr>
          <w:rFonts w:hint="eastAsia"/>
        </w:rPr>
        <w:t>Here the apostle speaks explicitly of what the saints are looking for, and implicitly of what they ought to be looking for.</w:t>
      </w:r>
    </w:p>
    <w:p w14:paraId="0D84B721">
      <w:pPr>
        <w:pStyle w:val="9"/>
        <w:spacing w:after="0" w:line="249" w:lineRule="auto"/>
        <w:rPr>
          <w:rFonts w:hint="eastAsia"/>
        </w:rPr>
      </w:pPr>
      <w:r>
        <w:rPr>
          <w:rFonts w:hint="eastAsia"/>
        </w:rPr>
        <w:t>在这里，使徒明确地讲到圣徒们所盼望的，并含蓄地讲到他们应当盼望的。</w:t>
      </w:r>
    </w:p>
    <w:p w14:paraId="480D36D3">
      <w:pPr>
        <w:pStyle w:val="9"/>
        <w:spacing w:after="0" w:line="249" w:lineRule="auto"/>
        <w:rPr>
          <w:rFonts w:hint="eastAsia"/>
        </w:rPr>
      </w:pPr>
    </w:p>
    <w:p w14:paraId="3E41606A">
      <w:pPr>
        <w:pStyle w:val="9"/>
        <w:spacing w:after="0" w:line="249" w:lineRule="auto"/>
        <w:rPr>
          <w:rFonts w:hint="eastAsia"/>
        </w:rPr>
      </w:pPr>
      <w:r>
        <w:rPr>
          <w:rFonts w:hint="eastAsia"/>
        </w:rPr>
        <w:t>In other words, Peter is giving us his conception of the Blessed Hope of the universal Church.</w:t>
      </w:r>
    </w:p>
    <w:p w14:paraId="05D540C6">
      <w:pPr>
        <w:pStyle w:val="9"/>
        <w:spacing w:after="0" w:line="249" w:lineRule="auto"/>
        <w:rPr>
          <w:rFonts w:hint="eastAsia"/>
        </w:rPr>
      </w:pPr>
      <w:r>
        <w:rPr>
          <w:rFonts w:hint="eastAsia"/>
        </w:rPr>
        <w:t>换句话说，彼得正在给我们他对普世教会有福盼望的构想。</w:t>
      </w:r>
    </w:p>
    <w:p w14:paraId="315F3891">
      <w:pPr>
        <w:pStyle w:val="9"/>
        <w:spacing w:after="0" w:line="249" w:lineRule="auto"/>
        <w:rPr>
          <w:rFonts w:hint="eastAsia"/>
        </w:rPr>
      </w:pPr>
    </w:p>
    <w:p w14:paraId="059B9D92">
      <w:pPr>
        <w:pStyle w:val="9"/>
        <w:spacing w:after="0" w:line="249" w:lineRule="auto"/>
        <w:rPr>
          <w:rFonts w:hint="eastAsia"/>
        </w:rPr>
      </w:pPr>
      <w:r>
        <w:rPr>
          <w:rFonts w:hint="eastAsia"/>
        </w:rPr>
        <w:t>And what exactly is that?</w:t>
      </w:r>
    </w:p>
    <w:p w14:paraId="3209F44B">
      <w:pPr>
        <w:pStyle w:val="9"/>
        <w:spacing w:after="0" w:line="249" w:lineRule="auto"/>
        <w:rPr>
          <w:rFonts w:hint="eastAsia"/>
        </w:rPr>
      </w:pPr>
      <w:r>
        <w:rPr>
          <w:rFonts w:hint="eastAsia"/>
        </w:rPr>
        <w:t>那究竟是什么？</w:t>
      </w:r>
    </w:p>
    <w:p w14:paraId="7125838A">
      <w:pPr>
        <w:pStyle w:val="9"/>
        <w:spacing w:after="0" w:line="249" w:lineRule="auto"/>
        <w:rPr>
          <w:rFonts w:hint="eastAsia"/>
        </w:rPr>
      </w:pPr>
    </w:p>
    <w:p w14:paraId="6AD3DC16">
      <w:pPr>
        <w:pStyle w:val="9"/>
        <w:spacing w:after="0" w:line="249" w:lineRule="auto"/>
        <w:rPr>
          <w:rFonts w:hint="eastAsia"/>
        </w:rPr>
      </w:pPr>
      <w:r>
        <w:rPr>
          <w:rFonts w:hint="eastAsia"/>
        </w:rPr>
        <w:t>The twofold answer is quite clear.</w:t>
      </w:r>
    </w:p>
    <w:p w14:paraId="6DE40F94">
      <w:pPr>
        <w:pStyle w:val="9"/>
        <w:spacing w:after="0" w:line="249" w:lineRule="auto"/>
        <w:rPr>
          <w:rFonts w:hint="eastAsia"/>
        </w:rPr>
      </w:pPr>
      <w:r>
        <w:rPr>
          <w:rFonts w:hint="eastAsia"/>
        </w:rPr>
        <w:t>双重的答案相当清楚。</w:t>
      </w:r>
    </w:p>
    <w:p w14:paraId="5130040D">
      <w:pPr>
        <w:pStyle w:val="9"/>
        <w:spacing w:after="0" w:line="249" w:lineRule="auto"/>
        <w:rPr>
          <w:rFonts w:hint="eastAsia"/>
        </w:rPr>
      </w:pPr>
    </w:p>
    <w:p w14:paraId="21646D77">
      <w:pPr>
        <w:pStyle w:val="9"/>
        <w:spacing w:after="0" w:line="249" w:lineRule="auto"/>
        <w:rPr>
          <w:rFonts w:hint="eastAsia"/>
        </w:rPr>
      </w:pPr>
      <w:r>
        <w:rPr>
          <w:rFonts w:hint="eastAsia"/>
        </w:rPr>
        <w:t>On the one hand, the saints are looking for the coming of the Day of God, on account of which the heavens (i.e., the heavenly bodies, the luminaries) will be destroyed by burning; and on account of which the elements (i.e., the fundamental building-blocks of the material world) will melt with intense heat (3:12).</w:t>
      </w:r>
    </w:p>
    <w:p w14:paraId="1D5C9A20">
      <w:pPr>
        <w:pStyle w:val="9"/>
        <w:spacing w:after="0" w:line="249" w:lineRule="auto"/>
        <w:rPr>
          <w:rFonts w:hint="eastAsia"/>
        </w:rPr>
      </w:pPr>
      <w:r>
        <w:rPr>
          <w:rFonts w:hint="eastAsia"/>
        </w:rPr>
        <w:t>一方面，圣徒们盼望上帝的日子的来临，因那日天（即天体、发光体）要被火焚烧，销化；因那日有形质的（即物质世界的基本构成部分）都要被烈火熔化（3:12）。</w:t>
      </w:r>
    </w:p>
    <w:p w14:paraId="38A1DC0F">
      <w:pPr>
        <w:pStyle w:val="9"/>
        <w:spacing w:after="0" w:line="249" w:lineRule="auto"/>
        <w:rPr>
          <w:rFonts w:hint="eastAsia"/>
        </w:rPr>
      </w:pPr>
    </w:p>
    <w:p w14:paraId="768D5077">
      <w:pPr>
        <w:pStyle w:val="9"/>
        <w:spacing w:after="0" w:line="249" w:lineRule="auto"/>
        <w:rPr>
          <w:rFonts w:hint="eastAsia"/>
        </w:rPr>
      </w:pPr>
      <w:r>
        <w:rPr>
          <w:rFonts w:hint="eastAsia"/>
        </w:rPr>
        <w:t>On the other hand, they are also looking for new heavens and a new earth, in which righteousness dwells (3:13).</w:t>
      </w:r>
    </w:p>
    <w:p w14:paraId="16F992D5">
      <w:pPr>
        <w:pStyle w:val="9"/>
        <w:spacing w:after="0" w:line="249" w:lineRule="auto"/>
        <w:rPr>
          <w:rFonts w:hint="eastAsia"/>
        </w:rPr>
      </w:pPr>
      <w:r>
        <w:rPr>
          <w:rFonts w:hint="eastAsia"/>
        </w:rPr>
        <w:t>另一方面，他们也盼望有新天新地，有义居在其中（3:13）。</w:t>
      </w:r>
    </w:p>
    <w:p w14:paraId="4255CB0F">
      <w:pPr>
        <w:pStyle w:val="9"/>
        <w:spacing w:after="0" w:line="249" w:lineRule="auto"/>
        <w:rPr>
          <w:rFonts w:hint="eastAsia"/>
        </w:rPr>
      </w:pPr>
    </w:p>
    <w:p w14:paraId="7111B3DB">
      <w:pPr>
        <w:pStyle w:val="9"/>
        <w:spacing w:after="0" w:line="249" w:lineRule="auto"/>
        <w:rPr>
          <w:rFonts w:hint="eastAsia"/>
        </w:rPr>
      </w:pPr>
      <w:r>
        <w:rPr>
          <w:rFonts w:hint="eastAsia"/>
        </w:rPr>
        <w:t>Both aspects of the Blessed Hope have practical implications.</w:t>
      </w:r>
    </w:p>
    <w:p w14:paraId="2123B619">
      <w:pPr>
        <w:pStyle w:val="9"/>
        <w:spacing w:after="0" w:line="249" w:lineRule="auto"/>
        <w:rPr>
          <w:rFonts w:hint="eastAsia"/>
        </w:rPr>
      </w:pPr>
      <w:r>
        <w:rPr>
          <w:rFonts w:hint="eastAsia"/>
        </w:rPr>
        <w:t>有福盼望的这两个方面都有实际的涵义。</w:t>
      </w:r>
    </w:p>
    <w:p w14:paraId="634CA51B">
      <w:pPr>
        <w:pStyle w:val="9"/>
        <w:spacing w:after="0" w:line="249" w:lineRule="auto"/>
        <w:rPr>
          <w:rFonts w:hint="eastAsia"/>
        </w:rPr>
      </w:pPr>
    </w:p>
    <w:p w14:paraId="6FF46F1F">
      <w:pPr>
        <w:pStyle w:val="9"/>
        <w:spacing w:after="0" w:line="249" w:lineRule="auto"/>
        <w:rPr>
          <w:rFonts w:hint="eastAsia"/>
        </w:rPr>
      </w:pPr>
      <w:r>
        <w:rPr>
          <w:rFonts w:hint="eastAsia"/>
        </w:rPr>
        <w:t>Since the saints look ahead in holy fear to the final Judgment at Christ’s Parousia, they must be diligent to be found by him in peace, spotless and blameless, manifesting all holy conduct and godliness (3:11, 14; 1:7, Phil. 3:9).</w:t>
      </w:r>
    </w:p>
    <w:p w14:paraId="1C489AAC">
      <w:pPr>
        <w:pStyle w:val="9"/>
        <w:spacing w:after="0" w:line="249" w:lineRule="auto"/>
        <w:rPr>
          <w:rFonts w:hint="eastAsia"/>
        </w:rPr>
      </w:pPr>
      <w:r>
        <w:rPr>
          <w:rFonts w:hint="eastAsia"/>
        </w:rPr>
        <w:t>既然圣徒们以圣洁的敬畏盼望基督主临（Parousia）时的最后审判，他们就必须殷勤，使自己在祂面前得见平安、无玷污、无可指摘，显出一切圣洁的行为和敬虔（3:11, 14；1:7，腓3:9）。</w:t>
      </w:r>
    </w:p>
    <w:p w14:paraId="58E34704">
      <w:pPr>
        <w:pStyle w:val="9"/>
        <w:spacing w:after="0" w:line="249" w:lineRule="auto"/>
        <w:rPr>
          <w:rFonts w:hint="eastAsia"/>
        </w:rPr>
      </w:pPr>
    </w:p>
    <w:p w14:paraId="659A4978">
      <w:pPr>
        <w:pStyle w:val="9"/>
        <w:spacing w:after="0" w:line="249" w:lineRule="auto"/>
        <w:rPr>
          <w:rFonts w:hint="eastAsia"/>
        </w:rPr>
      </w:pPr>
      <w:r>
        <w:rPr>
          <w:rFonts w:hint="eastAsia"/>
        </w:rPr>
        <w:t>But since they also look ahead in holy eagerness for new heavens and a new earth, they must also be diligent to hasten the Coming of the Lord—and his completed Kingdom—through faithful prayer, service, and evangelistic outreach (1:13, 3:9, 12).</w:t>
      </w:r>
    </w:p>
    <w:p w14:paraId="449DC45D">
      <w:pPr>
        <w:pStyle w:val="9"/>
        <w:spacing w:after="0" w:line="249" w:lineRule="auto"/>
        <w:rPr>
          <w:rFonts w:hint="eastAsia"/>
        </w:rPr>
      </w:pPr>
      <w:r>
        <w:rPr>
          <w:rFonts w:hint="eastAsia"/>
        </w:rPr>
        <w:t>但既然他们也以圣洁的渴望盼望新天新地，他们就必须也殷勤地，通过忠心的祷告、事奉和传福音的外展，来催促主的降临——和祂完全的国度（1:13, 3:9, 12）。</w:t>
      </w:r>
    </w:p>
    <w:p w14:paraId="25E7FBAE">
      <w:pPr>
        <w:pStyle w:val="9"/>
        <w:spacing w:after="0" w:line="249" w:lineRule="auto"/>
        <w:rPr>
          <w:rFonts w:hint="eastAsia"/>
        </w:rPr>
      </w:pPr>
    </w:p>
    <w:p w14:paraId="72F94847">
      <w:pPr>
        <w:pStyle w:val="9"/>
        <w:spacing w:after="0" w:line="249" w:lineRule="auto"/>
        <w:rPr>
          <w:rFonts w:hint="eastAsia"/>
        </w:rPr>
      </w:pPr>
      <w:r>
        <w:rPr>
          <w:rFonts w:hint="eastAsia"/>
        </w:rPr>
        <w:t>Conclusion</w:t>
      </w:r>
    </w:p>
    <w:p w14:paraId="5FA094B8">
      <w:pPr>
        <w:pStyle w:val="9"/>
        <w:spacing w:after="0" w:line="249" w:lineRule="auto"/>
        <w:rPr>
          <w:rFonts w:hint="eastAsia"/>
        </w:rPr>
      </w:pPr>
      <w:r>
        <w:rPr>
          <w:rFonts w:hint="eastAsia"/>
        </w:rPr>
        <w:t>结论</w:t>
      </w:r>
    </w:p>
    <w:p w14:paraId="64EEB973">
      <w:pPr>
        <w:pStyle w:val="9"/>
        <w:spacing w:after="0" w:line="249" w:lineRule="auto"/>
        <w:rPr>
          <w:rFonts w:hint="eastAsia"/>
        </w:rPr>
      </w:pPr>
    </w:p>
    <w:p w14:paraId="2C11C380">
      <w:pPr>
        <w:pStyle w:val="9"/>
        <w:spacing w:after="0" w:line="249" w:lineRule="auto"/>
        <w:rPr>
          <w:rFonts w:hint="eastAsia"/>
        </w:rPr>
      </w:pPr>
      <w:r>
        <w:rPr>
          <w:rFonts w:hint="eastAsia"/>
        </w:rPr>
        <w:t>We have completed our survey of 16 crucial NT texts dealing with the Parousia and the Consummation.</w:t>
      </w:r>
    </w:p>
    <w:p w14:paraId="0BDE67E6">
      <w:pPr>
        <w:pStyle w:val="9"/>
        <w:spacing w:after="0" w:line="249" w:lineRule="auto"/>
        <w:rPr>
          <w:rFonts w:hint="eastAsia"/>
        </w:rPr>
      </w:pPr>
      <w:r>
        <w:rPr>
          <w:rFonts w:hint="eastAsia"/>
        </w:rPr>
        <w:t>我们已经完成了对16段处理主临（Parousia）和最终成全的关键新约经文的考察。</w:t>
      </w:r>
    </w:p>
    <w:p w14:paraId="3E454ADA">
      <w:pPr>
        <w:pStyle w:val="9"/>
        <w:spacing w:after="0" w:line="249" w:lineRule="auto"/>
        <w:rPr>
          <w:rFonts w:hint="eastAsia"/>
        </w:rPr>
      </w:pPr>
    </w:p>
    <w:p w14:paraId="235BB166">
      <w:pPr>
        <w:pStyle w:val="9"/>
        <w:spacing w:after="0" w:line="249" w:lineRule="auto"/>
        <w:rPr>
          <w:rFonts w:hint="eastAsia"/>
        </w:rPr>
      </w:pPr>
      <w:r>
        <w:rPr>
          <w:rFonts w:hint="eastAsia"/>
        </w:rPr>
        <w:t>We have heard from Christ, Paul, and Peter.</w:t>
      </w:r>
    </w:p>
    <w:p w14:paraId="6F071E3C">
      <w:pPr>
        <w:pStyle w:val="9"/>
        <w:spacing w:after="0" w:line="249" w:lineRule="auto"/>
        <w:rPr>
          <w:rFonts w:hint="eastAsia"/>
        </w:rPr>
      </w:pPr>
      <w:r>
        <w:rPr>
          <w:rFonts w:hint="eastAsia"/>
        </w:rPr>
        <w:t>我们已经听了基督、保罗和彼得的话。</w:t>
      </w:r>
    </w:p>
    <w:p w14:paraId="7F0C4FA4">
      <w:pPr>
        <w:pStyle w:val="9"/>
        <w:spacing w:after="0" w:line="249" w:lineRule="auto"/>
        <w:rPr>
          <w:rFonts w:hint="eastAsia"/>
        </w:rPr>
      </w:pPr>
    </w:p>
    <w:p w14:paraId="0770A77D">
      <w:pPr>
        <w:pStyle w:val="9"/>
        <w:spacing w:after="0" w:line="249" w:lineRule="auto"/>
        <w:rPr>
          <w:rFonts w:hint="eastAsia"/>
        </w:rPr>
      </w:pPr>
      <w:r>
        <w:rPr>
          <w:rFonts w:hint="eastAsia"/>
        </w:rPr>
        <w:t>Had we looked at eschatological texts in the letters of James, John, Jude, and the writer to the Hebrews, we would have heard more of the same.</w:t>
      </w:r>
    </w:p>
    <w:p w14:paraId="106D6AB1">
      <w:pPr>
        <w:pStyle w:val="9"/>
        <w:spacing w:after="0" w:line="249" w:lineRule="auto"/>
        <w:rPr>
          <w:rFonts w:hint="eastAsia"/>
        </w:rPr>
      </w:pPr>
      <w:r>
        <w:rPr>
          <w:rFonts w:hint="eastAsia"/>
        </w:rPr>
        <w:t>如果我们查考了雅各、约翰、犹大和希伯来书作者书信中的末世论经文，我们也会听到更多同样的话。</w:t>
      </w:r>
    </w:p>
    <w:p w14:paraId="59E08B9C">
      <w:pPr>
        <w:pStyle w:val="9"/>
        <w:spacing w:after="0" w:line="249" w:lineRule="auto"/>
        <w:rPr>
          <w:rFonts w:hint="eastAsia"/>
        </w:rPr>
      </w:pPr>
    </w:p>
    <w:p w14:paraId="31630C20">
      <w:pPr>
        <w:pStyle w:val="9"/>
        <w:spacing w:after="0" w:line="249" w:lineRule="auto"/>
        <w:rPr>
          <w:rFonts w:hint="eastAsia"/>
        </w:rPr>
      </w:pPr>
      <w:r>
        <w:rPr>
          <w:rFonts w:hint="eastAsia"/>
        </w:rPr>
        <w:t>Not one speaks of a pre-tribulation Rapture.</w:t>
      </w:r>
    </w:p>
    <w:p w14:paraId="5B66FF6B">
      <w:pPr>
        <w:pStyle w:val="9"/>
        <w:spacing w:after="0" w:line="249" w:lineRule="auto"/>
        <w:rPr>
          <w:rFonts w:hint="eastAsia"/>
        </w:rPr>
      </w:pPr>
      <w:r>
        <w:rPr>
          <w:rFonts w:hint="eastAsia"/>
        </w:rPr>
        <w:t>没有一个谈到灾前被提。</w:t>
      </w:r>
    </w:p>
    <w:p w14:paraId="63EA38ED">
      <w:pPr>
        <w:pStyle w:val="9"/>
        <w:spacing w:after="0" w:line="249" w:lineRule="auto"/>
        <w:rPr>
          <w:rFonts w:hint="eastAsia"/>
        </w:rPr>
      </w:pPr>
    </w:p>
    <w:p w14:paraId="72151CBE">
      <w:pPr>
        <w:pStyle w:val="9"/>
        <w:spacing w:after="0" w:line="249" w:lineRule="auto"/>
        <w:rPr>
          <w:rFonts w:hint="eastAsia"/>
        </w:rPr>
      </w:pPr>
      <w:r>
        <w:rPr>
          <w:rFonts w:hint="eastAsia"/>
        </w:rPr>
        <w:t>Not one speaks of a future Millennium.</w:t>
      </w:r>
    </w:p>
    <w:p w14:paraId="50AE480B">
      <w:pPr>
        <w:pStyle w:val="9"/>
        <w:spacing w:after="0" w:line="249" w:lineRule="auto"/>
        <w:rPr>
          <w:rFonts w:hint="eastAsia"/>
        </w:rPr>
      </w:pPr>
      <w:r>
        <w:rPr>
          <w:rFonts w:hint="eastAsia"/>
        </w:rPr>
        <w:t>没有一个谈到未来的千禧年。</w:t>
      </w:r>
    </w:p>
    <w:p w14:paraId="725B2BDB">
      <w:pPr>
        <w:pStyle w:val="9"/>
        <w:spacing w:after="0" w:line="249" w:lineRule="auto"/>
        <w:rPr>
          <w:rFonts w:hint="eastAsia"/>
        </w:rPr>
      </w:pPr>
    </w:p>
    <w:p w14:paraId="6F1FF76E">
      <w:pPr>
        <w:pStyle w:val="9"/>
        <w:spacing w:after="0" w:line="249" w:lineRule="auto"/>
        <w:rPr>
          <w:rFonts w:hint="eastAsia"/>
        </w:rPr>
      </w:pPr>
      <w:r>
        <w:rPr>
          <w:rFonts w:hint="eastAsia"/>
        </w:rPr>
        <w:t>To a man, all the apostles agree in looking for a single Momentous Event at the end of the present evil age; a single Christ- centered Consummation, set to occur at the Parousia of the High King of Heaven, who will raise the dead, judge the world in righteousness, and create new heavens and a new earth, the eternal home of the redeemed.</w:t>
      </w:r>
    </w:p>
    <w:p w14:paraId="75E7E837">
      <w:pPr>
        <w:pStyle w:val="9"/>
        <w:spacing w:after="0" w:line="249" w:lineRule="auto"/>
        <w:rPr>
          <w:rFonts w:hint="eastAsia"/>
        </w:rPr>
      </w:pPr>
      <w:r>
        <w:rPr>
          <w:rFonts w:hint="eastAsia"/>
        </w:rPr>
        <w:t>众使徒一致地盼望在现今邪恶世代末了有一次单一的重大事件；一次以基督为中心的最终成全，将在天上至高君王的主临（Parousia）时发生，祂将使死人复活，按公义审判世界，并创造新天新地，即被赎之民永恒的家。</w:t>
      </w:r>
    </w:p>
    <w:p w14:paraId="2471C439">
      <w:pPr>
        <w:pStyle w:val="9"/>
        <w:spacing w:after="0" w:line="249" w:lineRule="auto"/>
        <w:rPr>
          <w:rFonts w:hint="eastAsia"/>
        </w:rPr>
      </w:pPr>
    </w:p>
    <w:p w14:paraId="4ABB0AC1">
      <w:pPr>
        <w:pStyle w:val="9"/>
        <w:spacing w:after="0" w:line="249" w:lineRule="auto"/>
        <w:rPr>
          <w:rFonts w:hint="eastAsia"/>
        </w:rPr>
      </w:pPr>
      <w:r>
        <w:rPr>
          <w:rFonts w:hint="eastAsia"/>
        </w:rPr>
        <w:t>This is the Blessed Hope of the Didactic NT.</w:t>
      </w:r>
    </w:p>
    <w:p w14:paraId="50A6215D">
      <w:pPr>
        <w:pStyle w:val="9"/>
        <w:spacing w:after="0" w:line="249" w:lineRule="auto"/>
        <w:rPr>
          <w:rFonts w:hint="eastAsia"/>
        </w:rPr>
      </w:pPr>
      <w:r>
        <w:rPr>
          <w:rFonts w:hint="eastAsia"/>
        </w:rPr>
        <w:t>这是教导性新约的有福盼望。</w:t>
      </w:r>
    </w:p>
    <w:p w14:paraId="78201544">
      <w:pPr>
        <w:pStyle w:val="9"/>
        <w:spacing w:after="0" w:line="249" w:lineRule="auto"/>
        <w:rPr>
          <w:rFonts w:hint="eastAsia"/>
        </w:rPr>
      </w:pPr>
    </w:p>
    <w:p w14:paraId="14A4E5A2">
      <w:pPr>
        <w:pStyle w:val="9"/>
        <w:spacing w:after="0" w:line="249" w:lineRule="auto"/>
        <w:rPr>
          <w:rFonts w:hint="eastAsia"/>
        </w:rPr>
      </w:pPr>
      <w:r>
        <w:rPr>
          <w:rFonts w:hint="eastAsia"/>
        </w:rPr>
        <w:t>This is the Blessed Hope of the Revelation.</w:t>
      </w:r>
    </w:p>
    <w:p w14:paraId="79B4237F">
      <w:pPr>
        <w:pStyle w:val="9"/>
        <w:spacing w:after="0" w:line="249" w:lineRule="auto"/>
        <w:rPr>
          <w:rFonts w:hint="eastAsia"/>
        </w:rPr>
      </w:pPr>
      <w:r>
        <w:rPr>
          <w:rFonts w:hint="eastAsia"/>
        </w:rPr>
        <w:t>这是《启示录》的有福盼望。</w:t>
      </w:r>
    </w:p>
    <w:p w14:paraId="27CF3A0E">
      <w:pPr>
        <w:pStyle w:val="9"/>
        <w:spacing w:after="0" w:line="249" w:lineRule="auto"/>
        <w:rPr>
          <w:rFonts w:hint="eastAsia"/>
        </w:rPr>
      </w:pPr>
    </w:p>
    <w:p w14:paraId="0D7BE631">
      <w:pPr>
        <w:pStyle w:val="9"/>
        <w:spacing w:after="0" w:line="249" w:lineRule="auto"/>
        <w:rPr>
          <w:rFonts w:hint="eastAsia"/>
        </w:rPr>
      </w:pPr>
      <w:r>
        <w:rPr>
          <w:rFonts w:hint="eastAsia"/>
        </w:rPr>
        <w:t>This is the Blessed Hope of the historic Catholic, Orthodox, and Protestant Communions.</w:t>
      </w:r>
    </w:p>
    <w:p w14:paraId="1A210C60">
      <w:pPr>
        <w:pStyle w:val="9"/>
        <w:spacing w:after="0" w:line="249" w:lineRule="auto"/>
        <w:rPr>
          <w:rFonts w:hint="eastAsia"/>
        </w:rPr>
      </w:pPr>
      <w:r>
        <w:rPr>
          <w:rFonts w:hint="eastAsia"/>
        </w:rPr>
        <w:t>这是历史上天主教、东正教和新教公会有福的盼望。</w:t>
      </w:r>
    </w:p>
    <w:p w14:paraId="1A5972CB">
      <w:pPr>
        <w:pStyle w:val="9"/>
        <w:spacing w:after="0" w:line="249" w:lineRule="auto"/>
        <w:rPr>
          <w:rFonts w:hint="eastAsia"/>
        </w:rPr>
      </w:pPr>
    </w:p>
    <w:p w14:paraId="41DD9980">
      <w:pPr>
        <w:pStyle w:val="9"/>
        <w:spacing w:after="0" w:line="249" w:lineRule="auto"/>
        <w:rPr>
          <w:rFonts w:hint="eastAsia"/>
        </w:rPr>
      </w:pPr>
      <w:r>
        <w:rPr>
          <w:rFonts w:hint="eastAsia"/>
        </w:rPr>
        <w:t>My prayer is that one day soon it will again be the Blessed Hope of entire evangelical Church of the Lord.</w:t>
      </w:r>
    </w:p>
    <w:p w14:paraId="5ACE8483">
      <w:pPr>
        <w:pStyle w:val="9"/>
        <w:spacing w:after="0" w:line="249" w:lineRule="auto"/>
        <w:sectPr>
          <w:pgSz w:w="12240" w:h="15840"/>
          <w:pgMar w:top="1380" w:right="1440" w:bottom="280" w:left="1440" w:header="720" w:footer="720" w:gutter="0"/>
          <w:cols w:space="720" w:num="1"/>
        </w:sectPr>
      </w:pPr>
      <w:r>
        <w:rPr>
          <w:rFonts w:hint="eastAsia"/>
        </w:rPr>
        <w:t>我的祷告是，有一天它将再次成为整个主福音派教会有福的盼望。</w:t>
      </w:r>
    </w:p>
    <w:p w14:paraId="353E83D8">
      <w:pPr>
        <w:pStyle w:val="2"/>
        <w:bidi w:val="0"/>
        <w:rPr>
          <w:rFonts w:hint="eastAsia"/>
        </w:rPr>
      </w:pPr>
      <w:bookmarkStart w:id="63" w:name="_bookmark184"/>
      <w:bookmarkEnd w:id="63"/>
      <w:bookmarkStart w:id="64" w:name="Chapter 25: The Consummation: A Biblical"/>
      <w:bookmarkEnd w:id="64"/>
      <w:r>
        <w:rPr>
          <w:rFonts w:hint="eastAsia"/>
        </w:rPr>
        <w:t>Chapter 25</w:t>
      </w:r>
    </w:p>
    <w:p w14:paraId="1935D5ED">
      <w:pPr>
        <w:pStyle w:val="2"/>
        <w:bidi w:val="0"/>
        <w:rPr>
          <w:rFonts w:hint="eastAsia"/>
        </w:rPr>
      </w:pPr>
      <w:r>
        <w:rPr>
          <w:rFonts w:hint="eastAsia"/>
        </w:rPr>
        <w:t>第二十五章</w:t>
      </w:r>
    </w:p>
    <w:p w14:paraId="21B6D76C">
      <w:pPr>
        <w:pStyle w:val="9"/>
        <w:spacing w:before="10"/>
        <w:ind w:left="0"/>
        <w:jc w:val="left"/>
        <w:rPr>
          <w:rFonts w:hint="eastAsia"/>
          <w:sz w:val="30"/>
          <w:szCs w:val="30"/>
        </w:rPr>
      </w:pPr>
    </w:p>
    <w:p w14:paraId="3B6E0A16">
      <w:pPr>
        <w:pStyle w:val="3"/>
        <w:bidi w:val="0"/>
        <w:rPr>
          <w:rFonts w:hint="eastAsia"/>
        </w:rPr>
      </w:pPr>
      <w:r>
        <w:rPr>
          <w:rFonts w:hint="eastAsia"/>
        </w:rPr>
        <w:t>The Consummation: A Biblical Scenario</w:t>
      </w:r>
    </w:p>
    <w:p w14:paraId="1A29B96C">
      <w:pPr>
        <w:pStyle w:val="3"/>
        <w:bidi w:val="0"/>
        <w:rPr>
          <w:rFonts w:hint="eastAsia"/>
        </w:rPr>
      </w:pPr>
      <w:r>
        <w:rPr>
          <w:rFonts w:hint="eastAsia"/>
        </w:rPr>
        <w:t>最终的成全：一个合乎圣经的情景</w:t>
      </w:r>
    </w:p>
    <w:p w14:paraId="42218205">
      <w:pPr>
        <w:pStyle w:val="9"/>
        <w:spacing w:before="10"/>
        <w:ind w:left="0"/>
        <w:jc w:val="left"/>
        <w:rPr>
          <w:rFonts w:hint="eastAsia"/>
          <w:sz w:val="30"/>
          <w:szCs w:val="30"/>
        </w:rPr>
      </w:pPr>
    </w:p>
    <w:p w14:paraId="6EE6217C">
      <w:pPr>
        <w:pStyle w:val="9"/>
        <w:spacing w:before="10"/>
        <w:ind w:left="0"/>
        <w:jc w:val="left"/>
        <w:rPr>
          <w:rFonts w:hint="eastAsia"/>
          <w:sz w:val="30"/>
          <w:szCs w:val="30"/>
        </w:rPr>
      </w:pPr>
      <w:r>
        <w:rPr>
          <w:rFonts w:hint="eastAsia"/>
          <w:sz w:val="30"/>
          <w:szCs w:val="30"/>
        </w:rPr>
        <w:t>We have come to the end of our journey.</w:t>
      </w:r>
    </w:p>
    <w:p w14:paraId="2ADA7E33">
      <w:pPr>
        <w:pStyle w:val="9"/>
        <w:spacing w:before="10"/>
        <w:ind w:left="0"/>
        <w:jc w:val="left"/>
        <w:rPr>
          <w:rFonts w:hint="eastAsia"/>
          <w:sz w:val="30"/>
          <w:szCs w:val="30"/>
        </w:rPr>
      </w:pPr>
      <w:r>
        <w:rPr>
          <w:rFonts w:hint="eastAsia"/>
          <w:sz w:val="30"/>
          <w:szCs w:val="30"/>
        </w:rPr>
        <w:t>我们已来到旅程的终点。</w:t>
      </w:r>
    </w:p>
    <w:p w14:paraId="54263094">
      <w:pPr>
        <w:pStyle w:val="9"/>
        <w:spacing w:before="10"/>
        <w:ind w:left="0"/>
        <w:jc w:val="left"/>
        <w:rPr>
          <w:rFonts w:hint="eastAsia"/>
          <w:sz w:val="30"/>
          <w:szCs w:val="30"/>
        </w:rPr>
      </w:pPr>
    </w:p>
    <w:p w14:paraId="25093EA4">
      <w:pPr>
        <w:pStyle w:val="9"/>
        <w:spacing w:before="10"/>
        <w:ind w:left="0"/>
        <w:jc w:val="left"/>
        <w:rPr>
          <w:rFonts w:hint="eastAsia"/>
          <w:sz w:val="30"/>
          <w:szCs w:val="30"/>
        </w:rPr>
      </w:pPr>
      <w:r>
        <w:rPr>
          <w:rFonts w:hint="eastAsia"/>
          <w:sz w:val="30"/>
          <w:szCs w:val="30"/>
        </w:rPr>
        <w:t>Having traversed many a biblical foothill, having scaled many an eschatological mountain, we have reached the summit.</w:t>
      </w:r>
    </w:p>
    <w:p w14:paraId="1A12246F">
      <w:pPr>
        <w:pStyle w:val="9"/>
        <w:spacing w:before="10"/>
        <w:ind w:left="0"/>
        <w:jc w:val="left"/>
        <w:rPr>
          <w:rFonts w:hint="eastAsia"/>
          <w:sz w:val="30"/>
          <w:szCs w:val="30"/>
        </w:rPr>
      </w:pPr>
      <w:r>
        <w:rPr>
          <w:rFonts w:hint="eastAsia"/>
          <w:sz w:val="30"/>
          <w:szCs w:val="30"/>
        </w:rPr>
        <w:t>我们曾跋涉过许多圣经的丘陵，攀登过许多末世论的山峰，如今已抵达顶峰。</w:t>
      </w:r>
    </w:p>
    <w:p w14:paraId="0B81A6C8">
      <w:pPr>
        <w:pStyle w:val="9"/>
        <w:spacing w:before="10"/>
        <w:ind w:left="0"/>
        <w:jc w:val="left"/>
        <w:rPr>
          <w:rFonts w:hint="eastAsia"/>
          <w:sz w:val="30"/>
          <w:szCs w:val="30"/>
        </w:rPr>
      </w:pPr>
    </w:p>
    <w:p w14:paraId="175617F0">
      <w:pPr>
        <w:pStyle w:val="9"/>
        <w:spacing w:before="10"/>
        <w:ind w:left="0"/>
        <w:jc w:val="left"/>
        <w:rPr>
          <w:rFonts w:hint="eastAsia"/>
          <w:sz w:val="30"/>
          <w:szCs w:val="30"/>
        </w:rPr>
      </w:pPr>
      <w:r>
        <w:rPr>
          <w:rFonts w:hint="eastAsia"/>
          <w:sz w:val="30"/>
          <w:szCs w:val="30"/>
        </w:rPr>
        <w:t>Now it is time to take in the view.</w:t>
      </w:r>
    </w:p>
    <w:p w14:paraId="634AE065">
      <w:pPr>
        <w:pStyle w:val="9"/>
        <w:spacing w:before="10"/>
        <w:ind w:left="0"/>
        <w:jc w:val="left"/>
        <w:rPr>
          <w:rFonts w:hint="eastAsia"/>
          <w:sz w:val="30"/>
          <w:szCs w:val="30"/>
        </w:rPr>
      </w:pPr>
      <w:r>
        <w:rPr>
          <w:rFonts w:hint="eastAsia"/>
          <w:sz w:val="30"/>
          <w:szCs w:val="30"/>
        </w:rPr>
        <w:t>现在是时候欣赏风景了。</w:t>
      </w:r>
    </w:p>
    <w:p w14:paraId="6886AE22">
      <w:pPr>
        <w:pStyle w:val="9"/>
        <w:spacing w:before="10"/>
        <w:ind w:left="0"/>
        <w:jc w:val="left"/>
        <w:rPr>
          <w:rFonts w:hint="eastAsia"/>
          <w:sz w:val="30"/>
          <w:szCs w:val="30"/>
        </w:rPr>
      </w:pPr>
    </w:p>
    <w:p w14:paraId="52A71F5B">
      <w:pPr>
        <w:pStyle w:val="9"/>
        <w:spacing w:before="10"/>
        <w:ind w:left="0"/>
        <w:jc w:val="left"/>
        <w:rPr>
          <w:rFonts w:hint="eastAsia"/>
          <w:sz w:val="30"/>
          <w:szCs w:val="30"/>
        </w:rPr>
      </w:pPr>
      <w:r>
        <w:rPr>
          <w:rFonts w:hint="eastAsia"/>
          <w:sz w:val="30"/>
          <w:szCs w:val="30"/>
        </w:rPr>
        <w:t>From the beginning our goal has been to behold—with clarity and conviction—the true shape of Salvation History, and the true nature of the Consummation, the Blessed Hope of Christ’s Church.</w:t>
      </w:r>
    </w:p>
    <w:p w14:paraId="011DA5AC">
      <w:pPr>
        <w:pStyle w:val="9"/>
        <w:spacing w:before="10"/>
        <w:ind w:left="0"/>
        <w:jc w:val="left"/>
        <w:rPr>
          <w:rFonts w:hint="eastAsia"/>
          <w:sz w:val="30"/>
          <w:szCs w:val="30"/>
        </w:rPr>
      </w:pPr>
      <w:r>
        <w:rPr>
          <w:rFonts w:hint="eastAsia"/>
          <w:sz w:val="30"/>
          <w:szCs w:val="30"/>
        </w:rPr>
        <w:t>从一开始，我们的目标就是——以清晰和确信——看清救赎历史的真实形态，以及最终成全的真正本质，即基督教会有福的盼望。</w:t>
      </w:r>
    </w:p>
    <w:p w14:paraId="3EA0C30F">
      <w:pPr>
        <w:pStyle w:val="9"/>
        <w:spacing w:before="10"/>
        <w:ind w:left="0"/>
        <w:jc w:val="left"/>
        <w:rPr>
          <w:rFonts w:hint="eastAsia"/>
          <w:sz w:val="30"/>
          <w:szCs w:val="30"/>
        </w:rPr>
      </w:pPr>
    </w:p>
    <w:p w14:paraId="6FE54272">
      <w:pPr>
        <w:pStyle w:val="9"/>
        <w:spacing w:before="10"/>
        <w:ind w:left="0"/>
        <w:jc w:val="left"/>
        <w:rPr>
          <w:rFonts w:hint="eastAsia"/>
          <w:sz w:val="30"/>
          <w:szCs w:val="30"/>
        </w:rPr>
      </w:pPr>
      <w:r>
        <w:rPr>
          <w:rFonts w:hint="eastAsia"/>
          <w:sz w:val="30"/>
          <w:szCs w:val="30"/>
        </w:rPr>
        <w:t>To this end we embarked on our journey by looking closely at the Kingdom of God.</w:t>
      </w:r>
    </w:p>
    <w:p w14:paraId="24723108">
      <w:pPr>
        <w:pStyle w:val="9"/>
        <w:spacing w:before="10"/>
        <w:ind w:left="0"/>
        <w:jc w:val="left"/>
        <w:rPr>
          <w:rFonts w:hint="eastAsia"/>
          <w:sz w:val="30"/>
          <w:szCs w:val="30"/>
        </w:rPr>
      </w:pPr>
      <w:r>
        <w:rPr>
          <w:rFonts w:hint="eastAsia"/>
          <w:sz w:val="30"/>
          <w:szCs w:val="30"/>
        </w:rPr>
        <w:t>为此，我们通过仔细考察上帝的国度来开始我们的旅程。</w:t>
      </w:r>
    </w:p>
    <w:p w14:paraId="57A25F8A">
      <w:pPr>
        <w:pStyle w:val="9"/>
        <w:spacing w:before="10"/>
        <w:ind w:left="0"/>
        <w:jc w:val="left"/>
        <w:rPr>
          <w:rFonts w:hint="eastAsia"/>
          <w:sz w:val="30"/>
          <w:szCs w:val="30"/>
        </w:rPr>
      </w:pPr>
    </w:p>
    <w:p w14:paraId="00B40A60">
      <w:pPr>
        <w:pStyle w:val="9"/>
        <w:spacing w:before="10"/>
        <w:ind w:left="0"/>
        <w:jc w:val="left"/>
        <w:rPr>
          <w:rFonts w:hint="eastAsia"/>
          <w:sz w:val="30"/>
          <w:szCs w:val="30"/>
        </w:rPr>
      </w:pPr>
      <w:r>
        <w:rPr>
          <w:rFonts w:hint="eastAsia"/>
          <w:sz w:val="30"/>
          <w:szCs w:val="30"/>
        </w:rPr>
        <w:t>First, we discerned its nature: that it is, in essence, a direct spiritual reign of God, through Christ, by the Spirit, in and over all who believe; and that it also is the realm which that reign creates.</w:t>
      </w:r>
    </w:p>
    <w:p w14:paraId="6C64C00B">
      <w:pPr>
        <w:pStyle w:val="9"/>
        <w:spacing w:before="10"/>
        <w:ind w:left="0"/>
        <w:jc w:val="left"/>
        <w:rPr>
          <w:rFonts w:hint="eastAsia"/>
          <w:sz w:val="30"/>
          <w:szCs w:val="30"/>
        </w:rPr>
      </w:pPr>
      <w:r>
        <w:rPr>
          <w:rFonts w:hint="eastAsia"/>
          <w:sz w:val="30"/>
          <w:szCs w:val="30"/>
        </w:rPr>
        <w:t>首先，我们辨识了它的本质：本质上，它是上帝，通过基督，借着圣灵，在所有相信之人里面和之上直接的属灵统治；并且它也是那统治所创造的领域。</w:t>
      </w:r>
    </w:p>
    <w:p w14:paraId="1CEA30DD">
      <w:pPr>
        <w:pStyle w:val="9"/>
        <w:spacing w:before="10"/>
        <w:ind w:left="0"/>
        <w:jc w:val="left"/>
        <w:rPr>
          <w:rFonts w:hint="eastAsia"/>
          <w:sz w:val="30"/>
          <w:szCs w:val="30"/>
        </w:rPr>
      </w:pPr>
    </w:p>
    <w:p w14:paraId="6B5353CF">
      <w:pPr>
        <w:pStyle w:val="9"/>
        <w:spacing w:before="10"/>
        <w:ind w:left="0"/>
        <w:jc w:val="left"/>
        <w:rPr>
          <w:rFonts w:hint="eastAsia"/>
          <w:sz w:val="30"/>
          <w:szCs w:val="30"/>
        </w:rPr>
      </w:pPr>
      <w:r>
        <w:rPr>
          <w:rFonts w:hint="eastAsia"/>
          <w:sz w:val="30"/>
          <w:szCs w:val="30"/>
        </w:rPr>
        <w:t>Next, we discerned its structure: that the Kingdom enters history in two simple stages: the Kingdom of the Son (already here), followed by the Kingdom of the Father (not yet here), the two stages being separated by a single Parousia of Christ at the end of the present evil age.</w:t>
      </w:r>
    </w:p>
    <w:p w14:paraId="355AA8C6">
      <w:pPr>
        <w:pStyle w:val="9"/>
        <w:spacing w:before="10"/>
        <w:ind w:left="0"/>
        <w:jc w:val="left"/>
        <w:rPr>
          <w:rFonts w:hint="eastAsia"/>
          <w:sz w:val="30"/>
          <w:szCs w:val="30"/>
        </w:rPr>
      </w:pPr>
      <w:r>
        <w:rPr>
          <w:rFonts w:hint="eastAsia"/>
          <w:sz w:val="30"/>
          <w:szCs w:val="30"/>
        </w:rPr>
        <w:t>接着，我们辨识了它的结构：国度分两个简单的阶段进入历史：圣子的国度（已经在此），其后是父的国度（尚未在此），这两个阶段被基督在现今邪恶世代末了的一次主临（Parousia）所分隔。</w:t>
      </w:r>
    </w:p>
    <w:p w14:paraId="3EDCF422">
      <w:pPr>
        <w:pStyle w:val="9"/>
        <w:spacing w:before="10"/>
        <w:ind w:left="0"/>
        <w:jc w:val="left"/>
        <w:rPr>
          <w:rFonts w:hint="eastAsia"/>
          <w:sz w:val="30"/>
          <w:szCs w:val="30"/>
        </w:rPr>
      </w:pPr>
    </w:p>
    <w:p w14:paraId="2FC6082B">
      <w:pPr>
        <w:pStyle w:val="9"/>
        <w:spacing w:before="10"/>
        <w:ind w:left="0"/>
        <w:jc w:val="left"/>
        <w:rPr>
          <w:rFonts w:hint="eastAsia"/>
          <w:sz w:val="30"/>
          <w:szCs w:val="30"/>
        </w:rPr>
      </w:pPr>
      <w:r>
        <w:rPr>
          <w:rFonts w:hint="eastAsia"/>
          <w:sz w:val="30"/>
          <w:szCs w:val="30"/>
        </w:rPr>
        <w:t>To our great surprise and joy, we found that this good, NT understanding of the Kingdom enabled us to behold the true biblical outline of all Salvation History.</w:t>
      </w:r>
    </w:p>
    <w:p w14:paraId="50B7E13D">
      <w:pPr>
        <w:pStyle w:val="9"/>
        <w:spacing w:before="10"/>
        <w:ind w:left="0"/>
        <w:jc w:val="left"/>
        <w:rPr>
          <w:rFonts w:hint="eastAsia"/>
          <w:sz w:val="30"/>
          <w:szCs w:val="30"/>
        </w:rPr>
      </w:pPr>
      <w:r>
        <w:rPr>
          <w:rFonts w:hint="eastAsia"/>
          <w:sz w:val="30"/>
          <w:szCs w:val="30"/>
        </w:rPr>
        <w:t>令我们大为惊奇和喜悦的是，我们发现这种对国度良好的、新约的理解，使我们能够看清所有救赎历史的真实圣经轮廓。</w:t>
      </w:r>
    </w:p>
    <w:p w14:paraId="78954501">
      <w:pPr>
        <w:pStyle w:val="9"/>
        <w:spacing w:before="10"/>
        <w:ind w:left="0"/>
        <w:jc w:val="left"/>
        <w:rPr>
          <w:rFonts w:hint="eastAsia"/>
          <w:sz w:val="30"/>
          <w:szCs w:val="30"/>
        </w:rPr>
      </w:pPr>
    </w:p>
    <w:p w14:paraId="5D09A1CB">
      <w:pPr>
        <w:pStyle w:val="9"/>
        <w:spacing w:before="10"/>
        <w:ind w:left="0"/>
        <w:jc w:val="left"/>
        <w:rPr>
          <w:rFonts w:hint="eastAsia"/>
          <w:sz w:val="30"/>
          <w:szCs w:val="30"/>
        </w:rPr>
      </w:pPr>
      <w:r>
        <w:rPr>
          <w:rFonts w:hint="eastAsia"/>
          <w:sz w:val="30"/>
          <w:szCs w:val="30"/>
        </w:rPr>
        <w:t>Building upon this, we next went in search of the proper NT principles for interpreting OT Kingdom prophecy.</w:t>
      </w:r>
    </w:p>
    <w:p w14:paraId="0A80654A">
      <w:pPr>
        <w:pStyle w:val="9"/>
        <w:spacing w:before="10"/>
        <w:ind w:left="0"/>
        <w:jc w:val="left"/>
        <w:rPr>
          <w:rFonts w:hint="eastAsia"/>
          <w:sz w:val="30"/>
          <w:szCs w:val="30"/>
        </w:rPr>
      </w:pPr>
      <w:r>
        <w:rPr>
          <w:rFonts w:hint="eastAsia"/>
          <w:sz w:val="30"/>
          <w:szCs w:val="30"/>
        </w:rPr>
        <w:t>在此基础上，我们接着去寻找解释旧约国度预言的正确新约原则。</w:t>
      </w:r>
    </w:p>
    <w:p w14:paraId="2D1BD345">
      <w:pPr>
        <w:pStyle w:val="9"/>
        <w:spacing w:before="10"/>
        <w:ind w:left="0"/>
        <w:jc w:val="left"/>
        <w:rPr>
          <w:rFonts w:hint="eastAsia"/>
          <w:sz w:val="30"/>
          <w:szCs w:val="30"/>
        </w:rPr>
      </w:pPr>
    </w:p>
    <w:p w14:paraId="2D26D80A">
      <w:pPr>
        <w:pStyle w:val="9"/>
        <w:spacing w:before="10"/>
        <w:ind w:left="0"/>
        <w:jc w:val="left"/>
        <w:rPr>
          <w:rFonts w:hint="eastAsia"/>
          <w:sz w:val="30"/>
          <w:szCs w:val="30"/>
        </w:rPr>
      </w:pPr>
      <w:r>
        <w:rPr>
          <w:rFonts w:hint="eastAsia"/>
          <w:sz w:val="30"/>
          <w:szCs w:val="30"/>
        </w:rPr>
        <w:t>This enabled us to discover and articulate what we called the New Covenant Hermeneutic, the NT method for understanding the OT in general, and OTKP in particular.</w:t>
      </w:r>
    </w:p>
    <w:p w14:paraId="657EA768">
      <w:pPr>
        <w:pStyle w:val="9"/>
        <w:spacing w:before="10"/>
        <w:ind w:left="0"/>
        <w:jc w:val="left"/>
        <w:rPr>
          <w:rFonts w:hint="eastAsia"/>
          <w:sz w:val="30"/>
          <w:szCs w:val="30"/>
        </w:rPr>
      </w:pPr>
      <w:r>
        <w:rPr>
          <w:rFonts w:hint="eastAsia"/>
          <w:sz w:val="30"/>
          <w:szCs w:val="30"/>
        </w:rPr>
        <w:t>这使我们能够发现并阐述我们称之为新约诠释学的，即理解整个旧约，特别是旧约国度预言的新约方法。</w:t>
      </w:r>
    </w:p>
    <w:p w14:paraId="7DCE0B6B">
      <w:pPr>
        <w:pStyle w:val="9"/>
        <w:spacing w:before="10"/>
        <w:ind w:left="0"/>
        <w:jc w:val="left"/>
        <w:rPr>
          <w:rFonts w:hint="eastAsia"/>
          <w:sz w:val="30"/>
          <w:szCs w:val="30"/>
        </w:rPr>
      </w:pPr>
    </w:p>
    <w:p w14:paraId="65927188">
      <w:pPr>
        <w:pStyle w:val="9"/>
        <w:spacing w:before="10"/>
        <w:ind w:left="0"/>
        <w:jc w:val="left"/>
        <w:rPr>
          <w:rFonts w:hint="eastAsia"/>
          <w:sz w:val="30"/>
          <w:szCs w:val="30"/>
        </w:rPr>
      </w:pPr>
      <w:r>
        <w:rPr>
          <w:rFonts w:hint="eastAsia"/>
          <w:sz w:val="30"/>
          <w:szCs w:val="30"/>
        </w:rPr>
        <w:t>We then applied that hermeneutic, with good success, to some of the most important and challenging OTKP’s, showing that in the end they all stubbornly resist the premillennial approach, but sweetly yield up their treasures to all who view them beneath the light of the simple, two-staged Kingdom taught in the Didactic NT.</w:t>
      </w:r>
    </w:p>
    <w:p w14:paraId="10ED610D">
      <w:pPr>
        <w:pStyle w:val="9"/>
        <w:spacing w:before="10"/>
        <w:ind w:left="0"/>
        <w:jc w:val="left"/>
        <w:rPr>
          <w:rFonts w:hint="eastAsia"/>
          <w:sz w:val="30"/>
          <w:szCs w:val="30"/>
        </w:rPr>
      </w:pPr>
      <w:r>
        <w:rPr>
          <w:rFonts w:hint="eastAsia"/>
          <w:sz w:val="30"/>
          <w:szCs w:val="30"/>
        </w:rPr>
        <w:t>然后我们成功地将那种诠释学应用于一些最重要和最具挑战性的旧约国度预言上，表明它们最终都顽固地抵制前千禧年论的方法，却将它们的宝藏甜美地献给所有在教导性新约中所教导的简单两阶段国度之光下看待它们的人。</w:t>
      </w:r>
    </w:p>
    <w:p w14:paraId="05807A1C">
      <w:pPr>
        <w:pStyle w:val="9"/>
        <w:spacing w:before="10"/>
        <w:ind w:left="0"/>
        <w:jc w:val="left"/>
        <w:rPr>
          <w:rFonts w:hint="eastAsia"/>
          <w:sz w:val="30"/>
          <w:szCs w:val="30"/>
        </w:rPr>
      </w:pPr>
    </w:p>
    <w:p w14:paraId="43273927">
      <w:pPr>
        <w:pStyle w:val="9"/>
        <w:spacing w:before="10"/>
        <w:ind w:left="0"/>
        <w:jc w:val="left"/>
        <w:rPr>
          <w:rFonts w:hint="eastAsia"/>
          <w:sz w:val="30"/>
          <w:szCs w:val="30"/>
        </w:rPr>
      </w:pPr>
      <w:r>
        <w:rPr>
          <w:rFonts w:hint="eastAsia"/>
          <w:sz w:val="30"/>
          <w:szCs w:val="30"/>
        </w:rPr>
        <w:t>Thus encouraged, we ventured into that most “Old Testament” of NT books, the Revelation.</w:t>
      </w:r>
    </w:p>
    <w:p w14:paraId="57BF5950">
      <w:pPr>
        <w:pStyle w:val="9"/>
        <w:spacing w:before="10"/>
        <w:ind w:left="0"/>
        <w:jc w:val="left"/>
        <w:rPr>
          <w:rFonts w:hint="eastAsia"/>
          <w:sz w:val="30"/>
          <w:szCs w:val="30"/>
        </w:rPr>
      </w:pPr>
      <w:r>
        <w:rPr>
          <w:rFonts w:hint="eastAsia"/>
          <w:sz w:val="30"/>
          <w:szCs w:val="30"/>
        </w:rPr>
        <w:t>因此受到鼓励，我们冒险进入那本新约中最具“旧约”色彩的书，《启示录》。</w:t>
      </w:r>
    </w:p>
    <w:p w14:paraId="65351EA9">
      <w:pPr>
        <w:pStyle w:val="9"/>
        <w:spacing w:before="10"/>
        <w:ind w:left="0"/>
        <w:jc w:val="left"/>
        <w:rPr>
          <w:rFonts w:hint="eastAsia"/>
          <w:sz w:val="30"/>
          <w:szCs w:val="30"/>
        </w:rPr>
      </w:pPr>
    </w:p>
    <w:p w14:paraId="3FCFD44E">
      <w:pPr>
        <w:pStyle w:val="9"/>
        <w:spacing w:before="10"/>
        <w:ind w:left="0"/>
        <w:jc w:val="left"/>
        <w:rPr>
          <w:rFonts w:hint="eastAsia"/>
          <w:sz w:val="30"/>
          <w:szCs w:val="30"/>
        </w:rPr>
      </w:pPr>
      <w:r>
        <w:rPr>
          <w:rFonts w:hint="eastAsia"/>
          <w:sz w:val="30"/>
          <w:szCs w:val="30"/>
        </w:rPr>
        <w:t>We began by carefully examining its purpose, structure, and literary genre.</w:t>
      </w:r>
    </w:p>
    <w:p w14:paraId="4DF6D06C">
      <w:pPr>
        <w:pStyle w:val="9"/>
        <w:spacing w:before="10"/>
        <w:ind w:left="0"/>
        <w:jc w:val="left"/>
        <w:rPr>
          <w:rFonts w:hint="eastAsia"/>
          <w:sz w:val="30"/>
          <w:szCs w:val="30"/>
        </w:rPr>
      </w:pPr>
      <w:r>
        <w:rPr>
          <w:rFonts w:hint="eastAsia"/>
          <w:sz w:val="30"/>
          <w:szCs w:val="30"/>
        </w:rPr>
        <w:t>我们开始时仔细地审视了它的目的、结构和文学体裁。</w:t>
      </w:r>
    </w:p>
    <w:p w14:paraId="462BCAD3">
      <w:pPr>
        <w:pStyle w:val="9"/>
        <w:spacing w:before="10"/>
        <w:ind w:left="0"/>
        <w:jc w:val="left"/>
        <w:rPr>
          <w:rFonts w:hint="eastAsia"/>
          <w:sz w:val="30"/>
          <w:szCs w:val="30"/>
        </w:rPr>
      </w:pPr>
    </w:p>
    <w:p w14:paraId="616318AE">
      <w:pPr>
        <w:pStyle w:val="9"/>
        <w:spacing w:before="10"/>
        <w:ind w:left="0"/>
        <w:jc w:val="left"/>
        <w:rPr>
          <w:rFonts w:hint="eastAsia"/>
          <w:sz w:val="30"/>
          <w:szCs w:val="30"/>
        </w:rPr>
      </w:pPr>
      <w:r>
        <w:rPr>
          <w:rFonts w:hint="eastAsia"/>
          <w:sz w:val="30"/>
          <w:szCs w:val="30"/>
        </w:rPr>
        <w:t>This opened us to the possibility that Revelation 20 might be the last of six “mystical” depictions of the course, character, and consummation of the spiritual reign of the High King Heaven, the exalted Lord Jesus Christ.</w:t>
      </w:r>
    </w:p>
    <w:p w14:paraId="116E83E4">
      <w:pPr>
        <w:pStyle w:val="9"/>
        <w:spacing w:before="10"/>
        <w:ind w:left="0"/>
        <w:jc w:val="left"/>
        <w:rPr>
          <w:rFonts w:hint="eastAsia"/>
          <w:sz w:val="30"/>
          <w:szCs w:val="30"/>
        </w:rPr>
      </w:pPr>
      <w:r>
        <w:rPr>
          <w:rFonts w:hint="eastAsia"/>
          <w:sz w:val="30"/>
          <w:szCs w:val="30"/>
        </w:rPr>
        <w:t>这使我们看到了这样一种可能性，即《启示录》第20章可能是对天上至高君王，被高举的主耶稣基督属灵统治的进程、特征和最终成全的六个“神秘”描绘中的最后一个。</w:t>
      </w:r>
    </w:p>
    <w:p w14:paraId="14BC950F">
      <w:pPr>
        <w:pStyle w:val="9"/>
        <w:spacing w:before="10"/>
        <w:ind w:left="0"/>
        <w:jc w:val="left"/>
        <w:rPr>
          <w:rFonts w:hint="eastAsia"/>
          <w:sz w:val="30"/>
          <w:szCs w:val="30"/>
        </w:rPr>
      </w:pPr>
    </w:p>
    <w:p w14:paraId="4942BF35">
      <w:pPr>
        <w:pStyle w:val="9"/>
        <w:spacing w:before="10"/>
        <w:ind w:left="0"/>
        <w:jc w:val="left"/>
        <w:rPr>
          <w:rFonts w:hint="eastAsia"/>
          <w:sz w:val="30"/>
          <w:szCs w:val="30"/>
        </w:rPr>
      </w:pPr>
      <w:r>
        <w:rPr>
          <w:rFonts w:hint="eastAsia"/>
          <w:sz w:val="30"/>
          <w:szCs w:val="30"/>
        </w:rPr>
        <w:t>And when we actually studied Revelation 20, we saw that this interpretation is indeed by far the best.</w:t>
      </w:r>
    </w:p>
    <w:p w14:paraId="3B7B66F0">
      <w:pPr>
        <w:pStyle w:val="9"/>
        <w:spacing w:before="10"/>
        <w:ind w:left="0"/>
        <w:jc w:val="left"/>
        <w:rPr>
          <w:rFonts w:hint="eastAsia"/>
          <w:sz w:val="30"/>
          <w:szCs w:val="30"/>
        </w:rPr>
      </w:pPr>
      <w:r>
        <w:rPr>
          <w:rFonts w:hint="eastAsia"/>
          <w:sz w:val="30"/>
          <w:szCs w:val="30"/>
        </w:rPr>
        <w:t>当我们实际研究《启示录》第20章时，我们看到这种解释确实是迄今为止最好的。</w:t>
      </w:r>
    </w:p>
    <w:p w14:paraId="17BBCE18">
      <w:pPr>
        <w:pStyle w:val="9"/>
        <w:spacing w:before="10"/>
        <w:ind w:left="0"/>
        <w:jc w:val="left"/>
        <w:rPr>
          <w:rFonts w:hint="eastAsia"/>
          <w:sz w:val="30"/>
          <w:szCs w:val="30"/>
        </w:rPr>
      </w:pPr>
    </w:p>
    <w:p w14:paraId="6A0ABD2D">
      <w:pPr>
        <w:pStyle w:val="9"/>
        <w:spacing w:before="10"/>
        <w:ind w:left="0"/>
        <w:jc w:val="left"/>
        <w:rPr>
          <w:rFonts w:hint="eastAsia"/>
          <w:sz w:val="30"/>
          <w:szCs w:val="30"/>
        </w:rPr>
      </w:pPr>
      <w:r>
        <w:rPr>
          <w:rFonts w:hint="eastAsia"/>
          <w:sz w:val="30"/>
          <w:szCs w:val="30"/>
        </w:rPr>
        <w:t>Drawing near to our final goal, we turned once again to the NT, this time to see if its teaching on the Consummation confirmed our suspicions about the true (amillennial) shape of Salvation History.</w:t>
      </w:r>
    </w:p>
    <w:p w14:paraId="0F8B5F04">
      <w:pPr>
        <w:pStyle w:val="9"/>
        <w:spacing w:before="10"/>
        <w:ind w:left="0"/>
        <w:jc w:val="left"/>
        <w:rPr>
          <w:rFonts w:hint="eastAsia"/>
          <w:sz w:val="30"/>
          <w:szCs w:val="30"/>
        </w:rPr>
      </w:pPr>
      <w:r>
        <w:rPr>
          <w:rFonts w:hint="eastAsia"/>
          <w:sz w:val="30"/>
          <w:szCs w:val="30"/>
        </w:rPr>
        <w:t>接近我们的最终目标，我们再次转向新约，这次是为了看看它关于最终成全的教导是否证实了我们对救赎历史真实（无千禧年论）形态的怀疑。</w:t>
      </w:r>
    </w:p>
    <w:p w14:paraId="612E9DB4">
      <w:pPr>
        <w:pStyle w:val="9"/>
        <w:spacing w:before="10"/>
        <w:ind w:left="0"/>
        <w:jc w:val="left"/>
        <w:rPr>
          <w:rFonts w:hint="eastAsia"/>
          <w:sz w:val="30"/>
          <w:szCs w:val="30"/>
        </w:rPr>
      </w:pPr>
    </w:p>
    <w:p w14:paraId="13CB3FEE">
      <w:pPr>
        <w:pStyle w:val="9"/>
        <w:spacing w:before="10"/>
        <w:ind w:left="0"/>
        <w:jc w:val="left"/>
        <w:rPr>
          <w:rFonts w:hint="eastAsia"/>
          <w:sz w:val="30"/>
          <w:szCs w:val="30"/>
        </w:rPr>
      </w:pPr>
      <w:r>
        <w:rPr>
          <w:rFonts w:hint="eastAsia"/>
          <w:sz w:val="30"/>
          <w:szCs w:val="30"/>
        </w:rPr>
        <w:t>We looked carefully at the Christ-exalting design of the Consummation.</w:t>
      </w:r>
    </w:p>
    <w:p w14:paraId="65549E9D">
      <w:pPr>
        <w:pStyle w:val="9"/>
        <w:spacing w:before="10"/>
        <w:ind w:left="0"/>
        <w:jc w:val="left"/>
        <w:rPr>
          <w:rFonts w:hint="eastAsia"/>
          <w:sz w:val="30"/>
          <w:szCs w:val="30"/>
        </w:rPr>
      </w:pPr>
      <w:r>
        <w:rPr>
          <w:rFonts w:hint="eastAsia"/>
          <w:sz w:val="30"/>
          <w:szCs w:val="30"/>
        </w:rPr>
        <w:t>我们仔细地考察了最终成全那高举基督的设计。</w:t>
      </w:r>
    </w:p>
    <w:p w14:paraId="57FED345">
      <w:pPr>
        <w:pStyle w:val="9"/>
        <w:spacing w:before="10"/>
        <w:ind w:left="0"/>
        <w:jc w:val="left"/>
        <w:rPr>
          <w:rFonts w:hint="eastAsia"/>
          <w:sz w:val="30"/>
          <w:szCs w:val="30"/>
        </w:rPr>
      </w:pPr>
    </w:p>
    <w:p w14:paraId="26D5019C">
      <w:pPr>
        <w:pStyle w:val="9"/>
        <w:spacing w:before="10"/>
        <w:ind w:left="0"/>
        <w:jc w:val="left"/>
        <w:rPr>
          <w:rFonts w:hint="eastAsia"/>
          <w:sz w:val="30"/>
          <w:szCs w:val="30"/>
        </w:rPr>
      </w:pPr>
      <w:r>
        <w:rPr>
          <w:rFonts w:hint="eastAsia"/>
          <w:sz w:val="30"/>
          <w:szCs w:val="30"/>
        </w:rPr>
        <w:t>We discerned its Christ- centered structure.</w:t>
      </w:r>
    </w:p>
    <w:p w14:paraId="729CBE99">
      <w:pPr>
        <w:pStyle w:val="9"/>
        <w:spacing w:before="10"/>
        <w:ind w:left="0"/>
        <w:jc w:val="left"/>
        <w:rPr>
          <w:rFonts w:hint="eastAsia"/>
          <w:sz w:val="30"/>
          <w:szCs w:val="30"/>
        </w:rPr>
      </w:pPr>
      <w:r>
        <w:rPr>
          <w:rFonts w:hint="eastAsia"/>
          <w:sz w:val="30"/>
          <w:szCs w:val="30"/>
        </w:rPr>
        <w:t>我们辨识了它以基督为中心的结构。</w:t>
      </w:r>
    </w:p>
    <w:p w14:paraId="75283B1B">
      <w:pPr>
        <w:pStyle w:val="9"/>
        <w:spacing w:before="10"/>
        <w:ind w:left="0"/>
        <w:jc w:val="left"/>
        <w:rPr>
          <w:rFonts w:hint="eastAsia"/>
          <w:sz w:val="30"/>
          <w:szCs w:val="30"/>
        </w:rPr>
      </w:pPr>
    </w:p>
    <w:p w14:paraId="7C69A774">
      <w:pPr>
        <w:pStyle w:val="9"/>
        <w:spacing w:before="10"/>
        <w:ind w:left="0"/>
        <w:jc w:val="left"/>
        <w:rPr>
          <w:rFonts w:hint="eastAsia"/>
          <w:sz w:val="30"/>
          <w:szCs w:val="30"/>
        </w:rPr>
      </w:pPr>
      <w:r>
        <w:rPr>
          <w:rFonts w:hint="eastAsia"/>
          <w:sz w:val="30"/>
          <w:szCs w:val="30"/>
        </w:rPr>
        <w:t>And we closely examined the top 16 eschatological texts of the Didactic NT.</w:t>
      </w:r>
    </w:p>
    <w:p w14:paraId="2E0A44E1">
      <w:pPr>
        <w:pStyle w:val="9"/>
        <w:spacing w:before="10"/>
        <w:ind w:left="0"/>
        <w:jc w:val="left"/>
        <w:rPr>
          <w:rFonts w:hint="eastAsia"/>
          <w:sz w:val="30"/>
          <w:szCs w:val="30"/>
        </w:rPr>
      </w:pPr>
      <w:r>
        <w:rPr>
          <w:rFonts w:hint="eastAsia"/>
          <w:sz w:val="30"/>
          <w:szCs w:val="30"/>
        </w:rPr>
        <w:t>我们仔细地查考了教导性新约中最重要的16段末世论经文。</w:t>
      </w:r>
    </w:p>
    <w:p w14:paraId="3BAEC8A5">
      <w:pPr>
        <w:pStyle w:val="9"/>
        <w:spacing w:before="10"/>
        <w:ind w:left="0"/>
        <w:jc w:val="left"/>
        <w:rPr>
          <w:rFonts w:hint="eastAsia"/>
          <w:sz w:val="30"/>
          <w:szCs w:val="30"/>
        </w:rPr>
      </w:pPr>
    </w:p>
    <w:p w14:paraId="6F3A65EB">
      <w:pPr>
        <w:pStyle w:val="9"/>
        <w:spacing w:before="10"/>
        <w:ind w:left="0"/>
        <w:jc w:val="left"/>
        <w:rPr>
          <w:rFonts w:hint="eastAsia"/>
          <w:sz w:val="30"/>
          <w:szCs w:val="30"/>
        </w:rPr>
      </w:pPr>
      <w:r>
        <w:rPr>
          <w:rFonts w:hint="eastAsia"/>
          <w:sz w:val="30"/>
          <w:szCs w:val="30"/>
        </w:rPr>
        <w:t>Through all of this, we finally reached our destination.</w:t>
      </w:r>
    </w:p>
    <w:p w14:paraId="173F0E2F">
      <w:pPr>
        <w:pStyle w:val="9"/>
        <w:spacing w:before="10"/>
        <w:ind w:left="0"/>
        <w:jc w:val="left"/>
        <w:rPr>
          <w:rFonts w:hint="eastAsia"/>
          <w:sz w:val="30"/>
          <w:szCs w:val="30"/>
        </w:rPr>
      </w:pPr>
      <w:r>
        <w:rPr>
          <w:rFonts w:hint="eastAsia"/>
          <w:sz w:val="30"/>
          <w:szCs w:val="30"/>
        </w:rPr>
        <w:t>通过这一切，我们终于到达了我们的目的地。</w:t>
      </w:r>
    </w:p>
    <w:p w14:paraId="12C23A23">
      <w:pPr>
        <w:pStyle w:val="9"/>
        <w:spacing w:before="10"/>
        <w:ind w:left="0"/>
        <w:jc w:val="left"/>
        <w:rPr>
          <w:rFonts w:hint="eastAsia"/>
          <w:sz w:val="30"/>
          <w:szCs w:val="30"/>
        </w:rPr>
      </w:pPr>
    </w:p>
    <w:p w14:paraId="2178F782">
      <w:pPr>
        <w:pStyle w:val="9"/>
        <w:spacing w:before="10"/>
        <w:ind w:left="0"/>
        <w:jc w:val="left"/>
        <w:rPr>
          <w:rFonts w:hint="eastAsia"/>
          <w:sz w:val="30"/>
          <w:szCs w:val="30"/>
        </w:rPr>
      </w:pPr>
      <w:r>
        <w:rPr>
          <w:rFonts w:hint="eastAsia"/>
          <w:sz w:val="30"/>
          <w:szCs w:val="30"/>
        </w:rPr>
        <w:t>We beheld—with clarity and certainty—the Christ-centered unity of the Consummation.</w:t>
      </w:r>
    </w:p>
    <w:p w14:paraId="75A1FAC8">
      <w:pPr>
        <w:pStyle w:val="9"/>
        <w:spacing w:before="10"/>
        <w:ind w:left="0"/>
        <w:jc w:val="left"/>
        <w:rPr>
          <w:rFonts w:hint="eastAsia"/>
          <w:sz w:val="30"/>
          <w:szCs w:val="30"/>
        </w:rPr>
      </w:pPr>
      <w:r>
        <w:rPr>
          <w:rFonts w:hint="eastAsia"/>
          <w:sz w:val="30"/>
          <w:szCs w:val="30"/>
        </w:rPr>
        <w:t>我们——以清晰和确定——看见了最终成全那以基督为中心的统一性。</w:t>
      </w:r>
    </w:p>
    <w:p w14:paraId="347159CB">
      <w:pPr>
        <w:pStyle w:val="9"/>
        <w:spacing w:before="10"/>
        <w:ind w:left="0"/>
        <w:jc w:val="left"/>
        <w:rPr>
          <w:rFonts w:hint="eastAsia"/>
          <w:sz w:val="30"/>
          <w:szCs w:val="30"/>
        </w:rPr>
      </w:pPr>
    </w:p>
    <w:p w14:paraId="4940D95E">
      <w:pPr>
        <w:pStyle w:val="9"/>
        <w:spacing w:before="10"/>
        <w:ind w:left="0"/>
        <w:jc w:val="left"/>
        <w:rPr>
          <w:rFonts w:hint="eastAsia"/>
          <w:sz w:val="30"/>
          <w:szCs w:val="30"/>
        </w:rPr>
      </w:pPr>
      <w:r>
        <w:rPr>
          <w:rFonts w:hint="eastAsia"/>
          <w:sz w:val="30"/>
          <w:szCs w:val="30"/>
        </w:rPr>
        <w:t>We saw that Christ will indeed come again once at the end of the present evil age, to raise the dead, judge the world in righteousness, destroy the present earth and its works by fire, and then create new heavens and the new earth, the eternal home of the redeemed.</w:t>
      </w:r>
    </w:p>
    <w:p w14:paraId="1970F898">
      <w:pPr>
        <w:pStyle w:val="9"/>
        <w:spacing w:before="10"/>
        <w:ind w:left="0"/>
        <w:jc w:val="left"/>
        <w:rPr>
          <w:rFonts w:hint="eastAsia"/>
          <w:sz w:val="30"/>
          <w:szCs w:val="30"/>
        </w:rPr>
      </w:pPr>
      <w:r>
        <w:rPr>
          <w:rFonts w:hint="eastAsia"/>
          <w:sz w:val="30"/>
          <w:szCs w:val="30"/>
        </w:rPr>
        <w:t>我们看到，基督确实将在现今邪恶世代的末了再来一次，使死人复活，按公义审判世界，用火毁灭现今的地和其上的工程，然后创造新天新地，即被赎之民永恒的家。</w:t>
      </w:r>
    </w:p>
    <w:p w14:paraId="5E22F925">
      <w:pPr>
        <w:pStyle w:val="9"/>
        <w:spacing w:before="10"/>
        <w:ind w:left="0"/>
        <w:jc w:val="left"/>
        <w:rPr>
          <w:rFonts w:hint="eastAsia"/>
          <w:sz w:val="30"/>
          <w:szCs w:val="30"/>
        </w:rPr>
      </w:pPr>
    </w:p>
    <w:p w14:paraId="41671DE5">
      <w:pPr>
        <w:pStyle w:val="9"/>
        <w:spacing w:before="10"/>
        <w:ind w:left="0"/>
        <w:jc w:val="left"/>
        <w:rPr>
          <w:rFonts w:hint="eastAsia"/>
          <w:sz w:val="30"/>
          <w:szCs w:val="30"/>
        </w:rPr>
      </w:pPr>
      <w:r>
        <w:rPr>
          <w:rFonts w:hint="eastAsia"/>
          <w:sz w:val="30"/>
          <w:szCs w:val="30"/>
        </w:rPr>
        <w:t>In sum, over many highways and byways, over many paths and peaks, we sought and found the one true Blessed Hope of the Church.</w:t>
      </w:r>
    </w:p>
    <w:p w14:paraId="139768A5">
      <w:pPr>
        <w:pStyle w:val="9"/>
        <w:spacing w:before="10"/>
        <w:ind w:left="0"/>
        <w:jc w:val="left"/>
        <w:rPr>
          <w:rFonts w:hint="eastAsia"/>
          <w:sz w:val="30"/>
          <w:szCs w:val="30"/>
        </w:rPr>
      </w:pPr>
      <w:r>
        <w:rPr>
          <w:rFonts w:hint="eastAsia"/>
          <w:sz w:val="30"/>
          <w:szCs w:val="30"/>
        </w:rPr>
        <w:t>总而言之，我们走过许多大道和小径，越过许多路径和山峰，寻求并找到了教会那独一的真有福盼望。</w:t>
      </w:r>
    </w:p>
    <w:p w14:paraId="158EEDA0">
      <w:pPr>
        <w:pStyle w:val="9"/>
        <w:spacing w:before="10"/>
        <w:ind w:left="0"/>
        <w:jc w:val="left"/>
        <w:rPr>
          <w:rFonts w:hint="eastAsia"/>
          <w:sz w:val="30"/>
          <w:szCs w:val="30"/>
        </w:rPr>
      </w:pPr>
    </w:p>
    <w:p w14:paraId="19221918">
      <w:pPr>
        <w:pStyle w:val="9"/>
        <w:spacing w:before="10"/>
        <w:ind w:left="0"/>
        <w:jc w:val="left"/>
        <w:rPr>
          <w:rFonts w:hint="eastAsia"/>
          <w:sz w:val="30"/>
          <w:szCs w:val="30"/>
        </w:rPr>
      </w:pPr>
      <w:r>
        <w:rPr>
          <w:rFonts w:hint="eastAsia"/>
          <w:sz w:val="30"/>
          <w:szCs w:val="30"/>
        </w:rPr>
        <w:t>And now, from high on Mt. Pisgah, let us survey the Promised Land one final time.</w:t>
      </w:r>
    </w:p>
    <w:p w14:paraId="06DF3E1B">
      <w:pPr>
        <w:pStyle w:val="9"/>
        <w:spacing w:before="10"/>
        <w:ind w:left="0"/>
        <w:jc w:val="left"/>
        <w:rPr>
          <w:rFonts w:hint="eastAsia"/>
          <w:sz w:val="30"/>
          <w:szCs w:val="30"/>
        </w:rPr>
      </w:pPr>
      <w:r>
        <w:rPr>
          <w:rFonts w:hint="eastAsia"/>
          <w:sz w:val="30"/>
          <w:szCs w:val="30"/>
        </w:rPr>
        <w:t>现在，从毗斯迦山的高处，让我们最后一次眺望那应许之地。</w:t>
      </w:r>
    </w:p>
    <w:p w14:paraId="7B0B2887">
      <w:pPr>
        <w:pStyle w:val="9"/>
        <w:spacing w:before="10"/>
        <w:ind w:left="0"/>
        <w:jc w:val="left"/>
        <w:rPr>
          <w:rFonts w:hint="eastAsia"/>
          <w:sz w:val="30"/>
          <w:szCs w:val="30"/>
        </w:rPr>
      </w:pPr>
    </w:p>
    <w:p w14:paraId="7FC7C3E3">
      <w:pPr>
        <w:pStyle w:val="9"/>
        <w:spacing w:before="10"/>
        <w:ind w:left="0"/>
        <w:jc w:val="left"/>
        <w:rPr>
          <w:rFonts w:hint="eastAsia"/>
          <w:sz w:val="30"/>
          <w:szCs w:val="30"/>
        </w:rPr>
      </w:pPr>
      <w:r>
        <w:rPr>
          <w:rFonts w:hint="eastAsia"/>
          <w:sz w:val="30"/>
          <w:szCs w:val="30"/>
        </w:rPr>
        <w:t>A Consummation Structured for Hope</w:t>
      </w:r>
    </w:p>
    <w:p w14:paraId="1DB8E56E">
      <w:pPr>
        <w:pStyle w:val="9"/>
        <w:spacing w:before="10"/>
        <w:ind w:left="0"/>
        <w:jc w:val="left"/>
        <w:rPr>
          <w:rFonts w:hint="eastAsia"/>
          <w:sz w:val="30"/>
          <w:szCs w:val="30"/>
        </w:rPr>
      </w:pPr>
      <w:r>
        <w:rPr>
          <w:rFonts w:hint="eastAsia"/>
          <w:sz w:val="30"/>
          <w:szCs w:val="30"/>
        </w:rPr>
        <w:t>为盼望而构建的最终成全</w:t>
      </w:r>
    </w:p>
    <w:p w14:paraId="70222F46">
      <w:pPr>
        <w:pStyle w:val="9"/>
        <w:spacing w:before="10"/>
        <w:ind w:left="0"/>
        <w:jc w:val="left"/>
        <w:rPr>
          <w:rFonts w:hint="eastAsia"/>
          <w:sz w:val="30"/>
          <w:szCs w:val="30"/>
        </w:rPr>
      </w:pPr>
    </w:p>
    <w:p w14:paraId="1F3082FC">
      <w:pPr>
        <w:pStyle w:val="9"/>
        <w:spacing w:before="10"/>
        <w:ind w:left="0"/>
        <w:jc w:val="left"/>
        <w:rPr>
          <w:rFonts w:hint="eastAsia"/>
          <w:sz w:val="30"/>
          <w:szCs w:val="30"/>
        </w:rPr>
      </w:pPr>
      <w:r>
        <w:rPr>
          <w:rFonts w:hint="eastAsia"/>
          <w:sz w:val="30"/>
          <w:szCs w:val="30"/>
        </w:rPr>
        <w:t>Above all, God has structured the Consummation with a view to enhancing the glory of his Son (John 5:23).</w:t>
      </w:r>
    </w:p>
    <w:p w14:paraId="3D461D9C">
      <w:pPr>
        <w:pStyle w:val="9"/>
        <w:spacing w:before="10"/>
        <w:ind w:left="0"/>
        <w:jc w:val="left"/>
        <w:rPr>
          <w:rFonts w:hint="eastAsia"/>
          <w:sz w:val="30"/>
          <w:szCs w:val="30"/>
        </w:rPr>
      </w:pPr>
      <w:r>
        <w:rPr>
          <w:rFonts w:hint="eastAsia"/>
          <w:sz w:val="30"/>
          <w:szCs w:val="30"/>
        </w:rPr>
        <w:t>首先，上帝已构建了最终的成全，为要增添祂儿子的荣耀（约翰福音5:23）。</w:t>
      </w:r>
    </w:p>
    <w:p w14:paraId="6201A405">
      <w:pPr>
        <w:pStyle w:val="9"/>
        <w:spacing w:before="10"/>
        <w:ind w:left="0"/>
        <w:jc w:val="left"/>
        <w:rPr>
          <w:rFonts w:hint="eastAsia"/>
          <w:sz w:val="30"/>
          <w:szCs w:val="30"/>
        </w:rPr>
      </w:pPr>
    </w:p>
    <w:p w14:paraId="4A9C6A98">
      <w:pPr>
        <w:pStyle w:val="9"/>
        <w:spacing w:before="10"/>
        <w:ind w:left="0"/>
        <w:jc w:val="left"/>
        <w:rPr>
          <w:rFonts w:hint="eastAsia"/>
          <w:sz w:val="30"/>
          <w:szCs w:val="30"/>
        </w:rPr>
      </w:pPr>
      <w:r>
        <w:rPr>
          <w:rFonts w:hint="eastAsia"/>
          <w:sz w:val="30"/>
          <w:szCs w:val="30"/>
        </w:rPr>
        <w:t>However, in so doing, he has also structured it with a view to illuminating, encouraging, motivating, equipping, and empowering the Church Militant.</w:t>
      </w:r>
    </w:p>
    <w:p w14:paraId="19A2B068">
      <w:pPr>
        <w:pStyle w:val="9"/>
        <w:spacing w:before="10"/>
        <w:ind w:left="0"/>
        <w:jc w:val="left"/>
        <w:rPr>
          <w:rFonts w:hint="eastAsia"/>
          <w:sz w:val="30"/>
          <w:szCs w:val="30"/>
        </w:rPr>
      </w:pPr>
      <w:r>
        <w:rPr>
          <w:rFonts w:hint="eastAsia"/>
          <w:sz w:val="30"/>
          <w:szCs w:val="30"/>
        </w:rPr>
        <w:t>然而，在这样做的时候，祂也已构建了它，为要光照、鼓励、激励、装备和赋予争战的教会能力。</w:t>
      </w:r>
    </w:p>
    <w:p w14:paraId="1EFF3D66">
      <w:pPr>
        <w:pStyle w:val="9"/>
        <w:spacing w:before="10"/>
        <w:ind w:left="0"/>
        <w:jc w:val="left"/>
        <w:rPr>
          <w:rFonts w:hint="eastAsia"/>
          <w:sz w:val="30"/>
          <w:szCs w:val="30"/>
        </w:rPr>
      </w:pPr>
    </w:p>
    <w:p w14:paraId="6751158A">
      <w:pPr>
        <w:pStyle w:val="9"/>
        <w:spacing w:before="10"/>
        <w:ind w:left="0"/>
        <w:jc w:val="left"/>
        <w:rPr>
          <w:rFonts w:hint="eastAsia"/>
          <w:sz w:val="30"/>
          <w:szCs w:val="30"/>
        </w:rPr>
      </w:pPr>
      <w:r>
        <w:rPr>
          <w:rFonts w:hint="eastAsia"/>
          <w:sz w:val="30"/>
          <w:szCs w:val="30"/>
        </w:rPr>
        <w:t>In short, he has designed it so that his pilgrim people may have hope.</w:t>
      </w:r>
    </w:p>
    <w:p w14:paraId="2F12C5AB">
      <w:pPr>
        <w:pStyle w:val="9"/>
        <w:spacing w:before="10"/>
        <w:ind w:left="0"/>
        <w:jc w:val="left"/>
        <w:rPr>
          <w:rFonts w:hint="eastAsia"/>
          <w:sz w:val="30"/>
          <w:szCs w:val="30"/>
        </w:rPr>
      </w:pPr>
      <w:r>
        <w:rPr>
          <w:rFonts w:hint="eastAsia"/>
          <w:sz w:val="30"/>
          <w:szCs w:val="30"/>
        </w:rPr>
        <w:t>简而言之，祂已设计了它，好叫祂的朝圣子民可以有盼望。</w:t>
      </w:r>
    </w:p>
    <w:p w14:paraId="22B652DE">
      <w:pPr>
        <w:pStyle w:val="9"/>
        <w:spacing w:before="10"/>
        <w:ind w:left="0"/>
        <w:jc w:val="left"/>
        <w:rPr>
          <w:rFonts w:hint="eastAsia"/>
          <w:sz w:val="30"/>
          <w:szCs w:val="30"/>
        </w:rPr>
      </w:pPr>
    </w:p>
    <w:p w14:paraId="7A1AA453">
      <w:pPr>
        <w:pStyle w:val="9"/>
        <w:spacing w:before="10"/>
        <w:ind w:left="0"/>
        <w:jc w:val="left"/>
        <w:rPr>
          <w:rFonts w:hint="eastAsia"/>
          <w:sz w:val="30"/>
          <w:szCs w:val="30"/>
        </w:rPr>
      </w:pPr>
      <w:r>
        <w:rPr>
          <w:rFonts w:hint="eastAsia"/>
          <w:sz w:val="30"/>
          <w:szCs w:val="30"/>
        </w:rPr>
        <w:t>On this crucial eschatological theme we recall the words of the apostle Paul:</w:t>
      </w:r>
    </w:p>
    <w:p w14:paraId="62B1C229">
      <w:pPr>
        <w:pStyle w:val="9"/>
        <w:spacing w:before="10"/>
        <w:ind w:left="0"/>
        <w:jc w:val="left"/>
        <w:rPr>
          <w:rFonts w:hint="eastAsia"/>
          <w:sz w:val="30"/>
          <w:szCs w:val="30"/>
        </w:rPr>
      </w:pPr>
      <w:r>
        <w:rPr>
          <w:rFonts w:hint="eastAsia"/>
          <w:sz w:val="30"/>
          <w:szCs w:val="30"/>
        </w:rPr>
        <w:t>关于这个关键的末世论主题，我们回想起使徒保罗的话：</w:t>
      </w:r>
    </w:p>
    <w:p w14:paraId="5DDC1FC4">
      <w:pPr>
        <w:pStyle w:val="9"/>
        <w:spacing w:before="10"/>
        <w:ind w:left="0"/>
        <w:jc w:val="left"/>
        <w:rPr>
          <w:rFonts w:hint="eastAsia"/>
          <w:sz w:val="30"/>
          <w:szCs w:val="30"/>
        </w:rPr>
      </w:pPr>
    </w:p>
    <w:p w14:paraId="0E3AF3EE">
      <w:pPr>
        <w:pStyle w:val="9"/>
        <w:spacing w:before="10"/>
        <w:ind w:left="0"/>
        <w:jc w:val="left"/>
        <w:rPr>
          <w:rFonts w:hint="eastAsia"/>
          <w:sz w:val="30"/>
          <w:szCs w:val="30"/>
        </w:rPr>
      </w:pPr>
      <w:r>
        <w:rPr>
          <w:rFonts w:hint="eastAsia"/>
          <w:sz w:val="30"/>
          <w:szCs w:val="30"/>
        </w:rPr>
        <w:t>For the grace of God has appeared, bringing salvation to all men, instructing us to deny ungodliness and worldly desires, and to live sensibly, righteously, and godly in the present age, looking for the blessed hope, even the appearing of the glory of our great God and Savior, Christ Jesus; who gave himself for us that He might redeem us from every lawless deed and purify for Himself a people for His own possession, zealous for good works.</w:t>
      </w:r>
    </w:p>
    <w:p w14:paraId="7E42FF07">
      <w:pPr>
        <w:pStyle w:val="9"/>
        <w:spacing w:before="10"/>
        <w:ind w:left="0"/>
        <w:jc w:val="left"/>
        <w:rPr>
          <w:rFonts w:hint="eastAsia"/>
          <w:sz w:val="30"/>
          <w:szCs w:val="30"/>
        </w:rPr>
      </w:pPr>
      <w:r>
        <w:rPr>
          <w:rFonts w:hint="eastAsia"/>
          <w:sz w:val="30"/>
          <w:szCs w:val="30"/>
        </w:rPr>
        <w:t>因为上帝救众人的恩典已经显明出来，教训我们除去不敬虔的心和世俗的情欲，在今世自守、公义、敬虔度日，等候所盼望的福，并等候至大的上帝和我们救主耶稣基督的荣耀显现。祂为我们舍了自己，要赎我们脱离一切罪恶，又洁净我们，特作自己的子民，热心为善。</w:t>
      </w:r>
    </w:p>
    <w:p w14:paraId="5D7A6A9A">
      <w:pPr>
        <w:pStyle w:val="9"/>
        <w:spacing w:before="10"/>
        <w:ind w:left="0"/>
        <w:jc w:val="left"/>
        <w:rPr>
          <w:rFonts w:hint="eastAsia"/>
          <w:sz w:val="30"/>
          <w:szCs w:val="30"/>
        </w:rPr>
      </w:pPr>
    </w:p>
    <w:p w14:paraId="5D6CA8D5">
      <w:pPr>
        <w:pStyle w:val="9"/>
        <w:spacing w:before="10"/>
        <w:ind w:left="0"/>
        <w:jc w:val="left"/>
        <w:rPr>
          <w:rFonts w:hint="eastAsia"/>
          <w:sz w:val="30"/>
          <w:szCs w:val="30"/>
        </w:rPr>
      </w:pPr>
      <w:r>
        <w:rPr>
          <w:rFonts w:hint="eastAsia"/>
          <w:sz w:val="30"/>
          <w:szCs w:val="30"/>
        </w:rPr>
        <w:t>—Titus 2:11-14</w:t>
      </w:r>
    </w:p>
    <w:p w14:paraId="3906BE0E">
      <w:pPr>
        <w:pStyle w:val="9"/>
        <w:spacing w:before="10"/>
        <w:ind w:left="0"/>
        <w:jc w:val="left"/>
        <w:rPr>
          <w:rFonts w:hint="eastAsia"/>
          <w:sz w:val="30"/>
          <w:szCs w:val="30"/>
        </w:rPr>
      </w:pPr>
      <w:r>
        <w:rPr>
          <w:rFonts w:hint="eastAsia"/>
          <w:sz w:val="30"/>
          <w:szCs w:val="30"/>
        </w:rPr>
        <w:t>——提多书2:11-14</w:t>
      </w:r>
    </w:p>
    <w:p w14:paraId="6F4971D6">
      <w:pPr>
        <w:pStyle w:val="9"/>
        <w:spacing w:before="10"/>
        <w:ind w:left="0"/>
        <w:jc w:val="left"/>
        <w:rPr>
          <w:rFonts w:hint="eastAsia"/>
          <w:sz w:val="30"/>
          <w:szCs w:val="30"/>
        </w:rPr>
      </w:pPr>
    </w:p>
    <w:p w14:paraId="3073AE88">
      <w:pPr>
        <w:pStyle w:val="9"/>
        <w:spacing w:before="10"/>
        <w:ind w:left="0"/>
        <w:jc w:val="left"/>
        <w:rPr>
          <w:rFonts w:hint="eastAsia"/>
          <w:sz w:val="30"/>
          <w:szCs w:val="30"/>
        </w:rPr>
      </w:pPr>
      <w:r>
        <w:rPr>
          <w:rFonts w:hint="eastAsia"/>
          <w:sz w:val="30"/>
          <w:szCs w:val="30"/>
        </w:rPr>
        <w:t>Frankly acknowledging the challenges of Christian discipleship in an age dominated by the powers of evil, Paul strongly exhorts God’s people to live in a manner worthy of their calling.</w:t>
      </w:r>
    </w:p>
    <w:p w14:paraId="412F2DB2">
      <w:pPr>
        <w:pStyle w:val="9"/>
        <w:spacing w:before="10"/>
        <w:ind w:left="0"/>
        <w:jc w:val="left"/>
        <w:rPr>
          <w:rFonts w:hint="eastAsia"/>
          <w:sz w:val="30"/>
          <w:szCs w:val="30"/>
        </w:rPr>
      </w:pPr>
      <w:r>
        <w:rPr>
          <w:rFonts w:hint="eastAsia"/>
          <w:sz w:val="30"/>
          <w:szCs w:val="30"/>
        </w:rPr>
        <w:t>保罗坦率地承认在一个被邪恶势力主宰的世代中，基督徒门徒身份的挑战，强烈地劝勉上帝的子民活出与他们蒙召相称的生活。</w:t>
      </w:r>
    </w:p>
    <w:p w14:paraId="4AACA1AC">
      <w:pPr>
        <w:pStyle w:val="9"/>
        <w:spacing w:before="10"/>
        <w:ind w:left="0"/>
        <w:jc w:val="left"/>
        <w:rPr>
          <w:rFonts w:hint="eastAsia"/>
          <w:sz w:val="30"/>
          <w:szCs w:val="30"/>
        </w:rPr>
      </w:pPr>
    </w:p>
    <w:p w14:paraId="7A567D6F">
      <w:pPr>
        <w:pStyle w:val="9"/>
        <w:spacing w:before="10"/>
        <w:ind w:left="0"/>
        <w:jc w:val="left"/>
        <w:rPr>
          <w:rFonts w:hint="eastAsia"/>
          <w:sz w:val="30"/>
          <w:szCs w:val="30"/>
        </w:rPr>
      </w:pPr>
      <w:r>
        <w:rPr>
          <w:rFonts w:hint="eastAsia"/>
          <w:sz w:val="30"/>
          <w:szCs w:val="30"/>
        </w:rPr>
        <w:t>However, in order to encourage them to rise to those challenges, he also gives them a great hope.</w:t>
      </w:r>
    </w:p>
    <w:p w14:paraId="04E2A255">
      <w:pPr>
        <w:pStyle w:val="9"/>
        <w:spacing w:before="10"/>
        <w:ind w:left="0"/>
        <w:jc w:val="left"/>
        <w:rPr>
          <w:rFonts w:hint="eastAsia"/>
          <w:sz w:val="30"/>
          <w:szCs w:val="30"/>
        </w:rPr>
      </w:pPr>
      <w:r>
        <w:rPr>
          <w:rFonts w:hint="eastAsia"/>
          <w:sz w:val="30"/>
          <w:szCs w:val="30"/>
        </w:rPr>
        <w:t>然而，为了鼓励他们迎接这些挑战，祂也给了他们一个伟大的盼望。</w:t>
      </w:r>
    </w:p>
    <w:p w14:paraId="3860B8F9">
      <w:pPr>
        <w:pStyle w:val="9"/>
        <w:spacing w:before="10"/>
        <w:ind w:left="0"/>
        <w:jc w:val="left"/>
        <w:rPr>
          <w:rFonts w:hint="eastAsia"/>
          <w:sz w:val="30"/>
          <w:szCs w:val="30"/>
        </w:rPr>
      </w:pPr>
    </w:p>
    <w:p w14:paraId="6EDD2AC2">
      <w:pPr>
        <w:pStyle w:val="9"/>
        <w:spacing w:before="10"/>
        <w:ind w:left="0"/>
        <w:jc w:val="left"/>
        <w:rPr>
          <w:rFonts w:hint="eastAsia"/>
          <w:sz w:val="30"/>
          <w:szCs w:val="30"/>
        </w:rPr>
      </w:pPr>
      <w:r>
        <w:rPr>
          <w:rFonts w:hint="eastAsia"/>
          <w:sz w:val="30"/>
          <w:szCs w:val="30"/>
        </w:rPr>
        <w:t>Very aptly, he calls it the Blessed Hope.</w:t>
      </w:r>
    </w:p>
    <w:p w14:paraId="568E96DA">
      <w:pPr>
        <w:pStyle w:val="9"/>
        <w:spacing w:before="10"/>
        <w:ind w:left="0"/>
        <w:jc w:val="left"/>
        <w:rPr>
          <w:rFonts w:hint="eastAsia"/>
          <w:sz w:val="30"/>
          <w:szCs w:val="30"/>
        </w:rPr>
      </w:pPr>
      <w:r>
        <w:rPr>
          <w:rFonts w:hint="eastAsia"/>
          <w:sz w:val="30"/>
          <w:szCs w:val="30"/>
        </w:rPr>
        <w:t>祂非常恰当地称之为“有福的盼望”。</w:t>
      </w:r>
    </w:p>
    <w:p w14:paraId="61E316CB">
      <w:pPr>
        <w:pStyle w:val="9"/>
        <w:spacing w:before="10"/>
        <w:ind w:left="0"/>
        <w:jc w:val="left"/>
        <w:rPr>
          <w:rFonts w:hint="eastAsia"/>
          <w:sz w:val="30"/>
          <w:szCs w:val="30"/>
        </w:rPr>
      </w:pPr>
    </w:p>
    <w:p w14:paraId="6750C637">
      <w:pPr>
        <w:pStyle w:val="9"/>
        <w:spacing w:before="10"/>
        <w:ind w:left="0"/>
        <w:jc w:val="left"/>
        <w:rPr>
          <w:rFonts w:hint="eastAsia"/>
          <w:sz w:val="30"/>
          <w:szCs w:val="30"/>
        </w:rPr>
      </w:pPr>
      <w:r>
        <w:rPr>
          <w:rFonts w:hint="eastAsia"/>
          <w:sz w:val="30"/>
          <w:szCs w:val="30"/>
        </w:rPr>
        <w:t>There is just one of them: the appearing of the glory of our great God and Savior, Jesus Christ.</w:t>
      </w:r>
    </w:p>
    <w:p w14:paraId="296B2A48">
      <w:pPr>
        <w:pStyle w:val="9"/>
        <w:spacing w:before="10"/>
        <w:ind w:left="0"/>
        <w:jc w:val="left"/>
        <w:rPr>
          <w:rFonts w:hint="eastAsia"/>
          <w:sz w:val="30"/>
          <w:szCs w:val="30"/>
        </w:rPr>
      </w:pPr>
      <w:r>
        <w:rPr>
          <w:rFonts w:hint="eastAsia"/>
          <w:sz w:val="30"/>
          <w:szCs w:val="30"/>
        </w:rPr>
        <w:t>只有一个：我们至大的上帝和救主耶稣基督荣耀的显现。</w:t>
      </w:r>
    </w:p>
    <w:p w14:paraId="5963661B">
      <w:pPr>
        <w:pStyle w:val="9"/>
        <w:spacing w:before="10"/>
        <w:ind w:left="0"/>
        <w:jc w:val="left"/>
        <w:rPr>
          <w:rFonts w:hint="eastAsia"/>
          <w:sz w:val="30"/>
          <w:szCs w:val="30"/>
        </w:rPr>
      </w:pPr>
    </w:p>
    <w:p w14:paraId="38DA5623">
      <w:pPr>
        <w:pStyle w:val="9"/>
        <w:spacing w:before="10"/>
        <w:ind w:left="0"/>
        <w:jc w:val="left"/>
        <w:rPr>
          <w:rFonts w:hint="eastAsia"/>
          <w:sz w:val="30"/>
          <w:szCs w:val="30"/>
        </w:rPr>
      </w:pPr>
      <w:r>
        <w:rPr>
          <w:rFonts w:hint="eastAsia"/>
          <w:sz w:val="30"/>
          <w:szCs w:val="30"/>
        </w:rPr>
        <w:t>However, there are many reasons why it is blessed.</w:t>
      </w:r>
    </w:p>
    <w:p w14:paraId="626DF9F7">
      <w:pPr>
        <w:pStyle w:val="9"/>
        <w:spacing w:before="10"/>
        <w:ind w:left="0"/>
        <w:jc w:val="left"/>
        <w:rPr>
          <w:rFonts w:hint="eastAsia"/>
          <w:sz w:val="30"/>
          <w:szCs w:val="30"/>
        </w:rPr>
      </w:pPr>
      <w:r>
        <w:rPr>
          <w:rFonts w:hint="eastAsia"/>
          <w:sz w:val="30"/>
          <w:szCs w:val="30"/>
        </w:rPr>
        <w:t>然而，它之所以蒙福，有很多原因。</w:t>
      </w:r>
    </w:p>
    <w:p w14:paraId="60854F97">
      <w:pPr>
        <w:pStyle w:val="9"/>
        <w:spacing w:before="10"/>
        <w:ind w:left="0"/>
        <w:jc w:val="left"/>
        <w:rPr>
          <w:rFonts w:hint="eastAsia"/>
          <w:sz w:val="30"/>
          <w:szCs w:val="30"/>
        </w:rPr>
      </w:pPr>
    </w:p>
    <w:p w14:paraId="2FCE803A">
      <w:pPr>
        <w:pStyle w:val="9"/>
        <w:spacing w:before="10"/>
        <w:ind w:left="0"/>
        <w:jc w:val="left"/>
        <w:rPr>
          <w:rFonts w:hint="eastAsia"/>
          <w:sz w:val="30"/>
          <w:szCs w:val="30"/>
        </w:rPr>
      </w:pPr>
      <w:r>
        <w:rPr>
          <w:rFonts w:hint="eastAsia"/>
          <w:sz w:val="30"/>
          <w:szCs w:val="30"/>
        </w:rPr>
        <w:t>It is blessed because God has made it so simple, so easy to envision, and so easy to proclaim.</w:t>
      </w:r>
    </w:p>
    <w:p w14:paraId="7446F295">
      <w:pPr>
        <w:pStyle w:val="9"/>
        <w:spacing w:before="10"/>
        <w:ind w:left="0"/>
        <w:jc w:val="left"/>
        <w:rPr>
          <w:rFonts w:hint="eastAsia"/>
          <w:sz w:val="30"/>
          <w:szCs w:val="30"/>
        </w:rPr>
      </w:pPr>
      <w:r>
        <w:rPr>
          <w:rFonts w:hint="eastAsia"/>
          <w:sz w:val="30"/>
          <w:szCs w:val="30"/>
        </w:rPr>
        <w:t>它蒙福，因为上帝使它如此简单，如此容易想象，如此容易宣讲。</w:t>
      </w:r>
    </w:p>
    <w:p w14:paraId="7AADCFFB">
      <w:pPr>
        <w:pStyle w:val="9"/>
        <w:spacing w:before="10"/>
        <w:ind w:left="0"/>
        <w:jc w:val="left"/>
        <w:rPr>
          <w:rFonts w:hint="eastAsia"/>
          <w:sz w:val="30"/>
          <w:szCs w:val="30"/>
        </w:rPr>
      </w:pPr>
    </w:p>
    <w:p w14:paraId="2D3E451C">
      <w:pPr>
        <w:pStyle w:val="9"/>
        <w:spacing w:before="10"/>
        <w:ind w:left="0"/>
        <w:jc w:val="left"/>
        <w:rPr>
          <w:rFonts w:hint="eastAsia"/>
          <w:sz w:val="30"/>
          <w:szCs w:val="30"/>
        </w:rPr>
      </w:pPr>
      <w:r>
        <w:rPr>
          <w:rFonts w:hint="eastAsia"/>
          <w:sz w:val="30"/>
          <w:szCs w:val="30"/>
        </w:rPr>
        <w:t>It is blessed because at his appearing the Savior will do so many wonderful things, things that God has revealed in Scripture so that his saints can “look for” them with eager anticipation.</w:t>
      </w:r>
    </w:p>
    <w:p w14:paraId="79066520">
      <w:pPr>
        <w:pStyle w:val="9"/>
        <w:spacing w:before="10"/>
        <w:ind w:left="0"/>
        <w:jc w:val="left"/>
        <w:rPr>
          <w:rFonts w:hint="eastAsia"/>
          <w:sz w:val="30"/>
          <w:szCs w:val="30"/>
        </w:rPr>
      </w:pPr>
      <w:r>
        <w:rPr>
          <w:rFonts w:hint="eastAsia"/>
          <w:sz w:val="30"/>
          <w:szCs w:val="30"/>
        </w:rPr>
        <w:t>它蒙福，因为在祂显现时，救主将行许多奇妙的事，上帝已在圣经中启示了这些事，好叫祂的圣徒可以热切地“盼望”它们。</w:t>
      </w:r>
    </w:p>
    <w:p w14:paraId="0F1C7C98">
      <w:pPr>
        <w:pStyle w:val="9"/>
        <w:spacing w:before="10"/>
        <w:ind w:left="0"/>
        <w:jc w:val="left"/>
        <w:rPr>
          <w:rFonts w:hint="eastAsia"/>
          <w:sz w:val="30"/>
          <w:szCs w:val="30"/>
        </w:rPr>
      </w:pPr>
    </w:p>
    <w:p w14:paraId="3A25B453">
      <w:pPr>
        <w:pStyle w:val="9"/>
        <w:spacing w:before="10"/>
        <w:ind w:left="0"/>
        <w:jc w:val="left"/>
        <w:rPr>
          <w:rFonts w:hint="eastAsia"/>
          <w:sz w:val="30"/>
          <w:szCs w:val="30"/>
        </w:rPr>
      </w:pPr>
      <w:r>
        <w:rPr>
          <w:rFonts w:hint="eastAsia"/>
          <w:sz w:val="30"/>
          <w:szCs w:val="30"/>
        </w:rPr>
        <w:t>And it is blessed because in the contemplation of these things the saints are filled with courage, confidence, and joy as they journey on to the borders of Canaan, where, at long last, they will enter the Promised Land (Acts 3:19, 1 Peter 1:3-9, Rev. 12:13:17).</w:t>
      </w:r>
    </w:p>
    <w:p w14:paraId="19C92ADB">
      <w:pPr>
        <w:pStyle w:val="9"/>
        <w:spacing w:before="10"/>
        <w:ind w:left="0"/>
        <w:jc w:val="left"/>
        <w:rPr>
          <w:rFonts w:hint="eastAsia"/>
          <w:sz w:val="30"/>
          <w:szCs w:val="30"/>
        </w:rPr>
      </w:pPr>
      <w:r>
        <w:rPr>
          <w:rFonts w:hint="eastAsia"/>
          <w:sz w:val="30"/>
          <w:szCs w:val="30"/>
        </w:rPr>
        <w:t>它蒙福，因为在默想这些事时，圣徒们充满了勇气、信心和喜乐，他们正走向迦南的边界，在那里，最终，他们将进入那应许之地（使徒行传3:19，彼得前书1:3-9，启示录12:13:17）。</w:t>
      </w:r>
    </w:p>
    <w:p w14:paraId="06AF9293">
      <w:pPr>
        <w:pStyle w:val="9"/>
        <w:spacing w:before="10"/>
        <w:ind w:left="0"/>
        <w:jc w:val="left"/>
        <w:rPr>
          <w:rFonts w:hint="eastAsia"/>
          <w:sz w:val="30"/>
          <w:szCs w:val="30"/>
        </w:rPr>
      </w:pPr>
    </w:p>
    <w:p w14:paraId="7626E4CF">
      <w:pPr>
        <w:pStyle w:val="9"/>
        <w:spacing w:before="10"/>
        <w:ind w:left="0"/>
        <w:jc w:val="left"/>
        <w:rPr>
          <w:rFonts w:hint="eastAsia"/>
          <w:sz w:val="30"/>
          <w:szCs w:val="30"/>
        </w:rPr>
      </w:pPr>
      <w:r>
        <w:rPr>
          <w:rFonts w:hint="eastAsia"/>
          <w:sz w:val="30"/>
          <w:szCs w:val="30"/>
        </w:rPr>
        <w:t>Therefore, as we bring our own journey to a close, let us take a few moments to remember what we have learned about our Blessed Hope.</w:t>
      </w:r>
    </w:p>
    <w:p w14:paraId="663F1E5A">
      <w:pPr>
        <w:pStyle w:val="9"/>
        <w:spacing w:before="10"/>
        <w:ind w:left="0"/>
        <w:jc w:val="left"/>
        <w:rPr>
          <w:rFonts w:hint="eastAsia"/>
          <w:sz w:val="30"/>
          <w:szCs w:val="30"/>
        </w:rPr>
      </w:pPr>
      <w:r>
        <w:rPr>
          <w:rFonts w:hint="eastAsia"/>
          <w:sz w:val="30"/>
          <w:szCs w:val="30"/>
        </w:rPr>
        <w:t>因此，当我们自己的旅程接近尾声时，让我们花些时间来回想我们对我们有福的盼望所学到的。</w:t>
      </w:r>
    </w:p>
    <w:p w14:paraId="617FFD7C">
      <w:pPr>
        <w:pStyle w:val="9"/>
        <w:spacing w:before="10"/>
        <w:ind w:left="0"/>
        <w:jc w:val="left"/>
        <w:rPr>
          <w:rFonts w:hint="eastAsia"/>
          <w:sz w:val="30"/>
          <w:szCs w:val="30"/>
        </w:rPr>
      </w:pPr>
    </w:p>
    <w:p w14:paraId="34742841">
      <w:pPr>
        <w:pStyle w:val="9"/>
        <w:spacing w:before="10"/>
        <w:ind w:left="0"/>
        <w:jc w:val="left"/>
        <w:rPr>
          <w:rFonts w:hint="eastAsia"/>
          <w:sz w:val="30"/>
          <w:szCs w:val="30"/>
        </w:rPr>
      </w:pPr>
      <w:r>
        <w:rPr>
          <w:rFonts w:hint="eastAsia"/>
          <w:sz w:val="30"/>
          <w:szCs w:val="30"/>
        </w:rPr>
        <w:t>And as we do, let us also consider how God has designed each of its elements so as to awaken in our hearts a special kind of hope; and how the sum of those hopes makes our one Blessed Hope blessed indeed!</w:t>
      </w:r>
    </w:p>
    <w:p w14:paraId="4658EB07">
      <w:pPr>
        <w:pStyle w:val="9"/>
        <w:spacing w:before="10"/>
        <w:ind w:left="0"/>
        <w:jc w:val="left"/>
        <w:rPr>
          <w:rFonts w:hint="eastAsia"/>
          <w:sz w:val="30"/>
          <w:szCs w:val="30"/>
        </w:rPr>
      </w:pPr>
      <w:r>
        <w:rPr>
          <w:rFonts w:hint="eastAsia"/>
          <w:sz w:val="30"/>
          <w:szCs w:val="30"/>
        </w:rPr>
        <w:t>当我们这样做时，让我们也思考上帝如何设计了它的每一个要素，以在我们心中唤起一种特殊的盼望；以及这些盼望的总和如何使我们那一个有福的盼望确实蒙福！</w:t>
      </w:r>
    </w:p>
    <w:p w14:paraId="2735E2CA">
      <w:pPr>
        <w:pStyle w:val="9"/>
        <w:spacing w:before="10"/>
        <w:ind w:left="0"/>
        <w:jc w:val="left"/>
        <w:rPr>
          <w:rFonts w:hint="eastAsia"/>
          <w:sz w:val="30"/>
          <w:szCs w:val="30"/>
        </w:rPr>
      </w:pPr>
    </w:p>
    <w:p w14:paraId="5847A905">
      <w:pPr>
        <w:pStyle w:val="9"/>
        <w:spacing w:before="10"/>
        <w:ind w:left="0"/>
        <w:jc w:val="left"/>
        <w:rPr>
          <w:rFonts w:hint="eastAsia"/>
          <w:sz w:val="30"/>
          <w:szCs w:val="30"/>
        </w:rPr>
      </w:pPr>
      <w:r>
        <w:rPr>
          <w:rFonts w:hint="eastAsia"/>
          <w:sz w:val="30"/>
          <w:szCs w:val="30"/>
        </w:rPr>
        <w:t>The Signs of His Coming</w:t>
      </w:r>
    </w:p>
    <w:p w14:paraId="342E71D1">
      <w:pPr>
        <w:pStyle w:val="9"/>
        <w:spacing w:before="10"/>
        <w:ind w:left="0"/>
        <w:jc w:val="left"/>
        <w:rPr>
          <w:rFonts w:hint="eastAsia"/>
          <w:sz w:val="30"/>
          <w:szCs w:val="30"/>
        </w:rPr>
      </w:pPr>
      <w:r>
        <w:rPr>
          <w:rFonts w:hint="eastAsia"/>
          <w:sz w:val="30"/>
          <w:szCs w:val="30"/>
        </w:rPr>
        <w:t>祂降临的预兆</w:t>
      </w:r>
    </w:p>
    <w:p w14:paraId="4F8D06C2">
      <w:pPr>
        <w:pStyle w:val="9"/>
        <w:spacing w:before="10"/>
        <w:ind w:left="0"/>
        <w:jc w:val="left"/>
        <w:rPr>
          <w:rFonts w:hint="eastAsia"/>
          <w:sz w:val="30"/>
          <w:szCs w:val="30"/>
        </w:rPr>
      </w:pPr>
    </w:p>
    <w:p w14:paraId="486D5734">
      <w:pPr>
        <w:pStyle w:val="9"/>
        <w:spacing w:before="10"/>
        <w:ind w:left="0"/>
        <w:jc w:val="left"/>
        <w:rPr>
          <w:rFonts w:hint="eastAsia"/>
          <w:sz w:val="30"/>
          <w:szCs w:val="30"/>
        </w:rPr>
      </w:pPr>
      <w:r>
        <w:rPr>
          <w:rFonts w:hint="eastAsia"/>
          <w:sz w:val="30"/>
          <w:szCs w:val="30"/>
        </w:rPr>
        <w:t>In our study we learned that the Lord Jesus and his apostles unveiled a body of signs by which disciples may know that the Parousia is drawing near.</w:t>
      </w:r>
    </w:p>
    <w:p w14:paraId="12E6C1AE">
      <w:pPr>
        <w:pStyle w:val="9"/>
        <w:spacing w:before="10"/>
        <w:ind w:left="0"/>
        <w:jc w:val="left"/>
        <w:rPr>
          <w:rFonts w:hint="eastAsia"/>
          <w:sz w:val="30"/>
          <w:szCs w:val="30"/>
        </w:rPr>
      </w:pPr>
      <w:r>
        <w:rPr>
          <w:rFonts w:hint="eastAsia"/>
          <w:sz w:val="30"/>
          <w:szCs w:val="30"/>
        </w:rPr>
        <w:t>在我们的研究中，我们了解到主耶稣和祂的使徒们揭示了一系列的预兆，门徒们可以借此知道主临（Parousia）近了。</w:t>
      </w:r>
    </w:p>
    <w:p w14:paraId="0E6E98B1">
      <w:pPr>
        <w:pStyle w:val="9"/>
        <w:spacing w:before="10"/>
        <w:ind w:left="0"/>
        <w:jc w:val="left"/>
        <w:rPr>
          <w:rFonts w:hint="eastAsia"/>
          <w:sz w:val="30"/>
          <w:szCs w:val="30"/>
        </w:rPr>
      </w:pPr>
    </w:p>
    <w:p w14:paraId="6298D175">
      <w:pPr>
        <w:pStyle w:val="9"/>
        <w:spacing w:before="10"/>
        <w:ind w:left="0"/>
        <w:jc w:val="left"/>
        <w:rPr>
          <w:rFonts w:hint="eastAsia"/>
          <w:sz w:val="30"/>
          <w:szCs w:val="30"/>
        </w:rPr>
      </w:pPr>
      <w:r>
        <w:rPr>
          <w:rFonts w:hint="eastAsia"/>
          <w:sz w:val="30"/>
          <w:szCs w:val="30"/>
        </w:rPr>
        <w:t>Strictly speaking, we cannot call these signs elements of the Consummation, for they only herald the end rather than bring it to pass.</w:t>
      </w:r>
    </w:p>
    <w:p w14:paraId="35C863D1">
      <w:pPr>
        <w:pStyle w:val="9"/>
        <w:spacing w:before="10"/>
        <w:ind w:left="0"/>
        <w:jc w:val="left"/>
        <w:rPr>
          <w:rFonts w:hint="eastAsia"/>
          <w:sz w:val="30"/>
          <w:szCs w:val="30"/>
        </w:rPr>
      </w:pPr>
      <w:r>
        <w:rPr>
          <w:rFonts w:hint="eastAsia"/>
          <w:sz w:val="30"/>
          <w:szCs w:val="30"/>
        </w:rPr>
        <w:t>严格来说，我们不能称这些预兆为最终成全的要素，因为它们只是预示着末了，而非使其发生。</w:t>
      </w:r>
    </w:p>
    <w:p w14:paraId="6F76A7D6">
      <w:pPr>
        <w:pStyle w:val="9"/>
        <w:spacing w:before="10"/>
        <w:ind w:left="0"/>
        <w:jc w:val="left"/>
        <w:rPr>
          <w:rFonts w:hint="eastAsia"/>
          <w:sz w:val="30"/>
          <w:szCs w:val="30"/>
        </w:rPr>
      </w:pPr>
    </w:p>
    <w:p w14:paraId="3C75A296">
      <w:pPr>
        <w:pStyle w:val="9"/>
        <w:spacing w:before="10"/>
        <w:ind w:left="0"/>
        <w:jc w:val="left"/>
        <w:rPr>
          <w:rFonts w:hint="eastAsia"/>
          <w:sz w:val="30"/>
          <w:szCs w:val="30"/>
        </w:rPr>
      </w:pPr>
      <w:r>
        <w:rPr>
          <w:rFonts w:hint="eastAsia"/>
          <w:sz w:val="30"/>
          <w:szCs w:val="30"/>
        </w:rPr>
        <w:t>Nevertheless, because they are so closely associated with the Consummation—and so helpful for God’s pilgrim people—we do well to remember them afresh.</w:t>
      </w:r>
    </w:p>
    <w:p w14:paraId="571C2329">
      <w:pPr>
        <w:pStyle w:val="9"/>
        <w:spacing w:before="10"/>
        <w:ind w:left="0"/>
        <w:jc w:val="left"/>
        <w:rPr>
          <w:rFonts w:hint="eastAsia"/>
          <w:sz w:val="30"/>
          <w:szCs w:val="30"/>
        </w:rPr>
      </w:pPr>
      <w:r>
        <w:rPr>
          <w:rFonts w:hint="eastAsia"/>
          <w:sz w:val="30"/>
          <w:szCs w:val="30"/>
        </w:rPr>
        <w:t>然而，因为它们与最终的成全是如此密切地联系在一起——并且对上帝的朝圣子民如此有帮助——我们最好重新记住它们。</w:t>
      </w:r>
    </w:p>
    <w:p w14:paraId="5CF3097D">
      <w:pPr>
        <w:pStyle w:val="9"/>
        <w:spacing w:before="10"/>
        <w:ind w:left="0"/>
        <w:jc w:val="left"/>
        <w:rPr>
          <w:rFonts w:hint="eastAsia"/>
          <w:sz w:val="30"/>
          <w:szCs w:val="30"/>
        </w:rPr>
      </w:pPr>
    </w:p>
    <w:p w14:paraId="4E8A555D">
      <w:pPr>
        <w:pStyle w:val="9"/>
        <w:spacing w:before="10"/>
        <w:ind w:left="0"/>
        <w:jc w:val="left"/>
        <w:rPr>
          <w:rFonts w:hint="eastAsia"/>
          <w:sz w:val="30"/>
          <w:szCs w:val="30"/>
        </w:rPr>
      </w:pPr>
      <w:r>
        <w:rPr>
          <w:rFonts w:hint="eastAsia"/>
          <w:sz w:val="30"/>
          <w:szCs w:val="30"/>
        </w:rPr>
        <w:t>On this score, Christ himself showed the way, speaking of most of the signs in his Olivet Discourse (Mt. 24, Mark 13, Luke 21).</w:t>
      </w:r>
    </w:p>
    <w:p w14:paraId="1963EA7F">
      <w:pPr>
        <w:pStyle w:val="9"/>
        <w:spacing w:before="10"/>
        <w:ind w:left="0"/>
        <w:jc w:val="left"/>
        <w:rPr>
          <w:rFonts w:hint="eastAsia"/>
          <w:sz w:val="30"/>
          <w:szCs w:val="30"/>
        </w:rPr>
      </w:pPr>
      <w:r>
        <w:rPr>
          <w:rFonts w:hint="eastAsia"/>
          <w:sz w:val="30"/>
          <w:szCs w:val="30"/>
        </w:rPr>
        <w:t>在这一点上，基督祂自己指明了道路，在祂的橄榄山论述中谈到了大部分的预兆（太24，可13，路21）。</w:t>
      </w:r>
    </w:p>
    <w:p w14:paraId="168A1E41">
      <w:pPr>
        <w:pStyle w:val="9"/>
        <w:spacing w:before="10"/>
        <w:ind w:left="0"/>
        <w:jc w:val="left"/>
        <w:rPr>
          <w:rFonts w:hint="eastAsia"/>
          <w:sz w:val="30"/>
          <w:szCs w:val="30"/>
        </w:rPr>
      </w:pPr>
    </w:p>
    <w:p w14:paraId="17837217">
      <w:pPr>
        <w:pStyle w:val="9"/>
        <w:spacing w:before="10"/>
        <w:ind w:left="0"/>
        <w:jc w:val="left"/>
        <w:rPr>
          <w:rFonts w:hint="eastAsia"/>
          <w:sz w:val="30"/>
          <w:szCs w:val="30"/>
        </w:rPr>
      </w:pPr>
      <w:r>
        <w:rPr>
          <w:rFonts w:hint="eastAsia"/>
          <w:sz w:val="30"/>
          <w:szCs w:val="30"/>
        </w:rPr>
        <w:t>Then, after his ascension and the subsequent outpouring of the Holy Spirit, he completed God’s revelation on this theme by unveiling a few more signs through his apostles, thereby giving us a still more nuanced picture of the lead-up to the end (Rom. 11, 1 Cor. 15, 1 Thess. 4, 2 Thess. 2).</w:t>
      </w:r>
    </w:p>
    <w:p w14:paraId="033C0A90">
      <w:pPr>
        <w:pStyle w:val="9"/>
        <w:spacing w:before="10"/>
        <w:ind w:left="0"/>
        <w:jc w:val="left"/>
        <w:rPr>
          <w:rFonts w:hint="eastAsia"/>
          <w:sz w:val="30"/>
          <w:szCs w:val="30"/>
        </w:rPr>
      </w:pPr>
      <w:r>
        <w:rPr>
          <w:rFonts w:hint="eastAsia"/>
          <w:sz w:val="30"/>
          <w:szCs w:val="30"/>
        </w:rPr>
        <w:t>然后，在祂升天和随后圣灵的浇灌之后，祂通过祂的使徒们揭示了更多的预兆，从而完成了上帝关于这个主题的启示，为我们提供了一个关于末了前奏的更细致的图景（罗11，林前15，帖前4，帖后2）。</w:t>
      </w:r>
    </w:p>
    <w:p w14:paraId="6FB4453C">
      <w:pPr>
        <w:pStyle w:val="9"/>
        <w:spacing w:before="10"/>
        <w:ind w:left="0"/>
        <w:jc w:val="left"/>
        <w:rPr>
          <w:rFonts w:hint="eastAsia"/>
          <w:sz w:val="30"/>
          <w:szCs w:val="30"/>
        </w:rPr>
      </w:pPr>
    </w:p>
    <w:p w14:paraId="63B913DA">
      <w:pPr>
        <w:pStyle w:val="9"/>
        <w:spacing w:before="10"/>
        <w:ind w:left="0"/>
        <w:jc w:val="left"/>
        <w:rPr>
          <w:rFonts w:hint="eastAsia"/>
          <w:sz w:val="30"/>
          <w:szCs w:val="30"/>
        </w:rPr>
      </w:pPr>
      <w:r>
        <w:rPr>
          <w:rFonts w:hint="eastAsia"/>
          <w:sz w:val="30"/>
          <w:szCs w:val="30"/>
        </w:rPr>
        <w:t>Let us briefly survey them once again.</w:t>
      </w:r>
    </w:p>
    <w:p w14:paraId="0F0CE7E6">
      <w:pPr>
        <w:pStyle w:val="9"/>
        <w:spacing w:before="10"/>
        <w:ind w:left="0"/>
        <w:jc w:val="left"/>
        <w:rPr>
          <w:rFonts w:hint="eastAsia"/>
          <w:sz w:val="30"/>
          <w:szCs w:val="30"/>
        </w:rPr>
      </w:pPr>
      <w:r>
        <w:rPr>
          <w:rFonts w:hint="eastAsia"/>
          <w:sz w:val="30"/>
          <w:szCs w:val="30"/>
        </w:rPr>
        <w:t>让我们再次简要地考察它们。</w:t>
      </w:r>
    </w:p>
    <w:p w14:paraId="14F534A9">
      <w:pPr>
        <w:pStyle w:val="9"/>
        <w:spacing w:before="10"/>
        <w:ind w:left="0"/>
        <w:jc w:val="left"/>
        <w:rPr>
          <w:rFonts w:hint="eastAsia"/>
          <w:sz w:val="30"/>
          <w:szCs w:val="30"/>
        </w:rPr>
      </w:pPr>
    </w:p>
    <w:p w14:paraId="2C6A9A35">
      <w:pPr>
        <w:pStyle w:val="9"/>
        <w:spacing w:before="10"/>
        <w:ind w:left="0"/>
        <w:jc w:val="left"/>
        <w:rPr>
          <w:rFonts w:hint="eastAsia"/>
          <w:sz w:val="30"/>
          <w:szCs w:val="30"/>
        </w:rPr>
      </w:pPr>
      <w:r>
        <w:rPr>
          <w:rFonts w:hint="eastAsia"/>
          <w:sz w:val="30"/>
          <w:szCs w:val="30"/>
        </w:rPr>
        <w:t>The Beginning of Birth Pains</w:t>
      </w:r>
    </w:p>
    <w:p w14:paraId="5E32ACAB">
      <w:pPr>
        <w:pStyle w:val="9"/>
        <w:spacing w:before="10"/>
        <w:ind w:left="0"/>
        <w:jc w:val="left"/>
        <w:rPr>
          <w:rFonts w:hint="eastAsia"/>
          <w:sz w:val="30"/>
          <w:szCs w:val="30"/>
        </w:rPr>
      </w:pPr>
      <w:r>
        <w:rPr>
          <w:rFonts w:hint="eastAsia"/>
          <w:sz w:val="30"/>
          <w:szCs w:val="30"/>
        </w:rPr>
        <w:t>产难的起头</w:t>
      </w:r>
    </w:p>
    <w:p w14:paraId="00F1E7A8">
      <w:pPr>
        <w:pStyle w:val="9"/>
        <w:spacing w:before="10"/>
        <w:ind w:left="0"/>
        <w:jc w:val="left"/>
        <w:rPr>
          <w:rFonts w:hint="eastAsia"/>
          <w:sz w:val="30"/>
          <w:szCs w:val="30"/>
        </w:rPr>
      </w:pPr>
    </w:p>
    <w:p w14:paraId="5DAD2C2D">
      <w:pPr>
        <w:pStyle w:val="9"/>
        <w:spacing w:before="10"/>
        <w:ind w:left="0"/>
        <w:jc w:val="left"/>
        <w:rPr>
          <w:rFonts w:hint="eastAsia"/>
          <w:sz w:val="30"/>
          <w:szCs w:val="30"/>
        </w:rPr>
      </w:pPr>
      <w:r>
        <w:rPr>
          <w:rFonts w:hint="eastAsia"/>
          <w:sz w:val="30"/>
          <w:szCs w:val="30"/>
        </w:rPr>
        <w:t>The NT distinguishes between two kinds of eschatological signs.</w:t>
      </w:r>
    </w:p>
    <w:p w14:paraId="407E3703">
      <w:pPr>
        <w:pStyle w:val="9"/>
        <w:spacing w:before="10"/>
        <w:ind w:left="0"/>
        <w:jc w:val="left"/>
        <w:rPr>
          <w:rFonts w:hint="eastAsia"/>
          <w:sz w:val="30"/>
          <w:szCs w:val="30"/>
        </w:rPr>
      </w:pPr>
      <w:r>
        <w:rPr>
          <w:rFonts w:hint="eastAsia"/>
          <w:sz w:val="30"/>
          <w:szCs w:val="30"/>
        </w:rPr>
        <w:t>新约区分了两种末世论的预兆。</w:t>
      </w:r>
    </w:p>
    <w:p w14:paraId="443AB9CA">
      <w:pPr>
        <w:pStyle w:val="9"/>
        <w:spacing w:before="10"/>
        <w:ind w:left="0"/>
        <w:jc w:val="left"/>
        <w:rPr>
          <w:rFonts w:hint="eastAsia"/>
          <w:sz w:val="30"/>
          <w:szCs w:val="30"/>
        </w:rPr>
      </w:pPr>
    </w:p>
    <w:p w14:paraId="230E9EFD">
      <w:pPr>
        <w:pStyle w:val="9"/>
        <w:spacing w:before="10"/>
        <w:ind w:left="0"/>
        <w:jc w:val="left"/>
        <w:rPr>
          <w:rFonts w:hint="eastAsia"/>
          <w:sz w:val="30"/>
          <w:szCs w:val="30"/>
        </w:rPr>
      </w:pPr>
      <w:r>
        <w:rPr>
          <w:rFonts w:hint="eastAsia"/>
          <w:sz w:val="30"/>
          <w:szCs w:val="30"/>
        </w:rPr>
        <w:t>First, there are signs that fall into the category of “the beginning of birth pains” (Mt. 24:8).</w:t>
      </w:r>
    </w:p>
    <w:p w14:paraId="5822D459">
      <w:pPr>
        <w:pStyle w:val="9"/>
        <w:spacing w:before="10"/>
        <w:ind w:left="0"/>
        <w:jc w:val="left"/>
        <w:rPr>
          <w:rFonts w:hint="eastAsia"/>
          <w:sz w:val="30"/>
          <w:szCs w:val="30"/>
        </w:rPr>
      </w:pPr>
      <w:r>
        <w:rPr>
          <w:rFonts w:hint="eastAsia"/>
          <w:sz w:val="30"/>
          <w:szCs w:val="30"/>
        </w:rPr>
        <w:t>首先，有一些预兆属于“产难的起头”的范畴（太24:8）。</w:t>
      </w:r>
    </w:p>
    <w:p w14:paraId="17891C3A">
      <w:pPr>
        <w:pStyle w:val="9"/>
        <w:spacing w:before="10"/>
        <w:ind w:left="0"/>
        <w:jc w:val="left"/>
        <w:rPr>
          <w:rFonts w:hint="eastAsia"/>
          <w:sz w:val="30"/>
          <w:szCs w:val="30"/>
        </w:rPr>
      </w:pPr>
    </w:p>
    <w:p w14:paraId="3015CCCD">
      <w:pPr>
        <w:pStyle w:val="9"/>
        <w:spacing w:before="10"/>
        <w:ind w:left="0"/>
        <w:jc w:val="left"/>
        <w:rPr>
          <w:rFonts w:hint="eastAsia"/>
          <w:sz w:val="30"/>
          <w:szCs w:val="30"/>
        </w:rPr>
      </w:pPr>
      <w:r>
        <w:rPr>
          <w:rFonts w:hint="eastAsia"/>
          <w:sz w:val="30"/>
          <w:szCs w:val="30"/>
        </w:rPr>
        <w:t>As with all the signs, these reflect the intensified clash of the Kingdom of God with the kingdom of Satan, now that Christ has entered the world and launched his redemptive assault on the Domain of Darkness (Rev. 12).</w:t>
      </w:r>
    </w:p>
    <w:p w14:paraId="29193B89">
      <w:pPr>
        <w:pStyle w:val="9"/>
        <w:spacing w:before="10"/>
        <w:ind w:left="0"/>
        <w:jc w:val="left"/>
        <w:rPr>
          <w:rFonts w:hint="eastAsia"/>
          <w:sz w:val="30"/>
          <w:szCs w:val="30"/>
        </w:rPr>
      </w:pPr>
      <w:r>
        <w:rPr>
          <w:rFonts w:hint="eastAsia"/>
          <w:sz w:val="30"/>
          <w:szCs w:val="30"/>
        </w:rPr>
        <w:t>如同所有的预兆，这些都反映了上帝的国度与撒但的国度之间加剧的冲突，现在基督已进入世界，并对黑暗的权势发起了祂的救赎性攻击（启12）。</w:t>
      </w:r>
    </w:p>
    <w:p w14:paraId="472031E8">
      <w:pPr>
        <w:pStyle w:val="9"/>
        <w:spacing w:before="10"/>
        <w:ind w:left="0"/>
        <w:jc w:val="left"/>
        <w:rPr>
          <w:rFonts w:hint="eastAsia"/>
          <w:sz w:val="30"/>
          <w:szCs w:val="30"/>
        </w:rPr>
      </w:pPr>
    </w:p>
    <w:p w14:paraId="4D2F7FE1">
      <w:pPr>
        <w:pStyle w:val="9"/>
        <w:spacing w:before="10"/>
        <w:ind w:left="0"/>
        <w:jc w:val="left"/>
        <w:rPr>
          <w:rFonts w:hint="eastAsia"/>
          <w:sz w:val="30"/>
          <w:szCs w:val="30"/>
        </w:rPr>
      </w:pPr>
      <w:r>
        <w:rPr>
          <w:rFonts w:hint="eastAsia"/>
          <w:sz w:val="30"/>
          <w:szCs w:val="30"/>
        </w:rPr>
        <w:t>Accordingly, these signs appear all throughout the remainder of the Great Tribulation; which is to say throughout the entire course of the Era of Gospel Proclamation (Rev. 7:1-8).</w:t>
      </w:r>
    </w:p>
    <w:p w14:paraId="7F68F289">
      <w:pPr>
        <w:pStyle w:val="9"/>
        <w:spacing w:before="10"/>
        <w:ind w:left="0"/>
        <w:jc w:val="left"/>
        <w:rPr>
          <w:rFonts w:hint="eastAsia"/>
          <w:sz w:val="30"/>
          <w:szCs w:val="30"/>
        </w:rPr>
      </w:pPr>
      <w:r>
        <w:rPr>
          <w:rFonts w:hint="eastAsia"/>
          <w:sz w:val="30"/>
          <w:szCs w:val="30"/>
        </w:rPr>
        <w:t>因此，这些预兆在整个大患难的余下时间里都出现；也就是说，在整个福音宣讲时代的进程中（启7:1-8）。</w:t>
      </w:r>
    </w:p>
    <w:p w14:paraId="6963205A">
      <w:pPr>
        <w:pStyle w:val="9"/>
        <w:spacing w:before="10"/>
        <w:ind w:left="0"/>
        <w:jc w:val="left"/>
        <w:rPr>
          <w:rFonts w:hint="eastAsia"/>
          <w:sz w:val="30"/>
          <w:szCs w:val="30"/>
        </w:rPr>
      </w:pPr>
    </w:p>
    <w:p w14:paraId="780BA1ED">
      <w:pPr>
        <w:pStyle w:val="9"/>
        <w:spacing w:before="10"/>
        <w:ind w:left="0"/>
        <w:jc w:val="left"/>
        <w:rPr>
          <w:rFonts w:hint="eastAsia"/>
          <w:sz w:val="30"/>
          <w:szCs w:val="30"/>
        </w:rPr>
      </w:pPr>
      <w:r>
        <w:rPr>
          <w:rFonts w:hint="eastAsia"/>
          <w:sz w:val="30"/>
          <w:szCs w:val="30"/>
        </w:rPr>
        <w:t>The birth pains are twofold .</w:t>
      </w:r>
    </w:p>
    <w:p w14:paraId="3902F645">
      <w:pPr>
        <w:pStyle w:val="9"/>
        <w:spacing w:before="10"/>
        <w:ind w:left="0"/>
        <w:jc w:val="left"/>
        <w:rPr>
          <w:rFonts w:hint="eastAsia"/>
          <w:sz w:val="30"/>
          <w:szCs w:val="30"/>
        </w:rPr>
      </w:pPr>
      <w:r>
        <w:rPr>
          <w:rFonts w:hint="eastAsia"/>
          <w:sz w:val="30"/>
          <w:szCs w:val="30"/>
        </w:rPr>
        <w:t>这产难是双重的。</w:t>
      </w:r>
    </w:p>
    <w:p w14:paraId="1A0769C9">
      <w:pPr>
        <w:pStyle w:val="9"/>
        <w:spacing w:before="10"/>
        <w:ind w:left="0"/>
        <w:jc w:val="left"/>
        <w:rPr>
          <w:rFonts w:hint="eastAsia"/>
          <w:sz w:val="30"/>
          <w:szCs w:val="30"/>
        </w:rPr>
      </w:pPr>
    </w:p>
    <w:p w14:paraId="008E38D1">
      <w:pPr>
        <w:pStyle w:val="9"/>
        <w:spacing w:before="10"/>
        <w:ind w:left="0"/>
        <w:jc w:val="left"/>
        <w:rPr>
          <w:rFonts w:hint="eastAsia"/>
          <w:sz w:val="30"/>
          <w:szCs w:val="30"/>
        </w:rPr>
      </w:pPr>
      <w:r>
        <w:rPr>
          <w:rFonts w:hint="eastAsia"/>
          <w:sz w:val="30"/>
          <w:szCs w:val="30"/>
        </w:rPr>
        <w:t>On the one hand, they include what are manifestly (providential) judgments of God: wars, famines, earthquakes, pestilences, etc. (Mt. 24:7, Rev. 6).</w:t>
      </w:r>
    </w:p>
    <w:p w14:paraId="6F635EB0">
      <w:pPr>
        <w:pStyle w:val="9"/>
        <w:spacing w:before="10"/>
        <w:ind w:left="0"/>
        <w:jc w:val="left"/>
        <w:rPr>
          <w:rFonts w:hint="eastAsia"/>
          <w:sz w:val="30"/>
          <w:szCs w:val="30"/>
        </w:rPr>
      </w:pPr>
      <w:r>
        <w:rPr>
          <w:rFonts w:hint="eastAsia"/>
          <w:sz w:val="30"/>
          <w:szCs w:val="30"/>
        </w:rPr>
        <w:t>一方面，它们包括了显然是上帝（护理性的）审判：战争、饥荒、地震、瘟疫等（太24:7，启6）。</w:t>
      </w:r>
    </w:p>
    <w:p w14:paraId="66594FF5">
      <w:pPr>
        <w:pStyle w:val="9"/>
        <w:spacing w:before="10"/>
        <w:ind w:left="0"/>
        <w:jc w:val="left"/>
        <w:rPr>
          <w:rFonts w:hint="eastAsia"/>
          <w:sz w:val="30"/>
          <w:szCs w:val="30"/>
        </w:rPr>
      </w:pPr>
    </w:p>
    <w:p w14:paraId="587E134D">
      <w:pPr>
        <w:pStyle w:val="9"/>
        <w:spacing w:before="10"/>
        <w:ind w:left="0"/>
        <w:jc w:val="left"/>
        <w:rPr>
          <w:rFonts w:hint="eastAsia"/>
          <w:sz w:val="30"/>
          <w:szCs w:val="30"/>
        </w:rPr>
      </w:pPr>
      <w:r>
        <w:rPr>
          <w:rFonts w:hint="eastAsia"/>
          <w:sz w:val="30"/>
          <w:szCs w:val="30"/>
        </w:rPr>
        <w:t>Happily, alongside these judgments God graciously grants the preaching of the Gospel, by which sinners may come to understand what the judgments mean, and so flee from the Greater Judgment that they portend, by turning in faith to Christ (Mt. 3:7, 1 Thess. 1:10).</w:t>
      </w:r>
    </w:p>
    <w:p w14:paraId="276F20C2">
      <w:pPr>
        <w:pStyle w:val="9"/>
        <w:spacing w:before="10"/>
        <w:ind w:left="0"/>
        <w:jc w:val="left"/>
        <w:rPr>
          <w:rFonts w:hint="eastAsia"/>
          <w:sz w:val="30"/>
          <w:szCs w:val="30"/>
        </w:rPr>
      </w:pPr>
      <w:r>
        <w:rPr>
          <w:rFonts w:hint="eastAsia"/>
          <w:sz w:val="30"/>
          <w:szCs w:val="30"/>
        </w:rPr>
        <w:t>幸运的是，在这些审判的同时，上帝恩慈地赐下福音的宣讲，罪人可以借此明白这些审判的意义，从而通过信靠基督来逃避它们所预示的更大的审判（太3:7，帖前1:10）。</w:t>
      </w:r>
    </w:p>
    <w:p w14:paraId="4BF8EB3A">
      <w:pPr>
        <w:pStyle w:val="9"/>
        <w:spacing w:before="10"/>
        <w:ind w:left="0"/>
        <w:jc w:val="left"/>
        <w:rPr>
          <w:rFonts w:hint="eastAsia"/>
          <w:sz w:val="30"/>
          <w:szCs w:val="30"/>
        </w:rPr>
      </w:pPr>
    </w:p>
    <w:p w14:paraId="7DAE5642">
      <w:pPr>
        <w:pStyle w:val="9"/>
        <w:spacing w:before="10"/>
        <w:ind w:left="0"/>
        <w:jc w:val="left"/>
        <w:rPr>
          <w:rFonts w:hint="eastAsia"/>
          <w:sz w:val="30"/>
          <w:szCs w:val="30"/>
        </w:rPr>
      </w:pPr>
      <w:r>
        <w:rPr>
          <w:rFonts w:hint="eastAsia"/>
          <w:sz w:val="30"/>
          <w:szCs w:val="30"/>
        </w:rPr>
        <w:t>On the other hand, the birth pains also include what are manifestly acts of Satan: the emergence of false Christs and false prophets, the apostasy of false believers, and the persecution of the true spiritual Church (Mt. 24:4- 14, Rev. 6, 7, 11, 12, 13, 16, 20).</w:t>
      </w:r>
    </w:p>
    <w:p w14:paraId="138783F0">
      <w:pPr>
        <w:pStyle w:val="9"/>
        <w:spacing w:before="10"/>
        <w:ind w:left="0"/>
        <w:jc w:val="left"/>
        <w:rPr>
          <w:rFonts w:hint="eastAsia"/>
          <w:sz w:val="30"/>
          <w:szCs w:val="30"/>
        </w:rPr>
      </w:pPr>
      <w:r>
        <w:rPr>
          <w:rFonts w:hint="eastAsia"/>
          <w:sz w:val="30"/>
          <w:szCs w:val="30"/>
        </w:rPr>
        <w:t>另一方面，产难也包括了显然是撒但的行为：假基督和假先知的出现，假信徒的背道，以及对真正的属灵教会的迫害（太24:4-14，启6, 7, 11, 12, 13, 16, 20）。</w:t>
      </w:r>
    </w:p>
    <w:p w14:paraId="52FB0427">
      <w:pPr>
        <w:pStyle w:val="9"/>
        <w:spacing w:before="10"/>
        <w:ind w:left="0"/>
        <w:jc w:val="left"/>
        <w:rPr>
          <w:rFonts w:hint="eastAsia"/>
          <w:sz w:val="30"/>
          <w:szCs w:val="30"/>
        </w:rPr>
      </w:pPr>
    </w:p>
    <w:p w14:paraId="728D6716">
      <w:pPr>
        <w:pStyle w:val="9"/>
        <w:spacing w:before="10"/>
        <w:ind w:left="0"/>
        <w:jc w:val="left"/>
        <w:rPr>
          <w:rFonts w:hint="eastAsia"/>
          <w:sz w:val="30"/>
          <w:szCs w:val="30"/>
        </w:rPr>
      </w:pPr>
      <w:r>
        <w:rPr>
          <w:rFonts w:hint="eastAsia"/>
          <w:sz w:val="30"/>
          <w:szCs w:val="30"/>
        </w:rPr>
        <w:t>Importantly, Jesus warns us that “Such things must happen, but the end is still to come” (Mt. 24:6).</w:t>
      </w:r>
    </w:p>
    <w:p w14:paraId="5095EBD9">
      <w:pPr>
        <w:pStyle w:val="9"/>
        <w:spacing w:before="10"/>
        <w:ind w:left="0"/>
        <w:jc w:val="left"/>
        <w:rPr>
          <w:rFonts w:hint="eastAsia"/>
          <w:sz w:val="30"/>
          <w:szCs w:val="30"/>
        </w:rPr>
      </w:pPr>
      <w:r>
        <w:rPr>
          <w:rFonts w:hint="eastAsia"/>
          <w:sz w:val="30"/>
          <w:szCs w:val="30"/>
        </w:rPr>
        <w:t>重要的是，耶稣警告我们：“这些事是必须有的，只是末期还没有到”（太24:6）。</w:t>
      </w:r>
    </w:p>
    <w:p w14:paraId="34BD880C">
      <w:pPr>
        <w:pStyle w:val="9"/>
        <w:spacing w:before="10"/>
        <w:ind w:left="0"/>
        <w:jc w:val="left"/>
        <w:rPr>
          <w:rFonts w:hint="eastAsia"/>
          <w:sz w:val="30"/>
          <w:szCs w:val="30"/>
        </w:rPr>
      </w:pPr>
    </w:p>
    <w:p w14:paraId="0FA24013">
      <w:pPr>
        <w:pStyle w:val="9"/>
        <w:spacing w:before="10"/>
        <w:ind w:left="0"/>
        <w:jc w:val="left"/>
        <w:rPr>
          <w:rFonts w:hint="eastAsia"/>
          <w:sz w:val="30"/>
          <w:szCs w:val="30"/>
        </w:rPr>
      </w:pPr>
      <w:r>
        <w:rPr>
          <w:rFonts w:hint="eastAsia"/>
          <w:sz w:val="30"/>
          <w:szCs w:val="30"/>
        </w:rPr>
        <w:t>In other words, these are indeed signs that the end is fast approaching (Rev. 12:12), but also signs that the end is not yet here.</w:t>
      </w:r>
    </w:p>
    <w:p w14:paraId="1996047B">
      <w:pPr>
        <w:pStyle w:val="9"/>
        <w:spacing w:before="10"/>
        <w:ind w:left="0"/>
        <w:jc w:val="left"/>
        <w:rPr>
          <w:rFonts w:hint="eastAsia"/>
          <w:sz w:val="30"/>
          <w:szCs w:val="30"/>
        </w:rPr>
      </w:pPr>
      <w:r>
        <w:rPr>
          <w:rFonts w:hint="eastAsia"/>
          <w:sz w:val="30"/>
          <w:szCs w:val="30"/>
        </w:rPr>
        <w:t>换句话说，这些确实是末期快到的预兆（启12:12），但也是末期尚未到来的预兆。</w:t>
      </w:r>
    </w:p>
    <w:p w14:paraId="7669285E">
      <w:pPr>
        <w:pStyle w:val="9"/>
        <w:spacing w:before="10"/>
        <w:ind w:left="0"/>
        <w:jc w:val="left"/>
        <w:rPr>
          <w:rFonts w:hint="eastAsia"/>
          <w:sz w:val="30"/>
          <w:szCs w:val="30"/>
        </w:rPr>
      </w:pPr>
    </w:p>
    <w:p w14:paraId="192A032A">
      <w:pPr>
        <w:pStyle w:val="9"/>
        <w:spacing w:before="10"/>
        <w:ind w:left="0"/>
        <w:jc w:val="left"/>
        <w:rPr>
          <w:rFonts w:hint="eastAsia"/>
          <w:sz w:val="30"/>
          <w:szCs w:val="30"/>
        </w:rPr>
      </w:pPr>
      <w:r>
        <w:rPr>
          <w:rFonts w:hint="eastAsia"/>
          <w:sz w:val="30"/>
          <w:szCs w:val="30"/>
        </w:rPr>
        <w:t>Accordingly, the wise disciple will not allow himself to be distracted by the beginning of birth pains.</w:t>
      </w:r>
    </w:p>
    <w:p w14:paraId="17F0FF54">
      <w:pPr>
        <w:pStyle w:val="9"/>
        <w:spacing w:before="10"/>
        <w:ind w:left="0"/>
        <w:jc w:val="left"/>
        <w:rPr>
          <w:rFonts w:hint="eastAsia"/>
          <w:sz w:val="30"/>
          <w:szCs w:val="30"/>
        </w:rPr>
      </w:pPr>
      <w:r>
        <w:rPr>
          <w:rFonts w:hint="eastAsia"/>
          <w:sz w:val="30"/>
          <w:szCs w:val="30"/>
        </w:rPr>
        <w:t>因此，智慧的门徒不会让自己因产难的起头而分心。</w:t>
      </w:r>
    </w:p>
    <w:p w14:paraId="11EAAD3C">
      <w:pPr>
        <w:pStyle w:val="9"/>
        <w:spacing w:before="10"/>
        <w:ind w:left="0"/>
        <w:jc w:val="left"/>
        <w:rPr>
          <w:rFonts w:hint="eastAsia"/>
          <w:sz w:val="30"/>
          <w:szCs w:val="30"/>
        </w:rPr>
      </w:pPr>
    </w:p>
    <w:p w14:paraId="11C2E8A6">
      <w:pPr>
        <w:pStyle w:val="9"/>
        <w:spacing w:before="10"/>
        <w:ind w:left="0"/>
        <w:jc w:val="left"/>
        <w:rPr>
          <w:rFonts w:hint="eastAsia"/>
          <w:sz w:val="30"/>
          <w:szCs w:val="30"/>
        </w:rPr>
      </w:pPr>
      <w:r>
        <w:rPr>
          <w:rFonts w:hint="eastAsia"/>
          <w:sz w:val="30"/>
          <w:szCs w:val="30"/>
        </w:rPr>
        <w:t>Instead, he will simply remember what they mean, and therefore stay focused on the work before him, which is, above all, to preach the Gospel, and in so doing to make wise use of “the signs of the time” (Mt. 16:3).</w:t>
      </w:r>
    </w:p>
    <w:p w14:paraId="519C0307">
      <w:pPr>
        <w:pStyle w:val="9"/>
        <w:spacing w:before="10"/>
        <w:ind w:left="0"/>
        <w:jc w:val="left"/>
        <w:rPr>
          <w:rFonts w:hint="eastAsia"/>
          <w:sz w:val="30"/>
          <w:szCs w:val="30"/>
        </w:rPr>
      </w:pPr>
      <w:r>
        <w:rPr>
          <w:rFonts w:hint="eastAsia"/>
          <w:sz w:val="30"/>
          <w:szCs w:val="30"/>
        </w:rPr>
        <w:t>相反，祂将只是记住它们的意义，因此专注于摆在祂面前的工作，这工作，首先是传福音，并在此过程中，智慧地使用“时代的兆头”（太16:3）。</w:t>
      </w:r>
    </w:p>
    <w:p w14:paraId="7F1CD546">
      <w:pPr>
        <w:pStyle w:val="9"/>
        <w:spacing w:before="10"/>
        <w:ind w:left="0"/>
        <w:jc w:val="left"/>
        <w:rPr>
          <w:rFonts w:hint="eastAsia"/>
          <w:sz w:val="30"/>
          <w:szCs w:val="30"/>
        </w:rPr>
      </w:pPr>
    </w:p>
    <w:p w14:paraId="1EBFBF49">
      <w:pPr>
        <w:pStyle w:val="9"/>
        <w:spacing w:before="10"/>
        <w:ind w:left="0"/>
        <w:jc w:val="left"/>
        <w:rPr>
          <w:rFonts w:hint="eastAsia"/>
          <w:sz w:val="30"/>
          <w:szCs w:val="30"/>
        </w:rPr>
      </w:pPr>
      <w:r>
        <w:rPr>
          <w:rFonts w:hint="eastAsia"/>
          <w:sz w:val="30"/>
          <w:szCs w:val="30"/>
        </w:rPr>
        <w:t>Signs of the Imminence of the Parousia</w:t>
      </w:r>
    </w:p>
    <w:p w14:paraId="44FC5372">
      <w:pPr>
        <w:pStyle w:val="9"/>
        <w:spacing w:before="10"/>
        <w:ind w:left="0"/>
        <w:jc w:val="left"/>
        <w:rPr>
          <w:rFonts w:hint="eastAsia"/>
          <w:sz w:val="30"/>
          <w:szCs w:val="30"/>
        </w:rPr>
      </w:pPr>
      <w:r>
        <w:rPr>
          <w:rFonts w:hint="eastAsia"/>
          <w:sz w:val="30"/>
          <w:szCs w:val="30"/>
        </w:rPr>
        <w:t>主临迫近的预兆</w:t>
      </w:r>
    </w:p>
    <w:p w14:paraId="3B4B9837">
      <w:pPr>
        <w:pStyle w:val="9"/>
        <w:spacing w:before="10"/>
        <w:ind w:left="0"/>
        <w:jc w:val="left"/>
        <w:rPr>
          <w:rFonts w:hint="eastAsia"/>
          <w:sz w:val="30"/>
          <w:szCs w:val="30"/>
        </w:rPr>
      </w:pPr>
    </w:p>
    <w:p w14:paraId="0A2D7BC0">
      <w:pPr>
        <w:pStyle w:val="9"/>
        <w:spacing w:before="10"/>
        <w:ind w:left="0"/>
        <w:jc w:val="left"/>
        <w:rPr>
          <w:rFonts w:hint="eastAsia"/>
          <w:sz w:val="30"/>
          <w:szCs w:val="30"/>
        </w:rPr>
      </w:pPr>
      <w:r>
        <w:rPr>
          <w:rFonts w:hint="eastAsia"/>
          <w:sz w:val="30"/>
          <w:szCs w:val="30"/>
        </w:rPr>
        <w:t>There is, however, a second kind of eschatological sign.</w:t>
      </w:r>
    </w:p>
    <w:p w14:paraId="26B0B495">
      <w:pPr>
        <w:pStyle w:val="9"/>
        <w:spacing w:before="10"/>
        <w:ind w:left="0"/>
        <w:jc w:val="left"/>
        <w:rPr>
          <w:rFonts w:hint="eastAsia"/>
          <w:sz w:val="30"/>
          <w:szCs w:val="30"/>
        </w:rPr>
      </w:pPr>
      <w:r>
        <w:rPr>
          <w:rFonts w:hint="eastAsia"/>
          <w:sz w:val="30"/>
          <w:szCs w:val="30"/>
        </w:rPr>
        <w:t>然而，有第二种末世论的预兆。</w:t>
      </w:r>
    </w:p>
    <w:p w14:paraId="1373AF59">
      <w:pPr>
        <w:pStyle w:val="9"/>
        <w:spacing w:before="10"/>
        <w:ind w:left="0"/>
        <w:jc w:val="left"/>
        <w:rPr>
          <w:rFonts w:hint="eastAsia"/>
          <w:sz w:val="30"/>
          <w:szCs w:val="30"/>
        </w:rPr>
      </w:pPr>
    </w:p>
    <w:p w14:paraId="0C2825F9">
      <w:pPr>
        <w:pStyle w:val="9"/>
        <w:spacing w:before="10"/>
        <w:ind w:left="0"/>
        <w:jc w:val="left"/>
        <w:rPr>
          <w:rFonts w:hint="eastAsia"/>
          <w:sz w:val="30"/>
          <w:szCs w:val="30"/>
        </w:rPr>
      </w:pPr>
      <w:r>
        <w:rPr>
          <w:rFonts w:hint="eastAsia"/>
          <w:sz w:val="30"/>
          <w:szCs w:val="30"/>
        </w:rPr>
        <w:t>Since they are destined to occur very close to the end of the age, signs falling into this category are properly called signs of the imminence of the Parousia.</w:t>
      </w:r>
    </w:p>
    <w:p w14:paraId="01306A6E">
      <w:pPr>
        <w:pStyle w:val="9"/>
        <w:spacing w:before="10"/>
        <w:ind w:left="0"/>
        <w:jc w:val="left"/>
        <w:rPr>
          <w:rFonts w:hint="eastAsia"/>
          <w:sz w:val="30"/>
          <w:szCs w:val="30"/>
        </w:rPr>
      </w:pPr>
      <w:r>
        <w:rPr>
          <w:rFonts w:hint="eastAsia"/>
          <w:sz w:val="30"/>
          <w:szCs w:val="30"/>
        </w:rPr>
        <w:t>由于它们注定在世代的末了非常接近的时候发生，属于这一类的预兆被恰当地称为主临（Parousia）迫近的预兆。</w:t>
      </w:r>
    </w:p>
    <w:p w14:paraId="373CE1D8">
      <w:pPr>
        <w:pStyle w:val="9"/>
        <w:spacing w:before="10"/>
        <w:ind w:left="0"/>
        <w:jc w:val="left"/>
        <w:rPr>
          <w:rFonts w:hint="eastAsia"/>
          <w:sz w:val="30"/>
          <w:szCs w:val="30"/>
        </w:rPr>
      </w:pPr>
    </w:p>
    <w:p w14:paraId="7EFFDFDF">
      <w:pPr>
        <w:pStyle w:val="9"/>
        <w:spacing w:before="10"/>
        <w:ind w:left="0"/>
        <w:jc w:val="left"/>
        <w:rPr>
          <w:rFonts w:hint="eastAsia"/>
          <w:sz w:val="30"/>
          <w:szCs w:val="30"/>
        </w:rPr>
      </w:pPr>
      <w:r>
        <w:rPr>
          <w:rFonts w:hint="eastAsia"/>
          <w:sz w:val="30"/>
          <w:szCs w:val="30"/>
        </w:rPr>
        <w:t>Very importantly, they will not enable believers to determine “the day or the hour” of their Master’s return, only that it is quite near, even at the door (Mt. 24:32-36).</w:t>
      </w:r>
    </w:p>
    <w:p w14:paraId="42E3A2C7">
      <w:pPr>
        <w:pStyle w:val="9"/>
        <w:spacing w:before="10"/>
        <w:ind w:left="0"/>
        <w:jc w:val="left"/>
        <w:rPr>
          <w:rFonts w:hint="eastAsia"/>
          <w:sz w:val="30"/>
          <w:szCs w:val="30"/>
        </w:rPr>
      </w:pPr>
      <w:r>
        <w:rPr>
          <w:rFonts w:hint="eastAsia"/>
          <w:sz w:val="30"/>
          <w:szCs w:val="30"/>
        </w:rPr>
        <w:t>非常重要的是，它们不会使信徒能够确定他们夫子再来的“日子或时辰”，只能确定它相当近了，正在门口了（太24:32-36）。</w:t>
      </w:r>
    </w:p>
    <w:p w14:paraId="120EE142">
      <w:pPr>
        <w:pStyle w:val="9"/>
        <w:spacing w:before="10"/>
        <w:ind w:left="0"/>
        <w:jc w:val="left"/>
        <w:rPr>
          <w:rFonts w:hint="eastAsia"/>
          <w:sz w:val="30"/>
          <w:szCs w:val="30"/>
        </w:rPr>
      </w:pPr>
    </w:p>
    <w:p w14:paraId="2C6D71E0">
      <w:pPr>
        <w:pStyle w:val="9"/>
        <w:spacing w:before="10"/>
        <w:ind w:left="0"/>
        <w:jc w:val="left"/>
        <w:rPr>
          <w:rFonts w:hint="eastAsia"/>
          <w:sz w:val="30"/>
          <w:szCs w:val="30"/>
        </w:rPr>
      </w:pPr>
      <w:r>
        <w:rPr>
          <w:rFonts w:hint="eastAsia"/>
          <w:sz w:val="30"/>
          <w:szCs w:val="30"/>
        </w:rPr>
        <w:t>Disciples are, then, to be on the lookout for (the confluence of) these special signs, and to take special hope and courage when they see them on the horizon.</w:t>
      </w:r>
    </w:p>
    <w:p w14:paraId="75D8C463">
      <w:pPr>
        <w:pStyle w:val="9"/>
        <w:spacing w:before="10"/>
        <w:ind w:left="0"/>
        <w:jc w:val="left"/>
        <w:rPr>
          <w:rFonts w:hint="eastAsia"/>
          <w:sz w:val="30"/>
          <w:szCs w:val="30"/>
        </w:rPr>
      </w:pPr>
      <w:r>
        <w:rPr>
          <w:rFonts w:hint="eastAsia"/>
          <w:sz w:val="30"/>
          <w:szCs w:val="30"/>
        </w:rPr>
        <w:t>因此，门徒们要警惕（这些特殊预兆的汇合），当他们在地平线上看见它们时，要特别有盼望和勇气。</w:t>
      </w:r>
    </w:p>
    <w:p w14:paraId="335DDEB9">
      <w:pPr>
        <w:pStyle w:val="9"/>
        <w:spacing w:before="10"/>
        <w:ind w:left="0"/>
        <w:jc w:val="left"/>
        <w:rPr>
          <w:rFonts w:hint="eastAsia"/>
          <w:sz w:val="30"/>
          <w:szCs w:val="30"/>
        </w:rPr>
      </w:pPr>
    </w:p>
    <w:p w14:paraId="125D50D9">
      <w:pPr>
        <w:pStyle w:val="9"/>
        <w:spacing w:before="10"/>
        <w:ind w:left="0"/>
        <w:jc w:val="left"/>
        <w:rPr>
          <w:rFonts w:hint="eastAsia"/>
          <w:sz w:val="30"/>
          <w:szCs w:val="30"/>
        </w:rPr>
      </w:pPr>
      <w:r>
        <w:rPr>
          <w:rFonts w:hint="eastAsia"/>
          <w:sz w:val="30"/>
          <w:szCs w:val="30"/>
        </w:rPr>
        <w:t>One such sign is the completion of world evangelization.</w:t>
      </w:r>
    </w:p>
    <w:p w14:paraId="1F716915">
      <w:pPr>
        <w:pStyle w:val="9"/>
        <w:spacing w:before="10"/>
        <w:ind w:left="0"/>
        <w:jc w:val="left"/>
        <w:rPr>
          <w:rFonts w:hint="eastAsia"/>
          <w:sz w:val="30"/>
          <w:szCs w:val="30"/>
        </w:rPr>
      </w:pPr>
      <w:r>
        <w:rPr>
          <w:rFonts w:hint="eastAsia"/>
          <w:sz w:val="30"/>
          <w:szCs w:val="30"/>
        </w:rPr>
        <w:t>其中一个预兆是世界福音化的完成。</w:t>
      </w:r>
    </w:p>
    <w:p w14:paraId="30E2C4DA">
      <w:pPr>
        <w:pStyle w:val="9"/>
        <w:spacing w:before="10"/>
        <w:ind w:left="0"/>
        <w:jc w:val="left"/>
        <w:rPr>
          <w:rFonts w:hint="eastAsia"/>
          <w:sz w:val="30"/>
          <w:szCs w:val="30"/>
        </w:rPr>
      </w:pPr>
    </w:p>
    <w:p w14:paraId="21480392">
      <w:pPr>
        <w:pStyle w:val="9"/>
        <w:spacing w:before="10"/>
        <w:ind w:left="0"/>
        <w:jc w:val="left"/>
        <w:rPr>
          <w:rFonts w:hint="eastAsia"/>
          <w:sz w:val="30"/>
          <w:szCs w:val="30"/>
        </w:rPr>
      </w:pPr>
      <w:r>
        <w:rPr>
          <w:rFonts w:hint="eastAsia"/>
          <w:sz w:val="30"/>
          <w:szCs w:val="30"/>
        </w:rPr>
        <w:t>As Jesus himself put it, “This Gospel of the Kingdom shall be preached in the whole world for a witness to all the nations, and then the end shall come” (Mt. 24:14).</w:t>
      </w:r>
    </w:p>
    <w:p w14:paraId="37253044">
      <w:pPr>
        <w:pStyle w:val="9"/>
        <w:spacing w:before="10"/>
        <w:ind w:left="0"/>
        <w:jc w:val="left"/>
        <w:rPr>
          <w:rFonts w:hint="eastAsia"/>
          <w:sz w:val="30"/>
          <w:szCs w:val="30"/>
        </w:rPr>
      </w:pPr>
      <w:r>
        <w:rPr>
          <w:rFonts w:hint="eastAsia"/>
          <w:sz w:val="30"/>
          <w:szCs w:val="30"/>
        </w:rPr>
        <w:t>正如耶稣祂自己所说：“这天国的福音要传遍天下，对万民作见证，然后末期才来到”（太24:14）。</w:t>
      </w:r>
    </w:p>
    <w:p w14:paraId="1011CB71">
      <w:pPr>
        <w:pStyle w:val="9"/>
        <w:spacing w:before="10"/>
        <w:ind w:left="0"/>
        <w:jc w:val="left"/>
        <w:rPr>
          <w:rFonts w:hint="eastAsia"/>
          <w:sz w:val="30"/>
          <w:szCs w:val="30"/>
        </w:rPr>
      </w:pPr>
    </w:p>
    <w:p w14:paraId="0313273D">
      <w:pPr>
        <w:pStyle w:val="9"/>
        <w:spacing w:before="10"/>
        <w:ind w:left="0"/>
        <w:jc w:val="left"/>
        <w:rPr>
          <w:rFonts w:hint="eastAsia"/>
          <w:sz w:val="30"/>
          <w:szCs w:val="30"/>
        </w:rPr>
      </w:pPr>
      <w:r>
        <w:rPr>
          <w:rFonts w:hint="eastAsia"/>
          <w:sz w:val="30"/>
          <w:szCs w:val="30"/>
        </w:rPr>
        <w:t>Therefore, disciples are to keep close tabs on the state of the global harvest, and are to rejoice in hope when they finally see thriving churches planted among “every tribe and tongue and people and nation” (Rev. 5:9).1</w:t>
      </w:r>
    </w:p>
    <w:p w14:paraId="643259B6">
      <w:pPr>
        <w:pStyle w:val="9"/>
        <w:spacing w:before="10"/>
        <w:ind w:left="0"/>
        <w:jc w:val="left"/>
        <w:rPr>
          <w:rFonts w:hint="eastAsia"/>
          <w:sz w:val="30"/>
          <w:szCs w:val="30"/>
        </w:rPr>
      </w:pPr>
      <w:r>
        <w:rPr>
          <w:rFonts w:hint="eastAsia"/>
          <w:sz w:val="30"/>
          <w:szCs w:val="30"/>
        </w:rPr>
        <w:t>因此，门徒们要密切关注全球庄稼的状况，并在他们最终看到兴旺的教会在“各族、各方、各民、各国”中建立时，在盼望中欢欣（启5:9）。1</w:t>
      </w:r>
    </w:p>
    <w:p w14:paraId="6F262F06">
      <w:pPr>
        <w:pStyle w:val="9"/>
        <w:spacing w:before="10"/>
        <w:ind w:left="0"/>
        <w:jc w:val="left"/>
        <w:rPr>
          <w:rFonts w:hint="eastAsia"/>
          <w:sz w:val="30"/>
          <w:szCs w:val="30"/>
        </w:rPr>
      </w:pPr>
    </w:p>
    <w:p w14:paraId="01185CE6">
      <w:pPr>
        <w:pStyle w:val="9"/>
        <w:spacing w:before="10"/>
        <w:ind w:left="0"/>
        <w:jc w:val="left"/>
        <w:rPr>
          <w:rFonts w:hint="eastAsia"/>
          <w:sz w:val="30"/>
          <w:szCs w:val="30"/>
        </w:rPr>
      </w:pPr>
      <w:r>
        <w:rPr>
          <w:rFonts w:hint="eastAsia"/>
          <w:sz w:val="30"/>
          <w:szCs w:val="30"/>
        </w:rPr>
        <w:t>Another such sign—closely related to the first—is the conversion of the great mass of latter-day Jews.</w:t>
      </w:r>
    </w:p>
    <w:p w14:paraId="7355AC31">
      <w:pPr>
        <w:pStyle w:val="9"/>
        <w:spacing w:before="10"/>
        <w:ind w:left="0"/>
        <w:jc w:val="left"/>
        <w:rPr>
          <w:rFonts w:hint="eastAsia"/>
          <w:sz w:val="30"/>
          <w:szCs w:val="30"/>
        </w:rPr>
      </w:pPr>
      <w:r>
        <w:rPr>
          <w:rFonts w:hint="eastAsia"/>
          <w:sz w:val="30"/>
          <w:szCs w:val="30"/>
        </w:rPr>
        <w:t>另一个这样的预兆——与第一个密切相关——是末后犹太人大众的归信。</w:t>
      </w:r>
    </w:p>
    <w:p w14:paraId="1B1627C4">
      <w:pPr>
        <w:pStyle w:val="9"/>
        <w:spacing w:before="10"/>
        <w:ind w:left="0"/>
        <w:jc w:val="left"/>
        <w:rPr>
          <w:rFonts w:hint="eastAsia"/>
          <w:sz w:val="30"/>
          <w:szCs w:val="30"/>
        </w:rPr>
      </w:pPr>
    </w:p>
    <w:p w14:paraId="77D45BA6">
      <w:pPr>
        <w:pStyle w:val="9"/>
        <w:spacing w:before="10"/>
        <w:ind w:left="0"/>
        <w:jc w:val="left"/>
        <w:rPr>
          <w:rFonts w:hint="eastAsia"/>
          <w:sz w:val="30"/>
          <w:szCs w:val="30"/>
        </w:rPr>
      </w:pPr>
      <w:r>
        <w:rPr>
          <w:rFonts w:hint="eastAsia"/>
          <w:sz w:val="30"/>
          <w:szCs w:val="30"/>
        </w:rPr>
        <w:t>According to the apostle Paul, this will occur near the end of the age, when the full number of elect Gentiles has finally come to Christ.</w:t>
      </w:r>
    </w:p>
    <w:p w14:paraId="3C39C946">
      <w:pPr>
        <w:pStyle w:val="9"/>
        <w:spacing w:before="10"/>
        <w:ind w:left="0"/>
        <w:jc w:val="left"/>
        <w:rPr>
          <w:rFonts w:hint="eastAsia"/>
          <w:sz w:val="30"/>
          <w:szCs w:val="30"/>
        </w:rPr>
      </w:pPr>
      <w:r>
        <w:rPr>
          <w:rFonts w:hint="eastAsia"/>
          <w:sz w:val="30"/>
          <w:szCs w:val="30"/>
        </w:rPr>
        <w:t>根据使徒保罗，这将在世代末了临近时发生，那时所有被拣选的外邦人都已归向基督。</w:t>
      </w:r>
    </w:p>
    <w:p w14:paraId="7F557CE6">
      <w:pPr>
        <w:pStyle w:val="9"/>
        <w:spacing w:before="10"/>
        <w:ind w:left="0"/>
        <w:jc w:val="left"/>
        <w:rPr>
          <w:rFonts w:hint="eastAsia"/>
          <w:sz w:val="30"/>
          <w:szCs w:val="30"/>
        </w:rPr>
      </w:pPr>
    </w:p>
    <w:p w14:paraId="7B59193A">
      <w:pPr>
        <w:pStyle w:val="9"/>
        <w:spacing w:before="10"/>
        <w:ind w:left="0"/>
        <w:jc w:val="left"/>
        <w:rPr>
          <w:rFonts w:hint="eastAsia"/>
          <w:sz w:val="30"/>
          <w:szCs w:val="30"/>
        </w:rPr>
      </w:pPr>
      <w:r>
        <w:rPr>
          <w:rFonts w:hint="eastAsia"/>
          <w:sz w:val="30"/>
          <w:szCs w:val="30"/>
        </w:rPr>
        <w:t>At that time, God will graciously turn again to his ancient covenant people, spiritually grafting them into his New Covenant vine through (God-given) faith in their Messiah.</w:t>
      </w:r>
    </w:p>
    <w:p w14:paraId="3A7AE33D">
      <w:pPr>
        <w:pStyle w:val="9"/>
        <w:spacing w:before="10"/>
        <w:ind w:left="0"/>
        <w:jc w:val="left"/>
        <w:rPr>
          <w:rFonts w:hint="eastAsia"/>
          <w:sz w:val="30"/>
          <w:szCs w:val="30"/>
        </w:rPr>
      </w:pPr>
      <w:r>
        <w:rPr>
          <w:rFonts w:hint="eastAsia"/>
          <w:sz w:val="30"/>
          <w:szCs w:val="30"/>
        </w:rPr>
        <w:t>到那时，上帝将恩慈地再次转向祂古老的约民，通过（上帝所赐的）对他们弥赛亚的信心，在属灵上将他们嫁接到祂的新约葡萄树上。</w:t>
      </w:r>
    </w:p>
    <w:p w14:paraId="4E4A037D">
      <w:pPr>
        <w:pStyle w:val="9"/>
        <w:spacing w:before="10"/>
        <w:ind w:left="0"/>
        <w:jc w:val="left"/>
        <w:rPr>
          <w:rFonts w:hint="eastAsia"/>
          <w:sz w:val="30"/>
          <w:szCs w:val="30"/>
        </w:rPr>
      </w:pPr>
    </w:p>
    <w:p w14:paraId="1ADCB973">
      <w:pPr>
        <w:pStyle w:val="9"/>
        <w:spacing w:before="10"/>
        <w:ind w:left="0"/>
        <w:jc w:val="left"/>
        <w:rPr>
          <w:rFonts w:hint="eastAsia"/>
          <w:sz w:val="30"/>
          <w:szCs w:val="30"/>
        </w:rPr>
      </w:pPr>
      <w:r>
        <w:rPr>
          <w:rFonts w:hint="eastAsia"/>
          <w:sz w:val="30"/>
          <w:szCs w:val="30"/>
        </w:rPr>
        <w:t>When he does, it will be nothing less than “life from the dead,” this expression being an apparent reference to the general Resurrection that Christ himself will accomplish at his Parousia (Rom. 11:20-26).</w:t>
      </w:r>
    </w:p>
    <w:p w14:paraId="77B2BE53">
      <w:pPr>
        <w:pStyle w:val="9"/>
        <w:spacing w:before="10"/>
        <w:ind w:left="0"/>
        <w:jc w:val="left"/>
        <w:rPr>
          <w:rFonts w:hint="eastAsia"/>
          <w:sz w:val="30"/>
          <w:szCs w:val="30"/>
        </w:rPr>
      </w:pPr>
      <w:r>
        <w:rPr>
          <w:rFonts w:hint="eastAsia"/>
          <w:sz w:val="30"/>
          <w:szCs w:val="30"/>
        </w:rPr>
        <w:t>当祂这样做时，这将无异于“死里复生”，这个表达显然是指基督祂自己将在祂主临（Parousia）时成就的普世复活（罗11:20-26）。</w:t>
      </w:r>
    </w:p>
    <w:p w14:paraId="74EE23FB">
      <w:pPr>
        <w:pStyle w:val="9"/>
        <w:spacing w:before="10"/>
        <w:ind w:left="0"/>
        <w:jc w:val="left"/>
        <w:rPr>
          <w:rFonts w:hint="eastAsia"/>
          <w:sz w:val="30"/>
          <w:szCs w:val="30"/>
        </w:rPr>
      </w:pPr>
    </w:p>
    <w:p w14:paraId="657785E9">
      <w:pPr>
        <w:pStyle w:val="9"/>
        <w:spacing w:before="10"/>
        <w:ind w:left="0"/>
        <w:jc w:val="left"/>
        <w:rPr>
          <w:rFonts w:hint="eastAsia"/>
          <w:sz w:val="30"/>
          <w:szCs w:val="30"/>
        </w:rPr>
      </w:pPr>
      <w:r>
        <w:rPr>
          <w:rFonts w:hint="eastAsia"/>
          <w:sz w:val="30"/>
          <w:szCs w:val="30"/>
        </w:rPr>
        <w:t>A third sign of the nearness of the end is deep and widespread spiritual darkness.</w:t>
      </w:r>
    </w:p>
    <w:p w14:paraId="46E7FDEB">
      <w:pPr>
        <w:pStyle w:val="9"/>
        <w:spacing w:before="10"/>
        <w:ind w:left="0"/>
        <w:jc w:val="left"/>
        <w:rPr>
          <w:rFonts w:hint="eastAsia"/>
          <w:sz w:val="30"/>
          <w:szCs w:val="30"/>
        </w:rPr>
      </w:pPr>
      <w:r>
        <w:rPr>
          <w:rFonts w:hint="eastAsia"/>
          <w:sz w:val="30"/>
          <w:szCs w:val="30"/>
        </w:rPr>
        <w:t>末日临近的第三个预兆是深刻而广泛的属灵黑暗。</w:t>
      </w:r>
    </w:p>
    <w:p w14:paraId="7D4304C4">
      <w:pPr>
        <w:pStyle w:val="9"/>
        <w:spacing w:before="10"/>
        <w:ind w:left="0"/>
        <w:jc w:val="left"/>
        <w:rPr>
          <w:rFonts w:hint="eastAsia"/>
          <w:sz w:val="30"/>
          <w:szCs w:val="30"/>
        </w:rPr>
      </w:pPr>
    </w:p>
    <w:p w14:paraId="355A7FB5">
      <w:pPr>
        <w:pStyle w:val="9"/>
        <w:spacing w:before="10"/>
        <w:ind w:left="0"/>
        <w:jc w:val="left"/>
        <w:rPr>
          <w:rFonts w:hint="eastAsia"/>
          <w:sz w:val="30"/>
          <w:szCs w:val="30"/>
        </w:rPr>
      </w:pPr>
      <w:r>
        <w:rPr>
          <w:rFonts w:hint="eastAsia"/>
          <w:sz w:val="30"/>
          <w:szCs w:val="30"/>
        </w:rPr>
        <w:t>Along these lines, the Lord himself taught that in the last of the last days lawlessness will dramatically increase, with the result that the love of many (professing believers) will grow cold (Mt. 24:12).</w:t>
      </w:r>
    </w:p>
    <w:p w14:paraId="2C6CFBE8">
      <w:pPr>
        <w:pStyle w:val="9"/>
        <w:spacing w:before="10"/>
        <w:ind w:left="0"/>
        <w:jc w:val="left"/>
        <w:rPr>
          <w:rFonts w:hint="eastAsia"/>
          <w:sz w:val="30"/>
          <w:szCs w:val="30"/>
        </w:rPr>
      </w:pPr>
      <w:r>
        <w:rPr>
          <w:rFonts w:hint="eastAsia"/>
          <w:sz w:val="30"/>
          <w:szCs w:val="30"/>
        </w:rPr>
        <w:t>沿着这些思路，主祂自己教导说，在末后的末期，不法的事将大大增加，结果是许多（自称的信徒）的爱心将渐渐冷淡了（太24:12）。</w:t>
      </w:r>
    </w:p>
    <w:p w14:paraId="2187B02B">
      <w:pPr>
        <w:pStyle w:val="9"/>
        <w:spacing w:before="10"/>
        <w:ind w:left="0"/>
        <w:jc w:val="left"/>
        <w:rPr>
          <w:rFonts w:hint="eastAsia"/>
          <w:sz w:val="30"/>
          <w:szCs w:val="30"/>
        </w:rPr>
      </w:pPr>
    </w:p>
    <w:p w14:paraId="735EFCA2">
      <w:pPr>
        <w:pStyle w:val="9"/>
        <w:spacing w:before="10"/>
        <w:ind w:left="0"/>
        <w:jc w:val="left"/>
        <w:rPr>
          <w:rFonts w:hint="eastAsia"/>
          <w:sz w:val="30"/>
          <w:szCs w:val="30"/>
        </w:rPr>
      </w:pPr>
      <w:r>
        <w:rPr>
          <w:rFonts w:hint="eastAsia"/>
          <w:sz w:val="30"/>
          <w:szCs w:val="30"/>
        </w:rPr>
        <w:t>He said that those days will be like the days of Noah, Lot, and Sodom and Gomorrah, days when materialism, pride, violence, and gross sexual immorality prevailed; days when only a few were saved from the outpouring of God’s wrath (Luke 17:26-30).</w:t>
      </w:r>
    </w:p>
    <w:p w14:paraId="573DDD10">
      <w:pPr>
        <w:pStyle w:val="9"/>
        <w:spacing w:before="10"/>
        <w:ind w:left="0"/>
        <w:jc w:val="left"/>
        <w:rPr>
          <w:rFonts w:hint="eastAsia"/>
          <w:sz w:val="30"/>
          <w:szCs w:val="30"/>
        </w:rPr>
      </w:pPr>
      <w:r>
        <w:rPr>
          <w:rFonts w:hint="eastAsia"/>
          <w:sz w:val="30"/>
          <w:szCs w:val="30"/>
        </w:rPr>
        <w:t>祂说那些日子将像挪亚、罗得、所多玛和蛾摩拉的日子，那时物质主义、骄傲、暴力和严重的性不道德盛行；那时只有少数人从上帝忿怒的倾倒中得救（路加福音17:26-30）。</w:t>
      </w:r>
    </w:p>
    <w:p w14:paraId="24F6EA06">
      <w:pPr>
        <w:pStyle w:val="9"/>
        <w:spacing w:before="10"/>
        <w:ind w:left="0"/>
        <w:jc w:val="left"/>
        <w:rPr>
          <w:rFonts w:hint="eastAsia"/>
          <w:sz w:val="30"/>
          <w:szCs w:val="30"/>
        </w:rPr>
      </w:pPr>
    </w:p>
    <w:p w14:paraId="5A95C84D">
      <w:pPr>
        <w:pStyle w:val="9"/>
        <w:spacing w:before="10"/>
        <w:ind w:left="0"/>
        <w:jc w:val="left"/>
        <w:rPr>
          <w:rFonts w:hint="eastAsia"/>
          <w:sz w:val="30"/>
          <w:szCs w:val="30"/>
        </w:rPr>
      </w:pPr>
      <w:r>
        <w:rPr>
          <w:rFonts w:hint="eastAsia"/>
          <w:sz w:val="30"/>
          <w:szCs w:val="30"/>
        </w:rPr>
        <w:t>As for the apostle Paul, he warns that just prior to the conversion of ethnic Israel at large, (many of) the Gentile branches will be broken off the vine of God (Rom. 11:19-21).</w:t>
      </w:r>
    </w:p>
    <w:p w14:paraId="6C146848">
      <w:pPr>
        <w:pStyle w:val="9"/>
        <w:spacing w:before="10"/>
        <w:ind w:left="0"/>
        <w:jc w:val="left"/>
        <w:rPr>
          <w:rFonts w:hint="eastAsia"/>
          <w:sz w:val="30"/>
          <w:szCs w:val="30"/>
        </w:rPr>
      </w:pPr>
      <w:r>
        <w:rPr>
          <w:rFonts w:hint="eastAsia"/>
          <w:sz w:val="30"/>
          <w:szCs w:val="30"/>
        </w:rPr>
        <w:t>至于使徒保罗，他警告说，就在以色列民族大规模归信之前，（许多）外邦枝子将被从上帝的葡萄树上折下来（罗11:19-21）。</w:t>
      </w:r>
    </w:p>
    <w:p w14:paraId="71E1BA20">
      <w:pPr>
        <w:pStyle w:val="9"/>
        <w:spacing w:before="10"/>
        <w:ind w:left="0"/>
        <w:jc w:val="left"/>
        <w:rPr>
          <w:rFonts w:hint="eastAsia"/>
          <w:sz w:val="30"/>
          <w:szCs w:val="30"/>
        </w:rPr>
      </w:pPr>
    </w:p>
    <w:p w14:paraId="45755218">
      <w:pPr>
        <w:pStyle w:val="9"/>
        <w:spacing w:before="10"/>
        <w:ind w:left="0"/>
        <w:jc w:val="left"/>
        <w:rPr>
          <w:rFonts w:hint="eastAsia"/>
          <w:sz w:val="30"/>
          <w:szCs w:val="30"/>
        </w:rPr>
      </w:pPr>
      <w:r>
        <w:rPr>
          <w:rFonts w:hint="eastAsia"/>
          <w:sz w:val="30"/>
          <w:szCs w:val="30"/>
        </w:rPr>
        <w:t>Similarly, he predicts that before the manifestation of the Man of Lawlessness a “rebellion” will occur, a global rejection of the Law, Gospel, and (true) people of God (2 Thess. 2:3).</w:t>
      </w:r>
    </w:p>
    <w:p w14:paraId="0F3D1A9D">
      <w:pPr>
        <w:pStyle w:val="9"/>
        <w:spacing w:before="10"/>
        <w:ind w:left="0"/>
        <w:jc w:val="left"/>
        <w:rPr>
          <w:rFonts w:hint="eastAsia"/>
          <w:sz w:val="30"/>
          <w:szCs w:val="30"/>
        </w:rPr>
      </w:pPr>
      <w:r>
        <w:rPr>
          <w:rFonts w:hint="eastAsia"/>
          <w:sz w:val="30"/>
          <w:szCs w:val="30"/>
        </w:rPr>
        <w:t>同样，他预言在不法之人显露之前，将有一次“背道”发生，即对上帝的律法、福音和（真）子民的全球性拒绝（帖后2:3）。</w:t>
      </w:r>
    </w:p>
    <w:p w14:paraId="2A923F34">
      <w:pPr>
        <w:pStyle w:val="9"/>
        <w:spacing w:before="10"/>
        <w:ind w:left="0"/>
        <w:jc w:val="left"/>
        <w:rPr>
          <w:rFonts w:hint="eastAsia"/>
          <w:sz w:val="30"/>
          <w:szCs w:val="30"/>
        </w:rPr>
      </w:pPr>
    </w:p>
    <w:p w14:paraId="601D2C4A">
      <w:pPr>
        <w:pStyle w:val="9"/>
        <w:spacing w:before="10"/>
        <w:ind w:left="0"/>
        <w:jc w:val="left"/>
        <w:rPr>
          <w:rFonts w:hint="eastAsia"/>
          <w:sz w:val="30"/>
          <w:szCs w:val="30"/>
        </w:rPr>
      </w:pPr>
      <w:r>
        <w:rPr>
          <w:rFonts w:hint="eastAsia"/>
          <w:sz w:val="30"/>
          <w:szCs w:val="30"/>
        </w:rPr>
        <w:t>Yes, the Church will groan amidst this darkness; but because of it, her light will shine all the brighter, guiding frightened souls to her Lord and the true City of Refuge (Num. 35:9f, Isaiah 60:1-3, Mt. 5:14).</w:t>
      </w:r>
    </w:p>
    <w:p w14:paraId="20FE510F">
      <w:pPr>
        <w:pStyle w:val="9"/>
        <w:spacing w:before="10"/>
        <w:ind w:left="0"/>
        <w:jc w:val="left"/>
        <w:rPr>
          <w:rFonts w:hint="eastAsia"/>
          <w:sz w:val="30"/>
          <w:szCs w:val="30"/>
        </w:rPr>
      </w:pPr>
      <w:r>
        <w:rPr>
          <w:rFonts w:hint="eastAsia"/>
          <w:sz w:val="30"/>
          <w:szCs w:val="30"/>
        </w:rPr>
        <w:t>是的，教会将在这黑暗中呻吟；但因此，她的光将照得更亮，引导受惊的灵魂到她的主和那真正的逃城去（民数记35:9及以下，以赛亚书60:1-3，马太福音5:14）。</w:t>
      </w:r>
    </w:p>
    <w:p w14:paraId="361BDE42">
      <w:pPr>
        <w:pStyle w:val="9"/>
        <w:spacing w:before="10"/>
        <w:ind w:left="0"/>
        <w:jc w:val="left"/>
        <w:rPr>
          <w:rFonts w:hint="eastAsia"/>
          <w:sz w:val="30"/>
          <w:szCs w:val="30"/>
        </w:rPr>
      </w:pPr>
    </w:p>
    <w:p w14:paraId="411E281B">
      <w:pPr>
        <w:pStyle w:val="9"/>
        <w:spacing w:before="10"/>
        <w:ind w:left="0"/>
        <w:jc w:val="left"/>
        <w:rPr>
          <w:rFonts w:hint="eastAsia"/>
          <w:sz w:val="30"/>
          <w:szCs w:val="30"/>
        </w:rPr>
      </w:pPr>
      <w:r>
        <w:rPr>
          <w:rFonts w:hint="eastAsia"/>
          <w:sz w:val="30"/>
          <w:szCs w:val="30"/>
        </w:rPr>
        <w:t>This brings us to our fourth sign, The Last Battle (Rev. 16:12-16, 19:17- 21, 20:7-10).</w:t>
      </w:r>
    </w:p>
    <w:p w14:paraId="2F1031DB">
      <w:pPr>
        <w:pStyle w:val="9"/>
        <w:spacing w:before="10"/>
        <w:ind w:left="0"/>
        <w:jc w:val="left"/>
        <w:rPr>
          <w:rFonts w:hint="eastAsia"/>
          <w:sz w:val="30"/>
          <w:szCs w:val="30"/>
        </w:rPr>
      </w:pPr>
      <w:r>
        <w:rPr>
          <w:rFonts w:hint="eastAsia"/>
          <w:sz w:val="30"/>
          <w:szCs w:val="30"/>
        </w:rPr>
        <w:t>这就把我们带到了第四个预兆，末日争战（启16:12-16, 19:17-21, 20:7-10）。</w:t>
      </w:r>
    </w:p>
    <w:p w14:paraId="2293ED23">
      <w:pPr>
        <w:pStyle w:val="9"/>
        <w:spacing w:before="10"/>
        <w:ind w:left="0"/>
        <w:jc w:val="left"/>
        <w:rPr>
          <w:rFonts w:hint="eastAsia"/>
          <w:sz w:val="30"/>
          <w:szCs w:val="30"/>
        </w:rPr>
      </w:pPr>
    </w:p>
    <w:p w14:paraId="09775749">
      <w:pPr>
        <w:pStyle w:val="9"/>
        <w:spacing w:before="10"/>
        <w:ind w:left="0"/>
        <w:jc w:val="left"/>
        <w:rPr>
          <w:rFonts w:hint="eastAsia"/>
          <w:sz w:val="30"/>
          <w:szCs w:val="30"/>
        </w:rPr>
      </w:pPr>
      <w:r>
        <w:rPr>
          <w:rFonts w:hint="eastAsia"/>
          <w:sz w:val="30"/>
          <w:szCs w:val="30"/>
        </w:rPr>
        <w:t>It will commence with the rise to power of the Man of Lawlessness (2 Thess. 2:1f), also called the Antichrist (1 John 2:18).</w:t>
      </w:r>
    </w:p>
    <w:p w14:paraId="365E9384">
      <w:pPr>
        <w:pStyle w:val="9"/>
        <w:spacing w:before="10"/>
        <w:ind w:left="0"/>
        <w:jc w:val="left"/>
        <w:rPr>
          <w:rFonts w:hint="eastAsia"/>
          <w:sz w:val="30"/>
          <w:szCs w:val="30"/>
        </w:rPr>
      </w:pPr>
      <w:r>
        <w:rPr>
          <w:rFonts w:hint="eastAsia"/>
          <w:sz w:val="30"/>
          <w:szCs w:val="30"/>
        </w:rPr>
        <w:t>它将以不法之人的掌权（帖后2:1及以下）开始，他也叫敌基督（约翰一书2:18）。</w:t>
      </w:r>
    </w:p>
    <w:p w14:paraId="1DCF4AF3">
      <w:pPr>
        <w:pStyle w:val="9"/>
        <w:spacing w:before="10"/>
        <w:ind w:left="0"/>
        <w:jc w:val="left"/>
        <w:rPr>
          <w:rFonts w:hint="eastAsia"/>
          <w:sz w:val="30"/>
          <w:szCs w:val="30"/>
        </w:rPr>
      </w:pPr>
    </w:p>
    <w:p w14:paraId="4D9878FB">
      <w:pPr>
        <w:pStyle w:val="9"/>
        <w:spacing w:before="10"/>
        <w:ind w:left="0"/>
        <w:jc w:val="left"/>
        <w:rPr>
          <w:rFonts w:hint="eastAsia"/>
          <w:sz w:val="30"/>
          <w:szCs w:val="30"/>
        </w:rPr>
      </w:pPr>
      <w:r>
        <w:rPr>
          <w:rFonts w:hint="eastAsia"/>
          <w:sz w:val="30"/>
          <w:szCs w:val="30"/>
        </w:rPr>
        <w:t>A true person, the Bible characterizes him as a satanically energized world leader with pretensions to deity, who, by means of persuasive words and miraculous powers, will succeed in consolidating the entire fallen world- system around himself and against the people of God (Rev. 13:3).</w:t>
      </w:r>
    </w:p>
    <w:p w14:paraId="19AE581E">
      <w:pPr>
        <w:pStyle w:val="9"/>
        <w:spacing w:before="10"/>
        <w:ind w:left="0"/>
        <w:jc w:val="left"/>
        <w:rPr>
          <w:rFonts w:hint="eastAsia"/>
          <w:sz w:val="30"/>
          <w:szCs w:val="30"/>
        </w:rPr>
      </w:pPr>
      <w:r>
        <w:rPr>
          <w:rFonts w:hint="eastAsia"/>
          <w:sz w:val="30"/>
          <w:szCs w:val="30"/>
        </w:rPr>
        <w:t>圣经将他描述为一个真实的人，一个被撒但赋予能力的、自称是神的世界领袖，他将借着有说服力的话语和神奇的力量，成功地将整个堕落的世界体系团结在自己周围，与上帝的子民为敌（启13:3）。</w:t>
      </w:r>
    </w:p>
    <w:p w14:paraId="7875C015">
      <w:pPr>
        <w:pStyle w:val="9"/>
        <w:spacing w:before="10"/>
        <w:ind w:left="0"/>
        <w:jc w:val="left"/>
        <w:rPr>
          <w:rFonts w:hint="eastAsia"/>
          <w:sz w:val="30"/>
          <w:szCs w:val="30"/>
        </w:rPr>
      </w:pPr>
    </w:p>
    <w:p w14:paraId="7AAF6755">
      <w:pPr>
        <w:pStyle w:val="9"/>
        <w:spacing w:before="10"/>
        <w:ind w:left="0"/>
        <w:jc w:val="left"/>
        <w:rPr>
          <w:rFonts w:hint="eastAsia"/>
          <w:sz w:val="30"/>
          <w:szCs w:val="30"/>
        </w:rPr>
      </w:pPr>
      <w:r>
        <w:rPr>
          <w:rFonts w:hint="eastAsia"/>
          <w:sz w:val="30"/>
          <w:szCs w:val="30"/>
        </w:rPr>
        <w:t>The resulting persecution, global in scale and ferocious in intensity, will culminate in the apparent demise of the true spiritual Church.</w:t>
      </w:r>
    </w:p>
    <w:p w14:paraId="2E2A1142">
      <w:pPr>
        <w:pStyle w:val="9"/>
        <w:spacing w:before="10"/>
        <w:ind w:left="0"/>
        <w:jc w:val="left"/>
        <w:rPr>
          <w:rFonts w:hint="eastAsia"/>
          <w:sz w:val="30"/>
          <w:szCs w:val="30"/>
        </w:rPr>
      </w:pPr>
      <w:r>
        <w:rPr>
          <w:rFonts w:hint="eastAsia"/>
          <w:sz w:val="30"/>
          <w:szCs w:val="30"/>
        </w:rPr>
        <w:t>由此产生的迫害，其规模是全球性的，其强度是猛烈的，将以真正的属灵教会的明显灭亡而告终。</w:t>
      </w:r>
    </w:p>
    <w:p w14:paraId="5D491D04">
      <w:pPr>
        <w:pStyle w:val="9"/>
        <w:spacing w:before="10"/>
        <w:ind w:left="0"/>
        <w:jc w:val="left"/>
        <w:rPr>
          <w:rFonts w:hint="eastAsia"/>
          <w:sz w:val="30"/>
          <w:szCs w:val="30"/>
        </w:rPr>
      </w:pPr>
    </w:p>
    <w:p w14:paraId="0A08B46E">
      <w:pPr>
        <w:pStyle w:val="9"/>
        <w:spacing w:before="10"/>
        <w:ind w:left="0"/>
        <w:jc w:val="left"/>
        <w:rPr>
          <w:rFonts w:hint="eastAsia"/>
          <w:sz w:val="30"/>
          <w:szCs w:val="30"/>
        </w:rPr>
      </w:pPr>
      <w:r>
        <w:rPr>
          <w:rFonts w:hint="eastAsia"/>
          <w:sz w:val="30"/>
          <w:szCs w:val="30"/>
        </w:rPr>
        <w:t>She will lie “… dead in the street of the great city which mystically is called Sodom and Egypt, where also (her) Lord was crucified” (Rev. 11:7-10; Mt. 24:15, Rev. 16:12-16, 20:7-10).</w:t>
      </w:r>
    </w:p>
    <w:p w14:paraId="6B18D007">
      <w:pPr>
        <w:pStyle w:val="9"/>
        <w:spacing w:before="10"/>
        <w:ind w:left="0"/>
        <w:jc w:val="left"/>
        <w:rPr>
          <w:rFonts w:hint="eastAsia"/>
          <w:sz w:val="30"/>
          <w:szCs w:val="30"/>
        </w:rPr>
      </w:pPr>
      <w:r>
        <w:rPr>
          <w:rFonts w:hint="eastAsia"/>
          <w:sz w:val="30"/>
          <w:szCs w:val="30"/>
        </w:rPr>
        <w:t>她将躺在“……那大城的街上；这城按着灵意叫所多玛，又叫埃及，就是（她）主钉十字架之处”（启11:7-10；太24:15，启16:12-16, 20:7-10）。</w:t>
      </w:r>
    </w:p>
    <w:p w14:paraId="781C73D8">
      <w:pPr>
        <w:pStyle w:val="9"/>
        <w:spacing w:before="10"/>
        <w:ind w:left="0"/>
        <w:jc w:val="left"/>
        <w:rPr>
          <w:rFonts w:hint="eastAsia"/>
          <w:sz w:val="30"/>
          <w:szCs w:val="30"/>
        </w:rPr>
      </w:pPr>
    </w:p>
    <w:p w14:paraId="05A47CC0">
      <w:pPr>
        <w:pStyle w:val="9"/>
        <w:spacing w:before="10"/>
        <w:ind w:left="0"/>
        <w:jc w:val="left"/>
        <w:rPr>
          <w:rFonts w:hint="eastAsia"/>
          <w:sz w:val="30"/>
          <w:szCs w:val="30"/>
        </w:rPr>
      </w:pPr>
      <w:r>
        <w:rPr>
          <w:rFonts w:hint="eastAsia"/>
          <w:sz w:val="30"/>
          <w:szCs w:val="30"/>
        </w:rPr>
        <w:t>It was this final, end time persecution—and not simply the destruction of Jerusalem—that Jesus had in view when he warned his disciples, saying, “For then there will be great tribulation, such as has not been since the beginning of the world until this time, no, nor ever shall be” (Mt. 24:21).</w:t>
      </w:r>
    </w:p>
    <w:p w14:paraId="05E9A3E2">
      <w:pPr>
        <w:pStyle w:val="9"/>
        <w:spacing w:before="10"/>
        <w:ind w:left="0"/>
        <w:jc w:val="left"/>
        <w:rPr>
          <w:rFonts w:hint="eastAsia"/>
          <w:sz w:val="30"/>
          <w:szCs w:val="30"/>
        </w:rPr>
      </w:pPr>
      <w:r>
        <w:rPr>
          <w:rFonts w:hint="eastAsia"/>
          <w:sz w:val="30"/>
          <w:szCs w:val="30"/>
        </w:rPr>
        <w:t>正是这最后的、末时的迫害——而不仅仅是耶路撒冷的毁灭——是耶稣心中所想的，当祂警告祂的门徒说：“因为那时必有大灾难，从世界的起头直到如今，没有这样的灾难，后来也必没有”（太24:21）。</w:t>
      </w:r>
    </w:p>
    <w:p w14:paraId="5E2249C7">
      <w:pPr>
        <w:pStyle w:val="9"/>
        <w:spacing w:before="10"/>
        <w:ind w:left="0"/>
        <w:jc w:val="left"/>
        <w:rPr>
          <w:rFonts w:hint="eastAsia"/>
          <w:sz w:val="30"/>
          <w:szCs w:val="30"/>
        </w:rPr>
      </w:pPr>
    </w:p>
    <w:p w14:paraId="60B361CA">
      <w:pPr>
        <w:pStyle w:val="9"/>
        <w:spacing w:before="10"/>
        <w:ind w:left="0"/>
        <w:jc w:val="left"/>
        <w:rPr>
          <w:rFonts w:hint="eastAsia"/>
          <w:sz w:val="30"/>
          <w:szCs w:val="30"/>
        </w:rPr>
      </w:pPr>
      <w:r>
        <w:rPr>
          <w:rFonts w:hint="eastAsia"/>
          <w:sz w:val="30"/>
          <w:szCs w:val="30"/>
        </w:rPr>
        <w:t>It should not be supposed, however, that the Church alone will endure the tribulation of those dark days.</w:t>
      </w:r>
    </w:p>
    <w:p w14:paraId="4FB3D124">
      <w:pPr>
        <w:pStyle w:val="9"/>
        <w:spacing w:before="10"/>
        <w:ind w:left="0"/>
        <w:jc w:val="left"/>
        <w:rPr>
          <w:rFonts w:hint="eastAsia"/>
          <w:sz w:val="30"/>
          <w:szCs w:val="30"/>
        </w:rPr>
      </w:pPr>
      <w:r>
        <w:rPr>
          <w:rFonts w:hint="eastAsia"/>
          <w:sz w:val="30"/>
          <w:szCs w:val="30"/>
        </w:rPr>
        <w:t>然而，不应假设只有教会才会忍受那些黑暗日子的患难。</w:t>
      </w:r>
    </w:p>
    <w:p w14:paraId="76F3DFA9">
      <w:pPr>
        <w:pStyle w:val="9"/>
        <w:spacing w:before="10"/>
        <w:ind w:left="0"/>
        <w:jc w:val="left"/>
        <w:rPr>
          <w:rFonts w:hint="eastAsia"/>
          <w:sz w:val="30"/>
          <w:szCs w:val="30"/>
        </w:rPr>
      </w:pPr>
    </w:p>
    <w:p w14:paraId="70F9C418">
      <w:pPr>
        <w:pStyle w:val="9"/>
        <w:spacing w:before="10"/>
        <w:ind w:left="0"/>
        <w:jc w:val="left"/>
        <w:rPr>
          <w:rFonts w:hint="eastAsia"/>
          <w:sz w:val="30"/>
          <w:szCs w:val="30"/>
        </w:rPr>
      </w:pPr>
      <w:r>
        <w:rPr>
          <w:rFonts w:hint="eastAsia"/>
          <w:sz w:val="30"/>
          <w:szCs w:val="30"/>
        </w:rPr>
        <w:t>For God—responding to the final assault of evil against his Christ, his truth, and his people—will bring wave upon wave of judgment against the rebellious nations.</w:t>
      </w:r>
    </w:p>
    <w:p w14:paraId="5BD624D6">
      <w:pPr>
        <w:pStyle w:val="9"/>
        <w:spacing w:before="10"/>
        <w:ind w:left="0"/>
        <w:jc w:val="left"/>
        <w:rPr>
          <w:rFonts w:hint="eastAsia"/>
          <w:sz w:val="30"/>
          <w:szCs w:val="30"/>
        </w:rPr>
      </w:pPr>
      <w:r>
        <w:rPr>
          <w:rFonts w:hint="eastAsia"/>
          <w:sz w:val="30"/>
          <w:szCs w:val="30"/>
        </w:rPr>
        <w:t>因为上帝——回应邪恶对祂的基督、祂的真理和祂的子民的最后攻击——将一波又一波地审判悖逆的列国。</w:t>
      </w:r>
    </w:p>
    <w:p w14:paraId="6AEE307E">
      <w:pPr>
        <w:pStyle w:val="9"/>
        <w:spacing w:before="10"/>
        <w:ind w:left="0"/>
        <w:jc w:val="left"/>
        <w:rPr>
          <w:rFonts w:hint="eastAsia"/>
          <w:sz w:val="30"/>
          <w:szCs w:val="30"/>
        </w:rPr>
      </w:pPr>
    </w:p>
    <w:p w14:paraId="338C341A">
      <w:pPr>
        <w:pStyle w:val="9"/>
        <w:spacing w:before="10"/>
        <w:ind w:left="0"/>
        <w:jc w:val="left"/>
        <w:rPr>
          <w:rFonts w:hint="eastAsia"/>
          <w:sz w:val="30"/>
          <w:szCs w:val="30"/>
        </w:rPr>
      </w:pPr>
      <w:r>
        <w:rPr>
          <w:rFonts w:hint="eastAsia"/>
          <w:sz w:val="30"/>
          <w:szCs w:val="30"/>
        </w:rPr>
        <w:t>As the end draws near, they will increase in number and intensity, with less and less time in between for (a dangerously deceptive) “business as usual” (Mt. 24:36-44, 1 Thess. 5:1-3).</w:t>
      </w:r>
    </w:p>
    <w:p w14:paraId="68B79AB0">
      <w:pPr>
        <w:pStyle w:val="9"/>
        <w:spacing w:before="10"/>
        <w:ind w:left="0"/>
        <w:jc w:val="left"/>
        <w:rPr>
          <w:rFonts w:hint="eastAsia"/>
          <w:sz w:val="30"/>
          <w:szCs w:val="30"/>
        </w:rPr>
      </w:pPr>
      <w:r>
        <w:rPr>
          <w:rFonts w:hint="eastAsia"/>
          <w:sz w:val="30"/>
          <w:szCs w:val="30"/>
        </w:rPr>
        <w:t>随着末日的临近，它们的数量和强度将增加，而（危险地欺骗性的）“一切照旧”的时间间隔将越来越短（太24:36-44，帖前5:1-3）。</w:t>
      </w:r>
    </w:p>
    <w:p w14:paraId="7F9C5FB6">
      <w:pPr>
        <w:pStyle w:val="9"/>
        <w:spacing w:before="10"/>
        <w:ind w:left="0"/>
        <w:jc w:val="left"/>
        <w:rPr>
          <w:rFonts w:hint="eastAsia"/>
          <w:sz w:val="30"/>
          <w:szCs w:val="30"/>
        </w:rPr>
      </w:pPr>
    </w:p>
    <w:p w14:paraId="25CC856A">
      <w:pPr>
        <w:pStyle w:val="9"/>
        <w:spacing w:before="10"/>
        <w:ind w:left="0"/>
        <w:jc w:val="left"/>
        <w:rPr>
          <w:rFonts w:hint="eastAsia"/>
          <w:sz w:val="30"/>
          <w:szCs w:val="30"/>
        </w:rPr>
      </w:pPr>
      <w:r>
        <w:rPr>
          <w:rFonts w:hint="eastAsia"/>
          <w:sz w:val="30"/>
          <w:szCs w:val="30"/>
        </w:rPr>
        <w:t>Here then is the fifth and final sign of the imminence of the end: stupendous disruptions in nature and society.</w:t>
      </w:r>
    </w:p>
    <w:p w14:paraId="7BE70F49">
      <w:pPr>
        <w:pStyle w:val="9"/>
        <w:spacing w:before="10"/>
        <w:ind w:left="0"/>
        <w:jc w:val="left"/>
        <w:rPr>
          <w:rFonts w:hint="eastAsia"/>
          <w:sz w:val="30"/>
          <w:szCs w:val="30"/>
        </w:rPr>
      </w:pPr>
      <w:r>
        <w:rPr>
          <w:rFonts w:hint="eastAsia"/>
          <w:sz w:val="30"/>
          <w:szCs w:val="30"/>
        </w:rPr>
        <w:t>因此，这里是末日迫近的第五个也是最后一个预兆：自然和社会中巨大的混乱。</w:t>
      </w:r>
    </w:p>
    <w:p w14:paraId="7AD4EFD9">
      <w:pPr>
        <w:pStyle w:val="9"/>
        <w:spacing w:before="10"/>
        <w:ind w:left="0"/>
        <w:jc w:val="left"/>
        <w:rPr>
          <w:rFonts w:hint="eastAsia"/>
          <w:sz w:val="30"/>
          <w:szCs w:val="30"/>
        </w:rPr>
      </w:pPr>
    </w:p>
    <w:p w14:paraId="0A1127AB">
      <w:pPr>
        <w:pStyle w:val="9"/>
        <w:spacing w:before="10"/>
        <w:ind w:left="0"/>
        <w:jc w:val="left"/>
        <w:rPr>
          <w:rFonts w:hint="eastAsia"/>
          <w:sz w:val="30"/>
          <w:szCs w:val="30"/>
        </w:rPr>
      </w:pPr>
      <w:r>
        <w:rPr>
          <w:rFonts w:hint="eastAsia"/>
          <w:sz w:val="30"/>
          <w:szCs w:val="30"/>
        </w:rPr>
        <w:t>They are both “death throes” and “birth pangs.”</w:t>
      </w:r>
    </w:p>
    <w:p w14:paraId="33DF5524">
      <w:pPr>
        <w:pStyle w:val="9"/>
        <w:spacing w:before="10"/>
        <w:ind w:left="0"/>
        <w:jc w:val="left"/>
        <w:rPr>
          <w:rFonts w:hint="eastAsia"/>
          <w:sz w:val="30"/>
          <w:szCs w:val="30"/>
        </w:rPr>
      </w:pPr>
      <w:r>
        <w:rPr>
          <w:rFonts w:hint="eastAsia"/>
          <w:sz w:val="30"/>
          <w:szCs w:val="30"/>
        </w:rPr>
        <w:t>它们既是“死亡的阵痛”，也是“生产的阵痛”。</w:t>
      </w:r>
    </w:p>
    <w:p w14:paraId="2BFFA2AB">
      <w:pPr>
        <w:pStyle w:val="9"/>
        <w:spacing w:before="10"/>
        <w:ind w:left="0"/>
        <w:jc w:val="left"/>
        <w:rPr>
          <w:rFonts w:hint="eastAsia"/>
          <w:sz w:val="30"/>
          <w:szCs w:val="30"/>
        </w:rPr>
      </w:pPr>
    </w:p>
    <w:p w14:paraId="53619A63">
      <w:pPr>
        <w:pStyle w:val="9"/>
        <w:spacing w:before="10"/>
        <w:ind w:left="0"/>
        <w:jc w:val="left"/>
        <w:rPr>
          <w:rFonts w:hint="eastAsia"/>
          <w:sz w:val="30"/>
          <w:szCs w:val="30"/>
        </w:rPr>
      </w:pPr>
      <w:r>
        <w:rPr>
          <w:rFonts w:hint="eastAsia"/>
          <w:sz w:val="30"/>
          <w:szCs w:val="30"/>
        </w:rPr>
        <w:t>On the one hand, they signal the imminent destruction of Satan’s evil kingdom.</w:t>
      </w:r>
    </w:p>
    <w:p w14:paraId="0EDDE2ED">
      <w:pPr>
        <w:pStyle w:val="9"/>
        <w:spacing w:before="10"/>
        <w:ind w:left="0"/>
        <w:jc w:val="left"/>
        <w:rPr>
          <w:rFonts w:hint="eastAsia"/>
          <w:sz w:val="30"/>
          <w:szCs w:val="30"/>
        </w:rPr>
      </w:pPr>
      <w:r>
        <w:rPr>
          <w:rFonts w:hint="eastAsia"/>
          <w:sz w:val="30"/>
          <w:szCs w:val="30"/>
        </w:rPr>
        <w:t>一方面，它们预示着撒但邪恶国度的即将毁灭。</w:t>
      </w:r>
    </w:p>
    <w:p w14:paraId="7FA34E8A">
      <w:pPr>
        <w:pStyle w:val="9"/>
        <w:spacing w:before="10"/>
        <w:ind w:left="0"/>
        <w:jc w:val="left"/>
        <w:rPr>
          <w:rFonts w:hint="eastAsia"/>
          <w:sz w:val="30"/>
          <w:szCs w:val="30"/>
        </w:rPr>
      </w:pPr>
    </w:p>
    <w:p w14:paraId="1F22101E">
      <w:pPr>
        <w:pStyle w:val="9"/>
        <w:spacing w:before="10"/>
        <w:ind w:left="0"/>
        <w:jc w:val="left"/>
        <w:rPr>
          <w:rFonts w:hint="eastAsia"/>
          <w:sz w:val="30"/>
          <w:szCs w:val="30"/>
        </w:rPr>
      </w:pPr>
      <w:r>
        <w:rPr>
          <w:rFonts w:hint="eastAsia"/>
          <w:sz w:val="30"/>
          <w:szCs w:val="30"/>
        </w:rPr>
        <w:t>As such, they are meant as trumpets, mercifully warning sinners of the Judgment soon to come, and giving them one final opportunity to repent.</w:t>
      </w:r>
    </w:p>
    <w:p w14:paraId="25C0E7DB">
      <w:pPr>
        <w:pStyle w:val="9"/>
        <w:spacing w:before="10"/>
        <w:ind w:left="0"/>
        <w:jc w:val="left"/>
        <w:rPr>
          <w:rFonts w:hint="eastAsia"/>
          <w:sz w:val="30"/>
          <w:szCs w:val="30"/>
        </w:rPr>
      </w:pPr>
      <w:r>
        <w:rPr>
          <w:rFonts w:hint="eastAsia"/>
          <w:sz w:val="30"/>
          <w:szCs w:val="30"/>
        </w:rPr>
        <w:t>因此，它们意在作为号筒，仁慈地警告罪人即将到来的审判，并给他们最后一次悔改的机会。</w:t>
      </w:r>
    </w:p>
    <w:p w14:paraId="5B96D7B2">
      <w:pPr>
        <w:pStyle w:val="9"/>
        <w:spacing w:before="10"/>
        <w:ind w:left="0"/>
        <w:jc w:val="left"/>
        <w:rPr>
          <w:rFonts w:hint="eastAsia"/>
          <w:sz w:val="30"/>
          <w:szCs w:val="30"/>
        </w:rPr>
      </w:pPr>
    </w:p>
    <w:p w14:paraId="371DABA5">
      <w:pPr>
        <w:pStyle w:val="9"/>
        <w:spacing w:before="10"/>
        <w:ind w:left="0"/>
        <w:jc w:val="left"/>
        <w:rPr>
          <w:rFonts w:hint="eastAsia"/>
          <w:sz w:val="30"/>
          <w:szCs w:val="30"/>
        </w:rPr>
      </w:pPr>
      <w:r>
        <w:rPr>
          <w:rFonts w:hint="eastAsia"/>
          <w:sz w:val="30"/>
          <w:szCs w:val="30"/>
        </w:rPr>
        <w:t>On the other hand, these disruptions signal the imminent birth of God’s Kingdom in its glorious fullness.</w:t>
      </w:r>
    </w:p>
    <w:p w14:paraId="30FE0A6B">
      <w:pPr>
        <w:pStyle w:val="9"/>
        <w:spacing w:before="10"/>
        <w:ind w:left="0"/>
        <w:jc w:val="left"/>
        <w:rPr>
          <w:rFonts w:hint="eastAsia"/>
          <w:sz w:val="30"/>
          <w:szCs w:val="30"/>
        </w:rPr>
      </w:pPr>
      <w:r>
        <w:rPr>
          <w:rFonts w:hint="eastAsia"/>
          <w:sz w:val="30"/>
          <w:szCs w:val="30"/>
        </w:rPr>
        <w:t>另一方面，这些混乱预示着上帝之国荣耀丰满的即将诞生。</w:t>
      </w:r>
    </w:p>
    <w:p w14:paraId="63629A85">
      <w:pPr>
        <w:pStyle w:val="9"/>
        <w:spacing w:before="10"/>
        <w:ind w:left="0"/>
        <w:jc w:val="left"/>
        <w:rPr>
          <w:rFonts w:hint="eastAsia"/>
          <w:sz w:val="30"/>
          <w:szCs w:val="30"/>
        </w:rPr>
      </w:pPr>
    </w:p>
    <w:p w14:paraId="243648BE">
      <w:pPr>
        <w:pStyle w:val="9"/>
        <w:spacing w:before="10"/>
        <w:ind w:left="0"/>
        <w:jc w:val="left"/>
        <w:rPr>
          <w:rFonts w:hint="eastAsia"/>
          <w:sz w:val="30"/>
          <w:szCs w:val="30"/>
        </w:rPr>
      </w:pPr>
      <w:r>
        <w:rPr>
          <w:rFonts w:hint="eastAsia"/>
          <w:sz w:val="30"/>
          <w:szCs w:val="30"/>
        </w:rPr>
        <w:t>As such, they are meant to give insight and courage to the saints (Dan. 12:10, Mt. 24:8).</w:t>
      </w:r>
    </w:p>
    <w:p w14:paraId="0692B83F">
      <w:pPr>
        <w:pStyle w:val="9"/>
        <w:spacing w:before="10"/>
        <w:ind w:left="0"/>
        <w:jc w:val="left"/>
        <w:rPr>
          <w:rFonts w:hint="eastAsia"/>
          <w:sz w:val="30"/>
          <w:szCs w:val="30"/>
        </w:rPr>
      </w:pPr>
      <w:r>
        <w:rPr>
          <w:rFonts w:hint="eastAsia"/>
          <w:sz w:val="30"/>
          <w:szCs w:val="30"/>
        </w:rPr>
        <w:t>因此，它们的意图是给圣徒们洞察力和勇气（但12:10，太24:8）。</w:t>
      </w:r>
    </w:p>
    <w:p w14:paraId="30AFCB5E">
      <w:pPr>
        <w:pStyle w:val="9"/>
        <w:spacing w:before="10"/>
        <w:ind w:left="0"/>
        <w:jc w:val="left"/>
        <w:rPr>
          <w:rFonts w:hint="eastAsia"/>
          <w:sz w:val="30"/>
          <w:szCs w:val="30"/>
        </w:rPr>
      </w:pPr>
    </w:p>
    <w:p w14:paraId="2067CC23">
      <w:pPr>
        <w:pStyle w:val="9"/>
        <w:spacing w:before="10"/>
        <w:ind w:left="0"/>
        <w:jc w:val="left"/>
        <w:rPr>
          <w:rFonts w:hint="eastAsia"/>
          <w:sz w:val="30"/>
          <w:szCs w:val="30"/>
        </w:rPr>
      </w:pPr>
      <w:r>
        <w:rPr>
          <w:rFonts w:hint="eastAsia"/>
          <w:sz w:val="30"/>
          <w:szCs w:val="30"/>
        </w:rPr>
        <w:t>Speaking of these extraordinary events, Jesus remarked as follows:</w:t>
      </w:r>
    </w:p>
    <w:p w14:paraId="5F4012E4">
      <w:pPr>
        <w:pStyle w:val="9"/>
        <w:spacing w:before="10"/>
        <w:ind w:left="0"/>
        <w:jc w:val="left"/>
        <w:rPr>
          <w:rFonts w:hint="eastAsia"/>
          <w:sz w:val="30"/>
          <w:szCs w:val="30"/>
        </w:rPr>
      </w:pPr>
      <w:r>
        <w:rPr>
          <w:rFonts w:hint="eastAsia"/>
          <w:sz w:val="30"/>
          <w:szCs w:val="30"/>
        </w:rPr>
        <w:t>谈到这些非凡的事件，耶稣如此评论道：</w:t>
      </w:r>
    </w:p>
    <w:p w14:paraId="08A05211">
      <w:pPr>
        <w:pStyle w:val="9"/>
        <w:spacing w:before="10"/>
        <w:ind w:left="0"/>
        <w:jc w:val="left"/>
        <w:rPr>
          <w:rFonts w:hint="eastAsia"/>
          <w:sz w:val="30"/>
          <w:szCs w:val="30"/>
        </w:rPr>
      </w:pPr>
    </w:p>
    <w:p w14:paraId="772A0169">
      <w:pPr>
        <w:pStyle w:val="9"/>
        <w:spacing w:before="10"/>
        <w:ind w:left="0"/>
        <w:jc w:val="left"/>
        <w:rPr>
          <w:rFonts w:hint="eastAsia"/>
          <w:sz w:val="30"/>
          <w:szCs w:val="30"/>
        </w:rPr>
      </w:pPr>
      <w:r>
        <w:rPr>
          <w:rFonts w:hint="eastAsia"/>
          <w:sz w:val="30"/>
          <w:szCs w:val="30"/>
        </w:rPr>
        <w:t>And there will be signs in the sun, in the moon, and in the stars; and on the earth distress of nations, with perplexity; the sea and the waves roaring, men’s hearts failing them from fear at the expectation of those things which are coming on the earth, for the powers of the heavens will be shaken … And unless those days were shortened, no flesh would be saved; but for the elect’s sake, those days will be shortened.</w:t>
      </w:r>
    </w:p>
    <w:p w14:paraId="0AFC4878">
      <w:pPr>
        <w:pStyle w:val="9"/>
        <w:spacing w:before="10"/>
        <w:ind w:left="0"/>
        <w:jc w:val="left"/>
        <w:rPr>
          <w:rFonts w:hint="eastAsia"/>
          <w:sz w:val="30"/>
          <w:szCs w:val="30"/>
        </w:rPr>
      </w:pPr>
      <w:r>
        <w:rPr>
          <w:rFonts w:hint="eastAsia"/>
          <w:sz w:val="30"/>
          <w:szCs w:val="30"/>
        </w:rPr>
        <w:t>日月星辰要显出异兆；地上的邦国也有困苦，因海中波浪的响声，就惊慌失措；人想起那将要临到世界的事，就都吓得魂不附体，因为天势都要震动……若不减少那日子，凡有血气的总没有一个得救的；只是为选民，那日子必减少了。</w:t>
      </w:r>
    </w:p>
    <w:p w14:paraId="7FE7A5A5">
      <w:pPr>
        <w:pStyle w:val="9"/>
        <w:spacing w:before="10"/>
        <w:ind w:left="0"/>
        <w:jc w:val="left"/>
        <w:rPr>
          <w:rFonts w:hint="eastAsia"/>
          <w:sz w:val="30"/>
          <w:szCs w:val="30"/>
        </w:rPr>
      </w:pPr>
    </w:p>
    <w:p w14:paraId="60D6C197">
      <w:pPr>
        <w:pStyle w:val="9"/>
        <w:spacing w:before="10"/>
        <w:ind w:left="0"/>
        <w:jc w:val="left"/>
        <w:rPr>
          <w:rFonts w:hint="eastAsia"/>
          <w:sz w:val="30"/>
          <w:szCs w:val="30"/>
        </w:rPr>
      </w:pPr>
      <w:r>
        <w:rPr>
          <w:rFonts w:hint="eastAsia"/>
          <w:sz w:val="30"/>
          <w:szCs w:val="30"/>
        </w:rPr>
        <w:t>—Luke 21:10-11, 25-26; Mt. 24:21-22</w:t>
      </w:r>
    </w:p>
    <w:p w14:paraId="2FC8A506">
      <w:pPr>
        <w:pStyle w:val="9"/>
        <w:spacing w:before="10"/>
        <w:ind w:left="0"/>
        <w:jc w:val="left"/>
        <w:rPr>
          <w:rFonts w:hint="eastAsia"/>
          <w:sz w:val="30"/>
          <w:szCs w:val="30"/>
        </w:rPr>
      </w:pPr>
      <w:r>
        <w:rPr>
          <w:rFonts w:hint="eastAsia"/>
          <w:sz w:val="30"/>
          <w:szCs w:val="30"/>
        </w:rPr>
        <w:t>——路加福音21:10-11, 25-26；马太福音24:21-22</w:t>
      </w:r>
    </w:p>
    <w:p w14:paraId="4A5FD320">
      <w:pPr>
        <w:pStyle w:val="9"/>
        <w:spacing w:before="10"/>
        <w:ind w:left="0"/>
        <w:jc w:val="left"/>
        <w:rPr>
          <w:rFonts w:hint="eastAsia"/>
          <w:sz w:val="30"/>
          <w:szCs w:val="30"/>
        </w:rPr>
      </w:pPr>
    </w:p>
    <w:p w14:paraId="4FD72D39">
      <w:pPr>
        <w:pStyle w:val="9"/>
        <w:spacing w:before="10"/>
        <w:ind w:left="0"/>
        <w:jc w:val="left"/>
        <w:rPr>
          <w:rFonts w:hint="eastAsia"/>
          <w:sz w:val="30"/>
          <w:szCs w:val="30"/>
        </w:rPr>
      </w:pPr>
      <w:r>
        <w:rPr>
          <w:rFonts w:hint="eastAsia"/>
          <w:sz w:val="30"/>
          <w:szCs w:val="30"/>
        </w:rPr>
        <w:t>It is easy to see why Christ and his apostles make these signs known to the disciples: How shall they endure such terrible tribulation unless they understand that it is part of God’s plan, that it will be ever so brief, and that it will both herald and trigger the return of their King—the One who will swiftly rescue them from their enemies and richly reward them with the unspeakable joys of the Kingdom of God (2 Thess. 1:3-10, Rev. 11:11-19, 20:9-10, 21-22)?</w:t>
      </w:r>
    </w:p>
    <w:p w14:paraId="484EBC9F">
      <w:pPr>
        <w:pStyle w:val="9"/>
        <w:spacing w:before="10"/>
        <w:ind w:left="0"/>
        <w:jc w:val="left"/>
        <w:rPr>
          <w:rFonts w:hint="eastAsia"/>
          <w:sz w:val="30"/>
          <w:szCs w:val="30"/>
        </w:rPr>
      </w:pPr>
      <w:r>
        <w:rPr>
          <w:rFonts w:hint="eastAsia"/>
          <w:sz w:val="30"/>
          <w:szCs w:val="30"/>
        </w:rPr>
        <w:t>很容易看出为何基督和祂的使徒们将这些预兆告诉门徒们：他们怎能忍受如此可怕的患难，除非他们明白这是上帝计划的一部分，它将极其短暂，并且它将既预示又触发他们君王的再来——那位将迅速地从他们的仇敌中拯救他们，并用上帝之国难以言喻的喜乐丰厚地赏赐他们的主（帖后1:3-10，启11:11-19, 20:9-10, 21-22）？</w:t>
      </w:r>
    </w:p>
    <w:p w14:paraId="605C532E">
      <w:pPr>
        <w:pStyle w:val="9"/>
        <w:spacing w:before="10"/>
        <w:ind w:left="0"/>
        <w:jc w:val="left"/>
        <w:rPr>
          <w:rFonts w:hint="eastAsia"/>
          <w:sz w:val="30"/>
          <w:szCs w:val="30"/>
        </w:rPr>
      </w:pPr>
    </w:p>
    <w:p w14:paraId="4FE03FBD">
      <w:pPr>
        <w:pStyle w:val="9"/>
        <w:spacing w:before="10"/>
        <w:ind w:left="0"/>
        <w:jc w:val="left"/>
        <w:rPr>
          <w:rFonts w:hint="eastAsia"/>
          <w:sz w:val="30"/>
          <w:szCs w:val="30"/>
        </w:rPr>
      </w:pPr>
      <w:r>
        <w:rPr>
          <w:rFonts w:hint="eastAsia"/>
          <w:sz w:val="30"/>
          <w:szCs w:val="30"/>
        </w:rPr>
        <w:t>In sum, Christ gave us these five signs in order to kindle hope: hope of serving him honorably and effectively in the last of the last days, hope of his Parousia, and hope of the consummate rescue and restoration it would bring.</w:t>
      </w:r>
    </w:p>
    <w:p w14:paraId="1664234E">
      <w:pPr>
        <w:pStyle w:val="9"/>
        <w:spacing w:before="10"/>
        <w:ind w:left="0"/>
        <w:jc w:val="left"/>
        <w:rPr>
          <w:rFonts w:hint="eastAsia"/>
          <w:sz w:val="30"/>
          <w:szCs w:val="30"/>
        </w:rPr>
      </w:pPr>
      <w:r>
        <w:rPr>
          <w:rFonts w:hint="eastAsia"/>
          <w:sz w:val="30"/>
          <w:szCs w:val="30"/>
        </w:rPr>
        <w:t>总而言之，基督给了我们这五个预兆，为要点燃盼望：盼望在末后的末期，能尊荣并有效地事奉祂，盼望祂的主临（Parousia），以及盼望它将带来的完全的拯救和恢复。</w:t>
      </w:r>
    </w:p>
    <w:p w14:paraId="3F05481D">
      <w:pPr>
        <w:pStyle w:val="9"/>
        <w:spacing w:before="10"/>
        <w:ind w:left="0"/>
        <w:jc w:val="left"/>
        <w:rPr>
          <w:rFonts w:hint="eastAsia"/>
          <w:sz w:val="30"/>
          <w:szCs w:val="30"/>
        </w:rPr>
      </w:pPr>
    </w:p>
    <w:p w14:paraId="743F06F2">
      <w:pPr>
        <w:pStyle w:val="9"/>
        <w:spacing w:before="10"/>
        <w:ind w:left="0"/>
        <w:jc w:val="left"/>
        <w:rPr>
          <w:rFonts w:hint="eastAsia"/>
          <w:sz w:val="30"/>
          <w:szCs w:val="30"/>
        </w:rPr>
      </w:pPr>
      <w:r>
        <w:rPr>
          <w:rFonts w:hint="eastAsia"/>
          <w:sz w:val="30"/>
          <w:szCs w:val="30"/>
        </w:rPr>
        <w:t>As he himself said, “When you see these things begin to take place, straighten up, and lift up your heads, for your redemption is drawing near” (Luke 21:28)!</w:t>
      </w:r>
    </w:p>
    <w:p w14:paraId="63E04FAB">
      <w:pPr>
        <w:pStyle w:val="9"/>
        <w:spacing w:before="10"/>
        <w:ind w:left="0"/>
        <w:jc w:val="left"/>
        <w:rPr>
          <w:rFonts w:hint="eastAsia"/>
          <w:sz w:val="30"/>
          <w:szCs w:val="30"/>
        </w:rPr>
      </w:pPr>
      <w:r>
        <w:rPr>
          <w:rFonts w:hint="eastAsia"/>
          <w:sz w:val="30"/>
          <w:szCs w:val="30"/>
        </w:rPr>
        <w:t>正如祂自己所说：“一有这些事，你们就当挺身昂首，因为你们得赎的日子近了”（路加福音21:28）！</w:t>
      </w:r>
    </w:p>
    <w:p w14:paraId="6309A99E">
      <w:pPr>
        <w:pStyle w:val="9"/>
        <w:spacing w:before="10"/>
        <w:ind w:left="0"/>
        <w:jc w:val="left"/>
        <w:rPr>
          <w:rFonts w:hint="eastAsia"/>
          <w:sz w:val="30"/>
          <w:szCs w:val="30"/>
        </w:rPr>
      </w:pPr>
    </w:p>
    <w:p w14:paraId="23A325DB">
      <w:pPr>
        <w:pStyle w:val="9"/>
        <w:spacing w:before="10"/>
        <w:ind w:left="0"/>
        <w:jc w:val="left"/>
        <w:rPr>
          <w:rFonts w:hint="eastAsia"/>
          <w:sz w:val="30"/>
          <w:szCs w:val="30"/>
        </w:rPr>
      </w:pPr>
      <w:r>
        <w:rPr>
          <w:rFonts w:hint="eastAsia"/>
          <w:sz w:val="30"/>
          <w:szCs w:val="30"/>
        </w:rPr>
        <w:t>The Parousia</w:t>
      </w:r>
    </w:p>
    <w:p w14:paraId="1EA9FA2A">
      <w:pPr>
        <w:pStyle w:val="9"/>
        <w:spacing w:before="10"/>
        <w:ind w:left="0"/>
        <w:jc w:val="left"/>
        <w:rPr>
          <w:rFonts w:hint="eastAsia"/>
          <w:sz w:val="30"/>
          <w:szCs w:val="30"/>
        </w:rPr>
      </w:pPr>
      <w:r>
        <w:rPr>
          <w:rFonts w:hint="eastAsia"/>
          <w:sz w:val="30"/>
          <w:szCs w:val="30"/>
        </w:rPr>
        <w:t>主临</w:t>
      </w:r>
    </w:p>
    <w:p w14:paraId="2E4DED34">
      <w:pPr>
        <w:pStyle w:val="9"/>
        <w:spacing w:before="10"/>
        <w:ind w:left="0"/>
        <w:jc w:val="left"/>
        <w:rPr>
          <w:rFonts w:hint="eastAsia"/>
          <w:sz w:val="30"/>
          <w:szCs w:val="30"/>
        </w:rPr>
      </w:pPr>
    </w:p>
    <w:p w14:paraId="0F7B6CB1">
      <w:pPr>
        <w:pStyle w:val="9"/>
        <w:spacing w:before="10"/>
        <w:ind w:left="0"/>
        <w:jc w:val="left"/>
        <w:rPr>
          <w:rFonts w:hint="eastAsia"/>
          <w:sz w:val="30"/>
          <w:szCs w:val="30"/>
        </w:rPr>
      </w:pPr>
      <w:r>
        <w:rPr>
          <w:rFonts w:hint="eastAsia"/>
          <w:sz w:val="30"/>
          <w:szCs w:val="30"/>
        </w:rPr>
        <w:t>Here is the hub, the central element of the Consummation, the core eschatological event that brings all the others to pass in quick succession.</w:t>
      </w:r>
    </w:p>
    <w:p w14:paraId="60759773">
      <w:pPr>
        <w:pStyle w:val="9"/>
        <w:spacing w:before="10"/>
        <w:ind w:left="0"/>
        <w:jc w:val="left"/>
        <w:rPr>
          <w:rFonts w:hint="eastAsia"/>
          <w:sz w:val="30"/>
          <w:szCs w:val="30"/>
        </w:rPr>
      </w:pPr>
      <w:r>
        <w:rPr>
          <w:rFonts w:hint="eastAsia"/>
          <w:sz w:val="30"/>
          <w:szCs w:val="30"/>
        </w:rPr>
        <w:t>这里是枢纽，是最终成全的核心要素，是使所有其他事件接连发生的末世核心事件。</w:t>
      </w:r>
    </w:p>
    <w:p w14:paraId="1D0BC07E">
      <w:pPr>
        <w:pStyle w:val="9"/>
        <w:spacing w:before="10"/>
        <w:ind w:left="0"/>
        <w:jc w:val="left"/>
        <w:rPr>
          <w:rFonts w:hint="eastAsia"/>
          <w:sz w:val="30"/>
          <w:szCs w:val="30"/>
        </w:rPr>
      </w:pPr>
    </w:p>
    <w:p w14:paraId="118B66B5">
      <w:pPr>
        <w:pStyle w:val="9"/>
        <w:spacing w:before="10"/>
        <w:ind w:left="0"/>
        <w:jc w:val="left"/>
        <w:rPr>
          <w:rFonts w:hint="eastAsia"/>
          <w:sz w:val="30"/>
          <w:szCs w:val="30"/>
        </w:rPr>
      </w:pPr>
      <w:r>
        <w:rPr>
          <w:rFonts w:hint="eastAsia"/>
          <w:sz w:val="30"/>
          <w:szCs w:val="30"/>
        </w:rPr>
        <w:t>Many NT texts describe it, but the most famous comes from Matthew’s gospel.</w:t>
      </w:r>
    </w:p>
    <w:p w14:paraId="515DC11C">
      <w:pPr>
        <w:pStyle w:val="9"/>
        <w:spacing w:before="10"/>
        <w:ind w:left="0"/>
        <w:jc w:val="left"/>
        <w:rPr>
          <w:rFonts w:hint="eastAsia"/>
          <w:sz w:val="30"/>
          <w:szCs w:val="30"/>
        </w:rPr>
      </w:pPr>
      <w:r>
        <w:rPr>
          <w:rFonts w:hint="eastAsia"/>
          <w:sz w:val="30"/>
          <w:szCs w:val="30"/>
        </w:rPr>
        <w:t>许多新约经文都描述了它，但最著名的来自马太福音。</w:t>
      </w:r>
    </w:p>
    <w:p w14:paraId="7AB4AF61">
      <w:pPr>
        <w:pStyle w:val="9"/>
        <w:spacing w:before="10"/>
        <w:ind w:left="0"/>
        <w:jc w:val="left"/>
        <w:rPr>
          <w:rFonts w:hint="eastAsia"/>
          <w:sz w:val="30"/>
          <w:szCs w:val="30"/>
        </w:rPr>
      </w:pPr>
    </w:p>
    <w:p w14:paraId="03972C48">
      <w:pPr>
        <w:pStyle w:val="9"/>
        <w:spacing w:before="10"/>
        <w:ind w:left="0"/>
        <w:jc w:val="left"/>
        <w:rPr>
          <w:rFonts w:hint="eastAsia"/>
          <w:sz w:val="30"/>
          <w:szCs w:val="30"/>
        </w:rPr>
      </w:pPr>
      <w:r>
        <w:rPr>
          <w:rFonts w:hint="eastAsia"/>
          <w:sz w:val="30"/>
          <w:szCs w:val="30"/>
        </w:rPr>
        <w:t>Let us hear it again:</w:t>
      </w:r>
    </w:p>
    <w:p w14:paraId="3FE6A12F">
      <w:pPr>
        <w:pStyle w:val="9"/>
        <w:spacing w:before="10"/>
        <w:ind w:left="0"/>
        <w:jc w:val="left"/>
        <w:rPr>
          <w:rFonts w:hint="eastAsia"/>
          <w:sz w:val="30"/>
          <w:szCs w:val="30"/>
        </w:rPr>
      </w:pPr>
      <w:r>
        <w:rPr>
          <w:rFonts w:hint="eastAsia"/>
          <w:sz w:val="30"/>
          <w:szCs w:val="30"/>
        </w:rPr>
        <w:t>让我们再听一遍：</w:t>
      </w:r>
    </w:p>
    <w:p w14:paraId="4755CB5B">
      <w:pPr>
        <w:pStyle w:val="9"/>
        <w:spacing w:before="10"/>
        <w:ind w:left="0"/>
        <w:jc w:val="left"/>
        <w:rPr>
          <w:rFonts w:hint="eastAsia"/>
          <w:sz w:val="30"/>
          <w:szCs w:val="30"/>
        </w:rPr>
      </w:pPr>
    </w:p>
    <w:p w14:paraId="6BECC7DC">
      <w:pPr>
        <w:pStyle w:val="9"/>
        <w:spacing w:before="10"/>
        <w:ind w:left="0"/>
        <w:jc w:val="left"/>
        <w:rPr>
          <w:rFonts w:hint="eastAsia"/>
          <w:sz w:val="30"/>
          <w:szCs w:val="30"/>
        </w:rPr>
      </w:pPr>
      <w:r>
        <w:rPr>
          <w:rFonts w:hint="eastAsia"/>
          <w:sz w:val="30"/>
          <w:szCs w:val="30"/>
        </w:rPr>
        <w:t>But immediately after the tribulation of those days, the sun will be darkened, and the moon will not give its light; the stars will fall from the sky and the powers of the heavens will be shaken.</w:t>
      </w:r>
    </w:p>
    <w:p w14:paraId="4663DA18">
      <w:pPr>
        <w:pStyle w:val="9"/>
        <w:spacing w:before="10"/>
        <w:ind w:left="0"/>
        <w:jc w:val="left"/>
        <w:rPr>
          <w:rFonts w:hint="eastAsia"/>
          <w:sz w:val="30"/>
          <w:szCs w:val="30"/>
        </w:rPr>
      </w:pPr>
      <w:r>
        <w:rPr>
          <w:rFonts w:hint="eastAsia"/>
          <w:sz w:val="30"/>
          <w:szCs w:val="30"/>
        </w:rPr>
        <w:t>但那些日子的灾难一过去，日头就变黑了，月亮也不放光，众星要从天上坠落，天势都要震动。</w:t>
      </w:r>
    </w:p>
    <w:p w14:paraId="7D554F80">
      <w:pPr>
        <w:pStyle w:val="9"/>
        <w:spacing w:before="10"/>
        <w:ind w:left="0"/>
        <w:jc w:val="left"/>
        <w:rPr>
          <w:rFonts w:hint="eastAsia"/>
          <w:sz w:val="30"/>
          <w:szCs w:val="30"/>
        </w:rPr>
      </w:pPr>
    </w:p>
    <w:p w14:paraId="7F4C0ADD">
      <w:pPr>
        <w:pStyle w:val="9"/>
        <w:spacing w:before="10"/>
        <w:ind w:left="0"/>
        <w:jc w:val="left"/>
        <w:rPr>
          <w:rFonts w:hint="eastAsia"/>
          <w:sz w:val="30"/>
          <w:szCs w:val="30"/>
        </w:rPr>
      </w:pPr>
      <w:r>
        <w:rPr>
          <w:rFonts w:hint="eastAsia"/>
          <w:sz w:val="30"/>
          <w:szCs w:val="30"/>
        </w:rPr>
        <w:t>And then the sign of the Son of Man will appear in the sky, and then all the tribes of the earth will mourn, and they will see the Son of Man coming on the clouds of heaven with power and great glory.</w:t>
      </w:r>
    </w:p>
    <w:p w14:paraId="4A27F3FF">
      <w:pPr>
        <w:pStyle w:val="9"/>
        <w:spacing w:before="10"/>
        <w:ind w:left="0"/>
        <w:jc w:val="left"/>
        <w:rPr>
          <w:rFonts w:hint="eastAsia"/>
          <w:sz w:val="30"/>
          <w:szCs w:val="30"/>
        </w:rPr>
      </w:pPr>
      <w:r>
        <w:rPr>
          <w:rFonts w:hint="eastAsia"/>
          <w:sz w:val="30"/>
          <w:szCs w:val="30"/>
        </w:rPr>
        <w:t>那时，人子的兆头要显在天上，地上的万族都要哀哭。他们要看见人子，有能力，有大荣耀，驾着天上的云降临。</w:t>
      </w:r>
    </w:p>
    <w:p w14:paraId="2A9B15CE">
      <w:pPr>
        <w:pStyle w:val="9"/>
        <w:spacing w:before="10"/>
        <w:ind w:left="0"/>
        <w:jc w:val="left"/>
        <w:rPr>
          <w:rFonts w:hint="eastAsia"/>
          <w:sz w:val="30"/>
          <w:szCs w:val="30"/>
        </w:rPr>
      </w:pPr>
    </w:p>
    <w:p w14:paraId="55EB5EC1">
      <w:pPr>
        <w:pStyle w:val="9"/>
        <w:spacing w:before="10"/>
        <w:ind w:left="0"/>
        <w:jc w:val="left"/>
        <w:rPr>
          <w:rFonts w:hint="eastAsia"/>
          <w:sz w:val="30"/>
          <w:szCs w:val="30"/>
        </w:rPr>
      </w:pPr>
      <w:r>
        <w:rPr>
          <w:rFonts w:hint="eastAsia"/>
          <w:sz w:val="30"/>
          <w:szCs w:val="30"/>
        </w:rPr>
        <w:t>And He will send forth His angels with a great sound of a trumpet, and they will gather together His elect from the four winds, from one end of the heavens to the other.</w:t>
      </w:r>
    </w:p>
    <w:p w14:paraId="093C6369">
      <w:pPr>
        <w:pStyle w:val="9"/>
        <w:spacing w:before="10"/>
        <w:ind w:left="0"/>
        <w:jc w:val="left"/>
        <w:rPr>
          <w:rFonts w:hint="eastAsia"/>
          <w:sz w:val="30"/>
          <w:szCs w:val="30"/>
        </w:rPr>
      </w:pPr>
      <w:r>
        <w:rPr>
          <w:rFonts w:hint="eastAsia"/>
          <w:sz w:val="30"/>
          <w:szCs w:val="30"/>
        </w:rPr>
        <w:t>祂要差遣使者，用号筒的大声，将祂的选民，从四方，从天这边到天那边，都招聚了来。</w:t>
      </w:r>
    </w:p>
    <w:p w14:paraId="4A937E6D">
      <w:pPr>
        <w:pStyle w:val="9"/>
        <w:spacing w:before="10"/>
        <w:ind w:left="0"/>
        <w:jc w:val="left"/>
        <w:rPr>
          <w:rFonts w:hint="eastAsia"/>
          <w:sz w:val="30"/>
          <w:szCs w:val="30"/>
        </w:rPr>
      </w:pPr>
    </w:p>
    <w:p w14:paraId="1B04ED61">
      <w:pPr>
        <w:pStyle w:val="9"/>
        <w:spacing w:before="10"/>
        <w:ind w:left="0"/>
        <w:jc w:val="left"/>
        <w:rPr>
          <w:rFonts w:hint="eastAsia"/>
          <w:sz w:val="30"/>
          <w:szCs w:val="30"/>
        </w:rPr>
      </w:pPr>
      <w:r>
        <w:rPr>
          <w:rFonts w:hint="eastAsia"/>
          <w:sz w:val="30"/>
          <w:szCs w:val="30"/>
        </w:rPr>
        <w:t>—Mt. 24:29-31; 1 Thess. 4:13-18, 2 Thess. 1:3-10, Rev. 19:11-21</w:t>
      </w:r>
    </w:p>
    <w:p w14:paraId="08B0E841">
      <w:pPr>
        <w:pStyle w:val="9"/>
        <w:spacing w:before="10"/>
        <w:ind w:left="0"/>
        <w:jc w:val="left"/>
        <w:rPr>
          <w:rFonts w:hint="eastAsia"/>
          <w:sz w:val="30"/>
          <w:szCs w:val="30"/>
        </w:rPr>
      </w:pPr>
      <w:r>
        <w:rPr>
          <w:rFonts w:hint="eastAsia"/>
          <w:sz w:val="30"/>
          <w:szCs w:val="30"/>
        </w:rPr>
        <w:t>——太24:29-31；帖前4:13-18，帖后1:3-10，启19:11-21</w:t>
      </w:r>
    </w:p>
    <w:p w14:paraId="79BDB95A">
      <w:pPr>
        <w:pStyle w:val="9"/>
        <w:spacing w:before="10"/>
        <w:ind w:left="0"/>
        <w:jc w:val="left"/>
        <w:rPr>
          <w:rFonts w:hint="eastAsia"/>
          <w:sz w:val="30"/>
          <w:szCs w:val="30"/>
        </w:rPr>
      </w:pPr>
    </w:p>
    <w:p w14:paraId="52F5CCAD">
      <w:pPr>
        <w:pStyle w:val="9"/>
        <w:spacing w:before="10"/>
        <w:ind w:left="0"/>
        <w:jc w:val="left"/>
        <w:rPr>
          <w:rFonts w:hint="eastAsia"/>
          <w:sz w:val="30"/>
          <w:szCs w:val="30"/>
        </w:rPr>
      </w:pPr>
      <w:r>
        <w:rPr>
          <w:rFonts w:hint="eastAsia"/>
          <w:sz w:val="30"/>
          <w:szCs w:val="30"/>
        </w:rPr>
        <w:t>Here Jesus’ focus is clearly upon the Parousia, his arrival in glory in the skies above the earth.</w:t>
      </w:r>
    </w:p>
    <w:p w14:paraId="39E436B9">
      <w:pPr>
        <w:pStyle w:val="9"/>
        <w:spacing w:before="10"/>
        <w:ind w:left="0"/>
        <w:jc w:val="left"/>
        <w:rPr>
          <w:rFonts w:hint="eastAsia"/>
          <w:sz w:val="30"/>
          <w:szCs w:val="30"/>
        </w:rPr>
      </w:pPr>
      <w:r>
        <w:rPr>
          <w:rFonts w:hint="eastAsia"/>
          <w:sz w:val="30"/>
          <w:szCs w:val="30"/>
        </w:rPr>
        <w:t>在这里，耶稣的焦点显然在主临（Parousia）上，即祂在荣耀中来到地上空。</w:t>
      </w:r>
    </w:p>
    <w:p w14:paraId="7FC88A2C">
      <w:pPr>
        <w:pStyle w:val="9"/>
        <w:spacing w:before="10"/>
        <w:ind w:left="0"/>
        <w:jc w:val="left"/>
        <w:rPr>
          <w:rFonts w:hint="eastAsia"/>
          <w:sz w:val="30"/>
          <w:szCs w:val="30"/>
        </w:rPr>
      </w:pPr>
    </w:p>
    <w:p w14:paraId="47BF327F">
      <w:pPr>
        <w:pStyle w:val="9"/>
        <w:spacing w:before="10"/>
        <w:ind w:left="0"/>
        <w:jc w:val="left"/>
        <w:rPr>
          <w:rFonts w:hint="eastAsia"/>
          <w:sz w:val="30"/>
          <w:szCs w:val="30"/>
        </w:rPr>
      </w:pPr>
      <w:r>
        <w:rPr>
          <w:rFonts w:hint="eastAsia"/>
          <w:sz w:val="30"/>
          <w:szCs w:val="30"/>
        </w:rPr>
        <w:t>Nevertheless, even in these few verses we see that his Coming cannot be divorced from the other (judicial and redemptive) elements of the Consummation.</w:t>
      </w:r>
    </w:p>
    <w:p w14:paraId="39FDC33A">
      <w:pPr>
        <w:pStyle w:val="9"/>
        <w:spacing w:before="10"/>
        <w:ind w:left="0"/>
        <w:jc w:val="left"/>
        <w:rPr>
          <w:rFonts w:hint="eastAsia"/>
          <w:sz w:val="30"/>
          <w:szCs w:val="30"/>
        </w:rPr>
      </w:pPr>
      <w:r>
        <w:rPr>
          <w:rFonts w:hint="eastAsia"/>
          <w:sz w:val="30"/>
          <w:szCs w:val="30"/>
        </w:rPr>
        <w:t>然而，即使在这几节经文中，我们也看到祂的降临不能与最终成全的其他（审判的和救赎的）要素分开。</w:t>
      </w:r>
    </w:p>
    <w:p w14:paraId="4757D252">
      <w:pPr>
        <w:pStyle w:val="9"/>
        <w:spacing w:before="10"/>
        <w:ind w:left="0"/>
        <w:jc w:val="left"/>
        <w:rPr>
          <w:rFonts w:hint="eastAsia"/>
          <w:sz w:val="30"/>
          <w:szCs w:val="30"/>
        </w:rPr>
      </w:pPr>
    </w:p>
    <w:p w14:paraId="6A230B0B">
      <w:pPr>
        <w:pStyle w:val="9"/>
        <w:spacing w:before="10"/>
        <w:ind w:left="0"/>
        <w:jc w:val="left"/>
        <w:rPr>
          <w:rFonts w:hint="eastAsia"/>
          <w:sz w:val="30"/>
          <w:szCs w:val="30"/>
        </w:rPr>
      </w:pPr>
      <w:r>
        <w:rPr>
          <w:rFonts w:hint="eastAsia"/>
          <w:sz w:val="30"/>
          <w:szCs w:val="30"/>
        </w:rPr>
        <w:t>Moreover, when we read this passage in its larger context (Mt. 24-25)—and supplement it with material from others parallel to it—an altogether mind-boggling picture emerges: The Parousia involves nothing less than the centering of the entire physical and spiritual universe around the glorified Son of God, with a view to its complete and final restructuring at his own hand.</w:t>
      </w:r>
    </w:p>
    <w:p w14:paraId="246C674D">
      <w:pPr>
        <w:pStyle w:val="9"/>
        <w:spacing w:before="10"/>
        <w:ind w:left="0"/>
        <w:jc w:val="left"/>
        <w:rPr>
          <w:rFonts w:hint="eastAsia"/>
          <w:sz w:val="30"/>
          <w:szCs w:val="30"/>
        </w:rPr>
      </w:pPr>
      <w:r>
        <w:rPr>
          <w:rFonts w:hint="eastAsia"/>
          <w:sz w:val="30"/>
          <w:szCs w:val="30"/>
        </w:rPr>
        <w:t>此外，当我们在其更广的上下文（太24-25）中阅读这段经文——并用其他平行经文的材料来补充它——一幅完全令人难以置信的图画就浮现出来：主临（Parousia）无非是将整个物质和属灵的宇宙，都围绕在得荣耀的上帝之子周围，为要由祂亲手对其进行完全和最终的重组。</w:t>
      </w:r>
    </w:p>
    <w:p w14:paraId="41F2D32C">
      <w:pPr>
        <w:pStyle w:val="9"/>
        <w:spacing w:before="10"/>
        <w:ind w:left="0"/>
        <w:jc w:val="left"/>
        <w:rPr>
          <w:rFonts w:hint="eastAsia"/>
          <w:sz w:val="30"/>
          <w:szCs w:val="30"/>
        </w:rPr>
      </w:pPr>
    </w:p>
    <w:p w14:paraId="62844A9F">
      <w:pPr>
        <w:pStyle w:val="9"/>
        <w:spacing w:before="10"/>
        <w:ind w:left="0"/>
        <w:jc w:val="left"/>
        <w:rPr>
          <w:rFonts w:hint="eastAsia"/>
          <w:sz w:val="30"/>
          <w:szCs w:val="30"/>
        </w:rPr>
      </w:pPr>
      <w:r>
        <w:rPr>
          <w:rFonts w:hint="eastAsia"/>
          <w:sz w:val="30"/>
          <w:szCs w:val="30"/>
        </w:rPr>
        <w:t>Drawing liberally from other portions of the NT, let us take a small moment to flesh out this very big idea.</w:t>
      </w:r>
    </w:p>
    <w:p w14:paraId="44BAF6A7">
      <w:pPr>
        <w:pStyle w:val="9"/>
        <w:spacing w:before="10"/>
        <w:ind w:left="0"/>
        <w:jc w:val="left"/>
        <w:rPr>
          <w:rFonts w:hint="eastAsia"/>
          <w:sz w:val="30"/>
          <w:szCs w:val="30"/>
        </w:rPr>
      </w:pPr>
      <w:r>
        <w:rPr>
          <w:rFonts w:hint="eastAsia"/>
          <w:sz w:val="30"/>
          <w:szCs w:val="30"/>
        </w:rPr>
        <w:t>让我们自由地借鉴新约的其他部分，花点时间来充实这个非常宏大的观念。</w:t>
      </w:r>
    </w:p>
    <w:p w14:paraId="6ABA54ED">
      <w:pPr>
        <w:pStyle w:val="9"/>
        <w:spacing w:before="10"/>
        <w:ind w:left="0"/>
        <w:jc w:val="left"/>
        <w:rPr>
          <w:rFonts w:hint="eastAsia"/>
          <w:sz w:val="30"/>
          <w:szCs w:val="30"/>
        </w:rPr>
      </w:pPr>
    </w:p>
    <w:p w14:paraId="3F55494E">
      <w:pPr>
        <w:pStyle w:val="9"/>
        <w:spacing w:before="10"/>
        <w:ind w:left="0"/>
        <w:jc w:val="left"/>
        <w:rPr>
          <w:rFonts w:hint="eastAsia"/>
          <w:sz w:val="30"/>
          <w:szCs w:val="30"/>
        </w:rPr>
      </w:pPr>
      <w:r>
        <w:rPr>
          <w:rFonts w:hint="eastAsia"/>
          <w:sz w:val="30"/>
          <w:szCs w:val="30"/>
        </w:rPr>
        <w:t>Observe first from our text that in order to set the stage for Christ’s arrival God literally extinguishes the sun, moon, and stars.</w:t>
      </w:r>
    </w:p>
    <w:p w14:paraId="6D72E0A7">
      <w:pPr>
        <w:pStyle w:val="9"/>
        <w:spacing w:before="10"/>
        <w:ind w:left="0"/>
        <w:jc w:val="left"/>
        <w:rPr>
          <w:rFonts w:hint="eastAsia"/>
          <w:sz w:val="30"/>
          <w:szCs w:val="30"/>
        </w:rPr>
      </w:pPr>
      <w:r>
        <w:rPr>
          <w:rFonts w:hint="eastAsia"/>
          <w:sz w:val="30"/>
          <w:szCs w:val="30"/>
        </w:rPr>
        <w:t>首先请从我们的经文中观察，为了为基督的到来布置舞台，上帝字面上地熄灭了日、月、星辰。</w:t>
      </w:r>
    </w:p>
    <w:p w14:paraId="486150A2">
      <w:pPr>
        <w:pStyle w:val="9"/>
        <w:spacing w:before="10"/>
        <w:ind w:left="0"/>
        <w:jc w:val="left"/>
        <w:rPr>
          <w:rFonts w:hint="eastAsia"/>
          <w:sz w:val="30"/>
          <w:szCs w:val="30"/>
        </w:rPr>
      </w:pPr>
    </w:p>
    <w:p w14:paraId="2FA01917">
      <w:pPr>
        <w:pStyle w:val="9"/>
        <w:spacing w:before="10"/>
        <w:ind w:left="0"/>
        <w:jc w:val="left"/>
        <w:rPr>
          <w:rFonts w:hint="eastAsia"/>
          <w:sz w:val="30"/>
          <w:szCs w:val="30"/>
        </w:rPr>
      </w:pPr>
      <w:r>
        <w:rPr>
          <w:rFonts w:hint="eastAsia"/>
          <w:sz w:val="30"/>
          <w:szCs w:val="30"/>
        </w:rPr>
        <w:t>This is high drama: Blackest night falls upon the entire cosmos, so that all eyes may be turned upon the radiant body of him who comes their way in clouds of glory (Mt. 26:64, Acts 1:9-11, Rev. 1:7, 6:12ff, 14:14f, 21:23).</w:t>
      </w:r>
    </w:p>
    <w:p w14:paraId="4252D26E">
      <w:pPr>
        <w:pStyle w:val="9"/>
        <w:spacing w:before="10"/>
        <w:ind w:left="0"/>
        <w:jc w:val="left"/>
        <w:rPr>
          <w:rFonts w:hint="eastAsia"/>
          <w:sz w:val="30"/>
          <w:szCs w:val="30"/>
        </w:rPr>
      </w:pPr>
      <w:r>
        <w:rPr>
          <w:rFonts w:hint="eastAsia"/>
          <w:sz w:val="30"/>
          <w:szCs w:val="30"/>
        </w:rPr>
        <w:t>这是极具戏剧性的：最深的黑夜降临整个宇宙，好叫所有人的眼睛都转向那驾着荣耀云彩向他们而来的主的荣光身体（太26:64，徒1:9-11，启1:7, 6:12及以下, 14:14及以下, 21:23）。</w:t>
      </w:r>
    </w:p>
    <w:p w14:paraId="40848EB4">
      <w:pPr>
        <w:pStyle w:val="9"/>
        <w:spacing w:before="10"/>
        <w:ind w:left="0"/>
        <w:jc w:val="left"/>
        <w:rPr>
          <w:rFonts w:hint="eastAsia"/>
          <w:sz w:val="30"/>
          <w:szCs w:val="30"/>
        </w:rPr>
      </w:pPr>
    </w:p>
    <w:p w14:paraId="04786C76">
      <w:pPr>
        <w:pStyle w:val="9"/>
        <w:spacing w:before="10"/>
        <w:ind w:left="0"/>
        <w:jc w:val="left"/>
        <w:rPr>
          <w:rFonts w:hint="eastAsia"/>
          <w:sz w:val="30"/>
          <w:szCs w:val="30"/>
        </w:rPr>
      </w:pPr>
      <w:r>
        <w:rPr>
          <w:rFonts w:hint="eastAsia"/>
          <w:sz w:val="30"/>
          <w:szCs w:val="30"/>
        </w:rPr>
        <w:t>Note that the spiritual heaven itself has been emptied—or rather that it descends with Christ into the skies above the earth—since he comes not only with all the holy angels, but also with “the spirits of just men made perfect,” both OT saints and New (Zech. 14:5, Mt. 25:31, 1 Thess. 3:13, 4:14, Heb. 12:23).</w:t>
      </w:r>
    </w:p>
    <w:p w14:paraId="4A8D06BF">
      <w:pPr>
        <w:pStyle w:val="9"/>
        <w:spacing w:before="10"/>
        <w:ind w:left="0"/>
        <w:jc w:val="left"/>
        <w:rPr>
          <w:rFonts w:hint="eastAsia"/>
          <w:sz w:val="30"/>
          <w:szCs w:val="30"/>
        </w:rPr>
      </w:pPr>
      <w:r>
        <w:rPr>
          <w:rFonts w:hint="eastAsia"/>
          <w:sz w:val="30"/>
          <w:szCs w:val="30"/>
        </w:rPr>
        <w:t>请注意，属灵的天本身已被倒空——或者更确切地说，它与基督一同降临到地上空——因为祂不仅带着所有圣天使，也带着“被成全之义人的灵魂”，无论是旧约圣徒还是新约圣徒（撒迦利亚书14:5，马太福音25:31，帖撒罗尼迦前书3:13, 4:14，希伯来书12:23）。</w:t>
      </w:r>
    </w:p>
    <w:p w14:paraId="3AA024B6">
      <w:pPr>
        <w:pStyle w:val="9"/>
        <w:spacing w:before="10"/>
        <w:ind w:left="0"/>
        <w:jc w:val="left"/>
        <w:rPr>
          <w:rFonts w:hint="eastAsia"/>
          <w:sz w:val="30"/>
          <w:szCs w:val="30"/>
        </w:rPr>
      </w:pPr>
    </w:p>
    <w:p w14:paraId="22D4F0ED">
      <w:pPr>
        <w:pStyle w:val="9"/>
        <w:spacing w:before="10"/>
        <w:ind w:left="0"/>
        <w:jc w:val="left"/>
        <w:rPr>
          <w:rFonts w:hint="eastAsia"/>
          <w:sz w:val="30"/>
          <w:szCs w:val="30"/>
        </w:rPr>
      </w:pPr>
      <w:r>
        <w:rPr>
          <w:rFonts w:hint="eastAsia"/>
          <w:sz w:val="30"/>
          <w:szCs w:val="30"/>
        </w:rPr>
        <w:t>As he draws near, there is a cry of command, the voice of the archangel, and the sound of a trumpet (1 Thess. 4:16).</w:t>
      </w:r>
    </w:p>
    <w:p w14:paraId="76C2C137">
      <w:pPr>
        <w:pStyle w:val="9"/>
        <w:spacing w:before="10"/>
        <w:ind w:left="0"/>
        <w:jc w:val="left"/>
        <w:rPr>
          <w:rFonts w:hint="eastAsia"/>
          <w:sz w:val="30"/>
          <w:szCs w:val="30"/>
        </w:rPr>
      </w:pPr>
      <w:r>
        <w:rPr>
          <w:rFonts w:hint="eastAsia"/>
          <w:sz w:val="30"/>
          <w:szCs w:val="30"/>
        </w:rPr>
        <w:t>当祂靠近时，有命令的呼喊，天使长的声音，和号筒的声音（帖前4:16）。</w:t>
      </w:r>
    </w:p>
    <w:p w14:paraId="71EE067E">
      <w:pPr>
        <w:pStyle w:val="9"/>
        <w:spacing w:before="10"/>
        <w:ind w:left="0"/>
        <w:jc w:val="left"/>
        <w:rPr>
          <w:rFonts w:hint="eastAsia"/>
          <w:sz w:val="30"/>
          <w:szCs w:val="30"/>
        </w:rPr>
      </w:pPr>
    </w:p>
    <w:p w14:paraId="58EF1868">
      <w:pPr>
        <w:pStyle w:val="9"/>
        <w:spacing w:before="10"/>
        <w:ind w:left="0"/>
        <w:jc w:val="left"/>
        <w:rPr>
          <w:rFonts w:hint="eastAsia"/>
          <w:sz w:val="30"/>
          <w:szCs w:val="30"/>
        </w:rPr>
      </w:pPr>
      <w:r>
        <w:rPr>
          <w:rFonts w:hint="eastAsia"/>
          <w:sz w:val="30"/>
          <w:szCs w:val="30"/>
        </w:rPr>
        <w:t>With these, Christ’s final dealings with mankind begin: He raises the dead, transforms the living, and— through angelic agency—transports all into the skies above, where they come before the High King and Judge, seated upon the throne of his glory (Mt. 19:29, 25:31, Rev. 20:11).</w:t>
      </w:r>
    </w:p>
    <w:p w14:paraId="6482A2DD">
      <w:pPr>
        <w:pStyle w:val="9"/>
        <w:spacing w:before="10"/>
        <w:ind w:left="0"/>
        <w:jc w:val="left"/>
        <w:rPr>
          <w:rFonts w:hint="eastAsia"/>
          <w:sz w:val="30"/>
          <w:szCs w:val="30"/>
        </w:rPr>
      </w:pPr>
      <w:r>
        <w:rPr>
          <w:rFonts w:hint="eastAsia"/>
          <w:sz w:val="30"/>
          <w:szCs w:val="30"/>
        </w:rPr>
        <w:t>借着这些，基督对人类的最后处理开始了：祂使死人复活，改变活人，并——通过天使的作为——将所有人运送到天上，在那里他们来到至高君王和审判主面前，祂坐在祂荣耀的宝座上（太19:29, 25:31，启20:11）。</w:t>
      </w:r>
    </w:p>
    <w:p w14:paraId="5B61CBE7">
      <w:pPr>
        <w:pStyle w:val="9"/>
        <w:spacing w:before="10"/>
        <w:ind w:left="0"/>
        <w:jc w:val="left"/>
        <w:rPr>
          <w:rFonts w:hint="eastAsia"/>
          <w:sz w:val="30"/>
          <w:szCs w:val="30"/>
        </w:rPr>
      </w:pPr>
    </w:p>
    <w:p w14:paraId="01BCE8A0">
      <w:pPr>
        <w:pStyle w:val="9"/>
        <w:spacing w:before="10"/>
        <w:ind w:left="0"/>
        <w:jc w:val="left"/>
        <w:rPr>
          <w:rFonts w:hint="eastAsia"/>
          <w:sz w:val="30"/>
          <w:szCs w:val="30"/>
        </w:rPr>
      </w:pPr>
      <w:r>
        <w:rPr>
          <w:rFonts w:hint="eastAsia"/>
          <w:sz w:val="30"/>
          <w:szCs w:val="30"/>
        </w:rPr>
        <w:t>Meanwhile, the world below “flees from his face,” which is to say that the earth and its works are consumed by fire (Rev. 20:11, 2 Peter 3:10).</w:t>
      </w:r>
    </w:p>
    <w:p w14:paraId="42449427">
      <w:pPr>
        <w:pStyle w:val="9"/>
        <w:spacing w:before="10"/>
        <w:ind w:left="0"/>
        <w:jc w:val="left"/>
        <w:rPr>
          <w:rFonts w:hint="eastAsia"/>
          <w:sz w:val="30"/>
          <w:szCs w:val="30"/>
        </w:rPr>
      </w:pPr>
      <w:r>
        <w:rPr>
          <w:rFonts w:hint="eastAsia"/>
          <w:sz w:val="30"/>
          <w:szCs w:val="30"/>
        </w:rPr>
        <w:t>同时，下面的世界“从祂面前逃避”，也就是说地和其上的工程都被火焚烧了（启20:11，彼后3:10）。</w:t>
      </w:r>
    </w:p>
    <w:p w14:paraId="14A111C3">
      <w:pPr>
        <w:pStyle w:val="9"/>
        <w:spacing w:before="10"/>
        <w:ind w:left="0"/>
        <w:jc w:val="left"/>
        <w:rPr>
          <w:rFonts w:hint="eastAsia"/>
          <w:sz w:val="30"/>
          <w:szCs w:val="30"/>
        </w:rPr>
      </w:pPr>
    </w:p>
    <w:p w14:paraId="1D3D77EE">
      <w:pPr>
        <w:pStyle w:val="9"/>
        <w:spacing w:before="10"/>
        <w:ind w:left="0"/>
        <w:jc w:val="left"/>
        <w:rPr>
          <w:rFonts w:hint="eastAsia"/>
          <w:sz w:val="30"/>
          <w:szCs w:val="30"/>
        </w:rPr>
      </w:pPr>
      <w:r>
        <w:rPr>
          <w:rFonts w:hint="eastAsia"/>
          <w:sz w:val="30"/>
          <w:szCs w:val="30"/>
        </w:rPr>
        <w:t>At Christ’s command, the Lake of Fire suddenly appears, the Last Judgment is concluded, new heavens and a new earth are created, and the glorious Bride of Christ descends with her heavenly Husband to their eternal home.</w:t>
      </w:r>
    </w:p>
    <w:p w14:paraId="068D28E2">
      <w:pPr>
        <w:pStyle w:val="9"/>
        <w:spacing w:before="10"/>
        <w:ind w:left="0"/>
        <w:jc w:val="left"/>
        <w:rPr>
          <w:rFonts w:hint="eastAsia"/>
          <w:sz w:val="30"/>
          <w:szCs w:val="30"/>
        </w:rPr>
      </w:pPr>
      <w:r>
        <w:rPr>
          <w:rFonts w:hint="eastAsia"/>
          <w:sz w:val="30"/>
          <w:szCs w:val="30"/>
        </w:rPr>
        <w:t>在基督的命令下，火湖突然出现，最后的审判结束了，新天新地被创造出来，基督荣耀的新妇与她天上的丈夫一同降临到他们永恒的家。</w:t>
      </w:r>
    </w:p>
    <w:p w14:paraId="30D386BC">
      <w:pPr>
        <w:pStyle w:val="9"/>
        <w:spacing w:before="10"/>
        <w:ind w:left="0"/>
        <w:jc w:val="left"/>
        <w:rPr>
          <w:rFonts w:hint="eastAsia"/>
          <w:sz w:val="30"/>
          <w:szCs w:val="30"/>
        </w:rPr>
      </w:pPr>
    </w:p>
    <w:p w14:paraId="64671B8B">
      <w:pPr>
        <w:pStyle w:val="9"/>
        <w:spacing w:before="10"/>
        <w:ind w:left="0"/>
        <w:jc w:val="left"/>
        <w:rPr>
          <w:rFonts w:hint="eastAsia"/>
          <w:sz w:val="30"/>
          <w:szCs w:val="30"/>
        </w:rPr>
      </w:pPr>
      <w:r>
        <w:rPr>
          <w:rFonts w:hint="eastAsia"/>
          <w:sz w:val="30"/>
          <w:szCs w:val="30"/>
        </w:rPr>
        <w:t>In all its fullness, the Kingdom of God has come at last (Mt. 25:31f, Rev. 21:1f).</w:t>
      </w:r>
    </w:p>
    <w:p w14:paraId="149E6ED5">
      <w:pPr>
        <w:pStyle w:val="9"/>
        <w:spacing w:before="10"/>
        <w:ind w:left="0"/>
        <w:jc w:val="left"/>
        <w:rPr>
          <w:rFonts w:hint="eastAsia"/>
          <w:sz w:val="30"/>
          <w:szCs w:val="30"/>
        </w:rPr>
      </w:pPr>
      <w:r>
        <w:rPr>
          <w:rFonts w:hint="eastAsia"/>
          <w:sz w:val="30"/>
          <w:szCs w:val="30"/>
        </w:rPr>
        <w:t>上帝的国，在其完全的丰满中，终于来临了（太25:31及以下，启21:1及以下）。</w:t>
      </w:r>
    </w:p>
    <w:p w14:paraId="50F81753">
      <w:pPr>
        <w:pStyle w:val="9"/>
        <w:spacing w:before="10"/>
        <w:ind w:left="0"/>
        <w:jc w:val="left"/>
        <w:rPr>
          <w:rFonts w:hint="eastAsia"/>
          <w:sz w:val="30"/>
          <w:szCs w:val="30"/>
        </w:rPr>
      </w:pPr>
    </w:p>
    <w:p w14:paraId="61A92FC9">
      <w:pPr>
        <w:pStyle w:val="9"/>
        <w:spacing w:before="10"/>
        <w:ind w:left="0"/>
        <w:jc w:val="left"/>
        <w:rPr>
          <w:rFonts w:hint="eastAsia"/>
          <w:sz w:val="30"/>
          <w:szCs w:val="30"/>
        </w:rPr>
      </w:pPr>
      <w:r>
        <w:rPr>
          <w:rFonts w:hint="eastAsia"/>
          <w:sz w:val="30"/>
          <w:szCs w:val="30"/>
        </w:rPr>
        <w:t>In a moment, we will examine the several elements of this great Consummation more closely.</w:t>
      </w:r>
    </w:p>
    <w:p w14:paraId="7805E420">
      <w:pPr>
        <w:pStyle w:val="9"/>
        <w:spacing w:before="10"/>
        <w:ind w:left="0"/>
        <w:jc w:val="left"/>
        <w:rPr>
          <w:rFonts w:hint="eastAsia"/>
          <w:sz w:val="30"/>
          <w:szCs w:val="30"/>
        </w:rPr>
      </w:pPr>
      <w:r>
        <w:rPr>
          <w:rFonts w:hint="eastAsia"/>
          <w:sz w:val="30"/>
          <w:szCs w:val="30"/>
        </w:rPr>
        <w:t>稍后，我们将更仔细地审视这次伟大最终成全的几个要素。</w:t>
      </w:r>
    </w:p>
    <w:p w14:paraId="1EBDCAF1">
      <w:pPr>
        <w:pStyle w:val="9"/>
        <w:spacing w:before="10"/>
        <w:ind w:left="0"/>
        <w:jc w:val="left"/>
        <w:rPr>
          <w:rFonts w:hint="eastAsia"/>
          <w:sz w:val="30"/>
          <w:szCs w:val="30"/>
        </w:rPr>
      </w:pPr>
    </w:p>
    <w:p w14:paraId="2E01E7F0">
      <w:pPr>
        <w:pStyle w:val="9"/>
        <w:spacing w:before="10"/>
        <w:ind w:left="0"/>
        <w:jc w:val="left"/>
        <w:rPr>
          <w:rFonts w:hint="eastAsia"/>
          <w:sz w:val="30"/>
          <w:szCs w:val="30"/>
        </w:rPr>
      </w:pPr>
      <w:r>
        <w:rPr>
          <w:rFonts w:hint="eastAsia"/>
          <w:sz w:val="30"/>
          <w:szCs w:val="30"/>
        </w:rPr>
        <w:t>Here, however, I have summarized it briefly in order to capture the true thrust of the Parousia, which is, in essence, to reduce the entire universe as we now know it to a vast sea of men and angels, suspended in vacant space before the Judgment Seat of Christ, where they await, in awe and dread, the final disposition of all things.</w:t>
      </w:r>
    </w:p>
    <w:p w14:paraId="58568086">
      <w:pPr>
        <w:pStyle w:val="9"/>
        <w:spacing w:before="10"/>
        <w:ind w:left="0"/>
        <w:jc w:val="left"/>
        <w:rPr>
          <w:rFonts w:hint="eastAsia"/>
          <w:sz w:val="30"/>
          <w:szCs w:val="30"/>
        </w:rPr>
      </w:pPr>
      <w:r>
        <w:rPr>
          <w:rFonts w:hint="eastAsia"/>
          <w:sz w:val="30"/>
          <w:szCs w:val="30"/>
        </w:rPr>
        <w:t>然而，在这里，我简要地总结了它，为要捕捉主临（Parousia）的真正主旨，其本质是将我们现在所知的整个宇宙，缩减为一片广阔的人与天使的海洋，悬浮在基督审判台前的虚空中，在那里他们以敬畏和恐惧，等待着万物的最终处置。</w:t>
      </w:r>
    </w:p>
    <w:p w14:paraId="5668CBC8">
      <w:pPr>
        <w:pStyle w:val="9"/>
        <w:spacing w:before="10"/>
        <w:ind w:left="0"/>
        <w:jc w:val="left"/>
        <w:rPr>
          <w:rFonts w:hint="eastAsia"/>
          <w:sz w:val="30"/>
          <w:szCs w:val="30"/>
        </w:rPr>
      </w:pPr>
    </w:p>
    <w:p w14:paraId="675DA7BF">
      <w:pPr>
        <w:pStyle w:val="9"/>
        <w:spacing w:before="10"/>
        <w:ind w:left="0"/>
        <w:jc w:val="left"/>
        <w:rPr>
          <w:rFonts w:hint="eastAsia"/>
          <w:sz w:val="30"/>
          <w:szCs w:val="30"/>
        </w:rPr>
      </w:pPr>
      <w:r>
        <w:rPr>
          <w:rFonts w:hint="eastAsia"/>
          <w:sz w:val="30"/>
          <w:szCs w:val="30"/>
        </w:rPr>
        <w:t>And herein will lie a consummate object lesson for every sentient being: the One now enthroned at the center of the universe is the One who has always been enthroned at the center of the Father’s heart, and therefore at the center of his every purpose, plan, and work.</w:t>
      </w:r>
    </w:p>
    <w:p w14:paraId="51A75FA5">
      <w:pPr>
        <w:pStyle w:val="9"/>
        <w:spacing w:before="10"/>
        <w:ind w:left="0"/>
        <w:jc w:val="left"/>
        <w:rPr>
          <w:rFonts w:hint="eastAsia"/>
          <w:sz w:val="30"/>
          <w:szCs w:val="30"/>
        </w:rPr>
      </w:pPr>
      <w:r>
        <w:rPr>
          <w:rFonts w:hint="eastAsia"/>
          <w:sz w:val="30"/>
          <w:szCs w:val="30"/>
        </w:rPr>
        <w:t>在这里，将为每一个有知觉的存在提供一个完美的实物教训：那位如今在宇宙中心登基的主，就是那位一直以来都在父心中登基，因此也在祂每一个旨意、计划和工作的中心的主。</w:t>
      </w:r>
    </w:p>
    <w:p w14:paraId="525A6ED6">
      <w:pPr>
        <w:pStyle w:val="9"/>
        <w:spacing w:before="10"/>
        <w:ind w:left="0"/>
        <w:jc w:val="left"/>
        <w:rPr>
          <w:rFonts w:hint="eastAsia"/>
          <w:sz w:val="30"/>
          <w:szCs w:val="30"/>
        </w:rPr>
      </w:pPr>
    </w:p>
    <w:p w14:paraId="5B19BFF9">
      <w:pPr>
        <w:pStyle w:val="9"/>
        <w:spacing w:before="10"/>
        <w:ind w:left="0"/>
        <w:jc w:val="left"/>
        <w:rPr>
          <w:rFonts w:hint="eastAsia"/>
          <w:sz w:val="30"/>
          <w:szCs w:val="30"/>
        </w:rPr>
      </w:pPr>
      <w:r>
        <w:rPr>
          <w:rFonts w:hint="eastAsia"/>
          <w:sz w:val="30"/>
          <w:szCs w:val="30"/>
        </w:rPr>
        <w:t>In sum, through the Parousia, both men and angels will behold the Son of God for who he is and for what God has appointed him to be: the Creator, Sustainer, Redeemer, Judge, and Re- creator of all.</w:t>
      </w:r>
    </w:p>
    <w:p w14:paraId="612B3C14">
      <w:pPr>
        <w:pStyle w:val="9"/>
        <w:spacing w:before="10"/>
        <w:ind w:left="0"/>
        <w:jc w:val="left"/>
        <w:rPr>
          <w:rFonts w:hint="eastAsia"/>
          <w:sz w:val="30"/>
          <w:szCs w:val="30"/>
        </w:rPr>
      </w:pPr>
      <w:r>
        <w:rPr>
          <w:rFonts w:hint="eastAsia"/>
          <w:sz w:val="30"/>
          <w:szCs w:val="30"/>
        </w:rPr>
        <w:t>总而言之，通过主临（Parousia），人和天使都将看见上帝的儿子，祂的本相，以及上帝所命定祂的身份：万物的创造主、维系主、救赎主、审判主和再造主。</w:t>
      </w:r>
    </w:p>
    <w:p w14:paraId="18C33CE4">
      <w:pPr>
        <w:pStyle w:val="9"/>
        <w:spacing w:before="10"/>
        <w:ind w:left="0"/>
        <w:jc w:val="left"/>
        <w:rPr>
          <w:rFonts w:hint="eastAsia"/>
          <w:sz w:val="30"/>
          <w:szCs w:val="30"/>
        </w:rPr>
      </w:pPr>
    </w:p>
    <w:p w14:paraId="582D0222">
      <w:pPr>
        <w:pStyle w:val="9"/>
        <w:spacing w:before="10"/>
        <w:ind w:left="0"/>
        <w:jc w:val="left"/>
        <w:rPr>
          <w:rFonts w:hint="eastAsia"/>
          <w:sz w:val="30"/>
          <w:szCs w:val="30"/>
        </w:rPr>
      </w:pPr>
      <w:r>
        <w:rPr>
          <w:rFonts w:hint="eastAsia"/>
          <w:sz w:val="30"/>
          <w:szCs w:val="30"/>
        </w:rPr>
        <w:t>For the saints who eagerly await that day, the hope of seeing the Son in such consummate glory is a blessed hope indeed.</w:t>
      </w:r>
    </w:p>
    <w:p w14:paraId="0974FD26">
      <w:pPr>
        <w:pStyle w:val="9"/>
        <w:spacing w:before="10"/>
        <w:ind w:left="0"/>
        <w:jc w:val="left"/>
        <w:rPr>
          <w:rFonts w:hint="eastAsia"/>
          <w:sz w:val="30"/>
          <w:szCs w:val="30"/>
        </w:rPr>
      </w:pPr>
      <w:r>
        <w:rPr>
          <w:rFonts w:hint="eastAsia"/>
          <w:sz w:val="30"/>
          <w:szCs w:val="30"/>
        </w:rPr>
        <w:t>对那些热切等候那日的圣徒而言，能看见子在如此完全的荣耀中，确实是一个有福的盼望。</w:t>
      </w:r>
    </w:p>
    <w:p w14:paraId="08C6EA7E">
      <w:pPr>
        <w:pStyle w:val="9"/>
        <w:spacing w:before="10"/>
        <w:ind w:left="0"/>
        <w:jc w:val="left"/>
        <w:rPr>
          <w:rFonts w:hint="eastAsia"/>
          <w:sz w:val="30"/>
          <w:szCs w:val="30"/>
        </w:rPr>
      </w:pPr>
    </w:p>
    <w:p w14:paraId="049744C7">
      <w:pPr>
        <w:pStyle w:val="9"/>
        <w:spacing w:before="10"/>
        <w:ind w:left="0"/>
        <w:jc w:val="left"/>
        <w:rPr>
          <w:rFonts w:hint="eastAsia"/>
          <w:sz w:val="30"/>
          <w:szCs w:val="30"/>
        </w:rPr>
      </w:pPr>
      <w:r>
        <w:rPr>
          <w:rFonts w:hint="eastAsia"/>
          <w:sz w:val="30"/>
          <w:szCs w:val="30"/>
        </w:rPr>
        <w:t>The Resurrection</w:t>
      </w:r>
    </w:p>
    <w:p w14:paraId="08972A0B">
      <w:pPr>
        <w:pStyle w:val="9"/>
        <w:spacing w:before="10"/>
        <w:ind w:left="0"/>
        <w:jc w:val="left"/>
        <w:rPr>
          <w:rFonts w:hint="eastAsia"/>
          <w:sz w:val="30"/>
          <w:szCs w:val="30"/>
        </w:rPr>
      </w:pPr>
      <w:r>
        <w:rPr>
          <w:rFonts w:hint="eastAsia"/>
          <w:sz w:val="30"/>
          <w:szCs w:val="30"/>
        </w:rPr>
        <w:t>复活</w:t>
      </w:r>
    </w:p>
    <w:p w14:paraId="3525CF14">
      <w:pPr>
        <w:pStyle w:val="9"/>
        <w:spacing w:before="10"/>
        <w:ind w:left="0"/>
        <w:jc w:val="left"/>
        <w:rPr>
          <w:rFonts w:hint="eastAsia"/>
          <w:sz w:val="30"/>
          <w:szCs w:val="30"/>
        </w:rPr>
      </w:pPr>
    </w:p>
    <w:p w14:paraId="05A28497">
      <w:pPr>
        <w:pStyle w:val="9"/>
        <w:spacing w:before="10"/>
        <w:ind w:left="0"/>
        <w:jc w:val="left"/>
        <w:rPr>
          <w:rFonts w:hint="eastAsia"/>
          <w:sz w:val="30"/>
          <w:szCs w:val="30"/>
        </w:rPr>
      </w:pPr>
      <w:r>
        <w:rPr>
          <w:rFonts w:hint="eastAsia"/>
          <w:sz w:val="30"/>
          <w:szCs w:val="30"/>
        </w:rPr>
        <w:t>The resurrection of the dead, promised by the OT prophets, affirmed by Christ, taught and proclaimed by the apostles, and longed for by all the saints, will take place at the Parousia (Acts 26:7).</w:t>
      </w:r>
    </w:p>
    <w:p w14:paraId="46C1008A">
      <w:pPr>
        <w:pStyle w:val="9"/>
        <w:spacing w:before="10"/>
        <w:ind w:left="0"/>
        <w:jc w:val="left"/>
        <w:rPr>
          <w:rFonts w:hint="eastAsia"/>
          <w:sz w:val="30"/>
          <w:szCs w:val="30"/>
        </w:rPr>
      </w:pPr>
      <w:r>
        <w:rPr>
          <w:rFonts w:hint="eastAsia"/>
          <w:sz w:val="30"/>
          <w:szCs w:val="30"/>
        </w:rPr>
        <w:t>死人的复活，由旧约先知所应许，由基督所肯定，由使徒们所教导和宣讲，并为所有圣徒所渴望，将在主临（Parousia）时发生（使徒行传26:7）。</w:t>
      </w:r>
    </w:p>
    <w:p w14:paraId="3A209927">
      <w:pPr>
        <w:pStyle w:val="9"/>
        <w:spacing w:before="10"/>
        <w:ind w:left="0"/>
        <w:jc w:val="left"/>
        <w:rPr>
          <w:rFonts w:hint="eastAsia"/>
          <w:sz w:val="30"/>
          <w:szCs w:val="30"/>
        </w:rPr>
      </w:pPr>
    </w:p>
    <w:p w14:paraId="45591638">
      <w:pPr>
        <w:pStyle w:val="9"/>
        <w:spacing w:before="10"/>
        <w:ind w:left="0"/>
        <w:jc w:val="left"/>
        <w:rPr>
          <w:rFonts w:hint="eastAsia"/>
          <w:sz w:val="30"/>
          <w:szCs w:val="30"/>
        </w:rPr>
      </w:pPr>
      <w:r>
        <w:rPr>
          <w:rFonts w:hint="eastAsia"/>
          <w:sz w:val="30"/>
          <w:szCs w:val="30"/>
        </w:rPr>
        <w:t>Christ himself will accomplish it.</w:t>
      </w:r>
    </w:p>
    <w:p w14:paraId="562BF151">
      <w:pPr>
        <w:pStyle w:val="9"/>
        <w:spacing w:before="10"/>
        <w:ind w:left="0"/>
        <w:jc w:val="left"/>
        <w:rPr>
          <w:rFonts w:hint="eastAsia"/>
          <w:sz w:val="30"/>
          <w:szCs w:val="30"/>
        </w:rPr>
      </w:pPr>
      <w:r>
        <w:rPr>
          <w:rFonts w:hint="eastAsia"/>
          <w:sz w:val="30"/>
          <w:szCs w:val="30"/>
        </w:rPr>
        <w:t>基督祂自己将成就这事。</w:t>
      </w:r>
    </w:p>
    <w:p w14:paraId="7732342C">
      <w:pPr>
        <w:pStyle w:val="9"/>
        <w:spacing w:before="10"/>
        <w:ind w:left="0"/>
        <w:jc w:val="left"/>
        <w:rPr>
          <w:rFonts w:hint="eastAsia"/>
          <w:sz w:val="30"/>
          <w:szCs w:val="30"/>
        </w:rPr>
      </w:pPr>
    </w:p>
    <w:p w14:paraId="4AB43194">
      <w:pPr>
        <w:pStyle w:val="9"/>
        <w:spacing w:before="10"/>
        <w:ind w:left="0"/>
        <w:jc w:val="left"/>
        <w:rPr>
          <w:rFonts w:hint="eastAsia"/>
          <w:sz w:val="30"/>
          <w:szCs w:val="30"/>
        </w:rPr>
      </w:pPr>
      <w:r>
        <w:rPr>
          <w:rFonts w:hint="eastAsia"/>
          <w:sz w:val="30"/>
          <w:szCs w:val="30"/>
        </w:rPr>
        <w:t>As Jesus put it, “Do not marvel at this, for the hour is coming in which all who are in the graves will hear the voice of the Son of Man and come forth: those who have done what is good, to a resurrection of life, and those who have done what is evil to a resurrection of condemnation” (John 5:28-29, Phil. 3:20-21).</w:t>
      </w:r>
    </w:p>
    <w:p w14:paraId="61B12DC7">
      <w:pPr>
        <w:pStyle w:val="9"/>
        <w:spacing w:before="10"/>
        <w:ind w:left="0"/>
        <w:jc w:val="left"/>
        <w:rPr>
          <w:rFonts w:hint="eastAsia"/>
          <w:sz w:val="30"/>
          <w:szCs w:val="30"/>
        </w:rPr>
      </w:pPr>
      <w:r>
        <w:rPr>
          <w:rFonts w:hint="eastAsia"/>
          <w:sz w:val="30"/>
          <w:szCs w:val="30"/>
        </w:rPr>
        <w:t>正如耶稣所说：“你们不要把这事看作希奇。时候要到，凡在坟墓里的，都要听见人子的声音，就出来：行善的，复活得生；作恶的，复活定罪”（约翰福音5:28-29，腓立比书3:20-21）。</w:t>
      </w:r>
    </w:p>
    <w:p w14:paraId="4CC4AAD8">
      <w:pPr>
        <w:pStyle w:val="9"/>
        <w:spacing w:before="10"/>
        <w:ind w:left="0"/>
        <w:jc w:val="left"/>
        <w:rPr>
          <w:rFonts w:hint="eastAsia"/>
          <w:sz w:val="30"/>
          <w:szCs w:val="30"/>
        </w:rPr>
      </w:pPr>
    </w:p>
    <w:p w14:paraId="5A57D36F">
      <w:pPr>
        <w:pStyle w:val="9"/>
        <w:spacing w:before="10"/>
        <w:ind w:left="0"/>
        <w:jc w:val="left"/>
        <w:rPr>
          <w:rFonts w:hint="eastAsia"/>
          <w:sz w:val="30"/>
          <w:szCs w:val="30"/>
        </w:rPr>
      </w:pPr>
      <w:r>
        <w:rPr>
          <w:rFonts w:hint="eastAsia"/>
          <w:sz w:val="30"/>
          <w:szCs w:val="30"/>
        </w:rPr>
        <w:t>As these words show, there is but one general bodily resurrection, for which reason Christ and his apostles repeatedly speak of it as the resurrection (Mt. 22:30, Luke 14:14, Acts 17:18, 24:15, Phil. 3:11).</w:t>
      </w:r>
    </w:p>
    <w:p w14:paraId="4FBC7AC9">
      <w:pPr>
        <w:pStyle w:val="9"/>
        <w:spacing w:before="10"/>
        <w:ind w:left="0"/>
        <w:jc w:val="left"/>
        <w:rPr>
          <w:rFonts w:hint="eastAsia"/>
          <w:sz w:val="30"/>
          <w:szCs w:val="30"/>
        </w:rPr>
      </w:pPr>
      <w:r>
        <w:rPr>
          <w:rFonts w:hint="eastAsia"/>
          <w:sz w:val="30"/>
          <w:szCs w:val="30"/>
        </w:rPr>
        <w:t>正如这些话所显示的，只有一个普世的身体复活，因此基督和祂的使徒们一再地称之为“那复活”（太22:30，路14:14，徒17:18, 24:15，腓3:11）。</w:t>
      </w:r>
    </w:p>
    <w:p w14:paraId="6804E9BE">
      <w:pPr>
        <w:pStyle w:val="9"/>
        <w:spacing w:before="10"/>
        <w:ind w:left="0"/>
        <w:jc w:val="left"/>
        <w:rPr>
          <w:rFonts w:hint="eastAsia"/>
          <w:sz w:val="30"/>
          <w:szCs w:val="30"/>
        </w:rPr>
      </w:pPr>
    </w:p>
    <w:p w14:paraId="75A9E30D">
      <w:pPr>
        <w:pStyle w:val="9"/>
        <w:spacing w:before="10"/>
        <w:ind w:left="0"/>
        <w:jc w:val="left"/>
        <w:rPr>
          <w:rFonts w:hint="eastAsia"/>
          <w:sz w:val="30"/>
          <w:szCs w:val="30"/>
        </w:rPr>
      </w:pPr>
      <w:r>
        <w:rPr>
          <w:rFonts w:hint="eastAsia"/>
          <w:sz w:val="30"/>
          <w:szCs w:val="30"/>
        </w:rPr>
        <w:t>The saints look forward to it as the consummation of their redemption (John 11:24, Rom. 8:23, Phil. 3:11).</w:t>
      </w:r>
    </w:p>
    <w:p w14:paraId="094BAF22">
      <w:pPr>
        <w:pStyle w:val="9"/>
        <w:spacing w:before="10"/>
        <w:ind w:left="0"/>
        <w:jc w:val="left"/>
        <w:rPr>
          <w:rFonts w:hint="eastAsia"/>
          <w:sz w:val="30"/>
          <w:szCs w:val="30"/>
        </w:rPr>
      </w:pPr>
      <w:r>
        <w:rPr>
          <w:rFonts w:hint="eastAsia"/>
          <w:sz w:val="30"/>
          <w:szCs w:val="30"/>
        </w:rPr>
        <w:t>圣徒们盼望它，作为他们救赎的成全（约翰福音11:24，罗马书8:23，腓立比书3:11）。</w:t>
      </w:r>
    </w:p>
    <w:p w14:paraId="4CE8066C">
      <w:pPr>
        <w:pStyle w:val="9"/>
        <w:spacing w:before="10"/>
        <w:ind w:left="0"/>
        <w:jc w:val="left"/>
        <w:rPr>
          <w:rFonts w:hint="eastAsia"/>
          <w:sz w:val="30"/>
          <w:szCs w:val="30"/>
        </w:rPr>
      </w:pPr>
    </w:p>
    <w:p w14:paraId="5892FA7F">
      <w:pPr>
        <w:pStyle w:val="9"/>
        <w:spacing w:before="10"/>
        <w:ind w:left="0"/>
        <w:jc w:val="left"/>
        <w:rPr>
          <w:rFonts w:hint="eastAsia"/>
          <w:sz w:val="30"/>
          <w:szCs w:val="30"/>
        </w:rPr>
      </w:pPr>
      <w:r>
        <w:rPr>
          <w:rFonts w:hint="eastAsia"/>
          <w:sz w:val="30"/>
          <w:szCs w:val="30"/>
        </w:rPr>
        <w:t>When it occurs, their perfect spirits will be joined to perfect bodies, in which they will live forever in perfect holiness.</w:t>
      </w:r>
    </w:p>
    <w:p w14:paraId="3634E52F">
      <w:pPr>
        <w:pStyle w:val="9"/>
        <w:spacing w:before="10"/>
        <w:ind w:left="0"/>
        <w:jc w:val="left"/>
        <w:rPr>
          <w:rFonts w:hint="eastAsia"/>
          <w:sz w:val="30"/>
          <w:szCs w:val="30"/>
        </w:rPr>
      </w:pPr>
      <w:r>
        <w:rPr>
          <w:rFonts w:hint="eastAsia"/>
          <w:sz w:val="30"/>
          <w:szCs w:val="30"/>
        </w:rPr>
        <w:t>当它发生时，他们完全的灵将与完全的身体联合，在其中他们将永远活在完全的圣洁中。</w:t>
      </w:r>
    </w:p>
    <w:p w14:paraId="02AF4903">
      <w:pPr>
        <w:pStyle w:val="9"/>
        <w:spacing w:before="10"/>
        <w:ind w:left="0"/>
        <w:jc w:val="left"/>
        <w:rPr>
          <w:rFonts w:hint="eastAsia"/>
          <w:sz w:val="30"/>
          <w:szCs w:val="30"/>
        </w:rPr>
      </w:pPr>
    </w:p>
    <w:p w14:paraId="52548189">
      <w:pPr>
        <w:pStyle w:val="9"/>
        <w:spacing w:before="10"/>
        <w:ind w:left="0"/>
        <w:jc w:val="left"/>
        <w:rPr>
          <w:rFonts w:hint="eastAsia"/>
          <w:sz w:val="30"/>
          <w:szCs w:val="30"/>
        </w:rPr>
      </w:pPr>
      <w:r>
        <w:rPr>
          <w:rFonts w:hint="eastAsia"/>
          <w:sz w:val="30"/>
          <w:szCs w:val="30"/>
        </w:rPr>
        <w:t>These bodies are like Christ’s body: glorious, powerful, incorruptible, and immortal (Luke 20:35-36, Phil. 3:20-21).</w:t>
      </w:r>
    </w:p>
    <w:p w14:paraId="386A83AE">
      <w:pPr>
        <w:pStyle w:val="9"/>
        <w:spacing w:before="10"/>
        <w:ind w:left="0"/>
        <w:jc w:val="left"/>
        <w:rPr>
          <w:rFonts w:hint="eastAsia"/>
          <w:sz w:val="30"/>
          <w:szCs w:val="30"/>
        </w:rPr>
      </w:pPr>
      <w:r>
        <w:rPr>
          <w:rFonts w:hint="eastAsia"/>
          <w:sz w:val="30"/>
          <w:szCs w:val="30"/>
        </w:rPr>
        <w:t>这些身体像基督的身体：荣耀的、有能力的、不朽坏的、不死的（路加福音20:35-36，腓立比书3:20-21）。</w:t>
      </w:r>
    </w:p>
    <w:p w14:paraId="464E1ED0">
      <w:pPr>
        <w:pStyle w:val="9"/>
        <w:spacing w:before="10"/>
        <w:ind w:left="0"/>
        <w:jc w:val="left"/>
        <w:rPr>
          <w:rFonts w:hint="eastAsia"/>
          <w:sz w:val="30"/>
          <w:szCs w:val="30"/>
        </w:rPr>
      </w:pPr>
    </w:p>
    <w:p w14:paraId="7E7A1B73">
      <w:pPr>
        <w:pStyle w:val="9"/>
        <w:spacing w:before="10"/>
        <w:ind w:left="0"/>
        <w:jc w:val="left"/>
        <w:rPr>
          <w:rFonts w:hint="eastAsia"/>
          <w:sz w:val="30"/>
          <w:szCs w:val="30"/>
        </w:rPr>
      </w:pPr>
      <w:r>
        <w:rPr>
          <w:rFonts w:hint="eastAsia"/>
          <w:sz w:val="30"/>
          <w:szCs w:val="30"/>
        </w:rPr>
        <w:t>They are perfectly suited to the unimaginable glories of the World to Come (1 Cor. 15:50).</w:t>
      </w:r>
    </w:p>
    <w:p w14:paraId="406350E7">
      <w:pPr>
        <w:pStyle w:val="9"/>
        <w:spacing w:before="10"/>
        <w:ind w:left="0"/>
        <w:jc w:val="left"/>
        <w:rPr>
          <w:rFonts w:hint="eastAsia"/>
          <w:sz w:val="30"/>
          <w:szCs w:val="30"/>
        </w:rPr>
      </w:pPr>
      <w:r>
        <w:rPr>
          <w:rFonts w:hint="eastAsia"/>
          <w:sz w:val="30"/>
          <w:szCs w:val="30"/>
        </w:rPr>
        <w:t>它们完全适合将来世界那难以想象的荣耀（林前15:50）。</w:t>
      </w:r>
    </w:p>
    <w:p w14:paraId="0A225EE0">
      <w:pPr>
        <w:pStyle w:val="9"/>
        <w:spacing w:before="10"/>
        <w:ind w:left="0"/>
        <w:jc w:val="left"/>
        <w:rPr>
          <w:rFonts w:hint="eastAsia"/>
          <w:sz w:val="30"/>
          <w:szCs w:val="30"/>
        </w:rPr>
      </w:pPr>
    </w:p>
    <w:p w14:paraId="45B60D6E">
      <w:pPr>
        <w:pStyle w:val="9"/>
        <w:spacing w:before="10"/>
        <w:ind w:left="0"/>
        <w:jc w:val="left"/>
        <w:rPr>
          <w:rFonts w:hint="eastAsia"/>
          <w:sz w:val="30"/>
          <w:szCs w:val="30"/>
        </w:rPr>
      </w:pPr>
      <w:r>
        <w:rPr>
          <w:rFonts w:hint="eastAsia"/>
          <w:sz w:val="30"/>
          <w:szCs w:val="30"/>
        </w:rPr>
        <w:t>One of Israel’s leading sects, the Sadducees, flatly denied the resurrection of the body (Mark 12:18).</w:t>
      </w:r>
    </w:p>
    <w:p w14:paraId="49DC1452">
      <w:pPr>
        <w:pStyle w:val="9"/>
        <w:spacing w:before="10"/>
        <w:ind w:left="0"/>
        <w:jc w:val="left"/>
        <w:rPr>
          <w:rFonts w:hint="eastAsia"/>
          <w:sz w:val="30"/>
          <w:szCs w:val="30"/>
        </w:rPr>
      </w:pPr>
      <w:r>
        <w:rPr>
          <w:rFonts w:hint="eastAsia"/>
          <w:sz w:val="30"/>
          <w:szCs w:val="30"/>
        </w:rPr>
        <w:t>以色列的一个主要教派，撒都该人，断然否认身体的复活（马可福音12:18）。</w:t>
      </w:r>
    </w:p>
    <w:p w14:paraId="646C6F54">
      <w:pPr>
        <w:pStyle w:val="9"/>
        <w:spacing w:before="10"/>
        <w:ind w:left="0"/>
        <w:jc w:val="left"/>
        <w:rPr>
          <w:rFonts w:hint="eastAsia"/>
          <w:sz w:val="30"/>
          <w:szCs w:val="30"/>
        </w:rPr>
      </w:pPr>
    </w:p>
    <w:p w14:paraId="18C3C3A3">
      <w:pPr>
        <w:pStyle w:val="9"/>
        <w:spacing w:before="10"/>
        <w:ind w:left="0"/>
        <w:jc w:val="left"/>
        <w:rPr>
          <w:rFonts w:hint="eastAsia"/>
          <w:sz w:val="30"/>
          <w:szCs w:val="30"/>
        </w:rPr>
      </w:pPr>
      <w:r>
        <w:rPr>
          <w:rFonts w:hint="eastAsia"/>
          <w:sz w:val="30"/>
          <w:szCs w:val="30"/>
        </w:rPr>
        <w:t>The Athenians, at the sound of Paul’s preaching, scoffed at the very idea (Acts 17:32).</w:t>
      </w:r>
    </w:p>
    <w:p w14:paraId="36D1630B">
      <w:pPr>
        <w:pStyle w:val="9"/>
        <w:spacing w:before="10"/>
        <w:ind w:left="0"/>
        <w:jc w:val="left"/>
        <w:rPr>
          <w:rFonts w:hint="eastAsia"/>
          <w:sz w:val="30"/>
          <w:szCs w:val="30"/>
        </w:rPr>
      </w:pPr>
      <w:r>
        <w:rPr>
          <w:rFonts w:hint="eastAsia"/>
          <w:sz w:val="30"/>
          <w:szCs w:val="30"/>
        </w:rPr>
        <w:t>雅典人，在听到保罗的讲道时，对这个观念嗤之以鼻（使徒行传17:32）。</w:t>
      </w:r>
    </w:p>
    <w:p w14:paraId="49F797C1">
      <w:pPr>
        <w:pStyle w:val="9"/>
        <w:spacing w:before="10"/>
        <w:ind w:left="0"/>
        <w:jc w:val="left"/>
        <w:rPr>
          <w:rFonts w:hint="eastAsia"/>
          <w:sz w:val="30"/>
          <w:szCs w:val="30"/>
        </w:rPr>
      </w:pPr>
    </w:p>
    <w:p w14:paraId="1E658214">
      <w:pPr>
        <w:pStyle w:val="9"/>
        <w:spacing w:before="10"/>
        <w:ind w:left="0"/>
        <w:jc w:val="left"/>
        <w:rPr>
          <w:rFonts w:hint="eastAsia"/>
          <w:sz w:val="30"/>
          <w:szCs w:val="30"/>
        </w:rPr>
      </w:pPr>
      <w:r>
        <w:rPr>
          <w:rFonts w:hint="eastAsia"/>
          <w:sz w:val="30"/>
          <w:szCs w:val="30"/>
        </w:rPr>
        <w:t>Modern skeptics follow in their footsteps.</w:t>
      </w:r>
    </w:p>
    <w:p w14:paraId="223D6B99">
      <w:pPr>
        <w:pStyle w:val="9"/>
        <w:spacing w:before="10"/>
        <w:ind w:left="0"/>
        <w:jc w:val="left"/>
        <w:rPr>
          <w:rFonts w:hint="eastAsia"/>
          <w:sz w:val="30"/>
          <w:szCs w:val="30"/>
        </w:rPr>
      </w:pPr>
      <w:r>
        <w:rPr>
          <w:rFonts w:hint="eastAsia"/>
          <w:sz w:val="30"/>
          <w:szCs w:val="30"/>
        </w:rPr>
        <w:t>现代的怀疑论者步他们的后尘。</w:t>
      </w:r>
    </w:p>
    <w:p w14:paraId="48E2FC8D">
      <w:pPr>
        <w:pStyle w:val="9"/>
        <w:spacing w:before="10"/>
        <w:ind w:left="0"/>
        <w:jc w:val="left"/>
        <w:rPr>
          <w:rFonts w:hint="eastAsia"/>
          <w:sz w:val="30"/>
          <w:szCs w:val="30"/>
        </w:rPr>
      </w:pPr>
    </w:p>
    <w:p w14:paraId="242A13F7">
      <w:pPr>
        <w:pStyle w:val="9"/>
        <w:spacing w:before="10"/>
        <w:ind w:left="0"/>
        <w:jc w:val="left"/>
        <w:rPr>
          <w:rFonts w:hint="eastAsia"/>
          <w:sz w:val="30"/>
          <w:szCs w:val="30"/>
        </w:rPr>
      </w:pPr>
      <w:r>
        <w:rPr>
          <w:rFonts w:hint="eastAsia"/>
          <w:sz w:val="30"/>
          <w:szCs w:val="30"/>
        </w:rPr>
        <w:t>But Jesus rebukes them all, saying, “You are mistaken, knowing neither the Scriptures nor the power of God” (Mt. 22:29).</w:t>
      </w:r>
    </w:p>
    <w:p w14:paraId="43F19DD0">
      <w:pPr>
        <w:pStyle w:val="9"/>
        <w:spacing w:before="10"/>
        <w:ind w:left="0"/>
        <w:jc w:val="left"/>
        <w:rPr>
          <w:rFonts w:hint="eastAsia"/>
          <w:sz w:val="30"/>
          <w:szCs w:val="30"/>
        </w:rPr>
      </w:pPr>
      <w:r>
        <w:rPr>
          <w:rFonts w:hint="eastAsia"/>
          <w:sz w:val="30"/>
          <w:szCs w:val="30"/>
        </w:rPr>
        <w:t>但耶稣斥责他们说：“你们错了，因为不明白圣经，也不晓得上帝的大能”（太22:29）。</w:t>
      </w:r>
    </w:p>
    <w:p w14:paraId="5C594215">
      <w:pPr>
        <w:pStyle w:val="9"/>
        <w:spacing w:before="10"/>
        <w:ind w:left="0"/>
        <w:jc w:val="left"/>
        <w:rPr>
          <w:rFonts w:hint="eastAsia"/>
          <w:sz w:val="30"/>
          <w:szCs w:val="30"/>
        </w:rPr>
      </w:pPr>
    </w:p>
    <w:p w14:paraId="2013EC89">
      <w:pPr>
        <w:pStyle w:val="9"/>
        <w:spacing w:before="10"/>
        <w:ind w:left="0"/>
        <w:jc w:val="left"/>
        <w:rPr>
          <w:rFonts w:hint="eastAsia"/>
          <w:sz w:val="30"/>
          <w:szCs w:val="30"/>
        </w:rPr>
      </w:pPr>
      <w:r>
        <w:rPr>
          <w:rFonts w:hint="eastAsia"/>
          <w:sz w:val="30"/>
          <w:szCs w:val="30"/>
        </w:rPr>
        <w:t>The resurrection will abundantly vindicate both.</w:t>
      </w:r>
    </w:p>
    <w:p w14:paraId="674BAFF7">
      <w:pPr>
        <w:pStyle w:val="9"/>
        <w:spacing w:before="10"/>
        <w:ind w:left="0"/>
        <w:jc w:val="left"/>
        <w:rPr>
          <w:rFonts w:hint="eastAsia"/>
          <w:sz w:val="30"/>
          <w:szCs w:val="30"/>
        </w:rPr>
      </w:pPr>
      <w:r>
        <w:rPr>
          <w:rFonts w:hint="eastAsia"/>
          <w:sz w:val="30"/>
          <w:szCs w:val="30"/>
        </w:rPr>
        <w:t>复活将充分地证实这两者。</w:t>
      </w:r>
    </w:p>
    <w:p w14:paraId="2EE85294">
      <w:pPr>
        <w:pStyle w:val="9"/>
        <w:spacing w:before="10"/>
        <w:ind w:left="0"/>
        <w:jc w:val="left"/>
        <w:rPr>
          <w:rFonts w:hint="eastAsia"/>
          <w:sz w:val="30"/>
          <w:szCs w:val="30"/>
        </w:rPr>
      </w:pPr>
    </w:p>
    <w:p w14:paraId="7B051FC5">
      <w:pPr>
        <w:pStyle w:val="9"/>
        <w:spacing w:before="10"/>
        <w:ind w:left="0"/>
        <w:jc w:val="left"/>
        <w:rPr>
          <w:rFonts w:hint="eastAsia"/>
          <w:sz w:val="30"/>
          <w:szCs w:val="30"/>
        </w:rPr>
      </w:pPr>
      <w:r>
        <w:rPr>
          <w:rFonts w:hint="eastAsia"/>
          <w:sz w:val="30"/>
          <w:szCs w:val="30"/>
        </w:rPr>
        <w:t>Saints living at the time of Christ’s return will not be raised, but suddenly transformed and glorified.</w:t>
      </w:r>
    </w:p>
    <w:p w14:paraId="5B40C2F8">
      <w:pPr>
        <w:pStyle w:val="9"/>
        <w:spacing w:before="10"/>
        <w:ind w:left="0"/>
        <w:jc w:val="left"/>
        <w:rPr>
          <w:rFonts w:hint="eastAsia"/>
          <w:sz w:val="30"/>
          <w:szCs w:val="30"/>
        </w:rPr>
      </w:pPr>
      <w:r>
        <w:rPr>
          <w:rFonts w:hint="eastAsia"/>
          <w:sz w:val="30"/>
          <w:szCs w:val="30"/>
        </w:rPr>
        <w:t>在基督再来时活着的圣徒不会复活，而是会突然被改变和得荣耀。</w:t>
      </w:r>
    </w:p>
    <w:p w14:paraId="67F40338">
      <w:pPr>
        <w:pStyle w:val="9"/>
        <w:spacing w:before="10"/>
        <w:ind w:left="0"/>
        <w:jc w:val="left"/>
        <w:rPr>
          <w:rFonts w:hint="eastAsia"/>
          <w:sz w:val="30"/>
          <w:szCs w:val="30"/>
        </w:rPr>
      </w:pPr>
    </w:p>
    <w:p w14:paraId="3D5895F5">
      <w:pPr>
        <w:pStyle w:val="9"/>
        <w:spacing w:before="10"/>
        <w:ind w:left="0"/>
        <w:jc w:val="left"/>
        <w:rPr>
          <w:rFonts w:hint="eastAsia"/>
          <w:sz w:val="30"/>
          <w:szCs w:val="30"/>
        </w:rPr>
      </w:pPr>
      <w:r>
        <w:rPr>
          <w:rFonts w:hint="eastAsia"/>
          <w:sz w:val="30"/>
          <w:szCs w:val="30"/>
        </w:rPr>
        <w:t>According to the apostle John, this amazing change occurs at the very moment they behold the Lord coming in the sky.</w:t>
      </w:r>
    </w:p>
    <w:p w14:paraId="58E5CEE5">
      <w:pPr>
        <w:pStyle w:val="9"/>
        <w:spacing w:before="10"/>
        <w:ind w:left="0"/>
        <w:jc w:val="left"/>
        <w:rPr>
          <w:rFonts w:hint="eastAsia"/>
          <w:sz w:val="30"/>
          <w:szCs w:val="30"/>
        </w:rPr>
      </w:pPr>
      <w:r>
        <w:rPr>
          <w:rFonts w:hint="eastAsia"/>
          <w:sz w:val="30"/>
          <w:szCs w:val="30"/>
        </w:rPr>
        <w:t>根据使徒约翰，这个惊人的改变发生在他们看见主驾云降临的那一刻。</w:t>
      </w:r>
    </w:p>
    <w:p w14:paraId="6E78742E">
      <w:pPr>
        <w:pStyle w:val="9"/>
        <w:spacing w:before="10"/>
        <w:ind w:left="0"/>
        <w:jc w:val="left"/>
        <w:rPr>
          <w:rFonts w:hint="eastAsia"/>
          <w:sz w:val="30"/>
          <w:szCs w:val="30"/>
        </w:rPr>
      </w:pPr>
    </w:p>
    <w:p w14:paraId="682D33E2">
      <w:pPr>
        <w:pStyle w:val="9"/>
        <w:spacing w:before="10"/>
        <w:ind w:left="0"/>
        <w:jc w:val="left"/>
        <w:rPr>
          <w:rFonts w:hint="eastAsia"/>
          <w:sz w:val="30"/>
          <w:szCs w:val="30"/>
        </w:rPr>
      </w:pPr>
      <w:r>
        <w:rPr>
          <w:rFonts w:hint="eastAsia"/>
          <w:sz w:val="30"/>
          <w:szCs w:val="30"/>
        </w:rPr>
        <w:t>“Beloved, now we are the children of God, and it has not yet been revealed what we shall be; but we know that when He is revealed, we shall be like Him, for we shall see Him as He is” (1 John 3:2; 2 Cor. 3:18).</w:t>
      </w:r>
    </w:p>
    <w:p w14:paraId="7D6EECF2">
      <w:pPr>
        <w:pStyle w:val="9"/>
        <w:spacing w:before="10"/>
        <w:ind w:left="0"/>
        <w:jc w:val="left"/>
        <w:rPr>
          <w:rFonts w:hint="eastAsia"/>
          <w:sz w:val="30"/>
          <w:szCs w:val="30"/>
        </w:rPr>
      </w:pPr>
      <w:r>
        <w:rPr>
          <w:rFonts w:hint="eastAsia"/>
          <w:sz w:val="30"/>
          <w:szCs w:val="30"/>
        </w:rPr>
        <w:t>“亲爱的弟兄啊，我们现在是上帝的儿女，将来如何，还未显明；但我们知道，主若显现，我们必要像祂，因为必得见祂的真体”（约翰一书3:2；哥林多后书3:18）。</w:t>
      </w:r>
    </w:p>
    <w:p w14:paraId="2F5985A8">
      <w:pPr>
        <w:pStyle w:val="9"/>
        <w:spacing w:before="10"/>
        <w:ind w:left="0"/>
        <w:jc w:val="left"/>
        <w:rPr>
          <w:rFonts w:hint="eastAsia"/>
          <w:sz w:val="30"/>
          <w:szCs w:val="30"/>
        </w:rPr>
      </w:pPr>
    </w:p>
    <w:p w14:paraId="2F17C91A">
      <w:pPr>
        <w:pStyle w:val="9"/>
        <w:spacing w:before="10"/>
        <w:ind w:left="0"/>
        <w:jc w:val="left"/>
        <w:rPr>
          <w:rFonts w:hint="eastAsia"/>
          <w:sz w:val="30"/>
          <w:szCs w:val="30"/>
        </w:rPr>
      </w:pPr>
      <w:r>
        <w:rPr>
          <w:rFonts w:hint="eastAsia"/>
          <w:sz w:val="30"/>
          <w:szCs w:val="30"/>
        </w:rPr>
        <w:t>Similarly, the apostle Paul declares: “Behold, I tell you a mystery: we shall not all sleep, but we shall all be changed—in a moment, in the twinkling of an eye, at the last trumpet.</w:t>
      </w:r>
    </w:p>
    <w:p w14:paraId="7076EA4A">
      <w:pPr>
        <w:pStyle w:val="9"/>
        <w:spacing w:before="10"/>
        <w:ind w:left="0"/>
        <w:jc w:val="left"/>
        <w:rPr>
          <w:rFonts w:hint="eastAsia"/>
          <w:sz w:val="30"/>
          <w:szCs w:val="30"/>
        </w:rPr>
      </w:pPr>
      <w:r>
        <w:rPr>
          <w:rFonts w:hint="eastAsia"/>
          <w:sz w:val="30"/>
          <w:szCs w:val="30"/>
        </w:rPr>
        <w:t>同样，使徒保罗宣告说：“我如今把一件奥秘的事告诉你们：我们不是都要睡觉，乃是都要改变——就在一霎时，眨眼之间，号筒末次吹响的时候。”</w:t>
      </w:r>
    </w:p>
    <w:p w14:paraId="32A7F562">
      <w:pPr>
        <w:pStyle w:val="9"/>
        <w:spacing w:before="10"/>
        <w:ind w:left="0"/>
        <w:jc w:val="left"/>
        <w:rPr>
          <w:rFonts w:hint="eastAsia"/>
          <w:sz w:val="30"/>
          <w:szCs w:val="30"/>
        </w:rPr>
      </w:pPr>
    </w:p>
    <w:p w14:paraId="7A9B4922">
      <w:pPr>
        <w:pStyle w:val="9"/>
        <w:spacing w:before="10"/>
        <w:ind w:left="0"/>
        <w:jc w:val="left"/>
        <w:rPr>
          <w:rFonts w:hint="eastAsia"/>
          <w:sz w:val="30"/>
          <w:szCs w:val="30"/>
        </w:rPr>
      </w:pPr>
      <w:r>
        <w:rPr>
          <w:rFonts w:hint="eastAsia"/>
          <w:sz w:val="30"/>
          <w:szCs w:val="30"/>
        </w:rPr>
        <w:t>For the trumpet will sound, and the dead will be raised incorruptible, and we shall be changed” (1 Cor. 15:50-52, 1 Thess. 4:13-18).</w:t>
      </w:r>
    </w:p>
    <w:p w14:paraId="7C7790DE">
      <w:pPr>
        <w:pStyle w:val="9"/>
        <w:spacing w:before="10"/>
        <w:ind w:left="0"/>
        <w:jc w:val="left"/>
        <w:rPr>
          <w:rFonts w:hint="eastAsia"/>
          <w:sz w:val="30"/>
          <w:szCs w:val="30"/>
        </w:rPr>
      </w:pPr>
      <w:r>
        <w:rPr>
          <w:rFonts w:hint="eastAsia"/>
          <w:sz w:val="30"/>
          <w:szCs w:val="30"/>
        </w:rPr>
        <w:t>“因号筒要响，死人要复活成为不朽坏的，我们也要改变”（林前15:50-52，帖前4:13-18）。</w:t>
      </w:r>
    </w:p>
    <w:p w14:paraId="18E999ED">
      <w:pPr>
        <w:pStyle w:val="9"/>
        <w:spacing w:before="10"/>
        <w:ind w:left="0"/>
        <w:jc w:val="left"/>
        <w:rPr>
          <w:rFonts w:hint="eastAsia"/>
          <w:sz w:val="30"/>
          <w:szCs w:val="30"/>
        </w:rPr>
      </w:pPr>
    </w:p>
    <w:p w14:paraId="3C03F9B7">
      <w:pPr>
        <w:pStyle w:val="9"/>
        <w:spacing w:before="10"/>
        <w:ind w:left="0"/>
        <w:jc w:val="left"/>
        <w:rPr>
          <w:rFonts w:hint="eastAsia"/>
          <w:sz w:val="30"/>
          <w:szCs w:val="30"/>
        </w:rPr>
      </w:pPr>
      <w:r>
        <w:rPr>
          <w:rFonts w:hint="eastAsia"/>
          <w:sz w:val="30"/>
          <w:szCs w:val="30"/>
        </w:rPr>
        <w:t>At the resurrection of the dead and the transformation of the living saints, Christ gathers together and glorifies the new family of man, so that they may live with him and the Father forever.</w:t>
      </w:r>
    </w:p>
    <w:p w14:paraId="50A9BD78">
      <w:pPr>
        <w:pStyle w:val="9"/>
        <w:spacing w:before="10"/>
        <w:ind w:left="0"/>
        <w:jc w:val="left"/>
        <w:rPr>
          <w:rFonts w:hint="eastAsia"/>
          <w:sz w:val="30"/>
          <w:szCs w:val="30"/>
        </w:rPr>
      </w:pPr>
      <w:r>
        <w:rPr>
          <w:rFonts w:hint="eastAsia"/>
          <w:sz w:val="30"/>
          <w:szCs w:val="30"/>
        </w:rPr>
        <w:t>在死人复活和活着圣徒的改变时，基督聚集并荣耀人类的新家庭，好叫他们可以与祂和父永远同活。</w:t>
      </w:r>
    </w:p>
    <w:p w14:paraId="47B8296E">
      <w:pPr>
        <w:pStyle w:val="9"/>
        <w:spacing w:before="10"/>
        <w:ind w:left="0"/>
        <w:jc w:val="left"/>
        <w:rPr>
          <w:rFonts w:hint="eastAsia"/>
          <w:sz w:val="30"/>
          <w:szCs w:val="30"/>
        </w:rPr>
      </w:pPr>
    </w:p>
    <w:p w14:paraId="7B8AA6EC">
      <w:pPr>
        <w:pStyle w:val="9"/>
        <w:spacing w:before="10"/>
        <w:ind w:left="0"/>
        <w:jc w:val="left"/>
        <w:rPr>
          <w:rFonts w:hint="eastAsia"/>
          <w:sz w:val="30"/>
          <w:szCs w:val="30"/>
        </w:rPr>
      </w:pPr>
      <w:r>
        <w:rPr>
          <w:rFonts w:hint="eastAsia"/>
          <w:sz w:val="30"/>
          <w:szCs w:val="30"/>
        </w:rPr>
        <w:t>The Resurrection also includes a catching up and gathering together of risen (or transformed) mankind to meet the Lord in the sky.</w:t>
      </w:r>
    </w:p>
    <w:p w14:paraId="617A6DE9">
      <w:pPr>
        <w:pStyle w:val="9"/>
        <w:spacing w:before="10"/>
        <w:ind w:left="0"/>
        <w:jc w:val="left"/>
        <w:rPr>
          <w:rFonts w:hint="eastAsia"/>
          <w:sz w:val="30"/>
          <w:szCs w:val="30"/>
        </w:rPr>
      </w:pPr>
      <w:r>
        <w:rPr>
          <w:rFonts w:hint="eastAsia"/>
          <w:sz w:val="30"/>
          <w:szCs w:val="30"/>
        </w:rPr>
        <w:t>复活也包括了复活（或改变）的人类被提到空中与主相遇。</w:t>
      </w:r>
    </w:p>
    <w:p w14:paraId="628C1E51">
      <w:pPr>
        <w:pStyle w:val="9"/>
        <w:spacing w:before="10"/>
        <w:ind w:left="0"/>
        <w:jc w:val="left"/>
        <w:rPr>
          <w:rFonts w:hint="eastAsia"/>
          <w:sz w:val="30"/>
          <w:szCs w:val="30"/>
        </w:rPr>
      </w:pPr>
    </w:p>
    <w:p w14:paraId="438FFC1D">
      <w:pPr>
        <w:pStyle w:val="9"/>
        <w:spacing w:before="10"/>
        <w:ind w:left="0"/>
        <w:jc w:val="left"/>
        <w:rPr>
          <w:rFonts w:hint="eastAsia"/>
          <w:sz w:val="30"/>
          <w:szCs w:val="30"/>
        </w:rPr>
      </w:pPr>
      <w:r>
        <w:rPr>
          <w:rFonts w:hint="eastAsia"/>
          <w:sz w:val="30"/>
          <w:szCs w:val="30"/>
        </w:rPr>
        <w:t>As we learn from the Olivet discourse, at the Parousia Christ will send forth his angels to gather his elect from the four corners of the earth (Mt. 24:31, 1 Thess. 4:13-18).</w:t>
      </w:r>
    </w:p>
    <w:p w14:paraId="3CCFA116">
      <w:pPr>
        <w:pStyle w:val="9"/>
        <w:spacing w:before="10"/>
        <w:ind w:left="0"/>
        <w:jc w:val="left"/>
        <w:rPr>
          <w:rFonts w:hint="eastAsia"/>
          <w:sz w:val="30"/>
          <w:szCs w:val="30"/>
        </w:rPr>
      </w:pPr>
      <w:r>
        <w:rPr>
          <w:rFonts w:hint="eastAsia"/>
          <w:sz w:val="30"/>
          <w:szCs w:val="30"/>
        </w:rPr>
        <w:t>我们从橄榄山论述中学到，在主临（Parousia）时，基督将差遣祂的天使，从地的四极招聚祂的选民（太24:31，帖前4:13-18）。</w:t>
      </w:r>
    </w:p>
    <w:p w14:paraId="092FE001">
      <w:pPr>
        <w:pStyle w:val="9"/>
        <w:spacing w:before="10"/>
        <w:ind w:left="0"/>
        <w:jc w:val="left"/>
        <w:rPr>
          <w:rFonts w:hint="eastAsia"/>
          <w:sz w:val="30"/>
          <w:szCs w:val="30"/>
        </w:rPr>
      </w:pPr>
    </w:p>
    <w:p w14:paraId="74BD8E60">
      <w:pPr>
        <w:pStyle w:val="9"/>
        <w:spacing w:before="10"/>
        <w:ind w:left="0"/>
        <w:jc w:val="left"/>
        <w:rPr>
          <w:rFonts w:hint="eastAsia"/>
          <w:sz w:val="30"/>
          <w:szCs w:val="30"/>
        </w:rPr>
      </w:pPr>
      <w:r>
        <w:rPr>
          <w:rFonts w:hint="eastAsia"/>
          <w:sz w:val="30"/>
          <w:szCs w:val="30"/>
        </w:rPr>
        <w:t>But as we learn from the Parable of the Wheat and the Tares, he will also send forth his angels to gather up the wicked.</w:t>
      </w:r>
    </w:p>
    <w:p w14:paraId="24E1F28B">
      <w:pPr>
        <w:pStyle w:val="9"/>
        <w:spacing w:before="10"/>
        <w:ind w:left="0"/>
        <w:jc w:val="left"/>
        <w:rPr>
          <w:rFonts w:hint="eastAsia"/>
          <w:sz w:val="30"/>
          <w:szCs w:val="30"/>
        </w:rPr>
      </w:pPr>
      <w:r>
        <w:rPr>
          <w:rFonts w:hint="eastAsia"/>
          <w:sz w:val="30"/>
          <w:szCs w:val="30"/>
        </w:rPr>
        <w:t>但我们从麦子和稗子的比喻中学到，祂也将差遣祂的天使去聚集恶人。</w:t>
      </w:r>
    </w:p>
    <w:p w14:paraId="75881791">
      <w:pPr>
        <w:pStyle w:val="9"/>
        <w:spacing w:before="10"/>
        <w:ind w:left="0"/>
        <w:jc w:val="left"/>
        <w:rPr>
          <w:rFonts w:hint="eastAsia"/>
          <w:sz w:val="30"/>
          <w:szCs w:val="30"/>
        </w:rPr>
      </w:pPr>
    </w:p>
    <w:p w14:paraId="6F789BBD">
      <w:pPr>
        <w:pStyle w:val="9"/>
        <w:spacing w:before="10"/>
        <w:ind w:left="0"/>
        <w:jc w:val="left"/>
        <w:rPr>
          <w:rFonts w:hint="eastAsia"/>
          <w:sz w:val="30"/>
          <w:szCs w:val="30"/>
        </w:rPr>
      </w:pPr>
      <w:r>
        <w:rPr>
          <w:rFonts w:hint="eastAsia"/>
          <w:sz w:val="30"/>
          <w:szCs w:val="30"/>
        </w:rPr>
        <w:t>To judge from parallel NT texts, it appears that they too will first be brought before the Judgment Seat of Christ (where all must appear), and then cast into the furnace of fire (Mt. 13:41-42, 25:31ff, 2 Cor. 5:10, Rev. 20:11-15).</w:t>
      </w:r>
    </w:p>
    <w:p w14:paraId="231E3F5D">
      <w:pPr>
        <w:pStyle w:val="9"/>
        <w:spacing w:before="10"/>
        <w:ind w:left="0"/>
        <w:jc w:val="left"/>
        <w:rPr>
          <w:rFonts w:hint="eastAsia"/>
          <w:sz w:val="30"/>
          <w:szCs w:val="30"/>
        </w:rPr>
      </w:pPr>
      <w:r>
        <w:rPr>
          <w:rFonts w:hint="eastAsia"/>
          <w:sz w:val="30"/>
          <w:szCs w:val="30"/>
        </w:rPr>
        <w:t>从平行的经文来看，他们似乎也将先被带到基督的审判台前（所有人都必须显现在那里），然后被扔在火炉里（太13:41-42, 25:31及以下，林后5:10，启20:11-15）。</w:t>
      </w:r>
    </w:p>
    <w:p w14:paraId="2CC12BC3">
      <w:pPr>
        <w:pStyle w:val="9"/>
        <w:spacing w:before="10"/>
        <w:ind w:left="0"/>
        <w:jc w:val="left"/>
        <w:rPr>
          <w:rFonts w:hint="eastAsia"/>
          <w:sz w:val="30"/>
          <w:szCs w:val="30"/>
        </w:rPr>
      </w:pPr>
    </w:p>
    <w:p w14:paraId="73F94D8C">
      <w:pPr>
        <w:pStyle w:val="9"/>
        <w:spacing w:before="10"/>
        <w:ind w:left="0"/>
        <w:jc w:val="left"/>
        <w:rPr>
          <w:rFonts w:hint="eastAsia"/>
          <w:sz w:val="30"/>
          <w:szCs w:val="30"/>
        </w:rPr>
      </w:pPr>
      <w:r>
        <w:rPr>
          <w:rFonts w:hint="eastAsia"/>
          <w:sz w:val="30"/>
          <w:szCs w:val="30"/>
        </w:rPr>
        <w:t>Dispensational interpreters argue that this catching up (which they call the Rapture) affects only Christ’s Church, occurs in secret, and is separated by seven years from his visible return in glory.</w:t>
      </w:r>
    </w:p>
    <w:p w14:paraId="029213A1">
      <w:pPr>
        <w:pStyle w:val="9"/>
        <w:spacing w:before="10"/>
        <w:ind w:left="0"/>
        <w:jc w:val="left"/>
        <w:rPr>
          <w:rFonts w:hint="eastAsia"/>
          <w:sz w:val="30"/>
          <w:szCs w:val="30"/>
        </w:rPr>
      </w:pPr>
      <w:r>
        <w:rPr>
          <w:rFonts w:hint="eastAsia"/>
          <w:sz w:val="30"/>
          <w:szCs w:val="30"/>
        </w:rPr>
        <w:t>时代论的解释者认为，这次的被提（他们称之为被提）只影响基督的教会，是秘密发生的，并且与祂在荣耀中可见的再来相隔七年。</w:t>
      </w:r>
    </w:p>
    <w:p w14:paraId="47FB005A">
      <w:pPr>
        <w:pStyle w:val="9"/>
        <w:spacing w:before="10"/>
        <w:ind w:left="0"/>
        <w:jc w:val="left"/>
        <w:rPr>
          <w:rFonts w:hint="eastAsia"/>
          <w:sz w:val="30"/>
          <w:szCs w:val="30"/>
        </w:rPr>
      </w:pPr>
    </w:p>
    <w:p w14:paraId="44E8E49A">
      <w:pPr>
        <w:pStyle w:val="9"/>
        <w:spacing w:before="10"/>
        <w:ind w:left="0"/>
        <w:jc w:val="left"/>
        <w:rPr>
          <w:rFonts w:hint="eastAsia"/>
          <w:sz w:val="30"/>
          <w:szCs w:val="30"/>
        </w:rPr>
      </w:pPr>
      <w:r>
        <w:rPr>
          <w:rFonts w:hint="eastAsia"/>
          <w:sz w:val="30"/>
          <w:szCs w:val="30"/>
        </w:rPr>
        <w:t>But again, this view seriously departs both from the Bible and from traditional Christian theology, as a careful study of the relevant texts and Church history will reveal (Mt. 24:29-31, 25:31ff, 1 Thess. 4:13-18, 2 Thess. 1, Rev. 14:14-20).</w:t>
      </w:r>
    </w:p>
    <w:p w14:paraId="63442A33">
      <w:pPr>
        <w:pStyle w:val="9"/>
        <w:spacing w:before="10"/>
        <w:ind w:left="0"/>
        <w:jc w:val="left"/>
        <w:rPr>
          <w:rFonts w:hint="eastAsia"/>
          <w:sz w:val="30"/>
          <w:szCs w:val="30"/>
        </w:rPr>
      </w:pPr>
      <w:r>
        <w:rPr>
          <w:rFonts w:hint="eastAsia"/>
          <w:sz w:val="30"/>
          <w:szCs w:val="30"/>
        </w:rPr>
        <w:t>但再次，这种观点严重偏离了圣经和传统的基督教神学，仔细研究相关的经文和教会历史就会发现这一点（太24:29-31, 25:31及以下，帖前4:13-18，帖后1，启14:14-20）。</w:t>
      </w:r>
    </w:p>
    <w:p w14:paraId="2A8FD339">
      <w:pPr>
        <w:pStyle w:val="9"/>
        <w:spacing w:before="10"/>
        <w:ind w:left="0"/>
        <w:jc w:val="left"/>
        <w:rPr>
          <w:rFonts w:hint="eastAsia"/>
          <w:sz w:val="30"/>
          <w:szCs w:val="30"/>
        </w:rPr>
      </w:pPr>
    </w:p>
    <w:p w14:paraId="78F7C4E8">
      <w:pPr>
        <w:pStyle w:val="9"/>
        <w:spacing w:before="10"/>
        <w:ind w:left="0"/>
        <w:jc w:val="left"/>
        <w:rPr>
          <w:rFonts w:hint="eastAsia"/>
          <w:sz w:val="30"/>
          <w:szCs w:val="30"/>
        </w:rPr>
      </w:pPr>
      <w:r>
        <w:rPr>
          <w:rFonts w:hint="eastAsia"/>
          <w:sz w:val="30"/>
          <w:szCs w:val="30"/>
        </w:rPr>
        <w:t>The resurrection and its concomitants contribute abundantly to the saints’ blessed hope.</w:t>
      </w:r>
    </w:p>
    <w:p w14:paraId="4CDC2746">
      <w:pPr>
        <w:pStyle w:val="9"/>
        <w:spacing w:before="10"/>
        <w:ind w:left="0"/>
        <w:jc w:val="left"/>
        <w:rPr>
          <w:rFonts w:hint="eastAsia"/>
          <w:sz w:val="30"/>
          <w:szCs w:val="30"/>
        </w:rPr>
      </w:pPr>
      <w:r>
        <w:rPr>
          <w:rFonts w:hint="eastAsia"/>
          <w:sz w:val="30"/>
          <w:szCs w:val="30"/>
        </w:rPr>
        <w:t>复活及其伴随事件，极大地促进了圣徒们有福的盼望。</w:t>
      </w:r>
    </w:p>
    <w:p w14:paraId="2FC5F5DF">
      <w:pPr>
        <w:pStyle w:val="9"/>
        <w:spacing w:before="10"/>
        <w:ind w:left="0"/>
        <w:jc w:val="left"/>
        <w:rPr>
          <w:rFonts w:hint="eastAsia"/>
          <w:sz w:val="30"/>
          <w:szCs w:val="30"/>
        </w:rPr>
      </w:pPr>
    </w:p>
    <w:p w14:paraId="715D7184">
      <w:pPr>
        <w:pStyle w:val="9"/>
        <w:spacing w:before="10"/>
        <w:ind w:left="0"/>
        <w:jc w:val="left"/>
        <w:rPr>
          <w:rFonts w:hint="eastAsia"/>
          <w:sz w:val="30"/>
          <w:szCs w:val="30"/>
        </w:rPr>
      </w:pPr>
      <w:r>
        <w:rPr>
          <w:rFonts w:hint="eastAsia"/>
          <w:sz w:val="30"/>
          <w:szCs w:val="30"/>
        </w:rPr>
        <w:t>These amazing events promise a healthy new body, a joyful reunion with departed Christian loved ones, and the privilege of being like the Lord, with the Lord, forever.</w:t>
      </w:r>
    </w:p>
    <w:p w14:paraId="78CCAA48">
      <w:pPr>
        <w:pStyle w:val="9"/>
        <w:spacing w:before="10"/>
        <w:ind w:left="0"/>
        <w:jc w:val="left"/>
        <w:rPr>
          <w:rFonts w:hint="eastAsia"/>
          <w:sz w:val="30"/>
          <w:szCs w:val="30"/>
        </w:rPr>
      </w:pPr>
      <w:r>
        <w:rPr>
          <w:rFonts w:hint="eastAsia"/>
          <w:sz w:val="30"/>
          <w:szCs w:val="30"/>
        </w:rPr>
        <w:t>这些奇妙的事件应许了一个健康的新身体，与已故的基督徒亲人喜乐的重聚，以及永远像主、与主同在的特权。</w:t>
      </w:r>
    </w:p>
    <w:p w14:paraId="25CC3988">
      <w:pPr>
        <w:pStyle w:val="9"/>
        <w:spacing w:before="10"/>
        <w:ind w:left="0"/>
        <w:jc w:val="left"/>
        <w:rPr>
          <w:rFonts w:hint="eastAsia"/>
          <w:sz w:val="30"/>
          <w:szCs w:val="30"/>
        </w:rPr>
      </w:pPr>
    </w:p>
    <w:p w14:paraId="4932099D">
      <w:pPr>
        <w:pStyle w:val="9"/>
        <w:spacing w:before="10"/>
        <w:ind w:left="0"/>
        <w:jc w:val="left"/>
        <w:rPr>
          <w:rFonts w:hint="eastAsia"/>
          <w:sz w:val="30"/>
          <w:szCs w:val="30"/>
        </w:rPr>
      </w:pPr>
      <w:r>
        <w:rPr>
          <w:rFonts w:hint="eastAsia"/>
          <w:sz w:val="30"/>
          <w:szCs w:val="30"/>
        </w:rPr>
        <w:t>The Last Judgment</w:t>
      </w:r>
    </w:p>
    <w:p w14:paraId="0E153F3A">
      <w:pPr>
        <w:pStyle w:val="9"/>
        <w:spacing w:before="10"/>
        <w:ind w:left="0"/>
        <w:jc w:val="left"/>
        <w:rPr>
          <w:rFonts w:hint="eastAsia"/>
          <w:sz w:val="30"/>
          <w:szCs w:val="30"/>
        </w:rPr>
      </w:pPr>
      <w:r>
        <w:rPr>
          <w:rFonts w:hint="eastAsia"/>
          <w:sz w:val="30"/>
          <w:szCs w:val="30"/>
        </w:rPr>
        <w:t>最后的审判</w:t>
      </w:r>
    </w:p>
    <w:p w14:paraId="2F03087B">
      <w:pPr>
        <w:pStyle w:val="9"/>
        <w:spacing w:before="10"/>
        <w:ind w:left="0"/>
        <w:jc w:val="left"/>
        <w:rPr>
          <w:rFonts w:hint="eastAsia"/>
          <w:sz w:val="30"/>
          <w:szCs w:val="30"/>
        </w:rPr>
      </w:pPr>
    </w:p>
    <w:p w14:paraId="4E9A84CD">
      <w:pPr>
        <w:pStyle w:val="9"/>
        <w:spacing w:before="10"/>
        <w:ind w:left="0"/>
        <w:jc w:val="left"/>
        <w:rPr>
          <w:rFonts w:hint="eastAsia"/>
          <w:sz w:val="30"/>
          <w:szCs w:val="30"/>
        </w:rPr>
      </w:pPr>
      <w:r>
        <w:rPr>
          <w:rFonts w:hint="eastAsia"/>
          <w:sz w:val="30"/>
          <w:szCs w:val="30"/>
        </w:rPr>
        <w:t>The resurrection leads quickly to the Last Judgment.</w:t>
      </w:r>
    </w:p>
    <w:p w14:paraId="67C2CD33">
      <w:pPr>
        <w:pStyle w:val="9"/>
        <w:spacing w:before="10"/>
        <w:ind w:left="0"/>
        <w:jc w:val="left"/>
        <w:rPr>
          <w:rFonts w:hint="eastAsia"/>
          <w:sz w:val="30"/>
          <w:szCs w:val="30"/>
        </w:rPr>
      </w:pPr>
      <w:r>
        <w:rPr>
          <w:rFonts w:hint="eastAsia"/>
          <w:sz w:val="30"/>
          <w:szCs w:val="30"/>
        </w:rPr>
        <w:t>复活很快就导向了最后的审判。</w:t>
      </w:r>
    </w:p>
    <w:p w14:paraId="45055180">
      <w:pPr>
        <w:pStyle w:val="9"/>
        <w:spacing w:before="10"/>
        <w:ind w:left="0"/>
        <w:jc w:val="left"/>
        <w:rPr>
          <w:rFonts w:hint="eastAsia"/>
          <w:sz w:val="30"/>
          <w:szCs w:val="30"/>
        </w:rPr>
      </w:pPr>
    </w:p>
    <w:p w14:paraId="65EF6652">
      <w:pPr>
        <w:pStyle w:val="9"/>
        <w:spacing w:before="10"/>
        <w:ind w:left="0"/>
        <w:jc w:val="left"/>
        <w:rPr>
          <w:rFonts w:hint="eastAsia"/>
          <w:sz w:val="30"/>
          <w:szCs w:val="30"/>
        </w:rPr>
      </w:pPr>
      <w:r>
        <w:rPr>
          <w:rFonts w:hint="eastAsia"/>
          <w:sz w:val="30"/>
          <w:szCs w:val="30"/>
        </w:rPr>
        <w:t>Again, Christ himself will administer it.</w:t>
      </w:r>
    </w:p>
    <w:p w14:paraId="3390F79A">
      <w:pPr>
        <w:pStyle w:val="9"/>
        <w:spacing w:before="10"/>
        <w:ind w:left="0"/>
        <w:jc w:val="left"/>
        <w:rPr>
          <w:rFonts w:hint="eastAsia"/>
          <w:sz w:val="30"/>
          <w:szCs w:val="30"/>
        </w:rPr>
      </w:pPr>
      <w:r>
        <w:rPr>
          <w:rFonts w:hint="eastAsia"/>
          <w:sz w:val="30"/>
          <w:szCs w:val="30"/>
        </w:rPr>
        <w:t>再次，基督祂自己将施行这审判。</w:t>
      </w:r>
    </w:p>
    <w:p w14:paraId="6C1C429C">
      <w:pPr>
        <w:pStyle w:val="9"/>
        <w:spacing w:before="10"/>
        <w:ind w:left="0"/>
        <w:jc w:val="left"/>
        <w:rPr>
          <w:rFonts w:hint="eastAsia"/>
          <w:sz w:val="30"/>
          <w:szCs w:val="30"/>
        </w:rPr>
      </w:pPr>
    </w:p>
    <w:p w14:paraId="05DFAFFC">
      <w:pPr>
        <w:pStyle w:val="9"/>
        <w:spacing w:before="10"/>
        <w:ind w:left="0"/>
        <w:jc w:val="left"/>
        <w:rPr>
          <w:rFonts w:hint="eastAsia"/>
          <w:sz w:val="30"/>
          <w:szCs w:val="30"/>
        </w:rPr>
      </w:pPr>
      <w:r>
        <w:rPr>
          <w:rFonts w:hint="eastAsia"/>
          <w:sz w:val="30"/>
          <w:szCs w:val="30"/>
        </w:rPr>
        <w:t>Jesus repeatedly bade his disciples to envision him in the Judgment Seat of God on the last day (Mt. 19:28, 25:31).2</w:t>
      </w:r>
    </w:p>
    <w:p w14:paraId="311DE1FA">
      <w:pPr>
        <w:pStyle w:val="9"/>
        <w:spacing w:before="10"/>
        <w:ind w:left="0"/>
        <w:jc w:val="left"/>
        <w:rPr>
          <w:rFonts w:hint="eastAsia"/>
          <w:sz w:val="30"/>
          <w:szCs w:val="30"/>
        </w:rPr>
      </w:pPr>
      <w:r>
        <w:rPr>
          <w:rFonts w:hint="eastAsia"/>
          <w:sz w:val="30"/>
          <w:szCs w:val="30"/>
        </w:rPr>
        <w:t>耶稣一再地吩咐祂的门徒们在末日将祂设想在上帝的审判座上（太19:28, 25:31）。2</w:t>
      </w:r>
    </w:p>
    <w:p w14:paraId="6652E98C">
      <w:pPr>
        <w:pStyle w:val="9"/>
        <w:spacing w:before="10"/>
        <w:ind w:left="0"/>
        <w:jc w:val="left"/>
        <w:rPr>
          <w:rFonts w:hint="eastAsia"/>
          <w:sz w:val="30"/>
          <w:szCs w:val="30"/>
        </w:rPr>
      </w:pPr>
    </w:p>
    <w:p w14:paraId="08328254">
      <w:pPr>
        <w:pStyle w:val="9"/>
        <w:spacing w:before="10"/>
        <w:ind w:left="0"/>
        <w:jc w:val="left"/>
        <w:rPr>
          <w:rFonts w:hint="eastAsia"/>
          <w:sz w:val="30"/>
          <w:szCs w:val="30"/>
        </w:rPr>
      </w:pPr>
      <w:r>
        <w:rPr>
          <w:rFonts w:hint="eastAsia"/>
          <w:sz w:val="30"/>
          <w:szCs w:val="30"/>
        </w:rPr>
        <w:t>He also said, “As the Father has life in Himself, so He has granted the Son to have life in Himself, and has also given Him authority to execute judgment, because He is the Son of Man” (John 5:26-27, 30; 2 Cor. 5:10).</w:t>
      </w:r>
    </w:p>
    <w:p w14:paraId="3DBC0B26">
      <w:pPr>
        <w:pStyle w:val="9"/>
        <w:spacing w:before="10"/>
        <w:ind w:left="0"/>
        <w:jc w:val="left"/>
        <w:rPr>
          <w:rFonts w:hint="eastAsia"/>
          <w:sz w:val="30"/>
          <w:szCs w:val="30"/>
        </w:rPr>
      </w:pPr>
      <w:r>
        <w:rPr>
          <w:rFonts w:hint="eastAsia"/>
          <w:sz w:val="30"/>
          <w:szCs w:val="30"/>
        </w:rPr>
        <w:t>祂也说：“父怎样在自己有生命，就赐给子也照样在自己有生命，并且因为祂是人子，就赐给祂行审判的权柄”（约翰福音5:26-27, 30；哥林多后书5:10）。</w:t>
      </w:r>
    </w:p>
    <w:p w14:paraId="75B544F0">
      <w:pPr>
        <w:pStyle w:val="9"/>
        <w:spacing w:before="10"/>
        <w:ind w:left="0"/>
        <w:jc w:val="left"/>
        <w:rPr>
          <w:rFonts w:hint="eastAsia"/>
          <w:sz w:val="30"/>
          <w:szCs w:val="30"/>
        </w:rPr>
      </w:pPr>
    </w:p>
    <w:p w14:paraId="3A03364F">
      <w:pPr>
        <w:pStyle w:val="9"/>
        <w:spacing w:before="10"/>
        <w:ind w:left="0"/>
        <w:jc w:val="left"/>
        <w:rPr>
          <w:rFonts w:hint="eastAsia"/>
          <w:sz w:val="30"/>
          <w:szCs w:val="30"/>
        </w:rPr>
      </w:pPr>
      <w:r>
        <w:rPr>
          <w:rFonts w:hint="eastAsia"/>
          <w:sz w:val="30"/>
          <w:szCs w:val="30"/>
        </w:rPr>
        <w:t>The Judgment marks the end of all probation for the sons of Adam: There is no further opportunity to receive salvation, no further opportunity to earn rewards.</w:t>
      </w:r>
    </w:p>
    <w:p w14:paraId="7FA4DE93">
      <w:pPr>
        <w:pStyle w:val="9"/>
        <w:spacing w:before="10"/>
        <w:ind w:left="0"/>
        <w:jc w:val="left"/>
        <w:rPr>
          <w:rFonts w:hint="eastAsia"/>
          <w:sz w:val="30"/>
          <w:szCs w:val="30"/>
        </w:rPr>
      </w:pPr>
      <w:r>
        <w:rPr>
          <w:rFonts w:hint="eastAsia"/>
          <w:sz w:val="30"/>
          <w:szCs w:val="30"/>
        </w:rPr>
        <w:t>审判标志着亚当的子孙所有试验的结束：不再有接受救恩的机会，不再有赚取赏赐的机会。</w:t>
      </w:r>
    </w:p>
    <w:p w14:paraId="1E07BE11">
      <w:pPr>
        <w:pStyle w:val="9"/>
        <w:spacing w:before="10"/>
        <w:ind w:left="0"/>
        <w:jc w:val="left"/>
        <w:rPr>
          <w:rFonts w:hint="eastAsia"/>
          <w:sz w:val="30"/>
          <w:szCs w:val="30"/>
        </w:rPr>
      </w:pPr>
    </w:p>
    <w:p w14:paraId="19B15825">
      <w:pPr>
        <w:pStyle w:val="9"/>
        <w:spacing w:before="10"/>
        <w:ind w:left="0"/>
        <w:jc w:val="left"/>
        <w:rPr>
          <w:rFonts w:hint="eastAsia"/>
          <w:sz w:val="30"/>
          <w:szCs w:val="30"/>
        </w:rPr>
      </w:pPr>
      <w:r>
        <w:rPr>
          <w:rFonts w:hint="eastAsia"/>
          <w:sz w:val="30"/>
          <w:szCs w:val="30"/>
        </w:rPr>
        <w:t>As on the day of his death, so on the Day of Judgment: A man’s eternal destiny is sealed once and for all (John 8:24, Heb. 8:27, Rev. 20:11- 15).</w:t>
      </w:r>
    </w:p>
    <w:p w14:paraId="2D7B556E">
      <w:pPr>
        <w:pStyle w:val="9"/>
        <w:spacing w:before="10"/>
        <w:ind w:left="0"/>
        <w:jc w:val="left"/>
        <w:rPr>
          <w:rFonts w:hint="eastAsia"/>
          <w:sz w:val="30"/>
          <w:szCs w:val="30"/>
        </w:rPr>
      </w:pPr>
      <w:r>
        <w:rPr>
          <w:rFonts w:hint="eastAsia"/>
          <w:sz w:val="30"/>
          <w:szCs w:val="30"/>
        </w:rPr>
        <w:t>如在他死的那日，在审判日也是如此：一个人的永恒命运被一劳永逸地封印（约翰福音8:24，希伯来书8:27，启示录20:11-15）。</w:t>
      </w:r>
    </w:p>
    <w:p w14:paraId="4D8DD896">
      <w:pPr>
        <w:pStyle w:val="9"/>
        <w:spacing w:before="10"/>
        <w:ind w:left="0"/>
        <w:jc w:val="left"/>
        <w:rPr>
          <w:rFonts w:hint="eastAsia"/>
          <w:sz w:val="30"/>
          <w:szCs w:val="30"/>
        </w:rPr>
      </w:pPr>
    </w:p>
    <w:p w14:paraId="3D673B18">
      <w:pPr>
        <w:pStyle w:val="9"/>
        <w:spacing w:before="10"/>
        <w:ind w:left="0"/>
        <w:jc w:val="left"/>
        <w:rPr>
          <w:rFonts w:hint="eastAsia"/>
          <w:sz w:val="30"/>
          <w:szCs w:val="30"/>
        </w:rPr>
      </w:pPr>
      <w:r>
        <w:rPr>
          <w:rFonts w:hint="eastAsia"/>
          <w:sz w:val="30"/>
          <w:szCs w:val="30"/>
        </w:rPr>
        <w:t>The Last Judgment has two main elements.</w:t>
      </w:r>
    </w:p>
    <w:p w14:paraId="49A6DD79">
      <w:pPr>
        <w:pStyle w:val="9"/>
        <w:spacing w:before="10"/>
        <w:ind w:left="0"/>
        <w:jc w:val="left"/>
        <w:rPr>
          <w:rFonts w:hint="eastAsia"/>
          <w:sz w:val="30"/>
          <w:szCs w:val="30"/>
        </w:rPr>
      </w:pPr>
      <w:r>
        <w:rPr>
          <w:rFonts w:hint="eastAsia"/>
          <w:sz w:val="30"/>
          <w:szCs w:val="30"/>
        </w:rPr>
        <w:t>最后的审判有两个主要要素。</w:t>
      </w:r>
    </w:p>
    <w:p w14:paraId="0A526E18">
      <w:pPr>
        <w:pStyle w:val="9"/>
        <w:spacing w:before="10"/>
        <w:ind w:left="0"/>
        <w:jc w:val="left"/>
        <w:rPr>
          <w:rFonts w:hint="eastAsia"/>
          <w:sz w:val="30"/>
          <w:szCs w:val="30"/>
        </w:rPr>
      </w:pPr>
    </w:p>
    <w:p w14:paraId="7C72EB88">
      <w:pPr>
        <w:pStyle w:val="9"/>
        <w:spacing w:before="10"/>
        <w:ind w:left="0"/>
        <w:jc w:val="left"/>
        <w:rPr>
          <w:rFonts w:hint="eastAsia"/>
          <w:sz w:val="30"/>
          <w:szCs w:val="30"/>
        </w:rPr>
      </w:pPr>
      <w:r>
        <w:rPr>
          <w:rFonts w:hint="eastAsia"/>
          <w:sz w:val="30"/>
          <w:szCs w:val="30"/>
        </w:rPr>
        <w:t>First, Christ will effect a final separation of the saved from the lost.</w:t>
      </w:r>
    </w:p>
    <w:p w14:paraId="23D0ACFD">
      <w:pPr>
        <w:pStyle w:val="9"/>
        <w:spacing w:before="10"/>
        <w:ind w:left="0"/>
        <w:jc w:val="left"/>
        <w:rPr>
          <w:rFonts w:hint="eastAsia"/>
          <w:sz w:val="30"/>
          <w:szCs w:val="30"/>
        </w:rPr>
      </w:pPr>
      <w:r>
        <w:rPr>
          <w:rFonts w:hint="eastAsia"/>
          <w:sz w:val="30"/>
          <w:szCs w:val="30"/>
        </w:rPr>
        <w:t>首先，基督将实现得救者与失丧者最终的分离。</w:t>
      </w:r>
    </w:p>
    <w:p w14:paraId="43A08B95">
      <w:pPr>
        <w:pStyle w:val="9"/>
        <w:spacing w:before="10"/>
        <w:ind w:left="0"/>
        <w:jc w:val="left"/>
        <w:rPr>
          <w:rFonts w:hint="eastAsia"/>
          <w:sz w:val="30"/>
          <w:szCs w:val="30"/>
        </w:rPr>
      </w:pPr>
    </w:p>
    <w:p w14:paraId="384699CD">
      <w:pPr>
        <w:pStyle w:val="9"/>
        <w:spacing w:before="10"/>
        <w:ind w:left="0"/>
        <w:jc w:val="left"/>
        <w:rPr>
          <w:rFonts w:hint="eastAsia"/>
          <w:sz w:val="30"/>
          <w:szCs w:val="30"/>
        </w:rPr>
      </w:pPr>
      <w:r>
        <w:rPr>
          <w:rFonts w:hint="eastAsia"/>
          <w:sz w:val="30"/>
          <w:szCs w:val="30"/>
        </w:rPr>
        <w:t>This element is vividly set forth in Jesus’ Olivet Discourse, where he likens himself to a shepherd who, at the end of the age, will separate the sheep from the goats (Mt. 25:31ff).</w:t>
      </w:r>
    </w:p>
    <w:p w14:paraId="06F00C8F">
      <w:pPr>
        <w:pStyle w:val="9"/>
        <w:spacing w:before="10"/>
        <w:ind w:left="0"/>
        <w:jc w:val="left"/>
        <w:rPr>
          <w:rFonts w:hint="eastAsia"/>
          <w:sz w:val="30"/>
          <w:szCs w:val="30"/>
        </w:rPr>
      </w:pPr>
      <w:r>
        <w:rPr>
          <w:rFonts w:hint="eastAsia"/>
          <w:sz w:val="30"/>
          <w:szCs w:val="30"/>
        </w:rPr>
        <w:t>这个要素在耶稣的橄榄山论述中被生动地阐述出来，祂在那里将自己比作一个牧人，在世代末了，将绵羊和山羊分开（太25:31及以下）。</w:t>
      </w:r>
    </w:p>
    <w:p w14:paraId="6B1E9AF2">
      <w:pPr>
        <w:pStyle w:val="9"/>
        <w:spacing w:before="10"/>
        <w:ind w:left="0"/>
        <w:jc w:val="left"/>
        <w:rPr>
          <w:rFonts w:hint="eastAsia"/>
          <w:sz w:val="30"/>
          <w:szCs w:val="30"/>
        </w:rPr>
      </w:pPr>
    </w:p>
    <w:p w14:paraId="38FBAB64">
      <w:pPr>
        <w:pStyle w:val="9"/>
        <w:spacing w:before="10"/>
        <w:ind w:left="0"/>
        <w:jc w:val="left"/>
        <w:rPr>
          <w:rFonts w:hint="eastAsia"/>
          <w:sz w:val="30"/>
          <w:szCs w:val="30"/>
        </w:rPr>
      </w:pPr>
      <w:r>
        <w:rPr>
          <w:rFonts w:hint="eastAsia"/>
          <w:sz w:val="30"/>
          <w:szCs w:val="30"/>
        </w:rPr>
        <w:t>All-pervasively, the NT teaches that the one criterion for inclusion in God’s Kingdom is personal faith in Christ (Mt. 11:28, 22:11-12, John 3:16f, 5:24, 6:29, Acts 16:31, 26:18, Rom. 3:28, 4:16, 5:1, Gal. 2:16, Eph. 2:8, Titus 3:4-5, etc.).3</w:t>
      </w:r>
    </w:p>
    <w:p w14:paraId="45AA5F44">
      <w:pPr>
        <w:pStyle w:val="9"/>
        <w:spacing w:before="10"/>
        <w:ind w:left="0"/>
        <w:jc w:val="left"/>
        <w:rPr>
          <w:rFonts w:hint="eastAsia"/>
          <w:sz w:val="30"/>
          <w:szCs w:val="30"/>
        </w:rPr>
      </w:pPr>
      <w:r>
        <w:rPr>
          <w:rFonts w:hint="eastAsia"/>
          <w:sz w:val="30"/>
          <w:szCs w:val="30"/>
        </w:rPr>
        <w:t>新约普遍教导说，进入上帝之国的唯一标准是对基督的个人信心（太11:28, 22:11-12，约3:16及以下, 5:24, 6:29，徒16:31, 26:18，罗3:28, 4:16, 5:1，加2:16，弗2:8，多3:4-5等）。3</w:t>
      </w:r>
    </w:p>
    <w:p w14:paraId="0AAB77F8">
      <w:pPr>
        <w:pStyle w:val="9"/>
        <w:spacing w:before="10"/>
        <w:ind w:left="0"/>
        <w:jc w:val="left"/>
        <w:rPr>
          <w:rFonts w:hint="eastAsia"/>
          <w:sz w:val="30"/>
          <w:szCs w:val="30"/>
        </w:rPr>
      </w:pPr>
    </w:p>
    <w:p w14:paraId="6AD02145">
      <w:pPr>
        <w:pStyle w:val="9"/>
        <w:spacing w:before="10"/>
        <w:ind w:left="0"/>
        <w:jc w:val="left"/>
        <w:rPr>
          <w:rFonts w:hint="eastAsia"/>
          <w:sz w:val="30"/>
          <w:szCs w:val="30"/>
        </w:rPr>
      </w:pPr>
      <w:r>
        <w:rPr>
          <w:rFonts w:hint="eastAsia"/>
          <w:sz w:val="30"/>
          <w:szCs w:val="30"/>
        </w:rPr>
        <w:t>When the books are opened, those who have truly trusted in him—and therefore lived for him—will find their names written in the Lamb’s Book of Life (Rev. 20:12, 15).</w:t>
      </w:r>
    </w:p>
    <w:p w14:paraId="0154158E">
      <w:pPr>
        <w:pStyle w:val="9"/>
        <w:spacing w:before="10"/>
        <w:ind w:left="0"/>
        <w:jc w:val="left"/>
        <w:rPr>
          <w:rFonts w:hint="eastAsia"/>
          <w:sz w:val="30"/>
          <w:szCs w:val="30"/>
        </w:rPr>
      </w:pPr>
      <w:r>
        <w:rPr>
          <w:rFonts w:hint="eastAsia"/>
          <w:sz w:val="30"/>
          <w:szCs w:val="30"/>
        </w:rPr>
        <w:t>当案卷展开时，那些真正信靠祂——并因此为祂而活——的人，将发现他们的名字写在羔羊的生命册上（启20:12, 15）。</w:t>
      </w:r>
    </w:p>
    <w:p w14:paraId="7C731177">
      <w:pPr>
        <w:pStyle w:val="9"/>
        <w:spacing w:before="10"/>
        <w:ind w:left="0"/>
        <w:jc w:val="left"/>
        <w:rPr>
          <w:rFonts w:hint="eastAsia"/>
          <w:sz w:val="30"/>
          <w:szCs w:val="30"/>
        </w:rPr>
      </w:pPr>
    </w:p>
    <w:p w14:paraId="1EB4093F">
      <w:pPr>
        <w:pStyle w:val="9"/>
        <w:spacing w:before="10"/>
        <w:ind w:left="0"/>
        <w:jc w:val="left"/>
        <w:rPr>
          <w:rFonts w:hint="eastAsia"/>
          <w:sz w:val="30"/>
          <w:szCs w:val="30"/>
        </w:rPr>
      </w:pPr>
      <w:r>
        <w:rPr>
          <w:rFonts w:hint="eastAsia"/>
          <w:sz w:val="30"/>
          <w:szCs w:val="30"/>
        </w:rPr>
        <w:t>Those who have not, but who have trusted instead in their own righteousness to win heaven’s favor, will be everlastingly dismayed to see how far short they fell of the one and only standard for salvation: the glory of God, freely offered to mankind in the Christ of God (Mt. 5:48, 22:11-12, Luke 18:9-14, Rom. 3:23, Phil. 3:8-9, Heb. 12:15).4</w:t>
      </w:r>
    </w:p>
    <w:p w14:paraId="03C9A325">
      <w:pPr>
        <w:pStyle w:val="9"/>
        <w:spacing w:before="10"/>
        <w:ind w:left="0"/>
        <w:jc w:val="left"/>
        <w:rPr>
          <w:rFonts w:hint="eastAsia"/>
          <w:sz w:val="30"/>
          <w:szCs w:val="30"/>
        </w:rPr>
      </w:pPr>
      <w:r>
        <w:rPr>
          <w:rFonts w:hint="eastAsia"/>
          <w:sz w:val="30"/>
          <w:szCs w:val="30"/>
        </w:rPr>
        <w:t>那些没有的，却信靠自己的义来赢得天堂的恩宠，将会永远地失望，看到他们离那唯一得救的标准有多远：上帝的荣耀，在上帝的基督里白白地赐给人类（太5:48, 22:11-12，路18:9-14，罗3:23，腓3:8-9，来12:15）。4</w:t>
      </w:r>
    </w:p>
    <w:p w14:paraId="55F396B3">
      <w:pPr>
        <w:pStyle w:val="9"/>
        <w:spacing w:before="10"/>
        <w:ind w:left="0"/>
        <w:jc w:val="left"/>
        <w:rPr>
          <w:rFonts w:hint="eastAsia"/>
          <w:sz w:val="30"/>
          <w:szCs w:val="30"/>
        </w:rPr>
      </w:pPr>
    </w:p>
    <w:p w14:paraId="68436013">
      <w:pPr>
        <w:pStyle w:val="9"/>
        <w:spacing w:before="10"/>
        <w:ind w:left="0"/>
        <w:jc w:val="left"/>
        <w:rPr>
          <w:rFonts w:hint="eastAsia"/>
          <w:sz w:val="30"/>
          <w:szCs w:val="30"/>
        </w:rPr>
      </w:pPr>
      <w:r>
        <w:rPr>
          <w:rFonts w:hint="eastAsia"/>
          <w:sz w:val="30"/>
          <w:szCs w:val="30"/>
        </w:rPr>
        <w:t>The second element of the Judgment is reward and retribution.</w:t>
      </w:r>
    </w:p>
    <w:p w14:paraId="6471C6D4">
      <w:pPr>
        <w:pStyle w:val="9"/>
        <w:spacing w:before="10"/>
        <w:ind w:left="0"/>
        <w:jc w:val="left"/>
        <w:rPr>
          <w:rFonts w:hint="eastAsia"/>
          <w:sz w:val="30"/>
          <w:szCs w:val="30"/>
        </w:rPr>
      </w:pPr>
      <w:r>
        <w:rPr>
          <w:rFonts w:hint="eastAsia"/>
          <w:sz w:val="30"/>
          <w:szCs w:val="30"/>
        </w:rPr>
        <w:t>审判的第二个要素是赏赐和报应。</w:t>
      </w:r>
    </w:p>
    <w:p w14:paraId="284E8642">
      <w:pPr>
        <w:pStyle w:val="9"/>
        <w:spacing w:before="10"/>
        <w:ind w:left="0"/>
        <w:jc w:val="left"/>
        <w:rPr>
          <w:rFonts w:hint="eastAsia"/>
          <w:sz w:val="30"/>
          <w:szCs w:val="30"/>
        </w:rPr>
      </w:pPr>
    </w:p>
    <w:p w14:paraId="69E76E92">
      <w:pPr>
        <w:pStyle w:val="9"/>
        <w:spacing w:before="10"/>
        <w:ind w:left="0"/>
        <w:jc w:val="left"/>
        <w:rPr>
          <w:rFonts w:hint="eastAsia"/>
          <w:sz w:val="30"/>
          <w:szCs w:val="30"/>
        </w:rPr>
      </w:pPr>
      <w:r>
        <w:rPr>
          <w:rFonts w:hint="eastAsia"/>
          <w:sz w:val="30"/>
          <w:szCs w:val="30"/>
        </w:rPr>
        <w:t>Christ himself will bestow both.</w:t>
      </w:r>
    </w:p>
    <w:p w14:paraId="1771124B">
      <w:pPr>
        <w:pStyle w:val="9"/>
        <w:spacing w:before="10"/>
        <w:ind w:left="0"/>
        <w:jc w:val="left"/>
        <w:rPr>
          <w:rFonts w:hint="eastAsia"/>
          <w:sz w:val="30"/>
          <w:szCs w:val="30"/>
        </w:rPr>
      </w:pPr>
      <w:r>
        <w:rPr>
          <w:rFonts w:hint="eastAsia"/>
          <w:sz w:val="30"/>
          <w:szCs w:val="30"/>
        </w:rPr>
        <w:t>基督祂自己将赐予这两者。</w:t>
      </w:r>
    </w:p>
    <w:p w14:paraId="353DEC60">
      <w:pPr>
        <w:pStyle w:val="9"/>
        <w:spacing w:before="10"/>
        <w:ind w:left="0"/>
        <w:jc w:val="left"/>
        <w:rPr>
          <w:rFonts w:hint="eastAsia"/>
          <w:sz w:val="30"/>
          <w:szCs w:val="30"/>
        </w:rPr>
      </w:pPr>
    </w:p>
    <w:p w14:paraId="57F2A611">
      <w:pPr>
        <w:pStyle w:val="9"/>
        <w:spacing w:before="10"/>
        <w:ind w:left="0"/>
        <w:jc w:val="left"/>
        <w:rPr>
          <w:rFonts w:hint="eastAsia"/>
          <w:sz w:val="30"/>
          <w:szCs w:val="30"/>
        </w:rPr>
      </w:pPr>
      <w:r>
        <w:rPr>
          <w:rFonts w:hint="eastAsia"/>
          <w:sz w:val="30"/>
          <w:szCs w:val="30"/>
        </w:rPr>
        <w:t>In the case of the saints, there is no retribution, since the Savior has already undergone their punishment in his own Person (1 Pet. 3:18).</w:t>
      </w:r>
    </w:p>
    <w:p w14:paraId="4F652621">
      <w:pPr>
        <w:pStyle w:val="9"/>
        <w:spacing w:before="10"/>
        <w:ind w:left="0"/>
        <w:jc w:val="left"/>
        <w:rPr>
          <w:rFonts w:hint="eastAsia"/>
          <w:sz w:val="30"/>
          <w:szCs w:val="30"/>
        </w:rPr>
      </w:pPr>
      <w:r>
        <w:rPr>
          <w:rFonts w:hint="eastAsia"/>
          <w:sz w:val="30"/>
          <w:szCs w:val="30"/>
        </w:rPr>
        <w:t>在圣徒的情况下，没有报应，因为救主已在祂自己身上承受了他们的惩罚（彼前3:18）。</w:t>
      </w:r>
    </w:p>
    <w:p w14:paraId="0094B89C">
      <w:pPr>
        <w:pStyle w:val="9"/>
        <w:spacing w:before="10"/>
        <w:ind w:left="0"/>
        <w:jc w:val="left"/>
        <w:rPr>
          <w:rFonts w:hint="eastAsia"/>
          <w:sz w:val="30"/>
          <w:szCs w:val="30"/>
        </w:rPr>
      </w:pPr>
    </w:p>
    <w:p w14:paraId="1FCCA321">
      <w:pPr>
        <w:pStyle w:val="9"/>
        <w:spacing w:before="10"/>
        <w:ind w:left="0"/>
        <w:jc w:val="left"/>
        <w:rPr>
          <w:rFonts w:hint="eastAsia"/>
          <w:sz w:val="30"/>
          <w:szCs w:val="30"/>
        </w:rPr>
      </w:pPr>
      <w:r>
        <w:rPr>
          <w:rFonts w:hint="eastAsia"/>
          <w:sz w:val="30"/>
          <w:szCs w:val="30"/>
        </w:rPr>
        <w:t>Indeed, this was his chief purpose in laying down his life as a ransom for many, namely, that he should deliver them from the wrath to come (Mark 10:45, 1 Thess. 1:10).</w:t>
      </w:r>
    </w:p>
    <w:p w14:paraId="76F4DF76">
      <w:pPr>
        <w:pStyle w:val="9"/>
        <w:spacing w:before="10"/>
        <w:ind w:left="0"/>
        <w:jc w:val="left"/>
        <w:rPr>
          <w:rFonts w:hint="eastAsia"/>
          <w:sz w:val="30"/>
          <w:szCs w:val="30"/>
        </w:rPr>
      </w:pPr>
      <w:r>
        <w:rPr>
          <w:rFonts w:hint="eastAsia"/>
          <w:sz w:val="30"/>
          <w:szCs w:val="30"/>
        </w:rPr>
        <w:t>确实，这正是祂舍命作多人的赎价的主要目的，即要救他们脱离将来的忿怒（马可福音10:45，帖撒罗尼迦前书1:10）。</w:t>
      </w:r>
    </w:p>
    <w:p w14:paraId="581457D6">
      <w:pPr>
        <w:pStyle w:val="9"/>
        <w:spacing w:before="10"/>
        <w:ind w:left="0"/>
        <w:jc w:val="left"/>
        <w:rPr>
          <w:rFonts w:hint="eastAsia"/>
          <w:sz w:val="30"/>
          <w:szCs w:val="30"/>
        </w:rPr>
      </w:pPr>
    </w:p>
    <w:p w14:paraId="5BD17AA5">
      <w:pPr>
        <w:pStyle w:val="9"/>
        <w:spacing w:before="10"/>
        <w:ind w:left="0"/>
        <w:jc w:val="left"/>
        <w:rPr>
          <w:rFonts w:hint="eastAsia"/>
          <w:sz w:val="30"/>
          <w:szCs w:val="30"/>
        </w:rPr>
      </w:pPr>
      <w:r>
        <w:rPr>
          <w:rFonts w:hint="eastAsia"/>
          <w:sz w:val="30"/>
          <w:szCs w:val="30"/>
        </w:rPr>
        <w:t>Believers will, however, receive rewards —some thirty, some sixty, and some a hundred fold—for all they allowed Christ to accomplish through them during their lifetime (Mt. 6:19-21, 25:14-30, Mark 10:29-31, John 15:18, Rom. 15:14-21).</w:t>
      </w:r>
    </w:p>
    <w:p w14:paraId="3C2408BA">
      <w:pPr>
        <w:pStyle w:val="9"/>
        <w:spacing w:before="10"/>
        <w:ind w:left="0"/>
        <w:jc w:val="left"/>
        <w:rPr>
          <w:rFonts w:hint="eastAsia"/>
          <w:sz w:val="30"/>
          <w:szCs w:val="30"/>
        </w:rPr>
      </w:pPr>
      <w:r>
        <w:rPr>
          <w:rFonts w:hint="eastAsia"/>
          <w:sz w:val="30"/>
          <w:szCs w:val="30"/>
        </w:rPr>
        <w:t>然而，信徒们将领受赏赐——有的三十倍，有的六十倍，有的一百倍——为他们在有生之年允许基督借着他们所成就的一切（太6:19-21, 25:14-30，可10:29-31，约15:18，罗15:14-21）。</w:t>
      </w:r>
    </w:p>
    <w:p w14:paraId="323822AA">
      <w:pPr>
        <w:pStyle w:val="9"/>
        <w:spacing w:before="10"/>
        <w:ind w:left="0"/>
        <w:jc w:val="left"/>
        <w:rPr>
          <w:rFonts w:hint="eastAsia"/>
          <w:sz w:val="30"/>
          <w:szCs w:val="30"/>
        </w:rPr>
      </w:pPr>
    </w:p>
    <w:p w14:paraId="08200344">
      <w:pPr>
        <w:pStyle w:val="9"/>
        <w:spacing w:before="10"/>
        <w:ind w:left="0"/>
        <w:jc w:val="left"/>
        <w:rPr>
          <w:rFonts w:hint="eastAsia"/>
          <w:sz w:val="30"/>
          <w:szCs w:val="30"/>
        </w:rPr>
      </w:pPr>
      <w:r>
        <w:rPr>
          <w:rFonts w:hint="eastAsia"/>
          <w:sz w:val="30"/>
          <w:szCs w:val="30"/>
        </w:rPr>
        <w:t>Soberingly, Paul warns that at the Judgment spiritually negligent saints will find many of their works burning up like wood, hay, and stubble.</w:t>
      </w:r>
    </w:p>
    <w:p w14:paraId="0D358481">
      <w:pPr>
        <w:pStyle w:val="9"/>
        <w:spacing w:before="10"/>
        <w:ind w:left="0"/>
        <w:jc w:val="left"/>
        <w:rPr>
          <w:rFonts w:hint="eastAsia"/>
          <w:sz w:val="30"/>
          <w:szCs w:val="30"/>
        </w:rPr>
      </w:pPr>
      <w:r>
        <w:rPr>
          <w:rFonts w:hint="eastAsia"/>
          <w:sz w:val="30"/>
          <w:szCs w:val="30"/>
        </w:rPr>
        <w:t>令人警醒的是，保罗警告说，在审判时，属灵上疏忽的圣徒将发现他们的许多工程像草木、禾秸一样被烧毁。</w:t>
      </w:r>
    </w:p>
    <w:p w14:paraId="417ECF1A">
      <w:pPr>
        <w:pStyle w:val="9"/>
        <w:spacing w:before="10"/>
        <w:ind w:left="0"/>
        <w:jc w:val="left"/>
        <w:rPr>
          <w:rFonts w:hint="eastAsia"/>
          <w:sz w:val="30"/>
          <w:szCs w:val="30"/>
        </w:rPr>
      </w:pPr>
    </w:p>
    <w:p w14:paraId="5FF7DBDA">
      <w:pPr>
        <w:pStyle w:val="9"/>
        <w:spacing w:before="10"/>
        <w:ind w:left="0"/>
        <w:jc w:val="left"/>
        <w:rPr>
          <w:rFonts w:hint="eastAsia"/>
          <w:sz w:val="30"/>
          <w:szCs w:val="30"/>
        </w:rPr>
      </w:pPr>
      <w:r>
        <w:rPr>
          <w:rFonts w:hint="eastAsia"/>
          <w:sz w:val="30"/>
          <w:szCs w:val="30"/>
        </w:rPr>
        <w:t>Though they themselves are saved, they have little reward (1 Cor. 3:15).</w:t>
      </w:r>
    </w:p>
    <w:p w14:paraId="56AFC6D8">
      <w:pPr>
        <w:pStyle w:val="9"/>
        <w:spacing w:before="10"/>
        <w:ind w:left="0"/>
        <w:jc w:val="left"/>
        <w:rPr>
          <w:rFonts w:hint="eastAsia"/>
          <w:sz w:val="30"/>
          <w:szCs w:val="30"/>
        </w:rPr>
      </w:pPr>
      <w:r>
        <w:rPr>
          <w:rFonts w:hint="eastAsia"/>
          <w:sz w:val="30"/>
          <w:szCs w:val="30"/>
        </w:rPr>
        <w:t>虽然他们自己得救了，却很少有赏赐（林前3:15）。</w:t>
      </w:r>
    </w:p>
    <w:p w14:paraId="4926B48D">
      <w:pPr>
        <w:pStyle w:val="9"/>
        <w:spacing w:before="10"/>
        <w:ind w:left="0"/>
        <w:jc w:val="left"/>
        <w:rPr>
          <w:rFonts w:hint="eastAsia"/>
          <w:sz w:val="30"/>
          <w:szCs w:val="30"/>
        </w:rPr>
      </w:pPr>
    </w:p>
    <w:p w14:paraId="17E62C53">
      <w:pPr>
        <w:pStyle w:val="9"/>
        <w:spacing w:before="10"/>
        <w:ind w:left="0"/>
        <w:jc w:val="left"/>
        <w:rPr>
          <w:rFonts w:hint="eastAsia"/>
          <w:sz w:val="30"/>
          <w:szCs w:val="30"/>
        </w:rPr>
      </w:pPr>
      <w:r>
        <w:rPr>
          <w:rFonts w:hint="eastAsia"/>
          <w:sz w:val="30"/>
          <w:szCs w:val="30"/>
        </w:rPr>
        <w:t>As for the lost, they will suffer eternal retribution for their every evil deed.</w:t>
      </w:r>
    </w:p>
    <w:p w14:paraId="22F89E45">
      <w:pPr>
        <w:pStyle w:val="9"/>
        <w:spacing w:before="10"/>
        <w:ind w:left="0"/>
        <w:jc w:val="left"/>
        <w:rPr>
          <w:rFonts w:hint="eastAsia"/>
          <w:sz w:val="30"/>
          <w:szCs w:val="30"/>
        </w:rPr>
      </w:pPr>
      <w:r>
        <w:rPr>
          <w:rFonts w:hint="eastAsia"/>
          <w:sz w:val="30"/>
          <w:szCs w:val="30"/>
        </w:rPr>
        <w:t>至于失丧的人，他们将为他们的每一个恶行受永恒的报应。</w:t>
      </w:r>
    </w:p>
    <w:p w14:paraId="2D4A5007">
      <w:pPr>
        <w:pStyle w:val="9"/>
        <w:spacing w:before="10"/>
        <w:ind w:left="0"/>
        <w:jc w:val="left"/>
        <w:rPr>
          <w:rFonts w:hint="eastAsia"/>
          <w:sz w:val="30"/>
          <w:szCs w:val="30"/>
        </w:rPr>
      </w:pPr>
    </w:p>
    <w:p w14:paraId="5B14E0C8">
      <w:pPr>
        <w:pStyle w:val="9"/>
        <w:spacing w:before="10"/>
        <w:ind w:left="0"/>
        <w:jc w:val="left"/>
        <w:rPr>
          <w:rFonts w:hint="eastAsia"/>
          <w:sz w:val="30"/>
          <w:szCs w:val="30"/>
        </w:rPr>
      </w:pPr>
      <w:r>
        <w:rPr>
          <w:rFonts w:hint="eastAsia"/>
          <w:sz w:val="30"/>
          <w:szCs w:val="30"/>
        </w:rPr>
        <w:t>For their want of obedience to the gospel of Christ “… they will be punished with everlasting destruction away from the presence of the Lord and from the glory of His power” (2 Thess. 1:8-9).</w:t>
      </w:r>
    </w:p>
    <w:p w14:paraId="55767850">
      <w:pPr>
        <w:pStyle w:val="9"/>
        <w:spacing w:before="10"/>
        <w:ind w:left="0"/>
        <w:jc w:val="left"/>
        <w:rPr>
          <w:rFonts w:hint="eastAsia"/>
          <w:sz w:val="30"/>
          <w:szCs w:val="30"/>
        </w:rPr>
      </w:pPr>
      <w:r>
        <w:rPr>
          <w:rFonts w:hint="eastAsia"/>
          <w:sz w:val="30"/>
          <w:szCs w:val="30"/>
        </w:rPr>
        <w:t>因他们不顺服基督的福音，“……他们要受刑罚，就是永远沉沦，离开主的面和祂权能的荣光”（帖后1:8-9）。</w:t>
      </w:r>
    </w:p>
    <w:p w14:paraId="09AEB305">
      <w:pPr>
        <w:pStyle w:val="9"/>
        <w:spacing w:before="10"/>
        <w:ind w:left="0"/>
        <w:jc w:val="left"/>
        <w:rPr>
          <w:rFonts w:hint="eastAsia"/>
          <w:sz w:val="30"/>
          <w:szCs w:val="30"/>
        </w:rPr>
      </w:pPr>
    </w:p>
    <w:p w14:paraId="1D6B2A9F">
      <w:pPr>
        <w:pStyle w:val="9"/>
        <w:spacing w:before="10"/>
        <w:ind w:left="0"/>
        <w:jc w:val="left"/>
        <w:rPr>
          <w:rFonts w:hint="eastAsia"/>
          <w:sz w:val="30"/>
          <w:szCs w:val="30"/>
        </w:rPr>
      </w:pPr>
      <w:r>
        <w:rPr>
          <w:rFonts w:hint="eastAsia"/>
          <w:sz w:val="30"/>
          <w:szCs w:val="30"/>
        </w:rPr>
        <w:t>For specific sins they will suffer varying degrees of torment in hell (Mt. 12:36, Luke 12:47, 2 Cor. 5:10).</w:t>
      </w:r>
    </w:p>
    <w:p w14:paraId="7213B63B">
      <w:pPr>
        <w:pStyle w:val="9"/>
        <w:spacing w:before="10"/>
        <w:ind w:left="0"/>
        <w:jc w:val="left"/>
        <w:rPr>
          <w:rFonts w:hint="eastAsia"/>
          <w:sz w:val="30"/>
          <w:szCs w:val="30"/>
        </w:rPr>
      </w:pPr>
      <w:r>
        <w:rPr>
          <w:rFonts w:hint="eastAsia"/>
          <w:sz w:val="30"/>
          <w:szCs w:val="30"/>
        </w:rPr>
        <w:t>他们将因特定的罪在地狱中受不同程度的折磨（太12:36，路12:47，林后5:10）。</w:t>
      </w:r>
    </w:p>
    <w:p w14:paraId="68FC04A4">
      <w:pPr>
        <w:pStyle w:val="9"/>
        <w:spacing w:before="10"/>
        <w:ind w:left="0"/>
        <w:jc w:val="left"/>
        <w:rPr>
          <w:rFonts w:hint="eastAsia"/>
          <w:sz w:val="30"/>
          <w:szCs w:val="30"/>
        </w:rPr>
      </w:pPr>
    </w:p>
    <w:p w14:paraId="0F70A3D2">
      <w:pPr>
        <w:pStyle w:val="9"/>
        <w:spacing w:before="10"/>
        <w:ind w:left="0"/>
        <w:jc w:val="left"/>
        <w:rPr>
          <w:rFonts w:hint="eastAsia"/>
          <w:sz w:val="30"/>
          <w:szCs w:val="30"/>
        </w:rPr>
      </w:pPr>
      <w:r>
        <w:rPr>
          <w:rFonts w:hint="eastAsia"/>
          <w:sz w:val="30"/>
          <w:szCs w:val="30"/>
        </w:rPr>
        <w:t>The Scripture represents hell, or the Lake of fire, as a true place (Rev. 19:20, 20:10, 14).</w:t>
      </w:r>
    </w:p>
    <w:p w14:paraId="2BA3AAB8">
      <w:pPr>
        <w:pStyle w:val="9"/>
        <w:spacing w:before="10"/>
        <w:ind w:left="0"/>
        <w:jc w:val="left"/>
        <w:rPr>
          <w:rFonts w:hint="eastAsia"/>
          <w:sz w:val="30"/>
          <w:szCs w:val="30"/>
        </w:rPr>
      </w:pPr>
      <w:r>
        <w:rPr>
          <w:rFonts w:hint="eastAsia"/>
          <w:sz w:val="30"/>
          <w:szCs w:val="30"/>
        </w:rPr>
        <w:t>圣经将地狱，或火湖，描绘为一个真实的地方（启19:20, 20:10, 14）。</w:t>
      </w:r>
    </w:p>
    <w:p w14:paraId="0FA732B6">
      <w:pPr>
        <w:pStyle w:val="9"/>
        <w:spacing w:before="10"/>
        <w:ind w:left="0"/>
        <w:jc w:val="left"/>
        <w:rPr>
          <w:rFonts w:hint="eastAsia"/>
          <w:sz w:val="30"/>
          <w:szCs w:val="30"/>
        </w:rPr>
      </w:pPr>
    </w:p>
    <w:p w14:paraId="05D75C97">
      <w:pPr>
        <w:pStyle w:val="9"/>
        <w:spacing w:before="10"/>
        <w:ind w:left="0"/>
        <w:jc w:val="left"/>
        <w:rPr>
          <w:rFonts w:hint="eastAsia"/>
          <w:sz w:val="30"/>
          <w:szCs w:val="30"/>
        </w:rPr>
      </w:pPr>
      <w:r>
        <w:rPr>
          <w:rFonts w:hint="eastAsia"/>
          <w:sz w:val="30"/>
          <w:szCs w:val="30"/>
        </w:rPr>
        <w:t>Christ himself will create it on the Day of Judgment, especially for the devil and his evil angels, but also for rebellious humans who have spurned God’s kingdom in favor of Satan’s (Mt. 22:1-14, 25:41, Rev. 20:10).</w:t>
      </w:r>
    </w:p>
    <w:p w14:paraId="072AE3C9">
      <w:pPr>
        <w:pStyle w:val="9"/>
        <w:spacing w:before="10"/>
        <w:ind w:left="0"/>
        <w:jc w:val="left"/>
        <w:rPr>
          <w:rFonts w:hint="eastAsia"/>
          <w:sz w:val="30"/>
          <w:szCs w:val="30"/>
        </w:rPr>
      </w:pPr>
      <w:r>
        <w:rPr>
          <w:rFonts w:hint="eastAsia"/>
          <w:sz w:val="30"/>
          <w:szCs w:val="30"/>
        </w:rPr>
        <w:t>基督祂自己将在审判日创造它，特别是为魔鬼和他的邪恶天使，但也为那些藐视上帝的国度而偏爱撒但国度的悖逆人类（太22:1-14, 25:41，启20:10）。</w:t>
      </w:r>
    </w:p>
    <w:p w14:paraId="1926EB1F">
      <w:pPr>
        <w:pStyle w:val="9"/>
        <w:spacing w:before="10"/>
        <w:ind w:left="0"/>
        <w:jc w:val="left"/>
        <w:rPr>
          <w:rFonts w:hint="eastAsia"/>
          <w:sz w:val="30"/>
          <w:szCs w:val="30"/>
        </w:rPr>
      </w:pPr>
    </w:p>
    <w:p w14:paraId="2CE246D7">
      <w:pPr>
        <w:pStyle w:val="9"/>
        <w:spacing w:before="10"/>
        <w:ind w:left="0"/>
        <w:jc w:val="left"/>
        <w:rPr>
          <w:rFonts w:hint="eastAsia"/>
          <w:sz w:val="30"/>
          <w:szCs w:val="30"/>
        </w:rPr>
      </w:pPr>
      <w:r>
        <w:rPr>
          <w:rFonts w:hint="eastAsia"/>
          <w:sz w:val="30"/>
          <w:szCs w:val="30"/>
        </w:rPr>
        <w:t>Hell may be situated in another dimension, or else in space itself; close, perhaps, to the new earth (Rev. 14:10-11).</w:t>
      </w:r>
    </w:p>
    <w:p w14:paraId="7596FDB9">
      <w:pPr>
        <w:pStyle w:val="9"/>
        <w:spacing w:before="10"/>
        <w:ind w:left="0"/>
        <w:jc w:val="left"/>
        <w:rPr>
          <w:rFonts w:hint="eastAsia"/>
          <w:sz w:val="30"/>
          <w:szCs w:val="30"/>
        </w:rPr>
      </w:pPr>
      <w:r>
        <w:rPr>
          <w:rFonts w:hint="eastAsia"/>
          <w:sz w:val="30"/>
          <w:szCs w:val="30"/>
        </w:rPr>
        <w:t>地狱可能位于另一个维度，或者就在空间本身；或许，靠近新地（启14:10-11）。</w:t>
      </w:r>
    </w:p>
    <w:p w14:paraId="68B64BE6">
      <w:pPr>
        <w:pStyle w:val="9"/>
        <w:spacing w:before="10"/>
        <w:ind w:left="0"/>
        <w:jc w:val="left"/>
        <w:rPr>
          <w:rFonts w:hint="eastAsia"/>
          <w:sz w:val="30"/>
          <w:szCs w:val="30"/>
        </w:rPr>
      </w:pPr>
    </w:p>
    <w:p w14:paraId="1C137866">
      <w:pPr>
        <w:pStyle w:val="9"/>
        <w:spacing w:before="10"/>
        <w:ind w:left="0"/>
        <w:jc w:val="left"/>
        <w:rPr>
          <w:rFonts w:hint="eastAsia"/>
          <w:sz w:val="30"/>
          <w:szCs w:val="30"/>
        </w:rPr>
      </w:pPr>
      <w:r>
        <w:rPr>
          <w:rFonts w:hint="eastAsia"/>
          <w:sz w:val="30"/>
          <w:szCs w:val="30"/>
        </w:rPr>
        <w:t>Whether the fires of the “outer darkness” are physical or spiritual is unclear.</w:t>
      </w:r>
    </w:p>
    <w:p w14:paraId="30065AD6">
      <w:pPr>
        <w:pStyle w:val="9"/>
        <w:spacing w:before="10"/>
        <w:ind w:left="0"/>
        <w:jc w:val="left"/>
        <w:rPr>
          <w:rFonts w:hint="eastAsia"/>
          <w:sz w:val="30"/>
          <w:szCs w:val="30"/>
        </w:rPr>
      </w:pPr>
      <w:r>
        <w:rPr>
          <w:rFonts w:hint="eastAsia"/>
          <w:sz w:val="30"/>
          <w:szCs w:val="30"/>
        </w:rPr>
        <w:t>“外面的黑暗”之火是物质的还是属灵的，尚不清楚。</w:t>
      </w:r>
    </w:p>
    <w:p w14:paraId="5FE53785">
      <w:pPr>
        <w:pStyle w:val="9"/>
        <w:spacing w:before="10"/>
        <w:ind w:left="0"/>
        <w:jc w:val="left"/>
        <w:rPr>
          <w:rFonts w:hint="eastAsia"/>
          <w:sz w:val="30"/>
          <w:szCs w:val="30"/>
        </w:rPr>
      </w:pPr>
    </w:p>
    <w:p w14:paraId="09F17607">
      <w:pPr>
        <w:pStyle w:val="9"/>
        <w:spacing w:before="10"/>
        <w:ind w:left="0"/>
        <w:jc w:val="left"/>
        <w:rPr>
          <w:rFonts w:hint="eastAsia"/>
          <w:sz w:val="30"/>
          <w:szCs w:val="30"/>
        </w:rPr>
      </w:pPr>
      <w:r>
        <w:rPr>
          <w:rFonts w:hint="eastAsia"/>
          <w:sz w:val="30"/>
          <w:szCs w:val="30"/>
        </w:rPr>
        <w:t>As in Hades, so there: Its inhabitants will experience loss, regret, torment, and the consciousness of God’s wrath abiding upon them (John 3:36, Rom. 2:28, Rev. 19:9-20).</w:t>
      </w:r>
    </w:p>
    <w:p w14:paraId="36DC16BD">
      <w:pPr>
        <w:pStyle w:val="9"/>
        <w:spacing w:before="10"/>
        <w:ind w:left="0"/>
        <w:jc w:val="left"/>
        <w:rPr>
          <w:rFonts w:hint="eastAsia"/>
          <w:sz w:val="30"/>
          <w:szCs w:val="30"/>
        </w:rPr>
      </w:pPr>
      <w:r>
        <w:rPr>
          <w:rFonts w:hint="eastAsia"/>
          <w:sz w:val="30"/>
          <w:szCs w:val="30"/>
        </w:rPr>
        <w:t>如同在阴间，那里也是如此：其居民将经历失落、悔恨、折磨，以及上帝忿怒常在他们身上的意识（约翰福音3:36，罗马书2:28，启示录19:9-20）。</w:t>
      </w:r>
    </w:p>
    <w:p w14:paraId="01C18DBB">
      <w:pPr>
        <w:pStyle w:val="9"/>
        <w:spacing w:before="10"/>
        <w:ind w:left="0"/>
        <w:jc w:val="left"/>
        <w:rPr>
          <w:rFonts w:hint="eastAsia"/>
          <w:sz w:val="30"/>
          <w:szCs w:val="30"/>
        </w:rPr>
      </w:pPr>
    </w:p>
    <w:p w14:paraId="76638E3A">
      <w:pPr>
        <w:pStyle w:val="9"/>
        <w:spacing w:before="10"/>
        <w:ind w:left="0"/>
        <w:jc w:val="left"/>
        <w:rPr>
          <w:rFonts w:hint="eastAsia"/>
          <w:sz w:val="30"/>
          <w:szCs w:val="30"/>
        </w:rPr>
      </w:pPr>
      <w:r>
        <w:rPr>
          <w:rFonts w:hint="eastAsia"/>
          <w:sz w:val="30"/>
          <w:szCs w:val="30"/>
        </w:rPr>
        <w:t>There will be weeping and gnashing of teeth (Mt. 8:12, 22:13, Rev. 14:11).</w:t>
      </w:r>
    </w:p>
    <w:p w14:paraId="1FF1B56D">
      <w:pPr>
        <w:pStyle w:val="9"/>
        <w:spacing w:before="10"/>
        <w:ind w:left="0"/>
        <w:jc w:val="left"/>
        <w:rPr>
          <w:rFonts w:hint="eastAsia"/>
          <w:sz w:val="30"/>
          <w:szCs w:val="30"/>
        </w:rPr>
      </w:pPr>
      <w:r>
        <w:rPr>
          <w:rFonts w:hint="eastAsia"/>
          <w:sz w:val="30"/>
          <w:szCs w:val="30"/>
        </w:rPr>
        <w:t>在那里必要哀哭切齿了（太8:12, 22:13，启14:11）。</w:t>
      </w:r>
    </w:p>
    <w:p w14:paraId="271D3532">
      <w:pPr>
        <w:pStyle w:val="9"/>
        <w:spacing w:before="10"/>
        <w:ind w:left="0"/>
        <w:jc w:val="left"/>
        <w:rPr>
          <w:rFonts w:hint="eastAsia"/>
          <w:sz w:val="30"/>
          <w:szCs w:val="30"/>
        </w:rPr>
      </w:pPr>
    </w:p>
    <w:p w14:paraId="3E1A9DE5">
      <w:pPr>
        <w:pStyle w:val="9"/>
        <w:spacing w:before="10"/>
        <w:ind w:left="0"/>
        <w:jc w:val="left"/>
        <w:rPr>
          <w:rFonts w:hint="eastAsia"/>
          <w:sz w:val="30"/>
          <w:szCs w:val="30"/>
        </w:rPr>
      </w:pPr>
      <w:r>
        <w:rPr>
          <w:rFonts w:hint="eastAsia"/>
          <w:sz w:val="30"/>
          <w:szCs w:val="30"/>
        </w:rPr>
        <w:t>Tellingly, Jesus usually referred to hell as Gehenna, a Hebrew word whose etymology identifies it as a kind of cosmic garbage dump, in which the refuse of the universe—both human and demonic—will burn forever just outside the City of God (Mt. 5:22, 29, 10:28, 18:9, 23:15, 33; Rev. 19:1-4, 22:15).</w:t>
      </w:r>
    </w:p>
    <w:p w14:paraId="6FB7C541">
      <w:pPr>
        <w:pStyle w:val="9"/>
        <w:spacing w:before="10"/>
        <w:ind w:left="0"/>
        <w:jc w:val="left"/>
        <w:rPr>
          <w:rFonts w:hint="eastAsia"/>
          <w:sz w:val="30"/>
          <w:szCs w:val="30"/>
        </w:rPr>
      </w:pPr>
      <w:r>
        <w:rPr>
          <w:rFonts w:hint="eastAsia"/>
          <w:sz w:val="30"/>
          <w:szCs w:val="30"/>
        </w:rPr>
        <w:t>意味深长的是，耶稣通常将地狱称为Gehenna，一个希伯来词，其词源将其确定为一种宇宙性的垃圾场，在其中宇宙的废弃物——无论是人类还是魔鬼——将在上帝之城外永远焚烧（太5:22, 29, 10:28, 18:9, 23:15, 33；启19:1-4, 22:15）。</w:t>
      </w:r>
    </w:p>
    <w:p w14:paraId="3AD39F25">
      <w:pPr>
        <w:pStyle w:val="9"/>
        <w:spacing w:before="10"/>
        <w:ind w:left="0"/>
        <w:jc w:val="left"/>
        <w:rPr>
          <w:rFonts w:hint="eastAsia"/>
          <w:sz w:val="30"/>
          <w:szCs w:val="30"/>
        </w:rPr>
      </w:pPr>
    </w:p>
    <w:p w14:paraId="57C8D9B5">
      <w:pPr>
        <w:pStyle w:val="9"/>
        <w:spacing w:before="10"/>
        <w:ind w:left="0"/>
        <w:jc w:val="left"/>
        <w:rPr>
          <w:rFonts w:hint="eastAsia"/>
          <w:sz w:val="30"/>
          <w:szCs w:val="30"/>
        </w:rPr>
      </w:pPr>
      <w:r>
        <w:rPr>
          <w:rFonts w:hint="eastAsia"/>
          <w:sz w:val="30"/>
          <w:szCs w:val="30"/>
        </w:rPr>
        <w:t>Hell, therefore, will serve as an eternal reminder to God’s elect of his infinite holiness, perfect justice, and sovereign mercy and grace.</w:t>
      </w:r>
    </w:p>
    <w:p w14:paraId="5DA92423">
      <w:pPr>
        <w:pStyle w:val="9"/>
        <w:spacing w:before="10"/>
        <w:ind w:left="0"/>
        <w:jc w:val="left"/>
        <w:rPr>
          <w:rFonts w:hint="eastAsia"/>
          <w:sz w:val="30"/>
          <w:szCs w:val="30"/>
        </w:rPr>
      </w:pPr>
      <w:r>
        <w:rPr>
          <w:rFonts w:hint="eastAsia"/>
          <w:sz w:val="30"/>
          <w:szCs w:val="30"/>
        </w:rPr>
        <w:t>因此，地狱将作为对上帝选民的一个永恒提醒，提醒他们祂无限的圣洁、完全的公义，以及主权的怜悯和恩典。</w:t>
      </w:r>
    </w:p>
    <w:p w14:paraId="74D7D971">
      <w:pPr>
        <w:pStyle w:val="9"/>
        <w:spacing w:before="10"/>
        <w:ind w:left="0"/>
        <w:jc w:val="left"/>
        <w:rPr>
          <w:rFonts w:hint="eastAsia"/>
          <w:sz w:val="30"/>
          <w:szCs w:val="30"/>
        </w:rPr>
      </w:pPr>
    </w:p>
    <w:p w14:paraId="19C86AB2">
      <w:pPr>
        <w:pStyle w:val="9"/>
        <w:spacing w:before="10"/>
        <w:ind w:left="0"/>
        <w:jc w:val="left"/>
        <w:rPr>
          <w:rFonts w:hint="eastAsia"/>
          <w:sz w:val="30"/>
          <w:szCs w:val="30"/>
        </w:rPr>
      </w:pPr>
      <w:r>
        <w:rPr>
          <w:rFonts w:hint="eastAsia"/>
          <w:sz w:val="30"/>
          <w:szCs w:val="30"/>
        </w:rPr>
        <w:t>Seeing it, their thought will ever be, “There, but for the grace of God, go I” (Eph. 1:6).</w:t>
      </w:r>
    </w:p>
    <w:p w14:paraId="7362C8EB">
      <w:pPr>
        <w:pStyle w:val="9"/>
        <w:spacing w:before="10"/>
        <w:ind w:left="0"/>
        <w:jc w:val="left"/>
        <w:rPr>
          <w:rFonts w:hint="eastAsia"/>
          <w:sz w:val="30"/>
          <w:szCs w:val="30"/>
        </w:rPr>
      </w:pPr>
      <w:r>
        <w:rPr>
          <w:rFonts w:hint="eastAsia"/>
          <w:sz w:val="30"/>
          <w:szCs w:val="30"/>
        </w:rPr>
        <w:t>看见它，他们的思想将永远是：“若不是上帝的恩典，我也会在那里”（弗1:6）。</w:t>
      </w:r>
    </w:p>
    <w:p w14:paraId="0151D1DC">
      <w:pPr>
        <w:pStyle w:val="9"/>
        <w:spacing w:before="10"/>
        <w:ind w:left="0"/>
        <w:jc w:val="left"/>
        <w:rPr>
          <w:rFonts w:hint="eastAsia"/>
          <w:sz w:val="30"/>
          <w:szCs w:val="30"/>
        </w:rPr>
      </w:pPr>
    </w:p>
    <w:p w14:paraId="4E3FF5FB">
      <w:pPr>
        <w:pStyle w:val="9"/>
        <w:spacing w:before="10"/>
        <w:ind w:left="0"/>
        <w:jc w:val="left"/>
        <w:rPr>
          <w:rFonts w:hint="eastAsia"/>
          <w:sz w:val="30"/>
          <w:szCs w:val="30"/>
        </w:rPr>
      </w:pPr>
      <w:r>
        <w:rPr>
          <w:rFonts w:hint="eastAsia"/>
          <w:sz w:val="30"/>
          <w:szCs w:val="30"/>
        </w:rPr>
        <w:t>Solemn as it is, the Last Judgment is also an integral part of the saints’ blessed hope.</w:t>
      </w:r>
    </w:p>
    <w:p w14:paraId="14B9CF01">
      <w:pPr>
        <w:pStyle w:val="9"/>
        <w:spacing w:before="10"/>
        <w:ind w:left="0"/>
        <w:jc w:val="left"/>
        <w:rPr>
          <w:rFonts w:hint="eastAsia"/>
          <w:sz w:val="30"/>
          <w:szCs w:val="30"/>
        </w:rPr>
      </w:pPr>
      <w:r>
        <w:rPr>
          <w:rFonts w:hint="eastAsia"/>
          <w:sz w:val="30"/>
          <w:szCs w:val="30"/>
        </w:rPr>
        <w:t>尽管庄严，最后的审判也是圣徒们有福盼望中不可或缺的一部分。</w:t>
      </w:r>
    </w:p>
    <w:p w14:paraId="7124E879">
      <w:pPr>
        <w:pStyle w:val="9"/>
        <w:spacing w:before="10"/>
        <w:ind w:left="0"/>
        <w:jc w:val="left"/>
        <w:rPr>
          <w:rFonts w:hint="eastAsia"/>
          <w:sz w:val="30"/>
          <w:szCs w:val="30"/>
        </w:rPr>
      </w:pPr>
    </w:p>
    <w:p w14:paraId="0C4CA04C">
      <w:pPr>
        <w:pStyle w:val="9"/>
        <w:spacing w:before="10"/>
        <w:ind w:left="0"/>
        <w:jc w:val="left"/>
        <w:rPr>
          <w:rFonts w:hint="eastAsia"/>
          <w:sz w:val="30"/>
          <w:szCs w:val="30"/>
        </w:rPr>
      </w:pPr>
      <w:r>
        <w:rPr>
          <w:rFonts w:hint="eastAsia"/>
          <w:sz w:val="30"/>
          <w:szCs w:val="30"/>
        </w:rPr>
        <w:t>Christ’s disciples look forward to the day when their King will send forth judgment unto victory, when the scales will be balanced at last, when the righteous will receive their just reward, and the wicked their just desserts (Mt. 10:20, Rev. 15:3-4).</w:t>
      </w:r>
    </w:p>
    <w:p w14:paraId="65AE7806">
      <w:pPr>
        <w:pStyle w:val="9"/>
        <w:spacing w:before="10"/>
        <w:ind w:left="0"/>
        <w:jc w:val="left"/>
        <w:rPr>
          <w:rFonts w:hint="eastAsia"/>
          <w:sz w:val="30"/>
          <w:szCs w:val="30"/>
        </w:rPr>
      </w:pPr>
      <w:r>
        <w:rPr>
          <w:rFonts w:hint="eastAsia"/>
          <w:sz w:val="30"/>
          <w:szCs w:val="30"/>
        </w:rPr>
        <w:t>基督的门徒们盼望那日，他们的君王将施行审判，直到得胜，那时天平将最终被平衡，义人将得到他们公义的赏赐，恶人将得到他们应得的报应（太10:20，启15:3-4）。</w:t>
      </w:r>
    </w:p>
    <w:p w14:paraId="4ABC7983">
      <w:pPr>
        <w:pStyle w:val="9"/>
        <w:spacing w:before="10"/>
        <w:ind w:left="0"/>
        <w:jc w:val="left"/>
        <w:rPr>
          <w:rFonts w:hint="eastAsia"/>
          <w:sz w:val="30"/>
          <w:szCs w:val="30"/>
        </w:rPr>
      </w:pPr>
    </w:p>
    <w:p w14:paraId="391808AE">
      <w:pPr>
        <w:pStyle w:val="9"/>
        <w:spacing w:before="10"/>
        <w:ind w:left="0"/>
        <w:jc w:val="left"/>
        <w:rPr>
          <w:rFonts w:hint="eastAsia"/>
          <w:sz w:val="30"/>
          <w:szCs w:val="30"/>
        </w:rPr>
      </w:pPr>
      <w:r>
        <w:rPr>
          <w:rFonts w:hint="eastAsia"/>
          <w:sz w:val="30"/>
          <w:szCs w:val="30"/>
        </w:rPr>
        <w:t>They also look forward to receiving their own rewards, and to hearing these precious words from the Master’s lips: “Well done, good and faithful servant” (Mt. 25:21).</w:t>
      </w:r>
    </w:p>
    <w:p w14:paraId="0CA1A1EC">
      <w:pPr>
        <w:pStyle w:val="9"/>
        <w:spacing w:before="10"/>
        <w:ind w:left="0"/>
        <w:jc w:val="left"/>
        <w:rPr>
          <w:rFonts w:hint="eastAsia"/>
          <w:sz w:val="30"/>
          <w:szCs w:val="30"/>
        </w:rPr>
      </w:pPr>
      <w:r>
        <w:rPr>
          <w:rFonts w:hint="eastAsia"/>
          <w:sz w:val="30"/>
          <w:szCs w:val="30"/>
        </w:rPr>
        <w:t>他们也盼望领受他们自己的赏赐，并从主口中听到这些宝贵的话语：“好，你这又良善又忠心的仆人”（太25:21）。</w:t>
      </w:r>
    </w:p>
    <w:p w14:paraId="2FEAE0E6">
      <w:pPr>
        <w:pStyle w:val="9"/>
        <w:spacing w:before="10"/>
        <w:ind w:left="0"/>
        <w:jc w:val="left"/>
        <w:rPr>
          <w:rFonts w:hint="eastAsia"/>
          <w:sz w:val="30"/>
          <w:szCs w:val="30"/>
        </w:rPr>
      </w:pPr>
    </w:p>
    <w:p w14:paraId="08365B1A">
      <w:pPr>
        <w:pStyle w:val="9"/>
        <w:spacing w:before="10"/>
        <w:ind w:left="0"/>
        <w:jc w:val="left"/>
        <w:rPr>
          <w:rFonts w:hint="eastAsia"/>
          <w:sz w:val="30"/>
          <w:szCs w:val="30"/>
        </w:rPr>
      </w:pPr>
      <w:r>
        <w:rPr>
          <w:rFonts w:hint="eastAsia"/>
          <w:sz w:val="30"/>
          <w:szCs w:val="30"/>
        </w:rPr>
        <w:t>Recognizing, however, the true source of their righteousness, they mostly look forward to casting down their crowns at the feet of him who loved them and gave himself for them; the One who called them, kept them, and sanctified them during their life on earth, so that he might present them faultless before the presence of his glory with exceeding joy (Gal. 2:20, Jude 1:24, Rev. 4:10).</w:t>
      </w:r>
    </w:p>
    <w:p w14:paraId="5FB6AFCD">
      <w:pPr>
        <w:pStyle w:val="9"/>
        <w:spacing w:before="10"/>
        <w:ind w:left="0"/>
        <w:jc w:val="left"/>
        <w:rPr>
          <w:rFonts w:hint="eastAsia"/>
          <w:sz w:val="30"/>
          <w:szCs w:val="30"/>
        </w:rPr>
      </w:pPr>
      <w:r>
        <w:rPr>
          <w:rFonts w:hint="eastAsia"/>
          <w:sz w:val="30"/>
          <w:szCs w:val="30"/>
        </w:rPr>
        <w:t>然而，认识到他们义的真正源头，他们最盼望的，是在那爱他们、为他们舍己的主脚前放下他们的冠冕；那位在他们地上生活中呼召他们、保守他们、并使他们成圣的主，好叫祂可以在祂荣耀的同在中，以极大的喜乐，将他们无瑕疵地献上（加2:20，犹1:24，启4:10）。</w:t>
      </w:r>
    </w:p>
    <w:p w14:paraId="7977A67E">
      <w:pPr>
        <w:pStyle w:val="9"/>
        <w:spacing w:before="10"/>
        <w:ind w:left="0"/>
        <w:jc w:val="left"/>
        <w:rPr>
          <w:rFonts w:hint="eastAsia"/>
          <w:sz w:val="30"/>
          <w:szCs w:val="30"/>
        </w:rPr>
      </w:pPr>
    </w:p>
    <w:p w14:paraId="0A173C4F">
      <w:pPr>
        <w:pStyle w:val="9"/>
        <w:spacing w:before="10"/>
        <w:ind w:left="0"/>
        <w:jc w:val="left"/>
        <w:rPr>
          <w:rFonts w:hint="eastAsia"/>
          <w:sz w:val="30"/>
          <w:szCs w:val="30"/>
        </w:rPr>
      </w:pPr>
      <w:r>
        <w:rPr>
          <w:rFonts w:hint="eastAsia"/>
          <w:sz w:val="30"/>
          <w:szCs w:val="30"/>
        </w:rPr>
        <w:t>Cosmic Transformation</w:t>
      </w:r>
    </w:p>
    <w:p w14:paraId="17B96787">
      <w:pPr>
        <w:pStyle w:val="9"/>
        <w:spacing w:before="10"/>
        <w:ind w:left="0"/>
        <w:jc w:val="left"/>
        <w:rPr>
          <w:rFonts w:hint="eastAsia"/>
          <w:sz w:val="30"/>
          <w:szCs w:val="30"/>
        </w:rPr>
      </w:pPr>
      <w:r>
        <w:rPr>
          <w:rFonts w:hint="eastAsia"/>
          <w:sz w:val="30"/>
          <w:szCs w:val="30"/>
        </w:rPr>
        <w:t>宇宙性转变</w:t>
      </w:r>
    </w:p>
    <w:p w14:paraId="05A90E79">
      <w:pPr>
        <w:pStyle w:val="9"/>
        <w:spacing w:before="10"/>
        <w:ind w:left="0"/>
        <w:jc w:val="left"/>
        <w:rPr>
          <w:rFonts w:hint="eastAsia"/>
          <w:sz w:val="30"/>
          <w:szCs w:val="30"/>
        </w:rPr>
      </w:pPr>
    </w:p>
    <w:p w14:paraId="052C075A">
      <w:pPr>
        <w:pStyle w:val="9"/>
        <w:spacing w:before="10"/>
        <w:ind w:left="0"/>
        <w:jc w:val="left"/>
        <w:rPr>
          <w:rFonts w:hint="eastAsia"/>
          <w:sz w:val="30"/>
          <w:szCs w:val="30"/>
        </w:rPr>
      </w:pPr>
      <w:r>
        <w:rPr>
          <w:rFonts w:hint="eastAsia"/>
          <w:sz w:val="30"/>
          <w:szCs w:val="30"/>
        </w:rPr>
        <w:t>In order supremely to honor his Son, the Father has also conferred upon him the privilege of transforming the cosmos.</w:t>
      </w:r>
    </w:p>
    <w:p w14:paraId="068F444D">
      <w:pPr>
        <w:pStyle w:val="9"/>
        <w:spacing w:before="10"/>
        <w:ind w:left="0"/>
        <w:jc w:val="left"/>
        <w:rPr>
          <w:rFonts w:hint="eastAsia"/>
          <w:sz w:val="30"/>
          <w:szCs w:val="30"/>
        </w:rPr>
      </w:pPr>
      <w:r>
        <w:rPr>
          <w:rFonts w:hint="eastAsia"/>
          <w:sz w:val="30"/>
          <w:szCs w:val="30"/>
        </w:rPr>
        <w:t>为要至高地尊荣祂的儿子，父也已将改变宇宙的特权赐给祂。</w:t>
      </w:r>
    </w:p>
    <w:p w14:paraId="12ADEDB3">
      <w:pPr>
        <w:pStyle w:val="9"/>
        <w:spacing w:before="10"/>
        <w:ind w:left="0"/>
        <w:jc w:val="left"/>
        <w:rPr>
          <w:rFonts w:hint="eastAsia"/>
          <w:sz w:val="30"/>
          <w:szCs w:val="30"/>
        </w:rPr>
      </w:pPr>
    </w:p>
    <w:p w14:paraId="0DAE4BFD">
      <w:pPr>
        <w:pStyle w:val="9"/>
        <w:spacing w:before="10"/>
        <w:ind w:left="0"/>
        <w:jc w:val="left"/>
        <w:rPr>
          <w:rFonts w:hint="eastAsia"/>
          <w:sz w:val="30"/>
          <w:szCs w:val="30"/>
        </w:rPr>
      </w:pPr>
      <w:r>
        <w:rPr>
          <w:rFonts w:hint="eastAsia"/>
          <w:sz w:val="30"/>
          <w:szCs w:val="30"/>
        </w:rPr>
        <w:t>This is the climax of Christ’s specifically redemptive acts.</w:t>
      </w:r>
    </w:p>
    <w:p w14:paraId="49F8D77F">
      <w:pPr>
        <w:pStyle w:val="9"/>
        <w:spacing w:before="10"/>
        <w:ind w:left="0"/>
        <w:jc w:val="left"/>
        <w:rPr>
          <w:rFonts w:hint="eastAsia"/>
          <w:sz w:val="30"/>
          <w:szCs w:val="30"/>
        </w:rPr>
      </w:pPr>
      <w:r>
        <w:rPr>
          <w:rFonts w:hint="eastAsia"/>
          <w:sz w:val="30"/>
          <w:szCs w:val="30"/>
        </w:rPr>
        <w:t>这是基督特别的救赎作为的高潮。</w:t>
      </w:r>
    </w:p>
    <w:p w14:paraId="30A97630">
      <w:pPr>
        <w:pStyle w:val="9"/>
        <w:spacing w:before="10"/>
        <w:ind w:left="0"/>
        <w:jc w:val="left"/>
        <w:rPr>
          <w:rFonts w:hint="eastAsia"/>
          <w:sz w:val="30"/>
          <w:szCs w:val="30"/>
        </w:rPr>
      </w:pPr>
    </w:p>
    <w:p w14:paraId="259974D9">
      <w:pPr>
        <w:pStyle w:val="9"/>
        <w:spacing w:before="10"/>
        <w:ind w:left="0"/>
        <w:jc w:val="left"/>
        <w:rPr>
          <w:rFonts w:hint="eastAsia"/>
          <w:sz w:val="30"/>
          <w:szCs w:val="30"/>
        </w:rPr>
      </w:pPr>
      <w:r>
        <w:rPr>
          <w:rFonts w:hint="eastAsia"/>
          <w:sz w:val="30"/>
          <w:szCs w:val="30"/>
        </w:rPr>
        <w:t>God has made him the Alpha and the Omega, the Beginning and the End (Rev. 1:8, 11).</w:t>
      </w:r>
    </w:p>
    <w:p w14:paraId="39D06626">
      <w:pPr>
        <w:pStyle w:val="9"/>
        <w:spacing w:before="10"/>
        <w:ind w:left="0"/>
        <w:jc w:val="left"/>
        <w:rPr>
          <w:rFonts w:hint="eastAsia"/>
          <w:sz w:val="30"/>
          <w:szCs w:val="30"/>
        </w:rPr>
      </w:pPr>
      <w:r>
        <w:rPr>
          <w:rFonts w:hint="eastAsia"/>
          <w:sz w:val="30"/>
          <w:szCs w:val="30"/>
        </w:rPr>
        <w:t>上帝已使祂成为阿拉法和俄梅戛，始终和末了（启1:8, 11）。</w:t>
      </w:r>
    </w:p>
    <w:p w14:paraId="041BAB4C">
      <w:pPr>
        <w:pStyle w:val="9"/>
        <w:spacing w:before="10"/>
        <w:ind w:left="0"/>
        <w:jc w:val="left"/>
        <w:rPr>
          <w:rFonts w:hint="eastAsia"/>
          <w:sz w:val="30"/>
          <w:szCs w:val="30"/>
        </w:rPr>
      </w:pPr>
    </w:p>
    <w:p w14:paraId="6E332244">
      <w:pPr>
        <w:pStyle w:val="9"/>
        <w:spacing w:before="10"/>
        <w:ind w:left="0"/>
        <w:jc w:val="left"/>
        <w:rPr>
          <w:rFonts w:hint="eastAsia"/>
          <w:sz w:val="30"/>
          <w:szCs w:val="30"/>
        </w:rPr>
      </w:pPr>
      <w:r>
        <w:rPr>
          <w:rFonts w:hint="eastAsia"/>
          <w:sz w:val="30"/>
          <w:szCs w:val="30"/>
        </w:rPr>
        <w:t>This means that the Father has granted the Son not only to create the universe in the beginning, but also that he should re-create it in the end.</w:t>
      </w:r>
    </w:p>
    <w:p w14:paraId="46E14647">
      <w:pPr>
        <w:pStyle w:val="9"/>
        <w:spacing w:before="10"/>
        <w:ind w:left="0"/>
        <w:jc w:val="left"/>
        <w:rPr>
          <w:rFonts w:hint="eastAsia"/>
          <w:sz w:val="30"/>
          <w:szCs w:val="30"/>
        </w:rPr>
      </w:pPr>
      <w:r>
        <w:rPr>
          <w:rFonts w:hint="eastAsia"/>
          <w:sz w:val="30"/>
          <w:szCs w:val="30"/>
        </w:rPr>
        <w:t>这意味着父不仅赐予子在起初创造宇宙，也赐予祂在末了再造宇宙。</w:t>
      </w:r>
    </w:p>
    <w:p w14:paraId="103E26F5">
      <w:pPr>
        <w:pStyle w:val="9"/>
        <w:spacing w:before="10"/>
        <w:ind w:left="0"/>
        <w:jc w:val="left"/>
        <w:rPr>
          <w:rFonts w:hint="eastAsia"/>
          <w:sz w:val="30"/>
          <w:szCs w:val="30"/>
        </w:rPr>
      </w:pPr>
    </w:p>
    <w:p w14:paraId="61C7D600">
      <w:pPr>
        <w:pStyle w:val="9"/>
        <w:spacing w:before="10"/>
        <w:ind w:left="0"/>
        <w:jc w:val="left"/>
        <w:rPr>
          <w:rFonts w:hint="eastAsia"/>
          <w:sz w:val="30"/>
          <w:szCs w:val="30"/>
        </w:rPr>
      </w:pPr>
      <w:r>
        <w:rPr>
          <w:rFonts w:hint="eastAsia"/>
          <w:sz w:val="30"/>
          <w:szCs w:val="30"/>
        </w:rPr>
        <w:t>Just as the returning Christ will have authority to raise, transform, and glorify the broken bodies of his saints, so too he will have authority and power to subdue all things to himself, thereby liberating them from their subjection to futility, and lifting them into the freedom of the glory of the children of God (Rom. 8:20, 1 Cor. 15:24-27, Phil. 3:20-21).</w:t>
      </w:r>
    </w:p>
    <w:p w14:paraId="6021ECDE">
      <w:pPr>
        <w:pStyle w:val="9"/>
        <w:spacing w:before="10"/>
        <w:ind w:left="0"/>
        <w:jc w:val="left"/>
        <w:rPr>
          <w:rFonts w:hint="eastAsia"/>
          <w:sz w:val="30"/>
          <w:szCs w:val="30"/>
        </w:rPr>
      </w:pPr>
      <w:r>
        <w:rPr>
          <w:rFonts w:hint="eastAsia"/>
          <w:sz w:val="30"/>
          <w:szCs w:val="30"/>
        </w:rPr>
        <w:t>正如再来的基督将有权柄使祂圣徒破碎的身体复活、改变和得荣耀，同样祂也将有权柄和能力使万有都服了自己，从而将它们从虚空的辖制中解放出来，并提升它们进入上帝儿女荣耀的自由中（罗8:20，林前15:24-27，腓3:20-21）。</w:t>
      </w:r>
    </w:p>
    <w:p w14:paraId="0EC8E8CE">
      <w:pPr>
        <w:pStyle w:val="9"/>
        <w:spacing w:before="10"/>
        <w:ind w:left="0"/>
        <w:jc w:val="left"/>
        <w:rPr>
          <w:rFonts w:hint="eastAsia"/>
          <w:sz w:val="30"/>
          <w:szCs w:val="30"/>
        </w:rPr>
      </w:pPr>
    </w:p>
    <w:p w14:paraId="6CB18592">
      <w:pPr>
        <w:pStyle w:val="9"/>
        <w:spacing w:before="10"/>
        <w:ind w:left="0"/>
        <w:jc w:val="left"/>
        <w:rPr>
          <w:rFonts w:hint="eastAsia"/>
          <w:sz w:val="30"/>
          <w:szCs w:val="30"/>
        </w:rPr>
      </w:pPr>
      <w:r>
        <w:rPr>
          <w:rFonts w:hint="eastAsia"/>
          <w:sz w:val="30"/>
          <w:szCs w:val="30"/>
        </w:rPr>
        <w:t>This transformation is twofold .</w:t>
      </w:r>
    </w:p>
    <w:p w14:paraId="5DC4B84B">
      <w:pPr>
        <w:pStyle w:val="9"/>
        <w:spacing w:before="10"/>
        <w:ind w:left="0"/>
        <w:jc w:val="left"/>
        <w:rPr>
          <w:rFonts w:hint="eastAsia"/>
          <w:sz w:val="30"/>
          <w:szCs w:val="30"/>
        </w:rPr>
      </w:pPr>
      <w:r>
        <w:rPr>
          <w:rFonts w:hint="eastAsia"/>
          <w:sz w:val="30"/>
          <w:szCs w:val="30"/>
        </w:rPr>
        <w:t>这次转变是双重的。</w:t>
      </w:r>
    </w:p>
    <w:p w14:paraId="0CF536E4">
      <w:pPr>
        <w:pStyle w:val="9"/>
        <w:spacing w:before="10"/>
        <w:ind w:left="0"/>
        <w:jc w:val="left"/>
        <w:rPr>
          <w:rFonts w:hint="eastAsia"/>
          <w:sz w:val="30"/>
          <w:szCs w:val="30"/>
        </w:rPr>
      </w:pPr>
    </w:p>
    <w:p w14:paraId="4B484FD8">
      <w:pPr>
        <w:pStyle w:val="9"/>
        <w:spacing w:before="10"/>
        <w:ind w:left="0"/>
        <w:jc w:val="left"/>
        <w:rPr>
          <w:rFonts w:hint="eastAsia"/>
          <w:sz w:val="30"/>
          <w:szCs w:val="30"/>
        </w:rPr>
      </w:pPr>
      <w:r>
        <w:rPr>
          <w:rFonts w:hint="eastAsia"/>
          <w:sz w:val="30"/>
          <w:szCs w:val="30"/>
        </w:rPr>
        <w:t>It begins with a cosmic conflagration, a universal meltdown in which, as Jesus predicted, heaven and earth shall pass away (Mt. 24:35).</w:t>
      </w:r>
    </w:p>
    <w:p w14:paraId="18A194D7">
      <w:pPr>
        <w:pStyle w:val="9"/>
        <w:spacing w:before="10"/>
        <w:ind w:left="0"/>
        <w:jc w:val="left"/>
        <w:rPr>
          <w:rFonts w:hint="eastAsia"/>
          <w:sz w:val="30"/>
          <w:szCs w:val="30"/>
        </w:rPr>
      </w:pPr>
      <w:r>
        <w:rPr>
          <w:rFonts w:hint="eastAsia"/>
          <w:sz w:val="30"/>
          <w:szCs w:val="30"/>
        </w:rPr>
        <w:t>它始于一次宇宙性的大火，一次普世的熔解，在其中，正如耶稣所预言的，天地都要废去（太24:35）。</w:t>
      </w:r>
    </w:p>
    <w:p w14:paraId="639A8B18">
      <w:pPr>
        <w:pStyle w:val="9"/>
        <w:spacing w:before="10"/>
        <w:ind w:left="0"/>
        <w:jc w:val="left"/>
        <w:rPr>
          <w:rFonts w:hint="eastAsia"/>
          <w:sz w:val="30"/>
          <w:szCs w:val="30"/>
        </w:rPr>
      </w:pPr>
    </w:p>
    <w:p w14:paraId="3B670BCE">
      <w:pPr>
        <w:pStyle w:val="9"/>
        <w:spacing w:before="10"/>
        <w:ind w:left="0"/>
        <w:jc w:val="left"/>
        <w:rPr>
          <w:rFonts w:hint="eastAsia"/>
          <w:sz w:val="30"/>
          <w:szCs w:val="30"/>
        </w:rPr>
      </w:pPr>
      <w:r>
        <w:rPr>
          <w:rFonts w:hint="eastAsia"/>
          <w:sz w:val="30"/>
          <w:szCs w:val="30"/>
        </w:rPr>
        <w:t>The most complete description of this awesome event is found in 2 Peter 3, where the apostle writes:</w:t>
      </w:r>
    </w:p>
    <w:p w14:paraId="42376C29">
      <w:pPr>
        <w:pStyle w:val="9"/>
        <w:spacing w:before="10"/>
        <w:ind w:left="0"/>
        <w:jc w:val="left"/>
        <w:rPr>
          <w:rFonts w:hint="eastAsia"/>
          <w:sz w:val="30"/>
          <w:szCs w:val="30"/>
        </w:rPr>
      </w:pPr>
      <w:r>
        <w:rPr>
          <w:rFonts w:hint="eastAsia"/>
          <w:sz w:val="30"/>
          <w:szCs w:val="30"/>
        </w:rPr>
        <w:t>对这次令人敬畏的事件最完整的描述，见于彼得后书第3章，使徒在那里写道：</w:t>
      </w:r>
    </w:p>
    <w:p w14:paraId="3CC6C7FF">
      <w:pPr>
        <w:pStyle w:val="9"/>
        <w:spacing w:before="10"/>
        <w:ind w:left="0"/>
        <w:jc w:val="left"/>
        <w:rPr>
          <w:rFonts w:hint="eastAsia"/>
          <w:sz w:val="30"/>
          <w:szCs w:val="30"/>
        </w:rPr>
      </w:pPr>
    </w:p>
    <w:p w14:paraId="1025E104">
      <w:pPr>
        <w:pStyle w:val="9"/>
        <w:spacing w:before="10"/>
        <w:ind w:left="0"/>
        <w:jc w:val="left"/>
        <w:rPr>
          <w:rFonts w:hint="eastAsia"/>
          <w:sz w:val="30"/>
          <w:szCs w:val="30"/>
        </w:rPr>
      </w:pPr>
      <w:r>
        <w:rPr>
          <w:rFonts w:hint="eastAsia"/>
          <w:sz w:val="30"/>
          <w:szCs w:val="30"/>
        </w:rPr>
        <w:t>But the day of the Lord will come like a thief, in which the heavens will pass away with a roar and the elements will be destroyed with intense heat, and the earth and its works will be burned up.</w:t>
      </w:r>
    </w:p>
    <w:p w14:paraId="69DA1E2B">
      <w:pPr>
        <w:pStyle w:val="9"/>
        <w:spacing w:before="10"/>
        <w:ind w:left="0"/>
        <w:jc w:val="left"/>
        <w:rPr>
          <w:rFonts w:hint="eastAsia"/>
          <w:sz w:val="30"/>
          <w:szCs w:val="30"/>
        </w:rPr>
      </w:pPr>
      <w:r>
        <w:rPr>
          <w:rFonts w:hint="eastAsia"/>
          <w:sz w:val="30"/>
          <w:szCs w:val="30"/>
        </w:rPr>
        <w:t>但主的日子要像贼来到一样。那日，天必大有响声废去，有形质的都要被烈火销化，地和其上的物都要烧尽了。</w:t>
      </w:r>
    </w:p>
    <w:p w14:paraId="119CD88C">
      <w:pPr>
        <w:pStyle w:val="9"/>
        <w:spacing w:before="10"/>
        <w:ind w:left="0"/>
        <w:jc w:val="left"/>
        <w:rPr>
          <w:rFonts w:hint="eastAsia"/>
          <w:sz w:val="30"/>
          <w:szCs w:val="30"/>
        </w:rPr>
      </w:pPr>
    </w:p>
    <w:p w14:paraId="49DF9246">
      <w:pPr>
        <w:pStyle w:val="9"/>
        <w:spacing w:before="10"/>
        <w:ind w:left="0"/>
        <w:jc w:val="left"/>
        <w:rPr>
          <w:rFonts w:hint="eastAsia"/>
          <w:sz w:val="30"/>
          <w:szCs w:val="30"/>
        </w:rPr>
      </w:pPr>
      <w:r>
        <w:rPr>
          <w:rFonts w:hint="eastAsia"/>
          <w:sz w:val="30"/>
          <w:szCs w:val="30"/>
        </w:rPr>
        <w:t>Since all these things are to be destroyed in this way, what sort of people ought you to be in holy conduct and godliness, looking for and hastening the coming of the day of God, on account of which the heavens will be destroyed by burning, and the elements will melt with intense heat?</w:t>
      </w:r>
    </w:p>
    <w:p w14:paraId="10B7D8BF">
      <w:pPr>
        <w:pStyle w:val="9"/>
        <w:spacing w:before="10"/>
        <w:ind w:left="0"/>
        <w:jc w:val="left"/>
        <w:rPr>
          <w:rFonts w:hint="eastAsia"/>
          <w:sz w:val="30"/>
          <w:szCs w:val="30"/>
        </w:rPr>
      </w:pPr>
      <w:r>
        <w:rPr>
          <w:rFonts w:hint="eastAsia"/>
          <w:sz w:val="30"/>
          <w:szCs w:val="30"/>
        </w:rPr>
        <w:t>这一切既然都要如此销化，你们为人该当怎样圣洁，怎样敬虔，切切仰望并催促上帝的日子来到呢？在那日，天被火烧就销化了，有形质的都要被烈火熔化。</w:t>
      </w:r>
    </w:p>
    <w:p w14:paraId="4A2139E8">
      <w:pPr>
        <w:pStyle w:val="9"/>
        <w:spacing w:before="10"/>
        <w:ind w:left="0"/>
        <w:jc w:val="left"/>
        <w:rPr>
          <w:rFonts w:hint="eastAsia"/>
          <w:sz w:val="30"/>
          <w:szCs w:val="30"/>
        </w:rPr>
      </w:pPr>
    </w:p>
    <w:p w14:paraId="43D85EEF">
      <w:pPr>
        <w:pStyle w:val="9"/>
        <w:spacing w:before="10"/>
        <w:ind w:left="0"/>
        <w:jc w:val="left"/>
        <w:rPr>
          <w:rFonts w:hint="eastAsia"/>
          <w:sz w:val="30"/>
          <w:szCs w:val="30"/>
        </w:rPr>
      </w:pPr>
      <w:r>
        <w:rPr>
          <w:rFonts w:hint="eastAsia"/>
          <w:sz w:val="30"/>
          <w:szCs w:val="30"/>
        </w:rPr>
        <w:t>But according to His promise, we look for new heavens and a new earth.</w:t>
      </w:r>
    </w:p>
    <w:p w14:paraId="47B66433">
      <w:pPr>
        <w:pStyle w:val="9"/>
        <w:spacing w:before="10"/>
        <w:ind w:left="0"/>
        <w:jc w:val="left"/>
        <w:rPr>
          <w:rFonts w:hint="eastAsia"/>
          <w:sz w:val="30"/>
          <w:szCs w:val="30"/>
        </w:rPr>
      </w:pPr>
      <w:r>
        <w:rPr>
          <w:rFonts w:hint="eastAsia"/>
          <w:sz w:val="30"/>
          <w:szCs w:val="30"/>
        </w:rPr>
        <w:t>但我们照祂的应许，盼望新天新地。</w:t>
      </w:r>
    </w:p>
    <w:p w14:paraId="4346C1DC">
      <w:pPr>
        <w:pStyle w:val="9"/>
        <w:spacing w:before="10"/>
        <w:ind w:left="0"/>
        <w:jc w:val="left"/>
        <w:rPr>
          <w:rFonts w:hint="eastAsia"/>
          <w:sz w:val="30"/>
          <w:szCs w:val="30"/>
        </w:rPr>
      </w:pPr>
    </w:p>
    <w:p w14:paraId="0ACDEA6E">
      <w:pPr>
        <w:pStyle w:val="9"/>
        <w:spacing w:before="10"/>
        <w:ind w:left="0"/>
        <w:jc w:val="left"/>
        <w:rPr>
          <w:rFonts w:hint="eastAsia"/>
          <w:sz w:val="30"/>
          <w:szCs w:val="30"/>
        </w:rPr>
      </w:pPr>
      <w:r>
        <w:rPr>
          <w:rFonts w:hint="eastAsia"/>
          <w:sz w:val="30"/>
          <w:szCs w:val="30"/>
        </w:rPr>
        <w:t>—2 Peter 3:7, 10-13</w:t>
      </w:r>
    </w:p>
    <w:p w14:paraId="3FCF8A3D">
      <w:pPr>
        <w:pStyle w:val="9"/>
        <w:spacing w:before="10"/>
        <w:ind w:left="0"/>
        <w:jc w:val="left"/>
        <w:rPr>
          <w:rFonts w:hint="eastAsia"/>
          <w:sz w:val="30"/>
          <w:szCs w:val="30"/>
        </w:rPr>
      </w:pPr>
      <w:r>
        <w:rPr>
          <w:rFonts w:hint="eastAsia"/>
          <w:sz w:val="30"/>
          <w:szCs w:val="30"/>
        </w:rPr>
        <w:t>——彼得后书3:7, 10-13</w:t>
      </w:r>
    </w:p>
    <w:p w14:paraId="4B786EED">
      <w:pPr>
        <w:pStyle w:val="9"/>
        <w:spacing w:before="10"/>
        <w:ind w:left="0"/>
        <w:jc w:val="left"/>
        <w:rPr>
          <w:rFonts w:hint="eastAsia"/>
          <w:sz w:val="30"/>
          <w:szCs w:val="30"/>
        </w:rPr>
      </w:pPr>
    </w:p>
    <w:p w14:paraId="72CEBD79">
      <w:pPr>
        <w:pStyle w:val="9"/>
        <w:spacing w:before="10"/>
        <w:ind w:left="0"/>
        <w:jc w:val="left"/>
        <w:rPr>
          <w:rFonts w:hint="eastAsia"/>
          <w:sz w:val="30"/>
          <w:szCs w:val="30"/>
        </w:rPr>
      </w:pPr>
      <w:r>
        <w:rPr>
          <w:rFonts w:hint="eastAsia"/>
          <w:sz w:val="30"/>
          <w:szCs w:val="30"/>
        </w:rPr>
        <w:t>Importantly, Peter is not looking for the annihilation of the natural world, only its purging and restoration.</w:t>
      </w:r>
    </w:p>
    <w:p w14:paraId="200B6289">
      <w:pPr>
        <w:pStyle w:val="9"/>
        <w:spacing w:before="10"/>
        <w:ind w:left="0"/>
        <w:jc w:val="left"/>
        <w:rPr>
          <w:rFonts w:hint="eastAsia"/>
          <w:sz w:val="30"/>
          <w:szCs w:val="30"/>
        </w:rPr>
      </w:pPr>
      <w:r>
        <w:rPr>
          <w:rFonts w:hint="eastAsia"/>
          <w:sz w:val="30"/>
          <w:szCs w:val="30"/>
        </w:rPr>
        <w:t>重要的是，彼得并非在寻找自然世界的毁灭，而只是其洁净和恢复。</w:t>
      </w:r>
    </w:p>
    <w:p w14:paraId="50A319BD">
      <w:pPr>
        <w:pStyle w:val="9"/>
        <w:spacing w:before="10"/>
        <w:ind w:left="0"/>
        <w:jc w:val="left"/>
        <w:rPr>
          <w:rFonts w:hint="eastAsia"/>
          <w:sz w:val="30"/>
          <w:szCs w:val="30"/>
        </w:rPr>
      </w:pPr>
    </w:p>
    <w:p w14:paraId="6F1DC560">
      <w:pPr>
        <w:pStyle w:val="9"/>
        <w:spacing w:before="10"/>
        <w:ind w:left="0"/>
        <w:jc w:val="left"/>
        <w:rPr>
          <w:rFonts w:hint="eastAsia"/>
          <w:sz w:val="30"/>
          <w:szCs w:val="30"/>
        </w:rPr>
      </w:pPr>
      <w:r>
        <w:rPr>
          <w:rFonts w:hint="eastAsia"/>
          <w:sz w:val="30"/>
          <w:szCs w:val="30"/>
        </w:rPr>
        <w:t>It is only the form of this present world that will pass away, not the world itself (1 Cor. 7:31).</w:t>
      </w:r>
    </w:p>
    <w:p w14:paraId="791D8316">
      <w:pPr>
        <w:pStyle w:val="9"/>
        <w:spacing w:before="10"/>
        <w:ind w:left="0"/>
        <w:jc w:val="left"/>
        <w:rPr>
          <w:rFonts w:hint="eastAsia"/>
          <w:sz w:val="30"/>
          <w:szCs w:val="30"/>
        </w:rPr>
      </w:pPr>
      <w:r>
        <w:rPr>
          <w:rFonts w:hint="eastAsia"/>
          <w:sz w:val="30"/>
          <w:szCs w:val="30"/>
        </w:rPr>
        <w:t>只是这现今世界的样式要过去，并非世界本身（林前7:31）。</w:t>
      </w:r>
    </w:p>
    <w:p w14:paraId="42FF291A">
      <w:pPr>
        <w:pStyle w:val="9"/>
        <w:spacing w:before="10"/>
        <w:ind w:left="0"/>
        <w:jc w:val="left"/>
        <w:rPr>
          <w:rFonts w:hint="eastAsia"/>
          <w:sz w:val="30"/>
          <w:szCs w:val="30"/>
        </w:rPr>
      </w:pPr>
    </w:p>
    <w:p w14:paraId="696F5ABE">
      <w:pPr>
        <w:pStyle w:val="9"/>
        <w:spacing w:before="10"/>
        <w:ind w:left="0"/>
        <w:jc w:val="left"/>
        <w:rPr>
          <w:rFonts w:hint="eastAsia"/>
          <w:sz w:val="30"/>
          <w:szCs w:val="30"/>
        </w:rPr>
      </w:pPr>
      <w:r>
        <w:rPr>
          <w:rFonts w:hint="eastAsia"/>
          <w:sz w:val="30"/>
          <w:szCs w:val="30"/>
        </w:rPr>
        <w:t>Just as the ancient Flood cleansed the earth of sinners and paved the way for a new world, so it will be in the Day of the Lord, only more so.</w:t>
      </w:r>
    </w:p>
    <w:p w14:paraId="03E7F6ED">
      <w:pPr>
        <w:pStyle w:val="9"/>
        <w:spacing w:before="10"/>
        <w:ind w:left="0"/>
        <w:jc w:val="left"/>
        <w:rPr>
          <w:rFonts w:hint="eastAsia"/>
          <w:sz w:val="30"/>
          <w:szCs w:val="30"/>
        </w:rPr>
      </w:pPr>
      <w:r>
        <w:rPr>
          <w:rFonts w:hint="eastAsia"/>
          <w:sz w:val="30"/>
          <w:szCs w:val="30"/>
        </w:rPr>
        <w:t>正如古时的洪水洁净了地的罪人，为新世界铺平了道路，在主的日子也将如此，只是更甚。</w:t>
      </w:r>
    </w:p>
    <w:p w14:paraId="47418FC4">
      <w:pPr>
        <w:pStyle w:val="9"/>
        <w:spacing w:before="10"/>
        <w:ind w:left="0"/>
        <w:jc w:val="left"/>
        <w:rPr>
          <w:rFonts w:hint="eastAsia"/>
          <w:sz w:val="30"/>
          <w:szCs w:val="30"/>
        </w:rPr>
      </w:pPr>
    </w:p>
    <w:p w14:paraId="3880231E">
      <w:pPr>
        <w:pStyle w:val="9"/>
        <w:spacing w:before="10"/>
        <w:ind w:left="0"/>
        <w:jc w:val="left"/>
        <w:rPr>
          <w:rFonts w:hint="eastAsia"/>
          <w:sz w:val="30"/>
          <w:szCs w:val="30"/>
        </w:rPr>
      </w:pPr>
      <w:r>
        <w:rPr>
          <w:rFonts w:hint="eastAsia"/>
          <w:sz w:val="30"/>
          <w:szCs w:val="30"/>
        </w:rPr>
        <w:t>In the conflagration, Christ will erase from the natural order every scar of sin, so that out of the very fires that consume “the former things” new heavens and a new earth may emerge (Mt. 13:41-43, Luke 17:26f, 2 Pet. 3:3-6).</w:t>
      </w:r>
    </w:p>
    <w:p w14:paraId="1E581E43">
      <w:pPr>
        <w:pStyle w:val="9"/>
        <w:spacing w:before="10"/>
        <w:ind w:left="0"/>
        <w:jc w:val="left"/>
        <w:rPr>
          <w:rFonts w:hint="eastAsia"/>
          <w:sz w:val="30"/>
          <w:szCs w:val="30"/>
        </w:rPr>
      </w:pPr>
      <w:r>
        <w:rPr>
          <w:rFonts w:hint="eastAsia"/>
          <w:sz w:val="30"/>
          <w:szCs w:val="30"/>
        </w:rPr>
        <w:t>在大火中，基督将从自然秩序中除去每一道罪的伤疤，好叫新天新地可以从那吞噬“先前的事”的火焰中出现（太13:41-43，路17:26及以下，彼后3:3-6）。</w:t>
      </w:r>
    </w:p>
    <w:p w14:paraId="53CE06EF">
      <w:pPr>
        <w:pStyle w:val="9"/>
        <w:spacing w:before="10"/>
        <w:ind w:left="0"/>
        <w:jc w:val="left"/>
        <w:rPr>
          <w:rFonts w:hint="eastAsia"/>
          <w:sz w:val="30"/>
          <w:szCs w:val="30"/>
        </w:rPr>
      </w:pPr>
    </w:p>
    <w:p w14:paraId="6CC79CE8">
      <w:pPr>
        <w:pStyle w:val="9"/>
        <w:spacing w:before="10"/>
        <w:ind w:left="0"/>
        <w:jc w:val="left"/>
        <w:rPr>
          <w:rFonts w:hint="eastAsia"/>
          <w:sz w:val="30"/>
          <w:szCs w:val="30"/>
        </w:rPr>
      </w:pPr>
      <w:r>
        <w:rPr>
          <w:rFonts w:hint="eastAsia"/>
          <w:sz w:val="30"/>
          <w:szCs w:val="30"/>
        </w:rPr>
        <w:t>Notably, Peter asserts that these fires are also ordained for the destruction of ungodly men (2 Pet. 3:7).</w:t>
      </w:r>
    </w:p>
    <w:p w14:paraId="76318C94">
      <w:pPr>
        <w:pStyle w:val="9"/>
        <w:spacing w:before="10"/>
        <w:ind w:left="0"/>
        <w:jc w:val="left"/>
        <w:rPr>
          <w:rFonts w:hint="eastAsia"/>
          <w:sz w:val="30"/>
          <w:szCs w:val="30"/>
        </w:rPr>
      </w:pPr>
      <w:r>
        <w:rPr>
          <w:rFonts w:hint="eastAsia"/>
          <w:sz w:val="30"/>
          <w:szCs w:val="30"/>
        </w:rPr>
        <w:t>值得注意的是，彼得断言这些火也是为毁灭不敬虔的人而命定的（彼后3:7）。</w:t>
      </w:r>
    </w:p>
    <w:p w14:paraId="4AE5C273">
      <w:pPr>
        <w:pStyle w:val="9"/>
        <w:spacing w:before="10"/>
        <w:ind w:left="0"/>
        <w:jc w:val="left"/>
        <w:rPr>
          <w:rFonts w:hint="eastAsia"/>
          <w:sz w:val="30"/>
          <w:szCs w:val="30"/>
        </w:rPr>
      </w:pPr>
    </w:p>
    <w:p w14:paraId="52CDB6B7">
      <w:pPr>
        <w:pStyle w:val="9"/>
        <w:spacing w:before="10"/>
        <w:ind w:left="0"/>
        <w:jc w:val="left"/>
        <w:rPr>
          <w:rFonts w:hint="eastAsia"/>
          <w:sz w:val="30"/>
          <w:szCs w:val="30"/>
        </w:rPr>
      </w:pPr>
      <w:r>
        <w:rPr>
          <w:rFonts w:hint="eastAsia"/>
          <w:sz w:val="30"/>
          <w:szCs w:val="30"/>
        </w:rPr>
        <w:t>Again, it appears from this that in some small portion of the new heavens (or in a dimension nearby) the flames of judgment will burn forever (Jude 7).</w:t>
      </w:r>
    </w:p>
    <w:p w14:paraId="38C5C2FE">
      <w:pPr>
        <w:pStyle w:val="9"/>
        <w:spacing w:before="10"/>
        <w:ind w:left="0"/>
        <w:jc w:val="left"/>
        <w:rPr>
          <w:rFonts w:hint="eastAsia"/>
          <w:sz w:val="30"/>
          <w:szCs w:val="30"/>
        </w:rPr>
      </w:pPr>
      <w:r>
        <w:rPr>
          <w:rFonts w:hint="eastAsia"/>
          <w:sz w:val="30"/>
          <w:szCs w:val="30"/>
        </w:rPr>
        <w:t>再次，由此看来，在新天的某个小部分（或在附近的某个维度），审判的火焰将永远燃烧（犹7）。</w:t>
      </w:r>
    </w:p>
    <w:p w14:paraId="353CAAB8">
      <w:pPr>
        <w:pStyle w:val="9"/>
        <w:spacing w:before="10"/>
        <w:ind w:left="0"/>
        <w:jc w:val="left"/>
        <w:rPr>
          <w:rFonts w:hint="eastAsia"/>
          <w:sz w:val="30"/>
          <w:szCs w:val="30"/>
        </w:rPr>
      </w:pPr>
    </w:p>
    <w:p w14:paraId="39B8F066">
      <w:pPr>
        <w:pStyle w:val="9"/>
        <w:spacing w:before="10"/>
        <w:ind w:left="0"/>
        <w:jc w:val="left"/>
        <w:rPr>
          <w:rFonts w:hint="eastAsia"/>
          <w:sz w:val="30"/>
          <w:szCs w:val="30"/>
        </w:rPr>
      </w:pPr>
      <w:r>
        <w:rPr>
          <w:rFonts w:hint="eastAsia"/>
          <w:sz w:val="30"/>
          <w:szCs w:val="30"/>
        </w:rPr>
        <w:t>As we just saw, this is Gehenna, or the Lake of Fire.</w:t>
      </w:r>
    </w:p>
    <w:p w14:paraId="49EB68FE">
      <w:pPr>
        <w:pStyle w:val="9"/>
        <w:spacing w:before="10"/>
        <w:ind w:left="0"/>
        <w:jc w:val="left"/>
        <w:rPr>
          <w:rFonts w:hint="eastAsia"/>
          <w:sz w:val="30"/>
          <w:szCs w:val="30"/>
        </w:rPr>
      </w:pPr>
      <w:r>
        <w:rPr>
          <w:rFonts w:hint="eastAsia"/>
          <w:sz w:val="30"/>
          <w:szCs w:val="30"/>
        </w:rPr>
        <w:t>正如我们刚才所见，这就是地狱，或火湖。</w:t>
      </w:r>
    </w:p>
    <w:p w14:paraId="290C807C">
      <w:pPr>
        <w:pStyle w:val="9"/>
        <w:spacing w:before="10"/>
        <w:ind w:left="0"/>
        <w:jc w:val="left"/>
        <w:rPr>
          <w:rFonts w:hint="eastAsia"/>
          <w:sz w:val="30"/>
          <w:szCs w:val="30"/>
        </w:rPr>
      </w:pPr>
    </w:p>
    <w:p w14:paraId="3AC6C9E1">
      <w:pPr>
        <w:pStyle w:val="9"/>
        <w:spacing w:before="10"/>
        <w:ind w:left="0"/>
        <w:jc w:val="left"/>
        <w:rPr>
          <w:rFonts w:hint="eastAsia"/>
          <w:sz w:val="30"/>
          <w:szCs w:val="30"/>
        </w:rPr>
      </w:pPr>
      <w:r>
        <w:rPr>
          <w:rFonts w:hint="eastAsia"/>
          <w:sz w:val="30"/>
          <w:szCs w:val="30"/>
        </w:rPr>
        <w:t>It is the final destination of Satan, his demons, and all the people on earth who followed their ways (Mt. 25:41, Rev. 20:10).</w:t>
      </w:r>
    </w:p>
    <w:p w14:paraId="07ED7392">
      <w:pPr>
        <w:pStyle w:val="9"/>
        <w:spacing w:before="10"/>
        <w:ind w:left="0"/>
        <w:jc w:val="left"/>
        <w:rPr>
          <w:rFonts w:hint="eastAsia"/>
          <w:sz w:val="30"/>
          <w:szCs w:val="30"/>
        </w:rPr>
      </w:pPr>
      <w:r>
        <w:rPr>
          <w:rFonts w:hint="eastAsia"/>
          <w:sz w:val="30"/>
          <w:szCs w:val="30"/>
        </w:rPr>
        <w:t>这是撒但、他的魔鬼，以及地上所有跟随他们道路之人的最终归宿（太25:41，启20:10）。</w:t>
      </w:r>
    </w:p>
    <w:p w14:paraId="11DFAECB">
      <w:pPr>
        <w:pStyle w:val="9"/>
        <w:spacing w:before="10"/>
        <w:ind w:left="0"/>
        <w:jc w:val="left"/>
        <w:rPr>
          <w:rFonts w:hint="eastAsia"/>
          <w:sz w:val="30"/>
          <w:szCs w:val="30"/>
        </w:rPr>
      </w:pPr>
    </w:p>
    <w:p w14:paraId="39782D86">
      <w:pPr>
        <w:pStyle w:val="9"/>
        <w:spacing w:before="10"/>
        <w:ind w:left="0"/>
        <w:jc w:val="left"/>
        <w:rPr>
          <w:rFonts w:hint="eastAsia"/>
          <w:sz w:val="30"/>
          <w:szCs w:val="30"/>
        </w:rPr>
      </w:pPr>
      <w:r>
        <w:rPr>
          <w:rFonts w:hint="eastAsia"/>
          <w:sz w:val="30"/>
          <w:szCs w:val="30"/>
        </w:rPr>
        <w:t>The second stage of the transformation is what Jesus called the Regeneration, what Peter called the restoration of all things, and what Paul called the subjection of all things (Mt. 19:28, Acts 3:21, Phil. 3:20-21).</w:t>
      </w:r>
    </w:p>
    <w:p w14:paraId="73F2DA1E">
      <w:pPr>
        <w:pStyle w:val="9"/>
        <w:spacing w:before="10"/>
        <w:ind w:left="0"/>
        <w:jc w:val="left"/>
        <w:rPr>
          <w:rFonts w:hint="eastAsia"/>
          <w:sz w:val="30"/>
          <w:szCs w:val="30"/>
        </w:rPr>
      </w:pPr>
      <w:r>
        <w:rPr>
          <w:rFonts w:hint="eastAsia"/>
          <w:sz w:val="30"/>
          <w:szCs w:val="30"/>
        </w:rPr>
        <w:t>转变的第二阶段是耶稣所称的重生，彼得所称的万物复兴，以及保罗所称的万有归服（太19:28，徒3:21，腓3:20-21）。</w:t>
      </w:r>
    </w:p>
    <w:p w14:paraId="50891535">
      <w:pPr>
        <w:pStyle w:val="9"/>
        <w:spacing w:before="10"/>
        <w:ind w:left="0"/>
        <w:jc w:val="left"/>
        <w:rPr>
          <w:rFonts w:hint="eastAsia"/>
          <w:sz w:val="30"/>
          <w:szCs w:val="30"/>
        </w:rPr>
      </w:pPr>
    </w:p>
    <w:p w14:paraId="41919A46">
      <w:pPr>
        <w:pStyle w:val="9"/>
        <w:spacing w:before="10"/>
        <w:ind w:left="0"/>
        <w:jc w:val="left"/>
        <w:rPr>
          <w:rFonts w:hint="eastAsia"/>
          <w:sz w:val="30"/>
          <w:szCs w:val="30"/>
        </w:rPr>
      </w:pPr>
      <w:r>
        <w:rPr>
          <w:rFonts w:hint="eastAsia"/>
          <w:sz w:val="30"/>
          <w:szCs w:val="30"/>
        </w:rPr>
        <w:t>Negatively, these expressions point to cosmic deliverance: Once and for all, Christ will lift the curse that lies so heavily upon the natural order, releasing it from its bondage to futility and its slavery to corruption (Rom. 8:18-25, Rev. 22:3).</w:t>
      </w:r>
    </w:p>
    <w:p w14:paraId="2FC2CEBF">
      <w:pPr>
        <w:pStyle w:val="9"/>
        <w:spacing w:before="10"/>
        <w:ind w:left="0"/>
        <w:jc w:val="left"/>
        <w:rPr>
          <w:rFonts w:hint="eastAsia"/>
          <w:sz w:val="30"/>
          <w:szCs w:val="30"/>
        </w:rPr>
      </w:pPr>
      <w:r>
        <w:rPr>
          <w:rFonts w:hint="eastAsia"/>
          <w:sz w:val="30"/>
          <w:szCs w:val="30"/>
        </w:rPr>
        <w:t>从消极的方面来说，这些表达指向宇宙性的拯救：基督将一劳永逸地除去那重重地压在自然秩序上的咒诅，使其脱离虚空的辖制和败坏的奴役（罗8:18-25，启22:3）。</w:t>
      </w:r>
    </w:p>
    <w:p w14:paraId="13DEA003">
      <w:pPr>
        <w:pStyle w:val="9"/>
        <w:spacing w:before="10"/>
        <w:ind w:left="0"/>
        <w:jc w:val="left"/>
        <w:rPr>
          <w:rFonts w:hint="eastAsia"/>
          <w:sz w:val="30"/>
          <w:szCs w:val="30"/>
        </w:rPr>
      </w:pPr>
    </w:p>
    <w:p w14:paraId="5540CEDD">
      <w:pPr>
        <w:pStyle w:val="9"/>
        <w:spacing w:before="10"/>
        <w:ind w:left="0"/>
        <w:jc w:val="left"/>
        <w:rPr>
          <w:rFonts w:hint="eastAsia"/>
          <w:sz w:val="30"/>
          <w:szCs w:val="30"/>
        </w:rPr>
      </w:pPr>
      <w:r>
        <w:rPr>
          <w:rFonts w:hint="eastAsia"/>
          <w:sz w:val="30"/>
          <w:szCs w:val="30"/>
        </w:rPr>
        <w:t>Positively, they point to the creation of new heavens and a new earth; a new universe upon which he impresses both the forms and functions that will perfectly reflect God’s will of precept—his good pleasure—for his (redeemed) creatures (Isaiah 65:17, 66:22, 2 Pet. 3:13).</w:t>
      </w:r>
    </w:p>
    <w:p w14:paraId="46822B86">
      <w:pPr>
        <w:pStyle w:val="9"/>
        <w:spacing w:before="10"/>
        <w:ind w:left="0"/>
        <w:jc w:val="left"/>
        <w:rPr>
          <w:rFonts w:hint="eastAsia"/>
          <w:sz w:val="30"/>
          <w:szCs w:val="30"/>
        </w:rPr>
      </w:pPr>
      <w:r>
        <w:rPr>
          <w:rFonts w:hint="eastAsia"/>
          <w:sz w:val="30"/>
          <w:szCs w:val="30"/>
        </w:rPr>
        <w:t>从积极的方面来说，它们指向新天新地的创造；一个新宇宙，祂在其上印上形式和功能，将完美地反映上帝对其（被赎的）受造物的命令旨意——祂的美意（以赛亚书65:17, 66:22，彼得后书3:13）。</w:t>
      </w:r>
    </w:p>
    <w:p w14:paraId="19AC4C1D">
      <w:pPr>
        <w:pStyle w:val="9"/>
        <w:spacing w:before="10"/>
        <w:ind w:left="0"/>
        <w:jc w:val="left"/>
        <w:rPr>
          <w:rFonts w:hint="eastAsia"/>
          <w:sz w:val="30"/>
          <w:szCs w:val="30"/>
        </w:rPr>
      </w:pPr>
    </w:p>
    <w:p w14:paraId="15F99792">
      <w:pPr>
        <w:pStyle w:val="9"/>
        <w:spacing w:before="10"/>
        <w:ind w:left="0"/>
        <w:jc w:val="left"/>
        <w:rPr>
          <w:rFonts w:hint="eastAsia"/>
          <w:sz w:val="30"/>
          <w:szCs w:val="30"/>
        </w:rPr>
      </w:pPr>
      <w:r>
        <w:rPr>
          <w:rFonts w:hint="eastAsia"/>
          <w:sz w:val="30"/>
          <w:szCs w:val="30"/>
        </w:rPr>
        <w:t>What will this world—also referred to as the Eschaton and the Final State—be like?</w:t>
      </w:r>
    </w:p>
    <w:p w14:paraId="72BA709F">
      <w:pPr>
        <w:pStyle w:val="9"/>
        <w:spacing w:before="10"/>
        <w:ind w:left="0"/>
        <w:jc w:val="left"/>
        <w:rPr>
          <w:rFonts w:hint="eastAsia"/>
          <w:sz w:val="30"/>
          <w:szCs w:val="30"/>
        </w:rPr>
      </w:pPr>
      <w:r>
        <w:rPr>
          <w:rFonts w:hint="eastAsia"/>
          <w:sz w:val="30"/>
          <w:szCs w:val="30"/>
        </w:rPr>
        <w:t>这个世界——也称为末世和最终状态——将会是什么样子？</w:t>
      </w:r>
    </w:p>
    <w:p w14:paraId="6C1DA9D0">
      <w:pPr>
        <w:pStyle w:val="9"/>
        <w:spacing w:before="10"/>
        <w:ind w:left="0"/>
        <w:jc w:val="left"/>
        <w:rPr>
          <w:rFonts w:hint="eastAsia"/>
          <w:sz w:val="30"/>
          <w:szCs w:val="30"/>
        </w:rPr>
      </w:pPr>
    </w:p>
    <w:p w14:paraId="6D84182F">
      <w:pPr>
        <w:pStyle w:val="9"/>
        <w:spacing w:before="10"/>
        <w:ind w:left="0"/>
        <w:jc w:val="left"/>
        <w:rPr>
          <w:rFonts w:hint="eastAsia"/>
          <w:sz w:val="30"/>
          <w:szCs w:val="30"/>
        </w:rPr>
      </w:pPr>
      <w:r>
        <w:rPr>
          <w:rFonts w:hint="eastAsia"/>
          <w:sz w:val="30"/>
          <w:szCs w:val="30"/>
        </w:rPr>
        <w:t>Sparingly, yet provocatively, the Bible gives us some tantalizing answers.</w:t>
      </w:r>
    </w:p>
    <w:p w14:paraId="619BD17E">
      <w:pPr>
        <w:pStyle w:val="9"/>
        <w:spacing w:before="10"/>
        <w:ind w:left="0"/>
        <w:jc w:val="left"/>
        <w:rPr>
          <w:rFonts w:hint="eastAsia"/>
          <w:sz w:val="30"/>
          <w:szCs w:val="30"/>
        </w:rPr>
      </w:pPr>
      <w:r>
        <w:rPr>
          <w:rFonts w:hint="eastAsia"/>
          <w:sz w:val="30"/>
          <w:szCs w:val="30"/>
        </w:rPr>
        <w:t>圣经吝啬地，却又挑逗地，给了我们一些诱人的答案。</w:t>
      </w:r>
    </w:p>
    <w:p w14:paraId="01C458E4">
      <w:pPr>
        <w:pStyle w:val="9"/>
        <w:spacing w:before="10"/>
        <w:ind w:left="0"/>
        <w:jc w:val="left"/>
        <w:rPr>
          <w:rFonts w:hint="eastAsia"/>
          <w:sz w:val="30"/>
          <w:szCs w:val="30"/>
        </w:rPr>
      </w:pPr>
    </w:p>
    <w:p w14:paraId="6AFA6C1D">
      <w:pPr>
        <w:pStyle w:val="9"/>
        <w:spacing w:before="10"/>
        <w:ind w:left="0"/>
        <w:jc w:val="left"/>
        <w:rPr>
          <w:rFonts w:hint="eastAsia"/>
          <w:sz w:val="30"/>
          <w:szCs w:val="30"/>
        </w:rPr>
      </w:pPr>
      <w:r>
        <w:rPr>
          <w:rFonts w:hint="eastAsia"/>
          <w:sz w:val="30"/>
          <w:szCs w:val="30"/>
        </w:rPr>
        <w:t>As for the saints’ resurrection bodies—which are essential equipment for life in the presence of God’s glory (1 Cor. 15:50)—we have seen that they will be like the body of the risen Christ.</w:t>
      </w:r>
    </w:p>
    <w:p w14:paraId="38D2D483">
      <w:pPr>
        <w:pStyle w:val="9"/>
        <w:spacing w:before="10"/>
        <w:ind w:left="0"/>
        <w:jc w:val="left"/>
        <w:rPr>
          <w:rFonts w:hint="eastAsia"/>
          <w:sz w:val="30"/>
          <w:szCs w:val="30"/>
        </w:rPr>
      </w:pPr>
      <w:r>
        <w:rPr>
          <w:rFonts w:hint="eastAsia"/>
          <w:sz w:val="30"/>
          <w:szCs w:val="30"/>
        </w:rPr>
        <w:t>至于圣徒们复活的身体——这是在上帝荣耀的同在中生活所必需的装备（林前15:50）——我们已经看到它们将像复活基督的身体。</w:t>
      </w:r>
    </w:p>
    <w:p w14:paraId="4ED31483">
      <w:pPr>
        <w:pStyle w:val="9"/>
        <w:spacing w:before="10"/>
        <w:ind w:left="0"/>
        <w:jc w:val="left"/>
        <w:rPr>
          <w:rFonts w:hint="eastAsia"/>
          <w:sz w:val="30"/>
          <w:szCs w:val="30"/>
        </w:rPr>
      </w:pPr>
    </w:p>
    <w:p w14:paraId="64777435">
      <w:pPr>
        <w:pStyle w:val="9"/>
        <w:spacing w:before="10"/>
        <w:ind w:left="0"/>
        <w:jc w:val="left"/>
        <w:rPr>
          <w:rFonts w:hint="eastAsia"/>
          <w:sz w:val="30"/>
          <w:szCs w:val="30"/>
        </w:rPr>
      </w:pPr>
      <w:r>
        <w:rPr>
          <w:rFonts w:hint="eastAsia"/>
          <w:sz w:val="30"/>
          <w:szCs w:val="30"/>
        </w:rPr>
        <w:t>As the Scriptures repeatedly teach, he is “the first-fruits of those who sleep,” the divine prototype to which the new humanity will be conformed in body, soul, and spirit (1 Cor. 15:20, Rom. 8:29, Phil. 3:21, 1 John 3:2).</w:t>
      </w:r>
    </w:p>
    <w:p w14:paraId="1ABD0C33">
      <w:pPr>
        <w:pStyle w:val="9"/>
        <w:spacing w:before="10"/>
        <w:ind w:left="0"/>
        <w:jc w:val="left"/>
        <w:rPr>
          <w:rFonts w:hint="eastAsia"/>
          <w:sz w:val="30"/>
          <w:szCs w:val="30"/>
        </w:rPr>
      </w:pPr>
      <w:r>
        <w:rPr>
          <w:rFonts w:hint="eastAsia"/>
          <w:sz w:val="30"/>
          <w:szCs w:val="30"/>
        </w:rPr>
        <w:t>正如圣经一再教导的，祂是“睡了之人初熟的果子”，是新人类将在身体、魂和灵上都要效法的神圣原型（林前15:20，罗8:29，腓3:21，约壹3:2）。</w:t>
      </w:r>
    </w:p>
    <w:p w14:paraId="36263889">
      <w:pPr>
        <w:pStyle w:val="9"/>
        <w:spacing w:before="10"/>
        <w:ind w:left="0"/>
        <w:jc w:val="left"/>
        <w:rPr>
          <w:rFonts w:hint="eastAsia"/>
          <w:sz w:val="30"/>
          <w:szCs w:val="30"/>
        </w:rPr>
      </w:pPr>
    </w:p>
    <w:p w14:paraId="791D219C">
      <w:pPr>
        <w:pStyle w:val="9"/>
        <w:spacing w:before="10"/>
        <w:ind w:left="0"/>
        <w:jc w:val="left"/>
        <w:rPr>
          <w:rFonts w:hint="eastAsia"/>
          <w:sz w:val="30"/>
          <w:szCs w:val="30"/>
        </w:rPr>
      </w:pPr>
      <w:r>
        <w:rPr>
          <w:rFonts w:hint="eastAsia"/>
          <w:sz w:val="30"/>
          <w:szCs w:val="30"/>
        </w:rPr>
        <w:t>Jesus gave us precious glimpses of the resurrection body on the Mount of Transfiguration (Mt. 17:1f), in his several resurrection appearances (Luke 24, John 21), and, to some extent, in his self-disclosure to John on the island of Patmos (Rev. 1:9ff).</w:t>
      </w:r>
    </w:p>
    <w:p w14:paraId="78D05F5A">
      <w:pPr>
        <w:pStyle w:val="9"/>
        <w:spacing w:before="10"/>
        <w:ind w:left="0"/>
        <w:jc w:val="left"/>
        <w:rPr>
          <w:rFonts w:hint="eastAsia"/>
          <w:sz w:val="30"/>
          <w:szCs w:val="30"/>
        </w:rPr>
      </w:pPr>
      <w:r>
        <w:rPr>
          <w:rFonts w:hint="eastAsia"/>
          <w:sz w:val="30"/>
          <w:szCs w:val="30"/>
        </w:rPr>
        <w:t>耶稣在变像山上（太17:1及以下）、在祂几次复活的显现中（路24，约21），以及在一定程度上，在祂向拔摩岛上的约翰自我启示时（启1:9及以下），都给了我们关于复活身体的宝贵一瞥。</w:t>
      </w:r>
    </w:p>
    <w:p w14:paraId="190942A4">
      <w:pPr>
        <w:pStyle w:val="9"/>
        <w:spacing w:before="10"/>
        <w:ind w:left="0"/>
        <w:jc w:val="left"/>
        <w:rPr>
          <w:rFonts w:hint="eastAsia"/>
          <w:sz w:val="30"/>
          <w:szCs w:val="30"/>
        </w:rPr>
      </w:pPr>
    </w:p>
    <w:p w14:paraId="1A6DFFB0">
      <w:pPr>
        <w:pStyle w:val="9"/>
        <w:spacing w:before="10"/>
        <w:ind w:left="0"/>
        <w:jc w:val="left"/>
        <w:rPr>
          <w:rFonts w:hint="eastAsia"/>
          <w:sz w:val="30"/>
          <w:szCs w:val="30"/>
        </w:rPr>
      </w:pPr>
      <w:r>
        <w:rPr>
          <w:rFonts w:hint="eastAsia"/>
          <w:sz w:val="30"/>
          <w:szCs w:val="30"/>
        </w:rPr>
        <w:t>Paul goes on to affirm that the resurrection bodies of the saints will be incorruptible, immortal, powerful, Spirit-controlled, and radiant with the glory of God (1 Cor. 15:42f, Mt. 17:2, Rev. 1:9f).</w:t>
      </w:r>
    </w:p>
    <w:p w14:paraId="710CDB7F">
      <w:pPr>
        <w:pStyle w:val="9"/>
        <w:spacing w:before="10"/>
        <w:ind w:left="0"/>
        <w:jc w:val="left"/>
        <w:rPr>
          <w:rFonts w:hint="eastAsia"/>
          <w:sz w:val="30"/>
          <w:szCs w:val="30"/>
        </w:rPr>
      </w:pPr>
      <w:r>
        <w:rPr>
          <w:rFonts w:hint="eastAsia"/>
          <w:sz w:val="30"/>
          <w:szCs w:val="30"/>
        </w:rPr>
        <w:t>保罗接着肯定说，圣徒们复活的身体将是不朽坏的、不死的、有能力的、属灵的，并充满上帝的荣耀（林前15:42及以下，太17:2，启1:9及以下）。</w:t>
      </w:r>
    </w:p>
    <w:p w14:paraId="32ED2CF0">
      <w:pPr>
        <w:pStyle w:val="9"/>
        <w:spacing w:before="10"/>
        <w:ind w:left="0"/>
        <w:jc w:val="left"/>
        <w:rPr>
          <w:rFonts w:hint="eastAsia"/>
          <w:sz w:val="30"/>
          <w:szCs w:val="30"/>
        </w:rPr>
      </w:pPr>
    </w:p>
    <w:p w14:paraId="54F9793B">
      <w:pPr>
        <w:pStyle w:val="9"/>
        <w:spacing w:before="10"/>
        <w:ind w:left="0"/>
        <w:jc w:val="left"/>
        <w:rPr>
          <w:rFonts w:hint="eastAsia"/>
          <w:sz w:val="30"/>
          <w:szCs w:val="30"/>
        </w:rPr>
      </w:pPr>
      <w:r>
        <w:rPr>
          <w:rFonts w:hint="eastAsia"/>
          <w:sz w:val="30"/>
          <w:szCs w:val="30"/>
        </w:rPr>
        <w:t>Being altogether perfected, both within and without, the saints will shine like the sun in its strength in the Kingdom of their Father (Dan. 12:3, Mt. 13:43, Rev. 1:16).</w:t>
      </w:r>
    </w:p>
    <w:p w14:paraId="2D3F5881">
      <w:pPr>
        <w:pStyle w:val="9"/>
        <w:spacing w:before="10"/>
        <w:ind w:left="0"/>
        <w:jc w:val="left"/>
        <w:rPr>
          <w:rFonts w:hint="eastAsia"/>
          <w:sz w:val="30"/>
          <w:szCs w:val="30"/>
        </w:rPr>
      </w:pPr>
      <w:r>
        <w:rPr>
          <w:rFonts w:hint="eastAsia"/>
          <w:sz w:val="30"/>
          <w:szCs w:val="30"/>
        </w:rPr>
        <w:t>圣徒们里外都得以完全，将在他们父的国里，发光如同太阳放光（但12:3，太13:43，启1:16）。</w:t>
      </w:r>
    </w:p>
    <w:p w14:paraId="3ABF5FD5">
      <w:pPr>
        <w:pStyle w:val="9"/>
        <w:spacing w:before="10"/>
        <w:ind w:left="0"/>
        <w:jc w:val="left"/>
        <w:rPr>
          <w:rFonts w:hint="eastAsia"/>
          <w:sz w:val="30"/>
          <w:szCs w:val="30"/>
        </w:rPr>
      </w:pPr>
    </w:p>
    <w:p w14:paraId="0080094D">
      <w:pPr>
        <w:pStyle w:val="9"/>
        <w:spacing w:before="10"/>
        <w:ind w:left="0"/>
        <w:jc w:val="left"/>
        <w:rPr>
          <w:rFonts w:hint="eastAsia"/>
          <w:sz w:val="30"/>
          <w:szCs w:val="30"/>
        </w:rPr>
      </w:pPr>
      <w:r>
        <w:rPr>
          <w:rFonts w:hint="eastAsia"/>
          <w:sz w:val="30"/>
          <w:szCs w:val="30"/>
        </w:rPr>
        <w:t>But what of the World to Come, the future home of the saints: What will it be like?</w:t>
      </w:r>
    </w:p>
    <w:p w14:paraId="4C54DCC6">
      <w:pPr>
        <w:pStyle w:val="9"/>
        <w:spacing w:before="10"/>
        <w:ind w:left="0"/>
        <w:jc w:val="left"/>
        <w:rPr>
          <w:rFonts w:hint="eastAsia"/>
          <w:sz w:val="30"/>
          <w:szCs w:val="30"/>
        </w:rPr>
      </w:pPr>
      <w:r>
        <w:rPr>
          <w:rFonts w:hint="eastAsia"/>
          <w:sz w:val="30"/>
          <w:szCs w:val="30"/>
        </w:rPr>
        <w:t>但将来的世界，圣徒们未来的家，将会是什么样子？</w:t>
      </w:r>
    </w:p>
    <w:p w14:paraId="3CE8D2E1">
      <w:pPr>
        <w:pStyle w:val="9"/>
        <w:spacing w:before="10"/>
        <w:ind w:left="0"/>
        <w:jc w:val="left"/>
        <w:rPr>
          <w:rFonts w:hint="eastAsia"/>
          <w:sz w:val="30"/>
          <w:szCs w:val="30"/>
        </w:rPr>
      </w:pPr>
    </w:p>
    <w:p w14:paraId="2CD6E5A9">
      <w:pPr>
        <w:pStyle w:val="9"/>
        <w:spacing w:before="10"/>
        <w:ind w:left="0"/>
        <w:jc w:val="left"/>
        <w:rPr>
          <w:rFonts w:hint="eastAsia"/>
          <w:sz w:val="30"/>
          <w:szCs w:val="30"/>
        </w:rPr>
      </w:pPr>
      <w:r>
        <w:rPr>
          <w:rFonts w:hint="eastAsia"/>
          <w:sz w:val="30"/>
          <w:szCs w:val="30"/>
        </w:rPr>
        <w:t>Since much of the language used to describe it is symbolic, we must be cautious.</w:t>
      </w:r>
    </w:p>
    <w:p w14:paraId="335DFC75">
      <w:pPr>
        <w:pStyle w:val="9"/>
        <w:spacing w:before="10"/>
        <w:ind w:left="0"/>
        <w:jc w:val="left"/>
        <w:rPr>
          <w:rFonts w:hint="eastAsia"/>
          <w:sz w:val="30"/>
          <w:szCs w:val="30"/>
        </w:rPr>
      </w:pPr>
      <w:r>
        <w:rPr>
          <w:rFonts w:hint="eastAsia"/>
          <w:sz w:val="30"/>
          <w:szCs w:val="30"/>
        </w:rPr>
        <w:t>由于用来描述它的许多语言都是象征性的，我们必须谨慎。</w:t>
      </w:r>
    </w:p>
    <w:p w14:paraId="7F6CCF39">
      <w:pPr>
        <w:pStyle w:val="9"/>
        <w:spacing w:before="10"/>
        <w:ind w:left="0"/>
        <w:jc w:val="left"/>
        <w:rPr>
          <w:rFonts w:hint="eastAsia"/>
          <w:sz w:val="30"/>
          <w:szCs w:val="30"/>
        </w:rPr>
      </w:pPr>
    </w:p>
    <w:p w14:paraId="656D9CCB">
      <w:pPr>
        <w:pStyle w:val="9"/>
        <w:spacing w:before="10"/>
        <w:ind w:left="0"/>
        <w:jc w:val="left"/>
        <w:rPr>
          <w:rFonts w:hint="eastAsia"/>
          <w:sz w:val="30"/>
          <w:szCs w:val="30"/>
        </w:rPr>
      </w:pPr>
      <w:r>
        <w:rPr>
          <w:rFonts w:hint="eastAsia"/>
          <w:sz w:val="30"/>
          <w:szCs w:val="30"/>
        </w:rPr>
        <w:t>Still, it is clear enough that there will be no sun, moon, or stars, for God and Christ themselves, throughout a single eternal day, will be the light in all, and the light of all (Rev. 21:25, 22:5).</w:t>
      </w:r>
    </w:p>
    <w:p w14:paraId="10F142B5">
      <w:pPr>
        <w:pStyle w:val="9"/>
        <w:spacing w:before="10"/>
        <w:ind w:left="0"/>
        <w:jc w:val="left"/>
        <w:rPr>
          <w:rFonts w:hint="eastAsia"/>
          <w:sz w:val="30"/>
          <w:szCs w:val="30"/>
        </w:rPr>
      </w:pPr>
      <w:r>
        <w:rPr>
          <w:rFonts w:hint="eastAsia"/>
          <w:sz w:val="30"/>
          <w:szCs w:val="30"/>
        </w:rPr>
        <w:t>然而，很清楚的是，将没有日、月、星辰，因为上帝和基督祂们自己，在一个永恒的日子里，将是万物之中的光，也是万物的光（启21:25, 22:5）。</w:t>
      </w:r>
    </w:p>
    <w:p w14:paraId="3450424A">
      <w:pPr>
        <w:pStyle w:val="9"/>
        <w:spacing w:before="10"/>
        <w:ind w:left="0"/>
        <w:jc w:val="left"/>
        <w:rPr>
          <w:rFonts w:hint="eastAsia"/>
          <w:sz w:val="30"/>
          <w:szCs w:val="30"/>
        </w:rPr>
      </w:pPr>
    </w:p>
    <w:p w14:paraId="57688E81">
      <w:pPr>
        <w:pStyle w:val="9"/>
        <w:spacing w:before="10"/>
        <w:ind w:left="0"/>
        <w:jc w:val="left"/>
        <w:rPr>
          <w:rFonts w:hint="eastAsia"/>
          <w:sz w:val="30"/>
          <w:szCs w:val="30"/>
        </w:rPr>
      </w:pPr>
      <w:r>
        <w:rPr>
          <w:rFonts w:hint="eastAsia"/>
          <w:sz w:val="30"/>
          <w:szCs w:val="30"/>
        </w:rPr>
        <w:t>There will be no more sea—though a world inwardly refreshed by the life-giving waters of the Spirit will doubtless be graced with physical analogues thereof: springs, streams, and rivers (Rev. 21:1; Isaiah 35:5-7, 41:17-20, Rev. 22:1).</w:t>
      </w:r>
    </w:p>
    <w:p w14:paraId="45653A00">
      <w:pPr>
        <w:pStyle w:val="9"/>
        <w:spacing w:before="10"/>
        <w:ind w:left="0"/>
        <w:jc w:val="left"/>
        <w:rPr>
          <w:rFonts w:hint="eastAsia"/>
          <w:sz w:val="30"/>
          <w:szCs w:val="30"/>
        </w:rPr>
      </w:pPr>
      <w:r>
        <w:rPr>
          <w:rFonts w:hint="eastAsia"/>
          <w:sz w:val="30"/>
          <w:szCs w:val="30"/>
        </w:rPr>
        <w:t>再也没有海了——尽管一个内在被圣灵赐生命的活水所滋润的世界，无疑会被其物质的类似物所点缀：泉源、溪流和江河（启21:1；赛35:5-7, 41:17-20，启22:1）。</w:t>
      </w:r>
    </w:p>
    <w:p w14:paraId="4BB49155">
      <w:pPr>
        <w:pStyle w:val="9"/>
        <w:spacing w:before="10"/>
        <w:ind w:left="0"/>
        <w:jc w:val="left"/>
        <w:rPr>
          <w:rFonts w:hint="eastAsia"/>
          <w:sz w:val="30"/>
          <w:szCs w:val="30"/>
        </w:rPr>
      </w:pPr>
    </w:p>
    <w:p w14:paraId="56882C84">
      <w:pPr>
        <w:pStyle w:val="9"/>
        <w:spacing w:before="10"/>
        <w:ind w:left="0"/>
        <w:jc w:val="left"/>
        <w:rPr>
          <w:rFonts w:hint="eastAsia"/>
          <w:sz w:val="30"/>
          <w:szCs w:val="30"/>
        </w:rPr>
      </w:pPr>
      <w:r>
        <w:rPr>
          <w:rFonts w:hint="eastAsia"/>
          <w:sz w:val="30"/>
          <w:szCs w:val="30"/>
        </w:rPr>
        <w:t>Apparently animals will be present, peacefully sharing with the family of man a new home of unimaginable Edenic beauty (Isaiah 11:6-9, 35:1ff, Rom. 8:19).</w:t>
      </w:r>
    </w:p>
    <w:p w14:paraId="21CAA3E9">
      <w:pPr>
        <w:pStyle w:val="9"/>
        <w:spacing w:before="10"/>
        <w:ind w:left="0"/>
        <w:jc w:val="left"/>
        <w:rPr>
          <w:rFonts w:hint="eastAsia"/>
          <w:sz w:val="30"/>
          <w:szCs w:val="30"/>
        </w:rPr>
      </w:pPr>
      <w:r>
        <w:rPr>
          <w:rFonts w:hint="eastAsia"/>
          <w:sz w:val="30"/>
          <w:szCs w:val="30"/>
        </w:rPr>
        <w:t>显然动物将会在场，与人类家庭和平地分享一个难以想象的伊甸园般美丽的新家（以赛亚书11:6-9, 35:1及以下，罗马书8:19）。</w:t>
      </w:r>
    </w:p>
    <w:p w14:paraId="432A787D">
      <w:pPr>
        <w:pStyle w:val="9"/>
        <w:spacing w:before="10"/>
        <w:ind w:left="0"/>
        <w:jc w:val="left"/>
        <w:rPr>
          <w:rFonts w:hint="eastAsia"/>
          <w:sz w:val="30"/>
          <w:szCs w:val="30"/>
        </w:rPr>
      </w:pPr>
    </w:p>
    <w:p w14:paraId="56E97304">
      <w:pPr>
        <w:pStyle w:val="9"/>
        <w:spacing w:before="10"/>
        <w:ind w:left="0"/>
        <w:jc w:val="left"/>
        <w:rPr>
          <w:rFonts w:hint="eastAsia"/>
          <w:sz w:val="30"/>
          <w:szCs w:val="30"/>
        </w:rPr>
      </w:pPr>
      <w:r>
        <w:rPr>
          <w:rFonts w:hint="eastAsia"/>
          <w:sz w:val="30"/>
          <w:szCs w:val="30"/>
        </w:rPr>
        <w:t>It is doubtful that we are to look for a physical city, since the NT consistently identifies the Church herself as the bridal City of God and Christ (John 4:21-24, Gal. 4:26, Eph. 2:19-22, Heb. 12:22, Rev. 3:12, 21:2, 9-10, 12, 14).</w:t>
      </w:r>
    </w:p>
    <w:p w14:paraId="656E231E">
      <w:pPr>
        <w:pStyle w:val="9"/>
        <w:spacing w:before="10"/>
        <w:ind w:left="0"/>
        <w:jc w:val="left"/>
        <w:rPr>
          <w:rFonts w:hint="eastAsia"/>
          <w:sz w:val="30"/>
          <w:szCs w:val="30"/>
        </w:rPr>
      </w:pPr>
      <w:r>
        <w:rPr>
          <w:rFonts w:hint="eastAsia"/>
          <w:sz w:val="30"/>
          <w:szCs w:val="30"/>
        </w:rPr>
        <w:t>我们是否应寻找一个物质的城，这是值得怀疑的，因为新约始终将教会她自己确定为上帝和基督的新妇之城（约翰福音4:21-24，加拉太书4:26，以弗所书2:19-22，希伯来书12:22，启示录3:12, 21:2, 9-10, 12, 14）。</w:t>
      </w:r>
    </w:p>
    <w:p w14:paraId="0EE2DCCC">
      <w:pPr>
        <w:pStyle w:val="9"/>
        <w:spacing w:before="10"/>
        <w:ind w:left="0"/>
        <w:jc w:val="left"/>
        <w:rPr>
          <w:rFonts w:hint="eastAsia"/>
          <w:sz w:val="30"/>
          <w:szCs w:val="30"/>
        </w:rPr>
      </w:pPr>
    </w:p>
    <w:p w14:paraId="4B682A73">
      <w:pPr>
        <w:pStyle w:val="9"/>
        <w:spacing w:before="10"/>
        <w:ind w:left="0"/>
        <w:jc w:val="left"/>
        <w:rPr>
          <w:rFonts w:hint="eastAsia"/>
          <w:sz w:val="30"/>
          <w:szCs w:val="30"/>
        </w:rPr>
      </w:pPr>
      <w:r>
        <w:rPr>
          <w:rFonts w:hint="eastAsia"/>
          <w:sz w:val="30"/>
          <w:szCs w:val="30"/>
        </w:rPr>
        <w:t>Our home will simply be the new earth, which will have become the eschatological Garden of God (Isaiah 51:3, Ezekiel 36:35, Rev. 21:1-2).</w:t>
      </w:r>
    </w:p>
    <w:p w14:paraId="55D6C443">
      <w:pPr>
        <w:pStyle w:val="9"/>
        <w:spacing w:before="10"/>
        <w:ind w:left="0"/>
        <w:jc w:val="left"/>
        <w:rPr>
          <w:rFonts w:hint="eastAsia"/>
          <w:sz w:val="30"/>
          <w:szCs w:val="30"/>
        </w:rPr>
      </w:pPr>
      <w:r>
        <w:rPr>
          <w:rFonts w:hint="eastAsia"/>
          <w:sz w:val="30"/>
          <w:szCs w:val="30"/>
        </w:rPr>
        <w:t>我们的家将只是新地，它将成为末世的上帝之园（以赛亚书51:3，以西结书36:35，启示录21:1-2）。</w:t>
      </w:r>
    </w:p>
    <w:p w14:paraId="4FCFD21C">
      <w:pPr>
        <w:pStyle w:val="9"/>
        <w:spacing w:before="10"/>
        <w:ind w:left="0"/>
        <w:jc w:val="left"/>
        <w:rPr>
          <w:rFonts w:hint="eastAsia"/>
          <w:sz w:val="30"/>
          <w:szCs w:val="30"/>
        </w:rPr>
      </w:pPr>
    </w:p>
    <w:p w14:paraId="70A40FDF">
      <w:pPr>
        <w:pStyle w:val="9"/>
        <w:spacing w:before="10"/>
        <w:ind w:left="0"/>
        <w:jc w:val="left"/>
        <w:rPr>
          <w:rFonts w:hint="eastAsia"/>
          <w:sz w:val="30"/>
          <w:szCs w:val="30"/>
        </w:rPr>
      </w:pPr>
      <w:r>
        <w:rPr>
          <w:rFonts w:hint="eastAsia"/>
          <w:sz w:val="30"/>
          <w:szCs w:val="30"/>
        </w:rPr>
        <w:t>While some interpreters have tried to tease further details about the World to Come out of Scripture, the Bible itself seems content largely to nourish our hopes with certain blessed generalities.</w:t>
      </w:r>
    </w:p>
    <w:p w14:paraId="5E5FB502">
      <w:pPr>
        <w:pStyle w:val="9"/>
        <w:spacing w:before="10"/>
        <w:ind w:left="0"/>
        <w:jc w:val="left"/>
        <w:rPr>
          <w:rFonts w:hint="eastAsia"/>
          <w:sz w:val="30"/>
          <w:szCs w:val="30"/>
        </w:rPr>
      </w:pPr>
      <w:r>
        <w:rPr>
          <w:rFonts w:hint="eastAsia"/>
          <w:sz w:val="30"/>
          <w:szCs w:val="30"/>
        </w:rPr>
        <w:t>虽然一些解释者试图从圣经中梳理出更多关于将来世界的细节，但圣经本身似乎满足于主要用一些蒙福的概括来滋养我们的盼望。</w:t>
      </w:r>
    </w:p>
    <w:p w14:paraId="5F9578FF">
      <w:pPr>
        <w:pStyle w:val="9"/>
        <w:spacing w:before="10"/>
        <w:ind w:left="0"/>
        <w:jc w:val="left"/>
        <w:rPr>
          <w:rFonts w:hint="eastAsia"/>
          <w:sz w:val="30"/>
          <w:szCs w:val="30"/>
        </w:rPr>
      </w:pPr>
    </w:p>
    <w:p w14:paraId="7EA3A709">
      <w:pPr>
        <w:pStyle w:val="9"/>
        <w:spacing w:before="10"/>
        <w:ind w:left="0"/>
        <w:jc w:val="left"/>
        <w:rPr>
          <w:rFonts w:hint="eastAsia"/>
          <w:sz w:val="30"/>
          <w:szCs w:val="30"/>
        </w:rPr>
      </w:pPr>
      <w:r>
        <w:rPr>
          <w:rFonts w:hint="eastAsia"/>
          <w:sz w:val="30"/>
          <w:szCs w:val="30"/>
        </w:rPr>
        <w:t>It tells us, on the one hand, what will not be there: the curse, sin, Satan, violence, war, sickness, pain, sorrow, and death (Isaiah 2:4, Rev. 20:10, 21:4).</w:t>
      </w:r>
    </w:p>
    <w:p w14:paraId="3F8311F3">
      <w:pPr>
        <w:pStyle w:val="9"/>
        <w:spacing w:before="10"/>
        <w:ind w:left="0"/>
        <w:jc w:val="left"/>
        <w:rPr>
          <w:rFonts w:hint="eastAsia"/>
          <w:sz w:val="30"/>
          <w:szCs w:val="30"/>
        </w:rPr>
      </w:pPr>
      <w:r>
        <w:rPr>
          <w:rFonts w:hint="eastAsia"/>
          <w:sz w:val="30"/>
          <w:szCs w:val="30"/>
        </w:rPr>
        <w:t>它一方面告诉我们那里将没有什么：咒诅、罪、撒但、暴力、战争、疾病、疼痛、悲哀和死亡（以赛亚书2:4，启示录20:10, 21:4）。</w:t>
      </w:r>
    </w:p>
    <w:p w14:paraId="68AE6BD8">
      <w:pPr>
        <w:pStyle w:val="9"/>
        <w:spacing w:before="10"/>
        <w:ind w:left="0"/>
        <w:jc w:val="left"/>
        <w:rPr>
          <w:rFonts w:hint="eastAsia"/>
          <w:sz w:val="30"/>
          <w:szCs w:val="30"/>
        </w:rPr>
      </w:pPr>
    </w:p>
    <w:p w14:paraId="705F8034">
      <w:pPr>
        <w:pStyle w:val="9"/>
        <w:spacing w:before="10"/>
        <w:ind w:left="0"/>
        <w:jc w:val="left"/>
        <w:rPr>
          <w:rFonts w:hint="eastAsia"/>
          <w:sz w:val="30"/>
          <w:szCs w:val="30"/>
        </w:rPr>
      </w:pPr>
      <w:r>
        <w:rPr>
          <w:rFonts w:hint="eastAsia"/>
          <w:sz w:val="30"/>
          <w:szCs w:val="30"/>
        </w:rPr>
        <w:t>On the other, it tells us what will be there: God, Christ, the Holy Spirit, the angelic hosts, multitudes of fellow-saints, light, life, purpose, service, righteousness, beauty, and joy (Rev. 21-22).</w:t>
      </w:r>
    </w:p>
    <w:p w14:paraId="3D5514AA">
      <w:pPr>
        <w:pStyle w:val="9"/>
        <w:spacing w:before="10"/>
        <w:ind w:left="0"/>
        <w:jc w:val="left"/>
        <w:rPr>
          <w:rFonts w:hint="eastAsia"/>
          <w:sz w:val="30"/>
          <w:szCs w:val="30"/>
        </w:rPr>
      </w:pPr>
      <w:r>
        <w:rPr>
          <w:rFonts w:hint="eastAsia"/>
          <w:sz w:val="30"/>
          <w:szCs w:val="30"/>
        </w:rPr>
        <w:t>另一方面，它告诉我们那里将有什么：上帝、基督、圣灵、天使天军、无数的同伴圣徒、光明、生命、目的、事奉、公义、美丽和喜乐（启21-22）。</w:t>
      </w:r>
    </w:p>
    <w:p w14:paraId="52A71E74">
      <w:pPr>
        <w:pStyle w:val="9"/>
        <w:spacing w:before="10"/>
        <w:ind w:left="0"/>
        <w:jc w:val="left"/>
        <w:rPr>
          <w:rFonts w:hint="eastAsia"/>
          <w:sz w:val="30"/>
          <w:szCs w:val="30"/>
        </w:rPr>
      </w:pPr>
    </w:p>
    <w:p w14:paraId="23FE00C8">
      <w:pPr>
        <w:pStyle w:val="9"/>
        <w:spacing w:before="10"/>
        <w:ind w:left="0"/>
        <w:jc w:val="left"/>
        <w:rPr>
          <w:rFonts w:hint="eastAsia"/>
          <w:sz w:val="30"/>
          <w:szCs w:val="30"/>
        </w:rPr>
      </w:pPr>
      <w:r>
        <w:rPr>
          <w:rFonts w:hint="eastAsia"/>
          <w:sz w:val="30"/>
          <w:szCs w:val="30"/>
        </w:rPr>
        <w:t>Through the lens of such expansive promises we behold the World to Come through a glass darkly, and therefore with ever-growing curiosity about the glories yet to be revealed (1 Cor. 13:12, Rom. 8:18-25).</w:t>
      </w:r>
    </w:p>
    <w:p w14:paraId="513DCDED">
      <w:pPr>
        <w:pStyle w:val="9"/>
        <w:spacing w:before="10"/>
        <w:ind w:left="0"/>
        <w:jc w:val="left"/>
        <w:rPr>
          <w:rFonts w:hint="eastAsia"/>
          <w:sz w:val="30"/>
          <w:szCs w:val="30"/>
        </w:rPr>
      </w:pPr>
      <w:r>
        <w:rPr>
          <w:rFonts w:hint="eastAsia"/>
          <w:sz w:val="30"/>
          <w:szCs w:val="30"/>
        </w:rPr>
        <w:t>通过这些广阔应许的透镜，我们仿佛对着镜子观看将来的世界，模糊不清，因此对将要显现的荣耀怀着日益增长的好奇心（林前13:12，罗8:18-25）。</w:t>
      </w:r>
    </w:p>
    <w:p w14:paraId="3F5DD219">
      <w:pPr>
        <w:pStyle w:val="9"/>
        <w:spacing w:before="10"/>
        <w:ind w:left="0"/>
        <w:jc w:val="left"/>
        <w:rPr>
          <w:rFonts w:hint="eastAsia"/>
          <w:sz w:val="30"/>
          <w:szCs w:val="30"/>
        </w:rPr>
      </w:pPr>
    </w:p>
    <w:p w14:paraId="3DE90E20">
      <w:pPr>
        <w:pStyle w:val="9"/>
        <w:spacing w:before="10"/>
        <w:ind w:left="0"/>
        <w:jc w:val="left"/>
        <w:rPr>
          <w:rFonts w:hint="eastAsia"/>
          <w:sz w:val="30"/>
          <w:szCs w:val="30"/>
        </w:rPr>
      </w:pPr>
      <w:r>
        <w:rPr>
          <w:rFonts w:hint="eastAsia"/>
          <w:sz w:val="30"/>
          <w:szCs w:val="30"/>
        </w:rPr>
        <w:t>Nonetheless, it is clear enough that this is indeed the world of our dreams, precisely because it is the world of God’s dreams; a world in which, by God’s consummating grace at the hand of Christ, dream and reality have become one at last.</w:t>
      </w:r>
    </w:p>
    <w:p w14:paraId="4E2CAF78">
      <w:pPr>
        <w:pStyle w:val="9"/>
        <w:spacing w:before="10"/>
        <w:ind w:left="0"/>
        <w:jc w:val="left"/>
        <w:rPr>
          <w:rFonts w:hint="eastAsia"/>
          <w:sz w:val="30"/>
          <w:szCs w:val="30"/>
        </w:rPr>
      </w:pPr>
      <w:r>
        <w:rPr>
          <w:rFonts w:hint="eastAsia"/>
          <w:sz w:val="30"/>
          <w:szCs w:val="30"/>
        </w:rPr>
        <w:t>然而，很清楚的是，这确实是我们梦想中的世界，正是因为它是上帝梦想中的世界；一个在其中，借着上帝在基督手中的成全恩典，梦想与现实最终合一的世界。</w:t>
      </w:r>
    </w:p>
    <w:p w14:paraId="48D9B493">
      <w:pPr>
        <w:pStyle w:val="9"/>
        <w:spacing w:before="10"/>
        <w:ind w:left="0"/>
        <w:jc w:val="left"/>
        <w:rPr>
          <w:rFonts w:hint="eastAsia"/>
          <w:sz w:val="30"/>
          <w:szCs w:val="30"/>
        </w:rPr>
      </w:pPr>
    </w:p>
    <w:p w14:paraId="75594B12">
      <w:pPr>
        <w:pStyle w:val="9"/>
        <w:spacing w:before="10"/>
        <w:ind w:left="0"/>
        <w:jc w:val="left"/>
        <w:rPr>
          <w:rFonts w:hint="eastAsia"/>
          <w:sz w:val="30"/>
          <w:szCs w:val="30"/>
        </w:rPr>
      </w:pPr>
      <w:r>
        <w:rPr>
          <w:rFonts w:hint="eastAsia"/>
          <w:sz w:val="30"/>
          <w:szCs w:val="30"/>
        </w:rPr>
        <w:t>The Delivering Up of the Kingdom</w:t>
      </w:r>
    </w:p>
    <w:p w14:paraId="3EA0CAA5">
      <w:pPr>
        <w:pStyle w:val="9"/>
        <w:spacing w:before="10"/>
        <w:ind w:left="0"/>
        <w:jc w:val="left"/>
        <w:rPr>
          <w:rFonts w:hint="eastAsia"/>
          <w:sz w:val="30"/>
          <w:szCs w:val="30"/>
        </w:rPr>
      </w:pPr>
      <w:r>
        <w:rPr>
          <w:rFonts w:hint="eastAsia"/>
          <w:sz w:val="30"/>
          <w:szCs w:val="30"/>
        </w:rPr>
        <w:t>交出王国</w:t>
      </w:r>
    </w:p>
    <w:p w14:paraId="02E6A588">
      <w:pPr>
        <w:pStyle w:val="9"/>
        <w:spacing w:before="10"/>
        <w:ind w:left="0"/>
        <w:jc w:val="left"/>
        <w:rPr>
          <w:rFonts w:hint="eastAsia"/>
          <w:sz w:val="30"/>
          <w:szCs w:val="30"/>
        </w:rPr>
      </w:pPr>
    </w:p>
    <w:p w14:paraId="5C2352DC">
      <w:pPr>
        <w:pStyle w:val="9"/>
        <w:spacing w:before="10"/>
        <w:ind w:left="0"/>
        <w:jc w:val="left"/>
        <w:rPr>
          <w:rFonts w:hint="eastAsia"/>
          <w:sz w:val="30"/>
          <w:szCs w:val="30"/>
        </w:rPr>
      </w:pPr>
      <w:r>
        <w:rPr>
          <w:rFonts w:hint="eastAsia"/>
          <w:sz w:val="30"/>
          <w:szCs w:val="30"/>
        </w:rPr>
        <w:t>When the transformation is complete, there remains one final eschatological act for Christ to perform: He must deliver up the Kingdom to his Father.</w:t>
      </w:r>
    </w:p>
    <w:p w14:paraId="18F46E62">
      <w:pPr>
        <w:pStyle w:val="9"/>
        <w:spacing w:before="10"/>
        <w:ind w:left="0"/>
        <w:jc w:val="left"/>
        <w:rPr>
          <w:rFonts w:hint="eastAsia"/>
          <w:sz w:val="30"/>
          <w:szCs w:val="30"/>
        </w:rPr>
      </w:pPr>
      <w:r>
        <w:rPr>
          <w:rFonts w:hint="eastAsia"/>
          <w:sz w:val="30"/>
          <w:szCs w:val="30"/>
        </w:rPr>
        <w:t>当转变完成时，基督还需执行一个最后的末世作为：祂必须将国度交与祂的父。</w:t>
      </w:r>
    </w:p>
    <w:p w14:paraId="1AA695AB">
      <w:pPr>
        <w:pStyle w:val="9"/>
        <w:spacing w:before="10"/>
        <w:ind w:left="0"/>
        <w:jc w:val="left"/>
        <w:rPr>
          <w:rFonts w:hint="eastAsia"/>
          <w:sz w:val="30"/>
          <w:szCs w:val="30"/>
        </w:rPr>
      </w:pPr>
    </w:p>
    <w:p w14:paraId="500D49EC">
      <w:pPr>
        <w:pStyle w:val="9"/>
        <w:spacing w:before="10"/>
        <w:ind w:left="0"/>
        <w:jc w:val="left"/>
        <w:rPr>
          <w:rFonts w:hint="eastAsia"/>
          <w:sz w:val="30"/>
          <w:szCs w:val="30"/>
        </w:rPr>
      </w:pPr>
      <w:r>
        <w:rPr>
          <w:rFonts w:hint="eastAsia"/>
          <w:sz w:val="30"/>
          <w:szCs w:val="30"/>
        </w:rPr>
        <w:t>Of this mysterious and ultimate transaction the apostle Paul wrote as follows:</w:t>
      </w:r>
    </w:p>
    <w:p w14:paraId="60AD8AB8">
      <w:pPr>
        <w:pStyle w:val="9"/>
        <w:spacing w:before="10"/>
        <w:ind w:left="0"/>
        <w:jc w:val="left"/>
        <w:rPr>
          <w:rFonts w:hint="eastAsia"/>
          <w:sz w:val="30"/>
          <w:szCs w:val="30"/>
        </w:rPr>
      </w:pPr>
      <w:r>
        <w:rPr>
          <w:rFonts w:hint="eastAsia"/>
          <w:sz w:val="30"/>
          <w:szCs w:val="30"/>
        </w:rPr>
        <w:t>关于这神秘而终极的交接，使徒保罗如此写道：</w:t>
      </w:r>
    </w:p>
    <w:p w14:paraId="13DEDA42">
      <w:pPr>
        <w:pStyle w:val="9"/>
        <w:spacing w:before="10"/>
        <w:ind w:left="0"/>
        <w:jc w:val="left"/>
        <w:rPr>
          <w:rFonts w:hint="eastAsia"/>
          <w:sz w:val="30"/>
          <w:szCs w:val="30"/>
        </w:rPr>
      </w:pPr>
    </w:p>
    <w:p w14:paraId="42B6A17D">
      <w:pPr>
        <w:pStyle w:val="9"/>
        <w:spacing w:before="10"/>
        <w:ind w:left="0"/>
        <w:jc w:val="left"/>
        <w:rPr>
          <w:rFonts w:hint="eastAsia"/>
          <w:sz w:val="30"/>
          <w:szCs w:val="30"/>
        </w:rPr>
      </w:pPr>
      <w:r>
        <w:rPr>
          <w:rFonts w:hint="eastAsia"/>
          <w:sz w:val="30"/>
          <w:szCs w:val="30"/>
        </w:rPr>
        <w:t>For as in Adam all die, even so in Christ all shall be made alive.</w:t>
      </w:r>
    </w:p>
    <w:p w14:paraId="3EBBE3BA">
      <w:pPr>
        <w:pStyle w:val="9"/>
        <w:spacing w:before="10"/>
        <w:ind w:left="0"/>
        <w:jc w:val="left"/>
        <w:rPr>
          <w:rFonts w:hint="eastAsia"/>
          <w:sz w:val="30"/>
          <w:szCs w:val="30"/>
        </w:rPr>
      </w:pPr>
      <w:r>
        <w:rPr>
          <w:rFonts w:hint="eastAsia"/>
          <w:sz w:val="30"/>
          <w:szCs w:val="30"/>
        </w:rPr>
        <w:t>在亚当里众人都死了；照样，在基督里众人也都要复活。</w:t>
      </w:r>
    </w:p>
    <w:p w14:paraId="04EA84ED">
      <w:pPr>
        <w:pStyle w:val="9"/>
        <w:spacing w:before="10"/>
        <w:ind w:left="0"/>
        <w:jc w:val="left"/>
        <w:rPr>
          <w:rFonts w:hint="eastAsia"/>
          <w:sz w:val="30"/>
          <w:szCs w:val="30"/>
        </w:rPr>
      </w:pPr>
    </w:p>
    <w:p w14:paraId="1D4FEBFB">
      <w:pPr>
        <w:pStyle w:val="9"/>
        <w:spacing w:before="10"/>
        <w:ind w:left="0"/>
        <w:jc w:val="left"/>
        <w:rPr>
          <w:rFonts w:hint="eastAsia"/>
          <w:sz w:val="30"/>
          <w:szCs w:val="30"/>
        </w:rPr>
      </w:pPr>
      <w:r>
        <w:rPr>
          <w:rFonts w:hint="eastAsia"/>
          <w:sz w:val="30"/>
          <w:szCs w:val="30"/>
        </w:rPr>
        <w:t>But each one in his own order: Christ the firstfruits, afterward those who are Christ’s at his Coming.</w:t>
      </w:r>
    </w:p>
    <w:p w14:paraId="62F25C61">
      <w:pPr>
        <w:pStyle w:val="9"/>
        <w:spacing w:before="10"/>
        <w:ind w:left="0"/>
        <w:jc w:val="left"/>
        <w:rPr>
          <w:rFonts w:hint="eastAsia"/>
          <w:sz w:val="30"/>
          <w:szCs w:val="30"/>
        </w:rPr>
      </w:pPr>
      <w:r>
        <w:rPr>
          <w:rFonts w:hint="eastAsia"/>
          <w:sz w:val="30"/>
          <w:szCs w:val="30"/>
        </w:rPr>
        <w:t>但各人是按着自己的次序复活：初熟的果子是基督；以后，在祂来的时候，是那些属基督的。</w:t>
      </w:r>
    </w:p>
    <w:p w14:paraId="0712E7E2">
      <w:pPr>
        <w:pStyle w:val="9"/>
        <w:spacing w:before="10"/>
        <w:ind w:left="0"/>
        <w:jc w:val="left"/>
        <w:rPr>
          <w:rFonts w:hint="eastAsia"/>
          <w:sz w:val="30"/>
          <w:szCs w:val="30"/>
        </w:rPr>
      </w:pPr>
    </w:p>
    <w:p w14:paraId="5359A4B6">
      <w:pPr>
        <w:pStyle w:val="9"/>
        <w:spacing w:before="10"/>
        <w:ind w:left="0"/>
        <w:jc w:val="left"/>
        <w:rPr>
          <w:rFonts w:hint="eastAsia"/>
          <w:sz w:val="30"/>
          <w:szCs w:val="30"/>
        </w:rPr>
      </w:pPr>
      <w:r>
        <w:rPr>
          <w:rFonts w:hint="eastAsia"/>
          <w:sz w:val="30"/>
          <w:szCs w:val="30"/>
        </w:rPr>
        <w:t>Then comes the end, when he delivers up the kingdom to God the Father, when he puts an end to all rule and all authority and power.</w:t>
      </w:r>
    </w:p>
    <w:p w14:paraId="478C2339">
      <w:pPr>
        <w:pStyle w:val="9"/>
        <w:spacing w:before="10"/>
        <w:ind w:left="0"/>
        <w:jc w:val="left"/>
        <w:rPr>
          <w:rFonts w:hint="eastAsia"/>
          <w:sz w:val="30"/>
          <w:szCs w:val="30"/>
        </w:rPr>
      </w:pPr>
      <w:r>
        <w:rPr>
          <w:rFonts w:hint="eastAsia"/>
          <w:sz w:val="30"/>
          <w:szCs w:val="30"/>
        </w:rPr>
        <w:t>再后，末期到了，那时基督既将一切执政的、掌权的、有能的都毁灭了，就把国交与父上帝。</w:t>
      </w:r>
    </w:p>
    <w:p w14:paraId="51C36ACD">
      <w:pPr>
        <w:pStyle w:val="9"/>
        <w:spacing w:before="10"/>
        <w:ind w:left="0"/>
        <w:jc w:val="left"/>
        <w:rPr>
          <w:rFonts w:hint="eastAsia"/>
          <w:sz w:val="30"/>
          <w:szCs w:val="30"/>
        </w:rPr>
      </w:pPr>
    </w:p>
    <w:p w14:paraId="2200D5C7">
      <w:pPr>
        <w:pStyle w:val="9"/>
        <w:spacing w:before="10"/>
        <w:ind w:left="0"/>
        <w:jc w:val="left"/>
        <w:rPr>
          <w:rFonts w:hint="eastAsia"/>
          <w:sz w:val="30"/>
          <w:szCs w:val="30"/>
        </w:rPr>
      </w:pPr>
      <w:r>
        <w:rPr>
          <w:rFonts w:hint="eastAsia"/>
          <w:sz w:val="30"/>
          <w:szCs w:val="30"/>
        </w:rPr>
        <w:t>For he must reign till he has put all enemies under his feet.</w:t>
      </w:r>
    </w:p>
    <w:p w14:paraId="7FEC7910">
      <w:pPr>
        <w:pStyle w:val="9"/>
        <w:spacing w:before="10"/>
        <w:ind w:left="0"/>
        <w:jc w:val="left"/>
        <w:rPr>
          <w:rFonts w:hint="eastAsia"/>
          <w:sz w:val="30"/>
          <w:szCs w:val="30"/>
        </w:rPr>
      </w:pPr>
      <w:r>
        <w:rPr>
          <w:rFonts w:hint="eastAsia"/>
          <w:sz w:val="30"/>
          <w:szCs w:val="30"/>
        </w:rPr>
        <w:t>因为基督必要作王，等上帝把一切仇敌都放在祂的脚下。</w:t>
      </w:r>
    </w:p>
    <w:p w14:paraId="002F94D7">
      <w:pPr>
        <w:pStyle w:val="9"/>
        <w:spacing w:before="10"/>
        <w:ind w:left="0"/>
        <w:jc w:val="left"/>
        <w:rPr>
          <w:rFonts w:hint="eastAsia"/>
          <w:sz w:val="30"/>
          <w:szCs w:val="30"/>
        </w:rPr>
      </w:pPr>
    </w:p>
    <w:p w14:paraId="21688293">
      <w:pPr>
        <w:pStyle w:val="9"/>
        <w:spacing w:before="10"/>
        <w:ind w:left="0"/>
        <w:jc w:val="left"/>
        <w:rPr>
          <w:rFonts w:hint="eastAsia"/>
          <w:sz w:val="30"/>
          <w:szCs w:val="30"/>
        </w:rPr>
      </w:pPr>
      <w:r>
        <w:rPr>
          <w:rFonts w:hint="eastAsia"/>
          <w:sz w:val="30"/>
          <w:szCs w:val="30"/>
        </w:rPr>
        <w:t>The last enemy that will be destroyed is death.</w:t>
      </w:r>
    </w:p>
    <w:p w14:paraId="547C3D44">
      <w:pPr>
        <w:pStyle w:val="9"/>
        <w:spacing w:before="10"/>
        <w:ind w:left="0"/>
        <w:jc w:val="left"/>
        <w:rPr>
          <w:rFonts w:hint="eastAsia"/>
          <w:sz w:val="30"/>
          <w:szCs w:val="30"/>
        </w:rPr>
      </w:pPr>
      <w:r>
        <w:rPr>
          <w:rFonts w:hint="eastAsia"/>
          <w:sz w:val="30"/>
          <w:szCs w:val="30"/>
        </w:rPr>
        <w:t>尽末了所毁灭的仇敌，就是死。</w:t>
      </w:r>
    </w:p>
    <w:p w14:paraId="0E46203E">
      <w:pPr>
        <w:pStyle w:val="9"/>
        <w:spacing w:before="10"/>
        <w:ind w:left="0"/>
        <w:jc w:val="left"/>
        <w:rPr>
          <w:rFonts w:hint="eastAsia"/>
          <w:sz w:val="30"/>
          <w:szCs w:val="30"/>
        </w:rPr>
      </w:pPr>
    </w:p>
    <w:p w14:paraId="4E877293">
      <w:pPr>
        <w:pStyle w:val="9"/>
        <w:spacing w:before="10"/>
        <w:ind w:left="0"/>
        <w:jc w:val="left"/>
        <w:rPr>
          <w:rFonts w:hint="eastAsia"/>
          <w:sz w:val="30"/>
          <w:szCs w:val="30"/>
        </w:rPr>
      </w:pPr>
      <w:r>
        <w:rPr>
          <w:rFonts w:hint="eastAsia"/>
          <w:sz w:val="30"/>
          <w:szCs w:val="30"/>
        </w:rPr>
        <w:t>For, “He has put all things under his feet” (Psalm 8:6).</w:t>
      </w:r>
    </w:p>
    <w:p w14:paraId="35A308F7">
      <w:pPr>
        <w:pStyle w:val="9"/>
        <w:spacing w:before="10"/>
        <w:ind w:left="0"/>
        <w:jc w:val="left"/>
        <w:rPr>
          <w:rFonts w:hint="eastAsia"/>
          <w:sz w:val="30"/>
          <w:szCs w:val="30"/>
        </w:rPr>
      </w:pPr>
      <w:r>
        <w:rPr>
          <w:rFonts w:hint="eastAsia"/>
          <w:sz w:val="30"/>
          <w:szCs w:val="30"/>
        </w:rPr>
        <w:t>因为经上说：“上帝叫万物都服在祂的脚下”（诗篇8:6）。</w:t>
      </w:r>
    </w:p>
    <w:p w14:paraId="552A8E20">
      <w:pPr>
        <w:pStyle w:val="9"/>
        <w:spacing w:before="10"/>
        <w:ind w:left="0"/>
        <w:jc w:val="left"/>
        <w:rPr>
          <w:rFonts w:hint="eastAsia"/>
          <w:sz w:val="30"/>
          <w:szCs w:val="30"/>
        </w:rPr>
      </w:pPr>
    </w:p>
    <w:p w14:paraId="22A41A2A">
      <w:pPr>
        <w:pStyle w:val="9"/>
        <w:spacing w:before="10"/>
        <w:ind w:left="0"/>
        <w:jc w:val="left"/>
        <w:rPr>
          <w:rFonts w:hint="eastAsia"/>
          <w:sz w:val="30"/>
          <w:szCs w:val="30"/>
        </w:rPr>
      </w:pPr>
      <w:r>
        <w:rPr>
          <w:rFonts w:hint="eastAsia"/>
          <w:sz w:val="30"/>
          <w:szCs w:val="30"/>
        </w:rPr>
        <w:t>But when He says “all things are put under him,” it is evident that He who put all things under him is excepted.</w:t>
      </w:r>
    </w:p>
    <w:p w14:paraId="4ABFF971">
      <w:pPr>
        <w:pStyle w:val="9"/>
        <w:spacing w:before="10"/>
        <w:ind w:left="0"/>
        <w:jc w:val="left"/>
        <w:rPr>
          <w:rFonts w:hint="eastAsia"/>
          <w:sz w:val="30"/>
          <w:szCs w:val="30"/>
        </w:rPr>
      </w:pPr>
      <w:r>
        <w:rPr>
          <w:rFonts w:hint="eastAsia"/>
          <w:sz w:val="30"/>
          <w:szCs w:val="30"/>
        </w:rPr>
        <w:t>既说万物都服了祂，明显那叫万物都服祂的，不在其内了。</w:t>
      </w:r>
    </w:p>
    <w:p w14:paraId="553EECAE">
      <w:pPr>
        <w:pStyle w:val="9"/>
        <w:spacing w:before="10"/>
        <w:ind w:left="0"/>
        <w:jc w:val="left"/>
        <w:rPr>
          <w:rFonts w:hint="eastAsia"/>
          <w:sz w:val="30"/>
          <w:szCs w:val="30"/>
        </w:rPr>
      </w:pPr>
    </w:p>
    <w:p w14:paraId="40DC3934">
      <w:pPr>
        <w:pStyle w:val="9"/>
        <w:spacing w:before="10"/>
        <w:ind w:left="0"/>
        <w:jc w:val="left"/>
        <w:rPr>
          <w:rFonts w:hint="eastAsia"/>
          <w:sz w:val="30"/>
          <w:szCs w:val="30"/>
        </w:rPr>
      </w:pPr>
      <w:r>
        <w:rPr>
          <w:rFonts w:hint="eastAsia"/>
          <w:sz w:val="30"/>
          <w:szCs w:val="30"/>
        </w:rPr>
        <w:t>Now when all things are made subject to him, then the Son himself will also be subjected to Him who put all things under him, that God may be all in all.</w:t>
      </w:r>
    </w:p>
    <w:p w14:paraId="61D5E5CD">
      <w:pPr>
        <w:pStyle w:val="9"/>
        <w:spacing w:before="10"/>
        <w:ind w:left="0"/>
        <w:jc w:val="left"/>
        <w:rPr>
          <w:rFonts w:hint="eastAsia"/>
          <w:sz w:val="30"/>
          <w:szCs w:val="30"/>
        </w:rPr>
      </w:pPr>
      <w:r>
        <w:rPr>
          <w:rFonts w:hint="eastAsia"/>
          <w:sz w:val="30"/>
          <w:szCs w:val="30"/>
        </w:rPr>
        <w:t>万物既服了祂，那时子也要自己服那叫万物都服祂的，叫上帝在万物之上，为万物之主。</w:t>
      </w:r>
    </w:p>
    <w:p w14:paraId="454FA5F3">
      <w:pPr>
        <w:pStyle w:val="9"/>
        <w:spacing w:before="10"/>
        <w:ind w:left="0"/>
        <w:jc w:val="left"/>
        <w:rPr>
          <w:rFonts w:hint="eastAsia"/>
          <w:sz w:val="30"/>
          <w:szCs w:val="30"/>
        </w:rPr>
      </w:pPr>
    </w:p>
    <w:p w14:paraId="1566CC89">
      <w:pPr>
        <w:pStyle w:val="9"/>
        <w:spacing w:before="10"/>
        <w:ind w:left="0"/>
        <w:jc w:val="left"/>
        <w:rPr>
          <w:rFonts w:hint="eastAsia"/>
          <w:sz w:val="30"/>
          <w:szCs w:val="30"/>
        </w:rPr>
      </w:pPr>
      <w:r>
        <w:rPr>
          <w:rFonts w:hint="eastAsia"/>
          <w:sz w:val="30"/>
          <w:szCs w:val="30"/>
        </w:rPr>
        <w:t>—1 Cor. 15:22-28</w:t>
      </w:r>
    </w:p>
    <w:p w14:paraId="2A0715D5">
      <w:pPr>
        <w:pStyle w:val="9"/>
        <w:spacing w:before="10"/>
        <w:ind w:left="0"/>
        <w:jc w:val="left"/>
        <w:rPr>
          <w:rFonts w:hint="eastAsia"/>
          <w:sz w:val="30"/>
          <w:szCs w:val="30"/>
        </w:rPr>
      </w:pPr>
      <w:r>
        <w:rPr>
          <w:rFonts w:hint="eastAsia"/>
          <w:sz w:val="30"/>
          <w:szCs w:val="30"/>
        </w:rPr>
        <w:t>——哥林多前书15:22-28</w:t>
      </w:r>
    </w:p>
    <w:p w14:paraId="5E49881D">
      <w:pPr>
        <w:pStyle w:val="9"/>
        <w:spacing w:before="10"/>
        <w:ind w:left="0"/>
        <w:jc w:val="left"/>
        <w:rPr>
          <w:rFonts w:hint="eastAsia"/>
          <w:sz w:val="30"/>
          <w:szCs w:val="30"/>
        </w:rPr>
      </w:pPr>
    </w:p>
    <w:p w14:paraId="1171559D">
      <w:pPr>
        <w:pStyle w:val="9"/>
        <w:spacing w:before="10"/>
        <w:ind w:left="0"/>
        <w:jc w:val="left"/>
        <w:rPr>
          <w:rFonts w:hint="eastAsia"/>
          <w:sz w:val="30"/>
          <w:szCs w:val="30"/>
        </w:rPr>
      </w:pPr>
      <w:r>
        <w:rPr>
          <w:rFonts w:hint="eastAsia"/>
          <w:sz w:val="30"/>
          <w:szCs w:val="30"/>
        </w:rPr>
        <w:t>In this text, Paul’s theme is the resurrection.</w:t>
      </w:r>
    </w:p>
    <w:p w14:paraId="1D948A38">
      <w:pPr>
        <w:pStyle w:val="9"/>
        <w:spacing w:before="10"/>
        <w:ind w:left="0"/>
        <w:jc w:val="left"/>
        <w:rPr>
          <w:rFonts w:hint="eastAsia"/>
          <w:sz w:val="30"/>
          <w:szCs w:val="30"/>
        </w:rPr>
      </w:pPr>
      <w:r>
        <w:rPr>
          <w:rFonts w:hint="eastAsia"/>
          <w:sz w:val="30"/>
          <w:szCs w:val="30"/>
        </w:rPr>
        <w:t>在这段经文中，保罗的主题是复活。</w:t>
      </w:r>
    </w:p>
    <w:p w14:paraId="359C5791">
      <w:pPr>
        <w:pStyle w:val="9"/>
        <w:spacing w:before="10"/>
        <w:ind w:left="0"/>
        <w:jc w:val="left"/>
        <w:rPr>
          <w:rFonts w:hint="eastAsia"/>
          <w:sz w:val="30"/>
          <w:szCs w:val="30"/>
        </w:rPr>
      </w:pPr>
    </w:p>
    <w:p w14:paraId="24B67CAD">
      <w:pPr>
        <w:pStyle w:val="9"/>
        <w:spacing w:before="10"/>
        <w:ind w:left="0"/>
        <w:jc w:val="left"/>
        <w:rPr>
          <w:rFonts w:hint="eastAsia"/>
          <w:sz w:val="30"/>
          <w:szCs w:val="30"/>
        </w:rPr>
      </w:pPr>
      <w:r>
        <w:rPr>
          <w:rFonts w:hint="eastAsia"/>
          <w:sz w:val="30"/>
          <w:szCs w:val="30"/>
        </w:rPr>
        <w:t>However, in discussing it he is moved to survey the entire course of the Messiah’s heavenly reign.</w:t>
      </w:r>
    </w:p>
    <w:p w14:paraId="61DD488E">
      <w:pPr>
        <w:pStyle w:val="9"/>
        <w:spacing w:before="10"/>
        <w:ind w:left="0"/>
        <w:jc w:val="left"/>
        <w:rPr>
          <w:rFonts w:hint="eastAsia"/>
          <w:sz w:val="30"/>
          <w:szCs w:val="30"/>
        </w:rPr>
      </w:pPr>
      <w:r>
        <w:rPr>
          <w:rFonts w:hint="eastAsia"/>
          <w:sz w:val="30"/>
          <w:szCs w:val="30"/>
        </w:rPr>
        <w:t>然而，在讨论它时，祂被感动去考察弥赛亚属天统治的整个过程。</w:t>
      </w:r>
    </w:p>
    <w:p w14:paraId="0FCD355F">
      <w:pPr>
        <w:pStyle w:val="9"/>
        <w:spacing w:before="10"/>
        <w:ind w:left="0"/>
        <w:jc w:val="left"/>
        <w:rPr>
          <w:rFonts w:hint="eastAsia"/>
          <w:sz w:val="30"/>
          <w:szCs w:val="30"/>
        </w:rPr>
      </w:pPr>
    </w:p>
    <w:p w14:paraId="45826036">
      <w:pPr>
        <w:pStyle w:val="9"/>
        <w:spacing w:before="10"/>
        <w:ind w:left="0"/>
        <w:jc w:val="left"/>
        <w:rPr>
          <w:rFonts w:hint="eastAsia"/>
          <w:sz w:val="30"/>
          <w:szCs w:val="30"/>
        </w:rPr>
      </w:pPr>
      <w:r>
        <w:rPr>
          <w:rFonts w:hint="eastAsia"/>
          <w:sz w:val="30"/>
          <w:szCs w:val="30"/>
        </w:rPr>
        <w:t>At the beginning of that reign, God the Father gave the Son all authority in heaven and earth, as well as a commission to subdue every enemy; to put all things under his feet (Psalm 2, 8, 110, Mt. 28:18, Eph. 1:15-22).</w:t>
      </w:r>
    </w:p>
    <w:p w14:paraId="5E29DB96">
      <w:pPr>
        <w:pStyle w:val="9"/>
        <w:spacing w:before="10"/>
        <w:ind w:left="0"/>
        <w:jc w:val="left"/>
        <w:rPr>
          <w:rFonts w:hint="eastAsia"/>
          <w:sz w:val="30"/>
          <w:szCs w:val="30"/>
        </w:rPr>
      </w:pPr>
      <w:r>
        <w:rPr>
          <w:rFonts w:hint="eastAsia"/>
          <w:sz w:val="30"/>
          <w:szCs w:val="30"/>
        </w:rPr>
        <w:t>在那统治的开始，父上帝将天上地下所有的权柄都赐给子，并差遣祂去制伏一切仇敌；将万有都放在祂的脚下（诗篇2, 8, 110，太28:18，弗1:15-22）。</w:t>
      </w:r>
    </w:p>
    <w:p w14:paraId="48AE184F">
      <w:pPr>
        <w:pStyle w:val="9"/>
        <w:spacing w:before="10"/>
        <w:ind w:left="0"/>
        <w:jc w:val="left"/>
        <w:rPr>
          <w:rFonts w:hint="eastAsia"/>
          <w:sz w:val="30"/>
          <w:szCs w:val="30"/>
        </w:rPr>
      </w:pPr>
    </w:p>
    <w:p w14:paraId="529B79D3">
      <w:pPr>
        <w:pStyle w:val="9"/>
        <w:spacing w:before="10"/>
        <w:ind w:left="0"/>
        <w:jc w:val="left"/>
        <w:rPr>
          <w:rFonts w:hint="eastAsia"/>
          <w:sz w:val="30"/>
          <w:szCs w:val="30"/>
        </w:rPr>
      </w:pPr>
      <w:r>
        <w:rPr>
          <w:rFonts w:hint="eastAsia"/>
          <w:sz w:val="30"/>
          <w:szCs w:val="30"/>
        </w:rPr>
        <w:t>Since then, he (Christ) has been doing so victoriously, gathering to himself a people for his own possession, changing their hearts and thereby making former enemies into eternal friends (Titus 2:11-14).</w:t>
      </w:r>
    </w:p>
    <w:p w14:paraId="4F834E14">
      <w:pPr>
        <w:pStyle w:val="9"/>
        <w:spacing w:before="10"/>
        <w:ind w:left="0"/>
        <w:jc w:val="left"/>
        <w:rPr>
          <w:rFonts w:hint="eastAsia"/>
          <w:sz w:val="30"/>
          <w:szCs w:val="30"/>
        </w:rPr>
      </w:pPr>
      <w:r>
        <w:rPr>
          <w:rFonts w:hint="eastAsia"/>
          <w:sz w:val="30"/>
          <w:szCs w:val="30"/>
        </w:rPr>
        <w:t>从那时起，祂（基督）就一直胜利地这样做，为自己聚集一群子民归祂自己所有，改变他们的心，从而使从前的仇敌成为永恒的朋友（提多书2:11-14）。</w:t>
      </w:r>
    </w:p>
    <w:p w14:paraId="486D6A3E">
      <w:pPr>
        <w:pStyle w:val="9"/>
        <w:spacing w:before="10"/>
        <w:ind w:left="0"/>
        <w:jc w:val="left"/>
        <w:rPr>
          <w:rFonts w:hint="eastAsia"/>
          <w:sz w:val="30"/>
          <w:szCs w:val="30"/>
        </w:rPr>
      </w:pPr>
    </w:p>
    <w:p w14:paraId="674E119E">
      <w:pPr>
        <w:pStyle w:val="9"/>
        <w:spacing w:before="10"/>
        <w:ind w:left="0"/>
        <w:jc w:val="left"/>
        <w:rPr>
          <w:rFonts w:hint="eastAsia"/>
          <w:sz w:val="30"/>
          <w:szCs w:val="30"/>
        </w:rPr>
      </w:pPr>
      <w:r>
        <w:rPr>
          <w:rFonts w:hint="eastAsia"/>
          <w:sz w:val="30"/>
          <w:szCs w:val="30"/>
        </w:rPr>
        <w:t>One day up ahead, at the Parousia, he will complete the work, defeating and banishing every remaining foe—spiritual, physical, or Satanic—from his people and from the new and glorious world that he will create for them.</w:t>
      </w:r>
    </w:p>
    <w:p w14:paraId="655CBAE4">
      <w:pPr>
        <w:pStyle w:val="9"/>
        <w:spacing w:before="10"/>
        <w:ind w:left="0"/>
        <w:jc w:val="left"/>
        <w:rPr>
          <w:rFonts w:hint="eastAsia"/>
          <w:sz w:val="30"/>
          <w:szCs w:val="30"/>
        </w:rPr>
      </w:pPr>
      <w:r>
        <w:rPr>
          <w:rFonts w:hint="eastAsia"/>
          <w:sz w:val="30"/>
          <w:szCs w:val="30"/>
        </w:rPr>
        <w:t>在将来的某一天，在主临（Parousia）时，祂将完成这工作，从祂的子民和祂将为他们创造的新的、荣耀的世界中，击败并驱逐所有剩下的仇敌——属灵的、属肉体的，或属撒但的。</w:t>
      </w:r>
    </w:p>
    <w:p w14:paraId="29191941">
      <w:pPr>
        <w:pStyle w:val="9"/>
        <w:spacing w:before="10"/>
        <w:ind w:left="0"/>
        <w:jc w:val="left"/>
        <w:rPr>
          <w:rFonts w:hint="eastAsia"/>
          <w:sz w:val="30"/>
          <w:szCs w:val="30"/>
        </w:rPr>
      </w:pPr>
    </w:p>
    <w:p w14:paraId="3BDBAAA3">
      <w:pPr>
        <w:pStyle w:val="9"/>
        <w:spacing w:before="10"/>
        <w:ind w:left="0"/>
        <w:jc w:val="left"/>
        <w:rPr>
          <w:rFonts w:hint="eastAsia"/>
          <w:sz w:val="30"/>
          <w:szCs w:val="30"/>
        </w:rPr>
      </w:pPr>
      <w:r>
        <w:rPr>
          <w:rFonts w:hint="eastAsia"/>
          <w:sz w:val="30"/>
          <w:szCs w:val="30"/>
        </w:rPr>
        <w:t>The last of these enemies, says Paul, is death itself, which Christ will forever banish at the resurrection of the dead (1 Cor. 15:26, 50-58).</w:t>
      </w:r>
    </w:p>
    <w:p w14:paraId="5DAB24F6">
      <w:pPr>
        <w:pStyle w:val="9"/>
        <w:spacing w:before="10"/>
        <w:ind w:left="0"/>
        <w:jc w:val="left"/>
        <w:rPr>
          <w:rFonts w:hint="eastAsia"/>
          <w:sz w:val="30"/>
          <w:szCs w:val="30"/>
        </w:rPr>
      </w:pPr>
      <w:r>
        <w:rPr>
          <w:rFonts w:hint="eastAsia"/>
          <w:sz w:val="30"/>
          <w:szCs w:val="30"/>
        </w:rPr>
        <w:t>保罗说，这些仇敌中最后一个就是死，基督将在死人复活时永远地驱逐它（林前15:26, 50-58）。</w:t>
      </w:r>
    </w:p>
    <w:p w14:paraId="18B1DEFF">
      <w:pPr>
        <w:pStyle w:val="9"/>
        <w:spacing w:before="10"/>
        <w:ind w:left="0"/>
        <w:jc w:val="left"/>
        <w:rPr>
          <w:rFonts w:hint="eastAsia"/>
          <w:sz w:val="30"/>
          <w:szCs w:val="30"/>
        </w:rPr>
      </w:pPr>
    </w:p>
    <w:p w14:paraId="668B67E7">
      <w:pPr>
        <w:pStyle w:val="9"/>
        <w:spacing w:before="10"/>
        <w:ind w:left="0"/>
        <w:jc w:val="left"/>
        <w:rPr>
          <w:rFonts w:hint="eastAsia"/>
          <w:sz w:val="30"/>
          <w:szCs w:val="30"/>
        </w:rPr>
      </w:pPr>
      <w:r>
        <w:rPr>
          <w:rFonts w:hint="eastAsia"/>
          <w:sz w:val="30"/>
          <w:szCs w:val="30"/>
        </w:rPr>
        <w:t>At this point, the Messiah’s work will be finished.</w:t>
      </w:r>
    </w:p>
    <w:p w14:paraId="66902C76">
      <w:pPr>
        <w:pStyle w:val="9"/>
        <w:spacing w:before="10"/>
        <w:ind w:left="0"/>
        <w:jc w:val="left"/>
        <w:rPr>
          <w:rFonts w:hint="eastAsia"/>
          <w:sz w:val="30"/>
          <w:szCs w:val="30"/>
        </w:rPr>
      </w:pPr>
      <w:r>
        <w:rPr>
          <w:rFonts w:hint="eastAsia"/>
          <w:sz w:val="30"/>
          <w:szCs w:val="30"/>
        </w:rPr>
        <w:t>此时，弥赛亚的工作将要完成。</w:t>
      </w:r>
    </w:p>
    <w:p w14:paraId="15ADFEC0">
      <w:pPr>
        <w:pStyle w:val="9"/>
        <w:spacing w:before="10"/>
        <w:ind w:left="0"/>
        <w:jc w:val="left"/>
        <w:rPr>
          <w:rFonts w:hint="eastAsia"/>
          <w:sz w:val="30"/>
          <w:szCs w:val="30"/>
        </w:rPr>
      </w:pPr>
    </w:p>
    <w:p w14:paraId="083D4A41">
      <w:pPr>
        <w:pStyle w:val="9"/>
        <w:spacing w:before="10"/>
        <w:ind w:left="0"/>
        <w:jc w:val="left"/>
        <w:rPr>
          <w:rFonts w:hint="eastAsia"/>
          <w:sz w:val="30"/>
          <w:szCs w:val="30"/>
        </w:rPr>
      </w:pPr>
      <w:r>
        <w:rPr>
          <w:rFonts w:hint="eastAsia"/>
          <w:sz w:val="30"/>
          <w:szCs w:val="30"/>
        </w:rPr>
        <w:t>The Kingdom that the Father commissioned him to redeem and create will now stand complete before him: a new, glorified humanity, and a new, glorified world in which that humanity will live.</w:t>
      </w:r>
    </w:p>
    <w:p w14:paraId="726D000E">
      <w:pPr>
        <w:pStyle w:val="9"/>
        <w:spacing w:before="10"/>
        <w:ind w:left="0"/>
        <w:jc w:val="left"/>
        <w:rPr>
          <w:rFonts w:hint="eastAsia"/>
          <w:sz w:val="30"/>
          <w:szCs w:val="30"/>
        </w:rPr>
      </w:pPr>
      <w:r>
        <w:rPr>
          <w:rFonts w:hint="eastAsia"/>
          <w:sz w:val="30"/>
          <w:szCs w:val="30"/>
        </w:rPr>
        <w:t>父差遣祂去救赎和创造的国度，如今将在祂面前完全地站立：一个新的、得荣耀的人类，以及一个那人类将要居住的新的、得荣耀的世界。</w:t>
      </w:r>
    </w:p>
    <w:p w14:paraId="6BE47D70">
      <w:pPr>
        <w:pStyle w:val="9"/>
        <w:spacing w:before="10"/>
        <w:ind w:left="0"/>
        <w:jc w:val="left"/>
        <w:rPr>
          <w:rFonts w:hint="eastAsia"/>
          <w:sz w:val="30"/>
          <w:szCs w:val="30"/>
        </w:rPr>
      </w:pPr>
    </w:p>
    <w:p w14:paraId="07FFF450">
      <w:pPr>
        <w:pStyle w:val="9"/>
        <w:spacing w:before="10"/>
        <w:ind w:left="0"/>
        <w:jc w:val="left"/>
        <w:rPr>
          <w:rFonts w:hint="eastAsia"/>
          <w:sz w:val="30"/>
          <w:szCs w:val="30"/>
        </w:rPr>
      </w:pPr>
      <w:r>
        <w:rPr>
          <w:rFonts w:hint="eastAsia"/>
          <w:sz w:val="30"/>
          <w:szCs w:val="30"/>
        </w:rPr>
        <w:t>Yet one thing remains, one final act of worship, one final acknowledgment of the One through whom he (Christ) was able to accomplish it all: He must deliver up his Kingdom to God the Father.</w:t>
      </w:r>
    </w:p>
    <w:p w14:paraId="156995BC">
      <w:pPr>
        <w:pStyle w:val="9"/>
        <w:spacing w:before="10"/>
        <w:ind w:left="0"/>
        <w:jc w:val="left"/>
        <w:rPr>
          <w:rFonts w:hint="eastAsia"/>
          <w:sz w:val="30"/>
          <w:szCs w:val="30"/>
        </w:rPr>
      </w:pPr>
      <w:r>
        <w:rPr>
          <w:rFonts w:hint="eastAsia"/>
          <w:sz w:val="30"/>
          <w:szCs w:val="30"/>
        </w:rPr>
        <w:t>然而还有一件事，一个最后的敬拜行动，一个对那借着祂（基督）能够完成这一切之主的最后承认：祂必须将祂的国度交与父上帝。</w:t>
      </w:r>
    </w:p>
    <w:p w14:paraId="728601A8">
      <w:pPr>
        <w:pStyle w:val="9"/>
        <w:spacing w:before="10"/>
        <w:ind w:left="0"/>
        <w:jc w:val="left"/>
        <w:rPr>
          <w:rFonts w:hint="eastAsia"/>
          <w:sz w:val="30"/>
          <w:szCs w:val="30"/>
        </w:rPr>
      </w:pPr>
    </w:p>
    <w:p w14:paraId="649705DA">
      <w:pPr>
        <w:pStyle w:val="9"/>
        <w:spacing w:before="10"/>
        <w:ind w:left="0"/>
        <w:jc w:val="left"/>
        <w:rPr>
          <w:rFonts w:hint="eastAsia"/>
          <w:sz w:val="30"/>
          <w:szCs w:val="30"/>
        </w:rPr>
      </w:pPr>
      <w:r>
        <w:rPr>
          <w:rFonts w:hint="eastAsia"/>
          <w:sz w:val="30"/>
          <w:szCs w:val="30"/>
        </w:rPr>
        <w:t>He must give it back to the One who gave it to him (John 17:6).</w:t>
      </w:r>
    </w:p>
    <w:p w14:paraId="1425084C">
      <w:pPr>
        <w:pStyle w:val="9"/>
        <w:spacing w:before="10"/>
        <w:ind w:left="0"/>
        <w:jc w:val="left"/>
        <w:rPr>
          <w:rFonts w:hint="eastAsia"/>
          <w:sz w:val="30"/>
          <w:szCs w:val="30"/>
        </w:rPr>
      </w:pPr>
      <w:r>
        <w:rPr>
          <w:rFonts w:hint="eastAsia"/>
          <w:sz w:val="30"/>
          <w:szCs w:val="30"/>
        </w:rPr>
        <w:t>祂必须将它归还给那赐给祂的主（约翰福音17:6）。</w:t>
      </w:r>
    </w:p>
    <w:p w14:paraId="2C2AAAAB">
      <w:pPr>
        <w:pStyle w:val="9"/>
        <w:spacing w:before="10"/>
        <w:ind w:left="0"/>
        <w:jc w:val="left"/>
        <w:rPr>
          <w:rFonts w:hint="eastAsia"/>
          <w:sz w:val="30"/>
          <w:szCs w:val="30"/>
        </w:rPr>
      </w:pPr>
    </w:p>
    <w:p w14:paraId="1D37AAE2">
      <w:pPr>
        <w:pStyle w:val="9"/>
        <w:spacing w:before="10"/>
        <w:ind w:left="0"/>
        <w:jc w:val="left"/>
        <w:rPr>
          <w:rFonts w:hint="eastAsia"/>
          <w:sz w:val="30"/>
          <w:szCs w:val="30"/>
        </w:rPr>
      </w:pPr>
      <w:r>
        <w:rPr>
          <w:rFonts w:hint="eastAsia"/>
          <w:sz w:val="30"/>
          <w:szCs w:val="30"/>
        </w:rPr>
        <w:t>In other words, he must relinquish this form of his cosmic sovereignty and freshly submit himself, his people, and his world to the Father’s direct authority.</w:t>
      </w:r>
    </w:p>
    <w:p w14:paraId="5A4E02B1">
      <w:pPr>
        <w:pStyle w:val="9"/>
        <w:spacing w:before="10"/>
        <w:ind w:left="0"/>
        <w:jc w:val="left"/>
        <w:rPr>
          <w:rFonts w:hint="eastAsia"/>
          <w:sz w:val="30"/>
          <w:szCs w:val="30"/>
        </w:rPr>
      </w:pPr>
      <w:r>
        <w:rPr>
          <w:rFonts w:hint="eastAsia"/>
          <w:sz w:val="30"/>
          <w:szCs w:val="30"/>
        </w:rPr>
        <w:t>换句话说，祂必须放弃这种形式的宇宙主权，并将自己、祂的子民和祂的世界重新顺服在父的直接权柄之下。</w:t>
      </w:r>
    </w:p>
    <w:p w14:paraId="2C7E6D88">
      <w:pPr>
        <w:pStyle w:val="9"/>
        <w:spacing w:before="10"/>
        <w:ind w:left="0"/>
        <w:jc w:val="left"/>
        <w:rPr>
          <w:rFonts w:hint="eastAsia"/>
          <w:sz w:val="30"/>
          <w:szCs w:val="30"/>
        </w:rPr>
      </w:pPr>
    </w:p>
    <w:p w14:paraId="79CC2083">
      <w:pPr>
        <w:pStyle w:val="9"/>
        <w:spacing w:before="10"/>
        <w:ind w:left="0"/>
        <w:jc w:val="left"/>
        <w:rPr>
          <w:rFonts w:hint="eastAsia"/>
          <w:sz w:val="30"/>
          <w:szCs w:val="30"/>
        </w:rPr>
      </w:pPr>
      <w:r>
        <w:rPr>
          <w:rFonts w:hint="eastAsia"/>
          <w:sz w:val="30"/>
          <w:szCs w:val="30"/>
        </w:rPr>
        <w:t>He must do this so that God the Father may be glorified as the supreme Sovereign of the universe; that he may be all in all.5</w:t>
      </w:r>
    </w:p>
    <w:p w14:paraId="70EF0766">
      <w:pPr>
        <w:pStyle w:val="9"/>
        <w:spacing w:before="10"/>
        <w:ind w:left="0"/>
        <w:jc w:val="left"/>
        <w:rPr>
          <w:rFonts w:hint="eastAsia"/>
          <w:sz w:val="30"/>
          <w:szCs w:val="30"/>
        </w:rPr>
      </w:pPr>
      <w:r>
        <w:rPr>
          <w:rFonts w:hint="eastAsia"/>
          <w:sz w:val="30"/>
          <w:szCs w:val="30"/>
        </w:rPr>
        <w:t>祂必须这样做，好叫父上帝可以被荣耀为宇宙至高的主宰；好叫祂可以成为万有之中的万有。5</w:t>
      </w:r>
    </w:p>
    <w:p w14:paraId="4BD428C1">
      <w:pPr>
        <w:pStyle w:val="9"/>
        <w:spacing w:before="10"/>
        <w:ind w:left="0"/>
        <w:jc w:val="left"/>
        <w:rPr>
          <w:rFonts w:hint="eastAsia"/>
          <w:sz w:val="30"/>
          <w:szCs w:val="30"/>
        </w:rPr>
      </w:pPr>
    </w:p>
    <w:p w14:paraId="6B3E8CD6">
      <w:pPr>
        <w:pStyle w:val="9"/>
        <w:spacing w:before="10"/>
        <w:ind w:left="0"/>
        <w:jc w:val="left"/>
        <w:rPr>
          <w:rFonts w:hint="eastAsia"/>
          <w:sz w:val="30"/>
          <w:szCs w:val="30"/>
        </w:rPr>
      </w:pPr>
      <w:r>
        <w:rPr>
          <w:rFonts w:hint="eastAsia"/>
          <w:sz w:val="30"/>
          <w:szCs w:val="30"/>
        </w:rPr>
        <w:t>And because the Son loves the Father, he will do so gladly (John 17:1).</w:t>
      </w:r>
    </w:p>
    <w:p w14:paraId="18CC122D">
      <w:pPr>
        <w:pStyle w:val="9"/>
        <w:spacing w:before="10"/>
        <w:ind w:left="0"/>
        <w:jc w:val="left"/>
        <w:rPr>
          <w:rFonts w:hint="eastAsia"/>
          <w:sz w:val="30"/>
          <w:szCs w:val="30"/>
        </w:rPr>
      </w:pPr>
      <w:r>
        <w:rPr>
          <w:rFonts w:hint="eastAsia"/>
          <w:sz w:val="30"/>
          <w:szCs w:val="30"/>
        </w:rPr>
        <w:t>并且因为子爱父，祂会欣然地这样做（约翰福音17:1）。</w:t>
      </w:r>
    </w:p>
    <w:p w14:paraId="0348C99B">
      <w:pPr>
        <w:pStyle w:val="9"/>
        <w:spacing w:before="10"/>
        <w:ind w:left="0"/>
        <w:jc w:val="left"/>
        <w:rPr>
          <w:rFonts w:hint="eastAsia"/>
          <w:sz w:val="30"/>
          <w:szCs w:val="30"/>
        </w:rPr>
      </w:pPr>
    </w:p>
    <w:p w14:paraId="07146235">
      <w:pPr>
        <w:pStyle w:val="9"/>
        <w:spacing w:before="10"/>
        <w:ind w:left="0"/>
        <w:jc w:val="left"/>
        <w:rPr>
          <w:rFonts w:hint="eastAsia"/>
          <w:sz w:val="30"/>
          <w:szCs w:val="30"/>
        </w:rPr>
      </w:pPr>
      <w:r>
        <w:rPr>
          <w:rFonts w:hint="eastAsia"/>
          <w:sz w:val="30"/>
          <w:szCs w:val="30"/>
        </w:rPr>
        <w:t>The delivering up of the Kingdom is “the consummation of the Consummation.”</w:t>
      </w:r>
    </w:p>
    <w:p w14:paraId="0BDE2CA7">
      <w:pPr>
        <w:pStyle w:val="9"/>
        <w:spacing w:before="10"/>
        <w:ind w:left="0"/>
        <w:jc w:val="left"/>
        <w:rPr>
          <w:rFonts w:hint="eastAsia"/>
          <w:sz w:val="30"/>
          <w:szCs w:val="30"/>
        </w:rPr>
      </w:pPr>
      <w:r>
        <w:rPr>
          <w:rFonts w:hint="eastAsia"/>
          <w:sz w:val="30"/>
          <w:szCs w:val="30"/>
        </w:rPr>
        <w:t>交出王国是“最终成全的最终成全”。</w:t>
      </w:r>
    </w:p>
    <w:p w14:paraId="2563A9BF">
      <w:pPr>
        <w:pStyle w:val="9"/>
        <w:spacing w:before="10"/>
        <w:ind w:left="0"/>
        <w:jc w:val="left"/>
        <w:rPr>
          <w:rFonts w:hint="eastAsia"/>
          <w:sz w:val="30"/>
          <w:szCs w:val="30"/>
        </w:rPr>
      </w:pPr>
    </w:p>
    <w:p w14:paraId="699552A2">
      <w:pPr>
        <w:pStyle w:val="9"/>
        <w:spacing w:before="10"/>
        <w:ind w:left="0"/>
        <w:jc w:val="left"/>
        <w:rPr>
          <w:rFonts w:hint="eastAsia"/>
          <w:sz w:val="30"/>
          <w:szCs w:val="30"/>
        </w:rPr>
      </w:pPr>
      <w:r>
        <w:rPr>
          <w:rFonts w:hint="eastAsia"/>
          <w:sz w:val="30"/>
          <w:szCs w:val="30"/>
        </w:rPr>
        <w:t>Not only so, it is the crowning touch upon the Blessed Hope of the saints.</w:t>
      </w:r>
    </w:p>
    <w:p w14:paraId="0469CE01">
      <w:pPr>
        <w:pStyle w:val="9"/>
        <w:spacing w:before="10"/>
        <w:ind w:left="0"/>
        <w:jc w:val="left"/>
        <w:rPr>
          <w:rFonts w:hint="eastAsia"/>
          <w:sz w:val="30"/>
          <w:szCs w:val="30"/>
        </w:rPr>
      </w:pPr>
      <w:r>
        <w:rPr>
          <w:rFonts w:hint="eastAsia"/>
          <w:sz w:val="30"/>
          <w:szCs w:val="30"/>
        </w:rPr>
        <w:t>不仅如此，它也是圣徒们有福盼望的点睛之笔。</w:t>
      </w:r>
    </w:p>
    <w:p w14:paraId="76C9EDF0">
      <w:pPr>
        <w:pStyle w:val="9"/>
        <w:spacing w:before="10"/>
        <w:ind w:left="0"/>
        <w:jc w:val="left"/>
        <w:rPr>
          <w:rFonts w:hint="eastAsia"/>
          <w:sz w:val="30"/>
          <w:szCs w:val="30"/>
        </w:rPr>
      </w:pPr>
    </w:p>
    <w:p w14:paraId="136C0075">
      <w:pPr>
        <w:pStyle w:val="9"/>
        <w:spacing w:before="10"/>
        <w:ind w:left="0"/>
        <w:jc w:val="left"/>
        <w:rPr>
          <w:rFonts w:hint="eastAsia"/>
          <w:sz w:val="30"/>
          <w:szCs w:val="30"/>
        </w:rPr>
      </w:pPr>
      <w:r>
        <w:rPr>
          <w:rFonts w:hint="eastAsia"/>
          <w:sz w:val="30"/>
          <w:szCs w:val="30"/>
        </w:rPr>
        <w:t>Mysterious as the great transaction is, they anticipate it with relish, knowing that herein the redemptive achievements of the Son are forever sealed, the Father fully glorified, and his completed Kingdom introduced at last.</w:t>
      </w:r>
    </w:p>
    <w:p w14:paraId="1D11381C">
      <w:pPr>
        <w:pStyle w:val="9"/>
        <w:spacing w:before="10"/>
        <w:ind w:left="0"/>
        <w:jc w:val="left"/>
        <w:rPr>
          <w:rFonts w:hint="eastAsia"/>
          <w:sz w:val="30"/>
          <w:szCs w:val="30"/>
        </w:rPr>
      </w:pPr>
      <w:r>
        <w:rPr>
          <w:rFonts w:hint="eastAsia"/>
          <w:sz w:val="30"/>
          <w:szCs w:val="30"/>
        </w:rPr>
        <w:t>虽然这伟大的交接是奥秘的，他们却津津有味地期待着它，知道在这里子的救赎成就被永远地封印，父被完全地荣耀，祂完全的国度最终被引入。</w:t>
      </w:r>
    </w:p>
    <w:p w14:paraId="703E684C">
      <w:pPr>
        <w:pStyle w:val="9"/>
        <w:spacing w:before="10"/>
        <w:ind w:left="0"/>
        <w:jc w:val="left"/>
        <w:rPr>
          <w:rFonts w:hint="eastAsia"/>
          <w:sz w:val="30"/>
          <w:szCs w:val="30"/>
        </w:rPr>
      </w:pPr>
    </w:p>
    <w:p w14:paraId="231C8C39">
      <w:pPr>
        <w:pStyle w:val="9"/>
        <w:spacing w:before="10"/>
        <w:ind w:left="0"/>
        <w:jc w:val="left"/>
        <w:rPr>
          <w:rFonts w:hint="eastAsia"/>
          <w:sz w:val="30"/>
          <w:szCs w:val="30"/>
        </w:rPr>
      </w:pPr>
      <w:r>
        <w:rPr>
          <w:rFonts w:hint="eastAsia"/>
          <w:sz w:val="30"/>
          <w:szCs w:val="30"/>
        </w:rPr>
        <w:t>Accordingly, even before it happens, they think they hear the Father saying to the Son precisely what the Son will say to them when their own labors are complete: “Well done, good and faithful Servant; enter into the joy of your Lord” (Mt. 25:31).</w:t>
      </w:r>
    </w:p>
    <w:p w14:paraId="2F4722E7">
      <w:pPr>
        <w:pStyle w:val="9"/>
        <w:spacing w:before="10"/>
        <w:ind w:left="0"/>
        <w:jc w:val="left"/>
        <w:rPr>
          <w:rFonts w:hint="eastAsia"/>
          <w:sz w:val="30"/>
          <w:szCs w:val="30"/>
        </w:rPr>
      </w:pPr>
      <w:r>
        <w:rPr>
          <w:rFonts w:hint="eastAsia"/>
          <w:sz w:val="30"/>
          <w:szCs w:val="30"/>
        </w:rPr>
        <w:t>因此，甚至在它发生之前，他们就仿佛听见父对子说的话，正是当他们自己的劳苦完成时，子将对他们说的话：“好，你这又良善又忠心的仆人；可以进来享受你主人的快乐”（太25:31）。</w:t>
      </w:r>
    </w:p>
    <w:p w14:paraId="6DCAC4D2">
      <w:pPr>
        <w:pStyle w:val="9"/>
        <w:spacing w:before="10"/>
        <w:ind w:left="0"/>
        <w:jc w:val="left"/>
        <w:rPr>
          <w:rFonts w:hint="eastAsia"/>
          <w:sz w:val="30"/>
          <w:szCs w:val="30"/>
        </w:rPr>
      </w:pPr>
    </w:p>
    <w:p w14:paraId="21B1CBBD">
      <w:pPr>
        <w:pStyle w:val="9"/>
        <w:spacing w:before="10"/>
        <w:ind w:left="0"/>
        <w:jc w:val="left"/>
        <w:rPr>
          <w:rFonts w:hint="eastAsia"/>
          <w:sz w:val="30"/>
          <w:szCs w:val="30"/>
        </w:rPr>
      </w:pPr>
      <w:r>
        <w:rPr>
          <w:rFonts w:hint="eastAsia"/>
          <w:sz w:val="30"/>
          <w:szCs w:val="30"/>
        </w:rPr>
        <w:t>Conclusion</w:t>
      </w:r>
    </w:p>
    <w:p w14:paraId="69884F61">
      <w:pPr>
        <w:pStyle w:val="9"/>
        <w:spacing w:before="10"/>
        <w:ind w:left="0"/>
        <w:jc w:val="left"/>
        <w:rPr>
          <w:rFonts w:hint="eastAsia"/>
          <w:sz w:val="30"/>
          <w:szCs w:val="30"/>
        </w:rPr>
      </w:pPr>
      <w:r>
        <w:rPr>
          <w:rFonts w:hint="eastAsia"/>
          <w:sz w:val="30"/>
          <w:szCs w:val="30"/>
        </w:rPr>
        <w:t>结论</w:t>
      </w:r>
    </w:p>
    <w:p w14:paraId="5542D26D">
      <w:pPr>
        <w:pStyle w:val="9"/>
        <w:spacing w:before="10"/>
        <w:ind w:left="0"/>
        <w:jc w:val="left"/>
        <w:rPr>
          <w:rFonts w:hint="eastAsia"/>
          <w:sz w:val="30"/>
          <w:szCs w:val="30"/>
        </w:rPr>
      </w:pPr>
    </w:p>
    <w:p w14:paraId="14B1F823">
      <w:pPr>
        <w:pStyle w:val="9"/>
        <w:spacing w:before="10"/>
        <w:ind w:left="0"/>
        <w:jc w:val="left"/>
        <w:rPr>
          <w:rFonts w:hint="eastAsia"/>
          <w:sz w:val="30"/>
          <w:szCs w:val="30"/>
        </w:rPr>
      </w:pPr>
      <w:r>
        <w:rPr>
          <w:rFonts w:hint="eastAsia"/>
          <w:sz w:val="30"/>
          <w:szCs w:val="30"/>
        </w:rPr>
        <w:t>Our theme has been the Blessed Hope.</w:t>
      </w:r>
    </w:p>
    <w:p w14:paraId="7339E9E3">
      <w:pPr>
        <w:pStyle w:val="9"/>
        <w:spacing w:before="10"/>
        <w:ind w:left="0"/>
        <w:jc w:val="left"/>
        <w:rPr>
          <w:rFonts w:hint="eastAsia"/>
          <w:sz w:val="30"/>
          <w:szCs w:val="30"/>
        </w:rPr>
      </w:pPr>
      <w:r>
        <w:rPr>
          <w:rFonts w:hint="eastAsia"/>
          <w:sz w:val="30"/>
          <w:szCs w:val="30"/>
        </w:rPr>
        <w:t>我们的主题是有福的盼望。</w:t>
      </w:r>
    </w:p>
    <w:p w14:paraId="05C1871F">
      <w:pPr>
        <w:pStyle w:val="9"/>
        <w:spacing w:before="10"/>
        <w:ind w:left="0"/>
        <w:jc w:val="left"/>
        <w:rPr>
          <w:rFonts w:hint="eastAsia"/>
          <w:sz w:val="30"/>
          <w:szCs w:val="30"/>
        </w:rPr>
      </w:pPr>
    </w:p>
    <w:p w14:paraId="50CA6147">
      <w:pPr>
        <w:pStyle w:val="9"/>
        <w:spacing w:before="10"/>
        <w:ind w:left="0"/>
        <w:jc w:val="left"/>
        <w:rPr>
          <w:rFonts w:hint="eastAsia"/>
          <w:sz w:val="30"/>
          <w:szCs w:val="30"/>
        </w:rPr>
      </w:pPr>
      <w:r>
        <w:rPr>
          <w:rFonts w:hint="eastAsia"/>
          <w:sz w:val="30"/>
          <w:szCs w:val="30"/>
        </w:rPr>
        <w:t>In love and wisdom, God our Father has given it to us, through Christ, in the Scriptures, so that we might have eternal comfort and good hope by grace (2 Thess. 2:16).</w:t>
      </w:r>
    </w:p>
    <w:p w14:paraId="11717297">
      <w:pPr>
        <w:pStyle w:val="9"/>
        <w:spacing w:before="10"/>
        <w:ind w:left="0"/>
        <w:jc w:val="left"/>
        <w:rPr>
          <w:rFonts w:hint="eastAsia"/>
          <w:sz w:val="30"/>
          <w:szCs w:val="30"/>
        </w:rPr>
      </w:pPr>
      <w:r>
        <w:rPr>
          <w:rFonts w:hint="eastAsia"/>
          <w:sz w:val="30"/>
          <w:szCs w:val="30"/>
        </w:rPr>
        <w:t>我们的父上帝，出于爱和智慧，借着基督，在圣经中将它赐给我们，好叫我们可以因恩典得着永恒的安慰和美好的盼望（帖后2:16）。</w:t>
      </w:r>
    </w:p>
    <w:p w14:paraId="04E22F8B">
      <w:pPr>
        <w:pStyle w:val="9"/>
        <w:spacing w:before="10"/>
        <w:ind w:left="0"/>
        <w:jc w:val="left"/>
        <w:rPr>
          <w:rFonts w:hint="eastAsia"/>
          <w:sz w:val="30"/>
          <w:szCs w:val="30"/>
        </w:rPr>
      </w:pPr>
    </w:p>
    <w:p w14:paraId="102890C1">
      <w:pPr>
        <w:pStyle w:val="9"/>
        <w:spacing w:before="10"/>
        <w:ind w:left="0"/>
        <w:jc w:val="left"/>
        <w:rPr>
          <w:rFonts w:hint="eastAsia"/>
          <w:sz w:val="30"/>
          <w:szCs w:val="30"/>
        </w:rPr>
      </w:pPr>
      <w:r>
        <w:rPr>
          <w:rFonts w:hint="eastAsia"/>
          <w:sz w:val="30"/>
          <w:szCs w:val="30"/>
        </w:rPr>
        <w:t>My prayer, after so long and challenging a journey, is that we all may understand, use, and savor it well.</w:t>
      </w:r>
    </w:p>
    <w:p w14:paraId="23EEA65C">
      <w:pPr>
        <w:pStyle w:val="9"/>
        <w:spacing w:before="10"/>
        <w:ind w:left="0"/>
        <w:jc w:val="left"/>
        <w:rPr>
          <w:rFonts w:hint="eastAsia"/>
          <w:sz w:val="30"/>
          <w:szCs w:val="30"/>
        </w:rPr>
      </w:pPr>
      <w:r>
        <w:rPr>
          <w:rFonts w:hint="eastAsia"/>
          <w:sz w:val="30"/>
          <w:szCs w:val="30"/>
        </w:rPr>
        <w:t>我的祷告是，经过如此漫长而富有挑战性的旅程，我们都可以很好地理解、使用和品味它。</w:t>
      </w:r>
    </w:p>
    <w:p w14:paraId="5F60FE5E">
      <w:pPr>
        <w:pStyle w:val="9"/>
        <w:spacing w:before="10"/>
        <w:ind w:left="0"/>
        <w:jc w:val="left"/>
        <w:rPr>
          <w:rFonts w:hint="eastAsia"/>
          <w:sz w:val="30"/>
          <w:szCs w:val="30"/>
        </w:rPr>
      </w:pPr>
    </w:p>
    <w:p w14:paraId="54AAD996">
      <w:pPr>
        <w:pStyle w:val="9"/>
        <w:spacing w:before="10"/>
        <w:ind w:left="0"/>
        <w:jc w:val="left"/>
        <w:rPr>
          <w:rFonts w:hint="eastAsia"/>
          <w:sz w:val="30"/>
          <w:szCs w:val="30"/>
        </w:rPr>
      </w:pPr>
      <w:r>
        <w:rPr>
          <w:rFonts w:hint="eastAsia"/>
          <w:sz w:val="30"/>
          <w:szCs w:val="30"/>
        </w:rPr>
        <w:t>What is this hope?</w:t>
      </w:r>
    </w:p>
    <w:p w14:paraId="4E64539E">
      <w:pPr>
        <w:pStyle w:val="9"/>
        <w:spacing w:before="10"/>
        <w:ind w:left="0"/>
        <w:jc w:val="left"/>
        <w:rPr>
          <w:rFonts w:hint="eastAsia"/>
          <w:sz w:val="30"/>
          <w:szCs w:val="30"/>
        </w:rPr>
      </w:pPr>
      <w:r>
        <w:rPr>
          <w:rFonts w:hint="eastAsia"/>
          <w:sz w:val="30"/>
          <w:szCs w:val="30"/>
        </w:rPr>
        <w:t>这个盼望是什么？</w:t>
      </w:r>
    </w:p>
    <w:p w14:paraId="4DEB7442">
      <w:pPr>
        <w:pStyle w:val="9"/>
        <w:spacing w:before="10"/>
        <w:ind w:left="0"/>
        <w:jc w:val="left"/>
        <w:rPr>
          <w:rFonts w:hint="eastAsia"/>
          <w:sz w:val="30"/>
          <w:szCs w:val="30"/>
        </w:rPr>
      </w:pPr>
    </w:p>
    <w:p w14:paraId="05D212A2">
      <w:pPr>
        <w:pStyle w:val="9"/>
        <w:spacing w:before="10"/>
        <w:ind w:left="0"/>
        <w:jc w:val="left"/>
        <w:rPr>
          <w:rFonts w:hint="eastAsia"/>
          <w:sz w:val="30"/>
          <w:szCs w:val="30"/>
        </w:rPr>
      </w:pPr>
      <w:r>
        <w:rPr>
          <w:rFonts w:hint="eastAsia"/>
          <w:sz w:val="30"/>
          <w:szCs w:val="30"/>
        </w:rPr>
        <w:t>As we have seen, it is the one Consummation at the end of this present evil age, a Consummation wrought by Christ himself at his Parousia.</w:t>
      </w:r>
    </w:p>
    <w:p w14:paraId="4776D49F">
      <w:pPr>
        <w:pStyle w:val="9"/>
        <w:spacing w:before="10"/>
        <w:ind w:left="0"/>
        <w:jc w:val="left"/>
        <w:rPr>
          <w:rFonts w:hint="eastAsia"/>
          <w:sz w:val="30"/>
          <w:szCs w:val="30"/>
        </w:rPr>
      </w:pPr>
      <w:r>
        <w:rPr>
          <w:rFonts w:hint="eastAsia"/>
          <w:sz w:val="30"/>
          <w:szCs w:val="30"/>
        </w:rPr>
        <w:t>正如我们所见，这是在现今邪恶世代末了的一次性最终成全，是基督祂自己在祂主临（Parousia）时成就的。</w:t>
      </w:r>
    </w:p>
    <w:p w14:paraId="7A4C8215">
      <w:pPr>
        <w:pStyle w:val="9"/>
        <w:spacing w:before="10"/>
        <w:ind w:left="0"/>
        <w:jc w:val="left"/>
        <w:rPr>
          <w:rFonts w:hint="eastAsia"/>
          <w:sz w:val="30"/>
          <w:szCs w:val="30"/>
        </w:rPr>
      </w:pPr>
    </w:p>
    <w:p w14:paraId="5A28010F">
      <w:pPr>
        <w:pStyle w:val="9"/>
        <w:spacing w:before="10"/>
        <w:ind w:left="0"/>
        <w:jc w:val="left"/>
        <w:rPr>
          <w:rFonts w:hint="eastAsia"/>
          <w:sz w:val="30"/>
          <w:szCs w:val="30"/>
        </w:rPr>
      </w:pPr>
      <w:r>
        <w:rPr>
          <w:rFonts w:hint="eastAsia"/>
          <w:sz w:val="30"/>
          <w:szCs w:val="30"/>
        </w:rPr>
        <w:t>It is, however, a many-faceted hope.</w:t>
      </w:r>
    </w:p>
    <w:p w14:paraId="7D69A4AB">
      <w:pPr>
        <w:pStyle w:val="9"/>
        <w:spacing w:before="10"/>
        <w:ind w:left="0"/>
        <w:jc w:val="left"/>
        <w:rPr>
          <w:rFonts w:hint="eastAsia"/>
          <w:sz w:val="30"/>
          <w:szCs w:val="30"/>
        </w:rPr>
      </w:pPr>
      <w:r>
        <w:rPr>
          <w:rFonts w:hint="eastAsia"/>
          <w:sz w:val="30"/>
          <w:szCs w:val="30"/>
        </w:rPr>
        <w:t>然而，这是一个多方面的盼望。</w:t>
      </w:r>
    </w:p>
    <w:p w14:paraId="7161E961">
      <w:pPr>
        <w:pStyle w:val="9"/>
        <w:spacing w:before="10"/>
        <w:ind w:left="0"/>
        <w:jc w:val="left"/>
        <w:rPr>
          <w:rFonts w:hint="eastAsia"/>
          <w:sz w:val="30"/>
          <w:szCs w:val="30"/>
        </w:rPr>
      </w:pPr>
    </w:p>
    <w:p w14:paraId="21CE5122">
      <w:pPr>
        <w:pStyle w:val="9"/>
        <w:spacing w:before="10"/>
        <w:ind w:left="0"/>
        <w:jc w:val="left"/>
        <w:rPr>
          <w:rFonts w:hint="eastAsia"/>
          <w:sz w:val="30"/>
          <w:szCs w:val="30"/>
        </w:rPr>
      </w:pPr>
      <w:r>
        <w:rPr>
          <w:rFonts w:hint="eastAsia"/>
          <w:sz w:val="30"/>
          <w:szCs w:val="30"/>
        </w:rPr>
        <w:t>We look with hope, not only upon the one Consummation, but also upon every aspect of that Consummation.</w:t>
      </w:r>
    </w:p>
    <w:p w14:paraId="7BF64FD5">
      <w:pPr>
        <w:pStyle w:val="9"/>
        <w:spacing w:before="10"/>
        <w:ind w:left="0"/>
        <w:jc w:val="left"/>
        <w:rPr>
          <w:rFonts w:hint="eastAsia"/>
          <w:sz w:val="30"/>
          <w:szCs w:val="30"/>
        </w:rPr>
      </w:pPr>
      <w:r>
        <w:rPr>
          <w:rFonts w:hint="eastAsia"/>
          <w:sz w:val="30"/>
          <w:szCs w:val="30"/>
        </w:rPr>
        <w:t>我们不仅盼望那一次的最终成全，也盼望那最终成全的每一个方面。</w:t>
      </w:r>
    </w:p>
    <w:p w14:paraId="4ACAEB85">
      <w:pPr>
        <w:pStyle w:val="9"/>
        <w:spacing w:before="10"/>
        <w:ind w:left="0"/>
        <w:jc w:val="left"/>
        <w:rPr>
          <w:rFonts w:hint="eastAsia"/>
          <w:sz w:val="30"/>
          <w:szCs w:val="30"/>
        </w:rPr>
      </w:pPr>
    </w:p>
    <w:p w14:paraId="1B830E81">
      <w:pPr>
        <w:pStyle w:val="9"/>
        <w:spacing w:before="10"/>
        <w:ind w:left="0"/>
        <w:jc w:val="left"/>
        <w:rPr>
          <w:rFonts w:hint="eastAsia"/>
          <w:sz w:val="30"/>
          <w:szCs w:val="30"/>
        </w:rPr>
      </w:pPr>
      <w:r>
        <w:rPr>
          <w:rFonts w:hint="eastAsia"/>
          <w:sz w:val="30"/>
          <w:szCs w:val="30"/>
        </w:rPr>
        <w:t>Thus, we hope to glorify Christ and advance his redemptive plan through God-given steadfastness in the midst of the Greatest Tribulation and the Last Battle (2 Thess. 1).</w:t>
      </w:r>
    </w:p>
    <w:p w14:paraId="6DD9884D">
      <w:pPr>
        <w:pStyle w:val="9"/>
        <w:spacing w:before="10"/>
        <w:ind w:left="0"/>
        <w:jc w:val="left"/>
        <w:rPr>
          <w:rFonts w:hint="eastAsia"/>
          <w:sz w:val="30"/>
          <w:szCs w:val="30"/>
        </w:rPr>
      </w:pPr>
      <w:r>
        <w:rPr>
          <w:rFonts w:hint="eastAsia"/>
          <w:sz w:val="30"/>
          <w:szCs w:val="30"/>
        </w:rPr>
        <w:t>因此，我们盼望在大患难和末日争战中，借着上帝所赐的坚固，荣耀基督，并推进祂的救赎计划（帖后1）。</w:t>
      </w:r>
    </w:p>
    <w:p w14:paraId="59747C0E">
      <w:pPr>
        <w:pStyle w:val="9"/>
        <w:spacing w:before="10"/>
        <w:ind w:left="0"/>
        <w:jc w:val="left"/>
        <w:rPr>
          <w:rFonts w:hint="eastAsia"/>
          <w:sz w:val="30"/>
          <w:szCs w:val="30"/>
        </w:rPr>
      </w:pPr>
    </w:p>
    <w:p w14:paraId="64D33308">
      <w:pPr>
        <w:pStyle w:val="9"/>
        <w:spacing w:before="10"/>
        <w:ind w:left="0"/>
        <w:jc w:val="left"/>
        <w:rPr>
          <w:rFonts w:hint="eastAsia"/>
          <w:sz w:val="30"/>
          <w:szCs w:val="30"/>
        </w:rPr>
      </w:pPr>
      <w:r>
        <w:rPr>
          <w:rFonts w:hint="eastAsia"/>
          <w:sz w:val="30"/>
          <w:szCs w:val="30"/>
        </w:rPr>
        <w:t>We hope to behold his face at his appearing, and so to be changed into his likeness (Rom. 6:5, 1 John 3:2).</w:t>
      </w:r>
    </w:p>
    <w:p w14:paraId="5E1A0B5A">
      <w:pPr>
        <w:pStyle w:val="9"/>
        <w:spacing w:before="10"/>
        <w:ind w:left="0"/>
        <w:jc w:val="left"/>
        <w:rPr>
          <w:rFonts w:hint="eastAsia"/>
          <w:sz w:val="30"/>
          <w:szCs w:val="30"/>
        </w:rPr>
      </w:pPr>
      <w:r>
        <w:rPr>
          <w:rFonts w:hint="eastAsia"/>
          <w:sz w:val="30"/>
          <w:szCs w:val="30"/>
        </w:rPr>
        <w:t>我们盼望在祂显现时得见祂的面，并因此被变成祂的形状（罗6:5，约壹3:2）。</w:t>
      </w:r>
    </w:p>
    <w:p w14:paraId="184302D4">
      <w:pPr>
        <w:pStyle w:val="9"/>
        <w:spacing w:before="10"/>
        <w:ind w:left="0"/>
        <w:jc w:val="left"/>
        <w:rPr>
          <w:rFonts w:hint="eastAsia"/>
          <w:sz w:val="30"/>
          <w:szCs w:val="30"/>
        </w:rPr>
      </w:pPr>
    </w:p>
    <w:p w14:paraId="43B1614B">
      <w:pPr>
        <w:pStyle w:val="9"/>
        <w:spacing w:before="10"/>
        <w:ind w:left="0"/>
        <w:jc w:val="left"/>
        <w:rPr>
          <w:rFonts w:hint="eastAsia"/>
          <w:sz w:val="30"/>
          <w:szCs w:val="30"/>
        </w:rPr>
      </w:pPr>
      <w:r>
        <w:rPr>
          <w:rFonts w:hint="eastAsia"/>
          <w:sz w:val="30"/>
          <w:szCs w:val="30"/>
        </w:rPr>
        <w:t>We hope to see our beloved Master universally vindicated: honored by all men and all angels as the High King of heaven and earth (Phil. 2:5-11).</w:t>
      </w:r>
    </w:p>
    <w:p w14:paraId="47451FCA">
      <w:pPr>
        <w:pStyle w:val="9"/>
        <w:spacing w:before="10"/>
        <w:ind w:left="0"/>
        <w:jc w:val="left"/>
        <w:rPr>
          <w:rFonts w:hint="eastAsia"/>
          <w:sz w:val="30"/>
          <w:szCs w:val="30"/>
        </w:rPr>
      </w:pPr>
      <w:r>
        <w:rPr>
          <w:rFonts w:hint="eastAsia"/>
          <w:sz w:val="30"/>
          <w:szCs w:val="30"/>
        </w:rPr>
        <w:t>我们盼望看见我们挚爱的主普世性地得平反：被所有人和所有天使尊荣为天地至高的君王（腓2:5-11）。</w:t>
      </w:r>
    </w:p>
    <w:p w14:paraId="45F23B19">
      <w:pPr>
        <w:pStyle w:val="9"/>
        <w:spacing w:before="10"/>
        <w:ind w:left="0"/>
        <w:jc w:val="left"/>
        <w:rPr>
          <w:rFonts w:hint="eastAsia"/>
          <w:sz w:val="30"/>
          <w:szCs w:val="30"/>
        </w:rPr>
      </w:pPr>
    </w:p>
    <w:p w14:paraId="6D9EC393">
      <w:pPr>
        <w:pStyle w:val="9"/>
        <w:spacing w:before="10"/>
        <w:ind w:left="0"/>
        <w:jc w:val="left"/>
        <w:rPr>
          <w:rFonts w:hint="eastAsia"/>
          <w:sz w:val="30"/>
          <w:szCs w:val="30"/>
        </w:rPr>
      </w:pPr>
      <w:r>
        <w:rPr>
          <w:rFonts w:hint="eastAsia"/>
          <w:sz w:val="30"/>
          <w:szCs w:val="30"/>
        </w:rPr>
        <w:t>We hope for perfect spiritual and physical wholeness, bestowed upon us at the Resurrection of the Dead (1 Cor. 15, Col. 3:4).</w:t>
      </w:r>
    </w:p>
    <w:p w14:paraId="2446AFB1">
      <w:pPr>
        <w:pStyle w:val="9"/>
        <w:spacing w:before="10"/>
        <w:ind w:left="0"/>
        <w:jc w:val="left"/>
        <w:rPr>
          <w:rFonts w:hint="eastAsia"/>
          <w:sz w:val="30"/>
          <w:szCs w:val="30"/>
        </w:rPr>
      </w:pPr>
      <w:r>
        <w:rPr>
          <w:rFonts w:hint="eastAsia"/>
          <w:sz w:val="30"/>
          <w:szCs w:val="30"/>
        </w:rPr>
        <w:t>我们盼望在死人复活时，被赐予完全的属灵和属肉体的完整（林前15，西3:4）。</w:t>
      </w:r>
    </w:p>
    <w:p w14:paraId="1373ECB3">
      <w:pPr>
        <w:pStyle w:val="9"/>
        <w:spacing w:before="10"/>
        <w:ind w:left="0"/>
        <w:jc w:val="left"/>
        <w:rPr>
          <w:rFonts w:hint="eastAsia"/>
          <w:sz w:val="30"/>
          <w:szCs w:val="30"/>
        </w:rPr>
      </w:pPr>
    </w:p>
    <w:p w14:paraId="50843722">
      <w:pPr>
        <w:pStyle w:val="9"/>
        <w:spacing w:before="10"/>
        <w:ind w:left="0"/>
        <w:jc w:val="left"/>
        <w:rPr>
          <w:rFonts w:hint="eastAsia"/>
          <w:sz w:val="30"/>
          <w:szCs w:val="30"/>
        </w:rPr>
      </w:pPr>
      <w:r>
        <w:rPr>
          <w:rFonts w:hint="eastAsia"/>
          <w:sz w:val="30"/>
          <w:szCs w:val="30"/>
        </w:rPr>
        <w:t>We hope for a joyful reunion with departed believing loved ones, as we meet the Lord together in the air (1 Thess. 4:13-18).</w:t>
      </w:r>
    </w:p>
    <w:p w14:paraId="0D106E9E">
      <w:pPr>
        <w:pStyle w:val="9"/>
        <w:spacing w:before="10"/>
        <w:ind w:left="0"/>
        <w:jc w:val="left"/>
        <w:rPr>
          <w:rFonts w:hint="eastAsia"/>
          <w:sz w:val="30"/>
          <w:szCs w:val="30"/>
        </w:rPr>
      </w:pPr>
      <w:r>
        <w:rPr>
          <w:rFonts w:hint="eastAsia"/>
          <w:sz w:val="30"/>
          <w:szCs w:val="30"/>
        </w:rPr>
        <w:t>我们盼望与已故的信主亲人喜乐地重逢，当我们在空中与主相遇时（帖前4:13-18）。</w:t>
      </w:r>
    </w:p>
    <w:p w14:paraId="54A8E408">
      <w:pPr>
        <w:pStyle w:val="9"/>
        <w:spacing w:before="10"/>
        <w:ind w:left="0"/>
        <w:jc w:val="left"/>
        <w:rPr>
          <w:rFonts w:hint="eastAsia"/>
          <w:sz w:val="30"/>
          <w:szCs w:val="30"/>
        </w:rPr>
      </w:pPr>
    </w:p>
    <w:p w14:paraId="2A098260">
      <w:pPr>
        <w:pStyle w:val="9"/>
        <w:spacing w:before="10"/>
        <w:ind w:left="0"/>
        <w:jc w:val="left"/>
        <w:rPr>
          <w:rFonts w:hint="eastAsia"/>
          <w:sz w:val="30"/>
          <w:szCs w:val="30"/>
        </w:rPr>
      </w:pPr>
      <w:r>
        <w:rPr>
          <w:rFonts w:hint="eastAsia"/>
          <w:sz w:val="30"/>
          <w:szCs w:val="30"/>
        </w:rPr>
        <w:t>We hope to see the Holy and Righteous Judge turn a morally upside down world right side up (Mt. 25:41, Rom. 2:1-10).</w:t>
      </w:r>
    </w:p>
    <w:p w14:paraId="75EB6D7C">
      <w:pPr>
        <w:pStyle w:val="9"/>
        <w:spacing w:before="10"/>
        <w:ind w:left="0"/>
        <w:jc w:val="left"/>
        <w:rPr>
          <w:rFonts w:hint="eastAsia"/>
          <w:sz w:val="30"/>
          <w:szCs w:val="30"/>
        </w:rPr>
      </w:pPr>
      <w:r>
        <w:rPr>
          <w:rFonts w:hint="eastAsia"/>
          <w:sz w:val="30"/>
          <w:szCs w:val="30"/>
        </w:rPr>
        <w:t>我们盼望看见圣洁公义的审判主将一个道德颠倒的世界拨乱反正（太25:41，罗2:1-10）。</w:t>
      </w:r>
    </w:p>
    <w:p w14:paraId="153730D7">
      <w:pPr>
        <w:pStyle w:val="9"/>
        <w:spacing w:before="10"/>
        <w:ind w:left="0"/>
        <w:jc w:val="left"/>
        <w:rPr>
          <w:rFonts w:hint="eastAsia"/>
          <w:sz w:val="30"/>
          <w:szCs w:val="30"/>
        </w:rPr>
      </w:pPr>
    </w:p>
    <w:p w14:paraId="063B7065">
      <w:pPr>
        <w:pStyle w:val="9"/>
        <w:spacing w:before="10"/>
        <w:ind w:left="0"/>
        <w:jc w:val="left"/>
        <w:rPr>
          <w:rFonts w:hint="eastAsia"/>
          <w:sz w:val="30"/>
          <w:szCs w:val="30"/>
        </w:rPr>
      </w:pPr>
      <w:r>
        <w:rPr>
          <w:rFonts w:hint="eastAsia"/>
          <w:sz w:val="30"/>
          <w:szCs w:val="30"/>
        </w:rPr>
        <w:t>We hope to hear the merciful and gracious Judge commend us for lives well lived and works well done (Mt. 25:21).</w:t>
      </w:r>
    </w:p>
    <w:p w14:paraId="4E51FE9A">
      <w:pPr>
        <w:pStyle w:val="9"/>
        <w:spacing w:before="10"/>
        <w:ind w:left="0"/>
        <w:jc w:val="left"/>
        <w:rPr>
          <w:rFonts w:hint="eastAsia"/>
          <w:sz w:val="30"/>
          <w:szCs w:val="30"/>
        </w:rPr>
      </w:pPr>
      <w:r>
        <w:rPr>
          <w:rFonts w:hint="eastAsia"/>
          <w:sz w:val="30"/>
          <w:szCs w:val="30"/>
        </w:rPr>
        <w:t>我们盼望听到慈悲恩典的审判主，为我们活得好、作得好的生活和工作称赞我们（太25:21）。</w:t>
      </w:r>
    </w:p>
    <w:p w14:paraId="7CA6D248">
      <w:pPr>
        <w:pStyle w:val="9"/>
        <w:spacing w:before="10"/>
        <w:ind w:left="0"/>
        <w:jc w:val="left"/>
        <w:rPr>
          <w:rFonts w:hint="eastAsia"/>
          <w:sz w:val="30"/>
          <w:szCs w:val="30"/>
        </w:rPr>
      </w:pPr>
    </w:p>
    <w:p w14:paraId="21DEFC43">
      <w:pPr>
        <w:pStyle w:val="9"/>
        <w:spacing w:before="10"/>
        <w:ind w:left="0"/>
        <w:jc w:val="left"/>
        <w:rPr>
          <w:rFonts w:hint="eastAsia"/>
          <w:sz w:val="30"/>
          <w:szCs w:val="30"/>
        </w:rPr>
      </w:pPr>
      <w:r>
        <w:rPr>
          <w:rFonts w:hint="eastAsia"/>
          <w:sz w:val="30"/>
          <w:szCs w:val="30"/>
        </w:rPr>
        <w:t>We hope to see the realm of nature purified of every vestige of sin, and a beautiful new world springing up out of the ashes of the old (2 Peter 3:10- 13).</w:t>
      </w:r>
    </w:p>
    <w:p w14:paraId="429CC8D2">
      <w:pPr>
        <w:pStyle w:val="9"/>
        <w:spacing w:before="10"/>
        <w:ind w:left="0"/>
        <w:jc w:val="left"/>
        <w:rPr>
          <w:rFonts w:hint="eastAsia"/>
          <w:sz w:val="30"/>
          <w:szCs w:val="30"/>
        </w:rPr>
      </w:pPr>
      <w:r>
        <w:rPr>
          <w:rFonts w:hint="eastAsia"/>
          <w:sz w:val="30"/>
          <w:szCs w:val="30"/>
        </w:rPr>
        <w:t>我们盼望看到自然界被洁净，除去每一丝罪的痕迹，一个美丽的新世界从旧世界的灰烬中兴起（彼得后书3:10-13）。</w:t>
      </w:r>
    </w:p>
    <w:p w14:paraId="144585B3">
      <w:pPr>
        <w:pStyle w:val="9"/>
        <w:spacing w:before="10"/>
        <w:ind w:left="0"/>
        <w:jc w:val="left"/>
        <w:rPr>
          <w:rFonts w:hint="eastAsia"/>
          <w:sz w:val="30"/>
          <w:szCs w:val="30"/>
        </w:rPr>
      </w:pPr>
    </w:p>
    <w:p w14:paraId="20D086D9">
      <w:pPr>
        <w:pStyle w:val="9"/>
        <w:spacing w:before="10"/>
        <w:ind w:left="0"/>
        <w:jc w:val="left"/>
        <w:rPr>
          <w:rFonts w:hint="eastAsia"/>
          <w:sz w:val="30"/>
          <w:szCs w:val="30"/>
        </w:rPr>
      </w:pPr>
      <w:r>
        <w:rPr>
          <w:rFonts w:hint="eastAsia"/>
          <w:sz w:val="30"/>
          <w:szCs w:val="30"/>
        </w:rPr>
        <w:t>And in that world, we hope to know, serve, worship, and enjoy our triune God forever (Rev. 21:9f).</w:t>
      </w:r>
    </w:p>
    <w:p w14:paraId="7307F445">
      <w:pPr>
        <w:pStyle w:val="9"/>
        <w:spacing w:before="10"/>
        <w:ind w:left="0"/>
        <w:jc w:val="left"/>
        <w:rPr>
          <w:rFonts w:hint="eastAsia"/>
          <w:sz w:val="30"/>
          <w:szCs w:val="30"/>
        </w:rPr>
      </w:pPr>
      <w:r>
        <w:rPr>
          <w:rFonts w:hint="eastAsia"/>
          <w:sz w:val="30"/>
          <w:szCs w:val="30"/>
        </w:rPr>
        <w:t>在那个世界里，我们盼望永远认识、事奉、敬拜和享受我们三一的上帝（启21:9及以下）。</w:t>
      </w:r>
    </w:p>
    <w:p w14:paraId="5D582838">
      <w:pPr>
        <w:pStyle w:val="9"/>
        <w:spacing w:before="10"/>
        <w:ind w:left="0"/>
        <w:jc w:val="left"/>
        <w:rPr>
          <w:rFonts w:hint="eastAsia"/>
          <w:sz w:val="30"/>
          <w:szCs w:val="30"/>
        </w:rPr>
      </w:pPr>
    </w:p>
    <w:p w14:paraId="516D5061">
      <w:pPr>
        <w:pStyle w:val="9"/>
        <w:spacing w:before="10"/>
        <w:ind w:left="0"/>
        <w:jc w:val="left"/>
        <w:rPr>
          <w:rFonts w:hint="eastAsia"/>
          <w:sz w:val="30"/>
          <w:szCs w:val="30"/>
        </w:rPr>
      </w:pPr>
      <w:r>
        <w:rPr>
          <w:rFonts w:hint="eastAsia"/>
          <w:sz w:val="30"/>
          <w:szCs w:val="30"/>
        </w:rPr>
        <w:t>Such is the Blessed Hope.</w:t>
      </w:r>
    </w:p>
    <w:p w14:paraId="05738C29">
      <w:pPr>
        <w:pStyle w:val="9"/>
        <w:spacing w:before="10"/>
        <w:ind w:left="0"/>
        <w:jc w:val="left"/>
        <w:rPr>
          <w:rFonts w:hint="eastAsia"/>
          <w:sz w:val="30"/>
          <w:szCs w:val="30"/>
        </w:rPr>
      </w:pPr>
      <w:r>
        <w:rPr>
          <w:rFonts w:hint="eastAsia"/>
          <w:sz w:val="30"/>
          <w:szCs w:val="30"/>
        </w:rPr>
        <w:t>这就是有福的盼望。</w:t>
      </w:r>
    </w:p>
    <w:p w14:paraId="12A060B8">
      <w:pPr>
        <w:pStyle w:val="9"/>
        <w:spacing w:before="10"/>
        <w:ind w:left="0"/>
        <w:jc w:val="left"/>
        <w:rPr>
          <w:rFonts w:hint="eastAsia"/>
          <w:sz w:val="30"/>
          <w:szCs w:val="30"/>
        </w:rPr>
      </w:pPr>
    </w:p>
    <w:p w14:paraId="261E0A56">
      <w:pPr>
        <w:pStyle w:val="9"/>
        <w:spacing w:before="10"/>
        <w:ind w:left="0"/>
        <w:jc w:val="left"/>
        <w:rPr>
          <w:rFonts w:hint="eastAsia"/>
          <w:sz w:val="30"/>
          <w:szCs w:val="30"/>
        </w:rPr>
      </w:pPr>
      <w:r>
        <w:rPr>
          <w:rFonts w:hint="eastAsia"/>
          <w:sz w:val="30"/>
          <w:szCs w:val="30"/>
        </w:rPr>
        <w:t>Such is the eschatological Pearl of Great Price.</w:t>
      </w:r>
    </w:p>
    <w:p w14:paraId="321E64C6">
      <w:pPr>
        <w:pStyle w:val="9"/>
        <w:spacing w:before="10"/>
        <w:ind w:left="0"/>
        <w:jc w:val="left"/>
        <w:rPr>
          <w:rFonts w:hint="eastAsia"/>
          <w:sz w:val="30"/>
          <w:szCs w:val="30"/>
        </w:rPr>
      </w:pPr>
      <w:r>
        <w:rPr>
          <w:rFonts w:hint="eastAsia"/>
          <w:sz w:val="30"/>
          <w:szCs w:val="30"/>
        </w:rPr>
        <w:t>这就是那末世论的重价珍珠。</w:t>
      </w:r>
    </w:p>
    <w:p w14:paraId="40440013">
      <w:pPr>
        <w:pStyle w:val="9"/>
        <w:spacing w:before="10"/>
        <w:ind w:left="0"/>
        <w:jc w:val="left"/>
        <w:rPr>
          <w:rFonts w:hint="eastAsia"/>
          <w:sz w:val="30"/>
          <w:szCs w:val="30"/>
        </w:rPr>
      </w:pPr>
    </w:p>
    <w:p w14:paraId="5BF7F624">
      <w:pPr>
        <w:pStyle w:val="9"/>
        <w:spacing w:before="10"/>
        <w:ind w:left="0"/>
        <w:jc w:val="left"/>
        <w:rPr>
          <w:rFonts w:hint="eastAsia"/>
          <w:sz w:val="30"/>
          <w:szCs w:val="30"/>
        </w:rPr>
      </w:pPr>
      <w:r>
        <w:rPr>
          <w:rFonts w:hint="eastAsia"/>
          <w:sz w:val="30"/>
          <w:szCs w:val="30"/>
        </w:rPr>
        <w:t>Such is the Hidden Treasure, formerly locked away in the storeroom of Scripture, but now opened to our wondering eyes by the High King of Heaven, who so graciously places within our trembling hands the Master Keys to the Great End Time Debate.</w:t>
      </w:r>
    </w:p>
    <w:p w14:paraId="431A611F">
      <w:pPr>
        <w:pStyle w:val="9"/>
        <w:spacing w:before="10"/>
        <w:ind w:left="0"/>
        <w:jc w:val="left"/>
        <w:rPr>
          <w:sz w:val="30"/>
          <w:szCs w:val="30"/>
        </w:rPr>
      </w:pPr>
      <w:r>
        <w:rPr>
          <w:rFonts w:hint="eastAsia"/>
          <w:sz w:val="30"/>
          <w:szCs w:val="30"/>
        </w:rPr>
        <w:t>这就是那隐藏的财宝，曾被锁在圣经的库房里，但如今被天上的至高君王向我们惊奇的眼睛开启，祂如此恩慈地将那解决末世大辩论的主钥匙放在我们颤抖的手中。</w:t>
      </w:r>
    </w:p>
    <w:p w14:paraId="1A2C9B53">
      <w:pPr>
        <w:pStyle w:val="9"/>
        <w:spacing w:after="0" w:line="249" w:lineRule="auto"/>
        <w:sectPr>
          <w:pgSz w:w="12240" w:h="15840"/>
          <w:pgMar w:top="1380" w:right="1440" w:bottom="280" w:left="1440" w:header="720" w:footer="720" w:gutter="0"/>
          <w:cols w:space="720" w:num="1"/>
        </w:sectPr>
      </w:pPr>
    </w:p>
    <w:p w14:paraId="10DFD586">
      <w:pPr>
        <w:pStyle w:val="9"/>
        <w:spacing w:before="10"/>
        <w:ind w:left="0"/>
        <w:jc w:val="left"/>
        <w:rPr>
          <w:sz w:val="16"/>
        </w:rPr>
      </w:pPr>
      <w:bookmarkStart w:id="65" w:name="_bookmark190"/>
      <w:bookmarkEnd w:id="65"/>
      <w:bookmarkStart w:id="66" w:name="Epilogue: Amillennialism: An Eschatology"/>
      <w:bookmarkEnd w:id="66"/>
    </w:p>
    <w:p w14:paraId="2BB65C06">
      <w:pPr>
        <w:pStyle w:val="2"/>
        <w:bidi w:val="0"/>
        <w:rPr>
          <w:rFonts w:hint="eastAsia"/>
        </w:rPr>
      </w:pPr>
      <w:r>
        <w:rPr>
          <w:rFonts w:hint="eastAsia"/>
        </w:rPr>
        <w:t>Epilogue</w:t>
      </w:r>
    </w:p>
    <w:p w14:paraId="60281E6F">
      <w:pPr>
        <w:pStyle w:val="2"/>
        <w:bidi w:val="0"/>
        <w:rPr>
          <w:rFonts w:hint="eastAsia"/>
        </w:rPr>
      </w:pPr>
      <w:r>
        <w:rPr>
          <w:rFonts w:hint="eastAsia"/>
        </w:rPr>
        <w:t>尾声</w:t>
      </w:r>
    </w:p>
    <w:p w14:paraId="61E8E468">
      <w:pPr>
        <w:pStyle w:val="9"/>
        <w:spacing w:after="0" w:line="249" w:lineRule="auto"/>
        <w:rPr>
          <w:rFonts w:hint="eastAsia"/>
        </w:rPr>
      </w:pPr>
    </w:p>
    <w:p w14:paraId="3A386A05">
      <w:pPr>
        <w:pStyle w:val="9"/>
        <w:spacing w:after="0" w:line="249" w:lineRule="auto"/>
        <w:rPr>
          <w:rFonts w:hint="eastAsia"/>
        </w:rPr>
      </w:pPr>
      <w:r>
        <w:rPr>
          <w:rFonts w:hint="eastAsia"/>
        </w:rPr>
        <w:t>Amillennialism: An Eschatology for These Last Days</w:t>
      </w:r>
    </w:p>
    <w:p w14:paraId="437FF98B">
      <w:pPr>
        <w:pStyle w:val="9"/>
        <w:spacing w:after="0" w:line="249" w:lineRule="auto"/>
        <w:rPr>
          <w:rFonts w:hint="eastAsia"/>
        </w:rPr>
      </w:pPr>
      <w:r>
        <w:rPr>
          <w:rFonts w:hint="eastAsia"/>
        </w:rPr>
        <w:t>无千禧年论：为这末世预备的末世论</w:t>
      </w:r>
    </w:p>
    <w:p w14:paraId="3BC38512">
      <w:pPr>
        <w:pStyle w:val="9"/>
        <w:spacing w:after="0" w:line="249" w:lineRule="auto"/>
        <w:rPr>
          <w:rFonts w:hint="eastAsia"/>
        </w:rPr>
      </w:pPr>
    </w:p>
    <w:p w14:paraId="1906FEE8">
      <w:pPr>
        <w:pStyle w:val="9"/>
        <w:spacing w:after="0" w:line="249" w:lineRule="auto"/>
        <w:rPr>
          <w:rFonts w:hint="eastAsia"/>
        </w:rPr>
      </w:pPr>
      <w:r>
        <w:rPr>
          <w:rFonts w:hint="eastAsia"/>
        </w:rPr>
        <w:t>ARE WE LIVING in “the last days”?</w:t>
      </w:r>
    </w:p>
    <w:p w14:paraId="08DC5662">
      <w:pPr>
        <w:pStyle w:val="9"/>
        <w:spacing w:after="0" w:line="249" w:lineRule="auto"/>
        <w:rPr>
          <w:rFonts w:hint="eastAsia"/>
        </w:rPr>
      </w:pPr>
      <w:r>
        <w:rPr>
          <w:rFonts w:hint="eastAsia"/>
        </w:rPr>
        <w:t>我们正活在“末世”吗？</w:t>
      </w:r>
    </w:p>
    <w:p w14:paraId="3373EFC0">
      <w:pPr>
        <w:pStyle w:val="9"/>
        <w:spacing w:after="0" w:line="249" w:lineRule="auto"/>
        <w:rPr>
          <w:rFonts w:hint="eastAsia"/>
        </w:rPr>
      </w:pPr>
    </w:p>
    <w:p w14:paraId="03DF9658">
      <w:pPr>
        <w:pStyle w:val="9"/>
        <w:spacing w:after="0" w:line="249" w:lineRule="auto"/>
        <w:rPr>
          <w:rFonts w:hint="eastAsia"/>
        </w:rPr>
      </w:pPr>
      <w:r>
        <w:rPr>
          <w:rFonts w:hint="eastAsia"/>
        </w:rPr>
        <w:t>If you’ve read this book, you know my answer: Yes, I know we are, for the Bible says we have been ever since the Son of God came into the world to purchase our redemption (Heb. 1:1-2).</w:t>
      </w:r>
    </w:p>
    <w:p w14:paraId="334AEFF3">
      <w:pPr>
        <w:pStyle w:val="9"/>
        <w:spacing w:after="0" w:line="249" w:lineRule="auto"/>
        <w:rPr>
          <w:rFonts w:hint="eastAsia"/>
        </w:rPr>
      </w:pPr>
      <w:r>
        <w:rPr>
          <w:rFonts w:hint="eastAsia"/>
        </w:rPr>
        <w:t>如果你读了这本书，你就会知道我的答案：是的，我知道我们是，因为圣经说，自从神的儿子来到世上为我们买赎救恩以来，我们一直都处在末世（来1:1-2）。</w:t>
      </w:r>
    </w:p>
    <w:p w14:paraId="0BB39FEA">
      <w:pPr>
        <w:pStyle w:val="9"/>
        <w:spacing w:after="0" w:line="249" w:lineRule="auto"/>
        <w:rPr>
          <w:rFonts w:hint="eastAsia"/>
        </w:rPr>
      </w:pPr>
    </w:p>
    <w:p w14:paraId="0CA9DD13">
      <w:pPr>
        <w:pStyle w:val="9"/>
        <w:spacing w:after="0" w:line="249" w:lineRule="auto"/>
        <w:rPr>
          <w:rFonts w:hint="eastAsia"/>
        </w:rPr>
      </w:pPr>
      <w:r>
        <w:rPr>
          <w:rFonts w:hint="eastAsia"/>
        </w:rPr>
        <w:t>But are we living in “the last of the last days?”</w:t>
      </w:r>
    </w:p>
    <w:p w14:paraId="118E70B3">
      <w:pPr>
        <w:pStyle w:val="9"/>
        <w:spacing w:after="0" w:line="249" w:lineRule="auto"/>
        <w:rPr>
          <w:rFonts w:hint="eastAsia"/>
        </w:rPr>
      </w:pPr>
      <w:r>
        <w:rPr>
          <w:rFonts w:hint="eastAsia"/>
        </w:rPr>
        <w:t>但我们是活在“末世中的末了”吗？</w:t>
      </w:r>
    </w:p>
    <w:p w14:paraId="4B9C3DD3">
      <w:pPr>
        <w:pStyle w:val="9"/>
        <w:spacing w:after="0" w:line="249" w:lineRule="auto"/>
        <w:rPr>
          <w:rFonts w:hint="eastAsia"/>
        </w:rPr>
      </w:pPr>
    </w:p>
    <w:p w14:paraId="6151AE0F">
      <w:pPr>
        <w:pStyle w:val="9"/>
        <w:spacing w:after="0" w:line="249" w:lineRule="auto"/>
        <w:rPr>
          <w:rFonts w:hint="eastAsia"/>
        </w:rPr>
      </w:pPr>
      <w:r>
        <w:rPr>
          <w:rFonts w:hint="eastAsia"/>
        </w:rPr>
        <w:t>Are we closing in on the final scenes of cosmic history, the Parousia, the Consummation, and eternal life in the World to Come?</w:t>
      </w:r>
    </w:p>
    <w:p w14:paraId="0810A236">
      <w:pPr>
        <w:pStyle w:val="9"/>
        <w:spacing w:after="0" w:line="249" w:lineRule="auto"/>
        <w:rPr>
          <w:rFonts w:hint="eastAsia"/>
        </w:rPr>
      </w:pPr>
      <w:r>
        <w:rPr>
          <w:rFonts w:hint="eastAsia"/>
        </w:rPr>
        <w:t>我们是否正在接近宇宙历史的终末场景、主的再来（Parousia）、万物的结局（Consummation）以及在来世的永生？</w:t>
      </w:r>
    </w:p>
    <w:p w14:paraId="4B48C55F">
      <w:pPr>
        <w:pStyle w:val="9"/>
        <w:spacing w:after="0" w:line="249" w:lineRule="auto"/>
        <w:rPr>
          <w:rFonts w:hint="eastAsia"/>
        </w:rPr>
      </w:pPr>
    </w:p>
    <w:p w14:paraId="1B42D2A3">
      <w:pPr>
        <w:pStyle w:val="9"/>
        <w:spacing w:after="0" w:line="249" w:lineRule="auto"/>
        <w:rPr>
          <w:rFonts w:hint="eastAsia"/>
        </w:rPr>
      </w:pPr>
      <w:r>
        <w:rPr>
          <w:rFonts w:hint="eastAsia"/>
        </w:rPr>
        <w:t>If you’ve read this book, you suspect my answer: Yes, I think we are; and I have written this epilogue to explain why.</w:t>
      </w:r>
    </w:p>
    <w:p w14:paraId="7D28646D">
      <w:pPr>
        <w:pStyle w:val="9"/>
        <w:spacing w:after="0" w:line="249" w:lineRule="auto"/>
        <w:rPr>
          <w:rFonts w:hint="eastAsia"/>
        </w:rPr>
      </w:pPr>
      <w:r>
        <w:rPr>
          <w:rFonts w:hint="eastAsia"/>
        </w:rPr>
        <w:t>如果你读了这本书，你会猜到我的答案：是的，我认为我们是；我写这篇尾声就是为了解释原因。</w:t>
      </w:r>
    </w:p>
    <w:p w14:paraId="2403D453">
      <w:pPr>
        <w:pStyle w:val="9"/>
        <w:spacing w:after="0" w:line="249" w:lineRule="auto"/>
        <w:rPr>
          <w:rFonts w:hint="eastAsia"/>
        </w:rPr>
      </w:pPr>
    </w:p>
    <w:p w14:paraId="0F66AD11">
      <w:pPr>
        <w:pStyle w:val="9"/>
        <w:spacing w:after="0" w:line="249" w:lineRule="auto"/>
        <w:rPr>
          <w:rFonts w:hint="eastAsia"/>
        </w:rPr>
      </w:pPr>
      <w:r>
        <w:rPr>
          <w:rFonts w:hint="eastAsia"/>
        </w:rPr>
        <w:t>For two millennia, the Church has experienced what Jesus referred to as the beginning of birth pangs: wars, rumors of war, famines, earthquakes, pestilence, the deceptive teaching of false christs and false prophets, and the ebb and flow of persecution.</w:t>
      </w:r>
    </w:p>
    <w:p w14:paraId="4588C204">
      <w:pPr>
        <w:pStyle w:val="9"/>
        <w:spacing w:after="0" w:line="249" w:lineRule="auto"/>
        <w:rPr>
          <w:rFonts w:hint="eastAsia"/>
        </w:rPr>
      </w:pPr>
      <w:r>
        <w:rPr>
          <w:rFonts w:hint="eastAsia"/>
        </w:rPr>
        <w:t>两千年来，教会经历了耶稣所说的产难的起头：战争、战争的风声、饥荒、地震、瘟疫、假基督和假先知的迷惑性教导，以及逼迫的潮起潮落。</w:t>
      </w:r>
    </w:p>
    <w:p w14:paraId="6F226268">
      <w:pPr>
        <w:pStyle w:val="9"/>
        <w:spacing w:after="0" w:line="249" w:lineRule="auto"/>
        <w:rPr>
          <w:rFonts w:hint="eastAsia"/>
        </w:rPr>
      </w:pPr>
    </w:p>
    <w:p w14:paraId="74BBE8B1">
      <w:pPr>
        <w:pStyle w:val="9"/>
        <w:spacing w:after="0" w:line="249" w:lineRule="auto"/>
        <w:rPr>
          <w:rFonts w:hint="eastAsia"/>
        </w:rPr>
      </w:pPr>
      <w:r>
        <w:rPr>
          <w:rFonts w:hint="eastAsia"/>
        </w:rPr>
        <w:t>All of this has been part and parcel of the Great Tribulation, out of which God has been faithfully rescuing his elect for generations, placing them savingly in his Beloved Son.</w:t>
      </w:r>
    </w:p>
    <w:p w14:paraId="16CBDE07">
      <w:pPr>
        <w:pStyle w:val="9"/>
        <w:spacing w:after="0" w:line="249" w:lineRule="auto"/>
        <w:rPr>
          <w:rFonts w:hint="eastAsia"/>
        </w:rPr>
      </w:pPr>
      <w:r>
        <w:rPr>
          <w:rFonts w:hint="eastAsia"/>
        </w:rPr>
        <w:t>所有这一切都是大灾难的一部分，世世代代以来，神一直信实地从中拯救祂的选民，将他们安稳地放在祂爱子里面。</w:t>
      </w:r>
    </w:p>
    <w:p w14:paraId="0225F8E6">
      <w:pPr>
        <w:pStyle w:val="9"/>
        <w:spacing w:after="0" w:line="249" w:lineRule="auto"/>
        <w:rPr>
          <w:rFonts w:hint="eastAsia"/>
        </w:rPr>
      </w:pPr>
    </w:p>
    <w:p w14:paraId="4456A904">
      <w:pPr>
        <w:pStyle w:val="9"/>
        <w:spacing w:after="0" w:line="249" w:lineRule="auto"/>
        <w:rPr>
          <w:rFonts w:hint="eastAsia"/>
        </w:rPr>
      </w:pPr>
      <w:r>
        <w:rPr>
          <w:rFonts w:hint="eastAsia"/>
        </w:rPr>
        <w:t>Today, however, the universal Church is witnessing a notable intensification of those birth pangs.</w:t>
      </w:r>
    </w:p>
    <w:p w14:paraId="1AF5AAD7">
      <w:pPr>
        <w:pStyle w:val="9"/>
        <w:spacing w:after="0" w:line="249" w:lineRule="auto"/>
        <w:rPr>
          <w:rFonts w:hint="eastAsia"/>
        </w:rPr>
      </w:pPr>
      <w:r>
        <w:rPr>
          <w:rFonts w:hint="eastAsia"/>
        </w:rPr>
        <w:t>然而，今天，普世教会正见证着那些产难的显著加剧。</w:t>
      </w:r>
    </w:p>
    <w:p w14:paraId="2E3215B7">
      <w:pPr>
        <w:pStyle w:val="9"/>
        <w:spacing w:after="0" w:line="249" w:lineRule="auto"/>
        <w:rPr>
          <w:rFonts w:hint="eastAsia"/>
        </w:rPr>
      </w:pPr>
    </w:p>
    <w:p w14:paraId="18319E85">
      <w:pPr>
        <w:pStyle w:val="9"/>
        <w:spacing w:after="0" w:line="249" w:lineRule="auto"/>
        <w:rPr>
          <w:rFonts w:hint="eastAsia"/>
        </w:rPr>
      </w:pPr>
      <w:r>
        <w:rPr>
          <w:rFonts w:hint="eastAsia"/>
        </w:rPr>
        <w:t>While revival fires burn here and there, much of Christendom is in collapse.</w:t>
      </w:r>
    </w:p>
    <w:p w14:paraId="71747770">
      <w:pPr>
        <w:pStyle w:val="9"/>
        <w:spacing w:after="0" w:line="249" w:lineRule="auto"/>
        <w:rPr>
          <w:rFonts w:hint="eastAsia"/>
        </w:rPr>
      </w:pPr>
      <w:r>
        <w:rPr>
          <w:rFonts w:hint="eastAsia"/>
        </w:rPr>
        <w:t>虽然复兴的火焰零星地在各处燃烧，但基督教世界的大部分地区正处于崩溃之中。</w:t>
      </w:r>
    </w:p>
    <w:p w14:paraId="527D0DCC">
      <w:pPr>
        <w:pStyle w:val="9"/>
        <w:spacing w:after="0" w:line="249" w:lineRule="auto"/>
        <w:rPr>
          <w:rFonts w:hint="eastAsia"/>
        </w:rPr>
      </w:pPr>
    </w:p>
    <w:p w14:paraId="7967B5C3">
      <w:pPr>
        <w:pStyle w:val="9"/>
        <w:spacing w:after="0" w:line="249" w:lineRule="auto"/>
        <w:rPr>
          <w:rFonts w:hint="eastAsia"/>
        </w:rPr>
      </w:pPr>
      <w:r>
        <w:rPr>
          <w:rFonts w:hint="eastAsia"/>
        </w:rPr>
        <w:t>European churches stand empty.</w:t>
      </w:r>
    </w:p>
    <w:p w14:paraId="6794FE14">
      <w:pPr>
        <w:pStyle w:val="9"/>
        <w:spacing w:after="0" w:line="249" w:lineRule="auto"/>
        <w:rPr>
          <w:rFonts w:hint="eastAsia"/>
        </w:rPr>
      </w:pPr>
      <w:r>
        <w:rPr>
          <w:rFonts w:hint="eastAsia"/>
        </w:rPr>
        <w:t>欧洲的教堂空无一人。</w:t>
      </w:r>
    </w:p>
    <w:p w14:paraId="2CE6BBC0">
      <w:pPr>
        <w:pStyle w:val="9"/>
        <w:spacing w:after="0" w:line="249" w:lineRule="auto"/>
        <w:rPr>
          <w:rFonts w:hint="eastAsia"/>
        </w:rPr>
      </w:pPr>
    </w:p>
    <w:p w14:paraId="639ADA85">
      <w:pPr>
        <w:pStyle w:val="9"/>
        <w:spacing w:after="0" w:line="249" w:lineRule="auto"/>
        <w:rPr>
          <w:rFonts w:hint="eastAsia"/>
        </w:rPr>
      </w:pPr>
      <w:r>
        <w:rPr>
          <w:rFonts w:hint="eastAsia"/>
        </w:rPr>
        <w:t>Whole denominations, rich with Christian history and culture, slide into compromise and apostasy.</w:t>
      </w:r>
    </w:p>
    <w:p w14:paraId="6D692B58">
      <w:pPr>
        <w:pStyle w:val="9"/>
        <w:spacing w:after="0" w:line="249" w:lineRule="auto"/>
        <w:rPr>
          <w:rFonts w:hint="eastAsia"/>
        </w:rPr>
      </w:pPr>
      <w:r>
        <w:rPr>
          <w:rFonts w:hint="eastAsia"/>
        </w:rPr>
        <w:t>拥有丰富基督教历史和文化的整个宗派，都滑向了妥协和背道。</w:t>
      </w:r>
    </w:p>
    <w:p w14:paraId="0C1FAFF1">
      <w:pPr>
        <w:pStyle w:val="9"/>
        <w:spacing w:after="0" w:line="249" w:lineRule="auto"/>
        <w:rPr>
          <w:rFonts w:hint="eastAsia"/>
        </w:rPr>
      </w:pPr>
    </w:p>
    <w:p w14:paraId="368E23C7">
      <w:pPr>
        <w:pStyle w:val="9"/>
        <w:spacing w:after="0" w:line="249" w:lineRule="auto"/>
        <w:rPr>
          <w:rFonts w:hint="eastAsia"/>
        </w:rPr>
      </w:pPr>
      <w:r>
        <w:rPr>
          <w:rFonts w:hint="eastAsia"/>
        </w:rPr>
        <w:t>Outspoken atheism is on the rise, even in America, an historic citadel of the faith.</w:t>
      </w:r>
    </w:p>
    <w:p w14:paraId="5E0B6714">
      <w:pPr>
        <w:pStyle w:val="9"/>
        <w:spacing w:after="0" w:line="249" w:lineRule="auto"/>
        <w:rPr>
          <w:rFonts w:hint="eastAsia"/>
        </w:rPr>
      </w:pPr>
      <w:r>
        <w:rPr>
          <w:rFonts w:hint="eastAsia"/>
        </w:rPr>
        <w:t>公开的无神论正在兴起，即使在作为信仰历史堡垒的美国也是如此。</w:t>
      </w:r>
    </w:p>
    <w:p w14:paraId="256C7897">
      <w:pPr>
        <w:pStyle w:val="9"/>
        <w:spacing w:after="0" w:line="249" w:lineRule="auto"/>
        <w:rPr>
          <w:rFonts w:hint="eastAsia"/>
        </w:rPr>
      </w:pPr>
    </w:p>
    <w:p w14:paraId="3A58150F">
      <w:pPr>
        <w:pStyle w:val="9"/>
        <w:spacing w:after="0" w:line="249" w:lineRule="auto"/>
        <w:rPr>
          <w:rFonts w:hint="eastAsia"/>
        </w:rPr>
      </w:pPr>
      <w:r>
        <w:rPr>
          <w:rFonts w:hint="eastAsia"/>
        </w:rPr>
        <w:t>The Western intelligentsia speaks openly of a “post-christian” society.</w:t>
      </w:r>
    </w:p>
    <w:p w14:paraId="0950D978">
      <w:pPr>
        <w:pStyle w:val="9"/>
        <w:spacing w:after="0" w:line="249" w:lineRule="auto"/>
        <w:rPr>
          <w:rFonts w:hint="eastAsia"/>
        </w:rPr>
      </w:pPr>
      <w:r>
        <w:rPr>
          <w:rFonts w:hint="eastAsia"/>
        </w:rPr>
        <w:t>西方知识界公开谈论一个“后基督教”社会。</w:t>
      </w:r>
    </w:p>
    <w:p w14:paraId="01C3217D">
      <w:pPr>
        <w:pStyle w:val="9"/>
        <w:spacing w:after="0" w:line="249" w:lineRule="auto"/>
        <w:rPr>
          <w:rFonts w:hint="eastAsia"/>
        </w:rPr>
      </w:pPr>
    </w:p>
    <w:p w14:paraId="6F3CBCD8">
      <w:pPr>
        <w:pStyle w:val="9"/>
        <w:spacing w:after="0" w:line="249" w:lineRule="auto"/>
        <w:rPr>
          <w:rFonts w:hint="eastAsia"/>
        </w:rPr>
      </w:pPr>
      <w:r>
        <w:rPr>
          <w:rFonts w:hint="eastAsia"/>
        </w:rPr>
        <w:t>As in the days of Noah and Lot, world culture now descends into lawlessness: gratuitous violence, kidnapping, slavery, murder, sexual immorality, lying, greed, religious fanaticism, and anarchy.</w:t>
      </w:r>
    </w:p>
    <w:p w14:paraId="2FF9CAE2">
      <w:pPr>
        <w:pStyle w:val="9"/>
        <w:spacing w:after="0" w:line="249" w:lineRule="auto"/>
        <w:rPr>
          <w:rFonts w:hint="eastAsia"/>
        </w:rPr>
      </w:pPr>
      <w:r>
        <w:rPr>
          <w:rFonts w:hint="eastAsia"/>
        </w:rPr>
        <w:t>就像在挪亚和罗得的日子里，世界文化如今陷入了无法无天的境地：无端的暴力、绑架、奴役、谋杀、性不道德、谎言、贪婪、宗教狂热和无政府状态。</w:t>
      </w:r>
    </w:p>
    <w:p w14:paraId="72104358">
      <w:pPr>
        <w:pStyle w:val="9"/>
        <w:spacing w:after="0" w:line="249" w:lineRule="auto"/>
        <w:rPr>
          <w:rFonts w:hint="eastAsia"/>
        </w:rPr>
      </w:pPr>
    </w:p>
    <w:p w14:paraId="18BA3905">
      <w:pPr>
        <w:pStyle w:val="9"/>
        <w:spacing w:after="0" w:line="249" w:lineRule="auto"/>
        <w:rPr>
          <w:rFonts w:hint="eastAsia"/>
        </w:rPr>
      </w:pPr>
      <w:r>
        <w:rPr>
          <w:rFonts w:hint="eastAsia"/>
        </w:rPr>
        <w:t>Meanwhile, the persecution of Christians rises to epidemic proportions.</w:t>
      </w:r>
    </w:p>
    <w:p w14:paraId="684B4FA6">
      <w:pPr>
        <w:pStyle w:val="9"/>
        <w:spacing w:after="0" w:line="249" w:lineRule="auto"/>
        <w:rPr>
          <w:rFonts w:hint="eastAsia"/>
        </w:rPr>
      </w:pPr>
      <w:r>
        <w:rPr>
          <w:rFonts w:hint="eastAsia"/>
        </w:rPr>
        <w:t>与此同时，对基督徒的迫害上升到泛滥的程度。</w:t>
      </w:r>
    </w:p>
    <w:p w14:paraId="138657FB">
      <w:pPr>
        <w:pStyle w:val="9"/>
        <w:spacing w:after="0" w:line="249" w:lineRule="auto"/>
        <w:rPr>
          <w:rFonts w:hint="eastAsia"/>
        </w:rPr>
      </w:pPr>
    </w:p>
    <w:p w14:paraId="7E4437FC">
      <w:pPr>
        <w:pStyle w:val="9"/>
        <w:spacing w:after="0" w:line="249" w:lineRule="auto"/>
        <w:rPr>
          <w:rFonts w:hint="eastAsia"/>
        </w:rPr>
      </w:pPr>
      <w:r>
        <w:rPr>
          <w:rFonts w:hint="eastAsia"/>
        </w:rPr>
        <w:t>Some observers estimate that over 100,000 believers die annually for their faith.</w:t>
      </w:r>
    </w:p>
    <w:p w14:paraId="4BF4949C">
      <w:pPr>
        <w:pStyle w:val="9"/>
        <w:spacing w:after="0" w:line="249" w:lineRule="auto"/>
        <w:rPr>
          <w:rFonts w:hint="eastAsia"/>
        </w:rPr>
      </w:pPr>
      <w:r>
        <w:rPr>
          <w:rFonts w:hint="eastAsia"/>
        </w:rPr>
        <w:t>一些观察家估计，每年有超过10万名信徒为他们的信仰而死。</w:t>
      </w:r>
    </w:p>
    <w:p w14:paraId="7331C308">
      <w:pPr>
        <w:pStyle w:val="9"/>
        <w:spacing w:after="0" w:line="249" w:lineRule="auto"/>
        <w:rPr>
          <w:rFonts w:hint="eastAsia"/>
        </w:rPr>
      </w:pPr>
    </w:p>
    <w:p w14:paraId="5CA04F4F">
      <w:pPr>
        <w:pStyle w:val="9"/>
        <w:spacing w:after="0" w:line="249" w:lineRule="auto"/>
        <w:rPr>
          <w:rFonts w:hint="eastAsia"/>
        </w:rPr>
      </w:pPr>
      <w:r>
        <w:rPr>
          <w:rFonts w:hint="eastAsia"/>
        </w:rPr>
        <w:t>Morning, noon, and night, the souls of the martyrs stream into heaven to take their place beneath the altar of God (Rev. 6:10).</w:t>
      </w:r>
    </w:p>
    <w:p w14:paraId="720C81CA">
      <w:pPr>
        <w:pStyle w:val="9"/>
        <w:spacing w:after="0" w:line="249" w:lineRule="auto"/>
        <w:rPr>
          <w:rFonts w:hint="eastAsia"/>
        </w:rPr>
      </w:pPr>
      <w:r>
        <w:rPr>
          <w:rFonts w:hint="eastAsia"/>
        </w:rPr>
        <w:t>从早到晚，殉道者的灵魂如潮水般涌入天堂，在神的祭坛下占据他们的位置（启6:10）。</w:t>
      </w:r>
    </w:p>
    <w:p w14:paraId="39BCA994">
      <w:pPr>
        <w:pStyle w:val="9"/>
        <w:spacing w:after="0" w:line="249" w:lineRule="auto"/>
        <w:rPr>
          <w:rFonts w:hint="eastAsia"/>
        </w:rPr>
      </w:pPr>
    </w:p>
    <w:p w14:paraId="25CBAE46">
      <w:pPr>
        <w:pStyle w:val="9"/>
        <w:spacing w:after="0" w:line="249" w:lineRule="auto"/>
        <w:rPr>
          <w:rFonts w:hint="eastAsia"/>
        </w:rPr>
      </w:pPr>
      <w:r>
        <w:rPr>
          <w:rFonts w:hint="eastAsia"/>
        </w:rPr>
        <w:t>But amidst all this gloom, there is good news as well: The glory of the Lord has risen upon his Church, and through the global preaching of the Gospel—especially in the “two-thirds world”—the elect of all nations are coming to her light, streaming into the City of God (Isaiah 60 1-3, Mt. 24:14).</w:t>
      </w:r>
    </w:p>
    <w:p w14:paraId="642A0B1B">
      <w:pPr>
        <w:pStyle w:val="9"/>
        <w:spacing w:after="0" w:line="249" w:lineRule="auto"/>
        <w:rPr>
          <w:rFonts w:hint="eastAsia"/>
        </w:rPr>
      </w:pPr>
      <w:r>
        <w:rPr>
          <w:rFonts w:hint="eastAsia"/>
        </w:rPr>
        <w:t>但在这一切愁云惨雾之中，也有好消息：主的荣耀已经照耀在祂的教会之上，并且通过福音的全球性传讲——尤其是在“三分之二世界”——万国的选民正来到她的光中，如潮水般涌入神的城（赛60:1-3，太24:14）。</w:t>
      </w:r>
    </w:p>
    <w:p w14:paraId="4AEADEE3">
      <w:pPr>
        <w:pStyle w:val="9"/>
        <w:spacing w:after="0" w:line="249" w:lineRule="auto"/>
        <w:rPr>
          <w:rFonts w:hint="eastAsia"/>
        </w:rPr>
      </w:pPr>
    </w:p>
    <w:p w14:paraId="0D89391F">
      <w:pPr>
        <w:pStyle w:val="9"/>
        <w:spacing w:after="0" w:line="249" w:lineRule="auto"/>
        <w:rPr>
          <w:rFonts w:hint="eastAsia"/>
        </w:rPr>
      </w:pPr>
      <w:r>
        <w:rPr>
          <w:rFonts w:hint="eastAsia"/>
        </w:rPr>
        <w:t>Have we therefore reached transition itself?</w:t>
      </w:r>
    </w:p>
    <w:p w14:paraId="52E50371">
      <w:pPr>
        <w:pStyle w:val="9"/>
        <w:spacing w:after="0" w:line="249" w:lineRule="auto"/>
        <w:rPr>
          <w:rFonts w:hint="eastAsia"/>
        </w:rPr>
      </w:pPr>
      <w:r>
        <w:rPr>
          <w:rFonts w:hint="eastAsia"/>
        </w:rPr>
        <w:t>那么，我们是否已经到达了转变本身？</w:t>
      </w:r>
    </w:p>
    <w:p w14:paraId="40E22B87">
      <w:pPr>
        <w:pStyle w:val="9"/>
        <w:spacing w:after="0" w:line="249" w:lineRule="auto"/>
        <w:rPr>
          <w:rFonts w:hint="eastAsia"/>
        </w:rPr>
      </w:pPr>
    </w:p>
    <w:p w14:paraId="3EFB22AC">
      <w:pPr>
        <w:pStyle w:val="9"/>
        <w:spacing w:after="0" w:line="249" w:lineRule="auto"/>
        <w:rPr>
          <w:rFonts w:hint="eastAsia"/>
        </w:rPr>
      </w:pPr>
      <w:r>
        <w:rPr>
          <w:rFonts w:hint="eastAsia"/>
        </w:rPr>
        <w:t>Is the delivery near?</w:t>
      </w:r>
    </w:p>
    <w:p w14:paraId="62D80D37">
      <w:pPr>
        <w:pStyle w:val="9"/>
        <w:spacing w:after="0" w:line="249" w:lineRule="auto"/>
        <w:rPr>
          <w:rFonts w:hint="eastAsia"/>
        </w:rPr>
      </w:pPr>
      <w:r>
        <w:rPr>
          <w:rFonts w:hint="eastAsia"/>
        </w:rPr>
        <w:t>分娩是否临近了？</w:t>
      </w:r>
    </w:p>
    <w:p w14:paraId="67273F69">
      <w:pPr>
        <w:pStyle w:val="9"/>
        <w:spacing w:after="0" w:line="249" w:lineRule="auto"/>
        <w:rPr>
          <w:rFonts w:hint="eastAsia"/>
        </w:rPr>
      </w:pPr>
    </w:p>
    <w:p w14:paraId="73337926">
      <w:pPr>
        <w:pStyle w:val="9"/>
        <w:spacing w:after="0" w:line="249" w:lineRule="auto"/>
        <w:rPr>
          <w:rFonts w:hint="eastAsia"/>
        </w:rPr>
      </w:pPr>
      <w:r>
        <w:rPr>
          <w:rFonts w:hint="eastAsia"/>
        </w:rPr>
        <w:t>Is the rebirth of all things at the very door?</w:t>
      </w:r>
    </w:p>
    <w:p w14:paraId="6B85D1B0">
      <w:pPr>
        <w:pStyle w:val="9"/>
        <w:spacing w:after="0" w:line="249" w:lineRule="auto"/>
        <w:rPr>
          <w:rFonts w:hint="eastAsia"/>
        </w:rPr>
      </w:pPr>
      <w:r>
        <w:rPr>
          <w:rFonts w:hint="eastAsia"/>
        </w:rPr>
        <w:t>万物的复兴是否就在门口了？</w:t>
      </w:r>
    </w:p>
    <w:p w14:paraId="0672D847">
      <w:pPr>
        <w:pStyle w:val="9"/>
        <w:spacing w:after="0" w:line="249" w:lineRule="auto"/>
        <w:rPr>
          <w:rFonts w:hint="eastAsia"/>
        </w:rPr>
      </w:pPr>
    </w:p>
    <w:p w14:paraId="6921FB1C">
      <w:pPr>
        <w:pStyle w:val="9"/>
        <w:spacing w:after="0" w:line="249" w:lineRule="auto"/>
        <w:rPr>
          <w:rFonts w:hint="eastAsia"/>
        </w:rPr>
      </w:pPr>
      <w:r>
        <w:rPr>
          <w:rFonts w:hint="eastAsia"/>
        </w:rPr>
        <w:t>Yes and no.</w:t>
      </w:r>
    </w:p>
    <w:p w14:paraId="36B229A1">
      <w:pPr>
        <w:pStyle w:val="9"/>
        <w:spacing w:after="0" w:line="249" w:lineRule="auto"/>
        <w:rPr>
          <w:rFonts w:hint="eastAsia"/>
        </w:rPr>
      </w:pPr>
      <w:r>
        <w:rPr>
          <w:rFonts w:hint="eastAsia"/>
        </w:rPr>
        <w:t>是，也不是。</w:t>
      </w:r>
    </w:p>
    <w:p w14:paraId="30FCFACB">
      <w:pPr>
        <w:pStyle w:val="9"/>
        <w:spacing w:after="0" w:line="249" w:lineRule="auto"/>
        <w:rPr>
          <w:rFonts w:hint="eastAsia"/>
        </w:rPr>
      </w:pPr>
    </w:p>
    <w:p w14:paraId="11F0C81C">
      <w:pPr>
        <w:pStyle w:val="9"/>
        <w:spacing w:after="0" w:line="249" w:lineRule="auto"/>
        <w:rPr>
          <w:rFonts w:hint="eastAsia"/>
        </w:rPr>
      </w:pPr>
      <w:r>
        <w:rPr>
          <w:rFonts w:hint="eastAsia"/>
        </w:rPr>
        <w:t>No, because we have not yet witnessed three of the special signs our Lord taught us to look for, signs that herald the imminence of the end.</w:t>
      </w:r>
    </w:p>
    <w:p w14:paraId="300B255F">
      <w:pPr>
        <w:pStyle w:val="9"/>
        <w:spacing w:after="0" w:line="249" w:lineRule="auto"/>
        <w:rPr>
          <w:rFonts w:hint="eastAsia"/>
        </w:rPr>
      </w:pPr>
      <w:r>
        <w:rPr>
          <w:rFonts w:hint="eastAsia"/>
        </w:rPr>
        <w:t>不是，因为我们尚未见证我们的主所教导我们要寻找的三个特殊预兆，这些预兆预示着末日的临近。</w:t>
      </w:r>
    </w:p>
    <w:p w14:paraId="26DDD897">
      <w:pPr>
        <w:pStyle w:val="9"/>
        <w:spacing w:after="0" w:line="249" w:lineRule="auto"/>
        <w:rPr>
          <w:rFonts w:hint="eastAsia"/>
        </w:rPr>
      </w:pPr>
    </w:p>
    <w:p w14:paraId="2D419C59">
      <w:pPr>
        <w:pStyle w:val="9"/>
        <w:spacing w:after="0" w:line="249" w:lineRule="auto"/>
        <w:rPr>
          <w:rFonts w:hint="eastAsia"/>
        </w:rPr>
      </w:pPr>
      <w:r>
        <w:rPr>
          <w:rFonts w:hint="eastAsia"/>
        </w:rPr>
        <w:t>But yes, if we take a moment to reconsider those signs and note the solid historical evidence suggesting that they too will soon be upon us.</w:t>
      </w:r>
    </w:p>
    <w:p w14:paraId="1EAE7195">
      <w:pPr>
        <w:pStyle w:val="9"/>
        <w:spacing w:after="0" w:line="249" w:lineRule="auto"/>
        <w:rPr>
          <w:rFonts w:hint="eastAsia"/>
        </w:rPr>
      </w:pPr>
      <w:r>
        <w:rPr>
          <w:rFonts w:hint="eastAsia"/>
        </w:rPr>
        <w:t>但是，是的，如果我们花点时间重新思考这些预兆，并注意到确凿的历史证据表明它们也很快会临到我们身上。</w:t>
      </w:r>
    </w:p>
    <w:p w14:paraId="2F3D062D">
      <w:pPr>
        <w:pStyle w:val="9"/>
        <w:spacing w:after="0" w:line="249" w:lineRule="auto"/>
        <w:rPr>
          <w:rFonts w:hint="eastAsia"/>
        </w:rPr>
      </w:pPr>
    </w:p>
    <w:p w14:paraId="2AB70B63">
      <w:pPr>
        <w:pStyle w:val="9"/>
        <w:spacing w:after="0" w:line="249" w:lineRule="auto"/>
        <w:rPr>
          <w:rFonts w:hint="eastAsia"/>
        </w:rPr>
      </w:pPr>
      <w:r>
        <w:rPr>
          <w:rFonts w:hint="eastAsia"/>
        </w:rPr>
        <w:t>Consider first the Great Commission.</w:t>
      </w:r>
    </w:p>
    <w:p w14:paraId="138302B6">
      <w:pPr>
        <w:pStyle w:val="9"/>
        <w:spacing w:after="0" w:line="249" w:lineRule="auto"/>
        <w:rPr>
          <w:rFonts w:hint="eastAsia"/>
        </w:rPr>
      </w:pPr>
      <w:r>
        <w:rPr>
          <w:rFonts w:hint="eastAsia"/>
        </w:rPr>
        <w:t>首先，思考大使命。</w:t>
      </w:r>
    </w:p>
    <w:p w14:paraId="7AA6D047">
      <w:pPr>
        <w:pStyle w:val="9"/>
        <w:spacing w:after="0" w:line="249" w:lineRule="auto"/>
        <w:rPr>
          <w:rFonts w:hint="eastAsia"/>
        </w:rPr>
      </w:pPr>
    </w:p>
    <w:p w14:paraId="7C309FA3">
      <w:pPr>
        <w:pStyle w:val="9"/>
        <w:spacing w:after="0" w:line="249" w:lineRule="auto"/>
        <w:rPr>
          <w:rFonts w:hint="eastAsia"/>
        </w:rPr>
      </w:pPr>
      <w:r>
        <w:rPr>
          <w:rFonts w:hint="eastAsia"/>
        </w:rPr>
        <w:t>It is indeed true that we have not yet fulfilled it.</w:t>
      </w:r>
    </w:p>
    <w:p w14:paraId="464B063E">
      <w:pPr>
        <w:pStyle w:val="9"/>
        <w:spacing w:after="0" w:line="249" w:lineRule="auto"/>
        <w:rPr>
          <w:rFonts w:hint="eastAsia"/>
        </w:rPr>
      </w:pPr>
      <w:r>
        <w:rPr>
          <w:rFonts w:hint="eastAsia"/>
        </w:rPr>
        <w:t>我们确实还没有完成它。</w:t>
      </w:r>
    </w:p>
    <w:p w14:paraId="38F81299">
      <w:pPr>
        <w:pStyle w:val="9"/>
        <w:spacing w:after="0" w:line="249" w:lineRule="auto"/>
        <w:rPr>
          <w:rFonts w:hint="eastAsia"/>
        </w:rPr>
      </w:pPr>
    </w:p>
    <w:p w14:paraId="44CE7F12">
      <w:pPr>
        <w:pStyle w:val="9"/>
        <w:spacing w:after="0" w:line="249" w:lineRule="auto"/>
        <w:rPr>
          <w:rFonts w:hint="eastAsia"/>
        </w:rPr>
      </w:pPr>
      <w:r>
        <w:rPr>
          <w:rFonts w:hint="eastAsia"/>
        </w:rPr>
        <w:t>According to the Joshua Project, there are 16,475 people groups in the world, of which 6,664 remain technically “unreached”.</w:t>
      </w:r>
    </w:p>
    <w:p w14:paraId="2CA799F2">
      <w:pPr>
        <w:pStyle w:val="9"/>
        <w:spacing w:after="0" w:line="249" w:lineRule="auto"/>
        <w:rPr>
          <w:rFonts w:hint="eastAsia"/>
        </w:rPr>
      </w:pPr>
      <w:r>
        <w:rPr>
          <w:rFonts w:hint="eastAsia"/>
        </w:rPr>
        <w:t>根据“约书亚项目”的数据，世界上有16,475个族群，其中6,664个在技术上仍是“未得之民”。</w:t>
      </w:r>
    </w:p>
    <w:p w14:paraId="35D4DC5E">
      <w:pPr>
        <w:pStyle w:val="9"/>
        <w:spacing w:after="0" w:line="249" w:lineRule="auto"/>
        <w:rPr>
          <w:rFonts w:hint="eastAsia"/>
        </w:rPr>
      </w:pPr>
    </w:p>
    <w:p w14:paraId="51B7AC82">
      <w:pPr>
        <w:pStyle w:val="9"/>
        <w:spacing w:after="0" w:line="249" w:lineRule="auto"/>
        <w:rPr>
          <w:rFonts w:hint="eastAsia"/>
        </w:rPr>
      </w:pPr>
      <w:r>
        <w:rPr>
          <w:rFonts w:hint="eastAsia"/>
        </w:rPr>
        <w:t>This is 42% of all people groups, some three billion souls.</w:t>
      </w:r>
    </w:p>
    <w:p w14:paraId="467D11FD">
      <w:pPr>
        <w:pStyle w:val="9"/>
        <w:spacing w:after="0" w:line="249" w:lineRule="auto"/>
        <w:rPr>
          <w:rFonts w:hint="eastAsia"/>
        </w:rPr>
      </w:pPr>
      <w:r>
        <w:rPr>
          <w:rFonts w:hint="eastAsia"/>
        </w:rPr>
        <w:t>这占所有族群的42%，约三十亿灵魂。</w:t>
      </w:r>
    </w:p>
    <w:p w14:paraId="7B0B8B77">
      <w:pPr>
        <w:pStyle w:val="9"/>
        <w:spacing w:after="0" w:line="249" w:lineRule="auto"/>
        <w:rPr>
          <w:rFonts w:hint="eastAsia"/>
        </w:rPr>
      </w:pPr>
    </w:p>
    <w:p w14:paraId="0FA54AC7">
      <w:pPr>
        <w:pStyle w:val="9"/>
        <w:spacing w:after="0" w:line="249" w:lineRule="auto"/>
        <w:rPr>
          <w:rFonts w:hint="eastAsia"/>
        </w:rPr>
      </w:pPr>
      <w:r>
        <w:rPr>
          <w:rFonts w:hint="eastAsia"/>
        </w:rPr>
        <w:t>It is a staggering number, largely representing Hindus, Muslims, Buddhists, Communists, and animists who live in the so-called “10/40 window.”</w:t>
      </w:r>
    </w:p>
    <w:p w14:paraId="2438232E">
      <w:pPr>
        <w:pStyle w:val="9"/>
        <w:spacing w:after="0" w:line="249" w:lineRule="auto"/>
        <w:rPr>
          <w:rFonts w:hint="eastAsia"/>
        </w:rPr>
      </w:pPr>
      <w:r>
        <w:rPr>
          <w:rFonts w:hint="eastAsia"/>
        </w:rPr>
        <w:t>这是一个惊人的数字，主要代表了生活在所谓“10/40窗口”的印度教徒、穆斯林、佛教徒、共产主义者和泛灵论者。</w:t>
      </w:r>
    </w:p>
    <w:p w14:paraId="3022B2FC">
      <w:pPr>
        <w:pStyle w:val="9"/>
        <w:spacing w:after="0" w:line="249" w:lineRule="auto"/>
        <w:rPr>
          <w:rFonts w:hint="eastAsia"/>
        </w:rPr>
      </w:pPr>
    </w:p>
    <w:p w14:paraId="7DFE2FC7">
      <w:pPr>
        <w:pStyle w:val="9"/>
        <w:spacing w:after="0" w:line="249" w:lineRule="auto"/>
        <w:rPr>
          <w:rFonts w:hint="eastAsia"/>
        </w:rPr>
      </w:pPr>
      <w:r>
        <w:rPr>
          <w:rFonts w:hint="eastAsia"/>
        </w:rPr>
        <w:t>However, we must also remember that the gap between “reached” and “unreached” is swiftly growing smaller; that the pool of potential missionaries has never been larger; that revivals are continually springing up in many of these populations; and that modern advances in communications technology are facilitating rapid church growth even in “closed” nations.</w:t>
      </w:r>
    </w:p>
    <w:p w14:paraId="60279E21">
      <w:pPr>
        <w:pStyle w:val="9"/>
        <w:spacing w:after="0" w:line="249" w:lineRule="auto"/>
        <w:rPr>
          <w:rFonts w:hint="eastAsia"/>
        </w:rPr>
      </w:pPr>
      <w:r>
        <w:rPr>
          <w:rFonts w:hint="eastAsia"/>
        </w:rPr>
        <w:t>然而，我们也必须记住，“已得之民”和“未得之民”之间的差距正在迅速缩小；潜在宣教士的人数从未如此之多；复兴在这些人群中不断涌现；现代通信技术的进步，即使在“封闭”的国家中也促进了教会的快速增长。</w:t>
      </w:r>
    </w:p>
    <w:p w14:paraId="74B26CA1">
      <w:pPr>
        <w:pStyle w:val="9"/>
        <w:spacing w:after="0" w:line="249" w:lineRule="auto"/>
        <w:rPr>
          <w:rFonts w:hint="eastAsia"/>
        </w:rPr>
      </w:pPr>
    </w:p>
    <w:p w14:paraId="249A3284">
      <w:pPr>
        <w:pStyle w:val="9"/>
        <w:spacing w:after="0" w:line="249" w:lineRule="auto"/>
        <w:rPr>
          <w:rFonts w:hint="eastAsia"/>
        </w:rPr>
      </w:pPr>
      <w:r>
        <w:rPr>
          <w:rFonts w:hint="eastAsia"/>
        </w:rPr>
        <w:t>Yes, much work remains to be done, and many pioneer missionaries are needed to do it.</w:t>
      </w:r>
    </w:p>
    <w:p w14:paraId="16AE96FF">
      <w:pPr>
        <w:pStyle w:val="9"/>
        <w:spacing w:after="0" w:line="249" w:lineRule="auto"/>
        <w:rPr>
          <w:rFonts w:hint="eastAsia"/>
        </w:rPr>
      </w:pPr>
      <w:r>
        <w:rPr>
          <w:rFonts w:hint="eastAsia"/>
        </w:rPr>
        <w:t>是的，还有许多工作有待完成，需要许多先锋宣教士去做。</w:t>
      </w:r>
    </w:p>
    <w:p w14:paraId="2AB7DA47">
      <w:pPr>
        <w:pStyle w:val="9"/>
        <w:spacing w:after="0" w:line="249" w:lineRule="auto"/>
        <w:rPr>
          <w:rFonts w:hint="eastAsia"/>
        </w:rPr>
      </w:pPr>
    </w:p>
    <w:p w14:paraId="14CC933B">
      <w:pPr>
        <w:pStyle w:val="9"/>
        <w:spacing w:after="0" w:line="249" w:lineRule="auto"/>
        <w:rPr>
          <w:rFonts w:hint="eastAsia"/>
        </w:rPr>
      </w:pPr>
      <w:r>
        <w:rPr>
          <w:rFonts w:hint="eastAsia"/>
        </w:rPr>
        <w:t>Nevertheless, it is not wishful thinking to say that today’s Church is powerfully “hastening” the Coming of the Lord, and that the completion of the Great Commission is near.</w:t>
      </w:r>
    </w:p>
    <w:p w14:paraId="7AA95998">
      <w:pPr>
        <w:pStyle w:val="9"/>
        <w:spacing w:after="0" w:line="249" w:lineRule="auto"/>
        <w:rPr>
          <w:rFonts w:hint="eastAsia"/>
        </w:rPr>
      </w:pPr>
      <w:r>
        <w:rPr>
          <w:rFonts w:hint="eastAsia"/>
        </w:rPr>
        <w:t>尽管如此，说今天的教会正在有力地“催促”主的到来，以及大使命的完成已近在咫尺，这并非一厢情愿的想法。</w:t>
      </w:r>
    </w:p>
    <w:p w14:paraId="6DF8B941">
      <w:pPr>
        <w:pStyle w:val="9"/>
        <w:spacing w:after="0" w:line="249" w:lineRule="auto"/>
        <w:rPr>
          <w:rFonts w:hint="eastAsia"/>
        </w:rPr>
      </w:pPr>
    </w:p>
    <w:p w14:paraId="70627341">
      <w:pPr>
        <w:pStyle w:val="9"/>
        <w:spacing w:after="0" w:line="249" w:lineRule="auto"/>
        <w:rPr>
          <w:rFonts w:hint="eastAsia"/>
        </w:rPr>
      </w:pPr>
      <w:r>
        <w:rPr>
          <w:rFonts w:hint="eastAsia"/>
        </w:rPr>
        <w:t>Secondly, it is also true that we have not yet seen the large-scale conversion of God’s ancient covenant people, Israel.</w:t>
      </w:r>
    </w:p>
    <w:p w14:paraId="3D4F2BE4">
      <w:pPr>
        <w:pStyle w:val="9"/>
        <w:spacing w:after="0" w:line="249" w:lineRule="auto"/>
        <w:rPr>
          <w:rFonts w:hint="eastAsia"/>
        </w:rPr>
      </w:pPr>
      <w:r>
        <w:rPr>
          <w:rFonts w:hint="eastAsia"/>
        </w:rPr>
        <w:t>其次，我们确实也还没有看到神古时立约的子民——以色列——大规模的归信。</w:t>
      </w:r>
    </w:p>
    <w:p w14:paraId="129FD21F">
      <w:pPr>
        <w:pStyle w:val="9"/>
        <w:spacing w:after="0" w:line="249" w:lineRule="auto"/>
        <w:rPr>
          <w:rFonts w:hint="eastAsia"/>
        </w:rPr>
      </w:pPr>
    </w:p>
    <w:p w14:paraId="7B648164">
      <w:pPr>
        <w:pStyle w:val="9"/>
        <w:spacing w:after="0" w:line="249" w:lineRule="auto"/>
        <w:rPr>
          <w:rFonts w:hint="eastAsia"/>
        </w:rPr>
      </w:pPr>
      <w:r>
        <w:rPr>
          <w:rFonts w:hint="eastAsia"/>
        </w:rPr>
        <w:t>However, the stage is certainly set for one.</w:t>
      </w:r>
    </w:p>
    <w:p w14:paraId="1A027729">
      <w:pPr>
        <w:pStyle w:val="9"/>
        <w:spacing w:after="0" w:line="249" w:lineRule="auto"/>
        <w:rPr>
          <w:rFonts w:hint="eastAsia"/>
        </w:rPr>
      </w:pPr>
      <w:r>
        <w:rPr>
          <w:rFonts w:hint="eastAsia"/>
        </w:rPr>
        <w:t>然而，舞台无疑已经为此搭好。</w:t>
      </w:r>
    </w:p>
    <w:p w14:paraId="0B9FA21E">
      <w:pPr>
        <w:pStyle w:val="9"/>
        <w:spacing w:after="0" w:line="249" w:lineRule="auto"/>
        <w:rPr>
          <w:rFonts w:hint="eastAsia"/>
        </w:rPr>
      </w:pPr>
    </w:p>
    <w:p w14:paraId="5484FD48">
      <w:pPr>
        <w:pStyle w:val="9"/>
        <w:spacing w:after="0" w:line="249" w:lineRule="auto"/>
        <w:rPr>
          <w:rFonts w:hint="eastAsia"/>
        </w:rPr>
      </w:pPr>
      <w:r>
        <w:rPr>
          <w:rFonts w:hint="eastAsia"/>
        </w:rPr>
        <w:t>Most notably, many of the sons of Jacob have returned to their former homeland, a staggering feat of Providence that can hardly be without redemptive significance (see Appendix 5).</w:t>
      </w:r>
    </w:p>
    <w:p w14:paraId="7AC9BE3F">
      <w:pPr>
        <w:pStyle w:val="9"/>
        <w:spacing w:after="0" w:line="249" w:lineRule="auto"/>
        <w:rPr>
          <w:rFonts w:hint="eastAsia"/>
        </w:rPr>
      </w:pPr>
      <w:r>
        <w:rPr>
          <w:rFonts w:hint="eastAsia"/>
        </w:rPr>
        <w:t>最值得注意的是，雅各的许多子孙已经回到了他们从前的家园，这是一项惊人的护理之举，不可能没有救赎的意义（见附录5）。</w:t>
      </w:r>
    </w:p>
    <w:p w14:paraId="70EB38EE">
      <w:pPr>
        <w:pStyle w:val="9"/>
        <w:spacing w:after="0" w:line="249" w:lineRule="auto"/>
        <w:rPr>
          <w:rFonts w:hint="eastAsia"/>
        </w:rPr>
      </w:pPr>
    </w:p>
    <w:p w14:paraId="2763AD94">
      <w:pPr>
        <w:pStyle w:val="9"/>
        <w:spacing w:after="0" w:line="249" w:lineRule="auto"/>
        <w:rPr>
          <w:rFonts w:hint="eastAsia"/>
        </w:rPr>
      </w:pPr>
      <w:r>
        <w:rPr>
          <w:rFonts w:hint="eastAsia"/>
        </w:rPr>
        <w:t>Their enemies—as numerous as the sands of the seashore—are armed to the teeth and surrounding them on all sides.</w:t>
      </w:r>
    </w:p>
    <w:p w14:paraId="231BA160">
      <w:pPr>
        <w:pStyle w:val="9"/>
        <w:spacing w:after="0" w:line="249" w:lineRule="auto"/>
        <w:rPr>
          <w:rFonts w:hint="eastAsia"/>
        </w:rPr>
      </w:pPr>
      <w:r>
        <w:rPr>
          <w:rFonts w:hint="eastAsia"/>
        </w:rPr>
        <w:t>他们的敌人——多如海沙——武装到牙齿，从四面八方包围着他们。</w:t>
      </w:r>
    </w:p>
    <w:p w14:paraId="309C5D1E">
      <w:pPr>
        <w:pStyle w:val="9"/>
        <w:spacing w:after="0" w:line="249" w:lineRule="auto"/>
        <w:rPr>
          <w:rFonts w:hint="eastAsia"/>
        </w:rPr>
      </w:pPr>
    </w:p>
    <w:p w14:paraId="741EEAA4">
      <w:pPr>
        <w:pStyle w:val="9"/>
        <w:spacing w:after="0" w:line="249" w:lineRule="auto"/>
        <w:rPr>
          <w:rFonts w:hint="eastAsia"/>
        </w:rPr>
      </w:pPr>
      <w:r>
        <w:rPr>
          <w:rFonts w:hint="eastAsia"/>
        </w:rPr>
        <w:t>Their spiritual wealth is inversely proportional to their material: From Christ’s perspective, they are wretched, miserable, poor, blind, and naked.</w:t>
      </w:r>
    </w:p>
    <w:p w14:paraId="47B9D10B">
      <w:pPr>
        <w:pStyle w:val="9"/>
        <w:spacing w:after="0" w:line="249" w:lineRule="auto"/>
        <w:rPr>
          <w:rFonts w:hint="eastAsia"/>
        </w:rPr>
      </w:pPr>
      <w:r>
        <w:rPr>
          <w:rFonts w:hint="eastAsia"/>
        </w:rPr>
        <w:t>他们的属灵财富与物质财富成反比：从基督的角度来看，他们是困苦、可怜、贫穷、瞎眼、赤身的。</w:t>
      </w:r>
    </w:p>
    <w:p w14:paraId="5BDBEAC0">
      <w:pPr>
        <w:pStyle w:val="9"/>
        <w:spacing w:after="0" w:line="249" w:lineRule="auto"/>
        <w:rPr>
          <w:rFonts w:hint="eastAsia"/>
        </w:rPr>
      </w:pPr>
    </w:p>
    <w:p w14:paraId="54CAEF42">
      <w:pPr>
        <w:pStyle w:val="9"/>
        <w:spacing w:after="0" w:line="249" w:lineRule="auto"/>
        <w:rPr>
          <w:rFonts w:hint="eastAsia"/>
        </w:rPr>
      </w:pPr>
      <w:r>
        <w:rPr>
          <w:rFonts w:hint="eastAsia"/>
        </w:rPr>
        <w:t>Even now there is a great famine in that land, such that one day soon—perhaps amidst the birth pangs of war itself—they will finally cry out to God’s greater Joseph: first for forgiveness, and then for food, drink, and real safety in a far better homeland where righteousness eternally dwells (Gen. 45:1f).</w:t>
      </w:r>
    </w:p>
    <w:p w14:paraId="207F458B">
      <w:pPr>
        <w:pStyle w:val="9"/>
        <w:spacing w:after="0" w:line="249" w:lineRule="auto"/>
        <w:rPr>
          <w:rFonts w:hint="eastAsia"/>
        </w:rPr>
      </w:pPr>
      <w:r>
        <w:rPr>
          <w:rFonts w:hint="eastAsia"/>
        </w:rPr>
        <w:t>即使是现在，那地也有一场大饥荒，以致于在不久的将来——或许就在战争本身的产难中——他们最终会向神那更伟大的约瑟呼求：首先是求赦免，然后是求食物、水和在一个公义永存的更美家园里真正的安全（创45:1及以下）。</w:t>
      </w:r>
    </w:p>
    <w:p w14:paraId="3B94B249">
      <w:pPr>
        <w:pStyle w:val="9"/>
        <w:spacing w:after="0" w:line="249" w:lineRule="auto"/>
        <w:rPr>
          <w:rFonts w:hint="eastAsia"/>
        </w:rPr>
      </w:pPr>
    </w:p>
    <w:p w14:paraId="2443A08A">
      <w:pPr>
        <w:pStyle w:val="9"/>
        <w:spacing w:after="0" w:line="249" w:lineRule="auto"/>
        <w:rPr>
          <w:rFonts w:hint="eastAsia"/>
        </w:rPr>
      </w:pPr>
      <w:r>
        <w:rPr>
          <w:rFonts w:hint="eastAsia"/>
        </w:rPr>
        <w:t>Finally, it also true that the Man of Lawlessness has not yet been revealed, and that the Last Battle and the Greatest Tribulation have not yet begun.</w:t>
      </w:r>
    </w:p>
    <w:p w14:paraId="41FE3832">
      <w:pPr>
        <w:pStyle w:val="9"/>
        <w:spacing w:after="0" w:line="249" w:lineRule="auto"/>
        <w:rPr>
          <w:rFonts w:hint="eastAsia"/>
        </w:rPr>
      </w:pPr>
      <w:r>
        <w:rPr>
          <w:rFonts w:hint="eastAsia"/>
        </w:rPr>
        <w:t>最后，那不法之人尚未显露，最后的争战和最大的灾难也尚未开始，这也是事实。</w:t>
      </w:r>
    </w:p>
    <w:p w14:paraId="34F02D49">
      <w:pPr>
        <w:pStyle w:val="9"/>
        <w:spacing w:after="0" w:line="249" w:lineRule="auto"/>
        <w:rPr>
          <w:rFonts w:hint="eastAsia"/>
        </w:rPr>
      </w:pPr>
    </w:p>
    <w:p w14:paraId="71ED7BBA">
      <w:pPr>
        <w:pStyle w:val="9"/>
        <w:spacing w:after="0" w:line="249" w:lineRule="auto"/>
        <w:rPr>
          <w:rFonts w:hint="eastAsia"/>
        </w:rPr>
      </w:pPr>
      <w:r>
        <w:rPr>
          <w:rFonts w:hint="eastAsia"/>
        </w:rPr>
        <w:t>But again, there is much evidence to suggest that these biblical tokens of the final clash of the kingdoms are drawing near.</w:t>
      </w:r>
    </w:p>
    <w:p w14:paraId="4F85E78E">
      <w:pPr>
        <w:pStyle w:val="9"/>
        <w:spacing w:after="0" w:line="249" w:lineRule="auto"/>
        <w:rPr>
          <w:rFonts w:hint="eastAsia"/>
        </w:rPr>
      </w:pPr>
      <w:r>
        <w:rPr>
          <w:rFonts w:hint="eastAsia"/>
        </w:rPr>
        <w:t>但同样，有许多证据表明，这些代表着诸国度最终冲突的圣经标记正在临近。</w:t>
      </w:r>
    </w:p>
    <w:p w14:paraId="6E959689">
      <w:pPr>
        <w:pStyle w:val="9"/>
        <w:spacing w:after="0" w:line="249" w:lineRule="auto"/>
        <w:rPr>
          <w:rFonts w:hint="eastAsia"/>
        </w:rPr>
      </w:pPr>
    </w:p>
    <w:p w14:paraId="5E348588">
      <w:pPr>
        <w:pStyle w:val="9"/>
        <w:spacing w:after="0" w:line="249" w:lineRule="auto"/>
        <w:rPr>
          <w:rFonts w:hint="eastAsia"/>
        </w:rPr>
      </w:pPr>
      <w:r>
        <w:rPr>
          <w:rFonts w:hint="eastAsia"/>
        </w:rPr>
        <w:t>I have already mentioned growing lawlessness, apostasy, and persecution, all of which may well herald, or even fulfill, the “rebellion” of which Paul spoke (2 Thess. 2:3).</w:t>
      </w:r>
    </w:p>
    <w:p w14:paraId="2500D4BF">
      <w:pPr>
        <w:pStyle w:val="9"/>
        <w:spacing w:after="0" w:line="249" w:lineRule="auto"/>
        <w:rPr>
          <w:rFonts w:hint="eastAsia"/>
        </w:rPr>
      </w:pPr>
      <w:r>
        <w:rPr>
          <w:rFonts w:hint="eastAsia"/>
        </w:rPr>
        <w:t>我已经提到了日益增长的无法无天、背道和逼迫，所有这些很可能预示，甚至应验了保罗所说的“离道反教”（帖后2:3）。</w:t>
      </w:r>
    </w:p>
    <w:p w14:paraId="5B966582">
      <w:pPr>
        <w:pStyle w:val="9"/>
        <w:spacing w:after="0" w:line="249" w:lineRule="auto"/>
        <w:rPr>
          <w:rFonts w:hint="eastAsia"/>
        </w:rPr>
      </w:pPr>
    </w:p>
    <w:p w14:paraId="4D039CB5">
      <w:pPr>
        <w:pStyle w:val="9"/>
        <w:spacing w:after="0" w:line="249" w:lineRule="auto"/>
        <w:rPr>
          <w:rFonts w:hint="eastAsia"/>
        </w:rPr>
      </w:pPr>
      <w:r>
        <w:rPr>
          <w:rFonts w:hint="eastAsia"/>
        </w:rPr>
        <w:t>Beyond these, there are fresh waves of “Messianic” fanaticism rolling through different cultures.</w:t>
      </w:r>
    </w:p>
    <w:p w14:paraId="753B1013">
      <w:pPr>
        <w:pStyle w:val="9"/>
        <w:spacing w:after="0" w:line="249" w:lineRule="auto"/>
        <w:rPr>
          <w:rFonts w:hint="eastAsia"/>
        </w:rPr>
      </w:pPr>
      <w:r>
        <w:rPr>
          <w:rFonts w:hint="eastAsia"/>
        </w:rPr>
        <w:t>除此之外，还有新一波“弥赛亚式”的狂热席卷不同文化。</w:t>
      </w:r>
    </w:p>
    <w:p w14:paraId="03E763DD">
      <w:pPr>
        <w:pStyle w:val="9"/>
        <w:spacing w:after="0" w:line="249" w:lineRule="auto"/>
        <w:rPr>
          <w:rFonts w:hint="eastAsia"/>
        </w:rPr>
      </w:pPr>
    </w:p>
    <w:p w14:paraId="49B1EE88">
      <w:pPr>
        <w:pStyle w:val="9"/>
        <w:spacing w:after="0" w:line="249" w:lineRule="auto"/>
        <w:rPr>
          <w:rFonts w:hint="eastAsia"/>
        </w:rPr>
      </w:pPr>
      <w:r>
        <w:rPr>
          <w:rFonts w:hint="eastAsia"/>
        </w:rPr>
        <w:t>A fragile global economy, increasingly vulnerable to sudden collapse, portends a global cry for a global deliverer.</w:t>
      </w:r>
    </w:p>
    <w:p w14:paraId="2BFEB13C">
      <w:pPr>
        <w:pStyle w:val="9"/>
        <w:spacing w:after="0" w:line="249" w:lineRule="auto"/>
        <w:rPr>
          <w:rFonts w:hint="eastAsia"/>
        </w:rPr>
      </w:pPr>
      <w:r>
        <w:rPr>
          <w:rFonts w:hint="eastAsia"/>
        </w:rPr>
        <w:t>一个脆弱的全球经济，越来越容易突然崩溃，预示着全球将呼求一位全球性的拯救者。</w:t>
      </w:r>
    </w:p>
    <w:p w14:paraId="37C98CB7">
      <w:pPr>
        <w:pStyle w:val="9"/>
        <w:spacing w:after="0" w:line="249" w:lineRule="auto"/>
        <w:rPr>
          <w:rFonts w:hint="eastAsia"/>
        </w:rPr>
      </w:pPr>
    </w:p>
    <w:p w14:paraId="582A77D5">
      <w:pPr>
        <w:pStyle w:val="9"/>
        <w:spacing w:after="0" w:line="249" w:lineRule="auto"/>
        <w:rPr>
          <w:rFonts w:hint="eastAsia"/>
        </w:rPr>
      </w:pPr>
      <w:r>
        <w:rPr>
          <w:rFonts w:hint="eastAsia"/>
        </w:rPr>
        <w:t>Powerful new weapons systems and massive armies make the unthinkable thinkable: a final world empire, ruled by a final world tyrant, holding the family of nations in a twofold iron grip—the hope of heaven on earth, and the fear of utter annihilation for those unwilling to comply.</w:t>
      </w:r>
    </w:p>
    <w:p w14:paraId="34B2833D">
      <w:pPr>
        <w:pStyle w:val="9"/>
        <w:spacing w:after="0" w:line="249" w:lineRule="auto"/>
        <w:rPr>
          <w:rFonts w:hint="eastAsia"/>
        </w:rPr>
      </w:pPr>
      <w:r>
        <w:rPr>
          <w:rFonts w:hint="eastAsia"/>
        </w:rPr>
        <w:t>强大的新武器系统和庞大的军队使不可想象的事情变得可以想象：一个最终的世界帝国，由一个最终的世界暴君统治，用双重的铁腕控制着国际大家庭——即在地上建立天堂的希望，以及对那些不愿服从者予以彻底毁灭的恐惧。</w:t>
      </w:r>
    </w:p>
    <w:p w14:paraId="787F2688">
      <w:pPr>
        <w:pStyle w:val="9"/>
        <w:spacing w:after="0" w:line="249" w:lineRule="auto"/>
        <w:rPr>
          <w:rFonts w:hint="eastAsia"/>
        </w:rPr>
      </w:pPr>
    </w:p>
    <w:p w14:paraId="11E66978">
      <w:pPr>
        <w:pStyle w:val="9"/>
        <w:spacing w:after="0" w:line="249" w:lineRule="auto"/>
        <w:rPr>
          <w:rFonts w:hint="eastAsia"/>
        </w:rPr>
      </w:pPr>
      <w:r>
        <w:rPr>
          <w:rFonts w:hint="eastAsia"/>
        </w:rPr>
        <w:t>Happily, the Gospel continues to go forth with good success to every tribe, tongue, people, and nation, so that new churches are springing up in their midst.</w:t>
      </w:r>
    </w:p>
    <w:p w14:paraId="4C420408">
      <w:pPr>
        <w:pStyle w:val="9"/>
        <w:spacing w:after="0" w:line="249" w:lineRule="auto"/>
        <w:rPr>
          <w:rFonts w:hint="eastAsia"/>
        </w:rPr>
      </w:pPr>
      <w:r>
        <w:rPr>
          <w:rFonts w:hint="eastAsia"/>
        </w:rPr>
        <w:t>令人高兴的是，福音继续成功地传到各部落、各方言、各民族、各国家，以致新的教会在他们中间如雨后春笋般涌现。</w:t>
      </w:r>
    </w:p>
    <w:p w14:paraId="6BB11FFF">
      <w:pPr>
        <w:pStyle w:val="9"/>
        <w:spacing w:after="0" w:line="249" w:lineRule="auto"/>
        <w:rPr>
          <w:rFonts w:hint="eastAsia"/>
        </w:rPr>
      </w:pPr>
    </w:p>
    <w:p w14:paraId="0723DBAC">
      <w:pPr>
        <w:pStyle w:val="9"/>
        <w:spacing w:after="0" w:line="249" w:lineRule="auto"/>
        <w:rPr>
          <w:rFonts w:hint="eastAsia"/>
        </w:rPr>
      </w:pPr>
      <w:r>
        <w:rPr>
          <w:rFonts w:hint="eastAsia"/>
        </w:rPr>
        <w:t>Yet even as it does, a world-system given over to idolatry—and drunk with pride, wealth, sensuality, and power—grows increasingly hardened.</w:t>
      </w:r>
    </w:p>
    <w:p w14:paraId="7D05F5AF">
      <w:pPr>
        <w:pStyle w:val="9"/>
        <w:spacing w:after="0" w:line="249" w:lineRule="auto"/>
        <w:rPr>
          <w:rFonts w:hint="eastAsia"/>
        </w:rPr>
      </w:pPr>
      <w:r>
        <w:rPr>
          <w:rFonts w:hint="eastAsia"/>
        </w:rPr>
        <w:t>然而，即便如此，一个沉溺于偶像崇拜——并沉醉于骄傲、财富、情欲和权力——的世界体系却日益刚硬。</w:t>
      </w:r>
    </w:p>
    <w:p w14:paraId="08EE0C9B">
      <w:pPr>
        <w:pStyle w:val="9"/>
        <w:spacing w:after="0" w:line="249" w:lineRule="auto"/>
        <w:rPr>
          <w:rFonts w:hint="eastAsia"/>
        </w:rPr>
      </w:pPr>
    </w:p>
    <w:p w14:paraId="3B1A9F6F">
      <w:pPr>
        <w:pStyle w:val="9"/>
        <w:spacing w:after="0" w:line="249" w:lineRule="auto"/>
        <w:rPr>
          <w:rFonts w:hint="eastAsia"/>
        </w:rPr>
      </w:pPr>
      <w:r>
        <w:rPr>
          <w:rFonts w:hint="eastAsia"/>
        </w:rPr>
        <w:t>Like Egypt of old, at any moment it could turn en masse against God’s eschatological Israel, thinking to pursue her to the death through a Red Sea of religious cleansing.</w:t>
      </w:r>
    </w:p>
    <w:p w14:paraId="1F1E6C57">
      <w:pPr>
        <w:pStyle w:val="9"/>
        <w:spacing w:after="0" w:line="249" w:lineRule="auto"/>
        <w:rPr>
          <w:rFonts w:hint="eastAsia"/>
        </w:rPr>
      </w:pPr>
      <w:r>
        <w:rPr>
          <w:rFonts w:hint="eastAsia"/>
        </w:rPr>
        <w:t>就像古时的埃及，它随时可能全体转而攻击神末世论的以色列，妄想通过一场宗教清洗的红海将她追杀至死。</w:t>
      </w:r>
    </w:p>
    <w:p w14:paraId="2BCCAAA0">
      <w:pPr>
        <w:pStyle w:val="9"/>
        <w:spacing w:after="0" w:line="249" w:lineRule="auto"/>
        <w:rPr>
          <w:rFonts w:hint="eastAsia"/>
        </w:rPr>
      </w:pPr>
    </w:p>
    <w:p w14:paraId="6C7CFDEF">
      <w:pPr>
        <w:pStyle w:val="9"/>
        <w:spacing w:after="0" w:line="249" w:lineRule="auto"/>
        <w:rPr>
          <w:rFonts w:hint="eastAsia"/>
        </w:rPr>
      </w:pPr>
      <w:r>
        <w:rPr>
          <w:rFonts w:hint="eastAsia"/>
        </w:rPr>
        <w:t>So then, it appears that the Church may well be entering the last of the last days.</w:t>
      </w:r>
    </w:p>
    <w:p w14:paraId="3C887D2F">
      <w:pPr>
        <w:pStyle w:val="9"/>
        <w:spacing w:after="0" w:line="249" w:lineRule="auto"/>
        <w:rPr>
          <w:rFonts w:hint="eastAsia"/>
        </w:rPr>
      </w:pPr>
      <w:r>
        <w:rPr>
          <w:rFonts w:hint="eastAsia"/>
        </w:rPr>
        <w:t>如此看来，教会很可能正在进入末世中的末了。</w:t>
      </w:r>
    </w:p>
    <w:p w14:paraId="66CAD8F0">
      <w:pPr>
        <w:pStyle w:val="9"/>
        <w:spacing w:after="0" w:line="249" w:lineRule="auto"/>
        <w:rPr>
          <w:rFonts w:hint="eastAsia"/>
        </w:rPr>
      </w:pPr>
    </w:p>
    <w:p w14:paraId="15F9859C">
      <w:pPr>
        <w:pStyle w:val="9"/>
        <w:spacing w:after="0" w:line="249" w:lineRule="auto"/>
        <w:rPr>
          <w:rFonts w:hint="eastAsia"/>
        </w:rPr>
      </w:pPr>
      <w:r>
        <w:rPr>
          <w:rFonts w:hint="eastAsia"/>
        </w:rPr>
        <w:t>But why does she need to recover the biblically orthodox eschatology?</w:t>
      </w:r>
    </w:p>
    <w:p w14:paraId="0B5B58C2">
      <w:pPr>
        <w:pStyle w:val="9"/>
        <w:spacing w:after="0" w:line="249" w:lineRule="auto"/>
        <w:rPr>
          <w:rFonts w:hint="eastAsia"/>
        </w:rPr>
      </w:pPr>
      <w:r>
        <w:rPr>
          <w:rFonts w:hint="eastAsia"/>
        </w:rPr>
        <w:t>但她为何需要恢复合乎圣经正统的末世论呢？</w:t>
      </w:r>
    </w:p>
    <w:p w14:paraId="631521D5">
      <w:pPr>
        <w:pStyle w:val="9"/>
        <w:spacing w:after="0" w:line="249" w:lineRule="auto"/>
        <w:rPr>
          <w:rFonts w:hint="eastAsia"/>
        </w:rPr>
      </w:pPr>
    </w:p>
    <w:p w14:paraId="04ED97C1">
      <w:pPr>
        <w:pStyle w:val="9"/>
        <w:spacing w:after="0" w:line="249" w:lineRule="auto"/>
        <w:rPr>
          <w:rFonts w:hint="eastAsia"/>
        </w:rPr>
      </w:pPr>
      <w:r>
        <w:rPr>
          <w:rFonts w:hint="eastAsia"/>
        </w:rPr>
        <w:t>Why does the Lord himself seem to be restoring it to her?</w:t>
      </w:r>
    </w:p>
    <w:p w14:paraId="1B1FD61F">
      <w:pPr>
        <w:pStyle w:val="9"/>
        <w:spacing w:after="0" w:line="249" w:lineRule="auto"/>
        <w:rPr>
          <w:rFonts w:hint="eastAsia"/>
        </w:rPr>
      </w:pPr>
      <w:r>
        <w:rPr>
          <w:rFonts w:hint="eastAsia"/>
        </w:rPr>
        <w:t>主自己为何似乎要将其恢复给她呢？</w:t>
      </w:r>
    </w:p>
    <w:p w14:paraId="438C03EE">
      <w:pPr>
        <w:pStyle w:val="9"/>
        <w:spacing w:after="0" w:line="249" w:lineRule="auto"/>
        <w:rPr>
          <w:rFonts w:hint="eastAsia"/>
        </w:rPr>
      </w:pPr>
    </w:p>
    <w:p w14:paraId="2FD3E38F">
      <w:pPr>
        <w:pStyle w:val="9"/>
        <w:spacing w:after="0" w:line="249" w:lineRule="auto"/>
        <w:rPr>
          <w:rFonts w:hint="eastAsia"/>
        </w:rPr>
      </w:pPr>
      <w:r>
        <w:rPr>
          <w:rFonts w:hint="eastAsia"/>
        </w:rPr>
        <w:t>Why is the revival of interest in amillennialism so timely?</w:t>
      </w:r>
    </w:p>
    <w:p w14:paraId="23586F17">
      <w:pPr>
        <w:pStyle w:val="9"/>
        <w:spacing w:after="0" w:line="249" w:lineRule="auto"/>
        <w:rPr>
          <w:rFonts w:hint="eastAsia"/>
        </w:rPr>
      </w:pPr>
      <w:r>
        <w:rPr>
          <w:rFonts w:hint="eastAsia"/>
        </w:rPr>
        <w:t>为何对无千禧年论的兴趣复兴如此及时？</w:t>
      </w:r>
    </w:p>
    <w:p w14:paraId="7D224C64">
      <w:pPr>
        <w:pStyle w:val="9"/>
        <w:spacing w:after="0" w:line="249" w:lineRule="auto"/>
        <w:rPr>
          <w:rFonts w:hint="eastAsia"/>
        </w:rPr>
      </w:pPr>
    </w:p>
    <w:p w14:paraId="5A3E5A20">
      <w:pPr>
        <w:pStyle w:val="9"/>
        <w:spacing w:after="0" w:line="249" w:lineRule="auto"/>
        <w:rPr>
          <w:rFonts w:hint="eastAsia"/>
        </w:rPr>
      </w:pPr>
      <w:r>
        <w:rPr>
          <w:rFonts w:hint="eastAsia"/>
        </w:rPr>
        <w:t>In short, why is amillennialism an eschatology for these last days?</w:t>
      </w:r>
    </w:p>
    <w:p w14:paraId="65E57EB2">
      <w:pPr>
        <w:pStyle w:val="9"/>
        <w:spacing w:after="0" w:line="249" w:lineRule="auto"/>
        <w:rPr>
          <w:rFonts w:hint="eastAsia"/>
        </w:rPr>
      </w:pPr>
      <w:r>
        <w:rPr>
          <w:rFonts w:hint="eastAsia"/>
        </w:rPr>
        <w:t>简而言之，为何无千禧年论是为这末世预备的末世论？</w:t>
      </w:r>
    </w:p>
    <w:p w14:paraId="7822F060">
      <w:pPr>
        <w:pStyle w:val="9"/>
        <w:spacing w:after="0" w:line="249" w:lineRule="auto"/>
        <w:rPr>
          <w:rFonts w:hint="eastAsia"/>
        </w:rPr>
      </w:pPr>
    </w:p>
    <w:p w14:paraId="43CB5AA8">
      <w:pPr>
        <w:pStyle w:val="9"/>
        <w:spacing w:after="0" w:line="249" w:lineRule="auto"/>
        <w:rPr>
          <w:rFonts w:hint="eastAsia"/>
        </w:rPr>
      </w:pPr>
      <w:r>
        <w:rPr>
          <w:rFonts w:hint="eastAsia"/>
        </w:rPr>
        <w:t>Here are my top five reasons.</w:t>
      </w:r>
    </w:p>
    <w:p w14:paraId="79454248">
      <w:pPr>
        <w:pStyle w:val="9"/>
        <w:spacing w:after="0" w:line="249" w:lineRule="auto"/>
        <w:rPr>
          <w:rFonts w:hint="eastAsia"/>
        </w:rPr>
      </w:pPr>
      <w:r>
        <w:rPr>
          <w:rFonts w:hint="eastAsia"/>
        </w:rPr>
        <w:t>以下是我的五个首要理由。</w:t>
      </w:r>
    </w:p>
    <w:p w14:paraId="205A9FD2">
      <w:pPr>
        <w:pStyle w:val="9"/>
        <w:spacing w:after="0" w:line="249" w:lineRule="auto"/>
        <w:rPr>
          <w:rFonts w:hint="eastAsia"/>
        </w:rPr>
      </w:pPr>
    </w:p>
    <w:p w14:paraId="2A75C01A">
      <w:pPr>
        <w:pStyle w:val="9"/>
        <w:spacing w:after="0" w:line="249" w:lineRule="auto"/>
        <w:rPr>
          <w:rFonts w:hint="eastAsia"/>
        </w:rPr>
      </w:pPr>
      <w:r>
        <w:rPr>
          <w:rFonts w:hint="eastAsia"/>
        </w:rPr>
        <w:t>First and foremost, amillennialism is true.</w:t>
      </w:r>
    </w:p>
    <w:p w14:paraId="13EA5D23">
      <w:pPr>
        <w:pStyle w:val="9"/>
        <w:spacing w:after="0" w:line="249" w:lineRule="auto"/>
        <w:rPr>
          <w:rFonts w:hint="eastAsia"/>
        </w:rPr>
      </w:pPr>
      <w:r>
        <w:rPr>
          <w:rFonts w:hint="eastAsia"/>
        </w:rPr>
        <w:t>首先，也是最重要的，无千禧年论是真实的。</w:t>
      </w:r>
    </w:p>
    <w:p w14:paraId="4D687F60">
      <w:pPr>
        <w:pStyle w:val="9"/>
        <w:spacing w:after="0" w:line="249" w:lineRule="auto"/>
        <w:rPr>
          <w:rFonts w:hint="eastAsia"/>
        </w:rPr>
      </w:pPr>
    </w:p>
    <w:p w14:paraId="028B9A87">
      <w:pPr>
        <w:pStyle w:val="9"/>
        <w:spacing w:after="0" w:line="249" w:lineRule="auto"/>
        <w:rPr>
          <w:rFonts w:hint="eastAsia"/>
        </w:rPr>
      </w:pPr>
      <w:r>
        <w:rPr>
          <w:rFonts w:hint="eastAsia"/>
        </w:rPr>
        <w:t>God’s truth is, of course, always good for God’s people; but it will be especially good for that portion of his people who enjoy the privileges—and endure the rigors—of the end of the age.</w:t>
      </w:r>
    </w:p>
    <w:p w14:paraId="5C8281B5">
      <w:pPr>
        <w:pStyle w:val="9"/>
        <w:spacing w:after="0" w:line="249" w:lineRule="auto"/>
        <w:rPr>
          <w:rFonts w:hint="eastAsia"/>
        </w:rPr>
      </w:pPr>
      <w:r>
        <w:rPr>
          <w:rFonts w:hint="eastAsia"/>
        </w:rPr>
        <w:t>当然，神的真理对神的子民总是有益的；但对于祂子民中那些既享有特权——又忍受着——时代终结之严酷考验的那部分人而言，它将格外有益。</w:t>
      </w:r>
    </w:p>
    <w:p w14:paraId="4F965C5A">
      <w:pPr>
        <w:pStyle w:val="9"/>
        <w:spacing w:after="0" w:line="249" w:lineRule="auto"/>
        <w:rPr>
          <w:rFonts w:hint="eastAsia"/>
        </w:rPr>
      </w:pPr>
    </w:p>
    <w:p w14:paraId="380CD29F">
      <w:pPr>
        <w:pStyle w:val="9"/>
        <w:spacing w:after="0" w:line="249" w:lineRule="auto"/>
        <w:rPr>
          <w:rFonts w:hint="eastAsia"/>
        </w:rPr>
      </w:pPr>
      <w:r>
        <w:rPr>
          <w:rFonts w:hint="eastAsia"/>
        </w:rPr>
        <w:t>Secondly, amillennialism powerfully clarifies and crystallizes the truth of the entire biblical worldview.</w:t>
      </w:r>
    </w:p>
    <w:p w14:paraId="420816F2">
      <w:pPr>
        <w:pStyle w:val="9"/>
        <w:spacing w:after="0" w:line="249" w:lineRule="auto"/>
        <w:rPr>
          <w:rFonts w:hint="eastAsia"/>
        </w:rPr>
      </w:pPr>
      <w:r>
        <w:rPr>
          <w:rFonts w:hint="eastAsia"/>
        </w:rPr>
        <w:t>其次，无千禧年论有力地澄清并具体化了整个圣经世界观的真理。</w:t>
      </w:r>
    </w:p>
    <w:p w14:paraId="73985608">
      <w:pPr>
        <w:pStyle w:val="9"/>
        <w:spacing w:after="0" w:line="249" w:lineRule="auto"/>
        <w:rPr>
          <w:rFonts w:hint="eastAsia"/>
        </w:rPr>
      </w:pPr>
    </w:p>
    <w:p w14:paraId="4E49764B">
      <w:pPr>
        <w:pStyle w:val="9"/>
        <w:spacing w:after="0" w:line="249" w:lineRule="auto"/>
        <w:rPr>
          <w:rFonts w:hint="eastAsia"/>
        </w:rPr>
      </w:pPr>
      <w:r>
        <w:rPr>
          <w:rFonts w:hint="eastAsia"/>
        </w:rPr>
        <w:t>For example, amillennialism secures for us a clear picture of the one true outline of Salvation History.</w:t>
      </w:r>
    </w:p>
    <w:p w14:paraId="45AC477F">
      <w:pPr>
        <w:pStyle w:val="9"/>
        <w:spacing w:after="0" w:line="249" w:lineRule="auto"/>
        <w:rPr>
          <w:rFonts w:hint="eastAsia"/>
        </w:rPr>
      </w:pPr>
      <w:r>
        <w:rPr>
          <w:rFonts w:hint="eastAsia"/>
        </w:rPr>
        <w:t>例如，无千禧年论为我们确保了一幅清晰的、关于救赎历史唯一真实轮廓的图画。</w:t>
      </w:r>
    </w:p>
    <w:p w14:paraId="181A6CE5">
      <w:pPr>
        <w:pStyle w:val="9"/>
        <w:spacing w:after="0" w:line="249" w:lineRule="auto"/>
        <w:rPr>
          <w:rFonts w:hint="eastAsia"/>
        </w:rPr>
      </w:pPr>
    </w:p>
    <w:p w14:paraId="0E367526">
      <w:pPr>
        <w:pStyle w:val="9"/>
        <w:spacing w:after="0" w:line="249" w:lineRule="auto"/>
        <w:rPr>
          <w:rFonts w:hint="eastAsia"/>
        </w:rPr>
      </w:pPr>
      <w:r>
        <w:rPr>
          <w:rFonts w:hint="eastAsia"/>
        </w:rPr>
        <w:t>Similarly, it rounds out biblical cosmology, which, to be complete, requires a good understanding not only of the origin, purpose, and structure of the universe, but also of its destiny.</w:t>
      </w:r>
    </w:p>
    <w:p w14:paraId="3D80F66B">
      <w:pPr>
        <w:pStyle w:val="9"/>
        <w:spacing w:after="0" w:line="249" w:lineRule="auto"/>
        <w:rPr>
          <w:rFonts w:hint="eastAsia"/>
        </w:rPr>
      </w:pPr>
      <w:r>
        <w:rPr>
          <w:rFonts w:hint="eastAsia"/>
        </w:rPr>
        <w:t>同样，它完善了圣经的宇宙论，因为要使其完整，不仅需要对宇宙的起源、目的和结构有很好的理解，还需要对其终局有很好的理解。</w:t>
      </w:r>
    </w:p>
    <w:p w14:paraId="79307D32">
      <w:pPr>
        <w:pStyle w:val="9"/>
        <w:spacing w:after="0" w:line="249" w:lineRule="auto"/>
        <w:rPr>
          <w:rFonts w:hint="eastAsia"/>
        </w:rPr>
      </w:pPr>
    </w:p>
    <w:p w14:paraId="4F1DAB68">
      <w:pPr>
        <w:pStyle w:val="9"/>
        <w:spacing w:after="0" w:line="249" w:lineRule="auto"/>
        <w:rPr>
          <w:rFonts w:hint="eastAsia"/>
        </w:rPr>
      </w:pPr>
      <w:r>
        <w:rPr>
          <w:rFonts w:hint="eastAsia"/>
        </w:rPr>
        <w:t>Also, it opens up and integrates Scripture as a whole.</w:t>
      </w:r>
    </w:p>
    <w:p w14:paraId="4F32D77C">
      <w:pPr>
        <w:pStyle w:val="9"/>
        <w:spacing w:after="0" w:line="249" w:lineRule="auto"/>
        <w:rPr>
          <w:rFonts w:hint="eastAsia"/>
        </w:rPr>
      </w:pPr>
      <w:r>
        <w:rPr>
          <w:rFonts w:hint="eastAsia"/>
        </w:rPr>
        <w:t>此外，它开启并整合了整本圣经。</w:t>
      </w:r>
    </w:p>
    <w:p w14:paraId="36663E5B">
      <w:pPr>
        <w:pStyle w:val="9"/>
        <w:spacing w:after="0" w:line="249" w:lineRule="auto"/>
        <w:rPr>
          <w:rFonts w:hint="eastAsia"/>
        </w:rPr>
      </w:pPr>
    </w:p>
    <w:p w14:paraId="2060D04C">
      <w:pPr>
        <w:pStyle w:val="9"/>
        <w:spacing w:after="0" w:line="249" w:lineRule="auto"/>
        <w:rPr>
          <w:rFonts w:hint="eastAsia"/>
        </w:rPr>
      </w:pPr>
      <w:r>
        <w:rPr>
          <w:rFonts w:hint="eastAsia"/>
        </w:rPr>
        <w:t>It does this by exalting the New and Eternal Covenant as the heart of Salvation History, and then placing the New Covenant Hermeneutic firmly in our hands, so that henceforth we are able not only to understand the Gospels and the Epistles, but also OT typology, OT Kingdom prophecy, and the Revelation.</w:t>
      </w:r>
    </w:p>
    <w:p w14:paraId="7C40EBE2">
      <w:pPr>
        <w:pStyle w:val="9"/>
        <w:spacing w:after="0" w:line="249" w:lineRule="auto"/>
        <w:rPr>
          <w:rFonts w:hint="eastAsia"/>
        </w:rPr>
      </w:pPr>
      <w:r>
        <w:rPr>
          <w:rFonts w:hint="eastAsia"/>
        </w:rPr>
        <w:t>它通过高举新约和永恒之约为救赎历史的核心来做到这一点，然后将新约的释经学稳固地交在我们手中，从而使我们此后不仅能够理解福音书和书信，还能够理解旧约的预表、旧约的国度预言以及启示录。</w:t>
      </w:r>
    </w:p>
    <w:p w14:paraId="5B732116">
      <w:pPr>
        <w:pStyle w:val="9"/>
        <w:spacing w:after="0" w:line="249" w:lineRule="auto"/>
        <w:rPr>
          <w:rFonts w:hint="eastAsia"/>
        </w:rPr>
      </w:pPr>
    </w:p>
    <w:p w14:paraId="64AF68DE">
      <w:pPr>
        <w:pStyle w:val="9"/>
        <w:spacing w:after="0" w:line="249" w:lineRule="auto"/>
        <w:rPr>
          <w:rFonts w:hint="eastAsia"/>
        </w:rPr>
      </w:pPr>
      <w:r>
        <w:rPr>
          <w:rFonts w:hint="eastAsia"/>
        </w:rPr>
        <w:t>Lest his Church be cast adrift upon the ideological crosscurrents of the last days, God must anchor her to his total truth.</w:t>
      </w:r>
    </w:p>
    <w:p w14:paraId="50299D84">
      <w:pPr>
        <w:pStyle w:val="9"/>
        <w:spacing w:after="0" w:line="249" w:lineRule="auto"/>
        <w:rPr>
          <w:rFonts w:hint="eastAsia"/>
        </w:rPr>
      </w:pPr>
      <w:r>
        <w:rPr>
          <w:rFonts w:hint="eastAsia"/>
        </w:rPr>
        <w:t>为免祂的教会在末世的意识形态乱流中漂泊，神必须将她锚定在祂完全的真理上。</w:t>
      </w:r>
    </w:p>
    <w:p w14:paraId="564A6788">
      <w:pPr>
        <w:pStyle w:val="9"/>
        <w:spacing w:after="0" w:line="249" w:lineRule="auto"/>
        <w:rPr>
          <w:rFonts w:hint="eastAsia"/>
        </w:rPr>
      </w:pPr>
    </w:p>
    <w:p w14:paraId="23F180F2">
      <w:pPr>
        <w:pStyle w:val="9"/>
        <w:spacing w:after="0" w:line="249" w:lineRule="auto"/>
        <w:rPr>
          <w:rFonts w:hint="eastAsia"/>
        </w:rPr>
      </w:pPr>
      <w:r>
        <w:rPr>
          <w:rFonts w:hint="eastAsia"/>
        </w:rPr>
        <w:t>Amillennial eschatology gives her total truth, and will hold her to it, safe and sound.</w:t>
      </w:r>
    </w:p>
    <w:p w14:paraId="5EACCA0A">
      <w:pPr>
        <w:pStyle w:val="9"/>
        <w:spacing w:after="0" w:line="249" w:lineRule="auto"/>
        <w:rPr>
          <w:rFonts w:hint="eastAsia"/>
        </w:rPr>
      </w:pPr>
      <w:r>
        <w:rPr>
          <w:rFonts w:hint="eastAsia"/>
        </w:rPr>
        <w:t>无千禧年论的末世论赐予她完全的真理，并将使她安全无虞地持守这真理。</w:t>
      </w:r>
    </w:p>
    <w:p w14:paraId="50A380C1">
      <w:pPr>
        <w:pStyle w:val="9"/>
        <w:spacing w:after="0" w:line="249" w:lineRule="auto"/>
        <w:rPr>
          <w:rFonts w:hint="eastAsia"/>
        </w:rPr>
      </w:pPr>
    </w:p>
    <w:p w14:paraId="3BBFD482">
      <w:pPr>
        <w:pStyle w:val="9"/>
        <w:spacing w:after="0" w:line="249" w:lineRule="auto"/>
        <w:rPr>
          <w:rFonts w:hint="eastAsia"/>
        </w:rPr>
      </w:pPr>
      <w:r>
        <w:rPr>
          <w:rFonts w:hint="eastAsia"/>
        </w:rPr>
        <w:t>Thirdly, amillennialism strengthens the preaching and teaching ministry of the Church.</w:t>
      </w:r>
    </w:p>
    <w:p w14:paraId="3296EA37">
      <w:pPr>
        <w:pStyle w:val="9"/>
        <w:spacing w:after="0" w:line="249" w:lineRule="auto"/>
        <w:rPr>
          <w:rFonts w:hint="eastAsia"/>
        </w:rPr>
      </w:pPr>
      <w:r>
        <w:rPr>
          <w:rFonts w:hint="eastAsia"/>
        </w:rPr>
        <w:t>第三，无千禧年论加强了教会的讲道和教导事工。</w:t>
      </w:r>
    </w:p>
    <w:p w14:paraId="25F64A43">
      <w:pPr>
        <w:pStyle w:val="9"/>
        <w:spacing w:after="0" w:line="249" w:lineRule="auto"/>
        <w:rPr>
          <w:rFonts w:hint="eastAsia"/>
        </w:rPr>
      </w:pPr>
    </w:p>
    <w:p w14:paraId="5D5C6A86">
      <w:pPr>
        <w:pStyle w:val="9"/>
        <w:spacing w:after="0" w:line="249" w:lineRule="auto"/>
        <w:rPr>
          <w:rFonts w:hint="eastAsia"/>
        </w:rPr>
      </w:pPr>
      <w:r>
        <w:rPr>
          <w:rFonts w:hint="eastAsia"/>
        </w:rPr>
        <w:t>This is a corollary of point two.</w:t>
      </w:r>
    </w:p>
    <w:p w14:paraId="2E295ED8">
      <w:pPr>
        <w:pStyle w:val="9"/>
        <w:spacing w:after="0" w:line="249" w:lineRule="auto"/>
        <w:rPr>
          <w:rFonts w:hint="eastAsia"/>
        </w:rPr>
      </w:pPr>
      <w:r>
        <w:rPr>
          <w:rFonts w:hint="eastAsia"/>
        </w:rPr>
        <w:t>这是第二点的必然结果。</w:t>
      </w:r>
    </w:p>
    <w:p w14:paraId="094AE103">
      <w:pPr>
        <w:pStyle w:val="9"/>
        <w:spacing w:after="0" w:line="249" w:lineRule="auto"/>
        <w:rPr>
          <w:rFonts w:hint="eastAsia"/>
        </w:rPr>
      </w:pPr>
    </w:p>
    <w:p w14:paraId="396ADA80">
      <w:pPr>
        <w:pStyle w:val="9"/>
        <w:spacing w:after="0" w:line="249" w:lineRule="auto"/>
        <w:rPr>
          <w:rFonts w:hint="eastAsia"/>
        </w:rPr>
      </w:pPr>
      <w:r>
        <w:rPr>
          <w:rFonts w:hint="eastAsia"/>
        </w:rPr>
        <w:t>By opening and integrating total biblical truth, amillennialism enables us to proclaim total biblical truth.</w:t>
      </w:r>
    </w:p>
    <w:p w14:paraId="3D57894D">
      <w:pPr>
        <w:pStyle w:val="9"/>
        <w:spacing w:after="0" w:line="249" w:lineRule="auto"/>
        <w:rPr>
          <w:rFonts w:hint="eastAsia"/>
        </w:rPr>
      </w:pPr>
      <w:r>
        <w:rPr>
          <w:rFonts w:hint="eastAsia"/>
        </w:rPr>
        <w:t>通过开启和整合全部的圣经真理，无千禧年论使我们能够宣讲全部的圣经真理。</w:t>
      </w:r>
    </w:p>
    <w:p w14:paraId="6421B061">
      <w:pPr>
        <w:pStyle w:val="9"/>
        <w:spacing w:after="0" w:line="249" w:lineRule="auto"/>
        <w:rPr>
          <w:rFonts w:hint="eastAsia"/>
        </w:rPr>
      </w:pPr>
    </w:p>
    <w:p w14:paraId="79789F62">
      <w:pPr>
        <w:pStyle w:val="9"/>
        <w:spacing w:after="0" w:line="249" w:lineRule="auto"/>
        <w:rPr>
          <w:rFonts w:hint="eastAsia"/>
        </w:rPr>
      </w:pPr>
      <w:r>
        <w:rPr>
          <w:rFonts w:hint="eastAsia"/>
        </w:rPr>
        <w:t>In particular, it empowers evangelists, teachers, and prophets to proclaim the Gospel not only from the Gospels and the Epistles, but also from OT history, OTKP, and the Revelation.</w:t>
      </w:r>
    </w:p>
    <w:p w14:paraId="1329EC20">
      <w:pPr>
        <w:pStyle w:val="9"/>
        <w:spacing w:after="0" w:line="249" w:lineRule="auto"/>
        <w:rPr>
          <w:rFonts w:hint="eastAsia"/>
        </w:rPr>
      </w:pPr>
      <w:r>
        <w:rPr>
          <w:rFonts w:hint="eastAsia"/>
        </w:rPr>
        <w:t>具体来说，它赋予传福音者、教师和先知能力，不仅能从福音书和书信中，也能从旧约历史、旧约国度预言和启示录中宣讲福音。</w:t>
      </w:r>
    </w:p>
    <w:p w14:paraId="4224471E">
      <w:pPr>
        <w:pStyle w:val="9"/>
        <w:spacing w:after="0" w:line="249" w:lineRule="auto"/>
        <w:rPr>
          <w:rFonts w:hint="eastAsia"/>
        </w:rPr>
      </w:pPr>
    </w:p>
    <w:p w14:paraId="770EBFB4">
      <w:pPr>
        <w:pStyle w:val="9"/>
        <w:spacing w:after="0" w:line="249" w:lineRule="auto"/>
        <w:rPr>
          <w:rFonts w:hint="eastAsia"/>
        </w:rPr>
      </w:pPr>
      <w:r>
        <w:rPr>
          <w:rFonts w:hint="eastAsia"/>
        </w:rPr>
        <w:t>It empowers them to preach Christ, not only in his life, death, and resurrection, but also in his present heavenly reign and future Coming again.</w:t>
      </w:r>
    </w:p>
    <w:p w14:paraId="3AE88AD0">
      <w:pPr>
        <w:pStyle w:val="9"/>
        <w:spacing w:after="0" w:line="249" w:lineRule="auto"/>
        <w:rPr>
          <w:rFonts w:hint="eastAsia"/>
        </w:rPr>
      </w:pPr>
      <w:r>
        <w:rPr>
          <w:rFonts w:hint="eastAsia"/>
        </w:rPr>
        <w:t>它赋予他们能力去传讲基督，不仅是传讲祂的生、死和复活，也传讲祂如今在天上的统治和未来的再次降临。</w:t>
      </w:r>
    </w:p>
    <w:p w14:paraId="6E37399E">
      <w:pPr>
        <w:pStyle w:val="9"/>
        <w:spacing w:after="0" w:line="249" w:lineRule="auto"/>
        <w:rPr>
          <w:rFonts w:hint="eastAsia"/>
        </w:rPr>
      </w:pPr>
    </w:p>
    <w:p w14:paraId="149380DD">
      <w:pPr>
        <w:pStyle w:val="9"/>
        <w:spacing w:after="0" w:line="249" w:lineRule="auto"/>
        <w:rPr>
          <w:rFonts w:hint="eastAsia"/>
        </w:rPr>
      </w:pPr>
      <w:r>
        <w:rPr>
          <w:rFonts w:hint="eastAsia"/>
        </w:rPr>
        <w:t>It empowers them boldly to sing and shout and trumpet the signs of the times, the one Parousia, the one Resurrection, the one Judgment, and the one new World to Come.</w:t>
      </w:r>
    </w:p>
    <w:p w14:paraId="2F4B80A2">
      <w:pPr>
        <w:pStyle w:val="9"/>
        <w:spacing w:after="0" w:line="249" w:lineRule="auto"/>
        <w:rPr>
          <w:rFonts w:hint="eastAsia"/>
        </w:rPr>
      </w:pPr>
      <w:r>
        <w:rPr>
          <w:rFonts w:hint="eastAsia"/>
        </w:rPr>
        <w:t>它赋予他们能力去大胆地歌唱、呼喊和吹响时代的预兆、那唯一的再来、那唯一的复活、那唯一的审判以及那唯一要来的新世界。</w:t>
      </w:r>
    </w:p>
    <w:p w14:paraId="20C87973">
      <w:pPr>
        <w:pStyle w:val="9"/>
        <w:spacing w:after="0" w:line="249" w:lineRule="auto"/>
        <w:rPr>
          <w:rFonts w:hint="eastAsia"/>
        </w:rPr>
      </w:pPr>
    </w:p>
    <w:p w14:paraId="5617F88E">
      <w:pPr>
        <w:pStyle w:val="9"/>
        <w:spacing w:after="0" w:line="249" w:lineRule="auto"/>
        <w:rPr>
          <w:rFonts w:hint="eastAsia"/>
        </w:rPr>
      </w:pPr>
      <w:r>
        <w:rPr>
          <w:rFonts w:hint="eastAsia"/>
        </w:rPr>
        <w:t>In short, amillennialism enables them to bring the full force of God’s total truth to bear upon saints and sinners alike.</w:t>
      </w:r>
    </w:p>
    <w:p w14:paraId="1C15452A">
      <w:pPr>
        <w:pStyle w:val="9"/>
        <w:spacing w:after="0" w:line="249" w:lineRule="auto"/>
        <w:rPr>
          <w:rFonts w:hint="eastAsia"/>
        </w:rPr>
      </w:pPr>
      <w:r>
        <w:rPr>
          <w:rFonts w:hint="eastAsia"/>
        </w:rPr>
        <w:t>简而言之，无千禧年论使他们能够将神全部真理的全部力量，同时施加在圣徒和罪人身上。</w:t>
      </w:r>
    </w:p>
    <w:p w14:paraId="36E1B8BB">
      <w:pPr>
        <w:pStyle w:val="9"/>
        <w:spacing w:after="0" w:line="249" w:lineRule="auto"/>
        <w:rPr>
          <w:rFonts w:hint="eastAsia"/>
        </w:rPr>
      </w:pPr>
    </w:p>
    <w:p w14:paraId="26F4992F">
      <w:pPr>
        <w:pStyle w:val="9"/>
        <w:spacing w:after="0" w:line="249" w:lineRule="auto"/>
        <w:rPr>
          <w:rFonts w:hint="eastAsia"/>
        </w:rPr>
      </w:pPr>
      <w:r>
        <w:rPr>
          <w:rFonts w:hint="eastAsia"/>
        </w:rPr>
        <w:t>In the days ahead, we will need it as never before.</w:t>
      </w:r>
    </w:p>
    <w:p w14:paraId="029980DE">
      <w:pPr>
        <w:pStyle w:val="9"/>
        <w:spacing w:after="0" w:line="249" w:lineRule="auto"/>
        <w:rPr>
          <w:rFonts w:hint="eastAsia"/>
        </w:rPr>
      </w:pPr>
      <w:r>
        <w:rPr>
          <w:rFonts w:hint="eastAsia"/>
        </w:rPr>
        <w:t>在未来的日子里，我们将前所未有地需要它。</w:t>
      </w:r>
    </w:p>
    <w:p w14:paraId="4E125277">
      <w:pPr>
        <w:pStyle w:val="9"/>
        <w:spacing w:after="0" w:line="249" w:lineRule="auto"/>
        <w:rPr>
          <w:rFonts w:hint="eastAsia"/>
        </w:rPr>
      </w:pPr>
    </w:p>
    <w:p w14:paraId="63343995">
      <w:pPr>
        <w:pStyle w:val="9"/>
        <w:spacing w:after="0" w:line="249" w:lineRule="auto"/>
        <w:rPr>
          <w:rFonts w:hint="eastAsia"/>
        </w:rPr>
      </w:pPr>
      <w:r>
        <w:rPr>
          <w:rFonts w:hint="eastAsia"/>
        </w:rPr>
        <w:t>Fourthly, amillennialism restores to the Church a true vision of Christ at his Coming, a true vision of her Blessed Hope.</w:t>
      </w:r>
    </w:p>
    <w:p w14:paraId="268DBB42">
      <w:pPr>
        <w:pStyle w:val="9"/>
        <w:spacing w:after="0" w:line="249" w:lineRule="auto"/>
        <w:rPr>
          <w:rFonts w:hint="eastAsia"/>
        </w:rPr>
      </w:pPr>
      <w:r>
        <w:rPr>
          <w:rFonts w:hint="eastAsia"/>
        </w:rPr>
        <w:t>第四，无千禧年论为教会恢复了关于基督在祂再来时的真实异象，即她那有福盼望的真实异象。</w:t>
      </w:r>
    </w:p>
    <w:p w14:paraId="506BA5BA">
      <w:pPr>
        <w:pStyle w:val="9"/>
        <w:spacing w:after="0" w:line="249" w:lineRule="auto"/>
        <w:rPr>
          <w:rFonts w:hint="eastAsia"/>
        </w:rPr>
      </w:pPr>
    </w:p>
    <w:p w14:paraId="67F3F67D">
      <w:pPr>
        <w:pStyle w:val="9"/>
        <w:spacing w:after="0" w:line="249" w:lineRule="auto"/>
        <w:rPr>
          <w:rFonts w:hint="eastAsia"/>
        </w:rPr>
      </w:pPr>
      <w:r>
        <w:rPr>
          <w:rFonts w:hint="eastAsia"/>
        </w:rPr>
        <w:t>As I argued earlier, for a longish season smoke arising from the abyss has darkened that particular sun (Rev. 9:1-2).</w:t>
      </w:r>
    </w:p>
    <w:p w14:paraId="26F15AB4">
      <w:pPr>
        <w:pStyle w:val="9"/>
        <w:spacing w:after="0" w:line="249" w:lineRule="auto"/>
        <w:rPr>
          <w:rFonts w:hint="eastAsia"/>
        </w:rPr>
      </w:pPr>
      <w:r>
        <w:rPr>
          <w:rFonts w:hint="eastAsia"/>
        </w:rPr>
        <w:t>正如我之前所论证的，在相当长的一段时间里，从无底坑里冒出来的烟，熏暗了那个特定的太阳（启9:1-2）。</w:t>
      </w:r>
    </w:p>
    <w:p w14:paraId="2079B21A">
      <w:pPr>
        <w:pStyle w:val="9"/>
        <w:spacing w:after="0" w:line="249" w:lineRule="auto"/>
        <w:rPr>
          <w:rFonts w:hint="eastAsia"/>
        </w:rPr>
      </w:pPr>
    </w:p>
    <w:p w14:paraId="7DCAA826">
      <w:pPr>
        <w:pStyle w:val="9"/>
        <w:spacing w:after="0" w:line="249" w:lineRule="auto"/>
        <w:rPr>
          <w:rFonts w:hint="eastAsia"/>
        </w:rPr>
      </w:pPr>
      <w:r>
        <w:rPr>
          <w:rFonts w:hint="eastAsia"/>
        </w:rPr>
        <w:t>Now, however, the Lord is clearing the air.</w:t>
      </w:r>
    </w:p>
    <w:p w14:paraId="177C8525">
      <w:pPr>
        <w:pStyle w:val="9"/>
        <w:spacing w:after="0" w:line="249" w:lineRule="auto"/>
        <w:rPr>
          <w:rFonts w:hint="eastAsia"/>
        </w:rPr>
      </w:pPr>
      <w:r>
        <w:rPr>
          <w:rFonts w:hint="eastAsia"/>
        </w:rPr>
        <w:t>然而，现在，主正在澄清空气。</w:t>
      </w:r>
    </w:p>
    <w:p w14:paraId="00F4082A">
      <w:pPr>
        <w:pStyle w:val="9"/>
        <w:spacing w:after="0" w:line="249" w:lineRule="auto"/>
        <w:rPr>
          <w:rFonts w:hint="eastAsia"/>
        </w:rPr>
      </w:pPr>
    </w:p>
    <w:p w14:paraId="1F5E3B3D">
      <w:pPr>
        <w:pStyle w:val="9"/>
        <w:spacing w:after="0" w:line="249" w:lineRule="auto"/>
        <w:rPr>
          <w:rFonts w:hint="eastAsia"/>
        </w:rPr>
      </w:pPr>
      <w:r>
        <w:rPr>
          <w:rFonts w:hint="eastAsia"/>
        </w:rPr>
        <w:t>As he does, the Bride suddenly beholds her coming King afresh, not only up above, but also up ahead.</w:t>
      </w:r>
    </w:p>
    <w:p w14:paraId="7C06C4F2">
      <w:pPr>
        <w:pStyle w:val="9"/>
        <w:spacing w:after="0" w:line="249" w:lineRule="auto"/>
        <w:rPr>
          <w:rFonts w:hint="eastAsia"/>
        </w:rPr>
      </w:pPr>
      <w:r>
        <w:rPr>
          <w:rFonts w:hint="eastAsia"/>
        </w:rPr>
        <w:t>当祂这样做时，新妇突然重新看见她将要来临的君王，不仅在天上，也在前方。</w:t>
      </w:r>
    </w:p>
    <w:p w14:paraId="56C47050">
      <w:pPr>
        <w:pStyle w:val="9"/>
        <w:spacing w:after="0" w:line="249" w:lineRule="auto"/>
        <w:rPr>
          <w:rFonts w:hint="eastAsia"/>
        </w:rPr>
      </w:pPr>
    </w:p>
    <w:p w14:paraId="51A08935">
      <w:pPr>
        <w:pStyle w:val="9"/>
        <w:spacing w:after="0" w:line="249" w:lineRule="auto"/>
        <w:rPr>
          <w:rFonts w:hint="eastAsia"/>
        </w:rPr>
      </w:pPr>
      <w:r>
        <w:rPr>
          <w:rFonts w:hint="eastAsia"/>
        </w:rPr>
        <w:t>The vision is breathtaking, filling her eyes with his glory, majesty, and power.</w:t>
      </w:r>
    </w:p>
    <w:p w14:paraId="30B07049">
      <w:pPr>
        <w:pStyle w:val="9"/>
        <w:spacing w:after="0" w:line="249" w:lineRule="auto"/>
        <w:rPr>
          <w:rFonts w:hint="eastAsia"/>
        </w:rPr>
      </w:pPr>
      <w:r>
        <w:rPr>
          <w:rFonts w:hint="eastAsia"/>
        </w:rPr>
        <w:t>这异象令人叹为观止，使她的眼中充满了祂的荣耀、威严和权能。</w:t>
      </w:r>
    </w:p>
    <w:p w14:paraId="1C4AB93A">
      <w:pPr>
        <w:pStyle w:val="9"/>
        <w:spacing w:after="0" w:line="249" w:lineRule="auto"/>
        <w:rPr>
          <w:rFonts w:hint="eastAsia"/>
        </w:rPr>
      </w:pPr>
    </w:p>
    <w:p w14:paraId="5FA3C127">
      <w:pPr>
        <w:pStyle w:val="9"/>
        <w:spacing w:after="0" w:line="249" w:lineRule="auto"/>
        <w:rPr>
          <w:rFonts w:hint="eastAsia"/>
        </w:rPr>
      </w:pPr>
      <w:r>
        <w:rPr>
          <w:rFonts w:hint="eastAsia"/>
        </w:rPr>
        <w:t>Contemplating the Momentous Event that soon will come to pass, she cries, “My Beloved is dazzling, outstanding among ten thousand!”</w:t>
      </w:r>
    </w:p>
    <w:p w14:paraId="3427395B">
      <w:pPr>
        <w:pStyle w:val="9"/>
        <w:spacing w:after="0" w:line="249" w:lineRule="auto"/>
        <w:rPr>
          <w:rFonts w:hint="eastAsia"/>
        </w:rPr>
      </w:pPr>
      <w:r>
        <w:rPr>
          <w:rFonts w:hint="eastAsia"/>
        </w:rPr>
        <w:t>默想着那即将发生的重大事件，她呼喊道：“我的良人白而且红，超乎万人之上！”</w:t>
      </w:r>
    </w:p>
    <w:p w14:paraId="2DBC09A5">
      <w:pPr>
        <w:pStyle w:val="9"/>
        <w:spacing w:after="0" w:line="249" w:lineRule="auto"/>
        <w:rPr>
          <w:rFonts w:hint="eastAsia"/>
        </w:rPr>
      </w:pPr>
    </w:p>
    <w:p w14:paraId="7F9346CF">
      <w:pPr>
        <w:pStyle w:val="9"/>
        <w:spacing w:after="0" w:line="249" w:lineRule="auto"/>
        <w:rPr>
          <w:rFonts w:hint="eastAsia"/>
        </w:rPr>
      </w:pPr>
      <w:r>
        <w:rPr>
          <w:rFonts w:hint="eastAsia"/>
        </w:rPr>
        <w:t>This vision is not simply a means to an end.</w:t>
      </w:r>
    </w:p>
    <w:p w14:paraId="716A9BAE">
      <w:pPr>
        <w:pStyle w:val="9"/>
        <w:spacing w:after="0" w:line="249" w:lineRule="auto"/>
        <w:rPr>
          <w:rFonts w:hint="eastAsia"/>
        </w:rPr>
      </w:pPr>
      <w:r>
        <w:rPr>
          <w:rFonts w:hint="eastAsia"/>
        </w:rPr>
        <w:t>这个异象不仅仅是达到目的的手段。</w:t>
      </w:r>
    </w:p>
    <w:p w14:paraId="47FF2D3D">
      <w:pPr>
        <w:pStyle w:val="9"/>
        <w:spacing w:after="0" w:line="249" w:lineRule="auto"/>
        <w:rPr>
          <w:rFonts w:hint="eastAsia"/>
        </w:rPr>
      </w:pPr>
    </w:p>
    <w:p w14:paraId="4B8A5B78">
      <w:pPr>
        <w:pStyle w:val="9"/>
        <w:spacing w:after="0" w:line="249" w:lineRule="auto"/>
        <w:rPr>
          <w:rFonts w:hint="eastAsia"/>
        </w:rPr>
      </w:pPr>
      <w:r>
        <w:rPr>
          <w:rFonts w:hint="eastAsia"/>
        </w:rPr>
        <w:t>It is an intrinsic good.</w:t>
      </w:r>
    </w:p>
    <w:p w14:paraId="6625BF4C">
      <w:pPr>
        <w:pStyle w:val="9"/>
        <w:spacing w:after="0" w:line="249" w:lineRule="auto"/>
        <w:rPr>
          <w:rFonts w:hint="eastAsia"/>
        </w:rPr>
      </w:pPr>
      <w:r>
        <w:rPr>
          <w:rFonts w:hint="eastAsia"/>
        </w:rPr>
        <w:t>它本身就是一种固有的善。</w:t>
      </w:r>
    </w:p>
    <w:p w14:paraId="035862B8">
      <w:pPr>
        <w:pStyle w:val="9"/>
        <w:spacing w:after="0" w:line="249" w:lineRule="auto"/>
        <w:rPr>
          <w:rFonts w:hint="eastAsia"/>
        </w:rPr>
      </w:pPr>
    </w:p>
    <w:p w14:paraId="20E4E89A">
      <w:pPr>
        <w:pStyle w:val="9"/>
        <w:spacing w:after="0" w:line="249" w:lineRule="auto"/>
        <w:rPr>
          <w:rFonts w:hint="eastAsia"/>
        </w:rPr>
      </w:pPr>
      <w:r>
        <w:rPr>
          <w:rFonts w:hint="eastAsia"/>
        </w:rPr>
        <w:t>The Father has sent the Son to redeem a holy people, so that they might behold the glory of God in the face of Jesus Christ—and live.</w:t>
      </w:r>
    </w:p>
    <w:p w14:paraId="4B9B4347">
      <w:pPr>
        <w:pStyle w:val="9"/>
        <w:spacing w:after="0" w:line="249" w:lineRule="auto"/>
        <w:rPr>
          <w:rFonts w:hint="eastAsia"/>
        </w:rPr>
      </w:pPr>
      <w:r>
        <w:rPr>
          <w:rFonts w:hint="eastAsia"/>
        </w:rPr>
        <w:t>父差遣子来救赎一群圣洁的子民，好让他们可以在耶稣基督的脸上看见神的荣耀——并且活着。</w:t>
      </w:r>
    </w:p>
    <w:p w14:paraId="23B6D529">
      <w:pPr>
        <w:pStyle w:val="9"/>
        <w:spacing w:after="0" w:line="249" w:lineRule="auto"/>
        <w:rPr>
          <w:rFonts w:hint="eastAsia"/>
        </w:rPr>
      </w:pPr>
    </w:p>
    <w:p w14:paraId="713031E5">
      <w:pPr>
        <w:pStyle w:val="9"/>
        <w:spacing w:after="0" w:line="249" w:lineRule="auto"/>
        <w:rPr>
          <w:rFonts w:hint="eastAsia"/>
        </w:rPr>
      </w:pPr>
      <w:r>
        <w:rPr>
          <w:rFonts w:hint="eastAsia"/>
        </w:rPr>
        <w:t>Amillennialism, in giving us back our Blessed Hope, gives us a fresh sighting of the High King of Heaven, and so a fresh infusion of the divine life.</w:t>
      </w:r>
    </w:p>
    <w:p w14:paraId="34ACD820">
      <w:pPr>
        <w:pStyle w:val="9"/>
        <w:spacing w:after="0" w:line="249" w:lineRule="auto"/>
        <w:rPr>
          <w:rFonts w:hint="eastAsia"/>
        </w:rPr>
      </w:pPr>
      <w:r>
        <w:rPr>
          <w:rFonts w:hint="eastAsia"/>
        </w:rPr>
        <w:t>无千禧年论，在将我们有福的盼望还给我们时，也让我们重新看见天上的至高君王，从而为我们注入了新的神圣生命。</w:t>
      </w:r>
    </w:p>
    <w:p w14:paraId="48180088">
      <w:pPr>
        <w:pStyle w:val="9"/>
        <w:spacing w:after="0" w:line="249" w:lineRule="auto"/>
        <w:rPr>
          <w:rFonts w:hint="eastAsia"/>
        </w:rPr>
      </w:pPr>
    </w:p>
    <w:p w14:paraId="561EE00B">
      <w:pPr>
        <w:pStyle w:val="9"/>
        <w:spacing w:after="0" w:line="249" w:lineRule="auto"/>
        <w:rPr>
          <w:rFonts w:hint="eastAsia"/>
        </w:rPr>
      </w:pPr>
      <w:r>
        <w:rPr>
          <w:rFonts w:hint="eastAsia"/>
        </w:rPr>
        <w:t>But fifthly, amillennialism is indeed useful, even vital—especially in these last days.</w:t>
      </w:r>
    </w:p>
    <w:p w14:paraId="741AB609">
      <w:pPr>
        <w:pStyle w:val="9"/>
        <w:spacing w:after="0" w:line="249" w:lineRule="auto"/>
        <w:rPr>
          <w:rFonts w:hint="eastAsia"/>
        </w:rPr>
      </w:pPr>
      <w:r>
        <w:rPr>
          <w:rFonts w:hint="eastAsia"/>
        </w:rPr>
        <w:t>但是第五点，无千禧年论确实是有用的，甚至是至关重要的——尤其是在这末世。</w:t>
      </w:r>
    </w:p>
    <w:p w14:paraId="1AEFA438">
      <w:pPr>
        <w:pStyle w:val="9"/>
        <w:spacing w:after="0" w:line="249" w:lineRule="auto"/>
        <w:rPr>
          <w:rFonts w:hint="eastAsia"/>
        </w:rPr>
      </w:pPr>
    </w:p>
    <w:p w14:paraId="48FD22A9">
      <w:pPr>
        <w:pStyle w:val="9"/>
        <w:spacing w:after="0" w:line="249" w:lineRule="auto"/>
        <w:rPr>
          <w:rFonts w:hint="eastAsia"/>
        </w:rPr>
      </w:pPr>
      <w:r>
        <w:rPr>
          <w:rFonts w:hint="eastAsia"/>
        </w:rPr>
        <w:t>Over and again, we have seen why.</w:t>
      </w:r>
    </w:p>
    <w:p w14:paraId="4432BC6B">
      <w:pPr>
        <w:pStyle w:val="9"/>
        <w:spacing w:after="0" w:line="249" w:lineRule="auto"/>
        <w:rPr>
          <w:rFonts w:hint="eastAsia"/>
        </w:rPr>
      </w:pPr>
      <w:r>
        <w:rPr>
          <w:rFonts w:hint="eastAsia"/>
        </w:rPr>
        <w:t>我们已经一次又一次地看到了原因。</w:t>
      </w:r>
    </w:p>
    <w:p w14:paraId="0850A694">
      <w:pPr>
        <w:pStyle w:val="9"/>
        <w:spacing w:after="0" w:line="249" w:lineRule="auto"/>
        <w:rPr>
          <w:rFonts w:hint="eastAsia"/>
        </w:rPr>
      </w:pPr>
    </w:p>
    <w:p w14:paraId="052D8A4D">
      <w:pPr>
        <w:pStyle w:val="9"/>
        <w:spacing w:after="0" w:line="249" w:lineRule="auto"/>
        <w:rPr>
          <w:rFonts w:hint="eastAsia"/>
        </w:rPr>
      </w:pPr>
      <w:r>
        <w:rPr>
          <w:rFonts w:hint="eastAsia"/>
        </w:rPr>
        <w:t>Opening a window onto the true Consummation, it lets light from God’s true future pour into the perplexing present, filling the hearts of the saints with the clarity, joy, and zeal of Christ himself.</w:t>
      </w:r>
    </w:p>
    <w:p w14:paraId="453C22C1">
      <w:pPr>
        <w:pStyle w:val="9"/>
        <w:spacing w:after="0" w:line="249" w:lineRule="auto"/>
        <w:rPr>
          <w:rFonts w:hint="eastAsia"/>
        </w:rPr>
      </w:pPr>
      <w:r>
        <w:rPr>
          <w:rFonts w:hint="eastAsia"/>
        </w:rPr>
        <w:t>它打开一扇通往真实结局的窗户，让来自神真实未来的光芒倾泻到令人困惑的现在，用基督祂自己的清晰、喜乐和热忱充满圣徒的心。</w:t>
      </w:r>
    </w:p>
    <w:p w14:paraId="7CD7E1FC">
      <w:pPr>
        <w:pStyle w:val="9"/>
        <w:spacing w:after="0" w:line="249" w:lineRule="auto"/>
        <w:rPr>
          <w:rFonts w:hint="eastAsia"/>
        </w:rPr>
      </w:pPr>
    </w:p>
    <w:p w14:paraId="0A17E7E9">
      <w:pPr>
        <w:pStyle w:val="9"/>
        <w:spacing w:after="0" w:line="249" w:lineRule="auto"/>
        <w:rPr>
          <w:rFonts w:hint="eastAsia"/>
        </w:rPr>
      </w:pPr>
      <w:r>
        <w:rPr>
          <w:rFonts w:hint="eastAsia"/>
        </w:rPr>
        <w:t>Thus filled, the Bride becomes strong for outreach, steady amidst the birth pangs, proof against lies and error, holy before the rising tide of lawlessness, and courageous in the face of severe persecution.</w:t>
      </w:r>
    </w:p>
    <w:p w14:paraId="195D2599">
      <w:pPr>
        <w:pStyle w:val="9"/>
        <w:spacing w:after="0" w:line="249" w:lineRule="auto"/>
        <w:rPr>
          <w:rFonts w:hint="eastAsia"/>
        </w:rPr>
      </w:pPr>
      <w:r>
        <w:rPr>
          <w:rFonts w:hint="eastAsia"/>
        </w:rPr>
        <w:t>如此被充满，新妇就变得刚强，能够拓展外展事工，在产难中站立得稳，能抵挡谎言和错误，在无法无天的浪潮面前保持圣洁，并在严酷的逼迫面前勇敢无畏。</w:t>
      </w:r>
    </w:p>
    <w:p w14:paraId="793C50E3">
      <w:pPr>
        <w:pStyle w:val="9"/>
        <w:spacing w:after="0" w:line="249" w:lineRule="auto"/>
        <w:rPr>
          <w:rFonts w:hint="eastAsia"/>
        </w:rPr>
      </w:pPr>
    </w:p>
    <w:p w14:paraId="52EEFCBB">
      <w:pPr>
        <w:pStyle w:val="9"/>
        <w:spacing w:after="0" w:line="249" w:lineRule="auto"/>
        <w:rPr>
          <w:rFonts w:hint="eastAsia"/>
        </w:rPr>
      </w:pPr>
      <w:r>
        <w:rPr>
          <w:rFonts w:hint="eastAsia"/>
        </w:rPr>
        <w:t>Indeed, as her heavenly Husband washes her eyes with the water of his Word, the veil between the present and the future grows so thin that she seems to see her King standing before her very eyes.</w:t>
      </w:r>
    </w:p>
    <w:p w14:paraId="28EBE9F7">
      <w:pPr>
        <w:pStyle w:val="9"/>
        <w:spacing w:after="0" w:line="249" w:lineRule="auto"/>
        <w:rPr>
          <w:rFonts w:hint="eastAsia"/>
        </w:rPr>
      </w:pPr>
      <w:r>
        <w:rPr>
          <w:rFonts w:hint="eastAsia"/>
        </w:rPr>
        <w:t>的确，当她属天的丈夫用祂话语的水洗净她的眼睛时，现在与未来之间的幔子变得如此之薄，以至于她似乎看见她的君王就站在她的眼前。</w:t>
      </w:r>
    </w:p>
    <w:p w14:paraId="025047F7">
      <w:pPr>
        <w:pStyle w:val="9"/>
        <w:spacing w:after="0" w:line="249" w:lineRule="auto"/>
        <w:rPr>
          <w:rFonts w:hint="eastAsia"/>
        </w:rPr>
      </w:pPr>
    </w:p>
    <w:p w14:paraId="0194D603">
      <w:pPr>
        <w:pStyle w:val="9"/>
        <w:spacing w:after="0" w:line="249" w:lineRule="auto"/>
        <w:rPr>
          <w:rFonts w:hint="eastAsia"/>
        </w:rPr>
      </w:pPr>
      <w:r>
        <w:rPr>
          <w:rFonts w:hint="eastAsia"/>
        </w:rPr>
        <w:t>With love and longing, she cries, “Come!”</w:t>
      </w:r>
    </w:p>
    <w:p w14:paraId="06E8603E">
      <w:pPr>
        <w:pStyle w:val="9"/>
        <w:spacing w:after="0" w:line="249" w:lineRule="auto"/>
        <w:rPr>
          <w:rFonts w:hint="eastAsia"/>
        </w:rPr>
      </w:pPr>
      <w:r>
        <w:rPr>
          <w:rFonts w:hint="eastAsia"/>
        </w:rPr>
        <w:t>带着爱与渴望，她呼喊道：“来吧！”</w:t>
      </w:r>
    </w:p>
    <w:p w14:paraId="0FA73DD5">
      <w:pPr>
        <w:pStyle w:val="9"/>
        <w:spacing w:after="0" w:line="249" w:lineRule="auto"/>
        <w:rPr>
          <w:rFonts w:hint="eastAsia"/>
        </w:rPr>
      </w:pPr>
    </w:p>
    <w:p w14:paraId="06246006">
      <w:pPr>
        <w:pStyle w:val="9"/>
        <w:spacing w:after="0" w:line="249" w:lineRule="auto"/>
        <w:rPr>
          <w:rFonts w:hint="eastAsia"/>
        </w:rPr>
      </w:pPr>
      <w:r>
        <w:rPr>
          <w:rFonts w:hint="eastAsia"/>
        </w:rPr>
        <w:t>With love and longing, he replies, “Yes, my Beloved, I am coming quickly. Be faithful until death, and I will give you the crown of life.”</w:t>
      </w:r>
    </w:p>
    <w:p w14:paraId="3FAE2B5C">
      <w:pPr>
        <w:pStyle w:val="9"/>
        <w:spacing w:after="0" w:line="249" w:lineRule="auto"/>
        <w:rPr>
          <w:rFonts w:hint="eastAsia"/>
        </w:rPr>
      </w:pPr>
      <w:r>
        <w:rPr>
          <w:rFonts w:hint="eastAsia"/>
        </w:rPr>
        <w:t>带着爱与渴望，祂回答说：“是的，我的佳偶，我必快来。你务要至死忠心，我就赐给你那生命的冠冕。”</w:t>
      </w:r>
    </w:p>
    <w:p w14:paraId="4E950EE9">
      <w:pPr>
        <w:pStyle w:val="9"/>
        <w:spacing w:after="0" w:line="249" w:lineRule="auto"/>
        <w:rPr>
          <w:rFonts w:hint="eastAsia"/>
        </w:rPr>
      </w:pPr>
    </w:p>
    <w:p w14:paraId="02801F1C">
      <w:pPr>
        <w:pStyle w:val="9"/>
        <w:spacing w:after="0" w:line="249" w:lineRule="auto"/>
        <w:rPr>
          <w:rFonts w:hint="eastAsia"/>
        </w:rPr>
      </w:pPr>
      <w:r>
        <w:rPr>
          <w:rFonts w:hint="eastAsia"/>
        </w:rPr>
        <w:t>Appendix 1</w:t>
      </w:r>
    </w:p>
    <w:p w14:paraId="57EE085D">
      <w:pPr>
        <w:pStyle w:val="9"/>
        <w:spacing w:after="0" w:line="249" w:lineRule="auto"/>
        <w:rPr>
          <w:rFonts w:hint="eastAsia"/>
        </w:rPr>
      </w:pPr>
      <w:r>
        <w:rPr>
          <w:rFonts w:hint="eastAsia"/>
        </w:rPr>
        <w:t>附录1</w:t>
      </w:r>
    </w:p>
    <w:p w14:paraId="0B1DE677">
      <w:pPr>
        <w:pStyle w:val="9"/>
        <w:spacing w:after="0" w:line="249" w:lineRule="auto"/>
        <w:rPr>
          <w:rFonts w:hint="eastAsia"/>
        </w:rPr>
      </w:pPr>
    </w:p>
    <w:p w14:paraId="4AD58C9A">
      <w:pPr>
        <w:pStyle w:val="9"/>
        <w:spacing w:after="0" w:line="249" w:lineRule="auto"/>
        <w:rPr>
          <w:rFonts w:hint="eastAsia"/>
        </w:rPr>
      </w:pPr>
      <w:r>
        <w:rPr>
          <w:rFonts w:hint="eastAsia"/>
        </w:rPr>
        <w:t>A Critique of Historic Premillennialism</w:t>
      </w:r>
    </w:p>
    <w:p w14:paraId="7A11B04B">
      <w:pPr>
        <w:pStyle w:val="9"/>
        <w:spacing w:after="0" w:line="249" w:lineRule="auto"/>
        <w:rPr>
          <w:rFonts w:hint="eastAsia"/>
        </w:rPr>
      </w:pPr>
      <w:r>
        <w:rPr>
          <w:rFonts w:hint="eastAsia"/>
        </w:rPr>
        <w:t>对历史前千禧年论的批判</w:t>
      </w:r>
    </w:p>
    <w:p w14:paraId="2470E888">
      <w:pPr>
        <w:pStyle w:val="9"/>
        <w:spacing w:after="0" w:line="249" w:lineRule="auto"/>
        <w:rPr>
          <w:rFonts w:hint="eastAsia"/>
        </w:rPr>
      </w:pPr>
    </w:p>
    <w:p w14:paraId="6C7CA05A">
      <w:pPr>
        <w:pStyle w:val="9"/>
        <w:spacing w:after="0" w:line="249" w:lineRule="auto"/>
        <w:rPr>
          <w:rFonts w:hint="eastAsia"/>
        </w:rPr>
      </w:pPr>
      <w:r>
        <w:rPr>
          <w:rFonts w:hint="eastAsia"/>
        </w:rPr>
        <w:t>THIS IS THE first of four appendices in which I offer brief critiques of the main eschatological options before evangelical Christians.</w:t>
      </w:r>
    </w:p>
    <w:p w14:paraId="0BC95320">
      <w:pPr>
        <w:pStyle w:val="9"/>
        <w:spacing w:after="0" w:line="249" w:lineRule="auto"/>
        <w:rPr>
          <w:rFonts w:hint="eastAsia"/>
        </w:rPr>
      </w:pPr>
      <w:r>
        <w:rPr>
          <w:rFonts w:hint="eastAsia"/>
        </w:rPr>
        <w:t>这是四个附录中的第一个，在其中我将对福音派基督徒面前的主要末世论选项进行简要的批判。</w:t>
      </w:r>
    </w:p>
    <w:p w14:paraId="626A668A">
      <w:pPr>
        <w:pStyle w:val="9"/>
        <w:spacing w:after="0" w:line="249" w:lineRule="auto"/>
        <w:rPr>
          <w:rFonts w:hint="eastAsia"/>
        </w:rPr>
      </w:pPr>
    </w:p>
    <w:p w14:paraId="62424BBD">
      <w:pPr>
        <w:pStyle w:val="9"/>
        <w:spacing w:after="0" w:line="249" w:lineRule="auto"/>
        <w:rPr>
          <w:rFonts w:hint="eastAsia"/>
        </w:rPr>
      </w:pPr>
      <w:r>
        <w:rPr>
          <w:rFonts w:hint="eastAsia"/>
        </w:rPr>
        <w:t>My purpose here is not to repeat the arguments and evidences discussed in the body of this book.</w:t>
      </w:r>
    </w:p>
    <w:p w14:paraId="6A02A6F2">
      <w:pPr>
        <w:pStyle w:val="9"/>
        <w:spacing w:after="0" w:line="249" w:lineRule="auto"/>
        <w:rPr>
          <w:rFonts w:hint="eastAsia"/>
        </w:rPr>
      </w:pPr>
      <w:r>
        <w:rPr>
          <w:rFonts w:hint="eastAsia"/>
        </w:rPr>
        <w:t>我此处的目的不是重复本书正文中讨论过的论点和证据。</w:t>
      </w:r>
    </w:p>
    <w:p w14:paraId="6B07901D">
      <w:pPr>
        <w:pStyle w:val="9"/>
        <w:spacing w:after="0" w:line="249" w:lineRule="auto"/>
        <w:rPr>
          <w:rFonts w:hint="eastAsia"/>
        </w:rPr>
      </w:pPr>
    </w:p>
    <w:p w14:paraId="0927D34F">
      <w:pPr>
        <w:pStyle w:val="9"/>
        <w:spacing w:after="0" w:line="249" w:lineRule="auto"/>
        <w:rPr>
          <w:rFonts w:hint="eastAsia"/>
        </w:rPr>
      </w:pPr>
      <w:r>
        <w:rPr>
          <w:rFonts w:hint="eastAsia"/>
        </w:rPr>
        <w:t>Rather, I simply want to model what I regard as the most fruitful method for examining different eschatological perspectives, whether old or new.</w:t>
      </w:r>
    </w:p>
    <w:p w14:paraId="47D9B081">
      <w:pPr>
        <w:pStyle w:val="9"/>
        <w:spacing w:after="0" w:line="249" w:lineRule="auto"/>
        <w:rPr>
          <w:rFonts w:hint="eastAsia"/>
        </w:rPr>
      </w:pPr>
      <w:r>
        <w:rPr>
          <w:rFonts w:hint="eastAsia"/>
        </w:rPr>
        <w:t>相反，我只是想示范一种我认为是检验不同末世论观点（无论是旧的还是新的）最富有成效的方法。</w:t>
      </w:r>
    </w:p>
    <w:p w14:paraId="331E4B30">
      <w:pPr>
        <w:pStyle w:val="9"/>
        <w:spacing w:after="0" w:line="249" w:lineRule="auto"/>
        <w:rPr>
          <w:rFonts w:hint="eastAsia"/>
        </w:rPr>
      </w:pPr>
    </w:p>
    <w:p w14:paraId="25D0D930">
      <w:pPr>
        <w:pStyle w:val="9"/>
        <w:spacing w:after="0" w:line="249" w:lineRule="auto"/>
        <w:rPr>
          <w:rFonts w:hint="eastAsia"/>
        </w:rPr>
      </w:pPr>
      <w:r>
        <w:rPr>
          <w:rFonts w:hint="eastAsia"/>
        </w:rPr>
        <w:t>This approach, which reflects the underlying issues of the GETD, involves asking four questions of each eschatological option.</w:t>
      </w:r>
    </w:p>
    <w:p w14:paraId="7369CA29">
      <w:pPr>
        <w:pStyle w:val="9"/>
        <w:spacing w:after="0" w:line="249" w:lineRule="auto"/>
        <w:rPr>
          <w:rFonts w:hint="eastAsia"/>
        </w:rPr>
      </w:pPr>
      <w:r>
        <w:rPr>
          <w:rFonts w:hint="eastAsia"/>
        </w:rPr>
        <w:t>这种方法反映了GETD的潜在问题，它涉及到对每一种末世论选项提出四个问题。</w:t>
      </w:r>
    </w:p>
    <w:p w14:paraId="63B773A2">
      <w:pPr>
        <w:pStyle w:val="9"/>
        <w:spacing w:after="0" w:line="249" w:lineRule="auto"/>
        <w:rPr>
          <w:rFonts w:hint="eastAsia"/>
        </w:rPr>
      </w:pPr>
    </w:p>
    <w:p w14:paraId="7B9D3806">
      <w:pPr>
        <w:pStyle w:val="9"/>
        <w:spacing w:after="0" w:line="249" w:lineRule="auto"/>
        <w:rPr>
          <w:rFonts w:hint="eastAsia"/>
        </w:rPr>
      </w:pPr>
      <w:r>
        <w:rPr>
          <w:rFonts w:hint="eastAsia"/>
        </w:rPr>
        <w:t>They are:</w:t>
      </w:r>
    </w:p>
    <w:p w14:paraId="2A73C3C2">
      <w:pPr>
        <w:pStyle w:val="9"/>
        <w:spacing w:after="0" w:line="249" w:lineRule="auto"/>
        <w:rPr>
          <w:rFonts w:hint="eastAsia"/>
        </w:rPr>
      </w:pPr>
      <w:r>
        <w:rPr>
          <w:rFonts w:hint="eastAsia"/>
        </w:rPr>
        <w:t>它们是：</w:t>
      </w:r>
    </w:p>
    <w:p w14:paraId="6FB78439">
      <w:pPr>
        <w:pStyle w:val="9"/>
        <w:spacing w:after="0" w:line="249" w:lineRule="auto"/>
        <w:rPr>
          <w:rFonts w:hint="eastAsia"/>
        </w:rPr>
      </w:pPr>
    </w:p>
    <w:p w14:paraId="1021CCE6">
      <w:pPr>
        <w:pStyle w:val="9"/>
        <w:spacing w:after="0" w:line="249" w:lineRule="auto"/>
        <w:rPr>
          <w:rFonts w:hint="eastAsia"/>
        </w:rPr>
      </w:pPr>
      <w:r>
        <w:rPr>
          <w:rFonts w:hint="eastAsia"/>
        </w:rPr>
        <w:t>1)What is its view of the nature and structure of the Kingdom of God?</w:t>
      </w:r>
    </w:p>
    <w:p w14:paraId="1E77583F">
      <w:pPr>
        <w:pStyle w:val="9"/>
        <w:spacing w:after="0" w:line="249" w:lineRule="auto"/>
        <w:rPr>
          <w:rFonts w:hint="eastAsia"/>
        </w:rPr>
      </w:pPr>
      <w:r>
        <w:rPr>
          <w:rFonts w:hint="eastAsia"/>
        </w:rPr>
        <w:t>1)它对神国的性质和结构持何种观点？</w:t>
      </w:r>
    </w:p>
    <w:p w14:paraId="16F1CAF5">
      <w:pPr>
        <w:pStyle w:val="9"/>
        <w:spacing w:after="0" w:line="249" w:lineRule="auto"/>
        <w:rPr>
          <w:rFonts w:hint="eastAsia"/>
        </w:rPr>
      </w:pPr>
    </w:p>
    <w:p w14:paraId="74B601EF">
      <w:pPr>
        <w:pStyle w:val="9"/>
        <w:spacing w:after="0" w:line="249" w:lineRule="auto"/>
        <w:rPr>
          <w:rFonts w:hint="eastAsia"/>
        </w:rPr>
      </w:pPr>
      <w:r>
        <w:rPr>
          <w:rFonts w:hint="eastAsia"/>
        </w:rPr>
        <w:t>2)What is its view of the nature and structure of the Consummation?</w:t>
      </w:r>
    </w:p>
    <w:p w14:paraId="2E5AF97C">
      <w:pPr>
        <w:pStyle w:val="9"/>
        <w:spacing w:after="0" w:line="249" w:lineRule="auto"/>
        <w:rPr>
          <w:rFonts w:hint="eastAsia"/>
        </w:rPr>
      </w:pPr>
      <w:r>
        <w:rPr>
          <w:rFonts w:hint="eastAsia"/>
        </w:rPr>
        <w:t>2)它对万物结局的性质和结构持何种观点？</w:t>
      </w:r>
    </w:p>
    <w:p w14:paraId="4A107682">
      <w:pPr>
        <w:pStyle w:val="9"/>
        <w:spacing w:after="0" w:line="249" w:lineRule="auto"/>
        <w:rPr>
          <w:rFonts w:hint="eastAsia"/>
        </w:rPr>
      </w:pPr>
    </w:p>
    <w:p w14:paraId="2E6DE200">
      <w:pPr>
        <w:pStyle w:val="9"/>
        <w:spacing w:after="0" w:line="249" w:lineRule="auto"/>
        <w:rPr>
          <w:rFonts w:hint="eastAsia"/>
        </w:rPr>
      </w:pPr>
      <w:r>
        <w:rPr>
          <w:rFonts w:hint="eastAsia"/>
        </w:rPr>
        <w:t>3) How does it interpret OTKP: basically literally, in terms of ethnic Israel and a future Mosaic theocracy; or basically spiritually, in terms of the Church and the spiritual reign of God introduced by the New Covenant?</w:t>
      </w:r>
    </w:p>
    <w:p w14:paraId="32E1733A">
      <w:pPr>
        <w:pStyle w:val="9"/>
        <w:spacing w:after="0" w:line="249" w:lineRule="auto"/>
        <w:rPr>
          <w:rFonts w:hint="eastAsia"/>
        </w:rPr>
      </w:pPr>
      <w:r>
        <w:rPr>
          <w:rFonts w:hint="eastAsia"/>
        </w:rPr>
        <w:t>3) 它如何解释旧约国度预言（OTKP）：是基本上按字面意思，从种族上的以色列和未来的摩西式神权政体的角度解释；还是基本上按属灵意义，从教会和新约所引入的神的属灵统治的角度解释？</w:t>
      </w:r>
    </w:p>
    <w:p w14:paraId="209C6B48">
      <w:pPr>
        <w:pStyle w:val="9"/>
        <w:spacing w:after="0" w:line="249" w:lineRule="auto"/>
        <w:rPr>
          <w:rFonts w:hint="eastAsia"/>
        </w:rPr>
      </w:pPr>
    </w:p>
    <w:p w14:paraId="0E456415">
      <w:pPr>
        <w:pStyle w:val="9"/>
        <w:spacing w:after="0" w:line="249" w:lineRule="auto"/>
        <w:rPr>
          <w:rFonts w:hint="eastAsia"/>
        </w:rPr>
      </w:pPr>
      <w:r>
        <w:rPr>
          <w:rFonts w:hint="eastAsia"/>
        </w:rPr>
        <w:t>4) What is its view of the Revelation in general, and of Revelation 20 in particular?</w:t>
      </w:r>
    </w:p>
    <w:p w14:paraId="044C9AC7">
      <w:pPr>
        <w:pStyle w:val="9"/>
        <w:spacing w:after="0" w:line="249" w:lineRule="auto"/>
        <w:rPr>
          <w:rFonts w:hint="eastAsia"/>
        </w:rPr>
      </w:pPr>
      <w:r>
        <w:rPr>
          <w:rFonts w:hint="eastAsia"/>
        </w:rPr>
        <w:t>4) 它对整本启示录，特别是对启示录第20章，持何种观点？</w:t>
      </w:r>
    </w:p>
    <w:p w14:paraId="7E45DAFA">
      <w:pPr>
        <w:pStyle w:val="9"/>
        <w:spacing w:after="0" w:line="249" w:lineRule="auto"/>
        <w:rPr>
          <w:rFonts w:hint="eastAsia"/>
        </w:rPr>
      </w:pPr>
    </w:p>
    <w:p w14:paraId="47CE57DD">
      <w:pPr>
        <w:pStyle w:val="9"/>
        <w:spacing w:after="0" w:line="249" w:lineRule="auto"/>
        <w:rPr>
          <w:rFonts w:hint="eastAsia"/>
        </w:rPr>
      </w:pPr>
      <w:r>
        <w:rPr>
          <w:rFonts w:hint="eastAsia"/>
        </w:rPr>
        <w:t>With the help of the Timeline shown below, let us use these questions to critique historic premillennialism.</w:t>
      </w:r>
    </w:p>
    <w:p w14:paraId="75B67EE8">
      <w:pPr>
        <w:pStyle w:val="9"/>
        <w:spacing w:after="0" w:line="249" w:lineRule="auto"/>
        <w:rPr>
          <w:rFonts w:hint="eastAsia"/>
        </w:rPr>
      </w:pPr>
      <w:r>
        <w:rPr>
          <w:rFonts w:hint="eastAsia"/>
        </w:rPr>
        <w:t>借助下面所示的时间线，让我们用这些问题来批判历史前千禧年论。</w:t>
      </w:r>
    </w:p>
    <w:p w14:paraId="4D9E1DD4">
      <w:pPr>
        <w:pStyle w:val="9"/>
        <w:spacing w:after="0" w:line="249" w:lineRule="auto"/>
        <w:rPr>
          <w:rFonts w:hint="eastAsia"/>
        </w:rPr>
      </w:pPr>
    </w:p>
    <w:p w14:paraId="4D441752">
      <w:pPr>
        <w:pStyle w:val="9"/>
        <w:spacing w:after="0" w:line="249" w:lineRule="auto"/>
        <w:rPr>
          <w:rFonts w:hint="eastAsia"/>
        </w:rPr>
      </w:pPr>
      <w:r>
        <w:rPr>
          <w:rFonts w:hint="eastAsia"/>
        </w:rPr>
        <w:t>Before continuing, You may wish to revisit the overview of HP in chapter 3, where I distinguish between New Covenant and Old Covenant HP.</w:t>
      </w:r>
    </w:p>
    <w:p w14:paraId="3E9BCAEB">
      <w:pPr>
        <w:pStyle w:val="9"/>
        <w:spacing w:after="0" w:line="249" w:lineRule="auto"/>
        <w:sectPr>
          <w:pgSz w:w="12240" w:h="15840"/>
          <w:pgMar w:top="1440" w:right="1440" w:bottom="280" w:left="1440" w:header="720" w:footer="720" w:gutter="0"/>
          <w:cols w:space="720" w:num="1"/>
        </w:sectPr>
      </w:pPr>
      <w:r>
        <w:rPr>
          <w:rFonts w:hint="eastAsia"/>
        </w:rPr>
        <w:t>在继续之前，您可能希望重温第3章中对历史前千禧年论（HP）的概述，我在那里区分了新约的历史前千禧年论和旧约的历史前千禧年论。</w:t>
      </w:r>
    </w:p>
    <w:p w14:paraId="4A54D59D">
      <w:pPr>
        <w:pStyle w:val="9"/>
        <w:spacing w:before="0"/>
        <w:ind w:left="2322"/>
        <w:jc w:val="center"/>
        <w:rPr>
          <w:sz w:val="20"/>
        </w:rPr>
      </w:pPr>
      <w:r>
        <w:rPr>
          <w:sz w:val="20"/>
        </w:rPr>
        <w:drawing>
          <wp:inline distT="0" distB="0" distL="0" distR="0">
            <wp:extent cx="3001645" cy="1503680"/>
            <wp:effectExtent l="0" t="0" r="0" b="0"/>
            <wp:docPr id="110" name="Image 110"/>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13" cstate="print"/>
                    <a:stretch>
                      <a:fillRect/>
                    </a:stretch>
                  </pic:blipFill>
                  <pic:spPr>
                    <a:xfrm>
                      <a:off x="0" y="0"/>
                      <a:ext cx="3001929" cy="1504188"/>
                    </a:xfrm>
                    <a:prstGeom prst="rect">
                      <a:avLst/>
                    </a:prstGeom>
                  </pic:spPr>
                </pic:pic>
              </a:graphicData>
            </a:graphic>
          </wp:inline>
        </w:drawing>
      </w:r>
      <w:r>
        <w:drawing>
          <wp:inline distT="0" distB="0" distL="114300" distR="114300">
            <wp:extent cx="5001895" cy="2519680"/>
            <wp:effectExtent l="0" t="0" r="12065" b="1016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35"/>
                    <a:stretch>
                      <a:fillRect/>
                    </a:stretch>
                  </pic:blipFill>
                  <pic:spPr>
                    <a:xfrm>
                      <a:off x="0" y="0"/>
                      <a:ext cx="5001895" cy="2519680"/>
                    </a:xfrm>
                    <a:prstGeom prst="rect">
                      <a:avLst/>
                    </a:prstGeom>
                    <a:noFill/>
                    <a:ln>
                      <a:noFill/>
                    </a:ln>
                  </pic:spPr>
                </pic:pic>
              </a:graphicData>
            </a:graphic>
          </wp:inline>
        </w:drawing>
      </w:r>
    </w:p>
    <w:p w14:paraId="21346EB1">
      <w:pPr>
        <w:pStyle w:val="9"/>
        <w:spacing w:after="0" w:line="249" w:lineRule="auto"/>
        <w:rPr>
          <w:rFonts w:hint="eastAsia"/>
        </w:rPr>
      </w:pPr>
      <w:r>
        <w:rPr>
          <w:rFonts w:hint="eastAsia"/>
        </w:rPr>
        <w:t>View of the Kingdom</w:t>
      </w:r>
    </w:p>
    <w:p w14:paraId="37DE753B">
      <w:pPr>
        <w:pStyle w:val="9"/>
        <w:spacing w:after="0" w:line="249" w:lineRule="auto"/>
        <w:rPr>
          <w:rFonts w:hint="eastAsia"/>
        </w:rPr>
      </w:pPr>
      <w:r>
        <w:rPr>
          <w:rFonts w:hint="eastAsia"/>
        </w:rPr>
        <w:t>对国度的看法</w:t>
      </w:r>
    </w:p>
    <w:p w14:paraId="7D10B761">
      <w:pPr>
        <w:pStyle w:val="9"/>
        <w:spacing w:after="0" w:line="249" w:lineRule="auto"/>
        <w:rPr>
          <w:rFonts w:hint="eastAsia"/>
        </w:rPr>
      </w:pPr>
    </w:p>
    <w:p w14:paraId="4E436135">
      <w:pPr>
        <w:pStyle w:val="9"/>
        <w:spacing w:after="0" w:line="249" w:lineRule="auto"/>
        <w:rPr>
          <w:rFonts w:hint="eastAsia"/>
        </w:rPr>
      </w:pPr>
      <w:r>
        <w:rPr>
          <w:rFonts w:hint="eastAsia"/>
        </w:rPr>
        <w:t>From our Timeline we learn that HP envisions the Kingdom as entering history in three stages: the Church Era of Gospel Proclamation, the Millennium, and the World to Come.</w:t>
      </w:r>
    </w:p>
    <w:p w14:paraId="63DF86E3">
      <w:pPr>
        <w:pStyle w:val="9"/>
        <w:spacing w:after="0" w:line="249" w:lineRule="auto"/>
        <w:rPr>
          <w:rFonts w:hint="eastAsia"/>
        </w:rPr>
      </w:pPr>
      <w:r>
        <w:rPr>
          <w:rFonts w:hint="eastAsia"/>
        </w:rPr>
        <w:t>从我们的时间线中，我们了解到历史前千禧年论（HP）设想国度是以三个阶段进入历史的：福音传讲的教会时代、千禧年和来世。</w:t>
      </w:r>
    </w:p>
    <w:p w14:paraId="179F1F3B">
      <w:pPr>
        <w:pStyle w:val="9"/>
        <w:spacing w:after="0" w:line="249" w:lineRule="auto"/>
        <w:rPr>
          <w:rFonts w:hint="eastAsia"/>
        </w:rPr>
      </w:pPr>
    </w:p>
    <w:p w14:paraId="2CE222FD">
      <w:pPr>
        <w:pStyle w:val="9"/>
        <w:spacing w:after="0" w:line="249" w:lineRule="auto"/>
        <w:rPr>
          <w:rFonts w:hint="eastAsia"/>
        </w:rPr>
      </w:pPr>
      <w:r>
        <w:rPr>
          <w:rFonts w:hint="eastAsia"/>
        </w:rPr>
        <w:t>However, in our journey we saw that the NT blocks the way.</w:t>
      </w:r>
    </w:p>
    <w:p w14:paraId="2921DECE">
      <w:pPr>
        <w:pStyle w:val="9"/>
        <w:spacing w:after="0" w:line="249" w:lineRule="auto"/>
        <w:rPr>
          <w:rFonts w:hint="eastAsia"/>
        </w:rPr>
      </w:pPr>
      <w:r>
        <w:rPr>
          <w:rFonts w:hint="eastAsia"/>
        </w:rPr>
        <w:t>然而，在我们的探讨过程中，我们看到新约阻挡了这条路。</w:t>
      </w:r>
    </w:p>
    <w:p w14:paraId="077585AE">
      <w:pPr>
        <w:pStyle w:val="9"/>
        <w:spacing w:after="0" w:line="249" w:lineRule="auto"/>
        <w:rPr>
          <w:rFonts w:hint="eastAsia"/>
        </w:rPr>
      </w:pPr>
    </w:p>
    <w:p w14:paraId="19F48FA8">
      <w:pPr>
        <w:pStyle w:val="9"/>
        <w:spacing w:after="0" w:line="249" w:lineRule="auto"/>
        <w:rPr>
          <w:rFonts w:hint="eastAsia"/>
        </w:rPr>
      </w:pPr>
      <w:r>
        <w:rPr>
          <w:rFonts w:hint="eastAsia"/>
        </w:rPr>
        <w:t>Apart from the much-disputed Revelation 20, it says nothing whatsoever about a future millennial stage of the Kingdom.</w:t>
      </w:r>
    </w:p>
    <w:p w14:paraId="6CCDA138">
      <w:pPr>
        <w:pStyle w:val="9"/>
        <w:spacing w:after="0" w:line="249" w:lineRule="auto"/>
        <w:rPr>
          <w:rFonts w:hint="eastAsia"/>
        </w:rPr>
      </w:pPr>
      <w:r>
        <w:rPr>
          <w:rFonts w:hint="eastAsia"/>
        </w:rPr>
        <w:t>除了备受争议的启示录第20章，它完全没有提到国度未来的千禧年阶段。</w:t>
      </w:r>
    </w:p>
    <w:p w14:paraId="3D3C925E">
      <w:pPr>
        <w:pStyle w:val="9"/>
        <w:spacing w:after="0" w:line="249" w:lineRule="auto"/>
        <w:rPr>
          <w:rFonts w:hint="eastAsia"/>
        </w:rPr>
      </w:pPr>
    </w:p>
    <w:p w14:paraId="0D682D6A">
      <w:pPr>
        <w:pStyle w:val="9"/>
        <w:spacing w:after="0" w:line="249" w:lineRule="auto"/>
        <w:rPr>
          <w:rFonts w:hint="eastAsia"/>
        </w:rPr>
      </w:pPr>
      <w:r>
        <w:rPr>
          <w:rFonts w:hint="eastAsia"/>
        </w:rPr>
        <w:t>Moreover, its didactic eschatology completely rules out premillennialism, since it has the Kingdom entering history, not in three stages, but two: the Era of Proclamation and the World to Come.</w:t>
      </w:r>
    </w:p>
    <w:p w14:paraId="29F7A9F1">
      <w:pPr>
        <w:pStyle w:val="9"/>
        <w:spacing w:after="0" w:line="249" w:lineRule="auto"/>
        <w:rPr>
          <w:rFonts w:hint="eastAsia"/>
        </w:rPr>
      </w:pPr>
      <w:r>
        <w:rPr>
          <w:rFonts w:hint="eastAsia"/>
        </w:rPr>
        <w:t>此外，其教义性的末世论完全排除了前千禧年论，因为它认为国度进入历史不是分三个阶段，而是两个阶段：传讲的时代和来世。</w:t>
      </w:r>
    </w:p>
    <w:p w14:paraId="1AF94291">
      <w:pPr>
        <w:pStyle w:val="9"/>
        <w:spacing w:after="0" w:line="249" w:lineRule="auto"/>
        <w:rPr>
          <w:rFonts w:hint="eastAsia"/>
        </w:rPr>
      </w:pPr>
    </w:p>
    <w:p w14:paraId="5D802261">
      <w:pPr>
        <w:pStyle w:val="9"/>
        <w:spacing w:after="0" w:line="249" w:lineRule="auto"/>
        <w:rPr>
          <w:rFonts w:hint="eastAsia"/>
        </w:rPr>
      </w:pPr>
      <w:r>
        <w:rPr>
          <w:rFonts w:hint="eastAsia"/>
        </w:rPr>
        <w:t>Additionally, NT teaching about the nature of the Kingdom shows that OCHP cannot possibly be true.</w:t>
      </w:r>
    </w:p>
    <w:p w14:paraId="320F25ED">
      <w:pPr>
        <w:pStyle w:val="9"/>
        <w:spacing w:after="0" w:line="249" w:lineRule="auto"/>
        <w:rPr>
          <w:rFonts w:hint="eastAsia"/>
        </w:rPr>
      </w:pPr>
      <w:r>
        <w:rPr>
          <w:rFonts w:hint="eastAsia"/>
        </w:rPr>
        <w:t>另外，新约关于国度性质的教导表明，旧约历史前千禧年论（OCHP）不可能是真实的。</w:t>
      </w:r>
    </w:p>
    <w:p w14:paraId="18BEBA4E">
      <w:pPr>
        <w:pStyle w:val="9"/>
        <w:spacing w:after="0" w:line="249" w:lineRule="auto"/>
        <w:rPr>
          <w:rFonts w:hint="eastAsia"/>
        </w:rPr>
      </w:pPr>
    </w:p>
    <w:p w14:paraId="49E3C374">
      <w:pPr>
        <w:pStyle w:val="9"/>
        <w:spacing w:after="0" w:line="249" w:lineRule="auto"/>
        <w:rPr>
          <w:rFonts w:hint="eastAsia"/>
        </w:rPr>
      </w:pPr>
      <w:r>
        <w:rPr>
          <w:rFonts w:hint="eastAsia"/>
        </w:rPr>
        <w:t>That’s because the two-staged Kingdom is a creation of the New Covenant, with the result that its citizens worship God, not in this or that earthly mountain, but in spirit and (New Covenant) truth.</w:t>
      </w:r>
    </w:p>
    <w:p w14:paraId="4DBFD9FB">
      <w:pPr>
        <w:pStyle w:val="9"/>
        <w:spacing w:after="0" w:line="249" w:lineRule="auto"/>
        <w:rPr>
          <w:rFonts w:hint="eastAsia"/>
        </w:rPr>
      </w:pPr>
      <w:r>
        <w:rPr>
          <w:rFonts w:hint="eastAsia"/>
        </w:rPr>
        <w:t>这是因为两阶段的国度是新约的创造，其结果是，它的子民敬拜神，不是在这座或那座属地的山上，而是在心灵和（新约的）真理里。</w:t>
      </w:r>
    </w:p>
    <w:p w14:paraId="553409CB">
      <w:pPr>
        <w:pStyle w:val="9"/>
        <w:spacing w:after="0" w:line="249" w:lineRule="auto"/>
        <w:rPr>
          <w:rFonts w:hint="eastAsia"/>
        </w:rPr>
      </w:pPr>
    </w:p>
    <w:p w14:paraId="03C9B65A">
      <w:pPr>
        <w:pStyle w:val="9"/>
        <w:spacing w:after="0" w:line="249" w:lineRule="auto"/>
        <w:rPr>
          <w:rFonts w:hint="eastAsia"/>
        </w:rPr>
      </w:pPr>
      <w:r>
        <w:rPr>
          <w:rFonts w:hint="eastAsia"/>
        </w:rPr>
        <w:t>There will be no return to the temporary and typological institutions of the ancient Mosaic theocracy.</w:t>
      </w:r>
    </w:p>
    <w:p w14:paraId="4E0DE633">
      <w:pPr>
        <w:pStyle w:val="9"/>
        <w:spacing w:after="0" w:line="249" w:lineRule="auto"/>
        <w:rPr>
          <w:rFonts w:hint="eastAsia"/>
        </w:rPr>
      </w:pPr>
      <w:r>
        <w:rPr>
          <w:rFonts w:hint="eastAsia"/>
        </w:rPr>
        <w:t>绝不会回到古代摩西神权政体那暂时的、预表性的制度中去。</w:t>
      </w:r>
    </w:p>
    <w:p w14:paraId="1ABBBA19">
      <w:pPr>
        <w:pStyle w:val="9"/>
        <w:spacing w:after="0" w:line="249" w:lineRule="auto"/>
        <w:rPr>
          <w:rFonts w:hint="eastAsia"/>
        </w:rPr>
      </w:pPr>
    </w:p>
    <w:p w14:paraId="0942680E">
      <w:pPr>
        <w:pStyle w:val="9"/>
        <w:spacing w:after="0" w:line="249" w:lineRule="auto"/>
        <w:rPr>
          <w:rFonts w:hint="eastAsia"/>
        </w:rPr>
      </w:pPr>
      <w:r>
        <w:rPr>
          <w:rFonts w:hint="eastAsia"/>
        </w:rPr>
        <w:t>View of the Consummation</w:t>
      </w:r>
    </w:p>
    <w:p w14:paraId="68F879C7">
      <w:pPr>
        <w:pStyle w:val="9"/>
        <w:spacing w:after="0" w:line="249" w:lineRule="auto"/>
        <w:rPr>
          <w:rFonts w:hint="eastAsia"/>
        </w:rPr>
      </w:pPr>
      <w:r>
        <w:rPr>
          <w:rFonts w:hint="eastAsia"/>
        </w:rPr>
        <w:t>对结局的看法</w:t>
      </w:r>
    </w:p>
    <w:p w14:paraId="4C7096BA">
      <w:pPr>
        <w:pStyle w:val="9"/>
        <w:spacing w:after="0" w:line="249" w:lineRule="auto"/>
        <w:rPr>
          <w:rFonts w:hint="eastAsia"/>
        </w:rPr>
      </w:pPr>
    </w:p>
    <w:p w14:paraId="48FEB96D">
      <w:pPr>
        <w:pStyle w:val="9"/>
        <w:spacing w:after="0" w:line="249" w:lineRule="auto"/>
        <w:rPr>
          <w:rFonts w:hint="eastAsia"/>
        </w:rPr>
      </w:pPr>
      <w:r>
        <w:rPr>
          <w:rFonts w:hint="eastAsia"/>
        </w:rPr>
        <w:t>Historic premillennarians look for two distinct Comings of Christ—one at the end of the present evil age, and the other at the end of the Millennium.</w:t>
      </w:r>
    </w:p>
    <w:p w14:paraId="0A88A69F">
      <w:pPr>
        <w:pStyle w:val="9"/>
        <w:spacing w:after="0" w:line="249" w:lineRule="auto"/>
        <w:rPr>
          <w:rFonts w:hint="eastAsia"/>
        </w:rPr>
      </w:pPr>
      <w:r>
        <w:rPr>
          <w:rFonts w:hint="eastAsia"/>
        </w:rPr>
        <w:t>历史前千禧年论者期待基督两次不同的降临——一次在现今邪恶世代的末了，另一次在千禧年的末了。</w:t>
      </w:r>
    </w:p>
    <w:p w14:paraId="41A41702">
      <w:pPr>
        <w:pStyle w:val="9"/>
        <w:spacing w:after="0" w:line="249" w:lineRule="auto"/>
        <w:rPr>
          <w:rFonts w:hint="eastAsia"/>
        </w:rPr>
      </w:pPr>
    </w:p>
    <w:p w14:paraId="0E2439C0">
      <w:pPr>
        <w:pStyle w:val="9"/>
        <w:spacing w:after="0" w:line="249" w:lineRule="auto"/>
        <w:rPr>
          <w:rFonts w:hint="eastAsia"/>
        </w:rPr>
      </w:pPr>
      <w:r>
        <w:rPr>
          <w:rFonts w:hint="eastAsia"/>
        </w:rPr>
        <w:t>This complex scenario raises thorny questions.</w:t>
      </w:r>
    </w:p>
    <w:p w14:paraId="2291C83E">
      <w:pPr>
        <w:pStyle w:val="9"/>
        <w:spacing w:after="0" w:line="249" w:lineRule="auto"/>
        <w:rPr>
          <w:rFonts w:hint="eastAsia"/>
        </w:rPr>
      </w:pPr>
      <w:r>
        <w:rPr>
          <w:rFonts w:hint="eastAsia"/>
        </w:rPr>
        <w:t>这个复杂的设想引出了一些棘手的问题。</w:t>
      </w:r>
    </w:p>
    <w:p w14:paraId="7416D422">
      <w:pPr>
        <w:pStyle w:val="9"/>
        <w:spacing w:after="0" w:line="249" w:lineRule="auto"/>
        <w:rPr>
          <w:rFonts w:hint="eastAsia"/>
        </w:rPr>
      </w:pPr>
    </w:p>
    <w:p w14:paraId="3C9B0F20">
      <w:pPr>
        <w:pStyle w:val="9"/>
        <w:spacing w:after="0" w:line="249" w:lineRule="auto"/>
        <w:rPr>
          <w:rFonts w:hint="eastAsia"/>
        </w:rPr>
      </w:pPr>
      <w:r>
        <w:rPr>
          <w:rFonts w:hint="eastAsia"/>
        </w:rPr>
        <w:t>At the first Parousia, who will be judged and who will be allowed to enter the Millennium?</w:t>
      </w:r>
    </w:p>
    <w:p w14:paraId="33CD082E">
      <w:pPr>
        <w:pStyle w:val="9"/>
        <w:spacing w:after="0" w:line="249" w:lineRule="auto"/>
        <w:rPr>
          <w:rFonts w:hint="eastAsia"/>
        </w:rPr>
      </w:pPr>
      <w:r>
        <w:rPr>
          <w:rFonts w:hint="eastAsia"/>
        </w:rPr>
        <w:t>在第一次再来时，谁将受审判，谁将被允许进入千禧年？</w:t>
      </w:r>
    </w:p>
    <w:p w14:paraId="455561C8">
      <w:pPr>
        <w:pStyle w:val="9"/>
        <w:spacing w:after="0" w:line="249" w:lineRule="auto"/>
        <w:rPr>
          <w:rFonts w:hint="eastAsia"/>
        </w:rPr>
      </w:pPr>
    </w:p>
    <w:p w14:paraId="05C1ED81">
      <w:pPr>
        <w:pStyle w:val="9"/>
        <w:spacing w:after="0" w:line="249" w:lineRule="auto"/>
        <w:rPr>
          <w:rFonts w:hint="eastAsia"/>
        </w:rPr>
      </w:pPr>
      <w:r>
        <w:rPr>
          <w:rFonts w:hint="eastAsia"/>
        </w:rPr>
        <w:t>How biblical (or credible) is it to assert that the children of unbelievers will become the nations over which Christ rules?</w:t>
      </w:r>
    </w:p>
    <w:p w14:paraId="28677FEA">
      <w:pPr>
        <w:pStyle w:val="9"/>
        <w:spacing w:after="0" w:line="249" w:lineRule="auto"/>
        <w:rPr>
          <w:rFonts w:hint="eastAsia"/>
        </w:rPr>
      </w:pPr>
      <w:r>
        <w:rPr>
          <w:rFonts w:hint="eastAsia"/>
        </w:rPr>
        <w:t>断言不信者的后代将成为基督所统治的列国，这在圣经上（或可信度上）有多大根据？</w:t>
      </w:r>
    </w:p>
    <w:p w14:paraId="647769B4">
      <w:pPr>
        <w:pStyle w:val="9"/>
        <w:spacing w:after="0" w:line="249" w:lineRule="auto"/>
        <w:rPr>
          <w:rFonts w:hint="eastAsia"/>
        </w:rPr>
      </w:pPr>
    </w:p>
    <w:p w14:paraId="1776F528">
      <w:pPr>
        <w:pStyle w:val="9"/>
        <w:spacing w:after="0" w:line="249" w:lineRule="auto"/>
        <w:rPr>
          <w:rFonts w:hint="eastAsia"/>
        </w:rPr>
      </w:pPr>
      <w:r>
        <w:rPr>
          <w:rFonts w:hint="eastAsia"/>
        </w:rPr>
        <w:t>What happens to the millennial saints when they die?</w:t>
      </w:r>
    </w:p>
    <w:p w14:paraId="743B2DA5">
      <w:pPr>
        <w:pStyle w:val="9"/>
        <w:spacing w:after="0" w:line="249" w:lineRule="auto"/>
        <w:rPr>
          <w:rFonts w:hint="eastAsia"/>
        </w:rPr>
      </w:pPr>
      <w:r>
        <w:rPr>
          <w:rFonts w:hint="eastAsia"/>
        </w:rPr>
        <w:t>千禧年的圣徒死后会发生什么？</w:t>
      </w:r>
    </w:p>
    <w:p w14:paraId="26A221D3">
      <w:pPr>
        <w:pStyle w:val="9"/>
        <w:spacing w:after="0" w:line="249" w:lineRule="auto"/>
        <w:rPr>
          <w:rFonts w:hint="eastAsia"/>
        </w:rPr>
      </w:pPr>
    </w:p>
    <w:p w14:paraId="778A7557">
      <w:pPr>
        <w:pStyle w:val="9"/>
        <w:spacing w:after="0" w:line="249" w:lineRule="auto"/>
        <w:rPr>
          <w:rFonts w:hint="eastAsia"/>
        </w:rPr>
      </w:pPr>
      <w:r>
        <w:rPr>
          <w:rFonts w:hint="eastAsia"/>
        </w:rPr>
        <w:t>Will they immediately receive their resurrection bodies, or will they wait in heaven till the second resurrection at the end of the Millennium?</w:t>
      </w:r>
    </w:p>
    <w:p w14:paraId="57A32F92">
      <w:pPr>
        <w:pStyle w:val="9"/>
        <w:spacing w:after="0" w:line="249" w:lineRule="auto"/>
        <w:rPr>
          <w:rFonts w:hint="eastAsia"/>
        </w:rPr>
      </w:pPr>
      <w:r>
        <w:rPr>
          <w:rFonts w:hint="eastAsia"/>
        </w:rPr>
        <w:t>他们会立刻得到复活的身体，还是会在天堂等到千禧年末了的第二次复活？</w:t>
      </w:r>
    </w:p>
    <w:p w14:paraId="482128F7">
      <w:pPr>
        <w:pStyle w:val="9"/>
        <w:spacing w:after="0" w:line="249" w:lineRule="auto"/>
        <w:rPr>
          <w:rFonts w:hint="eastAsia"/>
        </w:rPr>
      </w:pPr>
    </w:p>
    <w:p w14:paraId="61308015">
      <w:pPr>
        <w:pStyle w:val="9"/>
        <w:spacing w:after="0" w:line="249" w:lineRule="auto"/>
        <w:rPr>
          <w:rFonts w:hint="eastAsia"/>
        </w:rPr>
      </w:pPr>
      <w:r>
        <w:rPr>
          <w:rFonts w:hint="eastAsia"/>
        </w:rPr>
        <w:t>How is it that Christ’s peaceful millennial reign ends in near universal rebellion against him and his people?</w:t>
      </w:r>
    </w:p>
    <w:p w14:paraId="64D25816">
      <w:pPr>
        <w:pStyle w:val="9"/>
        <w:spacing w:after="0" w:line="249" w:lineRule="auto"/>
        <w:rPr>
          <w:rFonts w:hint="eastAsia"/>
        </w:rPr>
      </w:pPr>
      <w:r>
        <w:rPr>
          <w:rFonts w:hint="eastAsia"/>
        </w:rPr>
        <w:t>基督和平的千禧年统治，怎么会以几乎普世性的背叛祂和祂子民而告终呢？</w:t>
      </w:r>
    </w:p>
    <w:p w14:paraId="154C7117">
      <w:pPr>
        <w:pStyle w:val="9"/>
        <w:spacing w:after="0" w:line="249" w:lineRule="auto"/>
        <w:rPr>
          <w:rFonts w:hint="eastAsia"/>
        </w:rPr>
      </w:pPr>
    </w:p>
    <w:p w14:paraId="060849BB">
      <w:pPr>
        <w:pStyle w:val="9"/>
        <w:spacing w:after="0" w:line="249" w:lineRule="auto"/>
        <w:rPr>
          <w:rFonts w:hint="eastAsia"/>
        </w:rPr>
      </w:pPr>
      <w:r>
        <w:rPr>
          <w:rFonts w:hint="eastAsia"/>
        </w:rPr>
        <w:t>And finally, does Scripture really permit us to look for what HP requires: two resurrections, two judgments, and two cosmic transformations, with the members of each pair separated by a thousand years?</w:t>
      </w:r>
    </w:p>
    <w:p w14:paraId="142112E4">
      <w:pPr>
        <w:pStyle w:val="9"/>
        <w:spacing w:after="0" w:line="249" w:lineRule="auto"/>
        <w:rPr>
          <w:rFonts w:hint="eastAsia"/>
        </w:rPr>
      </w:pPr>
      <w:r>
        <w:rPr>
          <w:rFonts w:hint="eastAsia"/>
        </w:rPr>
        <w:t>最后，圣经真的允许我们去期待历史前千禧年论所要求的东西吗：两次复活、两次审判和两次宇宙的转变，而每一对之间都相隔一千年？</w:t>
      </w:r>
    </w:p>
    <w:p w14:paraId="4EB9FF18">
      <w:pPr>
        <w:pStyle w:val="9"/>
        <w:spacing w:after="0" w:line="249" w:lineRule="auto"/>
        <w:rPr>
          <w:rFonts w:hint="eastAsia"/>
        </w:rPr>
      </w:pPr>
    </w:p>
    <w:p w14:paraId="3889344C">
      <w:pPr>
        <w:pStyle w:val="9"/>
        <w:spacing w:after="0" w:line="249" w:lineRule="auto"/>
        <w:rPr>
          <w:rFonts w:hint="eastAsia"/>
        </w:rPr>
      </w:pPr>
      <w:r>
        <w:rPr>
          <w:rFonts w:hint="eastAsia"/>
        </w:rPr>
        <w:t>Such questions tell us that something is fundamentally wrong with HP.</w:t>
      </w:r>
    </w:p>
    <w:p w14:paraId="2652BC7D">
      <w:pPr>
        <w:pStyle w:val="9"/>
        <w:spacing w:after="0" w:line="249" w:lineRule="auto"/>
        <w:rPr>
          <w:rFonts w:hint="eastAsia"/>
        </w:rPr>
      </w:pPr>
      <w:r>
        <w:rPr>
          <w:rFonts w:hint="eastAsia"/>
        </w:rPr>
        <w:t>这些问题告诉我们，历史前千禧年论（HP）有根本性的错误。</w:t>
      </w:r>
    </w:p>
    <w:p w14:paraId="3EB51C79">
      <w:pPr>
        <w:pStyle w:val="9"/>
        <w:spacing w:after="0" w:line="249" w:lineRule="auto"/>
        <w:rPr>
          <w:rFonts w:hint="eastAsia"/>
        </w:rPr>
      </w:pPr>
    </w:p>
    <w:p w14:paraId="7FD4F2FE">
      <w:pPr>
        <w:pStyle w:val="9"/>
        <w:spacing w:after="0" w:line="249" w:lineRule="auto"/>
        <w:rPr>
          <w:rFonts w:hint="eastAsia"/>
        </w:rPr>
      </w:pPr>
      <w:r>
        <w:rPr>
          <w:rFonts w:hint="eastAsia"/>
        </w:rPr>
        <w:t>In the course of our study we learned what it is: The NT consistently looks for a single consummation centered on a single parousia, resurrection, judgment, and cosmic transformation.</w:t>
      </w:r>
    </w:p>
    <w:p w14:paraId="235A0127">
      <w:pPr>
        <w:pStyle w:val="9"/>
        <w:spacing w:after="0" w:line="249" w:lineRule="auto"/>
        <w:rPr>
          <w:rFonts w:hint="eastAsia"/>
        </w:rPr>
      </w:pPr>
      <w:r>
        <w:rPr>
          <w:rFonts w:hint="eastAsia"/>
        </w:rPr>
        <w:t>在我们的研究过程中，我们了解到了问题所在：新约始终期待一个单一的结局，其核心是一个单一的再来、复活、审判和宇宙的转变。</w:t>
      </w:r>
    </w:p>
    <w:p w14:paraId="586A7FAE">
      <w:pPr>
        <w:pStyle w:val="9"/>
        <w:spacing w:after="0" w:line="249" w:lineRule="auto"/>
        <w:rPr>
          <w:rFonts w:hint="eastAsia"/>
        </w:rPr>
      </w:pPr>
    </w:p>
    <w:p w14:paraId="6C889D41">
      <w:pPr>
        <w:pStyle w:val="9"/>
        <w:spacing w:after="0" w:line="249" w:lineRule="auto"/>
        <w:rPr>
          <w:rFonts w:hint="eastAsia"/>
        </w:rPr>
      </w:pPr>
      <w:r>
        <w:rPr>
          <w:rFonts w:hint="eastAsia"/>
        </w:rPr>
        <w:t>It is, then, the doctrine of a future Millennium that shatters the simplicity of the biblical picture, and opens the door to confusion.</w:t>
      </w:r>
    </w:p>
    <w:p w14:paraId="5454FE92">
      <w:pPr>
        <w:pStyle w:val="9"/>
        <w:spacing w:after="0" w:line="249" w:lineRule="auto"/>
        <w:rPr>
          <w:rFonts w:hint="eastAsia"/>
        </w:rPr>
      </w:pPr>
      <w:r>
        <w:rPr>
          <w:rFonts w:hint="eastAsia"/>
        </w:rPr>
        <w:t>因此，正是这个未来千禧年的教义，打破了圣经图画的简洁性，并为混乱打开了大门。</w:t>
      </w:r>
    </w:p>
    <w:p w14:paraId="29E43584">
      <w:pPr>
        <w:pStyle w:val="9"/>
        <w:spacing w:after="0" w:line="249" w:lineRule="auto"/>
        <w:rPr>
          <w:rFonts w:hint="eastAsia"/>
        </w:rPr>
      </w:pPr>
    </w:p>
    <w:p w14:paraId="54518C1E">
      <w:pPr>
        <w:pStyle w:val="9"/>
        <w:spacing w:after="0" w:line="249" w:lineRule="auto"/>
        <w:rPr>
          <w:rFonts w:hint="eastAsia"/>
        </w:rPr>
      </w:pPr>
      <w:r>
        <w:rPr>
          <w:rFonts w:hint="eastAsia"/>
        </w:rPr>
        <w:t>Perhaps premillennarians would be wise to revisit their futuristic interpretation of Revelation 20, for by moving things into the present as amillennialism does, all confusion disappears!</w:t>
      </w:r>
    </w:p>
    <w:p w14:paraId="38E45945">
      <w:pPr>
        <w:pStyle w:val="9"/>
        <w:spacing w:after="0" w:line="249" w:lineRule="auto"/>
        <w:rPr>
          <w:rFonts w:hint="eastAsia"/>
        </w:rPr>
      </w:pPr>
      <w:r>
        <w:rPr>
          <w:rFonts w:hint="eastAsia"/>
        </w:rPr>
        <w:t>或许前千禧年论者明智的做法是重新审视他们对启示录第20章的未来主义解释，因为只要像无千禧年论那样将事情移到现今，所有的混乱都会消失！</w:t>
      </w:r>
    </w:p>
    <w:p w14:paraId="1D182882">
      <w:pPr>
        <w:pStyle w:val="9"/>
        <w:spacing w:after="0" w:line="249" w:lineRule="auto"/>
        <w:rPr>
          <w:rFonts w:hint="eastAsia"/>
        </w:rPr>
      </w:pPr>
    </w:p>
    <w:p w14:paraId="247AAA6D">
      <w:pPr>
        <w:pStyle w:val="9"/>
        <w:spacing w:after="0" w:line="249" w:lineRule="auto"/>
        <w:rPr>
          <w:rFonts w:hint="eastAsia"/>
        </w:rPr>
      </w:pPr>
      <w:r>
        <w:rPr>
          <w:rFonts w:hint="eastAsia"/>
        </w:rPr>
        <w:t>View of OTKP</w:t>
      </w:r>
    </w:p>
    <w:p w14:paraId="0A22A189">
      <w:pPr>
        <w:pStyle w:val="9"/>
        <w:spacing w:after="0" w:line="249" w:lineRule="auto"/>
        <w:rPr>
          <w:rFonts w:hint="eastAsia"/>
        </w:rPr>
      </w:pPr>
      <w:r>
        <w:rPr>
          <w:rFonts w:hint="eastAsia"/>
        </w:rPr>
        <w:t>对旧约国度预言的看法</w:t>
      </w:r>
    </w:p>
    <w:p w14:paraId="626472C9">
      <w:pPr>
        <w:pStyle w:val="9"/>
        <w:spacing w:after="0" w:line="249" w:lineRule="auto"/>
        <w:rPr>
          <w:rFonts w:hint="eastAsia"/>
        </w:rPr>
      </w:pPr>
    </w:p>
    <w:p w14:paraId="0D27CA62">
      <w:pPr>
        <w:pStyle w:val="9"/>
        <w:spacing w:after="0" w:line="249" w:lineRule="auto"/>
        <w:rPr>
          <w:rFonts w:hint="eastAsia"/>
        </w:rPr>
      </w:pPr>
      <w:r>
        <w:rPr>
          <w:rFonts w:hint="eastAsia"/>
        </w:rPr>
        <w:t>I rejoice that advocates of NCHP are inclined to interpret OTKP much as amillennarians do: as veiled revelations in which God used OT language and imagery to speak “mysteriously” about spiritual and physical blessings unveiled by Christ and the New Covenant.</w:t>
      </w:r>
    </w:p>
    <w:p w14:paraId="228A579E">
      <w:pPr>
        <w:pStyle w:val="9"/>
        <w:spacing w:after="0" w:line="249" w:lineRule="auto"/>
        <w:rPr>
          <w:rFonts w:hint="eastAsia"/>
        </w:rPr>
      </w:pPr>
      <w:r>
        <w:rPr>
          <w:rFonts w:hint="eastAsia"/>
        </w:rPr>
        <w:t>我感到高兴的是，新约历史前千禧年论（NCHP）的倡导者倾向于像无千禧年论者那样解释旧约国度预言（OTKP）：即将其视为隐藏的启示，在其中神使用旧约的语言和意象，“奥秘地”讲述由基督和新约所揭示的属灵和属肉体的祝福。</w:t>
      </w:r>
    </w:p>
    <w:p w14:paraId="5FB16344">
      <w:pPr>
        <w:pStyle w:val="9"/>
        <w:spacing w:after="0" w:line="249" w:lineRule="auto"/>
        <w:rPr>
          <w:rFonts w:hint="eastAsia"/>
        </w:rPr>
      </w:pPr>
    </w:p>
    <w:p w14:paraId="195C74EB">
      <w:pPr>
        <w:pStyle w:val="9"/>
        <w:spacing w:after="0" w:line="249" w:lineRule="auto"/>
        <w:rPr>
          <w:rFonts w:hint="eastAsia"/>
        </w:rPr>
      </w:pPr>
      <w:r>
        <w:rPr>
          <w:rFonts w:hint="eastAsia"/>
        </w:rPr>
        <w:t>To paraphrase their Master, they are not far from the truth of the Kingdom!</w:t>
      </w:r>
    </w:p>
    <w:p w14:paraId="6C16CE5E">
      <w:pPr>
        <w:pStyle w:val="9"/>
        <w:spacing w:after="0" w:line="249" w:lineRule="auto"/>
        <w:rPr>
          <w:rFonts w:hint="eastAsia"/>
        </w:rPr>
      </w:pPr>
      <w:r>
        <w:rPr>
          <w:rFonts w:hint="eastAsia"/>
        </w:rPr>
        <w:t>套用他们夫子的话来说，他们离国度的真理不远了！</w:t>
      </w:r>
    </w:p>
    <w:p w14:paraId="0D2B295F">
      <w:pPr>
        <w:pStyle w:val="9"/>
        <w:spacing w:after="0" w:line="249" w:lineRule="auto"/>
        <w:rPr>
          <w:rFonts w:hint="eastAsia"/>
        </w:rPr>
      </w:pPr>
    </w:p>
    <w:p w14:paraId="0826775A">
      <w:pPr>
        <w:pStyle w:val="9"/>
        <w:spacing w:after="0" w:line="249" w:lineRule="auto"/>
        <w:rPr>
          <w:rFonts w:hint="eastAsia"/>
        </w:rPr>
      </w:pPr>
      <w:r>
        <w:rPr>
          <w:rFonts w:hint="eastAsia"/>
        </w:rPr>
        <w:t>I wonder, however, how they can preach and teach from OTKP.</w:t>
      </w:r>
    </w:p>
    <w:p w14:paraId="7AEFC08F">
      <w:pPr>
        <w:pStyle w:val="9"/>
        <w:spacing w:after="0" w:line="249" w:lineRule="auto"/>
        <w:rPr>
          <w:rFonts w:hint="eastAsia"/>
        </w:rPr>
      </w:pPr>
      <w:r>
        <w:rPr>
          <w:rFonts w:hint="eastAsia"/>
        </w:rPr>
        <w:t>然而，我不知道他们如何能根据旧约国度预言（OTKP）来传讲和教导。</w:t>
      </w:r>
    </w:p>
    <w:p w14:paraId="7B6EE7F3">
      <w:pPr>
        <w:pStyle w:val="9"/>
        <w:spacing w:after="0" w:line="249" w:lineRule="auto"/>
        <w:rPr>
          <w:rFonts w:hint="eastAsia"/>
        </w:rPr>
      </w:pPr>
    </w:p>
    <w:p w14:paraId="51825F6F">
      <w:pPr>
        <w:pStyle w:val="9"/>
        <w:spacing w:after="0" w:line="249" w:lineRule="auto"/>
        <w:rPr>
          <w:rFonts w:hint="eastAsia"/>
        </w:rPr>
      </w:pPr>
      <w:r>
        <w:rPr>
          <w:rFonts w:hint="eastAsia"/>
        </w:rPr>
        <w:t>In particular, how can they discern which predictions are actually fulfilled in the Millennium?</w:t>
      </w:r>
    </w:p>
    <w:p w14:paraId="785740F0">
      <w:pPr>
        <w:pStyle w:val="9"/>
        <w:spacing w:after="0" w:line="249" w:lineRule="auto"/>
        <w:rPr>
          <w:rFonts w:hint="eastAsia"/>
        </w:rPr>
      </w:pPr>
      <w:r>
        <w:rPr>
          <w:rFonts w:hint="eastAsia"/>
        </w:rPr>
        <w:t>特别是，他们如何能辨别哪些预言实际上是在千禧年中应验的？</w:t>
      </w:r>
    </w:p>
    <w:p w14:paraId="51E0FDCF">
      <w:pPr>
        <w:pStyle w:val="9"/>
        <w:spacing w:after="0" w:line="249" w:lineRule="auto"/>
        <w:rPr>
          <w:rFonts w:hint="eastAsia"/>
        </w:rPr>
      </w:pPr>
    </w:p>
    <w:p w14:paraId="725FBB13">
      <w:pPr>
        <w:pStyle w:val="9"/>
        <w:spacing w:after="0" w:line="249" w:lineRule="auto"/>
        <w:rPr>
          <w:rFonts w:hint="eastAsia"/>
        </w:rPr>
      </w:pPr>
      <w:r>
        <w:rPr>
          <w:rFonts w:hint="eastAsia"/>
        </w:rPr>
        <w:t>Is Isaiah 11:6-9 fulfilled in the Millennium?</w:t>
      </w:r>
    </w:p>
    <w:p w14:paraId="289A4206">
      <w:pPr>
        <w:pStyle w:val="9"/>
        <w:spacing w:after="0" w:line="249" w:lineRule="auto"/>
        <w:rPr>
          <w:rFonts w:hint="eastAsia"/>
        </w:rPr>
      </w:pPr>
      <w:r>
        <w:rPr>
          <w:rFonts w:hint="eastAsia"/>
        </w:rPr>
        <w:t>以赛亚书11:6-9是在千禧年中应验的吗？</w:t>
      </w:r>
    </w:p>
    <w:p w14:paraId="1F55948E">
      <w:pPr>
        <w:pStyle w:val="9"/>
        <w:spacing w:after="0" w:line="249" w:lineRule="auto"/>
        <w:rPr>
          <w:rFonts w:hint="eastAsia"/>
        </w:rPr>
      </w:pPr>
    </w:p>
    <w:p w14:paraId="22D4F27C">
      <w:pPr>
        <w:pStyle w:val="9"/>
        <w:spacing w:after="0" w:line="249" w:lineRule="auto"/>
        <w:rPr>
          <w:rFonts w:hint="eastAsia"/>
        </w:rPr>
      </w:pPr>
      <w:r>
        <w:rPr>
          <w:rFonts w:hint="eastAsia"/>
        </w:rPr>
        <w:t>Since it says nothing of a thousand years, how can they be sure it does not speak “mysteriously” of the World to Come?</w:t>
      </w:r>
    </w:p>
    <w:p w14:paraId="781DA385">
      <w:pPr>
        <w:pStyle w:val="9"/>
        <w:spacing w:after="0" w:line="249" w:lineRule="auto"/>
        <w:rPr>
          <w:rFonts w:hint="eastAsia"/>
        </w:rPr>
      </w:pPr>
      <w:r>
        <w:rPr>
          <w:rFonts w:hint="eastAsia"/>
        </w:rPr>
        <w:t>既然它没有提到一千年，他们怎能确定它不是“奥秘地”论及来世呢？</w:t>
      </w:r>
    </w:p>
    <w:p w14:paraId="2EEC1A0C">
      <w:pPr>
        <w:pStyle w:val="9"/>
        <w:spacing w:after="0" w:line="249" w:lineRule="auto"/>
        <w:rPr>
          <w:rFonts w:hint="eastAsia"/>
        </w:rPr>
      </w:pPr>
    </w:p>
    <w:p w14:paraId="23DE7DB7">
      <w:pPr>
        <w:pStyle w:val="9"/>
        <w:spacing w:after="0" w:line="249" w:lineRule="auto"/>
        <w:rPr>
          <w:rFonts w:hint="eastAsia"/>
        </w:rPr>
      </w:pPr>
      <w:r>
        <w:rPr>
          <w:rFonts w:hint="eastAsia"/>
        </w:rPr>
        <w:t>And what of these premillennial favorites: Isaiah 65:17-25 and 66:22-24?</w:t>
      </w:r>
    </w:p>
    <w:p w14:paraId="587938FE">
      <w:pPr>
        <w:pStyle w:val="9"/>
        <w:spacing w:after="0" w:line="249" w:lineRule="auto"/>
        <w:rPr>
          <w:rFonts w:hint="eastAsia"/>
        </w:rPr>
      </w:pPr>
      <w:r>
        <w:rPr>
          <w:rFonts w:hint="eastAsia"/>
        </w:rPr>
        <w:t>那么，这些前千禧年论者所钟爱的经文又如何呢：以赛亚书65:17-25和66:22-24？</w:t>
      </w:r>
    </w:p>
    <w:p w14:paraId="40D109A5">
      <w:pPr>
        <w:pStyle w:val="9"/>
        <w:spacing w:after="0" w:line="249" w:lineRule="auto"/>
        <w:rPr>
          <w:rFonts w:hint="eastAsia"/>
        </w:rPr>
      </w:pPr>
    </w:p>
    <w:p w14:paraId="1A553369">
      <w:pPr>
        <w:pStyle w:val="9"/>
        <w:spacing w:after="0" w:line="249" w:lineRule="auto"/>
        <w:rPr>
          <w:rFonts w:hint="eastAsia"/>
        </w:rPr>
      </w:pPr>
      <w:r>
        <w:rPr>
          <w:rFonts w:hint="eastAsia"/>
        </w:rPr>
        <w:t>Here the situation is even worse, since the prophet positively affirms that latter-day “Jerusalem,” and the world it will inhabit, will endure forever (65:18, 66:22)!</w:t>
      </w:r>
    </w:p>
    <w:p w14:paraId="1778DB1F">
      <w:pPr>
        <w:pStyle w:val="9"/>
        <w:spacing w:after="0" w:line="249" w:lineRule="auto"/>
        <w:rPr>
          <w:rFonts w:hint="eastAsia"/>
        </w:rPr>
      </w:pPr>
      <w:r>
        <w:rPr>
          <w:rFonts w:hint="eastAsia"/>
        </w:rPr>
        <w:t>这里的情况甚至更糟，因为先知明确地断言，末后的“耶路撒冷”以及它将居住的世界，将永远长存（65:18，66:22）！</w:t>
      </w:r>
    </w:p>
    <w:p w14:paraId="04C525C7">
      <w:pPr>
        <w:pStyle w:val="9"/>
        <w:spacing w:after="0" w:line="249" w:lineRule="auto"/>
        <w:rPr>
          <w:rFonts w:hint="eastAsia"/>
        </w:rPr>
      </w:pPr>
    </w:p>
    <w:p w14:paraId="50583323">
      <w:pPr>
        <w:pStyle w:val="9"/>
        <w:spacing w:after="0" w:line="249" w:lineRule="auto"/>
        <w:rPr>
          <w:rFonts w:hint="eastAsia"/>
        </w:rPr>
      </w:pPr>
      <w:r>
        <w:rPr>
          <w:rFonts w:hint="eastAsia"/>
        </w:rPr>
        <w:t>It appears, then, that NCHP is shut up to Revelation 20 alone for its knowledge of the Millennium.</w:t>
      </w:r>
    </w:p>
    <w:p w14:paraId="1184B8F3">
      <w:pPr>
        <w:pStyle w:val="9"/>
        <w:spacing w:after="0" w:line="249" w:lineRule="auto"/>
        <w:rPr>
          <w:rFonts w:hint="eastAsia"/>
        </w:rPr>
      </w:pPr>
      <w:r>
        <w:rPr>
          <w:rFonts w:hint="eastAsia"/>
        </w:rPr>
        <w:t>如此看来，新约历史前千禧年论（NCHP）关于千禧年的知识，似乎只能局限于启示录第20章了。</w:t>
      </w:r>
    </w:p>
    <w:p w14:paraId="5E441184">
      <w:pPr>
        <w:pStyle w:val="9"/>
        <w:spacing w:after="0" w:line="249" w:lineRule="auto"/>
        <w:rPr>
          <w:rFonts w:hint="eastAsia"/>
        </w:rPr>
      </w:pPr>
    </w:p>
    <w:p w14:paraId="27862DCC">
      <w:pPr>
        <w:pStyle w:val="9"/>
        <w:spacing w:after="0" w:line="249" w:lineRule="auto"/>
        <w:rPr>
          <w:rFonts w:hint="eastAsia"/>
        </w:rPr>
      </w:pPr>
      <w:r>
        <w:rPr>
          <w:rFonts w:hint="eastAsia"/>
        </w:rPr>
        <w:t>This should make its proponents very uneasy.</w:t>
      </w:r>
    </w:p>
    <w:p w14:paraId="439F129D">
      <w:pPr>
        <w:pStyle w:val="9"/>
        <w:spacing w:after="0" w:line="249" w:lineRule="auto"/>
        <w:rPr>
          <w:rFonts w:hint="eastAsia"/>
        </w:rPr>
      </w:pPr>
      <w:r>
        <w:rPr>
          <w:rFonts w:hint="eastAsia"/>
        </w:rPr>
        <w:t>这应该让其支持者感到非常不安。</w:t>
      </w:r>
    </w:p>
    <w:p w14:paraId="5B3A6134">
      <w:pPr>
        <w:pStyle w:val="9"/>
        <w:spacing w:after="0" w:line="249" w:lineRule="auto"/>
        <w:rPr>
          <w:rFonts w:hint="eastAsia"/>
        </w:rPr>
      </w:pPr>
    </w:p>
    <w:p w14:paraId="7ACB3146">
      <w:pPr>
        <w:pStyle w:val="9"/>
        <w:spacing w:after="0" w:line="249" w:lineRule="auto"/>
        <w:rPr>
          <w:rFonts w:hint="eastAsia"/>
        </w:rPr>
      </w:pPr>
      <w:r>
        <w:rPr>
          <w:rFonts w:hint="eastAsia"/>
        </w:rPr>
        <w:t>Do they really want to hang so great an eschatological bundle on so small a scriptural peg?</w:t>
      </w:r>
    </w:p>
    <w:p w14:paraId="2B09C8E5">
      <w:pPr>
        <w:pStyle w:val="9"/>
        <w:spacing w:after="0" w:line="249" w:lineRule="auto"/>
        <w:rPr>
          <w:rFonts w:hint="eastAsia"/>
        </w:rPr>
      </w:pPr>
      <w:r>
        <w:rPr>
          <w:rFonts w:hint="eastAsia"/>
        </w:rPr>
        <w:t>他们真的想把如此重大的末世论包袱挂在如此小的一个经文钉子上吗？</w:t>
      </w:r>
    </w:p>
    <w:p w14:paraId="56D9B3CD">
      <w:pPr>
        <w:pStyle w:val="9"/>
        <w:spacing w:after="0" w:line="249" w:lineRule="auto"/>
        <w:rPr>
          <w:rFonts w:hint="eastAsia"/>
        </w:rPr>
      </w:pPr>
    </w:p>
    <w:p w14:paraId="7CB5A965">
      <w:pPr>
        <w:pStyle w:val="9"/>
        <w:spacing w:after="0" w:line="249" w:lineRule="auto"/>
        <w:rPr>
          <w:rFonts w:hint="eastAsia"/>
        </w:rPr>
      </w:pPr>
      <w:r>
        <w:rPr>
          <w:rFonts w:hint="eastAsia"/>
        </w:rPr>
        <w:t>Is this not another invitation to re-examine Revelation 20 beneath the clearer light of the didactic NT?</w:t>
      </w:r>
    </w:p>
    <w:p w14:paraId="49ED78C3">
      <w:pPr>
        <w:pStyle w:val="9"/>
        <w:spacing w:after="0" w:line="249" w:lineRule="auto"/>
        <w:rPr>
          <w:rFonts w:hint="eastAsia"/>
        </w:rPr>
      </w:pPr>
      <w:r>
        <w:rPr>
          <w:rFonts w:hint="eastAsia"/>
        </w:rPr>
        <w:t>这不正是另一个邀请，要我们在新约教义性经文更清晰的光照下，重新审视启示录第20章吗？</w:t>
      </w:r>
    </w:p>
    <w:p w14:paraId="0B38D521">
      <w:pPr>
        <w:pStyle w:val="9"/>
        <w:spacing w:after="0" w:line="249" w:lineRule="auto"/>
        <w:rPr>
          <w:rFonts w:hint="eastAsia"/>
        </w:rPr>
      </w:pPr>
    </w:p>
    <w:p w14:paraId="2AB0A6D6">
      <w:pPr>
        <w:pStyle w:val="9"/>
        <w:spacing w:after="0" w:line="249" w:lineRule="auto"/>
        <w:rPr>
          <w:rFonts w:hint="eastAsia"/>
        </w:rPr>
      </w:pPr>
      <w:r>
        <w:rPr>
          <w:rFonts w:hint="eastAsia"/>
        </w:rPr>
        <w:t>As for the followers of OCHP, we remember that they interpret OTKP basically literally; that they view these prophecies as photographs of Israel and the nations living together in the Millennium.</w:t>
      </w:r>
    </w:p>
    <w:p w14:paraId="6B5A625F">
      <w:pPr>
        <w:pStyle w:val="9"/>
        <w:spacing w:after="0" w:line="249" w:lineRule="auto"/>
        <w:rPr>
          <w:rFonts w:hint="eastAsia"/>
        </w:rPr>
      </w:pPr>
      <w:r>
        <w:rPr>
          <w:rFonts w:hint="eastAsia"/>
        </w:rPr>
        <w:t>至于旧约历史前千禧年论（OCHP）的追随者，我们记得他们基本上是按字面意思解释旧约国度预言（OTKP）的；他们将这些预言视为以色列和列国在千禧年共同生活的照片。</w:t>
      </w:r>
    </w:p>
    <w:p w14:paraId="4EC6D9E7">
      <w:pPr>
        <w:pStyle w:val="9"/>
        <w:spacing w:after="0" w:line="249" w:lineRule="auto"/>
        <w:rPr>
          <w:rFonts w:hint="eastAsia"/>
        </w:rPr>
      </w:pPr>
    </w:p>
    <w:p w14:paraId="6D5461FB">
      <w:pPr>
        <w:pStyle w:val="9"/>
        <w:spacing w:after="0" w:line="249" w:lineRule="auto"/>
        <w:rPr>
          <w:rFonts w:hint="eastAsia"/>
        </w:rPr>
      </w:pPr>
      <w:r>
        <w:rPr>
          <w:rFonts w:hint="eastAsia"/>
        </w:rPr>
        <w:t>We have seen, however, that this approach plunges the biblical interpreter into a great thicket of difficulties: apparent contradictions, historical anachronisms, a future return to the Mosaic Law, and a losing battle with the NT doctrine of the Kingdom.</w:t>
      </w:r>
    </w:p>
    <w:p w14:paraId="49558309">
      <w:pPr>
        <w:pStyle w:val="9"/>
        <w:spacing w:after="0" w:line="249" w:lineRule="auto"/>
        <w:rPr>
          <w:rFonts w:hint="eastAsia"/>
        </w:rPr>
      </w:pPr>
      <w:r>
        <w:rPr>
          <w:rFonts w:hint="eastAsia"/>
        </w:rPr>
        <w:t>然而，我们已经看到，这种方法使圣经解释者陷入了巨大的困难丛林中：明显的矛盾、历史的时代错乱、未来要回归摩西律法，以及一场与新约国度教义的必败之战。</w:t>
      </w:r>
    </w:p>
    <w:p w14:paraId="0D9DDBE5">
      <w:pPr>
        <w:pStyle w:val="9"/>
        <w:spacing w:after="0" w:line="249" w:lineRule="auto"/>
        <w:rPr>
          <w:rFonts w:hint="eastAsia"/>
        </w:rPr>
      </w:pPr>
    </w:p>
    <w:p w14:paraId="33870488">
      <w:pPr>
        <w:pStyle w:val="9"/>
        <w:spacing w:after="0" w:line="249" w:lineRule="auto"/>
        <w:rPr>
          <w:rFonts w:hint="eastAsia"/>
        </w:rPr>
      </w:pPr>
      <w:r>
        <w:rPr>
          <w:rFonts w:hint="eastAsia"/>
        </w:rPr>
        <w:t>Happily, we also saw that the apostles do not interpret OTKP in this manner.</w:t>
      </w:r>
    </w:p>
    <w:p w14:paraId="0AC309D8">
      <w:pPr>
        <w:pStyle w:val="9"/>
        <w:spacing w:after="0" w:line="249" w:lineRule="auto"/>
        <w:rPr>
          <w:rFonts w:hint="eastAsia"/>
        </w:rPr>
      </w:pPr>
      <w:r>
        <w:rPr>
          <w:rFonts w:hint="eastAsia"/>
        </w:rPr>
        <w:t>令人高兴的是，我们也看到使徒们并不是以这种方式解释旧约国度预言（OTKP）的。</w:t>
      </w:r>
    </w:p>
    <w:p w14:paraId="73C845AB">
      <w:pPr>
        <w:pStyle w:val="9"/>
        <w:spacing w:after="0" w:line="249" w:lineRule="auto"/>
        <w:rPr>
          <w:rFonts w:hint="eastAsia"/>
        </w:rPr>
      </w:pPr>
    </w:p>
    <w:p w14:paraId="0FA9735E">
      <w:pPr>
        <w:pStyle w:val="9"/>
        <w:spacing w:after="0" w:line="249" w:lineRule="auto"/>
        <w:rPr>
          <w:rFonts w:hint="eastAsia"/>
        </w:rPr>
      </w:pPr>
      <w:r>
        <w:rPr>
          <w:rFonts w:hint="eastAsia"/>
        </w:rPr>
        <w:t>Yes, they understood that God meant “simple” Messianic prophecies—prophecies fulfilled prior to Pentecost—to be interpreted basically literally, and then to be used as witnesses in the global proclamation of the Gospel.</w:t>
      </w:r>
    </w:p>
    <w:p w14:paraId="58F4F1FC">
      <w:pPr>
        <w:pStyle w:val="9"/>
        <w:spacing w:after="0" w:line="249" w:lineRule="auto"/>
        <w:rPr>
          <w:rFonts w:hint="eastAsia"/>
        </w:rPr>
      </w:pPr>
      <w:r>
        <w:rPr>
          <w:rFonts w:hint="eastAsia"/>
        </w:rPr>
        <w:t>是的，他们明白神的意思是，那些“简单的”弥赛亚预言——即在五旬节之前应验的预言——基本上应按字面意思解释，然后在全球宣讲福音时用作见证。</w:t>
      </w:r>
    </w:p>
    <w:p w14:paraId="3D443B37">
      <w:pPr>
        <w:pStyle w:val="9"/>
        <w:spacing w:after="0" w:line="249" w:lineRule="auto"/>
        <w:rPr>
          <w:rFonts w:hint="eastAsia"/>
        </w:rPr>
      </w:pPr>
    </w:p>
    <w:p w14:paraId="2A6D3C2A">
      <w:pPr>
        <w:pStyle w:val="9"/>
        <w:spacing w:after="0" w:line="249" w:lineRule="auto"/>
        <w:rPr>
          <w:rFonts w:hint="eastAsia"/>
        </w:rPr>
      </w:pPr>
      <w:r>
        <w:rPr>
          <w:rFonts w:hint="eastAsia"/>
        </w:rPr>
        <w:t>But they also understood that true OTKP’s—prophecies fulfilled after Pentecost—must be interpreted by a skillful use of the NCH, and therefore as being fulfilled in Christ, under the New Covenant, and among the New Covenant people of God: the Church, comprised of believing Jews and Gentiles of all time.</w:t>
      </w:r>
    </w:p>
    <w:p w14:paraId="0883D34B">
      <w:pPr>
        <w:pStyle w:val="9"/>
        <w:spacing w:after="0" w:line="249" w:lineRule="auto"/>
        <w:rPr>
          <w:rFonts w:hint="eastAsia"/>
        </w:rPr>
      </w:pPr>
      <w:r>
        <w:rPr>
          <w:rFonts w:hint="eastAsia"/>
        </w:rPr>
        <w:t>但他们也明白，真正的旧约国度预言（OTKP）——即在五旬节之后应验的预言——必须通过巧妙地运用新约释经学（NCH）来解释，因此应被理解为是在基督里、在新约之下、并在神的新约子民中应验的：这子民就是教会，由历代以来信主的犹太人和外邦人组成。</w:t>
      </w:r>
    </w:p>
    <w:p w14:paraId="57B3B37D">
      <w:pPr>
        <w:pStyle w:val="9"/>
        <w:spacing w:after="0" w:line="249" w:lineRule="auto"/>
        <w:rPr>
          <w:rFonts w:hint="eastAsia"/>
        </w:rPr>
      </w:pPr>
    </w:p>
    <w:p w14:paraId="6FBBEBD7">
      <w:pPr>
        <w:pStyle w:val="9"/>
        <w:spacing w:after="0" w:line="249" w:lineRule="auto"/>
        <w:rPr>
          <w:rFonts w:hint="eastAsia"/>
        </w:rPr>
      </w:pPr>
      <w:r>
        <w:rPr>
          <w:rFonts w:hint="eastAsia"/>
        </w:rPr>
        <w:t>Let us be glad of it, for here alone do we find the way of escape from the maddening historical and theological contradictions into which OCHP would plunge us all.</w:t>
      </w:r>
    </w:p>
    <w:p w14:paraId="5EE95BCD">
      <w:pPr>
        <w:pStyle w:val="9"/>
        <w:spacing w:after="0" w:line="249" w:lineRule="auto"/>
        <w:rPr>
          <w:rFonts w:hint="eastAsia"/>
        </w:rPr>
      </w:pPr>
      <w:r>
        <w:rPr>
          <w:rFonts w:hint="eastAsia"/>
        </w:rPr>
        <w:t>让我们为此欢喜吧，因为唯有在此，我们才能找到逃离旧约历史前千禧年论（OCHP）会让我们所有人陷入的、那些令人抓狂的历史和神学矛盾的出路。</w:t>
      </w:r>
    </w:p>
    <w:p w14:paraId="67D09A66">
      <w:pPr>
        <w:pStyle w:val="9"/>
        <w:spacing w:after="0" w:line="249" w:lineRule="auto"/>
        <w:rPr>
          <w:rFonts w:hint="eastAsia"/>
        </w:rPr>
      </w:pPr>
    </w:p>
    <w:p w14:paraId="03012DAC">
      <w:pPr>
        <w:pStyle w:val="9"/>
        <w:spacing w:after="0" w:line="249" w:lineRule="auto"/>
        <w:rPr>
          <w:rFonts w:hint="eastAsia"/>
        </w:rPr>
      </w:pPr>
      <w:r>
        <w:rPr>
          <w:rFonts w:hint="eastAsia"/>
        </w:rPr>
        <w:t>View of the Revelation</w:t>
      </w:r>
    </w:p>
    <w:p w14:paraId="4CC6D5AC">
      <w:pPr>
        <w:pStyle w:val="9"/>
        <w:spacing w:after="0" w:line="249" w:lineRule="auto"/>
        <w:rPr>
          <w:rFonts w:hint="eastAsia"/>
        </w:rPr>
      </w:pPr>
      <w:r>
        <w:rPr>
          <w:rFonts w:hint="eastAsia"/>
        </w:rPr>
        <w:t>对启示录的看法</w:t>
      </w:r>
    </w:p>
    <w:p w14:paraId="75143660">
      <w:pPr>
        <w:pStyle w:val="9"/>
        <w:spacing w:after="0" w:line="249" w:lineRule="auto"/>
        <w:rPr>
          <w:rFonts w:hint="eastAsia"/>
        </w:rPr>
      </w:pPr>
    </w:p>
    <w:p w14:paraId="43F4FA05">
      <w:pPr>
        <w:pStyle w:val="9"/>
        <w:spacing w:after="0" w:line="249" w:lineRule="auto"/>
        <w:rPr>
          <w:rFonts w:hint="eastAsia"/>
        </w:rPr>
      </w:pPr>
      <w:r>
        <w:rPr>
          <w:rFonts w:hint="eastAsia"/>
        </w:rPr>
        <w:t>Whatever their approach to the Revelation as a whole, all historic premillennarians agree that chapter 20 speaks of events to occur after the Parousia.</w:t>
      </w:r>
    </w:p>
    <w:p w14:paraId="29FC8E34">
      <w:pPr>
        <w:pStyle w:val="9"/>
        <w:spacing w:after="0" w:line="249" w:lineRule="auto"/>
        <w:rPr>
          <w:rFonts w:hint="eastAsia"/>
        </w:rPr>
      </w:pPr>
      <w:r>
        <w:rPr>
          <w:rFonts w:hint="eastAsia"/>
        </w:rPr>
        <w:t>无论他们对整本启示录采取何种方法，所有的历史前千禧年论者都同意，第20章讲述的是再来之后要发生的事件。</w:t>
      </w:r>
    </w:p>
    <w:p w14:paraId="0B1F1A6C">
      <w:pPr>
        <w:pStyle w:val="9"/>
        <w:spacing w:after="0" w:line="249" w:lineRule="auto"/>
        <w:rPr>
          <w:rFonts w:hint="eastAsia"/>
        </w:rPr>
      </w:pPr>
    </w:p>
    <w:p w14:paraId="2F5A6565">
      <w:pPr>
        <w:pStyle w:val="9"/>
        <w:spacing w:after="0" w:line="249" w:lineRule="auto"/>
        <w:rPr>
          <w:rFonts w:hint="eastAsia"/>
        </w:rPr>
      </w:pPr>
      <w:r>
        <w:rPr>
          <w:rFonts w:hint="eastAsia"/>
        </w:rPr>
        <w:t>We have seen, however, that this futuristic reading of Revelation 20 immediately brings it into conflict with the rest of the NT, which pervasively sees the Kingdom as coming in two simple stages, separated by a single Consummation at the return of Christ.</w:t>
      </w:r>
    </w:p>
    <w:p w14:paraId="529C4465">
      <w:pPr>
        <w:pStyle w:val="9"/>
        <w:spacing w:after="0" w:line="249" w:lineRule="auto"/>
        <w:rPr>
          <w:rFonts w:hint="eastAsia"/>
        </w:rPr>
      </w:pPr>
      <w:r>
        <w:rPr>
          <w:rFonts w:hint="eastAsia"/>
        </w:rPr>
        <w:t>然而，我们已经看到，这种对启示录第20章的未来主义解读，立即使其与新约的其余部分产生冲突，而新约普遍认为国度是以两个简单的阶段来临的，这两个阶段由基督再来时的一个单一结局所分隔。</w:t>
      </w:r>
    </w:p>
    <w:p w14:paraId="6D08E8A7">
      <w:pPr>
        <w:pStyle w:val="9"/>
        <w:spacing w:after="0" w:line="249" w:lineRule="auto"/>
        <w:rPr>
          <w:rFonts w:hint="eastAsia"/>
        </w:rPr>
      </w:pPr>
    </w:p>
    <w:p w14:paraId="76307942">
      <w:pPr>
        <w:pStyle w:val="9"/>
        <w:spacing w:after="0" w:line="249" w:lineRule="auto"/>
        <w:rPr>
          <w:rFonts w:hint="eastAsia"/>
        </w:rPr>
      </w:pPr>
      <w:r>
        <w:rPr>
          <w:rFonts w:hint="eastAsia"/>
        </w:rPr>
        <w:t>Happily, there is a clear solution.</w:t>
      </w:r>
    </w:p>
    <w:p w14:paraId="5679A059">
      <w:pPr>
        <w:pStyle w:val="9"/>
        <w:spacing w:after="0" w:line="249" w:lineRule="auto"/>
        <w:rPr>
          <w:rFonts w:hint="eastAsia"/>
        </w:rPr>
      </w:pPr>
      <w:r>
        <w:rPr>
          <w:rFonts w:hint="eastAsia"/>
        </w:rPr>
        <w:t>令人高兴的是，有一个清晰的解决方案。</w:t>
      </w:r>
    </w:p>
    <w:p w14:paraId="764973FB">
      <w:pPr>
        <w:pStyle w:val="9"/>
        <w:spacing w:after="0" w:line="249" w:lineRule="auto"/>
        <w:rPr>
          <w:rFonts w:hint="eastAsia"/>
        </w:rPr>
      </w:pPr>
    </w:p>
    <w:p w14:paraId="70E960A7">
      <w:pPr>
        <w:pStyle w:val="9"/>
        <w:spacing w:after="0" w:line="249" w:lineRule="auto"/>
        <w:rPr>
          <w:rFonts w:hint="eastAsia"/>
        </w:rPr>
      </w:pPr>
      <w:r>
        <w:rPr>
          <w:rFonts w:hint="eastAsia"/>
        </w:rPr>
        <w:t>We came upon it in Part 4 of our study, where we learned that Revelation 20 is actually one of six visionary cycles, all of which describe the period of time between Christ’s first and second advents.</w:t>
      </w:r>
    </w:p>
    <w:p w14:paraId="09644AB9">
      <w:pPr>
        <w:pStyle w:val="9"/>
        <w:spacing w:after="0" w:line="249" w:lineRule="auto"/>
        <w:rPr>
          <w:rFonts w:hint="eastAsia"/>
        </w:rPr>
      </w:pPr>
      <w:r>
        <w:rPr>
          <w:rFonts w:hint="eastAsia"/>
        </w:rPr>
        <w:t>我们在本书第四部分的研究中发现了它，在那里我们了解到启示录第20章实际上是六个异象周期之一，所有这些周期都描述了基督第一次和第二次降临之间的时间段。</w:t>
      </w:r>
    </w:p>
    <w:p w14:paraId="09168A12">
      <w:pPr>
        <w:pStyle w:val="9"/>
        <w:spacing w:after="0" w:line="249" w:lineRule="auto"/>
        <w:rPr>
          <w:rFonts w:hint="eastAsia"/>
        </w:rPr>
      </w:pPr>
    </w:p>
    <w:p w14:paraId="14DF679F">
      <w:pPr>
        <w:pStyle w:val="9"/>
        <w:spacing w:after="0" w:line="249" w:lineRule="auto"/>
        <w:rPr>
          <w:rFonts w:hint="eastAsia"/>
        </w:rPr>
      </w:pPr>
      <w:r>
        <w:rPr>
          <w:rFonts w:hint="eastAsia"/>
        </w:rPr>
        <w:t>This was particularly evident from the striking similarities between chapters 12 and 20.</w:t>
      </w:r>
    </w:p>
    <w:p w14:paraId="4B94E03F">
      <w:pPr>
        <w:pStyle w:val="9"/>
        <w:spacing w:after="0" w:line="249" w:lineRule="auto"/>
        <w:rPr>
          <w:rFonts w:hint="eastAsia"/>
        </w:rPr>
      </w:pPr>
      <w:r>
        <w:rPr>
          <w:rFonts w:hint="eastAsia"/>
        </w:rPr>
        <w:t>这一点从第12章和第20章之间惊人的相似性中尤其明显。</w:t>
      </w:r>
    </w:p>
    <w:p w14:paraId="7D21C28A">
      <w:pPr>
        <w:pStyle w:val="9"/>
        <w:spacing w:after="0" w:line="249" w:lineRule="auto"/>
        <w:rPr>
          <w:rFonts w:hint="eastAsia"/>
        </w:rPr>
      </w:pPr>
    </w:p>
    <w:p w14:paraId="11AAD683">
      <w:pPr>
        <w:pStyle w:val="9"/>
        <w:spacing w:after="0" w:line="249" w:lineRule="auto"/>
        <w:rPr>
          <w:rFonts w:hint="eastAsia"/>
        </w:rPr>
      </w:pPr>
      <w:r>
        <w:rPr>
          <w:rFonts w:hint="eastAsia"/>
        </w:rPr>
        <w:t>Moreover, once we recognize that “the first resurrection” of 20:4-6 is spiritual, it is easy to see how the second is both physical and general, and that Revelation 20 symbolizes the course of the Era of Proclamation.</w:t>
      </w:r>
    </w:p>
    <w:p w14:paraId="58BB56D7">
      <w:pPr>
        <w:pStyle w:val="9"/>
        <w:spacing w:after="0" w:line="249" w:lineRule="auto"/>
        <w:rPr>
          <w:rFonts w:hint="eastAsia"/>
        </w:rPr>
      </w:pPr>
      <w:r>
        <w:rPr>
          <w:rFonts w:hint="eastAsia"/>
        </w:rPr>
        <w:t>此外，一旦我们认识到20:4-6的“第一次复活”是属灵的，就很容易看出第二次复活既是肉体的也是普遍的，并且启示录第20章象征着传讲时代的进程。</w:t>
      </w:r>
    </w:p>
    <w:p w14:paraId="16C03469">
      <w:pPr>
        <w:pStyle w:val="9"/>
        <w:spacing w:after="0" w:line="249" w:lineRule="auto"/>
        <w:rPr>
          <w:rFonts w:hint="eastAsia"/>
        </w:rPr>
      </w:pPr>
    </w:p>
    <w:p w14:paraId="08A9A153">
      <w:pPr>
        <w:pStyle w:val="9"/>
        <w:spacing w:after="0" w:line="249" w:lineRule="auto"/>
        <w:rPr>
          <w:rFonts w:hint="eastAsia"/>
        </w:rPr>
      </w:pPr>
      <w:r>
        <w:rPr>
          <w:rFonts w:hint="eastAsia"/>
        </w:rPr>
        <w:t>Henceforth, the whole book harmonizes perfectly with the rest of the NT.</w:t>
      </w:r>
    </w:p>
    <w:p w14:paraId="349AD87C">
      <w:pPr>
        <w:pStyle w:val="9"/>
        <w:spacing w:after="0" w:line="249" w:lineRule="auto"/>
        <w:rPr>
          <w:rFonts w:hint="eastAsia"/>
        </w:rPr>
      </w:pPr>
      <w:r>
        <w:rPr>
          <w:rFonts w:hint="eastAsia"/>
        </w:rPr>
        <w:t>从此，整本书就与新约的其余部分完美地协调一致了。</w:t>
      </w:r>
    </w:p>
    <w:p w14:paraId="4A365FE6">
      <w:pPr>
        <w:pStyle w:val="9"/>
        <w:spacing w:after="0" w:line="249" w:lineRule="auto"/>
        <w:rPr>
          <w:rFonts w:hint="eastAsia"/>
        </w:rPr>
      </w:pPr>
    </w:p>
    <w:p w14:paraId="2482218E">
      <w:pPr>
        <w:pStyle w:val="9"/>
        <w:spacing w:after="0" w:line="249" w:lineRule="auto"/>
        <w:rPr>
          <w:rFonts w:hint="eastAsia"/>
        </w:rPr>
      </w:pPr>
      <w:r>
        <w:rPr>
          <w:rFonts w:hint="eastAsia"/>
        </w:rPr>
        <w:t>Summing up, we find that HP entangles the biblical interpreter in inescapable conflict and confusion.</w:t>
      </w:r>
    </w:p>
    <w:p w14:paraId="1EB7B0D2">
      <w:pPr>
        <w:pStyle w:val="9"/>
        <w:spacing w:after="0" w:line="249" w:lineRule="auto"/>
        <w:rPr>
          <w:rFonts w:hint="eastAsia"/>
        </w:rPr>
      </w:pPr>
      <w:r>
        <w:rPr>
          <w:rFonts w:hint="eastAsia"/>
        </w:rPr>
        <w:t>总结来说，我们发现历史前千禧年论（HP）使圣经解释者陷入了无法逃避的冲突和混乱之中。</w:t>
      </w:r>
    </w:p>
    <w:p w14:paraId="3E6581FA">
      <w:pPr>
        <w:pStyle w:val="9"/>
        <w:spacing w:after="0" w:line="249" w:lineRule="auto"/>
        <w:rPr>
          <w:rFonts w:hint="eastAsia"/>
        </w:rPr>
      </w:pPr>
    </w:p>
    <w:p w14:paraId="769B3943">
      <w:pPr>
        <w:pStyle w:val="9"/>
        <w:spacing w:after="0" w:line="249" w:lineRule="auto"/>
        <w:rPr>
          <w:rFonts w:hint="eastAsia"/>
        </w:rPr>
      </w:pPr>
      <w:r>
        <w:rPr>
          <w:rFonts w:hint="eastAsia"/>
        </w:rPr>
        <w:t>When, however, we receive from Christ the Master Keys to the GETD, all difficulties are resolved, and the one true eschatology of Scripture rises like the sun in its strength.</w:t>
      </w:r>
    </w:p>
    <w:p w14:paraId="71550E64">
      <w:pPr>
        <w:pStyle w:val="9"/>
        <w:spacing w:after="0" w:line="249" w:lineRule="auto"/>
        <w:rPr>
          <w:rFonts w:hint="eastAsia"/>
        </w:rPr>
      </w:pPr>
      <w:r>
        <w:rPr>
          <w:rFonts w:hint="eastAsia"/>
        </w:rPr>
        <w:t>然而，当我们从基督那里领受了通往一般末世论教义（GETD）的总钥匙时，所有的困难都解决了，圣经中那唯一的、真实的末世论就如日头出现，光辉烈烈。</w:t>
      </w:r>
    </w:p>
    <w:p w14:paraId="55749175">
      <w:pPr>
        <w:pStyle w:val="9"/>
        <w:spacing w:after="0" w:line="249" w:lineRule="auto"/>
        <w:rPr>
          <w:rFonts w:hint="eastAsia"/>
        </w:rPr>
      </w:pPr>
    </w:p>
    <w:p w14:paraId="0091E052">
      <w:pPr>
        <w:pStyle w:val="9"/>
        <w:spacing w:after="0" w:line="249" w:lineRule="auto"/>
        <w:rPr>
          <w:rFonts w:hint="eastAsia"/>
        </w:rPr>
      </w:pPr>
      <w:r>
        <w:rPr>
          <w:rFonts w:hint="eastAsia"/>
        </w:rPr>
        <w:t>I pray my premillennial brethren will receive those keys, and so enter into the joy of the amillennial dawn.</w:t>
      </w:r>
    </w:p>
    <w:p w14:paraId="3F62F78A">
      <w:pPr>
        <w:pStyle w:val="9"/>
        <w:spacing w:after="0" w:line="249" w:lineRule="auto"/>
        <w:sectPr>
          <w:pgSz w:w="12240" w:h="15840"/>
          <w:pgMar w:top="1380" w:right="1440" w:bottom="280" w:left="1440" w:header="720" w:footer="720" w:gutter="0"/>
          <w:cols w:space="720" w:num="1"/>
        </w:sectPr>
      </w:pPr>
      <w:r>
        <w:rPr>
          <w:rFonts w:hint="eastAsia"/>
        </w:rPr>
        <w:t>我祈求我的前千禧年论弟兄们能够领受那些钥匙，从而进入无千禧年论黎明的喜乐中。</w:t>
      </w:r>
    </w:p>
    <w:p w14:paraId="1D3F8718">
      <w:pPr>
        <w:pStyle w:val="9"/>
        <w:spacing w:before="0"/>
        <w:ind w:left="0"/>
        <w:jc w:val="left"/>
        <w:rPr>
          <w:sz w:val="17"/>
        </w:rPr>
      </w:pPr>
      <w:bookmarkStart w:id="67" w:name="_bookmark192"/>
      <w:bookmarkEnd w:id="67"/>
      <w:bookmarkStart w:id="68" w:name="Appendix 2: A Critique of Postmillennial"/>
      <w:bookmarkEnd w:id="68"/>
    </w:p>
    <w:p w14:paraId="4BD6392B">
      <w:pPr>
        <w:pStyle w:val="2"/>
        <w:bidi w:val="0"/>
        <w:rPr>
          <w:rFonts w:hint="eastAsia"/>
        </w:rPr>
      </w:pPr>
      <w:r>
        <w:rPr>
          <w:rFonts w:hint="eastAsia"/>
        </w:rPr>
        <w:t>Appendix 2</w:t>
      </w:r>
    </w:p>
    <w:p w14:paraId="66544514">
      <w:pPr>
        <w:pStyle w:val="2"/>
        <w:bidi w:val="0"/>
        <w:rPr>
          <w:rFonts w:hint="eastAsia"/>
        </w:rPr>
      </w:pPr>
      <w:r>
        <w:rPr>
          <w:rFonts w:hint="eastAsia"/>
        </w:rPr>
        <w:t>附录2</w:t>
      </w:r>
    </w:p>
    <w:p w14:paraId="59EFD281">
      <w:pPr>
        <w:pStyle w:val="9"/>
        <w:spacing w:before="104"/>
        <w:ind w:left="0"/>
        <w:jc w:val="left"/>
        <w:rPr>
          <w:rFonts w:hint="eastAsia"/>
          <w:color w:val="231F20"/>
        </w:rPr>
      </w:pPr>
    </w:p>
    <w:p w14:paraId="7D230E21">
      <w:pPr>
        <w:pStyle w:val="3"/>
        <w:bidi w:val="0"/>
        <w:rPr>
          <w:rFonts w:hint="eastAsia"/>
        </w:rPr>
      </w:pPr>
      <w:r>
        <w:rPr>
          <w:rFonts w:hint="eastAsia"/>
        </w:rPr>
        <w:t>A Critique of Postmillennialism</w:t>
      </w:r>
    </w:p>
    <w:p w14:paraId="2C18ADE4">
      <w:pPr>
        <w:pStyle w:val="3"/>
        <w:bidi w:val="0"/>
        <w:rPr>
          <w:rFonts w:hint="eastAsia"/>
        </w:rPr>
      </w:pPr>
      <w:r>
        <w:rPr>
          <w:rFonts w:hint="eastAsia"/>
        </w:rPr>
        <w:t>对后千禧年论的批判</w:t>
      </w:r>
    </w:p>
    <w:p w14:paraId="2F5384A8">
      <w:pPr>
        <w:pStyle w:val="9"/>
        <w:spacing w:before="104"/>
        <w:ind w:left="0"/>
        <w:jc w:val="left"/>
        <w:rPr>
          <w:rFonts w:hint="eastAsia"/>
          <w:color w:val="231F20"/>
        </w:rPr>
      </w:pPr>
    </w:p>
    <w:p w14:paraId="4A53F226">
      <w:pPr>
        <w:pStyle w:val="9"/>
        <w:spacing w:before="104"/>
        <w:ind w:left="0"/>
        <w:jc w:val="left"/>
        <w:rPr>
          <w:rFonts w:hint="eastAsia"/>
          <w:color w:val="231F20"/>
        </w:rPr>
      </w:pPr>
      <w:r>
        <w:rPr>
          <w:rFonts w:hint="eastAsia"/>
          <w:color w:val="231F20"/>
        </w:rPr>
        <w:t>AS WE LEARNED in chapter 3, postmillennialism is a species of amillennialism.</w:t>
      </w:r>
    </w:p>
    <w:p w14:paraId="2FF8AB5E">
      <w:pPr>
        <w:pStyle w:val="9"/>
        <w:spacing w:before="104"/>
        <w:ind w:left="0"/>
        <w:jc w:val="left"/>
        <w:rPr>
          <w:rFonts w:hint="eastAsia"/>
          <w:color w:val="231F20"/>
        </w:rPr>
      </w:pPr>
      <w:r>
        <w:rPr>
          <w:rFonts w:hint="eastAsia"/>
          <w:color w:val="231F20"/>
        </w:rPr>
        <w:t>正如我们在第3章所学到的，后千禧年论是无千禧年论的一种。</w:t>
      </w:r>
    </w:p>
    <w:p w14:paraId="1B09AEBE">
      <w:pPr>
        <w:pStyle w:val="9"/>
        <w:spacing w:before="104"/>
        <w:ind w:left="0"/>
        <w:jc w:val="left"/>
        <w:rPr>
          <w:rFonts w:hint="eastAsia"/>
          <w:color w:val="231F20"/>
        </w:rPr>
      </w:pPr>
    </w:p>
    <w:p w14:paraId="32E609E0">
      <w:pPr>
        <w:pStyle w:val="9"/>
        <w:spacing w:before="104"/>
        <w:ind w:left="0"/>
        <w:jc w:val="left"/>
        <w:rPr>
          <w:rFonts w:hint="eastAsia"/>
          <w:color w:val="231F20"/>
        </w:rPr>
      </w:pPr>
      <w:r>
        <w:rPr>
          <w:rFonts w:hint="eastAsia"/>
          <w:color w:val="231F20"/>
        </w:rPr>
        <w:t>Its distinctive characteristic is the expectation of a Golden Era of universal Christian faith, peace, and prosperity prior to the Last Battle, the Parousia, and the Consummation of all things.</w:t>
      </w:r>
    </w:p>
    <w:p w14:paraId="329B59C6">
      <w:pPr>
        <w:pStyle w:val="9"/>
        <w:spacing w:before="104"/>
        <w:ind w:left="0"/>
        <w:jc w:val="left"/>
        <w:rPr>
          <w:rFonts w:hint="eastAsia"/>
          <w:color w:val="231F20"/>
        </w:rPr>
      </w:pPr>
      <w:r>
        <w:rPr>
          <w:rFonts w:hint="eastAsia"/>
          <w:color w:val="231F20"/>
        </w:rPr>
        <w:t>其显著的特征是，它期待在最后的争战、主的再来以及万物的结局之前，会出现一个普世性的基督教信仰、和平与繁荣的黄金时代。</w:t>
      </w:r>
    </w:p>
    <w:p w14:paraId="0F823A95">
      <w:pPr>
        <w:pStyle w:val="9"/>
        <w:spacing w:before="104"/>
        <w:ind w:left="0"/>
        <w:jc w:val="left"/>
        <w:rPr>
          <w:rFonts w:hint="eastAsia"/>
          <w:color w:val="231F20"/>
        </w:rPr>
      </w:pPr>
    </w:p>
    <w:p w14:paraId="473C73FF">
      <w:pPr>
        <w:pStyle w:val="9"/>
        <w:spacing w:before="104"/>
        <w:ind w:left="0"/>
        <w:jc w:val="left"/>
        <w:rPr>
          <w:rFonts w:hint="eastAsia"/>
          <w:color w:val="231F20"/>
        </w:rPr>
      </w:pPr>
      <w:r>
        <w:rPr>
          <w:rFonts w:hint="eastAsia"/>
          <w:color w:val="231F20"/>
        </w:rPr>
        <w:t>With the help of the diagram below, let’s review its understanding of Salvation History.</w:t>
      </w:r>
    </w:p>
    <w:p w14:paraId="337E59CE">
      <w:pPr>
        <w:pStyle w:val="9"/>
        <w:spacing w:before="104"/>
        <w:ind w:left="0"/>
        <w:jc w:val="left"/>
        <w:rPr>
          <w:rFonts w:hint="eastAsia"/>
          <w:color w:val="231F20"/>
        </w:rPr>
      </w:pPr>
      <w:r>
        <w:rPr>
          <w:rFonts w:hint="eastAsia"/>
          <w:color w:val="231F20"/>
        </w:rPr>
        <w:t>借助下面的图表，让我们来回顾一下它对救赎历史的理解。</w:t>
      </w:r>
    </w:p>
    <w:p w14:paraId="3E4D3751">
      <w:pPr>
        <w:pStyle w:val="9"/>
        <w:spacing w:before="104"/>
        <w:ind w:left="0"/>
        <w:jc w:val="left"/>
        <w:rPr>
          <w:rFonts w:hint="eastAsia"/>
          <w:color w:val="231F20"/>
        </w:rPr>
      </w:pPr>
    </w:p>
    <w:p w14:paraId="4DE123C9">
      <w:pPr>
        <w:pStyle w:val="9"/>
        <w:spacing w:before="104"/>
        <w:ind w:left="0"/>
        <w:jc w:val="left"/>
        <w:rPr>
          <w:rFonts w:hint="eastAsia"/>
          <w:color w:val="231F20"/>
        </w:rPr>
      </w:pPr>
    </w:p>
    <w:p w14:paraId="1F73B0D6">
      <w:pPr>
        <w:pStyle w:val="9"/>
        <w:spacing w:before="104"/>
        <w:ind w:left="0"/>
        <w:jc w:val="left"/>
        <w:rPr>
          <w:sz w:val="20"/>
        </w:rPr>
      </w:pPr>
      <w:r>
        <w:rPr>
          <w:sz w:val="20"/>
        </w:rPr>
        <w:drawing>
          <wp:anchor distT="0" distB="0" distL="0" distR="0" simplePos="0" relativeHeight="251667456" behindDoc="1" locked="0" layoutInCell="1" allowOverlap="1">
            <wp:simplePos x="0" y="0"/>
            <wp:positionH relativeFrom="page">
              <wp:posOffset>2352040</wp:posOffset>
            </wp:positionH>
            <wp:positionV relativeFrom="paragraph">
              <wp:posOffset>227330</wp:posOffset>
            </wp:positionV>
            <wp:extent cx="3082925" cy="1631950"/>
            <wp:effectExtent l="0" t="0" r="0" b="0"/>
            <wp:wrapTopAndBottom/>
            <wp:docPr id="113" name="Image 113"/>
            <wp:cNvGraphicFramePr/>
            <a:graphic xmlns:a="http://schemas.openxmlformats.org/drawingml/2006/main">
              <a:graphicData uri="http://schemas.openxmlformats.org/drawingml/2006/picture">
                <pic:pic xmlns:pic="http://schemas.openxmlformats.org/drawingml/2006/picture">
                  <pic:nvPicPr>
                    <pic:cNvPr id="113" name="Image 113"/>
                    <pic:cNvPicPr/>
                  </pic:nvPicPr>
                  <pic:blipFill>
                    <a:blip r:embed="rId36" cstate="print"/>
                    <a:stretch>
                      <a:fillRect/>
                    </a:stretch>
                  </pic:blipFill>
                  <pic:spPr>
                    <a:xfrm>
                      <a:off x="0" y="0"/>
                      <a:ext cx="3083052" cy="1632203"/>
                    </a:xfrm>
                    <a:prstGeom prst="rect">
                      <a:avLst/>
                    </a:prstGeom>
                  </pic:spPr>
                </pic:pic>
              </a:graphicData>
            </a:graphic>
          </wp:anchor>
        </w:drawing>
      </w:r>
    </w:p>
    <w:p w14:paraId="0E2C14E8">
      <w:pPr>
        <w:pStyle w:val="9"/>
        <w:spacing w:before="89"/>
        <w:ind w:left="0"/>
        <w:jc w:val="left"/>
      </w:pPr>
      <w:r>
        <w:drawing>
          <wp:inline distT="0" distB="0" distL="114300" distR="114300">
            <wp:extent cx="5938520" cy="3110230"/>
            <wp:effectExtent l="0" t="0" r="5080" b="13970"/>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37"/>
                    <a:stretch>
                      <a:fillRect/>
                    </a:stretch>
                  </pic:blipFill>
                  <pic:spPr>
                    <a:xfrm>
                      <a:off x="0" y="0"/>
                      <a:ext cx="5938520" cy="3110230"/>
                    </a:xfrm>
                    <a:prstGeom prst="rect">
                      <a:avLst/>
                    </a:prstGeom>
                    <a:noFill/>
                    <a:ln>
                      <a:noFill/>
                    </a:ln>
                  </pic:spPr>
                </pic:pic>
              </a:graphicData>
            </a:graphic>
          </wp:inline>
        </w:drawing>
      </w:r>
    </w:p>
    <w:p w14:paraId="0AC11723">
      <w:pPr>
        <w:pStyle w:val="9"/>
        <w:spacing w:after="0" w:line="249" w:lineRule="auto"/>
        <w:rPr>
          <w:rFonts w:hint="eastAsia"/>
          <w:color w:val="231F20"/>
        </w:rPr>
      </w:pPr>
      <w:r>
        <w:rPr>
          <w:rFonts w:hint="eastAsia"/>
          <w:color w:val="231F20"/>
        </w:rPr>
        <w:t>Like amillennialism, postmillennialism envisions the Kingdom of God as appearing in two stages: the Kingdom of the Son, followed by the Kingdom of the Father.</w:t>
      </w:r>
    </w:p>
    <w:p w14:paraId="7BE88E8C">
      <w:pPr>
        <w:pStyle w:val="9"/>
        <w:spacing w:after="0" w:line="249" w:lineRule="auto"/>
        <w:rPr>
          <w:rFonts w:hint="eastAsia"/>
          <w:color w:val="231F20"/>
        </w:rPr>
      </w:pPr>
      <w:r>
        <w:rPr>
          <w:rFonts w:hint="eastAsia"/>
          <w:color w:val="231F20"/>
        </w:rPr>
        <w:t>如同无千禧年论，后千禧年论设想神的国是以两个阶段出现的：即子的国，随后是父的国。</w:t>
      </w:r>
    </w:p>
    <w:p w14:paraId="74922599">
      <w:pPr>
        <w:pStyle w:val="9"/>
        <w:spacing w:after="0" w:line="249" w:lineRule="auto"/>
        <w:rPr>
          <w:rFonts w:hint="eastAsia"/>
          <w:color w:val="231F20"/>
        </w:rPr>
      </w:pPr>
    </w:p>
    <w:p w14:paraId="38743942">
      <w:pPr>
        <w:pStyle w:val="9"/>
        <w:spacing w:after="0" w:line="249" w:lineRule="auto"/>
        <w:rPr>
          <w:rFonts w:hint="eastAsia"/>
          <w:color w:val="231F20"/>
        </w:rPr>
      </w:pPr>
      <w:r>
        <w:rPr>
          <w:rFonts w:hint="eastAsia"/>
          <w:color w:val="231F20"/>
        </w:rPr>
        <w:t>However, unlike amillennialism, it posits that the Kingdom of the Son is itself divided into two stages.</w:t>
      </w:r>
    </w:p>
    <w:p w14:paraId="43C69D9C">
      <w:pPr>
        <w:pStyle w:val="9"/>
        <w:spacing w:after="0" w:line="249" w:lineRule="auto"/>
        <w:rPr>
          <w:rFonts w:hint="eastAsia"/>
          <w:color w:val="231F20"/>
        </w:rPr>
      </w:pPr>
      <w:r>
        <w:rPr>
          <w:rFonts w:hint="eastAsia"/>
          <w:color w:val="231F20"/>
        </w:rPr>
        <w:t>然而，与无千禧年论不同的是，它主张子的国本身也分为两个阶段。</w:t>
      </w:r>
    </w:p>
    <w:p w14:paraId="6A39D380">
      <w:pPr>
        <w:pStyle w:val="9"/>
        <w:spacing w:after="0" w:line="249" w:lineRule="auto"/>
        <w:rPr>
          <w:rFonts w:hint="eastAsia"/>
          <w:color w:val="231F20"/>
        </w:rPr>
      </w:pPr>
    </w:p>
    <w:p w14:paraId="1DA20EBB">
      <w:pPr>
        <w:pStyle w:val="9"/>
        <w:spacing w:after="0" w:line="249" w:lineRule="auto"/>
        <w:rPr>
          <w:rFonts w:hint="eastAsia"/>
          <w:color w:val="231F20"/>
        </w:rPr>
      </w:pPr>
      <w:r>
        <w:rPr>
          <w:rFonts w:hint="eastAsia"/>
          <w:color w:val="231F20"/>
        </w:rPr>
        <w:t>Beginning in NT times, the Gospel goes forth into the world.</w:t>
      </w:r>
    </w:p>
    <w:p w14:paraId="4DAD9DB8">
      <w:pPr>
        <w:pStyle w:val="9"/>
        <w:spacing w:after="0" w:line="249" w:lineRule="auto"/>
        <w:rPr>
          <w:rFonts w:hint="eastAsia"/>
          <w:color w:val="231F20"/>
        </w:rPr>
      </w:pPr>
      <w:r>
        <w:rPr>
          <w:rFonts w:hint="eastAsia"/>
          <w:color w:val="231F20"/>
        </w:rPr>
        <w:t>从新约时代开始，福音传遍世界。</w:t>
      </w:r>
    </w:p>
    <w:p w14:paraId="06CAFDC4">
      <w:pPr>
        <w:pStyle w:val="9"/>
        <w:spacing w:after="0" w:line="249" w:lineRule="auto"/>
        <w:rPr>
          <w:rFonts w:hint="eastAsia"/>
          <w:color w:val="231F20"/>
        </w:rPr>
      </w:pPr>
    </w:p>
    <w:p w14:paraId="2AFCBF89">
      <w:pPr>
        <w:pStyle w:val="9"/>
        <w:spacing w:after="0" w:line="249" w:lineRule="auto"/>
        <w:rPr>
          <w:rFonts w:hint="eastAsia"/>
          <w:color w:val="231F20"/>
        </w:rPr>
      </w:pPr>
      <w:r>
        <w:rPr>
          <w:rFonts w:hint="eastAsia"/>
          <w:color w:val="231F20"/>
        </w:rPr>
        <w:t>Amidst much tribulation it begins to prosper.</w:t>
      </w:r>
    </w:p>
    <w:p w14:paraId="216F9317">
      <w:pPr>
        <w:pStyle w:val="9"/>
        <w:spacing w:after="0" w:line="249" w:lineRule="auto"/>
        <w:rPr>
          <w:rFonts w:hint="eastAsia"/>
          <w:color w:val="231F20"/>
        </w:rPr>
      </w:pPr>
      <w:r>
        <w:rPr>
          <w:rFonts w:hint="eastAsia"/>
          <w:color w:val="231F20"/>
        </w:rPr>
        <w:t>在许多患难中，它开始兴旺。</w:t>
      </w:r>
    </w:p>
    <w:p w14:paraId="27C02ADF">
      <w:pPr>
        <w:pStyle w:val="9"/>
        <w:spacing w:after="0" w:line="249" w:lineRule="auto"/>
        <w:rPr>
          <w:rFonts w:hint="eastAsia"/>
          <w:color w:val="231F20"/>
        </w:rPr>
      </w:pPr>
    </w:p>
    <w:p w14:paraId="3E7F7F4B">
      <w:pPr>
        <w:pStyle w:val="9"/>
        <w:spacing w:after="0" w:line="249" w:lineRule="auto"/>
        <w:rPr>
          <w:rFonts w:hint="eastAsia"/>
          <w:color w:val="231F20"/>
        </w:rPr>
      </w:pPr>
      <w:r>
        <w:rPr>
          <w:rFonts w:hint="eastAsia"/>
          <w:color w:val="231F20"/>
        </w:rPr>
        <w:t>Then, at some point late in the Era of Proclamation—a point yet future to us—Satan is bound in such a way that the Gospel begins to make unprecedented advances.</w:t>
      </w:r>
    </w:p>
    <w:p w14:paraId="4C0DE325">
      <w:pPr>
        <w:pStyle w:val="9"/>
        <w:spacing w:after="0" w:line="249" w:lineRule="auto"/>
        <w:rPr>
          <w:rFonts w:hint="eastAsia"/>
          <w:color w:val="231F20"/>
        </w:rPr>
      </w:pPr>
      <w:r>
        <w:rPr>
          <w:rFonts w:hint="eastAsia"/>
          <w:color w:val="231F20"/>
        </w:rPr>
        <w:t>然后，在传讲时代的后期某个时刻——一个对我们而言尚属未来的时刻——撒但被捆绑，以致福音开始取得前所未有的进展。</w:t>
      </w:r>
    </w:p>
    <w:p w14:paraId="17B14F8B">
      <w:pPr>
        <w:pStyle w:val="9"/>
        <w:spacing w:after="0" w:line="249" w:lineRule="auto"/>
        <w:rPr>
          <w:rFonts w:hint="eastAsia"/>
          <w:color w:val="231F20"/>
        </w:rPr>
      </w:pPr>
    </w:p>
    <w:p w14:paraId="5E5A84A5">
      <w:pPr>
        <w:pStyle w:val="9"/>
        <w:spacing w:after="0" w:line="249" w:lineRule="auto"/>
        <w:rPr>
          <w:rFonts w:hint="eastAsia"/>
          <w:color w:val="231F20"/>
        </w:rPr>
      </w:pPr>
      <w:r>
        <w:rPr>
          <w:rFonts w:hint="eastAsia"/>
          <w:color w:val="231F20"/>
        </w:rPr>
        <w:t>This is the second, “millennial” stage of the Kingdom of the Son.</w:t>
      </w:r>
    </w:p>
    <w:p w14:paraId="5FDB41A9">
      <w:pPr>
        <w:pStyle w:val="9"/>
        <w:spacing w:after="0" w:line="249" w:lineRule="auto"/>
        <w:rPr>
          <w:rFonts w:hint="eastAsia"/>
          <w:color w:val="231F20"/>
        </w:rPr>
      </w:pPr>
      <w:r>
        <w:rPr>
          <w:rFonts w:hint="eastAsia"/>
          <w:color w:val="231F20"/>
        </w:rPr>
        <w:t>这是子的国的第二个，“千禧年”阶段。</w:t>
      </w:r>
    </w:p>
    <w:p w14:paraId="52777B3B">
      <w:pPr>
        <w:pStyle w:val="9"/>
        <w:spacing w:after="0" w:line="249" w:lineRule="auto"/>
        <w:rPr>
          <w:rFonts w:hint="eastAsia"/>
          <w:color w:val="231F20"/>
        </w:rPr>
      </w:pPr>
    </w:p>
    <w:p w14:paraId="631C99F7">
      <w:pPr>
        <w:pStyle w:val="9"/>
        <w:spacing w:after="0" w:line="249" w:lineRule="auto"/>
        <w:rPr>
          <w:rFonts w:hint="eastAsia"/>
          <w:color w:val="231F20"/>
        </w:rPr>
      </w:pPr>
      <w:r>
        <w:rPr>
          <w:rFonts w:hint="eastAsia"/>
          <w:color w:val="231F20"/>
        </w:rPr>
        <w:t>Importantly, most postmillennarians assert that the Millennium will begin with the conversion of the great bulk of ethnic Israel.</w:t>
      </w:r>
    </w:p>
    <w:p w14:paraId="7AD3542C">
      <w:pPr>
        <w:pStyle w:val="9"/>
        <w:spacing w:after="0" w:line="249" w:lineRule="auto"/>
        <w:rPr>
          <w:rFonts w:hint="eastAsia"/>
          <w:color w:val="231F20"/>
        </w:rPr>
      </w:pPr>
      <w:r>
        <w:rPr>
          <w:rFonts w:hint="eastAsia"/>
          <w:color w:val="231F20"/>
        </w:rPr>
        <w:t>重要的是，大多数后千禧年论者主张，千禧年将以绝大多数种族上的以色列人的归信开始。</w:t>
      </w:r>
    </w:p>
    <w:p w14:paraId="7F264F7C">
      <w:pPr>
        <w:pStyle w:val="9"/>
        <w:spacing w:after="0" w:line="249" w:lineRule="auto"/>
        <w:rPr>
          <w:rFonts w:hint="eastAsia"/>
          <w:color w:val="231F20"/>
        </w:rPr>
      </w:pPr>
    </w:p>
    <w:p w14:paraId="197E8505">
      <w:pPr>
        <w:pStyle w:val="9"/>
        <w:spacing w:after="0" w:line="249" w:lineRule="auto"/>
        <w:rPr>
          <w:rFonts w:hint="eastAsia"/>
          <w:color w:val="231F20"/>
        </w:rPr>
      </w:pPr>
      <w:r>
        <w:rPr>
          <w:rFonts w:hint="eastAsia"/>
          <w:color w:val="231F20"/>
        </w:rPr>
        <w:t>Then, as Ken Gentry puts it, “The Kingdom will grow and develop until eventually it exercises a dominant and universal gracious influence in a long era of righteousness, peace, and prosperity on the earth and in history.”1</w:t>
      </w:r>
    </w:p>
    <w:p w14:paraId="237B18B2">
      <w:pPr>
        <w:pStyle w:val="9"/>
        <w:spacing w:after="0" w:line="249" w:lineRule="auto"/>
        <w:rPr>
          <w:rFonts w:hint="eastAsia"/>
          <w:color w:val="231F20"/>
        </w:rPr>
      </w:pPr>
      <w:r>
        <w:rPr>
          <w:rFonts w:hint="eastAsia"/>
          <w:color w:val="231F20"/>
        </w:rPr>
        <w:t>然后，正如肯·根特里（Ken Gentry）所说：“国度将会成长和发展，直到最终，在一个漫长的公义、和平与繁荣的时代里，在地上和历史中，它会发挥一种主导性的、普世性的恩典影响力。”1</w:t>
      </w:r>
    </w:p>
    <w:p w14:paraId="4E1E7377">
      <w:pPr>
        <w:pStyle w:val="9"/>
        <w:spacing w:after="0" w:line="249" w:lineRule="auto"/>
        <w:rPr>
          <w:rFonts w:hint="eastAsia"/>
          <w:color w:val="231F20"/>
        </w:rPr>
      </w:pPr>
    </w:p>
    <w:p w14:paraId="378B8AC8">
      <w:pPr>
        <w:pStyle w:val="9"/>
        <w:spacing w:after="0" w:line="249" w:lineRule="auto"/>
        <w:rPr>
          <w:rFonts w:hint="eastAsia"/>
          <w:color w:val="231F20"/>
        </w:rPr>
      </w:pPr>
      <w:r>
        <w:rPr>
          <w:rFonts w:hint="eastAsia"/>
          <w:color w:val="231F20"/>
        </w:rPr>
        <w:t>This era could actually last more than a literal thousand years, since (unlike Augustine) most postmillennarians regard that number as symbolizing magnitude.</w:t>
      </w:r>
    </w:p>
    <w:p w14:paraId="13E5201E">
      <w:pPr>
        <w:pStyle w:val="9"/>
        <w:spacing w:after="0" w:line="249" w:lineRule="auto"/>
        <w:rPr>
          <w:rFonts w:hint="eastAsia"/>
          <w:color w:val="231F20"/>
        </w:rPr>
      </w:pPr>
      <w:r>
        <w:rPr>
          <w:rFonts w:hint="eastAsia"/>
          <w:color w:val="231F20"/>
        </w:rPr>
        <w:t>这个时代实际上可能持续超过字面意义上的一千年，因为（与奥古斯丁不同）大多数后千禧年论者认为那个数字象征着宏大的规模。</w:t>
      </w:r>
    </w:p>
    <w:p w14:paraId="7566F1B6">
      <w:pPr>
        <w:pStyle w:val="9"/>
        <w:spacing w:after="0" w:line="249" w:lineRule="auto"/>
        <w:rPr>
          <w:rFonts w:hint="eastAsia"/>
          <w:color w:val="231F20"/>
        </w:rPr>
      </w:pPr>
    </w:p>
    <w:p w14:paraId="06951150">
      <w:pPr>
        <w:pStyle w:val="9"/>
        <w:spacing w:after="0" w:line="249" w:lineRule="auto"/>
        <w:rPr>
          <w:rFonts w:hint="eastAsia"/>
          <w:color w:val="231F20"/>
        </w:rPr>
      </w:pPr>
      <w:r>
        <w:rPr>
          <w:rFonts w:hint="eastAsia"/>
          <w:color w:val="231F20"/>
        </w:rPr>
        <w:t>Quite surprisingly, as the end approaches the glories of the Golden Era are suddenly overshadowed by a brief, Satanically inspired rebellion, in which the true saints of God will suffer much persecution.</w:t>
      </w:r>
    </w:p>
    <w:p w14:paraId="712230F0">
      <w:pPr>
        <w:pStyle w:val="9"/>
        <w:spacing w:after="0" w:line="249" w:lineRule="auto"/>
        <w:rPr>
          <w:rFonts w:hint="eastAsia"/>
          <w:color w:val="231F20"/>
        </w:rPr>
      </w:pPr>
      <w:r>
        <w:rPr>
          <w:rFonts w:hint="eastAsia"/>
          <w:color w:val="231F20"/>
        </w:rPr>
        <w:t>相当令人惊讶的是，随着末日的临近，黄金时代的荣耀突然被一场短暂的、由撒但煽动的叛乱所遮蔽，在这场叛乱中，神真正的圣徒将遭受极大的迫害。</w:t>
      </w:r>
    </w:p>
    <w:p w14:paraId="16DE51CD">
      <w:pPr>
        <w:pStyle w:val="9"/>
        <w:spacing w:after="0" w:line="249" w:lineRule="auto"/>
        <w:rPr>
          <w:rFonts w:hint="eastAsia"/>
          <w:color w:val="231F20"/>
        </w:rPr>
      </w:pPr>
    </w:p>
    <w:p w14:paraId="26D7B3B2">
      <w:pPr>
        <w:pStyle w:val="9"/>
        <w:spacing w:after="0" w:line="249" w:lineRule="auto"/>
        <w:rPr>
          <w:rFonts w:hint="eastAsia"/>
          <w:color w:val="231F20"/>
        </w:rPr>
      </w:pPr>
      <w:r>
        <w:rPr>
          <w:rFonts w:hint="eastAsia"/>
          <w:color w:val="231F20"/>
        </w:rPr>
        <w:t>However, just as suddenly, the Lord will return to reverse the reversal, rescue his own, raise the dead, judge the world, and bring in the eternal Kingdom.</w:t>
      </w:r>
    </w:p>
    <w:p w14:paraId="280D52D1">
      <w:pPr>
        <w:pStyle w:val="9"/>
        <w:spacing w:after="0" w:line="249" w:lineRule="auto"/>
        <w:rPr>
          <w:rFonts w:hint="eastAsia"/>
          <w:color w:val="231F20"/>
        </w:rPr>
      </w:pPr>
      <w:r>
        <w:rPr>
          <w:rFonts w:hint="eastAsia"/>
          <w:color w:val="231F20"/>
        </w:rPr>
        <w:t>然而，同样突然地，主将再来扭转这逆转，拯救属祂自己的人，使死人复活，审判世界，并带进永恒的国度。</w:t>
      </w:r>
    </w:p>
    <w:p w14:paraId="61EFA91F">
      <w:pPr>
        <w:pStyle w:val="9"/>
        <w:spacing w:after="0" w:line="249" w:lineRule="auto"/>
        <w:rPr>
          <w:rFonts w:hint="eastAsia"/>
          <w:color w:val="231F20"/>
        </w:rPr>
      </w:pPr>
    </w:p>
    <w:p w14:paraId="5005B2F4">
      <w:pPr>
        <w:pStyle w:val="9"/>
        <w:spacing w:after="0" w:line="249" w:lineRule="auto"/>
        <w:rPr>
          <w:rFonts w:hint="eastAsia"/>
          <w:color w:val="231F20"/>
        </w:rPr>
      </w:pPr>
      <w:r>
        <w:rPr>
          <w:rFonts w:hint="eastAsia"/>
          <w:color w:val="231F20"/>
        </w:rPr>
        <w:t>Using our four questions, let us now critique this relatively unpopular eschatological option.</w:t>
      </w:r>
    </w:p>
    <w:p w14:paraId="599DAE73">
      <w:pPr>
        <w:pStyle w:val="9"/>
        <w:spacing w:after="0" w:line="249" w:lineRule="auto"/>
        <w:rPr>
          <w:rFonts w:hint="eastAsia"/>
          <w:color w:val="231F20"/>
        </w:rPr>
      </w:pPr>
      <w:r>
        <w:rPr>
          <w:rFonts w:hint="eastAsia"/>
          <w:color w:val="231F20"/>
        </w:rPr>
        <w:t>使用我们的四个问题，我们现在来批判这个相对不受欢迎的末世论选项。</w:t>
      </w:r>
    </w:p>
    <w:p w14:paraId="3530B425">
      <w:pPr>
        <w:pStyle w:val="9"/>
        <w:spacing w:after="0" w:line="249" w:lineRule="auto"/>
        <w:rPr>
          <w:rFonts w:hint="eastAsia"/>
          <w:color w:val="231F20"/>
        </w:rPr>
      </w:pPr>
    </w:p>
    <w:p w14:paraId="4FD4798D">
      <w:pPr>
        <w:pStyle w:val="9"/>
        <w:spacing w:after="0" w:line="249" w:lineRule="auto"/>
        <w:rPr>
          <w:rFonts w:hint="eastAsia"/>
          <w:color w:val="231F20"/>
        </w:rPr>
      </w:pPr>
      <w:r>
        <w:rPr>
          <w:rFonts w:hint="eastAsia"/>
          <w:color w:val="231F20"/>
        </w:rPr>
        <w:t>View of the Kingdom</w:t>
      </w:r>
    </w:p>
    <w:p w14:paraId="3283E0AD">
      <w:pPr>
        <w:pStyle w:val="9"/>
        <w:spacing w:after="0" w:line="249" w:lineRule="auto"/>
        <w:rPr>
          <w:rFonts w:hint="eastAsia"/>
          <w:color w:val="231F20"/>
        </w:rPr>
      </w:pPr>
      <w:r>
        <w:rPr>
          <w:rFonts w:hint="eastAsia"/>
          <w:color w:val="231F20"/>
        </w:rPr>
        <w:t>对国度的看法</w:t>
      </w:r>
    </w:p>
    <w:p w14:paraId="7F055536">
      <w:pPr>
        <w:pStyle w:val="9"/>
        <w:spacing w:after="0" w:line="249" w:lineRule="auto"/>
        <w:rPr>
          <w:rFonts w:hint="eastAsia"/>
          <w:color w:val="231F20"/>
        </w:rPr>
      </w:pPr>
    </w:p>
    <w:p w14:paraId="4A6978D8">
      <w:pPr>
        <w:pStyle w:val="9"/>
        <w:spacing w:after="0" w:line="249" w:lineRule="auto"/>
        <w:rPr>
          <w:rFonts w:hint="eastAsia"/>
          <w:color w:val="231F20"/>
        </w:rPr>
      </w:pPr>
      <w:r>
        <w:rPr>
          <w:rFonts w:hint="eastAsia"/>
          <w:color w:val="231F20"/>
        </w:rPr>
        <w:t>On a positive note, postmillennialism does indeed embrace the basic NT understanding of the structure of the Kingdom, viewing it as entering history in two separate stages, separated by a single Consummation at the Parousia of Christ.</w:t>
      </w:r>
    </w:p>
    <w:p w14:paraId="41DAF742">
      <w:pPr>
        <w:pStyle w:val="9"/>
        <w:spacing w:after="0" w:line="249" w:lineRule="auto"/>
        <w:rPr>
          <w:rFonts w:hint="eastAsia"/>
          <w:color w:val="231F20"/>
        </w:rPr>
      </w:pPr>
      <w:r>
        <w:rPr>
          <w:rFonts w:hint="eastAsia"/>
          <w:color w:val="231F20"/>
        </w:rPr>
        <w:t>从积极的方面来看，后千禧年论确实接受了新约对国度结构的基本理解，认为它是以两个独立的阶段进入历史的，这两个阶段由基督再来时的一个单一结局所分隔。</w:t>
      </w:r>
    </w:p>
    <w:p w14:paraId="5900A8A5">
      <w:pPr>
        <w:pStyle w:val="9"/>
        <w:spacing w:after="0" w:line="249" w:lineRule="auto"/>
        <w:rPr>
          <w:rFonts w:hint="eastAsia"/>
          <w:color w:val="231F20"/>
        </w:rPr>
      </w:pPr>
    </w:p>
    <w:p w14:paraId="3127065D">
      <w:pPr>
        <w:pStyle w:val="9"/>
        <w:spacing w:after="0" w:line="249" w:lineRule="auto"/>
        <w:rPr>
          <w:rFonts w:hint="eastAsia"/>
          <w:color w:val="231F20"/>
        </w:rPr>
      </w:pPr>
      <w:r>
        <w:rPr>
          <w:rFonts w:hint="eastAsia"/>
          <w:color w:val="231F20"/>
        </w:rPr>
        <w:t>The problem, however, lies with its view of the first stage of the Kingdom, the Kingdom of the Son (or the Era of Proclamation).</w:t>
      </w:r>
    </w:p>
    <w:p w14:paraId="1474D623">
      <w:pPr>
        <w:pStyle w:val="9"/>
        <w:spacing w:after="0" w:line="249" w:lineRule="auto"/>
        <w:rPr>
          <w:rFonts w:hint="eastAsia"/>
          <w:color w:val="231F20"/>
        </w:rPr>
      </w:pPr>
      <w:r>
        <w:rPr>
          <w:rFonts w:hint="eastAsia"/>
          <w:color w:val="231F20"/>
        </w:rPr>
        <w:t>然而，问题在于它对国度第一阶段，即子的国（或传讲的时代）的看法。</w:t>
      </w:r>
    </w:p>
    <w:p w14:paraId="63ABE515">
      <w:pPr>
        <w:pStyle w:val="9"/>
        <w:spacing w:after="0" w:line="249" w:lineRule="auto"/>
        <w:rPr>
          <w:rFonts w:hint="eastAsia"/>
          <w:color w:val="231F20"/>
        </w:rPr>
      </w:pPr>
    </w:p>
    <w:p w14:paraId="787AB7D4">
      <w:pPr>
        <w:pStyle w:val="9"/>
        <w:spacing w:after="0" w:line="249" w:lineRule="auto"/>
        <w:rPr>
          <w:rFonts w:hint="eastAsia"/>
          <w:color w:val="231F20"/>
        </w:rPr>
      </w:pPr>
      <w:r>
        <w:rPr>
          <w:rFonts w:hint="eastAsia"/>
          <w:color w:val="231F20"/>
        </w:rPr>
        <w:t>Nowhere in the Didactic NT do we find any suggestion that it is divided into two sub- stages, or that it includes a long, future Golden Era.</w:t>
      </w:r>
    </w:p>
    <w:p w14:paraId="5BE27317">
      <w:pPr>
        <w:pStyle w:val="9"/>
        <w:spacing w:after="0" w:line="249" w:lineRule="auto"/>
        <w:rPr>
          <w:rFonts w:hint="eastAsia"/>
          <w:color w:val="231F20"/>
        </w:rPr>
      </w:pPr>
      <w:r>
        <w:rPr>
          <w:rFonts w:hint="eastAsia"/>
          <w:color w:val="231F20"/>
        </w:rPr>
        <w:t>在新约的教义性经文中，我们找不到任何迹象表明它被分成了两个子阶段，或者它包含一个漫长的、未来的黄金时代。</w:t>
      </w:r>
    </w:p>
    <w:p w14:paraId="5505DBAD">
      <w:pPr>
        <w:pStyle w:val="9"/>
        <w:spacing w:after="0" w:line="249" w:lineRule="auto"/>
        <w:rPr>
          <w:rFonts w:hint="eastAsia"/>
          <w:color w:val="231F20"/>
        </w:rPr>
      </w:pPr>
    </w:p>
    <w:p w14:paraId="3F575BAB">
      <w:pPr>
        <w:pStyle w:val="9"/>
        <w:spacing w:after="0" w:line="249" w:lineRule="auto"/>
        <w:rPr>
          <w:rFonts w:hint="eastAsia"/>
          <w:color w:val="231F20"/>
        </w:rPr>
      </w:pPr>
      <w:r>
        <w:rPr>
          <w:rFonts w:hint="eastAsia"/>
          <w:color w:val="231F20"/>
        </w:rPr>
        <w:t>Quite to the contrary, our study has shown that whether we look at the teachings of Christ, Paul, Peter, or John, we always find these men girding the loins of the saints for constant opposition and persecution, yet also for measured success as God brings in his little flock through the faithful preaching of the Gospel (Mt. 24:9-14, John 10:16, Rom. 8:30, 1 Thess. 2:2, Titus 2:14, 1 Peter 4:12, 1 John 3:13, 5:19).</w:t>
      </w:r>
    </w:p>
    <w:p w14:paraId="30BC86F8">
      <w:pPr>
        <w:pStyle w:val="9"/>
        <w:spacing w:after="0" w:line="249" w:lineRule="auto"/>
        <w:rPr>
          <w:rFonts w:hint="eastAsia"/>
          <w:color w:val="231F20"/>
        </w:rPr>
      </w:pPr>
      <w:r>
        <w:rPr>
          <w:rFonts w:hint="eastAsia"/>
          <w:color w:val="231F20"/>
        </w:rPr>
        <w:t>恰恰相反，我们的研究表明，无论我们看基督、保罗、彼得或约翰的教导，我们总是发现这些人让圣徒束腰，准备好面对持续的反对和迫害，但同时也为那有节制的成功而预备，即神通过福音的忠心传讲带进祂的小群（太24:9-14，约10:16，罗8:30，帖前2:2，多2:14，彼前4:12，约一3:13，5:19）。</w:t>
      </w:r>
    </w:p>
    <w:p w14:paraId="2C6BBA9B">
      <w:pPr>
        <w:pStyle w:val="9"/>
        <w:spacing w:after="0" w:line="249" w:lineRule="auto"/>
        <w:rPr>
          <w:rFonts w:hint="eastAsia"/>
          <w:color w:val="231F20"/>
        </w:rPr>
      </w:pPr>
    </w:p>
    <w:p w14:paraId="038E1753">
      <w:pPr>
        <w:pStyle w:val="9"/>
        <w:spacing w:after="0" w:line="249" w:lineRule="auto"/>
        <w:rPr>
          <w:rFonts w:hint="eastAsia"/>
          <w:color w:val="231F20"/>
        </w:rPr>
      </w:pPr>
      <w:r>
        <w:rPr>
          <w:rFonts w:hint="eastAsia"/>
          <w:color w:val="231F20"/>
        </w:rPr>
        <w:t>In this regard, the Parable of the Wheat and the Tares is paradigmatic (Mt. 13:24-30, 36-43).</w:t>
      </w:r>
    </w:p>
    <w:p w14:paraId="154E1917">
      <w:pPr>
        <w:pStyle w:val="9"/>
        <w:spacing w:after="0" w:line="249" w:lineRule="auto"/>
        <w:rPr>
          <w:rFonts w:hint="eastAsia"/>
          <w:color w:val="231F20"/>
        </w:rPr>
      </w:pPr>
      <w:r>
        <w:rPr>
          <w:rFonts w:hint="eastAsia"/>
          <w:color w:val="231F20"/>
        </w:rPr>
        <w:t>在这方面，麦子和稗子的比喻是典范（太13:24-30, 36-43）。</w:t>
      </w:r>
    </w:p>
    <w:p w14:paraId="4B04A67D">
      <w:pPr>
        <w:pStyle w:val="9"/>
        <w:spacing w:after="0" w:line="249" w:lineRule="auto"/>
        <w:rPr>
          <w:rFonts w:hint="eastAsia"/>
          <w:color w:val="231F20"/>
        </w:rPr>
      </w:pPr>
    </w:p>
    <w:p w14:paraId="2116F641">
      <w:pPr>
        <w:pStyle w:val="9"/>
        <w:spacing w:after="0" w:line="249" w:lineRule="auto"/>
        <w:rPr>
          <w:rFonts w:hint="eastAsia"/>
          <w:color w:val="231F20"/>
        </w:rPr>
      </w:pPr>
      <w:r>
        <w:rPr>
          <w:rFonts w:hint="eastAsia"/>
          <w:color w:val="231F20"/>
        </w:rPr>
        <w:t>There the Lord clearly assumes that all throughout the Era of Proclamation the tares will grow up alongside the wheat.</w:t>
      </w:r>
    </w:p>
    <w:p w14:paraId="27D0C596">
      <w:pPr>
        <w:pStyle w:val="9"/>
        <w:spacing w:after="0" w:line="249" w:lineRule="auto"/>
        <w:rPr>
          <w:rFonts w:hint="eastAsia"/>
          <w:color w:val="231F20"/>
        </w:rPr>
      </w:pPr>
      <w:r>
        <w:rPr>
          <w:rFonts w:hint="eastAsia"/>
          <w:color w:val="231F20"/>
        </w:rPr>
        <w:t>在那里，主清楚地假定，在整个传讲的时代，稗子将与麦子一同生长。</w:t>
      </w:r>
    </w:p>
    <w:p w14:paraId="21B4EDC2">
      <w:pPr>
        <w:pStyle w:val="9"/>
        <w:spacing w:after="0" w:line="249" w:lineRule="auto"/>
        <w:rPr>
          <w:rFonts w:hint="eastAsia"/>
          <w:color w:val="231F20"/>
        </w:rPr>
      </w:pPr>
    </w:p>
    <w:p w14:paraId="3AA8906F">
      <w:pPr>
        <w:pStyle w:val="9"/>
        <w:spacing w:after="0" w:line="249" w:lineRule="auto"/>
        <w:rPr>
          <w:rFonts w:hint="eastAsia"/>
          <w:color w:val="231F20"/>
        </w:rPr>
      </w:pPr>
      <w:r>
        <w:rPr>
          <w:rFonts w:hint="eastAsia"/>
          <w:color w:val="231F20"/>
        </w:rPr>
        <w:t>Indeed, so abundant are the tares that the angels regard them as a threat to the safety of God’s crop (Mt. 13:27-28).</w:t>
      </w:r>
    </w:p>
    <w:p w14:paraId="46D22F5A">
      <w:pPr>
        <w:pStyle w:val="9"/>
        <w:spacing w:after="0" w:line="249" w:lineRule="auto"/>
        <w:rPr>
          <w:rFonts w:hint="eastAsia"/>
          <w:color w:val="231F20"/>
        </w:rPr>
      </w:pPr>
      <w:r>
        <w:rPr>
          <w:rFonts w:hint="eastAsia"/>
          <w:color w:val="231F20"/>
        </w:rPr>
        <w:t>的确，稗子如此之多，以至于天使们认为它们对神庄稼的安全构成了威胁（太13:27-28）。</w:t>
      </w:r>
    </w:p>
    <w:p w14:paraId="5BD8EB44">
      <w:pPr>
        <w:pStyle w:val="9"/>
        <w:spacing w:after="0" w:line="249" w:lineRule="auto"/>
        <w:rPr>
          <w:rFonts w:hint="eastAsia"/>
          <w:color w:val="231F20"/>
        </w:rPr>
      </w:pPr>
    </w:p>
    <w:p w14:paraId="04AF9DB3">
      <w:pPr>
        <w:pStyle w:val="9"/>
        <w:spacing w:after="0" w:line="249" w:lineRule="auto"/>
        <w:rPr>
          <w:rFonts w:hint="eastAsia"/>
          <w:color w:val="231F20"/>
        </w:rPr>
      </w:pPr>
      <w:r>
        <w:rPr>
          <w:rFonts w:hint="eastAsia"/>
          <w:color w:val="231F20"/>
        </w:rPr>
        <w:t>This is the template of all NT eschatology.</w:t>
      </w:r>
    </w:p>
    <w:p w14:paraId="24DB1168">
      <w:pPr>
        <w:pStyle w:val="9"/>
        <w:spacing w:after="0" w:line="249" w:lineRule="auto"/>
        <w:rPr>
          <w:rFonts w:hint="eastAsia"/>
          <w:color w:val="231F20"/>
        </w:rPr>
      </w:pPr>
      <w:r>
        <w:rPr>
          <w:rFonts w:hint="eastAsia"/>
          <w:color w:val="231F20"/>
        </w:rPr>
        <w:t>这是所有新约末世论的模板。</w:t>
      </w:r>
    </w:p>
    <w:p w14:paraId="3800E6E0">
      <w:pPr>
        <w:pStyle w:val="9"/>
        <w:spacing w:after="0" w:line="249" w:lineRule="auto"/>
        <w:rPr>
          <w:rFonts w:hint="eastAsia"/>
          <w:color w:val="231F20"/>
        </w:rPr>
      </w:pPr>
    </w:p>
    <w:p w14:paraId="1DE41F28">
      <w:pPr>
        <w:pStyle w:val="9"/>
        <w:spacing w:after="0" w:line="249" w:lineRule="auto"/>
        <w:rPr>
          <w:rFonts w:hint="eastAsia"/>
          <w:color w:val="231F20"/>
        </w:rPr>
      </w:pPr>
      <w:r>
        <w:rPr>
          <w:rFonts w:hint="eastAsia"/>
          <w:color w:val="231F20"/>
        </w:rPr>
        <w:t>Believers live and serve in the present evil age (Gal. 1:4).</w:t>
      </w:r>
    </w:p>
    <w:p w14:paraId="4C07FC83">
      <w:pPr>
        <w:pStyle w:val="9"/>
        <w:spacing w:after="0" w:line="249" w:lineRule="auto"/>
        <w:rPr>
          <w:rFonts w:hint="eastAsia"/>
          <w:color w:val="231F20"/>
        </w:rPr>
      </w:pPr>
      <w:r>
        <w:rPr>
          <w:rFonts w:hint="eastAsia"/>
          <w:color w:val="231F20"/>
        </w:rPr>
        <w:t>信徒生活和服事在现今这个邪恶的世代（加1:4）。</w:t>
      </w:r>
    </w:p>
    <w:p w14:paraId="070A6E17">
      <w:pPr>
        <w:pStyle w:val="9"/>
        <w:spacing w:after="0" w:line="249" w:lineRule="auto"/>
        <w:rPr>
          <w:rFonts w:hint="eastAsia"/>
          <w:color w:val="231F20"/>
        </w:rPr>
      </w:pPr>
    </w:p>
    <w:p w14:paraId="0805062E">
      <w:pPr>
        <w:pStyle w:val="9"/>
        <w:spacing w:after="0" w:line="249" w:lineRule="auto"/>
        <w:rPr>
          <w:rFonts w:hint="eastAsia"/>
          <w:color w:val="231F20"/>
        </w:rPr>
      </w:pPr>
      <w:r>
        <w:rPr>
          <w:rFonts w:hint="eastAsia"/>
          <w:color w:val="231F20"/>
        </w:rPr>
        <w:t>Always and everywhere, they struggle against the world forces of this present darkness (Eph. 6:12).</w:t>
      </w:r>
    </w:p>
    <w:p w14:paraId="4AD3A978">
      <w:pPr>
        <w:pStyle w:val="9"/>
        <w:spacing w:after="0" w:line="249" w:lineRule="auto"/>
        <w:rPr>
          <w:rFonts w:hint="eastAsia"/>
          <w:color w:val="231F20"/>
        </w:rPr>
      </w:pPr>
      <w:r>
        <w:rPr>
          <w:rFonts w:hint="eastAsia"/>
          <w:color w:val="231F20"/>
        </w:rPr>
        <w:t>无论何时何地，他们都在与这现今幽暗世界掌权的势力争战（弗6:12）。</w:t>
      </w:r>
    </w:p>
    <w:p w14:paraId="4841A28E">
      <w:pPr>
        <w:pStyle w:val="9"/>
        <w:spacing w:after="0" w:line="249" w:lineRule="auto"/>
        <w:rPr>
          <w:rFonts w:hint="eastAsia"/>
          <w:color w:val="231F20"/>
        </w:rPr>
      </w:pPr>
    </w:p>
    <w:p w14:paraId="30BD8FC5">
      <w:pPr>
        <w:pStyle w:val="9"/>
        <w:spacing w:after="0" w:line="249" w:lineRule="auto"/>
        <w:rPr>
          <w:rFonts w:hint="eastAsia"/>
          <w:color w:val="231F20"/>
        </w:rPr>
      </w:pPr>
      <w:r>
        <w:rPr>
          <w:rFonts w:hint="eastAsia"/>
          <w:color w:val="231F20"/>
        </w:rPr>
        <w:t>To the very end, the world-system lies under the sway of the evil one (2 Cor. 4:4, 1 John 5:19).</w:t>
      </w:r>
    </w:p>
    <w:p w14:paraId="7301592B">
      <w:pPr>
        <w:pStyle w:val="9"/>
        <w:spacing w:after="0" w:line="249" w:lineRule="auto"/>
        <w:rPr>
          <w:rFonts w:hint="eastAsia"/>
          <w:color w:val="231F20"/>
        </w:rPr>
      </w:pPr>
      <w:r>
        <w:rPr>
          <w:rFonts w:hint="eastAsia"/>
          <w:color w:val="231F20"/>
        </w:rPr>
        <w:t>直到末了，世界体系都伏在那恶者的手下（林后4:4，约一5:19）。</w:t>
      </w:r>
    </w:p>
    <w:p w14:paraId="37E64EBF">
      <w:pPr>
        <w:pStyle w:val="9"/>
        <w:spacing w:after="0" w:line="249" w:lineRule="auto"/>
        <w:rPr>
          <w:rFonts w:hint="eastAsia"/>
          <w:color w:val="231F20"/>
        </w:rPr>
      </w:pPr>
    </w:p>
    <w:p w14:paraId="2C29EF4A">
      <w:pPr>
        <w:pStyle w:val="9"/>
        <w:spacing w:after="0" w:line="249" w:lineRule="auto"/>
        <w:rPr>
          <w:rFonts w:hint="eastAsia"/>
          <w:color w:val="231F20"/>
        </w:rPr>
      </w:pPr>
      <w:r>
        <w:rPr>
          <w:rFonts w:hint="eastAsia"/>
          <w:color w:val="231F20"/>
        </w:rPr>
        <w:t>The Church is light shining in the ever- deepening darkness of the world-system (Mt. 5:14, John 1:5).</w:t>
      </w:r>
    </w:p>
    <w:p w14:paraId="2EFB09A5">
      <w:pPr>
        <w:pStyle w:val="9"/>
        <w:spacing w:after="0" w:line="249" w:lineRule="auto"/>
        <w:rPr>
          <w:rFonts w:hint="eastAsia"/>
          <w:color w:val="231F20"/>
        </w:rPr>
      </w:pPr>
      <w:r>
        <w:rPr>
          <w:rFonts w:hint="eastAsia"/>
          <w:color w:val="231F20"/>
        </w:rPr>
        <w:t>教会是在世界体系不断加深的黑暗中照耀的光（太5:14，约1:5）。</w:t>
      </w:r>
    </w:p>
    <w:p w14:paraId="38ABEF07">
      <w:pPr>
        <w:pStyle w:val="9"/>
        <w:spacing w:after="0" w:line="249" w:lineRule="auto"/>
        <w:rPr>
          <w:rFonts w:hint="eastAsia"/>
          <w:color w:val="231F20"/>
        </w:rPr>
      </w:pPr>
    </w:p>
    <w:p w14:paraId="7AA6F367">
      <w:pPr>
        <w:pStyle w:val="9"/>
        <w:spacing w:after="0" w:line="249" w:lineRule="auto"/>
        <w:rPr>
          <w:rFonts w:hint="eastAsia"/>
          <w:color w:val="231F20"/>
        </w:rPr>
      </w:pPr>
      <w:r>
        <w:rPr>
          <w:rFonts w:hint="eastAsia"/>
          <w:color w:val="231F20"/>
        </w:rPr>
        <w:t>Her ongoing experience is one of Great Tribulation (Rev. 7:14).</w:t>
      </w:r>
    </w:p>
    <w:p w14:paraId="17051CD3">
      <w:pPr>
        <w:pStyle w:val="9"/>
        <w:spacing w:after="0" w:line="249" w:lineRule="auto"/>
        <w:rPr>
          <w:rFonts w:hint="eastAsia"/>
          <w:color w:val="231F20"/>
        </w:rPr>
      </w:pPr>
      <w:r>
        <w:rPr>
          <w:rFonts w:hint="eastAsia"/>
          <w:color w:val="231F20"/>
        </w:rPr>
        <w:t>她持续的经历就是大灾难（启7:14）。</w:t>
      </w:r>
    </w:p>
    <w:p w14:paraId="64F64561">
      <w:pPr>
        <w:pStyle w:val="9"/>
        <w:spacing w:after="0" w:line="249" w:lineRule="auto"/>
        <w:rPr>
          <w:rFonts w:hint="eastAsia"/>
          <w:color w:val="231F20"/>
        </w:rPr>
      </w:pPr>
    </w:p>
    <w:p w14:paraId="6D995777">
      <w:pPr>
        <w:pStyle w:val="9"/>
        <w:spacing w:after="0" w:line="249" w:lineRule="auto"/>
        <w:rPr>
          <w:rFonts w:hint="eastAsia"/>
          <w:color w:val="231F20"/>
        </w:rPr>
      </w:pPr>
      <w:r>
        <w:rPr>
          <w:rFonts w:hint="eastAsia"/>
          <w:color w:val="231F20"/>
        </w:rPr>
        <w:t>She is making a hard pilgrimage through the wilderness of a hostile world (Rev. 12:6, 13-17).</w:t>
      </w:r>
    </w:p>
    <w:p w14:paraId="3F0744F0">
      <w:pPr>
        <w:pStyle w:val="9"/>
        <w:spacing w:after="0" w:line="249" w:lineRule="auto"/>
        <w:rPr>
          <w:rFonts w:hint="eastAsia"/>
          <w:color w:val="231F20"/>
        </w:rPr>
      </w:pPr>
      <w:r>
        <w:rPr>
          <w:rFonts w:hint="eastAsia"/>
          <w:color w:val="231F20"/>
        </w:rPr>
        <w:t>她正在一个充满敌意的世界的旷野中进行艰难的朝圣之旅（启12:6, 13-17）。</w:t>
      </w:r>
    </w:p>
    <w:p w14:paraId="10ACE619">
      <w:pPr>
        <w:pStyle w:val="9"/>
        <w:spacing w:after="0" w:line="249" w:lineRule="auto"/>
        <w:rPr>
          <w:rFonts w:hint="eastAsia"/>
          <w:color w:val="231F20"/>
        </w:rPr>
      </w:pPr>
    </w:p>
    <w:p w14:paraId="192DF067">
      <w:pPr>
        <w:pStyle w:val="9"/>
        <w:spacing w:after="0" w:line="249" w:lineRule="auto"/>
        <w:rPr>
          <w:rFonts w:hint="eastAsia"/>
          <w:color w:val="231F20"/>
        </w:rPr>
      </w:pPr>
      <w:r>
        <w:rPr>
          <w:rFonts w:hint="eastAsia"/>
          <w:color w:val="231F20"/>
        </w:rPr>
        <w:t>The Last Battle will simply be the final and most extreme engagement of a perennial war.</w:t>
      </w:r>
    </w:p>
    <w:p w14:paraId="404423CE">
      <w:pPr>
        <w:pStyle w:val="9"/>
        <w:spacing w:after="0" w:line="249" w:lineRule="auto"/>
        <w:rPr>
          <w:rFonts w:hint="eastAsia"/>
          <w:color w:val="231F20"/>
        </w:rPr>
      </w:pPr>
      <w:r>
        <w:rPr>
          <w:rFonts w:hint="eastAsia"/>
          <w:color w:val="231F20"/>
        </w:rPr>
        <w:t>最后的争战将只是一场常年战争的最后和最激烈的交锋。</w:t>
      </w:r>
    </w:p>
    <w:p w14:paraId="01521145">
      <w:pPr>
        <w:pStyle w:val="9"/>
        <w:spacing w:after="0" w:line="249" w:lineRule="auto"/>
        <w:rPr>
          <w:rFonts w:hint="eastAsia"/>
          <w:color w:val="231F20"/>
        </w:rPr>
      </w:pPr>
    </w:p>
    <w:p w14:paraId="4E365EF0">
      <w:pPr>
        <w:pStyle w:val="9"/>
        <w:spacing w:after="0" w:line="249" w:lineRule="auto"/>
        <w:rPr>
          <w:rFonts w:hint="eastAsia"/>
          <w:color w:val="231F20"/>
        </w:rPr>
      </w:pPr>
      <w:r>
        <w:rPr>
          <w:rFonts w:hint="eastAsia"/>
          <w:color w:val="231F20"/>
        </w:rPr>
        <w:t>Where, in all of this, is there room for a Golden Era of peace, righteousness, and prosperity?2</w:t>
      </w:r>
    </w:p>
    <w:p w14:paraId="5858F73D">
      <w:pPr>
        <w:pStyle w:val="9"/>
        <w:spacing w:after="0" w:line="249" w:lineRule="auto"/>
        <w:rPr>
          <w:rFonts w:hint="eastAsia"/>
          <w:color w:val="231F20"/>
        </w:rPr>
      </w:pPr>
      <w:r>
        <w:rPr>
          <w:rFonts w:hint="eastAsia"/>
          <w:color w:val="231F20"/>
        </w:rPr>
        <w:t>在所有这一切中，哪里有和平、公义和繁荣的黄金时代的容身之地呢？2</w:t>
      </w:r>
    </w:p>
    <w:p w14:paraId="2F801B95">
      <w:pPr>
        <w:pStyle w:val="9"/>
        <w:spacing w:after="0" w:line="249" w:lineRule="auto"/>
        <w:rPr>
          <w:rFonts w:hint="eastAsia"/>
          <w:color w:val="231F20"/>
        </w:rPr>
      </w:pPr>
    </w:p>
    <w:p w14:paraId="1D29A59D">
      <w:pPr>
        <w:pStyle w:val="9"/>
        <w:spacing w:after="0" w:line="249" w:lineRule="auto"/>
        <w:rPr>
          <w:rFonts w:hint="eastAsia"/>
          <w:color w:val="231F20"/>
        </w:rPr>
      </w:pPr>
      <w:r>
        <w:rPr>
          <w:rFonts w:hint="eastAsia"/>
          <w:color w:val="231F20"/>
        </w:rPr>
        <w:t>View of the Consummation</w:t>
      </w:r>
    </w:p>
    <w:p w14:paraId="625CFF24">
      <w:pPr>
        <w:pStyle w:val="9"/>
        <w:spacing w:after="0" w:line="249" w:lineRule="auto"/>
        <w:rPr>
          <w:rFonts w:hint="eastAsia"/>
          <w:color w:val="231F20"/>
        </w:rPr>
      </w:pPr>
      <w:r>
        <w:rPr>
          <w:rFonts w:hint="eastAsia"/>
          <w:color w:val="231F20"/>
        </w:rPr>
        <w:t>对结局的看法</w:t>
      </w:r>
    </w:p>
    <w:p w14:paraId="1D483255">
      <w:pPr>
        <w:pStyle w:val="9"/>
        <w:spacing w:after="0" w:line="249" w:lineRule="auto"/>
        <w:rPr>
          <w:rFonts w:hint="eastAsia"/>
          <w:color w:val="231F20"/>
        </w:rPr>
      </w:pPr>
    </w:p>
    <w:p w14:paraId="7525CA73">
      <w:pPr>
        <w:pStyle w:val="9"/>
        <w:spacing w:after="0" w:line="249" w:lineRule="auto"/>
        <w:rPr>
          <w:rFonts w:hint="eastAsia"/>
          <w:color w:val="231F20"/>
        </w:rPr>
      </w:pPr>
      <w:r>
        <w:rPr>
          <w:rFonts w:hint="eastAsia"/>
          <w:color w:val="231F20"/>
        </w:rPr>
        <w:t>Fundamentally, the postmillennial view of the Consummation is sound, since, like its birth mother (amillennialism), it looks for a single Consummation at the Parousia.</w:t>
      </w:r>
    </w:p>
    <w:p w14:paraId="7203CBC7">
      <w:pPr>
        <w:pStyle w:val="9"/>
        <w:spacing w:after="0" w:line="249" w:lineRule="auto"/>
        <w:rPr>
          <w:rFonts w:hint="eastAsia"/>
          <w:color w:val="231F20"/>
        </w:rPr>
      </w:pPr>
      <w:r>
        <w:rPr>
          <w:rFonts w:hint="eastAsia"/>
          <w:color w:val="231F20"/>
        </w:rPr>
        <w:t>从根本上说，后千禧年论对结局的看法是健全的，因为它像其生母（无千禧年论）一样，期待在主的再来时有一次单一的结局。</w:t>
      </w:r>
    </w:p>
    <w:p w14:paraId="618943A4">
      <w:pPr>
        <w:pStyle w:val="9"/>
        <w:spacing w:after="0" w:line="249" w:lineRule="auto"/>
        <w:rPr>
          <w:rFonts w:hint="eastAsia"/>
          <w:color w:val="231F20"/>
        </w:rPr>
      </w:pPr>
    </w:p>
    <w:p w14:paraId="3A9B6CD9">
      <w:pPr>
        <w:pStyle w:val="9"/>
        <w:spacing w:after="0" w:line="249" w:lineRule="auto"/>
        <w:rPr>
          <w:rFonts w:hint="eastAsia"/>
          <w:color w:val="231F20"/>
        </w:rPr>
      </w:pPr>
      <w:r>
        <w:rPr>
          <w:rFonts w:hint="eastAsia"/>
          <w:color w:val="231F20"/>
        </w:rPr>
        <w:t>Nevertheless, there are a number of serious problems, most of which involve its picture of the lead-up to the Consummation.</w:t>
      </w:r>
    </w:p>
    <w:p w14:paraId="5BB55DFC">
      <w:pPr>
        <w:pStyle w:val="9"/>
        <w:spacing w:after="0" w:line="249" w:lineRule="auto"/>
        <w:rPr>
          <w:rFonts w:hint="eastAsia"/>
          <w:color w:val="231F20"/>
        </w:rPr>
      </w:pPr>
      <w:r>
        <w:rPr>
          <w:rFonts w:hint="eastAsia"/>
          <w:color w:val="231F20"/>
        </w:rPr>
        <w:t>然而，存在一些严重的问题，其中大部分涉及它对结局前奏的描绘。</w:t>
      </w:r>
    </w:p>
    <w:p w14:paraId="0A07AAEA">
      <w:pPr>
        <w:pStyle w:val="9"/>
        <w:spacing w:after="0" w:line="249" w:lineRule="auto"/>
        <w:rPr>
          <w:rFonts w:hint="eastAsia"/>
          <w:color w:val="231F20"/>
        </w:rPr>
      </w:pPr>
    </w:p>
    <w:p w14:paraId="79D1F9C1">
      <w:pPr>
        <w:pStyle w:val="9"/>
        <w:spacing w:after="0" w:line="249" w:lineRule="auto"/>
        <w:rPr>
          <w:rFonts w:hint="eastAsia"/>
          <w:color w:val="231F20"/>
        </w:rPr>
      </w:pPr>
      <w:r>
        <w:rPr>
          <w:rFonts w:hint="eastAsia"/>
          <w:color w:val="231F20"/>
        </w:rPr>
        <w:t>First, postmillennialism errs in looking for the latter-day conversion of ethnic Israel prior to the Millennium; that is, prior to the so-called Golden Era.</w:t>
      </w:r>
    </w:p>
    <w:p w14:paraId="3955C5DB">
      <w:pPr>
        <w:pStyle w:val="9"/>
        <w:spacing w:after="0" w:line="249" w:lineRule="auto"/>
        <w:rPr>
          <w:rFonts w:hint="eastAsia"/>
          <w:color w:val="231F20"/>
        </w:rPr>
      </w:pPr>
      <w:r>
        <w:rPr>
          <w:rFonts w:hint="eastAsia"/>
          <w:color w:val="231F20"/>
        </w:rPr>
        <w:t>首先，后千禧年论错误地期待在千禧年之前，即在所谓的黄金时代之前，看到末后种族上的以色列人的归信。</w:t>
      </w:r>
    </w:p>
    <w:p w14:paraId="022C2E9B">
      <w:pPr>
        <w:pStyle w:val="9"/>
        <w:spacing w:after="0" w:line="249" w:lineRule="auto"/>
        <w:rPr>
          <w:rFonts w:hint="eastAsia"/>
          <w:color w:val="231F20"/>
        </w:rPr>
      </w:pPr>
    </w:p>
    <w:p w14:paraId="16FAC518">
      <w:pPr>
        <w:pStyle w:val="9"/>
        <w:spacing w:after="0" w:line="249" w:lineRule="auto"/>
        <w:rPr>
          <w:rFonts w:hint="eastAsia"/>
          <w:color w:val="231F20"/>
        </w:rPr>
      </w:pPr>
      <w:r>
        <w:rPr>
          <w:rFonts w:hint="eastAsia"/>
          <w:color w:val="231F20"/>
        </w:rPr>
        <w:t>This is not the teaching of the NT, which looks for Israel’s conversion at the end of the Millennium, that is, at the end of the entire Era of Proclamation.</w:t>
      </w:r>
    </w:p>
    <w:p w14:paraId="20E3F103">
      <w:pPr>
        <w:pStyle w:val="9"/>
        <w:spacing w:after="0" w:line="249" w:lineRule="auto"/>
        <w:rPr>
          <w:rFonts w:hint="eastAsia"/>
          <w:color w:val="231F20"/>
        </w:rPr>
      </w:pPr>
      <w:r>
        <w:rPr>
          <w:rFonts w:hint="eastAsia"/>
          <w:color w:val="231F20"/>
        </w:rPr>
        <w:t>这不是新约的教导，新约期待以色列的归信是在千禧年的末了，也就是在整个传讲时代的末了。</w:t>
      </w:r>
    </w:p>
    <w:p w14:paraId="31FC0C14">
      <w:pPr>
        <w:pStyle w:val="9"/>
        <w:spacing w:after="0" w:line="249" w:lineRule="auto"/>
        <w:rPr>
          <w:rFonts w:hint="eastAsia"/>
          <w:color w:val="231F20"/>
        </w:rPr>
      </w:pPr>
    </w:p>
    <w:p w14:paraId="7E8589F0">
      <w:pPr>
        <w:pStyle w:val="9"/>
        <w:spacing w:after="0" w:line="249" w:lineRule="auto"/>
        <w:rPr>
          <w:rFonts w:hint="eastAsia"/>
          <w:color w:val="231F20"/>
        </w:rPr>
      </w:pPr>
      <w:r>
        <w:rPr>
          <w:rFonts w:hint="eastAsia"/>
          <w:color w:val="231F20"/>
        </w:rPr>
        <w:t>And this is a serious mistake, since here postmillennialism effectively robs the Church of one of the great signs of the imminence of the Parousia: the grafting of Israel back into the vine of Christ, after which we may soon expect “life from the dead.”</w:t>
      </w:r>
    </w:p>
    <w:p w14:paraId="1D98023B">
      <w:pPr>
        <w:pStyle w:val="9"/>
        <w:spacing w:after="0" w:line="249" w:lineRule="auto"/>
        <w:rPr>
          <w:rFonts w:hint="eastAsia"/>
          <w:color w:val="231F20"/>
        </w:rPr>
      </w:pPr>
      <w:r>
        <w:rPr>
          <w:rFonts w:hint="eastAsia"/>
          <w:color w:val="231F20"/>
        </w:rPr>
        <w:t>这是一个严重的错误，因为在这里，后千禧年论实际上剥夺了教会一个表明主再来临近的重大预兆：即以色列被重新接回基督这葡萄树上，此后我们可以很快期待“死里复生”。</w:t>
      </w:r>
    </w:p>
    <w:p w14:paraId="46ABE216">
      <w:pPr>
        <w:pStyle w:val="9"/>
        <w:spacing w:after="0" w:line="249" w:lineRule="auto"/>
        <w:rPr>
          <w:rFonts w:hint="eastAsia"/>
          <w:color w:val="231F20"/>
        </w:rPr>
      </w:pPr>
    </w:p>
    <w:p w14:paraId="79291F52">
      <w:pPr>
        <w:pStyle w:val="9"/>
        <w:spacing w:after="0" w:line="249" w:lineRule="auto"/>
        <w:rPr>
          <w:rFonts w:hint="eastAsia"/>
          <w:color w:val="231F20"/>
        </w:rPr>
      </w:pPr>
      <w:r>
        <w:rPr>
          <w:rFonts w:hint="eastAsia"/>
          <w:color w:val="231F20"/>
        </w:rPr>
        <w:t>Secondly, just like premillennialism, postmillennialism has great difficulty explaining the Last Battle.</w:t>
      </w:r>
    </w:p>
    <w:p w14:paraId="1B13FA1E">
      <w:pPr>
        <w:pStyle w:val="9"/>
        <w:spacing w:after="0" w:line="249" w:lineRule="auto"/>
        <w:rPr>
          <w:rFonts w:hint="eastAsia"/>
          <w:color w:val="231F20"/>
        </w:rPr>
      </w:pPr>
      <w:r>
        <w:rPr>
          <w:rFonts w:hint="eastAsia"/>
          <w:color w:val="231F20"/>
        </w:rPr>
        <w:t>其次，就像前千禧年论一样，后千禧年论在解释最后的争战时也遇到了极大的困难。</w:t>
      </w:r>
    </w:p>
    <w:p w14:paraId="1D41660C">
      <w:pPr>
        <w:pStyle w:val="9"/>
        <w:spacing w:after="0" w:line="249" w:lineRule="auto"/>
        <w:rPr>
          <w:rFonts w:hint="eastAsia"/>
          <w:color w:val="231F20"/>
        </w:rPr>
      </w:pPr>
    </w:p>
    <w:p w14:paraId="2DCE41B9">
      <w:pPr>
        <w:pStyle w:val="9"/>
        <w:spacing w:after="0" w:line="249" w:lineRule="auto"/>
        <w:rPr>
          <w:rFonts w:hint="eastAsia"/>
          <w:color w:val="231F20"/>
        </w:rPr>
      </w:pPr>
      <w:r>
        <w:rPr>
          <w:rFonts w:hint="eastAsia"/>
          <w:color w:val="231F20"/>
        </w:rPr>
        <w:t>How is it that multitudes the world over can suddenly defect from Christ?</w:t>
      </w:r>
    </w:p>
    <w:p w14:paraId="67DEDDC2">
      <w:pPr>
        <w:pStyle w:val="9"/>
        <w:spacing w:after="0" w:line="249" w:lineRule="auto"/>
        <w:rPr>
          <w:rFonts w:hint="eastAsia"/>
          <w:color w:val="231F20"/>
        </w:rPr>
      </w:pPr>
      <w:r>
        <w:rPr>
          <w:rFonts w:hint="eastAsia"/>
          <w:color w:val="231F20"/>
        </w:rPr>
        <w:t>遍布世界的众人怎么可能突然背离基督呢？</w:t>
      </w:r>
    </w:p>
    <w:p w14:paraId="6AC47EFF">
      <w:pPr>
        <w:pStyle w:val="9"/>
        <w:spacing w:after="0" w:line="249" w:lineRule="auto"/>
        <w:rPr>
          <w:rFonts w:hint="eastAsia"/>
          <w:color w:val="231F20"/>
        </w:rPr>
      </w:pPr>
    </w:p>
    <w:p w14:paraId="547F6875">
      <w:pPr>
        <w:pStyle w:val="9"/>
        <w:spacing w:after="0" w:line="249" w:lineRule="auto"/>
        <w:rPr>
          <w:rFonts w:hint="eastAsia"/>
          <w:color w:val="231F20"/>
        </w:rPr>
      </w:pPr>
      <w:r>
        <w:rPr>
          <w:rFonts w:hint="eastAsia"/>
          <w:color w:val="231F20"/>
        </w:rPr>
        <w:t>Are they regenerate?</w:t>
      </w:r>
    </w:p>
    <w:p w14:paraId="30022D7A">
      <w:pPr>
        <w:pStyle w:val="9"/>
        <w:spacing w:after="0" w:line="249" w:lineRule="auto"/>
        <w:rPr>
          <w:rFonts w:hint="eastAsia"/>
          <w:color w:val="231F20"/>
        </w:rPr>
      </w:pPr>
      <w:r>
        <w:rPr>
          <w:rFonts w:hint="eastAsia"/>
          <w:color w:val="231F20"/>
        </w:rPr>
        <w:t>他们是重生的吗？</w:t>
      </w:r>
    </w:p>
    <w:p w14:paraId="69646098">
      <w:pPr>
        <w:pStyle w:val="9"/>
        <w:spacing w:after="0" w:line="249" w:lineRule="auto"/>
        <w:rPr>
          <w:rFonts w:hint="eastAsia"/>
          <w:color w:val="231F20"/>
        </w:rPr>
      </w:pPr>
    </w:p>
    <w:p w14:paraId="62CA455F">
      <w:pPr>
        <w:pStyle w:val="9"/>
        <w:spacing w:after="0" w:line="249" w:lineRule="auto"/>
        <w:rPr>
          <w:rFonts w:hint="eastAsia"/>
          <w:color w:val="231F20"/>
        </w:rPr>
      </w:pPr>
      <w:r>
        <w:rPr>
          <w:rFonts w:hint="eastAsia"/>
          <w:color w:val="231F20"/>
        </w:rPr>
        <w:t>How then can they so terribly fall away?</w:t>
      </w:r>
    </w:p>
    <w:p w14:paraId="0C613DB0">
      <w:pPr>
        <w:pStyle w:val="9"/>
        <w:spacing w:after="0" w:line="249" w:lineRule="auto"/>
        <w:rPr>
          <w:rFonts w:hint="eastAsia"/>
          <w:color w:val="231F20"/>
        </w:rPr>
      </w:pPr>
      <w:r>
        <w:rPr>
          <w:rFonts w:hint="eastAsia"/>
          <w:color w:val="231F20"/>
        </w:rPr>
        <w:t>那么他们怎能如此可怕地堕落呢？</w:t>
      </w:r>
    </w:p>
    <w:p w14:paraId="1EF64B40">
      <w:pPr>
        <w:pStyle w:val="9"/>
        <w:spacing w:after="0" w:line="249" w:lineRule="auto"/>
        <w:rPr>
          <w:rFonts w:hint="eastAsia"/>
          <w:color w:val="231F20"/>
        </w:rPr>
      </w:pPr>
    </w:p>
    <w:p w14:paraId="1D8CD910">
      <w:pPr>
        <w:pStyle w:val="9"/>
        <w:spacing w:after="0" w:line="249" w:lineRule="auto"/>
        <w:rPr>
          <w:rFonts w:hint="eastAsia"/>
          <w:color w:val="231F20"/>
        </w:rPr>
      </w:pPr>
      <w:r>
        <w:rPr>
          <w:rFonts w:hint="eastAsia"/>
          <w:color w:val="231F20"/>
        </w:rPr>
        <w:t>Are they unregenerate?</w:t>
      </w:r>
    </w:p>
    <w:p w14:paraId="55216E78">
      <w:pPr>
        <w:pStyle w:val="9"/>
        <w:spacing w:after="0" w:line="249" w:lineRule="auto"/>
        <w:rPr>
          <w:rFonts w:hint="eastAsia"/>
          <w:color w:val="231F20"/>
        </w:rPr>
      </w:pPr>
      <w:r>
        <w:rPr>
          <w:rFonts w:hint="eastAsia"/>
          <w:color w:val="231F20"/>
        </w:rPr>
        <w:t>他们是未重生的吗？</w:t>
      </w:r>
    </w:p>
    <w:p w14:paraId="771E04CA">
      <w:pPr>
        <w:pStyle w:val="9"/>
        <w:spacing w:after="0" w:line="249" w:lineRule="auto"/>
        <w:rPr>
          <w:rFonts w:hint="eastAsia"/>
          <w:color w:val="231F20"/>
        </w:rPr>
      </w:pPr>
    </w:p>
    <w:p w14:paraId="43F211AB">
      <w:pPr>
        <w:pStyle w:val="9"/>
        <w:spacing w:after="0" w:line="249" w:lineRule="auto"/>
        <w:rPr>
          <w:rFonts w:hint="eastAsia"/>
          <w:color w:val="231F20"/>
        </w:rPr>
      </w:pPr>
      <w:r>
        <w:rPr>
          <w:rFonts w:hint="eastAsia"/>
          <w:color w:val="231F20"/>
        </w:rPr>
        <w:t>What then was the spiritual basis of the global peace that immediately preceded this incongruous war?</w:t>
      </w:r>
    </w:p>
    <w:p w14:paraId="72C8FDB6">
      <w:pPr>
        <w:pStyle w:val="9"/>
        <w:spacing w:after="0" w:line="249" w:lineRule="auto"/>
        <w:rPr>
          <w:rFonts w:hint="eastAsia"/>
          <w:color w:val="231F20"/>
        </w:rPr>
      </w:pPr>
      <w:r>
        <w:rPr>
          <w:rFonts w:hint="eastAsia"/>
          <w:color w:val="231F20"/>
        </w:rPr>
        <w:t>那么，在这场不协调的战争之前，那场全球和平的属灵基础是什么呢？</w:t>
      </w:r>
    </w:p>
    <w:p w14:paraId="600F918C">
      <w:pPr>
        <w:pStyle w:val="9"/>
        <w:spacing w:after="0" w:line="249" w:lineRule="auto"/>
        <w:rPr>
          <w:rFonts w:hint="eastAsia"/>
          <w:color w:val="231F20"/>
        </w:rPr>
      </w:pPr>
    </w:p>
    <w:p w14:paraId="3ABD534B">
      <w:pPr>
        <w:pStyle w:val="9"/>
        <w:spacing w:after="0" w:line="249" w:lineRule="auto"/>
        <w:rPr>
          <w:rFonts w:hint="eastAsia"/>
          <w:color w:val="231F20"/>
        </w:rPr>
      </w:pPr>
      <w:r>
        <w:rPr>
          <w:rFonts w:hint="eastAsia"/>
          <w:color w:val="231F20"/>
        </w:rPr>
        <w:t>There is something wrong with this picture, and the problem, it would appear, lies in the way postmillennarians have drawn it.</w:t>
      </w:r>
    </w:p>
    <w:p w14:paraId="1B277856">
      <w:pPr>
        <w:pStyle w:val="9"/>
        <w:spacing w:after="0" w:line="249" w:lineRule="auto"/>
        <w:rPr>
          <w:rFonts w:hint="eastAsia"/>
          <w:color w:val="231F20"/>
        </w:rPr>
      </w:pPr>
      <w:r>
        <w:rPr>
          <w:rFonts w:hint="eastAsia"/>
          <w:color w:val="231F20"/>
        </w:rPr>
        <w:t>这幅图景有些问题，而问题似乎在于后千禧年论者描绘它的方式。</w:t>
      </w:r>
    </w:p>
    <w:p w14:paraId="6E4EFA52">
      <w:pPr>
        <w:pStyle w:val="9"/>
        <w:spacing w:after="0" w:line="249" w:lineRule="auto"/>
        <w:rPr>
          <w:rFonts w:hint="eastAsia"/>
          <w:color w:val="231F20"/>
        </w:rPr>
      </w:pPr>
    </w:p>
    <w:p w14:paraId="514E3436">
      <w:pPr>
        <w:pStyle w:val="9"/>
        <w:spacing w:after="0" w:line="249" w:lineRule="auto"/>
        <w:rPr>
          <w:rFonts w:hint="eastAsia"/>
          <w:color w:val="231F20"/>
        </w:rPr>
      </w:pPr>
      <w:r>
        <w:rPr>
          <w:rFonts w:hint="eastAsia"/>
          <w:color w:val="231F20"/>
        </w:rPr>
        <w:t>Thirdly, postmillennialism undermines true biblical teaching on the Last Battle.</w:t>
      </w:r>
    </w:p>
    <w:p w14:paraId="050ACFD4">
      <w:pPr>
        <w:pStyle w:val="9"/>
        <w:spacing w:after="0" w:line="249" w:lineRule="auto"/>
        <w:rPr>
          <w:rFonts w:hint="eastAsia"/>
          <w:color w:val="231F20"/>
        </w:rPr>
      </w:pPr>
      <w:r>
        <w:rPr>
          <w:rFonts w:hint="eastAsia"/>
          <w:color w:val="231F20"/>
        </w:rPr>
        <w:t>第三，后千禧年论削弱了关于最后争战的真实圣经教导。</w:t>
      </w:r>
    </w:p>
    <w:p w14:paraId="7C5FCB42">
      <w:pPr>
        <w:pStyle w:val="9"/>
        <w:spacing w:after="0" w:line="249" w:lineRule="auto"/>
        <w:rPr>
          <w:rFonts w:hint="eastAsia"/>
          <w:color w:val="231F20"/>
        </w:rPr>
      </w:pPr>
    </w:p>
    <w:p w14:paraId="3E55D48F">
      <w:pPr>
        <w:pStyle w:val="9"/>
        <w:spacing w:after="0" w:line="249" w:lineRule="auto"/>
        <w:rPr>
          <w:rFonts w:hint="eastAsia"/>
          <w:color w:val="231F20"/>
        </w:rPr>
      </w:pPr>
      <w:r>
        <w:rPr>
          <w:rFonts w:hint="eastAsia"/>
          <w:color w:val="231F20"/>
        </w:rPr>
        <w:t>Yes, postmillennarians confess that a Last Battle will occur prior to the Parousia.</w:t>
      </w:r>
    </w:p>
    <w:p w14:paraId="0A3026EF">
      <w:pPr>
        <w:pStyle w:val="9"/>
        <w:spacing w:after="0" w:line="249" w:lineRule="auto"/>
        <w:rPr>
          <w:rFonts w:hint="eastAsia"/>
          <w:color w:val="231F20"/>
        </w:rPr>
      </w:pPr>
      <w:r>
        <w:rPr>
          <w:rFonts w:hint="eastAsia"/>
          <w:color w:val="231F20"/>
        </w:rPr>
        <w:t>是的，后千禧年论者承认在主的再来之前会有一场最后的争战。</w:t>
      </w:r>
    </w:p>
    <w:p w14:paraId="11995F0D">
      <w:pPr>
        <w:pStyle w:val="9"/>
        <w:spacing w:after="0" w:line="249" w:lineRule="auto"/>
        <w:rPr>
          <w:rFonts w:hint="eastAsia"/>
          <w:color w:val="231F20"/>
        </w:rPr>
      </w:pPr>
    </w:p>
    <w:p w14:paraId="403B1A40">
      <w:pPr>
        <w:pStyle w:val="9"/>
        <w:spacing w:after="0" w:line="249" w:lineRule="auto"/>
        <w:rPr>
          <w:rFonts w:hint="eastAsia"/>
          <w:color w:val="231F20"/>
        </w:rPr>
      </w:pPr>
      <w:r>
        <w:rPr>
          <w:rFonts w:hint="eastAsia"/>
          <w:color w:val="231F20"/>
        </w:rPr>
        <w:t>However, by placing it on the far side of their Golden Era, they leave the Church looking first for a Golden Era (that will not come), and only then for the Last Battle (which, for postmillennarians, will come all too soon).</w:t>
      </w:r>
    </w:p>
    <w:p w14:paraId="185EC38E">
      <w:pPr>
        <w:pStyle w:val="9"/>
        <w:spacing w:after="0" w:line="249" w:lineRule="auto"/>
        <w:rPr>
          <w:rFonts w:hint="eastAsia"/>
          <w:color w:val="231F20"/>
        </w:rPr>
      </w:pPr>
      <w:r>
        <w:rPr>
          <w:rFonts w:hint="eastAsia"/>
          <w:color w:val="231F20"/>
        </w:rPr>
        <w:t>然而，通过将其置于他们黄金时代的远端，他们让教会首先期待一个黄金时代（那并不会到来），然后才期待最后的争战（对后千禧年论者来说，那会来得太快）。</w:t>
      </w:r>
    </w:p>
    <w:p w14:paraId="337FA637">
      <w:pPr>
        <w:pStyle w:val="9"/>
        <w:spacing w:after="0" w:line="249" w:lineRule="auto"/>
        <w:rPr>
          <w:rFonts w:hint="eastAsia"/>
          <w:color w:val="231F20"/>
        </w:rPr>
      </w:pPr>
    </w:p>
    <w:p w14:paraId="7F1C7747">
      <w:pPr>
        <w:pStyle w:val="9"/>
        <w:spacing w:after="0" w:line="249" w:lineRule="auto"/>
        <w:rPr>
          <w:rFonts w:hint="eastAsia"/>
          <w:color w:val="231F20"/>
        </w:rPr>
      </w:pPr>
      <w:r>
        <w:rPr>
          <w:rFonts w:hint="eastAsia"/>
          <w:color w:val="231F20"/>
        </w:rPr>
        <w:t>In other words, their doctrine effectively cuts the nerve of several powerful NT texts warning us that the Last Battle could quickly fall upon us, and that we must therefore always be ready for it.</w:t>
      </w:r>
    </w:p>
    <w:p w14:paraId="11C8FE32">
      <w:pPr>
        <w:pStyle w:val="9"/>
        <w:spacing w:after="0" w:line="249" w:lineRule="auto"/>
        <w:rPr>
          <w:rFonts w:hint="eastAsia"/>
          <w:color w:val="231F20"/>
        </w:rPr>
      </w:pPr>
      <w:r>
        <w:rPr>
          <w:rFonts w:hint="eastAsia"/>
          <w:color w:val="231F20"/>
        </w:rPr>
        <w:t>换句话说，他们的教义实际上切断了几段强有力的新约经文的神经，这些经文警告我们最后的争战可能很快临到我们，因此我们必须时刻为此做好准备。</w:t>
      </w:r>
    </w:p>
    <w:p w14:paraId="295C1AD2">
      <w:pPr>
        <w:pStyle w:val="9"/>
        <w:spacing w:after="0" w:line="249" w:lineRule="auto"/>
        <w:rPr>
          <w:rFonts w:hint="eastAsia"/>
          <w:color w:val="231F20"/>
        </w:rPr>
      </w:pPr>
    </w:p>
    <w:p w14:paraId="35556082">
      <w:pPr>
        <w:pStyle w:val="9"/>
        <w:spacing w:after="0" w:line="249" w:lineRule="auto"/>
        <w:rPr>
          <w:rFonts w:hint="eastAsia"/>
          <w:color w:val="231F20"/>
        </w:rPr>
      </w:pPr>
      <w:r>
        <w:rPr>
          <w:rFonts w:hint="eastAsia"/>
          <w:color w:val="231F20"/>
        </w:rPr>
        <w:t>It leaves a naively optimistic Church vulnerable to the shock of the sudden rise of the Antichrist, and to a crisis of spiritual disillusionment that would almost certainly flow from it.</w:t>
      </w:r>
    </w:p>
    <w:p w14:paraId="7FE6713D">
      <w:pPr>
        <w:pStyle w:val="9"/>
        <w:spacing w:after="0" w:line="249" w:lineRule="auto"/>
        <w:rPr>
          <w:rFonts w:hint="eastAsia"/>
          <w:color w:val="231F20"/>
        </w:rPr>
      </w:pPr>
      <w:r>
        <w:rPr>
          <w:rFonts w:hint="eastAsia"/>
          <w:color w:val="231F20"/>
        </w:rPr>
        <w:t>它使一个天真乐观的教会，在敌基督突然崛起的冲击面前变得脆弱，并容易陷入几乎肯定会随之而来的属灵幻灭的危机中。</w:t>
      </w:r>
    </w:p>
    <w:p w14:paraId="75D2A571">
      <w:pPr>
        <w:pStyle w:val="9"/>
        <w:spacing w:after="0" w:line="249" w:lineRule="auto"/>
        <w:rPr>
          <w:rFonts w:hint="eastAsia"/>
          <w:color w:val="231F20"/>
        </w:rPr>
      </w:pPr>
    </w:p>
    <w:p w14:paraId="03EF9FC7">
      <w:pPr>
        <w:pStyle w:val="9"/>
        <w:spacing w:after="0" w:line="249" w:lineRule="auto"/>
        <w:rPr>
          <w:rFonts w:hint="eastAsia"/>
          <w:color w:val="231F20"/>
        </w:rPr>
      </w:pPr>
      <w:r>
        <w:rPr>
          <w:rFonts w:hint="eastAsia"/>
          <w:color w:val="231F20"/>
        </w:rPr>
        <w:t>Again, all these unwelcome prospects are rooted in the postmillennarian’s failure to see that the entire Era of Proclamation is a season of Gospel combat and conflict, a season of “great tribulation” (Rev. 7:14).</w:t>
      </w:r>
    </w:p>
    <w:p w14:paraId="3CDB5CF3">
      <w:pPr>
        <w:pStyle w:val="9"/>
        <w:spacing w:after="0" w:line="249" w:lineRule="auto"/>
        <w:rPr>
          <w:rFonts w:hint="eastAsia"/>
          <w:color w:val="231F20"/>
        </w:rPr>
      </w:pPr>
      <w:r>
        <w:rPr>
          <w:rFonts w:hint="eastAsia"/>
          <w:color w:val="231F20"/>
        </w:rPr>
        <w:t>再次强调，所有这些不受欢迎的前景都根植于后千禧年论者未能看到整个传讲的时代是一个福音争战和冲突的季节，一个“大灾难”的季节（启7:14）。</w:t>
      </w:r>
    </w:p>
    <w:p w14:paraId="2A280206">
      <w:pPr>
        <w:pStyle w:val="9"/>
        <w:spacing w:after="0" w:line="249" w:lineRule="auto"/>
        <w:rPr>
          <w:rFonts w:hint="eastAsia"/>
          <w:color w:val="231F20"/>
        </w:rPr>
      </w:pPr>
    </w:p>
    <w:p w14:paraId="5B49B304">
      <w:pPr>
        <w:pStyle w:val="9"/>
        <w:spacing w:after="0" w:line="249" w:lineRule="auto"/>
        <w:rPr>
          <w:rFonts w:hint="eastAsia"/>
          <w:color w:val="231F20"/>
        </w:rPr>
      </w:pPr>
      <w:r>
        <w:rPr>
          <w:rFonts w:hint="eastAsia"/>
          <w:color w:val="231F20"/>
        </w:rPr>
        <w:t>Finally, postmillennialism tends to trivialize the Last Battle and the Last Judgment.</w:t>
      </w:r>
    </w:p>
    <w:p w14:paraId="202D494F">
      <w:pPr>
        <w:pStyle w:val="9"/>
        <w:spacing w:after="0" w:line="249" w:lineRule="auto"/>
        <w:rPr>
          <w:rFonts w:hint="eastAsia"/>
          <w:color w:val="231F20"/>
        </w:rPr>
      </w:pPr>
      <w:r>
        <w:rPr>
          <w:rFonts w:hint="eastAsia"/>
          <w:color w:val="231F20"/>
        </w:rPr>
        <w:t>最后，后千禧年论倾向于将最后的争战和最后的审判轻描淡写。</w:t>
      </w:r>
    </w:p>
    <w:p w14:paraId="517CA8A4">
      <w:pPr>
        <w:pStyle w:val="9"/>
        <w:spacing w:after="0" w:line="249" w:lineRule="auto"/>
        <w:rPr>
          <w:rFonts w:hint="eastAsia"/>
          <w:color w:val="231F20"/>
        </w:rPr>
      </w:pPr>
    </w:p>
    <w:p w14:paraId="75315B14">
      <w:pPr>
        <w:pStyle w:val="9"/>
        <w:spacing w:after="0" w:line="249" w:lineRule="auto"/>
        <w:rPr>
          <w:rFonts w:hint="eastAsia"/>
          <w:color w:val="231F20"/>
        </w:rPr>
      </w:pPr>
      <w:r>
        <w:rPr>
          <w:rFonts w:hint="eastAsia"/>
          <w:color w:val="231F20"/>
        </w:rPr>
        <w:t>Both are profoundly solemn events, events that will engulf huge swaths of humanity.</w:t>
      </w:r>
    </w:p>
    <w:p w14:paraId="50D83016">
      <w:pPr>
        <w:pStyle w:val="9"/>
        <w:spacing w:after="0" w:line="249" w:lineRule="auto"/>
        <w:rPr>
          <w:rFonts w:hint="eastAsia"/>
          <w:color w:val="231F20"/>
        </w:rPr>
      </w:pPr>
      <w:r>
        <w:rPr>
          <w:rFonts w:hint="eastAsia"/>
          <w:color w:val="231F20"/>
        </w:rPr>
        <w:t>两者都是极其严肃的事件，将席卷大量的人类。</w:t>
      </w:r>
    </w:p>
    <w:p w14:paraId="680C9A73">
      <w:pPr>
        <w:pStyle w:val="9"/>
        <w:spacing w:after="0" w:line="249" w:lineRule="auto"/>
        <w:rPr>
          <w:rFonts w:hint="eastAsia"/>
          <w:color w:val="231F20"/>
        </w:rPr>
      </w:pPr>
    </w:p>
    <w:p w14:paraId="731B235C">
      <w:pPr>
        <w:pStyle w:val="9"/>
        <w:spacing w:after="0" w:line="249" w:lineRule="auto"/>
        <w:rPr>
          <w:rFonts w:hint="eastAsia"/>
          <w:color w:val="231F20"/>
        </w:rPr>
      </w:pPr>
      <w:r>
        <w:rPr>
          <w:rFonts w:hint="eastAsia"/>
          <w:color w:val="231F20"/>
        </w:rPr>
        <w:t>Postmillennarians, however, regard the Last Battle as an unfortunate ripple upon the sea of millennial bliss.</w:t>
      </w:r>
    </w:p>
    <w:p w14:paraId="6961213E">
      <w:pPr>
        <w:pStyle w:val="9"/>
        <w:spacing w:after="0" w:line="249" w:lineRule="auto"/>
        <w:rPr>
          <w:rFonts w:hint="eastAsia"/>
          <w:color w:val="231F20"/>
        </w:rPr>
      </w:pPr>
      <w:r>
        <w:rPr>
          <w:rFonts w:hint="eastAsia"/>
          <w:color w:val="231F20"/>
        </w:rPr>
        <w:t>然而，后千禧年论者将最后的争战视为千禧年福乐之海上一个不幸的涟漪。</w:t>
      </w:r>
    </w:p>
    <w:p w14:paraId="22318203">
      <w:pPr>
        <w:pStyle w:val="9"/>
        <w:spacing w:after="0" w:line="249" w:lineRule="auto"/>
        <w:rPr>
          <w:rFonts w:hint="eastAsia"/>
          <w:color w:val="231F20"/>
        </w:rPr>
      </w:pPr>
    </w:p>
    <w:p w14:paraId="097055E3">
      <w:pPr>
        <w:pStyle w:val="9"/>
        <w:spacing w:after="0" w:line="249" w:lineRule="auto"/>
        <w:rPr>
          <w:rFonts w:hint="eastAsia"/>
          <w:color w:val="231F20"/>
        </w:rPr>
      </w:pPr>
      <w:r>
        <w:rPr>
          <w:rFonts w:hint="eastAsia"/>
          <w:color w:val="231F20"/>
        </w:rPr>
        <w:t>Similarly, their distinctive eschatology eclipses the gravity of the Last Judgment by implying (or explicitly asserting) that as a consequence of the Golden Era relatively few souls will be lost.</w:t>
      </w:r>
    </w:p>
    <w:p w14:paraId="62960AE6">
      <w:pPr>
        <w:pStyle w:val="9"/>
        <w:spacing w:after="0" w:line="249" w:lineRule="auto"/>
        <w:rPr>
          <w:rFonts w:hint="eastAsia"/>
          <w:color w:val="231F20"/>
        </w:rPr>
      </w:pPr>
      <w:r>
        <w:rPr>
          <w:rFonts w:hint="eastAsia"/>
          <w:color w:val="231F20"/>
        </w:rPr>
        <w:t>同样，他们独特的末世论也掩盖了最后审判的严肃性，因为它暗示（或明确断言）由于黄金时代的结果，相对较少的灵魂会失丧。</w:t>
      </w:r>
    </w:p>
    <w:p w14:paraId="2426AA90">
      <w:pPr>
        <w:pStyle w:val="9"/>
        <w:spacing w:after="0" w:line="249" w:lineRule="auto"/>
        <w:rPr>
          <w:rFonts w:hint="eastAsia"/>
          <w:color w:val="231F20"/>
        </w:rPr>
      </w:pPr>
    </w:p>
    <w:p w14:paraId="1266857C">
      <w:pPr>
        <w:pStyle w:val="9"/>
        <w:spacing w:after="0" w:line="249" w:lineRule="auto"/>
        <w:rPr>
          <w:rFonts w:hint="eastAsia"/>
          <w:color w:val="231F20"/>
        </w:rPr>
      </w:pPr>
      <w:r>
        <w:rPr>
          <w:rFonts w:hint="eastAsia"/>
          <w:color w:val="231F20"/>
        </w:rPr>
        <w:t>On both counts, the NT sharply disagrees.</w:t>
      </w:r>
    </w:p>
    <w:p w14:paraId="22DF3319">
      <w:pPr>
        <w:pStyle w:val="9"/>
        <w:spacing w:after="0" w:line="249" w:lineRule="auto"/>
        <w:rPr>
          <w:rFonts w:hint="eastAsia"/>
          <w:color w:val="231F20"/>
        </w:rPr>
      </w:pPr>
      <w:r>
        <w:rPr>
          <w:rFonts w:hint="eastAsia"/>
          <w:color w:val="231F20"/>
        </w:rPr>
        <w:t>在这两点上，新约都予以尖锐的反驳。</w:t>
      </w:r>
    </w:p>
    <w:p w14:paraId="11A3E556">
      <w:pPr>
        <w:pStyle w:val="9"/>
        <w:spacing w:after="0" w:line="249" w:lineRule="auto"/>
        <w:rPr>
          <w:rFonts w:hint="eastAsia"/>
          <w:color w:val="231F20"/>
        </w:rPr>
      </w:pPr>
    </w:p>
    <w:p w14:paraId="590CAF54">
      <w:pPr>
        <w:pStyle w:val="9"/>
        <w:spacing w:after="0" w:line="249" w:lineRule="auto"/>
        <w:rPr>
          <w:rFonts w:hint="eastAsia"/>
          <w:color w:val="231F20"/>
        </w:rPr>
      </w:pPr>
      <w:r>
        <w:rPr>
          <w:rFonts w:hint="eastAsia"/>
          <w:color w:val="231F20"/>
        </w:rPr>
        <w:t>Jesus said that throughout the Church era, and especially at its end, his disciples will be hated by all nations (Mt. 10:16ff, 24:9).</w:t>
      </w:r>
    </w:p>
    <w:p w14:paraId="292D9FF8">
      <w:pPr>
        <w:pStyle w:val="9"/>
        <w:spacing w:after="0" w:line="249" w:lineRule="auto"/>
        <w:rPr>
          <w:rFonts w:hint="eastAsia"/>
          <w:color w:val="231F20"/>
        </w:rPr>
      </w:pPr>
      <w:r>
        <w:rPr>
          <w:rFonts w:hint="eastAsia"/>
          <w:color w:val="231F20"/>
        </w:rPr>
        <w:t>耶稣说，在整个教会时代，尤其是在其末了，祂的门徒将被万民恨恶（太10:16及以下，24:9）。</w:t>
      </w:r>
    </w:p>
    <w:p w14:paraId="19D4019C">
      <w:pPr>
        <w:pStyle w:val="9"/>
        <w:spacing w:after="0" w:line="249" w:lineRule="auto"/>
        <w:rPr>
          <w:rFonts w:hint="eastAsia"/>
          <w:color w:val="231F20"/>
        </w:rPr>
      </w:pPr>
    </w:p>
    <w:p w14:paraId="6C6E7A58">
      <w:pPr>
        <w:pStyle w:val="9"/>
        <w:spacing w:after="0" w:line="249" w:lineRule="auto"/>
        <w:rPr>
          <w:rFonts w:hint="eastAsia"/>
          <w:color w:val="231F20"/>
        </w:rPr>
      </w:pPr>
      <w:r>
        <w:rPr>
          <w:rFonts w:hint="eastAsia"/>
          <w:color w:val="231F20"/>
        </w:rPr>
        <w:t>John relates that the number of those who wage war against the eschatological camp of the saints will be “like the sand of the seashore” (Rev. 20:8).</w:t>
      </w:r>
    </w:p>
    <w:p w14:paraId="4E1E73E2">
      <w:pPr>
        <w:pStyle w:val="9"/>
        <w:spacing w:after="0" w:line="249" w:lineRule="auto"/>
        <w:rPr>
          <w:rFonts w:hint="eastAsia"/>
          <w:color w:val="231F20"/>
        </w:rPr>
      </w:pPr>
      <w:r>
        <w:rPr>
          <w:rFonts w:hint="eastAsia"/>
          <w:color w:val="231F20"/>
        </w:rPr>
        <w:t>约翰记述，那些与圣徒末世论的营盘争战的人数，将“多如海沙”（启20:8）。</w:t>
      </w:r>
    </w:p>
    <w:p w14:paraId="17C2A90E">
      <w:pPr>
        <w:pStyle w:val="9"/>
        <w:spacing w:after="0" w:line="249" w:lineRule="auto"/>
        <w:rPr>
          <w:rFonts w:hint="eastAsia"/>
          <w:color w:val="231F20"/>
        </w:rPr>
      </w:pPr>
    </w:p>
    <w:p w14:paraId="769ABEAF">
      <w:pPr>
        <w:pStyle w:val="9"/>
        <w:spacing w:after="0" w:line="249" w:lineRule="auto"/>
        <w:rPr>
          <w:rFonts w:hint="eastAsia"/>
          <w:color w:val="231F20"/>
        </w:rPr>
      </w:pPr>
      <w:r>
        <w:rPr>
          <w:rFonts w:hint="eastAsia"/>
          <w:color w:val="231F20"/>
        </w:rPr>
        <w:t>As for the ratio of the saved to the lost, we are wise, I think, to eschew undue speculation (Luke 13:22f).</w:t>
      </w:r>
    </w:p>
    <w:p w14:paraId="38747C70">
      <w:pPr>
        <w:pStyle w:val="9"/>
        <w:spacing w:after="0" w:line="249" w:lineRule="auto"/>
        <w:rPr>
          <w:rFonts w:hint="eastAsia"/>
          <w:color w:val="231F20"/>
        </w:rPr>
      </w:pPr>
      <w:r>
        <w:rPr>
          <w:rFonts w:hint="eastAsia"/>
          <w:color w:val="231F20"/>
        </w:rPr>
        <w:t>至于得救者与失丧者的比例，我认为，我们明智的做法是避免过度的揣测（路13:22及以下）。</w:t>
      </w:r>
    </w:p>
    <w:p w14:paraId="6CCCD907">
      <w:pPr>
        <w:pStyle w:val="9"/>
        <w:spacing w:after="0" w:line="249" w:lineRule="auto"/>
        <w:rPr>
          <w:rFonts w:hint="eastAsia"/>
          <w:color w:val="231F20"/>
        </w:rPr>
      </w:pPr>
    </w:p>
    <w:p w14:paraId="5782F072">
      <w:pPr>
        <w:pStyle w:val="9"/>
        <w:spacing w:after="0" w:line="249" w:lineRule="auto"/>
        <w:rPr>
          <w:rFonts w:hint="eastAsia"/>
          <w:color w:val="231F20"/>
        </w:rPr>
      </w:pPr>
      <w:r>
        <w:rPr>
          <w:rFonts w:hint="eastAsia"/>
          <w:color w:val="231F20"/>
        </w:rPr>
        <w:t>Nevertheless, it is sobering to recall that wide is the gate and broad the way that leads to destruction, and many go in by it; that Christ refers to his Church as “a little flock;” and that those who will follow him upon the slopes of the eternal Zion are “the firstfruits” (i.e., a small, early part of the total harvest) of God and the Lamb (Mt. 7:13, 13:24-30, 36-43, Luke 12:32, James 1:18, Rev. 14:1-4, 14-20).</w:t>
      </w:r>
    </w:p>
    <w:p w14:paraId="1785C974">
      <w:pPr>
        <w:pStyle w:val="9"/>
        <w:spacing w:after="0" w:line="249" w:lineRule="auto"/>
        <w:rPr>
          <w:rFonts w:hint="eastAsia"/>
          <w:color w:val="231F20"/>
        </w:rPr>
      </w:pPr>
      <w:r>
        <w:rPr>
          <w:rFonts w:hint="eastAsia"/>
          <w:color w:val="231F20"/>
        </w:rPr>
        <w:t>然而，发人深省的是，要记得引到灭亡，那门是宽的，路是大的，进去的人也多；基督称祂的教会为“小群”；那些将在永恒锡安的山坡上跟随祂的人，是归与神和羔羊的“初熟的果子”（即总收成中一小部分、早期的部分）（太7:13，13:24-30，36-43，路12:32，雅1:18，启14:1-4，14-20）。</w:t>
      </w:r>
    </w:p>
    <w:p w14:paraId="3F858332">
      <w:pPr>
        <w:pStyle w:val="9"/>
        <w:spacing w:after="0" w:line="249" w:lineRule="auto"/>
        <w:rPr>
          <w:rFonts w:hint="eastAsia"/>
          <w:color w:val="231F20"/>
        </w:rPr>
      </w:pPr>
    </w:p>
    <w:p w14:paraId="3EFE91BC">
      <w:pPr>
        <w:pStyle w:val="9"/>
        <w:spacing w:after="0" w:line="249" w:lineRule="auto"/>
        <w:rPr>
          <w:rFonts w:hint="eastAsia"/>
          <w:color w:val="231F20"/>
        </w:rPr>
      </w:pPr>
      <w:r>
        <w:rPr>
          <w:rFonts w:hint="eastAsia"/>
          <w:color w:val="231F20"/>
        </w:rPr>
        <w:t>We find, then, that despite its welcome nod to orthodoxy, postmillennialism gives us a flawed and potentially injurious view of the Consummation.</w:t>
      </w:r>
    </w:p>
    <w:p w14:paraId="6596D415">
      <w:pPr>
        <w:pStyle w:val="9"/>
        <w:spacing w:after="0" w:line="249" w:lineRule="auto"/>
        <w:rPr>
          <w:rFonts w:hint="eastAsia"/>
          <w:color w:val="231F20"/>
        </w:rPr>
      </w:pPr>
      <w:r>
        <w:rPr>
          <w:rFonts w:hint="eastAsia"/>
          <w:color w:val="231F20"/>
        </w:rPr>
        <w:t>因此，我们发现，尽管后千禧年论对正统教义表示了可喜的认同，但它给我们提供了一个有缺陷且可能有害的结局观。</w:t>
      </w:r>
    </w:p>
    <w:p w14:paraId="122F6CE1">
      <w:pPr>
        <w:pStyle w:val="9"/>
        <w:spacing w:after="0" w:line="249" w:lineRule="auto"/>
        <w:rPr>
          <w:rFonts w:hint="eastAsia"/>
          <w:color w:val="231F20"/>
        </w:rPr>
      </w:pPr>
    </w:p>
    <w:p w14:paraId="61FEB6A9">
      <w:pPr>
        <w:pStyle w:val="9"/>
        <w:spacing w:after="0" w:line="249" w:lineRule="auto"/>
        <w:rPr>
          <w:rFonts w:hint="eastAsia"/>
          <w:color w:val="231F20"/>
        </w:rPr>
      </w:pPr>
      <w:r>
        <w:rPr>
          <w:rFonts w:hint="eastAsia"/>
          <w:color w:val="231F20"/>
        </w:rPr>
        <w:t>View of OTKP</w:t>
      </w:r>
    </w:p>
    <w:p w14:paraId="5C9271CD">
      <w:pPr>
        <w:pStyle w:val="9"/>
        <w:spacing w:after="0" w:line="249" w:lineRule="auto"/>
        <w:rPr>
          <w:rFonts w:hint="eastAsia"/>
          <w:color w:val="231F20"/>
        </w:rPr>
      </w:pPr>
      <w:r>
        <w:rPr>
          <w:rFonts w:hint="eastAsia"/>
          <w:color w:val="231F20"/>
        </w:rPr>
        <w:t>对旧约国度预言的看法</w:t>
      </w:r>
    </w:p>
    <w:p w14:paraId="2F3ECFF8">
      <w:pPr>
        <w:pStyle w:val="9"/>
        <w:spacing w:after="0" w:line="249" w:lineRule="auto"/>
        <w:rPr>
          <w:rFonts w:hint="eastAsia"/>
          <w:color w:val="231F20"/>
        </w:rPr>
      </w:pPr>
    </w:p>
    <w:p w14:paraId="7E0405C0">
      <w:pPr>
        <w:pStyle w:val="9"/>
        <w:spacing w:after="0" w:line="249" w:lineRule="auto"/>
        <w:rPr>
          <w:rFonts w:hint="eastAsia"/>
          <w:color w:val="231F20"/>
        </w:rPr>
      </w:pPr>
      <w:r>
        <w:rPr>
          <w:rFonts w:hint="eastAsia"/>
          <w:color w:val="231F20"/>
        </w:rPr>
        <w:t>Postmillennarians argue that a large number of OTKP’s promise a global triumph of the Gospel in the Church Era (Psalms 72, 110, Isaiah 2:1- 4, 65:17-25, Micah 4:1-3, Zech. 9:10, etc.).</w:t>
      </w:r>
    </w:p>
    <w:p w14:paraId="36474DA2">
      <w:pPr>
        <w:pStyle w:val="9"/>
        <w:spacing w:after="0" w:line="249" w:lineRule="auto"/>
        <w:rPr>
          <w:rFonts w:hint="eastAsia"/>
          <w:color w:val="231F20"/>
        </w:rPr>
      </w:pPr>
      <w:r>
        <w:rPr>
          <w:rFonts w:hint="eastAsia"/>
          <w:color w:val="231F20"/>
        </w:rPr>
        <w:t>后千禧年论者主张，大量的旧约国度预言应许了福音在教会时代的全球性胜利（诗篇72, 110, 以赛亚书2:1-4, 65:17-25, 弥迦书4:1-3, 撒迦利亚书9:10等）。</w:t>
      </w:r>
    </w:p>
    <w:p w14:paraId="66E60E23">
      <w:pPr>
        <w:pStyle w:val="9"/>
        <w:spacing w:after="0" w:line="249" w:lineRule="auto"/>
        <w:rPr>
          <w:rFonts w:hint="eastAsia"/>
          <w:color w:val="231F20"/>
        </w:rPr>
      </w:pPr>
    </w:p>
    <w:p w14:paraId="1C5532D4">
      <w:pPr>
        <w:pStyle w:val="9"/>
        <w:spacing w:after="0" w:line="249" w:lineRule="auto"/>
        <w:rPr>
          <w:rFonts w:hint="eastAsia"/>
          <w:color w:val="231F20"/>
        </w:rPr>
      </w:pPr>
      <w:r>
        <w:rPr>
          <w:rFonts w:hint="eastAsia"/>
          <w:color w:val="231F20"/>
        </w:rPr>
        <w:t>Like their amillennarian brethren, they see these prophecies as being fulfilled under the New Covenant.</w:t>
      </w:r>
    </w:p>
    <w:p w14:paraId="74B82D89">
      <w:pPr>
        <w:pStyle w:val="9"/>
        <w:spacing w:after="0" w:line="249" w:lineRule="auto"/>
        <w:rPr>
          <w:rFonts w:hint="eastAsia"/>
          <w:color w:val="231F20"/>
        </w:rPr>
      </w:pPr>
      <w:r>
        <w:rPr>
          <w:rFonts w:hint="eastAsia"/>
          <w:color w:val="231F20"/>
        </w:rPr>
        <w:t>像他们的无千禧年论弟兄一样，他们认为这些预言是在新约之下应验的。</w:t>
      </w:r>
    </w:p>
    <w:p w14:paraId="289D0701">
      <w:pPr>
        <w:pStyle w:val="9"/>
        <w:spacing w:after="0" w:line="249" w:lineRule="auto"/>
        <w:rPr>
          <w:rFonts w:hint="eastAsia"/>
          <w:color w:val="231F20"/>
        </w:rPr>
      </w:pPr>
    </w:p>
    <w:p w14:paraId="00BAEBD6">
      <w:pPr>
        <w:pStyle w:val="9"/>
        <w:spacing w:after="0" w:line="249" w:lineRule="auto"/>
        <w:rPr>
          <w:rFonts w:hint="eastAsia"/>
          <w:color w:val="231F20"/>
        </w:rPr>
      </w:pPr>
      <w:r>
        <w:rPr>
          <w:rFonts w:hint="eastAsia"/>
          <w:color w:val="231F20"/>
        </w:rPr>
        <w:t>However, unlike them, they tend to view the prophecies as being fulfilled in the New Covenant Era of Proclamation, rather than in the Era of Reward and Retribution (i.e., the World to Come).</w:t>
      </w:r>
    </w:p>
    <w:p w14:paraId="6F4379FF">
      <w:pPr>
        <w:pStyle w:val="9"/>
        <w:spacing w:after="0" w:line="249" w:lineRule="auto"/>
        <w:rPr>
          <w:rFonts w:hint="eastAsia"/>
          <w:color w:val="231F20"/>
        </w:rPr>
      </w:pPr>
      <w:r>
        <w:rPr>
          <w:rFonts w:hint="eastAsia"/>
          <w:color w:val="231F20"/>
        </w:rPr>
        <w:t>然而，与他们不同的是，他们倾向于认为这些预言是在新约的传讲时代应验，而不是在赏罚的时代（即来世）应验。</w:t>
      </w:r>
    </w:p>
    <w:p w14:paraId="308FA2EE">
      <w:pPr>
        <w:pStyle w:val="9"/>
        <w:spacing w:after="0" w:line="249" w:lineRule="auto"/>
        <w:rPr>
          <w:rFonts w:hint="eastAsia"/>
          <w:color w:val="231F20"/>
        </w:rPr>
      </w:pPr>
    </w:p>
    <w:p w14:paraId="2DBC0C26">
      <w:pPr>
        <w:pStyle w:val="9"/>
        <w:spacing w:after="0" w:line="249" w:lineRule="auto"/>
        <w:rPr>
          <w:rFonts w:hint="eastAsia"/>
          <w:color w:val="231F20"/>
        </w:rPr>
      </w:pPr>
      <w:r>
        <w:rPr>
          <w:rFonts w:hint="eastAsia"/>
          <w:color w:val="231F20"/>
        </w:rPr>
        <w:t>Reading OTKP this way, they conclude that the OT promises us a Golden Era of Gospel success on this side of the Consummation.</w:t>
      </w:r>
    </w:p>
    <w:p w14:paraId="6E617750">
      <w:pPr>
        <w:pStyle w:val="9"/>
        <w:spacing w:after="0" w:line="249" w:lineRule="auto"/>
        <w:rPr>
          <w:rFonts w:hint="eastAsia"/>
          <w:color w:val="231F20"/>
        </w:rPr>
      </w:pPr>
      <w:r>
        <w:rPr>
          <w:rFonts w:hint="eastAsia"/>
          <w:color w:val="231F20"/>
        </w:rPr>
        <w:t>以这种方式解读旧约国度预言，他们得出结论，旧约应许我们在结局的这一边，会有一个福音成功的黄金时代。</w:t>
      </w:r>
    </w:p>
    <w:p w14:paraId="2FB21638">
      <w:pPr>
        <w:pStyle w:val="9"/>
        <w:spacing w:after="0" w:line="249" w:lineRule="auto"/>
        <w:rPr>
          <w:rFonts w:hint="eastAsia"/>
          <w:color w:val="231F20"/>
        </w:rPr>
      </w:pPr>
    </w:p>
    <w:p w14:paraId="3AAD6292">
      <w:pPr>
        <w:pStyle w:val="9"/>
        <w:spacing w:after="0" w:line="249" w:lineRule="auto"/>
        <w:rPr>
          <w:rFonts w:hint="eastAsia"/>
          <w:color w:val="231F20"/>
        </w:rPr>
      </w:pPr>
      <w:r>
        <w:rPr>
          <w:rFonts w:hint="eastAsia"/>
          <w:color w:val="231F20"/>
        </w:rPr>
        <w:t>In the course of our study, I have addressed a number of these texts in some detail, using the NCH hermeneutic to show that they—and all genuine OTKP’s—are fulfilled in the (conflicted) Era of Proclamation, the (perfected) World to Come, or both.</w:t>
      </w:r>
    </w:p>
    <w:p w14:paraId="4D6A8FC8">
      <w:pPr>
        <w:pStyle w:val="9"/>
        <w:spacing w:after="0" w:line="249" w:lineRule="auto"/>
        <w:rPr>
          <w:rFonts w:hint="eastAsia"/>
          <w:color w:val="231F20"/>
        </w:rPr>
      </w:pPr>
      <w:r>
        <w:rPr>
          <w:rFonts w:hint="eastAsia"/>
          <w:color w:val="231F20"/>
        </w:rPr>
        <w:t>在我们的研究过程中，我已经相当详细地讨论了其中的一些经文，使用新约释经学（NCH）的解释法来表明，它们——以及所有真正的旧约国度预言——都在（充满冲突的）传讲时代、（得以完全的）来世，或两者中得到应验。</w:t>
      </w:r>
    </w:p>
    <w:p w14:paraId="01767887">
      <w:pPr>
        <w:pStyle w:val="9"/>
        <w:spacing w:after="0" w:line="249" w:lineRule="auto"/>
        <w:rPr>
          <w:rFonts w:hint="eastAsia"/>
          <w:color w:val="231F20"/>
        </w:rPr>
      </w:pPr>
    </w:p>
    <w:p w14:paraId="418088D8">
      <w:pPr>
        <w:pStyle w:val="9"/>
        <w:spacing w:after="0" w:line="249" w:lineRule="auto"/>
        <w:rPr>
          <w:rFonts w:hint="eastAsia"/>
          <w:color w:val="231F20"/>
        </w:rPr>
      </w:pPr>
      <w:r>
        <w:rPr>
          <w:rFonts w:hint="eastAsia"/>
          <w:color w:val="231F20"/>
        </w:rPr>
        <w:t>We saw, for example, that Psalm 72 is not fulfilled exclusively in the Era of Proclamation, but that it often uses OT imagery to represent the Messiah’s achievements in the World to Come.</w:t>
      </w:r>
    </w:p>
    <w:p w14:paraId="35E89179">
      <w:pPr>
        <w:pStyle w:val="9"/>
        <w:spacing w:after="0" w:line="249" w:lineRule="auto"/>
        <w:rPr>
          <w:rFonts w:hint="eastAsia"/>
          <w:color w:val="231F20"/>
        </w:rPr>
      </w:pPr>
      <w:r>
        <w:rPr>
          <w:rFonts w:hint="eastAsia"/>
          <w:color w:val="231F20"/>
        </w:rPr>
        <w:t>例如，我们看到诗篇第72篇并不仅仅在传讲时代得到应验，它也常常使用旧约的意象来描绘弥赛亚在来世的成就。</w:t>
      </w:r>
    </w:p>
    <w:p w14:paraId="77A6BD9D">
      <w:pPr>
        <w:pStyle w:val="9"/>
        <w:spacing w:after="0" w:line="249" w:lineRule="auto"/>
        <w:rPr>
          <w:rFonts w:hint="eastAsia"/>
          <w:color w:val="231F20"/>
        </w:rPr>
      </w:pPr>
    </w:p>
    <w:p w14:paraId="53BA2C79">
      <w:pPr>
        <w:pStyle w:val="9"/>
        <w:spacing w:after="0" w:line="249" w:lineRule="auto"/>
        <w:rPr>
          <w:rFonts w:hint="eastAsia"/>
          <w:color w:val="231F20"/>
        </w:rPr>
      </w:pPr>
      <w:r>
        <w:rPr>
          <w:rFonts w:hint="eastAsia"/>
          <w:color w:val="231F20"/>
        </w:rPr>
        <w:t>We saw that the NT consistently regards Psalm 110 as one of the Old Testament’s most powerful portraits of the ongoing spiritual warfare of the Church Militant.</w:t>
      </w:r>
    </w:p>
    <w:p w14:paraId="6DF7CF8D">
      <w:pPr>
        <w:pStyle w:val="9"/>
        <w:spacing w:after="0" w:line="249" w:lineRule="auto"/>
        <w:rPr>
          <w:rFonts w:hint="eastAsia"/>
          <w:color w:val="231F20"/>
        </w:rPr>
      </w:pPr>
      <w:r>
        <w:rPr>
          <w:rFonts w:hint="eastAsia"/>
          <w:color w:val="231F20"/>
        </w:rPr>
        <w:t>我们看到新约始终将诗篇第110篇视为旧约中对争战的教会持续进行的属灵争战最有力的描绘之一。</w:t>
      </w:r>
    </w:p>
    <w:p w14:paraId="4CB0CACB">
      <w:pPr>
        <w:pStyle w:val="9"/>
        <w:spacing w:after="0" w:line="249" w:lineRule="auto"/>
        <w:rPr>
          <w:rFonts w:hint="eastAsia"/>
          <w:color w:val="231F20"/>
        </w:rPr>
      </w:pPr>
    </w:p>
    <w:p w14:paraId="73C340F3">
      <w:pPr>
        <w:pStyle w:val="9"/>
        <w:spacing w:after="0" w:line="249" w:lineRule="auto"/>
        <w:rPr>
          <w:rFonts w:hint="eastAsia"/>
          <w:color w:val="231F20"/>
        </w:rPr>
      </w:pPr>
      <w:r>
        <w:rPr>
          <w:rFonts w:hint="eastAsia"/>
          <w:color w:val="231F20"/>
        </w:rPr>
        <w:t>We saw that Isaiah 2 and Micah 4—just like Psalm 72— refer to both stages of the Kingdom.</w:t>
      </w:r>
    </w:p>
    <w:p w14:paraId="506A9145">
      <w:pPr>
        <w:pStyle w:val="9"/>
        <w:spacing w:after="0" w:line="249" w:lineRule="auto"/>
        <w:rPr>
          <w:rFonts w:hint="eastAsia"/>
          <w:color w:val="231F20"/>
        </w:rPr>
      </w:pPr>
      <w:r>
        <w:rPr>
          <w:rFonts w:hint="eastAsia"/>
          <w:color w:val="231F20"/>
        </w:rPr>
        <w:t>我们看到以赛亚书第2章和弥迦书第4章——就像诗篇第72篇一样——都指向国度的两个阶段。</w:t>
      </w:r>
    </w:p>
    <w:p w14:paraId="3B2280AD">
      <w:pPr>
        <w:pStyle w:val="9"/>
        <w:spacing w:after="0" w:line="249" w:lineRule="auto"/>
        <w:rPr>
          <w:rFonts w:hint="eastAsia"/>
          <w:color w:val="231F20"/>
        </w:rPr>
      </w:pPr>
    </w:p>
    <w:p w14:paraId="2CC8E8DC">
      <w:pPr>
        <w:pStyle w:val="9"/>
        <w:spacing w:after="0" w:line="249" w:lineRule="auto"/>
        <w:rPr>
          <w:rFonts w:hint="eastAsia"/>
          <w:color w:val="231F20"/>
        </w:rPr>
      </w:pPr>
      <w:r>
        <w:rPr>
          <w:rFonts w:hint="eastAsia"/>
          <w:color w:val="231F20"/>
        </w:rPr>
        <w:t>As for Isaiah 65:17-25, it is not, as postmillennarian Marcellus Kik avers, a picture of “the moral and spiritual revolution in human affairs fostered by the Gospel.”</w:t>
      </w:r>
    </w:p>
    <w:p w14:paraId="6F13A4EA">
      <w:pPr>
        <w:pStyle w:val="9"/>
        <w:spacing w:after="0" w:line="249" w:lineRule="auto"/>
        <w:rPr>
          <w:rFonts w:hint="eastAsia"/>
          <w:color w:val="231F20"/>
        </w:rPr>
      </w:pPr>
      <w:r>
        <w:rPr>
          <w:rFonts w:hint="eastAsia"/>
          <w:color w:val="231F20"/>
        </w:rPr>
        <w:t>至于以赛亚书65:17-25，它并不像后千禧年论者马塞勒斯·柯克（Marcellus Kik）所断言的，是“由福音所促成的人类事务中的道德和属灵革命”的图画。</w:t>
      </w:r>
    </w:p>
    <w:p w14:paraId="3C40B79F">
      <w:pPr>
        <w:pStyle w:val="9"/>
        <w:spacing w:after="0" w:line="249" w:lineRule="auto"/>
        <w:rPr>
          <w:rFonts w:hint="eastAsia"/>
          <w:color w:val="231F20"/>
        </w:rPr>
      </w:pPr>
    </w:p>
    <w:p w14:paraId="69564041">
      <w:pPr>
        <w:pStyle w:val="9"/>
        <w:spacing w:after="0" w:line="249" w:lineRule="auto"/>
        <w:rPr>
          <w:rFonts w:hint="eastAsia"/>
          <w:color w:val="231F20"/>
        </w:rPr>
      </w:pPr>
      <w:r>
        <w:rPr>
          <w:rFonts w:hint="eastAsia"/>
          <w:color w:val="231F20"/>
        </w:rPr>
        <w:t>Rather, it is simply a picture of the new heavens and the new earth, cast in the familiar tropes of the OT (2 Peter 3:13, Rev. 21:2).</w:t>
      </w:r>
    </w:p>
    <w:p w14:paraId="664CE05B">
      <w:pPr>
        <w:pStyle w:val="9"/>
        <w:spacing w:after="0" w:line="249" w:lineRule="auto"/>
        <w:rPr>
          <w:rFonts w:hint="eastAsia"/>
          <w:color w:val="231F20"/>
        </w:rPr>
      </w:pPr>
      <w:r>
        <w:rPr>
          <w:rFonts w:hint="eastAsia"/>
          <w:color w:val="231F20"/>
        </w:rPr>
        <w:t>相反，它只是新天新地的图画，是用旧约中人们熟悉的修辞手法来描绘的（彼后3:13，启21:2）。</w:t>
      </w:r>
    </w:p>
    <w:p w14:paraId="1B4B1458">
      <w:pPr>
        <w:pStyle w:val="9"/>
        <w:spacing w:after="0" w:line="249" w:lineRule="auto"/>
        <w:rPr>
          <w:rFonts w:hint="eastAsia"/>
          <w:color w:val="231F20"/>
        </w:rPr>
      </w:pPr>
    </w:p>
    <w:p w14:paraId="46A09CDA">
      <w:pPr>
        <w:pStyle w:val="9"/>
        <w:spacing w:after="0" w:line="249" w:lineRule="auto"/>
        <w:rPr>
          <w:rFonts w:hint="eastAsia"/>
          <w:color w:val="231F20"/>
        </w:rPr>
      </w:pPr>
      <w:r>
        <w:rPr>
          <w:rFonts w:hint="eastAsia"/>
          <w:color w:val="231F20"/>
        </w:rPr>
        <w:t>In all of this, we see yet again the vast importance of a skillful use of the NCH.</w:t>
      </w:r>
    </w:p>
    <w:p w14:paraId="0EEF8CCD">
      <w:pPr>
        <w:pStyle w:val="9"/>
        <w:spacing w:after="0" w:line="249" w:lineRule="auto"/>
        <w:rPr>
          <w:rFonts w:hint="eastAsia"/>
          <w:color w:val="231F20"/>
        </w:rPr>
      </w:pPr>
      <w:r>
        <w:rPr>
          <w:rFonts w:hint="eastAsia"/>
          <w:color w:val="231F20"/>
        </w:rPr>
        <w:t>在所有这一切中，我们再次看到了巧妙运用新约释经学（NCH）的巨大重要性。</w:t>
      </w:r>
    </w:p>
    <w:p w14:paraId="20C02BE8">
      <w:pPr>
        <w:pStyle w:val="9"/>
        <w:spacing w:after="0" w:line="249" w:lineRule="auto"/>
        <w:rPr>
          <w:rFonts w:hint="eastAsia"/>
          <w:color w:val="231F20"/>
        </w:rPr>
      </w:pPr>
    </w:p>
    <w:p w14:paraId="75ED4448">
      <w:pPr>
        <w:pStyle w:val="9"/>
        <w:spacing w:after="0" w:line="249" w:lineRule="auto"/>
        <w:rPr>
          <w:rFonts w:hint="eastAsia"/>
          <w:color w:val="231F20"/>
        </w:rPr>
      </w:pPr>
      <w:r>
        <w:rPr>
          <w:rFonts w:hint="eastAsia"/>
          <w:color w:val="231F20"/>
        </w:rPr>
        <w:t>Unless we are thoroughly grounded in NT eschatology—unless we are perfectly clear about the nature and structure of the two-staged Kingdom of God—we shall surely miss the true message of OTKP.</w:t>
      </w:r>
    </w:p>
    <w:p w14:paraId="7E69BC21">
      <w:pPr>
        <w:pStyle w:val="9"/>
        <w:spacing w:after="0" w:line="249" w:lineRule="auto"/>
        <w:rPr>
          <w:rFonts w:hint="eastAsia"/>
          <w:color w:val="231F20"/>
        </w:rPr>
      </w:pPr>
      <w:r>
        <w:rPr>
          <w:rFonts w:hint="eastAsia"/>
          <w:color w:val="231F20"/>
        </w:rPr>
        <w:t>除非我们对新约末世论有透彻的根基——除非我们对神国两阶段的性质和结构有完全清晰的认识——否则我们必定会错过旧约国度预言的真实信息。</w:t>
      </w:r>
    </w:p>
    <w:p w14:paraId="14D2D774">
      <w:pPr>
        <w:pStyle w:val="9"/>
        <w:spacing w:after="0" w:line="249" w:lineRule="auto"/>
        <w:rPr>
          <w:rFonts w:hint="eastAsia"/>
          <w:color w:val="231F20"/>
        </w:rPr>
      </w:pPr>
    </w:p>
    <w:p w14:paraId="3601B4DF">
      <w:pPr>
        <w:pStyle w:val="9"/>
        <w:spacing w:after="0" w:line="249" w:lineRule="auto"/>
        <w:rPr>
          <w:rFonts w:hint="eastAsia"/>
          <w:color w:val="231F20"/>
        </w:rPr>
      </w:pPr>
      <w:r>
        <w:rPr>
          <w:rFonts w:hint="eastAsia"/>
          <w:color w:val="231F20"/>
        </w:rPr>
        <w:t>Like their premillennial brethren, postmillennarians seek to impose a false reading of OTKP and Revelation 20 upon the Didactic NT.</w:t>
      </w:r>
    </w:p>
    <w:p w14:paraId="10F6B64B">
      <w:pPr>
        <w:pStyle w:val="9"/>
        <w:spacing w:after="0" w:line="249" w:lineRule="auto"/>
        <w:rPr>
          <w:rFonts w:hint="eastAsia"/>
          <w:color w:val="231F20"/>
        </w:rPr>
      </w:pPr>
      <w:r>
        <w:rPr>
          <w:rFonts w:hint="eastAsia"/>
          <w:color w:val="231F20"/>
        </w:rPr>
        <w:t>像他们的前千禧年论弟兄一样，后千禧年论者试图将对旧约国度预言和启示录第20章的错误解读强加于新约的教义性经文之上。</w:t>
      </w:r>
    </w:p>
    <w:p w14:paraId="6F67B0B3">
      <w:pPr>
        <w:pStyle w:val="9"/>
        <w:spacing w:after="0" w:line="249" w:lineRule="auto"/>
        <w:rPr>
          <w:rFonts w:hint="eastAsia"/>
          <w:color w:val="231F20"/>
        </w:rPr>
      </w:pPr>
    </w:p>
    <w:p w14:paraId="56A4C074">
      <w:pPr>
        <w:pStyle w:val="9"/>
        <w:spacing w:after="0" w:line="249" w:lineRule="auto"/>
        <w:rPr>
          <w:rFonts w:hint="eastAsia"/>
          <w:color w:val="231F20"/>
        </w:rPr>
      </w:pPr>
      <w:r>
        <w:rPr>
          <w:rFonts w:hint="eastAsia"/>
          <w:color w:val="231F20"/>
        </w:rPr>
        <w:t>This turns things upside down.</w:t>
      </w:r>
    </w:p>
    <w:p w14:paraId="12155980">
      <w:pPr>
        <w:pStyle w:val="9"/>
        <w:spacing w:after="0" w:line="249" w:lineRule="auto"/>
        <w:rPr>
          <w:rFonts w:hint="eastAsia"/>
          <w:color w:val="231F20"/>
        </w:rPr>
      </w:pPr>
      <w:r>
        <w:rPr>
          <w:rFonts w:hint="eastAsia"/>
          <w:color w:val="231F20"/>
        </w:rPr>
        <w:t>这把事情本末倒置了。</w:t>
      </w:r>
    </w:p>
    <w:p w14:paraId="4B795963">
      <w:pPr>
        <w:pStyle w:val="9"/>
        <w:spacing w:after="0" w:line="249" w:lineRule="auto"/>
        <w:rPr>
          <w:rFonts w:hint="eastAsia"/>
          <w:color w:val="231F20"/>
        </w:rPr>
      </w:pPr>
    </w:p>
    <w:p w14:paraId="1BFEFBA2">
      <w:pPr>
        <w:pStyle w:val="9"/>
        <w:spacing w:after="0" w:line="249" w:lineRule="auto"/>
        <w:rPr>
          <w:rFonts w:hint="eastAsia"/>
          <w:color w:val="231F20"/>
        </w:rPr>
      </w:pPr>
      <w:r>
        <w:rPr>
          <w:rFonts w:hint="eastAsia"/>
          <w:color w:val="231F20"/>
        </w:rPr>
        <w:t>Instead, they should allow a true reading of the Didactic NT guide them into a true understanding of OTKP.</w:t>
      </w:r>
    </w:p>
    <w:p w14:paraId="4ECF0A03">
      <w:pPr>
        <w:pStyle w:val="9"/>
        <w:spacing w:after="0" w:line="249" w:lineRule="auto"/>
        <w:rPr>
          <w:rFonts w:hint="eastAsia"/>
          <w:color w:val="231F20"/>
        </w:rPr>
      </w:pPr>
      <w:r>
        <w:rPr>
          <w:rFonts w:hint="eastAsia"/>
          <w:color w:val="231F20"/>
        </w:rPr>
        <w:t>相反，他们应该让对新约教义性经文的正确解读来引导他们对旧约国度预言有一个正确的理解。</w:t>
      </w:r>
    </w:p>
    <w:p w14:paraId="5523383A">
      <w:pPr>
        <w:pStyle w:val="9"/>
        <w:spacing w:after="0" w:line="249" w:lineRule="auto"/>
        <w:rPr>
          <w:rFonts w:hint="eastAsia"/>
          <w:color w:val="231F20"/>
        </w:rPr>
      </w:pPr>
    </w:p>
    <w:p w14:paraId="0A337A4B">
      <w:pPr>
        <w:pStyle w:val="9"/>
        <w:spacing w:after="0" w:line="249" w:lineRule="auto"/>
        <w:rPr>
          <w:rFonts w:hint="eastAsia"/>
          <w:color w:val="231F20"/>
        </w:rPr>
      </w:pPr>
      <w:r>
        <w:rPr>
          <w:rFonts w:hint="eastAsia"/>
          <w:color w:val="231F20"/>
        </w:rPr>
        <w:t>Only thus shall the OT and the NT be found to sing the same beautiful song!</w:t>
      </w:r>
    </w:p>
    <w:p w14:paraId="68F8A222">
      <w:pPr>
        <w:pStyle w:val="9"/>
        <w:spacing w:after="0" w:line="249" w:lineRule="auto"/>
        <w:rPr>
          <w:rFonts w:hint="eastAsia"/>
          <w:color w:val="231F20"/>
        </w:rPr>
      </w:pPr>
      <w:r>
        <w:rPr>
          <w:rFonts w:hint="eastAsia"/>
          <w:color w:val="231F20"/>
        </w:rPr>
        <w:t>唯有如此，旧约和新约才能被发现是在同唱一首美丽的歌！</w:t>
      </w:r>
    </w:p>
    <w:p w14:paraId="6325A1A6">
      <w:pPr>
        <w:pStyle w:val="9"/>
        <w:spacing w:after="0" w:line="249" w:lineRule="auto"/>
        <w:rPr>
          <w:rFonts w:hint="eastAsia"/>
          <w:color w:val="231F20"/>
        </w:rPr>
      </w:pPr>
    </w:p>
    <w:p w14:paraId="407040C7">
      <w:pPr>
        <w:pStyle w:val="9"/>
        <w:spacing w:after="0" w:line="249" w:lineRule="auto"/>
        <w:rPr>
          <w:rFonts w:hint="eastAsia"/>
          <w:color w:val="231F20"/>
        </w:rPr>
      </w:pPr>
      <w:r>
        <w:rPr>
          <w:rFonts w:hint="eastAsia"/>
          <w:color w:val="231F20"/>
        </w:rPr>
        <w:t>View of the Revelation</w:t>
      </w:r>
    </w:p>
    <w:p w14:paraId="00725CB7">
      <w:pPr>
        <w:pStyle w:val="9"/>
        <w:spacing w:after="0" w:line="249" w:lineRule="auto"/>
        <w:rPr>
          <w:rFonts w:hint="eastAsia"/>
          <w:color w:val="231F20"/>
        </w:rPr>
      </w:pPr>
      <w:r>
        <w:rPr>
          <w:rFonts w:hint="eastAsia"/>
          <w:color w:val="231F20"/>
        </w:rPr>
        <w:t>对启示录的看法</w:t>
      </w:r>
    </w:p>
    <w:p w14:paraId="772D6C24">
      <w:pPr>
        <w:pStyle w:val="9"/>
        <w:spacing w:after="0" w:line="249" w:lineRule="auto"/>
        <w:rPr>
          <w:rFonts w:hint="eastAsia"/>
          <w:color w:val="231F20"/>
        </w:rPr>
      </w:pPr>
    </w:p>
    <w:p w14:paraId="4A52D251">
      <w:pPr>
        <w:pStyle w:val="9"/>
        <w:spacing w:after="0" w:line="249" w:lineRule="auto"/>
        <w:rPr>
          <w:rFonts w:hint="eastAsia"/>
          <w:color w:val="231F20"/>
        </w:rPr>
      </w:pPr>
      <w:r>
        <w:rPr>
          <w:rFonts w:hint="eastAsia"/>
          <w:color w:val="231F20"/>
        </w:rPr>
        <w:t>Like premillennarians, postmillennarians generally teach that the events described in Revelation 20 follow those described in Revelation 19:11-21.</w:t>
      </w:r>
    </w:p>
    <w:p w14:paraId="0E179460">
      <w:pPr>
        <w:pStyle w:val="9"/>
        <w:spacing w:after="0" w:line="249" w:lineRule="auto"/>
        <w:rPr>
          <w:rFonts w:hint="eastAsia"/>
          <w:color w:val="231F20"/>
        </w:rPr>
      </w:pPr>
      <w:r>
        <w:rPr>
          <w:rFonts w:hint="eastAsia"/>
          <w:color w:val="231F20"/>
        </w:rPr>
        <w:t>像前千禧年论者一样，后千禧年论者通常教导说，启示录第20章描述的事件，是发生在启示录19:11-21所描述的事件之后。</w:t>
      </w:r>
    </w:p>
    <w:p w14:paraId="72305FA6">
      <w:pPr>
        <w:pStyle w:val="9"/>
        <w:spacing w:after="0" w:line="249" w:lineRule="auto"/>
        <w:rPr>
          <w:rFonts w:hint="eastAsia"/>
          <w:color w:val="231F20"/>
        </w:rPr>
      </w:pPr>
    </w:p>
    <w:p w14:paraId="300661E3">
      <w:pPr>
        <w:pStyle w:val="9"/>
        <w:spacing w:after="0" w:line="249" w:lineRule="auto"/>
        <w:rPr>
          <w:rFonts w:hint="eastAsia"/>
          <w:color w:val="231F20"/>
        </w:rPr>
      </w:pPr>
      <w:r>
        <w:rPr>
          <w:rFonts w:hint="eastAsia"/>
          <w:color w:val="231F20"/>
        </w:rPr>
        <w:t>This means, of course, that Revelation 19:11-21 cannot be speaking of the Parousia/Consummation.</w:t>
      </w:r>
    </w:p>
    <w:p w14:paraId="5E458358">
      <w:pPr>
        <w:pStyle w:val="9"/>
        <w:spacing w:after="0" w:line="249" w:lineRule="auto"/>
        <w:rPr>
          <w:rFonts w:hint="eastAsia"/>
          <w:color w:val="231F20"/>
        </w:rPr>
      </w:pPr>
      <w:r>
        <w:rPr>
          <w:rFonts w:hint="eastAsia"/>
          <w:color w:val="231F20"/>
        </w:rPr>
        <w:t>这当然意味着，启示录19:11-21不可能是论及主的再来/结局。</w:t>
      </w:r>
    </w:p>
    <w:p w14:paraId="0A5D361B">
      <w:pPr>
        <w:pStyle w:val="9"/>
        <w:spacing w:after="0" w:line="249" w:lineRule="auto"/>
        <w:rPr>
          <w:rFonts w:hint="eastAsia"/>
          <w:color w:val="231F20"/>
        </w:rPr>
      </w:pPr>
    </w:p>
    <w:p w14:paraId="26648CC1">
      <w:pPr>
        <w:pStyle w:val="9"/>
        <w:spacing w:after="0" w:line="249" w:lineRule="auto"/>
        <w:rPr>
          <w:rFonts w:hint="eastAsia"/>
          <w:color w:val="231F20"/>
        </w:rPr>
      </w:pPr>
      <w:r>
        <w:rPr>
          <w:rFonts w:hint="eastAsia"/>
          <w:color w:val="231F20"/>
        </w:rPr>
        <w:t>Accordingly, Loraine Boettner argues that this text gives us “… a vision setting forth in figurative language the age-long struggle between the forces of good and the forces of evil in the world, with its promise of complete victory.”3</w:t>
      </w:r>
    </w:p>
    <w:p w14:paraId="36AC1F7B">
      <w:pPr>
        <w:pStyle w:val="9"/>
        <w:spacing w:after="0" w:line="249" w:lineRule="auto"/>
        <w:rPr>
          <w:rFonts w:hint="eastAsia"/>
          <w:color w:val="231F20"/>
        </w:rPr>
      </w:pPr>
      <w:r>
        <w:rPr>
          <w:rFonts w:hint="eastAsia"/>
          <w:color w:val="231F20"/>
        </w:rPr>
        <w:t>因此，罗瑞恩·伯特纳（Loraine Boettner）认为，这段经文给了我们“……一个异象，用比喻性的语言阐述了世界上善与恶的力量之间历时久远的斗争，并应许了完全的胜利。”3</w:t>
      </w:r>
    </w:p>
    <w:p w14:paraId="4E2063F0">
      <w:pPr>
        <w:pStyle w:val="9"/>
        <w:spacing w:after="0" w:line="249" w:lineRule="auto"/>
        <w:rPr>
          <w:rFonts w:hint="eastAsia"/>
          <w:color w:val="231F20"/>
        </w:rPr>
      </w:pPr>
    </w:p>
    <w:p w14:paraId="4ABFF4B1">
      <w:pPr>
        <w:pStyle w:val="9"/>
        <w:spacing w:after="0" w:line="249" w:lineRule="auto"/>
        <w:rPr>
          <w:rFonts w:hint="eastAsia"/>
          <w:color w:val="231F20"/>
        </w:rPr>
      </w:pPr>
      <w:r>
        <w:rPr>
          <w:rFonts w:hint="eastAsia"/>
          <w:color w:val="231F20"/>
        </w:rPr>
        <w:t>In other words, it gives us Christ triumphing in the Era of Proclamation through the preaching of the Word of God.</w:t>
      </w:r>
    </w:p>
    <w:p w14:paraId="0F979F26">
      <w:pPr>
        <w:pStyle w:val="9"/>
        <w:spacing w:after="0" w:line="249" w:lineRule="auto"/>
        <w:rPr>
          <w:rFonts w:hint="eastAsia"/>
          <w:color w:val="231F20"/>
        </w:rPr>
      </w:pPr>
      <w:r>
        <w:rPr>
          <w:rFonts w:hint="eastAsia"/>
          <w:color w:val="231F20"/>
        </w:rPr>
        <w:t>换句话说，它向我们展示了基督在传讲时代，通过神话语的传讲而得胜。</w:t>
      </w:r>
    </w:p>
    <w:p w14:paraId="3CED7C83">
      <w:pPr>
        <w:pStyle w:val="9"/>
        <w:spacing w:after="0" w:line="249" w:lineRule="auto"/>
        <w:rPr>
          <w:rFonts w:hint="eastAsia"/>
          <w:color w:val="231F20"/>
        </w:rPr>
      </w:pPr>
    </w:p>
    <w:p w14:paraId="0EEDD288">
      <w:pPr>
        <w:pStyle w:val="9"/>
        <w:spacing w:after="0" w:line="249" w:lineRule="auto"/>
        <w:rPr>
          <w:rFonts w:hint="eastAsia"/>
          <w:color w:val="231F20"/>
        </w:rPr>
      </w:pPr>
      <w:r>
        <w:rPr>
          <w:rFonts w:hint="eastAsia"/>
          <w:color w:val="231F20"/>
        </w:rPr>
        <w:t>This results in a special binding of Satan, which in turn inaugurates the golden millennial era (20:1-3).</w:t>
      </w:r>
    </w:p>
    <w:p w14:paraId="45EC1762">
      <w:pPr>
        <w:pStyle w:val="9"/>
        <w:spacing w:after="0" w:line="249" w:lineRule="auto"/>
        <w:rPr>
          <w:rFonts w:hint="eastAsia"/>
          <w:color w:val="231F20"/>
        </w:rPr>
      </w:pPr>
      <w:r>
        <w:rPr>
          <w:rFonts w:hint="eastAsia"/>
          <w:color w:val="231F20"/>
        </w:rPr>
        <w:t>这导致了对撒但的一次特殊捆绑，从而开启了黄金千禧年时代（20:1-3）。</w:t>
      </w:r>
    </w:p>
    <w:p w14:paraId="7B14DEFB">
      <w:pPr>
        <w:pStyle w:val="9"/>
        <w:spacing w:after="0" w:line="249" w:lineRule="auto"/>
        <w:rPr>
          <w:rFonts w:hint="eastAsia"/>
          <w:color w:val="231F20"/>
        </w:rPr>
      </w:pPr>
    </w:p>
    <w:p w14:paraId="227FFEB6">
      <w:pPr>
        <w:pStyle w:val="9"/>
        <w:spacing w:after="0" w:line="249" w:lineRule="auto"/>
        <w:rPr>
          <w:rFonts w:hint="eastAsia"/>
          <w:color w:val="231F20"/>
        </w:rPr>
      </w:pPr>
      <w:r>
        <w:rPr>
          <w:rFonts w:hint="eastAsia"/>
          <w:color w:val="231F20"/>
        </w:rPr>
        <w:t>In that era, the world will experience “the first resurrection,” by which postmillennarians mean a “… restoration and vindication of the cause for which the martyrs died” (J. J. Davis), or “a rebirth of the martyr spirit” (A. Strong).</w:t>
      </w:r>
    </w:p>
    <w:p w14:paraId="492F6B0A">
      <w:pPr>
        <w:pStyle w:val="9"/>
        <w:spacing w:after="0" w:line="249" w:lineRule="auto"/>
        <w:rPr>
          <w:rFonts w:hint="eastAsia"/>
          <w:color w:val="231F20"/>
        </w:rPr>
      </w:pPr>
      <w:r>
        <w:rPr>
          <w:rFonts w:hint="eastAsia"/>
          <w:color w:val="231F20"/>
        </w:rPr>
        <w:t>在那个时代，世界将经历“第一次复活”，后千禧年论者认为这是指“……为殉道者所献身之事业的恢复和辩护”（J. J. 戴维斯），或“殉道精神的重生”（A. 斯特朗）。</w:t>
      </w:r>
    </w:p>
    <w:p w14:paraId="4E346380">
      <w:pPr>
        <w:pStyle w:val="9"/>
        <w:spacing w:after="0" w:line="249" w:lineRule="auto"/>
        <w:rPr>
          <w:rFonts w:hint="eastAsia"/>
          <w:color w:val="231F20"/>
        </w:rPr>
      </w:pPr>
    </w:p>
    <w:p w14:paraId="4A6A7576">
      <w:pPr>
        <w:pStyle w:val="9"/>
        <w:spacing w:after="0" w:line="249" w:lineRule="auto"/>
        <w:rPr>
          <w:rFonts w:hint="eastAsia"/>
          <w:color w:val="231F20"/>
        </w:rPr>
      </w:pPr>
      <w:r>
        <w:rPr>
          <w:rFonts w:hint="eastAsia"/>
          <w:color w:val="231F20"/>
        </w:rPr>
        <w:t>Vast numbers of millennial saints, now fully subject to the Spirit of the High King of Heaven, will reign victoriously on a peaceful and prosperous earth (20:4-6).4</w:t>
      </w:r>
    </w:p>
    <w:p w14:paraId="0B5EE3A7">
      <w:pPr>
        <w:pStyle w:val="9"/>
        <w:spacing w:after="0" w:line="249" w:lineRule="auto"/>
        <w:rPr>
          <w:rFonts w:hint="eastAsia"/>
          <w:color w:val="231F20"/>
        </w:rPr>
      </w:pPr>
      <w:r>
        <w:rPr>
          <w:rFonts w:hint="eastAsia"/>
          <w:color w:val="231F20"/>
        </w:rPr>
        <w:t>大量的千禧年圣徒，如今完全顺服于天上至高君王的灵，将在一个和平繁荣的地上得胜掌权（20:4-6）。4</w:t>
      </w:r>
    </w:p>
    <w:p w14:paraId="7EA5E7AD">
      <w:pPr>
        <w:pStyle w:val="9"/>
        <w:spacing w:after="0" w:line="249" w:lineRule="auto"/>
        <w:rPr>
          <w:rFonts w:hint="eastAsia"/>
          <w:color w:val="231F20"/>
        </w:rPr>
      </w:pPr>
    </w:p>
    <w:p w14:paraId="693553A6">
      <w:pPr>
        <w:pStyle w:val="9"/>
        <w:spacing w:after="0" w:line="249" w:lineRule="auto"/>
        <w:rPr>
          <w:rFonts w:hint="eastAsia"/>
          <w:color w:val="231F20"/>
        </w:rPr>
      </w:pPr>
      <w:r>
        <w:rPr>
          <w:rFonts w:hint="eastAsia"/>
          <w:color w:val="231F20"/>
        </w:rPr>
        <w:t>At the close of the Millennium, this global victory will seem, for the briefest of moments, to end in defeat, as Satan is released from his prison and leads multitudes against the faithful people of God.</w:t>
      </w:r>
    </w:p>
    <w:p w14:paraId="29FAB797">
      <w:pPr>
        <w:pStyle w:val="9"/>
        <w:spacing w:after="0" w:line="249" w:lineRule="auto"/>
        <w:rPr>
          <w:rFonts w:hint="eastAsia"/>
          <w:color w:val="231F20"/>
        </w:rPr>
      </w:pPr>
      <w:r>
        <w:rPr>
          <w:rFonts w:hint="eastAsia"/>
          <w:color w:val="231F20"/>
        </w:rPr>
        <w:t>在千禧年的末了，这场全球性的胜利似乎会在最短暂的片刻间以失败告终，因为撒但从他的监牢里被释放，并带领众人攻击神忠信的子民。</w:t>
      </w:r>
    </w:p>
    <w:p w14:paraId="35B7DE42">
      <w:pPr>
        <w:pStyle w:val="9"/>
        <w:spacing w:after="0" w:line="249" w:lineRule="auto"/>
        <w:rPr>
          <w:rFonts w:hint="eastAsia"/>
          <w:color w:val="231F20"/>
        </w:rPr>
      </w:pPr>
    </w:p>
    <w:p w14:paraId="77AFFF28">
      <w:pPr>
        <w:pStyle w:val="9"/>
        <w:spacing w:after="0" w:line="249" w:lineRule="auto"/>
        <w:rPr>
          <w:rFonts w:hint="eastAsia"/>
          <w:color w:val="231F20"/>
        </w:rPr>
      </w:pPr>
      <w:r>
        <w:rPr>
          <w:rFonts w:hint="eastAsia"/>
          <w:color w:val="231F20"/>
        </w:rPr>
        <w:t>However, at his Parousia, Christ will swiftly intervene to destroy his enemies (20:7-10).</w:t>
      </w:r>
    </w:p>
    <w:p w14:paraId="3B658FB7">
      <w:pPr>
        <w:pStyle w:val="9"/>
        <w:spacing w:after="0" w:line="249" w:lineRule="auto"/>
        <w:rPr>
          <w:rFonts w:hint="eastAsia"/>
          <w:color w:val="231F20"/>
        </w:rPr>
      </w:pPr>
      <w:r>
        <w:rPr>
          <w:rFonts w:hint="eastAsia"/>
          <w:color w:val="231F20"/>
        </w:rPr>
        <w:t>然而，在祂的再来时，基督将迅速介入，摧毁祂的仇敌（20:7-10）。</w:t>
      </w:r>
    </w:p>
    <w:p w14:paraId="26F932CA">
      <w:pPr>
        <w:pStyle w:val="9"/>
        <w:spacing w:after="0" w:line="249" w:lineRule="auto"/>
        <w:rPr>
          <w:rFonts w:hint="eastAsia"/>
          <w:color w:val="231F20"/>
        </w:rPr>
      </w:pPr>
    </w:p>
    <w:p w14:paraId="2412A5A0">
      <w:pPr>
        <w:pStyle w:val="9"/>
        <w:spacing w:after="0" w:line="249" w:lineRule="auto"/>
        <w:rPr>
          <w:rFonts w:hint="eastAsia"/>
          <w:color w:val="231F20"/>
        </w:rPr>
      </w:pPr>
      <w:r>
        <w:rPr>
          <w:rFonts w:hint="eastAsia"/>
          <w:color w:val="231F20"/>
        </w:rPr>
        <w:t>This brings on the Last Judgment (20:12-15), which in turn brings in the new heavens and the new earth (21:1-22:21).</w:t>
      </w:r>
    </w:p>
    <w:p w14:paraId="17AC3643">
      <w:pPr>
        <w:pStyle w:val="9"/>
        <w:spacing w:after="0" w:line="249" w:lineRule="auto"/>
        <w:rPr>
          <w:rFonts w:hint="eastAsia"/>
          <w:color w:val="231F20"/>
        </w:rPr>
      </w:pPr>
      <w:r>
        <w:rPr>
          <w:rFonts w:hint="eastAsia"/>
          <w:color w:val="231F20"/>
        </w:rPr>
        <w:t>这带来了最后的审判（20:12-15），继而又带来了新天新地（21:1-22:21）。</w:t>
      </w:r>
    </w:p>
    <w:p w14:paraId="4D104655">
      <w:pPr>
        <w:pStyle w:val="9"/>
        <w:spacing w:after="0" w:line="249" w:lineRule="auto"/>
        <w:rPr>
          <w:rFonts w:hint="eastAsia"/>
          <w:color w:val="231F20"/>
        </w:rPr>
      </w:pPr>
    </w:p>
    <w:p w14:paraId="58C1810F">
      <w:pPr>
        <w:pStyle w:val="9"/>
        <w:spacing w:after="0" w:line="249" w:lineRule="auto"/>
        <w:rPr>
          <w:rFonts w:hint="eastAsia"/>
          <w:color w:val="231F20"/>
        </w:rPr>
      </w:pPr>
      <w:r>
        <w:rPr>
          <w:rFonts w:hint="eastAsia"/>
          <w:color w:val="231F20"/>
        </w:rPr>
        <w:t>By my lights, this is a serious misreading of the Revelation.</w:t>
      </w:r>
    </w:p>
    <w:p w14:paraId="7E042E34">
      <w:pPr>
        <w:pStyle w:val="9"/>
        <w:spacing w:after="0" w:line="249" w:lineRule="auto"/>
        <w:rPr>
          <w:rFonts w:hint="eastAsia"/>
          <w:color w:val="231F20"/>
        </w:rPr>
      </w:pPr>
      <w:r>
        <w:rPr>
          <w:rFonts w:hint="eastAsia"/>
          <w:color w:val="231F20"/>
        </w:rPr>
        <w:t>在我看来，这是对启示录的严重误读。</w:t>
      </w:r>
    </w:p>
    <w:p w14:paraId="0292737B">
      <w:pPr>
        <w:pStyle w:val="9"/>
        <w:spacing w:after="0" w:line="249" w:lineRule="auto"/>
        <w:rPr>
          <w:rFonts w:hint="eastAsia"/>
          <w:color w:val="231F20"/>
        </w:rPr>
      </w:pPr>
    </w:p>
    <w:p w14:paraId="7A67AA73">
      <w:pPr>
        <w:pStyle w:val="9"/>
        <w:spacing w:after="0" w:line="249" w:lineRule="auto"/>
        <w:rPr>
          <w:rFonts w:hint="eastAsia"/>
          <w:color w:val="231F20"/>
        </w:rPr>
      </w:pPr>
      <w:r>
        <w:rPr>
          <w:rFonts w:hint="eastAsia"/>
          <w:color w:val="231F20"/>
        </w:rPr>
        <w:t>As I argued earlier, Revelation 20 runs parallel to Revelation 17-19, and does not follow it chronologically.</w:t>
      </w:r>
    </w:p>
    <w:p w14:paraId="17DF5E92">
      <w:pPr>
        <w:pStyle w:val="9"/>
        <w:spacing w:after="0" w:line="249" w:lineRule="auto"/>
        <w:rPr>
          <w:rFonts w:hint="eastAsia"/>
          <w:color w:val="231F20"/>
        </w:rPr>
      </w:pPr>
      <w:r>
        <w:rPr>
          <w:rFonts w:hint="eastAsia"/>
          <w:color w:val="231F20"/>
        </w:rPr>
        <w:t>正如我之前所论证的，启示录第20章与启示录17-19章是平行的，而不是按时间顺序跟在其后。</w:t>
      </w:r>
    </w:p>
    <w:p w14:paraId="68EB8128">
      <w:pPr>
        <w:pStyle w:val="9"/>
        <w:spacing w:after="0" w:line="249" w:lineRule="auto"/>
        <w:rPr>
          <w:rFonts w:hint="eastAsia"/>
          <w:color w:val="231F20"/>
        </w:rPr>
      </w:pPr>
    </w:p>
    <w:p w14:paraId="0093827A">
      <w:pPr>
        <w:pStyle w:val="9"/>
        <w:spacing w:after="0" w:line="249" w:lineRule="auto"/>
        <w:rPr>
          <w:rFonts w:hint="eastAsia"/>
          <w:color w:val="231F20"/>
        </w:rPr>
      </w:pPr>
      <w:r>
        <w:rPr>
          <w:rFonts w:hint="eastAsia"/>
          <w:color w:val="231F20"/>
        </w:rPr>
        <w:t>Revelation 19:11-21 most certainly does give us the Parousia, as do 6:12-17, 11:11-19, 14:14-20 and 20:10-15.</w:t>
      </w:r>
    </w:p>
    <w:p w14:paraId="175130BE">
      <w:pPr>
        <w:pStyle w:val="9"/>
        <w:spacing w:after="0" w:line="249" w:lineRule="auto"/>
        <w:rPr>
          <w:rFonts w:hint="eastAsia"/>
          <w:color w:val="231F20"/>
        </w:rPr>
      </w:pPr>
      <w:r>
        <w:rPr>
          <w:rFonts w:hint="eastAsia"/>
          <w:color w:val="231F20"/>
        </w:rPr>
        <w:t>启示录19:11-21确实向我们展示了主的再来，就像6:12-17, 11:11-19, 14:14-20和20:10-15一样。</w:t>
      </w:r>
    </w:p>
    <w:p w14:paraId="5812D506">
      <w:pPr>
        <w:pStyle w:val="9"/>
        <w:spacing w:after="0" w:line="249" w:lineRule="auto"/>
        <w:rPr>
          <w:rFonts w:hint="eastAsia"/>
          <w:color w:val="231F20"/>
        </w:rPr>
      </w:pPr>
    </w:p>
    <w:p w14:paraId="26AF7232">
      <w:pPr>
        <w:pStyle w:val="9"/>
        <w:spacing w:after="0" w:line="249" w:lineRule="auto"/>
        <w:rPr>
          <w:rFonts w:hint="eastAsia"/>
          <w:color w:val="231F20"/>
        </w:rPr>
      </w:pPr>
      <w:r>
        <w:rPr>
          <w:rFonts w:hint="eastAsia"/>
          <w:color w:val="231F20"/>
        </w:rPr>
        <w:t>The binding of Satan took place at the beginning of the Era of Proclamation, through Christ’s work on the Cross; it is not still future, even to us who live 2000 years into that era (Mt. 12:29, John 12:31, Col. 2:15, 1 peter 3:22, Rev. 12:7f)!</w:t>
      </w:r>
    </w:p>
    <w:p w14:paraId="138A9A9C">
      <w:pPr>
        <w:pStyle w:val="9"/>
        <w:spacing w:after="0" w:line="249" w:lineRule="auto"/>
        <w:rPr>
          <w:rFonts w:hint="eastAsia"/>
          <w:color w:val="231F20"/>
        </w:rPr>
      </w:pPr>
      <w:r>
        <w:rPr>
          <w:rFonts w:hint="eastAsia"/>
          <w:color w:val="231F20"/>
        </w:rPr>
        <w:t>撒但的捆绑发生在传讲时代的开始，是通过基督在十字架上的工作完成的；它并非仍在将来，即使对我们这些已经活在这个时代2000年的人来说也不是（太12:29，约12:31，西2:15，彼前3:22，启12:7及以下）！</w:t>
      </w:r>
    </w:p>
    <w:p w14:paraId="2F7BB0AF">
      <w:pPr>
        <w:pStyle w:val="9"/>
        <w:spacing w:after="0" w:line="249" w:lineRule="auto"/>
        <w:rPr>
          <w:rFonts w:hint="eastAsia"/>
          <w:color w:val="231F20"/>
        </w:rPr>
      </w:pPr>
    </w:p>
    <w:p w14:paraId="6FA7E64F">
      <w:pPr>
        <w:pStyle w:val="9"/>
        <w:spacing w:after="0" w:line="249" w:lineRule="auto"/>
        <w:rPr>
          <w:rFonts w:hint="eastAsia"/>
          <w:color w:val="231F20"/>
        </w:rPr>
      </w:pPr>
      <w:r>
        <w:rPr>
          <w:rFonts w:hint="eastAsia"/>
          <w:color w:val="231F20"/>
        </w:rPr>
        <w:t>The first resurrection is not a revival of the martyr’s cause or spirit, but the attainment of the joys of the Intermediate State by the spirits of the saints who die in the Lord (Rev. 14:13).</w:t>
      </w:r>
    </w:p>
    <w:p w14:paraId="07380503">
      <w:pPr>
        <w:pStyle w:val="9"/>
        <w:spacing w:after="0" w:line="249" w:lineRule="auto"/>
        <w:rPr>
          <w:rFonts w:hint="eastAsia"/>
          <w:color w:val="231F20"/>
        </w:rPr>
      </w:pPr>
      <w:r>
        <w:rPr>
          <w:rFonts w:hint="eastAsia"/>
          <w:color w:val="231F20"/>
        </w:rPr>
        <w:t>第一次复活不是殉道者事业或精神的复兴，而是那些在主里死的圣徒的灵魂，获得了居间状态的喜乐（启14:13）。</w:t>
      </w:r>
    </w:p>
    <w:p w14:paraId="7D35EC43">
      <w:pPr>
        <w:pStyle w:val="9"/>
        <w:spacing w:after="0" w:line="249" w:lineRule="auto"/>
        <w:rPr>
          <w:rFonts w:hint="eastAsia"/>
          <w:color w:val="231F20"/>
        </w:rPr>
      </w:pPr>
    </w:p>
    <w:p w14:paraId="15E8B918">
      <w:pPr>
        <w:pStyle w:val="9"/>
        <w:spacing w:after="0" w:line="249" w:lineRule="auto"/>
        <w:rPr>
          <w:rFonts w:hint="eastAsia"/>
          <w:color w:val="231F20"/>
        </w:rPr>
      </w:pPr>
      <w:r>
        <w:rPr>
          <w:rFonts w:hint="eastAsia"/>
          <w:color w:val="231F20"/>
        </w:rPr>
        <w:t>And finally, the millennial reign of the saints does not take place upon the earth, but rather in heaven, where the sprits of the saints reign in life with Christ, even as they await the final triumph of life at “the second resurrection”: the resurrection of the body on the Day of the Lord Jesus Christ (Rom. 5:17, 1 Cor. 15:1f, Rev. 20:11-15).</w:t>
      </w:r>
    </w:p>
    <w:p w14:paraId="7BBBC5B2">
      <w:pPr>
        <w:pStyle w:val="9"/>
        <w:spacing w:after="0" w:line="249" w:lineRule="auto"/>
        <w:rPr>
          <w:rFonts w:hint="eastAsia"/>
          <w:color w:val="231F20"/>
        </w:rPr>
      </w:pPr>
      <w:r>
        <w:rPr>
          <w:rFonts w:hint="eastAsia"/>
          <w:color w:val="231F20"/>
        </w:rPr>
        <w:t>最后，圣徒的千禧年掌权不是发生在地上，而是在天上，在那里圣徒的灵魂与基督一同在生命中作王，同时他们也等候着在“第二次复活”时生命的最终得胜：即在主耶稣基督的日子身体的复活（罗5:17，林前15:1及以下，启20:11-15）。</w:t>
      </w:r>
    </w:p>
    <w:p w14:paraId="7B554EA7">
      <w:pPr>
        <w:pStyle w:val="9"/>
        <w:spacing w:after="0" w:line="249" w:lineRule="auto"/>
        <w:rPr>
          <w:rFonts w:hint="eastAsia"/>
          <w:color w:val="231F20"/>
        </w:rPr>
      </w:pPr>
    </w:p>
    <w:p w14:paraId="18259E03">
      <w:pPr>
        <w:pStyle w:val="9"/>
        <w:spacing w:after="0" w:line="249" w:lineRule="auto"/>
        <w:rPr>
          <w:rFonts w:hint="eastAsia"/>
          <w:color w:val="231F20"/>
        </w:rPr>
      </w:pPr>
      <w:r>
        <w:rPr>
          <w:rFonts w:hint="eastAsia"/>
          <w:color w:val="231F20"/>
        </w:rPr>
        <w:t>Conclusion</w:t>
      </w:r>
    </w:p>
    <w:p w14:paraId="389C26FE">
      <w:pPr>
        <w:pStyle w:val="9"/>
        <w:spacing w:after="0" w:line="249" w:lineRule="auto"/>
        <w:rPr>
          <w:rFonts w:hint="eastAsia"/>
          <w:color w:val="231F20"/>
        </w:rPr>
      </w:pPr>
      <w:r>
        <w:rPr>
          <w:rFonts w:hint="eastAsia"/>
          <w:color w:val="231F20"/>
        </w:rPr>
        <w:t>结论</w:t>
      </w:r>
    </w:p>
    <w:p w14:paraId="36E28F1B">
      <w:pPr>
        <w:pStyle w:val="9"/>
        <w:spacing w:after="0" w:line="249" w:lineRule="auto"/>
        <w:rPr>
          <w:rFonts w:hint="eastAsia"/>
          <w:color w:val="231F20"/>
        </w:rPr>
      </w:pPr>
    </w:p>
    <w:p w14:paraId="16370E39">
      <w:pPr>
        <w:pStyle w:val="9"/>
        <w:spacing w:after="0" w:line="249" w:lineRule="auto"/>
        <w:rPr>
          <w:rFonts w:hint="eastAsia"/>
          <w:color w:val="231F20"/>
        </w:rPr>
      </w:pPr>
      <w:r>
        <w:rPr>
          <w:rFonts w:hint="eastAsia"/>
          <w:color w:val="231F20"/>
        </w:rPr>
        <w:t>Certainly we can be grateful to our postmillennarian brethren when they remind us that God has destined the Gospel to triumph in the earth; that it will indeed redeem a great multitude of believers out of every tribe, tongue, people and nation (2 Cor. 2:14, Rev. 5:9, 7:9).</w:t>
      </w:r>
    </w:p>
    <w:p w14:paraId="7F9A9848">
      <w:pPr>
        <w:pStyle w:val="9"/>
        <w:spacing w:after="0" w:line="249" w:lineRule="auto"/>
        <w:rPr>
          <w:rFonts w:hint="eastAsia"/>
          <w:color w:val="231F20"/>
        </w:rPr>
      </w:pPr>
      <w:r>
        <w:rPr>
          <w:rFonts w:hint="eastAsia"/>
          <w:color w:val="231F20"/>
        </w:rPr>
        <w:t>当然，当我们的后千禧年论弟兄提醒我们神已命定福音在地上得胜时，我们可以为此感恩；福音确实会从各部落、各方言、各民族、各国家中救赎一大群信徒（林后2:14，启5:9，7:9）。</w:t>
      </w:r>
    </w:p>
    <w:p w14:paraId="7207F065">
      <w:pPr>
        <w:pStyle w:val="9"/>
        <w:spacing w:after="0" w:line="249" w:lineRule="auto"/>
        <w:rPr>
          <w:rFonts w:hint="eastAsia"/>
          <w:color w:val="231F20"/>
        </w:rPr>
      </w:pPr>
    </w:p>
    <w:p w14:paraId="509B0D06">
      <w:pPr>
        <w:pStyle w:val="9"/>
        <w:spacing w:after="0" w:line="249" w:lineRule="auto"/>
        <w:rPr>
          <w:rFonts w:hint="eastAsia"/>
          <w:color w:val="231F20"/>
        </w:rPr>
      </w:pPr>
      <w:r>
        <w:rPr>
          <w:rFonts w:hint="eastAsia"/>
          <w:color w:val="231F20"/>
        </w:rPr>
        <w:t>And certainly we can affirm with them that the advance of Christ’s spiritual Kingdom both leavens and enlightens the evil world-system in such a way as to have positive impacts upon its various institutions, whether cultural, political, or economic (Matt. 5:13-16).</w:t>
      </w:r>
    </w:p>
    <w:p w14:paraId="0C21AB98">
      <w:pPr>
        <w:pStyle w:val="9"/>
        <w:spacing w:after="0" w:line="249" w:lineRule="auto"/>
        <w:rPr>
          <w:rFonts w:hint="eastAsia"/>
          <w:color w:val="231F20"/>
        </w:rPr>
      </w:pPr>
      <w:r>
        <w:rPr>
          <w:rFonts w:hint="eastAsia"/>
          <w:color w:val="231F20"/>
        </w:rPr>
        <w:t>我们当然可以与他们一同肯定，基督属灵国度的推进，既发酵又光照了邪恶的世界体系，从而对其各种制度——无论是文化的、政治的还是经济的——产生积极的影响（太5:13-16）。</w:t>
      </w:r>
    </w:p>
    <w:p w14:paraId="14423960">
      <w:pPr>
        <w:pStyle w:val="9"/>
        <w:spacing w:after="0" w:line="249" w:lineRule="auto"/>
        <w:rPr>
          <w:rFonts w:hint="eastAsia"/>
          <w:color w:val="231F20"/>
        </w:rPr>
      </w:pPr>
    </w:p>
    <w:p w14:paraId="077F3D0C">
      <w:pPr>
        <w:pStyle w:val="9"/>
        <w:spacing w:after="0" w:line="249" w:lineRule="auto"/>
        <w:rPr>
          <w:rFonts w:hint="eastAsia"/>
          <w:color w:val="231F20"/>
        </w:rPr>
      </w:pPr>
      <w:r>
        <w:rPr>
          <w:rFonts w:hint="eastAsia"/>
          <w:color w:val="231F20"/>
        </w:rPr>
        <w:t>By all means, then, let individual Christians serve their Lord in every legitimate sphere of life, and let them be grateful whenever their presence produces a measure of change for the good (John 17:15).</w:t>
      </w:r>
    </w:p>
    <w:p w14:paraId="394E2B2B">
      <w:pPr>
        <w:pStyle w:val="9"/>
        <w:spacing w:after="0" w:line="249" w:lineRule="auto"/>
        <w:rPr>
          <w:rFonts w:hint="eastAsia"/>
          <w:color w:val="231F20"/>
        </w:rPr>
      </w:pPr>
      <w:r>
        <w:rPr>
          <w:rFonts w:hint="eastAsia"/>
          <w:color w:val="231F20"/>
        </w:rPr>
        <w:t>因此，务要让个别基督徒在生命中每个合法的领域服事他们的主，并且每当他们的存在为善带来一定程度的改变时，都让他们心存感恩（约17:15）。</w:t>
      </w:r>
    </w:p>
    <w:p w14:paraId="032B73FA">
      <w:pPr>
        <w:pStyle w:val="9"/>
        <w:spacing w:after="0" w:line="249" w:lineRule="auto"/>
        <w:rPr>
          <w:rFonts w:hint="eastAsia"/>
          <w:color w:val="231F20"/>
        </w:rPr>
      </w:pPr>
    </w:p>
    <w:p w14:paraId="37BF58A9">
      <w:pPr>
        <w:pStyle w:val="9"/>
        <w:spacing w:after="0" w:line="249" w:lineRule="auto"/>
        <w:rPr>
          <w:rFonts w:hint="eastAsia"/>
          <w:color w:val="231F20"/>
        </w:rPr>
      </w:pPr>
      <w:r>
        <w:rPr>
          <w:rFonts w:hint="eastAsia"/>
          <w:color w:val="231F20"/>
        </w:rPr>
        <w:t>Yet for all this, postmillennialism remains a seriously flawed eschatology, perhaps even dangerously so.</w:t>
      </w:r>
    </w:p>
    <w:p w14:paraId="61FD3B3E">
      <w:pPr>
        <w:pStyle w:val="9"/>
        <w:spacing w:after="0" w:line="249" w:lineRule="auto"/>
        <w:rPr>
          <w:rFonts w:hint="eastAsia"/>
          <w:color w:val="231F20"/>
        </w:rPr>
      </w:pPr>
      <w:r>
        <w:rPr>
          <w:rFonts w:hint="eastAsia"/>
          <w:color w:val="231F20"/>
        </w:rPr>
        <w:t>然而，尽管如此，后千禧年论仍然是一个有严重缺陷的末世论，甚至可能是危险的。</w:t>
      </w:r>
    </w:p>
    <w:p w14:paraId="7A253D73">
      <w:pPr>
        <w:pStyle w:val="9"/>
        <w:spacing w:after="0" w:line="249" w:lineRule="auto"/>
        <w:rPr>
          <w:rFonts w:hint="eastAsia"/>
          <w:color w:val="231F20"/>
        </w:rPr>
      </w:pPr>
    </w:p>
    <w:p w14:paraId="2778E24E">
      <w:pPr>
        <w:pStyle w:val="9"/>
        <w:spacing w:after="0" w:line="249" w:lineRule="auto"/>
        <w:rPr>
          <w:rFonts w:hint="eastAsia"/>
          <w:color w:val="231F20"/>
        </w:rPr>
      </w:pPr>
      <w:r>
        <w:rPr>
          <w:rFonts w:hint="eastAsia"/>
          <w:color w:val="231F20"/>
        </w:rPr>
        <w:t>Its root problem is that it fails to understand God’s true purpose in the Era of Proclamation, and therefore the true character of that era.</w:t>
      </w:r>
    </w:p>
    <w:p w14:paraId="234289B5">
      <w:pPr>
        <w:pStyle w:val="9"/>
        <w:spacing w:after="0" w:line="249" w:lineRule="auto"/>
        <w:rPr>
          <w:rFonts w:hint="eastAsia"/>
          <w:color w:val="231F20"/>
        </w:rPr>
      </w:pPr>
      <w:r>
        <w:rPr>
          <w:rFonts w:hint="eastAsia"/>
          <w:color w:val="231F20"/>
        </w:rPr>
        <w:t>其根本问题在于，它未能理解神在传讲时代的真正目的，因此也未能理解那个时代的真正特征。</w:t>
      </w:r>
    </w:p>
    <w:p w14:paraId="751FAC1C">
      <w:pPr>
        <w:pStyle w:val="9"/>
        <w:spacing w:after="0" w:line="249" w:lineRule="auto"/>
        <w:rPr>
          <w:rFonts w:hint="eastAsia"/>
          <w:color w:val="231F20"/>
        </w:rPr>
      </w:pPr>
    </w:p>
    <w:p w14:paraId="2EA93334">
      <w:pPr>
        <w:pStyle w:val="9"/>
        <w:spacing w:after="0" w:line="249" w:lineRule="auto"/>
        <w:rPr>
          <w:rFonts w:hint="eastAsia"/>
          <w:color w:val="231F20"/>
        </w:rPr>
      </w:pPr>
      <w:r>
        <w:rPr>
          <w:rFonts w:hint="eastAsia"/>
          <w:color w:val="231F20"/>
        </w:rPr>
        <w:t>God’s true purpose is not to Christianize the Domain of Darkness, but rather to rescue a chosen people out of it and to transfer them into the Kingdom of his beloved Son (Gal. 1:4, Col. 1:13).</w:t>
      </w:r>
    </w:p>
    <w:p w14:paraId="09EBEE01">
      <w:pPr>
        <w:pStyle w:val="9"/>
        <w:spacing w:after="0" w:line="249" w:lineRule="auto"/>
        <w:rPr>
          <w:rFonts w:hint="eastAsia"/>
          <w:color w:val="231F20"/>
        </w:rPr>
      </w:pPr>
      <w:r>
        <w:rPr>
          <w:rFonts w:hint="eastAsia"/>
          <w:color w:val="231F20"/>
        </w:rPr>
        <w:t>神真正的目的不是要使黑暗的权势基督教化，而是要从中拯救出一群被拣选的子民，并将他们迁到祂爱子的国里（加1:4，西1:13）。</w:t>
      </w:r>
    </w:p>
    <w:p w14:paraId="7D915677">
      <w:pPr>
        <w:pStyle w:val="9"/>
        <w:spacing w:after="0" w:line="249" w:lineRule="auto"/>
        <w:rPr>
          <w:rFonts w:hint="eastAsia"/>
          <w:color w:val="231F20"/>
        </w:rPr>
      </w:pPr>
    </w:p>
    <w:p w14:paraId="7418A7D0">
      <w:pPr>
        <w:pStyle w:val="9"/>
        <w:spacing w:after="0" w:line="249" w:lineRule="auto"/>
        <w:rPr>
          <w:rFonts w:hint="eastAsia"/>
          <w:color w:val="231F20"/>
        </w:rPr>
      </w:pPr>
      <w:r>
        <w:rPr>
          <w:rFonts w:hint="eastAsia"/>
          <w:color w:val="231F20"/>
        </w:rPr>
        <w:t>This means that, from beginning to end, Christ’s Kingdom and Satan’s kingdom are in constant contact and conflict; that the Era of Proclamation is, above all else, a spiritual battlefield upon which we shall ever see a cosmic clash of the kingdoms.</w:t>
      </w:r>
    </w:p>
    <w:p w14:paraId="1DF78A28">
      <w:pPr>
        <w:pStyle w:val="9"/>
        <w:spacing w:after="0" w:line="249" w:lineRule="auto"/>
        <w:rPr>
          <w:rFonts w:hint="eastAsia"/>
          <w:color w:val="231F20"/>
        </w:rPr>
      </w:pPr>
      <w:r>
        <w:rPr>
          <w:rFonts w:hint="eastAsia"/>
          <w:color w:val="231F20"/>
        </w:rPr>
        <w:t>这意味着，从始至终，基督的国和撒但的国都处于持续的接触和冲突中；传讲的时代，首先是一个属灵的战场，我们将在其上永远看到一场宇宙性的国度冲突。</w:t>
      </w:r>
    </w:p>
    <w:p w14:paraId="53758BDC">
      <w:pPr>
        <w:pStyle w:val="9"/>
        <w:spacing w:after="0" w:line="249" w:lineRule="auto"/>
        <w:rPr>
          <w:rFonts w:hint="eastAsia"/>
          <w:color w:val="231F20"/>
        </w:rPr>
      </w:pPr>
    </w:p>
    <w:p w14:paraId="722CD40C">
      <w:pPr>
        <w:pStyle w:val="9"/>
        <w:spacing w:after="0" w:line="249" w:lineRule="auto"/>
        <w:rPr>
          <w:rFonts w:hint="eastAsia"/>
          <w:color w:val="231F20"/>
        </w:rPr>
      </w:pPr>
      <w:r>
        <w:rPr>
          <w:rFonts w:hint="eastAsia"/>
          <w:color w:val="231F20"/>
        </w:rPr>
        <w:t>If received, the unbiblical doctrine of a future Golden Era will seriously undermine the spiritual health of the saints.</w:t>
      </w:r>
    </w:p>
    <w:p w14:paraId="53C7B4A6">
      <w:pPr>
        <w:pStyle w:val="9"/>
        <w:spacing w:after="0" w:line="249" w:lineRule="auto"/>
        <w:rPr>
          <w:rFonts w:hint="eastAsia"/>
          <w:color w:val="231F20"/>
        </w:rPr>
      </w:pPr>
      <w:r>
        <w:rPr>
          <w:rFonts w:hint="eastAsia"/>
          <w:color w:val="231F20"/>
        </w:rPr>
        <w:t>如果接受了未来黄金时代这个不合圣经的教义，将会严重损害圣徒的属灵健康。</w:t>
      </w:r>
    </w:p>
    <w:p w14:paraId="20D691F9">
      <w:pPr>
        <w:pStyle w:val="9"/>
        <w:spacing w:after="0" w:line="249" w:lineRule="auto"/>
        <w:rPr>
          <w:rFonts w:hint="eastAsia"/>
          <w:color w:val="231F20"/>
        </w:rPr>
      </w:pPr>
    </w:p>
    <w:p w14:paraId="2B5C7424">
      <w:pPr>
        <w:pStyle w:val="9"/>
        <w:spacing w:after="0" w:line="249" w:lineRule="auto"/>
        <w:rPr>
          <w:rFonts w:hint="eastAsia"/>
          <w:color w:val="231F20"/>
        </w:rPr>
      </w:pPr>
      <w:r>
        <w:rPr>
          <w:rFonts w:hint="eastAsia"/>
          <w:color w:val="231F20"/>
        </w:rPr>
        <w:t>It sets them up for disappointment and frustration, since the Era they dream of will never come, no matter how hard they toil for it.</w:t>
      </w:r>
    </w:p>
    <w:p w14:paraId="1BAC51FB">
      <w:pPr>
        <w:pStyle w:val="9"/>
        <w:spacing w:after="0" w:line="249" w:lineRule="auto"/>
        <w:rPr>
          <w:rFonts w:hint="eastAsia"/>
          <w:color w:val="231F20"/>
        </w:rPr>
      </w:pPr>
      <w:r>
        <w:rPr>
          <w:rFonts w:hint="eastAsia"/>
          <w:color w:val="231F20"/>
        </w:rPr>
        <w:t>它使他们注定要失望和沮丧，因为他们梦想的时代永远不会到来，无论他们为此多么努力地劳苦。</w:t>
      </w:r>
    </w:p>
    <w:p w14:paraId="2DED123E">
      <w:pPr>
        <w:pStyle w:val="9"/>
        <w:spacing w:after="0" w:line="249" w:lineRule="auto"/>
        <w:rPr>
          <w:rFonts w:hint="eastAsia"/>
          <w:color w:val="231F20"/>
        </w:rPr>
      </w:pPr>
    </w:p>
    <w:p w14:paraId="05F4A42F">
      <w:pPr>
        <w:pStyle w:val="9"/>
        <w:spacing w:after="0" w:line="249" w:lineRule="auto"/>
        <w:rPr>
          <w:rFonts w:hint="eastAsia"/>
          <w:color w:val="231F20"/>
        </w:rPr>
      </w:pPr>
      <w:r>
        <w:rPr>
          <w:rFonts w:hint="eastAsia"/>
          <w:color w:val="231F20"/>
        </w:rPr>
        <w:t>It distracts them from their true mission, which is not to transform the world-system, but simply to preach the Gospel, so that God may gather his chosen people out of it.</w:t>
      </w:r>
    </w:p>
    <w:p w14:paraId="532AE147">
      <w:pPr>
        <w:pStyle w:val="9"/>
        <w:spacing w:after="0" w:line="249" w:lineRule="auto"/>
        <w:rPr>
          <w:rFonts w:hint="eastAsia"/>
          <w:color w:val="231F20"/>
        </w:rPr>
      </w:pPr>
      <w:r>
        <w:rPr>
          <w:rFonts w:hint="eastAsia"/>
          <w:color w:val="231F20"/>
        </w:rPr>
        <w:t>它使他们偏离了真正的使命，这使命不是要改造世界体系，而只是传讲福音，好让神可以从中召聚祂所拣选的子民。</w:t>
      </w:r>
    </w:p>
    <w:p w14:paraId="26B94026">
      <w:pPr>
        <w:pStyle w:val="9"/>
        <w:spacing w:after="0" w:line="249" w:lineRule="auto"/>
        <w:rPr>
          <w:rFonts w:hint="eastAsia"/>
          <w:color w:val="231F20"/>
        </w:rPr>
      </w:pPr>
    </w:p>
    <w:p w14:paraId="19071CA7">
      <w:pPr>
        <w:pStyle w:val="9"/>
        <w:spacing w:after="0" w:line="249" w:lineRule="auto"/>
        <w:rPr>
          <w:rFonts w:hint="eastAsia"/>
          <w:color w:val="231F20"/>
        </w:rPr>
      </w:pPr>
      <w:r>
        <w:rPr>
          <w:rFonts w:hint="eastAsia"/>
          <w:color w:val="231F20"/>
        </w:rPr>
        <w:t>It distorts the believer’s hope, focusing it upon an illusory stage of Church history rather than upon the Consummation at Christ’s return (1 Peter 1:13).</w:t>
      </w:r>
    </w:p>
    <w:p w14:paraId="35E5FDA1">
      <w:pPr>
        <w:pStyle w:val="9"/>
        <w:spacing w:after="0" w:line="249" w:lineRule="auto"/>
        <w:rPr>
          <w:rFonts w:hint="eastAsia"/>
          <w:color w:val="231F20"/>
        </w:rPr>
      </w:pPr>
      <w:r>
        <w:rPr>
          <w:rFonts w:hint="eastAsia"/>
          <w:color w:val="231F20"/>
        </w:rPr>
        <w:t>它扭曲了信徒的盼望，将其聚焦于一个虚幻的教会历史阶段，而不是在基督再来时的结局上（彼前1:13）。</w:t>
      </w:r>
    </w:p>
    <w:p w14:paraId="7A9AE8D2">
      <w:pPr>
        <w:pStyle w:val="9"/>
        <w:spacing w:after="0" w:line="249" w:lineRule="auto"/>
        <w:rPr>
          <w:rFonts w:hint="eastAsia"/>
          <w:color w:val="231F20"/>
        </w:rPr>
      </w:pPr>
    </w:p>
    <w:p w14:paraId="780D2154">
      <w:pPr>
        <w:pStyle w:val="9"/>
        <w:spacing w:after="0" w:line="249" w:lineRule="auto"/>
        <w:rPr>
          <w:rFonts w:hint="eastAsia"/>
          <w:color w:val="231F20"/>
        </w:rPr>
      </w:pPr>
      <w:r>
        <w:rPr>
          <w:rFonts w:hint="eastAsia"/>
          <w:color w:val="231F20"/>
        </w:rPr>
        <w:t>It fails to prepare the Church for inevitable persecution, and also to warn her against the perils of the rising tide of lawlessness that will characterize the last of the last days (Mt. 24:12).</w:t>
      </w:r>
    </w:p>
    <w:p w14:paraId="1A100CB9">
      <w:pPr>
        <w:pStyle w:val="9"/>
        <w:spacing w:after="0" w:line="249" w:lineRule="auto"/>
        <w:rPr>
          <w:rFonts w:hint="eastAsia"/>
          <w:color w:val="231F20"/>
        </w:rPr>
      </w:pPr>
      <w:r>
        <w:rPr>
          <w:rFonts w:hint="eastAsia"/>
          <w:color w:val="231F20"/>
        </w:rPr>
        <w:t>它未能使教会为不可避免的迫害做好准备，也未能警告她防备那将成为末世中末了特征的、日益高涨的无法无天浪潮的危险（太24:12）。</w:t>
      </w:r>
    </w:p>
    <w:p w14:paraId="4F187419">
      <w:pPr>
        <w:pStyle w:val="9"/>
        <w:spacing w:after="0" w:line="249" w:lineRule="auto"/>
        <w:rPr>
          <w:rFonts w:hint="eastAsia"/>
          <w:color w:val="231F20"/>
        </w:rPr>
      </w:pPr>
    </w:p>
    <w:p w14:paraId="6B2A8CC1">
      <w:pPr>
        <w:pStyle w:val="9"/>
        <w:spacing w:after="0" w:line="249" w:lineRule="auto"/>
        <w:rPr>
          <w:rFonts w:hint="eastAsia"/>
          <w:color w:val="231F20"/>
        </w:rPr>
      </w:pPr>
      <w:r>
        <w:rPr>
          <w:rFonts w:hint="eastAsia"/>
          <w:color w:val="231F20"/>
        </w:rPr>
        <w:t>And again, it effectively robs her of the three great signs by which she may know that the Coming of her Lord is at hand: the completion of the Great Commission, the conversion of ethnic Israel, and the Last Battle.</w:t>
      </w:r>
    </w:p>
    <w:p w14:paraId="4C5E2B61">
      <w:pPr>
        <w:pStyle w:val="9"/>
        <w:spacing w:after="0" w:line="249" w:lineRule="auto"/>
        <w:rPr>
          <w:rFonts w:hint="eastAsia"/>
          <w:color w:val="231F20"/>
        </w:rPr>
      </w:pPr>
      <w:r>
        <w:rPr>
          <w:rFonts w:hint="eastAsia"/>
          <w:color w:val="231F20"/>
        </w:rPr>
        <w:t>再者，它实际上剥夺了她可以藉以知晓她主的降临已近的三个大预兆：大使命的完成、种族上的以色列人的归信，以及最后的争战。</w:t>
      </w:r>
    </w:p>
    <w:p w14:paraId="40D07838">
      <w:pPr>
        <w:pStyle w:val="9"/>
        <w:spacing w:after="0" w:line="249" w:lineRule="auto"/>
        <w:rPr>
          <w:rFonts w:hint="eastAsia"/>
          <w:color w:val="231F20"/>
        </w:rPr>
      </w:pPr>
    </w:p>
    <w:p w14:paraId="798BE528">
      <w:pPr>
        <w:pStyle w:val="9"/>
        <w:spacing w:after="0" w:line="249" w:lineRule="auto"/>
        <w:rPr>
          <w:rFonts w:hint="eastAsia"/>
          <w:color w:val="231F20"/>
        </w:rPr>
      </w:pPr>
      <w:r>
        <w:rPr>
          <w:rFonts w:hint="eastAsia"/>
          <w:color w:val="231F20"/>
        </w:rPr>
        <w:t>For all these reasons, I would invite my postmillennial brethren to come home to your true birth mother, to the amillennial eschatology that begot you.</w:t>
      </w:r>
    </w:p>
    <w:p w14:paraId="52FF5ABF">
      <w:pPr>
        <w:pStyle w:val="9"/>
        <w:spacing w:after="0" w:line="249" w:lineRule="auto"/>
        <w:rPr>
          <w:rFonts w:hint="eastAsia"/>
          <w:color w:val="231F20"/>
        </w:rPr>
      </w:pPr>
      <w:r>
        <w:rPr>
          <w:rFonts w:hint="eastAsia"/>
          <w:color w:val="231F20"/>
        </w:rPr>
        <w:t>基于所有这些理由，我愿邀请我的后千禧年论弟兄们回家，回到你们真正的生母那里，回到那孕育了你们的无千禧年论末世论中。</w:t>
      </w:r>
    </w:p>
    <w:p w14:paraId="569E38BA">
      <w:pPr>
        <w:pStyle w:val="9"/>
        <w:spacing w:after="0" w:line="249" w:lineRule="auto"/>
        <w:rPr>
          <w:rFonts w:hint="eastAsia"/>
          <w:color w:val="231F20"/>
        </w:rPr>
      </w:pPr>
    </w:p>
    <w:p w14:paraId="5A9F2D4C">
      <w:pPr>
        <w:pStyle w:val="9"/>
        <w:spacing w:after="0" w:line="249" w:lineRule="auto"/>
        <w:rPr>
          <w:rFonts w:hint="eastAsia"/>
          <w:color w:val="231F20"/>
        </w:rPr>
      </w:pPr>
      <w:r>
        <w:rPr>
          <w:rFonts w:hint="eastAsia"/>
          <w:color w:val="231F20"/>
        </w:rPr>
        <w:t>Truly, she has prepared her table well, and is eager to forgive, forget, and savor all good things with her beloved sons.</w:t>
      </w:r>
    </w:p>
    <w:p w14:paraId="2EFADF95">
      <w:pPr>
        <w:pStyle w:val="9"/>
        <w:spacing w:after="0" w:line="249" w:lineRule="auto"/>
        <w:sectPr>
          <w:pgSz w:w="12240" w:h="15840"/>
          <w:pgMar w:top="1380" w:right="1440" w:bottom="280" w:left="1440" w:header="720" w:footer="720" w:gutter="0"/>
          <w:cols w:space="720" w:num="1"/>
        </w:sectPr>
      </w:pPr>
      <w:r>
        <w:rPr>
          <w:rFonts w:hint="eastAsia"/>
          <w:color w:val="231F20"/>
        </w:rPr>
        <w:t>真的，她已经摆好了丰盛的筵席，并渴望着原谅、忘记，并与她心爱的儿子们一同品味一切美善的事物。</w:t>
      </w:r>
    </w:p>
    <w:p w14:paraId="3CF0E9D4">
      <w:pPr>
        <w:pStyle w:val="2"/>
        <w:bidi w:val="0"/>
        <w:rPr>
          <w:rFonts w:hint="eastAsia"/>
        </w:rPr>
      </w:pPr>
      <w:bookmarkStart w:id="69" w:name="Appendix 3: A Critique of Dispensational"/>
      <w:bookmarkEnd w:id="69"/>
      <w:bookmarkStart w:id="70" w:name="_bookmark197"/>
      <w:bookmarkEnd w:id="70"/>
      <w:r>
        <w:rPr>
          <w:rFonts w:hint="eastAsia"/>
        </w:rPr>
        <w:t>Appendix 3</w:t>
      </w:r>
    </w:p>
    <w:p w14:paraId="7A942169">
      <w:pPr>
        <w:pStyle w:val="2"/>
        <w:bidi w:val="0"/>
        <w:rPr>
          <w:rFonts w:hint="eastAsia"/>
        </w:rPr>
      </w:pPr>
      <w:r>
        <w:rPr>
          <w:rFonts w:hint="eastAsia"/>
        </w:rPr>
        <w:t>附录3</w:t>
      </w:r>
    </w:p>
    <w:p w14:paraId="6BCD5611">
      <w:pPr>
        <w:pStyle w:val="9"/>
        <w:spacing w:before="108"/>
        <w:ind w:left="0"/>
        <w:jc w:val="left"/>
        <w:rPr>
          <w:rFonts w:hint="eastAsia"/>
          <w:sz w:val="30"/>
          <w:szCs w:val="30"/>
        </w:rPr>
      </w:pPr>
    </w:p>
    <w:p w14:paraId="7471C2E5">
      <w:pPr>
        <w:pStyle w:val="3"/>
        <w:bidi w:val="0"/>
        <w:rPr>
          <w:rFonts w:hint="eastAsia"/>
        </w:rPr>
      </w:pPr>
      <w:r>
        <w:rPr>
          <w:rFonts w:hint="eastAsia"/>
        </w:rPr>
        <w:t>A Critique of Dispensational Premillennialism</w:t>
      </w:r>
    </w:p>
    <w:p w14:paraId="2482DC63">
      <w:pPr>
        <w:pStyle w:val="3"/>
        <w:bidi w:val="0"/>
        <w:rPr>
          <w:rFonts w:hint="eastAsia"/>
        </w:rPr>
      </w:pPr>
      <w:r>
        <w:rPr>
          <w:rFonts w:hint="eastAsia"/>
        </w:rPr>
        <w:t>对时代论前千禧年论的批判</w:t>
      </w:r>
    </w:p>
    <w:p w14:paraId="6AB8026A">
      <w:pPr>
        <w:pStyle w:val="9"/>
        <w:spacing w:before="108"/>
        <w:ind w:left="0"/>
        <w:jc w:val="left"/>
        <w:rPr>
          <w:rFonts w:hint="eastAsia"/>
          <w:sz w:val="30"/>
          <w:szCs w:val="30"/>
        </w:rPr>
      </w:pPr>
    </w:p>
    <w:p w14:paraId="3DD68F73">
      <w:pPr>
        <w:pStyle w:val="9"/>
        <w:spacing w:before="108"/>
        <w:ind w:left="0"/>
        <w:jc w:val="left"/>
        <w:rPr>
          <w:rFonts w:hint="eastAsia"/>
          <w:sz w:val="30"/>
          <w:szCs w:val="30"/>
        </w:rPr>
      </w:pPr>
      <w:r>
        <w:rPr>
          <w:rFonts w:hint="eastAsia"/>
          <w:sz w:val="30"/>
          <w:szCs w:val="30"/>
        </w:rPr>
        <w:t>IN CHAPTER 3, I offered a brief history and theological overview of dispensational premillennialism.</w:t>
      </w:r>
    </w:p>
    <w:p w14:paraId="28F2D505">
      <w:pPr>
        <w:pStyle w:val="9"/>
        <w:spacing w:before="108"/>
        <w:ind w:left="0"/>
        <w:jc w:val="left"/>
        <w:rPr>
          <w:rFonts w:hint="eastAsia"/>
          <w:sz w:val="30"/>
          <w:szCs w:val="30"/>
        </w:rPr>
      </w:pPr>
      <w:r>
        <w:rPr>
          <w:rFonts w:hint="eastAsia"/>
          <w:sz w:val="30"/>
          <w:szCs w:val="30"/>
        </w:rPr>
        <w:t>在第3章中，我简要介绍了时代论前千禧年论的历史和神学概览。</w:t>
      </w:r>
    </w:p>
    <w:p w14:paraId="3FF3611B">
      <w:pPr>
        <w:pStyle w:val="9"/>
        <w:spacing w:before="108"/>
        <w:ind w:left="0"/>
        <w:jc w:val="left"/>
        <w:rPr>
          <w:rFonts w:hint="eastAsia"/>
          <w:sz w:val="30"/>
          <w:szCs w:val="30"/>
        </w:rPr>
      </w:pPr>
    </w:p>
    <w:p w14:paraId="1DF4DD3A">
      <w:pPr>
        <w:pStyle w:val="9"/>
        <w:spacing w:before="108"/>
        <w:ind w:left="0"/>
        <w:jc w:val="left"/>
        <w:rPr>
          <w:rFonts w:hint="eastAsia"/>
          <w:sz w:val="30"/>
          <w:szCs w:val="30"/>
        </w:rPr>
      </w:pPr>
      <w:r>
        <w:rPr>
          <w:rFonts w:hint="eastAsia"/>
          <w:sz w:val="30"/>
          <w:szCs w:val="30"/>
        </w:rPr>
        <w:t>Throughout the course of this book, I have addressed and critiqued nearly every element of that system.</w:t>
      </w:r>
    </w:p>
    <w:p w14:paraId="3D1A1D65">
      <w:pPr>
        <w:pStyle w:val="9"/>
        <w:spacing w:before="108"/>
        <w:ind w:left="0"/>
        <w:jc w:val="left"/>
        <w:rPr>
          <w:rFonts w:hint="eastAsia"/>
          <w:sz w:val="30"/>
          <w:szCs w:val="30"/>
        </w:rPr>
      </w:pPr>
      <w:r>
        <w:rPr>
          <w:rFonts w:hint="eastAsia"/>
          <w:sz w:val="30"/>
          <w:szCs w:val="30"/>
        </w:rPr>
        <w:t>在本书的整个过程中，我已经论述并批判了那个体系的几乎每一个要素。</w:t>
      </w:r>
    </w:p>
    <w:p w14:paraId="0407AD70">
      <w:pPr>
        <w:pStyle w:val="9"/>
        <w:spacing w:before="108"/>
        <w:ind w:left="0"/>
        <w:jc w:val="left"/>
        <w:rPr>
          <w:rFonts w:hint="eastAsia"/>
          <w:sz w:val="30"/>
          <w:szCs w:val="30"/>
        </w:rPr>
      </w:pPr>
    </w:p>
    <w:p w14:paraId="2F7D443F">
      <w:pPr>
        <w:pStyle w:val="9"/>
        <w:spacing w:before="108"/>
        <w:ind w:left="0"/>
        <w:jc w:val="left"/>
        <w:rPr>
          <w:rFonts w:hint="eastAsia"/>
          <w:sz w:val="30"/>
          <w:szCs w:val="30"/>
        </w:rPr>
      </w:pPr>
      <w:r>
        <w:rPr>
          <w:rFonts w:hint="eastAsia"/>
          <w:sz w:val="30"/>
          <w:szCs w:val="30"/>
        </w:rPr>
        <w:t>In the present appendix, I will use the diagram below and our four questions to provide a brief summary and evaluation of this popular eschatological option.</w:t>
      </w:r>
    </w:p>
    <w:p w14:paraId="786F6BBA">
      <w:pPr>
        <w:pStyle w:val="9"/>
        <w:spacing w:before="108"/>
        <w:ind w:left="0"/>
        <w:jc w:val="left"/>
        <w:rPr>
          <w:rFonts w:hint="eastAsia"/>
          <w:sz w:val="30"/>
          <w:szCs w:val="30"/>
        </w:rPr>
      </w:pPr>
      <w:r>
        <w:rPr>
          <w:rFonts w:hint="eastAsia"/>
          <w:sz w:val="30"/>
          <w:szCs w:val="30"/>
        </w:rPr>
        <w:t>在本附录中，我将使用下面的图表和我们的四个问题，对这个流行的末世论选项进行简要的总结和评估。</w:t>
      </w:r>
    </w:p>
    <w:p w14:paraId="4E5CF95D">
      <w:pPr>
        <w:pStyle w:val="9"/>
        <w:spacing w:before="108"/>
        <w:ind w:left="0"/>
        <w:jc w:val="left"/>
        <w:rPr>
          <w:rFonts w:hint="eastAsia"/>
          <w:sz w:val="30"/>
          <w:szCs w:val="30"/>
        </w:rPr>
      </w:pPr>
    </w:p>
    <w:p w14:paraId="78B79A79">
      <w:pPr>
        <w:pStyle w:val="9"/>
        <w:spacing w:before="108"/>
        <w:ind w:left="0"/>
        <w:jc w:val="left"/>
        <w:rPr>
          <w:sz w:val="20"/>
        </w:rPr>
      </w:pPr>
      <w:r>
        <w:rPr>
          <w:sz w:val="20"/>
        </w:rPr>
        <w:drawing>
          <wp:anchor distT="0" distB="0" distL="0" distR="0" simplePos="0" relativeHeight="251668480" behindDoc="1" locked="0" layoutInCell="1" allowOverlap="1">
            <wp:simplePos x="0" y="0"/>
            <wp:positionH relativeFrom="page">
              <wp:posOffset>2361565</wp:posOffset>
            </wp:positionH>
            <wp:positionV relativeFrom="paragraph">
              <wp:posOffset>229235</wp:posOffset>
            </wp:positionV>
            <wp:extent cx="3070225" cy="1755775"/>
            <wp:effectExtent l="0" t="0" r="0" b="0"/>
            <wp:wrapTopAndBottom/>
            <wp:docPr id="116" name="Image 116"/>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38" cstate="print"/>
                    <a:stretch>
                      <a:fillRect/>
                    </a:stretch>
                  </pic:blipFill>
                  <pic:spPr>
                    <a:xfrm>
                      <a:off x="0" y="0"/>
                      <a:ext cx="3070085" cy="1755648"/>
                    </a:xfrm>
                    <a:prstGeom prst="rect">
                      <a:avLst/>
                    </a:prstGeom>
                  </pic:spPr>
                </pic:pic>
              </a:graphicData>
            </a:graphic>
          </wp:anchor>
        </w:drawing>
      </w:r>
    </w:p>
    <w:p w14:paraId="6D388DAC">
      <w:pPr>
        <w:pStyle w:val="9"/>
        <w:spacing w:before="105"/>
        <w:ind w:left="0"/>
        <w:jc w:val="left"/>
      </w:pPr>
      <w:r>
        <w:drawing>
          <wp:inline distT="0" distB="0" distL="114300" distR="114300">
            <wp:extent cx="5941695" cy="3439795"/>
            <wp:effectExtent l="0" t="0" r="1905" b="4445"/>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39"/>
                    <a:stretch>
                      <a:fillRect/>
                    </a:stretch>
                  </pic:blipFill>
                  <pic:spPr>
                    <a:xfrm>
                      <a:off x="0" y="0"/>
                      <a:ext cx="5941695" cy="3439795"/>
                    </a:xfrm>
                    <a:prstGeom prst="rect">
                      <a:avLst/>
                    </a:prstGeom>
                    <a:noFill/>
                    <a:ln>
                      <a:noFill/>
                    </a:ln>
                  </pic:spPr>
                </pic:pic>
              </a:graphicData>
            </a:graphic>
          </wp:inline>
        </w:drawing>
      </w:r>
    </w:p>
    <w:p w14:paraId="52BD7B97">
      <w:pPr>
        <w:pStyle w:val="9"/>
        <w:spacing w:before="105"/>
        <w:ind w:left="0"/>
        <w:jc w:val="left"/>
      </w:pPr>
    </w:p>
    <w:p w14:paraId="685E5E0F">
      <w:pPr>
        <w:pStyle w:val="9"/>
        <w:spacing w:after="0" w:line="249" w:lineRule="auto"/>
        <w:rPr>
          <w:rFonts w:hint="eastAsia"/>
        </w:rPr>
      </w:pPr>
      <w:r>
        <w:rPr>
          <w:rFonts w:hint="eastAsia"/>
        </w:rPr>
        <w:t>View of the Kingdom</w:t>
      </w:r>
    </w:p>
    <w:p w14:paraId="25B4E964">
      <w:pPr>
        <w:pStyle w:val="9"/>
        <w:spacing w:after="0" w:line="249" w:lineRule="auto"/>
        <w:rPr>
          <w:rFonts w:hint="eastAsia"/>
        </w:rPr>
      </w:pPr>
      <w:r>
        <w:rPr>
          <w:rFonts w:hint="eastAsia"/>
        </w:rPr>
        <w:t>对国度的看法</w:t>
      </w:r>
    </w:p>
    <w:p w14:paraId="33B29BC9">
      <w:pPr>
        <w:pStyle w:val="9"/>
        <w:spacing w:after="0" w:line="249" w:lineRule="auto"/>
        <w:rPr>
          <w:rFonts w:hint="eastAsia"/>
        </w:rPr>
      </w:pPr>
    </w:p>
    <w:p w14:paraId="3C763578">
      <w:pPr>
        <w:pStyle w:val="9"/>
        <w:spacing w:after="0" w:line="249" w:lineRule="auto"/>
        <w:rPr>
          <w:rFonts w:hint="eastAsia"/>
        </w:rPr>
      </w:pPr>
      <w:r>
        <w:rPr>
          <w:rFonts w:hint="eastAsia"/>
        </w:rPr>
        <w:t>Classical Dispensationalism teaches that the Kingdom of God enters history at the onset of the Millennium.</w:t>
      </w:r>
    </w:p>
    <w:p w14:paraId="6A0CD57A">
      <w:pPr>
        <w:pStyle w:val="9"/>
        <w:spacing w:after="0" w:line="249" w:lineRule="auto"/>
        <w:rPr>
          <w:rFonts w:hint="eastAsia"/>
        </w:rPr>
      </w:pPr>
      <w:r>
        <w:rPr>
          <w:rFonts w:hint="eastAsia"/>
        </w:rPr>
        <w:t>古典时代论教导说，神的国在千禧年开始时才进入历史。</w:t>
      </w:r>
    </w:p>
    <w:p w14:paraId="024F9B5A">
      <w:pPr>
        <w:pStyle w:val="9"/>
        <w:spacing w:after="0" w:line="249" w:lineRule="auto"/>
        <w:rPr>
          <w:rFonts w:hint="eastAsia"/>
        </w:rPr>
      </w:pPr>
    </w:p>
    <w:p w14:paraId="432F15ED">
      <w:pPr>
        <w:pStyle w:val="9"/>
        <w:spacing w:after="0" w:line="249" w:lineRule="auto"/>
        <w:rPr>
          <w:rFonts w:hint="eastAsia"/>
        </w:rPr>
      </w:pPr>
      <w:r>
        <w:rPr>
          <w:rFonts w:hint="eastAsia"/>
        </w:rPr>
        <w:t>It was promised to ethnic Israel in the Abrahamic and Davidic Covenants, predicted and pictured in OTKP, offered to Israel in the days of Christ’s flesh, rejected, and then postponed until the end of the Dispensation of the (largely Gentile) Church.</w:t>
      </w:r>
    </w:p>
    <w:p w14:paraId="5BA7339E">
      <w:pPr>
        <w:pStyle w:val="9"/>
        <w:spacing w:after="0" w:line="249" w:lineRule="auto"/>
        <w:rPr>
          <w:rFonts w:hint="eastAsia"/>
        </w:rPr>
      </w:pPr>
      <w:r>
        <w:rPr>
          <w:rFonts w:hint="eastAsia"/>
        </w:rPr>
        <w:t>它曾在亚伯拉罕之约和大卫之约中应许给种族上的以色列，在旧约国度预言中被预言和描绘，在基督肉身的日子里提供给以色列，但被拒绝，然后被推迟到（主要由外邦人组成的）教会时代结束。</w:t>
      </w:r>
    </w:p>
    <w:p w14:paraId="2F4E3898">
      <w:pPr>
        <w:pStyle w:val="9"/>
        <w:spacing w:after="0" w:line="249" w:lineRule="auto"/>
        <w:rPr>
          <w:rFonts w:hint="eastAsia"/>
        </w:rPr>
      </w:pPr>
    </w:p>
    <w:p w14:paraId="6952B67B">
      <w:pPr>
        <w:pStyle w:val="9"/>
        <w:spacing w:after="0" w:line="249" w:lineRule="auto"/>
        <w:rPr>
          <w:rFonts w:hint="eastAsia"/>
        </w:rPr>
      </w:pPr>
      <w:r>
        <w:rPr>
          <w:rFonts w:hint="eastAsia"/>
        </w:rPr>
        <w:t>After the Rapture, when Christ removes the Church from the earth, God’s prophetic clock will begin to tick again.</w:t>
      </w:r>
    </w:p>
    <w:p w14:paraId="6137CD14">
      <w:pPr>
        <w:pStyle w:val="9"/>
        <w:spacing w:after="0" w:line="249" w:lineRule="auto"/>
        <w:rPr>
          <w:rFonts w:hint="eastAsia"/>
        </w:rPr>
      </w:pPr>
      <w:r>
        <w:rPr>
          <w:rFonts w:hint="eastAsia"/>
        </w:rPr>
        <w:t>在被提之后，当基督将教会从地上挪去时，神的预言时钟将再次开始滴答作响。</w:t>
      </w:r>
    </w:p>
    <w:p w14:paraId="558D9921">
      <w:pPr>
        <w:pStyle w:val="9"/>
        <w:spacing w:after="0" w:line="249" w:lineRule="auto"/>
        <w:rPr>
          <w:rFonts w:hint="eastAsia"/>
        </w:rPr>
      </w:pPr>
    </w:p>
    <w:p w14:paraId="56203B06">
      <w:pPr>
        <w:pStyle w:val="9"/>
        <w:spacing w:after="0" w:line="249" w:lineRule="auto"/>
        <w:rPr>
          <w:rFonts w:hint="eastAsia"/>
        </w:rPr>
      </w:pPr>
      <w:r>
        <w:rPr>
          <w:rFonts w:hint="eastAsia"/>
        </w:rPr>
        <w:t>Just as Jesus did, 144,000 Jewish evangelists will preach “the Gospel of the Kingdom,” this time to all nations during a seven-year Tribulation.</w:t>
      </w:r>
    </w:p>
    <w:p w14:paraId="2EC3B127">
      <w:pPr>
        <w:pStyle w:val="9"/>
        <w:spacing w:after="0" w:line="249" w:lineRule="auto"/>
        <w:rPr>
          <w:rFonts w:hint="eastAsia"/>
        </w:rPr>
      </w:pPr>
      <w:r>
        <w:rPr>
          <w:rFonts w:hint="eastAsia"/>
        </w:rPr>
        <w:t>就像耶稣所做的那样，144,000名犹太传道人将在七年的灾难期中向万国传讲“国度的福音”。</w:t>
      </w:r>
    </w:p>
    <w:p w14:paraId="2E0B3FAF">
      <w:pPr>
        <w:pStyle w:val="9"/>
        <w:spacing w:after="0" w:line="249" w:lineRule="auto"/>
        <w:rPr>
          <w:rFonts w:hint="eastAsia"/>
        </w:rPr>
      </w:pPr>
    </w:p>
    <w:p w14:paraId="27B7C686">
      <w:pPr>
        <w:pStyle w:val="9"/>
        <w:spacing w:after="0" w:line="249" w:lineRule="auto"/>
        <w:rPr>
          <w:rFonts w:hint="eastAsia"/>
        </w:rPr>
      </w:pPr>
      <w:r>
        <w:rPr>
          <w:rFonts w:hint="eastAsia"/>
        </w:rPr>
        <w:t>This Tribulation will end with the Parousia (i.e., Christ’s Coming with his Church), at which time those Tribulation saints who have believed in Christ will enter his millennial Kingdom.</w:t>
      </w:r>
    </w:p>
    <w:p w14:paraId="3895B7FA">
      <w:pPr>
        <w:pStyle w:val="9"/>
        <w:spacing w:after="0" w:line="249" w:lineRule="auto"/>
        <w:rPr>
          <w:rFonts w:hint="eastAsia"/>
        </w:rPr>
      </w:pPr>
      <w:r>
        <w:rPr>
          <w:rFonts w:hint="eastAsia"/>
        </w:rPr>
        <w:t>这场灾难将以主的再来（即基督与祂教会一同降临）而告终，届时那些在大灾难中信了基督的圣徒将进入祂的千禧年国度。</w:t>
      </w:r>
    </w:p>
    <w:p w14:paraId="09362246">
      <w:pPr>
        <w:pStyle w:val="9"/>
        <w:spacing w:after="0" w:line="249" w:lineRule="auto"/>
        <w:rPr>
          <w:rFonts w:hint="eastAsia"/>
        </w:rPr>
      </w:pPr>
    </w:p>
    <w:p w14:paraId="3693EB0C">
      <w:pPr>
        <w:pStyle w:val="9"/>
        <w:spacing w:after="0" w:line="249" w:lineRule="auto"/>
        <w:rPr>
          <w:rFonts w:hint="eastAsia"/>
        </w:rPr>
      </w:pPr>
      <w:r>
        <w:rPr>
          <w:rFonts w:hint="eastAsia"/>
        </w:rPr>
        <w:t>Then Christ will sit on David’s throne in Jerusalem, ruling and reigning over the nations.</w:t>
      </w:r>
    </w:p>
    <w:p w14:paraId="6566C5EC">
      <w:pPr>
        <w:pStyle w:val="9"/>
        <w:spacing w:after="0" w:line="249" w:lineRule="auto"/>
        <w:rPr>
          <w:rFonts w:hint="eastAsia"/>
        </w:rPr>
      </w:pPr>
      <w:r>
        <w:rPr>
          <w:rFonts w:hint="eastAsia"/>
        </w:rPr>
        <w:t>那时，基督将坐在耶路撒冷大卫的宝座上，统治并管辖列国。</w:t>
      </w:r>
    </w:p>
    <w:p w14:paraId="23D037D2">
      <w:pPr>
        <w:pStyle w:val="9"/>
        <w:spacing w:after="0" w:line="249" w:lineRule="auto"/>
        <w:rPr>
          <w:rFonts w:hint="eastAsia"/>
        </w:rPr>
      </w:pPr>
    </w:p>
    <w:p w14:paraId="53B95EBF">
      <w:pPr>
        <w:pStyle w:val="9"/>
        <w:spacing w:after="0" w:line="249" w:lineRule="auto"/>
        <w:rPr>
          <w:rFonts w:hint="eastAsia"/>
        </w:rPr>
      </w:pPr>
      <w:r>
        <w:rPr>
          <w:rFonts w:hint="eastAsia"/>
        </w:rPr>
        <w:t>Many elements of the Mosaic Ceremonial Law will be revived as a memorial to Christ’s work.</w:t>
      </w:r>
    </w:p>
    <w:p w14:paraId="0523E9DC">
      <w:pPr>
        <w:pStyle w:val="9"/>
        <w:spacing w:after="0" w:line="249" w:lineRule="auto"/>
        <w:rPr>
          <w:rFonts w:hint="eastAsia"/>
        </w:rPr>
      </w:pPr>
      <w:r>
        <w:rPr>
          <w:rFonts w:hint="eastAsia"/>
        </w:rPr>
        <w:t>摩西礼仪律法的许多要素将被恢复，作为对基督工作的记念。</w:t>
      </w:r>
    </w:p>
    <w:p w14:paraId="3FF3C58C">
      <w:pPr>
        <w:pStyle w:val="9"/>
        <w:spacing w:after="0" w:line="249" w:lineRule="auto"/>
        <w:rPr>
          <w:rFonts w:hint="eastAsia"/>
        </w:rPr>
      </w:pPr>
    </w:p>
    <w:p w14:paraId="657CC376">
      <w:pPr>
        <w:pStyle w:val="9"/>
        <w:spacing w:after="0" w:line="249" w:lineRule="auto"/>
        <w:rPr>
          <w:rFonts w:hint="eastAsia"/>
        </w:rPr>
      </w:pPr>
      <w:r>
        <w:rPr>
          <w:rFonts w:hint="eastAsia"/>
        </w:rPr>
        <w:t>Ethnic Israel will be the head, the Gentile nations will be the tail.</w:t>
      </w:r>
    </w:p>
    <w:p w14:paraId="2BEDB178">
      <w:pPr>
        <w:pStyle w:val="9"/>
        <w:spacing w:after="0" w:line="249" w:lineRule="auto"/>
        <w:rPr>
          <w:rFonts w:hint="eastAsia"/>
        </w:rPr>
      </w:pPr>
      <w:r>
        <w:rPr>
          <w:rFonts w:hint="eastAsia"/>
        </w:rPr>
        <w:t>种族上的以色列将作首，外邦列国将作尾。</w:t>
      </w:r>
    </w:p>
    <w:p w14:paraId="35A7AE3F">
      <w:pPr>
        <w:pStyle w:val="9"/>
        <w:spacing w:after="0" w:line="249" w:lineRule="auto"/>
        <w:rPr>
          <w:rFonts w:hint="eastAsia"/>
        </w:rPr>
      </w:pPr>
    </w:p>
    <w:p w14:paraId="5D8ADF40">
      <w:pPr>
        <w:pStyle w:val="9"/>
        <w:spacing w:after="0" w:line="249" w:lineRule="auto"/>
        <w:rPr>
          <w:rFonts w:hint="eastAsia"/>
        </w:rPr>
      </w:pPr>
      <w:r>
        <w:rPr>
          <w:rFonts w:hint="eastAsia"/>
        </w:rPr>
        <w:t>According to some, the glorified Church will remain in heaven throughout the Millennium (though she will still have a mysterious share in Christ’s millennial reign).</w:t>
      </w:r>
    </w:p>
    <w:p w14:paraId="5EE0ED2E">
      <w:pPr>
        <w:pStyle w:val="9"/>
        <w:spacing w:after="0" w:line="249" w:lineRule="auto"/>
        <w:rPr>
          <w:rFonts w:hint="eastAsia"/>
        </w:rPr>
      </w:pPr>
      <w:r>
        <w:rPr>
          <w:rFonts w:hint="eastAsia"/>
        </w:rPr>
        <w:t>根据一些人的说法，得荣耀的教会将在整个千禧年期间留在天上（尽管她仍将以一种奥秘的方式分享基督的千禧年统治）。</w:t>
      </w:r>
    </w:p>
    <w:p w14:paraId="3833DEC4">
      <w:pPr>
        <w:pStyle w:val="9"/>
        <w:spacing w:after="0" w:line="249" w:lineRule="auto"/>
        <w:rPr>
          <w:rFonts w:hint="eastAsia"/>
        </w:rPr>
      </w:pPr>
    </w:p>
    <w:p w14:paraId="2498D480">
      <w:pPr>
        <w:pStyle w:val="9"/>
        <w:spacing w:after="0" w:line="249" w:lineRule="auto"/>
        <w:rPr>
          <w:rFonts w:hint="eastAsia"/>
        </w:rPr>
      </w:pPr>
      <w:r>
        <w:rPr>
          <w:rFonts w:hint="eastAsia"/>
        </w:rPr>
        <w:t>According to others, she will rule with Christ on earth.</w:t>
      </w:r>
    </w:p>
    <w:p w14:paraId="7FC2B05A">
      <w:pPr>
        <w:pStyle w:val="9"/>
        <w:spacing w:after="0" w:line="249" w:lineRule="auto"/>
        <w:rPr>
          <w:rFonts w:hint="eastAsia"/>
        </w:rPr>
      </w:pPr>
      <w:r>
        <w:rPr>
          <w:rFonts w:hint="eastAsia"/>
        </w:rPr>
        <w:t>根据另一些人的说法，她将与基督一同在地上作王。</w:t>
      </w:r>
    </w:p>
    <w:p w14:paraId="2CAE3AC2">
      <w:pPr>
        <w:pStyle w:val="9"/>
        <w:spacing w:after="0" w:line="249" w:lineRule="auto"/>
        <w:rPr>
          <w:rFonts w:hint="eastAsia"/>
        </w:rPr>
      </w:pPr>
    </w:p>
    <w:p w14:paraId="463D3A74">
      <w:pPr>
        <w:pStyle w:val="9"/>
        <w:spacing w:after="0" w:line="249" w:lineRule="auto"/>
        <w:rPr>
          <w:rFonts w:hint="eastAsia"/>
        </w:rPr>
      </w:pPr>
      <w:r>
        <w:rPr>
          <w:rFonts w:hint="eastAsia"/>
        </w:rPr>
        <w:t>Dispensationalists view this lengthy “Kingdom Age” as the true sphere of fulfillment of almost all OTKP.</w:t>
      </w:r>
    </w:p>
    <w:p w14:paraId="5ACB6C33">
      <w:pPr>
        <w:pStyle w:val="9"/>
        <w:spacing w:after="0" w:line="249" w:lineRule="auto"/>
        <w:rPr>
          <w:rFonts w:hint="eastAsia"/>
        </w:rPr>
      </w:pPr>
      <w:r>
        <w:rPr>
          <w:rFonts w:hint="eastAsia"/>
        </w:rPr>
        <w:t>时代论者认为这个漫长的“国度时代”是几乎所有旧约国度预言得以应验的真正领域。</w:t>
      </w:r>
    </w:p>
    <w:p w14:paraId="72FAE916">
      <w:pPr>
        <w:pStyle w:val="9"/>
        <w:spacing w:after="0" w:line="249" w:lineRule="auto"/>
        <w:rPr>
          <w:rFonts w:hint="eastAsia"/>
        </w:rPr>
      </w:pPr>
    </w:p>
    <w:p w14:paraId="2FE398F8">
      <w:pPr>
        <w:pStyle w:val="9"/>
        <w:spacing w:after="0" w:line="249" w:lineRule="auto"/>
        <w:rPr>
          <w:rFonts w:hint="eastAsia"/>
        </w:rPr>
      </w:pPr>
      <w:r>
        <w:rPr>
          <w:rFonts w:hint="eastAsia"/>
        </w:rPr>
        <w:t>In passing, we should note that among dispensationalists there is some difference of opinion as to the structure of the Kingdom.</w:t>
      </w:r>
    </w:p>
    <w:p w14:paraId="6596419D">
      <w:pPr>
        <w:pStyle w:val="9"/>
        <w:spacing w:after="0" w:line="249" w:lineRule="auto"/>
        <w:rPr>
          <w:rFonts w:hint="eastAsia"/>
        </w:rPr>
      </w:pPr>
      <w:r>
        <w:rPr>
          <w:rFonts w:hint="eastAsia"/>
        </w:rPr>
        <w:t>顺便提一下，我们应该注意到，在时代论者中，关于国度的结构存在一些不同的意见。</w:t>
      </w:r>
    </w:p>
    <w:p w14:paraId="36D6C7C6">
      <w:pPr>
        <w:pStyle w:val="9"/>
        <w:spacing w:after="0" w:line="249" w:lineRule="auto"/>
        <w:rPr>
          <w:rFonts w:hint="eastAsia"/>
        </w:rPr>
      </w:pPr>
    </w:p>
    <w:p w14:paraId="6269F940">
      <w:pPr>
        <w:pStyle w:val="9"/>
        <w:spacing w:after="0" w:line="249" w:lineRule="auto"/>
        <w:rPr>
          <w:rFonts w:hint="eastAsia"/>
        </w:rPr>
      </w:pPr>
      <w:r>
        <w:rPr>
          <w:rFonts w:hint="eastAsia"/>
        </w:rPr>
        <w:t>Classical dispensationalists foresee a two-staged Kingdom: the Millennium and the World to Come, wherein the glorified Church will join with glorified Israel in the eternal worship of God.</w:t>
      </w:r>
    </w:p>
    <w:p w14:paraId="2A2AB527">
      <w:pPr>
        <w:pStyle w:val="9"/>
        <w:spacing w:after="0" w:line="249" w:lineRule="auto"/>
        <w:rPr>
          <w:rFonts w:hint="eastAsia"/>
        </w:rPr>
      </w:pPr>
      <w:r>
        <w:rPr>
          <w:rFonts w:hint="eastAsia"/>
        </w:rPr>
        <w:t>古典时代论者预见一个两阶段的国度：千禧年和来世，在其中得荣耀的教会将与得荣耀的以色列一同永远敬拜神。</w:t>
      </w:r>
    </w:p>
    <w:p w14:paraId="47802543">
      <w:pPr>
        <w:pStyle w:val="9"/>
        <w:spacing w:after="0" w:line="249" w:lineRule="auto"/>
        <w:rPr>
          <w:rFonts w:hint="eastAsia"/>
        </w:rPr>
      </w:pPr>
    </w:p>
    <w:p w14:paraId="383AFC90">
      <w:pPr>
        <w:pStyle w:val="9"/>
        <w:spacing w:after="0" w:line="249" w:lineRule="auto"/>
        <w:rPr>
          <w:rFonts w:hint="eastAsia"/>
        </w:rPr>
      </w:pPr>
      <w:r>
        <w:rPr>
          <w:rFonts w:hint="eastAsia"/>
        </w:rPr>
        <w:t>Progressive dispensationalists, alive to NT teaching on the presence of the Kingdom in the Church, refer to the Church Era as “the mystery phase of the Kingdom.”</w:t>
      </w:r>
    </w:p>
    <w:p w14:paraId="50B94C4E">
      <w:pPr>
        <w:pStyle w:val="9"/>
        <w:spacing w:after="0" w:line="249" w:lineRule="auto"/>
        <w:rPr>
          <w:rFonts w:hint="eastAsia"/>
        </w:rPr>
      </w:pPr>
      <w:r>
        <w:rPr>
          <w:rFonts w:hint="eastAsia"/>
        </w:rPr>
        <w:t>渐进式时代论者，敏锐地意识到新约关于国度在教会中临在的教导，将教会时代称为“国度的奥秘阶段”。</w:t>
      </w:r>
    </w:p>
    <w:p w14:paraId="60483105">
      <w:pPr>
        <w:pStyle w:val="9"/>
        <w:spacing w:after="0" w:line="249" w:lineRule="auto"/>
        <w:rPr>
          <w:rFonts w:hint="eastAsia"/>
        </w:rPr>
      </w:pPr>
    </w:p>
    <w:p w14:paraId="41FA9485">
      <w:pPr>
        <w:pStyle w:val="9"/>
        <w:spacing w:after="0" w:line="249" w:lineRule="auto"/>
        <w:rPr>
          <w:rFonts w:hint="eastAsia"/>
        </w:rPr>
      </w:pPr>
      <w:r>
        <w:rPr>
          <w:rFonts w:hint="eastAsia"/>
        </w:rPr>
        <w:t>In effect, they offer us a three- staged Kingdom of God.</w:t>
      </w:r>
    </w:p>
    <w:p w14:paraId="374563CE">
      <w:pPr>
        <w:pStyle w:val="9"/>
        <w:spacing w:after="0" w:line="249" w:lineRule="auto"/>
        <w:rPr>
          <w:rFonts w:hint="eastAsia"/>
        </w:rPr>
      </w:pPr>
      <w:r>
        <w:rPr>
          <w:rFonts w:hint="eastAsia"/>
        </w:rPr>
        <w:t>实际上，他们为我们提供了一个三阶段的神国。</w:t>
      </w:r>
    </w:p>
    <w:p w14:paraId="37C8807A">
      <w:pPr>
        <w:pStyle w:val="9"/>
        <w:spacing w:after="0" w:line="249" w:lineRule="auto"/>
        <w:rPr>
          <w:rFonts w:hint="eastAsia"/>
        </w:rPr>
      </w:pPr>
    </w:p>
    <w:p w14:paraId="0B9E660A">
      <w:pPr>
        <w:pStyle w:val="9"/>
        <w:spacing w:after="0" w:line="249" w:lineRule="auto"/>
        <w:rPr>
          <w:rFonts w:hint="eastAsia"/>
        </w:rPr>
      </w:pPr>
      <w:r>
        <w:rPr>
          <w:rFonts w:hint="eastAsia"/>
        </w:rPr>
        <w:t>In the course of our study, we have seen that Dispensationalism more or less completely misunderstands the NT doctrine of the Kingdom of God.</w:t>
      </w:r>
    </w:p>
    <w:p w14:paraId="181CAD44">
      <w:pPr>
        <w:pStyle w:val="9"/>
        <w:spacing w:after="0" w:line="249" w:lineRule="auto"/>
        <w:rPr>
          <w:rFonts w:hint="eastAsia"/>
        </w:rPr>
      </w:pPr>
      <w:r>
        <w:rPr>
          <w:rFonts w:hint="eastAsia"/>
        </w:rPr>
        <w:t>在我们的研究过程中，我们已经看到，时代论或多或少地完全误解了新约关于神国的教义。</w:t>
      </w:r>
    </w:p>
    <w:p w14:paraId="2847F2C1">
      <w:pPr>
        <w:pStyle w:val="9"/>
        <w:spacing w:after="0" w:line="249" w:lineRule="auto"/>
        <w:rPr>
          <w:rFonts w:hint="eastAsia"/>
        </w:rPr>
      </w:pPr>
    </w:p>
    <w:p w14:paraId="67890206">
      <w:pPr>
        <w:pStyle w:val="9"/>
        <w:spacing w:after="0" w:line="249" w:lineRule="auto"/>
        <w:rPr>
          <w:rFonts w:hint="eastAsia"/>
        </w:rPr>
      </w:pPr>
      <w:r>
        <w:rPr>
          <w:rFonts w:hint="eastAsia"/>
        </w:rPr>
        <w:t>By way of review, four crucial points may be made.</w:t>
      </w:r>
    </w:p>
    <w:p w14:paraId="3E519307">
      <w:pPr>
        <w:pStyle w:val="9"/>
        <w:spacing w:after="0" w:line="249" w:lineRule="auto"/>
        <w:rPr>
          <w:rFonts w:hint="eastAsia"/>
        </w:rPr>
      </w:pPr>
      <w:r>
        <w:rPr>
          <w:rFonts w:hint="eastAsia"/>
        </w:rPr>
        <w:t>作为回顾，可以提出四个关键点。</w:t>
      </w:r>
    </w:p>
    <w:p w14:paraId="01AA12F2">
      <w:pPr>
        <w:pStyle w:val="9"/>
        <w:spacing w:after="0" w:line="249" w:lineRule="auto"/>
        <w:rPr>
          <w:rFonts w:hint="eastAsia"/>
        </w:rPr>
      </w:pPr>
    </w:p>
    <w:p w14:paraId="51A6B897">
      <w:pPr>
        <w:pStyle w:val="9"/>
        <w:spacing w:after="0" w:line="249" w:lineRule="auto"/>
        <w:rPr>
          <w:rFonts w:hint="eastAsia"/>
        </w:rPr>
      </w:pPr>
      <w:r>
        <w:rPr>
          <w:rFonts w:hint="eastAsia"/>
        </w:rPr>
        <w:t>First, Dispensationalism misunderstands the nature of the Kingdom.</w:t>
      </w:r>
    </w:p>
    <w:p w14:paraId="7F6CDA0C">
      <w:pPr>
        <w:pStyle w:val="9"/>
        <w:spacing w:after="0" w:line="249" w:lineRule="auto"/>
        <w:rPr>
          <w:rFonts w:hint="eastAsia"/>
        </w:rPr>
      </w:pPr>
      <w:r>
        <w:rPr>
          <w:rFonts w:hint="eastAsia"/>
        </w:rPr>
        <w:t>首先，时代论误解了国度的性质。</w:t>
      </w:r>
    </w:p>
    <w:p w14:paraId="76D572EC">
      <w:pPr>
        <w:pStyle w:val="9"/>
        <w:spacing w:after="0" w:line="249" w:lineRule="auto"/>
        <w:rPr>
          <w:rFonts w:hint="eastAsia"/>
        </w:rPr>
      </w:pPr>
    </w:p>
    <w:p w14:paraId="02FDC710">
      <w:pPr>
        <w:pStyle w:val="9"/>
        <w:spacing w:after="0" w:line="249" w:lineRule="auto"/>
        <w:rPr>
          <w:rFonts w:hint="eastAsia"/>
        </w:rPr>
      </w:pPr>
      <w:r>
        <w:rPr>
          <w:rFonts w:hint="eastAsia"/>
        </w:rPr>
        <w:t>As we have seen, Christ and the apostles taught that the Kingdom is simply the direct reign of God, through Christ, by the Spirit, over all who have entered the New (i.e., the Eternal) Covenant by faith.</w:t>
      </w:r>
    </w:p>
    <w:p w14:paraId="342EF1EC">
      <w:pPr>
        <w:pStyle w:val="9"/>
        <w:spacing w:after="0" w:line="249" w:lineRule="auto"/>
        <w:rPr>
          <w:rFonts w:hint="eastAsia"/>
        </w:rPr>
      </w:pPr>
      <w:r>
        <w:rPr>
          <w:rFonts w:hint="eastAsia"/>
        </w:rPr>
        <w:t>正如我们所见，基督和使徒们教导说，国度就是神透过基督、藉着圣灵，对所有凭信心进入新约（即永约）之人的直接统治。</w:t>
      </w:r>
    </w:p>
    <w:p w14:paraId="192D3D20">
      <w:pPr>
        <w:pStyle w:val="9"/>
        <w:spacing w:after="0" w:line="249" w:lineRule="auto"/>
        <w:rPr>
          <w:rFonts w:hint="eastAsia"/>
        </w:rPr>
      </w:pPr>
    </w:p>
    <w:p w14:paraId="63C04CEA">
      <w:pPr>
        <w:pStyle w:val="9"/>
        <w:spacing w:after="0" w:line="249" w:lineRule="auto"/>
        <w:rPr>
          <w:rFonts w:hint="eastAsia"/>
        </w:rPr>
      </w:pPr>
      <w:r>
        <w:rPr>
          <w:rFonts w:hint="eastAsia"/>
        </w:rPr>
        <w:t>The Kingdom has nothing whatsoever to do with the theocratic institutions of the Mosaic Law, all of which have been fulfilled and rendered obsolete by Christ and the New Covenant.</w:t>
      </w:r>
    </w:p>
    <w:p w14:paraId="20060132">
      <w:pPr>
        <w:pStyle w:val="9"/>
        <w:spacing w:after="0" w:line="249" w:lineRule="auto"/>
        <w:rPr>
          <w:rFonts w:hint="eastAsia"/>
        </w:rPr>
      </w:pPr>
      <w:r>
        <w:rPr>
          <w:rFonts w:hint="eastAsia"/>
        </w:rPr>
        <w:t>国度与摩西律法的神权制度毫无关系，所有这些制度都已被基督和新约所成全并废弃了。</w:t>
      </w:r>
    </w:p>
    <w:p w14:paraId="101CD65F">
      <w:pPr>
        <w:pStyle w:val="9"/>
        <w:spacing w:after="0" w:line="249" w:lineRule="auto"/>
        <w:rPr>
          <w:rFonts w:hint="eastAsia"/>
        </w:rPr>
      </w:pPr>
    </w:p>
    <w:p w14:paraId="74062A49">
      <w:pPr>
        <w:pStyle w:val="9"/>
        <w:spacing w:after="0" w:line="249" w:lineRule="auto"/>
        <w:rPr>
          <w:rFonts w:hint="eastAsia"/>
        </w:rPr>
      </w:pPr>
      <w:r>
        <w:rPr>
          <w:rFonts w:hint="eastAsia"/>
        </w:rPr>
        <w:t>Secondly, Dispensationalism misunderstands the OT representations of the Kingdom.</w:t>
      </w:r>
    </w:p>
    <w:p w14:paraId="78AE9D5A">
      <w:pPr>
        <w:pStyle w:val="9"/>
        <w:spacing w:after="0" w:line="249" w:lineRule="auto"/>
        <w:rPr>
          <w:rFonts w:hint="eastAsia"/>
        </w:rPr>
      </w:pPr>
      <w:r>
        <w:rPr>
          <w:rFonts w:hint="eastAsia"/>
        </w:rPr>
        <w:t>其次，时代论误解了旧约对国度的表述。</w:t>
      </w:r>
    </w:p>
    <w:p w14:paraId="3B30F391">
      <w:pPr>
        <w:pStyle w:val="9"/>
        <w:spacing w:after="0" w:line="249" w:lineRule="auto"/>
        <w:rPr>
          <w:rFonts w:hint="eastAsia"/>
        </w:rPr>
      </w:pPr>
    </w:p>
    <w:p w14:paraId="1907CB1B">
      <w:pPr>
        <w:pStyle w:val="9"/>
        <w:spacing w:after="0" w:line="249" w:lineRule="auto"/>
        <w:rPr>
          <w:rFonts w:hint="eastAsia"/>
        </w:rPr>
      </w:pPr>
      <w:r>
        <w:rPr>
          <w:rFonts w:hint="eastAsia"/>
        </w:rPr>
        <w:t>In OT history, the Kingdom was represented by national Israel—by the Mosaic theocracy—, especially as this existed under kings David and Solomon.</w:t>
      </w:r>
    </w:p>
    <w:p w14:paraId="5CDE59A7">
      <w:pPr>
        <w:pStyle w:val="9"/>
        <w:spacing w:after="0" w:line="249" w:lineRule="auto"/>
        <w:rPr>
          <w:rFonts w:hint="eastAsia"/>
        </w:rPr>
      </w:pPr>
      <w:r>
        <w:rPr>
          <w:rFonts w:hint="eastAsia"/>
        </w:rPr>
        <w:t>在旧约历史中，国度由民族以色列——即摩西神权政体——所代表，尤其是在大卫和所罗门王统治下存在的那个政体。</w:t>
      </w:r>
    </w:p>
    <w:p w14:paraId="2D6C9DDD">
      <w:pPr>
        <w:pStyle w:val="9"/>
        <w:spacing w:after="0" w:line="249" w:lineRule="auto"/>
        <w:rPr>
          <w:rFonts w:hint="eastAsia"/>
        </w:rPr>
      </w:pPr>
    </w:p>
    <w:p w14:paraId="06804766">
      <w:pPr>
        <w:pStyle w:val="9"/>
        <w:spacing w:after="0" w:line="249" w:lineRule="auto"/>
        <w:rPr>
          <w:rFonts w:hint="eastAsia"/>
        </w:rPr>
      </w:pPr>
      <w:r>
        <w:rPr>
          <w:rFonts w:hint="eastAsia"/>
        </w:rPr>
        <w:t>In OT Kingdom Prophecy, the Kingdom was represented as an ideal Mosaic theocracy to be governed by God’s latter- day David, the Messiah.</w:t>
      </w:r>
    </w:p>
    <w:p w14:paraId="61C6069A">
      <w:pPr>
        <w:pStyle w:val="9"/>
        <w:spacing w:after="0" w:line="249" w:lineRule="auto"/>
        <w:rPr>
          <w:rFonts w:hint="eastAsia"/>
        </w:rPr>
      </w:pPr>
      <w:r>
        <w:rPr>
          <w:rFonts w:hint="eastAsia"/>
        </w:rPr>
        <w:t>在旧约国度预言中，国度被表述为一个理想的摩西神权政体，将由神末后的大卫，即弥赛亚来治理。</w:t>
      </w:r>
    </w:p>
    <w:p w14:paraId="28445F49">
      <w:pPr>
        <w:pStyle w:val="9"/>
        <w:spacing w:after="0" w:line="249" w:lineRule="auto"/>
        <w:rPr>
          <w:rFonts w:hint="eastAsia"/>
        </w:rPr>
      </w:pPr>
    </w:p>
    <w:p w14:paraId="7C73DC62">
      <w:pPr>
        <w:pStyle w:val="9"/>
        <w:spacing w:after="0" w:line="249" w:lineRule="auto"/>
        <w:rPr>
          <w:rFonts w:hint="eastAsia"/>
        </w:rPr>
      </w:pPr>
      <w:r>
        <w:rPr>
          <w:rFonts w:hint="eastAsia"/>
        </w:rPr>
        <w:t>But as the NT makes clear, in both cases God was using physical persons, places, objects, and institutions to picture the spiritual elements and blessings of the New Covenant.</w:t>
      </w:r>
    </w:p>
    <w:p w14:paraId="6153C018">
      <w:pPr>
        <w:pStyle w:val="9"/>
        <w:spacing w:after="0" w:line="249" w:lineRule="auto"/>
        <w:rPr>
          <w:rFonts w:hint="eastAsia"/>
        </w:rPr>
      </w:pPr>
      <w:r>
        <w:rPr>
          <w:rFonts w:hint="eastAsia"/>
        </w:rPr>
        <w:t>但正如新约所阐明的，在这两种情况下，神都是使用属物质的人、地、物和制度来描绘新约的属灵要素和祝福。</w:t>
      </w:r>
    </w:p>
    <w:p w14:paraId="24431377">
      <w:pPr>
        <w:pStyle w:val="9"/>
        <w:spacing w:after="0" w:line="249" w:lineRule="auto"/>
        <w:rPr>
          <w:rFonts w:hint="eastAsia"/>
        </w:rPr>
      </w:pPr>
    </w:p>
    <w:p w14:paraId="66F7FCE8">
      <w:pPr>
        <w:pStyle w:val="9"/>
        <w:spacing w:after="0" w:line="249" w:lineRule="auto"/>
        <w:rPr>
          <w:rFonts w:hint="eastAsia"/>
        </w:rPr>
      </w:pPr>
      <w:r>
        <w:rPr>
          <w:rFonts w:hint="eastAsia"/>
        </w:rPr>
        <w:t>For dispensationalists, OTKP’s are photographs of a coming physical kingdom; for the NT authors, they are symbols of the spiritual Kingdom that has come in Christ, and that will come—in glorious fullness—at his return.</w:t>
      </w:r>
    </w:p>
    <w:p w14:paraId="1D07125C">
      <w:pPr>
        <w:pStyle w:val="9"/>
        <w:spacing w:after="0" w:line="249" w:lineRule="auto"/>
        <w:rPr>
          <w:rFonts w:hint="eastAsia"/>
        </w:rPr>
      </w:pPr>
      <w:r>
        <w:rPr>
          <w:rFonts w:hint="eastAsia"/>
        </w:rPr>
        <w:t>对时代论者来说，旧约国度预言是即将到来的属物质国度的照片；对新约作者来说，它们是那已经在基督里降临的属灵国度的象征，这国度也将在祂再来时——以荣耀的丰满——降临。</w:t>
      </w:r>
    </w:p>
    <w:p w14:paraId="2EA92001">
      <w:pPr>
        <w:pStyle w:val="9"/>
        <w:spacing w:after="0" w:line="249" w:lineRule="auto"/>
        <w:rPr>
          <w:rFonts w:hint="eastAsia"/>
        </w:rPr>
      </w:pPr>
    </w:p>
    <w:p w14:paraId="3EB54DAB">
      <w:pPr>
        <w:pStyle w:val="9"/>
        <w:spacing w:after="0" w:line="249" w:lineRule="auto"/>
        <w:rPr>
          <w:rFonts w:hint="eastAsia"/>
        </w:rPr>
      </w:pPr>
      <w:r>
        <w:rPr>
          <w:rFonts w:hint="eastAsia"/>
        </w:rPr>
        <w:t>Thirdly, Dispensationalism misunderstands the structure of the Kingdom.</w:t>
      </w:r>
    </w:p>
    <w:p w14:paraId="3DBEBB32">
      <w:pPr>
        <w:pStyle w:val="9"/>
        <w:spacing w:after="0" w:line="249" w:lineRule="auto"/>
        <w:rPr>
          <w:rFonts w:hint="eastAsia"/>
        </w:rPr>
      </w:pPr>
      <w:r>
        <w:rPr>
          <w:rFonts w:hint="eastAsia"/>
        </w:rPr>
        <w:t>第三，时代论误解了国度的结构。</w:t>
      </w:r>
    </w:p>
    <w:p w14:paraId="0F6355EC">
      <w:pPr>
        <w:pStyle w:val="9"/>
        <w:spacing w:after="0" w:line="249" w:lineRule="auto"/>
        <w:rPr>
          <w:rFonts w:hint="eastAsia"/>
        </w:rPr>
      </w:pPr>
    </w:p>
    <w:p w14:paraId="5B64E146">
      <w:pPr>
        <w:pStyle w:val="9"/>
        <w:spacing w:after="0" w:line="249" w:lineRule="auto"/>
        <w:rPr>
          <w:rFonts w:hint="eastAsia"/>
        </w:rPr>
      </w:pPr>
      <w:r>
        <w:rPr>
          <w:rFonts w:hint="eastAsia"/>
        </w:rPr>
        <w:t>As we have seen, the NT does not look for a future millennial stage of the Kingdom, but sees the Kingdom appearing in two simple stages.</w:t>
      </w:r>
    </w:p>
    <w:p w14:paraId="701F305D">
      <w:pPr>
        <w:pStyle w:val="9"/>
        <w:spacing w:after="0" w:line="249" w:lineRule="auto"/>
        <w:rPr>
          <w:rFonts w:hint="eastAsia"/>
        </w:rPr>
      </w:pPr>
      <w:r>
        <w:rPr>
          <w:rFonts w:hint="eastAsia"/>
        </w:rPr>
        <w:t>正如我们所见，新约并不期待一个未来的千禧年国度阶段，而是认为国度是以两个简单的阶段出现的。</w:t>
      </w:r>
    </w:p>
    <w:p w14:paraId="29161478">
      <w:pPr>
        <w:pStyle w:val="9"/>
        <w:spacing w:after="0" w:line="249" w:lineRule="auto"/>
        <w:rPr>
          <w:rFonts w:hint="eastAsia"/>
        </w:rPr>
      </w:pPr>
    </w:p>
    <w:p w14:paraId="4BE13ABB">
      <w:pPr>
        <w:pStyle w:val="9"/>
        <w:spacing w:after="0" w:line="249" w:lineRule="auto"/>
        <w:rPr>
          <w:rFonts w:hint="eastAsia"/>
        </w:rPr>
      </w:pPr>
      <w:r>
        <w:rPr>
          <w:rFonts w:hint="eastAsia"/>
        </w:rPr>
        <w:t>In the first, Christ reigns from heaven over the spirits of his pilgrim people.</w:t>
      </w:r>
    </w:p>
    <w:p w14:paraId="2FE40080">
      <w:pPr>
        <w:pStyle w:val="9"/>
        <w:spacing w:after="0" w:line="249" w:lineRule="auto"/>
        <w:rPr>
          <w:rFonts w:hint="eastAsia"/>
        </w:rPr>
      </w:pPr>
      <w:r>
        <w:rPr>
          <w:rFonts w:hint="eastAsia"/>
        </w:rPr>
        <w:t>在第一阶段，基督从天上统治祂客旅子民的灵魂。</w:t>
      </w:r>
    </w:p>
    <w:p w14:paraId="7886707D">
      <w:pPr>
        <w:pStyle w:val="9"/>
        <w:spacing w:after="0" w:line="249" w:lineRule="auto"/>
        <w:rPr>
          <w:rFonts w:hint="eastAsia"/>
        </w:rPr>
      </w:pPr>
    </w:p>
    <w:p w14:paraId="5D222A54">
      <w:pPr>
        <w:pStyle w:val="9"/>
        <w:spacing w:after="0" w:line="249" w:lineRule="auto"/>
        <w:rPr>
          <w:rFonts w:hint="eastAsia"/>
        </w:rPr>
      </w:pPr>
      <w:r>
        <w:rPr>
          <w:rFonts w:hint="eastAsia"/>
        </w:rPr>
        <w:t>He does this through the Holy Spirit, and through the institutions of his new evangelical law.</w:t>
      </w:r>
    </w:p>
    <w:p w14:paraId="71A6D60E">
      <w:pPr>
        <w:pStyle w:val="9"/>
        <w:spacing w:after="0" w:line="249" w:lineRule="auto"/>
        <w:rPr>
          <w:rFonts w:hint="eastAsia"/>
        </w:rPr>
      </w:pPr>
      <w:r>
        <w:rPr>
          <w:rFonts w:hint="eastAsia"/>
        </w:rPr>
        <w:t>祂透过圣灵，并透过祂新的福音律法的制度来这样做。</w:t>
      </w:r>
    </w:p>
    <w:p w14:paraId="723612CC">
      <w:pPr>
        <w:pStyle w:val="9"/>
        <w:spacing w:after="0" w:line="249" w:lineRule="auto"/>
        <w:rPr>
          <w:rFonts w:hint="eastAsia"/>
        </w:rPr>
      </w:pPr>
    </w:p>
    <w:p w14:paraId="6C337E81">
      <w:pPr>
        <w:pStyle w:val="9"/>
        <w:spacing w:after="0" w:line="249" w:lineRule="auto"/>
        <w:rPr>
          <w:rFonts w:hint="eastAsia"/>
        </w:rPr>
      </w:pPr>
      <w:r>
        <w:rPr>
          <w:rFonts w:hint="eastAsia"/>
        </w:rPr>
        <w:t>In the second, the Father and the Son reign over the glorified spirits, bodies, and world of their resurrected/transformed people in the new heavens and the new earth.</w:t>
      </w:r>
    </w:p>
    <w:p w14:paraId="5392FB9E">
      <w:pPr>
        <w:pStyle w:val="9"/>
        <w:spacing w:after="0" w:line="249" w:lineRule="auto"/>
        <w:rPr>
          <w:rFonts w:hint="eastAsia"/>
        </w:rPr>
      </w:pPr>
      <w:r>
        <w:rPr>
          <w:rFonts w:hint="eastAsia"/>
        </w:rPr>
        <w:t>在第二阶段，父与子在新天新地中，统治祂们那些已复活/改变的子民得荣耀的灵、魂、体和世界。</w:t>
      </w:r>
    </w:p>
    <w:p w14:paraId="010B4BB5">
      <w:pPr>
        <w:pStyle w:val="9"/>
        <w:spacing w:after="0" w:line="249" w:lineRule="auto"/>
        <w:rPr>
          <w:rFonts w:hint="eastAsia"/>
        </w:rPr>
      </w:pPr>
    </w:p>
    <w:p w14:paraId="06EF5BAC">
      <w:pPr>
        <w:pStyle w:val="9"/>
        <w:spacing w:after="0" w:line="249" w:lineRule="auto"/>
        <w:rPr>
          <w:rFonts w:hint="eastAsia"/>
        </w:rPr>
      </w:pPr>
      <w:r>
        <w:rPr>
          <w:rFonts w:hint="eastAsia"/>
        </w:rPr>
        <w:t>Happily, some progressive dispensationalists acknowledge that God’s eschatological David does indeed now rule over his spiritual nation from his heavenly throne.</w:t>
      </w:r>
    </w:p>
    <w:p w14:paraId="1DE55863">
      <w:pPr>
        <w:pStyle w:val="9"/>
        <w:spacing w:after="0" w:line="249" w:lineRule="auto"/>
        <w:rPr>
          <w:rFonts w:hint="eastAsia"/>
        </w:rPr>
      </w:pPr>
      <w:r>
        <w:rPr>
          <w:rFonts w:hint="eastAsia"/>
        </w:rPr>
        <w:t>令人高兴的是，一些渐进式时代论者承认，神末世论的大卫确实现在正从祂天上的宝座上统治祂属灵的国度。</w:t>
      </w:r>
    </w:p>
    <w:p w14:paraId="72901CE3">
      <w:pPr>
        <w:pStyle w:val="9"/>
        <w:spacing w:after="0" w:line="249" w:lineRule="auto"/>
        <w:rPr>
          <w:rFonts w:hint="eastAsia"/>
        </w:rPr>
      </w:pPr>
    </w:p>
    <w:p w14:paraId="55213DA5">
      <w:pPr>
        <w:pStyle w:val="9"/>
        <w:spacing w:after="0" w:line="249" w:lineRule="auto"/>
        <w:rPr>
          <w:rFonts w:hint="eastAsia"/>
        </w:rPr>
      </w:pPr>
      <w:r>
        <w:rPr>
          <w:rFonts w:hint="eastAsia"/>
        </w:rPr>
        <w:t>But even these, by looking for a literal fulfillment of OTKP in a future millennium, tragically eclipse the centrality and glory of the greatest of all NT mysteries of the Kingdom: the heavenly mediatorial reign of the High King of Heaven.</w:t>
      </w:r>
    </w:p>
    <w:p w14:paraId="17333F3C">
      <w:pPr>
        <w:pStyle w:val="9"/>
        <w:spacing w:after="0" w:line="249" w:lineRule="auto"/>
        <w:rPr>
          <w:rFonts w:hint="eastAsia"/>
        </w:rPr>
      </w:pPr>
      <w:r>
        <w:rPr>
          <w:rFonts w:hint="eastAsia"/>
        </w:rPr>
        <w:t>但即使是这些人，由于期待旧约国度预言在未来的千禧年中按字面意思应验，也悲剧性地遮蔽了新约所有国度奥秘中最伟大的那个奥秘的中心地位和荣耀：即天上至高君王在天上的中保统治。</w:t>
      </w:r>
    </w:p>
    <w:p w14:paraId="47C9E670">
      <w:pPr>
        <w:pStyle w:val="9"/>
        <w:spacing w:after="0" w:line="249" w:lineRule="auto"/>
        <w:rPr>
          <w:rFonts w:hint="eastAsia"/>
        </w:rPr>
      </w:pPr>
    </w:p>
    <w:p w14:paraId="31DF2A43">
      <w:pPr>
        <w:pStyle w:val="9"/>
        <w:spacing w:after="0" w:line="249" w:lineRule="auto"/>
        <w:rPr>
          <w:rFonts w:hint="eastAsia"/>
        </w:rPr>
      </w:pPr>
      <w:r>
        <w:rPr>
          <w:rFonts w:hint="eastAsia"/>
        </w:rPr>
        <w:t>Finally, Dispensationalism misunderstands the people of the Kingdom.</w:t>
      </w:r>
    </w:p>
    <w:p w14:paraId="5A6A1720">
      <w:pPr>
        <w:pStyle w:val="9"/>
        <w:spacing w:after="0" w:line="249" w:lineRule="auto"/>
        <w:rPr>
          <w:rFonts w:hint="eastAsia"/>
        </w:rPr>
      </w:pPr>
      <w:r>
        <w:rPr>
          <w:rFonts w:hint="eastAsia"/>
        </w:rPr>
        <w:t>最后，时代论误解了国度的子民。</w:t>
      </w:r>
    </w:p>
    <w:p w14:paraId="4120F1A0">
      <w:pPr>
        <w:pStyle w:val="9"/>
        <w:spacing w:after="0" w:line="249" w:lineRule="auto"/>
        <w:rPr>
          <w:rFonts w:hint="eastAsia"/>
        </w:rPr>
      </w:pPr>
    </w:p>
    <w:p w14:paraId="451D03F3">
      <w:pPr>
        <w:pStyle w:val="9"/>
        <w:spacing w:after="0" w:line="249" w:lineRule="auto"/>
        <w:rPr>
          <w:rFonts w:hint="eastAsia"/>
        </w:rPr>
      </w:pPr>
      <w:r>
        <w:rPr>
          <w:rFonts w:hint="eastAsia"/>
        </w:rPr>
        <w:t>According to the NT, they are a great multitude taken out of every tribe, tongue, people, and nation; they are all who come by faith to Christ as Prophet, Priest, and King (Mt. 11:28f, John 6:37, 44, 65).</w:t>
      </w:r>
    </w:p>
    <w:p w14:paraId="5ADE9035">
      <w:pPr>
        <w:pStyle w:val="9"/>
        <w:spacing w:after="0" w:line="249" w:lineRule="auto"/>
        <w:rPr>
          <w:rFonts w:hint="eastAsia"/>
        </w:rPr>
      </w:pPr>
      <w:r>
        <w:rPr>
          <w:rFonts w:hint="eastAsia"/>
        </w:rPr>
        <w:t>根据新约，他们是从各部落、各方言、各民族、各国家中出来的一大群人；他们是所有凭信心来到基督这位先知、祭司和君王面前的人（太11:28及以下，约6:37, 44, 65）。</w:t>
      </w:r>
    </w:p>
    <w:p w14:paraId="087A6DFD">
      <w:pPr>
        <w:pStyle w:val="9"/>
        <w:spacing w:after="0" w:line="249" w:lineRule="auto"/>
        <w:rPr>
          <w:rFonts w:hint="eastAsia"/>
        </w:rPr>
      </w:pPr>
    </w:p>
    <w:p w14:paraId="08A64B0C">
      <w:pPr>
        <w:pStyle w:val="9"/>
        <w:spacing w:after="0" w:line="249" w:lineRule="auto"/>
        <w:rPr>
          <w:rFonts w:hint="eastAsia"/>
        </w:rPr>
      </w:pPr>
      <w:r>
        <w:rPr>
          <w:rFonts w:hint="eastAsia"/>
        </w:rPr>
        <w:t>God does not have two peoples, and he does not have two plans for two peoples: a Gospel of the Kingdom for the Jews, and a Gospel of Grace for the Gentiles.</w:t>
      </w:r>
    </w:p>
    <w:p w14:paraId="5827BAC7">
      <w:pPr>
        <w:pStyle w:val="9"/>
        <w:spacing w:after="0" w:line="249" w:lineRule="auto"/>
        <w:rPr>
          <w:rFonts w:hint="eastAsia"/>
        </w:rPr>
      </w:pPr>
      <w:r>
        <w:rPr>
          <w:rFonts w:hint="eastAsia"/>
        </w:rPr>
        <w:t>神没有两种子民，祂也没有为这两种子民预备两种计划：一个为犹太人预备的国度福音，和一个为外邦人预备的恩典福音。</w:t>
      </w:r>
    </w:p>
    <w:p w14:paraId="7890C580">
      <w:pPr>
        <w:pStyle w:val="9"/>
        <w:spacing w:after="0" w:line="249" w:lineRule="auto"/>
        <w:rPr>
          <w:rFonts w:hint="eastAsia"/>
        </w:rPr>
      </w:pPr>
    </w:p>
    <w:p w14:paraId="3B048DB6">
      <w:pPr>
        <w:pStyle w:val="9"/>
        <w:spacing w:after="0" w:line="249" w:lineRule="auto"/>
        <w:rPr>
          <w:rFonts w:hint="eastAsia"/>
        </w:rPr>
      </w:pPr>
      <w:r>
        <w:rPr>
          <w:rFonts w:hint="eastAsia"/>
        </w:rPr>
        <w:t>No, he has one plan: the New Covenant in Christ.</w:t>
      </w:r>
    </w:p>
    <w:p w14:paraId="396EBCCB">
      <w:pPr>
        <w:pStyle w:val="9"/>
        <w:spacing w:after="0" w:line="249" w:lineRule="auto"/>
        <w:rPr>
          <w:rFonts w:hint="eastAsia"/>
        </w:rPr>
      </w:pPr>
      <w:r>
        <w:rPr>
          <w:rFonts w:hint="eastAsia"/>
        </w:rPr>
        <w:t>不，祂只有一个计划：在基督里的新约。</w:t>
      </w:r>
    </w:p>
    <w:p w14:paraId="196C0DD3">
      <w:pPr>
        <w:pStyle w:val="9"/>
        <w:spacing w:after="0" w:line="249" w:lineRule="auto"/>
        <w:rPr>
          <w:rFonts w:hint="eastAsia"/>
        </w:rPr>
      </w:pPr>
    </w:p>
    <w:p w14:paraId="5E864E98">
      <w:pPr>
        <w:pStyle w:val="9"/>
        <w:spacing w:after="0" w:line="249" w:lineRule="auto"/>
        <w:rPr>
          <w:rFonts w:hint="eastAsia"/>
        </w:rPr>
      </w:pPr>
      <w:r>
        <w:rPr>
          <w:rFonts w:hint="eastAsia"/>
        </w:rPr>
        <w:t>And he has one people: those who enter the New Covenant through faith in him, whether Jew or Gentile.</w:t>
      </w:r>
    </w:p>
    <w:p w14:paraId="528979BD">
      <w:pPr>
        <w:pStyle w:val="9"/>
        <w:spacing w:after="0" w:line="249" w:lineRule="auto"/>
        <w:rPr>
          <w:rFonts w:hint="eastAsia"/>
        </w:rPr>
      </w:pPr>
      <w:r>
        <w:rPr>
          <w:rFonts w:hint="eastAsia"/>
        </w:rPr>
        <w:t>祂也只有一群子民：那些凭着对祂的信心进入新约的人，无论是犹太人还是外邦人。</w:t>
      </w:r>
    </w:p>
    <w:p w14:paraId="143A8BC2">
      <w:pPr>
        <w:pStyle w:val="9"/>
        <w:spacing w:after="0" w:line="249" w:lineRule="auto"/>
        <w:rPr>
          <w:rFonts w:hint="eastAsia"/>
        </w:rPr>
      </w:pPr>
    </w:p>
    <w:p w14:paraId="14BA2313">
      <w:pPr>
        <w:pStyle w:val="9"/>
        <w:spacing w:after="0" w:line="249" w:lineRule="auto"/>
        <w:rPr>
          <w:rFonts w:hint="eastAsia"/>
        </w:rPr>
      </w:pPr>
      <w:r>
        <w:rPr>
          <w:rFonts w:hint="eastAsia"/>
        </w:rPr>
        <w:t>Henceforth, he has broken down the middle wall separating Jew and Gentile (Eph. 2:14).</w:t>
      </w:r>
    </w:p>
    <w:p w14:paraId="761DA0E7">
      <w:pPr>
        <w:pStyle w:val="9"/>
        <w:spacing w:after="0" w:line="249" w:lineRule="auto"/>
        <w:rPr>
          <w:rFonts w:hint="eastAsia"/>
        </w:rPr>
      </w:pPr>
      <w:r>
        <w:rPr>
          <w:rFonts w:hint="eastAsia"/>
        </w:rPr>
        <w:t>从此，祂拆毁了隔在犹太人和外邦人中间的墙（弗2:14）。</w:t>
      </w:r>
    </w:p>
    <w:p w14:paraId="0EB00AD8">
      <w:pPr>
        <w:pStyle w:val="9"/>
        <w:spacing w:after="0" w:line="249" w:lineRule="auto"/>
        <w:rPr>
          <w:rFonts w:hint="eastAsia"/>
        </w:rPr>
      </w:pPr>
    </w:p>
    <w:p w14:paraId="055BD0FF">
      <w:pPr>
        <w:pStyle w:val="9"/>
        <w:spacing w:after="0" w:line="249" w:lineRule="auto"/>
        <w:rPr>
          <w:rFonts w:hint="eastAsia"/>
        </w:rPr>
      </w:pPr>
      <w:r>
        <w:rPr>
          <w:rFonts w:hint="eastAsia"/>
        </w:rPr>
        <w:t>Henceforth, there is neither Jew nor Greek, slave nor free, male nor female, but all are one in Christ Jesus (Gal. 3:28).</w:t>
      </w:r>
    </w:p>
    <w:p w14:paraId="32BEDA77">
      <w:pPr>
        <w:pStyle w:val="9"/>
        <w:spacing w:after="0" w:line="249" w:lineRule="auto"/>
        <w:rPr>
          <w:rFonts w:hint="eastAsia"/>
        </w:rPr>
      </w:pPr>
      <w:r>
        <w:rPr>
          <w:rFonts w:hint="eastAsia"/>
        </w:rPr>
        <w:t>从此，不分犹太人、希腊人，自主的、为奴的，或男或女，因为你们在基督耶稣里都成为一了（加3:28）。</w:t>
      </w:r>
    </w:p>
    <w:p w14:paraId="7019F2F0">
      <w:pPr>
        <w:pStyle w:val="9"/>
        <w:spacing w:after="0" w:line="249" w:lineRule="auto"/>
        <w:rPr>
          <w:rFonts w:hint="eastAsia"/>
        </w:rPr>
      </w:pPr>
    </w:p>
    <w:p w14:paraId="5B6CD0AA">
      <w:pPr>
        <w:pStyle w:val="9"/>
        <w:spacing w:after="0" w:line="249" w:lineRule="auto"/>
        <w:rPr>
          <w:rFonts w:hint="eastAsia"/>
        </w:rPr>
      </w:pPr>
      <w:r>
        <w:rPr>
          <w:rFonts w:hint="eastAsia"/>
        </w:rPr>
        <w:t>Henceforth, there is one flock (John 10), one Woman (Rev. 12), one Bride (Eph. 5), one Wife (Rev. 21), one Body (Eph. 5), one New Man (Eph. 2), one Olive Tree (Rom. 11), one City (Rev. 21), one Royal Priesthood (1 Pet. 2), and one Holy Nation: the one true Israel of God who will live with him forever (Gal. 6:16, 1 Pet. 2).</w:t>
      </w:r>
    </w:p>
    <w:p w14:paraId="4D62FB57">
      <w:pPr>
        <w:pStyle w:val="9"/>
        <w:spacing w:after="0" w:line="249" w:lineRule="auto"/>
        <w:rPr>
          <w:rFonts w:hint="eastAsia"/>
        </w:rPr>
      </w:pPr>
      <w:r>
        <w:rPr>
          <w:rFonts w:hint="eastAsia"/>
        </w:rPr>
        <w:t>从此，只有一群羊（约10），一个妇人（启12），一个新妇（弗5），一个妻子（启21），一个身体（弗5），一个新人（弗2），一棵橄榄树（罗11），一座城（启21），一群君尊的祭司（彼前2），和一个圣洁的国度：即神独一的真以色列，将与祂永远同住（加6:16，彼前2）。</w:t>
      </w:r>
    </w:p>
    <w:p w14:paraId="73DB8383">
      <w:pPr>
        <w:pStyle w:val="9"/>
        <w:spacing w:after="0" w:line="249" w:lineRule="auto"/>
        <w:rPr>
          <w:rFonts w:hint="eastAsia"/>
        </w:rPr>
      </w:pPr>
    </w:p>
    <w:p w14:paraId="1D8A781B">
      <w:pPr>
        <w:pStyle w:val="9"/>
        <w:spacing w:after="0" w:line="249" w:lineRule="auto"/>
        <w:rPr>
          <w:rFonts w:hint="eastAsia"/>
        </w:rPr>
      </w:pPr>
      <w:r>
        <w:rPr>
          <w:rFonts w:hint="eastAsia"/>
        </w:rPr>
        <w:t>Therefore, let no one rebuild what God has forever torn down (Gal. 2:18); let no one separate what God has forever joined together (Mt. 19:6).</w:t>
      </w:r>
    </w:p>
    <w:p w14:paraId="3B6842FC">
      <w:pPr>
        <w:pStyle w:val="9"/>
        <w:spacing w:after="0" w:line="249" w:lineRule="auto"/>
        <w:rPr>
          <w:rFonts w:hint="eastAsia"/>
        </w:rPr>
      </w:pPr>
      <w:r>
        <w:rPr>
          <w:rFonts w:hint="eastAsia"/>
        </w:rPr>
        <w:t>所以，人不可重建神已永远拆毁的（加2:18）；神所永远配合的，人不可分开（太19:6）。</w:t>
      </w:r>
    </w:p>
    <w:p w14:paraId="7825BE78">
      <w:pPr>
        <w:pStyle w:val="9"/>
        <w:spacing w:after="0" w:line="249" w:lineRule="auto"/>
        <w:rPr>
          <w:rFonts w:hint="eastAsia"/>
        </w:rPr>
      </w:pPr>
    </w:p>
    <w:p w14:paraId="34E0D221">
      <w:pPr>
        <w:pStyle w:val="9"/>
        <w:spacing w:after="0" w:line="249" w:lineRule="auto"/>
        <w:rPr>
          <w:rFonts w:hint="eastAsia"/>
        </w:rPr>
      </w:pPr>
      <w:r>
        <w:rPr>
          <w:rFonts w:hint="eastAsia"/>
        </w:rPr>
        <w:t>View of the Consummation</w:t>
      </w:r>
    </w:p>
    <w:p w14:paraId="2FD7BBC7">
      <w:pPr>
        <w:pStyle w:val="9"/>
        <w:spacing w:after="0" w:line="249" w:lineRule="auto"/>
        <w:rPr>
          <w:rFonts w:hint="eastAsia"/>
        </w:rPr>
      </w:pPr>
      <w:r>
        <w:rPr>
          <w:rFonts w:hint="eastAsia"/>
        </w:rPr>
        <w:t>对结局的看法</w:t>
      </w:r>
    </w:p>
    <w:p w14:paraId="1D03DB1B">
      <w:pPr>
        <w:pStyle w:val="9"/>
        <w:spacing w:after="0" w:line="249" w:lineRule="auto"/>
        <w:rPr>
          <w:rFonts w:hint="eastAsia"/>
        </w:rPr>
      </w:pPr>
    </w:p>
    <w:p w14:paraId="653A495A">
      <w:pPr>
        <w:pStyle w:val="9"/>
        <w:spacing w:after="0" w:line="249" w:lineRule="auto"/>
        <w:rPr>
          <w:rFonts w:hint="eastAsia"/>
        </w:rPr>
      </w:pPr>
      <w:r>
        <w:rPr>
          <w:rFonts w:hint="eastAsia"/>
        </w:rPr>
        <w:t>For those steeped in the simplicity, power, and Christ-centered glory of the NT view of the Consummation, dispensational teaching on this theme is deeply troubling.</w:t>
      </w:r>
    </w:p>
    <w:p w14:paraId="56C5E55E">
      <w:pPr>
        <w:pStyle w:val="9"/>
        <w:spacing w:after="0" w:line="249" w:lineRule="auto"/>
        <w:rPr>
          <w:rFonts w:hint="eastAsia"/>
        </w:rPr>
      </w:pPr>
      <w:r>
        <w:rPr>
          <w:rFonts w:hint="eastAsia"/>
        </w:rPr>
        <w:t>对于那些沉浸在新约关于结局的观点之简洁、大能和以基督为中心的荣耀中的人来说，时代论关于这个主题的教导是深感困扰的。</w:t>
      </w:r>
    </w:p>
    <w:p w14:paraId="469329F3">
      <w:pPr>
        <w:pStyle w:val="9"/>
        <w:spacing w:after="0" w:line="249" w:lineRule="auto"/>
        <w:rPr>
          <w:rFonts w:hint="eastAsia"/>
        </w:rPr>
      </w:pPr>
    </w:p>
    <w:p w14:paraId="53A1123E">
      <w:pPr>
        <w:pStyle w:val="9"/>
        <w:spacing w:after="0" w:line="249" w:lineRule="auto"/>
        <w:rPr>
          <w:rFonts w:hint="eastAsia"/>
        </w:rPr>
      </w:pPr>
      <w:r>
        <w:rPr>
          <w:rFonts w:hint="eastAsia"/>
        </w:rPr>
        <w:t>The great problem here is that Dispensationalism destroys the Blessed Hope of the Church by dismantling its unity; by breaking up the eschatological Diamond into pieces and sewing them like tiny sequins on a false Timeline of future Salvation History.</w:t>
      </w:r>
    </w:p>
    <w:p w14:paraId="0F8B9DCB">
      <w:pPr>
        <w:pStyle w:val="9"/>
        <w:spacing w:after="0" w:line="249" w:lineRule="auto"/>
        <w:rPr>
          <w:rFonts w:hint="eastAsia"/>
        </w:rPr>
      </w:pPr>
      <w:r>
        <w:rPr>
          <w:rFonts w:hint="eastAsia"/>
        </w:rPr>
        <w:t>这里最大的问题是，时代论通过瓦解其统一性来摧毁教会的有福盼望；它将末世论的钻石打碎，像小亮片一样缝在一条虚假的未来救赎历史时间线上。</w:t>
      </w:r>
    </w:p>
    <w:p w14:paraId="21EF4BC1">
      <w:pPr>
        <w:pStyle w:val="9"/>
        <w:spacing w:after="0" w:line="249" w:lineRule="auto"/>
        <w:rPr>
          <w:rFonts w:hint="eastAsia"/>
        </w:rPr>
      </w:pPr>
    </w:p>
    <w:p w14:paraId="2A61D339">
      <w:pPr>
        <w:pStyle w:val="9"/>
        <w:spacing w:after="0" w:line="249" w:lineRule="auto"/>
        <w:rPr>
          <w:rFonts w:hint="eastAsia"/>
        </w:rPr>
      </w:pPr>
      <w:r>
        <w:rPr>
          <w:rFonts w:hint="eastAsia"/>
        </w:rPr>
        <w:t>The result is eschatological controversy, confusion, and discouragement, none of which well serves a people upon whom the ends of the ages have now come (1 Cor. 10:11).</w:t>
      </w:r>
    </w:p>
    <w:p w14:paraId="5482FF64">
      <w:pPr>
        <w:pStyle w:val="9"/>
        <w:spacing w:after="0" w:line="249" w:lineRule="auto"/>
        <w:rPr>
          <w:rFonts w:hint="eastAsia"/>
        </w:rPr>
      </w:pPr>
      <w:r>
        <w:rPr>
          <w:rFonts w:hint="eastAsia"/>
        </w:rPr>
        <w:t>其结果是末世论的争议、混乱和沮丧，这些都无益于那些生在万世的末期的人（林前10:11）。</w:t>
      </w:r>
    </w:p>
    <w:p w14:paraId="0076F39D">
      <w:pPr>
        <w:pStyle w:val="9"/>
        <w:spacing w:after="0" w:line="249" w:lineRule="auto"/>
        <w:rPr>
          <w:rFonts w:hint="eastAsia"/>
        </w:rPr>
      </w:pPr>
    </w:p>
    <w:p w14:paraId="0AF999AC">
      <w:pPr>
        <w:pStyle w:val="9"/>
        <w:spacing w:after="0" w:line="249" w:lineRule="auto"/>
        <w:rPr>
          <w:rFonts w:hint="eastAsia"/>
        </w:rPr>
      </w:pPr>
      <w:r>
        <w:rPr>
          <w:rFonts w:hint="eastAsia"/>
        </w:rPr>
        <w:t>But in order to be more specific, let us work our way through the relevant portions of the dispensational timeline.</w:t>
      </w:r>
    </w:p>
    <w:p w14:paraId="7994BD6A">
      <w:pPr>
        <w:pStyle w:val="9"/>
        <w:spacing w:after="0" w:line="249" w:lineRule="auto"/>
        <w:rPr>
          <w:rFonts w:hint="eastAsia"/>
        </w:rPr>
      </w:pPr>
      <w:r>
        <w:rPr>
          <w:rFonts w:hint="eastAsia"/>
        </w:rPr>
        <w:t>但为了更具体，让我们逐一审视时代论时间线的相关部分。</w:t>
      </w:r>
    </w:p>
    <w:p w14:paraId="0574FA65">
      <w:pPr>
        <w:pStyle w:val="9"/>
        <w:spacing w:after="0" w:line="249" w:lineRule="auto"/>
        <w:rPr>
          <w:rFonts w:hint="eastAsia"/>
        </w:rPr>
      </w:pPr>
    </w:p>
    <w:p w14:paraId="33D3C62F">
      <w:pPr>
        <w:pStyle w:val="9"/>
        <w:spacing w:after="0" w:line="249" w:lineRule="auto"/>
        <w:rPr>
          <w:rFonts w:hint="eastAsia"/>
        </w:rPr>
      </w:pPr>
      <w:r>
        <w:rPr>
          <w:rFonts w:hint="eastAsia"/>
        </w:rPr>
        <w:t>The dispensational vision of the Consummation begins with the Rapture, or Christ’s Coming for his saints, when he secretly returns to the earth, raises the dead (Christians), transforms the living, and removes his glorified Church into heaven, thus marking the onset of a seven-year season of tribulation.</w:t>
      </w:r>
    </w:p>
    <w:p w14:paraId="0EF3891F">
      <w:pPr>
        <w:pStyle w:val="9"/>
        <w:spacing w:after="0" w:line="249" w:lineRule="auto"/>
        <w:rPr>
          <w:rFonts w:hint="eastAsia"/>
        </w:rPr>
      </w:pPr>
      <w:r>
        <w:rPr>
          <w:rFonts w:hint="eastAsia"/>
        </w:rPr>
        <w:t>时代论对结局的构想始于被提，或基督为祂的圣徒而来，届时祂将秘密地回到地上，使死人（基督徒）复活，改变活着的人，并将祂得荣耀的教会挪到天上，从而标志着一个七年灾难季节的开始。</w:t>
      </w:r>
    </w:p>
    <w:p w14:paraId="7059B575">
      <w:pPr>
        <w:pStyle w:val="9"/>
        <w:spacing w:after="0" w:line="249" w:lineRule="auto"/>
        <w:rPr>
          <w:rFonts w:hint="eastAsia"/>
        </w:rPr>
      </w:pPr>
    </w:p>
    <w:p w14:paraId="67CD451A">
      <w:pPr>
        <w:pStyle w:val="9"/>
        <w:spacing w:after="0" w:line="249" w:lineRule="auto"/>
        <w:rPr>
          <w:rFonts w:hint="eastAsia"/>
        </w:rPr>
      </w:pPr>
      <w:r>
        <w:rPr>
          <w:rFonts w:hint="eastAsia"/>
        </w:rPr>
        <w:t>We have seen, however, that this idea is not found in the OT, and that it is based on a faulty exegesis of a small handful of NT texts.</w:t>
      </w:r>
    </w:p>
    <w:p w14:paraId="7D3C7AC2">
      <w:pPr>
        <w:pStyle w:val="9"/>
        <w:spacing w:after="0" w:line="249" w:lineRule="auto"/>
        <w:rPr>
          <w:rFonts w:hint="eastAsia"/>
        </w:rPr>
      </w:pPr>
      <w:r>
        <w:rPr>
          <w:rFonts w:hint="eastAsia"/>
        </w:rPr>
        <w:t>然而，我们已经看到，这个观点在旧约中找不到，而且它是基于对少数几段新约经文的错误释经。</w:t>
      </w:r>
    </w:p>
    <w:p w14:paraId="15954FB0">
      <w:pPr>
        <w:pStyle w:val="9"/>
        <w:spacing w:after="0" w:line="249" w:lineRule="auto"/>
        <w:rPr>
          <w:rFonts w:hint="eastAsia"/>
        </w:rPr>
      </w:pPr>
    </w:p>
    <w:p w14:paraId="7F3CB57D">
      <w:pPr>
        <w:pStyle w:val="9"/>
        <w:spacing w:after="0" w:line="249" w:lineRule="auto"/>
        <w:rPr>
          <w:rFonts w:hint="eastAsia"/>
        </w:rPr>
      </w:pPr>
      <w:r>
        <w:rPr>
          <w:rFonts w:hint="eastAsia"/>
        </w:rPr>
        <w:t>In truth, the Rapture—or the gathering together of all the glorified saints to meet the Lord in the air—occurs at the one Parousia, when Christ returns in visible power and glory, raises all the dead, and judges all men before his glorious throne (Mt. 13, 25, 1 Thess. 4).</w:t>
      </w:r>
    </w:p>
    <w:p w14:paraId="2036C336">
      <w:pPr>
        <w:pStyle w:val="9"/>
        <w:spacing w:after="0" w:line="249" w:lineRule="auto"/>
        <w:rPr>
          <w:rFonts w:hint="eastAsia"/>
        </w:rPr>
      </w:pPr>
      <w:r>
        <w:rPr>
          <w:rFonts w:hint="eastAsia"/>
        </w:rPr>
        <w:t>事实上，被提——或所有得荣耀的圣徒被聚集在空中与主相遇——发生在那唯一一次的再来之时，届时基督将带着有形的能力和荣耀再来，使所有死人复活，并在祂荣耀的宝座前审判所有的人（太13, 25，帖前4）。</w:t>
      </w:r>
    </w:p>
    <w:p w14:paraId="4118EDBB">
      <w:pPr>
        <w:pStyle w:val="9"/>
        <w:spacing w:after="0" w:line="249" w:lineRule="auto"/>
        <w:rPr>
          <w:rFonts w:hint="eastAsia"/>
        </w:rPr>
      </w:pPr>
    </w:p>
    <w:p w14:paraId="1126960C">
      <w:pPr>
        <w:pStyle w:val="9"/>
        <w:spacing w:after="0" w:line="249" w:lineRule="auto"/>
        <w:rPr>
          <w:rFonts w:hint="eastAsia"/>
        </w:rPr>
      </w:pPr>
      <w:r>
        <w:rPr>
          <w:rFonts w:hint="eastAsia"/>
        </w:rPr>
        <w:t>Next comes the seven-year Tribulation, or the 70th week of Daniel.</w:t>
      </w:r>
    </w:p>
    <w:p w14:paraId="7E1BC210">
      <w:pPr>
        <w:pStyle w:val="9"/>
        <w:spacing w:after="0" w:line="249" w:lineRule="auto"/>
        <w:rPr>
          <w:rFonts w:hint="eastAsia"/>
        </w:rPr>
      </w:pPr>
      <w:r>
        <w:rPr>
          <w:rFonts w:hint="eastAsia"/>
        </w:rPr>
        <w:t>接着是七年的灾难期，或但以理的第70个七。</w:t>
      </w:r>
    </w:p>
    <w:p w14:paraId="2FFA690F">
      <w:pPr>
        <w:pStyle w:val="9"/>
        <w:spacing w:after="0" w:line="249" w:lineRule="auto"/>
        <w:rPr>
          <w:rFonts w:hint="eastAsia"/>
        </w:rPr>
      </w:pPr>
    </w:p>
    <w:p w14:paraId="3109DC8D">
      <w:pPr>
        <w:pStyle w:val="9"/>
        <w:spacing w:after="0" w:line="249" w:lineRule="auto"/>
        <w:rPr>
          <w:rFonts w:hint="eastAsia"/>
        </w:rPr>
      </w:pPr>
      <w:r>
        <w:rPr>
          <w:rFonts w:hint="eastAsia"/>
        </w:rPr>
        <w:t>Here, error abounds.</w:t>
      </w:r>
    </w:p>
    <w:p w14:paraId="25D22678">
      <w:pPr>
        <w:pStyle w:val="9"/>
        <w:spacing w:after="0" w:line="249" w:lineRule="auto"/>
        <w:rPr>
          <w:rFonts w:hint="eastAsia"/>
        </w:rPr>
      </w:pPr>
      <w:r>
        <w:rPr>
          <w:rFonts w:hint="eastAsia"/>
        </w:rPr>
        <w:t>在这里，错误比比皆是。</w:t>
      </w:r>
    </w:p>
    <w:p w14:paraId="35B18CA3">
      <w:pPr>
        <w:pStyle w:val="9"/>
        <w:spacing w:after="0" w:line="249" w:lineRule="auto"/>
        <w:rPr>
          <w:rFonts w:hint="eastAsia"/>
        </w:rPr>
      </w:pPr>
    </w:p>
    <w:p w14:paraId="45B18128">
      <w:pPr>
        <w:pStyle w:val="9"/>
        <w:spacing w:after="0" w:line="249" w:lineRule="auto"/>
        <w:rPr>
          <w:rFonts w:hint="eastAsia"/>
        </w:rPr>
      </w:pPr>
      <w:r>
        <w:rPr>
          <w:rFonts w:hint="eastAsia"/>
        </w:rPr>
        <w:t>We have seen, for example, that “the Great Tribulation” of Revelation 7:14 is the entire present evil age, wherein the saints have always been persecuted; that the permutations of three and a half found in the Revelation symbolize the entire Era of Proclamation as a season of persecution; and that “the greatest tribulation” of which Christ spoke in Matthew 24:21 is a brief season of unspecified length at the end of the age, a season of tribulation for both the Church and the world.</w:t>
      </w:r>
    </w:p>
    <w:p w14:paraId="1081A252">
      <w:pPr>
        <w:pStyle w:val="9"/>
        <w:spacing w:after="0" w:line="249" w:lineRule="auto"/>
        <w:rPr>
          <w:rFonts w:hint="eastAsia"/>
        </w:rPr>
      </w:pPr>
      <w:r>
        <w:rPr>
          <w:rFonts w:hint="eastAsia"/>
        </w:rPr>
        <w:t>例如，我们已经看到，启示录7:14的“大灾难”是整个现今的邪恶世代，圣徒在其中一直受到迫害；启示录中出现的三年半的各种表述，象征着整个传讲时代是一个受迫害的季节；基督在马太福音24:21中所说的“最大的灾难”是时代末了一个未指明长度的短暂时期，是教会和世界同受的灾难时期。</w:t>
      </w:r>
    </w:p>
    <w:p w14:paraId="6CD049BD">
      <w:pPr>
        <w:pStyle w:val="9"/>
        <w:spacing w:after="0" w:line="249" w:lineRule="auto"/>
        <w:rPr>
          <w:rFonts w:hint="eastAsia"/>
        </w:rPr>
      </w:pPr>
    </w:p>
    <w:p w14:paraId="7C65DFEF">
      <w:pPr>
        <w:pStyle w:val="9"/>
        <w:spacing w:after="0" w:line="249" w:lineRule="auto"/>
        <w:rPr>
          <w:rFonts w:hint="eastAsia"/>
        </w:rPr>
      </w:pPr>
      <w:r>
        <w:rPr>
          <w:rFonts w:hint="eastAsia"/>
        </w:rPr>
        <w:t>Using symbolic language, Daniel spoke of this very season, describing it as the final “seven” (or week) of Salvation History; the “week” in which the Antichrist would rise to power, deceive the world, and persecute the saints (Dan. 9).</w:t>
      </w:r>
    </w:p>
    <w:p w14:paraId="5E7EC24E">
      <w:pPr>
        <w:pStyle w:val="9"/>
        <w:spacing w:after="0" w:line="249" w:lineRule="auto"/>
        <w:rPr>
          <w:rFonts w:hint="eastAsia"/>
        </w:rPr>
      </w:pPr>
      <w:r>
        <w:rPr>
          <w:rFonts w:hint="eastAsia"/>
        </w:rPr>
        <w:t>但以理使用象征性语言谈到了这个时期，将其描述为救赎历史最后的“一个七”（或一周）；在这个“七”中，敌基督将兴起掌权，欺骗世界，并迫害圣徒（但9）。</w:t>
      </w:r>
    </w:p>
    <w:p w14:paraId="5763DEC9">
      <w:pPr>
        <w:pStyle w:val="9"/>
        <w:spacing w:after="0" w:line="249" w:lineRule="auto"/>
        <w:rPr>
          <w:rFonts w:hint="eastAsia"/>
        </w:rPr>
      </w:pPr>
    </w:p>
    <w:p w14:paraId="78487178">
      <w:pPr>
        <w:pStyle w:val="9"/>
        <w:spacing w:after="0" w:line="249" w:lineRule="auto"/>
        <w:rPr>
          <w:rFonts w:hint="eastAsia"/>
        </w:rPr>
      </w:pPr>
      <w:r>
        <w:rPr>
          <w:rFonts w:hint="eastAsia"/>
        </w:rPr>
        <w:t>So then, the Scriptures do not teach that the final season of tribulation will last seven years; and most certainly they do not teach that the Church will escape it.</w:t>
      </w:r>
    </w:p>
    <w:p w14:paraId="2F3D235A">
      <w:pPr>
        <w:pStyle w:val="9"/>
        <w:spacing w:after="0" w:line="249" w:lineRule="auto"/>
        <w:rPr>
          <w:rFonts w:hint="eastAsia"/>
        </w:rPr>
      </w:pPr>
      <w:r>
        <w:rPr>
          <w:rFonts w:hint="eastAsia"/>
        </w:rPr>
        <w:t>所以，圣经并没有教导说最后的灾难季节将持续七年；而且它们肯定没有教导说教会将逃脱它。</w:t>
      </w:r>
    </w:p>
    <w:p w14:paraId="48F1CE14">
      <w:pPr>
        <w:pStyle w:val="9"/>
        <w:spacing w:after="0" w:line="249" w:lineRule="auto"/>
        <w:rPr>
          <w:rFonts w:hint="eastAsia"/>
        </w:rPr>
      </w:pPr>
    </w:p>
    <w:p w14:paraId="7E0916F3">
      <w:pPr>
        <w:pStyle w:val="9"/>
        <w:spacing w:after="0" w:line="249" w:lineRule="auto"/>
        <w:rPr>
          <w:rFonts w:hint="eastAsia"/>
        </w:rPr>
      </w:pPr>
      <w:r>
        <w:rPr>
          <w:rFonts w:hint="eastAsia"/>
        </w:rPr>
        <w:t>Quite to the contrary, whether in the Old or New Testaments, the Holy Spirit clearly reveals these solemn truths in order to prepare the saints to endure this brief final season of hardship—this Last Battle—as good soldiers of Jesus Christ (2 Tim. 2:3, 4:5).</w:t>
      </w:r>
    </w:p>
    <w:p w14:paraId="2BECD5E9">
      <w:pPr>
        <w:pStyle w:val="9"/>
        <w:spacing w:after="0" w:line="249" w:lineRule="auto"/>
        <w:rPr>
          <w:rFonts w:hint="eastAsia"/>
        </w:rPr>
      </w:pPr>
      <w:r>
        <w:rPr>
          <w:rFonts w:hint="eastAsia"/>
        </w:rPr>
        <w:t>恰恰相反，无论在旧约还是新约中，圣灵都清楚地启示了这些严肃的真理，为要预备圣徒像耶稣基督的精兵一样，忍受这短暂的最后艰难时期——这最后的争战（提后2:3, 4:5）。</w:t>
      </w:r>
    </w:p>
    <w:p w14:paraId="46B4D12C">
      <w:pPr>
        <w:pStyle w:val="9"/>
        <w:spacing w:after="0" w:line="249" w:lineRule="auto"/>
        <w:rPr>
          <w:rFonts w:hint="eastAsia"/>
        </w:rPr>
      </w:pPr>
    </w:p>
    <w:p w14:paraId="3FF3CA40">
      <w:pPr>
        <w:pStyle w:val="9"/>
        <w:spacing w:after="0" w:line="249" w:lineRule="auto"/>
        <w:rPr>
          <w:rFonts w:hint="eastAsia"/>
        </w:rPr>
      </w:pPr>
      <w:r>
        <w:rPr>
          <w:rFonts w:hint="eastAsia"/>
        </w:rPr>
        <w:t>Next we have Christ’s Coming with his saints, at which time he will (allegedly) judge the living nations that have passed through the Tribulation.</w:t>
      </w:r>
    </w:p>
    <w:p w14:paraId="1C8491B9">
      <w:pPr>
        <w:pStyle w:val="9"/>
        <w:spacing w:after="0" w:line="249" w:lineRule="auto"/>
        <w:rPr>
          <w:rFonts w:hint="eastAsia"/>
        </w:rPr>
      </w:pPr>
      <w:r>
        <w:rPr>
          <w:rFonts w:hint="eastAsia"/>
        </w:rPr>
        <w:t>接着我们看到基督与祂的圣徒一同降临，届时祂将（据称）审判那些经历了灾难期的活着的列国。</w:t>
      </w:r>
    </w:p>
    <w:p w14:paraId="53FC76F7">
      <w:pPr>
        <w:pStyle w:val="9"/>
        <w:spacing w:after="0" w:line="249" w:lineRule="auto"/>
        <w:rPr>
          <w:rFonts w:hint="eastAsia"/>
        </w:rPr>
      </w:pPr>
    </w:p>
    <w:p w14:paraId="5F1007D4">
      <w:pPr>
        <w:pStyle w:val="9"/>
        <w:spacing w:after="0" w:line="249" w:lineRule="auto"/>
        <w:rPr>
          <w:rFonts w:hint="eastAsia"/>
        </w:rPr>
      </w:pPr>
      <w:r>
        <w:rPr>
          <w:rFonts w:hint="eastAsia"/>
        </w:rPr>
        <w:t>Here the dispensational error is at its worst, seeing that this view of the Parousia so egregiously empties the Consummation of its Christ-centered power and glory.</w:t>
      </w:r>
    </w:p>
    <w:p w14:paraId="529C2366">
      <w:pPr>
        <w:pStyle w:val="9"/>
        <w:spacing w:after="0" w:line="249" w:lineRule="auto"/>
        <w:rPr>
          <w:rFonts w:hint="eastAsia"/>
        </w:rPr>
      </w:pPr>
      <w:r>
        <w:rPr>
          <w:rFonts w:hint="eastAsia"/>
        </w:rPr>
        <w:t>在这里，时代论的错误达到了最坏的程度，因为这种对再来的看法极其恶劣地将结局中以基督为中心的能力和荣耀掏空。</w:t>
      </w:r>
    </w:p>
    <w:p w14:paraId="7B800546">
      <w:pPr>
        <w:pStyle w:val="9"/>
        <w:spacing w:after="0" w:line="249" w:lineRule="auto"/>
        <w:rPr>
          <w:rFonts w:hint="eastAsia"/>
        </w:rPr>
      </w:pPr>
    </w:p>
    <w:p w14:paraId="26DA7246">
      <w:pPr>
        <w:pStyle w:val="9"/>
        <w:spacing w:after="0" w:line="249" w:lineRule="auto"/>
        <w:rPr>
          <w:rFonts w:hint="eastAsia"/>
        </w:rPr>
      </w:pPr>
      <w:r>
        <w:rPr>
          <w:rFonts w:hint="eastAsia"/>
        </w:rPr>
        <w:t>As we saw in our journey, there is but one Parousia of Christ, not two (i.e., a Coming for his saints, followed by a Coming with his saints).</w:t>
      </w:r>
    </w:p>
    <w:p w14:paraId="1FE61937">
      <w:pPr>
        <w:pStyle w:val="9"/>
        <w:spacing w:after="0" w:line="249" w:lineRule="auto"/>
        <w:rPr>
          <w:rFonts w:hint="eastAsia"/>
        </w:rPr>
      </w:pPr>
      <w:r>
        <w:rPr>
          <w:rFonts w:hint="eastAsia"/>
        </w:rPr>
        <w:t>正如我们在旅程中所见，基督只有一次再来，不是两次（即一次为祂的圣徒而来，然后一次与祂的圣徒同来）。</w:t>
      </w:r>
    </w:p>
    <w:p w14:paraId="36AD2325">
      <w:pPr>
        <w:pStyle w:val="9"/>
        <w:spacing w:after="0" w:line="249" w:lineRule="auto"/>
        <w:rPr>
          <w:rFonts w:hint="eastAsia"/>
        </w:rPr>
      </w:pPr>
    </w:p>
    <w:p w14:paraId="0E3877C4">
      <w:pPr>
        <w:pStyle w:val="9"/>
        <w:spacing w:after="0" w:line="249" w:lineRule="auto"/>
        <w:rPr>
          <w:rFonts w:hint="eastAsia"/>
        </w:rPr>
      </w:pPr>
      <w:r>
        <w:rPr>
          <w:rFonts w:hint="eastAsia"/>
        </w:rPr>
        <w:t>Moreover, this Parousia is cosmic in scope, and absolutely ultimate in impact.</w:t>
      </w:r>
    </w:p>
    <w:p w14:paraId="632990C1">
      <w:pPr>
        <w:pStyle w:val="9"/>
        <w:spacing w:after="0" w:line="249" w:lineRule="auto"/>
        <w:rPr>
          <w:rFonts w:hint="eastAsia"/>
        </w:rPr>
      </w:pPr>
      <w:r>
        <w:rPr>
          <w:rFonts w:hint="eastAsia"/>
        </w:rPr>
        <w:t>此外，这次再来在范围上是宇宙性的，在影响上是绝对终极的。</w:t>
      </w:r>
    </w:p>
    <w:p w14:paraId="45C9F1E6">
      <w:pPr>
        <w:pStyle w:val="9"/>
        <w:spacing w:after="0" w:line="249" w:lineRule="auto"/>
        <w:rPr>
          <w:rFonts w:hint="eastAsia"/>
        </w:rPr>
      </w:pPr>
    </w:p>
    <w:p w14:paraId="7C246298">
      <w:pPr>
        <w:pStyle w:val="9"/>
        <w:spacing w:after="0" w:line="249" w:lineRule="auto"/>
        <w:rPr>
          <w:rFonts w:hint="eastAsia"/>
        </w:rPr>
      </w:pPr>
      <w:r>
        <w:rPr>
          <w:rFonts w:hint="eastAsia"/>
        </w:rPr>
        <w:t>Here Christ raises or transforms all who have ever lived; here he judges all sentient beings, whether men or angels; here he destroys the old cosmos and creates a new one out of its ashes; here he lays down the completed Kingdom as a radiant trophy before his Father’s feet, and concludes his Messianic reign, rather than begins it!</w:t>
      </w:r>
    </w:p>
    <w:p w14:paraId="5995D36B">
      <w:pPr>
        <w:pStyle w:val="9"/>
        <w:spacing w:after="0" w:line="249" w:lineRule="auto"/>
        <w:rPr>
          <w:rFonts w:hint="eastAsia"/>
        </w:rPr>
      </w:pPr>
      <w:r>
        <w:rPr>
          <w:rFonts w:hint="eastAsia"/>
        </w:rPr>
        <w:t>在这里，基督使所有活过的人复活或改变；在这里，祂审判所有有知觉的活物，无论是人还是天使；在这里，祂毁灭旧的宇宙，并从其灰烬中创造一个新的；在这里，祂将已完成的国度作为光辉的战利品呈献在祂父的脚前，并结束祂弥赛亚的统治，而不是开始它！</w:t>
      </w:r>
    </w:p>
    <w:p w14:paraId="0B1F40D9">
      <w:pPr>
        <w:pStyle w:val="9"/>
        <w:spacing w:after="0" w:line="249" w:lineRule="auto"/>
        <w:rPr>
          <w:rFonts w:hint="eastAsia"/>
        </w:rPr>
      </w:pPr>
    </w:p>
    <w:p w14:paraId="6042C292">
      <w:pPr>
        <w:pStyle w:val="9"/>
        <w:spacing w:after="0" w:line="249" w:lineRule="auto"/>
        <w:rPr>
          <w:rFonts w:hint="eastAsia"/>
        </w:rPr>
      </w:pPr>
      <w:r>
        <w:rPr>
          <w:rFonts w:hint="eastAsia"/>
        </w:rPr>
        <w:t>Contrary to all this NT teaching, Dispensationalism has Christ’s Coming affecting a small portion of humanity by a partial resurrection, a partial judgment, and a partial transformation of nature.</w:t>
      </w:r>
    </w:p>
    <w:p w14:paraId="66B1A61E">
      <w:pPr>
        <w:pStyle w:val="9"/>
        <w:spacing w:after="0" w:line="249" w:lineRule="auto"/>
        <w:rPr>
          <w:rFonts w:hint="eastAsia"/>
        </w:rPr>
      </w:pPr>
      <w:r>
        <w:rPr>
          <w:rFonts w:hint="eastAsia"/>
        </w:rPr>
        <w:t>与所有这些新约教导相反，时代论认为基督的降临只影响一小部分人类，带来的是局部的复活、局部的审判和局部的自然界转变。</w:t>
      </w:r>
    </w:p>
    <w:p w14:paraId="328EB402">
      <w:pPr>
        <w:pStyle w:val="9"/>
        <w:spacing w:after="0" w:line="249" w:lineRule="auto"/>
        <w:rPr>
          <w:rFonts w:hint="eastAsia"/>
        </w:rPr>
      </w:pPr>
    </w:p>
    <w:p w14:paraId="1855CC9E">
      <w:pPr>
        <w:pStyle w:val="9"/>
        <w:spacing w:after="0" w:line="249" w:lineRule="auto"/>
        <w:rPr>
          <w:rFonts w:hint="eastAsia"/>
        </w:rPr>
      </w:pPr>
      <w:r>
        <w:rPr>
          <w:rFonts w:hint="eastAsia"/>
        </w:rPr>
        <w:t>Certainly our dispensational brethren do not mean it so, but in point of fact their teaching on the Parousia runs sharply athwart the true purpose of God for the Consummation, grievously detracting from the unspeakable glory of the High King of Heaven at his return.</w:t>
      </w:r>
    </w:p>
    <w:p w14:paraId="078D638D">
      <w:pPr>
        <w:pStyle w:val="9"/>
        <w:spacing w:after="0" w:line="249" w:lineRule="auto"/>
        <w:rPr>
          <w:rFonts w:hint="eastAsia"/>
        </w:rPr>
      </w:pPr>
      <w:r>
        <w:rPr>
          <w:rFonts w:hint="eastAsia"/>
        </w:rPr>
        <w:t>当然，我们的时代论弟兄们并非有意如此，但事实上，他们关于再来的教导与神对结局的真正目的背道而驰，严重减损了天上至高君王在祂再来时那无法言喻的荣耀。</w:t>
      </w:r>
    </w:p>
    <w:p w14:paraId="51E2DC33">
      <w:pPr>
        <w:pStyle w:val="9"/>
        <w:spacing w:after="0" w:line="249" w:lineRule="auto"/>
        <w:rPr>
          <w:rFonts w:hint="eastAsia"/>
        </w:rPr>
      </w:pPr>
    </w:p>
    <w:p w14:paraId="3CC4BC2D">
      <w:pPr>
        <w:pStyle w:val="9"/>
        <w:spacing w:after="0" w:line="249" w:lineRule="auto"/>
        <w:rPr>
          <w:rFonts w:hint="eastAsia"/>
        </w:rPr>
      </w:pPr>
      <w:r>
        <w:rPr>
          <w:rFonts w:hint="eastAsia"/>
        </w:rPr>
        <w:t>Next comes the Millennium.</w:t>
      </w:r>
    </w:p>
    <w:p w14:paraId="3F485CF2">
      <w:pPr>
        <w:pStyle w:val="9"/>
        <w:spacing w:after="0" w:line="249" w:lineRule="auto"/>
        <w:rPr>
          <w:rFonts w:hint="eastAsia"/>
        </w:rPr>
      </w:pPr>
      <w:r>
        <w:rPr>
          <w:rFonts w:hint="eastAsia"/>
        </w:rPr>
        <w:t>接下来是千禧年。</w:t>
      </w:r>
    </w:p>
    <w:p w14:paraId="2138082D">
      <w:pPr>
        <w:pStyle w:val="9"/>
        <w:spacing w:after="0" w:line="249" w:lineRule="auto"/>
        <w:rPr>
          <w:rFonts w:hint="eastAsia"/>
        </w:rPr>
      </w:pPr>
    </w:p>
    <w:p w14:paraId="2E1033EC">
      <w:pPr>
        <w:pStyle w:val="9"/>
        <w:spacing w:after="0" w:line="249" w:lineRule="auto"/>
        <w:rPr>
          <w:rFonts w:hint="eastAsia"/>
        </w:rPr>
      </w:pPr>
      <w:r>
        <w:rPr>
          <w:rFonts w:hint="eastAsia"/>
        </w:rPr>
        <w:t>As we have seen, by placing it in the future, dispensationalists misrepresent the true structure of the Kingdom, and further disrupt the unity of the Consummation by requiring yet a third (stage of the) Consummation to occur at the close of the Millennium.</w:t>
      </w:r>
    </w:p>
    <w:p w14:paraId="73536AC1">
      <w:pPr>
        <w:pStyle w:val="9"/>
        <w:spacing w:after="0" w:line="249" w:lineRule="auto"/>
        <w:rPr>
          <w:rFonts w:hint="eastAsia"/>
        </w:rPr>
      </w:pPr>
      <w:r>
        <w:rPr>
          <w:rFonts w:hint="eastAsia"/>
        </w:rPr>
        <w:t>正如我们所见，通过将其置于未来，时代论者歪曲了国度的真实结构，并通过要求在千禧年结束时发生第三次（阶段的）结局，进一步破坏了结局的统一性。</w:t>
      </w:r>
    </w:p>
    <w:p w14:paraId="505FDE64">
      <w:pPr>
        <w:pStyle w:val="9"/>
        <w:spacing w:after="0" w:line="249" w:lineRule="auto"/>
        <w:rPr>
          <w:rFonts w:hint="eastAsia"/>
        </w:rPr>
      </w:pPr>
    </w:p>
    <w:p w14:paraId="1F41B5E3">
      <w:pPr>
        <w:pStyle w:val="9"/>
        <w:spacing w:after="0" w:line="249" w:lineRule="auto"/>
        <w:rPr>
          <w:rFonts w:hint="eastAsia"/>
        </w:rPr>
      </w:pPr>
      <w:r>
        <w:rPr>
          <w:rFonts w:hint="eastAsia"/>
        </w:rPr>
        <w:t>Neither the Didactic NT nor the Revelation require or permit this, teaching as they do that the thousand years of Revelation 20 symbolize the lengthy era between Christ’s first and second advents, in which the High King of Heaven applies and perfects the redemption that he purchased for his own during his days upon the earth.</w:t>
      </w:r>
    </w:p>
    <w:p w14:paraId="149BF341">
      <w:pPr>
        <w:pStyle w:val="9"/>
        <w:spacing w:after="0" w:line="249" w:lineRule="auto"/>
        <w:rPr>
          <w:rFonts w:hint="eastAsia"/>
        </w:rPr>
      </w:pPr>
      <w:r>
        <w:rPr>
          <w:rFonts w:hint="eastAsia"/>
        </w:rPr>
        <w:t>无论是新约的教义性经文还是启示录，都不要求也不允许这样做，因为它们教导说，启示录第20章的一千年象征着基督第一次和第二次降临之间的漫长时代，在此期间，天上的至高君王应用并成全祂在地上为属自己之人所买赎的救恩。</w:t>
      </w:r>
    </w:p>
    <w:p w14:paraId="391C2E31">
      <w:pPr>
        <w:pStyle w:val="9"/>
        <w:spacing w:after="0" w:line="249" w:lineRule="auto"/>
        <w:rPr>
          <w:rFonts w:hint="eastAsia"/>
        </w:rPr>
      </w:pPr>
    </w:p>
    <w:p w14:paraId="29CE46F3">
      <w:pPr>
        <w:pStyle w:val="9"/>
        <w:spacing w:after="0" w:line="249" w:lineRule="auto"/>
        <w:rPr>
          <w:rFonts w:hint="eastAsia"/>
        </w:rPr>
      </w:pPr>
      <w:r>
        <w:rPr>
          <w:rFonts w:hint="eastAsia"/>
        </w:rPr>
        <w:t>How wonderfully amillennialism unifies, simplifies, and illuminates all things, including the Consummation!</w:t>
      </w:r>
    </w:p>
    <w:p w14:paraId="687DAB0F">
      <w:pPr>
        <w:pStyle w:val="9"/>
        <w:spacing w:after="0" w:line="249" w:lineRule="auto"/>
        <w:rPr>
          <w:rFonts w:hint="eastAsia"/>
        </w:rPr>
      </w:pPr>
      <w:r>
        <w:rPr>
          <w:rFonts w:hint="eastAsia"/>
        </w:rPr>
        <w:t>无千禧年论何等奇妙地统一、简化和阐明了万事，包括结局！</w:t>
      </w:r>
    </w:p>
    <w:p w14:paraId="78040306">
      <w:pPr>
        <w:pStyle w:val="9"/>
        <w:spacing w:after="0" w:line="249" w:lineRule="auto"/>
        <w:rPr>
          <w:rFonts w:hint="eastAsia"/>
        </w:rPr>
      </w:pPr>
    </w:p>
    <w:p w14:paraId="7CA11313">
      <w:pPr>
        <w:pStyle w:val="9"/>
        <w:spacing w:after="0" w:line="249" w:lineRule="auto"/>
        <w:rPr>
          <w:rFonts w:hint="eastAsia"/>
        </w:rPr>
      </w:pPr>
      <w:r>
        <w:rPr>
          <w:rFonts w:hint="eastAsia"/>
        </w:rPr>
        <w:t>We conclude, then, that the dispensational view of the Consummation seriously departs from Scripture, needlessly robbing Christ of his proper glory, and needlessly confusing the saints by breaking up the one Consummation into multiple comings, resurrections, judgments, and transformations of nature.</w:t>
      </w:r>
    </w:p>
    <w:p w14:paraId="201E1722">
      <w:pPr>
        <w:pStyle w:val="9"/>
        <w:spacing w:after="0" w:line="249" w:lineRule="auto"/>
        <w:rPr>
          <w:rFonts w:hint="eastAsia"/>
        </w:rPr>
      </w:pPr>
      <w:r>
        <w:rPr>
          <w:rFonts w:hint="eastAsia"/>
        </w:rPr>
        <w:t>因此，我们得出结论，时代论对结局的看法严重偏离了圣经，不必要地剥夺了基督应有的荣耀，并不必要地通过将一个结局分解为多次的降临、复活、审判和自然界的转变来迷惑圣徒。</w:t>
      </w:r>
    </w:p>
    <w:p w14:paraId="5869D16A">
      <w:pPr>
        <w:pStyle w:val="9"/>
        <w:spacing w:after="0" w:line="249" w:lineRule="auto"/>
        <w:rPr>
          <w:rFonts w:hint="eastAsia"/>
        </w:rPr>
      </w:pPr>
    </w:p>
    <w:p w14:paraId="34137123">
      <w:pPr>
        <w:pStyle w:val="9"/>
        <w:spacing w:after="0" w:line="249" w:lineRule="auto"/>
        <w:rPr>
          <w:rFonts w:hint="eastAsia"/>
        </w:rPr>
      </w:pPr>
      <w:r>
        <w:rPr>
          <w:rFonts w:hint="eastAsia"/>
        </w:rPr>
        <w:t>Surely, after so many years of confusion and controversy on this score, it is time for our dispensational brothers seriously to rethink their position, so that in the difficult days ahead we all may stand firm in one spirit, with one mind striving together for the faith of the Gospel (Phil. 1:27).</w:t>
      </w:r>
    </w:p>
    <w:p w14:paraId="539EA8BB">
      <w:pPr>
        <w:pStyle w:val="9"/>
        <w:spacing w:after="0" w:line="249" w:lineRule="auto"/>
        <w:rPr>
          <w:rFonts w:hint="eastAsia"/>
        </w:rPr>
      </w:pPr>
      <w:r>
        <w:rPr>
          <w:rFonts w:hint="eastAsia"/>
        </w:rPr>
        <w:t>当然，在这一点上经历了这么多年的混乱和争议之后，我们的时代论弟兄们是时候认真反思他们的立场了，以便在未来艰难的日子里，我们都能同有一个心志，站立得稳，为所信的福音齐心努力（腓1:27）。</w:t>
      </w:r>
    </w:p>
    <w:p w14:paraId="36B9D0BE">
      <w:pPr>
        <w:pStyle w:val="9"/>
        <w:spacing w:after="0" w:line="249" w:lineRule="auto"/>
        <w:rPr>
          <w:rFonts w:hint="eastAsia"/>
        </w:rPr>
      </w:pPr>
    </w:p>
    <w:p w14:paraId="237BCBD0">
      <w:pPr>
        <w:pStyle w:val="9"/>
        <w:spacing w:after="0" w:line="249" w:lineRule="auto"/>
        <w:rPr>
          <w:rFonts w:hint="eastAsia"/>
        </w:rPr>
      </w:pPr>
      <w:r>
        <w:rPr>
          <w:rFonts w:hint="eastAsia"/>
        </w:rPr>
        <w:t>View of OTKP</w:t>
      </w:r>
    </w:p>
    <w:p w14:paraId="38928B9F">
      <w:pPr>
        <w:pStyle w:val="9"/>
        <w:spacing w:after="0" w:line="249" w:lineRule="auto"/>
        <w:rPr>
          <w:rFonts w:hint="eastAsia"/>
        </w:rPr>
      </w:pPr>
      <w:r>
        <w:rPr>
          <w:rFonts w:hint="eastAsia"/>
        </w:rPr>
        <w:t>对旧约国度预言的看法</w:t>
      </w:r>
    </w:p>
    <w:p w14:paraId="3BFFC7DD">
      <w:pPr>
        <w:pStyle w:val="9"/>
        <w:spacing w:after="0" w:line="249" w:lineRule="auto"/>
        <w:rPr>
          <w:rFonts w:hint="eastAsia"/>
        </w:rPr>
      </w:pPr>
    </w:p>
    <w:p w14:paraId="630AC6F6">
      <w:pPr>
        <w:pStyle w:val="9"/>
        <w:spacing w:after="0" w:line="249" w:lineRule="auto"/>
        <w:rPr>
          <w:rFonts w:hint="eastAsia"/>
        </w:rPr>
      </w:pPr>
      <w:r>
        <w:rPr>
          <w:rFonts w:hint="eastAsia"/>
        </w:rPr>
        <w:t>Classic dispensationalists interpret OTKP’s in a severely literal manner.</w:t>
      </w:r>
    </w:p>
    <w:p w14:paraId="0F356E52">
      <w:pPr>
        <w:pStyle w:val="9"/>
        <w:spacing w:after="0" w:line="249" w:lineRule="auto"/>
        <w:rPr>
          <w:rFonts w:hint="eastAsia"/>
        </w:rPr>
      </w:pPr>
      <w:r>
        <w:rPr>
          <w:rFonts w:hint="eastAsia"/>
        </w:rPr>
        <w:t>古典时代论者以一种极其字面的方式来解释旧约国度预言。</w:t>
      </w:r>
    </w:p>
    <w:p w14:paraId="2F5853CA">
      <w:pPr>
        <w:pStyle w:val="9"/>
        <w:spacing w:after="0" w:line="249" w:lineRule="auto"/>
        <w:rPr>
          <w:rFonts w:hint="eastAsia"/>
        </w:rPr>
      </w:pPr>
    </w:p>
    <w:p w14:paraId="383EF660">
      <w:pPr>
        <w:pStyle w:val="9"/>
        <w:spacing w:after="0" w:line="249" w:lineRule="auto"/>
        <w:rPr>
          <w:rFonts w:hint="eastAsia"/>
        </w:rPr>
      </w:pPr>
      <w:r>
        <w:rPr>
          <w:rFonts w:hint="eastAsia"/>
        </w:rPr>
        <w:t>Charles Ryrie asserts that this literal hermeneutic necessarily generates a premillennial system, and he is right: We cannot interpret OTKP’s literally unless we find or create a stage of the Kingdom in which they can be literally fulfilled.</w:t>
      </w:r>
    </w:p>
    <w:p w14:paraId="20D8F3DB">
      <w:pPr>
        <w:pStyle w:val="9"/>
        <w:spacing w:after="0" w:line="249" w:lineRule="auto"/>
        <w:rPr>
          <w:rFonts w:hint="eastAsia"/>
        </w:rPr>
      </w:pPr>
      <w:r>
        <w:rPr>
          <w:rFonts w:hint="eastAsia"/>
        </w:rPr>
        <w:t>查尔斯·赖瑞（Charles Ryrie）断言，这种字面释经法必然会产生一个前千禧年体系，他是对的：我们无法按字面意思解释旧约国度预言，除非我们找到或创造一个它们可以按字面意思应验的国度阶段。</w:t>
      </w:r>
    </w:p>
    <w:p w14:paraId="07A5651D">
      <w:pPr>
        <w:pStyle w:val="9"/>
        <w:spacing w:after="0" w:line="249" w:lineRule="auto"/>
        <w:rPr>
          <w:rFonts w:hint="eastAsia"/>
        </w:rPr>
      </w:pPr>
    </w:p>
    <w:p w14:paraId="58463E94">
      <w:pPr>
        <w:pStyle w:val="9"/>
        <w:spacing w:after="0" w:line="249" w:lineRule="auto"/>
        <w:rPr>
          <w:rFonts w:hint="eastAsia"/>
        </w:rPr>
      </w:pPr>
      <w:r>
        <w:rPr>
          <w:rFonts w:hint="eastAsia"/>
        </w:rPr>
        <w:t>We have seen, however, that going down this road immediately entangles the interpreter in a host of insuperable difficulties: historical anachronisms, apparent contradictions, a resurrection of the OT Law, a rebuilding of the wall between Jew and Gentile, and the problem of millennial conditions said to endure forever (Isaiah 60:21, 65:18, Jer. 17:25, 31:36, Ezek. 37:25, 43:7, Hosea 2:19, Joel 3:20, etc.).</w:t>
      </w:r>
    </w:p>
    <w:p w14:paraId="4155FC34">
      <w:pPr>
        <w:pStyle w:val="9"/>
        <w:spacing w:after="0" w:line="249" w:lineRule="auto"/>
        <w:rPr>
          <w:rFonts w:hint="eastAsia"/>
        </w:rPr>
      </w:pPr>
      <w:r>
        <w:rPr>
          <w:rFonts w:hint="eastAsia"/>
        </w:rPr>
        <w:t>然而，我们已经看到，走这条路会立即让解释者陷入一系列无法克服的困难之中：历史的时代错乱、明显的矛盾、旧约律法的复兴、重建犹太人与外邦人之间的墙，以及据说将永远持续的千禧年状况的问题（以赛亚书60:21, 65:18, 耶利米书17:25, 31:36, 以西结书37:25, 43:7, 何西阿书2:19, 约珥书3:20等）。</w:t>
      </w:r>
    </w:p>
    <w:p w14:paraId="466EE990">
      <w:pPr>
        <w:pStyle w:val="9"/>
        <w:spacing w:after="0" w:line="249" w:lineRule="auto"/>
        <w:rPr>
          <w:rFonts w:hint="eastAsia"/>
        </w:rPr>
      </w:pPr>
    </w:p>
    <w:p w14:paraId="2613D3BD">
      <w:pPr>
        <w:pStyle w:val="9"/>
        <w:spacing w:after="0" w:line="249" w:lineRule="auto"/>
        <w:rPr>
          <w:rFonts w:hint="eastAsia"/>
        </w:rPr>
      </w:pPr>
      <w:r>
        <w:rPr>
          <w:rFonts w:hint="eastAsia"/>
        </w:rPr>
        <w:t>More importantly still, we have seen that the NT gives us a simple, two- staged Kingdom—an Era of Proclamation, followed by the eternal World to Come—with the result that there is simply no room for a future Millennium.</w:t>
      </w:r>
    </w:p>
    <w:p w14:paraId="28D18AFF">
      <w:pPr>
        <w:pStyle w:val="9"/>
        <w:spacing w:after="0" w:line="249" w:lineRule="auto"/>
        <w:rPr>
          <w:rFonts w:hint="eastAsia"/>
        </w:rPr>
      </w:pPr>
      <w:r>
        <w:rPr>
          <w:rFonts w:hint="eastAsia"/>
        </w:rPr>
        <w:t>更重要的是，我们已经看到，新约给我们提供了一个简单的、两阶段的国度——传讲的时代，其后是永恒的来世——结果是根本没有为未来的千禧年留下空间。</w:t>
      </w:r>
    </w:p>
    <w:p w14:paraId="47B3BEDB">
      <w:pPr>
        <w:pStyle w:val="9"/>
        <w:spacing w:after="0" w:line="249" w:lineRule="auto"/>
        <w:rPr>
          <w:rFonts w:hint="eastAsia"/>
        </w:rPr>
      </w:pPr>
    </w:p>
    <w:p w14:paraId="0A6583C2">
      <w:pPr>
        <w:pStyle w:val="9"/>
        <w:spacing w:after="0" w:line="249" w:lineRule="auto"/>
        <w:rPr>
          <w:rFonts w:hint="eastAsia"/>
        </w:rPr>
      </w:pPr>
      <w:r>
        <w:rPr>
          <w:rFonts w:hint="eastAsia"/>
        </w:rPr>
        <w:t>In effect, NT teaching demands that we approach OTKP (and Revelation 20) using an entirely different hermeneutic; a hermeneutic that interprets OTKP typologically, christologically, covenantally, eschatologically, and ecclesiologically.</w:t>
      </w:r>
    </w:p>
    <w:p w14:paraId="1BAFE805">
      <w:pPr>
        <w:pStyle w:val="9"/>
        <w:spacing w:after="0" w:line="249" w:lineRule="auto"/>
        <w:rPr>
          <w:rFonts w:hint="eastAsia"/>
        </w:rPr>
      </w:pPr>
      <w:r>
        <w:rPr>
          <w:rFonts w:hint="eastAsia"/>
        </w:rPr>
        <w:t>实际上，新约的教导要求我们用一种完全不同的释经学来处理旧约国度预言（和启示录第20章）；一种从预表、基督论、圣约、末世论和教会论的角度来解释旧约国度预言的释经学。</w:t>
      </w:r>
    </w:p>
    <w:p w14:paraId="58B56117">
      <w:pPr>
        <w:pStyle w:val="9"/>
        <w:spacing w:after="0" w:line="249" w:lineRule="auto"/>
        <w:rPr>
          <w:rFonts w:hint="eastAsia"/>
        </w:rPr>
      </w:pPr>
    </w:p>
    <w:p w14:paraId="47A40C39">
      <w:pPr>
        <w:pStyle w:val="9"/>
        <w:spacing w:after="0" w:line="249" w:lineRule="auto"/>
        <w:rPr>
          <w:rFonts w:hint="eastAsia"/>
        </w:rPr>
      </w:pPr>
      <w:r>
        <w:rPr>
          <w:rFonts w:hint="eastAsia"/>
        </w:rPr>
        <w:t>In short, it demands that we use the New Covenant Hermeneutic, precisely as Christ and the apostles taught us to do.</w:t>
      </w:r>
    </w:p>
    <w:p w14:paraId="20C7B81A">
      <w:pPr>
        <w:pStyle w:val="9"/>
        <w:spacing w:after="0" w:line="249" w:lineRule="auto"/>
        <w:rPr>
          <w:rFonts w:hint="eastAsia"/>
        </w:rPr>
      </w:pPr>
      <w:r>
        <w:rPr>
          <w:rFonts w:hint="eastAsia"/>
        </w:rPr>
        <w:t>简而言之，它要求我们使用新约释经学，正如基督和使徒们教导我们做的那样。</w:t>
      </w:r>
    </w:p>
    <w:p w14:paraId="635A5073">
      <w:pPr>
        <w:pStyle w:val="9"/>
        <w:spacing w:after="0" w:line="249" w:lineRule="auto"/>
        <w:rPr>
          <w:rFonts w:hint="eastAsia"/>
        </w:rPr>
      </w:pPr>
    </w:p>
    <w:p w14:paraId="138D5A8A">
      <w:pPr>
        <w:pStyle w:val="9"/>
        <w:spacing w:after="0" w:line="249" w:lineRule="auto"/>
        <w:rPr>
          <w:rFonts w:hint="eastAsia"/>
        </w:rPr>
      </w:pPr>
      <w:r>
        <w:rPr>
          <w:rFonts w:hint="eastAsia"/>
        </w:rPr>
        <w:t>Progressive dispensationalists clearly feel the force of these arguments.</w:t>
      </w:r>
    </w:p>
    <w:p w14:paraId="200C71E8">
      <w:pPr>
        <w:pStyle w:val="9"/>
        <w:spacing w:after="0" w:line="249" w:lineRule="auto"/>
        <w:rPr>
          <w:rFonts w:hint="eastAsia"/>
        </w:rPr>
      </w:pPr>
      <w:r>
        <w:rPr>
          <w:rFonts w:hint="eastAsia"/>
        </w:rPr>
        <w:t>渐进式时代论者清楚地感受到了这些论点的力量。</w:t>
      </w:r>
    </w:p>
    <w:p w14:paraId="1C59B3CF">
      <w:pPr>
        <w:pStyle w:val="9"/>
        <w:spacing w:after="0" w:line="249" w:lineRule="auto"/>
        <w:rPr>
          <w:rFonts w:hint="eastAsia"/>
        </w:rPr>
      </w:pPr>
    </w:p>
    <w:p w14:paraId="39B78C83">
      <w:pPr>
        <w:pStyle w:val="9"/>
        <w:spacing w:after="0" w:line="249" w:lineRule="auto"/>
        <w:rPr>
          <w:rFonts w:hint="eastAsia"/>
        </w:rPr>
      </w:pPr>
      <w:r>
        <w:rPr>
          <w:rFonts w:hint="eastAsia"/>
        </w:rPr>
        <w:t>As a result, they now bid their classic dispensational brethren to join them in exploring a new hermeneutic.</w:t>
      </w:r>
    </w:p>
    <w:p w14:paraId="0358F756">
      <w:pPr>
        <w:pStyle w:val="9"/>
        <w:spacing w:after="0" w:line="249" w:lineRule="auto"/>
        <w:rPr>
          <w:rFonts w:hint="eastAsia"/>
        </w:rPr>
      </w:pPr>
      <w:r>
        <w:rPr>
          <w:rFonts w:hint="eastAsia"/>
        </w:rPr>
        <w:t>因此，他们现在邀请他们的古典时代论弟兄们与他们一同探索一种新的释经学。</w:t>
      </w:r>
    </w:p>
    <w:p w14:paraId="104EBE28">
      <w:pPr>
        <w:pStyle w:val="9"/>
        <w:spacing w:after="0" w:line="249" w:lineRule="auto"/>
        <w:rPr>
          <w:rFonts w:hint="eastAsia"/>
        </w:rPr>
      </w:pPr>
    </w:p>
    <w:p w14:paraId="0427C0F5">
      <w:pPr>
        <w:pStyle w:val="9"/>
        <w:spacing w:after="0" w:line="249" w:lineRule="auto"/>
        <w:rPr>
          <w:rFonts w:hint="eastAsia"/>
        </w:rPr>
      </w:pPr>
      <w:r>
        <w:rPr>
          <w:rFonts w:hint="eastAsia"/>
        </w:rPr>
        <w:t>Recognizing, with the NT, that the Kingdom is indeed “already” and “not yet”; that Christ, even now, is reigning upon David’s throne in heaven; and that the Church, under the New Covenant, is indeed participating in the Abrahamic and Davidic covenants, these interpreters—who still adhere to the basic dispensational picture of Salvation History—argue that OTKP has a double fulfillment; that it speaks both of the Church Era, and also of a future Jewish Millennium.</w:t>
      </w:r>
    </w:p>
    <w:p w14:paraId="58500F68">
      <w:pPr>
        <w:pStyle w:val="9"/>
        <w:spacing w:after="0" w:line="249" w:lineRule="auto"/>
        <w:rPr>
          <w:rFonts w:hint="eastAsia"/>
        </w:rPr>
      </w:pPr>
      <w:r>
        <w:rPr>
          <w:rFonts w:hint="eastAsia"/>
        </w:rPr>
        <w:t>这些解释者——他们仍然坚持时代论对救赎历史的基本图景——认识到，正如新约所言，国度确实是“已然”又“未然”的；基督，即使是现在，也正在天上大卫的宝座上作王；教会，在新约之下，确实参与了亚伯拉罕之约和大卫之约。他们主张，旧约国度预言有双重应验；它既论及教会时代，也论及未来的犹太人千禧年。</w:t>
      </w:r>
    </w:p>
    <w:p w14:paraId="39042734">
      <w:pPr>
        <w:pStyle w:val="9"/>
        <w:spacing w:after="0" w:line="249" w:lineRule="auto"/>
        <w:rPr>
          <w:rFonts w:hint="eastAsia"/>
        </w:rPr>
      </w:pPr>
    </w:p>
    <w:p w14:paraId="6AE5D4ED">
      <w:pPr>
        <w:pStyle w:val="9"/>
        <w:spacing w:after="0" w:line="249" w:lineRule="auto"/>
        <w:rPr>
          <w:rFonts w:hint="eastAsia"/>
        </w:rPr>
      </w:pPr>
      <w:r>
        <w:rPr>
          <w:rFonts w:hint="eastAsia"/>
        </w:rPr>
        <w:t>This is a step in the right direction.</w:t>
      </w:r>
    </w:p>
    <w:p w14:paraId="2E3FFC3A">
      <w:pPr>
        <w:pStyle w:val="9"/>
        <w:spacing w:after="0" w:line="249" w:lineRule="auto"/>
        <w:rPr>
          <w:rFonts w:hint="eastAsia"/>
        </w:rPr>
      </w:pPr>
      <w:r>
        <w:rPr>
          <w:rFonts w:hint="eastAsia"/>
        </w:rPr>
        <w:t>这是朝着正确方向迈出的一步。</w:t>
      </w:r>
    </w:p>
    <w:p w14:paraId="0D43FF65">
      <w:pPr>
        <w:pStyle w:val="9"/>
        <w:spacing w:after="0" w:line="249" w:lineRule="auto"/>
        <w:rPr>
          <w:rFonts w:hint="eastAsia"/>
        </w:rPr>
      </w:pPr>
    </w:p>
    <w:p w14:paraId="7C92FD52">
      <w:pPr>
        <w:pStyle w:val="9"/>
        <w:spacing w:after="0" w:line="249" w:lineRule="auto"/>
        <w:rPr>
          <w:rFonts w:hint="eastAsia"/>
        </w:rPr>
      </w:pPr>
      <w:r>
        <w:rPr>
          <w:rFonts w:hint="eastAsia"/>
        </w:rPr>
        <w:t>However, for reasons already explained, I am quite confident that my progressive dispensationalist brethren will find that it is but a first step; a first step in a long journey that can arrive at its happy destination only when they come home to the classic eschatology of their Protestant forefathers.</w:t>
      </w:r>
    </w:p>
    <w:p w14:paraId="66C3FE67">
      <w:pPr>
        <w:pStyle w:val="9"/>
        <w:spacing w:after="0" w:line="249" w:lineRule="auto"/>
        <w:rPr>
          <w:rFonts w:hint="eastAsia"/>
        </w:rPr>
      </w:pPr>
      <w:r>
        <w:rPr>
          <w:rFonts w:hint="eastAsia"/>
        </w:rPr>
        <w:t>然而，基于已经解释过的理由，我相当有信心，我的渐进式时代论弟兄们将会发现这只是第一步；是在漫长旅程中的第一步，这个旅程只有当他们回归到他们新教先辈的古典末世论时，才能到达其幸福的终点。</w:t>
      </w:r>
    </w:p>
    <w:p w14:paraId="7EA2278D">
      <w:pPr>
        <w:pStyle w:val="9"/>
        <w:spacing w:after="0" w:line="249" w:lineRule="auto"/>
        <w:rPr>
          <w:rFonts w:hint="eastAsia"/>
        </w:rPr>
      </w:pPr>
    </w:p>
    <w:p w14:paraId="5A3456C6">
      <w:pPr>
        <w:pStyle w:val="9"/>
        <w:spacing w:after="0" w:line="249" w:lineRule="auto"/>
        <w:rPr>
          <w:rFonts w:hint="eastAsia"/>
        </w:rPr>
      </w:pPr>
      <w:r>
        <w:rPr>
          <w:rFonts w:hint="eastAsia"/>
        </w:rPr>
        <w:t>View of the Revelation</w:t>
      </w:r>
    </w:p>
    <w:p w14:paraId="39D5FA18">
      <w:pPr>
        <w:pStyle w:val="9"/>
        <w:spacing w:after="0" w:line="249" w:lineRule="auto"/>
        <w:rPr>
          <w:rFonts w:hint="eastAsia"/>
        </w:rPr>
      </w:pPr>
      <w:r>
        <w:rPr>
          <w:rFonts w:hint="eastAsia"/>
        </w:rPr>
        <w:t>对启示录的看法</w:t>
      </w:r>
    </w:p>
    <w:p w14:paraId="3DEAE770">
      <w:pPr>
        <w:pStyle w:val="9"/>
        <w:spacing w:after="0" w:line="249" w:lineRule="auto"/>
        <w:rPr>
          <w:rFonts w:hint="eastAsia"/>
        </w:rPr>
      </w:pPr>
    </w:p>
    <w:p w14:paraId="742B3838">
      <w:pPr>
        <w:pStyle w:val="9"/>
        <w:spacing w:after="0" w:line="249" w:lineRule="auto"/>
        <w:rPr>
          <w:rFonts w:hint="eastAsia"/>
        </w:rPr>
      </w:pPr>
      <w:r>
        <w:rPr>
          <w:rFonts w:hint="eastAsia"/>
        </w:rPr>
        <w:t>Earlier in our study, I argued that the true foundation of the entire dispensational system is found in its distinctive (and unprecedented) interpretation of Daniel 9:24-27, the prophecy of the 70 weeks.</w:t>
      </w:r>
    </w:p>
    <w:p w14:paraId="18B840E3">
      <w:pPr>
        <w:pStyle w:val="9"/>
        <w:spacing w:after="0" w:line="249" w:lineRule="auto"/>
        <w:rPr>
          <w:rFonts w:hint="eastAsia"/>
        </w:rPr>
      </w:pPr>
      <w:r>
        <w:rPr>
          <w:rFonts w:hint="eastAsia"/>
        </w:rPr>
        <w:t>在我们研究的早些时候，我曾论证说，整个时代论体系的真正基础，在于其对但以理书9:24-27，即70个七的预言的独特性（且前所未有）的解释。</w:t>
      </w:r>
    </w:p>
    <w:p w14:paraId="193688C4">
      <w:pPr>
        <w:pStyle w:val="9"/>
        <w:spacing w:after="0" w:line="249" w:lineRule="auto"/>
        <w:rPr>
          <w:rFonts w:hint="eastAsia"/>
        </w:rPr>
      </w:pPr>
    </w:p>
    <w:p w14:paraId="26E9D96E">
      <w:pPr>
        <w:pStyle w:val="9"/>
        <w:spacing w:after="0" w:line="249" w:lineRule="auto"/>
        <w:rPr>
          <w:rFonts w:hint="eastAsia"/>
        </w:rPr>
      </w:pPr>
      <w:r>
        <w:rPr>
          <w:rFonts w:hint="eastAsia"/>
        </w:rPr>
        <w:t>According to this view, the great theme of Daniel’s prophecy is Israel’s future glory in the millennial kingdom (9:24).</w:t>
      </w:r>
    </w:p>
    <w:p w14:paraId="70AA5B99">
      <w:pPr>
        <w:pStyle w:val="9"/>
        <w:spacing w:after="0" w:line="249" w:lineRule="auto"/>
        <w:rPr>
          <w:rFonts w:hint="eastAsia"/>
        </w:rPr>
      </w:pPr>
      <w:r>
        <w:rPr>
          <w:rFonts w:hint="eastAsia"/>
        </w:rPr>
        <w:t>根据这个观点，但以理预言的宏大主题是以色列在千禧年国度中未来的荣耀（9:24）。</w:t>
      </w:r>
    </w:p>
    <w:p w14:paraId="16732BE2">
      <w:pPr>
        <w:pStyle w:val="9"/>
        <w:spacing w:after="0" w:line="249" w:lineRule="auto"/>
        <w:rPr>
          <w:rFonts w:hint="eastAsia"/>
        </w:rPr>
      </w:pPr>
    </w:p>
    <w:p w14:paraId="1D27521B">
      <w:pPr>
        <w:pStyle w:val="9"/>
        <w:spacing w:after="0" w:line="249" w:lineRule="auto"/>
        <w:rPr>
          <w:rFonts w:hint="eastAsia"/>
        </w:rPr>
      </w:pPr>
      <w:r>
        <w:rPr>
          <w:rFonts w:hint="eastAsia"/>
        </w:rPr>
        <w:t>To attain this glory, she must traverse “seventy sevens,” that is, 490 calendar years.</w:t>
      </w:r>
    </w:p>
    <w:p w14:paraId="25EE48B2">
      <w:pPr>
        <w:pStyle w:val="9"/>
        <w:spacing w:after="0" w:line="249" w:lineRule="auto"/>
        <w:rPr>
          <w:rFonts w:hint="eastAsia"/>
        </w:rPr>
      </w:pPr>
      <w:r>
        <w:rPr>
          <w:rFonts w:hint="eastAsia"/>
        </w:rPr>
        <w:t>为要获得这份荣耀，她必须经过“七十个七”，也就是490个日历年。</w:t>
      </w:r>
    </w:p>
    <w:p w14:paraId="108C03B4">
      <w:pPr>
        <w:pStyle w:val="9"/>
        <w:spacing w:after="0" w:line="249" w:lineRule="auto"/>
        <w:rPr>
          <w:rFonts w:hint="eastAsia"/>
        </w:rPr>
      </w:pPr>
    </w:p>
    <w:p w14:paraId="1CAA523C">
      <w:pPr>
        <w:pStyle w:val="9"/>
        <w:spacing w:after="0" w:line="249" w:lineRule="auto"/>
        <w:rPr>
          <w:rFonts w:hint="eastAsia"/>
        </w:rPr>
      </w:pPr>
      <w:r>
        <w:rPr>
          <w:rFonts w:hint="eastAsia"/>
        </w:rPr>
        <w:t>The 69 weeks began with Artaxerxes’ decree to rebuild Jerusalem and ended at the birth (or triumphal entry) of Christ.</w:t>
      </w:r>
    </w:p>
    <w:p w14:paraId="63B6FBCC">
      <w:pPr>
        <w:pStyle w:val="9"/>
        <w:spacing w:after="0" w:line="249" w:lineRule="auto"/>
        <w:rPr>
          <w:rFonts w:hint="eastAsia"/>
        </w:rPr>
      </w:pPr>
      <w:r>
        <w:rPr>
          <w:rFonts w:hint="eastAsia"/>
        </w:rPr>
        <w:t>69个七始于亚达薛西重建耶路撒冷的谕旨，结束于基督的诞生（或荣入圣城）。</w:t>
      </w:r>
    </w:p>
    <w:p w14:paraId="15DB4E46">
      <w:pPr>
        <w:pStyle w:val="9"/>
        <w:spacing w:after="0" w:line="249" w:lineRule="auto"/>
        <w:rPr>
          <w:rFonts w:hint="eastAsia"/>
        </w:rPr>
      </w:pPr>
    </w:p>
    <w:p w14:paraId="32B3824D">
      <w:pPr>
        <w:pStyle w:val="9"/>
        <w:spacing w:after="0" w:line="249" w:lineRule="auto"/>
        <w:rPr>
          <w:rFonts w:hint="eastAsia"/>
        </w:rPr>
      </w:pPr>
      <w:r>
        <w:rPr>
          <w:rFonts w:hint="eastAsia"/>
        </w:rPr>
        <w:t>Having described them, Daniel quietly leaps over the entire Church Era, for it must remain a mystery completely unforeseen in OTKP, reserved for Christ to reveal.</w:t>
      </w:r>
    </w:p>
    <w:p w14:paraId="444617BD">
      <w:pPr>
        <w:pStyle w:val="9"/>
        <w:spacing w:after="0" w:line="249" w:lineRule="auto"/>
        <w:rPr>
          <w:rFonts w:hint="eastAsia"/>
        </w:rPr>
      </w:pPr>
      <w:r>
        <w:rPr>
          <w:rFonts w:hint="eastAsia"/>
        </w:rPr>
        <w:t>在描述了这些之后，但以理悄然跳过了整个教会时代，因为它必须保持为一个在旧约国度预言中完全未曾预见的奥秘，留待基督来启示。</w:t>
      </w:r>
    </w:p>
    <w:p w14:paraId="00498081">
      <w:pPr>
        <w:pStyle w:val="9"/>
        <w:spacing w:after="0" w:line="249" w:lineRule="auto"/>
        <w:rPr>
          <w:rFonts w:hint="eastAsia"/>
        </w:rPr>
      </w:pPr>
    </w:p>
    <w:p w14:paraId="377788E6">
      <w:pPr>
        <w:pStyle w:val="9"/>
        <w:spacing w:after="0" w:line="249" w:lineRule="auto"/>
        <w:rPr>
          <w:rFonts w:hint="eastAsia"/>
        </w:rPr>
      </w:pPr>
      <w:r>
        <w:rPr>
          <w:rFonts w:hint="eastAsia"/>
        </w:rPr>
        <w:t>Finally, he describes the last week, the 70th.</w:t>
      </w:r>
    </w:p>
    <w:p w14:paraId="35AF3CDD">
      <w:pPr>
        <w:pStyle w:val="9"/>
        <w:spacing w:after="0" w:line="249" w:lineRule="auto"/>
        <w:rPr>
          <w:rFonts w:hint="eastAsia"/>
        </w:rPr>
      </w:pPr>
      <w:r>
        <w:rPr>
          <w:rFonts w:hint="eastAsia"/>
        </w:rPr>
        <w:t>最后，他描述了最后一个七，即第70个七。</w:t>
      </w:r>
    </w:p>
    <w:p w14:paraId="088DD04D">
      <w:pPr>
        <w:pStyle w:val="9"/>
        <w:spacing w:after="0" w:line="249" w:lineRule="auto"/>
        <w:rPr>
          <w:rFonts w:hint="eastAsia"/>
        </w:rPr>
      </w:pPr>
    </w:p>
    <w:p w14:paraId="1467EA28">
      <w:pPr>
        <w:pStyle w:val="9"/>
        <w:spacing w:after="0" w:line="249" w:lineRule="auto"/>
        <w:rPr>
          <w:rFonts w:hint="eastAsia"/>
        </w:rPr>
      </w:pPr>
      <w:r>
        <w:rPr>
          <w:rFonts w:hint="eastAsia"/>
        </w:rPr>
        <w:t>It begins at the Rapture, when Christ removes his Church to heaven, with the result that God’s prophetic time clock for his OT people begins to tick again.</w:t>
      </w:r>
    </w:p>
    <w:p w14:paraId="527A2B36">
      <w:pPr>
        <w:pStyle w:val="9"/>
        <w:spacing w:after="0" w:line="249" w:lineRule="auto"/>
        <w:rPr>
          <w:rFonts w:hint="eastAsia"/>
        </w:rPr>
      </w:pPr>
      <w:r>
        <w:rPr>
          <w:rFonts w:hint="eastAsia"/>
        </w:rPr>
        <w:t>它始于被提之时，当基督将祂的教会挪到天上，结果是神为祂旧约子民所设的预言时钟又开始滴答作响。</w:t>
      </w:r>
    </w:p>
    <w:p w14:paraId="0CE55F8F">
      <w:pPr>
        <w:pStyle w:val="9"/>
        <w:spacing w:after="0" w:line="249" w:lineRule="auto"/>
        <w:rPr>
          <w:rFonts w:hint="eastAsia"/>
        </w:rPr>
      </w:pPr>
    </w:p>
    <w:p w14:paraId="3E6C56AA">
      <w:pPr>
        <w:pStyle w:val="9"/>
        <w:spacing w:after="0" w:line="249" w:lineRule="auto"/>
        <w:rPr>
          <w:rFonts w:hint="eastAsia"/>
        </w:rPr>
      </w:pPr>
      <w:r>
        <w:rPr>
          <w:rFonts w:hint="eastAsia"/>
        </w:rPr>
        <w:t>This final week is nothing other than the Tribulation, repeatedly spoken of both in the Old and New Testaments.</w:t>
      </w:r>
    </w:p>
    <w:p w14:paraId="590219F2">
      <w:pPr>
        <w:pStyle w:val="9"/>
        <w:spacing w:after="0" w:line="249" w:lineRule="auto"/>
        <w:rPr>
          <w:rFonts w:hint="eastAsia"/>
        </w:rPr>
      </w:pPr>
      <w:r>
        <w:rPr>
          <w:rFonts w:hint="eastAsia"/>
        </w:rPr>
        <w:t>这最后一个七，正是旧约和新约中反复提及的灾难期。</w:t>
      </w:r>
    </w:p>
    <w:p w14:paraId="2870888C">
      <w:pPr>
        <w:pStyle w:val="9"/>
        <w:spacing w:after="0" w:line="249" w:lineRule="auto"/>
        <w:rPr>
          <w:rFonts w:hint="eastAsia"/>
        </w:rPr>
      </w:pPr>
    </w:p>
    <w:p w14:paraId="67CBD026">
      <w:pPr>
        <w:pStyle w:val="9"/>
        <w:spacing w:after="0" w:line="249" w:lineRule="auto"/>
        <w:rPr>
          <w:rFonts w:hint="eastAsia"/>
        </w:rPr>
      </w:pPr>
      <w:r>
        <w:rPr>
          <w:rFonts w:hint="eastAsia"/>
        </w:rPr>
        <w:t>In the middle of this week, the Antichrist arises, bringing on a Great Tribulation of three and a half years.</w:t>
      </w:r>
    </w:p>
    <w:p w14:paraId="03071DD3">
      <w:pPr>
        <w:pStyle w:val="9"/>
        <w:spacing w:after="0" w:line="249" w:lineRule="auto"/>
        <w:rPr>
          <w:rFonts w:hint="eastAsia"/>
        </w:rPr>
      </w:pPr>
      <w:r>
        <w:rPr>
          <w:rFonts w:hint="eastAsia"/>
        </w:rPr>
        <w:t>在这一七之半，敌基督兴起，带来一个三年半的大灾难。</w:t>
      </w:r>
    </w:p>
    <w:p w14:paraId="0446AF18">
      <w:pPr>
        <w:pStyle w:val="9"/>
        <w:spacing w:after="0" w:line="249" w:lineRule="auto"/>
        <w:rPr>
          <w:rFonts w:hint="eastAsia"/>
        </w:rPr>
      </w:pPr>
    </w:p>
    <w:p w14:paraId="70DFB7AE">
      <w:pPr>
        <w:pStyle w:val="9"/>
        <w:spacing w:after="0" w:line="249" w:lineRule="auto"/>
        <w:rPr>
          <w:rFonts w:hint="eastAsia"/>
        </w:rPr>
      </w:pPr>
      <w:r>
        <w:rPr>
          <w:rFonts w:hint="eastAsia"/>
        </w:rPr>
        <w:t>At the end of the Great Tribulation, Christ comes again with his Church and for his OT people, to destroy the Antichrist, judge the nations, and inaugurate the blessings of the Kingdom Age promised to Daniel and his people.</w:t>
      </w:r>
    </w:p>
    <w:p w14:paraId="59CDD8A2">
      <w:pPr>
        <w:pStyle w:val="9"/>
        <w:spacing w:after="0" w:line="249" w:lineRule="auto"/>
        <w:rPr>
          <w:rFonts w:hint="eastAsia"/>
        </w:rPr>
      </w:pPr>
      <w:r>
        <w:rPr>
          <w:rFonts w:hint="eastAsia"/>
        </w:rPr>
        <w:t>在大灾难的末了，基督再次与祂的教会一同降临，并为祂的旧约子民而来，为要摧毁敌基督，审判列国，并开启那应许给但以理和他百姓的国度时代的祝福。</w:t>
      </w:r>
    </w:p>
    <w:p w14:paraId="0A4FE1EE">
      <w:pPr>
        <w:pStyle w:val="9"/>
        <w:spacing w:after="0" w:line="249" w:lineRule="auto"/>
        <w:rPr>
          <w:rFonts w:hint="eastAsia"/>
        </w:rPr>
      </w:pPr>
    </w:p>
    <w:p w14:paraId="526F5EF7">
      <w:pPr>
        <w:pStyle w:val="9"/>
        <w:spacing w:after="0" w:line="249" w:lineRule="auto"/>
        <w:rPr>
          <w:rFonts w:hint="eastAsia"/>
        </w:rPr>
      </w:pPr>
      <w:r>
        <w:rPr>
          <w:rFonts w:hint="eastAsia"/>
        </w:rPr>
        <w:t>Dispensationalists passionately believe that the Revelation confirms their interpretation of Daniel 9, and that these two prophecies, taken together, supply us with the (long-overlooked) Key to the true nature and shape of Salvation History.</w:t>
      </w:r>
    </w:p>
    <w:p w14:paraId="1D3713C5">
      <w:pPr>
        <w:pStyle w:val="9"/>
        <w:spacing w:after="0" w:line="249" w:lineRule="auto"/>
        <w:rPr>
          <w:rFonts w:hint="eastAsia"/>
        </w:rPr>
      </w:pPr>
      <w:r>
        <w:rPr>
          <w:rFonts w:hint="eastAsia"/>
        </w:rPr>
        <w:t>时代论者热情地相信，启示录证实了他们对但以理书第9章的解释，并且这两个预言合在一起，为我们提供了（长期被忽视的）理解救赎历史真实性质和形态的钥匙。</w:t>
      </w:r>
    </w:p>
    <w:p w14:paraId="25E5B104">
      <w:pPr>
        <w:pStyle w:val="9"/>
        <w:spacing w:after="0" w:line="249" w:lineRule="auto"/>
        <w:rPr>
          <w:rFonts w:hint="eastAsia"/>
        </w:rPr>
      </w:pPr>
    </w:p>
    <w:p w14:paraId="3FDFC631">
      <w:pPr>
        <w:pStyle w:val="9"/>
        <w:spacing w:after="0" w:line="249" w:lineRule="auto"/>
        <w:rPr>
          <w:rFonts w:hint="eastAsia"/>
        </w:rPr>
      </w:pPr>
      <w:r>
        <w:rPr>
          <w:rFonts w:hint="eastAsia"/>
        </w:rPr>
        <w:t>To understand all this better, let us briefly discuss the dispensational view of the structure and contents of the Revelation.</w:t>
      </w:r>
    </w:p>
    <w:p w14:paraId="7B492FB8">
      <w:pPr>
        <w:pStyle w:val="9"/>
        <w:spacing w:after="0" w:line="249" w:lineRule="auto"/>
        <w:rPr>
          <w:rFonts w:hint="eastAsia"/>
        </w:rPr>
      </w:pPr>
      <w:r>
        <w:rPr>
          <w:rFonts w:hint="eastAsia"/>
        </w:rPr>
        <w:t>为了更好地理解这一切，让我们简要讨论一下时代论对启示录结构和内容的看法。</w:t>
      </w:r>
    </w:p>
    <w:p w14:paraId="0B350B5E">
      <w:pPr>
        <w:pStyle w:val="9"/>
        <w:spacing w:after="0" w:line="249" w:lineRule="auto"/>
        <w:rPr>
          <w:rFonts w:hint="eastAsia"/>
        </w:rPr>
      </w:pPr>
    </w:p>
    <w:p w14:paraId="61A0F13A">
      <w:pPr>
        <w:pStyle w:val="9"/>
        <w:spacing w:after="0" w:line="249" w:lineRule="auto"/>
        <w:rPr>
          <w:rFonts w:hint="eastAsia"/>
        </w:rPr>
      </w:pPr>
      <w:r>
        <w:rPr>
          <w:rFonts w:hint="eastAsia"/>
        </w:rPr>
        <w:t>Dispensational interpreters assert that in chapters 2-3 the Lord’s true focus is upon the “mysterious” gap between the 69th and 70th week of Daniel; that is, upon the entire Church Era, now some 2000 years long.</w:t>
      </w:r>
    </w:p>
    <w:p w14:paraId="340CFB0A">
      <w:pPr>
        <w:pStyle w:val="9"/>
        <w:spacing w:after="0" w:line="249" w:lineRule="auto"/>
        <w:rPr>
          <w:rFonts w:hint="eastAsia"/>
        </w:rPr>
      </w:pPr>
      <w:r>
        <w:rPr>
          <w:rFonts w:hint="eastAsia"/>
        </w:rPr>
        <w:t>时代论解释者断言，在第2-3章中，主真正的焦点是但以理第69个七和第70个七之间的“奥秘”间隙；也就是说，是整个教会时代，如今已长达约2000年。</w:t>
      </w:r>
    </w:p>
    <w:p w14:paraId="574D205C">
      <w:pPr>
        <w:pStyle w:val="9"/>
        <w:spacing w:after="0" w:line="249" w:lineRule="auto"/>
        <w:rPr>
          <w:rFonts w:hint="eastAsia"/>
        </w:rPr>
      </w:pPr>
    </w:p>
    <w:p w14:paraId="63174024">
      <w:pPr>
        <w:pStyle w:val="9"/>
        <w:spacing w:after="0" w:line="249" w:lineRule="auto"/>
        <w:rPr>
          <w:rFonts w:hint="eastAsia"/>
        </w:rPr>
      </w:pPr>
      <w:r>
        <w:rPr>
          <w:rFonts w:hint="eastAsia"/>
        </w:rPr>
        <w:t>Yes, in these chapters Christ is addressing seven historical churches.</w:t>
      </w:r>
    </w:p>
    <w:p w14:paraId="774EF55D">
      <w:pPr>
        <w:pStyle w:val="9"/>
        <w:spacing w:after="0" w:line="249" w:lineRule="auto"/>
        <w:rPr>
          <w:rFonts w:hint="eastAsia"/>
        </w:rPr>
      </w:pPr>
      <w:r>
        <w:rPr>
          <w:rFonts w:hint="eastAsia"/>
        </w:rPr>
        <w:t>是的，在这些章节中，基督是在对七个历史上的教会说话。</w:t>
      </w:r>
    </w:p>
    <w:p w14:paraId="448297C9">
      <w:pPr>
        <w:pStyle w:val="9"/>
        <w:spacing w:after="0" w:line="249" w:lineRule="auto"/>
        <w:rPr>
          <w:rFonts w:hint="eastAsia"/>
        </w:rPr>
      </w:pPr>
    </w:p>
    <w:p w14:paraId="44F028D9">
      <w:pPr>
        <w:pStyle w:val="9"/>
        <w:spacing w:after="0" w:line="249" w:lineRule="auto"/>
        <w:rPr>
          <w:rFonts w:hint="eastAsia"/>
        </w:rPr>
      </w:pPr>
      <w:r>
        <w:rPr>
          <w:rFonts w:hint="eastAsia"/>
        </w:rPr>
        <w:t>But in so doing, he is also giving us something more: a glimpse of the seven stages of Church history.</w:t>
      </w:r>
    </w:p>
    <w:p w14:paraId="03E34D2F">
      <w:pPr>
        <w:pStyle w:val="9"/>
        <w:spacing w:after="0" w:line="249" w:lineRule="auto"/>
        <w:rPr>
          <w:rFonts w:hint="eastAsia"/>
        </w:rPr>
      </w:pPr>
      <w:r>
        <w:rPr>
          <w:rFonts w:hint="eastAsia"/>
        </w:rPr>
        <w:t>但祂这样做的时候，也给了我们更多的东西：对教会历史七个阶段的一瞥。</w:t>
      </w:r>
    </w:p>
    <w:p w14:paraId="27B7BE86">
      <w:pPr>
        <w:pStyle w:val="9"/>
        <w:spacing w:after="0" w:line="249" w:lineRule="auto"/>
        <w:rPr>
          <w:rFonts w:hint="eastAsia"/>
        </w:rPr>
      </w:pPr>
    </w:p>
    <w:p w14:paraId="3609C8D8">
      <w:pPr>
        <w:pStyle w:val="9"/>
        <w:spacing w:after="0" w:line="249" w:lineRule="auto"/>
        <w:rPr>
          <w:rFonts w:hint="eastAsia"/>
        </w:rPr>
      </w:pPr>
      <w:r>
        <w:rPr>
          <w:rFonts w:hint="eastAsia"/>
        </w:rPr>
        <w:t>Scofield declares that these chapters speak of “. . . the progress of (the Church’s) spiritual state until the end of the Church Age.”1</w:t>
      </w:r>
    </w:p>
    <w:p w14:paraId="3E498CE1">
      <w:pPr>
        <w:pStyle w:val="9"/>
        <w:spacing w:after="0" w:line="249" w:lineRule="auto"/>
        <w:rPr>
          <w:rFonts w:hint="eastAsia"/>
        </w:rPr>
      </w:pPr>
      <w:r>
        <w:rPr>
          <w:rFonts w:hint="eastAsia"/>
        </w:rPr>
        <w:t>司可福（Scofield）宣称，这些章节论及“……（教会）属灵状况的进展，直到教会时代结束。”1</w:t>
      </w:r>
    </w:p>
    <w:p w14:paraId="75263661">
      <w:pPr>
        <w:pStyle w:val="9"/>
        <w:spacing w:after="0" w:line="249" w:lineRule="auto"/>
        <w:rPr>
          <w:rFonts w:hint="eastAsia"/>
        </w:rPr>
      </w:pPr>
    </w:p>
    <w:p w14:paraId="2C5E9FDB">
      <w:pPr>
        <w:pStyle w:val="9"/>
        <w:spacing w:after="0" w:line="249" w:lineRule="auto"/>
        <w:rPr>
          <w:rFonts w:hint="eastAsia"/>
        </w:rPr>
      </w:pPr>
      <w:r>
        <w:rPr>
          <w:rFonts w:hint="eastAsia"/>
        </w:rPr>
        <w:t>This truth is (supposedly) confirmed by the fact that after Rev. 3:22 the word “church” does not appear again.</w:t>
      </w:r>
    </w:p>
    <w:p w14:paraId="71ECC4B7">
      <w:pPr>
        <w:pStyle w:val="9"/>
        <w:spacing w:after="0" w:line="249" w:lineRule="auto"/>
        <w:rPr>
          <w:rFonts w:hint="eastAsia"/>
        </w:rPr>
      </w:pPr>
      <w:r>
        <w:rPr>
          <w:rFonts w:hint="eastAsia"/>
        </w:rPr>
        <w:t>这个真理（据称）被一个事实所证实，即在启示录3:22之后，“教会”一词再也没有出现。</w:t>
      </w:r>
    </w:p>
    <w:p w14:paraId="62EFDDA6">
      <w:pPr>
        <w:pStyle w:val="9"/>
        <w:spacing w:after="0" w:line="249" w:lineRule="auto"/>
        <w:rPr>
          <w:rFonts w:hint="eastAsia"/>
        </w:rPr>
      </w:pPr>
    </w:p>
    <w:p w14:paraId="07999B5D">
      <w:pPr>
        <w:pStyle w:val="9"/>
        <w:spacing w:after="0" w:line="249" w:lineRule="auto"/>
        <w:rPr>
          <w:rFonts w:hint="eastAsia"/>
        </w:rPr>
      </w:pPr>
      <w:r>
        <w:rPr>
          <w:rFonts w:hint="eastAsia"/>
        </w:rPr>
        <w:t>As we shall see in a moment, dispensationalists take this to mean that the true burden of the Revelation (and of Daniel 9 as well) is not the Church’s difficult sojourn through the present evil age into the World to Come, but rather God’s (Tribulation) dealings with ethnic Israel, by which he will prepare her for glory and honor during the thousand-year Kingdom Age.</w:t>
      </w:r>
    </w:p>
    <w:p w14:paraId="342733AB">
      <w:pPr>
        <w:pStyle w:val="9"/>
        <w:spacing w:after="0" w:line="249" w:lineRule="auto"/>
        <w:rPr>
          <w:rFonts w:hint="eastAsia"/>
        </w:rPr>
      </w:pPr>
      <w:r>
        <w:rPr>
          <w:rFonts w:hint="eastAsia"/>
        </w:rPr>
        <w:t>我们马上就会看到，时代论者认为这意味着启示录（以及但以理书第9章）的真正重点，不是教会穿越现今邪恶世代进入来世的艰难旅程，而是神在（灾难期）与种族上的以色列打交道，藉此祂将预备她在千禧年国度时代得荣耀和尊贵。</w:t>
      </w:r>
    </w:p>
    <w:p w14:paraId="26A99D70">
      <w:pPr>
        <w:pStyle w:val="9"/>
        <w:spacing w:after="0" w:line="249" w:lineRule="auto"/>
        <w:rPr>
          <w:rFonts w:hint="eastAsia"/>
        </w:rPr>
      </w:pPr>
    </w:p>
    <w:p w14:paraId="6667AB33">
      <w:pPr>
        <w:pStyle w:val="9"/>
        <w:spacing w:after="0" w:line="249" w:lineRule="auto"/>
        <w:rPr>
          <w:rFonts w:hint="eastAsia"/>
        </w:rPr>
      </w:pPr>
      <w:r>
        <w:rPr>
          <w:rFonts w:hint="eastAsia"/>
        </w:rPr>
        <w:t>Next come chapters 4-5, in which the theme is once again the Church, but this time the Church in heaven, after the Rapture.</w:t>
      </w:r>
    </w:p>
    <w:p w14:paraId="3C1B22EC">
      <w:pPr>
        <w:pStyle w:val="9"/>
        <w:spacing w:after="0" w:line="249" w:lineRule="auto"/>
        <w:rPr>
          <w:rFonts w:hint="eastAsia"/>
        </w:rPr>
      </w:pPr>
      <w:r>
        <w:rPr>
          <w:rFonts w:hint="eastAsia"/>
        </w:rPr>
        <w:t>接着是第4-5章，其主题再次是教会，但这次是在被提之后，在天上的教会。</w:t>
      </w:r>
    </w:p>
    <w:p w14:paraId="1A641164">
      <w:pPr>
        <w:pStyle w:val="9"/>
        <w:spacing w:after="0" w:line="249" w:lineRule="auto"/>
        <w:rPr>
          <w:rFonts w:hint="eastAsia"/>
        </w:rPr>
      </w:pPr>
    </w:p>
    <w:p w14:paraId="07E47A8F">
      <w:pPr>
        <w:pStyle w:val="9"/>
        <w:spacing w:after="0" w:line="249" w:lineRule="auto"/>
        <w:rPr>
          <w:rFonts w:hint="eastAsia"/>
        </w:rPr>
      </w:pPr>
      <w:r>
        <w:rPr>
          <w:rFonts w:hint="eastAsia"/>
        </w:rPr>
        <w:t>How do we know this?</w:t>
      </w:r>
    </w:p>
    <w:p w14:paraId="0126D943">
      <w:pPr>
        <w:pStyle w:val="9"/>
        <w:spacing w:after="0" w:line="249" w:lineRule="auto"/>
        <w:rPr>
          <w:rFonts w:hint="eastAsia"/>
        </w:rPr>
      </w:pPr>
      <w:r>
        <w:rPr>
          <w:rFonts w:hint="eastAsia"/>
        </w:rPr>
        <w:t>我们怎么知道这个？</w:t>
      </w:r>
    </w:p>
    <w:p w14:paraId="2360A482">
      <w:pPr>
        <w:pStyle w:val="9"/>
        <w:spacing w:after="0" w:line="249" w:lineRule="auto"/>
        <w:rPr>
          <w:rFonts w:hint="eastAsia"/>
        </w:rPr>
      </w:pPr>
    </w:p>
    <w:p w14:paraId="71FB433A">
      <w:pPr>
        <w:pStyle w:val="9"/>
        <w:spacing w:after="0" w:line="249" w:lineRule="auto"/>
        <w:rPr>
          <w:rFonts w:hint="eastAsia"/>
        </w:rPr>
      </w:pPr>
      <w:r>
        <w:rPr>
          <w:rFonts w:hint="eastAsia"/>
        </w:rPr>
        <w:t>Dispensationalists reply by pointing out that John now hears a voice, crying, “Come up here” (Rev. 4:1).</w:t>
      </w:r>
    </w:p>
    <w:p w14:paraId="4457BF7F">
      <w:pPr>
        <w:pStyle w:val="9"/>
        <w:spacing w:after="0" w:line="249" w:lineRule="auto"/>
        <w:rPr>
          <w:rFonts w:hint="eastAsia"/>
        </w:rPr>
      </w:pPr>
      <w:r>
        <w:rPr>
          <w:rFonts w:hint="eastAsia"/>
        </w:rPr>
        <w:t>时代论者的回答是，他们指出约翰现在听见一个声音，喊着说：“你上到这里来”（启4:1）。</w:t>
      </w:r>
    </w:p>
    <w:p w14:paraId="3685EF54">
      <w:pPr>
        <w:pStyle w:val="9"/>
        <w:spacing w:after="0" w:line="249" w:lineRule="auto"/>
        <w:rPr>
          <w:rFonts w:hint="eastAsia"/>
        </w:rPr>
      </w:pPr>
    </w:p>
    <w:p w14:paraId="433C7D5E">
      <w:pPr>
        <w:pStyle w:val="9"/>
        <w:spacing w:after="0" w:line="249" w:lineRule="auto"/>
        <w:rPr>
          <w:rFonts w:hint="eastAsia"/>
        </w:rPr>
      </w:pPr>
      <w:r>
        <w:rPr>
          <w:rFonts w:hint="eastAsia"/>
        </w:rPr>
        <w:t>This, they argue, is a “type”: Christ’s upward call—and the apostle’s upward journey—are meant mystically to picture the translation of the Church into heaven at the end of the Church Age.</w:t>
      </w:r>
    </w:p>
    <w:p w14:paraId="3861B9EC">
      <w:pPr>
        <w:pStyle w:val="9"/>
        <w:spacing w:after="0" w:line="249" w:lineRule="auto"/>
        <w:rPr>
          <w:rFonts w:hint="eastAsia"/>
        </w:rPr>
      </w:pPr>
      <w:r>
        <w:rPr>
          <w:rFonts w:hint="eastAsia"/>
        </w:rPr>
        <w:t>他们争辩说，这是一个“预表”：基督向上的呼召——以及使徒向上的旅程——旨在奥秘地描绘在教会时代结束时教会的被提到天上。</w:t>
      </w:r>
    </w:p>
    <w:p w14:paraId="6EE5E362">
      <w:pPr>
        <w:pStyle w:val="9"/>
        <w:spacing w:after="0" w:line="249" w:lineRule="auto"/>
        <w:rPr>
          <w:rFonts w:hint="eastAsia"/>
        </w:rPr>
      </w:pPr>
    </w:p>
    <w:p w14:paraId="10D7967E">
      <w:pPr>
        <w:pStyle w:val="9"/>
        <w:spacing w:after="0" w:line="249" w:lineRule="auto"/>
        <w:rPr>
          <w:rFonts w:hint="eastAsia"/>
        </w:rPr>
      </w:pPr>
      <w:r>
        <w:rPr>
          <w:rFonts w:hint="eastAsia"/>
        </w:rPr>
        <w:t>Accordingly, Scofield asserts that the 24 elders represent the glorified, rewarded, and worshiping Church, now safely at home in heaven because of the Rapture.</w:t>
      </w:r>
    </w:p>
    <w:p w14:paraId="08DB314F">
      <w:pPr>
        <w:pStyle w:val="9"/>
        <w:spacing w:after="0" w:line="249" w:lineRule="auto"/>
        <w:rPr>
          <w:rFonts w:hint="eastAsia"/>
        </w:rPr>
      </w:pPr>
      <w:r>
        <w:rPr>
          <w:rFonts w:hint="eastAsia"/>
        </w:rPr>
        <w:t>因此，司可福断言，24位长老代表了得荣耀、得赏赐和敬拜的教会，如今因被提而安全地在天上的家中。</w:t>
      </w:r>
    </w:p>
    <w:p w14:paraId="0CBB5CFE">
      <w:pPr>
        <w:pStyle w:val="9"/>
        <w:spacing w:after="0" w:line="249" w:lineRule="auto"/>
        <w:rPr>
          <w:rFonts w:hint="eastAsia"/>
        </w:rPr>
      </w:pPr>
    </w:p>
    <w:p w14:paraId="0E343643">
      <w:pPr>
        <w:pStyle w:val="9"/>
        <w:spacing w:after="0" w:line="249" w:lineRule="auto"/>
        <w:rPr>
          <w:rFonts w:hint="eastAsia"/>
        </w:rPr>
      </w:pPr>
      <w:r>
        <w:rPr>
          <w:rFonts w:hint="eastAsia"/>
        </w:rPr>
        <w:t>This brings us to chapters 6-19, and to the great bulk of the prophecy.</w:t>
      </w:r>
    </w:p>
    <w:p w14:paraId="2D9376A5">
      <w:pPr>
        <w:pStyle w:val="9"/>
        <w:spacing w:after="0" w:line="249" w:lineRule="auto"/>
        <w:rPr>
          <w:rFonts w:hint="eastAsia"/>
        </w:rPr>
      </w:pPr>
      <w:r>
        <w:rPr>
          <w:rFonts w:hint="eastAsia"/>
        </w:rPr>
        <w:t>这就把我们带到了第6-19章，以及预言的主体部分。</w:t>
      </w:r>
    </w:p>
    <w:p w14:paraId="14F7AEF0">
      <w:pPr>
        <w:pStyle w:val="9"/>
        <w:spacing w:after="0" w:line="249" w:lineRule="auto"/>
        <w:rPr>
          <w:rFonts w:hint="eastAsia"/>
        </w:rPr>
      </w:pPr>
    </w:p>
    <w:p w14:paraId="53B9E500">
      <w:pPr>
        <w:pStyle w:val="9"/>
        <w:spacing w:after="0" w:line="249" w:lineRule="auto"/>
        <w:rPr>
          <w:rFonts w:hint="eastAsia"/>
        </w:rPr>
      </w:pPr>
      <w:r>
        <w:rPr>
          <w:rFonts w:hint="eastAsia"/>
        </w:rPr>
        <w:t>According to Dispensationalism their theme is the Tribulation, or the seventieth week of Daniel.</w:t>
      </w:r>
    </w:p>
    <w:p w14:paraId="77BA39C6">
      <w:pPr>
        <w:pStyle w:val="9"/>
        <w:spacing w:after="0" w:line="249" w:lineRule="auto"/>
        <w:rPr>
          <w:rFonts w:hint="eastAsia"/>
        </w:rPr>
      </w:pPr>
      <w:r>
        <w:rPr>
          <w:rFonts w:hint="eastAsia"/>
        </w:rPr>
        <w:t>根据时代论，它们的主题是灾难期，或但以理的第七十个七。</w:t>
      </w:r>
    </w:p>
    <w:p w14:paraId="580AAF0D">
      <w:pPr>
        <w:pStyle w:val="9"/>
        <w:spacing w:after="0" w:line="249" w:lineRule="auto"/>
        <w:rPr>
          <w:rFonts w:hint="eastAsia"/>
        </w:rPr>
      </w:pPr>
    </w:p>
    <w:p w14:paraId="609936CD">
      <w:pPr>
        <w:pStyle w:val="9"/>
        <w:spacing w:after="0" w:line="249" w:lineRule="auto"/>
        <w:rPr>
          <w:rFonts w:hint="eastAsia"/>
        </w:rPr>
      </w:pPr>
      <w:r>
        <w:rPr>
          <w:rFonts w:hint="eastAsia"/>
        </w:rPr>
        <w:t>During this season of seven years, 144,000 Jewish evangelists will preach the Gospel of the Kingdom.</w:t>
      </w:r>
    </w:p>
    <w:p w14:paraId="7EA1A929">
      <w:pPr>
        <w:pStyle w:val="9"/>
        <w:spacing w:after="0" w:line="249" w:lineRule="auto"/>
        <w:rPr>
          <w:rFonts w:hint="eastAsia"/>
        </w:rPr>
      </w:pPr>
      <w:r>
        <w:rPr>
          <w:rFonts w:hint="eastAsia"/>
        </w:rPr>
        <w:t>在这七年的季节里，144,000名犹太传道人将传讲国度的福音。</w:t>
      </w:r>
    </w:p>
    <w:p w14:paraId="25D74EF7">
      <w:pPr>
        <w:pStyle w:val="9"/>
        <w:spacing w:after="0" w:line="249" w:lineRule="auto"/>
        <w:rPr>
          <w:rFonts w:hint="eastAsia"/>
        </w:rPr>
      </w:pPr>
    </w:p>
    <w:p w14:paraId="6CDE8843">
      <w:pPr>
        <w:pStyle w:val="9"/>
        <w:spacing w:after="0" w:line="249" w:lineRule="auto"/>
        <w:rPr>
          <w:rFonts w:hint="eastAsia"/>
        </w:rPr>
      </w:pPr>
      <w:r>
        <w:rPr>
          <w:rFonts w:hint="eastAsia"/>
        </w:rPr>
        <w:t>During the first half of the week, many Jews and Gentiles will believe.</w:t>
      </w:r>
    </w:p>
    <w:p w14:paraId="55F6AA76">
      <w:pPr>
        <w:pStyle w:val="9"/>
        <w:spacing w:after="0" w:line="249" w:lineRule="auto"/>
        <w:rPr>
          <w:rFonts w:hint="eastAsia"/>
        </w:rPr>
      </w:pPr>
      <w:r>
        <w:rPr>
          <w:rFonts w:hint="eastAsia"/>
        </w:rPr>
        <w:t>在这一七的前半段，许多犹太人和外邦人会相信。</w:t>
      </w:r>
    </w:p>
    <w:p w14:paraId="3A267A7D">
      <w:pPr>
        <w:pStyle w:val="9"/>
        <w:spacing w:after="0" w:line="249" w:lineRule="auto"/>
        <w:rPr>
          <w:rFonts w:hint="eastAsia"/>
        </w:rPr>
      </w:pPr>
    </w:p>
    <w:p w14:paraId="24EE87B1">
      <w:pPr>
        <w:pStyle w:val="9"/>
        <w:spacing w:after="0" w:line="249" w:lineRule="auto"/>
        <w:rPr>
          <w:rFonts w:hint="eastAsia"/>
        </w:rPr>
      </w:pPr>
      <w:r>
        <w:rPr>
          <w:rFonts w:hint="eastAsia"/>
        </w:rPr>
        <w:t>Then the Beast (i.e., the Antichrist) will arise, and the Great Tribulation will begin.</w:t>
      </w:r>
    </w:p>
    <w:p w14:paraId="22016BAD">
      <w:pPr>
        <w:pStyle w:val="9"/>
        <w:spacing w:after="0" w:line="249" w:lineRule="auto"/>
        <w:rPr>
          <w:rFonts w:hint="eastAsia"/>
        </w:rPr>
      </w:pPr>
      <w:r>
        <w:rPr>
          <w:rFonts w:hint="eastAsia"/>
        </w:rPr>
        <w:t>然后兽（即敌基督）将兴起，大灾难将开始。</w:t>
      </w:r>
    </w:p>
    <w:p w14:paraId="24256B50">
      <w:pPr>
        <w:pStyle w:val="9"/>
        <w:spacing w:after="0" w:line="249" w:lineRule="auto"/>
        <w:rPr>
          <w:rFonts w:hint="eastAsia"/>
        </w:rPr>
      </w:pPr>
    </w:p>
    <w:p w14:paraId="7553D884">
      <w:pPr>
        <w:pStyle w:val="9"/>
        <w:spacing w:after="0" w:line="249" w:lineRule="auto"/>
        <w:rPr>
          <w:rFonts w:hint="eastAsia"/>
        </w:rPr>
      </w:pPr>
      <w:r>
        <w:rPr>
          <w:rFonts w:hint="eastAsia"/>
        </w:rPr>
        <w:t>It will be marked by fierce persecution, but also by serial divine judgments of ever- increasing severity.</w:t>
      </w:r>
    </w:p>
    <w:p w14:paraId="3F7B1D19">
      <w:pPr>
        <w:pStyle w:val="9"/>
        <w:spacing w:after="0" w:line="249" w:lineRule="auto"/>
        <w:rPr>
          <w:rFonts w:hint="eastAsia"/>
        </w:rPr>
      </w:pPr>
      <w:r>
        <w:rPr>
          <w:rFonts w:hint="eastAsia"/>
        </w:rPr>
        <w:t>它的标志将是猛烈的迫害，以及一系列严重程度不断增加的神圣审判。</w:t>
      </w:r>
    </w:p>
    <w:p w14:paraId="23ADA21E">
      <w:pPr>
        <w:pStyle w:val="9"/>
        <w:spacing w:after="0" w:line="249" w:lineRule="auto"/>
        <w:rPr>
          <w:rFonts w:hint="eastAsia"/>
        </w:rPr>
      </w:pPr>
    </w:p>
    <w:p w14:paraId="550C56A6">
      <w:pPr>
        <w:pStyle w:val="9"/>
        <w:spacing w:after="0" w:line="249" w:lineRule="auto"/>
        <w:rPr>
          <w:rFonts w:hint="eastAsia"/>
        </w:rPr>
      </w:pPr>
      <w:r>
        <w:rPr>
          <w:rFonts w:hint="eastAsia"/>
        </w:rPr>
        <w:t>Says Scofield, “The major continuity (in the book) is provided by the events symbolized in the seals (6:1-8:1), the trumpets (8:2- 11:19), and bowls (15:1-16:21).”2</w:t>
      </w:r>
    </w:p>
    <w:p w14:paraId="0F02F6B6">
      <w:pPr>
        <w:pStyle w:val="9"/>
        <w:spacing w:after="0" w:line="249" w:lineRule="auto"/>
        <w:rPr>
          <w:rFonts w:hint="eastAsia"/>
        </w:rPr>
      </w:pPr>
      <w:r>
        <w:rPr>
          <w:rFonts w:hint="eastAsia"/>
        </w:rPr>
        <w:t>司可福说：“（书中）主要的连续性是由印（6:1-8:1）、号（8:2-11:19）和碗（15:1-16:21）所象征的事件提供的。”2</w:t>
      </w:r>
    </w:p>
    <w:p w14:paraId="6186159B">
      <w:pPr>
        <w:pStyle w:val="9"/>
        <w:spacing w:after="0" w:line="249" w:lineRule="auto"/>
        <w:rPr>
          <w:rFonts w:hint="eastAsia"/>
        </w:rPr>
      </w:pPr>
    </w:p>
    <w:p w14:paraId="763A69F7">
      <w:pPr>
        <w:pStyle w:val="9"/>
        <w:spacing w:after="0" w:line="249" w:lineRule="auto"/>
        <w:rPr>
          <w:rFonts w:hint="eastAsia"/>
        </w:rPr>
      </w:pPr>
      <w:r>
        <w:rPr>
          <w:rFonts w:hint="eastAsia"/>
        </w:rPr>
        <w:t>As we saw in chapter 3, dispensationalists assert that the Coming of Christ depicted in Revelation 19 will not consummate God’s plan of salvation, but will bring more conversions, a partial resurrection, a partial judgment, and the inauguration of the Millennium.</w:t>
      </w:r>
    </w:p>
    <w:p w14:paraId="5FAFFD11">
      <w:pPr>
        <w:pStyle w:val="9"/>
        <w:spacing w:after="0" w:line="249" w:lineRule="auto"/>
        <w:rPr>
          <w:rFonts w:hint="eastAsia"/>
        </w:rPr>
      </w:pPr>
      <w:r>
        <w:rPr>
          <w:rFonts w:hint="eastAsia"/>
        </w:rPr>
        <w:t>正如我们在第3章所见，时代论者断言，启示录第19章所描绘的基督降临，并不会终结神的救赎计划，而是会带来更多的归信、一次局部的复活、一次局部的审判，以及千禧年的开始。</w:t>
      </w:r>
    </w:p>
    <w:p w14:paraId="784B6C11">
      <w:pPr>
        <w:pStyle w:val="9"/>
        <w:spacing w:after="0" w:line="249" w:lineRule="auto"/>
        <w:rPr>
          <w:rFonts w:hint="eastAsia"/>
        </w:rPr>
      </w:pPr>
    </w:p>
    <w:p w14:paraId="5C63D245">
      <w:pPr>
        <w:pStyle w:val="9"/>
        <w:spacing w:after="0" w:line="249" w:lineRule="auto"/>
        <w:rPr>
          <w:rFonts w:hint="eastAsia"/>
        </w:rPr>
      </w:pPr>
      <w:r>
        <w:rPr>
          <w:rFonts w:hint="eastAsia"/>
        </w:rPr>
        <w:t>This brings the 70th week of Daniel to a close.</w:t>
      </w:r>
    </w:p>
    <w:p w14:paraId="0E3592FE">
      <w:pPr>
        <w:pStyle w:val="9"/>
        <w:spacing w:after="0" w:line="249" w:lineRule="auto"/>
        <w:rPr>
          <w:rFonts w:hint="eastAsia"/>
        </w:rPr>
      </w:pPr>
      <w:r>
        <w:rPr>
          <w:rFonts w:hint="eastAsia"/>
        </w:rPr>
        <w:t>这就结束了但以理的第70个七。</w:t>
      </w:r>
    </w:p>
    <w:p w14:paraId="78ABACEC">
      <w:pPr>
        <w:pStyle w:val="9"/>
        <w:spacing w:after="0" w:line="249" w:lineRule="auto"/>
        <w:rPr>
          <w:rFonts w:hint="eastAsia"/>
        </w:rPr>
      </w:pPr>
    </w:p>
    <w:p w14:paraId="2C821704">
      <w:pPr>
        <w:pStyle w:val="9"/>
        <w:spacing w:after="0" w:line="249" w:lineRule="auto"/>
        <w:rPr>
          <w:rFonts w:hint="eastAsia"/>
        </w:rPr>
      </w:pPr>
      <w:r>
        <w:rPr>
          <w:rFonts w:hint="eastAsia"/>
        </w:rPr>
        <w:t>Chapter 20 now gives us the great goal of the 70 weeks: the Kingdom Age, in which Israel is finally exalted and all OTKP is finally fulfilled, literally.</w:t>
      </w:r>
    </w:p>
    <w:p w14:paraId="2697D2DD">
      <w:pPr>
        <w:pStyle w:val="9"/>
        <w:spacing w:after="0" w:line="249" w:lineRule="auto"/>
        <w:rPr>
          <w:rFonts w:hint="eastAsia"/>
        </w:rPr>
      </w:pPr>
      <w:r>
        <w:rPr>
          <w:rFonts w:hint="eastAsia"/>
        </w:rPr>
        <w:t>第20章现在给了我们70个七的宏大目标：国度时代，在其中以色列最终被高举，所有的旧约国度预言最终都按字面意思得到应验。</w:t>
      </w:r>
    </w:p>
    <w:p w14:paraId="3C36AD67">
      <w:pPr>
        <w:pStyle w:val="9"/>
        <w:spacing w:after="0" w:line="249" w:lineRule="auto"/>
        <w:rPr>
          <w:rFonts w:hint="eastAsia"/>
        </w:rPr>
      </w:pPr>
    </w:p>
    <w:p w14:paraId="0D71E341">
      <w:pPr>
        <w:pStyle w:val="9"/>
        <w:spacing w:after="0" w:line="249" w:lineRule="auto"/>
        <w:rPr>
          <w:rFonts w:hint="eastAsia"/>
        </w:rPr>
      </w:pPr>
      <w:r>
        <w:rPr>
          <w:rFonts w:hint="eastAsia"/>
        </w:rPr>
        <w:t>With Satan bound (i.e. confined to the abyss), David’s Greater Son —the glorified Lord Jesus Christ—now reigns from Jerusalem over all the earth for a thousand years.</w:t>
      </w:r>
    </w:p>
    <w:p w14:paraId="726A0A91">
      <w:pPr>
        <w:pStyle w:val="9"/>
        <w:spacing w:after="0" w:line="249" w:lineRule="auto"/>
        <w:rPr>
          <w:rFonts w:hint="eastAsia"/>
        </w:rPr>
      </w:pPr>
      <w:r>
        <w:rPr>
          <w:rFonts w:hint="eastAsia"/>
        </w:rPr>
        <w:t>随着撒但被捆绑（即被禁闭在无底坑里），大卫那更伟大的子孙——得荣耀的主耶稣基督——如今从耶路撒冷统治全地一千年。</w:t>
      </w:r>
    </w:p>
    <w:p w14:paraId="0D8009AE">
      <w:pPr>
        <w:pStyle w:val="9"/>
        <w:spacing w:after="0" w:line="249" w:lineRule="auto"/>
        <w:rPr>
          <w:rFonts w:hint="eastAsia"/>
        </w:rPr>
      </w:pPr>
    </w:p>
    <w:p w14:paraId="7C3235D1">
      <w:pPr>
        <w:pStyle w:val="9"/>
        <w:spacing w:after="0" w:line="249" w:lineRule="auto"/>
        <w:rPr>
          <w:rFonts w:hint="eastAsia"/>
        </w:rPr>
      </w:pPr>
      <w:r>
        <w:rPr>
          <w:rFonts w:hint="eastAsia"/>
        </w:rPr>
        <w:t>Fundamentally (though not exclusively), the Millennium is a time of peace, prosperity, longevity, righteousness, and joy.</w:t>
      </w:r>
    </w:p>
    <w:p w14:paraId="58A08860">
      <w:pPr>
        <w:pStyle w:val="9"/>
        <w:spacing w:after="0" w:line="249" w:lineRule="auto"/>
        <w:rPr>
          <w:rFonts w:hint="eastAsia"/>
        </w:rPr>
      </w:pPr>
      <w:r>
        <w:rPr>
          <w:rFonts w:hint="eastAsia"/>
        </w:rPr>
        <w:t>从根本上说（虽然不完全是），千禧年是一个和平、繁荣、长寿、公义和喜乐的时期。</w:t>
      </w:r>
    </w:p>
    <w:p w14:paraId="539F0A41">
      <w:pPr>
        <w:pStyle w:val="9"/>
        <w:spacing w:after="0" w:line="249" w:lineRule="auto"/>
        <w:rPr>
          <w:rFonts w:hint="eastAsia"/>
        </w:rPr>
      </w:pPr>
    </w:p>
    <w:p w14:paraId="08E4BACC">
      <w:pPr>
        <w:pStyle w:val="9"/>
        <w:spacing w:after="0" w:line="249" w:lineRule="auto"/>
        <w:rPr>
          <w:rFonts w:hint="eastAsia"/>
        </w:rPr>
      </w:pPr>
      <w:r>
        <w:rPr>
          <w:rFonts w:hint="eastAsia"/>
        </w:rPr>
        <w:t>Nevertheless, it will end in conflict, with a series of dramatic eschatological acts and events: the release of Satan, a final global assault against Jerusalem, another resurrection (this time of the wicked dead), and a final Judgment before the Great White Throne (also of the wicked dead).</w:t>
      </w:r>
    </w:p>
    <w:p w14:paraId="5D7B471C">
      <w:pPr>
        <w:pStyle w:val="9"/>
        <w:spacing w:after="0" w:line="249" w:lineRule="auto"/>
        <w:rPr>
          <w:rFonts w:hint="eastAsia"/>
        </w:rPr>
      </w:pPr>
      <w:r>
        <w:rPr>
          <w:rFonts w:hint="eastAsia"/>
        </w:rPr>
        <w:t>然而，它将以冲突告终，伴随着一系列戏剧性的末世论作为和事件：撒但的释放、对耶路撒冷的最后一次全球性攻击、另一次复活（这次是恶人死者的复活），以及在白色大宝座前的最后审判（也是对恶人死者的审判）。</w:t>
      </w:r>
    </w:p>
    <w:p w14:paraId="494868E5">
      <w:pPr>
        <w:pStyle w:val="9"/>
        <w:spacing w:after="0" w:line="249" w:lineRule="auto"/>
        <w:rPr>
          <w:rFonts w:hint="eastAsia"/>
        </w:rPr>
      </w:pPr>
    </w:p>
    <w:p w14:paraId="57395D9D">
      <w:pPr>
        <w:pStyle w:val="9"/>
        <w:spacing w:after="0" w:line="249" w:lineRule="auto"/>
        <w:rPr>
          <w:rFonts w:hint="eastAsia"/>
        </w:rPr>
      </w:pPr>
      <w:r>
        <w:rPr>
          <w:rFonts w:hint="eastAsia"/>
        </w:rPr>
        <w:t>Leaving the 70 weeks behind, chapters 21-22 bring us at last to the World to Come.</w:t>
      </w:r>
    </w:p>
    <w:p w14:paraId="7D263443">
      <w:pPr>
        <w:pStyle w:val="9"/>
        <w:spacing w:after="0" w:line="249" w:lineRule="auto"/>
        <w:rPr>
          <w:rFonts w:hint="eastAsia"/>
        </w:rPr>
      </w:pPr>
      <w:r>
        <w:rPr>
          <w:rFonts w:hint="eastAsia"/>
        </w:rPr>
        <w:t>把70个七抛在身后，第21-22章终于把我们带到了来世。</w:t>
      </w:r>
    </w:p>
    <w:p w14:paraId="3DD605AB">
      <w:pPr>
        <w:pStyle w:val="9"/>
        <w:spacing w:after="0" w:line="249" w:lineRule="auto"/>
        <w:rPr>
          <w:rFonts w:hint="eastAsia"/>
        </w:rPr>
      </w:pPr>
    </w:p>
    <w:p w14:paraId="47162EBF">
      <w:pPr>
        <w:pStyle w:val="9"/>
        <w:spacing w:after="0" w:line="249" w:lineRule="auto"/>
        <w:rPr>
          <w:rFonts w:hint="eastAsia"/>
        </w:rPr>
      </w:pPr>
      <w:r>
        <w:rPr>
          <w:rFonts w:hint="eastAsia"/>
        </w:rPr>
        <w:t>Concerning these chapters, dispensationalists hold different views.</w:t>
      </w:r>
    </w:p>
    <w:p w14:paraId="42CAC097">
      <w:pPr>
        <w:pStyle w:val="9"/>
        <w:spacing w:after="0" w:line="249" w:lineRule="auto"/>
        <w:rPr>
          <w:rFonts w:hint="eastAsia"/>
        </w:rPr>
      </w:pPr>
      <w:r>
        <w:rPr>
          <w:rFonts w:hint="eastAsia"/>
        </w:rPr>
        <w:t>关于这些章节，时代论者持有不同的观点。</w:t>
      </w:r>
    </w:p>
    <w:p w14:paraId="789F74B2">
      <w:pPr>
        <w:pStyle w:val="9"/>
        <w:spacing w:after="0" w:line="249" w:lineRule="auto"/>
        <w:rPr>
          <w:rFonts w:hint="eastAsia"/>
        </w:rPr>
      </w:pPr>
    </w:p>
    <w:p w14:paraId="607FC0CB">
      <w:pPr>
        <w:pStyle w:val="9"/>
        <w:spacing w:after="0" w:line="249" w:lineRule="auto"/>
        <w:rPr>
          <w:rFonts w:hint="eastAsia"/>
        </w:rPr>
      </w:pPr>
      <w:r>
        <w:rPr>
          <w:rFonts w:hint="eastAsia"/>
        </w:rPr>
        <w:t>All agree that 21:1-8 reveals the Final State.</w:t>
      </w:r>
    </w:p>
    <w:p w14:paraId="6FFFD1AB">
      <w:pPr>
        <w:pStyle w:val="9"/>
        <w:spacing w:after="0" w:line="249" w:lineRule="auto"/>
        <w:rPr>
          <w:rFonts w:hint="eastAsia"/>
        </w:rPr>
      </w:pPr>
      <w:r>
        <w:rPr>
          <w:rFonts w:hint="eastAsia"/>
        </w:rPr>
        <w:t>所有人都同意21:1-8揭示了最终状态。</w:t>
      </w:r>
    </w:p>
    <w:p w14:paraId="1040BB19">
      <w:pPr>
        <w:pStyle w:val="9"/>
        <w:spacing w:after="0" w:line="249" w:lineRule="auto"/>
        <w:rPr>
          <w:rFonts w:hint="eastAsia"/>
        </w:rPr>
      </w:pPr>
    </w:p>
    <w:p w14:paraId="0C4BB3E1">
      <w:pPr>
        <w:pStyle w:val="9"/>
        <w:spacing w:after="0" w:line="249" w:lineRule="auto"/>
        <w:rPr>
          <w:rFonts w:hint="eastAsia"/>
        </w:rPr>
      </w:pPr>
      <w:r>
        <w:rPr>
          <w:rFonts w:hint="eastAsia"/>
        </w:rPr>
        <w:t>But what of 21:9-22:7, in which John further describes the Holy City, New Jerusalem?</w:t>
      </w:r>
    </w:p>
    <w:p w14:paraId="6DF78CD2">
      <w:pPr>
        <w:pStyle w:val="9"/>
        <w:spacing w:after="0" w:line="249" w:lineRule="auto"/>
        <w:rPr>
          <w:rFonts w:hint="eastAsia"/>
        </w:rPr>
      </w:pPr>
      <w:r>
        <w:rPr>
          <w:rFonts w:hint="eastAsia"/>
        </w:rPr>
        <w:t>但是21:9-22:7又如何呢？在其中约翰进一步描述了圣城新耶路撒冷。</w:t>
      </w:r>
    </w:p>
    <w:p w14:paraId="4CAA491D">
      <w:pPr>
        <w:pStyle w:val="9"/>
        <w:spacing w:after="0" w:line="249" w:lineRule="auto"/>
        <w:rPr>
          <w:rFonts w:hint="eastAsia"/>
        </w:rPr>
      </w:pPr>
    </w:p>
    <w:p w14:paraId="70F8C1CA">
      <w:pPr>
        <w:pStyle w:val="9"/>
        <w:spacing w:after="0" w:line="249" w:lineRule="auto"/>
        <w:rPr>
          <w:rFonts w:hint="eastAsia"/>
        </w:rPr>
      </w:pPr>
      <w:r>
        <w:rPr>
          <w:rFonts w:hint="eastAsia"/>
        </w:rPr>
        <w:t>Some argue that this text is a retrospective, using figurative language to depict earthly Jerusalem as it will exist during the Millennium.</w:t>
      </w:r>
    </w:p>
    <w:p w14:paraId="37126A6C">
      <w:pPr>
        <w:pStyle w:val="9"/>
        <w:spacing w:after="0" w:line="249" w:lineRule="auto"/>
        <w:rPr>
          <w:rFonts w:hint="eastAsia"/>
        </w:rPr>
      </w:pPr>
      <w:r>
        <w:rPr>
          <w:rFonts w:hint="eastAsia"/>
        </w:rPr>
        <w:t>一些人认为这段经文是回顾性的，使用比喻性语言来描绘千禧年期间将存在的地上耶路撒冷。</w:t>
      </w:r>
    </w:p>
    <w:p w14:paraId="711D2CB9">
      <w:pPr>
        <w:pStyle w:val="9"/>
        <w:spacing w:after="0" w:line="249" w:lineRule="auto"/>
        <w:rPr>
          <w:rFonts w:hint="eastAsia"/>
        </w:rPr>
      </w:pPr>
    </w:p>
    <w:p w14:paraId="701E7212">
      <w:pPr>
        <w:pStyle w:val="9"/>
        <w:spacing w:after="0" w:line="249" w:lineRule="auto"/>
        <w:rPr>
          <w:rFonts w:hint="eastAsia"/>
        </w:rPr>
      </w:pPr>
      <w:r>
        <w:rPr>
          <w:rFonts w:hint="eastAsia"/>
        </w:rPr>
        <w:t>While agreeing that the focus here is indeed the Millennium, others say it gives us the heavenly Jerusalem, floating above the earth in such a way as to enable the Gentile nations to walk by its light (21:4).</w:t>
      </w:r>
    </w:p>
    <w:p w14:paraId="7FA04999">
      <w:pPr>
        <w:pStyle w:val="9"/>
        <w:spacing w:after="0" w:line="249" w:lineRule="auto"/>
        <w:rPr>
          <w:rFonts w:hint="eastAsia"/>
        </w:rPr>
      </w:pPr>
      <w:r>
        <w:rPr>
          <w:rFonts w:hint="eastAsia"/>
        </w:rPr>
        <w:t>另一些人虽然同意这里的焦点确实是千禧年，但他们说它给我们展示了天上的耶路撒冷，漂浮在地上方，以致外邦列国可以藉着它的光行走（21:4）。</w:t>
      </w:r>
    </w:p>
    <w:p w14:paraId="29D8889D">
      <w:pPr>
        <w:pStyle w:val="9"/>
        <w:spacing w:after="0" w:line="249" w:lineRule="auto"/>
        <w:rPr>
          <w:rFonts w:hint="eastAsia"/>
        </w:rPr>
      </w:pPr>
    </w:p>
    <w:p w14:paraId="54E3CC1B">
      <w:pPr>
        <w:pStyle w:val="9"/>
        <w:spacing w:after="0" w:line="249" w:lineRule="auto"/>
        <w:rPr>
          <w:rFonts w:hint="eastAsia"/>
        </w:rPr>
      </w:pPr>
      <w:r>
        <w:rPr>
          <w:rFonts w:hint="eastAsia"/>
        </w:rPr>
        <w:t>Still others say it tells us more about the Final State.</w:t>
      </w:r>
    </w:p>
    <w:p w14:paraId="7F78AED7">
      <w:pPr>
        <w:pStyle w:val="9"/>
        <w:spacing w:after="0" w:line="249" w:lineRule="auto"/>
        <w:rPr>
          <w:rFonts w:hint="eastAsia"/>
        </w:rPr>
      </w:pPr>
      <w:r>
        <w:rPr>
          <w:rFonts w:hint="eastAsia"/>
        </w:rPr>
        <w:t>还有一些人说它告诉了我们更多关于最终状态的事情。</w:t>
      </w:r>
    </w:p>
    <w:p w14:paraId="747CE899">
      <w:pPr>
        <w:pStyle w:val="9"/>
        <w:spacing w:after="0" w:line="249" w:lineRule="auto"/>
        <w:rPr>
          <w:rFonts w:hint="eastAsia"/>
        </w:rPr>
      </w:pPr>
    </w:p>
    <w:p w14:paraId="1ED9E8D2">
      <w:pPr>
        <w:pStyle w:val="9"/>
        <w:spacing w:after="0" w:line="249" w:lineRule="auto"/>
        <w:rPr>
          <w:rFonts w:hint="eastAsia"/>
        </w:rPr>
      </w:pPr>
      <w:r>
        <w:rPr>
          <w:rFonts w:hint="eastAsia"/>
        </w:rPr>
        <w:t>Such are the conflicting fruits of dispensational literalism.</w:t>
      </w:r>
    </w:p>
    <w:p w14:paraId="71968519">
      <w:pPr>
        <w:pStyle w:val="9"/>
        <w:spacing w:after="0" w:line="249" w:lineRule="auto"/>
        <w:rPr>
          <w:rFonts w:hint="eastAsia"/>
        </w:rPr>
      </w:pPr>
      <w:r>
        <w:rPr>
          <w:rFonts w:hint="eastAsia"/>
        </w:rPr>
        <w:t>这些就是时代论字面主义的矛盾果实。</w:t>
      </w:r>
    </w:p>
    <w:p w14:paraId="0D4310B1">
      <w:pPr>
        <w:pStyle w:val="9"/>
        <w:spacing w:after="0" w:line="249" w:lineRule="auto"/>
        <w:rPr>
          <w:rFonts w:hint="eastAsia"/>
        </w:rPr>
      </w:pPr>
    </w:p>
    <w:p w14:paraId="1C613C32">
      <w:pPr>
        <w:pStyle w:val="9"/>
        <w:spacing w:after="0" w:line="249" w:lineRule="auto"/>
        <w:rPr>
          <w:rFonts w:hint="eastAsia"/>
        </w:rPr>
      </w:pPr>
      <w:r>
        <w:rPr>
          <w:rFonts w:hint="eastAsia"/>
        </w:rPr>
        <w:t>Again, in the eyes of many modern evangelicals, the structure and contents of the Revelation powerfully confirm the dispensational interpretation of Daniel 9, and therefore the entire dispensational scheme of Salvation History.</w:t>
      </w:r>
    </w:p>
    <w:p w14:paraId="4313FA67">
      <w:pPr>
        <w:pStyle w:val="9"/>
        <w:spacing w:after="0" w:line="249" w:lineRule="auto"/>
        <w:rPr>
          <w:rFonts w:hint="eastAsia"/>
        </w:rPr>
      </w:pPr>
      <w:r>
        <w:rPr>
          <w:rFonts w:hint="eastAsia"/>
        </w:rPr>
        <w:t>再次，在许多现代福音派人士眼中，启示录的结构和内容有力地证实了对但以理书第9章的时代论解释，并因此证实了整个时代论的救赎历史方案。</w:t>
      </w:r>
    </w:p>
    <w:p w14:paraId="009A6D43">
      <w:pPr>
        <w:pStyle w:val="9"/>
        <w:spacing w:after="0" w:line="249" w:lineRule="auto"/>
        <w:rPr>
          <w:rFonts w:hint="eastAsia"/>
        </w:rPr>
      </w:pPr>
    </w:p>
    <w:p w14:paraId="56A95BC3">
      <w:pPr>
        <w:pStyle w:val="9"/>
        <w:spacing w:after="0" w:line="249" w:lineRule="auto"/>
        <w:rPr>
          <w:rFonts w:hint="eastAsia"/>
        </w:rPr>
      </w:pPr>
      <w:r>
        <w:rPr>
          <w:rFonts w:hint="eastAsia"/>
        </w:rPr>
        <w:t>Indeed, so closely do these two prophecies seem to harmonize, and so powerfully do they seem to support one another, that dispensational interpreters feel justified in forcibly imposing this new paradigm on the entire NT.</w:t>
      </w:r>
    </w:p>
    <w:p w14:paraId="66E33D05">
      <w:pPr>
        <w:pStyle w:val="9"/>
        <w:spacing w:after="0" w:line="249" w:lineRule="auto"/>
        <w:rPr>
          <w:rFonts w:hint="eastAsia"/>
        </w:rPr>
      </w:pPr>
      <w:r>
        <w:rPr>
          <w:rFonts w:hint="eastAsia"/>
        </w:rPr>
        <w:t>的确，这两个预言似乎如此紧密地协调一致，又如此有力地相互支持，以至于时代论的解释者们觉得有理由将这个新的范式强加于整个新约之上。</w:t>
      </w:r>
    </w:p>
    <w:p w14:paraId="172EBE37">
      <w:pPr>
        <w:pStyle w:val="9"/>
        <w:spacing w:after="0" w:line="249" w:lineRule="auto"/>
        <w:rPr>
          <w:rFonts w:hint="eastAsia"/>
        </w:rPr>
      </w:pPr>
    </w:p>
    <w:p w14:paraId="3A94C4F6">
      <w:pPr>
        <w:pStyle w:val="9"/>
        <w:spacing w:after="0" w:line="249" w:lineRule="auto"/>
        <w:rPr>
          <w:rFonts w:hint="eastAsia"/>
        </w:rPr>
      </w:pPr>
      <w:r>
        <w:rPr>
          <w:rFonts w:hint="eastAsia"/>
        </w:rPr>
        <w:t>No matter that the Didactic NT gives us a completely different conception of the nature and structure of the Kingdom; no matter that it never once mentions a pre-tribulation Rapture, or a seven year Tribulation, or a two (or three) phased Parousia, or multiple resurrections, judgments, and transformations of nature; no matter that it pervasively teaches a single Consummation at a single return of Christ at the end of the present evil age.</w:t>
      </w:r>
    </w:p>
    <w:p w14:paraId="7D340718">
      <w:pPr>
        <w:pStyle w:val="9"/>
        <w:spacing w:after="0" w:line="249" w:lineRule="auto"/>
        <w:rPr>
          <w:rFonts w:hint="eastAsia"/>
        </w:rPr>
      </w:pPr>
      <w:r>
        <w:rPr>
          <w:rFonts w:hint="eastAsia"/>
        </w:rPr>
        <w:t>不管新约的教义性经文给了我们一个关于国度性质和结构的完全不同的概念；不管它从未提及灾前被提，或七年灾难期，或两（或三）阶段的再来，或多次的复活、审判和自然界的转变；不管它普遍教导在现今邪恶世代结束时，基督的一次再来带来一个单一的结局。</w:t>
      </w:r>
    </w:p>
    <w:p w14:paraId="6237D903">
      <w:pPr>
        <w:pStyle w:val="9"/>
        <w:spacing w:after="0" w:line="249" w:lineRule="auto"/>
        <w:rPr>
          <w:rFonts w:hint="eastAsia"/>
        </w:rPr>
      </w:pPr>
    </w:p>
    <w:p w14:paraId="43B0F8FF">
      <w:pPr>
        <w:pStyle w:val="9"/>
        <w:spacing w:after="0" w:line="249" w:lineRule="auto"/>
        <w:rPr>
          <w:rFonts w:hint="eastAsia"/>
        </w:rPr>
      </w:pPr>
      <w:r>
        <w:rPr>
          <w:rFonts w:hint="eastAsia"/>
        </w:rPr>
        <w:t>No, none of this matters.</w:t>
      </w:r>
    </w:p>
    <w:p w14:paraId="2E48D492">
      <w:pPr>
        <w:pStyle w:val="9"/>
        <w:spacing w:after="0" w:line="249" w:lineRule="auto"/>
        <w:rPr>
          <w:rFonts w:hint="eastAsia"/>
        </w:rPr>
      </w:pPr>
      <w:r>
        <w:rPr>
          <w:rFonts w:hint="eastAsia"/>
        </w:rPr>
        <w:t>不，这些都无关紧要。</w:t>
      </w:r>
    </w:p>
    <w:p w14:paraId="19E4B208">
      <w:pPr>
        <w:pStyle w:val="9"/>
        <w:spacing w:after="0" w:line="249" w:lineRule="auto"/>
        <w:rPr>
          <w:rFonts w:hint="eastAsia"/>
        </w:rPr>
      </w:pPr>
    </w:p>
    <w:p w14:paraId="5278B5D5">
      <w:pPr>
        <w:pStyle w:val="9"/>
        <w:spacing w:after="0" w:line="249" w:lineRule="auto"/>
        <w:rPr>
          <w:rFonts w:hint="eastAsia"/>
        </w:rPr>
      </w:pPr>
      <w:r>
        <w:rPr>
          <w:rFonts w:hint="eastAsia"/>
        </w:rPr>
        <w:t>For even if the Didactic NT seems to teach the traditional eschatology of the historic Christian Church, we now know better; we now have the Rosetta Stone; we now have discovered—in Daniel 9 and the Revelation—the (formerly) hidden theme, nature, and structure of all Salvation History.</w:t>
      </w:r>
    </w:p>
    <w:p w14:paraId="41560344">
      <w:pPr>
        <w:pStyle w:val="9"/>
        <w:spacing w:after="0" w:line="249" w:lineRule="auto"/>
        <w:rPr>
          <w:rFonts w:hint="eastAsia"/>
        </w:rPr>
      </w:pPr>
      <w:r>
        <w:rPr>
          <w:rFonts w:hint="eastAsia"/>
        </w:rPr>
        <w:t>因为即使新约的教义性经文似乎教导的是历史上基督教会的传统末世论，我们现在知道了更好的；我们现在有了罗塞塔石碑；我们现在已经在但以理书第9章和启示录中发现了所有救赎历史（从前）隐藏的主题、性质和结构。</w:t>
      </w:r>
    </w:p>
    <w:p w14:paraId="325C07B0">
      <w:pPr>
        <w:pStyle w:val="9"/>
        <w:spacing w:after="0" w:line="249" w:lineRule="auto"/>
        <w:rPr>
          <w:rFonts w:hint="eastAsia"/>
        </w:rPr>
      </w:pPr>
    </w:p>
    <w:p w14:paraId="38451EDB">
      <w:pPr>
        <w:pStyle w:val="9"/>
        <w:spacing w:after="0" w:line="249" w:lineRule="auto"/>
        <w:rPr>
          <w:rFonts w:hint="eastAsia"/>
        </w:rPr>
      </w:pPr>
      <w:r>
        <w:rPr>
          <w:rFonts w:hint="eastAsia"/>
        </w:rPr>
        <w:t>Therefore, we now see that the Didactic NT must teach this view, even if on the face of things it obviously does not.</w:t>
      </w:r>
    </w:p>
    <w:p w14:paraId="5D836423">
      <w:pPr>
        <w:pStyle w:val="9"/>
        <w:spacing w:after="0" w:line="249" w:lineRule="auto"/>
        <w:rPr>
          <w:rFonts w:hint="eastAsia"/>
        </w:rPr>
      </w:pPr>
      <w:r>
        <w:rPr>
          <w:rFonts w:hint="eastAsia"/>
        </w:rPr>
        <w:t>因此，我们现在看到，新约的教义性经文必须教导这个观点，即使从表面上看它显然没有。</w:t>
      </w:r>
    </w:p>
    <w:p w14:paraId="129375A4">
      <w:pPr>
        <w:pStyle w:val="9"/>
        <w:spacing w:after="0" w:line="249" w:lineRule="auto"/>
        <w:rPr>
          <w:rFonts w:hint="eastAsia"/>
        </w:rPr>
      </w:pPr>
    </w:p>
    <w:p w14:paraId="1740BC16">
      <w:pPr>
        <w:pStyle w:val="9"/>
        <w:spacing w:after="0" w:line="249" w:lineRule="auto"/>
        <w:rPr>
          <w:rFonts w:hint="eastAsia"/>
        </w:rPr>
      </w:pPr>
      <w:r>
        <w:rPr>
          <w:rFonts w:hint="eastAsia"/>
        </w:rPr>
        <w:t>In the course of our study, I have sought diligently to probe these twin pillars of Dispensationalism.</w:t>
      </w:r>
    </w:p>
    <w:p w14:paraId="39DBC94E">
      <w:pPr>
        <w:pStyle w:val="9"/>
        <w:spacing w:after="0" w:line="249" w:lineRule="auto"/>
        <w:rPr>
          <w:rFonts w:hint="eastAsia"/>
        </w:rPr>
      </w:pPr>
      <w:r>
        <w:rPr>
          <w:rFonts w:hint="eastAsia"/>
        </w:rPr>
        <w:t>在我们的研究过程中，我已努力探究时代论的这两大支柱。</w:t>
      </w:r>
    </w:p>
    <w:p w14:paraId="42565C7D">
      <w:pPr>
        <w:pStyle w:val="9"/>
        <w:spacing w:after="0" w:line="249" w:lineRule="auto"/>
        <w:rPr>
          <w:rFonts w:hint="eastAsia"/>
        </w:rPr>
      </w:pPr>
    </w:p>
    <w:p w14:paraId="6BCD40AB">
      <w:pPr>
        <w:pStyle w:val="9"/>
        <w:spacing w:after="0" w:line="249" w:lineRule="auto"/>
        <w:rPr>
          <w:rFonts w:hint="eastAsia"/>
        </w:rPr>
      </w:pPr>
      <w:r>
        <w:rPr>
          <w:rFonts w:hint="eastAsia"/>
        </w:rPr>
        <w:t>Indirectly, I have done so by going first to the proper locus of true eschatological truth: the Gospels and the Epistles.</w:t>
      </w:r>
    </w:p>
    <w:p w14:paraId="69FA599B">
      <w:pPr>
        <w:pStyle w:val="9"/>
        <w:spacing w:after="0" w:line="249" w:lineRule="auto"/>
        <w:rPr>
          <w:rFonts w:hint="eastAsia"/>
        </w:rPr>
      </w:pPr>
      <w:r>
        <w:rPr>
          <w:rFonts w:hint="eastAsia"/>
        </w:rPr>
        <w:t>我间接地做到了这一点，即首先回到真正末世论真理的恰当所在：福音书和书信。</w:t>
      </w:r>
    </w:p>
    <w:p w14:paraId="3A13B1F4">
      <w:pPr>
        <w:pStyle w:val="9"/>
        <w:spacing w:after="0" w:line="249" w:lineRule="auto"/>
        <w:rPr>
          <w:rFonts w:hint="eastAsia"/>
        </w:rPr>
      </w:pPr>
    </w:p>
    <w:p w14:paraId="2036CF9C">
      <w:pPr>
        <w:pStyle w:val="9"/>
        <w:spacing w:after="0" w:line="249" w:lineRule="auto"/>
        <w:rPr>
          <w:rFonts w:hint="eastAsia"/>
        </w:rPr>
      </w:pPr>
      <w:r>
        <w:rPr>
          <w:rFonts w:hint="eastAsia"/>
        </w:rPr>
        <w:t>Having done that, and having confirmed from them the truth of the traditional amillennial eschatology, I proceeded directly to Daniel 9, then to the Revelation as a whole, and finally to Revelation 20.</w:t>
      </w:r>
    </w:p>
    <w:p w14:paraId="288C5CCB">
      <w:pPr>
        <w:pStyle w:val="9"/>
        <w:spacing w:after="0" w:line="249" w:lineRule="auto"/>
        <w:rPr>
          <w:rFonts w:hint="eastAsia"/>
        </w:rPr>
      </w:pPr>
      <w:r>
        <w:rPr>
          <w:rFonts w:hint="eastAsia"/>
        </w:rPr>
        <w:t>在做完那件事，并从它们中证实了传统无千禧年末世论的真理之后，我直接进入但以理书第9章，然后是整本启示录，最后是启示录第20章。</w:t>
      </w:r>
    </w:p>
    <w:p w14:paraId="73733690">
      <w:pPr>
        <w:pStyle w:val="9"/>
        <w:spacing w:after="0" w:line="249" w:lineRule="auto"/>
        <w:rPr>
          <w:rFonts w:hint="eastAsia"/>
        </w:rPr>
      </w:pPr>
    </w:p>
    <w:p w14:paraId="1C053CF2">
      <w:pPr>
        <w:pStyle w:val="9"/>
        <w:spacing w:after="0" w:line="249" w:lineRule="auto"/>
        <w:rPr>
          <w:rFonts w:hint="eastAsia"/>
        </w:rPr>
      </w:pPr>
      <w:r>
        <w:rPr>
          <w:rFonts w:hint="eastAsia"/>
        </w:rPr>
        <w:t>In all cases, we found that the dispensational interpretations simply do not hold up under careful scrutiny.</w:t>
      </w:r>
    </w:p>
    <w:p w14:paraId="56F04263">
      <w:pPr>
        <w:pStyle w:val="9"/>
        <w:spacing w:after="0" w:line="249" w:lineRule="auto"/>
        <w:rPr>
          <w:rFonts w:hint="eastAsia"/>
        </w:rPr>
      </w:pPr>
      <w:r>
        <w:rPr>
          <w:rFonts w:hint="eastAsia"/>
        </w:rPr>
        <w:t>在所有案例中，我们发现时代论的解释在仔细审视之下根本站不住脚。</w:t>
      </w:r>
    </w:p>
    <w:p w14:paraId="7D0531A4">
      <w:pPr>
        <w:pStyle w:val="9"/>
        <w:spacing w:after="0" w:line="249" w:lineRule="auto"/>
        <w:rPr>
          <w:rFonts w:hint="eastAsia"/>
        </w:rPr>
      </w:pPr>
    </w:p>
    <w:p w14:paraId="5454586B">
      <w:pPr>
        <w:pStyle w:val="9"/>
        <w:spacing w:after="0" w:line="249" w:lineRule="auto"/>
        <w:rPr>
          <w:rFonts w:hint="eastAsia"/>
        </w:rPr>
      </w:pPr>
      <w:r>
        <w:rPr>
          <w:rFonts w:hint="eastAsia"/>
        </w:rPr>
        <w:t>On the other hand, we also found that with a proper application of the NCH, all these texts are seen to teach and support the traditional amillennial view.</w:t>
      </w:r>
    </w:p>
    <w:p w14:paraId="3E33D48A">
      <w:pPr>
        <w:pStyle w:val="9"/>
        <w:spacing w:after="0" w:line="249" w:lineRule="auto"/>
        <w:rPr>
          <w:rFonts w:hint="eastAsia"/>
        </w:rPr>
      </w:pPr>
      <w:r>
        <w:rPr>
          <w:rFonts w:hint="eastAsia"/>
        </w:rPr>
        <w:t>另一方面，我们也发现，通过恰当地应用新约释经学（NCH），所有这些经文都被看作是在教导和支持传统的无千禧年观点。</w:t>
      </w:r>
    </w:p>
    <w:p w14:paraId="208AA9F5">
      <w:pPr>
        <w:pStyle w:val="9"/>
        <w:spacing w:after="0" w:line="249" w:lineRule="auto"/>
        <w:rPr>
          <w:rFonts w:hint="eastAsia"/>
        </w:rPr>
      </w:pPr>
    </w:p>
    <w:p w14:paraId="4264AF54">
      <w:pPr>
        <w:pStyle w:val="9"/>
        <w:spacing w:after="0" w:line="249" w:lineRule="auto"/>
        <w:rPr>
          <w:rFonts w:hint="eastAsia"/>
        </w:rPr>
      </w:pPr>
      <w:r>
        <w:rPr>
          <w:rFonts w:hint="eastAsia"/>
        </w:rPr>
        <w:t>It appears, then, that the dispensational captivity of the evangelical church is traceable to an optical illusion, an illusion that might quickly have been dispelled had we all followed sound hermeneutical practice, turning first to the didactic clarity of the Gospels and the Epistles, and only then to the mystery and poetry of Daniel and the Revelation.</w:t>
      </w:r>
    </w:p>
    <w:p w14:paraId="43318266">
      <w:pPr>
        <w:pStyle w:val="9"/>
        <w:spacing w:after="0" w:line="249" w:lineRule="auto"/>
        <w:rPr>
          <w:rFonts w:hint="eastAsia"/>
        </w:rPr>
      </w:pPr>
      <w:r>
        <w:rPr>
          <w:rFonts w:hint="eastAsia"/>
        </w:rPr>
        <w:t>如此看来，福音派教会所受的时代论之囚禁，可以追溯到一种视觉错觉，这种错觉本可以很快被驱散，如果我们都遵循健全的释经实践，首先转向福音书和书信的教义性清晰度，然后才转向但以理书和启示录的奥秘与诗意。</w:t>
      </w:r>
    </w:p>
    <w:p w14:paraId="7F574BD7">
      <w:pPr>
        <w:pStyle w:val="9"/>
        <w:spacing w:after="0" w:line="249" w:lineRule="auto"/>
        <w:rPr>
          <w:rFonts w:hint="eastAsia"/>
        </w:rPr>
      </w:pPr>
    </w:p>
    <w:p w14:paraId="14495DA6">
      <w:pPr>
        <w:pStyle w:val="9"/>
        <w:spacing w:after="0" w:line="249" w:lineRule="auto"/>
        <w:rPr>
          <w:rFonts w:hint="eastAsia"/>
        </w:rPr>
      </w:pPr>
      <w:r>
        <w:rPr>
          <w:rFonts w:hint="eastAsia"/>
        </w:rPr>
        <w:t>Truly, it has been a costly mistake.</w:t>
      </w:r>
    </w:p>
    <w:p w14:paraId="41DDB155">
      <w:pPr>
        <w:pStyle w:val="9"/>
        <w:spacing w:after="0" w:line="249" w:lineRule="auto"/>
        <w:rPr>
          <w:rFonts w:hint="eastAsia"/>
        </w:rPr>
      </w:pPr>
      <w:r>
        <w:rPr>
          <w:rFonts w:hint="eastAsia"/>
        </w:rPr>
        <w:t>这确实是一个代价高昂的错误。</w:t>
      </w:r>
    </w:p>
    <w:p w14:paraId="036FB2BC">
      <w:pPr>
        <w:pStyle w:val="9"/>
        <w:spacing w:after="0" w:line="249" w:lineRule="auto"/>
        <w:rPr>
          <w:rFonts w:hint="eastAsia"/>
        </w:rPr>
      </w:pPr>
    </w:p>
    <w:p w14:paraId="6587C99B">
      <w:pPr>
        <w:pStyle w:val="9"/>
        <w:spacing w:after="0" w:line="249" w:lineRule="auto"/>
        <w:rPr>
          <w:rFonts w:hint="eastAsia"/>
        </w:rPr>
      </w:pPr>
      <w:r>
        <w:rPr>
          <w:rFonts w:hint="eastAsia"/>
        </w:rPr>
        <w:t>By way of conclusion—and by way of a final critique of the dispensational view of the Revelation—let us remember for just a moment what we learned in our study about the theme and structure of that most challenging NT book.</w:t>
      </w:r>
    </w:p>
    <w:p w14:paraId="19E67122">
      <w:pPr>
        <w:pStyle w:val="9"/>
        <w:spacing w:after="0" w:line="249" w:lineRule="auto"/>
        <w:rPr>
          <w:rFonts w:hint="eastAsia"/>
        </w:rPr>
      </w:pPr>
      <w:r>
        <w:rPr>
          <w:rFonts w:hint="eastAsia"/>
        </w:rPr>
        <w:t>作为结论——并作为对时代论启示录观点的最后批判——让我们暂时回顾一下我们在研究那本最具挑战性的新约书卷时，所学到的关于其主题和结构的内容。</w:t>
      </w:r>
    </w:p>
    <w:p w14:paraId="478C3D2D">
      <w:pPr>
        <w:pStyle w:val="9"/>
        <w:spacing w:after="0" w:line="249" w:lineRule="auto"/>
        <w:rPr>
          <w:rFonts w:hint="eastAsia"/>
        </w:rPr>
      </w:pPr>
    </w:p>
    <w:p w14:paraId="16F69A4C">
      <w:pPr>
        <w:pStyle w:val="9"/>
        <w:spacing w:after="0" w:line="249" w:lineRule="auto"/>
        <w:rPr>
          <w:rFonts w:hint="eastAsia"/>
        </w:rPr>
      </w:pPr>
      <w:r>
        <w:rPr>
          <w:rFonts w:hint="eastAsia"/>
        </w:rPr>
        <w:t>Chapters 2-3 of the Revelation do indeed give us the High King’s messages to the seven churches of Asia, and also to the Church Militant of all time.</w:t>
      </w:r>
    </w:p>
    <w:p w14:paraId="7010D42B">
      <w:pPr>
        <w:pStyle w:val="9"/>
        <w:spacing w:after="0" w:line="249" w:lineRule="auto"/>
        <w:rPr>
          <w:rFonts w:hint="eastAsia"/>
        </w:rPr>
      </w:pPr>
      <w:r>
        <w:rPr>
          <w:rFonts w:hint="eastAsia"/>
        </w:rPr>
        <w:t>启示录第2-3章确实向我们传达了至高君王给亚细亚七个教会的信息，也给历代争战的教会信息。</w:t>
      </w:r>
    </w:p>
    <w:p w14:paraId="27023A41">
      <w:pPr>
        <w:pStyle w:val="9"/>
        <w:spacing w:after="0" w:line="249" w:lineRule="auto"/>
        <w:rPr>
          <w:rFonts w:hint="eastAsia"/>
        </w:rPr>
      </w:pPr>
    </w:p>
    <w:p w14:paraId="6F5EEBF4">
      <w:pPr>
        <w:pStyle w:val="9"/>
        <w:spacing w:after="0" w:line="249" w:lineRule="auto"/>
        <w:rPr>
          <w:rFonts w:hint="eastAsia"/>
        </w:rPr>
      </w:pPr>
      <w:r>
        <w:rPr>
          <w:rFonts w:hint="eastAsia"/>
        </w:rPr>
        <w:t>Possibly, they hint at the stages of Church History (though I think it is far better to see them addressing situations that can arise at any time in Church History).</w:t>
      </w:r>
    </w:p>
    <w:p w14:paraId="325E7FC4">
      <w:pPr>
        <w:pStyle w:val="9"/>
        <w:spacing w:after="0" w:line="249" w:lineRule="auto"/>
        <w:rPr>
          <w:rFonts w:hint="eastAsia"/>
        </w:rPr>
      </w:pPr>
      <w:r>
        <w:rPr>
          <w:rFonts w:hint="eastAsia"/>
        </w:rPr>
        <w:t>可能，它们暗示了教会历史的各个阶段（虽然我认为最好将它们视为在处理教会历史中任何时候都可能出现的情况）。</w:t>
      </w:r>
    </w:p>
    <w:p w14:paraId="0C28DA73">
      <w:pPr>
        <w:pStyle w:val="9"/>
        <w:spacing w:after="0" w:line="249" w:lineRule="auto"/>
        <w:rPr>
          <w:rFonts w:hint="eastAsia"/>
        </w:rPr>
      </w:pPr>
    </w:p>
    <w:p w14:paraId="3FD32FF8">
      <w:pPr>
        <w:pStyle w:val="9"/>
        <w:spacing w:after="0" w:line="249" w:lineRule="auto"/>
        <w:rPr>
          <w:rFonts w:hint="eastAsia"/>
        </w:rPr>
      </w:pPr>
      <w:r>
        <w:rPr>
          <w:rFonts w:hint="eastAsia"/>
        </w:rPr>
        <w:t>And yes, the word “church” does not appear again after 3:22.</w:t>
      </w:r>
    </w:p>
    <w:p w14:paraId="2C1AFD62">
      <w:pPr>
        <w:pStyle w:val="9"/>
        <w:spacing w:after="0" w:line="249" w:lineRule="auto"/>
        <w:rPr>
          <w:rFonts w:hint="eastAsia"/>
        </w:rPr>
      </w:pPr>
      <w:r>
        <w:rPr>
          <w:rFonts w:hint="eastAsia"/>
        </w:rPr>
        <w:t>是的，“教会”一词在3:22之后确实没有再出现。</w:t>
      </w:r>
    </w:p>
    <w:p w14:paraId="0AECE75A">
      <w:pPr>
        <w:pStyle w:val="9"/>
        <w:spacing w:after="0" w:line="249" w:lineRule="auto"/>
        <w:rPr>
          <w:rFonts w:hint="eastAsia"/>
        </w:rPr>
      </w:pPr>
    </w:p>
    <w:p w14:paraId="24EDF639">
      <w:pPr>
        <w:pStyle w:val="9"/>
        <w:spacing w:after="0" w:line="249" w:lineRule="auto"/>
        <w:rPr>
          <w:rFonts w:hint="eastAsia"/>
        </w:rPr>
      </w:pPr>
      <w:r>
        <w:rPr>
          <w:rFonts w:hint="eastAsia"/>
        </w:rPr>
        <w:t>But does any of this mean that after chapters 2-3 Christ is no longer speaking to the Church about the Church?</w:t>
      </w:r>
    </w:p>
    <w:p w14:paraId="5C8F4570">
      <w:pPr>
        <w:pStyle w:val="9"/>
        <w:spacing w:after="0" w:line="249" w:lineRule="auto"/>
        <w:rPr>
          <w:rFonts w:hint="eastAsia"/>
        </w:rPr>
      </w:pPr>
      <w:r>
        <w:rPr>
          <w:rFonts w:hint="eastAsia"/>
        </w:rPr>
        <w:t>但这是否意味着在第2-3章之后，基督就不再向教会谈论关于教会的事了？</w:t>
      </w:r>
    </w:p>
    <w:p w14:paraId="56620EDF">
      <w:pPr>
        <w:pStyle w:val="9"/>
        <w:spacing w:after="0" w:line="249" w:lineRule="auto"/>
        <w:rPr>
          <w:rFonts w:hint="eastAsia"/>
        </w:rPr>
      </w:pPr>
    </w:p>
    <w:p w14:paraId="76F9DB07">
      <w:pPr>
        <w:pStyle w:val="9"/>
        <w:spacing w:after="0" w:line="249" w:lineRule="auto"/>
        <w:rPr>
          <w:rFonts w:hint="eastAsia"/>
        </w:rPr>
      </w:pPr>
      <w:r>
        <w:rPr>
          <w:rFonts w:hint="eastAsia"/>
        </w:rPr>
        <w:t>Hardly!</w:t>
      </w:r>
    </w:p>
    <w:p w14:paraId="18DD7930">
      <w:pPr>
        <w:pStyle w:val="9"/>
        <w:spacing w:after="0" w:line="249" w:lineRule="auto"/>
        <w:rPr>
          <w:rFonts w:hint="eastAsia"/>
        </w:rPr>
      </w:pPr>
      <w:r>
        <w:rPr>
          <w:rFonts w:hint="eastAsia"/>
        </w:rPr>
        <w:t>绝非如此！</w:t>
      </w:r>
    </w:p>
    <w:p w14:paraId="163191F4">
      <w:pPr>
        <w:pStyle w:val="9"/>
        <w:spacing w:after="0" w:line="249" w:lineRule="auto"/>
        <w:rPr>
          <w:rFonts w:hint="eastAsia"/>
        </w:rPr>
      </w:pPr>
    </w:p>
    <w:p w14:paraId="2982C17E">
      <w:pPr>
        <w:pStyle w:val="9"/>
        <w:spacing w:after="0" w:line="249" w:lineRule="auto"/>
        <w:rPr>
          <w:rFonts w:hint="eastAsia"/>
        </w:rPr>
      </w:pPr>
      <w:r>
        <w:rPr>
          <w:rFonts w:hint="eastAsia"/>
        </w:rPr>
        <w:t>John addresses the entire book to the Church (1:4).</w:t>
      </w:r>
    </w:p>
    <w:p w14:paraId="16BA7891">
      <w:pPr>
        <w:pStyle w:val="9"/>
        <w:spacing w:after="0" w:line="249" w:lineRule="auto"/>
        <w:rPr>
          <w:rFonts w:hint="eastAsia"/>
        </w:rPr>
      </w:pPr>
      <w:r>
        <w:rPr>
          <w:rFonts w:hint="eastAsia"/>
        </w:rPr>
        <w:t>约翰将整本书写给教会（1:4）。</w:t>
      </w:r>
    </w:p>
    <w:p w14:paraId="4B887945">
      <w:pPr>
        <w:pStyle w:val="9"/>
        <w:spacing w:after="0" w:line="249" w:lineRule="auto"/>
        <w:rPr>
          <w:rFonts w:hint="eastAsia"/>
        </w:rPr>
      </w:pPr>
    </w:p>
    <w:p w14:paraId="650CFE2D">
      <w:pPr>
        <w:pStyle w:val="9"/>
        <w:spacing w:after="0" w:line="249" w:lineRule="auto"/>
        <w:rPr>
          <w:rFonts w:hint="eastAsia"/>
        </w:rPr>
      </w:pPr>
      <w:r>
        <w:rPr>
          <w:rFonts w:hint="eastAsia"/>
        </w:rPr>
        <w:t>If “the things which are” pertain to the Church, is it not reasonable to conclude that “the things which shall take place after these things” also pertain to the Church?</w:t>
      </w:r>
    </w:p>
    <w:p w14:paraId="7DD7DF15">
      <w:pPr>
        <w:pStyle w:val="9"/>
        <w:spacing w:after="0" w:line="249" w:lineRule="auto"/>
        <w:rPr>
          <w:rFonts w:hint="eastAsia"/>
        </w:rPr>
      </w:pPr>
      <w:r>
        <w:rPr>
          <w:rFonts w:hint="eastAsia"/>
        </w:rPr>
        <w:t>如果“现在的事”与教会有​​关，那么推断“将来必成的事”也与教会有​​关，这难道不合理吗？</w:t>
      </w:r>
    </w:p>
    <w:p w14:paraId="724CF4B1">
      <w:pPr>
        <w:pStyle w:val="9"/>
        <w:spacing w:after="0" w:line="249" w:lineRule="auto"/>
        <w:rPr>
          <w:rFonts w:hint="eastAsia"/>
        </w:rPr>
      </w:pPr>
    </w:p>
    <w:p w14:paraId="41A120CA">
      <w:pPr>
        <w:pStyle w:val="9"/>
        <w:spacing w:after="0" w:line="249" w:lineRule="auto"/>
        <w:rPr>
          <w:rFonts w:hint="eastAsia"/>
        </w:rPr>
      </w:pPr>
      <w:r>
        <w:rPr>
          <w:rFonts w:hint="eastAsia"/>
        </w:rPr>
        <w:t>The entire book is a prophecy, a prophecy directed to the Church (1:3, 22:7, 10, 18-19).</w:t>
      </w:r>
    </w:p>
    <w:p w14:paraId="05832545">
      <w:pPr>
        <w:pStyle w:val="9"/>
        <w:spacing w:after="0" w:line="249" w:lineRule="auto"/>
        <w:rPr>
          <w:rFonts w:hint="eastAsia"/>
        </w:rPr>
      </w:pPr>
      <w:r>
        <w:rPr>
          <w:rFonts w:hint="eastAsia"/>
        </w:rPr>
        <w:t>整本书是一个预言，一个指向教会的预言（1:3, 22:7, 10, 18-19）。</w:t>
      </w:r>
    </w:p>
    <w:p w14:paraId="62CD2476">
      <w:pPr>
        <w:pStyle w:val="9"/>
        <w:spacing w:after="0" w:line="249" w:lineRule="auto"/>
        <w:rPr>
          <w:rFonts w:hint="eastAsia"/>
        </w:rPr>
      </w:pPr>
    </w:p>
    <w:p w14:paraId="7F9FDB1E">
      <w:pPr>
        <w:pStyle w:val="9"/>
        <w:spacing w:after="0" w:line="249" w:lineRule="auto"/>
        <w:rPr>
          <w:rFonts w:hint="eastAsia"/>
        </w:rPr>
      </w:pPr>
      <w:r>
        <w:rPr>
          <w:rFonts w:hint="eastAsia"/>
        </w:rPr>
        <w:t>In chapters 2-3, Christ prophesies to the Church by way of exhortation.</w:t>
      </w:r>
    </w:p>
    <w:p w14:paraId="5DDCEB46">
      <w:pPr>
        <w:pStyle w:val="9"/>
        <w:spacing w:after="0" w:line="249" w:lineRule="auto"/>
        <w:rPr>
          <w:rFonts w:hint="eastAsia"/>
        </w:rPr>
      </w:pPr>
      <w:r>
        <w:rPr>
          <w:rFonts w:hint="eastAsia"/>
        </w:rPr>
        <w:t>在第2-3章中，基督以劝勉的方式向教会说预言。</w:t>
      </w:r>
    </w:p>
    <w:p w14:paraId="574985A5">
      <w:pPr>
        <w:pStyle w:val="9"/>
        <w:spacing w:after="0" w:line="249" w:lineRule="auto"/>
        <w:rPr>
          <w:rFonts w:hint="eastAsia"/>
        </w:rPr>
      </w:pPr>
    </w:p>
    <w:p w14:paraId="53EC2CA3">
      <w:pPr>
        <w:pStyle w:val="9"/>
        <w:spacing w:after="0" w:line="249" w:lineRule="auto"/>
        <w:rPr>
          <w:rFonts w:hint="eastAsia"/>
        </w:rPr>
      </w:pPr>
      <w:r>
        <w:rPr>
          <w:rFonts w:hint="eastAsia"/>
        </w:rPr>
        <w:t>In subsequent chapters, he prophesies to the Church by way of prediction.</w:t>
      </w:r>
    </w:p>
    <w:p w14:paraId="61427B0F">
      <w:pPr>
        <w:pStyle w:val="9"/>
        <w:spacing w:after="0" w:line="249" w:lineRule="auto"/>
        <w:rPr>
          <w:rFonts w:hint="eastAsia"/>
        </w:rPr>
      </w:pPr>
      <w:r>
        <w:rPr>
          <w:rFonts w:hint="eastAsia"/>
        </w:rPr>
        <w:t>在随后的章节中，祂以预测的方式向教会说预言。</w:t>
      </w:r>
    </w:p>
    <w:p w14:paraId="606904FF">
      <w:pPr>
        <w:pStyle w:val="9"/>
        <w:spacing w:after="0" w:line="249" w:lineRule="auto"/>
        <w:rPr>
          <w:rFonts w:hint="eastAsia"/>
        </w:rPr>
      </w:pPr>
    </w:p>
    <w:p w14:paraId="2F489630">
      <w:pPr>
        <w:pStyle w:val="9"/>
        <w:spacing w:after="0" w:line="249" w:lineRule="auto"/>
        <w:rPr>
          <w:rFonts w:hint="eastAsia"/>
        </w:rPr>
      </w:pPr>
      <w:r>
        <w:rPr>
          <w:rFonts w:hint="eastAsia"/>
        </w:rPr>
        <w:t>When he does, he often uses OT symbols to speak to his NT people about their walk through wilderness of this world, thus highlighting the unity of the people of God of all time, and also giving us the grand finale of all Scripture.</w:t>
      </w:r>
    </w:p>
    <w:p w14:paraId="41653CAA">
      <w:pPr>
        <w:pStyle w:val="9"/>
        <w:spacing w:after="0" w:line="249" w:lineRule="auto"/>
        <w:rPr>
          <w:rFonts w:hint="eastAsia"/>
        </w:rPr>
      </w:pPr>
      <w:r>
        <w:rPr>
          <w:rFonts w:hint="eastAsia"/>
        </w:rPr>
        <w:t>当祂这样做时，祂常常使用旧约的象征来对祂新约的子民讲述他们走过这世界旷野的历程，从而凸显了历代以来神子民的合一，并也为我们呈现了整本圣经的宏伟终曲。</w:t>
      </w:r>
    </w:p>
    <w:p w14:paraId="0EFE9BBE">
      <w:pPr>
        <w:pStyle w:val="9"/>
        <w:spacing w:after="0" w:line="249" w:lineRule="auto"/>
        <w:rPr>
          <w:rFonts w:hint="eastAsia"/>
        </w:rPr>
      </w:pPr>
    </w:p>
    <w:p w14:paraId="02B7B5AE">
      <w:pPr>
        <w:pStyle w:val="9"/>
        <w:spacing w:after="0" w:line="249" w:lineRule="auto"/>
        <w:rPr>
          <w:rFonts w:hint="eastAsia"/>
        </w:rPr>
      </w:pPr>
      <w:r>
        <w:rPr>
          <w:rFonts w:hint="eastAsia"/>
        </w:rPr>
        <w:t>No, there is nothing here to suggest that chapters 2-3 exhaust Christ’s message to or about the Church.</w:t>
      </w:r>
    </w:p>
    <w:p w14:paraId="685C116E">
      <w:pPr>
        <w:pStyle w:val="9"/>
        <w:spacing w:after="0" w:line="249" w:lineRule="auto"/>
        <w:rPr>
          <w:rFonts w:hint="eastAsia"/>
        </w:rPr>
      </w:pPr>
      <w:r>
        <w:rPr>
          <w:rFonts w:hint="eastAsia"/>
        </w:rPr>
        <w:t>不，这里没有任何迹象表明第2-3章穷尽了基督给教会或关于教会的信息。</w:t>
      </w:r>
    </w:p>
    <w:p w14:paraId="12DBFCDC">
      <w:pPr>
        <w:pStyle w:val="9"/>
        <w:spacing w:after="0" w:line="249" w:lineRule="auto"/>
        <w:rPr>
          <w:rFonts w:hint="eastAsia"/>
        </w:rPr>
      </w:pPr>
    </w:p>
    <w:p w14:paraId="32142F74">
      <w:pPr>
        <w:pStyle w:val="9"/>
        <w:spacing w:after="0" w:line="249" w:lineRule="auto"/>
        <w:rPr>
          <w:rFonts w:hint="eastAsia"/>
        </w:rPr>
      </w:pPr>
      <w:r>
        <w:rPr>
          <w:rFonts w:hint="eastAsia"/>
        </w:rPr>
        <w:t>Indeed, there is much to argue against it.</w:t>
      </w:r>
    </w:p>
    <w:p w14:paraId="1A057ED6">
      <w:pPr>
        <w:pStyle w:val="9"/>
        <w:spacing w:after="0" w:line="249" w:lineRule="auto"/>
        <w:rPr>
          <w:rFonts w:hint="eastAsia"/>
        </w:rPr>
      </w:pPr>
      <w:r>
        <w:rPr>
          <w:rFonts w:hint="eastAsia"/>
        </w:rPr>
        <w:t>事实上，有很多理由可以反驳它。</w:t>
      </w:r>
    </w:p>
    <w:p w14:paraId="6334CC85">
      <w:pPr>
        <w:pStyle w:val="9"/>
        <w:spacing w:after="0" w:line="249" w:lineRule="auto"/>
        <w:rPr>
          <w:rFonts w:hint="eastAsia"/>
        </w:rPr>
      </w:pPr>
    </w:p>
    <w:p w14:paraId="36C3C6D7">
      <w:pPr>
        <w:pStyle w:val="9"/>
        <w:spacing w:after="0" w:line="249" w:lineRule="auto"/>
        <w:rPr>
          <w:rFonts w:hint="eastAsia"/>
        </w:rPr>
      </w:pPr>
      <w:r>
        <w:rPr>
          <w:rFonts w:hint="eastAsia"/>
        </w:rPr>
        <w:t>In chapters 4-5, the Spirit does indeed call John up into heaven.</w:t>
      </w:r>
    </w:p>
    <w:p w14:paraId="0715FD64">
      <w:pPr>
        <w:pStyle w:val="9"/>
        <w:spacing w:after="0" w:line="249" w:lineRule="auto"/>
        <w:rPr>
          <w:rFonts w:hint="eastAsia"/>
        </w:rPr>
      </w:pPr>
      <w:r>
        <w:rPr>
          <w:rFonts w:hint="eastAsia"/>
        </w:rPr>
        <w:t>在第4-5章中，圣灵确实呼召约翰上到天上。</w:t>
      </w:r>
    </w:p>
    <w:p w14:paraId="65BABD84">
      <w:pPr>
        <w:pStyle w:val="9"/>
        <w:spacing w:after="0" w:line="249" w:lineRule="auto"/>
        <w:rPr>
          <w:rFonts w:hint="eastAsia"/>
        </w:rPr>
      </w:pPr>
    </w:p>
    <w:p w14:paraId="341E2112">
      <w:pPr>
        <w:pStyle w:val="9"/>
        <w:spacing w:after="0" w:line="249" w:lineRule="auto"/>
        <w:rPr>
          <w:rFonts w:hint="eastAsia"/>
        </w:rPr>
      </w:pPr>
      <w:r>
        <w:rPr>
          <w:rFonts w:hint="eastAsia"/>
        </w:rPr>
        <w:t>His purpose, however, is certainly not to give him (or us) a picture of the Rapture of the Church, or to reveal the life of the Church in heaven after the Rapture.</w:t>
      </w:r>
    </w:p>
    <w:p w14:paraId="6A28D375">
      <w:pPr>
        <w:pStyle w:val="9"/>
        <w:spacing w:after="0" w:line="249" w:lineRule="auto"/>
        <w:rPr>
          <w:rFonts w:hint="eastAsia"/>
        </w:rPr>
      </w:pPr>
      <w:r>
        <w:rPr>
          <w:rFonts w:hint="eastAsia"/>
        </w:rPr>
        <w:t>然而，祂的目的肯定不是要给他（或我们）一幅教会的被提图，或揭示被提后教会在天上的生活。</w:t>
      </w:r>
    </w:p>
    <w:p w14:paraId="2DF328FE">
      <w:pPr>
        <w:pStyle w:val="9"/>
        <w:spacing w:after="0" w:line="249" w:lineRule="auto"/>
        <w:rPr>
          <w:rFonts w:hint="eastAsia"/>
        </w:rPr>
      </w:pPr>
    </w:p>
    <w:p w14:paraId="182AA6C5">
      <w:pPr>
        <w:pStyle w:val="9"/>
        <w:spacing w:after="0" w:line="249" w:lineRule="auto"/>
        <w:rPr>
          <w:rFonts w:hint="eastAsia"/>
        </w:rPr>
      </w:pPr>
      <w:r>
        <w:rPr>
          <w:rFonts w:hint="eastAsia"/>
        </w:rPr>
        <w:t>To the contrary, the Spirit’s purpose is to show John things to come, so that he in turn can show them to the Church Militant, so that they in turn may be edified, exhorted, and encouraged (4:1).</w:t>
      </w:r>
    </w:p>
    <w:p w14:paraId="3907B17C">
      <w:pPr>
        <w:pStyle w:val="9"/>
        <w:spacing w:after="0" w:line="249" w:lineRule="auto"/>
        <w:rPr>
          <w:rFonts w:hint="eastAsia"/>
        </w:rPr>
      </w:pPr>
      <w:r>
        <w:rPr>
          <w:rFonts w:hint="eastAsia"/>
        </w:rPr>
        <w:t>相反，圣灵的目的是要将必成的事指示约翰，以便他能将这些事指示给争战的教会，从而使他们可以得到造就、劝勉和鼓励（4:1）。</w:t>
      </w:r>
    </w:p>
    <w:p w14:paraId="026D4614">
      <w:pPr>
        <w:pStyle w:val="9"/>
        <w:spacing w:after="0" w:line="249" w:lineRule="auto"/>
        <w:rPr>
          <w:rFonts w:hint="eastAsia"/>
        </w:rPr>
      </w:pPr>
    </w:p>
    <w:p w14:paraId="734E10F8">
      <w:pPr>
        <w:pStyle w:val="9"/>
        <w:spacing w:after="0" w:line="249" w:lineRule="auto"/>
        <w:rPr>
          <w:rFonts w:hint="eastAsia"/>
        </w:rPr>
      </w:pPr>
      <w:r>
        <w:rPr>
          <w:rFonts w:hint="eastAsia"/>
        </w:rPr>
        <w:t>In all of this, John is indeed a type of the Church: not a type of the Church raptured, but a type of the Church Militant, which even now is spiritually seated in heavenly places, yet also physically walking, amidst great tribulation, through the wilderness of this evil world.</w:t>
      </w:r>
    </w:p>
    <w:p w14:paraId="387DCB0E">
      <w:pPr>
        <w:pStyle w:val="9"/>
        <w:spacing w:after="0" w:line="249" w:lineRule="auto"/>
        <w:rPr>
          <w:rFonts w:hint="eastAsia"/>
        </w:rPr>
      </w:pPr>
      <w:r>
        <w:rPr>
          <w:rFonts w:hint="eastAsia"/>
        </w:rPr>
        <w:t>在所有这一切中，约翰确实是教会的一个预表：不是被提教会的预表，而是争战的教会的预表，这教会即使现在在属灵上与基督一同坐在天上，但在肉身上却行走在极大的灾难中，穿越这邪恶世界的旷野。</w:t>
      </w:r>
    </w:p>
    <w:p w14:paraId="5F56183A">
      <w:pPr>
        <w:pStyle w:val="9"/>
        <w:spacing w:after="0" w:line="249" w:lineRule="auto"/>
        <w:rPr>
          <w:rFonts w:hint="eastAsia"/>
        </w:rPr>
      </w:pPr>
    </w:p>
    <w:p w14:paraId="4B38E4BE">
      <w:pPr>
        <w:pStyle w:val="9"/>
        <w:spacing w:after="0" w:line="249" w:lineRule="auto"/>
        <w:rPr>
          <w:rFonts w:hint="eastAsia"/>
        </w:rPr>
      </w:pPr>
      <w:r>
        <w:rPr>
          <w:rFonts w:hint="eastAsia"/>
        </w:rPr>
        <w:t>Also, note well that the elders cannot symbolize the saints of the Church Age only, since there are 24 of them: 12 representing the OT saints, and 12 representing the NT saints.</w:t>
      </w:r>
    </w:p>
    <w:p w14:paraId="0FC473E2">
      <w:pPr>
        <w:pStyle w:val="9"/>
        <w:spacing w:after="0" w:line="249" w:lineRule="auto"/>
        <w:rPr>
          <w:rFonts w:hint="eastAsia"/>
        </w:rPr>
      </w:pPr>
      <w:r>
        <w:rPr>
          <w:rFonts w:hint="eastAsia"/>
        </w:rPr>
        <w:t>另外，请注意，长老们不能只象征教会时代的圣徒，因为有24位：12位代表旧约圣徒，12位代表新约圣徒。</w:t>
      </w:r>
    </w:p>
    <w:p w14:paraId="25144357">
      <w:pPr>
        <w:pStyle w:val="9"/>
        <w:spacing w:after="0" w:line="249" w:lineRule="auto"/>
        <w:rPr>
          <w:rFonts w:hint="eastAsia"/>
        </w:rPr>
      </w:pPr>
    </w:p>
    <w:p w14:paraId="419D2541">
      <w:pPr>
        <w:pStyle w:val="9"/>
        <w:spacing w:after="0" w:line="249" w:lineRule="auto"/>
        <w:rPr>
          <w:rFonts w:hint="eastAsia"/>
        </w:rPr>
      </w:pPr>
      <w:r>
        <w:rPr>
          <w:rFonts w:hint="eastAsia"/>
        </w:rPr>
        <w:t>So then, in a great mystery, the 24 elders picture the Universal Church—Jews and Gentiles, OT and NT saints—seated in the heavenlies with Christ, watching him receive all authority from the Father so as to become the High King of heaven and earth; so as triumphantly to apply and consummate the redemption that he purchased upon the earth as the Lamb of God.</w:t>
      </w:r>
    </w:p>
    <w:p w14:paraId="74B361B5">
      <w:pPr>
        <w:pStyle w:val="9"/>
        <w:spacing w:after="0" w:line="249" w:lineRule="auto"/>
        <w:rPr>
          <w:rFonts w:hint="eastAsia"/>
        </w:rPr>
      </w:pPr>
      <w:r>
        <w:rPr>
          <w:rFonts w:hint="eastAsia"/>
        </w:rPr>
        <w:t>所以，在一个极大的奥秘中，24位长老描绘了普世教会——犹太人和外邦人，旧约和新约的圣徒——与基督一同坐在天上，观看祂从父那里领受一切权柄，从而成为天地至高的君王；从而 triumphant地应用并成全祂作为神的羔羊在地上所买赎的救恩。</w:t>
      </w:r>
    </w:p>
    <w:p w14:paraId="069FB656">
      <w:pPr>
        <w:pStyle w:val="9"/>
        <w:spacing w:after="0" w:line="249" w:lineRule="auto"/>
        <w:rPr>
          <w:rFonts w:hint="eastAsia"/>
        </w:rPr>
      </w:pPr>
    </w:p>
    <w:p w14:paraId="67086D6B">
      <w:pPr>
        <w:pStyle w:val="9"/>
        <w:spacing w:after="0" w:line="249" w:lineRule="auto"/>
        <w:rPr>
          <w:rFonts w:hint="eastAsia"/>
        </w:rPr>
      </w:pPr>
      <w:r>
        <w:rPr>
          <w:rFonts w:hint="eastAsia"/>
        </w:rPr>
        <w:t>The worship they offer has already begun, and it will resound to all eternity (Rev. 5:8-14).</w:t>
      </w:r>
    </w:p>
    <w:p w14:paraId="6FE9A4A8">
      <w:pPr>
        <w:pStyle w:val="9"/>
        <w:spacing w:after="0" w:line="249" w:lineRule="auto"/>
        <w:rPr>
          <w:rFonts w:hint="eastAsia"/>
        </w:rPr>
      </w:pPr>
      <w:r>
        <w:rPr>
          <w:rFonts w:hint="eastAsia"/>
        </w:rPr>
        <w:t>他们所献上的敬拜已经开始，并将回响到永永远远（启5:8-14）。</w:t>
      </w:r>
    </w:p>
    <w:p w14:paraId="3C1238A5">
      <w:pPr>
        <w:pStyle w:val="9"/>
        <w:spacing w:after="0" w:line="249" w:lineRule="auto"/>
        <w:rPr>
          <w:rFonts w:hint="eastAsia"/>
        </w:rPr>
      </w:pPr>
    </w:p>
    <w:p w14:paraId="0D7B149A">
      <w:pPr>
        <w:pStyle w:val="9"/>
        <w:spacing w:after="0" w:line="249" w:lineRule="auto"/>
        <w:rPr>
          <w:rFonts w:hint="eastAsia"/>
        </w:rPr>
      </w:pPr>
      <w:r>
        <w:rPr>
          <w:rFonts w:hint="eastAsia"/>
        </w:rPr>
        <w:t>The dispensational view of chapters 6-19—that it chronicles the ministry and vicissitudes of a Jewish remnant during a seven-year period of intense tribulation—is simply incredible.</w:t>
      </w:r>
    </w:p>
    <w:p w14:paraId="7358CC64">
      <w:pPr>
        <w:pStyle w:val="9"/>
        <w:spacing w:after="0" w:line="249" w:lineRule="auto"/>
        <w:rPr>
          <w:rFonts w:hint="eastAsia"/>
        </w:rPr>
      </w:pPr>
      <w:r>
        <w:rPr>
          <w:rFonts w:hint="eastAsia"/>
        </w:rPr>
        <w:t>时代论对第6-19章的观点——即它记录了在一个七年激烈灾难期间一个犹太余民的事工和变迁——简直是难以置信的。</w:t>
      </w:r>
    </w:p>
    <w:p w14:paraId="55729482">
      <w:pPr>
        <w:pStyle w:val="9"/>
        <w:spacing w:after="0" w:line="249" w:lineRule="auto"/>
        <w:rPr>
          <w:rFonts w:hint="eastAsia"/>
        </w:rPr>
      </w:pPr>
    </w:p>
    <w:p w14:paraId="50362966">
      <w:pPr>
        <w:pStyle w:val="9"/>
        <w:spacing w:after="0" w:line="249" w:lineRule="auto"/>
        <w:rPr>
          <w:rFonts w:hint="eastAsia"/>
        </w:rPr>
      </w:pPr>
      <w:r>
        <w:rPr>
          <w:rFonts w:hint="eastAsia"/>
        </w:rPr>
        <w:t>As I have argued, it flies in the face of the stated purpose of the book, that Christ should prophesy to his Church.</w:t>
      </w:r>
    </w:p>
    <w:p w14:paraId="34BFD18A">
      <w:pPr>
        <w:pStyle w:val="9"/>
        <w:spacing w:after="0" w:line="249" w:lineRule="auto"/>
        <w:rPr>
          <w:rFonts w:hint="eastAsia"/>
        </w:rPr>
      </w:pPr>
      <w:r>
        <w:rPr>
          <w:rFonts w:hint="eastAsia"/>
        </w:rPr>
        <w:t>正如我所论证的，这与本书明言的目的——即基督应对祂的教会说预言——相悖。</w:t>
      </w:r>
    </w:p>
    <w:p w14:paraId="59B50010">
      <w:pPr>
        <w:pStyle w:val="9"/>
        <w:spacing w:after="0" w:line="249" w:lineRule="auto"/>
        <w:rPr>
          <w:rFonts w:hint="eastAsia"/>
        </w:rPr>
      </w:pPr>
    </w:p>
    <w:p w14:paraId="421B6B64">
      <w:pPr>
        <w:pStyle w:val="9"/>
        <w:spacing w:after="0" w:line="249" w:lineRule="auto"/>
        <w:rPr>
          <w:rFonts w:hint="eastAsia"/>
        </w:rPr>
      </w:pPr>
      <w:r>
        <w:rPr>
          <w:rFonts w:hint="eastAsia"/>
        </w:rPr>
        <w:t>It flies in the face of the self-evident literary genre of the book (biblical apocalyptic), which in this case uses OT ideas and imagery to symbolize NT eschatological realities; realities that will befall God’s NT people, the Church, during the period between the two advents.</w:t>
      </w:r>
    </w:p>
    <w:p w14:paraId="389EB62E">
      <w:pPr>
        <w:pStyle w:val="9"/>
        <w:spacing w:after="0" w:line="249" w:lineRule="auto"/>
        <w:rPr>
          <w:rFonts w:hint="eastAsia"/>
        </w:rPr>
      </w:pPr>
      <w:r>
        <w:rPr>
          <w:rFonts w:hint="eastAsia"/>
        </w:rPr>
        <w:t>这与本书不言自明的文学体裁（圣经启示文学）相悖，在这种情况下，它使用旧约的思想和意象来象征新约的末世论现实；这些现实将在两次降临之间的时期临到神的新约子民，即教会。</w:t>
      </w:r>
    </w:p>
    <w:p w14:paraId="0690A410">
      <w:pPr>
        <w:pStyle w:val="9"/>
        <w:spacing w:after="0" w:line="249" w:lineRule="auto"/>
        <w:rPr>
          <w:rFonts w:hint="eastAsia"/>
        </w:rPr>
      </w:pPr>
    </w:p>
    <w:p w14:paraId="2B9F7073">
      <w:pPr>
        <w:pStyle w:val="9"/>
        <w:spacing w:after="0" w:line="249" w:lineRule="auto"/>
        <w:rPr>
          <w:rFonts w:hint="eastAsia"/>
        </w:rPr>
      </w:pPr>
      <w:r>
        <w:rPr>
          <w:rFonts w:hint="eastAsia"/>
        </w:rPr>
        <w:t>It flies in the face of a proper understanding of the 70th week of Daniel.</w:t>
      </w:r>
    </w:p>
    <w:p w14:paraId="3892FD71">
      <w:pPr>
        <w:pStyle w:val="9"/>
        <w:spacing w:after="0" w:line="249" w:lineRule="auto"/>
        <w:rPr>
          <w:rFonts w:hint="eastAsia"/>
        </w:rPr>
      </w:pPr>
      <w:r>
        <w:rPr>
          <w:rFonts w:hint="eastAsia"/>
        </w:rPr>
        <w:t>这与对但以理第70个七的正确理解相悖。</w:t>
      </w:r>
    </w:p>
    <w:p w14:paraId="5276AAEE">
      <w:pPr>
        <w:pStyle w:val="9"/>
        <w:spacing w:after="0" w:line="249" w:lineRule="auto"/>
        <w:rPr>
          <w:rFonts w:hint="eastAsia"/>
        </w:rPr>
      </w:pPr>
    </w:p>
    <w:p w14:paraId="38996645">
      <w:pPr>
        <w:pStyle w:val="9"/>
        <w:spacing w:after="0" w:line="249" w:lineRule="auto"/>
        <w:rPr>
          <w:rFonts w:hint="eastAsia"/>
        </w:rPr>
      </w:pPr>
      <w:r>
        <w:rPr>
          <w:rFonts w:hint="eastAsia"/>
        </w:rPr>
        <w:t>And it flies in the face of sound NT teaching on the Great Tribulation (i.e., the present evil age), and “the greatest tribulation” (i.e., a season of unspecified length that will bring it to a close).</w:t>
      </w:r>
    </w:p>
    <w:p w14:paraId="647A8ED5">
      <w:pPr>
        <w:pStyle w:val="9"/>
        <w:spacing w:after="0" w:line="249" w:lineRule="auto"/>
        <w:rPr>
          <w:rFonts w:hint="eastAsia"/>
        </w:rPr>
      </w:pPr>
      <w:r>
        <w:rPr>
          <w:rFonts w:hint="eastAsia"/>
        </w:rPr>
        <w:t>这与新约关于大灾难（即现今邪恶的世代）和“最大的灾难”（即一个未指明长度、将使其结束的时期）的健全教导相悖。</w:t>
      </w:r>
    </w:p>
    <w:p w14:paraId="4B1E5AC3">
      <w:pPr>
        <w:pStyle w:val="9"/>
        <w:spacing w:after="0" w:line="249" w:lineRule="auto"/>
        <w:rPr>
          <w:rFonts w:hint="eastAsia"/>
        </w:rPr>
      </w:pPr>
    </w:p>
    <w:p w14:paraId="1CABF8B4">
      <w:pPr>
        <w:pStyle w:val="9"/>
        <w:spacing w:after="0" w:line="249" w:lineRule="auto"/>
        <w:rPr>
          <w:rFonts w:hint="eastAsia"/>
        </w:rPr>
      </w:pPr>
      <w:r>
        <w:rPr>
          <w:rFonts w:hint="eastAsia"/>
        </w:rPr>
        <w:t>But most importantly, it flies in the face of the true structure of this section, which gives us six cycles of visions, each of which traces the inter-adventual era from beginning to end, closing with a symbolic depiction of the Parousia and/or its effects.</w:t>
      </w:r>
    </w:p>
    <w:p w14:paraId="0EFC61A1">
      <w:pPr>
        <w:pStyle w:val="9"/>
        <w:spacing w:after="0" w:line="249" w:lineRule="auto"/>
        <w:rPr>
          <w:rFonts w:hint="eastAsia"/>
        </w:rPr>
      </w:pPr>
      <w:r>
        <w:rPr>
          <w:rFonts w:hint="eastAsia"/>
        </w:rPr>
        <w:t>但最重要的是，这与本段的真实结构相悖，该结构为我们提供了六个异象周期，每个周期都追溯了两次降临之间时代的始末，并以对再来和/或其影响的象征性描绘作结。</w:t>
      </w:r>
    </w:p>
    <w:p w14:paraId="5F9C2C33">
      <w:pPr>
        <w:pStyle w:val="9"/>
        <w:spacing w:after="0" w:line="249" w:lineRule="auto"/>
        <w:rPr>
          <w:rFonts w:hint="eastAsia"/>
        </w:rPr>
      </w:pPr>
    </w:p>
    <w:p w14:paraId="71CCCA70">
      <w:pPr>
        <w:pStyle w:val="9"/>
        <w:spacing w:after="0" w:line="249" w:lineRule="auto"/>
        <w:rPr>
          <w:rFonts w:hint="eastAsia"/>
        </w:rPr>
      </w:pPr>
      <w:r>
        <w:rPr>
          <w:rFonts w:hint="eastAsia"/>
        </w:rPr>
        <w:t>Wonderful to say, this is actually a far more reasonable understanding of Revelation 6-19, since it truly fulfills the prophetic function of the book, which is to edify, exhort, and encourage the Church.</w:t>
      </w:r>
    </w:p>
    <w:p w14:paraId="1FD07E95">
      <w:pPr>
        <w:pStyle w:val="9"/>
        <w:spacing w:after="0" w:line="249" w:lineRule="auto"/>
        <w:rPr>
          <w:rFonts w:hint="eastAsia"/>
        </w:rPr>
      </w:pPr>
      <w:r>
        <w:rPr>
          <w:rFonts w:hint="eastAsia"/>
        </w:rPr>
        <w:t>奇妙的是，这实际上是对启示录第6-19章一个远为合理的理解，因为它真正履行了本书的预言功能，即造就、劝勉和鼓励教会。</w:t>
      </w:r>
    </w:p>
    <w:p w14:paraId="224B90C2">
      <w:pPr>
        <w:pStyle w:val="9"/>
        <w:spacing w:after="0" w:line="249" w:lineRule="auto"/>
        <w:rPr>
          <w:rFonts w:hint="eastAsia"/>
        </w:rPr>
      </w:pPr>
    </w:p>
    <w:p w14:paraId="0082B061">
      <w:pPr>
        <w:pStyle w:val="9"/>
        <w:spacing w:after="0" w:line="249" w:lineRule="auto"/>
        <w:rPr>
          <w:rFonts w:hint="eastAsia"/>
        </w:rPr>
      </w:pPr>
      <w:r>
        <w:rPr>
          <w:rFonts w:hint="eastAsia"/>
        </w:rPr>
        <w:t>It does so by assuring her that despite the manifold challenges of life in the Era of Proclamation, she is well able to bear them, seeing that her Lord will nourish her in the wilderness of this world, bless her labors, protect her from her foes, vindicate her cause at the Judgment, and richly reward her faithfulness in the World to Come.</w:t>
      </w:r>
    </w:p>
    <w:p w14:paraId="438F4776">
      <w:pPr>
        <w:pStyle w:val="9"/>
        <w:spacing w:after="0" w:line="249" w:lineRule="auto"/>
        <w:rPr>
          <w:rFonts w:hint="eastAsia"/>
        </w:rPr>
      </w:pPr>
      <w:r>
        <w:rPr>
          <w:rFonts w:hint="eastAsia"/>
        </w:rPr>
        <w:t>它这样做，是藉着向她保证，尽管在传讲时代的生活中有诸多挑战，她也完全能够承受，因为她的主将在这世界的旷野中滋养她，祝福她的劳苦，保护她脱离仇敌，在审判时为她的事业辩护，并在来世丰厚地报答她的忠心。</w:t>
      </w:r>
    </w:p>
    <w:p w14:paraId="11C5B503">
      <w:pPr>
        <w:pStyle w:val="9"/>
        <w:spacing w:after="0" w:line="249" w:lineRule="auto"/>
        <w:rPr>
          <w:rFonts w:hint="eastAsia"/>
        </w:rPr>
      </w:pPr>
    </w:p>
    <w:p w14:paraId="305D3A0B">
      <w:pPr>
        <w:pStyle w:val="9"/>
        <w:spacing w:after="0" w:line="249" w:lineRule="auto"/>
        <w:rPr>
          <w:rFonts w:hint="eastAsia"/>
        </w:rPr>
      </w:pPr>
      <w:r>
        <w:rPr>
          <w:rFonts w:hint="eastAsia"/>
        </w:rPr>
        <w:t>How starkly all this contrasts with the troubling fruits of the dispensational view, a view that deludes and weakens the Church with false promises of a rapturous escape from the Greatest Tribulation, in which she is called to walk faithfully and courageously in the steps of the Suffering Servant of God.</w:t>
      </w:r>
    </w:p>
    <w:p w14:paraId="4C54905F">
      <w:pPr>
        <w:pStyle w:val="9"/>
        <w:spacing w:after="0" w:line="249" w:lineRule="auto"/>
        <w:rPr>
          <w:rFonts w:hint="eastAsia"/>
        </w:rPr>
      </w:pPr>
      <w:r>
        <w:rPr>
          <w:rFonts w:hint="eastAsia"/>
        </w:rPr>
        <w:t>这一切与时代论观点的困扰性结果形成了多么鲜明的对比，那种观点用从最大灾难中被提逃脱的虚假应许来迷惑和削弱教会，而她本被呼召要忠实勇敢地行走在神受苦仆人的脚踪里。</w:t>
      </w:r>
    </w:p>
    <w:p w14:paraId="39B6A977">
      <w:pPr>
        <w:pStyle w:val="9"/>
        <w:spacing w:after="0" w:line="249" w:lineRule="auto"/>
        <w:rPr>
          <w:rFonts w:hint="eastAsia"/>
        </w:rPr>
      </w:pPr>
    </w:p>
    <w:p w14:paraId="756AACA6">
      <w:pPr>
        <w:pStyle w:val="9"/>
        <w:spacing w:after="0" w:line="249" w:lineRule="auto"/>
        <w:rPr>
          <w:rFonts w:hint="eastAsia"/>
        </w:rPr>
      </w:pPr>
      <w:r>
        <w:rPr>
          <w:rFonts w:hint="eastAsia"/>
        </w:rPr>
        <w:t>As for Revelation 20, dispensationalists rob Christ’s Church of much- needed edification by banishing this crucial chapter to complete irrelevancy; by asserting that it speaks of a literal thousand years to follow the Parousia, and that it pertains, not to the Church, but to Israel and the millennial nations.</w:t>
      </w:r>
    </w:p>
    <w:p w14:paraId="0EAF7D32">
      <w:pPr>
        <w:pStyle w:val="9"/>
        <w:spacing w:after="0" w:line="249" w:lineRule="auto"/>
        <w:rPr>
          <w:rFonts w:hint="eastAsia"/>
        </w:rPr>
      </w:pPr>
      <w:r>
        <w:rPr>
          <w:rFonts w:hint="eastAsia"/>
        </w:rPr>
        <w:t>至于启示录第20章，时代论者将这一关键章节放逐到完全无关紧要的地步，从而剥夺了基督教会急需的造就；他们断言，它讲的是再来之后一个字面意义上的一千年，并且它不关乎教会，而是关乎以色列和千禧年的列国。</w:t>
      </w:r>
    </w:p>
    <w:p w14:paraId="0AF9D9F8">
      <w:pPr>
        <w:pStyle w:val="9"/>
        <w:spacing w:after="0" w:line="249" w:lineRule="auto"/>
        <w:rPr>
          <w:rFonts w:hint="eastAsia"/>
        </w:rPr>
      </w:pPr>
    </w:p>
    <w:p w14:paraId="3784A2A6">
      <w:pPr>
        <w:pStyle w:val="9"/>
        <w:spacing w:after="0" w:line="249" w:lineRule="auto"/>
        <w:rPr>
          <w:rFonts w:hint="eastAsia"/>
        </w:rPr>
      </w:pPr>
      <w:r>
        <w:rPr>
          <w:rFonts w:hint="eastAsia"/>
        </w:rPr>
        <w:t>We have seen, however, that in truth Revelation 20 traces—for the sixth and final time—the course, character, and consummation of the entire Era of Proclamation; that it faithfully teaches, warns, and comforts Christians concerning things to come prior to the Parousia, the Resurrection, and the Judgment of the Last Day.</w:t>
      </w:r>
    </w:p>
    <w:p w14:paraId="4DD64246">
      <w:pPr>
        <w:pStyle w:val="9"/>
        <w:spacing w:after="0" w:line="249" w:lineRule="auto"/>
        <w:rPr>
          <w:rFonts w:hint="eastAsia"/>
        </w:rPr>
      </w:pPr>
      <w:r>
        <w:rPr>
          <w:rFonts w:hint="eastAsia"/>
        </w:rPr>
        <w:t>然而，我们已经看到，启示录第20章实际上是——第六次也是最后一次——追溯了整个传讲时代的进程、特征和结局；它忠实地教导、警告和安慰基督徒关于在再来、复活和末日审判之前将要发生的事。</w:t>
      </w:r>
    </w:p>
    <w:p w14:paraId="3BC328E4">
      <w:pPr>
        <w:pStyle w:val="9"/>
        <w:spacing w:after="0" w:line="249" w:lineRule="auto"/>
        <w:rPr>
          <w:rFonts w:hint="eastAsia"/>
        </w:rPr>
      </w:pPr>
    </w:p>
    <w:p w14:paraId="1B8C8216">
      <w:pPr>
        <w:pStyle w:val="9"/>
        <w:spacing w:after="0" w:line="249" w:lineRule="auto"/>
        <w:rPr>
          <w:rFonts w:hint="eastAsia"/>
        </w:rPr>
      </w:pPr>
      <w:r>
        <w:rPr>
          <w:rFonts w:hint="eastAsia"/>
        </w:rPr>
        <w:t>Far from being irrelevant, Revelation 20 is vital to our spiritual health.</w:t>
      </w:r>
    </w:p>
    <w:p w14:paraId="2C234752">
      <w:pPr>
        <w:pStyle w:val="9"/>
        <w:spacing w:after="0" w:line="249" w:lineRule="auto"/>
        <w:rPr>
          <w:rFonts w:hint="eastAsia"/>
        </w:rPr>
      </w:pPr>
      <w:r>
        <w:rPr>
          <w:rFonts w:hint="eastAsia"/>
        </w:rPr>
        <w:t>启示录第20章远非无关紧要，它对我们的属灵健康至关重要。</w:t>
      </w:r>
    </w:p>
    <w:p w14:paraId="57A44AAD">
      <w:pPr>
        <w:pStyle w:val="9"/>
        <w:spacing w:after="0" w:line="249" w:lineRule="auto"/>
        <w:rPr>
          <w:rFonts w:hint="eastAsia"/>
        </w:rPr>
      </w:pPr>
    </w:p>
    <w:p w14:paraId="496D2C9D">
      <w:pPr>
        <w:pStyle w:val="9"/>
        <w:spacing w:after="0" w:line="249" w:lineRule="auto"/>
        <w:rPr>
          <w:rFonts w:hint="eastAsia"/>
        </w:rPr>
      </w:pPr>
      <w:r>
        <w:rPr>
          <w:rFonts w:hint="eastAsia"/>
        </w:rPr>
        <w:t>We dare not lose it.</w:t>
      </w:r>
    </w:p>
    <w:p w14:paraId="438FF054">
      <w:pPr>
        <w:pStyle w:val="9"/>
        <w:spacing w:after="0" w:line="249" w:lineRule="auto"/>
        <w:rPr>
          <w:rFonts w:hint="eastAsia"/>
        </w:rPr>
      </w:pPr>
      <w:r>
        <w:rPr>
          <w:rFonts w:hint="eastAsia"/>
        </w:rPr>
        <w:t>我们绝不敢失去它。</w:t>
      </w:r>
    </w:p>
    <w:p w14:paraId="6A035D85">
      <w:pPr>
        <w:pStyle w:val="9"/>
        <w:spacing w:after="0" w:line="249" w:lineRule="auto"/>
        <w:rPr>
          <w:rFonts w:hint="eastAsia"/>
        </w:rPr>
      </w:pPr>
    </w:p>
    <w:p w14:paraId="72310854">
      <w:pPr>
        <w:pStyle w:val="9"/>
        <w:spacing w:after="0" w:line="249" w:lineRule="auto"/>
        <w:rPr>
          <w:rFonts w:hint="eastAsia"/>
        </w:rPr>
      </w:pPr>
      <w:r>
        <w:rPr>
          <w:rFonts w:hint="eastAsia"/>
        </w:rPr>
        <w:t>Finally, it is heart-rending indeed to see how their literalist hermeneutic plunges dispensationalists into confusion and controversy over chapters 21- 22; how it keeps them from decoding the rich OT symbolism employed here; how it keeps them from seeing the glorious Bride-City of Christ enjoying the fullness of eternal life with her Triune God in the World to Come; how it keeps them from hearing and savoring the Grand Finale of the Grand Finale of all Scripture.</w:t>
      </w:r>
    </w:p>
    <w:p w14:paraId="5F8A7BD8">
      <w:pPr>
        <w:pStyle w:val="9"/>
        <w:spacing w:after="0" w:line="249" w:lineRule="auto"/>
        <w:rPr>
          <w:rFonts w:hint="eastAsia"/>
        </w:rPr>
      </w:pPr>
      <w:r>
        <w:rPr>
          <w:rFonts w:hint="eastAsia"/>
        </w:rPr>
        <w:t>最后，看到他们的字面主义释经学如何让时代论者在第21-22章上陷入混乱和争议，实在令人心碎；它如何阻止他们解码这里所使用的丰富的旧约象征主义；如何阻止他们看见基督荣耀的新妇之城在来世与她的三一神同享永生的丰满；如何阻止他们听见并品味整本圣经宏大终曲的最终乐章。</w:t>
      </w:r>
    </w:p>
    <w:p w14:paraId="3FF3826B">
      <w:pPr>
        <w:pStyle w:val="9"/>
        <w:spacing w:after="0" w:line="249" w:lineRule="auto"/>
        <w:rPr>
          <w:rFonts w:hint="eastAsia"/>
        </w:rPr>
      </w:pPr>
    </w:p>
    <w:p w14:paraId="4C319B81">
      <w:pPr>
        <w:pStyle w:val="9"/>
        <w:spacing w:after="0" w:line="249" w:lineRule="auto"/>
        <w:rPr>
          <w:rFonts w:hint="eastAsia"/>
        </w:rPr>
      </w:pPr>
      <w:r>
        <w:rPr>
          <w:rFonts w:hint="eastAsia"/>
        </w:rPr>
        <w:t>My prayer, then, is that the High King of Heaven—the glorious Christ of the Revelation—may grant us all eyes to see and ears to hear, that we may better know both him and his truth, and may better serve him and his people in these last days (Rev. 1:8-20, 2:7, 3:18).</w:t>
      </w:r>
    </w:p>
    <w:p w14:paraId="265FD4A8">
      <w:pPr>
        <w:pStyle w:val="9"/>
        <w:spacing w:after="0" w:line="249" w:lineRule="auto"/>
        <w:sectPr>
          <w:pgSz w:w="12240" w:h="15840"/>
          <w:pgMar w:top="1380" w:right="1440" w:bottom="280" w:left="1440" w:header="720" w:footer="720" w:gutter="0"/>
          <w:cols w:space="720" w:num="1"/>
        </w:sectPr>
      </w:pPr>
      <w:r>
        <w:rPr>
          <w:rFonts w:hint="eastAsia"/>
        </w:rPr>
        <w:t>因此，我的祷告是，愿天上的至高君王——启示录中荣耀的基督——赐给我们所有人能看的眼和能听的耳，使我们能更好地认识祂和祂的真理，并能在这末后的日子里更好地服事祂和祂的子民（启1:8-20, 2:7, 3:18）。</w:t>
      </w:r>
    </w:p>
    <w:p w14:paraId="2ECB5D31">
      <w:pPr>
        <w:pStyle w:val="9"/>
        <w:spacing w:before="0"/>
        <w:ind w:left="0"/>
        <w:jc w:val="left"/>
        <w:rPr>
          <w:sz w:val="17"/>
        </w:rPr>
      </w:pPr>
      <w:bookmarkStart w:id="71" w:name="_bookmark200"/>
      <w:bookmarkEnd w:id="71"/>
      <w:bookmarkStart w:id="72" w:name="Appendix 4: A Critique of Preterism"/>
      <w:bookmarkEnd w:id="72"/>
    </w:p>
    <w:p w14:paraId="136C01A6">
      <w:pPr>
        <w:pStyle w:val="2"/>
        <w:bidi w:val="0"/>
        <w:rPr>
          <w:rFonts w:hint="eastAsia"/>
        </w:rPr>
      </w:pPr>
      <w:r>
        <w:rPr>
          <w:rFonts w:hint="eastAsia"/>
        </w:rPr>
        <w:t>Appendix 4</w:t>
      </w:r>
    </w:p>
    <w:p w14:paraId="78910BDC">
      <w:pPr>
        <w:pStyle w:val="2"/>
        <w:bidi w:val="0"/>
        <w:rPr>
          <w:rFonts w:hint="eastAsia"/>
        </w:rPr>
      </w:pPr>
      <w:r>
        <w:rPr>
          <w:rFonts w:hint="eastAsia"/>
        </w:rPr>
        <w:t>附录4</w:t>
      </w:r>
    </w:p>
    <w:p w14:paraId="4319192F">
      <w:pPr>
        <w:pStyle w:val="9"/>
        <w:spacing w:before="8"/>
        <w:ind w:left="0"/>
        <w:jc w:val="left"/>
        <w:rPr>
          <w:rFonts w:hint="eastAsia"/>
          <w:b w:val="0"/>
          <w:bCs/>
          <w:sz w:val="30"/>
          <w:szCs w:val="30"/>
        </w:rPr>
      </w:pPr>
    </w:p>
    <w:p w14:paraId="4A84631C">
      <w:pPr>
        <w:pStyle w:val="3"/>
        <w:bidi w:val="0"/>
        <w:rPr>
          <w:rFonts w:hint="eastAsia"/>
        </w:rPr>
      </w:pPr>
      <w:r>
        <w:rPr>
          <w:rFonts w:hint="eastAsia"/>
        </w:rPr>
        <w:t>A Critique of Preterism</w:t>
      </w:r>
    </w:p>
    <w:p w14:paraId="64C2909B">
      <w:pPr>
        <w:pStyle w:val="3"/>
        <w:bidi w:val="0"/>
        <w:rPr>
          <w:rFonts w:hint="eastAsia"/>
        </w:rPr>
      </w:pPr>
      <w:r>
        <w:rPr>
          <w:rFonts w:hint="eastAsia"/>
        </w:rPr>
        <w:t>对过去主义的批判</w:t>
      </w:r>
    </w:p>
    <w:p w14:paraId="4E7C4C76">
      <w:pPr>
        <w:pStyle w:val="9"/>
        <w:spacing w:before="8"/>
        <w:ind w:left="0"/>
        <w:jc w:val="left"/>
        <w:rPr>
          <w:rFonts w:hint="eastAsia"/>
          <w:b w:val="0"/>
          <w:bCs/>
          <w:sz w:val="30"/>
          <w:szCs w:val="30"/>
        </w:rPr>
      </w:pPr>
    </w:p>
    <w:p w14:paraId="65C211BB">
      <w:pPr>
        <w:pStyle w:val="9"/>
        <w:spacing w:before="8"/>
        <w:ind w:left="0"/>
        <w:jc w:val="left"/>
        <w:rPr>
          <w:rFonts w:hint="eastAsia"/>
          <w:b w:val="0"/>
          <w:bCs/>
          <w:sz w:val="30"/>
          <w:szCs w:val="30"/>
        </w:rPr>
      </w:pPr>
      <w:r>
        <w:rPr>
          <w:rFonts w:hint="eastAsia"/>
          <w:b w:val="0"/>
          <w:bCs/>
          <w:sz w:val="30"/>
          <w:szCs w:val="30"/>
        </w:rPr>
        <w:t>AS WE LEARNED in chapter 3, preterism is a school of prophetic interpretation that emphasizes the past fulfillment biblical prophecies dealing with the Consummation.</w:t>
      </w:r>
    </w:p>
    <w:p w14:paraId="36C3CA2A">
      <w:pPr>
        <w:pStyle w:val="9"/>
        <w:spacing w:before="8"/>
        <w:ind w:left="0"/>
        <w:jc w:val="left"/>
        <w:rPr>
          <w:rFonts w:hint="eastAsia"/>
          <w:b w:val="0"/>
          <w:bCs/>
          <w:sz w:val="30"/>
          <w:szCs w:val="30"/>
        </w:rPr>
      </w:pPr>
      <w:r>
        <w:rPr>
          <w:rFonts w:hint="eastAsia"/>
          <w:b w:val="0"/>
          <w:bCs/>
          <w:sz w:val="30"/>
          <w:szCs w:val="30"/>
        </w:rPr>
        <w:t>正如我们在第3章所学到的，过去主义是一个预言解释学派，它强调圣经中关乎结局的预言在过去已经应验。</w:t>
      </w:r>
    </w:p>
    <w:p w14:paraId="6437B6E2">
      <w:pPr>
        <w:pStyle w:val="9"/>
        <w:spacing w:before="8"/>
        <w:ind w:left="0"/>
        <w:jc w:val="left"/>
        <w:rPr>
          <w:rFonts w:hint="eastAsia"/>
          <w:b w:val="0"/>
          <w:bCs/>
          <w:sz w:val="30"/>
          <w:szCs w:val="30"/>
        </w:rPr>
      </w:pPr>
    </w:p>
    <w:p w14:paraId="72EEA70B">
      <w:pPr>
        <w:pStyle w:val="9"/>
        <w:spacing w:before="8"/>
        <w:ind w:left="0"/>
        <w:jc w:val="left"/>
        <w:rPr>
          <w:rFonts w:hint="eastAsia"/>
          <w:b w:val="0"/>
          <w:bCs/>
          <w:sz w:val="30"/>
          <w:szCs w:val="30"/>
        </w:rPr>
      </w:pPr>
      <w:r>
        <w:rPr>
          <w:rFonts w:hint="eastAsia"/>
          <w:b w:val="0"/>
          <w:bCs/>
          <w:sz w:val="30"/>
          <w:szCs w:val="30"/>
        </w:rPr>
        <w:t>Grounding their distinctive views in the Olivet Discourse (and especially Matthew 24), preterists lay great stress on the Jewish War (66-70 AD) and the destruction of Jerusalem in 70 AD.</w:t>
      </w:r>
    </w:p>
    <w:p w14:paraId="0FBBC6F3">
      <w:pPr>
        <w:pStyle w:val="9"/>
        <w:spacing w:before="8"/>
        <w:ind w:left="0"/>
        <w:jc w:val="left"/>
        <w:rPr>
          <w:rFonts w:hint="eastAsia"/>
          <w:b w:val="0"/>
          <w:bCs/>
          <w:sz w:val="30"/>
          <w:szCs w:val="30"/>
        </w:rPr>
      </w:pPr>
      <w:r>
        <w:rPr>
          <w:rFonts w:hint="eastAsia"/>
          <w:b w:val="0"/>
          <w:bCs/>
          <w:sz w:val="30"/>
          <w:szCs w:val="30"/>
        </w:rPr>
        <w:t>过去主义者将其独特的观点建立在橄榄山讲论（尤其是马太福音第24章）之上，他们极其强调犹太战争（公元66-70年）和公元70年耶路撒冷的毁灭。</w:t>
      </w:r>
    </w:p>
    <w:p w14:paraId="7A40F0B3">
      <w:pPr>
        <w:pStyle w:val="9"/>
        <w:spacing w:before="8"/>
        <w:ind w:left="0"/>
        <w:jc w:val="left"/>
        <w:rPr>
          <w:rFonts w:hint="eastAsia"/>
          <w:b w:val="0"/>
          <w:bCs/>
          <w:sz w:val="30"/>
          <w:szCs w:val="30"/>
        </w:rPr>
      </w:pPr>
    </w:p>
    <w:p w14:paraId="001B687C">
      <w:pPr>
        <w:pStyle w:val="9"/>
        <w:spacing w:before="8"/>
        <w:ind w:left="0"/>
        <w:jc w:val="left"/>
        <w:rPr>
          <w:rFonts w:hint="eastAsia"/>
          <w:b w:val="0"/>
          <w:bCs/>
          <w:sz w:val="30"/>
          <w:szCs w:val="30"/>
        </w:rPr>
      </w:pPr>
      <w:r>
        <w:rPr>
          <w:rFonts w:hint="eastAsia"/>
          <w:b w:val="0"/>
          <w:bCs/>
          <w:sz w:val="30"/>
          <w:szCs w:val="30"/>
        </w:rPr>
        <w:t>Full preterists assert that all elements of the Consummation were fulfilled at that time; partial preterists say that many elements were fulfilled at that time, though the main ones still await the end of the age.</w:t>
      </w:r>
    </w:p>
    <w:p w14:paraId="4109B087">
      <w:pPr>
        <w:pStyle w:val="9"/>
        <w:spacing w:before="8"/>
        <w:ind w:left="0"/>
        <w:jc w:val="left"/>
        <w:rPr>
          <w:rFonts w:hint="eastAsia"/>
          <w:b w:val="0"/>
          <w:bCs/>
          <w:sz w:val="30"/>
          <w:szCs w:val="30"/>
        </w:rPr>
      </w:pPr>
      <w:r>
        <w:rPr>
          <w:rFonts w:hint="eastAsia"/>
          <w:b w:val="0"/>
          <w:bCs/>
          <w:sz w:val="30"/>
          <w:szCs w:val="30"/>
        </w:rPr>
        <w:t>完全过去主义者断言，结局的所有要素都在那个时候应验了；部分过去主义者则说，许多要素在那个时候应验了，尽管主要的要素仍在等待时代的终结。</w:t>
      </w:r>
    </w:p>
    <w:p w14:paraId="28002B21">
      <w:pPr>
        <w:pStyle w:val="9"/>
        <w:spacing w:before="8"/>
        <w:ind w:left="0"/>
        <w:jc w:val="left"/>
        <w:rPr>
          <w:rFonts w:hint="eastAsia"/>
          <w:b w:val="0"/>
          <w:bCs/>
          <w:sz w:val="30"/>
          <w:szCs w:val="30"/>
        </w:rPr>
      </w:pPr>
    </w:p>
    <w:p w14:paraId="2E473B0D">
      <w:pPr>
        <w:pStyle w:val="9"/>
        <w:spacing w:before="8"/>
        <w:ind w:left="0"/>
        <w:jc w:val="left"/>
        <w:rPr>
          <w:rFonts w:hint="eastAsia"/>
          <w:b w:val="0"/>
          <w:bCs/>
          <w:sz w:val="30"/>
          <w:szCs w:val="30"/>
        </w:rPr>
      </w:pPr>
      <w:r>
        <w:rPr>
          <w:rFonts w:hint="eastAsia"/>
          <w:b w:val="0"/>
          <w:bCs/>
          <w:sz w:val="30"/>
          <w:szCs w:val="30"/>
        </w:rPr>
        <w:t>In the course of our study, I have addressed most of the preterist claims, whether directly or indirectly.</w:t>
      </w:r>
    </w:p>
    <w:p w14:paraId="6C7A9AC0">
      <w:pPr>
        <w:pStyle w:val="9"/>
        <w:spacing w:before="8"/>
        <w:ind w:left="0"/>
        <w:jc w:val="left"/>
        <w:rPr>
          <w:rFonts w:hint="eastAsia"/>
          <w:b w:val="0"/>
          <w:bCs/>
          <w:sz w:val="30"/>
          <w:szCs w:val="30"/>
        </w:rPr>
      </w:pPr>
      <w:r>
        <w:rPr>
          <w:rFonts w:hint="eastAsia"/>
          <w:b w:val="0"/>
          <w:bCs/>
          <w:sz w:val="30"/>
          <w:szCs w:val="30"/>
        </w:rPr>
        <w:t>在我们的研究过程中，我已经或直接或间接地论述了过去主义的大部分主张。</w:t>
      </w:r>
    </w:p>
    <w:p w14:paraId="505C6B0E">
      <w:pPr>
        <w:pStyle w:val="9"/>
        <w:spacing w:before="8"/>
        <w:ind w:left="0"/>
        <w:jc w:val="left"/>
        <w:rPr>
          <w:rFonts w:hint="eastAsia"/>
          <w:b w:val="0"/>
          <w:bCs/>
          <w:sz w:val="30"/>
          <w:szCs w:val="30"/>
        </w:rPr>
      </w:pPr>
    </w:p>
    <w:p w14:paraId="2FB78FE5">
      <w:pPr>
        <w:pStyle w:val="9"/>
        <w:spacing w:before="8"/>
        <w:ind w:left="0"/>
        <w:jc w:val="left"/>
        <w:rPr>
          <w:rFonts w:hint="eastAsia"/>
          <w:b w:val="0"/>
          <w:bCs/>
          <w:sz w:val="30"/>
          <w:szCs w:val="30"/>
        </w:rPr>
      </w:pPr>
      <w:r>
        <w:rPr>
          <w:rFonts w:hint="eastAsia"/>
          <w:b w:val="0"/>
          <w:bCs/>
          <w:sz w:val="30"/>
          <w:szCs w:val="30"/>
        </w:rPr>
        <w:t>In this appendix I will again use our four basic eschatological categories to summarize my criticisms of this view, which has gained some traction in Reformed circles.</w:t>
      </w:r>
    </w:p>
    <w:p w14:paraId="0254403E">
      <w:pPr>
        <w:pStyle w:val="9"/>
        <w:spacing w:before="8"/>
        <w:ind w:left="0"/>
        <w:jc w:val="left"/>
        <w:rPr>
          <w:rFonts w:hint="eastAsia"/>
          <w:b w:val="0"/>
          <w:bCs/>
          <w:sz w:val="30"/>
          <w:szCs w:val="30"/>
        </w:rPr>
      </w:pPr>
      <w:r>
        <w:rPr>
          <w:rFonts w:hint="eastAsia"/>
          <w:b w:val="0"/>
          <w:bCs/>
          <w:sz w:val="30"/>
          <w:szCs w:val="30"/>
        </w:rPr>
        <w:t>在本附录中，我将再次使用我们的四个基本末世论类别来总结我对这一观点的批判，该观点在改革宗教会圈子里已获得一些关注。</w:t>
      </w:r>
    </w:p>
    <w:p w14:paraId="7C85A190">
      <w:pPr>
        <w:pStyle w:val="9"/>
        <w:spacing w:before="8"/>
        <w:ind w:left="0"/>
        <w:jc w:val="left"/>
        <w:rPr>
          <w:rFonts w:hint="eastAsia"/>
          <w:b w:val="0"/>
          <w:bCs/>
          <w:sz w:val="30"/>
          <w:szCs w:val="30"/>
        </w:rPr>
      </w:pPr>
    </w:p>
    <w:p w14:paraId="7C351119">
      <w:pPr>
        <w:pStyle w:val="9"/>
        <w:spacing w:before="8"/>
        <w:ind w:left="0"/>
        <w:jc w:val="left"/>
        <w:rPr>
          <w:rFonts w:hint="eastAsia"/>
          <w:b w:val="0"/>
          <w:bCs/>
          <w:sz w:val="30"/>
          <w:szCs w:val="30"/>
        </w:rPr>
      </w:pPr>
      <w:r>
        <w:rPr>
          <w:rFonts w:hint="eastAsia"/>
          <w:b w:val="0"/>
          <w:bCs/>
          <w:sz w:val="30"/>
          <w:szCs w:val="30"/>
        </w:rPr>
        <w:t>Full Preterism (FP)</w:t>
      </w:r>
    </w:p>
    <w:p w14:paraId="5B4F89F5">
      <w:pPr>
        <w:pStyle w:val="9"/>
        <w:spacing w:before="8"/>
        <w:ind w:left="0"/>
        <w:jc w:val="left"/>
        <w:rPr>
          <w:b w:val="0"/>
          <w:bCs/>
          <w:sz w:val="30"/>
          <w:szCs w:val="30"/>
        </w:rPr>
      </w:pPr>
      <w:r>
        <w:rPr>
          <w:rFonts w:hint="eastAsia"/>
          <w:b w:val="0"/>
          <w:bCs/>
          <w:sz w:val="30"/>
          <w:szCs w:val="30"/>
        </w:rPr>
        <w:t>完全过去主义（FP）</w:t>
      </w:r>
      <w:r>
        <w:rPr>
          <w:b w:val="0"/>
          <w:bCs/>
          <w:sz w:val="30"/>
          <w:szCs w:val="30"/>
        </w:rPr>
        <w:drawing>
          <wp:anchor distT="0" distB="0" distL="0" distR="0" simplePos="0" relativeHeight="251669504" behindDoc="1" locked="0" layoutInCell="1" allowOverlap="1">
            <wp:simplePos x="0" y="0"/>
            <wp:positionH relativeFrom="page">
              <wp:posOffset>2428240</wp:posOffset>
            </wp:positionH>
            <wp:positionV relativeFrom="paragraph">
              <wp:posOffset>78740</wp:posOffset>
            </wp:positionV>
            <wp:extent cx="2905760" cy="1405890"/>
            <wp:effectExtent l="0" t="0" r="0" b="0"/>
            <wp:wrapTopAndBottom/>
            <wp:docPr id="119" name="Image 119"/>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20" cstate="print"/>
                    <a:stretch>
                      <a:fillRect/>
                    </a:stretch>
                  </pic:blipFill>
                  <pic:spPr>
                    <a:xfrm>
                      <a:off x="0" y="0"/>
                      <a:ext cx="2905531" cy="1405889"/>
                    </a:xfrm>
                    <a:prstGeom prst="rect">
                      <a:avLst/>
                    </a:prstGeom>
                  </pic:spPr>
                </pic:pic>
              </a:graphicData>
            </a:graphic>
          </wp:anchor>
        </w:drawing>
      </w:r>
    </w:p>
    <w:p w14:paraId="218E66C2">
      <w:pPr>
        <w:pStyle w:val="9"/>
        <w:spacing w:before="81"/>
        <w:ind w:left="0"/>
        <w:jc w:val="left"/>
        <w:rPr>
          <w:b/>
          <w:sz w:val="33"/>
        </w:rPr>
      </w:pPr>
      <w:r>
        <w:drawing>
          <wp:inline distT="0" distB="0" distL="114300" distR="114300">
            <wp:extent cx="4874895" cy="2364740"/>
            <wp:effectExtent l="0" t="0" r="1905" b="12700"/>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40"/>
                    <a:stretch>
                      <a:fillRect/>
                    </a:stretch>
                  </pic:blipFill>
                  <pic:spPr>
                    <a:xfrm>
                      <a:off x="0" y="0"/>
                      <a:ext cx="4874895" cy="2364740"/>
                    </a:xfrm>
                    <a:prstGeom prst="rect">
                      <a:avLst/>
                    </a:prstGeom>
                    <a:noFill/>
                    <a:ln>
                      <a:noFill/>
                    </a:ln>
                  </pic:spPr>
                </pic:pic>
              </a:graphicData>
            </a:graphic>
          </wp:inline>
        </w:drawing>
      </w:r>
    </w:p>
    <w:p w14:paraId="3BF6DB8E">
      <w:pPr>
        <w:pStyle w:val="9"/>
        <w:spacing w:after="0" w:line="249" w:lineRule="auto"/>
        <w:rPr>
          <w:rFonts w:hint="eastAsia"/>
          <w:color w:val="231F20"/>
        </w:rPr>
      </w:pPr>
      <w:r>
        <w:rPr>
          <w:rFonts w:hint="eastAsia"/>
          <w:color w:val="231F20"/>
        </w:rPr>
        <w:t>Full Preterism (FP) is the view that the Consummation, whole and entire, occurred in 70 AD.</w:t>
      </w:r>
    </w:p>
    <w:p w14:paraId="6343820E">
      <w:pPr>
        <w:pStyle w:val="9"/>
        <w:spacing w:after="0" w:line="249" w:lineRule="auto"/>
        <w:rPr>
          <w:rFonts w:hint="eastAsia"/>
          <w:color w:val="231F20"/>
        </w:rPr>
      </w:pPr>
      <w:r>
        <w:rPr>
          <w:rFonts w:hint="eastAsia"/>
          <w:color w:val="231F20"/>
        </w:rPr>
        <w:t>完全过去主义（FP）的观点是，结局，完整而全然地，发生在公元70年。</w:t>
      </w:r>
    </w:p>
    <w:p w14:paraId="314DF5FE">
      <w:pPr>
        <w:pStyle w:val="9"/>
        <w:spacing w:after="0" w:line="249" w:lineRule="auto"/>
        <w:rPr>
          <w:rFonts w:hint="eastAsia"/>
          <w:color w:val="231F20"/>
        </w:rPr>
      </w:pPr>
    </w:p>
    <w:p w14:paraId="75CF4538">
      <w:pPr>
        <w:pStyle w:val="9"/>
        <w:spacing w:after="0" w:line="249" w:lineRule="auto"/>
        <w:rPr>
          <w:rFonts w:hint="eastAsia"/>
          <w:color w:val="231F20"/>
        </w:rPr>
      </w:pPr>
      <w:r>
        <w:rPr>
          <w:rFonts w:hint="eastAsia"/>
          <w:color w:val="231F20"/>
        </w:rPr>
        <w:t>For full preterists, the last days are the last days of the Mosaic Covenant, the (brief) period between Christ’s ascension and his (spiritual) Parousia in 70 AD.</w:t>
      </w:r>
    </w:p>
    <w:p w14:paraId="56E9617D">
      <w:pPr>
        <w:pStyle w:val="9"/>
        <w:spacing w:after="0" w:line="249" w:lineRule="auto"/>
        <w:rPr>
          <w:rFonts w:hint="eastAsia"/>
          <w:color w:val="231F20"/>
        </w:rPr>
      </w:pPr>
      <w:r>
        <w:rPr>
          <w:rFonts w:hint="eastAsia"/>
          <w:color w:val="231F20"/>
        </w:rPr>
        <w:t>对完全过去主义者来说，末后的日子是摩西之约的末后日子，是基督升天与祂在公元70年（属灵的）再来之间的（短暂）时期。</w:t>
      </w:r>
    </w:p>
    <w:p w14:paraId="02FAF4AA">
      <w:pPr>
        <w:pStyle w:val="9"/>
        <w:spacing w:after="0" w:line="249" w:lineRule="auto"/>
        <w:rPr>
          <w:rFonts w:hint="eastAsia"/>
          <w:color w:val="231F20"/>
        </w:rPr>
      </w:pPr>
    </w:p>
    <w:p w14:paraId="35BB320F">
      <w:pPr>
        <w:pStyle w:val="9"/>
        <w:spacing w:after="0" w:line="249" w:lineRule="auto"/>
        <w:rPr>
          <w:rFonts w:hint="eastAsia"/>
          <w:color w:val="231F20"/>
        </w:rPr>
      </w:pPr>
      <w:r>
        <w:rPr>
          <w:rFonts w:hint="eastAsia"/>
          <w:color w:val="231F20"/>
        </w:rPr>
        <w:t>During this time the whole (Jewish and Roman) world was evangelized, the fullness of ethnic Israel came in, the Antichrist (i.e., Nero) arose, and the Great Tribulation (i.e., the lead-up to Titus’ invasion) occurred.</w:t>
      </w:r>
    </w:p>
    <w:p w14:paraId="62401AB0">
      <w:pPr>
        <w:pStyle w:val="9"/>
        <w:spacing w:after="0" w:line="249" w:lineRule="auto"/>
        <w:rPr>
          <w:rFonts w:hint="eastAsia"/>
          <w:color w:val="231F20"/>
        </w:rPr>
      </w:pPr>
      <w:r>
        <w:rPr>
          <w:rFonts w:hint="eastAsia"/>
          <w:color w:val="231F20"/>
        </w:rPr>
        <w:t>在这段时期，整个（犹太和罗马）世界都得到了福音的传讲，种族上的以色列人的全数都进来了，敌基督（即尼禄）兴起，大灾难（即提多入侵的前奏）也发生了。</w:t>
      </w:r>
    </w:p>
    <w:p w14:paraId="1D9235C4">
      <w:pPr>
        <w:pStyle w:val="9"/>
        <w:spacing w:after="0" w:line="249" w:lineRule="auto"/>
        <w:rPr>
          <w:rFonts w:hint="eastAsia"/>
          <w:color w:val="231F20"/>
        </w:rPr>
      </w:pPr>
    </w:p>
    <w:p w14:paraId="0EB5E4A7">
      <w:pPr>
        <w:pStyle w:val="9"/>
        <w:spacing w:after="0" w:line="249" w:lineRule="auto"/>
        <w:rPr>
          <w:rFonts w:hint="eastAsia"/>
          <w:color w:val="231F20"/>
        </w:rPr>
      </w:pPr>
      <w:r>
        <w:rPr>
          <w:rFonts w:hint="eastAsia"/>
          <w:color w:val="231F20"/>
        </w:rPr>
        <w:t>Then, in 70 AD, the Parousia, the Resurrection, and the Last Judgment all took place: spiritually rather than physically.</w:t>
      </w:r>
    </w:p>
    <w:p w14:paraId="4FB45FDD">
      <w:pPr>
        <w:pStyle w:val="9"/>
        <w:spacing w:after="0" w:line="249" w:lineRule="auto"/>
        <w:rPr>
          <w:rFonts w:hint="eastAsia"/>
          <w:color w:val="231F20"/>
        </w:rPr>
      </w:pPr>
      <w:r>
        <w:rPr>
          <w:rFonts w:hint="eastAsia"/>
          <w:color w:val="231F20"/>
        </w:rPr>
        <w:t>然后，在公元70年，主的再来、复活和最后的审判都发生了：是属灵的，而非属肉体的。</w:t>
      </w:r>
    </w:p>
    <w:p w14:paraId="795B83CB">
      <w:pPr>
        <w:pStyle w:val="9"/>
        <w:spacing w:after="0" w:line="249" w:lineRule="auto"/>
        <w:rPr>
          <w:rFonts w:hint="eastAsia"/>
          <w:color w:val="231F20"/>
        </w:rPr>
      </w:pPr>
    </w:p>
    <w:p w14:paraId="08AAE979">
      <w:pPr>
        <w:pStyle w:val="9"/>
        <w:spacing w:after="0" w:line="249" w:lineRule="auto"/>
        <w:rPr>
          <w:rFonts w:hint="eastAsia"/>
          <w:color w:val="231F20"/>
        </w:rPr>
      </w:pPr>
      <w:r>
        <w:rPr>
          <w:rFonts w:hint="eastAsia"/>
          <w:color w:val="231F20"/>
        </w:rPr>
        <w:t>The Kingdom in its fullness appeared, the new heavens and the new earth arrived: spiritually, rather than physically.</w:t>
      </w:r>
    </w:p>
    <w:p w14:paraId="0B4E4B10">
      <w:pPr>
        <w:pStyle w:val="9"/>
        <w:spacing w:after="0" w:line="249" w:lineRule="auto"/>
        <w:rPr>
          <w:rFonts w:hint="eastAsia"/>
          <w:color w:val="231F20"/>
        </w:rPr>
      </w:pPr>
      <w:r>
        <w:rPr>
          <w:rFonts w:hint="eastAsia"/>
          <w:color w:val="231F20"/>
        </w:rPr>
        <w:t>国度以其丰满的形式出现，新天新地也降临了：是属灵的，而非属肉体的。</w:t>
      </w:r>
    </w:p>
    <w:p w14:paraId="63270C87">
      <w:pPr>
        <w:pStyle w:val="9"/>
        <w:spacing w:after="0" w:line="249" w:lineRule="auto"/>
        <w:rPr>
          <w:rFonts w:hint="eastAsia"/>
          <w:color w:val="231F20"/>
        </w:rPr>
      </w:pPr>
    </w:p>
    <w:p w14:paraId="23C9486A">
      <w:pPr>
        <w:pStyle w:val="9"/>
        <w:spacing w:after="0" w:line="249" w:lineRule="auto"/>
        <w:rPr>
          <w:rFonts w:hint="eastAsia"/>
          <w:color w:val="231F20"/>
        </w:rPr>
      </w:pPr>
      <w:r>
        <w:rPr>
          <w:rFonts w:hint="eastAsia"/>
          <w:color w:val="231F20"/>
        </w:rPr>
        <w:t>Since then, believers, at their death, are resurrected into the World to Come; unbelievers, at their death, are resurrected into the Lake of Fire: spiritually, rather than physically.</w:t>
      </w:r>
    </w:p>
    <w:p w14:paraId="5839E1DE">
      <w:pPr>
        <w:pStyle w:val="9"/>
        <w:spacing w:after="0" w:line="249" w:lineRule="auto"/>
        <w:rPr>
          <w:rFonts w:hint="eastAsia"/>
          <w:color w:val="231F20"/>
        </w:rPr>
      </w:pPr>
      <w:r>
        <w:rPr>
          <w:rFonts w:hint="eastAsia"/>
          <w:color w:val="231F20"/>
        </w:rPr>
        <w:t>从那时起，信徒在死时，就复活进入来世；不信者在死时，就复活进入火湖：是属灵的，而非属肉体的。</w:t>
      </w:r>
    </w:p>
    <w:p w14:paraId="1804DC95">
      <w:pPr>
        <w:pStyle w:val="9"/>
        <w:spacing w:after="0" w:line="249" w:lineRule="auto"/>
        <w:rPr>
          <w:rFonts w:hint="eastAsia"/>
          <w:color w:val="231F20"/>
        </w:rPr>
      </w:pPr>
    </w:p>
    <w:p w14:paraId="04901C89">
      <w:pPr>
        <w:pStyle w:val="9"/>
        <w:spacing w:after="0" w:line="249" w:lineRule="auto"/>
        <w:rPr>
          <w:rFonts w:hint="eastAsia"/>
          <w:color w:val="231F20"/>
        </w:rPr>
      </w:pPr>
      <w:r>
        <w:rPr>
          <w:rFonts w:hint="eastAsia"/>
          <w:color w:val="231F20"/>
        </w:rPr>
        <w:t>You may ask, “What then lies ahead for the physical remains of the saints, or for our sin-cursed earth?”</w:t>
      </w:r>
    </w:p>
    <w:p w14:paraId="1EB25655">
      <w:pPr>
        <w:pStyle w:val="9"/>
        <w:spacing w:after="0" w:line="249" w:lineRule="auto"/>
        <w:rPr>
          <w:rFonts w:hint="eastAsia"/>
          <w:color w:val="231F20"/>
        </w:rPr>
      </w:pPr>
      <w:r>
        <w:rPr>
          <w:rFonts w:hint="eastAsia"/>
          <w:color w:val="231F20"/>
        </w:rPr>
        <w:t>你可能会问：“那么，对于圣徒的肉身遗骸，或者对于我们这个被罪咒诅的地球，未来又将如何呢？”</w:t>
      </w:r>
    </w:p>
    <w:p w14:paraId="758AF8DB">
      <w:pPr>
        <w:pStyle w:val="9"/>
        <w:spacing w:after="0" w:line="249" w:lineRule="auto"/>
        <w:rPr>
          <w:rFonts w:hint="eastAsia"/>
          <w:color w:val="231F20"/>
        </w:rPr>
      </w:pPr>
    </w:p>
    <w:p w14:paraId="15BD3320">
      <w:pPr>
        <w:pStyle w:val="9"/>
        <w:spacing w:after="0" w:line="249" w:lineRule="auto"/>
        <w:rPr>
          <w:rFonts w:hint="eastAsia"/>
          <w:color w:val="231F20"/>
        </w:rPr>
      </w:pPr>
      <w:r>
        <w:rPr>
          <w:rFonts w:hint="eastAsia"/>
          <w:color w:val="231F20"/>
        </w:rPr>
        <w:t>So far as I can tell, no full preterist seems to know.</w:t>
      </w:r>
    </w:p>
    <w:p w14:paraId="3FD0C3CF">
      <w:pPr>
        <w:pStyle w:val="9"/>
        <w:spacing w:after="0" w:line="249" w:lineRule="auto"/>
        <w:rPr>
          <w:rFonts w:hint="eastAsia"/>
          <w:color w:val="231F20"/>
        </w:rPr>
      </w:pPr>
      <w:r>
        <w:rPr>
          <w:rFonts w:hint="eastAsia"/>
          <w:color w:val="231F20"/>
        </w:rPr>
        <w:t>就我所知，似乎没有一个完全过去主义者知道答案。</w:t>
      </w:r>
    </w:p>
    <w:p w14:paraId="6589D4CB">
      <w:pPr>
        <w:pStyle w:val="9"/>
        <w:spacing w:after="0" w:line="249" w:lineRule="auto"/>
        <w:rPr>
          <w:rFonts w:hint="eastAsia"/>
          <w:color w:val="231F20"/>
        </w:rPr>
      </w:pPr>
    </w:p>
    <w:p w14:paraId="11795DFF">
      <w:pPr>
        <w:pStyle w:val="9"/>
        <w:spacing w:after="0" w:line="249" w:lineRule="auto"/>
        <w:rPr>
          <w:rFonts w:hint="eastAsia"/>
          <w:color w:val="231F20"/>
        </w:rPr>
      </w:pPr>
      <w:r>
        <w:rPr>
          <w:rFonts w:hint="eastAsia"/>
          <w:color w:val="231F20"/>
        </w:rPr>
        <w:t>View of the Kingdom</w:t>
      </w:r>
    </w:p>
    <w:p w14:paraId="251AA6E8">
      <w:pPr>
        <w:pStyle w:val="9"/>
        <w:spacing w:after="0" w:line="249" w:lineRule="auto"/>
        <w:rPr>
          <w:rFonts w:hint="eastAsia"/>
          <w:color w:val="231F20"/>
        </w:rPr>
      </w:pPr>
      <w:r>
        <w:rPr>
          <w:rFonts w:hint="eastAsia"/>
          <w:color w:val="231F20"/>
        </w:rPr>
        <w:t>对国度的看法</w:t>
      </w:r>
    </w:p>
    <w:p w14:paraId="6D542DB2">
      <w:pPr>
        <w:pStyle w:val="9"/>
        <w:spacing w:after="0" w:line="249" w:lineRule="auto"/>
        <w:rPr>
          <w:rFonts w:hint="eastAsia"/>
          <w:color w:val="231F20"/>
        </w:rPr>
      </w:pPr>
    </w:p>
    <w:p w14:paraId="2EF8215B">
      <w:pPr>
        <w:pStyle w:val="9"/>
        <w:spacing w:after="0" w:line="249" w:lineRule="auto"/>
        <w:rPr>
          <w:rFonts w:hint="eastAsia"/>
          <w:color w:val="231F20"/>
        </w:rPr>
      </w:pPr>
      <w:r>
        <w:rPr>
          <w:rFonts w:hint="eastAsia"/>
          <w:color w:val="231F20"/>
        </w:rPr>
        <w:t>In agreement with amillennarians, Full Preterists affirm that the Kingdom is the direct reign of God, through Christ, by the Spirit; that it is entered through faith in the Person and Work of Christ; and that it is, in essence, the promise of the Eternal Covenant.</w:t>
      </w:r>
    </w:p>
    <w:p w14:paraId="0D971820">
      <w:pPr>
        <w:pStyle w:val="9"/>
        <w:spacing w:after="0" w:line="249" w:lineRule="auto"/>
        <w:rPr>
          <w:rFonts w:hint="eastAsia"/>
          <w:color w:val="231F20"/>
        </w:rPr>
      </w:pPr>
      <w:r>
        <w:rPr>
          <w:rFonts w:hint="eastAsia"/>
          <w:color w:val="231F20"/>
        </w:rPr>
        <w:t>与无千禧年论者一样，完全过去主义者也肯定，国度是神透过基督、藉着圣灵的直接统治；人是透过对基督位格和工作的信心进入这国度；并且，它本质上是永恒之约的应许。</w:t>
      </w:r>
    </w:p>
    <w:p w14:paraId="758F830B">
      <w:pPr>
        <w:pStyle w:val="9"/>
        <w:spacing w:after="0" w:line="249" w:lineRule="auto"/>
        <w:rPr>
          <w:rFonts w:hint="eastAsia"/>
          <w:color w:val="231F20"/>
        </w:rPr>
      </w:pPr>
    </w:p>
    <w:p w14:paraId="46AACE10">
      <w:pPr>
        <w:pStyle w:val="9"/>
        <w:spacing w:after="0" w:line="249" w:lineRule="auto"/>
        <w:rPr>
          <w:rFonts w:hint="eastAsia"/>
          <w:color w:val="231F20"/>
        </w:rPr>
      </w:pPr>
      <w:r>
        <w:rPr>
          <w:rFonts w:hint="eastAsia"/>
          <w:color w:val="231F20"/>
        </w:rPr>
        <w:t>Also, they would agree that the Kingdom enters the world in two stages, though they conceive of these quite differently: the first began at Pentecost, the second at the destruction of Jerusalem.</w:t>
      </w:r>
    </w:p>
    <w:p w14:paraId="3E203E7E">
      <w:pPr>
        <w:pStyle w:val="9"/>
        <w:spacing w:after="0" w:line="249" w:lineRule="auto"/>
        <w:rPr>
          <w:rFonts w:hint="eastAsia"/>
          <w:color w:val="231F20"/>
        </w:rPr>
      </w:pPr>
      <w:r>
        <w:rPr>
          <w:rFonts w:hint="eastAsia"/>
          <w:color w:val="231F20"/>
        </w:rPr>
        <w:t>此外，他们也同意国度是以两个阶段进入世界的，尽管他们对这两个阶段的构想截然不同：第一个阶段始于五旬节，第二个阶段始于耶路撒冷的毁灭。</w:t>
      </w:r>
    </w:p>
    <w:p w14:paraId="10DAE4A9">
      <w:pPr>
        <w:pStyle w:val="9"/>
        <w:spacing w:after="0" w:line="249" w:lineRule="auto"/>
        <w:rPr>
          <w:rFonts w:hint="eastAsia"/>
          <w:color w:val="231F20"/>
        </w:rPr>
      </w:pPr>
    </w:p>
    <w:p w14:paraId="3D94341E">
      <w:pPr>
        <w:pStyle w:val="9"/>
        <w:spacing w:after="0" w:line="249" w:lineRule="auto"/>
        <w:rPr>
          <w:rFonts w:hint="eastAsia"/>
          <w:color w:val="231F20"/>
        </w:rPr>
      </w:pPr>
      <w:r>
        <w:rPr>
          <w:rFonts w:hint="eastAsia"/>
          <w:color w:val="231F20"/>
        </w:rPr>
        <w:t>This is a serious misunderstanding of NT Kingdom teaching.</w:t>
      </w:r>
    </w:p>
    <w:p w14:paraId="3A129B38">
      <w:pPr>
        <w:pStyle w:val="9"/>
        <w:spacing w:after="0" w:line="249" w:lineRule="auto"/>
        <w:rPr>
          <w:rFonts w:hint="eastAsia"/>
          <w:color w:val="231F20"/>
        </w:rPr>
      </w:pPr>
      <w:r>
        <w:rPr>
          <w:rFonts w:hint="eastAsia"/>
          <w:color w:val="231F20"/>
        </w:rPr>
        <w:t>这是对新约国度教导的严重误解。</w:t>
      </w:r>
    </w:p>
    <w:p w14:paraId="6B30971C">
      <w:pPr>
        <w:pStyle w:val="9"/>
        <w:spacing w:after="0" w:line="249" w:lineRule="auto"/>
        <w:rPr>
          <w:rFonts w:hint="eastAsia"/>
          <w:color w:val="231F20"/>
        </w:rPr>
      </w:pPr>
    </w:p>
    <w:p w14:paraId="466B8168">
      <w:pPr>
        <w:pStyle w:val="9"/>
        <w:spacing w:after="0" w:line="249" w:lineRule="auto"/>
        <w:rPr>
          <w:rFonts w:hint="eastAsia"/>
          <w:color w:val="231F20"/>
        </w:rPr>
      </w:pPr>
      <w:r>
        <w:rPr>
          <w:rFonts w:hint="eastAsia"/>
          <w:color w:val="231F20"/>
        </w:rPr>
        <w:t>As we saw on our journey, the second stage of the Kingdom does not begin in 70 AD, but at the Parousia of Christ in glory at the end of the present evil age, when he himself will cast out all things that offend, and destroy every enemy, the last of which is death itself (Mt. 13:36-43, 1 Cor. 15:20-28).</w:t>
      </w:r>
    </w:p>
    <w:p w14:paraId="023E5625">
      <w:pPr>
        <w:pStyle w:val="9"/>
        <w:spacing w:after="0" w:line="249" w:lineRule="auto"/>
        <w:rPr>
          <w:rFonts w:hint="eastAsia"/>
          <w:color w:val="231F20"/>
        </w:rPr>
      </w:pPr>
      <w:r>
        <w:rPr>
          <w:rFonts w:hint="eastAsia"/>
          <w:color w:val="231F20"/>
        </w:rPr>
        <w:t>正如我们在旅程中所见，国度的第二阶段并非始于公元70年，而是在现今邪恶世代结束时，基督在荣耀中再来之时，届时祂自己将把一切叫人跌倒的都丢出去，并毁灭一切仇敌，最后一个被毁灭的仇敌就是死（太13:36-43，林前15:20-28）。</w:t>
      </w:r>
    </w:p>
    <w:p w14:paraId="292975FF">
      <w:pPr>
        <w:pStyle w:val="9"/>
        <w:spacing w:after="0" w:line="249" w:lineRule="auto"/>
        <w:rPr>
          <w:rFonts w:hint="eastAsia"/>
          <w:color w:val="231F20"/>
        </w:rPr>
      </w:pPr>
    </w:p>
    <w:p w14:paraId="2A279E2C">
      <w:pPr>
        <w:pStyle w:val="9"/>
        <w:spacing w:after="0" w:line="249" w:lineRule="auto"/>
        <w:rPr>
          <w:rFonts w:hint="eastAsia"/>
          <w:color w:val="231F20"/>
        </w:rPr>
      </w:pPr>
      <w:r>
        <w:rPr>
          <w:rFonts w:hint="eastAsia"/>
          <w:color w:val="231F20"/>
        </w:rPr>
        <w:t>In the second, eternal stage of the Kingdom (the Kingdom of the Father), God’s will is done on earth exactly as it is done in heaven; in other words, his reign is cosmic and all embracing (Mt. 7:10).</w:t>
      </w:r>
    </w:p>
    <w:p w14:paraId="0C283A18">
      <w:pPr>
        <w:pStyle w:val="9"/>
        <w:spacing w:after="0" w:line="249" w:lineRule="auto"/>
        <w:rPr>
          <w:rFonts w:hint="eastAsia"/>
          <w:color w:val="231F20"/>
        </w:rPr>
      </w:pPr>
      <w:r>
        <w:rPr>
          <w:rFonts w:hint="eastAsia"/>
          <w:color w:val="231F20"/>
        </w:rPr>
        <w:t>在国度的第二个、永恒的阶段（父的国），神的旨意行在地上，如同行在天上；换句话说，祂的统治是宇宙性的，包罗万象的（太7:10）。</w:t>
      </w:r>
    </w:p>
    <w:p w14:paraId="27DCDB41">
      <w:pPr>
        <w:pStyle w:val="9"/>
        <w:spacing w:after="0" w:line="249" w:lineRule="auto"/>
        <w:rPr>
          <w:rFonts w:hint="eastAsia"/>
          <w:color w:val="231F20"/>
        </w:rPr>
      </w:pPr>
    </w:p>
    <w:p w14:paraId="1363C7EE">
      <w:pPr>
        <w:pStyle w:val="9"/>
        <w:spacing w:after="0" w:line="249" w:lineRule="auto"/>
        <w:rPr>
          <w:rFonts w:hint="eastAsia"/>
          <w:color w:val="231F20"/>
        </w:rPr>
      </w:pPr>
      <w:r>
        <w:rPr>
          <w:rFonts w:hint="eastAsia"/>
          <w:color w:val="231F20"/>
        </w:rPr>
        <w:t>This means that it will descend upon the entire physical side of his creation, lifting the curse from all things, and making all things new (Rom. 8:18-25, Rev. 21:1-5, 22:3).</w:t>
      </w:r>
    </w:p>
    <w:p w14:paraId="3FAC595B">
      <w:pPr>
        <w:pStyle w:val="9"/>
        <w:spacing w:after="0" w:line="249" w:lineRule="auto"/>
        <w:rPr>
          <w:rFonts w:hint="eastAsia"/>
          <w:color w:val="231F20"/>
        </w:rPr>
      </w:pPr>
      <w:r>
        <w:rPr>
          <w:rFonts w:hint="eastAsia"/>
          <w:color w:val="231F20"/>
        </w:rPr>
        <w:t>这意味着它将降临在祂创造物的整个物质层面上，除去万物的咒诅，并将一切都更新了（罗8:18-25，启21:1-5，22:3）。</w:t>
      </w:r>
    </w:p>
    <w:p w14:paraId="73628674">
      <w:pPr>
        <w:pStyle w:val="9"/>
        <w:spacing w:after="0" w:line="249" w:lineRule="auto"/>
        <w:rPr>
          <w:rFonts w:hint="eastAsia"/>
          <w:color w:val="231F20"/>
        </w:rPr>
      </w:pPr>
    </w:p>
    <w:p w14:paraId="5772AE26">
      <w:pPr>
        <w:pStyle w:val="9"/>
        <w:spacing w:after="0" w:line="249" w:lineRule="auto"/>
        <w:rPr>
          <w:rFonts w:hint="eastAsia"/>
          <w:color w:val="231F20"/>
        </w:rPr>
      </w:pPr>
      <w:r>
        <w:rPr>
          <w:rFonts w:hint="eastAsia"/>
          <w:color w:val="231F20"/>
        </w:rPr>
        <w:t>No amount of preterist spiritualizing can rid the Scriptures of these glorious promises, which belong essentially to the Blessed Hope of the Church.</w:t>
      </w:r>
    </w:p>
    <w:p w14:paraId="41C11D42">
      <w:pPr>
        <w:pStyle w:val="9"/>
        <w:spacing w:after="0" w:line="249" w:lineRule="auto"/>
        <w:rPr>
          <w:rFonts w:hint="eastAsia"/>
          <w:color w:val="231F20"/>
        </w:rPr>
      </w:pPr>
      <w:r>
        <w:rPr>
          <w:rFonts w:hint="eastAsia"/>
          <w:color w:val="231F20"/>
        </w:rPr>
        <w:t>任何程度的过去主义属灵化，都无法从圣经中抹去这些荣耀的应许，这些应许本质上属于教会有福的盼望。</w:t>
      </w:r>
    </w:p>
    <w:p w14:paraId="1E9FF23E">
      <w:pPr>
        <w:pStyle w:val="9"/>
        <w:spacing w:after="0" w:line="249" w:lineRule="auto"/>
        <w:rPr>
          <w:rFonts w:hint="eastAsia"/>
          <w:color w:val="231F20"/>
        </w:rPr>
      </w:pPr>
    </w:p>
    <w:p w14:paraId="62FB3B36">
      <w:pPr>
        <w:pStyle w:val="9"/>
        <w:spacing w:after="0" w:line="249" w:lineRule="auto"/>
        <w:rPr>
          <w:rFonts w:hint="eastAsia"/>
          <w:color w:val="231F20"/>
        </w:rPr>
      </w:pPr>
      <w:r>
        <w:rPr>
          <w:rFonts w:hint="eastAsia"/>
          <w:color w:val="231F20"/>
        </w:rPr>
        <w:t>View of the Consummation</w:t>
      </w:r>
    </w:p>
    <w:p w14:paraId="1CACC404">
      <w:pPr>
        <w:pStyle w:val="9"/>
        <w:spacing w:after="0" w:line="249" w:lineRule="auto"/>
        <w:rPr>
          <w:rFonts w:hint="eastAsia"/>
          <w:color w:val="231F20"/>
        </w:rPr>
      </w:pPr>
      <w:r>
        <w:rPr>
          <w:rFonts w:hint="eastAsia"/>
          <w:color w:val="231F20"/>
        </w:rPr>
        <w:t>对结局的看法</w:t>
      </w:r>
    </w:p>
    <w:p w14:paraId="5A51C47D">
      <w:pPr>
        <w:pStyle w:val="9"/>
        <w:spacing w:after="0" w:line="249" w:lineRule="auto"/>
        <w:rPr>
          <w:rFonts w:hint="eastAsia"/>
          <w:color w:val="231F20"/>
        </w:rPr>
      </w:pPr>
    </w:p>
    <w:p w14:paraId="15968410">
      <w:pPr>
        <w:pStyle w:val="9"/>
        <w:spacing w:after="0" w:line="249" w:lineRule="auto"/>
        <w:rPr>
          <w:rFonts w:hint="eastAsia"/>
          <w:color w:val="231F20"/>
        </w:rPr>
      </w:pPr>
      <w:r>
        <w:rPr>
          <w:rFonts w:hint="eastAsia"/>
          <w:color w:val="231F20"/>
        </w:rPr>
        <w:t>The FP view of the Consummation completely undermines Christ’s teaching about the Consummation, thereby leaving the Church unprepared for the trials of the end of the age, and also robbing her of her Blessed Hope.</w:t>
      </w:r>
    </w:p>
    <w:p w14:paraId="09D73F3C">
      <w:pPr>
        <w:pStyle w:val="9"/>
        <w:spacing w:after="0" w:line="249" w:lineRule="auto"/>
        <w:rPr>
          <w:rFonts w:hint="eastAsia"/>
          <w:color w:val="231F20"/>
        </w:rPr>
      </w:pPr>
      <w:r>
        <w:rPr>
          <w:rFonts w:hint="eastAsia"/>
          <w:color w:val="231F20"/>
        </w:rPr>
        <w:t>完全过去主义对结局的看法，完全颠覆了基督关于结局的教导，从而使教会对时代末了的试炼毫无准备，并也剥夺了她有福的盼望。</w:t>
      </w:r>
    </w:p>
    <w:p w14:paraId="02516EB7">
      <w:pPr>
        <w:pStyle w:val="9"/>
        <w:spacing w:after="0" w:line="249" w:lineRule="auto"/>
        <w:rPr>
          <w:rFonts w:hint="eastAsia"/>
          <w:color w:val="231F20"/>
        </w:rPr>
      </w:pPr>
    </w:p>
    <w:p w14:paraId="51620CB2">
      <w:pPr>
        <w:pStyle w:val="9"/>
        <w:spacing w:after="0" w:line="249" w:lineRule="auto"/>
        <w:rPr>
          <w:rFonts w:hint="eastAsia"/>
          <w:color w:val="231F20"/>
        </w:rPr>
      </w:pPr>
      <w:r>
        <w:rPr>
          <w:rFonts w:hint="eastAsia"/>
          <w:color w:val="231F20"/>
        </w:rPr>
        <w:t>It does so by misreading the Olivet Discourse, and then making a flawed interpretation thereof into a Procrustean Bed for the rest of NT eschatology.</w:t>
      </w:r>
    </w:p>
    <w:p w14:paraId="4EF5F3EB">
      <w:pPr>
        <w:pStyle w:val="9"/>
        <w:spacing w:after="0" w:line="249" w:lineRule="auto"/>
        <w:rPr>
          <w:rFonts w:hint="eastAsia"/>
          <w:color w:val="231F20"/>
        </w:rPr>
      </w:pPr>
      <w:r>
        <w:rPr>
          <w:rFonts w:hint="eastAsia"/>
          <w:color w:val="231F20"/>
        </w:rPr>
        <w:t>它这样做，是藉由误读橄榄山讲论，然后将一个有缺陷的解释，变成一个强迫其他新约末世论与之相符的“普罗克汝斯忒斯之床”。</w:t>
      </w:r>
    </w:p>
    <w:p w14:paraId="698804DD">
      <w:pPr>
        <w:pStyle w:val="9"/>
        <w:spacing w:after="0" w:line="249" w:lineRule="auto"/>
        <w:rPr>
          <w:rFonts w:hint="eastAsia"/>
          <w:color w:val="231F20"/>
        </w:rPr>
      </w:pPr>
    </w:p>
    <w:p w14:paraId="0EA6FED8">
      <w:pPr>
        <w:pStyle w:val="9"/>
        <w:spacing w:after="0" w:line="249" w:lineRule="auto"/>
        <w:rPr>
          <w:rFonts w:hint="eastAsia"/>
          <w:color w:val="231F20"/>
        </w:rPr>
      </w:pPr>
      <w:r>
        <w:rPr>
          <w:rFonts w:hint="eastAsia"/>
          <w:color w:val="231F20"/>
        </w:rPr>
        <w:t>In particular, FP fails to see that in his teaching Christ spoke both of the destruction of Jerusalem in 70 AD and the Consummation at the end of the age.</w:t>
      </w:r>
    </w:p>
    <w:p w14:paraId="563D3584">
      <w:pPr>
        <w:pStyle w:val="9"/>
        <w:spacing w:after="0" w:line="249" w:lineRule="auto"/>
        <w:rPr>
          <w:rFonts w:hint="eastAsia"/>
          <w:color w:val="231F20"/>
        </w:rPr>
      </w:pPr>
      <w:r>
        <w:rPr>
          <w:rFonts w:hint="eastAsia"/>
          <w:color w:val="231F20"/>
        </w:rPr>
        <w:t>特别是，完全过去主义未能看到，基督在祂的教导中既谈到了公元70年耶路撒冷的毁灭，也谈到了时代终结时的结局。</w:t>
      </w:r>
    </w:p>
    <w:p w14:paraId="26902B2B">
      <w:pPr>
        <w:pStyle w:val="9"/>
        <w:spacing w:after="0" w:line="249" w:lineRule="auto"/>
        <w:rPr>
          <w:rFonts w:hint="eastAsia"/>
          <w:color w:val="231F20"/>
        </w:rPr>
      </w:pPr>
    </w:p>
    <w:p w14:paraId="2DAF808B">
      <w:pPr>
        <w:pStyle w:val="9"/>
        <w:spacing w:after="0" w:line="249" w:lineRule="auto"/>
        <w:rPr>
          <w:rFonts w:hint="eastAsia"/>
          <w:color w:val="231F20"/>
        </w:rPr>
      </w:pPr>
      <w:r>
        <w:rPr>
          <w:rFonts w:hint="eastAsia"/>
          <w:color w:val="231F20"/>
        </w:rPr>
        <w:t>He was employing what we referred to earlier as “prophetic perspective,” blending the near and the far, the already and the not yet, the local and the universal, the temporal and the eschatological.</w:t>
      </w:r>
    </w:p>
    <w:p w14:paraId="658FE8C2">
      <w:pPr>
        <w:pStyle w:val="9"/>
        <w:spacing w:after="0" w:line="249" w:lineRule="auto"/>
        <w:rPr>
          <w:rFonts w:hint="eastAsia"/>
          <w:color w:val="231F20"/>
        </w:rPr>
      </w:pPr>
      <w:r>
        <w:rPr>
          <w:rFonts w:hint="eastAsia"/>
          <w:color w:val="231F20"/>
        </w:rPr>
        <w:t>祂当时正在运用我们早些时候提到的“预言性视角”，将近与远、已然与未然、局部与普世、暂时与末世融合在一起。</w:t>
      </w:r>
    </w:p>
    <w:p w14:paraId="239B1355">
      <w:pPr>
        <w:pStyle w:val="9"/>
        <w:spacing w:after="0" w:line="249" w:lineRule="auto"/>
        <w:rPr>
          <w:rFonts w:hint="eastAsia"/>
          <w:color w:val="231F20"/>
        </w:rPr>
      </w:pPr>
    </w:p>
    <w:p w14:paraId="0AD301DB">
      <w:pPr>
        <w:pStyle w:val="9"/>
        <w:spacing w:after="0" w:line="249" w:lineRule="auto"/>
        <w:rPr>
          <w:rFonts w:hint="eastAsia"/>
          <w:color w:val="231F20"/>
        </w:rPr>
      </w:pPr>
      <w:r>
        <w:rPr>
          <w:rFonts w:hint="eastAsia"/>
          <w:color w:val="231F20"/>
        </w:rPr>
        <w:t>FP’s refusal to acknowledge this crucial characteristic of the Lord’s prophetic discourse guts all NT prophecy of its futuristic component, thereby plunging us into exegetical chaos and destroying the Blessed Hope of the Church.</w:t>
      </w:r>
    </w:p>
    <w:p w14:paraId="4E7841D5">
      <w:pPr>
        <w:pStyle w:val="9"/>
        <w:spacing w:after="0" w:line="249" w:lineRule="auto"/>
        <w:rPr>
          <w:rFonts w:hint="eastAsia"/>
          <w:color w:val="231F20"/>
        </w:rPr>
      </w:pPr>
      <w:r>
        <w:rPr>
          <w:rFonts w:hint="eastAsia"/>
          <w:color w:val="231F20"/>
        </w:rPr>
        <w:t>完全过去主义者拒绝承认主预言性讲论的这一关键特征，这掏空了所有新约预言的未来性成分，从而使我们陷入解经的混乱，并摧毁了教会有福的盼望。</w:t>
      </w:r>
    </w:p>
    <w:p w14:paraId="44C23C88">
      <w:pPr>
        <w:pStyle w:val="9"/>
        <w:spacing w:after="0" w:line="249" w:lineRule="auto"/>
        <w:rPr>
          <w:rFonts w:hint="eastAsia"/>
          <w:color w:val="231F20"/>
        </w:rPr>
      </w:pPr>
    </w:p>
    <w:p w14:paraId="488823BA">
      <w:pPr>
        <w:pStyle w:val="9"/>
        <w:spacing w:after="0" w:line="249" w:lineRule="auto"/>
        <w:rPr>
          <w:rFonts w:hint="eastAsia"/>
          <w:color w:val="231F20"/>
        </w:rPr>
      </w:pPr>
      <w:r>
        <w:rPr>
          <w:rFonts w:hint="eastAsia"/>
          <w:color w:val="231F20"/>
        </w:rPr>
        <w:t>Having already explained and defended the amillennial view of each element of the Consummation, I need not repeat myself here.</w:t>
      </w:r>
    </w:p>
    <w:p w14:paraId="1B41793A">
      <w:pPr>
        <w:pStyle w:val="9"/>
        <w:spacing w:after="0" w:line="249" w:lineRule="auto"/>
        <w:rPr>
          <w:rFonts w:hint="eastAsia"/>
          <w:color w:val="231F20"/>
        </w:rPr>
      </w:pPr>
      <w:r>
        <w:rPr>
          <w:rFonts w:hint="eastAsia"/>
          <w:color w:val="231F20"/>
        </w:rPr>
        <w:t>既然已经解释并捍卫了无千禧年论对结局每一要素的看法，我在此就不再重复了。</w:t>
      </w:r>
    </w:p>
    <w:p w14:paraId="27C06B85">
      <w:pPr>
        <w:pStyle w:val="9"/>
        <w:spacing w:after="0" w:line="249" w:lineRule="auto"/>
        <w:rPr>
          <w:rFonts w:hint="eastAsia"/>
          <w:color w:val="231F20"/>
        </w:rPr>
      </w:pPr>
    </w:p>
    <w:p w14:paraId="125219F8">
      <w:pPr>
        <w:pStyle w:val="9"/>
        <w:spacing w:after="0" w:line="249" w:lineRule="auto"/>
        <w:rPr>
          <w:rFonts w:hint="eastAsia"/>
          <w:color w:val="231F20"/>
        </w:rPr>
      </w:pPr>
      <w:r>
        <w:rPr>
          <w:rFonts w:hint="eastAsia"/>
          <w:color w:val="231F20"/>
        </w:rPr>
        <w:t>I will, however, take just a moment to contrast FP teaching with my understanding of the biblical truth.</w:t>
      </w:r>
    </w:p>
    <w:p w14:paraId="66EAAC9F">
      <w:pPr>
        <w:pStyle w:val="9"/>
        <w:spacing w:after="0" w:line="249" w:lineRule="auto"/>
        <w:rPr>
          <w:rFonts w:hint="eastAsia"/>
          <w:color w:val="231F20"/>
        </w:rPr>
      </w:pPr>
      <w:r>
        <w:rPr>
          <w:rFonts w:hint="eastAsia"/>
          <w:color w:val="231F20"/>
        </w:rPr>
        <w:t>然而，我只想花一点时间，将完全过去主义的教导与我所理解的圣经真理作一对比。</w:t>
      </w:r>
    </w:p>
    <w:p w14:paraId="398393EB">
      <w:pPr>
        <w:pStyle w:val="9"/>
        <w:spacing w:after="0" w:line="249" w:lineRule="auto"/>
        <w:rPr>
          <w:rFonts w:hint="eastAsia"/>
          <w:color w:val="231F20"/>
        </w:rPr>
      </w:pPr>
    </w:p>
    <w:p w14:paraId="0E0CADA2">
      <w:pPr>
        <w:pStyle w:val="9"/>
        <w:spacing w:after="0" w:line="249" w:lineRule="auto"/>
        <w:rPr>
          <w:rFonts w:hint="eastAsia"/>
          <w:color w:val="231F20"/>
        </w:rPr>
      </w:pPr>
      <w:r>
        <w:rPr>
          <w:rFonts w:hint="eastAsia"/>
          <w:color w:val="231F20"/>
        </w:rPr>
        <w:t>To begin with, the last days are not the last days of the Mosaic Covenant (which, by the way, Jesus fulfilled and abolished, not in 70 AD, but when he breathed his last on the Cross, crying, “It is finished!”, Mt.27:50-51, John 19:30).</w:t>
      </w:r>
    </w:p>
    <w:p w14:paraId="1689D836">
      <w:pPr>
        <w:pStyle w:val="9"/>
        <w:spacing w:after="0" w:line="249" w:lineRule="auto"/>
        <w:rPr>
          <w:rFonts w:hint="eastAsia"/>
          <w:color w:val="231F20"/>
        </w:rPr>
      </w:pPr>
      <w:r>
        <w:rPr>
          <w:rFonts w:hint="eastAsia"/>
          <w:color w:val="231F20"/>
        </w:rPr>
        <w:t>首先，末后的日子并非摩西之约的末后日子（顺便一提，耶稣成全并废除了摩西之约，不是在公元70年，而是在祂断气在十字架上，喊着说：“成了！”，太27:50-51，约19:30）。</w:t>
      </w:r>
    </w:p>
    <w:p w14:paraId="3CF35ECD">
      <w:pPr>
        <w:pStyle w:val="9"/>
        <w:spacing w:after="0" w:line="249" w:lineRule="auto"/>
        <w:rPr>
          <w:rFonts w:hint="eastAsia"/>
          <w:color w:val="231F20"/>
        </w:rPr>
      </w:pPr>
    </w:p>
    <w:p w14:paraId="4C19C065">
      <w:pPr>
        <w:pStyle w:val="9"/>
        <w:spacing w:after="0" w:line="249" w:lineRule="auto"/>
        <w:rPr>
          <w:rFonts w:hint="eastAsia"/>
          <w:color w:val="231F20"/>
        </w:rPr>
      </w:pPr>
      <w:r>
        <w:rPr>
          <w:rFonts w:hint="eastAsia"/>
          <w:color w:val="231F20"/>
        </w:rPr>
        <w:t>Rather, they are the days in which the New Covenant has been manifested in the earth.</w:t>
      </w:r>
    </w:p>
    <w:p w14:paraId="306D3D17">
      <w:pPr>
        <w:pStyle w:val="9"/>
        <w:spacing w:after="0" w:line="249" w:lineRule="auto"/>
        <w:rPr>
          <w:rFonts w:hint="eastAsia"/>
          <w:color w:val="231F20"/>
        </w:rPr>
      </w:pPr>
      <w:r>
        <w:rPr>
          <w:rFonts w:hint="eastAsia"/>
          <w:color w:val="231F20"/>
        </w:rPr>
        <w:t>相反，它们是新约在地上显明的日子。</w:t>
      </w:r>
    </w:p>
    <w:p w14:paraId="07C97A9F">
      <w:pPr>
        <w:pStyle w:val="9"/>
        <w:spacing w:after="0" w:line="249" w:lineRule="auto"/>
        <w:rPr>
          <w:rFonts w:hint="eastAsia"/>
          <w:color w:val="231F20"/>
        </w:rPr>
      </w:pPr>
    </w:p>
    <w:p w14:paraId="75FE972D">
      <w:pPr>
        <w:pStyle w:val="9"/>
        <w:spacing w:after="0" w:line="249" w:lineRule="auto"/>
        <w:rPr>
          <w:rFonts w:hint="eastAsia"/>
          <w:color w:val="231F20"/>
        </w:rPr>
      </w:pPr>
      <w:r>
        <w:rPr>
          <w:rFonts w:hint="eastAsia"/>
          <w:color w:val="231F20"/>
        </w:rPr>
        <w:t>They began with Christ’s incarnation and will conclude on the last of the last days at his Parousia (Heb. 1:1-2).</w:t>
      </w:r>
    </w:p>
    <w:p w14:paraId="58C91D25">
      <w:pPr>
        <w:pStyle w:val="9"/>
        <w:spacing w:after="0" w:line="249" w:lineRule="auto"/>
        <w:rPr>
          <w:rFonts w:hint="eastAsia"/>
          <w:color w:val="231F20"/>
        </w:rPr>
      </w:pPr>
      <w:r>
        <w:rPr>
          <w:rFonts w:hint="eastAsia"/>
          <w:color w:val="231F20"/>
        </w:rPr>
        <w:t>它们始于基督的道成肉身，并将在末世中的末了，在祂再来时结束（来1:1-2）。</w:t>
      </w:r>
    </w:p>
    <w:p w14:paraId="456A19B5">
      <w:pPr>
        <w:pStyle w:val="9"/>
        <w:spacing w:after="0" w:line="249" w:lineRule="auto"/>
        <w:rPr>
          <w:rFonts w:hint="eastAsia"/>
          <w:color w:val="231F20"/>
        </w:rPr>
      </w:pPr>
    </w:p>
    <w:p w14:paraId="146E7B7A">
      <w:pPr>
        <w:pStyle w:val="9"/>
        <w:spacing w:after="0" w:line="249" w:lineRule="auto"/>
        <w:rPr>
          <w:rFonts w:hint="eastAsia"/>
          <w:color w:val="231F20"/>
        </w:rPr>
      </w:pPr>
      <w:r>
        <w:rPr>
          <w:rFonts w:hint="eastAsia"/>
          <w:color w:val="231F20"/>
        </w:rPr>
        <w:t>Yes, Paul and the other apostles effectively evangelized the “world” of the Roman Empire of their day (Rom. 1:18, Col. 1:6, 23).</w:t>
      </w:r>
    </w:p>
    <w:p w14:paraId="1EB54806">
      <w:pPr>
        <w:pStyle w:val="9"/>
        <w:spacing w:after="0" w:line="249" w:lineRule="auto"/>
        <w:rPr>
          <w:rFonts w:hint="eastAsia"/>
          <w:color w:val="231F20"/>
        </w:rPr>
      </w:pPr>
      <w:r>
        <w:rPr>
          <w:rFonts w:hint="eastAsia"/>
          <w:color w:val="231F20"/>
        </w:rPr>
        <w:t>是的，保罗和其他使徒确实有效地将福音传遍了他们那个时代罗马帝国的“世界”（罗1:18，西1:6, 23）。</w:t>
      </w:r>
    </w:p>
    <w:p w14:paraId="304EF475">
      <w:pPr>
        <w:pStyle w:val="9"/>
        <w:spacing w:after="0" w:line="249" w:lineRule="auto"/>
        <w:rPr>
          <w:rFonts w:hint="eastAsia"/>
          <w:color w:val="231F20"/>
        </w:rPr>
      </w:pPr>
    </w:p>
    <w:p w14:paraId="4DAB2B51">
      <w:pPr>
        <w:pStyle w:val="9"/>
        <w:spacing w:after="0" w:line="249" w:lineRule="auto"/>
        <w:rPr>
          <w:rFonts w:hint="eastAsia"/>
          <w:color w:val="231F20"/>
        </w:rPr>
      </w:pPr>
      <w:r>
        <w:rPr>
          <w:rFonts w:hint="eastAsia"/>
          <w:color w:val="231F20"/>
        </w:rPr>
        <w:t>But as Paul himself would admit, this was only a prelude to, and a picture of, the complete evangelization of the whole earth, of which the Lord Jesus spoke in the Olivet Discourse (Mt. 24:14, Rom. 15:18-29).</w:t>
      </w:r>
    </w:p>
    <w:p w14:paraId="2D0DE330">
      <w:pPr>
        <w:pStyle w:val="9"/>
        <w:spacing w:after="0" w:line="249" w:lineRule="auto"/>
        <w:rPr>
          <w:rFonts w:hint="eastAsia"/>
          <w:color w:val="231F20"/>
        </w:rPr>
      </w:pPr>
      <w:r>
        <w:rPr>
          <w:rFonts w:hint="eastAsia"/>
          <w:color w:val="231F20"/>
        </w:rPr>
        <w:t>但正如保罗自己也会承认的，这只是一个前奏，一幅图画，描绘的是主耶稣在橄榄山讲论中所说的、对全世界的完全福音化（太24:14，罗15:18-29）。</w:t>
      </w:r>
    </w:p>
    <w:p w14:paraId="53C15AB6">
      <w:pPr>
        <w:pStyle w:val="9"/>
        <w:spacing w:after="0" w:line="249" w:lineRule="auto"/>
        <w:rPr>
          <w:rFonts w:hint="eastAsia"/>
          <w:color w:val="231F20"/>
        </w:rPr>
      </w:pPr>
    </w:p>
    <w:p w14:paraId="16EE07E7">
      <w:pPr>
        <w:pStyle w:val="9"/>
        <w:spacing w:after="0" w:line="249" w:lineRule="auto"/>
        <w:rPr>
          <w:rFonts w:hint="eastAsia"/>
          <w:color w:val="231F20"/>
        </w:rPr>
      </w:pPr>
      <w:r>
        <w:rPr>
          <w:rFonts w:hint="eastAsia"/>
          <w:color w:val="231F20"/>
        </w:rPr>
        <w:t>Fittingly, after 2000 years, the Church still hears his words as an exhortation and encouragement to finish the job.</w:t>
      </w:r>
    </w:p>
    <w:p w14:paraId="64B39F91">
      <w:pPr>
        <w:pStyle w:val="9"/>
        <w:spacing w:after="0" w:line="249" w:lineRule="auto"/>
        <w:rPr>
          <w:rFonts w:hint="eastAsia"/>
          <w:color w:val="231F20"/>
        </w:rPr>
      </w:pPr>
      <w:r>
        <w:rPr>
          <w:rFonts w:hint="eastAsia"/>
          <w:color w:val="231F20"/>
        </w:rPr>
        <w:t>恰如其分的是，2000年后，教会仍然将祂的话语视为完成这项工作的劝勉和鼓励。</w:t>
      </w:r>
    </w:p>
    <w:p w14:paraId="37C0A19E">
      <w:pPr>
        <w:pStyle w:val="9"/>
        <w:spacing w:after="0" w:line="249" w:lineRule="auto"/>
        <w:rPr>
          <w:rFonts w:hint="eastAsia"/>
          <w:color w:val="231F20"/>
        </w:rPr>
      </w:pPr>
    </w:p>
    <w:p w14:paraId="0D350282">
      <w:pPr>
        <w:pStyle w:val="9"/>
        <w:spacing w:after="0" w:line="249" w:lineRule="auto"/>
        <w:rPr>
          <w:rFonts w:hint="eastAsia"/>
          <w:color w:val="231F20"/>
        </w:rPr>
      </w:pPr>
      <w:r>
        <w:rPr>
          <w:rFonts w:hint="eastAsia"/>
          <w:color w:val="231F20"/>
        </w:rPr>
        <w:t>Most assuredly, the regrafting of ethnic Israel into the God’s New Covenant Vine did not occur prior to 70 AD, when in fact most of Israel was dispersed or destroyed.</w:t>
      </w:r>
    </w:p>
    <w:p w14:paraId="0E81FE5F">
      <w:pPr>
        <w:pStyle w:val="9"/>
        <w:spacing w:after="0" w:line="249" w:lineRule="auto"/>
        <w:rPr>
          <w:rFonts w:hint="eastAsia"/>
          <w:color w:val="231F20"/>
        </w:rPr>
      </w:pPr>
      <w:r>
        <w:rPr>
          <w:rFonts w:hint="eastAsia"/>
          <w:color w:val="231F20"/>
        </w:rPr>
        <w:t>可以肯定的是，种族上的以色列重新被接回到神的新约葡萄树上，这件事并未发生在公元70年之前，事实上，当时大部分的以色列人都被分散或毁灭了。</w:t>
      </w:r>
    </w:p>
    <w:p w14:paraId="73411FFF">
      <w:pPr>
        <w:pStyle w:val="9"/>
        <w:spacing w:after="0" w:line="249" w:lineRule="auto"/>
        <w:rPr>
          <w:rFonts w:hint="eastAsia"/>
          <w:color w:val="231F20"/>
        </w:rPr>
      </w:pPr>
    </w:p>
    <w:p w14:paraId="0B8EEDA9">
      <w:pPr>
        <w:pStyle w:val="9"/>
        <w:spacing w:after="0" w:line="249" w:lineRule="auto"/>
        <w:rPr>
          <w:rFonts w:hint="eastAsia"/>
          <w:color w:val="231F20"/>
        </w:rPr>
      </w:pPr>
      <w:r>
        <w:rPr>
          <w:rFonts w:hint="eastAsia"/>
          <w:color w:val="231F20"/>
        </w:rPr>
        <w:t>Rather, it still lies ahead, and is a great sign of the imminence of the Parousia.</w:t>
      </w:r>
    </w:p>
    <w:p w14:paraId="6E2690A9">
      <w:pPr>
        <w:pStyle w:val="9"/>
        <w:spacing w:after="0" w:line="249" w:lineRule="auto"/>
        <w:rPr>
          <w:rFonts w:hint="eastAsia"/>
          <w:color w:val="231F20"/>
        </w:rPr>
      </w:pPr>
      <w:r>
        <w:rPr>
          <w:rFonts w:hint="eastAsia"/>
          <w:color w:val="231F20"/>
        </w:rPr>
        <w:t>相反，它仍在未来，并且是主再来临近的一个重大预兆。</w:t>
      </w:r>
    </w:p>
    <w:p w14:paraId="2C53C347">
      <w:pPr>
        <w:pStyle w:val="9"/>
        <w:spacing w:after="0" w:line="249" w:lineRule="auto"/>
        <w:rPr>
          <w:rFonts w:hint="eastAsia"/>
          <w:color w:val="231F20"/>
        </w:rPr>
      </w:pPr>
    </w:p>
    <w:p w14:paraId="154AE0DC">
      <w:pPr>
        <w:pStyle w:val="9"/>
        <w:spacing w:after="0" w:line="249" w:lineRule="auto"/>
        <w:rPr>
          <w:rFonts w:hint="eastAsia"/>
          <w:color w:val="231F20"/>
        </w:rPr>
      </w:pPr>
      <w:r>
        <w:rPr>
          <w:rFonts w:hint="eastAsia"/>
          <w:color w:val="231F20"/>
        </w:rPr>
        <w:t>Though moved by an antichristian spirit, the emperor Nero certainly was not the eschatological Antichrist, as any impartial reading of 2 Thessalonians 2 will show.</w:t>
      </w:r>
    </w:p>
    <w:p w14:paraId="42BB048F">
      <w:pPr>
        <w:pStyle w:val="9"/>
        <w:spacing w:after="0" w:line="249" w:lineRule="auto"/>
        <w:rPr>
          <w:rFonts w:hint="eastAsia"/>
          <w:color w:val="231F20"/>
        </w:rPr>
      </w:pPr>
      <w:r>
        <w:rPr>
          <w:rFonts w:hint="eastAsia"/>
          <w:color w:val="231F20"/>
        </w:rPr>
        <w:t>尽管罗马皇帝尼禄受着敌基督之灵的驱使，但他肯定不是末世论的敌基督，任何对帖撒罗尼迦后书第2章的公正阅读都会表明这一点。</w:t>
      </w:r>
    </w:p>
    <w:p w14:paraId="0A0970E6">
      <w:pPr>
        <w:pStyle w:val="9"/>
        <w:spacing w:after="0" w:line="249" w:lineRule="auto"/>
        <w:rPr>
          <w:rFonts w:hint="eastAsia"/>
          <w:color w:val="231F20"/>
        </w:rPr>
      </w:pPr>
    </w:p>
    <w:p w14:paraId="399A516E">
      <w:pPr>
        <w:pStyle w:val="9"/>
        <w:spacing w:after="0" w:line="249" w:lineRule="auto"/>
        <w:rPr>
          <w:rFonts w:hint="eastAsia"/>
          <w:color w:val="231F20"/>
        </w:rPr>
      </w:pPr>
      <w:r>
        <w:rPr>
          <w:rFonts w:hint="eastAsia"/>
          <w:color w:val="231F20"/>
        </w:rPr>
        <w:t>The coming of the Antichrist—with his miraculous powers, unprecedented claims to deity, and universal following—still lies ahead, and is yet another great sign of the nearness of the end.</w:t>
      </w:r>
    </w:p>
    <w:p w14:paraId="61B7336C">
      <w:pPr>
        <w:pStyle w:val="9"/>
        <w:spacing w:after="0" w:line="249" w:lineRule="auto"/>
        <w:rPr>
          <w:rFonts w:hint="eastAsia"/>
          <w:color w:val="231F20"/>
        </w:rPr>
      </w:pPr>
      <w:r>
        <w:rPr>
          <w:rFonts w:hint="eastAsia"/>
          <w:color w:val="231F20"/>
        </w:rPr>
        <w:t>敌基督的到来——带着他神奇的能力、前所未有的自称神明以及普世的追随者——仍在未来，并且是末日临近的又一个重大预兆。</w:t>
      </w:r>
    </w:p>
    <w:p w14:paraId="0FA488AF">
      <w:pPr>
        <w:pStyle w:val="9"/>
        <w:spacing w:after="0" w:line="249" w:lineRule="auto"/>
        <w:rPr>
          <w:rFonts w:hint="eastAsia"/>
          <w:color w:val="231F20"/>
        </w:rPr>
      </w:pPr>
    </w:p>
    <w:p w14:paraId="7B86A76B">
      <w:pPr>
        <w:pStyle w:val="9"/>
        <w:spacing w:after="0" w:line="249" w:lineRule="auto"/>
        <w:rPr>
          <w:rFonts w:hint="eastAsia"/>
          <w:color w:val="231F20"/>
        </w:rPr>
      </w:pPr>
      <w:r>
        <w:rPr>
          <w:rFonts w:hint="eastAsia"/>
          <w:color w:val="231F20"/>
        </w:rPr>
        <w:t>Dire as they were, the vicissitudes of Titus’ invasion were not the greatest tribulation of which Jesus spoke, a tribulation that will be unparalleled in world history, cut short for mercy’s sake, and culminate in the visible appearing of the Son of God in glory in the skies above the earth (Mt. 24:21-31, Rev. 1:7).</w:t>
      </w:r>
    </w:p>
    <w:p w14:paraId="46FD6AE0">
      <w:pPr>
        <w:pStyle w:val="9"/>
        <w:spacing w:after="0" w:line="249" w:lineRule="auto"/>
        <w:rPr>
          <w:rFonts w:hint="eastAsia"/>
          <w:color w:val="231F20"/>
        </w:rPr>
      </w:pPr>
      <w:r>
        <w:rPr>
          <w:rFonts w:hint="eastAsia"/>
          <w:color w:val="231F20"/>
        </w:rPr>
        <w:t>尽管提多入侵的变迁极其可怕，但那并非耶稣所说的那最大的灾难，那场灾难将在世界历史上空前绝后，为了怜悯的缘故而被缩短，并以神子在地上空中荣耀显现为高潮（太24:21-31，启1:7）。</w:t>
      </w:r>
    </w:p>
    <w:p w14:paraId="51506B65">
      <w:pPr>
        <w:pStyle w:val="9"/>
        <w:spacing w:after="0" w:line="249" w:lineRule="auto"/>
        <w:rPr>
          <w:rFonts w:hint="eastAsia"/>
          <w:color w:val="231F20"/>
        </w:rPr>
      </w:pPr>
    </w:p>
    <w:p w14:paraId="27ABEBC7">
      <w:pPr>
        <w:pStyle w:val="9"/>
        <w:spacing w:after="0" w:line="249" w:lineRule="auto"/>
        <w:rPr>
          <w:rFonts w:hint="eastAsia"/>
          <w:color w:val="231F20"/>
        </w:rPr>
      </w:pPr>
      <w:r>
        <w:rPr>
          <w:rFonts w:hint="eastAsia"/>
          <w:color w:val="231F20"/>
        </w:rPr>
        <w:t>While it is indeed true that Christ came to Israel providentially in 70 AD (Mt. 10:23), that particular coming was certainly not “the” Coming—the eschatological Coming—concerning which the disciples primarily inquired, of which their Master spoke, and for which the Church ever yearns (Mt. 24:29-31, 25:31ff).</w:t>
      </w:r>
    </w:p>
    <w:p w14:paraId="51AB39A4">
      <w:pPr>
        <w:pStyle w:val="9"/>
        <w:spacing w:after="0" w:line="249" w:lineRule="auto"/>
        <w:rPr>
          <w:rFonts w:hint="eastAsia"/>
          <w:color w:val="231F20"/>
        </w:rPr>
      </w:pPr>
      <w:r>
        <w:rPr>
          <w:rFonts w:hint="eastAsia"/>
          <w:color w:val="231F20"/>
        </w:rPr>
        <w:t>虽然基督确实在公元70年以护理的方式临到以色列（太10:23），但那一次的降临肯定不是“那”一次降临——即末世论的降临——门徒们主要询问的、他们的夫子所谈及的、教会一直渴望的那一次降临（太24:29-31, 25:31及以下）。</w:t>
      </w:r>
    </w:p>
    <w:p w14:paraId="16083DBD">
      <w:pPr>
        <w:pStyle w:val="9"/>
        <w:spacing w:after="0" w:line="249" w:lineRule="auto"/>
        <w:rPr>
          <w:rFonts w:hint="eastAsia"/>
          <w:color w:val="231F20"/>
        </w:rPr>
      </w:pPr>
    </w:p>
    <w:p w14:paraId="6AA6B6F9">
      <w:pPr>
        <w:pStyle w:val="9"/>
        <w:spacing w:after="0" w:line="249" w:lineRule="auto"/>
        <w:rPr>
          <w:rFonts w:hint="eastAsia"/>
          <w:color w:val="231F20"/>
        </w:rPr>
      </w:pPr>
      <w:r>
        <w:rPr>
          <w:rFonts w:hint="eastAsia"/>
          <w:color w:val="231F20"/>
        </w:rPr>
        <w:t>Indeed, one of the Lord’s great burdens in this Discourse was to protect his Church from false christs by urging them to remember that he, the true Christ, will appear visibly, audibly, bodily, and in great power and glory in the skies above the earth (24:23-27).</w:t>
      </w:r>
    </w:p>
    <w:p w14:paraId="0A9C0F30">
      <w:pPr>
        <w:pStyle w:val="9"/>
        <w:spacing w:after="0" w:line="249" w:lineRule="auto"/>
        <w:rPr>
          <w:rFonts w:hint="eastAsia"/>
          <w:color w:val="231F20"/>
        </w:rPr>
      </w:pPr>
      <w:r>
        <w:rPr>
          <w:rFonts w:hint="eastAsia"/>
          <w:color w:val="231F20"/>
        </w:rPr>
        <w:t>事实上，主在这段讲论中的一个重要负担，就是要保护祂的教会免受假基督的迷惑，祂敦促他们要记住，祂，这位真基督，将在地上空中，以可见、可闻、有形体的方式，并带着极大的能力和荣耀显现（24:23-27）。</w:t>
      </w:r>
    </w:p>
    <w:p w14:paraId="65535481">
      <w:pPr>
        <w:pStyle w:val="9"/>
        <w:spacing w:after="0" w:line="249" w:lineRule="auto"/>
        <w:rPr>
          <w:rFonts w:hint="eastAsia"/>
          <w:color w:val="231F20"/>
        </w:rPr>
      </w:pPr>
    </w:p>
    <w:p w14:paraId="3AD4B7D9">
      <w:pPr>
        <w:pStyle w:val="9"/>
        <w:spacing w:after="0" w:line="249" w:lineRule="auto"/>
        <w:rPr>
          <w:rFonts w:hint="eastAsia"/>
          <w:color w:val="231F20"/>
        </w:rPr>
      </w:pPr>
      <w:r>
        <w:rPr>
          <w:rFonts w:hint="eastAsia"/>
          <w:color w:val="231F20"/>
        </w:rPr>
        <w:t>The rest of the NT repeatedly affirms this very thing (Acts 1:11, 1 Thess. 4:16f, 2 Thess. 1:3-12, 1 John 3:2, Rev. 1:7, 19:11-16).</w:t>
      </w:r>
    </w:p>
    <w:p w14:paraId="71BFD7C3">
      <w:pPr>
        <w:pStyle w:val="9"/>
        <w:spacing w:after="0" w:line="249" w:lineRule="auto"/>
        <w:rPr>
          <w:rFonts w:hint="eastAsia"/>
          <w:color w:val="231F20"/>
        </w:rPr>
      </w:pPr>
      <w:r>
        <w:rPr>
          <w:rFonts w:hint="eastAsia"/>
          <w:color w:val="231F20"/>
        </w:rPr>
        <w:t>新约的其余部分反复肯定了这一点（徒1:11，帖前4:16及以下，帖后1:3-12，约一3:2，启1:7，19:11-16）。</w:t>
      </w:r>
    </w:p>
    <w:p w14:paraId="7A10B4E2">
      <w:pPr>
        <w:pStyle w:val="9"/>
        <w:spacing w:after="0" w:line="249" w:lineRule="auto"/>
        <w:rPr>
          <w:rFonts w:hint="eastAsia"/>
          <w:color w:val="231F20"/>
        </w:rPr>
      </w:pPr>
    </w:p>
    <w:p w14:paraId="1135C1E3">
      <w:pPr>
        <w:pStyle w:val="9"/>
        <w:spacing w:after="0" w:line="249" w:lineRule="auto"/>
        <w:rPr>
          <w:rFonts w:hint="eastAsia"/>
          <w:color w:val="231F20"/>
        </w:rPr>
      </w:pPr>
      <w:r>
        <w:rPr>
          <w:rFonts w:hint="eastAsia"/>
          <w:color w:val="231F20"/>
        </w:rPr>
        <w:t>Again, no amount of preterist spiritualizing can overthrow the plain sense of these texts, or drain us of the thrilling hope they engender.</w:t>
      </w:r>
    </w:p>
    <w:p w14:paraId="6451684B">
      <w:pPr>
        <w:pStyle w:val="9"/>
        <w:spacing w:after="0" w:line="249" w:lineRule="auto"/>
        <w:rPr>
          <w:rFonts w:hint="eastAsia"/>
          <w:color w:val="231F20"/>
        </w:rPr>
      </w:pPr>
      <w:r>
        <w:rPr>
          <w:rFonts w:hint="eastAsia"/>
          <w:color w:val="231F20"/>
        </w:rPr>
        <w:t>再次强调，任何程度的过去主义属灵化，都无法推翻这些经文的明晰意义，也无法耗尽它们所激发的激动人心的盼望。</w:t>
      </w:r>
    </w:p>
    <w:p w14:paraId="72B9CC25">
      <w:pPr>
        <w:pStyle w:val="9"/>
        <w:spacing w:after="0" w:line="249" w:lineRule="auto"/>
        <w:rPr>
          <w:rFonts w:hint="eastAsia"/>
          <w:color w:val="231F20"/>
        </w:rPr>
      </w:pPr>
    </w:p>
    <w:p w14:paraId="09045828">
      <w:pPr>
        <w:pStyle w:val="9"/>
        <w:spacing w:after="0" w:line="249" w:lineRule="auto"/>
        <w:rPr>
          <w:rFonts w:hint="eastAsia"/>
          <w:color w:val="231F20"/>
        </w:rPr>
      </w:pPr>
      <w:r>
        <w:rPr>
          <w:rFonts w:hint="eastAsia"/>
          <w:color w:val="231F20"/>
        </w:rPr>
        <w:t>As for the Resurrection, it is certainly not the case that it occurred in 70 AD, or that it is spiritual only, rather than bodily.</w:t>
      </w:r>
    </w:p>
    <w:p w14:paraId="623113F0">
      <w:pPr>
        <w:pStyle w:val="9"/>
        <w:spacing w:after="0" w:line="249" w:lineRule="auto"/>
        <w:rPr>
          <w:rFonts w:hint="eastAsia"/>
          <w:color w:val="231F20"/>
        </w:rPr>
      </w:pPr>
      <w:r>
        <w:rPr>
          <w:rFonts w:hint="eastAsia"/>
          <w:color w:val="231F20"/>
        </w:rPr>
        <w:t>至于复活，它肯定不是发生在公元70年，也不是只有属灵的复活，而没有身体的复活。</w:t>
      </w:r>
    </w:p>
    <w:p w14:paraId="36DC1404">
      <w:pPr>
        <w:pStyle w:val="9"/>
        <w:spacing w:after="0" w:line="249" w:lineRule="auto"/>
        <w:rPr>
          <w:rFonts w:hint="eastAsia"/>
          <w:color w:val="231F20"/>
        </w:rPr>
      </w:pPr>
    </w:p>
    <w:p w14:paraId="6282473B">
      <w:pPr>
        <w:pStyle w:val="9"/>
        <w:spacing w:after="0" w:line="249" w:lineRule="auto"/>
        <w:rPr>
          <w:rFonts w:hint="eastAsia"/>
          <w:color w:val="231F20"/>
        </w:rPr>
      </w:pPr>
      <w:r>
        <w:rPr>
          <w:rFonts w:hint="eastAsia"/>
          <w:color w:val="231F20"/>
        </w:rPr>
        <w:t>Here, whole tracts of the NT challenge the FP’s.</w:t>
      </w:r>
    </w:p>
    <w:p w14:paraId="51674113">
      <w:pPr>
        <w:pStyle w:val="9"/>
        <w:spacing w:after="0" w:line="249" w:lineRule="auto"/>
        <w:rPr>
          <w:rFonts w:hint="eastAsia"/>
          <w:color w:val="231F20"/>
        </w:rPr>
      </w:pPr>
      <w:r>
        <w:rPr>
          <w:rFonts w:hint="eastAsia"/>
          <w:color w:val="231F20"/>
        </w:rPr>
        <w:t>在这里，新约的大量篇幅都对完全过去主义者提出了挑战。</w:t>
      </w:r>
    </w:p>
    <w:p w14:paraId="6685BF1E">
      <w:pPr>
        <w:pStyle w:val="9"/>
        <w:spacing w:after="0" w:line="249" w:lineRule="auto"/>
        <w:rPr>
          <w:rFonts w:hint="eastAsia"/>
          <w:color w:val="231F20"/>
        </w:rPr>
      </w:pPr>
    </w:p>
    <w:p w14:paraId="50BF5655">
      <w:pPr>
        <w:pStyle w:val="9"/>
        <w:spacing w:after="0" w:line="249" w:lineRule="auto"/>
        <w:rPr>
          <w:rFonts w:hint="eastAsia"/>
          <w:color w:val="231F20"/>
        </w:rPr>
      </w:pPr>
      <w:r>
        <w:rPr>
          <w:rFonts w:hint="eastAsia"/>
          <w:color w:val="231F20"/>
        </w:rPr>
        <w:t>Christ went toe to toe with the Sadducees on the resurrection of the body, emphatically affirming it (Mt. 22:23-33).</w:t>
      </w:r>
    </w:p>
    <w:p w14:paraId="1C80F599">
      <w:pPr>
        <w:pStyle w:val="9"/>
        <w:spacing w:after="0" w:line="249" w:lineRule="auto"/>
        <w:rPr>
          <w:rFonts w:hint="eastAsia"/>
          <w:color w:val="231F20"/>
        </w:rPr>
      </w:pPr>
      <w:r>
        <w:rPr>
          <w:rFonts w:hint="eastAsia"/>
          <w:color w:val="231F20"/>
        </w:rPr>
        <w:t>基督在身体复活的问题上与撒都该人针锋相对，并断然肯定了它（太22:23-33）。</w:t>
      </w:r>
    </w:p>
    <w:p w14:paraId="673761D5">
      <w:pPr>
        <w:pStyle w:val="9"/>
        <w:spacing w:after="0" w:line="249" w:lineRule="auto"/>
        <w:rPr>
          <w:rFonts w:hint="eastAsia"/>
          <w:color w:val="231F20"/>
        </w:rPr>
      </w:pPr>
    </w:p>
    <w:p w14:paraId="19A11582">
      <w:pPr>
        <w:pStyle w:val="9"/>
        <w:spacing w:after="0" w:line="249" w:lineRule="auto"/>
        <w:rPr>
          <w:rFonts w:hint="eastAsia"/>
          <w:color w:val="231F20"/>
        </w:rPr>
      </w:pPr>
      <w:r>
        <w:rPr>
          <w:rFonts w:hint="eastAsia"/>
          <w:color w:val="231F20"/>
        </w:rPr>
        <w:t>So too did the apostle Paul in 1 Cor. 15, where he warned against the very teaching now promoted by FP, urging Christians to remember that the doctrine of the resurrection of the body belongs essentially to their faith, and that without it “. . . (they) are of all men most pitiable.”</w:t>
      </w:r>
    </w:p>
    <w:p w14:paraId="168225F1">
      <w:pPr>
        <w:pStyle w:val="9"/>
        <w:spacing w:after="0" w:line="249" w:lineRule="auto"/>
        <w:rPr>
          <w:rFonts w:hint="eastAsia"/>
          <w:color w:val="231F20"/>
        </w:rPr>
      </w:pPr>
      <w:r>
        <w:rPr>
          <w:rFonts w:hint="eastAsia"/>
          <w:color w:val="231F20"/>
        </w:rPr>
        <w:t>使徒保罗在哥林多前书第15章中也同样如此，他在那里警告了如今被完全过去主义所宣扬的教导，敦促基督徒要记住，身体复活的教义本质上属于他们的信仰，若没有这教义，“……（他们）比众人更可怜。”</w:t>
      </w:r>
    </w:p>
    <w:p w14:paraId="5E2784D5">
      <w:pPr>
        <w:pStyle w:val="9"/>
        <w:spacing w:after="0" w:line="249" w:lineRule="auto"/>
        <w:rPr>
          <w:rFonts w:hint="eastAsia"/>
          <w:color w:val="231F20"/>
        </w:rPr>
      </w:pPr>
    </w:p>
    <w:p w14:paraId="3C3A2515">
      <w:pPr>
        <w:pStyle w:val="9"/>
        <w:spacing w:after="0" w:line="249" w:lineRule="auto"/>
        <w:rPr>
          <w:rFonts w:hint="eastAsia"/>
          <w:color w:val="231F20"/>
        </w:rPr>
      </w:pPr>
      <w:r>
        <w:rPr>
          <w:rFonts w:hint="eastAsia"/>
          <w:color w:val="231F20"/>
        </w:rPr>
        <w:t>Paul’s parting words to Timothy, in which he identifies the denial of the bodily resurrection as heresy, should strike fear in the heart of every full preterist (2 Tim 2:16-18).</w:t>
      </w:r>
    </w:p>
    <w:p w14:paraId="0E526CAC">
      <w:pPr>
        <w:pStyle w:val="9"/>
        <w:spacing w:after="0" w:line="249" w:lineRule="auto"/>
        <w:rPr>
          <w:rFonts w:hint="eastAsia"/>
          <w:color w:val="231F20"/>
        </w:rPr>
      </w:pPr>
      <w:r>
        <w:rPr>
          <w:rFonts w:hint="eastAsia"/>
          <w:color w:val="231F20"/>
        </w:rPr>
        <w:t>保罗对提摩太的临别赠言中，将否认身体复活定为异端，这应该让每一个完全过去主义者的心中都生出敬畏（提后2:16-18）。</w:t>
      </w:r>
    </w:p>
    <w:p w14:paraId="71B6BED1">
      <w:pPr>
        <w:pStyle w:val="9"/>
        <w:spacing w:after="0" w:line="249" w:lineRule="auto"/>
        <w:rPr>
          <w:rFonts w:hint="eastAsia"/>
          <w:color w:val="231F20"/>
        </w:rPr>
      </w:pPr>
    </w:p>
    <w:p w14:paraId="310E9C55">
      <w:pPr>
        <w:pStyle w:val="9"/>
        <w:spacing w:after="0" w:line="249" w:lineRule="auto"/>
        <w:rPr>
          <w:rFonts w:hint="eastAsia"/>
          <w:color w:val="231F20"/>
        </w:rPr>
      </w:pPr>
      <w:r>
        <w:rPr>
          <w:rFonts w:hint="eastAsia"/>
          <w:color w:val="231F20"/>
        </w:rPr>
        <w:t>And what of the Last Judgment: Has it really already occurred?</w:t>
      </w:r>
    </w:p>
    <w:p w14:paraId="1F3CC9BC">
      <w:pPr>
        <w:pStyle w:val="9"/>
        <w:spacing w:after="0" w:line="249" w:lineRule="auto"/>
        <w:rPr>
          <w:rFonts w:hint="eastAsia"/>
          <w:color w:val="231F20"/>
        </w:rPr>
      </w:pPr>
      <w:r>
        <w:rPr>
          <w:rFonts w:hint="eastAsia"/>
          <w:color w:val="231F20"/>
        </w:rPr>
        <w:t>那么最后的审判呢：它真的已经发生了吗？</w:t>
      </w:r>
    </w:p>
    <w:p w14:paraId="23F6A09F">
      <w:pPr>
        <w:pStyle w:val="9"/>
        <w:spacing w:after="0" w:line="249" w:lineRule="auto"/>
        <w:rPr>
          <w:rFonts w:hint="eastAsia"/>
          <w:color w:val="231F20"/>
        </w:rPr>
      </w:pPr>
    </w:p>
    <w:p w14:paraId="15BCB210">
      <w:pPr>
        <w:pStyle w:val="9"/>
        <w:spacing w:after="0" w:line="249" w:lineRule="auto"/>
        <w:rPr>
          <w:rFonts w:hint="eastAsia"/>
          <w:color w:val="231F20"/>
        </w:rPr>
      </w:pPr>
      <w:r>
        <w:rPr>
          <w:rFonts w:hint="eastAsia"/>
          <w:color w:val="231F20"/>
        </w:rPr>
        <w:t>Obviously not, seeing that the Scriptures repeatedly associate it with the bodily return of Christ, the bodily resurrection of the dead, and the physical destruction of the present earth and its works by fire (Mt. 13:37-43, 24-25, John 5:21-29, 1 Cor. 15:20-28, 2 Thess. 1:3-12, 2 Peter 3:1-13).</w:t>
      </w:r>
    </w:p>
    <w:p w14:paraId="5A2F783E">
      <w:pPr>
        <w:pStyle w:val="9"/>
        <w:spacing w:after="0" w:line="249" w:lineRule="auto"/>
        <w:rPr>
          <w:rFonts w:hint="eastAsia"/>
          <w:color w:val="231F20"/>
        </w:rPr>
      </w:pPr>
      <w:r>
        <w:rPr>
          <w:rFonts w:hint="eastAsia"/>
          <w:color w:val="231F20"/>
        </w:rPr>
        <w:t>显然没有，因为圣经反复将其与基督身体的再来、死人身体的复活，以及现今的地和其上的工程被火焚烧相联系（太13:37-43, 24-25, 约5:21-29, 林前15:20-28, 帖后1:3-12, 彼后3:1-13）。</w:t>
      </w:r>
    </w:p>
    <w:p w14:paraId="15FAEBC5">
      <w:pPr>
        <w:pStyle w:val="9"/>
        <w:spacing w:after="0" w:line="249" w:lineRule="auto"/>
        <w:rPr>
          <w:rFonts w:hint="eastAsia"/>
          <w:color w:val="231F20"/>
        </w:rPr>
      </w:pPr>
    </w:p>
    <w:p w14:paraId="142ABB73">
      <w:pPr>
        <w:pStyle w:val="9"/>
        <w:spacing w:after="0" w:line="249" w:lineRule="auto"/>
        <w:rPr>
          <w:rFonts w:hint="eastAsia"/>
          <w:color w:val="231F20"/>
        </w:rPr>
      </w:pPr>
      <w:r>
        <w:rPr>
          <w:rFonts w:hint="eastAsia"/>
          <w:color w:val="231F20"/>
        </w:rPr>
        <w:t>As for the Parousia, so for the Judgment: There is but one of them, set to occur at the end of all things.</w:t>
      </w:r>
    </w:p>
    <w:p w14:paraId="735DCDCC">
      <w:pPr>
        <w:pStyle w:val="9"/>
        <w:spacing w:after="0" w:line="249" w:lineRule="auto"/>
        <w:rPr>
          <w:rFonts w:hint="eastAsia"/>
          <w:color w:val="231F20"/>
        </w:rPr>
      </w:pPr>
      <w:r>
        <w:rPr>
          <w:rFonts w:hint="eastAsia"/>
          <w:color w:val="231F20"/>
        </w:rPr>
        <w:t>至于主的再来，对于审判也是如此：只有一个，定在万物的结局时发生。</w:t>
      </w:r>
    </w:p>
    <w:p w14:paraId="02378C0E">
      <w:pPr>
        <w:pStyle w:val="9"/>
        <w:spacing w:after="0" w:line="249" w:lineRule="auto"/>
        <w:rPr>
          <w:rFonts w:hint="eastAsia"/>
          <w:color w:val="231F20"/>
        </w:rPr>
      </w:pPr>
    </w:p>
    <w:p w14:paraId="3E349B32">
      <w:pPr>
        <w:pStyle w:val="9"/>
        <w:spacing w:after="0" w:line="249" w:lineRule="auto"/>
        <w:rPr>
          <w:rFonts w:hint="eastAsia"/>
          <w:color w:val="231F20"/>
        </w:rPr>
      </w:pPr>
      <w:r>
        <w:rPr>
          <w:rFonts w:hint="eastAsia"/>
          <w:color w:val="231F20"/>
        </w:rPr>
        <w:t>Finally, the World to Come has certainly not come, nor have the new heavens and the new earth appeared.</w:t>
      </w:r>
    </w:p>
    <w:p w14:paraId="053EAC14">
      <w:pPr>
        <w:pStyle w:val="9"/>
        <w:spacing w:after="0" w:line="249" w:lineRule="auto"/>
        <w:rPr>
          <w:rFonts w:hint="eastAsia"/>
          <w:color w:val="231F20"/>
        </w:rPr>
      </w:pPr>
      <w:r>
        <w:rPr>
          <w:rFonts w:hint="eastAsia"/>
          <w:color w:val="231F20"/>
        </w:rPr>
        <w:t>最后，来世肯定还没有到来，新天新地也还没有出现。</w:t>
      </w:r>
    </w:p>
    <w:p w14:paraId="35AB0483">
      <w:pPr>
        <w:pStyle w:val="9"/>
        <w:spacing w:after="0" w:line="249" w:lineRule="auto"/>
        <w:rPr>
          <w:rFonts w:hint="eastAsia"/>
          <w:color w:val="231F20"/>
        </w:rPr>
      </w:pPr>
    </w:p>
    <w:p w14:paraId="12D66BEB">
      <w:pPr>
        <w:pStyle w:val="9"/>
        <w:spacing w:after="0" w:line="249" w:lineRule="auto"/>
        <w:rPr>
          <w:rFonts w:hint="eastAsia"/>
          <w:color w:val="231F20"/>
        </w:rPr>
      </w:pPr>
      <w:r>
        <w:rPr>
          <w:rFonts w:hint="eastAsia"/>
          <w:color w:val="231F20"/>
        </w:rPr>
        <w:t>On this point I find FP teaching particularly discouraging, since, by spiritualizing the cosmic transformation promised throughout Scripture, it robs the saints of their eternal home, and leaves behind a groaning, sin-cursed earth to endure forever—or is it that God will one day put it out of its misery by destroying it altogether?</w:t>
      </w:r>
    </w:p>
    <w:p w14:paraId="346CAFB9">
      <w:pPr>
        <w:pStyle w:val="9"/>
        <w:spacing w:after="0" w:line="249" w:lineRule="auto"/>
        <w:rPr>
          <w:rFonts w:hint="eastAsia"/>
          <w:color w:val="231F20"/>
        </w:rPr>
      </w:pPr>
      <w:r>
        <w:rPr>
          <w:rFonts w:hint="eastAsia"/>
          <w:color w:val="231F20"/>
        </w:rPr>
        <w:t>在这一点上，我发现完全过去主义的教导特别令人沮丧，因为它通过将整本圣经所应许的宇宙性转变属灵化，剥夺了圣徒们永恒的家园，并留下了一个呻吟的、被罪咒诅的地球永远存在——或者说，神有一天会通过彻底摧毁它来终结它的苦难？</w:t>
      </w:r>
    </w:p>
    <w:p w14:paraId="177231F1">
      <w:pPr>
        <w:pStyle w:val="9"/>
        <w:spacing w:after="0" w:line="249" w:lineRule="auto"/>
        <w:rPr>
          <w:rFonts w:hint="eastAsia"/>
          <w:color w:val="231F20"/>
        </w:rPr>
      </w:pPr>
    </w:p>
    <w:p w14:paraId="799743A1">
      <w:pPr>
        <w:pStyle w:val="9"/>
        <w:spacing w:after="0" w:line="249" w:lineRule="auto"/>
        <w:rPr>
          <w:rFonts w:hint="eastAsia"/>
          <w:color w:val="231F20"/>
        </w:rPr>
      </w:pPr>
      <w:r>
        <w:rPr>
          <w:rFonts w:hint="eastAsia"/>
          <w:color w:val="231F20"/>
        </w:rPr>
        <w:t>Happily, biblical teaching on this theme powerfully refutes the FP error, promising us a beautiful new physical universe, set free from its bondage to corruption, and lifted up into the life-giving glory of God (Isaiah 35, 65:17- 25, Ezek. 47, Mt. 13:37-43, Acts 13:19-24, Rom. 8:18-25, Phil. 3:20-21, 2 Peter 3:3-13, Rev. 21-22).</w:t>
      </w:r>
    </w:p>
    <w:p w14:paraId="1E0C83F8">
      <w:pPr>
        <w:pStyle w:val="9"/>
        <w:spacing w:after="0" w:line="249" w:lineRule="auto"/>
        <w:rPr>
          <w:rFonts w:hint="eastAsia"/>
          <w:color w:val="231F20"/>
        </w:rPr>
      </w:pPr>
      <w:r>
        <w:rPr>
          <w:rFonts w:hint="eastAsia"/>
          <w:color w:val="231F20"/>
        </w:rPr>
        <w:t>令人高兴的是，圣经关于这个主题的教导有力地驳斥了完全过去主义的错误，它应许我们一个美丽的新物质宇宙，脱离败坏的辖制，并被提升到神赐生命的荣耀中（以赛亚书35, 65:17-25, 以西结书47, 太13:37-43, 徒13:19-24, 罗8:18-25, 腓3:20-21, 彼后3:3-13, 启21-22）。</w:t>
      </w:r>
    </w:p>
    <w:p w14:paraId="3B8E801E">
      <w:pPr>
        <w:pStyle w:val="9"/>
        <w:spacing w:after="0" w:line="249" w:lineRule="auto"/>
        <w:rPr>
          <w:rFonts w:hint="eastAsia"/>
          <w:color w:val="231F20"/>
        </w:rPr>
      </w:pPr>
    </w:p>
    <w:p w14:paraId="40E486E5">
      <w:pPr>
        <w:pStyle w:val="9"/>
        <w:spacing w:after="0" w:line="249" w:lineRule="auto"/>
        <w:rPr>
          <w:rFonts w:hint="eastAsia"/>
          <w:color w:val="231F20"/>
        </w:rPr>
      </w:pPr>
      <w:r>
        <w:rPr>
          <w:rFonts w:hint="eastAsia"/>
          <w:color w:val="231F20"/>
        </w:rPr>
        <w:t>View of OTKP</w:t>
      </w:r>
    </w:p>
    <w:p w14:paraId="55B014A9">
      <w:pPr>
        <w:pStyle w:val="9"/>
        <w:spacing w:after="0" w:line="249" w:lineRule="auto"/>
        <w:rPr>
          <w:rFonts w:hint="eastAsia"/>
          <w:color w:val="231F20"/>
        </w:rPr>
      </w:pPr>
      <w:r>
        <w:rPr>
          <w:rFonts w:hint="eastAsia"/>
          <w:color w:val="231F20"/>
        </w:rPr>
        <w:t>对旧约国度预言的看法</w:t>
      </w:r>
    </w:p>
    <w:p w14:paraId="6A7BA917">
      <w:pPr>
        <w:pStyle w:val="9"/>
        <w:spacing w:after="0" w:line="249" w:lineRule="auto"/>
        <w:rPr>
          <w:rFonts w:hint="eastAsia"/>
          <w:color w:val="231F20"/>
        </w:rPr>
      </w:pPr>
    </w:p>
    <w:p w14:paraId="2CAA8824">
      <w:pPr>
        <w:pStyle w:val="9"/>
        <w:spacing w:after="0" w:line="249" w:lineRule="auto"/>
        <w:rPr>
          <w:rFonts w:hint="eastAsia"/>
          <w:color w:val="231F20"/>
        </w:rPr>
      </w:pPr>
      <w:r>
        <w:rPr>
          <w:rFonts w:hint="eastAsia"/>
          <w:color w:val="231F20"/>
        </w:rPr>
        <w:t>Like amillennarians, FP’s use the New Covenant Hermeneutic to interpret OTKP.</w:t>
      </w:r>
    </w:p>
    <w:p w14:paraId="068AB468">
      <w:pPr>
        <w:pStyle w:val="9"/>
        <w:spacing w:after="0" w:line="249" w:lineRule="auto"/>
        <w:rPr>
          <w:rFonts w:hint="eastAsia"/>
          <w:color w:val="231F20"/>
        </w:rPr>
      </w:pPr>
      <w:r>
        <w:rPr>
          <w:rFonts w:hint="eastAsia"/>
          <w:color w:val="231F20"/>
        </w:rPr>
        <w:t>像无千禧年论者一样，完全过去主义者也使用新约释经学来解释旧约国度预言。</w:t>
      </w:r>
    </w:p>
    <w:p w14:paraId="3E21034D">
      <w:pPr>
        <w:pStyle w:val="9"/>
        <w:spacing w:after="0" w:line="249" w:lineRule="auto"/>
        <w:rPr>
          <w:rFonts w:hint="eastAsia"/>
          <w:color w:val="231F20"/>
        </w:rPr>
      </w:pPr>
    </w:p>
    <w:p w14:paraId="544DF583">
      <w:pPr>
        <w:pStyle w:val="9"/>
        <w:spacing w:after="0" w:line="249" w:lineRule="auto"/>
        <w:rPr>
          <w:rFonts w:hint="eastAsia"/>
          <w:color w:val="231F20"/>
        </w:rPr>
      </w:pPr>
      <w:r>
        <w:rPr>
          <w:rFonts w:hint="eastAsia"/>
          <w:color w:val="231F20"/>
        </w:rPr>
        <w:t>Rightly, they interpret OTKP typologically, covenantally, christologically, and ecclesiologically.</w:t>
      </w:r>
    </w:p>
    <w:p w14:paraId="3DBFE989">
      <w:pPr>
        <w:pStyle w:val="9"/>
        <w:spacing w:after="0" w:line="249" w:lineRule="auto"/>
        <w:rPr>
          <w:rFonts w:hint="eastAsia"/>
          <w:color w:val="231F20"/>
        </w:rPr>
      </w:pPr>
      <w:r>
        <w:rPr>
          <w:rFonts w:hint="eastAsia"/>
          <w:color w:val="231F20"/>
        </w:rPr>
        <w:t>他们正确地从预表、圣约、基督论和教会论的角度来解释旧约国度预言。</w:t>
      </w:r>
    </w:p>
    <w:p w14:paraId="4653F4E2">
      <w:pPr>
        <w:pStyle w:val="9"/>
        <w:spacing w:after="0" w:line="249" w:lineRule="auto"/>
        <w:rPr>
          <w:rFonts w:hint="eastAsia"/>
          <w:color w:val="231F20"/>
        </w:rPr>
      </w:pPr>
    </w:p>
    <w:p w14:paraId="17826558">
      <w:pPr>
        <w:pStyle w:val="9"/>
        <w:spacing w:after="0" w:line="249" w:lineRule="auto"/>
        <w:rPr>
          <w:rFonts w:hint="eastAsia"/>
          <w:color w:val="231F20"/>
        </w:rPr>
      </w:pPr>
      <w:r>
        <w:rPr>
          <w:rFonts w:hint="eastAsia"/>
          <w:color w:val="231F20"/>
        </w:rPr>
        <w:t>Rightly, they see Christ, the New Covenant, and the Church as the true sphere of fulfillment of all OTKP.</w:t>
      </w:r>
    </w:p>
    <w:p w14:paraId="346F54E9">
      <w:pPr>
        <w:pStyle w:val="9"/>
        <w:spacing w:after="0" w:line="249" w:lineRule="auto"/>
        <w:rPr>
          <w:rFonts w:hint="eastAsia"/>
          <w:color w:val="231F20"/>
        </w:rPr>
      </w:pPr>
      <w:r>
        <w:rPr>
          <w:rFonts w:hint="eastAsia"/>
          <w:color w:val="231F20"/>
        </w:rPr>
        <w:t>他们正确地将基督、新约和教会视为所有旧约国度预言得以应验的真正领域。</w:t>
      </w:r>
    </w:p>
    <w:p w14:paraId="69693804">
      <w:pPr>
        <w:pStyle w:val="9"/>
        <w:spacing w:after="0" w:line="249" w:lineRule="auto"/>
        <w:rPr>
          <w:rFonts w:hint="eastAsia"/>
          <w:color w:val="231F20"/>
        </w:rPr>
      </w:pPr>
    </w:p>
    <w:p w14:paraId="5E579924">
      <w:pPr>
        <w:pStyle w:val="9"/>
        <w:spacing w:after="0" w:line="249" w:lineRule="auto"/>
        <w:rPr>
          <w:rFonts w:hint="eastAsia"/>
          <w:color w:val="231F20"/>
        </w:rPr>
      </w:pPr>
      <w:r>
        <w:rPr>
          <w:rFonts w:hint="eastAsia"/>
          <w:color w:val="231F20"/>
        </w:rPr>
        <w:t>Their great and costly misstep, however, is to apply the same hermeneutic to NT prophecies of the Kingdom.</w:t>
      </w:r>
    </w:p>
    <w:p w14:paraId="6B990226">
      <w:pPr>
        <w:pStyle w:val="9"/>
        <w:spacing w:after="0" w:line="249" w:lineRule="auto"/>
        <w:rPr>
          <w:rFonts w:hint="eastAsia"/>
          <w:color w:val="231F20"/>
        </w:rPr>
      </w:pPr>
      <w:r>
        <w:rPr>
          <w:rFonts w:hint="eastAsia"/>
          <w:color w:val="231F20"/>
        </w:rPr>
        <w:t>然而，他们巨大而代价高昂的失误，是将同样的释经学应用于新约中关于国度的预言。</w:t>
      </w:r>
    </w:p>
    <w:p w14:paraId="5F4DC4B2">
      <w:pPr>
        <w:pStyle w:val="9"/>
        <w:spacing w:after="0" w:line="249" w:lineRule="auto"/>
        <w:rPr>
          <w:rFonts w:hint="eastAsia"/>
          <w:color w:val="231F20"/>
        </w:rPr>
      </w:pPr>
    </w:p>
    <w:p w14:paraId="616B396E">
      <w:pPr>
        <w:pStyle w:val="9"/>
        <w:spacing w:after="0" w:line="249" w:lineRule="auto"/>
        <w:rPr>
          <w:rFonts w:hint="eastAsia"/>
          <w:color w:val="231F20"/>
        </w:rPr>
      </w:pPr>
      <w:r>
        <w:rPr>
          <w:rFonts w:hint="eastAsia"/>
          <w:color w:val="231F20"/>
        </w:rPr>
        <w:t>That is, they interpret NT Kingdom prophecy figuratively and typologically.</w:t>
      </w:r>
    </w:p>
    <w:p w14:paraId="336CBBA0">
      <w:pPr>
        <w:pStyle w:val="9"/>
        <w:spacing w:after="0" w:line="249" w:lineRule="auto"/>
        <w:rPr>
          <w:rFonts w:hint="eastAsia"/>
          <w:color w:val="231F20"/>
        </w:rPr>
      </w:pPr>
      <w:r>
        <w:rPr>
          <w:rFonts w:hint="eastAsia"/>
          <w:color w:val="231F20"/>
        </w:rPr>
        <w:t>也就是说，他们以比喻和预表的方式来解释新约的国度预言。</w:t>
      </w:r>
    </w:p>
    <w:p w14:paraId="767E1950">
      <w:pPr>
        <w:pStyle w:val="9"/>
        <w:spacing w:after="0" w:line="249" w:lineRule="auto"/>
        <w:rPr>
          <w:rFonts w:hint="eastAsia"/>
          <w:color w:val="231F20"/>
        </w:rPr>
      </w:pPr>
    </w:p>
    <w:p w14:paraId="6B208985">
      <w:pPr>
        <w:pStyle w:val="9"/>
        <w:spacing w:after="0" w:line="249" w:lineRule="auto"/>
        <w:rPr>
          <w:rFonts w:hint="eastAsia"/>
          <w:color w:val="231F20"/>
        </w:rPr>
      </w:pPr>
      <w:r>
        <w:rPr>
          <w:rFonts w:hint="eastAsia"/>
          <w:color w:val="231F20"/>
        </w:rPr>
        <w:t>They would have to, if there is to be any hope whatsoever of seeing them fulfilled in 70 AD!</w:t>
      </w:r>
    </w:p>
    <w:p w14:paraId="13D8F6DB">
      <w:pPr>
        <w:pStyle w:val="9"/>
        <w:spacing w:after="0" w:line="249" w:lineRule="auto"/>
        <w:rPr>
          <w:rFonts w:hint="eastAsia"/>
          <w:color w:val="231F20"/>
        </w:rPr>
      </w:pPr>
      <w:r>
        <w:rPr>
          <w:rFonts w:hint="eastAsia"/>
          <w:color w:val="231F20"/>
        </w:rPr>
        <w:t>他们必须这样做，如果想有任何希望看到这些预言在公元70年应验的话！</w:t>
      </w:r>
    </w:p>
    <w:p w14:paraId="11315917">
      <w:pPr>
        <w:pStyle w:val="9"/>
        <w:spacing w:after="0" w:line="249" w:lineRule="auto"/>
        <w:rPr>
          <w:rFonts w:hint="eastAsia"/>
          <w:color w:val="231F20"/>
        </w:rPr>
      </w:pPr>
    </w:p>
    <w:p w14:paraId="32FDE863">
      <w:pPr>
        <w:pStyle w:val="9"/>
        <w:spacing w:after="0" w:line="249" w:lineRule="auto"/>
        <w:rPr>
          <w:rFonts w:hint="eastAsia"/>
          <w:color w:val="231F20"/>
        </w:rPr>
      </w:pPr>
      <w:r>
        <w:rPr>
          <w:rFonts w:hint="eastAsia"/>
          <w:color w:val="231F20"/>
        </w:rPr>
        <w:t>But the NT clearly bars the way.</w:t>
      </w:r>
    </w:p>
    <w:p w14:paraId="612C4EFE">
      <w:pPr>
        <w:pStyle w:val="9"/>
        <w:spacing w:after="0" w:line="249" w:lineRule="auto"/>
        <w:rPr>
          <w:rFonts w:hint="eastAsia"/>
          <w:color w:val="231F20"/>
        </w:rPr>
      </w:pPr>
      <w:r>
        <w:rPr>
          <w:rFonts w:hint="eastAsia"/>
          <w:color w:val="231F20"/>
        </w:rPr>
        <w:t>但新约明确地阻挡了这条路。</w:t>
      </w:r>
    </w:p>
    <w:p w14:paraId="43042D6B">
      <w:pPr>
        <w:pStyle w:val="9"/>
        <w:spacing w:after="0" w:line="249" w:lineRule="auto"/>
        <w:rPr>
          <w:rFonts w:hint="eastAsia"/>
          <w:color w:val="231F20"/>
        </w:rPr>
      </w:pPr>
    </w:p>
    <w:p w14:paraId="18C798E1">
      <w:pPr>
        <w:pStyle w:val="9"/>
        <w:spacing w:after="0" w:line="249" w:lineRule="auto"/>
        <w:rPr>
          <w:rFonts w:hint="eastAsia"/>
          <w:color w:val="231F20"/>
        </w:rPr>
      </w:pPr>
      <w:r>
        <w:rPr>
          <w:rFonts w:hint="eastAsia"/>
          <w:color w:val="231F20"/>
        </w:rPr>
        <w:t>Kingdom prophecy such as we find in the Didactic NT (i.e., the Gospels, the Book of Acts, and the Epistles) does not use mystical, typological language.</w:t>
      </w:r>
    </w:p>
    <w:p w14:paraId="72EC8B34">
      <w:pPr>
        <w:pStyle w:val="9"/>
        <w:spacing w:after="0" w:line="249" w:lineRule="auto"/>
        <w:rPr>
          <w:rFonts w:hint="eastAsia"/>
          <w:color w:val="231F20"/>
        </w:rPr>
      </w:pPr>
      <w:r>
        <w:rPr>
          <w:rFonts w:hint="eastAsia"/>
          <w:color w:val="231F20"/>
        </w:rPr>
        <w:t>我们在新约教义性经文（即福音书、使徒行传和书信）中找到的国度预言，并不使用奥秘、预表性的语言。</w:t>
      </w:r>
    </w:p>
    <w:p w14:paraId="45BCEB78">
      <w:pPr>
        <w:pStyle w:val="9"/>
        <w:spacing w:after="0" w:line="249" w:lineRule="auto"/>
        <w:rPr>
          <w:rFonts w:hint="eastAsia"/>
          <w:color w:val="231F20"/>
        </w:rPr>
      </w:pPr>
    </w:p>
    <w:p w14:paraId="3EF5CC72">
      <w:pPr>
        <w:pStyle w:val="9"/>
        <w:spacing w:after="0" w:line="249" w:lineRule="auto"/>
        <w:rPr>
          <w:rFonts w:hint="eastAsia"/>
          <w:color w:val="231F20"/>
        </w:rPr>
      </w:pPr>
      <w:r>
        <w:rPr>
          <w:rFonts w:hint="eastAsia"/>
          <w:color w:val="231F20"/>
        </w:rPr>
        <w:t>Quite to the contrary, it uses “simple prophecy”— straightforward eschatological predictions—in order to supply the hermeneutical key to OTKP and the Revelation.</w:t>
      </w:r>
    </w:p>
    <w:p w14:paraId="48956BF2">
      <w:pPr>
        <w:pStyle w:val="9"/>
        <w:spacing w:after="0" w:line="249" w:lineRule="auto"/>
        <w:rPr>
          <w:rFonts w:hint="eastAsia"/>
          <w:color w:val="231F20"/>
        </w:rPr>
      </w:pPr>
      <w:r>
        <w:rPr>
          <w:rFonts w:hint="eastAsia"/>
          <w:color w:val="231F20"/>
        </w:rPr>
        <w:t>恰恰相反，它使用“简单的预言”——即直接的末世论预测——以便为旧约国度预言和启示录提供释经的关键。</w:t>
      </w:r>
    </w:p>
    <w:p w14:paraId="1BF763CB">
      <w:pPr>
        <w:pStyle w:val="9"/>
        <w:spacing w:after="0" w:line="249" w:lineRule="auto"/>
        <w:rPr>
          <w:rFonts w:hint="eastAsia"/>
          <w:color w:val="231F20"/>
        </w:rPr>
      </w:pPr>
    </w:p>
    <w:p w14:paraId="26D2408E">
      <w:pPr>
        <w:pStyle w:val="9"/>
        <w:spacing w:after="0" w:line="249" w:lineRule="auto"/>
        <w:rPr>
          <w:rFonts w:hint="eastAsia"/>
          <w:color w:val="231F20"/>
        </w:rPr>
      </w:pPr>
      <w:r>
        <w:rPr>
          <w:rFonts w:hint="eastAsia"/>
          <w:color w:val="231F20"/>
        </w:rPr>
        <w:t>This makes perfect sense: Somewhere, sometime, someone in the Bible is going to have to speak plainly about the Consummation, so that we can decode the more symbolic materials.</w:t>
      </w:r>
    </w:p>
    <w:p w14:paraId="5CC53DA6">
      <w:pPr>
        <w:pStyle w:val="9"/>
        <w:spacing w:after="0" w:line="249" w:lineRule="auto"/>
        <w:rPr>
          <w:rFonts w:hint="eastAsia"/>
          <w:color w:val="231F20"/>
        </w:rPr>
      </w:pPr>
      <w:r>
        <w:rPr>
          <w:rFonts w:hint="eastAsia"/>
          <w:color w:val="231F20"/>
        </w:rPr>
        <w:t>这完全合乎情理：在圣经的某个地方，某个时候，某个人必须清楚地谈论结局，这样我们才能解码那些更具象征性的材料。</w:t>
      </w:r>
    </w:p>
    <w:p w14:paraId="6F378E97">
      <w:pPr>
        <w:pStyle w:val="9"/>
        <w:spacing w:after="0" w:line="249" w:lineRule="auto"/>
        <w:rPr>
          <w:rFonts w:hint="eastAsia"/>
          <w:color w:val="231F20"/>
        </w:rPr>
      </w:pPr>
    </w:p>
    <w:p w14:paraId="5150C375">
      <w:pPr>
        <w:pStyle w:val="9"/>
        <w:spacing w:after="0" w:line="249" w:lineRule="auto"/>
        <w:rPr>
          <w:rFonts w:hint="eastAsia"/>
          <w:color w:val="231F20"/>
        </w:rPr>
      </w:pPr>
      <w:r>
        <w:rPr>
          <w:rFonts w:hint="eastAsia"/>
          <w:color w:val="231F20"/>
        </w:rPr>
        <w:t>In the Didactic NT, Christ and the apostles do this very thing (Mt. 13:10-12, 51-53, John 16:12-14, 25, 1 Cor. 2:6-16, Eph. 1:8-10, 1 Tim. 4:1-3).</w:t>
      </w:r>
    </w:p>
    <w:p w14:paraId="683770EF">
      <w:pPr>
        <w:pStyle w:val="9"/>
        <w:spacing w:after="0" w:line="249" w:lineRule="auto"/>
        <w:rPr>
          <w:rFonts w:hint="eastAsia"/>
          <w:color w:val="231F20"/>
        </w:rPr>
      </w:pPr>
      <w:r>
        <w:rPr>
          <w:rFonts w:hint="eastAsia"/>
          <w:color w:val="231F20"/>
        </w:rPr>
        <w:t>在新约的教义性经文中，基督和使徒们正是这样做的（太13:10-12, 51-53，约16:12-14, 25，林前2:6-16，弗1:8-10，提前4:1-3）。</w:t>
      </w:r>
    </w:p>
    <w:p w14:paraId="576B67FB">
      <w:pPr>
        <w:pStyle w:val="9"/>
        <w:spacing w:after="0" w:line="249" w:lineRule="auto"/>
        <w:rPr>
          <w:rFonts w:hint="eastAsia"/>
          <w:color w:val="231F20"/>
        </w:rPr>
      </w:pPr>
    </w:p>
    <w:p w14:paraId="031B0759">
      <w:pPr>
        <w:pStyle w:val="9"/>
        <w:spacing w:after="0" w:line="249" w:lineRule="auto"/>
        <w:rPr>
          <w:rFonts w:hint="eastAsia"/>
          <w:color w:val="231F20"/>
        </w:rPr>
      </w:pPr>
      <w:r>
        <w:rPr>
          <w:rFonts w:hint="eastAsia"/>
          <w:color w:val="231F20"/>
        </w:rPr>
        <w:t>Alas, our FP brethren fail to see it.</w:t>
      </w:r>
    </w:p>
    <w:p w14:paraId="2F4A493F">
      <w:pPr>
        <w:pStyle w:val="9"/>
        <w:spacing w:after="0" w:line="249" w:lineRule="auto"/>
        <w:rPr>
          <w:rFonts w:hint="eastAsia"/>
          <w:color w:val="231F20"/>
        </w:rPr>
      </w:pPr>
      <w:r>
        <w:rPr>
          <w:rFonts w:hint="eastAsia"/>
          <w:color w:val="231F20"/>
        </w:rPr>
        <w:t>唉，我们的完全过去主义弟兄们却没有看到这一点。</w:t>
      </w:r>
    </w:p>
    <w:p w14:paraId="6EECAE81">
      <w:pPr>
        <w:pStyle w:val="9"/>
        <w:spacing w:after="0" w:line="249" w:lineRule="auto"/>
        <w:rPr>
          <w:rFonts w:hint="eastAsia"/>
          <w:color w:val="231F20"/>
        </w:rPr>
      </w:pPr>
    </w:p>
    <w:p w14:paraId="218A31C6">
      <w:pPr>
        <w:pStyle w:val="9"/>
        <w:spacing w:after="0" w:line="249" w:lineRule="auto"/>
        <w:rPr>
          <w:rFonts w:hint="eastAsia"/>
          <w:color w:val="231F20"/>
        </w:rPr>
      </w:pPr>
      <w:r>
        <w:rPr>
          <w:rFonts w:hint="eastAsia"/>
          <w:color w:val="231F20"/>
        </w:rPr>
        <w:t>Here we do well to consider Mt. 24:29-31, Jesus’ great prophecy of the Parousia.</w:t>
      </w:r>
    </w:p>
    <w:p w14:paraId="37ADFDD5">
      <w:pPr>
        <w:pStyle w:val="9"/>
        <w:spacing w:after="0" w:line="249" w:lineRule="auto"/>
        <w:rPr>
          <w:rFonts w:hint="eastAsia"/>
          <w:color w:val="231F20"/>
        </w:rPr>
      </w:pPr>
      <w:r>
        <w:rPr>
          <w:rFonts w:hint="eastAsia"/>
          <w:color w:val="231F20"/>
        </w:rPr>
        <w:t>在这里，我们最好思考一下马太福音24:29-31，即耶稣关于再来的伟大预言。</w:t>
      </w:r>
    </w:p>
    <w:p w14:paraId="3FFFC0C1">
      <w:pPr>
        <w:pStyle w:val="9"/>
        <w:spacing w:after="0" w:line="249" w:lineRule="auto"/>
        <w:rPr>
          <w:rFonts w:hint="eastAsia"/>
          <w:color w:val="231F20"/>
        </w:rPr>
      </w:pPr>
    </w:p>
    <w:p w14:paraId="193A9011">
      <w:pPr>
        <w:pStyle w:val="9"/>
        <w:spacing w:after="0" w:line="249" w:lineRule="auto"/>
        <w:rPr>
          <w:rFonts w:hint="eastAsia"/>
          <w:color w:val="231F20"/>
        </w:rPr>
      </w:pPr>
      <w:r>
        <w:rPr>
          <w:rFonts w:hint="eastAsia"/>
          <w:color w:val="231F20"/>
        </w:rPr>
        <w:t>Contrary to FP, it does not at all read like Isaiah 13:9-10, 19:1f, or Ezekiel 32:7-8—OTKP’s that clearly employ much figurative language.</w:t>
      </w:r>
    </w:p>
    <w:p w14:paraId="51ABEED2">
      <w:pPr>
        <w:pStyle w:val="9"/>
        <w:spacing w:after="0" w:line="249" w:lineRule="auto"/>
        <w:rPr>
          <w:rFonts w:hint="eastAsia"/>
          <w:color w:val="231F20"/>
        </w:rPr>
      </w:pPr>
      <w:r>
        <w:rPr>
          <w:rFonts w:hint="eastAsia"/>
          <w:color w:val="231F20"/>
        </w:rPr>
        <w:t>与完全过去主义的观点相反，它读起来完全不像以赛亚书13:9-10, 19:1及以下，或以西结书32:7-8——这些旧约国度预言明显使用了大量的比喻性语言。</w:t>
      </w:r>
    </w:p>
    <w:p w14:paraId="52D6E1C0">
      <w:pPr>
        <w:pStyle w:val="9"/>
        <w:spacing w:after="0" w:line="249" w:lineRule="auto"/>
        <w:rPr>
          <w:rFonts w:hint="eastAsia"/>
          <w:color w:val="231F20"/>
        </w:rPr>
      </w:pPr>
    </w:p>
    <w:p w14:paraId="73657732">
      <w:pPr>
        <w:pStyle w:val="9"/>
        <w:spacing w:after="0" w:line="249" w:lineRule="auto"/>
        <w:rPr>
          <w:rFonts w:hint="eastAsia"/>
          <w:color w:val="231F20"/>
        </w:rPr>
      </w:pPr>
      <w:r>
        <w:rPr>
          <w:rFonts w:hint="eastAsia"/>
          <w:color w:val="231F20"/>
        </w:rPr>
        <w:t>Rather, as I argued earlier, it is a straightforward prediction of the Parousia, giving us the true contours of that awesome event.</w:t>
      </w:r>
    </w:p>
    <w:p w14:paraId="4D9807E5">
      <w:pPr>
        <w:pStyle w:val="9"/>
        <w:spacing w:after="0" w:line="249" w:lineRule="auto"/>
        <w:rPr>
          <w:rFonts w:hint="eastAsia"/>
          <w:color w:val="231F20"/>
        </w:rPr>
      </w:pPr>
      <w:r>
        <w:rPr>
          <w:rFonts w:hint="eastAsia"/>
          <w:color w:val="231F20"/>
        </w:rPr>
        <w:t>相反，正如我之前所论证的，这是一个对再来的直接预测，为我们勾勒出那个令人敬畏事件的真实轮廓。</w:t>
      </w:r>
    </w:p>
    <w:p w14:paraId="4B555DA9">
      <w:pPr>
        <w:pStyle w:val="9"/>
        <w:spacing w:after="0" w:line="249" w:lineRule="auto"/>
        <w:rPr>
          <w:rFonts w:hint="eastAsia"/>
          <w:color w:val="231F20"/>
        </w:rPr>
      </w:pPr>
    </w:p>
    <w:p w14:paraId="3BE0D1A7">
      <w:pPr>
        <w:pStyle w:val="9"/>
        <w:spacing w:after="0" w:line="249" w:lineRule="auto"/>
        <w:rPr>
          <w:rFonts w:hint="eastAsia"/>
          <w:color w:val="231F20"/>
        </w:rPr>
      </w:pPr>
      <w:r>
        <w:rPr>
          <w:rFonts w:hint="eastAsia"/>
          <w:color w:val="231F20"/>
        </w:rPr>
        <w:t>This is evident from the straightforward predictions that lead into it (24:21-27), and also from the straightforward predictions that flow from it (24:32-51, 25:30-46).</w:t>
      </w:r>
    </w:p>
    <w:p w14:paraId="7C4D931E">
      <w:pPr>
        <w:pStyle w:val="9"/>
        <w:spacing w:after="0" w:line="249" w:lineRule="auto"/>
        <w:rPr>
          <w:rFonts w:hint="eastAsia"/>
          <w:color w:val="231F20"/>
        </w:rPr>
      </w:pPr>
      <w:r>
        <w:rPr>
          <w:rFonts w:hint="eastAsia"/>
          <w:color w:val="231F20"/>
        </w:rPr>
        <w:t>这一点从引导至它的直接预测（24:21-27）以及从它引出的直接预测（24:32-51, 25:30-46）中可以明显看出。</w:t>
      </w:r>
    </w:p>
    <w:p w14:paraId="2B17C45A">
      <w:pPr>
        <w:pStyle w:val="9"/>
        <w:spacing w:after="0" w:line="249" w:lineRule="auto"/>
        <w:rPr>
          <w:rFonts w:hint="eastAsia"/>
          <w:color w:val="231F20"/>
        </w:rPr>
      </w:pPr>
    </w:p>
    <w:p w14:paraId="69C172AE">
      <w:pPr>
        <w:pStyle w:val="9"/>
        <w:spacing w:after="0" w:line="249" w:lineRule="auto"/>
        <w:rPr>
          <w:rFonts w:hint="eastAsia"/>
          <w:color w:val="231F20"/>
        </w:rPr>
      </w:pPr>
      <w:r>
        <w:rPr>
          <w:rFonts w:hint="eastAsia"/>
          <w:color w:val="231F20"/>
        </w:rPr>
        <w:t>It is evident from the language itself, which, by alluding to various OTKP’s, finally supplies us with the true character of their eschatological fulfillment.</w:t>
      </w:r>
    </w:p>
    <w:p w14:paraId="24228E31">
      <w:pPr>
        <w:pStyle w:val="9"/>
        <w:spacing w:after="0" w:line="249" w:lineRule="auto"/>
        <w:rPr>
          <w:rFonts w:hint="eastAsia"/>
          <w:color w:val="231F20"/>
        </w:rPr>
      </w:pPr>
      <w:r>
        <w:rPr>
          <w:rFonts w:hint="eastAsia"/>
          <w:color w:val="231F20"/>
        </w:rPr>
        <w:t>这一点从语言本身也很明显，它通过引述各种旧约国度预言，最终为我们提供了它们末世论应验的真实特征。</w:t>
      </w:r>
    </w:p>
    <w:p w14:paraId="0E466F4F">
      <w:pPr>
        <w:pStyle w:val="9"/>
        <w:spacing w:after="0" w:line="249" w:lineRule="auto"/>
        <w:rPr>
          <w:rFonts w:hint="eastAsia"/>
          <w:color w:val="231F20"/>
        </w:rPr>
      </w:pPr>
    </w:p>
    <w:p w14:paraId="3EE23B24">
      <w:pPr>
        <w:pStyle w:val="9"/>
        <w:spacing w:after="0" w:line="249" w:lineRule="auto"/>
        <w:rPr>
          <w:rFonts w:hint="eastAsia"/>
          <w:color w:val="231F20"/>
        </w:rPr>
      </w:pPr>
      <w:r>
        <w:rPr>
          <w:rFonts w:hint="eastAsia"/>
          <w:color w:val="231F20"/>
        </w:rPr>
        <w:t>It is especially evident from the fact that other NT descriptions of the Parousia closely resemble this one, which clearly serves as the NT prototype, and is therefore the mother of all NT prophecies of the Parousia and Consummation (Mt. 13:37-43, 1 Thess. 4:13-18, 2 Thess. 1:3-12, 2 Peter 3:1-13).</w:t>
      </w:r>
    </w:p>
    <w:p w14:paraId="57D7118A">
      <w:pPr>
        <w:pStyle w:val="9"/>
        <w:spacing w:after="0" w:line="249" w:lineRule="auto"/>
        <w:rPr>
          <w:rFonts w:hint="eastAsia"/>
          <w:color w:val="231F20"/>
        </w:rPr>
      </w:pPr>
      <w:r>
        <w:rPr>
          <w:rFonts w:hint="eastAsia"/>
          <w:color w:val="231F20"/>
        </w:rPr>
        <w:t>这一点尤其明显，因为新约中其他对再来的描述与此非常相似，这清楚地表明它充当了新约的原型，因此是所有新约中关于再来和结局的预言之母（太13:37-43，帖前4:13-18，帖后1:3-12，彼后3:1-13）。</w:t>
      </w:r>
    </w:p>
    <w:p w14:paraId="2A4B0520">
      <w:pPr>
        <w:pStyle w:val="9"/>
        <w:spacing w:after="0" w:line="249" w:lineRule="auto"/>
        <w:rPr>
          <w:rFonts w:hint="eastAsia"/>
          <w:color w:val="231F20"/>
        </w:rPr>
      </w:pPr>
    </w:p>
    <w:p w14:paraId="1ED10C25">
      <w:pPr>
        <w:pStyle w:val="9"/>
        <w:spacing w:after="0" w:line="249" w:lineRule="auto"/>
        <w:rPr>
          <w:rFonts w:hint="eastAsia"/>
          <w:color w:val="231F20"/>
        </w:rPr>
      </w:pPr>
      <w:r>
        <w:rPr>
          <w:rFonts w:hint="eastAsia"/>
          <w:color w:val="231F20"/>
        </w:rPr>
        <w:t>In short, if the Olivet Discourse is not speaking straightforwardly about the Parousia and the Consummation, then we are completely at sea in trying to frame a true picture of the Blessed Hope of Christ’s Church.</w:t>
      </w:r>
    </w:p>
    <w:p w14:paraId="5C26E686">
      <w:pPr>
        <w:pStyle w:val="9"/>
        <w:spacing w:after="0" w:line="249" w:lineRule="auto"/>
        <w:rPr>
          <w:rFonts w:hint="eastAsia"/>
          <w:color w:val="231F20"/>
        </w:rPr>
      </w:pPr>
      <w:r>
        <w:rPr>
          <w:rFonts w:hint="eastAsia"/>
          <w:color w:val="231F20"/>
        </w:rPr>
        <w:t>简而言之，如果橄榄山讲论不是直接论及主的再来和万物的结局，那么我们在试图构筑基督教会有福盼望的真实图景时，就完全迷失了方向。</w:t>
      </w:r>
    </w:p>
    <w:p w14:paraId="71A864E5">
      <w:pPr>
        <w:pStyle w:val="9"/>
        <w:spacing w:after="0" w:line="249" w:lineRule="auto"/>
        <w:rPr>
          <w:rFonts w:hint="eastAsia"/>
          <w:color w:val="231F20"/>
        </w:rPr>
      </w:pPr>
    </w:p>
    <w:p w14:paraId="74DCF33C">
      <w:pPr>
        <w:pStyle w:val="9"/>
        <w:spacing w:after="0" w:line="249" w:lineRule="auto"/>
        <w:rPr>
          <w:rFonts w:hint="eastAsia"/>
          <w:color w:val="231F20"/>
        </w:rPr>
      </w:pPr>
      <w:r>
        <w:rPr>
          <w:rFonts w:hint="eastAsia"/>
          <w:color w:val="231F20"/>
        </w:rPr>
        <w:t>In passing, I would note that it is no objection to this line of thinking to say that the Olivet Discourse displays prophetic blending.</w:t>
      </w:r>
    </w:p>
    <w:p w14:paraId="077AE1D3">
      <w:pPr>
        <w:pStyle w:val="9"/>
        <w:spacing w:after="0" w:line="249" w:lineRule="auto"/>
        <w:rPr>
          <w:rFonts w:hint="eastAsia"/>
          <w:color w:val="231F20"/>
        </w:rPr>
      </w:pPr>
      <w:r>
        <w:rPr>
          <w:rFonts w:hint="eastAsia"/>
          <w:color w:val="231F20"/>
        </w:rPr>
        <w:t>顺便提一下，说橄榄山讲论展现了预言的融合，这并不能反驳这种思路。</w:t>
      </w:r>
    </w:p>
    <w:p w14:paraId="5163C225">
      <w:pPr>
        <w:pStyle w:val="9"/>
        <w:spacing w:after="0" w:line="249" w:lineRule="auto"/>
        <w:rPr>
          <w:rFonts w:hint="eastAsia"/>
          <w:color w:val="231F20"/>
        </w:rPr>
      </w:pPr>
    </w:p>
    <w:p w14:paraId="723BA4B4">
      <w:pPr>
        <w:pStyle w:val="9"/>
        <w:spacing w:after="0" w:line="249" w:lineRule="auto"/>
        <w:rPr>
          <w:rFonts w:hint="eastAsia"/>
          <w:color w:val="231F20"/>
        </w:rPr>
      </w:pPr>
      <w:r>
        <w:rPr>
          <w:rFonts w:hint="eastAsia"/>
          <w:color w:val="231F20"/>
        </w:rPr>
        <w:t>Yes, Christ had in view two comings, two (future) abominations that make desolate, two great tribulations, and two generations in which all the signs heralding his (twofold ) coming are fulfilled.</w:t>
      </w:r>
    </w:p>
    <w:p w14:paraId="5772052F">
      <w:pPr>
        <w:pStyle w:val="9"/>
        <w:spacing w:after="0" w:line="249" w:lineRule="auto"/>
        <w:rPr>
          <w:rFonts w:hint="eastAsia"/>
          <w:color w:val="231F20"/>
        </w:rPr>
      </w:pPr>
      <w:r>
        <w:rPr>
          <w:rFonts w:hint="eastAsia"/>
          <w:color w:val="231F20"/>
        </w:rPr>
        <w:t>是的，基督心中有两次降临，两次（未来的）行毁坏可憎之事，两次大灾难，以及两代人，在其中所有预示祂（双重）降临的预兆都将应验。</w:t>
      </w:r>
    </w:p>
    <w:p w14:paraId="38F5F4C1">
      <w:pPr>
        <w:pStyle w:val="9"/>
        <w:spacing w:after="0" w:line="249" w:lineRule="auto"/>
        <w:rPr>
          <w:rFonts w:hint="eastAsia"/>
          <w:color w:val="231F20"/>
        </w:rPr>
      </w:pPr>
    </w:p>
    <w:p w14:paraId="3B7B03A7">
      <w:pPr>
        <w:pStyle w:val="9"/>
        <w:spacing w:after="0" w:line="249" w:lineRule="auto"/>
        <w:rPr>
          <w:rFonts w:hint="eastAsia"/>
          <w:color w:val="231F20"/>
        </w:rPr>
      </w:pPr>
      <w:r>
        <w:rPr>
          <w:rFonts w:hint="eastAsia"/>
          <w:color w:val="231F20"/>
        </w:rPr>
        <w:t>However, this does not mean he was speaking figuratively or typologically.</w:t>
      </w:r>
    </w:p>
    <w:p w14:paraId="5553C4C1">
      <w:pPr>
        <w:pStyle w:val="9"/>
        <w:spacing w:after="0" w:line="249" w:lineRule="auto"/>
        <w:rPr>
          <w:rFonts w:hint="eastAsia"/>
          <w:color w:val="231F20"/>
        </w:rPr>
      </w:pPr>
      <w:r>
        <w:rPr>
          <w:rFonts w:hint="eastAsia"/>
          <w:color w:val="231F20"/>
        </w:rPr>
        <w:t>然而，这并不意味着祂在用比喻或预表的方式说话。</w:t>
      </w:r>
    </w:p>
    <w:p w14:paraId="4EDB092A">
      <w:pPr>
        <w:pStyle w:val="9"/>
        <w:spacing w:after="0" w:line="249" w:lineRule="auto"/>
        <w:rPr>
          <w:rFonts w:hint="eastAsia"/>
          <w:color w:val="231F20"/>
        </w:rPr>
      </w:pPr>
    </w:p>
    <w:p w14:paraId="3EF066D8">
      <w:pPr>
        <w:pStyle w:val="9"/>
        <w:spacing w:after="0" w:line="249" w:lineRule="auto"/>
        <w:rPr>
          <w:rFonts w:hint="eastAsia"/>
          <w:color w:val="231F20"/>
        </w:rPr>
      </w:pPr>
      <w:r>
        <w:rPr>
          <w:rFonts w:hint="eastAsia"/>
          <w:color w:val="231F20"/>
        </w:rPr>
        <w:t>Rather, it means that he was straightforwardly predicting certain real historical events, but all the while subtly blending near and far, small and great, local and cosmic, temporal and eschatological.</w:t>
      </w:r>
    </w:p>
    <w:p w14:paraId="03384666">
      <w:pPr>
        <w:pStyle w:val="9"/>
        <w:spacing w:after="0" w:line="249" w:lineRule="auto"/>
        <w:rPr>
          <w:rFonts w:hint="eastAsia"/>
          <w:color w:val="231F20"/>
        </w:rPr>
      </w:pPr>
      <w:r>
        <w:rPr>
          <w:rFonts w:hint="eastAsia"/>
          <w:color w:val="231F20"/>
        </w:rPr>
        <w:t>相反，这意味着祂正在直接地预测某些真实的历史事件，但同时又巧妙地将近与远、小与大、局部与宇宙、暂时与末世融合在一起。</w:t>
      </w:r>
    </w:p>
    <w:p w14:paraId="0F0A8F3C">
      <w:pPr>
        <w:pStyle w:val="9"/>
        <w:spacing w:after="0" w:line="249" w:lineRule="auto"/>
        <w:rPr>
          <w:rFonts w:hint="eastAsia"/>
          <w:color w:val="231F20"/>
        </w:rPr>
      </w:pPr>
    </w:p>
    <w:p w14:paraId="6A3F4322">
      <w:pPr>
        <w:pStyle w:val="9"/>
        <w:spacing w:after="0" w:line="249" w:lineRule="auto"/>
        <w:rPr>
          <w:rFonts w:hint="eastAsia"/>
          <w:color w:val="231F20"/>
        </w:rPr>
      </w:pPr>
      <w:r>
        <w:rPr>
          <w:rFonts w:hint="eastAsia"/>
          <w:color w:val="231F20"/>
        </w:rPr>
        <w:t>Once FP’s acknowledge this, they will no longer feel the need to spiritualize the Parousia and the Consummation; once they acknowledge this, the NT again will yield up its vast eschatological treasures; and once they acknowledge this, they again will find themselves standing on the solid ground of biblical orthodoxy.</w:t>
      </w:r>
    </w:p>
    <w:p w14:paraId="1EFFDBEC">
      <w:pPr>
        <w:pStyle w:val="9"/>
        <w:spacing w:after="0" w:line="249" w:lineRule="auto"/>
        <w:rPr>
          <w:rFonts w:hint="eastAsia"/>
          <w:color w:val="231F20"/>
        </w:rPr>
      </w:pPr>
      <w:r>
        <w:rPr>
          <w:rFonts w:hint="eastAsia"/>
          <w:color w:val="231F20"/>
        </w:rPr>
        <w:t>一旦完全过去主义者承认了这一点，他们就不再会觉得有必要将主的再来和结局属灵化了；一旦他们承认了这一点，新约将再次显露出其浩瀚的末世论宝藏；一旦他们承认了这一点，他们将再次发现自己站在了圣经正统的坚实基础上。</w:t>
      </w:r>
    </w:p>
    <w:p w14:paraId="27B5D0AE">
      <w:pPr>
        <w:pStyle w:val="9"/>
        <w:spacing w:after="0" w:line="249" w:lineRule="auto"/>
        <w:rPr>
          <w:rFonts w:hint="eastAsia"/>
          <w:color w:val="231F20"/>
        </w:rPr>
      </w:pPr>
    </w:p>
    <w:p w14:paraId="6DD5960F">
      <w:pPr>
        <w:pStyle w:val="9"/>
        <w:spacing w:after="0" w:line="249" w:lineRule="auto"/>
        <w:rPr>
          <w:rFonts w:hint="eastAsia"/>
          <w:color w:val="231F20"/>
        </w:rPr>
      </w:pPr>
      <w:r>
        <w:rPr>
          <w:rFonts w:hint="eastAsia"/>
          <w:color w:val="231F20"/>
        </w:rPr>
        <w:t>I close this section with an excellent quote from pastor Fred Zaspel.</w:t>
      </w:r>
    </w:p>
    <w:p w14:paraId="4E82D08D">
      <w:pPr>
        <w:pStyle w:val="9"/>
        <w:spacing w:after="0" w:line="249" w:lineRule="auto"/>
        <w:rPr>
          <w:rFonts w:hint="eastAsia"/>
          <w:color w:val="231F20"/>
        </w:rPr>
      </w:pPr>
      <w:r>
        <w:rPr>
          <w:rFonts w:hint="eastAsia"/>
          <w:color w:val="231F20"/>
        </w:rPr>
        <w:t>我用牧师弗雷德·扎斯佩尔（Fred Zaspel）的一段精彩引言来结束这一部分。</w:t>
      </w:r>
    </w:p>
    <w:p w14:paraId="7FEBE421">
      <w:pPr>
        <w:pStyle w:val="9"/>
        <w:spacing w:after="0" w:line="249" w:lineRule="auto"/>
        <w:rPr>
          <w:rFonts w:hint="eastAsia"/>
          <w:color w:val="231F20"/>
        </w:rPr>
      </w:pPr>
    </w:p>
    <w:p w14:paraId="14F9EF5A">
      <w:pPr>
        <w:pStyle w:val="9"/>
        <w:spacing w:after="0" w:line="249" w:lineRule="auto"/>
        <w:rPr>
          <w:rFonts w:hint="eastAsia"/>
          <w:color w:val="231F20"/>
        </w:rPr>
      </w:pPr>
      <w:r>
        <w:rPr>
          <w:rFonts w:hint="eastAsia"/>
          <w:color w:val="231F20"/>
        </w:rPr>
        <w:t>Writing on full preterism, he says:</w:t>
      </w:r>
    </w:p>
    <w:p w14:paraId="49477155">
      <w:pPr>
        <w:pStyle w:val="9"/>
        <w:spacing w:after="0" w:line="249" w:lineRule="auto"/>
        <w:rPr>
          <w:rFonts w:hint="eastAsia"/>
          <w:color w:val="231F20"/>
        </w:rPr>
      </w:pPr>
      <w:r>
        <w:rPr>
          <w:rFonts w:hint="eastAsia"/>
          <w:color w:val="231F20"/>
        </w:rPr>
        <w:t>他在论及完全过去主义时写道：</w:t>
      </w:r>
    </w:p>
    <w:p w14:paraId="6D83C2C7">
      <w:pPr>
        <w:pStyle w:val="9"/>
        <w:spacing w:after="0" w:line="249" w:lineRule="auto"/>
        <w:rPr>
          <w:rFonts w:hint="eastAsia"/>
          <w:color w:val="231F20"/>
        </w:rPr>
      </w:pPr>
    </w:p>
    <w:p w14:paraId="33105BC9">
      <w:pPr>
        <w:pStyle w:val="9"/>
        <w:spacing w:after="0" w:line="249" w:lineRule="auto"/>
        <w:rPr>
          <w:rFonts w:hint="eastAsia"/>
          <w:color w:val="231F20"/>
        </w:rPr>
      </w:pPr>
      <w:r>
        <w:rPr>
          <w:rFonts w:hint="eastAsia"/>
          <w:color w:val="231F20"/>
        </w:rPr>
        <w:t>Due recognition of this principle (i.e., the principle of the prophetic blending of the already and the not yet) is vital to accurate interpretation of the prophetic word.</w:t>
      </w:r>
    </w:p>
    <w:p w14:paraId="496BE990">
      <w:pPr>
        <w:pStyle w:val="9"/>
        <w:spacing w:after="0" w:line="249" w:lineRule="auto"/>
        <w:rPr>
          <w:rFonts w:hint="eastAsia"/>
          <w:color w:val="231F20"/>
        </w:rPr>
      </w:pPr>
      <w:r>
        <w:rPr>
          <w:rFonts w:hint="eastAsia"/>
          <w:color w:val="231F20"/>
        </w:rPr>
        <w:t>对这个原则（即预言中“已然”与“未然”相融合的原则）的恰当认识，对于准确解释预言的话语至关重要。</w:t>
      </w:r>
    </w:p>
    <w:p w14:paraId="66DDC6D0">
      <w:pPr>
        <w:pStyle w:val="9"/>
        <w:spacing w:after="0" w:line="249" w:lineRule="auto"/>
        <w:rPr>
          <w:rFonts w:hint="eastAsia"/>
          <w:color w:val="231F20"/>
        </w:rPr>
      </w:pPr>
    </w:p>
    <w:p w14:paraId="3366DFD7">
      <w:pPr>
        <w:pStyle w:val="9"/>
        <w:spacing w:after="0" w:line="249" w:lineRule="auto"/>
        <w:rPr>
          <w:rFonts w:hint="eastAsia"/>
          <w:color w:val="231F20"/>
        </w:rPr>
      </w:pPr>
      <w:r>
        <w:rPr>
          <w:rFonts w:hint="eastAsia"/>
          <w:color w:val="231F20"/>
        </w:rPr>
        <w:t>Often it is the case that two sides of a prophetic debate, each with a part of the whole, make as though the whole were their “part.”</w:t>
      </w:r>
    </w:p>
    <w:p w14:paraId="4CC2ECC9">
      <w:pPr>
        <w:pStyle w:val="9"/>
        <w:spacing w:after="0" w:line="249" w:lineRule="auto"/>
        <w:rPr>
          <w:rFonts w:hint="eastAsia"/>
          <w:color w:val="231F20"/>
        </w:rPr>
      </w:pPr>
      <w:r>
        <w:rPr>
          <w:rFonts w:hint="eastAsia"/>
          <w:color w:val="231F20"/>
        </w:rPr>
        <w:t>通常情况下，一场预言辩论的双方，各自掌握了整体的一部分，却表现得好像整体就是他们的“那一部分”。</w:t>
      </w:r>
    </w:p>
    <w:p w14:paraId="210CDB1E">
      <w:pPr>
        <w:pStyle w:val="9"/>
        <w:spacing w:after="0" w:line="249" w:lineRule="auto"/>
        <w:rPr>
          <w:rFonts w:hint="eastAsia"/>
          <w:color w:val="231F20"/>
        </w:rPr>
      </w:pPr>
    </w:p>
    <w:p w14:paraId="741A8163">
      <w:pPr>
        <w:pStyle w:val="9"/>
        <w:spacing w:after="0" w:line="249" w:lineRule="auto"/>
        <w:rPr>
          <w:rFonts w:hint="eastAsia"/>
          <w:color w:val="231F20"/>
        </w:rPr>
      </w:pPr>
      <w:r>
        <w:rPr>
          <w:rFonts w:hint="eastAsia"/>
          <w:color w:val="231F20"/>
        </w:rPr>
        <w:t>It’s often the case that neither side is wrong in what they are saying, except that they have only half the picture.</w:t>
      </w:r>
    </w:p>
    <w:p w14:paraId="5D331314">
      <w:pPr>
        <w:pStyle w:val="9"/>
        <w:spacing w:after="0" w:line="249" w:lineRule="auto"/>
        <w:rPr>
          <w:rFonts w:hint="eastAsia"/>
          <w:color w:val="231F20"/>
        </w:rPr>
      </w:pPr>
      <w:r>
        <w:rPr>
          <w:rFonts w:hint="eastAsia"/>
          <w:color w:val="231F20"/>
        </w:rPr>
        <w:t>通常情况下，双方所说的都并非错误，只是他们只看到了画面的一半。</w:t>
      </w:r>
    </w:p>
    <w:p w14:paraId="2F73A1B3">
      <w:pPr>
        <w:pStyle w:val="9"/>
        <w:spacing w:after="0" w:line="249" w:lineRule="auto"/>
        <w:rPr>
          <w:rFonts w:hint="eastAsia"/>
          <w:color w:val="231F20"/>
        </w:rPr>
      </w:pPr>
    </w:p>
    <w:p w14:paraId="048E000E">
      <w:pPr>
        <w:pStyle w:val="9"/>
        <w:spacing w:after="0" w:line="249" w:lineRule="auto"/>
        <w:rPr>
          <w:rFonts w:hint="eastAsia"/>
          <w:color w:val="231F20"/>
        </w:rPr>
      </w:pPr>
      <w:r>
        <w:rPr>
          <w:rFonts w:hint="eastAsia"/>
          <w:color w:val="231F20"/>
        </w:rPr>
        <w:t>But not until all parts are together do we have the whole.</w:t>
      </w:r>
    </w:p>
    <w:p w14:paraId="24AA4023">
      <w:pPr>
        <w:pStyle w:val="9"/>
        <w:spacing w:after="0" w:line="249" w:lineRule="auto"/>
        <w:rPr>
          <w:rFonts w:hint="eastAsia"/>
          <w:color w:val="231F20"/>
        </w:rPr>
      </w:pPr>
      <w:r>
        <w:rPr>
          <w:rFonts w:hint="eastAsia"/>
          <w:color w:val="231F20"/>
        </w:rPr>
        <w:t>但只有当所有部分都拼在一起时，我们才能得到整体。</w:t>
      </w:r>
    </w:p>
    <w:p w14:paraId="7A1CA6AF">
      <w:pPr>
        <w:pStyle w:val="9"/>
        <w:spacing w:after="0" w:line="249" w:lineRule="auto"/>
        <w:rPr>
          <w:rFonts w:hint="eastAsia"/>
          <w:color w:val="231F20"/>
        </w:rPr>
      </w:pPr>
    </w:p>
    <w:p w14:paraId="007D471E">
      <w:pPr>
        <w:pStyle w:val="9"/>
        <w:spacing w:after="0" w:line="249" w:lineRule="auto"/>
        <w:rPr>
          <w:rFonts w:hint="eastAsia"/>
          <w:color w:val="231F20"/>
        </w:rPr>
      </w:pPr>
      <w:r>
        <w:rPr>
          <w:rFonts w:hint="eastAsia"/>
          <w:color w:val="231F20"/>
        </w:rPr>
        <w:t>And again, we must not announce fulfillment until we are sure the prophecy has been (fully) filled.</w:t>
      </w:r>
    </w:p>
    <w:p w14:paraId="4D281AAA">
      <w:pPr>
        <w:pStyle w:val="9"/>
        <w:spacing w:after="0" w:line="249" w:lineRule="auto"/>
        <w:rPr>
          <w:rFonts w:hint="eastAsia"/>
          <w:color w:val="231F20"/>
        </w:rPr>
      </w:pPr>
      <w:r>
        <w:rPr>
          <w:rFonts w:hint="eastAsia"/>
          <w:color w:val="231F20"/>
        </w:rPr>
        <w:t>再者，在我们确定预言已经（完全）应验之前，我们决不能宣告其应验。</w:t>
      </w:r>
    </w:p>
    <w:p w14:paraId="5567DE4E">
      <w:pPr>
        <w:pStyle w:val="9"/>
        <w:spacing w:after="0" w:line="249" w:lineRule="auto"/>
        <w:rPr>
          <w:rFonts w:hint="eastAsia"/>
          <w:color w:val="231F20"/>
        </w:rPr>
      </w:pPr>
    </w:p>
    <w:p w14:paraId="10167156">
      <w:pPr>
        <w:pStyle w:val="9"/>
        <w:spacing w:after="0" w:line="249" w:lineRule="auto"/>
        <w:rPr>
          <w:rFonts w:hint="eastAsia"/>
          <w:color w:val="231F20"/>
        </w:rPr>
      </w:pPr>
      <w:r>
        <w:rPr>
          <w:rFonts w:hint="eastAsia"/>
          <w:color w:val="231F20"/>
        </w:rPr>
        <w:t>Here is one basic flaw of preterism, as I see it.</w:t>
      </w:r>
    </w:p>
    <w:p w14:paraId="5F35EB20">
      <w:pPr>
        <w:pStyle w:val="9"/>
        <w:spacing w:after="0" w:line="249" w:lineRule="auto"/>
        <w:rPr>
          <w:rFonts w:hint="eastAsia"/>
          <w:color w:val="231F20"/>
        </w:rPr>
      </w:pPr>
      <w:r>
        <w:rPr>
          <w:rFonts w:hint="eastAsia"/>
          <w:color w:val="231F20"/>
        </w:rPr>
        <w:t>在我看来，这就是过去主义的一个基本缺陷。</w:t>
      </w:r>
    </w:p>
    <w:p w14:paraId="2A86815E">
      <w:pPr>
        <w:pStyle w:val="9"/>
        <w:spacing w:after="0" w:line="249" w:lineRule="auto"/>
        <w:rPr>
          <w:rFonts w:hint="eastAsia"/>
          <w:color w:val="231F20"/>
        </w:rPr>
      </w:pPr>
    </w:p>
    <w:p w14:paraId="5A6C83E5">
      <w:pPr>
        <w:pStyle w:val="9"/>
        <w:spacing w:after="0" w:line="249" w:lineRule="auto"/>
        <w:rPr>
          <w:rFonts w:hint="eastAsia"/>
          <w:color w:val="231F20"/>
        </w:rPr>
      </w:pPr>
      <w:r>
        <w:rPr>
          <w:rFonts w:hint="eastAsia"/>
          <w:color w:val="231F20"/>
        </w:rPr>
        <w:t>Ironically, it is the same mistake made by the older dispensationalists, who said there was no present realization of the Kingdom, only a future.</w:t>
      </w:r>
    </w:p>
    <w:p w14:paraId="2074C9EA">
      <w:pPr>
        <w:pStyle w:val="9"/>
        <w:spacing w:after="0" w:line="249" w:lineRule="auto"/>
        <w:rPr>
          <w:rFonts w:hint="eastAsia"/>
          <w:color w:val="231F20"/>
        </w:rPr>
      </w:pPr>
      <w:r>
        <w:rPr>
          <w:rFonts w:hint="eastAsia"/>
          <w:color w:val="231F20"/>
        </w:rPr>
        <w:t>具有讽刺意味的是，这与老派时代论者犯的错误相同，他们说国度没有现今的实现，只有未来的实现。</w:t>
      </w:r>
    </w:p>
    <w:p w14:paraId="2787EFB7">
      <w:pPr>
        <w:pStyle w:val="9"/>
        <w:spacing w:after="0" w:line="249" w:lineRule="auto"/>
        <w:rPr>
          <w:rFonts w:hint="eastAsia"/>
          <w:color w:val="231F20"/>
        </w:rPr>
      </w:pPr>
    </w:p>
    <w:p w14:paraId="6800B86F">
      <w:pPr>
        <w:pStyle w:val="9"/>
        <w:spacing w:after="0" w:line="249" w:lineRule="auto"/>
        <w:rPr>
          <w:rFonts w:hint="eastAsia"/>
          <w:color w:val="231F20"/>
        </w:rPr>
      </w:pPr>
      <w:r>
        <w:rPr>
          <w:rFonts w:hint="eastAsia"/>
          <w:color w:val="231F20"/>
        </w:rPr>
        <w:t>They wanted it all “not yet.”</w:t>
      </w:r>
    </w:p>
    <w:p w14:paraId="299408C2">
      <w:pPr>
        <w:pStyle w:val="9"/>
        <w:spacing w:after="0" w:line="249" w:lineRule="auto"/>
        <w:rPr>
          <w:rFonts w:hint="eastAsia"/>
          <w:color w:val="231F20"/>
        </w:rPr>
      </w:pPr>
      <w:r>
        <w:rPr>
          <w:rFonts w:hint="eastAsia"/>
          <w:color w:val="231F20"/>
        </w:rPr>
        <w:t>他们希望一切都是“未然”。</w:t>
      </w:r>
    </w:p>
    <w:p w14:paraId="0EF124FA">
      <w:pPr>
        <w:pStyle w:val="9"/>
        <w:spacing w:after="0" w:line="249" w:lineRule="auto"/>
        <w:rPr>
          <w:rFonts w:hint="eastAsia"/>
          <w:color w:val="231F20"/>
        </w:rPr>
      </w:pPr>
    </w:p>
    <w:p w14:paraId="0190A512">
      <w:pPr>
        <w:pStyle w:val="9"/>
        <w:spacing w:after="0" w:line="249" w:lineRule="auto"/>
        <w:rPr>
          <w:rFonts w:hint="eastAsia"/>
          <w:color w:val="231F20"/>
        </w:rPr>
      </w:pPr>
      <w:r>
        <w:rPr>
          <w:rFonts w:hint="eastAsia"/>
          <w:color w:val="231F20"/>
        </w:rPr>
        <w:t>Preterism wants it all “now.”</w:t>
      </w:r>
    </w:p>
    <w:p w14:paraId="0C041F6B">
      <w:pPr>
        <w:pStyle w:val="9"/>
        <w:spacing w:after="0" w:line="249" w:lineRule="auto"/>
        <w:rPr>
          <w:rFonts w:hint="eastAsia"/>
          <w:color w:val="231F20"/>
        </w:rPr>
      </w:pPr>
      <w:r>
        <w:rPr>
          <w:rFonts w:hint="eastAsia"/>
          <w:color w:val="231F20"/>
        </w:rPr>
        <w:t>过去主义希望一切都是“已然”。</w:t>
      </w:r>
    </w:p>
    <w:p w14:paraId="633B61DF">
      <w:pPr>
        <w:pStyle w:val="9"/>
        <w:spacing w:after="0" w:line="249" w:lineRule="auto"/>
        <w:rPr>
          <w:rFonts w:hint="eastAsia"/>
          <w:color w:val="231F20"/>
        </w:rPr>
      </w:pPr>
    </w:p>
    <w:p w14:paraId="751FCFD7">
      <w:pPr>
        <w:pStyle w:val="9"/>
        <w:spacing w:after="0" w:line="249" w:lineRule="auto"/>
        <w:rPr>
          <w:rFonts w:hint="eastAsia"/>
          <w:color w:val="231F20"/>
        </w:rPr>
      </w:pPr>
      <w:r>
        <w:rPr>
          <w:rFonts w:hint="eastAsia"/>
          <w:color w:val="231F20"/>
        </w:rPr>
        <w:t>Both hold a part to be the whole.1</w:t>
      </w:r>
    </w:p>
    <w:p w14:paraId="5127A1CE">
      <w:pPr>
        <w:pStyle w:val="9"/>
        <w:spacing w:after="0" w:line="249" w:lineRule="auto"/>
        <w:rPr>
          <w:rFonts w:hint="eastAsia"/>
          <w:color w:val="231F20"/>
        </w:rPr>
      </w:pPr>
      <w:r>
        <w:rPr>
          <w:rFonts w:hint="eastAsia"/>
          <w:color w:val="231F20"/>
        </w:rPr>
        <w:t>双方都把部分当作整体。1</w:t>
      </w:r>
    </w:p>
    <w:p w14:paraId="7450B974">
      <w:pPr>
        <w:pStyle w:val="9"/>
        <w:spacing w:after="0" w:line="249" w:lineRule="auto"/>
        <w:rPr>
          <w:rFonts w:hint="eastAsia"/>
          <w:color w:val="231F20"/>
        </w:rPr>
      </w:pPr>
    </w:p>
    <w:p w14:paraId="78D8625F">
      <w:pPr>
        <w:pStyle w:val="9"/>
        <w:spacing w:after="0" w:line="249" w:lineRule="auto"/>
        <w:rPr>
          <w:rFonts w:hint="eastAsia"/>
          <w:color w:val="231F20"/>
        </w:rPr>
      </w:pPr>
      <w:r>
        <w:rPr>
          <w:rFonts w:hint="eastAsia"/>
          <w:color w:val="231F20"/>
        </w:rPr>
        <w:t>View of the Revelation</w:t>
      </w:r>
    </w:p>
    <w:p w14:paraId="45572949">
      <w:pPr>
        <w:pStyle w:val="9"/>
        <w:spacing w:after="0" w:line="249" w:lineRule="auto"/>
        <w:rPr>
          <w:rFonts w:hint="eastAsia"/>
          <w:color w:val="231F20"/>
        </w:rPr>
      </w:pPr>
      <w:r>
        <w:rPr>
          <w:rFonts w:hint="eastAsia"/>
          <w:color w:val="231F20"/>
        </w:rPr>
        <w:t>对启示录的看法</w:t>
      </w:r>
    </w:p>
    <w:p w14:paraId="3D4D0421">
      <w:pPr>
        <w:pStyle w:val="9"/>
        <w:spacing w:after="0" w:line="249" w:lineRule="auto"/>
        <w:rPr>
          <w:rFonts w:hint="eastAsia"/>
          <w:color w:val="231F20"/>
        </w:rPr>
      </w:pPr>
    </w:p>
    <w:p w14:paraId="7E8C0A00">
      <w:pPr>
        <w:pStyle w:val="9"/>
        <w:spacing w:after="0" w:line="249" w:lineRule="auto"/>
        <w:rPr>
          <w:rFonts w:hint="eastAsia"/>
          <w:color w:val="231F20"/>
        </w:rPr>
      </w:pPr>
      <w:r>
        <w:rPr>
          <w:rFonts w:hint="eastAsia"/>
          <w:color w:val="231F20"/>
        </w:rPr>
        <w:t>Astonishingly, FP’s declare that the Revelation in its entirety was fulfilled just prior to, in, or immediately following 70 AD.</w:t>
      </w:r>
    </w:p>
    <w:p w14:paraId="22247E5D">
      <w:pPr>
        <w:pStyle w:val="9"/>
        <w:spacing w:after="0" w:line="249" w:lineRule="auto"/>
        <w:rPr>
          <w:rFonts w:hint="eastAsia"/>
          <w:color w:val="231F20"/>
        </w:rPr>
      </w:pPr>
      <w:r>
        <w:rPr>
          <w:rFonts w:hint="eastAsia"/>
          <w:color w:val="231F20"/>
        </w:rPr>
        <w:t>令人惊讶的是，完全过去主义者宣称，整本启示录在公元70年之前、之中或之后不久就完全应验了。</w:t>
      </w:r>
    </w:p>
    <w:p w14:paraId="0BDE3FD0">
      <w:pPr>
        <w:pStyle w:val="9"/>
        <w:spacing w:after="0" w:line="249" w:lineRule="auto"/>
        <w:rPr>
          <w:rFonts w:hint="eastAsia"/>
          <w:color w:val="231F20"/>
        </w:rPr>
      </w:pPr>
    </w:p>
    <w:p w14:paraId="4A9876D5">
      <w:pPr>
        <w:pStyle w:val="9"/>
        <w:spacing w:after="0" w:line="249" w:lineRule="auto"/>
        <w:rPr>
          <w:rFonts w:hint="eastAsia"/>
          <w:color w:val="231F20"/>
        </w:rPr>
      </w:pPr>
      <w:r>
        <w:rPr>
          <w:rFonts w:hint="eastAsia"/>
          <w:color w:val="231F20"/>
        </w:rPr>
        <w:t>Its focus is not upon the supernatural Coming of Christ at the end of the present evil age, but upon the providential coming of Christ against Jerusalem during the Jewish War (AD 66-70).</w:t>
      </w:r>
    </w:p>
    <w:p w14:paraId="681DE1B3">
      <w:pPr>
        <w:pStyle w:val="9"/>
        <w:spacing w:after="0" w:line="249" w:lineRule="auto"/>
        <w:rPr>
          <w:rFonts w:hint="eastAsia"/>
          <w:color w:val="231F20"/>
        </w:rPr>
      </w:pPr>
      <w:r>
        <w:rPr>
          <w:rFonts w:hint="eastAsia"/>
          <w:color w:val="231F20"/>
        </w:rPr>
        <w:t>其焦点并非基督在现今邪恶世代结束时的超自然降临，而是基督在犹太战争期间（公元66-70年）以护理的方式临到耶路撒冷。</w:t>
      </w:r>
    </w:p>
    <w:p w14:paraId="3CB73545">
      <w:pPr>
        <w:pStyle w:val="9"/>
        <w:spacing w:after="0" w:line="249" w:lineRule="auto"/>
        <w:rPr>
          <w:rFonts w:hint="eastAsia"/>
          <w:color w:val="231F20"/>
        </w:rPr>
      </w:pPr>
    </w:p>
    <w:p w14:paraId="3A2BDEBA">
      <w:pPr>
        <w:pStyle w:val="9"/>
        <w:spacing w:after="0" w:line="249" w:lineRule="auto"/>
        <w:rPr>
          <w:rFonts w:hint="eastAsia"/>
          <w:color w:val="231F20"/>
        </w:rPr>
      </w:pPr>
      <w:r>
        <w:rPr>
          <w:rFonts w:hint="eastAsia"/>
          <w:color w:val="231F20"/>
        </w:rPr>
        <w:t>On this view, chapters 1-3 give us Christ’s message to the Asian churches, messages designed to prepare them for “the end.”</w:t>
      </w:r>
    </w:p>
    <w:p w14:paraId="2C922101">
      <w:pPr>
        <w:pStyle w:val="9"/>
        <w:spacing w:after="0" w:line="249" w:lineRule="auto"/>
        <w:rPr>
          <w:rFonts w:hint="eastAsia"/>
          <w:color w:val="231F20"/>
        </w:rPr>
      </w:pPr>
      <w:r>
        <w:rPr>
          <w:rFonts w:hint="eastAsia"/>
          <w:color w:val="231F20"/>
        </w:rPr>
        <w:t>根据这种观点，第1-3章给了我们基督给亚细亚众教会的信息，这些信息旨在预备他们迎接“末日”。</w:t>
      </w:r>
    </w:p>
    <w:p w14:paraId="68025D31">
      <w:pPr>
        <w:pStyle w:val="9"/>
        <w:spacing w:after="0" w:line="249" w:lineRule="auto"/>
        <w:rPr>
          <w:rFonts w:hint="eastAsia"/>
          <w:color w:val="231F20"/>
        </w:rPr>
      </w:pPr>
    </w:p>
    <w:p w14:paraId="75AD90D5">
      <w:pPr>
        <w:pStyle w:val="9"/>
        <w:spacing w:after="0" w:line="249" w:lineRule="auto"/>
        <w:rPr>
          <w:rFonts w:hint="eastAsia"/>
          <w:color w:val="231F20"/>
        </w:rPr>
      </w:pPr>
      <w:r>
        <w:rPr>
          <w:rFonts w:hint="eastAsia"/>
          <w:color w:val="231F20"/>
        </w:rPr>
        <w:t>Chapters 4-5 give us God and the High King of Heaven, also preparing the saints for “the end.”</w:t>
      </w:r>
    </w:p>
    <w:p w14:paraId="207ACCB8">
      <w:pPr>
        <w:pStyle w:val="9"/>
        <w:spacing w:after="0" w:line="249" w:lineRule="auto"/>
        <w:rPr>
          <w:rFonts w:hint="eastAsia"/>
          <w:color w:val="231F20"/>
        </w:rPr>
      </w:pPr>
      <w:r>
        <w:rPr>
          <w:rFonts w:hint="eastAsia"/>
          <w:color w:val="231F20"/>
        </w:rPr>
        <w:t>第4-5章向我们展示了神和天上的至高君王，也为圣徒们预备迎接“末日”。</w:t>
      </w:r>
    </w:p>
    <w:p w14:paraId="6697A7A2">
      <w:pPr>
        <w:pStyle w:val="9"/>
        <w:spacing w:after="0" w:line="249" w:lineRule="auto"/>
        <w:rPr>
          <w:rFonts w:hint="eastAsia"/>
          <w:color w:val="231F20"/>
        </w:rPr>
      </w:pPr>
    </w:p>
    <w:p w14:paraId="7288D807">
      <w:pPr>
        <w:pStyle w:val="9"/>
        <w:spacing w:after="0" w:line="249" w:lineRule="auto"/>
        <w:rPr>
          <w:rFonts w:hint="eastAsia"/>
          <w:color w:val="231F20"/>
        </w:rPr>
      </w:pPr>
      <w:r>
        <w:rPr>
          <w:rFonts w:hint="eastAsia"/>
          <w:color w:val="231F20"/>
        </w:rPr>
        <w:t>The vision of the six seals (Rev. 6) and the seven trumpets (Rev. 8-11) depict miscellaneous aspects of the judgment against Jerusalem.</w:t>
      </w:r>
    </w:p>
    <w:p w14:paraId="13D0CC7D">
      <w:pPr>
        <w:pStyle w:val="9"/>
        <w:spacing w:after="0" w:line="249" w:lineRule="auto"/>
        <w:rPr>
          <w:rFonts w:hint="eastAsia"/>
          <w:color w:val="231F20"/>
        </w:rPr>
      </w:pPr>
      <w:r>
        <w:rPr>
          <w:rFonts w:hint="eastAsia"/>
          <w:color w:val="231F20"/>
        </w:rPr>
        <w:t>六印（启6）和七号（启8-11）的异象，描绘了对耶路撒冷审判的各个方面。</w:t>
      </w:r>
    </w:p>
    <w:p w14:paraId="34D079EA">
      <w:pPr>
        <w:pStyle w:val="9"/>
        <w:spacing w:after="0" w:line="249" w:lineRule="auto"/>
        <w:rPr>
          <w:rFonts w:hint="eastAsia"/>
          <w:color w:val="231F20"/>
        </w:rPr>
      </w:pPr>
    </w:p>
    <w:p w14:paraId="77A97C93">
      <w:pPr>
        <w:pStyle w:val="9"/>
        <w:spacing w:after="0" w:line="249" w:lineRule="auto"/>
        <w:rPr>
          <w:rFonts w:hint="eastAsia"/>
          <w:color w:val="231F20"/>
        </w:rPr>
      </w:pPr>
      <w:r>
        <w:rPr>
          <w:rFonts w:hint="eastAsia"/>
          <w:color w:val="231F20"/>
        </w:rPr>
        <w:t>So too do the seven bowl judgments of chapters 15-16.</w:t>
      </w:r>
    </w:p>
    <w:p w14:paraId="160D060B">
      <w:pPr>
        <w:pStyle w:val="9"/>
        <w:spacing w:after="0" w:line="249" w:lineRule="auto"/>
        <w:rPr>
          <w:rFonts w:hint="eastAsia"/>
          <w:color w:val="231F20"/>
        </w:rPr>
      </w:pPr>
      <w:r>
        <w:rPr>
          <w:rFonts w:hint="eastAsia"/>
          <w:color w:val="231F20"/>
        </w:rPr>
        <w:t>第15-16章的七碗审判也是如此。</w:t>
      </w:r>
    </w:p>
    <w:p w14:paraId="1E4E990C">
      <w:pPr>
        <w:pStyle w:val="9"/>
        <w:spacing w:after="0" w:line="249" w:lineRule="auto"/>
        <w:rPr>
          <w:rFonts w:hint="eastAsia"/>
          <w:color w:val="231F20"/>
        </w:rPr>
      </w:pPr>
    </w:p>
    <w:p w14:paraId="0E91EC22">
      <w:pPr>
        <w:pStyle w:val="9"/>
        <w:spacing w:after="0" w:line="249" w:lineRule="auto"/>
        <w:rPr>
          <w:rFonts w:hint="eastAsia"/>
          <w:color w:val="231F20"/>
        </w:rPr>
      </w:pPr>
      <w:r>
        <w:rPr>
          <w:rFonts w:hint="eastAsia"/>
          <w:color w:val="231F20"/>
        </w:rPr>
        <w:t>Rev. 7:1- 8 depicts God spiritually sealing the Christian Church, so that she might pass safely through the Jewish War.</w:t>
      </w:r>
    </w:p>
    <w:p w14:paraId="72A4A252">
      <w:pPr>
        <w:pStyle w:val="9"/>
        <w:spacing w:after="0" w:line="249" w:lineRule="auto"/>
        <w:rPr>
          <w:rFonts w:hint="eastAsia"/>
          <w:color w:val="231F20"/>
        </w:rPr>
      </w:pPr>
      <w:r>
        <w:rPr>
          <w:rFonts w:hint="eastAsia"/>
          <w:color w:val="231F20"/>
        </w:rPr>
        <w:t>启示录7:1-8描绘了神在属灵上印了基督教会，好让她能安全地度过犹太战争。</w:t>
      </w:r>
    </w:p>
    <w:p w14:paraId="22513CA4">
      <w:pPr>
        <w:pStyle w:val="9"/>
        <w:spacing w:after="0" w:line="249" w:lineRule="auto"/>
        <w:rPr>
          <w:rFonts w:hint="eastAsia"/>
          <w:color w:val="231F20"/>
        </w:rPr>
      </w:pPr>
    </w:p>
    <w:p w14:paraId="6D24AEBE">
      <w:pPr>
        <w:pStyle w:val="9"/>
        <w:spacing w:after="0" w:line="249" w:lineRule="auto"/>
        <w:rPr>
          <w:rFonts w:hint="eastAsia"/>
          <w:color w:val="231F20"/>
        </w:rPr>
      </w:pPr>
      <w:r>
        <w:rPr>
          <w:rFonts w:hint="eastAsia"/>
          <w:color w:val="231F20"/>
        </w:rPr>
        <w:t>Rev. 7:9-13 depicts her having done so, and now enjoying the blessings of heaven.</w:t>
      </w:r>
    </w:p>
    <w:p w14:paraId="45578726">
      <w:pPr>
        <w:pStyle w:val="9"/>
        <w:spacing w:after="0" w:line="249" w:lineRule="auto"/>
        <w:rPr>
          <w:rFonts w:hint="eastAsia"/>
          <w:color w:val="231F20"/>
        </w:rPr>
      </w:pPr>
      <w:r>
        <w:rPr>
          <w:rFonts w:hint="eastAsia"/>
          <w:color w:val="231F20"/>
        </w:rPr>
        <w:t>启示录7:9-13描绘了她已经做到了这一点，如今正在享受天上的祝福。</w:t>
      </w:r>
    </w:p>
    <w:p w14:paraId="5307E5D6">
      <w:pPr>
        <w:pStyle w:val="9"/>
        <w:spacing w:after="0" w:line="249" w:lineRule="auto"/>
        <w:rPr>
          <w:rFonts w:hint="eastAsia"/>
          <w:color w:val="231F20"/>
        </w:rPr>
      </w:pPr>
    </w:p>
    <w:p w14:paraId="120A7D84">
      <w:pPr>
        <w:pStyle w:val="9"/>
        <w:spacing w:after="0" w:line="249" w:lineRule="auto"/>
        <w:rPr>
          <w:rFonts w:hint="eastAsia"/>
          <w:color w:val="231F20"/>
        </w:rPr>
      </w:pPr>
      <w:r>
        <w:rPr>
          <w:rFonts w:hint="eastAsia"/>
          <w:color w:val="231F20"/>
        </w:rPr>
        <w:t>Chapters 12-14 gird up the Church for Jewish and Roman persecution at the hands of the Beast (Nero/Rome) and the False Prophet (according to some preterists, the Roman governor of Jerusalem, Gessius Florus).</w:t>
      </w:r>
    </w:p>
    <w:p w14:paraId="296BF35A">
      <w:pPr>
        <w:pStyle w:val="9"/>
        <w:spacing w:after="0" w:line="249" w:lineRule="auto"/>
        <w:rPr>
          <w:rFonts w:hint="eastAsia"/>
          <w:color w:val="231F20"/>
        </w:rPr>
      </w:pPr>
      <w:r>
        <w:rPr>
          <w:rFonts w:hint="eastAsia"/>
          <w:color w:val="231F20"/>
        </w:rPr>
        <w:t>第12-14章装备教会，以应对来自兽（尼禄/罗马）和假先知（根据一些过去主义者的说法，是耶路撒冷的罗马总督Gessius Florus）的犹太人和罗马人的迫害。</w:t>
      </w:r>
    </w:p>
    <w:p w14:paraId="1C7607F2">
      <w:pPr>
        <w:pStyle w:val="9"/>
        <w:spacing w:after="0" w:line="249" w:lineRule="auto"/>
        <w:rPr>
          <w:rFonts w:hint="eastAsia"/>
          <w:color w:val="231F20"/>
        </w:rPr>
      </w:pPr>
    </w:p>
    <w:p w14:paraId="6C137652">
      <w:pPr>
        <w:pStyle w:val="9"/>
        <w:spacing w:after="0" w:line="249" w:lineRule="auto"/>
        <w:rPr>
          <w:rFonts w:hint="eastAsia"/>
          <w:color w:val="231F20"/>
        </w:rPr>
      </w:pPr>
      <w:r>
        <w:rPr>
          <w:rFonts w:hint="eastAsia"/>
          <w:color w:val="231F20"/>
        </w:rPr>
        <w:t>Chapters 17-19 give us the fall of the Harlot (Jerusalem), who wickedly consorts with the Beast (Rome).</w:t>
      </w:r>
    </w:p>
    <w:p w14:paraId="63F08008">
      <w:pPr>
        <w:pStyle w:val="9"/>
        <w:spacing w:after="0" w:line="249" w:lineRule="auto"/>
        <w:rPr>
          <w:rFonts w:hint="eastAsia"/>
          <w:color w:val="231F20"/>
        </w:rPr>
      </w:pPr>
      <w:r>
        <w:rPr>
          <w:rFonts w:hint="eastAsia"/>
          <w:color w:val="231F20"/>
        </w:rPr>
        <w:t>第17-19章向我们展示了淫妇（耶路撒冷）的倾倒，她邪恶地与兽（罗马）为伍。</w:t>
      </w:r>
    </w:p>
    <w:p w14:paraId="63AF998F">
      <w:pPr>
        <w:pStyle w:val="9"/>
        <w:spacing w:after="0" w:line="249" w:lineRule="auto"/>
        <w:rPr>
          <w:rFonts w:hint="eastAsia"/>
          <w:color w:val="231F20"/>
        </w:rPr>
      </w:pPr>
    </w:p>
    <w:p w14:paraId="53D57E55">
      <w:pPr>
        <w:pStyle w:val="9"/>
        <w:spacing w:after="0" w:line="249" w:lineRule="auto"/>
        <w:rPr>
          <w:rFonts w:hint="eastAsia"/>
          <w:color w:val="231F20"/>
        </w:rPr>
      </w:pPr>
      <w:r>
        <w:rPr>
          <w:rFonts w:hint="eastAsia"/>
          <w:color w:val="231F20"/>
        </w:rPr>
        <w:t>Chapter 20 symbolizes the spiritual “reign” of the saints on earth, through their faith in Christ, during the years between Pentecost and 70 AD.</w:t>
      </w:r>
    </w:p>
    <w:p w14:paraId="40666987">
      <w:pPr>
        <w:pStyle w:val="9"/>
        <w:spacing w:after="0" w:line="249" w:lineRule="auto"/>
        <w:rPr>
          <w:rFonts w:hint="eastAsia"/>
          <w:color w:val="231F20"/>
        </w:rPr>
      </w:pPr>
      <w:r>
        <w:rPr>
          <w:rFonts w:hint="eastAsia"/>
          <w:color w:val="231F20"/>
        </w:rPr>
        <w:t>第20章象征着圣徒在五旬节至公元70年间，通过对基督的信心，在地上属灵的“掌权”。</w:t>
      </w:r>
    </w:p>
    <w:p w14:paraId="3B54C9E4">
      <w:pPr>
        <w:pStyle w:val="9"/>
        <w:spacing w:after="0" w:line="249" w:lineRule="auto"/>
        <w:rPr>
          <w:rFonts w:hint="eastAsia"/>
          <w:color w:val="231F20"/>
        </w:rPr>
      </w:pPr>
    </w:p>
    <w:p w14:paraId="3C119DCD">
      <w:pPr>
        <w:pStyle w:val="9"/>
        <w:spacing w:after="0" w:line="249" w:lineRule="auto"/>
        <w:rPr>
          <w:rFonts w:hint="eastAsia"/>
          <w:color w:val="231F20"/>
        </w:rPr>
      </w:pPr>
      <w:r>
        <w:rPr>
          <w:rFonts w:hint="eastAsia"/>
          <w:color w:val="231F20"/>
        </w:rPr>
        <w:t>Chapters 21-22 use earthly language to symbolize the glories of heaven.</w:t>
      </w:r>
    </w:p>
    <w:p w14:paraId="2E9673CC">
      <w:pPr>
        <w:pStyle w:val="9"/>
        <w:spacing w:after="0" w:line="249" w:lineRule="auto"/>
        <w:rPr>
          <w:rFonts w:hint="eastAsia"/>
          <w:color w:val="231F20"/>
        </w:rPr>
      </w:pPr>
      <w:r>
        <w:rPr>
          <w:rFonts w:hint="eastAsia"/>
          <w:color w:val="231F20"/>
        </w:rPr>
        <w:t>第21-22章使用属地的语言来象征天上的荣耀。</w:t>
      </w:r>
    </w:p>
    <w:p w14:paraId="4847F6E4">
      <w:pPr>
        <w:pStyle w:val="9"/>
        <w:spacing w:after="0" w:line="249" w:lineRule="auto"/>
        <w:rPr>
          <w:rFonts w:hint="eastAsia"/>
          <w:color w:val="231F20"/>
        </w:rPr>
      </w:pPr>
    </w:p>
    <w:p w14:paraId="3C23E07A">
      <w:pPr>
        <w:pStyle w:val="9"/>
        <w:spacing w:after="0" w:line="249" w:lineRule="auto"/>
        <w:rPr>
          <w:rFonts w:hint="eastAsia"/>
          <w:color w:val="231F20"/>
        </w:rPr>
      </w:pPr>
      <w:r>
        <w:rPr>
          <w:rFonts w:hint="eastAsia"/>
          <w:color w:val="231F20"/>
        </w:rPr>
        <w:t>We have seen, however, that for a great many reasons, this line of interpretation is untenable.</w:t>
      </w:r>
    </w:p>
    <w:p w14:paraId="449509B7">
      <w:pPr>
        <w:pStyle w:val="9"/>
        <w:spacing w:after="0" w:line="249" w:lineRule="auto"/>
        <w:rPr>
          <w:rFonts w:hint="eastAsia"/>
          <w:color w:val="231F20"/>
        </w:rPr>
      </w:pPr>
      <w:r>
        <w:rPr>
          <w:rFonts w:hint="eastAsia"/>
          <w:color w:val="231F20"/>
        </w:rPr>
        <w:t>然而，我们已经看到，基于许多原因，这种解释路线是站不住脚的。</w:t>
      </w:r>
    </w:p>
    <w:p w14:paraId="6BAE38B1">
      <w:pPr>
        <w:pStyle w:val="9"/>
        <w:spacing w:after="0" w:line="249" w:lineRule="auto"/>
        <w:rPr>
          <w:rFonts w:hint="eastAsia"/>
          <w:color w:val="231F20"/>
        </w:rPr>
      </w:pPr>
    </w:p>
    <w:p w14:paraId="0313E148">
      <w:pPr>
        <w:pStyle w:val="9"/>
        <w:spacing w:after="0" w:line="249" w:lineRule="auto"/>
        <w:rPr>
          <w:rFonts w:hint="eastAsia"/>
          <w:color w:val="231F20"/>
        </w:rPr>
      </w:pPr>
      <w:r>
        <w:rPr>
          <w:rFonts w:hint="eastAsia"/>
          <w:color w:val="231F20"/>
        </w:rPr>
        <w:t>First, the vast majority of scholars agree that the Revelation was written around 95 AD.</w:t>
      </w:r>
    </w:p>
    <w:p w14:paraId="46BB43BB">
      <w:pPr>
        <w:pStyle w:val="9"/>
        <w:spacing w:after="0" w:line="249" w:lineRule="auto"/>
        <w:rPr>
          <w:rFonts w:hint="eastAsia"/>
          <w:color w:val="231F20"/>
        </w:rPr>
      </w:pPr>
      <w:r>
        <w:rPr>
          <w:rFonts w:hint="eastAsia"/>
          <w:color w:val="231F20"/>
        </w:rPr>
        <w:t>首先，绝大多数学者都同意启示录大约写于公元95年。</w:t>
      </w:r>
    </w:p>
    <w:p w14:paraId="205E5501">
      <w:pPr>
        <w:pStyle w:val="9"/>
        <w:spacing w:after="0" w:line="249" w:lineRule="auto"/>
        <w:rPr>
          <w:rFonts w:hint="eastAsia"/>
          <w:color w:val="231F20"/>
        </w:rPr>
      </w:pPr>
    </w:p>
    <w:p w14:paraId="3C66353D">
      <w:pPr>
        <w:pStyle w:val="9"/>
        <w:spacing w:after="0" w:line="249" w:lineRule="auto"/>
        <w:rPr>
          <w:rFonts w:hint="eastAsia"/>
          <w:color w:val="231F20"/>
        </w:rPr>
      </w:pPr>
      <w:r>
        <w:rPr>
          <w:rFonts w:hint="eastAsia"/>
          <w:color w:val="231F20"/>
        </w:rPr>
        <w:t>If so, it is obvious that the entire preterist thesis is overthrown.</w:t>
      </w:r>
    </w:p>
    <w:p w14:paraId="24E1D41A">
      <w:pPr>
        <w:pStyle w:val="9"/>
        <w:spacing w:after="0" w:line="249" w:lineRule="auto"/>
        <w:rPr>
          <w:rFonts w:hint="eastAsia"/>
          <w:color w:val="231F20"/>
        </w:rPr>
      </w:pPr>
      <w:r>
        <w:rPr>
          <w:rFonts w:hint="eastAsia"/>
          <w:color w:val="231F20"/>
        </w:rPr>
        <w:t>如果是这样，那么整个过去主义的论点显然就被推翻了。</w:t>
      </w:r>
    </w:p>
    <w:p w14:paraId="09E7035E">
      <w:pPr>
        <w:pStyle w:val="9"/>
        <w:spacing w:after="0" w:line="249" w:lineRule="auto"/>
        <w:rPr>
          <w:rFonts w:hint="eastAsia"/>
          <w:color w:val="231F20"/>
        </w:rPr>
      </w:pPr>
    </w:p>
    <w:p w14:paraId="15FC9E3D">
      <w:pPr>
        <w:pStyle w:val="9"/>
        <w:spacing w:after="0" w:line="249" w:lineRule="auto"/>
        <w:rPr>
          <w:rFonts w:hint="eastAsia"/>
          <w:color w:val="231F20"/>
        </w:rPr>
      </w:pPr>
      <w:r>
        <w:rPr>
          <w:rFonts w:hint="eastAsia"/>
          <w:color w:val="231F20"/>
        </w:rPr>
        <w:t>Secondly, this view runs counter to the prophetic purpose of the book, which is to edify, exhort, and encourage Christ’s Church of all generations, especially by keeping before her eyes (and not behind her back) the rigors of the Great Tribulation, the sobering inevitability of the Last Battle, the comforting assurance of spiritual life in heaven during the Intermediate State, and the Blessed Hope of Christ’s return in glory in order to consummate all things.</w:t>
      </w:r>
    </w:p>
    <w:p w14:paraId="2FA51ADE">
      <w:pPr>
        <w:pStyle w:val="9"/>
        <w:spacing w:after="0" w:line="249" w:lineRule="auto"/>
        <w:rPr>
          <w:rFonts w:hint="eastAsia"/>
          <w:color w:val="231F20"/>
        </w:rPr>
      </w:pPr>
      <w:r>
        <w:rPr>
          <w:rFonts w:hint="eastAsia"/>
          <w:color w:val="231F20"/>
        </w:rPr>
        <w:t>其次，这种观点与本书的预言性目的相悖，即造就、劝勉和鼓励历代基督的教会，特别是通过将大灾难的严酷、最后争战那发人深省的必然性、居间状态在天上的属灵生命的安慰性保证，以及基督在荣耀中再来以终结万事这一有福的盼望，持续地摆在她的眼前（而不是抛在脑后）。</w:t>
      </w:r>
    </w:p>
    <w:p w14:paraId="2BFAFD7B">
      <w:pPr>
        <w:pStyle w:val="9"/>
        <w:spacing w:after="0" w:line="249" w:lineRule="auto"/>
        <w:rPr>
          <w:rFonts w:hint="eastAsia"/>
          <w:color w:val="231F20"/>
        </w:rPr>
      </w:pPr>
    </w:p>
    <w:p w14:paraId="0E380313">
      <w:pPr>
        <w:pStyle w:val="9"/>
        <w:spacing w:after="0" w:line="249" w:lineRule="auto"/>
        <w:rPr>
          <w:rFonts w:hint="eastAsia"/>
          <w:color w:val="231F20"/>
        </w:rPr>
      </w:pPr>
      <w:r>
        <w:rPr>
          <w:rFonts w:hint="eastAsia"/>
          <w:color w:val="231F20"/>
        </w:rPr>
        <w:t>In short, FP turns the Revelation into a practical irrelevancy for the vast majority of Christians, thereby demonstrating its own falsehood.</w:t>
      </w:r>
    </w:p>
    <w:p w14:paraId="419758CB">
      <w:pPr>
        <w:pStyle w:val="9"/>
        <w:spacing w:after="0" w:line="249" w:lineRule="auto"/>
        <w:rPr>
          <w:rFonts w:hint="eastAsia"/>
          <w:color w:val="231F20"/>
        </w:rPr>
      </w:pPr>
      <w:r>
        <w:rPr>
          <w:rFonts w:hint="eastAsia"/>
          <w:color w:val="231F20"/>
        </w:rPr>
        <w:t>简而言之，完全过去主义使启示录对绝大多数基督徒而言变得毫无实际意义，从而证明了其自身的谬误。</w:t>
      </w:r>
    </w:p>
    <w:p w14:paraId="5D3FAB94">
      <w:pPr>
        <w:pStyle w:val="9"/>
        <w:spacing w:after="0" w:line="249" w:lineRule="auto"/>
        <w:rPr>
          <w:rFonts w:hint="eastAsia"/>
          <w:color w:val="231F20"/>
        </w:rPr>
      </w:pPr>
    </w:p>
    <w:p w14:paraId="78A9768F">
      <w:pPr>
        <w:pStyle w:val="9"/>
        <w:spacing w:after="0" w:line="249" w:lineRule="auto"/>
        <w:rPr>
          <w:rFonts w:hint="eastAsia"/>
          <w:color w:val="231F20"/>
        </w:rPr>
      </w:pPr>
      <w:r>
        <w:rPr>
          <w:rFonts w:hint="eastAsia"/>
          <w:color w:val="231F20"/>
        </w:rPr>
        <w:t>Thirdly, while the preterist approach does indeed leave room for the idea of six visionary recapitulations of the inter-adventual era (Rev. 6-20), it mistakenly substitutes 70 AD for the end of that era.</w:t>
      </w:r>
    </w:p>
    <w:p w14:paraId="333C937D">
      <w:pPr>
        <w:pStyle w:val="9"/>
        <w:spacing w:after="0" w:line="249" w:lineRule="auto"/>
        <w:rPr>
          <w:rFonts w:hint="eastAsia"/>
          <w:color w:val="231F20"/>
        </w:rPr>
      </w:pPr>
      <w:r>
        <w:rPr>
          <w:rFonts w:hint="eastAsia"/>
          <w:color w:val="231F20"/>
        </w:rPr>
        <w:t>第三，虽然过去主义的方法确实为两次降临之间时代（启6-20）的六次异象性重述留下了空间，但它错误地用公元70年取代了那个时代的终结。</w:t>
      </w:r>
    </w:p>
    <w:p w14:paraId="07D1271C">
      <w:pPr>
        <w:pStyle w:val="9"/>
        <w:spacing w:after="0" w:line="249" w:lineRule="auto"/>
        <w:rPr>
          <w:rFonts w:hint="eastAsia"/>
          <w:color w:val="231F20"/>
        </w:rPr>
      </w:pPr>
    </w:p>
    <w:p w14:paraId="3A540DF8">
      <w:pPr>
        <w:pStyle w:val="9"/>
        <w:spacing w:after="0" w:line="249" w:lineRule="auto"/>
        <w:rPr>
          <w:rFonts w:hint="eastAsia"/>
          <w:color w:val="231F20"/>
        </w:rPr>
      </w:pPr>
      <w:r>
        <w:rPr>
          <w:rFonts w:hint="eastAsia"/>
          <w:color w:val="231F20"/>
        </w:rPr>
        <w:t>As a result, it grievously misconstrues much of the rich symbolism of the book, eclipses the glory of Christ at his Coming, and robs the Church not only of much- needed encouragement, but also of her Blessed Hope itself.</w:t>
      </w:r>
    </w:p>
    <w:p w14:paraId="75F6F7B7">
      <w:pPr>
        <w:pStyle w:val="9"/>
        <w:spacing w:after="0" w:line="249" w:lineRule="auto"/>
        <w:rPr>
          <w:rFonts w:hint="eastAsia"/>
          <w:color w:val="231F20"/>
        </w:rPr>
      </w:pPr>
      <w:r>
        <w:rPr>
          <w:rFonts w:hint="eastAsia"/>
          <w:color w:val="231F20"/>
        </w:rPr>
        <w:t>结果，它严重地误解了本书中丰富的象征意义，遮蔽了基督在祂降临时荣耀，并不仅剥夺了教会急需的鼓励，也剥夺了她有福的盼望本身。</w:t>
      </w:r>
    </w:p>
    <w:p w14:paraId="30D51E95">
      <w:pPr>
        <w:pStyle w:val="9"/>
        <w:spacing w:after="0" w:line="249" w:lineRule="auto"/>
        <w:rPr>
          <w:rFonts w:hint="eastAsia"/>
          <w:color w:val="231F20"/>
        </w:rPr>
      </w:pPr>
    </w:p>
    <w:p w14:paraId="4FCFA9EB">
      <w:pPr>
        <w:pStyle w:val="9"/>
        <w:spacing w:after="0" w:line="249" w:lineRule="auto"/>
        <w:rPr>
          <w:rFonts w:hint="eastAsia"/>
          <w:color w:val="231F20"/>
        </w:rPr>
      </w:pPr>
      <w:r>
        <w:rPr>
          <w:rFonts w:hint="eastAsia"/>
          <w:color w:val="231F20"/>
        </w:rPr>
        <w:t>Fourthly, the full preterist interpretation beclouds—and even trivializes —the powerful symbolism of the Revelation.</w:t>
      </w:r>
    </w:p>
    <w:p w14:paraId="3E77DEB4">
      <w:pPr>
        <w:pStyle w:val="9"/>
        <w:spacing w:after="0" w:line="249" w:lineRule="auto"/>
        <w:rPr>
          <w:rFonts w:hint="eastAsia"/>
          <w:color w:val="231F20"/>
        </w:rPr>
      </w:pPr>
      <w:r>
        <w:rPr>
          <w:rFonts w:hint="eastAsia"/>
          <w:color w:val="231F20"/>
        </w:rPr>
        <w:t>第四，完全过去主义的解释模糊了——甚至轻视了——启示录中强有力的象征意义。</w:t>
      </w:r>
    </w:p>
    <w:p w14:paraId="243139FA">
      <w:pPr>
        <w:pStyle w:val="9"/>
        <w:spacing w:after="0" w:line="249" w:lineRule="auto"/>
        <w:rPr>
          <w:rFonts w:hint="eastAsia"/>
          <w:color w:val="231F20"/>
        </w:rPr>
      </w:pPr>
    </w:p>
    <w:p w14:paraId="00C61290">
      <w:pPr>
        <w:pStyle w:val="9"/>
        <w:spacing w:after="0" w:line="249" w:lineRule="auto"/>
        <w:rPr>
          <w:rFonts w:hint="eastAsia"/>
          <w:color w:val="231F20"/>
        </w:rPr>
      </w:pPr>
      <w:r>
        <w:rPr>
          <w:rFonts w:hint="eastAsia"/>
          <w:color w:val="231F20"/>
        </w:rPr>
        <w:t>We have seen, for example, that the seal, trumpet, and bowl judgments do not fall (exclusively) on Jerusalem or Rome, but upon the entire world system; that the Beast from the sea is not Nero, but the governmental face of the anti-christian world- system; that the Beast from the Land (also called the False Prophet) is not some Roman functionary, but the religious face of the anti-christian world system; that the harlot is not Jerusalem (though she did indeed play the harlot with Rome), but the cultural and economic face of the anti-christian world-system; that Babylon the Great is not Rome or Jerusalem, but the City of Man of all time, the fallen world-system as a whole; etc.</w:t>
      </w:r>
    </w:p>
    <w:p w14:paraId="40EF9FE7">
      <w:pPr>
        <w:pStyle w:val="9"/>
        <w:spacing w:after="0" w:line="249" w:lineRule="auto"/>
        <w:rPr>
          <w:rFonts w:hint="eastAsia"/>
          <w:color w:val="231F20"/>
        </w:rPr>
      </w:pPr>
      <w:r>
        <w:rPr>
          <w:rFonts w:hint="eastAsia"/>
          <w:color w:val="231F20"/>
        </w:rPr>
        <w:t>例如，我们已经看到，印、号和碗的审判并不仅仅落在耶路撒冷或罗马，而是落在整个世界体系上；海中上来的兽不是尼禄，而是敌基督世界体系的政权面貌；地中上来的兽（也称为假先知）不是某个罗马官员，而是敌基督世界体系的宗教面貌；淫妇不是耶路撒冷（虽然她确实与罗马行淫），而是敌基督世界体系的文化和经济面貌；大巴比伦不是罗马或耶路撒冷，而是历代以来的人类之城，是整个堕落的世界体系；等等。</w:t>
      </w:r>
    </w:p>
    <w:p w14:paraId="702E8038">
      <w:pPr>
        <w:pStyle w:val="9"/>
        <w:spacing w:after="0" w:line="249" w:lineRule="auto"/>
        <w:rPr>
          <w:rFonts w:hint="eastAsia"/>
          <w:color w:val="231F20"/>
        </w:rPr>
      </w:pPr>
    </w:p>
    <w:p w14:paraId="3146B6C2">
      <w:pPr>
        <w:pStyle w:val="9"/>
        <w:spacing w:after="0" w:line="249" w:lineRule="auto"/>
        <w:rPr>
          <w:rFonts w:hint="eastAsia"/>
          <w:color w:val="231F20"/>
        </w:rPr>
      </w:pPr>
      <w:r>
        <w:rPr>
          <w:rFonts w:hint="eastAsia"/>
          <w:color w:val="231F20"/>
        </w:rPr>
        <w:t>Certainly the preterist approach gives us valid historical applications of some of these symbols, but it by no means exhausts them, seeing that they are cosmic in scope, and therefore speak with fresh power to all generations of believers in Christ.</w:t>
      </w:r>
    </w:p>
    <w:p w14:paraId="5EF252DF">
      <w:pPr>
        <w:pStyle w:val="9"/>
        <w:spacing w:after="0" w:line="249" w:lineRule="auto"/>
        <w:rPr>
          <w:rFonts w:hint="eastAsia"/>
          <w:color w:val="231F20"/>
        </w:rPr>
      </w:pPr>
      <w:r>
        <w:rPr>
          <w:rFonts w:hint="eastAsia"/>
          <w:color w:val="231F20"/>
        </w:rPr>
        <w:t>当然，过去主义的方法为我们提供了一些这些象征的有效历史应用，但它绝没有穷尽它们，因为它们在范围上是宇宙性的，因此对历代基督的信徒都具有新鲜的能力。</w:t>
      </w:r>
    </w:p>
    <w:p w14:paraId="0D969972">
      <w:pPr>
        <w:pStyle w:val="9"/>
        <w:spacing w:after="0" w:line="249" w:lineRule="auto"/>
        <w:rPr>
          <w:rFonts w:hint="eastAsia"/>
          <w:color w:val="231F20"/>
        </w:rPr>
      </w:pPr>
    </w:p>
    <w:p w14:paraId="0E02A7FB">
      <w:pPr>
        <w:pStyle w:val="9"/>
        <w:spacing w:after="0" w:line="249" w:lineRule="auto"/>
        <w:rPr>
          <w:rFonts w:hint="eastAsia"/>
          <w:color w:val="231F20"/>
        </w:rPr>
      </w:pPr>
      <w:r>
        <w:rPr>
          <w:rFonts w:hint="eastAsia"/>
          <w:color w:val="231F20"/>
        </w:rPr>
        <w:t>This brings us to our final criticism, namely that FP altogether misses the cosmic scope and weightiness of the Revelation.</w:t>
      </w:r>
    </w:p>
    <w:p w14:paraId="716C0BC4">
      <w:pPr>
        <w:pStyle w:val="9"/>
        <w:spacing w:after="0" w:line="249" w:lineRule="auto"/>
        <w:rPr>
          <w:rFonts w:hint="eastAsia"/>
          <w:color w:val="231F20"/>
        </w:rPr>
      </w:pPr>
      <w:r>
        <w:rPr>
          <w:rFonts w:hint="eastAsia"/>
          <w:color w:val="231F20"/>
        </w:rPr>
        <w:t>这把我们带到了最后的批判，即完全过去主义完全忽略了启示录的宇宙性范围和重要性。</w:t>
      </w:r>
    </w:p>
    <w:p w14:paraId="5447923F">
      <w:pPr>
        <w:pStyle w:val="9"/>
        <w:spacing w:after="0" w:line="249" w:lineRule="auto"/>
        <w:rPr>
          <w:rFonts w:hint="eastAsia"/>
          <w:color w:val="231F20"/>
        </w:rPr>
      </w:pPr>
    </w:p>
    <w:p w14:paraId="1C23F263">
      <w:pPr>
        <w:pStyle w:val="9"/>
        <w:spacing w:after="0" w:line="249" w:lineRule="auto"/>
        <w:rPr>
          <w:rFonts w:hint="eastAsia"/>
          <w:color w:val="231F20"/>
        </w:rPr>
      </w:pPr>
      <w:r>
        <w:rPr>
          <w:rFonts w:hint="eastAsia"/>
          <w:color w:val="231F20"/>
        </w:rPr>
        <w:t>By making the Jewish War the locus of fulfillment for its expansive symbolism, it shrinks and shackles a majestic prophecy that is clearly meant to give us something far greater: a heaven’s eye view of the full sweep of Salvation History; serial depictions of the whole course of the whole universe, from the time of Christ’s first Coming to his Second, and beyond that into eternity future.</w:t>
      </w:r>
    </w:p>
    <w:p w14:paraId="66957AA0">
      <w:pPr>
        <w:pStyle w:val="9"/>
        <w:spacing w:after="0" w:line="249" w:lineRule="auto"/>
        <w:rPr>
          <w:rFonts w:hint="eastAsia"/>
          <w:color w:val="231F20"/>
        </w:rPr>
      </w:pPr>
      <w:r>
        <w:rPr>
          <w:rFonts w:hint="eastAsia"/>
          <w:color w:val="231F20"/>
        </w:rPr>
        <w:t>通过将犹太战争作为其广阔象征主义的应验之地，它缩小并束缚了一个宏伟的预言，而这个预言显然旨在给我们更伟大的东西：一个从天上视角看的救赎历史的全景；对整个宇宙从基督第一次降临到第二次降临，并超越到未来永恒的全过程的系列描绘。</w:t>
      </w:r>
    </w:p>
    <w:p w14:paraId="01940C00">
      <w:pPr>
        <w:pStyle w:val="9"/>
        <w:spacing w:after="0" w:line="249" w:lineRule="auto"/>
        <w:rPr>
          <w:rFonts w:hint="eastAsia"/>
          <w:color w:val="231F20"/>
        </w:rPr>
      </w:pPr>
    </w:p>
    <w:p w14:paraId="08E24183">
      <w:pPr>
        <w:pStyle w:val="9"/>
        <w:spacing w:after="0" w:line="249" w:lineRule="auto"/>
        <w:rPr>
          <w:rFonts w:hint="eastAsia"/>
          <w:color w:val="231F20"/>
        </w:rPr>
      </w:pPr>
      <w:r>
        <w:rPr>
          <w:rFonts w:hint="eastAsia"/>
          <w:color w:val="231F20"/>
        </w:rPr>
        <w:t>On this score, Robert Mounce therefore states the case well:</w:t>
      </w:r>
    </w:p>
    <w:p w14:paraId="65866578">
      <w:pPr>
        <w:pStyle w:val="9"/>
        <w:spacing w:after="0" w:line="249" w:lineRule="auto"/>
        <w:rPr>
          <w:rFonts w:hint="eastAsia"/>
          <w:color w:val="231F20"/>
        </w:rPr>
      </w:pPr>
      <w:r>
        <w:rPr>
          <w:rFonts w:hint="eastAsia"/>
          <w:color w:val="231F20"/>
        </w:rPr>
        <w:t>在这一点上，罗伯特·芒斯因此很好地阐述了情况：</w:t>
      </w:r>
    </w:p>
    <w:p w14:paraId="495FDF0B">
      <w:pPr>
        <w:pStyle w:val="9"/>
        <w:spacing w:after="0" w:line="249" w:lineRule="auto"/>
        <w:rPr>
          <w:rFonts w:hint="eastAsia"/>
          <w:color w:val="231F20"/>
        </w:rPr>
      </w:pPr>
    </w:p>
    <w:p w14:paraId="270F5DF6">
      <w:pPr>
        <w:pStyle w:val="9"/>
        <w:spacing w:after="0" w:line="249" w:lineRule="auto"/>
        <w:rPr>
          <w:rFonts w:hint="eastAsia"/>
          <w:color w:val="231F20"/>
        </w:rPr>
      </w:pPr>
      <w:r>
        <w:rPr>
          <w:rFonts w:hint="eastAsia"/>
          <w:color w:val="231F20"/>
        </w:rPr>
        <w:t>The major problem with the preterist position is that the decisive victory portrayed in the latter chapters of the Apocalypse (and in the earlier chapters as well) was never achieved.</w:t>
      </w:r>
    </w:p>
    <w:p w14:paraId="4E57A07F">
      <w:pPr>
        <w:pStyle w:val="9"/>
        <w:spacing w:after="0" w:line="249" w:lineRule="auto"/>
        <w:rPr>
          <w:rFonts w:hint="eastAsia"/>
          <w:color w:val="231F20"/>
        </w:rPr>
      </w:pPr>
      <w:r>
        <w:rPr>
          <w:rFonts w:hint="eastAsia"/>
          <w:color w:val="231F20"/>
        </w:rPr>
        <w:t>过去主义立场的主要问题在于，启示录后半部分（以及前半部分）所描绘的决定性胜利从未实现。</w:t>
      </w:r>
    </w:p>
    <w:p w14:paraId="539315B6">
      <w:pPr>
        <w:pStyle w:val="9"/>
        <w:spacing w:after="0" w:line="249" w:lineRule="auto"/>
        <w:rPr>
          <w:rFonts w:hint="eastAsia"/>
          <w:color w:val="231F20"/>
        </w:rPr>
      </w:pPr>
    </w:p>
    <w:p w14:paraId="29AABB13">
      <w:pPr>
        <w:pStyle w:val="9"/>
        <w:spacing w:after="0" w:line="249" w:lineRule="auto"/>
        <w:rPr>
          <w:rFonts w:hint="eastAsia"/>
          <w:color w:val="231F20"/>
        </w:rPr>
      </w:pPr>
      <w:r>
        <w:rPr>
          <w:rFonts w:hint="eastAsia"/>
          <w:color w:val="231F20"/>
        </w:rPr>
        <w:t>It is difficult to believe that John envisioned anything less than the complete overthrow of Satan, the final destruction of (all) evil, and the eternal reign of God.</w:t>
      </w:r>
    </w:p>
    <w:p w14:paraId="769DA071">
      <w:pPr>
        <w:pStyle w:val="9"/>
        <w:spacing w:after="0" w:line="249" w:lineRule="auto"/>
        <w:rPr>
          <w:rFonts w:hint="eastAsia"/>
          <w:color w:val="231F20"/>
        </w:rPr>
      </w:pPr>
      <w:r>
        <w:rPr>
          <w:rFonts w:hint="eastAsia"/>
          <w:color w:val="231F20"/>
        </w:rPr>
        <w:t>很难相信约翰所构想的会少于撒但的彻底倾覆、所有邪恶的最终毁灭以及神永恒的统治。</w:t>
      </w:r>
    </w:p>
    <w:p w14:paraId="22C41AC8">
      <w:pPr>
        <w:pStyle w:val="9"/>
        <w:spacing w:after="0" w:line="249" w:lineRule="auto"/>
        <w:rPr>
          <w:rFonts w:hint="eastAsia"/>
          <w:color w:val="231F20"/>
        </w:rPr>
      </w:pPr>
    </w:p>
    <w:p w14:paraId="34C8F276">
      <w:pPr>
        <w:pStyle w:val="9"/>
        <w:spacing w:after="0" w:line="249" w:lineRule="auto"/>
        <w:rPr>
          <w:rFonts w:hint="eastAsia"/>
          <w:color w:val="231F20"/>
        </w:rPr>
      </w:pPr>
      <w:r>
        <w:rPr>
          <w:rFonts w:hint="eastAsia"/>
          <w:color w:val="231F20"/>
        </w:rPr>
        <w:t>If this is not to be, then either the Seer was essentially wrong in the major thrust of his message, or his work was so helplessly ambiguous that its first recipients were all led astray.2</w:t>
      </w:r>
    </w:p>
    <w:p w14:paraId="50753028">
      <w:pPr>
        <w:pStyle w:val="9"/>
        <w:spacing w:after="0" w:line="249" w:lineRule="auto"/>
        <w:rPr>
          <w:rFonts w:hint="eastAsia"/>
          <w:color w:val="231F20"/>
        </w:rPr>
      </w:pPr>
      <w:r>
        <w:rPr>
          <w:rFonts w:hint="eastAsia"/>
          <w:color w:val="231F20"/>
        </w:rPr>
        <w:t>如果不是这样，那么要么先见在他信息的主要旨意上犯了根本性的错误，要么他的作品如此无助地模棱两可，以至于其最初的领受者都全被引入歧途了。2</w:t>
      </w:r>
    </w:p>
    <w:p w14:paraId="4F0160B4">
      <w:pPr>
        <w:pStyle w:val="9"/>
        <w:spacing w:after="0" w:line="249" w:lineRule="auto"/>
        <w:rPr>
          <w:rFonts w:hint="eastAsia"/>
          <w:color w:val="231F20"/>
        </w:rPr>
      </w:pPr>
    </w:p>
    <w:p w14:paraId="4F262FEA">
      <w:pPr>
        <w:pStyle w:val="9"/>
        <w:spacing w:after="0" w:line="249" w:lineRule="auto"/>
        <w:rPr>
          <w:rFonts w:hint="eastAsia"/>
          <w:color w:val="231F20"/>
        </w:rPr>
      </w:pPr>
      <w:r>
        <w:rPr>
          <w:rFonts w:hint="eastAsia"/>
          <w:color w:val="231F20"/>
        </w:rPr>
        <w:t>In a moment, I will offer some concluding remarks about FP.</w:t>
      </w:r>
    </w:p>
    <w:p w14:paraId="39904520">
      <w:pPr>
        <w:pStyle w:val="9"/>
        <w:spacing w:after="0" w:line="249" w:lineRule="auto"/>
        <w:rPr>
          <w:rFonts w:hint="eastAsia"/>
          <w:color w:val="231F20"/>
        </w:rPr>
      </w:pPr>
      <w:r>
        <w:rPr>
          <w:rFonts w:hint="eastAsia"/>
          <w:color w:val="231F20"/>
        </w:rPr>
        <w:t>稍后，我将对完全过去主义作一些总结性的评论。</w:t>
      </w:r>
    </w:p>
    <w:p w14:paraId="191D9E04">
      <w:pPr>
        <w:pStyle w:val="9"/>
        <w:spacing w:after="0" w:line="249" w:lineRule="auto"/>
        <w:rPr>
          <w:rFonts w:hint="eastAsia"/>
          <w:color w:val="231F20"/>
        </w:rPr>
      </w:pPr>
    </w:p>
    <w:p w14:paraId="1332BA0A">
      <w:pPr>
        <w:pStyle w:val="9"/>
        <w:spacing w:after="0" w:line="249" w:lineRule="auto"/>
        <w:rPr>
          <w:rFonts w:hint="eastAsia"/>
          <w:color w:val="231F20"/>
        </w:rPr>
      </w:pPr>
      <w:r>
        <w:rPr>
          <w:rFonts w:hint="eastAsia"/>
          <w:color w:val="231F20"/>
        </w:rPr>
        <w:t>But first, let us consider again its kissing cousin, Partial Preterism.</w:t>
      </w:r>
    </w:p>
    <w:p w14:paraId="449155DF">
      <w:pPr>
        <w:pStyle w:val="9"/>
        <w:spacing w:after="0" w:line="249" w:lineRule="auto"/>
        <w:sectPr>
          <w:pgSz w:w="12240" w:h="15840"/>
          <w:pgMar w:top="1380" w:right="1440" w:bottom="280" w:left="1440" w:header="720" w:footer="720" w:gutter="0"/>
          <w:cols w:space="720" w:num="1"/>
        </w:sectPr>
      </w:pPr>
      <w:r>
        <w:rPr>
          <w:rFonts w:hint="eastAsia"/>
          <w:color w:val="231F20"/>
        </w:rPr>
        <w:t>但首先，让我们再次思考一下它的近亲——部分过去主义。</w:t>
      </w:r>
    </w:p>
    <w:p w14:paraId="15FA3094">
      <w:pPr>
        <w:bidi w:val="0"/>
        <w:jc w:val="center"/>
        <w:rPr>
          <w:rFonts w:hint="eastAsia"/>
          <w:sz w:val="30"/>
          <w:szCs w:val="30"/>
        </w:rPr>
      </w:pPr>
      <w:r>
        <w:rPr>
          <w:rFonts w:hint="eastAsia"/>
          <w:sz w:val="30"/>
          <w:szCs w:val="30"/>
        </w:rPr>
        <w:t>Partial Preterism (PP)</w:t>
      </w:r>
    </w:p>
    <w:p w14:paraId="0F053F66">
      <w:pPr>
        <w:bidi w:val="0"/>
        <w:jc w:val="center"/>
        <w:rPr>
          <w:rFonts w:hint="eastAsia"/>
          <w:sz w:val="30"/>
          <w:szCs w:val="30"/>
        </w:rPr>
      </w:pPr>
      <w:r>
        <w:rPr>
          <w:rFonts w:hint="eastAsia"/>
          <w:sz w:val="30"/>
          <w:szCs w:val="30"/>
        </w:rPr>
        <w:t>部分过去主义（PP）</w:t>
      </w:r>
    </w:p>
    <w:p w14:paraId="4F0F4958">
      <w:pPr>
        <w:pStyle w:val="9"/>
        <w:spacing w:before="7"/>
        <w:ind w:left="0"/>
        <w:jc w:val="left"/>
        <w:rPr>
          <w:b/>
          <w:sz w:val="8"/>
        </w:rPr>
      </w:pPr>
      <w:r>
        <w:rPr>
          <w:b/>
          <w:sz w:val="8"/>
        </w:rPr>
        <w:drawing>
          <wp:anchor distT="0" distB="0" distL="0" distR="0" simplePos="0" relativeHeight="251670528" behindDoc="1" locked="0" layoutInCell="1" allowOverlap="1">
            <wp:simplePos x="0" y="0"/>
            <wp:positionH relativeFrom="page">
              <wp:posOffset>2332990</wp:posOffset>
            </wp:positionH>
            <wp:positionV relativeFrom="paragraph">
              <wp:posOffset>78105</wp:posOffset>
            </wp:positionV>
            <wp:extent cx="3119120" cy="1645920"/>
            <wp:effectExtent l="0" t="0" r="0" b="0"/>
            <wp:wrapTopAndBottom/>
            <wp:docPr id="120" name="Image 120"/>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41" cstate="print"/>
                    <a:stretch>
                      <a:fillRect/>
                    </a:stretch>
                  </pic:blipFill>
                  <pic:spPr>
                    <a:xfrm>
                      <a:off x="0" y="0"/>
                      <a:ext cx="3119183" cy="1645920"/>
                    </a:xfrm>
                    <a:prstGeom prst="rect">
                      <a:avLst/>
                    </a:prstGeom>
                  </pic:spPr>
                </pic:pic>
              </a:graphicData>
            </a:graphic>
          </wp:anchor>
        </w:drawing>
      </w:r>
    </w:p>
    <w:p w14:paraId="2FA5ADFD">
      <w:pPr>
        <w:pStyle w:val="9"/>
        <w:spacing w:before="63"/>
        <w:ind w:left="0"/>
        <w:jc w:val="left"/>
        <w:rPr>
          <w:b/>
          <w:sz w:val="33"/>
        </w:rPr>
      </w:pPr>
      <w:r>
        <w:drawing>
          <wp:inline distT="0" distB="0" distL="114300" distR="114300">
            <wp:extent cx="5942965" cy="3173730"/>
            <wp:effectExtent l="0" t="0" r="635" b="11430"/>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pic:cNvPicPr>
                  </pic:nvPicPr>
                  <pic:blipFill>
                    <a:blip r:embed="rId42"/>
                    <a:stretch>
                      <a:fillRect/>
                    </a:stretch>
                  </pic:blipFill>
                  <pic:spPr>
                    <a:xfrm>
                      <a:off x="0" y="0"/>
                      <a:ext cx="5942965" cy="3173730"/>
                    </a:xfrm>
                    <a:prstGeom prst="rect">
                      <a:avLst/>
                    </a:prstGeom>
                    <a:noFill/>
                    <a:ln>
                      <a:noFill/>
                    </a:ln>
                  </pic:spPr>
                </pic:pic>
              </a:graphicData>
            </a:graphic>
          </wp:inline>
        </w:drawing>
      </w:r>
    </w:p>
    <w:p w14:paraId="2BF751C3">
      <w:pPr>
        <w:bidi w:val="0"/>
        <w:rPr>
          <w:rFonts w:hint="eastAsia"/>
          <w:sz w:val="30"/>
          <w:szCs w:val="30"/>
        </w:rPr>
      </w:pPr>
      <w:bookmarkStart w:id="73" w:name="Appendix 5: Is the Modern State of Israe"/>
      <w:bookmarkEnd w:id="73"/>
      <w:bookmarkStart w:id="74" w:name="_bookmark203"/>
      <w:bookmarkEnd w:id="74"/>
    </w:p>
    <w:p w14:paraId="62202C83">
      <w:pPr>
        <w:bidi w:val="0"/>
        <w:rPr>
          <w:rFonts w:hint="eastAsia"/>
          <w:sz w:val="30"/>
          <w:szCs w:val="30"/>
        </w:rPr>
      </w:pPr>
      <w:r>
        <w:rPr>
          <w:rFonts w:hint="eastAsia"/>
          <w:sz w:val="30"/>
          <w:szCs w:val="30"/>
        </w:rPr>
        <w:t>Partial preterism (PP) is an inconsistent form of FP—blessedly so, since its very inconsistency keeps it within the pale of orthodoxy.</w:t>
      </w:r>
    </w:p>
    <w:p w14:paraId="6EA00A07">
      <w:pPr>
        <w:bidi w:val="0"/>
        <w:rPr>
          <w:rFonts w:hint="eastAsia"/>
          <w:sz w:val="30"/>
          <w:szCs w:val="30"/>
        </w:rPr>
      </w:pPr>
      <w:r>
        <w:rPr>
          <w:rFonts w:hint="eastAsia"/>
          <w:sz w:val="30"/>
          <w:szCs w:val="30"/>
        </w:rPr>
        <w:t>部分过去主义（PP）是完全过去主义（FP）的一种不一致的形式——谢天谢地，正是其不一致性使其保持在正统的范围内。</w:t>
      </w:r>
    </w:p>
    <w:p w14:paraId="70D62E8C">
      <w:pPr>
        <w:bidi w:val="0"/>
        <w:rPr>
          <w:rFonts w:hint="eastAsia"/>
          <w:sz w:val="30"/>
          <w:szCs w:val="30"/>
        </w:rPr>
      </w:pPr>
    </w:p>
    <w:p w14:paraId="4039CAF6">
      <w:pPr>
        <w:bidi w:val="0"/>
        <w:rPr>
          <w:rFonts w:hint="eastAsia"/>
          <w:sz w:val="30"/>
          <w:szCs w:val="30"/>
        </w:rPr>
      </w:pPr>
      <w:r>
        <w:rPr>
          <w:rFonts w:hint="eastAsia"/>
          <w:sz w:val="30"/>
          <w:szCs w:val="30"/>
        </w:rPr>
        <w:t>In what follows I will briefly explain where the two camps agree and disagree, where I think PP errs, and why this eschatology is indeed an inconsistent form of FP.</w:t>
      </w:r>
    </w:p>
    <w:p w14:paraId="202FB13A">
      <w:pPr>
        <w:bidi w:val="0"/>
        <w:rPr>
          <w:rFonts w:hint="eastAsia"/>
          <w:sz w:val="30"/>
          <w:szCs w:val="30"/>
        </w:rPr>
      </w:pPr>
      <w:r>
        <w:rPr>
          <w:rFonts w:hint="eastAsia"/>
          <w:sz w:val="30"/>
          <w:szCs w:val="30"/>
        </w:rPr>
        <w:t>在下文中，我将简要解释这两个阵营在哪些方面意见一致，哪些方面意见不一，我认为部分过去主义在哪些方面犯了错误，以及为何这种末世论确实是完全过去主义的一种不一致的形式。</w:t>
      </w:r>
    </w:p>
    <w:p w14:paraId="0AB9B6E2">
      <w:pPr>
        <w:bidi w:val="0"/>
        <w:rPr>
          <w:rFonts w:hint="eastAsia"/>
          <w:sz w:val="30"/>
          <w:szCs w:val="30"/>
        </w:rPr>
      </w:pPr>
    </w:p>
    <w:p w14:paraId="3A8BD59C">
      <w:pPr>
        <w:bidi w:val="0"/>
        <w:rPr>
          <w:rFonts w:hint="eastAsia"/>
          <w:sz w:val="30"/>
          <w:szCs w:val="30"/>
        </w:rPr>
      </w:pPr>
      <w:r>
        <w:rPr>
          <w:rFonts w:hint="eastAsia"/>
          <w:sz w:val="30"/>
          <w:szCs w:val="30"/>
        </w:rPr>
        <w:t>Above all, full and partial preterists agree in taking their eschatological stand on the Olivet Discourse (especially Matthew 24), and also in using a preterist hermeneutic to interpret it.</w:t>
      </w:r>
    </w:p>
    <w:p w14:paraId="7490FBA7">
      <w:pPr>
        <w:bidi w:val="0"/>
        <w:rPr>
          <w:rFonts w:hint="eastAsia"/>
          <w:sz w:val="30"/>
          <w:szCs w:val="30"/>
        </w:rPr>
      </w:pPr>
      <w:r>
        <w:rPr>
          <w:rFonts w:hint="eastAsia"/>
          <w:sz w:val="30"/>
          <w:szCs w:val="30"/>
        </w:rPr>
        <w:t>最重要的是，完全和部分过去主义者都同意将他们的末世论立场建立在橄榄山讲论（特别是马太福音第24章）之上，并且也使用过去主义的释经学来解释它。</w:t>
      </w:r>
    </w:p>
    <w:p w14:paraId="5A08CBE5">
      <w:pPr>
        <w:bidi w:val="0"/>
        <w:rPr>
          <w:rFonts w:hint="eastAsia"/>
          <w:sz w:val="30"/>
          <w:szCs w:val="30"/>
        </w:rPr>
      </w:pPr>
    </w:p>
    <w:p w14:paraId="7F8440E0">
      <w:pPr>
        <w:bidi w:val="0"/>
        <w:rPr>
          <w:rFonts w:hint="eastAsia"/>
          <w:sz w:val="30"/>
          <w:szCs w:val="30"/>
        </w:rPr>
      </w:pPr>
      <w:r>
        <w:rPr>
          <w:rFonts w:hint="eastAsia"/>
          <w:sz w:val="30"/>
          <w:szCs w:val="30"/>
        </w:rPr>
        <w:t>As a result, they generally agree that here Christ refers exclusively to the Jewish War and the destruction of Jerusalem in 70 AD; that “the last days” are the few remaining years of “this (Mosaic) age,” during which Jews may find pardon and new life through faith in Christ; that the (Jewish and Roman) world was fully evangelized during this time; that Nero (who initiated the Jewish War) was the Antichrist; that Titus’ banners, planted on the temple grounds, were the Abomination that Makes Desolate; and that the Great Tribulation was the three and a half year siege of Jerusalem, culminating in its destruction.</w:t>
      </w:r>
    </w:p>
    <w:p w14:paraId="0FF40BF0">
      <w:pPr>
        <w:bidi w:val="0"/>
        <w:rPr>
          <w:rFonts w:hint="eastAsia"/>
          <w:sz w:val="30"/>
          <w:szCs w:val="30"/>
        </w:rPr>
      </w:pPr>
      <w:r>
        <w:rPr>
          <w:rFonts w:hint="eastAsia"/>
          <w:sz w:val="30"/>
          <w:szCs w:val="30"/>
        </w:rPr>
        <w:t>因此，他们普遍同意，基督在这里专门指的是犹太战争和公元70年耶路撒冷的毁灭；“末后的日子”是“这个（摩西）时代”所剩无几的几年，在此期间，犹太人可以通过对基督的信心找到赦免和新生；（犹太和罗马）世界在这段时间里被完全福音化了；尼禄（他发动了犹太战争）是敌基督；提多的军旗插在圣殿的土地上，是那行毁坏可憎的；大灾难是耶路撒冷被围困的三年半，最终导致其毁灭。</w:t>
      </w:r>
    </w:p>
    <w:p w14:paraId="7E7B565F">
      <w:pPr>
        <w:bidi w:val="0"/>
        <w:rPr>
          <w:rFonts w:hint="eastAsia"/>
          <w:sz w:val="30"/>
          <w:szCs w:val="30"/>
        </w:rPr>
      </w:pPr>
    </w:p>
    <w:p w14:paraId="542FD62E">
      <w:pPr>
        <w:bidi w:val="0"/>
        <w:rPr>
          <w:rFonts w:hint="eastAsia"/>
          <w:sz w:val="30"/>
          <w:szCs w:val="30"/>
        </w:rPr>
      </w:pPr>
      <w:r>
        <w:rPr>
          <w:rFonts w:hint="eastAsia"/>
          <w:sz w:val="30"/>
          <w:szCs w:val="30"/>
        </w:rPr>
        <w:t>Also, the two camps agree that the great theme of Revelation 6-19 is the (providential) Judgment of Jerusalem, and not the Judgment of the whole world-system.</w:t>
      </w:r>
    </w:p>
    <w:p w14:paraId="4D993F71">
      <w:pPr>
        <w:bidi w:val="0"/>
        <w:rPr>
          <w:rFonts w:hint="eastAsia"/>
          <w:sz w:val="30"/>
          <w:szCs w:val="30"/>
        </w:rPr>
      </w:pPr>
      <w:r>
        <w:rPr>
          <w:rFonts w:hint="eastAsia"/>
          <w:sz w:val="30"/>
          <w:szCs w:val="30"/>
        </w:rPr>
        <w:t>此外，这两个阵营都同意，启示录第6-19章的宏大主题是（护理性的）对耶路撒冷的审判，而不是对整个世界体系的审判。</w:t>
      </w:r>
    </w:p>
    <w:p w14:paraId="02C36DA2">
      <w:pPr>
        <w:bidi w:val="0"/>
        <w:rPr>
          <w:rFonts w:hint="eastAsia"/>
          <w:sz w:val="30"/>
          <w:szCs w:val="30"/>
        </w:rPr>
      </w:pPr>
    </w:p>
    <w:p w14:paraId="17B338DE">
      <w:pPr>
        <w:bidi w:val="0"/>
        <w:rPr>
          <w:rFonts w:hint="eastAsia"/>
          <w:sz w:val="30"/>
          <w:szCs w:val="30"/>
        </w:rPr>
      </w:pPr>
      <w:r>
        <w:rPr>
          <w:rFonts w:hint="eastAsia"/>
          <w:sz w:val="30"/>
          <w:szCs w:val="30"/>
        </w:rPr>
        <w:t>In the body of this book and in the paragraphs above, I have addressed all these claims.</w:t>
      </w:r>
    </w:p>
    <w:p w14:paraId="0E566660">
      <w:pPr>
        <w:bidi w:val="0"/>
        <w:rPr>
          <w:rFonts w:hint="eastAsia"/>
          <w:sz w:val="30"/>
          <w:szCs w:val="30"/>
        </w:rPr>
      </w:pPr>
      <w:r>
        <w:rPr>
          <w:rFonts w:hint="eastAsia"/>
          <w:sz w:val="30"/>
          <w:szCs w:val="30"/>
        </w:rPr>
        <w:t>在本书正文和以上段落中，我已经论述了所有这些主张。</w:t>
      </w:r>
    </w:p>
    <w:p w14:paraId="710BB356">
      <w:pPr>
        <w:bidi w:val="0"/>
        <w:rPr>
          <w:rFonts w:hint="eastAsia"/>
          <w:sz w:val="30"/>
          <w:szCs w:val="30"/>
        </w:rPr>
      </w:pPr>
    </w:p>
    <w:p w14:paraId="38AD3F13">
      <w:pPr>
        <w:bidi w:val="0"/>
        <w:rPr>
          <w:rFonts w:hint="eastAsia"/>
          <w:sz w:val="30"/>
          <w:szCs w:val="30"/>
        </w:rPr>
      </w:pPr>
      <w:r>
        <w:rPr>
          <w:rFonts w:hint="eastAsia"/>
          <w:sz w:val="30"/>
          <w:szCs w:val="30"/>
        </w:rPr>
        <w:t>PP does not agree, however, that the Parousia, the Resurrection, the Last Judgment, and the transformation of the cosmos have already occurred.</w:t>
      </w:r>
    </w:p>
    <w:p w14:paraId="08756ADA">
      <w:pPr>
        <w:bidi w:val="0"/>
        <w:rPr>
          <w:rFonts w:hint="eastAsia"/>
          <w:sz w:val="30"/>
          <w:szCs w:val="30"/>
        </w:rPr>
      </w:pPr>
      <w:r>
        <w:rPr>
          <w:rFonts w:hint="eastAsia"/>
          <w:sz w:val="30"/>
          <w:szCs w:val="30"/>
        </w:rPr>
        <w:t>然而，部分过去主义并不同意主的再来、复活、最后的审判以及宇宙的转变已经发生。</w:t>
      </w:r>
    </w:p>
    <w:p w14:paraId="5558D57A">
      <w:pPr>
        <w:bidi w:val="0"/>
        <w:rPr>
          <w:rFonts w:hint="eastAsia"/>
          <w:sz w:val="30"/>
          <w:szCs w:val="30"/>
        </w:rPr>
      </w:pPr>
    </w:p>
    <w:p w14:paraId="40A47024">
      <w:pPr>
        <w:bidi w:val="0"/>
        <w:rPr>
          <w:rFonts w:hint="eastAsia"/>
          <w:sz w:val="30"/>
          <w:szCs w:val="30"/>
        </w:rPr>
      </w:pPr>
      <w:r>
        <w:rPr>
          <w:rFonts w:hint="eastAsia"/>
          <w:sz w:val="30"/>
          <w:szCs w:val="30"/>
        </w:rPr>
        <w:t>To the contrary, in accordance with historic orthodoxy, PP affirms that all these events are yet future.</w:t>
      </w:r>
    </w:p>
    <w:p w14:paraId="0CF8C932">
      <w:pPr>
        <w:bidi w:val="0"/>
        <w:rPr>
          <w:rFonts w:hint="eastAsia"/>
          <w:sz w:val="30"/>
          <w:szCs w:val="30"/>
        </w:rPr>
      </w:pPr>
      <w:r>
        <w:rPr>
          <w:rFonts w:hint="eastAsia"/>
          <w:sz w:val="30"/>
          <w:szCs w:val="30"/>
        </w:rPr>
        <w:t>恰恰相反，根据历史正统，部分过去主义肯定所有这些事件都仍在未来。</w:t>
      </w:r>
    </w:p>
    <w:p w14:paraId="10D39791">
      <w:pPr>
        <w:bidi w:val="0"/>
        <w:rPr>
          <w:rFonts w:hint="eastAsia"/>
          <w:sz w:val="30"/>
          <w:szCs w:val="30"/>
        </w:rPr>
      </w:pPr>
    </w:p>
    <w:p w14:paraId="7B5D625D">
      <w:pPr>
        <w:bidi w:val="0"/>
        <w:rPr>
          <w:rFonts w:hint="eastAsia"/>
          <w:sz w:val="30"/>
          <w:szCs w:val="30"/>
        </w:rPr>
      </w:pPr>
      <w:r>
        <w:rPr>
          <w:rFonts w:hint="eastAsia"/>
          <w:sz w:val="30"/>
          <w:szCs w:val="30"/>
        </w:rPr>
        <w:t>In this, their view accords fairly well with the amillennial view of the Consummation.</w:t>
      </w:r>
    </w:p>
    <w:p w14:paraId="6204B66D">
      <w:pPr>
        <w:bidi w:val="0"/>
        <w:rPr>
          <w:rFonts w:hint="eastAsia"/>
          <w:sz w:val="30"/>
          <w:szCs w:val="30"/>
        </w:rPr>
      </w:pPr>
      <w:r>
        <w:rPr>
          <w:rFonts w:hint="eastAsia"/>
          <w:sz w:val="30"/>
          <w:szCs w:val="30"/>
        </w:rPr>
        <w:t>在这一点上，他们的观点与无千禧年论对结局的看法相当一致。</w:t>
      </w:r>
    </w:p>
    <w:p w14:paraId="0FFA5988">
      <w:pPr>
        <w:bidi w:val="0"/>
        <w:rPr>
          <w:rFonts w:hint="eastAsia"/>
          <w:sz w:val="30"/>
          <w:szCs w:val="30"/>
        </w:rPr>
      </w:pPr>
    </w:p>
    <w:p w14:paraId="2E2FB142">
      <w:pPr>
        <w:bidi w:val="0"/>
        <w:rPr>
          <w:rFonts w:hint="eastAsia"/>
          <w:sz w:val="30"/>
          <w:szCs w:val="30"/>
        </w:rPr>
      </w:pPr>
      <w:r>
        <w:rPr>
          <w:rFonts w:hint="eastAsia"/>
          <w:sz w:val="30"/>
          <w:szCs w:val="30"/>
        </w:rPr>
        <w:t>There are, however, some problems.</w:t>
      </w:r>
    </w:p>
    <w:p w14:paraId="4479AB5C">
      <w:pPr>
        <w:bidi w:val="0"/>
        <w:rPr>
          <w:rFonts w:hint="eastAsia"/>
          <w:sz w:val="30"/>
          <w:szCs w:val="30"/>
        </w:rPr>
      </w:pPr>
      <w:r>
        <w:rPr>
          <w:rFonts w:hint="eastAsia"/>
          <w:sz w:val="30"/>
          <w:szCs w:val="30"/>
        </w:rPr>
        <w:t>然而，也存在一些问题。</w:t>
      </w:r>
    </w:p>
    <w:p w14:paraId="6738D367">
      <w:pPr>
        <w:bidi w:val="0"/>
        <w:rPr>
          <w:rFonts w:hint="eastAsia"/>
          <w:sz w:val="30"/>
          <w:szCs w:val="30"/>
        </w:rPr>
      </w:pPr>
    </w:p>
    <w:p w14:paraId="5A466DB6">
      <w:pPr>
        <w:bidi w:val="0"/>
        <w:rPr>
          <w:rFonts w:hint="eastAsia"/>
          <w:sz w:val="30"/>
          <w:szCs w:val="30"/>
        </w:rPr>
      </w:pPr>
      <w:r>
        <w:rPr>
          <w:rFonts w:hint="eastAsia"/>
          <w:sz w:val="30"/>
          <w:szCs w:val="30"/>
        </w:rPr>
        <w:t>To begin with, partial preterists assert that Mt. 24:29-31 does not depict the final, supernatural Coming of Christ, but rather a providential “judgment-coming” against Jerusalem.</w:t>
      </w:r>
    </w:p>
    <w:p w14:paraId="7764DF0F">
      <w:pPr>
        <w:bidi w:val="0"/>
        <w:rPr>
          <w:rFonts w:hint="eastAsia"/>
          <w:sz w:val="30"/>
          <w:szCs w:val="30"/>
        </w:rPr>
      </w:pPr>
      <w:r>
        <w:rPr>
          <w:rFonts w:hint="eastAsia"/>
          <w:sz w:val="30"/>
          <w:szCs w:val="30"/>
        </w:rPr>
        <w:t>首先，部分过去主义者断言，马太福音24:29-31描绘的不是基督最后的、超自然的降临，而是一次护理性的“审判-降临”，针对耶路撒冷。</w:t>
      </w:r>
    </w:p>
    <w:p w14:paraId="69EC81EC">
      <w:pPr>
        <w:bidi w:val="0"/>
        <w:rPr>
          <w:rFonts w:hint="eastAsia"/>
          <w:sz w:val="30"/>
          <w:szCs w:val="30"/>
        </w:rPr>
      </w:pPr>
    </w:p>
    <w:p w14:paraId="2168C6F0">
      <w:pPr>
        <w:bidi w:val="0"/>
        <w:rPr>
          <w:rFonts w:hint="eastAsia"/>
          <w:sz w:val="30"/>
          <w:szCs w:val="30"/>
        </w:rPr>
      </w:pPr>
      <w:r>
        <w:rPr>
          <w:rFonts w:hint="eastAsia"/>
          <w:sz w:val="30"/>
          <w:szCs w:val="30"/>
        </w:rPr>
        <w:t>This is indeed a departure from orthodoxy, and a serious one.</w:t>
      </w:r>
    </w:p>
    <w:p w14:paraId="51F01B79">
      <w:pPr>
        <w:bidi w:val="0"/>
        <w:rPr>
          <w:rFonts w:hint="eastAsia"/>
          <w:sz w:val="30"/>
          <w:szCs w:val="30"/>
        </w:rPr>
      </w:pPr>
      <w:r>
        <w:rPr>
          <w:rFonts w:hint="eastAsia"/>
          <w:sz w:val="30"/>
          <w:szCs w:val="30"/>
        </w:rPr>
        <w:t>这确实偏离了正统，而且是严重的偏离。</w:t>
      </w:r>
    </w:p>
    <w:p w14:paraId="3DDAB3F9">
      <w:pPr>
        <w:bidi w:val="0"/>
        <w:rPr>
          <w:rFonts w:hint="eastAsia"/>
          <w:sz w:val="30"/>
          <w:szCs w:val="30"/>
        </w:rPr>
      </w:pPr>
    </w:p>
    <w:p w14:paraId="0F50F77F">
      <w:pPr>
        <w:bidi w:val="0"/>
        <w:rPr>
          <w:rFonts w:hint="eastAsia"/>
          <w:sz w:val="30"/>
          <w:szCs w:val="30"/>
        </w:rPr>
      </w:pPr>
      <w:r>
        <w:rPr>
          <w:rFonts w:hint="eastAsia"/>
          <w:sz w:val="30"/>
          <w:szCs w:val="30"/>
        </w:rPr>
        <w:t>The historic view of the Church, defended in the body of this book, is that Mt. 24:29-31 and Mt. 25:31-46 both describe the one Consummation, with the former text accenting the Lord’s Parousia, and the latter the Judgment he will effect when he comes.</w:t>
      </w:r>
    </w:p>
    <w:p w14:paraId="2460026E">
      <w:pPr>
        <w:bidi w:val="0"/>
        <w:rPr>
          <w:rFonts w:hint="eastAsia"/>
          <w:sz w:val="30"/>
          <w:szCs w:val="30"/>
        </w:rPr>
      </w:pPr>
      <w:r>
        <w:rPr>
          <w:rFonts w:hint="eastAsia"/>
          <w:sz w:val="30"/>
          <w:szCs w:val="30"/>
        </w:rPr>
        <w:t>教会的历史观点，即本书正文所捍卫的观点是，马太福音24:29-31和马太福音25:31-46都描述了那唯一的结局，前者强调主的再来，后者强调祂降临时将要施行的审判。</w:t>
      </w:r>
    </w:p>
    <w:p w14:paraId="6D69C92D">
      <w:pPr>
        <w:bidi w:val="0"/>
        <w:rPr>
          <w:rFonts w:hint="eastAsia"/>
          <w:sz w:val="30"/>
          <w:szCs w:val="30"/>
        </w:rPr>
      </w:pPr>
    </w:p>
    <w:p w14:paraId="0239B913">
      <w:pPr>
        <w:bidi w:val="0"/>
        <w:rPr>
          <w:rFonts w:hint="eastAsia"/>
          <w:sz w:val="30"/>
          <w:szCs w:val="30"/>
        </w:rPr>
      </w:pPr>
      <w:r>
        <w:rPr>
          <w:rFonts w:hint="eastAsia"/>
          <w:sz w:val="30"/>
          <w:szCs w:val="30"/>
        </w:rPr>
        <w:t>PP demurs, asserting that Mt. 25:31-36 alone gives us the supernatural Parousia of Christ and the Last Judgment.</w:t>
      </w:r>
    </w:p>
    <w:p w14:paraId="75D149AE">
      <w:pPr>
        <w:bidi w:val="0"/>
        <w:rPr>
          <w:rFonts w:hint="eastAsia"/>
          <w:sz w:val="30"/>
          <w:szCs w:val="30"/>
        </w:rPr>
      </w:pPr>
      <w:r>
        <w:rPr>
          <w:rFonts w:hint="eastAsia"/>
          <w:sz w:val="30"/>
          <w:szCs w:val="30"/>
        </w:rPr>
        <w:t>部分过去主义者提出异议，断言只有马太福音25:31-36给了我们基督超自然的再来和最后的审判。</w:t>
      </w:r>
    </w:p>
    <w:p w14:paraId="643EC1C3">
      <w:pPr>
        <w:bidi w:val="0"/>
        <w:rPr>
          <w:rFonts w:hint="eastAsia"/>
          <w:sz w:val="30"/>
          <w:szCs w:val="30"/>
        </w:rPr>
      </w:pPr>
    </w:p>
    <w:p w14:paraId="1667C498">
      <w:pPr>
        <w:bidi w:val="0"/>
        <w:rPr>
          <w:rFonts w:hint="eastAsia"/>
          <w:sz w:val="30"/>
          <w:szCs w:val="30"/>
        </w:rPr>
      </w:pPr>
      <w:r>
        <w:rPr>
          <w:rFonts w:hint="eastAsia"/>
          <w:sz w:val="30"/>
          <w:szCs w:val="30"/>
        </w:rPr>
        <w:t>But this stretches all credulity.</w:t>
      </w:r>
    </w:p>
    <w:p w14:paraId="40A09843">
      <w:pPr>
        <w:bidi w:val="0"/>
        <w:rPr>
          <w:rFonts w:hint="eastAsia"/>
          <w:sz w:val="30"/>
          <w:szCs w:val="30"/>
        </w:rPr>
      </w:pPr>
      <w:r>
        <w:rPr>
          <w:rFonts w:hint="eastAsia"/>
          <w:sz w:val="30"/>
          <w:szCs w:val="30"/>
        </w:rPr>
        <w:t>但这实在是难以置信。</w:t>
      </w:r>
    </w:p>
    <w:p w14:paraId="5BE55249">
      <w:pPr>
        <w:bidi w:val="0"/>
        <w:rPr>
          <w:rFonts w:hint="eastAsia"/>
          <w:sz w:val="30"/>
          <w:szCs w:val="30"/>
        </w:rPr>
      </w:pPr>
    </w:p>
    <w:p w14:paraId="6B72CABD">
      <w:pPr>
        <w:bidi w:val="0"/>
        <w:rPr>
          <w:rFonts w:hint="eastAsia"/>
          <w:sz w:val="30"/>
          <w:szCs w:val="30"/>
        </w:rPr>
      </w:pPr>
      <w:r>
        <w:rPr>
          <w:rFonts w:hint="eastAsia"/>
          <w:sz w:val="30"/>
          <w:szCs w:val="30"/>
        </w:rPr>
        <w:t>Does Mt. 24:29-31 look at all like a providential judgment against Jerusalem?</w:t>
      </w:r>
    </w:p>
    <w:p w14:paraId="33E6AA51">
      <w:pPr>
        <w:bidi w:val="0"/>
        <w:rPr>
          <w:rFonts w:hint="eastAsia"/>
          <w:sz w:val="30"/>
          <w:szCs w:val="30"/>
        </w:rPr>
      </w:pPr>
      <w:r>
        <w:rPr>
          <w:rFonts w:hint="eastAsia"/>
          <w:sz w:val="30"/>
          <w:szCs w:val="30"/>
        </w:rPr>
        <w:t>马太福音24:29-31看起来像是一场针对耶路撒冷的护理性审判吗？</w:t>
      </w:r>
    </w:p>
    <w:p w14:paraId="07C65A73">
      <w:pPr>
        <w:bidi w:val="0"/>
        <w:rPr>
          <w:rFonts w:hint="eastAsia"/>
          <w:sz w:val="30"/>
          <w:szCs w:val="30"/>
        </w:rPr>
      </w:pPr>
    </w:p>
    <w:p w14:paraId="5325D543">
      <w:pPr>
        <w:bidi w:val="0"/>
        <w:rPr>
          <w:rFonts w:hint="eastAsia"/>
          <w:sz w:val="30"/>
          <w:szCs w:val="30"/>
        </w:rPr>
      </w:pPr>
      <w:r>
        <w:rPr>
          <w:rFonts w:hint="eastAsia"/>
          <w:sz w:val="30"/>
          <w:szCs w:val="30"/>
        </w:rPr>
        <w:t>Is it not, on the face of it, a supernatural Coming, bringing a supernatural Judgment?</w:t>
      </w:r>
    </w:p>
    <w:p w14:paraId="2EDA2838">
      <w:pPr>
        <w:bidi w:val="0"/>
        <w:rPr>
          <w:rFonts w:hint="eastAsia"/>
          <w:sz w:val="30"/>
          <w:szCs w:val="30"/>
        </w:rPr>
      </w:pPr>
      <w:r>
        <w:rPr>
          <w:rFonts w:hint="eastAsia"/>
          <w:sz w:val="30"/>
          <w:szCs w:val="30"/>
        </w:rPr>
        <w:t>从表面上看，这难道不是一次超自然的降临，带来一次超自然的审判吗？</w:t>
      </w:r>
    </w:p>
    <w:p w14:paraId="552A7F06">
      <w:pPr>
        <w:bidi w:val="0"/>
        <w:rPr>
          <w:rFonts w:hint="eastAsia"/>
          <w:sz w:val="30"/>
          <w:szCs w:val="30"/>
        </w:rPr>
      </w:pPr>
    </w:p>
    <w:p w14:paraId="41C7ECCA">
      <w:pPr>
        <w:bidi w:val="0"/>
        <w:rPr>
          <w:rFonts w:hint="eastAsia"/>
          <w:sz w:val="30"/>
          <w:szCs w:val="30"/>
        </w:rPr>
      </w:pPr>
      <w:r>
        <w:rPr>
          <w:rFonts w:hint="eastAsia"/>
          <w:sz w:val="30"/>
          <w:szCs w:val="30"/>
        </w:rPr>
        <w:t>Is it not altogether global—even cosmic—in its scope (24:35)?</w:t>
      </w:r>
    </w:p>
    <w:p w14:paraId="3D40B926">
      <w:pPr>
        <w:bidi w:val="0"/>
        <w:rPr>
          <w:rFonts w:hint="eastAsia"/>
          <w:sz w:val="30"/>
          <w:szCs w:val="30"/>
        </w:rPr>
      </w:pPr>
      <w:r>
        <w:rPr>
          <w:rFonts w:hint="eastAsia"/>
          <w:sz w:val="30"/>
          <w:szCs w:val="30"/>
        </w:rPr>
        <w:t>它在范围上难道不是完全全球性——甚至是宇宙性的吗（24:35）？</w:t>
      </w:r>
    </w:p>
    <w:p w14:paraId="786C3823">
      <w:pPr>
        <w:bidi w:val="0"/>
        <w:rPr>
          <w:rFonts w:hint="eastAsia"/>
          <w:sz w:val="30"/>
          <w:szCs w:val="30"/>
        </w:rPr>
      </w:pPr>
    </w:p>
    <w:p w14:paraId="285CA835">
      <w:pPr>
        <w:bidi w:val="0"/>
        <w:rPr>
          <w:rFonts w:hint="eastAsia"/>
          <w:sz w:val="30"/>
          <w:szCs w:val="30"/>
        </w:rPr>
      </w:pPr>
      <w:r>
        <w:rPr>
          <w:rFonts w:hint="eastAsia"/>
          <w:sz w:val="30"/>
          <w:szCs w:val="30"/>
        </w:rPr>
        <w:t>Is it not the ultimate Coming of which the apostles inquired?</w:t>
      </w:r>
    </w:p>
    <w:p w14:paraId="732F1E3E">
      <w:pPr>
        <w:bidi w:val="0"/>
        <w:rPr>
          <w:rFonts w:hint="eastAsia"/>
          <w:sz w:val="30"/>
          <w:szCs w:val="30"/>
        </w:rPr>
      </w:pPr>
      <w:r>
        <w:rPr>
          <w:rFonts w:hint="eastAsia"/>
          <w:sz w:val="30"/>
          <w:szCs w:val="30"/>
        </w:rPr>
        <w:t>这难道不是使徒们所询问的终极降临吗？</w:t>
      </w:r>
    </w:p>
    <w:p w14:paraId="05D5F415">
      <w:pPr>
        <w:bidi w:val="0"/>
        <w:rPr>
          <w:rFonts w:hint="eastAsia"/>
          <w:sz w:val="30"/>
          <w:szCs w:val="30"/>
        </w:rPr>
      </w:pPr>
    </w:p>
    <w:p w14:paraId="68FEAD4D">
      <w:pPr>
        <w:bidi w:val="0"/>
        <w:rPr>
          <w:rFonts w:hint="eastAsia"/>
          <w:sz w:val="30"/>
          <w:szCs w:val="30"/>
        </w:rPr>
      </w:pPr>
      <w:r>
        <w:rPr>
          <w:rFonts w:hint="eastAsia"/>
          <w:sz w:val="30"/>
          <w:szCs w:val="30"/>
        </w:rPr>
        <w:t>Is it not clear that these two portions of the very same Discourse—with their shared references to the Coming of the Son of Man, his glory, his angels, and his judgment—fit together hand in glove?</w:t>
      </w:r>
    </w:p>
    <w:p w14:paraId="3F3CD638">
      <w:pPr>
        <w:bidi w:val="0"/>
        <w:rPr>
          <w:rFonts w:hint="eastAsia"/>
          <w:sz w:val="30"/>
          <w:szCs w:val="30"/>
        </w:rPr>
      </w:pPr>
      <w:r>
        <w:rPr>
          <w:rFonts w:hint="eastAsia"/>
          <w:sz w:val="30"/>
          <w:szCs w:val="30"/>
        </w:rPr>
        <w:t>这两段出自同一讲论的经文——它们都提到了人子的降临、祂的荣耀、祂的天使和祂的审判——难道不是很明显地天衣无缝地结合在一起吗？</w:t>
      </w:r>
    </w:p>
    <w:p w14:paraId="4FDE779B">
      <w:pPr>
        <w:bidi w:val="0"/>
        <w:rPr>
          <w:rFonts w:hint="eastAsia"/>
          <w:sz w:val="30"/>
          <w:szCs w:val="30"/>
        </w:rPr>
      </w:pPr>
    </w:p>
    <w:p w14:paraId="78585CFC">
      <w:pPr>
        <w:bidi w:val="0"/>
        <w:rPr>
          <w:rFonts w:hint="eastAsia"/>
          <w:sz w:val="30"/>
          <w:szCs w:val="30"/>
        </w:rPr>
      </w:pPr>
      <w:r>
        <w:rPr>
          <w:rFonts w:hint="eastAsia"/>
          <w:sz w:val="30"/>
          <w:szCs w:val="30"/>
        </w:rPr>
        <w:t>And is it not therefore the case that PP bifurcates the NT mother prophecy of the Consummation, shattering its majestic unity?</w:t>
      </w:r>
    </w:p>
    <w:p w14:paraId="024E0FD4">
      <w:pPr>
        <w:bidi w:val="0"/>
        <w:rPr>
          <w:rFonts w:hint="eastAsia"/>
          <w:sz w:val="30"/>
          <w:szCs w:val="30"/>
        </w:rPr>
      </w:pPr>
      <w:r>
        <w:rPr>
          <w:rFonts w:hint="eastAsia"/>
          <w:sz w:val="30"/>
          <w:szCs w:val="30"/>
        </w:rPr>
        <w:t>因此，部分过去主义难道不是将新约关于结局的母预言一分为二，破坏了其宏伟的统一性吗？</w:t>
      </w:r>
    </w:p>
    <w:p w14:paraId="5EE0B682">
      <w:pPr>
        <w:bidi w:val="0"/>
        <w:rPr>
          <w:rFonts w:hint="eastAsia"/>
          <w:sz w:val="30"/>
          <w:szCs w:val="30"/>
        </w:rPr>
      </w:pPr>
    </w:p>
    <w:p w14:paraId="27E57790">
      <w:pPr>
        <w:bidi w:val="0"/>
        <w:rPr>
          <w:rFonts w:hint="eastAsia"/>
          <w:sz w:val="30"/>
          <w:szCs w:val="30"/>
        </w:rPr>
      </w:pPr>
      <w:r>
        <w:rPr>
          <w:rFonts w:hint="eastAsia"/>
          <w:sz w:val="30"/>
          <w:szCs w:val="30"/>
        </w:rPr>
        <w:t>Secondly, this mishandling of our Lord’s prophecy of the Consummation works havoc upon the exegesis of other related texts.</w:t>
      </w:r>
    </w:p>
    <w:p w14:paraId="296144A2">
      <w:pPr>
        <w:bidi w:val="0"/>
        <w:rPr>
          <w:rFonts w:hint="eastAsia"/>
          <w:sz w:val="30"/>
          <w:szCs w:val="30"/>
        </w:rPr>
      </w:pPr>
      <w:r>
        <w:rPr>
          <w:rFonts w:hint="eastAsia"/>
          <w:sz w:val="30"/>
          <w:szCs w:val="30"/>
        </w:rPr>
        <w:t>其次，这种对我们主关于结局的预言的错误处理，对其他相关经文的解经造成了极大的破坏。</w:t>
      </w:r>
    </w:p>
    <w:p w14:paraId="04BA6A88">
      <w:pPr>
        <w:bidi w:val="0"/>
        <w:rPr>
          <w:rFonts w:hint="eastAsia"/>
          <w:sz w:val="30"/>
          <w:szCs w:val="30"/>
        </w:rPr>
      </w:pPr>
    </w:p>
    <w:p w14:paraId="52065CF6">
      <w:pPr>
        <w:bidi w:val="0"/>
        <w:rPr>
          <w:rFonts w:hint="eastAsia"/>
          <w:sz w:val="30"/>
          <w:szCs w:val="30"/>
        </w:rPr>
      </w:pPr>
      <w:r>
        <w:rPr>
          <w:rFonts w:hint="eastAsia"/>
          <w:sz w:val="30"/>
          <w:szCs w:val="30"/>
        </w:rPr>
        <w:t>Yes, partial preterists affirm a future Parousia and Judgment.</w:t>
      </w:r>
    </w:p>
    <w:p w14:paraId="7707B22A">
      <w:pPr>
        <w:bidi w:val="0"/>
        <w:rPr>
          <w:rFonts w:hint="eastAsia"/>
          <w:sz w:val="30"/>
          <w:szCs w:val="30"/>
        </w:rPr>
      </w:pPr>
      <w:r>
        <w:rPr>
          <w:rFonts w:hint="eastAsia"/>
          <w:sz w:val="30"/>
          <w:szCs w:val="30"/>
        </w:rPr>
        <w:t>是的，部分过去主义者肯定未来的再来和审判。</w:t>
      </w:r>
    </w:p>
    <w:p w14:paraId="51A65A6A">
      <w:pPr>
        <w:bidi w:val="0"/>
        <w:rPr>
          <w:rFonts w:hint="eastAsia"/>
          <w:sz w:val="30"/>
          <w:szCs w:val="30"/>
        </w:rPr>
      </w:pPr>
    </w:p>
    <w:p w14:paraId="09C7B499">
      <w:pPr>
        <w:bidi w:val="0"/>
        <w:rPr>
          <w:rFonts w:hint="eastAsia"/>
          <w:sz w:val="30"/>
          <w:szCs w:val="30"/>
        </w:rPr>
      </w:pPr>
      <w:r>
        <w:rPr>
          <w:rFonts w:hint="eastAsia"/>
          <w:sz w:val="30"/>
          <w:szCs w:val="30"/>
        </w:rPr>
        <w:t>But having interpreted Mt. 24 as they do, they seem now to have serious difficulties deciding which coming and which judgment these other texts have in view.</w:t>
      </w:r>
    </w:p>
    <w:p w14:paraId="693365AC">
      <w:pPr>
        <w:bidi w:val="0"/>
        <w:rPr>
          <w:rFonts w:hint="eastAsia"/>
          <w:sz w:val="30"/>
          <w:szCs w:val="30"/>
        </w:rPr>
      </w:pPr>
      <w:r>
        <w:rPr>
          <w:rFonts w:hint="eastAsia"/>
          <w:sz w:val="30"/>
          <w:szCs w:val="30"/>
        </w:rPr>
        <w:t>但既然他们那样解释了马太福音第24章，他们现在似乎在决定其他经文所指的究竟是哪一次降临和哪一次审判时遇到了严重的困难。</w:t>
      </w:r>
    </w:p>
    <w:p w14:paraId="63EA8D1F">
      <w:pPr>
        <w:bidi w:val="0"/>
        <w:rPr>
          <w:rFonts w:hint="eastAsia"/>
          <w:sz w:val="30"/>
          <w:szCs w:val="30"/>
        </w:rPr>
      </w:pPr>
    </w:p>
    <w:p w14:paraId="779705DC">
      <w:pPr>
        <w:bidi w:val="0"/>
        <w:rPr>
          <w:rFonts w:hint="eastAsia"/>
          <w:sz w:val="30"/>
          <w:szCs w:val="30"/>
        </w:rPr>
      </w:pPr>
      <w:r>
        <w:rPr>
          <w:rFonts w:hint="eastAsia"/>
          <w:sz w:val="30"/>
          <w:szCs w:val="30"/>
        </w:rPr>
        <w:t>Some say, for example, that in 1 Thess. 4:13-18 Paul speaks of the supernatural Coming of Christ to raise the dead, but that in 1 Thess. 5:1-11 he suddenly turns to the providential coming of 70 AD to judge Israel.</w:t>
      </w:r>
    </w:p>
    <w:p w14:paraId="675862B1">
      <w:pPr>
        <w:bidi w:val="0"/>
        <w:rPr>
          <w:rFonts w:hint="eastAsia"/>
          <w:sz w:val="30"/>
          <w:szCs w:val="30"/>
        </w:rPr>
      </w:pPr>
      <w:r>
        <w:rPr>
          <w:rFonts w:hint="eastAsia"/>
          <w:sz w:val="30"/>
          <w:szCs w:val="30"/>
        </w:rPr>
        <w:t>例如，有人说，在帖撒罗尼迦前书4:13-18中，保罗讲的是基督超自然的降临，要使死人复活，但在帖撒罗尼迦前书5:1-11中，他突然转向公元70年对以色列的护理性降临的审判。</w:t>
      </w:r>
    </w:p>
    <w:p w14:paraId="6755072B">
      <w:pPr>
        <w:bidi w:val="0"/>
        <w:rPr>
          <w:rFonts w:hint="eastAsia"/>
          <w:sz w:val="30"/>
          <w:szCs w:val="30"/>
        </w:rPr>
      </w:pPr>
    </w:p>
    <w:p w14:paraId="1E86C6FD">
      <w:pPr>
        <w:bidi w:val="0"/>
        <w:rPr>
          <w:rFonts w:hint="eastAsia"/>
          <w:sz w:val="30"/>
          <w:szCs w:val="30"/>
        </w:rPr>
      </w:pPr>
      <w:r>
        <w:rPr>
          <w:rFonts w:hint="eastAsia"/>
          <w:sz w:val="30"/>
          <w:szCs w:val="30"/>
        </w:rPr>
        <w:t>Some contend that in 2 Thess. 1:3-12 Paul also has the judgment-coming of 70 AD in view, despite the fact that he speaks of the Lord being revealed from heaven with his mighty angels in flaming fire!</w:t>
      </w:r>
    </w:p>
    <w:p w14:paraId="586A5CB3">
      <w:pPr>
        <w:bidi w:val="0"/>
        <w:rPr>
          <w:rFonts w:hint="eastAsia"/>
          <w:sz w:val="30"/>
          <w:szCs w:val="30"/>
        </w:rPr>
      </w:pPr>
      <w:r>
        <w:rPr>
          <w:rFonts w:hint="eastAsia"/>
          <w:sz w:val="30"/>
          <w:szCs w:val="30"/>
        </w:rPr>
        <w:t>一些人主张，在帖撒罗尼迦后书1:3-12中，保罗也考虑到了公元70年的审判-降临，尽管他谈到主将从天上带着祂大能的天使在火焰中显现！</w:t>
      </w:r>
    </w:p>
    <w:p w14:paraId="1E1F9295">
      <w:pPr>
        <w:bidi w:val="0"/>
        <w:rPr>
          <w:rFonts w:hint="eastAsia"/>
          <w:sz w:val="30"/>
          <w:szCs w:val="30"/>
        </w:rPr>
      </w:pPr>
    </w:p>
    <w:p w14:paraId="0EC9C66C">
      <w:pPr>
        <w:bidi w:val="0"/>
        <w:rPr>
          <w:rFonts w:hint="eastAsia"/>
          <w:sz w:val="30"/>
          <w:szCs w:val="30"/>
        </w:rPr>
      </w:pPr>
      <w:r>
        <w:rPr>
          <w:rFonts w:hint="eastAsia"/>
          <w:sz w:val="30"/>
          <w:szCs w:val="30"/>
        </w:rPr>
        <w:t>Similarly, most partial preterists insist that in 2 Thess. 2:1-12 the apostle is not describing the demise of a future Antichrist, but of the emperor Nero (or possibly Vespasian), whom the Lord Jesus “providentially” slew with the breath of his mouth and brought to an end by the Appearance of his Coming!</w:t>
      </w:r>
    </w:p>
    <w:p w14:paraId="76A7EB11">
      <w:pPr>
        <w:bidi w:val="0"/>
        <w:rPr>
          <w:rFonts w:hint="eastAsia"/>
          <w:sz w:val="30"/>
          <w:szCs w:val="30"/>
        </w:rPr>
      </w:pPr>
      <w:r>
        <w:rPr>
          <w:rFonts w:hint="eastAsia"/>
          <w:sz w:val="30"/>
          <w:szCs w:val="30"/>
        </w:rPr>
        <w:t>同样，大多数部分过去主义者坚持认为，在帖撒罗尼迦后书2:1-12中，使徒描述的不是未来敌基督的灭亡，而是罗马皇帝尼禄（或可能是维斯帕先）的灭亡，主耶稣“护理性地”用祂口中的气杀了他，并藉着祂降临的显现废掉他！</w:t>
      </w:r>
    </w:p>
    <w:p w14:paraId="17C8693A">
      <w:pPr>
        <w:bidi w:val="0"/>
        <w:rPr>
          <w:rFonts w:hint="eastAsia"/>
          <w:sz w:val="30"/>
          <w:szCs w:val="30"/>
        </w:rPr>
      </w:pPr>
    </w:p>
    <w:p w14:paraId="5F828F86">
      <w:pPr>
        <w:bidi w:val="0"/>
        <w:rPr>
          <w:rFonts w:hint="eastAsia"/>
          <w:sz w:val="30"/>
          <w:szCs w:val="30"/>
        </w:rPr>
      </w:pPr>
      <w:r>
        <w:rPr>
          <w:rFonts w:hint="eastAsia"/>
          <w:sz w:val="30"/>
          <w:szCs w:val="30"/>
        </w:rPr>
        <w:t>The source of all this confusion is plain.</w:t>
      </w:r>
    </w:p>
    <w:p w14:paraId="54643244">
      <w:pPr>
        <w:bidi w:val="0"/>
        <w:rPr>
          <w:rFonts w:hint="eastAsia"/>
          <w:sz w:val="30"/>
          <w:szCs w:val="30"/>
        </w:rPr>
      </w:pPr>
      <w:r>
        <w:rPr>
          <w:rFonts w:hint="eastAsia"/>
          <w:sz w:val="30"/>
          <w:szCs w:val="30"/>
        </w:rPr>
        <w:t>所有这些混乱的根源是显而易见的。</w:t>
      </w:r>
    </w:p>
    <w:p w14:paraId="48EA0910">
      <w:pPr>
        <w:bidi w:val="0"/>
        <w:rPr>
          <w:rFonts w:hint="eastAsia"/>
          <w:sz w:val="30"/>
          <w:szCs w:val="30"/>
        </w:rPr>
      </w:pPr>
    </w:p>
    <w:p w14:paraId="7EF6DB93">
      <w:pPr>
        <w:bidi w:val="0"/>
        <w:rPr>
          <w:rFonts w:hint="eastAsia"/>
          <w:sz w:val="30"/>
          <w:szCs w:val="30"/>
        </w:rPr>
      </w:pPr>
      <w:r>
        <w:rPr>
          <w:rFonts w:hint="eastAsia"/>
          <w:sz w:val="30"/>
          <w:szCs w:val="30"/>
        </w:rPr>
        <w:t>Partial preterists fail to discern prophetic blending in the Olivet Discourse; they see mostly the near, and only rarely the far.</w:t>
      </w:r>
    </w:p>
    <w:p w14:paraId="738C747D">
      <w:pPr>
        <w:bidi w:val="0"/>
        <w:rPr>
          <w:rFonts w:hint="eastAsia"/>
          <w:sz w:val="30"/>
          <w:szCs w:val="30"/>
        </w:rPr>
      </w:pPr>
      <w:r>
        <w:rPr>
          <w:rFonts w:hint="eastAsia"/>
          <w:sz w:val="30"/>
          <w:szCs w:val="30"/>
        </w:rPr>
        <w:t>部分过去主义者未能辨别橄榄山讲论中的预言融合；他们大多只看到近处，很少看到远处。</w:t>
      </w:r>
    </w:p>
    <w:p w14:paraId="10E35E35">
      <w:pPr>
        <w:bidi w:val="0"/>
        <w:rPr>
          <w:rFonts w:hint="eastAsia"/>
          <w:sz w:val="30"/>
          <w:szCs w:val="30"/>
        </w:rPr>
      </w:pPr>
    </w:p>
    <w:p w14:paraId="1F828861">
      <w:pPr>
        <w:bidi w:val="0"/>
        <w:rPr>
          <w:rFonts w:hint="eastAsia"/>
          <w:sz w:val="30"/>
          <w:szCs w:val="30"/>
        </w:rPr>
      </w:pPr>
      <w:r>
        <w:rPr>
          <w:rFonts w:hint="eastAsia"/>
          <w:sz w:val="30"/>
          <w:szCs w:val="30"/>
        </w:rPr>
        <w:t>As a result, they must resort to an alien, hyper-spiritualizing hermeneutic in order find in Mt. 24:29-31 a reference to the events of 70 AD.</w:t>
      </w:r>
    </w:p>
    <w:p w14:paraId="17FB2D07">
      <w:pPr>
        <w:bidi w:val="0"/>
        <w:rPr>
          <w:rFonts w:hint="eastAsia"/>
          <w:sz w:val="30"/>
          <w:szCs w:val="30"/>
        </w:rPr>
      </w:pPr>
      <w:r>
        <w:rPr>
          <w:rFonts w:hint="eastAsia"/>
          <w:sz w:val="30"/>
          <w:szCs w:val="30"/>
        </w:rPr>
        <w:t>结果，他们必须诉诸一种外来的、过度属灵化的释经学，以便在马太福音24:29-31中找到对公元70年事件的指涉。</w:t>
      </w:r>
    </w:p>
    <w:p w14:paraId="0325F595">
      <w:pPr>
        <w:bidi w:val="0"/>
        <w:rPr>
          <w:rFonts w:hint="eastAsia"/>
          <w:sz w:val="30"/>
          <w:szCs w:val="30"/>
        </w:rPr>
      </w:pPr>
    </w:p>
    <w:p w14:paraId="50EFDC2B">
      <w:pPr>
        <w:bidi w:val="0"/>
        <w:rPr>
          <w:rFonts w:hint="eastAsia"/>
          <w:sz w:val="30"/>
          <w:szCs w:val="30"/>
        </w:rPr>
      </w:pPr>
      <w:r>
        <w:rPr>
          <w:rFonts w:hint="eastAsia"/>
          <w:sz w:val="30"/>
          <w:szCs w:val="30"/>
        </w:rPr>
        <w:t>But as a result of this, they feel compelled to use the same hermeneutic on other NT texts that refer to the Parousia.</w:t>
      </w:r>
    </w:p>
    <w:p w14:paraId="44F9AB4C">
      <w:pPr>
        <w:bidi w:val="0"/>
        <w:rPr>
          <w:rFonts w:hint="eastAsia"/>
          <w:sz w:val="30"/>
          <w:szCs w:val="30"/>
        </w:rPr>
      </w:pPr>
      <w:r>
        <w:rPr>
          <w:rFonts w:hint="eastAsia"/>
          <w:sz w:val="30"/>
          <w:szCs w:val="30"/>
        </w:rPr>
        <w:t>但由于这个结果，他们觉得有必要对其他论及再来的新约经文也使用同样的释经学。</w:t>
      </w:r>
    </w:p>
    <w:p w14:paraId="19919962">
      <w:pPr>
        <w:bidi w:val="0"/>
        <w:rPr>
          <w:rFonts w:hint="eastAsia"/>
          <w:sz w:val="30"/>
          <w:szCs w:val="30"/>
        </w:rPr>
      </w:pPr>
    </w:p>
    <w:p w14:paraId="42122EDE">
      <w:pPr>
        <w:bidi w:val="0"/>
        <w:rPr>
          <w:rFonts w:hint="eastAsia"/>
          <w:sz w:val="30"/>
          <w:szCs w:val="30"/>
        </w:rPr>
      </w:pPr>
      <w:r>
        <w:rPr>
          <w:rFonts w:hint="eastAsia"/>
          <w:sz w:val="30"/>
          <w:szCs w:val="30"/>
        </w:rPr>
        <w:t>Henceforth, the door is open for exegetical chaos to enter in.</w:t>
      </w:r>
    </w:p>
    <w:p w14:paraId="43418F4B">
      <w:pPr>
        <w:bidi w:val="0"/>
        <w:rPr>
          <w:rFonts w:hint="eastAsia"/>
          <w:sz w:val="30"/>
          <w:szCs w:val="30"/>
        </w:rPr>
      </w:pPr>
      <w:r>
        <w:rPr>
          <w:rFonts w:hint="eastAsia"/>
          <w:sz w:val="30"/>
          <w:szCs w:val="30"/>
        </w:rPr>
        <w:t>从此，解经混乱的大门就敞开了。</w:t>
      </w:r>
    </w:p>
    <w:p w14:paraId="2D3667A5">
      <w:pPr>
        <w:bidi w:val="0"/>
        <w:rPr>
          <w:rFonts w:hint="eastAsia"/>
          <w:sz w:val="30"/>
          <w:szCs w:val="30"/>
        </w:rPr>
      </w:pPr>
    </w:p>
    <w:p w14:paraId="4D217F43">
      <w:pPr>
        <w:bidi w:val="0"/>
        <w:rPr>
          <w:rFonts w:hint="eastAsia"/>
          <w:sz w:val="30"/>
          <w:szCs w:val="30"/>
        </w:rPr>
      </w:pPr>
      <w:r>
        <w:rPr>
          <w:rFonts w:hint="eastAsia"/>
          <w:sz w:val="30"/>
          <w:szCs w:val="30"/>
        </w:rPr>
        <w:t>Regarding these other NT eschatological texts—including the Revelation—the simple truth is this: The apostles show no interest whatsoever in the destruction of Jerusalem, whether it lay ahead of them (as in the case of the writings of Paul and Peter) or behind them (as in the case of the writings of John).</w:t>
      </w:r>
    </w:p>
    <w:p w14:paraId="47BE6A2A">
      <w:pPr>
        <w:bidi w:val="0"/>
        <w:rPr>
          <w:rFonts w:hint="eastAsia"/>
          <w:sz w:val="30"/>
          <w:szCs w:val="30"/>
        </w:rPr>
      </w:pPr>
      <w:r>
        <w:rPr>
          <w:rFonts w:hint="eastAsia"/>
          <w:sz w:val="30"/>
          <w:szCs w:val="30"/>
        </w:rPr>
        <w:t>关于这些其他的新约末世论经文——包括启示录——简单的真理是：使徒们对耶路撒冷的毁灭毫无兴趣，无论这事发生在他们前面（如保罗和彼得的著作）还是后面（如约翰的著作）。</w:t>
      </w:r>
    </w:p>
    <w:p w14:paraId="47B8AB98">
      <w:pPr>
        <w:bidi w:val="0"/>
        <w:rPr>
          <w:rFonts w:hint="eastAsia"/>
          <w:sz w:val="30"/>
          <w:szCs w:val="30"/>
        </w:rPr>
      </w:pPr>
    </w:p>
    <w:p w14:paraId="44C30094">
      <w:pPr>
        <w:bidi w:val="0"/>
        <w:rPr>
          <w:rFonts w:hint="eastAsia"/>
          <w:sz w:val="30"/>
          <w:szCs w:val="30"/>
        </w:rPr>
      </w:pPr>
      <w:r>
        <w:rPr>
          <w:rFonts w:hint="eastAsia"/>
          <w:sz w:val="30"/>
          <w:szCs w:val="30"/>
        </w:rPr>
        <w:t>Their concern is “the” Parousia, the one supernatural Coming of Christ, set to occur at the end of the present evil age (1 Thess. 3:13, 4:15, 5:23, 2 Thess. 2:1, James 5:7, 2 Peter 3:12).</w:t>
      </w:r>
    </w:p>
    <w:p w14:paraId="203C020B">
      <w:pPr>
        <w:bidi w:val="0"/>
        <w:rPr>
          <w:rFonts w:hint="eastAsia"/>
          <w:sz w:val="30"/>
          <w:szCs w:val="30"/>
        </w:rPr>
      </w:pPr>
      <w:r>
        <w:rPr>
          <w:rFonts w:hint="eastAsia"/>
          <w:sz w:val="30"/>
          <w:szCs w:val="30"/>
        </w:rPr>
        <w:t>他们关心的是“那”一次再来，即基督那唯一的、超自然的降临，定在现今邪恶世代的末了发生（帖前3:13, 4:15, 5:23，帖后2:1，雅5:7，彼后3:12）。</w:t>
      </w:r>
    </w:p>
    <w:p w14:paraId="4D3CE312">
      <w:pPr>
        <w:bidi w:val="0"/>
        <w:rPr>
          <w:rFonts w:hint="eastAsia"/>
          <w:sz w:val="30"/>
          <w:szCs w:val="30"/>
        </w:rPr>
      </w:pPr>
    </w:p>
    <w:p w14:paraId="4BEFBE39">
      <w:pPr>
        <w:bidi w:val="0"/>
        <w:rPr>
          <w:rFonts w:hint="eastAsia"/>
          <w:sz w:val="30"/>
          <w:szCs w:val="30"/>
        </w:rPr>
      </w:pPr>
      <w:r>
        <w:rPr>
          <w:rFonts w:hint="eastAsia"/>
          <w:sz w:val="30"/>
          <w:szCs w:val="30"/>
        </w:rPr>
        <w:t>Yes, in the Olivet Discourse we do indeed find Christ referring to the Destruction of Jerusalem, for the disciples specifically inquired about it, and he had to reply and prepare them for it.</w:t>
      </w:r>
    </w:p>
    <w:p w14:paraId="6CA123AD">
      <w:pPr>
        <w:bidi w:val="0"/>
        <w:rPr>
          <w:rFonts w:hint="eastAsia"/>
          <w:sz w:val="30"/>
          <w:szCs w:val="30"/>
        </w:rPr>
      </w:pPr>
      <w:r>
        <w:rPr>
          <w:rFonts w:hint="eastAsia"/>
          <w:sz w:val="30"/>
          <w:szCs w:val="30"/>
        </w:rPr>
        <w:t>是的，在橄榄山讲论中，我们确实发现基督提到了耶路撒冷的毁灭，因为门徒们特别询问了这件事，祂必须回答并预备他们。</w:t>
      </w:r>
    </w:p>
    <w:p w14:paraId="2317C7ED">
      <w:pPr>
        <w:bidi w:val="0"/>
        <w:rPr>
          <w:rFonts w:hint="eastAsia"/>
          <w:sz w:val="30"/>
          <w:szCs w:val="30"/>
        </w:rPr>
      </w:pPr>
    </w:p>
    <w:p w14:paraId="0CC75029">
      <w:pPr>
        <w:bidi w:val="0"/>
        <w:rPr>
          <w:rFonts w:hint="eastAsia"/>
          <w:sz w:val="30"/>
          <w:szCs w:val="30"/>
        </w:rPr>
      </w:pPr>
      <w:r>
        <w:rPr>
          <w:rFonts w:hint="eastAsia"/>
          <w:sz w:val="30"/>
          <w:szCs w:val="30"/>
        </w:rPr>
        <w:t>But in the rest of the NT, which is directed almost entirely to Gentile believers, or to Jewish Christians dispersed throughout the empire, interest in the events of 70 AD completely falls away, seeing that the one and only Blessed Hope of the universal Church was (and is) the visible Coming of Christ in power and glory to the skies above the earth.</w:t>
      </w:r>
    </w:p>
    <w:p w14:paraId="6033DA60">
      <w:pPr>
        <w:bidi w:val="0"/>
        <w:rPr>
          <w:rFonts w:hint="eastAsia"/>
          <w:sz w:val="30"/>
          <w:szCs w:val="30"/>
        </w:rPr>
      </w:pPr>
      <w:r>
        <w:rPr>
          <w:rFonts w:hint="eastAsia"/>
          <w:sz w:val="30"/>
          <w:szCs w:val="30"/>
        </w:rPr>
        <w:t>但在新约的其余部分，这些经文几乎完全是写给外邦信徒，或分散在帝国各地的犹太基督徒，对公元70年事件的兴趣就完全消失了，因为普世教会唯一有福的盼望曾经是（现在也是）基督带着能力和荣耀，在地上空中可见的降临。</w:t>
      </w:r>
    </w:p>
    <w:p w14:paraId="587A677A">
      <w:pPr>
        <w:bidi w:val="0"/>
        <w:rPr>
          <w:rFonts w:hint="eastAsia"/>
          <w:sz w:val="30"/>
          <w:szCs w:val="30"/>
        </w:rPr>
      </w:pPr>
    </w:p>
    <w:p w14:paraId="6369439E">
      <w:pPr>
        <w:bidi w:val="0"/>
        <w:rPr>
          <w:rFonts w:hint="eastAsia"/>
          <w:sz w:val="30"/>
          <w:szCs w:val="30"/>
        </w:rPr>
      </w:pPr>
      <w:r>
        <w:rPr>
          <w:rFonts w:hint="eastAsia"/>
          <w:sz w:val="30"/>
          <w:szCs w:val="30"/>
        </w:rPr>
        <w:t>Here then is the living heart of all apostolic eschatology, as indeed every major NT eschatological text reveals.</w:t>
      </w:r>
    </w:p>
    <w:p w14:paraId="6FF20AC7">
      <w:pPr>
        <w:bidi w:val="0"/>
        <w:rPr>
          <w:rFonts w:hint="eastAsia"/>
          <w:sz w:val="30"/>
          <w:szCs w:val="30"/>
        </w:rPr>
      </w:pPr>
      <w:r>
        <w:rPr>
          <w:rFonts w:hint="eastAsia"/>
          <w:sz w:val="30"/>
          <w:szCs w:val="30"/>
        </w:rPr>
        <w:t>这便是所有使徒末世论的活生生的核心，正如每一段主要的新约末世论经文所揭示的。</w:t>
      </w:r>
    </w:p>
    <w:p w14:paraId="2E179550">
      <w:pPr>
        <w:bidi w:val="0"/>
        <w:rPr>
          <w:rFonts w:hint="eastAsia"/>
          <w:sz w:val="30"/>
          <w:szCs w:val="30"/>
        </w:rPr>
      </w:pPr>
    </w:p>
    <w:p w14:paraId="1E3901B2">
      <w:pPr>
        <w:bidi w:val="0"/>
        <w:rPr>
          <w:rFonts w:hint="eastAsia"/>
          <w:sz w:val="30"/>
          <w:szCs w:val="30"/>
        </w:rPr>
      </w:pPr>
      <w:r>
        <w:rPr>
          <w:rFonts w:hint="eastAsia"/>
          <w:sz w:val="30"/>
          <w:szCs w:val="30"/>
        </w:rPr>
        <w:t>Partial Preterism on the Revelation</w:t>
      </w:r>
    </w:p>
    <w:p w14:paraId="71E44DBE">
      <w:pPr>
        <w:bidi w:val="0"/>
        <w:rPr>
          <w:rFonts w:hint="eastAsia"/>
          <w:sz w:val="30"/>
          <w:szCs w:val="30"/>
        </w:rPr>
      </w:pPr>
      <w:r>
        <w:rPr>
          <w:rFonts w:hint="eastAsia"/>
          <w:sz w:val="30"/>
          <w:szCs w:val="30"/>
        </w:rPr>
        <w:t>部分过去主义对启示录的看法</w:t>
      </w:r>
    </w:p>
    <w:p w14:paraId="690FEB47">
      <w:pPr>
        <w:bidi w:val="0"/>
        <w:rPr>
          <w:rFonts w:hint="eastAsia"/>
          <w:sz w:val="30"/>
          <w:szCs w:val="30"/>
        </w:rPr>
      </w:pPr>
    </w:p>
    <w:p w14:paraId="672EB05C">
      <w:pPr>
        <w:bidi w:val="0"/>
        <w:rPr>
          <w:rFonts w:hint="eastAsia"/>
          <w:sz w:val="30"/>
          <w:szCs w:val="30"/>
        </w:rPr>
      </w:pPr>
      <w:r>
        <w:rPr>
          <w:rFonts w:hint="eastAsia"/>
          <w:sz w:val="30"/>
          <w:szCs w:val="30"/>
        </w:rPr>
        <w:t>Let me conclude with a few words about the partial preterist take on the Revelation.</w:t>
      </w:r>
    </w:p>
    <w:p w14:paraId="4E08B29D">
      <w:pPr>
        <w:bidi w:val="0"/>
        <w:rPr>
          <w:rFonts w:hint="eastAsia"/>
          <w:sz w:val="30"/>
          <w:szCs w:val="30"/>
        </w:rPr>
      </w:pPr>
      <w:r>
        <w:rPr>
          <w:rFonts w:hint="eastAsia"/>
          <w:sz w:val="30"/>
          <w:szCs w:val="30"/>
        </w:rPr>
        <w:t>让我以几句话来总结一下部分过去主义对启示录的看法。</w:t>
      </w:r>
    </w:p>
    <w:p w14:paraId="5F4A30AB">
      <w:pPr>
        <w:bidi w:val="0"/>
        <w:rPr>
          <w:rFonts w:hint="eastAsia"/>
          <w:sz w:val="30"/>
          <w:szCs w:val="30"/>
        </w:rPr>
      </w:pPr>
    </w:p>
    <w:p w14:paraId="28580263">
      <w:pPr>
        <w:bidi w:val="0"/>
        <w:rPr>
          <w:rFonts w:hint="eastAsia"/>
          <w:sz w:val="30"/>
          <w:szCs w:val="30"/>
        </w:rPr>
      </w:pPr>
      <w:r>
        <w:rPr>
          <w:rFonts w:hint="eastAsia"/>
          <w:sz w:val="30"/>
          <w:szCs w:val="30"/>
        </w:rPr>
        <w:t>Regarding chapters 1-19, partial preterists are in accord with full preterists: All is focused on the Jewish-Roman persecution of the Church, the rise of the Beast (Nero), and the Destruction of Jerusalem in 70 AD.</w:t>
      </w:r>
    </w:p>
    <w:p w14:paraId="0355F7AE">
      <w:pPr>
        <w:bidi w:val="0"/>
        <w:rPr>
          <w:rFonts w:hint="eastAsia"/>
          <w:sz w:val="30"/>
          <w:szCs w:val="30"/>
        </w:rPr>
      </w:pPr>
      <w:r>
        <w:rPr>
          <w:rFonts w:hint="eastAsia"/>
          <w:sz w:val="30"/>
          <w:szCs w:val="30"/>
        </w:rPr>
        <w:t>关于第1-19章，部分过去主义者与完全过去主义者意见一致：一切都聚焦于犹太-罗马对教会的迫害、兽（尼禄）的兴起以及公元70年耶路撒冷的毁灭。</w:t>
      </w:r>
    </w:p>
    <w:p w14:paraId="17C6356A">
      <w:pPr>
        <w:bidi w:val="0"/>
        <w:rPr>
          <w:rFonts w:hint="eastAsia"/>
          <w:sz w:val="30"/>
          <w:szCs w:val="30"/>
        </w:rPr>
      </w:pPr>
    </w:p>
    <w:p w14:paraId="2E1746D0">
      <w:pPr>
        <w:bidi w:val="0"/>
        <w:rPr>
          <w:rFonts w:hint="eastAsia"/>
          <w:sz w:val="30"/>
          <w:szCs w:val="30"/>
        </w:rPr>
      </w:pPr>
      <w:r>
        <w:rPr>
          <w:rFonts w:hint="eastAsia"/>
          <w:sz w:val="30"/>
          <w:szCs w:val="30"/>
        </w:rPr>
        <w:t>I have addressed these assertions above, and more extensively in the body of this book.</w:t>
      </w:r>
    </w:p>
    <w:p w14:paraId="4FBD704E">
      <w:pPr>
        <w:bidi w:val="0"/>
        <w:rPr>
          <w:rFonts w:hint="eastAsia"/>
          <w:sz w:val="30"/>
          <w:szCs w:val="30"/>
        </w:rPr>
      </w:pPr>
      <w:r>
        <w:rPr>
          <w:rFonts w:hint="eastAsia"/>
          <w:sz w:val="30"/>
          <w:szCs w:val="30"/>
        </w:rPr>
        <w:t>我在上面已经论述了这些断言，在本书正文中也更详尽地论述过。</w:t>
      </w:r>
    </w:p>
    <w:p w14:paraId="3B1D8849">
      <w:pPr>
        <w:bidi w:val="0"/>
        <w:rPr>
          <w:rFonts w:hint="eastAsia"/>
          <w:sz w:val="30"/>
          <w:szCs w:val="30"/>
        </w:rPr>
      </w:pPr>
    </w:p>
    <w:p w14:paraId="033F8D8D">
      <w:pPr>
        <w:bidi w:val="0"/>
        <w:rPr>
          <w:rFonts w:hint="eastAsia"/>
          <w:sz w:val="30"/>
          <w:szCs w:val="30"/>
        </w:rPr>
      </w:pPr>
      <w:r>
        <w:rPr>
          <w:rFonts w:hint="eastAsia"/>
          <w:sz w:val="30"/>
          <w:szCs w:val="30"/>
        </w:rPr>
        <w:t>Regarding Revelation 21-22, partial preterists typically stand with historic orthodoxy, viewing these chapters as a picture, cast largely in OT language, of the glorified Church situated in the glorified World to Come.</w:t>
      </w:r>
    </w:p>
    <w:p w14:paraId="705726DF">
      <w:pPr>
        <w:bidi w:val="0"/>
        <w:rPr>
          <w:rFonts w:hint="eastAsia"/>
          <w:sz w:val="30"/>
          <w:szCs w:val="30"/>
        </w:rPr>
      </w:pPr>
      <w:r>
        <w:rPr>
          <w:rFonts w:hint="eastAsia"/>
          <w:sz w:val="30"/>
          <w:szCs w:val="30"/>
        </w:rPr>
        <w:t>关于启示录第21-22章，部分过去主义者通常与历史正统站在一起，将这些章节视为一幅图画，主要用旧约语言描绘了在得荣耀的来世中，得荣耀的教会的情景。</w:t>
      </w:r>
    </w:p>
    <w:p w14:paraId="02D45D13">
      <w:pPr>
        <w:bidi w:val="0"/>
        <w:rPr>
          <w:rFonts w:hint="eastAsia"/>
          <w:sz w:val="30"/>
          <w:szCs w:val="30"/>
        </w:rPr>
      </w:pPr>
    </w:p>
    <w:p w14:paraId="093CE00F">
      <w:pPr>
        <w:bidi w:val="0"/>
        <w:rPr>
          <w:rFonts w:hint="eastAsia"/>
          <w:sz w:val="30"/>
          <w:szCs w:val="30"/>
        </w:rPr>
      </w:pPr>
      <w:r>
        <w:rPr>
          <w:rFonts w:hint="eastAsia"/>
          <w:sz w:val="30"/>
          <w:szCs w:val="30"/>
        </w:rPr>
        <w:t>Good for them.</w:t>
      </w:r>
    </w:p>
    <w:p w14:paraId="762788C4">
      <w:pPr>
        <w:bidi w:val="0"/>
        <w:rPr>
          <w:rFonts w:hint="eastAsia"/>
          <w:sz w:val="30"/>
          <w:szCs w:val="30"/>
        </w:rPr>
      </w:pPr>
      <w:r>
        <w:rPr>
          <w:rFonts w:hint="eastAsia"/>
          <w:sz w:val="30"/>
          <w:szCs w:val="30"/>
        </w:rPr>
        <w:t>为他们点赞。</w:t>
      </w:r>
    </w:p>
    <w:p w14:paraId="045CADE0">
      <w:pPr>
        <w:bidi w:val="0"/>
        <w:rPr>
          <w:rFonts w:hint="eastAsia"/>
          <w:sz w:val="30"/>
          <w:szCs w:val="30"/>
        </w:rPr>
      </w:pPr>
    </w:p>
    <w:p w14:paraId="3EEC1091">
      <w:pPr>
        <w:bidi w:val="0"/>
        <w:rPr>
          <w:rFonts w:hint="eastAsia"/>
          <w:sz w:val="30"/>
          <w:szCs w:val="30"/>
        </w:rPr>
      </w:pPr>
      <w:r>
        <w:rPr>
          <w:rFonts w:hint="eastAsia"/>
          <w:sz w:val="30"/>
          <w:szCs w:val="30"/>
        </w:rPr>
        <w:t>However, regarding Revelation 20 there are serious differences of opinion.</w:t>
      </w:r>
    </w:p>
    <w:p w14:paraId="55639C4F">
      <w:pPr>
        <w:bidi w:val="0"/>
        <w:rPr>
          <w:rFonts w:hint="eastAsia"/>
          <w:sz w:val="30"/>
          <w:szCs w:val="30"/>
        </w:rPr>
      </w:pPr>
      <w:r>
        <w:rPr>
          <w:rFonts w:hint="eastAsia"/>
          <w:sz w:val="30"/>
          <w:szCs w:val="30"/>
        </w:rPr>
        <w:t>然而，关于启示录第20章，存在着严重的意见分歧。</w:t>
      </w:r>
    </w:p>
    <w:p w14:paraId="65E4F523">
      <w:pPr>
        <w:bidi w:val="0"/>
        <w:rPr>
          <w:rFonts w:hint="eastAsia"/>
          <w:sz w:val="30"/>
          <w:szCs w:val="30"/>
        </w:rPr>
      </w:pPr>
    </w:p>
    <w:p w14:paraId="7325D780">
      <w:pPr>
        <w:bidi w:val="0"/>
        <w:rPr>
          <w:rFonts w:hint="eastAsia"/>
          <w:sz w:val="30"/>
          <w:szCs w:val="30"/>
        </w:rPr>
      </w:pPr>
      <w:r>
        <w:rPr>
          <w:rFonts w:hint="eastAsia"/>
          <w:sz w:val="30"/>
          <w:szCs w:val="30"/>
        </w:rPr>
        <w:t>On the one hand, we have those who identify the Millennium with the entire Church Era.</w:t>
      </w:r>
    </w:p>
    <w:p w14:paraId="5E2405F6">
      <w:pPr>
        <w:bidi w:val="0"/>
        <w:rPr>
          <w:rFonts w:hint="eastAsia"/>
          <w:sz w:val="30"/>
          <w:szCs w:val="30"/>
        </w:rPr>
      </w:pPr>
      <w:r>
        <w:rPr>
          <w:rFonts w:hint="eastAsia"/>
          <w:sz w:val="30"/>
          <w:szCs w:val="30"/>
        </w:rPr>
        <w:t>一方面，我们有那些将千禧年等同于整个教会时代的人。</w:t>
      </w:r>
    </w:p>
    <w:p w14:paraId="00F87840">
      <w:pPr>
        <w:bidi w:val="0"/>
        <w:rPr>
          <w:rFonts w:hint="eastAsia"/>
          <w:sz w:val="30"/>
          <w:szCs w:val="30"/>
        </w:rPr>
      </w:pPr>
    </w:p>
    <w:p w14:paraId="045CED37">
      <w:pPr>
        <w:bidi w:val="0"/>
        <w:rPr>
          <w:rFonts w:hint="eastAsia"/>
          <w:sz w:val="30"/>
          <w:szCs w:val="30"/>
        </w:rPr>
      </w:pPr>
      <w:r>
        <w:rPr>
          <w:rFonts w:hint="eastAsia"/>
          <w:sz w:val="30"/>
          <w:szCs w:val="30"/>
        </w:rPr>
        <w:t>On this view, the binding of Satan is a work of the Spirit made possible by the Cross of Christ.</w:t>
      </w:r>
    </w:p>
    <w:p w14:paraId="36481173">
      <w:pPr>
        <w:bidi w:val="0"/>
        <w:rPr>
          <w:rFonts w:hint="eastAsia"/>
          <w:sz w:val="30"/>
          <w:szCs w:val="30"/>
        </w:rPr>
      </w:pPr>
      <w:r>
        <w:rPr>
          <w:rFonts w:hint="eastAsia"/>
          <w:sz w:val="30"/>
          <w:szCs w:val="30"/>
        </w:rPr>
        <w:t>根据这种观点，捆绑撒但是圣灵的工作，是因基督的十字架而成为可能的。</w:t>
      </w:r>
    </w:p>
    <w:p w14:paraId="425802FE">
      <w:pPr>
        <w:bidi w:val="0"/>
        <w:rPr>
          <w:rFonts w:hint="eastAsia"/>
          <w:sz w:val="30"/>
          <w:szCs w:val="30"/>
        </w:rPr>
      </w:pPr>
    </w:p>
    <w:p w14:paraId="09A27CB2">
      <w:pPr>
        <w:bidi w:val="0"/>
        <w:rPr>
          <w:rFonts w:hint="eastAsia"/>
          <w:sz w:val="30"/>
          <w:szCs w:val="30"/>
        </w:rPr>
      </w:pPr>
      <w:r>
        <w:rPr>
          <w:rFonts w:hint="eastAsia"/>
          <w:sz w:val="30"/>
          <w:szCs w:val="30"/>
        </w:rPr>
        <w:t>Because of these two great redemptive events, Satan can no longer deceive the nations so as to prevent the ingathering of the elect, nor can he launch the Last Battle until God so decrees (20:1-3).</w:t>
      </w:r>
    </w:p>
    <w:p w14:paraId="78E5F682">
      <w:pPr>
        <w:bidi w:val="0"/>
        <w:rPr>
          <w:rFonts w:hint="eastAsia"/>
          <w:sz w:val="30"/>
          <w:szCs w:val="30"/>
        </w:rPr>
      </w:pPr>
      <w:r>
        <w:rPr>
          <w:rFonts w:hint="eastAsia"/>
          <w:sz w:val="30"/>
          <w:szCs w:val="30"/>
        </w:rPr>
        <w:t>因为这两个伟大的救赎事件，撒但再也不能迷惑列国，以致阻碍选民的聚集，也不能发动最后的争战，直到神如此命定（20:1-3）。</w:t>
      </w:r>
    </w:p>
    <w:p w14:paraId="4E82093D">
      <w:pPr>
        <w:bidi w:val="0"/>
        <w:rPr>
          <w:rFonts w:hint="eastAsia"/>
          <w:sz w:val="30"/>
          <w:szCs w:val="30"/>
        </w:rPr>
      </w:pPr>
    </w:p>
    <w:p w14:paraId="00235B40">
      <w:pPr>
        <w:bidi w:val="0"/>
        <w:rPr>
          <w:rFonts w:hint="eastAsia"/>
          <w:sz w:val="30"/>
          <w:szCs w:val="30"/>
        </w:rPr>
      </w:pPr>
      <w:r>
        <w:rPr>
          <w:rFonts w:hint="eastAsia"/>
          <w:sz w:val="30"/>
          <w:szCs w:val="30"/>
        </w:rPr>
        <w:t>The first resurrection and the reign of the saints are spiritual rather than physical, and (perhaps) heavenly rather than earthly (20:4-6).</w:t>
      </w:r>
    </w:p>
    <w:p w14:paraId="26D9F844">
      <w:pPr>
        <w:bidi w:val="0"/>
        <w:rPr>
          <w:rFonts w:hint="eastAsia"/>
          <w:sz w:val="30"/>
          <w:szCs w:val="30"/>
        </w:rPr>
      </w:pPr>
      <w:r>
        <w:rPr>
          <w:rFonts w:hint="eastAsia"/>
          <w:sz w:val="30"/>
          <w:szCs w:val="30"/>
        </w:rPr>
        <w:t>第一次复活和圣徒的掌权是属灵的而非属肉体的，并且（也许）是天上的而非地上的（20:4-6）。</w:t>
      </w:r>
    </w:p>
    <w:p w14:paraId="6223DA1C">
      <w:pPr>
        <w:bidi w:val="0"/>
        <w:rPr>
          <w:rFonts w:hint="eastAsia"/>
          <w:sz w:val="30"/>
          <w:szCs w:val="30"/>
        </w:rPr>
      </w:pPr>
    </w:p>
    <w:p w14:paraId="3E4C08FD">
      <w:pPr>
        <w:bidi w:val="0"/>
        <w:rPr>
          <w:rFonts w:hint="eastAsia"/>
          <w:sz w:val="30"/>
          <w:szCs w:val="30"/>
        </w:rPr>
      </w:pPr>
      <w:r>
        <w:rPr>
          <w:rFonts w:hint="eastAsia"/>
          <w:sz w:val="30"/>
          <w:szCs w:val="30"/>
        </w:rPr>
        <w:t>Revelation 20:7-10 gives us the book’s one and only prediction of the Last Battle against the Church, in which the Antichrist, who has already come (in the person of Nero), plays no part.</w:t>
      </w:r>
    </w:p>
    <w:p w14:paraId="21F1AC31">
      <w:pPr>
        <w:bidi w:val="0"/>
        <w:rPr>
          <w:rFonts w:hint="eastAsia"/>
          <w:sz w:val="30"/>
          <w:szCs w:val="30"/>
        </w:rPr>
      </w:pPr>
      <w:r>
        <w:rPr>
          <w:rFonts w:hint="eastAsia"/>
          <w:sz w:val="30"/>
          <w:szCs w:val="30"/>
        </w:rPr>
        <w:t>启示录20:7-10给了我们书中唯一一次对教会最后争战的预言，其中敌基督（以尼禄的身份已经来过）不扮演任何角色。</w:t>
      </w:r>
    </w:p>
    <w:p w14:paraId="68019310">
      <w:pPr>
        <w:bidi w:val="0"/>
        <w:rPr>
          <w:rFonts w:hint="eastAsia"/>
          <w:sz w:val="30"/>
          <w:szCs w:val="30"/>
        </w:rPr>
      </w:pPr>
    </w:p>
    <w:p w14:paraId="76E2D342">
      <w:pPr>
        <w:bidi w:val="0"/>
        <w:rPr>
          <w:rFonts w:hint="eastAsia"/>
          <w:sz w:val="30"/>
          <w:szCs w:val="30"/>
        </w:rPr>
      </w:pPr>
      <w:r>
        <w:rPr>
          <w:rFonts w:hint="eastAsia"/>
          <w:sz w:val="30"/>
          <w:szCs w:val="30"/>
        </w:rPr>
        <w:t>Other texts in the Revelation that seem to predict the Last Battle were actually fulfilled during the Great Tribulation of 66-70 AD, when the Church was persecuted by Israel and Rome (11:7-10, 16:12-16, 19:19-21).</w:t>
      </w:r>
    </w:p>
    <w:p w14:paraId="18165D0F">
      <w:pPr>
        <w:bidi w:val="0"/>
        <w:rPr>
          <w:rFonts w:hint="eastAsia"/>
          <w:sz w:val="30"/>
          <w:szCs w:val="30"/>
        </w:rPr>
      </w:pPr>
      <w:r>
        <w:rPr>
          <w:rFonts w:hint="eastAsia"/>
          <w:sz w:val="30"/>
          <w:szCs w:val="30"/>
        </w:rPr>
        <w:t>启示录中其他似乎预言最后争战的经文，实际上在公元66-70年的大灾难期间已经应验，当时教会受到以色列和罗马的迫害（11:7-10, 16:12-16, 19:19-21）。</w:t>
      </w:r>
    </w:p>
    <w:p w14:paraId="3BB72F21">
      <w:pPr>
        <w:bidi w:val="0"/>
        <w:rPr>
          <w:rFonts w:hint="eastAsia"/>
          <w:sz w:val="30"/>
          <w:szCs w:val="30"/>
        </w:rPr>
      </w:pPr>
    </w:p>
    <w:p w14:paraId="602F7303">
      <w:pPr>
        <w:bidi w:val="0"/>
        <w:rPr>
          <w:rFonts w:hint="eastAsia"/>
          <w:sz w:val="30"/>
          <w:szCs w:val="30"/>
        </w:rPr>
      </w:pPr>
      <w:r>
        <w:rPr>
          <w:rFonts w:hint="eastAsia"/>
          <w:sz w:val="30"/>
          <w:szCs w:val="30"/>
        </w:rPr>
        <w:t>As for 20:11-14, it gives us the Revelation’s one and only description of the Last Judgment at the end of the world.</w:t>
      </w:r>
    </w:p>
    <w:p w14:paraId="4DA17E40">
      <w:pPr>
        <w:bidi w:val="0"/>
        <w:rPr>
          <w:rFonts w:hint="eastAsia"/>
          <w:sz w:val="30"/>
          <w:szCs w:val="30"/>
        </w:rPr>
      </w:pPr>
      <w:r>
        <w:rPr>
          <w:rFonts w:hint="eastAsia"/>
          <w:sz w:val="30"/>
          <w:szCs w:val="30"/>
        </w:rPr>
        <w:t>至于20:11-14，它给了我们启示录中唯一一次对世界末日最后审判的描述。</w:t>
      </w:r>
    </w:p>
    <w:p w14:paraId="5CE4AFF3">
      <w:pPr>
        <w:bidi w:val="0"/>
        <w:rPr>
          <w:rFonts w:hint="eastAsia"/>
          <w:sz w:val="30"/>
          <w:szCs w:val="30"/>
        </w:rPr>
      </w:pPr>
    </w:p>
    <w:p w14:paraId="43C78700">
      <w:pPr>
        <w:bidi w:val="0"/>
        <w:rPr>
          <w:rFonts w:hint="eastAsia"/>
          <w:sz w:val="30"/>
          <w:szCs w:val="30"/>
        </w:rPr>
      </w:pPr>
      <w:r>
        <w:rPr>
          <w:rFonts w:hint="eastAsia"/>
          <w:sz w:val="30"/>
          <w:szCs w:val="30"/>
        </w:rPr>
        <w:t>Fundamentally, this is the amillennial view of Revelation 20, though it totters upon a grievous misreading of the rest of the book.</w:t>
      </w:r>
    </w:p>
    <w:p w14:paraId="032DBD39">
      <w:pPr>
        <w:bidi w:val="0"/>
        <w:rPr>
          <w:rFonts w:hint="eastAsia"/>
          <w:sz w:val="30"/>
          <w:szCs w:val="30"/>
        </w:rPr>
      </w:pPr>
      <w:r>
        <w:rPr>
          <w:rFonts w:hint="eastAsia"/>
          <w:sz w:val="30"/>
          <w:szCs w:val="30"/>
        </w:rPr>
        <w:t>从根本上说，这是对启示录第20章的无千禧年观点，尽管它建立在对本书其余部分严重误读的基础上，摇摇欲坠。</w:t>
      </w:r>
    </w:p>
    <w:p w14:paraId="1229F7D2">
      <w:pPr>
        <w:bidi w:val="0"/>
        <w:rPr>
          <w:rFonts w:hint="eastAsia"/>
          <w:sz w:val="30"/>
          <w:szCs w:val="30"/>
        </w:rPr>
      </w:pPr>
    </w:p>
    <w:p w14:paraId="6DB1575F">
      <w:pPr>
        <w:bidi w:val="0"/>
        <w:rPr>
          <w:rFonts w:hint="eastAsia"/>
          <w:sz w:val="30"/>
          <w:szCs w:val="30"/>
        </w:rPr>
      </w:pPr>
      <w:r>
        <w:rPr>
          <w:rFonts w:hint="eastAsia"/>
          <w:sz w:val="30"/>
          <w:szCs w:val="30"/>
        </w:rPr>
        <w:t>On the other hand, we have interpreters like Ken Gentry and Doug Wilson, who give us a postmillennial view of Revelation 20.</w:t>
      </w:r>
    </w:p>
    <w:p w14:paraId="600AC9D3">
      <w:pPr>
        <w:bidi w:val="0"/>
        <w:rPr>
          <w:rFonts w:hint="eastAsia"/>
          <w:sz w:val="30"/>
          <w:szCs w:val="30"/>
        </w:rPr>
      </w:pPr>
      <w:r>
        <w:rPr>
          <w:rFonts w:hint="eastAsia"/>
          <w:sz w:val="30"/>
          <w:szCs w:val="30"/>
        </w:rPr>
        <w:t>另一方面，我们有像肯·根特里（Ken Gentry）和道格·威尔逊（Doug Wilson）这样的解释者，他们给了我们一个后千禧年论对启示录第20章的看法。</w:t>
      </w:r>
    </w:p>
    <w:p w14:paraId="72F2E5E3">
      <w:pPr>
        <w:bidi w:val="0"/>
        <w:rPr>
          <w:rFonts w:hint="eastAsia"/>
          <w:sz w:val="30"/>
          <w:szCs w:val="30"/>
        </w:rPr>
      </w:pPr>
    </w:p>
    <w:p w14:paraId="6FD84C50">
      <w:pPr>
        <w:bidi w:val="0"/>
        <w:rPr>
          <w:rFonts w:hint="eastAsia"/>
          <w:sz w:val="30"/>
          <w:szCs w:val="30"/>
        </w:rPr>
      </w:pPr>
      <w:r>
        <w:rPr>
          <w:rFonts w:hint="eastAsia"/>
          <w:sz w:val="30"/>
          <w:szCs w:val="30"/>
        </w:rPr>
        <w:t>As we have seen, for postmillennarians the Millennium is a Golden Era still future to us.</w:t>
      </w:r>
    </w:p>
    <w:p w14:paraId="76B1B775">
      <w:pPr>
        <w:bidi w:val="0"/>
        <w:rPr>
          <w:rFonts w:hint="eastAsia"/>
          <w:sz w:val="30"/>
          <w:szCs w:val="30"/>
        </w:rPr>
      </w:pPr>
      <w:r>
        <w:rPr>
          <w:rFonts w:hint="eastAsia"/>
          <w:sz w:val="30"/>
          <w:szCs w:val="30"/>
        </w:rPr>
        <w:t>正如我们所见，对后千禧年论者来说，千禧年是一个对我们而言尚属未来的黄金时代。</w:t>
      </w:r>
    </w:p>
    <w:p w14:paraId="6F4AFA12">
      <w:pPr>
        <w:bidi w:val="0"/>
        <w:rPr>
          <w:rFonts w:hint="eastAsia"/>
          <w:sz w:val="30"/>
          <w:szCs w:val="30"/>
        </w:rPr>
      </w:pPr>
    </w:p>
    <w:p w14:paraId="32BB1ED0">
      <w:pPr>
        <w:bidi w:val="0"/>
        <w:rPr>
          <w:rFonts w:hint="eastAsia"/>
          <w:sz w:val="30"/>
          <w:szCs w:val="30"/>
        </w:rPr>
      </w:pPr>
      <w:r>
        <w:rPr>
          <w:rFonts w:hint="eastAsia"/>
          <w:sz w:val="30"/>
          <w:szCs w:val="30"/>
        </w:rPr>
        <w:t>The binding of Satan has yet to occur, but certainly will, perhaps when ethnic Israel at large turns to the Lord (Rom. 11:15).</w:t>
      </w:r>
    </w:p>
    <w:p w14:paraId="11BE544C">
      <w:pPr>
        <w:bidi w:val="0"/>
        <w:rPr>
          <w:rFonts w:hint="eastAsia"/>
          <w:sz w:val="30"/>
          <w:szCs w:val="30"/>
        </w:rPr>
      </w:pPr>
      <w:r>
        <w:rPr>
          <w:rFonts w:hint="eastAsia"/>
          <w:sz w:val="30"/>
          <w:szCs w:val="30"/>
        </w:rPr>
        <w:t>撒但的捆绑尚未发生，但肯定会发生，或许是在广大的种族以色列人归向主的时候（罗11:15）。</w:t>
      </w:r>
    </w:p>
    <w:p w14:paraId="3D467DEA">
      <w:pPr>
        <w:bidi w:val="0"/>
        <w:rPr>
          <w:rFonts w:hint="eastAsia"/>
          <w:sz w:val="30"/>
          <w:szCs w:val="30"/>
        </w:rPr>
      </w:pPr>
    </w:p>
    <w:p w14:paraId="464890F8">
      <w:pPr>
        <w:bidi w:val="0"/>
        <w:rPr>
          <w:rFonts w:hint="eastAsia"/>
          <w:sz w:val="30"/>
          <w:szCs w:val="30"/>
        </w:rPr>
      </w:pPr>
      <w:r>
        <w:rPr>
          <w:rFonts w:hint="eastAsia"/>
          <w:sz w:val="30"/>
          <w:szCs w:val="30"/>
        </w:rPr>
        <w:t>This will bring about “the first resurrection” and “the reign of the saints,” these being understood as a fresh burst of gospel vitality that will fill the earth, not only with multitudes of devoted Christians, but also with widespread Kingdom righteousness, peace, and joy.</w:t>
      </w:r>
    </w:p>
    <w:p w14:paraId="5BE77859">
      <w:pPr>
        <w:bidi w:val="0"/>
        <w:rPr>
          <w:rFonts w:hint="eastAsia"/>
          <w:sz w:val="30"/>
          <w:szCs w:val="30"/>
        </w:rPr>
      </w:pPr>
      <w:r>
        <w:rPr>
          <w:rFonts w:hint="eastAsia"/>
          <w:sz w:val="30"/>
          <w:szCs w:val="30"/>
        </w:rPr>
        <w:t>这将带来“第一次复活”和“圣徒的掌权”，这些被理解为福音活力的重新迸发，将充满全地，不仅有大量的虔诚信徒，还有普遍的国度公义、和平与喜乐。</w:t>
      </w:r>
    </w:p>
    <w:p w14:paraId="472FEAD2">
      <w:pPr>
        <w:bidi w:val="0"/>
        <w:rPr>
          <w:rFonts w:hint="eastAsia"/>
          <w:sz w:val="30"/>
          <w:szCs w:val="30"/>
        </w:rPr>
      </w:pPr>
    </w:p>
    <w:p w14:paraId="631B1F47">
      <w:pPr>
        <w:bidi w:val="0"/>
        <w:rPr>
          <w:rFonts w:hint="eastAsia"/>
          <w:sz w:val="30"/>
          <w:szCs w:val="30"/>
        </w:rPr>
      </w:pPr>
      <w:r>
        <w:rPr>
          <w:rFonts w:hint="eastAsia"/>
          <w:sz w:val="30"/>
          <w:szCs w:val="30"/>
        </w:rPr>
        <w:t>Alas, the Golden Era will indeed be marred by the release of Satan, and by a final rebellion against Christ and his faithful remnant (20:7-9).</w:t>
      </w:r>
    </w:p>
    <w:p w14:paraId="105A983B">
      <w:pPr>
        <w:bidi w:val="0"/>
        <w:rPr>
          <w:rFonts w:hint="eastAsia"/>
          <w:sz w:val="30"/>
          <w:szCs w:val="30"/>
        </w:rPr>
      </w:pPr>
      <w:r>
        <w:rPr>
          <w:rFonts w:hint="eastAsia"/>
          <w:sz w:val="30"/>
          <w:szCs w:val="30"/>
        </w:rPr>
        <w:t>唉，黄金时代确实会被撒但的释放，以及对基督和祂忠信余民的最后叛乱所玷污（20:7-9）。</w:t>
      </w:r>
    </w:p>
    <w:p w14:paraId="506D63C1">
      <w:pPr>
        <w:bidi w:val="0"/>
        <w:rPr>
          <w:rFonts w:hint="eastAsia"/>
          <w:sz w:val="30"/>
          <w:szCs w:val="30"/>
        </w:rPr>
      </w:pPr>
    </w:p>
    <w:p w14:paraId="3E5DE7B7">
      <w:pPr>
        <w:bidi w:val="0"/>
        <w:rPr>
          <w:rFonts w:hint="eastAsia"/>
          <w:sz w:val="30"/>
          <w:szCs w:val="30"/>
        </w:rPr>
      </w:pPr>
      <w:r>
        <w:rPr>
          <w:rFonts w:hint="eastAsia"/>
          <w:sz w:val="30"/>
          <w:szCs w:val="30"/>
        </w:rPr>
        <w:t>But the mysterious reversal will be offset by the fact that the Lord himself will immediately come again, visibly, in power, and with great glory (20:9), to raise the dead, judge the world in righteousness, and bring in the new heavens and the new earth (20:10-15).</w:t>
      </w:r>
    </w:p>
    <w:p w14:paraId="230BBC4B">
      <w:pPr>
        <w:bidi w:val="0"/>
        <w:rPr>
          <w:rFonts w:hint="eastAsia"/>
          <w:sz w:val="30"/>
          <w:szCs w:val="30"/>
        </w:rPr>
      </w:pPr>
      <w:r>
        <w:rPr>
          <w:rFonts w:hint="eastAsia"/>
          <w:sz w:val="30"/>
          <w:szCs w:val="30"/>
        </w:rPr>
        <w:t>但这个神秘的逆转将被一个事实所抵消，即主自己将立刻再次降临，是可见的，带着能力和极大的荣耀（20:9），使死人复活，按公义审判世界，并带进新天新地（20:10-15）。</w:t>
      </w:r>
    </w:p>
    <w:p w14:paraId="188A9AB4">
      <w:pPr>
        <w:bidi w:val="0"/>
        <w:rPr>
          <w:rFonts w:hint="eastAsia"/>
          <w:sz w:val="30"/>
          <w:szCs w:val="30"/>
        </w:rPr>
      </w:pPr>
    </w:p>
    <w:p w14:paraId="216D1EA0">
      <w:pPr>
        <w:bidi w:val="0"/>
        <w:rPr>
          <w:rFonts w:hint="eastAsia"/>
          <w:sz w:val="30"/>
          <w:szCs w:val="30"/>
        </w:rPr>
      </w:pPr>
      <w:r>
        <w:rPr>
          <w:rFonts w:hint="eastAsia"/>
          <w:sz w:val="30"/>
          <w:szCs w:val="30"/>
        </w:rPr>
        <w:t>Note carefully, then, that for all partial preterists, Revelation 20 alone gives us the supernatural Parousia of Christ, the bodily Resurrection, and the Last Judgment.</w:t>
      </w:r>
    </w:p>
    <w:p w14:paraId="56F9C558">
      <w:pPr>
        <w:bidi w:val="0"/>
        <w:rPr>
          <w:rFonts w:hint="eastAsia"/>
          <w:sz w:val="30"/>
          <w:szCs w:val="30"/>
        </w:rPr>
      </w:pPr>
      <w:r>
        <w:rPr>
          <w:rFonts w:hint="eastAsia"/>
          <w:sz w:val="30"/>
          <w:szCs w:val="30"/>
        </w:rPr>
        <w:t>那么，请仔细注意，对所有部分过去主义者来说，只有启示录第20章给了我们基督超自然的再来、身体的复活和最后的审判。</w:t>
      </w:r>
    </w:p>
    <w:p w14:paraId="425F5A13">
      <w:pPr>
        <w:bidi w:val="0"/>
        <w:rPr>
          <w:rFonts w:hint="eastAsia"/>
          <w:sz w:val="30"/>
          <w:szCs w:val="30"/>
        </w:rPr>
      </w:pPr>
    </w:p>
    <w:p w14:paraId="31341385">
      <w:pPr>
        <w:bidi w:val="0"/>
        <w:rPr>
          <w:rFonts w:hint="eastAsia"/>
          <w:sz w:val="30"/>
          <w:szCs w:val="30"/>
        </w:rPr>
      </w:pPr>
      <w:r>
        <w:rPr>
          <w:rFonts w:hint="eastAsia"/>
          <w:sz w:val="30"/>
          <w:szCs w:val="30"/>
        </w:rPr>
        <w:t>All the other texts that seem to predict these things were actually fulfilled in 70 AD (6:12-17, 11:11-19, 14:14-20, 16:17-21,19:11ff)!</w:t>
      </w:r>
    </w:p>
    <w:p w14:paraId="543481AB">
      <w:pPr>
        <w:bidi w:val="0"/>
        <w:rPr>
          <w:rFonts w:hint="eastAsia"/>
          <w:sz w:val="30"/>
          <w:szCs w:val="30"/>
        </w:rPr>
      </w:pPr>
      <w:r>
        <w:rPr>
          <w:rFonts w:hint="eastAsia"/>
          <w:sz w:val="30"/>
          <w:szCs w:val="30"/>
        </w:rPr>
        <w:t>所有其他似乎预言这些事情的经文，实际上都在公元70年应验了（6:12-17, 11:11-19, 14:14-20, 16:17-21, 19:11及以下）！</w:t>
      </w:r>
    </w:p>
    <w:p w14:paraId="0688FC5A">
      <w:pPr>
        <w:bidi w:val="0"/>
        <w:rPr>
          <w:rFonts w:hint="eastAsia"/>
          <w:sz w:val="30"/>
          <w:szCs w:val="30"/>
        </w:rPr>
      </w:pPr>
    </w:p>
    <w:p w14:paraId="5EB39F85">
      <w:pPr>
        <w:bidi w:val="0"/>
        <w:rPr>
          <w:rFonts w:hint="eastAsia"/>
          <w:sz w:val="30"/>
          <w:szCs w:val="30"/>
        </w:rPr>
      </w:pPr>
      <w:r>
        <w:rPr>
          <w:rFonts w:hint="eastAsia"/>
          <w:sz w:val="30"/>
          <w:szCs w:val="30"/>
        </w:rPr>
        <w:t>Having discussed the Revelation at length in the body of this book, there is no need for me to comment further on partial preterist views.</w:t>
      </w:r>
    </w:p>
    <w:p w14:paraId="2DCF591A">
      <w:pPr>
        <w:bidi w:val="0"/>
        <w:rPr>
          <w:rFonts w:hint="eastAsia"/>
          <w:sz w:val="30"/>
          <w:szCs w:val="30"/>
        </w:rPr>
      </w:pPr>
      <w:r>
        <w:rPr>
          <w:rFonts w:hint="eastAsia"/>
          <w:sz w:val="30"/>
          <w:szCs w:val="30"/>
        </w:rPr>
        <w:t>既然在本书正文中已详细讨论了启示录，我在此无需再对部分过去主义的观点作进一步评论。</w:t>
      </w:r>
    </w:p>
    <w:p w14:paraId="2052C891">
      <w:pPr>
        <w:bidi w:val="0"/>
        <w:rPr>
          <w:rFonts w:hint="eastAsia"/>
          <w:sz w:val="30"/>
          <w:szCs w:val="30"/>
        </w:rPr>
      </w:pPr>
    </w:p>
    <w:p w14:paraId="10354166">
      <w:pPr>
        <w:bidi w:val="0"/>
        <w:rPr>
          <w:rFonts w:hint="eastAsia"/>
          <w:sz w:val="30"/>
          <w:szCs w:val="30"/>
        </w:rPr>
      </w:pPr>
      <w:r>
        <w:rPr>
          <w:rFonts w:hint="eastAsia"/>
          <w:sz w:val="30"/>
          <w:szCs w:val="30"/>
        </w:rPr>
        <w:t>Suffice it to say that an over-emphasis on the events of 70 AD, and a faulty hermeneutic that arises from it, have kept our partial preterist brethren from fully seeing and enjoying the structure, purpose, and scope of this mighty prophecy.</w:t>
      </w:r>
    </w:p>
    <w:p w14:paraId="16C7E06F">
      <w:pPr>
        <w:bidi w:val="0"/>
        <w:rPr>
          <w:rFonts w:hint="eastAsia"/>
          <w:sz w:val="30"/>
          <w:szCs w:val="30"/>
        </w:rPr>
      </w:pPr>
      <w:r>
        <w:rPr>
          <w:rFonts w:hint="eastAsia"/>
          <w:sz w:val="30"/>
          <w:szCs w:val="30"/>
        </w:rPr>
        <w:t>只需说，对公元70年事件的过分强调，以及由此产生的错误释经学，已经使我们的部分过去主义弟兄们无法完全看见并享受这个伟大预言的结构、目的和范围。</w:t>
      </w:r>
    </w:p>
    <w:p w14:paraId="0C953555">
      <w:pPr>
        <w:bidi w:val="0"/>
        <w:rPr>
          <w:rFonts w:hint="eastAsia"/>
          <w:sz w:val="30"/>
          <w:szCs w:val="30"/>
        </w:rPr>
      </w:pPr>
    </w:p>
    <w:p w14:paraId="78F4E04B">
      <w:pPr>
        <w:bidi w:val="0"/>
        <w:rPr>
          <w:rFonts w:hint="eastAsia"/>
          <w:sz w:val="30"/>
          <w:szCs w:val="30"/>
        </w:rPr>
      </w:pPr>
      <w:r>
        <w:rPr>
          <w:rFonts w:hint="eastAsia"/>
          <w:sz w:val="30"/>
          <w:szCs w:val="30"/>
        </w:rPr>
        <w:t>This is a tragic loss, not only for them, but also for those who go down this eschatological road with them.</w:t>
      </w:r>
    </w:p>
    <w:p w14:paraId="3F227A10">
      <w:pPr>
        <w:bidi w:val="0"/>
        <w:rPr>
          <w:rFonts w:hint="eastAsia"/>
          <w:sz w:val="30"/>
          <w:szCs w:val="30"/>
        </w:rPr>
      </w:pPr>
      <w:r>
        <w:rPr>
          <w:rFonts w:hint="eastAsia"/>
          <w:sz w:val="30"/>
          <w:szCs w:val="30"/>
        </w:rPr>
        <w:t>这不仅对他们而言是悲剧性的损失，对那些与他们一同走上这条末世论道路的人也是如此。</w:t>
      </w:r>
    </w:p>
    <w:p w14:paraId="0FBCA958">
      <w:pPr>
        <w:bidi w:val="0"/>
        <w:rPr>
          <w:rFonts w:hint="eastAsia"/>
          <w:sz w:val="30"/>
          <w:szCs w:val="30"/>
        </w:rPr>
      </w:pPr>
    </w:p>
    <w:p w14:paraId="5CDAB12D">
      <w:pPr>
        <w:bidi w:val="0"/>
        <w:rPr>
          <w:rFonts w:hint="eastAsia"/>
          <w:sz w:val="30"/>
          <w:szCs w:val="30"/>
        </w:rPr>
      </w:pPr>
      <w:r>
        <w:rPr>
          <w:rFonts w:hint="eastAsia"/>
          <w:sz w:val="30"/>
          <w:szCs w:val="30"/>
        </w:rPr>
        <w:t>Our Lord meant the Revelation to be a mirror in which Christians of every generation could see their own face and their own world; in which they could be strengthened for persecution, readied for the Last Battle, and profoundly encouraged by manifold representations of all the elements of their Blessed Hope.</w:t>
      </w:r>
    </w:p>
    <w:p w14:paraId="615FE6FB">
      <w:pPr>
        <w:bidi w:val="0"/>
        <w:rPr>
          <w:rFonts w:hint="eastAsia"/>
          <w:sz w:val="30"/>
          <w:szCs w:val="30"/>
        </w:rPr>
      </w:pPr>
      <w:r>
        <w:rPr>
          <w:rFonts w:hint="eastAsia"/>
          <w:sz w:val="30"/>
          <w:szCs w:val="30"/>
        </w:rPr>
        <w:t>我们的主意在启示录成为一面镜子，让每一代的基督徒都能在其中看到自己的面孔和自己的世界；在其中他们能为受迫害而刚强，为最后的争战作好准备，并因他们有福盼望的所有要素的多种表述而得到深刻的鼓励。</w:t>
      </w:r>
    </w:p>
    <w:p w14:paraId="7DB360FE">
      <w:pPr>
        <w:bidi w:val="0"/>
        <w:rPr>
          <w:rFonts w:hint="eastAsia"/>
          <w:sz w:val="30"/>
          <w:szCs w:val="30"/>
        </w:rPr>
      </w:pPr>
    </w:p>
    <w:p w14:paraId="2EFABFCB">
      <w:pPr>
        <w:bidi w:val="0"/>
        <w:rPr>
          <w:rFonts w:hint="eastAsia"/>
          <w:sz w:val="30"/>
          <w:szCs w:val="30"/>
        </w:rPr>
      </w:pPr>
      <w:r>
        <w:rPr>
          <w:rFonts w:hint="eastAsia"/>
          <w:sz w:val="30"/>
          <w:szCs w:val="30"/>
        </w:rPr>
        <w:t>Like most of the NT, the Revelation says not a word about a providential coming of Christ to destroy Jerusalem.</w:t>
      </w:r>
    </w:p>
    <w:p w14:paraId="3D84EF17">
      <w:pPr>
        <w:bidi w:val="0"/>
        <w:rPr>
          <w:rFonts w:hint="eastAsia"/>
          <w:sz w:val="30"/>
          <w:szCs w:val="30"/>
        </w:rPr>
      </w:pPr>
      <w:r>
        <w:rPr>
          <w:rFonts w:hint="eastAsia"/>
          <w:sz w:val="30"/>
          <w:szCs w:val="30"/>
        </w:rPr>
        <w:t>像新约的大部分内容一样，启示录一字未提基督以护理的方式降临摧毁耶路撒冷。</w:t>
      </w:r>
    </w:p>
    <w:p w14:paraId="0E7AAE42">
      <w:pPr>
        <w:bidi w:val="0"/>
        <w:rPr>
          <w:rFonts w:hint="eastAsia"/>
          <w:sz w:val="30"/>
          <w:szCs w:val="30"/>
        </w:rPr>
      </w:pPr>
    </w:p>
    <w:p w14:paraId="5C32E350">
      <w:pPr>
        <w:bidi w:val="0"/>
        <w:rPr>
          <w:rFonts w:hint="eastAsia"/>
          <w:sz w:val="30"/>
          <w:szCs w:val="30"/>
        </w:rPr>
      </w:pPr>
      <w:r>
        <w:rPr>
          <w:rFonts w:hint="eastAsia"/>
          <w:sz w:val="30"/>
          <w:szCs w:val="30"/>
        </w:rPr>
        <w:t>It does, however, say many words about the one supernatural Coming of Christ to raise the dead, judge the world, radically transform the cosmos, and welcome his beloved Bride to eternal life with him in the glorious new World to Come.</w:t>
      </w:r>
    </w:p>
    <w:p w14:paraId="41E9BF30">
      <w:pPr>
        <w:bidi w:val="0"/>
        <w:rPr>
          <w:rFonts w:hint="eastAsia"/>
          <w:sz w:val="30"/>
          <w:szCs w:val="30"/>
        </w:rPr>
      </w:pPr>
      <w:r>
        <w:rPr>
          <w:rFonts w:hint="eastAsia"/>
          <w:sz w:val="30"/>
          <w:szCs w:val="30"/>
        </w:rPr>
        <w:t>然而，它确实说了许多话，论及基督那唯一的、超自然的降临，要使死人复活，审判世界，彻底改变宇宙，并欢迎祂心爱的新妇与祂一同在荣耀的新来世中享受永生。</w:t>
      </w:r>
    </w:p>
    <w:p w14:paraId="0AE799D2">
      <w:pPr>
        <w:bidi w:val="0"/>
        <w:rPr>
          <w:rFonts w:hint="eastAsia"/>
          <w:sz w:val="30"/>
          <w:szCs w:val="30"/>
        </w:rPr>
      </w:pPr>
    </w:p>
    <w:p w14:paraId="42C539F4">
      <w:pPr>
        <w:bidi w:val="0"/>
        <w:rPr>
          <w:rFonts w:hint="eastAsia"/>
          <w:sz w:val="30"/>
          <w:szCs w:val="30"/>
        </w:rPr>
      </w:pPr>
      <w:r>
        <w:rPr>
          <w:rFonts w:hint="eastAsia"/>
          <w:sz w:val="30"/>
          <w:szCs w:val="30"/>
        </w:rPr>
        <w:t>If we see and remember all this, we shall come to enjoy, rather than dread or dismiss, this wonderful book, the Grand Finale of all Scripture.</w:t>
      </w:r>
    </w:p>
    <w:p w14:paraId="6A9BDAD4">
      <w:pPr>
        <w:bidi w:val="0"/>
        <w:rPr>
          <w:rFonts w:hint="eastAsia"/>
          <w:sz w:val="30"/>
          <w:szCs w:val="30"/>
        </w:rPr>
      </w:pPr>
      <w:r>
        <w:rPr>
          <w:rFonts w:hint="eastAsia"/>
          <w:sz w:val="30"/>
          <w:szCs w:val="30"/>
        </w:rPr>
        <w:t>如果我们看到并记住所有这一切，我们就会来享受，而不是畏惧或摒弃这本奇妙的书，即整本圣经的宏伟终曲。</w:t>
      </w:r>
    </w:p>
    <w:p w14:paraId="5AF7DA38">
      <w:pPr>
        <w:bidi w:val="0"/>
        <w:rPr>
          <w:rFonts w:hint="eastAsia"/>
          <w:sz w:val="30"/>
          <w:szCs w:val="30"/>
        </w:rPr>
      </w:pPr>
    </w:p>
    <w:p w14:paraId="74ED4E49">
      <w:pPr>
        <w:bidi w:val="0"/>
        <w:rPr>
          <w:rFonts w:hint="eastAsia"/>
          <w:sz w:val="30"/>
          <w:szCs w:val="30"/>
        </w:rPr>
      </w:pPr>
      <w:r>
        <w:rPr>
          <w:rFonts w:hint="eastAsia"/>
          <w:sz w:val="30"/>
          <w:szCs w:val="30"/>
        </w:rPr>
        <w:t>Conclusion</w:t>
      </w:r>
    </w:p>
    <w:p w14:paraId="44C58B71">
      <w:pPr>
        <w:bidi w:val="0"/>
        <w:rPr>
          <w:rFonts w:hint="eastAsia"/>
          <w:sz w:val="30"/>
          <w:szCs w:val="30"/>
        </w:rPr>
      </w:pPr>
      <w:r>
        <w:rPr>
          <w:rFonts w:hint="eastAsia"/>
          <w:sz w:val="30"/>
          <w:szCs w:val="30"/>
        </w:rPr>
        <w:t>结论</w:t>
      </w:r>
    </w:p>
    <w:p w14:paraId="59F4FBCA">
      <w:pPr>
        <w:bidi w:val="0"/>
        <w:rPr>
          <w:rFonts w:hint="eastAsia"/>
          <w:sz w:val="30"/>
          <w:szCs w:val="30"/>
        </w:rPr>
      </w:pPr>
    </w:p>
    <w:p w14:paraId="34AE99A7">
      <w:pPr>
        <w:bidi w:val="0"/>
        <w:rPr>
          <w:rFonts w:hint="eastAsia"/>
          <w:sz w:val="30"/>
          <w:szCs w:val="30"/>
        </w:rPr>
      </w:pPr>
      <w:r>
        <w:rPr>
          <w:rFonts w:hint="eastAsia"/>
          <w:sz w:val="30"/>
          <w:szCs w:val="30"/>
        </w:rPr>
        <w:t>In this appendix, I have lingered long over preterist eschatology, not because it is an especially popular view, but because in recent years it has gained a foothold in Reformed circles, circles that hitherto have been bastions of amillennial orthodoxy.</w:t>
      </w:r>
    </w:p>
    <w:p w14:paraId="484432E3">
      <w:pPr>
        <w:bidi w:val="0"/>
        <w:rPr>
          <w:rFonts w:hint="eastAsia"/>
          <w:sz w:val="30"/>
          <w:szCs w:val="30"/>
        </w:rPr>
      </w:pPr>
      <w:r>
        <w:rPr>
          <w:rFonts w:hint="eastAsia"/>
          <w:sz w:val="30"/>
          <w:szCs w:val="30"/>
        </w:rPr>
        <w:t>在本附录中，我长时间地探讨了过去主义末世论，不是因为它是一个特别流行的观点，而是因为它近年来在改革宗教会圈子里站稳了脚跟，而这些圈子迄今为止一直是无千禧年正统的堡垒。</w:t>
      </w:r>
    </w:p>
    <w:p w14:paraId="39B7AB95">
      <w:pPr>
        <w:bidi w:val="0"/>
        <w:rPr>
          <w:rFonts w:hint="eastAsia"/>
          <w:sz w:val="30"/>
          <w:szCs w:val="30"/>
        </w:rPr>
      </w:pPr>
    </w:p>
    <w:p w14:paraId="65052DFB">
      <w:pPr>
        <w:bidi w:val="0"/>
        <w:rPr>
          <w:rFonts w:hint="eastAsia"/>
          <w:sz w:val="30"/>
          <w:szCs w:val="30"/>
        </w:rPr>
      </w:pPr>
      <w:r>
        <w:rPr>
          <w:rFonts w:hint="eastAsia"/>
          <w:sz w:val="30"/>
          <w:szCs w:val="30"/>
        </w:rPr>
        <w:t>Needless to say, that troubles me.</w:t>
      </w:r>
    </w:p>
    <w:p w14:paraId="7CC7EEBE">
      <w:pPr>
        <w:bidi w:val="0"/>
        <w:rPr>
          <w:rFonts w:hint="eastAsia"/>
          <w:sz w:val="30"/>
          <w:szCs w:val="30"/>
        </w:rPr>
      </w:pPr>
      <w:r>
        <w:rPr>
          <w:rFonts w:hint="eastAsia"/>
          <w:sz w:val="30"/>
          <w:szCs w:val="30"/>
        </w:rPr>
        <w:t>不用说，那让我感到困扰。</w:t>
      </w:r>
    </w:p>
    <w:p w14:paraId="1A1B1A15">
      <w:pPr>
        <w:bidi w:val="0"/>
        <w:rPr>
          <w:rFonts w:hint="eastAsia"/>
          <w:sz w:val="30"/>
          <w:szCs w:val="30"/>
        </w:rPr>
      </w:pPr>
    </w:p>
    <w:p w14:paraId="55B19354">
      <w:pPr>
        <w:bidi w:val="0"/>
        <w:rPr>
          <w:rFonts w:hint="eastAsia"/>
          <w:sz w:val="30"/>
          <w:szCs w:val="30"/>
        </w:rPr>
      </w:pPr>
      <w:r>
        <w:rPr>
          <w:rFonts w:hint="eastAsia"/>
          <w:sz w:val="30"/>
          <w:szCs w:val="30"/>
        </w:rPr>
        <w:t>At a time when my Reformed brethren should be calling Christ’s Church back to eschatological orthodoxy, I now find some of them mired in error—or worse.</w:t>
      </w:r>
    </w:p>
    <w:p w14:paraId="39251D2F">
      <w:pPr>
        <w:bidi w:val="0"/>
        <w:rPr>
          <w:rFonts w:hint="eastAsia"/>
          <w:sz w:val="30"/>
          <w:szCs w:val="30"/>
        </w:rPr>
      </w:pPr>
      <w:r>
        <w:rPr>
          <w:rFonts w:hint="eastAsia"/>
          <w:sz w:val="30"/>
          <w:szCs w:val="30"/>
        </w:rPr>
        <w:t>在我改革宗的弟兄们应该呼召基督的教会回归末世论正统的时候，我如今却发现他们中的一些人陷入了错误——甚至更糟。</w:t>
      </w:r>
    </w:p>
    <w:p w14:paraId="2E08AF8A">
      <w:pPr>
        <w:bidi w:val="0"/>
        <w:rPr>
          <w:rFonts w:hint="eastAsia"/>
          <w:sz w:val="30"/>
          <w:szCs w:val="30"/>
        </w:rPr>
      </w:pPr>
    </w:p>
    <w:p w14:paraId="279156D5">
      <w:pPr>
        <w:bidi w:val="0"/>
        <w:rPr>
          <w:rFonts w:hint="eastAsia"/>
          <w:sz w:val="30"/>
          <w:szCs w:val="30"/>
        </w:rPr>
      </w:pPr>
      <w:r>
        <w:rPr>
          <w:rFonts w:hint="eastAsia"/>
          <w:sz w:val="30"/>
          <w:szCs w:val="30"/>
        </w:rPr>
        <w:t>Of all the contemporary options in eschatology, FP is the least scriptural and, should it gain currency, the most dangerous.</w:t>
      </w:r>
    </w:p>
    <w:p w14:paraId="39E0DDFE">
      <w:pPr>
        <w:bidi w:val="0"/>
        <w:rPr>
          <w:rFonts w:hint="eastAsia"/>
          <w:sz w:val="30"/>
          <w:szCs w:val="30"/>
        </w:rPr>
      </w:pPr>
      <w:r>
        <w:rPr>
          <w:rFonts w:hint="eastAsia"/>
          <w:sz w:val="30"/>
          <w:szCs w:val="30"/>
        </w:rPr>
        <w:t>在所有当代的末世论选项中，完全过去主义是最不符合圣经的，并且，如果它流行起来，将是最危险的。</w:t>
      </w:r>
    </w:p>
    <w:p w14:paraId="46445450">
      <w:pPr>
        <w:bidi w:val="0"/>
        <w:rPr>
          <w:rFonts w:hint="eastAsia"/>
          <w:sz w:val="30"/>
          <w:szCs w:val="30"/>
        </w:rPr>
      </w:pPr>
    </w:p>
    <w:p w14:paraId="6A0068F8">
      <w:pPr>
        <w:bidi w:val="0"/>
        <w:rPr>
          <w:rFonts w:hint="eastAsia"/>
          <w:sz w:val="30"/>
          <w:szCs w:val="30"/>
        </w:rPr>
      </w:pPr>
      <w:r>
        <w:rPr>
          <w:rFonts w:hint="eastAsia"/>
          <w:sz w:val="30"/>
          <w:szCs w:val="30"/>
        </w:rPr>
        <w:t>The reasons are many.</w:t>
      </w:r>
    </w:p>
    <w:p w14:paraId="0E5399EC">
      <w:pPr>
        <w:bidi w:val="0"/>
        <w:rPr>
          <w:rFonts w:hint="eastAsia"/>
          <w:sz w:val="30"/>
          <w:szCs w:val="30"/>
        </w:rPr>
      </w:pPr>
      <w:r>
        <w:rPr>
          <w:rFonts w:hint="eastAsia"/>
          <w:sz w:val="30"/>
          <w:szCs w:val="30"/>
        </w:rPr>
        <w:t>原因有很多。</w:t>
      </w:r>
    </w:p>
    <w:p w14:paraId="5BCA9A84">
      <w:pPr>
        <w:bidi w:val="0"/>
        <w:rPr>
          <w:rFonts w:hint="eastAsia"/>
          <w:sz w:val="30"/>
          <w:szCs w:val="30"/>
        </w:rPr>
      </w:pPr>
    </w:p>
    <w:p w14:paraId="72CA7432">
      <w:pPr>
        <w:bidi w:val="0"/>
        <w:rPr>
          <w:rFonts w:hint="eastAsia"/>
          <w:sz w:val="30"/>
          <w:szCs w:val="30"/>
        </w:rPr>
      </w:pPr>
      <w:r>
        <w:rPr>
          <w:rFonts w:hint="eastAsia"/>
          <w:sz w:val="30"/>
          <w:szCs w:val="30"/>
        </w:rPr>
        <w:t>In countless ways it robs the Church of her true Blessed Hope, even as it renders her vulnerable to the extraordinary trials and temptations of the end of the age.</w:t>
      </w:r>
    </w:p>
    <w:p w14:paraId="70AD338D">
      <w:pPr>
        <w:bidi w:val="0"/>
        <w:rPr>
          <w:rFonts w:hint="eastAsia"/>
          <w:sz w:val="30"/>
          <w:szCs w:val="30"/>
        </w:rPr>
      </w:pPr>
      <w:r>
        <w:rPr>
          <w:rFonts w:hint="eastAsia"/>
          <w:sz w:val="30"/>
          <w:szCs w:val="30"/>
        </w:rPr>
        <w:t>它以无数种方式剥夺了教会真正的有福盼望，同时使她容易受到时代终结时非凡的试炼和诱惑。</w:t>
      </w:r>
    </w:p>
    <w:p w14:paraId="46C8038F">
      <w:pPr>
        <w:bidi w:val="0"/>
        <w:rPr>
          <w:rFonts w:hint="eastAsia"/>
          <w:sz w:val="30"/>
          <w:szCs w:val="30"/>
        </w:rPr>
      </w:pPr>
    </w:p>
    <w:p w14:paraId="709A5B53">
      <w:pPr>
        <w:bidi w:val="0"/>
        <w:rPr>
          <w:rFonts w:hint="eastAsia"/>
          <w:sz w:val="30"/>
          <w:szCs w:val="30"/>
        </w:rPr>
      </w:pPr>
      <w:r>
        <w:rPr>
          <w:rFonts w:hint="eastAsia"/>
          <w:sz w:val="30"/>
          <w:szCs w:val="30"/>
        </w:rPr>
        <w:t>It radically undermines her confidence in the perspicuity of Scripture, thereby discouraging the saints from turning to the life-giving streams of the Word of God for light and strength.</w:t>
      </w:r>
    </w:p>
    <w:p w14:paraId="7EB5D550">
      <w:pPr>
        <w:bidi w:val="0"/>
        <w:rPr>
          <w:rFonts w:hint="eastAsia"/>
          <w:sz w:val="30"/>
          <w:szCs w:val="30"/>
        </w:rPr>
      </w:pPr>
      <w:r>
        <w:rPr>
          <w:rFonts w:hint="eastAsia"/>
          <w:sz w:val="30"/>
          <w:szCs w:val="30"/>
        </w:rPr>
        <w:t>它从根本上削弱了她对圣经明晰性的信心，从而阻碍了圣徒转向神话语那赐生命的泉源，以寻求光和力量。</w:t>
      </w:r>
    </w:p>
    <w:p w14:paraId="1DF99965">
      <w:pPr>
        <w:bidi w:val="0"/>
        <w:rPr>
          <w:rFonts w:hint="eastAsia"/>
          <w:sz w:val="30"/>
          <w:szCs w:val="30"/>
        </w:rPr>
      </w:pPr>
    </w:p>
    <w:p w14:paraId="29313F6E">
      <w:pPr>
        <w:bidi w:val="0"/>
        <w:rPr>
          <w:rFonts w:hint="eastAsia"/>
          <w:sz w:val="30"/>
          <w:szCs w:val="30"/>
        </w:rPr>
      </w:pPr>
      <w:r>
        <w:rPr>
          <w:rFonts w:hint="eastAsia"/>
          <w:sz w:val="30"/>
          <w:szCs w:val="30"/>
        </w:rPr>
        <w:t>Worst of all, however, is its denial of the resurrection of the body, an eschatological heresy that strikes dangerously close to the heart of the Gospel.</w:t>
      </w:r>
    </w:p>
    <w:p w14:paraId="19982C44">
      <w:pPr>
        <w:bidi w:val="0"/>
        <w:rPr>
          <w:rFonts w:hint="eastAsia"/>
          <w:sz w:val="30"/>
          <w:szCs w:val="30"/>
        </w:rPr>
      </w:pPr>
      <w:r>
        <w:rPr>
          <w:rFonts w:hint="eastAsia"/>
          <w:sz w:val="30"/>
          <w:szCs w:val="30"/>
        </w:rPr>
        <w:t>然而，最糟糕的是它否认身体的复活，这是一个末世论的异端，危险地触及了福音的核心。</w:t>
      </w:r>
    </w:p>
    <w:p w14:paraId="4D9755BF">
      <w:pPr>
        <w:bidi w:val="0"/>
        <w:rPr>
          <w:rFonts w:hint="eastAsia"/>
          <w:sz w:val="30"/>
          <w:szCs w:val="30"/>
        </w:rPr>
      </w:pPr>
    </w:p>
    <w:p w14:paraId="0CA11EF8">
      <w:pPr>
        <w:bidi w:val="0"/>
        <w:rPr>
          <w:rFonts w:hint="eastAsia"/>
          <w:sz w:val="30"/>
          <w:szCs w:val="30"/>
        </w:rPr>
      </w:pPr>
      <w:r>
        <w:rPr>
          <w:rFonts w:hint="eastAsia"/>
          <w:sz w:val="30"/>
          <w:szCs w:val="30"/>
        </w:rPr>
        <w:t>Therefore, we should resist this grievously distorted teaching with all our might.</w:t>
      </w:r>
    </w:p>
    <w:p w14:paraId="1AC13CCF">
      <w:pPr>
        <w:bidi w:val="0"/>
        <w:rPr>
          <w:rFonts w:hint="eastAsia"/>
          <w:sz w:val="30"/>
          <w:szCs w:val="30"/>
        </w:rPr>
      </w:pPr>
      <w:r>
        <w:rPr>
          <w:rFonts w:hint="eastAsia"/>
          <w:sz w:val="30"/>
          <w:szCs w:val="30"/>
        </w:rPr>
        <w:t>因此，我们应该竭尽全力抵制这种严重歪曲的教导。</w:t>
      </w:r>
    </w:p>
    <w:p w14:paraId="54530B94">
      <w:pPr>
        <w:bidi w:val="0"/>
        <w:rPr>
          <w:rFonts w:hint="eastAsia"/>
          <w:sz w:val="30"/>
          <w:szCs w:val="30"/>
        </w:rPr>
      </w:pPr>
    </w:p>
    <w:p w14:paraId="4F4FD495">
      <w:pPr>
        <w:bidi w:val="0"/>
        <w:rPr>
          <w:rFonts w:hint="eastAsia"/>
          <w:sz w:val="30"/>
          <w:szCs w:val="30"/>
        </w:rPr>
      </w:pPr>
      <w:r>
        <w:rPr>
          <w:rFonts w:hint="eastAsia"/>
          <w:sz w:val="30"/>
          <w:szCs w:val="30"/>
        </w:rPr>
        <w:t>As for Partial Preterism, I am only slightly less concerned.</w:t>
      </w:r>
    </w:p>
    <w:p w14:paraId="248F9E9C">
      <w:pPr>
        <w:bidi w:val="0"/>
        <w:rPr>
          <w:rFonts w:hint="eastAsia"/>
          <w:sz w:val="30"/>
          <w:szCs w:val="30"/>
        </w:rPr>
      </w:pPr>
      <w:r>
        <w:rPr>
          <w:rFonts w:hint="eastAsia"/>
          <w:sz w:val="30"/>
          <w:szCs w:val="30"/>
        </w:rPr>
        <w:t>至于部分过去主义，我只稍微不那么担心。</w:t>
      </w:r>
    </w:p>
    <w:p w14:paraId="4F32B126">
      <w:pPr>
        <w:bidi w:val="0"/>
        <w:rPr>
          <w:rFonts w:hint="eastAsia"/>
          <w:sz w:val="30"/>
          <w:szCs w:val="30"/>
        </w:rPr>
      </w:pPr>
    </w:p>
    <w:p w14:paraId="05CB2353">
      <w:pPr>
        <w:bidi w:val="0"/>
        <w:rPr>
          <w:rFonts w:hint="eastAsia"/>
          <w:sz w:val="30"/>
          <w:szCs w:val="30"/>
        </w:rPr>
      </w:pPr>
      <w:r>
        <w:rPr>
          <w:rFonts w:hint="eastAsia"/>
          <w:sz w:val="30"/>
          <w:szCs w:val="30"/>
        </w:rPr>
        <w:t>Why?</w:t>
      </w:r>
    </w:p>
    <w:p w14:paraId="32099940">
      <w:pPr>
        <w:bidi w:val="0"/>
        <w:rPr>
          <w:rFonts w:hint="eastAsia"/>
          <w:sz w:val="30"/>
          <w:szCs w:val="30"/>
        </w:rPr>
      </w:pPr>
      <w:r>
        <w:rPr>
          <w:rFonts w:hint="eastAsia"/>
          <w:sz w:val="30"/>
          <w:szCs w:val="30"/>
        </w:rPr>
        <w:t>为什么？</w:t>
      </w:r>
    </w:p>
    <w:p w14:paraId="4585BD64">
      <w:pPr>
        <w:bidi w:val="0"/>
        <w:rPr>
          <w:rFonts w:hint="eastAsia"/>
          <w:sz w:val="30"/>
          <w:szCs w:val="30"/>
        </w:rPr>
      </w:pPr>
    </w:p>
    <w:p w14:paraId="3CA69F75">
      <w:pPr>
        <w:bidi w:val="0"/>
        <w:rPr>
          <w:rFonts w:hint="eastAsia"/>
          <w:sz w:val="30"/>
          <w:szCs w:val="30"/>
        </w:rPr>
      </w:pPr>
      <w:r>
        <w:rPr>
          <w:rFonts w:hint="eastAsia"/>
          <w:sz w:val="30"/>
          <w:szCs w:val="30"/>
        </w:rPr>
        <w:t>Because PP is simply an inconsistent form of FP.</w:t>
      </w:r>
    </w:p>
    <w:p w14:paraId="626345ED">
      <w:pPr>
        <w:bidi w:val="0"/>
        <w:rPr>
          <w:rFonts w:hint="eastAsia"/>
          <w:sz w:val="30"/>
          <w:szCs w:val="30"/>
        </w:rPr>
      </w:pPr>
      <w:r>
        <w:rPr>
          <w:rFonts w:hint="eastAsia"/>
          <w:sz w:val="30"/>
          <w:szCs w:val="30"/>
        </w:rPr>
        <w:t>因为部分过去主义只是完全过去主义的一种不一致的形式。</w:t>
      </w:r>
    </w:p>
    <w:p w14:paraId="4DAB7EB3">
      <w:pPr>
        <w:bidi w:val="0"/>
        <w:rPr>
          <w:rFonts w:hint="eastAsia"/>
          <w:sz w:val="30"/>
          <w:szCs w:val="30"/>
        </w:rPr>
      </w:pPr>
    </w:p>
    <w:p w14:paraId="27C1E938">
      <w:pPr>
        <w:bidi w:val="0"/>
        <w:rPr>
          <w:rFonts w:hint="eastAsia"/>
          <w:sz w:val="30"/>
          <w:szCs w:val="30"/>
        </w:rPr>
      </w:pPr>
      <w:r>
        <w:rPr>
          <w:rFonts w:hint="eastAsia"/>
          <w:sz w:val="30"/>
          <w:szCs w:val="30"/>
        </w:rPr>
        <w:t>As we have just seen, both of them stand upon the same corrupt foundation: a faulty exegesis of Matthew 24 that fails to discern prophetic blending; that collapses the far into the near and the cosmic into the local; that therefore hyper-spiritualizes and misinterprets our Lord’s paradigmatic description of his Parousia (Mt. 24:27-31); that thereby creates a false hermeneutic and a false emphasis that spread like a cancer to other crucial eschatological texts, especially the Revelation.</w:t>
      </w:r>
    </w:p>
    <w:p w14:paraId="16435F54">
      <w:pPr>
        <w:bidi w:val="0"/>
        <w:rPr>
          <w:rFonts w:hint="eastAsia"/>
          <w:sz w:val="30"/>
          <w:szCs w:val="30"/>
        </w:rPr>
      </w:pPr>
      <w:r>
        <w:rPr>
          <w:rFonts w:hint="eastAsia"/>
          <w:sz w:val="30"/>
          <w:szCs w:val="30"/>
        </w:rPr>
        <w:t>正如我们刚才所见，两者都建立在同一个败坏的基础之上：对马太福音第24章的错误解经，未能辨别预言的融合；将远处的事物坍缩到近处，宇宙性的事物坍缩到局部；因此过度属灵化并误解了我们主对祂再来的典范性描述（太24:27-31）；从而产生了一种错误的释经学和错误的重点，像癌症一样扩散到其他关键的末世论经文，尤其是启示录。</w:t>
      </w:r>
    </w:p>
    <w:p w14:paraId="2A997953">
      <w:pPr>
        <w:bidi w:val="0"/>
        <w:rPr>
          <w:rFonts w:hint="eastAsia"/>
          <w:sz w:val="30"/>
          <w:szCs w:val="30"/>
        </w:rPr>
      </w:pPr>
    </w:p>
    <w:p w14:paraId="15BB4A19">
      <w:pPr>
        <w:bidi w:val="0"/>
        <w:rPr>
          <w:rFonts w:hint="eastAsia"/>
          <w:sz w:val="30"/>
          <w:szCs w:val="30"/>
        </w:rPr>
      </w:pPr>
      <w:r>
        <w:rPr>
          <w:rFonts w:hint="eastAsia"/>
          <w:sz w:val="30"/>
          <w:szCs w:val="30"/>
        </w:rPr>
        <w:t>In short, if hermeneutical consistency counts for anything, the partial preterist must sooner or later become a full preterist—or else turn back altogether.</w:t>
      </w:r>
    </w:p>
    <w:p w14:paraId="308EA095">
      <w:pPr>
        <w:bidi w:val="0"/>
        <w:rPr>
          <w:rFonts w:hint="eastAsia"/>
          <w:sz w:val="30"/>
          <w:szCs w:val="30"/>
        </w:rPr>
      </w:pPr>
      <w:r>
        <w:rPr>
          <w:rFonts w:hint="eastAsia"/>
          <w:sz w:val="30"/>
          <w:szCs w:val="30"/>
        </w:rPr>
        <w:t>简而言之，如果释经学的一致性有任何价值的话，部分过去主义者迟早必须成为一个完全过去主义者——否则就得完全回头。</w:t>
      </w:r>
    </w:p>
    <w:p w14:paraId="3EC811E5">
      <w:pPr>
        <w:bidi w:val="0"/>
        <w:rPr>
          <w:rFonts w:hint="eastAsia"/>
          <w:sz w:val="30"/>
          <w:szCs w:val="30"/>
        </w:rPr>
      </w:pPr>
    </w:p>
    <w:p w14:paraId="714CBDD1">
      <w:pPr>
        <w:bidi w:val="0"/>
        <w:rPr>
          <w:rFonts w:hint="eastAsia"/>
          <w:sz w:val="30"/>
          <w:szCs w:val="30"/>
        </w:rPr>
      </w:pPr>
      <w:r>
        <w:rPr>
          <w:rFonts w:hint="eastAsia"/>
          <w:sz w:val="30"/>
          <w:szCs w:val="30"/>
        </w:rPr>
        <w:t>I would welcome the latter.</w:t>
      </w:r>
    </w:p>
    <w:p w14:paraId="27CE7B56">
      <w:pPr>
        <w:bidi w:val="0"/>
        <w:rPr>
          <w:rFonts w:hint="eastAsia"/>
          <w:sz w:val="30"/>
          <w:szCs w:val="30"/>
        </w:rPr>
      </w:pPr>
      <w:r>
        <w:rPr>
          <w:rFonts w:hint="eastAsia"/>
          <w:sz w:val="30"/>
          <w:szCs w:val="30"/>
        </w:rPr>
        <w:t>我欢迎后者。</w:t>
      </w:r>
    </w:p>
    <w:p w14:paraId="2D0216DF">
      <w:pPr>
        <w:bidi w:val="0"/>
        <w:rPr>
          <w:rFonts w:hint="eastAsia"/>
          <w:sz w:val="30"/>
          <w:szCs w:val="30"/>
        </w:rPr>
      </w:pPr>
    </w:p>
    <w:p w14:paraId="0322A1F2">
      <w:pPr>
        <w:bidi w:val="0"/>
        <w:rPr>
          <w:rFonts w:hint="eastAsia"/>
          <w:sz w:val="30"/>
          <w:szCs w:val="30"/>
        </w:rPr>
      </w:pPr>
      <w:r>
        <w:rPr>
          <w:rFonts w:hint="eastAsia"/>
          <w:sz w:val="30"/>
          <w:szCs w:val="30"/>
        </w:rPr>
        <w:t>Indeed, I would urge all my preterist brothers in Christ to retrace your steps; to re-examine your exegetical foundations; to let the sweet simplicity and crystal clarity of the apostolic eschatology strike you afresh with their mighty power; and then to let them bring you home to the good old paths of our Reformed forefathers.</w:t>
      </w:r>
    </w:p>
    <w:p w14:paraId="1E602130">
      <w:pPr>
        <w:bidi w:val="0"/>
        <w:rPr>
          <w:rFonts w:hint="eastAsia"/>
          <w:sz w:val="30"/>
          <w:szCs w:val="30"/>
        </w:rPr>
      </w:pPr>
      <w:r>
        <w:rPr>
          <w:rFonts w:hint="eastAsia"/>
          <w:sz w:val="30"/>
          <w:szCs w:val="30"/>
        </w:rPr>
        <w:t>的确，我敦促所有我在基督里的过去主义弟兄们回头；重新审视你们的释经基础；让使徒末世论那甜美的简洁和水晶般的清晰，以其强大的力量重新打动你们；然后让它们带你们回到我们改革宗先辈那美好的古道上。</w:t>
      </w:r>
    </w:p>
    <w:p w14:paraId="2B19D58E">
      <w:pPr>
        <w:bidi w:val="0"/>
        <w:rPr>
          <w:rFonts w:hint="eastAsia"/>
          <w:sz w:val="30"/>
          <w:szCs w:val="30"/>
        </w:rPr>
      </w:pPr>
    </w:p>
    <w:p w14:paraId="15FCB123">
      <w:pPr>
        <w:bidi w:val="0"/>
        <w:rPr>
          <w:rFonts w:hint="eastAsia"/>
          <w:sz w:val="30"/>
          <w:szCs w:val="30"/>
        </w:rPr>
      </w:pPr>
      <w:r>
        <w:rPr>
          <w:rFonts w:hint="eastAsia"/>
          <w:sz w:val="30"/>
          <w:szCs w:val="30"/>
        </w:rPr>
        <w:t>I believe we are entering the last of the last days.</w:t>
      </w:r>
    </w:p>
    <w:p w14:paraId="6B9DA96B">
      <w:pPr>
        <w:bidi w:val="0"/>
        <w:rPr>
          <w:rFonts w:hint="eastAsia"/>
          <w:sz w:val="30"/>
          <w:szCs w:val="30"/>
        </w:rPr>
      </w:pPr>
      <w:r>
        <w:rPr>
          <w:rFonts w:hint="eastAsia"/>
          <w:sz w:val="30"/>
          <w:szCs w:val="30"/>
        </w:rPr>
        <w:t>我相信我们正在进入末世中的末了。</w:t>
      </w:r>
    </w:p>
    <w:p w14:paraId="2BEDC835">
      <w:pPr>
        <w:bidi w:val="0"/>
        <w:rPr>
          <w:rFonts w:hint="eastAsia"/>
          <w:sz w:val="30"/>
          <w:szCs w:val="30"/>
        </w:rPr>
      </w:pPr>
    </w:p>
    <w:p w14:paraId="35C42913">
      <w:pPr>
        <w:bidi w:val="0"/>
        <w:rPr>
          <w:rFonts w:hint="eastAsia"/>
          <w:sz w:val="30"/>
          <w:szCs w:val="30"/>
        </w:rPr>
      </w:pPr>
      <w:r>
        <w:rPr>
          <w:rFonts w:hint="eastAsia"/>
          <w:sz w:val="30"/>
          <w:szCs w:val="30"/>
        </w:rPr>
        <w:t>If so, Christ’s pilgrim Church will need all the eschatological truth, clarity, and encouragement she can possibly get.</w:t>
      </w:r>
    </w:p>
    <w:p w14:paraId="267A1E3E">
      <w:pPr>
        <w:bidi w:val="0"/>
        <w:rPr>
          <w:rFonts w:hint="eastAsia"/>
          <w:sz w:val="30"/>
          <w:szCs w:val="30"/>
        </w:rPr>
      </w:pPr>
      <w:r>
        <w:rPr>
          <w:rFonts w:hint="eastAsia"/>
          <w:sz w:val="30"/>
          <w:szCs w:val="30"/>
        </w:rPr>
        <w:t>如果是这样，基督的客旅教会将需要她所能得到的一切末世论真理、清晰度和鼓励。</w:t>
      </w:r>
    </w:p>
    <w:p w14:paraId="5A175922">
      <w:pPr>
        <w:bidi w:val="0"/>
        <w:rPr>
          <w:rFonts w:hint="eastAsia"/>
          <w:sz w:val="30"/>
          <w:szCs w:val="30"/>
        </w:rPr>
      </w:pPr>
    </w:p>
    <w:p w14:paraId="42F702BD">
      <w:pPr>
        <w:bidi w:val="0"/>
        <w:rPr>
          <w:rFonts w:hint="eastAsia"/>
          <w:sz w:val="30"/>
          <w:szCs w:val="30"/>
        </w:rPr>
      </w:pPr>
      <w:r>
        <w:rPr>
          <w:rFonts w:hint="eastAsia"/>
          <w:sz w:val="30"/>
          <w:szCs w:val="30"/>
        </w:rPr>
        <w:t>And she will need you to help her receive them all.</w:t>
      </w:r>
    </w:p>
    <w:p w14:paraId="25ADB4A3">
      <w:pPr>
        <w:bidi w:val="0"/>
        <w:rPr>
          <w:rFonts w:hint="eastAsia"/>
          <w:sz w:val="30"/>
          <w:szCs w:val="30"/>
        </w:rPr>
      </w:pPr>
      <w:r>
        <w:rPr>
          <w:rFonts w:hint="eastAsia"/>
          <w:sz w:val="30"/>
          <w:szCs w:val="30"/>
        </w:rPr>
        <w:t>她将需要你们帮助她领受所有这一切。</w:t>
      </w:r>
    </w:p>
    <w:p w14:paraId="40809A94">
      <w:pPr>
        <w:bidi w:val="0"/>
        <w:rPr>
          <w:rFonts w:hint="eastAsia"/>
          <w:sz w:val="30"/>
          <w:szCs w:val="30"/>
        </w:rPr>
      </w:pPr>
    </w:p>
    <w:p w14:paraId="0023868C">
      <w:pPr>
        <w:bidi w:val="0"/>
        <w:rPr>
          <w:rFonts w:hint="eastAsia"/>
          <w:sz w:val="30"/>
          <w:szCs w:val="30"/>
        </w:rPr>
      </w:pPr>
    </w:p>
    <w:p w14:paraId="6B27ACEB">
      <w:pPr>
        <w:bidi w:val="0"/>
        <w:rPr>
          <w:rFonts w:hint="eastAsia"/>
          <w:sz w:val="30"/>
          <w:szCs w:val="30"/>
        </w:rPr>
      </w:pPr>
    </w:p>
    <w:p w14:paraId="57CFB3A8">
      <w:pPr>
        <w:bidi w:val="0"/>
        <w:rPr>
          <w:rFonts w:hint="eastAsia"/>
          <w:sz w:val="30"/>
          <w:szCs w:val="30"/>
        </w:rPr>
      </w:pPr>
    </w:p>
    <w:p w14:paraId="094D0332">
      <w:pPr>
        <w:bidi w:val="0"/>
        <w:rPr>
          <w:rFonts w:hint="eastAsia"/>
          <w:sz w:val="30"/>
          <w:szCs w:val="30"/>
        </w:rPr>
      </w:pPr>
    </w:p>
    <w:p w14:paraId="5B285170">
      <w:pPr>
        <w:bidi w:val="0"/>
        <w:rPr>
          <w:rFonts w:hint="eastAsia"/>
          <w:sz w:val="30"/>
          <w:szCs w:val="30"/>
        </w:rPr>
      </w:pPr>
    </w:p>
    <w:p w14:paraId="007D118B">
      <w:pPr>
        <w:bidi w:val="0"/>
        <w:rPr>
          <w:rFonts w:hint="eastAsia"/>
        </w:rPr>
      </w:pPr>
    </w:p>
    <w:p w14:paraId="1BD0D6D7">
      <w:pPr>
        <w:bidi w:val="0"/>
        <w:rPr>
          <w:rFonts w:hint="eastAsia"/>
        </w:rPr>
      </w:pPr>
    </w:p>
    <w:p w14:paraId="1862D67E">
      <w:pPr>
        <w:pStyle w:val="9"/>
        <w:spacing w:before="11"/>
        <w:ind w:left="0"/>
        <w:jc w:val="left"/>
        <w:rPr>
          <w:sz w:val="15"/>
        </w:rPr>
      </w:pPr>
    </w:p>
    <w:p w14:paraId="7FBD31D9">
      <w:pPr>
        <w:pStyle w:val="9"/>
        <w:spacing w:before="11"/>
        <w:ind w:left="0"/>
        <w:jc w:val="left"/>
        <w:rPr>
          <w:sz w:val="15"/>
        </w:rPr>
      </w:pPr>
    </w:p>
    <w:p w14:paraId="388AA618">
      <w:pPr>
        <w:pStyle w:val="2"/>
        <w:bidi w:val="0"/>
        <w:rPr>
          <w:rFonts w:hint="eastAsia"/>
        </w:rPr>
      </w:pPr>
      <w:r>
        <w:rPr>
          <w:rFonts w:hint="eastAsia"/>
        </w:rPr>
        <w:t>Appendix 5</w:t>
      </w:r>
    </w:p>
    <w:p w14:paraId="0F5EB0B6">
      <w:pPr>
        <w:pStyle w:val="2"/>
        <w:bidi w:val="0"/>
        <w:rPr>
          <w:rFonts w:hint="eastAsia"/>
        </w:rPr>
      </w:pPr>
      <w:r>
        <w:rPr>
          <w:rFonts w:hint="eastAsia"/>
        </w:rPr>
        <w:t>附录5</w:t>
      </w:r>
    </w:p>
    <w:p w14:paraId="5D8E7EA5">
      <w:pPr>
        <w:pStyle w:val="9"/>
        <w:spacing w:after="0"/>
        <w:rPr>
          <w:rFonts w:hint="eastAsia"/>
        </w:rPr>
      </w:pPr>
    </w:p>
    <w:p w14:paraId="128FBDBB">
      <w:pPr>
        <w:pStyle w:val="3"/>
        <w:bidi w:val="0"/>
        <w:rPr>
          <w:rFonts w:hint="eastAsia"/>
        </w:rPr>
      </w:pPr>
      <w:r>
        <w:rPr>
          <w:rFonts w:hint="eastAsia"/>
        </w:rPr>
        <w:t>Is the Modern State of Israel a Fulfillment of Biblical Prophecy?</w:t>
      </w:r>
    </w:p>
    <w:p w14:paraId="5553FEF1">
      <w:pPr>
        <w:pStyle w:val="3"/>
        <w:bidi w:val="0"/>
        <w:rPr>
          <w:rFonts w:hint="eastAsia"/>
        </w:rPr>
      </w:pPr>
      <w:r>
        <w:rPr>
          <w:rFonts w:hint="eastAsia"/>
        </w:rPr>
        <w:t>现代以色列国是圣经预言的应验吗？</w:t>
      </w:r>
    </w:p>
    <w:p w14:paraId="521346E1">
      <w:pPr>
        <w:pStyle w:val="9"/>
        <w:spacing w:after="0"/>
        <w:rPr>
          <w:rFonts w:hint="eastAsia"/>
        </w:rPr>
      </w:pPr>
    </w:p>
    <w:p w14:paraId="4B148851">
      <w:pPr>
        <w:pStyle w:val="9"/>
        <w:spacing w:after="0"/>
        <w:rPr>
          <w:rFonts w:hint="eastAsia"/>
        </w:rPr>
      </w:pPr>
      <w:r>
        <w:rPr>
          <w:rFonts w:hint="eastAsia"/>
        </w:rPr>
        <w:t>MANY PREMILLENNARIANS CONFIDENTLY assert that the creation of the modern state of Israel in 1948 was in fulfillment of biblical prophecy.</w:t>
      </w:r>
    </w:p>
    <w:p w14:paraId="4E294626">
      <w:pPr>
        <w:pStyle w:val="9"/>
        <w:spacing w:after="0"/>
        <w:rPr>
          <w:rFonts w:hint="eastAsia"/>
        </w:rPr>
      </w:pPr>
      <w:r>
        <w:rPr>
          <w:rFonts w:hint="eastAsia"/>
        </w:rPr>
        <w:t>许多前千禧年论者确信地断言，1948年现代以色列国的建立是圣经预言的应验。</w:t>
      </w:r>
    </w:p>
    <w:p w14:paraId="1D48BA85">
      <w:pPr>
        <w:pStyle w:val="9"/>
        <w:spacing w:after="0"/>
        <w:rPr>
          <w:rFonts w:hint="eastAsia"/>
        </w:rPr>
      </w:pPr>
    </w:p>
    <w:p w14:paraId="2B438E10">
      <w:pPr>
        <w:pStyle w:val="9"/>
        <w:spacing w:after="0"/>
        <w:rPr>
          <w:rFonts w:hint="eastAsia"/>
        </w:rPr>
      </w:pPr>
      <w:r>
        <w:rPr>
          <w:rFonts w:hint="eastAsia"/>
        </w:rPr>
        <w:t>Dispensationalist Thomas Ice says it this way:</w:t>
      </w:r>
    </w:p>
    <w:p w14:paraId="4A4118B7">
      <w:pPr>
        <w:pStyle w:val="9"/>
        <w:spacing w:after="0"/>
        <w:rPr>
          <w:rFonts w:hint="eastAsia"/>
        </w:rPr>
      </w:pPr>
      <w:r>
        <w:rPr>
          <w:rFonts w:hint="eastAsia"/>
        </w:rPr>
        <w:t>时代论者托马斯·艾斯这样说：</w:t>
      </w:r>
    </w:p>
    <w:p w14:paraId="1A68E294">
      <w:pPr>
        <w:pStyle w:val="9"/>
        <w:spacing w:after="0"/>
        <w:rPr>
          <w:rFonts w:hint="eastAsia"/>
        </w:rPr>
      </w:pPr>
    </w:p>
    <w:p w14:paraId="56587CCB">
      <w:pPr>
        <w:pStyle w:val="9"/>
        <w:spacing w:after="0"/>
        <w:rPr>
          <w:rFonts w:hint="eastAsia"/>
        </w:rPr>
      </w:pPr>
      <w:r>
        <w:rPr>
          <w:rFonts w:hint="eastAsia"/>
        </w:rPr>
        <w:t>There are dozens of biblical passages that predict an end time regathering of Israel back to her land … I believe that modern Israel is a divine work and is in the process of fulfilling Bible prophecy.</w:t>
      </w:r>
    </w:p>
    <w:p w14:paraId="026A50CC">
      <w:pPr>
        <w:pStyle w:val="9"/>
        <w:spacing w:after="0"/>
        <w:rPr>
          <w:rFonts w:hint="eastAsia"/>
        </w:rPr>
      </w:pPr>
      <w:r>
        <w:rPr>
          <w:rFonts w:hint="eastAsia"/>
        </w:rPr>
        <w:t>有几十处圣经经文预言了末后以色列人要被重新招聚回到他们的土地上……我相信现代以色列是神圣的作为，并且正在应验圣经预言的过程中。</w:t>
      </w:r>
    </w:p>
    <w:p w14:paraId="154837A5">
      <w:pPr>
        <w:pStyle w:val="9"/>
        <w:spacing w:after="0"/>
        <w:rPr>
          <w:rFonts w:hint="eastAsia"/>
        </w:rPr>
      </w:pPr>
    </w:p>
    <w:p w14:paraId="3F7811BB">
      <w:pPr>
        <w:pStyle w:val="9"/>
        <w:spacing w:after="0"/>
        <w:rPr>
          <w:rFonts w:hint="eastAsia"/>
        </w:rPr>
      </w:pPr>
      <w:r>
        <w:rPr>
          <w:rFonts w:hint="eastAsia"/>
        </w:rPr>
        <w:t>I believe that Israel, as she is constituted today, is a work of God in progress, preparing the nation for the Tribulation, which will lead to her national conversion, the second coming of Christ, and His millennial reign.1</w:t>
      </w:r>
    </w:p>
    <w:p w14:paraId="010F3077">
      <w:pPr>
        <w:pStyle w:val="9"/>
        <w:spacing w:after="0"/>
        <w:rPr>
          <w:rFonts w:hint="eastAsia"/>
        </w:rPr>
      </w:pPr>
      <w:r>
        <w:rPr>
          <w:rFonts w:hint="eastAsia"/>
        </w:rPr>
        <w:t>我相信，今天的以色列，就其构成而言，是神正在进行的一项工作，正在为那场灾难预备这个国家，而这场灾难将引导她全国性的归信、基督的第二次降临以及祂的千禧年统治。1</w:t>
      </w:r>
    </w:p>
    <w:p w14:paraId="48064964">
      <w:pPr>
        <w:pStyle w:val="9"/>
        <w:spacing w:after="0"/>
        <w:rPr>
          <w:rFonts w:hint="eastAsia"/>
        </w:rPr>
      </w:pPr>
    </w:p>
    <w:p w14:paraId="3EB967D6">
      <w:pPr>
        <w:pStyle w:val="9"/>
        <w:spacing w:after="0"/>
        <w:rPr>
          <w:rFonts w:hint="eastAsia"/>
        </w:rPr>
      </w:pPr>
      <w:r>
        <w:rPr>
          <w:rFonts w:hint="eastAsia"/>
        </w:rPr>
        <w:t>These words invite careful—very careful—reflection.</w:t>
      </w:r>
    </w:p>
    <w:p w14:paraId="1E60F2FD">
      <w:pPr>
        <w:pStyle w:val="9"/>
        <w:spacing w:after="0"/>
        <w:rPr>
          <w:rFonts w:hint="eastAsia"/>
        </w:rPr>
      </w:pPr>
      <w:r>
        <w:rPr>
          <w:rFonts w:hint="eastAsia"/>
        </w:rPr>
        <w:t>这些话值得我们仔细——非常仔细地——反思。</w:t>
      </w:r>
    </w:p>
    <w:p w14:paraId="2C19C95F">
      <w:pPr>
        <w:pStyle w:val="9"/>
        <w:spacing w:after="0"/>
        <w:rPr>
          <w:rFonts w:hint="eastAsia"/>
        </w:rPr>
      </w:pPr>
    </w:p>
    <w:p w14:paraId="26EEB686">
      <w:pPr>
        <w:pStyle w:val="9"/>
        <w:spacing w:after="0"/>
        <w:rPr>
          <w:rFonts w:hint="eastAsia"/>
        </w:rPr>
      </w:pPr>
      <w:r>
        <w:rPr>
          <w:rFonts w:hint="eastAsia"/>
        </w:rPr>
        <w:t>Certainly all Bible believing Christians would agree that the creation of the modern state of Israel is a “divine work,” since Scripture clearly teaches that God, by his all-controlling providence, creates every nation of the sons of Adam, having predetermined their appointed times and the boundaries of their habitation (Acts 17:26).</w:t>
      </w:r>
    </w:p>
    <w:p w14:paraId="69C5F475">
      <w:pPr>
        <w:pStyle w:val="9"/>
        <w:spacing w:after="0"/>
        <w:rPr>
          <w:rFonts w:hint="eastAsia"/>
        </w:rPr>
      </w:pPr>
      <w:r>
        <w:rPr>
          <w:rFonts w:hint="eastAsia"/>
        </w:rPr>
        <w:t>当然，所有相信圣经的基督徒都会同意，现代以色列国的建立是一项“神圣的作为”，因为圣经清楚地教导说，神以祂那掌管一切的护理，创造了亚当后裔的每一个国家，预先定准了他们的年限和所住的疆界（徒17:26）。</w:t>
      </w:r>
    </w:p>
    <w:p w14:paraId="00CA8FB3">
      <w:pPr>
        <w:pStyle w:val="9"/>
        <w:spacing w:after="0"/>
        <w:rPr>
          <w:rFonts w:hint="eastAsia"/>
        </w:rPr>
      </w:pPr>
    </w:p>
    <w:p w14:paraId="285EC782">
      <w:pPr>
        <w:pStyle w:val="9"/>
        <w:spacing w:after="0"/>
        <w:rPr>
          <w:rFonts w:hint="eastAsia"/>
        </w:rPr>
      </w:pPr>
      <w:r>
        <w:rPr>
          <w:rFonts w:hint="eastAsia"/>
        </w:rPr>
        <w:t>Moreover, in the course of our study I myself have argued that a number of Scriptures encourage us to look for a large-scale conversion of world Jewry just prior to the second coming of Christ.</w:t>
      </w:r>
    </w:p>
    <w:p w14:paraId="06C9C189">
      <w:pPr>
        <w:pStyle w:val="9"/>
        <w:spacing w:after="0"/>
        <w:rPr>
          <w:rFonts w:hint="eastAsia"/>
        </w:rPr>
      </w:pPr>
      <w:r>
        <w:rPr>
          <w:rFonts w:hint="eastAsia"/>
        </w:rPr>
        <w:t>此外，在我们的研究过程中，我自己也曾论证，一些经文鼓励我们去期待，就在基督第二次降临之前，世界范围的犹太人会大规模归信。</w:t>
      </w:r>
    </w:p>
    <w:p w14:paraId="2E41F306">
      <w:pPr>
        <w:pStyle w:val="9"/>
        <w:spacing w:after="0"/>
        <w:rPr>
          <w:rFonts w:hint="eastAsia"/>
        </w:rPr>
      </w:pPr>
    </w:p>
    <w:p w14:paraId="6A16FA50">
      <w:pPr>
        <w:pStyle w:val="9"/>
        <w:spacing w:after="0"/>
        <w:rPr>
          <w:rFonts w:hint="eastAsia"/>
        </w:rPr>
      </w:pPr>
      <w:r>
        <w:rPr>
          <w:rFonts w:hint="eastAsia"/>
        </w:rPr>
        <w:t>If so, it would be strange indeed if the sudden arrival of a new Jewish state upon the stage of history had nothing to do with it!</w:t>
      </w:r>
    </w:p>
    <w:p w14:paraId="4E5C35D9">
      <w:pPr>
        <w:pStyle w:val="9"/>
        <w:spacing w:after="0"/>
        <w:rPr>
          <w:rFonts w:hint="eastAsia"/>
        </w:rPr>
      </w:pPr>
      <w:r>
        <w:rPr>
          <w:rFonts w:hint="eastAsia"/>
        </w:rPr>
        <w:t>如果是这样，那么一个新犹太国家突然出现在历史舞台上，若与此毫无关系，那的确会很奇怪！</w:t>
      </w:r>
    </w:p>
    <w:p w14:paraId="1F7693EC">
      <w:pPr>
        <w:pStyle w:val="9"/>
        <w:spacing w:after="0"/>
        <w:rPr>
          <w:rFonts w:hint="eastAsia"/>
        </w:rPr>
      </w:pPr>
    </w:p>
    <w:p w14:paraId="6CD48B71">
      <w:pPr>
        <w:pStyle w:val="9"/>
        <w:spacing w:after="0"/>
        <w:rPr>
          <w:rFonts w:hint="eastAsia"/>
        </w:rPr>
      </w:pPr>
      <w:r>
        <w:rPr>
          <w:rFonts w:hint="eastAsia"/>
        </w:rPr>
        <w:t>But is it true, as Ice believes, that dozens of OT Kingdom prophecies predicted the recent return of millions of Russian and European Jews to Palestine?</w:t>
      </w:r>
    </w:p>
    <w:p w14:paraId="0BFF750B">
      <w:pPr>
        <w:pStyle w:val="9"/>
        <w:spacing w:after="0"/>
        <w:rPr>
          <w:rFonts w:hint="eastAsia"/>
        </w:rPr>
      </w:pPr>
      <w:r>
        <w:rPr>
          <w:rFonts w:hint="eastAsia"/>
        </w:rPr>
        <w:t>但艾斯的信念是否为真，即几十个旧约国度预言都预言了最近数百万俄罗斯和欧洲犹太人回归巴勒斯坦？</w:t>
      </w:r>
    </w:p>
    <w:p w14:paraId="7B7DEB40">
      <w:pPr>
        <w:pStyle w:val="9"/>
        <w:spacing w:after="0"/>
        <w:rPr>
          <w:rFonts w:hint="eastAsia"/>
        </w:rPr>
      </w:pPr>
    </w:p>
    <w:p w14:paraId="03AB780E">
      <w:pPr>
        <w:pStyle w:val="9"/>
        <w:spacing w:after="0"/>
        <w:rPr>
          <w:rFonts w:hint="eastAsia"/>
        </w:rPr>
      </w:pPr>
      <w:r>
        <w:rPr>
          <w:rFonts w:hint="eastAsia"/>
        </w:rPr>
        <w:t>In God’s sight, are they still his people—his “Israel”—despite the fact that most of them have not (yet) trusted in Jesus Christ as their Messiah?</w:t>
      </w:r>
    </w:p>
    <w:p w14:paraId="76E6F982">
      <w:pPr>
        <w:pStyle w:val="9"/>
        <w:spacing w:after="0"/>
        <w:rPr>
          <w:rFonts w:hint="eastAsia"/>
        </w:rPr>
      </w:pPr>
      <w:r>
        <w:rPr>
          <w:rFonts w:hint="eastAsia"/>
        </w:rPr>
        <w:t>在神的眼中，他们仍然是祂的子民——祂的“以色列”——吗，尽管他们中的大多数人尚未信靠耶稣基督为他们的弥赛亚？</w:t>
      </w:r>
    </w:p>
    <w:p w14:paraId="76CD37E6">
      <w:pPr>
        <w:pStyle w:val="9"/>
        <w:spacing w:after="0"/>
        <w:rPr>
          <w:rFonts w:hint="eastAsia"/>
        </w:rPr>
      </w:pPr>
    </w:p>
    <w:p w14:paraId="1D2218F9">
      <w:pPr>
        <w:pStyle w:val="9"/>
        <w:spacing w:after="0"/>
        <w:rPr>
          <w:rFonts w:hint="eastAsia"/>
        </w:rPr>
      </w:pPr>
      <w:r>
        <w:rPr>
          <w:rFonts w:hint="eastAsia"/>
        </w:rPr>
        <w:t>In God’s sight, is Palestine still their land?</w:t>
      </w:r>
    </w:p>
    <w:p w14:paraId="5315CE17">
      <w:pPr>
        <w:pStyle w:val="9"/>
        <w:spacing w:after="0"/>
        <w:rPr>
          <w:rFonts w:hint="eastAsia"/>
        </w:rPr>
      </w:pPr>
      <w:r>
        <w:rPr>
          <w:rFonts w:hint="eastAsia"/>
        </w:rPr>
        <w:t>在神的眼中，巴勒斯坦仍然是他们的土地吗？</w:t>
      </w:r>
    </w:p>
    <w:p w14:paraId="0F54DD21">
      <w:pPr>
        <w:pStyle w:val="9"/>
        <w:spacing w:after="0"/>
        <w:rPr>
          <w:rFonts w:hint="eastAsia"/>
        </w:rPr>
      </w:pPr>
    </w:p>
    <w:p w14:paraId="5CD14E53">
      <w:pPr>
        <w:pStyle w:val="9"/>
        <w:spacing w:after="0"/>
        <w:rPr>
          <w:rFonts w:hint="eastAsia"/>
        </w:rPr>
      </w:pPr>
      <w:r>
        <w:rPr>
          <w:rFonts w:hint="eastAsia"/>
        </w:rPr>
        <w:t>Is God really preparing modern-day Israel for a seven-year Tribulation?</w:t>
      </w:r>
    </w:p>
    <w:p w14:paraId="2ADEED7B">
      <w:pPr>
        <w:pStyle w:val="9"/>
        <w:spacing w:after="0"/>
        <w:rPr>
          <w:rFonts w:hint="eastAsia"/>
        </w:rPr>
      </w:pPr>
      <w:r>
        <w:rPr>
          <w:rFonts w:hint="eastAsia"/>
        </w:rPr>
        <w:t>神真的在为现代以色列预备一场为期七年的灾难吗？</w:t>
      </w:r>
    </w:p>
    <w:p w14:paraId="08DB554C">
      <w:pPr>
        <w:pStyle w:val="9"/>
        <w:spacing w:after="0"/>
        <w:rPr>
          <w:rFonts w:hint="eastAsia"/>
        </w:rPr>
      </w:pPr>
    </w:p>
    <w:p w14:paraId="6176ED1A">
      <w:pPr>
        <w:pStyle w:val="9"/>
        <w:spacing w:after="0"/>
        <w:rPr>
          <w:rFonts w:hint="eastAsia"/>
        </w:rPr>
      </w:pPr>
      <w:r>
        <w:rPr>
          <w:rFonts w:hint="eastAsia"/>
        </w:rPr>
        <w:t>And should we really look for a second coming of Christ that will partially transform physical Palestine, inaugurate a temporary earthly kingdom, raise up a middle wall of partition between Israel and the nations, and reinstitute various Mosaic ordinances—all for a thousand years?</w:t>
      </w:r>
    </w:p>
    <w:p w14:paraId="2AAB9A24">
      <w:pPr>
        <w:pStyle w:val="9"/>
        <w:spacing w:after="0"/>
        <w:rPr>
          <w:rFonts w:hint="eastAsia"/>
        </w:rPr>
      </w:pPr>
      <w:r>
        <w:rPr>
          <w:rFonts w:hint="eastAsia"/>
        </w:rPr>
        <w:t>我们真的应该期待基督的第二次降临会部分地改变属物质的巴勒斯坦，开启一个暂时的属地国度，在以色列和列国之间重新竖起隔断的墙，并恢复各种摩西的律例——这一切都持续一千年吗？</w:t>
      </w:r>
    </w:p>
    <w:p w14:paraId="0B40972C">
      <w:pPr>
        <w:pStyle w:val="9"/>
        <w:spacing w:after="0"/>
        <w:rPr>
          <w:rFonts w:hint="eastAsia"/>
        </w:rPr>
      </w:pPr>
    </w:p>
    <w:p w14:paraId="4550028B">
      <w:pPr>
        <w:pStyle w:val="9"/>
        <w:spacing w:after="0"/>
        <w:rPr>
          <w:rFonts w:hint="eastAsia"/>
        </w:rPr>
      </w:pPr>
      <w:r>
        <w:rPr>
          <w:rFonts w:hint="eastAsia"/>
        </w:rPr>
        <w:t>In the body of this book, I have addressed these questions at length.</w:t>
      </w:r>
    </w:p>
    <w:p w14:paraId="03C6C8F1">
      <w:pPr>
        <w:pStyle w:val="9"/>
        <w:spacing w:after="0"/>
        <w:rPr>
          <w:rFonts w:hint="eastAsia"/>
        </w:rPr>
      </w:pPr>
      <w:r>
        <w:rPr>
          <w:rFonts w:hint="eastAsia"/>
        </w:rPr>
        <w:t>在本书正文中，我已经详细地论述了这些问题。</w:t>
      </w:r>
    </w:p>
    <w:p w14:paraId="32DB8108">
      <w:pPr>
        <w:pStyle w:val="9"/>
        <w:spacing w:after="0"/>
        <w:rPr>
          <w:rFonts w:hint="eastAsia"/>
        </w:rPr>
      </w:pPr>
    </w:p>
    <w:p w14:paraId="71225DBE">
      <w:pPr>
        <w:pStyle w:val="9"/>
        <w:spacing w:after="0"/>
        <w:rPr>
          <w:rFonts w:hint="eastAsia"/>
        </w:rPr>
      </w:pPr>
      <w:r>
        <w:rPr>
          <w:rFonts w:hint="eastAsia"/>
        </w:rPr>
        <w:t>Since, however, many Christians believe that the creation of the modern Jewish state lends credence to one or another of the various premillennial scenarios, it is important that we review them once again.</w:t>
      </w:r>
    </w:p>
    <w:p w14:paraId="75398D97">
      <w:pPr>
        <w:pStyle w:val="9"/>
        <w:spacing w:after="0"/>
        <w:rPr>
          <w:rFonts w:hint="eastAsia"/>
        </w:rPr>
      </w:pPr>
      <w:r>
        <w:rPr>
          <w:rFonts w:hint="eastAsia"/>
        </w:rPr>
        <w:t>然而，由于许多基督徒相信现代犹太国家的建立，为各种前千禧年设想中的一种或另一种提供了可信度，我们再次回顾它们就显得很重要了。</w:t>
      </w:r>
    </w:p>
    <w:p w14:paraId="6123EEC2">
      <w:pPr>
        <w:pStyle w:val="9"/>
        <w:spacing w:after="0"/>
        <w:rPr>
          <w:rFonts w:hint="eastAsia"/>
        </w:rPr>
      </w:pPr>
    </w:p>
    <w:p w14:paraId="683C848E">
      <w:pPr>
        <w:pStyle w:val="9"/>
        <w:spacing w:after="0"/>
        <w:rPr>
          <w:rFonts w:hint="eastAsia"/>
        </w:rPr>
      </w:pPr>
      <w:r>
        <w:rPr>
          <w:rFonts w:hint="eastAsia"/>
        </w:rPr>
        <w:t>My approach in this appendix will be to consider three closely related questions:</w:t>
      </w:r>
    </w:p>
    <w:p w14:paraId="02E9AF17">
      <w:pPr>
        <w:pStyle w:val="9"/>
        <w:spacing w:after="0"/>
        <w:rPr>
          <w:rFonts w:hint="eastAsia"/>
        </w:rPr>
      </w:pPr>
      <w:r>
        <w:rPr>
          <w:rFonts w:hint="eastAsia"/>
        </w:rPr>
        <w:t>我在本附录中的方法是思考三个密切相关的问题：</w:t>
      </w:r>
    </w:p>
    <w:p w14:paraId="3B39148D">
      <w:pPr>
        <w:pStyle w:val="9"/>
        <w:spacing w:after="0"/>
        <w:rPr>
          <w:rFonts w:hint="eastAsia"/>
        </w:rPr>
      </w:pPr>
    </w:p>
    <w:p w14:paraId="6874CF49">
      <w:pPr>
        <w:pStyle w:val="9"/>
        <w:spacing w:after="0"/>
        <w:rPr>
          <w:rFonts w:hint="eastAsia"/>
        </w:rPr>
      </w:pPr>
      <w:r>
        <w:rPr>
          <w:rFonts w:hint="eastAsia"/>
        </w:rPr>
        <w:t>1.What is God’s present relation to unbelieving Jews, wherever they happen to live?</w:t>
      </w:r>
    </w:p>
    <w:p w14:paraId="08C39940">
      <w:pPr>
        <w:pStyle w:val="9"/>
        <w:spacing w:after="0"/>
        <w:rPr>
          <w:rFonts w:hint="eastAsia"/>
        </w:rPr>
      </w:pPr>
      <w:r>
        <w:rPr>
          <w:rFonts w:hint="eastAsia"/>
        </w:rPr>
        <w:t>1.神如今与不信的犹太人（无论他们住在何处）的关系是什么？</w:t>
      </w:r>
    </w:p>
    <w:p w14:paraId="5F6F008D">
      <w:pPr>
        <w:pStyle w:val="9"/>
        <w:spacing w:after="0"/>
        <w:rPr>
          <w:rFonts w:hint="eastAsia"/>
        </w:rPr>
      </w:pPr>
    </w:p>
    <w:p w14:paraId="01774F7F">
      <w:pPr>
        <w:pStyle w:val="9"/>
        <w:spacing w:after="0"/>
        <w:rPr>
          <w:rFonts w:hint="eastAsia"/>
        </w:rPr>
      </w:pPr>
      <w:r>
        <w:rPr>
          <w:rFonts w:hint="eastAsia"/>
        </w:rPr>
        <w:t>2.Is the creation of the modern Jewish state a fulfillment of OTKP?</w:t>
      </w:r>
    </w:p>
    <w:p w14:paraId="1ABECEA9">
      <w:pPr>
        <w:pStyle w:val="9"/>
        <w:spacing w:after="0"/>
        <w:rPr>
          <w:rFonts w:hint="eastAsia"/>
        </w:rPr>
      </w:pPr>
      <w:r>
        <w:rPr>
          <w:rFonts w:hint="eastAsia"/>
        </w:rPr>
        <w:t>2.现代犹太国家的建立是旧约国度预言（OTKP）的应验吗？</w:t>
      </w:r>
    </w:p>
    <w:p w14:paraId="02261399">
      <w:pPr>
        <w:pStyle w:val="9"/>
        <w:spacing w:after="0"/>
        <w:rPr>
          <w:rFonts w:hint="eastAsia"/>
        </w:rPr>
      </w:pPr>
    </w:p>
    <w:p w14:paraId="1D87124E">
      <w:pPr>
        <w:pStyle w:val="9"/>
        <w:spacing w:after="0"/>
        <w:rPr>
          <w:rFonts w:hint="eastAsia"/>
        </w:rPr>
      </w:pPr>
      <w:r>
        <w:rPr>
          <w:rFonts w:hint="eastAsia"/>
        </w:rPr>
        <w:t>3.And if it is not, how are we to understand it?</w:t>
      </w:r>
    </w:p>
    <w:p w14:paraId="2FD56F0C">
      <w:pPr>
        <w:pStyle w:val="9"/>
        <w:spacing w:after="0"/>
        <w:rPr>
          <w:rFonts w:hint="eastAsia"/>
        </w:rPr>
      </w:pPr>
      <w:r>
        <w:rPr>
          <w:rFonts w:hint="eastAsia"/>
        </w:rPr>
        <w:t>3.如果不是，我们该如何理解它？</w:t>
      </w:r>
    </w:p>
    <w:p w14:paraId="138A33E2">
      <w:pPr>
        <w:pStyle w:val="9"/>
        <w:spacing w:after="0"/>
        <w:rPr>
          <w:rFonts w:hint="eastAsia"/>
        </w:rPr>
      </w:pPr>
    </w:p>
    <w:p w14:paraId="0E88844F">
      <w:pPr>
        <w:pStyle w:val="9"/>
        <w:spacing w:after="0"/>
        <w:rPr>
          <w:rFonts w:hint="eastAsia"/>
        </w:rPr>
      </w:pPr>
      <w:r>
        <w:rPr>
          <w:rFonts w:hint="eastAsia"/>
        </w:rPr>
        <w:t>Again, what follows will be a review of material covered earlier.</w:t>
      </w:r>
    </w:p>
    <w:p w14:paraId="6EEE1648">
      <w:pPr>
        <w:pStyle w:val="9"/>
        <w:spacing w:after="0"/>
        <w:rPr>
          <w:rFonts w:hint="eastAsia"/>
        </w:rPr>
      </w:pPr>
      <w:r>
        <w:rPr>
          <w:rFonts w:hint="eastAsia"/>
        </w:rPr>
        <w:t>再次强调，接下来的内容将是对前面所涵盖材料的回顾。</w:t>
      </w:r>
    </w:p>
    <w:p w14:paraId="05146444">
      <w:pPr>
        <w:pStyle w:val="9"/>
        <w:spacing w:after="0"/>
        <w:rPr>
          <w:rFonts w:hint="eastAsia"/>
        </w:rPr>
      </w:pPr>
    </w:p>
    <w:p w14:paraId="28EBE3EF">
      <w:pPr>
        <w:pStyle w:val="9"/>
        <w:spacing w:after="0"/>
        <w:rPr>
          <w:rFonts w:hint="eastAsia"/>
        </w:rPr>
      </w:pPr>
      <w:r>
        <w:rPr>
          <w:rFonts w:hint="eastAsia"/>
        </w:rPr>
        <w:t>Accordingly, I will not often support my statements with proof texts.</w:t>
      </w:r>
    </w:p>
    <w:p w14:paraId="012CF891">
      <w:pPr>
        <w:pStyle w:val="9"/>
        <w:spacing w:after="0"/>
        <w:rPr>
          <w:rFonts w:hint="eastAsia"/>
        </w:rPr>
      </w:pPr>
      <w:r>
        <w:rPr>
          <w:rFonts w:hint="eastAsia"/>
        </w:rPr>
        <w:t>因此，我不会经常用引证经文来支持我的陈述。</w:t>
      </w:r>
    </w:p>
    <w:p w14:paraId="56238401">
      <w:pPr>
        <w:pStyle w:val="9"/>
        <w:spacing w:after="0"/>
        <w:rPr>
          <w:rFonts w:hint="eastAsia"/>
        </w:rPr>
      </w:pPr>
    </w:p>
    <w:p w14:paraId="58FB6426">
      <w:pPr>
        <w:pStyle w:val="9"/>
        <w:spacing w:after="0"/>
        <w:rPr>
          <w:rFonts w:hint="eastAsia"/>
        </w:rPr>
      </w:pPr>
      <w:r>
        <w:rPr>
          <w:rFonts w:hint="eastAsia"/>
        </w:rPr>
        <w:t>For the Scriptural basis of my arguments, please consult the relevant chapters and exegetical discussions.</w:t>
      </w:r>
    </w:p>
    <w:p w14:paraId="05D9DEFF">
      <w:pPr>
        <w:pStyle w:val="9"/>
        <w:spacing w:after="0"/>
        <w:rPr>
          <w:rFonts w:hint="eastAsia"/>
        </w:rPr>
      </w:pPr>
      <w:r>
        <w:rPr>
          <w:rFonts w:hint="eastAsia"/>
        </w:rPr>
        <w:t>关于我论点的圣经依据，请参阅相关章节和解经讨论。</w:t>
      </w:r>
    </w:p>
    <w:p w14:paraId="77751C38">
      <w:pPr>
        <w:pStyle w:val="9"/>
        <w:spacing w:after="0"/>
        <w:rPr>
          <w:rFonts w:hint="eastAsia"/>
        </w:rPr>
      </w:pPr>
    </w:p>
    <w:p w14:paraId="48760445">
      <w:pPr>
        <w:pStyle w:val="9"/>
        <w:spacing w:after="0"/>
        <w:rPr>
          <w:rFonts w:hint="eastAsia"/>
        </w:rPr>
      </w:pPr>
      <w:r>
        <w:rPr>
          <w:rFonts w:hint="eastAsia"/>
        </w:rPr>
        <w:t>What is God’s present relation to unbelieving Jews?</w:t>
      </w:r>
    </w:p>
    <w:p w14:paraId="71D0B854">
      <w:pPr>
        <w:pStyle w:val="9"/>
        <w:spacing w:after="0"/>
        <w:rPr>
          <w:rFonts w:hint="eastAsia"/>
        </w:rPr>
      </w:pPr>
      <w:r>
        <w:rPr>
          <w:rFonts w:hint="eastAsia"/>
        </w:rPr>
        <w:t>神如今与不信的犹太人的关系是什么？</w:t>
      </w:r>
    </w:p>
    <w:p w14:paraId="0A06BB97">
      <w:pPr>
        <w:pStyle w:val="9"/>
        <w:spacing w:after="0"/>
        <w:rPr>
          <w:rFonts w:hint="eastAsia"/>
        </w:rPr>
      </w:pPr>
    </w:p>
    <w:p w14:paraId="1AF7D5DA">
      <w:pPr>
        <w:pStyle w:val="9"/>
        <w:spacing w:after="0"/>
        <w:rPr>
          <w:rFonts w:hint="eastAsia"/>
        </w:rPr>
      </w:pPr>
      <w:r>
        <w:rPr>
          <w:rFonts w:hint="eastAsia"/>
        </w:rPr>
        <w:t>This is a subtle question, one that cannot be answered without the help of NT teaching on the true identity of the people of God, and on the exact relation of the Old Covenant to the New.</w:t>
      </w:r>
    </w:p>
    <w:p w14:paraId="0AD89D8B">
      <w:pPr>
        <w:pStyle w:val="9"/>
        <w:spacing w:after="0"/>
        <w:rPr>
          <w:rFonts w:hint="eastAsia"/>
        </w:rPr>
      </w:pPr>
      <w:r>
        <w:rPr>
          <w:rFonts w:hint="eastAsia"/>
        </w:rPr>
        <w:t>这是一个微妙的问题，若没有新约关于神子民真实身份，以及旧约与新约确切关系的教导，就无法回答。</w:t>
      </w:r>
    </w:p>
    <w:p w14:paraId="34676BEE">
      <w:pPr>
        <w:pStyle w:val="9"/>
        <w:spacing w:after="0"/>
        <w:rPr>
          <w:rFonts w:hint="eastAsia"/>
        </w:rPr>
      </w:pPr>
    </w:p>
    <w:p w14:paraId="05FF0710">
      <w:pPr>
        <w:pStyle w:val="9"/>
        <w:spacing w:after="0"/>
        <w:rPr>
          <w:rFonts w:hint="eastAsia"/>
        </w:rPr>
      </w:pPr>
      <w:r>
        <w:rPr>
          <w:rFonts w:hint="eastAsia"/>
        </w:rPr>
        <w:t>Let us briefly recall our findings.</w:t>
      </w:r>
    </w:p>
    <w:p w14:paraId="27C1F624">
      <w:pPr>
        <w:pStyle w:val="9"/>
        <w:spacing w:after="0"/>
        <w:rPr>
          <w:rFonts w:hint="eastAsia"/>
        </w:rPr>
      </w:pPr>
      <w:r>
        <w:rPr>
          <w:rFonts w:hint="eastAsia"/>
        </w:rPr>
        <w:t>让我们简要回顾一下我们的发现。</w:t>
      </w:r>
    </w:p>
    <w:p w14:paraId="3B0AFCC5">
      <w:pPr>
        <w:pStyle w:val="9"/>
        <w:spacing w:after="0"/>
        <w:rPr>
          <w:rFonts w:hint="eastAsia"/>
        </w:rPr>
      </w:pPr>
    </w:p>
    <w:p w14:paraId="38895C99">
      <w:pPr>
        <w:pStyle w:val="9"/>
        <w:spacing w:after="0"/>
        <w:rPr>
          <w:rFonts w:hint="eastAsia"/>
        </w:rPr>
      </w:pPr>
      <w:r>
        <w:rPr>
          <w:rFonts w:hint="eastAsia"/>
        </w:rPr>
        <w:t>In the course of our journey we learned that from eternity past God has always had a single plan for the salvation of his people: the Eternal Covenant.</w:t>
      </w:r>
    </w:p>
    <w:p w14:paraId="131A2627">
      <w:pPr>
        <w:pStyle w:val="9"/>
        <w:spacing w:after="0"/>
        <w:rPr>
          <w:rFonts w:hint="eastAsia"/>
        </w:rPr>
      </w:pPr>
      <w:r>
        <w:rPr>
          <w:rFonts w:hint="eastAsia"/>
        </w:rPr>
        <w:t>在我们的旅程中，我们了解到，从亘古以来，神对祂子民的救赎一直只有一个计划：永恒之约。</w:t>
      </w:r>
    </w:p>
    <w:p w14:paraId="053B3537">
      <w:pPr>
        <w:pStyle w:val="9"/>
        <w:spacing w:after="0"/>
        <w:rPr>
          <w:rFonts w:hint="eastAsia"/>
        </w:rPr>
      </w:pPr>
    </w:p>
    <w:p w14:paraId="2C551436">
      <w:pPr>
        <w:pStyle w:val="9"/>
        <w:spacing w:after="0"/>
        <w:rPr>
          <w:rFonts w:hint="eastAsia"/>
        </w:rPr>
      </w:pPr>
      <w:r>
        <w:rPr>
          <w:rFonts w:hint="eastAsia"/>
        </w:rPr>
        <w:t>It is comprised of five elements.</w:t>
      </w:r>
    </w:p>
    <w:p w14:paraId="1E0FBDC0">
      <w:pPr>
        <w:pStyle w:val="9"/>
        <w:spacing w:after="0"/>
        <w:rPr>
          <w:rFonts w:hint="eastAsia"/>
        </w:rPr>
      </w:pPr>
      <w:r>
        <w:rPr>
          <w:rFonts w:hint="eastAsia"/>
        </w:rPr>
        <w:t>它由五个要素组成。</w:t>
      </w:r>
    </w:p>
    <w:p w14:paraId="20287EEC">
      <w:pPr>
        <w:pStyle w:val="9"/>
        <w:spacing w:after="0"/>
        <w:rPr>
          <w:rFonts w:hint="eastAsia"/>
        </w:rPr>
      </w:pPr>
    </w:p>
    <w:p w14:paraId="63FA8362">
      <w:pPr>
        <w:pStyle w:val="9"/>
        <w:spacing w:after="0"/>
        <w:rPr>
          <w:rFonts w:hint="eastAsia"/>
        </w:rPr>
      </w:pPr>
      <w:r>
        <w:rPr>
          <w:rFonts w:hint="eastAsia"/>
        </w:rPr>
        <w:t>The parties to the Covenant are God and his chosen, believing people, whether Jew or Gentile.</w:t>
      </w:r>
    </w:p>
    <w:p w14:paraId="2E7F23EA">
      <w:pPr>
        <w:pStyle w:val="9"/>
        <w:spacing w:after="0"/>
        <w:rPr>
          <w:rFonts w:hint="eastAsia"/>
        </w:rPr>
      </w:pPr>
      <w:r>
        <w:rPr>
          <w:rFonts w:hint="eastAsia"/>
        </w:rPr>
        <w:t>这约的立约方是神和祂所拣选的、信实的子民，无论是犹太人还是外邦人。</w:t>
      </w:r>
    </w:p>
    <w:p w14:paraId="6FE93CC0">
      <w:pPr>
        <w:pStyle w:val="9"/>
        <w:spacing w:after="0"/>
        <w:rPr>
          <w:rFonts w:hint="eastAsia"/>
        </w:rPr>
      </w:pPr>
    </w:p>
    <w:p w14:paraId="2A3D7B11">
      <w:pPr>
        <w:pStyle w:val="9"/>
        <w:spacing w:after="0"/>
        <w:rPr>
          <w:rFonts w:hint="eastAsia"/>
        </w:rPr>
      </w:pPr>
      <w:r>
        <w:rPr>
          <w:rFonts w:hint="eastAsia"/>
        </w:rPr>
        <w:t>They go by various names.</w:t>
      </w:r>
    </w:p>
    <w:p w14:paraId="41B2EB2E">
      <w:pPr>
        <w:pStyle w:val="9"/>
        <w:spacing w:after="0"/>
        <w:rPr>
          <w:rFonts w:hint="eastAsia"/>
        </w:rPr>
      </w:pPr>
      <w:r>
        <w:rPr>
          <w:rFonts w:hint="eastAsia"/>
        </w:rPr>
        <w:t>他们有各种不同的名称。</w:t>
      </w:r>
    </w:p>
    <w:p w14:paraId="3D314B69">
      <w:pPr>
        <w:pStyle w:val="9"/>
        <w:spacing w:after="0"/>
        <w:rPr>
          <w:rFonts w:hint="eastAsia"/>
        </w:rPr>
      </w:pPr>
    </w:p>
    <w:p w14:paraId="43B80C92">
      <w:pPr>
        <w:pStyle w:val="9"/>
        <w:spacing w:after="0"/>
        <w:rPr>
          <w:rFonts w:hint="eastAsia"/>
        </w:rPr>
      </w:pPr>
      <w:r>
        <w:rPr>
          <w:rFonts w:hint="eastAsia"/>
        </w:rPr>
        <w:t>They are the Church: God’s called out ones, whether Jew or Gentile.</w:t>
      </w:r>
    </w:p>
    <w:p w14:paraId="61F5AB64">
      <w:pPr>
        <w:pStyle w:val="9"/>
        <w:spacing w:after="0"/>
        <w:rPr>
          <w:rFonts w:hint="eastAsia"/>
        </w:rPr>
      </w:pPr>
      <w:r>
        <w:rPr>
          <w:rFonts w:hint="eastAsia"/>
        </w:rPr>
        <w:t>他们是教会：神所召出来的人，无论是犹太人还是外邦人。</w:t>
      </w:r>
    </w:p>
    <w:p w14:paraId="34A4D008">
      <w:pPr>
        <w:pStyle w:val="9"/>
        <w:spacing w:after="0"/>
        <w:rPr>
          <w:rFonts w:hint="eastAsia"/>
        </w:rPr>
      </w:pPr>
    </w:p>
    <w:p w14:paraId="5A3C2FE7">
      <w:pPr>
        <w:pStyle w:val="9"/>
        <w:spacing w:after="0"/>
        <w:rPr>
          <w:rFonts w:hint="eastAsia"/>
        </w:rPr>
      </w:pPr>
      <w:r>
        <w:rPr>
          <w:rFonts w:hint="eastAsia"/>
        </w:rPr>
        <w:t>They are the saints: God’s separated ones, whether Jew or Gentile.</w:t>
      </w:r>
    </w:p>
    <w:p w14:paraId="0581AAA2">
      <w:pPr>
        <w:pStyle w:val="9"/>
        <w:spacing w:after="0"/>
        <w:rPr>
          <w:rFonts w:hint="eastAsia"/>
        </w:rPr>
      </w:pPr>
      <w:r>
        <w:rPr>
          <w:rFonts w:hint="eastAsia"/>
        </w:rPr>
        <w:t>他们是圣徒：神所分别为圣的人，无论是犹太人还是外邦人。</w:t>
      </w:r>
    </w:p>
    <w:p w14:paraId="4657DC60">
      <w:pPr>
        <w:pStyle w:val="9"/>
        <w:spacing w:after="0"/>
        <w:rPr>
          <w:rFonts w:hint="eastAsia"/>
        </w:rPr>
      </w:pPr>
    </w:p>
    <w:p w14:paraId="7CE66591">
      <w:pPr>
        <w:pStyle w:val="9"/>
        <w:spacing w:after="0"/>
        <w:rPr>
          <w:rFonts w:hint="eastAsia"/>
        </w:rPr>
      </w:pPr>
      <w:r>
        <w:rPr>
          <w:rFonts w:hint="eastAsia"/>
        </w:rPr>
        <w:t>And they are the one Body, the one Bride, the one Flock, and the one Holy Nation of God and Christ, whether Jew or Gentile.</w:t>
      </w:r>
    </w:p>
    <w:p w14:paraId="7AFB88C0">
      <w:pPr>
        <w:pStyle w:val="9"/>
        <w:spacing w:after="0"/>
        <w:rPr>
          <w:rFonts w:hint="eastAsia"/>
        </w:rPr>
      </w:pPr>
      <w:r>
        <w:rPr>
          <w:rFonts w:hint="eastAsia"/>
        </w:rPr>
        <w:t>他们是神和基督独一的身体、独一的新妇、独一的羊群和独一的圣洁国度，无论是犹太人还是外邦人。</w:t>
      </w:r>
    </w:p>
    <w:p w14:paraId="3C8EC96C">
      <w:pPr>
        <w:pStyle w:val="9"/>
        <w:spacing w:after="0"/>
        <w:rPr>
          <w:rFonts w:hint="eastAsia"/>
        </w:rPr>
      </w:pPr>
    </w:p>
    <w:p w14:paraId="401D6AE2">
      <w:pPr>
        <w:pStyle w:val="9"/>
        <w:spacing w:after="0"/>
        <w:rPr>
          <w:rFonts w:hint="eastAsia"/>
        </w:rPr>
      </w:pPr>
      <w:r>
        <w:rPr>
          <w:rFonts w:hint="eastAsia"/>
        </w:rPr>
        <w:t>The provision of the Covenant—that which makes the Covenant possible—is Christ, both his divine-human Person and redemptive Work.</w:t>
      </w:r>
    </w:p>
    <w:p w14:paraId="25E04883">
      <w:pPr>
        <w:pStyle w:val="9"/>
        <w:spacing w:after="0"/>
        <w:rPr>
          <w:rFonts w:hint="eastAsia"/>
        </w:rPr>
      </w:pPr>
      <w:r>
        <w:rPr>
          <w:rFonts w:hint="eastAsia"/>
        </w:rPr>
        <w:t>这约的预备——即那使这约成为可能的——是基督，既是祂神人二性的位格，也是祂的救赎工作。</w:t>
      </w:r>
    </w:p>
    <w:p w14:paraId="6FD8F610">
      <w:pPr>
        <w:pStyle w:val="9"/>
        <w:spacing w:after="0"/>
        <w:rPr>
          <w:rFonts w:hint="eastAsia"/>
        </w:rPr>
      </w:pPr>
    </w:p>
    <w:p w14:paraId="4D752A3A">
      <w:pPr>
        <w:pStyle w:val="9"/>
        <w:spacing w:after="0"/>
        <w:rPr>
          <w:rFonts w:hint="eastAsia"/>
        </w:rPr>
      </w:pPr>
      <w:r>
        <w:rPr>
          <w:rFonts w:hint="eastAsia"/>
        </w:rPr>
        <w:t>The promise of the Covenant is eternal life: spiritual life throughout the remainder of this present evil age (i.e., the Era of Proclamation), and spiritual and physical life throughout the eternal Age (or World) to Come.</w:t>
      </w:r>
    </w:p>
    <w:p w14:paraId="743F98BA">
      <w:pPr>
        <w:pStyle w:val="9"/>
        <w:spacing w:after="0"/>
        <w:rPr>
          <w:rFonts w:hint="eastAsia"/>
        </w:rPr>
      </w:pPr>
      <w:r>
        <w:rPr>
          <w:rFonts w:hint="eastAsia"/>
        </w:rPr>
        <w:t>这约的应许是永生：即在现今这邪恶世代的余下时间（即传讲的时代）里的属灵生命，以及在永恒的时代（或世界）要来之时的属灵和属肉体的生命。</w:t>
      </w:r>
    </w:p>
    <w:p w14:paraId="2C0292B9">
      <w:pPr>
        <w:pStyle w:val="9"/>
        <w:spacing w:after="0"/>
        <w:rPr>
          <w:rFonts w:hint="eastAsia"/>
        </w:rPr>
      </w:pPr>
    </w:p>
    <w:p w14:paraId="6E0B94AB">
      <w:pPr>
        <w:pStyle w:val="9"/>
        <w:spacing w:after="0"/>
        <w:rPr>
          <w:rFonts w:hint="eastAsia"/>
        </w:rPr>
      </w:pPr>
      <w:r>
        <w:rPr>
          <w:rFonts w:hint="eastAsia"/>
        </w:rPr>
        <w:t>The proviso of the Covenant—the condition of entrance into the Covenant, and of the enjoyment of its promised blessings—is repentance from sin and faith in Christ alone.</w:t>
      </w:r>
    </w:p>
    <w:p w14:paraId="069FAFA3">
      <w:pPr>
        <w:pStyle w:val="9"/>
        <w:spacing w:after="0"/>
        <w:rPr>
          <w:rFonts w:hint="eastAsia"/>
        </w:rPr>
      </w:pPr>
      <w:r>
        <w:rPr>
          <w:rFonts w:hint="eastAsia"/>
        </w:rPr>
        <w:t>这约的但书——即进入这约并享受其应许祝福的条件——是悔改脱离罪，并单单信靠基督。</w:t>
      </w:r>
    </w:p>
    <w:p w14:paraId="0F8A3D55">
      <w:pPr>
        <w:pStyle w:val="9"/>
        <w:spacing w:after="0"/>
        <w:rPr>
          <w:rFonts w:hint="eastAsia"/>
        </w:rPr>
      </w:pPr>
    </w:p>
    <w:p w14:paraId="2B3E4F95">
      <w:pPr>
        <w:pStyle w:val="9"/>
        <w:spacing w:after="0"/>
        <w:rPr>
          <w:rFonts w:hint="eastAsia"/>
        </w:rPr>
      </w:pPr>
      <w:r>
        <w:rPr>
          <w:rFonts w:hint="eastAsia"/>
        </w:rPr>
        <w:t>Finally, the penalty for spurning the Covenant is eternal punishment.</w:t>
      </w:r>
    </w:p>
    <w:p w14:paraId="21EB31B2">
      <w:pPr>
        <w:pStyle w:val="9"/>
        <w:spacing w:after="0"/>
        <w:rPr>
          <w:rFonts w:hint="eastAsia"/>
        </w:rPr>
      </w:pPr>
      <w:r>
        <w:rPr>
          <w:rFonts w:hint="eastAsia"/>
        </w:rPr>
        <w:t>最后，藐视这约的惩罚是永远的刑罚。</w:t>
      </w:r>
    </w:p>
    <w:p w14:paraId="358BB793">
      <w:pPr>
        <w:pStyle w:val="9"/>
        <w:spacing w:after="0"/>
        <w:rPr>
          <w:rFonts w:hint="eastAsia"/>
        </w:rPr>
      </w:pPr>
    </w:p>
    <w:p w14:paraId="530E9E91">
      <w:pPr>
        <w:pStyle w:val="9"/>
        <w:spacing w:after="0"/>
        <w:rPr>
          <w:rFonts w:hint="eastAsia"/>
        </w:rPr>
      </w:pPr>
      <w:r>
        <w:rPr>
          <w:rFonts w:hint="eastAsia"/>
        </w:rPr>
        <w:t>Here, then, in the Eternal Covenant, we have the great redemptive “mystery” of God.</w:t>
      </w:r>
    </w:p>
    <w:p w14:paraId="765F6B6C">
      <w:pPr>
        <w:pStyle w:val="9"/>
        <w:spacing w:after="0"/>
        <w:rPr>
          <w:rFonts w:hint="eastAsia"/>
        </w:rPr>
      </w:pPr>
      <w:r>
        <w:rPr>
          <w:rFonts w:hint="eastAsia"/>
        </w:rPr>
        <w:t>那么，在这里，在永恒之约中，我们看到了神伟大的救赎“奥秘”。</w:t>
      </w:r>
    </w:p>
    <w:p w14:paraId="3C04B9BE">
      <w:pPr>
        <w:pStyle w:val="9"/>
        <w:spacing w:after="0"/>
        <w:rPr>
          <w:rFonts w:hint="eastAsia"/>
        </w:rPr>
      </w:pPr>
    </w:p>
    <w:p w14:paraId="28960CDB">
      <w:pPr>
        <w:pStyle w:val="9"/>
        <w:spacing w:after="0"/>
        <w:rPr>
          <w:rFonts w:hint="eastAsia"/>
        </w:rPr>
      </w:pPr>
      <w:r>
        <w:rPr>
          <w:rFonts w:hint="eastAsia"/>
        </w:rPr>
        <w:t>It is none other than the New Covenant, which, in the present Era of Proclamation, has been unveiled, expounded, proclaimed, and celebrated by Christ himself, his holy apostles and prophets, and his entire Church.</w:t>
      </w:r>
    </w:p>
    <w:p w14:paraId="10E574BD">
      <w:pPr>
        <w:pStyle w:val="9"/>
        <w:spacing w:after="0"/>
        <w:rPr>
          <w:rFonts w:hint="eastAsia"/>
        </w:rPr>
      </w:pPr>
      <w:r>
        <w:rPr>
          <w:rFonts w:hint="eastAsia"/>
        </w:rPr>
        <w:t>它正是新约，在现今的传讲时代，已经被基督自己、祂圣洁的使徒和先知，以及祂整个教会所揭示、阐述、宣讲和庆祝。</w:t>
      </w:r>
    </w:p>
    <w:p w14:paraId="419FDE88">
      <w:pPr>
        <w:pStyle w:val="9"/>
        <w:spacing w:after="0"/>
        <w:rPr>
          <w:rFonts w:hint="eastAsia"/>
        </w:rPr>
      </w:pPr>
    </w:p>
    <w:p w14:paraId="20EB66B5">
      <w:pPr>
        <w:pStyle w:val="9"/>
        <w:spacing w:after="0"/>
        <w:rPr>
          <w:rFonts w:hint="eastAsia"/>
        </w:rPr>
      </w:pPr>
      <w:r>
        <w:rPr>
          <w:rFonts w:hint="eastAsia"/>
        </w:rPr>
        <w:t>What, then, is the exact relationship between the Eternal Covenant, the Old Covenant (i.e., the Mosaic Law), and the New Covenant?</w:t>
      </w:r>
    </w:p>
    <w:p w14:paraId="5C6A62A9">
      <w:pPr>
        <w:pStyle w:val="9"/>
        <w:spacing w:after="0"/>
        <w:rPr>
          <w:rFonts w:hint="eastAsia"/>
        </w:rPr>
      </w:pPr>
      <w:r>
        <w:rPr>
          <w:rFonts w:hint="eastAsia"/>
        </w:rPr>
        <w:t>那么，永恒之约、旧约（即摩西律法）和新约之间的确切关系是什么？</w:t>
      </w:r>
    </w:p>
    <w:p w14:paraId="0BE300F5">
      <w:pPr>
        <w:pStyle w:val="9"/>
        <w:spacing w:after="0"/>
        <w:rPr>
          <w:rFonts w:hint="eastAsia"/>
        </w:rPr>
      </w:pPr>
    </w:p>
    <w:p w14:paraId="61A9B9C8">
      <w:pPr>
        <w:pStyle w:val="9"/>
        <w:spacing w:after="0"/>
        <w:rPr>
          <w:rFonts w:hint="eastAsia"/>
        </w:rPr>
      </w:pPr>
      <w:r>
        <w:rPr>
          <w:rFonts w:hint="eastAsia"/>
        </w:rPr>
        <w:t>In our study, we addressed this question at some length.</w:t>
      </w:r>
    </w:p>
    <w:p w14:paraId="4AABA7FC">
      <w:pPr>
        <w:pStyle w:val="9"/>
        <w:spacing w:after="0"/>
        <w:rPr>
          <w:rFonts w:hint="eastAsia"/>
        </w:rPr>
      </w:pPr>
      <w:r>
        <w:rPr>
          <w:rFonts w:hint="eastAsia"/>
        </w:rPr>
        <w:t>在我们的研究中，我们相当详细地讨论了这个问题。</w:t>
      </w:r>
    </w:p>
    <w:p w14:paraId="21D503E7">
      <w:pPr>
        <w:pStyle w:val="9"/>
        <w:spacing w:after="0"/>
        <w:rPr>
          <w:rFonts w:hint="eastAsia"/>
        </w:rPr>
      </w:pPr>
    </w:p>
    <w:p w14:paraId="287A59BD">
      <w:pPr>
        <w:pStyle w:val="9"/>
        <w:spacing w:after="0"/>
        <w:rPr>
          <w:rFonts w:hint="eastAsia"/>
        </w:rPr>
      </w:pPr>
      <w:r>
        <w:rPr>
          <w:rFonts w:hint="eastAsia"/>
        </w:rPr>
        <w:t>We learned, for example, that in OT times, God administered the Eternal Covenant typologically; that in those days he promised, pictured, and prepared for the (unveiling of the) Covenant, while in NT times he fulfilled all he had promised, pictured, and prepared for by manifesting the several elements of the Covenant as they truly are.</w:t>
      </w:r>
    </w:p>
    <w:p w14:paraId="11B25025">
      <w:pPr>
        <w:pStyle w:val="9"/>
        <w:spacing w:after="0"/>
        <w:rPr>
          <w:rFonts w:hint="eastAsia"/>
        </w:rPr>
      </w:pPr>
      <w:r>
        <w:rPr>
          <w:rFonts w:hint="eastAsia"/>
        </w:rPr>
        <w:t>例如，我们了解到，在旧约时代，神以预表的方式施行永恒之约；在那些日子里，祂应许、描绘并预备了（揭示）这约，而在新约时代，祂通过彰显这约的各个要素的真实面貌，成全了祂所应许、描绘和预备的一切。</w:t>
      </w:r>
    </w:p>
    <w:p w14:paraId="4F6B34B2">
      <w:pPr>
        <w:pStyle w:val="9"/>
        <w:spacing w:after="0"/>
        <w:rPr>
          <w:rFonts w:hint="eastAsia"/>
        </w:rPr>
      </w:pPr>
    </w:p>
    <w:p w14:paraId="171FC3FE">
      <w:pPr>
        <w:pStyle w:val="9"/>
        <w:spacing w:after="0"/>
        <w:rPr>
          <w:rFonts w:hint="eastAsia"/>
        </w:rPr>
      </w:pPr>
      <w:r>
        <w:rPr>
          <w:rFonts w:hint="eastAsia"/>
        </w:rPr>
        <w:t>This “mysterious” relationship is especially evident in God’s dealings with the family of Abraham, a family that in due season he constituted as a nation when he gave Israel the Mosaic Law at Mt. Sinai.</w:t>
      </w:r>
    </w:p>
    <w:p w14:paraId="69D9B782">
      <w:pPr>
        <w:pStyle w:val="9"/>
        <w:spacing w:after="0"/>
        <w:rPr>
          <w:rFonts w:hint="eastAsia"/>
        </w:rPr>
      </w:pPr>
      <w:r>
        <w:rPr>
          <w:rFonts w:hint="eastAsia"/>
        </w:rPr>
        <w:t>这种“奥秘的”关系在神与亚伯拉罕家族的交往中尤其明显，祂在适当的时候，在西奈山将摩西律法赐给以色列，从而将这个家族建立为一个国家。</w:t>
      </w:r>
    </w:p>
    <w:p w14:paraId="558818A0">
      <w:pPr>
        <w:pStyle w:val="9"/>
        <w:spacing w:after="0"/>
        <w:rPr>
          <w:rFonts w:hint="eastAsia"/>
        </w:rPr>
      </w:pPr>
    </w:p>
    <w:p w14:paraId="4A986BEB">
      <w:pPr>
        <w:pStyle w:val="9"/>
        <w:spacing w:after="0"/>
        <w:rPr>
          <w:rFonts w:hint="eastAsia"/>
        </w:rPr>
      </w:pPr>
      <w:r>
        <w:rPr>
          <w:rFonts w:hint="eastAsia"/>
        </w:rPr>
        <w:t>Under that Law, ethnic Israel pictured the universal Church, the human parties to the Eternal Covenant; so too did the Temple, Jerusalem, and other OT institutions (Eph. 2:19-22, Rev. 21:1f).</w:t>
      </w:r>
    </w:p>
    <w:p w14:paraId="1CB1166E">
      <w:pPr>
        <w:pStyle w:val="9"/>
        <w:spacing w:after="0"/>
        <w:rPr>
          <w:rFonts w:hint="eastAsia"/>
        </w:rPr>
      </w:pPr>
      <w:r>
        <w:rPr>
          <w:rFonts w:hint="eastAsia"/>
        </w:rPr>
        <w:t>在该律法之下，种族上的以色列预表了普世教会，即永恒之约的人类立约方；圣殿、耶路撒冷和其他旧约制度也是如此（弗2:19-22，启21:1及以下）。</w:t>
      </w:r>
    </w:p>
    <w:p w14:paraId="5E81C13B">
      <w:pPr>
        <w:pStyle w:val="9"/>
        <w:spacing w:after="0"/>
        <w:rPr>
          <w:rFonts w:hint="eastAsia"/>
        </w:rPr>
      </w:pPr>
    </w:p>
    <w:p w14:paraId="3BA68FB3">
      <w:pPr>
        <w:pStyle w:val="9"/>
        <w:spacing w:after="0"/>
        <w:rPr>
          <w:rFonts w:hint="eastAsia"/>
        </w:rPr>
      </w:pPr>
      <w:r>
        <w:rPr>
          <w:rFonts w:hint="eastAsia"/>
        </w:rPr>
        <w:t>Under that Law, the prophets, priests, kings, and sacrifices pictured Christ, the provision of the Covenant, in all his offices.</w:t>
      </w:r>
    </w:p>
    <w:p w14:paraId="1816D768">
      <w:pPr>
        <w:pStyle w:val="9"/>
        <w:spacing w:after="0"/>
        <w:rPr>
          <w:rFonts w:hint="eastAsia"/>
        </w:rPr>
      </w:pPr>
      <w:r>
        <w:rPr>
          <w:rFonts w:hint="eastAsia"/>
        </w:rPr>
        <w:t>在该律法之下，先知、祭司、君王和献祭，预表了基督，即这约的预备，在祂所有的职分中。</w:t>
      </w:r>
    </w:p>
    <w:p w14:paraId="4D86C39E">
      <w:pPr>
        <w:pStyle w:val="9"/>
        <w:spacing w:after="0"/>
        <w:rPr>
          <w:rFonts w:hint="eastAsia"/>
        </w:rPr>
      </w:pPr>
    </w:p>
    <w:p w14:paraId="51337E1E">
      <w:pPr>
        <w:pStyle w:val="9"/>
        <w:spacing w:after="0"/>
        <w:rPr>
          <w:rFonts w:hint="eastAsia"/>
        </w:rPr>
      </w:pPr>
      <w:r>
        <w:rPr>
          <w:rFonts w:hint="eastAsia"/>
        </w:rPr>
        <w:t>And under that Law, the land pictured the World to Come, the promise of the Eternal Covenant in all its fullness (Rom. 4:13).</w:t>
      </w:r>
    </w:p>
    <w:p w14:paraId="4749AA64">
      <w:pPr>
        <w:pStyle w:val="9"/>
        <w:spacing w:after="0"/>
        <w:rPr>
          <w:rFonts w:hint="eastAsia"/>
        </w:rPr>
      </w:pPr>
      <w:r>
        <w:rPr>
          <w:rFonts w:hint="eastAsia"/>
        </w:rPr>
        <w:t>在该律法之下，那地预表了来世，即永恒之约在其丰满中的应许（罗4:13）。</w:t>
      </w:r>
    </w:p>
    <w:p w14:paraId="78E149A4">
      <w:pPr>
        <w:pStyle w:val="9"/>
        <w:spacing w:after="0"/>
        <w:rPr>
          <w:rFonts w:hint="eastAsia"/>
        </w:rPr>
      </w:pPr>
    </w:p>
    <w:p w14:paraId="2BA5957B">
      <w:pPr>
        <w:pStyle w:val="9"/>
        <w:spacing w:after="0"/>
        <w:rPr>
          <w:rFonts w:hint="eastAsia"/>
        </w:rPr>
      </w:pPr>
      <w:r>
        <w:rPr>
          <w:rFonts w:hint="eastAsia"/>
        </w:rPr>
        <w:t>In short, the rich tapestry of Mosaic institutions pictured and promised the several elements of the Eternal Covenant.</w:t>
      </w:r>
    </w:p>
    <w:p w14:paraId="3249E8E3">
      <w:pPr>
        <w:pStyle w:val="9"/>
        <w:spacing w:after="0"/>
        <w:rPr>
          <w:rFonts w:hint="eastAsia"/>
        </w:rPr>
      </w:pPr>
      <w:r>
        <w:rPr>
          <w:rFonts w:hint="eastAsia"/>
        </w:rPr>
        <w:t>简而言之，摩西制度的丰富织锦，描绘并应许了永恒之约的各个要素。</w:t>
      </w:r>
    </w:p>
    <w:p w14:paraId="05EC8586">
      <w:pPr>
        <w:pStyle w:val="9"/>
        <w:spacing w:after="0"/>
        <w:rPr>
          <w:rFonts w:hint="eastAsia"/>
        </w:rPr>
      </w:pPr>
    </w:p>
    <w:p w14:paraId="78FB5E68">
      <w:pPr>
        <w:pStyle w:val="9"/>
        <w:spacing w:after="0"/>
        <w:rPr>
          <w:rFonts w:hint="eastAsia"/>
        </w:rPr>
      </w:pPr>
      <w:r>
        <w:rPr>
          <w:rFonts w:hint="eastAsia"/>
        </w:rPr>
        <w:t>Very importantly, we also learned that when Christ entered the world and inaugurated the Eternal Covenant through the shedding of his blood, he not only fulfilled the Old Covenant and its various emblems and institutions, but also abolished it (and them) forever (Mt. 5:17).</w:t>
      </w:r>
    </w:p>
    <w:p w14:paraId="4D9D7022">
      <w:pPr>
        <w:pStyle w:val="9"/>
        <w:spacing w:after="0"/>
        <w:rPr>
          <w:rFonts w:hint="eastAsia"/>
        </w:rPr>
      </w:pPr>
      <w:r>
        <w:rPr>
          <w:rFonts w:hint="eastAsia"/>
        </w:rPr>
        <w:t>非常重要的是，我们也了解到，当基督进入世界，并通过流出祂的血开启永恒之约时，祂不仅成全了旧约及其各种象征和制度，也永远地废除了它（和它们）（太5:17）。</w:t>
      </w:r>
    </w:p>
    <w:p w14:paraId="2DE9A231">
      <w:pPr>
        <w:pStyle w:val="9"/>
        <w:spacing w:after="0"/>
        <w:rPr>
          <w:rFonts w:hint="eastAsia"/>
        </w:rPr>
      </w:pPr>
    </w:p>
    <w:p w14:paraId="0B8946F6">
      <w:pPr>
        <w:pStyle w:val="9"/>
        <w:spacing w:after="0"/>
        <w:rPr>
          <w:rFonts w:hint="eastAsia"/>
        </w:rPr>
      </w:pPr>
      <w:r>
        <w:rPr>
          <w:rFonts w:hint="eastAsia"/>
        </w:rPr>
        <w:t>The veil of the temple was rent (Mt. 27:51).</w:t>
      </w:r>
    </w:p>
    <w:p w14:paraId="4684A8FC">
      <w:pPr>
        <w:pStyle w:val="9"/>
        <w:spacing w:after="0"/>
        <w:rPr>
          <w:rFonts w:hint="eastAsia"/>
        </w:rPr>
      </w:pPr>
      <w:r>
        <w:rPr>
          <w:rFonts w:hint="eastAsia"/>
        </w:rPr>
        <w:t>殿里的幔子裂开了（太27:51）。</w:t>
      </w:r>
    </w:p>
    <w:p w14:paraId="3CCB0DA0">
      <w:pPr>
        <w:pStyle w:val="9"/>
        <w:spacing w:after="0"/>
        <w:rPr>
          <w:rFonts w:hint="eastAsia"/>
        </w:rPr>
      </w:pPr>
    </w:p>
    <w:p w14:paraId="2689273D">
      <w:pPr>
        <w:pStyle w:val="9"/>
        <w:spacing w:after="0"/>
        <w:rPr>
          <w:rFonts w:hint="eastAsia"/>
        </w:rPr>
      </w:pPr>
      <w:r>
        <w:rPr>
          <w:rFonts w:hint="eastAsia"/>
        </w:rPr>
        <w:t>The fig tree was cursed (Mark 11:12-14).</w:t>
      </w:r>
    </w:p>
    <w:p w14:paraId="5FA8E2A8">
      <w:pPr>
        <w:pStyle w:val="9"/>
        <w:spacing w:after="0"/>
        <w:rPr>
          <w:rFonts w:hint="eastAsia"/>
        </w:rPr>
      </w:pPr>
      <w:r>
        <w:rPr>
          <w:rFonts w:hint="eastAsia"/>
        </w:rPr>
        <w:t>无花果树被咒诅了（可11:12-14）。</w:t>
      </w:r>
    </w:p>
    <w:p w14:paraId="77191783">
      <w:pPr>
        <w:pStyle w:val="9"/>
        <w:spacing w:after="0"/>
        <w:rPr>
          <w:rFonts w:hint="eastAsia"/>
        </w:rPr>
      </w:pPr>
    </w:p>
    <w:p w14:paraId="449752BD">
      <w:pPr>
        <w:pStyle w:val="9"/>
        <w:spacing w:after="0"/>
        <w:rPr>
          <w:rFonts w:hint="eastAsia"/>
        </w:rPr>
      </w:pPr>
      <w:r>
        <w:rPr>
          <w:rFonts w:hint="eastAsia"/>
        </w:rPr>
        <w:t>The old wineskins were to be cast away (Mt. 9:17).</w:t>
      </w:r>
    </w:p>
    <w:p w14:paraId="32A8D03D">
      <w:pPr>
        <w:pStyle w:val="9"/>
        <w:spacing w:after="0"/>
        <w:rPr>
          <w:rFonts w:hint="eastAsia"/>
        </w:rPr>
      </w:pPr>
      <w:r>
        <w:rPr>
          <w:rFonts w:hint="eastAsia"/>
        </w:rPr>
        <w:t>旧酒袋要被丢弃（太9:17）。</w:t>
      </w:r>
    </w:p>
    <w:p w14:paraId="455B6521">
      <w:pPr>
        <w:pStyle w:val="9"/>
        <w:spacing w:after="0"/>
        <w:rPr>
          <w:rFonts w:hint="eastAsia"/>
        </w:rPr>
      </w:pPr>
    </w:p>
    <w:p w14:paraId="348E572C">
      <w:pPr>
        <w:pStyle w:val="9"/>
        <w:spacing w:after="0"/>
        <w:rPr>
          <w:rFonts w:hint="eastAsia"/>
        </w:rPr>
      </w:pPr>
      <w:r>
        <w:rPr>
          <w:rFonts w:hint="eastAsia"/>
        </w:rPr>
        <w:t>In all of these things, the Spirit depicts for us the permanent laying aside of the OT institutions; their perpetual obsolescence (Heb. 8:13).</w:t>
      </w:r>
    </w:p>
    <w:p w14:paraId="3E127C7A">
      <w:pPr>
        <w:pStyle w:val="9"/>
        <w:spacing w:after="0"/>
        <w:rPr>
          <w:rFonts w:hint="eastAsia"/>
        </w:rPr>
      </w:pPr>
      <w:r>
        <w:rPr>
          <w:rFonts w:hint="eastAsia"/>
        </w:rPr>
        <w:t>在所有这些事上，圣灵为我们描绘了旧约制度的永久废弃；它们永远的过时（来8:13）。</w:t>
      </w:r>
    </w:p>
    <w:p w14:paraId="661E9865">
      <w:pPr>
        <w:pStyle w:val="9"/>
        <w:spacing w:after="0"/>
        <w:rPr>
          <w:rFonts w:hint="eastAsia"/>
        </w:rPr>
      </w:pPr>
    </w:p>
    <w:p w14:paraId="04AE3267">
      <w:pPr>
        <w:pStyle w:val="9"/>
        <w:spacing w:after="0"/>
        <w:rPr>
          <w:rFonts w:hint="eastAsia"/>
        </w:rPr>
      </w:pPr>
      <w:r>
        <w:rPr>
          <w:rFonts w:hint="eastAsia"/>
        </w:rPr>
        <w:t>As a result, since the Day of Pentecost when the apostles first proclaimed the finished work of Christ, it has never been safe for any man—Jew or Gentile—to shelter his soul under Moses (John 1:17).</w:t>
      </w:r>
    </w:p>
    <w:p w14:paraId="2FC2ABD4">
      <w:pPr>
        <w:pStyle w:val="9"/>
        <w:spacing w:after="0"/>
        <w:rPr>
          <w:rFonts w:hint="eastAsia"/>
        </w:rPr>
      </w:pPr>
      <w:r>
        <w:rPr>
          <w:rFonts w:hint="eastAsia"/>
        </w:rPr>
        <w:t>因此，自从五旬节那天，使徒们首次宣讲基督已完成的工作以来，任何人——无论是犹太人还是外邦人——在摩西之下寻求灵魂的庇护，都是不安全的（约1:17）。</w:t>
      </w:r>
    </w:p>
    <w:p w14:paraId="42FD1316">
      <w:pPr>
        <w:pStyle w:val="9"/>
        <w:spacing w:after="0"/>
        <w:rPr>
          <w:rFonts w:hint="eastAsia"/>
        </w:rPr>
      </w:pPr>
    </w:p>
    <w:p w14:paraId="6668DDAF">
      <w:pPr>
        <w:pStyle w:val="9"/>
        <w:spacing w:after="0"/>
        <w:rPr>
          <w:rFonts w:hint="eastAsia"/>
        </w:rPr>
      </w:pPr>
      <w:r>
        <w:rPr>
          <w:rFonts w:hint="eastAsia"/>
        </w:rPr>
        <w:t>Indeed, the NT casts those who stubbornly try to do so as rebels against God (2 Thess. 1:8, 1 Peter 4:17).</w:t>
      </w:r>
    </w:p>
    <w:p w14:paraId="7577B58E">
      <w:pPr>
        <w:pStyle w:val="9"/>
        <w:spacing w:after="0"/>
        <w:rPr>
          <w:rFonts w:hint="eastAsia"/>
        </w:rPr>
      </w:pPr>
      <w:r>
        <w:rPr>
          <w:rFonts w:hint="eastAsia"/>
        </w:rPr>
        <w:t>的确，新约将那些顽固地试图这样做的人，视为悖逆神的叛徒（帖后1:8，彼前4:17）。</w:t>
      </w:r>
    </w:p>
    <w:p w14:paraId="1951B200">
      <w:pPr>
        <w:pStyle w:val="9"/>
        <w:spacing w:after="0"/>
        <w:rPr>
          <w:rFonts w:hint="eastAsia"/>
        </w:rPr>
      </w:pPr>
    </w:p>
    <w:p w14:paraId="421E74CD">
      <w:pPr>
        <w:pStyle w:val="9"/>
        <w:spacing w:after="0"/>
        <w:rPr>
          <w:rFonts w:hint="eastAsia"/>
        </w:rPr>
      </w:pPr>
      <w:r>
        <w:rPr>
          <w:rFonts w:hint="eastAsia"/>
        </w:rPr>
        <w:t>In the words of Christ, Jewish unbelievers who cling to the Mosaic Law are a synagogue of Satan (Rev. 2:9, 3:9).</w:t>
      </w:r>
    </w:p>
    <w:p w14:paraId="1F373C99">
      <w:pPr>
        <w:pStyle w:val="9"/>
        <w:spacing w:after="0"/>
        <w:rPr>
          <w:rFonts w:hint="eastAsia"/>
        </w:rPr>
      </w:pPr>
      <w:r>
        <w:rPr>
          <w:rFonts w:hint="eastAsia"/>
        </w:rPr>
        <w:t>用基督的话说，那些固守摩西律法的不信的犹太人，是撒但一会的人（启2:9, 3:9）。</w:t>
      </w:r>
    </w:p>
    <w:p w14:paraId="56F9C1DF">
      <w:pPr>
        <w:pStyle w:val="9"/>
        <w:spacing w:after="0"/>
        <w:rPr>
          <w:rFonts w:hint="eastAsia"/>
        </w:rPr>
      </w:pPr>
    </w:p>
    <w:p w14:paraId="4D83E748">
      <w:pPr>
        <w:pStyle w:val="9"/>
        <w:spacing w:after="0"/>
        <w:rPr>
          <w:rFonts w:hint="eastAsia"/>
        </w:rPr>
      </w:pPr>
      <w:r>
        <w:rPr>
          <w:rFonts w:hint="eastAsia"/>
        </w:rPr>
        <w:t>In the words of Paul, they are citizens of the Jerusalem below, but not of the Jerusalem above; they are children of Hagar, but not of Sarah; they are slaves to sin, condemnation, and wrath, but not free men in Christ (Gal. 4:21-31).</w:t>
      </w:r>
    </w:p>
    <w:p w14:paraId="49B7834D">
      <w:pPr>
        <w:pStyle w:val="9"/>
        <w:spacing w:after="0"/>
        <w:rPr>
          <w:rFonts w:hint="eastAsia"/>
        </w:rPr>
      </w:pPr>
      <w:r>
        <w:rPr>
          <w:rFonts w:hint="eastAsia"/>
        </w:rPr>
        <w:t>用保罗的话说，他们是在下的耶路撒冷的公民，而不是在上的耶路撒冷的公民；他们是夏甲的儿女，而不是撒拉的儿女；他们是罪、定罪和忿怒的奴仆，而不是在基督里自由的人（加4:21-31）。</w:t>
      </w:r>
    </w:p>
    <w:p w14:paraId="6BD7FA1B">
      <w:pPr>
        <w:pStyle w:val="9"/>
        <w:spacing w:after="0"/>
        <w:rPr>
          <w:rFonts w:hint="eastAsia"/>
        </w:rPr>
      </w:pPr>
    </w:p>
    <w:p w14:paraId="79FF1A77">
      <w:pPr>
        <w:pStyle w:val="9"/>
        <w:spacing w:after="0"/>
        <w:rPr>
          <w:rFonts w:hint="eastAsia"/>
        </w:rPr>
      </w:pPr>
      <w:r>
        <w:rPr>
          <w:rFonts w:hint="eastAsia"/>
        </w:rPr>
        <w:t>So then, now that Christ has entered the world, everything has changed for the physical seed of Abraham.</w:t>
      </w:r>
    </w:p>
    <w:p w14:paraId="279BDE67">
      <w:pPr>
        <w:pStyle w:val="9"/>
        <w:spacing w:after="0"/>
        <w:rPr>
          <w:rFonts w:hint="eastAsia"/>
        </w:rPr>
      </w:pPr>
      <w:r>
        <w:rPr>
          <w:rFonts w:hint="eastAsia"/>
        </w:rPr>
        <w:t>所以，既然基督已经进入世界，对于亚伯拉罕肉身的后裔来说，一切都改变了。</w:t>
      </w:r>
    </w:p>
    <w:p w14:paraId="728DEC1B">
      <w:pPr>
        <w:pStyle w:val="9"/>
        <w:spacing w:after="0"/>
        <w:rPr>
          <w:rFonts w:hint="eastAsia"/>
        </w:rPr>
      </w:pPr>
    </w:p>
    <w:p w14:paraId="5B645248">
      <w:pPr>
        <w:pStyle w:val="9"/>
        <w:spacing w:after="0"/>
        <w:rPr>
          <w:rFonts w:hint="eastAsia"/>
        </w:rPr>
      </w:pPr>
      <w:r>
        <w:rPr>
          <w:rFonts w:hint="eastAsia"/>
        </w:rPr>
        <w:t>Israel according to the flesh must become Israel according to the Spirit, or cease being Israel at all.</w:t>
      </w:r>
    </w:p>
    <w:p w14:paraId="1BE61864">
      <w:pPr>
        <w:pStyle w:val="9"/>
        <w:spacing w:after="0"/>
        <w:rPr>
          <w:rFonts w:hint="eastAsia"/>
        </w:rPr>
      </w:pPr>
      <w:r>
        <w:rPr>
          <w:rFonts w:hint="eastAsia"/>
        </w:rPr>
        <w:t>按着肉体生的以色列，必须成为按着圣灵生的以色列，否则就根本不再是以色列。</w:t>
      </w:r>
    </w:p>
    <w:p w14:paraId="1A7185D6">
      <w:pPr>
        <w:pStyle w:val="9"/>
        <w:spacing w:after="0"/>
        <w:rPr>
          <w:rFonts w:hint="eastAsia"/>
        </w:rPr>
      </w:pPr>
    </w:p>
    <w:p w14:paraId="7F4C6147">
      <w:pPr>
        <w:pStyle w:val="9"/>
        <w:spacing w:after="0"/>
        <w:rPr>
          <w:rFonts w:hint="eastAsia"/>
        </w:rPr>
      </w:pPr>
      <w:r>
        <w:rPr>
          <w:rFonts w:hint="eastAsia"/>
        </w:rPr>
        <w:t>Once we understand all this—once we understand how the New Covenant fulfills the Old, rendering its emblems and institutions forever obsolete—then we can understand God’s relation to modern unbelieving Jews.</w:t>
      </w:r>
    </w:p>
    <w:p w14:paraId="1262F8B3">
      <w:pPr>
        <w:pStyle w:val="9"/>
        <w:spacing w:after="0"/>
        <w:rPr>
          <w:rFonts w:hint="eastAsia"/>
        </w:rPr>
      </w:pPr>
      <w:r>
        <w:rPr>
          <w:rFonts w:hint="eastAsia"/>
        </w:rPr>
        <w:t>一旦我们理解了这一切——一旦我们理解了新约如何成全旧约，使其象征和制度永远过时——那么我们就能理解神与现代不信的犹太人的关系。</w:t>
      </w:r>
    </w:p>
    <w:p w14:paraId="67C8DC59">
      <w:pPr>
        <w:pStyle w:val="9"/>
        <w:spacing w:after="0"/>
        <w:rPr>
          <w:rFonts w:hint="eastAsia"/>
        </w:rPr>
      </w:pPr>
    </w:p>
    <w:p w14:paraId="4A18B8A0">
      <w:pPr>
        <w:pStyle w:val="9"/>
        <w:spacing w:after="0"/>
        <w:rPr>
          <w:rFonts w:hint="eastAsia"/>
        </w:rPr>
      </w:pPr>
      <w:r>
        <w:rPr>
          <w:rFonts w:hint="eastAsia"/>
        </w:rPr>
        <w:t>It is not a mystery.</w:t>
      </w:r>
    </w:p>
    <w:p w14:paraId="1D7D572A">
      <w:pPr>
        <w:pStyle w:val="9"/>
        <w:spacing w:after="0"/>
        <w:rPr>
          <w:rFonts w:hint="eastAsia"/>
        </w:rPr>
      </w:pPr>
      <w:r>
        <w:rPr>
          <w:rFonts w:hint="eastAsia"/>
        </w:rPr>
        <w:t>这不是一个奥秘。</w:t>
      </w:r>
    </w:p>
    <w:p w14:paraId="3ADC2971">
      <w:pPr>
        <w:pStyle w:val="9"/>
        <w:spacing w:after="0"/>
        <w:rPr>
          <w:rFonts w:hint="eastAsia"/>
        </w:rPr>
      </w:pPr>
    </w:p>
    <w:p w14:paraId="29179D1B">
      <w:pPr>
        <w:pStyle w:val="9"/>
        <w:spacing w:after="0"/>
        <w:rPr>
          <w:rFonts w:hint="eastAsia"/>
        </w:rPr>
      </w:pPr>
      <w:r>
        <w:rPr>
          <w:rFonts w:hint="eastAsia"/>
        </w:rPr>
        <w:t>Just like unbelieving Gentiles, they are “not his people” (Hosea 1:9).</w:t>
      </w:r>
    </w:p>
    <w:p w14:paraId="447439A5">
      <w:pPr>
        <w:pStyle w:val="9"/>
        <w:spacing w:after="0"/>
        <w:rPr>
          <w:rFonts w:hint="eastAsia"/>
        </w:rPr>
      </w:pPr>
      <w:r>
        <w:rPr>
          <w:rFonts w:hint="eastAsia"/>
        </w:rPr>
        <w:t>就像不信的外邦人一样，他们是“非我民”（何1:9）。</w:t>
      </w:r>
    </w:p>
    <w:p w14:paraId="0DF44C40">
      <w:pPr>
        <w:pStyle w:val="9"/>
        <w:spacing w:after="0"/>
        <w:rPr>
          <w:rFonts w:hint="eastAsia"/>
        </w:rPr>
      </w:pPr>
    </w:p>
    <w:p w14:paraId="6944D360">
      <w:pPr>
        <w:pStyle w:val="9"/>
        <w:spacing w:after="0"/>
        <w:rPr>
          <w:rFonts w:hint="eastAsia"/>
        </w:rPr>
      </w:pPr>
      <w:r>
        <w:rPr>
          <w:rFonts w:hint="eastAsia"/>
        </w:rPr>
        <w:t>They are outside the Covenant.</w:t>
      </w:r>
    </w:p>
    <w:p w14:paraId="30DA951F">
      <w:pPr>
        <w:pStyle w:val="9"/>
        <w:spacing w:after="0"/>
        <w:rPr>
          <w:rFonts w:hint="eastAsia"/>
        </w:rPr>
      </w:pPr>
      <w:r>
        <w:rPr>
          <w:rFonts w:hint="eastAsia"/>
        </w:rPr>
        <w:t>他们在这约之外。</w:t>
      </w:r>
    </w:p>
    <w:p w14:paraId="6F385035">
      <w:pPr>
        <w:pStyle w:val="9"/>
        <w:spacing w:after="0"/>
        <w:rPr>
          <w:rFonts w:hint="eastAsia"/>
        </w:rPr>
      </w:pPr>
    </w:p>
    <w:p w14:paraId="2CE46006">
      <w:pPr>
        <w:pStyle w:val="9"/>
        <w:spacing w:after="0"/>
        <w:rPr>
          <w:rFonts w:hint="eastAsia"/>
        </w:rPr>
      </w:pPr>
      <w:r>
        <w:rPr>
          <w:rFonts w:hint="eastAsia"/>
        </w:rPr>
        <w:t>Indeed, they are outside two covenants.</w:t>
      </w:r>
    </w:p>
    <w:p w14:paraId="508B32A2">
      <w:pPr>
        <w:pStyle w:val="9"/>
        <w:spacing w:after="0"/>
        <w:rPr>
          <w:rFonts w:hint="eastAsia"/>
        </w:rPr>
      </w:pPr>
      <w:r>
        <w:rPr>
          <w:rFonts w:hint="eastAsia"/>
        </w:rPr>
        <w:t>事实上，他们在两个约之外。</w:t>
      </w:r>
    </w:p>
    <w:p w14:paraId="1D051660">
      <w:pPr>
        <w:pStyle w:val="9"/>
        <w:spacing w:after="0"/>
        <w:rPr>
          <w:rFonts w:hint="eastAsia"/>
        </w:rPr>
      </w:pPr>
    </w:p>
    <w:p w14:paraId="03881E7A">
      <w:pPr>
        <w:pStyle w:val="9"/>
        <w:spacing w:after="0"/>
        <w:rPr>
          <w:rFonts w:hint="eastAsia"/>
        </w:rPr>
      </w:pPr>
      <w:r>
        <w:rPr>
          <w:rFonts w:hint="eastAsia"/>
        </w:rPr>
        <w:t>They are outside the New Covenant because they remain in sin and unbelief; and they are outside the Old Covenant because the Old Covenant no longer exists.</w:t>
      </w:r>
    </w:p>
    <w:p w14:paraId="44B9ADD6">
      <w:pPr>
        <w:pStyle w:val="9"/>
        <w:spacing w:after="0"/>
        <w:rPr>
          <w:rFonts w:hint="eastAsia"/>
        </w:rPr>
      </w:pPr>
      <w:r>
        <w:rPr>
          <w:rFonts w:hint="eastAsia"/>
        </w:rPr>
        <w:t>他们在新约之外，因为他们仍活在罪和不信中；他们在旧约之外，因为旧约已不复存在。</w:t>
      </w:r>
    </w:p>
    <w:p w14:paraId="59A127BE">
      <w:pPr>
        <w:pStyle w:val="9"/>
        <w:spacing w:after="0"/>
        <w:rPr>
          <w:rFonts w:hint="eastAsia"/>
        </w:rPr>
      </w:pPr>
    </w:p>
    <w:p w14:paraId="25187150">
      <w:pPr>
        <w:pStyle w:val="9"/>
        <w:spacing w:after="0"/>
        <w:rPr>
          <w:rFonts w:hint="eastAsia"/>
        </w:rPr>
      </w:pPr>
      <w:r>
        <w:rPr>
          <w:rFonts w:hint="eastAsia"/>
        </w:rPr>
        <w:t>Thus, at the risk of some confusion, one might call these people Israelites in a strictly anthropological sense, since they are indeed the physical descendents of Jacob.</w:t>
      </w:r>
    </w:p>
    <w:p w14:paraId="6EFB6238">
      <w:pPr>
        <w:pStyle w:val="9"/>
        <w:spacing w:after="0"/>
        <w:rPr>
          <w:rFonts w:hint="eastAsia"/>
        </w:rPr>
      </w:pPr>
      <w:r>
        <w:rPr>
          <w:rFonts w:hint="eastAsia"/>
        </w:rPr>
        <w:t>因此，冒着一些混淆的风险，人们可以从严格的人类学意义上称这些人</w:t>
      </w:r>
    </w:p>
    <w:p w14:paraId="335FB037">
      <w:pPr>
        <w:pStyle w:val="9"/>
        <w:spacing w:after="0"/>
        <w:rPr>
          <w:rFonts w:hint="eastAsia"/>
        </w:rPr>
      </w:pPr>
      <w:r>
        <w:rPr>
          <w:rFonts w:hint="eastAsia"/>
        </w:rPr>
        <w:t>为以色列人，因为他们确实是雅各的肉身後裔。</w:t>
      </w:r>
    </w:p>
    <w:p w14:paraId="0F28A36E">
      <w:pPr>
        <w:pStyle w:val="9"/>
        <w:spacing w:after="0"/>
        <w:rPr>
          <w:rFonts w:hint="eastAsia"/>
        </w:rPr>
      </w:pPr>
    </w:p>
    <w:p w14:paraId="07FC87B7">
      <w:pPr>
        <w:pStyle w:val="9"/>
        <w:spacing w:after="0"/>
        <w:rPr>
          <w:rFonts w:hint="eastAsia"/>
        </w:rPr>
      </w:pPr>
      <w:r>
        <w:rPr>
          <w:rFonts w:hint="eastAsia"/>
        </w:rPr>
        <w:t>But spiritually speaking, they are no longer Israel at all.</w:t>
      </w:r>
    </w:p>
    <w:p w14:paraId="6ED49774">
      <w:pPr>
        <w:pStyle w:val="9"/>
        <w:spacing w:after="0"/>
        <w:rPr>
          <w:rFonts w:hint="eastAsia"/>
        </w:rPr>
      </w:pPr>
      <w:r>
        <w:rPr>
          <w:rFonts w:hint="eastAsia"/>
        </w:rPr>
        <w:t>但从属灵上讲，他们根本不再是以色列了。</w:t>
      </w:r>
    </w:p>
    <w:p w14:paraId="0AB85D46">
      <w:pPr>
        <w:pStyle w:val="9"/>
        <w:spacing w:after="0"/>
        <w:rPr>
          <w:rFonts w:hint="eastAsia"/>
        </w:rPr>
      </w:pPr>
    </w:p>
    <w:p w14:paraId="63B0ECD8">
      <w:pPr>
        <w:pStyle w:val="9"/>
        <w:spacing w:after="0"/>
        <w:rPr>
          <w:rFonts w:hint="eastAsia"/>
        </w:rPr>
      </w:pPr>
      <w:r>
        <w:rPr>
          <w:rFonts w:hint="eastAsia"/>
        </w:rPr>
        <w:t>Though God certainly loves them, and though he may yet have great plans for them, at present he does not regard them as his people, his family, or his nation.</w:t>
      </w:r>
    </w:p>
    <w:p w14:paraId="6224A6CB">
      <w:pPr>
        <w:pStyle w:val="9"/>
        <w:spacing w:after="0"/>
        <w:rPr>
          <w:rFonts w:hint="eastAsia"/>
        </w:rPr>
      </w:pPr>
      <w:r>
        <w:rPr>
          <w:rFonts w:hint="eastAsia"/>
        </w:rPr>
        <w:t>虽然神确实爱他们，虽然祂可能对他们仍有伟大的计划，但目前祂并不将他们视为祂的子民、祂的家庭或祂的国度。</w:t>
      </w:r>
    </w:p>
    <w:p w14:paraId="43B93D5C">
      <w:pPr>
        <w:pStyle w:val="9"/>
        <w:spacing w:after="0"/>
        <w:rPr>
          <w:rFonts w:hint="eastAsia"/>
        </w:rPr>
      </w:pPr>
    </w:p>
    <w:p w14:paraId="40EB7DA3">
      <w:pPr>
        <w:pStyle w:val="9"/>
        <w:spacing w:after="0"/>
        <w:rPr>
          <w:rFonts w:hint="eastAsia"/>
        </w:rPr>
      </w:pPr>
      <w:r>
        <w:rPr>
          <w:rFonts w:hint="eastAsia"/>
        </w:rPr>
        <w:t>In the NT, such honorifics are reserved exclusively for the elect parties of the New Covenant.</w:t>
      </w:r>
    </w:p>
    <w:p w14:paraId="4FBA9539">
      <w:pPr>
        <w:pStyle w:val="9"/>
        <w:spacing w:after="0"/>
        <w:rPr>
          <w:rFonts w:hint="eastAsia"/>
        </w:rPr>
      </w:pPr>
      <w:r>
        <w:rPr>
          <w:rFonts w:hint="eastAsia"/>
        </w:rPr>
        <w:t>在新约中，这样的尊称专属于新约的选民。</w:t>
      </w:r>
    </w:p>
    <w:p w14:paraId="7203FAB8">
      <w:pPr>
        <w:pStyle w:val="9"/>
        <w:spacing w:after="0"/>
        <w:rPr>
          <w:rFonts w:hint="eastAsia"/>
        </w:rPr>
      </w:pPr>
    </w:p>
    <w:p w14:paraId="6FBD7E7C">
      <w:pPr>
        <w:pStyle w:val="9"/>
        <w:spacing w:after="0"/>
        <w:rPr>
          <w:rFonts w:hint="eastAsia"/>
        </w:rPr>
      </w:pPr>
      <w:r>
        <w:rPr>
          <w:rFonts w:hint="eastAsia"/>
        </w:rPr>
        <w:t>In NT times, there is only one Israel of God: Christ’s Church (Gal. 6:16, 1 Peter 2:9-10).</w:t>
      </w:r>
    </w:p>
    <w:p w14:paraId="60B611D1">
      <w:pPr>
        <w:pStyle w:val="9"/>
        <w:spacing w:after="0"/>
        <w:rPr>
          <w:rFonts w:hint="eastAsia"/>
        </w:rPr>
      </w:pPr>
      <w:r>
        <w:rPr>
          <w:rFonts w:hint="eastAsia"/>
        </w:rPr>
        <w:t>在新约时代，只有一个神的以色列：基督的教会（加6:16，彼前2:9-10）。</w:t>
      </w:r>
    </w:p>
    <w:p w14:paraId="24ECD3A0">
      <w:pPr>
        <w:pStyle w:val="9"/>
        <w:spacing w:after="0"/>
        <w:rPr>
          <w:rFonts w:hint="eastAsia"/>
        </w:rPr>
      </w:pPr>
    </w:p>
    <w:p w14:paraId="2B61FF48">
      <w:pPr>
        <w:pStyle w:val="9"/>
        <w:spacing w:after="0"/>
        <w:rPr>
          <w:rFonts w:hint="eastAsia"/>
        </w:rPr>
      </w:pPr>
      <w:r>
        <w:rPr>
          <w:rFonts w:hint="eastAsia"/>
        </w:rPr>
        <w:t>This important truth bears heavily on the question before us.</w:t>
      </w:r>
    </w:p>
    <w:p w14:paraId="41D42480">
      <w:pPr>
        <w:pStyle w:val="9"/>
        <w:spacing w:after="0"/>
        <w:rPr>
          <w:rFonts w:hint="eastAsia"/>
        </w:rPr>
      </w:pPr>
      <w:r>
        <w:rPr>
          <w:rFonts w:hint="eastAsia"/>
        </w:rPr>
        <w:t>这个重要的真理对我们面前的问题有重大的影响。</w:t>
      </w:r>
    </w:p>
    <w:p w14:paraId="371689A4">
      <w:pPr>
        <w:pStyle w:val="9"/>
        <w:spacing w:after="0"/>
        <w:rPr>
          <w:rFonts w:hint="eastAsia"/>
        </w:rPr>
      </w:pPr>
    </w:p>
    <w:p w14:paraId="6F7FF899">
      <w:pPr>
        <w:pStyle w:val="9"/>
        <w:spacing w:after="0"/>
        <w:rPr>
          <w:rFonts w:hint="eastAsia"/>
        </w:rPr>
      </w:pPr>
      <w:r>
        <w:rPr>
          <w:rFonts w:hint="eastAsia"/>
        </w:rPr>
        <w:t>Premillennarians assert that in OTKP God spoke of a latter-day restoration of ethnic Israel to their land.</w:t>
      </w:r>
    </w:p>
    <w:p w14:paraId="0480CFB7">
      <w:pPr>
        <w:pStyle w:val="9"/>
        <w:spacing w:after="0"/>
        <w:rPr>
          <w:rFonts w:hint="eastAsia"/>
        </w:rPr>
      </w:pPr>
      <w:r>
        <w:rPr>
          <w:rFonts w:hint="eastAsia"/>
        </w:rPr>
        <w:t>前千禧年论者断言，在旧约国度预言中，神谈到了末后种族上的以色列人回归他们的土地。</w:t>
      </w:r>
    </w:p>
    <w:p w14:paraId="3414340D">
      <w:pPr>
        <w:pStyle w:val="9"/>
        <w:spacing w:after="0"/>
        <w:rPr>
          <w:rFonts w:hint="eastAsia"/>
        </w:rPr>
      </w:pPr>
    </w:p>
    <w:p w14:paraId="4C4F72B3">
      <w:pPr>
        <w:pStyle w:val="9"/>
        <w:spacing w:after="0"/>
        <w:rPr>
          <w:rFonts w:hint="eastAsia"/>
        </w:rPr>
      </w:pPr>
      <w:r>
        <w:rPr>
          <w:rFonts w:hint="eastAsia"/>
        </w:rPr>
        <w:t>But we have learned from Scripture that the latter-day s are the days of the New Covenant (Heb. 1:1f, 8:1ff).</w:t>
      </w:r>
    </w:p>
    <w:p w14:paraId="1F3010B7">
      <w:pPr>
        <w:pStyle w:val="9"/>
        <w:spacing w:after="0"/>
        <w:rPr>
          <w:rFonts w:hint="eastAsia"/>
        </w:rPr>
      </w:pPr>
      <w:r>
        <w:rPr>
          <w:rFonts w:hint="eastAsia"/>
        </w:rPr>
        <w:t>但我们从圣经中学到，末后的日子是新约的日子（来1:1及以下，8:1及以下）。</w:t>
      </w:r>
    </w:p>
    <w:p w14:paraId="3D6F8242">
      <w:pPr>
        <w:pStyle w:val="9"/>
        <w:spacing w:after="0"/>
        <w:rPr>
          <w:rFonts w:hint="eastAsia"/>
        </w:rPr>
      </w:pPr>
    </w:p>
    <w:p w14:paraId="2E506DA0">
      <w:pPr>
        <w:pStyle w:val="9"/>
        <w:spacing w:after="0"/>
        <w:rPr>
          <w:rFonts w:hint="eastAsia"/>
        </w:rPr>
      </w:pPr>
      <w:r>
        <w:rPr>
          <w:rFonts w:hint="eastAsia"/>
        </w:rPr>
        <w:t>How then, in those prophecies, could God have been speaking of anyone other than the parties of the New Covenant; of anyone other than Christ’s called out ones, whether Jew or Gentile?</w:t>
      </w:r>
    </w:p>
    <w:p w14:paraId="7B2028DD">
      <w:pPr>
        <w:pStyle w:val="9"/>
        <w:spacing w:after="0"/>
        <w:rPr>
          <w:rFonts w:hint="eastAsia"/>
        </w:rPr>
      </w:pPr>
      <w:r>
        <w:rPr>
          <w:rFonts w:hint="eastAsia"/>
        </w:rPr>
        <w:t>那么，在那些预言中，神怎么可能谈论的不是新约的立约方；不是基督所召出来的人，无论是犹太人还是外邦人呢？</w:t>
      </w:r>
    </w:p>
    <w:p w14:paraId="3B20C604">
      <w:pPr>
        <w:pStyle w:val="9"/>
        <w:spacing w:after="0"/>
        <w:rPr>
          <w:rFonts w:hint="eastAsia"/>
        </w:rPr>
      </w:pPr>
    </w:p>
    <w:p w14:paraId="50632ADE">
      <w:pPr>
        <w:pStyle w:val="9"/>
        <w:spacing w:after="0"/>
        <w:rPr>
          <w:rFonts w:hint="eastAsia"/>
        </w:rPr>
      </w:pPr>
      <w:r>
        <w:rPr>
          <w:rFonts w:hint="eastAsia"/>
        </w:rPr>
        <w:t>No, when God promised to draw eschatological “Israel” into an everlasting covenant with himself, and to give them a beautiful new homeland, he was not speaking of unbelieving Jews, but of his whole Church (Hosea 2:14-23).</w:t>
      </w:r>
    </w:p>
    <w:p w14:paraId="21176112">
      <w:pPr>
        <w:pStyle w:val="9"/>
        <w:spacing w:after="0"/>
        <w:rPr>
          <w:rFonts w:hint="eastAsia"/>
        </w:rPr>
      </w:pPr>
      <w:r>
        <w:rPr>
          <w:rFonts w:hint="eastAsia"/>
        </w:rPr>
        <w:t>不，当神应许要将末世论的“以色列”引向与祂自己所立的永约，并赐给他们一个美丽的新家园时，祂所说的不是不信的犹太人，而是祂整个的教会（何2:14-23）。</w:t>
      </w:r>
    </w:p>
    <w:p w14:paraId="11552779">
      <w:pPr>
        <w:pStyle w:val="9"/>
        <w:spacing w:after="0"/>
        <w:rPr>
          <w:rFonts w:hint="eastAsia"/>
        </w:rPr>
      </w:pPr>
    </w:p>
    <w:p w14:paraId="31266E3C">
      <w:pPr>
        <w:pStyle w:val="9"/>
        <w:spacing w:after="0"/>
        <w:rPr>
          <w:rFonts w:hint="eastAsia"/>
        </w:rPr>
      </w:pPr>
      <w:r>
        <w:rPr>
          <w:rFonts w:hint="eastAsia"/>
        </w:rPr>
        <w:t>Even so, in every genuine OTKP God did not have in view the restoration of unbelieving Jews to a life in Palestine under (the institutions of) the Old Covenant, but the restoration of his believing Church to a life in the Spirit, in the stages and under the institutions of the New Covenant.</w:t>
      </w:r>
    </w:p>
    <w:p w14:paraId="55A7474D">
      <w:pPr>
        <w:pStyle w:val="9"/>
        <w:spacing w:after="0"/>
        <w:rPr>
          <w:rFonts w:hint="eastAsia"/>
        </w:rPr>
      </w:pPr>
      <w:r>
        <w:rPr>
          <w:rFonts w:hint="eastAsia"/>
        </w:rPr>
        <w:t>即便如此，在每一个真正的旧约国度预言中，神所着眼的都不是不信的犹太人回归到在旧约（制度）下巴勒斯坦的生活，而是祂信实的教会回归到在新约的阶段和制度下，在圣灵里的生活。</w:t>
      </w:r>
    </w:p>
    <w:p w14:paraId="64018B97">
      <w:pPr>
        <w:pStyle w:val="9"/>
        <w:spacing w:after="0"/>
        <w:rPr>
          <w:rFonts w:hint="eastAsia"/>
        </w:rPr>
      </w:pPr>
    </w:p>
    <w:p w14:paraId="79F0D032">
      <w:pPr>
        <w:pStyle w:val="9"/>
        <w:spacing w:after="0"/>
        <w:rPr>
          <w:rFonts w:hint="eastAsia"/>
        </w:rPr>
      </w:pPr>
      <w:r>
        <w:rPr>
          <w:rFonts w:hint="eastAsia"/>
        </w:rPr>
        <w:t>All of this enables us to think clearly about the vexed question of the “right” of modern unbelieving Jews to the land of Palestine.</w:t>
      </w:r>
    </w:p>
    <w:p w14:paraId="3787B77D">
      <w:pPr>
        <w:pStyle w:val="9"/>
        <w:spacing w:after="0"/>
        <w:rPr>
          <w:rFonts w:hint="eastAsia"/>
        </w:rPr>
      </w:pPr>
      <w:r>
        <w:rPr>
          <w:rFonts w:hint="eastAsia"/>
        </w:rPr>
        <w:t>所有这一切使我们能够清晰地思考关于现代不信的犹太人对巴勒斯坦土地的“权利”这个棘手的问题。</w:t>
      </w:r>
    </w:p>
    <w:p w14:paraId="483E4371">
      <w:pPr>
        <w:pStyle w:val="9"/>
        <w:spacing w:after="0"/>
        <w:rPr>
          <w:rFonts w:hint="eastAsia"/>
        </w:rPr>
      </w:pPr>
    </w:p>
    <w:p w14:paraId="0F16E690">
      <w:pPr>
        <w:pStyle w:val="9"/>
        <w:spacing w:after="0"/>
        <w:rPr>
          <w:rFonts w:hint="eastAsia"/>
        </w:rPr>
      </w:pPr>
      <w:r>
        <w:rPr>
          <w:rFonts w:hint="eastAsia"/>
        </w:rPr>
        <w:t>Suppose that in the years immediately following Pentecost, Israel at large had repented of their sin and trusted in Christ as their Messiah.</w:t>
      </w:r>
    </w:p>
    <w:p w14:paraId="5C9658FD">
      <w:pPr>
        <w:pStyle w:val="9"/>
        <w:spacing w:after="0"/>
        <w:rPr>
          <w:rFonts w:hint="eastAsia"/>
        </w:rPr>
      </w:pPr>
      <w:r>
        <w:rPr>
          <w:rFonts w:hint="eastAsia"/>
        </w:rPr>
        <w:t>假设在五旬节之后的几年里，广大的以色列人都悔改了他们的罪，并信靠基督为他们的弥赛亚。</w:t>
      </w:r>
    </w:p>
    <w:p w14:paraId="5F3FE379">
      <w:pPr>
        <w:pStyle w:val="9"/>
        <w:spacing w:after="0"/>
        <w:rPr>
          <w:rFonts w:hint="eastAsia"/>
        </w:rPr>
      </w:pPr>
    </w:p>
    <w:p w14:paraId="0BFEE693">
      <w:pPr>
        <w:pStyle w:val="9"/>
        <w:spacing w:after="0"/>
        <w:rPr>
          <w:rFonts w:hint="eastAsia"/>
        </w:rPr>
      </w:pPr>
      <w:r>
        <w:rPr>
          <w:rFonts w:hint="eastAsia"/>
        </w:rPr>
        <w:t>Then indeed she would have had a divine right to the land.</w:t>
      </w:r>
    </w:p>
    <w:p w14:paraId="15D08AE4">
      <w:pPr>
        <w:pStyle w:val="9"/>
        <w:spacing w:after="0"/>
        <w:rPr>
          <w:rFonts w:hint="eastAsia"/>
        </w:rPr>
      </w:pPr>
      <w:r>
        <w:rPr>
          <w:rFonts w:hint="eastAsia"/>
        </w:rPr>
        <w:t>那么，她确实就会对那片土地拥有神圣的权利。</w:t>
      </w:r>
    </w:p>
    <w:p w14:paraId="0CB9DDD2">
      <w:pPr>
        <w:pStyle w:val="9"/>
        <w:spacing w:after="0"/>
        <w:rPr>
          <w:rFonts w:hint="eastAsia"/>
        </w:rPr>
      </w:pPr>
    </w:p>
    <w:p w14:paraId="1D9835CE">
      <w:pPr>
        <w:pStyle w:val="9"/>
        <w:spacing w:after="0"/>
        <w:rPr>
          <w:rFonts w:hint="eastAsia"/>
        </w:rPr>
      </w:pPr>
      <w:r>
        <w:rPr>
          <w:rFonts w:hint="eastAsia"/>
        </w:rPr>
        <w:t>However, that right would not have been grounded in God’s Old Covenant promise of a physical homeland, because the Old Covenant, at that point, was obsolete.</w:t>
      </w:r>
    </w:p>
    <w:p w14:paraId="6C7B7C66">
      <w:pPr>
        <w:pStyle w:val="9"/>
        <w:spacing w:after="0"/>
        <w:rPr>
          <w:rFonts w:hint="eastAsia"/>
        </w:rPr>
      </w:pPr>
      <w:r>
        <w:rPr>
          <w:rFonts w:hint="eastAsia"/>
        </w:rPr>
        <w:t>然而，那种权利并非基于神在旧约中对一个属物质家园的应许，因为旧约在那个时候已经过时了。</w:t>
      </w:r>
    </w:p>
    <w:p w14:paraId="0E1ECA56">
      <w:pPr>
        <w:pStyle w:val="9"/>
        <w:spacing w:after="0"/>
        <w:rPr>
          <w:rFonts w:hint="eastAsia"/>
        </w:rPr>
      </w:pPr>
    </w:p>
    <w:p w14:paraId="12F9AF6C">
      <w:pPr>
        <w:pStyle w:val="9"/>
        <w:spacing w:after="0"/>
        <w:rPr>
          <w:rFonts w:hint="eastAsia"/>
        </w:rPr>
      </w:pPr>
      <w:r>
        <w:rPr>
          <w:rFonts w:hint="eastAsia"/>
        </w:rPr>
        <w:t>Therefore, their right to the land would have been grounded solely in the workings of divine Providence: Formerly, God had placed them there, much as he had placed other people groups in their own respective homelands.</w:t>
      </w:r>
    </w:p>
    <w:p w14:paraId="27F93A0A">
      <w:pPr>
        <w:pStyle w:val="9"/>
        <w:spacing w:after="0"/>
        <w:rPr>
          <w:rFonts w:hint="eastAsia"/>
        </w:rPr>
      </w:pPr>
      <w:r>
        <w:rPr>
          <w:rFonts w:hint="eastAsia"/>
        </w:rPr>
        <w:t>因此，他们对那片土地的权利将完全基于神圣护理的作为：从前，神将他们安置在那里，就像祂将其他族群安置在他们各自的家园一样。</w:t>
      </w:r>
    </w:p>
    <w:p w14:paraId="1FF0DBC9">
      <w:pPr>
        <w:pStyle w:val="9"/>
        <w:spacing w:after="0"/>
        <w:rPr>
          <w:rFonts w:hint="eastAsia"/>
        </w:rPr>
      </w:pPr>
    </w:p>
    <w:p w14:paraId="73617675">
      <w:pPr>
        <w:pStyle w:val="9"/>
        <w:spacing w:after="0"/>
        <w:rPr>
          <w:rFonts w:hint="eastAsia"/>
        </w:rPr>
      </w:pPr>
      <w:r>
        <w:rPr>
          <w:rFonts w:hint="eastAsia"/>
        </w:rPr>
        <w:t>In order for them to remain there, they had only to walk in obedience to Christ, just as all nations must do if they hope to remain in their appointed places, secure and prosperous.</w:t>
      </w:r>
    </w:p>
    <w:p w14:paraId="1FB84E33">
      <w:pPr>
        <w:pStyle w:val="9"/>
        <w:spacing w:after="0"/>
        <w:rPr>
          <w:rFonts w:hint="eastAsia"/>
        </w:rPr>
      </w:pPr>
      <w:r>
        <w:rPr>
          <w:rFonts w:hint="eastAsia"/>
        </w:rPr>
        <w:t>为了能留在那里，他们只需顺服基督而行，正如所有国家若希望在他们被指定的土地上安稳繁荣地居住，就必须做的那样。</w:t>
      </w:r>
    </w:p>
    <w:p w14:paraId="2D00DB54">
      <w:pPr>
        <w:pStyle w:val="9"/>
        <w:spacing w:after="0"/>
        <w:rPr>
          <w:rFonts w:hint="eastAsia"/>
        </w:rPr>
      </w:pPr>
    </w:p>
    <w:p w14:paraId="73F675A5">
      <w:pPr>
        <w:pStyle w:val="9"/>
        <w:spacing w:after="0"/>
        <w:rPr>
          <w:rFonts w:hint="eastAsia"/>
        </w:rPr>
      </w:pPr>
      <w:r>
        <w:rPr>
          <w:rFonts w:hint="eastAsia"/>
        </w:rPr>
        <w:t>In other words, by divine covenant, believing Israel would have had a right only to one land: the land above (Heb. 12:22), and the land up ahead (2 Peter 3:13).</w:t>
      </w:r>
    </w:p>
    <w:p w14:paraId="165F9E1C">
      <w:pPr>
        <w:pStyle w:val="9"/>
        <w:spacing w:after="0"/>
        <w:rPr>
          <w:rFonts w:hint="eastAsia"/>
        </w:rPr>
      </w:pPr>
      <w:r>
        <w:rPr>
          <w:rFonts w:hint="eastAsia"/>
        </w:rPr>
        <w:t>换句话说，藉着神的圣约，信实的以色列只对一片土地拥有权利：即天上的地（来12:22），和前方的地（彼后3:13）。</w:t>
      </w:r>
    </w:p>
    <w:p w14:paraId="4C01D1BB">
      <w:pPr>
        <w:pStyle w:val="9"/>
        <w:spacing w:after="0"/>
        <w:rPr>
          <w:rFonts w:hint="eastAsia"/>
        </w:rPr>
      </w:pPr>
    </w:p>
    <w:p w14:paraId="2DFD13ED">
      <w:pPr>
        <w:pStyle w:val="9"/>
        <w:spacing w:after="0"/>
        <w:rPr>
          <w:rFonts w:hint="eastAsia"/>
        </w:rPr>
      </w:pPr>
      <w:r>
        <w:rPr>
          <w:rFonts w:hint="eastAsia"/>
        </w:rPr>
        <w:t>Difficult as it may be to receive, the upshot of this is quite clear: If, at that time, the land of Palestine would not have been theirs by divine covenant, certainly it is not theirs by divine covenant today.</w:t>
      </w:r>
    </w:p>
    <w:p w14:paraId="51C9EB30">
      <w:pPr>
        <w:pStyle w:val="9"/>
        <w:spacing w:after="0"/>
        <w:rPr>
          <w:rFonts w:hint="eastAsia"/>
        </w:rPr>
      </w:pPr>
      <w:r>
        <w:rPr>
          <w:rFonts w:hint="eastAsia"/>
        </w:rPr>
        <w:t>尽管这可能难以接受，但其结果是相当清楚的：如果，在那个时候，巴勒斯坦的土地并非藉着神的圣约属于他们，那么今天它肯定也不是藉着神的圣约属于他们。</w:t>
      </w:r>
    </w:p>
    <w:p w14:paraId="48CD72A6">
      <w:pPr>
        <w:pStyle w:val="9"/>
        <w:spacing w:after="0"/>
        <w:rPr>
          <w:rFonts w:hint="eastAsia"/>
        </w:rPr>
      </w:pPr>
    </w:p>
    <w:p w14:paraId="641062A4">
      <w:pPr>
        <w:pStyle w:val="9"/>
        <w:spacing w:after="0"/>
        <w:rPr>
          <w:rFonts w:hint="eastAsia"/>
        </w:rPr>
      </w:pPr>
      <w:r>
        <w:rPr>
          <w:rFonts w:hint="eastAsia"/>
        </w:rPr>
        <w:t>We know, however, that as a matter of historical fact things turned out very differently.</w:t>
      </w:r>
    </w:p>
    <w:p w14:paraId="02B24DB0">
      <w:pPr>
        <w:pStyle w:val="9"/>
        <w:spacing w:after="0"/>
        <w:rPr>
          <w:rFonts w:hint="eastAsia"/>
        </w:rPr>
      </w:pPr>
      <w:r>
        <w:rPr>
          <w:rFonts w:hint="eastAsia"/>
        </w:rPr>
        <w:t>然而，我们知道，从历史事实来看，事情的结果截然不同。</w:t>
      </w:r>
    </w:p>
    <w:p w14:paraId="5B1FF207">
      <w:pPr>
        <w:pStyle w:val="9"/>
        <w:spacing w:after="0"/>
        <w:rPr>
          <w:rFonts w:hint="eastAsia"/>
        </w:rPr>
      </w:pPr>
    </w:p>
    <w:p w14:paraId="350E293C">
      <w:pPr>
        <w:pStyle w:val="9"/>
        <w:spacing w:after="0"/>
        <w:rPr>
          <w:rFonts w:hint="eastAsia"/>
        </w:rPr>
      </w:pPr>
      <w:r>
        <w:rPr>
          <w:rFonts w:hint="eastAsia"/>
        </w:rPr>
        <w:t>Not only did ethnic Israel at large reject their Messiah, they also persisted in their unbelief until God destroyed their capital through Titus in 70 AD, and shortly thereafter scattered the whole nation to the four winds.</w:t>
      </w:r>
    </w:p>
    <w:p w14:paraId="1867E6AF">
      <w:pPr>
        <w:pStyle w:val="9"/>
        <w:spacing w:after="0"/>
        <w:rPr>
          <w:rFonts w:hint="eastAsia"/>
        </w:rPr>
      </w:pPr>
      <w:r>
        <w:rPr>
          <w:rFonts w:hint="eastAsia"/>
        </w:rPr>
        <w:t>不仅广大的种族以色列人拒绝了他们的弥赛亚，他们还坚持不信，直到神在公元70年藉提多摧毁了他们的首都，并在不久之后将整个民族分散到四方。</w:t>
      </w:r>
    </w:p>
    <w:p w14:paraId="245BB56B">
      <w:pPr>
        <w:pStyle w:val="9"/>
        <w:spacing w:after="0"/>
        <w:rPr>
          <w:rFonts w:hint="eastAsia"/>
        </w:rPr>
      </w:pPr>
    </w:p>
    <w:p w14:paraId="1248A2A3">
      <w:pPr>
        <w:pStyle w:val="9"/>
        <w:spacing w:after="0"/>
        <w:rPr>
          <w:rFonts w:hint="eastAsia"/>
        </w:rPr>
      </w:pPr>
      <w:r>
        <w:rPr>
          <w:rFonts w:hint="eastAsia"/>
        </w:rPr>
        <w:t>Very importantly, this situation was altogether different from Israel’s earlier expulsion from the land.</w:t>
      </w:r>
    </w:p>
    <w:p w14:paraId="6937FDA9">
      <w:pPr>
        <w:pStyle w:val="9"/>
        <w:spacing w:after="0"/>
        <w:rPr>
          <w:rFonts w:hint="eastAsia"/>
        </w:rPr>
      </w:pPr>
      <w:r>
        <w:rPr>
          <w:rFonts w:hint="eastAsia"/>
        </w:rPr>
        <w:t>非常重要的是，这种情况与以色列早先被逐出那地完全不同。</w:t>
      </w:r>
    </w:p>
    <w:p w14:paraId="7E382B8A">
      <w:pPr>
        <w:pStyle w:val="9"/>
        <w:spacing w:after="0"/>
        <w:rPr>
          <w:rFonts w:hint="eastAsia"/>
        </w:rPr>
      </w:pPr>
    </w:p>
    <w:p w14:paraId="33ABEFB6">
      <w:pPr>
        <w:pStyle w:val="9"/>
        <w:spacing w:after="0"/>
        <w:rPr>
          <w:rFonts w:hint="eastAsia"/>
        </w:rPr>
      </w:pPr>
      <w:r>
        <w:rPr>
          <w:rFonts w:hint="eastAsia"/>
        </w:rPr>
        <w:t>Formerly, when God sent Israel into Babylon for seventy years, the nation was still in covenant with him, as the prophet Daniel well knew, and to which fact he fervently appealed (1 Kings 8:33-35, Jer. 29:1f, Dan. 9).</w:t>
      </w:r>
    </w:p>
    <w:p w14:paraId="2D396F07">
      <w:pPr>
        <w:pStyle w:val="9"/>
        <w:spacing w:after="0"/>
        <w:rPr>
          <w:rFonts w:hint="eastAsia"/>
        </w:rPr>
      </w:pPr>
      <w:r>
        <w:rPr>
          <w:rFonts w:hint="eastAsia"/>
        </w:rPr>
        <w:t>从前，当神将以色列人送到巴比伦七十年时，这个国家仍然与祂立约，正如先知但以理所熟知的，并且他也热切地为此事实呼吁（王上8:33-35，耶29:1及以下，但9）。</w:t>
      </w:r>
    </w:p>
    <w:p w14:paraId="10A9BEFE">
      <w:pPr>
        <w:pStyle w:val="9"/>
        <w:spacing w:after="0"/>
        <w:rPr>
          <w:rFonts w:hint="eastAsia"/>
        </w:rPr>
      </w:pPr>
    </w:p>
    <w:p w14:paraId="5843F1CD">
      <w:pPr>
        <w:pStyle w:val="9"/>
        <w:spacing w:after="0"/>
        <w:rPr>
          <w:rFonts w:hint="eastAsia"/>
        </w:rPr>
      </w:pPr>
      <w:r>
        <w:rPr>
          <w:rFonts w:hint="eastAsia"/>
        </w:rPr>
        <w:t>In God’s sight, the land still belonged to his OT people, so that they still had a right to return to it, all in his good time.</w:t>
      </w:r>
    </w:p>
    <w:p w14:paraId="112D2427">
      <w:pPr>
        <w:pStyle w:val="9"/>
        <w:spacing w:after="0"/>
        <w:rPr>
          <w:rFonts w:hint="eastAsia"/>
        </w:rPr>
      </w:pPr>
      <w:r>
        <w:rPr>
          <w:rFonts w:hint="eastAsia"/>
        </w:rPr>
        <w:t>在神的眼中，那地仍然属于祂的旧约子民，所以他们仍然有权利在祂美好的时候回到那里。</w:t>
      </w:r>
    </w:p>
    <w:p w14:paraId="2502B7DE">
      <w:pPr>
        <w:pStyle w:val="9"/>
        <w:spacing w:after="0"/>
        <w:rPr>
          <w:rFonts w:hint="eastAsia"/>
        </w:rPr>
      </w:pPr>
    </w:p>
    <w:p w14:paraId="4F2214AE">
      <w:pPr>
        <w:pStyle w:val="9"/>
        <w:spacing w:after="0"/>
        <w:rPr>
          <w:rFonts w:hint="eastAsia"/>
        </w:rPr>
      </w:pPr>
      <w:r>
        <w:rPr>
          <w:rFonts w:hint="eastAsia"/>
        </w:rPr>
        <w:t>However, after Calvary, when Christ sealed the New Covenant in his blood —thus fulfilling, dissolving, and rendering the Old Covenant permanently obsolete—unbelieving Israel no longer had a divine right to the land, for she was no longer in covenant with God.</w:t>
      </w:r>
    </w:p>
    <w:p w14:paraId="62DB0CD4">
      <w:pPr>
        <w:pStyle w:val="9"/>
        <w:spacing w:after="0"/>
        <w:rPr>
          <w:rFonts w:hint="eastAsia"/>
        </w:rPr>
      </w:pPr>
      <w:r>
        <w:rPr>
          <w:rFonts w:hint="eastAsia"/>
        </w:rPr>
        <w:t>然而，在各各他之后，当基督用祂的血印证了新约——从而成全、废除并使旧约永久过时——不信的以色列就不再对那地拥有神圣的权利，因为她已不再与神立约。</w:t>
      </w:r>
    </w:p>
    <w:p w14:paraId="001F98A6">
      <w:pPr>
        <w:pStyle w:val="9"/>
        <w:spacing w:after="0"/>
        <w:rPr>
          <w:rFonts w:hint="eastAsia"/>
        </w:rPr>
      </w:pPr>
    </w:p>
    <w:p w14:paraId="5D75E97E">
      <w:pPr>
        <w:pStyle w:val="9"/>
        <w:spacing w:after="0"/>
        <w:rPr>
          <w:rFonts w:hint="eastAsia"/>
        </w:rPr>
      </w:pPr>
      <w:r>
        <w:rPr>
          <w:rFonts w:hint="eastAsia"/>
        </w:rPr>
        <w:t>Nor does she have such a right today.</w:t>
      </w:r>
    </w:p>
    <w:p w14:paraId="642F41E5">
      <w:pPr>
        <w:pStyle w:val="9"/>
        <w:spacing w:after="0"/>
        <w:rPr>
          <w:rFonts w:hint="eastAsia"/>
        </w:rPr>
      </w:pPr>
      <w:r>
        <w:rPr>
          <w:rFonts w:hint="eastAsia"/>
        </w:rPr>
        <w:t>今天她也没有这样的权利。</w:t>
      </w:r>
    </w:p>
    <w:p w14:paraId="43AF89DD">
      <w:pPr>
        <w:pStyle w:val="9"/>
        <w:spacing w:after="0"/>
        <w:rPr>
          <w:rFonts w:hint="eastAsia"/>
        </w:rPr>
      </w:pPr>
    </w:p>
    <w:p w14:paraId="0B112EBF">
      <w:pPr>
        <w:pStyle w:val="9"/>
        <w:spacing w:after="0"/>
        <w:rPr>
          <w:rFonts w:hint="eastAsia"/>
        </w:rPr>
      </w:pPr>
      <w:r>
        <w:rPr>
          <w:rFonts w:hint="eastAsia"/>
        </w:rPr>
        <w:t>She does, however, have a divine right to a far better homeland, which she may enter upon condition of simple faith in her Messiah, the Lord Jesus Christ.</w:t>
      </w:r>
    </w:p>
    <w:p w14:paraId="7BAF95B1">
      <w:pPr>
        <w:pStyle w:val="9"/>
        <w:spacing w:after="0"/>
        <w:rPr>
          <w:rFonts w:hint="eastAsia"/>
        </w:rPr>
      </w:pPr>
      <w:r>
        <w:rPr>
          <w:rFonts w:hint="eastAsia"/>
        </w:rPr>
        <w:t>然而，她确实拥有对一个更美家园的神圣权利，只要她对她的弥赛亚，主耶稣基督，有单纯的信心，就可以进入。</w:t>
      </w:r>
    </w:p>
    <w:p w14:paraId="47DE86AB">
      <w:pPr>
        <w:pStyle w:val="9"/>
        <w:spacing w:after="0"/>
        <w:rPr>
          <w:rFonts w:hint="eastAsia"/>
        </w:rPr>
      </w:pPr>
    </w:p>
    <w:p w14:paraId="513CD93F">
      <w:pPr>
        <w:pStyle w:val="9"/>
        <w:spacing w:after="0"/>
        <w:rPr>
          <w:rFonts w:hint="eastAsia"/>
        </w:rPr>
      </w:pPr>
      <w:r>
        <w:rPr>
          <w:rFonts w:hint="eastAsia"/>
        </w:rPr>
        <w:t>In reflecting upon the condition of modern Israel, one is therefore inclined to think back to the days shortly after the Exodus.</w:t>
      </w:r>
    </w:p>
    <w:p w14:paraId="6196B5CD">
      <w:pPr>
        <w:pStyle w:val="9"/>
        <w:spacing w:after="0"/>
        <w:rPr>
          <w:rFonts w:hint="eastAsia"/>
        </w:rPr>
      </w:pPr>
      <w:r>
        <w:rPr>
          <w:rFonts w:hint="eastAsia"/>
        </w:rPr>
        <w:t>因此，在反思现代以色列的状况时，人会倾向于回想出埃及后不久的日子。</w:t>
      </w:r>
    </w:p>
    <w:p w14:paraId="423ECFC4">
      <w:pPr>
        <w:pStyle w:val="9"/>
        <w:spacing w:after="0"/>
        <w:rPr>
          <w:rFonts w:hint="eastAsia"/>
        </w:rPr>
      </w:pPr>
    </w:p>
    <w:p w14:paraId="690234FC">
      <w:pPr>
        <w:pStyle w:val="9"/>
        <w:spacing w:after="0"/>
        <w:rPr>
          <w:rFonts w:hint="eastAsia"/>
        </w:rPr>
      </w:pPr>
      <w:r>
        <w:rPr>
          <w:rFonts w:hint="eastAsia"/>
        </w:rPr>
        <w:t>Having thought better about rejecting the good word of Joshua and Caleb, the panicky Israelites tried to press into Canaan in order to make it their own, even though God was not with them in the attempt, and even though he had warned them against it (Num. 13-14).</w:t>
      </w:r>
    </w:p>
    <w:p w14:paraId="4B06C2C7">
      <w:pPr>
        <w:pStyle w:val="9"/>
        <w:spacing w:after="0"/>
        <w:rPr>
          <w:rFonts w:hint="eastAsia"/>
        </w:rPr>
      </w:pPr>
      <w:r>
        <w:rPr>
          <w:rFonts w:hint="eastAsia"/>
        </w:rPr>
        <w:t>在重新考虑了拒绝约书亚和迦勒的好话之后，惊慌失措的以色列人试图强行进入迦南，以便将其据为己有，尽管神在那次尝试中并未与他们同在，尽管祂曾警告过他们不要这样做（民13-14）。</w:t>
      </w:r>
    </w:p>
    <w:p w14:paraId="06A2E05B">
      <w:pPr>
        <w:pStyle w:val="9"/>
        <w:spacing w:after="0"/>
        <w:rPr>
          <w:rFonts w:hint="eastAsia"/>
        </w:rPr>
      </w:pPr>
    </w:p>
    <w:p w14:paraId="2DD3DFBC">
      <w:pPr>
        <w:pStyle w:val="9"/>
        <w:spacing w:after="0"/>
        <w:rPr>
          <w:rFonts w:hint="eastAsia"/>
        </w:rPr>
      </w:pPr>
      <w:r>
        <w:rPr>
          <w:rFonts w:hint="eastAsia"/>
        </w:rPr>
        <w:t>It is much the same today.</w:t>
      </w:r>
    </w:p>
    <w:p w14:paraId="7971EF9B">
      <w:pPr>
        <w:pStyle w:val="9"/>
        <w:spacing w:after="0"/>
        <w:rPr>
          <w:rFonts w:hint="eastAsia"/>
        </w:rPr>
      </w:pPr>
      <w:r>
        <w:rPr>
          <w:rFonts w:hint="eastAsia"/>
        </w:rPr>
        <w:t>今天的情况也大抵如此。</w:t>
      </w:r>
    </w:p>
    <w:p w14:paraId="7579BD53">
      <w:pPr>
        <w:pStyle w:val="9"/>
        <w:spacing w:after="0"/>
        <w:rPr>
          <w:rFonts w:hint="eastAsia"/>
        </w:rPr>
      </w:pPr>
    </w:p>
    <w:p w14:paraId="5B7B17CC">
      <w:pPr>
        <w:pStyle w:val="9"/>
        <w:spacing w:after="0"/>
        <w:rPr>
          <w:rFonts w:hint="eastAsia"/>
        </w:rPr>
      </w:pPr>
      <w:r>
        <w:rPr>
          <w:rFonts w:hint="eastAsia"/>
        </w:rPr>
        <w:t>Having spurned the good word of the Gospel, ethnic Israel at large seeks to press into Palestine, hoping that somehow they can reclaim the glory days of David and Solomon.</w:t>
      </w:r>
    </w:p>
    <w:p w14:paraId="142F8C29">
      <w:pPr>
        <w:pStyle w:val="9"/>
        <w:spacing w:after="0"/>
        <w:rPr>
          <w:rFonts w:hint="eastAsia"/>
        </w:rPr>
      </w:pPr>
      <w:r>
        <w:rPr>
          <w:rFonts w:hint="eastAsia"/>
        </w:rPr>
        <w:t>在藐视了福音的好信息之后，广大的种族以色列人试图强行进入巴勒斯坦，希望以某种方式能重现大卫和所罗门时代的辉煌。</w:t>
      </w:r>
    </w:p>
    <w:p w14:paraId="4604AF96">
      <w:pPr>
        <w:pStyle w:val="9"/>
        <w:spacing w:after="0"/>
        <w:rPr>
          <w:rFonts w:hint="eastAsia"/>
        </w:rPr>
      </w:pPr>
    </w:p>
    <w:p w14:paraId="3E168C94">
      <w:pPr>
        <w:pStyle w:val="9"/>
        <w:spacing w:after="0"/>
        <w:rPr>
          <w:rFonts w:hint="eastAsia"/>
        </w:rPr>
      </w:pPr>
      <w:r>
        <w:rPr>
          <w:rFonts w:hint="eastAsia"/>
        </w:rPr>
        <w:t>But after more than six decades of continual conflict, it is abundantly clear that this can never be, for apart from Christ they can do nothing (John 15:5).</w:t>
      </w:r>
    </w:p>
    <w:p w14:paraId="467A96F9">
      <w:pPr>
        <w:pStyle w:val="9"/>
        <w:spacing w:after="0"/>
        <w:rPr>
          <w:rFonts w:hint="eastAsia"/>
        </w:rPr>
      </w:pPr>
      <w:r>
        <w:rPr>
          <w:rFonts w:hint="eastAsia"/>
        </w:rPr>
        <w:t>但在超过六十年的持续冲突之后，已经非常清楚，这绝不可能实现，因为离了基督，他们就不能做什么（约15:5）。</w:t>
      </w:r>
    </w:p>
    <w:p w14:paraId="7A8751D0">
      <w:pPr>
        <w:pStyle w:val="9"/>
        <w:spacing w:after="0"/>
        <w:rPr>
          <w:rFonts w:hint="eastAsia"/>
        </w:rPr>
      </w:pPr>
    </w:p>
    <w:p w14:paraId="46DDFB21">
      <w:pPr>
        <w:pStyle w:val="9"/>
        <w:spacing w:after="0"/>
        <w:rPr>
          <w:rFonts w:hint="eastAsia"/>
        </w:rPr>
      </w:pPr>
      <w:r>
        <w:rPr>
          <w:rFonts w:hint="eastAsia"/>
        </w:rPr>
        <w:t>Moreover, even with Christ there is no guarantee that a believing Jewish nation would physically survive the vicissitudes of end time persecution any better than an unbelieving Israel, seeing that all of God’s New Covenant children are destined for physical (but only physical) trampling beneath the feet of the unbelieving nations (Mt. 10:16-31, John 16:2, Rev. 11:1-2).</w:t>
      </w:r>
    </w:p>
    <w:p w14:paraId="0C860EF0">
      <w:pPr>
        <w:pStyle w:val="9"/>
        <w:spacing w:after="0"/>
        <w:rPr>
          <w:rFonts w:hint="eastAsia"/>
        </w:rPr>
      </w:pPr>
      <w:r>
        <w:rPr>
          <w:rFonts w:hint="eastAsia"/>
        </w:rPr>
        <w:t>此外，即使有基督同在，也不能保证一个信主的犹太民族在末世逼迫的变迁中，其肉身的存活会比一个不信的以色列更好，因为神所有新约的儿女都注定要在肉身上（但仅限于肉身上）被不信的列国践踏在脚下（太10:16-31，约16:2，启11:1-2）。</w:t>
      </w:r>
    </w:p>
    <w:p w14:paraId="6A75FF11">
      <w:pPr>
        <w:pStyle w:val="9"/>
        <w:spacing w:after="0"/>
        <w:rPr>
          <w:rFonts w:hint="eastAsia"/>
        </w:rPr>
      </w:pPr>
    </w:p>
    <w:p w14:paraId="48EADC88">
      <w:pPr>
        <w:pStyle w:val="9"/>
        <w:spacing w:after="0"/>
        <w:rPr>
          <w:rFonts w:hint="eastAsia"/>
        </w:rPr>
      </w:pPr>
      <w:r>
        <w:rPr>
          <w:rFonts w:hint="eastAsia"/>
        </w:rPr>
        <w:t>So then, as for the modern Gentile so for the modern Jew: Their greatest need is to make sure that their true citizenship is in heaven, from which also they ought eagerly to wait for a Savior who will welcome them into the glories of the only Land that counts: the World to Come (Phil. 3:20-21).</w:t>
      </w:r>
    </w:p>
    <w:p w14:paraId="1107117A">
      <w:pPr>
        <w:pStyle w:val="9"/>
        <w:spacing w:after="0"/>
        <w:rPr>
          <w:rFonts w:hint="eastAsia"/>
        </w:rPr>
      </w:pPr>
      <w:r>
        <w:rPr>
          <w:rFonts w:hint="eastAsia"/>
        </w:rPr>
        <w:t>所以，对现代的外邦人如此，对现代的犹太人也如此：他们最大的需要是确保他们真正的国籍在天上，他们也应当从那里切切等候一位救主，祂将欢迎他们进入那唯一算数的土地的荣耀中：即来世（腓3:20-21）。</w:t>
      </w:r>
    </w:p>
    <w:p w14:paraId="5772355C">
      <w:pPr>
        <w:pStyle w:val="9"/>
        <w:spacing w:after="0"/>
        <w:rPr>
          <w:rFonts w:hint="eastAsia"/>
        </w:rPr>
      </w:pPr>
    </w:p>
    <w:p w14:paraId="754D0D77">
      <w:pPr>
        <w:pStyle w:val="9"/>
        <w:spacing w:after="0"/>
        <w:rPr>
          <w:rFonts w:hint="eastAsia"/>
        </w:rPr>
      </w:pPr>
      <w:r>
        <w:rPr>
          <w:rFonts w:hint="eastAsia"/>
        </w:rPr>
        <w:t>Hopefully, the Church Militant understands this.</w:t>
      </w:r>
    </w:p>
    <w:p w14:paraId="768520D3">
      <w:pPr>
        <w:pStyle w:val="9"/>
        <w:spacing w:after="0"/>
        <w:rPr>
          <w:rFonts w:hint="eastAsia"/>
        </w:rPr>
      </w:pPr>
      <w:r>
        <w:rPr>
          <w:rFonts w:hint="eastAsia"/>
        </w:rPr>
        <w:t>希望争战的教会能明白这一点。</w:t>
      </w:r>
    </w:p>
    <w:p w14:paraId="51B52671">
      <w:pPr>
        <w:pStyle w:val="9"/>
        <w:spacing w:after="0"/>
        <w:rPr>
          <w:rFonts w:hint="eastAsia"/>
        </w:rPr>
      </w:pPr>
    </w:p>
    <w:p w14:paraId="268754FA">
      <w:pPr>
        <w:pStyle w:val="9"/>
        <w:spacing w:after="0"/>
        <w:rPr>
          <w:rFonts w:hint="eastAsia"/>
        </w:rPr>
      </w:pPr>
      <w:r>
        <w:rPr>
          <w:rFonts w:hint="eastAsia"/>
        </w:rPr>
        <w:t>Hopefully we all understand that we do our Jewish neighbors no favor whatsoever by encouraging them to think that even now, in their unbelief, God has somehow accepted them; or that he has planted them in Palestine out of pure good will; or that the mysterious events of 1948 are a harbinger of unique millennial privileges soon to come.</w:t>
      </w:r>
    </w:p>
    <w:p w14:paraId="2AC07B1E">
      <w:pPr>
        <w:pStyle w:val="9"/>
        <w:spacing w:after="0"/>
        <w:rPr>
          <w:rFonts w:hint="eastAsia"/>
        </w:rPr>
      </w:pPr>
      <w:r>
        <w:rPr>
          <w:rFonts w:hint="eastAsia"/>
        </w:rPr>
        <w:t>希望我们都明白，我们鼓励我们的犹太邻居去想，即使现在，在他们的不信中，神也以某种方式接纳了他们；或者祂是出于纯粹的善意将他们安置在巴勒斯坦；或者1948年的神秘事件是即将到来的独特千禧年特权的预兆，这样做对他们毫无益处。</w:t>
      </w:r>
    </w:p>
    <w:p w14:paraId="3AAE8325">
      <w:pPr>
        <w:pStyle w:val="9"/>
        <w:spacing w:after="0"/>
        <w:rPr>
          <w:rFonts w:hint="eastAsia"/>
        </w:rPr>
      </w:pPr>
    </w:p>
    <w:p w14:paraId="7F8A9BC0">
      <w:pPr>
        <w:pStyle w:val="9"/>
        <w:spacing w:after="0"/>
        <w:rPr>
          <w:rFonts w:hint="eastAsia"/>
        </w:rPr>
      </w:pPr>
      <w:r>
        <w:rPr>
          <w:rFonts w:hint="eastAsia"/>
        </w:rPr>
        <w:t>No, let all who understand and honor Scripture instead lovingly remind our Jewish neighbors that he who believes in the Son has eternal life, but that he who does not obey the Son shall not see life, for the wrath of God abides upon him (John 3:36).</w:t>
      </w:r>
    </w:p>
    <w:p w14:paraId="529D4A92">
      <w:pPr>
        <w:pStyle w:val="9"/>
        <w:spacing w:after="0"/>
        <w:rPr>
          <w:rFonts w:hint="eastAsia"/>
        </w:rPr>
      </w:pPr>
      <w:r>
        <w:rPr>
          <w:rFonts w:hint="eastAsia"/>
        </w:rPr>
        <w:t>不，让所有理解并尊重圣经的人，反而要用爱心提醒我们的犹太邻居，信子的人有永生，不信子的人得不着永生，神的震怒常在他身上（约3:36）。</w:t>
      </w:r>
    </w:p>
    <w:p w14:paraId="42BF3147">
      <w:pPr>
        <w:pStyle w:val="9"/>
        <w:spacing w:after="0"/>
        <w:rPr>
          <w:rFonts w:hint="eastAsia"/>
        </w:rPr>
      </w:pPr>
    </w:p>
    <w:p w14:paraId="1F45801A">
      <w:pPr>
        <w:pStyle w:val="9"/>
        <w:spacing w:after="0"/>
        <w:rPr>
          <w:rFonts w:hint="eastAsia"/>
        </w:rPr>
      </w:pPr>
      <w:r>
        <w:rPr>
          <w:rFonts w:hint="eastAsia"/>
        </w:rPr>
        <w:t>Let us invite them to turn their eyes away from the Jerusalem below, and to lift them up towards the Jerusalem above, where the Savior of the world is seated at God’s right hand.</w:t>
      </w:r>
    </w:p>
    <w:p w14:paraId="2938AD50">
      <w:pPr>
        <w:pStyle w:val="9"/>
        <w:spacing w:after="0"/>
        <w:rPr>
          <w:rFonts w:hint="eastAsia"/>
        </w:rPr>
      </w:pPr>
      <w:r>
        <w:rPr>
          <w:rFonts w:hint="eastAsia"/>
        </w:rPr>
        <w:t>让我们邀请他们将目光从地上的耶路撒冷移开，并举目望向天上的耶路撒冷，那里世界的救主正坐在神的右边。</w:t>
      </w:r>
    </w:p>
    <w:p w14:paraId="4C238157">
      <w:pPr>
        <w:pStyle w:val="9"/>
        <w:spacing w:after="0"/>
        <w:rPr>
          <w:rFonts w:hint="eastAsia"/>
        </w:rPr>
      </w:pPr>
    </w:p>
    <w:p w14:paraId="04DD58BD">
      <w:pPr>
        <w:pStyle w:val="9"/>
        <w:spacing w:after="0"/>
        <w:rPr>
          <w:rFonts w:hint="eastAsia"/>
        </w:rPr>
      </w:pPr>
      <w:r>
        <w:rPr>
          <w:rFonts w:hint="eastAsia"/>
        </w:rPr>
        <w:t>And let us urge them to join us in confessing that no matter where we live, we are strangers and exiles in this world; exiles who are confidently seeking a better homeland, a heavenly homeland, a homeland that the Messiah will make ours, once and for all, at his soon return (Heb. 11:13-16).</w:t>
      </w:r>
    </w:p>
    <w:p w14:paraId="7CFE2D42">
      <w:pPr>
        <w:pStyle w:val="9"/>
        <w:spacing w:after="0"/>
        <w:rPr>
          <w:rFonts w:hint="eastAsia"/>
        </w:rPr>
      </w:pPr>
      <w:r>
        <w:rPr>
          <w:rFonts w:hint="eastAsia"/>
        </w:rPr>
        <w:t>让我们敦促他们与我们一同承认，无论我们住在何处，我们在这世上都是客旅，是寄居的；是那些确信地寻求一个更美家园的寄居者，一个属天的家园，一个弥赛亚将在祂快要再来时，一次性地赐给我们的家园（来11:13-16）。</w:t>
      </w:r>
    </w:p>
    <w:p w14:paraId="36DAFE47">
      <w:pPr>
        <w:pStyle w:val="9"/>
        <w:spacing w:after="0"/>
        <w:rPr>
          <w:rFonts w:hint="eastAsia"/>
        </w:rPr>
      </w:pPr>
    </w:p>
    <w:p w14:paraId="7FBECB88">
      <w:pPr>
        <w:pStyle w:val="9"/>
        <w:spacing w:after="0"/>
        <w:rPr>
          <w:rFonts w:hint="eastAsia"/>
        </w:rPr>
      </w:pPr>
      <w:r>
        <w:rPr>
          <w:rFonts w:hint="eastAsia"/>
        </w:rPr>
        <w:t>Is the creation of the modern Israeli state in fulfillment of OTKP</w:t>
      </w:r>
    </w:p>
    <w:p w14:paraId="56342EB9">
      <w:pPr>
        <w:pStyle w:val="9"/>
        <w:spacing w:after="0"/>
        <w:rPr>
          <w:rFonts w:hint="eastAsia"/>
        </w:rPr>
      </w:pPr>
      <w:r>
        <w:rPr>
          <w:rFonts w:hint="eastAsia"/>
        </w:rPr>
        <w:t>现代以色列国的建立是旧约国度预言（OTKP）的应验吗</w:t>
      </w:r>
    </w:p>
    <w:p w14:paraId="023F40FD">
      <w:pPr>
        <w:pStyle w:val="9"/>
        <w:spacing w:after="0"/>
        <w:rPr>
          <w:rFonts w:hint="eastAsia"/>
        </w:rPr>
      </w:pPr>
    </w:p>
    <w:p w14:paraId="7C7844A7">
      <w:pPr>
        <w:pStyle w:val="9"/>
        <w:spacing w:after="0"/>
        <w:rPr>
          <w:rFonts w:hint="eastAsia"/>
        </w:rPr>
      </w:pPr>
      <w:r>
        <w:rPr>
          <w:rFonts w:hint="eastAsia"/>
        </w:rPr>
        <w:t>Our premillennial brothers tell us that in OTKP God promised to restore latter-day ethnic Israel to Palestine, where, after a brief season of severe tribulation, they will live and worship for a thousand years with Christ as their king.</w:t>
      </w:r>
    </w:p>
    <w:p w14:paraId="17FF1829">
      <w:pPr>
        <w:pStyle w:val="9"/>
        <w:spacing w:after="0"/>
        <w:rPr>
          <w:rFonts w:hint="eastAsia"/>
        </w:rPr>
      </w:pPr>
      <w:r>
        <w:rPr>
          <w:rFonts w:hint="eastAsia"/>
        </w:rPr>
        <w:t>我们的前千禧年弟兄告诉我们，在旧约国度预言中，神应许要将末后的种族以色列人复兴到巴勒斯坦，在那里，经过一个短暂的严酷灾难季节后，他们将与基督一同生活和敬拜一千年，以基督为他们的王。</w:t>
      </w:r>
    </w:p>
    <w:p w14:paraId="6DFCBCA9">
      <w:pPr>
        <w:pStyle w:val="9"/>
        <w:spacing w:after="0"/>
        <w:rPr>
          <w:rFonts w:hint="eastAsia"/>
        </w:rPr>
      </w:pPr>
    </w:p>
    <w:p w14:paraId="29037ED7">
      <w:pPr>
        <w:pStyle w:val="9"/>
        <w:spacing w:after="0"/>
        <w:rPr>
          <w:rFonts w:hint="eastAsia"/>
        </w:rPr>
      </w:pPr>
      <w:r>
        <w:rPr>
          <w:rFonts w:hint="eastAsia"/>
        </w:rPr>
        <w:t>Some say that all of the OT prophecies of Israel’s eschatological restoration were fulfilled in 1948.</w:t>
      </w:r>
    </w:p>
    <w:p w14:paraId="60E85488">
      <w:pPr>
        <w:pStyle w:val="9"/>
        <w:spacing w:after="0"/>
        <w:rPr>
          <w:rFonts w:hint="eastAsia"/>
        </w:rPr>
      </w:pPr>
      <w:r>
        <w:rPr>
          <w:rFonts w:hint="eastAsia"/>
        </w:rPr>
        <w:t>一些人说，所有关于以色列末世论复兴的旧约预言都在1948年应验了。</w:t>
      </w:r>
    </w:p>
    <w:p w14:paraId="2637BBF8">
      <w:pPr>
        <w:pStyle w:val="9"/>
        <w:spacing w:after="0"/>
        <w:rPr>
          <w:rFonts w:hint="eastAsia"/>
        </w:rPr>
      </w:pPr>
    </w:p>
    <w:p w14:paraId="275C8ABB">
      <w:pPr>
        <w:pStyle w:val="9"/>
        <w:spacing w:after="0"/>
        <w:rPr>
          <w:rFonts w:hint="eastAsia"/>
        </w:rPr>
      </w:pPr>
      <w:r>
        <w:rPr>
          <w:rFonts w:hint="eastAsia"/>
        </w:rPr>
        <w:t>Others, like Thomas Ice and Arnold Fruchtenbaum, fine tune this doctrine: In 1948 some OTKP’s were fulfilled by the restoration of unbelieving Israelites to the land (Isaiah 11:11-12, Ezek. 36:22-26, 37:1-14); however, in the near future more of the prophecies will be fulfilled by a restoration of believing Israelites to the land (Deut. 30:1-10, Isaiah 43:5-9, Jer. 31:7-10, Amos 9:14-15, Zech. 10:8- 12).</w:t>
      </w:r>
    </w:p>
    <w:p w14:paraId="2F925D4D">
      <w:pPr>
        <w:pStyle w:val="9"/>
        <w:spacing w:after="0"/>
        <w:rPr>
          <w:rFonts w:hint="eastAsia"/>
        </w:rPr>
      </w:pPr>
      <w:r>
        <w:rPr>
          <w:rFonts w:hint="eastAsia"/>
        </w:rPr>
        <w:t>另一些人，像托马斯·艾斯和阿诺德·弗鲁克滕鲍姆，则对这个教义进行了微调：1948年，一些旧约国度预言因不信的以色列人回归那地而应验了（以赛亚书11:11-12，以西结书36:22-26，37:1-14）；然而，在不久的将来，更多的预言将因信主的以色列人回归那地而应验（申命记30:1-10，以赛亚书43:5-9，耶利米书31:7-10，阿摩司书9:14-15，撒迦利亚书10:8-12）。</w:t>
      </w:r>
    </w:p>
    <w:p w14:paraId="20F1175B">
      <w:pPr>
        <w:pStyle w:val="9"/>
        <w:spacing w:after="0"/>
        <w:rPr>
          <w:rFonts w:hint="eastAsia"/>
        </w:rPr>
      </w:pPr>
    </w:p>
    <w:p w14:paraId="76198B85">
      <w:pPr>
        <w:pStyle w:val="9"/>
        <w:spacing w:after="0"/>
        <w:rPr>
          <w:rFonts w:hint="eastAsia"/>
        </w:rPr>
      </w:pPr>
      <w:r>
        <w:rPr>
          <w:rFonts w:hint="eastAsia"/>
        </w:rPr>
        <w:t>In any case, all premillennarians are agreed that the true sphere of fulfillment of these prophecies is ethnic Israel and the land of Palestine.</w:t>
      </w:r>
    </w:p>
    <w:p w14:paraId="568BEF32">
      <w:pPr>
        <w:pStyle w:val="9"/>
        <w:spacing w:after="0"/>
        <w:rPr>
          <w:rFonts w:hint="eastAsia"/>
        </w:rPr>
      </w:pPr>
      <w:r>
        <w:rPr>
          <w:rFonts w:hint="eastAsia"/>
        </w:rPr>
        <w:t>无论如何，所有的前千禧年论者都同意，这些预言的真正应验领域是种族上的以色列和巴勒斯坦的土地。</w:t>
      </w:r>
    </w:p>
    <w:p w14:paraId="296B6D6B">
      <w:pPr>
        <w:pStyle w:val="9"/>
        <w:spacing w:after="0"/>
        <w:rPr>
          <w:rFonts w:hint="eastAsia"/>
        </w:rPr>
      </w:pPr>
    </w:p>
    <w:p w14:paraId="1F9B4653">
      <w:pPr>
        <w:pStyle w:val="9"/>
        <w:spacing w:after="0"/>
        <w:rPr>
          <w:rFonts w:hint="eastAsia"/>
        </w:rPr>
      </w:pPr>
      <w:r>
        <w:rPr>
          <w:rFonts w:hint="eastAsia"/>
        </w:rPr>
        <w:t>We have just seen, however, that this is impossible, since, according to the NT, the true sphere of fulfillment of all OTKP is the New Covenant, the New Covenant people of God (the Church), and the New Covenant homeland of God, which is heaven above during the temporary Era of Proclamation, and which is the new heavens and the new earth during the eternal Era of Consummation.</w:t>
      </w:r>
    </w:p>
    <w:p w14:paraId="41F04FA1">
      <w:pPr>
        <w:pStyle w:val="9"/>
        <w:spacing w:after="0"/>
        <w:rPr>
          <w:rFonts w:hint="eastAsia"/>
        </w:rPr>
      </w:pPr>
      <w:r>
        <w:rPr>
          <w:rFonts w:hint="eastAsia"/>
        </w:rPr>
        <w:t>然而，我们刚才已经看到，这是不可能的，因为根据新约，所有旧约国度预言的真正应验领域是新约、神的新约子民（教会）以及神的新约家园，这家园在暂时的传讲时代是天上的天堂，而在永恒的结局时代是新天新地。</w:t>
      </w:r>
    </w:p>
    <w:p w14:paraId="15249AFC">
      <w:pPr>
        <w:pStyle w:val="9"/>
        <w:spacing w:after="0"/>
        <w:rPr>
          <w:rFonts w:hint="eastAsia"/>
        </w:rPr>
      </w:pPr>
    </w:p>
    <w:p w14:paraId="7C5E5DD7">
      <w:pPr>
        <w:pStyle w:val="9"/>
        <w:spacing w:after="0"/>
        <w:rPr>
          <w:rFonts w:hint="eastAsia"/>
        </w:rPr>
      </w:pPr>
      <w:r>
        <w:rPr>
          <w:rFonts w:hint="eastAsia"/>
        </w:rPr>
        <w:t>If, then, we are rightly to understand OTKP’s of “Israel’s” eschatological restoration to the land, we must interpret them within this paradigm.</w:t>
      </w:r>
    </w:p>
    <w:p w14:paraId="20230834">
      <w:pPr>
        <w:pStyle w:val="9"/>
        <w:spacing w:after="0"/>
        <w:rPr>
          <w:rFonts w:hint="eastAsia"/>
        </w:rPr>
      </w:pPr>
      <w:r>
        <w:rPr>
          <w:rFonts w:hint="eastAsia"/>
        </w:rPr>
        <w:t>那么，如果我们想要正确地理解关于“以色列”末世论性地回归那地的旧约国度预言，我们必须在这个范式内来解释它们。</w:t>
      </w:r>
    </w:p>
    <w:p w14:paraId="44782296">
      <w:pPr>
        <w:pStyle w:val="9"/>
        <w:spacing w:after="0"/>
        <w:rPr>
          <w:rFonts w:hint="eastAsia"/>
        </w:rPr>
      </w:pPr>
    </w:p>
    <w:p w14:paraId="5FBA746D">
      <w:pPr>
        <w:pStyle w:val="9"/>
        <w:spacing w:after="0"/>
        <w:rPr>
          <w:rFonts w:hint="eastAsia"/>
        </w:rPr>
      </w:pPr>
      <w:r>
        <w:rPr>
          <w:rFonts w:hint="eastAsia"/>
        </w:rPr>
        <w:t>And this entails that OTKP says not a word about a latter-day restoration of ethnic Israel to Palestine.</w:t>
      </w:r>
    </w:p>
    <w:p w14:paraId="21355F1F">
      <w:pPr>
        <w:pStyle w:val="9"/>
        <w:spacing w:after="0"/>
        <w:rPr>
          <w:rFonts w:hint="eastAsia"/>
        </w:rPr>
      </w:pPr>
      <w:r>
        <w:rPr>
          <w:rFonts w:hint="eastAsia"/>
        </w:rPr>
        <w:t>这就意味着，旧约国度预言一字未提末后种族上的以色列人回归巴勒斯坦。</w:t>
      </w:r>
    </w:p>
    <w:p w14:paraId="66A266D6">
      <w:pPr>
        <w:pStyle w:val="9"/>
        <w:spacing w:after="0"/>
        <w:rPr>
          <w:rFonts w:hint="eastAsia"/>
        </w:rPr>
      </w:pPr>
    </w:p>
    <w:p w14:paraId="16E7FFC9">
      <w:pPr>
        <w:pStyle w:val="9"/>
        <w:spacing w:after="0"/>
        <w:rPr>
          <w:rFonts w:hint="eastAsia"/>
        </w:rPr>
      </w:pPr>
      <w:r>
        <w:rPr>
          <w:rFonts w:hint="eastAsia"/>
        </w:rPr>
        <w:t>How, then, are we to interpret these prophecies?</w:t>
      </w:r>
    </w:p>
    <w:p w14:paraId="3C21BFC7">
      <w:pPr>
        <w:pStyle w:val="9"/>
        <w:spacing w:after="0"/>
        <w:rPr>
          <w:rFonts w:hint="eastAsia"/>
        </w:rPr>
      </w:pPr>
      <w:r>
        <w:rPr>
          <w:rFonts w:hint="eastAsia"/>
        </w:rPr>
        <w:t>那么，我们该如何解释这些预言呢？</w:t>
      </w:r>
    </w:p>
    <w:p w14:paraId="31C5C9F4">
      <w:pPr>
        <w:pStyle w:val="9"/>
        <w:spacing w:after="0"/>
        <w:rPr>
          <w:rFonts w:hint="eastAsia"/>
        </w:rPr>
      </w:pPr>
    </w:p>
    <w:p w14:paraId="4BCC138D">
      <w:pPr>
        <w:pStyle w:val="9"/>
        <w:spacing w:after="0"/>
        <w:rPr>
          <w:rFonts w:hint="eastAsia"/>
        </w:rPr>
      </w:pPr>
      <w:r>
        <w:rPr>
          <w:rFonts w:hint="eastAsia"/>
        </w:rPr>
        <w:t>In the body of this book I have sawn a great deal of theological lumber in an effort to show the way.</w:t>
      </w:r>
    </w:p>
    <w:p w14:paraId="1AF9E4CA">
      <w:pPr>
        <w:pStyle w:val="9"/>
        <w:spacing w:after="0"/>
        <w:rPr>
          <w:rFonts w:hint="eastAsia"/>
        </w:rPr>
      </w:pPr>
      <w:r>
        <w:rPr>
          <w:rFonts w:hint="eastAsia"/>
        </w:rPr>
        <w:t>在本书正文中，我费了九牛二虎之力，劈开大量神学上的木材，试图指明道路。</w:t>
      </w:r>
    </w:p>
    <w:p w14:paraId="1DFBD9F2">
      <w:pPr>
        <w:pStyle w:val="9"/>
        <w:spacing w:after="0"/>
        <w:rPr>
          <w:rFonts w:hint="eastAsia"/>
        </w:rPr>
      </w:pPr>
    </w:p>
    <w:p w14:paraId="51D48633">
      <w:pPr>
        <w:pStyle w:val="9"/>
        <w:spacing w:after="0"/>
        <w:rPr>
          <w:rFonts w:hint="eastAsia"/>
        </w:rPr>
      </w:pPr>
      <w:r>
        <w:rPr>
          <w:rFonts w:hint="eastAsia"/>
        </w:rPr>
        <w:t>In our discussions, we uncovered three simple principles to guide us in our interpretive labors.</w:t>
      </w:r>
    </w:p>
    <w:p w14:paraId="2CC1A3EC">
      <w:pPr>
        <w:pStyle w:val="9"/>
        <w:spacing w:after="0"/>
        <w:rPr>
          <w:rFonts w:hint="eastAsia"/>
        </w:rPr>
      </w:pPr>
      <w:r>
        <w:rPr>
          <w:rFonts w:hint="eastAsia"/>
        </w:rPr>
        <w:t>在我们的讨论中，我们发现了三个简单的原则来指导我们的解经工作。</w:t>
      </w:r>
    </w:p>
    <w:p w14:paraId="79FFBAF1">
      <w:pPr>
        <w:pStyle w:val="9"/>
        <w:spacing w:after="0"/>
        <w:rPr>
          <w:rFonts w:hint="eastAsia"/>
        </w:rPr>
      </w:pPr>
    </w:p>
    <w:p w14:paraId="13FB79B6">
      <w:pPr>
        <w:pStyle w:val="9"/>
        <w:spacing w:after="0"/>
        <w:rPr>
          <w:rFonts w:hint="eastAsia"/>
        </w:rPr>
      </w:pPr>
      <w:r>
        <w:rPr>
          <w:rFonts w:hint="eastAsia"/>
        </w:rPr>
        <w:t>For safety sake, let us briefly review them once again.</w:t>
      </w:r>
    </w:p>
    <w:p w14:paraId="139166D7">
      <w:pPr>
        <w:pStyle w:val="9"/>
        <w:spacing w:after="0"/>
        <w:rPr>
          <w:rFonts w:hint="eastAsia"/>
        </w:rPr>
      </w:pPr>
      <w:r>
        <w:rPr>
          <w:rFonts w:hint="eastAsia"/>
        </w:rPr>
        <w:t>为了安全起见，让我们再次简要地回顾一下它们。</w:t>
      </w:r>
    </w:p>
    <w:p w14:paraId="0F207335">
      <w:pPr>
        <w:pStyle w:val="9"/>
        <w:spacing w:after="0"/>
        <w:rPr>
          <w:rFonts w:hint="eastAsia"/>
        </w:rPr>
      </w:pPr>
    </w:p>
    <w:p w14:paraId="7568BE3B">
      <w:pPr>
        <w:pStyle w:val="9"/>
        <w:spacing w:after="0"/>
        <w:rPr>
          <w:rFonts w:hint="eastAsia"/>
        </w:rPr>
      </w:pPr>
      <w:r>
        <w:rPr>
          <w:rFonts w:hint="eastAsia"/>
        </w:rPr>
        <w:t>First, there is “simple” OT prophecy.</w:t>
      </w:r>
    </w:p>
    <w:p w14:paraId="033401EE">
      <w:pPr>
        <w:pStyle w:val="9"/>
        <w:spacing w:after="0"/>
        <w:rPr>
          <w:rFonts w:hint="eastAsia"/>
        </w:rPr>
      </w:pPr>
      <w:r>
        <w:rPr>
          <w:rFonts w:hint="eastAsia"/>
        </w:rPr>
        <w:t>首先，有“简单的”旧约预言。</w:t>
      </w:r>
    </w:p>
    <w:p w14:paraId="36DF762D">
      <w:pPr>
        <w:pStyle w:val="9"/>
        <w:spacing w:after="0"/>
        <w:rPr>
          <w:rFonts w:hint="eastAsia"/>
        </w:rPr>
      </w:pPr>
    </w:p>
    <w:p w14:paraId="6D382A6E">
      <w:pPr>
        <w:pStyle w:val="9"/>
        <w:spacing w:after="0"/>
        <w:rPr>
          <w:rFonts w:hint="eastAsia"/>
        </w:rPr>
      </w:pPr>
      <w:r>
        <w:rPr>
          <w:rFonts w:hint="eastAsia"/>
        </w:rPr>
        <w:t>These prophecies were fulfilled in OT times, under the Old Covenant.</w:t>
      </w:r>
    </w:p>
    <w:p w14:paraId="32AE4795">
      <w:pPr>
        <w:pStyle w:val="9"/>
        <w:spacing w:after="0"/>
        <w:rPr>
          <w:rFonts w:hint="eastAsia"/>
        </w:rPr>
      </w:pPr>
      <w:r>
        <w:rPr>
          <w:rFonts w:hint="eastAsia"/>
        </w:rPr>
        <w:t>这些预言在旧约时代，在旧约之下得到了应验。</w:t>
      </w:r>
    </w:p>
    <w:p w14:paraId="157373CC">
      <w:pPr>
        <w:pStyle w:val="9"/>
        <w:spacing w:after="0"/>
        <w:rPr>
          <w:rFonts w:hint="eastAsia"/>
        </w:rPr>
      </w:pPr>
    </w:p>
    <w:p w14:paraId="781D1E97">
      <w:pPr>
        <w:pStyle w:val="9"/>
        <w:spacing w:after="0"/>
        <w:rPr>
          <w:rFonts w:hint="eastAsia"/>
        </w:rPr>
      </w:pPr>
      <w:r>
        <w:rPr>
          <w:rFonts w:hint="eastAsia"/>
        </w:rPr>
        <w:t>These we interpret literally.</w:t>
      </w:r>
    </w:p>
    <w:p w14:paraId="554826CF">
      <w:pPr>
        <w:pStyle w:val="9"/>
        <w:spacing w:after="0"/>
        <w:rPr>
          <w:rFonts w:hint="eastAsia"/>
        </w:rPr>
      </w:pPr>
      <w:r>
        <w:rPr>
          <w:rFonts w:hint="eastAsia"/>
        </w:rPr>
        <w:t>这些我们按字面意思解释。</w:t>
      </w:r>
    </w:p>
    <w:p w14:paraId="2F49A2A4">
      <w:pPr>
        <w:pStyle w:val="9"/>
        <w:spacing w:after="0"/>
        <w:rPr>
          <w:rFonts w:hint="eastAsia"/>
        </w:rPr>
      </w:pPr>
    </w:p>
    <w:p w14:paraId="09CEF6EF">
      <w:pPr>
        <w:pStyle w:val="9"/>
        <w:spacing w:after="0"/>
        <w:rPr>
          <w:rFonts w:hint="eastAsia"/>
        </w:rPr>
      </w:pPr>
      <w:r>
        <w:rPr>
          <w:rFonts w:hint="eastAsia"/>
        </w:rPr>
        <w:t>For example, Jeremiah 29:1-14 is a simple OT prophecy of ethnic Israel’s restoration to the land of Palestine.</w:t>
      </w:r>
    </w:p>
    <w:p w14:paraId="595A4BA5">
      <w:pPr>
        <w:pStyle w:val="9"/>
        <w:spacing w:after="0"/>
        <w:rPr>
          <w:rFonts w:hint="eastAsia"/>
        </w:rPr>
      </w:pPr>
      <w:r>
        <w:rPr>
          <w:rFonts w:hint="eastAsia"/>
        </w:rPr>
        <w:t>例如，耶利米书29:1-14是一个关于种族以色列人回归巴勒斯坦土地的简单旧约预言。</w:t>
      </w:r>
    </w:p>
    <w:p w14:paraId="4620A529">
      <w:pPr>
        <w:pStyle w:val="9"/>
        <w:spacing w:after="0"/>
        <w:rPr>
          <w:rFonts w:hint="eastAsia"/>
        </w:rPr>
      </w:pPr>
    </w:p>
    <w:p w14:paraId="1A830BED">
      <w:pPr>
        <w:pStyle w:val="9"/>
        <w:spacing w:after="0"/>
        <w:rPr>
          <w:rFonts w:hint="eastAsia"/>
        </w:rPr>
      </w:pPr>
      <w:r>
        <w:rPr>
          <w:rFonts w:hint="eastAsia"/>
        </w:rPr>
        <w:t>It was literally fulfilled in the days of Ezra and Nehemiah, when a chastened, penitent, and prayerful people returned to their homeland to rebuild their lives, their homes, their villages, and their temple (Dan. 9:1f).</w:t>
      </w:r>
    </w:p>
    <w:p w14:paraId="3C3930BD">
      <w:pPr>
        <w:pStyle w:val="9"/>
        <w:spacing w:after="0"/>
        <w:rPr>
          <w:rFonts w:hint="eastAsia"/>
        </w:rPr>
      </w:pPr>
      <w:r>
        <w:rPr>
          <w:rFonts w:hint="eastAsia"/>
        </w:rPr>
        <w:t>它在以斯拉和尼希米的时代按字面意思得到了应验，当时一群受过管教、悔罪并祷告的百姓回到了他们的家园，重建他们的生活、房屋、村庄和圣殿（但9:1及以下）。</w:t>
      </w:r>
    </w:p>
    <w:p w14:paraId="480637FC">
      <w:pPr>
        <w:pStyle w:val="9"/>
        <w:spacing w:after="0"/>
        <w:rPr>
          <w:rFonts w:hint="eastAsia"/>
        </w:rPr>
      </w:pPr>
    </w:p>
    <w:p w14:paraId="7B6A2234">
      <w:pPr>
        <w:pStyle w:val="9"/>
        <w:spacing w:after="0"/>
        <w:rPr>
          <w:rFonts w:hint="eastAsia"/>
        </w:rPr>
      </w:pPr>
      <w:r>
        <w:rPr>
          <w:rFonts w:hint="eastAsia"/>
        </w:rPr>
        <w:t>It should be carefully noted, however, that this lesser restoration served as a picture of the far greater restoration of eschatological “Israel” under the New Covenant.</w:t>
      </w:r>
    </w:p>
    <w:p w14:paraId="7B1EAE36">
      <w:pPr>
        <w:pStyle w:val="9"/>
        <w:spacing w:after="0"/>
        <w:rPr>
          <w:rFonts w:hint="eastAsia"/>
        </w:rPr>
      </w:pPr>
      <w:r>
        <w:rPr>
          <w:rFonts w:hint="eastAsia"/>
        </w:rPr>
        <w:t>然而，应当仔细注意的是，这次较小的复兴，是末世论的“以色列”在新约之下那远为更伟大复兴的一幅图画。</w:t>
      </w:r>
    </w:p>
    <w:p w14:paraId="0AFD160B">
      <w:pPr>
        <w:pStyle w:val="9"/>
        <w:spacing w:after="0"/>
        <w:rPr>
          <w:rFonts w:hint="eastAsia"/>
        </w:rPr>
      </w:pPr>
    </w:p>
    <w:p w14:paraId="22B96C45">
      <w:pPr>
        <w:pStyle w:val="9"/>
        <w:spacing w:after="0"/>
        <w:rPr>
          <w:rFonts w:hint="eastAsia"/>
        </w:rPr>
      </w:pPr>
      <w:r>
        <w:rPr>
          <w:rFonts w:hint="eastAsia"/>
        </w:rPr>
        <w:t>And it is of this greater restoration that Jeremiah and the other prophets almost always speak (Jer. 23:1-8, 30:1ff, 31:1-30, 31:31-40, 32:36ff, 33:14-26).</w:t>
      </w:r>
    </w:p>
    <w:p w14:paraId="41619B95">
      <w:pPr>
        <w:pStyle w:val="9"/>
        <w:spacing w:after="0"/>
        <w:rPr>
          <w:rFonts w:hint="eastAsia"/>
        </w:rPr>
      </w:pPr>
      <w:r>
        <w:rPr>
          <w:rFonts w:hint="eastAsia"/>
        </w:rPr>
        <w:t>而耶利米和其他先知几乎总是谈论的，正是这更伟大的复兴（耶23:1-8, 30:1及以下, 31:1-30, 31:31-40, 32:36及以下, 33:14-26）。</w:t>
      </w:r>
    </w:p>
    <w:p w14:paraId="203B1617">
      <w:pPr>
        <w:pStyle w:val="9"/>
        <w:spacing w:after="0"/>
        <w:rPr>
          <w:rFonts w:hint="eastAsia"/>
        </w:rPr>
      </w:pPr>
    </w:p>
    <w:p w14:paraId="5A5381B4">
      <w:pPr>
        <w:pStyle w:val="9"/>
        <w:spacing w:after="0"/>
        <w:rPr>
          <w:rFonts w:hint="eastAsia"/>
        </w:rPr>
      </w:pPr>
      <w:r>
        <w:rPr>
          <w:rFonts w:hint="eastAsia"/>
        </w:rPr>
        <w:t>Secondly, there is OTKP.</w:t>
      </w:r>
    </w:p>
    <w:p w14:paraId="69F1C08F">
      <w:pPr>
        <w:pStyle w:val="9"/>
        <w:spacing w:after="0"/>
        <w:rPr>
          <w:rFonts w:hint="eastAsia"/>
        </w:rPr>
      </w:pPr>
      <w:r>
        <w:rPr>
          <w:rFonts w:hint="eastAsia"/>
        </w:rPr>
        <w:t>其次，有旧约国度预言（OTKP）。</w:t>
      </w:r>
    </w:p>
    <w:p w14:paraId="3D8F38E8">
      <w:pPr>
        <w:pStyle w:val="9"/>
        <w:spacing w:after="0"/>
        <w:rPr>
          <w:rFonts w:hint="eastAsia"/>
        </w:rPr>
      </w:pPr>
    </w:p>
    <w:p w14:paraId="7EC1619B">
      <w:pPr>
        <w:pStyle w:val="9"/>
        <w:spacing w:after="0"/>
        <w:rPr>
          <w:rFonts w:hint="eastAsia"/>
        </w:rPr>
      </w:pPr>
      <w:r>
        <w:rPr>
          <w:rFonts w:hint="eastAsia"/>
        </w:rPr>
        <w:t>These prophecies are fulfilled in NT times, under the New Covenant.</w:t>
      </w:r>
    </w:p>
    <w:p w14:paraId="6BAF769B">
      <w:pPr>
        <w:pStyle w:val="9"/>
        <w:spacing w:after="0"/>
        <w:rPr>
          <w:rFonts w:hint="eastAsia"/>
        </w:rPr>
      </w:pPr>
      <w:r>
        <w:rPr>
          <w:rFonts w:hint="eastAsia"/>
        </w:rPr>
        <w:t>这些预言在新约时代，在新约之下得到应验。</w:t>
      </w:r>
    </w:p>
    <w:p w14:paraId="177B1AE0">
      <w:pPr>
        <w:pStyle w:val="9"/>
        <w:spacing w:after="0"/>
        <w:rPr>
          <w:rFonts w:hint="eastAsia"/>
        </w:rPr>
      </w:pPr>
    </w:p>
    <w:p w14:paraId="0C8EFD55">
      <w:pPr>
        <w:pStyle w:val="9"/>
        <w:spacing w:after="0"/>
        <w:rPr>
          <w:rFonts w:hint="eastAsia"/>
        </w:rPr>
      </w:pPr>
      <w:r>
        <w:rPr>
          <w:rFonts w:hint="eastAsia"/>
        </w:rPr>
        <w:t>These we interpret by means of the New Covenant Hermeneutic.</w:t>
      </w:r>
    </w:p>
    <w:p w14:paraId="5B8C910A">
      <w:pPr>
        <w:pStyle w:val="9"/>
        <w:spacing w:after="0"/>
        <w:rPr>
          <w:rFonts w:hint="eastAsia"/>
        </w:rPr>
      </w:pPr>
      <w:r>
        <w:rPr>
          <w:rFonts w:hint="eastAsia"/>
        </w:rPr>
        <w:t>这些我们通过新约释经学来解释。</w:t>
      </w:r>
    </w:p>
    <w:p w14:paraId="6936D040">
      <w:pPr>
        <w:pStyle w:val="9"/>
        <w:spacing w:after="0"/>
        <w:rPr>
          <w:rFonts w:hint="eastAsia"/>
        </w:rPr>
      </w:pPr>
    </w:p>
    <w:p w14:paraId="5B96CBA5">
      <w:pPr>
        <w:pStyle w:val="9"/>
        <w:spacing w:after="0"/>
        <w:rPr>
          <w:rFonts w:hint="eastAsia"/>
        </w:rPr>
      </w:pPr>
      <w:r>
        <w:rPr>
          <w:rFonts w:hint="eastAsia"/>
        </w:rPr>
        <w:t>These we interpret typologically, christologically, eschatologically, and ecclesiologically.</w:t>
      </w:r>
    </w:p>
    <w:p w14:paraId="60FFC5D8">
      <w:pPr>
        <w:pStyle w:val="9"/>
        <w:spacing w:after="0"/>
        <w:rPr>
          <w:rFonts w:hint="eastAsia"/>
        </w:rPr>
      </w:pPr>
      <w:r>
        <w:rPr>
          <w:rFonts w:hint="eastAsia"/>
        </w:rPr>
        <w:t>这些我们从预表、基督论、末世论和教会论的角度来解释。</w:t>
      </w:r>
    </w:p>
    <w:p w14:paraId="60C8C223">
      <w:pPr>
        <w:pStyle w:val="9"/>
        <w:spacing w:after="0"/>
        <w:rPr>
          <w:rFonts w:hint="eastAsia"/>
        </w:rPr>
      </w:pPr>
    </w:p>
    <w:p w14:paraId="0CEEA090">
      <w:pPr>
        <w:pStyle w:val="9"/>
        <w:spacing w:after="0"/>
        <w:rPr>
          <w:rFonts w:hint="eastAsia"/>
        </w:rPr>
      </w:pPr>
      <w:r>
        <w:rPr>
          <w:rFonts w:hint="eastAsia"/>
        </w:rPr>
        <w:t>These we interpret as having their sphere of fulfillment in the New Covenant, in Christ, in the Church, and in the two-staged Kingdom of God.</w:t>
      </w:r>
    </w:p>
    <w:p w14:paraId="758531ED">
      <w:pPr>
        <w:pStyle w:val="9"/>
        <w:spacing w:after="0"/>
        <w:rPr>
          <w:rFonts w:hint="eastAsia"/>
        </w:rPr>
      </w:pPr>
      <w:r>
        <w:rPr>
          <w:rFonts w:hint="eastAsia"/>
        </w:rPr>
        <w:t>这些我们解释为在以下的领域中得到应验：新约、基督、教会以及神两阶段的国度。</w:t>
      </w:r>
    </w:p>
    <w:p w14:paraId="02327A5C">
      <w:pPr>
        <w:pStyle w:val="9"/>
        <w:spacing w:after="0"/>
        <w:rPr>
          <w:rFonts w:hint="eastAsia"/>
        </w:rPr>
      </w:pPr>
    </w:p>
    <w:p w14:paraId="3E73B944">
      <w:pPr>
        <w:pStyle w:val="9"/>
        <w:spacing w:after="0"/>
        <w:rPr>
          <w:rFonts w:hint="eastAsia"/>
        </w:rPr>
      </w:pPr>
      <w:r>
        <w:rPr>
          <w:rFonts w:hint="eastAsia"/>
        </w:rPr>
        <w:t>Again, if all this is so, the implications are inescapable: Every OTKP in which premillennarians find God predicting a latter-day restoration of ethnic Israel to the land is actually an OTKP, which means that every such prophecy must be interpreted figuratively and typologically, by means of a skillful use of the NCH.</w:t>
      </w:r>
    </w:p>
    <w:p w14:paraId="0CCCB89A">
      <w:pPr>
        <w:pStyle w:val="9"/>
        <w:spacing w:after="0"/>
        <w:rPr>
          <w:rFonts w:hint="eastAsia"/>
        </w:rPr>
      </w:pPr>
      <w:r>
        <w:rPr>
          <w:rFonts w:hint="eastAsia"/>
        </w:rPr>
        <w:t>再次强调，如果这一切都成立，那么其含义是不可避免的：每一个前千禧年论者在其中发现神预言末后种族以色列人回归那地的旧约国度预言，实际上就是一个旧约国度预言，这意味着每一个这样的预言都必须通过巧妙地运用新约释经学（NCH），以比喻和预表的方式来解释。</w:t>
      </w:r>
    </w:p>
    <w:p w14:paraId="24052567">
      <w:pPr>
        <w:pStyle w:val="9"/>
        <w:spacing w:after="0"/>
        <w:rPr>
          <w:rFonts w:hint="eastAsia"/>
        </w:rPr>
      </w:pPr>
    </w:p>
    <w:p w14:paraId="36CEBCE8">
      <w:pPr>
        <w:pStyle w:val="9"/>
        <w:spacing w:after="0"/>
        <w:rPr>
          <w:rFonts w:hint="eastAsia"/>
        </w:rPr>
      </w:pPr>
      <w:r>
        <w:rPr>
          <w:rFonts w:hint="eastAsia"/>
        </w:rPr>
        <w:t>In our journey together, I have sought to model this approach many times.</w:t>
      </w:r>
    </w:p>
    <w:p w14:paraId="096C3883">
      <w:pPr>
        <w:pStyle w:val="9"/>
        <w:spacing w:after="0"/>
        <w:rPr>
          <w:rFonts w:hint="eastAsia"/>
        </w:rPr>
      </w:pPr>
      <w:r>
        <w:rPr>
          <w:rFonts w:hint="eastAsia"/>
        </w:rPr>
        <w:t>在我们共同的旅程中，我曾多次试图示范这种方法。</w:t>
      </w:r>
    </w:p>
    <w:p w14:paraId="5B31869C">
      <w:pPr>
        <w:pStyle w:val="9"/>
        <w:spacing w:after="0"/>
        <w:rPr>
          <w:rFonts w:hint="eastAsia"/>
        </w:rPr>
      </w:pPr>
    </w:p>
    <w:p w14:paraId="3CEE0792">
      <w:pPr>
        <w:pStyle w:val="9"/>
        <w:spacing w:after="0"/>
        <w:rPr>
          <w:rFonts w:hint="eastAsia"/>
        </w:rPr>
      </w:pPr>
      <w:r>
        <w:rPr>
          <w:rFonts w:hint="eastAsia"/>
        </w:rPr>
        <w:t>For example, premillennarians claim that in Isaiah 11:11-16 God is speaking of two restorations of ethnic Israel to the land.</w:t>
      </w:r>
    </w:p>
    <w:p w14:paraId="48AD8B13">
      <w:pPr>
        <w:pStyle w:val="9"/>
        <w:spacing w:after="0"/>
        <w:rPr>
          <w:rFonts w:hint="eastAsia"/>
        </w:rPr>
      </w:pPr>
      <w:r>
        <w:rPr>
          <w:rFonts w:hint="eastAsia"/>
        </w:rPr>
        <w:t>例如，前千禧年论者声称，在以赛亚书11:11-16中，神谈到了种族以色列人两次回归那地。</w:t>
      </w:r>
    </w:p>
    <w:p w14:paraId="45052337">
      <w:pPr>
        <w:pStyle w:val="9"/>
        <w:spacing w:after="0"/>
        <w:rPr>
          <w:rFonts w:hint="eastAsia"/>
        </w:rPr>
      </w:pPr>
    </w:p>
    <w:p w14:paraId="0AE01F36">
      <w:pPr>
        <w:pStyle w:val="9"/>
        <w:spacing w:after="0"/>
        <w:rPr>
          <w:rFonts w:hint="eastAsia"/>
        </w:rPr>
      </w:pPr>
      <w:r>
        <w:rPr>
          <w:rFonts w:hint="eastAsia"/>
        </w:rPr>
        <w:t>The first was accomplished under Ezra and Nehemiah, the second under the United Nations, in 1948.</w:t>
      </w:r>
    </w:p>
    <w:p w14:paraId="7A2730AB">
      <w:pPr>
        <w:pStyle w:val="9"/>
        <w:spacing w:after="0"/>
        <w:rPr>
          <w:rFonts w:hint="eastAsia"/>
        </w:rPr>
      </w:pPr>
      <w:r>
        <w:rPr>
          <w:rFonts w:hint="eastAsia"/>
        </w:rPr>
        <w:t>第一次是在以斯拉和尼希米时期完成的，第二次是在联合国的主持下，于1948年完成的。</w:t>
      </w:r>
    </w:p>
    <w:p w14:paraId="2465A405">
      <w:pPr>
        <w:pStyle w:val="9"/>
        <w:spacing w:after="0"/>
        <w:rPr>
          <w:rFonts w:hint="eastAsia"/>
        </w:rPr>
      </w:pPr>
    </w:p>
    <w:p w14:paraId="106E8519">
      <w:pPr>
        <w:pStyle w:val="9"/>
        <w:spacing w:after="0"/>
        <w:rPr>
          <w:rFonts w:hint="eastAsia"/>
        </w:rPr>
      </w:pPr>
      <w:r>
        <w:rPr>
          <w:rFonts w:hint="eastAsia"/>
        </w:rPr>
        <w:t>We have seen, however, that this literal interpretation cannot possibly be correct, since it requires us to look for modern ethnic Israel fighting against nations that long ago passed from the stage of history (e.g., Philistia, Edom, Moab, etc.).</w:t>
      </w:r>
    </w:p>
    <w:p w14:paraId="2F5A452C">
      <w:pPr>
        <w:pStyle w:val="9"/>
        <w:spacing w:after="0"/>
        <w:rPr>
          <w:rFonts w:hint="eastAsia"/>
        </w:rPr>
      </w:pPr>
      <w:r>
        <w:rPr>
          <w:rFonts w:hint="eastAsia"/>
        </w:rPr>
        <w:t>然而，我们已经看到，这种字面解释不可能是正确的，因为它要求我们去寻找现代种族以色列人与那些早已从历史舞台上消失的国家作战（例如，非利士、以东、摩押等）。</w:t>
      </w:r>
    </w:p>
    <w:p w14:paraId="16AF0CCE">
      <w:pPr>
        <w:pStyle w:val="9"/>
        <w:spacing w:after="0"/>
        <w:rPr>
          <w:rFonts w:hint="eastAsia"/>
        </w:rPr>
      </w:pPr>
    </w:p>
    <w:p w14:paraId="506C8801">
      <w:pPr>
        <w:pStyle w:val="9"/>
        <w:spacing w:after="0"/>
        <w:rPr>
          <w:rFonts w:hint="eastAsia"/>
        </w:rPr>
      </w:pPr>
      <w:r>
        <w:rPr>
          <w:rFonts w:hint="eastAsia"/>
        </w:rPr>
        <w:t>No, the context indicates that here Isaiah is speaking “mysteriously” of the Messianic era (11:1-5, 10); an era in which God will gather unto Christ a new nation of Gospel warriors (11:10); an era in which those warriors will engage in such victorious Gospel combat that multitudes of previously unbelieving enemies will walk the highway of holiness into God’s Kingdom and into his people’s eschatological homeland (11:14-16).</w:t>
      </w:r>
    </w:p>
    <w:p w14:paraId="123CFDAF">
      <w:pPr>
        <w:pStyle w:val="9"/>
        <w:spacing w:after="0"/>
        <w:rPr>
          <w:rFonts w:hint="eastAsia"/>
        </w:rPr>
      </w:pPr>
      <w:r>
        <w:rPr>
          <w:rFonts w:hint="eastAsia"/>
        </w:rPr>
        <w:t>不，上下文表明，以赛亚在这里是“奥秘地”论及弥赛亚时代（11:1-5, 10）；一个神将聚集一群新的福音勇士归向基督的时代（11:10）；一个那些勇士将进行如此得胜的福音争战，以致大批先前不信的仇敌将行走在圣洁的大道上，进入神的国度，并进入祂子民末世论的家园的时代（11:14-16）。</w:t>
      </w:r>
    </w:p>
    <w:p w14:paraId="284E85B5">
      <w:pPr>
        <w:pStyle w:val="9"/>
        <w:spacing w:after="0"/>
        <w:rPr>
          <w:rFonts w:hint="eastAsia"/>
        </w:rPr>
      </w:pPr>
    </w:p>
    <w:p w14:paraId="5BFA6D35">
      <w:pPr>
        <w:pStyle w:val="9"/>
        <w:spacing w:after="0"/>
        <w:rPr>
          <w:rFonts w:hint="eastAsia"/>
        </w:rPr>
      </w:pPr>
      <w:r>
        <w:rPr>
          <w:rFonts w:hint="eastAsia"/>
        </w:rPr>
        <w:t>Just as God, in the first Exodus, rescued physical Israel from Egypt through Moses, so in the eschatological Exodus he will rescue spiritual Israel from the Domain of Darkness through Christ (11:16).</w:t>
      </w:r>
    </w:p>
    <w:p w14:paraId="321A4D0E">
      <w:pPr>
        <w:pStyle w:val="9"/>
        <w:spacing w:after="0"/>
        <w:rPr>
          <w:rFonts w:hint="eastAsia"/>
        </w:rPr>
      </w:pPr>
      <w:r>
        <w:rPr>
          <w:rFonts w:hint="eastAsia"/>
        </w:rPr>
        <w:t>正如神在第一次出埃及时，藉着摩西拯救了属肉体的以色列脱离埃及，同样在末世论的出埃及时，祂将藉着基督拯救属灵的以色列脱离黑暗的权势（11:16）。</w:t>
      </w:r>
    </w:p>
    <w:p w14:paraId="01876BC7">
      <w:pPr>
        <w:pStyle w:val="9"/>
        <w:spacing w:after="0"/>
        <w:rPr>
          <w:rFonts w:hint="eastAsia"/>
        </w:rPr>
      </w:pPr>
    </w:p>
    <w:p w14:paraId="307695FD">
      <w:pPr>
        <w:pStyle w:val="9"/>
        <w:spacing w:after="0"/>
        <w:rPr>
          <w:rFonts w:hint="eastAsia"/>
        </w:rPr>
      </w:pPr>
      <w:r>
        <w:rPr>
          <w:rFonts w:hint="eastAsia"/>
        </w:rPr>
        <w:t>And when the great contest is over, the Messiah will execute final Judgment against all his remaining foes (11:4), and then bring in the eternal World to Come (11:6-9).</w:t>
      </w:r>
    </w:p>
    <w:p w14:paraId="6BCBA43C">
      <w:pPr>
        <w:pStyle w:val="9"/>
        <w:spacing w:after="0"/>
        <w:rPr>
          <w:rFonts w:hint="eastAsia"/>
        </w:rPr>
      </w:pPr>
      <w:r>
        <w:rPr>
          <w:rFonts w:hint="eastAsia"/>
        </w:rPr>
        <w:t>当这场伟大的较量结束时，弥赛亚将对所有祂剩下的仇敌施行最后的审判（11:4），然后带进永恒的来世（11:6-9）。</w:t>
      </w:r>
    </w:p>
    <w:p w14:paraId="2C66638A">
      <w:pPr>
        <w:pStyle w:val="9"/>
        <w:spacing w:after="0"/>
        <w:rPr>
          <w:rFonts w:hint="eastAsia"/>
        </w:rPr>
      </w:pPr>
    </w:p>
    <w:p w14:paraId="403D8E19">
      <w:pPr>
        <w:pStyle w:val="9"/>
        <w:spacing w:after="0"/>
        <w:rPr>
          <w:rFonts w:hint="eastAsia"/>
        </w:rPr>
      </w:pPr>
      <w:r>
        <w:rPr>
          <w:rFonts w:hint="eastAsia"/>
        </w:rPr>
        <w:t>Again, premillennarians say that in 1948 God fulfilled his ancient promise to give birth to a nation in a day (Isaiah 66:7-8).</w:t>
      </w:r>
    </w:p>
    <w:p w14:paraId="277FE602">
      <w:pPr>
        <w:pStyle w:val="9"/>
        <w:spacing w:after="0"/>
        <w:rPr>
          <w:rFonts w:hint="eastAsia"/>
        </w:rPr>
      </w:pPr>
      <w:r>
        <w:rPr>
          <w:rFonts w:hint="eastAsia"/>
        </w:rPr>
        <w:t>再次，前千禧年论者说，在1948年，神应验了祂古时的应许，即一日之内生下一个国家（以赛亚书66:7-8）。</w:t>
      </w:r>
    </w:p>
    <w:p w14:paraId="08B1D2F3">
      <w:pPr>
        <w:pStyle w:val="9"/>
        <w:spacing w:after="0"/>
        <w:rPr>
          <w:rFonts w:hint="eastAsia"/>
        </w:rPr>
      </w:pPr>
    </w:p>
    <w:p w14:paraId="0B644188">
      <w:pPr>
        <w:pStyle w:val="9"/>
        <w:spacing w:after="0"/>
        <w:rPr>
          <w:rFonts w:hint="eastAsia"/>
        </w:rPr>
      </w:pPr>
      <w:r>
        <w:rPr>
          <w:rFonts w:hint="eastAsia"/>
        </w:rPr>
        <w:t>However, in our careful exegesis of this text, we saw that the new Land, Nation, and City of which Isaiah spoke is actually Christ’s Church, born on the Day of Pentecost as a result of the Person and redeeming Work of the Boy-Child to which OT Zion, embodied in mother Mary, gave birth (11:7-8, 10).</w:t>
      </w:r>
    </w:p>
    <w:p w14:paraId="52FDACAE">
      <w:pPr>
        <w:pStyle w:val="9"/>
        <w:spacing w:after="0"/>
        <w:rPr>
          <w:rFonts w:hint="eastAsia"/>
        </w:rPr>
      </w:pPr>
      <w:r>
        <w:rPr>
          <w:rFonts w:hint="eastAsia"/>
        </w:rPr>
        <w:t>然而，在我们对这段经文的仔细解经中，我们看到以赛亚所说的新土地、新国家和新城市，实际上是基督的教会，是在五旬节那天，因着旧约的锡安（体现在母亲马利亚身上）所生的那男孩子（the Boy-Child）的位格和救赎工作而诞生的（11:7-8, 10）。</w:t>
      </w:r>
    </w:p>
    <w:p w14:paraId="51EFDE3A">
      <w:pPr>
        <w:pStyle w:val="9"/>
        <w:spacing w:after="0"/>
        <w:rPr>
          <w:rFonts w:hint="eastAsia"/>
        </w:rPr>
      </w:pPr>
    </w:p>
    <w:p w14:paraId="0FB9FF89">
      <w:pPr>
        <w:pStyle w:val="9"/>
        <w:spacing w:after="0"/>
        <w:rPr>
          <w:rFonts w:hint="eastAsia"/>
        </w:rPr>
      </w:pPr>
      <w:r>
        <w:rPr>
          <w:rFonts w:hint="eastAsia"/>
        </w:rPr>
        <w:t>In our study we also considered Ezekiel’s famous vision of the Valley of Dry Bones.</w:t>
      </w:r>
    </w:p>
    <w:p w14:paraId="41C72869">
      <w:pPr>
        <w:pStyle w:val="9"/>
        <w:spacing w:after="0"/>
        <w:rPr>
          <w:rFonts w:hint="eastAsia"/>
        </w:rPr>
      </w:pPr>
      <w:r>
        <w:rPr>
          <w:rFonts w:hint="eastAsia"/>
        </w:rPr>
        <w:t>在我们的研究中，我们也思考了以西结著名的枯骨谷异象。</w:t>
      </w:r>
    </w:p>
    <w:p w14:paraId="7A625C7F">
      <w:pPr>
        <w:pStyle w:val="9"/>
        <w:spacing w:after="0"/>
        <w:rPr>
          <w:rFonts w:hint="eastAsia"/>
        </w:rPr>
      </w:pPr>
    </w:p>
    <w:p w14:paraId="2EBBB441">
      <w:pPr>
        <w:pStyle w:val="9"/>
        <w:spacing w:after="0"/>
        <w:rPr>
          <w:rFonts w:hint="eastAsia"/>
        </w:rPr>
      </w:pPr>
      <w:r>
        <w:rPr>
          <w:rFonts w:hint="eastAsia"/>
        </w:rPr>
        <w:t>Without a doubt, this is the premillennarian’s favorite proof text for a latter-day restoration of the Jews to Palestine (Ezek. 37:1-14).</w:t>
      </w:r>
    </w:p>
    <w:p w14:paraId="3D7A905D">
      <w:pPr>
        <w:pStyle w:val="9"/>
        <w:spacing w:after="0"/>
        <w:rPr>
          <w:rFonts w:hint="eastAsia"/>
        </w:rPr>
      </w:pPr>
      <w:r>
        <w:rPr>
          <w:rFonts w:hint="eastAsia"/>
        </w:rPr>
        <w:t>毫无疑问，这是前千禧年论者最喜欢的、用以证明末后犹太人回归巴勒斯坦的引证经文（结37:1-14）。</w:t>
      </w:r>
    </w:p>
    <w:p w14:paraId="06D64746">
      <w:pPr>
        <w:pStyle w:val="9"/>
        <w:spacing w:after="0"/>
        <w:rPr>
          <w:rFonts w:hint="eastAsia"/>
        </w:rPr>
      </w:pPr>
    </w:p>
    <w:p w14:paraId="43C48A66">
      <w:pPr>
        <w:pStyle w:val="9"/>
        <w:spacing w:after="0"/>
        <w:rPr>
          <w:rFonts w:hint="eastAsia"/>
        </w:rPr>
      </w:pPr>
      <w:r>
        <w:rPr>
          <w:rFonts w:hint="eastAsia"/>
        </w:rPr>
        <w:t>Thomas Ice, for example, reads it as giving us “a multi-stage process.”</w:t>
      </w:r>
    </w:p>
    <w:p w14:paraId="4AEF0777">
      <w:pPr>
        <w:pStyle w:val="9"/>
        <w:spacing w:after="0"/>
        <w:rPr>
          <w:rFonts w:hint="eastAsia"/>
        </w:rPr>
      </w:pPr>
      <w:r>
        <w:rPr>
          <w:rFonts w:hint="eastAsia"/>
        </w:rPr>
        <w:t>例如，托马斯·艾斯将其解读为一个“多阶段的过程”。</w:t>
      </w:r>
    </w:p>
    <w:p w14:paraId="15A7B24C">
      <w:pPr>
        <w:pStyle w:val="9"/>
        <w:spacing w:after="0"/>
        <w:rPr>
          <w:rFonts w:hint="eastAsia"/>
        </w:rPr>
      </w:pPr>
    </w:p>
    <w:p w14:paraId="423980AE">
      <w:pPr>
        <w:pStyle w:val="9"/>
        <w:spacing w:after="0"/>
        <w:rPr>
          <w:rFonts w:hint="eastAsia"/>
        </w:rPr>
      </w:pPr>
      <w:r>
        <w:rPr>
          <w:rFonts w:hint="eastAsia"/>
        </w:rPr>
        <w:t>First ethnic Israel is restored to the land in unbelief, and so is pictured as a vast sea of lifeless bodies, physically whole but spiritually dead.</w:t>
      </w:r>
    </w:p>
    <w:p w14:paraId="288DCD2B">
      <w:pPr>
        <w:pStyle w:val="9"/>
        <w:spacing w:after="0"/>
        <w:rPr>
          <w:rFonts w:hint="eastAsia"/>
        </w:rPr>
      </w:pPr>
      <w:r>
        <w:rPr>
          <w:rFonts w:hint="eastAsia"/>
        </w:rPr>
        <w:t>首先，种族上的以色列在不信中被复兴到那地，因此被描绘成一片广阔的、毫无生气的尸体海洋，身体完整但灵性已死。</w:t>
      </w:r>
    </w:p>
    <w:p w14:paraId="1AB050FE">
      <w:pPr>
        <w:pStyle w:val="9"/>
        <w:spacing w:after="0"/>
        <w:rPr>
          <w:rFonts w:hint="eastAsia"/>
        </w:rPr>
      </w:pPr>
    </w:p>
    <w:p w14:paraId="457DB04B">
      <w:pPr>
        <w:pStyle w:val="9"/>
        <w:spacing w:after="0"/>
        <w:rPr>
          <w:rFonts w:hint="eastAsia"/>
        </w:rPr>
      </w:pPr>
      <w:r>
        <w:rPr>
          <w:rFonts w:hint="eastAsia"/>
        </w:rPr>
        <w:t>This stage supposedly began in 1948 and continues to the present.</w:t>
      </w:r>
    </w:p>
    <w:p w14:paraId="6F83438F">
      <w:pPr>
        <w:pStyle w:val="9"/>
        <w:spacing w:after="0"/>
        <w:rPr>
          <w:rFonts w:hint="eastAsia"/>
        </w:rPr>
      </w:pPr>
      <w:r>
        <w:rPr>
          <w:rFonts w:hint="eastAsia"/>
        </w:rPr>
        <w:t>据说这个阶段始于1948年，并持续至今。</w:t>
      </w:r>
    </w:p>
    <w:p w14:paraId="3A07A8D7">
      <w:pPr>
        <w:pStyle w:val="9"/>
        <w:spacing w:after="0"/>
        <w:rPr>
          <w:rFonts w:hint="eastAsia"/>
        </w:rPr>
      </w:pPr>
    </w:p>
    <w:p w14:paraId="1A44D936">
      <w:pPr>
        <w:pStyle w:val="9"/>
        <w:spacing w:after="0"/>
        <w:rPr>
          <w:rFonts w:hint="eastAsia"/>
        </w:rPr>
      </w:pPr>
      <w:r>
        <w:rPr>
          <w:rFonts w:hint="eastAsia"/>
        </w:rPr>
        <w:t>Then, possibly during the seven year Tribulation, the second stage begins: God brings the nation to faith, so that now it stands on its feet, a great army of Jewish evangelists, effectively calling both Jews and Gentiles to salvation in Christ just prior to his premillennial return.</w:t>
      </w:r>
    </w:p>
    <w:p w14:paraId="647D187E">
      <w:pPr>
        <w:pStyle w:val="9"/>
        <w:spacing w:after="0"/>
        <w:rPr>
          <w:rFonts w:hint="eastAsia"/>
        </w:rPr>
      </w:pPr>
      <w:r>
        <w:rPr>
          <w:rFonts w:hint="eastAsia"/>
        </w:rPr>
        <w:t>然后，可能在七年的灾难期中，第二阶段开始：神使这个国家归信，以致它现在站立起来，成为一支伟大的犹太传道人军队，在基督前千禧年再来之前，有效地呼召犹太人和外邦人归向基督得救。</w:t>
      </w:r>
    </w:p>
    <w:p w14:paraId="3D366531">
      <w:pPr>
        <w:pStyle w:val="9"/>
        <w:spacing w:after="0"/>
        <w:rPr>
          <w:rFonts w:hint="eastAsia"/>
        </w:rPr>
      </w:pPr>
    </w:p>
    <w:p w14:paraId="7FFD225A">
      <w:pPr>
        <w:pStyle w:val="9"/>
        <w:spacing w:after="0"/>
        <w:rPr>
          <w:rFonts w:hint="eastAsia"/>
        </w:rPr>
      </w:pPr>
      <w:r>
        <w:rPr>
          <w:rFonts w:hint="eastAsia"/>
        </w:rPr>
        <w:t>However, earlier in our journey I argued for a very different interpretation of this text, an interpretation guided by the NCH.</w:t>
      </w:r>
    </w:p>
    <w:p w14:paraId="616C01CA">
      <w:pPr>
        <w:pStyle w:val="9"/>
        <w:spacing w:after="0"/>
        <w:rPr>
          <w:rFonts w:hint="eastAsia"/>
        </w:rPr>
      </w:pPr>
      <w:r>
        <w:rPr>
          <w:rFonts w:hint="eastAsia"/>
        </w:rPr>
        <w:t>然而，在我们旅程的早些时候，我对这段经文提出了一个截然不同的解释，一个由新约释经学（NCH）引导的解释。</w:t>
      </w:r>
    </w:p>
    <w:p w14:paraId="01532092">
      <w:pPr>
        <w:pStyle w:val="9"/>
        <w:spacing w:after="0"/>
        <w:rPr>
          <w:rFonts w:hint="eastAsia"/>
        </w:rPr>
      </w:pPr>
    </w:p>
    <w:p w14:paraId="50B15C0B">
      <w:pPr>
        <w:pStyle w:val="9"/>
        <w:spacing w:after="0"/>
        <w:rPr>
          <w:rFonts w:hint="eastAsia"/>
        </w:rPr>
      </w:pPr>
      <w:r>
        <w:rPr>
          <w:rFonts w:hint="eastAsia"/>
        </w:rPr>
        <w:t>I suggested that Ezekiel’s famous prophecy pictures God, who physically created man from the dust, spiritually re-creating the One New Man—Christ’s Church— from the dead (Eph. 2:15).</w:t>
      </w:r>
    </w:p>
    <w:p w14:paraId="291A06A1">
      <w:pPr>
        <w:pStyle w:val="9"/>
        <w:spacing w:after="0"/>
        <w:rPr>
          <w:rFonts w:hint="eastAsia"/>
        </w:rPr>
      </w:pPr>
      <w:r>
        <w:rPr>
          <w:rFonts w:hint="eastAsia"/>
        </w:rPr>
        <w:t>我提出，以西结著名的预言描绘了神，祂曾用尘土创造了属物质的人，如今祂从死里属灵地再造那一个新人——基督的教会（弗2:15）。</w:t>
      </w:r>
    </w:p>
    <w:p w14:paraId="3B3BC1A2">
      <w:pPr>
        <w:pStyle w:val="9"/>
        <w:spacing w:after="0"/>
        <w:rPr>
          <w:rFonts w:hint="eastAsia"/>
        </w:rPr>
      </w:pPr>
    </w:p>
    <w:p w14:paraId="254235BB">
      <w:pPr>
        <w:pStyle w:val="9"/>
        <w:spacing w:after="0"/>
        <w:rPr>
          <w:rFonts w:hint="eastAsia"/>
        </w:rPr>
      </w:pPr>
      <w:r>
        <w:rPr>
          <w:rFonts w:hint="eastAsia"/>
        </w:rPr>
        <w:t>In other words, it gives us Christ, from the Day of Pentecost on, breathing into the nostrils of his elect (whether Jew or Gentile), raising them to newness of life, and sending them as a vast army into triumphant spiritual warfare for the cause of the gospel (John 20:22, Rom. 6:4, 2 Cor. 2:14f, Eph. 2:5-7, 6:10f, 2 Tim. 2:4, Rev. 19:19).</w:t>
      </w:r>
    </w:p>
    <w:p w14:paraId="51E729F1">
      <w:pPr>
        <w:pStyle w:val="9"/>
        <w:spacing w:after="0"/>
        <w:rPr>
          <w:rFonts w:hint="eastAsia"/>
        </w:rPr>
      </w:pPr>
      <w:r>
        <w:rPr>
          <w:rFonts w:hint="eastAsia"/>
        </w:rPr>
        <w:t>换句话说，它向我们展示了基督，从五旬节那天起，就向祂的选民（无论是犹太人还是外邦人）的鼻孔里吹气，使他们活过来，得着新生命，并差遣他们作为一支庞大的军队，为福音的缘故投入得胜的属灵争战（约20:22，罗6:4，林后2:14及以下，弗2:5-7，6:10及以下，提后2:4，启19:19）。</w:t>
      </w:r>
    </w:p>
    <w:p w14:paraId="7043479F">
      <w:pPr>
        <w:pStyle w:val="9"/>
        <w:spacing w:after="0"/>
        <w:rPr>
          <w:rFonts w:hint="eastAsia"/>
        </w:rPr>
      </w:pPr>
    </w:p>
    <w:p w14:paraId="1683DAEE">
      <w:pPr>
        <w:pStyle w:val="9"/>
        <w:spacing w:after="0"/>
        <w:rPr>
          <w:rFonts w:hint="eastAsia"/>
        </w:rPr>
      </w:pPr>
      <w:r>
        <w:rPr>
          <w:rFonts w:hint="eastAsia"/>
        </w:rPr>
        <w:t>Which interpretation has the sanction of NT eschatology?</w:t>
      </w:r>
    </w:p>
    <w:p w14:paraId="725A0101">
      <w:pPr>
        <w:pStyle w:val="9"/>
        <w:spacing w:after="0"/>
        <w:rPr>
          <w:rFonts w:hint="eastAsia"/>
        </w:rPr>
      </w:pPr>
      <w:r>
        <w:rPr>
          <w:rFonts w:hint="eastAsia"/>
        </w:rPr>
        <w:t>哪种解释得到了新约末世论的认可？</w:t>
      </w:r>
    </w:p>
    <w:p w14:paraId="6D6FE4EA">
      <w:pPr>
        <w:pStyle w:val="9"/>
        <w:spacing w:after="0"/>
        <w:rPr>
          <w:rFonts w:hint="eastAsia"/>
        </w:rPr>
      </w:pPr>
    </w:p>
    <w:p w14:paraId="5EB39F8B">
      <w:pPr>
        <w:pStyle w:val="9"/>
        <w:spacing w:after="0"/>
        <w:rPr>
          <w:rFonts w:hint="eastAsia"/>
        </w:rPr>
      </w:pPr>
      <w:r>
        <w:rPr>
          <w:rFonts w:hint="eastAsia"/>
        </w:rPr>
        <w:t>That is for you to decide.</w:t>
      </w:r>
    </w:p>
    <w:p w14:paraId="2A18DCAA">
      <w:pPr>
        <w:pStyle w:val="9"/>
        <w:spacing w:after="0"/>
        <w:rPr>
          <w:rFonts w:hint="eastAsia"/>
        </w:rPr>
      </w:pPr>
      <w:r>
        <w:rPr>
          <w:rFonts w:hint="eastAsia"/>
        </w:rPr>
        <w:t>那将由你来决定。</w:t>
      </w:r>
    </w:p>
    <w:p w14:paraId="529CD6CB">
      <w:pPr>
        <w:pStyle w:val="9"/>
        <w:spacing w:after="0"/>
        <w:rPr>
          <w:rFonts w:hint="eastAsia"/>
        </w:rPr>
      </w:pPr>
    </w:p>
    <w:p w14:paraId="3F5D6ECE">
      <w:pPr>
        <w:pStyle w:val="9"/>
        <w:spacing w:after="0"/>
        <w:rPr>
          <w:rFonts w:hint="eastAsia"/>
        </w:rPr>
      </w:pPr>
      <w:r>
        <w:rPr>
          <w:rFonts w:hint="eastAsia"/>
        </w:rPr>
        <w:t>Premillennarians also like to point to Amos 9:13-14, which they claim anticipates the agricultural fruitfulness that we now see, or soon will see, in the modern nation of Israel.</w:t>
      </w:r>
    </w:p>
    <w:p w14:paraId="54632CFD">
      <w:pPr>
        <w:pStyle w:val="9"/>
        <w:spacing w:after="0"/>
        <w:rPr>
          <w:rFonts w:hint="eastAsia"/>
        </w:rPr>
      </w:pPr>
      <w:r>
        <w:rPr>
          <w:rFonts w:hint="eastAsia"/>
        </w:rPr>
        <w:t>前千禧年论者也喜欢指出阿摩司书9:13-14，他们声称这预示了我们现在或不久将在现代以色列国看到的农业丰产。</w:t>
      </w:r>
    </w:p>
    <w:p w14:paraId="31767E61">
      <w:pPr>
        <w:pStyle w:val="9"/>
        <w:spacing w:after="0"/>
        <w:rPr>
          <w:rFonts w:hint="eastAsia"/>
        </w:rPr>
      </w:pPr>
    </w:p>
    <w:p w14:paraId="36BAB401">
      <w:pPr>
        <w:pStyle w:val="9"/>
        <w:spacing w:after="0"/>
        <w:rPr>
          <w:rFonts w:hint="eastAsia"/>
        </w:rPr>
      </w:pPr>
      <w:r>
        <w:rPr>
          <w:rFonts w:hint="eastAsia"/>
        </w:rPr>
        <w:t>However, the NCH supplies a far more edifying interpretation, finding here a beautiful prophecy, cast in rich OT symbolism, of the eternal fruitfulness of the Church in the Paradise of God, the new heavens and the new earth (Rev 2:7, 22:2, 22:14).</w:t>
      </w:r>
    </w:p>
    <w:p w14:paraId="7B889D2B">
      <w:pPr>
        <w:pStyle w:val="9"/>
        <w:spacing w:after="0"/>
        <w:rPr>
          <w:rFonts w:hint="eastAsia"/>
        </w:rPr>
      </w:pPr>
      <w:r>
        <w:rPr>
          <w:rFonts w:hint="eastAsia"/>
        </w:rPr>
        <w:t>然而，新约释经学（NCH）提供了一个远为更有造就的解释，在这里发现了一个美丽的预言，用丰富的旧约象征主义，描绘了教会在神的乐园，即新天新地中永恒的丰产（启2:7, 22:2, 22:14）。</w:t>
      </w:r>
    </w:p>
    <w:p w14:paraId="59032A62">
      <w:pPr>
        <w:pStyle w:val="9"/>
        <w:spacing w:after="0"/>
        <w:rPr>
          <w:rFonts w:hint="eastAsia"/>
        </w:rPr>
      </w:pPr>
    </w:p>
    <w:p w14:paraId="2C0789B4">
      <w:pPr>
        <w:pStyle w:val="9"/>
        <w:spacing w:after="0"/>
        <w:rPr>
          <w:rFonts w:hint="eastAsia"/>
        </w:rPr>
      </w:pPr>
      <w:r>
        <w:rPr>
          <w:rFonts w:hint="eastAsia"/>
        </w:rPr>
        <w:t>And we know that this is the correct interpretation because of the verses immediately preceding our text (Amos 9:11-12).</w:t>
      </w:r>
    </w:p>
    <w:p w14:paraId="4B1A2F35">
      <w:pPr>
        <w:pStyle w:val="9"/>
        <w:spacing w:after="0"/>
        <w:rPr>
          <w:rFonts w:hint="eastAsia"/>
        </w:rPr>
      </w:pPr>
      <w:r>
        <w:rPr>
          <w:rFonts w:hint="eastAsia"/>
        </w:rPr>
        <w:t>我们知道这是正确的解释，因为在我们所讨论经文之前紧邻的几节经文（摩9:11-12）。</w:t>
      </w:r>
    </w:p>
    <w:p w14:paraId="11A3EBC0">
      <w:pPr>
        <w:pStyle w:val="9"/>
        <w:spacing w:after="0"/>
        <w:rPr>
          <w:rFonts w:hint="eastAsia"/>
        </w:rPr>
      </w:pPr>
    </w:p>
    <w:p w14:paraId="44BA5FAB">
      <w:pPr>
        <w:pStyle w:val="9"/>
        <w:spacing w:after="0"/>
        <w:rPr>
          <w:rFonts w:hint="eastAsia"/>
        </w:rPr>
      </w:pPr>
      <w:r>
        <w:rPr>
          <w:rFonts w:hint="eastAsia"/>
        </w:rPr>
        <w:t>According to the explicit teaching of the NT, these speak of the eschatological restoration of the fallen Davidic dynasty through the birth and growth of the Christian Church, a growth that includes the gathering of all the Gentiles who are called by God’s name, after which comes the end and Paradise (Acts 15:16-18).</w:t>
      </w:r>
    </w:p>
    <w:p w14:paraId="1B8625DD">
      <w:pPr>
        <w:pStyle w:val="9"/>
        <w:spacing w:after="0"/>
        <w:rPr>
          <w:rFonts w:hint="eastAsia"/>
        </w:rPr>
      </w:pPr>
      <w:r>
        <w:rPr>
          <w:rFonts w:hint="eastAsia"/>
        </w:rPr>
        <w:t>根据新约明确的教导，这些经文谈论的是，堕落的大卫王朝通过基督教会的诞生和成长而得到的末世论复兴，这种成长包括了所有称为神名下的外邦人的聚集，此后就是末日和乐园（徒15:16-18）。</w:t>
      </w:r>
    </w:p>
    <w:p w14:paraId="064D18F7">
      <w:pPr>
        <w:pStyle w:val="9"/>
        <w:spacing w:after="0"/>
        <w:rPr>
          <w:rFonts w:hint="eastAsia"/>
        </w:rPr>
      </w:pPr>
    </w:p>
    <w:p w14:paraId="2F23C6E1">
      <w:pPr>
        <w:pStyle w:val="9"/>
        <w:spacing w:after="0"/>
        <w:rPr>
          <w:rFonts w:hint="eastAsia"/>
        </w:rPr>
      </w:pPr>
      <w:r>
        <w:rPr>
          <w:rFonts w:hint="eastAsia"/>
        </w:rPr>
        <w:t>Finally, we have Zechariah 8:1-8, yet another picturesque prophecy of the restoration of God’s people to their eternal homeland and holy city, Jerusalem.</w:t>
      </w:r>
    </w:p>
    <w:p w14:paraId="66D030B5">
      <w:pPr>
        <w:pStyle w:val="9"/>
        <w:spacing w:after="0"/>
        <w:rPr>
          <w:rFonts w:hint="eastAsia"/>
        </w:rPr>
      </w:pPr>
      <w:r>
        <w:rPr>
          <w:rFonts w:hint="eastAsia"/>
        </w:rPr>
        <w:t>最后，我们有撒迦利亚书8:1-8，这是又一个描绘神子民回归他们永恒家园和圣城耶路撒冷的美丽预言。</w:t>
      </w:r>
    </w:p>
    <w:p w14:paraId="0E8D10F2">
      <w:pPr>
        <w:pStyle w:val="9"/>
        <w:spacing w:after="0"/>
        <w:rPr>
          <w:rFonts w:hint="eastAsia"/>
        </w:rPr>
      </w:pPr>
    </w:p>
    <w:p w14:paraId="342BF406">
      <w:pPr>
        <w:pStyle w:val="9"/>
        <w:spacing w:after="0"/>
        <w:rPr>
          <w:rFonts w:hint="eastAsia"/>
        </w:rPr>
      </w:pPr>
      <w:r>
        <w:rPr>
          <w:rFonts w:hint="eastAsia"/>
        </w:rPr>
        <w:t>Premillennarians confidently assert that this too was fulfilled in 1948, or that it will be fulfilled in yet another migration of Jews to Palestine, since it was written after the restoration under Ezra and Nehemiah.</w:t>
      </w:r>
    </w:p>
    <w:p w14:paraId="3CF05E77">
      <w:pPr>
        <w:pStyle w:val="9"/>
        <w:spacing w:after="0"/>
        <w:rPr>
          <w:rFonts w:hint="eastAsia"/>
        </w:rPr>
      </w:pPr>
      <w:r>
        <w:rPr>
          <w:rFonts w:hint="eastAsia"/>
        </w:rPr>
        <w:t>前千禧年论者确信地断言，这个预言也在1948年应验了，或者将在另一次犹太人迁往巴勒斯坦的过程中应验，因为它是在以斯拉和尼希米之后的复兴之后写成的。</w:t>
      </w:r>
    </w:p>
    <w:p w14:paraId="4C8A5FAD">
      <w:pPr>
        <w:pStyle w:val="9"/>
        <w:spacing w:after="0"/>
        <w:rPr>
          <w:rFonts w:hint="eastAsia"/>
        </w:rPr>
      </w:pPr>
    </w:p>
    <w:p w14:paraId="623BAD5C">
      <w:pPr>
        <w:pStyle w:val="9"/>
        <w:spacing w:after="0"/>
        <w:rPr>
          <w:rFonts w:hint="eastAsia"/>
        </w:rPr>
      </w:pPr>
      <w:r>
        <w:rPr>
          <w:rFonts w:hint="eastAsia"/>
        </w:rPr>
        <w:t>However, even a cursory reading of this heart-warming text will persuade the reader that the happy scenes depicted therein cannot possibly speak of life in modern war-torn Israel.</w:t>
      </w:r>
    </w:p>
    <w:p w14:paraId="6E1F9557">
      <w:pPr>
        <w:pStyle w:val="9"/>
        <w:spacing w:after="0"/>
        <w:rPr>
          <w:rFonts w:hint="eastAsia"/>
        </w:rPr>
      </w:pPr>
      <w:r>
        <w:rPr>
          <w:rFonts w:hint="eastAsia"/>
        </w:rPr>
        <w:t>然而，即使是对这段暖心经文的粗略阅读，也会让读者相信，其中所描绘的幸福场景，不可能是在谈论现代战火纷飞的以色列的生活。</w:t>
      </w:r>
    </w:p>
    <w:p w14:paraId="238BE741">
      <w:pPr>
        <w:pStyle w:val="9"/>
        <w:spacing w:after="0"/>
        <w:rPr>
          <w:rFonts w:hint="eastAsia"/>
        </w:rPr>
      </w:pPr>
    </w:p>
    <w:p w14:paraId="618107E0">
      <w:pPr>
        <w:pStyle w:val="9"/>
        <w:spacing w:after="0"/>
        <w:rPr>
          <w:rFonts w:hint="eastAsia"/>
        </w:rPr>
      </w:pPr>
      <w:r>
        <w:rPr>
          <w:rFonts w:hint="eastAsia"/>
        </w:rPr>
        <w:t>No, as we saw earlier, this prophecy uses familiar OT imagery to speak of the blessedness of Christ’s Church, both in the present Era of Proclamation, and also in the World to Come .</w:t>
      </w:r>
    </w:p>
    <w:p w14:paraId="7948F9D7">
      <w:pPr>
        <w:pStyle w:val="9"/>
        <w:spacing w:after="0"/>
        <w:rPr>
          <w:rFonts w:hint="eastAsia"/>
        </w:rPr>
      </w:pPr>
      <w:r>
        <w:rPr>
          <w:rFonts w:hint="eastAsia"/>
        </w:rPr>
        <w:t>不，正如我们早先看到的，这个预言使用人们熟悉的旧约意象，来谈论基督教会的福分，既是在现今的传讲时代，也是在来世。</w:t>
      </w:r>
    </w:p>
    <w:p w14:paraId="7BA27A36">
      <w:pPr>
        <w:pStyle w:val="9"/>
        <w:spacing w:after="0"/>
        <w:rPr>
          <w:rFonts w:hint="eastAsia"/>
        </w:rPr>
      </w:pPr>
    </w:p>
    <w:p w14:paraId="78A35EB2">
      <w:pPr>
        <w:pStyle w:val="9"/>
        <w:spacing w:after="0"/>
        <w:rPr>
          <w:rFonts w:hint="eastAsia"/>
        </w:rPr>
      </w:pPr>
      <w:r>
        <w:rPr>
          <w:rFonts w:hint="eastAsia"/>
        </w:rPr>
        <w:t>And so too do all the other OTKP’s that premillennarians cite to defend their notion that the Bible predicts a latter-day return of ethnic Israel to their ancient homeland in Palestine.</w:t>
      </w:r>
    </w:p>
    <w:p w14:paraId="4C7AA9FE">
      <w:pPr>
        <w:pStyle w:val="9"/>
        <w:spacing w:after="0"/>
        <w:rPr>
          <w:rFonts w:hint="eastAsia"/>
        </w:rPr>
      </w:pPr>
      <w:r>
        <w:rPr>
          <w:rFonts w:hint="eastAsia"/>
        </w:rPr>
        <w:t>所有其他前千禧年论者用以捍卫他们关于圣经预言末后种族以色列人回归他们在巴勒斯坦古老家园的观念的旧约国度预言也是如此。</w:t>
      </w:r>
    </w:p>
    <w:p w14:paraId="735B0AAA">
      <w:pPr>
        <w:pStyle w:val="9"/>
        <w:spacing w:after="0"/>
        <w:rPr>
          <w:rFonts w:hint="eastAsia"/>
        </w:rPr>
      </w:pPr>
    </w:p>
    <w:p w14:paraId="7A726331">
      <w:pPr>
        <w:pStyle w:val="9"/>
        <w:spacing w:after="0"/>
        <w:rPr>
          <w:rFonts w:hint="eastAsia"/>
        </w:rPr>
      </w:pPr>
      <w:r>
        <w:rPr>
          <w:rFonts w:hint="eastAsia"/>
        </w:rPr>
        <w:t>How are we to understand the creation of a modern Israeli state?</w:t>
      </w:r>
    </w:p>
    <w:p w14:paraId="67799214">
      <w:pPr>
        <w:pStyle w:val="9"/>
        <w:spacing w:after="0"/>
        <w:rPr>
          <w:rFonts w:hint="eastAsia"/>
        </w:rPr>
      </w:pPr>
      <w:r>
        <w:rPr>
          <w:rFonts w:hint="eastAsia"/>
        </w:rPr>
        <w:t>我们该如何理解现代以色列国的建立？</w:t>
      </w:r>
    </w:p>
    <w:p w14:paraId="7E4B25E5">
      <w:pPr>
        <w:pStyle w:val="9"/>
        <w:spacing w:after="0"/>
        <w:rPr>
          <w:rFonts w:hint="eastAsia"/>
        </w:rPr>
      </w:pPr>
    </w:p>
    <w:p w14:paraId="5FD99E03">
      <w:pPr>
        <w:pStyle w:val="9"/>
        <w:spacing w:after="0"/>
        <w:rPr>
          <w:rFonts w:hint="eastAsia"/>
        </w:rPr>
      </w:pPr>
      <w:r>
        <w:rPr>
          <w:rFonts w:hint="eastAsia"/>
        </w:rPr>
        <w:t>Certainly every Bible-believing Christian senses in his spirit that the creation of the modern Jewish state is a remarkable act of God’s providence, an act that cannot be without eschatological significance.</w:t>
      </w:r>
    </w:p>
    <w:p w14:paraId="722BD618">
      <w:pPr>
        <w:pStyle w:val="9"/>
        <w:spacing w:after="0"/>
        <w:rPr>
          <w:rFonts w:hint="eastAsia"/>
        </w:rPr>
      </w:pPr>
      <w:r>
        <w:rPr>
          <w:rFonts w:hint="eastAsia"/>
        </w:rPr>
        <w:t>当然，每一个相信圣经的基督徒，都在他的灵里感觉到，现代犹太国家的建立是神护理中一个非凡的作为，一个不可能没有末世论意义的作为。</w:t>
      </w:r>
    </w:p>
    <w:p w14:paraId="1B06F5E0">
      <w:pPr>
        <w:pStyle w:val="9"/>
        <w:spacing w:after="0"/>
        <w:rPr>
          <w:rFonts w:hint="eastAsia"/>
        </w:rPr>
      </w:pPr>
    </w:p>
    <w:p w14:paraId="4BC085CF">
      <w:pPr>
        <w:pStyle w:val="9"/>
        <w:spacing w:after="0"/>
        <w:rPr>
          <w:rFonts w:hint="eastAsia"/>
        </w:rPr>
      </w:pPr>
      <w:r>
        <w:rPr>
          <w:rFonts w:hint="eastAsia"/>
        </w:rPr>
        <w:t>Indeed, I imagine that even unbelievers, in their unguarded moments, find this unexpected phenomenon arresting, even troubling; that they cannot help but marvel at the preservation of Abraham’s physical seed over centuries of struggle, marginalization, persecution, and near destruction; and that they cannot help but see the invisible hand of the living God hovering over the events of 1948, moving purposefully and lovingly over his lost and scattered OT people.</w:t>
      </w:r>
    </w:p>
    <w:p w14:paraId="6E8F48C6">
      <w:pPr>
        <w:pStyle w:val="9"/>
        <w:spacing w:after="0"/>
        <w:rPr>
          <w:rFonts w:hint="eastAsia"/>
        </w:rPr>
      </w:pPr>
      <w:r>
        <w:rPr>
          <w:rFonts w:hint="eastAsia"/>
        </w:rPr>
        <w:t>的确，我想象即使是不信的人，在他们不设防的时刻，也会觉得这个意想不到的现象引人注目，甚至令人不安；他们不禁惊叹亚伯拉罕肉身后裔，在历经数世纪的挣扎、边缘化、迫害和几近毁灭后仍得以保存；他们也不禁看到永生神那看不见的手，盘旋在1948年的事件之上，有目的地、慈爱地运行在祂那失丧、分散的旧约子民身上。</w:t>
      </w:r>
    </w:p>
    <w:p w14:paraId="40408CF6">
      <w:pPr>
        <w:pStyle w:val="9"/>
        <w:spacing w:after="0"/>
        <w:rPr>
          <w:rFonts w:hint="eastAsia"/>
        </w:rPr>
      </w:pPr>
    </w:p>
    <w:p w14:paraId="6B333072">
      <w:pPr>
        <w:pStyle w:val="9"/>
        <w:spacing w:after="0"/>
        <w:rPr>
          <w:rFonts w:hint="eastAsia"/>
        </w:rPr>
      </w:pPr>
      <w:r>
        <w:rPr>
          <w:rFonts w:hint="eastAsia"/>
        </w:rPr>
        <w:t>Some things we all know in our knower.</w:t>
      </w:r>
    </w:p>
    <w:p w14:paraId="13B98612">
      <w:pPr>
        <w:pStyle w:val="9"/>
        <w:spacing w:after="0"/>
        <w:rPr>
          <w:rFonts w:hint="eastAsia"/>
        </w:rPr>
      </w:pPr>
      <w:r>
        <w:rPr>
          <w:rFonts w:hint="eastAsia"/>
        </w:rPr>
        <w:t>有些事，我们都在我们的知觉深处知道。</w:t>
      </w:r>
    </w:p>
    <w:p w14:paraId="2755623F">
      <w:pPr>
        <w:pStyle w:val="9"/>
        <w:spacing w:after="0"/>
        <w:rPr>
          <w:rFonts w:hint="eastAsia"/>
        </w:rPr>
      </w:pPr>
    </w:p>
    <w:p w14:paraId="71B8E1A6">
      <w:pPr>
        <w:pStyle w:val="9"/>
        <w:spacing w:after="0"/>
        <w:rPr>
          <w:rFonts w:hint="eastAsia"/>
        </w:rPr>
      </w:pPr>
      <w:r>
        <w:rPr>
          <w:rFonts w:hint="eastAsia"/>
        </w:rPr>
        <w:t>God’s abiding concern for ethnic Israel is one of them.</w:t>
      </w:r>
    </w:p>
    <w:p w14:paraId="13C0EAE6">
      <w:pPr>
        <w:pStyle w:val="9"/>
        <w:spacing w:after="0"/>
        <w:rPr>
          <w:rFonts w:hint="eastAsia"/>
        </w:rPr>
      </w:pPr>
      <w:r>
        <w:rPr>
          <w:rFonts w:hint="eastAsia"/>
        </w:rPr>
        <w:t>神对种族以色列人持久的关怀就是其中之一。</w:t>
      </w:r>
    </w:p>
    <w:p w14:paraId="10C9127A">
      <w:pPr>
        <w:pStyle w:val="9"/>
        <w:spacing w:after="0"/>
        <w:rPr>
          <w:rFonts w:hint="eastAsia"/>
        </w:rPr>
      </w:pPr>
    </w:p>
    <w:p w14:paraId="3108D1CE">
      <w:pPr>
        <w:pStyle w:val="9"/>
        <w:spacing w:after="0"/>
        <w:rPr>
          <w:rFonts w:hint="eastAsia"/>
        </w:rPr>
      </w:pPr>
      <w:r>
        <w:rPr>
          <w:rFonts w:hint="eastAsia"/>
        </w:rPr>
        <w:t>The great question, however, is this: What exactly does God mean by this thought-provoking historical development?</w:t>
      </w:r>
    </w:p>
    <w:p w14:paraId="0B49A5AF">
      <w:pPr>
        <w:pStyle w:val="9"/>
        <w:spacing w:after="0"/>
        <w:rPr>
          <w:rFonts w:hint="eastAsia"/>
        </w:rPr>
      </w:pPr>
      <w:r>
        <w:rPr>
          <w:rFonts w:hint="eastAsia"/>
        </w:rPr>
        <w:t>然而，重大的问题是：神通过这个发人深省的历史发展，到底意味着什么？</w:t>
      </w:r>
    </w:p>
    <w:p w14:paraId="63343141">
      <w:pPr>
        <w:pStyle w:val="9"/>
        <w:spacing w:after="0"/>
        <w:rPr>
          <w:rFonts w:hint="eastAsia"/>
        </w:rPr>
      </w:pPr>
    </w:p>
    <w:p w14:paraId="16940CDD">
      <w:pPr>
        <w:pStyle w:val="9"/>
        <w:spacing w:after="0"/>
        <w:rPr>
          <w:rFonts w:hint="eastAsia"/>
        </w:rPr>
      </w:pPr>
      <w:r>
        <w:rPr>
          <w:rFonts w:hint="eastAsia"/>
        </w:rPr>
        <w:t>Here, and in the body of my book, I have stated forthrightly what I think it does not mean: It does not mean that God is literally fulfilling OTKP; it does not mean that he is placing ethnic Israel on center stage for the wrap-up of Salvation History; it does not mean that he is raising up 144,000 Jewish evangelists; it does not mean he is preparing for a great battle on the slopes of Mt. Meggido, or for a global assault on physical Jerusalem, or for a national conversion at the premillennial return of Christ, or for a thousand years of temple worship in Palestine, etc.</w:t>
      </w:r>
    </w:p>
    <w:p w14:paraId="45FD7244">
      <w:pPr>
        <w:pStyle w:val="9"/>
        <w:spacing w:after="0"/>
        <w:rPr>
          <w:rFonts w:hint="eastAsia"/>
        </w:rPr>
      </w:pPr>
      <w:r>
        <w:rPr>
          <w:rFonts w:hint="eastAsia"/>
        </w:rPr>
        <w:t>在这里，以及在我的书的正文中，我已经直率地陈述了我认为它不意味着什么：它不意味着神正在按字面意思应验旧约国度预言；它不意味着祂正在将种族以色列人置于救赎历史收官的中心舞台；它不意味着祂正在兴起144,000名犹太传道人；它不意味着祂正在为米吉多山坡上的一场大战，或对属物质的耶路撒冷的全球性攻击，或在基督前千禧年再来时的全国性归信，或在巴勒斯坦一千年的圣殿敬拜等作准备。</w:t>
      </w:r>
    </w:p>
    <w:p w14:paraId="41898547">
      <w:pPr>
        <w:pStyle w:val="9"/>
        <w:spacing w:after="0"/>
        <w:rPr>
          <w:rFonts w:hint="eastAsia"/>
        </w:rPr>
      </w:pPr>
    </w:p>
    <w:p w14:paraId="46AD2FFE">
      <w:pPr>
        <w:pStyle w:val="9"/>
        <w:spacing w:after="0"/>
        <w:rPr>
          <w:rFonts w:hint="eastAsia"/>
        </w:rPr>
      </w:pPr>
      <w:r>
        <w:rPr>
          <w:rFonts w:hint="eastAsia"/>
        </w:rPr>
        <w:t>In short, the creation of the modern nation of Israel does not vindicate historic or dispensational premillennialism.</w:t>
      </w:r>
    </w:p>
    <w:p w14:paraId="59439536">
      <w:pPr>
        <w:pStyle w:val="9"/>
        <w:spacing w:after="0"/>
        <w:rPr>
          <w:rFonts w:hint="eastAsia"/>
        </w:rPr>
      </w:pPr>
      <w:r>
        <w:rPr>
          <w:rFonts w:hint="eastAsia"/>
        </w:rPr>
        <w:t>简而言之，现代以色列国的建立，并不能证明历史前千禧年论或时代论前千禧年论的正确性。</w:t>
      </w:r>
    </w:p>
    <w:p w14:paraId="524EB01E">
      <w:pPr>
        <w:pStyle w:val="9"/>
        <w:spacing w:after="0"/>
        <w:rPr>
          <w:rFonts w:hint="eastAsia"/>
        </w:rPr>
      </w:pPr>
    </w:p>
    <w:p w14:paraId="4F5C31BF">
      <w:pPr>
        <w:pStyle w:val="9"/>
        <w:spacing w:after="0"/>
        <w:rPr>
          <w:rFonts w:hint="eastAsia"/>
        </w:rPr>
      </w:pPr>
      <w:r>
        <w:rPr>
          <w:rFonts w:hint="eastAsia"/>
        </w:rPr>
        <w:t>This does not mean, however, that the event is without eschatological significance.</w:t>
      </w:r>
    </w:p>
    <w:p w14:paraId="2532C8CF">
      <w:pPr>
        <w:pStyle w:val="9"/>
        <w:spacing w:after="0"/>
        <w:rPr>
          <w:rFonts w:hint="eastAsia"/>
        </w:rPr>
      </w:pPr>
      <w:r>
        <w:rPr>
          <w:rFonts w:hint="eastAsia"/>
        </w:rPr>
        <w:t>然而，这并不意味着该事件没有末世论的意义。</w:t>
      </w:r>
    </w:p>
    <w:p w14:paraId="2DE986B6">
      <w:pPr>
        <w:pStyle w:val="9"/>
        <w:spacing w:after="0"/>
        <w:rPr>
          <w:rFonts w:hint="eastAsia"/>
        </w:rPr>
      </w:pPr>
    </w:p>
    <w:p w14:paraId="529705E0">
      <w:pPr>
        <w:pStyle w:val="9"/>
        <w:spacing w:after="0"/>
        <w:rPr>
          <w:rFonts w:hint="eastAsia"/>
        </w:rPr>
      </w:pPr>
      <w:r>
        <w:rPr>
          <w:rFonts w:hint="eastAsia"/>
        </w:rPr>
        <w:t>To reject the premillennial interpretation of ethnic Israel’s return to Palestine is not to make it into mere accident of history.</w:t>
      </w:r>
    </w:p>
    <w:p w14:paraId="2275A9B0">
      <w:pPr>
        <w:pStyle w:val="9"/>
        <w:spacing w:after="0"/>
        <w:rPr>
          <w:rFonts w:hint="eastAsia"/>
        </w:rPr>
      </w:pPr>
      <w:r>
        <w:rPr>
          <w:rFonts w:hint="eastAsia"/>
        </w:rPr>
        <w:t>拒绝前千禧年论对种族以色列人回归巴勒斯坦的解释，并不等于将其视为纯粹的历史偶然。</w:t>
      </w:r>
    </w:p>
    <w:p w14:paraId="18D8BE0B">
      <w:pPr>
        <w:pStyle w:val="9"/>
        <w:spacing w:after="0"/>
        <w:rPr>
          <w:rFonts w:hint="eastAsia"/>
        </w:rPr>
      </w:pPr>
    </w:p>
    <w:p w14:paraId="415D4425">
      <w:pPr>
        <w:pStyle w:val="9"/>
        <w:spacing w:after="0"/>
        <w:rPr>
          <w:rFonts w:hint="eastAsia"/>
        </w:rPr>
      </w:pPr>
      <w:r>
        <w:rPr>
          <w:rFonts w:hint="eastAsia"/>
        </w:rPr>
        <w:t>But if in fact it is not an historical accident, we are brought again to the question with which we opened this discussion: What does the birth of modern national Israel mean?</w:t>
      </w:r>
    </w:p>
    <w:p w14:paraId="3AD11273">
      <w:pPr>
        <w:pStyle w:val="9"/>
        <w:spacing w:after="0"/>
        <w:rPr>
          <w:rFonts w:hint="eastAsia"/>
        </w:rPr>
      </w:pPr>
      <w:r>
        <w:rPr>
          <w:rFonts w:hint="eastAsia"/>
        </w:rPr>
        <w:t>但如果它事实上不是一个历史的偶然，我们就再次回到我们开始这次讨论时的问题：现代民族以色列的诞生意味着什么？</w:t>
      </w:r>
    </w:p>
    <w:p w14:paraId="17BD734D">
      <w:pPr>
        <w:pStyle w:val="9"/>
        <w:spacing w:after="0"/>
        <w:rPr>
          <w:rFonts w:hint="eastAsia"/>
        </w:rPr>
      </w:pPr>
    </w:p>
    <w:p w14:paraId="71F66B94">
      <w:pPr>
        <w:pStyle w:val="9"/>
        <w:spacing w:after="0"/>
        <w:rPr>
          <w:rFonts w:hint="eastAsia"/>
        </w:rPr>
      </w:pPr>
      <w:r>
        <w:rPr>
          <w:rFonts w:hint="eastAsia"/>
        </w:rPr>
        <w:t>How does it figure into God’s plan of salvation?</w:t>
      </w:r>
    </w:p>
    <w:p w14:paraId="3167E3EB">
      <w:pPr>
        <w:pStyle w:val="9"/>
        <w:spacing w:after="0"/>
        <w:rPr>
          <w:rFonts w:hint="eastAsia"/>
        </w:rPr>
      </w:pPr>
      <w:r>
        <w:rPr>
          <w:rFonts w:hint="eastAsia"/>
        </w:rPr>
        <w:t>它在神的救赎计划中扮演什么角色？</w:t>
      </w:r>
    </w:p>
    <w:p w14:paraId="210A2220">
      <w:pPr>
        <w:pStyle w:val="9"/>
        <w:spacing w:after="0"/>
        <w:rPr>
          <w:rFonts w:hint="eastAsia"/>
        </w:rPr>
      </w:pPr>
    </w:p>
    <w:p w14:paraId="65413640">
      <w:pPr>
        <w:pStyle w:val="9"/>
        <w:spacing w:after="0"/>
        <w:rPr>
          <w:rFonts w:hint="eastAsia"/>
        </w:rPr>
      </w:pPr>
      <w:r>
        <w:rPr>
          <w:rFonts w:hint="eastAsia"/>
        </w:rPr>
        <w:t>What is its eschatological significance?</w:t>
      </w:r>
    </w:p>
    <w:p w14:paraId="6314B065">
      <w:pPr>
        <w:pStyle w:val="9"/>
        <w:spacing w:after="0"/>
        <w:rPr>
          <w:rFonts w:hint="eastAsia"/>
        </w:rPr>
      </w:pPr>
      <w:r>
        <w:rPr>
          <w:rFonts w:hint="eastAsia"/>
        </w:rPr>
        <w:t>它的末世论意义是什么？</w:t>
      </w:r>
    </w:p>
    <w:p w14:paraId="3C5A062C">
      <w:pPr>
        <w:pStyle w:val="9"/>
        <w:spacing w:after="0"/>
        <w:rPr>
          <w:rFonts w:hint="eastAsia"/>
        </w:rPr>
      </w:pPr>
    </w:p>
    <w:p w14:paraId="5518086C">
      <w:pPr>
        <w:pStyle w:val="9"/>
        <w:spacing w:after="0"/>
        <w:rPr>
          <w:rFonts w:hint="eastAsia"/>
        </w:rPr>
      </w:pPr>
      <w:r>
        <w:rPr>
          <w:rFonts w:hint="eastAsia"/>
        </w:rPr>
        <w:t>Earlier, I suggested a plausible answer to these fascinating questions.</w:t>
      </w:r>
    </w:p>
    <w:p w14:paraId="2D94B22E">
      <w:pPr>
        <w:pStyle w:val="9"/>
        <w:spacing w:after="0"/>
        <w:rPr>
          <w:rFonts w:hint="eastAsia"/>
        </w:rPr>
      </w:pPr>
      <w:r>
        <w:rPr>
          <w:rFonts w:hint="eastAsia"/>
        </w:rPr>
        <w:t>早些时候，我对这些引人入胜的问题提出了一个看似合理的答案。</w:t>
      </w:r>
    </w:p>
    <w:p w14:paraId="0A634AC6">
      <w:pPr>
        <w:pStyle w:val="9"/>
        <w:spacing w:after="0"/>
        <w:rPr>
          <w:rFonts w:hint="eastAsia"/>
        </w:rPr>
      </w:pPr>
    </w:p>
    <w:p w14:paraId="5EDD1534">
      <w:pPr>
        <w:pStyle w:val="9"/>
        <w:spacing w:after="0"/>
        <w:rPr>
          <w:rFonts w:hint="eastAsia"/>
        </w:rPr>
      </w:pPr>
      <w:r>
        <w:rPr>
          <w:rFonts w:hint="eastAsia"/>
        </w:rPr>
        <w:t>In particular, I argued from our exegetical study of Romans 11 that the spiritual rebirth of Israel at large is one of the three or four great NT signs of the imminence of Christ’s Parousia.</w:t>
      </w:r>
    </w:p>
    <w:p w14:paraId="5906E539">
      <w:pPr>
        <w:pStyle w:val="9"/>
        <w:spacing w:after="0"/>
        <w:rPr>
          <w:rFonts w:hint="eastAsia"/>
        </w:rPr>
      </w:pPr>
      <w:r>
        <w:rPr>
          <w:rFonts w:hint="eastAsia"/>
        </w:rPr>
        <w:t>特别是，我从我们对罗马书第11章的解经研究中论证，广大以色列人的属灵重生，是新约中预示基督再来临近的三四个重大预兆之一。</w:t>
      </w:r>
    </w:p>
    <w:p w14:paraId="54351A26">
      <w:pPr>
        <w:pStyle w:val="9"/>
        <w:spacing w:after="0"/>
        <w:rPr>
          <w:rFonts w:hint="eastAsia"/>
        </w:rPr>
      </w:pPr>
    </w:p>
    <w:p w14:paraId="30DFC335">
      <w:pPr>
        <w:pStyle w:val="9"/>
        <w:spacing w:after="0"/>
        <w:rPr>
          <w:rFonts w:hint="eastAsia"/>
        </w:rPr>
      </w:pPr>
      <w:r>
        <w:rPr>
          <w:rFonts w:hint="eastAsia"/>
        </w:rPr>
        <w:t>As Paul wrote, “If their rejection be the reconciliation of the world, what will their acceptance be, if not life from the dead” (Rom. 11:15)?</w:t>
      </w:r>
    </w:p>
    <w:p w14:paraId="10F0E7CC">
      <w:pPr>
        <w:pStyle w:val="9"/>
        <w:spacing w:after="0"/>
        <w:rPr>
          <w:rFonts w:hint="eastAsia"/>
        </w:rPr>
      </w:pPr>
      <w:r>
        <w:rPr>
          <w:rFonts w:hint="eastAsia"/>
        </w:rPr>
        <w:t>正如保罗所写：“若他们被丢弃，天下就得与神和好，他们被收纳，岂不是死而复生吗？”（罗11:15）？</w:t>
      </w:r>
    </w:p>
    <w:p w14:paraId="1FE80582">
      <w:pPr>
        <w:pStyle w:val="9"/>
        <w:spacing w:after="0"/>
        <w:rPr>
          <w:rFonts w:hint="eastAsia"/>
        </w:rPr>
      </w:pPr>
    </w:p>
    <w:p w14:paraId="6EBB85B3">
      <w:pPr>
        <w:pStyle w:val="9"/>
        <w:spacing w:after="0"/>
        <w:rPr>
          <w:rFonts w:hint="eastAsia"/>
        </w:rPr>
      </w:pPr>
      <w:r>
        <w:rPr>
          <w:rFonts w:hint="eastAsia"/>
        </w:rPr>
        <w:t>The creation of the modern Israel fits well into this scenario.</w:t>
      </w:r>
    </w:p>
    <w:p w14:paraId="7CE8BB1C">
      <w:pPr>
        <w:pStyle w:val="9"/>
        <w:spacing w:after="0"/>
        <w:rPr>
          <w:rFonts w:hint="eastAsia"/>
        </w:rPr>
      </w:pPr>
      <w:r>
        <w:rPr>
          <w:rFonts w:hint="eastAsia"/>
        </w:rPr>
        <w:t>现代以色列的建立很符合这个设想。</w:t>
      </w:r>
    </w:p>
    <w:p w14:paraId="608B6CFF">
      <w:pPr>
        <w:pStyle w:val="9"/>
        <w:spacing w:after="0"/>
        <w:rPr>
          <w:rFonts w:hint="eastAsia"/>
        </w:rPr>
      </w:pPr>
    </w:p>
    <w:p w14:paraId="53EBCE9F">
      <w:pPr>
        <w:pStyle w:val="9"/>
        <w:spacing w:after="0"/>
        <w:rPr>
          <w:rFonts w:hint="eastAsia"/>
        </w:rPr>
      </w:pPr>
      <w:r>
        <w:rPr>
          <w:rFonts w:hint="eastAsia"/>
        </w:rPr>
        <w:t>Indeed, the words of our Lord himself may well teach this very thing; for when, some two thousand years ago, he spoke God’s word of judgment over ethnic Jerusalem and Israel, he also left them—and us—with a notable glimmer of hope:</w:t>
      </w:r>
    </w:p>
    <w:p w14:paraId="4A273E4B">
      <w:pPr>
        <w:pStyle w:val="9"/>
        <w:spacing w:after="0"/>
        <w:rPr>
          <w:rFonts w:hint="eastAsia"/>
        </w:rPr>
      </w:pPr>
      <w:r>
        <w:rPr>
          <w:rFonts w:hint="eastAsia"/>
        </w:rPr>
        <w:t>的确，我们主自己的话语很可能也教导了这件事；因为当祂在大约两千年前，对种族上的耶路撒冷和以色列宣告了神审判的话语时，祂也给他们——和我们——留下了一线显著的希望：</w:t>
      </w:r>
    </w:p>
    <w:p w14:paraId="584CA960">
      <w:pPr>
        <w:pStyle w:val="9"/>
        <w:spacing w:after="0"/>
        <w:rPr>
          <w:rFonts w:hint="eastAsia"/>
        </w:rPr>
      </w:pPr>
    </w:p>
    <w:p w14:paraId="60B07D5C">
      <w:pPr>
        <w:pStyle w:val="9"/>
        <w:spacing w:after="0"/>
        <w:rPr>
          <w:rFonts w:hint="eastAsia"/>
        </w:rPr>
      </w:pPr>
      <w:r>
        <w:rPr>
          <w:rFonts w:hint="eastAsia"/>
        </w:rPr>
        <w:t>Woe to those who are pregnant and to those who are nursing babies in those days; for there will be great distress upon the land and wrath to this people; and they will fall by the edge of the sword, and will be led captive into all the nations; and Jerusalem will be trampled under foot by the Gentiles until the times of the Gentiles are fulfilled.</w:t>
      </w:r>
    </w:p>
    <w:p w14:paraId="6194D4E7">
      <w:pPr>
        <w:pStyle w:val="9"/>
        <w:spacing w:after="0"/>
        <w:rPr>
          <w:rFonts w:hint="eastAsia"/>
        </w:rPr>
      </w:pPr>
      <w:r>
        <w:rPr>
          <w:rFonts w:hint="eastAsia"/>
        </w:rPr>
        <w:t>当那些日子，怀孕的和奶孩子的有祸了；因为将有大灾难降在这地，又有震怒临到这民；他们要倒在刀刃下，又被掳到各国去；耶路撒冷要被外邦人践踏，直到外邦人的日期满了。</w:t>
      </w:r>
    </w:p>
    <w:p w14:paraId="36877766">
      <w:pPr>
        <w:pStyle w:val="9"/>
        <w:spacing w:after="0"/>
        <w:rPr>
          <w:rFonts w:hint="eastAsia"/>
        </w:rPr>
      </w:pPr>
    </w:p>
    <w:p w14:paraId="064AFDBB">
      <w:pPr>
        <w:pStyle w:val="9"/>
        <w:spacing w:after="0"/>
        <w:rPr>
          <w:rFonts w:hint="eastAsia"/>
        </w:rPr>
      </w:pPr>
      <w:r>
        <w:rPr>
          <w:rFonts w:hint="eastAsia"/>
        </w:rPr>
        <w:t>—Luke 21:23-24</w:t>
      </w:r>
    </w:p>
    <w:p w14:paraId="35518119">
      <w:pPr>
        <w:pStyle w:val="9"/>
        <w:spacing w:after="0"/>
        <w:rPr>
          <w:rFonts w:hint="eastAsia"/>
        </w:rPr>
      </w:pPr>
      <w:r>
        <w:rPr>
          <w:rFonts w:hint="eastAsia"/>
        </w:rPr>
        <w:t>—路加福音 21:23-24</w:t>
      </w:r>
    </w:p>
    <w:p w14:paraId="308BC5CA">
      <w:pPr>
        <w:pStyle w:val="9"/>
        <w:spacing w:after="0"/>
        <w:rPr>
          <w:rFonts w:hint="eastAsia"/>
        </w:rPr>
      </w:pPr>
    </w:p>
    <w:p w14:paraId="6D0C1B32">
      <w:pPr>
        <w:pStyle w:val="9"/>
        <w:spacing w:after="0"/>
        <w:rPr>
          <w:rFonts w:hint="eastAsia"/>
        </w:rPr>
      </w:pPr>
      <w:r>
        <w:rPr>
          <w:rFonts w:hint="eastAsia"/>
        </w:rPr>
        <w:t>Now, it is certainly the case that since 1948 the Gentiles are no longer trampling earthly Jerusalem underfoot.</w:t>
      </w:r>
    </w:p>
    <w:p w14:paraId="33CDEFDA">
      <w:pPr>
        <w:pStyle w:val="9"/>
        <w:spacing w:after="0"/>
        <w:rPr>
          <w:rFonts w:hint="eastAsia"/>
        </w:rPr>
      </w:pPr>
      <w:r>
        <w:rPr>
          <w:rFonts w:hint="eastAsia"/>
        </w:rPr>
        <w:t>现在，可以肯定的是，自1948年以来，外邦人已不再践踏地上的耶路撒冷。</w:t>
      </w:r>
    </w:p>
    <w:p w14:paraId="3FC2440A">
      <w:pPr>
        <w:pStyle w:val="9"/>
        <w:spacing w:after="0"/>
        <w:rPr>
          <w:rFonts w:hint="eastAsia"/>
        </w:rPr>
      </w:pPr>
    </w:p>
    <w:p w14:paraId="248EFF68">
      <w:pPr>
        <w:pStyle w:val="9"/>
        <w:spacing w:after="0"/>
        <w:rPr>
          <w:rFonts w:hint="eastAsia"/>
        </w:rPr>
      </w:pPr>
      <w:r>
        <w:rPr>
          <w:rFonts w:hint="eastAsia"/>
        </w:rPr>
        <w:t>Could it be, then, that Israel’s unexpected rise to nationhood signals that the times of the Gentiles are now fulfilled; that the Gentile’s (often cruel) domination over the Jewish Dispersion has come to an end; that God’s redemptive thrust into the Gentile world is now nearing its completion; and that, as Paul prophesied, the Gentiles are about to be broken off, while ethnic Israel at large is about to be grafted back in (Rom. 11:17-24)?</w:t>
      </w:r>
    </w:p>
    <w:p w14:paraId="05764945">
      <w:pPr>
        <w:pStyle w:val="9"/>
        <w:spacing w:after="0"/>
        <w:rPr>
          <w:rFonts w:hint="eastAsia"/>
        </w:rPr>
      </w:pPr>
      <w:r>
        <w:rPr>
          <w:rFonts w:hint="eastAsia"/>
        </w:rPr>
        <w:t>那么，以色列出人意料地崛起成为一个国家，是否标志着外邦人的日期如今已经满了；外邦人（常常是残酷的）对散居犹太人的统治已经结束；神对外邦世界的救赎性推进如今已接近完成；并且，正如保罗所预言的，外邦人将要被折下来，而广大的种族以色列人将要被重新接上（罗11:17-24）？</w:t>
      </w:r>
    </w:p>
    <w:p w14:paraId="37954707">
      <w:pPr>
        <w:pStyle w:val="9"/>
        <w:spacing w:after="0"/>
        <w:rPr>
          <w:rFonts w:hint="eastAsia"/>
        </w:rPr>
      </w:pPr>
    </w:p>
    <w:p w14:paraId="1DAB8FE5">
      <w:pPr>
        <w:pStyle w:val="9"/>
        <w:spacing w:after="0"/>
        <w:rPr>
          <w:rFonts w:hint="eastAsia"/>
        </w:rPr>
      </w:pPr>
      <w:r>
        <w:rPr>
          <w:rFonts w:hint="eastAsia"/>
        </w:rPr>
        <w:t>I am strongly inclined to think so.</w:t>
      </w:r>
    </w:p>
    <w:p w14:paraId="19F190C5">
      <w:pPr>
        <w:pStyle w:val="9"/>
        <w:spacing w:after="0"/>
        <w:rPr>
          <w:rFonts w:hint="eastAsia"/>
        </w:rPr>
      </w:pPr>
      <w:r>
        <w:rPr>
          <w:rFonts w:hint="eastAsia"/>
        </w:rPr>
        <w:t>我非常倾向于这么认为。</w:t>
      </w:r>
    </w:p>
    <w:p w14:paraId="33CC5D15">
      <w:pPr>
        <w:pStyle w:val="9"/>
        <w:spacing w:after="0"/>
        <w:rPr>
          <w:rFonts w:hint="eastAsia"/>
        </w:rPr>
      </w:pPr>
    </w:p>
    <w:p w14:paraId="30FDDF34">
      <w:pPr>
        <w:pStyle w:val="9"/>
        <w:spacing w:after="0"/>
        <w:rPr>
          <w:rFonts w:hint="eastAsia"/>
        </w:rPr>
      </w:pPr>
      <w:r>
        <w:rPr>
          <w:rFonts w:hint="eastAsia"/>
        </w:rPr>
        <w:t>And if this is so, it becomes all the more urgent for the Christ’s Church to bring the Gospel to the Jews, not only in Palestine, but wherever they may live.</w:t>
      </w:r>
    </w:p>
    <w:p w14:paraId="313340DA">
      <w:pPr>
        <w:pStyle w:val="9"/>
        <w:spacing w:after="0"/>
        <w:rPr>
          <w:rFonts w:hint="eastAsia"/>
        </w:rPr>
      </w:pPr>
      <w:r>
        <w:rPr>
          <w:rFonts w:hint="eastAsia"/>
        </w:rPr>
        <w:t>如果是这样，那么基督的教会将福音带给犹太人就变得更加紧迫了，不仅是在巴勒斯坦，而是在他们可能居住的任何地方。</w:t>
      </w:r>
    </w:p>
    <w:p w14:paraId="62EC57CC">
      <w:pPr>
        <w:pStyle w:val="9"/>
        <w:spacing w:after="0"/>
        <w:rPr>
          <w:rFonts w:hint="eastAsia"/>
        </w:rPr>
      </w:pPr>
    </w:p>
    <w:p w14:paraId="18A9B658">
      <w:pPr>
        <w:pStyle w:val="9"/>
        <w:spacing w:after="0"/>
        <w:rPr>
          <w:rFonts w:hint="eastAsia"/>
        </w:rPr>
      </w:pPr>
      <w:r>
        <w:rPr>
          <w:rFonts w:hint="eastAsia"/>
        </w:rPr>
        <w:t>Thus shall we serve our Jewish neighbors as we ought.</w:t>
      </w:r>
    </w:p>
    <w:p w14:paraId="211B54B6">
      <w:pPr>
        <w:pStyle w:val="9"/>
        <w:spacing w:after="0"/>
        <w:rPr>
          <w:rFonts w:hint="eastAsia"/>
        </w:rPr>
      </w:pPr>
      <w:r>
        <w:rPr>
          <w:rFonts w:hint="eastAsia"/>
        </w:rPr>
        <w:t>这样，我们才能恰如其分地服事我们的犹太邻居。</w:t>
      </w:r>
    </w:p>
    <w:p w14:paraId="106AA63A">
      <w:pPr>
        <w:pStyle w:val="9"/>
        <w:spacing w:after="0"/>
        <w:rPr>
          <w:rFonts w:hint="eastAsia"/>
        </w:rPr>
      </w:pPr>
    </w:p>
    <w:p w14:paraId="0A9AA0C2">
      <w:pPr>
        <w:pStyle w:val="9"/>
        <w:spacing w:after="0"/>
        <w:rPr>
          <w:rFonts w:hint="eastAsia"/>
        </w:rPr>
      </w:pPr>
      <w:r>
        <w:rPr>
          <w:rFonts w:hint="eastAsia"/>
        </w:rPr>
        <w:t>Thus shall we honor God in remembering that we Gentiles do not support the Jewish root, but the Jewish root supports us (Rom. 11:18).</w:t>
      </w:r>
    </w:p>
    <w:p w14:paraId="20124550">
      <w:pPr>
        <w:pStyle w:val="9"/>
        <w:spacing w:after="0"/>
        <w:rPr>
          <w:rFonts w:hint="eastAsia"/>
        </w:rPr>
      </w:pPr>
      <w:r>
        <w:rPr>
          <w:rFonts w:hint="eastAsia"/>
        </w:rPr>
        <w:t>这样，我们才能在记念我们外邦人不是托着犹太人的根，乃是犹太人的根托着我们时荣耀神（罗11:18）。</w:t>
      </w:r>
    </w:p>
    <w:p w14:paraId="2562EB0F">
      <w:pPr>
        <w:pStyle w:val="9"/>
        <w:spacing w:after="0"/>
        <w:rPr>
          <w:rFonts w:hint="eastAsia"/>
        </w:rPr>
      </w:pPr>
    </w:p>
    <w:p w14:paraId="7BA172EE">
      <w:pPr>
        <w:pStyle w:val="9"/>
        <w:spacing w:after="0"/>
        <w:rPr>
          <w:rFonts w:hint="eastAsia"/>
        </w:rPr>
      </w:pPr>
      <w:r>
        <w:rPr>
          <w:rFonts w:hint="eastAsia"/>
        </w:rPr>
        <w:t>And thus shall we actually hasten the coming of our Lord (2 Peter 3:12).</w:t>
      </w:r>
    </w:p>
    <w:p w14:paraId="63710AAF">
      <w:pPr>
        <w:pStyle w:val="9"/>
        <w:spacing w:after="0"/>
        <w:rPr>
          <w:rFonts w:hint="eastAsia"/>
        </w:rPr>
      </w:pPr>
      <w:r>
        <w:rPr>
          <w:rFonts w:hint="eastAsia"/>
        </w:rPr>
        <w:t>这样，我们实际上也催促了我们主的降临（彼后3:12）。</w:t>
      </w:r>
    </w:p>
    <w:p w14:paraId="03ECE54D">
      <w:pPr>
        <w:pStyle w:val="9"/>
        <w:spacing w:after="0"/>
        <w:rPr>
          <w:rFonts w:hint="eastAsia"/>
        </w:rPr>
      </w:pPr>
    </w:p>
    <w:p w14:paraId="6A6EEC65">
      <w:pPr>
        <w:pStyle w:val="9"/>
        <w:spacing w:after="0"/>
        <w:rPr>
          <w:rFonts w:hint="eastAsia"/>
        </w:rPr>
      </w:pPr>
      <w:r>
        <w:rPr>
          <w:rFonts w:hint="eastAsia"/>
        </w:rPr>
        <w:t>For as he himself told us, when ethnic Israel again learns to say “Blessed is he who comes in the name of the Lord,” then they —and we—shall finally see him again (Mt. 23:39)!</w:t>
      </w:r>
    </w:p>
    <w:p w14:paraId="6C97752B">
      <w:pPr>
        <w:pStyle w:val="9"/>
        <w:spacing w:after="0"/>
        <w:sectPr>
          <w:pgSz w:w="12240" w:h="15840"/>
          <w:pgMar w:top="1380" w:right="1440" w:bottom="280" w:left="1440" w:header="720" w:footer="720" w:gutter="0"/>
          <w:cols w:space="720" w:num="1"/>
        </w:sectPr>
      </w:pPr>
      <w:r>
        <w:rPr>
          <w:rFonts w:hint="eastAsia"/>
        </w:rPr>
        <w:t>因为正如祂自己告诉我们的，当种族上的以色列再次学会说“奉主名来的是应当称颂的”，那时他们——和我们——就终将再见到祂（太23:39）！</w:t>
      </w:r>
    </w:p>
    <w:p w14:paraId="6DA308DA">
      <w:pPr>
        <w:pStyle w:val="9"/>
        <w:spacing w:before="11"/>
        <w:ind w:left="0"/>
        <w:jc w:val="left"/>
        <w:rPr>
          <w:sz w:val="15"/>
        </w:rPr>
      </w:pPr>
      <w:bookmarkStart w:id="75" w:name="_bookmark204"/>
      <w:bookmarkEnd w:id="75"/>
    </w:p>
    <w:p w14:paraId="51F43E47">
      <w:pPr>
        <w:pStyle w:val="2"/>
        <w:bidi w:val="0"/>
        <w:rPr>
          <w:rFonts w:hint="eastAsia"/>
        </w:rPr>
      </w:pPr>
      <w:r>
        <w:rPr>
          <w:rFonts w:hint="eastAsia"/>
        </w:rPr>
        <w:t>Appendix 6</w:t>
      </w:r>
    </w:p>
    <w:p w14:paraId="10B89E23">
      <w:pPr>
        <w:pStyle w:val="2"/>
        <w:bidi w:val="0"/>
        <w:rPr>
          <w:rFonts w:hint="eastAsia"/>
        </w:rPr>
      </w:pPr>
      <w:r>
        <w:rPr>
          <w:rFonts w:hint="eastAsia"/>
        </w:rPr>
        <w:t>附录6</w:t>
      </w:r>
    </w:p>
    <w:p w14:paraId="070F3DEF">
      <w:pPr>
        <w:pStyle w:val="9"/>
        <w:spacing w:after="0" w:line="249" w:lineRule="auto"/>
        <w:rPr>
          <w:rFonts w:hint="eastAsia"/>
        </w:rPr>
      </w:pPr>
    </w:p>
    <w:p w14:paraId="2BF92A83">
      <w:pPr>
        <w:pStyle w:val="3"/>
        <w:bidi w:val="0"/>
        <w:rPr>
          <w:rFonts w:hint="eastAsia"/>
        </w:rPr>
      </w:pPr>
      <w:r>
        <w:rPr>
          <w:rFonts w:hint="eastAsia"/>
        </w:rPr>
        <w:t>Old Testament Kingdom Prophecies Listed</w:t>
      </w:r>
    </w:p>
    <w:p w14:paraId="1DEAEE36">
      <w:pPr>
        <w:pStyle w:val="3"/>
        <w:bidi w:val="0"/>
        <w:rPr>
          <w:rFonts w:hint="eastAsia"/>
        </w:rPr>
      </w:pPr>
      <w:r>
        <w:rPr>
          <w:rFonts w:hint="eastAsia"/>
        </w:rPr>
        <w:t>旧约国度预言列表</w:t>
      </w:r>
    </w:p>
    <w:p w14:paraId="6A91E7A0">
      <w:pPr>
        <w:pStyle w:val="9"/>
        <w:spacing w:after="0" w:line="249" w:lineRule="auto"/>
        <w:rPr>
          <w:rFonts w:hint="eastAsia"/>
        </w:rPr>
      </w:pPr>
    </w:p>
    <w:p w14:paraId="26B5F7A0">
      <w:pPr>
        <w:pStyle w:val="9"/>
        <w:spacing w:after="0" w:line="249" w:lineRule="auto"/>
        <w:rPr>
          <w:rFonts w:hint="eastAsia"/>
        </w:rPr>
      </w:pPr>
      <w:r>
        <w:rPr>
          <w:rFonts w:hint="eastAsia"/>
        </w:rPr>
        <w:t>HERE IS A very full, though not quite exhaustive, list of Old Testament Kingdom Prophecies (OTKP’s).</w:t>
      </w:r>
    </w:p>
    <w:p w14:paraId="6F484CA7">
      <w:pPr>
        <w:pStyle w:val="9"/>
        <w:spacing w:after="0" w:line="249" w:lineRule="auto"/>
        <w:rPr>
          <w:rFonts w:hint="eastAsia"/>
        </w:rPr>
      </w:pPr>
      <w:r>
        <w:rPr>
          <w:rFonts w:hint="eastAsia"/>
        </w:rPr>
        <w:t>这是一份非常完整，但并非完全详尽的旧约国度预言（OTKP）列表。</w:t>
      </w:r>
    </w:p>
    <w:p w14:paraId="20F20319">
      <w:pPr>
        <w:pStyle w:val="9"/>
        <w:spacing w:after="0" w:line="249" w:lineRule="auto"/>
        <w:rPr>
          <w:rFonts w:hint="eastAsia"/>
        </w:rPr>
      </w:pPr>
    </w:p>
    <w:p w14:paraId="0D93653D">
      <w:pPr>
        <w:pStyle w:val="9"/>
        <w:spacing w:after="0" w:line="249" w:lineRule="auto"/>
        <w:rPr>
          <w:rFonts w:hint="eastAsia"/>
        </w:rPr>
      </w:pPr>
      <w:r>
        <w:rPr>
          <w:rFonts w:hint="eastAsia"/>
        </w:rPr>
        <w:t>Please remember from our study that I define an OTKP as any OT prophecy of the Kingdom of God fulfilled on or after the Day of Pentecost, when the first stage of the Kingdom began with the outpouring of the Holy Spirit.</w:t>
      </w:r>
    </w:p>
    <w:p w14:paraId="01A474DF">
      <w:pPr>
        <w:pStyle w:val="9"/>
        <w:spacing w:after="0" w:line="249" w:lineRule="auto"/>
        <w:rPr>
          <w:rFonts w:hint="eastAsia"/>
        </w:rPr>
      </w:pPr>
      <w:r>
        <w:rPr>
          <w:rFonts w:hint="eastAsia"/>
        </w:rPr>
        <w:t>请从我们的研究中记得，我将旧约国度预言（OTKP）定义为任何在五旬节当日或之后应验的、关于神的国的旧约预言，当时国度的第一阶段随着圣灵的浇灌而开始。</w:t>
      </w:r>
    </w:p>
    <w:p w14:paraId="2F065E9C">
      <w:pPr>
        <w:pStyle w:val="9"/>
        <w:spacing w:after="0" w:line="249" w:lineRule="auto"/>
        <w:rPr>
          <w:rFonts w:hint="eastAsia"/>
        </w:rPr>
      </w:pPr>
    </w:p>
    <w:p w14:paraId="73B6CCA0">
      <w:pPr>
        <w:pStyle w:val="9"/>
        <w:spacing w:after="0" w:line="249" w:lineRule="auto"/>
        <w:rPr>
          <w:rFonts w:hint="eastAsia"/>
        </w:rPr>
      </w:pPr>
      <w:r>
        <w:rPr>
          <w:rFonts w:hint="eastAsia"/>
        </w:rPr>
        <w:t>As opposed to “simple” OT prophecies, which were fulfilled prior to Pentecost, these cannot be interpreted literally, but must be interpreted through a skillful use of the New Covenant Hermeneutic.</w:t>
      </w:r>
    </w:p>
    <w:p w14:paraId="7090BF7F">
      <w:pPr>
        <w:pStyle w:val="9"/>
        <w:spacing w:after="0" w:line="249" w:lineRule="auto"/>
        <w:rPr>
          <w:rFonts w:hint="eastAsia"/>
        </w:rPr>
      </w:pPr>
      <w:r>
        <w:rPr>
          <w:rFonts w:hint="eastAsia"/>
        </w:rPr>
        <w:t>与那些在五旬节之前应验的“简单的”旧约预言相反，这些预言不能按字面意思解释，而必须通过巧妙地运用新约释经学来解释。</w:t>
      </w:r>
    </w:p>
    <w:p w14:paraId="6C71DDAB">
      <w:pPr>
        <w:pStyle w:val="9"/>
        <w:spacing w:after="0" w:line="249" w:lineRule="auto"/>
        <w:rPr>
          <w:rFonts w:hint="eastAsia"/>
        </w:rPr>
      </w:pPr>
    </w:p>
    <w:p w14:paraId="440A5B95">
      <w:pPr>
        <w:pStyle w:val="9"/>
        <w:spacing w:after="0" w:line="249" w:lineRule="auto"/>
        <w:rPr>
          <w:rFonts w:hint="eastAsia"/>
        </w:rPr>
      </w:pPr>
      <w:r>
        <w:rPr>
          <w:rFonts w:hint="eastAsia"/>
        </w:rPr>
        <w:t>That is, they must be interpreted:</w:t>
      </w:r>
    </w:p>
    <w:p w14:paraId="10431B7B">
      <w:pPr>
        <w:pStyle w:val="9"/>
        <w:spacing w:after="0" w:line="249" w:lineRule="auto"/>
        <w:rPr>
          <w:rFonts w:hint="eastAsia"/>
        </w:rPr>
      </w:pPr>
      <w:r>
        <w:rPr>
          <w:rFonts w:hint="eastAsia"/>
        </w:rPr>
        <w:t>也就是说，它们必须被解释为：</w:t>
      </w:r>
    </w:p>
    <w:p w14:paraId="4F90BAE3">
      <w:pPr>
        <w:pStyle w:val="9"/>
        <w:spacing w:after="0" w:line="249" w:lineRule="auto"/>
        <w:rPr>
          <w:rFonts w:hint="eastAsia"/>
        </w:rPr>
      </w:pPr>
    </w:p>
    <w:p w14:paraId="131619F8">
      <w:pPr>
        <w:pStyle w:val="9"/>
        <w:spacing w:after="0" w:line="249" w:lineRule="auto"/>
        <w:rPr>
          <w:rFonts w:hint="eastAsia"/>
        </w:rPr>
      </w:pPr>
      <w:r>
        <w:rPr>
          <w:rFonts w:hint="eastAsia"/>
        </w:rPr>
        <w:t>Covenantally: As being fulfilled under the New/Eternal Covenant, and as referring to the several elements of that Covenant.</w:t>
      </w:r>
    </w:p>
    <w:p w14:paraId="7D005CD5">
      <w:pPr>
        <w:pStyle w:val="9"/>
        <w:spacing w:after="0" w:line="249" w:lineRule="auto"/>
        <w:rPr>
          <w:rFonts w:hint="eastAsia"/>
        </w:rPr>
      </w:pPr>
      <w:r>
        <w:rPr>
          <w:rFonts w:hint="eastAsia"/>
        </w:rPr>
        <w:t>圣约性地：即是在新约/永恒之约下得到应验，并且是指该约的几个要素。</w:t>
      </w:r>
    </w:p>
    <w:p w14:paraId="5FAC2DFF">
      <w:pPr>
        <w:pStyle w:val="9"/>
        <w:spacing w:after="0" w:line="249" w:lineRule="auto"/>
        <w:rPr>
          <w:rFonts w:hint="eastAsia"/>
        </w:rPr>
      </w:pPr>
    </w:p>
    <w:p w14:paraId="428F6194">
      <w:pPr>
        <w:pStyle w:val="9"/>
        <w:spacing w:after="0" w:line="249" w:lineRule="auto"/>
        <w:rPr>
          <w:rFonts w:hint="eastAsia"/>
        </w:rPr>
      </w:pPr>
      <w:r>
        <w:rPr>
          <w:rFonts w:hint="eastAsia"/>
        </w:rPr>
        <w:t>Christologically: As being fulfilled in the Person and Work of Christ.</w:t>
      </w:r>
    </w:p>
    <w:p w14:paraId="3AAAD1A5">
      <w:pPr>
        <w:pStyle w:val="9"/>
        <w:spacing w:after="0" w:line="249" w:lineRule="auto"/>
        <w:rPr>
          <w:rFonts w:hint="eastAsia"/>
        </w:rPr>
      </w:pPr>
      <w:r>
        <w:rPr>
          <w:rFonts w:hint="eastAsia"/>
        </w:rPr>
        <w:t>基督论地：即是在基督的位格和工作中得到应验。</w:t>
      </w:r>
    </w:p>
    <w:p w14:paraId="14AC8557">
      <w:pPr>
        <w:pStyle w:val="9"/>
        <w:spacing w:after="0" w:line="249" w:lineRule="auto"/>
        <w:rPr>
          <w:rFonts w:hint="eastAsia"/>
        </w:rPr>
      </w:pPr>
    </w:p>
    <w:p w14:paraId="779C3009">
      <w:pPr>
        <w:pStyle w:val="9"/>
        <w:spacing w:after="0" w:line="249" w:lineRule="auto"/>
        <w:rPr>
          <w:rFonts w:hint="eastAsia"/>
        </w:rPr>
      </w:pPr>
      <w:r>
        <w:rPr>
          <w:rFonts w:hint="eastAsia"/>
        </w:rPr>
        <w:t>Typologically: As using OT ideas and images to convey NT truth.</w:t>
      </w:r>
    </w:p>
    <w:p w14:paraId="2972F038">
      <w:pPr>
        <w:pStyle w:val="9"/>
        <w:spacing w:after="0" w:line="249" w:lineRule="auto"/>
        <w:rPr>
          <w:rFonts w:hint="eastAsia"/>
        </w:rPr>
      </w:pPr>
      <w:r>
        <w:rPr>
          <w:rFonts w:hint="eastAsia"/>
        </w:rPr>
        <w:t>预表性地：即是使用旧约的思想和意象来传达新约的真理。</w:t>
      </w:r>
    </w:p>
    <w:p w14:paraId="60EE17DC">
      <w:pPr>
        <w:pStyle w:val="9"/>
        <w:spacing w:after="0" w:line="249" w:lineRule="auto"/>
        <w:rPr>
          <w:rFonts w:hint="eastAsia"/>
        </w:rPr>
      </w:pPr>
    </w:p>
    <w:p w14:paraId="1C6F5132">
      <w:pPr>
        <w:pStyle w:val="9"/>
        <w:spacing w:after="0" w:line="249" w:lineRule="auto"/>
        <w:rPr>
          <w:rFonts w:hint="eastAsia"/>
        </w:rPr>
      </w:pPr>
      <w:r>
        <w:rPr>
          <w:rFonts w:hint="eastAsia"/>
        </w:rPr>
        <w:t>Ecclesiologically: As being fulfilled among God’s New Covenant people, the Church, which is comprised both of Jew and Gentile.</w:t>
      </w:r>
    </w:p>
    <w:p w14:paraId="488A4EAB">
      <w:pPr>
        <w:pStyle w:val="9"/>
        <w:spacing w:after="0" w:line="249" w:lineRule="auto"/>
        <w:rPr>
          <w:rFonts w:hint="eastAsia"/>
        </w:rPr>
      </w:pPr>
      <w:r>
        <w:rPr>
          <w:rFonts w:hint="eastAsia"/>
        </w:rPr>
        <w:t>教会论地：即是在神的新约子民，即教会中得到应验，教会由犹太人和外邦人组成。</w:t>
      </w:r>
    </w:p>
    <w:p w14:paraId="16A4F6A1">
      <w:pPr>
        <w:pStyle w:val="9"/>
        <w:spacing w:after="0" w:line="249" w:lineRule="auto"/>
        <w:rPr>
          <w:rFonts w:hint="eastAsia"/>
        </w:rPr>
      </w:pPr>
    </w:p>
    <w:p w14:paraId="5A36D4A0">
      <w:pPr>
        <w:pStyle w:val="9"/>
        <w:spacing w:after="0" w:line="249" w:lineRule="auto"/>
        <w:rPr>
          <w:rFonts w:hint="eastAsia"/>
        </w:rPr>
      </w:pPr>
      <w:r>
        <w:rPr>
          <w:rFonts w:hint="eastAsia"/>
        </w:rPr>
        <w:t>Eschatologically: As being fulfilled in the last days, which are the days in which the New Covenant has been made manifest; as being fulfilled either in the first stage of the Kingdom (the Kingdom of the Son), the second stage of the Kingdom (the Kingdom of the Father), or both.</w:t>
      </w:r>
    </w:p>
    <w:p w14:paraId="1F4B9466">
      <w:pPr>
        <w:pStyle w:val="9"/>
        <w:spacing w:after="0" w:line="249" w:lineRule="auto"/>
        <w:rPr>
          <w:rFonts w:hint="eastAsia"/>
        </w:rPr>
      </w:pPr>
      <w:r>
        <w:rPr>
          <w:rFonts w:hint="eastAsia"/>
        </w:rPr>
        <w:t>末世论地：即是在末后的日子里得到应验，这些日子是新约已经显明的日子；其应验或在国度的第一阶段（子的国），或在国度的第二阶段（父的国），或两者皆有。</w:t>
      </w:r>
    </w:p>
    <w:p w14:paraId="006FE6EA">
      <w:pPr>
        <w:pStyle w:val="9"/>
        <w:spacing w:after="0" w:line="249" w:lineRule="auto"/>
        <w:rPr>
          <w:rFonts w:hint="eastAsia"/>
        </w:rPr>
      </w:pPr>
    </w:p>
    <w:p w14:paraId="3057902B">
      <w:pPr>
        <w:pStyle w:val="9"/>
        <w:spacing w:after="0" w:line="249" w:lineRule="auto"/>
        <w:rPr>
          <w:rFonts w:hint="eastAsia"/>
        </w:rPr>
      </w:pPr>
      <w:r>
        <w:rPr>
          <w:rFonts w:hint="eastAsia"/>
        </w:rPr>
        <w:t>My hope and prayer is that as you apply the New Covenant Hermeneutic to these beautiful OT prophecies, the Holy Spirit will enable you to understand and delight in them, and also to use them mightily for the advance of Christ’s Kingdom.</w:t>
      </w:r>
    </w:p>
    <w:p w14:paraId="645A5FB2">
      <w:pPr>
        <w:pStyle w:val="9"/>
        <w:spacing w:after="0" w:line="249" w:lineRule="auto"/>
        <w:rPr>
          <w:rFonts w:hint="eastAsia"/>
        </w:rPr>
      </w:pPr>
      <w:r>
        <w:rPr>
          <w:rFonts w:hint="eastAsia"/>
        </w:rPr>
        <w:t>我的希望和祷告是，当你们将新约释经学应用于这些美丽的旧约预言时，圣灵会使你们能够理解并喜悦它们，并能大能地使用它们来推进基督的国度。</w:t>
      </w:r>
    </w:p>
    <w:p w14:paraId="75A6F943">
      <w:pPr>
        <w:pStyle w:val="9"/>
        <w:spacing w:after="0" w:line="249" w:lineRule="auto"/>
        <w:rPr>
          <w:rFonts w:hint="eastAsia"/>
        </w:rPr>
      </w:pPr>
    </w:p>
    <w:p w14:paraId="0D4CB5F9">
      <w:pPr>
        <w:pStyle w:val="9"/>
        <w:spacing w:after="0" w:line="249" w:lineRule="auto"/>
        <w:rPr>
          <w:rFonts w:hint="eastAsia"/>
        </w:rPr>
      </w:pPr>
      <w:r>
        <w:rPr>
          <w:rFonts w:hint="eastAsia"/>
        </w:rPr>
        <w:t>Deuteronomy</w:t>
      </w:r>
    </w:p>
    <w:p w14:paraId="533A3855">
      <w:pPr>
        <w:pStyle w:val="9"/>
        <w:spacing w:after="0" w:line="249" w:lineRule="auto"/>
        <w:rPr>
          <w:rFonts w:hint="eastAsia"/>
        </w:rPr>
      </w:pPr>
      <w:r>
        <w:rPr>
          <w:rFonts w:hint="eastAsia"/>
        </w:rPr>
        <w:t>申命记</w:t>
      </w:r>
    </w:p>
    <w:p w14:paraId="34C7DF88">
      <w:pPr>
        <w:pStyle w:val="9"/>
        <w:spacing w:after="0" w:line="249" w:lineRule="auto"/>
        <w:rPr>
          <w:rFonts w:hint="eastAsia"/>
        </w:rPr>
      </w:pPr>
    </w:p>
    <w:p w14:paraId="4DBDFD9F">
      <w:pPr>
        <w:pStyle w:val="9"/>
        <w:spacing w:after="0" w:line="249" w:lineRule="auto"/>
        <w:rPr>
          <w:rFonts w:hint="eastAsia"/>
        </w:rPr>
      </w:pPr>
      <w:r>
        <w:rPr>
          <w:rFonts w:hint="eastAsia"/>
        </w:rPr>
        <w:t>1.30:1-10 The Lord Will Gather You (DF)</w:t>
      </w:r>
    </w:p>
    <w:p w14:paraId="2F942804">
      <w:pPr>
        <w:pStyle w:val="9"/>
        <w:spacing w:after="0" w:line="249" w:lineRule="auto"/>
        <w:rPr>
          <w:rFonts w:hint="eastAsia"/>
        </w:rPr>
      </w:pPr>
      <w:r>
        <w:rPr>
          <w:rFonts w:hint="eastAsia"/>
        </w:rPr>
        <w:t>1.30:1-10 耶和华必招聚你（双重应验）</w:t>
      </w:r>
    </w:p>
    <w:p w14:paraId="7AF96CDE">
      <w:pPr>
        <w:pStyle w:val="9"/>
        <w:spacing w:after="0" w:line="249" w:lineRule="auto"/>
        <w:rPr>
          <w:rFonts w:hint="eastAsia"/>
        </w:rPr>
      </w:pPr>
    </w:p>
    <w:p w14:paraId="6131535F">
      <w:pPr>
        <w:pStyle w:val="9"/>
        <w:spacing w:after="0" w:line="249" w:lineRule="auto"/>
        <w:rPr>
          <w:rFonts w:hint="eastAsia"/>
        </w:rPr>
      </w:pPr>
      <w:r>
        <w:rPr>
          <w:rFonts w:hint="eastAsia"/>
        </w:rPr>
        <w:t>2.32:34-43 The LORD Will Make Atonement for His Land</w:t>
      </w:r>
    </w:p>
    <w:p w14:paraId="7C1C51E2">
      <w:pPr>
        <w:pStyle w:val="9"/>
        <w:spacing w:after="0" w:line="249" w:lineRule="auto"/>
        <w:rPr>
          <w:rFonts w:hint="eastAsia"/>
        </w:rPr>
      </w:pPr>
      <w:r>
        <w:rPr>
          <w:rFonts w:hint="eastAsia"/>
        </w:rPr>
        <w:t>2.32:34-43 耶和华必为祂的地赎罪</w:t>
      </w:r>
    </w:p>
    <w:p w14:paraId="15553C04">
      <w:pPr>
        <w:pStyle w:val="9"/>
        <w:spacing w:after="0" w:line="249" w:lineRule="auto"/>
        <w:rPr>
          <w:rFonts w:hint="eastAsia"/>
        </w:rPr>
      </w:pPr>
    </w:p>
    <w:p w14:paraId="3E20DE4B">
      <w:pPr>
        <w:pStyle w:val="9"/>
        <w:spacing w:after="0" w:line="249" w:lineRule="auto"/>
        <w:rPr>
          <w:rFonts w:hint="eastAsia"/>
        </w:rPr>
      </w:pPr>
      <w:r>
        <w:rPr>
          <w:rFonts w:hint="eastAsia"/>
        </w:rPr>
        <w:t>2 Samuel</w:t>
      </w:r>
    </w:p>
    <w:p w14:paraId="58374C9E">
      <w:pPr>
        <w:pStyle w:val="9"/>
        <w:spacing w:after="0" w:line="249" w:lineRule="auto"/>
        <w:rPr>
          <w:rFonts w:hint="eastAsia"/>
        </w:rPr>
      </w:pPr>
      <w:r>
        <w:rPr>
          <w:rFonts w:hint="eastAsia"/>
        </w:rPr>
        <w:t>撒母耳记下</w:t>
      </w:r>
    </w:p>
    <w:p w14:paraId="00AAECEA">
      <w:pPr>
        <w:pStyle w:val="9"/>
        <w:spacing w:after="0" w:line="249" w:lineRule="auto"/>
        <w:rPr>
          <w:rFonts w:hint="eastAsia"/>
        </w:rPr>
      </w:pPr>
    </w:p>
    <w:p w14:paraId="00B97918">
      <w:pPr>
        <w:pStyle w:val="9"/>
        <w:spacing w:after="0" w:line="249" w:lineRule="auto"/>
        <w:rPr>
          <w:rFonts w:hint="eastAsia"/>
        </w:rPr>
      </w:pPr>
      <w:r>
        <w:rPr>
          <w:rFonts w:hint="eastAsia"/>
        </w:rPr>
        <w:t>1.7:8-17 Your Kingdom Shall Endure Forever (DF)</w:t>
      </w:r>
    </w:p>
    <w:p w14:paraId="0323D49F">
      <w:pPr>
        <w:pStyle w:val="9"/>
        <w:spacing w:after="0" w:line="249" w:lineRule="auto"/>
        <w:rPr>
          <w:rFonts w:hint="eastAsia"/>
        </w:rPr>
      </w:pPr>
      <w:r>
        <w:rPr>
          <w:rFonts w:hint="eastAsia"/>
        </w:rPr>
        <w:t>1.7:8-17 你的国必永远坚立（双重应验）</w:t>
      </w:r>
    </w:p>
    <w:p w14:paraId="3715C730">
      <w:pPr>
        <w:pStyle w:val="9"/>
        <w:spacing w:after="0" w:line="249" w:lineRule="auto"/>
        <w:rPr>
          <w:rFonts w:hint="eastAsia"/>
        </w:rPr>
      </w:pPr>
    </w:p>
    <w:p w14:paraId="1EDAF956">
      <w:pPr>
        <w:pStyle w:val="9"/>
        <w:spacing w:after="0" w:line="249" w:lineRule="auto"/>
        <w:rPr>
          <w:rFonts w:hint="eastAsia"/>
        </w:rPr>
      </w:pPr>
      <w:r>
        <w:rPr>
          <w:rFonts w:hint="eastAsia"/>
        </w:rPr>
        <w:t>Psalms</w:t>
      </w:r>
    </w:p>
    <w:p w14:paraId="19B5AB55">
      <w:pPr>
        <w:pStyle w:val="9"/>
        <w:spacing w:after="0" w:line="249" w:lineRule="auto"/>
        <w:rPr>
          <w:rFonts w:hint="eastAsia"/>
        </w:rPr>
      </w:pPr>
      <w:r>
        <w:rPr>
          <w:rFonts w:hint="eastAsia"/>
        </w:rPr>
        <w:t>诗篇</w:t>
      </w:r>
    </w:p>
    <w:p w14:paraId="1CFBA41E">
      <w:pPr>
        <w:pStyle w:val="9"/>
        <w:spacing w:after="0" w:line="249" w:lineRule="auto"/>
        <w:rPr>
          <w:rFonts w:hint="eastAsia"/>
        </w:rPr>
      </w:pPr>
    </w:p>
    <w:p w14:paraId="404A5440">
      <w:pPr>
        <w:pStyle w:val="9"/>
        <w:spacing w:after="0" w:line="249" w:lineRule="auto"/>
        <w:rPr>
          <w:rFonts w:hint="eastAsia"/>
        </w:rPr>
      </w:pPr>
      <w:r>
        <w:rPr>
          <w:rFonts w:hint="eastAsia"/>
        </w:rPr>
        <w:t>1.2 The Reign of the LORD’s Anointed</w:t>
      </w:r>
    </w:p>
    <w:p w14:paraId="06F37C30">
      <w:pPr>
        <w:pStyle w:val="9"/>
        <w:spacing w:after="0" w:line="249" w:lineRule="auto"/>
        <w:rPr>
          <w:rFonts w:hint="eastAsia"/>
        </w:rPr>
      </w:pPr>
      <w:r>
        <w:rPr>
          <w:rFonts w:hint="eastAsia"/>
        </w:rPr>
        <w:t>1.2 耶和华受膏者的统治</w:t>
      </w:r>
    </w:p>
    <w:p w14:paraId="1930DFA7">
      <w:pPr>
        <w:pStyle w:val="9"/>
        <w:spacing w:after="0" w:line="249" w:lineRule="auto"/>
        <w:rPr>
          <w:rFonts w:hint="eastAsia"/>
        </w:rPr>
      </w:pPr>
    </w:p>
    <w:p w14:paraId="0ED3270F">
      <w:pPr>
        <w:pStyle w:val="9"/>
        <w:spacing w:after="0" w:line="249" w:lineRule="auto"/>
        <w:rPr>
          <w:rFonts w:hint="eastAsia"/>
        </w:rPr>
      </w:pPr>
      <w:r>
        <w:rPr>
          <w:rFonts w:hint="eastAsia"/>
        </w:rPr>
        <w:t>2.22:27-31 The Ends of the Earth Will Turn</w:t>
      </w:r>
    </w:p>
    <w:p w14:paraId="698D9E57">
      <w:pPr>
        <w:pStyle w:val="9"/>
        <w:spacing w:after="0" w:line="249" w:lineRule="auto"/>
        <w:rPr>
          <w:rFonts w:hint="eastAsia"/>
        </w:rPr>
      </w:pPr>
      <w:r>
        <w:rPr>
          <w:rFonts w:hint="eastAsia"/>
        </w:rPr>
        <w:t>2.22:27-31 地的四极都必归向</w:t>
      </w:r>
    </w:p>
    <w:p w14:paraId="6588AB2D">
      <w:pPr>
        <w:pStyle w:val="9"/>
        <w:spacing w:after="0" w:line="249" w:lineRule="auto"/>
        <w:rPr>
          <w:rFonts w:hint="eastAsia"/>
        </w:rPr>
      </w:pPr>
    </w:p>
    <w:p w14:paraId="222C886B">
      <w:pPr>
        <w:pStyle w:val="9"/>
        <w:spacing w:after="0" w:line="249" w:lineRule="auto"/>
        <w:rPr>
          <w:rFonts w:hint="eastAsia"/>
        </w:rPr>
      </w:pPr>
      <w:r>
        <w:rPr>
          <w:rFonts w:hint="eastAsia"/>
        </w:rPr>
        <w:t>3.69:34-36 God Will Save Zion</w:t>
      </w:r>
    </w:p>
    <w:p w14:paraId="4AD01257">
      <w:pPr>
        <w:pStyle w:val="9"/>
        <w:spacing w:after="0" w:line="249" w:lineRule="auto"/>
        <w:rPr>
          <w:rFonts w:hint="eastAsia"/>
        </w:rPr>
      </w:pPr>
      <w:r>
        <w:rPr>
          <w:rFonts w:hint="eastAsia"/>
        </w:rPr>
        <w:t>3.69:34-36 神必拯救锡安</w:t>
      </w:r>
    </w:p>
    <w:p w14:paraId="3DCA353A">
      <w:pPr>
        <w:pStyle w:val="9"/>
        <w:spacing w:after="0" w:line="249" w:lineRule="auto"/>
        <w:rPr>
          <w:rFonts w:hint="eastAsia"/>
        </w:rPr>
      </w:pPr>
    </w:p>
    <w:p w14:paraId="002C6AED">
      <w:pPr>
        <w:pStyle w:val="9"/>
        <w:spacing w:after="0" w:line="249" w:lineRule="auto"/>
        <w:rPr>
          <w:rFonts w:hint="eastAsia"/>
        </w:rPr>
      </w:pPr>
      <w:r>
        <w:rPr>
          <w:rFonts w:hint="eastAsia"/>
        </w:rPr>
        <w:t>4.72 A Prayer for the Coming King</w:t>
      </w:r>
    </w:p>
    <w:p w14:paraId="4B4CCD2C">
      <w:pPr>
        <w:pStyle w:val="9"/>
        <w:spacing w:after="0" w:line="249" w:lineRule="auto"/>
        <w:rPr>
          <w:rFonts w:hint="eastAsia"/>
        </w:rPr>
      </w:pPr>
      <w:r>
        <w:rPr>
          <w:rFonts w:hint="eastAsia"/>
        </w:rPr>
        <w:t>4.72 为将临之君王的祷告</w:t>
      </w:r>
    </w:p>
    <w:p w14:paraId="7D76E6BD">
      <w:pPr>
        <w:pStyle w:val="9"/>
        <w:spacing w:after="0" w:line="249" w:lineRule="auto"/>
        <w:rPr>
          <w:rFonts w:hint="eastAsia"/>
        </w:rPr>
      </w:pPr>
    </w:p>
    <w:p w14:paraId="510B071F">
      <w:pPr>
        <w:pStyle w:val="9"/>
        <w:spacing w:after="0" w:line="249" w:lineRule="auto"/>
        <w:rPr>
          <w:rFonts w:hint="eastAsia"/>
        </w:rPr>
      </w:pPr>
      <w:r>
        <w:rPr>
          <w:rFonts w:hint="eastAsia"/>
        </w:rPr>
        <w:t>5.89 God’s Eternal Covenant with David</w:t>
      </w:r>
    </w:p>
    <w:p w14:paraId="6A476B53">
      <w:pPr>
        <w:pStyle w:val="9"/>
        <w:spacing w:after="0" w:line="249" w:lineRule="auto"/>
        <w:rPr>
          <w:rFonts w:hint="eastAsia"/>
        </w:rPr>
      </w:pPr>
      <w:r>
        <w:rPr>
          <w:rFonts w:hint="eastAsia"/>
        </w:rPr>
        <w:t>5.89 神与大卫所立的永约</w:t>
      </w:r>
    </w:p>
    <w:p w14:paraId="4E81F3E7">
      <w:pPr>
        <w:pStyle w:val="9"/>
        <w:spacing w:after="0" w:line="249" w:lineRule="auto"/>
        <w:rPr>
          <w:rFonts w:hint="eastAsia"/>
        </w:rPr>
      </w:pPr>
    </w:p>
    <w:p w14:paraId="4C7A0F54">
      <w:pPr>
        <w:pStyle w:val="9"/>
        <w:spacing w:after="0" w:line="249" w:lineRule="auto"/>
        <w:rPr>
          <w:rFonts w:hint="eastAsia"/>
        </w:rPr>
      </w:pPr>
      <w:r>
        <w:rPr>
          <w:rFonts w:hint="eastAsia"/>
        </w:rPr>
        <w:t>6.96 Sing to the LORD, All the Earth</w:t>
      </w:r>
    </w:p>
    <w:p w14:paraId="61F29AA2">
      <w:pPr>
        <w:pStyle w:val="9"/>
        <w:spacing w:after="0" w:line="249" w:lineRule="auto"/>
        <w:rPr>
          <w:rFonts w:hint="eastAsia"/>
        </w:rPr>
      </w:pPr>
      <w:r>
        <w:rPr>
          <w:rFonts w:hint="eastAsia"/>
        </w:rPr>
        <w:t>6.96 全地都要向耶和华歌唱</w:t>
      </w:r>
    </w:p>
    <w:p w14:paraId="7D0C0459">
      <w:pPr>
        <w:pStyle w:val="9"/>
        <w:spacing w:after="0" w:line="249" w:lineRule="auto"/>
        <w:rPr>
          <w:rFonts w:hint="eastAsia"/>
        </w:rPr>
      </w:pPr>
    </w:p>
    <w:p w14:paraId="0DAC14B6">
      <w:pPr>
        <w:pStyle w:val="9"/>
        <w:spacing w:after="0" w:line="249" w:lineRule="auto"/>
        <w:rPr>
          <w:rFonts w:hint="eastAsia"/>
        </w:rPr>
      </w:pPr>
      <w:r>
        <w:rPr>
          <w:rFonts w:hint="eastAsia"/>
        </w:rPr>
        <w:t>7.132 Zion, My Resting Place Forever</w:t>
      </w:r>
    </w:p>
    <w:p w14:paraId="1D33C2C0">
      <w:pPr>
        <w:pStyle w:val="9"/>
        <w:spacing w:after="0" w:line="249" w:lineRule="auto"/>
        <w:rPr>
          <w:rFonts w:hint="eastAsia"/>
        </w:rPr>
      </w:pPr>
      <w:r>
        <w:rPr>
          <w:rFonts w:hint="eastAsia"/>
        </w:rPr>
        <w:t>7.132 锡安，我永远的安息之所</w:t>
      </w:r>
    </w:p>
    <w:p w14:paraId="38829258">
      <w:pPr>
        <w:pStyle w:val="9"/>
        <w:spacing w:after="0" w:line="249" w:lineRule="auto"/>
        <w:rPr>
          <w:rFonts w:hint="eastAsia"/>
        </w:rPr>
      </w:pPr>
    </w:p>
    <w:p w14:paraId="181C04FA">
      <w:pPr>
        <w:pStyle w:val="9"/>
        <w:spacing w:after="0" w:line="249" w:lineRule="auto"/>
        <w:rPr>
          <w:rFonts w:hint="eastAsia"/>
        </w:rPr>
      </w:pPr>
      <w:r>
        <w:rPr>
          <w:rFonts w:hint="eastAsia"/>
        </w:rPr>
        <w:t>Isaiah</w:t>
      </w:r>
    </w:p>
    <w:p w14:paraId="59ED31B6">
      <w:pPr>
        <w:pStyle w:val="9"/>
        <w:spacing w:after="0" w:line="249" w:lineRule="auto"/>
        <w:rPr>
          <w:rFonts w:hint="eastAsia"/>
        </w:rPr>
      </w:pPr>
      <w:r>
        <w:rPr>
          <w:rFonts w:hint="eastAsia"/>
        </w:rPr>
        <w:t>以赛亚书</w:t>
      </w:r>
    </w:p>
    <w:p w14:paraId="002B1D28">
      <w:pPr>
        <w:pStyle w:val="9"/>
        <w:spacing w:after="0" w:line="249" w:lineRule="auto"/>
        <w:rPr>
          <w:rFonts w:hint="eastAsia"/>
        </w:rPr>
      </w:pPr>
    </w:p>
    <w:p w14:paraId="735A9EE2">
      <w:pPr>
        <w:pStyle w:val="9"/>
        <w:spacing w:after="0" w:line="249" w:lineRule="auto"/>
        <w:rPr>
          <w:rFonts w:hint="eastAsia"/>
        </w:rPr>
      </w:pPr>
      <w:r>
        <w:rPr>
          <w:rFonts w:hint="eastAsia"/>
        </w:rPr>
        <w:t>1.2:1-5 The Mountain of the Lord</w:t>
      </w:r>
    </w:p>
    <w:p w14:paraId="7DE0F531">
      <w:pPr>
        <w:pStyle w:val="9"/>
        <w:spacing w:after="0" w:line="249" w:lineRule="auto"/>
        <w:rPr>
          <w:rFonts w:hint="eastAsia"/>
        </w:rPr>
      </w:pPr>
      <w:r>
        <w:rPr>
          <w:rFonts w:hint="eastAsia"/>
        </w:rPr>
        <w:t>1.2:1-5 耶和华的山</w:t>
      </w:r>
    </w:p>
    <w:p w14:paraId="6197E272">
      <w:pPr>
        <w:pStyle w:val="9"/>
        <w:spacing w:after="0" w:line="249" w:lineRule="auto"/>
        <w:rPr>
          <w:rFonts w:hint="eastAsia"/>
        </w:rPr>
      </w:pPr>
    </w:p>
    <w:p w14:paraId="33E31336">
      <w:pPr>
        <w:pStyle w:val="9"/>
        <w:spacing w:after="0" w:line="249" w:lineRule="auto"/>
        <w:rPr>
          <w:rFonts w:hint="eastAsia"/>
        </w:rPr>
      </w:pPr>
      <w:r>
        <w:rPr>
          <w:rFonts w:hint="eastAsia"/>
        </w:rPr>
        <w:t>2.2:6-22 The Day of the Lord</w:t>
      </w:r>
    </w:p>
    <w:p w14:paraId="453175D8">
      <w:pPr>
        <w:pStyle w:val="9"/>
        <w:spacing w:after="0" w:line="249" w:lineRule="auto"/>
        <w:rPr>
          <w:rFonts w:hint="eastAsia"/>
        </w:rPr>
      </w:pPr>
      <w:r>
        <w:rPr>
          <w:rFonts w:hint="eastAsia"/>
        </w:rPr>
        <w:t>2.2:6-22 耶和华的日子</w:t>
      </w:r>
    </w:p>
    <w:p w14:paraId="6B02DA84">
      <w:pPr>
        <w:pStyle w:val="9"/>
        <w:spacing w:after="0" w:line="249" w:lineRule="auto"/>
        <w:rPr>
          <w:rFonts w:hint="eastAsia"/>
        </w:rPr>
      </w:pPr>
    </w:p>
    <w:p w14:paraId="44F80C2D">
      <w:pPr>
        <w:pStyle w:val="9"/>
        <w:spacing w:after="0" w:line="249" w:lineRule="auto"/>
        <w:rPr>
          <w:rFonts w:hint="eastAsia"/>
        </w:rPr>
      </w:pPr>
      <w:r>
        <w:rPr>
          <w:rFonts w:hint="eastAsia"/>
        </w:rPr>
        <w:t>3.4:2-6 The Branch of the Lord</w:t>
      </w:r>
    </w:p>
    <w:p w14:paraId="4AE60980">
      <w:pPr>
        <w:pStyle w:val="9"/>
        <w:spacing w:after="0" w:line="249" w:lineRule="auto"/>
        <w:rPr>
          <w:rFonts w:hint="eastAsia"/>
        </w:rPr>
      </w:pPr>
      <w:r>
        <w:rPr>
          <w:rFonts w:hint="eastAsia"/>
        </w:rPr>
        <w:t>3.4:2-6 耶和华的苗</w:t>
      </w:r>
    </w:p>
    <w:p w14:paraId="703C2162">
      <w:pPr>
        <w:pStyle w:val="9"/>
        <w:spacing w:after="0" w:line="249" w:lineRule="auto"/>
        <w:rPr>
          <w:rFonts w:hint="eastAsia"/>
        </w:rPr>
      </w:pPr>
    </w:p>
    <w:p w14:paraId="65CF9361">
      <w:pPr>
        <w:pStyle w:val="9"/>
        <w:spacing w:after="0" w:line="249" w:lineRule="auto"/>
        <w:rPr>
          <w:rFonts w:hint="eastAsia"/>
        </w:rPr>
      </w:pPr>
      <w:r>
        <w:rPr>
          <w:rFonts w:hint="eastAsia"/>
        </w:rPr>
        <w:t>4.9:1-7 A Child is Born</w:t>
      </w:r>
    </w:p>
    <w:p w14:paraId="1048A3F4">
      <w:pPr>
        <w:pStyle w:val="9"/>
        <w:spacing w:after="0" w:line="249" w:lineRule="auto"/>
        <w:rPr>
          <w:rFonts w:hint="eastAsia"/>
        </w:rPr>
      </w:pPr>
      <w:r>
        <w:rPr>
          <w:rFonts w:hint="eastAsia"/>
        </w:rPr>
        <w:t>4.9:1-7 一婴孩为我们而生</w:t>
      </w:r>
    </w:p>
    <w:p w14:paraId="6C57CEEF">
      <w:pPr>
        <w:pStyle w:val="9"/>
        <w:spacing w:after="0" w:line="249" w:lineRule="auto"/>
        <w:rPr>
          <w:rFonts w:hint="eastAsia"/>
        </w:rPr>
      </w:pPr>
    </w:p>
    <w:p w14:paraId="5732F6DF">
      <w:pPr>
        <w:pStyle w:val="9"/>
        <w:spacing w:after="0" w:line="249" w:lineRule="auto"/>
        <w:rPr>
          <w:rFonts w:hint="eastAsia"/>
        </w:rPr>
      </w:pPr>
      <w:r>
        <w:rPr>
          <w:rFonts w:hint="eastAsia"/>
        </w:rPr>
        <w:t>5.10:20-23 A Remnant Will Return</w:t>
      </w:r>
    </w:p>
    <w:p w14:paraId="2461B522">
      <w:pPr>
        <w:pStyle w:val="9"/>
        <w:spacing w:after="0" w:line="249" w:lineRule="auto"/>
        <w:rPr>
          <w:rFonts w:hint="eastAsia"/>
        </w:rPr>
      </w:pPr>
      <w:r>
        <w:rPr>
          <w:rFonts w:hint="eastAsia"/>
        </w:rPr>
        <w:t>5.10:20-23 余民必归回</w:t>
      </w:r>
    </w:p>
    <w:p w14:paraId="070A15C8">
      <w:pPr>
        <w:pStyle w:val="9"/>
        <w:spacing w:after="0" w:line="249" w:lineRule="auto"/>
        <w:rPr>
          <w:rFonts w:hint="eastAsia"/>
        </w:rPr>
      </w:pPr>
    </w:p>
    <w:p w14:paraId="046A9F00">
      <w:pPr>
        <w:pStyle w:val="9"/>
        <w:spacing w:after="0" w:line="249" w:lineRule="auto"/>
        <w:rPr>
          <w:rFonts w:hint="eastAsia"/>
        </w:rPr>
      </w:pPr>
      <w:r>
        <w:rPr>
          <w:rFonts w:hint="eastAsia"/>
        </w:rPr>
        <w:t>6.11:1-9 A Branch from Jesse</w:t>
      </w:r>
    </w:p>
    <w:p w14:paraId="31AE1321">
      <w:pPr>
        <w:pStyle w:val="9"/>
        <w:spacing w:after="0" w:line="249" w:lineRule="auto"/>
        <w:rPr>
          <w:rFonts w:hint="eastAsia"/>
        </w:rPr>
      </w:pPr>
      <w:r>
        <w:rPr>
          <w:rFonts w:hint="eastAsia"/>
        </w:rPr>
        <w:t>6.11:1-9 从耶西发的枝条</w:t>
      </w:r>
    </w:p>
    <w:p w14:paraId="75888D16">
      <w:pPr>
        <w:pStyle w:val="9"/>
        <w:spacing w:after="0" w:line="249" w:lineRule="auto"/>
        <w:rPr>
          <w:rFonts w:hint="eastAsia"/>
        </w:rPr>
      </w:pPr>
    </w:p>
    <w:p w14:paraId="58785C4C">
      <w:pPr>
        <w:pStyle w:val="9"/>
        <w:spacing w:after="0" w:line="249" w:lineRule="auto"/>
        <w:rPr>
          <w:rFonts w:hint="eastAsia"/>
        </w:rPr>
      </w:pPr>
      <w:r>
        <w:rPr>
          <w:rFonts w:hint="eastAsia"/>
        </w:rPr>
        <w:t>7.11:10-16 A Remnant from All Nations</w:t>
      </w:r>
    </w:p>
    <w:p w14:paraId="68B987B4">
      <w:pPr>
        <w:pStyle w:val="9"/>
        <w:spacing w:after="0" w:line="249" w:lineRule="auto"/>
        <w:rPr>
          <w:rFonts w:hint="eastAsia"/>
        </w:rPr>
      </w:pPr>
      <w:r>
        <w:rPr>
          <w:rFonts w:hint="eastAsia"/>
        </w:rPr>
        <w:t>7.11:10-16 从万国来的余民</w:t>
      </w:r>
    </w:p>
    <w:p w14:paraId="6055F9B6">
      <w:pPr>
        <w:pStyle w:val="9"/>
        <w:spacing w:after="0" w:line="249" w:lineRule="auto"/>
        <w:rPr>
          <w:rFonts w:hint="eastAsia"/>
        </w:rPr>
      </w:pPr>
    </w:p>
    <w:p w14:paraId="7E374D2F">
      <w:pPr>
        <w:pStyle w:val="9"/>
        <w:spacing w:after="0" w:line="249" w:lineRule="auto"/>
        <w:rPr>
          <w:rFonts w:hint="eastAsia"/>
        </w:rPr>
      </w:pPr>
      <w:r>
        <w:rPr>
          <w:rFonts w:hint="eastAsia"/>
        </w:rPr>
        <w:t>8.12:1ff The Church’s Song of Praise</w:t>
      </w:r>
    </w:p>
    <w:p w14:paraId="149F9930">
      <w:pPr>
        <w:pStyle w:val="9"/>
        <w:spacing w:after="0" w:line="249" w:lineRule="auto"/>
        <w:rPr>
          <w:rFonts w:hint="eastAsia"/>
        </w:rPr>
      </w:pPr>
      <w:r>
        <w:rPr>
          <w:rFonts w:hint="eastAsia"/>
        </w:rPr>
        <w:t>8.12:1及以下 教会的赞美之歌</w:t>
      </w:r>
    </w:p>
    <w:p w14:paraId="45332469">
      <w:pPr>
        <w:pStyle w:val="9"/>
        <w:spacing w:after="0" w:line="249" w:lineRule="auto"/>
        <w:rPr>
          <w:rFonts w:hint="eastAsia"/>
        </w:rPr>
      </w:pPr>
    </w:p>
    <w:p w14:paraId="76A62817">
      <w:pPr>
        <w:pStyle w:val="9"/>
        <w:spacing w:after="0" w:line="249" w:lineRule="auto"/>
        <w:rPr>
          <w:rFonts w:hint="eastAsia"/>
        </w:rPr>
      </w:pPr>
      <w:r>
        <w:rPr>
          <w:rFonts w:hint="eastAsia"/>
        </w:rPr>
        <w:t>9.14:1-2 Taking Their Captors Captive</w:t>
      </w:r>
    </w:p>
    <w:p w14:paraId="368CA466">
      <w:pPr>
        <w:pStyle w:val="9"/>
        <w:spacing w:after="0" w:line="249" w:lineRule="auto"/>
        <w:rPr>
          <w:rFonts w:hint="eastAsia"/>
        </w:rPr>
      </w:pPr>
      <w:r>
        <w:rPr>
          <w:rFonts w:hint="eastAsia"/>
        </w:rPr>
        <w:t>9.14:1-2 掳掠那掳掠他们的</w:t>
      </w:r>
    </w:p>
    <w:p w14:paraId="578691F5">
      <w:pPr>
        <w:pStyle w:val="9"/>
        <w:spacing w:after="0" w:line="249" w:lineRule="auto"/>
        <w:rPr>
          <w:rFonts w:hint="eastAsia"/>
        </w:rPr>
      </w:pPr>
    </w:p>
    <w:p w14:paraId="4C5D42C1">
      <w:pPr>
        <w:pStyle w:val="9"/>
        <w:spacing w:after="0" w:line="249" w:lineRule="auto"/>
        <w:rPr>
          <w:rFonts w:hint="eastAsia"/>
        </w:rPr>
      </w:pPr>
      <w:r>
        <w:rPr>
          <w:rFonts w:hint="eastAsia"/>
        </w:rPr>
        <w:t>10.19:16-24 Israel, Egypt, Assyria: God’s Inheritance</w:t>
      </w:r>
    </w:p>
    <w:p w14:paraId="60C4F093">
      <w:pPr>
        <w:pStyle w:val="9"/>
        <w:spacing w:after="0" w:line="249" w:lineRule="auto"/>
        <w:rPr>
          <w:rFonts w:hint="eastAsia"/>
        </w:rPr>
      </w:pPr>
      <w:r>
        <w:rPr>
          <w:rFonts w:hint="eastAsia"/>
        </w:rPr>
        <w:t>10.19:16-24 以色列、埃及、亚述：神的产业</w:t>
      </w:r>
    </w:p>
    <w:p w14:paraId="16AC01A3">
      <w:pPr>
        <w:pStyle w:val="9"/>
        <w:spacing w:after="0" w:line="249" w:lineRule="auto"/>
        <w:rPr>
          <w:rFonts w:hint="eastAsia"/>
        </w:rPr>
      </w:pPr>
    </w:p>
    <w:p w14:paraId="5D81F71F">
      <w:pPr>
        <w:pStyle w:val="9"/>
        <w:spacing w:after="0" w:line="249" w:lineRule="auto"/>
        <w:rPr>
          <w:rFonts w:hint="eastAsia"/>
        </w:rPr>
      </w:pPr>
      <w:r>
        <w:rPr>
          <w:rFonts w:hint="eastAsia"/>
        </w:rPr>
        <w:t>11.24:21-23 Bound for Many Days</w:t>
      </w:r>
    </w:p>
    <w:p w14:paraId="2462CCF6">
      <w:pPr>
        <w:pStyle w:val="9"/>
        <w:spacing w:after="0" w:line="249" w:lineRule="auto"/>
        <w:rPr>
          <w:rFonts w:hint="eastAsia"/>
        </w:rPr>
      </w:pPr>
      <w:r>
        <w:rPr>
          <w:rFonts w:hint="eastAsia"/>
        </w:rPr>
        <w:t>11.24:21-23 多日之后被捆绑</w:t>
      </w:r>
    </w:p>
    <w:p w14:paraId="2DC67B80">
      <w:pPr>
        <w:pStyle w:val="9"/>
        <w:spacing w:after="0" w:line="249" w:lineRule="auto"/>
        <w:rPr>
          <w:rFonts w:hint="eastAsia"/>
        </w:rPr>
      </w:pPr>
    </w:p>
    <w:p w14:paraId="054D3C4D">
      <w:pPr>
        <w:pStyle w:val="9"/>
        <w:spacing w:after="0" w:line="249" w:lineRule="auto"/>
        <w:rPr>
          <w:rFonts w:hint="eastAsia"/>
        </w:rPr>
      </w:pPr>
      <w:r>
        <w:rPr>
          <w:rFonts w:hint="eastAsia"/>
        </w:rPr>
        <w:t>12.25:6-9 A Feast of Fat Things</w:t>
      </w:r>
    </w:p>
    <w:p w14:paraId="6C1ACFB2">
      <w:pPr>
        <w:pStyle w:val="9"/>
        <w:spacing w:after="0" w:line="249" w:lineRule="auto"/>
        <w:rPr>
          <w:rFonts w:hint="eastAsia"/>
        </w:rPr>
      </w:pPr>
      <w:r>
        <w:rPr>
          <w:rFonts w:hint="eastAsia"/>
        </w:rPr>
        <w:t>12.25:6-9 肥甘的筵席</w:t>
      </w:r>
    </w:p>
    <w:p w14:paraId="10CD8A02">
      <w:pPr>
        <w:pStyle w:val="9"/>
        <w:spacing w:after="0" w:line="249" w:lineRule="auto"/>
        <w:rPr>
          <w:rFonts w:hint="eastAsia"/>
        </w:rPr>
      </w:pPr>
    </w:p>
    <w:p w14:paraId="0CFD9929">
      <w:pPr>
        <w:pStyle w:val="9"/>
        <w:spacing w:after="0" w:line="249" w:lineRule="auto"/>
        <w:rPr>
          <w:rFonts w:hint="eastAsia"/>
        </w:rPr>
      </w:pPr>
      <w:r>
        <w:rPr>
          <w:rFonts w:hint="eastAsia"/>
        </w:rPr>
        <w:t>13.26:1ff The Song of Judah</w:t>
      </w:r>
    </w:p>
    <w:p w14:paraId="55DE949C">
      <w:pPr>
        <w:pStyle w:val="9"/>
        <w:spacing w:after="0" w:line="249" w:lineRule="auto"/>
        <w:rPr>
          <w:rFonts w:hint="eastAsia"/>
        </w:rPr>
      </w:pPr>
      <w:r>
        <w:rPr>
          <w:rFonts w:hint="eastAsia"/>
        </w:rPr>
        <w:t>13.26:1及以下 犹大之歌</w:t>
      </w:r>
    </w:p>
    <w:p w14:paraId="73B1ED75">
      <w:pPr>
        <w:pStyle w:val="9"/>
        <w:spacing w:after="0" w:line="249" w:lineRule="auto"/>
        <w:rPr>
          <w:rFonts w:hint="eastAsia"/>
        </w:rPr>
      </w:pPr>
    </w:p>
    <w:p w14:paraId="33523B77">
      <w:pPr>
        <w:pStyle w:val="9"/>
        <w:spacing w:after="0" w:line="249" w:lineRule="auto"/>
        <w:rPr>
          <w:rFonts w:hint="eastAsia"/>
        </w:rPr>
      </w:pPr>
      <w:r>
        <w:rPr>
          <w:rFonts w:hint="eastAsia"/>
        </w:rPr>
        <w:t>14.27:1ff A Remnant Will Worship in Zion</w:t>
      </w:r>
    </w:p>
    <w:p w14:paraId="7C7990CF">
      <w:pPr>
        <w:pStyle w:val="9"/>
        <w:spacing w:after="0" w:line="249" w:lineRule="auto"/>
        <w:rPr>
          <w:rFonts w:hint="eastAsia"/>
        </w:rPr>
      </w:pPr>
      <w:r>
        <w:rPr>
          <w:rFonts w:hint="eastAsia"/>
        </w:rPr>
        <w:t>14.27:1及以下 余民必在锡安敬拜</w:t>
      </w:r>
    </w:p>
    <w:p w14:paraId="5A884756">
      <w:pPr>
        <w:pStyle w:val="9"/>
        <w:spacing w:after="0" w:line="249" w:lineRule="auto"/>
        <w:rPr>
          <w:rFonts w:hint="eastAsia"/>
        </w:rPr>
      </w:pPr>
    </w:p>
    <w:p w14:paraId="7F1D1EFA">
      <w:pPr>
        <w:pStyle w:val="9"/>
        <w:spacing w:after="0" w:line="249" w:lineRule="auto"/>
        <w:rPr>
          <w:rFonts w:hint="eastAsia"/>
        </w:rPr>
      </w:pPr>
      <w:r>
        <w:rPr>
          <w:rFonts w:hint="eastAsia"/>
        </w:rPr>
        <w:t>15.30:18f Your Eyes Will See Your Teacher</w:t>
      </w:r>
    </w:p>
    <w:p w14:paraId="3F4E2FE0">
      <w:pPr>
        <w:pStyle w:val="9"/>
        <w:spacing w:after="0" w:line="249" w:lineRule="auto"/>
        <w:rPr>
          <w:rFonts w:hint="eastAsia"/>
        </w:rPr>
      </w:pPr>
      <w:r>
        <w:rPr>
          <w:rFonts w:hint="eastAsia"/>
        </w:rPr>
        <w:t>15.30:18及以下 你的眼必看见你的教师</w:t>
      </w:r>
    </w:p>
    <w:p w14:paraId="28A48D60">
      <w:pPr>
        <w:pStyle w:val="9"/>
        <w:spacing w:after="0" w:line="249" w:lineRule="auto"/>
        <w:rPr>
          <w:rFonts w:hint="eastAsia"/>
        </w:rPr>
      </w:pPr>
    </w:p>
    <w:p w14:paraId="4730E750">
      <w:pPr>
        <w:pStyle w:val="9"/>
        <w:spacing w:after="0" w:line="249" w:lineRule="auto"/>
        <w:rPr>
          <w:rFonts w:hint="eastAsia"/>
        </w:rPr>
      </w:pPr>
      <w:r>
        <w:rPr>
          <w:rFonts w:hint="eastAsia"/>
        </w:rPr>
        <w:t>16.32:1-5 A King Will Reign in Righteousness</w:t>
      </w:r>
    </w:p>
    <w:p w14:paraId="0ABF3320">
      <w:pPr>
        <w:pStyle w:val="9"/>
        <w:spacing w:after="0" w:line="249" w:lineRule="auto"/>
        <w:rPr>
          <w:rFonts w:hint="eastAsia"/>
        </w:rPr>
      </w:pPr>
      <w:r>
        <w:rPr>
          <w:rFonts w:hint="eastAsia"/>
        </w:rPr>
        <w:t>16.32:1-5 一位君王必凭公义掌权</w:t>
      </w:r>
    </w:p>
    <w:p w14:paraId="41A73247">
      <w:pPr>
        <w:pStyle w:val="9"/>
        <w:spacing w:after="0" w:line="249" w:lineRule="auto"/>
        <w:rPr>
          <w:rFonts w:hint="eastAsia"/>
        </w:rPr>
      </w:pPr>
    </w:p>
    <w:p w14:paraId="6EDBD5EC">
      <w:pPr>
        <w:pStyle w:val="9"/>
        <w:spacing w:after="0" w:line="249" w:lineRule="auto"/>
        <w:rPr>
          <w:rFonts w:hint="eastAsia"/>
        </w:rPr>
      </w:pPr>
      <w:r>
        <w:rPr>
          <w:rFonts w:hint="eastAsia"/>
        </w:rPr>
        <w:t>17.33:16-24 The Land of the Majestic King</w:t>
      </w:r>
    </w:p>
    <w:p w14:paraId="5F37BF7F">
      <w:pPr>
        <w:pStyle w:val="9"/>
        <w:spacing w:after="0" w:line="249" w:lineRule="auto"/>
        <w:rPr>
          <w:rFonts w:hint="eastAsia"/>
        </w:rPr>
      </w:pPr>
      <w:r>
        <w:rPr>
          <w:rFonts w:hint="eastAsia"/>
        </w:rPr>
        <w:t>17.33:16-24 威严君王之地</w:t>
      </w:r>
    </w:p>
    <w:p w14:paraId="4964E6E2">
      <w:pPr>
        <w:pStyle w:val="9"/>
        <w:spacing w:after="0" w:line="249" w:lineRule="auto"/>
        <w:rPr>
          <w:rFonts w:hint="eastAsia"/>
        </w:rPr>
      </w:pPr>
    </w:p>
    <w:p w14:paraId="4BF27B31">
      <w:pPr>
        <w:pStyle w:val="9"/>
        <w:spacing w:after="0" w:line="249" w:lineRule="auto"/>
        <w:rPr>
          <w:rFonts w:hint="eastAsia"/>
        </w:rPr>
      </w:pPr>
      <w:r>
        <w:rPr>
          <w:rFonts w:hint="eastAsia"/>
        </w:rPr>
        <w:t>18.35:1ff The Joy of the Remnant</w:t>
      </w:r>
    </w:p>
    <w:p w14:paraId="15522255">
      <w:pPr>
        <w:pStyle w:val="9"/>
        <w:spacing w:after="0" w:line="249" w:lineRule="auto"/>
        <w:rPr>
          <w:rFonts w:hint="eastAsia"/>
        </w:rPr>
      </w:pPr>
      <w:r>
        <w:rPr>
          <w:rFonts w:hint="eastAsia"/>
        </w:rPr>
        <w:t>18.35:1及以下 余民的喜乐</w:t>
      </w:r>
    </w:p>
    <w:p w14:paraId="1D9A3131">
      <w:pPr>
        <w:pStyle w:val="9"/>
        <w:spacing w:after="0" w:line="249" w:lineRule="auto"/>
        <w:rPr>
          <w:rFonts w:hint="eastAsia"/>
        </w:rPr>
      </w:pPr>
    </w:p>
    <w:p w14:paraId="12B048CE">
      <w:pPr>
        <w:pStyle w:val="9"/>
        <w:spacing w:after="0" w:line="249" w:lineRule="auto"/>
        <w:rPr>
          <w:rFonts w:hint="eastAsia"/>
        </w:rPr>
      </w:pPr>
      <w:r>
        <w:rPr>
          <w:rFonts w:hint="eastAsia"/>
        </w:rPr>
        <w:t>19.40:1f Comfort My People!</w:t>
      </w:r>
    </w:p>
    <w:p w14:paraId="2BA6C5C7">
      <w:pPr>
        <w:pStyle w:val="9"/>
        <w:spacing w:after="0" w:line="249" w:lineRule="auto"/>
        <w:rPr>
          <w:rFonts w:hint="eastAsia"/>
        </w:rPr>
      </w:pPr>
      <w:r>
        <w:rPr>
          <w:rFonts w:hint="eastAsia"/>
        </w:rPr>
        <w:t>19.40:1及以下 安慰我的百姓！</w:t>
      </w:r>
    </w:p>
    <w:p w14:paraId="20ADC54E">
      <w:pPr>
        <w:pStyle w:val="9"/>
        <w:spacing w:after="0" w:line="249" w:lineRule="auto"/>
        <w:rPr>
          <w:rFonts w:hint="eastAsia"/>
        </w:rPr>
      </w:pPr>
    </w:p>
    <w:p w14:paraId="5EED2C80">
      <w:pPr>
        <w:pStyle w:val="9"/>
        <w:spacing w:after="0" w:line="249" w:lineRule="auto"/>
        <w:rPr>
          <w:rFonts w:hint="eastAsia"/>
        </w:rPr>
      </w:pPr>
      <w:r>
        <w:rPr>
          <w:rFonts w:hint="eastAsia"/>
        </w:rPr>
        <w:t>20.41:8-20 Fear Not, I am with You!</w:t>
      </w:r>
    </w:p>
    <w:p w14:paraId="4856AE5C">
      <w:pPr>
        <w:pStyle w:val="9"/>
        <w:spacing w:after="0" w:line="249" w:lineRule="auto"/>
        <w:rPr>
          <w:rFonts w:hint="eastAsia"/>
        </w:rPr>
      </w:pPr>
      <w:r>
        <w:rPr>
          <w:rFonts w:hint="eastAsia"/>
        </w:rPr>
        <w:t>20.41:8-20 不要惧怕，我与你同在！</w:t>
      </w:r>
    </w:p>
    <w:p w14:paraId="5C9497EF">
      <w:pPr>
        <w:pStyle w:val="9"/>
        <w:spacing w:after="0" w:line="249" w:lineRule="auto"/>
        <w:rPr>
          <w:rFonts w:hint="eastAsia"/>
        </w:rPr>
      </w:pPr>
    </w:p>
    <w:p w14:paraId="343C7FD9">
      <w:pPr>
        <w:pStyle w:val="9"/>
        <w:spacing w:after="0" w:line="249" w:lineRule="auto"/>
        <w:rPr>
          <w:rFonts w:hint="eastAsia"/>
        </w:rPr>
      </w:pPr>
      <w:r>
        <w:rPr>
          <w:rFonts w:hint="eastAsia"/>
        </w:rPr>
        <w:t>21.42:1-4 Behold, My Servant!</w:t>
      </w:r>
    </w:p>
    <w:p w14:paraId="3487B36D">
      <w:pPr>
        <w:pStyle w:val="9"/>
        <w:spacing w:after="0" w:line="249" w:lineRule="auto"/>
        <w:rPr>
          <w:rFonts w:hint="eastAsia"/>
        </w:rPr>
      </w:pPr>
      <w:r>
        <w:rPr>
          <w:rFonts w:hint="eastAsia"/>
        </w:rPr>
        <w:t>21.42:1-4 看哪，我的仆人！</w:t>
      </w:r>
    </w:p>
    <w:p w14:paraId="40055007">
      <w:pPr>
        <w:pStyle w:val="9"/>
        <w:spacing w:after="0" w:line="249" w:lineRule="auto"/>
        <w:rPr>
          <w:rFonts w:hint="eastAsia"/>
        </w:rPr>
      </w:pPr>
    </w:p>
    <w:p w14:paraId="10F6ECC6">
      <w:pPr>
        <w:pStyle w:val="9"/>
        <w:spacing w:after="0" w:line="249" w:lineRule="auto"/>
        <w:rPr>
          <w:rFonts w:hint="eastAsia"/>
        </w:rPr>
      </w:pPr>
      <w:r>
        <w:rPr>
          <w:rFonts w:hint="eastAsia"/>
        </w:rPr>
        <w:t>22.43:1ff Israel’s Only Savior</w:t>
      </w:r>
    </w:p>
    <w:p w14:paraId="31787FBC">
      <w:pPr>
        <w:pStyle w:val="9"/>
        <w:spacing w:after="0" w:line="249" w:lineRule="auto"/>
        <w:rPr>
          <w:rFonts w:hint="eastAsia"/>
        </w:rPr>
      </w:pPr>
      <w:r>
        <w:rPr>
          <w:rFonts w:hint="eastAsia"/>
        </w:rPr>
        <w:t>22.43:1及以下 以色列唯一的救主</w:t>
      </w:r>
    </w:p>
    <w:p w14:paraId="7FF68CAC">
      <w:pPr>
        <w:pStyle w:val="9"/>
        <w:spacing w:after="0" w:line="249" w:lineRule="auto"/>
        <w:rPr>
          <w:rFonts w:hint="eastAsia"/>
        </w:rPr>
      </w:pPr>
    </w:p>
    <w:p w14:paraId="553D0C86">
      <w:pPr>
        <w:pStyle w:val="9"/>
        <w:spacing w:after="0" w:line="249" w:lineRule="auto"/>
        <w:rPr>
          <w:rFonts w:hint="eastAsia"/>
        </w:rPr>
      </w:pPr>
      <w:r>
        <w:rPr>
          <w:rFonts w:hint="eastAsia"/>
        </w:rPr>
        <w:t>23.44:1-5 Israel My Chosen</w:t>
      </w:r>
    </w:p>
    <w:p w14:paraId="36513C07">
      <w:pPr>
        <w:pStyle w:val="9"/>
        <w:spacing w:after="0" w:line="249" w:lineRule="auto"/>
        <w:rPr>
          <w:rFonts w:hint="eastAsia"/>
        </w:rPr>
      </w:pPr>
      <w:r>
        <w:rPr>
          <w:rFonts w:hint="eastAsia"/>
        </w:rPr>
        <w:t>23.44:1-5 我所拣选的以色列</w:t>
      </w:r>
    </w:p>
    <w:p w14:paraId="1C90F84E">
      <w:pPr>
        <w:pStyle w:val="9"/>
        <w:spacing w:after="0" w:line="249" w:lineRule="auto"/>
        <w:rPr>
          <w:rFonts w:hint="eastAsia"/>
        </w:rPr>
      </w:pPr>
    </w:p>
    <w:p w14:paraId="3E71EE2C">
      <w:pPr>
        <w:pStyle w:val="9"/>
        <w:spacing w:after="0" w:line="249" w:lineRule="auto"/>
        <w:rPr>
          <w:rFonts w:hint="eastAsia"/>
        </w:rPr>
      </w:pPr>
      <w:r>
        <w:rPr>
          <w:rFonts w:hint="eastAsia"/>
        </w:rPr>
        <w:t>24.44:21-28 She Shall Be Built</w:t>
      </w:r>
    </w:p>
    <w:p w14:paraId="6D0A225A">
      <w:pPr>
        <w:pStyle w:val="9"/>
        <w:spacing w:after="0" w:line="249" w:lineRule="auto"/>
        <w:rPr>
          <w:rFonts w:hint="eastAsia"/>
        </w:rPr>
      </w:pPr>
      <w:r>
        <w:rPr>
          <w:rFonts w:hint="eastAsia"/>
        </w:rPr>
        <w:t>24.44:21-28 她必被建造</w:t>
      </w:r>
    </w:p>
    <w:p w14:paraId="0FE758F5">
      <w:pPr>
        <w:pStyle w:val="9"/>
        <w:spacing w:after="0" w:line="249" w:lineRule="auto"/>
        <w:rPr>
          <w:rFonts w:hint="eastAsia"/>
        </w:rPr>
      </w:pPr>
    </w:p>
    <w:p w14:paraId="2561685D">
      <w:pPr>
        <w:pStyle w:val="9"/>
        <w:spacing w:after="0" w:line="249" w:lineRule="auto"/>
        <w:rPr>
          <w:rFonts w:hint="eastAsia"/>
        </w:rPr>
      </w:pPr>
      <w:r>
        <w:rPr>
          <w:rFonts w:hint="eastAsia"/>
        </w:rPr>
        <w:t>25.49:1-7 A Light for the Nations</w:t>
      </w:r>
    </w:p>
    <w:p w14:paraId="6499D895">
      <w:pPr>
        <w:pStyle w:val="9"/>
        <w:spacing w:after="0" w:line="249" w:lineRule="auto"/>
        <w:rPr>
          <w:rFonts w:hint="eastAsia"/>
        </w:rPr>
      </w:pPr>
      <w:r>
        <w:rPr>
          <w:rFonts w:hint="eastAsia"/>
        </w:rPr>
        <w:t>25.49:1-7 作外邦人的光</w:t>
      </w:r>
    </w:p>
    <w:p w14:paraId="27C7D6EC">
      <w:pPr>
        <w:pStyle w:val="9"/>
        <w:spacing w:after="0" w:line="249" w:lineRule="auto"/>
        <w:rPr>
          <w:rFonts w:hint="eastAsia"/>
        </w:rPr>
      </w:pPr>
    </w:p>
    <w:p w14:paraId="38D901CD">
      <w:pPr>
        <w:pStyle w:val="9"/>
        <w:spacing w:after="0" w:line="249" w:lineRule="auto"/>
        <w:rPr>
          <w:rFonts w:hint="eastAsia"/>
        </w:rPr>
      </w:pPr>
      <w:r>
        <w:rPr>
          <w:rFonts w:hint="eastAsia"/>
        </w:rPr>
        <w:t>26.49:8-13 The LORD has Comforted His People</w:t>
      </w:r>
    </w:p>
    <w:p w14:paraId="421D646B">
      <w:pPr>
        <w:pStyle w:val="9"/>
        <w:spacing w:after="0" w:line="249" w:lineRule="auto"/>
        <w:rPr>
          <w:rFonts w:hint="eastAsia"/>
        </w:rPr>
      </w:pPr>
      <w:r>
        <w:rPr>
          <w:rFonts w:hint="eastAsia"/>
        </w:rPr>
        <w:t>26.49:8-13 耶和华已经安慰了祂的百姓</w:t>
      </w:r>
    </w:p>
    <w:p w14:paraId="148AFB94">
      <w:pPr>
        <w:pStyle w:val="9"/>
        <w:spacing w:after="0" w:line="249" w:lineRule="auto"/>
        <w:rPr>
          <w:rFonts w:hint="eastAsia"/>
        </w:rPr>
      </w:pPr>
    </w:p>
    <w:p w14:paraId="75B63BED">
      <w:pPr>
        <w:pStyle w:val="9"/>
        <w:spacing w:after="0" w:line="249" w:lineRule="auto"/>
        <w:rPr>
          <w:rFonts w:hint="eastAsia"/>
        </w:rPr>
      </w:pPr>
      <w:r>
        <w:rPr>
          <w:rFonts w:hint="eastAsia"/>
        </w:rPr>
        <w:t>27.49:14ff God’s Promise to Zion</w:t>
      </w:r>
    </w:p>
    <w:p w14:paraId="6854CB5C">
      <w:pPr>
        <w:pStyle w:val="9"/>
        <w:spacing w:after="0" w:line="249" w:lineRule="auto"/>
        <w:rPr>
          <w:rFonts w:hint="eastAsia"/>
        </w:rPr>
      </w:pPr>
      <w:r>
        <w:rPr>
          <w:rFonts w:hint="eastAsia"/>
        </w:rPr>
        <w:t>27.49:14及以下 神对锡安的应许</w:t>
      </w:r>
    </w:p>
    <w:p w14:paraId="3393776E">
      <w:pPr>
        <w:pStyle w:val="9"/>
        <w:spacing w:after="0" w:line="249" w:lineRule="auto"/>
        <w:rPr>
          <w:rFonts w:hint="eastAsia"/>
        </w:rPr>
      </w:pPr>
    </w:p>
    <w:p w14:paraId="737DD20E">
      <w:pPr>
        <w:pStyle w:val="9"/>
        <w:spacing w:after="0" w:line="249" w:lineRule="auto"/>
        <w:rPr>
          <w:rFonts w:hint="eastAsia"/>
        </w:rPr>
      </w:pPr>
      <w:r>
        <w:rPr>
          <w:rFonts w:hint="eastAsia"/>
        </w:rPr>
        <w:t>28.52:1-12 How Beautiful Upon the Mountains</w:t>
      </w:r>
    </w:p>
    <w:p w14:paraId="2D50BC64">
      <w:pPr>
        <w:pStyle w:val="9"/>
        <w:spacing w:after="0" w:line="249" w:lineRule="auto"/>
        <w:rPr>
          <w:rFonts w:hint="eastAsia"/>
        </w:rPr>
      </w:pPr>
      <w:r>
        <w:rPr>
          <w:rFonts w:hint="eastAsia"/>
        </w:rPr>
        <w:t>28.52:1-12 在山上何等佳美</w:t>
      </w:r>
    </w:p>
    <w:p w14:paraId="2D6EBCA9">
      <w:pPr>
        <w:pStyle w:val="9"/>
        <w:spacing w:after="0" w:line="249" w:lineRule="auto"/>
        <w:rPr>
          <w:rFonts w:hint="eastAsia"/>
        </w:rPr>
      </w:pPr>
    </w:p>
    <w:p w14:paraId="5CD339C0">
      <w:pPr>
        <w:pStyle w:val="9"/>
        <w:spacing w:after="0" w:line="249" w:lineRule="auto"/>
        <w:rPr>
          <w:rFonts w:hint="eastAsia"/>
        </w:rPr>
      </w:pPr>
      <w:r>
        <w:rPr>
          <w:rFonts w:hint="eastAsia"/>
        </w:rPr>
        <w:t>29.52:13-53:12 A Suffering Servant, an Exalted King</w:t>
      </w:r>
    </w:p>
    <w:p w14:paraId="2E2A5CDE">
      <w:pPr>
        <w:pStyle w:val="9"/>
        <w:spacing w:after="0" w:line="249" w:lineRule="auto"/>
        <w:rPr>
          <w:rFonts w:hint="eastAsia"/>
        </w:rPr>
      </w:pPr>
      <w:r>
        <w:rPr>
          <w:rFonts w:hint="eastAsia"/>
        </w:rPr>
        <w:t>29.52:13-53:12 受苦的仆人，被高举的君王</w:t>
      </w:r>
    </w:p>
    <w:p w14:paraId="2FE9AD33">
      <w:pPr>
        <w:pStyle w:val="9"/>
        <w:spacing w:after="0" w:line="249" w:lineRule="auto"/>
        <w:rPr>
          <w:rFonts w:hint="eastAsia"/>
        </w:rPr>
      </w:pPr>
    </w:p>
    <w:p w14:paraId="1D498810">
      <w:pPr>
        <w:pStyle w:val="9"/>
        <w:spacing w:after="0" w:line="249" w:lineRule="auto"/>
        <w:rPr>
          <w:rFonts w:hint="eastAsia"/>
        </w:rPr>
      </w:pPr>
      <w:r>
        <w:rPr>
          <w:rFonts w:hint="eastAsia"/>
        </w:rPr>
        <w:t>30.54:1ff Your Maker is Your Husband</w:t>
      </w:r>
    </w:p>
    <w:p w14:paraId="12C1CD5C">
      <w:pPr>
        <w:pStyle w:val="9"/>
        <w:spacing w:after="0" w:line="249" w:lineRule="auto"/>
        <w:rPr>
          <w:rFonts w:hint="eastAsia"/>
        </w:rPr>
      </w:pPr>
      <w:r>
        <w:rPr>
          <w:rFonts w:hint="eastAsia"/>
        </w:rPr>
        <w:t>30.54:1及以下 造你的是你的丈夫</w:t>
      </w:r>
    </w:p>
    <w:p w14:paraId="2ED4B936">
      <w:pPr>
        <w:pStyle w:val="9"/>
        <w:spacing w:after="0" w:line="249" w:lineRule="auto"/>
        <w:rPr>
          <w:rFonts w:hint="eastAsia"/>
        </w:rPr>
      </w:pPr>
    </w:p>
    <w:p w14:paraId="3D932BC4">
      <w:pPr>
        <w:pStyle w:val="9"/>
        <w:spacing w:after="0" w:line="249" w:lineRule="auto"/>
        <w:rPr>
          <w:rFonts w:hint="eastAsia"/>
        </w:rPr>
      </w:pPr>
      <w:r>
        <w:rPr>
          <w:rFonts w:hint="eastAsia"/>
        </w:rPr>
        <w:t>31.55:1f Come, Buy, Eat!</w:t>
      </w:r>
    </w:p>
    <w:p w14:paraId="0F35ECEC">
      <w:pPr>
        <w:pStyle w:val="9"/>
        <w:spacing w:after="0" w:line="249" w:lineRule="auto"/>
        <w:rPr>
          <w:rFonts w:hint="eastAsia"/>
        </w:rPr>
      </w:pPr>
      <w:r>
        <w:rPr>
          <w:rFonts w:hint="eastAsia"/>
        </w:rPr>
        <w:t>31.55:1及以下 来，买，吃！</w:t>
      </w:r>
    </w:p>
    <w:p w14:paraId="17E020A0">
      <w:pPr>
        <w:pStyle w:val="9"/>
        <w:spacing w:after="0" w:line="249" w:lineRule="auto"/>
        <w:rPr>
          <w:rFonts w:hint="eastAsia"/>
        </w:rPr>
      </w:pPr>
    </w:p>
    <w:p w14:paraId="1B50C45F">
      <w:pPr>
        <w:pStyle w:val="9"/>
        <w:spacing w:after="0" w:line="249" w:lineRule="auto"/>
        <w:rPr>
          <w:rFonts w:hint="eastAsia"/>
        </w:rPr>
      </w:pPr>
      <w:r>
        <w:rPr>
          <w:rFonts w:hint="eastAsia"/>
        </w:rPr>
        <w:t>32.56:1-18 I Will Gather Others</w:t>
      </w:r>
    </w:p>
    <w:p w14:paraId="1957E9B0">
      <w:pPr>
        <w:pStyle w:val="9"/>
        <w:spacing w:after="0" w:line="249" w:lineRule="auto"/>
        <w:rPr>
          <w:rFonts w:hint="eastAsia"/>
        </w:rPr>
      </w:pPr>
      <w:r>
        <w:rPr>
          <w:rFonts w:hint="eastAsia"/>
        </w:rPr>
        <w:t>32.56:1-18 我必招聚另外的人</w:t>
      </w:r>
    </w:p>
    <w:p w14:paraId="7D3788DF">
      <w:pPr>
        <w:pStyle w:val="9"/>
        <w:spacing w:after="0" w:line="249" w:lineRule="auto"/>
        <w:rPr>
          <w:rFonts w:hint="eastAsia"/>
        </w:rPr>
      </w:pPr>
    </w:p>
    <w:p w14:paraId="3D9C3BDF">
      <w:pPr>
        <w:pStyle w:val="9"/>
        <w:spacing w:after="0" w:line="249" w:lineRule="auto"/>
        <w:rPr>
          <w:rFonts w:hint="eastAsia"/>
        </w:rPr>
      </w:pPr>
      <w:r>
        <w:rPr>
          <w:rFonts w:hint="eastAsia"/>
        </w:rPr>
        <w:t>33.60:1-22 Zion’s Future Glory</w:t>
      </w:r>
    </w:p>
    <w:p w14:paraId="1260CAB3">
      <w:pPr>
        <w:pStyle w:val="9"/>
        <w:spacing w:after="0" w:line="249" w:lineRule="auto"/>
        <w:rPr>
          <w:rFonts w:hint="eastAsia"/>
        </w:rPr>
      </w:pPr>
      <w:r>
        <w:rPr>
          <w:rFonts w:hint="eastAsia"/>
        </w:rPr>
        <w:t>33.60:1-22 锡安未来的荣耀</w:t>
      </w:r>
    </w:p>
    <w:p w14:paraId="661050F3">
      <w:pPr>
        <w:pStyle w:val="9"/>
        <w:spacing w:after="0" w:line="249" w:lineRule="auto"/>
        <w:rPr>
          <w:rFonts w:hint="eastAsia"/>
        </w:rPr>
      </w:pPr>
    </w:p>
    <w:p w14:paraId="1DACA0CB">
      <w:pPr>
        <w:pStyle w:val="9"/>
        <w:spacing w:after="0" w:line="249" w:lineRule="auto"/>
        <w:rPr>
          <w:rFonts w:hint="eastAsia"/>
        </w:rPr>
      </w:pPr>
      <w:r>
        <w:rPr>
          <w:rFonts w:hint="eastAsia"/>
        </w:rPr>
        <w:t>34.61:1ff They Shall Build Up the Ancient Ruins</w:t>
      </w:r>
    </w:p>
    <w:p w14:paraId="2AB2413B">
      <w:pPr>
        <w:pStyle w:val="9"/>
        <w:spacing w:after="0" w:line="249" w:lineRule="auto"/>
        <w:rPr>
          <w:rFonts w:hint="eastAsia"/>
        </w:rPr>
      </w:pPr>
      <w:r>
        <w:rPr>
          <w:rFonts w:hint="eastAsia"/>
        </w:rPr>
        <w:t>34.61:1及以下 他们必修造久已荒凉之处</w:t>
      </w:r>
    </w:p>
    <w:p w14:paraId="45BACBC9">
      <w:pPr>
        <w:pStyle w:val="9"/>
        <w:spacing w:after="0" w:line="249" w:lineRule="auto"/>
        <w:rPr>
          <w:rFonts w:hint="eastAsia"/>
        </w:rPr>
      </w:pPr>
    </w:p>
    <w:p w14:paraId="068C2499">
      <w:pPr>
        <w:pStyle w:val="9"/>
        <w:spacing w:after="0" w:line="249" w:lineRule="auto"/>
        <w:rPr>
          <w:rFonts w:hint="eastAsia"/>
        </w:rPr>
      </w:pPr>
      <w:r>
        <w:rPr>
          <w:rFonts w:hint="eastAsia"/>
        </w:rPr>
        <w:t>35.62:1ff A City Not Forsaken</w:t>
      </w:r>
    </w:p>
    <w:p w14:paraId="26E67CFB">
      <w:pPr>
        <w:pStyle w:val="9"/>
        <w:spacing w:after="0" w:line="249" w:lineRule="auto"/>
        <w:rPr>
          <w:rFonts w:hint="eastAsia"/>
        </w:rPr>
      </w:pPr>
      <w:r>
        <w:rPr>
          <w:rFonts w:hint="eastAsia"/>
        </w:rPr>
        <w:t>35.62:1及以下 不被撇弃的城</w:t>
      </w:r>
    </w:p>
    <w:p w14:paraId="0D4857FC">
      <w:pPr>
        <w:pStyle w:val="9"/>
        <w:spacing w:after="0" w:line="249" w:lineRule="auto"/>
        <w:rPr>
          <w:rFonts w:hint="eastAsia"/>
        </w:rPr>
      </w:pPr>
    </w:p>
    <w:p w14:paraId="438F41D9">
      <w:pPr>
        <w:pStyle w:val="9"/>
        <w:spacing w:after="0" w:line="249" w:lineRule="auto"/>
        <w:rPr>
          <w:rFonts w:hint="eastAsia"/>
        </w:rPr>
      </w:pPr>
      <w:r>
        <w:rPr>
          <w:rFonts w:hint="eastAsia"/>
        </w:rPr>
        <w:t>36.63:1-6 The Day of Vengeance</w:t>
      </w:r>
    </w:p>
    <w:p w14:paraId="191674D9">
      <w:pPr>
        <w:pStyle w:val="9"/>
        <w:spacing w:after="0" w:line="249" w:lineRule="auto"/>
        <w:rPr>
          <w:rFonts w:hint="eastAsia"/>
        </w:rPr>
      </w:pPr>
      <w:r>
        <w:rPr>
          <w:rFonts w:hint="eastAsia"/>
        </w:rPr>
        <w:t>36.63:1-6 报仇之日</w:t>
      </w:r>
    </w:p>
    <w:p w14:paraId="76716388">
      <w:pPr>
        <w:pStyle w:val="9"/>
        <w:spacing w:after="0" w:line="249" w:lineRule="auto"/>
        <w:rPr>
          <w:rFonts w:hint="eastAsia"/>
        </w:rPr>
      </w:pPr>
    </w:p>
    <w:p w14:paraId="611AD8E4">
      <w:pPr>
        <w:pStyle w:val="9"/>
        <w:spacing w:after="0" w:line="249" w:lineRule="auto"/>
        <w:rPr>
          <w:rFonts w:hint="eastAsia"/>
        </w:rPr>
      </w:pPr>
      <w:r>
        <w:rPr>
          <w:rFonts w:hint="eastAsia"/>
        </w:rPr>
        <w:t>37.65:8-10 The Faithful Remnant</w:t>
      </w:r>
    </w:p>
    <w:p w14:paraId="329F4079">
      <w:pPr>
        <w:pStyle w:val="9"/>
        <w:spacing w:after="0" w:line="249" w:lineRule="auto"/>
        <w:rPr>
          <w:rFonts w:hint="eastAsia"/>
        </w:rPr>
      </w:pPr>
      <w:r>
        <w:rPr>
          <w:rFonts w:hint="eastAsia"/>
        </w:rPr>
        <w:t>37.65:8-10 忠信的余民</w:t>
      </w:r>
    </w:p>
    <w:p w14:paraId="396B618B">
      <w:pPr>
        <w:pStyle w:val="9"/>
        <w:spacing w:after="0" w:line="249" w:lineRule="auto"/>
        <w:rPr>
          <w:rFonts w:hint="eastAsia"/>
        </w:rPr>
      </w:pPr>
    </w:p>
    <w:p w14:paraId="327CB36C">
      <w:pPr>
        <w:pStyle w:val="9"/>
        <w:spacing w:after="0" w:line="249" w:lineRule="auto"/>
        <w:rPr>
          <w:rFonts w:hint="eastAsia"/>
        </w:rPr>
      </w:pPr>
      <w:r>
        <w:rPr>
          <w:rFonts w:hint="eastAsia"/>
        </w:rPr>
        <w:t>38.65:17ff I Create Jerusalem a Joy</w:t>
      </w:r>
    </w:p>
    <w:p w14:paraId="1A3B70FC">
      <w:pPr>
        <w:pStyle w:val="9"/>
        <w:spacing w:after="0" w:line="249" w:lineRule="auto"/>
        <w:rPr>
          <w:rFonts w:hint="eastAsia"/>
        </w:rPr>
      </w:pPr>
      <w:r>
        <w:rPr>
          <w:rFonts w:hint="eastAsia"/>
        </w:rPr>
        <w:t>38.65:17及以下 我造耶路撒冷为人所喜</w:t>
      </w:r>
    </w:p>
    <w:p w14:paraId="4A53C439">
      <w:pPr>
        <w:pStyle w:val="9"/>
        <w:spacing w:after="0" w:line="249" w:lineRule="auto"/>
        <w:rPr>
          <w:rFonts w:hint="eastAsia"/>
        </w:rPr>
      </w:pPr>
    </w:p>
    <w:p w14:paraId="41ABB71B">
      <w:pPr>
        <w:pStyle w:val="9"/>
        <w:spacing w:after="0" w:line="249" w:lineRule="auto"/>
        <w:rPr>
          <w:rFonts w:hint="eastAsia"/>
        </w:rPr>
      </w:pPr>
      <w:r>
        <w:rPr>
          <w:rFonts w:hint="eastAsia"/>
        </w:rPr>
        <w:t>39.66:7-14 A Nation Born in a Day</w:t>
      </w:r>
    </w:p>
    <w:p w14:paraId="516B6C47">
      <w:pPr>
        <w:pStyle w:val="9"/>
        <w:spacing w:after="0" w:line="249" w:lineRule="auto"/>
        <w:rPr>
          <w:rFonts w:hint="eastAsia"/>
        </w:rPr>
      </w:pPr>
      <w:r>
        <w:rPr>
          <w:rFonts w:hint="eastAsia"/>
        </w:rPr>
        <w:t>39.66:7-14 一日之内诞生的国</w:t>
      </w:r>
    </w:p>
    <w:p w14:paraId="35E891E3">
      <w:pPr>
        <w:pStyle w:val="9"/>
        <w:spacing w:after="0" w:line="249" w:lineRule="auto"/>
        <w:rPr>
          <w:rFonts w:hint="eastAsia"/>
        </w:rPr>
      </w:pPr>
    </w:p>
    <w:p w14:paraId="5D143067">
      <w:pPr>
        <w:pStyle w:val="9"/>
        <w:spacing w:after="0" w:line="249" w:lineRule="auto"/>
        <w:rPr>
          <w:rFonts w:hint="eastAsia"/>
        </w:rPr>
      </w:pPr>
      <w:r>
        <w:rPr>
          <w:rFonts w:hint="eastAsia"/>
        </w:rPr>
        <w:t>40.66:18ff The Nations Gathered to Zion</w:t>
      </w:r>
    </w:p>
    <w:p w14:paraId="1F0D4A49">
      <w:pPr>
        <w:pStyle w:val="9"/>
        <w:spacing w:after="0" w:line="249" w:lineRule="auto"/>
        <w:rPr>
          <w:rFonts w:hint="eastAsia"/>
        </w:rPr>
      </w:pPr>
      <w:r>
        <w:rPr>
          <w:rFonts w:hint="eastAsia"/>
        </w:rPr>
        <w:t>40.66:18及以下 列国聚集到锡安</w:t>
      </w:r>
    </w:p>
    <w:p w14:paraId="63AD55FF">
      <w:pPr>
        <w:pStyle w:val="9"/>
        <w:spacing w:after="0" w:line="249" w:lineRule="auto"/>
        <w:rPr>
          <w:rFonts w:hint="eastAsia"/>
        </w:rPr>
      </w:pPr>
    </w:p>
    <w:p w14:paraId="2D4ABFB3">
      <w:pPr>
        <w:pStyle w:val="9"/>
        <w:spacing w:after="0" w:line="249" w:lineRule="auto"/>
        <w:rPr>
          <w:rFonts w:hint="eastAsia"/>
        </w:rPr>
      </w:pPr>
      <w:r>
        <w:rPr>
          <w:rFonts w:hint="eastAsia"/>
        </w:rPr>
        <w:t>Jeremiah</w:t>
      </w:r>
    </w:p>
    <w:p w14:paraId="5620A731">
      <w:pPr>
        <w:pStyle w:val="9"/>
        <w:spacing w:after="0" w:line="249" w:lineRule="auto"/>
        <w:rPr>
          <w:rFonts w:hint="eastAsia"/>
        </w:rPr>
      </w:pPr>
      <w:r>
        <w:rPr>
          <w:rFonts w:hint="eastAsia"/>
        </w:rPr>
        <w:t>耶利米书</w:t>
      </w:r>
    </w:p>
    <w:p w14:paraId="79241A98">
      <w:pPr>
        <w:pStyle w:val="9"/>
        <w:spacing w:after="0" w:line="249" w:lineRule="auto"/>
        <w:rPr>
          <w:rFonts w:hint="eastAsia"/>
        </w:rPr>
      </w:pPr>
    </w:p>
    <w:p w14:paraId="5F4C538C">
      <w:pPr>
        <w:pStyle w:val="9"/>
        <w:spacing w:after="0" w:line="249" w:lineRule="auto"/>
        <w:rPr>
          <w:rFonts w:hint="eastAsia"/>
        </w:rPr>
      </w:pPr>
      <w:r>
        <w:rPr>
          <w:rFonts w:hint="eastAsia"/>
        </w:rPr>
        <w:t>1.3:11-18 God’s Promise to Faithless Israel</w:t>
      </w:r>
    </w:p>
    <w:p w14:paraId="32FB0804">
      <w:pPr>
        <w:pStyle w:val="9"/>
        <w:spacing w:after="0" w:line="249" w:lineRule="auto"/>
        <w:rPr>
          <w:rFonts w:hint="eastAsia"/>
        </w:rPr>
      </w:pPr>
      <w:r>
        <w:rPr>
          <w:rFonts w:hint="eastAsia"/>
        </w:rPr>
        <w:t>1.3:11-18 神对不忠以色列的应许</w:t>
      </w:r>
    </w:p>
    <w:p w14:paraId="242FD35E">
      <w:pPr>
        <w:pStyle w:val="9"/>
        <w:spacing w:after="0" w:line="249" w:lineRule="auto"/>
        <w:rPr>
          <w:rFonts w:hint="eastAsia"/>
        </w:rPr>
      </w:pPr>
    </w:p>
    <w:p w14:paraId="5E72B4ED">
      <w:pPr>
        <w:pStyle w:val="9"/>
        <w:spacing w:after="0" w:line="249" w:lineRule="auto"/>
        <w:rPr>
          <w:rFonts w:hint="eastAsia"/>
        </w:rPr>
      </w:pPr>
      <w:r>
        <w:rPr>
          <w:rFonts w:hint="eastAsia"/>
        </w:rPr>
        <w:t>2.12:14-17 God’s Word to Israel’s Wicked Neighbors</w:t>
      </w:r>
    </w:p>
    <w:p w14:paraId="61D5E076">
      <w:pPr>
        <w:pStyle w:val="9"/>
        <w:spacing w:after="0" w:line="249" w:lineRule="auto"/>
        <w:rPr>
          <w:rFonts w:hint="eastAsia"/>
        </w:rPr>
      </w:pPr>
      <w:r>
        <w:rPr>
          <w:rFonts w:hint="eastAsia"/>
        </w:rPr>
        <w:t>2.12:14-17 神对以色列邪恶邻邦的话</w:t>
      </w:r>
    </w:p>
    <w:p w14:paraId="2818EF39">
      <w:pPr>
        <w:pStyle w:val="9"/>
        <w:spacing w:after="0" w:line="249" w:lineRule="auto"/>
        <w:rPr>
          <w:rFonts w:hint="eastAsia"/>
        </w:rPr>
      </w:pPr>
    </w:p>
    <w:p w14:paraId="6E5728EE">
      <w:pPr>
        <w:pStyle w:val="9"/>
        <w:spacing w:after="0" w:line="249" w:lineRule="auto"/>
        <w:rPr>
          <w:rFonts w:hint="eastAsia"/>
        </w:rPr>
      </w:pPr>
      <w:r>
        <w:rPr>
          <w:rFonts w:hint="eastAsia"/>
        </w:rPr>
        <w:t>3.23:1-7 The Righteous Branch of David</w:t>
      </w:r>
    </w:p>
    <w:p w14:paraId="05734C78">
      <w:pPr>
        <w:pStyle w:val="9"/>
        <w:spacing w:after="0" w:line="249" w:lineRule="auto"/>
        <w:rPr>
          <w:rFonts w:hint="eastAsia"/>
        </w:rPr>
      </w:pPr>
      <w:r>
        <w:rPr>
          <w:rFonts w:hint="eastAsia"/>
        </w:rPr>
        <w:t>3.23:1-7 大卫公义的苗裔</w:t>
      </w:r>
    </w:p>
    <w:p w14:paraId="664A9759">
      <w:pPr>
        <w:pStyle w:val="9"/>
        <w:spacing w:after="0" w:line="249" w:lineRule="auto"/>
        <w:rPr>
          <w:rFonts w:hint="eastAsia"/>
        </w:rPr>
      </w:pPr>
    </w:p>
    <w:p w14:paraId="763A0D81">
      <w:pPr>
        <w:pStyle w:val="9"/>
        <w:spacing w:after="0" w:line="249" w:lineRule="auto"/>
        <w:rPr>
          <w:rFonts w:hint="eastAsia"/>
        </w:rPr>
      </w:pPr>
      <w:r>
        <w:rPr>
          <w:rFonts w:hint="eastAsia"/>
        </w:rPr>
        <w:t>4.29:10-14 I Will Bring You Back (DF)</w:t>
      </w:r>
    </w:p>
    <w:p w14:paraId="1D9E3332">
      <w:pPr>
        <w:pStyle w:val="9"/>
        <w:spacing w:after="0" w:line="249" w:lineRule="auto"/>
        <w:rPr>
          <w:rFonts w:hint="eastAsia"/>
        </w:rPr>
      </w:pPr>
      <w:r>
        <w:rPr>
          <w:rFonts w:hint="eastAsia"/>
        </w:rPr>
        <w:t>4.29:10-14 我必领你们回来（双重应验）</w:t>
      </w:r>
    </w:p>
    <w:p w14:paraId="11B7EBCD">
      <w:pPr>
        <w:pStyle w:val="9"/>
        <w:spacing w:after="0" w:line="249" w:lineRule="auto"/>
        <w:rPr>
          <w:rFonts w:hint="eastAsia"/>
        </w:rPr>
      </w:pPr>
    </w:p>
    <w:p w14:paraId="79B5F5E0">
      <w:pPr>
        <w:pStyle w:val="9"/>
        <w:spacing w:after="0" w:line="249" w:lineRule="auto"/>
        <w:rPr>
          <w:rFonts w:hint="eastAsia"/>
        </w:rPr>
      </w:pPr>
      <w:r>
        <w:rPr>
          <w:rFonts w:hint="eastAsia"/>
        </w:rPr>
        <w:t>5.30:1f I Will Break His Yoke (DF)</w:t>
      </w:r>
    </w:p>
    <w:p w14:paraId="1A1BB750">
      <w:pPr>
        <w:pStyle w:val="9"/>
        <w:spacing w:after="0" w:line="249" w:lineRule="auto"/>
        <w:rPr>
          <w:rFonts w:hint="eastAsia"/>
        </w:rPr>
      </w:pPr>
      <w:r>
        <w:rPr>
          <w:rFonts w:hint="eastAsia"/>
        </w:rPr>
        <w:t>5.30:1及以下 我必折断他的轭（双重应验）</w:t>
      </w:r>
    </w:p>
    <w:p w14:paraId="7AD973F0">
      <w:pPr>
        <w:pStyle w:val="9"/>
        <w:spacing w:after="0" w:line="249" w:lineRule="auto"/>
        <w:rPr>
          <w:rFonts w:hint="eastAsia"/>
        </w:rPr>
      </w:pPr>
    </w:p>
    <w:p w14:paraId="193FF747">
      <w:pPr>
        <w:pStyle w:val="9"/>
        <w:spacing w:after="0" w:line="249" w:lineRule="auto"/>
        <w:rPr>
          <w:rFonts w:hint="eastAsia"/>
        </w:rPr>
      </w:pPr>
      <w:r>
        <w:rPr>
          <w:rFonts w:hint="eastAsia"/>
        </w:rPr>
        <w:t>6.31:31f A New Covenant, a New Heart</w:t>
      </w:r>
    </w:p>
    <w:p w14:paraId="1C551347">
      <w:pPr>
        <w:pStyle w:val="9"/>
        <w:spacing w:after="0" w:line="249" w:lineRule="auto"/>
        <w:rPr>
          <w:rFonts w:hint="eastAsia"/>
        </w:rPr>
      </w:pPr>
      <w:r>
        <w:rPr>
          <w:rFonts w:hint="eastAsia"/>
        </w:rPr>
        <w:t>6.31:31及以下 新约，新心</w:t>
      </w:r>
    </w:p>
    <w:p w14:paraId="24B86702">
      <w:pPr>
        <w:pStyle w:val="9"/>
        <w:spacing w:after="0" w:line="249" w:lineRule="auto"/>
        <w:rPr>
          <w:rFonts w:hint="eastAsia"/>
        </w:rPr>
      </w:pPr>
    </w:p>
    <w:p w14:paraId="797F1DB4">
      <w:pPr>
        <w:pStyle w:val="9"/>
        <w:spacing w:after="0" w:line="249" w:lineRule="auto"/>
        <w:rPr>
          <w:rFonts w:hint="eastAsia"/>
        </w:rPr>
      </w:pPr>
      <w:r>
        <w:rPr>
          <w:rFonts w:hint="eastAsia"/>
        </w:rPr>
        <w:t>7.32:36ff They Shall Be My People</w:t>
      </w:r>
    </w:p>
    <w:p w14:paraId="54024C30">
      <w:pPr>
        <w:pStyle w:val="9"/>
        <w:spacing w:after="0" w:line="249" w:lineRule="auto"/>
        <w:rPr>
          <w:rFonts w:hint="eastAsia"/>
        </w:rPr>
      </w:pPr>
      <w:r>
        <w:rPr>
          <w:rFonts w:hint="eastAsia"/>
        </w:rPr>
        <w:t>7.32:36及以下 他们必作我的子民</w:t>
      </w:r>
    </w:p>
    <w:p w14:paraId="04F12B1D">
      <w:pPr>
        <w:pStyle w:val="9"/>
        <w:spacing w:after="0" w:line="249" w:lineRule="auto"/>
        <w:rPr>
          <w:rFonts w:hint="eastAsia"/>
        </w:rPr>
      </w:pPr>
    </w:p>
    <w:p w14:paraId="1C581CE2">
      <w:pPr>
        <w:pStyle w:val="9"/>
        <w:spacing w:after="0" w:line="249" w:lineRule="auto"/>
        <w:rPr>
          <w:rFonts w:hint="eastAsia"/>
        </w:rPr>
      </w:pPr>
      <w:r>
        <w:rPr>
          <w:rFonts w:hint="eastAsia"/>
        </w:rPr>
        <w:t>8.33:1-13 Jerusalem, a Name of Joy Before the Nations</w:t>
      </w:r>
    </w:p>
    <w:p w14:paraId="2C74BF48">
      <w:pPr>
        <w:pStyle w:val="9"/>
        <w:spacing w:after="0" w:line="249" w:lineRule="auto"/>
        <w:rPr>
          <w:rFonts w:hint="eastAsia"/>
        </w:rPr>
      </w:pPr>
      <w:r>
        <w:rPr>
          <w:rFonts w:hint="eastAsia"/>
        </w:rPr>
        <w:t>8.33:1-13 耶路撒冷，在列国面前喜乐之名</w:t>
      </w:r>
    </w:p>
    <w:p w14:paraId="5287B947">
      <w:pPr>
        <w:pStyle w:val="9"/>
        <w:spacing w:after="0" w:line="249" w:lineRule="auto"/>
        <w:rPr>
          <w:rFonts w:hint="eastAsia"/>
        </w:rPr>
      </w:pPr>
    </w:p>
    <w:p w14:paraId="00190465">
      <w:pPr>
        <w:pStyle w:val="9"/>
        <w:spacing w:after="0" w:line="249" w:lineRule="auto"/>
        <w:rPr>
          <w:rFonts w:hint="eastAsia"/>
        </w:rPr>
      </w:pPr>
      <w:r>
        <w:rPr>
          <w:rFonts w:hint="eastAsia"/>
        </w:rPr>
        <w:t>9.33:14ff God’s Eternal Covenant with David</w:t>
      </w:r>
    </w:p>
    <w:p w14:paraId="5D8E74B1">
      <w:pPr>
        <w:pStyle w:val="9"/>
        <w:spacing w:after="0" w:line="249" w:lineRule="auto"/>
        <w:rPr>
          <w:rFonts w:hint="eastAsia"/>
        </w:rPr>
      </w:pPr>
      <w:r>
        <w:rPr>
          <w:rFonts w:hint="eastAsia"/>
        </w:rPr>
        <w:t>9.33:14及以下 神与大卫所立的永约</w:t>
      </w:r>
    </w:p>
    <w:p w14:paraId="660B53C0">
      <w:pPr>
        <w:pStyle w:val="9"/>
        <w:spacing w:after="0" w:line="249" w:lineRule="auto"/>
        <w:rPr>
          <w:rFonts w:hint="eastAsia"/>
        </w:rPr>
      </w:pPr>
    </w:p>
    <w:p w14:paraId="195F147D">
      <w:pPr>
        <w:pStyle w:val="9"/>
        <w:spacing w:after="0" w:line="249" w:lineRule="auto"/>
        <w:rPr>
          <w:rFonts w:hint="eastAsia"/>
        </w:rPr>
      </w:pPr>
      <w:r>
        <w:rPr>
          <w:rFonts w:hint="eastAsia"/>
        </w:rPr>
        <w:t>10.46:26 Eschatological Mercy to Egypt</w:t>
      </w:r>
    </w:p>
    <w:p w14:paraId="3F58733A">
      <w:pPr>
        <w:pStyle w:val="9"/>
        <w:spacing w:after="0" w:line="249" w:lineRule="auto"/>
        <w:rPr>
          <w:rFonts w:hint="eastAsia"/>
        </w:rPr>
      </w:pPr>
      <w:r>
        <w:rPr>
          <w:rFonts w:hint="eastAsia"/>
        </w:rPr>
        <w:t>10.46:26 对埃及末世论的怜悯</w:t>
      </w:r>
    </w:p>
    <w:p w14:paraId="2B0FBCC9">
      <w:pPr>
        <w:pStyle w:val="9"/>
        <w:spacing w:after="0" w:line="249" w:lineRule="auto"/>
        <w:rPr>
          <w:rFonts w:hint="eastAsia"/>
        </w:rPr>
      </w:pPr>
    </w:p>
    <w:p w14:paraId="53901D30">
      <w:pPr>
        <w:pStyle w:val="9"/>
        <w:spacing w:after="0" w:line="249" w:lineRule="auto"/>
        <w:rPr>
          <w:rFonts w:hint="eastAsia"/>
        </w:rPr>
      </w:pPr>
      <w:r>
        <w:rPr>
          <w:rFonts w:hint="eastAsia"/>
        </w:rPr>
        <w:t>11.48:47 Eschatological Mercy to Moab</w:t>
      </w:r>
    </w:p>
    <w:p w14:paraId="637E658F">
      <w:pPr>
        <w:pStyle w:val="9"/>
        <w:spacing w:after="0" w:line="249" w:lineRule="auto"/>
        <w:rPr>
          <w:rFonts w:hint="eastAsia"/>
        </w:rPr>
      </w:pPr>
      <w:r>
        <w:rPr>
          <w:rFonts w:hint="eastAsia"/>
        </w:rPr>
        <w:t>11.48:47 对摩押末世论的怜悯</w:t>
      </w:r>
    </w:p>
    <w:p w14:paraId="4B5BE4B7">
      <w:pPr>
        <w:pStyle w:val="9"/>
        <w:spacing w:after="0" w:line="249" w:lineRule="auto"/>
        <w:rPr>
          <w:rFonts w:hint="eastAsia"/>
        </w:rPr>
      </w:pPr>
    </w:p>
    <w:p w14:paraId="7E3D4A43">
      <w:pPr>
        <w:pStyle w:val="9"/>
        <w:spacing w:after="0" w:line="249" w:lineRule="auto"/>
        <w:rPr>
          <w:rFonts w:hint="eastAsia"/>
        </w:rPr>
      </w:pPr>
      <w:r>
        <w:rPr>
          <w:rFonts w:hint="eastAsia"/>
        </w:rPr>
        <w:t>12.49:6 Eschatological Mercy to Ammon</w:t>
      </w:r>
    </w:p>
    <w:p w14:paraId="0B794ADC">
      <w:pPr>
        <w:pStyle w:val="9"/>
        <w:spacing w:after="0" w:line="249" w:lineRule="auto"/>
        <w:rPr>
          <w:rFonts w:hint="eastAsia"/>
        </w:rPr>
      </w:pPr>
      <w:r>
        <w:rPr>
          <w:rFonts w:hint="eastAsia"/>
        </w:rPr>
        <w:t>12.49:6 对亚扪末世论的怜悯</w:t>
      </w:r>
    </w:p>
    <w:p w14:paraId="07B5CB6A">
      <w:pPr>
        <w:pStyle w:val="9"/>
        <w:spacing w:after="0" w:line="249" w:lineRule="auto"/>
        <w:rPr>
          <w:rFonts w:hint="eastAsia"/>
        </w:rPr>
      </w:pPr>
    </w:p>
    <w:p w14:paraId="5FF3580C">
      <w:pPr>
        <w:pStyle w:val="9"/>
        <w:spacing w:after="0" w:line="249" w:lineRule="auto"/>
        <w:rPr>
          <w:rFonts w:hint="eastAsia"/>
        </w:rPr>
      </w:pPr>
      <w:r>
        <w:rPr>
          <w:rFonts w:hint="eastAsia"/>
        </w:rPr>
        <w:t>13.49:39 Eschatological Mercy to Elam</w:t>
      </w:r>
    </w:p>
    <w:p w14:paraId="522CF92E">
      <w:pPr>
        <w:pStyle w:val="9"/>
        <w:spacing w:after="0" w:line="249" w:lineRule="auto"/>
        <w:rPr>
          <w:rFonts w:hint="eastAsia"/>
        </w:rPr>
      </w:pPr>
      <w:r>
        <w:rPr>
          <w:rFonts w:hint="eastAsia"/>
        </w:rPr>
        <w:t>13.49:39 对以拦末世论的怜悯</w:t>
      </w:r>
    </w:p>
    <w:p w14:paraId="5C8A43F7">
      <w:pPr>
        <w:pStyle w:val="9"/>
        <w:spacing w:after="0" w:line="249" w:lineRule="auto"/>
        <w:rPr>
          <w:rFonts w:hint="eastAsia"/>
        </w:rPr>
      </w:pPr>
    </w:p>
    <w:p w14:paraId="12C7AD23">
      <w:pPr>
        <w:pStyle w:val="9"/>
        <w:spacing w:after="0" w:line="249" w:lineRule="auto"/>
        <w:rPr>
          <w:rFonts w:hint="eastAsia"/>
        </w:rPr>
      </w:pPr>
      <w:r>
        <w:rPr>
          <w:rFonts w:hint="eastAsia"/>
        </w:rPr>
        <w:t>14.50:4-5 They Will Ask the Way to Zion</w:t>
      </w:r>
    </w:p>
    <w:p w14:paraId="5DBA34FE">
      <w:pPr>
        <w:pStyle w:val="9"/>
        <w:spacing w:after="0" w:line="249" w:lineRule="auto"/>
        <w:rPr>
          <w:rFonts w:hint="eastAsia"/>
        </w:rPr>
      </w:pPr>
      <w:r>
        <w:rPr>
          <w:rFonts w:hint="eastAsia"/>
        </w:rPr>
        <w:t>14.50:4-5 他们必问往锡安的路</w:t>
      </w:r>
    </w:p>
    <w:p w14:paraId="7F6B8912">
      <w:pPr>
        <w:pStyle w:val="9"/>
        <w:spacing w:after="0" w:line="249" w:lineRule="auto"/>
        <w:rPr>
          <w:rFonts w:hint="eastAsia"/>
        </w:rPr>
      </w:pPr>
    </w:p>
    <w:p w14:paraId="411C5C0F">
      <w:pPr>
        <w:pStyle w:val="9"/>
        <w:spacing w:after="0" w:line="249" w:lineRule="auto"/>
        <w:rPr>
          <w:rFonts w:hint="eastAsia"/>
        </w:rPr>
      </w:pPr>
      <w:r>
        <w:rPr>
          <w:rFonts w:hint="eastAsia"/>
        </w:rPr>
        <w:t>15.50:17-20 I Will Pardon the Remnant</w:t>
      </w:r>
    </w:p>
    <w:p w14:paraId="2839BCA3">
      <w:pPr>
        <w:pStyle w:val="9"/>
        <w:spacing w:after="0" w:line="249" w:lineRule="auto"/>
        <w:rPr>
          <w:rFonts w:hint="eastAsia"/>
        </w:rPr>
      </w:pPr>
      <w:r>
        <w:rPr>
          <w:rFonts w:hint="eastAsia"/>
        </w:rPr>
        <w:t>15.50:17-20 我必赦免余民</w:t>
      </w:r>
    </w:p>
    <w:p w14:paraId="771E42A3">
      <w:pPr>
        <w:pStyle w:val="9"/>
        <w:spacing w:after="0" w:line="249" w:lineRule="auto"/>
        <w:rPr>
          <w:rFonts w:hint="eastAsia"/>
        </w:rPr>
      </w:pPr>
    </w:p>
    <w:p w14:paraId="27F20D61">
      <w:pPr>
        <w:pStyle w:val="9"/>
        <w:spacing w:after="0" w:line="249" w:lineRule="auto"/>
        <w:rPr>
          <w:rFonts w:hint="eastAsia"/>
        </w:rPr>
      </w:pPr>
      <w:r>
        <w:rPr>
          <w:rFonts w:hint="eastAsia"/>
        </w:rPr>
        <w:t>16.50:34 Eschatological Mercy to the Earth</w:t>
      </w:r>
    </w:p>
    <w:p w14:paraId="5860FA99">
      <w:pPr>
        <w:pStyle w:val="9"/>
        <w:spacing w:after="0" w:line="249" w:lineRule="auto"/>
        <w:rPr>
          <w:rFonts w:hint="eastAsia"/>
        </w:rPr>
      </w:pPr>
      <w:r>
        <w:rPr>
          <w:rFonts w:hint="eastAsia"/>
        </w:rPr>
        <w:t>16.50:34 对全地末世论的怜悯</w:t>
      </w:r>
    </w:p>
    <w:p w14:paraId="2F60FB2C">
      <w:pPr>
        <w:pStyle w:val="9"/>
        <w:spacing w:after="0" w:line="249" w:lineRule="auto"/>
        <w:rPr>
          <w:rFonts w:hint="eastAsia"/>
        </w:rPr>
      </w:pPr>
    </w:p>
    <w:p w14:paraId="76F6B459">
      <w:pPr>
        <w:pStyle w:val="9"/>
        <w:spacing w:after="0" w:line="249" w:lineRule="auto"/>
        <w:rPr>
          <w:rFonts w:hint="eastAsia"/>
        </w:rPr>
      </w:pPr>
      <w:r>
        <w:rPr>
          <w:rFonts w:hint="eastAsia"/>
        </w:rPr>
        <w:t>Ezekiel</w:t>
      </w:r>
    </w:p>
    <w:p w14:paraId="51F16C7D">
      <w:pPr>
        <w:pStyle w:val="9"/>
        <w:spacing w:after="0" w:line="249" w:lineRule="auto"/>
        <w:rPr>
          <w:rFonts w:hint="eastAsia"/>
        </w:rPr>
      </w:pPr>
      <w:r>
        <w:rPr>
          <w:rFonts w:hint="eastAsia"/>
        </w:rPr>
        <w:t>以西结书</w:t>
      </w:r>
    </w:p>
    <w:p w14:paraId="06B5A61D">
      <w:pPr>
        <w:pStyle w:val="9"/>
        <w:spacing w:after="0" w:line="249" w:lineRule="auto"/>
        <w:rPr>
          <w:rFonts w:hint="eastAsia"/>
        </w:rPr>
      </w:pPr>
    </w:p>
    <w:p w14:paraId="0706D890">
      <w:pPr>
        <w:pStyle w:val="9"/>
        <w:spacing w:after="0" w:line="249" w:lineRule="auto"/>
        <w:rPr>
          <w:rFonts w:hint="eastAsia"/>
        </w:rPr>
      </w:pPr>
      <w:r>
        <w:rPr>
          <w:rFonts w:hint="eastAsia"/>
        </w:rPr>
        <w:t>1.20:33-44 I Will Be King Over You</w:t>
      </w:r>
    </w:p>
    <w:p w14:paraId="6EDA9394">
      <w:pPr>
        <w:pStyle w:val="9"/>
        <w:spacing w:after="0" w:line="249" w:lineRule="auto"/>
        <w:rPr>
          <w:rFonts w:hint="eastAsia"/>
        </w:rPr>
      </w:pPr>
      <w:r>
        <w:rPr>
          <w:rFonts w:hint="eastAsia"/>
        </w:rPr>
        <w:t>1.20:33-44 我必作王治理你们</w:t>
      </w:r>
    </w:p>
    <w:p w14:paraId="39C18247">
      <w:pPr>
        <w:pStyle w:val="9"/>
        <w:spacing w:after="0" w:line="249" w:lineRule="auto"/>
        <w:rPr>
          <w:rFonts w:hint="eastAsia"/>
        </w:rPr>
      </w:pPr>
    </w:p>
    <w:p w14:paraId="277A8650">
      <w:pPr>
        <w:pStyle w:val="9"/>
        <w:spacing w:after="0" w:line="249" w:lineRule="auto"/>
        <w:rPr>
          <w:rFonts w:hint="eastAsia"/>
        </w:rPr>
      </w:pPr>
      <w:r>
        <w:rPr>
          <w:rFonts w:hint="eastAsia"/>
        </w:rPr>
        <w:t>2.28:24-26 Israel Will Dwell Securely</w:t>
      </w:r>
    </w:p>
    <w:p w14:paraId="73CB248F">
      <w:pPr>
        <w:pStyle w:val="9"/>
        <w:spacing w:after="0" w:line="249" w:lineRule="auto"/>
        <w:rPr>
          <w:rFonts w:hint="eastAsia"/>
        </w:rPr>
      </w:pPr>
      <w:r>
        <w:rPr>
          <w:rFonts w:hint="eastAsia"/>
        </w:rPr>
        <w:t>2.28:24-26 以色列必安然居住</w:t>
      </w:r>
    </w:p>
    <w:p w14:paraId="5885FC73">
      <w:pPr>
        <w:pStyle w:val="9"/>
        <w:spacing w:after="0" w:line="249" w:lineRule="auto"/>
        <w:rPr>
          <w:rFonts w:hint="eastAsia"/>
        </w:rPr>
      </w:pPr>
    </w:p>
    <w:p w14:paraId="0CAFC7A7">
      <w:pPr>
        <w:pStyle w:val="9"/>
        <w:spacing w:after="0" w:line="249" w:lineRule="auto"/>
        <w:rPr>
          <w:rFonts w:hint="eastAsia"/>
        </w:rPr>
      </w:pPr>
      <w:r>
        <w:rPr>
          <w:rFonts w:hint="eastAsia"/>
        </w:rPr>
        <w:t>3.34:11-31 I Will Lead My Flock to Rest</w:t>
      </w:r>
    </w:p>
    <w:p w14:paraId="388A2D19">
      <w:pPr>
        <w:pStyle w:val="9"/>
        <w:spacing w:after="0" w:line="249" w:lineRule="auto"/>
        <w:rPr>
          <w:rFonts w:hint="eastAsia"/>
        </w:rPr>
      </w:pPr>
      <w:r>
        <w:rPr>
          <w:rFonts w:hint="eastAsia"/>
        </w:rPr>
        <w:t>3.34:11-31 我必领我的羊群安歇</w:t>
      </w:r>
    </w:p>
    <w:p w14:paraId="2E301561">
      <w:pPr>
        <w:pStyle w:val="9"/>
        <w:spacing w:after="0" w:line="249" w:lineRule="auto"/>
        <w:rPr>
          <w:rFonts w:hint="eastAsia"/>
        </w:rPr>
      </w:pPr>
    </w:p>
    <w:p w14:paraId="26DC090A">
      <w:pPr>
        <w:pStyle w:val="9"/>
        <w:spacing w:after="0" w:line="249" w:lineRule="auto"/>
        <w:rPr>
          <w:rFonts w:hint="eastAsia"/>
        </w:rPr>
      </w:pPr>
      <w:r>
        <w:rPr>
          <w:rFonts w:hint="eastAsia"/>
        </w:rPr>
        <w:t>4.36:8-15 God’s Word to the Mountains of Israel</w:t>
      </w:r>
    </w:p>
    <w:p w14:paraId="6C0AD0BF">
      <w:pPr>
        <w:pStyle w:val="9"/>
        <w:spacing w:after="0" w:line="249" w:lineRule="auto"/>
        <w:rPr>
          <w:rFonts w:hint="eastAsia"/>
        </w:rPr>
      </w:pPr>
      <w:r>
        <w:rPr>
          <w:rFonts w:hint="eastAsia"/>
        </w:rPr>
        <w:t>4.36:8-15 神对以色列众山的话</w:t>
      </w:r>
    </w:p>
    <w:p w14:paraId="727F58F8">
      <w:pPr>
        <w:pStyle w:val="9"/>
        <w:spacing w:after="0" w:line="249" w:lineRule="auto"/>
        <w:rPr>
          <w:rFonts w:hint="eastAsia"/>
        </w:rPr>
      </w:pPr>
    </w:p>
    <w:p w14:paraId="1AE41169">
      <w:pPr>
        <w:pStyle w:val="9"/>
        <w:spacing w:after="0" w:line="249" w:lineRule="auto"/>
        <w:rPr>
          <w:rFonts w:hint="eastAsia"/>
        </w:rPr>
      </w:pPr>
      <w:r>
        <w:rPr>
          <w:rFonts w:hint="eastAsia"/>
        </w:rPr>
        <w:t>5.36:22-37 I Will Prove Myself Holy</w:t>
      </w:r>
    </w:p>
    <w:p w14:paraId="2F5B1451">
      <w:pPr>
        <w:pStyle w:val="9"/>
        <w:spacing w:after="0" w:line="249" w:lineRule="auto"/>
        <w:rPr>
          <w:rFonts w:hint="eastAsia"/>
        </w:rPr>
      </w:pPr>
      <w:r>
        <w:rPr>
          <w:rFonts w:hint="eastAsia"/>
        </w:rPr>
        <w:t>5.36:22-37 我必显为圣</w:t>
      </w:r>
    </w:p>
    <w:p w14:paraId="55B832D4">
      <w:pPr>
        <w:pStyle w:val="9"/>
        <w:spacing w:after="0" w:line="249" w:lineRule="auto"/>
        <w:rPr>
          <w:rFonts w:hint="eastAsia"/>
        </w:rPr>
      </w:pPr>
    </w:p>
    <w:p w14:paraId="66E5BE34">
      <w:pPr>
        <w:pStyle w:val="9"/>
        <w:spacing w:after="0" w:line="249" w:lineRule="auto"/>
        <w:rPr>
          <w:rFonts w:hint="eastAsia"/>
        </w:rPr>
      </w:pPr>
      <w:r>
        <w:rPr>
          <w:rFonts w:hint="eastAsia"/>
        </w:rPr>
        <w:t>6.37:1-14 Resurrection Life in the Valley of Dry Bones</w:t>
      </w:r>
    </w:p>
    <w:p w14:paraId="6E9F23FA">
      <w:pPr>
        <w:pStyle w:val="9"/>
        <w:spacing w:after="0" w:line="249" w:lineRule="auto"/>
        <w:rPr>
          <w:rFonts w:hint="eastAsia"/>
        </w:rPr>
      </w:pPr>
      <w:r>
        <w:rPr>
          <w:rFonts w:hint="eastAsia"/>
        </w:rPr>
        <w:t>6.37:1-14 枯骨谷中的复活生命</w:t>
      </w:r>
    </w:p>
    <w:p w14:paraId="486DBE50">
      <w:pPr>
        <w:pStyle w:val="9"/>
        <w:spacing w:after="0" w:line="249" w:lineRule="auto"/>
        <w:rPr>
          <w:rFonts w:hint="eastAsia"/>
        </w:rPr>
      </w:pPr>
    </w:p>
    <w:p w14:paraId="54FCE114">
      <w:pPr>
        <w:pStyle w:val="9"/>
        <w:spacing w:after="0" w:line="249" w:lineRule="auto"/>
        <w:rPr>
          <w:rFonts w:hint="eastAsia"/>
        </w:rPr>
      </w:pPr>
      <w:r>
        <w:rPr>
          <w:rFonts w:hint="eastAsia"/>
        </w:rPr>
        <w:t>7.37:15-28 One Stick in My Hand</w:t>
      </w:r>
    </w:p>
    <w:p w14:paraId="40298310">
      <w:pPr>
        <w:pStyle w:val="9"/>
        <w:spacing w:after="0" w:line="249" w:lineRule="auto"/>
        <w:rPr>
          <w:rFonts w:hint="eastAsia"/>
        </w:rPr>
      </w:pPr>
      <w:r>
        <w:rPr>
          <w:rFonts w:hint="eastAsia"/>
        </w:rPr>
        <w:t>7.37:15-28 我手中的一根杖</w:t>
      </w:r>
    </w:p>
    <w:p w14:paraId="497153E3">
      <w:pPr>
        <w:pStyle w:val="9"/>
        <w:spacing w:after="0" w:line="249" w:lineRule="auto"/>
        <w:rPr>
          <w:rFonts w:hint="eastAsia"/>
        </w:rPr>
      </w:pPr>
    </w:p>
    <w:p w14:paraId="29295658">
      <w:pPr>
        <w:pStyle w:val="9"/>
        <w:spacing w:after="0" w:line="249" w:lineRule="auto"/>
        <w:rPr>
          <w:rFonts w:hint="eastAsia"/>
        </w:rPr>
      </w:pPr>
      <w:r>
        <w:rPr>
          <w:rFonts w:hint="eastAsia"/>
        </w:rPr>
        <w:t>8.38-39 Gog and Israel in the Day of the LORD</w:t>
      </w:r>
    </w:p>
    <w:p w14:paraId="44F5F942">
      <w:pPr>
        <w:pStyle w:val="9"/>
        <w:spacing w:after="0" w:line="249" w:lineRule="auto"/>
        <w:rPr>
          <w:rFonts w:hint="eastAsia"/>
        </w:rPr>
      </w:pPr>
      <w:r>
        <w:rPr>
          <w:rFonts w:hint="eastAsia"/>
        </w:rPr>
        <w:t>8.38-39 在耶和华的日子里的歌革和以色列</w:t>
      </w:r>
    </w:p>
    <w:p w14:paraId="309ED9C0">
      <w:pPr>
        <w:pStyle w:val="9"/>
        <w:spacing w:after="0" w:line="249" w:lineRule="auto"/>
        <w:rPr>
          <w:rFonts w:hint="eastAsia"/>
        </w:rPr>
      </w:pPr>
    </w:p>
    <w:p w14:paraId="2F02397F">
      <w:pPr>
        <w:pStyle w:val="9"/>
        <w:spacing w:after="0" w:line="249" w:lineRule="auto"/>
        <w:rPr>
          <w:rFonts w:hint="eastAsia"/>
        </w:rPr>
      </w:pPr>
      <w:r>
        <w:rPr>
          <w:rFonts w:hint="eastAsia"/>
        </w:rPr>
        <w:t>9.40-48 Israel’s Worship in the World to Come</w:t>
      </w:r>
    </w:p>
    <w:p w14:paraId="49E6C138">
      <w:pPr>
        <w:pStyle w:val="9"/>
        <w:spacing w:after="0" w:line="249" w:lineRule="auto"/>
        <w:rPr>
          <w:rFonts w:hint="eastAsia"/>
        </w:rPr>
      </w:pPr>
      <w:r>
        <w:rPr>
          <w:rFonts w:hint="eastAsia"/>
        </w:rPr>
        <w:t>9.40-48 以色列在来世的敬拜</w:t>
      </w:r>
    </w:p>
    <w:p w14:paraId="6A31B489">
      <w:pPr>
        <w:pStyle w:val="9"/>
        <w:spacing w:after="0" w:line="249" w:lineRule="auto"/>
        <w:rPr>
          <w:rFonts w:hint="eastAsia"/>
        </w:rPr>
      </w:pPr>
    </w:p>
    <w:p w14:paraId="0D236BFA">
      <w:pPr>
        <w:pStyle w:val="9"/>
        <w:spacing w:after="0" w:line="249" w:lineRule="auto"/>
        <w:rPr>
          <w:rFonts w:hint="eastAsia"/>
        </w:rPr>
      </w:pPr>
      <w:r>
        <w:rPr>
          <w:rFonts w:hint="eastAsia"/>
        </w:rPr>
        <w:t>Daniel</w:t>
      </w:r>
    </w:p>
    <w:p w14:paraId="0C4C5EF7">
      <w:pPr>
        <w:pStyle w:val="9"/>
        <w:spacing w:after="0" w:line="249" w:lineRule="auto"/>
        <w:rPr>
          <w:rFonts w:hint="eastAsia"/>
        </w:rPr>
      </w:pPr>
      <w:r>
        <w:rPr>
          <w:rFonts w:hint="eastAsia"/>
        </w:rPr>
        <w:t>但以理书</w:t>
      </w:r>
    </w:p>
    <w:p w14:paraId="3BBF2A56">
      <w:pPr>
        <w:pStyle w:val="9"/>
        <w:spacing w:after="0" w:line="249" w:lineRule="auto"/>
        <w:rPr>
          <w:rFonts w:hint="eastAsia"/>
        </w:rPr>
      </w:pPr>
    </w:p>
    <w:p w14:paraId="42A1E809">
      <w:pPr>
        <w:pStyle w:val="9"/>
        <w:spacing w:after="0" w:line="249" w:lineRule="auto"/>
        <w:rPr>
          <w:rFonts w:hint="eastAsia"/>
        </w:rPr>
      </w:pPr>
      <w:r>
        <w:rPr>
          <w:rFonts w:hint="eastAsia"/>
        </w:rPr>
        <w:t>1.2:31-45 The Statue of Man, the Kingdom of God</w:t>
      </w:r>
    </w:p>
    <w:p w14:paraId="31B4CAD6">
      <w:pPr>
        <w:pStyle w:val="9"/>
        <w:spacing w:after="0" w:line="249" w:lineRule="auto"/>
        <w:rPr>
          <w:rFonts w:hint="eastAsia"/>
        </w:rPr>
      </w:pPr>
      <w:r>
        <w:rPr>
          <w:rFonts w:hint="eastAsia"/>
        </w:rPr>
        <w:t>1.2:31-45 人的像，神的国</w:t>
      </w:r>
    </w:p>
    <w:p w14:paraId="78CD783A">
      <w:pPr>
        <w:pStyle w:val="9"/>
        <w:spacing w:after="0" w:line="249" w:lineRule="auto"/>
        <w:rPr>
          <w:rFonts w:hint="eastAsia"/>
        </w:rPr>
      </w:pPr>
    </w:p>
    <w:p w14:paraId="6ADDE543">
      <w:pPr>
        <w:pStyle w:val="9"/>
        <w:spacing w:after="0" w:line="249" w:lineRule="auto"/>
        <w:rPr>
          <w:rFonts w:hint="eastAsia"/>
        </w:rPr>
      </w:pPr>
      <w:r>
        <w:rPr>
          <w:rFonts w:hint="eastAsia"/>
        </w:rPr>
        <w:t>2.7:1f The Vision of the Four Beasts</w:t>
      </w:r>
    </w:p>
    <w:p w14:paraId="6F2EC85B">
      <w:pPr>
        <w:pStyle w:val="9"/>
        <w:spacing w:after="0" w:line="249" w:lineRule="auto"/>
        <w:rPr>
          <w:rFonts w:hint="eastAsia"/>
        </w:rPr>
      </w:pPr>
      <w:r>
        <w:rPr>
          <w:rFonts w:hint="eastAsia"/>
        </w:rPr>
        <w:t>2.7:1及以下 四兽的异象</w:t>
      </w:r>
    </w:p>
    <w:p w14:paraId="208DE21F">
      <w:pPr>
        <w:pStyle w:val="9"/>
        <w:spacing w:after="0" w:line="249" w:lineRule="auto"/>
        <w:rPr>
          <w:rFonts w:hint="eastAsia"/>
        </w:rPr>
      </w:pPr>
    </w:p>
    <w:p w14:paraId="1C82B107">
      <w:pPr>
        <w:pStyle w:val="9"/>
        <w:spacing w:after="0" w:line="249" w:lineRule="auto"/>
        <w:rPr>
          <w:rFonts w:hint="eastAsia"/>
        </w:rPr>
      </w:pPr>
      <w:r>
        <w:rPr>
          <w:rFonts w:hint="eastAsia"/>
        </w:rPr>
        <w:t>3.9:20-27 The Prophecy of the Seventy Sevens</w:t>
      </w:r>
    </w:p>
    <w:p w14:paraId="672737F4">
      <w:pPr>
        <w:pStyle w:val="9"/>
        <w:spacing w:after="0" w:line="249" w:lineRule="auto"/>
        <w:rPr>
          <w:rFonts w:hint="eastAsia"/>
        </w:rPr>
      </w:pPr>
      <w:r>
        <w:rPr>
          <w:rFonts w:hint="eastAsia"/>
        </w:rPr>
        <w:t>3.9:20-27 七十个七的预言</w:t>
      </w:r>
    </w:p>
    <w:p w14:paraId="5B663686">
      <w:pPr>
        <w:pStyle w:val="9"/>
        <w:spacing w:after="0" w:line="249" w:lineRule="auto"/>
        <w:rPr>
          <w:rFonts w:hint="eastAsia"/>
        </w:rPr>
      </w:pPr>
    </w:p>
    <w:p w14:paraId="126E96B3">
      <w:pPr>
        <w:pStyle w:val="9"/>
        <w:spacing w:after="0" w:line="249" w:lineRule="auto"/>
        <w:rPr>
          <w:rFonts w:hint="eastAsia"/>
        </w:rPr>
      </w:pPr>
      <w:r>
        <w:rPr>
          <w:rFonts w:hint="eastAsia"/>
        </w:rPr>
        <w:t>4.11:36-12:13 The Last Battle and the Resurrection of the Dead</w:t>
      </w:r>
    </w:p>
    <w:p w14:paraId="285D0C82">
      <w:pPr>
        <w:pStyle w:val="9"/>
        <w:spacing w:after="0" w:line="249" w:lineRule="auto"/>
        <w:rPr>
          <w:rFonts w:hint="eastAsia"/>
        </w:rPr>
      </w:pPr>
      <w:r>
        <w:rPr>
          <w:rFonts w:hint="eastAsia"/>
        </w:rPr>
        <w:t>4.11:36-12:13 最后的争战和死人的复活</w:t>
      </w:r>
    </w:p>
    <w:p w14:paraId="7EA14D94">
      <w:pPr>
        <w:pStyle w:val="9"/>
        <w:spacing w:after="0" w:line="249" w:lineRule="auto"/>
        <w:rPr>
          <w:rFonts w:hint="eastAsia"/>
        </w:rPr>
      </w:pPr>
    </w:p>
    <w:p w14:paraId="73F4900D">
      <w:pPr>
        <w:pStyle w:val="9"/>
        <w:spacing w:after="0" w:line="249" w:lineRule="auto"/>
        <w:rPr>
          <w:rFonts w:hint="eastAsia"/>
        </w:rPr>
      </w:pPr>
      <w:r>
        <w:rPr>
          <w:rFonts w:hint="eastAsia"/>
        </w:rPr>
        <w:t>Hosea</w:t>
      </w:r>
    </w:p>
    <w:p w14:paraId="6CC09136">
      <w:pPr>
        <w:pStyle w:val="9"/>
        <w:spacing w:after="0" w:line="249" w:lineRule="auto"/>
        <w:rPr>
          <w:rFonts w:hint="eastAsia"/>
        </w:rPr>
      </w:pPr>
      <w:r>
        <w:rPr>
          <w:rFonts w:hint="eastAsia"/>
        </w:rPr>
        <w:t>何西阿书</w:t>
      </w:r>
    </w:p>
    <w:p w14:paraId="61B38F40">
      <w:pPr>
        <w:pStyle w:val="9"/>
        <w:spacing w:after="0" w:line="249" w:lineRule="auto"/>
        <w:rPr>
          <w:rFonts w:hint="eastAsia"/>
        </w:rPr>
      </w:pPr>
    </w:p>
    <w:p w14:paraId="74AE7DFB">
      <w:pPr>
        <w:pStyle w:val="9"/>
        <w:spacing w:after="0" w:line="249" w:lineRule="auto"/>
        <w:rPr>
          <w:rFonts w:hint="eastAsia"/>
        </w:rPr>
      </w:pPr>
      <w:r>
        <w:rPr>
          <w:rFonts w:hint="eastAsia"/>
        </w:rPr>
        <w:t>1.1:10-11 Children as the Sand of the Sea</w:t>
      </w:r>
    </w:p>
    <w:p w14:paraId="75C8FAC0">
      <w:pPr>
        <w:pStyle w:val="9"/>
        <w:spacing w:after="0" w:line="249" w:lineRule="auto"/>
        <w:rPr>
          <w:rFonts w:hint="eastAsia"/>
        </w:rPr>
      </w:pPr>
      <w:r>
        <w:rPr>
          <w:rFonts w:hint="eastAsia"/>
        </w:rPr>
        <w:t>1.1:10-11 子孙多如海沙</w:t>
      </w:r>
    </w:p>
    <w:p w14:paraId="5FD514FE">
      <w:pPr>
        <w:pStyle w:val="9"/>
        <w:spacing w:after="0" w:line="249" w:lineRule="auto"/>
        <w:rPr>
          <w:rFonts w:hint="eastAsia"/>
        </w:rPr>
      </w:pPr>
    </w:p>
    <w:p w14:paraId="4F2967C0">
      <w:pPr>
        <w:pStyle w:val="9"/>
        <w:spacing w:after="0" w:line="249" w:lineRule="auto"/>
        <w:rPr>
          <w:rFonts w:hint="eastAsia"/>
        </w:rPr>
      </w:pPr>
      <w:r>
        <w:rPr>
          <w:rFonts w:hint="eastAsia"/>
        </w:rPr>
        <w:t>2.2:14-23 Wedded in the Wilderness</w:t>
      </w:r>
    </w:p>
    <w:p w14:paraId="1BC0B65B">
      <w:pPr>
        <w:pStyle w:val="9"/>
        <w:spacing w:after="0" w:line="249" w:lineRule="auto"/>
        <w:rPr>
          <w:rFonts w:hint="eastAsia"/>
        </w:rPr>
      </w:pPr>
      <w:r>
        <w:rPr>
          <w:rFonts w:hint="eastAsia"/>
        </w:rPr>
        <w:t>2.2:14-23 在旷野婚配</w:t>
      </w:r>
    </w:p>
    <w:p w14:paraId="5301328D">
      <w:pPr>
        <w:pStyle w:val="9"/>
        <w:spacing w:after="0" w:line="249" w:lineRule="auto"/>
        <w:rPr>
          <w:rFonts w:hint="eastAsia"/>
        </w:rPr>
      </w:pPr>
    </w:p>
    <w:p w14:paraId="5AB9817A">
      <w:pPr>
        <w:pStyle w:val="9"/>
        <w:spacing w:after="0" w:line="249" w:lineRule="auto"/>
        <w:rPr>
          <w:rFonts w:hint="eastAsia"/>
        </w:rPr>
      </w:pPr>
      <w:r>
        <w:rPr>
          <w:rFonts w:hint="eastAsia"/>
        </w:rPr>
        <w:t>3.3:5 Israel Will Come Trembling</w:t>
      </w:r>
    </w:p>
    <w:p w14:paraId="2BDC2BD1">
      <w:pPr>
        <w:pStyle w:val="9"/>
        <w:spacing w:after="0" w:line="249" w:lineRule="auto"/>
        <w:rPr>
          <w:rFonts w:hint="eastAsia"/>
        </w:rPr>
      </w:pPr>
      <w:r>
        <w:rPr>
          <w:rFonts w:hint="eastAsia"/>
        </w:rPr>
        <w:t>3.3:5 以色列必战兢而来</w:t>
      </w:r>
    </w:p>
    <w:p w14:paraId="0D1FF3BA">
      <w:pPr>
        <w:pStyle w:val="9"/>
        <w:spacing w:after="0" w:line="249" w:lineRule="auto"/>
        <w:rPr>
          <w:rFonts w:hint="eastAsia"/>
        </w:rPr>
      </w:pPr>
    </w:p>
    <w:p w14:paraId="1CFB7553">
      <w:pPr>
        <w:pStyle w:val="9"/>
        <w:spacing w:after="0" w:line="249" w:lineRule="auto"/>
        <w:rPr>
          <w:rFonts w:hint="eastAsia"/>
        </w:rPr>
      </w:pPr>
      <w:r>
        <w:rPr>
          <w:rFonts w:hint="eastAsia"/>
        </w:rPr>
        <w:t>4.11:10-11 The LORD Will Roar</w:t>
      </w:r>
    </w:p>
    <w:p w14:paraId="7E9944B9">
      <w:pPr>
        <w:pStyle w:val="9"/>
        <w:spacing w:after="0" w:line="249" w:lineRule="auto"/>
        <w:rPr>
          <w:rFonts w:hint="eastAsia"/>
        </w:rPr>
      </w:pPr>
      <w:r>
        <w:rPr>
          <w:rFonts w:hint="eastAsia"/>
        </w:rPr>
        <w:t>4.11:10-11 耶和华必吼叫</w:t>
      </w:r>
    </w:p>
    <w:p w14:paraId="56D107D7">
      <w:pPr>
        <w:pStyle w:val="9"/>
        <w:spacing w:after="0" w:line="249" w:lineRule="auto"/>
        <w:rPr>
          <w:rFonts w:hint="eastAsia"/>
        </w:rPr>
      </w:pPr>
    </w:p>
    <w:p w14:paraId="0EF2B2A7">
      <w:pPr>
        <w:pStyle w:val="9"/>
        <w:spacing w:after="0" w:line="249" w:lineRule="auto"/>
        <w:rPr>
          <w:rFonts w:hint="eastAsia"/>
        </w:rPr>
      </w:pPr>
      <w:r>
        <w:rPr>
          <w:rFonts w:hint="eastAsia"/>
        </w:rPr>
        <w:t>5.14:4-7 I Will Heal Their Apostasy</w:t>
      </w:r>
    </w:p>
    <w:p w14:paraId="0E72253E">
      <w:pPr>
        <w:pStyle w:val="9"/>
        <w:spacing w:after="0" w:line="249" w:lineRule="auto"/>
        <w:rPr>
          <w:rFonts w:hint="eastAsia"/>
        </w:rPr>
      </w:pPr>
      <w:r>
        <w:rPr>
          <w:rFonts w:hint="eastAsia"/>
        </w:rPr>
        <w:t>5.14:4-7 我必医治他们背道的病</w:t>
      </w:r>
    </w:p>
    <w:p w14:paraId="4A05CAAF">
      <w:pPr>
        <w:pStyle w:val="9"/>
        <w:spacing w:after="0" w:line="249" w:lineRule="auto"/>
        <w:rPr>
          <w:rFonts w:hint="eastAsia"/>
        </w:rPr>
      </w:pPr>
    </w:p>
    <w:p w14:paraId="0F5E8EEA">
      <w:pPr>
        <w:pStyle w:val="9"/>
        <w:spacing w:after="0" w:line="249" w:lineRule="auto"/>
        <w:rPr>
          <w:rFonts w:hint="eastAsia"/>
        </w:rPr>
      </w:pPr>
      <w:r>
        <w:rPr>
          <w:rFonts w:hint="eastAsia"/>
        </w:rPr>
        <w:t>Joel</w:t>
      </w:r>
    </w:p>
    <w:p w14:paraId="1937997A">
      <w:pPr>
        <w:pStyle w:val="9"/>
        <w:spacing w:after="0" w:line="249" w:lineRule="auto"/>
        <w:rPr>
          <w:rFonts w:hint="eastAsia"/>
        </w:rPr>
      </w:pPr>
      <w:r>
        <w:rPr>
          <w:rFonts w:hint="eastAsia"/>
        </w:rPr>
        <w:t>约珥书</w:t>
      </w:r>
    </w:p>
    <w:p w14:paraId="1EAA6EE7">
      <w:pPr>
        <w:pStyle w:val="9"/>
        <w:spacing w:after="0" w:line="249" w:lineRule="auto"/>
        <w:rPr>
          <w:rFonts w:hint="eastAsia"/>
        </w:rPr>
      </w:pPr>
    </w:p>
    <w:p w14:paraId="3C86C6B2">
      <w:pPr>
        <w:pStyle w:val="9"/>
        <w:spacing w:after="0" w:line="249" w:lineRule="auto"/>
        <w:rPr>
          <w:rFonts w:hint="eastAsia"/>
        </w:rPr>
      </w:pPr>
      <w:r>
        <w:rPr>
          <w:rFonts w:hint="eastAsia"/>
        </w:rPr>
        <w:t>1.2:18-27 You Shall Eat in Plenty</w:t>
      </w:r>
    </w:p>
    <w:p w14:paraId="1E71B59F">
      <w:pPr>
        <w:pStyle w:val="9"/>
        <w:spacing w:after="0" w:line="249" w:lineRule="auto"/>
        <w:rPr>
          <w:rFonts w:hint="eastAsia"/>
        </w:rPr>
      </w:pPr>
      <w:r>
        <w:rPr>
          <w:rFonts w:hint="eastAsia"/>
        </w:rPr>
        <w:t>1.2:18-27 你们必吃得饱足</w:t>
      </w:r>
    </w:p>
    <w:p w14:paraId="092DBF59">
      <w:pPr>
        <w:pStyle w:val="9"/>
        <w:spacing w:after="0" w:line="249" w:lineRule="auto"/>
        <w:rPr>
          <w:rFonts w:hint="eastAsia"/>
        </w:rPr>
      </w:pPr>
    </w:p>
    <w:p w14:paraId="02E1A1B6">
      <w:pPr>
        <w:pStyle w:val="9"/>
        <w:spacing w:after="0" w:line="249" w:lineRule="auto"/>
        <w:rPr>
          <w:rFonts w:hint="eastAsia"/>
        </w:rPr>
      </w:pPr>
      <w:r>
        <w:rPr>
          <w:rFonts w:hint="eastAsia"/>
        </w:rPr>
        <w:t>2.2:28-32 I Will Pour Out My Spirit</w:t>
      </w:r>
    </w:p>
    <w:p w14:paraId="51A83A22">
      <w:pPr>
        <w:pStyle w:val="9"/>
        <w:spacing w:after="0" w:line="249" w:lineRule="auto"/>
        <w:rPr>
          <w:rFonts w:hint="eastAsia"/>
        </w:rPr>
      </w:pPr>
      <w:r>
        <w:rPr>
          <w:rFonts w:hint="eastAsia"/>
        </w:rPr>
        <w:t>2.2:28-32 我要将我的灵浇灌下来</w:t>
      </w:r>
    </w:p>
    <w:p w14:paraId="1EA2E785">
      <w:pPr>
        <w:pStyle w:val="9"/>
        <w:spacing w:after="0" w:line="249" w:lineRule="auto"/>
        <w:rPr>
          <w:rFonts w:hint="eastAsia"/>
        </w:rPr>
      </w:pPr>
    </w:p>
    <w:p w14:paraId="40837D2B">
      <w:pPr>
        <w:pStyle w:val="9"/>
        <w:spacing w:after="0" w:line="249" w:lineRule="auto"/>
        <w:rPr>
          <w:rFonts w:hint="eastAsia"/>
        </w:rPr>
      </w:pPr>
      <w:r>
        <w:rPr>
          <w:rFonts w:hint="eastAsia"/>
        </w:rPr>
        <w:t>3.3:1ff Judah’s Glorious Future</w:t>
      </w:r>
    </w:p>
    <w:p w14:paraId="421ACB0E">
      <w:pPr>
        <w:pStyle w:val="9"/>
        <w:spacing w:after="0" w:line="249" w:lineRule="auto"/>
        <w:rPr>
          <w:rFonts w:hint="eastAsia"/>
        </w:rPr>
      </w:pPr>
      <w:r>
        <w:rPr>
          <w:rFonts w:hint="eastAsia"/>
        </w:rPr>
        <w:t>3.3:1及以下 犹大荣耀的未来</w:t>
      </w:r>
    </w:p>
    <w:p w14:paraId="5E078507">
      <w:pPr>
        <w:pStyle w:val="9"/>
        <w:spacing w:after="0" w:line="249" w:lineRule="auto"/>
        <w:rPr>
          <w:rFonts w:hint="eastAsia"/>
        </w:rPr>
      </w:pPr>
    </w:p>
    <w:p w14:paraId="0B613855">
      <w:pPr>
        <w:pStyle w:val="9"/>
        <w:spacing w:after="0" w:line="249" w:lineRule="auto"/>
        <w:rPr>
          <w:rFonts w:hint="eastAsia"/>
        </w:rPr>
      </w:pPr>
      <w:r>
        <w:rPr>
          <w:rFonts w:hint="eastAsia"/>
        </w:rPr>
        <w:t>Amos</w:t>
      </w:r>
    </w:p>
    <w:p w14:paraId="6B253E38">
      <w:pPr>
        <w:pStyle w:val="9"/>
        <w:spacing w:after="0" w:line="249" w:lineRule="auto"/>
        <w:rPr>
          <w:rFonts w:hint="eastAsia"/>
        </w:rPr>
      </w:pPr>
      <w:r>
        <w:rPr>
          <w:rFonts w:hint="eastAsia"/>
        </w:rPr>
        <w:t>阿摩司书</w:t>
      </w:r>
    </w:p>
    <w:p w14:paraId="57C218B1">
      <w:pPr>
        <w:pStyle w:val="9"/>
        <w:spacing w:after="0" w:line="249" w:lineRule="auto"/>
        <w:rPr>
          <w:rFonts w:hint="eastAsia"/>
        </w:rPr>
      </w:pPr>
    </w:p>
    <w:p w14:paraId="1E82AB72">
      <w:pPr>
        <w:pStyle w:val="9"/>
        <w:spacing w:after="0" w:line="249" w:lineRule="auto"/>
        <w:rPr>
          <w:rFonts w:hint="eastAsia"/>
        </w:rPr>
      </w:pPr>
      <w:r>
        <w:rPr>
          <w:rFonts w:hint="eastAsia"/>
        </w:rPr>
        <w:t>1.9:11-18 David’s Tabernacle Restored</w:t>
      </w:r>
    </w:p>
    <w:p w14:paraId="1DF8E9D0">
      <w:pPr>
        <w:pStyle w:val="9"/>
        <w:spacing w:after="0" w:line="249" w:lineRule="auto"/>
        <w:rPr>
          <w:rFonts w:hint="eastAsia"/>
        </w:rPr>
      </w:pPr>
      <w:r>
        <w:rPr>
          <w:rFonts w:hint="eastAsia"/>
        </w:rPr>
        <w:t>1.9:11-18 大卫倒塌的帐幕被重建</w:t>
      </w:r>
    </w:p>
    <w:p w14:paraId="19608BF6">
      <w:pPr>
        <w:pStyle w:val="9"/>
        <w:spacing w:after="0" w:line="249" w:lineRule="auto"/>
        <w:rPr>
          <w:rFonts w:hint="eastAsia"/>
        </w:rPr>
      </w:pPr>
    </w:p>
    <w:p w14:paraId="0DE8A71B">
      <w:pPr>
        <w:pStyle w:val="9"/>
        <w:spacing w:after="0" w:line="249" w:lineRule="auto"/>
        <w:rPr>
          <w:rFonts w:hint="eastAsia"/>
        </w:rPr>
      </w:pPr>
      <w:r>
        <w:rPr>
          <w:rFonts w:hint="eastAsia"/>
        </w:rPr>
        <w:t>Obadiah</w:t>
      </w:r>
    </w:p>
    <w:p w14:paraId="4F7A2B95">
      <w:pPr>
        <w:pStyle w:val="9"/>
        <w:spacing w:after="0" w:line="249" w:lineRule="auto"/>
        <w:rPr>
          <w:rFonts w:hint="eastAsia"/>
        </w:rPr>
      </w:pPr>
      <w:r>
        <w:rPr>
          <w:rFonts w:hint="eastAsia"/>
        </w:rPr>
        <w:t>俄巴底亚书</w:t>
      </w:r>
    </w:p>
    <w:p w14:paraId="10DE23F8">
      <w:pPr>
        <w:pStyle w:val="9"/>
        <w:spacing w:after="0" w:line="249" w:lineRule="auto"/>
        <w:rPr>
          <w:rFonts w:hint="eastAsia"/>
        </w:rPr>
      </w:pPr>
    </w:p>
    <w:p w14:paraId="51C2D0E9">
      <w:pPr>
        <w:pStyle w:val="9"/>
        <w:spacing w:after="0" w:line="249" w:lineRule="auto"/>
        <w:rPr>
          <w:rFonts w:hint="eastAsia"/>
        </w:rPr>
      </w:pPr>
      <w:r>
        <w:rPr>
          <w:rFonts w:hint="eastAsia"/>
        </w:rPr>
        <w:t>1.1:15-21 Salvation on Mt. Zion</w:t>
      </w:r>
    </w:p>
    <w:p w14:paraId="191FB4E4">
      <w:pPr>
        <w:pStyle w:val="9"/>
        <w:spacing w:after="0" w:line="249" w:lineRule="auto"/>
        <w:rPr>
          <w:rFonts w:hint="eastAsia"/>
        </w:rPr>
      </w:pPr>
      <w:r>
        <w:rPr>
          <w:rFonts w:hint="eastAsia"/>
        </w:rPr>
        <w:t>1.1:15-21 锡安山上的拯救</w:t>
      </w:r>
    </w:p>
    <w:p w14:paraId="1979AC4B">
      <w:pPr>
        <w:pStyle w:val="9"/>
        <w:spacing w:after="0" w:line="249" w:lineRule="auto"/>
        <w:rPr>
          <w:rFonts w:hint="eastAsia"/>
        </w:rPr>
      </w:pPr>
    </w:p>
    <w:p w14:paraId="03E35637">
      <w:pPr>
        <w:pStyle w:val="9"/>
        <w:spacing w:after="0" w:line="249" w:lineRule="auto"/>
        <w:rPr>
          <w:rFonts w:hint="eastAsia"/>
        </w:rPr>
      </w:pPr>
      <w:r>
        <w:rPr>
          <w:rFonts w:hint="eastAsia"/>
        </w:rPr>
        <w:t>Micah</w:t>
      </w:r>
    </w:p>
    <w:p w14:paraId="1C9FF3F4">
      <w:pPr>
        <w:pStyle w:val="9"/>
        <w:spacing w:after="0" w:line="249" w:lineRule="auto"/>
        <w:rPr>
          <w:rFonts w:hint="eastAsia"/>
        </w:rPr>
      </w:pPr>
      <w:r>
        <w:rPr>
          <w:rFonts w:hint="eastAsia"/>
        </w:rPr>
        <w:t>弥迦书</w:t>
      </w:r>
    </w:p>
    <w:p w14:paraId="03B675D9">
      <w:pPr>
        <w:pStyle w:val="9"/>
        <w:spacing w:after="0" w:line="249" w:lineRule="auto"/>
        <w:rPr>
          <w:rFonts w:hint="eastAsia"/>
        </w:rPr>
      </w:pPr>
    </w:p>
    <w:p w14:paraId="2A761029">
      <w:pPr>
        <w:pStyle w:val="9"/>
        <w:spacing w:after="0" w:line="249" w:lineRule="auto"/>
        <w:rPr>
          <w:rFonts w:hint="eastAsia"/>
        </w:rPr>
      </w:pPr>
      <w:r>
        <w:rPr>
          <w:rFonts w:hint="eastAsia"/>
        </w:rPr>
        <w:t>1.2:12-13 I Will Gather the Remnant of Israel</w:t>
      </w:r>
    </w:p>
    <w:p w14:paraId="119E6A79">
      <w:pPr>
        <w:pStyle w:val="9"/>
        <w:spacing w:after="0" w:line="249" w:lineRule="auto"/>
        <w:rPr>
          <w:rFonts w:hint="eastAsia"/>
        </w:rPr>
      </w:pPr>
      <w:r>
        <w:rPr>
          <w:rFonts w:hint="eastAsia"/>
        </w:rPr>
        <w:t>1.2:12-13 我必招聚以色列的余民</w:t>
      </w:r>
    </w:p>
    <w:p w14:paraId="53784E0F">
      <w:pPr>
        <w:pStyle w:val="9"/>
        <w:spacing w:after="0" w:line="249" w:lineRule="auto"/>
        <w:rPr>
          <w:rFonts w:hint="eastAsia"/>
        </w:rPr>
      </w:pPr>
    </w:p>
    <w:p w14:paraId="48BF7E3E">
      <w:pPr>
        <w:pStyle w:val="9"/>
        <w:spacing w:after="0" w:line="249" w:lineRule="auto"/>
        <w:rPr>
          <w:rFonts w:hint="eastAsia"/>
        </w:rPr>
      </w:pPr>
      <w:r>
        <w:rPr>
          <w:rFonts w:hint="eastAsia"/>
        </w:rPr>
        <w:t>2.4:1-5 The Peoples Stream to Zion</w:t>
      </w:r>
    </w:p>
    <w:p w14:paraId="618C9AD3">
      <w:pPr>
        <w:pStyle w:val="9"/>
        <w:spacing w:after="0" w:line="249" w:lineRule="auto"/>
        <w:rPr>
          <w:rFonts w:hint="eastAsia"/>
        </w:rPr>
      </w:pPr>
      <w:r>
        <w:rPr>
          <w:rFonts w:hint="eastAsia"/>
        </w:rPr>
        <w:t>2.4:1-5 万民流归锡安</w:t>
      </w:r>
    </w:p>
    <w:p w14:paraId="1B0D25FF">
      <w:pPr>
        <w:pStyle w:val="9"/>
        <w:spacing w:after="0" w:line="249" w:lineRule="auto"/>
        <w:rPr>
          <w:rFonts w:hint="eastAsia"/>
        </w:rPr>
      </w:pPr>
    </w:p>
    <w:p w14:paraId="5507F421">
      <w:pPr>
        <w:pStyle w:val="9"/>
        <w:spacing w:after="0" w:line="249" w:lineRule="auto"/>
        <w:rPr>
          <w:rFonts w:hint="eastAsia"/>
        </w:rPr>
      </w:pPr>
      <w:r>
        <w:rPr>
          <w:rFonts w:hint="eastAsia"/>
        </w:rPr>
        <w:t>3.4:6-8 I Will Gather the Outcasts</w:t>
      </w:r>
    </w:p>
    <w:p w14:paraId="55E88BB0">
      <w:pPr>
        <w:pStyle w:val="9"/>
        <w:spacing w:after="0" w:line="249" w:lineRule="auto"/>
        <w:rPr>
          <w:rFonts w:hint="eastAsia"/>
        </w:rPr>
      </w:pPr>
      <w:r>
        <w:rPr>
          <w:rFonts w:hint="eastAsia"/>
        </w:rPr>
        <w:t>3.4:6-8 我必招聚被赶散的</w:t>
      </w:r>
    </w:p>
    <w:p w14:paraId="520109EB">
      <w:pPr>
        <w:pStyle w:val="9"/>
        <w:spacing w:after="0" w:line="249" w:lineRule="auto"/>
        <w:rPr>
          <w:rFonts w:hint="eastAsia"/>
        </w:rPr>
      </w:pPr>
    </w:p>
    <w:p w14:paraId="40E2D391">
      <w:pPr>
        <w:pStyle w:val="9"/>
        <w:spacing w:after="0" w:line="249" w:lineRule="auto"/>
        <w:rPr>
          <w:rFonts w:hint="eastAsia"/>
        </w:rPr>
      </w:pPr>
      <w:r>
        <w:rPr>
          <w:rFonts w:hint="eastAsia"/>
        </w:rPr>
        <w:t>4.4:9-13 Arise and Thresh, Daughter of Zion</w:t>
      </w:r>
    </w:p>
    <w:p w14:paraId="0A35CFBB">
      <w:pPr>
        <w:pStyle w:val="9"/>
        <w:spacing w:after="0" w:line="249" w:lineRule="auto"/>
        <w:rPr>
          <w:rFonts w:hint="eastAsia"/>
        </w:rPr>
      </w:pPr>
      <w:r>
        <w:rPr>
          <w:rFonts w:hint="eastAsia"/>
        </w:rPr>
        <w:t>4.4:9-13 起来，打谷吧，锡安的女子</w:t>
      </w:r>
    </w:p>
    <w:p w14:paraId="1DC431C6">
      <w:pPr>
        <w:pStyle w:val="9"/>
        <w:spacing w:after="0" w:line="249" w:lineRule="auto"/>
        <w:rPr>
          <w:rFonts w:hint="eastAsia"/>
        </w:rPr>
      </w:pPr>
    </w:p>
    <w:p w14:paraId="588FD9A6">
      <w:pPr>
        <w:pStyle w:val="9"/>
        <w:spacing w:after="0" w:line="249" w:lineRule="auto"/>
        <w:rPr>
          <w:rFonts w:hint="eastAsia"/>
        </w:rPr>
      </w:pPr>
      <w:r>
        <w:rPr>
          <w:rFonts w:hint="eastAsia"/>
        </w:rPr>
        <w:t>5.5:1-6 He Will Be Great to the Ends of the Earth</w:t>
      </w:r>
    </w:p>
    <w:p w14:paraId="49A3189B">
      <w:pPr>
        <w:pStyle w:val="9"/>
        <w:spacing w:after="0" w:line="249" w:lineRule="auto"/>
        <w:rPr>
          <w:rFonts w:hint="eastAsia"/>
        </w:rPr>
      </w:pPr>
      <w:r>
        <w:rPr>
          <w:rFonts w:hint="eastAsia"/>
        </w:rPr>
        <w:t>5.5:1-6 祂必为大，直到地极</w:t>
      </w:r>
    </w:p>
    <w:p w14:paraId="6C1DD676">
      <w:pPr>
        <w:pStyle w:val="9"/>
        <w:spacing w:after="0" w:line="249" w:lineRule="auto"/>
        <w:rPr>
          <w:rFonts w:hint="eastAsia"/>
        </w:rPr>
      </w:pPr>
    </w:p>
    <w:p w14:paraId="5B756327">
      <w:pPr>
        <w:pStyle w:val="9"/>
        <w:spacing w:after="0" w:line="249" w:lineRule="auto"/>
        <w:rPr>
          <w:rFonts w:hint="eastAsia"/>
        </w:rPr>
      </w:pPr>
      <w:r>
        <w:rPr>
          <w:rFonts w:hint="eastAsia"/>
        </w:rPr>
        <w:t>6.5:7-8 A Remnant Among the Nations</w:t>
      </w:r>
    </w:p>
    <w:p w14:paraId="28352B68">
      <w:pPr>
        <w:pStyle w:val="9"/>
        <w:spacing w:after="0" w:line="249" w:lineRule="auto"/>
        <w:rPr>
          <w:rFonts w:hint="eastAsia"/>
        </w:rPr>
      </w:pPr>
      <w:r>
        <w:rPr>
          <w:rFonts w:hint="eastAsia"/>
        </w:rPr>
        <w:t>6.5:7-8 在列国中的余民</w:t>
      </w:r>
    </w:p>
    <w:p w14:paraId="1F214978">
      <w:pPr>
        <w:pStyle w:val="9"/>
        <w:spacing w:after="0" w:line="249" w:lineRule="auto"/>
        <w:rPr>
          <w:rFonts w:hint="eastAsia"/>
        </w:rPr>
      </w:pPr>
    </w:p>
    <w:p w14:paraId="10165BB8">
      <w:pPr>
        <w:pStyle w:val="9"/>
        <w:spacing w:after="0" w:line="249" w:lineRule="auto"/>
        <w:rPr>
          <w:rFonts w:hint="eastAsia"/>
        </w:rPr>
      </w:pPr>
      <w:r>
        <w:rPr>
          <w:rFonts w:hint="eastAsia"/>
        </w:rPr>
        <w:t>7.7:7-13 A Day for Building Your Walls</w:t>
      </w:r>
    </w:p>
    <w:p w14:paraId="1CE5AC58">
      <w:pPr>
        <w:pStyle w:val="9"/>
        <w:spacing w:after="0" w:line="249" w:lineRule="auto"/>
        <w:rPr>
          <w:rFonts w:hint="eastAsia"/>
        </w:rPr>
      </w:pPr>
      <w:r>
        <w:rPr>
          <w:rFonts w:hint="eastAsia"/>
        </w:rPr>
        <w:t>7.7:7-13 修造你墙垣的日子</w:t>
      </w:r>
    </w:p>
    <w:p w14:paraId="49A4643D">
      <w:pPr>
        <w:pStyle w:val="9"/>
        <w:spacing w:after="0" w:line="249" w:lineRule="auto"/>
        <w:rPr>
          <w:rFonts w:hint="eastAsia"/>
        </w:rPr>
      </w:pPr>
    </w:p>
    <w:p w14:paraId="2C382B59">
      <w:pPr>
        <w:pStyle w:val="9"/>
        <w:spacing w:after="0" w:line="249" w:lineRule="auto"/>
        <w:rPr>
          <w:rFonts w:hint="eastAsia"/>
        </w:rPr>
      </w:pPr>
      <w:r>
        <w:rPr>
          <w:rFonts w:hint="eastAsia"/>
        </w:rPr>
        <w:t>8.7:14-20 Unchanging Love to Abraham’s Seed</w:t>
      </w:r>
    </w:p>
    <w:p w14:paraId="7226970A">
      <w:pPr>
        <w:pStyle w:val="9"/>
        <w:spacing w:after="0" w:line="249" w:lineRule="auto"/>
        <w:rPr>
          <w:rFonts w:hint="eastAsia"/>
        </w:rPr>
      </w:pPr>
      <w:r>
        <w:rPr>
          <w:rFonts w:hint="eastAsia"/>
        </w:rPr>
        <w:t>8.7:14-20 对亚伯拉罕后裔不变的爱</w:t>
      </w:r>
    </w:p>
    <w:p w14:paraId="54C0E877">
      <w:pPr>
        <w:pStyle w:val="9"/>
        <w:spacing w:after="0" w:line="249" w:lineRule="auto"/>
        <w:rPr>
          <w:rFonts w:hint="eastAsia"/>
        </w:rPr>
      </w:pPr>
    </w:p>
    <w:p w14:paraId="3826C8A1">
      <w:pPr>
        <w:pStyle w:val="9"/>
        <w:spacing w:after="0" w:line="249" w:lineRule="auto"/>
        <w:rPr>
          <w:rFonts w:hint="eastAsia"/>
        </w:rPr>
      </w:pPr>
      <w:r>
        <w:rPr>
          <w:rFonts w:hint="eastAsia"/>
        </w:rPr>
        <w:t>Nahum</w:t>
      </w:r>
    </w:p>
    <w:p w14:paraId="767B4E41">
      <w:pPr>
        <w:pStyle w:val="9"/>
        <w:spacing w:after="0" w:line="249" w:lineRule="auto"/>
        <w:rPr>
          <w:rFonts w:hint="eastAsia"/>
        </w:rPr>
      </w:pPr>
      <w:r>
        <w:rPr>
          <w:rFonts w:hint="eastAsia"/>
        </w:rPr>
        <w:t>那鸿书</w:t>
      </w:r>
    </w:p>
    <w:p w14:paraId="11346525">
      <w:pPr>
        <w:pStyle w:val="9"/>
        <w:spacing w:after="0" w:line="249" w:lineRule="auto"/>
        <w:rPr>
          <w:rFonts w:hint="eastAsia"/>
        </w:rPr>
      </w:pPr>
    </w:p>
    <w:p w14:paraId="71DF0A02">
      <w:pPr>
        <w:pStyle w:val="9"/>
        <w:spacing w:after="0" w:line="249" w:lineRule="auto"/>
        <w:rPr>
          <w:rFonts w:hint="eastAsia"/>
        </w:rPr>
      </w:pPr>
      <w:r>
        <w:rPr>
          <w:rFonts w:hint="eastAsia"/>
        </w:rPr>
        <w:t>1.1:15 Good News for Judah</w:t>
      </w:r>
    </w:p>
    <w:p w14:paraId="766CC8B5">
      <w:pPr>
        <w:pStyle w:val="9"/>
        <w:spacing w:after="0" w:line="249" w:lineRule="auto"/>
        <w:rPr>
          <w:rFonts w:hint="eastAsia"/>
        </w:rPr>
      </w:pPr>
      <w:r>
        <w:rPr>
          <w:rFonts w:hint="eastAsia"/>
        </w:rPr>
        <w:t>1.1:15 对犹大的好消息</w:t>
      </w:r>
    </w:p>
    <w:p w14:paraId="60B5CDD8">
      <w:pPr>
        <w:pStyle w:val="9"/>
        <w:spacing w:after="0" w:line="249" w:lineRule="auto"/>
        <w:rPr>
          <w:rFonts w:hint="eastAsia"/>
        </w:rPr>
      </w:pPr>
    </w:p>
    <w:p w14:paraId="54F0B695">
      <w:pPr>
        <w:pStyle w:val="9"/>
        <w:spacing w:after="0" w:line="249" w:lineRule="auto"/>
        <w:rPr>
          <w:rFonts w:hint="eastAsia"/>
        </w:rPr>
      </w:pPr>
      <w:r>
        <w:rPr>
          <w:rFonts w:hint="eastAsia"/>
        </w:rPr>
        <w:t>Habakkuk</w:t>
      </w:r>
    </w:p>
    <w:p w14:paraId="2299F7E1">
      <w:pPr>
        <w:pStyle w:val="9"/>
        <w:spacing w:after="0" w:line="249" w:lineRule="auto"/>
        <w:rPr>
          <w:rFonts w:hint="eastAsia"/>
        </w:rPr>
      </w:pPr>
      <w:r>
        <w:rPr>
          <w:rFonts w:hint="eastAsia"/>
        </w:rPr>
        <w:t>哈巴谷书</w:t>
      </w:r>
    </w:p>
    <w:p w14:paraId="549D07B7">
      <w:pPr>
        <w:pStyle w:val="9"/>
        <w:spacing w:after="0" w:line="249" w:lineRule="auto"/>
        <w:rPr>
          <w:rFonts w:hint="eastAsia"/>
        </w:rPr>
      </w:pPr>
    </w:p>
    <w:p w14:paraId="0843A021">
      <w:pPr>
        <w:pStyle w:val="9"/>
        <w:spacing w:after="0" w:line="249" w:lineRule="auto"/>
        <w:rPr>
          <w:rFonts w:hint="eastAsia"/>
        </w:rPr>
      </w:pPr>
      <w:r>
        <w:rPr>
          <w:rFonts w:hint="eastAsia"/>
        </w:rPr>
        <w:t>1.3:1-19 God Will Go Forth for His People’s Salvation</w:t>
      </w:r>
    </w:p>
    <w:p w14:paraId="6C2DF1E6">
      <w:pPr>
        <w:pStyle w:val="9"/>
        <w:spacing w:after="0" w:line="249" w:lineRule="auto"/>
        <w:rPr>
          <w:rFonts w:hint="eastAsia"/>
        </w:rPr>
      </w:pPr>
      <w:r>
        <w:rPr>
          <w:rFonts w:hint="eastAsia"/>
        </w:rPr>
        <w:t>1.3:1-19 神必为祂子民的拯救出去</w:t>
      </w:r>
    </w:p>
    <w:p w14:paraId="4329236B">
      <w:pPr>
        <w:pStyle w:val="9"/>
        <w:spacing w:after="0" w:line="249" w:lineRule="auto"/>
        <w:rPr>
          <w:rFonts w:hint="eastAsia"/>
        </w:rPr>
      </w:pPr>
    </w:p>
    <w:p w14:paraId="735C4498">
      <w:pPr>
        <w:pStyle w:val="9"/>
        <w:spacing w:after="0" w:line="249" w:lineRule="auto"/>
        <w:rPr>
          <w:rFonts w:hint="eastAsia"/>
        </w:rPr>
      </w:pPr>
      <w:r>
        <w:rPr>
          <w:rFonts w:hint="eastAsia"/>
        </w:rPr>
        <w:t>Zephaniah</w:t>
      </w:r>
    </w:p>
    <w:p w14:paraId="6E43E855">
      <w:pPr>
        <w:pStyle w:val="9"/>
        <w:spacing w:after="0" w:line="249" w:lineRule="auto"/>
        <w:rPr>
          <w:rFonts w:hint="eastAsia"/>
        </w:rPr>
      </w:pPr>
      <w:r>
        <w:rPr>
          <w:rFonts w:hint="eastAsia"/>
        </w:rPr>
        <w:t>西番雅书</w:t>
      </w:r>
    </w:p>
    <w:p w14:paraId="2F6B2E5E">
      <w:pPr>
        <w:pStyle w:val="9"/>
        <w:spacing w:after="0" w:line="249" w:lineRule="auto"/>
        <w:rPr>
          <w:rFonts w:hint="eastAsia"/>
        </w:rPr>
      </w:pPr>
    </w:p>
    <w:p w14:paraId="1AB65915">
      <w:pPr>
        <w:pStyle w:val="9"/>
        <w:spacing w:after="0" w:line="249" w:lineRule="auto"/>
        <w:rPr>
          <w:rFonts w:hint="eastAsia"/>
        </w:rPr>
      </w:pPr>
      <w:r>
        <w:rPr>
          <w:rFonts w:hint="eastAsia"/>
        </w:rPr>
        <w:t>1.2:1ff Israel Will Be Restored</w:t>
      </w:r>
    </w:p>
    <w:p w14:paraId="6C9A6C8F">
      <w:pPr>
        <w:pStyle w:val="9"/>
        <w:spacing w:after="0" w:line="249" w:lineRule="auto"/>
        <w:rPr>
          <w:rFonts w:hint="eastAsia"/>
        </w:rPr>
      </w:pPr>
      <w:r>
        <w:rPr>
          <w:rFonts w:hint="eastAsia"/>
        </w:rPr>
        <w:t>1.2:1及以下 以色列必被复兴</w:t>
      </w:r>
    </w:p>
    <w:p w14:paraId="1944BB05">
      <w:pPr>
        <w:pStyle w:val="9"/>
        <w:spacing w:after="0" w:line="249" w:lineRule="auto"/>
        <w:rPr>
          <w:rFonts w:hint="eastAsia"/>
        </w:rPr>
      </w:pPr>
    </w:p>
    <w:p w14:paraId="6E7FBB4A">
      <w:pPr>
        <w:pStyle w:val="9"/>
        <w:spacing w:after="0" w:line="249" w:lineRule="auto"/>
        <w:rPr>
          <w:rFonts w:hint="eastAsia"/>
        </w:rPr>
      </w:pPr>
      <w:r>
        <w:rPr>
          <w:rFonts w:hint="eastAsia"/>
        </w:rPr>
        <w:t>2.3:9-13 A Humble People in the Land</w:t>
      </w:r>
    </w:p>
    <w:p w14:paraId="20926401">
      <w:pPr>
        <w:pStyle w:val="9"/>
        <w:spacing w:after="0" w:line="249" w:lineRule="auto"/>
        <w:rPr>
          <w:rFonts w:hint="eastAsia"/>
        </w:rPr>
      </w:pPr>
      <w:r>
        <w:rPr>
          <w:rFonts w:hint="eastAsia"/>
        </w:rPr>
        <w:t>2.3:9-13 地上谦卑的民</w:t>
      </w:r>
    </w:p>
    <w:p w14:paraId="0E375559">
      <w:pPr>
        <w:pStyle w:val="9"/>
        <w:spacing w:after="0" w:line="249" w:lineRule="auto"/>
        <w:rPr>
          <w:rFonts w:hint="eastAsia"/>
        </w:rPr>
      </w:pPr>
    </w:p>
    <w:p w14:paraId="23BFB5D0">
      <w:pPr>
        <w:pStyle w:val="9"/>
        <w:spacing w:after="0" w:line="249" w:lineRule="auto"/>
        <w:rPr>
          <w:rFonts w:hint="eastAsia"/>
        </w:rPr>
      </w:pPr>
      <w:r>
        <w:rPr>
          <w:rFonts w:hint="eastAsia"/>
        </w:rPr>
        <w:t>3.3:14-20 Sing Aloud, O Daughter of Zion!</w:t>
      </w:r>
    </w:p>
    <w:p w14:paraId="17025B2E">
      <w:pPr>
        <w:pStyle w:val="9"/>
        <w:spacing w:after="0" w:line="249" w:lineRule="auto"/>
        <w:rPr>
          <w:rFonts w:hint="eastAsia"/>
        </w:rPr>
      </w:pPr>
      <w:r>
        <w:rPr>
          <w:rFonts w:hint="eastAsia"/>
        </w:rPr>
        <w:t>3.3:14-20 锡安的女子啊，应当歌唱！</w:t>
      </w:r>
    </w:p>
    <w:p w14:paraId="6C4A8FA6">
      <w:pPr>
        <w:pStyle w:val="9"/>
        <w:spacing w:after="0" w:line="249" w:lineRule="auto"/>
        <w:rPr>
          <w:rFonts w:hint="eastAsia"/>
        </w:rPr>
      </w:pPr>
    </w:p>
    <w:p w14:paraId="1BA6D7AE">
      <w:pPr>
        <w:pStyle w:val="9"/>
        <w:spacing w:after="0" w:line="249" w:lineRule="auto"/>
        <w:rPr>
          <w:rFonts w:hint="eastAsia"/>
        </w:rPr>
      </w:pPr>
      <w:r>
        <w:rPr>
          <w:rFonts w:hint="eastAsia"/>
        </w:rPr>
        <w:t>Haggai</w:t>
      </w:r>
    </w:p>
    <w:p w14:paraId="19038BCD">
      <w:pPr>
        <w:pStyle w:val="9"/>
        <w:spacing w:after="0" w:line="249" w:lineRule="auto"/>
        <w:rPr>
          <w:rFonts w:hint="eastAsia"/>
        </w:rPr>
      </w:pPr>
      <w:r>
        <w:rPr>
          <w:rFonts w:hint="eastAsia"/>
        </w:rPr>
        <w:t>哈该书</w:t>
      </w:r>
    </w:p>
    <w:p w14:paraId="2DDC4073">
      <w:pPr>
        <w:pStyle w:val="9"/>
        <w:spacing w:after="0" w:line="249" w:lineRule="auto"/>
        <w:rPr>
          <w:rFonts w:hint="eastAsia"/>
        </w:rPr>
      </w:pPr>
    </w:p>
    <w:p w14:paraId="25769460">
      <w:pPr>
        <w:pStyle w:val="9"/>
        <w:spacing w:after="0" w:line="249" w:lineRule="auto"/>
        <w:rPr>
          <w:rFonts w:hint="eastAsia"/>
        </w:rPr>
      </w:pPr>
      <w:r>
        <w:rPr>
          <w:rFonts w:hint="eastAsia"/>
        </w:rPr>
        <w:t>1.2:5-9 The Latter Glory of God’s House</w:t>
      </w:r>
    </w:p>
    <w:p w14:paraId="5F0B1F6F">
      <w:pPr>
        <w:pStyle w:val="9"/>
        <w:spacing w:after="0" w:line="249" w:lineRule="auto"/>
        <w:rPr>
          <w:rFonts w:hint="eastAsia"/>
        </w:rPr>
      </w:pPr>
      <w:r>
        <w:rPr>
          <w:rFonts w:hint="eastAsia"/>
        </w:rPr>
        <w:t>1.2:5-9 神殿后来的荣耀</w:t>
      </w:r>
    </w:p>
    <w:p w14:paraId="3D3FE484">
      <w:pPr>
        <w:pStyle w:val="9"/>
        <w:spacing w:after="0" w:line="249" w:lineRule="auto"/>
        <w:rPr>
          <w:rFonts w:hint="eastAsia"/>
        </w:rPr>
      </w:pPr>
    </w:p>
    <w:p w14:paraId="72CDE53F">
      <w:pPr>
        <w:pStyle w:val="9"/>
        <w:spacing w:after="0" w:line="249" w:lineRule="auto"/>
        <w:rPr>
          <w:rFonts w:hint="eastAsia"/>
        </w:rPr>
      </w:pPr>
      <w:r>
        <w:rPr>
          <w:rFonts w:hint="eastAsia"/>
        </w:rPr>
        <w:t>2.2:20ff Zerubbabel, My Signet Ring</w:t>
      </w:r>
    </w:p>
    <w:p w14:paraId="6E9CB6F2">
      <w:pPr>
        <w:pStyle w:val="9"/>
        <w:spacing w:after="0" w:line="249" w:lineRule="auto"/>
        <w:rPr>
          <w:rFonts w:hint="eastAsia"/>
        </w:rPr>
      </w:pPr>
      <w:r>
        <w:rPr>
          <w:rFonts w:hint="eastAsia"/>
        </w:rPr>
        <w:t>2.2:20及以下 所罗巴伯，我的印戒</w:t>
      </w:r>
    </w:p>
    <w:p w14:paraId="3216EC76">
      <w:pPr>
        <w:pStyle w:val="9"/>
        <w:spacing w:after="0" w:line="249" w:lineRule="auto"/>
        <w:rPr>
          <w:rFonts w:hint="eastAsia"/>
        </w:rPr>
      </w:pPr>
    </w:p>
    <w:p w14:paraId="34B60C3C">
      <w:pPr>
        <w:pStyle w:val="9"/>
        <w:spacing w:after="0" w:line="249" w:lineRule="auto"/>
        <w:rPr>
          <w:rFonts w:hint="eastAsia"/>
        </w:rPr>
      </w:pPr>
      <w:r>
        <w:rPr>
          <w:rFonts w:hint="eastAsia"/>
        </w:rPr>
        <w:t>Zechariah</w:t>
      </w:r>
    </w:p>
    <w:p w14:paraId="057047AA">
      <w:pPr>
        <w:pStyle w:val="9"/>
        <w:spacing w:after="0" w:line="249" w:lineRule="auto"/>
        <w:rPr>
          <w:rFonts w:hint="eastAsia"/>
        </w:rPr>
      </w:pPr>
      <w:r>
        <w:rPr>
          <w:rFonts w:hint="eastAsia"/>
        </w:rPr>
        <w:t>撒迦利亚书</w:t>
      </w:r>
    </w:p>
    <w:p w14:paraId="1D474F07">
      <w:pPr>
        <w:pStyle w:val="9"/>
        <w:spacing w:after="0" w:line="249" w:lineRule="auto"/>
        <w:rPr>
          <w:rFonts w:hint="eastAsia"/>
        </w:rPr>
      </w:pPr>
    </w:p>
    <w:p w14:paraId="617A7D5C">
      <w:pPr>
        <w:pStyle w:val="9"/>
        <w:spacing w:after="0" w:line="249" w:lineRule="auto"/>
        <w:rPr>
          <w:rFonts w:hint="eastAsia"/>
        </w:rPr>
      </w:pPr>
      <w:r>
        <w:rPr>
          <w:rFonts w:hint="eastAsia"/>
        </w:rPr>
        <w:t>1.1:4-17 The Four Horsemen</w:t>
      </w:r>
    </w:p>
    <w:p w14:paraId="2574FE53">
      <w:pPr>
        <w:pStyle w:val="9"/>
        <w:spacing w:after="0" w:line="249" w:lineRule="auto"/>
        <w:rPr>
          <w:rFonts w:hint="eastAsia"/>
        </w:rPr>
      </w:pPr>
      <w:r>
        <w:rPr>
          <w:rFonts w:hint="eastAsia"/>
        </w:rPr>
        <w:t>1.1:4-17 四骑士</w:t>
      </w:r>
    </w:p>
    <w:p w14:paraId="020AF571">
      <w:pPr>
        <w:pStyle w:val="9"/>
        <w:spacing w:after="0" w:line="249" w:lineRule="auto"/>
        <w:rPr>
          <w:rFonts w:hint="eastAsia"/>
        </w:rPr>
      </w:pPr>
    </w:p>
    <w:p w14:paraId="1F048CAF">
      <w:pPr>
        <w:pStyle w:val="9"/>
        <w:spacing w:after="0" w:line="249" w:lineRule="auto"/>
        <w:rPr>
          <w:rFonts w:hint="eastAsia"/>
        </w:rPr>
      </w:pPr>
      <w:r>
        <w:rPr>
          <w:rFonts w:hint="eastAsia"/>
        </w:rPr>
        <w:t>2.1:18ff The Four Craftsmen</w:t>
      </w:r>
    </w:p>
    <w:p w14:paraId="7543F2A1">
      <w:pPr>
        <w:pStyle w:val="9"/>
        <w:spacing w:after="0" w:line="249" w:lineRule="auto"/>
        <w:rPr>
          <w:rFonts w:hint="eastAsia"/>
        </w:rPr>
      </w:pPr>
      <w:r>
        <w:rPr>
          <w:rFonts w:hint="eastAsia"/>
        </w:rPr>
        <w:t>2.1:18及以下 四个工匠</w:t>
      </w:r>
    </w:p>
    <w:p w14:paraId="5E1A68A1">
      <w:pPr>
        <w:pStyle w:val="9"/>
        <w:spacing w:after="0" w:line="249" w:lineRule="auto"/>
        <w:rPr>
          <w:rFonts w:hint="eastAsia"/>
        </w:rPr>
      </w:pPr>
    </w:p>
    <w:p w14:paraId="3790609B">
      <w:pPr>
        <w:pStyle w:val="9"/>
        <w:spacing w:after="0" w:line="249" w:lineRule="auto"/>
        <w:rPr>
          <w:rFonts w:hint="eastAsia"/>
        </w:rPr>
      </w:pPr>
      <w:r>
        <w:rPr>
          <w:rFonts w:hint="eastAsia"/>
        </w:rPr>
        <w:t>3.2:1-13 Jerusalem Measured for Blessing</w:t>
      </w:r>
    </w:p>
    <w:p w14:paraId="68DA82B4">
      <w:pPr>
        <w:pStyle w:val="9"/>
        <w:spacing w:after="0" w:line="249" w:lineRule="auto"/>
        <w:rPr>
          <w:rFonts w:hint="eastAsia"/>
        </w:rPr>
      </w:pPr>
      <w:r>
        <w:rPr>
          <w:rFonts w:hint="eastAsia"/>
        </w:rPr>
        <w:t>3.2:1-13 为祝福而量度的耶路撒冷</w:t>
      </w:r>
    </w:p>
    <w:p w14:paraId="36FCD27E">
      <w:pPr>
        <w:pStyle w:val="9"/>
        <w:spacing w:after="0" w:line="249" w:lineRule="auto"/>
        <w:rPr>
          <w:rFonts w:hint="eastAsia"/>
        </w:rPr>
      </w:pPr>
    </w:p>
    <w:p w14:paraId="5F44D36A">
      <w:pPr>
        <w:pStyle w:val="9"/>
        <w:spacing w:after="0" w:line="249" w:lineRule="auto"/>
        <w:rPr>
          <w:rFonts w:hint="eastAsia"/>
        </w:rPr>
      </w:pPr>
      <w:r>
        <w:rPr>
          <w:rFonts w:hint="eastAsia"/>
        </w:rPr>
        <w:t>4.3:1-7 A Brand Plucked From the Fire</w:t>
      </w:r>
    </w:p>
    <w:p w14:paraId="3DF5FD34">
      <w:pPr>
        <w:pStyle w:val="9"/>
        <w:spacing w:after="0" w:line="249" w:lineRule="auto"/>
        <w:rPr>
          <w:rFonts w:hint="eastAsia"/>
        </w:rPr>
      </w:pPr>
      <w:r>
        <w:rPr>
          <w:rFonts w:hint="eastAsia"/>
        </w:rPr>
        <w:t>4.3:1-7 从火中抽出来的一根柴</w:t>
      </w:r>
    </w:p>
    <w:p w14:paraId="53910B22">
      <w:pPr>
        <w:pStyle w:val="9"/>
        <w:spacing w:after="0" w:line="249" w:lineRule="auto"/>
        <w:rPr>
          <w:rFonts w:hint="eastAsia"/>
        </w:rPr>
      </w:pPr>
    </w:p>
    <w:p w14:paraId="0C0A503C">
      <w:pPr>
        <w:pStyle w:val="9"/>
        <w:spacing w:after="0" w:line="249" w:lineRule="auto"/>
        <w:rPr>
          <w:rFonts w:hint="eastAsia"/>
        </w:rPr>
      </w:pPr>
      <w:r>
        <w:rPr>
          <w:rFonts w:hint="eastAsia"/>
        </w:rPr>
        <w:t>5.3:8-10 The Coming Branch</w:t>
      </w:r>
    </w:p>
    <w:p w14:paraId="455E62CC">
      <w:pPr>
        <w:pStyle w:val="9"/>
        <w:spacing w:after="0" w:line="249" w:lineRule="auto"/>
        <w:rPr>
          <w:rFonts w:hint="eastAsia"/>
        </w:rPr>
      </w:pPr>
      <w:r>
        <w:rPr>
          <w:rFonts w:hint="eastAsia"/>
        </w:rPr>
        <w:t>5.3:8-10 将临的苗裔</w:t>
      </w:r>
    </w:p>
    <w:p w14:paraId="516C355D">
      <w:pPr>
        <w:pStyle w:val="9"/>
        <w:spacing w:after="0" w:line="249" w:lineRule="auto"/>
        <w:rPr>
          <w:rFonts w:hint="eastAsia"/>
        </w:rPr>
      </w:pPr>
    </w:p>
    <w:p w14:paraId="369E9D4E">
      <w:pPr>
        <w:pStyle w:val="9"/>
        <w:spacing w:after="0" w:line="249" w:lineRule="auto"/>
        <w:rPr>
          <w:rFonts w:hint="eastAsia"/>
        </w:rPr>
      </w:pPr>
      <w:r>
        <w:rPr>
          <w:rFonts w:hint="eastAsia"/>
        </w:rPr>
        <w:t>6.4:1-14 Grace, Grace to It!</w:t>
      </w:r>
    </w:p>
    <w:p w14:paraId="4745AB8F">
      <w:pPr>
        <w:pStyle w:val="9"/>
        <w:spacing w:after="0" w:line="249" w:lineRule="auto"/>
        <w:rPr>
          <w:rFonts w:hint="eastAsia"/>
        </w:rPr>
      </w:pPr>
      <w:r>
        <w:rPr>
          <w:rFonts w:hint="eastAsia"/>
        </w:rPr>
        <w:t>6.4:1-14 恩典，恩典归与它！</w:t>
      </w:r>
    </w:p>
    <w:p w14:paraId="58C902C5">
      <w:pPr>
        <w:pStyle w:val="9"/>
        <w:spacing w:after="0" w:line="249" w:lineRule="auto"/>
        <w:rPr>
          <w:rFonts w:hint="eastAsia"/>
        </w:rPr>
      </w:pPr>
    </w:p>
    <w:p w14:paraId="57A0BA36">
      <w:pPr>
        <w:pStyle w:val="9"/>
        <w:spacing w:after="0" w:line="249" w:lineRule="auto"/>
        <w:rPr>
          <w:rFonts w:hint="eastAsia"/>
        </w:rPr>
      </w:pPr>
      <w:r>
        <w:rPr>
          <w:rFonts w:hint="eastAsia"/>
        </w:rPr>
        <w:t>7.5:5-11 Iniquity Removed from the Earth</w:t>
      </w:r>
    </w:p>
    <w:p w14:paraId="613ADFC5">
      <w:pPr>
        <w:pStyle w:val="9"/>
        <w:spacing w:after="0" w:line="249" w:lineRule="auto"/>
        <w:rPr>
          <w:rFonts w:hint="eastAsia"/>
        </w:rPr>
      </w:pPr>
      <w:r>
        <w:rPr>
          <w:rFonts w:hint="eastAsia"/>
        </w:rPr>
        <w:t>7.5:5-11 从地上除去罪孽</w:t>
      </w:r>
    </w:p>
    <w:p w14:paraId="20D18D1B">
      <w:pPr>
        <w:pStyle w:val="9"/>
        <w:spacing w:after="0" w:line="249" w:lineRule="auto"/>
        <w:rPr>
          <w:rFonts w:hint="eastAsia"/>
        </w:rPr>
      </w:pPr>
    </w:p>
    <w:p w14:paraId="687A0AA5">
      <w:pPr>
        <w:pStyle w:val="9"/>
        <w:spacing w:after="0" w:line="249" w:lineRule="auto"/>
        <w:rPr>
          <w:rFonts w:hint="eastAsia"/>
        </w:rPr>
      </w:pPr>
      <w:r>
        <w:rPr>
          <w:rFonts w:hint="eastAsia"/>
        </w:rPr>
        <w:t>8.6:9-15 A Man Whose Name is Branch</w:t>
      </w:r>
    </w:p>
    <w:p w14:paraId="107694C5">
      <w:pPr>
        <w:pStyle w:val="9"/>
        <w:spacing w:after="0" w:line="249" w:lineRule="auto"/>
        <w:rPr>
          <w:rFonts w:hint="eastAsia"/>
        </w:rPr>
      </w:pPr>
      <w:r>
        <w:rPr>
          <w:rFonts w:hint="eastAsia"/>
        </w:rPr>
        <w:t>8.6:9-15 名叫苗裔的人</w:t>
      </w:r>
    </w:p>
    <w:p w14:paraId="253DE24F">
      <w:pPr>
        <w:pStyle w:val="9"/>
        <w:spacing w:after="0" w:line="249" w:lineRule="auto"/>
        <w:rPr>
          <w:rFonts w:hint="eastAsia"/>
        </w:rPr>
      </w:pPr>
    </w:p>
    <w:p w14:paraId="49968D2E">
      <w:pPr>
        <w:pStyle w:val="9"/>
        <w:spacing w:after="0" w:line="249" w:lineRule="auto"/>
        <w:rPr>
          <w:rFonts w:hint="eastAsia"/>
        </w:rPr>
      </w:pPr>
      <w:r>
        <w:rPr>
          <w:rFonts w:hint="eastAsia"/>
        </w:rPr>
        <w:t>9.8:1-23 Zion’s Future Peace</w:t>
      </w:r>
    </w:p>
    <w:p w14:paraId="6A32206E">
      <w:pPr>
        <w:pStyle w:val="9"/>
        <w:spacing w:after="0" w:line="249" w:lineRule="auto"/>
        <w:rPr>
          <w:rFonts w:hint="eastAsia"/>
        </w:rPr>
      </w:pPr>
      <w:r>
        <w:rPr>
          <w:rFonts w:hint="eastAsia"/>
        </w:rPr>
        <w:t>9.8:1-23 锡安未来的平安</w:t>
      </w:r>
    </w:p>
    <w:p w14:paraId="661BEFFD">
      <w:pPr>
        <w:pStyle w:val="9"/>
        <w:spacing w:after="0" w:line="249" w:lineRule="auto"/>
        <w:rPr>
          <w:rFonts w:hint="eastAsia"/>
        </w:rPr>
      </w:pPr>
    </w:p>
    <w:p w14:paraId="14252696">
      <w:pPr>
        <w:pStyle w:val="9"/>
        <w:spacing w:after="0" w:line="249" w:lineRule="auto"/>
        <w:rPr>
          <w:rFonts w:hint="eastAsia"/>
        </w:rPr>
      </w:pPr>
      <w:r>
        <w:rPr>
          <w:rFonts w:hint="eastAsia"/>
        </w:rPr>
        <w:t>10.9:9-17 The Coming Warrior King</w:t>
      </w:r>
    </w:p>
    <w:p w14:paraId="1DD7FB1F">
      <w:pPr>
        <w:pStyle w:val="9"/>
        <w:spacing w:after="0" w:line="249" w:lineRule="auto"/>
        <w:rPr>
          <w:rFonts w:hint="eastAsia"/>
        </w:rPr>
      </w:pPr>
      <w:r>
        <w:rPr>
          <w:rFonts w:hint="eastAsia"/>
        </w:rPr>
        <w:t>10.9:9-17 将临的战士君王</w:t>
      </w:r>
    </w:p>
    <w:p w14:paraId="0A979EC0">
      <w:pPr>
        <w:pStyle w:val="9"/>
        <w:spacing w:after="0" w:line="249" w:lineRule="auto"/>
        <w:rPr>
          <w:rFonts w:hint="eastAsia"/>
        </w:rPr>
      </w:pPr>
    </w:p>
    <w:p w14:paraId="2AA13437">
      <w:pPr>
        <w:pStyle w:val="9"/>
        <w:spacing w:after="0" w:line="249" w:lineRule="auto"/>
        <w:rPr>
          <w:rFonts w:hint="eastAsia"/>
        </w:rPr>
      </w:pPr>
      <w:r>
        <w:rPr>
          <w:rFonts w:hint="eastAsia"/>
        </w:rPr>
        <w:t>11.10:1-12 I Will Bring Them Back</w:t>
      </w:r>
    </w:p>
    <w:p w14:paraId="625A6BA5">
      <w:pPr>
        <w:pStyle w:val="9"/>
        <w:spacing w:after="0" w:line="249" w:lineRule="auto"/>
        <w:rPr>
          <w:rFonts w:hint="eastAsia"/>
        </w:rPr>
      </w:pPr>
      <w:r>
        <w:rPr>
          <w:rFonts w:hint="eastAsia"/>
        </w:rPr>
        <w:t>11.10:1-12 我必领他们回来</w:t>
      </w:r>
    </w:p>
    <w:p w14:paraId="4AFDEA4F">
      <w:pPr>
        <w:pStyle w:val="9"/>
        <w:spacing w:after="0" w:line="249" w:lineRule="auto"/>
        <w:rPr>
          <w:rFonts w:hint="eastAsia"/>
        </w:rPr>
      </w:pPr>
    </w:p>
    <w:p w14:paraId="6240CA5A">
      <w:pPr>
        <w:pStyle w:val="9"/>
        <w:spacing w:after="0" w:line="249" w:lineRule="auto"/>
        <w:rPr>
          <w:rFonts w:hint="eastAsia"/>
        </w:rPr>
      </w:pPr>
      <w:r>
        <w:rPr>
          <w:rFonts w:hint="eastAsia"/>
        </w:rPr>
        <w:t>12.1-17 Jerusalem, a Cup that Causes Reeling</w:t>
      </w:r>
    </w:p>
    <w:p w14:paraId="3773A22C">
      <w:pPr>
        <w:pStyle w:val="9"/>
        <w:spacing w:after="0" w:line="249" w:lineRule="auto"/>
        <w:rPr>
          <w:rFonts w:hint="eastAsia"/>
        </w:rPr>
      </w:pPr>
      <w:r>
        <w:rPr>
          <w:rFonts w:hint="eastAsia"/>
        </w:rPr>
        <w:t>12.1-17 耶路撒冷，使人东倒西歪的杯</w:t>
      </w:r>
    </w:p>
    <w:p w14:paraId="68191109">
      <w:pPr>
        <w:pStyle w:val="9"/>
        <w:spacing w:after="0" w:line="249" w:lineRule="auto"/>
        <w:rPr>
          <w:rFonts w:hint="eastAsia"/>
        </w:rPr>
      </w:pPr>
    </w:p>
    <w:p w14:paraId="41E8E1AD">
      <w:pPr>
        <w:pStyle w:val="9"/>
        <w:spacing w:after="0" w:line="249" w:lineRule="auto"/>
        <w:rPr>
          <w:rFonts w:hint="eastAsia"/>
        </w:rPr>
      </w:pPr>
      <w:r>
        <w:rPr>
          <w:rFonts w:hint="eastAsia"/>
        </w:rPr>
        <w:t>13.12:1-9 Strong in the Lord</w:t>
      </w:r>
    </w:p>
    <w:p w14:paraId="4C0A42E4">
      <w:pPr>
        <w:pStyle w:val="9"/>
        <w:spacing w:after="0" w:line="249" w:lineRule="auto"/>
        <w:rPr>
          <w:rFonts w:hint="eastAsia"/>
        </w:rPr>
      </w:pPr>
      <w:r>
        <w:rPr>
          <w:rFonts w:hint="eastAsia"/>
        </w:rPr>
        <w:t>13.12:1-9 在主里刚强</w:t>
      </w:r>
    </w:p>
    <w:p w14:paraId="42F04DB0">
      <w:pPr>
        <w:pStyle w:val="9"/>
        <w:spacing w:after="0" w:line="249" w:lineRule="auto"/>
        <w:rPr>
          <w:rFonts w:hint="eastAsia"/>
        </w:rPr>
      </w:pPr>
    </w:p>
    <w:p w14:paraId="782B5DC0">
      <w:pPr>
        <w:pStyle w:val="9"/>
        <w:spacing w:after="0" w:line="249" w:lineRule="auto"/>
        <w:rPr>
          <w:rFonts w:hint="eastAsia"/>
        </w:rPr>
      </w:pPr>
      <w:r>
        <w:rPr>
          <w:rFonts w:hint="eastAsia"/>
        </w:rPr>
        <w:t>14.12:10-14 Before Strength, Tears</w:t>
      </w:r>
    </w:p>
    <w:p w14:paraId="10896214">
      <w:pPr>
        <w:pStyle w:val="9"/>
        <w:spacing w:after="0" w:line="249" w:lineRule="auto"/>
        <w:rPr>
          <w:rFonts w:hint="eastAsia"/>
        </w:rPr>
      </w:pPr>
      <w:r>
        <w:rPr>
          <w:rFonts w:hint="eastAsia"/>
        </w:rPr>
        <w:t>14.12:10-14 在刚强之前，是眼泪</w:t>
      </w:r>
    </w:p>
    <w:p w14:paraId="1DCB035B">
      <w:pPr>
        <w:pStyle w:val="9"/>
        <w:spacing w:after="0" w:line="249" w:lineRule="auto"/>
        <w:rPr>
          <w:rFonts w:hint="eastAsia"/>
        </w:rPr>
      </w:pPr>
    </w:p>
    <w:p w14:paraId="54587615">
      <w:pPr>
        <w:pStyle w:val="9"/>
        <w:spacing w:after="0" w:line="249" w:lineRule="auto"/>
        <w:rPr>
          <w:rFonts w:hint="eastAsia"/>
        </w:rPr>
      </w:pPr>
      <w:r>
        <w:rPr>
          <w:rFonts w:hint="eastAsia"/>
        </w:rPr>
        <w:t>15.13:1-6 After Tears, Cleansing</w:t>
      </w:r>
    </w:p>
    <w:p w14:paraId="5C2CD4A2">
      <w:pPr>
        <w:pStyle w:val="9"/>
        <w:spacing w:after="0" w:line="249" w:lineRule="auto"/>
        <w:rPr>
          <w:rFonts w:hint="eastAsia"/>
        </w:rPr>
      </w:pPr>
      <w:r>
        <w:rPr>
          <w:rFonts w:hint="eastAsia"/>
        </w:rPr>
        <w:t>15.13:1-6 在眼泪之后，是洁净</w:t>
      </w:r>
    </w:p>
    <w:p w14:paraId="29401821">
      <w:pPr>
        <w:pStyle w:val="9"/>
        <w:spacing w:after="0" w:line="249" w:lineRule="auto"/>
        <w:rPr>
          <w:rFonts w:hint="eastAsia"/>
        </w:rPr>
      </w:pPr>
    </w:p>
    <w:p w14:paraId="5A60CFD7">
      <w:pPr>
        <w:pStyle w:val="9"/>
        <w:spacing w:after="0" w:line="249" w:lineRule="auto"/>
        <w:rPr>
          <w:rFonts w:hint="eastAsia"/>
        </w:rPr>
      </w:pPr>
      <w:r>
        <w:rPr>
          <w:rFonts w:hint="eastAsia"/>
        </w:rPr>
        <w:t>16.13:7-9 The Stricken Shepherd, the Gathered Flock</w:t>
      </w:r>
    </w:p>
    <w:p w14:paraId="6EA690B2">
      <w:pPr>
        <w:pStyle w:val="9"/>
        <w:spacing w:after="0" w:line="249" w:lineRule="auto"/>
        <w:rPr>
          <w:rFonts w:hint="eastAsia"/>
        </w:rPr>
      </w:pPr>
      <w:r>
        <w:rPr>
          <w:rFonts w:hint="eastAsia"/>
        </w:rPr>
        <w:t>16.13:7-9 被击打的牧人，被招聚的羊群</w:t>
      </w:r>
    </w:p>
    <w:p w14:paraId="75CB9B1C">
      <w:pPr>
        <w:pStyle w:val="9"/>
        <w:spacing w:after="0" w:line="249" w:lineRule="auto"/>
        <w:rPr>
          <w:rFonts w:hint="eastAsia"/>
        </w:rPr>
      </w:pPr>
    </w:p>
    <w:p w14:paraId="3AC07B44">
      <w:pPr>
        <w:pStyle w:val="9"/>
        <w:spacing w:after="0" w:line="249" w:lineRule="auto"/>
        <w:rPr>
          <w:rFonts w:hint="eastAsia"/>
        </w:rPr>
      </w:pPr>
      <w:r>
        <w:rPr>
          <w:rFonts w:hint="eastAsia"/>
        </w:rPr>
        <w:t>17.14:1-2 The Last Battle</w:t>
      </w:r>
    </w:p>
    <w:p w14:paraId="3BF583F7">
      <w:pPr>
        <w:pStyle w:val="9"/>
        <w:spacing w:after="0" w:line="249" w:lineRule="auto"/>
        <w:rPr>
          <w:rFonts w:hint="eastAsia"/>
        </w:rPr>
      </w:pPr>
      <w:r>
        <w:rPr>
          <w:rFonts w:hint="eastAsia"/>
        </w:rPr>
        <w:t>17.14:1-2 最后的争战</w:t>
      </w:r>
    </w:p>
    <w:p w14:paraId="27F863B0">
      <w:pPr>
        <w:pStyle w:val="9"/>
        <w:spacing w:after="0" w:line="249" w:lineRule="auto"/>
        <w:rPr>
          <w:rFonts w:hint="eastAsia"/>
        </w:rPr>
      </w:pPr>
    </w:p>
    <w:p w14:paraId="17EEE72B">
      <w:pPr>
        <w:pStyle w:val="9"/>
        <w:spacing w:after="0" w:line="249" w:lineRule="auto"/>
        <w:rPr>
          <w:rFonts w:hint="eastAsia"/>
        </w:rPr>
      </w:pPr>
      <w:r>
        <w:rPr>
          <w:rFonts w:hint="eastAsia"/>
        </w:rPr>
        <w:t>18.14:3-5 The Day of the LORD</w:t>
      </w:r>
    </w:p>
    <w:p w14:paraId="6488D89B">
      <w:pPr>
        <w:pStyle w:val="9"/>
        <w:spacing w:after="0" w:line="249" w:lineRule="auto"/>
        <w:rPr>
          <w:rFonts w:hint="eastAsia"/>
        </w:rPr>
      </w:pPr>
      <w:r>
        <w:rPr>
          <w:rFonts w:hint="eastAsia"/>
        </w:rPr>
        <w:t>18.14:3-5 耶和华的日子</w:t>
      </w:r>
    </w:p>
    <w:p w14:paraId="4B683BDB">
      <w:pPr>
        <w:pStyle w:val="9"/>
        <w:spacing w:after="0" w:line="249" w:lineRule="auto"/>
        <w:rPr>
          <w:rFonts w:hint="eastAsia"/>
        </w:rPr>
      </w:pPr>
    </w:p>
    <w:p w14:paraId="2640EA13">
      <w:pPr>
        <w:pStyle w:val="9"/>
        <w:spacing w:after="0" w:line="249" w:lineRule="auto"/>
        <w:rPr>
          <w:rFonts w:hint="eastAsia"/>
        </w:rPr>
      </w:pPr>
      <w:r>
        <w:rPr>
          <w:rFonts w:hint="eastAsia"/>
        </w:rPr>
        <w:t>19.14:6-11 The World to Come</w:t>
      </w:r>
    </w:p>
    <w:p w14:paraId="6FFF790F">
      <w:pPr>
        <w:pStyle w:val="9"/>
        <w:spacing w:after="0" w:line="249" w:lineRule="auto"/>
        <w:rPr>
          <w:rFonts w:hint="eastAsia"/>
        </w:rPr>
      </w:pPr>
      <w:r>
        <w:rPr>
          <w:rFonts w:hint="eastAsia"/>
        </w:rPr>
        <w:t>19.14:6-11 来世</w:t>
      </w:r>
    </w:p>
    <w:p w14:paraId="12FEE669">
      <w:pPr>
        <w:pStyle w:val="9"/>
        <w:spacing w:after="0" w:line="249" w:lineRule="auto"/>
        <w:rPr>
          <w:rFonts w:hint="eastAsia"/>
        </w:rPr>
      </w:pPr>
    </w:p>
    <w:p w14:paraId="5B4D39CE">
      <w:pPr>
        <w:pStyle w:val="9"/>
        <w:spacing w:after="0" w:line="249" w:lineRule="auto"/>
        <w:rPr>
          <w:rFonts w:hint="eastAsia"/>
        </w:rPr>
      </w:pPr>
      <w:r>
        <w:rPr>
          <w:rFonts w:hint="eastAsia"/>
        </w:rPr>
        <w:t>20.14:12-15 The Judgment to Come</w:t>
      </w:r>
    </w:p>
    <w:p w14:paraId="17E7FB68">
      <w:pPr>
        <w:pStyle w:val="9"/>
        <w:spacing w:after="0" w:line="249" w:lineRule="auto"/>
        <w:rPr>
          <w:rFonts w:hint="eastAsia"/>
        </w:rPr>
      </w:pPr>
      <w:r>
        <w:rPr>
          <w:rFonts w:hint="eastAsia"/>
        </w:rPr>
        <w:t>20.14:12-15 将临的审判</w:t>
      </w:r>
    </w:p>
    <w:p w14:paraId="17689AD5">
      <w:pPr>
        <w:pStyle w:val="9"/>
        <w:spacing w:after="0" w:line="249" w:lineRule="auto"/>
        <w:rPr>
          <w:rFonts w:hint="eastAsia"/>
        </w:rPr>
      </w:pPr>
    </w:p>
    <w:p w14:paraId="67A1AD1C">
      <w:pPr>
        <w:pStyle w:val="9"/>
        <w:spacing w:after="0" w:line="249" w:lineRule="auto"/>
        <w:rPr>
          <w:rFonts w:hint="eastAsia"/>
        </w:rPr>
      </w:pPr>
      <w:r>
        <w:rPr>
          <w:rFonts w:hint="eastAsia"/>
        </w:rPr>
        <w:t>21.14:16-21 The Worship to Come</w:t>
      </w:r>
    </w:p>
    <w:p w14:paraId="25AF8ED5">
      <w:pPr>
        <w:pStyle w:val="9"/>
        <w:spacing w:after="0" w:line="249" w:lineRule="auto"/>
        <w:rPr>
          <w:rFonts w:hint="eastAsia"/>
        </w:rPr>
      </w:pPr>
      <w:r>
        <w:rPr>
          <w:rFonts w:hint="eastAsia"/>
        </w:rPr>
        <w:t>21.14:16-21 将临的敬拜</w:t>
      </w:r>
    </w:p>
    <w:p w14:paraId="05A06603">
      <w:pPr>
        <w:pStyle w:val="9"/>
        <w:spacing w:after="0" w:line="249" w:lineRule="auto"/>
        <w:rPr>
          <w:rFonts w:hint="eastAsia"/>
        </w:rPr>
      </w:pPr>
    </w:p>
    <w:p w14:paraId="28DCB782">
      <w:pPr>
        <w:pStyle w:val="9"/>
        <w:spacing w:after="0" w:line="249" w:lineRule="auto"/>
        <w:rPr>
          <w:rFonts w:hint="eastAsia"/>
        </w:rPr>
      </w:pPr>
      <w:r>
        <w:rPr>
          <w:rFonts w:hint="eastAsia"/>
        </w:rPr>
        <w:t>Malachi</w:t>
      </w:r>
    </w:p>
    <w:p w14:paraId="54977FDB">
      <w:pPr>
        <w:pStyle w:val="9"/>
        <w:spacing w:after="0" w:line="249" w:lineRule="auto"/>
        <w:rPr>
          <w:rFonts w:hint="eastAsia"/>
        </w:rPr>
      </w:pPr>
      <w:r>
        <w:rPr>
          <w:rFonts w:hint="eastAsia"/>
        </w:rPr>
        <w:t>玛拉基书</w:t>
      </w:r>
    </w:p>
    <w:p w14:paraId="59546344">
      <w:pPr>
        <w:pStyle w:val="9"/>
        <w:spacing w:after="0" w:line="249" w:lineRule="auto"/>
        <w:rPr>
          <w:rFonts w:hint="eastAsia"/>
        </w:rPr>
      </w:pPr>
    </w:p>
    <w:p w14:paraId="68F3ECA5">
      <w:pPr>
        <w:pStyle w:val="9"/>
        <w:spacing w:after="0" w:line="249" w:lineRule="auto"/>
        <w:rPr>
          <w:rFonts w:hint="eastAsia"/>
        </w:rPr>
      </w:pPr>
      <w:r>
        <w:rPr>
          <w:rFonts w:hint="eastAsia"/>
        </w:rPr>
        <w:t>1.1:1-14 From the Rising of the Sun</w:t>
      </w:r>
    </w:p>
    <w:p w14:paraId="707F19DE">
      <w:pPr>
        <w:pStyle w:val="9"/>
        <w:spacing w:after="0" w:line="249" w:lineRule="auto"/>
        <w:rPr>
          <w:rFonts w:hint="eastAsia"/>
        </w:rPr>
      </w:pPr>
      <w:r>
        <w:rPr>
          <w:rFonts w:hint="eastAsia"/>
        </w:rPr>
        <w:t>1.1:1-14 从日出之地</w:t>
      </w:r>
    </w:p>
    <w:p w14:paraId="361BFF99">
      <w:pPr>
        <w:pStyle w:val="9"/>
        <w:spacing w:after="0" w:line="249" w:lineRule="auto"/>
        <w:rPr>
          <w:rFonts w:hint="eastAsia"/>
        </w:rPr>
      </w:pPr>
    </w:p>
    <w:p w14:paraId="5AC97E4E">
      <w:pPr>
        <w:pStyle w:val="9"/>
        <w:spacing w:after="0" w:line="249" w:lineRule="auto"/>
        <w:rPr>
          <w:rFonts w:hint="eastAsia"/>
        </w:rPr>
      </w:pPr>
      <w:r>
        <w:rPr>
          <w:rFonts w:hint="eastAsia"/>
        </w:rPr>
        <w:t>2.2:17-3:5 The Messenger of the Covenant Will Come</w:t>
      </w:r>
    </w:p>
    <w:p w14:paraId="2E9D142A">
      <w:pPr>
        <w:pStyle w:val="9"/>
        <w:spacing w:after="0" w:line="249" w:lineRule="auto"/>
        <w:rPr>
          <w:rFonts w:hint="eastAsia"/>
        </w:rPr>
      </w:pPr>
      <w:r>
        <w:rPr>
          <w:rFonts w:hint="eastAsia"/>
        </w:rPr>
        <w:t>2.2:17-3:5 立约的使者必来到</w:t>
      </w:r>
    </w:p>
    <w:p w14:paraId="799AD9C1">
      <w:pPr>
        <w:pStyle w:val="9"/>
        <w:spacing w:after="0" w:line="249" w:lineRule="auto"/>
        <w:rPr>
          <w:rFonts w:hint="eastAsia"/>
        </w:rPr>
      </w:pPr>
    </w:p>
    <w:p w14:paraId="25CA9A08">
      <w:pPr>
        <w:pStyle w:val="9"/>
        <w:spacing w:after="0" w:line="249" w:lineRule="auto"/>
        <w:rPr>
          <w:rFonts w:hint="eastAsia"/>
        </w:rPr>
      </w:pPr>
      <w:r>
        <w:rPr>
          <w:rFonts w:hint="eastAsia"/>
        </w:rPr>
        <w:t>3.4:1-6 The Sun of Righteousness Will Rise</w:t>
      </w:r>
    </w:p>
    <w:p w14:paraId="22C95E92">
      <w:pPr>
        <w:pStyle w:val="9"/>
        <w:spacing w:after="0" w:line="249" w:lineRule="auto"/>
        <w:rPr>
          <w:rFonts w:hint="eastAsia"/>
        </w:rPr>
      </w:pPr>
      <w:r>
        <w:rPr>
          <w:rFonts w:hint="eastAsia"/>
        </w:rPr>
        <w:t>3.4:1-6 公义的日头必升起</w:t>
      </w:r>
    </w:p>
    <w:p w14:paraId="76632E83">
      <w:pPr>
        <w:pStyle w:val="9"/>
        <w:spacing w:after="0" w:line="249" w:lineRule="auto"/>
        <w:rPr>
          <w:rFonts w:hint="eastAsia"/>
        </w:rPr>
      </w:pPr>
    </w:p>
    <w:p w14:paraId="23E052AB">
      <w:pPr>
        <w:pStyle w:val="9"/>
        <w:spacing w:after="0" w:line="249" w:lineRule="auto"/>
        <w:rPr>
          <w:rFonts w:hint="eastAsia"/>
        </w:rPr>
      </w:pPr>
      <w:r>
        <w:rPr>
          <w:rFonts w:hint="eastAsia"/>
        </w:rPr>
        <w:t>NOTE: DF = Double Fulfillment.</w:t>
      </w:r>
    </w:p>
    <w:p w14:paraId="27ECFF8D">
      <w:pPr>
        <w:pStyle w:val="9"/>
        <w:spacing w:after="0" w:line="249" w:lineRule="auto"/>
        <w:rPr>
          <w:rFonts w:hint="eastAsia"/>
        </w:rPr>
      </w:pPr>
      <w:r>
        <w:rPr>
          <w:rFonts w:hint="eastAsia"/>
        </w:rPr>
        <w:t>注：DF = 双重应验。</w:t>
      </w:r>
    </w:p>
    <w:p w14:paraId="6C73A4F7">
      <w:pPr>
        <w:pStyle w:val="9"/>
        <w:spacing w:after="0" w:line="249" w:lineRule="auto"/>
        <w:rPr>
          <w:rFonts w:hint="eastAsia"/>
        </w:rPr>
      </w:pPr>
    </w:p>
    <w:p w14:paraId="1E0B9A3F">
      <w:pPr>
        <w:pStyle w:val="9"/>
        <w:spacing w:after="0" w:line="249" w:lineRule="auto"/>
        <w:rPr>
          <w:rFonts w:hint="eastAsia"/>
        </w:rPr>
      </w:pPr>
      <w:r>
        <w:rPr>
          <w:rFonts w:hint="eastAsia"/>
        </w:rPr>
        <w:t>In OTKP’s where this occurs, the prophecy has both an historical fulfillment under the Old Covenant, and an eschatological fulfillment under the New Covenant in the (two-staged) Kingdom of God.</w:t>
      </w:r>
    </w:p>
    <w:p w14:paraId="32E1D81C">
      <w:pPr>
        <w:pStyle w:val="9"/>
        <w:spacing w:after="0" w:line="249" w:lineRule="auto"/>
        <w:sectPr>
          <w:pgSz w:w="12240" w:h="15840"/>
          <w:pgMar w:top="1380" w:right="1440" w:bottom="280" w:left="1440" w:header="720" w:footer="720" w:gutter="0"/>
          <w:cols w:space="720" w:num="1"/>
        </w:sectPr>
      </w:pPr>
      <w:r>
        <w:rPr>
          <w:rFonts w:hint="eastAsia"/>
        </w:rPr>
        <w:t>在出现这种情况的旧约国度预言中，预言既有在旧约下的历史性应验，也有在新约下、在（两阶段的）神的国中的末世论应验。</w:t>
      </w:r>
    </w:p>
    <w:p w14:paraId="06FF3D2F">
      <w:pPr>
        <w:pStyle w:val="9"/>
        <w:spacing w:before="11"/>
        <w:ind w:left="0"/>
        <w:jc w:val="left"/>
        <w:rPr>
          <w:sz w:val="15"/>
        </w:rPr>
      </w:pPr>
      <w:bookmarkStart w:id="76" w:name="_bookmark206"/>
      <w:bookmarkEnd w:id="76"/>
    </w:p>
    <w:p w14:paraId="500B9A4F">
      <w:pPr>
        <w:pStyle w:val="2"/>
        <w:bidi w:val="0"/>
        <w:rPr>
          <w:rFonts w:hint="eastAsia"/>
        </w:rPr>
      </w:pPr>
      <w:r>
        <w:rPr>
          <w:rFonts w:hint="eastAsia"/>
        </w:rPr>
        <w:t>Appendix 7</w:t>
      </w:r>
    </w:p>
    <w:p w14:paraId="558B68A2">
      <w:pPr>
        <w:pStyle w:val="2"/>
        <w:bidi w:val="0"/>
        <w:rPr>
          <w:rFonts w:hint="eastAsia"/>
        </w:rPr>
      </w:pPr>
      <w:r>
        <w:rPr>
          <w:rFonts w:hint="eastAsia"/>
        </w:rPr>
        <w:t>附录7</w:t>
      </w:r>
    </w:p>
    <w:p w14:paraId="6CADE677">
      <w:pPr>
        <w:pStyle w:val="9"/>
        <w:spacing w:before="0"/>
        <w:ind w:left="0"/>
        <w:jc w:val="left"/>
        <w:rPr>
          <w:rFonts w:hint="eastAsia"/>
          <w:color w:val="231F20"/>
        </w:rPr>
      </w:pPr>
    </w:p>
    <w:p w14:paraId="69B27DC7">
      <w:pPr>
        <w:pStyle w:val="3"/>
        <w:bidi w:val="0"/>
        <w:rPr>
          <w:rFonts w:hint="eastAsia"/>
        </w:rPr>
      </w:pPr>
      <w:r>
        <w:rPr>
          <w:rFonts w:hint="eastAsia"/>
        </w:rPr>
        <w:t>Old Testament Kingdom Prophecies Cited in the New Testament</w:t>
      </w:r>
    </w:p>
    <w:p w14:paraId="2BE7D3AD">
      <w:pPr>
        <w:pStyle w:val="3"/>
        <w:bidi w:val="0"/>
        <w:rPr>
          <w:rFonts w:hint="eastAsia"/>
        </w:rPr>
      </w:pPr>
      <w:r>
        <w:rPr>
          <w:rFonts w:hint="eastAsia"/>
        </w:rPr>
        <w:t>新约中引用的旧约国度预言</w:t>
      </w:r>
    </w:p>
    <w:p w14:paraId="4D8E856A">
      <w:pPr>
        <w:pStyle w:val="9"/>
        <w:spacing w:before="0"/>
        <w:ind w:left="0"/>
        <w:jc w:val="left"/>
        <w:rPr>
          <w:rFonts w:hint="eastAsia"/>
          <w:color w:val="231F20"/>
        </w:rPr>
      </w:pPr>
    </w:p>
    <w:p w14:paraId="7B6152C2">
      <w:pPr>
        <w:pStyle w:val="9"/>
        <w:spacing w:before="0"/>
        <w:ind w:left="0"/>
        <w:jc w:val="left"/>
        <w:rPr>
          <w:rFonts w:hint="eastAsia"/>
          <w:color w:val="231F20"/>
        </w:rPr>
      </w:pPr>
      <w:r>
        <w:rPr>
          <w:rFonts w:hint="eastAsia"/>
          <w:color w:val="231F20"/>
        </w:rPr>
        <w:t>HERE IS A fulsome list of OT Kingdom prophecies cited in the Didactic New Testament (i.e., the Gospels, the Book of Acts, and the Epistles).</w:t>
      </w:r>
    </w:p>
    <w:p w14:paraId="275B9857">
      <w:pPr>
        <w:pStyle w:val="9"/>
        <w:spacing w:before="0"/>
        <w:ind w:left="0"/>
        <w:jc w:val="left"/>
        <w:rPr>
          <w:rFonts w:hint="eastAsia"/>
          <w:color w:val="231F20"/>
        </w:rPr>
      </w:pPr>
      <w:r>
        <w:rPr>
          <w:rFonts w:hint="eastAsia"/>
          <w:color w:val="231F20"/>
        </w:rPr>
        <w:t>这是一份详尽的列表，列出了在教义性新约（即福音书、使徒行传和书信）中引用的旧约国度预言。</w:t>
      </w:r>
    </w:p>
    <w:p w14:paraId="25CF0DC3">
      <w:pPr>
        <w:pStyle w:val="9"/>
        <w:spacing w:before="0"/>
        <w:ind w:left="0"/>
        <w:jc w:val="left"/>
        <w:rPr>
          <w:rFonts w:hint="eastAsia"/>
          <w:color w:val="231F20"/>
        </w:rPr>
      </w:pPr>
    </w:p>
    <w:p w14:paraId="05D473C4">
      <w:pPr>
        <w:pStyle w:val="9"/>
        <w:spacing w:before="0"/>
        <w:ind w:left="0"/>
        <w:jc w:val="left"/>
        <w:rPr>
          <w:rFonts w:hint="eastAsia"/>
          <w:color w:val="231F20"/>
        </w:rPr>
      </w:pPr>
      <w:r>
        <w:rPr>
          <w:rFonts w:hint="eastAsia"/>
          <w:color w:val="231F20"/>
        </w:rPr>
        <w:t>As we learned in our study, when interpreting and applying these prophecies, the apostles consistently use the New Covenant Hermeneutic.</w:t>
      </w:r>
    </w:p>
    <w:p w14:paraId="5139833E">
      <w:pPr>
        <w:pStyle w:val="9"/>
        <w:spacing w:before="0"/>
        <w:ind w:left="0"/>
        <w:jc w:val="left"/>
        <w:rPr>
          <w:rFonts w:hint="eastAsia"/>
          <w:color w:val="231F20"/>
        </w:rPr>
      </w:pPr>
      <w:r>
        <w:rPr>
          <w:rFonts w:hint="eastAsia"/>
          <w:color w:val="231F20"/>
        </w:rPr>
        <w:t>正如我们在研究中所学到的，在解释和应用这些预言时，使徒们始终如一地使用新约释经学。</w:t>
      </w:r>
    </w:p>
    <w:p w14:paraId="6EB74582">
      <w:pPr>
        <w:pStyle w:val="9"/>
        <w:spacing w:before="0"/>
        <w:ind w:left="0"/>
        <w:jc w:val="left"/>
        <w:rPr>
          <w:rFonts w:hint="eastAsia"/>
          <w:color w:val="231F20"/>
        </w:rPr>
      </w:pPr>
    </w:p>
    <w:p w14:paraId="5841C674">
      <w:pPr>
        <w:pStyle w:val="9"/>
        <w:spacing w:before="0"/>
        <w:ind w:left="0"/>
        <w:jc w:val="left"/>
        <w:rPr>
          <w:rFonts w:hint="eastAsia"/>
          <w:color w:val="231F20"/>
        </w:rPr>
      </w:pPr>
      <w:r>
        <w:rPr>
          <w:rFonts w:hint="eastAsia"/>
          <w:color w:val="231F20"/>
        </w:rPr>
        <w:t>In other words, here they find the Spirit using OT language and imagery to speak typologically of the two-staged spiritual Kingdom introduced by Christ under the New Covenant.</w:t>
      </w:r>
    </w:p>
    <w:p w14:paraId="5B9B3AB8">
      <w:pPr>
        <w:pStyle w:val="9"/>
        <w:spacing w:before="0"/>
        <w:ind w:left="0"/>
        <w:jc w:val="left"/>
        <w:rPr>
          <w:rFonts w:hint="eastAsia"/>
          <w:color w:val="231F20"/>
        </w:rPr>
      </w:pPr>
      <w:r>
        <w:rPr>
          <w:rFonts w:hint="eastAsia"/>
          <w:color w:val="231F20"/>
        </w:rPr>
        <w:t>换句话说，他们在这里发现圣灵使用旧约的语言和意象，以预表的方式来论述由基督在新约之下所引入的两阶段的属灵国度。</w:t>
      </w:r>
    </w:p>
    <w:p w14:paraId="45DCCB09">
      <w:pPr>
        <w:pStyle w:val="9"/>
        <w:spacing w:before="0"/>
        <w:ind w:left="0"/>
        <w:jc w:val="left"/>
        <w:rPr>
          <w:rFonts w:hint="eastAsia"/>
          <w:color w:val="231F20"/>
        </w:rPr>
      </w:pPr>
    </w:p>
    <w:p w14:paraId="6F46CAA9">
      <w:pPr>
        <w:pStyle w:val="9"/>
        <w:spacing w:before="0"/>
        <w:ind w:left="0"/>
        <w:jc w:val="left"/>
        <w:rPr>
          <w:rFonts w:hint="eastAsia"/>
          <w:color w:val="231F20"/>
        </w:rPr>
      </w:pPr>
      <w:r>
        <w:rPr>
          <w:rFonts w:hint="eastAsia"/>
          <w:color w:val="231F20"/>
        </w:rPr>
        <w:t>Please note that this list does not include the dozens of OT Messianic prophecies fulfilled prior to the Day of Pentecost.</w:t>
      </w:r>
    </w:p>
    <w:p w14:paraId="3FE87871">
      <w:pPr>
        <w:pStyle w:val="9"/>
        <w:spacing w:before="0"/>
        <w:ind w:left="0"/>
        <w:jc w:val="left"/>
        <w:rPr>
          <w:rFonts w:hint="eastAsia"/>
          <w:color w:val="231F20"/>
        </w:rPr>
      </w:pPr>
      <w:r>
        <w:rPr>
          <w:rFonts w:hint="eastAsia"/>
          <w:color w:val="231F20"/>
        </w:rPr>
        <w:t>请注意，这个列表不包括几十个在五旬节之前应验的旧约弥赛亚预言。</w:t>
      </w:r>
    </w:p>
    <w:p w14:paraId="6B84E7FA">
      <w:pPr>
        <w:pStyle w:val="9"/>
        <w:spacing w:before="0"/>
        <w:ind w:left="0"/>
        <w:jc w:val="left"/>
        <w:rPr>
          <w:rFonts w:hint="eastAsia"/>
          <w:color w:val="231F20"/>
        </w:rPr>
      </w:pPr>
    </w:p>
    <w:p w14:paraId="439A79AF">
      <w:pPr>
        <w:pStyle w:val="9"/>
        <w:spacing w:before="0"/>
        <w:ind w:left="0"/>
        <w:jc w:val="left"/>
        <w:rPr>
          <w:rFonts w:hint="eastAsia"/>
          <w:color w:val="231F20"/>
        </w:rPr>
      </w:pPr>
      <w:r>
        <w:rPr>
          <w:rFonts w:hint="eastAsia"/>
          <w:color w:val="231F20"/>
        </w:rPr>
        <w:t>Those prophecies do indeed speak of the coming King, but not of the spiritual Kingdom that he inaugurated on the Day of Pentecost when the Church was born.</w:t>
      </w:r>
    </w:p>
    <w:p w14:paraId="5C138DDE">
      <w:pPr>
        <w:pStyle w:val="9"/>
        <w:spacing w:before="0"/>
        <w:ind w:left="0"/>
        <w:jc w:val="left"/>
        <w:rPr>
          <w:rFonts w:hint="eastAsia"/>
          <w:color w:val="231F20"/>
        </w:rPr>
      </w:pPr>
      <w:r>
        <w:rPr>
          <w:rFonts w:hint="eastAsia"/>
          <w:color w:val="231F20"/>
        </w:rPr>
        <w:t>那些预言确实谈到了将临的君王，但没有谈到祂在五旬节教会诞生时所开启的那个属灵国度。</w:t>
      </w:r>
    </w:p>
    <w:p w14:paraId="345DCE90">
      <w:pPr>
        <w:pStyle w:val="9"/>
        <w:spacing w:before="0"/>
        <w:ind w:left="0"/>
        <w:jc w:val="left"/>
        <w:rPr>
          <w:rFonts w:hint="eastAsia"/>
          <w:color w:val="231F20"/>
        </w:rPr>
      </w:pPr>
    </w:p>
    <w:p w14:paraId="10B4E0F6">
      <w:pPr>
        <w:pStyle w:val="9"/>
        <w:spacing w:before="0"/>
        <w:ind w:left="0"/>
        <w:jc w:val="left"/>
        <w:rPr>
          <w:rFonts w:hint="eastAsia"/>
          <w:color w:val="231F20"/>
        </w:rPr>
      </w:pPr>
      <w:r>
        <w:rPr>
          <w:rFonts w:hint="eastAsia"/>
          <w:color w:val="231F20"/>
        </w:rPr>
        <w:t>They are “simple” OT prophecies, and so were literally fulfilled in the days of Christ’s flesh, prior to Pentecost and the coming of the Kingdom.</w:t>
      </w:r>
    </w:p>
    <w:p w14:paraId="5148ABE4">
      <w:pPr>
        <w:pStyle w:val="9"/>
        <w:spacing w:before="0"/>
        <w:ind w:left="0"/>
        <w:jc w:val="left"/>
        <w:rPr>
          <w:sz w:val="20"/>
        </w:rPr>
      </w:pPr>
      <w:r>
        <w:rPr>
          <w:rFonts w:hint="eastAsia"/>
          <w:color w:val="231F20"/>
        </w:rPr>
        <w:t>它们是“简单的”旧约预言，因此在基督肉身的日子里，在五旬节和国度降临之前，就按字面意思应验了。</w:t>
      </w:r>
    </w:p>
    <w:p w14:paraId="50A7D71A">
      <w:pPr>
        <w:pStyle w:val="9"/>
        <w:spacing w:before="40"/>
        <w:ind w:left="0"/>
        <w:jc w:val="left"/>
        <w:rPr>
          <w:sz w:val="20"/>
        </w:rPr>
      </w:pPr>
    </w:p>
    <w:tbl>
      <w:tblPr>
        <w:tblStyle w:val="12"/>
        <w:tblW w:w="0" w:type="auto"/>
        <w:tblInd w:w="7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282"/>
        <w:gridCol w:w="2206"/>
        <w:gridCol w:w="3859"/>
      </w:tblGrid>
      <w:tr w14:paraId="47F0E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06" w:hRule="atLeast"/>
        </w:trPr>
        <w:tc>
          <w:tcPr>
            <w:tcW w:w="2282" w:type="dxa"/>
          </w:tcPr>
          <w:p w14:paraId="35D0FF38">
            <w:pPr>
              <w:pStyle w:val="16"/>
              <w:spacing w:before="0" w:line="332" w:lineRule="exact"/>
              <w:ind w:left="703"/>
              <w:rPr>
                <w:b/>
                <w:sz w:val="30"/>
              </w:rPr>
            </w:pPr>
            <w:r>
              <w:rPr>
                <w:b/>
                <w:color w:val="231F20"/>
                <w:sz w:val="30"/>
              </w:rPr>
              <w:t>NT</w:t>
            </w:r>
            <w:r>
              <w:rPr>
                <w:b/>
                <w:color w:val="231F20"/>
                <w:spacing w:val="-2"/>
                <w:sz w:val="30"/>
              </w:rPr>
              <w:t xml:space="preserve"> </w:t>
            </w:r>
            <w:r>
              <w:rPr>
                <w:b/>
                <w:color w:val="231F20"/>
                <w:spacing w:val="-4"/>
                <w:sz w:val="30"/>
              </w:rPr>
              <w:t>Text</w:t>
            </w:r>
          </w:p>
        </w:tc>
        <w:tc>
          <w:tcPr>
            <w:tcW w:w="2206" w:type="dxa"/>
          </w:tcPr>
          <w:p w14:paraId="0E481099">
            <w:pPr>
              <w:pStyle w:val="16"/>
              <w:spacing w:before="0" w:line="332" w:lineRule="exact"/>
              <w:ind w:left="197"/>
              <w:rPr>
                <w:b/>
                <w:sz w:val="30"/>
              </w:rPr>
            </w:pPr>
            <w:r>
              <w:rPr>
                <w:b/>
                <w:color w:val="231F20"/>
                <w:sz w:val="30"/>
              </w:rPr>
              <w:t>OT</w:t>
            </w:r>
            <w:r>
              <w:rPr>
                <w:b/>
                <w:color w:val="231F20"/>
                <w:spacing w:val="-2"/>
                <w:sz w:val="30"/>
              </w:rPr>
              <w:t xml:space="preserve"> </w:t>
            </w:r>
            <w:r>
              <w:rPr>
                <w:b/>
                <w:color w:val="231F20"/>
                <w:spacing w:val="-4"/>
                <w:sz w:val="30"/>
              </w:rPr>
              <w:t>Text</w:t>
            </w:r>
          </w:p>
        </w:tc>
        <w:tc>
          <w:tcPr>
            <w:tcW w:w="3859" w:type="dxa"/>
          </w:tcPr>
          <w:p w14:paraId="2B9BC0B0">
            <w:pPr>
              <w:pStyle w:val="16"/>
              <w:spacing w:before="0" w:line="332" w:lineRule="exact"/>
              <w:ind w:left="376"/>
              <w:rPr>
                <w:b/>
                <w:sz w:val="30"/>
              </w:rPr>
            </w:pPr>
            <w:r>
              <w:rPr>
                <w:b/>
                <w:color w:val="231F20"/>
                <w:sz w:val="30"/>
              </w:rPr>
              <w:t>Gist</w:t>
            </w:r>
            <w:r>
              <w:rPr>
                <w:b/>
                <w:color w:val="231F20"/>
                <w:spacing w:val="-2"/>
                <w:sz w:val="30"/>
              </w:rPr>
              <w:t xml:space="preserve"> </w:t>
            </w:r>
            <w:r>
              <w:rPr>
                <w:b/>
                <w:color w:val="231F20"/>
                <w:sz w:val="30"/>
              </w:rPr>
              <w:t xml:space="preserve">of </w:t>
            </w:r>
            <w:r>
              <w:rPr>
                <w:b/>
                <w:color w:val="231F20"/>
                <w:spacing w:val="-4"/>
                <w:sz w:val="30"/>
              </w:rPr>
              <w:t>Text</w:t>
            </w:r>
          </w:p>
        </w:tc>
      </w:tr>
      <w:tr w14:paraId="0DF41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282" w:type="dxa"/>
          </w:tcPr>
          <w:p w14:paraId="4EAF2A49">
            <w:pPr>
              <w:pStyle w:val="16"/>
              <w:tabs>
                <w:tab w:val="left" w:pos="499"/>
              </w:tabs>
              <w:rPr>
                <w:sz w:val="30"/>
              </w:rPr>
            </w:pPr>
            <w:r>
              <w:rPr>
                <w:color w:val="231F20"/>
                <w:spacing w:val="-5"/>
                <w:sz w:val="30"/>
              </w:rPr>
              <w:t>1.</w:t>
            </w:r>
            <w:r>
              <w:rPr>
                <w:color w:val="231F20"/>
                <w:sz w:val="30"/>
              </w:rPr>
              <w:tab/>
            </w:r>
            <w:r>
              <w:rPr>
                <w:color w:val="231F20"/>
                <w:sz w:val="30"/>
              </w:rPr>
              <w:t>Mt. 10:35-</w:t>
            </w:r>
            <w:r>
              <w:rPr>
                <w:color w:val="231F20"/>
                <w:spacing w:val="-5"/>
                <w:sz w:val="30"/>
              </w:rPr>
              <w:t>36</w:t>
            </w:r>
          </w:p>
        </w:tc>
        <w:tc>
          <w:tcPr>
            <w:tcW w:w="2206" w:type="dxa"/>
          </w:tcPr>
          <w:p w14:paraId="644AC39E">
            <w:pPr>
              <w:pStyle w:val="16"/>
              <w:ind w:left="197"/>
              <w:rPr>
                <w:sz w:val="30"/>
              </w:rPr>
            </w:pPr>
            <w:r>
              <w:rPr>
                <w:color w:val="231F20"/>
                <w:sz w:val="30"/>
              </w:rPr>
              <w:t xml:space="preserve">Micah </w:t>
            </w:r>
            <w:r>
              <w:rPr>
                <w:color w:val="231F20"/>
                <w:spacing w:val="-5"/>
                <w:sz w:val="30"/>
              </w:rPr>
              <w:t>7:6</w:t>
            </w:r>
          </w:p>
        </w:tc>
        <w:tc>
          <w:tcPr>
            <w:tcW w:w="3859" w:type="dxa"/>
          </w:tcPr>
          <w:p w14:paraId="549FFEE9">
            <w:pPr>
              <w:pStyle w:val="16"/>
              <w:ind w:left="376"/>
              <w:rPr>
                <w:sz w:val="30"/>
              </w:rPr>
            </w:pPr>
            <w:r>
              <w:rPr>
                <w:color w:val="231F20"/>
                <w:sz w:val="30"/>
              </w:rPr>
              <w:t xml:space="preserve">I set a man against his </w:t>
            </w:r>
            <w:r>
              <w:rPr>
                <w:color w:val="231F20"/>
                <w:spacing w:val="-2"/>
                <w:sz w:val="30"/>
              </w:rPr>
              <w:t>father</w:t>
            </w:r>
          </w:p>
        </w:tc>
      </w:tr>
      <w:tr w14:paraId="3D2EF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282" w:type="dxa"/>
          </w:tcPr>
          <w:p w14:paraId="08ECB0AE">
            <w:pPr>
              <w:pStyle w:val="16"/>
              <w:tabs>
                <w:tab w:val="left" w:pos="499"/>
              </w:tabs>
              <w:rPr>
                <w:sz w:val="30"/>
              </w:rPr>
            </w:pPr>
            <w:r>
              <w:rPr>
                <w:color w:val="231F20"/>
                <w:spacing w:val="-5"/>
                <w:sz w:val="30"/>
              </w:rPr>
              <w:t>2.</w:t>
            </w:r>
            <w:r>
              <w:rPr>
                <w:color w:val="231F20"/>
                <w:sz w:val="30"/>
              </w:rPr>
              <w:tab/>
            </w:r>
            <w:r>
              <w:rPr>
                <w:color w:val="231F20"/>
                <w:sz w:val="30"/>
              </w:rPr>
              <w:t>Mt. 12:18-</w:t>
            </w:r>
            <w:r>
              <w:rPr>
                <w:color w:val="231F20"/>
                <w:spacing w:val="-5"/>
                <w:sz w:val="30"/>
              </w:rPr>
              <w:t>21</w:t>
            </w:r>
          </w:p>
        </w:tc>
        <w:tc>
          <w:tcPr>
            <w:tcW w:w="2206" w:type="dxa"/>
          </w:tcPr>
          <w:p w14:paraId="2BEE0484">
            <w:pPr>
              <w:pStyle w:val="16"/>
              <w:ind w:left="197"/>
              <w:rPr>
                <w:sz w:val="30"/>
              </w:rPr>
            </w:pPr>
            <w:r>
              <w:rPr>
                <w:color w:val="231F20"/>
                <w:sz w:val="30"/>
              </w:rPr>
              <w:t>Isaiah 42:1-</w:t>
            </w:r>
            <w:r>
              <w:rPr>
                <w:color w:val="231F20"/>
                <w:spacing w:val="-10"/>
                <w:sz w:val="30"/>
              </w:rPr>
              <w:t>3</w:t>
            </w:r>
          </w:p>
        </w:tc>
        <w:tc>
          <w:tcPr>
            <w:tcW w:w="3859" w:type="dxa"/>
          </w:tcPr>
          <w:p w14:paraId="05E2CD83">
            <w:pPr>
              <w:pStyle w:val="16"/>
              <w:ind w:left="376"/>
              <w:rPr>
                <w:sz w:val="30"/>
              </w:rPr>
            </w:pPr>
            <w:r>
              <w:rPr>
                <w:color w:val="231F20"/>
                <w:sz w:val="30"/>
              </w:rPr>
              <w:t xml:space="preserve">Behold, My </w:t>
            </w:r>
            <w:r>
              <w:rPr>
                <w:color w:val="231F20"/>
                <w:spacing w:val="-2"/>
                <w:sz w:val="30"/>
              </w:rPr>
              <w:t>Servant</w:t>
            </w:r>
          </w:p>
        </w:tc>
      </w:tr>
      <w:tr w14:paraId="50BB2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282" w:type="dxa"/>
          </w:tcPr>
          <w:p w14:paraId="15637212">
            <w:pPr>
              <w:pStyle w:val="16"/>
              <w:tabs>
                <w:tab w:val="left" w:pos="499"/>
              </w:tabs>
              <w:rPr>
                <w:sz w:val="30"/>
              </w:rPr>
            </w:pPr>
            <w:r>
              <w:rPr>
                <w:color w:val="231F20"/>
                <w:spacing w:val="-5"/>
                <w:sz w:val="30"/>
              </w:rPr>
              <w:t>3.</w:t>
            </w:r>
            <w:r>
              <w:rPr>
                <w:color w:val="231F20"/>
                <w:sz w:val="30"/>
              </w:rPr>
              <w:tab/>
            </w:r>
            <w:r>
              <w:rPr>
                <w:color w:val="231F20"/>
                <w:sz w:val="30"/>
              </w:rPr>
              <w:t>Mt. 13:14-</w:t>
            </w:r>
            <w:r>
              <w:rPr>
                <w:color w:val="231F20"/>
                <w:spacing w:val="-5"/>
                <w:sz w:val="30"/>
              </w:rPr>
              <w:t>14</w:t>
            </w:r>
          </w:p>
        </w:tc>
        <w:tc>
          <w:tcPr>
            <w:tcW w:w="2206" w:type="dxa"/>
          </w:tcPr>
          <w:p w14:paraId="57C4D239">
            <w:pPr>
              <w:pStyle w:val="16"/>
              <w:ind w:left="197"/>
              <w:rPr>
                <w:sz w:val="30"/>
              </w:rPr>
            </w:pPr>
            <w:r>
              <w:rPr>
                <w:color w:val="231F20"/>
                <w:sz w:val="30"/>
              </w:rPr>
              <w:t>Isaiah 6:9-</w:t>
            </w:r>
            <w:r>
              <w:rPr>
                <w:color w:val="231F20"/>
                <w:spacing w:val="-5"/>
                <w:sz w:val="30"/>
              </w:rPr>
              <w:t>10</w:t>
            </w:r>
          </w:p>
        </w:tc>
        <w:tc>
          <w:tcPr>
            <w:tcW w:w="3859" w:type="dxa"/>
          </w:tcPr>
          <w:p w14:paraId="746F301D">
            <w:pPr>
              <w:pStyle w:val="16"/>
              <w:ind w:left="376"/>
              <w:rPr>
                <w:sz w:val="30"/>
              </w:rPr>
            </w:pPr>
            <w:r>
              <w:rPr>
                <w:color w:val="231F20"/>
                <w:sz w:val="30"/>
              </w:rPr>
              <w:t>You</w:t>
            </w:r>
            <w:r>
              <w:rPr>
                <w:color w:val="231F20"/>
                <w:spacing w:val="-8"/>
                <w:sz w:val="30"/>
              </w:rPr>
              <w:t xml:space="preserve"> </w:t>
            </w:r>
            <w:r>
              <w:rPr>
                <w:color w:val="231F20"/>
                <w:sz w:val="30"/>
              </w:rPr>
              <w:t>will</w:t>
            </w:r>
            <w:r>
              <w:rPr>
                <w:color w:val="231F20"/>
                <w:spacing w:val="-8"/>
                <w:sz w:val="30"/>
              </w:rPr>
              <w:t xml:space="preserve"> </w:t>
            </w:r>
            <w:r>
              <w:rPr>
                <w:color w:val="231F20"/>
                <w:sz w:val="30"/>
              </w:rPr>
              <w:t>keep</w:t>
            </w:r>
            <w:r>
              <w:rPr>
                <w:color w:val="231F20"/>
                <w:spacing w:val="-8"/>
                <w:sz w:val="30"/>
              </w:rPr>
              <w:t xml:space="preserve"> </w:t>
            </w:r>
            <w:r>
              <w:rPr>
                <w:color w:val="231F20"/>
                <w:sz w:val="30"/>
              </w:rPr>
              <w:t>on</w:t>
            </w:r>
            <w:r>
              <w:rPr>
                <w:color w:val="231F20"/>
                <w:spacing w:val="-7"/>
                <w:sz w:val="30"/>
              </w:rPr>
              <w:t xml:space="preserve"> </w:t>
            </w:r>
            <w:r>
              <w:rPr>
                <w:color w:val="231F20"/>
                <w:spacing w:val="-2"/>
                <w:sz w:val="30"/>
              </w:rPr>
              <w:t>hearing</w:t>
            </w:r>
          </w:p>
        </w:tc>
      </w:tr>
      <w:tr w14:paraId="0AD1C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282" w:type="dxa"/>
          </w:tcPr>
          <w:p w14:paraId="7018084A">
            <w:pPr>
              <w:pStyle w:val="16"/>
              <w:tabs>
                <w:tab w:val="left" w:pos="499"/>
              </w:tabs>
              <w:rPr>
                <w:sz w:val="30"/>
              </w:rPr>
            </w:pPr>
            <w:r>
              <w:rPr>
                <w:color w:val="231F20"/>
                <w:spacing w:val="-5"/>
                <w:sz w:val="30"/>
              </w:rPr>
              <w:t>4.</w:t>
            </w:r>
            <w:r>
              <w:rPr>
                <w:color w:val="231F20"/>
                <w:sz w:val="30"/>
              </w:rPr>
              <w:tab/>
            </w:r>
            <w:r>
              <w:rPr>
                <w:color w:val="231F20"/>
                <w:sz w:val="30"/>
              </w:rPr>
              <w:t xml:space="preserve">Mt. </w:t>
            </w:r>
            <w:r>
              <w:rPr>
                <w:color w:val="231F20"/>
                <w:spacing w:val="-2"/>
                <w:sz w:val="30"/>
              </w:rPr>
              <w:t>13:32</w:t>
            </w:r>
          </w:p>
        </w:tc>
        <w:tc>
          <w:tcPr>
            <w:tcW w:w="2206" w:type="dxa"/>
          </w:tcPr>
          <w:p w14:paraId="3068770E">
            <w:pPr>
              <w:pStyle w:val="16"/>
              <w:ind w:left="197"/>
              <w:rPr>
                <w:sz w:val="30"/>
              </w:rPr>
            </w:pPr>
            <w:r>
              <w:rPr>
                <w:color w:val="231F20"/>
                <w:sz w:val="30"/>
              </w:rPr>
              <w:t xml:space="preserve">Ezek. </w:t>
            </w:r>
            <w:r>
              <w:rPr>
                <w:color w:val="231F20"/>
                <w:spacing w:val="-2"/>
                <w:sz w:val="30"/>
              </w:rPr>
              <w:t>17:23</w:t>
            </w:r>
          </w:p>
        </w:tc>
        <w:tc>
          <w:tcPr>
            <w:tcW w:w="3859" w:type="dxa"/>
          </w:tcPr>
          <w:p w14:paraId="2760D1F6">
            <w:pPr>
              <w:pStyle w:val="16"/>
              <w:ind w:left="376"/>
              <w:rPr>
                <w:sz w:val="30"/>
              </w:rPr>
            </w:pPr>
            <w:r>
              <w:rPr>
                <w:color w:val="231F20"/>
                <w:sz w:val="30"/>
              </w:rPr>
              <w:t xml:space="preserve">Birds of the </w:t>
            </w:r>
            <w:r>
              <w:rPr>
                <w:color w:val="231F20"/>
                <w:spacing w:val="-5"/>
                <w:sz w:val="30"/>
              </w:rPr>
              <w:t>air</w:t>
            </w:r>
          </w:p>
        </w:tc>
      </w:tr>
      <w:tr w14:paraId="3BF7E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282" w:type="dxa"/>
          </w:tcPr>
          <w:p w14:paraId="013E44EC">
            <w:pPr>
              <w:pStyle w:val="16"/>
              <w:tabs>
                <w:tab w:val="left" w:pos="499"/>
              </w:tabs>
              <w:rPr>
                <w:sz w:val="30"/>
              </w:rPr>
            </w:pPr>
            <w:r>
              <w:rPr>
                <w:color w:val="231F20"/>
                <w:spacing w:val="-5"/>
                <w:sz w:val="30"/>
              </w:rPr>
              <w:t>5.</w:t>
            </w:r>
            <w:r>
              <w:rPr>
                <w:color w:val="231F20"/>
                <w:sz w:val="30"/>
              </w:rPr>
              <w:tab/>
            </w:r>
            <w:r>
              <w:rPr>
                <w:color w:val="231F20"/>
                <w:sz w:val="30"/>
              </w:rPr>
              <w:t xml:space="preserve">Mt. </w:t>
            </w:r>
            <w:r>
              <w:rPr>
                <w:color w:val="231F20"/>
                <w:spacing w:val="-2"/>
                <w:sz w:val="30"/>
              </w:rPr>
              <w:t>21:42</w:t>
            </w:r>
          </w:p>
        </w:tc>
        <w:tc>
          <w:tcPr>
            <w:tcW w:w="2206" w:type="dxa"/>
          </w:tcPr>
          <w:p w14:paraId="0EFE8C2F">
            <w:pPr>
              <w:pStyle w:val="16"/>
              <w:ind w:left="197"/>
              <w:rPr>
                <w:sz w:val="30"/>
              </w:rPr>
            </w:pPr>
            <w:r>
              <w:rPr>
                <w:color w:val="231F20"/>
                <w:sz w:val="30"/>
              </w:rPr>
              <w:t xml:space="preserve">Psalm </w:t>
            </w:r>
            <w:r>
              <w:rPr>
                <w:color w:val="231F20"/>
                <w:spacing w:val="-2"/>
                <w:sz w:val="30"/>
              </w:rPr>
              <w:t>118:22</w:t>
            </w:r>
          </w:p>
        </w:tc>
        <w:tc>
          <w:tcPr>
            <w:tcW w:w="3859" w:type="dxa"/>
          </w:tcPr>
          <w:p w14:paraId="2DD812BC">
            <w:pPr>
              <w:pStyle w:val="16"/>
              <w:ind w:left="376"/>
              <w:rPr>
                <w:sz w:val="30"/>
              </w:rPr>
            </w:pPr>
            <w:r>
              <w:rPr>
                <w:color w:val="231F20"/>
                <w:sz w:val="30"/>
              </w:rPr>
              <w:t xml:space="preserve">The rejected </w:t>
            </w:r>
            <w:r>
              <w:rPr>
                <w:color w:val="231F20"/>
                <w:spacing w:val="-2"/>
                <w:sz w:val="30"/>
              </w:rPr>
              <w:t>Stone</w:t>
            </w:r>
          </w:p>
        </w:tc>
      </w:tr>
      <w:tr w14:paraId="549F0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282" w:type="dxa"/>
          </w:tcPr>
          <w:p w14:paraId="55AFBB28">
            <w:pPr>
              <w:pStyle w:val="16"/>
              <w:tabs>
                <w:tab w:val="left" w:pos="499"/>
              </w:tabs>
              <w:rPr>
                <w:sz w:val="30"/>
              </w:rPr>
            </w:pPr>
            <w:r>
              <w:rPr>
                <w:color w:val="231F20"/>
                <w:spacing w:val="-5"/>
                <w:sz w:val="30"/>
              </w:rPr>
              <w:t>6.</w:t>
            </w:r>
            <w:r>
              <w:rPr>
                <w:color w:val="231F20"/>
                <w:sz w:val="30"/>
              </w:rPr>
              <w:tab/>
            </w:r>
            <w:r>
              <w:rPr>
                <w:color w:val="231F20"/>
                <w:sz w:val="30"/>
              </w:rPr>
              <w:t>Mt. 22:43-</w:t>
            </w:r>
            <w:r>
              <w:rPr>
                <w:color w:val="231F20"/>
                <w:spacing w:val="-5"/>
                <w:sz w:val="30"/>
              </w:rPr>
              <w:t>46</w:t>
            </w:r>
          </w:p>
        </w:tc>
        <w:tc>
          <w:tcPr>
            <w:tcW w:w="2206" w:type="dxa"/>
          </w:tcPr>
          <w:p w14:paraId="5F54D9C2">
            <w:pPr>
              <w:pStyle w:val="16"/>
              <w:ind w:left="197"/>
              <w:rPr>
                <w:sz w:val="30"/>
              </w:rPr>
            </w:pPr>
            <w:r>
              <w:rPr>
                <w:color w:val="231F20"/>
                <w:sz w:val="30"/>
              </w:rPr>
              <w:t xml:space="preserve">Psalm </w:t>
            </w:r>
            <w:r>
              <w:rPr>
                <w:color w:val="231F20"/>
                <w:spacing w:val="-2"/>
                <w:sz w:val="30"/>
              </w:rPr>
              <w:t>110:1</w:t>
            </w:r>
          </w:p>
        </w:tc>
        <w:tc>
          <w:tcPr>
            <w:tcW w:w="3859" w:type="dxa"/>
          </w:tcPr>
          <w:p w14:paraId="1DC93B58">
            <w:pPr>
              <w:pStyle w:val="16"/>
              <w:ind w:left="376"/>
              <w:rPr>
                <w:sz w:val="30"/>
              </w:rPr>
            </w:pPr>
            <w:r>
              <w:rPr>
                <w:color w:val="231F20"/>
                <w:sz w:val="30"/>
              </w:rPr>
              <w:t xml:space="preserve">The LORD said to my </w:t>
            </w:r>
            <w:r>
              <w:rPr>
                <w:color w:val="231F20"/>
                <w:spacing w:val="-4"/>
                <w:sz w:val="30"/>
              </w:rPr>
              <w:t>Lord</w:t>
            </w:r>
          </w:p>
        </w:tc>
      </w:tr>
      <w:tr w14:paraId="179B6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6" w:hRule="atLeast"/>
        </w:trPr>
        <w:tc>
          <w:tcPr>
            <w:tcW w:w="2282" w:type="dxa"/>
          </w:tcPr>
          <w:p w14:paraId="24879B77">
            <w:pPr>
              <w:pStyle w:val="16"/>
              <w:tabs>
                <w:tab w:val="left" w:pos="499"/>
              </w:tabs>
              <w:rPr>
                <w:sz w:val="30"/>
              </w:rPr>
            </w:pPr>
            <w:r>
              <w:rPr>
                <w:color w:val="231F20"/>
                <w:spacing w:val="-5"/>
                <w:sz w:val="30"/>
              </w:rPr>
              <w:t>7.</w:t>
            </w:r>
            <w:r>
              <w:rPr>
                <w:color w:val="231F20"/>
                <w:sz w:val="30"/>
              </w:rPr>
              <w:tab/>
            </w:r>
            <w:r>
              <w:rPr>
                <w:color w:val="231F20"/>
                <w:sz w:val="30"/>
              </w:rPr>
              <w:t xml:space="preserve">Mt. </w:t>
            </w:r>
            <w:r>
              <w:rPr>
                <w:color w:val="231F20"/>
                <w:spacing w:val="-2"/>
                <w:sz w:val="30"/>
              </w:rPr>
              <w:t>24:29</w:t>
            </w:r>
          </w:p>
        </w:tc>
        <w:tc>
          <w:tcPr>
            <w:tcW w:w="2206" w:type="dxa"/>
          </w:tcPr>
          <w:p w14:paraId="3887C65C">
            <w:pPr>
              <w:pStyle w:val="16"/>
              <w:ind w:left="197"/>
              <w:rPr>
                <w:sz w:val="30"/>
              </w:rPr>
            </w:pPr>
            <w:r>
              <w:rPr>
                <w:color w:val="231F20"/>
                <w:sz w:val="30"/>
              </w:rPr>
              <w:t xml:space="preserve">Isaiah </w:t>
            </w:r>
            <w:r>
              <w:rPr>
                <w:color w:val="231F20"/>
                <w:spacing w:val="-2"/>
                <w:sz w:val="30"/>
              </w:rPr>
              <w:t>31:10,</w:t>
            </w:r>
          </w:p>
          <w:p w14:paraId="25B43019">
            <w:pPr>
              <w:pStyle w:val="16"/>
              <w:spacing w:before="15" w:line="325" w:lineRule="exact"/>
              <w:ind w:left="197"/>
              <w:rPr>
                <w:sz w:val="30"/>
              </w:rPr>
            </w:pPr>
            <w:r>
              <w:rPr>
                <w:color w:val="231F20"/>
                <w:spacing w:val="-2"/>
                <w:sz w:val="30"/>
              </w:rPr>
              <w:t>24:23,</w:t>
            </w:r>
          </w:p>
        </w:tc>
        <w:tc>
          <w:tcPr>
            <w:tcW w:w="3859" w:type="dxa"/>
          </w:tcPr>
          <w:p w14:paraId="7C3A069F">
            <w:pPr>
              <w:pStyle w:val="16"/>
              <w:ind w:left="376"/>
              <w:rPr>
                <w:sz w:val="30"/>
              </w:rPr>
            </w:pPr>
            <w:r>
              <w:rPr>
                <w:color w:val="231F20"/>
                <w:sz w:val="30"/>
              </w:rPr>
              <w:t xml:space="preserve">The luminaries </w:t>
            </w:r>
            <w:r>
              <w:rPr>
                <w:color w:val="231F20"/>
                <w:spacing w:val="-2"/>
                <w:sz w:val="30"/>
              </w:rPr>
              <w:t>removed</w:t>
            </w:r>
          </w:p>
        </w:tc>
      </w:tr>
    </w:tbl>
    <w:p w14:paraId="01089227">
      <w:pPr>
        <w:pStyle w:val="16"/>
        <w:spacing w:after="0"/>
        <w:rPr>
          <w:sz w:val="30"/>
        </w:rPr>
        <w:sectPr>
          <w:pgSz w:w="12240" w:h="15840"/>
          <w:pgMar w:top="1440" w:right="1440" w:bottom="280" w:left="1440" w:header="720" w:footer="720" w:gutter="0"/>
          <w:cols w:space="720" w:num="1"/>
        </w:sectPr>
      </w:pPr>
      <w:r>
        <w:drawing>
          <wp:inline distT="0" distB="0" distL="114300" distR="114300">
            <wp:extent cx="5410200" cy="2510155"/>
            <wp:effectExtent l="0" t="0" r="0" b="4445"/>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pic:cNvPicPr>
                  </pic:nvPicPr>
                  <pic:blipFill>
                    <a:blip r:embed="rId43"/>
                    <a:stretch>
                      <a:fillRect/>
                    </a:stretch>
                  </pic:blipFill>
                  <pic:spPr>
                    <a:xfrm>
                      <a:off x="0" y="0"/>
                      <a:ext cx="5410200" cy="2510155"/>
                    </a:xfrm>
                    <a:prstGeom prst="rect">
                      <a:avLst/>
                    </a:prstGeom>
                    <a:noFill/>
                    <a:ln>
                      <a:noFill/>
                    </a:ln>
                  </pic:spPr>
                </pic:pic>
              </a:graphicData>
            </a:graphic>
          </wp:inline>
        </w:drawing>
      </w:r>
    </w:p>
    <w:p w14:paraId="37BD1A48">
      <w:pPr>
        <w:pStyle w:val="7"/>
        <w:tabs>
          <w:tab w:val="left" w:pos="2544"/>
          <w:tab w:val="left" w:pos="4929"/>
        </w:tabs>
        <w:spacing w:before="65"/>
        <w:ind w:left="768"/>
        <w:jc w:val="left"/>
      </w:pPr>
      <w:r>
        <w:rPr>
          <w:color w:val="231F20"/>
        </w:rPr>
        <w:t>NT</w:t>
      </w:r>
      <w:r>
        <w:rPr>
          <w:color w:val="231F20"/>
          <w:spacing w:val="-2"/>
        </w:rPr>
        <w:t xml:space="preserve"> </w:t>
      </w:r>
      <w:r>
        <w:rPr>
          <w:color w:val="231F20"/>
          <w:spacing w:val="-4"/>
        </w:rPr>
        <w:t>Text</w:t>
      </w:r>
      <w:r>
        <w:rPr>
          <w:color w:val="231F20"/>
        </w:rPr>
        <w:tab/>
      </w:r>
      <w:r>
        <w:rPr>
          <w:color w:val="231F20"/>
        </w:rPr>
        <w:t>OT</w:t>
      </w:r>
      <w:r>
        <w:rPr>
          <w:color w:val="231F20"/>
          <w:spacing w:val="-2"/>
        </w:rPr>
        <w:t xml:space="preserve"> </w:t>
      </w:r>
      <w:r>
        <w:rPr>
          <w:color w:val="231F20"/>
          <w:spacing w:val="-4"/>
        </w:rPr>
        <w:t>Text</w:t>
      </w:r>
      <w:r>
        <w:rPr>
          <w:color w:val="231F20"/>
        </w:rPr>
        <w:tab/>
      </w:r>
      <w:r>
        <w:rPr>
          <w:color w:val="231F20"/>
        </w:rPr>
        <w:t>Gist</w:t>
      </w:r>
      <w:r>
        <w:rPr>
          <w:color w:val="231F20"/>
          <w:spacing w:val="-2"/>
        </w:rPr>
        <w:t xml:space="preserve"> </w:t>
      </w:r>
      <w:r>
        <w:rPr>
          <w:color w:val="231F20"/>
        </w:rPr>
        <w:t xml:space="preserve">of </w:t>
      </w:r>
      <w:r>
        <w:rPr>
          <w:color w:val="231F20"/>
          <w:spacing w:val="-4"/>
        </w:rPr>
        <w:t>Text</w:t>
      </w:r>
    </w:p>
    <w:p w14:paraId="308724A5">
      <w:pPr>
        <w:pStyle w:val="9"/>
        <w:spacing w:before="75"/>
        <w:ind w:left="2544"/>
        <w:jc w:val="left"/>
      </w:pPr>
      <w:r>
        <w:rPr>
          <w:color w:val="231F20"/>
        </w:rPr>
        <w:t xml:space="preserve">Ezek. </w:t>
      </w:r>
      <w:r>
        <w:rPr>
          <w:color w:val="231F20"/>
          <w:spacing w:val="-2"/>
        </w:rPr>
        <w:t>32:7,</w:t>
      </w:r>
    </w:p>
    <w:p w14:paraId="08321883">
      <w:pPr>
        <w:pStyle w:val="9"/>
        <w:spacing w:before="15"/>
        <w:ind w:left="2544"/>
        <w:jc w:val="left"/>
      </w:pPr>
      <w:r>
        <w:rPr>
          <w:color w:val="231F20"/>
        </w:rPr>
        <w:t xml:space="preserve">Joel 2:10, 31, </w:t>
      </w:r>
      <w:r>
        <w:rPr>
          <w:color w:val="231F20"/>
          <w:spacing w:val="-2"/>
        </w:rPr>
        <w:t>3:15,</w:t>
      </w:r>
    </w:p>
    <w:p w14:paraId="2C9F6768">
      <w:pPr>
        <w:pStyle w:val="9"/>
        <w:spacing w:before="15"/>
        <w:ind w:left="2544"/>
        <w:jc w:val="left"/>
      </w:pPr>
      <w:r>
        <w:rPr>
          <w:color w:val="231F20"/>
        </w:rPr>
        <w:t xml:space="preserve">Amos 5:20, </w:t>
      </w:r>
      <w:r>
        <w:rPr>
          <w:color w:val="231F20"/>
          <w:spacing w:val="-4"/>
        </w:rPr>
        <w:t>8:9,</w:t>
      </w:r>
    </w:p>
    <w:p w14:paraId="7D0F725B">
      <w:pPr>
        <w:pStyle w:val="9"/>
        <w:spacing w:before="15"/>
        <w:ind w:left="2544"/>
        <w:jc w:val="left"/>
      </w:pPr>
      <w:r>
        <w:rPr>
          <w:color w:val="231F20"/>
        </w:rPr>
        <w:t xml:space="preserve">Zeph. </w:t>
      </w:r>
      <w:r>
        <w:rPr>
          <w:color w:val="231F20"/>
          <w:spacing w:val="-4"/>
        </w:rPr>
        <w:t>1:15</w:t>
      </w:r>
    </w:p>
    <w:p w14:paraId="7B8C840B">
      <w:pPr>
        <w:pStyle w:val="15"/>
        <w:numPr>
          <w:ilvl w:val="0"/>
          <w:numId w:val="2"/>
        </w:numPr>
        <w:tabs>
          <w:tab w:val="left" w:pos="564"/>
          <w:tab w:val="left" w:pos="2544"/>
          <w:tab w:val="left" w:pos="4929"/>
        </w:tabs>
        <w:spacing w:before="135" w:after="0" w:line="240" w:lineRule="auto"/>
        <w:ind w:left="564" w:right="0" w:hanging="450"/>
        <w:jc w:val="left"/>
        <w:rPr>
          <w:color w:val="231F20"/>
          <w:sz w:val="30"/>
        </w:rPr>
      </w:pPr>
      <w:r>
        <w:rPr>
          <w:color w:val="231F20"/>
          <w:sz w:val="30"/>
        </w:rPr>
        <w:t xml:space="preserve">Mt. </w:t>
      </w:r>
      <w:r>
        <w:rPr>
          <w:color w:val="231F20"/>
          <w:spacing w:val="-2"/>
          <w:sz w:val="30"/>
        </w:rPr>
        <w:t>24:30</w:t>
      </w:r>
      <w:r>
        <w:rPr>
          <w:color w:val="231F20"/>
          <w:sz w:val="30"/>
        </w:rPr>
        <w:tab/>
      </w:r>
      <w:r>
        <w:rPr>
          <w:color w:val="231F20"/>
          <w:sz w:val="30"/>
        </w:rPr>
        <w:t>Dan.</w:t>
      </w:r>
      <w:r>
        <w:rPr>
          <w:color w:val="231F20"/>
          <w:spacing w:val="-2"/>
          <w:sz w:val="30"/>
        </w:rPr>
        <w:t xml:space="preserve"> </w:t>
      </w:r>
      <w:r>
        <w:rPr>
          <w:color w:val="231F20"/>
          <w:spacing w:val="-4"/>
          <w:sz w:val="30"/>
        </w:rPr>
        <w:t>7:13</w:t>
      </w:r>
      <w:r>
        <w:rPr>
          <w:color w:val="231F20"/>
          <w:sz w:val="30"/>
        </w:rPr>
        <w:tab/>
      </w:r>
      <w:r>
        <w:rPr>
          <w:color w:val="231F20"/>
          <w:sz w:val="30"/>
        </w:rPr>
        <w:t>He</w:t>
      </w:r>
      <w:r>
        <w:rPr>
          <w:color w:val="231F20"/>
          <w:spacing w:val="-2"/>
          <w:sz w:val="30"/>
        </w:rPr>
        <w:t xml:space="preserve"> </w:t>
      </w:r>
      <w:r>
        <w:rPr>
          <w:color w:val="231F20"/>
          <w:sz w:val="30"/>
        </w:rPr>
        <w:t xml:space="preserve">will come in </w:t>
      </w:r>
      <w:r>
        <w:rPr>
          <w:color w:val="231F20"/>
          <w:spacing w:val="-2"/>
          <w:sz w:val="30"/>
        </w:rPr>
        <w:t>clouds</w:t>
      </w:r>
    </w:p>
    <w:p w14:paraId="68818C36">
      <w:pPr>
        <w:pStyle w:val="15"/>
        <w:spacing w:after="0" w:line="240" w:lineRule="auto"/>
        <w:jc w:val="left"/>
        <w:rPr>
          <w:sz w:val="30"/>
        </w:rPr>
        <w:sectPr>
          <w:pgSz w:w="12240" w:h="15840"/>
          <w:pgMar w:top="1440" w:right="1440" w:bottom="280" w:left="1440" w:header="720" w:footer="720" w:gutter="0"/>
          <w:cols w:space="720" w:num="1"/>
        </w:sectPr>
      </w:pPr>
    </w:p>
    <w:p w14:paraId="56CC1F84">
      <w:pPr>
        <w:pStyle w:val="15"/>
        <w:numPr>
          <w:ilvl w:val="0"/>
          <w:numId w:val="2"/>
        </w:numPr>
        <w:tabs>
          <w:tab w:val="left" w:pos="564"/>
          <w:tab w:val="left" w:pos="2544"/>
        </w:tabs>
        <w:spacing w:before="169" w:after="0" w:line="158" w:lineRule="auto"/>
        <w:ind w:left="564" w:right="0" w:hanging="450"/>
        <w:jc w:val="left"/>
        <w:rPr>
          <w:color w:val="231F20"/>
          <w:position w:val="-17"/>
          <w:sz w:val="30"/>
        </w:rPr>
      </w:pPr>
      <w:r>
        <w:rPr>
          <w:color w:val="231F20"/>
          <w:position w:val="-17"/>
          <w:sz w:val="30"/>
        </w:rPr>
        <w:t xml:space="preserve">Mt. </w:t>
      </w:r>
      <w:r>
        <w:rPr>
          <w:color w:val="231F20"/>
          <w:spacing w:val="-2"/>
          <w:position w:val="-17"/>
          <w:sz w:val="30"/>
        </w:rPr>
        <w:t>24:31</w:t>
      </w:r>
      <w:r>
        <w:rPr>
          <w:color w:val="231F20"/>
          <w:position w:val="-17"/>
          <w:sz w:val="30"/>
        </w:rPr>
        <w:tab/>
      </w:r>
      <w:r>
        <w:rPr>
          <w:color w:val="231F20"/>
          <w:sz w:val="30"/>
        </w:rPr>
        <w:t xml:space="preserve">Isaiah </w:t>
      </w:r>
      <w:r>
        <w:rPr>
          <w:color w:val="231F20"/>
          <w:spacing w:val="-2"/>
          <w:sz w:val="30"/>
        </w:rPr>
        <w:t>27:13,</w:t>
      </w:r>
    </w:p>
    <w:p w14:paraId="0B521F72">
      <w:pPr>
        <w:pStyle w:val="9"/>
        <w:spacing w:before="0" w:line="263" w:lineRule="exact"/>
        <w:ind w:left="2544"/>
        <w:jc w:val="left"/>
      </w:pPr>
      <w:r>
        <w:rPr>
          <w:color w:val="231F20"/>
        </w:rPr>
        <w:t xml:space="preserve">Zech. </w:t>
      </w:r>
      <w:r>
        <w:rPr>
          <w:color w:val="231F20"/>
          <w:spacing w:val="-4"/>
        </w:rPr>
        <w:t>9:14</w:t>
      </w:r>
    </w:p>
    <w:p w14:paraId="6CCF5288">
      <w:pPr>
        <w:pStyle w:val="15"/>
        <w:numPr>
          <w:ilvl w:val="0"/>
          <w:numId w:val="2"/>
        </w:numPr>
        <w:tabs>
          <w:tab w:val="left" w:pos="564"/>
          <w:tab w:val="left" w:pos="2544"/>
        </w:tabs>
        <w:spacing w:before="135" w:after="0" w:line="442" w:lineRule="exact"/>
        <w:ind w:left="564" w:right="0" w:hanging="450"/>
        <w:jc w:val="left"/>
        <w:rPr>
          <w:color w:val="231F20"/>
          <w:sz w:val="30"/>
        </w:rPr>
      </w:pPr>
      <w:r>
        <w:rPr>
          <w:color w:val="231F20"/>
          <w:sz w:val="30"/>
        </w:rPr>
        <w:t xml:space="preserve">Mt. </w:t>
      </w:r>
      <w:r>
        <w:rPr>
          <w:color w:val="231F20"/>
          <w:spacing w:val="-2"/>
          <w:sz w:val="30"/>
        </w:rPr>
        <w:t>24:31</w:t>
      </w:r>
      <w:r>
        <w:rPr>
          <w:color w:val="231F20"/>
          <w:sz w:val="30"/>
        </w:rPr>
        <w:tab/>
      </w:r>
      <w:r>
        <w:rPr>
          <w:color w:val="231F20"/>
          <w:position w:val="18"/>
          <w:sz w:val="30"/>
        </w:rPr>
        <w:t>Dan.</w:t>
      </w:r>
      <w:r>
        <w:rPr>
          <w:color w:val="231F20"/>
          <w:spacing w:val="-2"/>
          <w:position w:val="18"/>
          <w:sz w:val="30"/>
        </w:rPr>
        <w:t xml:space="preserve"> </w:t>
      </w:r>
      <w:r>
        <w:rPr>
          <w:color w:val="231F20"/>
          <w:spacing w:val="-4"/>
          <w:position w:val="18"/>
          <w:sz w:val="30"/>
        </w:rPr>
        <w:t>7:2,</w:t>
      </w:r>
    </w:p>
    <w:p w14:paraId="0EC72C77">
      <w:pPr>
        <w:pStyle w:val="9"/>
        <w:spacing w:before="0" w:line="262" w:lineRule="exact"/>
        <w:ind w:left="2544"/>
        <w:jc w:val="left"/>
      </w:pPr>
      <w:r>
        <mc:AlternateContent>
          <mc:Choice Requires="wps">
            <w:drawing>
              <wp:anchor distT="0" distB="0" distL="0" distR="0" simplePos="0" relativeHeight="251659264" behindDoc="0" locked="0" layoutInCell="1" allowOverlap="1">
                <wp:simplePos x="0" y="0"/>
                <wp:positionH relativeFrom="page">
                  <wp:posOffset>916940</wp:posOffset>
                </wp:positionH>
                <wp:positionV relativeFrom="paragraph">
                  <wp:posOffset>260350</wp:posOffset>
                </wp:positionV>
                <wp:extent cx="5319395" cy="5523865"/>
                <wp:effectExtent l="0" t="0" r="0" b="0"/>
                <wp:wrapNone/>
                <wp:docPr id="132" name="Textbox 132"/>
                <wp:cNvGraphicFramePr/>
                <a:graphic xmlns:a="http://schemas.openxmlformats.org/drawingml/2006/main">
                  <a:graphicData uri="http://schemas.microsoft.com/office/word/2010/wordprocessingShape">
                    <wps:wsp>
                      <wps:cNvSpPr txBox="1"/>
                      <wps:spPr>
                        <a:xfrm>
                          <a:off x="0" y="0"/>
                          <a:ext cx="5319395" cy="5523865"/>
                        </a:xfrm>
                        <a:prstGeom prst="rect">
                          <a:avLst/>
                        </a:prstGeom>
                      </wps:spPr>
                      <wps:txbx>
                        <w:txbxContent>
                          <w:tbl>
                            <w:tblPr>
                              <w:tblStyle w:val="12"/>
                              <w:tblW w:w="0" w:type="auto"/>
                              <w:tblInd w:w="6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344"/>
                              <w:gridCol w:w="2194"/>
                              <w:gridCol w:w="3719"/>
                            </w:tblGrid>
                            <w:tr w14:paraId="5B9E2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6" w:hRule="atLeast"/>
                              </w:trPr>
                              <w:tc>
                                <w:tcPr>
                                  <w:tcW w:w="2344" w:type="dxa"/>
                                </w:tcPr>
                                <w:p w14:paraId="19C8CEAE">
                                  <w:pPr>
                                    <w:pStyle w:val="16"/>
                                    <w:numPr>
                                      <w:ilvl w:val="0"/>
                                      <w:numId w:val="3"/>
                                    </w:numPr>
                                    <w:tabs>
                                      <w:tab w:val="left" w:pos="499"/>
                                    </w:tabs>
                                    <w:spacing w:before="167" w:after="0" w:line="240" w:lineRule="auto"/>
                                    <w:ind w:left="499" w:right="0" w:hanging="449"/>
                                    <w:jc w:val="left"/>
                                    <w:rPr>
                                      <w:sz w:val="30"/>
                                    </w:rPr>
                                  </w:pPr>
                                  <w:r>
                                    <w:rPr>
                                      <w:color w:val="231F20"/>
                                      <w:sz w:val="30"/>
                                    </w:rPr>
                                    <w:t xml:space="preserve">Mt. </w:t>
                                  </w:r>
                                  <w:r>
                                    <w:rPr>
                                      <w:color w:val="231F20"/>
                                      <w:spacing w:val="-2"/>
                                      <w:sz w:val="30"/>
                                    </w:rPr>
                                    <w:t>26:64</w:t>
                                  </w:r>
                                </w:p>
                                <w:p w14:paraId="350712A4">
                                  <w:pPr>
                                    <w:pStyle w:val="16"/>
                                    <w:numPr>
                                      <w:ilvl w:val="0"/>
                                      <w:numId w:val="3"/>
                                    </w:numPr>
                                    <w:tabs>
                                      <w:tab w:val="left" w:pos="500"/>
                                    </w:tabs>
                                    <w:spacing w:before="315" w:after="0" w:line="240" w:lineRule="auto"/>
                                    <w:ind w:left="500" w:right="0" w:hanging="450"/>
                                    <w:jc w:val="left"/>
                                    <w:rPr>
                                      <w:sz w:val="30"/>
                                    </w:rPr>
                                  </w:pPr>
                                  <w:r>
                                    <w:rPr>
                                      <w:color w:val="231F20"/>
                                      <w:sz w:val="30"/>
                                    </w:rPr>
                                    <w:t xml:space="preserve">John </w:t>
                                  </w:r>
                                  <w:r>
                                    <w:rPr>
                                      <w:color w:val="231F20"/>
                                      <w:spacing w:val="-4"/>
                                      <w:sz w:val="30"/>
                                    </w:rPr>
                                    <w:t>6:45</w:t>
                                  </w:r>
                                </w:p>
                              </w:tc>
                              <w:tc>
                                <w:tcPr>
                                  <w:tcW w:w="2194" w:type="dxa"/>
                                </w:tcPr>
                                <w:p w14:paraId="73FEE379">
                                  <w:pPr>
                                    <w:pStyle w:val="16"/>
                                    <w:spacing w:before="0" w:line="332" w:lineRule="exact"/>
                                    <w:ind w:left="135"/>
                                    <w:rPr>
                                      <w:sz w:val="30"/>
                                    </w:rPr>
                                  </w:pPr>
                                  <w:r>
                                    <w:rPr>
                                      <w:color w:val="231F20"/>
                                      <w:sz w:val="30"/>
                                    </w:rPr>
                                    <w:t xml:space="preserve">Psalm </w:t>
                                  </w:r>
                                  <w:r>
                                    <w:rPr>
                                      <w:color w:val="231F20"/>
                                      <w:spacing w:val="-2"/>
                                      <w:sz w:val="30"/>
                                    </w:rPr>
                                    <w:t>110:1,</w:t>
                                  </w:r>
                                </w:p>
                                <w:p w14:paraId="6FE2B6A3">
                                  <w:pPr>
                                    <w:pStyle w:val="16"/>
                                    <w:spacing w:before="15"/>
                                    <w:ind w:left="135"/>
                                    <w:rPr>
                                      <w:sz w:val="30"/>
                                    </w:rPr>
                                  </w:pPr>
                                  <w:r>
                                    <w:rPr>
                                      <w:color w:val="231F20"/>
                                      <w:sz w:val="30"/>
                                    </w:rPr>
                                    <w:t xml:space="preserve">Dan. </w:t>
                                  </w:r>
                                  <w:r>
                                    <w:rPr>
                                      <w:color w:val="231F20"/>
                                      <w:spacing w:val="-4"/>
                                      <w:sz w:val="30"/>
                                    </w:rPr>
                                    <w:t>7:13</w:t>
                                  </w:r>
                                </w:p>
                                <w:p w14:paraId="4FE82FEB">
                                  <w:pPr>
                                    <w:pStyle w:val="16"/>
                                    <w:spacing w:before="135"/>
                                    <w:ind w:left="135"/>
                                    <w:rPr>
                                      <w:sz w:val="30"/>
                                    </w:rPr>
                                  </w:pPr>
                                  <w:r>
                                    <w:rPr>
                                      <w:color w:val="231F20"/>
                                      <w:sz w:val="30"/>
                                    </w:rPr>
                                    <w:t xml:space="preserve">Isaiah </w:t>
                                  </w:r>
                                  <w:r>
                                    <w:rPr>
                                      <w:color w:val="231F20"/>
                                      <w:spacing w:val="-2"/>
                                      <w:sz w:val="30"/>
                                    </w:rPr>
                                    <w:t>54:13</w:t>
                                  </w:r>
                                </w:p>
                              </w:tc>
                              <w:tc>
                                <w:tcPr>
                                  <w:tcW w:w="3719" w:type="dxa"/>
                                </w:tcPr>
                                <w:p w14:paraId="3D34BC74">
                                  <w:pPr>
                                    <w:pStyle w:val="16"/>
                                    <w:spacing w:before="167"/>
                                    <w:ind w:left="326"/>
                                    <w:rPr>
                                      <w:sz w:val="30"/>
                                    </w:rPr>
                                  </w:pPr>
                                  <w:r>
                                    <w:rPr>
                                      <w:color w:val="231F20"/>
                                      <w:sz w:val="30"/>
                                    </w:rPr>
                                    <w:t xml:space="preserve">At the right hand of </w:t>
                                  </w:r>
                                  <w:r>
                                    <w:rPr>
                                      <w:color w:val="231F20"/>
                                      <w:spacing w:val="-2"/>
                                      <w:sz w:val="30"/>
                                    </w:rPr>
                                    <w:t>power</w:t>
                                  </w:r>
                                </w:p>
                                <w:p w14:paraId="2EA09DD0">
                                  <w:pPr>
                                    <w:pStyle w:val="16"/>
                                    <w:spacing w:before="315"/>
                                    <w:ind w:left="326"/>
                                    <w:rPr>
                                      <w:sz w:val="30"/>
                                    </w:rPr>
                                  </w:pPr>
                                  <w:r>
                                    <w:rPr>
                                      <w:color w:val="231F20"/>
                                      <w:sz w:val="30"/>
                                    </w:rPr>
                                    <w:t xml:space="preserve">All shall be taught by </w:t>
                                  </w:r>
                                  <w:r>
                                    <w:rPr>
                                      <w:color w:val="231F20"/>
                                      <w:spacing w:val="-5"/>
                                      <w:sz w:val="30"/>
                                    </w:rPr>
                                    <w:t>God</w:t>
                                  </w:r>
                                </w:p>
                              </w:tc>
                            </w:tr>
                            <w:tr w14:paraId="6A0B1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7BAFB742">
                                  <w:pPr>
                                    <w:pStyle w:val="16"/>
                                    <w:rPr>
                                      <w:sz w:val="30"/>
                                    </w:rPr>
                                  </w:pPr>
                                  <w:r>
                                    <w:rPr>
                                      <w:color w:val="231F20"/>
                                      <w:sz w:val="30"/>
                                    </w:rPr>
                                    <w:t>13. Acts 2:14-</w:t>
                                  </w:r>
                                  <w:r>
                                    <w:rPr>
                                      <w:color w:val="231F20"/>
                                      <w:spacing w:val="-5"/>
                                      <w:sz w:val="30"/>
                                    </w:rPr>
                                    <w:t>21</w:t>
                                  </w:r>
                                </w:p>
                              </w:tc>
                              <w:tc>
                                <w:tcPr>
                                  <w:tcW w:w="2194" w:type="dxa"/>
                                </w:tcPr>
                                <w:p w14:paraId="40A1A97F">
                                  <w:pPr>
                                    <w:pStyle w:val="16"/>
                                    <w:ind w:left="135"/>
                                    <w:rPr>
                                      <w:sz w:val="30"/>
                                    </w:rPr>
                                  </w:pPr>
                                  <w:r>
                                    <w:rPr>
                                      <w:color w:val="231F20"/>
                                      <w:sz w:val="30"/>
                                    </w:rPr>
                                    <w:t>Joel 2:28-</w:t>
                                  </w:r>
                                  <w:r>
                                    <w:rPr>
                                      <w:color w:val="231F20"/>
                                      <w:spacing w:val="-5"/>
                                      <w:sz w:val="30"/>
                                    </w:rPr>
                                    <w:t>32</w:t>
                                  </w:r>
                                </w:p>
                              </w:tc>
                              <w:tc>
                                <w:tcPr>
                                  <w:tcW w:w="3719" w:type="dxa"/>
                                </w:tcPr>
                                <w:p w14:paraId="53CB6D65">
                                  <w:pPr>
                                    <w:pStyle w:val="16"/>
                                    <w:ind w:left="326"/>
                                    <w:rPr>
                                      <w:sz w:val="30"/>
                                    </w:rPr>
                                  </w:pPr>
                                  <w:r>
                                    <w:rPr>
                                      <w:color w:val="231F20"/>
                                      <w:sz w:val="30"/>
                                    </w:rPr>
                                    <w:t xml:space="preserve">The Spirit </w:t>
                                  </w:r>
                                  <w:r>
                                    <w:rPr>
                                      <w:color w:val="231F20"/>
                                      <w:spacing w:val="-2"/>
                                      <w:sz w:val="30"/>
                                    </w:rPr>
                                    <w:t>outpoured</w:t>
                                  </w:r>
                                </w:p>
                              </w:tc>
                            </w:tr>
                            <w:tr w14:paraId="47FE7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3988F352">
                                  <w:pPr>
                                    <w:pStyle w:val="16"/>
                                    <w:rPr>
                                      <w:sz w:val="30"/>
                                    </w:rPr>
                                  </w:pPr>
                                  <w:r>
                                    <w:rPr>
                                      <w:color w:val="231F20"/>
                                      <w:sz w:val="30"/>
                                    </w:rPr>
                                    <w:t>14. Acts 2:25-</w:t>
                                  </w:r>
                                  <w:r>
                                    <w:rPr>
                                      <w:color w:val="231F20"/>
                                      <w:spacing w:val="-5"/>
                                      <w:sz w:val="30"/>
                                    </w:rPr>
                                    <w:t>28</w:t>
                                  </w:r>
                                </w:p>
                              </w:tc>
                              <w:tc>
                                <w:tcPr>
                                  <w:tcW w:w="2194" w:type="dxa"/>
                                </w:tcPr>
                                <w:p w14:paraId="4DB39E9F">
                                  <w:pPr>
                                    <w:pStyle w:val="16"/>
                                    <w:ind w:left="135"/>
                                    <w:rPr>
                                      <w:sz w:val="30"/>
                                    </w:rPr>
                                  </w:pPr>
                                  <w:r>
                                    <w:rPr>
                                      <w:color w:val="231F20"/>
                                      <w:sz w:val="30"/>
                                    </w:rPr>
                                    <w:t>Psalm 16:8-</w:t>
                                  </w:r>
                                  <w:r>
                                    <w:rPr>
                                      <w:color w:val="231F20"/>
                                      <w:spacing w:val="-5"/>
                                      <w:sz w:val="30"/>
                                    </w:rPr>
                                    <w:t>11</w:t>
                                  </w:r>
                                </w:p>
                              </w:tc>
                              <w:tc>
                                <w:tcPr>
                                  <w:tcW w:w="3719" w:type="dxa"/>
                                </w:tcPr>
                                <w:p w14:paraId="720C92FD">
                                  <w:pPr>
                                    <w:pStyle w:val="16"/>
                                    <w:ind w:left="326"/>
                                    <w:rPr>
                                      <w:sz w:val="30"/>
                                    </w:rPr>
                                  </w:pPr>
                                  <w:r>
                                    <w:rPr>
                                      <w:color w:val="231F20"/>
                                      <w:sz w:val="30"/>
                                    </w:rPr>
                                    <w:t xml:space="preserve">I ever saw the </w:t>
                                  </w:r>
                                  <w:r>
                                    <w:rPr>
                                      <w:color w:val="231F20"/>
                                      <w:spacing w:val="-4"/>
                                      <w:sz w:val="30"/>
                                    </w:rPr>
                                    <w:t>LORD</w:t>
                                  </w:r>
                                </w:p>
                              </w:tc>
                            </w:tr>
                            <w:tr w14:paraId="55BE3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777B0FE0">
                                  <w:pPr>
                                    <w:pStyle w:val="16"/>
                                    <w:rPr>
                                      <w:sz w:val="30"/>
                                    </w:rPr>
                                  </w:pPr>
                                  <w:r>
                                    <w:rPr>
                                      <w:color w:val="231F20"/>
                                      <w:sz w:val="30"/>
                                    </w:rPr>
                                    <w:t>15. Acts 2:32-</w:t>
                                  </w:r>
                                  <w:r>
                                    <w:rPr>
                                      <w:color w:val="231F20"/>
                                      <w:spacing w:val="-5"/>
                                      <w:sz w:val="30"/>
                                    </w:rPr>
                                    <w:t>36</w:t>
                                  </w:r>
                                </w:p>
                              </w:tc>
                              <w:tc>
                                <w:tcPr>
                                  <w:tcW w:w="2194" w:type="dxa"/>
                                </w:tcPr>
                                <w:p w14:paraId="4FD165E0">
                                  <w:pPr>
                                    <w:pStyle w:val="16"/>
                                    <w:ind w:left="135"/>
                                    <w:rPr>
                                      <w:sz w:val="30"/>
                                    </w:rPr>
                                  </w:pPr>
                                  <w:r>
                                    <w:rPr>
                                      <w:color w:val="231F20"/>
                                      <w:sz w:val="30"/>
                                    </w:rPr>
                                    <w:t xml:space="preserve">Psalm </w:t>
                                  </w:r>
                                  <w:r>
                                    <w:rPr>
                                      <w:color w:val="231F20"/>
                                      <w:spacing w:val="-2"/>
                                      <w:sz w:val="30"/>
                                    </w:rPr>
                                    <w:t>110:1</w:t>
                                  </w:r>
                                </w:p>
                              </w:tc>
                              <w:tc>
                                <w:tcPr>
                                  <w:tcW w:w="3719" w:type="dxa"/>
                                </w:tcPr>
                                <w:p w14:paraId="139B9237">
                                  <w:pPr>
                                    <w:pStyle w:val="16"/>
                                    <w:ind w:left="326"/>
                                    <w:rPr>
                                      <w:sz w:val="30"/>
                                    </w:rPr>
                                  </w:pPr>
                                  <w:r>
                                    <w:rPr>
                                      <w:color w:val="231F20"/>
                                      <w:sz w:val="30"/>
                                    </w:rPr>
                                    <w:t xml:space="preserve">The LORD said to my </w:t>
                                  </w:r>
                                  <w:r>
                                    <w:rPr>
                                      <w:color w:val="231F20"/>
                                      <w:spacing w:val="-4"/>
                                      <w:sz w:val="30"/>
                                    </w:rPr>
                                    <w:t>Lord</w:t>
                                  </w:r>
                                </w:p>
                              </w:tc>
                            </w:tr>
                            <w:tr w14:paraId="2DAA0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2255FEF6">
                                  <w:pPr>
                                    <w:pStyle w:val="16"/>
                                    <w:rPr>
                                      <w:sz w:val="30"/>
                                    </w:rPr>
                                  </w:pPr>
                                  <w:r>
                                    <w:rPr>
                                      <w:color w:val="231F20"/>
                                      <w:sz w:val="30"/>
                                    </w:rPr>
                                    <w:t>16. Acts 3:22-</w:t>
                                  </w:r>
                                  <w:r>
                                    <w:rPr>
                                      <w:color w:val="231F20"/>
                                      <w:spacing w:val="-5"/>
                                      <w:sz w:val="30"/>
                                    </w:rPr>
                                    <w:t>23</w:t>
                                  </w:r>
                                </w:p>
                              </w:tc>
                              <w:tc>
                                <w:tcPr>
                                  <w:tcW w:w="2194" w:type="dxa"/>
                                </w:tcPr>
                                <w:p w14:paraId="6E2CC182">
                                  <w:pPr>
                                    <w:pStyle w:val="16"/>
                                    <w:ind w:left="135"/>
                                    <w:rPr>
                                      <w:sz w:val="30"/>
                                    </w:rPr>
                                  </w:pPr>
                                  <w:r>
                                    <w:rPr>
                                      <w:color w:val="231F20"/>
                                      <w:sz w:val="30"/>
                                    </w:rPr>
                                    <w:t xml:space="preserve">Deut. </w:t>
                                  </w:r>
                                  <w:r>
                                    <w:rPr>
                                      <w:color w:val="231F20"/>
                                      <w:spacing w:val="-2"/>
                                      <w:sz w:val="30"/>
                                    </w:rPr>
                                    <w:t>18:19</w:t>
                                  </w:r>
                                </w:p>
                              </w:tc>
                              <w:tc>
                                <w:tcPr>
                                  <w:tcW w:w="3719" w:type="dxa"/>
                                </w:tcPr>
                                <w:p w14:paraId="53AE1A43">
                                  <w:pPr>
                                    <w:pStyle w:val="16"/>
                                    <w:ind w:left="326"/>
                                    <w:rPr>
                                      <w:sz w:val="30"/>
                                    </w:rPr>
                                  </w:pPr>
                                  <w:r>
                                    <w:rPr>
                                      <w:color w:val="231F20"/>
                                      <w:sz w:val="30"/>
                                    </w:rPr>
                                    <w:t xml:space="preserve">I will raise up a </w:t>
                                  </w:r>
                                  <w:r>
                                    <w:rPr>
                                      <w:color w:val="231F20"/>
                                      <w:spacing w:val="-2"/>
                                      <w:sz w:val="30"/>
                                    </w:rPr>
                                    <w:t>Prophet</w:t>
                                  </w:r>
                                </w:p>
                              </w:tc>
                            </w:tr>
                            <w:tr w14:paraId="14404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0A67AB1C">
                                  <w:pPr>
                                    <w:pStyle w:val="16"/>
                                    <w:rPr>
                                      <w:sz w:val="30"/>
                                    </w:rPr>
                                  </w:pPr>
                                  <w:r>
                                    <w:rPr>
                                      <w:color w:val="231F20"/>
                                      <w:sz w:val="30"/>
                                    </w:rPr>
                                    <w:t xml:space="preserve">17. Acts </w:t>
                                  </w:r>
                                  <w:r>
                                    <w:rPr>
                                      <w:color w:val="231F20"/>
                                      <w:spacing w:val="-4"/>
                                      <w:sz w:val="30"/>
                                    </w:rPr>
                                    <w:t>3:25</w:t>
                                  </w:r>
                                </w:p>
                              </w:tc>
                              <w:tc>
                                <w:tcPr>
                                  <w:tcW w:w="2194" w:type="dxa"/>
                                </w:tcPr>
                                <w:p w14:paraId="23040A3D">
                                  <w:pPr>
                                    <w:pStyle w:val="16"/>
                                    <w:ind w:left="135"/>
                                    <w:rPr>
                                      <w:sz w:val="30"/>
                                    </w:rPr>
                                  </w:pPr>
                                  <w:r>
                                    <w:rPr>
                                      <w:color w:val="231F20"/>
                                      <w:sz w:val="30"/>
                                    </w:rPr>
                                    <w:t xml:space="preserve">Gen. </w:t>
                                  </w:r>
                                  <w:r>
                                    <w:rPr>
                                      <w:color w:val="231F20"/>
                                      <w:spacing w:val="-2"/>
                                      <w:sz w:val="30"/>
                                    </w:rPr>
                                    <w:t>22:18</w:t>
                                  </w:r>
                                </w:p>
                              </w:tc>
                              <w:tc>
                                <w:tcPr>
                                  <w:tcW w:w="3719" w:type="dxa"/>
                                </w:tcPr>
                                <w:p w14:paraId="3D76DF41">
                                  <w:pPr>
                                    <w:pStyle w:val="16"/>
                                    <w:ind w:left="326"/>
                                    <w:rPr>
                                      <w:sz w:val="30"/>
                                    </w:rPr>
                                  </w:pPr>
                                  <w:r>
                                    <w:rPr>
                                      <w:color w:val="231F20"/>
                                      <w:sz w:val="30"/>
                                    </w:rPr>
                                    <w:t xml:space="preserve">The Seed of </w:t>
                                  </w:r>
                                  <w:r>
                                    <w:rPr>
                                      <w:color w:val="231F20"/>
                                      <w:spacing w:val="-2"/>
                                      <w:sz w:val="30"/>
                                    </w:rPr>
                                    <w:t>Abraham</w:t>
                                  </w:r>
                                </w:p>
                              </w:tc>
                            </w:tr>
                            <w:tr w14:paraId="6A73B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4E7D4F97">
                                  <w:pPr>
                                    <w:pStyle w:val="16"/>
                                    <w:rPr>
                                      <w:sz w:val="30"/>
                                    </w:rPr>
                                  </w:pPr>
                                  <w:r>
                                    <w:rPr>
                                      <w:color w:val="231F20"/>
                                      <w:sz w:val="30"/>
                                    </w:rPr>
                                    <w:t xml:space="preserve">18. Acts </w:t>
                                  </w:r>
                                  <w:r>
                                    <w:rPr>
                                      <w:color w:val="231F20"/>
                                      <w:spacing w:val="-4"/>
                                      <w:sz w:val="30"/>
                                    </w:rPr>
                                    <w:t>4:11</w:t>
                                  </w:r>
                                </w:p>
                              </w:tc>
                              <w:tc>
                                <w:tcPr>
                                  <w:tcW w:w="2194" w:type="dxa"/>
                                </w:tcPr>
                                <w:p w14:paraId="450995AE">
                                  <w:pPr>
                                    <w:pStyle w:val="16"/>
                                    <w:ind w:left="135"/>
                                    <w:rPr>
                                      <w:sz w:val="30"/>
                                    </w:rPr>
                                  </w:pPr>
                                  <w:r>
                                    <w:rPr>
                                      <w:color w:val="231F20"/>
                                      <w:sz w:val="30"/>
                                    </w:rPr>
                                    <w:t xml:space="preserve">Psalm </w:t>
                                  </w:r>
                                  <w:r>
                                    <w:rPr>
                                      <w:color w:val="231F20"/>
                                      <w:spacing w:val="-2"/>
                                      <w:sz w:val="30"/>
                                    </w:rPr>
                                    <w:t>118:22</w:t>
                                  </w:r>
                                </w:p>
                              </w:tc>
                              <w:tc>
                                <w:tcPr>
                                  <w:tcW w:w="3719" w:type="dxa"/>
                                </w:tcPr>
                                <w:p w14:paraId="5FB79099">
                                  <w:pPr>
                                    <w:pStyle w:val="16"/>
                                    <w:ind w:left="326"/>
                                    <w:rPr>
                                      <w:sz w:val="30"/>
                                    </w:rPr>
                                  </w:pPr>
                                  <w:r>
                                    <w:rPr>
                                      <w:color w:val="231F20"/>
                                      <w:sz w:val="30"/>
                                    </w:rPr>
                                    <w:t xml:space="preserve">He is the </w:t>
                                  </w:r>
                                  <w:r>
                                    <w:rPr>
                                      <w:color w:val="231F20"/>
                                      <w:spacing w:val="-2"/>
                                      <w:sz w:val="30"/>
                                    </w:rPr>
                                    <w:t>Stone</w:t>
                                  </w:r>
                                </w:p>
                              </w:tc>
                            </w:tr>
                            <w:tr w14:paraId="135AE2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1BF7627C">
                                  <w:pPr>
                                    <w:pStyle w:val="16"/>
                                    <w:rPr>
                                      <w:sz w:val="30"/>
                                    </w:rPr>
                                  </w:pPr>
                                  <w:r>
                                    <w:rPr>
                                      <w:color w:val="231F20"/>
                                      <w:sz w:val="30"/>
                                    </w:rPr>
                                    <w:t>19. Acts 4:23-</w:t>
                                  </w:r>
                                  <w:r>
                                    <w:rPr>
                                      <w:color w:val="231F20"/>
                                      <w:spacing w:val="-5"/>
                                      <w:sz w:val="30"/>
                                    </w:rPr>
                                    <w:t>31</w:t>
                                  </w:r>
                                </w:p>
                              </w:tc>
                              <w:tc>
                                <w:tcPr>
                                  <w:tcW w:w="2194" w:type="dxa"/>
                                </w:tcPr>
                                <w:p w14:paraId="3CCBBAC4">
                                  <w:pPr>
                                    <w:pStyle w:val="16"/>
                                    <w:ind w:left="135"/>
                                    <w:rPr>
                                      <w:sz w:val="30"/>
                                    </w:rPr>
                                  </w:pPr>
                                  <w:r>
                                    <w:rPr>
                                      <w:color w:val="231F20"/>
                                      <w:sz w:val="30"/>
                                    </w:rPr>
                                    <w:t xml:space="preserve">Psalm </w:t>
                                  </w:r>
                                  <w:r>
                                    <w:rPr>
                                      <w:color w:val="231F20"/>
                                      <w:spacing w:val="-4"/>
                                      <w:sz w:val="30"/>
                                    </w:rPr>
                                    <w:t>2:1f</w:t>
                                  </w:r>
                                </w:p>
                              </w:tc>
                              <w:tc>
                                <w:tcPr>
                                  <w:tcW w:w="3719" w:type="dxa"/>
                                </w:tcPr>
                                <w:p w14:paraId="4744D36C">
                                  <w:pPr>
                                    <w:pStyle w:val="16"/>
                                    <w:ind w:left="326"/>
                                    <w:rPr>
                                      <w:sz w:val="30"/>
                                    </w:rPr>
                                  </w:pPr>
                                  <w:r>
                                    <w:rPr>
                                      <w:color w:val="231F20"/>
                                      <w:sz w:val="30"/>
                                    </w:rPr>
                                    <w:t xml:space="preserve">Why did the nations </w:t>
                                  </w:r>
                                  <w:r>
                                    <w:rPr>
                                      <w:color w:val="231F20"/>
                                      <w:spacing w:val="-4"/>
                                      <w:sz w:val="30"/>
                                    </w:rPr>
                                    <w:t>rage</w:t>
                                  </w:r>
                                </w:p>
                              </w:tc>
                            </w:tr>
                            <w:tr w14:paraId="793BA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9" w:hRule="atLeast"/>
                              </w:trPr>
                              <w:tc>
                                <w:tcPr>
                                  <w:tcW w:w="2344" w:type="dxa"/>
                                </w:tcPr>
                                <w:p w14:paraId="4FDC189A">
                                  <w:pPr>
                                    <w:pStyle w:val="16"/>
                                    <w:rPr>
                                      <w:sz w:val="30"/>
                                    </w:rPr>
                                  </w:pPr>
                                  <w:r>
                                    <w:rPr>
                                      <w:color w:val="231F20"/>
                                      <w:sz w:val="30"/>
                                    </w:rPr>
                                    <w:t>20. Acts 7:47-</w:t>
                                  </w:r>
                                  <w:r>
                                    <w:rPr>
                                      <w:color w:val="231F20"/>
                                      <w:spacing w:val="-5"/>
                                      <w:sz w:val="30"/>
                                    </w:rPr>
                                    <w:t>50</w:t>
                                  </w:r>
                                </w:p>
                              </w:tc>
                              <w:tc>
                                <w:tcPr>
                                  <w:tcW w:w="2194" w:type="dxa"/>
                                </w:tcPr>
                                <w:p w14:paraId="0086CA00">
                                  <w:pPr>
                                    <w:pStyle w:val="16"/>
                                    <w:ind w:left="135"/>
                                    <w:rPr>
                                      <w:sz w:val="30"/>
                                    </w:rPr>
                                  </w:pPr>
                                  <w:r>
                                    <w:rPr>
                                      <w:color w:val="231F20"/>
                                      <w:sz w:val="30"/>
                                    </w:rPr>
                                    <w:t xml:space="preserve">Isaiah </w:t>
                                  </w:r>
                                  <w:r>
                                    <w:rPr>
                                      <w:color w:val="231F20"/>
                                      <w:spacing w:val="-4"/>
                                      <w:sz w:val="30"/>
                                    </w:rPr>
                                    <w:t>66:1</w:t>
                                  </w:r>
                                </w:p>
                              </w:tc>
                              <w:tc>
                                <w:tcPr>
                                  <w:tcW w:w="3719" w:type="dxa"/>
                                </w:tcPr>
                                <w:p w14:paraId="3DAF53C2">
                                  <w:pPr>
                                    <w:pStyle w:val="16"/>
                                    <w:ind w:left="326"/>
                                    <w:rPr>
                                      <w:sz w:val="30"/>
                                    </w:rPr>
                                  </w:pPr>
                                  <w:r>
                                    <w:rPr>
                                      <w:color w:val="231F20"/>
                                      <w:sz w:val="30"/>
                                    </w:rPr>
                                    <w:t xml:space="preserve">Heaven is my </w:t>
                                  </w:r>
                                  <w:r>
                                    <w:rPr>
                                      <w:color w:val="231F20"/>
                                      <w:spacing w:val="-2"/>
                                      <w:sz w:val="30"/>
                                    </w:rPr>
                                    <w:t>throne</w:t>
                                  </w:r>
                                </w:p>
                              </w:tc>
                            </w:tr>
                            <w:tr w14:paraId="4D80F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9" w:hRule="atLeast"/>
                              </w:trPr>
                              <w:tc>
                                <w:tcPr>
                                  <w:tcW w:w="2344" w:type="dxa"/>
                                </w:tcPr>
                                <w:p w14:paraId="16A59463">
                                  <w:pPr>
                                    <w:pStyle w:val="16"/>
                                    <w:numPr>
                                      <w:ilvl w:val="0"/>
                                      <w:numId w:val="4"/>
                                    </w:numPr>
                                    <w:tabs>
                                      <w:tab w:val="left" w:pos="500"/>
                                    </w:tabs>
                                    <w:spacing w:before="61" w:after="0" w:line="240" w:lineRule="auto"/>
                                    <w:ind w:left="500" w:right="0" w:hanging="450"/>
                                    <w:jc w:val="left"/>
                                    <w:rPr>
                                      <w:sz w:val="30"/>
                                    </w:rPr>
                                  </w:pPr>
                                  <w:r>
                                    <w:rPr>
                                      <w:color w:val="231F20"/>
                                      <w:sz w:val="30"/>
                                    </w:rPr>
                                    <w:t>Acts 13:16-</w:t>
                                  </w:r>
                                  <w:r>
                                    <w:rPr>
                                      <w:color w:val="231F20"/>
                                      <w:spacing w:val="-5"/>
                                      <w:sz w:val="30"/>
                                    </w:rPr>
                                    <w:t>41</w:t>
                                  </w:r>
                                </w:p>
                                <w:p w14:paraId="695DF750">
                                  <w:pPr>
                                    <w:pStyle w:val="16"/>
                                    <w:numPr>
                                      <w:ilvl w:val="0"/>
                                      <w:numId w:val="4"/>
                                    </w:numPr>
                                    <w:tabs>
                                      <w:tab w:val="left" w:pos="500"/>
                                    </w:tabs>
                                    <w:spacing w:before="315" w:after="0" w:line="240" w:lineRule="auto"/>
                                    <w:ind w:left="500" w:right="0" w:hanging="450"/>
                                    <w:jc w:val="left"/>
                                    <w:rPr>
                                      <w:sz w:val="30"/>
                                    </w:rPr>
                                  </w:pPr>
                                  <w:r>
                                    <w:rPr>
                                      <w:color w:val="231F20"/>
                                      <w:sz w:val="30"/>
                                    </w:rPr>
                                    <w:t>Acts 13:44-</w:t>
                                  </w:r>
                                  <w:r>
                                    <w:rPr>
                                      <w:color w:val="231F20"/>
                                      <w:spacing w:val="-5"/>
                                      <w:sz w:val="30"/>
                                    </w:rPr>
                                    <w:t>48</w:t>
                                  </w:r>
                                </w:p>
                              </w:tc>
                              <w:tc>
                                <w:tcPr>
                                  <w:tcW w:w="2194" w:type="dxa"/>
                                </w:tcPr>
                                <w:p w14:paraId="70F8B4ED">
                                  <w:pPr>
                                    <w:pStyle w:val="16"/>
                                    <w:spacing w:before="0" w:line="226" w:lineRule="exact"/>
                                    <w:ind w:left="135"/>
                                    <w:rPr>
                                      <w:color w:val="231F20"/>
                                      <w:sz w:val="30"/>
                                    </w:rPr>
                                  </w:pPr>
                                </w:p>
                                <w:p w14:paraId="4EEE3994">
                                  <w:pPr>
                                    <w:pStyle w:val="16"/>
                                    <w:spacing w:before="0" w:line="226" w:lineRule="exact"/>
                                    <w:ind w:left="135"/>
                                    <w:rPr>
                                      <w:sz w:val="30"/>
                                    </w:rPr>
                                  </w:pPr>
                                  <w:r>
                                    <w:rPr>
                                      <w:color w:val="231F20"/>
                                      <w:sz w:val="30"/>
                                    </w:rPr>
                                    <w:t xml:space="preserve">Psalm </w:t>
                                  </w:r>
                                  <w:r>
                                    <w:rPr>
                                      <w:color w:val="231F20"/>
                                      <w:spacing w:val="-4"/>
                                      <w:sz w:val="30"/>
                                    </w:rPr>
                                    <w:t>2:7,</w:t>
                                  </w:r>
                                </w:p>
                                <w:p w14:paraId="3188DEAE">
                                  <w:pPr>
                                    <w:pStyle w:val="16"/>
                                    <w:spacing w:before="15"/>
                                    <w:ind w:left="135"/>
                                    <w:rPr>
                                      <w:sz w:val="30"/>
                                    </w:rPr>
                                  </w:pPr>
                                  <w:r>
                                    <w:rPr>
                                      <w:color w:val="231F20"/>
                                      <w:sz w:val="30"/>
                                    </w:rPr>
                                    <w:t xml:space="preserve">Hab. </w:t>
                                  </w:r>
                                  <w:r>
                                    <w:rPr>
                                      <w:color w:val="231F20"/>
                                      <w:spacing w:val="-5"/>
                                      <w:sz w:val="30"/>
                                    </w:rPr>
                                    <w:t>1:5</w:t>
                                  </w:r>
                                </w:p>
                                <w:p w14:paraId="4A13DF8D">
                                  <w:pPr>
                                    <w:pStyle w:val="16"/>
                                    <w:spacing w:before="135"/>
                                    <w:ind w:left="135"/>
                                    <w:rPr>
                                      <w:sz w:val="30"/>
                                    </w:rPr>
                                  </w:pPr>
                                  <w:r>
                                    <w:rPr>
                                      <w:color w:val="231F20"/>
                                      <w:sz w:val="30"/>
                                    </w:rPr>
                                    <w:t xml:space="preserve">Isaiah </w:t>
                                  </w:r>
                                  <w:r>
                                    <w:rPr>
                                      <w:color w:val="231F20"/>
                                      <w:spacing w:val="-4"/>
                                      <w:sz w:val="30"/>
                                    </w:rPr>
                                    <w:t>49:6</w:t>
                                  </w:r>
                                </w:p>
                              </w:tc>
                              <w:tc>
                                <w:tcPr>
                                  <w:tcW w:w="3719" w:type="dxa"/>
                                </w:tcPr>
                                <w:p w14:paraId="034246C5">
                                  <w:pPr>
                                    <w:pStyle w:val="16"/>
                                    <w:ind w:left="326"/>
                                    <w:rPr>
                                      <w:sz w:val="30"/>
                                    </w:rPr>
                                  </w:pPr>
                                  <w:r>
                                    <w:rPr>
                                      <w:color w:val="231F20"/>
                                      <w:sz w:val="30"/>
                                    </w:rPr>
                                    <w:t xml:space="preserve">Behold, you </w:t>
                                  </w:r>
                                  <w:r>
                                    <w:rPr>
                                      <w:color w:val="231F20"/>
                                      <w:spacing w:val="-2"/>
                                      <w:sz w:val="30"/>
                                    </w:rPr>
                                    <w:t>scoffers</w:t>
                                  </w:r>
                                </w:p>
                                <w:p w14:paraId="2C3266B1">
                                  <w:pPr>
                                    <w:pStyle w:val="16"/>
                                    <w:spacing w:before="315"/>
                                    <w:ind w:left="326"/>
                                    <w:rPr>
                                      <w:sz w:val="30"/>
                                    </w:rPr>
                                  </w:pPr>
                                  <w:r>
                                    <w:rPr>
                                      <w:color w:val="231F20"/>
                                      <w:sz w:val="30"/>
                                    </w:rPr>
                                    <w:t xml:space="preserve">I have placed you as a </w:t>
                                  </w:r>
                                  <w:r>
                                    <w:rPr>
                                      <w:color w:val="231F20"/>
                                      <w:spacing w:val="-2"/>
                                      <w:sz w:val="30"/>
                                    </w:rPr>
                                    <w:t>light</w:t>
                                  </w:r>
                                </w:p>
                              </w:tc>
                            </w:tr>
                            <w:tr w14:paraId="0F19E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1CDC27FC">
                                  <w:pPr>
                                    <w:pStyle w:val="16"/>
                                    <w:rPr>
                                      <w:sz w:val="30"/>
                                    </w:rPr>
                                  </w:pPr>
                                  <w:r>
                                    <w:rPr>
                                      <w:color w:val="231F20"/>
                                      <w:sz w:val="30"/>
                                    </w:rPr>
                                    <w:t>23. Acts 15:12-</w:t>
                                  </w:r>
                                  <w:r>
                                    <w:rPr>
                                      <w:color w:val="231F20"/>
                                      <w:spacing w:val="-5"/>
                                      <w:sz w:val="30"/>
                                    </w:rPr>
                                    <w:t>21</w:t>
                                  </w:r>
                                </w:p>
                              </w:tc>
                              <w:tc>
                                <w:tcPr>
                                  <w:tcW w:w="2194" w:type="dxa"/>
                                </w:tcPr>
                                <w:p w14:paraId="31C24FEE">
                                  <w:pPr>
                                    <w:pStyle w:val="16"/>
                                    <w:ind w:left="135"/>
                                    <w:rPr>
                                      <w:sz w:val="30"/>
                                    </w:rPr>
                                  </w:pPr>
                                  <w:r>
                                    <w:rPr>
                                      <w:color w:val="231F20"/>
                                      <w:sz w:val="30"/>
                                    </w:rPr>
                                    <w:t>Amos</w:t>
                                  </w:r>
                                  <w:r>
                                    <w:rPr>
                                      <w:color w:val="231F20"/>
                                      <w:spacing w:val="-12"/>
                                      <w:sz w:val="30"/>
                                    </w:rPr>
                                    <w:t xml:space="preserve"> </w:t>
                                  </w:r>
                                  <w:r>
                                    <w:rPr>
                                      <w:color w:val="231F20"/>
                                      <w:sz w:val="30"/>
                                    </w:rPr>
                                    <w:t>9:11-</w:t>
                                  </w:r>
                                  <w:r>
                                    <w:rPr>
                                      <w:color w:val="231F20"/>
                                      <w:spacing w:val="-5"/>
                                      <w:sz w:val="30"/>
                                    </w:rPr>
                                    <w:t>12</w:t>
                                  </w:r>
                                </w:p>
                              </w:tc>
                              <w:tc>
                                <w:tcPr>
                                  <w:tcW w:w="3719" w:type="dxa"/>
                                </w:tcPr>
                                <w:p w14:paraId="0EDB8D61">
                                  <w:pPr>
                                    <w:pStyle w:val="16"/>
                                    <w:ind w:left="326"/>
                                    <w:rPr>
                                      <w:sz w:val="30"/>
                                    </w:rPr>
                                  </w:pPr>
                                  <w:r>
                                    <w:rPr>
                                      <w:color w:val="231F20"/>
                                      <w:sz w:val="30"/>
                                    </w:rPr>
                                    <w:t xml:space="preserve">The tabernacle of </w:t>
                                  </w:r>
                                  <w:r>
                                    <w:rPr>
                                      <w:color w:val="231F20"/>
                                      <w:spacing w:val="-2"/>
                                      <w:sz w:val="30"/>
                                    </w:rPr>
                                    <w:t>David</w:t>
                                  </w:r>
                                </w:p>
                              </w:tc>
                            </w:tr>
                            <w:tr w14:paraId="4EC8F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67D4CC5B">
                                  <w:pPr>
                                    <w:pStyle w:val="16"/>
                                    <w:rPr>
                                      <w:sz w:val="30"/>
                                    </w:rPr>
                                  </w:pPr>
                                  <w:r>
                                    <w:rPr>
                                      <w:color w:val="231F20"/>
                                      <w:sz w:val="30"/>
                                    </w:rPr>
                                    <w:t>24. Acts 28:25-</w:t>
                                  </w:r>
                                  <w:r>
                                    <w:rPr>
                                      <w:color w:val="231F20"/>
                                      <w:spacing w:val="-5"/>
                                      <w:sz w:val="30"/>
                                    </w:rPr>
                                    <w:t>28</w:t>
                                  </w:r>
                                </w:p>
                              </w:tc>
                              <w:tc>
                                <w:tcPr>
                                  <w:tcW w:w="2194" w:type="dxa"/>
                                </w:tcPr>
                                <w:p w14:paraId="04AC04C2">
                                  <w:pPr>
                                    <w:pStyle w:val="16"/>
                                    <w:ind w:left="135"/>
                                    <w:rPr>
                                      <w:sz w:val="30"/>
                                    </w:rPr>
                                  </w:pPr>
                                  <w:r>
                                    <w:rPr>
                                      <w:color w:val="231F20"/>
                                      <w:sz w:val="30"/>
                                    </w:rPr>
                                    <w:t xml:space="preserve">Isaiah </w:t>
                                  </w:r>
                                  <w:r>
                                    <w:rPr>
                                      <w:color w:val="231F20"/>
                                      <w:spacing w:val="-4"/>
                                      <w:sz w:val="30"/>
                                    </w:rPr>
                                    <w:t>6:1f</w:t>
                                  </w:r>
                                </w:p>
                              </w:tc>
                              <w:tc>
                                <w:tcPr>
                                  <w:tcW w:w="3719" w:type="dxa"/>
                                </w:tcPr>
                                <w:p w14:paraId="4C5DE095">
                                  <w:pPr>
                                    <w:pStyle w:val="16"/>
                                    <w:ind w:left="326"/>
                                    <w:rPr>
                                      <w:sz w:val="30"/>
                                    </w:rPr>
                                  </w:pPr>
                                  <w:r>
                                    <w:rPr>
                                      <w:color w:val="231F20"/>
                                      <w:sz w:val="30"/>
                                    </w:rPr>
                                    <w:t xml:space="preserve">Go to this people and </w:t>
                                  </w:r>
                                  <w:r>
                                    <w:rPr>
                                      <w:color w:val="231F20"/>
                                      <w:spacing w:val="-5"/>
                                      <w:sz w:val="30"/>
                                    </w:rPr>
                                    <w:t>say</w:t>
                                  </w:r>
                                </w:p>
                              </w:tc>
                            </w:tr>
                            <w:tr w14:paraId="0D437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394F62A6">
                                  <w:pPr>
                                    <w:pStyle w:val="16"/>
                                    <w:rPr>
                                      <w:sz w:val="30"/>
                                    </w:rPr>
                                  </w:pPr>
                                  <w:r>
                                    <w:rPr>
                                      <w:color w:val="231F20"/>
                                      <w:sz w:val="30"/>
                                    </w:rPr>
                                    <w:t xml:space="preserve">25. Rom. </w:t>
                                  </w:r>
                                  <w:r>
                                    <w:rPr>
                                      <w:color w:val="231F20"/>
                                      <w:spacing w:val="-4"/>
                                      <w:sz w:val="30"/>
                                    </w:rPr>
                                    <w:t>1:17</w:t>
                                  </w:r>
                                </w:p>
                              </w:tc>
                              <w:tc>
                                <w:tcPr>
                                  <w:tcW w:w="2194" w:type="dxa"/>
                                </w:tcPr>
                                <w:p w14:paraId="4DDAE491">
                                  <w:pPr>
                                    <w:pStyle w:val="16"/>
                                    <w:ind w:left="135"/>
                                    <w:rPr>
                                      <w:sz w:val="30"/>
                                    </w:rPr>
                                  </w:pPr>
                                  <w:r>
                                    <w:rPr>
                                      <w:color w:val="231F20"/>
                                      <w:sz w:val="30"/>
                                    </w:rPr>
                                    <w:t xml:space="preserve">Hab. </w:t>
                                  </w:r>
                                  <w:r>
                                    <w:rPr>
                                      <w:color w:val="231F20"/>
                                      <w:spacing w:val="-5"/>
                                      <w:sz w:val="30"/>
                                    </w:rPr>
                                    <w:t>2:4</w:t>
                                  </w:r>
                                </w:p>
                              </w:tc>
                              <w:tc>
                                <w:tcPr>
                                  <w:tcW w:w="3719" w:type="dxa"/>
                                </w:tcPr>
                                <w:p w14:paraId="123A6B05">
                                  <w:pPr>
                                    <w:pStyle w:val="16"/>
                                    <w:ind w:left="326"/>
                                    <w:rPr>
                                      <w:sz w:val="30"/>
                                    </w:rPr>
                                  </w:pPr>
                                  <w:r>
                                    <w:rPr>
                                      <w:color w:val="231F20"/>
                                      <w:sz w:val="30"/>
                                    </w:rPr>
                                    <w:t xml:space="preserve">Righteous by </w:t>
                                  </w:r>
                                  <w:r>
                                    <w:rPr>
                                      <w:color w:val="231F20"/>
                                      <w:spacing w:val="-2"/>
                                      <w:sz w:val="30"/>
                                    </w:rPr>
                                    <w:t>faith</w:t>
                                  </w:r>
                                </w:p>
                              </w:tc>
                            </w:tr>
                            <w:tr w14:paraId="53896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2344" w:type="dxa"/>
                                </w:tcPr>
                                <w:p w14:paraId="4FBAB1AC">
                                  <w:pPr>
                                    <w:pStyle w:val="16"/>
                                    <w:spacing w:line="325" w:lineRule="exact"/>
                                    <w:rPr>
                                      <w:sz w:val="30"/>
                                    </w:rPr>
                                  </w:pPr>
                                  <w:r>
                                    <w:rPr>
                                      <w:color w:val="231F20"/>
                                      <w:sz w:val="30"/>
                                    </w:rPr>
                                    <w:t>26. Rom. 4:7-</w:t>
                                  </w:r>
                                  <w:r>
                                    <w:rPr>
                                      <w:color w:val="231F20"/>
                                      <w:spacing w:val="-10"/>
                                      <w:sz w:val="30"/>
                                    </w:rPr>
                                    <w:t>8</w:t>
                                  </w:r>
                                </w:p>
                              </w:tc>
                              <w:tc>
                                <w:tcPr>
                                  <w:tcW w:w="2194" w:type="dxa"/>
                                </w:tcPr>
                                <w:p w14:paraId="2CB5BCE6">
                                  <w:pPr>
                                    <w:pStyle w:val="16"/>
                                    <w:spacing w:line="325" w:lineRule="exact"/>
                                    <w:ind w:left="135"/>
                                    <w:rPr>
                                      <w:sz w:val="30"/>
                                    </w:rPr>
                                  </w:pPr>
                                  <w:r>
                                    <w:rPr>
                                      <w:color w:val="231F20"/>
                                      <w:sz w:val="30"/>
                                    </w:rPr>
                                    <w:t>Psalm 32:1-</w:t>
                                  </w:r>
                                  <w:r>
                                    <w:rPr>
                                      <w:color w:val="231F20"/>
                                      <w:spacing w:val="-10"/>
                                      <w:sz w:val="30"/>
                                    </w:rPr>
                                    <w:t>2</w:t>
                                  </w:r>
                                </w:p>
                              </w:tc>
                              <w:tc>
                                <w:tcPr>
                                  <w:tcW w:w="3719" w:type="dxa"/>
                                </w:tcPr>
                                <w:p w14:paraId="16176DB4">
                                  <w:pPr>
                                    <w:pStyle w:val="16"/>
                                    <w:spacing w:line="325" w:lineRule="exact"/>
                                    <w:ind w:left="326"/>
                                    <w:rPr>
                                      <w:sz w:val="30"/>
                                    </w:rPr>
                                  </w:pPr>
                                  <w:r>
                                    <w:rPr>
                                      <w:color w:val="231F20"/>
                                      <w:sz w:val="30"/>
                                    </w:rPr>
                                    <w:t xml:space="preserve">Blessed are the </w:t>
                                  </w:r>
                                  <w:r>
                                    <w:rPr>
                                      <w:color w:val="231F20"/>
                                      <w:spacing w:val="-2"/>
                                      <w:sz w:val="30"/>
                                    </w:rPr>
                                    <w:t>forgiven</w:t>
                                  </w:r>
                                </w:p>
                              </w:tc>
                            </w:tr>
                          </w:tbl>
                          <w:p w14:paraId="3B5A9EB7">
                            <w:pPr>
                              <w:pStyle w:val="9"/>
                              <w:spacing w:before="0"/>
                              <w:ind w:left="0"/>
                              <w:jc w:val="left"/>
                            </w:pPr>
                          </w:p>
                        </w:txbxContent>
                      </wps:txbx>
                      <wps:bodyPr wrap="square" lIns="0" tIns="0" rIns="0" bIns="0" rtlCol="0">
                        <a:noAutofit/>
                      </wps:bodyPr>
                    </wps:wsp>
                  </a:graphicData>
                </a:graphic>
              </wp:anchor>
            </w:drawing>
          </mc:Choice>
          <mc:Fallback>
            <w:pict>
              <v:shape id="Textbox 132" o:spid="_x0000_s1026" o:spt="202" type="#_x0000_t202" style="position:absolute;left:0pt;margin-left:72.2pt;margin-top:20.5pt;height:434.95pt;width:418.85pt;mso-position-horizontal-relative:page;z-index:251659264;mso-width-relative:page;mso-height-relative:page;" filled="f" stroked="f" coordsize="21600,21600" o:gfxdata="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DXl3f2AAAAAoBAAAPAAAAAAAAAAEAIAAAACIAAABkcnMvZG93bnJldi54bWxQSwECFAAUAAAA&#10;CACHTuJADW9AiLUBAAB5AwAADgAAAAAAAAABACAAAAAnAQAAZHJzL2Uyb0RvYy54bWxQSwUGAAAA&#10;AAYABgBZAQAATgUAAAAA&#10;">
                <v:fill on="f" focussize="0,0"/>
                <v:stroke on="f"/>
                <v:imagedata o:title=""/>
                <o:lock v:ext="edit" aspectratio="f"/>
                <v:textbox inset="0mm,0mm,0mm,0mm">
                  <w:txbxContent>
                    <w:tbl>
                      <w:tblPr>
                        <w:tblStyle w:val="12"/>
                        <w:tblW w:w="0" w:type="auto"/>
                        <w:tblInd w:w="6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344"/>
                        <w:gridCol w:w="2194"/>
                        <w:gridCol w:w="3719"/>
                      </w:tblGrid>
                      <w:tr w14:paraId="5B9E2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6" w:hRule="atLeast"/>
                        </w:trPr>
                        <w:tc>
                          <w:tcPr>
                            <w:tcW w:w="2344" w:type="dxa"/>
                          </w:tcPr>
                          <w:p w14:paraId="19C8CEAE">
                            <w:pPr>
                              <w:pStyle w:val="16"/>
                              <w:numPr>
                                <w:ilvl w:val="0"/>
                                <w:numId w:val="3"/>
                              </w:numPr>
                              <w:tabs>
                                <w:tab w:val="left" w:pos="499"/>
                              </w:tabs>
                              <w:spacing w:before="167" w:after="0" w:line="240" w:lineRule="auto"/>
                              <w:ind w:left="499" w:right="0" w:hanging="449"/>
                              <w:jc w:val="left"/>
                              <w:rPr>
                                <w:sz w:val="30"/>
                              </w:rPr>
                            </w:pPr>
                            <w:r>
                              <w:rPr>
                                <w:color w:val="231F20"/>
                                <w:sz w:val="30"/>
                              </w:rPr>
                              <w:t xml:space="preserve">Mt. </w:t>
                            </w:r>
                            <w:r>
                              <w:rPr>
                                <w:color w:val="231F20"/>
                                <w:spacing w:val="-2"/>
                                <w:sz w:val="30"/>
                              </w:rPr>
                              <w:t>26:64</w:t>
                            </w:r>
                          </w:p>
                          <w:p w14:paraId="350712A4">
                            <w:pPr>
                              <w:pStyle w:val="16"/>
                              <w:numPr>
                                <w:ilvl w:val="0"/>
                                <w:numId w:val="3"/>
                              </w:numPr>
                              <w:tabs>
                                <w:tab w:val="left" w:pos="500"/>
                              </w:tabs>
                              <w:spacing w:before="315" w:after="0" w:line="240" w:lineRule="auto"/>
                              <w:ind w:left="500" w:right="0" w:hanging="450"/>
                              <w:jc w:val="left"/>
                              <w:rPr>
                                <w:sz w:val="30"/>
                              </w:rPr>
                            </w:pPr>
                            <w:r>
                              <w:rPr>
                                <w:color w:val="231F20"/>
                                <w:sz w:val="30"/>
                              </w:rPr>
                              <w:t xml:space="preserve">John </w:t>
                            </w:r>
                            <w:r>
                              <w:rPr>
                                <w:color w:val="231F20"/>
                                <w:spacing w:val="-4"/>
                                <w:sz w:val="30"/>
                              </w:rPr>
                              <w:t>6:45</w:t>
                            </w:r>
                          </w:p>
                        </w:tc>
                        <w:tc>
                          <w:tcPr>
                            <w:tcW w:w="2194" w:type="dxa"/>
                          </w:tcPr>
                          <w:p w14:paraId="73FEE379">
                            <w:pPr>
                              <w:pStyle w:val="16"/>
                              <w:spacing w:before="0" w:line="332" w:lineRule="exact"/>
                              <w:ind w:left="135"/>
                              <w:rPr>
                                <w:sz w:val="30"/>
                              </w:rPr>
                            </w:pPr>
                            <w:r>
                              <w:rPr>
                                <w:color w:val="231F20"/>
                                <w:sz w:val="30"/>
                              </w:rPr>
                              <w:t xml:space="preserve">Psalm </w:t>
                            </w:r>
                            <w:r>
                              <w:rPr>
                                <w:color w:val="231F20"/>
                                <w:spacing w:val="-2"/>
                                <w:sz w:val="30"/>
                              </w:rPr>
                              <w:t>110:1,</w:t>
                            </w:r>
                          </w:p>
                          <w:p w14:paraId="6FE2B6A3">
                            <w:pPr>
                              <w:pStyle w:val="16"/>
                              <w:spacing w:before="15"/>
                              <w:ind w:left="135"/>
                              <w:rPr>
                                <w:sz w:val="30"/>
                              </w:rPr>
                            </w:pPr>
                            <w:r>
                              <w:rPr>
                                <w:color w:val="231F20"/>
                                <w:sz w:val="30"/>
                              </w:rPr>
                              <w:t xml:space="preserve">Dan. </w:t>
                            </w:r>
                            <w:r>
                              <w:rPr>
                                <w:color w:val="231F20"/>
                                <w:spacing w:val="-4"/>
                                <w:sz w:val="30"/>
                              </w:rPr>
                              <w:t>7:13</w:t>
                            </w:r>
                          </w:p>
                          <w:p w14:paraId="4FE82FEB">
                            <w:pPr>
                              <w:pStyle w:val="16"/>
                              <w:spacing w:before="135"/>
                              <w:ind w:left="135"/>
                              <w:rPr>
                                <w:sz w:val="30"/>
                              </w:rPr>
                            </w:pPr>
                            <w:r>
                              <w:rPr>
                                <w:color w:val="231F20"/>
                                <w:sz w:val="30"/>
                              </w:rPr>
                              <w:t xml:space="preserve">Isaiah </w:t>
                            </w:r>
                            <w:r>
                              <w:rPr>
                                <w:color w:val="231F20"/>
                                <w:spacing w:val="-2"/>
                                <w:sz w:val="30"/>
                              </w:rPr>
                              <w:t>54:13</w:t>
                            </w:r>
                          </w:p>
                        </w:tc>
                        <w:tc>
                          <w:tcPr>
                            <w:tcW w:w="3719" w:type="dxa"/>
                          </w:tcPr>
                          <w:p w14:paraId="3D34BC74">
                            <w:pPr>
                              <w:pStyle w:val="16"/>
                              <w:spacing w:before="167"/>
                              <w:ind w:left="326"/>
                              <w:rPr>
                                <w:sz w:val="30"/>
                              </w:rPr>
                            </w:pPr>
                            <w:r>
                              <w:rPr>
                                <w:color w:val="231F20"/>
                                <w:sz w:val="30"/>
                              </w:rPr>
                              <w:t xml:space="preserve">At the right hand of </w:t>
                            </w:r>
                            <w:r>
                              <w:rPr>
                                <w:color w:val="231F20"/>
                                <w:spacing w:val="-2"/>
                                <w:sz w:val="30"/>
                              </w:rPr>
                              <w:t>power</w:t>
                            </w:r>
                          </w:p>
                          <w:p w14:paraId="2EA09DD0">
                            <w:pPr>
                              <w:pStyle w:val="16"/>
                              <w:spacing w:before="315"/>
                              <w:ind w:left="326"/>
                              <w:rPr>
                                <w:sz w:val="30"/>
                              </w:rPr>
                            </w:pPr>
                            <w:r>
                              <w:rPr>
                                <w:color w:val="231F20"/>
                                <w:sz w:val="30"/>
                              </w:rPr>
                              <w:t xml:space="preserve">All shall be taught by </w:t>
                            </w:r>
                            <w:r>
                              <w:rPr>
                                <w:color w:val="231F20"/>
                                <w:spacing w:val="-5"/>
                                <w:sz w:val="30"/>
                              </w:rPr>
                              <w:t>God</w:t>
                            </w:r>
                          </w:p>
                        </w:tc>
                      </w:tr>
                      <w:tr w14:paraId="6A0B1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7BAFB742">
                            <w:pPr>
                              <w:pStyle w:val="16"/>
                              <w:rPr>
                                <w:sz w:val="30"/>
                              </w:rPr>
                            </w:pPr>
                            <w:r>
                              <w:rPr>
                                <w:color w:val="231F20"/>
                                <w:sz w:val="30"/>
                              </w:rPr>
                              <w:t>13. Acts 2:14-</w:t>
                            </w:r>
                            <w:r>
                              <w:rPr>
                                <w:color w:val="231F20"/>
                                <w:spacing w:val="-5"/>
                                <w:sz w:val="30"/>
                              </w:rPr>
                              <w:t>21</w:t>
                            </w:r>
                          </w:p>
                        </w:tc>
                        <w:tc>
                          <w:tcPr>
                            <w:tcW w:w="2194" w:type="dxa"/>
                          </w:tcPr>
                          <w:p w14:paraId="40A1A97F">
                            <w:pPr>
                              <w:pStyle w:val="16"/>
                              <w:ind w:left="135"/>
                              <w:rPr>
                                <w:sz w:val="30"/>
                              </w:rPr>
                            </w:pPr>
                            <w:r>
                              <w:rPr>
                                <w:color w:val="231F20"/>
                                <w:sz w:val="30"/>
                              </w:rPr>
                              <w:t>Joel 2:28-</w:t>
                            </w:r>
                            <w:r>
                              <w:rPr>
                                <w:color w:val="231F20"/>
                                <w:spacing w:val="-5"/>
                                <w:sz w:val="30"/>
                              </w:rPr>
                              <w:t>32</w:t>
                            </w:r>
                          </w:p>
                        </w:tc>
                        <w:tc>
                          <w:tcPr>
                            <w:tcW w:w="3719" w:type="dxa"/>
                          </w:tcPr>
                          <w:p w14:paraId="53CB6D65">
                            <w:pPr>
                              <w:pStyle w:val="16"/>
                              <w:ind w:left="326"/>
                              <w:rPr>
                                <w:sz w:val="30"/>
                              </w:rPr>
                            </w:pPr>
                            <w:r>
                              <w:rPr>
                                <w:color w:val="231F20"/>
                                <w:sz w:val="30"/>
                              </w:rPr>
                              <w:t xml:space="preserve">The Spirit </w:t>
                            </w:r>
                            <w:r>
                              <w:rPr>
                                <w:color w:val="231F20"/>
                                <w:spacing w:val="-2"/>
                                <w:sz w:val="30"/>
                              </w:rPr>
                              <w:t>outpoured</w:t>
                            </w:r>
                          </w:p>
                        </w:tc>
                      </w:tr>
                      <w:tr w14:paraId="47FE7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3988F352">
                            <w:pPr>
                              <w:pStyle w:val="16"/>
                              <w:rPr>
                                <w:sz w:val="30"/>
                              </w:rPr>
                            </w:pPr>
                            <w:r>
                              <w:rPr>
                                <w:color w:val="231F20"/>
                                <w:sz w:val="30"/>
                              </w:rPr>
                              <w:t>14. Acts 2:25-</w:t>
                            </w:r>
                            <w:r>
                              <w:rPr>
                                <w:color w:val="231F20"/>
                                <w:spacing w:val="-5"/>
                                <w:sz w:val="30"/>
                              </w:rPr>
                              <w:t>28</w:t>
                            </w:r>
                          </w:p>
                        </w:tc>
                        <w:tc>
                          <w:tcPr>
                            <w:tcW w:w="2194" w:type="dxa"/>
                          </w:tcPr>
                          <w:p w14:paraId="4DB39E9F">
                            <w:pPr>
                              <w:pStyle w:val="16"/>
                              <w:ind w:left="135"/>
                              <w:rPr>
                                <w:sz w:val="30"/>
                              </w:rPr>
                            </w:pPr>
                            <w:r>
                              <w:rPr>
                                <w:color w:val="231F20"/>
                                <w:sz w:val="30"/>
                              </w:rPr>
                              <w:t>Psalm 16:8-</w:t>
                            </w:r>
                            <w:r>
                              <w:rPr>
                                <w:color w:val="231F20"/>
                                <w:spacing w:val="-5"/>
                                <w:sz w:val="30"/>
                              </w:rPr>
                              <w:t>11</w:t>
                            </w:r>
                          </w:p>
                        </w:tc>
                        <w:tc>
                          <w:tcPr>
                            <w:tcW w:w="3719" w:type="dxa"/>
                          </w:tcPr>
                          <w:p w14:paraId="720C92FD">
                            <w:pPr>
                              <w:pStyle w:val="16"/>
                              <w:ind w:left="326"/>
                              <w:rPr>
                                <w:sz w:val="30"/>
                              </w:rPr>
                            </w:pPr>
                            <w:r>
                              <w:rPr>
                                <w:color w:val="231F20"/>
                                <w:sz w:val="30"/>
                              </w:rPr>
                              <w:t xml:space="preserve">I ever saw the </w:t>
                            </w:r>
                            <w:r>
                              <w:rPr>
                                <w:color w:val="231F20"/>
                                <w:spacing w:val="-4"/>
                                <w:sz w:val="30"/>
                              </w:rPr>
                              <w:t>LORD</w:t>
                            </w:r>
                          </w:p>
                        </w:tc>
                      </w:tr>
                      <w:tr w14:paraId="55BE3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777B0FE0">
                            <w:pPr>
                              <w:pStyle w:val="16"/>
                              <w:rPr>
                                <w:sz w:val="30"/>
                              </w:rPr>
                            </w:pPr>
                            <w:r>
                              <w:rPr>
                                <w:color w:val="231F20"/>
                                <w:sz w:val="30"/>
                              </w:rPr>
                              <w:t>15. Acts 2:32-</w:t>
                            </w:r>
                            <w:r>
                              <w:rPr>
                                <w:color w:val="231F20"/>
                                <w:spacing w:val="-5"/>
                                <w:sz w:val="30"/>
                              </w:rPr>
                              <w:t>36</w:t>
                            </w:r>
                          </w:p>
                        </w:tc>
                        <w:tc>
                          <w:tcPr>
                            <w:tcW w:w="2194" w:type="dxa"/>
                          </w:tcPr>
                          <w:p w14:paraId="4FD165E0">
                            <w:pPr>
                              <w:pStyle w:val="16"/>
                              <w:ind w:left="135"/>
                              <w:rPr>
                                <w:sz w:val="30"/>
                              </w:rPr>
                            </w:pPr>
                            <w:r>
                              <w:rPr>
                                <w:color w:val="231F20"/>
                                <w:sz w:val="30"/>
                              </w:rPr>
                              <w:t xml:space="preserve">Psalm </w:t>
                            </w:r>
                            <w:r>
                              <w:rPr>
                                <w:color w:val="231F20"/>
                                <w:spacing w:val="-2"/>
                                <w:sz w:val="30"/>
                              </w:rPr>
                              <w:t>110:1</w:t>
                            </w:r>
                          </w:p>
                        </w:tc>
                        <w:tc>
                          <w:tcPr>
                            <w:tcW w:w="3719" w:type="dxa"/>
                          </w:tcPr>
                          <w:p w14:paraId="139B9237">
                            <w:pPr>
                              <w:pStyle w:val="16"/>
                              <w:ind w:left="326"/>
                              <w:rPr>
                                <w:sz w:val="30"/>
                              </w:rPr>
                            </w:pPr>
                            <w:r>
                              <w:rPr>
                                <w:color w:val="231F20"/>
                                <w:sz w:val="30"/>
                              </w:rPr>
                              <w:t xml:space="preserve">The LORD said to my </w:t>
                            </w:r>
                            <w:r>
                              <w:rPr>
                                <w:color w:val="231F20"/>
                                <w:spacing w:val="-4"/>
                                <w:sz w:val="30"/>
                              </w:rPr>
                              <w:t>Lord</w:t>
                            </w:r>
                          </w:p>
                        </w:tc>
                      </w:tr>
                      <w:tr w14:paraId="2DAA0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2255FEF6">
                            <w:pPr>
                              <w:pStyle w:val="16"/>
                              <w:rPr>
                                <w:sz w:val="30"/>
                              </w:rPr>
                            </w:pPr>
                            <w:r>
                              <w:rPr>
                                <w:color w:val="231F20"/>
                                <w:sz w:val="30"/>
                              </w:rPr>
                              <w:t>16. Acts 3:22-</w:t>
                            </w:r>
                            <w:r>
                              <w:rPr>
                                <w:color w:val="231F20"/>
                                <w:spacing w:val="-5"/>
                                <w:sz w:val="30"/>
                              </w:rPr>
                              <w:t>23</w:t>
                            </w:r>
                          </w:p>
                        </w:tc>
                        <w:tc>
                          <w:tcPr>
                            <w:tcW w:w="2194" w:type="dxa"/>
                          </w:tcPr>
                          <w:p w14:paraId="6E2CC182">
                            <w:pPr>
                              <w:pStyle w:val="16"/>
                              <w:ind w:left="135"/>
                              <w:rPr>
                                <w:sz w:val="30"/>
                              </w:rPr>
                            </w:pPr>
                            <w:r>
                              <w:rPr>
                                <w:color w:val="231F20"/>
                                <w:sz w:val="30"/>
                              </w:rPr>
                              <w:t xml:space="preserve">Deut. </w:t>
                            </w:r>
                            <w:r>
                              <w:rPr>
                                <w:color w:val="231F20"/>
                                <w:spacing w:val="-2"/>
                                <w:sz w:val="30"/>
                              </w:rPr>
                              <w:t>18:19</w:t>
                            </w:r>
                          </w:p>
                        </w:tc>
                        <w:tc>
                          <w:tcPr>
                            <w:tcW w:w="3719" w:type="dxa"/>
                          </w:tcPr>
                          <w:p w14:paraId="53AE1A43">
                            <w:pPr>
                              <w:pStyle w:val="16"/>
                              <w:ind w:left="326"/>
                              <w:rPr>
                                <w:sz w:val="30"/>
                              </w:rPr>
                            </w:pPr>
                            <w:r>
                              <w:rPr>
                                <w:color w:val="231F20"/>
                                <w:sz w:val="30"/>
                              </w:rPr>
                              <w:t xml:space="preserve">I will raise up a </w:t>
                            </w:r>
                            <w:r>
                              <w:rPr>
                                <w:color w:val="231F20"/>
                                <w:spacing w:val="-2"/>
                                <w:sz w:val="30"/>
                              </w:rPr>
                              <w:t>Prophet</w:t>
                            </w:r>
                          </w:p>
                        </w:tc>
                      </w:tr>
                      <w:tr w14:paraId="14404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0A67AB1C">
                            <w:pPr>
                              <w:pStyle w:val="16"/>
                              <w:rPr>
                                <w:sz w:val="30"/>
                              </w:rPr>
                            </w:pPr>
                            <w:r>
                              <w:rPr>
                                <w:color w:val="231F20"/>
                                <w:sz w:val="30"/>
                              </w:rPr>
                              <w:t xml:space="preserve">17. Acts </w:t>
                            </w:r>
                            <w:r>
                              <w:rPr>
                                <w:color w:val="231F20"/>
                                <w:spacing w:val="-4"/>
                                <w:sz w:val="30"/>
                              </w:rPr>
                              <w:t>3:25</w:t>
                            </w:r>
                          </w:p>
                        </w:tc>
                        <w:tc>
                          <w:tcPr>
                            <w:tcW w:w="2194" w:type="dxa"/>
                          </w:tcPr>
                          <w:p w14:paraId="23040A3D">
                            <w:pPr>
                              <w:pStyle w:val="16"/>
                              <w:ind w:left="135"/>
                              <w:rPr>
                                <w:sz w:val="30"/>
                              </w:rPr>
                            </w:pPr>
                            <w:r>
                              <w:rPr>
                                <w:color w:val="231F20"/>
                                <w:sz w:val="30"/>
                              </w:rPr>
                              <w:t xml:space="preserve">Gen. </w:t>
                            </w:r>
                            <w:r>
                              <w:rPr>
                                <w:color w:val="231F20"/>
                                <w:spacing w:val="-2"/>
                                <w:sz w:val="30"/>
                              </w:rPr>
                              <w:t>22:18</w:t>
                            </w:r>
                          </w:p>
                        </w:tc>
                        <w:tc>
                          <w:tcPr>
                            <w:tcW w:w="3719" w:type="dxa"/>
                          </w:tcPr>
                          <w:p w14:paraId="3D76DF41">
                            <w:pPr>
                              <w:pStyle w:val="16"/>
                              <w:ind w:left="326"/>
                              <w:rPr>
                                <w:sz w:val="30"/>
                              </w:rPr>
                            </w:pPr>
                            <w:r>
                              <w:rPr>
                                <w:color w:val="231F20"/>
                                <w:sz w:val="30"/>
                              </w:rPr>
                              <w:t xml:space="preserve">The Seed of </w:t>
                            </w:r>
                            <w:r>
                              <w:rPr>
                                <w:color w:val="231F20"/>
                                <w:spacing w:val="-2"/>
                                <w:sz w:val="30"/>
                              </w:rPr>
                              <w:t>Abraham</w:t>
                            </w:r>
                          </w:p>
                        </w:tc>
                      </w:tr>
                      <w:tr w14:paraId="6A73B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4E7D4F97">
                            <w:pPr>
                              <w:pStyle w:val="16"/>
                              <w:rPr>
                                <w:sz w:val="30"/>
                              </w:rPr>
                            </w:pPr>
                            <w:r>
                              <w:rPr>
                                <w:color w:val="231F20"/>
                                <w:sz w:val="30"/>
                              </w:rPr>
                              <w:t xml:space="preserve">18. Acts </w:t>
                            </w:r>
                            <w:r>
                              <w:rPr>
                                <w:color w:val="231F20"/>
                                <w:spacing w:val="-4"/>
                                <w:sz w:val="30"/>
                              </w:rPr>
                              <w:t>4:11</w:t>
                            </w:r>
                          </w:p>
                        </w:tc>
                        <w:tc>
                          <w:tcPr>
                            <w:tcW w:w="2194" w:type="dxa"/>
                          </w:tcPr>
                          <w:p w14:paraId="450995AE">
                            <w:pPr>
                              <w:pStyle w:val="16"/>
                              <w:ind w:left="135"/>
                              <w:rPr>
                                <w:sz w:val="30"/>
                              </w:rPr>
                            </w:pPr>
                            <w:r>
                              <w:rPr>
                                <w:color w:val="231F20"/>
                                <w:sz w:val="30"/>
                              </w:rPr>
                              <w:t xml:space="preserve">Psalm </w:t>
                            </w:r>
                            <w:r>
                              <w:rPr>
                                <w:color w:val="231F20"/>
                                <w:spacing w:val="-2"/>
                                <w:sz w:val="30"/>
                              </w:rPr>
                              <w:t>118:22</w:t>
                            </w:r>
                          </w:p>
                        </w:tc>
                        <w:tc>
                          <w:tcPr>
                            <w:tcW w:w="3719" w:type="dxa"/>
                          </w:tcPr>
                          <w:p w14:paraId="5FB79099">
                            <w:pPr>
                              <w:pStyle w:val="16"/>
                              <w:ind w:left="326"/>
                              <w:rPr>
                                <w:sz w:val="30"/>
                              </w:rPr>
                            </w:pPr>
                            <w:r>
                              <w:rPr>
                                <w:color w:val="231F20"/>
                                <w:sz w:val="30"/>
                              </w:rPr>
                              <w:t xml:space="preserve">He is the </w:t>
                            </w:r>
                            <w:r>
                              <w:rPr>
                                <w:color w:val="231F20"/>
                                <w:spacing w:val="-2"/>
                                <w:sz w:val="30"/>
                              </w:rPr>
                              <w:t>Stone</w:t>
                            </w:r>
                          </w:p>
                        </w:tc>
                      </w:tr>
                      <w:tr w14:paraId="135AE2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1BF7627C">
                            <w:pPr>
                              <w:pStyle w:val="16"/>
                              <w:rPr>
                                <w:sz w:val="30"/>
                              </w:rPr>
                            </w:pPr>
                            <w:r>
                              <w:rPr>
                                <w:color w:val="231F20"/>
                                <w:sz w:val="30"/>
                              </w:rPr>
                              <w:t>19. Acts 4:23-</w:t>
                            </w:r>
                            <w:r>
                              <w:rPr>
                                <w:color w:val="231F20"/>
                                <w:spacing w:val="-5"/>
                                <w:sz w:val="30"/>
                              </w:rPr>
                              <w:t>31</w:t>
                            </w:r>
                          </w:p>
                        </w:tc>
                        <w:tc>
                          <w:tcPr>
                            <w:tcW w:w="2194" w:type="dxa"/>
                          </w:tcPr>
                          <w:p w14:paraId="3CCBBAC4">
                            <w:pPr>
                              <w:pStyle w:val="16"/>
                              <w:ind w:left="135"/>
                              <w:rPr>
                                <w:sz w:val="30"/>
                              </w:rPr>
                            </w:pPr>
                            <w:r>
                              <w:rPr>
                                <w:color w:val="231F20"/>
                                <w:sz w:val="30"/>
                              </w:rPr>
                              <w:t xml:space="preserve">Psalm </w:t>
                            </w:r>
                            <w:r>
                              <w:rPr>
                                <w:color w:val="231F20"/>
                                <w:spacing w:val="-4"/>
                                <w:sz w:val="30"/>
                              </w:rPr>
                              <w:t>2:1f</w:t>
                            </w:r>
                          </w:p>
                        </w:tc>
                        <w:tc>
                          <w:tcPr>
                            <w:tcW w:w="3719" w:type="dxa"/>
                          </w:tcPr>
                          <w:p w14:paraId="4744D36C">
                            <w:pPr>
                              <w:pStyle w:val="16"/>
                              <w:ind w:left="326"/>
                              <w:rPr>
                                <w:sz w:val="30"/>
                              </w:rPr>
                            </w:pPr>
                            <w:r>
                              <w:rPr>
                                <w:color w:val="231F20"/>
                                <w:sz w:val="30"/>
                              </w:rPr>
                              <w:t xml:space="preserve">Why did the nations </w:t>
                            </w:r>
                            <w:r>
                              <w:rPr>
                                <w:color w:val="231F20"/>
                                <w:spacing w:val="-4"/>
                                <w:sz w:val="30"/>
                              </w:rPr>
                              <w:t>rage</w:t>
                            </w:r>
                          </w:p>
                        </w:tc>
                      </w:tr>
                      <w:tr w14:paraId="793BA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9" w:hRule="atLeast"/>
                        </w:trPr>
                        <w:tc>
                          <w:tcPr>
                            <w:tcW w:w="2344" w:type="dxa"/>
                          </w:tcPr>
                          <w:p w14:paraId="4FDC189A">
                            <w:pPr>
                              <w:pStyle w:val="16"/>
                              <w:rPr>
                                <w:sz w:val="30"/>
                              </w:rPr>
                            </w:pPr>
                            <w:r>
                              <w:rPr>
                                <w:color w:val="231F20"/>
                                <w:sz w:val="30"/>
                              </w:rPr>
                              <w:t>20. Acts 7:47-</w:t>
                            </w:r>
                            <w:r>
                              <w:rPr>
                                <w:color w:val="231F20"/>
                                <w:spacing w:val="-5"/>
                                <w:sz w:val="30"/>
                              </w:rPr>
                              <w:t>50</w:t>
                            </w:r>
                          </w:p>
                        </w:tc>
                        <w:tc>
                          <w:tcPr>
                            <w:tcW w:w="2194" w:type="dxa"/>
                          </w:tcPr>
                          <w:p w14:paraId="0086CA00">
                            <w:pPr>
                              <w:pStyle w:val="16"/>
                              <w:ind w:left="135"/>
                              <w:rPr>
                                <w:sz w:val="30"/>
                              </w:rPr>
                            </w:pPr>
                            <w:r>
                              <w:rPr>
                                <w:color w:val="231F20"/>
                                <w:sz w:val="30"/>
                              </w:rPr>
                              <w:t xml:space="preserve">Isaiah </w:t>
                            </w:r>
                            <w:r>
                              <w:rPr>
                                <w:color w:val="231F20"/>
                                <w:spacing w:val="-4"/>
                                <w:sz w:val="30"/>
                              </w:rPr>
                              <w:t>66:1</w:t>
                            </w:r>
                          </w:p>
                        </w:tc>
                        <w:tc>
                          <w:tcPr>
                            <w:tcW w:w="3719" w:type="dxa"/>
                          </w:tcPr>
                          <w:p w14:paraId="3DAF53C2">
                            <w:pPr>
                              <w:pStyle w:val="16"/>
                              <w:ind w:left="326"/>
                              <w:rPr>
                                <w:sz w:val="30"/>
                              </w:rPr>
                            </w:pPr>
                            <w:r>
                              <w:rPr>
                                <w:color w:val="231F20"/>
                                <w:sz w:val="30"/>
                              </w:rPr>
                              <w:t xml:space="preserve">Heaven is my </w:t>
                            </w:r>
                            <w:r>
                              <w:rPr>
                                <w:color w:val="231F20"/>
                                <w:spacing w:val="-2"/>
                                <w:sz w:val="30"/>
                              </w:rPr>
                              <w:t>throne</w:t>
                            </w:r>
                          </w:p>
                        </w:tc>
                      </w:tr>
                      <w:tr w14:paraId="4D80F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9" w:hRule="atLeast"/>
                        </w:trPr>
                        <w:tc>
                          <w:tcPr>
                            <w:tcW w:w="2344" w:type="dxa"/>
                          </w:tcPr>
                          <w:p w14:paraId="16A59463">
                            <w:pPr>
                              <w:pStyle w:val="16"/>
                              <w:numPr>
                                <w:ilvl w:val="0"/>
                                <w:numId w:val="4"/>
                              </w:numPr>
                              <w:tabs>
                                <w:tab w:val="left" w:pos="500"/>
                              </w:tabs>
                              <w:spacing w:before="61" w:after="0" w:line="240" w:lineRule="auto"/>
                              <w:ind w:left="500" w:right="0" w:hanging="450"/>
                              <w:jc w:val="left"/>
                              <w:rPr>
                                <w:sz w:val="30"/>
                              </w:rPr>
                            </w:pPr>
                            <w:r>
                              <w:rPr>
                                <w:color w:val="231F20"/>
                                <w:sz w:val="30"/>
                              </w:rPr>
                              <w:t>Acts 13:16-</w:t>
                            </w:r>
                            <w:r>
                              <w:rPr>
                                <w:color w:val="231F20"/>
                                <w:spacing w:val="-5"/>
                                <w:sz w:val="30"/>
                              </w:rPr>
                              <w:t>41</w:t>
                            </w:r>
                          </w:p>
                          <w:p w14:paraId="695DF750">
                            <w:pPr>
                              <w:pStyle w:val="16"/>
                              <w:numPr>
                                <w:ilvl w:val="0"/>
                                <w:numId w:val="4"/>
                              </w:numPr>
                              <w:tabs>
                                <w:tab w:val="left" w:pos="500"/>
                              </w:tabs>
                              <w:spacing w:before="315" w:after="0" w:line="240" w:lineRule="auto"/>
                              <w:ind w:left="500" w:right="0" w:hanging="450"/>
                              <w:jc w:val="left"/>
                              <w:rPr>
                                <w:sz w:val="30"/>
                              </w:rPr>
                            </w:pPr>
                            <w:r>
                              <w:rPr>
                                <w:color w:val="231F20"/>
                                <w:sz w:val="30"/>
                              </w:rPr>
                              <w:t>Acts 13:44-</w:t>
                            </w:r>
                            <w:r>
                              <w:rPr>
                                <w:color w:val="231F20"/>
                                <w:spacing w:val="-5"/>
                                <w:sz w:val="30"/>
                              </w:rPr>
                              <w:t>48</w:t>
                            </w:r>
                          </w:p>
                        </w:tc>
                        <w:tc>
                          <w:tcPr>
                            <w:tcW w:w="2194" w:type="dxa"/>
                          </w:tcPr>
                          <w:p w14:paraId="70F8B4ED">
                            <w:pPr>
                              <w:pStyle w:val="16"/>
                              <w:spacing w:before="0" w:line="226" w:lineRule="exact"/>
                              <w:ind w:left="135"/>
                              <w:rPr>
                                <w:color w:val="231F20"/>
                                <w:sz w:val="30"/>
                              </w:rPr>
                            </w:pPr>
                          </w:p>
                          <w:p w14:paraId="4EEE3994">
                            <w:pPr>
                              <w:pStyle w:val="16"/>
                              <w:spacing w:before="0" w:line="226" w:lineRule="exact"/>
                              <w:ind w:left="135"/>
                              <w:rPr>
                                <w:sz w:val="30"/>
                              </w:rPr>
                            </w:pPr>
                            <w:r>
                              <w:rPr>
                                <w:color w:val="231F20"/>
                                <w:sz w:val="30"/>
                              </w:rPr>
                              <w:t xml:space="preserve">Psalm </w:t>
                            </w:r>
                            <w:r>
                              <w:rPr>
                                <w:color w:val="231F20"/>
                                <w:spacing w:val="-4"/>
                                <w:sz w:val="30"/>
                              </w:rPr>
                              <w:t>2:7,</w:t>
                            </w:r>
                          </w:p>
                          <w:p w14:paraId="3188DEAE">
                            <w:pPr>
                              <w:pStyle w:val="16"/>
                              <w:spacing w:before="15"/>
                              <w:ind w:left="135"/>
                              <w:rPr>
                                <w:sz w:val="30"/>
                              </w:rPr>
                            </w:pPr>
                            <w:r>
                              <w:rPr>
                                <w:color w:val="231F20"/>
                                <w:sz w:val="30"/>
                              </w:rPr>
                              <w:t xml:space="preserve">Hab. </w:t>
                            </w:r>
                            <w:r>
                              <w:rPr>
                                <w:color w:val="231F20"/>
                                <w:spacing w:val="-5"/>
                                <w:sz w:val="30"/>
                              </w:rPr>
                              <w:t>1:5</w:t>
                            </w:r>
                          </w:p>
                          <w:p w14:paraId="4A13DF8D">
                            <w:pPr>
                              <w:pStyle w:val="16"/>
                              <w:spacing w:before="135"/>
                              <w:ind w:left="135"/>
                              <w:rPr>
                                <w:sz w:val="30"/>
                              </w:rPr>
                            </w:pPr>
                            <w:r>
                              <w:rPr>
                                <w:color w:val="231F20"/>
                                <w:sz w:val="30"/>
                              </w:rPr>
                              <w:t xml:space="preserve">Isaiah </w:t>
                            </w:r>
                            <w:r>
                              <w:rPr>
                                <w:color w:val="231F20"/>
                                <w:spacing w:val="-4"/>
                                <w:sz w:val="30"/>
                              </w:rPr>
                              <w:t>49:6</w:t>
                            </w:r>
                          </w:p>
                        </w:tc>
                        <w:tc>
                          <w:tcPr>
                            <w:tcW w:w="3719" w:type="dxa"/>
                          </w:tcPr>
                          <w:p w14:paraId="034246C5">
                            <w:pPr>
                              <w:pStyle w:val="16"/>
                              <w:ind w:left="326"/>
                              <w:rPr>
                                <w:sz w:val="30"/>
                              </w:rPr>
                            </w:pPr>
                            <w:r>
                              <w:rPr>
                                <w:color w:val="231F20"/>
                                <w:sz w:val="30"/>
                              </w:rPr>
                              <w:t xml:space="preserve">Behold, you </w:t>
                            </w:r>
                            <w:r>
                              <w:rPr>
                                <w:color w:val="231F20"/>
                                <w:spacing w:val="-2"/>
                                <w:sz w:val="30"/>
                              </w:rPr>
                              <w:t>scoffers</w:t>
                            </w:r>
                          </w:p>
                          <w:p w14:paraId="2C3266B1">
                            <w:pPr>
                              <w:pStyle w:val="16"/>
                              <w:spacing w:before="315"/>
                              <w:ind w:left="326"/>
                              <w:rPr>
                                <w:sz w:val="30"/>
                              </w:rPr>
                            </w:pPr>
                            <w:r>
                              <w:rPr>
                                <w:color w:val="231F20"/>
                                <w:sz w:val="30"/>
                              </w:rPr>
                              <w:t xml:space="preserve">I have placed you as a </w:t>
                            </w:r>
                            <w:r>
                              <w:rPr>
                                <w:color w:val="231F20"/>
                                <w:spacing w:val="-2"/>
                                <w:sz w:val="30"/>
                              </w:rPr>
                              <w:t>light</w:t>
                            </w:r>
                          </w:p>
                        </w:tc>
                      </w:tr>
                      <w:tr w14:paraId="0F19E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1CDC27FC">
                            <w:pPr>
                              <w:pStyle w:val="16"/>
                              <w:rPr>
                                <w:sz w:val="30"/>
                              </w:rPr>
                            </w:pPr>
                            <w:r>
                              <w:rPr>
                                <w:color w:val="231F20"/>
                                <w:sz w:val="30"/>
                              </w:rPr>
                              <w:t>23. Acts 15:12-</w:t>
                            </w:r>
                            <w:r>
                              <w:rPr>
                                <w:color w:val="231F20"/>
                                <w:spacing w:val="-5"/>
                                <w:sz w:val="30"/>
                              </w:rPr>
                              <w:t>21</w:t>
                            </w:r>
                          </w:p>
                        </w:tc>
                        <w:tc>
                          <w:tcPr>
                            <w:tcW w:w="2194" w:type="dxa"/>
                          </w:tcPr>
                          <w:p w14:paraId="31C24FEE">
                            <w:pPr>
                              <w:pStyle w:val="16"/>
                              <w:ind w:left="135"/>
                              <w:rPr>
                                <w:sz w:val="30"/>
                              </w:rPr>
                            </w:pPr>
                            <w:r>
                              <w:rPr>
                                <w:color w:val="231F20"/>
                                <w:sz w:val="30"/>
                              </w:rPr>
                              <w:t>Amos</w:t>
                            </w:r>
                            <w:r>
                              <w:rPr>
                                <w:color w:val="231F20"/>
                                <w:spacing w:val="-12"/>
                                <w:sz w:val="30"/>
                              </w:rPr>
                              <w:t xml:space="preserve"> </w:t>
                            </w:r>
                            <w:r>
                              <w:rPr>
                                <w:color w:val="231F20"/>
                                <w:sz w:val="30"/>
                              </w:rPr>
                              <w:t>9:11-</w:t>
                            </w:r>
                            <w:r>
                              <w:rPr>
                                <w:color w:val="231F20"/>
                                <w:spacing w:val="-5"/>
                                <w:sz w:val="30"/>
                              </w:rPr>
                              <w:t>12</w:t>
                            </w:r>
                          </w:p>
                        </w:tc>
                        <w:tc>
                          <w:tcPr>
                            <w:tcW w:w="3719" w:type="dxa"/>
                          </w:tcPr>
                          <w:p w14:paraId="0EDB8D61">
                            <w:pPr>
                              <w:pStyle w:val="16"/>
                              <w:ind w:left="326"/>
                              <w:rPr>
                                <w:sz w:val="30"/>
                              </w:rPr>
                            </w:pPr>
                            <w:r>
                              <w:rPr>
                                <w:color w:val="231F20"/>
                                <w:sz w:val="30"/>
                              </w:rPr>
                              <w:t xml:space="preserve">The tabernacle of </w:t>
                            </w:r>
                            <w:r>
                              <w:rPr>
                                <w:color w:val="231F20"/>
                                <w:spacing w:val="-2"/>
                                <w:sz w:val="30"/>
                              </w:rPr>
                              <w:t>David</w:t>
                            </w:r>
                          </w:p>
                        </w:tc>
                      </w:tr>
                      <w:tr w14:paraId="4EC8F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67D4CC5B">
                            <w:pPr>
                              <w:pStyle w:val="16"/>
                              <w:rPr>
                                <w:sz w:val="30"/>
                              </w:rPr>
                            </w:pPr>
                            <w:r>
                              <w:rPr>
                                <w:color w:val="231F20"/>
                                <w:sz w:val="30"/>
                              </w:rPr>
                              <w:t>24. Acts 28:25-</w:t>
                            </w:r>
                            <w:r>
                              <w:rPr>
                                <w:color w:val="231F20"/>
                                <w:spacing w:val="-5"/>
                                <w:sz w:val="30"/>
                              </w:rPr>
                              <w:t>28</w:t>
                            </w:r>
                          </w:p>
                        </w:tc>
                        <w:tc>
                          <w:tcPr>
                            <w:tcW w:w="2194" w:type="dxa"/>
                          </w:tcPr>
                          <w:p w14:paraId="04AC04C2">
                            <w:pPr>
                              <w:pStyle w:val="16"/>
                              <w:ind w:left="135"/>
                              <w:rPr>
                                <w:sz w:val="30"/>
                              </w:rPr>
                            </w:pPr>
                            <w:r>
                              <w:rPr>
                                <w:color w:val="231F20"/>
                                <w:sz w:val="30"/>
                              </w:rPr>
                              <w:t xml:space="preserve">Isaiah </w:t>
                            </w:r>
                            <w:r>
                              <w:rPr>
                                <w:color w:val="231F20"/>
                                <w:spacing w:val="-4"/>
                                <w:sz w:val="30"/>
                              </w:rPr>
                              <w:t>6:1f</w:t>
                            </w:r>
                          </w:p>
                        </w:tc>
                        <w:tc>
                          <w:tcPr>
                            <w:tcW w:w="3719" w:type="dxa"/>
                          </w:tcPr>
                          <w:p w14:paraId="4C5DE095">
                            <w:pPr>
                              <w:pStyle w:val="16"/>
                              <w:ind w:left="326"/>
                              <w:rPr>
                                <w:sz w:val="30"/>
                              </w:rPr>
                            </w:pPr>
                            <w:r>
                              <w:rPr>
                                <w:color w:val="231F20"/>
                                <w:sz w:val="30"/>
                              </w:rPr>
                              <w:t xml:space="preserve">Go to this people and </w:t>
                            </w:r>
                            <w:r>
                              <w:rPr>
                                <w:color w:val="231F20"/>
                                <w:spacing w:val="-5"/>
                                <w:sz w:val="30"/>
                              </w:rPr>
                              <w:t>say</w:t>
                            </w:r>
                          </w:p>
                        </w:tc>
                      </w:tr>
                      <w:tr w14:paraId="0D437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344" w:type="dxa"/>
                          </w:tcPr>
                          <w:p w14:paraId="394F62A6">
                            <w:pPr>
                              <w:pStyle w:val="16"/>
                              <w:rPr>
                                <w:sz w:val="30"/>
                              </w:rPr>
                            </w:pPr>
                            <w:r>
                              <w:rPr>
                                <w:color w:val="231F20"/>
                                <w:sz w:val="30"/>
                              </w:rPr>
                              <w:t xml:space="preserve">25. Rom. </w:t>
                            </w:r>
                            <w:r>
                              <w:rPr>
                                <w:color w:val="231F20"/>
                                <w:spacing w:val="-4"/>
                                <w:sz w:val="30"/>
                              </w:rPr>
                              <w:t>1:17</w:t>
                            </w:r>
                          </w:p>
                        </w:tc>
                        <w:tc>
                          <w:tcPr>
                            <w:tcW w:w="2194" w:type="dxa"/>
                          </w:tcPr>
                          <w:p w14:paraId="4DDAE491">
                            <w:pPr>
                              <w:pStyle w:val="16"/>
                              <w:ind w:left="135"/>
                              <w:rPr>
                                <w:sz w:val="30"/>
                              </w:rPr>
                            </w:pPr>
                            <w:r>
                              <w:rPr>
                                <w:color w:val="231F20"/>
                                <w:sz w:val="30"/>
                              </w:rPr>
                              <w:t xml:space="preserve">Hab. </w:t>
                            </w:r>
                            <w:r>
                              <w:rPr>
                                <w:color w:val="231F20"/>
                                <w:spacing w:val="-5"/>
                                <w:sz w:val="30"/>
                              </w:rPr>
                              <w:t>2:4</w:t>
                            </w:r>
                          </w:p>
                        </w:tc>
                        <w:tc>
                          <w:tcPr>
                            <w:tcW w:w="3719" w:type="dxa"/>
                          </w:tcPr>
                          <w:p w14:paraId="123A6B05">
                            <w:pPr>
                              <w:pStyle w:val="16"/>
                              <w:ind w:left="326"/>
                              <w:rPr>
                                <w:sz w:val="30"/>
                              </w:rPr>
                            </w:pPr>
                            <w:r>
                              <w:rPr>
                                <w:color w:val="231F20"/>
                                <w:sz w:val="30"/>
                              </w:rPr>
                              <w:t xml:space="preserve">Righteous by </w:t>
                            </w:r>
                            <w:r>
                              <w:rPr>
                                <w:color w:val="231F20"/>
                                <w:spacing w:val="-2"/>
                                <w:sz w:val="30"/>
                              </w:rPr>
                              <w:t>faith</w:t>
                            </w:r>
                          </w:p>
                        </w:tc>
                      </w:tr>
                      <w:tr w14:paraId="53896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2344" w:type="dxa"/>
                          </w:tcPr>
                          <w:p w14:paraId="4FBAB1AC">
                            <w:pPr>
                              <w:pStyle w:val="16"/>
                              <w:spacing w:line="325" w:lineRule="exact"/>
                              <w:rPr>
                                <w:sz w:val="30"/>
                              </w:rPr>
                            </w:pPr>
                            <w:r>
                              <w:rPr>
                                <w:color w:val="231F20"/>
                                <w:sz w:val="30"/>
                              </w:rPr>
                              <w:t>26. Rom. 4:7-</w:t>
                            </w:r>
                            <w:r>
                              <w:rPr>
                                <w:color w:val="231F20"/>
                                <w:spacing w:val="-10"/>
                                <w:sz w:val="30"/>
                              </w:rPr>
                              <w:t>8</w:t>
                            </w:r>
                          </w:p>
                        </w:tc>
                        <w:tc>
                          <w:tcPr>
                            <w:tcW w:w="2194" w:type="dxa"/>
                          </w:tcPr>
                          <w:p w14:paraId="2CB5BCE6">
                            <w:pPr>
                              <w:pStyle w:val="16"/>
                              <w:spacing w:line="325" w:lineRule="exact"/>
                              <w:ind w:left="135"/>
                              <w:rPr>
                                <w:sz w:val="30"/>
                              </w:rPr>
                            </w:pPr>
                            <w:r>
                              <w:rPr>
                                <w:color w:val="231F20"/>
                                <w:sz w:val="30"/>
                              </w:rPr>
                              <w:t>Psalm 32:1-</w:t>
                            </w:r>
                            <w:r>
                              <w:rPr>
                                <w:color w:val="231F20"/>
                                <w:spacing w:val="-10"/>
                                <w:sz w:val="30"/>
                              </w:rPr>
                              <w:t>2</w:t>
                            </w:r>
                          </w:p>
                        </w:tc>
                        <w:tc>
                          <w:tcPr>
                            <w:tcW w:w="3719" w:type="dxa"/>
                          </w:tcPr>
                          <w:p w14:paraId="16176DB4">
                            <w:pPr>
                              <w:pStyle w:val="16"/>
                              <w:spacing w:line="325" w:lineRule="exact"/>
                              <w:ind w:left="326"/>
                              <w:rPr>
                                <w:sz w:val="30"/>
                              </w:rPr>
                            </w:pPr>
                            <w:r>
                              <w:rPr>
                                <w:color w:val="231F20"/>
                                <w:sz w:val="30"/>
                              </w:rPr>
                              <w:t xml:space="preserve">Blessed are the </w:t>
                            </w:r>
                            <w:r>
                              <w:rPr>
                                <w:color w:val="231F20"/>
                                <w:spacing w:val="-2"/>
                                <w:sz w:val="30"/>
                              </w:rPr>
                              <w:t>forgiven</w:t>
                            </w:r>
                          </w:p>
                        </w:tc>
                      </w:tr>
                    </w:tbl>
                    <w:p w14:paraId="3B5A9EB7">
                      <w:pPr>
                        <w:pStyle w:val="9"/>
                        <w:spacing w:before="0"/>
                        <w:ind w:left="0"/>
                        <w:jc w:val="left"/>
                      </w:pPr>
                    </w:p>
                  </w:txbxContent>
                </v:textbox>
              </v:shape>
            </w:pict>
          </mc:Fallback>
        </mc:AlternateContent>
      </w:r>
      <w:r>
        <w:rPr>
          <w:color w:val="231F20"/>
        </w:rPr>
        <w:t xml:space="preserve">Zech. </w:t>
      </w:r>
      <w:r>
        <w:rPr>
          <w:color w:val="231F20"/>
          <w:spacing w:val="-5"/>
        </w:rPr>
        <w:t>2:6</w:t>
      </w:r>
    </w:p>
    <w:p w14:paraId="4AC7A59C">
      <w:pPr>
        <w:pStyle w:val="9"/>
        <w:spacing w:before="315" w:line="583" w:lineRule="auto"/>
        <w:ind w:left="114" w:right="1225"/>
        <w:jc w:val="left"/>
      </w:pPr>
      <w:r>
        <w:br w:type="column"/>
      </w:r>
      <w:r>
        <w:rPr>
          <w:color w:val="231F20"/>
        </w:rPr>
        <w:t>The</w:t>
      </w:r>
      <w:r>
        <w:rPr>
          <w:color w:val="231F20"/>
          <w:spacing w:val="-10"/>
        </w:rPr>
        <w:t xml:space="preserve"> </w:t>
      </w:r>
      <w:r>
        <w:rPr>
          <w:color w:val="231F20"/>
        </w:rPr>
        <w:t>sound</w:t>
      </w:r>
      <w:r>
        <w:rPr>
          <w:color w:val="231F20"/>
          <w:spacing w:val="-10"/>
        </w:rPr>
        <w:t xml:space="preserve"> </w:t>
      </w:r>
      <w:r>
        <w:rPr>
          <w:color w:val="231F20"/>
        </w:rPr>
        <w:t>of</w:t>
      </w:r>
      <w:r>
        <w:rPr>
          <w:color w:val="231F20"/>
          <w:spacing w:val="-10"/>
        </w:rPr>
        <w:t xml:space="preserve"> </w:t>
      </w:r>
      <w:r>
        <w:rPr>
          <w:color w:val="231F20"/>
        </w:rPr>
        <w:t>a</w:t>
      </w:r>
      <w:r>
        <w:rPr>
          <w:color w:val="231F20"/>
          <w:spacing w:val="-10"/>
        </w:rPr>
        <w:t xml:space="preserve"> </w:t>
      </w:r>
      <w:r>
        <w:rPr>
          <w:color w:val="231F20"/>
        </w:rPr>
        <w:t>trumpet The four winds</w:t>
      </w:r>
    </w:p>
    <w:p w14:paraId="23FEC172">
      <w:pPr>
        <w:pStyle w:val="9"/>
        <w:spacing w:after="0" w:line="583" w:lineRule="auto"/>
        <w:jc w:val="left"/>
      </w:pPr>
    </w:p>
    <w:p w14:paraId="5D24FE54">
      <w:pPr>
        <w:pStyle w:val="9"/>
        <w:spacing w:after="0" w:line="583" w:lineRule="auto"/>
        <w:jc w:val="left"/>
        <w:sectPr>
          <w:type w:val="continuous"/>
          <w:pgSz w:w="12240" w:h="15840"/>
          <w:pgMar w:top="1820" w:right="1440" w:bottom="280" w:left="1440" w:header="720" w:footer="720" w:gutter="0"/>
          <w:cols w:equalWidth="0" w:num="2">
            <w:col w:w="4135" w:space="680"/>
            <w:col w:w="4545"/>
          </w:cols>
        </w:sectPr>
      </w:pPr>
    </w:p>
    <w:tbl>
      <w:tblPr>
        <w:tblStyle w:val="12"/>
        <w:tblW w:w="0" w:type="auto"/>
        <w:tblInd w:w="7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6"/>
        <w:gridCol w:w="2302"/>
        <w:gridCol w:w="3932"/>
      </w:tblGrid>
      <w:tr w14:paraId="61909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2436" w:type="dxa"/>
          </w:tcPr>
          <w:p w14:paraId="10FAAF1C">
            <w:pPr>
              <w:pStyle w:val="16"/>
              <w:spacing w:before="0" w:line="332" w:lineRule="exact"/>
              <w:ind w:left="703"/>
              <w:rPr>
                <w:b/>
                <w:sz w:val="30"/>
              </w:rPr>
            </w:pPr>
            <w:r>
              <w:rPr>
                <w:b/>
                <w:color w:val="231F20"/>
                <w:sz w:val="30"/>
              </w:rPr>
              <w:t>NT</w:t>
            </w:r>
            <w:r>
              <w:rPr>
                <w:b/>
                <w:color w:val="231F20"/>
                <w:spacing w:val="-2"/>
                <w:sz w:val="30"/>
              </w:rPr>
              <w:t xml:space="preserve"> </w:t>
            </w:r>
            <w:r>
              <w:rPr>
                <w:b/>
                <w:color w:val="231F20"/>
                <w:spacing w:val="-4"/>
                <w:sz w:val="30"/>
              </w:rPr>
              <w:t>Text</w:t>
            </w:r>
          </w:p>
        </w:tc>
        <w:tc>
          <w:tcPr>
            <w:tcW w:w="2302" w:type="dxa"/>
          </w:tcPr>
          <w:p w14:paraId="507D34A9">
            <w:pPr>
              <w:pStyle w:val="16"/>
              <w:spacing w:before="0" w:line="332" w:lineRule="exact"/>
              <w:ind w:left="43"/>
              <w:rPr>
                <w:b/>
                <w:sz w:val="30"/>
              </w:rPr>
            </w:pPr>
            <w:r>
              <w:rPr>
                <w:b/>
                <w:color w:val="231F20"/>
                <w:sz w:val="30"/>
              </w:rPr>
              <w:t>OT</w:t>
            </w:r>
            <w:r>
              <w:rPr>
                <w:b/>
                <w:color w:val="231F20"/>
                <w:spacing w:val="-2"/>
                <w:sz w:val="30"/>
              </w:rPr>
              <w:t xml:space="preserve"> </w:t>
            </w:r>
            <w:r>
              <w:rPr>
                <w:b/>
                <w:color w:val="231F20"/>
                <w:spacing w:val="-4"/>
                <w:sz w:val="30"/>
              </w:rPr>
              <w:t>Text</w:t>
            </w:r>
          </w:p>
        </w:tc>
        <w:tc>
          <w:tcPr>
            <w:tcW w:w="3932" w:type="dxa"/>
          </w:tcPr>
          <w:p w14:paraId="509FDC38">
            <w:pPr>
              <w:pStyle w:val="16"/>
              <w:spacing w:before="0" w:line="332" w:lineRule="exact"/>
              <w:ind w:left="126"/>
              <w:rPr>
                <w:b/>
                <w:sz w:val="30"/>
              </w:rPr>
            </w:pPr>
            <w:r>
              <w:rPr>
                <w:b/>
                <w:color w:val="231F20"/>
                <w:sz w:val="30"/>
              </w:rPr>
              <w:t>Gist</w:t>
            </w:r>
            <w:r>
              <w:rPr>
                <w:b/>
                <w:color w:val="231F20"/>
                <w:spacing w:val="-2"/>
                <w:sz w:val="30"/>
              </w:rPr>
              <w:t xml:space="preserve"> </w:t>
            </w:r>
            <w:r>
              <w:rPr>
                <w:b/>
                <w:color w:val="231F20"/>
                <w:sz w:val="30"/>
              </w:rPr>
              <w:t xml:space="preserve">of </w:t>
            </w:r>
            <w:r>
              <w:rPr>
                <w:b/>
                <w:color w:val="231F20"/>
                <w:spacing w:val="-4"/>
                <w:sz w:val="30"/>
              </w:rPr>
              <w:t>Text</w:t>
            </w:r>
          </w:p>
        </w:tc>
      </w:tr>
      <w:tr w14:paraId="1032F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36" w:type="dxa"/>
          </w:tcPr>
          <w:p w14:paraId="15A5FB98">
            <w:pPr>
              <w:pStyle w:val="16"/>
              <w:rPr>
                <w:sz w:val="30"/>
              </w:rPr>
            </w:pPr>
            <w:r>
              <w:rPr>
                <w:color w:val="231F20"/>
                <w:sz w:val="30"/>
              </w:rPr>
              <w:t>27. Rom. 9:23-</w:t>
            </w:r>
            <w:r>
              <w:rPr>
                <w:color w:val="231F20"/>
                <w:spacing w:val="-5"/>
                <w:sz w:val="30"/>
              </w:rPr>
              <w:t>26</w:t>
            </w:r>
          </w:p>
        </w:tc>
        <w:tc>
          <w:tcPr>
            <w:tcW w:w="2302" w:type="dxa"/>
          </w:tcPr>
          <w:p w14:paraId="7548B949">
            <w:pPr>
              <w:pStyle w:val="16"/>
              <w:ind w:left="43"/>
              <w:rPr>
                <w:sz w:val="30"/>
              </w:rPr>
            </w:pPr>
            <w:r>
              <w:rPr>
                <w:color w:val="231F20"/>
                <w:sz w:val="30"/>
              </w:rPr>
              <w:t xml:space="preserve">Hosea 2:23, </w:t>
            </w:r>
            <w:r>
              <w:rPr>
                <w:color w:val="231F20"/>
                <w:spacing w:val="-4"/>
                <w:sz w:val="30"/>
              </w:rPr>
              <w:t>1:10</w:t>
            </w:r>
          </w:p>
        </w:tc>
        <w:tc>
          <w:tcPr>
            <w:tcW w:w="3932" w:type="dxa"/>
          </w:tcPr>
          <w:p w14:paraId="73CC4EB2">
            <w:pPr>
              <w:pStyle w:val="16"/>
              <w:ind w:left="126"/>
              <w:rPr>
                <w:sz w:val="30"/>
              </w:rPr>
            </w:pPr>
            <w:r>
              <w:rPr>
                <w:color w:val="231F20"/>
                <w:sz w:val="30"/>
              </w:rPr>
              <w:t xml:space="preserve">I will call My </w:t>
            </w:r>
            <w:r>
              <w:rPr>
                <w:color w:val="231F20"/>
                <w:spacing w:val="-2"/>
                <w:sz w:val="30"/>
              </w:rPr>
              <w:t>people</w:t>
            </w:r>
          </w:p>
        </w:tc>
      </w:tr>
      <w:tr w14:paraId="5A2A4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36" w:type="dxa"/>
          </w:tcPr>
          <w:p w14:paraId="1E3395EC">
            <w:pPr>
              <w:pStyle w:val="16"/>
              <w:rPr>
                <w:sz w:val="30"/>
              </w:rPr>
            </w:pPr>
            <w:r>
              <w:rPr>
                <w:color w:val="231F20"/>
                <w:sz w:val="30"/>
              </w:rPr>
              <w:t>28. Rom. 9:27-</w:t>
            </w:r>
            <w:r>
              <w:rPr>
                <w:color w:val="231F20"/>
                <w:spacing w:val="-10"/>
                <w:sz w:val="30"/>
              </w:rPr>
              <w:t>8</w:t>
            </w:r>
          </w:p>
        </w:tc>
        <w:tc>
          <w:tcPr>
            <w:tcW w:w="2302" w:type="dxa"/>
          </w:tcPr>
          <w:p w14:paraId="0E857C13">
            <w:pPr>
              <w:pStyle w:val="16"/>
              <w:ind w:left="43"/>
              <w:rPr>
                <w:sz w:val="30"/>
              </w:rPr>
            </w:pPr>
            <w:r>
              <w:rPr>
                <w:color w:val="231F20"/>
                <w:sz w:val="30"/>
              </w:rPr>
              <w:t xml:space="preserve">Isaiah </w:t>
            </w:r>
            <w:r>
              <w:rPr>
                <w:color w:val="231F20"/>
                <w:spacing w:val="-2"/>
                <w:sz w:val="30"/>
              </w:rPr>
              <w:t>10:22</w:t>
            </w:r>
          </w:p>
        </w:tc>
        <w:tc>
          <w:tcPr>
            <w:tcW w:w="3932" w:type="dxa"/>
          </w:tcPr>
          <w:p w14:paraId="3A88B3AD">
            <w:pPr>
              <w:pStyle w:val="16"/>
              <w:ind w:left="126"/>
              <w:rPr>
                <w:sz w:val="30"/>
              </w:rPr>
            </w:pPr>
            <w:r>
              <w:rPr>
                <w:color w:val="231F20"/>
                <w:sz w:val="30"/>
              </w:rPr>
              <w:t xml:space="preserve">The remnant will be </w:t>
            </w:r>
            <w:r>
              <w:rPr>
                <w:color w:val="231F20"/>
                <w:spacing w:val="-2"/>
                <w:sz w:val="30"/>
              </w:rPr>
              <w:t>saved</w:t>
            </w:r>
          </w:p>
        </w:tc>
      </w:tr>
      <w:tr w14:paraId="5D2FC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36" w:type="dxa"/>
          </w:tcPr>
          <w:p w14:paraId="70CB14CE">
            <w:pPr>
              <w:pStyle w:val="16"/>
              <w:rPr>
                <w:sz w:val="30"/>
              </w:rPr>
            </w:pPr>
            <w:r>
              <w:rPr>
                <w:color w:val="231F20"/>
                <w:sz w:val="30"/>
              </w:rPr>
              <w:t xml:space="preserve">29. Rom. </w:t>
            </w:r>
            <w:r>
              <w:rPr>
                <w:color w:val="231F20"/>
                <w:spacing w:val="-4"/>
                <w:sz w:val="30"/>
              </w:rPr>
              <w:t>9:29</w:t>
            </w:r>
          </w:p>
        </w:tc>
        <w:tc>
          <w:tcPr>
            <w:tcW w:w="2302" w:type="dxa"/>
          </w:tcPr>
          <w:p w14:paraId="0C82F961">
            <w:pPr>
              <w:pStyle w:val="16"/>
              <w:ind w:left="43"/>
              <w:rPr>
                <w:sz w:val="30"/>
              </w:rPr>
            </w:pPr>
            <w:r>
              <w:rPr>
                <w:color w:val="231F20"/>
                <w:sz w:val="30"/>
              </w:rPr>
              <w:t xml:space="preserve">Isaiah </w:t>
            </w:r>
            <w:r>
              <w:rPr>
                <w:color w:val="231F20"/>
                <w:spacing w:val="-5"/>
                <w:sz w:val="30"/>
              </w:rPr>
              <w:t>1:9</w:t>
            </w:r>
          </w:p>
        </w:tc>
        <w:tc>
          <w:tcPr>
            <w:tcW w:w="3932" w:type="dxa"/>
          </w:tcPr>
          <w:p w14:paraId="3830CB8D">
            <w:pPr>
              <w:pStyle w:val="16"/>
              <w:ind w:left="126"/>
              <w:rPr>
                <w:sz w:val="30"/>
              </w:rPr>
            </w:pPr>
            <w:r>
              <w:rPr>
                <w:color w:val="231F20"/>
                <w:sz w:val="30"/>
              </w:rPr>
              <w:t>We</w:t>
            </w:r>
            <w:r>
              <w:rPr>
                <w:color w:val="231F20"/>
                <w:spacing w:val="-7"/>
                <w:sz w:val="30"/>
              </w:rPr>
              <w:t xml:space="preserve"> </w:t>
            </w:r>
            <w:r>
              <w:rPr>
                <w:color w:val="231F20"/>
                <w:sz w:val="30"/>
              </w:rPr>
              <w:t>would</w:t>
            </w:r>
            <w:r>
              <w:rPr>
                <w:color w:val="231F20"/>
                <w:spacing w:val="-6"/>
                <w:sz w:val="30"/>
              </w:rPr>
              <w:t xml:space="preserve"> </w:t>
            </w:r>
            <w:r>
              <w:rPr>
                <w:color w:val="231F20"/>
                <w:sz w:val="30"/>
              </w:rPr>
              <w:t>be</w:t>
            </w:r>
            <w:r>
              <w:rPr>
                <w:color w:val="231F20"/>
                <w:spacing w:val="-6"/>
                <w:sz w:val="30"/>
              </w:rPr>
              <w:t xml:space="preserve"> </w:t>
            </w:r>
            <w:r>
              <w:rPr>
                <w:color w:val="231F20"/>
                <w:sz w:val="30"/>
              </w:rPr>
              <w:t>like</w:t>
            </w:r>
            <w:r>
              <w:rPr>
                <w:color w:val="231F20"/>
                <w:spacing w:val="-6"/>
                <w:sz w:val="30"/>
              </w:rPr>
              <w:t xml:space="preserve"> </w:t>
            </w:r>
            <w:r>
              <w:rPr>
                <w:color w:val="231F20"/>
                <w:spacing w:val="-2"/>
                <w:sz w:val="30"/>
              </w:rPr>
              <w:t>Sodom</w:t>
            </w:r>
          </w:p>
        </w:tc>
      </w:tr>
      <w:tr w14:paraId="759CC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36" w:type="dxa"/>
          </w:tcPr>
          <w:p w14:paraId="3311E8D2">
            <w:pPr>
              <w:pStyle w:val="16"/>
              <w:rPr>
                <w:sz w:val="30"/>
              </w:rPr>
            </w:pPr>
            <w:r>
              <w:rPr>
                <w:color w:val="231F20"/>
                <w:sz w:val="30"/>
              </w:rPr>
              <w:t>30. Rom. 9:32-</w:t>
            </w:r>
            <w:r>
              <w:rPr>
                <w:color w:val="231F20"/>
                <w:spacing w:val="-10"/>
                <w:sz w:val="30"/>
              </w:rPr>
              <w:t>3</w:t>
            </w:r>
          </w:p>
        </w:tc>
        <w:tc>
          <w:tcPr>
            <w:tcW w:w="2302" w:type="dxa"/>
          </w:tcPr>
          <w:p w14:paraId="1E926739">
            <w:pPr>
              <w:pStyle w:val="16"/>
              <w:ind w:left="43"/>
              <w:rPr>
                <w:sz w:val="30"/>
              </w:rPr>
            </w:pPr>
            <w:r>
              <w:rPr>
                <w:color w:val="231F20"/>
                <w:sz w:val="30"/>
              </w:rPr>
              <w:t xml:space="preserve">Isaiah </w:t>
            </w:r>
            <w:r>
              <w:rPr>
                <w:color w:val="231F20"/>
                <w:spacing w:val="-2"/>
                <w:sz w:val="30"/>
              </w:rPr>
              <w:t>28:16</w:t>
            </w:r>
          </w:p>
        </w:tc>
        <w:tc>
          <w:tcPr>
            <w:tcW w:w="3932" w:type="dxa"/>
          </w:tcPr>
          <w:p w14:paraId="72673A56">
            <w:pPr>
              <w:pStyle w:val="16"/>
              <w:ind w:left="126"/>
              <w:rPr>
                <w:sz w:val="30"/>
              </w:rPr>
            </w:pPr>
            <w:r>
              <w:rPr>
                <w:color w:val="231F20"/>
                <w:sz w:val="30"/>
              </w:rPr>
              <w:t xml:space="preserve">I lay in </w:t>
            </w:r>
            <w:r>
              <w:rPr>
                <w:color w:val="231F20"/>
                <w:spacing w:val="-4"/>
                <w:sz w:val="30"/>
              </w:rPr>
              <w:t>Zion</w:t>
            </w:r>
          </w:p>
        </w:tc>
      </w:tr>
      <w:tr w14:paraId="19051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36" w:type="dxa"/>
          </w:tcPr>
          <w:p w14:paraId="0264B410">
            <w:pPr>
              <w:pStyle w:val="16"/>
              <w:rPr>
                <w:sz w:val="30"/>
              </w:rPr>
            </w:pPr>
            <w:r>
              <w:rPr>
                <w:color w:val="231F20"/>
                <w:sz w:val="30"/>
              </w:rPr>
              <w:t xml:space="preserve">31. Rom. </w:t>
            </w:r>
            <w:r>
              <w:rPr>
                <w:color w:val="231F20"/>
                <w:spacing w:val="-4"/>
                <w:sz w:val="30"/>
              </w:rPr>
              <w:t>10:11</w:t>
            </w:r>
          </w:p>
        </w:tc>
        <w:tc>
          <w:tcPr>
            <w:tcW w:w="2302" w:type="dxa"/>
          </w:tcPr>
          <w:p w14:paraId="6EE385A7">
            <w:pPr>
              <w:pStyle w:val="16"/>
              <w:ind w:left="43"/>
              <w:rPr>
                <w:sz w:val="30"/>
              </w:rPr>
            </w:pPr>
            <w:r>
              <w:rPr>
                <w:color w:val="231F20"/>
                <w:sz w:val="30"/>
              </w:rPr>
              <w:t xml:space="preserve">Isaiah </w:t>
            </w:r>
            <w:r>
              <w:rPr>
                <w:color w:val="231F20"/>
                <w:spacing w:val="-2"/>
                <w:sz w:val="30"/>
              </w:rPr>
              <w:t>28:16</w:t>
            </w:r>
          </w:p>
        </w:tc>
        <w:tc>
          <w:tcPr>
            <w:tcW w:w="3932" w:type="dxa"/>
          </w:tcPr>
          <w:p w14:paraId="5ACC5DB5">
            <w:pPr>
              <w:pStyle w:val="16"/>
              <w:ind w:left="126"/>
              <w:rPr>
                <w:sz w:val="30"/>
              </w:rPr>
            </w:pPr>
            <w:r>
              <w:rPr>
                <w:color w:val="231F20"/>
                <w:sz w:val="30"/>
              </w:rPr>
              <w:t xml:space="preserve">Never put </w:t>
            </w:r>
            <w:r>
              <w:rPr>
                <w:color w:val="231F20"/>
                <w:spacing w:val="-2"/>
                <w:sz w:val="30"/>
              </w:rPr>
              <w:t>shame</w:t>
            </w:r>
          </w:p>
        </w:tc>
      </w:tr>
      <w:tr w14:paraId="7B2B8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36" w:type="dxa"/>
          </w:tcPr>
          <w:p w14:paraId="7E010ACC">
            <w:pPr>
              <w:pStyle w:val="16"/>
              <w:rPr>
                <w:sz w:val="30"/>
              </w:rPr>
            </w:pPr>
            <w:r>
              <w:rPr>
                <w:color w:val="231F20"/>
                <w:sz w:val="30"/>
              </w:rPr>
              <w:t xml:space="preserve">32. Rom. </w:t>
            </w:r>
            <w:r>
              <w:rPr>
                <w:color w:val="231F20"/>
                <w:spacing w:val="-2"/>
                <w:sz w:val="30"/>
              </w:rPr>
              <w:t>10:13</w:t>
            </w:r>
          </w:p>
        </w:tc>
        <w:tc>
          <w:tcPr>
            <w:tcW w:w="2302" w:type="dxa"/>
          </w:tcPr>
          <w:p w14:paraId="63359B88">
            <w:pPr>
              <w:pStyle w:val="16"/>
              <w:ind w:left="43"/>
              <w:rPr>
                <w:sz w:val="30"/>
              </w:rPr>
            </w:pPr>
            <w:r>
              <w:rPr>
                <w:color w:val="231F20"/>
                <w:sz w:val="30"/>
              </w:rPr>
              <w:t xml:space="preserve">Joel </w:t>
            </w:r>
            <w:r>
              <w:rPr>
                <w:color w:val="231F20"/>
                <w:spacing w:val="-4"/>
                <w:sz w:val="30"/>
              </w:rPr>
              <w:t>2:32</w:t>
            </w:r>
          </w:p>
        </w:tc>
        <w:tc>
          <w:tcPr>
            <w:tcW w:w="3932" w:type="dxa"/>
          </w:tcPr>
          <w:p w14:paraId="0BB3D47B">
            <w:pPr>
              <w:pStyle w:val="16"/>
              <w:ind w:left="126"/>
              <w:rPr>
                <w:sz w:val="30"/>
              </w:rPr>
            </w:pPr>
            <w:r>
              <w:rPr>
                <w:color w:val="231F20"/>
                <w:sz w:val="30"/>
              </w:rPr>
              <w:t xml:space="preserve">Whoever calls on </w:t>
            </w:r>
            <w:r>
              <w:rPr>
                <w:color w:val="231F20"/>
                <w:spacing w:val="-5"/>
                <w:sz w:val="30"/>
              </w:rPr>
              <w:t>Him</w:t>
            </w:r>
          </w:p>
        </w:tc>
      </w:tr>
      <w:tr w14:paraId="2E2B7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36" w:type="dxa"/>
          </w:tcPr>
          <w:p w14:paraId="51B556F5">
            <w:pPr>
              <w:pStyle w:val="16"/>
              <w:rPr>
                <w:sz w:val="30"/>
              </w:rPr>
            </w:pPr>
            <w:r>
              <w:rPr>
                <w:color w:val="231F20"/>
                <w:sz w:val="30"/>
              </w:rPr>
              <w:t xml:space="preserve">33. Rom. </w:t>
            </w:r>
            <w:r>
              <w:rPr>
                <w:color w:val="231F20"/>
                <w:spacing w:val="-2"/>
                <w:sz w:val="30"/>
              </w:rPr>
              <w:t>10:19</w:t>
            </w:r>
          </w:p>
        </w:tc>
        <w:tc>
          <w:tcPr>
            <w:tcW w:w="2302" w:type="dxa"/>
          </w:tcPr>
          <w:p w14:paraId="4E78F4AF">
            <w:pPr>
              <w:pStyle w:val="16"/>
              <w:ind w:left="43"/>
              <w:rPr>
                <w:sz w:val="30"/>
              </w:rPr>
            </w:pPr>
            <w:r>
              <w:rPr>
                <w:color w:val="231F20"/>
                <w:sz w:val="30"/>
              </w:rPr>
              <w:t xml:space="preserve">Deut. </w:t>
            </w:r>
            <w:r>
              <w:rPr>
                <w:color w:val="231F20"/>
                <w:spacing w:val="-4"/>
                <w:sz w:val="30"/>
              </w:rPr>
              <w:t>32:1</w:t>
            </w:r>
          </w:p>
        </w:tc>
        <w:tc>
          <w:tcPr>
            <w:tcW w:w="3932" w:type="dxa"/>
          </w:tcPr>
          <w:p w14:paraId="6B17DC2F">
            <w:pPr>
              <w:pStyle w:val="16"/>
              <w:ind w:left="126"/>
              <w:rPr>
                <w:sz w:val="30"/>
              </w:rPr>
            </w:pPr>
            <w:r>
              <w:rPr>
                <w:color w:val="231F20"/>
                <w:sz w:val="30"/>
              </w:rPr>
              <w:t xml:space="preserve">I will make you </w:t>
            </w:r>
            <w:r>
              <w:rPr>
                <w:color w:val="231F20"/>
                <w:spacing w:val="-2"/>
                <w:sz w:val="30"/>
              </w:rPr>
              <w:t>jealous</w:t>
            </w:r>
          </w:p>
        </w:tc>
      </w:tr>
      <w:tr w14:paraId="3CCC1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36" w:type="dxa"/>
          </w:tcPr>
          <w:p w14:paraId="1ECFF66B">
            <w:pPr>
              <w:pStyle w:val="16"/>
              <w:rPr>
                <w:sz w:val="30"/>
              </w:rPr>
            </w:pPr>
            <w:r>
              <w:rPr>
                <w:color w:val="231F20"/>
                <w:sz w:val="30"/>
              </w:rPr>
              <w:t>34. Rom. 10:20-</w:t>
            </w:r>
            <w:r>
              <w:rPr>
                <w:color w:val="231F20"/>
                <w:spacing w:val="-5"/>
                <w:sz w:val="30"/>
              </w:rPr>
              <w:t>21</w:t>
            </w:r>
          </w:p>
        </w:tc>
        <w:tc>
          <w:tcPr>
            <w:tcW w:w="2302" w:type="dxa"/>
          </w:tcPr>
          <w:p w14:paraId="4C3576C4">
            <w:pPr>
              <w:pStyle w:val="16"/>
              <w:ind w:left="43"/>
              <w:rPr>
                <w:sz w:val="30"/>
              </w:rPr>
            </w:pPr>
            <w:r>
              <w:rPr>
                <w:color w:val="231F20"/>
                <w:sz w:val="30"/>
              </w:rPr>
              <w:t>Isaiah 65:1-</w:t>
            </w:r>
            <w:r>
              <w:rPr>
                <w:color w:val="231F20"/>
                <w:spacing w:val="-10"/>
                <w:sz w:val="30"/>
              </w:rPr>
              <w:t>2</w:t>
            </w:r>
          </w:p>
        </w:tc>
        <w:tc>
          <w:tcPr>
            <w:tcW w:w="3932" w:type="dxa"/>
          </w:tcPr>
          <w:p w14:paraId="7E87FE09">
            <w:pPr>
              <w:pStyle w:val="16"/>
              <w:ind w:left="126"/>
              <w:rPr>
                <w:sz w:val="30"/>
              </w:rPr>
            </w:pPr>
            <w:r>
              <w:rPr>
                <w:color w:val="231F20"/>
                <w:sz w:val="30"/>
              </w:rPr>
              <w:t xml:space="preserve">I was found by </w:t>
            </w:r>
            <w:r>
              <w:rPr>
                <w:color w:val="231F20"/>
                <w:spacing w:val="-2"/>
                <w:sz w:val="30"/>
              </w:rPr>
              <w:t>those</w:t>
            </w:r>
          </w:p>
        </w:tc>
      </w:tr>
      <w:tr w14:paraId="1CF38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36" w:type="dxa"/>
          </w:tcPr>
          <w:p w14:paraId="5166AF88">
            <w:pPr>
              <w:pStyle w:val="16"/>
              <w:rPr>
                <w:sz w:val="30"/>
              </w:rPr>
            </w:pPr>
            <w:r>
              <w:rPr>
                <w:color w:val="231F20"/>
                <w:sz w:val="30"/>
              </w:rPr>
              <w:t>35.</w:t>
            </w:r>
            <w:r>
              <w:rPr>
                <w:color w:val="231F20"/>
                <w:spacing w:val="-2"/>
                <w:sz w:val="30"/>
              </w:rPr>
              <w:t xml:space="preserve"> </w:t>
            </w:r>
            <w:r>
              <w:rPr>
                <w:color w:val="231F20"/>
                <w:sz w:val="30"/>
              </w:rPr>
              <w:t xml:space="preserve">Rom. </w:t>
            </w:r>
            <w:r>
              <w:rPr>
                <w:color w:val="231F20"/>
                <w:spacing w:val="-4"/>
                <w:sz w:val="30"/>
              </w:rPr>
              <w:t>11:8</w:t>
            </w:r>
          </w:p>
        </w:tc>
        <w:tc>
          <w:tcPr>
            <w:tcW w:w="2302" w:type="dxa"/>
          </w:tcPr>
          <w:p w14:paraId="251CC896">
            <w:pPr>
              <w:pStyle w:val="16"/>
              <w:ind w:left="43"/>
              <w:rPr>
                <w:sz w:val="30"/>
              </w:rPr>
            </w:pPr>
            <w:r>
              <w:rPr>
                <w:color w:val="231F20"/>
                <w:sz w:val="30"/>
              </w:rPr>
              <w:t xml:space="preserve">Isaiah </w:t>
            </w:r>
            <w:r>
              <w:rPr>
                <w:color w:val="231F20"/>
                <w:spacing w:val="-2"/>
                <w:sz w:val="30"/>
              </w:rPr>
              <w:t>29:10f</w:t>
            </w:r>
          </w:p>
        </w:tc>
        <w:tc>
          <w:tcPr>
            <w:tcW w:w="3932" w:type="dxa"/>
          </w:tcPr>
          <w:p w14:paraId="5B89CE4D">
            <w:pPr>
              <w:pStyle w:val="16"/>
              <w:ind w:left="126"/>
              <w:rPr>
                <w:sz w:val="30"/>
              </w:rPr>
            </w:pPr>
            <w:r>
              <w:rPr>
                <w:color w:val="231F20"/>
                <w:sz w:val="30"/>
              </w:rPr>
              <w:t xml:space="preserve">A spirit of </w:t>
            </w:r>
            <w:r>
              <w:rPr>
                <w:color w:val="231F20"/>
                <w:spacing w:val="-2"/>
                <w:sz w:val="30"/>
              </w:rPr>
              <w:t>stupor</w:t>
            </w:r>
          </w:p>
        </w:tc>
      </w:tr>
      <w:tr w14:paraId="00C90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36" w:type="dxa"/>
          </w:tcPr>
          <w:p w14:paraId="4731D885">
            <w:pPr>
              <w:pStyle w:val="16"/>
              <w:rPr>
                <w:sz w:val="30"/>
              </w:rPr>
            </w:pPr>
            <w:r>
              <w:rPr>
                <w:color w:val="231F20"/>
                <w:sz w:val="30"/>
              </w:rPr>
              <w:t>36.</w:t>
            </w:r>
            <w:r>
              <w:rPr>
                <w:color w:val="231F20"/>
                <w:spacing w:val="-6"/>
                <w:sz w:val="30"/>
              </w:rPr>
              <w:t xml:space="preserve"> </w:t>
            </w:r>
            <w:r>
              <w:rPr>
                <w:color w:val="231F20"/>
                <w:sz w:val="30"/>
              </w:rPr>
              <w:t>Rom.</w:t>
            </w:r>
            <w:r>
              <w:rPr>
                <w:color w:val="231F20"/>
                <w:spacing w:val="-6"/>
                <w:sz w:val="30"/>
              </w:rPr>
              <w:t xml:space="preserve"> </w:t>
            </w:r>
            <w:r>
              <w:rPr>
                <w:color w:val="231F20"/>
                <w:sz w:val="30"/>
              </w:rPr>
              <w:t>11:25-</w:t>
            </w:r>
            <w:r>
              <w:rPr>
                <w:color w:val="231F20"/>
                <w:spacing w:val="-5"/>
                <w:sz w:val="30"/>
              </w:rPr>
              <w:t>26</w:t>
            </w:r>
          </w:p>
        </w:tc>
        <w:tc>
          <w:tcPr>
            <w:tcW w:w="2302" w:type="dxa"/>
          </w:tcPr>
          <w:p w14:paraId="59E303D2">
            <w:pPr>
              <w:pStyle w:val="16"/>
              <w:ind w:left="43"/>
              <w:rPr>
                <w:sz w:val="30"/>
              </w:rPr>
            </w:pPr>
            <w:r>
              <w:rPr>
                <w:color w:val="231F20"/>
                <w:sz w:val="30"/>
              </w:rPr>
              <w:t>Isaiah 59:20-</w:t>
            </w:r>
            <w:r>
              <w:rPr>
                <w:color w:val="231F20"/>
                <w:spacing w:val="-5"/>
                <w:sz w:val="30"/>
              </w:rPr>
              <w:t>21</w:t>
            </w:r>
          </w:p>
        </w:tc>
        <w:tc>
          <w:tcPr>
            <w:tcW w:w="3932" w:type="dxa"/>
          </w:tcPr>
          <w:p w14:paraId="0D63082D">
            <w:pPr>
              <w:pStyle w:val="16"/>
              <w:ind w:left="126"/>
              <w:rPr>
                <w:sz w:val="30"/>
              </w:rPr>
            </w:pPr>
            <w:r>
              <w:rPr>
                <w:color w:val="231F20"/>
                <w:sz w:val="30"/>
              </w:rPr>
              <w:t xml:space="preserve">The deliverer will </w:t>
            </w:r>
            <w:r>
              <w:rPr>
                <w:color w:val="231F20"/>
                <w:spacing w:val="-4"/>
                <w:sz w:val="30"/>
              </w:rPr>
              <w:t>come</w:t>
            </w:r>
          </w:p>
        </w:tc>
      </w:tr>
      <w:tr w14:paraId="28C1B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2436" w:type="dxa"/>
          </w:tcPr>
          <w:p w14:paraId="4FC99E8A">
            <w:pPr>
              <w:pStyle w:val="16"/>
              <w:spacing w:line="325" w:lineRule="exact"/>
              <w:rPr>
                <w:sz w:val="30"/>
              </w:rPr>
            </w:pPr>
            <w:r>
              <w:rPr>
                <w:color w:val="231F20"/>
                <w:sz w:val="30"/>
              </w:rPr>
              <w:t>37. Rom. 14:10-</w:t>
            </w:r>
            <w:r>
              <w:rPr>
                <w:color w:val="231F20"/>
                <w:spacing w:val="-5"/>
                <w:sz w:val="30"/>
              </w:rPr>
              <w:t>12</w:t>
            </w:r>
          </w:p>
        </w:tc>
        <w:tc>
          <w:tcPr>
            <w:tcW w:w="2302" w:type="dxa"/>
          </w:tcPr>
          <w:p w14:paraId="71DCE48F">
            <w:pPr>
              <w:pStyle w:val="16"/>
              <w:spacing w:line="325" w:lineRule="exact"/>
              <w:ind w:left="43"/>
              <w:rPr>
                <w:sz w:val="30"/>
              </w:rPr>
            </w:pPr>
            <w:r>
              <w:rPr>
                <w:color w:val="231F20"/>
                <w:sz w:val="30"/>
              </w:rPr>
              <w:t xml:space="preserve">Isaiah </w:t>
            </w:r>
            <w:r>
              <w:rPr>
                <w:color w:val="231F20"/>
                <w:spacing w:val="-2"/>
                <w:sz w:val="30"/>
              </w:rPr>
              <w:t>45:23</w:t>
            </w:r>
          </w:p>
        </w:tc>
        <w:tc>
          <w:tcPr>
            <w:tcW w:w="3932" w:type="dxa"/>
          </w:tcPr>
          <w:p w14:paraId="1857D3B7">
            <w:pPr>
              <w:pStyle w:val="16"/>
              <w:spacing w:line="325" w:lineRule="exact"/>
              <w:ind w:left="126"/>
              <w:rPr>
                <w:sz w:val="30"/>
              </w:rPr>
            </w:pPr>
            <w:r>
              <w:rPr>
                <w:color w:val="231F20"/>
                <w:sz w:val="30"/>
              </w:rPr>
              <w:t xml:space="preserve">Every knee shall </w:t>
            </w:r>
            <w:r>
              <w:rPr>
                <w:color w:val="231F20"/>
                <w:spacing w:val="-5"/>
                <w:sz w:val="30"/>
              </w:rPr>
              <w:t>bow</w:t>
            </w:r>
          </w:p>
        </w:tc>
      </w:tr>
      <w:tr w14:paraId="7AA1A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33" w:hRule="atLeast"/>
        </w:trPr>
        <w:tc>
          <w:tcPr>
            <w:tcW w:w="2436" w:type="dxa"/>
          </w:tcPr>
          <w:p w14:paraId="0707BF67">
            <w:pPr>
              <w:pStyle w:val="16"/>
              <w:spacing w:before="60"/>
              <w:ind w:left="0"/>
              <w:rPr>
                <w:sz w:val="30"/>
              </w:rPr>
            </w:pPr>
          </w:p>
          <w:p w14:paraId="4C4236E1">
            <w:pPr>
              <w:pStyle w:val="16"/>
              <w:spacing w:before="0"/>
              <w:rPr>
                <w:sz w:val="30"/>
              </w:rPr>
            </w:pPr>
            <w:r>
              <w:rPr>
                <w:color w:val="231F20"/>
                <w:sz w:val="30"/>
              </w:rPr>
              <w:t>38. Rom. 15:8-</w:t>
            </w:r>
            <w:r>
              <w:rPr>
                <w:color w:val="231F20"/>
                <w:spacing w:val="-5"/>
                <w:sz w:val="30"/>
              </w:rPr>
              <w:t>13</w:t>
            </w:r>
          </w:p>
        </w:tc>
        <w:tc>
          <w:tcPr>
            <w:tcW w:w="2302" w:type="dxa"/>
          </w:tcPr>
          <w:p w14:paraId="43E7E5C5">
            <w:pPr>
              <w:pStyle w:val="16"/>
              <w:spacing w:before="135"/>
              <w:ind w:left="43"/>
              <w:rPr>
                <w:sz w:val="30"/>
              </w:rPr>
            </w:pPr>
            <w:r>
              <w:rPr>
                <w:color w:val="231F20"/>
                <w:sz w:val="30"/>
              </w:rPr>
              <w:t xml:space="preserve">Deut. </w:t>
            </w:r>
            <w:r>
              <w:rPr>
                <w:color w:val="231F20"/>
                <w:spacing w:val="-2"/>
                <w:sz w:val="30"/>
              </w:rPr>
              <w:t>32:43</w:t>
            </w:r>
          </w:p>
          <w:p w14:paraId="4F4E9A8A">
            <w:pPr>
              <w:pStyle w:val="16"/>
              <w:spacing w:before="15"/>
              <w:ind w:left="43"/>
              <w:rPr>
                <w:sz w:val="30"/>
              </w:rPr>
            </w:pPr>
            <w:r>
              <w:rPr>
                <w:color w:val="231F20"/>
                <w:sz w:val="30"/>
              </w:rPr>
              <w:t xml:space="preserve">Psalms </w:t>
            </w:r>
            <w:r>
              <w:rPr>
                <w:color w:val="231F20"/>
                <w:spacing w:val="-2"/>
                <w:sz w:val="30"/>
              </w:rPr>
              <w:t>18:49,</w:t>
            </w:r>
          </w:p>
          <w:p w14:paraId="68F834D0">
            <w:pPr>
              <w:pStyle w:val="16"/>
              <w:spacing w:before="15"/>
              <w:ind w:left="43"/>
              <w:rPr>
                <w:sz w:val="30"/>
              </w:rPr>
            </w:pPr>
            <w:r>
              <w:rPr>
                <w:color w:val="231F20"/>
                <w:spacing w:val="-2"/>
                <w:sz w:val="30"/>
              </w:rPr>
              <w:t>117:1,</w:t>
            </w:r>
          </w:p>
          <w:p w14:paraId="3EE25265">
            <w:pPr>
              <w:pStyle w:val="16"/>
              <w:spacing w:before="15"/>
              <w:ind w:left="43"/>
              <w:rPr>
                <w:sz w:val="30"/>
              </w:rPr>
            </w:pPr>
            <w:r>
              <w:rPr>
                <w:color w:val="231F20"/>
                <w:sz w:val="30"/>
              </w:rPr>
              <w:t xml:space="preserve">Isaiah </w:t>
            </w:r>
            <w:r>
              <w:rPr>
                <w:color w:val="231F20"/>
                <w:spacing w:val="-2"/>
                <w:sz w:val="30"/>
              </w:rPr>
              <w:t>11:10</w:t>
            </w:r>
          </w:p>
        </w:tc>
        <w:tc>
          <w:tcPr>
            <w:tcW w:w="3932" w:type="dxa"/>
          </w:tcPr>
          <w:p w14:paraId="7B17A926">
            <w:pPr>
              <w:pStyle w:val="16"/>
              <w:spacing w:before="60"/>
              <w:ind w:left="0"/>
              <w:rPr>
                <w:sz w:val="30"/>
              </w:rPr>
            </w:pPr>
          </w:p>
          <w:p w14:paraId="5A391FF2">
            <w:pPr>
              <w:pStyle w:val="16"/>
              <w:spacing w:before="0"/>
              <w:ind w:left="126"/>
              <w:rPr>
                <w:sz w:val="30"/>
              </w:rPr>
            </w:pPr>
            <w:r>
              <w:rPr>
                <w:color w:val="231F20"/>
                <w:sz w:val="30"/>
              </w:rPr>
              <w:t>God’s</w:t>
            </w:r>
            <w:r>
              <w:rPr>
                <w:color w:val="231F20"/>
                <w:spacing w:val="-6"/>
                <w:sz w:val="30"/>
              </w:rPr>
              <w:t xml:space="preserve"> </w:t>
            </w:r>
            <w:r>
              <w:rPr>
                <w:color w:val="231F20"/>
                <w:sz w:val="30"/>
              </w:rPr>
              <w:t>mercy</w:t>
            </w:r>
            <w:r>
              <w:rPr>
                <w:color w:val="231F20"/>
                <w:spacing w:val="-6"/>
                <w:sz w:val="30"/>
              </w:rPr>
              <w:t xml:space="preserve"> </w:t>
            </w:r>
            <w:r>
              <w:rPr>
                <w:color w:val="231F20"/>
                <w:sz w:val="30"/>
              </w:rPr>
              <w:t>to</w:t>
            </w:r>
            <w:r>
              <w:rPr>
                <w:color w:val="231F20"/>
                <w:spacing w:val="-5"/>
                <w:sz w:val="30"/>
              </w:rPr>
              <w:t xml:space="preserve"> </w:t>
            </w:r>
            <w:r>
              <w:rPr>
                <w:color w:val="231F20"/>
                <w:spacing w:val="-2"/>
                <w:sz w:val="30"/>
              </w:rPr>
              <w:t>Gentiles</w:t>
            </w:r>
          </w:p>
        </w:tc>
      </w:tr>
      <w:tr w14:paraId="622BF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36" w:type="dxa"/>
          </w:tcPr>
          <w:p w14:paraId="1F9ED79E">
            <w:pPr>
              <w:pStyle w:val="16"/>
              <w:rPr>
                <w:sz w:val="30"/>
              </w:rPr>
            </w:pPr>
            <w:r>
              <w:rPr>
                <w:color w:val="231F20"/>
                <w:sz w:val="30"/>
              </w:rPr>
              <w:t xml:space="preserve">39. Rom. </w:t>
            </w:r>
            <w:r>
              <w:rPr>
                <w:color w:val="231F20"/>
                <w:spacing w:val="-2"/>
                <w:sz w:val="30"/>
              </w:rPr>
              <w:t>15:21</w:t>
            </w:r>
          </w:p>
        </w:tc>
        <w:tc>
          <w:tcPr>
            <w:tcW w:w="2302" w:type="dxa"/>
          </w:tcPr>
          <w:p w14:paraId="59BEF640">
            <w:pPr>
              <w:pStyle w:val="16"/>
              <w:ind w:left="43"/>
              <w:rPr>
                <w:sz w:val="30"/>
              </w:rPr>
            </w:pPr>
            <w:r>
              <w:rPr>
                <w:color w:val="231F20"/>
                <w:sz w:val="30"/>
              </w:rPr>
              <w:t xml:space="preserve">Isaiah </w:t>
            </w:r>
            <w:r>
              <w:rPr>
                <w:color w:val="231F20"/>
                <w:spacing w:val="-2"/>
                <w:sz w:val="30"/>
              </w:rPr>
              <w:t>52:15</w:t>
            </w:r>
          </w:p>
        </w:tc>
        <w:tc>
          <w:tcPr>
            <w:tcW w:w="3932" w:type="dxa"/>
          </w:tcPr>
          <w:p w14:paraId="1FE460B6">
            <w:pPr>
              <w:pStyle w:val="16"/>
              <w:ind w:left="126"/>
              <w:rPr>
                <w:sz w:val="30"/>
              </w:rPr>
            </w:pPr>
            <w:r>
              <w:rPr>
                <w:color w:val="231F20"/>
                <w:sz w:val="30"/>
              </w:rPr>
              <w:t xml:space="preserve">They who had no </w:t>
            </w:r>
            <w:r>
              <w:rPr>
                <w:color w:val="231F20"/>
                <w:spacing w:val="-4"/>
                <w:sz w:val="30"/>
              </w:rPr>
              <w:t>news</w:t>
            </w:r>
          </w:p>
        </w:tc>
      </w:tr>
      <w:tr w14:paraId="0863B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36" w:type="dxa"/>
          </w:tcPr>
          <w:p w14:paraId="49233A99">
            <w:pPr>
              <w:pStyle w:val="16"/>
              <w:rPr>
                <w:sz w:val="30"/>
              </w:rPr>
            </w:pPr>
            <w:r>
              <w:rPr>
                <w:color w:val="231F20"/>
                <w:sz w:val="30"/>
              </w:rPr>
              <w:t>40.</w:t>
            </w:r>
            <w:r>
              <w:rPr>
                <w:color w:val="231F20"/>
                <w:spacing w:val="-6"/>
                <w:sz w:val="30"/>
              </w:rPr>
              <w:t xml:space="preserve"> </w:t>
            </w:r>
            <w:r>
              <w:rPr>
                <w:color w:val="231F20"/>
                <w:sz w:val="30"/>
              </w:rPr>
              <w:t>1</w:t>
            </w:r>
            <w:r>
              <w:rPr>
                <w:color w:val="231F20"/>
                <w:spacing w:val="-6"/>
                <w:sz w:val="30"/>
              </w:rPr>
              <w:t xml:space="preserve"> </w:t>
            </w:r>
            <w:r>
              <w:rPr>
                <w:color w:val="231F20"/>
                <w:sz w:val="30"/>
              </w:rPr>
              <w:t>Cor.</w:t>
            </w:r>
            <w:r>
              <w:rPr>
                <w:color w:val="231F20"/>
                <w:spacing w:val="-5"/>
                <w:sz w:val="30"/>
              </w:rPr>
              <w:t xml:space="preserve"> </w:t>
            </w:r>
            <w:r>
              <w:rPr>
                <w:color w:val="231F20"/>
                <w:sz w:val="30"/>
              </w:rPr>
              <w:t>1:18-</w:t>
            </w:r>
            <w:r>
              <w:rPr>
                <w:color w:val="231F20"/>
                <w:spacing w:val="-5"/>
                <w:sz w:val="30"/>
              </w:rPr>
              <w:t>19</w:t>
            </w:r>
          </w:p>
        </w:tc>
        <w:tc>
          <w:tcPr>
            <w:tcW w:w="2302" w:type="dxa"/>
          </w:tcPr>
          <w:p w14:paraId="685C9F8D">
            <w:pPr>
              <w:pStyle w:val="16"/>
              <w:ind w:left="43"/>
              <w:rPr>
                <w:sz w:val="30"/>
              </w:rPr>
            </w:pPr>
            <w:r>
              <w:rPr>
                <w:color w:val="231F20"/>
                <w:sz w:val="30"/>
              </w:rPr>
              <w:t xml:space="preserve">Isaiah </w:t>
            </w:r>
            <w:r>
              <w:rPr>
                <w:color w:val="231F20"/>
                <w:spacing w:val="-2"/>
                <w:sz w:val="30"/>
              </w:rPr>
              <w:t>29:14</w:t>
            </w:r>
          </w:p>
        </w:tc>
        <w:tc>
          <w:tcPr>
            <w:tcW w:w="3932" w:type="dxa"/>
          </w:tcPr>
          <w:p w14:paraId="62F308F7">
            <w:pPr>
              <w:pStyle w:val="16"/>
              <w:ind w:left="126"/>
              <w:rPr>
                <w:sz w:val="30"/>
              </w:rPr>
            </w:pPr>
            <w:r>
              <w:rPr>
                <w:color w:val="231F20"/>
                <w:sz w:val="30"/>
              </w:rPr>
              <w:t xml:space="preserve">The wisdom of the </w:t>
            </w:r>
            <w:r>
              <w:rPr>
                <w:color w:val="231F20"/>
                <w:spacing w:val="-4"/>
                <w:sz w:val="30"/>
              </w:rPr>
              <w:t>wise</w:t>
            </w:r>
          </w:p>
        </w:tc>
      </w:tr>
      <w:tr w14:paraId="00A5E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9" w:hRule="atLeast"/>
        </w:trPr>
        <w:tc>
          <w:tcPr>
            <w:tcW w:w="2436" w:type="dxa"/>
          </w:tcPr>
          <w:p w14:paraId="4DE97246">
            <w:pPr>
              <w:pStyle w:val="16"/>
              <w:rPr>
                <w:sz w:val="30"/>
              </w:rPr>
            </w:pPr>
            <w:r>
              <w:rPr>
                <w:color w:val="231F20"/>
                <w:sz w:val="30"/>
              </w:rPr>
              <w:t>41.</w:t>
            </w:r>
            <w:r>
              <w:rPr>
                <w:color w:val="231F20"/>
                <w:spacing w:val="-6"/>
                <w:sz w:val="30"/>
              </w:rPr>
              <w:t xml:space="preserve"> </w:t>
            </w:r>
            <w:r>
              <w:rPr>
                <w:color w:val="231F20"/>
                <w:sz w:val="30"/>
              </w:rPr>
              <w:t>1</w:t>
            </w:r>
            <w:r>
              <w:rPr>
                <w:color w:val="231F20"/>
                <w:spacing w:val="-6"/>
                <w:sz w:val="30"/>
              </w:rPr>
              <w:t xml:space="preserve"> </w:t>
            </w:r>
            <w:r>
              <w:rPr>
                <w:color w:val="231F20"/>
                <w:sz w:val="30"/>
              </w:rPr>
              <w:t>Cor.</w:t>
            </w:r>
            <w:r>
              <w:rPr>
                <w:color w:val="231F20"/>
                <w:spacing w:val="-5"/>
                <w:sz w:val="30"/>
              </w:rPr>
              <w:t xml:space="preserve"> </w:t>
            </w:r>
            <w:r>
              <w:rPr>
                <w:color w:val="231F20"/>
                <w:sz w:val="30"/>
              </w:rPr>
              <w:t>15:20-</w:t>
            </w:r>
            <w:r>
              <w:rPr>
                <w:color w:val="231F20"/>
                <w:spacing w:val="-5"/>
                <w:sz w:val="30"/>
              </w:rPr>
              <w:t>28</w:t>
            </w:r>
          </w:p>
        </w:tc>
        <w:tc>
          <w:tcPr>
            <w:tcW w:w="2302" w:type="dxa"/>
          </w:tcPr>
          <w:p w14:paraId="694C5F2D">
            <w:pPr>
              <w:pStyle w:val="16"/>
              <w:ind w:left="43"/>
              <w:rPr>
                <w:sz w:val="30"/>
              </w:rPr>
            </w:pPr>
            <w:r>
              <w:rPr>
                <w:color w:val="231F20"/>
                <w:sz w:val="30"/>
              </w:rPr>
              <w:t xml:space="preserve">Psalms 8:6, </w:t>
            </w:r>
            <w:r>
              <w:rPr>
                <w:color w:val="231F20"/>
                <w:spacing w:val="-2"/>
                <w:sz w:val="30"/>
              </w:rPr>
              <w:t>110:1</w:t>
            </w:r>
          </w:p>
        </w:tc>
        <w:tc>
          <w:tcPr>
            <w:tcW w:w="3932" w:type="dxa"/>
          </w:tcPr>
          <w:p w14:paraId="58CFE933">
            <w:pPr>
              <w:pStyle w:val="16"/>
              <w:ind w:left="126"/>
              <w:rPr>
                <w:sz w:val="30"/>
              </w:rPr>
            </w:pPr>
            <w:r>
              <w:rPr>
                <w:color w:val="231F20"/>
                <w:sz w:val="30"/>
              </w:rPr>
              <w:t xml:space="preserve">All enemies under </w:t>
            </w:r>
            <w:r>
              <w:rPr>
                <w:color w:val="231F20"/>
                <w:spacing w:val="-4"/>
                <w:sz w:val="30"/>
              </w:rPr>
              <w:t>foot</w:t>
            </w:r>
          </w:p>
        </w:tc>
      </w:tr>
      <w:tr w14:paraId="21DA9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9" w:hRule="atLeast"/>
        </w:trPr>
        <w:tc>
          <w:tcPr>
            <w:tcW w:w="2436" w:type="dxa"/>
          </w:tcPr>
          <w:p w14:paraId="7AA261A1">
            <w:pPr>
              <w:pStyle w:val="16"/>
              <w:rPr>
                <w:sz w:val="30"/>
              </w:rPr>
            </w:pPr>
            <w:r>
              <w:rPr>
                <w:color w:val="231F20"/>
                <w:sz w:val="30"/>
              </w:rPr>
              <w:t>42.</w:t>
            </w:r>
            <w:r>
              <w:rPr>
                <w:color w:val="231F20"/>
                <w:spacing w:val="-6"/>
                <w:sz w:val="30"/>
              </w:rPr>
              <w:t xml:space="preserve"> </w:t>
            </w:r>
            <w:r>
              <w:rPr>
                <w:color w:val="231F20"/>
                <w:sz w:val="30"/>
              </w:rPr>
              <w:t>1</w:t>
            </w:r>
            <w:r>
              <w:rPr>
                <w:color w:val="231F20"/>
                <w:spacing w:val="-6"/>
                <w:sz w:val="30"/>
              </w:rPr>
              <w:t xml:space="preserve"> </w:t>
            </w:r>
            <w:r>
              <w:rPr>
                <w:color w:val="231F20"/>
                <w:sz w:val="30"/>
              </w:rPr>
              <w:t>Cor.</w:t>
            </w:r>
            <w:r>
              <w:rPr>
                <w:color w:val="231F20"/>
                <w:spacing w:val="-5"/>
                <w:sz w:val="30"/>
              </w:rPr>
              <w:t xml:space="preserve"> </w:t>
            </w:r>
            <w:r>
              <w:rPr>
                <w:color w:val="231F20"/>
                <w:sz w:val="30"/>
              </w:rPr>
              <w:t>15:54-</w:t>
            </w:r>
            <w:r>
              <w:rPr>
                <w:color w:val="231F20"/>
                <w:spacing w:val="-10"/>
                <w:sz w:val="30"/>
              </w:rPr>
              <w:t>7</w:t>
            </w:r>
          </w:p>
        </w:tc>
        <w:tc>
          <w:tcPr>
            <w:tcW w:w="2302" w:type="dxa"/>
          </w:tcPr>
          <w:p w14:paraId="02C11F67">
            <w:pPr>
              <w:pStyle w:val="16"/>
              <w:spacing w:before="0" w:line="226" w:lineRule="exact"/>
              <w:ind w:left="43"/>
              <w:rPr>
                <w:sz w:val="30"/>
              </w:rPr>
            </w:pPr>
            <w:r>
              <w:rPr>
                <w:color w:val="231F20"/>
                <w:sz w:val="30"/>
              </w:rPr>
              <w:t xml:space="preserve">Isaiah </w:t>
            </w:r>
            <w:r>
              <w:rPr>
                <w:color w:val="231F20"/>
                <w:spacing w:val="-2"/>
                <w:sz w:val="30"/>
              </w:rPr>
              <w:t>25:8,</w:t>
            </w:r>
          </w:p>
          <w:p w14:paraId="44E3D0FE">
            <w:pPr>
              <w:pStyle w:val="16"/>
              <w:spacing w:before="15"/>
              <w:ind w:left="43"/>
              <w:rPr>
                <w:sz w:val="30"/>
              </w:rPr>
            </w:pPr>
            <w:r>
              <w:rPr>
                <w:color w:val="231F20"/>
                <w:sz w:val="30"/>
              </w:rPr>
              <w:t xml:space="preserve">Hos. </w:t>
            </w:r>
            <w:r>
              <w:rPr>
                <w:color w:val="231F20"/>
                <w:spacing w:val="-2"/>
                <w:sz w:val="30"/>
              </w:rPr>
              <w:t>13:14</w:t>
            </w:r>
          </w:p>
        </w:tc>
        <w:tc>
          <w:tcPr>
            <w:tcW w:w="3932" w:type="dxa"/>
          </w:tcPr>
          <w:p w14:paraId="38798C39">
            <w:pPr>
              <w:pStyle w:val="16"/>
              <w:ind w:left="126"/>
              <w:rPr>
                <w:sz w:val="30"/>
              </w:rPr>
            </w:pPr>
            <w:r>
              <w:rPr>
                <w:color w:val="231F20"/>
                <w:sz w:val="30"/>
              </w:rPr>
              <w:t xml:space="preserve">Death swallowed </w:t>
            </w:r>
            <w:r>
              <w:rPr>
                <w:color w:val="231F20"/>
                <w:spacing w:val="-5"/>
                <w:sz w:val="30"/>
              </w:rPr>
              <w:t>up</w:t>
            </w:r>
          </w:p>
        </w:tc>
      </w:tr>
      <w:tr w14:paraId="070A9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9" w:hRule="atLeast"/>
        </w:trPr>
        <w:tc>
          <w:tcPr>
            <w:tcW w:w="2436" w:type="dxa"/>
          </w:tcPr>
          <w:p w14:paraId="44EC9F60">
            <w:pPr>
              <w:pStyle w:val="16"/>
              <w:rPr>
                <w:sz w:val="30"/>
              </w:rPr>
            </w:pPr>
            <w:r>
              <w:rPr>
                <w:color w:val="231F20"/>
                <w:sz w:val="30"/>
              </w:rPr>
              <w:t>43.</w:t>
            </w:r>
            <w:r>
              <w:rPr>
                <w:color w:val="231F20"/>
                <w:spacing w:val="-6"/>
                <w:sz w:val="30"/>
              </w:rPr>
              <w:t xml:space="preserve"> </w:t>
            </w:r>
            <w:r>
              <w:rPr>
                <w:color w:val="231F20"/>
                <w:sz w:val="30"/>
              </w:rPr>
              <w:t>2</w:t>
            </w:r>
            <w:r>
              <w:rPr>
                <w:color w:val="231F20"/>
                <w:spacing w:val="-6"/>
                <w:sz w:val="30"/>
              </w:rPr>
              <w:t xml:space="preserve"> </w:t>
            </w:r>
            <w:r>
              <w:rPr>
                <w:color w:val="231F20"/>
                <w:sz w:val="30"/>
              </w:rPr>
              <w:t>Cor.</w:t>
            </w:r>
            <w:r>
              <w:rPr>
                <w:color w:val="231F20"/>
                <w:spacing w:val="-5"/>
                <w:sz w:val="30"/>
              </w:rPr>
              <w:t xml:space="preserve"> </w:t>
            </w:r>
            <w:r>
              <w:rPr>
                <w:color w:val="231F20"/>
                <w:sz w:val="30"/>
              </w:rPr>
              <w:t>6:1-</w:t>
            </w:r>
            <w:r>
              <w:rPr>
                <w:color w:val="231F20"/>
                <w:spacing w:val="-10"/>
                <w:sz w:val="30"/>
              </w:rPr>
              <w:t>2</w:t>
            </w:r>
          </w:p>
        </w:tc>
        <w:tc>
          <w:tcPr>
            <w:tcW w:w="2302" w:type="dxa"/>
          </w:tcPr>
          <w:p w14:paraId="443ADC9F">
            <w:pPr>
              <w:pStyle w:val="16"/>
              <w:ind w:left="43"/>
              <w:rPr>
                <w:sz w:val="30"/>
              </w:rPr>
            </w:pPr>
            <w:r>
              <w:rPr>
                <w:color w:val="231F20"/>
                <w:sz w:val="30"/>
              </w:rPr>
              <w:t xml:space="preserve">Isaiah </w:t>
            </w:r>
            <w:r>
              <w:rPr>
                <w:color w:val="231F20"/>
                <w:spacing w:val="-2"/>
                <w:sz w:val="30"/>
              </w:rPr>
              <w:t>49:8f</w:t>
            </w:r>
          </w:p>
        </w:tc>
        <w:tc>
          <w:tcPr>
            <w:tcW w:w="3932" w:type="dxa"/>
          </w:tcPr>
          <w:p w14:paraId="35B7CFE1">
            <w:pPr>
              <w:pStyle w:val="16"/>
              <w:ind w:left="126"/>
              <w:rPr>
                <w:sz w:val="30"/>
              </w:rPr>
            </w:pPr>
            <w:r>
              <w:rPr>
                <w:color w:val="231F20"/>
                <w:sz w:val="30"/>
              </w:rPr>
              <w:t>The</w:t>
            </w:r>
            <w:r>
              <w:rPr>
                <w:color w:val="231F20"/>
                <w:spacing w:val="-6"/>
                <w:sz w:val="30"/>
              </w:rPr>
              <w:t xml:space="preserve"> </w:t>
            </w:r>
            <w:r>
              <w:rPr>
                <w:color w:val="231F20"/>
                <w:sz w:val="30"/>
              </w:rPr>
              <w:t>Lord’s</w:t>
            </w:r>
            <w:r>
              <w:rPr>
                <w:color w:val="231F20"/>
                <w:spacing w:val="-6"/>
                <w:sz w:val="30"/>
              </w:rPr>
              <w:t xml:space="preserve"> </w:t>
            </w:r>
            <w:r>
              <w:rPr>
                <w:color w:val="231F20"/>
                <w:sz w:val="30"/>
              </w:rPr>
              <w:t>favorable</w:t>
            </w:r>
            <w:r>
              <w:rPr>
                <w:color w:val="231F20"/>
                <w:spacing w:val="-5"/>
                <w:sz w:val="30"/>
              </w:rPr>
              <w:t xml:space="preserve"> </w:t>
            </w:r>
            <w:r>
              <w:rPr>
                <w:color w:val="231F20"/>
                <w:spacing w:val="-4"/>
                <w:sz w:val="30"/>
              </w:rPr>
              <w:t>time</w:t>
            </w:r>
          </w:p>
        </w:tc>
      </w:tr>
      <w:tr w14:paraId="786A3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9" w:hRule="atLeast"/>
        </w:trPr>
        <w:tc>
          <w:tcPr>
            <w:tcW w:w="2436" w:type="dxa"/>
          </w:tcPr>
          <w:p w14:paraId="766AE92F">
            <w:pPr>
              <w:pStyle w:val="16"/>
              <w:spacing w:before="0"/>
              <w:ind w:left="0"/>
              <w:rPr>
                <w:sz w:val="30"/>
              </w:rPr>
            </w:pPr>
          </w:p>
          <w:p w14:paraId="107E1C6D">
            <w:pPr>
              <w:pStyle w:val="16"/>
              <w:spacing w:before="91"/>
              <w:ind w:left="0"/>
              <w:rPr>
                <w:sz w:val="30"/>
              </w:rPr>
            </w:pPr>
          </w:p>
          <w:p w14:paraId="12D432AF">
            <w:pPr>
              <w:pStyle w:val="16"/>
              <w:spacing w:before="0" w:line="339" w:lineRule="exact"/>
              <w:rPr>
                <w:sz w:val="30"/>
              </w:rPr>
            </w:pPr>
            <w:r>
              <w:rPr>
                <w:color w:val="231F20"/>
                <w:sz w:val="30"/>
              </w:rPr>
              <w:t>44.</w:t>
            </w:r>
            <w:r>
              <w:rPr>
                <w:color w:val="231F20"/>
                <w:spacing w:val="-6"/>
                <w:sz w:val="30"/>
              </w:rPr>
              <w:t xml:space="preserve"> </w:t>
            </w:r>
            <w:r>
              <w:rPr>
                <w:color w:val="231F20"/>
                <w:sz w:val="30"/>
              </w:rPr>
              <w:t>2</w:t>
            </w:r>
            <w:r>
              <w:rPr>
                <w:color w:val="231F20"/>
                <w:spacing w:val="-6"/>
                <w:sz w:val="30"/>
              </w:rPr>
              <w:t xml:space="preserve"> </w:t>
            </w:r>
            <w:r>
              <w:rPr>
                <w:color w:val="231F20"/>
                <w:sz w:val="30"/>
              </w:rPr>
              <w:t>Cor.</w:t>
            </w:r>
            <w:r>
              <w:rPr>
                <w:color w:val="231F20"/>
                <w:spacing w:val="-5"/>
                <w:sz w:val="30"/>
              </w:rPr>
              <w:t xml:space="preserve"> </w:t>
            </w:r>
            <w:r>
              <w:rPr>
                <w:color w:val="231F20"/>
                <w:spacing w:val="-2"/>
                <w:sz w:val="30"/>
              </w:rPr>
              <w:t>6:14ff</w:t>
            </w:r>
          </w:p>
        </w:tc>
        <w:tc>
          <w:tcPr>
            <w:tcW w:w="2302" w:type="dxa"/>
          </w:tcPr>
          <w:p w14:paraId="7E24E71D">
            <w:pPr>
              <w:pStyle w:val="16"/>
              <w:ind w:left="43"/>
              <w:rPr>
                <w:sz w:val="30"/>
              </w:rPr>
            </w:pPr>
            <w:r>
              <w:rPr>
                <w:color w:val="231F20"/>
                <w:sz w:val="30"/>
              </w:rPr>
              <w:t xml:space="preserve">Ezek. </w:t>
            </w:r>
            <w:r>
              <w:rPr>
                <w:color w:val="231F20"/>
                <w:spacing w:val="-2"/>
                <w:sz w:val="30"/>
              </w:rPr>
              <w:t>37:27,</w:t>
            </w:r>
          </w:p>
          <w:p w14:paraId="2CD3CE54">
            <w:pPr>
              <w:pStyle w:val="16"/>
              <w:spacing w:before="15"/>
              <w:ind w:left="43"/>
              <w:rPr>
                <w:sz w:val="30"/>
              </w:rPr>
            </w:pPr>
            <w:r>
              <w:rPr>
                <w:color w:val="231F20"/>
                <w:sz w:val="30"/>
              </w:rPr>
              <w:t>Jer.</w:t>
            </w:r>
            <w:r>
              <w:rPr>
                <w:color w:val="231F20"/>
                <w:spacing w:val="-17"/>
                <w:sz w:val="30"/>
              </w:rPr>
              <w:t xml:space="preserve"> </w:t>
            </w:r>
            <w:r>
              <w:rPr>
                <w:color w:val="231F20"/>
                <w:spacing w:val="-2"/>
                <w:sz w:val="30"/>
              </w:rPr>
              <w:t>31:1,</w:t>
            </w:r>
          </w:p>
          <w:p w14:paraId="46C720C2">
            <w:pPr>
              <w:pStyle w:val="16"/>
              <w:spacing w:before="15" w:line="339" w:lineRule="exact"/>
              <w:ind w:left="43"/>
              <w:rPr>
                <w:sz w:val="30"/>
              </w:rPr>
            </w:pPr>
            <w:r>
              <w:rPr>
                <w:color w:val="231F20"/>
                <w:sz w:val="30"/>
              </w:rPr>
              <w:t xml:space="preserve">Isaiah </w:t>
            </w:r>
            <w:r>
              <w:rPr>
                <w:color w:val="231F20"/>
                <w:spacing w:val="-2"/>
                <w:sz w:val="30"/>
              </w:rPr>
              <w:t>52:11,</w:t>
            </w:r>
          </w:p>
        </w:tc>
        <w:tc>
          <w:tcPr>
            <w:tcW w:w="3932" w:type="dxa"/>
          </w:tcPr>
          <w:p w14:paraId="5BA7E580">
            <w:pPr>
              <w:pStyle w:val="16"/>
              <w:spacing w:before="0"/>
              <w:ind w:left="0"/>
              <w:rPr>
                <w:sz w:val="30"/>
              </w:rPr>
            </w:pPr>
          </w:p>
          <w:p w14:paraId="55A81433">
            <w:pPr>
              <w:pStyle w:val="16"/>
              <w:spacing w:before="91"/>
              <w:ind w:left="0"/>
              <w:rPr>
                <w:sz w:val="30"/>
              </w:rPr>
            </w:pPr>
          </w:p>
          <w:p w14:paraId="512529B3">
            <w:pPr>
              <w:pStyle w:val="16"/>
              <w:spacing w:before="0" w:line="339" w:lineRule="exact"/>
              <w:ind w:left="126"/>
              <w:rPr>
                <w:sz w:val="30"/>
              </w:rPr>
            </w:pPr>
            <w:r>
              <w:rPr>
                <w:color w:val="231F20"/>
                <w:sz w:val="30"/>
              </w:rPr>
              <w:t>God’s</w:t>
            </w:r>
            <w:r>
              <w:rPr>
                <w:color w:val="231F20"/>
                <w:spacing w:val="-13"/>
                <w:sz w:val="30"/>
              </w:rPr>
              <w:t xml:space="preserve"> </w:t>
            </w:r>
            <w:r>
              <w:rPr>
                <w:color w:val="231F20"/>
                <w:sz w:val="30"/>
              </w:rPr>
              <w:t>temple,</w:t>
            </w:r>
            <w:r>
              <w:rPr>
                <w:color w:val="231F20"/>
                <w:spacing w:val="-12"/>
                <w:sz w:val="30"/>
              </w:rPr>
              <w:t xml:space="preserve"> </w:t>
            </w:r>
            <w:r>
              <w:rPr>
                <w:color w:val="231F20"/>
                <w:sz w:val="30"/>
              </w:rPr>
              <w:t>family,</w:t>
            </w:r>
            <w:r>
              <w:rPr>
                <w:color w:val="231F20"/>
                <w:spacing w:val="-12"/>
                <w:sz w:val="30"/>
              </w:rPr>
              <w:t xml:space="preserve"> </w:t>
            </w:r>
            <w:r>
              <w:rPr>
                <w:color w:val="231F20"/>
                <w:spacing w:val="-2"/>
                <w:sz w:val="30"/>
              </w:rPr>
              <w:t>covenant</w:t>
            </w:r>
          </w:p>
        </w:tc>
      </w:tr>
      <w:tr w14:paraId="40AB9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9" w:hRule="atLeast"/>
        </w:trPr>
        <w:tc>
          <w:tcPr>
            <w:tcW w:w="2436" w:type="dxa"/>
          </w:tcPr>
          <w:p w14:paraId="2459DAD1">
            <w:pPr>
              <w:pStyle w:val="16"/>
              <w:spacing w:before="0"/>
              <w:ind w:left="0"/>
              <w:rPr>
                <w:sz w:val="30"/>
              </w:rPr>
            </w:pPr>
          </w:p>
        </w:tc>
        <w:tc>
          <w:tcPr>
            <w:tcW w:w="2302" w:type="dxa"/>
          </w:tcPr>
          <w:p w14:paraId="1CF5563D">
            <w:pPr>
              <w:pStyle w:val="16"/>
              <w:spacing w:before="1"/>
              <w:ind w:left="43"/>
              <w:rPr>
                <w:sz w:val="30"/>
              </w:rPr>
            </w:pPr>
            <w:r>
              <w:rPr>
                <w:color w:val="231F20"/>
                <w:sz w:val="30"/>
              </w:rPr>
              <w:t xml:space="preserve">Hos. </w:t>
            </w:r>
            <w:r>
              <w:rPr>
                <w:color w:val="231F20"/>
                <w:spacing w:val="-2"/>
                <w:sz w:val="30"/>
              </w:rPr>
              <w:t>1:10,</w:t>
            </w:r>
          </w:p>
          <w:p w14:paraId="3532FB87">
            <w:pPr>
              <w:pStyle w:val="16"/>
              <w:spacing w:before="15"/>
              <w:ind w:left="43"/>
              <w:rPr>
                <w:sz w:val="30"/>
              </w:rPr>
            </w:pPr>
            <w:r>
              <w:rPr>
                <w:color w:val="231F20"/>
                <w:sz w:val="30"/>
              </w:rPr>
              <w:t xml:space="preserve">Isaiah </w:t>
            </w:r>
            <w:r>
              <w:rPr>
                <w:color w:val="231F20"/>
                <w:spacing w:val="-4"/>
                <w:sz w:val="30"/>
              </w:rPr>
              <w:t>43:6</w:t>
            </w:r>
          </w:p>
        </w:tc>
        <w:tc>
          <w:tcPr>
            <w:tcW w:w="3932" w:type="dxa"/>
          </w:tcPr>
          <w:p w14:paraId="08EB2479">
            <w:pPr>
              <w:pStyle w:val="16"/>
              <w:spacing w:before="0"/>
              <w:ind w:left="0"/>
              <w:rPr>
                <w:sz w:val="30"/>
              </w:rPr>
            </w:pPr>
          </w:p>
        </w:tc>
      </w:tr>
      <w:tr w14:paraId="05305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6" w:hRule="atLeast"/>
        </w:trPr>
        <w:tc>
          <w:tcPr>
            <w:tcW w:w="2436" w:type="dxa"/>
          </w:tcPr>
          <w:p w14:paraId="5BF38E5C">
            <w:pPr>
              <w:pStyle w:val="16"/>
              <w:spacing w:line="325" w:lineRule="exact"/>
              <w:rPr>
                <w:sz w:val="30"/>
              </w:rPr>
            </w:pPr>
            <w:r>
              <w:rPr>
                <w:color w:val="231F20"/>
                <w:sz w:val="30"/>
              </w:rPr>
              <w:t>45. Gal. 4:26-</w:t>
            </w:r>
            <w:r>
              <w:rPr>
                <w:color w:val="231F20"/>
                <w:spacing w:val="-5"/>
                <w:sz w:val="30"/>
              </w:rPr>
              <w:t>27</w:t>
            </w:r>
          </w:p>
        </w:tc>
        <w:tc>
          <w:tcPr>
            <w:tcW w:w="2302" w:type="dxa"/>
          </w:tcPr>
          <w:p w14:paraId="14DEB6A7">
            <w:pPr>
              <w:pStyle w:val="16"/>
              <w:spacing w:line="325" w:lineRule="exact"/>
              <w:ind w:left="43"/>
              <w:rPr>
                <w:sz w:val="30"/>
              </w:rPr>
            </w:pPr>
            <w:r>
              <w:rPr>
                <w:color w:val="231F20"/>
                <w:sz w:val="30"/>
              </w:rPr>
              <w:t xml:space="preserve">Isaiah </w:t>
            </w:r>
            <w:r>
              <w:rPr>
                <w:color w:val="231F20"/>
                <w:spacing w:val="-4"/>
                <w:sz w:val="30"/>
              </w:rPr>
              <w:t>54:1</w:t>
            </w:r>
          </w:p>
        </w:tc>
        <w:tc>
          <w:tcPr>
            <w:tcW w:w="3932" w:type="dxa"/>
          </w:tcPr>
          <w:p w14:paraId="0FA7C4CE">
            <w:pPr>
              <w:pStyle w:val="16"/>
              <w:spacing w:line="325" w:lineRule="exact"/>
              <w:ind w:left="126"/>
              <w:rPr>
                <w:sz w:val="30"/>
              </w:rPr>
            </w:pPr>
            <w:r>
              <w:rPr>
                <w:color w:val="231F20"/>
                <w:sz w:val="30"/>
              </w:rPr>
              <w:t xml:space="preserve">The Jerusalem </w:t>
            </w:r>
            <w:r>
              <w:rPr>
                <w:color w:val="231F20"/>
                <w:spacing w:val="-2"/>
                <w:sz w:val="30"/>
              </w:rPr>
              <w:t>above</w:t>
            </w:r>
          </w:p>
        </w:tc>
      </w:tr>
    </w:tbl>
    <w:p w14:paraId="56807DC1">
      <w:pPr>
        <w:pStyle w:val="16"/>
        <w:spacing w:after="0" w:line="325" w:lineRule="exact"/>
        <w:rPr>
          <w:sz w:val="30"/>
        </w:rPr>
        <w:sectPr>
          <w:pgSz w:w="12240" w:h="15840"/>
          <w:pgMar w:top="1500" w:right="1440" w:bottom="280" w:left="1440" w:header="720" w:footer="720" w:gutter="0"/>
          <w:cols w:space="720" w:num="1"/>
        </w:sectPr>
      </w:pPr>
    </w:p>
    <w:p w14:paraId="5CF692C5">
      <w:pPr>
        <w:pStyle w:val="7"/>
        <w:tabs>
          <w:tab w:val="left" w:pos="2544"/>
          <w:tab w:val="left" w:pos="4929"/>
        </w:tabs>
        <w:spacing w:before="65"/>
        <w:ind w:left="768"/>
        <w:jc w:val="left"/>
        <w:rPr>
          <w:color w:val="231F20"/>
        </w:rPr>
      </w:pPr>
    </w:p>
    <w:p w14:paraId="33AB0503">
      <w:pPr>
        <w:pStyle w:val="7"/>
        <w:tabs>
          <w:tab w:val="left" w:pos="2544"/>
          <w:tab w:val="left" w:pos="4929"/>
        </w:tabs>
        <w:spacing w:before="65"/>
        <w:ind w:left="768"/>
        <w:jc w:val="left"/>
      </w:pPr>
      <w:r>
        <w:drawing>
          <wp:inline distT="0" distB="0" distL="114300" distR="114300">
            <wp:extent cx="4248150" cy="6124575"/>
            <wp:effectExtent l="0" t="0" r="3810" b="1905"/>
            <wp:docPr id="2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2"/>
                    <pic:cNvPicPr>
                      <a:picLocks noChangeAspect="1"/>
                    </pic:cNvPicPr>
                  </pic:nvPicPr>
                  <pic:blipFill>
                    <a:blip r:embed="rId44"/>
                    <a:stretch>
                      <a:fillRect/>
                    </a:stretch>
                  </pic:blipFill>
                  <pic:spPr>
                    <a:xfrm>
                      <a:off x="0" y="0"/>
                      <a:ext cx="4248150" cy="6124575"/>
                    </a:xfrm>
                    <a:prstGeom prst="rect">
                      <a:avLst/>
                    </a:prstGeom>
                    <a:noFill/>
                    <a:ln>
                      <a:noFill/>
                    </a:ln>
                  </pic:spPr>
                </pic:pic>
              </a:graphicData>
            </a:graphic>
          </wp:inline>
        </w:drawing>
      </w:r>
    </w:p>
    <w:p w14:paraId="34CAFA2D">
      <w:pPr>
        <w:pStyle w:val="7"/>
        <w:tabs>
          <w:tab w:val="left" w:pos="2544"/>
          <w:tab w:val="left" w:pos="4929"/>
        </w:tabs>
        <w:spacing w:before="65"/>
        <w:ind w:left="768"/>
        <w:jc w:val="left"/>
      </w:pPr>
    </w:p>
    <w:p w14:paraId="2D8B0504">
      <w:pPr>
        <w:pStyle w:val="7"/>
        <w:tabs>
          <w:tab w:val="left" w:pos="2544"/>
          <w:tab w:val="left" w:pos="4929"/>
        </w:tabs>
        <w:spacing w:before="65"/>
        <w:ind w:left="768"/>
        <w:jc w:val="left"/>
      </w:pPr>
      <w:r>
        <w:drawing>
          <wp:inline distT="0" distB="0" distL="114300" distR="114300">
            <wp:extent cx="4219575" cy="5895975"/>
            <wp:effectExtent l="0" t="0" r="1905" b="1905"/>
            <wp:docPr id="2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pic:cNvPicPr>
                      <a:picLocks noChangeAspect="1"/>
                    </pic:cNvPicPr>
                  </pic:nvPicPr>
                  <pic:blipFill>
                    <a:blip r:embed="rId45"/>
                    <a:stretch>
                      <a:fillRect/>
                    </a:stretch>
                  </pic:blipFill>
                  <pic:spPr>
                    <a:xfrm>
                      <a:off x="0" y="0"/>
                      <a:ext cx="4219575" cy="5895975"/>
                    </a:xfrm>
                    <a:prstGeom prst="rect">
                      <a:avLst/>
                    </a:prstGeom>
                    <a:noFill/>
                    <a:ln>
                      <a:noFill/>
                    </a:ln>
                  </pic:spPr>
                </pic:pic>
              </a:graphicData>
            </a:graphic>
          </wp:inline>
        </w:drawing>
      </w:r>
    </w:p>
    <w:p w14:paraId="0CD62EA7">
      <w:pPr>
        <w:bidi w:val="0"/>
      </w:pPr>
    </w:p>
    <w:p w14:paraId="5BBD9B41">
      <w:pPr>
        <w:bidi w:val="0"/>
      </w:pPr>
    </w:p>
    <w:p w14:paraId="1D93C54D">
      <w:pPr>
        <w:bidi w:val="0"/>
      </w:pPr>
    </w:p>
    <w:p w14:paraId="06FF319B">
      <w:pPr>
        <w:bidi w:val="0"/>
      </w:pPr>
    </w:p>
    <w:p w14:paraId="6DB8A6C0">
      <w:pPr>
        <w:bidi w:val="0"/>
      </w:pPr>
    </w:p>
    <w:p w14:paraId="68ED77E2">
      <w:pPr>
        <w:bidi w:val="0"/>
      </w:pPr>
    </w:p>
    <w:p w14:paraId="3DE1CCEE">
      <w:pPr>
        <w:bidi w:val="0"/>
      </w:pPr>
    </w:p>
    <w:p w14:paraId="174A3DDB">
      <w:pPr>
        <w:bidi w:val="0"/>
      </w:pPr>
    </w:p>
    <w:p w14:paraId="015C99C8">
      <w:pPr>
        <w:bidi w:val="0"/>
      </w:pPr>
    </w:p>
    <w:p w14:paraId="4A4AE677">
      <w:pPr>
        <w:bidi w:val="0"/>
      </w:pPr>
    </w:p>
    <w:p w14:paraId="0F8B7DA5">
      <w:pPr>
        <w:bidi w:val="0"/>
      </w:pPr>
    </w:p>
    <w:p w14:paraId="52384A98">
      <w:pPr>
        <w:bidi w:val="0"/>
      </w:pPr>
    </w:p>
    <w:p w14:paraId="02C81FEB">
      <w:pPr>
        <w:bidi w:val="0"/>
      </w:pPr>
    </w:p>
    <w:p w14:paraId="02DC4CEC">
      <w:pPr>
        <w:bidi w:val="0"/>
      </w:pPr>
    </w:p>
    <w:p w14:paraId="74D4C68D">
      <w:pPr>
        <w:bidi w:val="0"/>
      </w:pPr>
    </w:p>
    <w:p w14:paraId="4C54C49B">
      <w:pPr>
        <w:bidi w:val="0"/>
      </w:pPr>
    </w:p>
    <w:p w14:paraId="1DD9DA7C">
      <w:pPr>
        <w:bidi w:val="0"/>
      </w:pPr>
    </w:p>
    <w:p w14:paraId="54B27BCC">
      <w:pPr>
        <w:bidi w:val="0"/>
      </w:pPr>
    </w:p>
    <w:p w14:paraId="7344710C">
      <w:pPr>
        <w:pStyle w:val="7"/>
        <w:tabs>
          <w:tab w:val="left" w:pos="2544"/>
          <w:tab w:val="left" w:pos="4929"/>
        </w:tabs>
        <w:spacing w:before="65"/>
        <w:ind w:left="768"/>
        <w:jc w:val="left"/>
      </w:pPr>
      <w:r>
        <w:rPr>
          <w:color w:val="231F20"/>
        </w:rPr>
        <w:t>NT</w:t>
      </w:r>
      <w:r>
        <w:rPr>
          <w:color w:val="231F20"/>
          <w:spacing w:val="-2"/>
        </w:rPr>
        <w:t xml:space="preserve"> </w:t>
      </w:r>
      <w:r>
        <w:rPr>
          <w:color w:val="231F20"/>
          <w:spacing w:val="-4"/>
        </w:rPr>
        <w:t>Text</w:t>
      </w:r>
      <w:r>
        <w:rPr>
          <w:color w:val="231F20"/>
        </w:rPr>
        <w:tab/>
      </w:r>
      <w:r>
        <w:rPr>
          <w:color w:val="231F20"/>
        </w:rPr>
        <w:t>OT</w:t>
      </w:r>
      <w:r>
        <w:rPr>
          <w:color w:val="231F20"/>
          <w:spacing w:val="-2"/>
        </w:rPr>
        <w:t xml:space="preserve"> </w:t>
      </w:r>
      <w:r>
        <w:rPr>
          <w:color w:val="231F20"/>
          <w:spacing w:val="-4"/>
        </w:rPr>
        <w:t>Text</w:t>
      </w:r>
      <w:r>
        <w:rPr>
          <w:color w:val="231F20"/>
        </w:rPr>
        <w:tab/>
      </w:r>
      <w:r>
        <w:rPr>
          <w:color w:val="231F20"/>
        </w:rPr>
        <w:t>Gist</w:t>
      </w:r>
      <w:r>
        <w:rPr>
          <w:color w:val="231F20"/>
          <w:spacing w:val="-2"/>
        </w:rPr>
        <w:t xml:space="preserve"> </w:t>
      </w:r>
      <w:r>
        <w:rPr>
          <w:color w:val="231F20"/>
        </w:rPr>
        <w:t xml:space="preserve">of </w:t>
      </w:r>
      <w:r>
        <w:rPr>
          <w:color w:val="231F20"/>
          <w:spacing w:val="-4"/>
        </w:rPr>
        <w:t>Text</w:t>
      </w:r>
    </w:p>
    <w:p w14:paraId="795EF38F">
      <w:pPr>
        <w:pStyle w:val="15"/>
        <w:numPr>
          <w:ilvl w:val="0"/>
          <w:numId w:val="0"/>
        </w:numPr>
        <w:tabs>
          <w:tab w:val="left" w:pos="564"/>
          <w:tab w:val="left" w:pos="2544"/>
          <w:tab w:val="left" w:pos="4929"/>
        </w:tabs>
        <w:spacing w:before="135" w:after="0" w:line="240" w:lineRule="auto"/>
        <w:ind w:left="564" w:leftChars="0" w:right="0" w:rightChars="0" w:hanging="450"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46.</w:t>
      </w:r>
      <w:r>
        <w:rPr>
          <w:color w:val="231F20"/>
          <w:sz w:val="30"/>
        </w:rPr>
        <w:t xml:space="preserve">Eph. </w:t>
      </w:r>
      <w:r>
        <w:rPr>
          <w:color w:val="231F20"/>
          <w:spacing w:val="-4"/>
          <w:sz w:val="30"/>
        </w:rPr>
        <w:t>2:17</w:t>
      </w:r>
      <w:r>
        <w:rPr>
          <w:color w:val="231F20"/>
          <w:sz w:val="30"/>
        </w:rPr>
        <w:tab/>
      </w:r>
      <w:r>
        <w:rPr>
          <w:color w:val="231F20"/>
          <w:sz w:val="30"/>
        </w:rPr>
        <w:t>Isaiah</w:t>
      </w:r>
      <w:r>
        <w:rPr>
          <w:color w:val="231F20"/>
          <w:spacing w:val="-2"/>
          <w:sz w:val="30"/>
        </w:rPr>
        <w:t xml:space="preserve"> </w:t>
      </w:r>
      <w:r>
        <w:rPr>
          <w:color w:val="231F20"/>
          <w:spacing w:val="-4"/>
          <w:sz w:val="30"/>
        </w:rPr>
        <w:t>57:9</w:t>
      </w:r>
      <w:r>
        <w:rPr>
          <w:color w:val="231F20"/>
          <w:sz w:val="30"/>
        </w:rPr>
        <w:tab/>
      </w:r>
      <w:r>
        <w:rPr>
          <w:color w:val="231F20"/>
          <w:sz w:val="30"/>
        </w:rPr>
        <w:t xml:space="preserve">He preached </w:t>
      </w:r>
      <w:r>
        <w:rPr>
          <w:color w:val="231F20"/>
          <w:spacing w:val="-2"/>
          <w:sz w:val="30"/>
        </w:rPr>
        <w:t>peace</w:t>
      </w:r>
    </w:p>
    <w:p w14:paraId="11D88000">
      <w:pPr>
        <w:pStyle w:val="15"/>
        <w:numPr>
          <w:ilvl w:val="0"/>
          <w:numId w:val="0"/>
        </w:numPr>
        <w:tabs>
          <w:tab w:val="left" w:pos="564"/>
          <w:tab w:val="left" w:pos="2544"/>
        </w:tabs>
        <w:spacing w:before="135" w:after="0" w:line="240" w:lineRule="auto"/>
        <w:ind w:left="564" w:leftChars="0" w:right="0" w:rightChars="0" w:hanging="450"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47.</w:t>
      </w:r>
      <w:r>
        <w:rPr>
          <w:color w:val="231F20"/>
          <w:sz w:val="30"/>
        </w:rPr>
        <w:t xml:space="preserve">Eph. </w:t>
      </w:r>
      <w:r>
        <w:rPr>
          <w:color w:val="231F20"/>
          <w:spacing w:val="-4"/>
          <w:sz w:val="30"/>
        </w:rPr>
        <w:t>5:14</w:t>
      </w:r>
      <w:r>
        <w:rPr>
          <w:color w:val="231F20"/>
          <w:sz w:val="30"/>
        </w:rPr>
        <w:tab/>
      </w:r>
      <w:r>
        <w:rPr>
          <w:color w:val="231F20"/>
          <w:sz w:val="30"/>
        </w:rPr>
        <w:t>Isaiah</w:t>
      </w:r>
      <w:r>
        <w:rPr>
          <w:color w:val="231F20"/>
          <w:spacing w:val="-6"/>
          <w:sz w:val="30"/>
        </w:rPr>
        <w:t xml:space="preserve"> </w:t>
      </w:r>
      <w:r>
        <w:rPr>
          <w:color w:val="231F20"/>
          <w:sz w:val="30"/>
        </w:rPr>
        <w:t>52:1-2,</w:t>
      </w:r>
      <w:r>
        <w:rPr>
          <w:color w:val="231F20"/>
          <w:spacing w:val="-6"/>
          <w:sz w:val="30"/>
        </w:rPr>
        <w:t xml:space="preserve"> </w:t>
      </w:r>
      <w:r>
        <w:rPr>
          <w:color w:val="231F20"/>
          <w:sz w:val="30"/>
        </w:rPr>
        <w:t>60:1</w:t>
      </w:r>
      <w:r>
        <w:rPr>
          <w:color w:val="231F20"/>
          <w:spacing w:val="41"/>
          <w:sz w:val="30"/>
        </w:rPr>
        <w:t xml:space="preserve"> </w:t>
      </w:r>
      <w:r>
        <w:rPr>
          <w:color w:val="231F20"/>
          <w:sz w:val="30"/>
        </w:rPr>
        <w:t>Awake,</w:t>
      </w:r>
      <w:r>
        <w:rPr>
          <w:color w:val="231F20"/>
          <w:spacing w:val="-5"/>
          <w:sz w:val="30"/>
        </w:rPr>
        <w:t xml:space="preserve"> </w:t>
      </w:r>
      <w:r>
        <w:rPr>
          <w:color w:val="231F20"/>
          <w:spacing w:val="-2"/>
          <w:sz w:val="30"/>
        </w:rPr>
        <w:t>sleeper!</w:t>
      </w:r>
    </w:p>
    <w:p w14:paraId="406CDCCA">
      <w:pPr>
        <w:pStyle w:val="15"/>
        <w:spacing w:after="0" w:line="240" w:lineRule="auto"/>
        <w:jc w:val="left"/>
        <w:rPr>
          <w:sz w:val="30"/>
        </w:rPr>
        <w:sectPr>
          <w:pgSz w:w="12240" w:h="15840"/>
          <w:pgMar w:top="1440" w:right="1440" w:bottom="280" w:left="1440" w:header="720" w:footer="720" w:gutter="0"/>
          <w:cols w:space="720" w:num="1"/>
        </w:sectPr>
      </w:pPr>
    </w:p>
    <w:p w14:paraId="74A4C8C3">
      <w:pPr>
        <w:pStyle w:val="15"/>
        <w:numPr>
          <w:ilvl w:val="0"/>
          <w:numId w:val="0"/>
        </w:numPr>
        <w:tabs>
          <w:tab w:val="left" w:pos="564"/>
          <w:tab w:val="left" w:pos="2544"/>
        </w:tabs>
        <w:spacing w:before="135" w:after="0" w:line="442" w:lineRule="exact"/>
        <w:ind w:left="564" w:leftChars="0" w:right="0" w:rightChars="0" w:hanging="450" w:firstLineChars="0"/>
        <w:jc w:val="left"/>
        <w:rPr>
          <w:position w:val="18"/>
          <w:sz w:val="30"/>
        </w:rPr>
      </w:pPr>
      <w:r>
        <w:rPr>
          <w:rFonts w:hint="default" w:ascii="Times New Roman" w:hAnsi="Times New Roman" w:eastAsia="Times New Roman" w:cs="Times New Roman"/>
          <w:b w:val="0"/>
          <w:bCs w:val="0"/>
          <w:i w:val="0"/>
          <w:iCs w:val="0"/>
          <w:color w:val="231F20"/>
          <w:spacing w:val="0"/>
          <w:w w:val="100"/>
          <w:position w:val="18"/>
          <w:sz w:val="30"/>
          <w:szCs w:val="30"/>
          <w:lang w:val="en-US" w:eastAsia="en-US" w:bidi="ar-SA"/>
        </w:rPr>
        <w:t>48.</w:t>
      </w:r>
      <w:r>
        <w:rPr>
          <w:color w:val="231F20"/>
          <w:sz w:val="30"/>
        </w:rPr>
        <w:t xml:space="preserve">Heb. </w:t>
      </w:r>
      <w:r>
        <w:rPr>
          <w:color w:val="231F20"/>
          <w:spacing w:val="-5"/>
          <w:sz w:val="30"/>
        </w:rPr>
        <w:t>1:5</w:t>
      </w:r>
      <w:r>
        <w:rPr>
          <w:color w:val="231F20"/>
          <w:sz w:val="30"/>
        </w:rPr>
        <w:tab/>
      </w:r>
      <w:r>
        <w:rPr>
          <w:color w:val="231F20"/>
          <w:position w:val="18"/>
          <w:sz w:val="30"/>
        </w:rPr>
        <w:t>Psalm</w:t>
      </w:r>
      <w:r>
        <w:rPr>
          <w:color w:val="231F20"/>
          <w:spacing w:val="-2"/>
          <w:position w:val="18"/>
          <w:sz w:val="30"/>
        </w:rPr>
        <w:t xml:space="preserve"> </w:t>
      </w:r>
      <w:r>
        <w:rPr>
          <w:color w:val="231F20"/>
          <w:spacing w:val="-4"/>
          <w:position w:val="18"/>
          <w:sz w:val="30"/>
        </w:rPr>
        <w:t>2:7,</w:t>
      </w:r>
    </w:p>
    <w:p w14:paraId="369A1467">
      <w:pPr>
        <w:pStyle w:val="9"/>
        <w:spacing w:before="0" w:line="262" w:lineRule="exact"/>
        <w:ind w:left="2544"/>
        <w:jc w:val="left"/>
      </w:pPr>
      <w:r>
        <w:rPr>
          <w:color w:val="231F20"/>
        </w:rPr>
        <w:t xml:space="preserve">2 Sam. </w:t>
      </w:r>
      <w:r>
        <w:rPr>
          <w:color w:val="231F20"/>
          <w:spacing w:val="-4"/>
        </w:rPr>
        <w:t>7:14</w:t>
      </w:r>
    </w:p>
    <w:p w14:paraId="20E82D7A">
      <w:pPr>
        <w:pStyle w:val="9"/>
        <w:spacing w:before="315"/>
        <w:ind w:left="114"/>
        <w:jc w:val="left"/>
      </w:pPr>
      <w:r>
        <w:br w:type="column"/>
      </w:r>
      <w:r>
        <w:rPr>
          <w:color w:val="231F20"/>
        </w:rPr>
        <w:t xml:space="preserve">Thou art My </w:t>
      </w:r>
      <w:r>
        <w:rPr>
          <w:color w:val="231F20"/>
          <w:spacing w:val="-4"/>
        </w:rPr>
        <w:t>Son!</w:t>
      </w:r>
    </w:p>
    <w:p w14:paraId="36F7470B">
      <w:pPr>
        <w:pStyle w:val="9"/>
        <w:spacing w:after="0"/>
        <w:jc w:val="left"/>
        <w:sectPr>
          <w:type w:val="continuous"/>
          <w:pgSz w:w="12240" w:h="15840"/>
          <w:pgMar w:top="1820" w:right="1440" w:bottom="280" w:left="1440" w:header="720" w:footer="720" w:gutter="0"/>
          <w:cols w:equalWidth="0" w:num="2">
            <w:col w:w="4027" w:space="788"/>
            <w:col w:w="4545"/>
          </w:cols>
        </w:sectPr>
      </w:pPr>
    </w:p>
    <w:p w14:paraId="4BCD7F5E">
      <w:pPr>
        <w:pStyle w:val="15"/>
        <w:numPr>
          <w:ilvl w:val="0"/>
          <w:numId w:val="0"/>
        </w:numPr>
        <w:tabs>
          <w:tab w:val="left" w:pos="564"/>
          <w:tab w:val="left" w:pos="2544"/>
          <w:tab w:val="left" w:pos="4929"/>
        </w:tabs>
        <w:spacing w:before="135" w:after="0" w:line="240" w:lineRule="auto"/>
        <w:ind w:left="564" w:leftChars="0" w:right="0" w:rightChars="0" w:hanging="450"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49.</w:t>
      </w:r>
      <w:r>
        <w:rPr>
          <w:color w:val="231F20"/>
          <w:sz w:val="30"/>
        </w:rPr>
        <w:t xml:space="preserve">Heb. </w:t>
      </w:r>
      <w:r>
        <w:rPr>
          <w:color w:val="231F20"/>
          <w:spacing w:val="-4"/>
          <w:sz w:val="30"/>
        </w:rPr>
        <w:t>1:13</w:t>
      </w:r>
      <w:r>
        <w:rPr>
          <w:color w:val="231F20"/>
          <w:sz w:val="30"/>
        </w:rPr>
        <w:tab/>
      </w:r>
      <w:r>
        <w:rPr>
          <w:color w:val="231F20"/>
          <w:sz w:val="30"/>
        </w:rPr>
        <w:t xml:space="preserve">Psalm </w:t>
      </w:r>
      <w:r>
        <w:rPr>
          <w:color w:val="231F20"/>
          <w:spacing w:val="-2"/>
          <w:sz w:val="30"/>
        </w:rPr>
        <w:t>110:1</w:t>
      </w:r>
      <w:r>
        <w:rPr>
          <w:color w:val="231F20"/>
          <w:sz w:val="30"/>
        </w:rPr>
        <w:tab/>
      </w:r>
      <w:r>
        <w:rPr>
          <w:color w:val="231F20"/>
          <w:sz w:val="30"/>
        </w:rPr>
        <w:t>Sit</w:t>
      </w:r>
      <w:r>
        <w:rPr>
          <w:color w:val="231F20"/>
          <w:spacing w:val="-2"/>
          <w:sz w:val="30"/>
        </w:rPr>
        <w:t xml:space="preserve"> </w:t>
      </w:r>
      <w:r>
        <w:rPr>
          <w:color w:val="231F20"/>
          <w:sz w:val="30"/>
        </w:rPr>
        <w:t xml:space="preserve">at my right </w:t>
      </w:r>
      <w:r>
        <w:rPr>
          <w:color w:val="231F20"/>
          <w:spacing w:val="-4"/>
          <w:sz w:val="30"/>
        </w:rPr>
        <w:t>hand</w:t>
      </w:r>
    </w:p>
    <w:p w14:paraId="1725AC65">
      <w:pPr>
        <w:pStyle w:val="15"/>
        <w:numPr>
          <w:ilvl w:val="0"/>
          <w:numId w:val="0"/>
        </w:numPr>
        <w:tabs>
          <w:tab w:val="left" w:pos="564"/>
          <w:tab w:val="left" w:pos="2544"/>
          <w:tab w:val="left" w:pos="4929"/>
        </w:tabs>
        <w:spacing w:before="135" w:after="0" w:line="240" w:lineRule="auto"/>
        <w:ind w:left="564" w:leftChars="0" w:right="0" w:rightChars="0" w:hanging="450"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50.</w:t>
      </w:r>
      <w:r>
        <w:rPr>
          <w:color w:val="231F20"/>
          <w:sz w:val="30"/>
        </w:rPr>
        <w:t xml:space="preserve">Heb. </w:t>
      </w:r>
      <w:r>
        <w:rPr>
          <w:color w:val="231F20"/>
          <w:spacing w:val="-4"/>
          <w:sz w:val="30"/>
        </w:rPr>
        <w:t>2:12</w:t>
      </w:r>
      <w:r>
        <w:rPr>
          <w:color w:val="231F20"/>
          <w:sz w:val="30"/>
        </w:rPr>
        <w:tab/>
      </w:r>
      <w:r>
        <w:rPr>
          <w:color w:val="231F20"/>
          <w:sz w:val="30"/>
        </w:rPr>
        <w:t xml:space="preserve">Psalm </w:t>
      </w:r>
      <w:r>
        <w:rPr>
          <w:color w:val="231F20"/>
          <w:spacing w:val="-2"/>
          <w:sz w:val="30"/>
        </w:rPr>
        <w:t>22:22</w:t>
      </w:r>
      <w:r>
        <w:rPr>
          <w:color w:val="231F20"/>
          <w:sz w:val="30"/>
        </w:rPr>
        <w:tab/>
      </w:r>
      <w:r>
        <w:rPr>
          <w:color w:val="231F20"/>
          <w:sz w:val="30"/>
        </w:rPr>
        <w:t xml:space="preserve">I will proclaim Thy </w:t>
      </w:r>
      <w:r>
        <w:rPr>
          <w:color w:val="231F20"/>
          <w:spacing w:val="-4"/>
          <w:sz w:val="30"/>
        </w:rPr>
        <w:t>name</w:t>
      </w:r>
    </w:p>
    <w:p w14:paraId="39112681">
      <w:pPr>
        <w:pStyle w:val="15"/>
        <w:numPr>
          <w:ilvl w:val="0"/>
          <w:numId w:val="0"/>
        </w:numPr>
        <w:tabs>
          <w:tab w:val="left" w:pos="564"/>
          <w:tab w:val="left" w:pos="2544"/>
          <w:tab w:val="left" w:pos="4929"/>
        </w:tabs>
        <w:spacing w:before="135" w:after="0" w:line="240" w:lineRule="auto"/>
        <w:ind w:left="564" w:leftChars="0" w:right="0" w:rightChars="0" w:hanging="450"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51.</w:t>
      </w:r>
      <w:r>
        <w:rPr>
          <w:color w:val="231F20"/>
          <w:sz w:val="30"/>
        </w:rPr>
        <w:t xml:space="preserve">Heb. </w:t>
      </w:r>
      <w:r>
        <w:rPr>
          <w:color w:val="231F20"/>
          <w:spacing w:val="-4"/>
          <w:sz w:val="30"/>
        </w:rPr>
        <w:t>2:13</w:t>
      </w:r>
      <w:r>
        <w:rPr>
          <w:color w:val="231F20"/>
          <w:sz w:val="30"/>
        </w:rPr>
        <w:tab/>
      </w:r>
      <w:r>
        <w:rPr>
          <w:color w:val="231F20"/>
          <w:sz w:val="30"/>
        </w:rPr>
        <w:t>Isaiah 8:17-</w:t>
      </w:r>
      <w:r>
        <w:rPr>
          <w:color w:val="231F20"/>
          <w:spacing w:val="-5"/>
          <w:sz w:val="30"/>
        </w:rPr>
        <w:t>18</w:t>
      </w:r>
      <w:r>
        <w:rPr>
          <w:color w:val="231F20"/>
          <w:sz w:val="30"/>
        </w:rPr>
        <w:tab/>
      </w:r>
      <w:r>
        <w:rPr>
          <w:color w:val="231F20"/>
          <w:sz w:val="30"/>
        </w:rPr>
        <w:t xml:space="preserve">Behold, I and the </w:t>
      </w:r>
      <w:r>
        <w:rPr>
          <w:color w:val="231F20"/>
          <w:spacing w:val="-2"/>
          <w:sz w:val="30"/>
        </w:rPr>
        <w:t>children</w:t>
      </w:r>
    </w:p>
    <w:p w14:paraId="3A08FB02">
      <w:pPr>
        <w:pStyle w:val="15"/>
        <w:numPr>
          <w:ilvl w:val="0"/>
          <w:numId w:val="0"/>
        </w:numPr>
        <w:tabs>
          <w:tab w:val="left" w:pos="564"/>
          <w:tab w:val="left" w:pos="2544"/>
          <w:tab w:val="left" w:pos="4929"/>
        </w:tabs>
        <w:spacing w:before="135" w:after="0" w:line="240" w:lineRule="auto"/>
        <w:ind w:left="564" w:leftChars="0" w:right="0" w:rightChars="0" w:hanging="450"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52.</w:t>
      </w:r>
      <w:r>
        <w:rPr>
          <w:color w:val="231F20"/>
          <w:sz w:val="30"/>
        </w:rPr>
        <w:t>Heb. 5:5-</w:t>
      </w:r>
      <w:r>
        <w:rPr>
          <w:color w:val="231F20"/>
          <w:spacing w:val="-10"/>
          <w:sz w:val="30"/>
        </w:rPr>
        <w:t>6</w:t>
      </w:r>
      <w:r>
        <w:rPr>
          <w:color w:val="231F20"/>
          <w:sz w:val="30"/>
        </w:rPr>
        <w:tab/>
      </w:r>
      <w:r>
        <w:rPr>
          <w:color w:val="231F20"/>
          <w:sz w:val="30"/>
        </w:rPr>
        <w:t xml:space="preserve">Psalm 2:7, </w:t>
      </w:r>
      <w:r>
        <w:rPr>
          <w:color w:val="231F20"/>
          <w:spacing w:val="-2"/>
          <w:sz w:val="30"/>
        </w:rPr>
        <w:t>110:1</w:t>
      </w:r>
      <w:r>
        <w:rPr>
          <w:color w:val="231F20"/>
          <w:sz w:val="30"/>
        </w:rPr>
        <w:tab/>
      </w:r>
      <w:r>
        <w:rPr>
          <w:color w:val="231F20"/>
          <w:sz w:val="30"/>
        </w:rPr>
        <w:t xml:space="preserve">Thou art my </w:t>
      </w:r>
      <w:r>
        <w:rPr>
          <w:color w:val="231F20"/>
          <w:spacing w:val="-5"/>
          <w:sz w:val="30"/>
        </w:rPr>
        <w:t>son</w:t>
      </w:r>
    </w:p>
    <w:p w14:paraId="4D070AE3">
      <w:pPr>
        <w:pStyle w:val="15"/>
        <w:numPr>
          <w:ilvl w:val="0"/>
          <w:numId w:val="0"/>
        </w:numPr>
        <w:tabs>
          <w:tab w:val="left" w:pos="564"/>
          <w:tab w:val="left" w:pos="2544"/>
          <w:tab w:val="left" w:pos="4929"/>
        </w:tabs>
        <w:spacing w:before="135" w:after="0" w:line="240" w:lineRule="auto"/>
        <w:ind w:left="564" w:leftChars="0" w:right="0" w:rightChars="0" w:hanging="450"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53.</w:t>
      </w:r>
      <w:r>
        <w:rPr>
          <w:color w:val="231F20"/>
          <w:sz w:val="30"/>
        </w:rPr>
        <w:t xml:space="preserve">Heb. 7:17, </w:t>
      </w:r>
      <w:r>
        <w:rPr>
          <w:color w:val="231F20"/>
          <w:spacing w:val="-5"/>
          <w:sz w:val="30"/>
        </w:rPr>
        <w:t>21</w:t>
      </w:r>
      <w:r>
        <w:rPr>
          <w:color w:val="231F20"/>
          <w:sz w:val="30"/>
        </w:rPr>
        <w:tab/>
      </w:r>
      <w:r>
        <w:rPr>
          <w:color w:val="231F20"/>
          <w:sz w:val="30"/>
        </w:rPr>
        <w:t xml:space="preserve">Psalm </w:t>
      </w:r>
      <w:r>
        <w:rPr>
          <w:color w:val="231F20"/>
          <w:spacing w:val="-2"/>
          <w:sz w:val="30"/>
        </w:rPr>
        <w:t>110:4</w:t>
      </w:r>
      <w:r>
        <w:rPr>
          <w:color w:val="231F20"/>
          <w:sz w:val="30"/>
        </w:rPr>
        <w:tab/>
      </w:r>
      <w:r>
        <w:rPr>
          <w:color w:val="231F20"/>
          <w:sz w:val="30"/>
        </w:rPr>
        <w:t xml:space="preserve">A Priest </w:t>
      </w:r>
      <w:r>
        <w:rPr>
          <w:color w:val="231F20"/>
          <w:spacing w:val="-2"/>
          <w:sz w:val="30"/>
        </w:rPr>
        <w:t>forever</w:t>
      </w:r>
    </w:p>
    <w:p w14:paraId="6D096950">
      <w:pPr>
        <w:pStyle w:val="15"/>
        <w:numPr>
          <w:ilvl w:val="0"/>
          <w:numId w:val="0"/>
        </w:numPr>
        <w:tabs>
          <w:tab w:val="left" w:pos="564"/>
          <w:tab w:val="left" w:pos="2544"/>
          <w:tab w:val="left" w:pos="4929"/>
        </w:tabs>
        <w:spacing w:before="135" w:after="0" w:line="240" w:lineRule="auto"/>
        <w:ind w:left="564" w:leftChars="0" w:right="0" w:rightChars="0" w:hanging="450"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54.</w:t>
      </w:r>
      <w:r>
        <w:rPr>
          <w:color w:val="231F20"/>
          <w:sz w:val="30"/>
        </w:rPr>
        <w:t>Heb. 8:8-</w:t>
      </w:r>
      <w:r>
        <w:rPr>
          <w:color w:val="231F20"/>
          <w:spacing w:val="-5"/>
          <w:sz w:val="30"/>
        </w:rPr>
        <w:t>13</w:t>
      </w:r>
      <w:r>
        <w:rPr>
          <w:color w:val="231F20"/>
          <w:sz w:val="30"/>
        </w:rPr>
        <w:tab/>
      </w:r>
      <w:r>
        <w:rPr>
          <w:color w:val="231F20"/>
          <w:sz w:val="30"/>
        </w:rPr>
        <w:t>Jer.</w:t>
      </w:r>
      <w:r>
        <w:rPr>
          <w:color w:val="231F20"/>
          <w:spacing w:val="-17"/>
          <w:sz w:val="30"/>
        </w:rPr>
        <w:t xml:space="preserve"> </w:t>
      </w:r>
      <w:r>
        <w:rPr>
          <w:color w:val="231F20"/>
          <w:spacing w:val="-2"/>
          <w:sz w:val="30"/>
        </w:rPr>
        <w:t>31:31f</w:t>
      </w:r>
      <w:r>
        <w:rPr>
          <w:color w:val="231F20"/>
          <w:sz w:val="30"/>
        </w:rPr>
        <w:tab/>
      </w:r>
      <w:r>
        <w:rPr>
          <w:color w:val="231F20"/>
          <w:sz w:val="30"/>
        </w:rPr>
        <w:t xml:space="preserve">A new </w:t>
      </w:r>
      <w:r>
        <w:rPr>
          <w:color w:val="231F20"/>
          <w:spacing w:val="-2"/>
          <w:sz w:val="30"/>
        </w:rPr>
        <w:t>covenant</w:t>
      </w:r>
    </w:p>
    <w:p w14:paraId="3F32A17C">
      <w:pPr>
        <w:pStyle w:val="15"/>
        <w:numPr>
          <w:ilvl w:val="0"/>
          <w:numId w:val="0"/>
        </w:numPr>
        <w:tabs>
          <w:tab w:val="left" w:pos="564"/>
          <w:tab w:val="left" w:pos="2544"/>
          <w:tab w:val="left" w:pos="4929"/>
        </w:tabs>
        <w:spacing w:before="135" w:after="0" w:line="240" w:lineRule="auto"/>
        <w:ind w:left="564" w:leftChars="0" w:right="0" w:rightChars="0" w:hanging="450"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55.</w:t>
      </w:r>
      <w:r>
        <w:rPr>
          <w:color w:val="231F20"/>
          <w:sz w:val="30"/>
        </w:rPr>
        <w:t>Heb. 10:37-</w:t>
      </w:r>
      <w:r>
        <w:rPr>
          <w:color w:val="231F20"/>
          <w:spacing w:val="-5"/>
          <w:sz w:val="30"/>
        </w:rPr>
        <w:t>38</w:t>
      </w:r>
      <w:r>
        <w:rPr>
          <w:color w:val="231F20"/>
          <w:sz w:val="30"/>
        </w:rPr>
        <w:tab/>
      </w:r>
      <w:r>
        <w:rPr>
          <w:color w:val="231F20"/>
          <w:sz w:val="30"/>
        </w:rPr>
        <w:t>Haggai 2:3-</w:t>
      </w:r>
      <w:r>
        <w:rPr>
          <w:color w:val="231F20"/>
          <w:spacing w:val="-10"/>
          <w:sz w:val="30"/>
        </w:rPr>
        <w:t>4</w:t>
      </w:r>
      <w:r>
        <w:rPr>
          <w:color w:val="231F20"/>
          <w:sz w:val="30"/>
        </w:rPr>
        <w:tab/>
      </w:r>
      <w:r>
        <w:rPr>
          <w:color w:val="231F20"/>
          <w:sz w:val="30"/>
        </w:rPr>
        <w:t xml:space="preserve">The coming One will </w:t>
      </w:r>
      <w:r>
        <w:rPr>
          <w:color w:val="231F20"/>
          <w:spacing w:val="-4"/>
          <w:sz w:val="30"/>
        </w:rPr>
        <w:t>come</w:t>
      </w:r>
    </w:p>
    <w:p w14:paraId="3E521078">
      <w:pPr>
        <w:pStyle w:val="15"/>
        <w:numPr>
          <w:ilvl w:val="0"/>
          <w:numId w:val="0"/>
        </w:numPr>
        <w:tabs>
          <w:tab w:val="left" w:pos="564"/>
          <w:tab w:val="left" w:pos="2544"/>
          <w:tab w:val="left" w:pos="4929"/>
        </w:tabs>
        <w:spacing w:before="135" w:after="0" w:line="240" w:lineRule="auto"/>
        <w:ind w:left="564" w:leftChars="0" w:right="0" w:rightChars="0" w:hanging="450"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56.</w:t>
      </w:r>
      <w:r>
        <w:rPr>
          <w:color w:val="231F20"/>
          <w:sz w:val="30"/>
        </w:rPr>
        <w:t xml:space="preserve">Heb. </w:t>
      </w:r>
      <w:r>
        <w:rPr>
          <w:color w:val="231F20"/>
          <w:spacing w:val="-2"/>
          <w:sz w:val="30"/>
        </w:rPr>
        <w:t>12:26</w:t>
      </w:r>
      <w:r>
        <w:rPr>
          <w:color w:val="231F20"/>
          <w:sz w:val="30"/>
        </w:rPr>
        <w:tab/>
      </w:r>
      <w:r>
        <w:rPr>
          <w:color w:val="231F20"/>
          <w:sz w:val="30"/>
        </w:rPr>
        <w:t xml:space="preserve">Haggai </w:t>
      </w:r>
      <w:r>
        <w:rPr>
          <w:color w:val="231F20"/>
          <w:spacing w:val="-5"/>
          <w:sz w:val="30"/>
        </w:rPr>
        <w:t>2:6</w:t>
      </w:r>
      <w:r>
        <w:rPr>
          <w:color w:val="231F20"/>
          <w:sz w:val="30"/>
        </w:rPr>
        <w:tab/>
      </w:r>
      <w:r>
        <w:rPr>
          <w:color w:val="231F20"/>
          <w:sz w:val="30"/>
        </w:rPr>
        <w:t xml:space="preserve">Once more I will </w:t>
      </w:r>
      <w:r>
        <w:rPr>
          <w:color w:val="231F20"/>
          <w:spacing w:val="-2"/>
          <w:sz w:val="30"/>
        </w:rPr>
        <w:t>shake</w:t>
      </w:r>
    </w:p>
    <w:p w14:paraId="63BE13B0">
      <w:pPr>
        <w:pStyle w:val="15"/>
        <w:spacing w:after="0" w:line="240" w:lineRule="auto"/>
        <w:jc w:val="left"/>
        <w:rPr>
          <w:sz w:val="30"/>
        </w:rPr>
        <w:sectPr>
          <w:type w:val="continuous"/>
          <w:pgSz w:w="12240" w:h="15840"/>
          <w:pgMar w:top="1820" w:right="1440" w:bottom="280" w:left="1440" w:header="720" w:footer="720" w:gutter="0"/>
          <w:cols w:space="720" w:num="1"/>
        </w:sectPr>
      </w:pPr>
    </w:p>
    <w:p w14:paraId="54244CFC">
      <w:pPr>
        <w:pStyle w:val="15"/>
        <w:numPr>
          <w:ilvl w:val="0"/>
          <w:numId w:val="0"/>
        </w:numPr>
        <w:tabs>
          <w:tab w:val="left" w:pos="564"/>
          <w:tab w:val="left" w:pos="2544"/>
        </w:tabs>
        <w:spacing w:before="135" w:after="0" w:line="442" w:lineRule="exact"/>
        <w:ind w:left="564" w:leftChars="0" w:right="0" w:rightChars="0" w:hanging="450" w:firstLineChars="0"/>
        <w:jc w:val="left"/>
        <w:rPr>
          <w:position w:val="18"/>
          <w:sz w:val="30"/>
        </w:rPr>
      </w:pPr>
      <w:r>
        <w:rPr>
          <w:rFonts w:hint="default" w:ascii="Times New Roman" w:hAnsi="Times New Roman" w:eastAsia="Times New Roman" w:cs="Times New Roman"/>
          <w:b w:val="0"/>
          <w:bCs w:val="0"/>
          <w:i w:val="0"/>
          <w:iCs w:val="0"/>
          <w:color w:val="231F20"/>
          <w:spacing w:val="0"/>
          <w:w w:val="100"/>
          <w:position w:val="18"/>
          <w:sz w:val="30"/>
          <w:szCs w:val="30"/>
          <w:lang w:val="en-US" w:eastAsia="en-US" w:bidi="ar-SA"/>
        </w:rPr>
        <w:t>57.</w:t>
      </w:r>
      <w:r>
        <w:rPr>
          <w:color w:val="231F20"/>
          <w:sz w:val="30"/>
        </w:rPr>
        <w:t>1 Peter 2:4-</w:t>
      </w:r>
      <w:r>
        <w:rPr>
          <w:color w:val="231F20"/>
          <w:spacing w:val="-10"/>
          <w:sz w:val="30"/>
        </w:rPr>
        <w:t>8</w:t>
      </w:r>
      <w:r>
        <w:rPr>
          <w:color w:val="231F20"/>
          <w:sz w:val="30"/>
        </w:rPr>
        <w:tab/>
      </w:r>
      <w:r>
        <w:rPr>
          <w:color w:val="231F20"/>
          <w:position w:val="18"/>
          <w:sz w:val="30"/>
        </w:rPr>
        <w:t xml:space="preserve">Isaiah </w:t>
      </w:r>
      <w:r>
        <w:rPr>
          <w:color w:val="231F20"/>
          <w:spacing w:val="-2"/>
          <w:position w:val="18"/>
          <w:sz w:val="30"/>
        </w:rPr>
        <w:t>28:16,</w:t>
      </w:r>
    </w:p>
    <w:p w14:paraId="4877BABF">
      <w:pPr>
        <w:pStyle w:val="9"/>
        <w:spacing w:before="0" w:line="262" w:lineRule="exact"/>
        <w:ind w:left="2544"/>
        <w:jc w:val="left"/>
      </w:pPr>
      <w:r>
        <w:rPr>
          <w:color w:val="231F20"/>
        </w:rPr>
        <w:t xml:space="preserve">Psalm </w:t>
      </w:r>
      <w:r>
        <w:rPr>
          <w:color w:val="231F20"/>
          <w:spacing w:val="-2"/>
        </w:rPr>
        <w:t>118:22</w:t>
      </w:r>
    </w:p>
    <w:p w14:paraId="1CEED255">
      <w:pPr>
        <w:pStyle w:val="9"/>
        <w:spacing w:before="135"/>
        <w:ind w:left="2544"/>
        <w:jc w:val="left"/>
      </w:pPr>
      <w:r>
        <w:rPr>
          <w:color w:val="231F20"/>
        </w:rPr>
        <w:t xml:space="preserve">Isaiah </w:t>
      </w:r>
      <w:r>
        <w:rPr>
          <w:color w:val="231F20"/>
          <w:spacing w:val="-2"/>
        </w:rPr>
        <w:t>43:20,</w:t>
      </w:r>
    </w:p>
    <w:p w14:paraId="7C01150C">
      <w:pPr>
        <w:pStyle w:val="9"/>
        <w:spacing w:before="315"/>
        <w:ind w:left="114"/>
        <w:jc w:val="left"/>
      </w:pPr>
      <w:r>
        <w:br w:type="column"/>
      </w:r>
      <w:r>
        <w:rPr>
          <w:color w:val="231F20"/>
        </w:rPr>
        <w:t xml:space="preserve">The rejected </w:t>
      </w:r>
      <w:r>
        <w:rPr>
          <w:color w:val="231F20"/>
          <w:spacing w:val="-2"/>
        </w:rPr>
        <w:t>cornerstone</w:t>
      </w:r>
    </w:p>
    <w:p w14:paraId="6049681A">
      <w:pPr>
        <w:pStyle w:val="9"/>
        <w:spacing w:after="0"/>
        <w:jc w:val="left"/>
        <w:sectPr>
          <w:type w:val="continuous"/>
          <w:pgSz w:w="12240" w:h="15840"/>
          <w:pgMar w:top="1820" w:right="1440" w:bottom="280" w:left="1440" w:header="720" w:footer="720" w:gutter="0"/>
          <w:cols w:equalWidth="0" w:num="2">
            <w:col w:w="4216" w:space="599"/>
            <w:col w:w="4545"/>
          </w:cols>
        </w:sectPr>
      </w:pPr>
    </w:p>
    <w:p w14:paraId="6C71448A">
      <w:pPr>
        <w:pStyle w:val="15"/>
        <w:numPr>
          <w:ilvl w:val="0"/>
          <w:numId w:val="0"/>
        </w:numPr>
        <w:tabs>
          <w:tab w:val="left" w:pos="564"/>
        </w:tabs>
        <w:spacing w:before="15" w:after="0" w:line="240" w:lineRule="auto"/>
        <w:ind w:left="564" w:leftChars="0" w:right="0" w:rightChars="0" w:hanging="450"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58.</w:t>
      </w:r>
      <w:r>
        <w:rPr>
          <w:color w:val="231F20"/>
          <w:sz w:val="30"/>
        </w:rPr>
        <w:t>1 Peter 2:9-</w:t>
      </w:r>
      <w:r>
        <w:rPr>
          <w:color w:val="231F20"/>
          <w:spacing w:val="-5"/>
          <w:sz w:val="30"/>
        </w:rPr>
        <w:t>10</w:t>
      </w:r>
    </w:p>
    <w:p w14:paraId="36DE3B09">
      <w:pPr>
        <w:pStyle w:val="9"/>
        <w:spacing w:before="0"/>
        <w:ind w:left="0"/>
        <w:jc w:val="left"/>
      </w:pPr>
    </w:p>
    <w:p w14:paraId="3009F70E">
      <w:pPr>
        <w:pStyle w:val="9"/>
        <w:spacing w:before="165"/>
        <w:ind w:left="0"/>
        <w:jc w:val="left"/>
      </w:pPr>
    </w:p>
    <w:p w14:paraId="4B7B43E8">
      <w:pPr>
        <w:pStyle w:val="15"/>
        <w:numPr>
          <w:ilvl w:val="0"/>
          <w:numId w:val="0"/>
        </w:numPr>
        <w:tabs>
          <w:tab w:val="left" w:pos="564"/>
        </w:tabs>
        <w:spacing w:before="0" w:after="0" w:line="240" w:lineRule="auto"/>
        <w:ind w:left="564" w:leftChars="0" w:right="0" w:rightChars="0" w:hanging="450"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59.</w:t>
      </w:r>
      <w:r>
        <w:rPr>
          <w:color w:val="231F20"/>
          <w:sz w:val="30"/>
        </w:rPr>
        <w:t xml:space="preserve">2 Peter 3:4, </w:t>
      </w:r>
      <w:r>
        <w:rPr>
          <w:color w:val="231F20"/>
          <w:spacing w:val="-5"/>
          <w:sz w:val="30"/>
        </w:rPr>
        <w:t>10</w:t>
      </w:r>
    </w:p>
    <w:p w14:paraId="64E32F24">
      <w:pPr>
        <w:pStyle w:val="9"/>
        <w:spacing w:before="15"/>
        <w:ind w:left="114"/>
        <w:jc w:val="left"/>
      </w:pPr>
      <w:r>
        <w:br w:type="column"/>
      </w:r>
      <w:r>
        <w:rPr>
          <w:color w:val="231F20"/>
        </w:rPr>
        <w:t xml:space="preserve">61:6, </w:t>
      </w:r>
      <w:r>
        <w:rPr>
          <w:color w:val="231F20"/>
          <w:spacing w:val="-2"/>
        </w:rPr>
        <w:t>66:21,</w:t>
      </w:r>
    </w:p>
    <w:p w14:paraId="6A22E3A4">
      <w:pPr>
        <w:pStyle w:val="9"/>
        <w:spacing w:before="15"/>
        <w:ind w:left="114"/>
        <w:jc w:val="left"/>
      </w:pPr>
      <w:r>
        <w:rPr>
          <w:color w:val="231F20"/>
        </w:rPr>
        <w:t xml:space="preserve">Hosea 1:10, </w:t>
      </w:r>
      <w:r>
        <w:rPr>
          <w:color w:val="231F20"/>
          <w:spacing w:val="-4"/>
        </w:rPr>
        <w:t>2:23</w:t>
      </w:r>
    </w:p>
    <w:p w14:paraId="42962BE7">
      <w:pPr>
        <w:pStyle w:val="9"/>
        <w:spacing w:before="135"/>
        <w:ind w:left="114"/>
        <w:jc w:val="left"/>
      </w:pPr>
      <w:r>
        <w:rPr>
          <w:color w:val="231F20"/>
        </w:rPr>
        <w:t xml:space="preserve">Isaiah 2, </w:t>
      </w:r>
      <w:r>
        <w:rPr>
          <w:color w:val="231F20"/>
          <w:spacing w:val="-5"/>
        </w:rPr>
        <w:t>13</w:t>
      </w:r>
    </w:p>
    <w:p w14:paraId="33251768">
      <w:pPr>
        <w:pStyle w:val="9"/>
        <w:spacing w:before="15"/>
        <w:ind w:left="114"/>
        <w:jc w:val="left"/>
      </w:pPr>
      <w:r>
        <w:rPr>
          <w:color w:val="231F20"/>
        </w:rPr>
        <w:t xml:space="preserve">Joel 2, Zeph. </w:t>
      </w:r>
      <w:r>
        <w:rPr>
          <w:color w:val="231F20"/>
          <w:spacing w:val="-10"/>
        </w:rPr>
        <w:t>1</w:t>
      </w:r>
    </w:p>
    <w:p w14:paraId="13B26C9A">
      <w:pPr>
        <w:pStyle w:val="9"/>
        <w:spacing w:before="15"/>
        <w:ind w:left="114"/>
        <w:jc w:val="left"/>
      </w:pPr>
      <w:r>
        <w:rPr>
          <w:color w:val="231F20"/>
        </w:rPr>
        <w:t xml:space="preserve">Mal. 4, </w:t>
      </w:r>
      <w:r>
        <w:rPr>
          <w:color w:val="231F20"/>
          <w:spacing w:val="-4"/>
        </w:rPr>
        <w:t>etc.</w:t>
      </w:r>
    </w:p>
    <w:p w14:paraId="2F6FB0F8">
      <w:pPr>
        <w:pStyle w:val="9"/>
        <w:spacing w:before="15"/>
        <w:ind w:left="114"/>
        <w:jc w:val="left"/>
      </w:pPr>
      <w:r>
        <w:br w:type="column"/>
      </w:r>
      <w:r>
        <w:rPr>
          <w:color w:val="231F20"/>
        </w:rPr>
        <w:t xml:space="preserve">A chosen race, nation, </w:t>
      </w:r>
      <w:r>
        <w:rPr>
          <w:color w:val="231F20"/>
          <w:spacing w:val="-2"/>
        </w:rPr>
        <w:t>priesthood</w:t>
      </w:r>
    </w:p>
    <w:p w14:paraId="5FBD33A4">
      <w:pPr>
        <w:pStyle w:val="9"/>
        <w:spacing w:before="0"/>
        <w:ind w:left="0"/>
        <w:jc w:val="left"/>
      </w:pPr>
    </w:p>
    <w:p w14:paraId="1B369A04">
      <w:pPr>
        <w:pStyle w:val="9"/>
        <w:spacing w:before="165"/>
        <w:ind w:left="0"/>
        <w:jc w:val="left"/>
      </w:pPr>
    </w:p>
    <w:p w14:paraId="21D944E8">
      <w:pPr>
        <w:pStyle w:val="9"/>
        <w:spacing w:before="0"/>
        <w:ind w:left="114"/>
        <w:jc w:val="left"/>
      </w:pPr>
      <w:r>
        <w:rPr>
          <w:color w:val="231F20"/>
        </w:rPr>
        <w:t xml:space="preserve">The Day of the </w:t>
      </w:r>
      <w:r>
        <w:rPr>
          <w:color w:val="231F20"/>
          <w:spacing w:val="-4"/>
        </w:rPr>
        <w:t>Lord</w:t>
      </w:r>
    </w:p>
    <w:p w14:paraId="074DC4DD">
      <w:pPr>
        <w:pStyle w:val="9"/>
        <w:spacing w:after="0"/>
        <w:jc w:val="left"/>
        <w:sectPr>
          <w:type w:val="continuous"/>
          <w:pgSz w:w="12240" w:h="15840"/>
          <w:pgMar w:top="1820" w:right="1440" w:bottom="280" w:left="1440" w:header="720" w:footer="720" w:gutter="0"/>
          <w:cols w:equalWidth="0" w:num="3">
            <w:col w:w="2355" w:space="75"/>
            <w:col w:w="2197" w:space="188"/>
            <w:col w:w="4545"/>
          </w:cols>
        </w:sectPr>
      </w:pPr>
    </w:p>
    <w:p w14:paraId="06AF4690">
      <w:pPr>
        <w:pStyle w:val="15"/>
        <w:numPr>
          <w:ilvl w:val="0"/>
          <w:numId w:val="0"/>
        </w:numPr>
        <w:tabs>
          <w:tab w:val="left" w:pos="564"/>
          <w:tab w:val="left" w:pos="2544"/>
        </w:tabs>
        <w:spacing w:before="135" w:after="0" w:line="240" w:lineRule="auto"/>
        <w:ind w:left="564" w:leftChars="0" w:right="0" w:rightChars="0" w:hanging="450"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60.</w:t>
      </w:r>
      <w:r>
        <w:rPr>
          <w:color w:val="231F20"/>
          <w:sz w:val="30"/>
        </w:rPr>
        <w:t xml:space="preserve">2 Peter </w:t>
      </w:r>
      <w:r>
        <w:rPr>
          <w:color w:val="231F20"/>
          <w:spacing w:val="-4"/>
          <w:sz w:val="30"/>
        </w:rPr>
        <w:t>3:13</w:t>
      </w:r>
      <w:r>
        <w:rPr>
          <w:color w:val="231F20"/>
          <w:sz w:val="30"/>
        </w:rPr>
        <w:tab/>
      </w:r>
      <w:r>
        <w:rPr>
          <w:color w:val="231F20"/>
          <w:sz w:val="30"/>
        </w:rPr>
        <w:t>Isaiah 65:17, 66:22</w:t>
      </w:r>
      <w:r>
        <w:rPr>
          <w:color w:val="231F20"/>
          <w:spacing w:val="2"/>
          <w:sz w:val="30"/>
        </w:rPr>
        <w:t xml:space="preserve"> </w:t>
      </w:r>
      <w:r>
        <w:rPr>
          <w:color w:val="231F20"/>
          <w:sz w:val="30"/>
        </w:rPr>
        <w:t xml:space="preserve">New heavens, new </w:t>
      </w:r>
      <w:r>
        <w:rPr>
          <w:color w:val="231F20"/>
          <w:spacing w:val="-2"/>
          <w:sz w:val="30"/>
        </w:rPr>
        <w:t>earth</w:t>
      </w:r>
    </w:p>
    <w:p w14:paraId="354FA230">
      <w:pPr>
        <w:pStyle w:val="15"/>
        <w:spacing w:after="0" w:line="240" w:lineRule="auto"/>
        <w:jc w:val="left"/>
        <w:rPr>
          <w:sz w:val="30"/>
        </w:rPr>
      </w:pPr>
    </w:p>
    <w:p w14:paraId="317E291C">
      <w:pPr>
        <w:pStyle w:val="15"/>
        <w:spacing w:after="0" w:line="240" w:lineRule="auto"/>
        <w:jc w:val="left"/>
        <w:rPr>
          <w:sz w:val="30"/>
        </w:rPr>
        <w:sectPr>
          <w:type w:val="continuous"/>
          <w:pgSz w:w="12240" w:h="15840"/>
          <w:pgMar w:top="1820" w:right="1440" w:bottom="280" w:left="1440" w:header="720" w:footer="720" w:gutter="0"/>
          <w:cols w:space="720" w:num="1"/>
        </w:sectPr>
      </w:pPr>
      <w:r>
        <w:drawing>
          <wp:inline distT="0" distB="0" distL="114300" distR="114300">
            <wp:extent cx="4438650" cy="4838700"/>
            <wp:effectExtent l="0" t="0" r="11430" b="7620"/>
            <wp:docPr id="2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4"/>
                    <pic:cNvPicPr>
                      <a:picLocks noChangeAspect="1"/>
                    </pic:cNvPicPr>
                  </pic:nvPicPr>
                  <pic:blipFill>
                    <a:blip r:embed="rId46"/>
                    <a:stretch>
                      <a:fillRect/>
                    </a:stretch>
                  </pic:blipFill>
                  <pic:spPr>
                    <a:xfrm>
                      <a:off x="0" y="0"/>
                      <a:ext cx="4438650" cy="4838700"/>
                    </a:xfrm>
                    <a:prstGeom prst="rect">
                      <a:avLst/>
                    </a:prstGeom>
                    <a:noFill/>
                    <a:ln>
                      <a:noFill/>
                    </a:ln>
                  </pic:spPr>
                </pic:pic>
              </a:graphicData>
            </a:graphic>
          </wp:inline>
        </w:drawing>
      </w:r>
    </w:p>
    <w:p w14:paraId="1AFD7FCF">
      <w:pPr>
        <w:pStyle w:val="9"/>
        <w:spacing w:before="11"/>
        <w:ind w:left="0"/>
        <w:jc w:val="left"/>
        <w:rPr>
          <w:sz w:val="15"/>
        </w:rPr>
      </w:pPr>
      <w:bookmarkStart w:id="77" w:name="_bookmark207"/>
      <w:bookmarkEnd w:id="77"/>
    </w:p>
    <w:p w14:paraId="798BFAD5">
      <w:pPr>
        <w:pStyle w:val="2"/>
        <w:bidi w:val="0"/>
        <w:rPr>
          <w:rFonts w:hint="eastAsia"/>
        </w:rPr>
      </w:pPr>
      <w:r>
        <w:rPr>
          <w:rFonts w:hint="eastAsia"/>
        </w:rPr>
        <w:t>Appendix 8</w:t>
      </w:r>
    </w:p>
    <w:p w14:paraId="7A755F43">
      <w:pPr>
        <w:pStyle w:val="2"/>
        <w:bidi w:val="0"/>
        <w:rPr>
          <w:rFonts w:hint="eastAsia"/>
        </w:rPr>
      </w:pPr>
      <w:r>
        <w:rPr>
          <w:rFonts w:hint="eastAsia"/>
        </w:rPr>
        <w:t>附录8</w:t>
      </w:r>
    </w:p>
    <w:p w14:paraId="60F3021E">
      <w:pPr>
        <w:pStyle w:val="9"/>
        <w:spacing w:before="101"/>
        <w:ind w:left="0"/>
        <w:jc w:val="left"/>
        <w:rPr>
          <w:rFonts w:hint="eastAsia"/>
          <w:color w:val="231F20"/>
        </w:rPr>
      </w:pPr>
    </w:p>
    <w:p w14:paraId="37744643">
      <w:pPr>
        <w:pStyle w:val="3"/>
        <w:bidi w:val="0"/>
        <w:rPr>
          <w:rFonts w:hint="eastAsia"/>
        </w:rPr>
      </w:pPr>
      <w:r>
        <w:rPr>
          <w:rFonts w:hint="eastAsia"/>
        </w:rPr>
        <w:t>New Testament Texts Touching on the Parousia/Consummation</w:t>
      </w:r>
    </w:p>
    <w:p w14:paraId="5AD14AC7">
      <w:pPr>
        <w:pStyle w:val="3"/>
        <w:bidi w:val="0"/>
        <w:rPr>
          <w:rFonts w:hint="eastAsia"/>
        </w:rPr>
      </w:pPr>
      <w:r>
        <w:rPr>
          <w:rFonts w:hint="eastAsia"/>
        </w:rPr>
        <w:t>论及主的再来/结局的新约经文</w:t>
      </w:r>
    </w:p>
    <w:p w14:paraId="59236A77">
      <w:pPr>
        <w:pStyle w:val="9"/>
        <w:spacing w:before="101"/>
        <w:ind w:left="0"/>
        <w:jc w:val="left"/>
        <w:rPr>
          <w:rFonts w:hint="eastAsia"/>
          <w:color w:val="231F20"/>
        </w:rPr>
      </w:pPr>
    </w:p>
    <w:p w14:paraId="1A7079CA">
      <w:pPr>
        <w:pStyle w:val="9"/>
        <w:spacing w:before="101"/>
        <w:ind w:left="0"/>
        <w:jc w:val="left"/>
        <w:rPr>
          <w:rFonts w:hint="eastAsia"/>
          <w:color w:val="231F20"/>
        </w:rPr>
      </w:pPr>
      <w:r>
        <w:rPr>
          <w:rFonts w:hint="eastAsia"/>
          <w:color w:val="231F20"/>
        </w:rPr>
        <w:t>HERE IS A fulsome list of texts from the Didactic New Testament (i.e., the Gospels, the Book of Acts, and the Epistles) touching on the Parousia and the Consummation.</w:t>
      </w:r>
    </w:p>
    <w:p w14:paraId="5BFB4E37">
      <w:pPr>
        <w:pStyle w:val="9"/>
        <w:spacing w:before="101"/>
        <w:ind w:left="0"/>
        <w:jc w:val="left"/>
        <w:rPr>
          <w:rFonts w:hint="eastAsia"/>
          <w:color w:val="231F20"/>
        </w:rPr>
      </w:pPr>
      <w:r>
        <w:rPr>
          <w:rFonts w:hint="eastAsia"/>
          <w:color w:val="231F20"/>
        </w:rPr>
        <w:t>这是一份详尽的列表，列出了教义性新约（即福音书、使徒行传和书信）中论及主的再来和结局的经文。</w:t>
      </w:r>
    </w:p>
    <w:p w14:paraId="592728AA">
      <w:pPr>
        <w:pStyle w:val="9"/>
        <w:spacing w:before="101"/>
        <w:ind w:left="0"/>
        <w:jc w:val="left"/>
        <w:rPr>
          <w:rFonts w:hint="eastAsia"/>
          <w:color w:val="231F20"/>
        </w:rPr>
      </w:pPr>
    </w:p>
    <w:p w14:paraId="731BE8F3">
      <w:pPr>
        <w:pStyle w:val="9"/>
        <w:spacing w:before="101"/>
        <w:ind w:left="0"/>
        <w:jc w:val="left"/>
        <w:rPr>
          <w:rFonts w:hint="eastAsia"/>
          <w:color w:val="231F20"/>
        </w:rPr>
      </w:pPr>
      <w:r>
        <w:rPr>
          <w:rFonts w:hint="eastAsia"/>
          <w:color w:val="231F20"/>
        </w:rPr>
        <w:t>In our journey, we have closely examined a number of the most important.</w:t>
      </w:r>
    </w:p>
    <w:p w14:paraId="31EE2A8B">
      <w:pPr>
        <w:pStyle w:val="9"/>
        <w:spacing w:before="101"/>
        <w:ind w:left="0"/>
        <w:jc w:val="left"/>
        <w:rPr>
          <w:rFonts w:hint="eastAsia"/>
          <w:color w:val="231F20"/>
        </w:rPr>
      </w:pPr>
      <w:r>
        <w:rPr>
          <w:rFonts w:hint="eastAsia"/>
          <w:color w:val="231F20"/>
        </w:rPr>
        <w:t>在我们的旅程中，我们已经仔细查考了其中一些最重要的经文。</w:t>
      </w:r>
    </w:p>
    <w:p w14:paraId="2760804A">
      <w:pPr>
        <w:pStyle w:val="9"/>
        <w:spacing w:before="101"/>
        <w:ind w:left="0"/>
        <w:jc w:val="left"/>
        <w:rPr>
          <w:rFonts w:hint="eastAsia"/>
          <w:color w:val="231F20"/>
        </w:rPr>
      </w:pPr>
    </w:p>
    <w:p w14:paraId="046FF02C">
      <w:pPr>
        <w:pStyle w:val="9"/>
        <w:spacing w:before="101"/>
        <w:ind w:left="0"/>
        <w:jc w:val="left"/>
        <w:rPr>
          <w:rFonts w:hint="eastAsia"/>
          <w:color w:val="231F20"/>
        </w:rPr>
      </w:pPr>
      <w:r>
        <w:rPr>
          <w:rFonts w:hint="eastAsia"/>
          <w:color w:val="231F20"/>
        </w:rPr>
        <w:t>As you use this chart to study the rest, I trust you will find that each one confirms the central thesis of this book: God has a planned a single, Christ-centered Consummation for the end of the present evil age, when, at the Lord’s one Parousia, he raises the dead, judges the world in righteousness, destroys the present earth and its works by fire, and creates new heavens and a new earth, the eternal home of the redeemed.</w:t>
      </w:r>
    </w:p>
    <w:p w14:paraId="1D0BA7DA">
      <w:pPr>
        <w:pStyle w:val="9"/>
        <w:spacing w:before="101"/>
        <w:ind w:left="0"/>
        <w:jc w:val="left"/>
        <w:rPr>
          <w:rFonts w:hint="eastAsia"/>
          <w:color w:val="231F20"/>
        </w:rPr>
      </w:pPr>
      <w:r>
        <w:rPr>
          <w:rFonts w:hint="eastAsia"/>
          <w:color w:val="231F20"/>
        </w:rPr>
        <w:t>当你们使用这份列表来研读其余的经文时，我相信你们会发现，每一处经文都证实了本书的中心论点：神已为现今邪恶世代的终结，计划了一个单一的、以基督为中心的结局，届时，在主那唯一的再来之时，祂要使死人复活，按公义审判世界，用火焚烧现今的地和其上的工程，并创造新天新地，作为被赎之民的永恒家园。</w:t>
      </w:r>
    </w:p>
    <w:p w14:paraId="34A9924B">
      <w:pPr>
        <w:pStyle w:val="9"/>
        <w:spacing w:before="101"/>
        <w:ind w:left="0"/>
        <w:jc w:val="left"/>
        <w:rPr>
          <w:rFonts w:hint="eastAsia"/>
          <w:color w:val="231F20"/>
        </w:rPr>
      </w:pPr>
    </w:p>
    <w:p w14:paraId="5DB3431B">
      <w:pPr>
        <w:pStyle w:val="9"/>
        <w:spacing w:before="101"/>
        <w:ind w:left="0"/>
        <w:jc w:val="left"/>
        <w:rPr>
          <w:rFonts w:hint="eastAsia"/>
          <w:color w:val="231F20"/>
        </w:rPr>
      </w:pPr>
    </w:p>
    <w:p w14:paraId="2F43DC34">
      <w:pPr>
        <w:pStyle w:val="9"/>
        <w:spacing w:before="101"/>
        <w:ind w:left="0"/>
        <w:jc w:val="left"/>
        <w:rPr>
          <w:rFonts w:hint="eastAsia"/>
          <w:color w:val="231F20"/>
        </w:rPr>
      </w:pPr>
    </w:p>
    <w:p w14:paraId="2CD4036F">
      <w:pPr>
        <w:pStyle w:val="7"/>
        <w:tabs>
          <w:tab w:val="left" w:pos="5040"/>
        </w:tabs>
        <w:spacing w:before="1"/>
        <w:ind w:left="489"/>
        <w:jc w:val="left"/>
      </w:pPr>
      <w:r>
        <w:rPr>
          <w:color w:val="231F20"/>
          <w:spacing w:val="-4"/>
        </w:rPr>
        <w:t>Text</w:t>
      </w:r>
      <w:r>
        <w:rPr>
          <w:color w:val="231F20"/>
        </w:rPr>
        <w:tab/>
      </w:r>
      <w:r>
        <w:rPr>
          <w:color w:val="231F20"/>
        </w:rPr>
        <w:t>Gist</w:t>
      </w:r>
      <w:r>
        <w:rPr>
          <w:color w:val="231F20"/>
          <w:spacing w:val="-2"/>
        </w:rPr>
        <w:t xml:space="preserve"> </w:t>
      </w:r>
      <w:r>
        <w:rPr>
          <w:color w:val="231F20"/>
        </w:rPr>
        <w:t xml:space="preserve">of </w:t>
      </w:r>
      <w:r>
        <w:rPr>
          <w:color w:val="231F20"/>
          <w:spacing w:val="-4"/>
        </w:rPr>
        <w:t>Text</w:t>
      </w:r>
    </w:p>
    <w:p w14:paraId="2DB41058">
      <w:pPr>
        <w:pStyle w:val="8"/>
        <w:spacing w:before="90"/>
        <w:ind w:left="114"/>
        <w:jc w:val="left"/>
      </w:pPr>
      <w:r>
        <w:rPr>
          <w:color w:val="231F20"/>
          <w:spacing w:val="-2"/>
        </w:rPr>
        <w:t>Matthew</w:t>
      </w:r>
    </w:p>
    <w:p w14:paraId="38BC34CD">
      <w:pPr>
        <w:pStyle w:val="15"/>
        <w:numPr>
          <w:ilvl w:val="0"/>
          <w:numId w:val="0"/>
        </w:numPr>
        <w:tabs>
          <w:tab w:val="left" w:pos="519"/>
          <w:tab w:val="left" w:pos="2334"/>
        </w:tabs>
        <w:spacing w:before="135" w:after="0" w:line="240" w:lineRule="auto"/>
        <w:ind w:left="519" w:leftChars="0" w:right="0" w:rightChars="0" w:hanging="405"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w:t>
      </w:r>
      <w:r>
        <w:rPr>
          <w:color w:val="231F20"/>
          <w:sz w:val="30"/>
        </w:rPr>
        <w:t>12:18-</w:t>
      </w:r>
      <w:r>
        <w:rPr>
          <w:color w:val="231F20"/>
          <w:spacing w:val="-5"/>
          <w:sz w:val="30"/>
        </w:rPr>
        <w:t>20</w:t>
      </w:r>
      <w:r>
        <w:rPr>
          <w:color w:val="231F20"/>
          <w:sz w:val="30"/>
        </w:rPr>
        <w:tab/>
      </w:r>
      <w:r>
        <w:rPr>
          <w:color w:val="231F20"/>
          <w:sz w:val="30"/>
        </w:rPr>
        <w:t>Till</w:t>
      </w:r>
      <w:r>
        <w:rPr>
          <w:color w:val="231F20"/>
          <w:spacing w:val="-2"/>
          <w:sz w:val="30"/>
        </w:rPr>
        <w:t xml:space="preserve"> </w:t>
      </w:r>
      <w:r>
        <w:rPr>
          <w:color w:val="231F20"/>
          <w:sz w:val="30"/>
        </w:rPr>
        <w:t>he</w:t>
      </w:r>
      <w:r>
        <w:rPr>
          <w:color w:val="231F20"/>
          <w:spacing w:val="-2"/>
          <w:sz w:val="30"/>
        </w:rPr>
        <w:t xml:space="preserve"> </w:t>
      </w:r>
      <w:r>
        <w:rPr>
          <w:color w:val="231F20"/>
          <w:sz w:val="30"/>
        </w:rPr>
        <w:t>sends</w:t>
      </w:r>
      <w:r>
        <w:rPr>
          <w:color w:val="231F20"/>
          <w:spacing w:val="-2"/>
          <w:sz w:val="30"/>
        </w:rPr>
        <w:t xml:space="preserve"> </w:t>
      </w:r>
      <w:r>
        <w:rPr>
          <w:color w:val="231F20"/>
          <w:sz w:val="30"/>
        </w:rPr>
        <w:t>forth</w:t>
      </w:r>
      <w:r>
        <w:rPr>
          <w:color w:val="231F20"/>
          <w:spacing w:val="-2"/>
          <w:sz w:val="30"/>
        </w:rPr>
        <w:t xml:space="preserve"> </w:t>
      </w:r>
      <w:r>
        <w:rPr>
          <w:color w:val="231F20"/>
          <w:sz w:val="30"/>
        </w:rPr>
        <w:t>judgment</w:t>
      </w:r>
      <w:r>
        <w:rPr>
          <w:color w:val="231F20"/>
          <w:spacing w:val="-2"/>
          <w:sz w:val="30"/>
        </w:rPr>
        <w:t xml:space="preserve"> </w:t>
      </w:r>
      <w:r>
        <w:rPr>
          <w:color w:val="231F20"/>
          <w:sz w:val="30"/>
        </w:rPr>
        <w:t>to</w:t>
      </w:r>
      <w:r>
        <w:rPr>
          <w:color w:val="231F20"/>
          <w:spacing w:val="-1"/>
          <w:sz w:val="30"/>
        </w:rPr>
        <w:t xml:space="preserve"> </w:t>
      </w:r>
      <w:r>
        <w:rPr>
          <w:color w:val="231F20"/>
          <w:spacing w:val="-2"/>
          <w:sz w:val="30"/>
        </w:rPr>
        <w:t>victory</w:t>
      </w:r>
    </w:p>
    <w:p w14:paraId="3BEDB0D9">
      <w:pPr>
        <w:pStyle w:val="15"/>
        <w:numPr>
          <w:ilvl w:val="0"/>
          <w:numId w:val="0"/>
        </w:numPr>
        <w:tabs>
          <w:tab w:val="left" w:pos="519"/>
          <w:tab w:val="left" w:pos="2334"/>
        </w:tabs>
        <w:spacing w:before="45" w:after="0" w:line="240" w:lineRule="auto"/>
        <w:ind w:left="519" w:leftChars="0" w:right="0" w:rightChars="0" w:hanging="405"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w:t>
      </w:r>
      <w:r>
        <w:rPr>
          <w:color w:val="231F20"/>
          <w:sz w:val="30"/>
        </w:rPr>
        <w:t>13:37-</w:t>
      </w:r>
      <w:r>
        <w:rPr>
          <w:color w:val="231F20"/>
          <w:spacing w:val="-5"/>
          <w:sz w:val="30"/>
        </w:rPr>
        <w:t>43</w:t>
      </w:r>
      <w:r>
        <w:rPr>
          <w:color w:val="231F20"/>
          <w:sz w:val="30"/>
        </w:rPr>
        <w:tab/>
      </w:r>
      <w:r>
        <w:rPr>
          <w:color w:val="231F20"/>
          <w:sz w:val="30"/>
        </w:rPr>
        <w:t xml:space="preserve">The parable of the wheat and the </w:t>
      </w:r>
      <w:r>
        <w:rPr>
          <w:color w:val="231F20"/>
          <w:spacing w:val="-2"/>
          <w:sz w:val="30"/>
        </w:rPr>
        <w:t>tares</w:t>
      </w:r>
    </w:p>
    <w:p w14:paraId="61910A94">
      <w:pPr>
        <w:pStyle w:val="15"/>
        <w:numPr>
          <w:ilvl w:val="0"/>
          <w:numId w:val="0"/>
        </w:numPr>
        <w:tabs>
          <w:tab w:val="left" w:pos="519"/>
          <w:tab w:val="left" w:pos="2334"/>
        </w:tabs>
        <w:spacing w:before="45" w:after="0" w:line="240" w:lineRule="auto"/>
        <w:ind w:left="519" w:leftChars="0" w:right="0" w:rightChars="0" w:hanging="405"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3.</w:t>
      </w:r>
      <w:r>
        <w:rPr>
          <w:color w:val="231F20"/>
          <w:sz w:val="30"/>
        </w:rPr>
        <w:t>13:47-</w:t>
      </w:r>
      <w:r>
        <w:rPr>
          <w:color w:val="231F20"/>
          <w:spacing w:val="-5"/>
          <w:sz w:val="30"/>
        </w:rPr>
        <w:t>50</w:t>
      </w:r>
      <w:r>
        <w:rPr>
          <w:color w:val="231F20"/>
          <w:sz w:val="30"/>
        </w:rPr>
        <w:tab/>
      </w:r>
      <w:r>
        <w:rPr>
          <w:color w:val="231F20"/>
          <w:sz w:val="30"/>
        </w:rPr>
        <w:t xml:space="preserve">The parable of the </w:t>
      </w:r>
      <w:r>
        <w:rPr>
          <w:color w:val="231F20"/>
          <w:spacing w:val="-2"/>
          <w:sz w:val="30"/>
        </w:rPr>
        <w:t>dragnet</w:t>
      </w:r>
    </w:p>
    <w:p w14:paraId="100787B3">
      <w:pPr>
        <w:pStyle w:val="15"/>
        <w:numPr>
          <w:ilvl w:val="0"/>
          <w:numId w:val="0"/>
        </w:numPr>
        <w:tabs>
          <w:tab w:val="left" w:pos="519"/>
          <w:tab w:val="left" w:pos="2334"/>
        </w:tabs>
        <w:spacing w:before="45" w:after="0" w:line="240" w:lineRule="auto"/>
        <w:ind w:left="519" w:leftChars="0" w:right="0" w:rightChars="0" w:hanging="405"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4.</w:t>
      </w:r>
      <w:r>
        <w:rPr>
          <w:color w:val="231F20"/>
          <w:sz w:val="30"/>
        </w:rPr>
        <w:t>16:27-</w:t>
      </w:r>
      <w:r>
        <w:rPr>
          <w:color w:val="231F20"/>
          <w:spacing w:val="-4"/>
          <w:sz w:val="30"/>
        </w:rPr>
        <w:t>17:8</w:t>
      </w:r>
      <w:r>
        <w:rPr>
          <w:color w:val="231F20"/>
          <w:sz w:val="30"/>
        </w:rPr>
        <w:tab/>
      </w:r>
      <w:r>
        <w:rPr>
          <w:color w:val="231F20"/>
          <w:sz w:val="30"/>
        </w:rPr>
        <w:t xml:space="preserve">A glimpse of the consummated </w:t>
      </w:r>
      <w:r>
        <w:rPr>
          <w:color w:val="231F20"/>
          <w:spacing w:val="-2"/>
          <w:sz w:val="30"/>
        </w:rPr>
        <w:t>Kingdom</w:t>
      </w:r>
    </w:p>
    <w:p w14:paraId="33C9DABD">
      <w:pPr>
        <w:pStyle w:val="15"/>
        <w:numPr>
          <w:ilvl w:val="0"/>
          <w:numId w:val="0"/>
        </w:numPr>
        <w:tabs>
          <w:tab w:val="left" w:pos="519"/>
          <w:tab w:val="left" w:pos="2334"/>
        </w:tabs>
        <w:spacing w:before="45" w:after="0" w:line="240" w:lineRule="auto"/>
        <w:ind w:left="519" w:leftChars="0" w:right="0" w:rightChars="0" w:hanging="405"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w:t>
      </w:r>
      <w:r>
        <w:rPr>
          <w:color w:val="231F20"/>
          <w:sz w:val="30"/>
        </w:rPr>
        <w:t>19:27-</w:t>
      </w:r>
      <w:r>
        <w:rPr>
          <w:color w:val="231F20"/>
          <w:spacing w:val="-5"/>
          <w:sz w:val="30"/>
        </w:rPr>
        <w:t>28</w:t>
      </w:r>
      <w:r>
        <w:rPr>
          <w:color w:val="231F20"/>
          <w:sz w:val="30"/>
        </w:rPr>
        <w:tab/>
      </w:r>
      <w:r>
        <w:rPr>
          <w:color w:val="231F20"/>
          <w:sz w:val="30"/>
        </w:rPr>
        <w:t>Judging</w:t>
      </w:r>
      <w:r>
        <w:rPr>
          <w:color w:val="231F20"/>
          <w:spacing w:val="-2"/>
          <w:sz w:val="30"/>
        </w:rPr>
        <w:t xml:space="preserve"> </w:t>
      </w:r>
      <w:r>
        <w:rPr>
          <w:color w:val="231F20"/>
          <w:sz w:val="30"/>
        </w:rPr>
        <w:t xml:space="preserve">the twelve tribes of </w:t>
      </w:r>
      <w:r>
        <w:rPr>
          <w:color w:val="231F20"/>
          <w:spacing w:val="-2"/>
          <w:sz w:val="30"/>
        </w:rPr>
        <w:t>Israel</w:t>
      </w:r>
    </w:p>
    <w:p w14:paraId="36AEA9CB">
      <w:pPr>
        <w:pStyle w:val="15"/>
        <w:numPr>
          <w:ilvl w:val="0"/>
          <w:numId w:val="0"/>
        </w:numPr>
        <w:tabs>
          <w:tab w:val="left" w:pos="519"/>
          <w:tab w:val="left" w:pos="2334"/>
        </w:tabs>
        <w:spacing w:before="45" w:after="0" w:line="240" w:lineRule="auto"/>
        <w:ind w:left="519" w:leftChars="0" w:right="0" w:rightChars="0" w:hanging="405"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6.</w:t>
      </w:r>
      <w:r>
        <w:rPr>
          <w:color w:val="231F20"/>
          <w:sz w:val="30"/>
        </w:rPr>
        <w:t>21:43-</w:t>
      </w:r>
      <w:r>
        <w:rPr>
          <w:color w:val="231F20"/>
          <w:spacing w:val="-5"/>
          <w:sz w:val="30"/>
        </w:rPr>
        <w:t>44</w:t>
      </w:r>
      <w:r>
        <w:rPr>
          <w:color w:val="231F20"/>
          <w:sz w:val="30"/>
        </w:rPr>
        <w:tab/>
      </w:r>
      <w:r>
        <w:rPr>
          <w:color w:val="231F20"/>
          <w:sz w:val="30"/>
        </w:rPr>
        <w:t xml:space="preserve">The Stone that will </w:t>
      </w:r>
      <w:r>
        <w:rPr>
          <w:color w:val="231F20"/>
          <w:spacing w:val="-4"/>
          <w:sz w:val="30"/>
        </w:rPr>
        <w:t>fall</w:t>
      </w:r>
    </w:p>
    <w:p w14:paraId="09A95A94">
      <w:pPr>
        <w:pStyle w:val="15"/>
        <w:numPr>
          <w:ilvl w:val="0"/>
          <w:numId w:val="0"/>
        </w:numPr>
        <w:tabs>
          <w:tab w:val="left" w:pos="519"/>
          <w:tab w:val="left" w:pos="2334"/>
        </w:tabs>
        <w:spacing w:before="45" w:after="0" w:line="240" w:lineRule="auto"/>
        <w:ind w:left="519" w:leftChars="0" w:right="0" w:rightChars="0" w:hanging="405"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7.</w:t>
      </w:r>
      <w:r>
        <w:rPr>
          <w:color w:val="231F20"/>
          <w:sz w:val="30"/>
        </w:rPr>
        <w:t>22:23-</w:t>
      </w:r>
      <w:r>
        <w:rPr>
          <w:color w:val="231F20"/>
          <w:spacing w:val="-5"/>
          <w:sz w:val="30"/>
        </w:rPr>
        <w:t>33</w:t>
      </w:r>
      <w:r>
        <w:rPr>
          <w:color w:val="231F20"/>
          <w:sz w:val="30"/>
        </w:rPr>
        <w:tab/>
      </w:r>
      <w:r>
        <w:rPr>
          <w:color w:val="231F20"/>
          <w:sz w:val="30"/>
        </w:rPr>
        <w:t xml:space="preserve">The resurrection </w:t>
      </w:r>
      <w:r>
        <w:rPr>
          <w:color w:val="231F20"/>
          <w:spacing w:val="-2"/>
          <w:sz w:val="30"/>
        </w:rPr>
        <w:t>affirmed</w:t>
      </w:r>
    </w:p>
    <w:p w14:paraId="6898614A">
      <w:pPr>
        <w:pStyle w:val="15"/>
        <w:numPr>
          <w:ilvl w:val="0"/>
          <w:numId w:val="0"/>
        </w:numPr>
        <w:tabs>
          <w:tab w:val="left" w:pos="519"/>
          <w:tab w:val="left" w:pos="2334"/>
        </w:tabs>
        <w:spacing w:before="45" w:after="0" w:line="240" w:lineRule="auto"/>
        <w:ind w:left="519" w:leftChars="0" w:right="0" w:rightChars="0" w:hanging="405"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8.</w:t>
      </w:r>
      <w:r>
        <w:rPr>
          <w:color w:val="231F20"/>
          <w:sz w:val="30"/>
        </w:rPr>
        <w:t>24-</w:t>
      </w:r>
      <w:r>
        <w:rPr>
          <w:color w:val="231F20"/>
          <w:spacing w:val="-5"/>
          <w:sz w:val="30"/>
        </w:rPr>
        <w:t>25</w:t>
      </w:r>
      <w:r>
        <w:rPr>
          <w:color w:val="231F20"/>
          <w:sz w:val="30"/>
        </w:rPr>
        <w:tab/>
      </w:r>
      <w:r>
        <w:rPr>
          <w:color w:val="231F20"/>
          <w:sz w:val="30"/>
        </w:rPr>
        <w:t xml:space="preserve">The Olivet </w:t>
      </w:r>
      <w:r>
        <w:rPr>
          <w:color w:val="231F20"/>
          <w:spacing w:val="-2"/>
          <w:sz w:val="30"/>
        </w:rPr>
        <w:t>Discourse</w:t>
      </w:r>
    </w:p>
    <w:p w14:paraId="0D3E7B20">
      <w:pPr>
        <w:pStyle w:val="15"/>
        <w:numPr>
          <w:ilvl w:val="0"/>
          <w:numId w:val="0"/>
        </w:numPr>
        <w:tabs>
          <w:tab w:val="left" w:pos="519"/>
          <w:tab w:val="left" w:pos="2334"/>
        </w:tabs>
        <w:spacing w:before="45" w:after="0" w:line="271" w:lineRule="auto"/>
        <w:ind w:left="114" w:leftChars="0" w:right="3132" w:rightChars="0" w:firstLine="0" w:firstLineChars="0"/>
        <w:jc w:val="left"/>
        <w:rPr>
          <w:sz w:val="30"/>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9.</w:t>
      </w:r>
      <w:r>
        <w:rPr>
          <w:color w:val="231F20"/>
          <w:spacing w:val="-2"/>
          <w:sz w:val="30"/>
        </w:rPr>
        <w:t>26:29</w:t>
      </w:r>
      <w:r>
        <w:rPr>
          <w:color w:val="231F20"/>
          <w:sz w:val="30"/>
        </w:rPr>
        <w:tab/>
      </w:r>
      <w:r>
        <w:rPr>
          <w:color w:val="231F20"/>
          <w:sz w:val="30"/>
        </w:rPr>
        <w:t>Until</w:t>
      </w:r>
      <w:r>
        <w:rPr>
          <w:color w:val="231F20"/>
          <w:spacing w:val="40"/>
          <w:sz w:val="30"/>
        </w:rPr>
        <w:t xml:space="preserve"> </w:t>
      </w:r>
      <w:r>
        <w:rPr>
          <w:color w:val="231F20"/>
          <w:sz w:val="30"/>
        </w:rPr>
        <w:t>the</w:t>
      </w:r>
      <w:r>
        <w:rPr>
          <w:color w:val="231F20"/>
          <w:spacing w:val="40"/>
          <w:sz w:val="30"/>
        </w:rPr>
        <w:t xml:space="preserve"> </w:t>
      </w:r>
      <w:r>
        <w:rPr>
          <w:color w:val="231F20"/>
          <w:sz w:val="30"/>
        </w:rPr>
        <w:t>day</w:t>
      </w:r>
      <w:r>
        <w:rPr>
          <w:color w:val="231F20"/>
          <w:spacing w:val="40"/>
          <w:sz w:val="30"/>
        </w:rPr>
        <w:t xml:space="preserve"> </w:t>
      </w:r>
      <w:r>
        <w:rPr>
          <w:color w:val="231F20"/>
          <w:sz w:val="30"/>
        </w:rPr>
        <w:t>I</w:t>
      </w:r>
      <w:r>
        <w:rPr>
          <w:color w:val="231F20"/>
          <w:spacing w:val="40"/>
          <w:sz w:val="30"/>
        </w:rPr>
        <w:t xml:space="preserve"> </w:t>
      </w:r>
      <w:r>
        <w:rPr>
          <w:color w:val="231F20"/>
          <w:sz w:val="30"/>
        </w:rPr>
        <w:t>drink</w:t>
      </w:r>
      <w:r>
        <w:rPr>
          <w:color w:val="231F20"/>
          <w:spacing w:val="40"/>
          <w:sz w:val="30"/>
        </w:rPr>
        <w:t xml:space="preserve"> </w:t>
      </w:r>
      <w:r>
        <w:rPr>
          <w:color w:val="231F20"/>
          <w:sz w:val="30"/>
        </w:rPr>
        <w:t>it</w:t>
      </w:r>
      <w:r>
        <w:rPr>
          <w:color w:val="231F20"/>
          <w:spacing w:val="40"/>
          <w:sz w:val="30"/>
        </w:rPr>
        <w:t xml:space="preserve"> </w:t>
      </w:r>
      <w:r>
        <w:rPr>
          <w:color w:val="231F20"/>
          <w:sz w:val="30"/>
        </w:rPr>
        <w:t>new 10.</w:t>
      </w:r>
      <w:r>
        <w:rPr>
          <w:color w:val="231F20"/>
          <w:spacing w:val="-45"/>
          <w:sz w:val="30"/>
        </w:rPr>
        <w:t xml:space="preserve"> </w:t>
      </w:r>
      <w:r>
        <w:rPr>
          <w:color w:val="231F20"/>
          <w:sz w:val="30"/>
        </w:rPr>
        <w:t>26:64</w:t>
      </w:r>
      <w:r>
        <w:rPr>
          <w:color w:val="231F20"/>
          <w:sz w:val="30"/>
        </w:rPr>
        <w:tab/>
      </w:r>
      <w:r>
        <w:rPr>
          <w:color w:val="231F20"/>
          <w:sz w:val="30"/>
        </w:rPr>
        <w:t>Coming</w:t>
      </w:r>
      <w:r>
        <w:rPr>
          <w:color w:val="231F20"/>
          <w:spacing w:val="-8"/>
          <w:sz w:val="30"/>
        </w:rPr>
        <w:t xml:space="preserve"> </w:t>
      </w:r>
      <w:r>
        <w:rPr>
          <w:color w:val="231F20"/>
          <w:sz w:val="30"/>
        </w:rPr>
        <w:t>on</w:t>
      </w:r>
      <w:r>
        <w:rPr>
          <w:color w:val="231F20"/>
          <w:spacing w:val="-8"/>
          <w:sz w:val="30"/>
        </w:rPr>
        <w:t xml:space="preserve"> </w:t>
      </w:r>
      <w:r>
        <w:rPr>
          <w:color w:val="231F20"/>
          <w:sz w:val="30"/>
        </w:rPr>
        <w:t>the</w:t>
      </w:r>
      <w:r>
        <w:rPr>
          <w:color w:val="231F20"/>
          <w:spacing w:val="-8"/>
          <w:sz w:val="30"/>
        </w:rPr>
        <w:t xml:space="preserve"> </w:t>
      </w:r>
      <w:r>
        <w:rPr>
          <w:color w:val="231F20"/>
          <w:sz w:val="30"/>
        </w:rPr>
        <w:t>clouds</w:t>
      </w:r>
      <w:r>
        <w:rPr>
          <w:color w:val="231F20"/>
          <w:spacing w:val="-8"/>
          <w:sz w:val="30"/>
        </w:rPr>
        <w:t xml:space="preserve"> </w:t>
      </w:r>
      <w:r>
        <w:rPr>
          <w:color w:val="231F20"/>
          <w:sz w:val="30"/>
        </w:rPr>
        <w:t>of</w:t>
      </w:r>
      <w:r>
        <w:rPr>
          <w:color w:val="231F20"/>
          <w:spacing w:val="-8"/>
          <w:sz w:val="30"/>
        </w:rPr>
        <w:t xml:space="preserve"> </w:t>
      </w:r>
      <w:r>
        <w:rPr>
          <w:color w:val="231F20"/>
          <w:sz w:val="30"/>
        </w:rPr>
        <w:t>heaven</w:t>
      </w:r>
    </w:p>
    <w:p w14:paraId="09333245">
      <w:pPr>
        <w:pStyle w:val="15"/>
        <w:spacing w:after="0" w:line="271" w:lineRule="auto"/>
        <w:jc w:val="left"/>
        <w:rPr>
          <w:sz w:val="30"/>
        </w:rPr>
      </w:pPr>
    </w:p>
    <w:p w14:paraId="7BAAF361">
      <w:pPr>
        <w:pStyle w:val="15"/>
        <w:spacing w:after="0" w:line="271" w:lineRule="auto"/>
        <w:jc w:val="left"/>
        <w:rPr>
          <w:sz w:val="30"/>
        </w:rPr>
        <w:sectPr>
          <w:pgSz w:w="12240" w:h="15840"/>
          <w:pgMar w:top="1440" w:right="1440" w:bottom="280" w:left="1440" w:header="720" w:footer="720" w:gutter="0"/>
          <w:cols w:space="720" w:num="1"/>
        </w:sectPr>
      </w:pPr>
      <w:r>
        <w:drawing>
          <wp:inline distT="0" distB="0" distL="114300" distR="114300">
            <wp:extent cx="3724275" cy="2562225"/>
            <wp:effectExtent l="0" t="0" r="9525" b="13335"/>
            <wp:docPr id="2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5"/>
                    <pic:cNvPicPr>
                      <a:picLocks noChangeAspect="1"/>
                    </pic:cNvPicPr>
                  </pic:nvPicPr>
                  <pic:blipFill>
                    <a:blip r:embed="rId47"/>
                    <a:stretch>
                      <a:fillRect/>
                    </a:stretch>
                  </pic:blipFill>
                  <pic:spPr>
                    <a:xfrm>
                      <a:off x="0" y="0"/>
                      <a:ext cx="3724275" cy="2562225"/>
                    </a:xfrm>
                    <a:prstGeom prst="rect">
                      <a:avLst/>
                    </a:prstGeom>
                    <a:noFill/>
                    <a:ln>
                      <a:noFill/>
                    </a:ln>
                  </pic:spPr>
                </pic:pic>
              </a:graphicData>
            </a:graphic>
          </wp:inline>
        </w:drawing>
      </w:r>
    </w:p>
    <w:p w14:paraId="6FC2CB89">
      <w:pPr>
        <w:pStyle w:val="7"/>
        <w:tabs>
          <w:tab w:val="left" w:pos="5040"/>
        </w:tabs>
        <w:spacing w:before="60"/>
        <w:ind w:left="489"/>
        <w:jc w:val="left"/>
      </w:pPr>
      <w:r>
        <w:rPr>
          <w:color w:val="231F20"/>
          <w:spacing w:val="-4"/>
        </w:rPr>
        <w:t>Text</w:t>
      </w:r>
      <w:r>
        <w:rPr>
          <w:color w:val="231F20"/>
        </w:rPr>
        <w:tab/>
      </w:r>
      <w:r>
        <w:rPr>
          <w:color w:val="231F20"/>
        </w:rPr>
        <w:t>Gist</w:t>
      </w:r>
      <w:r>
        <w:rPr>
          <w:color w:val="231F20"/>
          <w:spacing w:val="-2"/>
        </w:rPr>
        <w:t xml:space="preserve"> </w:t>
      </w:r>
      <w:r>
        <w:rPr>
          <w:color w:val="231F20"/>
        </w:rPr>
        <w:t xml:space="preserve">of </w:t>
      </w:r>
      <w:r>
        <w:rPr>
          <w:color w:val="231F20"/>
          <w:spacing w:val="-4"/>
        </w:rPr>
        <w:t>Text</w:t>
      </w:r>
    </w:p>
    <w:p w14:paraId="5EDAA7E0">
      <w:pPr>
        <w:pStyle w:val="9"/>
        <w:spacing w:before="104"/>
        <w:ind w:left="0"/>
        <w:jc w:val="left"/>
        <w:rPr>
          <w:b/>
        </w:rPr>
      </w:pPr>
    </w:p>
    <w:p w14:paraId="57087113">
      <w:pPr>
        <w:pStyle w:val="8"/>
        <w:spacing w:before="1"/>
        <w:ind w:left="114"/>
        <w:jc w:val="left"/>
      </w:pPr>
      <w:r>
        <w:rPr>
          <w:color w:val="231F20"/>
          <w:spacing w:val="-4"/>
        </w:rPr>
        <w:t>Mark</w:t>
      </w:r>
    </w:p>
    <w:p w14:paraId="25AF3D45">
      <w:pPr>
        <w:pStyle w:val="15"/>
        <w:numPr>
          <w:ilvl w:val="0"/>
          <w:numId w:val="5"/>
        </w:numPr>
        <w:tabs>
          <w:tab w:val="left" w:pos="519"/>
          <w:tab w:val="left" w:pos="2334"/>
        </w:tabs>
        <w:spacing w:before="135" w:after="0" w:line="240" w:lineRule="auto"/>
        <w:ind w:left="519" w:right="0" w:hanging="405"/>
        <w:jc w:val="left"/>
        <w:rPr>
          <w:sz w:val="30"/>
        </w:rPr>
      </w:pPr>
      <w:r>
        <w:rPr>
          <w:color w:val="231F20"/>
          <w:sz w:val="30"/>
        </w:rPr>
        <w:t>4:26-</w:t>
      </w:r>
      <w:r>
        <w:rPr>
          <w:color w:val="231F20"/>
          <w:spacing w:val="-5"/>
          <w:sz w:val="30"/>
        </w:rPr>
        <w:t>29</w:t>
      </w:r>
      <w:r>
        <w:rPr>
          <w:color w:val="231F20"/>
          <w:sz w:val="30"/>
        </w:rPr>
        <w:tab/>
      </w:r>
      <w:r>
        <w:rPr>
          <w:color w:val="231F20"/>
          <w:sz w:val="30"/>
        </w:rPr>
        <w:t xml:space="preserve">The harvest at the end of the </w:t>
      </w:r>
      <w:r>
        <w:rPr>
          <w:color w:val="231F20"/>
          <w:spacing w:val="-5"/>
          <w:sz w:val="30"/>
        </w:rPr>
        <w:t>age</w:t>
      </w:r>
    </w:p>
    <w:p w14:paraId="1685E2D7">
      <w:pPr>
        <w:pStyle w:val="15"/>
        <w:numPr>
          <w:ilvl w:val="0"/>
          <w:numId w:val="5"/>
        </w:numPr>
        <w:tabs>
          <w:tab w:val="left" w:pos="519"/>
          <w:tab w:val="left" w:pos="2334"/>
        </w:tabs>
        <w:spacing w:before="45" w:after="0" w:line="240" w:lineRule="auto"/>
        <w:ind w:left="519" w:right="0" w:hanging="405"/>
        <w:jc w:val="left"/>
        <w:rPr>
          <w:sz w:val="30"/>
        </w:rPr>
      </w:pPr>
      <w:r>
        <w:rPr>
          <w:color w:val="231F20"/>
          <w:spacing w:val="-4"/>
          <w:sz w:val="30"/>
        </w:rPr>
        <w:t>8:38</w:t>
      </w:r>
      <w:r>
        <w:rPr>
          <w:color w:val="231F20"/>
          <w:sz w:val="30"/>
        </w:rPr>
        <w:tab/>
      </w:r>
      <w:r>
        <w:rPr>
          <w:color w:val="231F20"/>
          <w:sz w:val="30"/>
        </w:rPr>
        <w:t xml:space="preserve">When the Son of Man </w:t>
      </w:r>
      <w:r>
        <w:rPr>
          <w:color w:val="231F20"/>
          <w:spacing w:val="-2"/>
          <w:sz w:val="30"/>
        </w:rPr>
        <w:t>comes</w:t>
      </w:r>
    </w:p>
    <w:p w14:paraId="1A38D52E">
      <w:pPr>
        <w:pStyle w:val="15"/>
        <w:numPr>
          <w:ilvl w:val="0"/>
          <w:numId w:val="5"/>
        </w:numPr>
        <w:tabs>
          <w:tab w:val="left" w:pos="519"/>
          <w:tab w:val="left" w:pos="2334"/>
        </w:tabs>
        <w:spacing w:before="45" w:after="0" w:line="240" w:lineRule="auto"/>
        <w:ind w:left="519" w:right="0" w:hanging="405"/>
        <w:jc w:val="left"/>
        <w:rPr>
          <w:sz w:val="30"/>
        </w:rPr>
      </w:pPr>
      <w:r>
        <w:rPr>
          <w:color w:val="231F20"/>
          <w:sz w:val="30"/>
        </w:rPr>
        <w:t>9:1-</w:t>
      </w:r>
      <w:r>
        <w:rPr>
          <w:color w:val="231F20"/>
          <w:spacing w:val="-10"/>
          <w:sz w:val="30"/>
        </w:rPr>
        <w:t>8</w:t>
      </w:r>
      <w:r>
        <w:rPr>
          <w:color w:val="231F20"/>
          <w:sz w:val="30"/>
        </w:rPr>
        <w:tab/>
      </w:r>
      <w:r>
        <w:rPr>
          <w:color w:val="231F20"/>
          <w:sz w:val="30"/>
        </w:rPr>
        <w:t>The</w:t>
      </w:r>
      <w:r>
        <w:rPr>
          <w:color w:val="231F20"/>
          <w:spacing w:val="-2"/>
          <w:sz w:val="30"/>
        </w:rPr>
        <w:t xml:space="preserve"> transfiguration</w:t>
      </w:r>
    </w:p>
    <w:p w14:paraId="5F847674">
      <w:pPr>
        <w:pStyle w:val="15"/>
        <w:numPr>
          <w:ilvl w:val="0"/>
          <w:numId w:val="5"/>
        </w:numPr>
        <w:tabs>
          <w:tab w:val="left" w:pos="519"/>
          <w:tab w:val="left" w:pos="2334"/>
        </w:tabs>
        <w:spacing w:before="45" w:after="0" w:line="240" w:lineRule="auto"/>
        <w:ind w:left="519" w:right="0" w:hanging="405"/>
        <w:jc w:val="left"/>
        <w:rPr>
          <w:sz w:val="30"/>
        </w:rPr>
      </w:pPr>
      <w:r>
        <w:rPr>
          <w:color w:val="231F20"/>
          <w:sz w:val="30"/>
        </w:rPr>
        <w:t>12:18-</w:t>
      </w:r>
      <w:r>
        <w:rPr>
          <w:color w:val="231F20"/>
          <w:spacing w:val="-5"/>
          <w:sz w:val="30"/>
        </w:rPr>
        <w:t>27</w:t>
      </w:r>
      <w:r>
        <w:rPr>
          <w:color w:val="231F20"/>
          <w:sz w:val="30"/>
        </w:rPr>
        <w:tab/>
      </w:r>
      <w:r>
        <w:rPr>
          <w:color w:val="231F20"/>
          <w:sz w:val="30"/>
        </w:rPr>
        <w:t xml:space="preserve">The resurrection </w:t>
      </w:r>
      <w:r>
        <w:rPr>
          <w:color w:val="231F20"/>
          <w:spacing w:val="-2"/>
          <w:sz w:val="30"/>
        </w:rPr>
        <w:t>affirmed</w:t>
      </w:r>
    </w:p>
    <w:p w14:paraId="3719B13C">
      <w:pPr>
        <w:pStyle w:val="15"/>
        <w:numPr>
          <w:ilvl w:val="0"/>
          <w:numId w:val="5"/>
        </w:numPr>
        <w:tabs>
          <w:tab w:val="left" w:pos="519"/>
          <w:tab w:val="left" w:pos="2334"/>
        </w:tabs>
        <w:spacing w:before="45" w:after="0" w:line="240" w:lineRule="auto"/>
        <w:ind w:left="519" w:right="0" w:hanging="405"/>
        <w:jc w:val="left"/>
        <w:rPr>
          <w:sz w:val="30"/>
        </w:rPr>
      </w:pPr>
      <w:r>
        <w:rPr>
          <w:color w:val="231F20"/>
          <w:spacing w:val="-2"/>
          <w:sz w:val="30"/>
        </w:rPr>
        <w:t>13:1ff</w:t>
      </w:r>
      <w:r>
        <w:rPr>
          <w:color w:val="231F20"/>
          <w:sz w:val="30"/>
        </w:rPr>
        <w:tab/>
      </w:r>
      <w:r>
        <w:rPr>
          <w:color w:val="231F20"/>
          <w:sz w:val="30"/>
        </w:rPr>
        <w:t xml:space="preserve">The Olivet </w:t>
      </w:r>
      <w:r>
        <w:rPr>
          <w:color w:val="231F20"/>
          <w:spacing w:val="-2"/>
          <w:sz w:val="30"/>
        </w:rPr>
        <w:t>Discourse</w:t>
      </w:r>
    </w:p>
    <w:p w14:paraId="194051A6">
      <w:pPr>
        <w:pStyle w:val="9"/>
        <w:spacing w:before="210"/>
        <w:ind w:left="0"/>
        <w:jc w:val="left"/>
      </w:pPr>
    </w:p>
    <w:p w14:paraId="0C5F8A92">
      <w:pPr>
        <w:pStyle w:val="8"/>
        <w:ind w:left="114"/>
        <w:jc w:val="left"/>
      </w:pPr>
      <w:r>
        <w:rPr>
          <w:color w:val="231F20"/>
          <w:spacing w:val="-4"/>
        </w:rPr>
        <w:t>Luke</w:t>
      </w:r>
    </w:p>
    <w:p w14:paraId="50A0B895">
      <w:pPr>
        <w:pStyle w:val="15"/>
        <w:numPr>
          <w:ilvl w:val="0"/>
          <w:numId w:val="6"/>
        </w:numPr>
        <w:tabs>
          <w:tab w:val="left" w:pos="519"/>
          <w:tab w:val="left" w:pos="2334"/>
        </w:tabs>
        <w:spacing w:before="135" w:after="0" w:line="240" w:lineRule="auto"/>
        <w:ind w:left="519" w:right="0" w:hanging="405"/>
        <w:jc w:val="left"/>
        <w:rPr>
          <w:sz w:val="30"/>
        </w:rPr>
      </w:pPr>
      <w:r>
        <w:rPr>
          <w:color w:val="231F20"/>
          <w:sz w:val="30"/>
        </w:rPr>
        <w:t>9:27-</w:t>
      </w:r>
      <w:r>
        <w:rPr>
          <w:color w:val="231F20"/>
          <w:spacing w:val="-5"/>
          <w:sz w:val="30"/>
        </w:rPr>
        <w:t>36</w:t>
      </w:r>
      <w:r>
        <w:rPr>
          <w:color w:val="231F20"/>
          <w:sz w:val="30"/>
        </w:rPr>
        <w:tab/>
      </w:r>
      <w:r>
        <w:rPr>
          <w:color w:val="231F20"/>
          <w:sz w:val="30"/>
        </w:rPr>
        <w:t>The</w:t>
      </w:r>
      <w:r>
        <w:rPr>
          <w:color w:val="231F20"/>
          <w:spacing w:val="-2"/>
          <w:sz w:val="30"/>
        </w:rPr>
        <w:t xml:space="preserve"> transfiguration</w:t>
      </w:r>
    </w:p>
    <w:p w14:paraId="62997494">
      <w:pPr>
        <w:pStyle w:val="15"/>
        <w:numPr>
          <w:ilvl w:val="0"/>
          <w:numId w:val="6"/>
        </w:numPr>
        <w:tabs>
          <w:tab w:val="left" w:pos="519"/>
          <w:tab w:val="left" w:pos="2334"/>
        </w:tabs>
        <w:spacing w:before="45" w:after="0" w:line="240" w:lineRule="auto"/>
        <w:ind w:left="519" w:right="0" w:hanging="405"/>
        <w:jc w:val="left"/>
        <w:rPr>
          <w:sz w:val="30"/>
        </w:rPr>
      </w:pPr>
      <w:r>
        <w:rPr>
          <w:color w:val="231F20"/>
          <w:sz w:val="30"/>
        </w:rPr>
        <w:t>12:35-</w:t>
      </w:r>
      <w:r>
        <w:rPr>
          <w:color w:val="231F20"/>
          <w:spacing w:val="-5"/>
          <w:sz w:val="30"/>
        </w:rPr>
        <w:t>40</w:t>
      </w:r>
      <w:r>
        <w:rPr>
          <w:color w:val="231F20"/>
          <w:sz w:val="30"/>
        </w:rPr>
        <w:tab/>
      </w:r>
      <w:r>
        <w:rPr>
          <w:color w:val="231F20"/>
          <w:sz w:val="30"/>
        </w:rPr>
        <w:t xml:space="preserve">Let your loins be </w:t>
      </w:r>
      <w:r>
        <w:rPr>
          <w:color w:val="231F20"/>
          <w:spacing w:val="-2"/>
          <w:sz w:val="30"/>
        </w:rPr>
        <w:t>girded</w:t>
      </w:r>
    </w:p>
    <w:p w14:paraId="4F32EE48">
      <w:pPr>
        <w:pStyle w:val="15"/>
        <w:numPr>
          <w:ilvl w:val="0"/>
          <w:numId w:val="6"/>
        </w:numPr>
        <w:tabs>
          <w:tab w:val="left" w:pos="519"/>
          <w:tab w:val="left" w:pos="2334"/>
        </w:tabs>
        <w:spacing w:before="45" w:after="0" w:line="240" w:lineRule="auto"/>
        <w:ind w:left="519" w:right="0" w:hanging="405"/>
        <w:jc w:val="left"/>
        <w:rPr>
          <w:sz w:val="30"/>
        </w:rPr>
      </w:pPr>
      <w:r>
        <w:rPr>
          <w:color w:val="231F20"/>
          <w:sz w:val="30"/>
        </w:rPr>
        <w:t>17:22-</w:t>
      </w:r>
      <w:r>
        <w:rPr>
          <w:color w:val="231F20"/>
          <w:spacing w:val="-5"/>
          <w:sz w:val="30"/>
        </w:rPr>
        <w:t>36</w:t>
      </w:r>
      <w:r>
        <w:rPr>
          <w:color w:val="231F20"/>
          <w:sz w:val="30"/>
        </w:rPr>
        <w:tab/>
      </w:r>
      <w:r>
        <w:rPr>
          <w:color w:val="231F20"/>
          <w:sz w:val="30"/>
        </w:rPr>
        <w:t>Remember</w:t>
      </w:r>
      <w:r>
        <w:rPr>
          <w:color w:val="231F20"/>
          <w:spacing w:val="-9"/>
          <w:sz w:val="30"/>
        </w:rPr>
        <w:t xml:space="preserve"> </w:t>
      </w:r>
      <w:r>
        <w:rPr>
          <w:color w:val="231F20"/>
          <w:sz w:val="30"/>
        </w:rPr>
        <w:t>Lot’s</w:t>
      </w:r>
      <w:r>
        <w:rPr>
          <w:color w:val="231F20"/>
          <w:spacing w:val="-8"/>
          <w:sz w:val="30"/>
        </w:rPr>
        <w:t xml:space="preserve"> </w:t>
      </w:r>
      <w:r>
        <w:rPr>
          <w:color w:val="231F20"/>
          <w:spacing w:val="-4"/>
          <w:sz w:val="30"/>
        </w:rPr>
        <w:t>wife</w:t>
      </w:r>
    </w:p>
    <w:p w14:paraId="5709482B">
      <w:pPr>
        <w:pStyle w:val="15"/>
        <w:numPr>
          <w:ilvl w:val="0"/>
          <w:numId w:val="6"/>
        </w:numPr>
        <w:tabs>
          <w:tab w:val="left" w:pos="519"/>
          <w:tab w:val="left" w:pos="2334"/>
        </w:tabs>
        <w:spacing w:before="45" w:after="0" w:line="240" w:lineRule="auto"/>
        <w:ind w:left="519" w:right="0" w:hanging="405"/>
        <w:jc w:val="left"/>
        <w:rPr>
          <w:sz w:val="30"/>
        </w:rPr>
      </w:pPr>
      <w:r>
        <w:rPr>
          <w:color w:val="231F20"/>
          <w:sz w:val="30"/>
        </w:rPr>
        <w:t>18:1-</w:t>
      </w:r>
      <w:r>
        <w:rPr>
          <w:color w:val="231F20"/>
          <w:spacing w:val="-10"/>
          <w:sz w:val="30"/>
        </w:rPr>
        <w:t>8</w:t>
      </w:r>
      <w:r>
        <w:rPr>
          <w:color w:val="231F20"/>
          <w:sz w:val="30"/>
        </w:rPr>
        <w:tab/>
      </w:r>
      <w:r>
        <w:rPr>
          <w:color w:val="231F20"/>
          <w:sz w:val="30"/>
        </w:rPr>
        <w:t>Will</w:t>
      </w:r>
      <w:r>
        <w:rPr>
          <w:color w:val="231F20"/>
          <w:spacing w:val="-5"/>
          <w:sz w:val="30"/>
        </w:rPr>
        <w:t xml:space="preserve"> </w:t>
      </w:r>
      <w:r>
        <w:rPr>
          <w:color w:val="231F20"/>
          <w:sz w:val="30"/>
        </w:rPr>
        <w:t>the</w:t>
      </w:r>
      <w:r>
        <w:rPr>
          <w:color w:val="231F20"/>
          <w:spacing w:val="-2"/>
          <w:sz w:val="30"/>
        </w:rPr>
        <w:t xml:space="preserve"> </w:t>
      </w:r>
      <w:r>
        <w:rPr>
          <w:color w:val="231F20"/>
          <w:sz w:val="30"/>
        </w:rPr>
        <w:t>Son</w:t>
      </w:r>
      <w:r>
        <w:rPr>
          <w:color w:val="231F20"/>
          <w:spacing w:val="-2"/>
          <w:sz w:val="30"/>
        </w:rPr>
        <w:t xml:space="preserve"> </w:t>
      </w:r>
      <w:r>
        <w:rPr>
          <w:color w:val="231F20"/>
          <w:sz w:val="30"/>
        </w:rPr>
        <w:t>of</w:t>
      </w:r>
      <w:r>
        <w:rPr>
          <w:color w:val="231F20"/>
          <w:spacing w:val="-2"/>
          <w:sz w:val="30"/>
        </w:rPr>
        <w:t xml:space="preserve"> </w:t>
      </w:r>
      <w:r>
        <w:rPr>
          <w:color w:val="231F20"/>
          <w:sz w:val="30"/>
        </w:rPr>
        <w:t>Man</w:t>
      </w:r>
      <w:r>
        <w:rPr>
          <w:color w:val="231F20"/>
          <w:spacing w:val="-2"/>
          <w:sz w:val="30"/>
        </w:rPr>
        <w:t xml:space="preserve"> </w:t>
      </w:r>
      <w:r>
        <w:rPr>
          <w:color w:val="231F20"/>
          <w:sz w:val="30"/>
        </w:rPr>
        <w:t>find</w:t>
      </w:r>
      <w:r>
        <w:rPr>
          <w:color w:val="231F20"/>
          <w:spacing w:val="-2"/>
          <w:sz w:val="30"/>
        </w:rPr>
        <w:t xml:space="preserve"> faith?</w:t>
      </w:r>
    </w:p>
    <w:p w14:paraId="0FDBE386">
      <w:pPr>
        <w:pStyle w:val="15"/>
        <w:numPr>
          <w:ilvl w:val="0"/>
          <w:numId w:val="6"/>
        </w:numPr>
        <w:tabs>
          <w:tab w:val="left" w:pos="519"/>
          <w:tab w:val="left" w:pos="2334"/>
        </w:tabs>
        <w:spacing w:before="45" w:after="0" w:line="240" w:lineRule="auto"/>
        <w:ind w:left="519" w:right="0" w:hanging="405"/>
        <w:jc w:val="left"/>
        <w:rPr>
          <w:sz w:val="30"/>
        </w:rPr>
      </w:pPr>
      <w:r>
        <w:rPr>
          <w:color w:val="231F20"/>
          <w:spacing w:val="-2"/>
          <w:sz w:val="30"/>
        </w:rPr>
        <w:t>19:11-</w:t>
      </w:r>
      <w:r>
        <w:rPr>
          <w:color w:val="231F20"/>
          <w:spacing w:val="-5"/>
          <w:sz w:val="30"/>
        </w:rPr>
        <w:t>17</w:t>
      </w:r>
      <w:r>
        <w:rPr>
          <w:color w:val="231F20"/>
          <w:sz w:val="30"/>
        </w:rPr>
        <w:tab/>
      </w:r>
      <w:r>
        <w:rPr>
          <w:color w:val="231F20"/>
          <w:sz w:val="30"/>
        </w:rPr>
        <w:t xml:space="preserve">The parable of the </w:t>
      </w:r>
      <w:r>
        <w:rPr>
          <w:color w:val="231F20"/>
          <w:spacing w:val="-2"/>
          <w:sz w:val="30"/>
        </w:rPr>
        <w:t>talents</w:t>
      </w:r>
    </w:p>
    <w:p w14:paraId="4C1834FA">
      <w:pPr>
        <w:pStyle w:val="15"/>
        <w:numPr>
          <w:ilvl w:val="0"/>
          <w:numId w:val="6"/>
        </w:numPr>
        <w:tabs>
          <w:tab w:val="left" w:pos="519"/>
          <w:tab w:val="left" w:pos="2334"/>
        </w:tabs>
        <w:spacing w:before="45" w:after="0" w:line="240" w:lineRule="auto"/>
        <w:ind w:left="519" w:right="0" w:hanging="405"/>
        <w:jc w:val="left"/>
        <w:rPr>
          <w:sz w:val="30"/>
        </w:rPr>
      </w:pPr>
      <w:r>
        <w:rPr>
          <w:color w:val="231F20"/>
          <w:sz w:val="30"/>
        </w:rPr>
        <w:t>20:27-</w:t>
      </w:r>
      <w:r>
        <w:rPr>
          <w:color w:val="231F20"/>
          <w:spacing w:val="-5"/>
          <w:sz w:val="30"/>
        </w:rPr>
        <w:t>40</w:t>
      </w:r>
      <w:r>
        <w:rPr>
          <w:color w:val="231F20"/>
          <w:sz w:val="30"/>
        </w:rPr>
        <w:tab/>
      </w:r>
      <w:r>
        <w:rPr>
          <w:color w:val="231F20"/>
          <w:sz w:val="30"/>
        </w:rPr>
        <w:t xml:space="preserve">The resurrection </w:t>
      </w:r>
      <w:r>
        <w:rPr>
          <w:color w:val="231F20"/>
          <w:spacing w:val="-2"/>
          <w:sz w:val="30"/>
        </w:rPr>
        <w:t>affirmed</w:t>
      </w:r>
    </w:p>
    <w:p w14:paraId="14FA258C">
      <w:pPr>
        <w:pStyle w:val="15"/>
        <w:numPr>
          <w:ilvl w:val="0"/>
          <w:numId w:val="6"/>
        </w:numPr>
        <w:tabs>
          <w:tab w:val="left" w:pos="519"/>
          <w:tab w:val="left" w:pos="2334"/>
        </w:tabs>
        <w:spacing w:before="45" w:after="0" w:line="240" w:lineRule="auto"/>
        <w:ind w:left="519" w:right="0" w:hanging="405"/>
        <w:jc w:val="left"/>
        <w:rPr>
          <w:sz w:val="30"/>
        </w:rPr>
      </w:pPr>
      <w:r>
        <w:rPr>
          <w:color w:val="231F20"/>
          <w:sz w:val="30"/>
        </w:rPr>
        <w:t>21:5-</w:t>
      </w:r>
      <w:r>
        <w:rPr>
          <w:color w:val="231F20"/>
          <w:spacing w:val="-5"/>
          <w:sz w:val="30"/>
        </w:rPr>
        <w:t>36</w:t>
      </w:r>
      <w:r>
        <w:rPr>
          <w:color w:val="231F20"/>
          <w:sz w:val="30"/>
        </w:rPr>
        <w:tab/>
      </w:r>
      <w:r>
        <w:rPr>
          <w:color w:val="231F20"/>
          <w:sz w:val="30"/>
        </w:rPr>
        <w:t xml:space="preserve">The Olivet </w:t>
      </w:r>
      <w:r>
        <w:rPr>
          <w:color w:val="231F20"/>
          <w:spacing w:val="-2"/>
          <w:sz w:val="30"/>
        </w:rPr>
        <w:t>Discourse</w:t>
      </w:r>
    </w:p>
    <w:p w14:paraId="49485DE1">
      <w:pPr>
        <w:pStyle w:val="9"/>
        <w:spacing w:before="210"/>
        <w:ind w:left="0"/>
        <w:jc w:val="left"/>
      </w:pPr>
    </w:p>
    <w:p w14:paraId="78443383">
      <w:pPr>
        <w:pStyle w:val="8"/>
        <w:ind w:left="114"/>
        <w:jc w:val="left"/>
      </w:pPr>
      <w:r>
        <w:rPr>
          <w:color w:val="231F20"/>
          <w:spacing w:val="-4"/>
        </w:rPr>
        <w:t>John</w:t>
      </w:r>
    </w:p>
    <w:p w14:paraId="0ECE90DF">
      <w:pPr>
        <w:pStyle w:val="15"/>
        <w:numPr>
          <w:ilvl w:val="0"/>
          <w:numId w:val="7"/>
        </w:numPr>
        <w:tabs>
          <w:tab w:val="left" w:pos="519"/>
          <w:tab w:val="left" w:pos="2334"/>
        </w:tabs>
        <w:spacing w:before="135" w:after="0" w:line="240" w:lineRule="auto"/>
        <w:ind w:left="519" w:right="0" w:hanging="405"/>
        <w:jc w:val="left"/>
        <w:rPr>
          <w:sz w:val="30"/>
        </w:rPr>
      </w:pPr>
      <w:r>
        <w:rPr>
          <w:color w:val="231F20"/>
          <w:sz w:val="30"/>
        </w:rPr>
        <w:t>5:21-</w:t>
      </w:r>
      <w:r>
        <w:rPr>
          <w:color w:val="231F20"/>
          <w:spacing w:val="-5"/>
          <w:sz w:val="30"/>
        </w:rPr>
        <w:t>29</w:t>
      </w:r>
      <w:r>
        <w:rPr>
          <w:color w:val="231F20"/>
          <w:sz w:val="30"/>
        </w:rPr>
        <w:tab/>
      </w:r>
      <w:r>
        <w:rPr>
          <w:color w:val="231F20"/>
          <w:sz w:val="30"/>
        </w:rPr>
        <w:t xml:space="preserve">Resurrection and judgment at the hand of </w:t>
      </w:r>
      <w:r>
        <w:rPr>
          <w:color w:val="231F20"/>
          <w:spacing w:val="-2"/>
          <w:sz w:val="30"/>
        </w:rPr>
        <w:t>Christ</w:t>
      </w:r>
    </w:p>
    <w:p w14:paraId="01ED89DE">
      <w:pPr>
        <w:pStyle w:val="15"/>
        <w:numPr>
          <w:ilvl w:val="0"/>
          <w:numId w:val="7"/>
        </w:numPr>
        <w:tabs>
          <w:tab w:val="left" w:pos="519"/>
          <w:tab w:val="left" w:pos="1918"/>
        </w:tabs>
        <w:spacing w:before="180" w:after="0" w:line="124" w:lineRule="auto"/>
        <w:ind w:left="519" w:right="3066" w:hanging="405"/>
        <w:jc w:val="left"/>
        <w:rPr>
          <w:sz w:val="30"/>
        </w:rPr>
      </w:pPr>
      <w:r>
        <w:rPr>
          <w:color w:val="231F20"/>
          <w:spacing w:val="-2"/>
          <w:position w:val="18"/>
          <w:sz w:val="30"/>
        </w:rPr>
        <w:t>6:39-40,</w:t>
      </w:r>
      <w:r>
        <w:rPr>
          <w:color w:val="231F20"/>
          <w:position w:val="18"/>
          <w:sz w:val="30"/>
        </w:rPr>
        <w:tab/>
      </w:r>
      <w:r>
        <w:rPr>
          <w:color w:val="231F20"/>
          <w:position w:val="18"/>
          <w:sz w:val="30"/>
        </w:rPr>
        <w:t>44,</w:t>
      </w:r>
      <w:r>
        <w:rPr>
          <w:color w:val="231F20"/>
          <w:spacing w:val="-34"/>
          <w:position w:val="18"/>
          <w:sz w:val="30"/>
        </w:rPr>
        <w:t xml:space="preserve"> </w:t>
      </w:r>
      <w:r>
        <w:rPr>
          <w:color w:val="231F20"/>
          <w:sz w:val="30"/>
        </w:rPr>
        <w:t>The</w:t>
      </w:r>
      <w:r>
        <w:rPr>
          <w:color w:val="231F20"/>
          <w:spacing w:val="-11"/>
          <w:sz w:val="30"/>
        </w:rPr>
        <w:t xml:space="preserve"> </w:t>
      </w:r>
      <w:r>
        <w:rPr>
          <w:color w:val="231F20"/>
          <w:sz w:val="30"/>
        </w:rPr>
        <w:t>resurrection</w:t>
      </w:r>
      <w:r>
        <w:rPr>
          <w:color w:val="231F20"/>
          <w:spacing w:val="-7"/>
          <w:sz w:val="30"/>
        </w:rPr>
        <w:t xml:space="preserve"> </w:t>
      </w:r>
      <w:r>
        <w:rPr>
          <w:color w:val="231F20"/>
          <w:sz w:val="30"/>
        </w:rPr>
        <w:t>on</w:t>
      </w:r>
      <w:r>
        <w:rPr>
          <w:color w:val="231F20"/>
          <w:spacing w:val="-7"/>
          <w:sz w:val="30"/>
        </w:rPr>
        <w:t xml:space="preserve"> </w:t>
      </w:r>
      <w:r>
        <w:rPr>
          <w:color w:val="231F20"/>
          <w:sz w:val="30"/>
        </w:rPr>
        <w:t>the</w:t>
      </w:r>
      <w:r>
        <w:rPr>
          <w:color w:val="231F20"/>
          <w:spacing w:val="-7"/>
          <w:sz w:val="30"/>
        </w:rPr>
        <w:t xml:space="preserve"> </w:t>
      </w:r>
      <w:r>
        <w:rPr>
          <w:color w:val="231F20"/>
          <w:sz w:val="30"/>
        </w:rPr>
        <w:t>Last</w:t>
      </w:r>
      <w:r>
        <w:rPr>
          <w:color w:val="231F20"/>
          <w:spacing w:val="-7"/>
          <w:sz w:val="30"/>
        </w:rPr>
        <w:t xml:space="preserve"> </w:t>
      </w:r>
      <w:r>
        <w:rPr>
          <w:color w:val="231F20"/>
          <w:sz w:val="30"/>
        </w:rPr>
        <w:t xml:space="preserve">Day </w:t>
      </w:r>
      <w:r>
        <w:rPr>
          <w:color w:val="231F20"/>
          <w:spacing w:val="-6"/>
          <w:sz w:val="30"/>
        </w:rPr>
        <w:t>54</w:t>
      </w:r>
    </w:p>
    <w:p w14:paraId="5B66F0EF">
      <w:pPr>
        <w:pStyle w:val="15"/>
        <w:numPr>
          <w:ilvl w:val="0"/>
          <w:numId w:val="7"/>
        </w:numPr>
        <w:tabs>
          <w:tab w:val="left" w:pos="519"/>
          <w:tab w:val="left" w:pos="2334"/>
        </w:tabs>
        <w:spacing w:before="76" w:after="0" w:line="240" w:lineRule="auto"/>
        <w:ind w:left="519" w:right="0" w:hanging="405"/>
        <w:jc w:val="left"/>
        <w:rPr>
          <w:sz w:val="30"/>
        </w:rPr>
      </w:pPr>
      <w:r>
        <w:rPr>
          <w:color w:val="231F20"/>
          <w:spacing w:val="-4"/>
          <w:sz w:val="30"/>
        </w:rPr>
        <w:t>14:3</w:t>
      </w:r>
      <w:r>
        <w:rPr>
          <w:color w:val="231F20"/>
          <w:sz w:val="30"/>
        </w:rPr>
        <w:tab/>
      </w:r>
      <w:r>
        <w:rPr>
          <w:color w:val="231F20"/>
          <w:sz w:val="30"/>
        </w:rPr>
        <w:t xml:space="preserve">I will come </w:t>
      </w:r>
      <w:r>
        <w:rPr>
          <w:color w:val="231F20"/>
          <w:spacing w:val="-2"/>
          <w:sz w:val="30"/>
        </w:rPr>
        <w:t>again</w:t>
      </w:r>
    </w:p>
    <w:p w14:paraId="5290D47B">
      <w:pPr>
        <w:pStyle w:val="9"/>
        <w:spacing w:before="210"/>
        <w:ind w:left="0"/>
        <w:jc w:val="left"/>
      </w:pPr>
    </w:p>
    <w:p w14:paraId="1B5896DF">
      <w:pPr>
        <w:pStyle w:val="8"/>
        <w:ind w:left="114"/>
        <w:jc w:val="left"/>
      </w:pPr>
      <w:r>
        <w:rPr>
          <w:color w:val="231F20"/>
          <w:spacing w:val="-4"/>
        </w:rPr>
        <w:t>Acts</w:t>
      </w:r>
    </w:p>
    <w:p w14:paraId="56589A9D">
      <w:pPr>
        <w:pStyle w:val="15"/>
        <w:numPr>
          <w:ilvl w:val="0"/>
          <w:numId w:val="8"/>
        </w:numPr>
        <w:tabs>
          <w:tab w:val="left" w:pos="519"/>
          <w:tab w:val="left" w:pos="2334"/>
        </w:tabs>
        <w:spacing w:before="136" w:after="0" w:line="240" w:lineRule="auto"/>
        <w:ind w:left="519" w:right="0" w:hanging="405"/>
        <w:jc w:val="left"/>
        <w:rPr>
          <w:sz w:val="30"/>
        </w:rPr>
      </w:pPr>
      <w:r>
        <w:rPr>
          <w:color w:val="231F20"/>
          <w:sz w:val="30"/>
        </w:rPr>
        <w:t>3:19-</w:t>
      </w:r>
      <w:r>
        <w:rPr>
          <w:color w:val="231F20"/>
          <w:spacing w:val="-5"/>
          <w:sz w:val="30"/>
        </w:rPr>
        <w:t>25</w:t>
      </w:r>
      <w:r>
        <w:rPr>
          <w:color w:val="231F20"/>
          <w:sz w:val="30"/>
        </w:rPr>
        <w:tab/>
      </w:r>
      <w:r>
        <w:rPr>
          <w:color w:val="231F20"/>
          <w:sz w:val="30"/>
        </w:rPr>
        <w:t>The</w:t>
      </w:r>
      <w:r>
        <w:rPr>
          <w:color w:val="231F20"/>
          <w:spacing w:val="-2"/>
          <w:sz w:val="30"/>
        </w:rPr>
        <w:t xml:space="preserve"> </w:t>
      </w:r>
      <w:r>
        <w:rPr>
          <w:color w:val="231F20"/>
          <w:sz w:val="30"/>
        </w:rPr>
        <w:t xml:space="preserve">restoration of all </w:t>
      </w:r>
      <w:r>
        <w:rPr>
          <w:color w:val="231F20"/>
          <w:spacing w:val="-2"/>
          <w:sz w:val="30"/>
        </w:rPr>
        <w:t>things</w:t>
      </w:r>
    </w:p>
    <w:p w14:paraId="5672C9C3">
      <w:pPr>
        <w:pStyle w:val="15"/>
        <w:numPr>
          <w:ilvl w:val="0"/>
          <w:numId w:val="8"/>
        </w:numPr>
        <w:tabs>
          <w:tab w:val="left" w:pos="519"/>
          <w:tab w:val="left" w:pos="2334"/>
        </w:tabs>
        <w:spacing w:before="45" w:after="0" w:line="240" w:lineRule="auto"/>
        <w:ind w:left="519" w:right="0" w:hanging="405"/>
        <w:jc w:val="left"/>
        <w:rPr>
          <w:sz w:val="30"/>
        </w:rPr>
      </w:pPr>
      <w:r>
        <w:rPr>
          <w:color w:val="231F20"/>
          <w:spacing w:val="-2"/>
          <w:sz w:val="30"/>
        </w:rPr>
        <w:t>10:42</w:t>
      </w:r>
      <w:r>
        <w:rPr>
          <w:color w:val="231F20"/>
          <w:sz w:val="30"/>
        </w:rPr>
        <w:tab/>
      </w:r>
      <w:r>
        <w:rPr>
          <w:color w:val="231F20"/>
          <w:sz w:val="30"/>
        </w:rPr>
        <w:t xml:space="preserve">The judge of the living and the </w:t>
      </w:r>
      <w:r>
        <w:rPr>
          <w:color w:val="231F20"/>
          <w:spacing w:val="-4"/>
          <w:sz w:val="30"/>
        </w:rPr>
        <w:t>dead</w:t>
      </w:r>
    </w:p>
    <w:p w14:paraId="5DA1453D">
      <w:pPr>
        <w:pStyle w:val="15"/>
        <w:numPr>
          <w:ilvl w:val="0"/>
          <w:numId w:val="8"/>
        </w:numPr>
        <w:tabs>
          <w:tab w:val="left" w:pos="519"/>
          <w:tab w:val="left" w:pos="2334"/>
        </w:tabs>
        <w:spacing w:before="45" w:after="0" w:line="240" w:lineRule="auto"/>
        <w:ind w:left="519" w:right="0" w:hanging="405"/>
        <w:jc w:val="left"/>
        <w:rPr>
          <w:sz w:val="30"/>
        </w:rPr>
      </w:pPr>
      <w:r>
        <w:rPr>
          <w:color w:val="231F20"/>
          <w:spacing w:val="-2"/>
          <w:sz w:val="30"/>
        </w:rPr>
        <w:t>24:15</w:t>
      </w:r>
      <w:r>
        <w:rPr>
          <w:color w:val="231F20"/>
          <w:sz w:val="30"/>
        </w:rPr>
        <w:tab/>
      </w:r>
      <w:r>
        <w:rPr>
          <w:color w:val="231F20"/>
          <w:sz w:val="30"/>
        </w:rPr>
        <w:t>A</w:t>
      </w:r>
      <w:r>
        <w:rPr>
          <w:color w:val="231F20"/>
          <w:spacing w:val="-2"/>
          <w:sz w:val="30"/>
        </w:rPr>
        <w:t xml:space="preserve"> </w:t>
      </w:r>
      <w:r>
        <w:rPr>
          <w:color w:val="231F20"/>
          <w:sz w:val="30"/>
        </w:rPr>
        <w:t xml:space="preserve">resurrection of the just and the </w:t>
      </w:r>
      <w:r>
        <w:rPr>
          <w:color w:val="231F20"/>
          <w:spacing w:val="-2"/>
          <w:sz w:val="30"/>
        </w:rPr>
        <w:t>unjust</w:t>
      </w:r>
    </w:p>
    <w:p w14:paraId="42EF3C59">
      <w:pPr>
        <w:pStyle w:val="9"/>
        <w:spacing w:before="209"/>
        <w:ind w:left="0"/>
        <w:jc w:val="left"/>
      </w:pPr>
    </w:p>
    <w:p w14:paraId="14CC269E">
      <w:pPr>
        <w:pStyle w:val="9"/>
        <w:spacing w:before="209"/>
        <w:ind w:left="0"/>
        <w:jc w:val="left"/>
      </w:pPr>
    </w:p>
    <w:p w14:paraId="5FB64313">
      <w:pPr>
        <w:pStyle w:val="9"/>
        <w:spacing w:before="209"/>
        <w:ind w:left="0"/>
        <w:jc w:val="left"/>
      </w:pPr>
      <w:r>
        <w:drawing>
          <wp:inline distT="0" distB="0" distL="114300" distR="114300">
            <wp:extent cx="4419600" cy="5819775"/>
            <wp:effectExtent l="0" t="0" r="0" b="1905"/>
            <wp:docPr id="2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6"/>
                    <pic:cNvPicPr>
                      <a:picLocks noChangeAspect="1"/>
                    </pic:cNvPicPr>
                  </pic:nvPicPr>
                  <pic:blipFill>
                    <a:blip r:embed="rId48"/>
                    <a:stretch>
                      <a:fillRect/>
                    </a:stretch>
                  </pic:blipFill>
                  <pic:spPr>
                    <a:xfrm>
                      <a:off x="0" y="0"/>
                      <a:ext cx="4419600" cy="5819775"/>
                    </a:xfrm>
                    <a:prstGeom prst="rect">
                      <a:avLst/>
                    </a:prstGeom>
                    <a:noFill/>
                    <a:ln>
                      <a:noFill/>
                    </a:ln>
                  </pic:spPr>
                </pic:pic>
              </a:graphicData>
            </a:graphic>
          </wp:inline>
        </w:drawing>
      </w:r>
    </w:p>
    <w:p w14:paraId="72829454">
      <w:pPr>
        <w:pStyle w:val="9"/>
        <w:spacing w:before="209"/>
        <w:ind w:left="0"/>
        <w:jc w:val="left"/>
      </w:pPr>
    </w:p>
    <w:p w14:paraId="1C4AC888">
      <w:pPr>
        <w:pStyle w:val="9"/>
        <w:spacing w:before="209"/>
        <w:ind w:left="0"/>
        <w:jc w:val="left"/>
      </w:pPr>
    </w:p>
    <w:p w14:paraId="73C0C74F">
      <w:pPr>
        <w:pStyle w:val="9"/>
        <w:spacing w:before="209"/>
        <w:ind w:left="0"/>
        <w:jc w:val="left"/>
      </w:pPr>
    </w:p>
    <w:p w14:paraId="6257F731">
      <w:pPr>
        <w:pStyle w:val="9"/>
        <w:spacing w:before="209"/>
        <w:ind w:left="0"/>
        <w:jc w:val="left"/>
      </w:pPr>
    </w:p>
    <w:p w14:paraId="707D7BA9">
      <w:pPr>
        <w:pStyle w:val="9"/>
        <w:spacing w:before="209"/>
        <w:ind w:left="0"/>
        <w:jc w:val="left"/>
      </w:pPr>
    </w:p>
    <w:p w14:paraId="3D1F26B4">
      <w:pPr>
        <w:pStyle w:val="9"/>
        <w:spacing w:before="209"/>
        <w:ind w:left="0"/>
        <w:jc w:val="left"/>
      </w:pPr>
    </w:p>
    <w:p w14:paraId="7609D5BB">
      <w:pPr>
        <w:pStyle w:val="9"/>
        <w:spacing w:before="209"/>
        <w:ind w:left="0"/>
        <w:jc w:val="left"/>
      </w:pPr>
    </w:p>
    <w:p w14:paraId="6CFBEE87">
      <w:pPr>
        <w:pStyle w:val="9"/>
        <w:spacing w:before="209"/>
        <w:ind w:left="0"/>
        <w:jc w:val="left"/>
      </w:pPr>
    </w:p>
    <w:p w14:paraId="669756A2">
      <w:pPr>
        <w:pStyle w:val="9"/>
        <w:spacing w:before="209"/>
        <w:ind w:left="0"/>
        <w:jc w:val="left"/>
      </w:pPr>
    </w:p>
    <w:p w14:paraId="2FEF6E4D">
      <w:pPr>
        <w:spacing w:before="1"/>
        <w:ind w:left="114" w:right="0" w:firstLine="0"/>
        <w:jc w:val="left"/>
        <w:rPr>
          <w:b/>
          <w:i/>
          <w:sz w:val="30"/>
        </w:rPr>
      </w:pPr>
      <w:r>
        <w:rPr>
          <w:b/>
          <w:i/>
          <w:color w:val="231F20"/>
          <w:spacing w:val="-2"/>
          <w:sz w:val="30"/>
        </w:rPr>
        <w:t>Romans</w:t>
      </w:r>
    </w:p>
    <w:p w14:paraId="713BD17C">
      <w:pPr>
        <w:spacing w:after="0"/>
        <w:jc w:val="left"/>
        <w:rPr>
          <w:b/>
          <w:i/>
          <w:sz w:val="30"/>
        </w:rPr>
      </w:pPr>
    </w:p>
    <w:p w14:paraId="009290AA">
      <w:pPr>
        <w:tabs>
          <w:tab w:val="left" w:pos="1420"/>
        </w:tabs>
        <w:bidi w:val="0"/>
        <w:jc w:val="left"/>
      </w:pPr>
      <w:r>
        <w:rPr>
          <w:color w:val="231F20"/>
          <w:spacing w:val="-4"/>
        </w:rPr>
        <w:t>Text</w:t>
      </w:r>
      <w:r>
        <w:rPr>
          <w:color w:val="231F20"/>
        </w:rPr>
        <w:tab/>
      </w:r>
      <w:r>
        <w:rPr>
          <w:color w:val="231F20"/>
        </w:rPr>
        <w:t>Gist</w:t>
      </w:r>
      <w:r>
        <w:rPr>
          <w:color w:val="231F20"/>
          <w:spacing w:val="-2"/>
        </w:rPr>
        <w:t xml:space="preserve"> </w:t>
      </w:r>
      <w:r>
        <w:rPr>
          <w:color w:val="231F20"/>
        </w:rPr>
        <w:t xml:space="preserve">of </w:t>
      </w:r>
      <w:r>
        <w:rPr>
          <w:color w:val="231F20"/>
          <w:spacing w:val="-4"/>
        </w:rPr>
        <w:t>Text</w:t>
      </w:r>
    </w:p>
    <w:p w14:paraId="225BBE87">
      <w:pPr>
        <w:pStyle w:val="15"/>
        <w:numPr>
          <w:ilvl w:val="0"/>
          <w:numId w:val="9"/>
        </w:numPr>
        <w:tabs>
          <w:tab w:val="left" w:pos="519"/>
          <w:tab w:val="left" w:pos="2334"/>
        </w:tabs>
        <w:spacing w:before="45" w:after="0" w:line="240" w:lineRule="auto"/>
        <w:ind w:left="519" w:right="0" w:hanging="405"/>
        <w:jc w:val="left"/>
        <w:rPr>
          <w:sz w:val="30"/>
        </w:rPr>
      </w:pPr>
      <w:r>
        <w:rPr>
          <w:color w:val="231F20"/>
          <w:sz w:val="30"/>
        </w:rPr>
        <w:t>2:1-</w:t>
      </w:r>
      <w:r>
        <w:rPr>
          <w:color w:val="231F20"/>
          <w:spacing w:val="-5"/>
          <w:sz w:val="30"/>
        </w:rPr>
        <w:t>16</w:t>
      </w:r>
      <w:r>
        <w:rPr>
          <w:color w:val="231F20"/>
          <w:sz w:val="30"/>
        </w:rPr>
        <w:tab/>
      </w:r>
      <w:r>
        <w:rPr>
          <w:color w:val="231F20"/>
          <w:sz w:val="30"/>
        </w:rPr>
        <w:t>Judgment</w:t>
      </w:r>
      <w:r>
        <w:rPr>
          <w:color w:val="231F20"/>
          <w:spacing w:val="-2"/>
          <w:sz w:val="30"/>
        </w:rPr>
        <w:t xml:space="preserve"> </w:t>
      </w:r>
      <w:r>
        <w:rPr>
          <w:color w:val="231F20"/>
          <w:sz w:val="30"/>
        </w:rPr>
        <w:t xml:space="preserve">on the Day of </w:t>
      </w:r>
      <w:r>
        <w:rPr>
          <w:color w:val="231F20"/>
          <w:spacing w:val="-2"/>
          <w:sz w:val="30"/>
        </w:rPr>
        <w:t>Christ</w:t>
      </w:r>
    </w:p>
    <w:p w14:paraId="3D47949D">
      <w:pPr>
        <w:pStyle w:val="15"/>
        <w:numPr>
          <w:ilvl w:val="0"/>
          <w:numId w:val="9"/>
        </w:numPr>
        <w:tabs>
          <w:tab w:val="left" w:pos="519"/>
          <w:tab w:val="left" w:pos="2334"/>
        </w:tabs>
        <w:spacing w:before="45" w:after="0" w:line="240" w:lineRule="auto"/>
        <w:ind w:left="519" w:right="0" w:hanging="405"/>
        <w:jc w:val="left"/>
        <w:rPr>
          <w:sz w:val="30"/>
        </w:rPr>
      </w:pPr>
      <w:r>
        <w:rPr>
          <w:color w:val="231F20"/>
          <w:sz w:val="30"/>
        </w:rPr>
        <w:t>8:16-</w:t>
      </w:r>
      <w:r>
        <w:rPr>
          <w:color w:val="231F20"/>
          <w:spacing w:val="-5"/>
          <w:sz w:val="30"/>
        </w:rPr>
        <w:t>25</w:t>
      </w:r>
      <w:r>
        <w:rPr>
          <w:color w:val="231F20"/>
          <w:sz w:val="30"/>
        </w:rPr>
        <w:tab/>
      </w:r>
      <w:r>
        <w:rPr>
          <w:color w:val="231F20"/>
          <w:sz w:val="30"/>
        </w:rPr>
        <w:t xml:space="preserve">Cosmic restoration at the </w:t>
      </w:r>
      <w:r>
        <w:rPr>
          <w:color w:val="231F20"/>
          <w:spacing w:val="-2"/>
          <w:sz w:val="30"/>
        </w:rPr>
        <w:t>resurrection</w:t>
      </w:r>
    </w:p>
    <w:p w14:paraId="5577EF69">
      <w:pPr>
        <w:pStyle w:val="15"/>
        <w:numPr>
          <w:ilvl w:val="0"/>
          <w:numId w:val="9"/>
        </w:numPr>
        <w:tabs>
          <w:tab w:val="left" w:pos="519"/>
          <w:tab w:val="left" w:pos="2334"/>
        </w:tabs>
        <w:spacing w:before="45" w:after="0" w:line="240" w:lineRule="auto"/>
        <w:ind w:left="519" w:right="0" w:hanging="405"/>
        <w:jc w:val="left"/>
        <w:rPr>
          <w:sz w:val="30"/>
        </w:rPr>
      </w:pPr>
      <w:r>
        <w:rPr>
          <w:color w:val="231F20"/>
          <w:spacing w:val="-4"/>
          <w:sz w:val="30"/>
        </w:rPr>
        <w:t>11:11-</w:t>
      </w:r>
      <w:r>
        <w:rPr>
          <w:color w:val="231F20"/>
          <w:spacing w:val="-5"/>
          <w:sz w:val="30"/>
        </w:rPr>
        <w:t>15</w:t>
      </w:r>
      <w:r>
        <w:rPr>
          <w:color w:val="231F20"/>
          <w:sz w:val="30"/>
        </w:rPr>
        <w:tab/>
      </w:r>
      <w:r>
        <w:rPr>
          <w:color w:val="231F20"/>
          <w:sz w:val="30"/>
        </w:rPr>
        <w:t>Life</w:t>
      </w:r>
      <w:r>
        <w:rPr>
          <w:color w:val="231F20"/>
          <w:spacing w:val="-5"/>
          <w:sz w:val="30"/>
        </w:rPr>
        <w:t xml:space="preserve"> </w:t>
      </w:r>
      <w:r>
        <w:rPr>
          <w:color w:val="231F20"/>
          <w:sz w:val="30"/>
        </w:rPr>
        <w:t>from</w:t>
      </w:r>
      <w:r>
        <w:rPr>
          <w:color w:val="231F20"/>
          <w:spacing w:val="-3"/>
          <w:sz w:val="30"/>
        </w:rPr>
        <w:t xml:space="preserve"> </w:t>
      </w:r>
      <w:r>
        <w:rPr>
          <w:color w:val="231F20"/>
          <w:sz w:val="30"/>
        </w:rPr>
        <w:t>the</w:t>
      </w:r>
      <w:r>
        <w:rPr>
          <w:color w:val="231F20"/>
          <w:spacing w:val="-3"/>
          <w:sz w:val="30"/>
        </w:rPr>
        <w:t xml:space="preserve"> </w:t>
      </w:r>
      <w:r>
        <w:rPr>
          <w:color w:val="231F20"/>
          <w:sz w:val="30"/>
        </w:rPr>
        <w:t>dead</w:t>
      </w:r>
      <w:r>
        <w:rPr>
          <w:color w:val="231F20"/>
          <w:spacing w:val="-3"/>
          <w:sz w:val="30"/>
        </w:rPr>
        <w:t xml:space="preserve"> </w:t>
      </w:r>
      <w:r>
        <w:rPr>
          <w:color w:val="231F20"/>
          <w:sz w:val="30"/>
        </w:rPr>
        <w:t>at</w:t>
      </w:r>
      <w:r>
        <w:rPr>
          <w:color w:val="231F20"/>
          <w:spacing w:val="-3"/>
          <w:sz w:val="30"/>
        </w:rPr>
        <w:t xml:space="preserve"> </w:t>
      </w:r>
      <w:r>
        <w:rPr>
          <w:color w:val="231F20"/>
          <w:sz w:val="30"/>
        </w:rPr>
        <w:t>Israel’s</w:t>
      </w:r>
      <w:r>
        <w:rPr>
          <w:color w:val="231F20"/>
          <w:spacing w:val="-2"/>
          <w:sz w:val="30"/>
        </w:rPr>
        <w:t xml:space="preserve"> conversion</w:t>
      </w:r>
    </w:p>
    <w:p w14:paraId="7E740AA8">
      <w:pPr>
        <w:pStyle w:val="15"/>
        <w:numPr>
          <w:ilvl w:val="0"/>
          <w:numId w:val="9"/>
        </w:numPr>
        <w:tabs>
          <w:tab w:val="left" w:pos="519"/>
          <w:tab w:val="left" w:pos="2334"/>
        </w:tabs>
        <w:spacing w:before="45" w:after="0" w:line="240" w:lineRule="auto"/>
        <w:ind w:left="519" w:right="0" w:hanging="405"/>
        <w:jc w:val="left"/>
        <w:rPr>
          <w:sz w:val="30"/>
        </w:rPr>
      </w:pPr>
      <w:r>
        <w:rPr>
          <w:color w:val="231F20"/>
          <w:spacing w:val="-2"/>
          <w:sz w:val="30"/>
        </w:rPr>
        <w:t>16:20</w:t>
      </w:r>
      <w:r>
        <w:rPr>
          <w:color w:val="231F20"/>
          <w:sz w:val="30"/>
        </w:rPr>
        <w:tab/>
      </w:r>
      <w:r>
        <w:rPr>
          <w:color w:val="231F20"/>
          <w:sz w:val="30"/>
        </w:rPr>
        <w:t xml:space="preserve">Satan crushed at the </w:t>
      </w:r>
      <w:r>
        <w:rPr>
          <w:color w:val="231F20"/>
          <w:spacing w:val="-2"/>
          <w:sz w:val="30"/>
        </w:rPr>
        <w:t>Parousia</w:t>
      </w:r>
    </w:p>
    <w:p w14:paraId="609728CE">
      <w:pPr>
        <w:pStyle w:val="9"/>
        <w:spacing w:before="105"/>
        <w:ind w:left="0"/>
        <w:jc w:val="left"/>
      </w:pPr>
    </w:p>
    <w:p w14:paraId="3BC0D003">
      <w:pPr>
        <w:pStyle w:val="8"/>
        <w:ind w:left="114"/>
        <w:jc w:val="left"/>
      </w:pPr>
      <w:r>
        <w:rPr>
          <w:color w:val="231F20"/>
        </w:rPr>
        <w:t xml:space="preserve">1 </w:t>
      </w:r>
      <w:r>
        <w:rPr>
          <w:color w:val="231F20"/>
          <w:spacing w:val="-2"/>
        </w:rPr>
        <w:t>Corinthians</w:t>
      </w:r>
    </w:p>
    <w:p w14:paraId="4C595987">
      <w:pPr>
        <w:pStyle w:val="15"/>
        <w:numPr>
          <w:ilvl w:val="0"/>
          <w:numId w:val="10"/>
        </w:numPr>
        <w:tabs>
          <w:tab w:val="left" w:pos="519"/>
          <w:tab w:val="left" w:pos="2334"/>
        </w:tabs>
        <w:spacing w:before="135" w:after="0" w:line="240" w:lineRule="auto"/>
        <w:ind w:left="519" w:right="0" w:hanging="405"/>
        <w:jc w:val="left"/>
        <w:rPr>
          <w:sz w:val="30"/>
        </w:rPr>
      </w:pPr>
      <w:r>
        <w:rPr>
          <w:color w:val="231F20"/>
          <w:sz w:val="30"/>
        </w:rPr>
        <w:t>1:4-</w:t>
      </w:r>
      <w:r>
        <w:rPr>
          <w:color w:val="231F20"/>
          <w:spacing w:val="-10"/>
          <w:sz w:val="30"/>
        </w:rPr>
        <w:t>8</w:t>
      </w:r>
      <w:r>
        <w:rPr>
          <w:color w:val="231F20"/>
          <w:sz w:val="30"/>
        </w:rPr>
        <w:tab/>
      </w:r>
      <w:r>
        <w:rPr>
          <w:color w:val="231F20"/>
          <w:sz w:val="30"/>
        </w:rPr>
        <w:t>Waiting</w:t>
      </w:r>
      <w:r>
        <w:rPr>
          <w:color w:val="231F20"/>
          <w:spacing w:val="-4"/>
          <w:sz w:val="30"/>
        </w:rPr>
        <w:t xml:space="preserve"> </w:t>
      </w:r>
      <w:r>
        <w:rPr>
          <w:color w:val="231F20"/>
          <w:sz w:val="30"/>
        </w:rPr>
        <w:t>for</w:t>
      </w:r>
      <w:r>
        <w:rPr>
          <w:color w:val="231F20"/>
          <w:spacing w:val="-3"/>
          <w:sz w:val="30"/>
        </w:rPr>
        <w:t xml:space="preserve"> </w:t>
      </w:r>
      <w:r>
        <w:rPr>
          <w:color w:val="231F20"/>
          <w:sz w:val="30"/>
        </w:rPr>
        <w:t>the</w:t>
      </w:r>
      <w:r>
        <w:rPr>
          <w:color w:val="231F20"/>
          <w:spacing w:val="-3"/>
          <w:sz w:val="30"/>
        </w:rPr>
        <w:t xml:space="preserve"> </w:t>
      </w:r>
      <w:r>
        <w:rPr>
          <w:color w:val="231F20"/>
          <w:sz w:val="30"/>
        </w:rPr>
        <w:t>end</w:t>
      </w:r>
      <w:r>
        <w:rPr>
          <w:color w:val="231F20"/>
          <w:spacing w:val="-3"/>
          <w:sz w:val="30"/>
        </w:rPr>
        <w:t xml:space="preserve"> </w:t>
      </w:r>
      <w:r>
        <w:rPr>
          <w:color w:val="231F20"/>
          <w:sz w:val="30"/>
        </w:rPr>
        <w:t>at</w:t>
      </w:r>
      <w:r>
        <w:rPr>
          <w:color w:val="231F20"/>
          <w:spacing w:val="-3"/>
          <w:sz w:val="30"/>
        </w:rPr>
        <w:t xml:space="preserve"> </w:t>
      </w:r>
      <w:r>
        <w:rPr>
          <w:color w:val="231F20"/>
          <w:sz w:val="30"/>
        </w:rPr>
        <w:t>the</w:t>
      </w:r>
      <w:r>
        <w:rPr>
          <w:color w:val="231F20"/>
          <w:spacing w:val="-3"/>
          <w:sz w:val="30"/>
        </w:rPr>
        <w:t xml:space="preserve"> </w:t>
      </w:r>
      <w:r>
        <w:rPr>
          <w:color w:val="231F20"/>
          <w:sz w:val="30"/>
        </w:rPr>
        <w:t>revelation</w:t>
      </w:r>
      <w:r>
        <w:rPr>
          <w:color w:val="231F20"/>
          <w:spacing w:val="-3"/>
          <w:sz w:val="30"/>
        </w:rPr>
        <w:t xml:space="preserve"> </w:t>
      </w:r>
      <w:r>
        <w:rPr>
          <w:color w:val="231F20"/>
          <w:sz w:val="30"/>
        </w:rPr>
        <w:t>of</w:t>
      </w:r>
      <w:r>
        <w:rPr>
          <w:color w:val="231F20"/>
          <w:spacing w:val="-3"/>
          <w:sz w:val="30"/>
        </w:rPr>
        <w:t xml:space="preserve"> </w:t>
      </w:r>
      <w:r>
        <w:rPr>
          <w:color w:val="231F20"/>
          <w:spacing w:val="-2"/>
          <w:sz w:val="30"/>
        </w:rPr>
        <w:t>Christ</w:t>
      </w:r>
    </w:p>
    <w:p w14:paraId="74B6CE5D">
      <w:pPr>
        <w:pStyle w:val="15"/>
        <w:numPr>
          <w:ilvl w:val="0"/>
          <w:numId w:val="10"/>
        </w:numPr>
        <w:tabs>
          <w:tab w:val="left" w:pos="519"/>
          <w:tab w:val="left" w:pos="2334"/>
        </w:tabs>
        <w:spacing w:before="45" w:after="0" w:line="240" w:lineRule="auto"/>
        <w:ind w:left="519" w:right="0" w:hanging="405"/>
        <w:jc w:val="left"/>
        <w:rPr>
          <w:sz w:val="30"/>
        </w:rPr>
      </w:pPr>
      <w:r>
        <w:rPr>
          <w:color w:val="231F20"/>
          <w:spacing w:val="-4"/>
          <w:sz w:val="30"/>
        </w:rPr>
        <w:t>3:13</w:t>
      </w:r>
      <w:r>
        <w:rPr>
          <w:color w:val="231F20"/>
          <w:sz w:val="30"/>
        </w:rPr>
        <w:tab/>
      </w:r>
      <w:r>
        <w:rPr>
          <w:color w:val="231F20"/>
          <w:sz w:val="30"/>
        </w:rPr>
        <w:t xml:space="preserve">The one Day of </w:t>
      </w:r>
      <w:r>
        <w:rPr>
          <w:color w:val="231F20"/>
          <w:spacing w:val="-2"/>
          <w:sz w:val="30"/>
        </w:rPr>
        <w:t>Judgment</w:t>
      </w:r>
    </w:p>
    <w:p w14:paraId="3753C47B">
      <w:pPr>
        <w:pStyle w:val="15"/>
        <w:numPr>
          <w:ilvl w:val="0"/>
          <w:numId w:val="10"/>
        </w:numPr>
        <w:tabs>
          <w:tab w:val="left" w:pos="519"/>
          <w:tab w:val="left" w:pos="2334"/>
        </w:tabs>
        <w:spacing w:before="45" w:after="0" w:line="240" w:lineRule="auto"/>
        <w:ind w:left="519" w:right="0" w:hanging="405"/>
        <w:jc w:val="left"/>
        <w:rPr>
          <w:sz w:val="30"/>
        </w:rPr>
      </w:pPr>
      <w:r>
        <w:rPr>
          <w:color w:val="231F20"/>
          <w:spacing w:val="-5"/>
          <w:sz w:val="30"/>
        </w:rPr>
        <w:t>4:5</w:t>
      </w:r>
      <w:r>
        <w:rPr>
          <w:color w:val="231F20"/>
          <w:sz w:val="30"/>
        </w:rPr>
        <w:tab/>
      </w:r>
      <w:r>
        <w:rPr>
          <w:color w:val="231F20"/>
          <w:sz w:val="30"/>
        </w:rPr>
        <w:t xml:space="preserve">Universal judgment at the </w:t>
      </w:r>
      <w:r>
        <w:rPr>
          <w:color w:val="231F20"/>
          <w:spacing w:val="-2"/>
          <w:sz w:val="30"/>
        </w:rPr>
        <w:t>Parousia</w:t>
      </w:r>
    </w:p>
    <w:p w14:paraId="21333145">
      <w:pPr>
        <w:pStyle w:val="15"/>
        <w:numPr>
          <w:ilvl w:val="0"/>
          <w:numId w:val="10"/>
        </w:numPr>
        <w:tabs>
          <w:tab w:val="left" w:pos="519"/>
          <w:tab w:val="left" w:pos="2334"/>
        </w:tabs>
        <w:spacing w:before="45" w:after="0" w:line="240" w:lineRule="auto"/>
        <w:ind w:left="519" w:right="0" w:hanging="405"/>
        <w:jc w:val="left"/>
        <w:rPr>
          <w:sz w:val="30"/>
        </w:rPr>
      </w:pPr>
      <w:r>
        <w:rPr>
          <w:color w:val="231F20"/>
          <w:spacing w:val="-5"/>
          <w:sz w:val="30"/>
        </w:rPr>
        <w:t>5:5</w:t>
      </w:r>
      <w:r>
        <w:rPr>
          <w:color w:val="231F20"/>
          <w:sz w:val="30"/>
        </w:rPr>
        <w:tab/>
      </w:r>
      <w:r>
        <w:rPr>
          <w:color w:val="231F20"/>
          <w:sz w:val="30"/>
        </w:rPr>
        <w:t xml:space="preserve">The Day of the Lord </w:t>
      </w:r>
      <w:r>
        <w:rPr>
          <w:color w:val="231F20"/>
          <w:spacing w:val="-2"/>
          <w:sz w:val="30"/>
        </w:rPr>
        <w:t>Jesus</w:t>
      </w:r>
    </w:p>
    <w:p w14:paraId="503EDF72">
      <w:pPr>
        <w:pStyle w:val="15"/>
        <w:numPr>
          <w:ilvl w:val="0"/>
          <w:numId w:val="10"/>
        </w:numPr>
        <w:tabs>
          <w:tab w:val="left" w:pos="519"/>
          <w:tab w:val="left" w:pos="2334"/>
        </w:tabs>
        <w:spacing w:before="45" w:after="0" w:line="240" w:lineRule="auto"/>
        <w:ind w:left="519" w:right="0" w:hanging="405"/>
        <w:jc w:val="left"/>
        <w:rPr>
          <w:sz w:val="30"/>
        </w:rPr>
      </w:pPr>
      <w:r>
        <w:rPr>
          <w:color w:val="231F20"/>
          <w:sz w:val="30"/>
        </w:rPr>
        <w:t>15:20-</w:t>
      </w:r>
      <w:r>
        <w:rPr>
          <w:color w:val="231F20"/>
          <w:spacing w:val="-5"/>
          <w:sz w:val="30"/>
        </w:rPr>
        <w:t>28</w:t>
      </w:r>
      <w:r>
        <w:rPr>
          <w:color w:val="231F20"/>
          <w:sz w:val="30"/>
        </w:rPr>
        <w:tab/>
      </w:r>
      <w:r>
        <w:rPr>
          <w:color w:val="231F20"/>
          <w:sz w:val="30"/>
        </w:rPr>
        <w:t xml:space="preserve">The resurrection and the twofold </w:t>
      </w:r>
      <w:r>
        <w:rPr>
          <w:color w:val="231F20"/>
          <w:spacing w:val="-2"/>
          <w:sz w:val="30"/>
        </w:rPr>
        <w:t>Kingdom</w:t>
      </w:r>
    </w:p>
    <w:p w14:paraId="7C1FD2CD">
      <w:pPr>
        <w:pStyle w:val="15"/>
        <w:numPr>
          <w:ilvl w:val="0"/>
          <w:numId w:val="10"/>
        </w:numPr>
        <w:tabs>
          <w:tab w:val="left" w:pos="519"/>
          <w:tab w:val="left" w:pos="2334"/>
        </w:tabs>
        <w:spacing w:before="45" w:after="0" w:line="240" w:lineRule="auto"/>
        <w:ind w:left="519" w:right="0" w:hanging="405"/>
        <w:jc w:val="left"/>
        <w:rPr>
          <w:sz w:val="30"/>
        </w:rPr>
      </w:pPr>
      <w:r>
        <w:rPr>
          <w:color w:val="231F20"/>
          <w:sz w:val="30"/>
        </w:rPr>
        <w:t>15:50-</w:t>
      </w:r>
      <w:r>
        <w:rPr>
          <w:color w:val="231F20"/>
          <w:spacing w:val="-5"/>
          <w:sz w:val="30"/>
        </w:rPr>
        <w:t>58</w:t>
      </w:r>
      <w:r>
        <w:rPr>
          <w:color w:val="231F20"/>
          <w:sz w:val="30"/>
        </w:rPr>
        <w:tab/>
      </w:r>
      <w:r>
        <w:rPr>
          <w:color w:val="231F20"/>
          <w:sz w:val="30"/>
        </w:rPr>
        <w:t xml:space="preserve">The death of death at the last </w:t>
      </w:r>
      <w:r>
        <w:rPr>
          <w:color w:val="231F20"/>
          <w:spacing w:val="-2"/>
          <w:sz w:val="30"/>
        </w:rPr>
        <w:t>trumpet</w:t>
      </w:r>
    </w:p>
    <w:p w14:paraId="1EA99C14">
      <w:pPr>
        <w:pStyle w:val="9"/>
        <w:spacing w:before="210"/>
        <w:ind w:left="0"/>
        <w:jc w:val="left"/>
      </w:pPr>
    </w:p>
    <w:p w14:paraId="447161E3">
      <w:pPr>
        <w:pStyle w:val="8"/>
        <w:ind w:left="114"/>
        <w:jc w:val="left"/>
      </w:pPr>
      <w:r>
        <w:rPr>
          <w:color w:val="231F20"/>
        </w:rPr>
        <w:t xml:space="preserve">2 </w:t>
      </w:r>
      <w:r>
        <w:rPr>
          <w:color w:val="231F20"/>
          <w:spacing w:val="-2"/>
        </w:rPr>
        <w:t>Corinthians</w:t>
      </w:r>
    </w:p>
    <w:p w14:paraId="2AECFE41">
      <w:pPr>
        <w:pStyle w:val="15"/>
        <w:numPr>
          <w:ilvl w:val="0"/>
          <w:numId w:val="11"/>
        </w:numPr>
        <w:tabs>
          <w:tab w:val="left" w:pos="519"/>
          <w:tab w:val="left" w:pos="2334"/>
        </w:tabs>
        <w:spacing w:before="135" w:after="0" w:line="240" w:lineRule="auto"/>
        <w:ind w:left="519" w:right="0" w:hanging="405"/>
        <w:jc w:val="left"/>
        <w:rPr>
          <w:color w:val="231F20"/>
          <w:sz w:val="30"/>
        </w:rPr>
      </w:pPr>
      <w:r>
        <w:rPr>
          <w:color w:val="231F20"/>
          <w:spacing w:val="-4"/>
          <w:sz w:val="30"/>
        </w:rPr>
        <w:t>4:14</w:t>
      </w:r>
      <w:r>
        <w:rPr>
          <w:color w:val="231F20"/>
          <w:sz w:val="30"/>
        </w:rPr>
        <w:tab/>
      </w:r>
      <w:r>
        <w:rPr>
          <w:color w:val="231F20"/>
          <w:sz w:val="30"/>
        </w:rPr>
        <w:t xml:space="preserve">God presents his people at the </w:t>
      </w:r>
      <w:r>
        <w:rPr>
          <w:color w:val="231F20"/>
          <w:spacing w:val="-2"/>
          <w:sz w:val="30"/>
        </w:rPr>
        <w:t>resurrection</w:t>
      </w:r>
    </w:p>
    <w:p w14:paraId="06161A62">
      <w:pPr>
        <w:pStyle w:val="15"/>
        <w:numPr>
          <w:ilvl w:val="0"/>
          <w:numId w:val="11"/>
        </w:numPr>
        <w:tabs>
          <w:tab w:val="left" w:pos="519"/>
          <w:tab w:val="left" w:pos="2334"/>
        </w:tabs>
        <w:spacing w:before="76" w:after="0" w:line="165" w:lineRule="auto"/>
        <w:ind w:left="2334" w:right="1000" w:hanging="2220"/>
        <w:jc w:val="left"/>
        <w:rPr>
          <w:color w:val="231F20"/>
          <w:position w:val="-17"/>
          <w:sz w:val="30"/>
        </w:rPr>
      </w:pPr>
      <w:r>
        <w:rPr>
          <w:color w:val="231F20"/>
          <w:spacing w:val="-2"/>
          <w:position w:val="-17"/>
          <w:sz w:val="30"/>
        </w:rPr>
        <w:t>5:1-10</w:t>
      </w:r>
      <w:r>
        <w:rPr>
          <w:color w:val="231F20"/>
          <w:position w:val="-17"/>
          <w:sz w:val="30"/>
        </w:rPr>
        <w:tab/>
      </w:r>
      <w:r>
        <w:rPr>
          <w:color w:val="231F20"/>
          <w:sz w:val="30"/>
        </w:rPr>
        <w:t>Resurrection,</w:t>
      </w:r>
      <w:r>
        <w:rPr>
          <w:color w:val="231F20"/>
          <w:spacing w:val="-6"/>
          <w:sz w:val="30"/>
        </w:rPr>
        <w:t xml:space="preserve"> </w:t>
      </w:r>
      <w:r>
        <w:rPr>
          <w:color w:val="231F20"/>
          <w:sz w:val="30"/>
        </w:rPr>
        <w:t>judgment,</w:t>
      </w:r>
      <w:r>
        <w:rPr>
          <w:color w:val="231F20"/>
          <w:spacing w:val="-6"/>
          <w:sz w:val="30"/>
        </w:rPr>
        <w:t xml:space="preserve"> </w:t>
      </w:r>
      <w:r>
        <w:rPr>
          <w:color w:val="231F20"/>
          <w:sz w:val="30"/>
        </w:rPr>
        <w:t>and</w:t>
      </w:r>
      <w:r>
        <w:rPr>
          <w:color w:val="231F20"/>
          <w:spacing w:val="-6"/>
          <w:sz w:val="30"/>
        </w:rPr>
        <w:t xml:space="preserve"> </w:t>
      </w:r>
      <w:r>
        <w:rPr>
          <w:color w:val="231F20"/>
          <w:sz w:val="30"/>
        </w:rPr>
        <w:t>a</w:t>
      </w:r>
      <w:r>
        <w:rPr>
          <w:color w:val="231F20"/>
          <w:spacing w:val="-6"/>
          <w:sz w:val="30"/>
        </w:rPr>
        <w:t xml:space="preserve"> </w:t>
      </w:r>
      <w:r>
        <w:rPr>
          <w:color w:val="231F20"/>
          <w:sz w:val="30"/>
        </w:rPr>
        <w:t>house</w:t>
      </w:r>
      <w:r>
        <w:rPr>
          <w:color w:val="231F20"/>
          <w:spacing w:val="-6"/>
          <w:sz w:val="30"/>
        </w:rPr>
        <w:t xml:space="preserve"> </w:t>
      </w:r>
      <w:r>
        <w:rPr>
          <w:color w:val="231F20"/>
          <w:sz w:val="30"/>
        </w:rPr>
        <w:t>eternal</w:t>
      </w:r>
      <w:r>
        <w:rPr>
          <w:color w:val="231F20"/>
          <w:spacing w:val="-6"/>
          <w:sz w:val="30"/>
        </w:rPr>
        <w:t xml:space="preserve"> </w:t>
      </w:r>
      <w:r>
        <w:rPr>
          <w:color w:val="231F20"/>
          <w:sz w:val="30"/>
        </w:rPr>
        <w:t>in</w:t>
      </w:r>
      <w:r>
        <w:rPr>
          <w:color w:val="231F20"/>
          <w:spacing w:val="-6"/>
          <w:sz w:val="30"/>
        </w:rPr>
        <w:t xml:space="preserve"> </w:t>
      </w:r>
      <w:r>
        <w:rPr>
          <w:color w:val="231F20"/>
          <w:sz w:val="30"/>
        </w:rPr>
        <w:t xml:space="preserve">the </w:t>
      </w:r>
      <w:r>
        <w:rPr>
          <w:color w:val="231F20"/>
          <w:spacing w:val="-2"/>
          <w:sz w:val="30"/>
        </w:rPr>
        <w:t>heavens</w:t>
      </w:r>
    </w:p>
    <w:p w14:paraId="413F0BCA">
      <w:pPr>
        <w:pStyle w:val="9"/>
        <w:spacing w:before="228"/>
        <w:ind w:left="0"/>
        <w:jc w:val="left"/>
      </w:pPr>
    </w:p>
    <w:p w14:paraId="50E2B4E1">
      <w:pPr>
        <w:pStyle w:val="8"/>
        <w:ind w:left="114"/>
        <w:jc w:val="left"/>
      </w:pPr>
      <w:r>
        <w:rPr>
          <w:color w:val="231F20"/>
          <w:spacing w:val="-2"/>
        </w:rPr>
        <w:t>Ephesians</w:t>
      </w:r>
    </w:p>
    <w:p w14:paraId="18F3A081">
      <w:pPr>
        <w:pStyle w:val="15"/>
        <w:numPr>
          <w:ilvl w:val="0"/>
          <w:numId w:val="12"/>
        </w:numPr>
        <w:tabs>
          <w:tab w:val="left" w:pos="519"/>
          <w:tab w:val="left" w:pos="2334"/>
        </w:tabs>
        <w:spacing w:before="135" w:after="0" w:line="240" w:lineRule="auto"/>
        <w:ind w:left="519" w:right="0" w:hanging="405"/>
        <w:jc w:val="left"/>
        <w:rPr>
          <w:sz w:val="30"/>
        </w:rPr>
      </w:pPr>
      <w:r>
        <w:rPr>
          <w:color w:val="231F20"/>
          <w:spacing w:val="-4"/>
          <w:sz w:val="30"/>
        </w:rPr>
        <w:t>4:30</w:t>
      </w:r>
      <w:r>
        <w:rPr>
          <w:color w:val="231F20"/>
          <w:sz w:val="30"/>
        </w:rPr>
        <w:tab/>
      </w:r>
      <w:r>
        <w:rPr>
          <w:color w:val="231F20"/>
          <w:sz w:val="30"/>
        </w:rPr>
        <w:t xml:space="preserve">Sealed for the day of </w:t>
      </w:r>
      <w:r>
        <w:rPr>
          <w:color w:val="231F20"/>
          <w:spacing w:val="-2"/>
          <w:sz w:val="30"/>
        </w:rPr>
        <w:t>redemption</w:t>
      </w:r>
    </w:p>
    <w:p w14:paraId="298C41B4">
      <w:pPr>
        <w:pStyle w:val="9"/>
        <w:spacing w:before="210"/>
        <w:ind w:left="0"/>
        <w:jc w:val="left"/>
      </w:pPr>
    </w:p>
    <w:p w14:paraId="0258E957">
      <w:pPr>
        <w:pStyle w:val="8"/>
        <w:ind w:left="114"/>
        <w:jc w:val="left"/>
      </w:pPr>
      <w:r>
        <w:rPr>
          <w:color w:val="231F20"/>
          <w:spacing w:val="-2"/>
        </w:rPr>
        <w:t>Philippians</w:t>
      </w:r>
    </w:p>
    <w:p w14:paraId="628EE9DB">
      <w:pPr>
        <w:pStyle w:val="15"/>
        <w:numPr>
          <w:ilvl w:val="0"/>
          <w:numId w:val="13"/>
        </w:numPr>
        <w:tabs>
          <w:tab w:val="left" w:pos="519"/>
          <w:tab w:val="left" w:pos="2334"/>
        </w:tabs>
        <w:spacing w:before="135" w:after="0" w:line="240" w:lineRule="auto"/>
        <w:ind w:left="519" w:right="0" w:hanging="405"/>
        <w:jc w:val="left"/>
        <w:rPr>
          <w:sz w:val="30"/>
        </w:rPr>
      </w:pPr>
      <w:r>
        <w:rPr>
          <w:color w:val="231F20"/>
          <w:sz w:val="30"/>
        </w:rPr>
        <w:t>1:6-11,</w:t>
      </w:r>
      <w:r>
        <w:rPr>
          <w:color w:val="231F20"/>
          <w:spacing w:val="-12"/>
          <w:sz w:val="30"/>
        </w:rPr>
        <w:t xml:space="preserve"> </w:t>
      </w:r>
      <w:r>
        <w:rPr>
          <w:color w:val="231F20"/>
          <w:spacing w:val="-4"/>
          <w:sz w:val="30"/>
        </w:rPr>
        <w:t>2:16</w:t>
      </w:r>
      <w:r>
        <w:rPr>
          <w:color w:val="231F20"/>
          <w:sz w:val="30"/>
        </w:rPr>
        <w:tab/>
      </w:r>
      <w:r>
        <w:rPr>
          <w:color w:val="231F20"/>
          <w:sz w:val="30"/>
        </w:rPr>
        <w:t xml:space="preserve">Sincere and blameless till the Day of </w:t>
      </w:r>
      <w:r>
        <w:rPr>
          <w:color w:val="231F20"/>
          <w:spacing w:val="-2"/>
          <w:sz w:val="30"/>
        </w:rPr>
        <w:t>Christ</w:t>
      </w:r>
    </w:p>
    <w:p w14:paraId="3EE2824A">
      <w:pPr>
        <w:pStyle w:val="15"/>
        <w:numPr>
          <w:ilvl w:val="0"/>
          <w:numId w:val="13"/>
        </w:numPr>
        <w:tabs>
          <w:tab w:val="left" w:pos="519"/>
          <w:tab w:val="left" w:pos="2334"/>
        </w:tabs>
        <w:spacing w:before="45" w:after="0" w:line="240" w:lineRule="auto"/>
        <w:ind w:left="519" w:right="0" w:hanging="405"/>
        <w:jc w:val="left"/>
        <w:rPr>
          <w:sz w:val="30"/>
        </w:rPr>
      </w:pPr>
      <w:r>
        <w:rPr>
          <w:color w:val="231F20"/>
          <w:sz w:val="30"/>
        </w:rPr>
        <w:t>3:9-</w:t>
      </w:r>
      <w:r>
        <w:rPr>
          <w:color w:val="231F20"/>
          <w:spacing w:val="-5"/>
          <w:sz w:val="30"/>
        </w:rPr>
        <w:t>11</w:t>
      </w:r>
      <w:r>
        <w:rPr>
          <w:color w:val="231F20"/>
          <w:sz w:val="30"/>
        </w:rPr>
        <w:tab/>
      </w:r>
      <w:r>
        <w:rPr>
          <w:color w:val="231F20"/>
          <w:sz w:val="30"/>
        </w:rPr>
        <w:t xml:space="preserve">That I may attain the </w:t>
      </w:r>
      <w:r>
        <w:rPr>
          <w:color w:val="231F20"/>
          <w:spacing w:val="-2"/>
          <w:sz w:val="30"/>
        </w:rPr>
        <w:t>resurrection</w:t>
      </w:r>
    </w:p>
    <w:p w14:paraId="3860FE6B">
      <w:pPr>
        <w:pStyle w:val="15"/>
        <w:numPr>
          <w:ilvl w:val="0"/>
          <w:numId w:val="13"/>
        </w:numPr>
        <w:tabs>
          <w:tab w:val="left" w:pos="519"/>
          <w:tab w:val="left" w:pos="2334"/>
        </w:tabs>
        <w:spacing w:before="45" w:after="0" w:line="240" w:lineRule="auto"/>
        <w:ind w:left="519" w:right="0" w:hanging="405"/>
        <w:jc w:val="left"/>
        <w:rPr>
          <w:sz w:val="30"/>
        </w:rPr>
      </w:pPr>
      <w:r>
        <w:rPr>
          <w:color w:val="231F20"/>
          <w:sz w:val="30"/>
        </w:rPr>
        <w:t>3:20-</w:t>
      </w:r>
      <w:r>
        <w:rPr>
          <w:color w:val="231F20"/>
          <w:spacing w:val="-5"/>
          <w:sz w:val="30"/>
        </w:rPr>
        <w:t>21</w:t>
      </w:r>
      <w:r>
        <w:rPr>
          <w:color w:val="231F20"/>
          <w:sz w:val="30"/>
        </w:rPr>
        <w:tab/>
      </w:r>
      <w:r>
        <w:rPr>
          <w:color w:val="231F20"/>
          <w:sz w:val="30"/>
        </w:rPr>
        <w:t xml:space="preserve">Cosmic restoration at the </w:t>
      </w:r>
      <w:r>
        <w:rPr>
          <w:color w:val="231F20"/>
          <w:spacing w:val="-2"/>
          <w:sz w:val="30"/>
        </w:rPr>
        <w:t>resurrection</w:t>
      </w:r>
    </w:p>
    <w:p w14:paraId="39B11BBF">
      <w:pPr>
        <w:pStyle w:val="9"/>
        <w:spacing w:before="210"/>
        <w:ind w:left="0"/>
        <w:jc w:val="left"/>
      </w:pPr>
    </w:p>
    <w:p w14:paraId="4E0C569C">
      <w:pPr>
        <w:pStyle w:val="8"/>
        <w:ind w:left="114"/>
        <w:jc w:val="left"/>
      </w:pPr>
      <w:r>
        <w:rPr>
          <w:color w:val="231F20"/>
          <w:spacing w:val="-2"/>
        </w:rPr>
        <w:t>Colossians</w:t>
      </w:r>
    </w:p>
    <w:p w14:paraId="6CC3C88A">
      <w:pPr>
        <w:pStyle w:val="15"/>
        <w:numPr>
          <w:ilvl w:val="0"/>
          <w:numId w:val="14"/>
        </w:numPr>
        <w:tabs>
          <w:tab w:val="left" w:pos="519"/>
          <w:tab w:val="left" w:pos="2334"/>
        </w:tabs>
        <w:spacing w:before="135" w:after="0" w:line="240" w:lineRule="auto"/>
        <w:ind w:left="519" w:right="0" w:hanging="405"/>
        <w:jc w:val="left"/>
        <w:rPr>
          <w:sz w:val="30"/>
        </w:rPr>
      </w:pPr>
      <w:r>
        <w:rPr>
          <w:color w:val="231F20"/>
          <w:spacing w:val="-5"/>
          <w:sz w:val="30"/>
        </w:rPr>
        <w:t>3:4</w:t>
      </w:r>
      <w:r>
        <w:rPr>
          <w:color w:val="231F20"/>
          <w:sz w:val="30"/>
        </w:rPr>
        <w:tab/>
      </w:r>
      <w:r>
        <w:rPr>
          <w:color w:val="231F20"/>
          <w:sz w:val="30"/>
        </w:rPr>
        <w:t xml:space="preserve">Revealed with him in </w:t>
      </w:r>
      <w:r>
        <w:rPr>
          <w:color w:val="231F20"/>
          <w:spacing w:val="-2"/>
          <w:sz w:val="30"/>
        </w:rPr>
        <w:t>glory</w:t>
      </w:r>
    </w:p>
    <w:p w14:paraId="16ED8042">
      <w:pPr>
        <w:pStyle w:val="15"/>
        <w:spacing w:after="0" w:line="240" w:lineRule="auto"/>
        <w:jc w:val="left"/>
        <w:rPr>
          <w:sz w:val="30"/>
        </w:rPr>
      </w:pPr>
    </w:p>
    <w:p w14:paraId="1D40FC92">
      <w:pPr>
        <w:pStyle w:val="15"/>
        <w:spacing w:after="0" w:line="240" w:lineRule="auto"/>
        <w:jc w:val="left"/>
        <w:rPr>
          <w:sz w:val="30"/>
        </w:rPr>
        <w:sectPr>
          <w:pgSz w:w="12240" w:h="15840"/>
          <w:pgMar w:top="1400" w:right="1440" w:bottom="280" w:left="1440" w:header="720" w:footer="720" w:gutter="0"/>
          <w:cols w:space="720" w:num="1"/>
        </w:sectPr>
      </w:pPr>
      <w:r>
        <w:drawing>
          <wp:inline distT="0" distB="0" distL="114300" distR="114300">
            <wp:extent cx="4895850" cy="6191250"/>
            <wp:effectExtent l="0" t="0" r="11430" b="11430"/>
            <wp:docPr id="2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7"/>
                    <pic:cNvPicPr>
                      <a:picLocks noChangeAspect="1"/>
                    </pic:cNvPicPr>
                  </pic:nvPicPr>
                  <pic:blipFill>
                    <a:blip r:embed="rId49"/>
                    <a:stretch>
                      <a:fillRect/>
                    </a:stretch>
                  </pic:blipFill>
                  <pic:spPr>
                    <a:xfrm>
                      <a:off x="0" y="0"/>
                      <a:ext cx="4895850" cy="6191250"/>
                    </a:xfrm>
                    <a:prstGeom prst="rect">
                      <a:avLst/>
                    </a:prstGeom>
                    <a:noFill/>
                    <a:ln>
                      <a:noFill/>
                    </a:ln>
                  </pic:spPr>
                </pic:pic>
              </a:graphicData>
            </a:graphic>
          </wp:inline>
        </w:drawing>
      </w:r>
    </w:p>
    <w:p w14:paraId="28804830">
      <w:pPr>
        <w:pStyle w:val="7"/>
        <w:tabs>
          <w:tab w:val="left" w:pos="5040"/>
        </w:tabs>
        <w:spacing w:before="60"/>
        <w:ind w:left="489"/>
        <w:jc w:val="left"/>
      </w:pPr>
      <w:r>
        <w:rPr>
          <w:color w:val="231F20"/>
          <w:spacing w:val="-4"/>
        </w:rPr>
        <w:t>Text</w:t>
      </w:r>
      <w:r>
        <w:rPr>
          <w:color w:val="231F20"/>
        </w:rPr>
        <w:tab/>
      </w:r>
      <w:r>
        <w:rPr>
          <w:color w:val="231F20"/>
        </w:rPr>
        <w:t>Gist</w:t>
      </w:r>
      <w:r>
        <w:rPr>
          <w:color w:val="231F20"/>
          <w:spacing w:val="-2"/>
        </w:rPr>
        <w:t xml:space="preserve"> </w:t>
      </w:r>
      <w:r>
        <w:rPr>
          <w:color w:val="231F20"/>
        </w:rPr>
        <w:t xml:space="preserve">of </w:t>
      </w:r>
      <w:r>
        <w:rPr>
          <w:color w:val="231F20"/>
          <w:spacing w:val="-4"/>
        </w:rPr>
        <w:t>Text</w:t>
      </w:r>
    </w:p>
    <w:p w14:paraId="0AA2D21F">
      <w:pPr>
        <w:pStyle w:val="9"/>
        <w:spacing w:before="209"/>
        <w:ind w:left="0"/>
        <w:jc w:val="left"/>
        <w:rPr>
          <w:b/>
        </w:rPr>
      </w:pPr>
    </w:p>
    <w:p w14:paraId="66B91C60">
      <w:pPr>
        <w:pStyle w:val="8"/>
        <w:spacing w:before="1"/>
        <w:ind w:left="114"/>
        <w:jc w:val="left"/>
      </w:pPr>
      <w:r>
        <w:rPr>
          <w:color w:val="231F20"/>
        </w:rPr>
        <w:t xml:space="preserve">1 </w:t>
      </w:r>
      <w:r>
        <w:rPr>
          <w:color w:val="231F20"/>
          <w:spacing w:val="-2"/>
        </w:rPr>
        <w:t>Thessalonians</w:t>
      </w:r>
    </w:p>
    <w:p w14:paraId="22E0BD8E">
      <w:pPr>
        <w:pStyle w:val="15"/>
        <w:numPr>
          <w:ilvl w:val="0"/>
          <w:numId w:val="15"/>
        </w:numPr>
        <w:tabs>
          <w:tab w:val="left" w:pos="519"/>
          <w:tab w:val="left" w:pos="2334"/>
        </w:tabs>
        <w:spacing w:before="135" w:after="0" w:line="240" w:lineRule="auto"/>
        <w:ind w:left="519" w:right="0" w:hanging="405"/>
        <w:jc w:val="left"/>
        <w:rPr>
          <w:sz w:val="30"/>
        </w:rPr>
      </w:pPr>
      <w:r>
        <w:rPr>
          <w:color w:val="231F20"/>
          <w:spacing w:val="-4"/>
          <w:sz w:val="30"/>
        </w:rPr>
        <w:t>1:10</w:t>
      </w:r>
      <w:r>
        <w:rPr>
          <w:color w:val="231F20"/>
          <w:sz w:val="30"/>
        </w:rPr>
        <w:tab/>
      </w:r>
      <w:r>
        <w:rPr>
          <w:color w:val="231F20"/>
          <w:sz w:val="30"/>
        </w:rPr>
        <w:t>Waiting</w:t>
      </w:r>
      <w:r>
        <w:rPr>
          <w:color w:val="231F20"/>
          <w:spacing w:val="-7"/>
          <w:sz w:val="30"/>
        </w:rPr>
        <w:t xml:space="preserve"> </w:t>
      </w:r>
      <w:r>
        <w:rPr>
          <w:color w:val="231F20"/>
          <w:sz w:val="30"/>
        </w:rPr>
        <w:t>for</w:t>
      </w:r>
      <w:r>
        <w:rPr>
          <w:color w:val="231F20"/>
          <w:spacing w:val="-5"/>
          <w:sz w:val="30"/>
        </w:rPr>
        <w:t xml:space="preserve"> </w:t>
      </w:r>
      <w:r>
        <w:rPr>
          <w:color w:val="231F20"/>
          <w:sz w:val="30"/>
        </w:rPr>
        <w:t>his</w:t>
      </w:r>
      <w:r>
        <w:rPr>
          <w:color w:val="231F20"/>
          <w:spacing w:val="-5"/>
          <w:sz w:val="30"/>
        </w:rPr>
        <w:t xml:space="preserve"> </w:t>
      </w:r>
      <w:r>
        <w:rPr>
          <w:color w:val="231F20"/>
          <w:sz w:val="30"/>
        </w:rPr>
        <w:t>Son</w:t>
      </w:r>
      <w:r>
        <w:rPr>
          <w:color w:val="231F20"/>
          <w:spacing w:val="-5"/>
          <w:sz w:val="30"/>
        </w:rPr>
        <w:t xml:space="preserve"> </w:t>
      </w:r>
      <w:r>
        <w:rPr>
          <w:color w:val="231F20"/>
          <w:sz w:val="30"/>
        </w:rPr>
        <w:t>from</w:t>
      </w:r>
      <w:r>
        <w:rPr>
          <w:color w:val="231F20"/>
          <w:spacing w:val="-5"/>
          <w:sz w:val="30"/>
        </w:rPr>
        <w:t xml:space="preserve"> </w:t>
      </w:r>
      <w:r>
        <w:rPr>
          <w:color w:val="231F20"/>
          <w:spacing w:val="-2"/>
          <w:sz w:val="30"/>
        </w:rPr>
        <w:t>heaven</w:t>
      </w:r>
    </w:p>
    <w:p w14:paraId="5CA1A93F">
      <w:pPr>
        <w:pStyle w:val="15"/>
        <w:numPr>
          <w:ilvl w:val="0"/>
          <w:numId w:val="15"/>
        </w:numPr>
        <w:tabs>
          <w:tab w:val="left" w:pos="519"/>
          <w:tab w:val="left" w:pos="2334"/>
        </w:tabs>
        <w:spacing w:before="45" w:after="0" w:line="240" w:lineRule="auto"/>
        <w:ind w:left="519" w:right="0" w:hanging="405"/>
        <w:jc w:val="left"/>
        <w:rPr>
          <w:sz w:val="30"/>
        </w:rPr>
      </w:pPr>
      <w:r>
        <w:rPr>
          <w:color w:val="231F20"/>
          <w:sz w:val="30"/>
        </w:rPr>
        <w:t>2:19-</w:t>
      </w:r>
      <w:r>
        <w:rPr>
          <w:color w:val="231F20"/>
          <w:spacing w:val="-5"/>
          <w:sz w:val="30"/>
        </w:rPr>
        <w:t>20</w:t>
      </w:r>
      <w:r>
        <w:rPr>
          <w:color w:val="231F20"/>
          <w:sz w:val="30"/>
        </w:rPr>
        <w:tab/>
      </w:r>
      <w:r>
        <w:rPr>
          <w:color w:val="231F20"/>
          <w:sz w:val="30"/>
        </w:rPr>
        <w:t>Paul’s</w:t>
      </w:r>
      <w:r>
        <w:rPr>
          <w:color w:val="231F20"/>
          <w:spacing w:val="-8"/>
          <w:sz w:val="30"/>
        </w:rPr>
        <w:t xml:space="preserve"> </w:t>
      </w:r>
      <w:r>
        <w:rPr>
          <w:color w:val="231F20"/>
          <w:sz w:val="30"/>
        </w:rPr>
        <w:t>hope,</w:t>
      </w:r>
      <w:r>
        <w:rPr>
          <w:color w:val="231F20"/>
          <w:spacing w:val="-5"/>
          <w:sz w:val="30"/>
        </w:rPr>
        <w:t xml:space="preserve"> </w:t>
      </w:r>
      <w:r>
        <w:rPr>
          <w:color w:val="231F20"/>
          <w:sz w:val="30"/>
        </w:rPr>
        <w:t>joy,</w:t>
      </w:r>
      <w:r>
        <w:rPr>
          <w:color w:val="231F20"/>
          <w:spacing w:val="-5"/>
          <w:sz w:val="30"/>
        </w:rPr>
        <w:t xml:space="preserve"> </w:t>
      </w:r>
      <w:r>
        <w:rPr>
          <w:color w:val="231F20"/>
          <w:sz w:val="30"/>
        </w:rPr>
        <w:t>and</w:t>
      </w:r>
      <w:r>
        <w:rPr>
          <w:color w:val="231F20"/>
          <w:spacing w:val="-6"/>
          <w:sz w:val="30"/>
        </w:rPr>
        <w:t xml:space="preserve"> </w:t>
      </w:r>
      <w:r>
        <w:rPr>
          <w:color w:val="231F20"/>
          <w:sz w:val="30"/>
        </w:rPr>
        <w:t>crown</w:t>
      </w:r>
      <w:r>
        <w:rPr>
          <w:color w:val="231F20"/>
          <w:spacing w:val="-5"/>
          <w:sz w:val="30"/>
        </w:rPr>
        <w:t xml:space="preserve"> </w:t>
      </w:r>
      <w:r>
        <w:rPr>
          <w:color w:val="231F20"/>
          <w:sz w:val="30"/>
        </w:rPr>
        <w:t>at</w:t>
      </w:r>
      <w:r>
        <w:rPr>
          <w:color w:val="231F20"/>
          <w:spacing w:val="-5"/>
          <w:sz w:val="30"/>
        </w:rPr>
        <w:t xml:space="preserve"> </w:t>
      </w:r>
      <w:r>
        <w:rPr>
          <w:color w:val="231F20"/>
          <w:sz w:val="30"/>
        </w:rPr>
        <w:t>the</w:t>
      </w:r>
      <w:r>
        <w:rPr>
          <w:color w:val="231F20"/>
          <w:spacing w:val="-5"/>
          <w:sz w:val="30"/>
        </w:rPr>
        <w:t xml:space="preserve"> </w:t>
      </w:r>
      <w:r>
        <w:rPr>
          <w:color w:val="231F20"/>
          <w:spacing w:val="-2"/>
          <w:sz w:val="30"/>
        </w:rPr>
        <w:t>Parousia</w:t>
      </w:r>
    </w:p>
    <w:p w14:paraId="038831C6">
      <w:pPr>
        <w:pStyle w:val="15"/>
        <w:numPr>
          <w:ilvl w:val="0"/>
          <w:numId w:val="15"/>
        </w:numPr>
        <w:tabs>
          <w:tab w:val="left" w:pos="519"/>
          <w:tab w:val="left" w:pos="2334"/>
        </w:tabs>
        <w:spacing w:before="45" w:after="0" w:line="240" w:lineRule="auto"/>
        <w:ind w:left="519" w:right="0" w:hanging="405"/>
        <w:jc w:val="left"/>
        <w:rPr>
          <w:sz w:val="30"/>
        </w:rPr>
      </w:pPr>
      <w:r>
        <w:rPr>
          <w:color w:val="231F20"/>
          <w:spacing w:val="-4"/>
          <w:sz w:val="30"/>
        </w:rPr>
        <w:t>3:11-</w:t>
      </w:r>
      <w:r>
        <w:rPr>
          <w:color w:val="231F20"/>
          <w:spacing w:val="-5"/>
          <w:sz w:val="30"/>
        </w:rPr>
        <w:t>13</w:t>
      </w:r>
      <w:r>
        <w:rPr>
          <w:color w:val="231F20"/>
          <w:sz w:val="30"/>
        </w:rPr>
        <w:tab/>
      </w:r>
      <w:r>
        <w:rPr>
          <w:color w:val="231F20"/>
          <w:sz w:val="30"/>
        </w:rPr>
        <w:t xml:space="preserve">Established in holiness at the </w:t>
      </w:r>
      <w:r>
        <w:rPr>
          <w:color w:val="231F20"/>
          <w:spacing w:val="-2"/>
          <w:sz w:val="30"/>
        </w:rPr>
        <w:t>Parousia</w:t>
      </w:r>
    </w:p>
    <w:p w14:paraId="47BA9847">
      <w:pPr>
        <w:pStyle w:val="15"/>
        <w:numPr>
          <w:ilvl w:val="0"/>
          <w:numId w:val="15"/>
        </w:numPr>
        <w:tabs>
          <w:tab w:val="left" w:pos="519"/>
          <w:tab w:val="left" w:pos="2334"/>
        </w:tabs>
        <w:spacing w:before="45" w:after="0" w:line="240" w:lineRule="auto"/>
        <w:ind w:left="519" w:right="0" w:hanging="405"/>
        <w:jc w:val="left"/>
        <w:rPr>
          <w:sz w:val="30"/>
        </w:rPr>
      </w:pPr>
      <w:r>
        <w:rPr>
          <w:color w:val="231F20"/>
          <w:sz w:val="30"/>
        </w:rPr>
        <w:t>4:13-</w:t>
      </w:r>
      <w:r>
        <w:rPr>
          <w:color w:val="231F20"/>
          <w:spacing w:val="-5"/>
          <w:sz w:val="30"/>
        </w:rPr>
        <w:t>18</w:t>
      </w:r>
      <w:r>
        <w:rPr>
          <w:color w:val="231F20"/>
          <w:sz w:val="30"/>
        </w:rPr>
        <w:tab/>
      </w:r>
      <w:r>
        <w:rPr>
          <w:color w:val="231F20"/>
          <w:sz w:val="30"/>
        </w:rPr>
        <w:t xml:space="preserve">The comfort of his </w:t>
      </w:r>
      <w:r>
        <w:rPr>
          <w:color w:val="231F20"/>
          <w:spacing w:val="-2"/>
          <w:sz w:val="30"/>
        </w:rPr>
        <w:t>coming</w:t>
      </w:r>
    </w:p>
    <w:p w14:paraId="4CED23BD">
      <w:pPr>
        <w:pStyle w:val="15"/>
        <w:numPr>
          <w:ilvl w:val="0"/>
          <w:numId w:val="15"/>
        </w:numPr>
        <w:tabs>
          <w:tab w:val="left" w:pos="519"/>
          <w:tab w:val="left" w:pos="2334"/>
        </w:tabs>
        <w:spacing w:before="45" w:after="0" w:line="240" w:lineRule="auto"/>
        <w:ind w:left="519" w:right="0" w:hanging="405"/>
        <w:jc w:val="left"/>
        <w:rPr>
          <w:sz w:val="30"/>
        </w:rPr>
      </w:pPr>
      <w:r>
        <w:rPr>
          <w:color w:val="231F20"/>
          <w:sz w:val="30"/>
        </w:rPr>
        <w:t>5:1-</w:t>
      </w:r>
      <w:r>
        <w:rPr>
          <w:color w:val="231F20"/>
          <w:spacing w:val="-5"/>
          <w:sz w:val="30"/>
        </w:rPr>
        <w:t>11</w:t>
      </w:r>
      <w:r>
        <w:rPr>
          <w:color w:val="231F20"/>
          <w:sz w:val="30"/>
        </w:rPr>
        <w:tab/>
      </w:r>
      <w:r>
        <w:rPr>
          <w:color w:val="231F20"/>
          <w:sz w:val="30"/>
        </w:rPr>
        <w:t xml:space="preserve">Appointed for salvation in the Day of the </w:t>
      </w:r>
      <w:r>
        <w:rPr>
          <w:color w:val="231F20"/>
          <w:spacing w:val="-4"/>
          <w:sz w:val="30"/>
        </w:rPr>
        <w:t>Lord</w:t>
      </w:r>
    </w:p>
    <w:p w14:paraId="703C1595">
      <w:pPr>
        <w:pStyle w:val="9"/>
        <w:spacing w:before="210"/>
        <w:ind w:left="0"/>
        <w:jc w:val="left"/>
      </w:pPr>
    </w:p>
    <w:p w14:paraId="5796D4EF">
      <w:pPr>
        <w:pStyle w:val="8"/>
        <w:ind w:left="114"/>
        <w:jc w:val="left"/>
      </w:pPr>
      <w:r>
        <w:rPr>
          <w:color w:val="231F20"/>
        </w:rPr>
        <w:t xml:space="preserve">2 </w:t>
      </w:r>
      <w:r>
        <w:rPr>
          <w:color w:val="231F20"/>
          <w:spacing w:val="-2"/>
        </w:rPr>
        <w:t>Thessalonians</w:t>
      </w:r>
    </w:p>
    <w:p w14:paraId="5480A833">
      <w:pPr>
        <w:pStyle w:val="15"/>
        <w:numPr>
          <w:ilvl w:val="0"/>
          <w:numId w:val="16"/>
        </w:numPr>
        <w:tabs>
          <w:tab w:val="left" w:pos="519"/>
          <w:tab w:val="left" w:pos="2334"/>
        </w:tabs>
        <w:spacing w:before="135" w:after="0" w:line="240" w:lineRule="auto"/>
        <w:ind w:left="519" w:right="0" w:hanging="405"/>
        <w:jc w:val="left"/>
        <w:rPr>
          <w:sz w:val="30"/>
        </w:rPr>
      </w:pPr>
      <w:r>
        <w:rPr>
          <w:color w:val="231F20"/>
          <w:sz w:val="30"/>
        </w:rPr>
        <w:t>1:3-</w:t>
      </w:r>
      <w:r>
        <w:rPr>
          <w:color w:val="231F20"/>
          <w:spacing w:val="-5"/>
          <w:sz w:val="30"/>
        </w:rPr>
        <w:t>12</w:t>
      </w:r>
      <w:r>
        <w:rPr>
          <w:color w:val="231F20"/>
          <w:sz w:val="30"/>
        </w:rPr>
        <w:tab/>
      </w:r>
      <w:r>
        <w:rPr>
          <w:color w:val="231F20"/>
          <w:sz w:val="30"/>
        </w:rPr>
        <w:t xml:space="preserve">Rescue and retribution at the revelation of </w:t>
      </w:r>
      <w:r>
        <w:rPr>
          <w:color w:val="231F20"/>
          <w:spacing w:val="-2"/>
          <w:sz w:val="30"/>
        </w:rPr>
        <w:t>Christ</w:t>
      </w:r>
    </w:p>
    <w:p w14:paraId="54964C2C">
      <w:pPr>
        <w:pStyle w:val="15"/>
        <w:numPr>
          <w:ilvl w:val="0"/>
          <w:numId w:val="16"/>
        </w:numPr>
        <w:tabs>
          <w:tab w:val="left" w:pos="519"/>
          <w:tab w:val="left" w:pos="2334"/>
        </w:tabs>
        <w:spacing w:before="45" w:after="0" w:line="240" w:lineRule="auto"/>
        <w:ind w:left="519" w:right="0" w:hanging="405"/>
        <w:jc w:val="left"/>
        <w:rPr>
          <w:sz w:val="30"/>
        </w:rPr>
      </w:pPr>
      <w:r>
        <w:rPr>
          <w:color w:val="231F20"/>
          <w:sz w:val="30"/>
        </w:rPr>
        <w:t>2:1-</w:t>
      </w:r>
      <w:r>
        <w:rPr>
          <w:color w:val="231F20"/>
          <w:spacing w:val="-5"/>
          <w:sz w:val="30"/>
        </w:rPr>
        <w:t>13</w:t>
      </w:r>
      <w:r>
        <w:rPr>
          <w:color w:val="231F20"/>
          <w:sz w:val="30"/>
        </w:rPr>
        <w:tab/>
      </w:r>
      <w:r>
        <w:rPr>
          <w:color w:val="231F20"/>
          <w:sz w:val="30"/>
        </w:rPr>
        <w:t xml:space="preserve">Christ vs. Antichrist at the </w:t>
      </w:r>
      <w:r>
        <w:rPr>
          <w:color w:val="231F20"/>
          <w:spacing w:val="-2"/>
          <w:sz w:val="30"/>
        </w:rPr>
        <w:t>Parousia</w:t>
      </w:r>
    </w:p>
    <w:p w14:paraId="3EF8E6CC">
      <w:pPr>
        <w:pStyle w:val="9"/>
        <w:spacing w:before="105"/>
        <w:ind w:left="0"/>
        <w:jc w:val="left"/>
      </w:pPr>
    </w:p>
    <w:p w14:paraId="6493BAE5">
      <w:pPr>
        <w:pStyle w:val="8"/>
        <w:numPr>
          <w:ilvl w:val="0"/>
          <w:numId w:val="17"/>
        </w:numPr>
        <w:tabs>
          <w:tab w:val="left" w:pos="339"/>
        </w:tabs>
        <w:spacing w:before="0" w:after="0" w:line="240" w:lineRule="auto"/>
        <w:ind w:left="339" w:right="0" w:hanging="225"/>
        <w:jc w:val="left"/>
      </w:pPr>
      <w:r>
        <w:rPr>
          <w:color w:val="231F20"/>
          <w:spacing w:val="-2"/>
        </w:rPr>
        <w:t>Timothy</w:t>
      </w:r>
    </w:p>
    <w:p w14:paraId="5ED14757">
      <w:pPr>
        <w:pStyle w:val="9"/>
        <w:tabs>
          <w:tab w:val="left" w:pos="2334"/>
        </w:tabs>
        <w:spacing w:before="135"/>
        <w:ind w:left="114"/>
        <w:jc w:val="left"/>
      </w:pPr>
      <w:r>
        <w:rPr>
          <w:color w:val="231F20"/>
        </w:rPr>
        <w:t>1.</w:t>
      </w:r>
      <w:r>
        <w:rPr>
          <w:color w:val="231F20"/>
          <w:spacing w:val="67"/>
          <w:w w:val="150"/>
        </w:rPr>
        <w:t xml:space="preserve"> </w:t>
      </w:r>
      <w:r>
        <w:rPr>
          <w:color w:val="231F20"/>
        </w:rPr>
        <w:t>6:13-</w:t>
      </w:r>
      <w:r>
        <w:rPr>
          <w:color w:val="231F20"/>
          <w:spacing w:val="-5"/>
        </w:rPr>
        <w:t>16</w:t>
      </w:r>
      <w:r>
        <w:rPr>
          <w:color w:val="231F20"/>
        </w:rPr>
        <w:tab/>
      </w:r>
      <w:r>
        <w:rPr>
          <w:color w:val="231F20"/>
        </w:rPr>
        <w:t xml:space="preserve">Be faithful until his </w:t>
      </w:r>
      <w:r>
        <w:rPr>
          <w:color w:val="231F20"/>
          <w:spacing w:val="-2"/>
        </w:rPr>
        <w:t>appearing</w:t>
      </w:r>
    </w:p>
    <w:p w14:paraId="3F781663">
      <w:pPr>
        <w:pStyle w:val="9"/>
        <w:spacing w:before="210"/>
        <w:ind w:left="0"/>
        <w:jc w:val="left"/>
      </w:pPr>
    </w:p>
    <w:p w14:paraId="3FCACB1C">
      <w:pPr>
        <w:pStyle w:val="8"/>
        <w:numPr>
          <w:ilvl w:val="0"/>
          <w:numId w:val="17"/>
        </w:numPr>
        <w:tabs>
          <w:tab w:val="left" w:pos="339"/>
        </w:tabs>
        <w:spacing w:before="0" w:after="0" w:line="240" w:lineRule="auto"/>
        <w:ind w:left="339" w:right="0" w:hanging="225"/>
        <w:jc w:val="left"/>
      </w:pPr>
      <w:r>
        <w:rPr>
          <w:color w:val="231F20"/>
          <w:spacing w:val="-2"/>
        </w:rPr>
        <w:t>Timothy</w:t>
      </w:r>
    </w:p>
    <w:p w14:paraId="5CB7A9A7">
      <w:pPr>
        <w:pStyle w:val="15"/>
        <w:numPr>
          <w:ilvl w:val="0"/>
          <w:numId w:val="18"/>
        </w:numPr>
        <w:tabs>
          <w:tab w:val="left" w:pos="519"/>
          <w:tab w:val="left" w:pos="2334"/>
        </w:tabs>
        <w:spacing w:before="135" w:after="0" w:line="240" w:lineRule="auto"/>
        <w:ind w:left="519" w:right="0" w:hanging="405"/>
        <w:jc w:val="left"/>
        <w:rPr>
          <w:sz w:val="30"/>
        </w:rPr>
      </w:pPr>
      <w:r>
        <w:rPr>
          <w:color w:val="231F20"/>
          <w:sz w:val="30"/>
        </w:rPr>
        <w:t xml:space="preserve">1:12, </w:t>
      </w:r>
      <w:r>
        <w:rPr>
          <w:color w:val="231F20"/>
          <w:spacing w:val="-5"/>
          <w:sz w:val="30"/>
        </w:rPr>
        <w:t>18</w:t>
      </w:r>
      <w:r>
        <w:rPr>
          <w:color w:val="231F20"/>
          <w:sz w:val="30"/>
        </w:rPr>
        <w:tab/>
      </w:r>
      <w:r>
        <w:rPr>
          <w:color w:val="231F20"/>
          <w:sz w:val="30"/>
        </w:rPr>
        <w:t xml:space="preserve">Guarded until that </w:t>
      </w:r>
      <w:r>
        <w:rPr>
          <w:color w:val="231F20"/>
          <w:spacing w:val="-5"/>
          <w:sz w:val="30"/>
        </w:rPr>
        <w:t>day</w:t>
      </w:r>
    </w:p>
    <w:p w14:paraId="0FCFF18D">
      <w:pPr>
        <w:pStyle w:val="15"/>
        <w:numPr>
          <w:ilvl w:val="0"/>
          <w:numId w:val="18"/>
        </w:numPr>
        <w:tabs>
          <w:tab w:val="left" w:pos="519"/>
          <w:tab w:val="left" w:pos="2334"/>
        </w:tabs>
        <w:spacing w:before="45" w:after="0" w:line="240" w:lineRule="auto"/>
        <w:ind w:left="519" w:right="0" w:hanging="405"/>
        <w:jc w:val="left"/>
        <w:rPr>
          <w:sz w:val="30"/>
        </w:rPr>
      </w:pPr>
      <w:r>
        <w:rPr>
          <w:color w:val="231F20"/>
          <w:spacing w:val="-5"/>
          <w:sz w:val="30"/>
        </w:rPr>
        <w:t>4:1</w:t>
      </w:r>
      <w:r>
        <w:rPr>
          <w:color w:val="231F20"/>
          <w:sz w:val="30"/>
        </w:rPr>
        <w:tab/>
      </w:r>
      <w:r>
        <w:rPr>
          <w:color w:val="231F20"/>
          <w:sz w:val="30"/>
        </w:rPr>
        <w:t xml:space="preserve">Universal judgment at his </w:t>
      </w:r>
      <w:r>
        <w:rPr>
          <w:color w:val="231F20"/>
          <w:spacing w:val="-2"/>
          <w:sz w:val="30"/>
        </w:rPr>
        <w:t>appearing</w:t>
      </w:r>
    </w:p>
    <w:p w14:paraId="27A42DC5">
      <w:pPr>
        <w:pStyle w:val="9"/>
        <w:spacing w:before="210"/>
        <w:ind w:left="0"/>
        <w:jc w:val="left"/>
      </w:pPr>
    </w:p>
    <w:p w14:paraId="0DF692D6">
      <w:pPr>
        <w:pStyle w:val="8"/>
        <w:ind w:left="114"/>
        <w:jc w:val="left"/>
      </w:pPr>
      <w:r>
        <w:rPr>
          <w:color w:val="231F20"/>
          <w:spacing w:val="-2"/>
        </w:rPr>
        <w:t>Titus</w:t>
      </w:r>
    </w:p>
    <w:p w14:paraId="3C5192DA">
      <w:pPr>
        <w:pStyle w:val="15"/>
        <w:numPr>
          <w:ilvl w:val="0"/>
          <w:numId w:val="19"/>
        </w:numPr>
        <w:tabs>
          <w:tab w:val="left" w:pos="519"/>
          <w:tab w:val="left" w:pos="2334"/>
        </w:tabs>
        <w:spacing w:before="135" w:after="0" w:line="240" w:lineRule="auto"/>
        <w:ind w:left="519" w:right="0" w:hanging="405"/>
        <w:jc w:val="left"/>
        <w:rPr>
          <w:sz w:val="30"/>
        </w:rPr>
      </w:pPr>
      <w:r>
        <w:rPr>
          <w:color w:val="231F20"/>
          <w:spacing w:val="-4"/>
          <w:sz w:val="30"/>
        </w:rPr>
        <w:t>2:13</w:t>
      </w:r>
      <w:r>
        <w:rPr>
          <w:color w:val="231F20"/>
          <w:sz w:val="30"/>
        </w:rPr>
        <w:tab/>
      </w:r>
      <w:r>
        <w:rPr>
          <w:color w:val="231F20"/>
          <w:sz w:val="30"/>
        </w:rPr>
        <w:t>The</w:t>
      </w:r>
      <w:r>
        <w:rPr>
          <w:color w:val="231F20"/>
          <w:spacing w:val="-6"/>
          <w:sz w:val="30"/>
        </w:rPr>
        <w:t xml:space="preserve"> </w:t>
      </w:r>
      <w:r>
        <w:rPr>
          <w:color w:val="231F20"/>
          <w:sz w:val="30"/>
        </w:rPr>
        <w:t>Church’s</w:t>
      </w:r>
      <w:r>
        <w:rPr>
          <w:color w:val="231F20"/>
          <w:spacing w:val="-6"/>
          <w:sz w:val="30"/>
        </w:rPr>
        <w:t xml:space="preserve"> </w:t>
      </w:r>
      <w:r>
        <w:rPr>
          <w:color w:val="231F20"/>
          <w:sz w:val="30"/>
        </w:rPr>
        <w:t>blessed</w:t>
      </w:r>
      <w:r>
        <w:rPr>
          <w:color w:val="231F20"/>
          <w:spacing w:val="-5"/>
          <w:sz w:val="30"/>
        </w:rPr>
        <w:t xml:space="preserve"> </w:t>
      </w:r>
      <w:r>
        <w:rPr>
          <w:color w:val="231F20"/>
          <w:spacing w:val="-4"/>
          <w:sz w:val="30"/>
        </w:rPr>
        <w:t>hope</w:t>
      </w:r>
    </w:p>
    <w:p w14:paraId="64733198">
      <w:pPr>
        <w:pStyle w:val="9"/>
        <w:spacing w:before="210"/>
        <w:ind w:left="0"/>
        <w:jc w:val="left"/>
      </w:pPr>
    </w:p>
    <w:p w14:paraId="5F50663E">
      <w:pPr>
        <w:pStyle w:val="8"/>
        <w:ind w:left="114"/>
        <w:jc w:val="left"/>
      </w:pPr>
      <w:r>
        <w:rPr>
          <w:color w:val="231F20"/>
          <w:spacing w:val="-2"/>
        </w:rPr>
        <w:t>Hebrews</w:t>
      </w:r>
    </w:p>
    <w:p w14:paraId="39BF4534">
      <w:pPr>
        <w:pStyle w:val="15"/>
        <w:numPr>
          <w:ilvl w:val="0"/>
          <w:numId w:val="20"/>
        </w:numPr>
        <w:tabs>
          <w:tab w:val="left" w:pos="519"/>
          <w:tab w:val="left" w:pos="2334"/>
        </w:tabs>
        <w:spacing w:before="135" w:after="0" w:line="240" w:lineRule="auto"/>
        <w:ind w:left="519" w:right="0" w:hanging="405"/>
        <w:jc w:val="left"/>
        <w:rPr>
          <w:sz w:val="30"/>
        </w:rPr>
      </w:pPr>
      <w:r>
        <w:rPr>
          <w:color w:val="231F20"/>
          <w:sz w:val="30"/>
        </w:rPr>
        <w:t>6:1-</w:t>
      </w:r>
      <w:r>
        <w:rPr>
          <w:color w:val="231F20"/>
          <w:spacing w:val="-10"/>
          <w:sz w:val="30"/>
        </w:rPr>
        <w:t>3</w:t>
      </w:r>
      <w:r>
        <w:rPr>
          <w:color w:val="231F20"/>
          <w:sz w:val="30"/>
        </w:rPr>
        <w:tab/>
      </w:r>
      <w:r>
        <w:rPr>
          <w:color w:val="231F20"/>
          <w:sz w:val="30"/>
        </w:rPr>
        <w:t xml:space="preserve">The resurrection, followed by eternal </w:t>
      </w:r>
      <w:r>
        <w:rPr>
          <w:color w:val="231F20"/>
          <w:spacing w:val="-2"/>
          <w:sz w:val="30"/>
        </w:rPr>
        <w:t>judgment</w:t>
      </w:r>
    </w:p>
    <w:p w14:paraId="34B2E651">
      <w:pPr>
        <w:pStyle w:val="15"/>
        <w:numPr>
          <w:ilvl w:val="0"/>
          <w:numId w:val="20"/>
        </w:numPr>
        <w:tabs>
          <w:tab w:val="left" w:pos="519"/>
          <w:tab w:val="left" w:pos="2334"/>
        </w:tabs>
        <w:spacing w:before="45" w:after="0" w:line="240" w:lineRule="auto"/>
        <w:ind w:left="519" w:right="0" w:hanging="405"/>
        <w:jc w:val="left"/>
        <w:rPr>
          <w:sz w:val="30"/>
        </w:rPr>
      </w:pPr>
      <w:r>
        <w:rPr>
          <w:color w:val="231F20"/>
          <w:sz w:val="30"/>
        </w:rPr>
        <w:t>9:25-</w:t>
      </w:r>
      <w:r>
        <w:rPr>
          <w:color w:val="231F20"/>
          <w:spacing w:val="-5"/>
          <w:sz w:val="30"/>
        </w:rPr>
        <w:t>28</w:t>
      </w:r>
      <w:r>
        <w:rPr>
          <w:color w:val="231F20"/>
          <w:sz w:val="30"/>
        </w:rPr>
        <w:tab/>
      </w:r>
      <w:r>
        <w:rPr>
          <w:color w:val="231F20"/>
          <w:sz w:val="30"/>
        </w:rPr>
        <w:t xml:space="preserve">Christ to appear a second time, for final </w:t>
      </w:r>
      <w:r>
        <w:rPr>
          <w:color w:val="231F20"/>
          <w:spacing w:val="-2"/>
          <w:sz w:val="30"/>
        </w:rPr>
        <w:t>salvation</w:t>
      </w:r>
    </w:p>
    <w:p w14:paraId="3EBC0891">
      <w:pPr>
        <w:pStyle w:val="15"/>
        <w:numPr>
          <w:ilvl w:val="0"/>
          <w:numId w:val="20"/>
        </w:numPr>
        <w:tabs>
          <w:tab w:val="left" w:pos="519"/>
          <w:tab w:val="left" w:pos="2334"/>
        </w:tabs>
        <w:spacing w:before="45" w:after="0" w:line="240" w:lineRule="auto"/>
        <w:ind w:left="519" w:right="0" w:hanging="405"/>
        <w:jc w:val="left"/>
        <w:rPr>
          <w:sz w:val="30"/>
        </w:rPr>
      </w:pPr>
      <w:r>
        <w:rPr>
          <w:color w:val="231F20"/>
          <w:spacing w:val="-2"/>
          <w:sz w:val="30"/>
        </w:rPr>
        <w:t>10:11-</w:t>
      </w:r>
      <w:r>
        <w:rPr>
          <w:color w:val="231F20"/>
          <w:spacing w:val="-5"/>
          <w:sz w:val="30"/>
        </w:rPr>
        <w:t>13</w:t>
      </w:r>
      <w:r>
        <w:rPr>
          <w:color w:val="231F20"/>
          <w:sz w:val="30"/>
        </w:rPr>
        <w:tab/>
      </w:r>
      <w:r>
        <w:rPr>
          <w:color w:val="231F20"/>
          <w:sz w:val="30"/>
        </w:rPr>
        <w:t>Waiting</w:t>
      </w:r>
      <w:r>
        <w:rPr>
          <w:color w:val="231F20"/>
          <w:spacing w:val="-3"/>
          <w:sz w:val="30"/>
        </w:rPr>
        <w:t xml:space="preserve"> </w:t>
      </w:r>
      <w:r>
        <w:rPr>
          <w:color w:val="231F20"/>
          <w:sz w:val="30"/>
        </w:rPr>
        <w:t>in</w:t>
      </w:r>
      <w:r>
        <w:rPr>
          <w:color w:val="231F20"/>
          <w:spacing w:val="-3"/>
          <w:sz w:val="30"/>
        </w:rPr>
        <w:t xml:space="preserve"> </w:t>
      </w:r>
      <w:r>
        <w:rPr>
          <w:color w:val="231F20"/>
          <w:sz w:val="30"/>
        </w:rPr>
        <w:t>heaven</w:t>
      </w:r>
      <w:r>
        <w:rPr>
          <w:color w:val="231F20"/>
          <w:spacing w:val="-3"/>
          <w:sz w:val="30"/>
        </w:rPr>
        <w:t xml:space="preserve"> </w:t>
      </w:r>
      <w:r>
        <w:rPr>
          <w:color w:val="231F20"/>
          <w:sz w:val="30"/>
        </w:rPr>
        <w:t>till</w:t>
      </w:r>
      <w:r>
        <w:rPr>
          <w:color w:val="231F20"/>
          <w:spacing w:val="-3"/>
          <w:sz w:val="30"/>
        </w:rPr>
        <w:t xml:space="preserve"> </w:t>
      </w:r>
      <w:r>
        <w:rPr>
          <w:color w:val="231F20"/>
          <w:sz w:val="30"/>
        </w:rPr>
        <w:t>his</w:t>
      </w:r>
      <w:r>
        <w:rPr>
          <w:color w:val="231F20"/>
          <w:spacing w:val="-2"/>
          <w:sz w:val="30"/>
        </w:rPr>
        <w:t xml:space="preserve"> </w:t>
      </w:r>
      <w:r>
        <w:rPr>
          <w:color w:val="231F20"/>
          <w:sz w:val="30"/>
        </w:rPr>
        <w:t>enemies</w:t>
      </w:r>
      <w:r>
        <w:rPr>
          <w:color w:val="231F20"/>
          <w:spacing w:val="-3"/>
          <w:sz w:val="30"/>
        </w:rPr>
        <w:t xml:space="preserve"> </w:t>
      </w:r>
      <w:r>
        <w:rPr>
          <w:color w:val="231F20"/>
          <w:sz w:val="30"/>
        </w:rPr>
        <w:t>are</w:t>
      </w:r>
      <w:r>
        <w:rPr>
          <w:color w:val="231F20"/>
          <w:spacing w:val="-3"/>
          <w:sz w:val="30"/>
        </w:rPr>
        <w:t xml:space="preserve"> </w:t>
      </w:r>
      <w:r>
        <w:rPr>
          <w:color w:val="231F20"/>
          <w:sz w:val="30"/>
        </w:rPr>
        <w:t>made</w:t>
      </w:r>
      <w:r>
        <w:rPr>
          <w:color w:val="231F20"/>
          <w:spacing w:val="-3"/>
          <w:sz w:val="30"/>
        </w:rPr>
        <w:t xml:space="preserve"> </w:t>
      </w:r>
      <w:r>
        <w:rPr>
          <w:color w:val="231F20"/>
          <w:sz w:val="30"/>
        </w:rPr>
        <w:t>his</w:t>
      </w:r>
      <w:r>
        <w:rPr>
          <w:color w:val="231F20"/>
          <w:spacing w:val="-2"/>
          <w:sz w:val="30"/>
        </w:rPr>
        <w:t xml:space="preserve"> footstool</w:t>
      </w:r>
    </w:p>
    <w:p w14:paraId="12DFF197">
      <w:pPr>
        <w:pStyle w:val="15"/>
        <w:numPr>
          <w:ilvl w:val="0"/>
          <w:numId w:val="20"/>
        </w:numPr>
        <w:tabs>
          <w:tab w:val="left" w:pos="519"/>
          <w:tab w:val="left" w:pos="2334"/>
        </w:tabs>
        <w:spacing w:before="45" w:after="0" w:line="240" w:lineRule="auto"/>
        <w:ind w:left="519" w:right="0" w:hanging="405"/>
        <w:jc w:val="left"/>
        <w:rPr>
          <w:sz w:val="30"/>
        </w:rPr>
      </w:pPr>
      <w:r>
        <w:rPr>
          <w:color w:val="231F20"/>
          <w:spacing w:val="-2"/>
          <w:sz w:val="30"/>
        </w:rPr>
        <w:t>10:25</w:t>
      </w:r>
      <w:r>
        <w:rPr>
          <w:color w:val="231F20"/>
          <w:sz w:val="30"/>
        </w:rPr>
        <w:tab/>
      </w:r>
      <w:r>
        <w:rPr>
          <w:color w:val="231F20"/>
          <w:sz w:val="30"/>
        </w:rPr>
        <w:t xml:space="preserve">The day is drawing </w:t>
      </w:r>
      <w:r>
        <w:rPr>
          <w:color w:val="231F20"/>
          <w:spacing w:val="-4"/>
          <w:sz w:val="30"/>
        </w:rPr>
        <w:t>near</w:t>
      </w:r>
    </w:p>
    <w:p w14:paraId="3F1CD618">
      <w:pPr>
        <w:pStyle w:val="15"/>
        <w:numPr>
          <w:ilvl w:val="0"/>
          <w:numId w:val="20"/>
        </w:numPr>
        <w:tabs>
          <w:tab w:val="left" w:pos="519"/>
          <w:tab w:val="left" w:pos="2334"/>
        </w:tabs>
        <w:spacing w:before="45" w:after="0" w:line="240" w:lineRule="auto"/>
        <w:ind w:left="519" w:right="0" w:hanging="405"/>
        <w:jc w:val="left"/>
        <w:rPr>
          <w:sz w:val="30"/>
        </w:rPr>
      </w:pPr>
      <w:r>
        <w:rPr>
          <w:color w:val="231F20"/>
          <w:sz w:val="30"/>
        </w:rPr>
        <w:t>12:26-</w:t>
      </w:r>
      <w:r>
        <w:rPr>
          <w:color w:val="231F20"/>
          <w:spacing w:val="-5"/>
          <w:sz w:val="30"/>
        </w:rPr>
        <w:t>27</w:t>
      </w:r>
      <w:r>
        <w:rPr>
          <w:color w:val="231F20"/>
          <w:sz w:val="30"/>
        </w:rPr>
        <w:tab/>
      </w:r>
      <w:r>
        <w:rPr>
          <w:color w:val="231F20"/>
          <w:sz w:val="30"/>
        </w:rPr>
        <w:t xml:space="preserve">One more shaking to </w:t>
      </w:r>
      <w:r>
        <w:rPr>
          <w:color w:val="231F20"/>
          <w:spacing w:val="-4"/>
          <w:sz w:val="30"/>
        </w:rPr>
        <w:t>come</w:t>
      </w:r>
    </w:p>
    <w:p w14:paraId="5C818C6E">
      <w:pPr>
        <w:pStyle w:val="15"/>
        <w:spacing w:after="0" w:line="240" w:lineRule="auto"/>
        <w:jc w:val="left"/>
        <w:rPr>
          <w:sz w:val="30"/>
        </w:rPr>
      </w:pPr>
    </w:p>
    <w:p w14:paraId="0DB30D92">
      <w:pPr>
        <w:pStyle w:val="15"/>
        <w:spacing w:after="0" w:line="240" w:lineRule="auto"/>
        <w:jc w:val="left"/>
        <w:rPr>
          <w:sz w:val="30"/>
        </w:rPr>
        <w:sectPr>
          <w:pgSz w:w="12240" w:h="15840"/>
          <w:pgMar w:top="1400" w:right="1440" w:bottom="280" w:left="1440" w:header="720" w:footer="720" w:gutter="0"/>
          <w:cols w:space="720" w:num="1"/>
        </w:sectPr>
      </w:pPr>
      <w:r>
        <w:drawing>
          <wp:inline distT="0" distB="0" distL="114300" distR="114300">
            <wp:extent cx="5276850" cy="6286500"/>
            <wp:effectExtent l="0" t="0" r="11430" b="7620"/>
            <wp:docPr id="2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8"/>
                    <pic:cNvPicPr>
                      <a:picLocks noChangeAspect="1"/>
                    </pic:cNvPicPr>
                  </pic:nvPicPr>
                  <pic:blipFill>
                    <a:blip r:embed="rId50"/>
                    <a:stretch>
                      <a:fillRect/>
                    </a:stretch>
                  </pic:blipFill>
                  <pic:spPr>
                    <a:xfrm>
                      <a:off x="0" y="0"/>
                      <a:ext cx="5276850" cy="6286500"/>
                    </a:xfrm>
                    <a:prstGeom prst="rect">
                      <a:avLst/>
                    </a:prstGeom>
                    <a:noFill/>
                    <a:ln>
                      <a:noFill/>
                    </a:ln>
                  </pic:spPr>
                </pic:pic>
              </a:graphicData>
            </a:graphic>
          </wp:inline>
        </w:drawing>
      </w:r>
    </w:p>
    <w:p w14:paraId="01789B47">
      <w:pPr>
        <w:pStyle w:val="7"/>
        <w:tabs>
          <w:tab w:val="left" w:pos="5040"/>
        </w:tabs>
        <w:spacing w:before="60"/>
        <w:ind w:left="489"/>
        <w:jc w:val="left"/>
      </w:pPr>
      <w:r>
        <w:rPr>
          <w:color w:val="231F20"/>
          <w:spacing w:val="-4"/>
        </w:rPr>
        <w:t>Text</w:t>
      </w:r>
      <w:r>
        <w:rPr>
          <w:color w:val="231F20"/>
        </w:rPr>
        <w:tab/>
      </w:r>
      <w:r>
        <w:rPr>
          <w:color w:val="231F20"/>
        </w:rPr>
        <w:t>Gist</w:t>
      </w:r>
      <w:r>
        <w:rPr>
          <w:color w:val="231F20"/>
          <w:spacing w:val="-2"/>
        </w:rPr>
        <w:t xml:space="preserve"> </w:t>
      </w:r>
      <w:r>
        <w:rPr>
          <w:color w:val="231F20"/>
        </w:rPr>
        <w:t xml:space="preserve">of </w:t>
      </w:r>
      <w:r>
        <w:rPr>
          <w:color w:val="231F20"/>
          <w:spacing w:val="-4"/>
        </w:rPr>
        <w:t>Text</w:t>
      </w:r>
    </w:p>
    <w:p w14:paraId="0E9701FC">
      <w:pPr>
        <w:pStyle w:val="9"/>
        <w:spacing w:before="209"/>
        <w:ind w:left="0"/>
        <w:jc w:val="left"/>
        <w:rPr>
          <w:b/>
        </w:rPr>
      </w:pPr>
    </w:p>
    <w:p w14:paraId="6914290A">
      <w:pPr>
        <w:pStyle w:val="8"/>
        <w:spacing w:before="1"/>
        <w:ind w:left="114"/>
        <w:jc w:val="left"/>
      </w:pPr>
      <w:r>
        <w:rPr>
          <w:color w:val="231F20"/>
          <w:spacing w:val="-2"/>
        </w:rPr>
        <w:t>James</w:t>
      </w:r>
    </w:p>
    <w:p w14:paraId="40D5160B">
      <w:pPr>
        <w:pStyle w:val="15"/>
        <w:numPr>
          <w:ilvl w:val="0"/>
          <w:numId w:val="21"/>
        </w:numPr>
        <w:tabs>
          <w:tab w:val="left" w:pos="519"/>
          <w:tab w:val="left" w:pos="2334"/>
        </w:tabs>
        <w:spacing w:before="135" w:after="0" w:line="240" w:lineRule="auto"/>
        <w:ind w:left="519" w:right="0" w:hanging="405"/>
        <w:jc w:val="left"/>
        <w:rPr>
          <w:sz w:val="30"/>
        </w:rPr>
      </w:pPr>
      <w:r>
        <w:rPr>
          <w:color w:val="231F20"/>
          <w:sz w:val="30"/>
        </w:rPr>
        <w:t>5:7-</w:t>
      </w:r>
      <w:r>
        <w:rPr>
          <w:color w:val="231F20"/>
          <w:spacing w:val="-10"/>
          <w:sz w:val="30"/>
        </w:rPr>
        <w:t>9</w:t>
      </w:r>
      <w:r>
        <w:rPr>
          <w:color w:val="231F20"/>
          <w:sz w:val="30"/>
        </w:rPr>
        <w:tab/>
      </w:r>
      <w:r>
        <w:rPr>
          <w:color w:val="231F20"/>
          <w:sz w:val="30"/>
        </w:rPr>
        <w:t>Be</w:t>
      </w:r>
      <w:r>
        <w:rPr>
          <w:color w:val="231F20"/>
          <w:spacing w:val="-2"/>
          <w:sz w:val="30"/>
        </w:rPr>
        <w:t xml:space="preserve"> </w:t>
      </w:r>
      <w:r>
        <w:rPr>
          <w:color w:val="231F20"/>
          <w:sz w:val="30"/>
        </w:rPr>
        <w:t xml:space="preserve">patient till the judgment at his </w:t>
      </w:r>
      <w:r>
        <w:rPr>
          <w:color w:val="231F20"/>
          <w:spacing w:val="-2"/>
          <w:sz w:val="30"/>
        </w:rPr>
        <w:t>return</w:t>
      </w:r>
    </w:p>
    <w:p w14:paraId="06EBB36F">
      <w:pPr>
        <w:pStyle w:val="9"/>
        <w:spacing w:before="210"/>
        <w:ind w:left="0"/>
        <w:jc w:val="left"/>
      </w:pPr>
    </w:p>
    <w:p w14:paraId="64474A42">
      <w:pPr>
        <w:pStyle w:val="8"/>
        <w:ind w:left="114"/>
        <w:jc w:val="left"/>
      </w:pPr>
      <w:r>
        <w:rPr>
          <w:color w:val="231F20"/>
        </w:rPr>
        <w:t xml:space="preserve">1 </w:t>
      </w:r>
      <w:r>
        <w:rPr>
          <w:color w:val="231F20"/>
          <w:spacing w:val="-2"/>
        </w:rPr>
        <w:t>Peter</w:t>
      </w:r>
    </w:p>
    <w:p w14:paraId="162C61FE">
      <w:pPr>
        <w:numPr>
          <w:ilvl w:val="0"/>
          <w:numId w:val="22"/>
        </w:numPr>
        <w:bidi w:val="0"/>
        <w:rPr>
          <w:sz w:val="30"/>
        </w:rPr>
      </w:pPr>
      <w:r>
        <w:rPr>
          <w:color w:val="231F20"/>
          <w:sz w:val="30"/>
        </w:rPr>
        <w:t>1:6-</w:t>
      </w:r>
      <w:r>
        <w:rPr>
          <w:color w:val="231F20"/>
          <w:spacing w:val="-10"/>
          <w:sz w:val="30"/>
        </w:rPr>
        <w:t>9</w:t>
      </w:r>
      <w:r>
        <w:rPr>
          <w:color w:val="231F20"/>
          <w:sz w:val="30"/>
        </w:rPr>
        <w:tab/>
      </w:r>
      <w:r>
        <w:rPr>
          <w:color w:val="231F20"/>
          <w:sz w:val="30"/>
        </w:rPr>
        <w:t>Be</w:t>
      </w:r>
      <w:r>
        <w:rPr>
          <w:color w:val="231F20"/>
          <w:spacing w:val="-2"/>
          <w:sz w:val="30"/>
        </w:rPr>
        <w:t xml:space="preserve"> </w:t>
      </w:r>
      <w:r>
        <w:rPr>
          <w:color w:val="231F20"/>
          <w:sz w:val="30"/>
        </w:rPr>
        <w:t xml:space="preserve">patient till the revelation of </w:t>
      </w:r>
      <w:r>
        <w:rPr>
          <w:color w:val="231F20"/>
          <w:spacing w:val="-2"/>
          <w:sz w:val="30"/>
        </w:rPr>
        <w:t>Christ</w:t>
      </w:r>
    </w:p>
    <w:p w14:paraId="034B806F">
      <w:pPr>
        <w:pStyle w:val="15"/>
        <w:numPr>
          <w:ilvl w:val="0"/>
          <w:numId w:val="22"/>
        </w:numPr>
        <w:tabs>
          <w:tab w:val="left" w:pos="519"/>
          <w:tab w:val="left" w:pos="2334"/>
        </w:tabs>
        <w:spacing w:before="45" w:after="0" w:line="240" w:lineRule="auto"/>
        <w:ind w:left="519" w:right="0" w:hanging="405"/>
        <w:jc w:val="left"/>
        <w:rPr>
          <w:sz w:val="30"/>
        </w:rPr>
      </w:pPr>
      <w:r>
        <w:rPr>
          <w:color w:val="231F20"/>
          <w:sz w:val="30"/>
        </w:rPr>
        <w:t>4:7-</w:t>
      </w:r>
      <w:r>
        <w:rPr>
          <w:color w:val="231F20"/>
          <w:spacing w:val="-5"/>
          <w:sz w:val="30"/>
        </w:rPr>
        <w:t>19</w:t>
      </w:r>
      <w:r>
        <w:rPr>
          <w:color w:val="231F20"/>
          <w:sz w:val="30"/>
        </w:rPr>
        <w:tab/>
      </w:r>
      <w:r>
        <w:rPr>
          <w:color w:val="231F20"/>
          <w:sz w:val="30"/>
        </w:rPr>
        <w:t xml:space="preserve">The end of all things is at </w:t>
      </w:r>
      <w:r>
        <w:rPr>
          <w:color w:val="231F20"/>
          <w:spacing w:val="-4"/>
          <w:sz w:val="30"/>
        </w:rPr>
        <w:t>hand</w:t>
      </w:r>
    </w:p>
    <w:p w14:paraId="61697ACD">
      <w:pPr>
        <w:pStyle w:val="9"/>
        <w:spacing w:before="210"/>
        <w:ind w:left="0"/>
        <w:jc w:val="left"/>
      </w:pPr>
    </w:p>
    <w:p w14:paraId="73153C94">
      <w:pPr>
        <w:pStyle w:val="8"/>
        <w:ind w:left="114"/>
        <w:jc w:val="left"/>
      </w:pPr>
      <w:r>
        <w:rPr>
          <w:color w:val="231F20"/>
        </w:rPr>
        <w:t xml:space="preserve">2 </w:t>
      </w:r>
      <w:r>
        <w:rPr>
          <w:color w:val="231F20"/>
          <w:spacing w:val="-2"/>
        </w:rPr>
        <w:t>Peter</w:t>
      </w:r>
    </w:p>
    <w:p w14:paraId="6B9D9DF1">
      <w:pPr>
        <w:pStyle w:val="15"/>
        <w:numPr>
          <w:ilvl w:val="0"/>
          <w:numId w:val="23"/>
        </w:numPr>
        <w:tabs>
          <w:tab w:val="left" w:pos="519"/>
          <w:tab w:val="left" w:pos="2334"/>
        </w:tabs>
        <w:spacing w:before="135" w:after="0" w:line="240" w:lineRule="auto"/>
        <w:ind w:left="519" w:right="0" w:hanging="405"/>
        <w:jc w:val="left"/>
        <w:rPr>
          <w:sz w:val="30"/>
        </w:rPr>
      </w:pPr>
      <w:r>
        <w:rPr>
          <w:color w:val="231F20"/>
          <w:sz w:val="30"/>
        </w:rPr>
        <w:t>3:1-</w:t>
      </w:r>
      <w:r>
        <w:rPr>
          <w:color w:val="231F20"/>
          <w:spacing w:val="-5"/>
          <w:sz w:val="30"/>
        </w:rPr>
        <w:t>13</w:t>
      </w:r>
      <w:r>
        <w:rPr>
          <w:color w:val="231F20"/>
          <w:sz w:val="30"/>
        </w:rPr>
        <w:tab/>
      </w:r>
      <w:r>
        <w:rPr>
          <w:color w:val="231F20"/>
          <w:sz w:val="30"/>
        </w:rPr>
        <w:t xml:space="preserve">The Day of the Lord will </w:t>
      </w:r>
      <w:r>
        <w:rPr>
          <w:color w:val="231F20"/>
          <w:spacing w:val="-4"/>
          <w:sz w:val="30"/>
        </w:rPr>
        <w:t>come</w:t>
      </w:r>
    </w:p>
    <w:p w14:paraId="75755EC5">
      <w:pPr>
        <w:pStyle w:val="15"/>
        <w:numPr>
          <w:ilvl w:val="0"/>
          <w:numId w:val="23"/>
        </w:numPr>
        <w:tabs>
          <w:tab w:val="left" w:pos="519"/>
          <w:tab w:val="left" w:pos="2334"/>
        </w:tabs>
        <w:spacing w:before="45" w:after="0" w:line="240" w:lineRule="auto"/>
        <w:ind w:left="519" w:right="0" w:hanging="405"/>
        <w:jc w:val="left"/>
        <w:rPr>
          <w:sz w:val="30"/>
        </w:rPr>
      </w:pPr>
      <w:r>
        <w:rPr>
          <w:color w:val="231F20"/>
          <w:spacing w:val="-4"/>
          <w:sz w:val="30"/>
        </w:rPr>
        <w:t>3:18</w:t>
      </w:r>
      <w:r>
        <w:rPr>
          <w:color w:val="231F20"/>
          <w:sz w:val="30"/>
        </w:rPr>
        <w:tab/>
      </w:r>
      <w:r>
        <w:rPr>
          <w:color w:val="231F20"/>
          <w:sz w:val="30"/>
        </w:rPr>
        <w:t xml:space="preserve">Glory to Christ, now and till the day of </w:t>
      </w:r>
      <w:r>
        <w:rPr>
          <w:color w:val="231F20"/>
          <w:spacing w:val="-2"/>
          <w:sz w:val="30"/>
        </w:rPr>
        <w:t>eternity</w:t>
      </w:r>
    </w:p>
    <w:p w14:paraId="56457378">
      <w:pPr>
        <w:pStyle w:val="9"/>
        <w:spacing w:before="210"/>
        <w:ind w:left="0"/>
        <w:jc w:val="left"/>
      </w:pPr>
    </w:p>
    <w:p w14:paraId="6E876DF6">
      <w:pPr>
        <w:pStyle w:val="8"/>
        <w:ind w:left="114"/>
        <w:jc w:val="left"/>
      </w:pPr>
      <w:r>
        <w:rPr>
          <w:color w:val="231F20"/>
        </w:rPr>
        <w:t xml:space="preserve">1 </w:t>
      </w:r>
      <w:r>
        <w:rPr>
          <w:color w:val="231F20"/>
          <w:spacing w:val="-4"/>
        </w:rPr>
        <w:t>John</w:t>
      </w:r>
    </w:p>
    <w:p w14:paraId="2E764A5D">
      <w:pPr>
        <w:pStyle w:val="15"/>
        <w:numPr>
          <w:ilvl w:val="0"/>
          <w:numId w:val="24"/>
        </w:numPr>
        <w:tabs>
          <w:tab w:val="left" w:pos="519"/>
          <w:tab w:val="left" w:pos="2334"/>
        </w:tabs>
        <w:spacing w:before="135" w:after="0" w:line="240" w:lineRule="auto"/>
        <w:ind w:left="519" w:right="0" w:hanging="405"/>
        <w:jc w:val="left"/>
        <w:rPr>
          <w:sz w:val="30"/>
        </w:rPr>
      </w:pPr>
      <w:r>
        <w:rPr>
          <w:color w:val="231F20"/>
          <w:spacing w:val="-4"/>
          <w:sz w:val="30"/>
        </w:rPr>
        <w:t>2:28</w:t>
      </w:r>
      <w:r>
        <w:rPr>
          <w:color w:val="231F20"/>
          <w:sz w:val="30"/>
        </w:rPr>
        <w:tab/>
      </w:r>
      <w:r>
        <w:rPr>
          <w:color w:val="231F20"/>
          <w:sz w:val="30"/>
        </w:rPr>
        <w:t xml:space="preserve">Confident at his </w:t>
      </w:r>
      <w:r>
        <w:rPr>
          <w:color w:val="231F20"/>
          <w:spacing w:val="-2"/>
          <w:sz w:val="30"/>
        </w:rPr>
        <w:t>appearing/coming</w:t>
      </w:r>
    </w:p>
    <w:p w14:paraId="57F020FF">
      <w:pPr>
        <w:pStyle w:val="15"/>
        <w:numPr>
          <w:ilvl w:val="0"/>
          <w:numId w:val="24"/>
        </w:numPr>
        <w:tabs>
          <w:tab w:val="left" w:pos="519"/>
          <w:tab w:val="left" w:pos="2334"/>
        </w:tabs>
        <w:spacing w:before="45" w:after="0" w:line="240" w:lineRule="auto"/>
        <w:ind w:left="519" w:right="0" w:hanging="405"/>
        <w:jc w:val="left"/>
        <w:rPr>
          <w:sz w:val="30"/>
        </w:rPr>
      </w:pPr>
      <w:r>
        <w:rPr>
          <w:color w:val="231F20"/>
          <w:sz w:val="30"/>
        </w:rPr>
        <w:t>3:2-</w:t>
      </w:r>
      <w:r>
        <w:rPr>
          <w:color w:val="231F20"/>
          <w:spacing w:val="-10"/>
          <w:sz w:val="30"/>
        </w:rPr>
        <w:t>3</w:t>
      </w:r>
      <w:r>
        <w:rPr>
          <w:color w:val="231F20"/>
          <w:sz w:val="30"/>
        </w:rPr>
        <w:tab/>
      </w:r>
      <w:r>
        <w:rPr>
          <w:color w:val="231F20"/>
          <w:sz w:val="30"/>
        </w:rPr>
        <w:t xml:space="preserve">At his appearing we shall be like </w:t>
      </w:r>
      <w:r>
        <w:rPr>
          <w:color w:val="231F20"/>
          <w:spacing w:val="-5"/>
          <w:sz w:val="30"/>
        </w:rPr>
        <w:t>him</w:t>
      </w:r>
    </w:p>
    <w:p w14:paraId="260EA443">
      <w:pPr>
        <w:pStyle w:val="9"/>
        <w:spacing w:before="210"/>
        <w:ind w:left="0"/>
        <w:jc w:val="left"/>
      </w:pPr>
    </w:p>
    <w:p w14:paraId="035C4B5F">
      <w:pPr>
        <w:pStyle w:val="8"/>
        <w:ind w:left="114"/>
        <w:jc w:val="left"/>
      </w:pPr>
      <w:r>
        <w:rPr>
          <w:color w:val="231F20"/>
          <w:spacing w:val="-4"/>
        </w:rPr>
        <w:t>Jude</w:t>
      </w:r>
    </w:p>
    <w:p w14:paraId="6B3CBD93">
      <w:pPr>
        <w:pStyle w:val="15"/>
        <w:numPr>
          <w:ilvl w:val="0"/>
          <w:numId w:val="25"/>
        </w:numPr>
        <w:tabs>
          <w:tab w:val="left" w:pos="519"/>
          <w:tab w:val="left" w:pos="2334"/>
        </w:tabs>
        <w:spacing w:before="135" w:after="0" w:line="240" w:lineRule="auto"/>
        <w:ind w:left="519" w:right="0" w:hanging="405"/>
        <w:jc w:val="left"/>
        <w:rPr>
          <w:sz w:val="30"/>
        </w:rPr>
      </w:pPr>
      <w:r>
        <w:rPr>
          <w:color w:val="231F20"/>
          <w:spacing w:val="-5"/>
          <w:sz w:val="30"/>
        </w:rPr>
        <w:t>Verse</w:t>
      </w:r>
      <w:r>
        <w:rPr>
          <w:color w:val="231F20"/>
          <w:spacing w:val="-9"/>
          <w:sz w:val="30"/>
        </w:rPr>
        <w:t xml:space="preserve"> </w:t>
      </w:r>
      <w:r>
        <w:rPr>
          <w:color w:val="231F20"/>
          <w:spacing w:val="-10"/>
          <w:sz w:val="30"/>
        </w:rPr>
        <w:t>6</w:t>
      </w:r>
      <w:r>
        <w:rPr>
          <w:color w:val="231F20"/>
          <w:sz w:val="30"/>
        </w:rPr>
        <w:tab/>
      </w:r>
      <w:r>
        <w:rPr>
          <w:color w:val="231F20"/>
          <w:sz w:val="30"/>
        </w:rPr>
        <w:t xml:space="preserve">The Judgment of the Great </w:t>
      </w:r>
      <w:r>
        <w:rPr>
          <w:color w:val="231F20"/>
          <w:spacing w:val="-5"/>
          <w:sz w:val="30"/>
        </w:rPr>
        <w:t>Day</w:t>
      </w:r>
    </w:p>
    <w:p w14:paraId="457E3B5D">
      <w:pPr>
        <w:pStyle w:val="15"/>
        <w:numPr>
          <w:ilvl w:val="0"/>
          <w:numId w:val="25"/>
        </w:numPr>
        <w:tabs>
          <w:tab w:val="left" w:pos="519"/>
          <w:tab w:val="left" w:pos="2334"/>
        </w:tabs>
        <w:spacing w:before="45" w:after="0" w:line="240" w:lineRule="auto"/>
        <w:ind w:left="519" w:right="0" w:hanging="405"/>
        <w:jc w:val="left"/>
        <w:rPr>
          <w:sz w:val="30"/>
        </w:rPr>
      </w:pPr>
      <w:r>
        <w:rPr>
          <w:color w:val="231F20"/>
          <w:spacing w:val="-2"/>
          <w:sz w:val="30"/>
        </w:rPr>
        <w:t>Verses</w:t>
      </w:r>
      <w:r>
        <w:rPr>
          <w:color w:val="231F20"/>
          <w:spacing w:val="-18"/>
          <w:sz w:val="30"/>
        </w:rPr>
        <w:t xml:space="preserve"> </w:t>
      </w:r>
      <w:r>
        <w:rPr>
          <w:color w:val="231F20"/>
          <w:spacing w:val="-2"/>
          <w:sz w:val="30"/>
        </w:rPr>
        <w:t>14-</w:t>
      </w:r>
      <w:r>
        <w:rPr>
          <w:color w:val="231F20"/>
          <w:spacing w:val="-5"/>
          <w:sz w:val="30"/>
        </w:rPr>
        <w:t>15</w:t>
      </w:r>
      <w:r>
        <w:rPr>
          <w:color w:val="231F20"/>
          <w:sz w:val="30"/>
        </w:rPr>
        <w:tab/>
      </w:r>
      <w:r>
        <w:rPr>
          <w:color w:val="231F20"/>
          <w:sz w:val="30"/>
        </w:rPr>
        <w:t xml:space="preserve">Mockers to be judged at the </w:t>
      </w:r>
      <w:r>
        <w:rPr>
          <w:color w:val="231F20"/>
          <w:spacing w:val="-2"/>
          <w:sz w:val="30"/>
        </w:rPr>
        <w:t>Parousia</w:t>
      </w:r>
    </w:p>
    <w:p w14:paraId="54FDCD05">
      <w:pPr>
        <w:pStyle w:val="15"/>
        <w:numPr>
          <w:ilvl w:val="0"/>
          <w:numId w:val="25"/>
        </w:numPr>
        <w:tabs>
          <w:tab w:val="left" w:pos="519"/>
          <w:tab w:val="left" w:pos="2334"/>
        </w:tabs>
        <w:spacing w:before="45" w:after="0" w:line="240" w:lineRule="auto"/>
        <w:ind w:left="519" w:right="0" w:hanging="405"/>
        <w:jc w:val="left"/>
        <w:rPr>
          <w:sz w:val="30"/>
        </w:rPr>
      </w:pPr>
      <w:r>
        <w:rPr>
          <w:color w:val="231F20"/>
          <w:spacing w:val="-2"/>
          <w:sz w:val="30"/>
        </w:rPr>
        <w:t>Verses</w:t>
      </w:r>
      <w:r>
        <w:rPr>
          <w:color w:val="231F20"/>
          <w:spacing w:val="-18"/>
          <w:sz w:val="30"/>
        </w:rPr>
        <w:t xml:space="preserve"> </w:t>
      </w:r>
      <w:r>
        <w:rPr>
          <w:color w:val="231F20"/>
          <w:spacing w:val="-2"/>
          <w:sz w:val="30"/>
        </w:rPr>
        <w:t>24-</w:t>
      </w:r>
      <w:r>
        <w:rPr>
          <w:color w:val="231F20"/>
          <w:spacing w:val="-5"/>
          <w:sz w:val="30"/>
        </w:rPr>
        <w:t>25</w:t>
      </w:r>
      <w:r>
        <w:rPr>
          <w:color w:val="231F20"/>
          <w:sz w:val="30"/>
        </w:rPr>
        <w:tab/>
      </w:r>
      <w:r>
        <w:rPr>
          <w:color w:val="231F20"/>
          <w:sz w:val="30"/>
        </w:rPr>
        <w:t xml:space="preserve">Believers to stand with great </w:t>
      </w:r>
      <w:r>
        <w:rPr>
          <w:color w:val="231F20"/>
          <w:spacing w:val="-5"/>
          <w:sz w:val="30"/>
        </w:rPr>
        <w:t>joy</w:t>
      </w:r>
    </w:p>
    <w:p w14:paraId="466F7AAB">
      <w:pPr>
        <w:pStyle w:val="15"/>
        <w:spacing w:after="0" w:line="240" w:lineRule="auto"/>
        <w:jc w:val="left"/>
        <w:rPr>
          <w:sz w:val="30"/>
        </w:rPr>
      </w:pPr>
    </w:p>
    <w:p w14:paraId="16DA779D">
      <w:pPr>
        <w:pStyle w:val="15"/>
        <w:spacing w:after="0" w:line="240" w:lineRule="auto"/>
        <w:jc w:val="left"/>
        <w:rPr>
          <w:sz w:val="30"/>
        </w:rPr>
        <w:sectPr>
          <w:pgSz w:w="12240" w:h="15840"/>
          <w:pgMar w:top="1400" w:right="1440" w:bottom="280" w:left="1440" w:header="720" w:footer="720" w:gutter="0"/>
          <w:cols w:space="720" w:num="1"/>
        </w:sectPr>
      </w:pPr>
      <w:r>
        <w:drawing>
          <wp:inline distT="0" distB="0" distL="114300" distR="114300">
            <wp:extent cx="4095750" cy="4895850"/>
            <wp:effectExtent l="0" t="0" r="3810" b="11430"/>
            <wp:docPr id="2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9"/>
                    <pic:cNvPicPr>
                      <a:picLocks noChangeAspect="1"/>
                    </pic:cNvPicPr>
                  </pic:nvPicPr>
                  <pic:blipFill>
                    <a:blip r:embed="rId51"/>
                    <a:stretch>
                      <a:fillRect/>
                    </a:stretch>
                  </pic:blipFill>
                  <pic:spPr>
                    <a:xfrm>
                      <a:off x="0" y="0"/>
                      <a:ext cx="4095750" cy="4895850"/>
                    </a:xfrm>
                    <a:prstGeom prst="rect">
                      <a:avLst/>
                    </a:prstGeom>
                    <a:noFill/>
                    <a:ln>
                      <a:noFill/>
                    </a:ln>
                  </pic:spPr>
                </pic:pic>
              </a:graphicData>
            </a:graphic>
          </wp:inline>
        </w:drawing>
      </w:r>
    </w:p>
    <w:p w14:paraId="106270C4">
      <w:pPr>
        <w:pStyle w:val="9"/>
        <w:spacing w:before="0"/>
        <w:ind w:left="0"/>
        <w:jc w:val="left"/>
        <w:rPr>
          <w:sz w:val="17"/>
        </w:rPr>
      </w:pPr>
      <w:bookmarkStart w:id="78" w:name="_bookmark208"/>
      <w:bookmarkEnd w:id="78"/>
    </w:p>
    <w:p w14:paraId="280F6E5E">
      <w:pPr>
        <w:pStyle w:val="2"/>
        <w:bidi w:val="0"/>
        <w:rPr>
          <w:rFonts w:hint="eastAsia"/>
        </w:rPr>
      </w:pPr>
      <w:r>
        <w:rPr>
          <w:rFonts w:hint="eastAsia"/>
        </w:rPr>
        <w:t>Appendix 9</w:t>
      </w:r>
    </w:p>
    <w:p w14:paraId="3A856C5B">
      <w:pPr>
        <w:pStyle w:val="2"/>
        <w:bidi w:val="0"/>
        <w:rPr>
          <w:rFonts w:hint="eastAsia"/>
        </w:rPr>
      </w:pPr>
      <w:r>
        <w:rPr>
          <w:rFonts w:hint="eastAsia"/>
        </w:rPr>
        <w:t>附录9</w:t>
      </w:r>
    </w:p>
    <w:p w14:paraId="7CEC7D8E">
      <w:pPr>
        <w:pStyle w:val="9"/>
        <w:spacing w:before="105"/>
        <w:ind w:left="0"/>
        <w:jc w:val="left"/>
        <w:rPr>
          <w:rFonts w:hint="eastAsia"/>
          <w:color w:val="231F20"/>
        </w:rPr>
      </w:pPr>
    </w:p>
    <w:p w14:paraId="0FFC4E8D">
      <w:pPr>
        <w:pStyle w:val="3"/>
        <w:bidi w:val="0"/>
        <w:rPr>
          <w:rFonts w:hint="eastAsia"/>
        </w:rPr>
      </w:pPr>
      <w:r>
        <w:rPr>
          <w:rFonts w:hint="eastAsia"/>
        </w:rPr>
        <w:t>Biblical Prophecies of the Last Battle</w:t>
      </w:r>
    </w:p>
    <w:p w14:paraId="37453E12">
      <w:pPr>
        <w:pStyle w:val="3"/>
        <w:bidi w:val="0"/>
        <w:rPr>
          <w:rFonts w:hint="eastAsia"/>
        </w:rPr>
      </w:pPr>
      <w:r>
        <w:rPr>
          <w:rFonts w:hint="eastAsia"/>
        </w:rPr>
        <w:t>圣经中关于最后争战的预言</w:t>
      </w:r>
    </w:p>
    <w:p w14:paraId="4B38B6B4">
      <w:pPr>
        <w:pStyle w:val="9"/>
        <w:spacing w:before="105"/>
        <w:ind w:left="0"/>
        <w:jc w:val="left"/>
        <w:rPr>
          <w:rFonts w:hint="eastAsia"/>
          <w:color w:val="231F20"/>
        </w:rPr>
      </w:pPr>
    </w:p>
    <w:p w14:paraId="1B7544C4">
      <w:pPr>
        <w:pStyle w:val="9"/>
        <w:spacing w:before="105"/>
        <w:ind w:left="0"/>
        <w:jc w:val="left"/>
        <w:rPr>
          <w:rFonts w:hint="eastAsia"/>
          <w:color w:val="231F20"/>
        </w:rPr>
      </w:pPr>
      <w:r>
        <w:rPr>
          <w:rFonts w:hint="eastAsia"/>
          <w:color w:val="231F20"/>
        </w:rPr>
        <w:t>HERE IS A fulsome list of biblical prophecies of the Last Battle, the final conflict between Christ and Satan, the Church and the World.</w:t>
      </w:r>
    </w:p>
    <w:p w14:paraId="61718C2C">
      <w:pPr>
        <w:pStyle w:val="9"/>
        <w:spacing w:before="105"/>
        <w:ind w:left="0"/>
        <w:jc w:val="left"/>
        <w:rPr>
          <w:rFonts w:hint="eastAsia"/>
          <w:color w:val="231F20"/>
        </w:rPr>
      </w:pPr>
      <w:r>
        <w:rPr>
          <w:rFonts w:hint="eastAsia"/>
          <w:color w:val="231F20"/>
        </w:rPr>
        <w:t>这是一份详尽的列表，列出了圣经中关于最后争战的预言，即基督与撒但、教会与世界之间的最终冲突。</w:t>
      </w:r>
    </w:p>
    <w:p w14:paraId="0BAE5D5B">
      <w:pPr>
        <w:pStyle w:val="9"/>
        <w:spacing w:before="105"/>
        <w:ind w:left="0"/>
        <w:jc w:val="left"/>
        <w:rPr>
          <w:rFonts w:hint="eastAsia"/>
          <w:color w:val="231F20"/>
        </w:rPr>
      </w:pPr>
    </w:p>
    <w:p w14:paraId="4AFC9E83">
      <w:pPr>
        <w:pStyle w:val="9"/>
        <w:spacing w:before="105"/>
        <w:ind w:left="0"/>
        <w:jc w:val="left"/>
        <w:rPr>
          <w:rFonts w:hint="eastAsia"/>
          <w:color w:val="231F20"/>
        </w:rPr>
      </w:pPr>
      <w:r>
        <w:rPr>
          <w:rFonts w:hint="eastAsia"/>
          <w:color w:val="231F20"/>
        </w:rPr>
        <w:t>As these prophecies show, the Last Battle is predestined to occur shortly before the Consummation at the Parousia of the Lord Jesus Christ, and is therefore a major sign of the imminence of his return.</w:t>
      </w:r>
    </w:p>
    <w:p w14:paraId="5B779E9C">
      <w:pPr>
        <w:pStyle w:val="9"/>
        <w:spacing w:before="105"/>
        <w:ind w:left="0"/>
        <w:jc w:val="left"/>
        <w:rPr>
          <w:rFonts w:hint="eastAsia"/>
          <w:color w:val="231F20"/>
        </w:rPr>
      </w:pPr>
      <w:r>
        <w:rPr>
          <w:rFonts w:hint="eastAsia"/>
          <w:color w:val="231F20"/>
        </w:rPr>
        <w:t>正如这些预言所示，最后的争战被预定要发生在主耶稣基督再来时的结局之前不久，因此是祂再来临近的一个主要预兆。</w:t>
      </w:r>
    </w:p>
    <w:p w14:paraId="3474F556">
      <w:pPr>
        <w:pStyle w:val="9"/>
        <w:spacing w:before="105"/>
        <w:ind w:left="0"/>
        <w:jc w:val="left"/>
        <w:rPr>
          <w:rFonts w:hint="eastAsia"/>
          <w:color w:val="231F20"/>
        </w:rPr>
      </w:pPr>
    </w:p>
    <w:p w14:paraId="2E94F009">
      <w:pPr>
        <w:pStyle w:val="9"/>
        <w:spacing w:before="105"/>
        <w:ind w:left="0"/>
        <w:jc w:val="left"/>
        <w:rPr>
          <w:rFonts w:hint="eastAsia"/>
          <w:color w:val="231F20"/>
        </w:rPr>
      </w:pPr>
      <w:r>
        <w:rPr>
          <w:rFonts w:hint="eastAsia"/>
          <w:color w:val="231F20"/>
        </w:rPr>
        <w:t>In recent years the evangelical Church has largely neglected this doctrine, primarily due to the influence of Dispensationalism, which transforms the Last Battle into a final conflict between ethnic Israel and the nations following the Rapture of the Church.</w:t>
      </w:r>
    </w:p>
    <w:p w14:paraId="468ED118">
      <w:pPr>
        <w:pStyle w:val="9"/>
        <w:spacing w:before="105"/>
        <w:ind w:left="0"/>
        <w:jc w:val="left"/>
        <w:rPr>
          <w:rFonts w:hint="eastAsia"/>
          <w:color w:val="231F20"/>
        </w:rPr>
      </w:pPr>
      <w:r>
        <w:rPr>
          <w:rFonts w:hint="eastAsia"/>
          <w:color w:val="231F20"/>
        </w:rPr>
        <w:t>近年来，福音派教会已在很大程度上忽略了这一教义，主要原因是受了时代论的影响，时代论将最后的争战转变为教会的被提之后，种族上的以色列与列国之间的最终冲突。</w:t>
      </w:r>
    </w:p>
    <w:p w14:paraId="1AA8A423">
      <w:pPr>
        <w:pStyle w:val="9"/>
        <w:spacing w:before="105"/>
        <w:ind w:left="0"/>
        <w:jc w:val="left"/>
        <w:rPr>
          <w:rFonts w:hint="eastAsia"/>
          <w:color w:val="231F20"/>
        </w:rPr>
      </w:pPr>
    </w:p>
    <w:p w14:paraId="5FD31CC8">
      <w:pPr>
        <w:pStyle w:val="9"/>
        <w:spacing w:before="105"/>
        <w:ind w:left="0"/>
        <w:jc w:val="left"/>
        <w:rPr>
          <w:rFonts w:hint="eastAsia"/>
          <w:color w:val="231F20"/>
        </w:rPr>
      </w:pPr>
      <w:r>
        <w:rPr>
          <w:rFonts w:hint="eastAsia"/>
          <w:color w:val="231F20"/>
        </w:rPr>
        <w:t>Now, however, Dispensationalism is in retreat, and the historic Christian teaching on this theme is once again coming into view.</w:t>
      </w:r>
    </w:p>
    <w:p w14:paraId="75E1603C">
      <w:pPr>
        <w:pStyle w:val="9"/>
        <w:spacing w:before="105"/>
        <w:ind w:left="0"/>
        <w:jc w:val="left"/>
        <w:rPr>
          <w:rFonts w:hint="eastAsia"/>
          <w:color w:val="231F20"/>
        </w:rPr>
      </w:pPr>
      <w:r>
        <w:rPr>
          <w:rFonts w:hint="eastAsia"/>
          <w:color w:val="231F20"/>
        </w:rPr>
        <w:t>然而，现在，时代论正在退潮，而关于这一主题的历史性基督教教导正再次映入眼帘。</w:t>
      </w:r>
    </w:p>
    <w:p w14:paraId="5BE8FC2A">
      <w:pPr>
        <w:pStyle w:val="9"/>
        <w:spacing w:before="105"/>
        <w:ind w:left="0"/>
        <w:jc w:val="left"/>
        <w:rPr>
          <w:rFonts w:hint="eastAsia"/>
          <w:color w:val="231F20"/>
        </w:rPr>
      </w:pPr>
    </w:p>
    <w:p w14:paraId="49F2196D">
      <w:pPr>
        <w:pStyle w:val="9"/>
        <w:spacing w:before="105"/>
        <w:ind w:left="0"/>
        <w:jc w:val="left"/>
        <w:rPr>
          <w:rFonts w:hint="eastAsia"/>
          <w:color w:val="231F20"/>
        </w:rPr>
      </w:pPr>
      <w:r>
        <w:rPr>
          <w:rFonts w:hint="eastAsia"/>
          <w:color w:val="231F20"/>
        </w:rPr>
        <w:t>This is timely, since the rising tide of global persecution of Christians suggests that the Last Battle may be nearer than we think.</w:t>
      </w:r>
    </w:p>
    <w:p w14:paraId="3885CEC6">
      <w:pPr>
        <w:pStyle w:val="9"/>
        <w:spacing w:before="105"/>
        <w:ind w:left="0"/>
        <w:jc w:val="left"/>
        <w:rPr>
          <w:rFonts w:hint="eastAsia"/>
          <w:color w:val="231F20"/>
        </w:rPr>
      </w:pPr>
      <w:r>
        <w:rPr>
          <w:rFonts w:hint="eastAsia"/>
          <w:color w:val="231F20"/>
        </w:rPr>
        <w:t>这是及时的，因为全球范围内对基督徒的迫害浪潮日益高涨，这表明最后的争战可能比我们想象的更近。</w:t>
      </w:r>
    </w:p>
    <w:p w14:paraId="10C71193">
      <w:pPr>
        <w:pStyle w:val="9"/>
        <w:spacing w:before="105"/>
        <w:ind w:left="0"/>
        <w:jc w:val="left"/>
        <w:rPr>
          <w:rFonts w:hint="eastAsia"/>
          <w:color w:val="231F20"/>
        </w:rPr>
      </w:pPr>
    </w:p>
    <w:p w14:paraId="79E9B126">
      <w:pPr>
        <w:pStyle w:val="9"/>
        <w:spacing w:before="105"/>
        <w:ind w:left="0"/>
        <w:jc w:val="left"/>
        <w:rPr>
          <w:rFonts w:hint="eastAsia"/>
          <w:color w:val="231F20"/>
        </w:rPr>
      </w:pPr>
    </w:p>
    <w:p w14:paraId="7CBF283A">
      <w:pPr>
        <w:pStyle w:val="7"/>
        <w:tabs>
          <w:tab w:val="left" w:pos="5527"/>
        </w:tabs>
        <w:spacing w:before="0"/>
        <w:ind w:left="1419"/>
        <w:jc w:val="left"/>
      </w:pPr>
      <w:r>
        <w:rPr>
          <w:color w:val="231F20"/>
          <w:spacing w:val="-4"/>
        </w:rPr>
        <w:t>Text</w:t>
      </w:r>
      <w:r>
        <w:rPr>
          <w:color w:val="231F20"/>
        </w:rPr>
        <w:tab/>
      </w:r>
      <w:r>
        <w:rPr>
          <w:color w:val="231F20"/>
        </w:rPr>
        <w:t>Gist</w:t>
      </w:r>
      <w:r>
        <w:rPr>
          <w:color w:val="231F20"/>
          <w:spacing w:val="-2"/>
        </w:rPr>
        <w:t xml:space="preserve"> </w:t>
      </w:r>
      <w:r>
        <w:rPr>
          <w:color w:val="231F20"/>
        </w:rPr>
        <w:t xml:space="preserve">of </w:t>
      </w:r>
      <w:r>
        <w:rPr>
          <w:color w:val="231F20"/>
          <w:spacing w:val="-4"/>
        </w:rPr>
        <w:t>Text</w:t>
      </w:r>
    </w:p>
    <w:p w14:paraId="7F59D70C">
      <w:pPr>
        <w:pStyle w:val="15"/>
        <w:numPr>
          <w:ilvl w:val="0"/>
          <w:numId w:val="26"/>
        </w:numPr>
        <w:tabs>
          <w:tab w:val="left" w:pos="519"/>
          <w:tab w:val="left" w:pos="3309"/>
        </w:tabs>
        <w:spacing w:before="45" w:after="0" w:line="240" w:lineRule="auto"/>
        <w:ind w:left="519" w:right="0" w:hanging="405"/>
        <w:jc w:val="left"/>
        <w:rPr>
          <w:sz w:val="30"/>
        </w:rPr>
      </w:pPr>
      <w:r>
        <w:rPr>
          <w:color w:val="231F20"/>
          <w:sz w:val="30"/>
        </w:rPr>
        <w:t>Ezekiel 37-</w:t>
      </w:r>
      <w:r>
        <w:rPr>
          <w:color w:val="231F20"/>
          <w:spacing w:val="-5"/>
          <w:sz w:val="30"/>
        </w:rPr>
        <w:t>38</w:t>
      </w:r>
      <w:r>
        <w:rPr>
          <w:color w:val="231F20"/>
          <w:sz w:val="30"/>
        </w:rPr>
        <w:tab/>
      </w:r>
      <w:r>
        <w:rPr>
          <w:color w:val="231F20"/>
          <w:sz w:val="30"/>
        </w:rPr>
        <w:t xml:space="preserve">“I am against you, O </w:t>
      </w:r>
      <w:r>
        <w:rPr>
          <w:color w:val="231F20"/>
          <w:spacing w:val="-2"/>
          <w:sz w:val="30"/>
        </w:rPr>
        <w:t>Gog!”</w:t>
      </w:r>
    </w:p>
    <w:p w14:paraId="438F66F4">
      <w:pPr>
        <w:pStyle w:val="15"/>
        <w:numPr>
          <w:ilvl w:val="0"/>
          <w:numId w:val="26"/>
        </w:numPr>
        <w:tabs>
          <w:tab w:val="left" w:pos="519"/>
          <w:tab w:val="left" w:pos="3309"/>
        </w:tabs>
        <w:spacing w:before="45" w:after="0" w:line="240" w:lineRule="auto"/>
        <w:ind w:left="519" w:right="0" w:hanging="405"/>
        <w:jc w:val="left"/>
        <w:rPr>
          <w:sz w:val="30"/>
        </w:rPr>
      </w:pPr>
      <w:r>
        <w:rPr>
          <w:color w:val="231F20"/>
          <w:sz w:val="30"/>
        </w:rPr>
        <w:t>Daniel 7:1-</w:t>
      </w:r>
      <w:r>
        <w:rPr>
          <w:color w:val="231F20"/>
          <w:spacing w:val="-5"/>
          <w:sz w:val="30"/>
        </w:rPr>
        <w:t>28</w:t>
      </w:r>
      <w:r>
        <w:rPr>
          <w:color w:val="231F20"/>
          <w:sz w:val="30"/>
        </w:rPr>
        <w:tab/>
      </w:r>
      <w:r>
        <w:rPr>
          <w:color w:val="231F20"/>
          <w:sz w:val="30"/>
        </w:rPr>
        <w:t>A</w:t>
      </w:r>
      <w:r>
        <w:rPr>
          <w:color w:val="231F20"/>
          <w:spacing w:val="-2"/>
          <w:sz w:val="30"/>
        </w:rPr>
        <w:t xml:space="preserve"> </w:t>
      </w:r>
      <w:r>
        <w:rPr>
          <w:color w:val="231F20"/>
          <w:sz w:val="30"/>
        </w:rPr>
        <w:t xml:space="preserve">vain war against the </w:t>
      </w:r>
      <w:r>
        <w:rPr>
          <w:color w:val="231F20"/>
          <w:spacing w:val="-2"/>
          <w:sz w:val="30"/>
        </w:rPr>
        <w:t>saints</w:t>
      </w:r>
    </w:p>
    <w:p w14:paraId="201F7A82">
      <w:pPr>
        <w:pStyle w:val="15"/>
        <w:numPr>
          <w:ilvl w:val="0"/>
          <w:numId w:val="26"/>
        </w:numPr>
        <w:tabs>
          <w:tab w:val="left" w:pos="519"/>
          <w:tab w:val="left" w:pos="3309"/>
        </w:tabs>
        <w:spacing w:before="45" w:after="0" w:line="240" w:lineRule="auto"/>
        <w:ind w:left="519" w:right="0" w:hanging="405"/>
        <w:jc w:val="left"/>
        <w:rPr>
          <w:sz w:val="30"/>
        </w:rPr>
      </w:pPr>
      <w:r>
        <w:rPr>
          <w:color w:val="231F20"/>
          <w:sz w:val="30"/>
        </w:rPr>
        <w:t>Daniel 9:26-</w:t>
      </w:r>
      <w:r>
        <w:rPr>
          <w:color w:val="231F20"/>
          <w:spacing w:val="-5"/>
          <w:sz w:val="30"/>
        </w:rPr>
        <w:t>27</w:t>
      </w:r>
      <w:r>
        <w:rPr>
          <w:color w:val="231F20"/>
          <w:sz w:val="30"/>
        </w:rPr>
        <w:tab/>
      </w:r>
      <w:r>
        <w:rPr>
          <w:color w:val="231F20"/>
          <w:sz w:val="30"/>
        </w:rPr>
        <w:t xml:space="preserve">Even to the end there will be </w:t>
      </w:r>
      <w:r>
        <w:rPr>
          <w:color w:val="231F20"/>
          <w:spacing w:val="-5"/>
          <w:sz w:val="30"/>
        </w:rPr>
        <w:t>war</w:t>
      </w:r>
    </w:p>
    <w:p w14:paraId="7787E989">
      <w:pPr>
        <w:pStyle w:val="15"/>
        <w:numPr>
          <w:ilvl w:val="0"/>
          <w:numId w:val="26"/>
        </w:numPr>
        <w:tabs>
          <w:tab w:val="left" w:pos="519"/>
          <w:tab w:val="left" w:pos="3309"/>
        </w:tabs>
        <w:spacing w:before="45" w:after="0" w:line="240" w:lineRule="auto"/>
        <w:ind w:left="519" w:right="0" w:hanging="405"/>
        <w:jc w:val="left"/>
        <w:rPr>
          <w:sz w:val="30"/>
        </w:rPr>
      </w:pPr>
      <w:r>
        <w:rPr>
          <w:color w:val="231F20"/>
          <w:sz w:val="30"/>
        </w:rPr>
        <w:t>Daniel</w:t>
      </w:r>
      <w:r>
        <w:rPr>
          <w:color w:val="231F20"/>
          <w:spacing w:val="-12"/>
          <w:sz w:val="30"/>
        </w:rPr>
        <w:t xml:space="preserve"> </w:t>
      </w:r>
      <w:r>
        <w:rPr>
          <w:color w:val="231F20"/>
          <w:sz w:val="30"/>
        </w:rPr>
        <w:t>1</w:t>
      </w:r>
      <w:bookmarkStart w:id="79" w:name="_bookmark209"/>
      <w:bookmarkEnd w:id="79"/>
      <w:r>
        <w:rPr>
          <w:color w:val="231F20"/>
          <w:sz w:val="30"/>
        </w:rPr>
        <w:t>1:36-</w:t>
      </w:r>
      <w:r>
        <w:rPr>
          <w:color w:val="231F20"/>
          <w:spacing w:val="-2"/>
          <w:sz w:val="30"/>
        </w:rPr>
        <w:t>12:13</w:t>
      </w:r>
      <w:r>
        <w:fldChar w:fldCharType="begin"/>
      </w:r>
      <w:r>
        <w:instrText xml:space="preserve"> HYPERLINK \l "_bookmark368" </w:instrText>
      </w:r>
      <w:r>
        <w:fldChar w:fldCharType="separate"/>
      </w:r>
      <w:r>
        <w:rPr>
          <w:color w:val="0000ED"/>
          <w:spacing w:val="-2"/>
          <w:sz w:val="30"/>
          <w:u w:val="single" w:color="0000ED"/>
          <w:vertAlign w:val="superscript"/>
        </w:rPr>
        <w:t>1</w:t>
      </w:r>
      <w:r>
        <w:rPr>
          <w:color w:val="0000ED"/>
          <w:spacing w:val="-2"/>
          <w:sz w:val="30"/>
          <w:u w:val="single" w:color="0000ED"/>
          <w:vertAlign w:val="superscript"/>
        </w:rPr>
        <w:fldChar w:fldCharType="end"/>
      </w:r>
      <w:r>
        <w:rPr>
          <w:color w:val="0000ED"/>
          <w:sz w:val="30"/>
          <w:vertAlign w:val="baseline"/>
        </w:rPr>
        <w:tab/>
      </w:r>
      <w:r>
        <w:rPr>
          <w:color w:val="231F20"/>
          <w:sz w:val="30"/>
          <w:vertAlign w:val="baseline"/>
        </w:rPr>
        <w:t xml:space="preserve">A people rescued in time of </w:t>
      </w:r>
      <w:r>
        <w:rPr>
          <w:color w:val="231F20"/>
          <w:spacing w:val="-2"/>
          <w:sz w:val="30"/>
          <w:vertAlign w:val="baseline"/>
        </w:rPr>
        <w:t>distress</w:t>
      </w:r>
    </w:p>
    <w:p w14:paraId="6E81483C">
      <w:pPr>
        <w:pStyle w:val="15"/>
        <w:numPr>
          <w:ilvl w:val="0"/>
          <w:numId w:val="26"/>
        </w:numPr>
        <w:tabs>
          <w:tab w:val="left" w:pos="519"/>
          <w:tab w:val="left" w:pos="3309"/>
        </w:tabs>
        <w:spacing w:before="45" w:after="0" w:line="240" w:lineRule="auto"/>
        <w:ind w:left="519" w:right="0" w:hanging="405"/>
        <w:jc w:val="left"/>
        <w:rPr>
          <w:sz w:val="30"/>
        </w:rPr>
      </w:pPr>
      <w:r>
        <w:rPr>
          <w:color w:val="231F20"/>
          <w:sz w:val="30"/>
        </w:rPr>
        <w:t>Joel 3:1-</w:t>
      </w:r>
      <w:r>
        <w:rPr>
          <w:color w:val="231F20"/>
          <w:spacing w:val="-5"/>
          <w:sz w:val="30"/>
        </w:rPr>
        <w:t>17</w:t>
      </w:r>
      <w:r>
        <w:rPr>
          <w:color w:val="231F20"/>
          <w:sz w:val="30"/>
        </w:rPr>
        <w:tab/>
      </w:r>
      <w:r>
        <w:rPr>
          <w:color w:val="231F20"/>
          <w:sz w:val="30"/>
        </w:rPr>
        <w:t>Multitudes</w:t>
      </w:r>
      <w:r>
        <w:rPr>
          <w:color w:val="231F20"/>
          <w:spacing w:val="-7"/>
          <w:sz w:val="30"/>
        </w:rPr>
        <w:t xml:space="preserve"> </w:t>
      </w:r>
      <w:r>
        <w:rPr>
          <w:color w:val="231F20"/>
          <w:sz w:val="30"/>
        </w:rPr>
        <w:t>in</w:t>
      </w:r>
      <w:r>
        <w:rPr>
          <w:color w:val="231F20"/>
          <w:spacing w:val="-7"/>
          <w:sz w:val="30"/>
        </w:rPr>
        <w:t xml:space="preserve"> </w:t>
      </w:r>
      <w:r>
        <w:rPr>
          <w:color w:val="231F20"/>
          <w:sz w:val="30"/>
        </w:rPr>
        <w:t>the</w:t>
      </w:r>
      <w:r>
        <w:rPr>
          <w:color w:val="231F20"/>
          <w:spacing w:val="-7"/>
          <w:sz w:val="30"/>
        </w:rPr>
        <w:t xml:space="preserve"> </w:t>
      </w:r>
      <w:r>
        <w:rPr>
          <w:color w:val="231F20"/>
          <w:sz w:val="30"/>
        </w:rPr>
        <w:t>Valley</w:t>
      </w:r>
      <w:r>
        <w:rPr>
          <w:color w:val="231F20"/>
          <w:spacing w:val="-7"/>
          <w:sz w:val="30"/>
        </w:rPr>
        <w:t xml:space="preserve"> </w:t>
      </w:r>
      <w:r>
        <w:rPr>
          <w:color w:val="231F20"/>
          <w:sz w:val="30"/>
        </w:rPr>
        <w:t>of</w:t>
      </w:r>
      <w:r>
        <w:rPr>
          <w:color w:val="231F20"/>
          <w:spacing w:val="-6"/>
          <w:sz w:val="30"/>
        </w:rPr>
        <w:t xml:space="preserve"> </w:t>
      </w:r>
      <w:r>
        <w:rPr>
          <w:color w:val="231F20"/>
          <w:spacing w:val="-2"/>
          <w:sz w:val="30"/>
        </w:rPr>
        <w:t>Decision</w:t>
      </w:r>
    </w:p>
    <w:p w14:paraId="245EE9A4">
      <w:pPr>
        <w:pStyle w:val="15"/>
        <w:numPr>
          <w:ilvl w:val="0"/>
          <w:numId w:val="26"/>
        </w:numPr>
        <w:tabs>
          <w:tab w:val="left" w:pos="519"/>
          <w:tab w:val="left" w:pos="3309"/>
        </w:tabs>
        <w:spacing w:before="45" w:after="0" w:line="240" w:lineRule="auto"/>
        <w:ind w:left="519" w:right="0" w:hanging="405"/>
        <w:jc w:val="left"/>
        <w:rPr>
          <w:sz w:val="30"/>
        </w:rPr>
      </w:pPr>
      <w:r>
        <w:rPr>
          <w:color w:val="231F20"/>
          <w:sz w:val="30"/>
        </w:rPr>
        <w:t>Micah</w:t>
      </w:r>
      <w:r>
        <w:rPr>
          <w:color w:val="231F20"/>
          <w:spacing w:val="-12"/>
          <w:sz w:val="30"/>
        </w:rPr>
        <w:t xml:space="preserve"> </w:t>
      </w:r>
      <w:r>
        <w:rPr>
          <w:color w:val="231F20"/>
          <w:sz w:val="30"/>
        </w:rPr>
        <w:t>4:11-</w:t>
      </w:r>
      <w:r>
        <w:rPr>
          <w:color w:val="231F20"/>
          <w:spacing w:val="-5"/>
          <w:sz w:val="30"/>
        </w:rPr>
        <w:t>5:1</w:t>
      </w:r>
      <w:r>
        <w:rPr>
          <w:color w:val="231F20"/>
          <w:sz w:val="30"/>
        </w:rPr>
        <w:tab/>
      </w:r>
      <w:r>
        <w:rPr>
          <w:color w:val="231F20"/>
          <w:sz w:val="30"/>
        </w:rPr>
        <w:t xml:space="preserve">God gathers the nations to his threshing </w:t>
      </w:r>
      <w:r>
        <w:rPr>
          <w:color w:val="231F20"/>
          <w:spacing w:val="-2"/>
          <w:sz w:val="30"/>
        </w:rPr>
        <w:t>floor</w:t>
      </w:r>
    </w:p>
    <w:p w14:paraId="75125E8F">
      <w:pPr>
        <w:pStyle w:val="15"/>
        <w:numPr>
          <w:ilvl w:val="0"/>
          <w:numId w:val="26"/>
        </w:numPr>
        <w:tabs>
          <w:tab w:val="left" w:pos="519"/>
          <w:tab w:val="left" w:pos="3309"/>
        </w:tabs>
        <w:spacing w:before="45" w:after="0" w:line="240" w:lineRule="auto"/>
        <w:ind w:left="519" w:right="0" w:hanging="405"/>
        <w:jc w:val="left"/>
        <w:rPr>
          <w:sz w:val="30"/>
        </w:rPr>
      </w:pPr>
      <w:r>
        <w:rPr>
          <w:color w:val="231F20"/>
          <w:sz w:val="30"/>
        </w:rPr>
        <w:t>Zechariah 12:1-</w:t>
      </w:r>
      <w:r>
        <w:rPr>
          <w:color w:val="231F20"/>
          <w:spacing w:val="-5"/>
          <w:sz w:val="30"/>
        </w:rPr>
        <w:t>17</w:t>
      </w:r>
      <w:r>
        <w:rPr>
          <w:color w:val="231F20"/>
          <w:sz w:val="30"/>
        </w:rPr>
        <w:tab/>
      </w:r>
      <w:r>
        <w:rPr>
          <w:color w:val="231F20"/>
          <w:sz w:val="30"/>
        </w:rPr>
        <w:t xml:space="preserve">Jerusalem, a cup of reeling to all </w:t>
      </w:r>
      <w:r>
        <w:rPr>
          <w:color w:val="231F20"/>
          <w:spacing w:val="-2"/>
          <w:sz w:val="30"/>
        </w:rPr>
        <w:t>peoples</w:t>
      </w:r>
    </w:p>
    <w:p w14:paraId="3AA3BDC7">
      <w:pPr>
        <w:pStyle w:val="15"/>
        <w:numPr>
          <w:ilvl w:val="0"/>
          <w:numId w:val="26"/>
        </w:numPr>
        <w:tabs>
          <w:tab w:val="left" w:pos="519"/>
          <w:tab w:val="left" w:pos="3309"/>
        </w:tabs>
        <w:spacing w:before="45" w:after="0" w:line="240" w:lineRule="auto"/>
        <w:ind w:left="519" w:right="0" w:hanging="405"/>
        <w:jc w:val="left"/>
        <w:rPr>
          <w:sz w:val="30"/>
        </w:rPr>
      </w:pPr>
      <w:r>
        <w:rPr>
          <w:color w:val="231F20"/>
          <w:sz w:val="30"/>
        </w:rPr>
        <w:t>Zechariah 14:1-</w:t>
      </w:r>
      <w:r>
        <w:rPr>
          <w:color w:val="231F20"/>
          <w:spacing w:val="-10"/>
          <w:sz w:val="30"/>
        </w:rPr>
        <w:t>3</w:t>
      </w:r>
      <w:r>
        <w:rPr>
          <w:color w:val="231F20"/>
          <w:sz w:val="30"/>
        </w:rPr>
        <w:tab/>
      </w:r>
      <w:r>
        <w:rPr>
          <w:color w:val="231F20"/>
          <w:sz w:val="30"/>
        </w:rPr>
        <w:t xml:space="preserve">The LORD will go forth and </w:t>
      </w:r>
      <w:r>
        <w:rPr>
          <w:color w:val="231F20"/>
          <w:spacing w:val="-2"/>
          <w:sz w:val="30"/>
        </w:rPr>
        <w:t>fight</w:t>
      </w:r>
    </w:p>
    <w:p w14:paraId="22CA5109">
      <w:pPr>
        <w:pStyle w:val="15"/>
        <w:numPr>
          <w:ilvl w:val="0"/>
          <w:numId w:val="26"/>
        </w:numPr>
        <w:tabs>
          <w:tab w:val="left" w:pos="519"/>
          <w:tab w:val="left" w:pos="3309"/>
        </w:tabs>
        <w:spacing w:before="46" w:after="0" w:line="240" w:lineRule="auto"/>
        <w:ind w:left="519" w:right="0" w:hanging="405"/>
        <w:jc w:val="left"/>
        <w:rPr>
          <w:sz w:val="30"/>
        </w:rPr>
      </w:pPr>
      <w:r>
        <w:rPr>
          <w:color w:val="231F20"/>
          <w:sz w:val="30"/>
        </w:rPr>
        <w:t>Matthew 24:9-</w:t>
      </w:r>
      <w:r>
        <w:rPr>
          <w:color w:val="231F20"/>
          <w:spacing w:val="-5"/>
          <w:sz w:val="30"/>
        </w:rPr>
        <w:t>28</w:t>
      </w:r>
      <w:r>
        <w:rPr>
          <w:color w:val="231F20"/>
          <w:sz w:val="30"/>
        </w:rPr>
        <w:tab/>
      </w:r>
      <w:r>
        <w:rPr>
          <w:color w:val="231F20"/>
          <w:sz w:val="30"/>
        </w:rPr>
        <w:t xml:space="preserve">Then there will be great tribulation </w:t>
      </w:r>
      <w:r>
        <w:rPr>
          <w:color w:val="231F20"/>
          <w:spacing w:val="-4"/>
          <w:sz w:val="30"/>
        </w:rPr>
        <w:t>(BP)</w:t>
      </w:r>
    </w:p>
    <w:p w14:paraId="2C1DFD2E">
      <w:pPr>
        <w:pStyle w:val="15"/>
        <w:spacing w:after="0" w:line="240" w:lineRule="auto"/>
        <w:jc w:val="left"/>
        <w:rPr>
          <w:sz w:val="30"/>
        </w:rPr>
        <w:sectPr>
          <w:pgSz w:w="12240" w:h="15840"/>
          <w:pgMar w:top="1440" w:right="1440" w:bottom="280" w:left="1440" w:header="720" w:footer="720" w:gutter="0"/>
          <w:cols w:space="720" w:num="1"/>
        </w:sectPr>
      </w:pPr>
    </w:p>
    <w:p w14:paraId="473CDE82">
      <w:pPr>
        <w:pStyle w:val="9"/>
        <w:spacing w:before="79" w:line="158" w:lineRule="auto"/>
        <w:ind w:left="114"/>
        <w:jc w:val="left"/>
      </w:pPr>
      <w:r>
        <w:rPr>
          <w:color w:val="231F20"/>
          <w:position w:val="-17"/>
        </w:rPr>
        <w:t>10.</w:t>
      </w:r>
      <w:r>
        <w:rPr>
          <w:color w:val="231F20"/>
          <w:spacing w:val="-45"/>
          <w:position w:val="-17"/>
        </w:rPr>
        <w:t xml:space="preserve"> </w:t>
      </w:r>
      <w:r>
        <w:rPr>
          <w:color w:val="231F20"/>
        </w:rPr>
        <w:t xml:space="preserve">2 Thessalonians </w:t>
      </w:r>
      <w:r>
        <w:rPr>
          <w:color w:val="231F20"/>
          <w:spacing w:val="-4"/>
        </w:rPr>
        <w:t>2:3-</w:t>
      </w:r>
    </w:p>
    <w:p w14:paraId="39366E7D">
      <w:pPr>
        <w:pStyle w:val="9"/>
        <w:spacing w:before="0" w:line="263" w:lineRule="exact"/>
        <w:ind w:left="519"/>
        <w:jc w:val="left"/>
      </w:pPr>
      <w:r>
        <w:rPr>
          <w:color w:val="231F20"/>
          <w:spacing w:val="-5"/>
        </w:rPr>
        <w:t>12</w:t>
      </w:r>
    </w:p>
    <w:p w14:paraId="036A423F">
      <w:pPr>
        <w:pStyle w:val="9"/>
        <w:spacing w:before="225"/>
        <w:ind w:left="114"/>
        <w:jc w:val="left"/>
      </w:pPr>
      <w:r>
        <w:br w:type="column"/>
      </w:r>
      <w:r>
        <w:rPr>
          <w:color w:val="231F20"/>
        </w:rPr>
        <w:t xml:space="preserve">The Man of Lawlessness, opponent of </w:t>
      </w:r>
      <w:r>
        <w:rPr>
          <w:color w:val="231F20"/>
          <w:spacing w:val="-5"/>
        </w:rPr>
        <w:t>God</w:t>
      </w:r>
    </w:p>
    <w:p w14:paraId="75F8AAC4">
      <w:pPr>
        <w:pStyle w:val="9"/>
        <w:spacing w:after="0"/>
        <w:jc w:val="left"/>
        <w:sectPr>
          <w:type w:val="continuous"/>
          <w:pgSz w:w="12240" w:h="15840"/>
          <w:pgMar w:top="1820" w:right="1440" w:bottom="280" w:left="1440" w:header="720" w:footer="720" w:gutter="0"/>
          <w:cols w:equalWidth="0" w:num="2">
            <w:col w:w="3043" w:space="152"/>
            <w:col w:w="6165"/>
          </w:cols>
        </w:sectPr>
      </w:pPr>
    </w:p>
    <w:p w14:paraId="038A4463">
      <w:pPr>
        <w:pStyle w:val="15"/>
        <w:numPr>
          <w:ilvl w:val="0"/>
          <w:numId w:val="27"/>
        </w:numPr>
        <w:tabs>
          <w:tab w:val="left" w:pos="518"/>
          <w:tab w:val="left" w:pos="3309"/>
        </w:tabs>
        <w:spacing w:before="45" w:after="0" w:line="240" w:lineRule="auto"/>
        <w:ind w:left="518" w:right="0" w:hanging="404"/>
        <w:jc w:val="left"/>
        <w:rPr>
          <w:color w:val="231F20"/>
          <w:sz w:val="30"/>
        </w:rPr>
      </w:pPr>
      <w:r>
        <w:rPr>
          <w:color w:val="231F20"/>
          <w:sz w:val="30"/>
        </w:rPr>
        <w:t>Revelation</w:t>
      </w:r>
      <w:r>
        <w:rPr>
          <w:color w:val="231F20"/>
          <w:spacing w:val="-12"/>
          <w:sz w:val="30"/>
        </w:rPr>
        <w:t xml:space="preserve"> </w:t>
      </w:r>
      <w:r>
        <w:rPr>
          <w:color w:val="231F20"/>
          <w:sz w:val="30"/>
        </w:rPr>
        <w:t>11:7-</w:t>
      </w:r>
      <w:r>
        <w:rPr>
          <w:color w:val="231F20"/>
          <w:spacing w:val="-5"/>
          <w:sz w:val="30"/>
        </w:rPr>
        <w:t>10</w:t>
      </w:r>
      <w:r>
        <w:rPr>
          <w:color w:val="231F20"/>
          <w:sz w:val="30"/>
        </w:rPr>
        <w:tab/>
      </w:r>
      <w:r>
        <w:rPr>
          <w:color w:val="231F20"/>
          <w:sz w:val="30"/>
        </w:rPr>
        <w:t>The</w:t>
      </w:r>
      <w:r>
        <w:rPr>
          <w:color w:val="231F20"/>
          <w:spacing w:val="-5"/>
          <w:sz w:val="30"/>
        </w:rPr>
        <w:t xml:space="preserve"> </w:t>
      </w:r>
      <w:r>
        <w:rPr>
          <w:color w:val="231F20"/>
          <w:sz w:val="30"/>
        </w:rPr>
        <w:t>Beast</w:t>
      </w:r>
      <w:r>
        <w:rPr>
          <w:color w:val="231F20"/>
          <w:spacing w:val="-3"/>
          <w:sz w:val="30"/>
        </w:rPr>
        <w:t xml:space="preserve"> </w:t>
      </w:r>
      <w:r>
        <w:rPr>
          <w:color w:val="231F20"/>
          <w:sz w:val="30"/>
        </w:rPr>
        <w:t>at</w:t>
      </w:r>
      <w:r>
        <w:rPr>
          <w:color w:val="231F20"/>
          <w:spacing w:val="-3"/>
          <w:sz w:val="30"/>
        </w:rPr>
        <w:t xml:space="preserve"> </w:t>
      </w:r>
      <w:r>
        <w:rPr>
          <w:color w:val="231F20"/>
          <w:sz w:val="30"/>
        </w:rPr>
        <w:t>war</w:t>
      </w:r>
      <w:r>
        <w:rPr>
          <w:color w:val="231F20"/>
          <w:spacing w:val="-3"/>
          <w:sz w:val="30"/>
        </w:rPr>
        <w:t xml:space="preserve"> </w:t>
      </w:r>
      <w:r>
        <w:rPr>
          <w:color w:val="231F20"/>
          <w:sz w:val="30"/>
        </w:rPr>
        <w:t>with</w:t>
      </w:r>
      <w:r>
        <w:rPr>
          <w:color w:val="231F20"/>
          <w:spacing w:val="-3"/>
          <w:sz w:val="30"/>
        </w:rPr>
        <w:t xml:space="preserve"> </w:t>
      </w:r>
      <w:r>
        <w:rPr>
          <w:color w:val="231F20"/>
          <w:sz w:val="30"/>
        </w:rPr>
        <w:t>the</w:t>
      </w:r>
      <w:r>
        <w:rPr>
          <w:color w:val="231F20"/>
          <w:spacing w:val="-3"/>
          <w:sz w:val="30"/>
        </w:rPr>
        <w:t xml:space="preserve"> </w:t>
      </w:r>
      <w:r>
        <w:rPr>
          <w:color w:val="231F20"/>
          <w:sz w:val="30"/>
        </w:rPr>
        <w:t>Two</w:t>
      </w:r>
      <w:r>
        <w:rPr>
          <w:color w:val="231F20"/>
          <w:spacing w:val="-3"/>
          <w:sz w:val="30"/>
        </w:rPr>
        <w:t xml:space="preserve"> </w:t>
      </w:r>
      <w:r>
        <w:rPr>
          <w:color w:val="231F20"/>
          <w:spacing w:val="-2"/>
          <w:sz w:val="30"/>
        </w:rPr>
        <w:t>Witnesses</w:t>
      </w:r>
    </w:p>
    <w:p w14:paraId="30A35969">
      <w:pPr>
        <w:pStyle w:val="15"/>
        <w:spacing w:after="0" w:line="240" w:lineRule="auto"/>
        <w:jc w:val="left"/>
        <w:rPr>
          <w:sz w:val="30"/>
        </w:rPr>
      </w:pPr>
    </w:p>
    <w:p w14:paraId="0A6AF521">
      <w:pPr>
        <w:pStyle w:val="15"/>
        <w:spacing w:after="0" w:line="240" w:lineRule="auto"/>
        <w:jc w:val="left"/>
        <w:rPr>
          <w:sz w:val="30"/>
        </w:rPr>
      </w:pPr>
    </w:p>
    <w:p w14:paraId="4C4ACE2F">
      <w:pPr>
        <w:pStyle w:val="15"/>
        <w:spacing w:after="0" w:line="240" w:lineRule="auto"/>
        <w:jc w:val="left"/>
        <w:rPr>
          <w:sz w:val="30"/>
        </w:rPr>
        <w:sectPr>
          <w:type w:val="continuous"/>
          <w:pgSz w:w="12240" w:h="15840"/>
          <w:pgMar w:top="1820" w:right="1440" w:bottom="280" w:left="1440" w:header="720" w:footer="720" w:gutter="0"/>
          <w:cols w:space="720" w:num="1"/>
        </w:sectPr>
      </w:pPr>
      <w:r>
        <w:drawing>
          <wp:inline distT="0" distB="0" distL="114300" distR="114300">
            <wp:extent cx="4705350" cy="2581275"/>
            <wp:effectExtent l="0" t="0" r="3810" b="9525"/>
            <wp:docPr id="2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0"/>
                    <pic:cNvPicPr>
                      <a:picLocks noChangeAspect="1"/>
                    </pic:cNvPicPr>
                  </pic:nvPicPr>
                  <pic:blipFill>
                    <a:blip r:embed="rId52"/>
                    <a:stretch>
                      <a:fillRect/>
                    </a:stretch>
                  </pic:blipFill>
                  <pic:spPr>
                    <a:xfrm>
                      <a:off x="0" y="0"/>
                      <a:ext cx="4705350" cy="2581275"/>
                    </a:xfrm>
                    <a:prstGeom prst="rect">
                      <a:avLst/>
                    </a:prstGeom>
                    <a:noFill/>
                    <a:ln>
                      <a:noFill/>
                    </a:ln>
                  </pic:spPr>
                </pic:pic>
              </a:graphicData>
            </a:graphic>
          </wp:inline>
        </w:drawing>
      </w:r>
    </w:p>
    <w:p w14:paraId="65663E9B">
      <w:pPr>
        <w:pStyle w:val="7"/>
        <w:tabs>
          <w:tab w:val="left" w:pos="5527"/>
        </w:tabs>
        <w:spacing w:before="60"/>
        <w:ind w:left="1419"/>
        <w:jc w:val="left"/>
      </w:pPr>
      <w:r>
        <w:rPr>
          <w:color w:val="231F20"/>
          <w:spacing w:val="-4"/>
        </w:rPr>
        <w:t>Text</w:t>
      </w:r>
      <w:r>
        <w:rPr>
          <w:color w:val="231F20"/>
        </w:rPr>
        <w:tab/>
      </w:r>
      <w:r>
        <w:rPr>
          <w:color w:val="231F20"/>
        </w:rPr>
        <w:t>Gist</w:t>
      </w:r>
      <w:r>
        <w:rPr>
          <w:color w:val="231F20"/>
          <w:spacing w:val="-2"/>
        </w:rPr>
        <w:t xml:space="preserve"> </w:t>
      </w:r>
      <w:r>
        <w:rPr>
          <w:color w:val="231F20"/>
        </w:rPr>
        <w:t xml:space="preserve">of </w:t>
      </w:r>
      <w:r>
        <w:rPr>
          <w:color w:val="231F20"/>
          <w:spacing w:val="-4"/>
        </w:rPr>
        <w:t>Text</w:t>
      </w:r>
    </w:p>
    <w:p w14:paraId="44DC33E0">
      <w:pPr>
        <w:pStyle w:val="15"/>
        <w:numPr>
          <w:ilvl w:val="0"/>
          <w:numId w:val="27"/>
        </w:numPr>
        <w:tabs>
          <w:tab w:val="left" w:pos="519"/>
          <w:tab w:val="left" w:pos="3309"/>
        </w:tabs>
        <w:spacing w:before="79" w:after="0" w:line="158" w:lineRule="auto"/>
        <w:ind w:left="519" w:right="0" w:hanging="405"/>
        <w:jc w:val="left"/>
        <w:rPr>
          <w:color w:val="231F20"/>
          <w:position w:val="-17"/>
          <w:sz w:val="30"/>
        </w:rPr>
      </w:pPr>
      <w:r>
        <w:rPr>
          <w:color w:val="231F20"/>
          <w:position w:val="-17"/>
          <w:sz w:val="30"/>
        </w:rPr>
        <w:t>Revelation 13:6-</w:t>
      </w:r>
      <w:r>
        <w:rPr>
          <w:color w:val="231F20"/>
          <w:spacing w:val="-5"/>
          <w:position w:val="-17"/>
          <w:sz w:val="30"/>
        </w:rPr>
        <w:t>10</w:t>
      </w:r>
      <w:r>
        <w:rPr>
          <w:color w:val="231F20"/>
          <w:position w:val="-17"/>
          <w:sz w:val="30"/>
        </w:rPr>
        <w:tab/>
      </w:r>
      <w:r>
        <w:rPr>
          <w:color w:val="231F20"/>
          <w:sz w:val="30"/>
        </w:rPr>
        <w:t>The</w:t>
      </w:r>
      <w:r>
        <w:rPr>
          <w:color w:val="231F20"/>
          <w:spacing w:val="45"/>
          <w:w w:val="150"/>
          <w:sz w:val="30"/>
        </w:rPr>
        <w:t xml:space="preserve"> </w:t>
      </w:r>
      <w:r>
        <w:rPr>
          <w:color w:val="231F20"/>
          <w:sz w:val="30"/>
        </w:rPr>
        <w:t>Beast</w:t>
      </w:r>
      <w:r>
        <w:rPr>
          <w:color w:val="231F20"/>
          <w:spacing w:val="46"/>
          <w:w w:val="150"/>
          <w:sz w:val="30"/>
        </w:rPr>
        <w:t xml:space="preserve"> </w:t>
      </w:r>
      <w:r>
        <w:rPr>
          <w:color w:val="231F20"/>
          <w:sz w:val="30"/>
        </w:rPr>
        <w:t>from</w:t>
      </w:r>
      <w:r>
        <w:rPr>
          <w:color w:val="231F20"/>
          <w:spacing w:val="45"/>
          <w:w w:val="150"/>
          <w:sz w:val="30"/>
        </w:rPr>
        <w:t xml:space="preserve"> </w:t>
      </w:r>
      <w:r>
        <w:rPr>
          <w:color w:val="231F20"/>
          <w:sz w:val="30"/>
        </w:rPr>
        <w:t>the</w:t>
      </w:r>
      <w:r>
        <w:rPr>
          <w:color w:val="231F20"/>
          <w:spacing w:val="46"/>
          <w:w w:val="150"/>
          <w:sz w:val="30"/>
        </w:rPr>
        <w:t xml:space="preserve"> </w:t>
      </w:r>
      <w:r>
        <w:rPr>
          <w:color w:val="231F20"/>
          <w:sz w:val="30"/>
        </w:rPr>
        <w:t>sea</w:t>
      </w:r>
      <w:r>
        <w:rPr>
          <w:color w:val="231F20"/>
          <w:spacing w:val="45"/>
          <w:w w:val="150"/>
          <w:sz w:val="30"/>
        </w:rPr>
        <w:t xml:space="preserve"> </w:t>
      </w:r>
      <w:r>
        <w:rPr>
          <w:color w:val="231F20"/>
          <w:sz w:val="30"/>
        </w:rPr>
        <w:t>overcomes</w:t>
      </w:r>
      <w:r>
        <w:rPr>
          <w:color w:val="231F20"/>
          <w:spacing w:val="46"/>
          <w:w w:val="150"/>
          <w:sz w:val="30"/>
        </w:rPr>
        <w:t xml:space="preserve"> </w:t>
      </w:r>
      <w:r>
        <w:rPr>
          <w:color w:val="231F20"/>
          <w:sz w:val="30"/>
        </w:rPr>
        <w:t>the</w:t>
      </w:r>
      <w:r>
        <w:rPr>
          <w:color w:val="231F20"/>
          <w:spacing w:val="45"/>
          <w:w w:val="150"/>
          <w:sz w:val="30"/>
        </w:rPr>
        <w:t xml:space="preserve"> </w:t>
      </w:r>
      <w:r>
        <w:rPr>
          <w:color w:val="231F20"/>
          <w:spacing w:val="-2"/>
          <w:sz w:val="30"/>
        </w:rPr>
        <w:t>saints</w:t>
      </w:r>
    </w:p>
    <w:p w14:paraId="460D4C85">
      <w:pPr>
        <w:pStyle w:val="9"/>
        <w:spacing w:before="0" w:line="263" w:lineRule="exact"/>
        <w:ind w:left="0" w:right="2171"/>
        <w:jc w:val="center"/>
      </w:pPr>
      <w:r>
        <w:rPr>
          <w:color w:val="231F20"/>
          <w:spacing w:val="-4"/>
        </w:rPr>
        <w:t>(BP)</w:t>
      </w:r>
    </w:p>
    <w:p w14:paraId="0B92F7BF">
      <w:pPr>
        <w:pStyle w:val="15"/>
        <w:numPr>
          <w:ilvl w:val="0"/>
          <w:numId w:val="27"/>
        </w:numPr>
        <w:tabs>
          <w:tab w:val="left" w:pos="519"/>
          <w:tab w:val="left" w:pos="3309"/>
        </w:tabs>
        <w:spacing w:before="45" w:after="0" w:line="240" w:lineRule="auto"/>
        <w:ind w:left="519" w:right="0" w:hanging="405"/>
        <w:jc w:val="left"/>
        <w:rPr>
          <w:color w:val="231F20"/>
          <w:sz w:val="30"/>
        </w:rPr>
      </w:pPr>
      <w:r>
        <w:rPr>
          <w:color w:val="231F20"/>
          <w:sz w:val="30"/>
        </w:rPr>
        <w:t>Revelation 16:12-</w:t>
      </w:r>
      <w:r>
        <w:rPr>
          <w:color w:val="231F20"/>
          <w:spacing w:val="-5"/>
          <w:sz w:val="30"/>
        </w:rPr>
        <w:t>16</w:t>
      </w:r>
      <w:r>
        <w:rPr>
          <w:color w:val="231F20"/>
          <w:sz w:val="30"/>
        </w:rPr>
        <w:tab/>
      </w:r>
      <w:r>
        <w:rPr>
          <w:color w:val="231F20"/>
          <w:sz w:val="30"/>
        </w:rPr>
        <w:t xml:space="preserve">The kings of the earth gathered for the </w:t>
      </w:r>
      <w:r>
        <w:rPr>
          <w:color w:val="231F20"/>
          <w:spacing w:val="-5"/>
          <w:sz w:val="30"/>
        </w:rPr>
        <w:t>war</w:t>
      </w:r>
    </w:p>
    <w:p w14:paraId="67B5E13E">
      <w:pPr>
        <w:pStyle w:val="15"/>
        <w:numPr>
          <w:ilvl w:val="0"/>
          <w:numId w:val="27"/>
        </w:numPr>
        <w:tabs>
          <w:tab w:val="left" w:pos="519"/>
          <w:tab w:val="left" w:pos="3309"/>
        </w:tabs>
        <w:spacing w:before="45" w:after="0" w:line="240" w:lineRule="auto"/>
        <w:ind w:left="519" w:right="0" w:hanging="405"/>
        <w:jc w:val="left"/>
        <w:rPr>
          <w:color w:val="231F20"/>
          <w:sz w:val="30"/>
        </w:rPr>
      </w:pPr>
      <w:r>
        <w:rPr>
          <w:color w:val="231F20"/>
          <w:sz w:val="30"/>
        </w:rPr>
        <w:t>Revelation 19:17-</w:t>
      </w:r>
      <w:r>
        <w:rPr>
          <w:color w:val="231F20"/>
          <w:spacing w:val="-5"/>
          <w:sz w:val="30"/>
        </w:rPr>
        <w:t>21</w:t>
      </w:r>
      <w:r>
        <w:rPr>
          <w:color w:val="231F20"/>
          <w:sz w:val="30"/>
        </w:rPr>
        <w:tab/>
      </w:r>
      <w:r>
        <w:rPr>
          <w:color w:val="231F20"/>
          <w:sz w:val="30"/>
        </w:rPr>
        <w:t xml:space="preserve">The nations assembled for the Supper of </w:t>
      </w:r>
      <w:r>
        <w:rPr>
          <w:color w:val="231F20"/>
          <w:spacing w:val="-5"/>
          <w:sz w:val="30"/>
        </w:rPr>
        <w:t>God</w:t>
      </w:r>
    </w:p>
    <w:p w14:paraId="2A4F6E62">
      <w:pPr>
        <w:pStyle w:val="15"/>
        <w:numPr>
          <w:ilvl w:val="0"/>
          <w:numId w:val="27"/>
        </w:numPr>
        <w:tabs>
          <w:tab w:val="left" w:pos="519"/>
          <w:tab w:val="left" w:pos="3309"/>
        </w:tabs>
        <w:spacing w:before="45" w:after="0" w:line="240" w:lineRule="auto"/>
        <w:ind w:left="519" w:right="0" w:hanging="405"/>
        <w:jc w:val="left"/>
        <w:rPr>
          <w:color w:val="231F20"/>
          <w:sz w:val="30"/>
        </w:rPr>
      </w:pPr>
      <w:r>
        <w:rPr>
          <w:color w:val="231F20"/>
          <w:sz w:val="30"/>
        </w:rPr>
        <w:t>Revelation 20:7-</w:t>
      </w:r>
      <w:r>
        <w:rPr>
          <w:color w:val="231F20"/>
          <w:spacing w:val="-5"/>
          <w:sz w:val="30"/>
        </w:rPr>
        <w:t>10</w:t>
      </w:r>
      <w:r>
        <w:rPr>
          <w:color w:val="231F20"/>
          <w:sz w:val="30"/>
        </w:rPr>
        <w:tab/>
      </w:r>
      <w:r>
        <w:rPr>
          <w:color w:val="231F20"/>
          <w:sz w:val="30"/>
        </w:rPr>
        <w:t xml:space="preserve">A fire from heaven ends the </w:t>
      </w:r>
      <w:r>
        <w:rPr>
          <w:color w:val="231F20"/>
          <w:spacing w:val="-5"/>
          <w:sz w:val="30"/>
        </w:rPr>
        <w:t>war</w:t>
      </w:r>
    </w:p>
    <w:p w14:paraId="2E2E1CF7">
      <w:pPr>
        <w:pStyle w:val="9"/>
        <w:spacing w:before="330" w:line="249" w:lineRule="auto"/>
        <w:ind w:right="102"/>
      </w:pPr>
      <w:r>
        <w:rPr>
          <w:b/>
          <w:color w:val="231F20"/>
        </w:rPr>
        <w:t xml:space="preserve">NOTE: </w:t>
      </w:r>
      <w:r>
        <w:rPr>
          <w:color w:val="231F20"/>
        </w:rPr>
        <w:t>BP = Blended Prophecy: A prophecy that blends near and far historical events; that blends the preliminary and the ultimate, the historical and the eschatological.</w:t>
      </w:r>
    </w:p>
    <w:p w14:paraId="351FF453">
      <w:pPr>
        <w:pStyle w:val="9"/>
        <w:spacing w:after="0" w:line="249" w:lineRule="auto"/>
      </w:pPr>
    </w:p>
    <w:p w14:paraId="658E4986">
      <w:pPr>
        <w:pStyle w:val="9"/>
        <w:spacing w:after="0" w:line="249" w:lineRule="auto"/>
      </w:pPr>
    </w:p>
    <w:p w14:paraId="14C1C8FE">
      <w:pPr>
        <w:pStyle w:val="9"/>
        <w:spacing w:after="0" w:line="249" w:lineRule="auto"/>
        <w:sectPr>
          <w:pgSz w:w="12240" w:h="15840"/>
          <w:pgMar w:top="1400" w:right="1440" w:bottom="280" w:left="1440" w:header="720" w:footer="720" w:gutter="0"/>
          <w:cols w:space="720" w:num="1"/>
        </w:sectPr>
      </w:pPr>
      <w:r>
        <w:drawing>
          <wp:inline distT="0" distB="0" distL="114300" distR="114300">
            <wp:extent cx="4914900" cy="1819275"/>
            <wp:effectExtent l="0" t="0" r="7620" b="9525"/>
            <wp:docPr id="2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1"/>
                    <pic:cNvPicPr>
                      <a:picLocks noChangeAspect="1"/>
                    </pic:cNvPicPr>
                  </pic:nvPicPr>
                  <pic:blipFill>
                    <a:blip r:embed="rId53"/>
                    <a:stretch>
                      <a:fillRect/>
                    </a:stretch>
                  </pic:blipFill>
                  <pic:spPr>
                    <a:xfrm>
                      <a:off x="0" y="0"/>
                      <a:ext cx="4914900" cy="1819275"/>
                    </a:xfrm>
                    <a:prstGeom prst="rect">
                      <a:avLst/>
                    </a:prstGeom>
                    <a:noFill/>
                    <a:ln>
                      <a:noFill/>
                    </a:ln>
                  </pic:spPr>
                </pic:pic>
              </a:graphicData>
            </a:graphic>
          </wp:inline>
        </w:drawing>
      </w:r>
    </w:p>
    <w:p w14:paraId="328BD060">
      <w:pPr>
        <w:pStyle w:val="2"/>
        <w:bidi w:val="0"/>
        <w:rPr>
          <w:rFonts w:hint="eastAsia"/>
        </w:rPr>
      </w:pPr>
      <w:bookmarkStart w:id="80" w:name="_bookmark210"/>
      <w:bookmarkEnd w:id="80"/>
      <w:r>
        <w:rPr>
          <w:rFonts w:hint="eastAsia"/>
        </w:rPr>
        <w:t>Appendix 10</w:t>
      </w:r>
    </w:p>
    <w:p w14:paraId="7E49550D">
      <w:pPr>
        <w:pStyle w:val="2"/>
        <w:bidi w:val="0"/>
        <w:rPr>
          <w:rFonts w:hint="eastAsia"/>
        </w:rPr>
      </w:pPr>
      <w:r>
        <w:rPr>
          <w:rFonts w:hint="eastAsia"/>
        </w:rPr>
        <w:t>附录10</w:t>
      </w:r>
    </w:p>
    <w:p w14:paraId="456A5F5E">
      <w:pPr>
        <w:pStyle w:val="9"/>
        <w:spacing w:before="11"/>
        <w:ind w:left="0"/>
        <w:jc w:val="left"/>
        <w:rPr>
          <w:rFonts w:hint="eastAsia"/>
          <w:sz w:val="30"/>
          <w:szCs w:val="30"/>
        </w:rPr>
      </w:pPr>
    </w:p>
    <w:p w14:paraId="3D59094D">
      <w:pPr>
        <w:pStyle w:val="3"/>
        <w:bidi w:val="0"/>
        <w:rPr>
          <w:rFonts w:hint="eastAsia"/>
        </w:rPr>
      </w:pPr>
      <w:r>
        <w:rPr>
          <w:rFonts w:hint="eastAsia"/>
        </w:rPr>
        <w:t>The Creeds of Christendom on the Consummation</w:t>
      </w:r>
    </w:p>
    <w:p w14:paraId="67F4D107">
      <w:pPr>
        <w:pStyle w:val="3"/>
        <w:bidi w:val="0"/>
        <w:rPr>
          <w:rFonts w:hint="eastAsia"/>
        </w:rPr>
      </w:pPr>
      <w:r>
        <w:rPr>
          <w:rFonts w:hint="eastAsia"/>
        </w:rPr>
        <w:t>基督教信条中关于结局的论述</w:t>
      </w:r>
    </w:p>
    <w:p w14:paraId="0E172108">
      <w:pPr>
        <w:pStyle w:val="9"/>
        <w:spacing w:before="11"/>
        <w:ind w:left="0"/>
        <w:jc w:val="left"/>
        <w:rPr>
          <w:rFonts w:hint="eastAsia"/>
          <w:sz w:val="30"/>
          <w:szCs w:val="30"/>
        </w:rPr>
      </w:pPr>
    </w:p>
    <w:p w14:paraId="5D91630F">
      <w:pPr>
        <w:pStyle w:val="9"/>
        <w:spacing w:before="11"/>
        <w:ind w:left="0"/>
        <w:jc w:val="left"/>
        <w:rPr>
          <w:rFonts w:hint="eastAsia"/>
          <w:sz w:val="30"/>
          <w:szCs w:val="30"/>
        </w:rPr>
      </w:pPr>
      <w:r>
        <w:rPr>
          <w:rFonts w:hint="eastAsia"/>
          <w:sz w:val="30"/>
          <w:szCs w:val="30"/>
        </w:rPr>
        <w:t>THIS APPENDIX CITES the eschatological portions of some of the great creeds of Christendom, especially those in the Reformed tradition.</w:t>
      </w:r>
    </w:p>
    <w:p w14:paraId="2871BF3A">
      <w:pPr>
        <w:pStyle w:val="9"/>
        <w:spacing w:before="11"/>
        <w:ind w:left="0"/>
        <w:jc w:val="left"/>
        <w:rPr>
          <w:rFonts w:hint="eastAsia"/>
          <w:sz w:val="30"/>
          <w:szCs w:val="30"/>
        </w:rPr>
      </w:pPr>
      <w:r>
        <w:rPr>
          <w:rFonts w:hint="eastAsia"/>
          <w:sz w:val="30"/>
          <w:szCs w:val="30"/>
        </w:rPr>
        <w:t>本附录引用了基督教界一些伟大信条中关于末世论的部分，特别是那些属于改革宗传统的信条。</w:t>
      </w:r>
    </w:p>
    <w:p w14:paraId="64FE908E">
      <w:pPr>
        <w:pStyle w:val="9"/>
        <w:spacing w:before="11"/>
        <w:ind w:left="0"/>
        <w:jc w:val="left"/>
        <w:rPr>
          <w:rFonts w:hint="eastAsia"/>
          <w:sz w:val="30"/>
          <w:szCs w:val="30"/>
        </w:rPr>
      </w:pPr>
    </w:p>
    <w:p w14:paraId="0AC59346">
      <w:pPr>
        <w:pStyle w:val="9"/>
        <w:spacing w:before="11"/>
        <w:ind w:left="0"/>
        <w:jc w:val="left"/>
        <w:rPr>
          <w:rFonts w:hint="eastAsia"/>
          <w:sz w:val="30"/>
          <w:szCs w:val="30"/>
        </w:rPr>
      </w:pPr>
      <w:r>
        <w:rPr>
          <w:rFonts w:hint="eastAsia"/>
          <w:sz w:val="30"/>
          <w:szCs w:val="30"/>
        </w:rPr>
        <w:t>Together, they show that amillennialism has indeed been the traditional eschatology of the universal Christian Church.</w:t>
      </w:r>
    </w:p>
    <w:p w14:paraId="618D0E9D">
      <w:pPr>
        <w:pStyle w:val="9"/>
        <w:spacing w:before="11"/>
        <w:ind w:left="0"/>
        <w:jc w:val="left"/>
        <w:rPr>
          <w:rFonts w:hint="eastAsia"/>
          <w:sz w:val="30"/>
          <w:szCs w:val="30"/>
        </w:rPr>
      </w:pPr>
      <w:r>
        <w:rPr>
          <w:rFonts w:hint="eastAsia"/>
          <w:sz w:val="30"/>
          <w:szCs w:val="30"/>
        </w:rPr>
        <w:t>它们共同表明，无千禧年论确实是普世基督教会传统的末世论。</w:t>
      </w:r>
    </w:p>
    <w:p w14:paraId="21EDDCF0">
      <w:pPr>
        <w:pStyle w:val="9"/>
        <w:spacing w:before="11"/>
        <w:ind w:left="0"/>
        <w:jc w:val="left"/>
        <w:rPr>
          <w:rFonts w:hint="eastAsia"/>
          <w:sz w:val="30"/>
          <w:szCs w:val="30"/>
        </w:rPr>
      </w:pPr>
    </w:p>
    <w:p w14:paraId="6DF2D887">
      <w:pPr>
        <w:pStyle w:val="9"/>
        <w:spacing w:before="11"/>
        <w:ind w:left="0"/>
        <w:jc w:val="left"/>
        <w:rPr>
          <w:rFonts w:hint="eastAsia"/>
          <w:sz w:val="30"/>
          <w:szCs w:val="30"/>
        </w:rPr>
      </w:pPr>
      <w:r>
        <w:rPr>
          <w:rFonts w:hint="eastAsia"/>
          <w:sz w:val="30"/>
          <w:szCs w:val="30"/>
        </w:rPr>
        <w:t>I have written this book in hopes that all God's people will consider it afresh and, if necessary, come home.</w:t>
      </w:r>
    </w:p>
    <w:p w14:paraId="6BCE023C">
      <w:pPr>
        <w:pStyle w:val="9"/>
        <w:spacing w:before="11"/>
        <w:ind w:left="0"/>
        <w:jc w:val="left"/>
        <w:rPr>
          <w:rFonts w:hint="eastAsia"/>
          <w:sz w:val="30"/>
          <w:szCs w:val="30"/>
        </w:rPr>
      </w:pPr>
      <w:r>
        <w:rPr>
          <w:rFonts w:hint="eastAsia"/>
          <w:sz w:val="30"/>
          <w:szCs w:val="30"/>
        </w:rPr>
        <w:t>我写这本书，是希望所有神的子民都能重新思考它，并且，如有必要，能归回。</w:t>
      </w:r>
    </w:p>
    <w:p w14:paraId="434D7331">
      <w:pPr>
        <w:pStyle w:val="9"/>
        <w:spacing w:before="11"/>
        <w:ind w:left="0"/>
        <w:jc w:val="left"/>
        <w:rPr>
          <w:rFonts w:hint="eastAsia"/>
          <w:sz w:val="30"/>
          <w:szCs w:val="30"/>
        </w:rPr>
      </w:pPr>
    </w:p>
    <w:p w14:paraId="13CCB8FD">
      <w:pPr>
        <w:pStyle w:val="9"/>
        <w:spacing w:before="11"/>
        <w:ind w:left="0"/>
        <w:jc w:val="left"/>
        <w:rPr>
          <w:rFonts w:hint="eastAsia"/>
          <w:sz w:val="30"/>
          <w:szCs w:val="30"/>
        </w:rPr>
      </w:pPr>
      <w:r>
        <w:rPr>
          <w:rFonts w:hint="eastAsia"/>
          <w:sz w:val="30"/>
          <w:szCs w:val="30"/>
        </w:rPr>
        <w:t>1.The apostles’ Creed (Fourth Century)</w:t>
      </w:r>
    </w:p>
    <w:p w14:paraId="166083B5">
      <w:pPr>
        <w:pStyle w:val="9"/>
        <w:spacing w:before="11"/>
        <w:ind w:left="0"/>
        <w:jc w:val="left"/>
        <w:rPr>
          <w:rFonts w:hint="eastAsia"/>
          <w:sz w:val="30"/>
          <w:szCs w:val="30"/>
        </w:rPr>
      </w:pPr>
      <w:r>
        <w:rPr>
          <w:rFonts w:hint="eastAsia"/>
          <w:sz w:val="30"/>
          <w:szCs w:val="30"/>
        </w:rPr>
        <w:t>1.使徒信经（第四世纪）</w:t>
      </w:r>
    </w:p>
    <w:p w14:paraId="1B60300E">
      <w:pPr>
        <w:pStyle w:val="9"/>
        <w:spacing w:before="11"/>
        <w:ind w:left="0"/>
        <w:jc w:val="left"/>
        <w:rPr>
          <w:rFonts w:hint="eastAsia"/>
          <w:sz w:val="30"/>
          <w:szCs w:val="30"/>
        </w:rPr>
      </w:pPr>
    </w:p>
    <w:p w14:paraId="6354791C">
      <w:pPr>
        <w:pStyle w:val="9"/>
        <w:spacing w:before="11"/>
        <w:ind w:left="0"/>
        <w:jc w:val="left"/>
        <w:rPr>
          <w:rFonts w:hint="eastAsia"/>
          <w:sz w:val="30"/>
          <w:szCs w:val="30"/>
        </w:rPr>
      </w:pPr>
      <w:r>
        <w:rPr>
          <w:rFonts w:hint="eastAsia"/>
          <w:sz w:val="30"/>
          <w:szCs w:val="30"/>
        </w:rPr>
        <w:t>Christ . . . sitteth at the right hand of God the Father Almighty; from thence he shall come to judge the quick and the dead.</w:t>
      </w:r>
    </w:p>
    <w:p w14:paraId="75912625">
      <w:pPr>
        <w:pStyle w:val="9"/>
        <w:spacing w:before="11"/>
        <w:ind w:left="0"/>
        <w:jc w:val="left"/>
        <w:rPr>
          <w:rFonts w:hint="eastAsia"/>
          <w:sz w:val="30"/>
          <w:szCs w:val="30"/>
        </w:rPr>
      </w:pPr>
      <w:r>
        <w:rPr>
          <w:rFonts w:hint="eastAsia"/>
          <w:sz w:val="30"/>
          <w:szCs w:val="30"/>
        </w:rPr>
        <w:t>基督……坐在全能父神的右边；祂将从那里降临，审判活人死人。</w:t>
      </w:r>
    </w:p>
    <w:p w14:paraId="4354216F">
      <w:pPr>
        <w:pStyle w:val="9"/>
        <w:spacing w:before="11"/>
        <w:ind w:left="0"/>
        <w:jc w:val="left"/>
        <w:rPr>
          <w:rFonts w:hint="eastAsia"/>
          <w:sz w:val="30"/>
          <w:szCs w:val="30"/>
        </w:rPr>
      </w:pPr>
    </w:p>
    <w:p w14:paraId="2C2B536D">
      <w:pPr>
        <w:pStyle w:val="9"/>
        <w:spacing w:before="11"/>
        <w:ind w:left="0"/>
        <w:jc w:val="left"/>
        <w:rPr>
          <w:rFonts w:hint="eastAsia"/>
          <w:sz w:val="30"/>
          <w:szCs w:val="30"/>
        </w:rPr>
      </w:pPr>
      <w:r>
        <w:rPr>
          <w:rFonts w:hint="eastAsia"/>
          <w:sz w:val="30"/>
          <w:szCs w:val="30"/>
        </w:rPr>
        <w:t>2.The Nicene Creed (AD 381)</w:t>
      </w:r>
    </w:p>
    <w:p w14:paraId="37DD1F32">
      <w:pPr>
        <w:pStyle w:val="9"/>
        <w:spacing w:before="11"/>
        <w:ind w:left="0"/>
        <w:jc w:val="left"/>
        <w:rPr>
          <w:rFonts w:hint="eastAsia"/>
          <w:sz w:val="30"/>
          <w:szCs w:val="30"/>
        </w:rPr>
      </w:pPr>
      <w:r>
        <w:rPr>
          <w:rFonts w:hint="eastAsia"/>
          <w:sz w:val="30"/>
          <w:szCs w:val="30"/>
        </w:rPr>
        <w:t>2.尼西亚信经（公元381年）</w:t>
      </w:r>
    </w:p>
    <w:p w14:paraId="19E6180B">
      <w:pPr>
        <w:pStyle w:val="9"/>
        <w:spacing w:before="11"/>
        <w:ind w:left="0"/>
        <w:jc w:val="left"/>
        <w:rPr>
          <w:rFonts w:hint="eastAsia"/>
          <w:sz w:val="30"/>
          <w:szCs w:val="30"/>
        </w:rPr>
      </w:pPr>
    </w:p>
    <w:p w14:paraId="2819EE37">
      <w:pPr>
        <w:pStyle w:val="9"/>
        <w:spacing w:before="11"/>
        <w:ind w:left="0"/>
        <w:jc w:val="left"/>
        <w:rPr>
          <w:rFonts w:hint="eastAsia"/>
          <w:sz w:val="30"/>
          <w:szCs w:val="30"/>
        </w:rPr>
      </w:pPr>
      <w:r>
        <w:rPr>
          <w:rFonts w:hint="eastAsia"/>
          <w:sz w:val="30"/>
          <w:szCs w:val="30"/>
        </w:rPr>
        <w:t>And Christ shall come again, with glory, to judge both the quick and the dead; whose Kingdom shall have no end.</w:t>
      </w:r>
    </w:p>
    <w:p w14:paraId="3A8C3DB9">
      <w:pPr>
        <w:pStyle w:val="9"/>
        <w:spacing w:before="11"/>
        <w:ind w:left="0"/>
        <w:jc w:val="left"/>
        <w:rPr>
          <w:rFonts w:hint="eastAsia"/>
          <w:sz w:val="30"/>
          <w:szCs w:val="30"/>
        </w:rPr>
      </w:pPr>
      <w:r>
        <w:rPr>
          <w:rFonts w:hint="eastAsia"/>
          <w:sz w:val="30"/>
          <w:szCs w:val="30"/>
        </w:rPr>
        <w:t>基督将再来，带着荣耀，审判活人死人；祂的国度永无穷尽。</w:t>
      </w:r>
    </w:p>
    <w:p w14:paraId="0A328113">
      <w:pPr>
        <w:pStyle w:val="9"/>
        <w:spacing w:before="11"/>
        <w:ind w:left="0"/>
        <w:jc w:val="left"/>
        <w:rPr>
          <w:rFonts w:hint="eastAsia"/>
          <w:sz w:val="30"/>
          <w:szCs w:val="30"/>
        </w:rPr>
      </w:pPr>
    </w:p>
    <w:p w14:paraId="6B8DCC2A">
      <w:pPr>
        <w:pStyle w:val="9"/>
        <w:spacing w:before="11"/>
        <w:ind w:left="0"/>
        <w:jc w:val="left"/>
        <w:rPr>
          <w:rFonts w:hint="eastAsia"/>
          <w:sz w:val="30"/>
          <w:szCs w:val="30"/>
        </w:rPr>
      </w:pPr>
      <w:r>
        <w:rPr>
          <w:rFonts w:hint="eastAsia"/>
          <w:sz w:val="30"/>
          <w:szCs w:val="30"/>
        </w:rPr>
        <w:t>3.The Athanasian Creed (Sixth Century)</w:t>
      </w:r>
    </w:p>
    <w:p w14:paraId="29CFF26C">
      <w:pPr>
        <w:pStyle w:val="9"/>
        <w:spacing w:before="11"/>
        <w:ind w:left="0"/>
        <w:jc w:val="left"/>
        <w:rPr>
          <w:rFonts w:hint="eastAsia"/>
          <w:sz w:val="30"/>
          <w:szCs w:val="30"/>
        </w:rPr>
      </w:pPr>
      <w:r>
        <w:rPr>
          <w:rFonts w:hint="eastAsia"/>
          <w:sz w:val="30"/>
          <w:szCs w:val="30"/>
        </w:rPr>
        <w:t>3.亚他那修信经（第六世纪）</w:t>
      </w:r>
    </w:p>
    <w:p w14:paraId="3ACAD107">
      <w:pPr>
        <w:pStyle w:val="9"/>
        <w:spacing w:before="11"/>
        <w:ind w:left="0"/>
        <w:jc w:val="left"/>
        <w:rPr>
          <w:rFonts w:hint="eastAsia"/>
          <w:sz w:val="30"/>
          <w:szCs w:val="30"/>
        </w:rPr>
      </w:pPr>
    </w:p>
    <w:p w14:paraId="29EED9EE">
      <w:pPr>
        <w:pStyle w:val="9"/>
        <w:spacing w:before="11"/>
        <w:ind w:left="0"/>
        <w:jc w:val="left"/>
        <w:rPr>
          <w:rFonts w:hint="eastAsia"/>
          <w:sz w:val="30"/>
          <w:szCs w:val="30"/>
        </w:rPr>
      </w:pPr>
      <w:r>
        <w:rPr>
          <w:rFonts w:hint="eastAsia"/>
          <w:sz w:val="30"/>
          <w:szCs w:val="30"/>
        </w:rPr>
        <w:t>He ascended into heaven, (and) sitteth on the right hand of the Father, God Almighty; at whose coming all men shall rise again with their bodies, and shall give account for their works.</w:t>
      </w:r>
    </w:p>
    <w:p w14:paraId="56EA842A">
      <w:pPr>
        <w:pStyle w:val="9"/>
        <w:spacing w:before="11"/>
        <w:ind w:left="0"/>
        <w:jc w:val="left"/>
        <w:rPr>
          <w:rFonts w:hint="eastAsia"/>
          <w:sz w:val="30"/>
          <w:szCs w:val="30"/>
        </w:rPr>
      </w:pPr>
      <w:r>
        <w:rPr>
          <w:rFonts w:hint="eastAsia"/>
          <w:sz w:val="30"/>
          <w:szCs w:val="30"/>
        </w:rPr>
        <w:t>祂升入高天，坐在父神全能者的右边；在祂降临时，所有人都要身体复活，并要为自己的行为交账。</w:t>
      </w:r>
    </w:p>
    <w:p w14:paraId="36177352">
      <w:pPr>
        <w:pStyle w:val="9"/>
        <w:spacing w:before="11"/>
        <w:ind w:left="0"/>
        <w:jc w:val="left"/>
        <w:rPr>
          <w:rFonts w:hint="eastAsia"/>
          <w:sz w:val="30"/>
          <w:szCs w:val="30"/>
        </w:rPr>
      </w:pPr>
    </w:p>
    <w:p w14:paraId="005FEA27">
      <w:pPr>
        <w:pStyle w:val="9"/>
        <w:spacing w:before="11"/>
        <w:ind w:left="0"/>
        <w:jc w:val="left"/>
        <w:rPr>
          <w:rFonts w:hint="eastAsia"/>
          <w:sz w:val="30"/>
          <w:szCs w:val="30"/>
        </w:rPr>
      </w:pPr>
      <w:r>
        <w:rPr>
          <w:rFonts w:hint="eastAsia"/>
          <w:sz w:val="30"/>
          <w:szCs w:val="30"/>
        </w:rPr>
        <w:t>And they that have done good shall go into life everlasting; and they that have done evil, into everlasting fire.</w:t>
      </w:r>
    </w:p>
    <w:p w14:paraId="69B61F54">
      <w:pPr>
        <w:pStyle w:val="9"/>
        <w:spacing w:before="11"/>
        <w:ind w:left="0"/>
        <w:jc w:val="left"/>
        <w:rPr>
          <w:rFonts w:hint="eastAsia"/>
          <w:sz w:val="30"/>
          <w:szCs w:val="30"/>
        </w:rPr>
      </w:pPr>
      <w:r>
        <w:rPr>
          <w:rFonts w:hint="eastAsia"/>
          <w:sz w:val="30"/>
          <w:szCs w:val="30"/>
        </w:rPr>
        <w:t>行善的，要进入永生；作恶的，要进入永火。</w:t>
      </w:r>
    </w:p>
    <w:p w14:paraId="6B2130CD">
      <w:pPr>
        <w:pStyle w:val="9"/>
        <w:spacing w:before="11"/>
        <w:ind w:left="0"/>
        <w:jc w:val="left"/>
        <w:rPr>
          <w:rFonts w:hint="eastAsia"/>
          <w:sz w:val="30"/>
          <w:szCs w:val="30"/>
        </w:rPr>
      </w:pPr>
    </w:p>
    <w:p w14:paraId="59BA2451">
      <w:pPr>
        <w:pStyle w:val="9"/>
        <w:spacing w:before="11"/>
        <w:ind w:left="0"/>
        <w:jc w:val="left"/>
        <w:rPr>
          <w:rFonts w:hint="eastAsia"/>
          <w:sz w:val="30"/>
          <w:szCs w:val="30"/>
        </w:rPr>
      </w:pPr>
      <w:r>
        <w:rPr>
          <w:rFonts w:hint="eastAsia"/>
          <w:sz w:val="30"/>
          <w:szCs w:val="30"/>
        </w:rPr>
        <w:t>4.The Augsburg Confession (Lutheran, AD 1530)</w:t>
      </w:r>
    </w:p>
    <w:p w14:paraId="345D9FAA">
      <w:pPr>
        <w:pStyle w:val="9"/>
        <w:spacing w:before="11"/>
        <w:ind w:left="0"/>
        <w:jc w:val="left"/>
        <w:rPr>
          <w:rFonts w:hint="eastAsia"/>
          <w:sz w:val="30"/>
          <w:szCs w:val="30"/>
        </w:rPr>
      </w:pPr>
      <w:r>
        <w:rPr>
          <w:rFonts w:hint="eastAsia"/>
          <w:sz w:val="30"/>
          <w:szCs w:val="30"/>
        </w:rPr>
        <w:t>4.奥斯堡信条（信义宗，公元1530年）</w:t>
      </w:r>
    </w:p>
    <w:p w14:paraId="6871A3CF">
      <w:pPr>
        <w:pStyle w:val="9"/>
        <w:spacing w:before="11"/>
        <w:ind w:left="0"/>
        <w:jc w:val="left"/>
        <w:rPr>
          <w:rFonts w:hint="eastAsia"/>
          <w:sz w:val="30"/>
          <w:szCs w:val="30"/>
        </w:rPr>
      </w:pPr>
    </w:p>
    <w:p w14:paraId="092C5AF4">
      <w:pPr>
        <w:pStyle w:val="9"/>
        <w:spacing w:before="11"/>
        <w:ind w:left="0"/>
        <w:jc w:val="left"/>
        <w:rPr>
          <w:rFonts w:hint="eastAsia"/>
          <w:sz w:val="30"/>
          <w:szCs w:val="30"/>
        </w:rPr>
      </w:pPr>
      <w:r>
        <w:rPr>
          <w:rFonts w:hint="eastAsia"/>
          <w:sz w:val="30"/>
          <w:szCs w:val="30"/>
        </w:rPr>
        <w:t>(We) teach that at the Consummation of the World Christ will appear for judgment, and will raise up all the dead; He will give to the godly and elect eternal life and everlasting joys, but ungodly men and the devils He will condemn to be tormented without end.</w:t>
      </w:r>
    </w:p>
    <w:p w14:paraId="0040E721">
      <w:pPr>
        <w:pStyle w:val="9"/>
        <w:spacing w:before="11"/>
        <w:ind w:left="0"/>
        <w:jc w:val="left"/>
        <w:rPr>
          <w:rFonts w:hint="eastAsia"/>
          <w:sz w:val="30"/>
          <w:szCs w:val="30"/>
        </w:rPr>
      </w:pPr>
      <w:r>
        <w:rPr>
          <w:rFonts w:hint="eastAsia"/>
          <w:sz w:val="30"/>
          <w:szCs w:val="30"/>
        </w:rPr>
        <w:t>（我们）教导说，在世界终结时，基督将显现施行审判，并使所有死人复活；祂将赐给敬虔者和选民永生和永远的喜乐，但不敬虔的人和魔鬼，祂将定罪他们受无尽的折磨。</w:t>
      </w:r>
    </w:p>
    <w:p w14:paraId="3C031A4D">
      <w:pPr>
        <w:pStyle w:val="9"/>
        <w:spacing w:before="11"/>
        <w:ind w:left="0"/>
        <w:jc w:val="left"/>
        <w:rPr>
          <w:rFonts w:hint="eastAsia"/>
          <w:sz w:val="30"/>
          <w:szCs w:val="30"/>
        </w:rPr>
      </w:pPr>
    </w:p>
    <w:p w14:paraId="510B0919">
      <w:pPr>
        <w:pStyle w:val="9"/>
        <w:spacing w:before="11"/>
        <w:ind w:left="0"/>
        <w:jc w:val="left"/>
        <w:rPr>
          <w:rFonts w:hint="eastAsia"/>
          <w:sz w:val="30"/>
          <w:szCs w:val="30"/>
        </w:rPr>
      </w:pPr>
      <w:r>
        <w:rPr>
          <w:rFonts w:hint="eastAsia"/>
          <w:sz w:val="30"/>
          <w:szCs w:val="30"/>
        </w:rPr>
        <w:t>(We) condemn (those) who are now spreading certain Jewish opinions, that before the resurrection of the dead the godly shall take possession of the kingdom of the world, the ungodly being everywhere suppressed.</w:t>
      </w:r>
    </w:p>
    <w:p w14:paraId="01B61D99">
      <w:pPr>
        <w:pStyle w:val="9"/>
        <w:spacing w:before="11"/>
        <w:ind w:left="0"/>
        <w:jc w:val="left"/>
        <w:rPr>
          <w:rFonts w:hint="eastAsia"/>
          <w:sz w:val="30"/>
          <w:szCs w:val="30"/>
        </w:rPr>
      </w:pPr>
      <w:r>
        <w:rPr>
          <w:rFonts w:hint="eastAsia"/>
          <w:sz w:val="30"/>
          <w:szCs w:val="30"/>
        </w:rPr>
        <w:t>（我们）谴责（那些）现在散布某些犹太观点的人，即在死人复活之前，敬虔者将占有世界的国度，而不敬虔者则处处受压制。</w:t>
      </w:r>
    </w:p>
    <w:p w14:paraId="0BBD2FAD">
      <w:pPr>
        <w:pStyle w:val="9"/>
        <w:spacing w:before="11"/>
        <w:ind w:left="0"/>
        <w:jc w:val="left"/>
        <w:rPr>
          <w:rFonts w:hint="eastAsia"/>
          <w:sz w:val="30"/>
          <w:szCs w:val="30"/>
        </w:rPr>
      </w:pPr>
    </w:p>
    <w:p w14:paraId="218D79B5">
      <w:pPr>
        <w:pStyle w:val="9"/>
        <w:spacing w:before="11"/>
        <w:ind w:left="0"/>
        <w:jc w:val="left"/>
        <w:rPr>
          <w:rFonts w:hint="eastAsia"/>
          <w:sz w:val="30"/>
          <w:szCs w:val="30"/>
        </w:rPr>
      </w:pPr>
      <w:r>
        <w:rPr>
          <w:rFonts w:hint="eastAsia"/>
          <w:sz w:val="30"/>
          <w:szCs w:val="30"/>
        </w:rPr>
        <w:t>5.Belgic Confession (Reformed, AD 1561)</w:t>
      </w:r>
    </w:p>
    <w:p w14:paraId="2F03FF3E">
      <w:pPr>
        <w:pStyle w:val="9"/>
        <w:spacing w:before="11"/>
        <w:ind w:left="0"/>
        <w:jc w:val="left"/>
        <w:rPr>
          <w:rFonts w:hint="eastAsia"/>
          <w:sz w:val="30"/>
          <w:szCs w:val="30"/>
        </w:rPr>
      </w:pPr>
      <w:r>
        <w:rPr>
          <w:rFonts w:hint="eastAsia"/>
          <w:sz w:val="30"/>
          <w:szCs w:val="30"/>
        </w:rPr>
        <w:t>5.比利时信条（改革宗，公元1561年）</w:t>
      </w:r>
    </w:p>
    <w:p w14:paraId="6200DA04">
      <w:pPr>
        <w:pStyle w:val="9"/>
        <w:spacing w:before="11"/>
        <w:ind w:left="0"/>
        <w:jc w:val="left"/>
        <w:rPr>
          <w:rFonts w:hint="eastAsia"/>
          <w:sz w:val="30"/>
          <w:szCs w:val="30"/>
        </w:rPr>
      </w:pPr>
    </w:p>
    <w:p w14:paraId="5416BE7F">
      <w:pPr>
        <w:pStyle w:val="9"/>
        <w:spacing w:before="11"/>
        <w:ind w:left="0"/>
        <w:jc w:val="left"/>
        <w:rPr>
          <w:rFonts w:hint="eastAsia"/>
          <w:sz w:val="30"/>
          <w:szCs w:val="30"/>
        </w:rPr>
      </w:pPr>
      <w:r>
        <w:rPr>
          <w:rFonts w:hint="eastAsia"/>
          <w:sz w:val="30"/>
          <w:szCs w:val="30"/>
        </w:rPr>
        <w:t>Finally, we believe, according to God's Word, that when the time appointed by the Lord is come (which is unknown to all creatures) and the number of the elect is complete, our Lord Jesus Christ will come from heaven, bodily and visibly, as he ascended, with great glory and majesty, to declare himself the judge of the living and the dead.</w:t>
      </w:r>
    </w:p>
    <w:p w14:paraId="0D7A8FDF">
      <w:pPr>
        <w:pStyle w:val="9"/>
        <w:spacing w:before="11"/>
        <w:ind w:left="0"/>
        <w:jc w:val="left"/>
        <w:rPr>
          <w:rFonts w:hint="eastAsia"/>
          <w:sz w:val="30"/>
          <w:szCs w:val="30"/>
        </w:rPr>
      </w:pPr>
      <w:r>
        <w:rPr>
          <w:rFonts w:hint="eastAsia"/>
          <w:sz w:val="30"/>
          <w:szCs w:val="30"/>
        </w:rPr>
        <w:t>最后，我们根据神的话语相信，当主所定的时间来到（这是所有受造物都不知道的），并且选民的数目满足了，我们的主耶稣基督将从天降临，有形有体地、可见地，如同祂升天一样，带着极大的荣耀和威严，宣告祂自己是活人死人的审判主。</w:t>
      </w:r>
    </w:p>
    <w:p w14:paraId="72F1591E">
      <w:pPr>
        <w:pStyle w:val="9"/>
        <w:spacing w:before="11"/>
        <w:ind w:left="0"/>
        <w:jc w:val="left"/>
        <w:rPr>
          <w:rFonts w:hint="eastAsia"/>
          <w:sz w:val="30"/>
          <w:szCs w:val="30"/>
        </w:rPr>
      </w:pPr>
    </w:p>
    <w:p w14:paraId="4FA053C9">
      <w:pPr>
        <w:pStyle w:val="9"/>
        <w:spacing w:before="11"/>
        <w:ind w:left="0"/>
        <w:jc w:val="left"/>
        <w:rPr>
          <w:rFonts w:hint="eastAsia"/>
          <w:sz w:val="30"/>
          <w:szCs w:val="30"/>
        </w:rPr>
      </w:pPr>
      <w:r>
        <w:rPr>
          <w:rFonts w:hint="eastAsia"/>
          <w:sz w:val="30"/>
          <w:szCs w:val="30"/>
        </w:rPr>
        <w:t>He will burn this old world in fire and flame in order to cleanse it.</w:t>
      </w:r>
    </w:p>
    <w:p w14:paraId="5C06BBF7">
      <w:pPr>
        <w:pStyle w:val="9"/>
        <w:spacing w:before="11"/>
        <w:ind w:left="0"/>
        <w:jc w:val="left"/>
        <w:rPr>
          <w:rFonts w:hint="eastAsia"/>
          <w:sz w:val="30"/>
          <w:szCs w:val="30"/>
        </w:rPr>
      </w:pPr>
      <w:r>
        <w:rPr>
          <w:rFonts w:hint="eastAsia"/>
          <w:sz w:val="30"/>
          <w:szCs w:val="30"/>
        </w:rPr>
        <w:t>祂将用火与焰焚烧这旧世界，为要洁净它。</w:t>
      </w:r>
    </w:p>
    <w:p w14:paraId="15609EFE">
      <w:pPr>
        <w:pStyle w:val="9"/>
        <w:spacing w:before="11"/>
        <w:ind w:left="0"/>
        <w:jc w:val="left"/>
        <w:rPr>
          <w:rFonts w:hint="eastAsia"/>
          <w:sz w:val="30"/>
          <w:szCs w:val="30"/>
        </w:rPr>
      </w:pPr>
    </w:p>
    <w:p w14:paraId="55FD0564">
      <w:pPr>
        <w:pStyle w:val="9"/>
        <w:spacing w:before="11"/>
        <w:ind w:left="0"/>
        <w:jc w:val="left"/>
        <w:rPr>
          <w:rFonts w:hint="eastAsia"/>
          <w:sz w:val="30"/>
          <w:szCs w:val="30"/>
        </w:rPr>
      </w:pPr>
      <w:r>
        <w:rPr>
          <w:rFonts w:hint="eastAsia"/>
          <w:sz w:val="30"/>
          <w:szCs w:val="30"/>
        </w:rPr>
        <w:t>Then all human creatures will appear in person before the great Judge— men, women, and children, who have lived from the beginning until the end of the world.</w:t>
      </w:r>
    </w:p>
    <w:p w14:paraId="525A648B">
      <w:pPr>
        <w:pStyle w:val="9"/>
        <w:spacing w:before="11"/>
        <w:ind w:left="0"/>
        <w:jc w:val="left"/>
        <w:rPr>
          <w:rFonts w:hint="eastAsia"/>
          <w:sz w:val="30"/>
          <w:szCs w:val="30"/>
        </w:rPr>
      </w:pPr>
      <w:r>
        <w:rPr>
          <w:rFonts w:hint="eastAsia"/>
          <w:sz w:val="30"/>
          <w:szCs w:val="30"/>
        </w:rPr>
        <w:t>那时，所有的人类——男人、女人和孩童，从世界之初活到世界之末的——都将亲自显现在这位伟大的审判主面前。</w:t>
      </w:r>
    </w:p>
    <w:p w14:paraId="135B2BE3">
      <w:pPr>
        <w:pStyle w:val="9"/>
        <w:spacing w:before="11"/>
        <w:ind w:left="0"/>
        <w:jc w:val="left"/>
        <w:rPr>
          <w:rFonts w:hint="eastAsia"/>
          <w:sz w:val="30"/>
          <w:szCs w:val="30"/>
        </w:rPr>
      </w:pPr>
    </w:p>
    <w:p w14:paraId="27B42BF0">
      <w:pPr>
        <w:pStyle w:val="9"/>
        <w:spacing w:before="11"/>
        <w:ind w:left="0"/>
        <w:jc w:val="left"/>
        <w:rPr>
          <w:rFonts w:hint="eastAsia"/>
          <w:sz w:val="30"/>
          <w:szCs w:val="30"/>
        </w:rPr>
      </w:pPr>
      <w:r>
        <w:rPr>
          <w:rFonts w:hint="eastAsia"/>
          <w:sz w:val="30"/>
          <w:szCs w:val="30"/>
        </w:rPr>
        <w:t>They will be summoned there by the voice of the archangel and by the sound of the divine trumpet.</w:t>
      </w:r>
    </w:p>
    <w:p w14:paraId="25C0946C">
      <w:pPr>
        <w:pStyle w:val="9"/>
        <w:spacing w:before="11"/>
        <w:ind w:left="0"/>
        <w:jc w:val="left"/>
        <w:rPr>
          <w:rFonts w:hint="eastAsia"/>
          <w:sz w:val="30"/>
          <w:szCs w:val="30"/>
        </w:rPr>
      </w:pPr>
      <w:r>
        <w:rPr>
          <w:rFonts w:hint="eastAsia"/>
          <w:sz w:val="30"/>
          <w:szCs w:val="30"/>
        </w:rPr>
        <w:t>他们将被天使长的声音和神圣号筒的声音召唤到那里。</w:t>
      </w:r>
    </w:p>
    <w:p w14:paraId="73075F9C">
      <w:pPr>
        <w:pStyle w:val="9"/>
        <w:spacing w:before="11"/>
        <w:ind w:left="0"/>
        <w:jc w:val="left"/>
        <w:rPr>
          <w:rFonts w:hint="eastAsia"/>
          <w:sz w:val="30"/>
          <w:szCs w:val="30"/>
        </w:rPr>
      </w:pPr>
    </w:p>
    <w:p w14:paraId="7708AB57">
      <w:pPr>
        <w:pStyle w:val="9"/>
        <w:spacing w:before="11"/>
        <w:ind w:left="0"/>
        <w:jc w:val="left"/>
        <w:rPr>
          <w:rFonts w:hint="eastAsia"/>
          <w:sz w:val="30"/>
          <w:szCs w:val="30"/>
        </w:rPr>
      </w:pPr>
      <w:r>
        <w:rPr>
          <w:rFonts w:hint="eastAsia"/>
          <w:sz w:val="30"/>
          <w:szCs w:val="30"/>
        </w:rPr>
        <w:t>For all those who died before that time will be raised from the earth, their spirits being joined and united with their own bodies in which they lived.</w:t>
      </w:r>
    </w:p>
    <w:p w14:paraId="355DD249">
      <w:pPr>
        <w:pStyle w:val="9"/>
        <w:spacing w:before="11"/>
        <w:ind w:left="0"/>
        <w:jc w:val="left"/>
        <w:rPr>
          <w:rFonts w:hint="eastAsia"/>
          <w:sz w:val="30"/>
          <w:szCs w:val="30"/>
        </w:rPr>
      </w:pPr>
      <w:r>
        <w:rPr>
          <w:rFonts w:hint="eastAsia"/>
          <w:sz w:val="30"/>
          <w:szCs w:val="30"/>
        </w:rPr>
        <w:t>因为所有在那时之前死去的人，都将从地里复活，他们的灵魂将与他们生前所住的自己身体联合为一。</w:t>
      </w:r>
    </w:p>
    <w:p w14:paraId="0718BF7E">
      <w:pPr>
        <w:pStyle w:val="9"/>
        <w:spacing w:before="11"/>
        <w:ind w:left="0"/>
        <w:jc w:val="left"/>
        <w:rPr>
          <w:rFonts w:hint="eastAsia"/>
          <w:sz w:val="30"/>
          <w:szCs w:val="30"/>
        </w:rPr>
      </w:pPr>
    </w:p>
    <w:p w14:paraId="66C35AC3">
      <w:pPr>
        <w:pStyle w:val="9"/>
        <w:spacing w:before="11"/>
        <w:ind w:left="0"/>
        <w:jc w:val="left"/>
        <w:rPr>
          <w:rFonts w:hint="eastAsia"/>
          <w:sz w:val="30"/>
          <w:szCs w:val="30"/>
        </w:rPr>
      </w:pPr>
      <w:r>
        <w:rPr>
          <w:rFonts w:hint="eastAsia"/>
          <w:sz w:val="30"/>
          <w:szCs w:val="30"/>
        </w:rPr>
        <w:t>And as for those who are still alive, they will not die like the others, but will be changed in the twinkling of an eye from corruptible to incorruptible.</w:t>
      </w:r>
    </w:p>
    <w:p w14:paraId="0462DDB6">
      <w:pPr>
        <w:pStyle w:val="9"/>
        <w:spacing w:before="11"/>
        <w:ind w:left="0"/>
        <w:jc w:val="left"/>
        <w:rPr>
          <w:rFonts w:hint="eastAsia"/>
          <w:sz w:val="30"/>
          <w:szCs w:val="30"/>
        </w:rPr>
      </w:pPr>
      <w:r>
        <w:rPr>
          <w:rFonts w:hint="eastAsia"/>
          <w:sz w:val="30"/>
          <w:szCs w:val="30"/>
        </w:rPr>
        <w:t>至于那些仍然活着的人，他们不会像其他人一样死去，而是在一霎时，眨眼之间，从必朽坏的变成不朽坏的。</w:t>
      </w:r>
    </w:p>
    <w:p w14:paraId="0F91C787">
      <w:pPr>
        <w:pStyle w:val="9"/>
        <w:spacing w:before="11"/>
        <w:ind w:left="0"/>
        <w:jc w:val="left"/>
        <w:rPr>
          <w:rFonts w:hint="eastAsia"/>
          <w:sz w:val="30"/>
          <w:szCs w:val="30"/>
        </w:rPr>
      </w:pPr>
    </w:p>
    <w:p w14:paraId="18B1C3C6">
      <w:pPr>
        <w:pStyle w:val="9"/>
        <w:spacing w:before="11"/>
        <w:ind w:left="0"/>
        <w:jc w:val="left"/>
        <w:rPr>
          <w:rFonts w:hint="eastAsia"/>
          <w:sz w:val="30"/>
          <w:szCs w:val="30"/>
        </w:rPr>
      </w:pPr>
      <w:r>
        <w:rPr>
          <w:rFonts w:hint="eastAsia"/>
          <w:sz w:val="30"/>
          <w:szCs w:val="30"/>
        </w:rPr>
        <w:t>Then the books (that is, the consciences) will be opened, and the dead will be judged according to the things they did in the world, whether good or evil.</w:t>
      </w:r>
    </w:p>
    <w:p w14:paraId="0882CC34">
      <w:pPr>
        <w:pStyle w:val="9"/>
        <w:spacing w:before="11"/>
        <w:ind w:left="0"/>
        <w:jc w:val="left"/>
        <w:rPr>
          <w:rFonts w:hint="eastAsia"/>
          <w:sz w:val="30"/>
          <w:szCs w:val="30"/>
        </w:rPr>
      </w:pPr>
      <w:r>
        <w:rPr>
          <w:rFonts w:hint="eastAsia"/>
          <w:sz w:val="30"/>
          <w:szCs w:val="30"/>
        </w:rPr>
        <w:t>然后案卷（即良心）将展开，死人将按他们在世上所行的事受审判，或善或恶。</w:t>
      </w:r>
    </w:p>
    <w:p w14:paraId="59AA6BA8">
      <w:pPr>
        <w:pStyle w:val="9"/>
        <w:spacing w:before="11"/>
        <w:ind w:left="0"/>
        <w:jc w:val="left"/>
        <w:rPr>
          <w:rFonts w:hint="eastAsia"/>
          <w:sz w:val="30"/>
          <w:szCs w:val="30"/>
        </w:rPr>
      </w:pPr>
    </w:p>
    <w:p w14:paraId="4080CC61">
      <w:pPr>
        <w:pStyle w:val="9"/>
        <w:spacing w:before="11"/>
        <w:ind w:left="0"/>
        <w:jc w:val="left"/>
        <w:rPr>
          <w:rFonts w:hint="eastAsia"/>
          <w:sz w:val="30"/>
          <w:szCs w:val="30"/>
        </w:rPr>
      </w:pPr>
      <w:r>
        <w:rPr>
          <w:rFonts w:hint="eastAsia"/>
          <w:sz w:val="30"/>
          <w:szCs w:val="30"/>
        </w:rPr>
        <w:t>Indeed, all people will give account of all the idle words they have spoken, which the world regards as only playing games.</w:t>
      </w:r>
    </w:p>
    <w:p w14:paraId="719A122C">
      <w:pPr>
        <w:pStyle w:val="9"/>
        <w:spacing w:before="11"/>
        <w:ind w:left="0"/>
        <w:jc w:val="left"/>
        <w:rPr>
          <w:rFonts w:hint="eastAsia"/>
          <w:sz w:val="30"/>
          <w:szCs w:val="30"/>
        </w:rPr>
      </w:pPr>
      <w:r>
        <w:rPr>
          <w:rFonts w:hint="eastAsia"/>
          <w:sz w:val="30"/>
          <w:szCs w:val="30"/>
        </w:rPr>
        <w:t>的确，所有人都要为他们所说的闲话交账，世人认为那只是儿戏。</w:t>
      </w:r>
    </w:p>
    <w:p w14:paraId="41B489C5">
      <w:pPr>
        <w:pStyle w:val="9"/>
        <w:spacing w:before="11"/>
        <w:ind w:left="0"/>
        <w:jc w:val="left"/>
        <w:rPr>
          <w:rFonts w:hint="eastAsia"/>
          <w:sz w:val="30"/>
          <w:szCs w:val="30"/>
        </w:rPr>
      </w:pPr>
    </w:p>
    <w:p w14:paraId="236059BB">
      <w:pPr>
        <w:pStyle w:val="9"/>
        <w:spacing w:before="11"/>
        <w:ind w:left="0"/>
        <w:jc w:val="left"/>
        <w:rPr>
          <w:rFonts w:hint="eastAsia"/>
          <w:sz w:val="30"/>
          <w:szCs w:val="30"/>
        </w:rPr>
      </w:pPr>
      <w:r>
        <w:rPr>
          <w:rFonts w:hint="eastAsia"/>
          <w:sz w:val="30"/>
          <w:szCs w:val="30"/>
        </w:rPr>
        <w:t>And then the secrets and hypocrisies of men will be publicly uncovered in the sight of all.</w:t>
      </w:r>
    </w:p>
    <w:p w14:paraId="02E9550E">
      <w:pPr>
        <w:pStyle w:val="9"/>
        <w:spacing w:before="11"/>
        <w:ind w:left="0"/>
        <w:jc w:val="left"/>
        <w:rPr>
          <w:rFonts w:hint="eastAsia"/>
          <w:sz w:val="30"/>
          <w:szCs w:val="30"/>
        </w:rPr>
      </w:pPr>
      <w:r>
        <w:rPr>
          <w:rFonts w:hint="eastAsia"/>
          <w:sz w:val="30"/>
          <w:szCs w:val="30"/>
        </w:rPr>
        <w:t>然后，人的秘密和假冒为善将在众人眼前被公开揭露。</w:t>
      </w:r>
    </w:p>
    <w:p w14:paraId="2E103049">
      <w:pPr>
        <w:pStyle w:val="9"/>
        <w:spacing w:before="11"/>
        <w:ind w:left="0"/>
        <w:jc w:val="left"/>
        <w:rPr>
          <w:rFonts w:hint="eastAsia"/>
          <w:sz w:val="30"/>
          <w:szCs w:val="30"/>
        </w:rPr>
      </w:pPr>
    </w:p>
    <w:p w14:paraId="1E2DCF8C">
      <w:pPr>
        <w:pStyle w:val="9"/>
        <w:spacing w:before="11"/>
        <w:ind w:left="0"/>
        <w:jc w:val="left"/>
        <w:rPr>
          <w:rFonts w:hint="eastAsia"/>
          <w:sz w:val="30"/>
          <w:szCs w:val="30"/>
        </w:rPr>
      </w:pPr>
      <w:r>
        <w:rPr>
          <w:rFonts w:hint="eastAsia"/>
          <w:sz w:val="30"/>
          <w:szCs w:val="30"/>
        </w:rPr>
        <w:t>Therefore, with good reason the thought of this judgment is horrible and dreadful to wicked and evil people.</w:t>
      </w:r>
    </w:p>
    <w:p w14:paraId="410184BA">
      <w:pPr>
        <w:pStyle w:val="9"/>
        <w:spacing w:before="11"/>
        <w:ind w:left="0"/>
        <w:jc w:val="left"/>
        <w:rPr>
          <w:rFonts w:hint="eastAsia"/>
          <w:sz w:val="30"/>
          <w:szCs w:val="30"/>
        </w:rPr>
      </w:pPr>
      <w:r>
        <w:rPr>
          <w:rFonts w:hint="eastAsia"/>
          <w:sz w:val="30"/>
          <w:szCs w:val="30"/>
        </w:rPr>
        <w:t>因此，这审判的思想对邪恶和作恶的人来说是可怕和恐惧的，这是有充分理由的。</w:t>
      </w:r>
    </w:p>
    <w:p w14:paraId="045D6751">
      <w:pPr>
        <w:pStyle w:val="9"/>
        <w:spacing w:before="11"/>
        <w:ind w:left="0"/>
        <w:jc w:val="left"/>
        <w:rPr>
          <w:rFonts w:hint="eastAsia"/>
          <w:sz w:val="30"/>
          <w:szCs w:val="30"/>
        </w:rPr>
      </w:pPr>
    </w:p>
    <w:p w14:paraId="0D760342">
      <w:pPr>
        <w:pStyle w:val="9"/>
        <w:spacing w:before="11"/>
        <w:ind w:left="0"/>
        <w:jc w:val="left"/>
        <w:rPr>
          <w:rFonts w:hint="eastAsia"/>
          <w:sz w:val="30"/>
          <w:szCs w:val="30"/>
        </w:rPr>
      </w:pPr>
      <w:r>
        <w:rPr>
          <w:rFonts w:hint="eastAsia"/>
          <w:sz w:val="30"/>
          <w:szCs w:val="30"/>
        </w:rPr>
        <w:t>But it is very pleasant and a great comfort to the righteous and elect, since their total redemption will then be accomplished.</w:t>
      </w:r>
    </w:p>
    <w:p w14:paraId="6C529793">
      <w:pPr>
        <w:pStyle w:val="9"/>
        <w:spacing w:before="11"/>
        <w:ind w:left="0"/>
        <w:jc w:val="left"/>
        <w:rPr>
          <w:rFonts w:hint="eastAsia"/>
          <w:sz w:val="30"/>
          <w:szCs w:val="30"/>
        </w:rPr>
      </w:pPr>
      <w:r>
        <w:rPr>
          <w:rFonts w:hint="eastAsia"/>
          <w:sz w:val="30"/>
          <w:szCs w:val="30"/>
        </w:rPr>
        <w:t>但对公义和蒙拣选的人来说，这是非常愉悦和极大的安慰，因为他们完全的救赎届时将得以成全。</w:t>
      </w:r>
    </w:p>
    <w:p w14:paraId="2DBDE135">
      <w:pPr>
        <w:pStyle w:val="9"/>
        <w:spacing w:before="11"/>
        <w:ind w:left="0"/>
        <w:jc w:val="left"/>
        <w:rPr>
          <w:rFonts w:hint="eastAsia"/>
          <w:sz w:val="30"/>
          <w:szCs w:val="30"/>
        </w:rPr>
      </w:pPr>
    </w:p>
    <w:p w14:paraId="3221163C">
      <w:pPr>
        <w:pStyle w:val="9"/>
        <w:spacing w:before="11"/>
        <w:ind w:left="0"/>
        <w:jc w:val="left"/>
        <w:rPr>
          <w:rFonts w:hint="eastAsia"/>
          <w:sz w:val="30"/>
          <w:szCs w:val="30"/>
        </w:rPr>
      </w:pPr>
      <w:r>
        <w:rPr>
          <w:rFonts w:hint="eastAsia"/>
          <w:sz w:val="30"/>
          <w:szCs w:val="30"/>
        </w:rPr>
        <w:t>They will then receive the fruits of their labor and of the trouble they have suffered; their innocence will be openly recognized by all; and they will see the terrible vengeance that God will bring on the evil ones who tyrannized, oppressed, and tormented them in this world.</w:t>
      </w:r>
    </w:p>
    <w:p w14:paraId="26E1EA8A">
      <w:pPr>
        <w:pStyle w:val="9"/>
        <w:spacing w:before="11"/>
        <w:ind w:left="0"/>
        <w:jc w:val="left"/>
        <w:rPr>
          <w:rFonts w:hint="eastAsia"/>
          <w:sz w:val="30"/>
          <w:szCs w:val="30"/>
        </w:rPr>
      </w:pPr>
      <w:r>
        <w:rPr>
          <w:rFonts w:hint="eastAsia"/>
          <w:sz w:val="30"/>
          <w:szCs w:val="30"/>
        </w:rPr>
        <w:t>那时他们将得到他们劳苦和所受患难的果实；他们的无辜将被众人公开承认；他们将看见神对那些曾在这世上暴虐、压迫和折磨他们的恶人所施行的可怕报应。</w:t>
      </w:r>
    </w:p>
    <w:p w14:paraId="0F485BBB">
      <w:pPr>
        <w:pStyle w:val="9"/>
        <w:spacing w:before="11"/>
        <w:ind w:left="0"/>
        <w:jc w:val="left"/>
        <w:rPr>
          <w:rFonts w:hint="eastAsia"/>
          <w:sz w:val="30"/>
          <w:szCs w:val="30"/>
        </w:rPr>
      </w:pPr>
    </w:p>
    <w:p w14:paraId="76F86F18">
      <w:pPr>
        <w:pStyle w:val="9"/>
        <w:spacing w:before="11"/>
        <w:ind w:left="0"/>
        <w:jc w:val="left"/>
        <w:rPr>
          <w:rFonts w:hint="eastAsia"/>
          <w:sz w:val="30"/>
          <w:szCs w:val="30"/>
        </w:rPr>
      </w:pPr>
      <w:r>
        <w:rPr>
          <w:rFonts w:hint="eastAsia"/>
          <w:sz w:val="30"/>
          <w:szCs w:val="30"/>
        </w:rPr>
        <w:t>The evil ones will be convicted by the witness of their own consciences, and shall be made immortal—but only to be tormented in the everlasting fire prepared for the devil and his angels.</w:t>
      </w:r>
    </w:p>
    <w:p w14:paraId="1FCFA7F7">
      <w:pPr>
        <w:pStyle w:val="9"/>
        <w:spacing w:before="11"/>
        <w:ind w:left="0"/>
        <w:jc w:val="left"/>
        <w:rPr>
          <w:rFonts w:hint="eastAsia"/>
          <w:sz w:val="30"/>
          <w:szCs w:val="30"/>
        </w:rPr>
      </w:pPr>
      <w:r>
        <w:rPr>
          <w:rFonts w:hint="eastAsia"/>
          <w:sz w:val="30"/>
          <w:szCs w:val="30"/>
        </w:rPr>
        <w:t>恶人将被他们自己良心的见证所定罪，并将成为不死的——但只是为了在为魔鬼和他的使者所预备的永火里受折磨。</w:t>
      </w:r>
    </w:p>
    <w:p w14:paraId="2D0C215E">
      <w:pPr>
        <w:pStyle w:val="9"/>
        <w:spacing w:before="11"/>
        <w:ind w:left="0"/>
        <w:jc w:val="left"/>
        <w:rPr>
          <w:rFonts w:hint="eastAsia"/>
          <w:sz w:val="30"/>
          <w:szCs w:val="30"/>
        </w:rPr>
      </w:pPr>
    </w:p>
    <w:p w14:paraId="1344E4D7">
      <w:pPr>
        <w:pStyle w:val="9"/>
        <w:spacing w:before="11"/>
        <w:ind w:left="0"/>
        <w:jc w:val="left"/>
        <w:rPr>
          <w:rFonts w:hint="eastAsia"/>
          <w:sz w:val="30"/>
          <w:szCs w:val="30"/>
        </w:rPr>
      </w:pPr>
      <w:r>
        <w:rPr>
          <w:rFonts w:hint="eastAsia"/>
          <w:sz w:val="30"/>
          <w:szCs w:val="30"/>
        </w:rPr>
        <w:t>In contrast, the faithful and elect will be crowned with glory and honor.</w:t>
      </w:r>
    </w:p>
    <w:p w14:paraId="5DF25774">
      <w:pPr>
        <w:pStyle w:val="9"/>
        <w:spacing w:before="11"/>
        <w:ind w:left="0"/>
        <w:jc w:val="left"/>
        <w:rPr>
          <w:rFonts w:hint="eastAsia"/>
          <w:sz w:val="30"/>
          <w:szCs w:val="30"/>
        </w:rPr>
      </w:pPr>
      <w:r>
        <w:rPr>
          <w:rFonts w:hint="eastAsia"/>
          <w:sz w:val="30"/>
          <w:szCs w:val="30"/>
        </w:rPr>
        <w:t>相比之下，忠信和蒙拣选的人将被冠以荣耀和尊贵。</w:t>
      </w:r>
    </w:p>
    <w:p w14:paraId="0A9D83AF">
      <w:pPr>
        <w:pStyle w:val="9"/>
        <w:spacing w:before="11"/>
        <w:ind w:left="0"/>
        <w:jc w:val="left"/>
        <w:rPr>
          <w:rFonts w:hint="eastAsia"/>
          <w:sz w:val="30"/>
          <w:szCs w:val="30"/>
        </w:rPr>
      </w:pPr>
    </w:p>
    <w:p w14:paraId="499D620D">
      <w:pPr>
        <w:pStyle w:val="9"/>
        <w:spacing w:before="11"/>
        <w:ind w:left="0"/>
        <w:jc w:val="left"/>
        <w:rPr>
          <w:rFonts w:hint="eastAsia"/>
          <w:sz w:val="30"/>
          <w:szCs w:val="30"/>
        </w:rPr>
      </w:pPr>
      <w:r>
        <w:rPr>
          <w:rFonts w:hint="eastAsia"/>
          <w:sz w:val="30"/>
          <w:szCs w:val="30"/>
        </w:rPr>
        <w:t>The Son of God will confess their names before God his Father and the holy and elect angels; all tears will be wiped from their eyes; and their cause—at present condemned as heretical and evil by many judges and civil officers—will be acknowledged as the cause of the Son of God.</w:t>
      </w:r>
    </w:p>
    <w:p w14:paraId="635C6C02">
      <w:pPr>
        <w:pStyle w:val="9"/>
        <w:spacing w:before="11"/>
        <w:ind w:left="0"/>
        <w:jc w:val="left"/>
        <w:rPr>
          <w:rFonts w:hint="eastAsia"/>
          <w:sz w:val="30"/>
          <w:szCs w:val="30"/>
        </w:rPr>
      </w:pPr>
      <w:r>
        <w:rPr>
          <w:rFonts w:hint="eastAsia"/>
          <w:sz w:val="30"/>
          <w:szCs w:val="30"/>
        </w:rPr>
        <w:t>神的儿子将在祂的父神和圣洁蒙拣选的天使面前承认他们的名；所有的眼泪都将被擦去；他们的事业——目前被许多审判官和文职官员定为异端和邪恶——将被承认为神儿子的事业。</w:t>
      </w:r>
    </w:p>
    <w:p w14:paraId="462F6FC8">
      <w:pPr>
        <w:pStyle w:val="9"/>
        <w:spacing w:before="11"/>
        <w:ind w:left="0"/>
        <w:jc w:val="left"/>
        <w:rPr>
          <w:rFonts w:hint="eastAsia"/>
          <w:sz w:val="30"/>
          <w:szCs w:val="30"/>
        </w:rPr>
      </w:pPr>
    </w:p>
    <w:p w14:paraId="4CC1FCDA">
      <w:pPr>
        <w:pStyle w:val="9"/>
        <w:spacing w:before="11"/>
        <w:ind w:left="0"/>
        <w:jc w:val="left"/>
        <w:rPr>
          <w:rFonts w:hint="eastAsia"/>
          <w:sz w:val="30"/>
          <w:szCs w:val="30"/>
        </w:rPr>
      </w:pPr>
      <w:r>
        <w:rPr>
          <w:rFonts w:hint="eastAsia"/>
          <w:sz w:val="30"/>
          <w:szCs w:val="30"/>
        </w:rPr>
        <w:t>And as a gracious reward the Lord will make them possess a glory such as the heart of man could never imagine.</w:t>
      </w:r>
    </w:p>
    <w:p w14:paraId="79029243">
      <w:pPr>
        <w:pStyle w:val="9"/>
        <w:spacing w:before="11"/>
        <w:ind w:left="0"/>
        <w:jc w:val="left"/>
        <w:rPr>
          <w:rFonts w:hint="eastAsia"/>
          <w:sz w:val="30"/>
          <w:szCs w:val="30"/>
        </w:rPr>
      </w:pPr>
      <w:r>
        <w:rPr>
          <w:rFonts w:hint="eastAsia"/>
          <w:sz w:val="30"/>
          <w:szCs w:val="30"/>
        </w:rPr>
        <w:t>并且作为恩典的赏赐，主将使他们得着一种人心所无法想象的荣耀。</w:t>
      </w:r>
    </w:p>
    <w:p w14:paraId="6FDD9719">
      <w:pPr>
        <w:pStyle w:val="9"/>
        <w:spacing w:before="11"/>
        <w:ind w:left="0"/>
        <w:jc w:val="left"/>
        <w:rPr>
          <w:rFonts w:hint="eastAsia"/>
          <w:sz w:val="30"/>
          <w:szCs w:val="30"/>
        </w:rPr>
      </w:pPr>
    </w:p>
    <w:p w14:paraId="79AECF29">
      <w:pPr>
        <w:pStyle w:val="9"/>
        <w:spacing w:before="11"/>
        <w:ind w:left="0"/>
        <w:jc w:val="left"/>
        <w:rPr>
          <w:rFonts w:hint="eastAsia"/>
          <w:sz w:val="30"/>
          <w:szCs w:val="30"/>
        </w:rPr>
      </w:pPr>
      <w:r>
        <w:rPr>
          <w:rFonts w:hint="eastAsia"/>
          <w:sz w:val="30"/>
          <w:szCs w:val="30"/>
        </w:rPr>
        <w:t>So we look forward to that great day with longing in order to enjoy fully the promises of God in Christ Jesus, our Lord.</w:t>
      </w:r>
    </w:p>
    <w:p w14:paraId="30CFB02F">
      <w:pPr>
        <w:pStyle w:val="9"/>
        <w:spacing w:before="11"/>
        <w:ind w:left="0"/>
        <w:jc w:val="left"/>
        <w:rPr>
          <w:rFonts w:hint="eastAsia"/>
          <w:sz w:val="30"/>
          <w:szCs w:val="30"/>
        </w:rPr>
      </w:pPr>
      <w:r>
        <w:rPr>
          <w:rFonts w:hint="eastAsia"/>
          <w:sz w:val="30"/>
          <w:szCs w:val="30"/>
        </w:rPr>
        <w:t>所以我们以渴望的心盼望那伟大的日子，为要在我们的主基督耶稣里，完全享受神的应许。</w:t>
      </w:r>
    </w:p>
    <w:p w14:paraId="6B8D31DD">
      <w:pPr>
        <w:pStyle w:val="9"/>
        <w:spacing w:before="11"/>
        <w:ind w:left="0"/>
        <w:jc w:val="left"/>
        <w:rPr>
          <w:rFonts w:hint="eastAsia"/>
          <w:sz w:val="30"/>
          <w:szCs w:val="30"/>
        </w:rPr>
      </w:pPr>
    </w:p>
    <w:p w14:paraId="4E83D351">
      <w:pPr>
        <w:pStyle w:val="9"/>
        <w:spacing w:before="11"/>
        <w:ind w:left="0"/>
        <w:jc w:val="left"/>
        <w:rPr>
          <w:rFonts w:hint="eastAsia"/>
          <w:sz w:val="30"/>
          <w:szCs w:val="30"/>
        </w:rPr>
      </w:pPr>
      <w:r>
        <w:rPr>
          <w:rFonts w:hint="eastAsia"/>
          <w:sz w:val="30"/>
          <w:szCs w:val="30"/>
        </w:rPr>
        <w:t>6.The Heidelberg Catechism (Reformed, AD 1563)</w:t>
      </w:r>
    </w:p>
    <w:p w14:paraId="421FB7E3">
      <w:pPr>
        <w:pStyle w:val="9"/>
        <w:spacing w:before="11"/>
        <w:ind w:left="0"/>
        <w:jc w:val="left"/>
        <w:rPr>
          <w:rFonts w:hint="eastAsia"/>
          <w:sz w:val="30"/>
          <w:szCs w:val="30"/>
        </w:rPr>
      </w:pPr>
      <w:r>
        <w:rPr>
          <w:rFonts w:hint="eastAsia"/>
          <w:sz w:val="30"/>
          <w:szCs w:val="30"/>
        </w:rPr>
        <w:t>6.海德堡要理问答（改革宗，公元1563年）</w:t>
      </w:r>
    </w:p>
    <w:p w14:paraId="2F4F62F7">
      <w:pPr>
        <w:pStyle w:val="9"/>
        <w:spacing w:before="11"/>
        <w:ind w:left="0"/>
        <w:jc w:val="left"/>
        <w:rPr>
          <w:rFonts w:hint="eastAsia"/>
          <w:sz w:val="30"/>
          <w:szCs w:val="30"/>
        </w:rPr>
      </w:pPr>
    </w:p>
    <w:p w14:paraId="3BE8D38E">
      <w:pPr>
        <w:pStyle w:val="9"/>
        <w:spacing w:before="11"/>
        <w:ind w:left="0"/>
        <w:jc w:val="left"/>
        <w:rPr>
          <w:rFonts w:hint="eastAsia"/>
          <w:sz w:val="30"/>
          <w:szCs w:val="30"/>
        </w:rPr>
      </w:pPr>
      <w:r>
        <w:rPr>
          <w:rFonts w:hint="eastAsia"/>
          <w:sz w:val="30"/>
          <w:szCs w:val="30"/>
        </w:rPr>
        <w:t>Question: What comfort is it to thee that (it is written in the apostles’ Creed), "Christ shall come again to judge the quick and the dead"?</w:t>
      </w:r>
    </w:p>
    <w:p w14:paraId="27CA767C">
      <w:pPr>
        <w:pStyle w:val="9"/>
        <w:spacing w:before="11"/>
        <w:ind w:left="0"/>
        <w:jc w:val="left"/>
        <w:rPr>
          <w:rFonts w:hint="eastAsia"/>
          <w:sz w:val="30"/>
          <w:szCs w:val="30"/>
        </w:rPr>
      </w:pPr>
      <w:r>
        <w:rPr>
          <w:rFonts w:hint="eastAsia"/>
          <w:sz w:val="30"/>
          <w:szCs w:val="30"/>
        </w:rPr>
        <w:t>问：基督将再来审判活人死人（写在使徒信经里），这对你有什么安慰呢？</w:t>
      </w:r>
    </w:p>
    <w:p w14:paraId="28537405">
      <w:pPr>
        <w:pStyle w:val="9"/>
        <w:spacing w:before="11"/>
        <w:ind w:left="0"/>
        <w:jc w:val="left"/>
        <w:rPr>
          <w:rFonts w:hint="eastAsia"/>
          <w:sz w:val="30"/>
          <w:szCs w:val="30"/>
        </w:rPr>
      </w:pPr>
    </w:p>
    <w:p w14:paraId="0EFB5D74">
      <w:pPr>
        <w:pStyle w:val="9"/>
        <w:spacing w:before="11"/>
        <w:ind w:left="0"/>
        <w:jc w:val="left"/>
        <w:rPr>
          <w:rFonts w:hint="eastAsia"/>
          <w:sz w:val="30"/>
          <w:szCs w:val="30"/>
        </w:rPr>
      </w:pPr>
      <w:r>
        <w:rPr>
          <w:rFonts w:hint="eastAsia"/>
          <w:sz w:val="30"/>
          <w:szCs w:val="30"/>
        </w:rPr>
        <w:t>Answer: That in all my sorrows and persecutions, with uplifted head I look for the very same Person, who before offered himself for my sake, to the tribunal of God, and has removed all curse from me, to come as Judge from heaven: who shall cast all his and my enemies into everlasting condemnation, but shall translate me with all his chosen ones to himself, into heavenly joys and glory.</w:t>
      </w:r>
    </w:p>
    <w:p w14:paraId="1AE9E293">
      <w:pPr>
        <w:pStyle w:val="9"/>
        <w:spacing w:before="11"/>
        <w:ind w:left="0"/>
        <w:jc w:val="left"/>
        <w:rPr>
          <w:rFonts w:hint="eastAsia"/>
          <w:sz w:val="30"/>
          <w:szCs w:val="30"/>
        </w:rPr>
      </w:pPr>
      <w:r>
        <w:rPr>
          <w:rFonts w:hint="eastAsia"/>
          <w:sz w:val="30"/>
          <w:szCs w:val="30"/>
        </w:rPr>
        <w:t>答：在我一切的忧愁和逼迫中，我挺身昂首，仰望那位从前为我将自己献上给神的审判台，并除去我一切咒诅的同一位，从天降临作审判主：祂要将祂的和我的所有仇敌都投入永远的定罪里，却要将我和祂所有的选民都迁到祂自己那里，进入天上的喜乐和荣耀中。</w:t>
      </w:r>
    </w:p>
    <w:p w14:paraId="45433E2E">
      <w:pPr>
        <w:pStyle w:val="9"/>
        <w:spacing w:before="11"/>
        <w:ind w:left="0"/>
        <w:jc w:val="left"/>
        <w:rPr>
          <w:rFonts w:hint="eastAsia"/>
          <w:sz w:val="30"/>
          <w:szCs w:val="30"/>
        </w:rPr>
      </w:pPr>
    </w:p>
    <w:p w14:paraId="6CD2D083">
      <w:pPr>
        <w:pStyle w:val="9"/>
        <w:spacing w:before="11"/>
        <w:ind w:left="0"/>
        <w:jc w:val="left"/>
        <w:rPr>
          <w:rFonts w:hint="eastAsia"/>
          <w:sz w:val="30"/>
          <w:szCs w:val="30"/>
        </w:rPr>
      </w:pPr>
      <w:r>
        <w:rPr>
          <w:rFonts w:hint="eastAsia"/>
          <w:sz w:val="30"/>
          <w:szCs w:val="30"/>
        </w:rPr>
        <w:t>7.The Thirty-Nine Articles (Church of England, AD 1563)</w:t>
      </w:r>
    </w:p>
    <w:p w14:paraId="12215716">
      <w:pPr>
        <w:pStyle w:val="9"/>
        <w:spacing w:before="11"/>
        <w:ind w:left="0"/>
        <w:jc w:val="left"/>
        <w:rPr>
          <w:rFonts w:hint="eastAsia"/>
          <w:sz w:val="30"/>
          <w:szCs w:val="30"/>
        </w:rPr>
      </w:pPr>
      <w:r>
        <w:rPr>
          <w:rFonts w:hint="eastAsia"/>
          <w:sz w:val="30"/>
          <w:szCs w:val="30"/>
        </w:rPr>
        <w:t>7.三十九条信纲（英格兰教会，公元1563年）</w:t>
      </w:r>
    </w:p>
    <w:p w14:paraId="4A1BADA9">
      <w:pPr>
        <w:pStyle w:val="9"/>
        <w:spacing w:before="11"/>
        <w:ind w:left="0"/>
        <w:jc w:val="left"/>
        <w:rPr>
          <w:rFonts w:hint="eastAsia"/>
          <w:sz w:val="30"/>
          <w:szCs w:val="30"/>
        </w:rPr>
      </w:pPr>
    </w:p>
    <w:p w14:paraId="7F79270D">
      <w:pPr>
        <w:pStyle w:val="9"/>
        <w:spacing w:before="11"/>
        <w:ind w:left="0"/>
        <w:jc w:val="left"/>
        <w:rPr>
          <w:rFonts w:hint="eastAsia"/>
          <w:sz w:val="30"/>
          <w:szCs w:val="30"/>
        </w:rPr>
      </w:pPr>
      <w:r>
        <w:rPr>
          <w:rFonts w:hint="eastAsia"/>
          <w:sz w:val="30"/>
          <w:szCs w:val="30"/>
        </w:rPr>
        <w:t>Christ ascended into Heaven, and there sitteth until he return to judge all Men at the last day.</w:t>
      </w:r>
    </w:p>
    <w:p w14:paraId="77B299A7">
      <w:pPr>
        <w:pStyle w:val="9"/>
        <w:spacing w:before="11"/>
        <w:ind w:left="0"/>
        <w:jc w:val="left"/>
        <w:rPr>
          <w:rFonts w:hint="eastAsia"/>
          <w:sz w:val="30"/>
          <w:szCs w:val="30"/>
        </w:rPr>
      </w:pPr>
      <w:r>
        <w:rPr>
          <w:rFonts w:hint="eastAsia"/>
          <w:sz w:val="30"/>
          <w:szCs w:val="30"/>
        </w:rPr>
        <w:t>基督升入高天，坐在那里，直到祂在末日再来审判所有的人。</w:t>
      </w:r>
    </w:p>
    <w:p w14:paraId="445EAEF1">
      <w:pPr>
        <w:pStyle w:val="9"/>
        <w:spacing w:before="11"/>
        <w:ind w:left="0"/>
        <w:jc w:val="left"/>
        <w:rPr>
          <w:rFonts w:hint="eastAsia"/>
          <w:sz w:val="30"/>
          <w:szCs w:val="30"/>
        </w:rPr>
      </w:pPr>
    </w:p>
    <w:p w14:paraId="678605F0">
      <w:pPr>
        <w:pStyle w:val="9"/>
        <w:spacing w:before="11"/>
        <w:ind w:left="0"/>
        <w:jc w:val="left"/>
        <w:rPr>
          <w:rFonts w:hint="eastAsia"/>
          <w:sz w:val="30"/>
          <w:szCs w:val="30"/>
        </w:rPr>
      </w:pPr>
      <w:r>
        <w:rPr>
          <w:rFonts w:hint="eastAsia"/>
          <w:sz w:val="30"/>
          <w:szCs w:val="30"/>
        </w:rPr>
        <w:t>8.Westminster Confession of Faith (Puritan-Reformed, 1647)</w:t>
      </w:r>
    </w:p>
    <w:p w14:paraId="46AFD23A">
      <w:pPr>
        <w:pStyle w:val="9"/>
        <w:spacing w:before="11"/>
        <w:ind w:left="0"/>
        <w:jc w:val="left"/>
        <w:rPr>
          <w:rFonts w:hint="eastAsia"/>
          <w:sz w:val="30"/>
          <w:szCs w:val="30"/>
        </w:rPr>
      </w:pPr>
      <w:r>
        <w:rPr>
          <w:rFonts w:hint="eastAsia"/>
          <w:sz w:val="30"/>
          <w:szCs w:val="30"/>
        </w:rPr>
        <w:t>8.威斯敏斯特信条（清教徒-改革宗，1647年）</w:t>
      </w:r>
    </w:p>
    <w:p w14:paraId="069447C5">
      <w:pPr>
        <w:pStyle w:val="9"/>
        <w:spacing w:before="11"/>
        <w:ind w:left="0"/>
        <w:jc w:val="left"/>
        <w:rPr>
          <w:rFonts w:hint="eastAsia"/>
          <w:sz w:val="30"/>
          <w:szCs w:val="30"/>
        </w:rPr>
      </w:pPr>
    </w:p>
    <w:p w14:paraId="36E22EF6">
      <w:pPr>
        <w:pStyle w:val="9"/>
        <w:spacing w:before="11"/>
        <w:ind w:left="0"/>
        <w:jc w:val="left"/>
        <w:rPr>
          <w:rFonts w:hint="eastAsia"/>
          <w:sz w:val="30"/>
          <w:szCs w:val="30"/>
        </w:rPr>
      </w:pPr>
      <w:r>
        <w:rPr>
          <w:rFonts w:hint="eastAsia"/>
          <w:sz w:val="30"/>
          <w:szCs w:val="30"/>
        </w:rPr>
        <w:t>London Baptist Confession (1689)</w:t>
      </w:r>
    </w:p>
    <w:p w14:paraId="719A7A1C">
      <w:pPr>
        <w:pStyle w:val="9"/>
        <w:spacing w:before="11"/>
        <w:ind w:left="0"/>
        <w:jc w:val="left"/>
        <w:rPr>
          <w:rFonts w:hint="eastAsia"/>
          <w:sz w:val="30"/>
          <w:szCs w:val="30"/>
        </w:rPr>
      </w:pPr>
      <w:r>
        <w:rPr>
          <w:rFonts w:hint="eastAsia"/>
          <w:sz w:val="30"/>
          <w:szCs w:val="30"/>
        </w:rPr>
        <w:t>伦敦浸信会信条（1689年）</w:t>
      </w:r>
    </w:p>
    <w:p w14:paraId="72CF1910">
      <w:pPr>
        <w:pStyle w:val="9"/>
        <w:spacing w:before="11"/>
        <w:ind w:left="0"/>
        <w:jc w:val="left"/>
        <w:rPr>
          <w:rFonts w:hint="eastAsia"/>
          <w:sz w:val="30"/>
          <w:szCs w:val="30"/>
        </w:rPr>
      </w:pPr>
    </w:p>
    <w:p w14:paraId="77C7A48B">
      <w:pPr>
        <w:pStyle w:val="9"/>
        <w:spacing w:before="11"/>
        <w:ind w:left="0"/>
        <w:jc w:val="left"/>
        <w:rPr>
          <w:rFonts w:hint="eastAsia"/>
          <w:sz w:val="30"/>
          <w:szCs w:val="30"/>
        </w:rPr>
      </w:pPr>
      <w:r>
        <w:rPr>
          <w:rFonts w:hint="eastAsia"/>
          <w:sz w:val="30"/>
          <w:szCs w:val="30"/>
        </w:rPr>
        <w:t>Chapter XXXIII Of the Last Judgment</w:t>
      </w:r>
    </w:p>
    <w:p w14:paraId="1E86E559">
      <w:pPr>
        <w:pStyle w:val="9"/>
        <w:spacing w:before="11"/>
        <w:ind w:left="0"/>
        <w:jc w:val="left"/>
        <w:rPr>
          <w:rFonts w:hint="eastAsia"/>
          <w:sz w:val="30"/>
          <w:szCs w:val="30"/>
        </w:rPr>
      </w:pPr>
      <w:r>
        <w:rPr>
          <w:rFonts w:hint="eastAsia"/>
          <w:sz w:val="30"/>
          <w:szCs w:val="30"/>
        </w:rPr>
        <w:t>第三十三章 最后的审判</w:t>
      </w:r>
    </w:p>
    <w:p w14:paraId="3955F061">
      <w:pPr>
        <w:pStyle w:val="9"/>
        <w:spacing w:before="11"/>
        <w:ind w:left="0"/>
        <w:jc w:val="left"/>
        <w:rPr>
          <w:rFonts w:hint="eastAsia"/>
          <w:sz w:val="30"/>
          <w:szCs w:val="30"/>
        </w:rPr>
      </w:pPr>
    </w:p>
    <w:p w14:paraId="4575F829">
      <w:pPr>
        <w:pStyle w:val="9"/>
        <w:spacing w:before="11"/>
        <w:ind w:left="0"/>
        <w:jc w:val="left"/>
        <w:rPr>
          <w:rFonts w:hint="eastAsia"/>
          <w:sz w:val="30"/>
          <w:szCs w:val="30"/>
        </w:rPr>
      </w:pPr>
      <w:r>
        <w:rPr>
          <w:rFonts w:hint="eastAsia"/>
          <w:sz w:val="30"/>
          <w:szCs w:val="30"/>
        </w:rPr>
        <w:t>I. God has appointed a day, wherein He will judge the world in righteousness by Jesus Christ, to whom all power and judgment is given of the Father.</w:t>
      </w:r>
    </w:p>
    <w:p w14:paraId="5823E29F">
      <w:pPr>
        <w:pStyle w:val="9"/>
        <w:spacing w:before="11"/>
        <w:ind w:left="0"/>
        <w:jc w:val="left"/>
        <w:rPr>
          <w:rFonts w:hint="eastAsia"/>
          <w:sz w:val="30"/>
          <w:szCs w:val="30"/>
        </w:rPr>
      </w:pPr>
      <w:r>
        <w:rPr>
          <w:rFonts w:hint="eastAsia"/>
          <w:sz w:val="30"/>
          <w:szCs w:val="30"/>
        </w:rPr>
        <w:t>I. 神已经定了日子，届时祂将藉着耶稣基督，按公义审判世界，父已将一切权柄和审判都赐给了祂。</w:t>
      </w:r>
    </w:p>
    <w:p w14:paraId="31EB3A9A">
      <w:pPr>
        <w:pStyle w:val="9"/>
        <w:spacing w:before="11"/>
        <w:ind w:left="0"/>
        <w:jc w:val="left"/>
        <w:rPr>
          <w:rFonts w:hint="eastAsia"/>
          <w:sz w:val="30"/>
          <w:szCs w:val="30"/>
        </w:rPr>
      </w:pPr>
    </w:p>
    <w:p w14:paraId="348FFD0F">
      <w:pPr>
        <w:pStyle w:val="9"/>
        <w:spacing w:before="11"/>
        <w:ind w:left="0"/>
        <w:jc w:val="left"/>
        <w:rPr>
          <w:rFonts w:hint="eastAsia"/>
          <w:sz w:val="30"/>
          <w:szCs w:val="30"/>
        </w:rPr>
      </w:pPr>
      <w:r>
        <w:rPr>
          <w:rFonts w:hint="eastAsia"/>
          <w:sz w:val="30"/>
          <w:szCs w:val="30"/>
        </w:rPr>
        <w:t>In which day, not only the apostate angels shall be judged, but likewise all persons that have lived upon earth shall appear before the tribunal of Christ, to give an account of their thoughts, words, and deeds; and to receive according to what they have done in the body, whether good or evil.</w:t>
      </w:r>
    </w:p>
    <w:p w14:paraId="793DAF07">
      <w:pPr>
        <w:pStyle w:val="9"/>
        <w:spacing w:before="11"/>
        <w:ind w:left="0"/>
        <w:jc w:val="left"/>
        <w:rPr>
          <w:rFonts w:hint="eastAsia"/>
          <w:sz w:val="30"/>
          <w:szCs w:val="30"/>
        </w:rPr>
      </w:pPr>
      <w:r>
        <w:rPr>
          <w:rFonts w:hint="eastAsia"/>
          <w:sz w:val="30"/>
          <w:szCs w:val="30"/>
        </w:rPr>
        <w:t>在那日，不仅是堕落的天使要受审判，同样，所有曾活在地上的人都将显现在基督的审判台前，为他们的思想、言语和行为交账；并要按他们在肉身所行的，或善或恶，接受报应。</w:t>
      </w:r>
    </w:p>
    <w:p w14:paraId="4CA507DE">
      <w:pPr>
        <w:pStyle w:val="9"/>
        <w:spacing w:before="11"/>
        <w:ind w:left="0"/>
        <w:jc w:val="left"/>
        <w:rPr>
          <w:rFonts w:hint="eastAsia"/>
          <w:sz w:val="30"/>
          <w:szCs w:val="30"/>
        </w:rPr>
      </w:pPr>
    </w:p>
    <w:p w14:paraId="0AE8CC73">
      <w:pPr>
        <w:pStyle w:val="9"/>
        <w:spacing w:before="11"/>
        <w:ind w:left="0"/>
        <w:jc w:val="left"/>
        <w:rPr>
          <w:rFonts w:hint="eastAsia"/>
          <w:sz w:val="30"/>
          <w:szCs w:val="30"/>
        </w:rPr>
      </w:pPr>
      <w:r>
        <w:rPr>
          <w:rFonts w:hint="eastAsia"/>
          <w:sz w:val="30"/>
          <w:szCs w:val="30"/>
        </w:rPr>
        <w:t>II.The end of God's appointing this day is for the manifestation of the glory of His mercy, in the eternal salvation of the elect; and of His justice, in the damnation of the reprobate, who are wicked and disobedient.</w:t>
      </w:r>
    </w:p>
    <w:p w14:paraId="3B730D06">
      <w:pPr>
        <w:pStyle w:val="9"/>
        <w:spacing w:before="11"/>
        <w:ind w:left="0"/>
        <w:jc w:val="left"/>
        <w:rPr>
          <w:rFonts w:hint="eastAsia"/>
          <w:sz w:val="30"/>
          <w:szCs w:val="30"/>
        </w:rPr>
      </w:pPr>
      <w:r>
        <w:rPr>
          <w:rFonts w:hint="eastAsia"/>
          <w:sz w:val="30"/>
          <w:szCs w:val="30"/>
        </w:rPr>
        <w:t>II. 神定这日子的目的，是为了彰显祂怜悯的荣耀，在于选民的永远得救；以及彰显祂公义的荣耀，在于被弃绝之人的定罪，他们是邪恶和不顺服的。</w:t>
      </w:r>
    </w:p>
    <w:p w14:paraId="71F077AC">
      <w:pPr>
        <w:pStyle w:val="9"/>
        <w:spacing w:before="11"/>
        <w:ind w:left="0"/>
        <w:jc w:val="left"/>
        <w:rPr>
          <w:rFonts w:hint="eastAsia"/>
          <w:sz w:val="30"/>
          <w:szCs w:val="30"/>
        </w:rPr>
      </w:pPr>
    </w:p>
    <w:p w14:paraId="724EA17A">
      <w:pPr>
        <w:pStyle w:val="9"/>
        <w:spacing w:before="11"/>
        <w:ind w:left="0"/>
        <w:jc w:val="left"/>
        <w:rPr>
          <w:rFonts w:hint="eastAsia"/>
          <w:sz w:val="30"/>
          <w:szCs w:val="30"/>
        </w:rPr>
      </w:pPr>
      <w:r>
        <w:rPr>
          <w:rFonts w:hint="eastAsia"/>
          <w:sz w:val="30"/>
          <w:szCs w:val="30"/>
        </w:rPr>
        <w:t>For then shall the righteous go into everlasting life, and receive that fullness of joy and refreshing, which shall come from the presence of the Lord; but the wicked who know not God, and obey not the Gospel of Jesus Christ, shall be cast into eternal torments, and be punished with everlasting destruction from the presence of the Lord, and from the glory of His power.</w:t>
      </w:r>
    </w:p>
    <w:p w14:paraId="21972E12">
      <w:pPr>
        <w:pStyle w:val="9"/>
        <w:spacing w:before="11"/>
        <w:ind w:left="0"/>
        <w:jc w:val="left"/>
        <w:rPr>
          <w:rFonts w:hint="eastAsia"/>
          <w:sz w:val="30"/>
          <w:szCs w:val="30"/>
        </w:rPr>
      </w:pPr>
      <w:r>
        <w:rPr>
          <w:rFonts w:hint="eastAsia"/>
          <w:sz w:val="30"/>
          <w:szCs w:val="30"/>
        </w:rPr>
        <w:t>因为那时义人要进入永生，并领受那从主面前而来的满足的喜乐和更新；但不认识神、不顺从耶稣基督福音的恶人，将被投入永远的痛苦中，并受永远的沉沦，离开主的面和祂权能的荣光。</w:t>
      </w:r>
    </w:p>
    <w:p w14:paraId="20985101">
      <w:pPr>
        <w:pStyle w:val="9"/>
        <w:spacing w:before="11"/>
        <w:ind w:left="0"/>
        <w:jc w:val="left"/>
        <w:rPr>
          <w:rFonts w:hint="eastAsia"/>
          <w:sz w:val="30"/>
          <w:szCs w:val="30"/>
        </w:rPr>
      </w:pPr>
    </w:p>
    <w:p w14:paraId="4EC40BA5">
      <w:pPr>
        <w:pStyle w:val="9"/>
        <w:spacing w:before="11"/>
        <w:ind w:left="0"/>
        <w:jc w:val="left"/>
        <w:rPr>
          <w:rFonts w:hint="eastAsia"/>
          <w:sz w:val="30"/>
          <w:szCs w:val="30"/>
        </w:rPr>
      </w:pPr>
      <w:r>
        <w:rPr>
          <w:rFonts w:hint="eastAsia"/>
          <w:sz w:val="30"/>
          <w:szCs w:val="30"/>
        </w:rPr>
        <w:t>III.As Christ would have us to be certainly persuaded that there shall be a day of judgment, both to deter all men from sin; and for the greater consolation of the godly in their adversity: so will He have that day unknown to men, that they may shake off all carnal security, and be always watchful, because they know not at what hour the Lord will come; and may be ever prepared to say, “Come Lord Jesus, come quickly, Amen.”</w:t>
      </w:r>
    </w:p>
    <w:p w14:paraId="55D4C009">
      <w:pPr>
        <w:pStyle w:val="9"/>
        <w:spacing w:before="11"/>
        <w:ind w:left="0"/>
        <w:jc w:val="left"/>
        <w:rPr>
          <w:rFonts w:hint="eastAsia"/>
          <w:sz w:val="30"/>
          <w:szCs w:val="30"/>
        </w:rPr>
      </w:pPr>
      <w:r>
        <w:rPr>
          <w:rFonts w:hint="eastAsia"/>
          <w:sz w:val="30"/>
          <w:szCs w:val="30"/>
        </w:rPr>
        <w:t>III. 基督既要我们确信必有审判的日子，为要威慑众人远离罪恶，并为要给敬虔者在逆境中更大的安慰，祂也愿意那日子不为人所知，好让他们可以摆脱一切属肉体的安全感，并常常警醒，因为他们不知道主何时来到；并可以随时预备好说：“主耶稣啊，我愿你来，阿们。”</w:t>
      </w:r>
    </w:p>
    <w:p w14:paraId="1664A4C2">
      <w:pPr>
        <w:pStyle w:val="9"/>
        <w:spacing w:before="11"/>
        <w:ind w:left="0"/>
        <w:jc w:val="left"/>
        <w:rPr>
          <w:rFonts w:hint="eastAsia"/>
          <w:sz w:val="30"/>
          <w:szCs w:val="30"/>
        </w:rPr>
      </w:pPr>
    </w:p>
    <w:p w14:paraId="75A1E220">
      <w:pPr>
        <w:pStyle w:val="9"/>
        <w:spacing w:before="11"/>
        <w:ind w:left="0"/>
        <w:jc w:val="left"/>
        <w:rPr>
          <w:rFonts w:hint="eastAsia"/>
          <w:sz w:val="30"/>
          <w:szCs w:val="30"/>
        </w:rPr>
      </w:pPr>
      <w:r>
        <w:rPr>
          <w:rFonts w:hint="eastAsia"/>
          <w:sz w:val="30"/>
          <w:szCs w:val="30"/>
        </w:rPr>
        <w:t>9.Methodist Articles of Religion (1784)</w:t>
      </w:r>
    </w:p>
    <w:p w14:paraId="6AFECB58">
      <w:pPr>
        <w:pStyle w:val="9"/>
        <w:spacing w:before="11"/>
        <w:ind w:left="0"/>
        <w:jc w:val="left"/>
        <w:rPr>
          <w:rFonts w:hint="eastAsia"/>
          <w:sz w:val="30"/>
          <w:szCs w:val="30"/>
        </w:rPr>
      </w:pPr>
      <w:r>
        <w:rPr>
          <w:rFonts w:hint="eastAsia"/>
          <w:sz w:val="30"/>
          <w:szCs w:val="30"/>
        </w:rPr>
        <w:t>9.卫理宗教会信纲（1784年）</w:t>
      </w:r>
    </w:p>
    <w:p w14:paraId="43625AF7">
      <w:pPr>
        <w:pStyle w:val="9"/>
        <w:spacing w:before="11"/>
        <w:ind w:left="0"/>
        <w:jc w:val="left"/>
        <w:rPr>
          <w:rFonts w:hint="eastAsia"/>
          <w:sz w:val="30"/>
          <w:szCs w:val="30"/>
        </w:rPr>
      </w:pPr>
    </w:p>
    <w:p w14:paraId="2630C4B5">
      <w:pPr>
        <w:pStyle w:val="9"/>
        <w:spacing w:before="11"/>
        <w:ind w:left="0"/>
        <w:jc w:val="left"/>
        <w:rPr>
          <w:rFonts w:hint="eastAsia"/>
          <w:sz w:val="30"/>
          <w:szCs w:val="30"/>
        </w:rPr>
      </w:pPr>
      <w:r>
        <w:rPr>
          <w:rFonts w:hint="eastAsia"/>
          <w:sz w:val="30"/>
          <w:szCs w:val="30"/>
        </w:rPr>
        <w:t>Article 3: Of the Resurrection of Christ</w:t>
      </w:r>
    </w:p>
    <w:p w14:paraId="06F0827C">
      <w:pPr>
        <w:pStyle w:val="9"/>
        <w:spacing w:before="11"/>
        <w:ind w:left="0"/>
        <w:jc w:val="left"/>
        <w:rPr>
          <w:rFonts w:hint="eastAsia"/>
          <w:sz w:val="30"/>
          <w:szCs w:val="30"/>
        </w:rPr>
      </w:pPr>
      <w:r>
        <w:rPr>
          <w:rFonts w:hint="eastAsia"/>
          <w:sz w:val="30"/>
          <w:szCs w:val="30"/>
        </w:rPr>
        <w:t>第三条：论基督的复活</w:t>
      </w:r>
    </w:p>
    <w:p w14:paraId="0A68E74E">
      <w:pPr>
        <w:pStyle w:val="9"/>
        <w:spacing w:before="11"/>
        <w:ind w:left="0"/>
        <w:jc w:val="left"/>
        <w:rPr>
          <w:rFonts w:hint="eastAsia"/>
          <w:sz w:val="30"/>
          <w:szCs w:val="30"/>
        </w:rPr>
      </w:pPr>
    </w:p>
    <w:p w14:paraId="75D23D48">
      <w:pPr>
        <w:pStyle w:val="9"/>
        <w:spacing w:before="11"/>
        <w:ind w:left="0"/>
        <w:jc w:val="left"/>
        <w:rPr>
          <w:rFonts w:hint="eastAsia"/>
          <w:sz w:val="30"/>
          <w:szCs w:val="30"/>
        </w:rPr>
      </w:pPr>
      <w:r>
        <w:rPr>
          <w:rFonts w:hint="eastAsia"/>
          <w:sz w:val="30"/>
          <w:szCs w:val="30"/>
        </w:rPr>
        <w:t>Christ did truly rise again from the dead, and took again his body, with all things appertaining to the perfection of man's nature, wherewith he ascended into heaven, and there sitteth until he return to judge all men at the Last Day.</w:t>
      </w:r>
    </w:p>
    <w:p w14:paraId="4C9D171C">
      <w:pPr>
        <w:pStyle w:val="9"/>
        <w:spacing w:before="11"/>
        <w:ind w:left="0"/>
        <w:jc w:val="left"/>
        <w:rPr>
          <w:rFonts w:hint="eastAsia"/>
          <w:sz w:val="30"/>
          <w:szCs w:val="30"/>
        </w:rPr>
      </w:pPr>
      <w:r>
        <w:rPr>
          <w:rFonts w:hint="eastAsia"/>
          <w:sz w:val="30"/>
          <w:szCs w:val="30"/>
        </w:rPr>
        <w:t>基督确实从死里复活了，并取回了祂的身体，以及所有与人性的完全相关的事物，祂带着这些升入高天，坐在那里，直到祂在末日再来审判所有的人。</w:t>
      </w:r>
    </w:p>
    <w:p w14:paraId="7A877F25">
      <w:pPr>
        <w:pStyle w:val="9"/>
        <w:spacing w:before="11"/>
        <w:ind w:left="0"/>
        <w:jc w:val="left"/>
        <w:rPr>
          <w:rFonts w:hint="eastAsia"/>
          <w:sz w:val="30"/>
          <w:szCs w:val="30"/>
        </w:rPr>
      </w:pPr>
    </w:p>
    <w:p w14:paraId="5412ECF4">
      <w:pPr>
        <w:pStyle w:val="9"/>
        <w:spacing w:before="11"/>
        <w:ind w:left="0"/>
        <w:jc w:val="left"/>
        <w:rPr>
          <w:rFonts w:hint="eastAsia"/>
          <w:sz w:val="30"/>
          <w:szCs w:val="30"/>
        </w:rPr>
      </w:pPr>
      <w:r>
        <w:rPr>
          <w:rFonts w:hint="eastAsia"/>
          <w:sz w:val="30"/>
          <w:szCs w:val="30"/>
        </w:rPr>
        <w:t>10.New Hampshire Baptist Confession (AD 1833)</w:t>
      </w:r>
    </w:p>
    <w:p w14:paraId="307C8233">
      <w:pPr>
        <w:pStyle w:val="9"/>
        <w:spacing w:before="11"/>
        <w:ind w:left="0"/>
        <w:jc w:val="left"/>
        <w:rPr>
          <w:rFonts w:hint="eastAsia"/>
          <w:sz w:val="30"/>
          <w:szCs w:val="30"/>
        </w:rPr>
      </w:pPr>
      <w:r>
        <w:rPr>
          <w:rFonts w:hint="eastAsia"/>
          <w:sz w:val="30"/>
          <w:szCs w:val="30"/>
        </w:rPr>
        <w:t>10.新罕布什尔浸信会信条（公元1833年）</w:t>
      </w:r>
    </w:p>
    <w:p w14:paraId="066D6571">
      <w:pPr>
        <w:pStyle w:val="9"/>
        <w:spacing w:before="11"/>
        <w:ind w:left="0"/>
        <w:jc w:val="left"/>
        <w:rPr>
          <w:rFonts w:hint="eastAsia"/>
          <w:sz w:val="30"/>
          <w:szCs w:val="30"/>
        </w:rPr>
      </w:pPr>
    </w:p>
    <w:p w14:paraId="2FFFCF4B">
      <w:pPr>
        <w:pStyle w:val="9"/>
        <w:spacing w:before="11"/>
        <w:ind w:left="0"/>
        <w:jc w:val="left"/>
        <w:rPr>
          <w:rFonts w:hint="eastAsia"/>
          <w:sz w:val="30"/>
          <w:szCs w:val="30"/>
        </w:rPr>
      </w:pPr>
      <w:r>
        <w:rPr>
          <w:rFonts w:hint="eastAsia"/>
          <w:sz w:val="30"/>
          <w:szCs w:val="30"/>
        </w:rPr>
        <w:t>We believe that the end of strolled is approaching; that at the Last Day Christ will descend from heaven and raise the dead from the grave to final (reward and) retribution; that a solemn separation will then take place; that the wicked will be adjudged to endless punishment, and the righteous to endless joy; and that this judgment will fix forever the final state of men in heaven or hell, on principles of righteousness.</w:t>
      </w:r>
    </w:p>
    <w:p w14:paraId="5ADD11F2">
      <w:pPr>
        <w:pStyle w:val="9"/>
        <w:spacing w:before="11"/>
        <w:ind w:left="0"/>
        <w:jc w:val="left"/>
        <w:rPr>
          <w:rFonts w:hint="eastAsia"/>
          <w:sz w:val="30"/>
          <w:szCs w:val="30"/>
        </w:rPr>
      </w:pPr>
      <w:r>
        <w:rPr>
          <w:rFonts w:hint="eastAsia"/>
          <w:sz w:val="30"/>
          <w:szCs w:val="30"/>
        </w:rPr>
        <w:t>我们相信世界的末了正在临近；在末日，基督将从天降临，使死人从坟墓里复活，接受最终的（奖赏和）报应；届时将有一次庄严的分别；恶人将被判定受无尽的刑罚，义人则得无尽的喜乐；这次审判将根据公义的原则，永远地决定人在天堂或地狱的最终状态。</w:t>
      </w:r>
    </w:p>
    <w:p w14:paraId="6AD30185">
      <w:pPr>
        <w:pStyle w:val="9"/>
        <w:spacing w:before="11"/>
        <w:ind w:left="0"/>
        <w:jc w:val="left"/>
        <w:rPr>
          <w:rFonts w:hint="eastAsia"/>
          <w:sz w:val="30"/>
          <w:szCs w:val="30"/>
        </w:rPr>
      </w:pPr>
    </w:p>
    <w:p w14:paraId="460607EF">
      <w:pPr>
        <w:pStyle w:val="9"/>
        <w:spacing w:before="11"/>
        <w:ind w:left="0"/>
        <w:jc w:val="left"/>
        <w:rPr>
          <w:rFonts w:hint="eastAsia"/>
          <w:sz w:val="30"/>
          <w:szCs w:val="30"/>
        </w:rPr>
      </w:pPr>
      <w:r>
        <w:rPr>
          <w:rFonts w:hint="eastAsia"/>
          <w:sz w:val="30"/>
          <w:szCs w:val="30"/>
        </w:rPr>
        <w:t>11.Baptist Faith and Message (Southern Baptist, AD 1963)</w:t>
      </w:r>
    </w:p>
    <w:p w14:paraId="34FB9F82">
      <w:pPr>
        <w:pStyle w:val="9"/>
        <w:spacing w:before="11"/>
        <w:ind w:left="0"/>
        <w:jc w:val="left"/>
        <w:rPr>
          <w:rFonts w:hint="eastAsia"/>
          <w:sz w:val="30"/>
          <w:szCs w:val="30"/>
        </w:rPr>
      </w:pPr>
      <w:r>
        <w:rPr>
          <w:rFonts w:hint="eastAsia"/>
          <w:sz w:val="30"/>
          <w:szCs w:val="30"/>
        </w:rPr>
        <w:t>11.浸信会信仰与信息（美南浸信会，公元1963年）</w:t>
      </w:r>
    </w:p>
    <w:p w14:paraId="4573C169">
      <w:pPr>
        <w:pStyle w:val="9"/>
        <w:spacing w:before="11"/>
        <w:ind w:left="0"/>
        <w:jc w:val="left"/>
        <w:rPr>
          <w:rFonts w:hint="eastAsia"/>
          <w:sz w:val="30"/>
          <w:szCs w:val="30"/>
        </w:rPr>
      </w:pPr>
    </w:p>
    <w:p w14:paraId="00141CEF">
      <w:pPr>
        <w:pStyle w:val="9"/>
        <w:spacing w:before="11"/>
        <w:ind w:left="0"/>
        <w:jc w:val="left"/>
        <w:rPr>
          <w:rFonts w:hint="eastAsia"/>
          <w:sz w:val="30"/>
          <w:szCs w:val="30"/>
        </w:rPr>
      </w:pPr>
      <w:r>
        <w:rPr>
          <w:rFonts w:hint="eastAsia"/>
          <w:sz w:val="30"/>
          <w:szCs w:val="30"/>
        </w:rPr>
        <w:t>God, in His own time and His own way, will bring the world to its appropriate end.</w:t>
      </w:r>
    </w:p>
    <w:p w14:paraId="00CB5D0F">
      <w:pPr>
        <w:pStyle w:val="9"/>
        <w:spacing w:before="11"/>
        <w:ind w:left="0"/>
        <w:jc w:val="left"/>
        <w:rPr>
          <w:rFonts w:hint="eastAsia"/>
          <w:sz w:val="30"/>
          <w:szCs w:val="30"/>
        </w:rPr>
      </w:pPr>
      <w:r>
        <w:rPr>
          <w:rFonts w:hint="eastAsia"/>
          <w:sz w:val="30"/>
          <w:szCs w:val="30"/>
        </w:rPr>
        <w:t>神，在祂自己的时间和用祂自己的方式，将使世界达到其适当的结局。</w:t>
      </w:r>
    </w:p>
    <w:p w14:paraId="02F86EE1">
      <w:pPr>
        <w:pStyle w:val="9"/>
        <w:spacing w:before="11"/>
        <w:ind w:left="0"/>
        <w:jc w:val="left"/>
        <w:rPr>
          <w:rFonts w:hint="eastAsia"/>
          <w:sz w:val="30"/>
          <w:szCs w:val="30"/>
        </w:rPr>
      </w:pPr>
    </w:p>
    <w:p w14:paraId="39E302FA">
      <w:pPr>
        <w:pStyle w:val="9"/>
        <w:spacing w:before="11"/>
        <w:ind w:left="0"/>
        <w:jc w:val="left"/>
        <w:rPr>
          <w:rFonts w:hint="eastAsia"/>
          <w:sz w:val="30"/>
          <w:szCs w:val="30"/>
        </w:rPr>
      </w:pPr>
      <w:r>
        <w:rPr>
          <w:rFonts w:hint="eastAsia"/>
          <w:sz w:val="30"/>
          <w:szCs w:val="30"/>
        </w:rPr>
        <w:t>According to His promise, Jesus Christ will return personally and visibly in glory to the earth; the dead will be raised, and Christ will judge all men in righteousness.</w:t>
      </w:r>
    </w:p>
    <w:p w14:paraId="1F29579D">
      <w:pPr>
        <w:pStyle w:val="9"/>
        <w:spacing w:before="11"/>
        <w:ind w:left="0"/>
        <w:jc w:val="left"/>
        <w:rPr>
          <w:rFonts w:hint="eastAsia"/>
          <w:sz w:val="30"/>
          <w:szCs w:val="30"/>
        </w:rPr>
      </w:pPr>
      <w:r>
        <w:rPr>
          <w:rFonts w:hint="eastAsia"/>
          <w:sz w:val="30"/>
          <w:szCs w:val="30"/>
        </w:rPr>
        <w:t>根据祂的应许，耶稣基督将亲自地、可见地、在荣耀中再临地上；死人将被复活，基督将按公义审判所有的人。</w:t>
      </w:r>
    </w:p>
    <w:p w14:paraId="6553B9BA">
      <w:pPr>
        <w:pStyle w:val="9"/>
        <w:spacing w:before="11"/>
        <w:ind w:left="0"/>
        <w:jc w:val="left"/>
        <w:rPr>
          <w:rFonts w:hint="eastAsia"/>
          <w:sz w:val="30"/>
          <w:szCs w:val="30"/>
        </w:rPr>
      </w:pPr>
    </w:p>
    <w:p w14:paraId="33223E05">
      <w:pPr>
        <w:pStyle w:val="9"/>
        <w:spacing w:before="11"/>
        <w:ind w:left="0"/>
        <w:jc w:val="left"/>
        <w:rPr>
          <w:rFonts w:hint="eastAsia"/>
          <w:sz w:val="30"/>
          <w:szCs w:val="30"/>
        </w:rPr>
      </w:pPr>
      <w:r>
        <w:rPr>
          <w:rFonts w:hint="eastAsia"/>
          <w:sz w:val="30"/>
          <w:szCs w:val="30"/>
        </w:rPr>
        <w:t>The unrighteous will be consigned to hell, the place of everlasting punishment.</w:t>
      </w:r>
    </w:p>
    <w:p w14:paraId="332F33F2">
      <w:pPr>
        <w:pStyle w:val="9"/>
        <w:spacing w:before="11"/>
        <w:ind w:left="0"/>
        <w:jc w:val="left"/>
        <w:rPr>
          <w:rFonts w:hint="eastAsia"/>
          <w:sz w:val="30"/>
          <w:szCs w:val="30"/>
        </w:rPr>
      </w:pPr>
      <w:r>
        <w:rPr>
          <w:rFonts w:hint="eastAsia"/>
          <w:sz w:val="30"/>
          <w:szCs w:val="30"/>
        </w:rPr>
        <w:t>不义的将被送入地狱，即永远刑罚的地方。</w:t>
      </w:r>
    </w:p>
    <w:p w14:paraId="1F29561A">
      <w:pPr>
        <w:pStyle w:val="9"/>
        <w:spacing w:before="11"/>
        <w:ind w:left="0"/>
        <w:jc w:val="left"/>
        <w:rPr>
          <w:rFonts w:hint="eastAsia"/>
          <w:sz w:val="30"/>
          <w:szCs w:val="30"/>
        </w:rPr>
      </w:pPr>
    </w:p>
    <w:p w14:paraId="10C1E243">
      <w:pPr>
        <w:pStyle w:val="9"/>
        <w:spacing w:before="11"/>
        <w:ind w:left="0"/>
        <w:jc w:val="left"/>
        <w:rPr>
          <w:rFonts w:hint="eastAsia"/>
          <w:sz w:val="30"/>
          <w:szCs w:val="30"/>
        </w:rPr>
      </w:pPr>
      <w:r>
        <w:rPr>
          <w:rFonts w:hint="eastAsia"/>
          <w:sz w:val="30"/>
          <w:szCs w:val="30"/>
        </w:rPr>
        <w:t>The righteous in their resurrected and glorified bodies will receive their reward and will dwell forever in heaven with the Lord.</w:t>
      </w:r>
    </w:p>
    <w:p w14:paraId="02BEF3C6">
      <w:pPr>
        <w:pStyle w:val="9"/>
        <w:spacing w:before="11"/>
        <w:ind w:left="0"/>
        <w:jc w:val="left"/>
        <w:rPr>
          <w:rFonts w:hint="eastAsia"/>
          <w:sz w:val="30"/>
          <w:szCs w:val="30"/>
        </w:rPr>
      </w:pPr>
      <w:r>
        <w:rPr>
          <w:rFonts w:hint="eastAsia"/>
          <w:sz w:val="30"/>
          <w:szCs w:val="30"/>
        </w:rPr>
        <w:t>义人在他们复活和得荣耀的身体里，将得到他们的奖赏，并与主永远同住在天上。</w:t>
      </w:r>
    </w:p>
    <w:p w14:paraId="35EEFE86">
      <w:pPr>
        <w:pStyle w:val="9"/>
        <w:spacing w:before="11"/>
        <w:ind w:left="0"/>
        <w:jc w:val="left"/>
        <w:rPr>
          <w:rFonts w:hint="eastAsia"/>
          <w:sz w:val="30"/>
          <w:szCs w:val="30"/>
        </w:rPr>
      </w:pPr>
    </w:p>
    <w:p w14:paraId="7D7BEF4D">
      <w:pPr>
        <w:pStyle w:val="9"/>
        <w:spacing w:before="11"/>
        <w:ind w:left="0"/>
        <w:jc w:val="left"/>
        <w:rPr>
          <w:rFonts w:hint="eastAsia"/>
          <w:sz w:val="30"/>
          <w:szCs w:val="30"/>
        </w:rPr>
      </w:pPr>
      <w:r>
        <w:rPr>
          <w:rFonts w:hint="eastAsia"/>
          <w:sz w:val="30"/>
          <w:szCs w:val="30"/>
        </w:rPr>
        <w:t>12.National Association of Evangelicals</w:t>
      </w:r>
    </w:p>
    <w:p w14:paraId="14BC0241">
      <w:pPr>
        <w:pStyle w:val="9"/>
        <w:spacing w:before="11"/>
        <w:ind w:left="0"/>
        <w:jc w:val="left"/>
        <w:rPr>
          <w:rFonts w:hint="eastAsia"/>
          <w:sz w:val="30"/>
          <w:szCs w:val="30"/>
        </w:rPr>
      </w:pPr>
      <w:r>
        <w:rPr>
          <w:rFonts w:hint="eastAsia"/>
          <w:sz w:val="30"/>
          <w:szCs w:val="30"/>
        </w:rPr>
        <w:t>12.全美福音派协会</w:t>
      </w:r>
    </w:p>
    <w:p w14:paraId="7BE36EBF">
      <w:pPr>
        <w:pStyle w:val="9"/>
        <w:spacing w:before="11"/>
        <w:ind w:left="0"/>
        <w:jc w:val="left"/>
        <w:rPr>
          <w:rFonts w:hint="eastAsia"/>
          <w:sz w:val="30"/>
          <w:szCs w:val="30"/>
        </w:rPr>
      </w:pPr>
    </w:p>
    <w:p w14:paraId="31899A55">
      <w:pPr>
        <w:pStyle w:val="9"/>
        <w:spacing w:before="11"/>
        <w:ind w:left="0"/>
        <w:jc w:val="left"/>
        <w:rPr>
          <w:rFonts w:hint="eastAsia"/>
          <w:sz w:val="30"/>
          <w:szCs w:val="30"/>
        </w:rPr>
      </w:pPr>
      <w:r>
        <w:rPr>
          <w:rFonts w:hint="eastAsia"/>
          <w:sz w:val="30"/>
          <w:szCs w:val="30"/>
        </w:rPr>
        <w:t>We believe in the resurrection of both the saved and the lost; they that are saved unto the resurrection of life and they that are lost unto the resurrection of damnation.</w:t>
      </w:r>
    </w:p>
    <w:p w14:paraId="094B232E">
      <w:pPr>
        <w:pStyle w:val="9"/>
        <w:spacing w:before="11"/>
        <w:ind w:left="0"/>
        <w:jc w:val="left"/>
        <w:rPr>
          <w:rFonts w:hint="eastAsia"/>
          <w:sz w:val="30"/>
          <w:szCs w:val="30"/>
        </w:rPr>
      </w:pPr>
      <w:r>
        <w:rPr>
          <w:rFonts w:hint="eastAsia"/>
          <w:sz w:val="30"/>
          <w:szCs w:val="30"/>
        </w:rPr>
        <w:t>我们相信得救的和失丧的都要复活；得救的复活得生，失丧的复活定罪。</w:t>
      </w:r>
    </w:p>
    <w:p w14:paraId="0922E3E8">
      <w:pPr>
        <w:pStyle w:val="9"/>
        <w:spacing w:before="11"/>
        <w:ind w:left="0"/>
        <w:jc w:val="left"/>
        <w:rPr>
          <w:rFonts w:hint="eastAsia"/>
          <w:sz w:val="30"/>
          <w:szCs w:val="30"/>
        </w:rPr>
      </w:pPr>
    </w:p>
    <w:p w14:paraId="64F5949C">
      <w:pPr>
        <w:pStyle w:val="9"/>
        <w:spacing w:before="11"/>
        <w:ind w:left="0"/>
        <w:jc w:val="left"/>
        <w:rPr>
          <w:rFonts w:hint="eastAsia"/>
          <w:sz w:val="30"/>
          <w:szCs w:val="30"/>
        </w:rPr>
      </w:pPr>
      <w:r>
        <w:rPr>
          <w:rFonts w:hint="eastAsia"/>
          <w:sz w:val="30"/>
          <w:szCs w:val="30"/>
        </w:rPr>
        <w:t>Endnotes</w:t>
      </w:r>
    </w:p>
    <w:p w14:paraId="10E3B12F">
      <w:pPr>
        <w:pStyle w:val="9"/>
        <w:spacing w:before="11"/>
        <w:ind w:left="0"/>
        <w:jc w:val="left"/>
        <w:rPr>
          <w:rFonts w:hint="eastAsia"/>
          <w:sz w:val="30"/>
          <w:szCs w:val="30"/>
        </w:rPr>
      </w:pPr>
      <w:r>
        <w:rPr>
          <w:rFonts w:hint="eastAsia"/>
          <w:sz w:val="30"/>
          <w:szCs w:val="30"/>
        </w:rPr>
        <w:t>尾注</w:t>
      </w:r>
    </w:p>
    <w:p w14:paraId="0244B412">
      <w:pPr>
        <w:pStyle w:val="9"/>
        <w:spacing w:before="11"/>
        <w:ind w:left="0"/>
        <w:jc w:val="left"/>
        <w:rPr>
          <w:rFonts w:hint="eastAsia"/>
          <w:sz w:val="30"/>
          <w:szCs w:val="30"/>
        </w:rPr>
      </w:pPr>
    </w:p>
    <w:p w14:paraId="627D80C4">
      <w:pPr>
        <w:pStyle w:val="9"/>
        <w:spacing w:before="11"/>
        <w:ind w:left="0"/>
        <w:jc w:val="left"/>
        <w:rPr>
          <w:rFonts w:hint="eastAsia"/>
          <w:sz w:val="30"/>
          <w:szCs w:val="30"/>
        </w:rPr>
      </w:pPr>
      <w:r>
        <w:rPr>
          <w:rFonts w:hint="eastAsia"/>
          <w:sz w:val="30"/>
          <w:szCs w:val="30"/>
        </w:rPr>
        <w:t>Chapter 1: What is Biblical Eschatology?</w:t>
      </w:r>
    </w:p>
    <w:p w14:paraId="4C465FB8">
      <w:pPr>
        <w:pStyle w:val="9"/>
        <w:spacing w:before="11"/>
        <w:ind w:left="0"/>
        <w:jc w:val="left"/>
        <w:rPr>
          <w:rFonts w:hint="eastAsia"/>
          <w:sz w:val="30"/>
          <w:szCs w:val="30"/>
        </w:rPr>
      </w:pPr>
      <w:r>
        <w:rPr>
          <w:rFonts w:hint="eastAsia"/>
          <w:sz w:val="30"/>
          <w:szCs w:val="30"/>
        </w:rPr>
        <w:t>第1章：什么是圣经末世论？</w:t>
      </w:r>
    </w:p>
    <w:p w14:paraId="222F210B">
      <w:pPr>
        <w:pStyle w:val="9"/>
        <w:spacing w:before="11"/>
        <w:ind w:left="0"/>
        <w:jc w:val="left"/>
        <w:rPr>
          <w:rFonts w:hint="eastAsia"/>
          <w:sz w:val="30"/>
          <w:szCs w:val="30"/>
        </w:rPr>
      </w:pPr>
    </w:p>
    <w:p w14:paraId="4A24E1AA">
      <w:pPr>
        <w:pStyle w:val="9"/>
        <w:spacing w:before="11"/>
        <w:ind w:left="0"/>
        <w:jc w:val="left"/>
        <w:rPr>
          <w:rFonts w:hint="eastAsia"/>
          <w:sz w:val="30"/>
          <w:szCs w:val="30"/>
        </w:rPr>
      </w:pPr>
      <w:r>
        <w:rPr>
          <w:rFonts w:hint="eastAsia"/>
          <w:sz w:val="30"/>
          <w:szCs w:val="30"/>
        </w:rPr>
        <w:t>1. For a discussion of naturalistic and pantheistic eschatologies, see Dean Davis, In Search of the Beginning (Pleasant Word, 2010), chapters 2-4.</w:t>
      </w:r>
    </w:p>
    <w:p w14:paraId="20F6DD2E">
      <w:pPr>
        <w:pStyle w:val="9"/>
        <w:spacing w:before="11"/>
        <w:ind w:left="0"/>
        <w:jc w:val="left"/>
        <w:rPr>
          <w:rFonts w:hint="eastAsia"/>
          <w:sz w:val="30"/>
          <w:szCs w:val="30"/>
        </w:rPr>
      </w:pPr>
      <w:r>
        <w:rPr>
          <w:rFonts w:hint="eastAsia"/>
          <w:sz w:val="30"/>
          <w:szCs w:val="30"/>
        </w:rPr>
        <w:t>1. 关于自然主义和泛神论末世论的讨论，见迪恩·戴维斯，《寻找开端》（Pleasant Word, 2010），第2-4章。</w:t>
      </w:r>
    </w:p>
    <w:p w14:paraId="10837864">
      <w:pPr>
        <w:pStyle w:val="9"/>
        <w:spacing w:before="11"/>
        <w:ind w:left="0"/>
        <w:jc w:val="left"/>
        <w:rPr>
          <w:rFonts w:hint="eastAsia"/>
          <w:sz w:val="30"/>
          <w:szCs w:val="30"/>
        </w:rPr>
      </w:pPr>
    </w:p>
    <w:p w14:paraId="269AC217">
      <w:pPr>
        <w:pStyle w:val="9"/>
        <w:spacing w:before="11"/>
        <w:ind w:left="0"/>
        <w:jc w:val="left"/>
        <w:rPr>
          <w:rFonts w:hint="eastAsia"/>
          <w:sz w:val="30"/>
          <w:szCs w:val="30"/>
        </w:rPr>
      </w:pPr>
      <w:r>
        <w:rPr>
          <w:rFonts w:hint="eastAsia"/>
          <w:sz w:val="30"/>
          <w:szCs w:val="30"/>
        </w:rPr>
        <w:t>2. For a more detailed discussion of personal eschatology, see Anthony Hoekema, The Bible and the Future (Eerdmans, 1979), chapters 7-9. Also, see Dean Davis, The Test: A Seeker’s Journey to the Meaning of Life (Pleasant Word, 2010), chapter 15.</w:t>
      </w:r>
    </w:p>
    <w:p w14:paraId="726EC1BE">
      <w:pPr>
        <w:pStyle w:val="9"/>
        <w:spacing w:before="11"/>
        <w:ind w:left="0"/>
        <w:jc w:val="left"/>
        <w:rPr>
          <w:rFonts w:hint="eastAsia"/>
          <w:sz w:val="30"/>
          <w:szCs w:val="30"/>
        </w:rPr>
      </w:pPr>
      <w:r>
        <w:rPr>
          <w:rFonts w:hint="eastAsia"/>
          <w:sz w:val="30"/>
          <w:szCs w:val="30"/>
        </w:rPr>
        <w:t>2. 关于个人末世论更详细的讨论，见安东尼·胡克玛，《圣经与未来》（Eerdmans, 1979），第7-9章。另见迪恩·戴维斯，《考验：一位寻求者对生命意义的旅程》（Pleasant Word, 2010），第15章。</w:t>
      </w:r>
    </w:p>
    <w:p w14:paraId="58C2192B">
      <w:pPr>
        <w:pStyle w:val="9"/>
        <w:spacing w:before="11"/>
        <w:ind w:left="0"/>
        <w:jc w:val="left"/>
        <w:rPr>
          <w:rFonts w:hint="eastAsia"/>
          <w:sz w:val="30"/>
          <w:szCs w:val="30"/>
        </w:rPr>
      </w:pPr>
    </w:p>
    <w:p w14:paraId="13D58555">
      <w:pPr>
        <w:pStyle w:val="9"/>
        <w:spacing w:before="11"/>
        <w:ind w:left="0"/>
        <w:jc w:val="left"/>
        <w:rPr>
          <w:rFonts w:hint="eastAsia"/>
          <w:sz w:val="30"/>
          <w:szCs w:val="30"/>
        </w:rPr>
      </w:pPr>
      <w:r>
        <w:rPr>
          <w:rFonts w:hint="eastAsia"/>
          <w:sz w:val="30"/>
          <w:szCs w:val="30"/>
        </w:rPr>
        <w:t>Chapter 2: Issues in Biblical Eschatology</w:t>
      </w:r>
    </w:p>
    <w:p w14:paraId="7F22219E">
      <w:pPr>
        <w:pStyle w:val="9"/>
        <w:spacing w:before="11"/>
        <w:ind w:left="0"/>
        <w:jc w:val="left"/>
        <w:rPr>
          <w:rFonts w:hint="eastAsia"/>
          <w:sz w:val="30"/>
          <w:szCs w:val="30"/>
        </w:rPr>
      </w:pPr>
      <w:r>
        <w:rPr>
          <w:rFonts w:hint="eastAsia"/>
          <w:sz w:val="30"/>
          <w:szCs w:val="30"/>
        </w:rPr>
        <w:t>第2章：圣经末世论中的议题</w:t>
      </w:r>
    </w:p>
    <w:p w14:paraId="660C76FD">
      <w:pPr>
        <w:pStyle w:val="9"/>
        <w:spacing w:before="11"/>
        <w:ind w:left="0"/>
        <w:jc w:val="left"/>
        <w:rPr>
          <w:rFonts w:hint="eastAsia"/>
          <w:sz w:val="30"/>
          <w:szCs w:val="30"/>
        </w:rPr>
      </w:pPr>
    </w:p>
    <w:p w14:paraId="0BCE8119">
      <w:pPr>
        <w:pStyle w:val="9"/>
        <w:spacing w:before="11"/>
        <w:ind w:left="0"/>
        <w:jc w:val="left"/>
        <w:rPr>
          <w:rFonts w:hint="eastAsia"/>
          <w:sz w:val="30"/>
          <w:szCs w:val="30"/>
        </w:rPr>
      </w:pPr>
      <w:r>
        <w:rPr>
          <w:rFonts w:hint="eastAsia"/>
          <w:sz w:val="30"/>
          <w:szCs w:val="30"/>
        </w:rPr>
        <w:t>1.For a sampling of the eschatology of the traditional creeds, see Appendix 10.</w:t>
      </w:r>
    </w:p>
    <w:p w14:paraId="0D4079E0">
      <w:pPr>
        <w:pStyle w:val="9"/>
        <w:spacing w:before="11"/>
        <w:ind w:left="0"/>
        <w:jc w:val="left"/>
        <w:rPr>
          <w:rFonts w:hint="eastAsia"/>
          <w:sz w:val="30"/>
          <w:szCs w:val="30"/>
        </w:rPr>
      </w:pPr>
      <w:r>
        <w:rPr>
          <w:rFonts w:hint="eastAsia"/>
          <w:sz w:val="30"/>
          <w:szCs w:val="30"/>
        </w:rPr>
        <w:t>1.关于传统信条中末世论的范例，见附录10。</w:t>
      </w:r>
    </w:p>
    <w:p w14:paraId="6611872C">
      <w:pPr>
        <w:pStyle w:val="9"/>
        <w:spacing w:before="11"/>
        <w:ind w:left="0"/>
        <w:jc w:val="left"/>
        <w:rPr>
          <w:rFonts w:hint="eastAsia"/>
          <w:sz w:val="30"/>
          <w:szCs w:val="30"/>
        </w:rPr>
      </w:pPr>
    </w:p>
    <w:p w14:paraId="159BA09B">
      <w:pPr>
        <w:pStyle w:val="9"/>
        <w:spacing w:before="11"/>
        <w:ind w:left="0"/>
        <w:jc w:val="left"/>
        <w:rPr>
          <w:rFonts w:hint="eastAsia"/>
          <w:sz w:val="30"/>
          <w:szCs w:val="30"/>
        </w:rPr>
      </w:pPr>
      <w:r>
        <w:rPr>
          <w:rFonts w:hint="eastAsia"/>
          <w:sz w:val="30"/>
          <w:szCs w:val="30"/>
        </w:rPr>
        <w:t>Chapter 3: Options in Biblical Eschatology</w:t>
      </w:r>
    </w:p>
    <w:p w14:paraId="5CBD1690">
      <w:pPr>
        <w:pStyle w:val="9"/>
        <w:spacing w:before="11"/>
        <w:ind w:left="0"/>
        <w:jc w:val="left"/>
        <w:rPr>
          <w:rFonts w:hint="eastAsia"/>
          <w:sz w:val="30"/>
          <w:szCs w:val="30"/>
        </w:rPr>
      </w:pPr>
      <w:r>
        <w:rPr>
          <w:rFonts w:hint="eastAsia"/>
          <w:sz w:val="30"/>
          <w:szCs w:val="30"/>
        </w:rPr>
        <w:t>第3章：圣经末世论中的选项</w:t>
      </w:r>
    </w:p>
    <w:p w14:paraId="77CEB05B">
      <w:pPr>
        <w:pStyle w:val="9"/>
        <w:spacing w:before="11"/>
        <w:ind w:left="0"/>
        <w:jc w:val="left"/>
        <w:rPr>
          <w:rFonts w:hint="eastAsia"/>
          <w:sz w:val="30"/>
          <w:szCs w:val="30"/>
        </w:rPr>
      </w:pPr>
    </w:p>
    <w:p w14:paraId="2AF87508">
      <w:pPr>
        <w:pStyle w:val="9"/>
        <w:spacing w:before="11"/>
        <w:ind w:left="0"/>
        <w:jc w:val="left"/>
        <w:rPr>
          <w:rFonts w:hint="eastAsia"/>
          <w:sz w:val="30"/>
          <w:szCs w:val="30"/>
        </w:rPr>
      </w:pPr>
      <w:r>
        <w:rPr>
          <w:rFonts w:hint="eastAsia"/>
          <w:sz w:val="30"/>
          <w:szCs w:val="30"/>
        </w:rPr>
        <w:t>1. Throughout this book, when I use the words “premillennialism” and “premillennarians,” I have in mind either OCHP or dispensational premillennialism, and their adherents.</w:t>
      </w:r>
    </w:p>
    <w:p w14:paraId="52D6EE8D">
      <w:pPr>
        <w:pStyle w:val="9"/>
        <w:spacing w:before="11"/>
        <w:ind w:left="0"/>
        <w:jc w:val="left"/>
        <w:rPr>
          <w:rFonts w:hint="eastAsia"/>
          <w:sz w:val="30"/>
          <w:szCs w:val="30"/>
        </w:rPr>
      </w:pPr>
      <w:r>
        <w:rPr>
          <w:rFonts w:hint="eastAsia"/>
          <w:sz w:val="30"/>
          <w:szCs w:val="30"/>
        </w:rPr>
        <w:t>1. 在本书中，当我使用“前千禧年论”和“前千禧年论者”这两个词时，我指的是旧约历史前千禧年论（OCHP）或时代论前千禧年论，以及它们的拥护者。</w:t>
      </w:r>
    </w:p>
    <w:p w14:paraId="2CE69432">
      <w:pPr>
        <w:pStyle w:val="9"/>
        <w:spacing w:before="11"/>
        <w:ind w:left="0"/>
        <w:jc w:val="left"/>
        <w:rPr>
          <w:rFonts w:hint="eastAsia"/>
          <w:sz w:val="30"/>
          <w:szCs w:val="30"/>
        </w:rPr>
      </w:pPr>
    </w:p>
    <w:p w14:paraId="7989EBA4">
      <w:pPr>
        <w:pStyle w:val="9"/>
        <w:spacing w:before="11"/>
        <w:ind w:left="0"/>
        <w:jc w:val="left"/>
        <w:rPr>
          <w:rFonts w:hint="eastAsia"/>
          <w:sz w:val="30"/>
          <w:szCs w:val="30"/>
        </w:rPr>
      </w:pPr>
      <w:r>
        <w:rPr>
          <w:rFonts w:hint="eastAsia"/>
          <w:sz w:val="30"/>
          <w:szCs w:val="30"/>
        </w:rPr>
        <w:t>That is, I have in mind the two forms of premillennialism that interpret OTKP more or less literally.</w:t>
      </w:r>
    </w:p>
    <w:p w14:paraId="54839E7B">
      <w:pPr>
        <w:pStyle w:val="9"/>
        <w:spacing w:before="11"/>
        <w:ind w:left="0"/>
        <w:jc w:val="left"/>
        <w:rPr>
          <w:rFonts w:hint="eastAsia"/>
          <w:sz w:val="30"/>
          <w:szCs w:val="30"/>
        </w:rPr>
      </w:pPr>
      <w:r>
        <w:rPr>
          <w:rFonts w:hint="eastAsia"/>
          <w:sz w:val="30"/>
          <w:szCs w:val="30"/>
        </w:rPr>
        <w:t>也就是说，我指的是那两种或多或少按字面意思解释旧约国度预言的前千禧年论。</w:t>
      </w:r>
    </w:p>
    <w:p w14:paraId="0F624471">
      <w:pPr>
        <w:pStyle w:val="9"/>
        <w:spacing w:before="11"/>
        <w:ind w:left="0"/>
        <w:jc w:val="left"/>
        <w:rPr>
          <w:rFonts w:hint="eastAsia"/>
          <w:sz w:val="30"/>
          <w:szCs w:val="30"/>
        </w:rPr>
      </w:pPr>
    </w:p>
    <w:p w14:paraId="4C07DE8C">
      <w:pPr>
        <w:pStyle w:val="9"/>
        <w:spacing w:before="11"/>
        <w:ind w:left="0"/>
        <w:jc w:val="left"/>
        <w:rPr>
          <w:rFonts w:hint="eastAsia"/>
          <w:sz w:val="30"/>
          <w:szCs w:val="30"/>
        </w:rPr>
      </w:pPr>
      <w:r>
        <w:rPr>
          <w:rFonts w:hint="eastAsia"/>
          <w:sz w:val="30"/>
          <w:szCs w:val="30"/>
        </w:rPr>
        <w:t>Therefore, I must apologize in advance to my NCHP friends, who will not recognize their faith in most of my descriptions of premillennialism.</w:t>
      </w:r>
    </w:p>
    <w:p w14:paraId="517C0231">
      <w:pPr>
        <w:pStyle w:val="9"/>
        <w:spacing w:before="11"/>
        <w:ind w:left="0"/>
        <w:jc w:val="left"/>
        <w:rPr>
          <w:rFonts w:hint="eastAsia"/>
          <w:sz w:val="30"/>
          <w:szCs w:val="30"/>
        </w:rPr>
      </w:pPr>
      <w:r>
        <w:rPr>
          <w:rFonts w:hint="eastAsia"/>
          <w:sz w:val="30"/>
          <w:szCs w:val="30"/>
        </w:rPr>
        <w:t>因此，我必须事先向我的新约历史前千禧年论（NCHP）朋友们道歉，他们在我对前千禧年论的大多数描述中，将无法认出他们自己的信仰。</w:t>
      </w:r>
    </w:p>
    <w:p w14:paraId="299F1C19">
      <w:pPr>
        <w:pStyle w:val="9"/>
        <w:spacing w:before="11"/>
        <w:ind w:left="0"/>
        <w:jc w:val="left"/>
        <w:rPr>
          <w:rFonts w:hint="eastAsia"/>
          <w:sz w:val="30"/>
          <w:szCs w:val="30"/>
        </w:rPr>
      </w:pPr>
    </w:p>
    <w:p w14:paraId="1C9F54C6">
      <w:pPr>
        <w:pStyle w:val="9"/>
        <w:spacing w:before="11"/>
        <w:ind w:left="0"/>
        <w:jc w:val="left"/>
        <w:rPr>
          <w:rFonts w:hint="eastAsia"/>
          <w:sz w:val="30"/>
          <w:szCs w:val="30"/>
        </w:rPr>
      </w:pPr>
      <w:r>
        <w:rPr>
          <w:rFonts w:hint="eastAsia"/>
          <w:sz w:val="30"/>
          <w:szCs w:val="30"/>
        </w:rPr>
        <w:t>They will, however, have this compensation, that my own view of OTKP is far closer to theirs, so much so that I cherish fond hopes of winning them at last to the sweet simplicity of amillennialism, and to the truly “historic” eschatology of the Christian Church.</w:t>
      </w:r>
    </w:p>
    <w:p w14:paraId="48C20766">
      <w:pPr>
        <w:pStyle w:val="9"/>
        <w:spacing w:before="11"/>
        <w:ind w:left="0"/>
        <w:jc w:val="left"/>
        <w:rPr>
          <w:rFonts w:hint="eastAsia"/>
          <w:sz w:val="30"/>
          <w:szCs w:val="30"/>
        </w:rPr>
      </w:pPr>
      <w:r>
        <w:rPr>
          <w:rFonts w:hint="eastAsia"/>
          <w:sz w:val="30"/>
          <w:szCs w:val="30"/>
        </w:rPr>
        <w:t>然而，他们将得到这样的补偿，即我自己对旧约国度预言的看法与他们的看法更为接近，以至于我怀着深切的希望，最终能赢得他们归向无千禧年论那甜美的简洁，以及基督教会真正“历史性”的末世论。</w:t>
      </w:r>
    </w:p>
    <w:p w14:paraId="56748098">
      <w:pPr>
        <w:pStyle w:val="9"/>
        <w:spacing w:before="11"/>
        <w:ind w:left="0"/>
        <w:jc w:val="left"/>
        <w:rPr>
          <w:rFonts w:hint="eastAsia"/>
          <w:sz w:val="30"/>
          <w:szCs w:val="30"/>
        </w:rPr>
      </w:pPr>
    </w:p>
    <w:p w14:paraId="40C6720A">
      <w:pPr>
        <w:pStyle w:val="9"/>
        <w:spacing w:before="11"/>
        <w:ind w:left="0"/>
        <w:jc w:val="left"/>
        <w:rPr>
          <w:rFonts w:hint="eastAsia"/>
          <w:sz w:val="30"/>
          <w:szCs w:val="30"/>
        </w:rPr>
      </w:pPr>
      <w:r>
        <w:rPr>
          <w:rFonts w:hint="eastAsia"/>
          <w:sz w:val="30"/>
          <w:szCs w:val="30"/>
        </w:rPr>
        <w:t>For more on the history of HP, see Stanley Grenz, The Millennial Maze, (IVP, 1992), chapters 2, 5.</w:t>
      </w:r>
    </w:p>
    <w:p w14:paraId="25F49AC5">
      <w:pPr>
        <w:pStyle w:val="9"/>
        <w:spacing w:before="11"/>
        <w:ind w:left="0"/>
        <w:jc w:val="left"/>
        <w:rPr>
          <w:rFonts w:hint="eastAsia"/>
          <w:sz w:val="30"/>
          <w:szCs w:val="30"/>
        </w:rPr>
      </w:pPr>
      <w:r>
        <w:rPr>
          <w:rFonts w:hint="eastAsia"/>
          <w:sz w:val="30"/>
          <w:szCs w:val="30"/>
        </w:rPr>
        <w:t>关于历史前千禧年论（HP）历史的更多信息，见斯坦利·格伦茨，《千禧年迷宫》（IVP, 1992），第2、5章。</w:t>
      </w:r>
    </w:p>
    <w:p w14:paraId="098B3107">
      <w:pPr>
        <w:pStyle w:val="9"/>
        <w:spacing w:before="11"/>
        <w:ind w:left="0"/>
        <w:jc w:val="left"/>
        <w:rPr>
          <w:rFonts w:hint="eastAsia"/>
          <w:sz w:val="30"/>
          <w:szCs w:val="30"/>
        </w:rPr>
      </w:pPr>
    </w:p>
    <w:p w14:paraId="3EA61170">
      <w:pPr>
        <w:pStyle w:val="9"/>
        <w:spacing w:before="11"/>
        <w:ind w:left="0"/>
        <w:jc w:val="left"/>
        <w:rPr>
          <w:rFonts w:hint="eastAsia"/>
          <w:sz w:val="30"/>
          <w:szCs w:val="30"/>
        </w:rPr>
      </w:pPr>
      <w:r>
        <w:rPr>
          <w:rFonts w:hint="eastAsia"/>
          <w:sz w:val="30"/>
          <w:szCs w:val="30"/>
        </w:rPr>
        <w:t>2.Theologians use the expression realized eschatology to describe the way in which Christ and the apostles regarded the promised (blessings of the) Kingdom to be present, or “realized,” in their own time.</w:t>
      </w:r>
    </w:p>
    <w:p w14:paraId="1921DD58">
      <w:pPr>
        <w:pStyle w:val="9"/>
        <w:spacing w:before="11"/>
        <w:ind w:left="0"/>
        <w:jc w:val="left"/>
        <w:rPr>
          <w:rFonts w:hint="eastAsia"/>
          <w:sz w:val="30"/>
          <w:szCs w:val="30"/>
        </w:rPr>
      </w:pPr>
      <w:r>
        <w:rPr>
          <w:rFonts w:hint="eastAsia"/>
          <w:sz w:val="30"/>
          <w:szCs w:val="30"/>
        </w:rPr>
        <w:t>2.神学家使用“已实现的末世论”这个表述，来描述基督和使徒们如何看待国度的应许（祝福）在他们自己的时代中已经临在，或“实现”。</w:t>
      </w:r>
    </w:p>
    <w:p w14:paraId="25CC143A">
      <w:pPr>
        <w:pStyle w:val="9"/>
        <w:spacing w:before="11"/>
        <w:ind w:left="0"/>
        <w:jc w:val="left"/>
        <w:rPr>
          <w:rFonts w:hint="eastAsia"/>
          <w:sz w:val="30"/>
          <w:szCs w:val="30"/>
        </w:rPr>
      </w:pPr>
    </w:p>
    <w:p w14:paraId="43FF876B">
      <w:pPr>
        <w:pStyle w:val="9"/>
        <w:spacing w:before="11"/>
        <w:ind w:left="0"/>
        <w:jc w:val="left"/>
        <w:rPr>
          <w:rFonts w:hint="eastAsia"/>
          <w:sz w:val="30"/>
          <w:szCs w:val="30"/>
        </w:rPr>
      </w:pPr>
      <w:r>
        <w:rPr>
          <w:rFonts w:hint="eastAsia"/>
          <w:sz w:val="30"/>
          <w:szCs w:val="30"/>
        </w:rPr>
        <w:t>For them, the Kingdom was already present (i.e., real in personal experience), though not yet present in its fullness.</w:t>
      </w:r>
    </w:p>
    <w:p w14:paraId="46BF7CBA">
      <w:pPr>
        <w:pStyle w:val="9"/>
        <w:spacing w:before="11"/>
        <w:ind w:left="0"/>
        <w:jc w:val="left"/>
        <w:rPr>
          <w:rFonts w:hint="eastAsia"/>
          <w:sz w:val="30"/>
          <w:szCs w:val="30"/>
        </w:rPr>
      </w:pPr>
      <w:r>
        <w:rPr>
          <w:rFonts w:hint="eastAsia"/>
          <w:sz w:val="30"/>
          <w:szCs w:val="30"/>
        </w:rPr>
        <w:t>对他们来说，国度已经临在（即在个人经历中是真实的），尽管尚未完全临在。</w:t>
      </w:r>
    </w:p>
    <w:p w14:paraId="2DEB6839">
      <w:pPr>
        <w:pStyle w:val="9"/>
        <w:spacing w:before="11"/>
        <w:ind w:left="0"/>
        <w:jc w:val="left"/>
        <w:rPr>
          <w:rFonts w:hint="eastAsia"/>
          <w:sz w:val="30"/>
          <w:szCs w:val="30"/>
        </w:rPr>
      </w:pPr>
    </w:p>
    <w:p w14:paraId="3F94A0BF">
      <w:pPr>
        <w:pStyle w:val="9"/>
        <w:spacing w:before="11"/>
        <w:ind w:left="0"/>
        <w:jc w:val="left"/>
        <w:rPr>
          <w:rFonts w:hint="eastAsia"/>
          <w:sz w:val="30"/>
          <w:szCs w:val="30"/>
        </w:rPr>
      </w:pPr>
      <w:r>
        <w:rPr>
          <w:rFonts w:hint="eastAsia"/>
          <w:sz w:val="30"/>
          <w:szCs w:val="30"/>
        </w:rPr>
        <w:t>We shall have much more to say about this important idea in the pages ahead.</w:t>
      </w:r>
    </w:p>
    <w:p w14:paraId="47DCDC40">
      <w:pPr>
        <w:pStyle w:val="9"/>
        <w:spacing w:before="11"/>
        <w:ind w:left="0"/>
        <w:jc w:val="left"/>
        <w:rPr>
          <w:rFonts w:hint="eastAsia"/>
          <w:sz w:val="30"/>
          <w:szCs w:val="30"/>
        </w:rPr>
      </w:pPr>
      <w:r>
        <w:rPr>
          <w:rFonts w:hint="eastAsia"/>
          <w:sz w:val="30"/>
          <w:szCs w:val="30"/>
        </w:rPr>
        <w:t>在接下来的篇幅中，我们将对这个重要的观念有更多的论述。</w:t>
      </w:r>
    </w:p>
    <w:p w14:paraId="240A69D6">
      <w:pPr>
        <w:pStyle w:val="9"/>
        <w:spacing w:before="11"/>
        <w:ind w:left="0"/>
        <w:jc w:val="left"/>
        <w:rPr>
          <w:rFonts w:hint="eastAsia"/>
          <w:sz w:val="30"/>
          <w:szCs w:val="30"/>
        </w:rPr>
      </w:pPr>
    </w:p>
    <w:p w14:paraId="6C7C2E6B">
      <w:pPr>
        <w:pStyle w:val="9"/>
        <w:spacing w:before="11"/>
        <w:ind w:left="0"/>
        <w:jc w:val="left"/>
        <w:rPr>
          <w:rFonts w:hint="eastAsia"/>
          <w:sz w:val="30"/>
          <w:szCs w:val="30"/>
        </w:rPr>
      </w:pPr>
      <w:r>
        <w:rPr>
          <w:rFonts w:hint="eastAsia"/>
          <w:sz w:val="30"/>
          <w:szCs w:val="30"/>
        </w:rPr>
        <w:t>3. In the body of this book I address all the issues raised by each of the different schools of prophetic interpretation.</w:t>
      </w:r>
    </w:p>
    <w:p w14:paraId="25A5B4E3">
      <w:pPr>
        <w:pStyle w:val="9"/>
        <w:spacing w:before="11"/>
        <w:ind w:left="0"/>
        <w:jc w:val="left"/>
        <w:rPr>
          <w:rFonts w:hint="eastAsia"/>
          <w:sz w:val="30"/>
          <w:szCs w:val="30"/>
        </w:rPr>
      </w:pPr>
      <w:r>
        <w:rPr>
          <w:rFonts w:hint="eastAsia"/>
          <w:sz w:val="30"/>
          <w:szCs w:val="30"/>
        </w:rPr>
        <w:t>3. 在本书正文中，我论述了不同预言解释学派提出的所有问题。</w:t>
      </w:r>
    </w:p>
    <w:p w14:paraId="5E5C59F4">
      <w:pPr>
        <w:pStyle w:val="9"/>
        <w:spacing w:before="11"/>
        <w:ind w:left="0"/>
        <w:jc w:val="left"/>
        <w:rPr>
          <w:rFonts w:hint="eastAsia"/>
          <w:sz w:val="30"/>
          <w:szCs w:val="30"/>
        </w:rPr>
      </w:pPr>
    </w:p>
    <w:p w14:paraId="4D200AAC">
      <w:pPr>
        <w:pStyle w:val="9"/>
        <w:spacing w:before="11"/>
        <w:ind w:left="0"/>
        <w:jc w:val="left"/>
        <w:rPr>
          <w:rFonts w:hint="eastAsia"/>
          <w:sz w:val="30"/>
          <w:szCs w:val="30"/>
        </w:rPr>
      </w:pPr>
      <w:r>
        <w:rPr>
          <w:rFonts w:hint="eastAsia"/>
          <w:sz w:val="30"/>
          <w:szCs w:val="30"/>
        </w:rPr>
        <w:t>Also, in the appendices I offer a concluding summary and critique of each school.</w:t>
      </w:r>
    </w:p>
    <w:p w14:paraId="05397BDC">
      <w:pPr>
        <w:pStyle w:val="9"/>
        <w:spacing w:before="11"/>
        <w:ind w:left="0"/>
        <w:jc w:val="left"/>
        <w:rPr>
          <w:rFonts w:hint="eastAsia"/>
          <w:sz w:val="30"/>
          <w:szCs w:val="30"/>
        </w:rPr>
      </w:pPr>
      <w:r>
        <w:rPr>
          <w:rFonts w:hint="eastAsia"/>
          <w:sz w:val="30"/>
          <w:szCs w:val="30"/>
        </w:rPr>
        <w:t>此外，在附录中，我对每个学派都提供了总结性的概括和批判。</w:t>
      </w:r>
    </w:p>
    <w:p w14:paraId="0B9E7F19">
      <w:pPr>
        <w:pStyle w:val="9"/>
        <w:spacing w:before="11"/>
        <w:ind w:left="0"/>
        <w:jc w:val="left"/>
        <w:rPr>
          <w:rFonts w:hint="eastAsia"/>
          <w:sz w:val="30"/>
          <w:szCs w:val="30"/>
        </w:rPr>
      </w:pPr>
    </w:p>
    <w:p w14:paraId="7F0C13E2">
      <w:pPr>
        <w:pStyle w:val="9"/>
        <w:spacing w:before="11"/>
        <w:ind w:left="0"/>
        <w:jc w:val="left"/>
        <w:rPr>
          <w:rFonts w:hint="eastAsia"/>
          <w:sz w:val="30"/>
          <w:szCs w:val="30"/>
        </w:rPr>
      </w:pPr>
      <w:r>
        <w:rPr>
          <w:rFonts w:hint="eastAsia"/>
          <w:sz w:val="30"/>
          <w:szCs w:val="30"/>
        </w:rPr>
        <w:t>Chapter 6: The Beginning and the Kingdom</w:t>
      </w:r>
    </w:p>
    <w:p w14:paraId="1F6971CD">
      <w:pPr>
        <w:pStyle w:val="9"/>
        <w:spacing w:before="11"/>
        <w:ind w:left="0"/>
        <w:jc w:val="left"/>
        <w:rPr>
          <w:rFonts w:hint="eastAsia"/>
          <w:sz w:val="30"/>
          <w:szCs w:val="30"/>
        </w:rPr>
      </w:pPr>
      <w:r>
        <w:rPr>
          <w:rFonts w:hint="eastAsia"/>
          <w:sz w:val="30"/>
          <w:szCs w:val="30"/>
        </w:rPr>
        <w:t>第6章：开端与国度</w:t>
      </w:r>
    </w:p>
    <w:p w14:paraId="6DEC9025">
      <w:pPr>
        <w:pStyle w:val="9"/>
        <w:spacing w:before="11"/>
        <w:ind w:left="0"/>
        <w:jc w:val="left"/>
        <w:rPr>
          <w:rFonts w:hint="eastAsia"/>
          <w:sz w:val="30"/>
          <w:szCs w:val="30"/>
        </w:rPr>
      </w:pPr>
    </w:p>
    <w:p w14:paraId="1AFCB39A">
      <w:pPr>
        <w:pStyle w:val="9"/>
        <w:spacing w:before="11"/>
        <w:ind w:left="0"/>
        <w:jc w:val="left"/>
        <w:rPr>
          <w:rFonts w:hint="eastAsia"/>
          <w:sz w:val="30"/>
          <w:szCs w:val="30"/>
        </w:rPr>
      </w:pPr>
      <w:r>
        <w:rPr>
          <w:rFonts w:hint="eastAsia"/>
          <w:sz w:val="30"/>
          <w:szCs w:val="30"/>
        </w:rPr>
        <w:t>1. I first came across this striking idea in Watchman Nee’s classic, The Normal Christian Life (Tyndale House, 1977).</w:t>
      </w:r>
    </w:p>
    <w:p w14:paraId="7D7D02CF">
      <w:pPr>
        <w:pStyle w:val="9"/>
        <w:spacing w:before="11"/>
        <w:ind w:left="0"/>
        <w:jc w:val="left"/>
        <w:rPr>
          <w:rFonts w:hint="eastAsia"/>
          <w:sz w:val="30"/>
          <w:szCs w:val="30"/>
        </w:rPr>
      </w:pPr>
      <w:r>
        <w:rPr>
          <w:rFonts w:hint="eastAsia"/>
          <w:sz w:val="30"/>
          <w:szCs w:val="30"/>
        </w:rPr>
        <w:t>1. 我最初是在倪柝声的经典著作《正常的基督徒生活》（Tyndale House, 1977）中接触到这个引人注目的观念。</w:t>
      </w:r>
    </w:p>
    <w:p w14:paraId="7531CDDD">
      <w:pPr>
        <w:pStyle w:val="9"/>
        <w:spacing w:before="11"/>
        <w:ind w:left="0"/>
        <w:jc w:val="left"/>
        <w:rPr>
          <w:rFonts w:hint="eastAsia"/>
          <w:sz w:val="30"/>
          <w:szCs w:val="30"/>
        </w:rPr>
      </w:pPr>
    </w:p>
    <w:p w14:paraId="10823B94">
      <w:pPr>
        <w:pStyle w:val="9"/>
        <w:spacing w:before="11"/>
        <w:ind w:left="0"/>
        <w:jc w:val="left"/>
        <w:rPr>
          <w:rFonts w:hint="eastAsia"/>
          <w:sz w:val="30"/>
          <w:szCs w:val="30"/>
        </w:rPr>
      </w:pPr>
      <w:r>
        <w:rPr>
          <w:rFonts w:hint="eastAsia"/>
          <w:sz w:val="30"/>
          <w:szCs w:val="30"/>
        </w:rPr>
        <w:t>2. In the OT the motif of Expulsion and Return is prominent and deeply significant.</w:t>
      </w:r>
    </w:p>
    <w:p w14:paraId="7B88C1E8">
      <w:pPr>
        <w:pStyle w:val="9"/>
        <w:spacing w:before="11"/>
        <w:ind w:left="0"/>
        <w:jc w:val="left"/>
        <w:rPr>
          <w:rFonts w:hint="eastAsia"/>
          <w:sz w:val="30"/>
          <w:szCs w:val="30"/>
        </w:rPr>
      </w:pPr>
      <w:r>
        <w:rPr>
          <w:rFonts w:hint="eastAsia"/>
          <w:sz w:val="30"/>
          <w:szCs w:val="30"/>
        </w:rPr>
        <w:t>2. 在旧约中，“被逐与回归”的主题是突出且意义深远的。</w:t>
      </w:r>
    </w:p>
    <w:p w14:paraId="685C0FE1">
      <w:pPr>
        <w:pStyle w:val="9"/>
        <w:spacing w:before="11"/>
        <w:ind w:left="0"/>
        <w:jc w:val="left"/>
        <w:rPr>
          <w:rFonts w:hint="eastAsia"/>
          <w:sz w:val="30"/>
          <w:szCs w:val="30"/>
        </w:rPr>
      </w:pPr>
    </w:p>
    <w:p w14:paraId="71D9B340">
      <w:pPr>
        <w:pStyle w:val="9"/>
        <w:spacing w:before="11"/>
        <w:ind w:left="0"/>
        <w:jc w:val="left"/>
        <w:rPr>
          <w:rFonts w:hint="eastAsia"/>
          <w:sz w:val="30"/>
          <w:szCs w:val="30"/>
        </w:rPr>
      </w:pPr>
      <w:r>
        <w:rPr>
          <w:rFonts w:hint="eastAsia"/>
          <w:sz w:val="30"/>
          <w:szCs w:val="30"/>
        </w:rPr>
        <w:t>Two instances are of special importance.</w:t>
      </w:r>
    </w:p>
    <w:p w14:paraId="75F5CF3A">
      <w:pPr>
        <w:pStyle w:val="9"/>
        <w:spacing w:before="11"/>
        <w:ind w:left="0"/>
        <w:jc w:val="left"/>
        <w:rPr>
          <w:rFonts w:hint="eastAsia"/>
          <w:sz w:val="30"/>
          <w:szCs w:val="30"/>
        </w:rPr>
      </w:pPr>
      <w:r>
        <w:rPr>
          <w:rFonts w:hint="eastAsia"/>
          <w:sz w:val="30"/>
          <w:szCs w:val="30"/>
        </w:rPr>
        <w:t>有两个例子特别重要。</w:t>
      </w:r>
    </w:p>
    <w:p w14:paraId="603288FD">
      <w:pPr>
        <w:pStyle w:val="9"/>
        <w:spacing w:before="11"/>
        <w:ind w:left="0"/>
        <w:jc w:val="left"/>
        <w:rPr>
          <w:rFonts w:hint="eastAsia"/>
          <w:sz w:val="30"/>
          <w:szCs w:val="30"/>
        </w:rPr>
      </w:pPr>
    </w:p>
    <w:p w14:paraId="4CE0A46A">
      <w:pPr>
        <w:pStyle w:val="9"/>
        <w:spacing w:before="11"/>
        <w:ind w:left="0"/>
        <w:jc w:val="left"/>
        <w:rPr>
          <w:rFonts w:hint="eastAsia"/>
          <w:sz w:val="30"/>
          <w:szCs w:val="30"/>
        </w:rPr>
      </w:pPr>
      <w:r>
        <w:rPr>
          <w:rFonts w:hint="eastAsia"/>
          <w:sz w:val="30"/>
          <w:szCs w:val="30"/>
        </w:rPr>
        <w:t>The first—which is prototypical—is mankind’s expulsion from Eden into the Domain of Darkness.</w:t>
      </w:r>
    </w:p>
    <w:p w14:paraId="40DD7DE6">
      <w:pPr>
        <w:pStyle w:val="9"/>
        <w:spacing w:before="11"/>
        <w:ind w:left="0"/>
        <w:jc w:val="left"/>
        <w:rPr>
          <w:rFonts w:hint="eastAsia"/>
          <w:sz w:val="30"/>
          <w:szCs w:val="30"/>
        </w:rPr>
      </w:pPr>
      <w:r>
        <w:rPr>
          <w:rFonts w:hint="eastAsia"/>
          <w:sz w:val="30"/>
          <w:szCs w:val="30"/>
        </w:rPr>
        <w:t>第一个——也是原型——是人类被逐出伊甸园，进入黑暗的权势。</w:t>
      </w:r>
    </w:p>
    <w:p w14:paraId="6A71248D">
      <w:pPr>
        <w:pStyle w:val="9"/>
        <w:spacing w:before="11"/>
        <w:ind w:left="0"/>
        <w:jc w:val="left"/>
        <w:rPr>
          <w:rFonts w:hint="eastAsia"/>
          <w:sz w:val="30"/>
          <w:szCs w:val="30"/>
        </w:rPr>
      </w:pPr>
    </w:p>
    <w:p w14:paraId="040EBA74">
      <w:pPr>
        <w:pStyle w:val="9"/>
        <w:spacing w:before="11"/>
        <w:ind w:left="0"/>
        <w:jc w:val="left"/>
        <w:rPr>
          <w:rFonts w:hint="eastAsia"/>
          <w:sz w:val="30"/>
          <w:szCs w:val="30"/>
        </w:rPr>
      </w:pPr>
      <w:r>
        <w:rPr>
          <w:rFonts w:hint="eastAsia"/>
          <w:sz w:val="30"/>
          <w:szCs w:val="30"/>
        </w:rPr>
        <w:t>This is followed by various OT types and prophecies promising mankind’s eschatological return to Paradise; and this is followed by fulfillment, by actual spiritual and physical return in “the last days” of the New Covenant.</w:t>
      </w:r>
    </w:p>
    <w:p w14:paraId="2E3C01E2">
      <w:pPr>
        <w:pStyle w:val="9"/>
        <w:spacing w:before="11"/>
        <w:ind w:left="0"/>
        <w:jc w:val="left"/>
        <w:rPr>
          <w:rFonts w:hint="eastAsia"/>
          <w:sz w:val="30"/>
          <w:szCs w:val="30"/>
        </w:rPr>
      </w:pPr>
      <w:r>
        <w:rPr>
          <w:rFonts w:hint="eastAsia"/>
          <w:sz w:val="30"/>
          <w:szCs w:val="30"/>
        </w:rPr>
        <w:t>这之后是各种旧约的预表和预言，应许人类末世论性地回归乐园；这之后是应验，即在新约“末后的日子”里，实际的属灵和属肉体的回归。</w:t>
      </w:r>
    </w:p>
    <w:p w14:paraId="24495FAB">
      <w:pPr>
        <w:pStyle w:val="9"/>
        <w:spacing w:before="11"/>
        <w:ind w:left="0"/>
        <w:jc w:val="left"/>
        <w:rPr>
          <w:rFonts w:hint="eastAsia"/>
          <w:sz w:val="30"/>
          <w:szCs w:val="30"/>
        </w:rPr>
      </w:pPr>
    </w:p>
    <w:p w14:paraId="1E5577E6">
      <w:pPr>
        <w:pStyle w:val="9"/>
        <w:spacing w:before="11"/>
        <w:ind w:left="0"/>
        <w:jc w:val="left"/>
        <w:rPr>
          <w:rFonts w:hint="eastAsia"/>
          <w:sz w:val="30"/>
          <w:szCs w:val="30"/>
        </w:rPr>
      </w:pPr>
      <w:r>
        <w:rPr>
          <w:rFonts w:hint="eastAsia"/>
          <w:sz w:val="30"/>
          <w:szCs w:val="30"/>
        </w:rPr>
        <w:t>The second instance, which is emblematic of the first, is Israel’s expulsion from her homeland, resulting in bondage under Assyria and Babylon.</w:t>
      </w:r>
    </w:p>
    <w:p w14:paraId="2AD35425">
      <w:pPr>
        <w:pStyle w:val="9"/>
        <w:spacing w:before="11"/>
        <w:ind w:left="0"/>
        <w:jc w:val="left"/>
        <w:rPr>
          <w:rFonts w:hint="eastAsia"/>
          <w:sz w:val="30"/>
          <w:szCs w:val="30"/>
        </w:rPr>
      </w:pPr>
      <w:r>
        <w:rPr>
          <w:rFonts w:hint="eastAsia"/>
          <w:sz w:val="30"/>
          <w:szCs w:val="30"/>
        </w:rPr>
        <w:t>第二个例子，是第一个例子的象征，即以色列被逐出她的家园，导致在亚述和巴比伦的奴役下。</w:t>
      </w:r>
    </w:p>
    <w:p w14:paraId="3AB750A4">
      <w:pPr>
        <w:pStyle w:val="9"/>
        <w:spacing w:before="11"/>
        <w:ind w:left="0"/>
        <w:jc w:val="left"/>
        <w:rPr>
          <w:rFonts w:hint="eastAsia"/>
          <w:sz w:val="30"/>
          <w:szCs w:val="30"/>
        </w:rPr>
      </w:pPr>
    </w:p>
    <w:p w14:paraId="043B700A">
      <w:pPr>
        <w:pStyle w:val="9"/>
        <w:spacing w:before="11"/>
        <w:ind w:left="0"/>
        <w:jc w:val="left"/>
        <w:rPr>
          <w:rFonts w:hint="eastAsia"/>
          <w:sz w:val="30"/>
          <w:szCs w:val="30"/>
        </w:rPr>
      </w:pPr>
      <w:r>
        <w:rPr>
          <w:rFonts w:hint="eastAsia"/>
          <w:sz w:val="30"/>
          <w:szCs w:val="30"/>
        </w:rPr>
        <w:t>This expulsion is also followed by various OT promises of return; and these are also followed by actual return.</w:t>
      </w:r>
    </w:p>
    <w:p w14:paraId="7CBC6F6E">
      <w:pPr>
        <w:pStyle w:val="9"/>
        <w:spacing w:before="11"/>
        <w:ind w:left="0"/>
        <w:jc w:val="left"/>
        <w:rPr>
          <w:rFonts w:hint="eastAsia"/>
          <w:sz w:val="30"/>
          <w:szCs w:val="30"/>
        </w:rPr>
      </w:pPr>
      <w:r>
        <w:rPr>
          <w:rFonts w:hint="eastAsia"/>
          <w:sz w:val="30"/>
          <w:szCs w:val="30"/>
        </w:rPr>
        <w:t>这次被逐之后，同样有各种旧约关于回归的应许；这些应许之后，同样有实际的回归。</w:t>
      </w:r>
    </w:p>
    <w:p w14:paraId="20CC8B19">
      <w:pPr>
        <w:pStyle w:val="9"/>
        <w:spacing w:before="11"/>
        <w:ind w:left="0"/>
        <w:jc w:val="left"/>
        <w:rPr>
          <w:rFonts w:hint="eastAsia"/>
          <w:sz w:val="30"/>
          <w:szCs w:val="30"/>
        </w:rPr>
      </w:pPr>
    </w:p>
    <w:p w14:paraId="47D05858">
      <w:pPr>
        <w:pStyle w:val="9"/>
        <w:spacing w:before="11"/>
        <w:ind w:left="0"/>
        <w:jc w:val="left"/>
        <w:rPr>
          <w:rFonts w:hint="eastAsia"/>
          <w:sz w:val="30"/>
          <w:szCs w:val="30"/>
        </w:rPr>
      </w:pPr>
      <w:r>
        <w:rPr>
          <w:rFonts w:hint="eastAsia"/>
          <w:sz w:val="30"/>
          <w:szCs w:val="30"/>
        </w:rPr>
        <w:t>Here, however, the actual return is twofold.</w:t>
      </w:r>
    </w:p>
    <w:p w14:paraId="62FC9A72">
      <w:pPr>
        <w:pStyle w:val="9"/>
        <w:spacing w:before="11"/>
        <w:ind w:left="0"/>
        <w:jc w:val="left"/>
        <w:rPr>
          <w:rFonts w:hint="eastAsia"/>
          <w:sz w:val="30"/>
          <w:szCs w:val="30"/>
        </w:rPr>
      </w:pPr>
      <w:r>
        <w:rPr>
          <w:rFonts w:hint="eastAsia"/>
          <w:sz w:val="30"/>
          <w:szCs w:val="30"/>
        </w:rPr>
        <w:t>然而，在这里，实际的回归是双重的。</w:t>
      </w:r>
    </w:p>
    <w:p w14:paraId="4B1AB0BC">
      <w:pPr>
        <w:pStyle w:val="9"/>
        <w:spacing w:before="11"/>
        <w:ind w:left="0"/>
        <w:jc w:val="left"/>
        <w:rPr>
          <w:rFonts w:hint="eastAsia"/>
          <w:sz w:val="30"/>
          <w:szCs w:val="30"/>
        </w:rPr>
      </w:pPr>
    </w:p>
    <w:p w14:paraId="75436DB4">
      <w:pPr>
        <w:pStyle w:val="9"/>
        <w:spacing w:before="11"/>
        <w:ind w:left="0"/>
        <w:jc w:val="left"/>
        <w:rPr>
          <w:rFonts w:hint="eastAsia"/>
          <w:sz w:val="30"/>
          <w:szCs w:val="30"/>
        </w:rPr>
      </w:pPr>
      <w:r>
        <w:rPr>
          <w:rFonts w:hint="eastAsia"/>
          <w:sz w:val="30"/>
          <w:szCs w:val="30"/>
        </w:rPr>
        <w:t>The first is physical, and occurred in OT times when many ethnic Jews returned to Palestine under Ezra and Nehemiah.</w:t>
      </w:r>
    </w:p>
    <w:p w14:paraId="2C15AE25">
      <w:pPr>
        <w:pStyle w:val="9"/>
        <w:spacing w:before="11"/>
        <w:ind w:left="0"/>
        <w:jc w:val="left"/>
        <w:rPr>
          <w:rFonts w:hint="eastAsia"/>
          <w:sz w:val="30"/>
          <w:szCs w:val="30"/>
        </w:rPr>
      </w:pPr>
      <w:r>
        <w:rPr>
          <w:rFonts w:hint="eastAsia"/>
          <w:sz w:val="30"/>
          <w:szCs w:val="30"/>
        </w:rPr>
        <w:t>第一次是属肉体的，发生在旧约时代，当时许多种族上的犹太人在以斯拉和尼希米时期回到了巴勒斯坦。</w:t>
      </w:r>
    </w:p>
    <w:p w14:paraId="3DFBD9C1">
      <w:pPr>
        <w:pStyle w:val="9"/>
        <w:spacing w:before="11"/>
        <w:ind w:left="0"/>
        <w:jc w:val="left"/>
        <w:rPr>
          <w:rFonts w:hint="eastAsia"/>
          <w:sz w:val="30"/>
          <w:szCs w:val="30"/>
        </w:rPr>
      </w:pPr>
    </w:p>
    <w:p w14:paraId="5AFE1BA0">
      <w:pPr>
        <w:pStyle w:val="9"/>
        <w:spacing w:before="11"/>
        <w:ind w:left="0"/>
        <w:jc w:val="left"/>
        <w:rPr>
          <w:rFonts w:hint="eastAsia"/>
          <w:sz w:val="30"/>
          <w:szCs w:val="30"/>
        </w:rPr>
      </w:pPr>
      <w:r>
        <w:rPr>
          <w:rFonts w:hint="eastAsia"/>
          <w:sz w:val="30"/>
          <w:szCs w:val="30"/>
        </w:rPr>
        <w:t>The second is first spiritual and later physical; it occurs throughout NT times, as multitudes of spiritual “Jews” (i.e., Jewish and Gentile believers in Jesus) return to Christ in different ways (i.e., through the new birth, through the ascent of their spirit into heaven at the moment of death, and through their bodily resurrection for eternal life in the World to Come).</w:t>
      </w:r>
    </w:p>
    <w:p w14:paraId="15AF5712">
      <w:pPr>
        <w:pStyle w:val="9"/>
        <w:spacing w:before="11"/>
        <w:ind w:left="0"/>
        <w:jc w:val="left"/>
        <w:rPr>
          <w:rFonts w:hint="eastAsia"/>
          <w:sz w:val="30"/>
          <w:szCs w:val="30"/>
        </w:rPr>
      </w:pPr>
      <w:r>
        <w:rPr>
          <w:rFonts w:hint="eastAsia"/>
          <w:sz w:val="30"/>
          <w:szCs w:val="30"/>
        </w:rPr>
        <w:t>第二次是先属灵后属肉体的；它发生在整个新约时代，当时大量的属灵“犹太人”（即信耶稣的犹太人和外邦人）以不同的方式回归基督（即通过重生，通过他们灵魂在死亡时刻升入天堂，以及通过他们身体的复活，为要在来世得永生）。</w:t>
      </w:r>
    </w:p>
    <w:p w14:paraId="7371B4B4">
      <w:pPr>
        <w:pStyle w:val="9"/>
        <w:spacing w:before="11"/>
        <w:ind w:left="0"/>
        <w:jc w:val="left"/>
        <w:rPr>
          <w:rFonts w:hint="eastAsia"/>
          <w:sz w:val="30"/>
          <w:szCs w:val="30"/>
        </w:rPr>
      </w:pPr>
    </w:p>
    <w:p w14:paraId="17303539">
      <w:pPr>
        <w:pStyle w:val="9"/>
        <w:spacing w:before="11"/>
        <w:ind w:left="0"/>
        <w:jc w:val="left"/>
        <w:rPr>
          <w:rFonts w:hint="eastAsia"/>
          <w:sz w:val="30"/>
          <w:szCs w:val="30"/>
        </w:rPr>
      </w:pPr>
      <w:r>
        <w:rPr>
          <w:rFonts w:hint="eastAsia"/>
          <w:sz w:val="30"/>
          <w:szCs w:val="30"/>
        </w:rPr>
        <w:t>This motif—and its twofold embodiment—is extremely important for the proper interpretation of OTKP.</w:t>
      </w:r>
    </w:p>
    <w:p w14:paraId="712DD00D">
      <w:pPr>
        <w:pStyle w:val="9"/>
        <w:spacing w:before="11"/>
        <w:ind w:left="0"/>
        <w:jc w:val="left"/>
        <w:rPr>
          <w:rFonts w:hint="eastAsia"/>
          <w:sz w:val="30"/>
          <w:szCs w:val="30"/>
        </w:rPr>
      </w:pPr>
      <w:r>
        <w:rPr>
          <w:rFonts w:hint="eastAsia"/>
          <w:sz w:val="30"/>
          <w:szCs w:val="30"/>
        </w:rPr>
        <w:t>这个主题——及其双重体现——对于正确解释旧约国度预言至关重要。</w:t>
      </w:r>
    </w:p>
    <w:p w14:paraId="62EC4980">
      <w:pPr>
        <w:pStyle w:val="9"/>
        <w:spacing w:before="11"/>
        <w:ind w:left="0"/>
        <w:jc w:val="left"/>
        <w:rPr>
          <w:rFonts w:hint="eastAsia"/>
          <w:sz w:val="30"/>
          <w:szCs w:val="30"/>
        </w:rPr>
      </w:pPr>
    </w:p>
    <w:p w14:paraId="478B99EA">
      <w:pPr>
        <w:pStyle w:val="9"/>
        <w:spacing w:before="11"/>
        <w:ind w:left="0"/>
        <w:jc w:val="left"/>
        <w:rPr>
          <w:rFonts w:hint="eastAsia"/>
          <w:sz w:val="30"/>
          <w:szCs w:val="30"/>
        </w:rPr>
      </w:pPr>
      <w:r>
        <w:rPr>
          <w:rFonts w:hint="eastAsia"/>
          <w:sz w:val="30"/>
          <w:szCs w:val="30"/>
        </w:rPr>
        <w:t>As we shall see later on, in OTKP the Holy Spirit frequently uses predictions of eschatological Israel’s return to the Promised Land to speak mystically of mankind’s ultimate return to Paradise and the Tree and Water of Life.</w:t>
      </w:r>
    </w:p>
    <w:p w14:paraId="1FC4A645">
      <w:pPr>
        <w:pStyle w:val="9"/>
        <w:spacing w:before="11"/>
        <w:ind w:left="0"/>
        <w:jc w:val="left"/>
        <w:rPr>
          <w:rFonts w:hint="eastAsia"/>
          <w:sz w:val="30"/>
          <w:szCs w:val="30"/>
        </w:rPr>
      </w:pPr>
      <w:r>
        <w:rPr>
          <w:rFonts w:hint="eastAsia"/>
          <w:sz w:val="30"/>
          <w:szCs w:val="30"/>
        </w:rPr>
        <w:t>我们稍后将会看到，在旧约国度预言中，圣灵经常使用对末世论以色列回归应许之地的预言，来奥秘地讲述人类最终回归乐园以及生命树和生命水。</w:t>
      </w:r>
    </w:p>
    <w:p w14:paraId="5C1EAD7D">
      <w:pPr>
        <w:pStyle w:val="9"/>
        <w:spacing w:before="11"/>
        <w:ind w:left="0"/>
        <w:jc w:val="left"/>
        <w:rPr>
          <w:rFonts w:hint="eastAsia"/>
          <w:sz w:val="30"/>
          <w:szCs w:val="30"/>
        </w:rPr>
      </w:pPr>
    </w:p>
    <w:p w14:paraId="45EA6577">
      <w:pPr>
        <w:pStyle w:val="9"/>
        <w:spacing w:before="11"/>
        <w:ind w:left="0"/>
        <w:jc w:val="left"/>
        <w:rPr>
          <w:rFonts w:hint="eastAsia"/>
          <w:sz w:val="30"/>
          <w:szCs w:val="30"/>
        </w:rPr>
      </w:pPr>
      <w:r>
        <w:rPr>
          <w:rFonts w:hint="eastAsia"/>
          <w:sz w:val="30"/>
          <w:szCs w:val="30"/>
        </w:rPr>
        <w:t>3.For more on the spiritual significance of the Good and Bad Beginnings, see Dean Davis, In Search of the Beginning (2010, Winepress Publishing), Chapter 5.</w:t>
      </w:r>
    </w:p>
    <w:p w14:paraId="7BB5B7EE">
      <w:pPr>
        <w:pStyle w:val="9"/>
        <w:spacing w:before="11"/>
        <w:ind w:left="0"/>
        <w:jc w:val="left"/>
        <w:rPr>
          <w:rFonts w:hint="eastAsia"/>
          <w:sz w:val="30"/>
          <w:szCs w:val="30"/>
        </w:rPr>
      </w:pPr>
      <w:r>
        <w:rPr>
          <w:rFonts w:hint="eastAsia"/>
          <w:sz w:val="30"/>
          <w:szCs w:val="30"/>
        </w:rPr>
        <w:t>3.关于“好的开端”和“坏的开端”的属灵意义，详见迪恩·戴维斯，《寻找开端》（2010, Winepress Publishing），第5章。</w:t>
      </w:r>
    </w:p>
    <w:p w14:paraId="7A63191A">
      <w:pPr>
        <w:pStyle w:val="9"/>
        <w:spacing w:before="11"/>
        <w:ind w:left="0"/>
        <w:jc w:val="left"/>
        <w:rPr>
          <w:rFonts w:hint="eastAsia"/>
          <w:sz w:val="30"/>
          <w:szCs w:val="30"/>
        </w:rPr>
      </w:pPr>
    </w:p>
    <w:p w14:paraId="4A7A9732">
      <w:pPr>
        <w:pStyle w:val="9"/>
        <w:spacing w:before="11"/>
        <w:ind w:left="0"/>
        <w:jc w:val="left"/>
        <w:rPr>
          <w:rFonts w:hint="eastAsia"/>
          <w:sz w:val="30"/>
          <w:szCs w:val="30"/>
        </w:rPr>
      </w:pPr>
      <w:r>
        <w:rPr>
          <w:rFonts w:hint="eastAsia"/>
          <w:sz w:val="30"/>
          <w:szCs w:val="30"/>
        </w:rPr>
        <w:t>Chapter 7: The Covenant and the Kingdom</w:t>
      </w:r>
    </w:p>
    <w:p w14:paraId="4BD2E8A5">
      <w:pPr>
        <w:pStyle w:val="9"/>
        <w:spacing w:before="11"/>
        <w:ind w:left="0"/>
        <w:jc w:val="left"/>
        <w:rPr>
          <w:rFonts w:hint="eastAsia"/>
          <w:sz w:val="30"/>
          <w:szCs w:val="30"/>
        </w:rPr>
      </w:pPr>
      <w:r>
        <w:rPr>
          <w:rFonts w:hint="eastAsia"/>
          <w:sz w:val="30"/>
          <w:szCs w:val="30"/>
        </w:rPr>
        <w:t>第7章：圣约与国度</w:t>
      </w:r>
    </w:p>
    <w:p w14:paraId="5AC2A106">
      <w:pPr>
        <w:pStyle w:val="9"/>
        <w:spacing w:before="11"/>
        <w:ind w:left="0"/>
        <w:jc w:val="left"/>
        <w:rPr>
          <w:rFonts w:hint="eastAsia"/>
          <w:sz w:val="30"/>
          <w:szCs w:val="30"/>
        </w:rPr>
      </w:pPr>
    </w:p>
    <w:p w14:paraId="4CAC4720">
      <w:pPr>
        <w:pStyle w:val="9"/>
        <w:spacing w:before="11"/>
        <w:ind w:left="0"/>
        <w:jc w:val="left"/>
        <w:rPr>
          <w:rFonts w:hint="eastAsia"/>
          <w:sz w:val="30"/>
          <w:szCs w:val="30"/>
        </w:rPr>
      </w:pPr>
      <w:r>
        <w:rPr>
          <w:rFonts w:hint="eastAsia"/>
          <w:sz w:val="30"/>
          <w:szCs w:val="30"/>
        </w:rPr>
        <w:t>1.In chapter 9 we will examine a number of NT texts, showing that this is indeed Jesus’ and the apostles' view of the structure of the Era of Proclamation and Probation.</w:t>
      </w:r>
    </w:p>
    <w:p w14:paraId="09774737">
      <w:pPr>
        <w:pStyle w:val="9"/>
        <w:spacing w:before="11"/>
        <w:ind w:left="0"/>
        <w:jc w:val="left"/>
        <w:rPr>
          <w:rFonts w:hint="eastAsia"/>
          <w:sz w:val="30"/>
          <w:szCs w:val="30"/>
        </w:rPr>
      </w:pPr>
      <w:r>
        <w:rPr>
          <w:rFonts w:hint="eastAsia"/>
          <w:sz w:val="30"/>
          <w:szCs w:val="30"/>
        </w:rPr>
        <w:t>1.在第9章中，我们将查考一些新约经文，以表明这确实是耶稣和使徒们对传讲与试验时代的结构所持的观点。</w:t>
      </w:r>
    </w:p>
    <w:p w14:paraId="49C41E2E">
      <w:pPr>
        <w:pStyle w:val="9"/>
        <w:spacing w:before="11"/>
        <w:ind w:left="0"/>
        <w:jc w:val="left"/>
        <w:rPr>
          <w:rFonts w:hint="eastAsia"/>
          <w:sz w:val="30"/>
          <w:szCs w:val="30"/>
        </w:rPr>
      </w:pPr>
    </w:p>
    <w:p w14:paraId="1CC46C96">
      <w:pPr>
        <w:pStyle w:val="9"/>
        <w:spacing w:before="11"/>
        <w:ind w:left="0"/>
        <w:jc w:val="left"/>
        <w:rPr>
          <w:rFonts w:hint="eastAsia"/>
          <w:sz w:val="30"/>
          <w:szCs w:val="30"/>
        </w:rPr>
      </w:pPr>
      <w:r>
        <w:rPr>
          <w:rFonts w:hint="eastAsia"/>
          <w:sz w:val="30"/>
          <w:szCs w:val="30"/>
        </w:rPr>
        <w:t>2. For a Timeline visualizing Salvation History in terms of the successive administrations of the Eternal Covenant, please see chapter 10.</w:t>
      </w:r>
    </w:p>
    <w:p w14:paraId="2E21F8EC">
      <w:pPr>
        <w:pStyle w:val="9"/>
        <w:spacing w:before="11"/>
        <w:ind w:left="0"/>
        <w:jc w:val="left"/>
        <w:rPr>
          <w:rFonts w:hint="eastAsia"/>
          <w:sz w:val="30"/>
          <w:szCs w:val="30"/>
        </w:rPr>
      </w:pPr>
      <w:r>
        <w:rPr>
          <w:rFonts w:hint="eastAsia"/>
          <w:sz w:val="30"/>
          <w:szCs w:val="30"/>
        </w:rPr>
        <w:t>2. 关于一个从永恒之约的相继施行角度来形象化救赎历史的时间线，请见第10章。</w:t>
      </w:r>
    </w:p>
    <w:p w14:paraId="76F7D790">
      <w:pPr>
        <w:pStyle w:val="9"/>
        <w:spacing w:before="11"/>
        <w:ind w:left="0"/>
        <w:jc w:val="left"/>
        <w:rPr>
          <w:rFonts w:hint="eastAsia"/>
          <w:sz w:val="30"/>
          <w:szCs w:val="30"/>
        </w:rPr>
      </w:pPr>
    </w:p>
    <w:p w14:paraId="32DACD4D">
      <w:pPr>
        <w:pStyle w:val="9"/>
        <w:spacing w:before="11"/>
        <w:ind w:left="0"/>
        <w:jc w:val="left"/>
        <w:rPr>
          <w:rFonts w:hint="eastAsia"/>
          <w:sz w:val="30"/>
          <w:szCs w:val="30"/>
        </w:rPr>
      </w:pPr>
      <w:r>
        <w:rPr>
          <w:rFonts w:hint="eastAsia"/>
          <w:sz w:val="30"/>
          <w:szCs w:val="30"/>
        </w:rPr>
        <w:t>Chapter 8: The OT Promise of the Kingdom</w:t>
      </w:r>
    </w:p>
    <w:p w14:paraId="053B6E41">
      <w:pPr>
        <w:pStyle w:val="9"/>
        <w:spacing w:before="11"/>
        <w:ind w:left="0"/>
        <w:jc w:val="left"/>
        <w:rPr>
          <w:rFonts w:hint="eastAsia"/>
          <w:sz w:val="30"/>
          <w:szCs w:val="30"/>
        </w:rPr>
      </w:pPr>
      <w:r>
        <w:rPr>
          <w:rFonts w:hint="eastAsia"/>
          <w:sz w:val="30"/>
          <w:szCs w:val="30"/>
        </w:rPr>
        <w:t>第8章：旧约对国度的应许</w:t>
      </w:r>
    </w:p>
    <w:p w14:paraId="70C35186">
      <w:pPr>
        <w:pStyle w:val="9"/>
        <w:spacing w:before="11"/>
        <w:ind w:left="0"/>
        <w:jc w:val="left"/>
        <w:rPr>
          <w:rFonts w:hint="eastAsia"/>
          <w:sz w:val="30"/>
          <w:szCs w:val="30"/>
        </w:rPr>
      </w:pPr>
    </w:p>
    <w:p w14:paraId="5AB1A720">
      <w:pPr>
        <w:pStyle w:val="9"/>
        <w:spacing w:before="11"/>
        <w:ind w:left="0"/>
        <w:jc w:val="left"/>
        <w:rPr>
          <w:rFonts w:hint="eastAsia"/>
          <w:sz w:val="30"/>
          <w:szCs w:val="30"/>
        </w:rPr>
      </w:pPr>
      <w:r>
        <w:rPr>
          <w:rFonts w:hint="eastAsia"/>
          <w:sz w:val="30"/>
          <w:szCs w:val="30"/>
        </w:rPr>
        <w:t>1.The rainbow that God ordained after the Flood is also a type, a picture of the full spectrum and beauty of the Person and Work of Christ in behalf of his people.</w:t>
      </w:r>
    </w:p>
    <w:p w14:paraId="2104E2D2">
      <w:pPr>
        <w:pStyle w:val="9"/>
        <w:spacing w:before="11"/>
        <w:ind w:left="0"/>
        <w:jc w:val="left"/>
        <w:rPr>
          <w:rFonts w:hint="eastAsia"/>
          <w:sz w:val="30"/>
          <w:szCs w:val="30"/>
        </w:rPr>
      </w:pPr>
      <w:r>
        <w:rPr>
          <w:rFonts w:hint="eastAsia"/>
          <w:sz w:val="30"/>
          <w:szCs w:val="30"/>
        </w:rPr>
        <w:t>1.神在洪水后所立的彩虹也是一个预表，一幅图画，描绘了基督为祂子民所成就的位格与工作的全部光谱和荣美。</w:t>
      </w:r>
    </w:p>
    <w:p w14:paraId="38B60887">
      <w:pPr>
        <w:pStyle w:val="9"/>
        <w:spacing w:before="11"/>
        <w:ind w:left="0"/>
        <w:jc w:val="left"/>
        <w:rPr>
          <w:rFonts w:hint="eastAsia"/>
          <w:sz w:val="30"/>
          <w:szCs w:val="30"/>
        </w:rPr>
      </w:pPr>
    </w:p>
    <w:p w14:paraId="38E500A2">
      <w:pPr>
        <w:pStyle w:val="9"/>
        <w:spacing w:before="11"/>
        <w:ind w:left="0"/>
        <w:jc w:val="left"/>
        <w:rPr>
          <w:rFonts w:hint="eastAsia"/>
          <w:sz w:val="30"/>
          <w:szCs w:val="30"/>
        </w:rPr>
      </w:pPr>
      <w:r>
        <w:rPr>
          <w:rFonts w:hint="eastAsia"/>
          <w:sz w:val="30"/>
          <w:szCs w:val="30"/>
        </w:rPr>
        <w:t>For all eternity God will look upon it, and therefore refrain from judging them ever again (Gen. 9:9-17).</w:t>
      </w:r>
    </w:p>
    <w:p w14:paraId="67FEE323">
      <w:pPr>
        <w:pStyle w:val="9"/>
        <w:spacing w:before="11"/>
        <w:ind w:left="0"/>
        <w:jc w:val="left"/>
        <w:rPr>
          <w:rFonts w:hint="eastAsia"/>
          <w:sz w:val="30"/>
          <w:szCs w:val="30"/>
        </w:rPr>
      </w:pPr>
      <w:r>
        <w:rPr>
          <w:rFonts w:hint="eastAsia"/>
          <w:sz w:val="30"/>
          <w:szCs w:val="30"/>
        </w:rPr>
        <w:t>神将永远观看它，因此不再审判他们（创9:9-17）。</w:t>
      </w:r>
    </w:p>
    <w:p w14:paraId="764B870B">
      <w:pPr>
        <w:pStyle w:val="9"/>
        <w:spacing w:before="11"/>
        <w:ind w:left="0"/>
        <w:jc w:val="left"/>
        <w:rPr>
          <w:rFonts w:hint="eastAsia"/>
          <w:sz w:val="30"/>
          <w:szCs w:val="30"/>
        </w:rPr>
      </w:pPr>
    </w:p>
    <w:p w14:paraId="566BF0E6">
      <w:pPr>
        <w:pStyle w:val="9"/>
        <w:spacing w:before="11"/>
        <w:ind w:left="0"/>
        <w:jc w:val="left"/>
        <w:rPr>
          <w:rFonts w:hint="eastAsia"/>
          <w:sz w:val="30"/>
          <w:szCs w:val="30"/>
        </w:rPr>
      </w:pPr>
      <w:r>
        <w:rPr>
          <w:rFonts w:hint="eastAsia"/>
          <w:sz w:val="30"/>
          <w:szCs w:val="30"/>
        </w:rPr>
        <w:t>2.We also catch a glimpse of the Kingdom in the fact that Abraham gave Isaac his son “all that he had” (Gen. 24:36, 25:5).</w:t>
      </w:r>
    </w:p>
    <w:p w14:paraId="76AB321E">
      <w:pPr>
        <w:pStyle w:val="9"/>
        <w:spacing w:before="11"/>
        <w:ind w:left="0"/>
        <w:jc w:val="left"/>
        <w:rPr>
          <w:rFonts w:hint="eastAsia"/>
          <w:sz w:val="30"/>
          <w:szCs w:val="30"/>
        </w:rPr>
      </w:pPr>
      <w:r>
        <w:rPr>
          <w:rFonts w:hint="eastAsia"/>
          <w:sz w:val="30"/>
          <w:szCs w:val="30"/>
        </w:rPr>
        <w:t>2.我们也能从亚伯拉罕将他儿子以撒“他所有的”都给了他这一事实中，瞥见国度的影子（创24:36, 25:5）。</w:t>
      </w:r>
    </w:p>
    <w:p w14:paraId="7AD0EB65">
      <w:pPr>
        <w:pStyle w:val="9"/>
        <w:spacing w:before="11"/>
        <w:ind w:left="0"/>
        <w:jc w:val="left"/>
        <w:rPr>
          <w:rFonts w:hint="eastAsia"/>
          <w:sz w:val="30"/>
          <w:szCs w:val="30"/>
        </w:rPr>
      </w:pPr>
    </w:p>
    <w:p w14:paraId="13FEE072">
      <w:pPr>
        <w:pStyle w:val="9"/>
        <w:spacing w:before="11"/>
        <w:ind w:left="0"/>
        <w:jc w:val="left"/>
        <w:rPr>
          <w:rFonts w:hint="eastAsia"/>
          <w:sz w:val="30"/>
          <w:szCs w:val="30"/>
        </w:rPr>
      </w:pPr>
      <w:r>
        <w:rPr>
          <w:rFonts w:hint="eastAsia"/>
          <w:sz w:val="30"/>
          <w:szCs w:val="30"/>
        </w:rPr>
        <w:t>This typifies the exaltation of Christ, into whose hands the Father placed “all things” (i.e., all authority, all power, and all custody of the cosmos), thereby making him the High King of heaven and earth (Mt. 11:27, 28:18f, Acts 2:36, Phil. 2:1f).</w:t>
      </w:r>
    </w:p>
    <w:p w14:paraId="7E2FE015">
      <w:pPr>
        <w:pStyle w:val="9"/>
        <w:spacing w:before="11"/>
        <w:ind w:left="0"/>
        <w:jc w:val="left"/>
        <w:rPr>
          <w:rFonts w:hint="eastAsia"/>
          <w:sz w:val="30"/>
          <w:szCs w:val="30"/>
        </w:rPr>
      </w:pPr>
      <w:r>
        <w:rPr>
          <w:rFonts w:hint="eastAsia"/>
          <w:sz w:val="30"/>
          <w:szCs w:val="30"/>
        </w:rPr>
        <w:t>这预表了基督的高举，父已将“万有”（即一切权柄、一切能力和对宇宙的一切保管权）都交在祂手中，从而使祂成为天地至高的君王（太11:27, 28:18及以下，徒2:36，腓2:1及以下）。</w:t>
      </w:r>
    </w:p>
    <w:p w14:paraId="363B0EC0">
      <w:pPr>
        <w:pStyle w:val="9"/>
        <w:spacing w:before="11"/>
        <w:ind w:left="0"/>
        <w:jc w:val="left"/>
        <w:rPr>
          <w:rFonts w:hint="eastAsia"/>
          <w:sz w:val="30"/>
          <w:szCs w:val="30"/>
        </w:rPr>
      </w:pPr>
    </w:p>
    <w:p w14:paraId="32DB3E2E">
      <w:pPr>
        <w:pStyle w:val="9"/>
        <w:spacing w:before="11"/>
        <w:ind w:left="0"/>
        <w:jc w:val="left"/>
        <w:rPr>
          <w:rFonts w:hint="eastAsia"/>
          <w:sz w:val="30"/>
          <w:szCs w:val="30"/>
        </w:rPr>
      </w:pPr>
      <w:r>
        <w:rPr>
          <w:rFonts w:hint="eastAsia"/>
          <w:sz w:val="30"/>
          <w:szCs w:val="30"/>
        </w:rPr>
        <w:t>3. Though OT Israel typified God’s elect, not all Israelites were part of God’s elect.</w:t>
      </w:r>
    </w:p>
    <w:p w14:paraId="70B1B389">
      <w:pPr>
        <w:pStyle w:val="9"/>
        <w:spacing w:before="11"/>
        <w:ind w:left="0"/>
        <w:jc w:val="left"/>
        <w:rPr>
          <w:rFonts w:hint="eastAsia"/>
          <w:sz w:val="30"/>
          <w:szCs w:val="30"/>
        </w:rPr>
      </w:pPr>
      <w:r>
        <w:rPr>
          <w:rFonts w:hint="eastAsia"/>
          <w:sz w:val="30"/>
          <w:szCs w:val="30"/>
        </w:rPr>
        <w:t>3. 尽管旧约的以色列预表了神的选民，但并非所有的以色列人都是神选民的一部分。</w:t>
      </w:r>
    </w:p>
    <w:p w14:paraId="7DFA0B28">
      <w:pPr>
        <w:pStyle w:val="9"/>
        <w:spacing w:before="11"/>
        <w:ind w:left="0"/>
        <w:jc w:val="left"/>
        <w:rPr>
          <w:rFonts w:hint="eastAsia"/>
          <w:sz w:val="30"/>
          <w:szCs w:val="30"/>
        </w:rPr>
      </w:pPr>
    </w:p>
    <w:p w14:paraId="5F1D9239">
      <w:pPr>
        <w:pStyle w:val="9"/>
        <w:spacing w:before="11"/>
        <w:ind w:left="0"/>
        <w:jc w:val="left"/>
        <w:rPr>
          <w:rFonts w:hint="eastAsia"/>
          <w:sz w:val="30"/>
          <w:szCs w:val="30"/>
        </w:rPr>
      </w:pPr>
      <w:r>
        <w:rPr>
          <w:rFonts w:hint="eastAsia"/>
          <w:sz w:val="30"/>
          <w:szCs w:val="30"/>
        </w:rPr>
        <w:t>As Paul the apostle put it, “They are not all Israel who are descended from Israel” (Rom. 9:6).</w:t>
      </w:r>
    </w:p>
    <w:p w14:paraId="41F8E142">
      <w:pPr>
        <w:pStyle w:val="9"/>
        <w:spacing w:before="11"/>
        <w:ind w:left="0"/>
        <w:jc w:val="left"/>
        <w:rPr>
          <w:rFonts w:hint="eastAsia"/>
          <w:sz w:val="30"/>
          <w:szCs w:val="30"/>
        </w:rPr>
      </w:pPr>
      <w:r>
        <w:rPr>
          <w:rFonts w:hint="eastAsia"/>
          <w:sz w:val="30"/>
          <w:szCs w:val="30"/>
        </w:rPr>
        <w:t>正如使徒保罗所说：“从以色列生的，不都是以色列人”（罗9:6）。</w:t>
      </w:r>
    </w:p>
    <w:p w14:paraId="5087534A">
      <w:pPr>
        <w:pStyle w:val="9"/>
        <w:spacing w:before="11"/>
        <w:ind w:left="0"/>
        <w:jc w:val="left"/>
        <w:rPr>
          <w:rFonts w:hint="eastAsia"/>
          <w:sz w:val="30"/>
          <w:szCs w:val="30"/>
        </w:rPr>
      </w:pPr>
    </w:p>
    <w:p w14:paraId="600821B4">
      <w:pPr>
        <w:pStyle w:val="9"/>
        <w:spacing w:before="11"/>
        <w:ind w:left="0"/>
        <w:jc w:val="left"/>
        <w:rPr>
          <w:rFonts w:hint="eastAsia"/>
          <w:sz w:val="30"/>
          <w:szCs w:val="30"/>
        </w:rPr>
      </w:pPr>
      <w:r>
        <w:rPr>
          <w:rFonts w:hint="eastAsia"/>
          <w:sz w:val="30"/>
          <w:szCs w:val="30"/>
        </w:rPr>
        <w:t>It was only the godly Jews, in whom the Spirit had wrought true repentance and faith (especially faith in the promised Messiah), who belonged to “the Israel of God” (Gal. 6:6).</w:t>
      </w:r>
    </w:p>
    <w:p w14:paraId="3F916BD7">
      <w:pPr>
        <w:pStyle w:val="9"/>
        <w:spacing w:before="11"/>
        <w:ind w:left="0"/>
        <w:jc w:val="left"/>
        <w:rPr>
          <w:rFonts w:hint="eastAsia"/>
          <w:sz w:val="30"/>
          <w:szCs w:val="30"/>
        </w:rPr>
      </w:pPr>
      <w:r>
        <w:rPr>
          <w:rFonts w:hint="eastAsia"/>
          <w:sz w:val="30"/>
          <w:szCs w:val="30"/>
        </w:rPr>
        <w:t>只有那些敬虔的犹太人，圣灵在他们里面生发了真实的悔改和信心（特别是对所应许的弥赛亚的信心），才属于“神的以色列”（加6:6）。</w:t>
      </w:r>
    </w:p>
    <w:p w14:paraId="7A39C0D4">
      <w:pPr>
        <w:pStyle w:val="9"/>
        <w:spacing w:before="11"/>
        <w:ind w:left="0"/>
        <w:jc w:val="left"/>
        <w:rPr>
          <w:rFonts w:hint="eastAsia"/>
          <w:sz w:val="30"/>
          <w:szCs w:val="30"/>
        </w:rPr>
      </w:pPr>
    </w:p>
    <w:p w14:paraId="0B5C030A">
      <w:pPr>
        <w:pStyle w:val="9"/>
        <w:spacing w:before="11"/>
        <w:ind w:left="0"/>
        <w:jc w:val="left"/>
        <w:rPr>
          <w:rFonts w:hint="eastAsia"/>
          <w:sz w:val="30"/>
          <w:szCs w:val="30"/>
        </w:rPr>
      </w:pPr>
      <w:r>
        <w:rPr>
          <w:rFonts w:hint="eastAsia"/>
          <w:sz w:val="30"/>
          <w:szCs w:val="30"/>
        </w:rPr>
        <w:t>4.See Louis Berkhoff, Systematic Theology, (Eerdmans, 1977), p. 298.</w:t>
      </w:r>
    </w:p>
    <w:p w14:paraId="1D84D1FA">
      <w:pPr>
        <w:pStyle w:val="9"/>
        <w:spacing w:before="11"/>
        <w:ind w:left="0"/>
        <w:jc w:val="left"/>
        <w:rPr>
          <w:rFonts w:hint="eastAsia"/>
          <w:sz w:val="30"/>
          <w:szCs w:val="30"/>
        </w:rPr>
      </w:pPr>
      <w:r>
        <w:rPr>
          <w:rFonts w:hint="eastAsia"/>
          <w:sz w:val="30"/>
          <w:szCs w:val="30"/>
        </w:rPr>
        <w:t>4.见路易·伯克富，《系统神学》（Eerdmans, 1977），第298页。</w:t>
      </w:r>
    </w:p>
    <w:p w14:paraId="6DA9009F">
      <w:pPr>
        <w:pStyle w:val="9"/>
        <w:spacing w:before="11"/>
        <w:ind w:left="0"/>
        <w:jc w:val="left"/>
        <w:rPr>
          <w:rFonts w:hint="eastAsia"/>
          <w:sz w:val="30"/>
          <w:szCs w:val="30"/>
        </w:rPr>
      </w:pPr>
    </w:p>
    <w:p w14:paraId="44A8872A">
      <w:pPr>
        <w:pStyle w:val="9"/>
        <w:spacing w:before="11"/>
        <w:ind w:left="0"/>
        <w:jc w:val="left"/>
        <w:rPr>
          <w:rFonts w:hint="eastAsia"/>
          <w:sz w:val="30"/>
          <w:szCs w:val="30"/>
        </w:rPr>
      </w:pPr>
      <w:r>
        <w:rPr>
          <w:rFonts w:hint="eastAsia"/>
          <w:sz w:val="30"/>
          <w:szCs w:val="30"/>
        </w:rPr>
        <w:t>5. Again, we will see in chapter 9 that Christ and the apostles did indeed envision the Kingdom as coming in two basic stages, a temporary Era of Proclamation followed by an eternal Era of Reward and Retribution, the two eras being separated by a single Consummation at the Parousia of Christ.</w:t>
      </w:r>
    </w:p>
    <w:p w14:paraId="35ABA21B">
      <w:pPr>
        <w:pStyle w:val="9"/>
        <w:spacing w:before="11"/>
        <w:ind w:left="0"/>
        <w:jc w:val="left"/>
        <w:rPr>
          <w:rFonts w:hint="eastAsia"/>
          <w:sz w:val="30"/>
          <w:szCs w:val="30"/>
        </w:rPr>
      </w:pPr>
      <w:r>
        <w:rPr>
          <w:rFonts w:hint="eastAsia"/>
          <w:sz w:val="30"/>
          <w:szCs w:val="30"/>
        </w:rPr>
        <w:t>5. 再次强调，我们将在第9章中看到，基督和使徒们确实设想国度是以两个基本阶段来临的，即一个暂时的传讲时代，其后是一个永恒的赏罚时代，这两个时代由基督再来时的一个单一结局所分隔。</w:t>
      </w:r>
    </w:p>
    <w:p w14:paraId="076C28A4">
      <w:pPr>
        <w:pStyle w:val="9"/>
        <w:spacing w:before="11"/>
        <w:ind w:left="0"/>
        <w:jc w:val="left"/>
        <w:rPr>
          <w:rFonts w:hint="eastAsia"/>
          <w:sz w:val="30"/>
          <w:szCs w:val="30"/>
        </w:rPr>
      </w:pPr>
    </w:p>
    <w:p w14:paraId="18B53006">
      <w:pPr>
        <w:pStyle w:val="9"/>
        <w:spacing w:before="11"/>
        <w:ind w:left="0"/>
        <w:jc w:val="left"/>
        <w:rPr>
          <w:rFonts w:hint="eastAsia"/>
          <w:sz w:val="30"/>
          <w:szCs w:val="30"/>
        </w:rPr>
      </w:pPr>
      <w:r>
        <w:rPr>
          <w:rFonts w:hint="eastAsia"/>
          <w:sz w:val="30"/>
          <w:szCs w:val="30"/>
        </w:rPr>
        <w:t>Chapter 9: The Coming of the Kingdom</w:t>
      </w:r>
    </w:p>
    <w:p w14:paraId="7C7A8D10">
      <w:pPr>
        <w:pStyle w:val="9"/>
        <w:spacing w:before="11"/>
        <w:ind w:left="0"/>
        <w:jc w:val="left"/>
        <w:rPr>
          <w:rFonts w:hint="eastAsia"/>
          <w:sz w:val="30"/>
          <w:szCs w:val="30"/>
        </w:rPr>
      </w:pPr>
      <w:r>
        <w:rPr>
          <w:rFonts w:hint="eastAsia"/>
          <w:sz w:val="30"/>
          <w:szCs w:val="30"/>
        </w:rPr>
        <w:t>第9章：国度的降临</w:t>
      </w:r>
    </w:p>
    <w:p w14:paraId="6C8CDC08">
      <w:pPr>
        <w:pStyle w:val="9"/>
        <w:spacing w:before="11"/>
        <w:ind w:left="0"/>
        <w:jc w:val="left"/>
        <w:rPr>
          <w:rFonts w:hint="eastAsia"/>
          <w:sz w:val="30"/>
          <w:szCs w:val="30"/>
        </w:rPr>
      </w:pPr>
    </w:p>
    <w:p w14:paraId="0B1EAB74">
      <w:pPr>
        <w:pStyle w:val="9"/>
        <w:spacing w:before="11"/>
        <w:ind w:left="0"/>
        <w:jc w:val="left"/>
        <w:rPr>
          <w:rFonts w:hint="eastAsia"/>
          <w:sz w:val="30"/>
          <w:szCs w:val="30"/>
        </w:rPr>
      </w:pPr>
      <w:r>
        <w:rPr>
          <w:rFonts w:hint="eastAsia"/>
          <w:sz w:val="30"/>
          <w:szCs w:val="30"/>
        </w:rPr>
        <w:t>1.In 1 Cor. 15:50-57 Paul completes his discussion of the resurrection by introducing another “mystery,” the previously hidden truth that the saints living at the time of the Parousia will not die, but will be glorified “in a moment, in the twinkling of an eye, at the last trumpet.”</w:t>
      </w:r>
    </w:p>
    <w:p w14:paraId="57CF7FB4">
      <w:pPr>
        <w:pStyle w:val="9"/>
        <w:spacing w:before="11"/>
        <w:ind w:left="0"/>
        <w:jc w:val="left"/>
        <w:rPr>
          <w:rFonts w:hint="eastAsia"/>
          <w:sz w:val="30"/>
          <w:szCs w:val="30"/>
        </w:rPr>
      </w:pPr>
      <w:r>
        <w:rPr>
          <w:rFonts w:hint="eastAsia"/>
          <w:sz w:val="30"/>
          <w:szCs w:val="30"/>
        </w:rPr>
        <w:t>1.在哥林多前书15:50-57中，保罗通过引入另一个“奥秘”来完成他对复活的讨论，这个奥秘是先前隐藏的真理，即在主再来时活着的圣徒将不会死，而是在“一霎时，眨眼之间，在末次号筒吹响的时候”得荣耀。</w:t>
      </w:r>
    </w:p>
    <w:p w14:paraId="3D1DC4B5">
      <w:pPr>
        <w:pStyle w:val="9"/>
        <w:spacing w:before="11"/>
        <w:ind w:left="0"/>
        <w:jc w:val="left"/>
        <w:rPr>
          <w:rFonts w:hint="eastAsia"/>
          <w:sz w:val="30"/>
          <w:szCs w:val="30"/>
        </w:rPr>
      </w:pPr>
    </w:p>
    <w:p w14:paraId="78CA34DB">
      <w:pPr>
        <w:pStyle w:val="9"/>
        <w:spacing w:before="11"/>
        <w:ind w:left="0"/>
        <w:jc w:val="left"/>
        <w:rPr>
          <w:rFonts w:hint="eastAsia"/>
          <w:sz w:val="30"/>
          <w:szCs w:val="30"/>
        </w:rPr>
      </w:pPr>
      <w:r>
        <w:rPr>
          <w:rFonts w:hint="eastAsia"/>
          <w:sz w:val="30"/>
          <w:szCs w:val="30"/>
        </w:rPr>
        <w:t>This text also powerfully supports the simple two-staged view of the coming of the Kingdom.</w:t>
      </w:r>
    </w:p>
    <w:p w14:paraId="4BC0F698">
      <w:pPr>
        <w:pStyle w:val="9"/>
        <w:spacing w:before="11"/>
        <w:ind w:left="0"/>
        <w:jc w:val="left"/>
        <w:rPr>
          <w:rFonts w:hint="eastAsia"/>
          <w:sz w:val="30"/>
          <w:szCs w:val="30"/>
        </w:rPr>
      </w:pPr>
      <w:r>
        <w:rPr>
          <w:rFonts w:hint="eastAsia"/>
          <w:sz w:val="30"/>
          <w:szCs w:val="30"/>
        </w:rPr>
        <w:t>这段经文也有力地支持了国度降临的简单两阶段观点。</w:t>
      </w:r>
    </w:p>
    <w:p w14:paraId="15894839">
      <w:pPr>
        <w:pStyle w:val="9"/>
        <w:spacing w:before="11"/>
        <w:ind w:left="0"/>
        <w:jc w:val="left"/>
        <w:rPr>
          <w:rFonts w:hint="eastAsia"/>
          <w:sz w:val="30"/>
          <w:szCs w:val="30"/>
        </w:rPr>
      </w:pPr>
    </w:p>
    <w:p w14:paraId="3BAD13CA">
      <w:pPr>
        <w:pStyle w:val="9"/>
        <w:spacing w:before="11"/>
        <w:ind w:left="0"/>
        <w:jc w:val="left"/>
        <w:rPr>
          <w:rFonts w:hint="eastAsia"/>
          <w:sz w:val="30"/>
          <w:szCs w:val="30"/>
        </w:rPr>
      </w:pPr>
      <w:r>
        <w:rPr>
          <w:rFonts w:hint="eastAsia"/>
          <w:sz w:val="30"/>
          <w:szCs w:val="30"/>
        </w:rPr>
        <w:t>When will the living saints be glorified?</w:t>
      </w:r>
    </w:p>
    <w:p w14:paraId="04A5253E">
      <w:pPr>
        <w:pStyle w:val="9"/>
        <w:spacing w:before="11"/>
        <w:ind w:left="0"/>
        <w:jc w:val="left"/>
        <w:rPr>
          <w:rFonts w:hint="eastAsia"/>
          <w:sz w:val="30"/>
          <w:szCs w:val="30"/>
        </w:rPr>
      </w:pPr>
      <w:r>
        <w:rPr>
          <w:rFonts w:hint="eastAsia"/>
          <w:sz w:val="30"/>
          <w:szCs w:val="30"/>
        </w:rPr>
        <w:t>活着的圣徒何时得荣耀？</w:t>
      </w:r>
    </w:p>
    <w:p w14:paraId="3073A5F0">
      <w:pPr>
        <w:pStyle w:val="9"/>
        <w:spacing w:before="11"/>
        <w:ind w:left="0"/>
        <w:jc w:val="left"/>
        <w:rPr>
          <w:rFonts w:hint="eastAsia"/>
          <w:sz w:val="30"/>
          <w:szCs w:val="30"/>
        </w:rPr>
      </w:pPr>
    </w:p>
    <w:p w14:paraId="170BE03F">
      <w:pPr>
        <w:pStyle w:val="9"/>
        <w:spacing w:before="11"/>
        <w:ind w:left="0"/>
        <w:jc w:val="left"/>
        <w:rPr>
          <w:rFonts w:hint="eastAsia"/>
          <w:sz w:val="30"/>
          <w:szCs w:val="30"/>
        </w:rPr>
      </w:pPr>
      <w:r>
        <w:rPr>
          <w:rFonts w:hint="eastAsia"/>
          <w:sz w:val="30"/>
          <w:szCs w:val="30"/>
        </w:rPr>
        <w:t>At the resurrection of the dead (52).</w:t>
      </w:r>
    </w:p>
    <w:p w14:paraId="3B0C81A1">
      <w:pPr>
        <w:pStyle w:val="9"/>
        <w:spacing w:before="11"/>
        <w:ind w:left="0"/>
        <w:jc w:val="left"/>
        <w:rPr>
          <w:rFonts w:hint="eastAsia"/>
          <w:sz w:val="30"/>
          <w:szCs w:val="30"/>
        </w:rPr>
      </w:pPr>
      <w:r>
        <w:rPr>
          <w:rFonts w:hint="eastAsia"/>
          <w:sz w:val="30"/>
          <w:szCs w:val="30"/>
        </w:rPr>
        <w:t>在死人复活的时候（52节）。</w:t>
      </w:r>
    </w:p>
    <w:p w14:paraId="203F8BE3">
      <w:pPr>
        <w:pStyle w:val="9"/>
        <w:spacing w:before="11"/>
        <w:ind w:left="0"/>
        <w:jc w:val="left"/>
        <w:rPr>
          <w:rFonts w:hint="eastAsia"/>
          <w:sz w:val="30"/>
          <w:szCs w:val="30"/>
        </w:rPr>
      </w:pPr>
    </w:p>
    <w:p w14:paraId="3D871C5A">
      <w:pPr>
        <w:pStyle w:val="9"/>
        <w:spacing w:before="11"/>
        <w:ind w:left="0"/>
        <w:jc w:val="left"/>
        <w:rPr>
          <w:rFonts w:hint="eastAsia"/>
          <w:sz w:val="30"/>
          <w:szCs w:val="30"/>
        </w:rPr>
      </w:pPr>
      <w:r>
        <w:rPr>
          <w:rFonts w:hint="eastAsia"/>
          <w:sz w:val="30"/>
          <w:szCs w:val="30"/>
        </w:rPr>
        <w:t>When will the resurrection occur?</w:t>
      </w:r>
    </w:p>
    <w:p w14:paraId="6EECDEA7">
      <w:pPr>
        <w:pStyle w:val="9"/>
        <w:spacing w:before="11"/>
        <w:ind w:left="0"/>
        <w:jc w:val="left"/>
        <w:rPr>
          <w:rFonts w:hint="eastAsia"/>
          <w:sz w:val="30"/>
          <w:szCs w:val="30"/>
        </w:rPr>
      </w:pPr>
      <w:r>
        <w:rPr>
          <w:rFonts w:hint="eastAsia"/>
          <w:sz w:val="30"/>
          <w:szCs w:val="30"/>
        </w:rPr>
        <w:t>复活何时发生？</w:t>
      </w:r>
    </w:p>
    <w:p w14:paraId="0632CC44">
      <w:pPr>
        <w:pStyle w:val="9"/>
        <w:spacing w:before="11"/>
        <w:ind w:left="0"/>
        <w:jc w:val="left"/>
        <w:rPr>
          <w:rFonts w:hint="eastAsia"/>
          <w:sz w:val="30"/>
          <w:szCs w:val="30"/>
        </w:rPr>
      </w:pPr>
    </w:p>
    <w:p w14:paraId="3A7E5036">
      <w:pPr>
        <w:pStyle w:val="9"/>
        <w:spacing w:before="11"/>
        <w:ind w:left="0"/>
        <w:jc w:val="left"/>
        <w:rPr>
          <w:rFonts w:hint="eastAsia"/>
          <w:sz w:val="30"/>
          <w:szCs w:val="30"/>
        </w:rPr>
      </w:pPr>
      <w:r>
        <w:rPr>
          <w:rFonts w:hint="eastAsia"/>
          <w:sz w:val="30"/>
          <w:szCs w:val="30"/>
        </w:rPr>
        <w:t>At the Parousia (23).</w:t>
      </w:r>
    </w:p>
    <w:p w14:paraId="6BCF4B90">
      <w:pPr>
        <w:pStyle w:val="9"/>
        <w:spacing w:before="11"/>
        <w:ind w:left="0"/>
        <w:jc w:val="left"/>
        <w:rPr>
          <w:rFonts w:hint="eastAsia"/>
          <w:sz w:val="30"/>
          <w:szCs w:val="30"/>
        </w:rPr>
      </w:pPr>
      <w:r>
        <w:rPr>
          <w:rFonts w:hint="eastAsia"/>
          <w:sz w:val="30"/>
          <w:szCs w:val="30"/>
        </w:rPr>
        <w:t>在主的再来时（23节）。</w:t>
      </w:r>
    </w:p>
    <w:p w14:paraId="614452EC">
      <w:pPr>
        <w:pStyle w:val="9"/>
        <w:spacing w:before="11"/>
        <w:ind w:left="0"/>
        <w:jc w:val="left"/>
        <w:rPr>
          <w:rFonts w:hint="eastAsia"/>
          <w:sz w:val="30"/>
          <w:szCs w:val="30"/>
        </w:rPr>
      </w:pPr>
    </w:p>
    <w:p w14:paraId="6A4690CF">
      <w:pPr>
        <w:pStyle w:val="9"/>
        <w:spacing w:before="11"/>
        <w:ind w:left="0"/>
        <w:jc w:val="left"/>
        <w:rPr>
          <w:rFonts w:hint="eastAsia"/>
          <w:sz w:val="30"/>
          <w:szCs w:val="30"/>
        </w:rPr>
      </w:pPr>
      <w:r>
        <w:rPr>
          <w:rFonts w:hint="eastAsia"/>
          <w:sz w:val="30"/>
          <w:szCs w:val="30"/>
        </w:rPr>
        <w:t>What will sound at the Parousia?</w:t>
      </w:r>
    </w:p>
    <w:p w14:paraId="749EB7E8">
      <w:pPr>
        <w:pStyle w:val="9"/>
        <w:spacing w:before="11"/>
        <w:ind w:left="0"/>
        <w:jc w:val="left"/>
        <w:rPr>
          <w:rFonts w:hint="eastAsia"/>
          <w:sz w:val="30"/>
          <w:szCs w:val="30"/>
        </w:rPr>
      </w:pPr>
      <w:r>
        <w:rPr>
          <w:rFonts w:hint="eastAsia"/>
          <w:sz w:val="30"/>
          <w:szCs w:val="30"/>
        </w:rPr>
        <w:t>在主的再来时将吹响什么？</w:t>
      </w:r>
    </w:p>
    <w:p w14:paraId="14FFD88D">
      <w:pPr>
        <w:pStyle w:val="9"/>
        <w:spacing w:before="11"/>
        <w:ind w:left="0"/>
        <w:jc w:val="left"/>
        <w:rPr>
          <w:rFonts w:hint="eastAsia"/>
          <w:sz w:val="30"/>
          <w:szCs w:val="30"/>
        </w:rPr>
      </w:pPr>
    </w:p>
    <w:p w14:paraId="21D5DEA9">
      <w:pPr>
        <w:pStyle w:val="9"/>
        <w:spacing w:before="11"/>
        <w:ind w:left="0"/>
        <w:jc w:val="left"/>
        <w:rPr>
          <w:rFonts w:hint="eastAsia"/>
          <w:sz w:val="30"/>
          <w:szCs w:val="30"/>
        </w:rPr>
      </w:pPr>
      <w:r>
        <w:rPr>
          <w:rFonts w:hint="eastAsia"/>
          <w:sz w:val="30"/>
          <w:szCs w:val="30"/>
        </w:rPr>
        <w:t>The last trumpet (52).</w:t>
      </w:r>
    </w:p>
    <w:p w14:paraId="2C321073">
      <w:pPr>
        <w:pStyle w:val="9"/>
        <w:spacing w:before="11"/>
        <w:ind w:left="0"/>
        <w:jc w:val="left"/>
        <w:rPr>
          <w:rFonts w:hint="eastAsia"/>
          <w:sz w:val="30"/>
          <w:szCs w:val="30"/>
        </w:rPr>
      </w:pPr>
      <w:r>
        <w:rPr>
          <w:rFonts w:hint="eastAsia"/>
          <w:sz w:val="30"/>
          <w:szCs w:val="30"/>
        </w:rPr>
        <w:t>末次的号筒（52节）。</w:t>
      </w:r>
    </w:p>
    <w:p w14:paraId="7DB76798">
      <w:pPr>
        <w:pStyle w:val="9"/>
        <w:spacing w:before="11"/>
        <w:ind w:left="0"/>
        <w:jc w:val="left"/>
        <w:rPr>
          <w:rFonts w:hint="eastAsia"/>
          <w:sz w:val="30"/>
          <w:szCs w:val="30"/>
        </w:rPr>
      </w:pPr>
    </w:p>
    <w:p w14:paraId="2EAB3A99">
      <w:pPr>
        <w:pStyle w:val="9"/>
        <w:spacing w:before="11"/>
        <w:ind w:left="0"/>
        <w:jc w:val="left"/>
        <w:rPr>
          <w:rFonts w:hint="eastAsia"/>
          <w:sz w:val="30"/>
          <w:szCs w:val="30"/>
        </w:rPr>
      </w:pPr>
      <w:r>
        <w:rPr>
          <w:rFonts w:hint="eastAsia"/>
          <w:sz w:val="30"/>
          <w:szCs w:val="30"/>
        </w:rPr>
        <w:t>Why is it called the last trumpet?</w:t>
      </w:r>
    </w:p>
    <w:p w14:paraId="78D2ECD9">
      <w:pPr>
        <w:pStyle w:val="9"/>
        <w:spacing w:before="11"/>
        <w:ind w:left="0"/>
        <w:jc w:val="left"/>
        <w:rPr>
          <w:rFonts w:hint="eastAsia"/>
          <w:sz w:val="30"/>
          <w:szCs w:val="30"/>
        </w:rPr>
      </w:pPr>
      <w:r>
        <w:rPr>
          <w:rFonts w:hint="eastAsia"/>
          <w:sz w:val="30"/>
          <w:szCs w:val="30"/>
        </w:rPr>
        <w:t>为何它被称为末次的号筒？</w:t>
      </w:r>
    </w:p>
    <w:p w14:paraId="4197DF2B">
      <w:pPr>
        <w:pStyle w:val="9"/>
        <w:spacing w:before="11"/>
        <w:ind w:left="0"/>
        <w:jc w:val="left"/>
        <w:rPr>
          <w:rFonts w:hint="eastAsia"/>
          <w:sz w:val="30"/>
          <w:szCs w:val="30"/>
        </w:rPr>
      </w:pPr>
    </w:p>
    <w:p w14:paraId="0BF58B3B">
      <w:pPr>
        <w:pStyle w:val="9"/>
        <w:spacing w:before="11"/>
        <w:ind w:left="0"/>
        <w:jc w:val="left"/>
        <w:rPr>
          <w:rFonts w:hint="eastAsia"/>
          <w:sz w:val="30"/>
          <w:szCs w:val="30"/>
        </w:rPr>
      </w:pPr>
      <w:r>
        <w:rPr>
          <w:rFonts w:hint="eastAsia"/>
          <w:sz w:val="30"/>
          <w:szCs w:val="30"/>
        </w:rPr>
        <w:t>Because it heralds the one resurrection that will forever swallow up death in victory (54-55).</w:t>
      </w:r>
    </w:p>
    <w:p w14:paraId="3A304BB7">
      <w:pPr>
        <w:pStyle w:val="9"/>
        <w:spacing w:before="11"/>
        <w:ind w:left="0"/>
        <w:jc w:val="left"/>
        <w:rPr>
          <w:rFonts w:hint="eastAsia"/>
          <w:sz w:val="30"/>
          <w:szCs w:val="30"/>
        </w:rPr>
      </w:pPr>
      <w:r>
        <w:rPr>
          <w:rFonts w:hint="eastAsia"/>
          <w:sz w:val="30"/>
          <w:szCs w:val="30"/>
        </w:rPr>
        <w:t>因为它预示着那一次将永远吞灭死亡得胜的复活（54-55节）。</w:t>
      </w:r>
    </w:p>
    <w:p w14:paraId="1163AAE4">
      <w:pPr>
        <w:pStyle w:val="9"/>
        <w:spacing w:before="11"/>
        <w:ind w:left="0"/>
        <w:jc w:val="left"/>
        <w:rPr>
          <w:rFonts w:hint="eastAsia"/>
          <w:sz w:val="30"/>
          <w:szCs w:val="30"/>
        </w:rPr>
      </w:pPr>
    </w:p>
    <w:p w14:paraId="74B6EF99">
      <w:pPr>
        <w:pStyle w:val="9"/>
        <w:spacing w:before="11"/>
        <w:ind w:left="0"/>
        <w:jc w:val="left"/>
        <w:rPr>
          <w:rFonts w:hint="eastAsia"/>
          <w:sz w:val="30"/>
          <w:szCs w:val="30"/>
        </w:rPr>
      </w:pPr>
      <w:r>
        <w:rPr>
          <w:rFonts w:hint="eastAsia"/>
          <w:sz w:val="30"/>
          <w:szCs w:val="30"/>
        </w:rPr>
        <w:t>So then, for Paul the Parousia brings the end (24), the subjection of all enemies (25), the subjection of all things (26), the last trumpet (52), the one resurrection of the dead (52), the one glorification of the living saints, and (for the saints and the world they will inherit) the eternal abolition of death.</w:t>
      </w:r>
    </w:p>
    <w:p w14:paraId="688D41D8">
      <w:pPr>
        <w:pStyle w:val="9"/>
        <w:spacing w:before="11"/>
        <w:ind w:left="0"/>
        <w:jc w:val="left"/>
        <w:rPr>
          <w:rFonts w:hint="eastAsia"/>
          <w:sz w:val="30"/>
          <w:szCs w:val="30"/>
        </w:rPr>
      </w:pPr>
      <w:r>
        <w:rPr>
          <w:rFonts w:hint="eastAsia"/>
          <w:sz w:val="30"/>
          <w:szCs w:val="30"/>
        </w:rPr>
        <w:t>所以，对保罗来说，主的再来带来了末期（24节）、所有仇敌的屈服（25节）、万物的屈服（26节）、末次的号筒（52节）、死人的一次复活（52节）、活着圣徒的一次得荣，以及（对圣徒和他们将要承受的世界而言）死亡的永远废除。</w:t>
      </w:r>
    </w:p>
    <w:p w14:paraId="548D106B">
      <w:pPr>
        <w:pStyle w:val="9"/>
        <w:spacing w:before="11"/>
        <w:ind w:left="0"/>
        <w:jc w:val="left"/>
        <w:rPr>
          <w:rFonts w:hint="eastAsia"/>
          <w:sz w:val="30"/>
          <w:szCs w:val="30"/>
        </w:rPr>
      </w:pPr>
    </w:p>
    <w:p w14:paraId="2D4F96DA">
      <w:pPr>
        <w:pStyle w:val="9"/>
        <w:spacing w:before="11"/>
        <w:ind w:left="0"/>
        <w:jc w:val="left"/>
        <w:rPr>
          <w:rFonts w:hint="eastAsia"/>
          <w:sz w:val="30"/>
          <w:szCs w:val="30"/>
        </w:rPr>
      </w:pPr>
      <w:r>
        <w:rPr>
          <w:rFonts w:hint="eastAsia"/>
          <w:sz w:val="30"/>
          <w:szCs w:val="30"/>
        </w:rPr>
        <w:t>In short, the Parousia brings the Consummation of all things.</w:t>
      </w:r>
    </w:p>
    <w:p w14:paraId="21081DC1">
      <w:pPr>
        <w:pStyle w:val="9"/>
        <w:spacing w:before="11"/>
        <w:ind w:left="0"/>
        <w:jc w:val="left"/>
        <w:rPr>
          <w:rFonts w:hint="eastAsia"/>
          <w:sz w:val="30"/>
          <w:szCs w:val="30"/>
        </w:rPr>
      </w:pPr>
      <w:r>
        <w:rPr>
          <w:rFonts w:hint="eastAsia"/>
          <w:sz w:val="30"/>
          <w:szCs w:val="30"/>
        </w:rPr>
        <w:t>简而言之，主的再来带来了万物的结局。</w:t>
      </w:r>
    </w:p>
    <w:p w14:paraId="01559C50">
      <w:pPr>
        <w:pStyle w:val="9"/>
        <w:spacing w:before="11"/>
        <w:ind w:left="0"/>
        <w:jc w:val="left"/>
        <w:rPr>
          <w:rFonts w:hint="eastAsia"/>
          <w:sz w:val="30"/>
          <w:szCs w:val="30"/>
        </w:rPr>
      </w:pPr>
    </w:p>
    <w:p w14:paraId="78FABC47">
      <w:pPr>
        <w:pStyle w:val="9"/>
        <w:spacing w:before="11"/>
        <w:ind w:left="0"/>
        <w:jc w:val="left"/>
        <w:rPr>
          <w:rFonts w:hint="eastAsia"/>
          <w:sz w:val="30"/>
          <w:szCs w:val="30"/>
        </w:rPr>
      </w:pPr>
      <w:r>
        <w:rPr>
          <w:rFonts w:hint="eastAsia"/>
          <w:sz w:val="30"/>
          <w:szCs w:val="30"/>
        </w:rPr>
        <w:t>With love and respect, I would therefore put this important question to my premillennial brothers: How, after the Parousia, shall Christ rule for a thousand years over a world in which Satan, various human and natural enemies, and death itself are still present; in which more resurrections and more judgments must occur; and over which still another “last” trumpet must sound?</w:t>
      </w:r>
    </w:p>
    <w:p w14:paraId="647177ED">
      <w:pPr>
        <w:pStyle w:val="9"/>
        <w:spacing w:before="11"/>
        <w:ind w:left="0"/>
        <w:jc w:val="left"/>
        <w:rPr>
          <w:rFonts w:hint="eastAsia"/>
          <w:sz w:val="30"/>
          <w:szCs w:val="30"/>
        </w:rPr>
      </w:pPr>
      <w:r>
        <w:rPr>
          <w:rFonts w:hint="eastAsia"/>
          <w:sz w:val="30"/>
          <w:szCs w:val="30"/>
        </w:rPr>
        <w:t>因此，我怀着爱与尊重，向我的前千禧年弟兄们提出这个重要的问题：在主的再来之后，基督如何在一个撒但、各种人类和自然的仇敌以及死亡本身仍然存在的世界里统治一千年；在一个必须发生更多复活和更多审判的世界里；在一个必须吹响另一次“末次”号筒的世界里？</w:t>
      </w:r>
    </w:p>
    <w:p w14:paraId="4447013C">
      <w:pPr>
        <w:pStyle w:val="9"/>
        <w:spacing w:before="11"/>
        <w:ind w:left="0"/>
        <w:jc w:val="left"/>
        <w:rPr>
          <w:rFonts w:hint="eastAsia"/>
          <w:sz w:val="30"/>
          <w:szCs w:val="30"/>
        </w:rPr>
      </w:pPr>
    </w:p>
    <w:p w14:paraId="16171D46">
      <w:pPr>
        <w:pStyle w:val="9"/>
        <w:spacing w:before="11"/>
        <w:ind w:left="0"/>
        <w:jc w:val="left"/>
        <w:rPr>
          <w:rFonts w:hint="eastAsia"/>
          <w:sz w:val="30"/>
          <w:szCs w:val="30"/>
        </w:rPr>
      </w:pPr>
      <w:r>
        <w:rPr>
          <w:rFonts w:hint="eastAsia"/>
          <w:sz w:val="30"/>
          <w:szCs w:val="30"/>
        </w:rPr>
        <w:t>2.It is deeply revealing to see how premillennarians try to reconcile their eschatology with the plain sense of Paul’s teaching in this decisive text.</w:t>
      </w:r>
    </w:p>
    <w:p w14:paraId="41FE9B18">
      <w:pPr>
        <w:pStyle w:val="9"/>
        <w:spacing w:before="11"/>
        <w:ind w:left="0"/>
        <w:jc w:val="left"/>
        <w:rPr>
          <w:rFonts w:hint="eastAsia"/>
          <w:sz w:val="30"/>
          <w:szCs w:val="30"/>
        </w:rPr>
      </w:pPr>
      <w:r>
        <w:rPr>
          <w:rFonts w:hint="eastAsia"/>
          <w:sz w:val="30"/>
          <w:szCs w:val="30"/>
        </w:rPr>
        <w:t>2.看到前千禧年论者如何试图将他们的末世论与保罗在这段决定性经文中的明晰教导相调和，是极具启发性的。</w:t>
      </w:r>
    </w:p>
    <w:p w14:paraId="64D57E37">
      <w:pPr>
        <w:pStyle w:val="9"/>
        <w:spacing w:before="11"/>
        <w:ind w:left="0"/>
        <w:jc w:val="left"/>
        <w:rPr>
          <w:rFonts w:hint="eastAsia"/>
          <w:sz w:val="30"/>
          <w:szCs w:val="30"/>
        </w:rPr>
      </w:pPr>
    </w:p>
    <w:p w14:paraId="154DA50C">
      <w:pPr>
        <w:pStyle w:val="9"/>
        <w:spacing w:before="11"/>
        <w:ind w:left="0"/>
        <w:jc w:val="left"/>
        <w:rPr>
          <w:rFonts w:hint="eastAsia"/>
          <w:sz w:val="30"/>
          <w:szCs w:val="30"/>
        </w:rPr>
      </w:pPr>
      <w:r>
        <w:rPr>
          <w:rFonts w:hint="eastAsia"/>
          <w:sz w:val="30"/>
          <w:szCs w:val="30"/>
        </w:rPr>
        <w:t>John MacArthur, for example, commenting on verse 23, asserts that “those who are Christ’s will be raised and enter the eternal heavenly state in three stages at Christ’s coming” (MSB, p. 2401).</w:t>
      </w:r>
    </w:p>
    <w:p w14:paraId="5B6C6F91">
      <w:pPr>
        <w:pStyle w:val="9"/>
        <w:spacing w:before="11"/>
        <w:ind w:left="0"/>
        <w:jc w:val="left"/>
        <w:rPr>
          <w:rFonts w:hint="eastAsia"/>
          <w:sz w:val="30"/>
          <w:szCs w:val="30"/>
        </w:rPr>
      </w:pPr>
      <w:r>
        <w:rPr>
          <w:rFonts w:hint="eastAsia"/>
          <w:sz w:val="30"/>
          <w:szCs w:val="30"/>
        </w:rPr>
        <w:t>例如，约翰·麦克阿瑟在评论第23节时断言：“那些属基督的将在基督降临时分三个阶段复活，并进入永恒的天上状态”（MSB，第2401页）。</w:t>
      </w:r>
    </w:p>
    <w:p w14:paraId="4E1D475F">
      <w:pPr>
        <w:pStyle w:val="9"/>
        <w:spacing w:before="11"/>
        <w:ind w:left="0"/>
        <w:jc w:val="left"/>
        <w:rPr>
          <w:rFonts w:hint="eastAsia"/>
          <w:sz w:val="30"/>
          <w:szCs w:val="30"/>
        </w:rPr>
      </w:pPr>
    </w:p>
    <w:p w14:paraId="7572BDE7">
      <w:pPr>
        <w:pStyle w:val="9"/>
        <w:spacing w:before="11"/>
        <w:ind w:left="0"/>
        <w:jc w:val="left"/>
        <w:rPr>
          <w:rFonts w:hint="eastAsia"/>
          <w:sz w:val="30"/>
          <w:szCs w:val="30"/>
        </w:rPr>
      </w:pPr>
      <w:r>
        <w:rPr>
          <w:rFonts w:hint="eastAsia"/>
          <w:sz w:val="30"/>
          <w:szCs w:val="30"/>
        </w:rPr>
        <w:t>What he means is that Christ’s Coming actually involves three distinct (and widely separated) events: a pre-tribulation Coming (i.e., the Rapture, when he raises dead believers), a post-tribulation Coming (when he raises OT and Tribulation saints), and an intra-millennial Coming (when, in all likelihood, he continually raises and glorifies the millennial saints at the moments of their death)!</w:t>
      </w:r>
    </w:p>
    <w:p w14:paraId="31A480A3">
      <w:pPr>
        <w:pStyle w:val="9"/>
        <w:spacing w:before="11"/>
        <w:ind w:left="0"/>
        <w:jc w:val="left"/>
        <w:rPr>
          <w:rFonts w:hint="eastAsia"/>
          <w:sz w:val="30"/>
          <w:szCs w:val="30"/>
        </w:rPr>
      </w:pPr>
      <w:r>
        <w:rPr>
          <w:rFonts w:hint="eastAsia"/>
          <w:sz w:val="30"/>
          <w:szCs w:val="30"/>
        </w:rPr>
        <w:t>他的意思是，基督的降临实际上涉及三个不同的（且相隔甚远）事件：一次灾前降临（即被提，届时祂使已死的信徒复活），一次灾后降临（届时祂使旧约和灾难期的圣徒复活），以及一次千禧年内的降临（届时，极有可能，祂在千禧年圣徒死亡的时刻，不断地使他们复活并得荣耀）！</w:t>
      </w:r>
    </w:p>
    <w:p w14:paraId="6D0F977B">
      <w:pPr>
        <w:pStyle w:val="9"/>
        <w:spacing w:before="11"/>
        <w:ind w:left="0"/>
        <w:jc w:val="left"/>
        <w:rPr>
          <w:rFonts w:hint="eastAsia"/>
          <w:sz w:val="30"/>
          <w:szCs w:val="30"/>
        </w:rPr>
      </w:pPr>
    </w:p>
    <w:p w14:paraId="60A96DE3">
      <w:pPr>
        <w:pStyle w:val="9"/>
        <w:spacing w:before="11"/>
        <w:ind w:left="0"/>
        <w:jc w:val="left"/>
        <w:rPr>
          <w:rFonts w:hint="eastAsia"/>
          <w:sz w:val="30"/>
          <w:szCs w:val="30"/>
        </w:rPr>
      </w:pPr>
      <w:r>
        <w:rPr>
          <w:rFonts w:hint="eastAsia"/>
          <w:sz w:val="30"/>
          <w:szCs w:val="30"/>
        </w:rPr>
        <w:t>This is an outstanding example of what theologians call eisegesis; of reading into a text something that is not there, instead of extracting from the text what really is there.</w:t>
      </w:r>
    </w:p>
    <w:p w14:paraId="54C2A1E8">
      <w:pPr>
        <w:pStyle w:val="9"/>
        <w:spacing w:before="11"/>
        <w:ind w:left="0"/>
        <w:jc w:val="left"/>
        <w:rPr>
          <w:rFonts w:hint="eastAsia"/>
          <w:sz w:val="30"/>
          <w:szCs w:val="30"/>
        </w:rPr>
      </w:pPr>
      <w:r>
        <w:rPr>
          <w:rFonts w:hint="eastAsia"/>
          <w:sz w:val="30"/>
          <w:szCs w:val="30"/>
        </w:rPr>
        <w:t>这是一个杰出的例子，神学家称之为“私意解经”；即把文本中没有的东西读进去，而不是从文本中提取真正存在的东西。</w:t>
      </w:r>
    </w:p>
    <w:p w14:paraId="25F75543">
      <w:pPr>
        <w:pStyle w:val="9"/>
        <w:spacing w:before="11"/>
        <w:ind w:left="0"/>
        <w:jc w:val="left"/>
        <w:rPr>
          <w:rFonts w:hint="eastAsia"/>
          <w:sz w:val="30"/>
          <w:szCs w:val="30"/>
        </w:rPr>
      </w:pPr>
    </w:p>
    <w:p w14:paraId="5CE0D3A1">
      <w:pPr>
        <w:pStyle w:val="9"/>
        <w:spacing w:before="11"/>
        <w:ind w:left="0"/>
        <w:jc w:val="left"/>
        <w:rPr>
          <w:rFonts w:hint="eastAsia"/>
          <w:sz w:val="30"/>
          <w:szCs w:val="30"/>
        </w:rPr>
      </w:pPr>
      <w:r>
        <w:rPr>
          <w:rFonts w:hint="eastAsia"/>
          <w:sz w:val="30"/>
          <w:szCs w:val="30"/>
        </w:rPr>
        <w:t>No matter that in this text there is not a single word about a future millennium.</w:t>
      </w:r>
    </w:p>
    <w:p w14:paraId="4717EFD1">
      <w:pPr>
        <w:pStyle w:val="9"/>
        <w:spacing w:before="11"/>
        <w:ind w:left="0"/>
        <w:jc w:val="left"/>
        <w:rPr>
          <w:rFonts w:hint="eastAsia"/>
          <w:sz w:val="30"/>
          <w:szCs w:val="30"/>
        </w:rPr>
      </w:pPr>
      <w:r>
        <w:rPr>
          <w:rFonts w:hint="eastAsia"/>
          <w:sz w:val="30"/>
          <w:szCs w:val="30"/>
        </w:rPr>
        <w:t>不管这段经文中一个字也没有提到未来的千禧年。</w:t>
      </w:r>
    </w:p>
    <w:p w14:paraId="6922E6D6">
      <w:pPr>
        <w:pStyle w:val="9"/>
        <w:spacing w:before="11"/>
        <w:ind w:left="0"/>
        <w:jc w:val="left"/>
        <w:rPr>
          <w:rFonts w:hint="eastAsia"/>
          <w:sz w:val="30"/>
          <w:szCs w:val="30"/>
        </w:rPr>
      </w:pPr>
    </w:p>
    <w:p w14:paraId="2061D186">
      <w:pPr>
        <w:pStyle w:val="9"/>
        <w:spacing w:before="11"/>
        <w:ind w:left="0"/>
        <w:jc w:val="left"/>
        <w:rPr>
          <w:rFonts w:hint="eastAsia"/>
          <w:sz w:val="30"/>
          <w:szCs w:val="30"/>
        </w:rPr>
      </w:pPr>
      <w:r>
        <w:rPr>
          <w:rFonts w:hint="eastAsia"/>
          <w:sz w:val="30"/>
          <w:szCs w:val="30"/>
        </w:rPr>
        <w:t>No matter that in the entire Didactic NT there is not a single word about a future millennium!</w:t>
      </w:r>
    </w:p>
    <w:p w14:paraId="4CF47FF8">
      <w:pPr>
        <w:pStyle w:val="9"/>
        <w:spacing w:before="11"/>
        <w:ind w:left="0"/>
        <w:jc w:val="left"/>
        <w:rPr>
          <w:rFonts w:hint="eastAsia"/>
          <w:sz w:val="30"/>
          <w:szCs w:val="30"/>
        </w:rPr>
      </w:pPr>
      <w:r>
        <w:rPr>
          <w:rFonts w:hint="eastAsia"/>
          <w:sz w:val="30"/>
          <w:szCs w:val="30"/>
        </w:rPr>
        <w:t>不管在整个教义性新约中一个字也没有提到未来的千禧年！</w:t>
      </w:r>
    </w:p>
    <w:p w14:paraId="6A6CFB70">
      <w:pPr>
        <w:pStyle w:val="9"/>
        <w:spacing w:before="11"/>
        <w:ind w:left="0"/>
        <w:jc w:val="left"/>
        <w:rPr>
          <w:rFonts w:hint="eastAsia"/>
          <w:sz w:val="30"/>
          <w:szCs w:val="30"/>
        </w:rPr>
      </w:pPr>
    </w:p>
    <w:p w14:paraId="35B2984A">
      <w:pPr>
        <w:pStyle w:val="9"/>
        <w:spacing w:before="11"/>
        <w:ind w:left="0"/>
        <w:jc w:val="left"/>
        <w:rPr>
          <w:rFonts w:hint="eastAsia"/>
          <w:sz w:val="30"/>
          <w:szCs w:val="30"/>
        </w:rPr>
      </w:pPr>
      <w:r>
        <w:rPr>
          <w:rFonts w:hint="eastAsia"/>
          <w:sz w:val="30"/>
          <w:szCs w:val="30"/>
        </w:rPr>
        <w:t>Because of his previous commitment to a literal interpretation of OTKP and Revelation 20, the premillennarian must make room for one, just as MacArthur has done here with his doctrine of three Comings.</w:t>
      </w:r>
    </w:p>
    <w:p w14:paraId="3A9207EC">
      <w:pPr>
        <w:pStyle w:val="9"/>
        <w:spacing w:before="11"/>
        <w:ind w:left="0"/>
        <w:jc w:val="left"/>
        <w:rPr>
          <w:rFonts w:hint="eastAsia"/>
          <w:sz w:val="30"/>
          <w:szCs w:val="30"/>
        </w:rPr>
      </w:pPr>
      <w:r>
        <w:rPr>
          <w:rFonts w:hint="eastAsia"/>
          <w:sz w:val="30"/>
          <w:szCs w:val="30"/>
        </w:rPr>
        <w:t>由于前千禧年论者先前致力于对旧约国度预言和启示录第20章进行字面解释，他必须为其留出空间，就像麦克阿瑟在这里用他三次降临的教义所做的那样。</w:t>
      </w:r>
    </w:p>
    <w:p w14:paraId="1AA871A0">
      <w:pPr>
        <w:pStyle w:val="9"/>
        <w:spacing w:before="11"/>
        <w:ind w:left="0"/>
        <w:jc w:val="left"/>
        <w:rPr>
          <w:rFonts w:hint="eastAsia"/>
          <w:sz w:val="30"/>
          <w:szCs w:val="30"/>
        </w:rPr>
      </w:pPr>
    </w:p>
    <w:p w14:paraId="52D7EEB3">
      <w:pPr>
        <w:pStyle w:val="9"/>
        <w:spacing w:before="11"/>
        <w:ind w:left="0"/>
        <w:jc w:val="left"/>
        <w:rPr>
          <w:rFonts w:hint="eastAsia"/>
          <w:sz w:val="30"/>
          <w:szCs w:val="30"/>
        </w:rPr>
      </w:pPr>
      <w:r>
        <w:rPr>
          <w:rFonts w:hint="eastAsia"/>
          <w:sz w:val="30"/>
          <w:szCs w:val="30"/>
        </w:rPr>
        <w:t>But I ask: Would it not be far more reasonable for a premillennarian to take his eschatological cues from the Didactic NT, and so to reconsider his eschatological commitment to prophetic literalism?</w:t>
      </w:r>
    </w:p>
    <w:p w14:paraId="3E5FBFDE">
      <w:pPr>
        <w:pStyle w:val="9"/>
        <w:spacing w:before="11"/>
        <w:ind w:left="0"/>
        <w:jc w:val="left"/>
        <w:rPr>
          <w:rFonts w:hint="eastAsia"/>
          <w:sz w:val="30"/>
          <w:szCs w:val="30"/>
        </w:rPr>
      </w:pPr>
      <w:r>
        <w:rPr>
          <w:rFonts w:hint="eastAsia"/>
          <w:sz w:val="30"/>
          <w:szCs w:val="30"/>
        </w:rPr>
        <w:t>但我问：一个前千禧年论者从教义性新约中获取他的末世论线索，从而重新考虑他对预言字面主义的末世论承诺，这难道不是远为更合理的吗？</w:t>
      </w:r>
    </w:p>
    <w:p w14:paraId="232342F9">
      <w:pPr>
        <w:pStyle w:val="9"/>
        <w:spacing w:before="11"/>
        <w:ind w:left="0"/>
        <w:jc w:val="left"/>
        <w:rPr>
          <w:rFonts w:hint="eastAsia"/>
          <w:sz w:val="30"/>
          <w:szCs w:val="30"/>
        </w:rPr>
      </w:pPr>
    </w:p>
    <w:p w14:paraId="4612CA08">
      <w:pPr>
        <w:pStyle w:val="9"/>
        <w:spacing w:before="11"/>
        <w:ind w:left="0"/>
        <w:jc w:val="left"/>
        <w:rPr>
          <w:rFonts w:hint="eastAsia"/>
          <w:sz w:val="30"/>
          <w:szCs w:val="30"/>
        </w:rPr>
      </w:pPr>
      <w:r>
        <w:rPr>
          <w:rFonts w:hint="eastAsia"/>
          <w:sz w:val="30"/>
          <w:szCs w:val="30"/>
        </w:rPr>
        <w:t>“Yes,” say Christ and the apostles, “it would!”</w:t>
      </w:r>
    </w:p>
    <w:p w14:paraId="7F837267">
      <w:pPr>
        <w:pStyle w:val="9"/>
        <w:spacing w:before="11"/>
        <w:ind w:left="0"/>
        <w:jc w:val="left"/>
        <w:rPr>
          <w:rFonts w:hint="eastAsia"/>
          <w:sz w:val="30"/>
          <w:szCs w:val="30"/>
        </w:rPr>
      </w:pPr>
      <w:r>
        <w:rPr>
          <w:rFonts w:hint="eastAsia"/>
          <w:sz w:val="30"/>
          <w:szCs w:val="30"/>
        </w:rPr>
        <w:t>“是的，”基督和使徒们说，“会的！”</w:t>
      </w:r>
    </w:p>
    <w:p w14:paraId="322FE797">
      <w:pPr>
        <w:pStyle w:val="9"/>
        <w:spacing w:before="11"/>
        <w:ind w:left="0"/>
        <w:jc w:val="left"/>
        <w:rPr>
          <w:rFonts w:hint="eastAsia"/>
          <w:sz w:val="30"/>
          <w:szCs w:val="30"/>
        </w:rPr>
      </w:pPr>
    </w:p>
    <w:p w14:paraId="3A31BB40">
      <w:pPr>
        <w:pStyle w:val="9"/>
        <w:spacing w:before="11"/>
        <w:ind w:left="0"/>
        <w:jc w:val="left"/>
        <w:rPr>
          <w:rFonts w:hint="eastAsia"/>
          <w:sz w:val="30"/>
          <w:szCs w:val="30"/>
        </w:rPr>
      </w:pPr>
      <w:r>
        <w:rPr>
          <w:rFonts w:hint="eastAsia"/>
          <w:sz w:val="30"/>
          <w:szCs w:val="30"/>
        </w:rPr>
        <w:t>3. Historic Premillennarian, George Ladd, pointing to the presence of certain Greek words denoting sequence, interprets verses 23-24 as follows: “An undefined interval falls between Christ’s resurrection and his parousia; and a second undefined interval falls between the Parousia and the end” (New Testament Theology, p. 559).</w:t>
      </w:r>
    </w:p>
    <w:p w14:paraId="0F1A8103">
      <w:pPr>
        <w:pStyle w:val="9"/>
        <w:spacing w:before="11"/>
        <w:ind w:left="0"/>
        <w:jc w:val="left"/>
        <w:rPr>
          <w:rFonts w:hint="eastAsia"/>
          <w:sz w:val="30"/>
          <w:szCs w:val="30"/>
        </w:rPr>
      </w:pPr>
      <w:r>
        <w:rPr>
          <w:rFonts w:hint="eastAsia"/>
          <w:sz w:val="30"/>
          <w:szCs w:val="30"/>
        </w:rPr>
        <w:t>3. 历史前千禧年论者乔治·赖德，指出某些表示顺序的希腊词语的存在，将第23-24节解释如下：“在基督的复活和祂的再来之间，有一个未定义的时间间隔；在再来和末期之间，有第二个未定义的时间间隔”（《新约神学》，第559页）。</w:t>
      </w:r>
    </w:p>
    <w:p w14:paraId="57B379E6">
      <w:pPr>
        <w:pStyle w:val="9"/>
        <w:spacing w:before="11"/>
        <w:ind w:left="0"/>
        <w:jc w:val="left"/>
        <w:rPr>
          <w:rFonts w:hint="eastAsia"/>
          <w:sz w:val="30"/>
          <w:szCs w:val="30"/>
        </w:rPr>
      </w:pPr>
    </w:p>
    <w:p w14:paraId="27F5CE56">
      <w:pPr>
        <w:pStyle w:val="9"/>
        <w:spacing w:before="11"/>
        <w:ind w:left="0"/>
        <w:jc w:val="left"/>
        <w:rPr>
          <w:rFonts w:hint="eastAsia"/>
          <w:sz w:val="30"/>
          <w:szCs w:val="30"/>
        </w:rPr>
      </w:pPr>
      <w:r>
        <w:rPr>
          <w:rFonts w:hint="eastAsia"/>
          <w:sz w:val="30"/>
          <w:szCs w:val="30"/>
        </w:rPr>
        <w:t>For Ladd, the “second undefined interval” is an earthly millennium.</w:t>
      </w:r>
    </w:p>
    <w:p w14:paraId="43AFF8A7">
      <w:pPr>
        <w:pStyle w:val="9"/>
        <w:spacing w:before="11"/>
        <w:ind w:left="0"/>
        <w:jc w:val="left"/>
        <w:rPr>
          <w:rFonts w:hint="eastAsia"/>
          <w:sz w:val="30"/>
          <w:szCs w:val="30"/>
        </w:rPr>
      </w:pPr>
      <w:r>
        <w:rPr>
          <w:rFonts w:hint="eastAsia"/>
          <w:sz w:val="30"/>
          <w:szCs w:val="30"/>
        </w:rPr>
        <w:t>对赖德来说，“第二个未定义的时间间隔”是一个地上的千禧年。</w:t>
      </w:r>
    </w:p>
    <w:p w14:paraId="5F7F9626">
      <w:pPr>
        <w:pStyle w:val="9"/>
        <w:spacing w:before="11"/>
        <w:ind w:left="0"/>
        <w:jc w:val="left"/>
        <w:rPr>
          <w:rFonts w:hint="eastAsia"/>
          <w:sz w:val="30"/>
          <w:szCs w:val="30"/>
        </w:rPr>
      </w:pPr>
    </w:p>
    <w:p w14:paraId="4CA3EC3C">
      <w:pPr>
        <w:pStyle w:val="9"/>
        <w:spacing w:before="11"/>
        <w:ind w:left="0"/>
        <w:jc w:val="left"/>
        <w:rPr>
          <w:rFonts w:hint="eastAsia"/>
          <w:sz w:val="30"/>
          <w:szCs w:val="30"/>
        </w:rPr>
      </w:pPr>
      <w:r>
        <w:rPr>
          <w:rFonts w:hint="eastAsia"/>
          <w:sz w:val="30"/>
          <w:szCs w:val="30"/>
        </w:rPr>
        <w:t>But does this text—or Paul’s eschatology as a whole—support his view?</w:t>
      </w:r>
    </w:p>
    <w:p w14:paraId="1F6AAB5D">
      <w:pPr>
        <w:pStyle w:val="9"/>
        <w:spacing w:before="11"/>
        <w:ind w:left="0"/>
        <w:jc w:val="left"/>
        <w:rPr>
          <w:rFonts w:hint="eastAsia"/>
          <w:sz w:val="30"/>
          <w:szCs w:val="30"/>
        </w:rPr>
      </w:pPr>
      <w:r>
        <w:rPr>
          <w:rFonts w:hint="eastAsia"/>
          <w:sz w:val="30"/>
          <w:szCs w:val="30"/>
        </w:rPr>
        <w:t>但这段经文——或保罗的整个末世论——支持他的观点吗？</w:t>
      </w:r>
    </w:p>
    <w:p w14:paraId="01075D2A">
      <w:pPr>
        <w:pStyle w:val="9"/>
        <w:spacing w:before="11"/>
        <w:ind w:left="0"/>
        <w:jc w:val="left"/>
        <w:rPr>
          <w:rFonts w:hint="eastAsia"/>
          <w:sz w:val="30"/>
          <w:szCs w:val="30"/>
        </w:rPr>
      </w:pPr>
    </w:p>
    <w:p w14:paraId="63DA584C">
      <w:pPr>
        <w:pStyle w:val="9"/>
        <w:spacing w:before="11"/>
        <w:ind w:left="0"/>
        <w:jc w:val="left"/>
        <w:rPr>
          <w:rFonts w:hint="eastAsia"/>
          <w:sz w:val="30"/>
          <w:szCs w:val="30"/>
        </w:rPr>
      </w:pPr>
      <w:r>
        <w:rPr>
          <w:rFonts w:hint="eastAsia"/>
          <w:sz w:val="30"/>
          <w:szCs w:val="30"/>
        </w:rPr>
        <w:t>For the reasons just cited in note 1, I would strenuously argue that it does not, and that the interval between Christ’s one Parousia and the delivering up of the glorified Kingdom to the Father is precious short indeed!</w:t>
      </w:r>
    </w:p>
    <w:p w14:paraId="26E45BAB">
      <w:pPr>
        <w:pStyle w:val="9"/>
        <w:spacing w:before="11"/>
        <w:ind w:left="0"/>
        <w:jc w:val="left"/>
        <w:rPr>
          <w:rFonts w:hint="eastAsia"/>
          <w:sz w:val="30"/>
          <w:szCs w:val="30"/>
        </w:rPr>
      </w:pPr>
      <w:r>
        <w:rPr>
          <w:rFonts w:hint="eastAsia"/>
          <w:sz w:val="30"/>
          <w:szCs w:val="30"/>
        </w:rPr>
        <w:t>基于刚才在注1中引用的理由，我将极力主张它不支持，并且基督的一次再来与将得荣耀的国度交与父之间的间隔，确实是极其短暂的！</w:t>
      </w:r>
    </w:p>
    <w:p w14:paraId="24644441">
      <w:pPr>
        <w:pStyle w:val="9"/>
        <w:spacing w:before="11"/>
        <w:ind w:left="0"/>
        <w:jc w:val="left"/>
        <w:rPr>
          <w:rFonts w:hint="eastAsia"/>
          <w:sz w:val="30"/>
          <w:szCs w:val="30"/>
        </w:rPr>
      </w:pPr>
    </w:p>
    <w:p w14:paraId="592061C4">
      <w:pPr>
        <w:pStyle w:val="9"/>
        <w:spacing w:before="11"/>
        <w:ind w:left="0"/>
        <w:jc w:val="left"/>
        <w:rPr>
          <w:rFonts w:hint="eastAsia"/>
          <w:sz w:val="30"/>
          <w:szCs w:val="30"/>
        </w:rPr>
      </w:pPr>
      <w:r>
        <w:rPr>
          <w:rFonts w:hint="eastAsia"/>
          <w:sz w:val="30"/>
          <w:szCs w:val="30"/>
        </w:rPr>
        <w:t>4.It is true that in the Gospels we find Jesus declaring that the Kingdom of God is in your midst (Luke 17:21, NAS), and that the Kingdom has come upon you (Mt. 12:28).</w:t>
      </w:r>
    </w:p>
    <w:p w14:paraId="68859E60">
      <w:pPr>
        <w:pStyle w:val="9"/>
        <w:spacing w:before="11"/>
        <w:ind w:left="0"/>
        <w:jc w:val="left"/>
        <w:rPr>
          <w:rFonts w:hint="eastAsia"/>
          <w:sz w:val="30"/>
          <w:szCs w:val="30"/>
        </w:rPr>
      </w:pPr>
      <w:r>
        <w:rPr>
          <w:rFonts w:hint="eastAsia"/>
          <w:sz w:val="30"/>
          <w:szCs w:val="30"/>
        </w:rPr>
        <w:t>4.确实，在福音书中我们发现耶稣宣告神的国就在你们中间（路17:21，NAS），并且国度已经临到你们了（太12:28）。</w:t>
      </w:r>
    </w:p>
    <w:p w14:paraId="3AFACC14">
      <w:pPr>
        <w:pStyle w:val="9"/>
        <w:spacing w:before="11"/>
        <w:ind w:left="0"/>
        <w:jc w:val="left"/>
        <w:rPr>
          <w:rFonts w:hint="eastAsia"/>
          <w:sz w:val="30"/>
          <w:szCs w:val="30"/>
        </w:rPr>
      </w:pPr>
    </w:p>
    <w:p w14:paraId="5235ECEE">
      <w:pPr>
        <w:pStyle w:val="9"/>
        <w:spacing w:before="11"/>
        <w:ind w:left="0"/>
        <w:jc w:val="left"/>
        <w:rPr>
          <w:rFonts w:hint="eastAsia"/>
          <w:sz w:val="30"/>
          <w:szCs w:val="30"/>
        </w:rPr>
      </w:pPr>
      <w:r>
        <w:rPr>
          <w:rFonts w:hint="eastAsia"/>
          <w:sz w:val="30"/>
          <w:szCs w:val="30"/>
        </w:rPr>
        <w:t>This does not mean, however, that during the days of his flesh the Kingdom had come into the world as an abiding presence, or that it had actually taken root in the earth, or that it had begun its redemptive assault upon the Domain of Darkness.</w:t>
      </w:r>
    </w:p>
    <w:p w14:paraId="1E489E4E">
      <w:pPr>
        <w:pStyle w:val="9"/>
        <w:spacing w:before="11"/>
        <w:ind w:left="0"/>
        <w:jc w:val="left"/>
        <w:rPr>
          <w:rFonts w:hint="eastAsia"/>
          <w:sz w:val="30"/>
          <w:szCs w:val="30"/>
        </w:rPr>
      </w:pPr>
      <w:r>
        <w:rPr>
          <w:rFonts w:hint="eastAsia"/>
          <w:sz w:val="30"/>
          <w:szCs w:val="30"/>
        </w:rPr>
        <w:t>然而，这并不意味着在祂肉身的日子里，国度已经作为一个持久的临在进入世界，或者它已经在地上扎根，或者它已经开始对黑暗的权势发动救赎性的攻击。</w:t>
      </w:r>
    </w:p>
    <w:p w14:paraId="2E75245B">
      <w:pPr>
        <w:pStyle w:val="9"/>
        <w:spacing w:before="11"/>
        <w:ind w:left="0"/>
        <w:jc w:val="left"/>
        <w:rPr>
          <w:rFonts w:hint="eastAsia"/>
          <w:sz w:val="30"/>
          <w:szCs w:val="30"/>
        </w:rPr>
      </w:pPr>
    </w:p>
    <w:p w14:paraId="485F4930">
      <w:pPr>
        <w:pStyle w:val="9"/>
        <w:spacing w:before="11"/>
        <w:ind w:left="0"/>
        <w:jc w:val="left"/>
        <w:rPr>
          <w:rFonts w:hint="eastAsia"/>
          <w:sz w:val="30"/>
          <w:szCs w:val="30"/>
        </w:rPr>
      </w:pPr>
      <w:r>
        <w:rPr>
          <w:rFonts w:hint="eastAsia"/>
          <w:sz w:val="30"/>
          <w:szCs w:val="30"/>
        </w:rPr>
        <w:t>For the reasons indicated earlier, that coming must await the Day of Pentecost.</w:t>
      </w:r>
    </w:p>
    <w:p w14:paraId="7831D432">
      <w:pPr>
        <w:pStyle w:val="9"/>
        <w:spacing w:before="11"/>
        <w:ind w:left="0"/>
        <w:jc w:val="left"/>
        <w:rPr>
          <w:rFonts w:hint="eastAsia"/>
          <w:sz w:val="30"/>
          <w:szCs w:val="30"/>
        </w:rPr>
      </w:pPr>
      <w:r>
        <w:rPr>
          <w:rFonts w:hint="eastAsia"/>
          <w:sz w:val="30"/>
          <w:szCs w:val="30"/>
        </w:rPr>
        <w:t>基于前面指出的原因，那次降临必须等到五旬节。</w:t>
      </w:r>
    </w:p>
    <w:p w14:paraId="79980B6A">
      <w:pPr>
        <w:pStyle w:val="9"/>
        <w:spacing w:before="11"/>
        <w:ind w:left="0"/>
        <w:jc w:val="left"/>
        <w:rPr>
          <w:rFonts w:hint="eastAsia"/>
          <w:sz w:val="30"/>
          <w:szCs w:val="30"/>
        </w:rPr>
      </w:pPr>
    </w:p>
    <w:p w14:paraId="65B744DF">
      <w:pPr>
        <w:pStyle w:val="9"/>
        <w:spacing w:before="11"/>
        <w:ind w:left="0"/>
        <w:jc w:val="left"/>
        <w:rPr>
          <w:rFonts w:hint="eastAsia"/>
          <w:sz w:val="30"/>
          <w:szCs w:val="30"/>
        </w:rPr>
      </w:pPr>
      <w:r>
        <w:rPr>
          <w:rFonts w:hint="eastAsia"/>
          <w:sz w:val="30"/>
          <w:szCs w:val="30"/>
        </w:rPr>
        <w:t>So then, in these two texts Jesus is saying that the Kingdom that will come on the Day of Pentecost is even now in your midst (though not yet within you), and is even now upon you (though not yet permanently) (John 14:17).</w:t>
      </w:r>
    </w:p>
    <w:p w14:paraId="5A4598BB">
      <w:pPr>
        <w:pStyle w:val="9"/>
        <w:spacing w:before="11"/>
        <w:ind w:left="0"/>
        <w:jc w:val="left"/>
        <w:rPr>
          <w:rFonts w:hint="eastAsia"/>
          <w:sz w:val="30"/>
          <w:szCs w:val="30"/>
        </w:rPr>
      </w:pPr>
      <w:r>
        <w:rPr>
          <w:rFonts w:hint="eastAsia"/>
          <w:sz w:val="30"/>
          <w:szCs w:val="30"/>
        </w:rPr>
        <w:t>所以，在这两段经文中，耶稣是说，那将在五旬节降临的国度，如今就在你们中间（尽管尚未在你们里面），并且如今就在你们身上（尽管尚未永久地）（约14:17）。</w:t>
      </w:r>
    </w:p>
    <w:p w14:paraId="46EF50B2">
      <w:pPr>
        <w:pStyle w:val="9"/>
        <w:spacing w:before="11"/>
        <w:ind w:left="0"/>
        <w:jc w:val="left"/>
        <w:rPr>
          <w:rFonts w:hint="eastAsia"/>
          <w:sz w:val="30"/>
          <w:szCs w:val="30"/>
        </w:rPr>
      </w:pPr>
    </w:p>
    <w:p w14:paraId="5A8A58DD">
      <w:pPr>
        <w:pStyle w:val="9"/>
        <w:spacing w:before="11"/>
        <w:ind w:left="0"/>
        <w:jc w:val="left"/>
        <w:rPr>
          <w:rFonts w:hint="eastAsia"/>
          <w:sz w:val="30"/>
          <w:szCs w:val="30"/>
        </w:rPr>
      </w:pPr>
      <w:r>
        <w:rPr>
          <w:rFonts w:hint="eastAsia"/>
          <w:sz w:val="30"/>
          <w:szCs w:val="30"/>
        </w:rPr>
        <w:t>By way of a sneak preview, it is here; but by way of its definitive entrance into human history, it has not yet come.</w:t>
      </w:r>
    </w:p>
    <w:p w14:paraId="1D81DBCE">
      <w:pPr>
        <w:pStyle w:val="9"/>
        <w:spacing w:before="11"/>
        <w:ind w:left="0"/>
        <w:jc w:val="left"/>
        <w:rPr>
          <w:rFonts w:hint="eastAsia"/>
          <w:sz w:val="30"/>
          <w:szCs w:val="30"/>
        </w:rPr>
      </w:pPr>
      <w:r>
        <w:rPr>
          <w:rFonts w:hint="eastAsia"/>
          <w:sz w:val="30"/>
          <w:szCs w:val="30"/>
        </w:rPr>
        <w:t>作为一次预告，它在这里；但作为它明确进入人类历史的方式，它尚未到来。</w:t>
      </w:r>
    </w:p>
    <w:p w14:paraId="74E30A62">
      <w:pPr>
        <w:pStyle w:val="9"/>
        <w:spacing w:before="11"/>
        <w:ind w:left="0"/>
        <w:jc w:val="left"/>
        <w:rPr>
          <w:rFonts w:hint="eastAsia"/>
          <w:sz w:val="30"/>
          <w:szCs w:val="30"/>
        </w:rPr>
      </w:pPr>
    </w:p>
    <w:p w14:paraId="2C31C452">
      <w:pPr>
        <w:pStyle w:val="9"/>
        <w:spacing w:before="11"/>
        <w:ind w:left="0"/>
        <w:jc w:val="left"/>
        <w:rPr>
          <w:rFonts w:hint="eastAsia"/>
          <w:sz w:val="30"/>
          <w:szCs w:val="30"/>
        </w:rPr>
      </w:pPr>
      <w:r>
        <w:rPr>
          <w:rFonts w:hint="eastAsia"/>
          <w:sz w:val="30"/>
          <w:szCs w:val="30"/>
        </w:rPr>
        <w:t>Chapter 10: Salvation History: A Journey to the Kingdom</w:t>
      </w:r>
    </w:p>
    <w:p w14:paraId="42B72C9A">
      <w:pPr>
        <w:pStyle w:val="9"/>
        <w:spacing w:before="11"/>
        <w:ind w:left="0"/>
        <w:jc w:val="left"/>
        <w:rPr>
          <w:rFonts w:hint="eastAsia"/>
          <w:sz w:val="30"/>
          <w:szCs w:val="30"/>
        </w:rPr>
      </w:pPr>
      <w:r>
        <w:rPr>
          <w:rFonts w:hint="eastAsia"/>
          <w:sz w:val="30"/>
          <w:szCs w:val="30"/>
        </w:rPr>
        <w:t>第10章：救赎历史：通往国度的旅程</w:t>
      </w:r>
    </w:p>
    <w:p w14:paraId="3AEFC450">
      <w:pPr>
        <w:pStyle w:val="9"/>
        <w:spacing w:before="11"/>
        <w:ind w:left="0"/>
        <w:jc w:val="left"/>
        <w:rPr>
          <w:rFonts w:hint="eastAsia"/>
          <w:sz w:val="30"/>
          <w:szCs w:val="30"/>
        </w:rPr>
      </w:pPr>
    </w:p>
    <w:p w14:paraId="2E9D4FFC">
      <w:pPr>
        <w:pStyle w:val="9"/>
        <w:spacing w:before="11"/>
        <w:ind w:left="0"/>
        <w:jc w:val="left"/>
        <w:rPr>
          <w:rFonts w:hint="eastAsia"/>
          <w:sz w:val="30"/>
          <w:szCs w:val="30"/>
        </w:rPr>
      </w:pPr>
      <w:r>
        <w:rPr>
          <w:rFonts w:hint="eastAsia"/>
          <w:sz w:val="30"/>
          <w:szCs w:val="30"/>
        </w:rPr>
        <w:t>1.Because in God’s plan the last days were meant to last a long time, the Revelation pictures them under large numerical images: 1260 days and 1000 years (Rev. 11:3, 12:6, 20:1-7).</w:t>
      </w:r>
    </w:p>
    <w:p w14:paraId="4A9BA099">
      <w:pPr>
        <w:pStyle w:val="9"/>
        <w:spacing w:before="11"/>
        <w:ind w:left="0"/>
        <w:jc w:val="left"/>
        <w:rPr>
          <w:rFonts w:hint="eastAsia"/>
          <w:sz w:val="30"/>
          <w:szCs w:val="30"/>
        </w:rPr>
      </w:pPr>
      <w:r>
        <w:rPr>
          <w:rFonts w:hint="eastAsia"/>
          <w:sz w:val="30"/>
          <w:szCs w:val="30"/>
        </w:rPr>
        <w:t>1.因为在神的计划中，末后的日子注定要持续很长时间，启示录用大的数字意象来描绘它们：1260天和1000年（启11:3, 12:6, 20:1-7）。</w:t>
      </w:r>
    </w:p>
    <w:p w14:paraId="59395E41">
      <w:pPr>
        <w:pStyle w:val="9"/>
        <w:spacing w:before="11"/>
        <w:ind w:left="0"/>
        <w:jc w:val="left"/>
        <w:rPr>
          <w:rFonts w:hint="eastAsia"/>
          <w:sz w:val="30"/>
          <w:szCs w:val="30"/>
        </w:rPr>
      </w:pPr>
    </w:p>
    <w:p w14:paraId="5384AD3A">
      <w:pPr>
        <w:pStyle w:val="9"/>
        <w:spacing w:before="11"/>
        <w:ind w:left="0"/>
        <w:jc w:val="left"/>
        <w:rPr>
          <w:rFonts w:hint="eastAsia"/>
          <w:sz w:val="30"/>
          <w:szCs w:val="30"/>
        </w:rPr>
      </w:pPr>
      <w:r>
        <w:rPr>
          <w:rFonts w:hint="eastAsia"/>
          <w:sz w:val="30"/>
          <w:szCs w:val="30"/>
        </w:rPr>
        <w:t>In chapter 20 we will analyze these numbers.</w:t>
      </w:r>
    </w:p>
    <w:p w14:paraId="583E7952">
      <w:pPr>
        <w:pStyle w:val="9"/>
        <w:spacing w:before="11"/>
        <w:ind w:left="0"/>
        <w:jc w:val="left"/>
        <w:rPr>
          <w:rFonts w:hint="eastAsia"/>
          <w:sz w:val="30"/>
          <w:szCs w:val="30"/>
        </w:rPr>
      </w:pPr>
      <w:r>
        <w:rPr>
          <w:rFonts w:hint="eastAsia"/>
          <w:sz w:val="30"/>
          <w:szCs w:val="30"/>
        </w:rPr>
        <w:t>在第20章中，我们将分析这些数字。</w:t>
      </w:r>
    </w:p>
    <w:p w14:paraId="516F6BBC">
      <w:pPr>
        <w:pStyle w:val="9"/>
        <w:spacing w:before="11"/>
        <w:ind w:left="0"/>
        <w:jc w:val="left"/>
        <w:rPr>
          <w:rFonts w:hint="eastAsia"/>
          <w:sz w:val="30"/>
          <w:szCs w:val="30"/>
        </w:rPr>
      </w:pPr>
    </w:p>
    <w:p w14:paraId="376D8916">
      <w:pPr>
        <w:pStyle w:val="9"/>
        <w:spacing w:before="11"/>
        <w:ind w:left="0"/>
        <w:jc w:val="left"/>
        <w:rPr>
          <w:rFonts w:hint="eastAsia"/>
          <w:sz w:val="30"/>
          <w:szCs w:val="30"/>
        </w:rPr>
      </w:pPr>
      <w:r>
        <w:rPr>
          <w:rFonts w:hint="eastAsia"/>
          <w:sz w:val="30"/>
          <w:szCs w:val="30"/>
        </w:rPr>
        <w:t>Also, note that in a few OTKP’s, the last days include the Kingdom of the Father (Isaiah 2:2f, Micah 4:1f).</w:t>
      </w:r>
    </w:p>
    <w:p w14:paraId="5E4EF0C3">
      <w:pPr>
        <w:pStyle w:val="9"/>
        <w:spacing w:before="11"/>
        <w:ind w:left="0"/>
        <w:jc w:val="left"/>
        <w:rPr>
          <w:rFonts w:hint="eastAsia"/>
          <w:sz w:val="30"/>
          <w:szCs w:val="30"/>
        </w:rPr>
      </w:pPr>
      <w:r>
        <w:rPr>
          <w:rFonts w:hint="eastAsia"/>
          <w:sz w:val="30"/>
          <w:szCs w:val="30"/>
        </w:rPr>
        <w:t>另外，请注意，在少数旧约国度预言中，末后的日子包括父的国（以赛亚书2:2及以下，弥迦书4:1及以下）。</w:t>
      </w:r>
    </w:p>
    <w:p w14:paraId="2FA92EF8">
      <w:pPr>
        <w:pStyle w:val="9"/>
        <w:spacing w:before="11"/>
        <w:ind w:left="0"/>
        <w:jc w:val="left"/>
        <w:rPr>
          <w:rFonts w:hint="eastAsia"/>
          <w:sz w:val="30"/>
          <w:szCs w:val="30"/>
        </w:rPr>
      </w:pPr>
    </w:p>
    <w:p w14:paraId="23DAF72F">
      <w:pPr>
        <w:pStyle w:val="9"/>
        <w:spacing w:before="11"/>
        <w:ind w:left="0"/>
        <w:jc w:val="left"/>
        <w:rPr>
          <w:rFonts w:hint="eastAsia"/>
          <w:sz w:val="30"/>
          <w:szCs w:val="30"/>
        </w:rPr>
      </w:pPr>
      <w:r>
        <w:rPr>
          <w:rFonts w:hint="eastAsia"/>
          <w:sz w:val="30"/>
          <w:szCs w:val="30"/>
        </w:rPr>
        <w:t>In the NT, however, they are uniformly co-extensive with the Kingdom of the Son.</w:t>
      </w:r>
    </w:p>
    <w:p w14:paraId="7DF8A2AB">
      <w:pPr>
        <w:pStyle w:val="9"/>
        <w:spacing w:before="11"/>
        <w:ind w:left="0"/>
        <w:jc w:val="left"/>
        <w:rPr>
          <w:rFonts w:hint="eastAsia"/>
          <w:sz w:val="30"/>
          <w:szCs w:val="30"/>
        </w:rPr>
      </w:pPr>
      <w:r>
        <w:rPr>
          <w:rFonts w:hint="eastAsia"/>
          <w:sz w:val="30"/>
          <w:szCs w:val="30"/>
        </w:rPr>
        <w:t>然而，在新约中，它们无一例外地与子的国范围相同。</w:t>
      </w:r>
    </w:p>
    <w:p w14:paraId="6E604D7F">
      <w:pPr>
        <w:pStyle w:val="9"/>
        <w:spacing w:before="11"/>
        <w:ind w:left="0"/>
        <w:jc w:val="left"/>
        <w:rPr>
          <w:rFonts w:hint="eastAsia"/>
          <w:sz w:val="30"/>
          <w:szCs w:val="30"/>
        </w:rPr>
      </w:pPr>
    </w:p>
    <w:p w14:paraId="0487C32B">
      <w:pPr>
        <w:pStyle w:val="9"/>
        <w:spacing w:before="11"/>
        <w:ind w:left="0"/>
        <w:jc w:val="left"/>
        <w:rPr>
          <w:rFonts w:hint="eastAsia"/>
          <w:sz w:val="30"/>
          <w:szCs w:val="30"/>
        </w:rPr>
      </w:pPr>
      <w:r>
        <w:rPr>
          <w:rFonts w:hint="eastAsia"/>
          <w:sz w:val="30"/>
          <w:szCs w:val="30"/>
        </w:rPr>
        <w:t>Chapter 12: The Nature and Stages of the Kingdom in OTKP</w:t>
      </w:r>
    </w:p>
    <w:p w14:paraId="52A42F24">
      <w:pPr>
        <w:pStyle w:val="9"/>
        <w:spacing w:before="11"/>
        <w:ind w:left="0"/>
        <w:jc w:val="left"/>
        <w:rPr>
          <w:rFonts w:hint="eastAsia"/>
          <w:sz w:val="30"/>
          <w:szCs w:val="30"/>
        </w:rPr>
      </w:pPr>
      <w:r>
        <w:rPr>
          <w:rFonts w:hint="eastAsia"/>
          <w:sz w:val="30"/>
          <w:szCs w:val="30"/>
        </w:rPr>
        <w:t>第12章：旧约国度预言中之国度的性质与阶段</w:t>
      </w:r>
    </w:p>
    <w:p w14:paraId="0A34577B">
      <w:pPr>
        <w:pStyle w:val="9"/>
        <w:spacing w:before="11"/>
        <w:ind w:left="0"/>
        <w:jc w:val="left"/>
        <w:rPr>
          <w:rFonts w:hint="eastAsia"/>
          <w:sz w:val="30"/>
          <w:szCs w:val="30"/>
        </w:rPr>
      </w:pPr>
    </w:p>
    <w:p w14:paraId="78072B66">
      <w:pPr>
        <w:pStyle w:val="9"/>
        <w:spacing w:before="11"/>
        <w:ind w:left="0"/>
        <w:jc w:val="left"/>
        <w:rPr>
          <w:rFonts w:hint="eastAsia"/>
          <w:sz w:val="30"/>
          <w:szCs w:val="30"/>
        </w:rPr>
      </w:pPr>
      <w:r>
        <w:rPr>
          <w:rFonts w:hint="eastAsia"/>
          <w:sz w:val="30"/>
          <w:szCs w:val="30"/>
        </w:rPr>
        <w:t>1.For a fulsome list of OTKP’s, see Appendix 6.</w:t>
      </w:r>
    </w:p>
    <w:p w14:paraId="36E39C91">
      <w:pPr>
        <w:pStyle w:val="9"/>
        <w:spacing w:before="11"/>
        <w:ind w:left="0"/>
        <w:jc w:val="left"/>
        <w:rPr>
          <w:rFonts w:hint="eastAsia"/>
          <w:sz w:val="30"/>
          <w:szCs w:val="30"/>
        </w:rPr>
      </w:pPr>
      <w:r>
        <w:rPr>
          <w:rFonts w:hint="eastAsia"/>
          <w:sz w:val="30"/>
          <w:szCs w:val="30"/>
        </w:rPr>
        <w:t>1.关于旧约国度预言的详尽列表，见附录6。</w:t>
      </w:r>
    </w:p>
    <w:p w14:paraId="3B443886">
      <w:pPr>
        <w:pStyle w:val="9"/>
        <w:spacing w:before="11"/>
        <w:ind w:left="0"/>
        <w:jc w:val="left"/>
        <w:rPr>
          <w:rFonts w:hint="eastAsia"/>
          <w:sz w:val="30"/>
          <w:szCs w:val="30"/>
        </w:rPr>
      </w:pPr>
    </w:p>
    <w:p w14:paraId="1DE339F9">
      <w:pPr>
        <w:pStyle w:val="9"/>
        <w:spacing w:before="11"/>
        <w:ind w:left="0"/>
        <w:jc w:val="left"/>
        <w:rPr>
          <w:rFonts w:hint="eastAsia"/>
          <w:sz w:val="30"/>
          <w:szCs w:val="30"/>
        </w:rPr>
      </w:pPr>
      <w:r>
        <w:rPr>
          <w:rFonts w:hint="eastAsia"/>
          <w:sz w:val="30"/>
          <w:szCs w:val="30"/>
        </w:rPr>
        <w:t>2.Importantly, in Hosea’s prophecies of Israel’s eschatological restoration, the apostle Paul actually finds a prediction of the Gentile’s conversion to Christ (Hos. 1:10, Rom. 9:25-26)!</w:t>
      </w:r>
    </w:p>
    <w:p w14:paraId="45A96711">
      <w:pPr>
        <w:pStyle w:val="9"/>
        <w:spacing w:before="11"/>
        <w:ind w:left="0"/>
        <w:jc w:val="left"/>
        <w:rPr>
          <w:rFonts w:hint="eastAsia"/>
          <w:sz w:val="30"/>
          <w:szCs w:val="30"/>
        </w:rPr>
      </w:pPr>
      <w:r>
        <w:rPr>
          <w:rFonts w:hint="eastAsia"/>
          <w:sz w:val="30"/>
          <w:szCs w:val="30"/>
        </w:rPr>
        <w:t>2.重要的是，在何西阿关于以色列末世论复兴的预言中，使徒保罗实际上找到了一个关于外邦人归信基督的预言（何1:10，罗9:25-26）！</w:t>
      </w:r>
    </w:p>
    <w:p w14:paraId="7911030C">
      <w:pPr>
        <w:pStyle w:val="9"/>
        <w:spacing w:before="11"/>
        <w:ind w:left="0"/>
        <w:jc w:val="left"/>
        <w:rPr>
          <w:rFonts w:hint="eastAsia"/>
          <w:sz w:val="30"/>
          <w:szCs w:val="30"/>
        </w:rPr>
      </w:pPr>
    </w:p>
    <w:p w14:paraId="63C6A4C2">
      <w:pPr>
        <w:pStyle w:val="9"/>
        <w:spacing w:before="11"/>
        <w:ind w:left="0"/>
        <w:jc w:val="left"/>
        <w:rPr>
          <w:rFonts w:hint="eastAsia"/>
          <w:sz w:val="30"/>
          <w:szCs w:val="30"/>
        </w:rPr>
      </w:pPr>
      <w:r>
        <w:rPr>
          <w:rFonts w:hint="eastAsia"/>
          <w:sz w:val="30"/>
          <w:szCs w:val="30"/>
        </w:rPr>
        <w:t>This shows that Paul applied the NCH to Hosea, seeing in his words a prediction of the eschatological restoration of Christ’s Church, a Church that includes Gentiles as well as Jews.</w:t>
      </w:r>
    </w:p>
    <w:p w14:paraId="44726EA5">
      <w:pPr>
        <w:pStyle w:val="9"/>
        <w:spacing w:before="11"/>
        <w:ind w:left="0"/>
        <w:jc w:val="left"/>
        <w:rPr>
          <w:rFonts w:hint="eastAsia"/>
          <w:sz w:val="30"/>
          <w:szCs w:val="30"/>
        </w:rPr>
      </w:pPr>
      <w:r>
        <w:rPr>
          <w:rFonts w:hint="eastAsia"/>
          <w:sz w:val="30"/>
          <w:szCs w:val="30"/>
        </w:rPr>
        <w:t>这表明保罗将新约释经学（NCH）应用于何西阿书，在他（何西阿）的话语中看到了一个关于基督教会末世论复兴的预言，这个教会既包括外邦人，也包括犹太人。</w:t>
      </w:r>
    </w:p>
    <w:p w14:paraId="05AB520A">
      <w:pPr>
        <w:pStyle w:val="9"/>
        <w:spacing w:before="11"/>
        <w:ind w:left="0"/>
        <w:jc w:val="left"/>
        <w:rPr>
          <w:rFonts w:hint="eastAsia"/>
          <w:sz w:val="30"/>
          <w:szCs w:val="30"/>
        </w:rPr>
      </w:pPr>
    </w:p>
    <w:p w14:paraId="52EA661A">
      <w:pPr>
        <w:pStyle w:val="9"/>
        <w:spacing w:before="11"/>
        <w:ind w:left="0"/>
        <w:jc w:val="left"/>
        <w:rPr>
          <w:rFonts w:hint="eastAsia"/>
          <w:sz w:val="30"/>
          <w:szCs w:val="30"/>
        </w:rPr>
      </w:pPr>
      <w:r>
        <w:rPr>
          <w:rFonts w:hint="eastAsia"/>
          <w:sz w:val="30"/>
          <w:szCs w:val="30"/>
        </w:rPr>
        <w:t>3. Observe how God’s covenant with David serves as a picture of the Covenant of Redemption between the Father and the Son.</w:t>
      </w:r>
    </w:p>
    <w:p w14:paraId="0430BBC8">
      <w:pPr>
        <w:pStyle w:val="9"/>
        <w:spacing w:before="11"/>
        <w:ind w:left="0"/>
        <w:jc w:val="left"/>
        <w:rPr>
          <w:rFonts w:hint="eastAsia"/>
          <w:sz w:val="30"/>
          <w:szCs w:val="30"/>
        </w:rPr>
      </w:pPr>
      <w:r>
        <w:rPr>
          <w:rFonts w:hint="eastAsia"/>
          <w:sz w:val="30"/>
          <w:szCs w:val="30"/>
        </w:rPr>
        <w:t>3. 观察神与大卫所立的约如何成为父与子之间救赎之约的一幅图画。</w:t>
      </w:r>
    </w:p>
    <w:p w14:paraId="11D21D42">
      <w:pPr>
        <w:pStyle w:val="9"/>
        <w:spacing w:before="11"/>
        <w:ind w:left="0"/>
        <w:jc w:val="left"/>
        <w:rPr>
          <w:rFonts w:hint="eastAsia"/>
          <w:sz w:val="30"/>
          <w:szCs w:val="30"/>
        </w:rPr>
      </w:pPr>
    </w:p>
    <w:p w14:paraId="287824F2">
      <w:pPr>
        <w:pStyle w:val="9"/>
        <w:spacing w:before="11"/>
        <w:ind w:left="0"/>
        <w:jc w:val="left"/>
        <w:rPr>
          <w:rFonts w:hint="eastAsia"/>
          <w:sz w:val="30"/>
          <w:szCs w:val="30"/>
        </w:rPr>
      </w:pPr>
      <w:r>
        <w:rPr>
          <w:rFonts w:hint="eastAsia"/>
          <w:sz w:val="30"/>
          <w:szCs w:val="30"/>
        </w:rPr>
        <w:t>It is upon condition of the Son’s obedience unto all stages of his humiliation that the Father will reward and bless him by making him Head over an eternal dynasty of saints, the called out ones of every age, the Church (Psalm 89).</w:t>
      </w:r>
    </w:p>
    <w:p w14:paraId="1312B5B8">
      <w:pPr>
        <w:pStyle w:val="9"/>
        <w:spacing w:before="11"/>
        <w:ind w:left="0"/>
        <w:jc w:val="left"/>
        <w:rPr>
          <w:rFonts w:hint="eastAsia"/>
          <w:sz w:val="30"/>
          <w:szCs w:val="30"/>
        </w:rPr>
      </w:pPr>
      <w:r>
        <w:rPr>
          <w:rFonts w:hint="eastAsia"/>
          <w:sz w:val="30"/>
          <w:szCs w:val="30"/>
        </w:rPr>
        <w:t>正是在子顺服于祂一切降卑阶段的条件下，父才奖赏并祝福祂，使祂作一个永恒圣徒王朝的元首，即历代以来被召出来的人，也就是教会（诗篇89）。</w:t>
      </w:r>
    </w:p>
    <w:p w14:paraId="75AD08FF">
      <w:pPr>
        <w:pStyle w:val="9"/>
        <w:spacing w:before="11"/>
        <w:ind w:left="0"/>
        <w:jc w:val="left"/>
        <w:rPr>
          <w:rFonts w:hint="eastAsia"/>
          <w:sz w:val="30"/>
          <w:szCs w:val="30"/>
        </w:rPr>
      </w:pPr>
    </w:p>
    <w:p w14:paraId="519CB14F">
      <w:pPr>
        <w:pStyle w:val="9"/>
        <w:spacing w:before="11"/>
        <w:ind w:left="0"/>
        <w:jc w:val="left"/>
        <w:rPr>
          <w:rFonts w:hint="eastAsia"/>
          <w:sz w:val="30"/>
          <w:szCs w:val="30"/>
        </w:rPr>
      </w:pPr>
      <w:r>
        <w:rPr>
          <w:rFonts w:hint="eastAsia"/>
          <w:sz w:val="30"/>
          <w:szCs w:val="30"/>
        </w:rPr>
        <w:t>4. See Isaiah 14 and Ezekiel 28 for two intriguing instances of prophetic blending.</w:t>
      </w:r>
    </w:p>
    <w:p w14:paraId="4618B165">
      <w:pPr>
        <w:pStyle w:val="9"/>
        <w:spacing w:before="11"/>
        <w:ind w:left="0"/>
        <w:jc w:val="left"/>
        <w:rPr>
          <w:rFonts w:hint="eastAsia"/>
          <w:sz w:val="30"/>
          <w:szCs w:val="30"/>
        </w:rPr>
      </w:pPr>
      <w:r>
        <w:rPr>
          <w:rFonts w:hint="eastAsia"/>
          <w:sz w:val="30"/>
          <w:szCs w:val="30"/>
        </w:rPr>
        <w:t>4. 见以赛亚书第14章和以西结书第28章，可看到两个有趣的预言融合实例。</w:t>
      </w:r>
    </w:p>
    <w:p w14:paraId="73234378">
      <w:pPr>
        <w:pStyle w:val="9"/>
        <w:spacing w:before="11"/>
        <w:ind w:left="0"/>
        <w:jc w:val="left"/>
        <w:rPr>
          <w:rFonts w:hint="eastAsia"/>
          <w:sz w:val="30"/>
          <w:szCs w:val="30"/>
        </w:rPr>
      </w:pPr>
    </w:p>
    <w:p w14:paraId="2D293B0F">
      <w:pPr>
        <w:pStyle w:val="9"/>
        <w:spacing w:before="11"/>
        <w:ind w:left="0"/>
        <w:jc w:val="left"/>
        <w:rPr>
          <w:rFonts w:hint="eastAsia"/>
          <w:sz w:val="30"/>
          <w:szCs w:val="30"/>
        </w:rPr>
      </w:pPr>
      <w:r>
        <w:rPr>
          <w:rFonts w:hint="eastAsia"/>
          <w:sz w:val="30"/>
          <w:szCs w:val="30"/>
        </w:rPr>
        <w:t>In the former, Isaiah blends predictions of the fall of the king of Babylon with predictions of the fall (i.e., destruction) of Satan and his kingdom.</w:t>
      </w:r>
    </w:p>
    <w:p w14:paraId="13AAF8C7">
      <w:pPr>
        <w:pStyle w:val="9"/>
        <w:spacing w:before="11"/>
        <w:ind w:left="0"/>
        <w:jc w:val="left"/>
        <w:rPr>
          <w:rFonts w:hint="eastAsia"/>
          <w:sz w:val="30"/>
          <w:szCs w:val="30"/>
        </w:rPr>
      </w:pPr>
      <w:r>
        <w:rPr>
          <w:rFonts w:hint="eastAsia"/>
          <w:sz w:val="30"/>
          <w:szCs w:val="30"/>
        </w:rPr>
        <w:t>在前者中，以赛亚将巴比伦王倾倒的预言与撒但及其国度倾倒（即毁灭）的预言融合在一起。</w:t>
      </w:r>
    </w:p>
    <w:p w14:paraId="6E42EA86">
      <w:pPr>
        <w:pStyle w:val="9"/>
        <w:spacing w:before="11"/>
        <w:ind w:left="0"/>
        <w:jc w:val="left"/>
        <w:rPr>
          <w:rFonts w:hint="eastAsia"/>
          <w:sz w:val="30"/>
          <w:szCs w:val="30"/>
        </w:rPr>
      </w:pPr>
    </w:p>
    <w:p w14:paraId="3DE0612A">
      <w:pPr>
        <w:pStyle w:val="9"/>
        <w:spacing w:before="11"/>
        <w:ind w:left="0"/>
        <w:jc w:val="left"/>
        <w:rPr>
          <w:rFonts w:hint="eastAsia"/>
          <w:sz w:val="30"/>
          <w:szCs w:val="30"/>
        </w:rPr>
      </w:pPr>
      <w:r>
        <w:rPr>
          <w:rFonts w:hint="eastAsia"/>
          <w:sz w:val="30"/>
          <w:szCs w:val="30"/>
        </w:rPr>
        <w:t>In the latter, Ezekiel does much the same, this time tying predictions of Satan’s demise to predictions of the doom of the king of Tyre.</w:t>
      </w:r>
    </w:p>
    <w:p w14:paraId="636209EF">
      <w:pPr>
        <w:pStyle w:val="9"/>
        <w:spacing w:before="11"/>
        <w:ind w:left="0"/>
        <w:jc w:val="left"/>
        <w:rPr>
          <w:rFonts w:hint="eastAsia"/>
          <w:sz w:val="30"/>
          <w:szCs w:val="30"/>
        </w:rPr>
      </w:pPr>
      <w:r>
        <w:rPr>
          <w:rFonts w:hint="eastAsia"/>
          <w:sz w:val="30"/>
          <w:szCs w:val="30"/>
        </w:rPr>
        <w:t>在后者中，以西结也做了类似的事，这次将撒但灭亡的预言与推罗王厄运的预言联系在一起。</w:t>
      </w:r>
    </w:p>
    <w:p w14:paraId="254F6718">
      <w:pPr>
        <w:pStyle w:val="9"/>
        <w:spacing w:before="11"/>
        <w:ind w:left="0"/>
        <w:jc w:val="left"/>
        <w:rPr>
          <w:rFonts w:hint="eastAsia"/>
          <w:sz w:val="30"/>
          <w:szCs w:val="30"/>
        </w:rPr>
      </w:pPr>
    </w:p>
    <w:p w14:paraId="0100BC15">
      <w:pPr>
        <w:pStyle w:val="9"/>
        <w:spacing w:before="11"/>
        <w:ind w:left="0"/>
        <w:jc w:val="left"/>
        <w:rPr>
          <w:rFonts w:hint="eastAsia"/>
          <w:sz w:val="30"/>
          <w:szCs w:val="30"/>
        </w:rPr>
      </w:pPr>
      <w:r>
        <w:rPr>
          <w:rFonts w:hint="eastAsia"/>
          <w:sz w:val="30"/>
          <w:szCs w:val="30"/>
        </w:rPr>
        <w:t>5.Familiar examples of OTKP’s of the World to Come include Isaiah 11:6- 9, 35:1ff, 65:17-25, Jer. 31:12-14, 23-26, 31-34, Ezek. 37, 40-48, Daniel 7:1ff, Hosea 2:14-23, Joel 3:18-21, Amos 9:11-15, Micah 4:1-5, Nahum 1:15, Hab. 3:1-19, Zeph. 3:14-20, Haggai 2:5-9, Zech. 8:1-23, Mal. 3:4, 4:1-3.</w:t>
      </w:r>
    </w:p>
    <w:p w14:paraId="7D083CD0">
      <w:pPr>
        <w:pStyle w:val="9"/>
        <w:spacing w:before="11"/>
        <w:ind w:left="0"/>
        <w:jc w:val="left"/>
        <w:rPr>
          <w:rFonts w:hint="eastAsia"/>
          <w:sz w:val="30"/>
          <w:szCs w:val="30"/>
        </w:rPr>
      </w:pPr>
      <w:r>
        <w:rPr>
          <w:rFonts w:hint="eastAsia"/>
          <w:sz w:val="30"/>
          <w:szCs w:val="30"/>
        </w:rPr>
        <w:t>5.关于来世的旧约国度预言的熟悉例子包括以赛亚书11:6-9, 35:1及以下, 65:17-25, 耶利米书31:12-14, 23-26, 31-34, 以西结书37, 40-48, 但以理书7:1及以下, 何西阿书2:14-23, 约珥书3:18-21, 阿摩司书9:11-15, 弥迦书4:1-5, 那鸿书1:15, 哈巴谷书3:1-19, 西番雅书3:14-20, 哈该书2:5-9, 撒迦利亚书8:1-23, 玛拉基书3:4, 4:1-3。</w:t>
      </w:r>
    </w:p>
    <w:p w14:paraId="42C0F0D4">
      <w:pPr>
        <w:pStyle w:val="9"/>
        <w:spacing w:before="11"/>
        <w:ind w:left="0"/>
        <w:jc w:val="left"/>
        <w:rPr>
          <w:rFonts w:hint="eastAsia"/>
          <w:sz w:val="30"/>
          <w:szCs w:val="30"/>
        </w:rPr>
      </w:pPr>
    </w:p>
    <w:p w14:paraId="00CE51B1">
      <w:pPr>
        <w:pStyle w:val="9"/>
        <w:spacing w:before="11"/>
        <w:ind w:left="0"/>
        <w:jc w:val="left"/>
        <w:rPr>
          <w:rFonts w:hint="eastAsia"/>
          <w:sz w:val="30"/>
          <w:szCs w:val="30"/>
        </w:rPr>
      </w:pPr>
      <w:r>
        <w:rPr>
          <w:rFonts w:hint="eastAsia"/>
          <w:sz w:val="30"/>
          <w:szCs w:val="30"/>
        </w:rPr>
        <w:t>Some we have discussed already; others we will discuss later.</w:t>
      </w:r>
    </w:p>
    <w:p w14:paraId="3F85F728">
      <w:pPr>
        <w:pStyle w:val="9"/>
        <w:spacing w:before="11"/>
        <w:ind w:left="0"/>
        <w:jc w:val="left"/>
        <w:rPr>
          <w:rFonts w:hint="eastAsia"/>
          <w:sz w:val="30"/>
          <w:szCs w:val="30"/>
        </w:rPr>
      </w:pPr>
      <w:r>
        <w:rPr>
          <w:rFonts w:hint="eastAsia"/>
          <w:sz w:val="30"/>
          <w:szCs w:val="30"/>
        </w:rPr>
        <w:t>一些我们已经讨论过；另一些我们稍后会讨论。</w:t>
      </w:r>
    </w:p>
    <w:p w14:paraId="60D14961">
      <w:pPr>
        <w:pStyle w:val="9"/>
        <w:spacing w:before="11"/>
        <w:ind w:left="0"/>
        <w:jc w:val="left"/>
        <w:rPr>
          <w:rFonts w:hint="eastAsia"/>
          <w:sz w:val="30"/>
          <w:szCs w:val="30"/>
        </w:rPr>
      </w:pPr>
    </w:p>
    <w:p w14:paraId="623CC88A">
      <w:pPr>
        <w:pStyle w:val="9"/>
        <w:spacing w:before="11"/>
        <w:ind w:left="0"/>
        <w:jc w:val="left"/>
        <w:rPr>
          <w:rFonts w:hint="eastAsia"/>
          <w:sz w:val="30"/>
          <w:szCs w:val="30"/>
        </w:rPr>
      </w:pPr>
      <w:r>
        <w:rPr>
          <w:rFonts w:hint="eastAsia"/>
          <w:sz w:val="30"/>
          <w:szCs w:val="30"/>
        </w:rPr>
        <w:t>6. The opaqueness of OTKP is reflected in the fact that during the inter- testamental period Judaism could not reach a consensus on the nature and coming of the Kingdom.</w:t>
      </w:r>
    </w:p>
    <w:p w14:paraId="24C80B7E">
      <w:pPr>
        <w:pStyle w:val="9"/>
        <w:spacing w:before="11"/>
        <w:ind w:left="0"/>
        <w:jc w:val="left"/>
        <w:rPr>
          <w:rFonts w:hint="eastAsia"/>
          <w:sz w:val="30"/>
          <w:szCs w:val="30"/>
        </w:rPr>
      </w:pPr>
      <w:r>
        <w:rPr>
          <w:rFonts w:hint="eastAsia"/>
          <w:sz w:val="30"/>
          <w:szCs w:val="30"/>
        </w:rPr>
        <w:t>6. 旧约国度预言的晦涩难懂，反映在这样一个事实上，即在两约之间时期，犹太教无法就国度的性质和降临达成共识。</w:t>
      </w:r>
    </w:p>
    <w:p w14:paraId="1DA1D8A9">
      <w:pPr>
        <w:pStyle w:val="9"/>
        <w:spacing w:before="11"/>
        <w:ind w:left="0"/>
        <w:jc w:val="left"/>
        <w:rPr>
          <w:rFonts w:hint="eastAsia"/>
          <w:sz w:val="30"/>
          <w:szCs w:val="30"/>
        </w:rPr>
      </w:pPr>
    </w:p>
    <w:p w14:paraId="6CFF9252">
      <w:pPr>
        <w:pStyle w:val="9"/>
        <w:spacing w:before="11"/>
        <w:ind w:left="0"/>
        <w:jc w:val="left"/>
        <w:rPr>
          <w:rFonts w:hint="eastAsia"/>
          <w:sz w:val="30"/>
          <w:szCs w:val="30"/>
        </w:rPr>
      </w:pPr>
      <w:r>
        <w:rPr>
          <w:rFonts w:hint="eastAsia"/>
          <w:sz w:val="30"/>
          <w:szCs w:val="30"/>
        </w:rPr>
        <w:t>NT Theologian George Ladd goes into some detail on this subject, comparing and contrasting different Jewish perspectives reflected in the Apocrypha, the Pseudepigrapha, the Qumran Community, the writings of the Rabbis, and the NT itself.</w:t>
      </w:r>
    </w:p>
    <w:p w14:paraId="0940372C">
      <w:pPr>
        <w:pStyle w:val="9"/>
        <w:spacing w:before="11"/>
        <w:ind w:left="0"/>
        <w:jc w:val="left"/>
        <w:rPr>
          <w:rFonts w:hint="eastAsia"/>
          <w:sz w:val="30"/>
          <w:szCs w:val="30"/>
        </w:rPr>
      </w:pPr>
      <w:r>
        <w:rPr>
          <w:rFonts w:hint="eastAsia"/>
          <w:sz w:val="30"/>
          <w:szCs w:val="30"/>
        </w:rPr>
        <w:t>新约神学家乔治·赖德对这个主题进行了相当详细的探讨，比较和对比了伪经、次经、昆兰社群、拉比著作以及新约本身所反映的不同犹太观点。</w:t>
      </w:r>
    </w:p>
    <w:p w14:paraId="11399C14">
      <w:pPr>
        <w:pStyle w:val="9"/>
        <w:spacing w:before="11"/>
        <w:ind w:left="0"/>
        <w:jc w:val="left"/>
        <w:rPr>
          <w:rFonts w:hint="eastAsia"/>
          <w:sz w:val="30"/>
          <w:szCs w:val="30"/>
        </w:rPr>
      </w:pPr>
    </w:p>
    <w:p w14:paraId="55C7C1FB">
      <w:pPr>
        <w:pStyle w:val="9"/>
        <w:spacing w:before="11"/>
        <w:ind w:left="0"/>
        <w:jc w:val="left"/>
        <w:rPr>
          <w:rFonts w:hint="eastAsia"/>
          <w:sz w:val="30"/>
          <w:szCs w:val="30"/>
        </w:rPr>
      </w:pPr>
      <w:r>
        <w:rPr>
          <w:rFonts w:hint="eastAsia"/>
          <w:sz w:val="30"/>
          <w:szCs w:val="30"/>
        </w:rPr>
        <w:t>To interact with these disparate views is to see at least one thing with crystal clarity: All of these ancient interpreters of OTKP stood in desperate need of an authoritative revelation of the mysteries of the Kingdom of God!</w:t>
      </w:r>
    </w:p>
    <w:p w14:paraId="565F4F72">
      <w:pPr>
        <w:pStyle w:val="9"/>
        <w:spacing w:before="11"/>
        <w:ind w:left="0"/>
        <w:jc w:val="left"/>
        <w:rPr>
          <w:rFonts w:hint="eastAsia"/>
          <w:sz w:val="30"/>
          <w:szCs w:val="30"/>
        </w:rPr>
      </w:pPr>
      <w:r>
        <w:rPr>
          <w:rFonts w:hint="eastAsia"/>
          <w:sz w:val="30"/>
          <w:szCs w:val="30"/>
        </w:rPr>
        <w:t>与这些迥异的观点互动，至少能让我们清楚地看到一件事：所有这些古代旧约国度预言的解释者，都迫切需要一个关于神国奥秘的权威性启示！</w:t>
      </w:r>
    </w:p>
    <w:p w14:paraId="26C9381B">
      <w:pPr>
        <w:pStyle w:val="9"/>
        <w:spacing w:before="11"/>
        <w:ind w:left="0"/>
        <w:jc w:val="left"/>
        <w:rPr>
          <w:rFonts w:hint="eastAsia"/>
          <w:sz w:val="30"/>
          <w:szCs w:val="30"/>
        </w:rPr>
      </w:pPr>
    </w:p>
    <w:p w14:paraId="6666929C">
      <w:pPr>
        <w:pStyle w:val="9"/>
        <w:spacing w:before="11"/>
        <w:ind w:left="0"/>
        <w:jc w:val="left"/>
        <w:rPr>
          <w:rFonts w:hint="eastAsia"/>
          <w:sz w:val="30"/>
          <w:szCs w:val="30"/>
        </w:rPr>
      </w:pPr>
      <w:r>
        <w:rPr>
          <w:rFonts w:hint="eastAsia"/>
          <w:sz w:val="30"/>
          <w:szCs w:val="30"/>
        </w:rPr>
        <w:t>So do we.</w:t>
      </w:r>
    </w:p>
    <w:p w14:paraId="3015AD58">
      <w:pPr>
        <w:pStyle w:val="9"/>
        <w:spacing w:before="11"/>
        <w:ind w:left="0"/>
        <w:jc w:val="left"/>
        <w:rPr>
          <w:rFonts w:hint="eastAsia"/>
          <w:sz w:val="30"/>
          <w:szCs w:val="30"/>
        </w:rPr>
      </w:pPr>
      <w:r>
        <w:rPr>
          <w:rFonts w:hint="eastAsia"/>
          <w:sz w:val="30"/>
          <w:szCs w:val="30"/>
        </w:rPr>
        <w:t>我们也一样。</w:t>
      </w:r>
    </w:p>
    <w:p w14:paraId="114F1447">
      <w:pPr>
        <w:pStyle w:val="9"/>
        <w:spacing w:before="11"/>
        <w:ind w:left="0"/>
        <w:jc w:val="left"/>
        <w:rPr>
          <w:rFonts w:hint="eastAsia"/>
          <w:sz w:val="30"/>
          <w:szCs w:val="30"/>
        </w:rPr>
      </w:pPr>
    </w:p>
    <w:p w14:paraId="3D35D906">
      <w:pPr>
        <w:pStyle w:val="9"/>
        <w:spacing w:before="11"/>
        <w:ind w:left="0"/>
        <w:jc w:val="left"/>
        <w:rPr>
          <w:rFonts w:hint="eastAsia"/>
          <w:sz w:val="30"/>
          <w:szCs w:val="30"/>
        </w:rPr>
      </w:pPr>
      <w:r>
        <w:rPr>
          <w:rFonts w:hint="eastAsia"/>
          <w:sz w:val="30"/>
          <w:szCs w:val="30"/>
        </w:rPr>
        <w:t>See George Ladd, New Testament Theology, (Eerdmans, Rev. Ed., 1993), pp. 58-60, 135-138.</w:t>
      </w:r>
    </w:p>
    <w:p w14:paraId="2ECB135A">
      <w:pPr>
        <w:pStyle w:val="9"/>
        <w:spacing w:before="11"/>
        <w:ind w:left="0"/>
        <w:jc w:val="left"/>
        <w:rPr>
          <w:rFonts w:hint="eastAsia"/>
          <w:sz w:val="30"/>
          <w:szCs w:val="30"/>
        </w:rPr>
      </w:pPr>
      <w:r>
        <w:rPr>
          <w:rFonts w:hint="eastAsia"/>
          <w:sz w:val="30"/>
          <w:szCs w:val="30"/>
        </w:rPr>
        <w:t>见乔治·赖德，《新约神学》（Eerdmans, Rev. Ed., 1993），第58-60, 135-138页。</w:t>
      </w:r>
    </w:p>
    <w:p w14:paraId="42B99EA6">
      <w:pPr>
        <w:pStyle w:val="9"/>
        <w:spacing w:before="11"/>
        <w:ind w:left="0"/>
        <w:jc w:val="left"/>
        <w:rPr>
          <w:rFonts w:hint="eastAsia"/>
          <w:sz w:val="30"/>
          <w:szCs w:val="30"/>
        </w:rPr>
      </w:pPr>
    </w:p>
    <w:p w14:paraId="15AA752A">
      <w:pPr>
        <w:pStyle w:val="9"/>
        <w:spacing w:before="11"/>
        <w:ind w:left="0"/>
        <w:jc w:val="left"/>
        <w:rPr>
          <w:rFonts w:hint="eastAsia"/>
          <w:sz w:val="30"/>
          <w:szCs w:val="30"/>
        </w:rPr>
      </w:pPr>
      <w:r>
        <w:rPr>
          <w:rFonts w:hint="eastAsia"/>
          <w:sz w:val="30"/>
          <w:szCs w:val="30"/>
        </w:rPr>
        <w:t>7.To get a feel for the tremendous difficulty of harmonizing all the Old and New Testament prophetic Scriptures within a single premillennial framework, see Wm. Biederwolf, The Millennium Bible (Glad Tidings Publishing, 1924).</w:t>
      </w:r>
    </w:p>
    <w:p w14:paraId="4BAD7FF0">
      <w:pPr>
        <w:pStyle w:val="9"/>
        <w:spacing w:before="11"/>
        <w:ind w:left="0"/>
        <w:jc w:val="left"/>
        <w:rPr>
          <w:rFonts w:hint="eastAsia"/>
          <w:sz w:val="30"/>
          <w:szCs w:val="30"/>
        </w:rPr>
      </w:pPr>
      <w:r>
        <w:rPr>
          <w:rFonts w:hint="eastAsia"/>
          <w:sz w:val="30"/>
          <w:szCs w:val="30"/>
        </w:rPr>
        <w:t>7.要体会将所有旧约和新约的预言性经文在一个单一的前千禧年框架内加以协调的巨大困难，请见威廉·比德沃尔夫，《千禧年圣经》（Glad Tidings Publishing, 1924）。</w:t>
      </w:r>
    </w:p>
    <w:p w14:paraId="019BE0F1">
      <w:pPr>
        <w:pStyle w:val="9"/>
        <w:spacing w:before="11"/>
        <w:ind w:left="0"/>
        <w:jc w:val="left"/>
        <w:rPr>
          <w:rFonts w:hint="eastAsia"/>
          <w:sz w:val="30"/>
          <w:szCs w:val="30"/>
        </w:rPr>
      </w:pPr>
    </w:p>
    <w:p w14:paraId="0CD85302">
      <w:pPr>
        <w:pStyle w:val="9"/>
        <w:spacing w:before="11"/>
        <w:ind w:left="0"/>
        <w:jc w:val="left"/>
        <w:rPr>
          <w:rFonts w:hint="eastAsia"/>
          <w:sz w:val="30"/>
          <w:szCs w:val="30"/>
        </w:rPr>
      </w:pPr>
      <w:r>
        <w:rPr>
          <w:rFonts w:hint="eastAsia"/>
          <w:sz w:val="30"/>
          <w:szCs w:val="30"/>
        </w:rPr>
        <w:t>I am much indebted to Biederwolf, not because he resolved the Great End Time Debate, but because, with heart-rending integrity, thoughtfulness, and diligence, he showed us how impossible it is to do so on premillennial grounds.</w:t>
      </w:r>
    </w:p>
    <w:p w14:paraId="780A9304">
      <w:pPr>
        <w:pStyle w:val="9"/>
        <w:spacing w:before="11"/>
        <w:ind w:left="0"/>
        <w:jc w:val="left"/>
        <w:rPr>
          <w:rFonts w:hint="eastAsia"/>
          <w:sz w:val="30"/>
          <w:szCs w:val="30"/>
        </w:rPr>
      </w:pPr>
      <w:r>
        <w:rPr>
          <w:rFonts w:hint="eastAsia"/>
          <w:sz w:val="30"/>
          <w:szCs w:val="30"/>
        </w:rPr>
        <w:t>我非常感谢比德沃尔夫，不是因为他解决了伟大的末世辩论，而是因为他以令人心碎的正直、深思和勤奋，向我们展示了在前千禧年论的基础上做到这一点是何等的不可能。</w:t>
      </w:r>
    </w:p>
    <w:p w14:paraId="4798122A">
      <w:pPr>
        <w:pStyle w:val="9"/>
        <w:spacing w:before="11"/>
        <w:ind w:left="0"/>
        <w:jc w:val="left"/>
        <w:rPr>
          <w:rFonts w:hint="eastAsia"/>
          <w:sz w:val="30"/>
          <w:szCs w:val="30"/>
        </w:rPr>
      </w:pPr>
    </w:p>
    <w:p w14:paraId="65331FF3">
      <w:pPr>
        <w:pStyle w:val="9"/>
        <w:spacing w:before="11"/>
        <w:ind w:left="0"/>
        <w:jc w:val="left"/>
        <w:rPr>
          <w:rFonts w:hint="eastAsia"/>
          <w:sz w:val="30"/>
          <w:szCs w:val="30"/>
        </w:rPr>
      </w:pPr>
      <w:r>
        <w:rPr>
          <w:rFonts w:hint="eastAsia"/>
          <w:sz w:val="30"/>
          <w:szCs w:val="30"/>
        </w:rPr>
        <w:t>Chapter 13: NT Principles for Interpreting OT Kingdom Prophecy</w:t>
      </w:r>
    </w:p>
    <w:p w14:paraId="2C9D6992">
      <w:pPr>
        <w:pStyle w:val="9"/>
        <w:spacing w:before="11"/>
        <w:ind w:left="0"/>
        <w:jc w:val="left"/>
        <w:rPr>
          <w:rFonts w:hint="eastAsia"/>
          <w:sz w:val="30"/>
          <w:szCs w:val="30"/>
        </w:rPr>
      </w:pPr>
      <w:r>
        <w:rPr>
          <w:rFonts w:hint="eastAsia"/>
          <w:sz w:val="30"/>
          <w:szCs w:val="30"/>
        </w:rPr>
        <w:t>第13章：解释旧约国度预言的新约原则</w:t>
      </w:r>
    </w:p>
    <w:p w14:paraId="3F3F3E49">
      <w:pPr>
        <w:pStyle w:val="9"/>
        <w:spacing w:before="11"/>
        <w:ind w:left="0"/>
        <w:jc w:val="left"/>
        <w:rPr>
          <w:rFonts w:hint="eastAsia"/>
          <w:sz w:val="30"/>
          <w:szCs w:val="30"/>
        </w:rPr>
      </w:pPr>
    </w:p>
    <w:p w14:paraId="4DE66527">
      <w:pPr>
        <w:pStyle w:val="9"/>
        <w:spacing w:before="11"/>
        <w:ind w:left="0"/>
        <w:jc w:val="left"/>
        <w:rPr>
          <w:rFonts w:hint="eastAsia"/>
          <w:sz w:val="30"/>
          <w:szCs w:val="30"/>
        </w:rPr>
      </w:pPr>
      <w:r>
        <w:rPr>
          <w:rFonts w:hint="eastAsia"/>
          <w:sz w:val="30"/>
          <w:szCs w:val="30"/>
        </w:rPr>
        <w:t>1. As we have seen, progressive dispensationalists are attempting to go down this road, arguing that OTKP’s are amenable both to literal (premillennial) and figurative interpretations.</w:t>
      </w:r>
    </w:p>
    <w:p w14:paraId="78EE77EE">
      <w:pPr>
        <w:pStyle w:val="9"/>
        <w:spacing w:before="11"/>
        <w:ind w:left="0"/>
        <w:jc w:val="left"/>
        <w:rPr>
          <w:rFonts w:hint="eastAsia"/>
          <w:sz w:val="30"/>
          <w:szCs w:val="30"/>
        </w:rPr>
      </w:pPr>
      <w:r>
        <w:rPr>
          <w:rFonts w:hint="eastAsia"/>
          <w:sz w:val="30"/>
          <w:szCs w:val="30"/>
        </w:rPr>
        <w:t>1. 正如我们所见，渐进式时代论者正试图走这条路，他们主张旧约国度预言既可以作字面（前千禧年）的解释，也可以作比喻的解释。</w:t>
      </w:r>
    </w:p>
    <w:p w14:paraId="5D445790">
      <w:pPr>
        <w:pStyle w:val="9"/>
        <w:spacing w:before="11"/>
        <w:ind w:left="0"/>
        <w:jc w:val="left"/>
        <w:rPr>
          <w:rFonts w:hint="eastAsia"/>
          <w:sz w:val="30"/>
          <w:szCs w:val="30"/>
        </w:rPr>
      </w:pPr>
    </w:p>
    <w:p w14:paraId="640B4186">
      <w:pPr>
        <w:pStyle w:val="9"/>
        <w:spacing w:before="11"/>
        <w:ind w:left="0"/>
        <w:jc w:val="left"/>
        <w:rPr>
          <w:rFonts w:hint="eastAsia"/>
          <w:sz w:val="30"/>
          <w:szCs w:val="30"/>
        </w:rPr>
      </w:pPr>
      <w:r>
        <w:rPr>
          <w:rFonts w:hint="eastAsia"/>
          <w:sz w:val="30"/>
          <w:szCs w:val="30"/>
        </w:rPr>
        <w:t>The great problem with this idea is that NT eschatology does not support it at all; indeed, it positively refutes it at every turn.</w:t>
      </w:r>
    </w:p>
    <w:p w14:paraId="261D848C">
      <w:pPr>
        <w:pStyle w:val="9"/>
        <w:spacing w:before="11"/>
        <w:ind w:left="0"/>
        <w:jc w:val="left"/>
        <w:rPr>
          <w:rFonts w:hint="eastAsia"/>
          <w:sz w:val="30"/>
          <w:szCs w:val="30"/>
        </w:rPr>
      </w:pPr>
      <w:r>
        <w:rPr>
          <w:rFonts w:hint="eastAsia"/>
          <w:sz w:val="30"/>
          <w:szCs w:val="30"/>
        </w:rPr>
        <w:t>这个观念的巨大问题在于，新约末世论根本不支持它；事实上，它在每一处都明确地驳斥了它。</w:t>
      </w:r>
    </w:p>
    <w:p w14:paraId="5236E7B8">
      <w:pPr>
        <w:pStyle w:val="9"/>
        <w:spacing w:before="11"/>
        <w:ind w:left="0"/>
        <w:jc w:val="left"/>
        <w:rPr>
          <w:rFonts w:hint="eastAsia"/>
          <w:sz w:val="30"/>
          <w:szCs w:val="30"/>
        </w:rPr>
      </w:pPr>
    </w:p>
    <w:p w14:paraId="76D8FEB7">
      <w:pPr>
        <w:pStyle w:val="9"/>
        <w:spacing w:before="11"/>
        <w:ind w:left="0"/>
        <w:jc w:val="left"/>
        <w:rPr>
          <w:rFonts w:hint="eastAsia"/>
          <w:sz w:val="30"/>
          <w:szCs w:val="30"/>
        </w:rPr>
      </w:pPr>
      <w:r>
        <w:rPr>
          <w:rFonts w:hint="eastAsia"/>
          <w:sz w:val="30"/>
          <w:szCs w:val="30"/>
        </w:rPr>
        <w:t>For more, see Appendix 3.</w:t>
      </w:r>
    </w:p>
    <w:p w14:paraId="6E2F4687">
      <w:pPr>
        <w:pStyle w:val="9"/>
        <w:spacing w:before="11"/>
        <w:ind w:left="0"/>
        <w:jc w:val="left"/>
        <w:rPr>
          <w:rFonts w:hint="eastAsia"/>
          <w:sz w:val="30"/>
          <w:szCs w:val="30"/>
        </w:rPr>
      </w:pPr>
      <w:r>
        <w:rPr>
          <w:rFonts w:hint="eastAsia"/>
          <w:sz w:val="30"/>
          <w:szCs w:val="30"/>
        </w:rPr>
        <w:t>更多信息，见附录3。</w:t>
      </w:r>
    </w:p>
    <w:p w14:paraId="28539977">
      <w:pPr>
        <w:pStyle w:val="9"/>
        <w:spacing w:before="11"/>
        <w:ind w:left="0"/>
        <w:jc w:val="left"/>
        <w:rPr>
          <w:rFonts w:hint="eastAsia"/>
          <w:sz w:val="30"/>
          <w:szCs w:val="30"/>
        </w:rPr>
      </w:pPr>
    </w:p>
    <w:p w14:paraId="4A775FDE">
      <w:pPr>
        <w:pStyle w:val="9"/>
        <w:spacing w:before="11"/>
        <w:ind w:left="0"/>
        <w:jc w:val="left"/>
        <w:rPr>
          <w:rFonts w:hint="eastAsia"/>
          <w:sz w:val="30"/>
          <w:szCs w:val="30"/>
        </w:rPr>
      </w:pPr>
      <w:r>
        <w:rPr>
          <w:rFonts w:hint="eastAsia"/>
          <w:sz w:val="30"/>
          <w:szCs w:val="30"/>
        </w:rPr>
        <w:t>2. OT types of Christ are distinct from, yet closely related to, christophanies, which may be defined as appearances of the Son of God in OT times.</w:t>
      </w:r>
    </w:p>
    <w:p w14:paraId="52F4918C">
      <w:pPr>
        <w:pStyle w:val="9"/>
        <w:spacing w:before="11"/>
        <w:ind w:left="0"/>
        <w:jc w:val="left"/>
        <w:rPr>
          <w:rFonts w:hint="eastAsia"/>
          <w:sz w:val="30"/>
          <w:szCs w:val="30"/>
        </w:rPr>
      </w:pPr>
      <w:r>
        <w:rPr>
          <w:rFonts w:hint="eastAsia"/>
          <w:sz w:val="30"/>
          <w:szCs w:val="30"/>
        </w:rPr>
        <w:t>2. 旧约中基督的预表，与基督显现（Christophanies）是不同的，但又密切相关，基督显现可定义为神的儿子在旧约时代的显现。</w:t>
      </w:r>
    </w:p>
    <w:p w14:paraId="7DDEF833">
      <w:pPr>
        <w:pStyle w:val="9"/>
        <w:spacing w:before="11"/>
        <w:ind w:left="0"/>
        <w:jc w:val="left"/>
        <w:rPr>
          <w:rFonts w:hint="eastAsia"/>
          <w:sz w:val="30"/>
          <w:szCs w:val="30"/>
        </w:rPr>
      </w:pPr>
    </w:p>
    <w:p w14:paraId="20341E69">
      <w:pPr>
        <w:pStyle w:val="9"/>
        <w:spacing w:before="11"/>
        <w:ind w:left="0"/>
        <w:jc w:val="left"/>
        <w:rPr>
          <w:rFonts w:hint="eastAsia"/>
          <w:sz w:val="30"/>
          <w:szCs w:val="30"/>
        </w:rPr>
      </w:pPr>
      <w:r>
        <w:rPr>
          <w:rFonts w:hint="eastAsia"/>
          <w:sz w:val="30"/>
          <w:szCs w:val="30"/>
        </w:rPr>
        <w:t>We find christophanies in Genesis 16, 22, 32, Exodus 4, Joshua 5, and Daniel 3.</w:t>
      </w:r>
    </w:p>
    <w:p w14:paraId="647487BF">
      <w:pPr>
        <w:pStyle w:val="9"/>
        <w:spacing w:before="11"/>
        <w:ind w:left="0"/>
        <w:jc w:val="left"/>
        <w:rPr>
          <w:rFonts w:hint="eastAsia"/>
          <w:sz w:val="30"/>
          <w:szCs w:val="30"/>
        </w:rPr>
      </w:pPr>
      <w:r>
        <w:rPr>
          <w:rFonts w:hint="eastAsia"/>
          <w:sz w:val="30"/>
          <w:szCs w:val="30"/>
        </w:rPr>
        <w:t>我们在创世记16, 22, 32章，出埃及记第4章，约书亚记第5章和但以理书第3章中找到基督的显现。</w:t>
      </w:r>
    </w:p>
    <w:p w14:paraId="4B594CA3">
      <w:pPr>
        <w:pStyle w:val="9"/>
        <w:spacing w:before="11"/>
        <w:ind w:left="0"/>
        <w:jc w:val="left"/>
        <w:rPr>
          <w:rFonts w:hint="eastAsia"/>
          <w:sz w:val="30"/>
          <w:szCs w:val="30"/>
        </w:rPr>
      </w:pPr>
    </w:p>
    <w:p w14:paraId="0E3812E7">
      <w:pPr>
        <w:pStyle w:val="9"/>
        <w:spacing w:before="11"/>
        <w:ind w:left="0"/>
        <w:jc w:val="left"/>
        <w:rPr>
          <w:rFonts w:hint="eastAsia"/>
          <w:sz w:val="30"/>
          <w:szCs w:val="30"/>
        </w:rPr>
      </w:pPr>
      <w:r>
        <w:rPr>
          <w:rFonts w:hint="eastAsia"/>
          <w:sz w:val="30"/>
          <w:szCs w:val="30"/>
        </w:rPr>
        <w:t>3. For reasons given elsewhere, I believe that at the moment of death the OT saints did not descend, as some hold, into (a blessed) compartment of Sheol, but simply entered heaven (Psalm 16:11, 17:15, 73:24f, 139:8, Proverbs 14:32, 15:24).</w:t>
      </w:r>
    </w:p>
    <w:p w14:paraId="2CDB1BF2">
      <w:pPr>
        <w:pStyle w:val="9"/>
        <w:spacing w:before="11"/>
        <w:ind w:left="0"/>
        <w:jc w:val="left"/>
        <w:rPr>
          <w:rFonts w:hint="eastAsia"/>
          <w:sz w:val="30"/>
          <w:szCs w:val="30"/>
        </w:rPr>
      </w:pPr>
      <w:r>
        <w:rPr>
          <w:rFonts w:hint="eastAsia"/>
          <w:sz w:val="30"/>
          <w:szCs w:val="30"/>
        </w:rPr>
        <w:t>3. 基于别处给出的理由，我相信在死亡的时刻，旧约的圣徒并非像一些人所认为的那样，下到阴间（一个蒙福的）隔间，而是直接进入了天堂（诗篇16:11, 17:15, 73:24及以下, 139:8，箴言14:32, 15:24）。</w:t>
      </w:r>
    </w:p>
    <w:p w14:paraId="60AE38AF">
      <w:pPr>
        <w:pStyle w:val="9"/>
        <w:spacing w:before="11"/>
        <w:ind w:left="0"/>
        <w:jc w:val="left"/>
        <w:rPr>
          <w:rFonts w:hint="eastAsia"/>
          <w:sz w:val="30"/>
          <w:szCs w:val="30"/>
        </w:rPr>
      </w:pPr>
    </w:p>
    <w:p w14:paraId="325EBD68">
      <w:pPr>
        <w:pStyle w:val="9"/>
        <w:spacing w:before="11"/>
        <w:ind w:left="0"/>
        <w:jc w:val="left"/>
        <w:rPr>
          <w:rFonts w:hint="eastAsia"/>
          <w:sz w:val="30"/>
          <w:szCs w:val="30"/>
        </w:rPr>
      </w:pPr>
      <w:r>
        <w:rPr>
          <w:rFonts w:hint="eastAsia"/>
          <w:sz w:val="30"/>
          <w:szCs w:val="30"/>
        </w:rPr>
        <w:t>But if this is so, how exactly was it that they did not become “perfect” until Christ completed his redemptive work (Heb. 11:40)?</w:t>
      </w:r>
    </w:p>
    <w:p w14:paraId="3C197C3A">
      <w:pPr>
        <w:pStyle w:val="9"/>
        <w:spacing w:before="11"/>
        <w:ind w:left="0"/>
        <w:jc w:val="left"/>
        <w:rPr>
          <w:rFonts w:hint="eastAsia"/>
          <w:sz w:val="30"/>
          <w:szCs w:val="30"/>
        </w:rPr>
      </w:pPr>
      <w:r>
        <w:rPr>
          <w:rFonts w:hint="eastAsia"/>
          <w:sz w:val="30"/>
          <w:szCs w:val="30"/>
        </w:rPr>
        <w:t>但如果是这样，那么他们究竟是如何直到基督完成了祂的救赎工作才得以“完全”的呢（来11:40）？</w:t>
      </w:r>
    </w:p>
    <w:p w14:paraId="0775901A">
      <w:pPr>
        <w:pStyle w:val="9"/>
        <w:spacing w:before="11"/>
        <w:ind w:left="0"/>
        <w:jc w:val="left"/>
        <w:rPr>
          <w:rFonts w:hint="eastAsia"/>
          <w:sz w:val="30"/>
          <w:szCs w:val="30"/>
        </w:rPr>
      </w:pPr>
    </w:p>
    <w:p w14:paraId="2C5EDF31">
      <w:pPr>
        <w:pStyle w:val="9"/>
        <w:spacing w:before="11"/>
        <w:ind w:left="0"/>
        <w:jc w:val="left"/>
        <w:rPr>
          <w:rFonts w:hint="eastAsia"/>
          <w:sz w:val="30"/>
          <w:szCs w:val="30"/>
        </w:rPr>
      </w:pPr>
      <w:r>
        <w:rPr>
          <w:rFonts w:hint="eastAsia"/>
          <w:sz w:val="30"/>
          <w:szCs w:val="30"/>
        </w:rPr>
        <w:t>One response is to say that until Christ actually completed his redemptive work on earth, returned to heaven, and there illuminated their minds, the spirits of the OT saints did not become perfect in their understanding and enjoyment of God's plan of salvation (Luke 24:45).</w:t>
      </w:r>
    </w:p>
    <w:p w14:paraId="5C80DD2E">
      <w:pPr>
        <w:pStyle w:val="9"/>
        <w:spacing w:before="11"/>
        <w:ind w:left="0"/>
        <w:jc w:val="left"/>
        <w:rPr>
          <w:rFonts w:hint="eastAsia"/>
          <w:sz w:val="30"/>
          <w:szCs w:val="30"/>
        </w:rPr>
      </w:pPr>
      <w:r>
        <w:rPr>
          <w:rFonts w:hint="eastAsia"/>
          <w:sz w:val="30"/>
          <w:szCs w:val="30"/>
        </w:rPr>
        <w:t>一种回应是说，直到基督真正在地上完成了祂的救赎工作，回到天上，并在那里光照他们的心窍，旧约圣徒的灵魂才在对神救赎计划的理解和享受上得以完全（路24:45）。</w:t>
      </w:r>
    </w:p>
    <w:p w14:paraId="05F65CFD">
      <w:pPr>
        <w:pStyle w:val="9"/>
        <w:spacing w:before="11"/>
        <w:ind w:left="0"/>
        <w:jc w:val="left"/>
        <w:rPr>
          <w:rFonts w:hint="eastAsia"/>
          <w:sz w:val="30"/>
          <w:szCs w:val="30"/>
        </w:rPr>
      </w:pPr>
    </w:p>
    <w:p w14:paraId="39880F40">
      <w:pPr>
        <w:pStyle w:val="9"/>
        <w:spacing w:before="11"/>
        <w:ind w:left="0"/>
        <w:jc w:val="left"/>
        <w:rPr>
          <w:rFonts w:hint="eastAsia"/>
          <w:sz w:val="30"/>
          <w:szCs w:val="30"/>
        </w:rPr>
      </w:pPr>
      <w:r>
        <w:rPr>
          <w:rFonts w:hint="eastAsia"/>
          <w:sz w:val="30"/>
          <w:szCs w:val="30"/>
        </w:rPr>
        <w:t>Certainly the angels themselves did not fully comprehend the mystery of the Eternal Covenant until the apostles began to proclaim it (Eph. 3:10).</w:t>
      </w:r>
    </w:p>
    <w:p w14:paraId="17E67E45">
      <w:pPr>
        <w:pStyle w:val="9"/>
        <w:spacing w:before="11"/>
        <w:ind w:left="0"/>
        <w:jc w:val="left"/>
        <w:rPr>
          <w:rFonts w:hint="eastAsia"/>
          <w:sz w:val="30"/>
          <w:szCs w:val="30"/>
        </w:rPr>
      </w:pPr>
      <w:r>
        <w:rPr>
          <w:rFonts w:hint="eastAsia"/>
          <w:sz w:val="30"/>
          <w:szCs w:val="30"/>
        </w:rPr>
        <w:t>当然，天使们自己也直到使徒们开始宣讲永恒之约的奥秘时，才完全明白（弗3:10）。</w:t>
      </w:r>
    </w:p>
    <w:p w14:paraId="5B573128">
      <w:pPr>
        <w:pStyle w:val="9"/>
        <w:spacing w:before="11"/>
        <w:ind w:left="0"/>
        <w:jc w:val="left"/>
        <w:rPr>
          <w:rFonts w:hint="eastAsia"/>
          <w:sz w:val="30"/>
          <w:szCs w:val="30"/>
        </w:rPr>
      </w:pPr>
    </w:p>
    <w:p w14:paraId="0B60E606">
      <w:pPr>
        <w:pStyle w:val="9"/>
        <w:spacing w:before="11"/>
        <w:ind w:left="0"/>
        <w:jc w:val="left"/>
        <w:rPr>
          <w:rFonts w:hint="eastAsia"/>
          <w:sz w:val="30"/>
          <w:szCs w:val="30"/>
        </w:rPr>
      </w:pPr>
      <w:r>
        <w:rPr>
          <w:rFonts w:hint="eastAsia"/>
          <w:sz w:val="30"/>
          <w:szCs w:val="30"/>
        </w:rPr>
        <w:t>In this regard, the OT saints may well have been on the same page as the angels!</w:t>
      </w:r>
    </w:p>
    <w:p w14:paraId="2DFD6343">
      <w:pPr>
        <w:pStyle w:val="9"/>
        <w:spacing w:before="11"/>
        <w:ind w:left="0"/>
        <w:jc w:val="left"/>
        <w:rPr>
          <w:rFonts w:hint="eastAsia"/>
          <w:sz w:val="30"/>
          <w:szCs w:val="30"/>
        </w:rPr>
      </w:pPr>
      <w:r>
        <w:rPr>
          <w:rFonts w:hint="eastAsia"/>
          <w:sz w:val="30"/>
          <w:szCs w:val="30"/>
        </w:rPr>
        <w:t>在这方面，旧约的圣徒很可能与天使们处在同一水平！</w:t>
      </w:r>
    </w:p>
    <w:p w14:paraId="29C85FB8">
      <w:pPr>
        <w:pStyle w:val="9"/>
        <w:spacing w:before="11"/>
        <w:ind w:left="0"/>
        <w:jc w:val="left"/>
        <w:rPr>
          <w:rFonts w:hint="eastAsia"/>
          <w:sz w:val="30"/>
          <w:szCs w:val="30"/>
        </w:rPr>
      </w:pPr>
    </w:p>
    <w:p w14:paraId="36809FDE">
      <w:pPr>
        <w:pStyle w:val="9"/>
        <w:spacing w:before="11"/>
        <w:ind w:left="0"/>
        <w:jc w:val="left"/>
        <w:rPr>
          <w:rFonts w:hint="eastAsia"/>
          <w:sz w:val="30"/>
          <w:szCs w:val="30"/>
        </w:rPr>
      </w:pPr>
      <w:r>
        <w:rPr>
          <w:rFonts w:hint="eastAsia"/>
          <w:sz w:val="30"/>
          <w:szCs w:val="30"/>
        </w:rPr>
        <w:t>For more, see Dean Davis, The Test (Pleasant Word, 2010), pp. 351, 550.</w:t>
      </w:r>
    </w:p>
    <w:p w14:paraId="023C0B29">
      <w:pPr>
        <w:pStyle w:val="9"/>
        <w:spacing w:before="11"/>
        <w:ind w:left="0"/>
        <w:jc w:val="left"/>
        <w:rPr>
          <w:rFonts w:hint="eastAsia"/>
          <w:sz w:val="30"/>
          <w:szCs w:val="30"/>
        </w:rPr>
      </w:pPr>
      <w:r>
        <w:rPr>
          <w:rFonts w:hint="eastAsia"/>
          <w:sz w:val="30"/>
          <w:szCs w:val="30"/>
        </w:rPr>
        <w:t>更多信息，见迪恩·戴维斯，《考验》（Pleasant Word, 2010），第351, 550页。</w:t>
      </w:r>
    </w:p>
    <w:p w14:paraId="30D12E57">
      <w:pPr>
        <w:pStyle w:val="9"/>
        <w:spacing w:before="11"/>
        <w:ind w:left="0"/>
        <w:jc w:val="left"/>
        <w:rPr>
          <w:rFonts w:hint="eastAsia"/>
          <w:sz w:val="30"/>
          <w:szCs w:val="30"/>
        </w:rPr>
      </w:pPr>
    </w:p>
    <w:p w14:paraId="31C96B28">
      <w:pPr>
        <w:pStyle w:val="9"/>
        <w:spacing w:before="11"/>
        <w:ind w:left="0"/>
        <w:jc w:val="left"/>
        <w:rPr>
          <w:rFonts w:hint="eastAsia"/>
          <w:sz w:val="30"/>
          <w:szCs w:val="30"/>
        </w:rPr>
      </w:pPr>
      <w:r>
        <w:rPr>
          <w:rFonts w:hint="eastAsia"/>
          <w:sz w:val="30"/>
          <w:szCs w:val="30"/>
        </w:rPr>
        <w:t>4.In my thinking about the various “modes of seeing” proper to the NCH I have been much helped by the work of H. K. La Rondelle, found in The Israel of God in Prophecy (Andrews University Press, 1983).</w:t>
      </w:r>
    </w:p>
    <w:p w14:paraId="49E49F9E">
      <w:pPr>
        <w:pStyle w:val="9"/>
        <w:spacing w:before="11"/>
        <w:ind w:left="0"/>
        <w:jc w:val="left"/>
        <w:rPr>
          <w:rFonts w:hint="eastAsia"/>
          <w:sz w:val="30"/>
          <w:szCs w:val="30"/>
        </w:rPr>
      </w:pPr>
      <w:r>
        <w:rPr>
          <w:rFonts w:hint="eastAsia"/>
          <w:sz w:val="30"/>
          <w:szCs w:val="30"/>
        </w:rPr>
        <w:t>4.在我思考新约释经学（NCH）所特有的各种“观看模式”时，H. K. 拉龙德尔（H. K. La Rondelle）的著作给了我很大帮助，该著作见于《预言中神的以色列》（Andrews University Press, 1983）。</w:t>
      </w:r>
    </w:p>
    <w:p w14:paraId="0ADED271">
      <w:pPr>
        <w:pStyle w:val="9"/>
        <w:spacing w:before="11"/>
        <w:ind w:left="0"/>
        <w:jc w:val="left"/>
        <w:rPr>
          <w:rFonts w:hint="eastAsia"/>
          <w:sz w:val="30"/>
          <w:szCs w:val="30"/>
        </w:rPr>
      </w:pPr>
    </w:p>
    <w:p w14:paraId="44E8D015">
      <w:pPr>
        <w:pStyle w:val="9"/>
        <w:spacing w:before="11"/>
        <w:ind w:left="0"/>
        <w:jc w:val="left"/>
        <w:rPr>
          <w:rFonts w:hint="eastAsia"/>
          <w:sz w:val="30"/>
          <w:szCs w:val="30"/>
        </w:rPr>
      </w:pPr>
      <w:r>
        <w:rPr>
          <w:rFonts w:hint="eastAsia"/>
          <w:sz w:val="30"/>
          <w:szCs w:val="30"/>
        </w:rPr>
        <w:t>5.George Ladd, New Testament Theology (Eerdmans, 1993), p. 58.</w:t>
      </w:r>
    </w:p>
    <w:p w14:paraId="6C3C3A62">
      <w:pPr>
        <w:pStyle w:val="9"/>
        <w:spacing w:before="11"/>
        <w:ind w:left="0"/>
        <w:jc w:val="left"/>
        <w:rPr>
          <w:rFonts w:hint="eastAsia"/>
          <w:sz w:val="30"/>
          <w:szCs w:val="30"/>
        </w:rPr>
      </w:pPr>
      <w:r>
        <w:rPr>
          <w:rFonts w:hint="eastAsia"/>
          <w:sz w:val="30"/>
          <w:szCs w:val="30"/>
        </w:rPr>
        <w:t>5.乔治·赖德，《新约神学》（Eerdmans, 1993），第58页。</w:t>
      </w:r>
    </w:p>
    <w:p w14:paraId="17D56126">
      <w:pPr>
        <w:pStyle w:val="9"/>
        <w:spacing w:before="11"/>
        <w:ind w:left="0"/>
        <w:jc w:val="left"/>
        <w:rPr>
          <w:rFonts w:hint="eastAsia"/>
          <w:sz w:val="30"/>
          <w:szCs w:val="30"/>
        </w:rPr>
      </w:pPr>
    </w:p>
    <w:p w14:paraId="6F673EFC">
      <w:pPr>
        <w:pStyle w:val="9"/>
        <w:spacing w:before="11"/>
        <w:ind w:left="0"/>
        <w:jc w:val="left"/>
        <w:rPr>
          <w:rFonts w:hint="eastAsia"/>
          <w:sz w:val="30"/>
          <w:szCs w:val="30"/>
        </w:rPr>
      </w:pPr>
      <w:r>
        <w:rPr>
          <w:rFonts w:hint="eastAsia"/>
          <w:sz w:val="30"/>
          <w:szCs w:val="30"/>
        </w:rPr>
        <w:t>Chapter 14: NT Examples of Interpreting OT Kingdom Prophecy</w:t>
      </w:r>
    </w:p>
    <w:p w14:paraId="121B6923">
      <w:pPr>
        <w:pStyle w:val="9"/>
        <w:spacing w:before="11"/>
        <w:ind w:left="0"/>
        <w:jc w:val="left"/>
        <w:rPr>
          <w:rFonts w:hint="eastAsia"/>
          <w:sz w:val="30"/>
          <w:szCs w:val="30"/>
        </w:rPr>
      </w:pPr>
      <w:r>
        <w:rPr>
          <w:rFonts w:hint="eastAsia"/>
          <w:sz w:val="30"/>
          <w:szCs w:val="30"/>
        </w:rPr>
        <w:t>第14章：解释旧约国度预言的新约范例</w:t>
      </w:r>
    </w:p>
    <w:p w14:paraId="6A2F6177">
      <w:pPr>
        <w:pStyle w:val="9"/>
        <w:spacing w:before="11"/>
        <w:ind w:left="0"/>
        <w:jc w:val="left"/>
        <w:rPr>
          <w:rFonts w:hint="eastAsia"/>
          <w:sz w:val="30"/>
          <w:szCs w:val="30"/>
        </w:rPr>
      </w:pPr>
    </w:p>
    <w:p w14:paraId="624E5B7F">
      <w:pPr>
        <w:pStyle w:val="9"/>
        <w:spacing w:before="11"/>
        <w:ind w:left="0"/>
        <w:jc w:val="left"/>
        <w:rPr>
          <w:rFonts w:hint="eastAsia"/>
          <w:sz w:val="30"/>
          <w:szCs w:val="30"/>
        </w:rPr>
      </w:pPr>
      <w:r>
        <w:rPr>
          <w:rFonts w:hint="eastAsia"/>
          <w:sz w:val="30"/>
          <w:szCs w:val="30"/>
        </w:rPr>
        <w:t>1. For more on the interpretation of Romans 11 and the latter-day conversion of the bulk of ethnic Israel, see chapter 23.</w:t>
      </w:r>
    </w:p>
    <w:p w14:paraId="694DB82B">
      <w:pPr>
        <w:pStyle w:val="9"/>
        <w:spacing w:before="11"/>
        <w:ind w:left="0"/>
        <w:jc w:val="left"/>
        <w:rPr>
          <w:rFonts w:hint="eastAsia"/>
          <w:sz w:val="30"/>
          <w:szCs w:val="30"/>
        </w:rPr>
      </w:pPr>
      <w:r>
        <w:rPr>
          <w:rFonts w:hint="eastAsia"/>
          <w:sz w:val="30"/>
          <w:szCs w:val="30"/>
        </w:rPr>
        <w:t>1. 关于罗马书第11章的解释以及末后大部分种族以色列人归信的更多信息，见第23章。</w:t>
      </w:r>
    </w:p>
    <w:p w14:paraId="27AC4EEE">
      <w:pPr>
        <w:pStyle w:val="9"/>
        <w:spacing w:before="11"/>
        <w:ind w:left="0"/>
        <w:jc w:val="left"/>
        <w:rPr>
          <w:rFonts w:hint="eastAsia"/>
          <w:sz w:val="30"/>
          <w:szCs w:val="30"/>
        </w:rPr>
      </w:pPr>
    </w:p>
    <w:p w14:paraId="126C2DC0">
      <w:pPr>
        <w:pStyle w:val="9"/>
        <w:spacing w:before="11"/>
        <w:ind w:left="0"/>
        <w:jc w:val="left"/>
        <w:rPr>
          <w:rFonts w:hint="eastAsia"/>
          <w:sz w:val="30"/>
          <w:szCs w:val="30"/>
        </w:rPr>
      </w:pPr>
      <w:r>
        <w:rPr>
          <w:rFonts w:hint="eastAsia"/>
          <w:sz w:val="30"/>
          <w:szCs w:val="30"/>
        </w:rPr>
        <w:t>2.A number of passages found in Jeremiah 30-33 have an extraordinarily NT feel, for which reason Christian readers often hear them speaking straight to their hearts.</w:t>
      </w:r>
    </w:p>
    <w:p w14:paraId="4F98C4C8">
      <w:pPr>
        <w:pStyle w:val="9"/>
        <w:spacing w:before="11"/>
        <w:ind w:left="0"/>
        <w:jc w:val="left"/>
        <w:rPr>
          <w:rFonts w:hint="eastAsia"/>
          <w:sz w:val="30"/>
          <w:szCs w:val="30"/>
        </w:rPr>
      </w:pPr>
      <w:r>
        <w:rPr>
          <w:rFonts w:hint="eastAsia"/>
          <w:sz w:val="30"/>
          <w:szCs w:val="30"/>
        </w:rPr>
        <w:t>2.耶利米书30-33章中的一些段落，有一种非凡的新约感觉，因此基督徒读者常常感觉它们直击他们的心灵。</w:t>
      </w:r>
    </w:p>
    <w:p w14:paraId="78A30B8B">
      <w:pPr>
        <w:pStyle w:val="9"/>
        <w:spacing w:before="11"/>
        <w:ind w:left="0"/>
        <w:jc w:val="left"/>
        <w:rPr>
          <w:rFonts w:hint="eastAsia"/>
          <w:sz w:val="30"/>
          <w:szCs w:val="30"/>
        </w:rPr>
      </w:pPr>
    </w:p>
    <w:p w14:paraId="57D5F4CD">
      <w:pPr>
        <w:pStyle w:val="9"/>
        <w:spacing w:before="11"/>
        <w:ind w:left="0"/>
        <w:jc w:val="left"/>
        <w:rPr>
          <w:rFonts w:hint="eastAsia"/>
          <w:sz w:val="30"/>
          <w:szCs w:val="30"/>
        </w:rPr>
      </w:pPr>
      <w:r>
        <w:rPr>
          <w:rFonts w:hint="eastAsia"/>
          <w:sz w:val="30"/>
          <w:szCs w:val="30"/>
        </w:rPr>
        <w:t>They include Jeremiah 30:8-9, 22; 31:3, 8-9, 10- 12, 13-14, 18-20, 32:36-41.</w:t>
      </w:r>
    </w:p>
    <w:p w14:paraId="58E7BE6F">
      <w:pPr>
        <w:pStyle w:val="9"/>
        <w:spacing w:before="11"/>
        <w:ind w:left="0"/>
        <w:jc w:val="left"/>
        <w:rPr>
          <w:rFonts w:hint="eastAsia"/>
          <w:sz w:val="30"/>
          <w:szCs w:val="30"/>
        </w:rPr>
      </w:pPr>
      <w:r>
        <w:rPr>
          <w:rFonts w:hint="eastAsia"/>
          <w:sz w:val="30"/>
          <w:szCs w:val="30"/>
        </w:rPr>
        <w:t>它们包括耶利米书30:8-9, 22; 31:3, 8-9, 10-12, 13-14, 18-20, 32:36-41。</w:t>
      </w:r>
    </w:p>
    <w:p w14:paraId="3469FC24">
      <w:pPr>
        <w:pStyle w:val="9"/>
        <w:spacing w:before="11"/>
        <w:ind w:left="0"/>
        <w:jc w:val="left"/>
        <w:rPr>
          <w:rFonts w:hint="eastAsia"/>
          <w:sz w:val="30"/>
          <w:szCs w:val="30"/>
        </w:rPr>
      </w:pPr>
    </w:p>
    <w:p w14:paraId="790C3E88">
      <w:pPr>
        <w:pStyle w:val="9"/>
        <w:spacing w:before="11"/>
        <w:ind w:left="0"/>
        <w:jc w:val="left"/>
        <w:rPr>
          <w:rFonts w:hint="eastAsia"/>
          <w:sz w:val="30"/>
          <w:szCs w:val="30"/>
        </w:rPr>
      </w:pPr>
      <w:r>
        <w:rPr>
          <w:rFonts w:hint="eastAsia"/>
          <w:sz w:val="30"/>
          <w:szCs w:val="30"/>
        </w:rPr>
        <w:t>3.Critics observe that Jeremiah 31:32 (Heb. 8:9) seems clearly to identify the houses of Israel and Judah (v. 31) as ethnic Jews; as the latter-day descendents of the fathers whom God rescued from the land of Egypt.</w:t>
      </w:r>
    </w:p>
    <w:p w14:paraId="4FFAE0FB">
      <w:pPr>
        <w:pStyle w:val="9"/>
        <w:spacing w:before="11"/>
        <w:ind w:left="0"/>
        <w:jc w:val="left"/>
        <w:rPr>
          <w:rFonts w:hint="eastAsia"/>
          <w:sz w:val="30"/>
          <w:szCs w:val="30"/>
        </w:rPr>
      </w:pPr>
      <w:r>
        <w:rPr>
          <w:rFonts w:hint="eastAsia"/>
          <w:sz w:val="30"/>
          <w:szCs w:val="30"/>
        </w:rPr>
        <w:t>3.批评家们观察到，耶利米书31:32（来8:9）似乎清楚地将以色列家和犹大家（31节）等同于种族上的犹太人；即神从埃及地拯救出来的他们祖宗的末后子孙。</w:t>
      </w:r>
    </w:p>
    <w:p w14:paraId="7FFF6E36">
      <w:pPr>
        <w:pStyle w:val="9"/>
        <w:spacing w:before="11"/>
        <w:ind w:left="0"/>
        <w:jc w:val="left"/>
        <w:rPr>
          <w:rFonts w:hint="eastAsia"/>
          <w:sz w:val="30"/>
          <w:szCs w:val="30"/>
        </w:rPr>
      </w:pPr>
    </w:p>
    <w:p w14:paraId="0239C575">
      <w:pPr>
        <w:pStyle w:val="9"/>
        <w:spacing w:before="11"/>
        <w:ind w:left="0"/>
        <w:jc w:val="left"/>
        <w:rPr>
          <w:rFonts w:hint="eastAsia"/>
          <w:sz w:val="30"/>
          <w:szCs w:val="30"/>
        </w:rPr>
      </w:pPr>
      <w:r>
        <w:rPr>
          <w:rFonts w:hint="eastAsia"/>
          <w:sz w:val="30"/>
          <w:szCs w:val="30"/>
        </w:rPr>
        <w:t>True enough.</w:t>
      </w:r>
    </w:p>
    <w:p w14:paraId="684B72D9">
      <w:pPr>
        <w:pStyle w:val="9"/>
        <w:spacing w:before="11"/>
        <w:ind w:left="0"/>
        <w:jc w:val="left"/>
        <w:rPr>
          <w:rFonts w:hint="eastAsia"/>
          <w:sz w:val="30"/>
          <w:szCs w:val="30"/>
        </w:rPr>
      </w:pPr>
      <w:r>
        <w:rPr>
          <w:rFonts w:hint="eastAsia"/>
          <w:sz w:val="30"/>
          <w:szCs w:val="30"/>
        </w:rPr>
        <w:t>确实如此。</w:t>
      </w:r>
    </w:p>
    <w:p w14:paraId="6D3B1BC3">
      <w:pPr>
        <w:pStyle w:val="9"/>
        <w:spacing w:before="11"/>
        <w:ind w:left="0"/>
        <w:jc w:val="left"/>
        <w:rPr>
          <w:rFonts w:hint="eastAsia"/>
          <w:sz w:val="30"/>
          <w:szCs w:val="30"/>
        </w:rPr>
      </w:pPr>
    </w:p>
    <w:p w14:paraId="1DBA08DB">
      <w:pPr>
        <w:pStyle w:val="9"/>
        <w:spacing w:before="11"/>
        <w:ind w:left="0"/>
        <w:jc w:val="left"/>
        <w:rPr>
          <w:rFonts w:hint="eastAsia"/>
          <w:sz w:val="30"/>
          <w:szCs w:val="30"/>
        </w:rPr>
      </w:pPr>
      <w:r>
        <w:rPr>
          <w:rFonts w:hint="eastAsia"/>
          <w:sz w:val="30"/>
          <w:szCs w:val="30"/>
        </w:rPr>
        <w:t>But this does not nullify the fact that in v. 31 the (united) houses of Israel and Judah represent the Church.</w:t>
      </w:r>
    </w:p>
    <w:p w14:paraId="4DDB2207">
      <w:pPr>
        <w:pStyle w:val="9"/>
        <w:spacing w:before="11"/>
        <w:ind w:left="0"/>
        <w:jc w:val="left"/>
        <w:rPr>
          <w:rFonts w:hint="eastAsia"/>
          <w:sz w:val="30"/>
          <w:szCs w:val="30"/>
        </w:rPr>
      </w:pPr>
      <w:r>
        <w:rPr>
          <w:rFonts w:hint="eastAsia"/>
          <w:sz w:val="30"/>
          <w:szCs w:val="30"/>
        </w:rPr>
        <w:t>但这并不能否定一个事实，即在第31节中，（联合的）以色列家和犹大家代表了教会。</w:t>
      </w:r>
    </w:p>
    <w:p w14:paraId="3B351B83">
      <w:pPr>
        <w:pStyle w:val="9"/>
        <w:spacing w:before="11"/>
        <w:ind w:left="0"/>
        <w:jc w:val="left"/>
        <w:rPr>
          <w:rFonts w:hint="eastAsia"/>
          <w:sz w:val="30"/>
          <w:szCs w:val="30"/>
        </w:rPr>
      </w:pPr>
    </w:p>
    <w:p w14:paraId="73084F55">
      <w:pPr>
        <w:pStyle w:val="9"/>
        <w:spacing w:before="11"/>
        <w:ind w:left="0"/>
        <w:jc w:val="left"/>
        <w:rPr>
          <w:rFonts w:hint="eastAsia"/>
          <w:sz w:val="30"/>
          <w:szCs w:val="30"/>
        </w:rPr>
      </w:pPr>
      <w:r>
        <w:rPr>
          <w:rFonts w:hint="eastAsia"/>
          <w:sz w:val="30"/>
          <w:szCs w:val="30"/>
        </w:rPr>
        <w:t>Through Jeremiah God said that in the last days he would bring eschatological Israel and Judah into a New Covenant.</w:t>
      </w:r>
    </w:p>
    <w:p w14:paraId="7FACCFF3">
      <w:pPr>
        <w:pStyle w:val="9"/>
        <w:spacing w:before="11"/>
        <w:ind w:left="0"/>
        <w:jc w:val="left"/>
        <w:rPr>
          <w:rFonts w:hint="eastAsia"/>
          <w:sz w:val="30"/>
          <w:szCs w:val="30"/>
        </w:rPr>
      </w:pPr>
      <w:r>
        <w:rPr>
          <w:rFonts w:hint="eastAsia"/>
          <w:sz w:val="30"/>
          <w:szCs w:val="30"/>
        </w:rPr>
        <w:t>神藉着耶利米说，在末后的日子，祂要将末世论的以色列和犹大带入一个新约。</w:t>
      </w:r>
    </w:p>
    <w:p w14:paraId="36BF4ADB">
      <w:pPr>
        <w:pStyle w:val="9"/>
        <w:spacing w:before="11"/>
        <w:ind w:left="0"/>
        <w:jc w:val="left"/>
        <w:rPr>
          <w:rFonts w:hint="eastAsia"/>
          <w:sz w:val="30"/>
          <w:szCs w:val="30"/>
        </w:rPr>
      </w:pPr>
    </w:p>
    <w:p w14:paraId="705E9C63">
      <w:pPr>
        <w:pStyle w:val="9"/>
        <w:spacing w:before="11"/>
        <w:ind w:left="0"/>
        <w:jc w:val="left"/>
        <w:rPr>
          <w:rFonts w:hint="eastAsia"/>
          <w:sz w:val="30"/>
          <w:szCs w:val="30"/>
        </w:rPr>
      </w:pPr>
      <w:r>
        <w:rPr>
          <w:rFonts w:hint="eastAsia"/>
          <w:sz w:val="30"/>
          <w:szCs w:val="30"/>
        </w:rPr>
        <w:t>But according to the NT, eschatological Israel and Judah include both Jews and Gentiles (Rom. 11:17-18).</w:t>
      </w:r>
    </w:p>
    <w:p w14:paraId="2C0D65A0">
      <w:pPr>
        <w:pStyle w:val="9"/>
        <w:spacing w:before="11"/>
        <w:ind w:left="0"/>
        <w:jc w:val="left"/>
        <w:rPr>
          <w:rFonts w:hint="eastAsia"/>
          <w:sz w:val="30"/>
          <w:szCs w:val="30"/>
        </w:rPr>
      </w:pPr>
      <w:r>
        <w:rPr>
          <w:rFonts w:hint="eastAsia"/>
          <w:sz w:val="30"/>
          <w:szCs w:val="30"/>
        </w:rPr>
        <w:t>但根据新约，末世论的以色列和犹大既包括犹太人也包括外邦人（罗11:17-18）。</w:t>
      </w:r>
    </w:p>
    <w:p w14:paraId="05184387">
      <w:pPr>
        <w:pStyle w:val="9"/>
        <w:spacing w:before="11"/>
        <w:ind w:left="0"/>
        <w:jc w:val="left"/>
        <w:rPr>
          <w:rFonts w:hint="eastAsia"/>
          <w:sz w:val="30"/>
          <w:szCs w:val="30"/>
        </w:rPr>
      </w:pPr>
    </w:p>
    <w:p w14:paraId="61FB65CB">
      <w:pPr>
        <w:pStyle w:val="9"/>
        <w:spacing w:before="11"/>
        <w:ind w:left="0"/>
        <w:jc w:val="left"/>
        <w:rPr>
          <w:rFonts w:hint="eastAsia"/>
          <w:sz w:val="30"/>
          <w:szCs w:val="30"/>
        </w:rPr>
      </w:pPr>
      <w:r>
        <w:rPr>
          <w:rFonts w:hint="eastAsia"/>
          <w:sz w:val="30"/>
          <w:szCs w:val="30"/>
        </w:rPr>
        <w:t>Therefore, the writer to the Hebrews can use this text to speak to Jewish believers who were in danger of lapsing from the faith; but he can also use it to speak to Gentile believers, as he has for centuries, whenever and wherever they read this wonderful promise.</w:t>
      </w:r>
    </w:p>
    <w:p w14:paraId="7DA1955F">
      <w:pPr>
        <w:pStyle w:val="9"/>
        <w:spacing w:before="11"/>
        <w:ind w:left="0"/>
        <w:jc w:val="left"/>
        <w:rPr>
          <w:rFonts w:hint="eastAsia"/>
          <w:sz w:val="30"/>
          <w:szCs w:val="30"/>
        </w:rPr>
      </w:pPr>
      <w:r>
        <w:rPr>
          <w:rFonts w:hint="eastAsia"/>
          <w:sz w:val="30"/>
          <w:szCs w:val="30"/>
        </w:rPr>
        <w:t>因此，希伯来书的作者可以用这段经文对那些有从信仰中堕落危险的犹太信徒说话；但祂也可以用它对付邦信徒说话，正如祂几个世纪以来所做的那样，无论何时何地，当他们读到这个奇妙的应许时。</w:t>
      </w:r>
    </w:p>
    <w:p w14:paraId="508EADFA">
      <w:pPr>
        <w:pStyle w:val="9"/>
        <w:spacing w:before="11"/>
        <w:ind w:left="0"/>
        <w:jc w:val="left"/>
        <w:rPr>
          <w:rFonts w:hint="eastAsia"/>
          <w:sz w:val="30"/>
          <w:szCs w:val="30"/>
        </w:rPr>
      </w:pPr>
    </w:p>
    <w:p w14:paraId="219EDA0E">
      <w:pPr>
        <w:pStyle w:val="9"/>
        <w:spacing w:before="11"/>
        <w:ind w:left="0"/>
        <w:jc w:val="left"/>
        <w:rPr>
          <w:rFonts w:hint="eastAsia"/>
          <w:sz w:val="30"/>
          <w:szCs w:val="30"/>
        </w:rPr>
      </w:pPr>
      <w:r>
        <w:rPr>
          <w:rFonts w:hint="eastAsia"/>
          <w:sz w:val="30"/>
          <w:szCs w:val="30"/>
        </w:rPr>
        <w:t>4. Commenting on Jer. 31:31-34, premillennarian C. I. Scofield writes, “Although certain features of this covenant have been fulfilled for believers in the present Church Age, the covenant remains to be realized by (ethnic) Israel according to the explicit statement of v. 31.”</w:t>
      </w:r>
    </w:p>
    <w:p w14:paraId="13173E81">
      <w:pPr>
        <w:pStyle w:val="9"/>
        <w:spacing w:before="11"/>
        <w:ind w:left="0"/>
        <w:jc w:val="left"/>
        <w:rPr>
          <w:rFonts w:hint="eastAsia"/>
          <w:sz w:val="30"/>
          <w:szCs w:val="30"/>
        </w:rPr>
      </w:pPr>
      <w:r>
        <w:rPr>
          <w:rFonts w:hint="eastAsia"/>
          <w:sz w:val="30"/>
          <w:szCs w:val="30"/>
        </w:rPr>
        <w:t>4. 评论耶利米书31:31-34时，前千禧年论者司可福（C. I. Scofield）写道：“尽管这个约的某些特征已经在现今教会时代的信徒身上得到应验，但根据第31节的明确陈述，这个约仍有待（种族上的）以色列来实现。”</w:t>
      </w:r>
    </w:p>
    <w:p w14:paraId="6BE0AB44">
      <w:pPr>
        <w:pStyle w:val="9"/>
        <w:spacing w:before="11"/>
        <w:ind w:left="0"/>
        <w:jc w:val="left"/>
        <w:rPr>
          <w:rFonts w:hint="eastAsia"/>
          <w:sz w:val="30"/>
          <w:szCs w:val="30"/>
        </w:rPr>
      </w:pPr>
    </w:p>
    <w:p w14:paraId="13B2DC0F">
      <w:pPr>
        <w:pStyle w:val="9"/>
        <w:spacing w:before="11"/>
        <w:ind w:left="0"/>
        <w:jc w:val="left"/>
        <w:rPr>
          <w:rFonts w:hint="eastAsia"/>
          <w:sz w:val="30"/>
          <w:szCs w:val="30"/>
        </w:rPr>
      </w:pPr>
      <w:r>
        <w:rPr>
          <w:rFonts w:hint="eastAsia"/>
          <w:sz w:val="30"/>
          <w:szCs w:val="30"/>
        </w:rPr>
        <w:t>Feeling the strong link between this text and the surrounding OTKP’s (Jer. 30-33), Scofield wants to distinguish Jeremiah’s New Covenant from the New Covenant into which Christ invites his Church.</w:t>
      </w:r>
    </w:p>
    <w:p w14:paraId="5CEC1B2E">
      <w:pPr>
        <w:pStyle w:val="9"/>
        <w:spacing w:before="11"/>
        <w:ind w:left="0"/>
        <w:jc w:val="left"/>
        <w:rPr>
          <w:rFonts w:hint="eastAsia"/>
          <w:sz w:val="30"/>
          <w:szCs w:val="30"/>
        </w:rPr>
      </w:pPr>
      <w:r>
        <w:rPr>
          <w:rFonts w:hint="eastAsia"/>
          <w:sz w:val="30"/>
          <w:szCs w:val="30"/>
        </w:rPr>
        <w:t>司可福感受到这段经文与周围的旧约国度预言（耶30-33章）之间的强烈联系，他想把耶利米的新约与基督邀请祂教会进入的新约区分开来。</w:t>
      </w:r>
    </w:p>
    <w:p w14:paraId="47DBDF95">
      <w:pPr>
        <w:pStyle w:val="9"/>
        <w:spacing w:before="11"/>
        <w:ind w:left="0"/>
        <w:jc w:val="left"/>
        <w:rPr>
          <w:rFonts w:hint="eastAsia"/>
          <w:sz w:val="30"/>
          <w:szCs w:val="30"/>
        </w:rPr>
      </w:pPr>
    </w:p>
    <w:p w14:paraId="457A3AC5">
      <w:pPr>
        <w:pStyle w:val="9"/>
        <w:spacing w:before="11"/>
        <w:ind w:left="0"/>
        <w:jc w:val="left"/>
        <w:rPr>
          <w:rFonts w:hint="eastAsia"/>
          <w:sz w:val="30"/>
          <w:szCs w:val="30"/>
        </w:rPr>
      </w:pPr>
      <w:r>
        <w:rPr>
          <w:rFonts w:hint="eastAsia"/>
          <w:sz w:val="30"/>
          <w:szCs w:val="30"/>
        </w:rPr>
        <w:t>The former, he asserts, will bring in the Jewish Kingdom Age (the Millennium), while the latter will bring in the (mainly Gentile) Church Age.</w:t>
      </w:r>
    </w:p>
    <w:p w14:paraId="51AEDAF8">
      <w:pPr>
        <w:pStyle w:val="9"/>
        <w:spacing w:before="11"/>
        <w:ind w:left="0"/>
        <w:jc w:val="left"/>
        <w:rPr>
          <w:rFonts w:hint="eastAsia"/>
          <w:sz w:val="30"/>
          <w:szCs w:val="30"/>
        </w:rPr>
      </w:pPr>
      <w:r>
        <w:rPr>
          <w:rFonts w:hint="eastAsia"/>
          <w:sz w:val="30"/>
          <w:szCs w:val="30"/>
        </w:rPr>
        <w:t>他断言，前者将带来犹太人的国度时代（千禧年），而后者将带来（主要是外邦人的）教会时代。</w:t>
      </w:r>
    </w:p>
    <w:p w14:paraId="63D7D980">
      <w:pPr>
        <w:pStyle w:val="9"/>
        <w:spacing w:before="11"/>
        <w:ind w:left="0"/>
        <w:jc w:val="left"/>
        <w:rPr>
          <w:rFonts w:hint="eastAsia"/>
          <w:sz w:val="30"/>
          <w:szCs w:val="30"/>
        </w:rPr>
      </w:pPr>
    </w:p>
    <w:p w14:paraId="6A0BAC80">
      <w:pPr>
        <w:pStyle w:val="9"/>
        <w:spacing w:before="11"/>
        <w:ind w:left="0"/>
        <w:jc w:val="left"/>
        <w:rPr>
          <w:rFonts w:hint="eastAsia"/>
          <w:sz w:val="30"/>
          <w:szCs w:val="30"/>
        </w:rPr>
      </w:pPr>
      <w:r>
        <w:rPr>
          <w:rFonts w:hint="eastAsia"/>
          <w:sz w:val="30"/>
          <w:szCs w:val="30"/>
        </w:rPr>
        <w:t>The two share “certain features,” yet they are distinct.</w:t>
      </w:r>
    </w:p>
    <w:p w14:paraId="4BAD9CA5">
      <w:pPr>
        <w:pStyle w:val="9"/>
        <w:spacing w:before="11"/>
        <w:ind w:left="0"/>
        <w:jc w:val="left"/>
        <w:rPr>
          <w:rFonts w:hint="eastAsia"/>
          <w:sz w:val="30"/>
          <w:szCs w:val="30"/>
        </w:rPr>
      </w:pPr>
      <w:r>
        <w:rPr>
          <w:rFonts w:hint="eastAsia"/>
          <w:sz w:val="30"/>
          <w:szCs w:val="30"/>
        </w:rPr>
        <w:t>两者共享“某些特征”，但它们是不同的。</w:t>
      </w:r>
    </w:p>
    <w:p w14:paraId="41463B93">
      <w:pPr>
        <w:pStyle w:val="9"/>
        <w:spacing w:before="11"/>
        <w:ind w:left="0"/>
        <w:jc w:val="left"/>
        <w:rPr>
          <w:rFonts w:hint="eastAsia"/>
          <w:sz w:val="30"/>
          <w:szCs w:val="30"/>
        </w:rPr>
      </w:pPr>
    </w:p>
    <w:p w14:paraId="6DA94BD1">
      <w:pPr>
        <w:pStyle w:val="9"/>
        <w:spacing w:before="11"/>
        <w:ind w:left="0"/>
        <w:jc w:val="left"/>
        <w:rPr>
          <w:rFonts w:hint="eastAsia"/>
          <w:sz w:val="30"/>
          <w:szCs w:val="30"/>
        </w:rPr>
      </w:pPr>
      <w:r>
        <w:rPr>
          <w:rFonts w:hint="eastAsia"/>
          <w:sz w:val="30"/>
          <w:szCs w:val="30"/>
        </w:rPr>
        <w:t>However, the writer to the Hebrews could not disagree more.</w:t>
      </w:r>
    </w:p>
    <w:p w14:paraId="47EE4599">
      <w:pPr>
        <w:pStyle w:val="9"/>
        <w:spacing w:before="11"/>
        <w:ind w:left="0"/>
        <w:jc w:val="left"/>
        <w:rPr>
          <w:rFonts w:hint="eastAsia"/>
          <w:sz w:val="30"/>
          <w:szCs w:val="30"/>
        </w:rPr>
      </w:pPr>
      <w:r>
        <w:rPr>
          <w:rFonts w:hint="eastAsia"/>
          <w:sz w:val="30"/>
          <w:szCs w:val="30"/>
        </w:rPr>
        <w:t>然而，希伯来书的作者完全不同意。</w:t>
      </w:r>
    </w:p>
    <w:p w14:paraId="1B5FFAAD">
      <w:pPr>
        <w:pStyle w:val="9"/>
        <w:spacing w:before="11"/>
        <w:ind w:left="0"/>
        <w:jc w:val="left"/>
        <w:rPr>
          <w:rFonts w:hint="eastAsia"/>
          <w:sz w:val="30"/>
          <w:szCs w:val="30"/>
        </w:rPr>
      </w:pPr>
    </w:p>
    <w:p w14:paraId="3672FEB4">
      <w:pPr>
        <w:pStyle w:val="9"/>
        <w:spacing w:before="11"/>
        <w:ind w:left="0"/>
        <w:jc w:val="left"/>
        <w:rPr>
          <w:rFonts w:hint="eastAsia"/>
          <w:sz w:val="30"/>
          <w:szCs w:val="30"/>
        </w:rPr>
      </w:pPr>
      <w:r>
        <w:rPr>
          <w:rFonts w:hint="eastAsia"/>
          <w:sz w:val="30"/>
          <w:szCs w:val="30"/>
        </w:rPr>
        <w:t>Nowhere does he even hint that Jeremiah’s prophecy has the kind of dual fulfillment that Scofield imagines.</w:t>
      </w:r>
    </w:p>
    <w:p w14:paraId="75A92AA9">
      <w:pPr>
        <w:pStyle w:val="9"/>
        <w:spacing w:before="11"/>
        <w:ind w:left="0"/>
        <w:jc w:val="left"/>
        <w:rPr>
          <w:rFonts w:hint="eastAsia"/>
          <w:sz w:val="30"/>
          <w:szCs w:val="30"/>
        </w:rPr>
      </w:pPr>
      <w:r>
        <w:rPr>
          <w:rFonts w:hint="eastAsia"/>
          <w:sz w:val="30"/>
          <w:szCs w:val="30"/>
        </w:rPr>
        <w:t>祂在任何地方都没有暗示过耶利米的预言有司可福所想象的那种双重应验。</w:t>
      </w:r>
    </w:p>
    <w:p w14:paraId="59B6DB2D">
      <w:pPr>
        <w:pStyle w:val="9"/>
        <w:spacing w:before="11"/>
        <w:ind w:left="0"/>
        <w:jc w:val="left"/>
        <w:rPr>
          <w:rFonts w:hint="eastAsia"/>
          <w:sz w:val="30"/>
          <w:szCs w:val="30"/>
        </w:rPr>
      </w:pPr>
    </w:p>
    <w:p w14:paraId="0EF1327A">
      <w:pPr>
        <w:pStyle w:val="9"/>
        <w:spacing w:before="11"/>
        <w:ind w:left="0"/>
        <w:jc w:val="left"/>
        <w:rPr>
          <w:rFonts w:hint="eastAsia"/>
          <w:sz w:val="30"/>
          <w:szCs w:val="30"/>
        </w:rPr>
      </w:pPr>
      <w:r>
        <w:rPr>
          <w:rFonts w:hint="eastAsia"/>
          <w:sz w:val="30"/>
          <w:szCs w:val="30"/>
        </w:rPr>
        <w:t>To the contrary, he is explicit that the New Covenant of which Jeremiah spoke is the very same covenant under which the whole Church—both Jew and Gentile— now lives (7:22, 8:6).</w:t>
      </w:r>
    </w:p>
    <w:p w14:paraId="0D8F53F0">
      <w:pPr>
        <w:pStyle w:val="9"/>
        <w:spacing w:before="11"/>
        <w:ind w:left="0"/>
        <w:jc w:val="left"/>
        <w:rPr>
          <w:rFonts w:hint="eastAsia"/>
          <w:sz w:val="30"/>
          <w:szCs w:val="30"/>
        </w:rPr>
      </w:pPr>
      <w:r>
        <w:rPr>
          <w:rFonts w:hint="eastAsia"/>
          <w:sz w:val="30"/>
          <w:szCs w:val="30"/>
        </w:rPr>
        <w:t>恰恰相反，祂明确指出，耶利米所说的新约，正是整个教会——无论是犹太人还是外邦人——如今所生活的那个约（7:22, 8:6）。</w:t>
      </w:r>
    </w:p>
    <w:p w14:paraId="6FF96252">
      <w:pPr>
        <w:pStyle w:val="9"/>
        <w:spacing w:before="11"/>
        <w:ind w:left="0"/>
        <w:jc w:val="left"/>
        <w:rPr>
          <w:rFonts w:hint="eastAsia"/>
          <w:sz w:val="30"/>
          <w:szCs w:val="30"/>
        </w:rPr>
      </w:pPr>
    </w:p>
    <w:p w14:paraId="5ABB2260">
      <w:pPr>
        <w:pStyle w:val="9"/>
        <w:spacing w:before="11"/>
        <w:ind w:left="0"/>
        <w:jc w:val="left"/>
        <w:rPr>
          <w:rFonts w:hint="eastAsia"/>
          <w:sz w:val="30"/>
          <w:szCs w:val="30"/>
        </w:rPr>
      </w:pPr>
      <w:r>
        <w:rPr>
          <w:rFonts w:hint="eastAsia"/>
          <w:sz w:val="30"/>
          <w:szCs w:val="30"/>
        </w:rPr>
        <w:t>Moreover, it is a covenant based on a new and eternal priesthood (Heb. 7:21); and it is a covenant that creates a new and eternal “nation” that will forever dwell with God in his Kingdom (Jer. 31:36-37, 40, 1 Peter 2:9).</w:t>
      </w:r>
    </w:p>
    <w:p w14:paraId="3911C23E">
      <w:pPr>
        <w:pStyle w:val="9"/>
        <w:spacing w:before="11"/>
        <w:ind w:left="0"/>
        <w:jc w:val="left"/>
        <w:rPr>
          <w:rFonts w:hint="eastAsia"/>
          <w:sz w:val="30"/>
          <w:szCs w:val="30"/>
        </w:rPr>
      </w:pPr>
      <w:r>
        <w:rPr>
          <w:rFonts w:hint="eastAsia"/>
          <w:sz w:val="30"/>
          <w:szCs w:val="30"/>
        </w:rPr>
        <w:t>此外，这是一个建立在新的、永恒的祭司职任上的约（来7:21）；这是一个创造了一个新的、永恒的“国度”的约，这个国度将永远与神同住在祂的国里（耶31:36-37, 40，彼前2:9）。</w:t>
      </w:r>
    </w:p>
    <w:p w14:paraId="52C3B00B">
      <w:pPr>
        <w:pStyle w:val="9"/>
        <w:spacing w:before="11"/>
        <w:ind w:left="0"/>
        <w:jc w:val="left"/>
        <w:rPr>
          <w:rFonts w:hint="eastAsia"/>
          <w:sz w:val="30"/>
          <w:szCs w:val="30"/>
        </w:rPr>
      </w:pPr>
    </w:p>
    <w:p w14:paraId="0C5B7607">
      <w:pPr>
        <w:pStyle w:val="9"/>
        <w:spacing w:before="11"/>
        <w:ind w:left="0"/>
        <w:jc w:val="left"/>
        <w:rPr>
          <w:rFonts w:hint="eastAsia"/>
          <w:sz w:val="30"/>
          <w:szCs w:val="30"/>
        </w:rPr>
      </w:pPr>
      <w:r>
        <w:rPr>
          <w:rFonts w:hint="eastAsia"/>
          <w:sz w:val="30"/>
          <w:szCs w:val="30"/>
        </w:rPr>
        <w:t>The writer’s premise is crystal clear: The New Covenant in Christ is God’s last word.</w:t>
      </w:r>
    </w:p>
    <w:p w14:paraId="39A9FBAB">
      <w:pPr>
        <w:pStyle w:val="9"/>
        <w:spacing w:before="11"/>
        <w:ind w:left="0"/>
        <w:jc w:val="left"/>
        <w:rPr>
          <w:rFonts w:hint="eastAsia"/>
          <w:sz w:val="30"/>
          <w:szCs w:val="30"/>
        </w:rPr>
      </w:pPr>
      <w:r>
        <w:rPr>
          <w:rFonts w:hint="eastAsia"/>
          <w:sz w:val="30"/>
          <w:szCs w:val="30"/>
        </w:rPr>
        <w:t>作者的前提非常清楚：在基督里的新约是神的最后话语。</w:t>
      </w:r>
    </w:p>
    <w:p w14:paraId="0C748958">
      <w:pPr>
        <w:pStyle w:val="9"/>
        <w:spacing w:before="11"/>
        <w:ind w:left="0"/>
        <w:jc w:val="left"/>
        <w:rPr>
          <w:rFonts w:hint="eastAsia"/>
          <w:sz w:val="30"/>
          <w:szCs w:val="30"/>
        </w:rPr>
      </w:pPr>
    </w:p>
    <w:p w14:paraId="7F6AF0D8">
      <w:pPr>
        <w:pStyle w:val="9"/>
        <w:spacing w:before="11"/>
        <w:ind w:left="0"/>
        <w:jc w:val="left"/>
        <w:rPr>
          <w:rFonts w:hint="eastAsia"/>
          <w:sz w:val="30"/>
          <w:szCs w:val="30"/>
        </w:rPr>
      </w:pPr>
      <w:r>
        <w:rPr>
          <w:rFonts w:hint="eastAsia"/>
          <w:sz w:val="30"/>
          <w:szCs w:val="30"/>
        </w:rPr>
        <w:t>Therefore, it is certain that he has no “newer” (e.g., millennial) covenants in store.</w:t>
      </w:r>
    </w:p>
    <w:p w14:paraId="274DB308">
      <w:pPr>
        <w:pStyle w:val="9"/>
        <w:spacing w:before="11"/>
        <w:ind w:left="0"/>
        <w:jc w:val="left"/>
        <w:rPr>
          <w:rFonts w:hint="eastAsia"/>
          <w:sz w:val="30"/>
          <w:szCs w:val="30"/>
        </w:rPr>
      </w:pPr>
      <w:r>
        <w:rPr>
          <w:rFonts w:hint="eastAsia"/>
          <w:sz w:val="30"/>
          <w:szCs w:val="30"/>
        </w:rPr>
        <w:t>因此，可以肯定的是，祂没有储备任何“更新的”（例如，千禧年的）约。</w:t>
      </w:r>
    </w:p>
    <w:p w14:paraId="6536FDB3">
      <w:pPr>
        <w:pStyle w:val="9"/>
        <w:spacing w:before="11"/>
        <w:ind w:left="0"/>
        <w:jc w:val="left"/>
        <w:rPr>
          <w:rFonts w:hint="eastAsia"/>
          <w:sz w:val="30"/>
          <w:szCs w:val="30"/>
        </w:rPr>
      </w:pPr>
    </w:p>
    <w:p w14:paraId="03F3E77E">
      <w:pPr>
        <w:pStyle w:val="9"/>
        <w:spacing w:before="11"/>
        <w:ind w:left="0"/>
        <w:jc w:val="left"/>
        <w:rPr>
          <w:rFonts w:hint="eastAsia"/>
          <w:sz w:val="30"/>
          <w:szCs w:val="30"/>
        </w:rPr>
      </w:pPr>
      <w:r>
        <w:rPr>
          <w:rFonts w:hint="eastAsia"/>
          <w:sz w:val="30"/>
          <w:szCs w:val="30"/>
        </w:rPr>
        <w:t>For other dispensational views on this text, see J. Walvoord, The Millennial Kingdom (Dunham, 1959) pp. 209-210.</w:t>
      </w:r>
    </w:p>
    <w:p w14:paraId="377CCEB3">
      <w:pPr>
        <w:pStyle w:val="9"/>
        <w:spacing w:before="11"/>
        <w:ind w:left="0"/>
        <w:jc w:val="left"/>
        <w:rPr>
          <w:rFonts w:hint="eastAsia"/>
          <w:sz w:val="30"/>
          <w:szCs w:val="30"/>
        </w:rPr>
      </w:pPr>
      <w:r>
        <w:rPr>
          <w:rFonts w:hint="eastAsia"/>
          <w:sz w:val="30"/>
          <w:szCs w:val="30"/>
        </w:rPr>
        <w:t>关于这段经文的其他时代论观点，见J. 沃尔沃德，《千禧年国度》（Dunham, 1959），第209-210页。</w:t>
      </w:r>
    </w:p>
    <w:p w14:paraId="3BC8F60C">
      <w:pPr>
        <w:pStyle w:val="9"/>
        <w:spacing w:before="11"/>
        <w:ind w:left="0"/>
        <w:jc w:val="left"/>
        <w:rPr>
          <w:rFonts w:hint="eastAsia"/>
          <w:sz w:val="30"/>
          <w:szCs w:val="30"/>
        </w:rPr>
      </w:pPr>
    </w:p>
    <w:p w14:paraId="23A7B1CE">
      <w:pPr>
        <w:pStyle w:val="9"/>
        <w:spacing w:before="11"/>
        <w:ind w:left="0"/>
        <w:jc w:val="left"/>
        <w:rPr>
          <w:rFonts w:hint="eastAsia"/>
          <w:sz w:val="30"/>
          <w:szCs w:val="30"/>
        </w:rPr>
      </w:pPr>
      <w:r>
        <w:rPr>
          <w:rFonts w:hint="eastAsia"/>
          <w:sz w:val="30"/>
          <w:szCs w:val="30"/>
        </w:rPr>
        <w:t>5.The New Bible Commentary (Eerdmans, 1979), s.v. Isaiah, p. 624.</w:t>
      </w:r>
    </w:p>
    <w:p w14:paraId="7D3186D5">
      <w:pPr>
        <w:pStyle w:val="9"/>
        <w:spacing w:before="11"/>
        <w:ind w:left="0"/>
        <w:jc w:val="left"/>
        <w:rPr>
          <w:rFonts w:hint="eastAsia"/>
          <w:sz w:val="30"/>
          <w:szCs w:val="30"/>
        </w:rPr>
      </w:pPr>
      <w:r>
        <w:rPr>
          <w:rFonts w:hint="eastAsia"/>
          <w:sz w:val="30"/>
          <w:szCs w:val="30"/>
        </w:rPr>
        <w:t>5.《新圣经注释》（Eerdmans, 1979），词条：以赛亚书，第624页。</w:t>
      </w:r>
    </w:p>
    <w:p w14:paraId="2EE72726">
      <w:pPr>
        <w:pStyle w:val="9"/>
        <w:spacing w:before="11"/>
        <w:ind w:left="0"/>
        <w:jc w:val="left"/>
        <w:rPr>
          <w:rFonts w:hint="eastAsia"/>
          <w:sz w:val="30"/>
          <w:szCs w:val="30"/>
        </w:rPr>
      </w:pPr>
    </w:p>
    <w:p w14:paraId="44D2DA13">
      <w:pPr>
        <w:pStyle w:val="9"/>
        <w:spacing w:before="11"/>
        <w:ind w:left="0"/>
        <w:jc w:val="left"/>
        <w:rPr>
          <w:rFonts w:hint="eastAsia"/>
          <w:sz w:val="30"/>
          <w:szCs w:val="30"/>
        </w:rPr>
      </w:pPr>
      <w:r>
        <w:rPr>
          <w:rFonts w:hint="eastAsia"/>
          <w:sz w:val="30"/>
          <w:szCs w:val="30"/>
        </w:rPr>
        <w:t>Chapter 15: OT Kingdom Prophecies Considered: Psalms, Isaiah, Jeremiah</w:t>
      </w:r>
    </w:p>
    <w:p w14:paraId="228DA286">
      <w:pPr>
        <w:pStyle w:val="9"/>
        <w:spacing w:before="11"/>
        <w:ind w:left="0"/>
        <w:jc w:val="left"/>
        <w:rPr>
          <w:rFonts w:hint="eastAsia"/>
          <w:sz w:val="30"/>
          <w:szCs w:val="30"/>
        </w:rPr>
      </w:pPr>
      <w:r>
        <w:rPr>
          <w:rFonts w:hint="eastAsia"/>
          <w:sz w:val="30"/>
          <w:szCs w:val="30"/>
        </w:rPr>
        <w:t>第15章：旧约国度预言的思考：诗篇、以赛亚书、耶利米书</w:t>
      </w:r>
    </w:p>
    <w:p w14:paraId="2217FEEC">
      <w:pPr>
        <w:pStyle w:val="9"/>
        <w:spacing w:before="11"/>
        <w:ind w:left="0"/>
        <w:jc w:val="left"/>
        <w:rPr>
          <w:rFonts w:hint="eastAsia"/>
          <w:sz w:val="30"/>
          <w:szCs w:val="30"/>
        </w:rPr>
      </w:pPr>
    </w:p>
    <w:p w14:paraId="4581C3A0">
      <w:pPr>
        <w:pStyle w:val="9"/>
        <w:spacing w:before="11"/>
        <w:ind w:left="0"/>
        <w:jc w:val="left"/>
        <w:rPr>
          <w:rFonts w:hint="eastAsia"/>
          <w:sz w:val="30"/>
          <w:szCs w:val="30"/>
        </w:rPr>
      </w:pPr>
      <w:r>
        <w:rPr>
          <w:rFonts w:hint="eastAsia"/>
          <w:sz w:val="30"/>
          <w:szCs w:val="30"/>
        </w:rPr>
        <w:t>1.Scofield Reference Bible (SRB), (Oxford University Press, 1967) p. 602.</w:t>
      </w:r>
    </w:p>
    <w:p w14:paraId="765879BD">
      <w:pPr>
        <w:pStyle w:val="9"/>
        <w:spacing w:before="11"/>
        <w:ind w:left="0"/>
        <w:jc w:val="left"/>
        <w:rPr>
          <w:rFonts w:hint="eastAsia"/>
          <w:sz w:val="30"/>
          <w:szCs w:val="30"/>
        </w:rPr>
      </w:pPr>
      <w:r>
        <w:rPr>
          <w:rFonts w:hint="eastAsia"/>
          <w:sz w:val="30"/>
          <w:szCs w:val="30"/>
        </w:rPr>
        <w:t>1.司可福串珠圣经（SRB），（牛津大学出版社，1967年），第602页。</w:t>
      </w:r>
    </w:p>
    <w:p w14:paraId="59CCC36D">
      <w:pPr>
        <w:pStyle w:val="9"/>
        <w:spacing w:before="11"/>
        <w:ind w:left="0"/>
        <w:jc w:val="left"/>
        <w:rPr>
          <w:rFonts w:hint="eastAsia"/>
          <w:sz w:val="30"/>
          <w:szCs w:val="30"/>
        </w:rPr>
      </w:pPr>
    </w:p>
    <w:p w14:paraId="7D47E135">
      <w:pPr>
        <w:pStyle w:val="9"/>
        <w:spacing w:before="11"/>
        <w:ind w:left="0"/>
        <w:jc w:val="left"/>
        <w:rPr>
          <w:rFonts w:hint="eastAsia"/>
          <w:sz w:val="30"/>
          <w:szCs w:val="30"/>
        </w:rPr>
      </w:pPr>
      <w:r>
        <w:rPr>
          <w:rFonts w:hint="eastAsia"/>
          <w:sz w:val="30"/>
          <w:szCs w:val="30"/>
        </w:rPr>
        <w:t>2.Walvoord, J., The Millennial Kingdom (Dunham, 1959), p. 266.</w:t>
      </w:r>
    </w:p>
    <w:p w14:paraId="219E3970">
      <w:pPr>
        <w:pStyle w:val="9"/>
        <w:spacing w:before="11"/>
        <w:ind w:left="0"/>
        <w:jc w:val="left"/>
        <w:rPr>
          <w:rFonts w:hint="eastAsia"/>
          <w:sz w:val="30"/>
          <w:szCs w:val="30"/>
        </w:rPr>
      </w:pPr>
      <w:r>
        <w:rPr>
          <w:rFonts w:hint="eastAsia"/>
          <w:sz w:val="30"/>
          <w:szCs w:val="30"/>
        </w:rPr>
        <w:t>2.沃尔沃德，J.，《千禧年国度》（Dunham, 1959），第266页。</w:t>
      </w:r>
    </w:p>
    <w:p w14:paraId="0C5FA4BE">
      <w:pPr>
        <w:pStyle w:val="9"/>
        <w:spacing w:before="11"/>
        <w:ind w:left="0"/>
        <w:jc w:val="left"/>
        <w:rPr>
          <w:rFonts w:hint="eastAsia"/>
          <w:sz w:val="30"/>
          <w:szCs w:val="30"/>
        </w:rPr>
      </w:pPr>
    </w:p>
    <w:p w14:paraId="3F530416">
      <w:pPr>
        <w:pStyle w:val="9"/>
        <w:spacing w:before="11"/>
        <w:ind w:left="0"/>
        <w:jc w:val="left"/>
        <w:rPr>
          <w:rFonts w:hint="eastAsia"/>
          <w:sz w:val="30"/>
          <w:szCs w:val="30"/>
        </w:rPr>
      </w:pPr>
      <w:r>
        <w:rPr>
          <w:rFonts w:hint="eastAsia"/>
          <w:sz w:val="30"/>
          <w:szCs w:val="30"/>
        </w:rPr>
        <w:t>3.Grudem, W., Systematic Theology (Zondervan, 1994), p. 1129.</w:t>
      </w:r>
    </w:p>
    <w:p w14:paraId="05AC5169">
      <w:pPr>
        <w:pStyle w:val="9"/>
        <w:spacing w:before="11"/>
        <w:ind w:left="0"/>
        <w:jc w:val="left"/>
        <w:rPr>
          <w:rFonts w:hint="eastAsia"/>
          <w:sz w:val="30"/>
          <w:szCs w:val="30"/>
        </w:rPr>
      </w:pPr>
      <w:r>
        <w:rPr>
          <w:rFonts w:hint="eastAsia"/>
          <w:sz w:val="30"/>
          <w:szCs w:val="30"/>
        </w:rPr>
        <w:t>3.古德恩，W.，《系统神学》（Zondervan, 1994），第1129页。</w:t>
      </w:r>
    </w:p>
    <w:p w14:paraId="0015B452">
      <w:pPr>
        <w:pStyle w:val="9"/>
        <w:spacing w:before="11"/>
        <w:ind w:left="0"/>
        <w:jc w:val="left"/>
        <w:rPr>
          <w:rFonts w:hint="eastAsia"/>
          <w:sz w:val="30"/>
          <w:szCs w:val="30"/>
        </w:rPr>
      </w:pPr>
    </w:p>
    <w:p w14:paraId="44DA06A1">
      <w:pPr>
        <w:pStyle w:val="9"/>
        <w:spacing w:before="11"/>
        <w:ind w:left="0"/>
        <w:jc w:val="left"/>
        <w:rPr>
          <w:rFonts w:hint="eastAsia"/>
          <w:sz w:val="30"/>
          <w:szCs w:val="30"/>
        </w:rPr>
      </w:pPr>
      <w:r>
        <w:rPr>
          <w:rFonts w:hint="eastAsia"/>
          <w:sz w:val="30"/>
          <w:szCs w:val="30"/>
        </w:rPr>
        <w:t>4.SRB, p. 716.</w:t>
      </w:r>
    </w:p>
    <w:p w14:paraId="197D767E">
      <w:pPr>
        <w:pStyle w:val="9"/>
        <w:spacing w:before="11"/>
        <w:ind w:left="0"/>
        <w:jc w:val="left"/>
        <w:rPr>
          <w:rFonts w:hint="eastAsia"/>
          <w:sz w:val="30"/>
          <w:szCs w:val="30"/>
        </w:rPr>
      </w:pPr>
      <w:r>
        <w:rPr>
          <w:rFonts w:hint="eastAsia"/>
          <w:sz w:val="30"/>
          <w:szCs w:val="30"/>
        </w:rPr>
        <w:t>4.司可福串珠圣经，第716页。</w:t>
      </w:r>
    </w:p>
    <w:p w14:paraId="1490A3D3">
      <w:pPr>
        <w:pStyle w:val="9"/>
        <w:spacing w:before="11"/>
        <w:ind w:left="0"/>
        <w:jc w:val="left"/>
        <w:rPr>
          <w:rFonts w:hint="eastAsia"/>
          <w:sz w:val="30"/>
          <w:szCs w:val="30"/>
        </w:rPr>
      </w:pPr>
    </w:p>
    <w:p w14:paraId="6F62FF93">
      <w:pPr>
        <w:pStyle w:val="9"/>
        <w:spacing w:before="11"/>
        <w:ind w:left="0"/>
        <w:jc w:val="left"/>
        <w:rPr>
          <w:rFonts w:hint="eastAsia"/>
          <w:sz w:val="30"/>
          <w:szCs w:val="30"/>
        </w:rPr>
      </w:pPr>
      <w:r>
        <w:rPr>
          <w:rFonts w:hint="eastAsia"/>
          <w:sz w:val="30"/>
          <w:szCs w:val="30"/>
        </w:rPr>
        <w:t>5.SRB, p. 723.</w:t>
      </w:r>
    </w:p>
    <w:p w14:paraId="56B41ED4">
      <w:pPr>
        <w:pStyle w:val="9"/>
        <w:spacing w:before="11"/>
        <w:ind w:left="0"/>
        <w:jc w:val="left"/>
        <w:rPr>
          <w:rFonts w:hint="eastAsia"/>
          <w:sz w:val="30"/>
          <w:szCs w:val="30"/>
        </w:rPr>
      </w:pPr>
      <w:r>
        <w:rPr>
          <w:rFonts w:hint="eastAsia"/>
          <w:sz w:val="30"/>
          <w:szCs w:val="30"/>
        </w:rPr>
        <w:t>5.司可福串珠圣经，第723页。</w:t>
      </w:r>
    </w:p>
    <w:p w14:paraId="31DE1CF0">
      <w:pPr>
        <w:pStyle w:val="9"/>
        <w:spacing w:before="11"/>
        <w:ind w:left="0"/>
        <w:jc w:val="left"/>
        <w:rPr>
          <w:rFonts w:hint="eastAsia"/>
          <w:sz w:val="30"/>
          <w:szCs w:val="30"/>
        </w:rPr>
      </w:pPr>
    </w:p>
    <w:p w14:paraId="0530CD2A">
      <w:pPr>
        <w:pStyle w:val="9"/>
        <w:spacing w:before="11"/>
        <w:ind w:left="0"/>
        <w:jc w:val="left"/>
        <w:rPr>
          <w:rFonts w:hint="eastAsia"/>
          <w:sz w:val="30"/>
          <w:szCs w:val="30"/>
        </w:rPr>
      </w:pPr>
      <w:r>
        <w:rPr>
          <w:rFonts w:hint="eastAsia"/>
          <w:sz w:val="30"/>
          <w:szCs w:val="30"/>
        </w:rPr>
        <w:t>6.Walvoord, p. 208.</w:t>
      </w:r>
    </w:p>
    <w:p w14:paraId="5030243B">
      <w:pPr>
        <w:pStyle w:val="9"/>
        <w:spacing w:before="11"/>
        <w:ind w:left="0"/>
        <w:jc w:val="left"/>
        <w:rPr>
          <w:rFonts w:hint="eastAsia"/>
          <w:sz w:val="30"/>
          <w:szCs w:val="30"/>
        </w:rPr>
      </w:pPr>
      <w:r>
        <w:rPr>
          <w:rFonts w:hint="eastAsia"/>
          <w:sz w:val="30"/>
          <w:szCs w:val="30"/>
        </w:rPr>
        <w:t>6.沃尔沃德，第208页。</w:t>
      </w:r>
    </w:p>
    <w:p w14:paraId="0CA700ED">
      <w:pPr>
        <w:pStyle w:val="9"/>
        <w:spacing w:before="11"/>
        <w:ind w:left="0"/>
        <w:jc w:val="left"/>
        <w:rPr>
          <w:rFonts w:hint="eastAsia"/>
          <w:sz w:val="30"/>
          <w:szCs w:val="30"/>
        </w:rPr>
      </w:pPr>
    </w:p>
    <w:p w14:paraId="410CC7DA">
      <w:pPr>
        <w:pStyle w:val="9"/>
        <w:spacing w:before="11"/>
        <w:ind w:left="0"/>
        <w:jc w:val="left"/>
        <w:rPr>
          <w:rFonts w:hint="eastAsia"/>
          <w:sz w:val="30"/>
          <w:szCs w:val="30"/>
        </w:rPr>
      </w:pPr>
      <w:r>
        <w:rPr>
          <w:rFonts w:hint="eastAsia"/>
          <w:sz w:val="30"/>
          <w:szCs w:val="30"/>
        </w:rPr>
        <w:t>7.Grudem, p. 1128.</w:t>
      </w:r>
    </w:p>
    <w:p w14:paraId="5EA9354D">
      <w:pPr>
        <w:pStyle w:val="9"/>
        <w:spacing w:before="11"/>
        <w:ind w:left="0"/>
        <w:jc w:val="left"/>
        <w:rPr>
          <w:rFonts w:hint="eastAsia"/>
          <w:sz w:val="30"/>
          <w:szCs w:val="30"/>
        </w:rPr>
      </w:pPr>
      <w:r>
        <w:rPr>
          <w:rFonts w:hint="eastAsia"/>
          <w:sz w:val="30"/>
          <w:szCs w:val="30"/>
        </w:rPr>
        <w:t>7.古德恩，第1128页。</w:t>
      </w:r>
    </w:p>
    <w:p w14:paraId="260E0A5C">
      <w:pPr>
        <w:pStyle w:val="9"/>
        <w:spacing w:before="11"/>
        <w:ind w:left="0"/>
        <w:jc w:val="left"/>
        <w:rPr>
          <w:rFonts w:hint="eastAsia"/>
          <w:sz w:val="30"/>
          <w:szCs w:val="30"/>
        </w:rPr>
      </w:pPr>
    </w:p>
    <w:p w14:paraId="537C7511">
      <w:pPr>
        <w:pStyle w:val="9"/>
        <w:spacing w:before="11"/>
        <w:ind w:left="0"/>
        <w:jc w:val="left"/>
        <w:rPr>
          <w:rFonts w:hint="eastAsia"/>
          <w:sz w:val="30"/>
          <w:szCs w:val="30"/>
        </w:rPr>
      </w:pPr>
      <w:r>
        <w:rPr>
          <w:rFonts w:hint="eastAsia"/>
          <w:sz w:val="30"/>
          <w:szCs w:val="30"/>
        </w:rPr>
        <w:t>8.See MacArthur Study Bible, s.v. Isaiah 24; also, The Millennium Bible, pp. 75-76.</w:t>
      </w:r>
    </w:p>
    <w:p w14:paraId="782EFC98">
      <w:pPr>
        <w:pStyle w:val="9"/>
        <w:spacing w:before="11"/>
        <w:ind w:left="0"/>
        <w:jc w:val="left"/>
        <w:rPr>
          <w:rFonts w:hint="eastAsia"/>
          <w:sz w:val="30"/>
          <w:szCs w:val="30"/>
        </w:rPr>
      </w:pPr>
      <w:r>
        <w:rPr>
          <w:rFonts w:hint="eastAsia"/>
          <w:sz w:val="30"/>
          <w:szCs w:val="30"/>
        </w:rPr>
        <w:t>8.见麦克阿瑟研读本圣经，词条：以赛亚书24；另见，《千禧年圣经》，第75-76页。</w:t>
      </w:r>
    </w:p>
    <w:p w14:paraId="1F632A35">
      <w:pPr>
        <w:pStyle w:val="9"/>
        <w:spacing w:before="11"/>
        <w:ind w:left="0"/>
        <w:jc w:val="left"/>
        <w:rPr>
          <w:rFonts w:hint="eastAsia"/>
          <w:sz w:val="30"/>
          <w:szCs w:val="30"/>
        </w:rPr>
      </w:pPr>
    </w:p>
    <w:p w14:paraId="54A6C72D">
      <w:pPr>
        <w:pStyle w:val="9"/>
        <w:spacing w:before="11"/>
        <w:ind w:left="0"/>
        <w:jc w:val="left"/>
        <w:rPr>
          <w:rFonts w:hint="eastAsia"/>
          <w:sz w:val="30"/>
          <w:szCs w:val="30"/>
        </w:rPr>
      </w:pPr>
      <w:r>
        <w:rPr>
          <w:rFonts w:hint="eastAsia"/>
          <w:sz w:val="30"/>
          <w:szCs w:val="30"/>
        </w:rPr>
        <w:t>9.New Bible Commentary, p. 621.</w:t>
      </w:r>
    </w:p>
    <w:p w14:paraId="0267ACF0">
      <w:pPr>
        <w:pStyle w:val="9"/>
        <w:spacing w:before="11"/>
        <w:ind w:left="0"/>
        <w:jc w:val="left"/>
        <w:rPr>
          <w:rFonts w:hint="eastAsia"/>
          <w:sz w:val="30"/>
          <w:szCs w:val="30"/>
        </w:rPr>
      </w:pPr>
      <w:r>
        <w:rPr>
          <w:rFonts w:hint="eastAsia"/>
          <w:sz w:val="30"/>
          <w:szCs w:val="30"/>
        </w:rPr>
        <w:t>9.《新圣经注释》，第621页。</w:t>
      </w:r>
    </w:p>
    <w:p w14:paraId="3C404756">
      <w:pPr>
        <w:pStyle w:val="9"/>
        <w:spacing w:before="11"/>
        <w:ind w:left="0"/>
        <w:jc w:val="left"/>
        <w:rPr>
          <w:rFonts w:hint="eastAsia"/>
          <w:sz w:val="30"/>
          <w:szCs w:val="30"/>
        </w:rPr>
      </w:pPr>
    </w:p>
    <w:p w14:paraId="7C4D2F77">
      <w:pPr>
        <w:pStyle w:val="9"/>
        <w:spacing w:before="11"/>
        <w:ind w:left="0"/>
        <w:jc w:val="left"/>
        <w:rPr>
          <w:rFonts w:hint="eastAsia"/>
          <w:sz w:val="30"/>
          <w:szCs w:val="30"/>
        </w:rPr>
      </w:pPr>
      <w:r>
        <w:rPr>
          <w:rFonts w:hint="eastAsia"/>
          <w:sz w:val="30"/>
          <w:szCs w:val="30"/>
        </w:rPr>
        <w:t>10.New Bible Commentary, p. 625.</w:t>
      </w:r>
    </w:p>
    <w:p w14:paraId="4E387A94">
      <w:pPr>
        <w:pStyle w:val="9"/>
        <w:spacing w:before="11"/>
        <w:ind w:left="0"/>
        <w:jc w:val="left"/>
        <w:rPr>
          <w:rFonts w:hint="eastAsia"/>
          <w:sz w:val="30"/>
          <w:szCs w:val="30"/>
        </w:rPr>
      </w:pPr>
      <w:r>
        <w:rPr>
          <w:rFonts w:hint="eastAsia"/>
          <w:sz w:val="30"/>
          <w:szCs w:val="30"/>
        </w:rPr>
        <w:t>10.《新圣经注释》，第625页。</w:t>
      </w:r>
    </w:p>
    <w:p w14:paraId="1FD18751">
      <w:pPr>
        <w:pStyle w:val="9"/>
        <w:spacing w:before="11"/>
        <w:ind w:left="0"/>
        <w:jc w:val="left"/>
        <w:rPr>
          <w:rFonts w:hint="eastAsia"/>
          <w:sz w:val="30"/>
          <w:szCs w:val="30"/>
        </w:rPr>
      </w:pPr>
    </w:p>
    <w:p w14:paraId="44985E07">
      <w:pPr>
        <w:pStyle w:val="9"/>
        <w:spacing w:before="11"/>
        <w:ind w:left="0"/>
        <w:jc w:val="left"/>
        <w:rPr>
          <w:rFonts w:hint="eastAsia"/>
          <w:sz w:val="30"/>
          <w:szCs w:val="30"/>
        </w:rPr>
      </w:pPr>
      <w:r>
        <w:rPr>
          <w:rFonts w:hint="eastAsia"/>
          <w:sz w:val="30"/>
          <w:szCs w:val="30"/>
        </w:rPr>
        <w:t>11.For similar prophecies, see Jeremiah 3:11-18, 12:14-17, 29:10-14, 50:4- 5, 17-20.</w:t>
      </w:r>
    </w:p>
    <w:p w14:paraId="7C88470A">
      <w:pPr>
        <w:pStyle w:val="9"/>
        <w:spacing w:before="11"/>
        <w:ind w:left="0"/>
        <w:jc w:val="left"/>
        <w:rPr>
          <w:rFonts w:hint="eastAsia"/>
          <w:sz w:val="30"/>
          <w:szCs w:val="30"/>
        </w:rPr>
      </w:pPr>
      <w:r>
        <w:rPr>
          <w:rFonts w:hint="eastAsia"/>
          <w:sz w:val="30"/>
          <w:szCs w:val="30"/>
        </w:rPr>
        <w:t>11.关于类似的预言，见耶利米书3:11-18, 12:14-17, 29:10-14, 50:4-5, 17-20。</w:t>
      </w:r>
    </w:p>
    <w:p w14:paraId="1B29FB7A">
      <w:pPr>
        <w:pStyle w:val="9"/>
        <w:spacing w:before="11"/>
        <w:ind w:left="0"/>
        <w:jc w:val="left"/>
        <w:rPr>
          <w:rFonts w:hint="eastAsia"/>
          <w:sz w:val="30"/>
          <w:szCs w:val="30"/>
        </w:rPr>
      </w:pPr>
    </w:p>
    <w:p w14:paraId="4789C820">
      <w:pPr>
        <w:pStyle w:val="9"/>
        <w:spacing w:before="11"/>
        <w:ind w:left="0"/>
        <w:jc w:val="left"/>
        <w:rPr>
          <w:rFonts w:hint="eastAsia"/>
          <w:sz w:val="30"/>
          <w:szCs w:val="30"/>
        </w:rPr>
      </w:pPr>
      <w:r>
        <w:rPr>
          <w:rFonts w:hint="eastAsia"/>
          <w:sz w:val="30"/>
          <w:szCs w:val="30"/>
        </w:rPr>
        <w:t>For Jeremiah’s promise of eschatological mercy to the Gentiles, see 46:26, 48:47, 49:6, 49:39, 50:34.</w:t>
      </w:r>
    </w:p>
    <w:p w14:paraId="0F215C9C">
      <w:pPr>
        <w:pStyle w:val="9"/>
        <w:spacing w:before="11"/>
        <w:ind w:left="0"/>
        <w:jc w:val="left"/>
        <w:rPr>
          <w:rFonts w:hint="eastAsia"/>
          <w:sz w:val="30"/>
          <w:szCs w:val="30"/>
        </w:rPr>
      </w:pPr>
      <w:r>
        <w:rPr>
          <w:rFonts w:hint="eastAsia"/>
          <w:sz w:val="30"/>
          <w:szCs w:val="30"/>
        </w:rPr>
        <w:t>关于耶利米对列国末世论怜悯的应许，见46:26, 48:47, 49:6, 49:39, 50:34。</w:t>
      </w:r>
    </w:p>
    <w:p w14:paraId="1874CB22">
      <w:pPr>
        <w:pStyle w:val="9"/>
        <w:spacing w:before="11"/>
        <w:ind w:left="0"/>
        <w:jc w:val="left"/>
        <w:rPr>
          <w:rFonts w:hint="eastAsia"/>
          <w:sz w:val="30"/>
          <w:szCs w:val="30"/>
        </w:rPr>
      </w:pPr>
    </w:p>
    <w:p w14:paraId="035B2349">
      <w:pPr>
        <w:pStyle w:val="9"/>
        <w:spacing w:before="11"/>
        <w:ind w:left="0"/>
        <w:jc w:val="left"/>
        <w:rPr>
          <w:rFonts w:hint="eastAsia"/>
          <w:sz w:val="30"/>
          <w:szCs w:val="30"/>
        </w:rPr>
      </w:pPr>
      <w:r>
        <w:rPr>
          <w:rFonts w:hint="eastAsia"/>
          <w:sz w:val="30"/>
          <w:szCs w:val="30"/>
        </w:rPr>
        <w:t>12.The Millennium Bible, p. 165.</w:t>
      </w:r>
    </w:p>
    <w:p w14:paraId="12EDA383">
      <w:pPr>
        <w:pStyle w:val="9"/>
        <w:spacing w:before="11"/>
        <w:ind w:left="0"/>
        <w:jc w:val="left"/>
        <w:rPr>
          <w:rFonts w:hint="eastAsia"/>
          <w:sz w:val="30"/>
          <w:szCs w:val="30"/>
        </w:rPr>
      </w:pPr>
      <w:r>
        <w:rPr>
          <w:rFonts w:hint="eastAsia"/>
          <w:sz w:val="30"/>
          <w:szCs w:val="30"/>
        </w:rPr>
        <w:t>12.《千禧年圣经》，第165页。</w:t>
      </w:r>
    </w:p>
    <w:p w14:paraId="361E378D">
      <w:pPr>
        <w:pStyle w:val="9"/>
        <w:spacing w:before="11"/>
        <w:ind w:left="0"/>
        <w:jc w:val="left"/>
        <w:rPr>
          <w:rFonts w:hint="eastAsia"/>
          <w:sz w:val="30"/>
          <w:szCs w:val="30"/>
        </w:rPr>
      </w:pPr>
    </w:p>
    <w:p w14:paraId="2CB46944">
      <w:pPr>
        <w:pStyle w:val="9"/>
        <w:spacing w:before="11"/>
        <w:ind w:left="0"/>
        <w:jc w:val="left"/>
        <w:rPr>
          <w:rFonts w:hint="eastAsia"/>
          <w:sz w:val="30"/>
          <w:szCs w:val="30"/>
        </w:rPr>
      </w:pPr>
      <w:r>
        <w:rPr>
          <w:rFonts w:hint="eastAsia"/>
          <w:sz w:val="30"/>
          <w:szCs w:val="30"/>
        </w:rPr>
        <w:t>Chapter 16: OT Kingdom Prophecies Considered: Ezekiel</w:t>
      </w:r>
    </w:p>
    <w:p w14:paraId="3A5D8B8F">
      <w:pPr>
        <w:pStyle w:val="9"/>
        <w:spacing w:before="11"/>
        <w:ind w:left="0"/>
        <w:jc w:val="left"/>
        <w:rPr>
          <w:rFonts w:hint="eastAsia"/>
          <w:sz w:val="30"/>
          <w:szCs w:val="30"/>
        </w:rPr>
      </w:pPr>
      <w:r>
        <w:rPr>
          <w:rFonts w:hint="eastAsia"/>
          <w:sz w:val="30"/>
          <w:szCs w:val="30"/>
        </w:rPr>
        <w:t>第16章：旧约国度预言的思考：以西结书</w:t>
      </w:r>
    </w:p>
    <w:p w14:paraId="5EAA9D33">
      <w:pPr>
        <w:pStyle w:val="9"/>
        <w:spacing w:before="11"/>
        <w:ind w:left="0"/>
        <w:jc w:val="left"/>
        <w:rPr>
          <w:rFonts w:hint="eastAsia"/>
          <w:sz w:val="30"/>
          <w:szCs w:val="30"/>
        </w:rPr>
      </w:pPr>
    </w:p>
    <w:p w14:paraId="78CD1F5C">
      <w:pPr>
        <w:pStyle w:val="9"/>
        <w:spacing w:before="11"/>
        <w:ind w:left="0"/>
        <w:jc w:val="left"/>
        <w:rPr>
          <w:rFonts w:hint="eastAsia"/>
          <w:sz w:val="30"/>
          <w:szCs w:val="30"/>
        </w:rPr>
      </w:pPr>
      <w:r>
        <w:rPr>
          <w:rFonts w:hint="eastAsia"/>
          <w:sz w:val="30"/>
          <w:szCs w:val="30"/>
        </w:rPr>
        <w:t>1.Duguid, I., NIV Application Commentary: Ezekiel (Zondervan, 1999), pp. 17-41.</w:t>
      </w:r>
    </w:p>
    <w:p w14:paraId="448DEF69">
      <w:pPr>
        <w:pStyle w:val="9"/>
        <w:spacing w:before="11"/>
        <w:ind w:left="0"/>
        <w:jc w:val="left"/>
        <w:rPr>
          <w:rFonts w:hint="eastAsia"/>
          <w:sz w:val="30"/>
          <w:szCs w:val="30"/>
        </w:rPr>
      </w:pPr>
      <w:r>
        <w:rPr>
          <w:rFonts w:hint="eastAsia"/>
          <w:sz w:val="30"/>
          <w:szCs w:val="30"/>
        </w:rPr>
        <w:t>1.杜吉德，I.，《NIV应用注释：以西结书》（Zondervan, 1999），第17-41页。</w:t>
      </w:r>
    </w:p>
    <w:p w14:paraId="2DB231CF">
      <w:pPr>
        <w:pStyle w:val="9"/>
        <w:spacing w:before="11"/>
        <w:ind w:left="0"/>
        <w:jc w:val="left"/>
        <w:rPr>
          <w:rFonts w:hint="eastAsia"/>
          <w:sz w:val="30"/>
          <w:szCs w:val="30"/>
        </w:rPr>
      </w:pPr>
    </w:p>
    <w:p w14:paraId="22C26B63">
      <w:pPr>
        <w:pStyle w:val="9"/>
        <w:spacing w:before="11"/>
        <w:ind w:left="0"/>
        <w:jc w:val="left"/>
        <w:rPr>
          <w:rFonts w:hint="eastAsia"/>
          <w:sz w:val="30"/>
          <w:szCs w:val="30"/>
        </w:rPr>
      </w:pPr>
      <w:r>
        <w:rPr>
          <w:rFonts w:hint="eastAsia"/>
          <w:sz w:val="30"/>
          <w:szCs w:val="30"/>
        </w:rPr>
        <w:t>In preparing my remarks on Ezekiel, I have profited greatly from this fine commentary.</w:t>
      </w:r>
    </w:p>
    <w:p w14:paraId="6B635141">
      <w:pPr>
        <w:pStyle w:val="9"/>
        <w:spacing w:before="11"/>
        <w:ind w:left="0"/>
        <w:jc w:val="left"/>
        <w:rPr>
          <w:rFonts w:hint="eastAsia"/>
          <w:sz w:val="30"/>
          <w:szCs w:val="30"/>
        </w:rPr>
      </w:pPr>
      <w:r>
        <w:rPr>
          <w:rFonts w:hint="eastAsia"/>
          <w:sz w:val="30"/>
          <w:szCs w:val="30"/>
        </w:rPr>
        <w:t>在准备我对以西结书的评论时，我从这本优秀的注释书中获益匪浅。</w:t>
      </w:r>
    </w:p>
    <w:p w14:paraId="235ADA57">
      <w:pPr>
        <w:pStyle w:val="9"/>
        <w:spacing w:before="11"/>
        <w:ind w:left="0"/>
        <w:jc w:val="left"/>
        <w:rPr>
          <w:rFonts w:hint="eastAsia"/>
          <w:sz w:val="30"/>
          <w:szCs w:val="30"/>
        </w:rPr>
      </w:pPr>
    </w:p>
    <w:p w14:paraId="0B17A704">
      <w:pPr>
        <w:pStyle w:val="9"/>
        <w:spacing w:before="11"/>
        <w:ind w:left="0"/>
        <w:jc w:val="left"/>
        <w:rPr>
          <w:rFonts w:hint="eastAsia"/>
          <w:sz w:val="30"/>
          <w:szCs w:val="30"/>
        </w:rPr>
      </w:pPr>
      <w:r>
        <w:rPr>
          <w:rFonts w:hint="eastAsia"/>
          <w:sz w:val="30"/>
          <w:szCs w:val="30"/>
        </w:rPr>
        <w:t>Though I part company with Duguid on a few minor points, I have found his labors to be a continual source of light and inspiration.</w:t>
      </w:r>
    </w:p>
    <w:p w14:paraId="0F40C8FC">
      <w:pPr>
        <w:pStyle w:val="9"/>
        <w:spacing w:before="11"/>
        <w:ind w:left="0"/>
        <w:jc w:val="left"/>
        <w:rPr>
          <w:rFonts w:hint="eastAsia"/>
          <w:sz w:val="30"/>
          <w:szCs w:val="30"/>
        </w:rPr>
      </w:pPr>
      <w:r>
        <w:rPr>
          <w:rFonts w:hint="eastAsia"/>
          <w:sz w:val="30"/>
          <w:szCs w:val="30"/>
        </w:rPr>
        <w:t>尽管我在一些次要观点上与杜吉德有分歧，但我发现他的辛勤工作是持续的光和灵感的源泉。</w:t>
      </w:r>
    </w:p>
    <w:p w14:paraId="3860C325">
      <w:pPr>
        <w:pStyle w:val="9"/>
        <w:spacing w:before="11"/>
        <w:ind w:left="0"/>
        <w:jc w:val="left"/>
        <w:rPr>
          <w:rFonts w:hint="eastAsia"/>
          <w:sz w:val="30"/>
          <w:szCs w:val="30"/>
        </w:rPr>
      </w:pPr>
    </w:p>
    <w:p w14:paraId="4EFB04FF">
      <w:pPr>
        <w:pStyle w:val="9"/>
        <w:spacing w:before="11"/>
        <w:ind w:left="0"/>
        <w:jc w:val="left"/>
        <w:rPr>
          <w:rFonts w:hint="eastAsia"/>
          <w:sz w:val="30"/>
          <w:szCs w:val="30"/>
        </w:rPr>
      </w:pPr>
      <w:r>
        <w:rPr>
          <w:rFonts w:hint="eastAsia"/>
          <w:sz w:val="30"/>
          <w:szCs w:val="30"/>
        </w:rPr>
        <w:t>I could not have reached the finish line without them, and heartily thank him for them.</w:t>
      </w:r>
    </w:p>
    <w:p w14:paraId="064126C4">
      <w:pPr>
        <w:pStyle w:val="9"/>
        <w:spacing w:before="11"/>
        <w:ind w:left="0"/>
        <w:jc w:val="left"/>
        <w:rPr>
          <w:rFonts w:hint="eastAsia"/>
          <w:sz w:val="30"/>
          <w:szCs w:val="30"/>
        </w:rPr>
      </w:pPr>
      <w:r>
        <w:rPr>
          <w:rFonts w:hint="eastAsia"/>
          <w:sz w:val="30"/>
          <w:szCs w:val="30"/>
        </w:rPr>
        <w:t>没有它们，我无法到达终点线，我衷心感谢他。</w:t>
      </w:r>
    </w:p>
    <w:p w14:paraId="34F0119A">
      <w:pPr>
        <w:pStyle w:val="9"/>
        <w:spacing w:before="11"/>
        <w:ind w:left="0"/>
        <w:jc w:val="left"/>
        <w:rPr>
          <w:rFonts w:hint="eastAsia"/>
          <w:sz w:val="30"/>
          <w:szCs w:val="30"/>
        </w:rPr>
      </w:pPr>
    </w:p>
    <w:p w14:paraId="15D83265">
      <w:pPr>
        <w:pStyle w:val="9"/>
        <w:spacing w:before="11"/>
        <w:ind w:left="0"/>
        <w:jc w:val="left"/>
        <w:rPr>
          <w:rFonts w:hint="eastAsia"/>
          <w:sz w:val="30"/>
          <w:szCs w:val="30"/>
        </w:rPr>
      </w:pPr>
      <w:r>
        <w:rPr>
          <w:rFonts w:hint="eastAsia"/>
          <w:sz w:val="30"/>
          <w:szCs w:val="30"/>
        </w:rPr>
        <w:t>2.The Millennium Bible, p. 188.</w:t>
      </w:r>
    </w:p>
    <w:p w14:paraId="7497E472">
      <w:pPr>
        <w:pStyle w:val="9"/>
        <w:spacing w:before="11"/>
        <w:ind w:left="0"/>
        <w:jc w:val="left"/>
        <w:rPr>
          <w:rFonts w:hint="eastAsia"/>
          <w:sz w:val="30"/>
          <w:szCs w:val="30"/>
        </w:rPr>
      </w:pPr>
      <w:r>
        <w:rPr>
          <w:rFonts w:hint="eastAsia"/>
          <w:sz w:val="30"/>
          <w:szCs w:val="30"/>
        </w:rPr>
        <w:t>2.《千禧年圣经》，第188页。</w:t>
      </w:r>
    </w:p>
    <w:p w14:paraId="7E972C95">
      <w:pPr>
        <w:pStyle w:val="9"/>
        <w:spacing w:before="11"/>
        <w:ind w:left="0"/>
        <w:jc w:val="left"/>
        <w:rPr>
          <w:rFonts w:hint="eastAsia"/>
          <w:sz w:val="30"/>
          <w:szCs w:val="30"/>
        </w:rPr>
      </w:pPr>
    </w:p>
    <w:p w14:paraId="587A105C">
      <w:pPr>
        <w:pStyle w:val="9"/>
        <w:spacing w:before="11"/>
        <w:ind w:left="0"/>
        <w:jc w:val="left"/>
        <w:rPr>
          <w:rFonts w:hint="eastAsia"/>
          <w:sz w:val="30"/>
          <w:szCs w:val="30"/>
        </w:rPr>
      </w:pPr>
      <w:r>
        <w:rPr>
          <w:rFonts w:hint="eastAsia"/>
          <w:sz w:val="30"/>
          <w:szCs w:val="30"/>
        </w:rPr>
        <w:t>3.Ibid., p. 188.</w:t>
      </w:r>
    </w:p>
    <w:p w14:paraId="79F9AC1A">
      <w:pPr>
        <w:pStyle w:val="9"/>
        <w:spacing w:before="11"/>
        <w:ind w:left="0"/>
        <w:jc w:val="left"/>
        <w:rPr>
          <w:rFonts w:hint="eastAsia"/>
          <w:sz w:val="30"/>
          <w:szCs w:val="30"/>
        </w:rPr>
      </w:pPr>
      <w:r>
        <w:rPr>
          <w:rFonts w:hint="eastAsia"/>
          <w:sz w:val="30"/>
          <w:szCs w:val="30"/>
        </w:rPr>
        <w:t>3.同上，第188页。</w:t>
      </w:r>
    </w:p>
    <w:p w14:paraId="494A29E0">
      <w:pPr>
        <w:pStyle w:val="9"/>
        <w:spacing w:before="11"/>
        <w:ind w:left="0"/>
        <w:jc w:val="left"/>
        <w:rPr>
          <w:rFonts w:hint="eastAsia"/>
          <w:sz w:val="30"/>
          <w:szCs w:val="30"/>
        </w:rPr>
      </w:pPr>
    </w:p>
    <w:p w14:paraId="203E5059">
      <w:pPr>
        <w:pStyle w:val="9"/>
        <w:spacing w:before="11"/>
        <w:ind w:left="0"/>
        <w:jc w:val="left"/>
        <w:rPr>
          <w:rFonts w:hint="eastAsia"/>
          <w:sz w:val="30"/>
          <w:szCs w:val="30"/>
        </w:rPr>
      </w:pPr>
      <w:r>
        <w:rPr>
          <w:rFonts w:hint="eastAsia"/>
          <w:sz w:val="30"/>
          <w:szCs w:val="30"/>
        </w:rPr>
        <w:t>4.Ibid., p. 190.</w:t>
      </w:r>
    </w:p>
    <w:p w14:paraId="75C060DE">
      <w:pPr>
        <w:pStyle w:val="9"/>
        <w:spacing w:before="11"/>
        <w:ind w:left="0"/>
        <w:jc w:val="left"/>
        <w:rPr>
          <w:rFonts w:hint="eastAsia"/>
          <w:sz w:val="30"/>
          <w:szCs w:val="30"/>
        </w:rPr>
      </w:pPr>
      <w:r>
        <w:rPr>
          <w:rFonts w:hint="eastAsia"/>
          <w:sz w:val="30"/>
          <w:szCs w:val="30"/>
        </w:rPr>
        <w:t>4.同上，第190页。</w:t>
      </w:r>
    </w:p>
    <w:p w14:paraId="01D10F31">
      <w:pPr>
        <w:pStyle w:val="9"/>
        <w:spacing w:before="11"/>
        <w:ind w:left="0"/>
        <w:jc w:val="left"/>
        <w:rPr>
          <w:rFonts w:hint="eastAsia"/>
          <w:sz w:val="30"/>
          <w:szCs w:val="30"/>
        </w:rPr>
      </w:pPr>
    </w:p>
    <w:p w14:paraId="63C1C08D">
      <w:pPr>
        <w:pStyle w:val="9"/>
        <w:spacing w:before="11"/>
        <w:ind w:left="0"/>
        <w:jc w:val="left"/>
        <w:rPr>
          <w:rFonts w:hint="eastAsia"/>
          <w:sz w:val="30"/>
          <w:szCs w:val="30"/>
        </w:rPr>
      </w:pPr>
      <w:r>
        <w:rPr>
          <w:rFonts w:hint="eastAsia"/>
          <w:sz w:val="30"/>
          <w:szCs w:val="30"/>
        </w:rPr>
        <w:t>5.Ibid., p. 193.</w:t>
      </w:r>
    </w:p>
    <w:p w14:paraId="43433EAC">
      <w:pPr>
        <w:pStyle w:val="9"/>
        <w:spacing w:before="11"/>
        <w:ind w:left="0"/>
        <w:jc w:val="left"/>
        <w:rPr>
          <w:rFonts w:hint="eastAsia"/>
          <w:sz w:val="30"/>
          <w:szCs w:val="30"/>
        </w:rPr>
      </w:pPr>
      <w:r>
        <w:rPr>
          <w:rFonts w:hint="eastAsia"/>
          <w:sz w:val="30"/>
          <w:szCs w:val="30"/>
        </w:rPr>
        <w:t>5.同上，第193页。</w:t>
      </w:r>
    </w:p>
    <w:p w14:paraId="3CE675D4">
      <w:pPr>
        <w:pStyle w:val="9"/>
        <w:spacing w:before="11"/>
        <w:ind w:left="0"/>
        <w:jc w:val="left"/>
        <w:rPr>
          <w:rFonts w:hint="eastAsia"/>
          <w:sz w:val="30"/>
          <w:szCs w:val="30"/>
        </w:rPr>
      </w:pPr>
    </w:p>
    <w:p w14:paraId="58CB339C">
      <w:pPr>
        <w:pStyle w:val="9"/>
        <w:spacing w:before="11"/>
        <w:ind w:left="0"/>
        <w:jc w:val="left"/>
        <w:rPr>
          <w:rFonts w:hint="eastAsia"/>
          <w:sz w:val="30"/>
          <w:szCs w:val="30"/>
        </w:rPr>
      </w:pPr>
      <w:r>
        <w:rPr>
          <w:rFonts w:hint="eastAsia"/>
          <w:sz w:val="30"/>
          <w:szCs w:val="30"/>
        </w:rPr>
        <w:t>6.Ibid., p. 197</w:t>
      </w:r>
    </w:p>
    <w:p w14:paraId="5BC14B8D">
      <w:pPr>
        <w:pStyle w:val="9"/>
        <w:spacing w:before="11"/>
        <w:ind w:left="0"/>
        <w:jc w:val="left"/>
        <w:rPr>
          <w:rFonts w:hint="eastAsia"/>
          <w:sz w:val="30"/>
          <w:szCs w:val="30"/>
        </w:rPr>
      </w:pPr>
      <w:r>
        <w:rPr>
          <w:rFonts w:hint="eastAsia"/>
          <w:sz w:val="30"/>
          <w:szCs w:val="30"/>
        </w:rPr>
        <w:t>6.同上，第197页</w:t>
      </w:r>
    </w:p>
    <w:p w14:paraId="36C16E8A">
      <w:pPr>
        <w:pStyle w:val="9"/>
        <w:spacing w:before="11"/>
        <w:ind w:left="0"/>
        <w:jc w:val="left"/>
        <w:rPr>
          <w:rFonts w:hint="eastAsia"/>
          <w:sz w:val="30"/>
          <w:szCs w:val="30"/>
        </w:rPr>
      </w:pPr>
    </w:p>
    <w:p w14:paraId="11D06B97">
      <w:pPr>
        <w:pStyle w:val="9"/>
        <w:spacing w:before="11"/>
        <w:ind w:left="0"/>
        <w:jc w:val="left"/>
        <w:rPr>
          <w:rFonts w:hint="eastAsia"/>
          <w:sz w:val="30"/>
          <w:szCs w:val="30"/>
        </w:rPr>
      </w:pPr>
      <w:r>
        <w:rPr>
          <w:rFonts w:hint="eastAsia"/>
          <w:sz w:val="30"/>
          <w:szCs w:val="30"/>
        </w:rPr>
        <w:t>7.Ibid., p. 200.</w:t>
      </w:r>
    </w:p>
    <w:p w14:paraId="4DDAE11F">
      <w:pPr>
        <w:pStyle w:val="9"/>
        <w:spacing w:before="11"/>
        <w:ind w:left="0"/>
        <w:jc w:val="left"/>
        <w:rPr>
          <w:rFonts w:hint="eastAsia"/>
          <w:sz w:val="30"/>
          <w:szCs w:val="30"/>
        </w:rPr>
      </w:pPr>
      <w:r>
        <w:rPr>
          <w:rFonts w:hint="eastAsia"/>
          <w:sz w:val="30"/>
          <w:szCs w:val="30"/>
        </w:rPr>
        <w:t>7.同上，第200页。</w:t>
      </w:r>
    </w:p>
    <w:p w14:paraId="319F1D0B">
      <w:pPr>
        <w:pStyle w:val="9"/>
        <w:spacing w:before="11"/>
        <w:ind w:left="0"/>
        <w:jc w:val="left"/>
        <w:rPr>
          <w:rFonts w:hint="eastAsia"/>
          <w:sz w:val="30"/>
          <w:szCs w:val="30"/>
        </w:rPr>
      </w:pPr>
    </w:p>
    <w:p w14:paraId="2A9733A1">
      <w:pPr>
        <w:pStyle w:val="9"/>
        <w:spacing w:before="11"/>
        <w:ind w:left="0"/>
        <w:jc w:val="left"/>
        <w:rPr>
          <w:rFonts w:hint="eastAsia"/>
          <w:sz w:val="30"/>
          <w:szCs w:val="30"/>
        </w:rPr>
      </w:pPr>
      <w:r>
        <w:rPr>
          <w:rFonts w:hint="eastAsia"/>
          <w:sz w:val="30"/>
          <w:szCs w:val="30"/>
        </w:rPr>
        <w:t>8.Cited in Pentecost, J. D., Things to Come (Dunham, 1958), p. 514.</w:t>
      </w:r>
    </w:p>
    <w:p w14:paraId="7B887841">
      <w:pPr>
        <w:pStyle w:val="9"/>
        <w:spacing w:before="11"/>
        <w:ind w:left="0"/>
        <w:jc w:val="left"/>
        <w:rPr>
          <w:rFonts w:hint="eastAsia"/>
          <w:sz w:val="30"/>
          <w:szCs w:val="30"/>
        </w:rPr>
      </w:pPr>
      <w:r>
        <w:rPr>
          <w:rFonts w:hint="eastAsia"/>
          <w:sz w:val="30"/>
          <w:szCs w:val="30"/>
        </w:rPr>
        <w:t>8.引自潘特科斯特，J. D.，《将来的事》（Dunham, 1958），第514页。</w:t>
      </w:r>
    </w:p>
    <w:p w14:paraId="2981A260">
      <w:pPr>
        <w:pStyle w:val="9"/>
        <w:spacing w:before="11"/>
        <w:ind w:left="0"/>
        <w:jc w:val="left"/>
        <w:rPr>
          <w:rFonts w:hint="eastAsia"/>
          <w:sz w:val="30"/>
          <w:szCs w:val="30"/>
        </w:rPr>
      </w:pPr>
    </w:p>
    <w:p w14:paraId="3064010F">
      <w:pPr>
        <w:pStyle w:val="9"/>
        <w:spacing w:before="11"/>
        <w:ind w:left="0"/>
        <w:jc w:val="left"/>
        <w:rPr>
          <w:rFonts w:hint="eastAsia"/>
          <w:sz w:val="30"/>
          <w:szCs w:val="30"/>
        </w:rPr>
      </w:pPr>
      <w:r>
        <w:rPr>
          <w:rFonts w:hint="eastAsia"/>
          <w:sz w:val="30"/>
          <w:szCs w:val="30"/>
        </w:rPr>
        <w:t>9.Ibid., p. 514.</w:t>
      </w:r>
    </w:p>
    <w:p w14:paraId="63308AD2">
      <w:pPr>
        <w:pStyle w:val="9"/>
        <w:spacing w:before="11"/>
        <w:ind w:left="0"/>
        <w:jc w:val="left"/>
        <w:rPr>
          <w:rFonts w:hint="eastAsia"/>
          <w:sz w:val="30"/>
          <w:szCs w:val="30"/>
        </w:rPr>
      </w:pPr>
      <w:r>
        <w:rPr>
          <w:rFonts w:hint="eastAsia"/>
          <w:sz w:val="30"/>
          <w:szCs w:val="30"/>
        </w:rPr>
        <w:t>9.同上，第514页。</w:t>
      </w:r>
    </w:p>
    <w:p w14:paraId="16200739">
      <w:pPr>
        <w:pStyle w:val="9"/>
        <w:spacing w:before="11"/>
        <w:ind w:left="0"/>
        <w:jc w:val="left"/>
        <w:rPr>
          <w:rFonts w:hint="eastAsia"/>
          <w:sz w:val="30"/>
          <w:szCs w:val="30"/>
        </w:rPr>
      </w:pPr>
    </w:p>
    <w:p w14:paraId="48D45E4D">
      <w:pPr>
        <w:pStyle w:val="9"/>
        <w:spacing w:before="11"/>
        <w:ind w:left="0"/>
        <w:jc w:val="left"/>
        <w:rPr>
          <w:rFonts w:hint="eastAsia"/>
          <w:sz w:val="30"/>
          <w:szCs w:val="30"/>
        </w:rPr>
      </w:pPr>
      <w:r>
        <w:rPr>
          <w:rFonts w:hint="eastAsia"/>
          <w:sz w:val="30"/>
          <w:szCs w:val="30"/>
        </w:rPr>
        <w:t>10.Walvoord, J., The Millennial Kingdom (Dunham, 1959), p. 310.</w:t>
      </w:r>
    </w:p>
    <w:p w14:paraId="6AE775CF">
      <w:pPr>
        <w:pStyle w:val="9"/>
        <w:spacing w:before="11"/>
        <w:ind w:left="0"/>
        <w:jc w:val="left"/>
        <w:rPr>
          <w:rFonts w:hint="eastAsia"/>
          <w:sz w:val="30"/>
          <w:szCs w:val="30"/>
        </w:rPr>
      </w:pPr>
      <w:r>
        <w:rPr>
          <w:rFonts w:hint="eastAsia"/>
          <w:sz w:val="30"/>
          <w:szCs w:val="30"/>
        </w:rPr>
        <w:t>10.沃尔沃德，J.，《千禧年国度》（Dunham, 1959），第310页。</w:t>
      </w:r>
    </w:p>
    <w:p w14:paraId="19B91705">
      <w:pPr>
        <w:pStyle w:val="9"/>
        <w:spacing w:before="11"/>
        <w:ind w:left="0"/>
        <w:jc w:val="left"/>
        <w:rPr>
          <w:rFonts w:hint="eastAsia"/>
          <w:sz w:val="30"/>
          <w:szCs w:val="30"/>
        </w:rPr>
      </w:pPr>
    </w:p>
    <w:p w14:paraId="5CEA96FF">
      <w:pPr>
        <w:pStyle w:val="9"/>
        <w:spacing w:before="11"/>
        <w:ind w:left="0"/>
        <w:jc w:val="left"/>
        <w:rPr>
          <w:rFonts w:hint="eastAsia"/>
          <w:sz w:val="30"/>
          <w:szCs w:val="30"/>
        </w:rPr>
      </w:pPr>
      <w:r>
        <w:rPr>
          <w:rFonts w:hint="eastAsia"/>
          <w:sz w:val="30"/>
          <w:szCs w:val="30"/>
        </w:rPr>
        <w:t>11.See The NIV Study Bible for extremely helpful diagrams of the Temple Area and the layout of the eschatological Promised Land.</w:t>
      </w:r>
    </w:p>
    <w:p w14:paraId="32519625">
      <w:pPr>
        <w:pStyle w:val="9"/>
        <w:spacing w:before="11"/>
        <w:ind w:left="0"/>
        <w:jc w:val="left"/>
        <w:rPr>
          <w:rFonts w:hint="eastAsia"/>
          <w:sz w:val="30"/>
          <w:szCs w:val="30"/>
        </w:rPr>
      </w:pPr>
      <w:r>
        <w:rPr>
          <w:rFonts w:hint="eastAsia"/>
          <w:sz w:val="30"/>
          <w:szCs w:val="30"/>
        </w:rPr>
        <w:t>11.见《NIV研读本圣经》，其中有关于圣殿区域和末世论应许之地布局的极有帮助的图表。</w:t>
      </w:r>
    </w:p>
    <w:p w14:paraId="28FE79FF">
      <w:pPr>
        <w:pStyle w:val="9"/>
        <w:spacing w:before="11"/>
        <w:ind w:left="0"/>
        <w:jc w:val="left"/>
        <w:rPr>
          <w:rFonts w:hint="eastAsia"/>
          <w:sz w:val="30"/>
          <w:szCs w:val="30"/>
        </w:rPr>
      </w:pPr>
    </w:p>
    <w:p w14:paraId="4927ED65">
      <w:pPr>
        <w:pStyle w:val="9"/>
        <w:spacing w:before="11"/>
        <w:ind w:left="0"/>
        <w:jc w:val="left"/>
        <w:rPr>
          <w:rFonts w:hint="eastAsia"/>
          <w:sz w:val="30"/>
          <w:szCs w:val="30"/>
        </w:rPr>
      </w:pPr>
      <w:r>
        <w:rPr>
          <w:rFonts w:hint="eastAsia"/>
          <w:sz w:val="30"/>
          <w:szCs w:val="30"/>
        </w:rPr>
        <w:t>12.Reformation Study Bible, s.v. 2 Samuel 2:35.</w:t>
      </w:r>
    </w:p>
    <w:p w14:paraId="7BE02C80">
      <w:pPr>
        <w:pStyle w:val="9"/>
        <w:spacing w:before="11"/>
        <w:ind w:left="0"/>
        <w:jc w:val="left"/>
        <w:rPr>
          <w:rFonts w:hint="eastAsia"/>
          <w:sz w:val="30"/>
          <w:szCs w:val="30"/>
        </w:rPr>
      </w:pPr>
      <w:r>
        <w:rPr>
          <w:rFonts w:hint="eastAsia"/>
          <w:sz w:val="30"/>
          <w:szCs w:val="30"/>
        </w:rPr>
        <w:t>12.《改革宗研读本圣经》，词条：撒母耳记下2:35。</w:t>
      </w:r>
    </w:p>
    <w:p w14:paraId="24382EDD">
      <w:pPr>
        <w:pStyle w:val="9"/>
        <w:spacing w:before="11"/>
        <w:ind w:left="0"/>
        <w:jc w:val="left"/>
        <w:rPr>
          <w:rFonts w:hint="eastAsia"/>
          <w:sz w:val="30"/>
          <w:szCs w:val="30"/>
        </w:rPr>
      </w:pPr>
    </w:p>
    <w:p w14:paraId="4D2CDBD2">
      <w:pPr>
        <w:pStyle w:val="9"/>
        <w:spacing w:before="11"/>
        <w:ind w:left="0"/>
        <w:jc w:val="left"/>
        <w:rPr>
          <w:rFonts w:hint="eastAsia"/>
          <w:sz w:val="30"/>
          <w:szCs w:val="30"/>
        </w:rPr>
      </w:pPr>
      <w:r>
        <w:rPr>
          <w:rFonts w:hint="eastAsia"/>
          <w:sz w:val="30"/>
          <w:szCs w:val="30"/>
        </w:rPr>
        <w:t>Chapter 17: OT Kingdom Prophecies Considered: Daniel</w:t>
      </w:r>
    </w:p>
    <w:p w14:paraId="7853BD6D">
      <w:pPr>
        <w:pStyle w:val="9"/>
        <w:spacing w:before="11"/>
        <w:ind w:left="0"/>
        <w:jc w:val="left"/>
        <w:rPr>
          <w:rFonts w:hint="eastAsia"/>
          <w:sz w:val="30"/>
          <w:szCs w:val="30"/>
        </w:rPr>
      </w:pPr>
      <w:r>
        <w:rPr>
          <w:rFonts w:hint="eastAsia"/>
          <w:sz w:val="30"/>
          <w:szCs w:val="30"/>
        </w:rPr>
        <w:t>第17章：旧约国度预言的思考：但以理书</w:t>
      </w:r>
    </w:p>
    <w:p w14:paraId="2E5D9701">
      <w:pPr>
        <w:pStyle w:val="9"/>
        <w:spacing w:before="11"/>
        <w:ind w:left="0"/>
        <w:jc w:val="left"/>
        <w:rPr>
          <w:rFonts w:hint="eastAsia"/>
          <w:sz w:val="30"/>
          <w:szCs w:val="30"/>
        </w:rPr>
      </w:pPr>
    </w:p>
    <w:p w14:paraId="59C3F2C3">
      <w:pPr>
        <w:pStyle w:val="9"/>
        <w:spacing w:before="11"/>
        <w:ind w:left="0"/>
        <w:jc w:val="left"/>
        <w:rPr>
          <w:rFonts w:hint="eastAsia"/>
          <w:sz w:val="30"/>
          <w:szCs w:val="30"/>
        </w:rPr>
      </w:pPr>
      <w:r>
        <w:rPr>
          <w:rFonts w:hint="eastAsia"/>
          <w:sz w:val="30"/>
          <w:szCs w:val="30"/>
        </w:rPr>
        <w:t>1.G. Ladd, A Theology of the New Testament (Eerdmans, 1972), p. 136.</w:t>
      </w:r>
    </w:p>
    <w:p w14:paraId="4C2A5CAA">
      <w:pPr>
        <w:pStyle w:val="9"/>
        <w:spacing w:before="11"/>
        <w:ind w:left="0"/>
        <w:jc w:val="left"/>
        <w:rPr>
          <w:rFonts w:hint="eastAsia"/>
          <w:sz w:val="30"/>
          <w:szCs w:val="30"/>
        </w:rPr>
      </w:pPr>
      <w:r>
        <w:rPr>
          <w:rFonts w:hint="eastAsia"/>
          <w:sz w:val="30"/>
          <w:szCs w:val="30"/>
        </w:rPr>
        <w:t>1.G. 赖德，《新约神学》（Eerdmans, 1972），第136页。</w:t>
      </w:r>
    </w:p>
    <w:p w14:paraId="39F98461">
      <w:pPr>
        <w:pStyle w:val="9"/>
        <w:spacing w:before="11"/>
        <w:ind w:left="0"/>
        <w:jc w:val="left"/>
        <w:rPr>
          <w:rFonts w:hint="eastAsia"/>
          <w:sz w:val="30"/>
          <w:szCs w:val="30"/>
        </w:rPr>
      </w:pPr>
    </w:p>
    <w:p w14:paraId="66D3D755">
      <w:pPr>
        <w:pStyle w:val="9"/>
        <w:spacing w:before="11"/>
        <w:ind w:left="0"/>
        <w:jc w:val="left"/>
        <w:rPr>
          <w:rFonts w:hint="eastAsia"/>
          <w:sz w:val="30"/>
          <w:szCs w:val="30"/>
        </w:rPr>
      </w:pPr>
      <w:r>
        <w:rPr>
          <w:rFonts w:hint="eastAsia"/>
          <w:sz w:val="30"/>
          <w:szCs w:val="30"/>
        </w:rPr>
        <w:t>2.1 Cor. 15:20-28 makes it clear that Christ’s heavenly mediatorial reign is temporary, and that after the Consummation he will subject himself afresh to the Father.</w:t>
      </w:r>
    </w:p>
    <w:p w14:paraId="0A0685AE">
      <w:pPr>
        <w:pStyle w:val="9"/>
        <w:spacing w:before="11"/>
        <w:ind w:left="0"/>
        <w:jc w:val="left"/>
        <w:rPr>
          <w:rFonts w:hint="eastAsia"/>
          <w:sz w:val="30"/>
          <w:szCs w:val="30"/>
        </w:rPr>
      </w:pPr>
      <w:r>
        <w:rPr>
          <w:rFonts w:hint="eastAsia"/>
          <w:sz w:val="30"/>
          <w:szCs w:val="30"/>
        </w:rPr>
        <w:t>2.哥林多前书15:20-28清楚地表明，基督在天上的中保统治是暂时的，并且在结局之后，祂将再次顺服于父。</w:t>
      </w:r>
    </w:p>
    <w:p w14:paraId="702BAB08">
      <w:pPr>
        <w:pStyle w:val="9"/>
        <w:spacing w:before="11"/>
        <w:ind w:left="0"/>
        <w:jc w:val="left"/>
        <w:rPr>
          <w:rFonts w:hint="eastAsia"/>
          <w:sz w:val="30"/>
          <w:szCs w:val="30"/>
        </w:rPr>
      </w:pPr>
    </w:p>
    <w:p w14:paraId="2B9444B1">
      <w:pPr>
        <w:pStyle w:val="9"/>
        <w:spacing w:before="11"/>
        <w:ind w:left="0"/>
        <w:jc w:val="left"/>
        <w:rPr>
          <w:rFonts w:hint="eastAsia"/>
          <w:sz w:val="30"/>
          <w:szCs w:val="30"/>
        </w:rPr>
      </w:pPr>
      <w:r>
        <w:rPr>
          <w:rFonts w:hint="eastAsia"/>
          <w:sz w:val="30"/>
          <w:szCs w:val="30"/>
        </w:rPr>
        <w:t>However, whatever the exact nature of this further and final subordination, it is also clear from a great many biblical texts, including Daniel 7:14, that Christ will indeed rule forever, with and under the Father, over the eternal Kingdom of God (Psalm 72:7, Isaiah 9:7, Ezek. 37:25, Luke 1:32-33, Rev. 5:13, 11:5).</w:t>
      </w:r>
    </w:p>
    <w:p w14:paraId="28A791AD">
      <w:pPr>
        <w:pStyle w:val="9"/>
        <w:spacing w:before="11"/>
        <w:ind w:left="0"/>
        <w:jc w:val="left"/>
        <w:rPr>
          <w:rFonts w:hint="eastAsia"/>
          <w:sz w:val="30"/>
          <w:szCs w:val="30"/>
        </w:rPr>
      </w:pPr>
      <w:r>
        <w:rPr>
          <w:rFonts w:hint="eastAsia"/>
          <w:sz w:val="30"/>
          <w:szCs w:val="30"/>
        </w:rPr>
        <w:t>然而，无论这种进一步和最终的顺服的确切性质为何，从许多圣经经文，包括但以理书7:14，也可以清楚地看出，基督确实将永远与父同在，并在父之下，统治神永恒的国度（诗篇72:7，以赛亚书9:7，以西结书37:25，路加福音1:32-33，启示录5:13, 11:5）。</w:t>
      </w:r>
    </w:p>
    <w:p w14:paraId="4E2D66B5">
      <w:pPr>
        <w:pStyle w:val="9"/>
        <w:spacing w:before="11"/>
        <w:ind w:left="0"/>
        <w:jc w:val="left"/>
        <w:rPr>
          <w:rFonts w:hint="eastAsia"/>
          <w:sz w:val="30"/>
          <w:szCs w:val="30"/>
        </w:rPr>
      </w:pPr>
    </w:p>
    <w:p w14:paraId="0A6D8D42">
      <w:pPr>
        <w:pStyle w:val="9"/>
        <w:spacing w:before="11"/>
        <w:ind w:left="0"/>
        <w:jc w:val="left"/>
        <w:rPr>
          <w:rFonts w:hint="eastAsia"/>
          <w:sz w:val="30"/>
          <w:szCs w:val="30"/>
        </w:rPr>
      </w:pPr>
      <w:r>
        <w:rPr>
          <w:rFonts w:hint="eastAsia"/>
          <w:sz w:val="30"/>
          <w:szCs w:val="30"/>
        </w:rPr>
        <w:t>3. It is true that Jesus, in speaking to the Sanhedrin about his Parousia, referred to Daniel 7:13 (Mt. 26:64).</w:t>
      </w:r>
    </w:p>
    <w:p w14:paraId="2186F595">
      <w:pPr>
        <w:pStyle w:val="9"/>
        <w:spacing w:before="11"/>
        <w:ind w:left="0"/>
        <w:jc w:val="left"/>
        <w:rPr>
          <w:rFonts w:hint="eastAsia"/>
          <w:sz w:val="30"/>
          <w:szCs w:val="30"/>
        </w:rPr>
      </w:pPr>
      <w:r>
        <w:rPr>
          <w:rFonts w:hint="eastAsia"/>
          <w:sz w:val="30"/>
          <w:szCs w:val="30"/>
        </w:rPr>
        <w:t>3. 确实，耶稣在对公会谈论祂的再来时，提到了但以理书7:13（太26:64）。</w:t>
      </w:r>
    </w:p>
    <w:p w14:paraId="77CC7CF8">
      <w:pPr>
        <w:pStyle w:val="9"/>
        <w:spacing w:before="11"/>
        <w:ind w:left="0"/>
        <w:jc w:val="left"/>
        <w:rPr>
          <w:rFonts w:hint="eastAsia"/>
          <w:sz w:val="30"/>
          <w:szCs w:val="30"/>
        </w:rPr>
      </w:pPr>
    </w:p>
    <w:p w14:paraId="7E89ACF5">
      <w:pPr>
        <w:pStyle w:val="9"/>
        <w:spacing w:before="11"/>
        <w:ind w:left="0"/>
        <w:jc w:val="left"/>
        <w:rPr>
          <w:rFonts w:hint="eastAsia"/>
          <w:sz w:val="30"/>
          <w:szCs w:val="30"/>
        </w:rPr>
      </w:pPr>
      <w:r>
        <w:rPr>
          <w:rFonts w:hint="eastAsia"/>
          <w:sz w:val="30"/>
          <w:szCs w:val="30"/>
        </w:rPr>
        <w:t>However, I strongly doubt he would agree with commentators who conclude from this that Daniel saw the Son of Man coming to the Ancient of Days at the Parousia in order to receive more sovereignty for more rulership in the consummated kingdom.</w:t>
      </w:r>
    </w:p>
    <w:p w14:paraId="095560E8">
      <w:pPr>
        <w:pStyle w:val="9"/>
        <w:spacing w:before="11"/>
        <w:ind w:left="0"/>
        <w:jc w:val="left"/>
        <w:rPr>
          <w:rFonts w:hint="eastAsia"/>
          <w:sz w:val="30"/>
          <w:szCs w:val="30"/>
        </w:rPr>
      </w:pPr>
      <w:r>
        <w:rPr>
          <w:rFonts w:hint="eastAsia"/>
          <w:sz w:val="30"/>
          <w:szCs w:val="30"/>
        </w:rPr>
        <w:t>然而，我强烈怀疑祂会同意那些据此得出结论的注释家的看法，即但以理看到人子在再来时来到亘古常在者那里，为要在已成全的国度中获得更多的统治权。</w:t>
      </w:r>
    </w:p>
    <w:p w14:paraId="158BCD62">
      <w:pPr>
        <w:pStyle w:val="9"/>
        <w:spacing w:before="11"/>
        <w:ind w:left="0"/>
        <w:jc w:val="left"/>
        <w:rPr>
          <w:rFonts w:hint="eastAsia"/>
          <w:sz w:val="30"/>
          <w:szCs w:val="30"/>
        </w:rPr>
      </w:pPr>
    </w:p>
    <w:p w14:paraId="2E90A432">
      <w:pPr>
        <w:pStyle w:val="9"/>
        <w:spacing w:before="11"/>
        <w:ind w:left="0"/>
        <w:jc w:val="left"/>
        <w:rPr>
          <w:rFonts w:hint="eastAsia"/>
          <w:sz w:val="30"/>
          <w:szCs w:val="30"/>
        </w:rPr>
      </w:pPr>
      <w:r>
        <w:rPr>
          <w:rFonts w:hint="eastAsia"/>
          <w:sz w:val="30"/>
          <w:szCs w:val="30"/>
        </w:rPr>
        <w:t>By my lights, such a view completely misunderstands the structure of NT eschatology; indeed; it stands it on its head!</w:t>
      </w:r>
    </w:p>
    <w:p w14:paraId="24B53E71">
      <w:pPr>
        <w:pStyle w:val="9"/>
        <w:spacing w:before="11"/>
        <w:ind w:left="0"/>
        <w:jc w:val="left"/>
        <w:rPr>
          <w:rFonts w:hint="eastAsia"/>
          <w:sz w:val="30"/>
          <w:szCs w:val="30"/>
        </w:rPr>
      </w:pPr>
      <w:r>
        <w:rPr>
          <w:rFonts w:hint="eastAsia"/>
          <w:sz w:val="30"/>
          <w:szCs w:val="30"/>
        </w:rPr>
        <w:t>在我看来，这样的观点完全误解了新约末世论的结构；的确，它将其本末倒置了！</w:t>
      </w:r>
    </w:p>
    <w:p w14:paraId="023840F8">
      <w:pPr>
        <w:pStyle w:val="9"/>
        <w:spacing w:before="11"/>
        <w:ind w:left="0"/>
        <w:jc w:val="left"/>
        <w:rPr>
          <w:rFonts w:hint="eastAsia"/>
          <w:sz w:val="30"/>
          <w:szCs w:val="30"/>
        </w:rPr>
      </w:pPr>
    </w:p>
    <w:p w14:paraId="53FB9CFA">
      <w:pPr>
        <w:pStyle w:val="9"/>
        <w:spacing w:before="11"/>
        <w:ind w:left="0"/>
        <w:jc w:val="left"/>
        <w:rPr>
          <w:rFonts w:hint="eastAsia"/>
          <w:sz w:val="30"/>
          <w:szCs w:val="30"/>
        </w:rPr>
      </w:pPr>
      <w:r>
        <w:rPr>
          <w:rFonts w:hint="eastAsia"/>
          <w:sz w:val="30"/>
          <w:szCs w:val="30"/>
        </w:rPr>
        <w:t>No, in speaking as he did, the Lord was simply saying that just as he will soon come to the Ancient of Days upon clouds of glory to receive authority for his heavenly Messianic reign, even so, at his Parousia, will he come from the (right hand of the) Ancient of Days on clouds of glory to consummate it.</w:t>
      </w:r>
    </w:p>
    <w:p w14:paraId="2CEAA736">
      <w:pPr>
        <w:pStyle w:val="9"/>
        <w:spacing w:before="11"/>
        <w:ind w:left="0"/>
        <w:jc w:val="left"/>
        <w:rPr>
          <w:rFonts w:hint="eastAsia"/>
          <w:sz w:val="30"/>
          <w:szCs w:val="30"/>
        </w:rPr>
      </w:pPr>
      <w:r>
        <w:rPr>
          <w:rFonts w:hint="eastAsia"/>
          <w:sz w:val="30"/>
          <w:szCs w:val="30"/>
        </w:rPr>
        <w:t>不，主这样说，只是在说，正如祂将很快驾着荣耀的云彩来到亘古常在者那里，为祂天上的弥赛亚统治领受权柄，同样，在祂的再来时，祂将从亘古常在者（的右边）驾着荣耀的云彩降临，以成全它。</w:t>
      </w:r>
    </w:p>
    <w:p w14:paraId="44A3BFAB">
      <w:pPr>
        <w:pStyle w:val="9"/>
        <w:spacing w:before="11"/>
        <w:ind w:left="0"/>
        <w:jc w:val="left"/>
        <w:rPr>
          <w:rFonts w:hint="eastAsia"/>
          <w:sz w:val="30"/>
          <w:szCs w:val="30"/>
        </w:rPr>
      </w:pPr>
    </w:p>
    <w:p w14:paraId="331CB417">
      <w:pPr>
        <w:pStyle w:val="9"/>
        <w:spacing w:before="11"/>
        <w:ind w:left="0"/>
        <w:jc w:val="left"/>
        <w:rPr>
          <w:rFonts w:hint="eastAsia"/>
          <w:sz w:val="30"/>
          <w:szCs w:val="30"/>
        </w:rPr>
      </w:pPr>
      <w:r>
        <w:rPr>
          <w:rFonts w:hint="eastAsia"/>
          <w:sz w:val="30"/>
          <w:szCs w:val="30"/>
        </w:rPr>
        <w:t>An impressive number of NT texts confirm this very thing (Mt. 24:30, 13:26, Acts 1:9- 11,1 Thess. 4:17, Rev. 1:7).</w:t>
      </w:r>
    </w:p>
    <w:p w14:paraId="50C38C8C">
      <w:pPr>
        <w:pStyle w:val="9"/>
        <w:spacing w:before="11"/>
        <w:ind w:left="0"/>
        <w:jc w:val="left"/>
        <w:rPr>
          <w:rFonts w:hint="eastAsia"/>
          <w:sz w:val="30"/>
          <w:szCs w:val="30"/>
        </w:rPr>
      </w:pPr>
      <w:r>
        <w:rPr>
          <w:rFonts w:hint="eastAsia"/>
          <w:sz w:val="30"/>
          <w:szCs w:val="30"/>
        </w:rPr>
        <w:t>大量令人印象深刻的新约经文证实了这一点（太24:30, 13:26，徒1:9-11，帖前4:17，启1:7）。</w:t>
      </w:r>
    </w:p>
    <w:p w14:paraId="7D6C121E">
      <w:pPr>
        <w:pStyle w:val="9"/>
        <w:spacing w:before="11"/>
        <w:ind w:left="0"/>
        <w:jc w:val="left"/>
        <w:rPr>
          <w:rFonts w:hint="eastAsia"/>
          <w:sz w:val="30"/>
          <w:szCs w:val="30"/>
        </w:rPr>
      </w:pPr>
    </w:p>
    <w:p w14:paraId="23453EE2">
      <w:pPr>
        <w:pStyle w:val="9"/>
        <w:spacing w:before="11"/>
        <w:ind w:left="0"/>
        <w:jc w:val="left"/>
        <w:rPr>
          <w:rFonts w:hint="eastAsia"/>
          <w:sz w:val="30"/>
          <w:szCs w:val="30"/>
        </w:rPr>
      </w:pPr>
      <w:r>
        <w:rPr>
          <w:rFonts w:hint="eastAsia"/>
          <w:sz w:val="30"/>
          <w:szCs w:val="30"/>
        </w:rPr>
        <w:t>4.The New Bible Commentary (Eerdmans, 1979), s.v. Daniel, pp. 698-700.</w:t>
      </w:r>
    </w:p>
    <w:p w14:paraId="060418E9">
      <w:pPr>
        <w:pStyle w:val="9"/>
        <w:spacing w:before="11"/>
        <w:ind w:left="0"/>
        <w:jc w:val="left"/>
        <w:rPr>
          <w:rFonts w:hint="eastAsia"/>
          <w:sz w:val="30"/>
          <w:szCs w:val="30"/>
        </w:rPr>
      </w:pPr>
      <w:r>
        <w:rPr>
          <w:rFonts w:hint="eastAsia"/>
          <w:sz w:val="30"/>
          <w:szCs w:val="30"/>
        </w:rPr>
        <w:t>4.《新圣经注释》（Eerdmans, 1979），词条：但以理书，第698-700页。</w:t>
      </w:r>
    </w:p>
    <w:p w14:paraId="12D273BD">
      <w:pPr>
        <w:pStyle w:val="9"/>
        <w:spacing w:before="11"/>
        <w:ind w:left="0"/>
        <w:jc w:val="left"/>
        <w:rPr>
          <w:rFonts w:hint="eastAsia"/>
          <w:sz w:val="30"/>
          <w:szCs w:val="30"/>
        </w:rPr>
      </w:pPr>
    </w:p>
    <w:p w14:paraId="33932165">
      <w:pPr>
        <w:pStyle w:val="9"/>
        <w:spacing w:before="11"/>
        <w:ind w:left="0"/>
        <w:jc w:val="left"/>
        <w:rPr>
          <w:rFonts w:hint="eastAsia"/>
          <w:sz w:val="30"/>
          <w:szCs w:val="30"/>
        </w:rPr>
      </w:pPr>
      <w:r>
        <w:rPr>
          <w:rFonts w:hint="eastAsia"/>
          <w:sz w:val="30"/>
          <w:szCs w:val="30"/>
        </w:rPr>
        <w:t>5.The Millennium Bible, p. 219.</w:t>
      </w:r>
    </w:p>
    <w:p w14:paraId="110452AE">
      <w:pPr>
        <w:pStyle w:val="9"/>
        <w:spacing w:before="11"/>
        <w:ind w:left="0"/>
        <w:jc w:val="left"/>
        <w:rPr>
          <w:rFonts w:hint="eastAsia"/>
          <w:sz w:val="30"/>
          <w:szCs w:val="30"/>
        </w:rPr>
      </w:pPr>
      <w:r>
        <w:rPr>
          <w:rFonts w:hint="eastAsia"/>
          <w:sz w:val="30"/>
          <w:szCs w:val="30"/>
        </w:rPr>
        <w:t>5.《千禧年圣经》，第219页。</w:t>
      </w:r>
    </w:p>
    <w:p w14:paraId="7E163581">
      <w:pPr>
        <w:pStyle w:val="9"/>
        <w:spacing w:before="11"/>
        <w:ind w:left="0"/>
        <w:jc w:val="left"/>
        <w:rPr>
          <w:rFonts w:hint="eastAsia"/>
          <w:sz w:val="30"/>
          <w:szCs w:val="30"/>
        </w:rPr>
      </w:pPr>
    </w:p>
    <w:p w14:paraId="3F21143A">
      <w:pPr>
        <w:pStyle w:val="9"/>
        <w:spacing w:before="11"/>
        <w:ind w:left="0"/>
        <w:jc w:val="left"/>
        <w:rPr>
          <w:rFonts w:hint="eastAsia"/>
          <w:sz w:val="30"/>
          <w:szCs w:val="30"/>
        </w:rPr>
      </w:pPr>
      <w:r>
        <w:rPr>
          <w:rFonts w:hint="eastAsia"/>
          <w:sz w:val="30"/>
          <w:szCs w:val="30"/>
        </w:rPr>
        <w:t>6.SRB, p. 913.</w:t>
      </w:r>
    </w:p>
    <w:p w14:paraId="1DA5C888">
      <w:pPr>
        <w:pStyle w:val="9"/>
        <w:spacing w:before="11"/>
        <w:ind w:left="0"/>
        <w:jc w:val="left"/>
        <w:rPr>
          <w:rFonts w:hint="eastAsia"/>
          <w:sz w:val="30"/>
          <w:szCs w:val="30"/>
        </w:rPr>
      </w:pPr>
      <w:r>
        <w:rPr>
          <w:rFonts w:hint="eastAsia"/>
          <w:sz w:val="30"/>
          <w:szCs w:val="30"/>
        </w:rPr>
        <w:t>6.司可福串珠圣经，第913页。</w:t>
      </w:r>
    </w:p>
    <w:p w14:paraId="29D51554">
      <w:pPr>
        <w:pStyle w:val="9"/>
        <w:spacing w:before="11"/>
        <w:ind w:left="0"/>
        <w:jc w:val="left"/>
        <w:rPr>
          <w:rFonts w:hint="eastAsia"/>
          <w:sz w:val="30"/>
          <w:szCs w:val="30"/>
        </w:rPr>
      </w:pPr>
    </w:p>
    <w:p w14:paraId="1E77036D">
      <w:pPr>
        <w:pStyle w:val="9"/>
        <w:spacing w:before="11"/>
        <w:ind w:left="0"/>
        <w:jc w:val="left"/>
        <w:rPr>
          <w:rFonts w:hint="eastAsia"/>
          <w:sz w:val="30"/>
          <w:szCs w:val="30"/>
        </w:rPr>
      </w:pPr>
      <w:r>
        <w:rPr>
          <w:rFonts w:hint="eastAsia"/>
          <w:sz w:val="30"/>
          <w:szCs w:val="30"/>
        </w:rPr>
        <w:t>7.H. C. Leupold, Exposition of Daniel (Baker, 1969).</w:t>
      </w:r>
    </w:p>
    <w:p w14:paraId="3452F886">
      <w:pPr>
        <w:pStyle w:val="9"/>
        <w:spacing w:before="11"/>
        <w:ind w:left="0"/>
        <w:jc w:val="left"/>
        <w:rPr>
          <w:rFonts w:hint="eastAsia"/>
          <w:sz w:val="30"/>
          <w:szCs w:val="30"/>
        </w:rPr>
      </w:pPr>
      <w:r>
        <w:rPr>
          <w:rFonts w:hint="eastAsia"/>
          <w:sz w:val="30"/>
          <w:szCs w:val="30"/>
        </w:rPr>
        <w:t>7.H. C. 洛伊波尔德，《但以理书注释》（Baker, 1969）。</w:t>
      </w:r>
    </w:p>
    <w:p w14:paraId="4A73F222">
      <w:pPr>
        <w:pStyle w:val="9"/>
        <w:spacing w:before="11"/>
        <w:ind w:left="0"/>
        <w:jc w:val="left"/>
        <w:rPr>
          <w:rFonts w:hint="eastAsia"/>
          <w:sz w:val="30"/>
          <w:szCs w:val="30"/>
        </w:rPr>
      </w:pPr>
    </w:p>
    <w:p w14:paraId="0761832C">
      <w:pPr>
        <w:pStyle w:val="9"/>
        <w:spacing w:before="11"/>
        <w:ind w:left="0"/>
        <w:jc w:val="left"/>
        <w:rPr>
          <w:rFonts w:hint="eastAsia"/>
          <w:sz w:val="30"/>
          <w:szCs w:val="30"/>
        </w:rPr>
      </w:pPr>
      <w:r>
        <w:rPr>
          <w:rFonts w:hint="eastAsia"/>
          <w:sz w:val="30"/>
          <w:szCs w:val="30"/>
        </w:rPr>
        <w:t>8.Ibid., p. 405.</w:t>
      </w:r>
    </w:p>
    <w:p w14:paraId="62401473">
      <w:pPr>
        <w:pStyle w:val="9"/>
        <w:spacing w:before="11"/>
        <w:ind w:left="0"/>
        <w:jc w:val="left"/>
        <w:rPr>
          <w:rFonts w:hint="eastAsia"/>
          <w:sz w:val="30"/>
          <w:szCs w:val="30"/>
        </w:rPr>
      </w:pPr>
      <w:r>
        <w:rPr>
          <w:rFonts w:hint="eastAsia"/>
          <w:sz w:val="30"/>
          <w:szCs w:val="30"/>
        </w:rPr>
        <w:t>8.同上，第405页。</w:t>
      </w:r>
    </w:p>
    <w:p w14:paraId="47125CE5">
      <w:pPr>
        <w:pStyle w:val="9"/>
        <w:spacing w:before="11"/>
        <w:ind w:left="0"/>
        <w:jc w:val="left"/>
        <w:rPr>
          <w:rFonts w:hint="eastAsia"/>
          <w:sz w:val="30"/>
          <w:szCs w:val="30"/>
        </w:rPr>
      </w:pPr>
    </w:p>
    <w:p w14:paraId="18F8A574">
      <w:pPr>
        <w:pStyle w:val="9"/>
        <w:spacing w:before="11"/>
        <w:ind w:left="0"/>
        <w:jc w:val="left"/>
        <w:rPr>
          <w:rFonts w:hint="eastAsia"/>
          <w:sz w:val="30"/>
          <w:szCs w:val="30"/>
        </w:rPr>
      </w:pPr>
      <w:r>
        <w:rPr>
          <w:rFonts w:hint="eastAsia"/>
          <w:sz w:val="30"/>
          <w:szCs w:val="30"/>
        </w:rPr>
        <w:t>9.Ibid., p. 409</w:t>
      </w:r>
    </w:p>
    <w:p w14:paraId="2644117E">
      <w:pPr>
        <w:pStyle w:val="9"/>
        <w:spacing w:before="11"/>
        <w:ind w:left="0"/>
        <w:jc w:val="left"/>
        <w:rPr>
          <w:rFonts w:hint="eastAsia"/>
          <w:sz w:val="30"/>
          <w:szCs w:val="30"/>
        </w:rPr>
      </w:pPr>
      <w:r>
        <w:rPr>
          <w:rFonts w:hint="eastAsia"/>
          <w:sz w:val="30"/>
          <w:szCs w:val="30"/>
        </w:rPr>
        <w:t>9.同上，第409页</w:t>
      </w:r>
    </w:p>
    <w:p w14:paraId="66A3B17B">
      <w:pPr>
        <w:pStyle w:val="9"/>
        <w:spacing w:before="11"/>
        <w:ind w:left="0"/>
        <w:jc w:val="left"/>
        <w:rPr>
          <w:rFonts w:hint="eastAsia"/>
          <w:sz w:val="30"/>
          <w:szCs w:val="30"/>
        </w:rPr>
      </w:pPr>
    </w:p>
    <w:p w14:paraId="5F1FD1E4">
      <w:pPr>
        <w:pStyle w:val="9"/>
        <w:spacing w:before="11"/>
        <w:ind w:left="0"/>
        <w:jc w:val="left"/>
        <w:rPr>
          <w:rFonts w:hint="eastAsia"/>
          <w:sz w:val="30"/>
          <w:szCs w:val="30"/>
        </w:rPr>
      </w:pPr>
      <w:r>
        <w:rPr>
          <w:rFonts w:hint="eastAsia"/>
          <w:sz w:val="30"/>
          <w:szCs w:val="30"/>
        </w:rPr>
        <w:t>10.Ibid., p. 416.</w:t>
      </w:r>
    </w:p>
    <w:p w14:paraId="4F77FDD9">
      <w:pPr>
        <w:pStyle w:val="9"/>
        <w:spacing w:before="11"/>
        <w:ind w:left="0"/>
        <w:jc w:val="left"/>
        <w:rPr>
          <w:rFonts w:hint="eastAsia"/>
          <w:sz w:val="30"/>
          <w:szCs w:val="30"/>
        </w:rPr>
      </w:pPr>
      <w:r>
        <w:rPr>
          <w:rFonts w:hint="eastAsia"/>
          <w:sz w:val="30"/>
          <w:szCs w:val="30"/>
        </w:rPr>
        <w:t>10.同上，第416页。</w:t>
      </w:r>
    </w:p>
    <w:p w14:paraId="5FEB0A42">
      <w:pPr>
        <w:pStyle w:val="9"/>
        <w:spacing w:before="11"/>
        <w:ind w:left="0"/>
        <w:jc w:val="left"/>
        <w:rPr>
          <w:rFonts w:hint="eastAsia"/>
          <w:sz w:val="30"/>
          <w:szCs w:val="30"/>
        </w:rPr>
      </w:pPr>
    </w:p>
    <w:p w14:paraId="3CB84871">
      <w:pPr>
        <w:pStyle w:val="9"/>
        <w:spacing w:before="11"/>
        <w:ind w:left="0"/>
        <w:jc w:val="left"/>
        <w:rPr>
          <w:rFonts w:hint="eastAsia"/>
          <w:sz w:val="30"/>
          <w:szCs w:val="30"/>
        </w:rPr>
      </w:pPr>
      <w:r>
        <w:rPr>
          <w:rFonts w:hint="eastAsia"/>
          <w:sz w:val="30"/>
          <w:szCs w:val="30"/>
        </w:rPr>
        <w:t>11.Ibid., p. 417.</w:t>
      </w:r>
    </w:p>
    <w:p w14:paraId="1196163D">
      <w:pPr>
        <w:pStyle w:val="9"/>
        <w:spacing w:before="11"/>
        <w:ind w:left="0"/>
        <w:jc w:val="left"/>
        <w:rPr>
          <w:rFonts w:hint="eastAsia"/>
          <w:sz w:val="30"/>
          <w:szCs w:val="30"/>
        </w:rPr>
      </w:pPr>
      <w:r>
        <w:rPr>
          <w:rFonts w:hint="eastAsia"/>
          <w:sz w:val="30"/>
          <w:szCs w:val="30"/>
        </w:rPr>
        <w:t>11.同上，第417页。</w:t>
      </w:r>
    </w:p>
    <w:p w14:paraId="4284D7C8">
      <w:pPr>
        <w:pStyle w:val="9"/>
        <w:spacing w:before="11"/>
        <w:ind w:left="0"/>
        <w:jc w:val="left"/>
        <w:rPr>
          <w:rFonts w:hint="eastAsia"/>
          <w:sz w:val="30"/>
          <w:szCs w:val="30"/>
        </w:rPr>
      </w:pPr>
    </w:p>
    <w:p w14:paraId="3C86E091">
      <w:pPr>
        <w:pStyle w:val="9"/>
        <w:spacing w:before="11"/>
        <w:ind w:left="0"/>
        <w:jc w:val="left"/>
        <w:rPr>
          <w:rFonts w:hint="eastAsia"/>
          <w:sz w:val="30"/>
          <w:szCs w:val="30"/>
        </w:rPr>
      </w:pPr>
      <w:r>
        <w:rPr>
          <w:rFonts w:hint="eastAsia"/>
          <w:sz w:val="30"/>
          <w:szCs w:val="30"/>
        </w:rPr>
        <w:t>12.Ibid., p. 427.</w:t>
      </w:r>
    </w:p>
    <w:p w14:paraId="5500F010">
      <w:pPr>
        <w:pStyle w:val="9"/>
        <w:spacing w:before="11"/>
        <w:ind w:left="0"/>
        <w:jc w:val="left"/>
        <w:rPr>
          <w:rFonts w:hint="eastAsia"/>
          <w:sz w:val="30"/>
          <w:szCs w:val="30"/>
        </w:rPr>
      </w:pPr>
      <w:r>
        <w:rPr>
          <w:rFonts w:hint="eastAsia"/>
          <w:sz w:val="30"/>
          <w:szCs w:val="30"/>
        </w:rPr>
        <w:t>12.同上，第427页。</w:t>
      </w:r>
    </w:p>
    <w:p w14:paraId="54411447">
      <w:pPr>
        <w:pStyle w:val="9"/>
        <w:spacing w:before="11"/>
        <w:ind w:left="0"/>
        <w:jc w:val="left"/>
        <w:rPr>
          <w:rFonts w:hint="eastAsia"/>
          <w:sz w:val="30"/>
          <w:szCs w:val="30"/>
        </w:rPr>
      </w:pPr>
    </w:p>
    <w:p w14:paraId="62DC9632">
      <w:pPr>
        <w:pStyle w:val="9"/>
        <w:spacing w:before="11"/>
        <w:ind w:left="0"/>
        <w:jc w:val="left"/>
        <w:rPr>
          <w:rFonts w:hint="eastAsia"/>
          <w:sz w:val="30"/>
          <w:szCs w:val="30"/>
        </w:rPr>
      </w:pPr>
      <w:r>
        <w:rPr>
          <w:rFonts w:hint="eastAsia"/>
          <w:sz w:val="30"/>
          <w:szCs w:val="30"/>
        </w:rPr>
        <w:t>13.Ibid., p. 428.</w:t>
      </w:r>
    </w:p>
    <w:p w14:paraId="49BC76E7">
      <w:pPr>
        <w:pStyle w:val="9"/>
        <w:spacing w:before="11"/>
        <w:ind w:left="0"/>
        <w:jc w:val="left"/>
        <w:rPr>
          <w:rFonts w:hint="eastAsia"/>
          <w:sz w:val="30"/>
          <w:szCs w:val="30"/>
        </w:rPr>
      </w:pPr>
      <w:r>
        <w:rPr>
          <w:rFonts w:hint="eastAsia"/>
          <w:sz w:val="30"/>
          <w:szCs w:val="30"/>
        </w:rPr>
        <w:t>13.同上，第428页。</w:t>
      </w:r>
    </w:p>
    <w:p w14:paraId="34132384">
      <w:pPr>
        <w:pStyle w:val="9"/>
        <w:spacing w:before="11"/>
        <w:ind w:left="0"/>
        <w:jc w:val="left"/>
        <w:rPr>
          <w:rFonts w:hint="eastAsia"/>
          <w:sz w:val="30"/>
          <w:szCs w:val="30"/>
        </w:rPr>
      </w:pPr>
    </w:p>
    <w:p w14:paraId="1C4449DD">
      <w:pPr>
        <w:pStyle w:val="9"/>
        <w:spacing w:before="11"/>
        <w:ind w:left="0"/>
        <w:jc w:val="left"/>
        <w:rPr>
          <w:rFonts w:hint="eastAsia"/>
          <w:sz w:val="30"/>
          <w:szCs w:val="30"/>
        </w:rPr>
      </w:pPr>
      <w:r>
        <w:rPr>
          <w:rFonts w:hint="eastAsia"/>
          <w:sz w:val="30"/>
          <w:szCs w:val="30"/>
        </w:rPr>
        <w:t>14.Ibid., p. 432.</w:t>
      </w:r>
    </w:p>
    <w:p w14:paraId="756AA145">
      <w:pPr>
        <w:pStyle w:val="9"/>
        <w:spacing w:before="11"/>
        <w:ind w:left="0"/>
        <w:jc w:val="left"/>
        <w:rPr>
          <w:rFonts w:hint="eastAsia"/>
          <w:sz w:val="30"/>
          <w:szCs w:val="30"/>
        </w:rPr>
      </w:pPr>
      <w:r>
        <w:rPr>
          <w:rFonts w:hint="eastAsia"/>
          <w:sz w:val="30"/>
          <w:szCs w:val="30"/>
        </w:rPr>
        <w:t>14.同上，第432页。</w:t>
      </w:r>
    </w:p>
    <w:p w14:paraId="330A1996">
      <w:pPr>
        <w:pStyle w:val="9"/>
        <w:spacing w:before="11"/>
        <w:ind w:left="0"/>
        <w:jc w:val="left"/>
        <w:rPr>
          <w:rFonts w:hint="eastAsia"/>
          <w:sz w:val="30"/>
          <w:szCs w:val="30"/>
        </w:rPr>
      </w:pPr>
    </w:p>
    <w:p w14:paraId="7D9431C4">
      <w:pPr>
        <w:pStyle w:val="9"/>
        <w:spacing w:before="11"/>
        <w:ind w:left="0"/>
        <w:jc w:val="left"/>
        <w:rPr>
          <w:rFonts w:hint="eastAsia"/>
          <w:sz w:val="30"/>
          <w:szCs w:val="30"/>
        </w:rPr>
      </w:pPr>
      <w:r>
        <w:rPr>
          <w:rFonts w:hint="eastAsia"/>
          <w:sz w:val="30"/>
          <w:szCs w:val="30"/>
        </w:rPr>
        <w:t>15.The Millennium Bible, p. 224.</w:t>
      </w:r>
    </w:p>
    <w:p w14:paraId="383F0F33">
      <w:pPr>
        <w:pStyle w:val="9"/>
        <w:spacing w:before="11"/>
        <w:ind w:left="0"/>
        <w:jc w:val="left"/>
        <w:rPr>
          <w:rFonts w:hint="eastAsia"/>
          <w:sz w:val="30"/>
          <w:szCs w:val="30"/>
        </w:rPr>
      </w:pPr>
      <w:r>
        <w:rPr>
          <w:rFonts w:hint="eastAsia"/>
          <w:sz w:val="30"/>
          <w:szCs w:val="30"/>
        </w:rPr>
        <w:t>15.《千禧年圣经》，第224页。</w:t>
      </w:r>
    </w:p>
    <w:p w14:paraId="2C9D2088">
      <w:pPr>
        <w:pStyle w:val="9"/>
        <w:spacing w:before="11"/>
        <w:ind w:left="0"/>
        <w:jc w:val="left"/>
        <w:rPr>
          <w:rFonts w:hint="eastAsia"/>
          <w:sz w:val="30"/>
          <w:szCs w:val="30"/>
        </w:rPr>
      </w:pPr>
    </w:p>
    <w:p w14:paraId="12E9839A">
      <w:pPr>
        <w:pStyle w:val="9"/>
        <w:spacing w:before="11"/>
        <w:ind w:left="0"/>
        <w:jc w:val="left"/>
        <w:rPr>
          <w:rFonts w:hint="eastAsia"/>
          <w:sz w:val="30"/>
          <w:szCs w:val="30"/>
        </w:rPr>
      </w:pPr>
      <w:r>
        <w:rPr>
          <w:rFonts w:hint="eastAsia"/>
          <w:sz w:val="30"/>
          <w:szCs w:val="30"/>
        </w:rPr>
        <w:t>16.For a close, thought-provoking examination of the many parallels between the character and career of Antiochus Epiphanes (the OT antichrist), and the NT Antichrist of Daniel 9:26-27, see Leupold, pp. 437-440.</w:t>
      </w:r>
    </w:p>
    <w:p w14:paraId="76F31720">
      <w:pPr>
        <w:pStyle w:val="9"/>
        <w:spacing w:before="11"/>
        <w:ind w:left="0"/>
        <w:jc w:val="left"/>
        <w:rPr>
          <w:rFonts w:hint="eastAsia"/>
          <w:sz w:val="30"/>
          <w:szCs w:val="30"/>
        </w:rPr>
      </w:pPr>
      <w:r>
        <w:rPr>
          <w:rFonts w:hint="eastAsia"/>
          <w:sz w:val="30"/>
          <w:szCs w:val="30"/>
        </w:rPr>
        <w:t>16.关于安提阿古·伊皮法尼（旧约的敌基督）的品格和生涯与但以理书9:26-27中新约的敌基督之间许多相似之处的严密、发人深省的考察，见洛伊波尔德，第437-440页。</w:t>
      </w:r>
    </w:p>
    <w:p w14:paraId="55707ACB">
      <w:pPr>
        <w:pStyle w:val="9"/>
        <w:spacing w:before="11"/>
        <w:ind w:left="0"/>
        <w:jc w:val="left"/>
        <w:rPr>
          <w:rFonts w:hint="eastAsia"/>
          <w:sz w:val="30"/>
          <w:szCs w:val="30"/>
        </w:rPr>
      </w:pPr>
    </w:p>
    <w:p w14:paraId="7BF7AB76">
      <w:pPr>
        <w:pStyle w:val="9"/>
        <w:spacing w:before="11"/>
        <w:ind w:left="0"/>
        <w:jc w:val="left"/>
        <w:rPr>
          <w:rFonts w:hint="eastAsia"/>
          <w:sz w:val="30"/>
          <w:szCs w:val="30"/>
        </w:rPr>
      </w:pPr>
      <w:r>
        <w:rPr>
          <w:rFonts w:hint="eastAsia"/>
          <w:sz w:val="30"/>
          <w:szCs w:val="30"/>
        </w:rPr>
        <w:t>Chapter 18: OT Kingdom Prophecies Considered: Zechariah</w:t>
      </w:r>
    </w:p>
    <w:p w14:paraId="6EDC7694">
      <w:pPr>
        <w:pStyle w:val="9"/>
        <w:spacing w:before="11"/>
        <w:ind w:left="0"/>
        <w:jc w:val="left"/>
        <w:rPr>
          <w:rFonts w:hint="eastAsia"/>
          <w:sz w:val="30"/>
          <w:szCs w:val="30"/>
        </w:rPr>
      </w:pPr>
      <w:r>
        <w:rPr>
          <w:rFonts w:hint="eastAsia"/>
          <w:sz w:val="30"/>
          <w:szCs w:val="30"/>
        </w:rPr>
        <w:t>第18章：旧约国度预言的思考：撒迦利亚书</w:t>
      </w:r>
    </w:p>
    <w:p w14:paraId="3AAEB977">
      <w:pPr>
        <w:pStyle w:val="9"/>
        <w:spacing w:before="11"/>
        <w:ind w:left="0"/>
        <w:jc w:val="left"/>
        <w:rPr>
          <w:rFonts w:hint="eastAsia"/>
          <w:sz w:val="30"/>
          <w:szCs w:val="30"/>
        </w:rPr>
      </w:pPr>
    </w:p>
    <w:p w14:paraId="15529756">
      <w:pPr>
        <w:pStyle w:val="9"/>
        <w:spacing w:before="11"/>
        <w:ind w:left="0"/>
        <w:jc w:val="left"/>
        <w:rPr>
          <w:rFonts w:hint="eastAsia"/>
          <w:sz w:val="30"/>
          <w:szCs w:val="30"/>
        </w:rPr>
      </w:pPr>
      <w:r>
        <w:rPr>
          <w:rFonts w:hint="eastAsia"/>
          <w:sz w:val="30"/>
          <w:szCs w:val="30"/>
        </w:rPr>
        <w:t>1.Systematic Theology, p. 1127-1129.</w:t>
      </w:r>
    </w:p>
    <w:p w14:paraId="630035FC">
      <w:pPr>
        <w:pStyle w:val="9"/>
        <w:spacing w:before="11"/>
        <w:ind w:left="0"/>
        <w:jc w:val="left"/>
        <w:rPr>
          <w:rFonts w:hint="eastAsia"/>
          <w:sz w:val="30"/>
          <w:szCs w:val="30"/>
        </w:rPr>
      </w:pPr>
      <w:r>
        <w:rPr>
          <w:rFonts w:hint="eastAsia"/>
          <w:sz w:val="30"/>
          <w:szCs w:val="30"/>
        </w:rPr>
        <w:t>1.《系统神学》，第1127-1129页。</w:t>
      </w:r>
    </w:p>
    <w:p w14:paraId="72C766A6">
      <w:pPr>
        <w:pStyle w:val="9"/>
        <w:spacing w:before="11"/>
        <w:ind w:left="0"/>
        <w:jc w:val="left"/>
        <w:rPr>
          <w:rFonts w:hint="eastAsia"/>
          <w:sz w:val="30"/>
          <w:szCs w:val="30"/>
        </w:rPr>
      </w:pPr>
    </w:p>
    <w:p w14:paraId="3F0A4807">
      <w:pPr>
        <w:pStyle w:val="9"/>
        <w:spacing w:before="11"/>
        <w:ind w:left="0"/>
        <w:jc w:val="left"/>
        <w:rPr>
          <w:rFonts w:hint="eastAsia"/>
          <w:sz w:val="30"/>
          <w:szCs w:val="30"/>
        </w:rPr>
      </w:pPr>
      <w:r>
        <w:rPr>
          <w:rFonts w:hint="eastAsia"/>
          <w:sz w:val="30"/>
          <w:szCs w:val="30"/>
        </w:rPr>
        <w:t>2.Reformation Study Bible, p. 1326.</w:t>
      </w:r>
    </w:p>
    <w:p w14:paraId="4C9B6449">
      <w:pPr>
        <w:pStyle w:val="9"/>
        <w:spacing w:before="11"/>
        <w:ind w:left="0"/>
        <w:jc w:val="left"/>
        <w:rPr>
          <w:rFonts w:hint="eastAsia"/>
          <w:sz w:val="30"/>
          <w:szCs w:val="30"/>
        </w:rPr>
      </w:pPr>
      <w:r>
        <w:rPr>
          <w:rFonts w:hint="eastAsia"/>
          <w:sz w:val="30"/>
          <w:szCs w:val="30"/>
        </w:rPr>
        <w:t>2.《改革宗研读本圣经》，第1326页。</w:t>
      </w:r>
    </w:p>
    <w:p w14:paraId="02380FDF">
      <w:pPr>
        <w:pStyle w:val="9"/>
        <w:spacing w:before="11"/>
        <w:ind w:left="0"/>
        <w:jc w:val="left"/>
        <w:rPr>
          <w:rFonts w:hint="eastAsia"/>
          <w:sz w:val="30"/>
          <w:szCs w:val="30"/>
        </w:rPr>
      </w:pPr>
    </w:p>
    <w:p w14:paraId="0A7CF300">
      <w:pPr>
        <w:pStyle w:val="9"/>
        <w:spacing w:before="11"/>
        <w:ind w:left="0"/>
        <w:jc w:val="left"/>
        <w:rPr>
          <w:rFonts w:hint="eastAsia"/>
          <w:sz w:val="30"/>
          <w:szCs w:val="30"/>
        </w:rPr>
      </w:pPr>
      <w:r>
        <w:rPr>
          <w:rFonts w:hint="eastAsia"/>
          <w:sz w:val="30"/>
          <w:szCs w:val="30"/>
        </w:rPr>
        <w:t>3.MacArthur Study Bible, p. 1180.</w:t>
      </w:r>
    </w:p>
    <w:p w14:paraId="3FC7D4CD">
      <w:pPr>
        <w:pStyle w:val="9"/>
        <w:spacing w:before="11"/>
        <w:ind w:left="0"/>
        <w:jc w:val="left"/>
        <w:rPr>
          <w:rFonts w:hint="eastAsia"/>
          <w:sz w:val="30"/>
          <w:szCs w:val="30"/>
        </w:rPr>
      </w:pPr>
      <w:r>
        <w:rPr>
          <w:rFonts w:hint="eastAsia"/>
          <w:sz w:val="30"/>
          <w:szCs w:val="30"/>
        </w:rPr>
        <w:t>3.《麦克阿瑟研读本圣经》，第1180页。</w:t>
      </w:r>
    </w:p>
    <w:p w14:paraId="494587B2">
      <w:pPr>
        <w:pStyle w:val="9"/>
        <w:spacing w:before="11"/>
        <w:ind w:left="0"/>
        <w:jc w:val="left"/>
        <w:rPr>
          <w:rFonts w:hint="eastAsia"/>
          <w:sz w:val="30"/>
          <w:szCs w:val="30"/>
        </w:rPr>
      </w:pPr>
    </w:p>
    <w:p w14:paraId="506D1CDF">
      <w:pPr>
        <w:pStyle w:val="9"/>
        <w:spacing w:before="11"/>
        <w:ind w:left="0"/>
        <w:jc w:val="left"/>
        <w:rPr>
          <w:rFonts w:hint="eastAsia"/>
          <w:sz w:val="30"/>
          <w:szCs w:val="30"/>
        </w:rPr>
      </w:pPr>
      <w:r>
        <w:rPr>
          <w:rFonts w:hint="eastAsia"/>
          <w:sz w:val="30"/>
          <w:szCs w:val="30"/>
        </w:rPr>
        <w:t>4.The Millennium Bible, p. 303.</w:t>
      </w:r>
    </w:p>
    <w:p w14:paraId="43EEFB57">
      <w:pPr>
        <w:pStyle w:val="9"/>
        <w:spacing w:before="11"/>
        <w:ind w:left="0"/>
        <w:jc w:val="left"/>
        <w:rPr>
          <w:rFonts w:hint="eastAsia"/>
          <w:sz w:val="30"/>
          <w:szCs w:val="30"/>
        </w:rPr>
      </w:pPr>
      <w:r>
        <w:rPr>
          <w:rFonts w:hint="eastAsia"/>
          <w:sz w:val="30"/>
          <w:szCs w:val="30"/>
        </w:rPr>
        <w:t>4.《千禧年圣经》，第303页。</w:t>
      </w:r>
    </w:p>
    <w:p w14:paraId="04CBB09A">
      <w:pPr>
        <w:pStyle w:val="9"/>
        <w:spacing w:before="11"/>
        <w:ind w:left="0"/>
        <w:jc w:val="left"/>
        <w:rPr>
          <w:rFonts w:hint="eastAsia"/>
          <w:sz w:val="30"/>
          <w:szCs w:val="30"/>
        </w:rPr>
      </w:pPr>
    </w:p>
    <w:p w14:paraId="0BFEFFC3">
      <w:pPr>
        <w:pStyle w:val="9"/>
        <w:spacing w:before="11"/>
        <w:ind w:left="0"/>
        <w:jc w:val="left"/>
        <w:rPr>
          <w:rFonts w:hint="eastAsia"/>
          <w:sz w:val="30"/>
          <w:szCs w:val="30"/>
        </w:rPr>
      </w:pPr>
      <w:r>
        <w:rPr>
          <w:rFonts w:hint="eastAsia"/>
          <w:sz w:val="30"/>
          <w:szCs w:val="30"/>
        </w:rPr>
        <w:t>5.Commenting on this verse, John MacArthur writes: “Only a portion of the people of Israel will remain faithful to Christ and be alive in the end.</w:t>
      </w:r>
    </w:p>
    <w:p w14:paraId="0B9B2DE4">
      <w:pPr>
        <w:pStyle w:val="9"/>
        <w:spacing w:before="11"/>
        <w:ind w:left="0"/>
        <w:jc w:val="left"/>
        <w:rPr>
          <w:rFonts w:hint="eastAsia"/>
          <w:sz w:val="30"/>
          <w:szCs w:val="30"/>
        </w:rPr>
      </w:pPr>
      <w:r>
        <w:rPr>
          <w:rFonts w:hint="eastAsia"/>
          <w:sz w:val="30"/>
          <w:szCs w:val="30"/>
        </w:rPr>
        <w:t>5.评论这节经文时，约翰·麦克阿瑟写道：“只有一部分以色列民会对基督保持忠心，并在末了存活。</w:t>
      </w:r>
    </w:p>
    <w:p w14:paraId="61035DE4">
      <w:pPr>
        <w:pStyle w:val="9"/>
        <w:spacing w:before="11"/>
        <w:ind w:left="0"/>
        <w:jc w:val="left"/>
        <w:rPr>
          <w:rFonts w:hint="eastAsia"/>
          <w:sz w:val="30"/>
          <w:szCs w:val="30"/>
        </w:rPr>
      </w:pPr>
    </w:p>
    <w:p w14:paraId="45E888B5">
      <w:pPr>
        <w:pStyle w:val="9"/>
        <w:spacing w:before="11"/>
        <w:ind w:left="0"/>
        <w:jc w:val="left"/>
        <w:rPr>
          <w:rFonts w:hint="eastAsia"/>
          <w:sz w:val="30"/>
          <w:szCs w:val="30"/>
        </w:rPr>
      </w:pPr>
      <w:r>
        <w:rPr>
          <w:rFonts w:hint="eastAsia"/>
          <w:sz w:val="30"/>
          <w:szCs w:val="30"/>
        </w:rPr>
        <w:t>The spiritual survivors will be the remnant who look upon Christ in repentance at His return (12:10-13:1), who will include those who make up the 144,000 (Rev. 7:4; MSB, p.1881).”</w:t>
      </w:r>
    </w:p>
    <w:p w14:paraId="0008D019">
      <w:pPr>
        <w:pStyle w:val="9"/>
        <w:spacing w:before="11"/>
        <w:ind w:left="0"/>
        <w:jc w:val="left"/>
        <w:rPr>
          <w:rFonts w:hint="eastAsia"/>
          <w:sz w:val="30"/>
          <w:szCs w:val="30"/>
        </w:rPr>
      </w:pPr>
      <w:r>
        <w:rPr>
          <w:rFonts w:hint="eastAsia"/>
          <w:sz w:val="30"/>
          <w:szCs w:val="30"/>
        </w:rPr>
        <w:t>属灵的幸存者将是那在祂再来时悔改仰望基督的余民（12:10-13:1），其中包括组成144,000人的那些人（启7:4；MSB，第1881页）。”</w:t>
      </w:r>
    </w:p>
    <w:p w14:paraId="1AF91B46">
      <w:pPr>
        <w:pStyle w:val="9"/>
        <w:spacing w:before="11"/>
        <w:ind w:left="0"/>
        <w:jc w:val="left"/>
        <w:rPr>
          <w:rFonts w:hint="eastAsia"/>
          <w:sz w:val="30"/>
          <w:szCs w:val="30"/>
        </w:rPr>
      </w:pPr>
    </w:p>
    <w:p w14:paraId="3F63AE65">
      <w:pPr>
        <w:pStyle w:val="9"/>
        <w:spacing w:before="11"/>
        <w:ind w:left="0"/>
        <w:jc w:val="left"/>
        <w:rPr>
          <w:rFonts w:hint="eastAsia"/>
          <w:sz w:val="30"/>
          <w:szCs w:val="30"/>
        </w:rPr>
      </w:pPr>
      <w:r>
        <w:rPr>
          <w:rFonts w:hint="eastAsia"/>
          <w:sz w:val="30"/>
          <w:szCs w:val="30"/>
        </w:rPr>
        <w:t>This is puzzling, indeed.</w:t>
      </w:r>
    </w:p>
    <w:p w14:paraId="37EFD16D">
      <w:pPr>
        <w:pStyle w:val="9"/>
        <w:spacing w:before="11"/>
        <w:ind w:left="0"/>
        <w:jc w:val="left"/>
        <w:rPr>
          <w:rFonts w:hint="eastAsia"/>
          <w:sz w:val="30"/>
          <w:szCs w:val="30"/>
        </w:rPr>
      </w:pPr>
      <w:r>
        <w:rPr>
          <w:rFonts w:hint="eastAsia"/>
          <w:sz w:val="30"/>
          <w:szCs w:val="30"/>
        </w:rPr>
        <w:t>这确实令人困惑。</w:t>
      </w:r>
    </w:p>
    <w:p w14:paraId="4697B958">
      <w:pPr>
        <w:pStyle w:val="9"/>
        <w:spacing w:before="11"/>
        <w:ind w:left="0"/>
        <w:jc w:val="left"/>
        <w:rPr>
          <w:rFonts w:hint="eastAsia"/>
          <w:sz w:val="30"/>
          <w:szCs w:val="30"/>
        </w:rPr>
      </w:pPr>
    </w:p>
    <w:p w14:paraId="287AD1AE">
      <w:pPr>
        <w:pStyle w:val="9"/>
        <w:spacing w:before="11"/>
        <w:ind w:left="0"/>
        <w:jc w:val="left"/>
        <w:rPr>
          <w:rFonts w:hint="eastAsia"/>
          <w:sz w:val="30"/>
          <w:szCs w:val="30"/>
        </w:rPr>
      </w:pPr>
      <w:r>
        <w:rPr>
          <w:rFonts w:hint="eastAsia"/>
          <w:sz w:val="30"/>
          <w:szCs w:val="30"/>
        </w:rPr>
        <w:t>How shall the one third of Tribulation Jews be loyal to Christ—and, in the case of the 144,000, preach Christ—when, according to MacArthur himself, they will not be converted until Christ’s Second Coming at the end of the Tribulation (see also MSB on Romans 11:26, p. 2349)?</w:t>
      </w:r>
    </w:p>
    <w:p w14:paraId="0786D02C">
      <w:pPr>
        <w:pStyle w:val="9"/>
        <w:spacing w:before="11"/>
        <w:ind w:left="0"/>
        <w:jc w:val="left"/>
        <w:rPr>
          <w:rFonts w:hint="eastAsia"/>
          <w:sz w:val="30"/>
          <w:szCs w:val="30"/>
        </w:rPr>
      </w:pPr>
      <w:r>
        <w:rPr>
          <w:rFonts w:hint="eastAsia"/>
          <w:sz w:val="30"/>
          <w:szCs w:val="30"/>
        </w:rPr>
        <w:t>三分之一的灾难期犹太人如何能对基督忠心——并且，就144,000人而言，传讲基督——而根据麦克阿瑟自己的说法，他们要等到灾难期结束时基督的第二次降临时才会被归信（也见MSB关于罗马书11:26的注释，第2349页）？</w:t>
      </w:r>
    </w:p>
    <w:p w14:paraId="5239AB4A">
      <w:pPr>
        <w:pStyle w:val="9"/>
        <w:spacing w:before="11"/>
        <w:ind w:left="0"/>
        <w:jc w:val="left"/>
        <w:rPr>
          <w:rFonts w:hint="eastAsia"/>
          <w:sz w:val="30"/>
          <w:szCs w:val="30"/>
        </w:rPr>
      </w:pPr>
    </w:p>
    <w:p w14:paraId="15728294">
      <w:pPr>
        <w:pStyle w:val="9"/>
        <w:spacing w:before="11"/>
        <w:ind w:left="0"/>
        <w:jc w:val="left"/>
        <w:rPr>
          <w:rFonts w:hint="eastAsia"/>
          <w:sz w:val="30"/>
          <w:szCs w:val="30"/>
        </w:rPr>
      </w:pPr>
      <w:r>
        <w:rPr>
          <w:rFonts w:hint="eastAsia"/>
          <w:sz w:val="30"/>
          <w:szCs w:val="30"/>
        </w:rPr>
        <w:t>Such is the confusion to which prophetic literalism drives us; such is the confusion that the NCH avoids and dispels.</w:t>
      </w:r>
    </w:p>
    <w:p w14:paraId="0FB9AB5A">
      <w:pPr>
        <w:pStyle w:val="9"/>
        <w:spacing w:before="11"/>
        <w:ind w:left="0"/>
        <w:jc w:val="left"/>
        <w:rPr>
          <w:rFonts w:hint="eastAsia"/>
          <w:sz w:val="30"/>
          <w:szCs w:val="30"/>
        </w:rPr>
      </w:pPr>
      <w:r>
        <w:rPr>
          <w:rFonts w:hint="eastAsia"/>
          <w:sz w:val="30"/>
          <w:szCs w:val="30"/>
        </w:rPr>
        <w:t>这就是预言字面主义驱使我们陷入的混乱；这就是新约释经学（NCH）所避免和消除的混乱。</w:t>
      </w:r>
    </w:p>
    <w:p w14:paraId="74839961">
      <w:pPr>
        <w:pStyle w:val="9"/>
        <w:spacing w:before="11"/>
        <w:ind w:left="0"/>
        <w:jc w:val="left"/>
        <w:rPr>
          <w:rFonts w:hint="eastAsia"/>
          <w:sz w:val="30"/>
          <w:szCs w:val="30"/>
        </w:rPr>
      </w:pPr>
    </w:p>
    <w:p w14:paraId="654B3BD4">
      <w:pPr>
        <w:pStyle w:val="9"/>
        <w:spacing w:before="11"/>
        <w:ind w:left="0"/>
        <w:jc w:val="left"/>
        <w:rPr>
          <w:rFonts w:hint="eastAsia"/>
          <w:sz w:val="30"/>
          <w:szCs w:val="30"/>
        </w:rPr>
      </w:pPr>
      <w:r>
        <w:rPr>
          <w:rFonts w:hint="eastAsia"/>
          <w:sz w:val="30"/>
          <w:szCs w:val="30"/>
        </w:rPr>
        <w:t>6.Reformation Study Bible, p. 1340.</w:t>
      </w:r>
    </w:p>
    <w:p w14:paraId="5A13B046">
      <w:pPr>
        <w:pStyle w:val="9"/>
        <w:spacing w:before="11"/>
        <w:ind w:left="0"/>
        <w:jc w:val="left"/>
        <w:rPr>
          <w:rFonts w:hint="eastAsia"/>
          <w:sz w:val="30"/>
          <w:szCs w:val="30"/>
        </w:rPr>
      </w:pPr>
      <w:r>
        <w:rPr>
          <w:rFonts w:hint="eastAsia"/>
          <w:sz w:val="30"/>
          <w:szCs w:val="30"/>
        </w:rPr>
        <w:t>6.《改革宗研读本圣经》，第1340页。</w:t>
      </w:r>
    </w:p>
    <w:p w14:paraId="076AB65A">
      <w:pPr>
        <w:pStyle w:val="9"/>
        <w:spacing w:before="11"/>
        <w:ind w:left="0"/>
        <w:jc w:val="left"/>
        <w:rPr>
          <w:rFonts w:hint="eastAsia"/>
          <w:sz w:val="30"/>
          <w:szCs w:val="30"/>
        </w:rPr>
      </w:pPr>
    </w:p>
    <w:p w14:paraId="0D428E49">
      <w:pPr>
        <w:pStyle w:val="9"/>
        <w:spacing w:before="11"/>
        <w:ind w:left="0"/>
        <w:jc w:val="left"/>
        <w:rPr>
          <w:rFonts w:hint="eastAsia"/>
          <w:sz w:val="30"/>
          <w:szCs w:val="30"/>
        </w:rPr>
      </w:pPr>
      <w:r>
        <w:rPr>
          <w:rFonts w:hint="eastAsia"/>
          <w:sz w:val="30"/>
          <w:szCs w:val="30"/>
        </w:rPr>
        <w:t>7. It is true that at Christ’s ascension the angels in attendance told the amazed and saddened disciples that their Lord would return in just the same way as they watched him go up into heaven (Acts 1:11).</w:t>
      </w:r>
    </w:p>
    <w:p w14:paraId="35D9A573">
      <w:pPr>
        <w:pStyle w:val="9"/>
        <w:spacing w:before="11"/>
        <w:ind w:left="0"/>
        <w:jc w:val="left"/>
        <w:rPr>
          <w:rFonts w:hint="eastAsia"/>
          <w:sz w:val="30"/>
          <w:szCs w:val="30"/>
        </w:rPr>
      </w:pPr>
      <w:r>
        <w:rPr>
          <w:rFonts w:hint="eastAsia"/>
          <w:sz w:val="30"/>
          <w:szCs w:val="30"/>
        </w:rPr>
        <w:t>7. 确实，在基督升天时，在场的使者告诉那些惊讶和悲伤的门徒，他们的主将怎样往天上去，祂还要怎样来（徒1:11）。</w:t>
      </w:r>
    </w:p>
    <w:p w14:paraId="4345156B">
      <w:pPr>
        <w:pStyle w:val="9"/>
        <w:spacing w:before="11"/>
        <w:ind w:left="0"/>
        <w:jc w:val="left"/>
        <w:rPr>
          <w:rFonts w:hint="eastAsia"/>
          <w:sz w:val="30"/>
          <w:szCs w:val="30"/>
        </w:rPr>
      </w:pPr>
    </w:p>
    <w:p w14:paraId="55AA1444">
      <w:pPr>
        <w:pStyle w:val="9"/>
        <w:spacing w:before="11"/>
        <w:ind w:left="0"/>
        <w:jc w:val="left"/>
        <w:rPr>
          <w:rFonts w:hint="eastAsia"/>
          <w:sz w:val="30"/>
          <w:szCs w:val="30"/>
        </w:rPr>
      </w:pPr>
      <w:r>
        <w:rPr>
          <w:rFonts w:hint="eastAsia"/>
          <w:sz w:val="30"/>
          <w:szCs w:val="30"/>
        </w:rPr>
        <w:t>This does not mean, however, that he will return to the Mt. of Olives from which he ascended.</w:t>
      </w:r>
    </w:p>
    <w:p w14:paraId="4A8B4FE8">
      <w:pPr>
        <w:pStyle w:val="9"/>
        <w:spacing w:before="11"/>
        <w:ind w:left="0"/>
        <w:jc w:val="left"/>
        <w:rPr>
          <w:rFonts w:hint="eastAsia"/>
          <w:sz w:val="30"/>
          <w:szCs w:val="30"/>
        </w:rPr>
      </w:pPr>
      <w:r>
        <w:rPr>
          <w:rFonts w:hint="eastAsia"/>
          <w:sz w:val="30"/>
          <w:szCs w:val="30"/>
        </w:rPr>
        <w:t>然而，这并不意味着祂将回到祂升天时所在的橄榄山。</w:t>
      </w:r>
    </w:p>
    <w:p w14:paraId="50B528FE">
      <w:pPr>
        <w:pStyle w:val="9"/>
        <w:spacing w:before="11"/>
        <w:ind w:left="0"/>
        <w:jc w:val="left"/>
        <w:rPr>
          <w:rFonts w:hint="eastAsia"/>
          <w:sz w:val="30"/>
          <w:szCs w:val="30"/>
        </w:rPr>
      </w:pPr>
    </w:p>
    <w:p w14:paraId="03BDC82B">
      <w:pPr>
        <w:pStyle w:val="9"/>
        <w:spacing w:before="11"/>
        <w:ind w:left="0"/>
        <w:jc w:val="left"/>
        <w:rPr>
          <w:rFonts w:hint="eastAsia"/>
          <w:sz w:val="30"/>
          <w:szCs w:val="30"/>
        </w:rPr>
      </w:pPr>
      <w:r>
        <w:rPr>
          <w:rFonts w:hint="eastAsia"/>
          <w:sz w:val="30"/>
          <w:szCs w:val="30"/>
        </w:rPr>
        <w:t>Rather, it simply means that he will return bodily, visibly, and in clouds of glory, just as he left.</w:t>
      </w:r>
    </w:p>
    <w:p w14:paraId="6C3BC86E">
      <w:pPr>
        <w:pStyle w:val="9"/>
        <w:spacing w:before="11"/>
        <w:ind w:left="0"/>
        <w:jc w:val="left"/>
        <w:rPr>
          <w:rFonts w:hint="eastAsia"/>
          <w:sz w:val="30"/>
          <w:szCs w:val="30"/>
        </w:rPr>
      </w:pPr>
      <w:r>
        <w:rPr>
          <w:rFonts w:hint="eastAsia"/>
          <w:sz w:val="30"/>
          <w:szCs w:val="30"/>
        </w:rPr>
        <w:t>相反，这只是意味着祂将有形体地、可见地、驾着荣耀的云彩再来，正如祂离开时一样。</w:t>
      </w:r>
    </w:p>
    <w:p w14:paraId="1EC336B2">
      <w:pPr>
        <w:pStyle w:val="9"/>
        <w:spacing w:before="11"/>
        <w:ind w:left="0"/>
        <w:jc w:val="left"/>
        <w:rPr>
          <w:rFonts w:hint="eastAsia"/>
          <w:sz w:val="30"/>
          <w:szCs w:val="30"/>
        </w:rPr>
      </w:pPr>
    </w:p>
    <w:p w14:paraId="74CC1554">
      <w:pPr>
        <w:pStyle w:val="9"/>
        <w:spacing w:before="11"/>
        <w:ind w:left="0"/>
        <w:jc w:val="left"/>
        <w:rPr>
          <w:rFonts w:hint="eastAsia"/>
          <w:sz w:val="30"/>
          <w:szCs w:val="30"/>
        </w:rPr>
      </w:pPr>
      <w:r>
        <w:rPr>
          <w:rFonts w:hint="eastAsia"/>
          <w:sz w:val="30"/>
          <w:szCs w:val="30"/>
        </w:rPr>
        <w:t>Moreover, as we shall see in Part 5, the NT is quite clear that when Christ does return, he will return, not to the earth, but to the skies above the earth, where he himself will bring to pass the Judgment, the Destruction of the cosmos by fire, and the final Restoration of all things.</w:t>
      </w:r>
    </w:p>
    <w:p w14:paraId="67DDD043">
      <w:pPr>
        <w:pStyle w:val="9"/>
        <w:spacing w:before="11"/>
        <w:ind w:left="0"/>
        <w:jc w:val="left"/>
        <w:rPr>
          <w:rFonts w:hint="eastAsia"/>
          <w:sz w:val="30"/>
          <w:szCs w:val="30"/>
        </w:rPr>
      </w:pPr>
      <w:r>
        <w:rPr>
          <w:rFonts w:hint="eastAsia"/>
          <w:sz w:val="30"/>
          <w:szCs w:val="30"/>
        </w:rPr>
        <w:t>此外，正如我们将在第五部分看到的，新约非常清楚，当基督确实再来时，祂将再来，不是到地上，而是到地上方的天空，在那里祂自己将带来审判、宇宙被火的毁灭以及万物的最终复兴。</w:t>
      </w:r>
    </w:p>
    <w:p w14:paraId="1022736F">
      <w:pPr>
        <w:pStyle w:val="9"/>
        <w:spacing w:before="11"/>
        <w:ind w:left="0"/>
        <w:jc w:val="left"/>
        <w:rPr>
          <w:rFonts w:hint="eastAsia"/>
          <w:sz w:val="30"/>
          <w:szCs w:val="30"/>
        </w:rPr>
      </w:pPr>
    </w:p>
    <w:p w14:paraId="4D17BD94">
      <w:pPr>
        <w:pStyle w:val="9"/>
        <w:spacing w:before="11"/>
        <w:ind w:left="0"/>
        <w:jc w:val="left"/>
        <w:rPr>
          <w:rFonts w:hint="eastAsia"/>
          <w:sz w:val="30"/>
          <w:szCs w:val="30"/>
        </w:rPr>
      </w:pPr>
      <w:r>
        <w:rPr>
          <w:rFonts w:hint="eastAsia"/>
          <w:sz w:val="30"/>
          <w:szCs w:val="30"/>
        </w:rPr>
        <w:t>Chapter 19: The Revelation: Purpose and Literary Genre</w:t>
      </w:r>
    </w:p>
    <w:p w14:paraId="7B45527D">
      <w:pPr>
        <w:pStyle w:val="9"/>
        <w:spacing w:before="11"/>
        <w:ind w:left="0"/>
        <w:jc w:val="left"/>
        <w:rPr>
          <w:rFonts w:hint="eastAsia"/>
          <w:sz w:val="30"/>
          <w:szCs w:val="30"/>
        </w:rPr>
      </w:pPr>
      <w:r>
        <w:rPr>
          <w:rFonts w:hint="eastAsia"/>
          <w:sz w:val="30"/>
          <w:szCs w:val="30"/>
        </w:rPr>
        <w:t>第19章：启示录：目的与文学体裁</w:t>
      </w:r>
    </w:p>
    <w:p w14:paraId="1B9F86E4">
      <w:pPr>
        <w:pStyle w:val="9"/>
        <w:spacing w:before="11"/>
        <w:ind w:left="0"/>
        <w:jc w:val="left"/>
        <w:rPr>
          <w:rFonts w:hint="eastAsia"/>
          <w:sz w:val="30"/>
          <w:szCs w:val="30"/>
        </w:rPr>
      </w:pPr>
    </w:p>
    <w:p w14:paraId="4E6B8891">
      <w:pPr>
        <w:pStyle w:val="9"/>
        <w:spacing w:before="11"/>
        <w:ind w:left="0"/>
        <w:jc w:val="left"/>
        <w:rPr>
          <w:rFonts w:hint="eastAsia"/>
          <w:sz w:val="30"/>
          <w:szCs w:val="30"/>
        </w:rPr>
      </w:pPr>
      <w:r>
        <w:rPr>
          <w:rFonts w:hint="eastAsia"/>
          <w:sz w:val="30"/>
          <w:szCs w:val="30"/>
        </w:rPr>
        <w:t>1.Despite (weak) preterist arguments to the contrary, the consensus in favor of the late date of composition (ca. 96 AD) is well founded, longstanding, and broad.</w:t>
      </w:r>
    </w:p>
    <w:p w14:paraId="0193BD71">
      <w:pPr>
        <w:pStyle w:val="9"/>
        <w:spacing w:before="11"/>
        <w:ind w:left="0"/>
        <w:jc w:val="left"/>
        <w:rPr>
          <w:rFonts w:hint="eastAsia"/>
          <w:sz w:val="30"/>
          <w:szCs w:val="30"/>
        </w:rPr>
      </w:pPr>
      <w:r>
        <w:rPr>
          <w:rFonts w:hint="eastAsia"/>
          <w:sz w:val="30"/>
          <w:szCs w:val="30"/>
        </w:rPr>
        <w:t>1.尽管有（微弱的）过去主义论点与之相反，但支持晚期写作日期（约公元96年）的共识是基础牢固、历史悠久且广泛的。</w:t>
      </w:r>
    </w:p>
    <w:p w14:paraId="459C3BD6">
      <w:pPr>
        <w:pStyle w:val="9"/>
        <w:spacing w:before="11"/>
        <w:ind w:left="0"/>
        <w:jc w:val="left"/>
        <w:rPr>
          <w:rFonts w:hint="eastAsia"/>
          <w:sz w:val="30"/>
          <w:szCs w:val="30"/>
        </w:rPr>
      </w:pPr>
    </w:p>
    <w:p w14:paraId="727CF557">
      <w:pPr>
        <w:pStyle w:val="9"/>
        <w:spacing w:before="11"/>
        <w:ind w:left="0"/>
        <w:jc w:val="left"/>
        <w:rPr>
          <w:rFonts w:hint="eastAsia"/>
          <w:sz w:val="30"/>
          <w:szCs w:val="30"/>
        </w:rPr>
      </w:pPr>
      <w:r>
        <w:rPr>
          <w:rFonts w:hint="eastAsia"/>
          <w:sz w:val="30"/>
          <w:szCs w:val="30"/>
        </w:rPr>
        <w:t>For details, see More Than Conquerors, p. 14; also, The Man of Sin, Appendix, pp. 179f.</w:t>
      </w:r>
    </w:p>
    <w:p w14:paraId="4E1B0F77">
      <w:pPr>
        <w:pStyle w:val="9"/>
        <w:spacing w:before="11"/>
        <w:ind w:left="0"/>
        <w:jc w:val="left"/>
        <w:rPr>
          <w:rFonts w:hint="eastAsia"/>
          <w:sz w:val="30"/>
          <w:szCs w:val="30"/>
        </w:rPr>
      </w:pPr>
      <w:r>
        <w:rPr>
          <w:rFonts w:hint="eastAsia"/>
          <w:sz w:val="30"/>
          <w:szCs w:val="30"/>
        </w:rPr>
        <w:t>详情见《得胜有余》，第14页；另见，《罪人》，附录，第179页及以下。</w:t>
      </w:r>
    </w:p>
    <w:p w14:paraId="0E8F2FBD">
      <w:pPr>
        <w:pStyle w:val="9"/>
        <w:spacing w:before="11"/>
        <w:ind w:left="0"/>
        <w:jc w:val="left"/>
        <w:rPr>
          <w:rFonts w:hint="eastAsia"/>
          <w:sz w:val="30"/>
          <w:szCs w:val="30"/>
        </w:rPr>
      </w:pPr>
    </w:p>
    <w:p w14:paraId="588C2BD9">
      <w:pPr>
        <w:pStyle w:val="9"/>
        <w:spacing w:before="11"/>
        <w:ind w:left="0"/>
        <w:jc w:val="left"/>
        <w:rPr>
          <w:rFonts w:hint="eastAsia"/>
          <w:sz w:val="30"/>
          <w:szCs w:val="30"/>
        </w:rPr>
      </w:pPr>
      <w:r>
        <w:rPr>
          <w:rFonts w:hint="eastAsia"/>
          <w:sz w:val="30"/>
          <w:szCs w:val="30"/>
        </w:rPr>
        <w:t>2.In the Revelation, the seven lamps before God’s throne—also called the seven spirits of God—symbolize the one Holy Spirit.</w:t>
      </w:r>
    </w:p>
    <w:p w14:paraId="404DD058">
      <w:pPr>
        <w:pStyle w:val="9"/>
        <w:spacing w:before="11"/>
        <w:ind w:left="0"/>
        <w:jc w:val="left"/>
        <w:rPr>
          <w:rFonts w:hint="eastAsia"/>
          <w:sz w:val="30"/>
          <w:szCs w:val="30"/>
        </w:rPr>
      </w:pPr>
      <w:r>
        <w:rPr>
          <w:rFonts w:hint="eastAsia"/>
          <w:sz w:val="30"/>
          <w:szCs w:val="30"/>
        </w:rPr>
        <w:t>2.在启示录中，神宝座前的七盏灯——也称为神的七灵——象征着独一的圣灵。</w:t>
      </w:r>
    </w:p>
    <w:p w14:paraId="4E0FA2AE">
      <w:pPr>
        <w:pStyle w:val="9"/>
        <w:spacing w:before="11"/>
        <w:ind w:left="0"/>
        <w:jc w:val="left"/>
        <w:rPr>
          <w:rFonts w:hint="eastAsia"/>
          <w:sz w:val="30"/>
          <w:szCs w:val="30"/>
        </w:rPr>
      </w:pPr>
    </w:p>
    <w:p w14:paraId="68AC3406">
      <w:pPr>
        <w:pStyle w:val="9"/>
        <w:spacing w:before="11"/>
        <w:ind w:left="0"/>
        <w:jc w:val="left"/>
        <w:rPr>
          <w:rFonts w:hint="eastAsia"/>
          <w:sz w:val="30"/>
          <w:szCs w:val="30"/>
        </w:rPr>
      </w:pPr>
      <w:r>
        <w:rPr>
          <w:rFonts w:hint="eastAsia"/>
          <w:sz w:val="30"/>
          <w:szCs w:val="30"/>
        </w:rPr>
        <w:t>Seven is the number of perfection; lamps give light.</w:t>
      </w:r>
    </w:p>
    <w:p w14:paraId="0F92FF73">
      <w:pPr>
        <w:pStyle w:val="9"/>
        <w:spacing w:before="11"/>
        <w:ind w:left="0"/>
        <w:jc w:val="left"/>
        <w:rPr>
          <w:rFonts w:hint="eastAsia"/>
          <w:sz w:val="30"/>
          <w:szCs w:val="30"/>
        </w:rPr>
      </w:pPr>
      <w:r>
        <w:rPr>
          <w:rFonts w:hint="eastAsia"/>
          <w:sz w:val="30"/>
          <w:szCs w:val="30"/>
        </w:rPr>
        <w:t>七是完全的数字；灯发光。</w:t>
      </w:r>
    </w:p>
    <w:p w14:paraId="776E9EB7">
      <w:pPr>
        <w:pStyle w:val="9"/>
        <w:spacing w:before="11"/>
        <w:ind w:left="0"/>
        <w:jc w:val="left"/>
        <w:rPr>
          <w:rFonts w:hint="eastAsia"/>
          <w:sz w:val="30"/>
          <w:szCs w:val="30"/>
        </w:rPr>
      </w:pPr>
    </w:p>
    <w:p w14:paraId="1787EAA8">
      <w:pPr>
        <w:pStyle w:val="9"/>
        <w:spacing w:before="11"/>
        <w:ind w:left="0"/>
        <w:jc w:val="left"/>
        <w:rPr>
          <w:rFonts w:hint="eastAsia"/>
          <w:sz w:val="30"/>
          <w:szCs w:val="30"/>
        </w:rPr>
      </w:pPr>
      <w:r>
        <w:rPr>
          <w:rFonts w:hint="eastAsia"/>
          <w:sz w:val="30"/>
          <w:szCs w:val="30"/>
        </w:rPr>
        <w:t>The symbols appear to mean that the one Spirit of Truth has received from the Father and the Son a perfect, many-faceted ministry to the saints, by which he will guide them into all truth, bringing them to Christ, keeping them in Christ, and conforming them to Christ (Rev. 1:4, 3:1, 4:5, 5:6; John 16:13, Acts 2:33, Rom. 8:29, 1 Thessalonians 5:23).</w:t>
      </w:r>
    </w:p>
    <w:p w14:paraId="1023016B">
      <w:pPr>
        <w:pStyle w:val="9"/>
        <w:spacing w:before="11"/>
        <w:ind w:left="0"/>
        <w:jc w:val="left"/>
        <w:rPr>
          <w:rFonts w:hint="eastAsia"/>
          <w:sz w:val="30"/>
          <w:szCs w:val="30"/>
        </w:rPr>
      </w:pPr>
      <w:r>
        <w:rPr>
          <w:rFonts w:hint="eastAsia"/>
          <w:sz w:val="30"/>
          <w:szCs w:val="30"/>
        </w:rPr>
        <w:t>这些象征似乎意味着，独一的真理之灵已从父和子那里领受了一个对圣徒的、完美的、多方面的事工，藉此祂将引导他们进入一切的真理，将他们带到基督面前，保守他们在基督里，并使他们模成基督的形象（启1:4, 3:1, 4:5, 5:6；约16:13，徒2:33，罗8:29，帖前5:23）。</w:t>
      </w:r>
    </w:p>
    <w:p w14:paraId="09558A94">
      <w:pPr>
        <w:pStyle w:val="9"/>
        <w:spacing w:before="11"/>
        <w:ind w:left="0"/>
        <w:jc w:val="left"/>
        <w:rPr>
          <w:rFonts w:hint="eastAsia"/>
          <w:sz w:val="30"/>
          <w:szCs w:val="30"/>
        </w:rPr>
      </w:pPr>
    </w:p>
    <w:p w14:paraId="1CEC34D9">
      <w:pPr>
        <w:pStyle w:val="9"/>
        <w:spacing w:before="11"/>
        <w:ind w:left="0"/>
        <w:jc w:val="left"/>
        <w:rPr>
          <w:rFonts w:hint="eastAsia"/>
          <w:sz w:val="30"/>
          <w:szCs w:val="30"/>
        </w:rPr>
      </w:pPr>
      <w:r>
        <w:rPr>
          <w:rFonts w:hint="eastAsia"/>
          <w:sz w:val="30"/>
          <w:szCs w:val="30"/>
        </w:rPr>
        <w:t>3.Reformation Study Bible, p. 1862.</w:t>
      </w:r>
    </w:p>
    <w:p w14:paraId="72F8237D">
      <w:pPr>
        <w:pStyle w:val="9"/>
        <w:spacing w:before="11"/>
        <w:ind w:left="0"/>
        <w:jc w:val="left"/>
        <w:rPr>
          <w:rFonts w:hint="eastAsia"/>
          <w:sz w:val="30"/>
          <w:szCs w:val="30"/>
        </w:rPr>
      </w:pPr>
      <w:r>
        <w:rPr>
          <w:rFonts w:hint="eastAsia"/>
          <w:sz w:val="30"/>
          <w:szCs w:val="30"/>
        </w:rPr>
        <w:t>3.《改革宗研读本圣经》，第1862页。</w:t>
      </w:r>
    </w:p>
    <w:p w14:paraId="4DCE533E">
      <w:pPr>
        <w:pStyle w:val="9"/>
        <w:spacing w:before="11"/>
        <w:ind w:left="0"/>
        <w:jc w:val="left"/>
        <w:rPr>
          <w:rFonts w:hint="eastAsia"/>
          <w:sz w:val="30"/>
          <w:szCs w:val="30"/>
        </w:rPr>
      </w:pPr>
    </w:p>
    <w:p w14:paraId="2D75BF20">
      <w:pPr>
        <w:pStyle w:val="9"/>
        <w:spacing w:before="11"/>
        <w:ind w:left="0"/>
        <w:jc w:val="left"/>
        <w:rPr>
          <w:rFonts w:hint="eastAsia"/>
          <w:sz w:val="30"/>
          <w:szCs w:val="30"/>
        </w:rPr>
      </w:pPr>
      <w:r>
        <w:rPr>
          <w:rFonts w:hint="eastAsia"/>
          <w:sz w:val="30"/>
          <w:szCs w:val="30"/>
        </w:rPr>
        <w:t>Chapter 20: The Revelation: Structure and Key Symbols</w:t>
      </w:r>
    </w:p>
    <w:p w14:paraId="71CD8664">
      <w:pPr>
        <w:pStyle w:val="9"/>
        <w:spacing w:before="11"/>
        <w:ind w:left="0"/>
        <w:jc w:val="left"/>
        <w:rPr>
          <w:rFonts w:hint="eastAsia"/>
          <w:sz w:val="30"/>
          <w:szCs w:val="30"/>
        </w:rPr>
      </w:pPr>
      <w:r>
        <w:rPr>
          <w:rFonts w:hint="eastAsia"/>
          <w:sz w:val="30"/>
          <w:szCs w:val="30"/>
        </w:rPr>
        <w:t>第20章：启示录：结构与关键象征</w:t>
      </w:r>
    </w:p>
    <w:p w14:paraId="5E67E3BE">
      <w:pPr>
        <w:pStyle w:val="9"/>
        <w:spacing w:before="11"/>
        <w:ind w:left="0"/>
        <w:jc w:val="left"/>
        <w:rPr>
          <w:rFonts w:hint="eastAsia"/>
          <w:sz w:val="30"/>
          <w:szCs w:val="30"/>
        </w:rPr>
      </w:pPr>
    </w:p>
    <w:p w14:paraId="13AB9EF3">
      <w:pPr>
        <w:pStyle w:val="9"/>
        <w:spacing w:before="11"/>
        <w:ind w:left="0"/>
        <w:jc w:val="left"/>
        <w:rPr>
          <w:rFonts w:hint="eastAsia"/>
          <w:sz w:val="30"/>
          <w:szCs w:val="30"/>
        </w:rPr>
      </w:pPr>
      <w:r>
        <w:rPr>
          <w:rFonts w:hint="eastAsia"/>
          <w:sz w:val="30"/>
          <w:szCs w:val="30"/>
        </w:rPr>
        <w:t>1.More Than Conquerors, p. 43.</w:t>
      </w:r>
    </w:p>
    <w:p w14:paraId="02B91878">
      <w:pPr>
        <w:pStyle w:val="9"/>
        <w:spacing w:before="11"/>
        <w:ind w:left="0"/>
        <w:jc w:val="left"/>
        <w:rPr>
          <w:rFonts w:hint="eastAsia"/>
          <w:sz w:val="30"/>
          <w:szCs w:val="30"/>
        </w:rPr>
      </w:pPr>
      <w:r>
        <w:rPr>
          <w:rFonts w:hint="eastAsia"/>
          <w:sz w:val="30"/>
          <w:szCs w:val="30"/>
        </w:rPr>
        <w:t>1.《得胜有余》，第43页。</w:t>
      </w:r>
    </w:p>
    <w:p w14:paraId="060ABFF3">
      <w:pPr>
        <w:pStyle w:val="9"/>
        <w:spacing w:before="11"/>
        <w:ind w:left="0"/>
        <w:jc w:val="left"/>
        <w:rPr>
          <w:rFonts w:hint="eastAsia"/>
          <w:sz w:val="30"/>
          <w:szCs w:val="30"/>
        </w:rPr>
      </w:pPr>
    </w:p>
    <w:p w14:paraId="554A4B33">
      <w:pPr>
        <w:pStyle w:val="9"/>
        <w:spacing w:before="11"/>
        <w:ind w:left="0"/>
        <w:jc w:val="left"/>
        <w:rPr>
          <w:rFonts w:hint="eastAsia"/>
          <w:sz w:val="30"/>
          <w:szCs w:val="30"/>
        </w:rPr>
      </w:pPr>
      <w:r>
        <w:rPr>
          <w:rFonts w:hint="eastAsia"/>
          <w:sz w:val="30"/>
          <w:szCs w:val="30"/>
        </w:rPr>
        <w:t>2.Ibid., pp. 36-37.</w:t>
      </w:r>
    </w:p>
    <w:p w14:paraId="2FCEE3D1">
      <w:pPr>
        <w:pStyle w:val="9"/>
        <w:spacing w:before="11"/>
        <w:ind w:left="0"/>
        <w:jc w:val="left"/>
        <w:rPr>
          <w:rFonts w:hint="eastAsia"/>
          <w:sz w:val="30"/>
          <w:szCs w:val="30"/>
        </w:rPr>
      </w:pPr>
      <w:r>
        <w:rPr>
          <w:rFonts w:hint="eastAsia"/>
          <w:sz w:val="30"/>
          <w:szCs w:val="30"/>
        </w:rPr>
        <w:t>2.同上，第36-37页。</w:t>
      </w:r>
    </w:p>
    <w:p w14:paraId="12385E49">
      <w:pPr>
        <w:pStyle w:val="9"/>
        <w:spacing w:before="11"/>
        <w:ind w:left="0"/>
        <w:jc w:val="left"/>
        <w:rPr>
          <w:rFonts w:hint="eastAsia"/>
          <w:sz w:val="30"/>
          <w:szCs w:val="30"/>
        </w:rPr>
      </w:pPr>
    </w:p>
    <w:p w14:paraId="7ACA8D0C">
      <w:pPr>
        <w:pStyle w:val="9"/>
        <w:spacing w:before="11"/>
        <w:ind w:left="0"/>
        <w:jc w:val="left"/>
        <w:rPr>
          <w:rFonts w:hint="eastAsia"/>
          <w:sz w:val="30"/>
          <w:szCs w:val="30"/>
        </w:rPr>
      </w:pPr>
      <w:r>
        <w:rPr>
          <w:rFonts w:hint="eastAsia"/>
          <w:sz w:val="30"/>
          <w:szCs w:val="30"/>
        </w:rPr>
        <w:t>3.The exalted Christ tells John to write the things he has seen, the things that are, and the things that are to take place after this (1:19).</w:t>
      </w:r>
    </w:p>
    <w:p w14:paraId="3E57619C">
      <w:pPr>
        <w:pStyle w:val="9"/>
        <w:spacing w:before="11"/>
        <w:ind w:left="0"/>
        <w:jc w:val="left"/>
        <w:rPr>
          <w:rFonts w:hint="eastAsia"/>
          <w:sz w:val="30"/>
          <w:szCs w:val="30"/>
        </w:rPr>
      </w:pPr>
      <w:r>
        <w:rPr>
          <w:rFonts w:hint="eastAsia"/>
          <w:sz w:val="30"/>
          <w:szCs w:val="30"/>
        </w:rPr>
        <w:t>3.被高举的基督告诉约翰，要写下他所看见的、现在的事和将来必成的事（1:19）。</w:t>
      </w:r>
    </w:p>
    <w:p w14:paraId="07824426">
      <w:pPr>
        <w:pStyle w:val="9"/>
        <w:spacing w:before="11"/>
        <w:ind w:left="0"/>
        <w:jc w:val="left"/>
        <w:rPr>
          <w:rFonts w:hint="eastAsia"/>
          <w:sz w:val="30"/>
          <w:szCs w:val="30"/>
        </w:rPr>
      </w:pPr>
    </w:p>
    <w:p w14:paraId="02E9A2EC">
      <w:pPr>
        <w:pStyle w:val="9"/>
        <w:spacing w:before="11"/>
        <w:ind w:left="0"/>
        <w:jc w:val="left"/>
        <w:rPr>
          <w:rFonts w:hint="eastAsia"/>
          <w:sz w:val="30"/>
          <w:szCs w:val="30"/>
        </w:rPr>
      </w:pPr>
      <w:r>
        <w:rPr>
          <w:rFonts w:hint="eastAsia"/>
          <w:sz w:val="30"/>
          <w:szCs w:val="30"/>
        </w:rPr>
        <w:t>Effectively, this divides the book into three parts.</w:t>
      </w:r>
    </w:p>
    <w:p w14:paraId="3BCEC571">
      <w:pPr>
        <w:pStyle w:val="9"/>
        <w:spacing w:before="11"/>
        <w:ind w:left="0"/>
        <w:jc w:val="left"/>
        <w:rPr>
          <w:rFonts w:hint="eastAsia"/>
          <w:sz w:val="30"/>
          <w:szCs w:val="30"/>
        </w:rPr>
      </w:pPr>
      <w:r>
        <w:rPr>
          <w:rFonts w:hint="eastAsia"/>
          <w:sz w:val="30"/>
          <w:szCs w:val="30"/>
        </w:rPr>
        <w:t>这实际上将本书分为三个部分。</w:t>
      </w:r>
    </w:p>
    <w:p w14:paraId="6F9C1252">
      <w:pPr>
        <w:pStyle w:val="9"/>
        <w:spacing w:before="11"/>
        <w:ind w:left="0"/>
        <w:jc w:val="left"/>
        <w:rPr>
          <w:rFonts w:hint="eastAsia"/>
          <w:sz w:val="30"/>
          <w:szCs w:val="30"/>
        </w:rPr>
      </w:pPr>
    </w:p>
    <w:p w14:paraId="7148448B">
      <w:pPr>
        <w:pStyle w:val="9"/>
        <w:spacing w:before="11"/>
        <w:ind w:left="0"/>
        <w:jc w:val="left"/>
        <w:rPr>
          <w:rFonts w:hint="eastAsia"/>
          <w:sz w:val="30"/>
          <w:szCs w:val="30"/>
        </w:rPr>
      </w:pPr>
      <w:r>
        <w:rPr>
          <w:rFonts w:hint="eastAsia"/>
          <w:sz w:val="30"/>
          <w:szCs w:val="30"/>
        </w:rPr>
        <w:t>The things that John has seen (up to that point) are the contents of the vision of 1:9-20.</w:t>
      </w:r>
    </w:p>
    <w:p w14:paraId="1F29EFDF">
      <w:pPr>
        <w:pStyle w:val="9"/>
        <w:spacing w:before="11"/>
        <w:ind w:left="0"/>
        <w:jc w:val="left"/>
        <w:rPr>
          <w:rFonts w:hint="eastAsia"/>
          <w:sz w:val="30"/>
          <w:szCs w:val="30"/>
        </w:rPr>
      </w:pPr>
      <w:r>
        <w:rPr>
          <w:rFonts w:hint="eastAsia"/>
          <w:sz w:val="30"/>
          <w:szCs w:val="30"/>
        </w:rPr>
        <w:t>约翰所看见的事（到那时为止）是1:9-20异象的内容。</w:t>
      </w:r>
    </w:p>
    <w:p w14:paraId="742C962A">
      <w:pPr>
        <w:pStyle w:val="9"/>
        <w:spacing w:before="11"/>
        <w:ind w:left="0"/>
        <w:jc w:val="left"/>
        <w:rPr>
          <w:rFonts w:hint="eastAsia"/>
          <w:sz w:val="30"/>
          <w:szCs w:val="30"/>
        </w:rPr>
      </w:pPr>
    </w:p>
    <w:p w14:paraId="4384A315">
      <w:pPr>
        <w:pStyle w:val="9"/>
        <w:spacing w:before="11"/>
        <w:ind w:left="0"/>
        <w:jc w:val="left"/>
        <w:rPr>
          <w:rFonts w:hint="eastAsia"/>
          <w:sz w:val="30"/>
          <w:szCs w:val="30"/>
        </w:rPr>
      </w:pPr>
      <w:r>
        <w:rPr>
          <w:rFonts w:hint="eastAsia"/>
          <w:sz w:val="30"/>
          <w:szCs w:val="30"/>
        </w:rPr>
        <w:t>The things that “are” are the things pertaining to the seven churches of Asia (2:1-3:22).</w:t>
      </w:r>
    </w:p>
    <w:p w14:paraId="154B3731">
      <w:pPr>
        <w:pStyle w:val="9"/>
        <w:spacing w:before="11"/>
        <w:ind w:left="0"/>
        <w:jc w:val="left"/>
        <w:rPr>
          <w:rFonts w:hint="eastAsia"/>
          <w:sz w:val="30"/>
          <w:szCs w:val="30"/>
        </w:rPr>
      </w:pPr>
      <w:r>
        <w:rPr>
          <w:rFonts w:hint="eastAsia"/>
          <w:sz w:val="30"/>
          <w:szCs w:val="30"/>
        </w:rPr>
        <w:t>“现在的事”是关乎亚细亚七个教会的事（2:1-3:22）。</w:t>
      </w:r>
    </w:p>
    <w:p w14:paraId="0139E7FE">
      <w:pPr>
        <w:pStyle w:val="9"/>
        <w:spacing w:before="11"/>
        <w:ind w:left="0"/>
        <w:jc w:val="left"/>
        <w:rPr>
          <w:rFonts w:hint="eastAsia"/>
          <w:sz w:val="30"/>
          <w:szCs w:val="30"/>
        </w:rPr>
      </w:pPr>
    </w:p>
    <w:p w14:paraId="488586E7">
      <w:pPr>
        <w:pStyle w:val="9"/>
        <w:spacing w:before="11"/>
        <w:ind w:left="0"/>
        <w:jc w:val="left"/>
        <w:rPr>
          <w:rFonts w:hint="eastAsia"/>
          <w:sz w:val="30"/>
          <w:szCs w:val="30"/>
        </w:rPr>
      </w:pPr>
      <w:r>
        <w:rPr>
          <w:rFonts w:hint="eastAsia"/>
          <w:sz w:val="30"/>
          <w:szCs w:val="30"/>
        </w:rPr>
        <w:t>The things yet to take place are all that lies in store for the Universal Church (4:1-22:21).</w:t>
      </w:r>
    </w:p>
    <w:p w14:paraId="793AB741">
      <w:pPr>
        <w:pStyle w:val="9"/>
        <w:spacing w:before="11"/>
        <w:ind w:left="0"/>
        <w:jc w:val="left"/>
        <w:rPr>
          <w:rFonts w:hint="eastAsia"/>
          <w:sz w:val="30"/>
          <w:szCs w:val="30"/>
        </w:rPr>
      </w:pPr>
      <w:r>
        <w:rPr>
          <w:rFonts w:hint="eastAsia"/>
          <w:sz w:val="30"/>
          <w:szCs w:val="30"/>
        </w:rPr>
        <w:t>将来必成的事是为普世教会所预备的一切（4:1-22:21）。</w:t>
      </w:r>
    </w:p>
    <w:p w14:paraId="12CDCA10">
      <w:pPr>
        <w:pStyle w:val="9"/>
        <w:spacing w:before="11"/>
        <w:ind w:left="0"/>
        <w:jc w:val="left"/>
        <w:rPr>
          <w:rFonts w:hint="eastAsia"/>
          <w:sz w:val="30"/>
          <w:szCs w:val="30"/>
        </w:rPr>
      </w:pPr>
    </w:p>
    <w:p w14:paraId="0D11262C">
      <w:pPr>
        <w:pStyle w:val="9"/>
        <w:spacing w:before="11"/>
        <w:ind w:left="0"/>
        <w:jc w:val="left"/>
        <w:rPr>
          <w:rFonts w:hint="eastAsia"/>
          <w:sz w:val="30"/>
          <w:szCs w:val="30"/>
        </w:rPr>
      </w:pPr>
      <w:r>
        <w:rPr>
          <w:rFonts w:hint="eastAsia"/>
          <w:sz w:val="30"/>
          <w:szCs w:val="30"/>
        </w:rPr>
        <w:t>4.“Historically, a white stone was given to victors at games; such a stone was also used by jurors at trials to vote for acquittal.”</w:t>
      </w:r>
    </w:p>
    <w:p w14:paraId="11FE41F9">
      <w:pPr>
        <w:pStyle w:val="9"/>
        <w:spacing w:before="11"/>
        <w:ind w:left="0"/>
        <w:jc w:val="left"/>
        <w:rPr>
          <w:rFonts w:hint="eastAsia"/>
          <w:sz w:val="30"/>
          <w:szCs w:val="30"/>
        </w:rPr>
      </w:pPr>
      <w:r>
        <w:rPr>
          <w:rFonts w:hint="eastAsia"/>
          <w:sz w:val="30"/>
          <w:szCs w:val="30"/>
        </w:rPr>
        <w:t>4.“历史上，白石是发给比赛胜利者的；这种石头也曾被陪审员在审判中用来投票宣告无罪。”</w:t>
      </w:r>
    </w:p>
    <w:p w14:paraId="3DA7A3E1">
      <w:pPr>
        <w:pStyle w:val="9"/>
        <w:spacing w:before="11"/>
        <w:ind w:left="0"/>
        <w:jc w:val="left"/>
        <w:rPr>
          <w:rFonts w:hint="eastAsia"/>
          <w:sz w:val="30"/>
          <w:szCs w:val="30"/>
        </w:rPr>
      </w:pPr>
    </w:p>
    <w:p w14:paraId="32A277BB">
      <w:pPr>
        <w:pStyle w:val="9"/>
        <w:spacing w:before="11"/>
        <w:ind w:left="0"/>
        <w:jc w:val="left"/>
        <w:rPr>
          <w:rFonts w:hint="eastAsia"/>
          <w:sz w:val="30"/>
          <w:szCs w:val="30"/>
        </w:rPr>
      </w:pPr>
      <w:r>
        <w:rPr>
          <w:rFonts w:hint="eastAsia"/>
          <w:sz w:val="30"/>
          <w:szCs w:val="30"/>
        </w:rPr>
        <w:t>The ESV Study Bible, (Crossway, 2008), p. 2466.</w:t>
      </w:r>
    </w:p>
    <w:p w14:paraId="199BCB4E">
      <w:pPr>
        <w:pStyle w:val="9"/>
        <w:spacing w:before="11"/>
        <w:ind w:left="0"/>
        <w:jc w:val="left"/>
        <w:rPr>
          <w:rFonts w:hint="eastAsia"/>
          <w:sz w:val="30"/>
          <w:szCs w:val="30"/>
        </w:rPr>
      </w:pPr>
      <w:r>
        <w:rPr>
          <w:rFonts w:hint="eastAsia"/>
          <w:sz w:val="30"/>
          <w:szCs w:val="30"/>
        </w:rPr>
        <w:t>《ESV研读本圣经》（Crossway, 2008），第2466页。</w:t>
      </w:r>
    </w:p>
    <w:p w14:paraId="16AA7167">
      <w:pPr>
        <w:pStyle w:val="9"/>
        <w:spacing w:before="11"/>
        <w:ind w:left="0"/>
        <w:jc w:val="left"/>
        <w:rPr>
          <w:rFonts w:hint="eastAsia"/>
          <w:sz w:val="30"/>
          <w:szCs w:val="30"/>
        </w:rPr>
      </w:pPr>
    </w:p>
    <w:p w14:paraId="6C102AD8">
      <w:pPr>
        <w:pStyle w:val="9"/>
        <w:spacing w:before="11"/>
        <w:ind w:left="0"/>
        <w:jc w:val="left"/>
        <w:rPr>
          <w:rFonts w:hint="eastAsia"/>
          <w:sz w:val="30"/>
          <w:szCs w:val="30"/>
        </w:rPr>
      </w:pPr>
      <w:r>
        <w:rPr>
          <w:rFonts w:hint="eastAsia"/>
          <w:sz w:val="30"/>
          <w:szCs w:val="30"/>
        </w:rPr>
        <w:t>5. In Revelation 3:10 Christ promises that he will keep the faithful Philadelphians from “the hour of testing that is about to come upon the whole earth.”</w:t>
      </w:r>
    </w:p>
    <w:p w14:paraId="1B3A1B72">
      <w:pPr>
        <w:pStyle w:val="9"/>
        <w:spacing w:before="11"/>
        <w:ind w:left="0"/>
        <w:jc w:val="left"/>
        <w:rPr>
          <w:rFonts w:hint="eastAsia"/>
          <w:sz w:val="30"/>
          <w:szCs w:val="30"/>
        </w:rPr>
      </w:pPr>
      <w:r>
        <w:rPr>
          <w:rFonts w:hint="eastAsia"/>
          <w:sz w:val="30"/>
          <w:szCs w:val="30"/>
        </w:rPr>
        <w:t>5. 在启示录3:10中，基督应许祂将保守忠心的非拉铁非人免于“那将要临到全世界的试炼的时候”。</w:t>
      </w:r>
    </w:p>
    <w:p w14:paraId="69A2388C">
      <w:pPr>
        <w:pStyle w:val="9"/>
        <w:spacing w:before="11"/>
        <w:ind w:left="0"/>
        <w:jc w:val="left"/>
        <w:rPr>
          <w:rFonts w:hint="eastAsia"/>
          <w:sz w:val="30"/>
          <w:szCs w:val="30"/>
        </w:rPr>
      </w:pPr>
    </w:p>
    <w:p w14:paraId="36B8E5C8">
      <w:pPr>
        <w:pStyle w:val="9"/>
        <w:spacing w:before="11"/>
        <w:ind w:left="0"/>
        <w:jc w:val="left"/>
        <w:rPr>
          <w:rFonts w:hint="eastAsia"/>
          <w:sz w:val="30"/>
          <w:szCs w:val="30"/>
        </w:rPr>
      </w:pPr>
      <w:r>
        <w:rPr>
          <w:rFonts w:hint="eastAsia"/>
          <w:sz w:val="30"/>
          <w:szCs w:val="30"/>
        </w:rPr>
        <w:t>For dispensationalists, the hour of testing is the seven year Tribulation at the end of the Church age, from which Christ will keep his people by removing them from the earth at the Rapture (MSB, p. 2707).</w:t>
      </w:r>
    </w:p>
    <w:p w14:paraId="547242A3">
      <w:pPr>
        <w:pStyle w:val="9"/>
        <w:spacing w:before="11"/>
        <w:ind w:left="0"/>
        <w:jc w:val="left"/>
        <w:rPr>
          <w:rFonts w:hint="eastAsia"/>
          <w:sz w:val="30"/>
          <w:szCs w:val="30"/>
        </w:rPr>
      </w:pPr>
      <w:r>
        <w:rPr>
          <w:rFonts w:hint="eastAsia"/>
          <w:sz w:val="30"/>
          <w:szCs w:val="30"/>
        </w:rPr>
        <w:t>对时代论者来说，试炼的时候是教会时代末了的七年大灾难，基督将通过在被提时将祂的子民从地上挪去来保守他们（MSB，第2707页）。</w:t>
      </w:r>
    </w:p>
    <w:p w14:paraId="6E269867">
      <w:pPr>
        <w:pStyle w:val="9"/>
        <w:spacing w:before="11"/>
        <w:ind w:left="0"/>
        <w:jc w:val="left"/>
        <w:rPr>
          <w:rFonts w:hint="eastAsia"/>
          <w:sz w:val="30"/>
          <w:szCs w:val="30"/>
        </w:rPr>
      </w:pPr>
    </w:p>
    <w:p w14:paraId="36F1E202">
      <w:pPr>
        <w:pStyle w:val="9"/>
        <w:spacing w:before="11"/>
        <w:ind w:left="0"/>
        <w:jc w:val="left"/>
        <w:rPr>
          <w:rFonts w:hint="eastAsia"/>
          <w:sz w:val="30"/>
          <w:szCs w:val="30"/>
        </w:rPr>
      </w:pPr>
      <w:r>
        <w:rPr>
          <w:rFonts w:hint="eastAsia"/>
          <w:sz w:val="30"/>
          <w:szCs w:val="30"/>
        </w:rPr>
        <w:t>But for many reasons, this view is impossible.</w:t>
      </w:r>
    </w:p>
    <w:p w14:paraId="1BB9C993">
      <w:pPr>
        <w:pStyle w:val="9"/>
        <w:spacing w:before="11"/>
        <w:ind w:left="0"/>
        <w:jc w:val="left"/>
        <w:rPr>
          <w:rFonts w:hint="eastAsia"/>
          <w:sz w:val="30"/>
          <w:szCs w:val="30"/>
        </w:rPr>
      </w:pPr>
      <w:r>
        <w:rPr>
          <w:rFonts w:hint="eastAsia"/>
          <w:sz w:val="30"/>
          <w:szCs w:val="30"/>
        </w:rPr>
        <w:t>但基于许多原因，这种观点是不可能的。</w:t>
      </w:r>
    </w:p>
    <w:p w14:paraId="217715EA">
      <w:pPr>
        <w:pStyle w:val="9"/>
        <w:spacing w:before="11"/>
        <w:ind w:left="0"/>
        <w:jc w:val="left"/>
        <w:rPr>
          <w:rFonts w:hint="eastAsia"/>
          <w:sz w:val="30"/>
          <w:szCs w:val="30"/>
        </w:rPr>
      </w:pPr>
    </w:p>
    <w:p w14:paraId="21F80B8F">
      <w:pPr>
        <w:pStyle w:val="9"/>
        <w:spacing w:before="11"/>
        <w:ind w:left="0"/>
        <w:jc w:val="left"/>
        <w:rPr>
          <w:rFonts w:hint="eastAsia"/>
          <w:sz w:val="30"/>
          <w:szCs w:val="30"/>
        </w:rPr>
      </w:pPr>
      <w:r>
        <w:rPr>
          <w:rFonts w:hint="eastAsia"/>
          <w:sz w:val="30"/>
          <w:szCs w:val="30"/>
        </w:rPr>
        <w:t>First, the NT does not teach a pre-tribulation Rapture (see chapter 23).</w:t>
      </w:r>
    </w:p>
    <w:p w14:paraId="4B26E78B">
      <w:pPr>
        <w:pStyle w:val="9"/>
        <w:spacing w:before="11"/>
        <w:ind w:left="0"/>
        <w:jc w:val="left"/>
        <w:rPr>
          <w:rFonts w:hint="eastAsia"/>
          <w:sz w:val="30"/>
          <w:szCs w:val="30"/>
        </w:rPr>
      </w:pPr>
      <w:r>
        <w:rPr>
          <w:rFonts w:hint="eastAsia"/>
          <w:sz w:val="30"/>
          <w:szCs w:val="30"/>
        </w:rPr>
        <w:t>首先，新约没有教导灾前被提（见第23章）。</w:t>
      </w:r>
    </w:p>
    <w:p w14:paraId="672B14B4">
      <w:pPr>
        <w:pStyle w:val="9"/>
        <w:spacing w:before="11"/>
        <w:ind w:left="0"/>
        <w:jc w:val="left"/>
        <w:rPr>
          <w:rFonts w:hint="eastAsia"/>
          <w:sz w:val="30"/>
          <w:szCs w:val="30"/>
        </w:rPr>
      </w:pPr>
    </w:p>
    <w:p w14:paraId="70E2008C">
      <w:pPr>
        <w:pStyle w:val="9"/>
        <w:spacing w:before="11"/>
        <w:ind w:left="0"/>
        <w:jc w:val="left"/>
        <w:rPr>
          <w:rFonts w:hint="eastAsia"/>
          <w:sz w:val="30"/>
          <w:szCs w:val="30"/>
        </w:rPr>
      </w:pPr>
      <w:r>
        <w:rPr>
          <w:rFonts w:hint="eastAsia"/>
          <w:sz w:val="30"/>
          <w:szCs w:val="30"/>
        </w:rPr>
        <w:t>Secondly, if it is taught in the Revelation, it is only taught here.</w:t>
      </w:r>
    </w:p>
    <w:p w14:paraId="037BDEFB">
      <w:pPr>
        <w:pStyle w:val="9"/>
        <w:spacing w:before="11"/>
        <w:ind w:left="0"/>
        <w:jc w:val="left"/>
        <w:rPr>
          <w:rFonts w:hint="eastAsia"/>
          <w:sz w:val="30"/>
          <w:szCs w:val="30"/>
        </w:rPr>
      </w:pPr>
      <w:r>
        <w:rPr>
          <w:rFonts w:hint="eastAsia"/>
          <w:sz w:val="30"/>
          <w:szCs w:val="30"/>
        </w:rPr>
        <w:t>其次，如果在启示录中有教导，也只在这里教导。</w:t>
      </w:r>
    </w:p>
    <w:p w14:paraId="5B642DD8">
      <w:pPr>
        <w:pStyle w:val="9"/>
        <w:spacing w:before="11"/>
        <w:ind w:left="0"/>
        <w:jc w:val="left"/>
        <w:rPr>
          <w:rFonts w:hint="eastAsia"/>
          <w:sz w:val="30"/>
          <w:szCs w:val="30"/>
        </w:rPr>
      </w:pPr>
    </w:p>
    <w:p w14:paraId="55D7DDC9">
      <w:pPr>
        <w:pStyle w:val="9"/>
        <w:spacing w:before="11"/>
        <w:ind w:left="0"/>
        <w:jc w:val="left"/>
        <w:rPr>
          <w:rFonts w:hint="eastAsia"/>
          <w:sz w:val="30"/>
          <w:szCs w:val="30"/>
        </w:rPr>
      </w:pPr>
      <w:r>
        <w:rPr>
          <w:rFonts w:hint="eastAsia"/>
          <w:sz w:val="30"/>
          <w:szCs w:val="30"/>
        </w:rPr>
        <w:t>Thirdly, it is not taught here, since there is no mention whatsoever of Christ removing his Church or the Philadelphians from the earth.</w:t>
      </w:r>
    </w:p>
    <w:p w14:paraId="0153D2A0">
      <w:pPr>
        <w:pStyle w:val="9"/>
        <w:spacing w:before="11"/>
        <w:ind w:left="0"/>
        <w:jc w:val="left"/>
        <w:rPr>
          <w:rFonts w:hint="eastAsia"/>
          <w:sz w:val="30"/>
          <w:szCs w:val="30"/>
        </w:rPr>
      </w:pPr>
      <w:r>
        <w:rPr>
          <w:rFonts w:hint="eastAsia"/>
          <w:sz w:val="30"/>
          <w:szCs w:val="30"/>
        </w:rPr>
        <w:t>第三，这里没有教导，因为完全没有提到基督将祂的教会或非拉铁非人从地上挪去。</w:t>
      </w:r>
    </w:p>
    <w:p w14:paraId="14C17A37">
      <w:pPr>
        <w:pStyle w:val="9"/>
        <w:spacing w:before="11"/>
        <w:ind w:left="0"/>
        <w:jc w:val="left"/>
        <w:rPr>
          <w:rFonts w:hint="eastAsia"/>
          <w:sz w:val="30"/>
          <w:szCs w:val="30"/>
        </w:rPr>
      </w:pPr>
    </w:p>
    <w:p w14:paraId="5FA866F7">
      <w:pPr>
        <w:pStyle w:val="9"/>
        <w:spacing w:before="11"/>
        <w:ind w:left="0"/>
        <w:jc w:val="left"/>
        <w:rPr>
          <w:rFonts w:hint="eastAsia"/>
          <w:sz w:val="30"/>
          <w:szCs w:val="30"/>
        </w:rPr>
      </w:pPr>
      <w:r>
        <w:rPr>
          <w:rFonts w:hint="eastAsia"/>
          <w:sz w:val="30"/>
          <w:szCs w:val="30"/>
        </w:rPr>
        <w:t>Finally, the dispensational view is not even compatible with this verse, since it is nearly meaningless to have Christ saying that he will keep the Philadelphians from a future seven- year Tribulation by having them die (in the faith) some 1900 years before it occurs!</w:t>
      </w:r>
    </w:p>
    <w:p w14:paraId="0240E210">
      <w:pPr>
        <w:pStyle w:val="9"/>
        <w:spacing w:before="11"/>
        <w:ind w:left="0"/>
        <w:jc w:val="left"/>
        <w:rPr>
          <w:rFonts w:hint="eastAsia"/>
          <w:sz w:val="30"/>
          <w:szCs w:val="30"/>
        </w:rPr>
      </w:pPr>
      <w:r>
        <w:rPr>
          <w:rFonts w:hint="eastAsia"/>
          <w:sz w:val="30"/>
          <w:szCs w:val="30"/>
        </w:rPr>
        <w:t>最后，时代论的观点甚至与这节经文不相容，因为让基督说祂将通过让非拉铁非人在未来的七年灾难发生前约1900年（在信心中）死去来保守他们，这几乎是毫无意义的！</w:t>
      </w:r>
    </w:p>
    <w:p w14:paraId="5C08A95F">
      <w:pPr>
        <w:pStyle w:val="9"/>
        <w:spacing w:before="11"/>
        <w:ind w:left="0"/>
        <w:jc w:val="left"/>
        <w:rPr>
          <w:rFonts w:hint="eastAsia"/>
          <w:sz w:val="30"/>
          <w:szCs w:val="30"/>
        </w:rPr>
      </w:pPr>
    </w:p>
    <w:p w14:paraId="4E903BC1">
      <w:pPr>
        <w:pStyle w:val="9"/>
        <w:spacing w:before="11"/>
        <w:ind w:left="0"/>
        <w:jc w:val="left"/>
        <w:rPr>
          <w:rFonts w:hint="eastAsia"/>
          <w:sz w:val="30"/>
          <w:szCs w:val="30"/>
        </w:rPr>
      </w:pPr>
      <w:r>
        <w:rPr>
          <w:rFonts w:hint="eastAsia"/>
          <w:sz w:val="30"/>
          <w:szCs w:val="30"/>
        </w:rPr>
        <w:t>What then is the true meaning of the promise found in 3:10?</w:t>
      </w:r>
    </w:p>
    <w:p w14:paraId="2B425CB7">
      <w:pPr>
        <w:pStyle w:val="9"/>
        <w:spacing w:before="11"/>
        <w:ind w:left="0"/>
        <w:jc w:val="left"/>
        <w:rPr>
          <w:rFonts w:hint="eastAsia"/>
          <w:sz w:val="30"/>
          <w:szCs w:val="30"/>
        </w:rPr>
      </w:pPr>
      <w:r>
        <w:rPr>
          <w:rFonts w:hint="eastAsia"/>
          <w:sz w:val="30"/>
          <w:szCs w:val="30"/>
        </w:rPr>
        <w:t>那么，在3:10中找到的应许的真正含义是什么呢？</w:t>
      </w:r>
    </w:p>
    <w:p w14:paraId="2C68FC7A">
      <w:pPr>
        <w:pStyle w:val="9"/>
        <w:spacing w:before="11"/>
        <w:ind w:left="0"/>
        <w:jc w:val="left"/>
        <w:rPr>
          <w:rFonts w:hint="eastAsia"/>
          <w:sz w:val="30"/>
          <w:szCs w:val="30"/>
        </w:rPr>
      </w:pPr>
    </w:p>
    <w:p w14:paraId="258A8BAA">
      <w:pPr>
        <w:pStyle w:val="9"/>
        <w:spacing w:before="11"/>
        <w:ind w:left="0"/>
        <w:jc w:val="left"/>
        <w:rPr>
          <w:rFonts w:hint="eastAsia"/>
          <w:sz w:val="30"/>
          <w:szCs w:val="30"/>
        </w:rPr>
      </w:pPr>
      <w:r>
        <w:rPr>
          <w:rFonts w:hint="eastAsia"/>
          <w:sz w:val="30"/>
          <w:szCs w:val="30"/>
        </w:rPr>
        <w:t>I see two possibilities.</w:t>
      </w:r>
    </w:p>
    <w:p w14:paraId="2D0B4763">
      <w:pPr>
        <w:pStyle w:val="9"/>
        <w:spacing w:before="11"/>
        <w:ind w:left="0"/>
        <w:jc w:val="left"/>
        <w:rPr>
          <w:rFonts w:hint="eastAsia"/>
          <w:sz w:val="30"/>
          <w:szCs w:val="30"/>
        </w:rPr>
      </w:pPr>
      <w:r>
        <w:rPr>
          <w:rFonts w:hint="eastAsia"/>
          <w:sz w:val="30"/>
          <w:szCs w:val="30"/>
        </w:rPr>
        <w:t>我看到两种可能性。</w:t>
      </w:r>
    </w:p>
    <w:p w14:paraId="2B351E71">
      <w:pPr>
        <w:pStyle w:val="9"/>
        <w:spacing w:before="11"/>
        <w:ind w:left="0"/>
        <w:jc w:val="left"/>
        <w:rPr>
          <w:rFonts w:hint="eastAsia"/>
          <w:sz w:val="30"/>
          <w:szCs w:val="30"/>
        </w:rPr>
      </w:pPr>
    </w:p>
    <w:p w14:paraId="011AA3DD">
      <w:pPr>
        <w:pStyle w:val="9"/>
        <w:spacing w:before="11"/>
        <w:ind w:left="0"/>
        <w:jc w:val="left"/>
        <w:rPr>
          <w:rFonts w:hint="eastAsia"/>
          <w:sz w:val="30"/>
          <w:szCs w:val="30"/>
        </w:rPr>
      </w:pPr>
      <w:r>
        <w:rPr>
          <w:rFonts w:hint="eastAsia"/>
          <w:sz w:val="30"/>
          <w:szCs w:val="30"/>
        </w:rPr>
        <w:t>First, it may mean that Christ will safely preserve his faithful people whenever and wherever the Beast, the False Prophet, and the Harlot arise to test the spiritual loyalty and integrity of the “inhabitants of the earth,” a test that the latter group will fail (John 17:15, Rev. 13:8, 17:8).</w:t>
      </w:r>
    </w:p>
    <w:p w14:paraId="05BF88D2">
      <w:pPr>
        <w:pStyle w:val="9"/>
        <w:spacing w:before="11"/>
        <w:ind w:left="0"/>
        <w:jc w:val="left"/>
        <w:rPr>
          <w:rFonts w:hint="eastAsia"/>
          <w:sz w:val="30"/>
          <w:szCs w:val="30"/>
        </w:rPr>
      </w:pPr>
      <w:r>
        <w:rPr>
          <w:rFonts w:hint="eastAsia"/>
          <w:sz w:val="30"/>
          <w:szCs w:val="30"/>
        </w:rPr>
        <w:t>首先，这可能意味着，无论何时何地，当兽、假先知和淫妇兴起，要试验“地上居民”的属灵忠诚和正直时，基督都将安全地保守祂忠信的子民，而后者将无法通过这个试验（约17:15，启13:8，17:8）。</w:t>
      </w:r>
    </w:p>
    <w:p w14:paraId="5A0FF872">
      <w:pPr>
        <w:pStyle w:val="9"/>
        <w:spacing w:before="11"/>
        <w:ind w:left="0"/>
        <w:jc w:val="left"/>
        <w:rPr>
          <w:rFonts w:hint="eastAsia"/>
          <w:sz w:val="30"/>
          <w:szCs w:val="30"/>
        </w:rPr>
      </w:pPr>
    </w:p>
    <w:p w14:paraId="5E01F220">
      <w:pPr>
        <w:pStyle w:val="9"/>
        <w:spacing w:before="11"/>
        <w:ind w:left="0"/>
        <w:jc w:val="left"/>
        <w:rPr>
          <w:rFonts w:hint="eastAsia"/>
          <w:sz w:val="30"/>
          <w:szCs w:val="30"/>
        </w:rPr>
      </w:pPr>
      <w:r>
        <w:rPr>
          <w:rFonts w:hint="eastAsia"/>
          <w:sz w:val="30"/>
          <w:szCs w:val="30"/>
        </w:rPr>
        <w:t>On this view, there is a brief but eternally decisive “hour of testing” for all men of all time; a test that Christ will enable his faithful people to pass (2 Cor. 6:2).</w:t>
      </w:r>
    </w:p>
    <w:p w14:paraId="1EEB7F52">
      <w:pPr>
        <w:pStyle w:val="9"/>
        <w:spacing w:before="11"/>
        <w:ind w:left="0"/>
        <w:jc w:val="left"/>
        <w:rPr>
          <w:rFonts w:hint="eastAsia"/>
          <w:sz w:val="30"/>
          <w:szCs w:val="30"/>
        </w:rPr>
      </w:pPr>
      <w:r>
        <w:rPr>
          <w:rFonts w:hint="eastAsia"/>
          <w:sz w:val="30"/>
          <w:szCs w:val="30"/>
        </w:rPr>
        <w:t>根据这种观点，对所有时代的所有人来说，都有一个短暂但永恒决定性的“试炼的时候”；基督将使祂忠信的子民能够通过这个试验（林后6:2）。</w:t>
      </w:r>
    </w:p>
    <w:p w14:paraId="7A29BFB0">
      <w:pPr>
        <w:pStyle w:val="9"/>
        <w:spacing w:before="11"/>
        <w:ind w:left="0"/>
        <w:jc w:val="left"/>
        <w:rPr>
          <w:rFonts w:hint="eastAsia"/>
          <w:sz w:val="30"/>
          <w:szCs w:val="30"/>
        </w:rPr>
      </w:pPr>
    </w:p>
    <w:p w14:paraId="675225FF">
      <w:pPr>
        <w:pStyle w:val="9"/>
        <w:spacing w:before="11"/>
        <w:ind w:left="0"/>
        <w:jc w:val="left"/>
        <w:rPr>
          <w:rFonts w:hint="eastAsia"/>
          <w:sz w:val="30"/>
          <w:szCs w:val="30"/>
        </w:rPr>
      </w:pPr>
      <w:r>
        <w:rPr>
          <w:rFonts w:hint="eastAsia"/>
          <w:sz w:val="30"/>
          <w:szCs w:val="30"/>
        </w:rPr>
        <w:t>But secondly, it may mean that Christ will safely preserve his faithful saints at the Last Judgment, when he himself tests the spiritual allegiance of “the inhabitants of the earth,” and sends all whose names are not found in the Lamb’s Book of Life to eternal punishment (Rev. 20:12-15).</w:t>
      </w:r>
    </w:p>
    <w:p w14:paraId="621153ED">
      <w:pPr>
        <w:pStyle w:val="9"/>
        <w:spacing w:before="11"/>
        <w:ind w:left="0"/>
        <w:jc w:val="left"/>
        <w:rPr>
          <w:rFonts w:hint="eastAsia"/>
          <w:sz w:val="30"/>
          <w:szCs w:val="30"/>
        </w:rPr>
      </w:pPr>
      <w:r>
        <w:rPr>
          <w:rFonts w:hint="eastAsia"/>
          <w:sz w:val="30"/>
          <w:szCs w:val="30"/>
        </w:rPr>
        <w:t>但其次，这可能意味着基督将在最后的审判中安全地保守祂忠信的圣徒，届时祂自己将试验“地上居民”的属灵忠诚，并将所有名字未记在羔羊生命册上的人送入永远的刑罚（启20:12-15）。</w:t>
      </w:r>
    </w:p>
    <w:p w14:paraId="658DBE05">
      <w:pPr>
        <w:pStyle w:val="9"/>
        <w:spacing w:before="11"/>
        <w:ind w:left="0"/>
        <w:jc w:val="left"/>
        <w:rPr>
          <w:rFonts w:hint="eastAsia"/>
          <w:sz w:val="30"/>
          <w:szCs w:val="30"/>
        </w:rPr>
      </w:pPr>
    </w:p>
    <w:p w14:paraId="7D6E966C">
      <w:pPr>
        <w:pStyle w:val="9"/>
        <w:spacing w:before="11"/>
        <w:ind w:left="0"/>
        <w:jc w:val="left"/>
        <w:rPr>
          <w:rFonts w:hint="eastAsia"/>
          <w:sz w:val="30"/>
          <w:szCs w:val="30"/>
        </w:rPr>
      </w:pPr>
      <w:r>
        <w:rPr>
          <w:rFonts w:hint="eastAsia"/>
          <w:sz w:val="30"/>
          <w:szCs w:val="30"/>
        </w:rPr>
        <w:t>I lean towards this view since the time of testing mentioned here is brief (lasting only an hour) and quite universal (engulfing the whole world and all who dwell upon the earth).</w:t>
      </w:r>
    </w:p>
    <w:p w14:paraId="34716EFC">
      <w:pPr>
        <w:pStyle w:val="9"/>
        <w:spacing w:before="11"/>
        <w:ind w:left="0"/>
        <w:jc w:val="left"/>
        <w:rPr>
          <w:rFonts w:hint="eastAsia"/>
          <w:sz w:val="30"/>
          <w:szCs w:val="30"/>
        </w:rPr>
      </w:pPr>
      <w:r>
        <w:rPr>
          <w:rFonts w:hint="eastAsia"/>
          <w:sz w:val="30"/>
          <w:szCs w:val="30"/>
        </w:rPr>
        <w:t>我倾向于这种观点，因为这里提到的试炼时间是短暂的（只持续一个小时），而且相当普遍（席卷全世界和所有住在地上的人）。</w:t>
      </w:r>
    </w:p>
    <w:p w14:paraId="64E6DF8B">
      <w:pPr>
        <w:pStyle w:val="9"/>
        <w:spacing w:before="11"/>
        <w:ind w:left="0"/>
        <w:jc w:val="left"/>
        <w:rPr>
          <w:rFonts w:hint="eastAsia"/>
          <w:sz w:val="30"/>
          <w:szCs w:val="30"/>
        </w:rPr>
      </w:pPr>
    </w:p>
    <w:p w14:paraId="09BD122D">
      <w:pPr>
        <w:pStyle w:val="9"/>
        <w:spacing w:before="11"/>
        <w:ind w:left="0"/>
        <w:jc w:val="left"/>
        <w:rPr>
          <w:rFonts w:hint="eastAsia"/>
          <w:sz w:val="30"/>
          <w:szCs w:val="30"/>
        </w:rPr>
      </w:pPr>
      <w:r>
        <w:rPr>
          <w:rFonts w:hint="eastAsia"/>
          <w:sz w:val="30"/>
          <w:szCs w:val="30"/>
        </w:rPr>
        <w:t>Such images seem aptly to describe the one Judgment of the Great Day (Jude 1:6).</w:t>
      </w:r>
    </w:p>
    <w:p w14:paraId="1E86A247">
      <w:pPr>
        <w:pStyle w:val="9"/>
        <w:spacing w:before="11"/>
        <w:ind w:left="0"/>
        <w:jc w:val="left"/>
        <w:rPr>
          <w:rFonts w:hint="eastAsia"/>
          <w:sz w:val="30"/>
          <w:szCs w:val="30"/>
        </w:rPr>
      </w:pPr>
      <w:r>
        <w:rPr>
          <w:rFonts w:hint="eastAsia"/>
          <w:sz w:val="30"/>
          <w:szCs w:val="30"/>
        </w:rPr>
        <w:t>这样的意象似乎恰当地描述了那大日的一次审判（犹1:6）。</w:t>
      </w:r>
    </w:p>
    <w:p w14:paraId="23E15222">
      <w:pPr>
        <w:pStyle w:val="9"/>
        <w:spacing w:before="11"/>
        <w:ind w:left="0"/>
        <w:jc w:val="left"/>
        <w:rPr>
          <w:rFonts w:hint="eastAsia"/>
          <w:sz w:val="30"/>
          <w:szCs w:val="30"/>
        </w:rPr>
      </w:pPr>
    </w:p>
    <w:p w14:paraId="4E02C504">
      <w:pPr>
        <w:pStyle w:val="9"/>
        <w:spacing w:before="11"/>
        <w:ind w:left="0"/>
        <w:jc w:val="left"/>
        <w:rPr>
          <w:rFonts w:hint="eastAsia"/>
          <w:sz w:val="30"/>
          <w:szCs w:val="30"/>
        </w:rPr>
      </w:pPr>
      <w:r>
        <w:rPr>
          <w:rFonts w:hint="eastAsia"/>
          <w:sz w:val="30"/>
          <w:szCs w:val="30"/>
        </w:rPr>
        <w:t>6. George Ladd writes: “The little book (or scroll) is in the form of an ancient will, which was usually sealed with the seals of seven witnesses.</w:t>
      </w:r>
    </w:p>
    <w:p w14:paraId="6CAE7808">
      <w:pPr>
        <w:pStyle w:val="9"/>
        <w:spacing w:before="11"/>
        <w:ind w:left="0"/>
        <w:jc w:val="left"/>
        <w:rPr>
          <w:rFonts w:hint="eastAsia"/>
          <w:sz w:val="30"/>
          <w:szCs w:val="30"/>
        </w:rPr>
      </w:pPr>
      <w:r>
        <w:rPr>
          <w:rFonts w:hint="eastAsia"/>
          <w:sz w:val="30"/>
          <w:szCs w:val="30"/>
        </w:rPr>
        <w:t>6. 乔治·赖德写道：“那小书卷（或卷轴）的形式像一份古代的遗嘱，通常用七个见证人的印封住。</w:t>
      </w:r>
    </w:p>
    <w:p w14:paraId="47AD532A">
      <w:pPr>
        <w:pStyle w:val="9"/>
        <w:spacing w:before="11"/>
        <w:ind w:left="0"/>
        <w:jc w:val="left"/>
        <w:rPr>
          <w:rFonts w:hint="eastAsia"/>
          <w:sz w:val="30"/>
          <w:szCs w:val="30"/>
        </w:rPr>
      </w:pPr>
    </w:p>
    <w:p w14:paraId="3E01CEDF">
      <w:pPr>
        <w:pStyle w:val="9"/>
        <w:spacing w:before="11"/>
        <w:ind w:left="0"/>
        <w:jc w:val="left"/>
        <w:rPr>
          <w:rFonts w:hint="eastAsia"/>
          <w:sz w:val="30"/>
          <w:szCs w:val="30"/>
        </w:rPr>
      </w:pPr>
      <w:r>
        <w:rPr>
          <w:rFonts w:hint="eastAsia"/>
          <w:sz w:val="30"/>
          <w:szCs w:val="30"/>
        </w:rPr>
        <w:t>The book contains God’s inheritance for his people, which is founded upon the death of his Son.</w:t>
      </w:r>
    </w:p>
    <w:p w14:paraId="3CBC537A">
      <w:pPr>
        <w:pStyle w:val="9"/>
        <w:spacing w:before="11"/>
        <w:ind w:left="0"/>
        <w:jc w:val="left"/>
        <w:rPr>
          <w:rFonts w:hint="eastAsia"/>
          <w:sz w:val="30"/>
          <w:szCs w:val="30"/>
        </w:rPr>
      </w:pPr>
      <w:r>
        <w:rPr>
          <w:rFonts w:hint="eastAsia"/>
          <w:sz w:val="30"/>
          <w:szCs w:val="30"/>
        </w:rPr>
        <w:t>这书卷包含了神为祂子民所预备的产业，这产业是建立在祂儿子的死之上的。</w:t>
      </w:r>
    </w:p>
    <w:p w14:paraId="0E9BEC8F">
      <w:pPr>
        <w:pStyle w:val="9"/>
        <w:spacing w:before="11"/>
        <w:ind w:left="0"/>
        <w:jc w:val="left"/>
        <w:rPr>
          <w:rFonts w:hint="eastAsia"/>
          <w:sz w:val="30"/>
          <w:szCs w:val="30"/>
        </w:rPr>
      </w:pPr>
    </w:p>
    <w:p w14:paraId="272EE42D">
      <w:pPr>
        <w:pStyle w:val="9"/>
        <w:spacing w:before="11"/>
        <w:ind w:left="0"/>
        <w:jc w:val="left"/>
        <w:rPr>
          <w:rFonts w:hint="eastAsia"/>
          <w:sz w:val="30"/>
          <w:szCs w:val="30"/>
        </w:rPr>
      </w:pPr>
      <w:r>
        <w:rPr>
          <w:rFonts w:hint="eastAsia"/>
          <w:sz w:val="30"/>
          <w:szCs w:val="30"/>
        </w:rPr>
        <w:t>The saints’ inheritance is the Kingdom of God; but the blessings of God’s Kingdom cannot be bestowed apart from the destruction of evil.</w:t>
      </w:r>
    </w:p>
    <w:p w14:paraId="3886FD5E">
      <w:pPr>
        <w:pStyle w:val="9"/>
        <w:spacing w:before="11"/>
        <w:ind w:left="0"/>
        <w:jc w:val="left"/>
        <w:rPr>
          <w:rFonts w:hint="eastAsia"/>
          <w:sz w:val="30"/>
          <w:szCs w:val="30"/>
        </w:rPr>
      </w:pPr>
      <w:r>
        <w:rPr>
          <w:rFonts w:hint="eastAsia"/>
          <w:sz w:val="30"/>
          <w:szCs w:val="30"/>
        </w:rPr>
        <w:t>圣徒的产业是神的国；但若不毁灭邪恶，神的国的祝福就无法赐下。</w:t>
      </w:r>
    </w:p>
    <w:p w14:paraId="25111FEF">
      <w:pPr>
        <w:pStyle w:val="9"/>
        <w:spacing w:before="11"/>
        <w:ind w:left="0"/>
        <w:jc w:val="left"/>
        <w:rPr>
          <w:rFonts w:hint="eastAsia"/>
          <w:sz w:val="30"/>
          <w:szCs w:val="30"/>
        </w:rPr>
      </w:pPr>
    </w:p>
    <w:p w14:paraId="4254DC68">
      <w:pPr>
        <w:pStyle w:val="9"/>
        <w:spacing w:before="11"/>
        <w:ind w:left="0"/>
        <w:jc w:val="left"/>
        <w:rPr>
          <w:rFonts w:hint="eastAsia"/>
          <w:sz w:val="30"/>
          <w:szCs w:val="30"/>
        </w:rPr>
      </w:pPr>
      <w:r>
        <w:rPr>
          <w:rFonts w:hint="eastAsia"/>
          <w:sz w:val="30"/>
          <w:szCs w:val="30"/>
        </w:rPr>
        <w:t>In fact, the very destruction of all evil powers is one of the blessings of God’s kingly rule.</w:t>
      </w:r>
    </w:p>
    <w:p w14:paraId="09D4AC78">
      <w:pPr>
        <w:pStyle w:val="9"/>
        <w:spacing w:before="11"/>
        <w:ind w:left="0"/>
        <w:jc w:val="left"/>
        <w:rPr>
          <w:rFonts w:hint="eastAsia"/>
          <w:sz w:val="30"/>
          <w:szCs w:val="30"/>
        </w:rPr>
      </w:pPr>
      <w:r>
        <w:rPr>
          <w:rFonts w:hint="eastAsia"/>
          <w:sz w:val="30"/>
          <w:szCs w:val="30"/>
        </w:rPr>
        <w:t>事实上，所有邪恶权势的毁灭本身，就是神君王统治的祝福之一。</w:t>
      </w:r>
    </w:p>
    <w:p w14:paraId="4AB1FA10">
      <w:pPr>
        <w:pStyle w:val="9"/>
        <w:spacing w:before="11"/>
        <w:ind w:left="0"/>
        <w:jc w:val="left"/>
        <w:rPr>
          <w:rFonts w:hint="eastAsia"/>
          <w:sz w:val="30"/>
          <w:szCs w:val="30"/>
        </w:rPr>
      </w:pPr>
    </w:p>
    <w:p w14:paraId="6CF7AE68">
      <w:pPr>
        <w:pStyle w:val="9"/>
        <w:spacing w:before="11"/>
        <w:ind w:left="0"/>
        <w:jc w:val="left"/>
        <w:rPr>
          <w:rFonts w:hint="eastAsia"/>
          <w:sz w:val="30"/>
          <w:szCs w:val="30"/>
        </w:rPr>
      </w:pPr>
      <w:r>
        <w:rPr>
          <w:rFonts w:hint="eastAsia"/>
          <w:sz w:val="30"/>
          <w:szCs w:val="30"/>
        </w:rPr>
        <w:t>Here is the twofold theme of the Revelation: the judgment of evil and the coming of the Kingdom.”</w:t>
      </w:r>
    </w:p>
    <w:p w14:paraId="583702A9">
      <w:pPr>
        <w:pStyle w:val="9"/>
        <w:spacing w:before="11"/>
        <w:ind w:left="0"/>
        <w:jc w:val="left"/>
        <w:rPr>
          <w:rFonts w:hint="eastAsia"/>
          <w:sz w:val="30"/>
          <w:szCs w:val="30"/>
        </w:rPr>
      </w:pPr>
      <w:r>
        <w:rPr>
          <w:rFonts w:hint="eastAsia"/>
          <w:sz w:val="30"/>
          <w:szCs w:val="30"/>
        </w:rPr>
        <w:t>这就是启示录的双重主题：对邪恶的审判和国度的降临。”</w:t>
      </w:r>
    </w:p>
    <w:p w14:paraId="594DFBB9">
      <w:pPr>
        <w:pStyle w:val="9"/>
        <w:spacing w:before="11"/>
        <w:ind w:left="0"/>
        <w:jc w:val="left"/>
        <w:rPr>
          <w:rFonts w:hint="eastAsia"/>
          <w:sz w:val="30"/>
          <w:szCs w:val="30"/>
        </w:rPr>
      </w:pPr>
    </w:p>
    <w:p w14:paraId="0A5A9ED7">
      <w:pPr>
        <w:pStyle w:val="9"/>
        <w:spacing w:before="11"/>
        <w:ind w:left="0"/>
        <w:jc w:val="left"/>
        <w:rPr>
          <w:rFonts w:hint="eastAsia"/>
          <w:sz w:val="30"/>
          <w:szCs w:val="30"/>
        </w:rPr>
      </w:pPr>
      <w:r>
        <w:rPr>
          <w:rFonts w:hint="eastAsia"/>
          <w:sz w:val="30"/>
          <w:szCs w:val="30"/>
        </w:rPr>
        <w:t>A Theology of the New Testament, p. 674.</w:t>
      </w:r>
    </w:p>
    <w:p w14:paraId="2904BF1B">
      <w:pPr>
        <w:pStyle w:val="9"/>
        <w:spacing w:before="11"/>
        <w:ind w:left="0"/>
        <w:jc w:val="left"/>
        <w:rPr>
          <w:rFonts w:hint="eastAsia"/>
          <w:sz w:val="30"/>
          <w:szCs w:val="30"/>
        </w:rPr>
      </w:pPr>
      <w:r>
        <w:rPr>
          <w:rFonts w:hint="eastAsia"/>
          <w:sz w:val="30"/>
          <w:szCs w:val="30"/>
        </w:rPr>
        <w:t>《新约神学》，第674页。</w:t>
      </w:r>
    </w:p>
    <w:p w14:paraId="15BB70B1">
      <w:pPr>
        <w:pStyle w:val="9"/>
        <w:spacing w:before="11"/>
        <w:ind w:left="0"/>
        <w:jc w:val="left"/>
        <w:rPr>
          <w:rFonts w:hint="eastAsia"/>
          <w:sz w:val="30"/>
          <w:szCs w:val="30"/>
        </w:rPr>
      </w:pPr>
    </w:p>
    <w:p w14:paraId="4C27B6FA">
      <w:pPr>
        <w:pStyle w:val="9"/>
        <w:spacing w:before="11"/>
        <w:ind w:left="0"/>
        <w:jc w:val="left"/>
        <w:rPr>
          <w:rFonts w:hint="eastAsia"/>
          <w:sz w:val="30"/>
          <w:szCs w:val="30"/>
        </w:rPr>
      </w:pPr>
      <w:r>
        <w:rPr>
          <w:rFonts w:hint="eastAsia"/>
          <w:sz w:val="30"/>
          <w:szCs w:val="30"/>
        </w:rPr>
        <w:t>7. My thinking about the structure of chapters 6-20—and about the structure of the book as a whole—is much indebted to William Hendriksen’s outstanding commentary, More Than Conquerors (Baker, 1995).</w:t>
      </w:r>
    </w:p>
    <w:p w14:paraId="73BCFFB9">
      <w:pPr>
        <w:pStyle w:val="9"/>
        <w:spacing w:before="11"/>
        <w:ind w:left="0"/>
        <w:jc w:val="left"/>
        <w:rPr>
          <w:rFonts w:hint="eastAsia"/>
          <w:sz w:val="30"/>
          <w:szCs w:val="30"/>
        </w:rPr>
      </w:pPr>
      <w:r>
        <w:rPr>
          <w:rFonts w:hint="eastAsia"/>
          <w:sz w:val="30"/>
          <w:szCs w:val="30"/>
        </w:rPr>
        <w:t>7. 我对第6-20章的结构——以及对整本书的结构——的思考，深受威廉·亨德里克森杰出的注释书《得胜有余》（Baker, 1995）的启发。</w:t>
      </w:r>
    </w:p>
    <w:p w14:paraId="01BA1E74">
      <w:pPr>
        <w:pStyle w:val="9"/>
        <w:spacing w:before="11"/>
        <w:ind w:left="0"/>
        <w:jc w:val="left"/>
        <w:rPr>
          <w:rFonts w:hint="eastAsia"/>
          <w:sz w:val="30"/>
          <w:szCs w:val="30"/>
        </w:rPr>
      </w:pPr>
    </w:p>
    <w:p w14:paraId="66538EB5">
      <w:pPr>
        <w:pStyle w:val="9"/>
        <w:spacing w:before="11"/>
        <w:ind w:left="0"/>
        <w:jc w:val="left"/>
        <w:rPr>
          <w:rFonts w:hint="eastAsia"/>
          <w:sz w:val="30"/>
          <w:szCs w:val="30"/>
        </w:rPr>
      </w:pPr>
      <w:r>
        <w:rPr>
          <w:rFonts w:hint="eastAsia"/>
          <w:sz w:val="30"/>
          <w:szCs w:val="30"/>
        </w:rPr>
        <w:t>Highly recommended.</w:t>
      </w:r>
    </w:p>
    <w:p w14:paraId="0E63A5F7">
      <w:pPr>
        <w:pStyle w:val="9"/>
        <w:spacing w:before="11"/>
        <w:ind w:left="0"/>
        <w:jc w:val="left"/>
        <w:rPr>
          <w:rFonts w:hint="eastAsia"/>
          <w:sz w:val="30"/>
          <w:szCs w:val="30"/>
        </w:rPr>
      </w:pPr>
      <w:r>
        <w:rPr>
          <w:rFonts w:hint="eastAsia"/>
          <w:sz w:val="30"/>
          <w:szCs w:val="30"/>
        </w:rPr>
        <w:t>极力推荐。</w:t>
      </w:r>
    </w:p>
    <w:p w14:paraId="71C457F6">
      <w:pPr>
        <w:pStyle w:val="9"/>
        <w:spacing w:before="11"/>
        <w:ind w:left="0"/>
        <w:jc w:val="left"/>
        <w:rPr>
          <w:rFonts w:hint="eastAsia"/>
          <w:sz w:val="30"/>
          <w:szCs w:val="30"/>
        </w:rPr>
      </w:pPr>
    </w:p>
    <w:p w14:paraId="64613C3B">
      <w:pPr>
        <w:pStyle w:val="9"/>
        <w:spacing w:before="11"/>
        <w:ind w:left="0"/>
        <w:jc w:val="left"/>
        <w:rPr>
          <w:rFonts w:hint="eastAsia"/>
          <w:sz w:val="30"/>
          <w:szCs w:val="30"/>
        </w:rPr>
      </w:pPr>
      <w:r>
        <w:rPr>
          <w:rFonts w:hint="eastAsia"/>
          <w:sz w:val="30"/>
          <w:szCs w:val="30"/>
        </w:rPr>
        <w:t>8.A close study of Revelation 7:4-8 reveals many hints by which the Spirit would direct us away from a literal interpretation of the 144,000, and towards a more figurative interpretation.</w:t>
      </w:r>
    </w:p>
    <w:p w14:paraId="1B9ACE91">
      <w:pPr>
        <w:pStyle w:val="9"/>
        <w:spacing w:before="11"/>
        <w:ind w:left="0"/>
        <w:jc w:val="left"/>
        <w:rPr>
          <w:rFonts w:hint="eastAsia"/>
          <w:sz w:val="30"/>
          <w:szCs w:val="30"/>
        </w:rPr>
      </w:pPr>
      <w:r>
        <w:rPr>
          <w:rFonts w:hint="eastAsia"/>
          <w:sz w:val="30"/>
          <w:szCs w:val="30"/>
        </w:rPr>
        <w:t>8.仔细研究启示录7:4-8会发现许多线索，圣灵藉此引导我们远离对144,000人的字面解释，而倾向于更比喻性的解释。</w:t>
      </w:r>
    </w:p>
    <w:p w14:paraId="03388B6E">
      <w:pPr>
        <w:pStyle w:val="9"/>
        <w:spacing w:before="11"/>
        <w:ind w:left="0"/>
        <w:jc w:val="left"/>
        <w:rPr>
          <w:rFonts w:hint="eastAsia"/>
          <w:sz w:val="30"/>
          <w:szCs w:val="30"/>
        </w:rPr>
      </w:pPr>
    </w:p>
    <w:p w14:paraId="4DF76668">
      <w:pPr>
        <w:pStyle w:val="9"/>
        <w:spacing w:before="11"/>
        <w:ind w:left="0"/>
        <w:jc w:val="left"/>
        <w:rPr>
          <w:rFonts w:hint="eastAsia"/>
          <w:sz w:val="30"/>
          <w:szCs w:val="30"/>
        </w:rPr>
      </w:pPr>
      <w:r>
        <w:rPr>
          <w:rFonts w:hint="eastAsia"/>
          <w:sz w:val="30"/>
          <w:szCs w:val="30"/>
        </w:rPr>
        <w:t>They are as follows: (1) The text begins by mentioning Judah (the Messiah’s tribe), rather than Reuben, as was customary in the OT; (2) It omits Dan and Ephraim, replacing them with Joseph and Levi, giving us a list of the tribes of ethnic Israel that is unprecedented in the OT; (3) It is illumined by Rev. 14:1f, which identifies the 144,000 as those redeemed by the Lamb, as those who follow him wherever he goes; (4) It runs closely parallel to Rev. 21:9ff, which, under much the same symbolism, describes the Church in glory; and again, (5) it certainly seems to receive a decisive interpretation in verse 9, which strongly implies that the “144,000” are, in fact, a great multitude.</w:t>
      </w:r>
    </w:p>
    <w:p w14:paraId="35F03584">
      <w:pPr>
        <w:pStyle w:val="9"/>
        <w:spacing w:before="11"/>
        <w:ind w:left="0"/>
        <w:jc w:val="left"/>
        <w:rPr>
          <w:rFonts w:hint="eastAsia"/>
          <w:sz w:val="30"/>
          <w:szCs w:val="30"/>
        </w:rPr>
      </w:pPr>
      <w:r>
        <w:rPr>
          <w:rFonts w:hint="eastAsia"/>
          <w:sz w:val="30"/>
          <w:szCs w:val="30"/>
        </w:rPr>
        <w:t>它们如下：（1）经文以提及犹大（弥赛亚的支派）开始，而不是像旧约中惯常的那样提及流便；（2）它省略了但和以法莲，用约瑟和利未取代了他们，给我们一个在旧约中前所未有的种族以色列支派列表；（3）它被启示录14:1及以下所阐明，该处将144,000人等同于被羔羊所赎的人，即那些祂无论往哪里去都跟随祂的人；（4）它与启示录21:9及以下紧密平行，后者在几乎相同的象征手法下，描述了荣耀中的教会；再者，（5）它似乎在第9节中得到了一个决定性的解释，该节强烈暗示“144,000人”实际上是一大群人。</w:t>
      </w:r>
    </w:p>
    <w:p w14:paraId="2B5D3FDD">
      <w:pPr>
        <w:pStyle w:val="9"/>
        <w:spacing w:before="11"/>
        <w:ind w:left="0"/>
        <w:jc w:val="left"/>
        <w:rPr>
          <w:rFonts w:hint="eastAsia"/>
          <w:sz w:val="30"/>
          <w:szCs w:val="30"/>
        </w:rPr>
      </w:pPr>
    </w:p>
    <w:p w14:paraId="7A071BB6">
      <w:pPr>
        <w:pStyle w:val="9"/>
        <w:spacing w:before="11"/>
        <w:ind w:left="0"/>
        <w:jc w:val="left"/>
        <w:rPr>
          <w:rFonts w:hint="eastAsia"/>
          <w:sz w:val="30"/>
          <w:szCs w:val="30"/>
        </w:rPr>
      </w:pPr>
      <w:r>
        <w:rPr>
          <w:rFonts w:hint="eastAsia"/>
          <w:sz w:val="30"/>
          <w:szCs w:val="30"/>
        </w:rPr>
        <w:t>9.This means, of course, that there is no room for a future millennial stage of the Kingdom.</w:t>
      </w:r>
    </w:p>
    <w:p w14:paraId="716A2358">
      <w:pPr>
        <w:pStyle w:val="9"/>
        <w:spacing w:before="11"/>
        <w:ind w:left="0"/>
        <w:jc w:val="left"/>
        <w:rPr>
          <w:rFonts w:hint="eastAsia"/>
          <w:sz w:val="30"/>
          <w:szCs w:val="30"/>
        </w:rPr>
      </w:pPr>
      <w:r>
        <w:rPr>
          <w:rFonts w:hint="eastAsia"/>
          <w:sz w:val="30"/>
          <w:szCs w:val="30"/>
        </w:rPr>
        <w:t>9.这当然意味着，国度没有未来的千禧年阶段的容身之地。</w:t>
      </w:r>
    </w:p>
    <w:p w14:paraId="0025A2C2">
      <w:pPr>
        <w:pStyle w:val="9"/>
        <w:spacing w:before="11"/>
        <w:ind w:left="0"/>
        <w:jc w:val="left"/>
        <w:rPr>
          <w:rFonts w:hint="eastAsia"/>
          <w:sz w:val="30"/>
          <w:szCs w:val="30"/>
        </w:rPr>
      </w:pPr>
    </w:p>
    <w:p w14:paraId="63EE78A6">
      <w:pPr>
        <w:pStyle w:val="9"/>
        <w:spacing w:before="11"/>
        <w:ind w:left="0"/>
        <w:jc w:val="left"/>
        <w:rPr>
          <w:rFonts w:hint="eastAsia"/>
          <w:sz w:val="30"/>
          <w:szCs w:val="30"/>
        </w:rPr>
      </w:pPr>
      <w:r>
        <w:rPr>
          <w:rFonts w:hint="eastAsia"/>
          <w:sz w:val="30"/>
          <w:szCs w:val="30"/>
        </w:rPr>
        <w:t>10.For further study of the Revelation see: Greg Beale, The Book of Revelation (Eerdmans, 1998); Louis Brighton, Revelation (Concordia, 1999); Dennis Johnson, The Triumph of the Lamb (Presbyterian and Reformed, 2001); George Ladd, A Commentary on the Revelation of John (Eerdmans, 1972).</w:t>
      </w:r>
    </w:p>
    <w:p w14:paraId="6066E501">
      <w:pPr>
        <w:pStyle w:val="9"/>
        <w:spacing w:before="11"/>
        <w:ind w:left="0"/>
        <w:jc w:val="left"/>
        <w:rPr>
          <w:rFonts w:hint="eastAsia"/>
          <w:sz w:val="30"/>
          <w:szCs w:val="30"/>
        </w:rPr>
      </w:pPr>
      <w:r>
        <w:rPr>
          <w:rFonts w:hint="eastAsia"/>
          <w:sz w:val="30"/>
          <w:szCs w:val="30"/>
        </w:rPr>
        <w:t>10.关于启示录的进一步研究，见：格雷格·比尔，《启示录》（Eerdmans, 1998）；路易斯·布莱顿，《启示录》（Concordia, 1999）；丹尼斯·约翰逊，《羔羊的得胜》（Presbyterian and Reformed, 2001）；乔治·赖德，《约翰启示录注释》（Eerdmans, 1972）。</w:t>
      </w:r>
    </w:p>
    <w:p w14:paraId="3F6A7FD0">
      <w:pPr>
        <w:pStyle w:val="9"/>
        <w:spacing w:before="11"/>
        <w:ind w:left="0"/>
        <w:jc w:val="left"/>
        <w:rPr>
          <w:rFonts w:hint="eastAsia"/>
          <w:sz w:val="30"/>
          <w:szCs w:val="30"/>
        </w:rPr>
      </w:pPr>
    </w:p>
    <w:p w14:paraId="5D96A34F">
      <w:pPr>
        <w:pStyle w:val="9"/>
        <w:spacing w:before="11"/>
        <w:ind w:left="0"/>
        <w:jc w:val="left"/>
        <w:rPr>
          <w:rFonts w:hint="eastAsia"/>
          <w:sz w:val="30"/>
          <w:szCs w:val="30"/>
        </w:rPr>
      </w:pPr>
      <w:r>
        <w:rPr>
          <w:rFonts w:hint="eastAsia"/>
          <w:sz w:val="30"/>
          <w:szCs w:val="30"/>
        </w:rPr>
        <w:t>11.The Triumph of the Lamb, p. 223.</w:t>
      </w:r>
    </w:p>
    <w:p w14:paraId="49DBC3E8">
      <w:pPr>
        <w:pStyle w:val="9"/>
        <w:spacing w:before="11"/>
        <w:ind w:left="0"/>
        <w:jc w:val="left"/>
        <w:rPr>
          <w:rFonts w:hint="eastAsia"/>
          <w:sz w:val="30"/>
          <w:szCs w:val="30"/>
        </w:rPr>
      </w:pPr>
      <w:r>
        <w:rPr>
          <w:rFonts w:hint="eastAsia"/>
          <w:sz w:val="30"/>
          <w:szCs w:val="30"/>
        </w:rPr>
        <w:t>11.《羔羊的得胜》，第223页。</w:t>
      </w:r>
    </w:p>
    <w:p w14:paraId="46ACAB18">
      <w:pPr>
        <w:pStyle w:val="9"/>
        <w:spacing w:before="11"/>
        <w:ind w:left="0"/>
        <w:jc w:val="left"/>
        <w:rPr>
          <w:rFonts w:hint="eastAsia"/>
          <w:sz w:val="30"/>
          <w:szCs w:val="30"/>
        </w:rPr>
      </w:pPr>
    </w:p>
    <w:p w14:paraId="4373261F">
      <w:pPr>
        <w:pStyle w:val="9"/>
        <w:spacing w:before="11"/>
        <w:ind w:left="0"/>
        <w:jc w:val="left"/>
        <w:rPr>
          <w:rFonts w:hint="eastAsia"/>
          <w:sz w:val="30"/>
          <w:szCs w:val="30"/>
        </w:rPr>
      </w:pPr>
      <w:r>
        <w:rPr>
          <w:rFonts w:hint="eastAsia"/>
          <w:sz w:val="30"/>
          <w:szCs w:val="30"/>
        </w:rPr>
        <w:t>12.Ibid., pp. 225-226.</w:t>
      </w:r>
    </w:p>
    <w:p w14:paraId="6D5442F4">
      <w:pPr>
        <w:pStyle w:val="9"/>
        <w:spacing w:before="11"/>
        <w:ind w:left="0"/>
        <w:jc w:val="left"/>
        <w:rPr>
          <w:rFonts w:hint="eastAsia"/>
          <w:sz w:val="30"/>
          <w:szCs w:val="30"/>
        </w:rPr>
      </w:pPr>
      <w:r>
        <w:rPr>
          <w:rFonts w:hint="eastAsia"/>
          <w:sz w:val="30"/>
          <w:szCs w:val="30"/>
        </w:rPr>
        <w:t>12.同上，第225-226页。</w:t>
      </w:r>
    </w:p>
    <w:p w14:paraId="5953D0F3">
      <w:pPr>
        <w:pStyle w:val="9"/>
        <w:spacing w:before="11"/>
        <w:ind w:left="0"/>
        <w:jc w:val="left"/>
        <w:rPr>
          <w:rFonts w:hint="eastAsia"/>
          <w:sz w:val="30"/>
          <w:szCs w:val="30"/>
        </w:rPr>
      </w:pPr>
    </w:p>
    <w:p w14:paraId="42CE9EC0">
      <w:pPr>
        <w:pStyle w:val="9"/>
        <w:spacing w:before="11"/>
        <w:ind w:left="0"/>
        <w:jc w:val="left"/>
        <w:rPr>
          <w:rFonts w:hint="eastAsia"/>
          <w:sz w:val="30"/>
          <w:szCs w:val="30"/>
        </w:rPr>
      </w:pPr>
      <w:r>
        <w:rPr>
          <w:rFonts w:hint="eastAsia"/>
          <w:sz w:val="30"/>
          <w:szCs w:val="30"/>
        </w:rPr>
        <w:t>13.Ibid., pp. 228-229.</w:t>
      </w:r>
    </w:p>
    <w:p w14:paraId="56DF1178">
      <w:pPr>
        <w:pStyle w:val="9"/>
        <w:spacing w:before="11"/>
        <w:ind w:left="0"/>
        <w:jc w:val="left"/>
        <w:rPr>
          <w:rFonts w:hint="eastAsia"/>
          <w:sz w:val="30"/>
          <w:szCs w:val="30"/>
        </w:rPr>
      </w:pPr>
      <w:r>
        <w:rPr>
          <w:rFonts w:hint="eastAsia"/>
          <w:sz w:val="30"/>
          <w:szCs w:val="30"/>
        </w:rPr>
        <w:t>13.同上，第228-229页。</w:t>
      </w:r>
    </w:p>
    <w:p w14:paraId="1DBF12DC">
      <w:pPr>
        <w:pStyle w:val="9"/>
        <w:spacing w:before="11"/>
        <w:ind w:left="0"/>
        <w:jc w:val="left"/>
        <w:rPr>
          <w:rFonts w:hint="eastAsia"/>
          <w:sz w:val="30"/>
          <w:szCs w:val="30"/>
        </w:rPr>
      </w:pPr>
    </w:p>
    <w:p w14:paraId="71DDA9C5">
      <w:pPr>
        <w:pStyle w:val="9"/>
        <w:spacing w:before="11"/>
        <w:ind w:left="0"/>
        <w:jc w:val="left"/>
        <w:rPr>
          <w:rFonts w:hint="eastAsia"/>
          <w:sz w:val="30"/>
          <w:szCs w:val="30"/>
        </w:rPr>
      </w:pPr>
      <w:r>
        <w:rPr>
          <w:rFonts w:hint="eastAsia"/>
          <w:sz w:val="30"/>
          <w:szCs w:val="30"/>
        </w:rPr>
        <w:t>14.Ibid., pp. 231-236.</w:t>
      </w:r>
    </w:p>
    <w:p w14:paraId="74C4F10F">
      <w:pPr>
        <w:pStyle w:val="9"/>
        <w:spacing w:before="11"/>
        <w:ind w:left="0"/>
        <w:jc w:val="left"/>
        <w:rPr>
          <w:rFonts w:hint="eastAsia"/>
          <w:sz w:val="30"/>
          <w:szCs w:val="30"/>
        </w:rPr>
      </w:pPr>
      <w:r>
        <w:rPr>
          <w:rFonts w:hint="eastAsia"/>
          <w:sz w:val="30"/>
          <w:szCs w:val="30"/>
        </w:rPr>
        <w:t>14.同上，第231-236页。</w:t>
      </w:r>
    </w:p>
    <w:p w14:paraId="45643EF6">
      <w:pPr>
        <w:pStyle w:val="9"/>
        <w:spacing w:before="11"/>
        <w:ind w:left="0"/>
        <w:jc w:val="left"/>
        <w:rPr>
          <w:rFonts w:hint="eastAsia"/>
          <w:sz w:val="30"/>
          <w:szCs w:val="30"/>
        </w:rPr>
      </w:pPr>
    </w:p>
    <w:p w14:paraId="05868CCB">
      <w:pPr>
        <w:pStyle w:val="9"/>
        <w:spacing w:before="11"/>
        <w:ind w:left="0"/>
        <w:jc w:val="left"/>
        <w:rPr>
          <w:rFonts w:hint="eastAsia"/>
          <w:sz w:val="30"/>
          <w:szCs w:val="30"/>
        </w:rPr>
      </w:pPr>
      <w:r>
        <w:rPr>
          <w:rFonts w:hint="eastAsia"/>
          <w:sz w:val="30"/>
          <w:szCs w:val="30"/>
        </w:rPr>
        <w:t>Chapter 21: Revelation 20: The Meaning of the Millennium</w:t>
      </w:r>
    </w:p>
    <w:p w14:paraId="101972EC">
      <w:pPr>
        <w:pStyle w:val="9"/>
        <w:spacing w:before="11"/>
        <w:ind w:left="0"/>
        <w:jc w:val="left"/>
        <w:rPr>
          <w:rFonts w:hint="eastAsia"/>
          <w:sz w:val="30"/>
          <w:szCs w:val="30"/>
        </w:rPr>
      </w:pPr>
      <w:r>
        <w:rPr>
          <w:rFonts w:hint="eastAsia"/>
          <w:sz w:val="30"/>
          <w:szCs w:val="30"/>
        </w:rPr>
        <w:t>第21章：启示录20章：千禧年的意义</w:t>
      </w:r>
    </w:p>
    <w:p w14:paraId="502152EF">
      <w:pPr>
        <w:pStyle w:val="9"/>
        <w:spacing w:before="11"/>
        <w:ind w:left="0"/>
        <w:jc w:val="left"/>
        <w:rPr>
          <w:rFonts w:hint="eastAsia"/>
          <w:sz w:val="30"/>
          <w:szCs w:val="30"/>
        </w:rPr>
      </w:pPr>
    </w:p>
    <w:p w14:paraId="5038A2BD">
      <w:pPr>
        <w:pStyle w:val="9"/>
        <w:spacing w:before="11"/>
        <w:ind w:left="0"/>
        <w:jc w:val="left"/>
        <w:rPr>
          <w:rFonts w:hint="eastAsia"/>
          <w:sz w:val="30"/>
          <w:szCs w:val="30"/>
        </w:rPr>
      </w:pPr>
      <w:r>
        <w:rPr>
          <w:rFonts w:hint="eastAsia"/>
          <w:sz w:val="30"/>
          <w:szCs w:val="30"/>
        </w:rPr>
        <w:t>1.The Millennium Bible, pp. 693-4.</w:t>
      </w:r>
    </w:p>
    <w:p w14:paraId="14A6A9D1">
      <w:pPr>
        <w:pStyle w:val="9"/>
        <w:spacing w:before="11"/>
        <w:ind w:left="0"/>
        <w:jc w:val="left"/>
        <w:rPr>
          <w:rFonts w:hint="eastAsia"/>
          <w:sz w:val="30"/>
          <w:szCs w:val="30"/>
        </w:rPr>
      </w:pPr>
      <w:r>
        <w:rPr>
          <w:rFonts w:hint="eastAsia"/>
          <w:sz w:val="30"/>
          <w:szCs w:val="30"/>
        </w:rPr>
        <w:t>1.《千禧年圣经》，第693-4页。</w:t>
      </w:r>
    </w:p>
    <w:p w14:paraId="6FA5B21C">
      <w:pPr>
        <w:pStyle w:val="9"/>
        <w:spacing w:before="11"/>
        <w:ind w:left="0"/>
        <w:jc w:val="left"/>
        <w:rPr>
          <w:rFonts w:hint="eastAsia"/>
          <w:sz w:val="30"/>
          <w:szCs w:val="30"/>
        </w:rPr>
      </w:pPr>
    </w:p>
    <w:p w14:paraId="251E1C91">
      <w:pPr>
        <w:pStyle w:val="9"/>
        <w:spacing w:before="11"/>
        <w:ind w:left="0"/>
        <w:jc w:val="left"/>
        <w:rPr>
          <w:rFonts w:hint="eastAsia"/>
          <w:sz w:val="30"/>
          <w:szCs w:val="30"/>
        </w:rPr>
      </w:pPr>
      <w:r>
        <w:rPr>
          <w:rFonts w:hint="eastAsia"/>
          <w:sz w:val="30"/>
          <w:szCs w:val="30"/>
        </w:rPr>
        <w:t>2.SRB, p. 1373.</w:t>
      </w:r>
    </w:p>
    <w:p w14:paraId="1FEFBF76">
      <w:pPr>
        <w:pStyle w:val="9"/>
        <w:spacing w:before="11"/>
        <w:ind w:left="0"/>
        <w:jc w:val="left"/>
        <w:rPr>
          <w:rFonts w:hint="eastAsia"/>
          <w:sz w:val="30"/>
          <w:szCs w:val="30"/>
        </w:rPr>
      </w:pPr>
      <w:r>
        <w:rPr>
          <w:rFonts w:hint="eastAsia"/>
          <w:sz w:val="30"/>
          <w:szCs w:val="30"/>
        </w:rPr>
        <w:t>2.司可福串珠圣经，第1373页。</w:t>
      </w:r>
    </w:p>
    <w:p w14:paraId="4ADE6968">
      <w:pPr>
        <w:pStyle w:val="9"/>
        <w:spacing w:before="11"/>
        <w:ind w:left="0"/>
        <w:jc w:val="left"/>
        <w:rPr>
          <w:rFonts w:hint="eastAsia"/>
          <w:sz w:val="30"/>
          <w:szCs w:val="30"/>
        </w:rPr>
      </w:pPr>
    </w:p>
    <w:p w14:paraId="67C79CC0">
      <w:pPr>
        <w:pStyle w:val="9"/>
        <w:spacing w:before="11"/>
        <w:ind w:left="0"/>
        <w:jc w:val="left"/>
        <w:rPr>
          <w:rFonts w:hint="eastAsia"/>
          <w:sz w:val="30"/>
          <w:szCs w:val="30"/>
        </w:rPr>
      </w:pPr>
      <w:r>
        <w:rPr>
          <w:rFonts w:hint="eastAsia"/>
          <w:sz w:val="30"/>
          <w:szCs w:val="30"/>
        </w:rPr>
        <w:t>3.According to one popular view, the expression “a time, times, and half a time” symbolizes steadily increasing tribulation suddenly cut short.</w:t>
      </w:r>
    </w:p>
    <w:p w14:paraId="3A08692B">
      <w:pPr>
        <w:pStyle w:val="9"/>
        <w:spacing w:before="11"/>
        <w:ind w:left="0"/>
        <w:jc w:val="left"/>
        <w:rPr>
          <w:rFonts w:hint="eastAsia"/>
          <w:sz w:val="30"/>
          <w:szCs w:val="30"/>
        </w:rPr>
      </w:pPr>
      <w:r>
        <w:rPr>
          <w:rFonts w:hint="eastAsia"/>
          <w:sz w:val="30"/>
          <w:szCs w:val="30"/>
        </w:rPr>
        <w:t>3.根据一种流行的观点，“一载、二载、半载”这个表述，象征着稳步增加的灾难突然被缩短。</w:t>
      </w:r>
    </w:p>
    <w:p w14:paraId="620FBBDF">
      <w:pPr>
        <w:pStyle w:val="9"/>
        <w:spacing w:before="11"/>
        <w:ind w:left="0"/>
        <w:jc w:val="left"/>
        <w:rPr>
          <w:rFonts w:hint="eastAsia"/>
          <w:sz w:val="30"/>
          <w:szCs w:val="30"/>
        </w:rPr>
      </w:pPr>
    </w:p>
    <w:p w14:paraId="7C700274">
      <w:pPr>
        <w:pStyle w:val="9"/>
        <w:spacing w:before="11"/>
        <w:ind w:left="0"/>
        <w:jc w:val="left"/>
        <w:rPr>
          <w:rFonts w:hint="eastAsia"/>
          <w:sz w:val="30"/>
          <w:szCs w:val="30"/>
        </w:rPr>
      </w:pPr>
      <w:r>
        <w:rPr>
          <w:rFonts w:hint="eastAsia"/>
          <w:sz w:val="30"/>
          <w:szCs w:val="30"/>
        </w:rPr>
        <w:t>Twice one “time” equals two, and twice two times equals four, for a total of seven times.</w:t>
      </w:r>
    </w:p>
    <w:p w14:paraId="634335DD">
      <w:pPr>
        <w:pStyle w:val="9"/>
        <w:spacing w:before="11"/>
        <w:ind w:left="0"/>
        <w:jc w:val="left"/>
        <w:rPr>
          <w:rFonts w:hint="eastAsia"/>
          <w:sz w:val="30"/>
          <w:szCs w:val="30"/>
        </w:rPr>
      </w:pPr>
      <w:r>
        <w:rPr>
          <w:rFonts w:hint="eastAsia"/>
          <w:sz w:val="30"/>
          <w:szCs w:val="30"/>
        </w:rPr>
        <w:t>一“载”的两倍等于二，二载的两倍等于四，总共是七载。</w:t>
      </w:r>
    </w:p>
    <w:p w14:paraId="5FDAEB4E">
      <w:pPr>
        <w:pStyle w:val="9"/>
        <w:spacing w:before="11"/>
        <w:ind w:left="0"/>
        <w:jc w:val="left"/>
        <w:rPr>
          <w:rFonts w:hint="eastAsia"/>
          <w:sz w:val="30"/>
          <w:szCs w:val="30"/>
        </w:rPr>
      </w:pPr>
    </w:p>
    <w:p w14:paraId="147F97AB">
      <w:pPr>
        <w:pStyle w:val="9"/>
        <w:spacing w:before="11"/>
        <w:ind w:left="0"/>
        <w:jc w:val="left"/>
        <w:rPr>
          <w:rFonts w:hint="eastAsia"/>
          <w:sz w:val="30"/>
          <w:szCs w:val="30"/>
        </w:rPr>
      </w:pPr>
      <w:r>
        <w:rPr>
          <w:rFonts w:hint="eastAsia"/>
          <w:sz w:val="30"/>
          <w:szCs w:val="30"/>
        </w:rPr>
        <w:t>But the sovereign God will not permit the tribulation of his people to reach fullness (symbolized by seven), but will mercifully intervene to cut it short.</w:t>
      </w:r>
    </w:p>
    <w:p w14:paraId="56EEB5C1">
      <w:pPr>
        <w:pStyle w:val="9"/>
        <w:spacing w:before="11"/>
        <w:ind w:left="0"/>
        <w:jc w:val="left"/>
        <w:rPr>
          <w:rFonts w:hint="eastAsia"/>
          <w:sz w:val="30"/>
          <w:szCs w:val="30"/>
        </w:rPr>
      </w:pPr>
      <w:r>
        <w:rPr>
          <w:rFonts w:hint="eastAsia"/>
          <w:sz w:val="30"/>
          <w:szCs w:val="30"/>
        </w:rPr>
        <w:t>但主权的神不会允许祂子民的灾难达到完满（以七为象征），而会仁慈地介入，将其缩短。</w:t>
      </w:r>
    </w:p>
    <w:p w14:paraId="42D25063">
      <w:pPr>
        <w:pStyle w:val="9"/>
        <w:spacing w:before="11"/>
        <w:ind w:left="0"/>
        <w:jc w:val="left"/>
        <w:rPr>
          <w:rFonts w:hint="eastAsia"/>
          <w:sz w:val="30"/>
          <w:szCs w:val="30"/>
        </w:rPr>
      </w:pPr>
    </w:p>
    <w:p w14:paraId="46423657">
      <w:pPr>
        <w:pStyle w:val="9"/>
        <w:spacing w:before="11"/>
        <w:ind w:left="0"/>
        <w:jc w:val="left"/>
        <w:rPr>
          <w:rFonts w:hint="eastAsia"/>
          <w:sz w:val="30"/>
          <w:szCs w:val="30"/>
        </w:rPr>
      </w:pPr>
      <w:r>
        <w:rPr>
          <w:rFonts w:hint="eastAsia"/>
          <w:sz w:val="30"/>
          <w:szCs w:val="30"/>
        </w:rPr>
        <w:t>See New Bible Commentary (Eerdmans, 1970), s.v. Daniel 7:25, p. 697.</w:t>
      </w:r>
    </w:p>
    <w:p w14:paraId="0FFA9C6A">
      <w:pPr>
        <w:pStyle w:val="9"/>
        <w:spacing w:before="11"/>
        <w:ind w:left="0"/>
        <w:jc w:val="left"/>
        <w:rPr>
          <w:rFonts w:hint="eastAsia"/>
          <w:sz w:val="30"/>
          <w:szCs w:val="30"/>
        </w:rPr>
      </w:pPr>
      <w:r>
        <w:rPr>
          <w:rFonts w:hint="eastAsia"/>
          <w:sz w:val="30"/>
          <w:szCs w:val="30"/>
        </w:rPr>
        <w:t>见《新圣经注释》（Eerdmans, 1970），词条：但以理书7:25，第697页。</w:t>
      </w:r>
    </w:p>
    <w:p w14:paraId="3ABD7787">
      <w:pPr>
        <w:pStyle w:val="9"/>
        <w:spacing w:before="11"/>
        <w:ind w:left="0"/>
        <w:jc w:val="left"/>
        <w:rPr>
          <w:rFonts w:hint="eastAsia"/>
          <w:sz w:val="30"/>
          <w:szCs w:val="30"/>
        </w:rPr>
      </w:pPr>
    </w:p>
    <w:p w14:paraId="78999299">
      <w:pPr>
        <w:pStyle w:val="9"/>
        <w:spacing w:before="11"/>
        <w:ind w:left="0"/>
        <w:jc w:val="left"/>
        <w:rPr>
          <w:rFonts w:hint="eastAsia"/>
          <w:sz w:val="30"/>
          <w:szCs w:val="30"/>
        </w:rPr>
      </w:pPr>
      <w:r>
        <w:rPr>
          <w:rFonts w:hint="eastAsia"/>
          <w:sz w:val="30"/>
          <w:szCs w:val="30"/>
        </w:rPr>
        <w:t>4. For an extended treatment of Revelation 20:4-6 in amillennial perspective, see A. Hoekema, The Bible and the Future, pp. 229-238.</w:t>
      </w:r>
    </w:p>
    <w:p w14:paraId="312F99AD">
      <w:pPr>
        <w:pStyle w:val="9"/>
        <w:spacing w:before="11"/>
        <w:ind w:left="0"/>
        <w:jc w:val="left"/>
        <w:rPr>
          <w:rFonts w:hint="eastAsia"/>
          <w:sz w:val="30"/>
          <w:szCs w:val="30"/>
        </w:rPr>
      </w:pPr>
      <w:r>
        <w:rPr>
          <w:rFonts w:hint="eastAsia"/>
          <w:sz w:val="30"/>
          <w:szCs w:val="30"/>
        </w:rPr>
        <w:t>4. 关于从无千禧年视角对启示录20:4-6的延伸处理，见A. 胡克玛，《圣经与未来》，第229-238页。</w:t>
      </w:r>
    </w:p>
    <w:p w14:paraId="7526676A">
      <w:pPr>
        <w:pStyle w:val="9"/>
        <w:spacing w:before="11"/>
        <w:ind w:left="0"/>
        <w:jc w:val="left"/>
        <w:rPr>
          <w:rFonts w:hint="eastAsia"/>
          <w:sz w:val="30"/>
          <w:szCs w:val="30"/>
        </w:rPr>
      </w:pPr>
    </w:p>
    <w:p w14:paraId="42A1FA4F">
      <w:pPr>
        <w:pStyle w:val="9"/>
        <w:spacing w:before="11"/>
        <w:ind w:left="0"/>
        <w:jc w:val="left"/>
        <w:rPr>
          <w:rFonts w:hint="eastAsia"/>
          <w:sz w:val="30"/>
          <w:szCs w:val="30"/>
        </w:rPr>
      </w:pPr>
      <w:r>
        <w:rPr>
          <w:rFonts w:hint="eastAsia"/>
          <w:sz w:val="30"/>
          <w:szCs w:val="30"/>
        </w:rPr>
        <w:t>5. To read the article by Sam Storms, visit Justin Taylor’s blog, Between Two Worlds, at the website of the Gospel Coalition.</w:t>
      </w:r>
    </w:p>
    <w:p w14:paraId="3E39FF92">
      <w:pPr>
        <w:pStyle w:val="9"/>
        <w:spacing w:before="11"/>
        <w:ind w:left="0"/>
        <w:jc w:val="left"/>
        <w:rPr>
          <w:rFonts w:hint="eastAsia"/>
          <w:sz w:val="30"/>
          <w:szCs w:val="30"/>
        </w:rPr>
      </w:pPr>
      <w:r>
        <w:rPr>
          <w:rFonts w:hint="eastAsia"/>
          <w:sz w:val="30"/>
          <w:szCs w:val="30"/>
        </w:rPr>
        <w:t>5. 要阅读萨姆·斯托姆斯的文章，请访问福音联盟网站上贾斯汀·泰勒的博客“两个世界之间”。</w:t>
      </w:r>
    </w:p>
    <w:p w14:paraId="61898195">
      <w:pPr>
        <w:pStyle w:val="9"/>
        <w:spacing w:before="11"/>
        <w:ind w:left="0"/>
        <w:jc w:val="left"/>
        <w:rPr>
          <w:rFonts w:hint="eastAsia"/>
          <w:sz w:val="30"/>
          <w:szCs w:val="30"/>
        </w:rPr>
      </w:pPr>
    </w:p>
    <w:p w14:paraId="50D21479">
      <w:pPr>
        <w:pStyle w:val="9"/>
        <w:spacing w:before="11"/>
        <w:ind w:left="0"/>
        <w:jc w:val="left"/>
        <w:rPr>
          <w:rFonts w:hint="eastAsia"/>
          <w:sz w:val="30"/>
          <w:szCs w:val="30"/>
        </w:rPr>
      </w:pPr>
      <w:r>
        <w:rPr>
          <w:rFonts w:hint="eastAsia"/>
          <w:sz w:val="30"/>
          <w:szCs w:val="30"/>
        </w:rPr>
        <w:t>http://thegospelcoalition.org/blogs/justintaylor/2009/10/07/thrones-in- revelation/</w:t>
      </w:r>
    </w:p>
    <w:p w14:paraId="4CAB59E4">
      <w:pPr>
        <w:pStyle w:val="9"/>
        <w:spacing w:before="11"/>
        <w:ind w:left="0"/>
        <w:jc w:val="left"/>
        <w:rPr>
          <w:rFonts w:hint="eastAsia"/>
          <w:sz w:val="30"/>
          <w:szCs w:val="30"/>
        </w:rPr>
      </w:pPr>
      <w:r>
        <w:rPr>
          <w:rFonts w:hint="eastAsia"/>
          <w:sz w:val="30"/>
          <w:szCs w:val="30"/>
        </w:rPr>
        <w:t>http://thegospelcoalition.org/blogs/justintaylor/2009/10/07/thrones-in-revelation/</w:t>
      </w:r>
    </w:p>
    <w:p w14:paraId="36E7D74B">
      <w:pPr>
        <w:pStyle w:val="9"/>
        <w:spacing w:before="11"/>
        <w:ind w:left="0"/>
        <w:jc w:val="left"/>
        <w:rPr>
          <w:rFonts w:hint="eastAsia"/>
          <w:sz w:val="30"/>
          <w:szCs w:val="30"/>
        </w:rPr>
      </w:pPr>
    </w:p>
    <w:p w14:paraId="5675587C">
      <w:pPr>
        <w:pStyle w:val="9"/>
        <w:spacing w:before="11"/>
        <w:ind w:left="0"/>
        <w:jc w:val="left"/>
        <w:rPr>
          <w:rFonts w:hint="eastAsia"/>
          <w:sz w:val="30"/>
          <w:szCs w:val="30"/>
        </w:rPr>
      </w:pPr>
      <w:r>
        <w:rPr>
          <w:rFonts w:hint="eastAsia"/>
          <w:sz w:val="30"/>
          <w:szCs w:val="30"/>
        </w:rPr>
        <w:t>6.George Ladd, A Commentary on the Revelation of John, p. 267.</w:t>
      </w:r>
    </w:p>
    <w:p w14:paraId="6128CB1B">
      <w:pPr>
        <w:pStyle w:val="9"/>
        <w:spacing w:before="11"/>
        <w:ind w:left="0"/>
        <w:jc w:val="left"/>
        <w:rPr>
          <w:rFonts w:hint="eastAsia"/>
          <w:sz w:val="30"/>
          <w:szCs w:val="30"/>
        </w:rPr>
      </w:pPr>
      <w:r>
        <w:rPr>
          <w:rFonts w:hint="eastAsia"/>
          <w:sz w:val="30"/>
          <w:szCs w:val="30"/>
        </w:rPr>
        <w:t>6.乔治·赖德，《约翰启示录注释》，第267页。</w:t>
      </w:r>
    </w:p>
    <w:p w14:paraId="26F39070">
      <w:pPr>
        <w:pStyle w:val="9"/>
        <w:spacing w:before="11"/>
        <w:ind w:left="0"/>
        <w:jc w:val="left"/>
        <w:rPr>
          <w:rFonts w:hint="eastAsia"/>
          <w:sz w:val="30"/>
          <w:szCs w:val="30"/>
        </w:rPr>
      </w:pPr>
    </w:p>
    <w:p w14:paraId="44692310">
      <w:pPr>
        <w:pStyle w:val="9"/>
        <w:spacing w:before="11"/>
        <w:ind w:left="0"/>
        <w:jc w:val="left"/>
        <w:rPr>
          <w:rFonts w:hint="eastAsia"/>
          <w:sz w:val="30"/>
          <w:szCs w:val="30"/>
        </w:rPr>
      </w:pPr>
      <w:r>
        <w:rPr>
          <w:rFonts w:hint="eastAsia"/>
          <w:sz w:val="30"/>
          <w:szCs w:val="30"/>
        </w:rPr>
        <w:t>7.Walvoord, The Millennial Kingdom, p. 329.</w:t>
      </w:r>
    </w:p>
    <w:p w14:paraId="343B6787">
      <w:pPr>
        <w:pStyle w:val="9"/>
        <w:spacing w:before="11"/>
        <w:ind w:left="0"/>
        <w:jc w:val="left"/>
        <w:rPr>
          <w:rFonts w:hint="eastAsia"/>
          <w:sz w:val="30"/>
          <w:szCs w:val="30"/>
        </w:rPr>
      </w:pPr>
      <w:r>
        <w:rPr>
          <w:rFonts w:hint="eastAsia"/>
          <w:sz w:val="30"/>
          <w:szCs w:val="30"/>
        </w:rPr>
        <w:t>7.沃尔沃德，《千禧年国度》，第329页。</w:t>
      </w:r>
    </w:p>
    <w:p w14:paraId="58150ABC">
      <w:pPr>
        <w:pStyle w:val="9"/>
        <w:spacing w:before="11"/>
        <w:ind w:left="0"/>
        <w:jc w:val="left"/>
        <w:rPr>
          <w:rFonts w:hint="eastAsia"/>
          <w:sz w:val="30"/>
          <w:szCs w:val="30"/>
        </w:rPr>
      </w:pPr>
    </w:p>
    <w:p w14:paraId="4FA48BF3">
      <w:pPr>
        <w:pStyle w:val="9"/>
        <w:spacing w:before="11"/>
        <w:ind w:left="0"/>
        <w:jc w:val="left"/>
        <w:rPr>
          <w:rFonts w:hint="eastAsia"/>
          <w:sz w:val="30"/>
          <w:szCs w:val="30"/>
        </w:rPr>
      </w:pPr>
      <w:r>
        <w:rPr>
          <w:rFonts w:hint="eastAsia"/>
          <w:sz w:val="30"/>
          <w:szCs w:val="30"/>
        </w:rPr>
        <w:t>8.Johnson, The Triumph of the Lamb, p. 290.</w:t>
      </w:r>
    </w:p>
    <w:p w14:paraId="40B3D676">
      <w:pPr>
        <w:pStyle w:val="9"/>
        <w:spacing w:before="11"/>
        <w:ind w:left="0"/>
        <w:jc w:val="left"/>
        <w:rPr>
          <w:rFonts w:hint="eastAsia"/>
          <w:sz w:val="30"/>
          <w:szCs w:val="30"/>
        </w:rPr>
      </w:pPr>
      <w:r>
        <w:rPr>
          <w:rFonts w:hint="eastAsia"/>
          <w:sz w:val="30"/>
          <w:szCs w:val="30"/>
        </w:rPr>
        <w:t>8.约翰逊，《羔羊的得胜》，第290页。</w:t>
      </w:r>
    </w:p>
    <w:p w14:paraId="27EB1489">
      <w:pPr>
        <w:pStyle w:val="9"/>
        <w:spacing w:before="11"/>
        <w:ind w:left="0"/>
        <w:jc w:val="left"/>
        <w:rPr>
          <w:rFonts w:hint="eastAsia"/>
          <w:sz w:val="30"/>
          <w:szCs w:val="30"/>
        </w:rPr>
      </w:pPr>
    </w:p>
    <w:p w14:paraId="1F0679B6">
      <w:pPr>
        <w:pStyle w:val="9"/>
        <w:spacing w:before="11"/>
        <w:ind w:left="0"/>
        <w:jc w:val="left"/>
        <w:rPr>
          <w:rFonts w:hint="eastAsia"/>
          <w:sz w:val="30"/>
          <w:szCs w:val="30"/>
        </w:rPr>
      </w:pPr>
      <w:r>
        <w:rPr>
          <w:rFonts w:hint="eastAsia"/>
          <w:sz w:val="30"/>
          <w:szCs w:val="30"/>
        </w:rPr>
        <w:t>9.MSB, s.v. Ezekiel 38, p. 1683.</w:t>
      </w:r>
    </w:p>
    <w:p w14:paraId="6863AAEA">
      <w:pPr>
        <w:pStyle w:val="9"/>
        <w:spacing w:before="11"/>
        <w:ind w:left="0"/>
        <w:jc w:val="left"/>
        <w:rPr>
          <w:rFonts w:hint="eastAsia"/>
          <w:sz w:val="30"/>
          <w:szCs w:val="30"/>
        </w:rPr>
      </w:pPr>
      <w:r>
        <w:rPr>
          <w:rFonts w:hint="eastAsia"/>
          <w:sz w:val="30"/>
          <w:szCs w:val="30"/>
        </w:rPr>
        <w:t>9.麦克阿瑟研读本圣经，词条：以西结书38，第1683页。</w:t>
      </w:r>
    </w:p>
    <w:p w14:paraId="0BD0ED65">
      <w:pPr>
        <w:pStyle w:val="9"/>
        <w:spacing w:before="11"/>
        <w:ind w:left="0"/>
        <w:jc w:val="left"/>
        <w:rPr>
          <w:rFonts w:hint="eastAsia"/>
          <w:sz w:val="30"/>
          <w:szCs w:val="30"/>
        </w:rPr>
      </w:pPr>
    </w:p>
    <w:p w14:paraId="653F119D">
      <w:pPr>
        <w:pStyle w:val="9"/>
        <w:spacing w:before="11"/>
        <w:ind w:left="0"/>
        <w:jc w:val="left"/>
        <w:rPr>
          <w:rFonts w:hint="eastAsia"/>
          <w:sz w:val="30"/>
          <w:szCs w:val="30"/>
        </w:rPr>
      </w:pPr>
      <w:r>
        <w:rPr>
          <w:rFonts w:hint="eastAsia"/>
          <w:sz w:val="30"/>
          <w:szCs w:val="30"/>
        </w:rPr>
        <w:t>10.Ibid., s.v. Revelation 20, p. 2740.</w:t>
      </w:r>
    </w:p>
    <w:p w14:paraId="42083A0E">
      <w:pPr>
        <w:pStyle w:val="9"/>
        <w:spacing w:before="11"/>
        <w:ind w:left="0"/>
        <w:jc w:val="left"/>
        <w:rPr>
          <w:rFonts w:hint="eastAsia"/>
          <w:sz w:val="30"/>
          <w:szCs w:val="30"/>
        </w:rPr>
      </w:pPr>
      <w:r>
        <w:rPr>
          <w:rFonts w:hint="eastAsia"/>
          <w:sz w:val="30"/>
          <w:szCs w:val="30"/>
        </w:rPr>
        <w:t>10.同上，词条：启示录20，第2740页。</w:t>
      </w:r>
    </w:p>
    <w:p w14:paraId="6E1E68CD">
      <w:pPr>
        <w:pStyle w:val="9"/>
        <w:spacing w:before="11"/>
        <w:ind w:left="0"/>
        <w:jc w:val="left"/>
        <w:rPr>
          <w:rFonts w:hint="eastAsia"/>
          <w:sz w:val="30"/>
          <w:szCs w:val="30"/>
        </w:rPr>
      </w:pPr>
    </w:p>
    <w:p w14:paraId="4C79C5A4">
      <w:pPr>
        <w:pStyle w:val="9"/>
        <w:spacing w:before="11"/>
        <w:ind w:left="0"/>
        <w:jc w:val="left"/>
        <w:rPr>
          <w:rFonts w:hint="eastAsia"/>
          <w:sz w:val="30"/>
          <w:szCs w:val="30"/>
        </w:rPr>
      </w:pPr>
      <w:r>
        <w:rPr>
          <w:rFonts w:hint="eastAsia"/>
          <w:sz w:val="30"/>
          <w:szCs w:val="30"/>
        </w:rPr>
        <w:t>11.Walvoord, The Millennial Kingdom, p. 294.</w:t>
      </w:r>
    </w:p>
    <w:p w14:paraId="5D38BBB7">
      <w:pPr>
        <w:pStyle w:val="9"/>
        <w:spacing w:before="11"/>
        <w:ind w:left="0"/>
        <w:jc w:val="left"/>
        <w:rPr>
          <w:rFonts w:hint="eastAsia"/>
          <w:sz w:val="30"/>
          <w:szCs w:val="30"/>
        </w:rPr>
      </w:pPr>
      <w:r>
        <w:rPr>
          <w:rFonts w:hint="eastAsia"/>
          <w:sz w:val="30"/>
          <w:szCs w:val="30"/>
        </w:rPr>
        <w:t>11.沃尔沃德，《千禧年国度》，第294页。</w:t>
      </w:r>
    </w:p>
    <w:p w14:paraId="26AB4749">
      <w:pPr>
        <w:pStyle w:val="9"/>
        <w:spacing w:before="11"/>
        <w:ind w:left="0"/>
        <w:jc w:val="left"/>
        <w:rPr>
          <w:rFonts w:hint="eastAsia"/>
          <w:sz w:val="30"/>
          <w:szCs w:val="30"/>
        </w:rPr>
      </w:pPr>
    </w:p>
    <w:p w14:paraId="60CA3692">
      <w:pPr>
        <w:pStyle w:val="9"/>
        <w:spacing w:before="11"/>
        <w:ind w:left="0"/>
        <w:jc w:val="left"/>
        <w:rPr>
          <w:rFonts w:hint="eastAsia"/>
          <w:sz w:val="30"/>
          <w:szCs w:val="30"/>
        </w:rPr>
      </w:pPr>
      <w:r>
        <w:rPr>
          <w:rFonts w:hint="eastAsia"/>
          <w:sz w:val="30"/>
          <w:szCs w:val="30"/>
        </w:rPr>
        <w:t>12.MSB, s.v. Revelation 20, p. 2741.</w:t>
      </w:r>
    </w:p>
    <w:p w14:paraId="3E4B0ED4">
      <w:pPr>
        <w:pStyle w:val="9"/>
        <w:spacing w:before="11"/>
        <w:ind w:left="0"/>
        <w:jc w:val="left"/>
        <w:rPr>
          <w:rFonts w:hint="eastAsia"/>
          <w:sz w:val="30"/>
          <w:szCs w:val="30"/>
        </w:rPr>
      </w:pPr>
      <w:r>
        <w:rPr>
          <w:rFonts w:hint="eastAsia"/>
          <w:sz w:val="30"/>
          <w:szCs w:val="30"/>
        </w:rPr>
        <w:t>12.麦克阿瑟研读本圣经，词条：启示录20，第2741页。</w:t>
      </w:r>
    </w:p>
    <w:p w14:paraId="3B106852">
      <w:pPr>
        <w:pStyle w:val="9"/>
        <w:spacing w:before="11"/>
        <w:ind w:left="0"/>
        <w:jc w:val="left"/>
        <w:rPr>
          <w:rFonts w:hint="eastAsia"/>
          <w:sz w:val="30"/>
          <w:szCs w:val="30"/>
        </w:rPr>
      </w:pPr>
    </w:p>
    <w:p w14:paraId="038E83DB">
      <w:pPr>
        <w:pStyle w:val="9"/>
        <w:spacing w:before="11"/>
        <w:ind w:left="0"/>
        <w:jc w:val="left"/>
        <w:rPr>
          <w:rFonts w:hint="eastAsia"/>
          <w:sz w:val="30"/>
          <w:szCs w:val="30"/>
        </w:rPr>
      </w:pPr>
      <w:r>
        <w:rPr>
          <w:rFonts w:hint="eastAsia"/>
          <w:sz w:val="30"/>
          <w:szCs w:val="30"/>
        </w:rPr>
        <w:t>13.Ladd, op. cit., p. 272.</w:t>
      </w:r>
    </w:p>
    <w:p w14:paraId="484340B5">
      <w:pPr>
        <w:pStyle w:val="9"/>
        <w:spacing w:before="11"/>
        <w:ind w:left="0"/>
        <w:jc w:val="left"/>
        <w:rPr>
          <w:rFonts w:hint="eastAsia"/>
          <w:sz w:val="30"/>
          <w:szCs w:val="30"/>
        </w:rPr>
      </w:pPr>
      <w:r>
        <w:rPr>
          <w:rFonts w:hint="eastAsia"/>
          <w:sz w:val="30"/>
          <w:szCs w:val="30"/>
        </w:rPr>
        <w:t>13.赖德，同上引文，第272页。</w:t>
      </w:r>
    </w:p>
    <w:p w14:paraId="183E9FC3">
      <w:pPr>
        <w:pStyle w:val="9"/>
        <w:spacing w:before="11"/>
        <w:ind w:left="0"/>
        <w:jc w:val="left"/>
        <w:rPr>
          <w:rFonts w:hint="eastAsia"/>
          <w:sz w:val="30"/>
          <w:szCs w:val="30"/>
        </w:rPr>
      </w:pPr>
    </w:p>
    <w:p w14:paraId="18FE491A">
      <w:pPr>
        <w:pStyle w:val="9"/>
        <w:spacing w:before="11"/>
        <w:ind w:left="0"/>
        <w:jc w:val="left"/>
        <w:rPr>
          <w:rFonts w:hint="eastAsia"/>
          <w:sz w:val="30"/>
          <w:szCs w:val="30"/>
        </w:rPr>
      </w:pPr>
      <w:r>
        <w:rPr>
          <w:rFonts w:hint="eastAsia"/>
          <w:sz w:val="30"/>
          <w:szCs w:val="30"/>
        </w:rPr>
        <w:t>14.The Millennium Bible, pp. 694-703.</w:t>
      </w:r>
    </w:p>
    <w:p w14:paraId="0A686ECD">
      <w:pPr>
        <w:pStyle w:val="9"/>
        <w:spacing w:before="11"/>
        <w:ind w:left="0"/>
        <w:jc w:val="left"/>
        <w:rPr>
          <w:rFonts w:hint="eastAsia"/>
          <w:sz w:val="30"/>
          <w:szCs w:val="30"/>
        </w:rPr>
      </w:pPr>
      <w:r>
        <w:rPr>
          <w:rFonts w:hint="eastAsia"/>
          <w:sz w:val="30"/>
          <w:szCs w:val="30"/>
        </w:rPr>
        <w:t>14.《千禧年圣经》，第694-703页。</w:t>
      </w:r>
    </w:p>
    <w:p w14:paraId="2234FB98">
      <w:pPr>
        <w:pStyle w:val="9"/>
        <w:spacing w:before="11"/>
        <w:ind w:left="0"/>
        <w:jc w:val="left"/>
        <w:rPr>
          <w:rFonts w:hint="eastAsia"/>
          <w:sz w:val="30"/>
          <w:szCs w:val="30"/>
        </w:rPr>
      </w:pPr>
    </w:p>
    <w:p w14:paraId="705E3C60">
      <w:pPr>
        <w:pStyle w:val="9"/>
        <w:spacing w:before="11"/>
        <w:ind w:left="0"/>
        <w:jc w:val="left"/>
        <w:rPr>
          <w:rFonts w:hint="eastAsia"/>
          <w:sz w:val="30"/>
          <w:szCs w:val="30"/>
        </w:rPr>
      </w:pPr>
      <w:r>
        <w:rPr>
          <w:rFonts w:hint="eastAsia"/>
          <w:sz w:val="30"/>
          <w:szCs w:val="30"/>
        </w:rPr>
        <w:t>15.Speaking of Grand Finales, be sure to listen to the last movement of Anton Dvorak’s New World Symphony.</w:t>
      </w:r>
    </w:p>
    <w:p w14:paraId="3FB0792D">
      <w:pPr>
        <w:pStyle w:val="9"/>
        <w:spacing w:before="11"/>
        <w:ind w:left="0"/>
        <w:jc w:val="left"/>
        <w:rPr>
          <w:rFonts w:hint="eastAsia"/>
          <w:sz w:val="30"/>
          <w:szCs w:val="30"/>
        </w:rPr>
      </w:pPr>
      <w:r>
        <w:rPr>
          <w:rFonts w:hint="eastAsia"/>
          <w:sz w:val="30"/>
          <w:szCs w:val="30"/>
        </w:rPr>
        <w:t>15.说到宏伟的终曲，一定要听安东·德沃夏克的《新世界交响曲》的最后一个乐章。</w:t>
      </w:r>
    </w:p>
    <w:p w14:paraId="27FF521C">
      <w:pPr>
        <w:pStyle w:val="9"/>
        <w:spacing w:before="11"/>
        <w:ind w:left="0"/>
        <w:jc w:val="left"/>
        <w:rPr>
          <w:rFonts w:hint="eastAsia"/>
          <w:sz w:val="30"/>
          <w:szCs w:val="30"/>
        </w:rPr>
      </w:pPr>
    </w:p>
    <w:p w14:paraId="200B48DC">
      <w:pPr>
        <w:pStyle w:val="9"/>
        <w:spacing w:before="11"/>
        <w:ind w:left="0"/>
        <w:jc w:val="left"/>
        <w:rPr>
          <w:rFonts w:hint="eastAsia"/>
          <w:sz w:val="30"/>
          <w:szCs w:val="30"/>
        </w:rPr>
      </w:pPr>
      <w:r>
        <w:rPr>
          <w:rFonts w:hint="eastAsia"/>
          <w:sz w:val="30"/>
          <w:szCs w:val="30"/>
        </w:rPr>
        <w:t>If he didn’t have in mind the World to Come, he certainly should have!</w:t>
      </w:r>
    </w:p>
    <w:p w14:paraId="4CAAA1D7">
      <w:pPr>
        <w:pStyle w:val="9"/>
        <w:spacing w:before="11"/>
        <w:ind w:left="0"/>
        <w:jc w:val="left"/>
        <w:rPr>
          <w:rFonts w:hint="eastAsia"/>
          <w:sz w:val="30"/>
          <w:szCs w:val="30"/>
        </w:rPr>
      </w:pPr>
      <w:r>
        <w:rPr>
          <w:rFonts w:hint="eastAsia"/>
          <w:sz w:val="30"/>
          <w:szCs w:val="30"/>
        </w:rPr>
        <w:t>如果他心中没有想到来世，他肯定应该想到！</w:t>
      </w:r>
    </w:p>
    <w:p w14:paraId="7E90E659">
      <w:pPr>
        <w:pStyle w:val="9"/>
        <w:spacing w:before="11"/>
        <w:ind w:left="0"/>
        <w:jc w:val="left"/>
        <w:rPr>
          <w:rFonts w:hint="eastAsia"/>
          <w:sz w:val="30"/>
          <w:szCs w:val="30"/>
        </w:rPr>
      </w:pPr>
    </w:p>
    <w:p w14:paraId="1205D524">
      <w:pPr>
        <w:pStyle w:val="9"/>
        <w:spacing w:before="11"/>
        <w:ind w:left="0"/>
        <w:jc w:val="left"/>
        <w:rPr>
          <w:rFonts w:hint="eastAsia"/>
          <w:sz w:val="30"/>
          <w:szCs w:val="30"/>
        </w:rPr>
      </w:pPr>
      <w:r>
        <w:rPr>
          <w:rFonts w:hint="eastAsia"/>
          <w:sz w:val="30"/>
          <w:szCs w:val="30"/>
        </w:rPr>
        <w:t>Chapter 22: The Design, Structure, and Unity of the Consummation</w:t>
      </w:r>
    </w:p>
    <w:p w14:paraId="2EF9E135">
      <w:pPr>
        <w:pStyle w:val="9"/>
        <w:spacing w:before="11"/>
        <w:ind w:left="0"/>
        <w:jc w:val="left"/>
        <w:rPr>
          <w:rFonts w:hint="eastAsia"/>
          <w:sz w:val="30"/>
          <w:szCs w:val="30"/>
        </w:rPr>
      </w:pPr>
      <w:r>
        <w:rPr>
          <w:rFonts w:hint="eastAsia"/>
          <w:sz w:val="30"/>
          <w:szCs w:val="30"/>
        </w:rPr>
        <w:t>第22章：结局的设计、结构与统一性</w:t>
      </w:r>
    </w:p>
    <w:p w14:paraId="326CAB82">
      <w:pPr>
        <w:pStyle w:val="9"/>
        <w:spacing w:before="11"/>
        <w:ind w:left="0"/>
        <w:jc w:val="left"/>
        <w:rPr>
          <w:rFonts w:hint="eastAsia"/>
          <w:sz w:val="30"/>
          <w:szCs w:val="30"/>
        </w:rPr>
      </w:pPr>
    </w:p>
    <w:p w14:paraId="50691301">
      <w:pPr>
        <w:pStyle w:val="9"/>
        <w:spacing w:before="11"/>
        <w:ind w:left="0"/>
        <w:jc w:val="left"/>
        <w:rPr>
          <w:rFonts w:hint="eastAsia"/>
          <w:sz w:val="30"/>
          <w:szCs w:val="30"/>
        </w:rPr>
      </w:pPr>
      <w:r>
        <w:rPr>
          <w:rFonts w:hint="eastAsia"/>
          <w:sz w:val="30"/>
          <w:szCs w:val="30"/>
        </w:rPr>
        <w:t>1.For a substantive introduction to biblical cosmology and a close look at the idea of cosmic geocentricity, see Dean Davis, In Search of the Beginning: A Seeker’s Journey to the Origin of the Universe, Life, and Man (Pleasant Word, 2005); my essay, The Case for Cosmic Geocentricity, (www.clr4u.org/writings/essays/345.html); and Philip Stott, Vital Questions (Reformation Media Press), chapter 6.</w:t>
      </w:r>
    </w:p>
    <w:p w14:paraId="47DFA4F9">
      <w:pPr>
        <w:pStyle w:val="9"/>
        <w:spacing w:before="11"/>
        <w:ind w:left="0"/>
        <w:jc w:val="left"/>
        <w:rPr>
          <w:rFonts w:hint="eastAsia"/>
          <w:sz w:val="30"/>
          <w:szCs w:val="30"/>
        </w:rPr>
      </w:pPr>
      <w:r>
        <w:rPr>
          <w:rFonts w:hint="eastAsia"/>
          <w:sz w:val="30"/>
          <w:szCs w:val="30"/>
        </w:rPr>
        <w:t>1.关于圣经宇宙论的实质性介绍以及对宇宙地心论观念的仔细审视，见迪恩·戴维斯，《寻找开端：一位寻求者对宇宙、生命和人类起源的旅程》（Pleasant Word, 2005）；我的论文《宇宙地心论的案例》（www.clr4u.org/writings/essays/345.html）；以及菲利普·斯托特，《重要问题》（Reformation Media Press），第6章。</w:t>
      </w:r>
    </w:p>
    <w:p w14:paraId="316B30F1">
      <w:pPr>
        <w:pStyle w:val="9"/>
        <w:spacing w:before="11"/>
        <w:ind w:left="0"/>
        <w:jc w:val="left"/>
        <w:rPr>
          <w:rFonts w:hint="eastAsia"/>
          <w:sz w:val="30"/>
          <w:szCs w:val="30"/>
        </w:rPr>
      </w:pPr>
    </w:p>
    <w:p w14:paraId="28031886">
      <w:pPr>
        <w:pStyle w:val="9"/>
        <w:spacing w:before="11"/>
        <w:ind w:left="0"/>
        <w:jc w:val="left"/>
        <w:rPr>
          <w:rFonts w:hint="eastAsia"/>
          <w:sz w:val="30"/>
          <w:szCs w:val="30"/>
        </w:rPr>
      </w:pPr>
      <w:r>
        <w:rPr>
          <w:rFonts w:hint="eastAsia"/>
          <w:sz w:val="30"/>
          <w:szCs w:val="30"/>
        </w:rPr>
        <w:t>2.See W. J. Grier, The Momentous Event (Banner of Truth, 1945).</w:t>
      </w:r>
    </w:p>
    <w:p w14:paraId="0B36A501">
      <w:pPr>
        <w:pStyle w:val="9"/>
        <w:spacing w:before="11"/>
        <w:ind w:left="0"/>
        <w:jc w:val="left"/>
        <w:rPr>
          <w:rFonts w:hint="eastAsia"/>
          <w:sz w:val="30"/>
          <w:szCs w:val="30"/>
        </w:rPr>
      </w:pPr>
      <w:r>
        <w:rPr>
          <w:rFonts w:hint="eastAsia"/>
          <w:sz w:val="30"/>
          <w:szCs w:val="30"/>
        </w:rPr>
        <w:t>2.见W. J. 格里尔，《重大事件》（Banner of Truth, 1945）。</w:t>
      </w:r>
    </w:p>
    <w:p w14:paraId="72AA6302">
      <w:pPr>
        <w:pStyle w:val="9"/>
        <w:spacing w:before="11"/>
        <w:ind w:left="0"/>
        <w:jc w:val="left"/>
        <w:rPr>
          <w:rFonts w:hint="eastAsia"/>
          <w:sz w:val="30"/>
          <w:szCs w:val="30"/>
        </w:rPr>
      </w:pPr>
    </w:p>
    <w:p w14:paraId="57F28503">
      <w:pPr>
        <w:pStyle w:val="9"/>
        <w:spacing w:before="11"/>
        <w:ind w:left="0"/>
        <w:jc w:val="left"/>
        <w:rPr>
          <w:rFonts w:hint="eastAsia"/>
          <w:sz w:val="30"/>
          <w:szCs w:val="30"/>
        </w:rPr>
      </w:pPr>
      <w:r>
        <w:rPr>
          <w:rFonts w:hint="eastAsia"/>
          <w:sz w:val="30"/>
          <w:szCs w:val="30"/>
        </w:rPr>
        <w:t>This is a short, popular introduction to the major themes of biblical eschatology.</w:t>
      </w:r>
    </w:p>
    <w:p w14:paraId="471A9E51">
      <w:pPr>
        <w:pStyle w:val="9"/>
        <w:spacing w:before="11"/>
        <w:ind w:left="0"/>
        <w:jc w:val="left"/>
        <w:rPr>
          <w:rFonts w:hint="eastAsia"/>
          <w:sz w:val="30"/>
          <w:szCs w:val="30"/>
        </w:rPr>
      </w:pPr>
      <w:r>
        <w:rPr>
          <w:rFonts w:hint="eastAsia"/>
          <w:sz w:val="30"/>
          <w:szCs w:val="30"/>
        </w:rPr>
        <w:t>这是一本关于圣经末世论主要主题的简短、通俗的介绍。</w:t>
      </w:r>
    </w:p>
    <w:p w14:paraId="348796DF">
      <w:pPr>
        <w:pStyle w:val="9"/>
        <w:spacing w:before="11"/>
        <w:ind w:left="0"/>
        <w:jc w:val="left"/>
        <w:rPr>
          <w:rFonts w:hint="eastAsia"/>
          <w:sz w:val="30"/>
          <w:szCs w:val="30"/>
        </w:rPr>
      </w:pPr>
    </w:p>
    <w:p w14:paraId="1F3AC2B5">
      <w:pPr>
        <w:pStyle w:val="9"/>
        <w:spacing w:before="11"/>
        <w:ind w:left="0"/>
        <w:jc w:val="left"/>
        <w:rPr>
          <w:rFonts w:hint="eastAsia"/>
          <w:sz w:val="30"/>
          <w:szCs w:val="30"/>
        </w:rPr>
      </w:pPr>
      <w:r>
        <w:rPr>
          <w:rFonts w:hint="eastAsia"/>
          <w:sz w:val="30"/>
          <w:szCs w:val="30"/>
        </w:rPr>
        <w:t>Grier defends the classic Reformation view of a single Consummation set to occur at the Parousia of Christ.</w:t>
      </w:r>
    </w:p>
    <w:p w14:paraId="427D3732">
      <w:pPr>
        <w:pStyle w:val="9"/>
        <w:spacing w:before="11"/>
        <w:ind w:left="0"/>
        <w:jc w:val="left"/>
        <w:rPr>
          <w:rFonts w:hint="eastAsia"/>
          <w:sz w:val="30"/>
          <w:szCs w:val="30"/>
        </w:rPr>
      </w:pPr>
      <w:r>
        <w:rPr>
          <w:rFonts w:hint="eastAsia"/>
          <w:sz w:val="30"/>
          <w:szCs w:val="30"/>
        </w:rPr>
        <w:t>格里尔捍卫了经典改革宗的观点，即在基督再来时将发生一个单一的结局。</w:t>
      </w:r>
    </w:p>
    <w:p w14:paraId="4FF299F9">
      <w:pPr>
        <w:pStyle w:val="9"/>
        <w:spacing w:before="11"/>
        <w:ind w:left="0"/>
        <w:jc w:val="left"/>
        <w:rPr>
          <w:rFonts w:hint="eastAsia"/>
          <w:sz w:val="30"/>
          <w:szCs w:val="30"/>
        </w:rPr>
      </w:pPr>
    </w:p>
    <w:p w14:paraId="64CA5C42">
      <w:pPr>
        <w:pStyle w:val="9"/>
        <w:spacing w:before="11"/>
        <w:ind w:left="0"/>
        <w:jc w:val="left"/>
        <w:rPr>
          <w:rFonts w:hint="eastAsia"/>
          <w:sz w:val="30"/>
          <w:szCs w:val="30"/>
        </w:rPr>
      </w:pPr>
      <w:r>
        <w:rPr>
          <w:rFonts w:hint="eastAsia"/>
          <w:sz w:val="30"/>
          <w:szCs w:val="30"/>
        </w:rPr>
        <w:t>3.Premillennarians argue that Dan. 12:2, which states that many who sleep in the dust will awake, teaches a partial resurrection.</w:t>
      </w:r>
    </w:p>
    <w:p w14:paraId="4B0D7269">
      <w:pPr>
        <w:pStyle w:val="9"/>
        <w:spacing w:before="11"/>
        <w:ind w:left="0"/>
        <w:jc w:val="left"/>
        <w:rPr>
          <w:rFonts w:hint="eastAsia"/>
          <w:sz w:val="30"/>
          <w:szCs w:val="30"/>
        </w:rPr>
      </w:pPr>
      <w:r>
        <w:rPr>
          <w:rFonts w:hint="eastAsia"/>
          <w:sz w:val="30"/>
          <w:szCs w:val="30"/>
        </w:rPr>
        <w:t>3.前千禧年论者主张，但以理书12:2节，即说睡在尘埃中的多有醒过来的，教导的是一次局部的复活。</w:t>
      </w:r>
    </w:p>
    <w:p w14:paraId="6307C3CF">
      <w:pPr>
        <w:pStyle w:val="9"/>
        <w:spacing w:before="11"/>
        <w:ind w:left="0"/>
        <w:jc w:val="left"/>
        <w:rPr>
          <w:rFonts w:hint="eastAsia"/>
          <w:sz w:val="30"/>
          <w:szCs w:val="30"/>
        </w:rPr>
      </w:pPr>
    </w:p>
    <w:p w14:paraId="540ECECD">
      <w:pPr>
        <w:pStyle w:val="9"/>
        <w:spacing w:before="11"/>
        <w:ind w:left="0"/>
        <w:jc w:val="left"/>
        <w:rPr>
          <w:rFonts w:hint="eastAsia"/>
          <w:sz w:val="30"/>
          <w:szCs w:val="30"/>
        </w:rPr>
      </w:pPr>
      <w:r>
        <w:rPr>
          <w:rFonts w:hint="eastAsia"/>
          <w:sz w:val="30"/>
          <w:szCs w:val="30"/>
        </w:rPr>
        <w:t>However, this interpretation is impossible since there is nothing else in Daniel, the Didactic NT, or the Revelation to confirm it, and a great deal to contradict it.</w:t>
      </w:r>
    </w:p>
    <w:p w14:paraId="47931447">
      <w:pPr>
        <w:pStyle w:val="9"/>
        <w:spacing w:before="11"/>
        <w:ind w:left="0"/>
        <w:jc w:val="left"/>
        <w:rPr>
          <w:rFonts w:hint="eastAsia"/>
          <w:sz w:val="30"/>
          <w:szCs w:val="30"/>
        </w:rPr>
      </w:pPr>
      <w:r>
        <w:rPr>
          <w:rFonts w:hint="eastAsia"/>
          <w:sz w:val="30"/>
          <w:szCs w:val="30"/>
        </w:rPr>
        <w:t>然而，这种解释是不可能的，因为在但以理书、教义性新约或启示录中，没有任何其他内容可以证实它，反而有大量内容与之相矛盾。</w:t>
      </w:r>
    </w:p>
    <w:p w14:paraId="5C3E5E62">
      <w:pPr>
        <w:pStyle w:val="9"/>
        <w:spacing w:before="11"/>
        <w:ind w:left="0"/>
        <w:jc w:val="left"/>
        <w:rPr>
          <w:rFonts w:hint="eastAsia"/>
          <w:sz w:val="30"/>
          <w:szCs w:val="30"/>
        </w:rPr>
      </w:pPr>
    </w:p>
    <w:p w14:paraId="3CC9AD10">
      <w:pPr>
        <w:pStyle w:val="9"/>
        <w:spacing w:before="11"/>
        <w:ind w:left="0"/>
        <w:jc w:val="left"/>
        <w:rPr>
          <w:rFonts w:hint="eastAsia"/>
          <w:sz w:val="30"/>
          <w:szCs w:val="30"/>
        </w:rPr>
      </w:pPr>
      <w:r>
        <w:rPr>
          <w:rFonts w:hint="eastAsia"/>
          <w:sz w:val="30"/>
          <w:szCs w:val="30"/>
        </w:rPr>
        <w:t>Accordingly, Leupold translates Dan. 12:2 as follows: “There will be many who will arise from sleeping in the land of the dust.”</w:t>
      </w:r>
    </w:p>
    <w:p w14:paraId="61267778">
      <w:pPr>
        <w:pStyle w:val="9"/>
        <w:spacing w:before="11"/>
        <w:ind w:left="0"/>
        <w:jc w:val="left"/>
        <w:rPr>
          <w:rFonts w:hint="eastAsia"/>
          <w:sz w:val="30"/>
          <w:szCs w:val="30"/>
        </w:rPr>
      </w:pPr>
      <w:r>
        <w:rPr>
          <w:rFonts w:hint="eastAsia"/>
          <w:sz w:val="30"/>
          <w:szCs w:val="30"/>
        </w:rPr>
        <w:t>因此，洛伊波尔德将但以理书12:2翻译如下：“将有许多人从尘土之地中睡醒过来。”</w:t>
      </w:r>
    </w:p>
    <w:p w14:paraId="722F5534">
      <w:pPr>
        <w:pStyle w:val="9"/>
        <w:spacing w:before="11"/>
        <w:ind w:left="0"/>
        <w:jc w:val="left"/>
        <w:rPr>
          <w:rFonts w:hint="eastAsia"/>
          <w:sz w:val="30"/>
          <w:szCs w:val="30"/>
        </w:rPr>
      </w:pPr>
    </w:p>
    <w:p w14:paraId="16A5DC11">
      <w:pPr>
        <w:pStyle w:val="9"/>
        <w:spacing w:before="11"/>
        <w:ind w:left="0"/>
        <w:jc w:val="left"/>
        <w:rPr>
          <w:rFonts w:hint="eastAsia"/>
          <w:sz w:val="30"/>
          <w:szCs w:val="30"/>
        </w:rPr>
      </w:pPr>
      <w:r>
        <w:rPr>
          <w:rFonts w:hint="eastAsia"/>
          <w:sz w:val="30"/>
          <w:szCs w:val="30"/>
        </w:rPr>
        <w:t>His view is that in Daniel the Spirit is stressing the magnitude of the resurrection (many bodies will arise), while in John 5:28-29 (which refers to Daniel, and interprets it) Christ is stressing the universality of the resurrection (all bodies everywhere will arise).</w:t>
      </w:r>
    </w:p>
    <w:p w14:paraId="7FCEF3B1">
      <w:pPr>
        <w:pStyle w:val="9"/>
        <w:spacing w:before="11"/>
        <w:ind w:left="0"/>
        <w:jc w:val="left"/>
        <w:rPr>
          <w:rFonts w:hint="eastAsia"/>
          <w:sz w:val="30"/>
          <w:szCs w:val="30"/>
        </w:rPr>
      </w:pPr>
      <w:r>
        <w:rPr>
          <w:rFonts w:hint="eastAsia"/>
          <w:sz w:val="30"/>
          <w:szCs w:val="30"/>
        </w:rPr>
        <w:t>他的观点是，在但以理书中，圣灵强调的是复活的宏大规模（许多身体将复活），而在约翰福音5:28-29（该处引用并解释了但以理书）中，基督强调的是复活的普世性（各处所有的身体都将复活）。</w:t>
      </w:r>
    </w:p>
    <w:p w14:paraId="3050F1A0">
      <w:pPr>
        <w:pStyle w:val="9"/>
        <w:spacing w:before="11"/>
        <w:ind w:left="0"/>
        <w:jc w:val="left"/>
        <w:rPr>
          <w:rFonts w:hint="eastAsia"/>
          <w:sz w:val="30"/>
          <w:szCs w:val="30"/>
        </w:rPr>
      </w:pPr>
    </w:p>
    <w:p w14:paraId="1D4515A6">
      <w:pPr>
        <w:pStyle w:val="9"/>
        <w:spacing w:before="11"/>
        <w:ind w:left="0"/>
        <w:jc w:val="left"/>
        <w:rPr>
          <w:rFonts w:hint="eastAsia"/>
          <w:sz w:val="30"/>
          <w:szCs w:val="30"/>
        </w:rPr>
      </w:pPr>
      <w:r>
        <w:rPr>
          <w:rFonts w:hint="eastAsia"/>
          <w:sz w:val="30"/>
          <w:szCs w:val="30"/>
        </w:rPr>
        <w:t>If so, it is clear that both texts agree in teaching a single general resurrection.</w:t>
      </w:r>
    </w:p>
    <w:p w14:paraId="76D52A9A">
      <w:pPr>
        <w:pStyle w:val="9"/>
        <w:spacing w:before="11"/>
        <w:ind w:left="0"/>
        <w:jc w:val="left"/>
        <w:rPr>
          <w:rFonts w:hint="eastAsia"/>
          <w:sz w:val="30"/>
          <w:szCs w:val="30"/>
        </w:rPr>
      </w:pPr>
      <w:r>
        <w:rPr>
          <w:rFonts w:hint="eastAsia"/>
          <w:sz w:val="30"/>
          <w:szCs w:val="30"/>
        </w:rPr>
        <w:t>如果是这样，那么很明显，这两段经文都同意教导一次单一的普遍复活。</w:t>
      </w:r>
    </w:p>
    <w:p w14:paraId="1F7C718D">
      <w:pPr>
        <w:pStyle w:val="9"/>
        <w:spacing w:before="11"/>
        <w:ind w:left="0"/>
        <w:jc w:val="left"/>
        <w:rPr>
          <w:rFonts w:hint="eastAsia"/>
          <w:sz w:val="30"/>
          <w:szCs w:val="30"/>
        </w:rPr>
      </w:pPr>
    </w:p>
    <w:p w14:paraId="62C2A4BB">
      <w:pPr>
        <w:pStyle w:val="9"/>
        <w:spacing w:before="11"/>
        <w:ind w:left="0"/>
        <w:jc w:val="left"/>
        <w:rPr>
          <w:rFonts w:hint="eastAsia"/>
          <w:sz w:val="30"/>
          <w:szCs w:val="30"/>
        </w:rPr>
      </w:pPr>
      <w:r>
        <w:rPr>
          <w:rFonts w:hint="eastAsia"/>
          <w:sz w:val="30"/>
          <w:szCs w:val="30"/>
        </w:rPr>
        <w:t>See Exposition of Daniel, pp. 529- 532.</w:t>
      </w:r>
    </w:p>
    <w:p w14:paraId="18FCC9CE">
      <w:pPr>
        <w:pStyle w:val="9"/>
        <w:spacing w:before="11"/>
        <w:ind w:left="0"/>
        <w:jc w:val="left"/>
        <w:rPr>
          <w:rFonts w:hint="eastAsia"/>
          <w:sz w:val="30"/>
          <w:szCs w:val="30"/>
        </w:rPr>
      </w:pPr>
      <w:r>
        <w:rPr>
          <w:rFonts w:hint="eastAsia"/>
          <w:sz w:val="30"/>
          <w:szCs w:val="30"/>
        </w:rPr>
        <w:t>见《但以理书注释》，第529-532页。</w:t>
      </w:r>
    </w:p>
    <w:p w14:paraId="62D8C13A">
      <w:pPr>
        <w:pStyle w:val="9"/>
        <w:spacing w:before="11"/>
        <w:ind w:left="0"/>
        <w:jc w:val="left"/>
        <w:rPr>
          <w:rFonts w:hint="eastAsia"/>
          <w:sz w:val="30"/>
          <w:szCs w:val="30"/>
        </w:rPr>
      </w:pPr>
    </w:p>
    <w:p w14:paraId="050960C3">
      <w:pPr>
        <w:pStyle w:val="9"/>
        <w:spacing w:before="11"/>
        <w:ind w:left="0"/>
        <w:jc w:val="left"/>
        <w:rPr>
          <w:rFonts w:hint="eastAsia"/>
          <w:sz w:val="30"/>
          <w:szCs w:val="30"/>
        </w:rPr>
      </w:pPr>
      <w:r>
        <w:rPr>
          <w:rFonts w:hint="eastAsia"/>
          <w:sz w:val="30"/>
          <w:szCs w:val="30"/>
        </w:rPr>
        <w:t>4. In the next chapter, we will examine these and other texts in order to clarify their meaning and draw out their implications for the Great End Time Debate.</w:t>
      </w:r>
    </w:p>
    <w:p w14:paraId="21DAFCD7">
      <w:pPr>
        <w:pStyle w:val="9"/>
        <w:spacing w:before="11"/>
        <w:ind w:left="0"/>
        <w:jc w:val="left"/>
        <w:rPr>
          <w:rFonts w:hint="eastAsia"/>
          <w:sz w:val="30"/>
          <w:szCs w:val="30"/>
        </w:rPr>
      </w:pPr>
      <w:r>
        <w:rPr>
          <w:rFonts w:hint="eastAsia"/>
          <w:sz w:val="30"/>
          <w:szCs w:val="30"/>
        </w:rPr>
        <w:t>4. 在下一章中，我们将查考这些及其他经文，以澄清它们的意义，并引出它们对伟大的末世辩论的含义。</w:t>
      </w:r>
    </w:p>
    <w:p w14:paraId="5BFA1630">
      <w:pPr>
        <w:pStyle w:val="9"/>
        <w:spacing w:before="11"/>
        <w:ind w:left="0"/>
        <w:jc w:val="left"/>
        <w:rPr>
          <w:rFonts w:hint="eastAsia"/>
          <w:sz w:val="30"/>
          <w:szCs w:val="30"/>
        </w:rPr>
      </w:pPr>
    </w:p>
    <w:p w14:paraId="479BB25B">
      <w:pPr>
        <w:pStyle w:val="9"/>
        <w:spacing w:before="11"/>
        <w:ind w:left="0"/>
        <w:jc w:val="left"/>
        <w:rPr>
          <w:rFonts w:hint="eastAsia"/>
          <w:sz w:val="30"/>
          <w:szCs w:val="30"/>
        </w:rPr>
      </w:pPr>
      <w:r>
        <w:rPr>
          <w:rFonts w:hint="eastAsia"/>
          <w:sz w:val="30"/>
          <w:szCs w:val="30"/>
        </w:rPr>
        <w:t>5.This is problematic for premillennarians, who assert that the resurrection of the righteous occurs before the Millennium, while the glorification of nature occurs after it.</w:t>
      </w:r>
    </w:p>
    <w:p w14:paraId="640BFF65">
      <w:pPr>
        <w:pStyle w:val="9"/>
        <w:spacing w:before="11"/>
        <w:ind w:left="0"/>
        <w:jc w:val="left"/>
        <w:rPr>
          <w:rFonts w:hint="eastAsia"/>
          <w:sz w:val="30"/>
          <w:szCs w:val="30"/>
        </w:rPr>
      </w:pPr>
      <w:r>
        <w:rPr>
          <w:rFonts w:hint="eastAsia"/>
          <w:sz w:val="30"/>
          <w:szCs w:val="30"/>
        </w:rPr>
        <w:t>5.这对前千禧年论者来说是有问题的，他们断言义人的复活发生在千禧年之前，而自然界的得荣则发生在其后。</w:t>
      </w:r>
    </w:p>
    <w:p w14:paraId="5C3DA48A">
      <w:pPr>
        <w:pStyle w:val="9"/>
        <w:spacing w:before="11"/>
        <w:ind w:left="0"/>
        <w:jc w:val="left"/>
        <w:rPr>
          <w:rFonts w:hint="eastAsia"/>
          <w:sz w:val="30"/>
          <w:szCs w:val="30"/>
        </w:rPr>
      </w:pPr>
    </w:p>
    <w:p w14:paraId="4990E8EA">
      <w:pPr>
        <w:pStyle w:val="9"/>
        <w:spacing w:before="11"/>
        <w:ind w:left="0"/>
        <w:jc w:val="left"/>
        <w:rPr>
          <w:rFonts w:hint="eastAsia"/>
          <w:sz w:val="30"/>
          <w:szCs w:val="30"/>
        </w:rPr>
      </w:pPr>
      <w:r>
        <w:rPr>
          <w:rFonts w:hint="eastAsia"/>
          <w:sz w:val="30"/>
          <w:szCs w:val="30"/>
        </w:rPr>
        <w:t>Chapter 23: Crucial NT Texts Pertaining to the Consummation</w:t>
      </w:r>
    </w:p>
    <w:p w14:paraId="40D70958">
      <w:pPr>
        <w:pStyle w:val="9"/>
        <w:spacing w:before="11"/>
        <w:ind w:left="0"/>
        <w:jc w:val="left"/>
        <w:rPr>
          <w:rFonts w:hint="eastAsia"/>
          <w:sz w:val="30"/>
          <w:szCs w:val="30"/>
        </w:rPr>
      </w:pPr>
      <w:r>
        <w:rPr>
          <w:rFonts w:hint="eastAsia"/>
          <w:sz w:val="30"/>
          <w:szCs w:val="30"/>
        </w:rPr>
        <w:t>第23章：关乎结局的关键新约经文</w:t>
      </w:r>
    </w:p>
    <w:p w14:paraId="61C7E79B">
      <w:pPr>
        <w:pStyle w:val="9"/>
        <w:spacing w:before="11"/>
        <w:ind w:left="0"/>
        <w:jc w:val="left"/>
        <w:rPr>
          <w:rFonts w:hint="eastAsia"/>
          <w:sz w:val="30"/>
          <w:szCs w:val="30"/>
        </w:rPr>
      </w:pPr>
    </w:p>
    <w:p w14:paraId="7CE8FAD2">
      <w:pPr>
        <w:pStyle w:val="9"/>
        <w:spacing w:before="11"/>
        <w:ind w:left="0"/>
        <w:jc w:val="left"/>
        <w:rPr>
          <w:rFonts w:hint="eastAsia"/>
          <w:sz w:val="30"/>
          <w:szCs w:val="30"/>
        </w:rPr>
      </w:pPr>
      <w:r>
        <w:rPr>
          <w:rFonts w:hint="eastAsia"/>
          <w:sz w:val="30"/>
          <w:szCs w:val="30"/>
        </w:rPr>
        <w:t>1.The Bible and the Future, pp. 117-119.</w:t>
      </w:r>
    </w:p>
    <w:p w14:paraId="0E9A5C47">
      <w:pPr>
        <w:pStyle w:val="9"/>
        <w:spacing w:before="11"/>
        <w:ind w:left="0"/>
        <w:jc w:val="left"/>
        <w:rPr>
          <w:rFonts w:hint="eastAsia"/>
          <w:sz w:val="30"/>
          <w:szCs w:val="30"/>
        </w:rPr>
      </w:pPr>
      <w:r>
        <w:rPr>
          <w:rFonts w:hint="eastAsia"/>
          <w:sz w:val="30"/>
          <w:szCs w:val="30"/>
        </w:rPr>
        <w:t>1.《圣经与未来》，第117-119页。</w:t>
      </w:r>
    </w:p>
    <w:p w14:paraId="578D7976">
      <w:pPr>
        <w:pStyle w:val="9"/>
        <w:spacing w:before="11"/>
        <w:ind w:left="0"/>
        <w:jc w:val="left"/>
        <w:rPr>
          <w:rFonts w:hint="eastAsia"/>
          <w:sz w:val="30"/>
          <w:szCs w:val="30"/>
        </w:rPr>
      </w:pPr>
    </w:p>
    <w:p w14:paraId="2C76AFBD">
      <w:pPr>
        <w:pStyle w:val="9"/>
        <w:spacing w:before="11"/>
        <w:ind w:left="0"/>
        <w:jc w:val="left"/>
        <w:rPr>
          <w:rFonts w:hint="eastAsia"/>
          <w:sz w:val="30"/>
          <w:szCs w:val="30"/>
        </w:rPr>
      </w:pPr>
      <w:r>
        <w:rPr>
          <w:rFonts w:hint="eastAsia"/>
          <w:sz w:val="30"/>
          <w:szCs w:val="30"/>
        </w:rPr>
        <w:t>2.Partial preterists claim this text as support for their view that the Parousia occurred in 70 AD, at which time God brought about the end of the age of the Mosaic Law.</w:t>
      </w:r>
    </w:p>
    <w:p w14:paraId="6D4DF2C5">
      <w:pPr>
        <w:pStyle w:val="9"/>
        <w:spacing w:before="11"/>
        <w:ind w:left="0"/>
        <w:jc w:val="left"/>
        <w:rPr>
          <w:rFonts w:hint="eastAsia"/>
          <w:sz w:val="30"/>
          <w:szCs w:val="30"/>
        </w:rPr>
      </w:pPr>
      <w:r>
        <w:rPr>
          <w:rFonts w:hint="eastAsia"/>
          <w:sz w:val="30"/>
          <w:szCs w:val="30"/>
        </w:rPr>
        <w:t>2.部分过去主义者声称这段经文支持他们的观点，即主的再来发生在公元70年，届时神带来了摩西律法时代的终结。</w:t>
      </w:r>
    </w:p>
    <w:p w14:paraId="4415789E">
      <w:pPr>
        <w:pStyle w:val="9"/>
        <w:spacing w:before="11"/>
        <w:ind w:left="0"/>
        <w:jc w:val="left"/>
        <w:rPr>
          <w:rFonts w:hint="eastAsia"/>
          <w:sz w:val="30"/>
          <w:szCs w:val="30"/>
        </w:rPr>
      </w:pPr>
    </w:p>
    <w:p w14:paraId="03E4BBBE">
      <w:pPr>
        <w:pStyle w:val="9"/>
        <w:spacing w:before="11"/>
        <w:ind w:left="0"/>
        <w:jc w:val="left"/>
        <w:rPr>
          <w:rFonts w:hint="eastAsia"/>
          <w:sz w:val="30"/>
          <w:szCs w:val="30"/>
        </w:rPr>
      </w:pPr>
      <w:r>
        <w:rPr>
          <w:rFonts w:hint="eastAsia"/>
          <w:sz w:val="30"/>
          <w:szCs w:val="30"/>
        </w:rPr>
        <w:t>Assuming, however, that it does indeed refer to 70 AD, it actually refutes their view.</w:t>
      </w:r>
    </w:p>
    <w:p w14:paraId="0309A020">
      <w:pPr>
        <w:pStyle w:val="9"/>
        <w:spacing w:before="11"/>
        <w:ind w:left="0"/>
        <w:jc w:val="left"/>
        <w:rPr>
          <w:rFonts w:hint="eastAsia"/>
          <w:sz w:val="30"/>
          <w:szCs w:val="30"/>
        </w:rPr>
      </w:pPr>
      <w:r>
        <w:rPr>
          <w:rFonts w:hint="eastAsia"/>
          <w:sz w:val="30"/>
          <w:szCs w:val="30"/>
        </w:rPr>
        <w:t>然而，假设它确实指的是公元70年，它实际上反驳了他们的观点。</w:t>
      </w:r>
    </w:p>
    <w:p w14:paraId="3148A523">
      <w:pPr>
        <w:pStyle w:val="9"/>
        <w:spacing w:before="11"/>
        <w:ind w:left="0"/>
        <w:jc w:val="left"/>
        <w:rPr>
          <w:rFonts w:hint="eastAsia"/>
          <w:sz w:val="30"/>
          <w:szCs w:val="30"/>
        </w:rPr>
      </w:pPr>
    </w:p>
    <w:p w14:paraId="5CA2C0FF">
      <w:pPr>
        <w:pStyle w:val="9"/>
        <w:spacing w:before="11"/>
        <w:ind w:left="0"/>
        <w:jc w:val="left"/>
        <w:rPr>
          <w:rFonts w:hint="eastAsia"/>
          <w:sz w:val="30"/>
          <w:szCs w:val="30"/>
        </w:rPr>
      </w:pPr>
      <w:r>
        <w:rPr>
          <w:rFonts w:hint="eastAsia"/>
          <w:sz w:val="30"/>
          <w:szCs w:val="30"/>
        </w:rPr>
        <w:t>For again, here Jesus did not speak of the Coming of the Son of Man, but only of a coming.</w:t>
      </w:r>
    </w:p>
    <w:p w14:paraId="3A25E5A5">
      <w:pPr>
        <w:pStyle w:val="9"/>
        <w:spacing w:before="11"/>
        <w:ind w:left="0"/>
        <w:jc w:val="left"/>
        <w:rPr>
          <w:rFonts w:hint="eastAsia"/>
          <w:sz w:val="30"/>
          <w:szCs w:val="30"/>
        </w:rPr>
      </w:pPr>
      <w:r>
        <w:rPr>
          <w:rFonts w:hint="eastAsia"/>
          <w:sz w:val="30"/>
          <w:szCs w:val="30"/>
        </w:rPr>
        <w:t>因为再次强调，在这里耶稣没有谈到人子的降临，而只是谈到一次降临。</w:t>
      </w:r>
    </w:p>
    <w:p w14:paraId="7FF13C9C">
      <w:pPr>
        <w:pStyle w:val="9"/>
        <w:spacing w:before="11"/>
        <w:ind w:left="0"/>
        <w:jc w:val="left"/>
        <w:rPr>
          <w:rFonts w:hint="eastAsia"/>
          <w:sz w:val="30"/>
          <w:szCs w:val="30"/>
        </w:rPr>
      </w:pPr>
    </w:p>
    <w:p w14:paraId="6BFF34D3">
      <w:pPr>
        <w:pStyle w:val="9"/>
        <w:spacing w:before="11"/>
        <w:ind w:left="0"/>
        <w:jc w:val="left"/>
        <w:rPr>
          <w:rFonts w:hint="eastAsia"/>
          <w:sz w:val="30"/>
          <w:szCs w:val="30"/>
        </w:rPr>
      </w:pPr>
      <w:r>
        <w:rPr>
          <w:rFonts w:hint="eastAsia"/>
          <w:sz w:val="30"/>
          <w:szCs w:val="30"/>
        </w:rPr>
        <w:t>Moreover, the NT never represents Israel’s years under the Law as an “age,” nor does it teach that the Coming of Christ occurs at the end of the Mosaic era, but rather at the end of the present evil age (i.e., the era spanning from the Fall to the Consummation), which is also the beginning of the Age (and World) to Come (Mt. 12:32, 13:39, 49. 24:3, 29-31, 28:20, Luke 20:35).</w:t>
      </w:r>
    </w:p>
    <w:p w14:paraId="08BC91DC">
      <w:pPr>
        <w:pStyle w:val="9"/>
        <w:spacing w:before="11"/>
        <w:ind w:left="0"/>
        <w:jc w:val="left"/>
        <w:rPr>
          <w:rFonts w:hint="eastAsia"/>
          <w:sz w:val="30"/>
          <w:szCs w:val="30"/>
        </w:rPr>
      </w:pPr>
      <w:r>
        <w:rPr>
          <w:rFonts w:hint="eastAsia"/>
          <w:sz w:val="30"/>
          <w:szCs w:val="30"/>
        </w:rPr>
        <w:t>此外，新约从未将以色列在律法下的岁月描述为一个“世代”，也未教导说基督的降临发生在摩西时代的终结，而是在现今邪恶世代的终结（即从堕落到结局的时代），那也是要来的世代（和世界）的开始（太12:32, 13:39, 49. 24:3, 29-31, 28:20，路20:35）。</w:t>
      </w:r>
    </w:p>
    <w:p w14:paraId="6983FB08">
      <w:pPr>
        <w:pStyle w:val="9"/>
        <w:spacing w:before="11"/>
        <w:ind w:left="0"/>
        <w:jc w:val="left"/>
        <w:rPr>
          <w:rFonts w:hint="eastAsia"/>
          <w:sz w:val="30"/>
          <w:szCs w:val="30"/>
        </w:rPr>
      </w:pPr>
    </w:p>
    <w:p w14:paraId="5DE321E9">
      <w:pPr>
        <w:pStyle w:val="9"/>
        <w:spacing w:before="11"/>
        <w:ind w:left="0"/>
        <w:jc w:val="left"/>
        <w:rPr>
          <w:rFonts w:hint="eastAsia"/>
          <w:sz w:val="30"/>
          <w:szCs w:val="30"/>
        </w:rPr>
      </w:pPr>
      <w:r>
        <w:rPr>
          <w:rFonts w:hint="eastAsia"/>
          <w:sz w:val="30"/>
          <w:szCs w:val="30"/>
        </w:rPr>
        <w:t>See pp. 164-166, 530f, and Appendix 4.</w:t>
      </w:r>
    </w:p>
    <w:p w14:paraId="19D764B8">
      <w:pPr>
        <w:pStyle w:val="9"/>
        <w:spacing w:before="11"/>
        <w:ind w:left="0"/>
        <w:jc w:val="left"/>
        <w:rPr>
          <w:rFonts w:hint="eastAsia"/>
          <w:sz w:val="30"/>
          <w:szCs w:val="30"/>
        </w:rPr>
      </w:pPr>
      <w:r>
        <w:rPr>
          <w:rFonts w:hint="eastAsia"/>
          <w:sz w:val="30"/>
          <w:szCs w:val="30"/>
        </w:rPr>
        <w:t>见第164-166, 530页及以下，以及附录4。</w:t>
      </w:r>
    </w:p>
    <w:p w14:paraId="5521A078">
      <w:pPr>
        <w:pStyle w:val="9"/>
        <w:spacing w:before="11"/>
        <w:ind w:left="0"/>
        <w:jc w:val="left"/>
        <w:rPr>
          <w:rFonts w:hint="eastAsia"/>
          <w:sz w:val="30"/>
          <w:szCs w:val="30"/>
        </w:rPr>
      </w:pPr>
    </w:p>
    <w:p w14:paraId="07089B60">
      <w:pPr>
        <w:pStyle w:val="9"/>
        <w:spacing w:before="11"/>
        <w:ind w:left="0"/>
        <w:jc w:val="left"/>
        <w:rPr>
          <w:rFonts w:hint="eastAsia"/>
          <w:sz w:val="30"/>
          <w:szCs w:val="30"/>
        </w:rPr>
      </w:pPr>
      <w:r>
        <w:rPr>
          <w:rFonts w:hint="eastAsia"/>
          <w:sz w:val="30"/>
          <w:szCs w:val="30"/>
        </w:rPr>
        <w:t>3.Cited in A Case for Amillennialism, p. 160.</w:t>
      </w:r>
    </w:p>
    <w:p w14:paraId="02DD8F08">
      <w:pPr>
        <w:pStyle w:val="9"/>
        <w:spacing w:before="11"/>
        <w:ind w:left="0"/>
        <w:jc w:val="left"/>
        <w:rPr>
          <w:rFonts w:hint="eastAsia"/>
          <w:sz w:val="30"/>
          <w:szCs w:val="30"/>
        </w:rPr>
      </w:pPr>
      <w:r>
        <w:rPr>
          <w:rFonts w:hint="eastAsia"/>
          <w:sz w:val="30"/>
          <w:szCs w:val="30"/>
        </w:rPr>
        <w:t>3.引自《为无千禧年论辩护》，第160页。</w:t>
      </w:r>
    </w:p>
    <w:p w14:paraId="621173EF">
      <w:pPr>
        <w:pStyle w:val="9"/>
        <w:spacing w:before="11"/>
        <w:ind w:left="0"/>
        <w:jc w:val="left"/>
        <w:rPr>
          <w:rFonts w:hint="eastAsia"/>
          <w:sz w:val="30"/>
          <w:szCs w:val="30"/>
        </w:rPr>
      </w:pPr>
    </w:p>
    <w:p w14:paraId="299CADF1">
      <w:pPr>
        <w:pStyle w:val="9"/>
        <w:spacing w:before="11"/>
        <w:ind w:left="0"/>
        <w:jc w:val="left"/>
        <w:rPr>
          <w:rFonts w:hint="eastAsia"/>
          <w:sz w:val="30"/>
          <w:szCs w:val="30"/>
        </w:rPr>
      </w:pPr>
      <w:r>
        <w:rPr>
          <w:rFonts w:hint="eastAsia"/>
          <w:sz w:val="30"/>
          <w:szCs w:val="30"/>
        </w:rPr>
        <w:t>4.Reformation Study Bible, p. 1401.</w:t>
      </w:r>
    </w:p>
    <w:p w14:paraId="04F79153">
      <w:pPr>
        <w:pStyle w:val="9"/>
        <w:spacing w:before="11"/>
        <w:ind w:left="0"/>
        <w:jc w:val="left"/>
        <w:rPr>
          <w:rFonts w:hint="eastAsia"/>
          <w:sz w:val="30"/>
          <w:szCs w:val="30"/>
        </w:rPr>
      </w:pPr>
      <w:r>
        <w:rPr>
          <w:rFonts w:hint="eastAsia"/>
          <w:sz w:val="30"/>
          <w:szCs w:val="30"/>
        </w:rPr>
        <w:t>4.《改革宗研读本圣经》，第1401页。</w:t>
      </w:r>
    </w:p>
    <w:p w14:paraId="03C14845">
      <w:pPr>
        <w:pStyle w:val="9"/>
        <w:spacing w:before="11"/>
        <w:ind w:left="0"/>
        <w:jc w:val="left"/>
        <w:rPr>
          <w:rFonts w:hint="eastAsia"/>
          <w:sz w:val="30"/>
          <w:szCs w:val="30"/>
        </w:rPr>
      </w:pPr>
    </w:p>
    <w:p w14:paraId="5B6D628F">
      <w:pPr>
        <w:pStyle w:val="9"/>
        <w:spacing w:before="11"/>
        <w:ind w:left="0"/>
        <w:jc w:val="left"/>
        <w:rPr>
          <w:rFonts w:hint="eastAsia"/>
          <w:sz w:val="30"/>
          <w:szCs w:val="30"/>
        </w:rPr>
      </w:pPr>
      <w:r>
        <w:rPr>
          <w:rFonts w:hint="eastAsia"/>
          <w:sz w:val="30"/>
          <w:szCs w:val="30"/>
        </w:rPr>
        <w:t>5. In order to argue that the providential events of 70 AD constitute the Coming of Christ, preterists must radically spiritualize the language that Christ and the apostles typically use to describe it (e.g., Mt. 24:27-31).</w:t>
      </w:r>
    </w:p>
    <w:p w14:paraId="26CC65EB">
      <w:pPr>
        <w:pStyle w:val="9"/>
        <w:spacing w:before="11"/>
        <w:ind w:left="0"/>
        <w:jc w:val="left"/>
        <w:rPr>
          <w:rFonts w:hint="eastAsia"/>
          <w:sz w:val="30"/>
          <w:szCs w:val="30"/>
        </w:rPr>
      </w:pPr>
      <w:r>
        <w:rPr>
          <w:rFonts w:hint="eastAsia"/>
          <w:sz w:val="30"/>
          <w:szCs w:val="30"/>
        </w:rPr>
        <w:t>5. 为了论证公元70年的护理性事件构成了基督的降临，过去主义者必须彻底地将基督和使徒们通常用来描述它的语言属灵化（例如，太24:27-31）。</w:t>
      </w:r>
    </w:p>
    <w:p w14:paraId="3A512D28">
      <w:pPr>
        <w:pStyle w:val="9"/>
        <w:spacing w:before="11"/>
        <w:ind w:left="0"/>
        <w:jc w:val="left"/>
        <w:rPr>
          <w:rFonts w:hint="eastAsia"/>
          <w:sz w:val="30"/>
          <w:szCs w:val="30"/>
        </w:rPr>
      </w:pPr>
    </w:p>
    <w:p w14:paraId="4447EC36">
      <w:pPr>
        <w:pStyle w:val="9"/>
        <w:spacing w:before="11"/>
        <w:ind w:left="0"/>
        <w:jc w:val="left"/>
        <w:rPr>
          <w:rFonts w:hint="eastAsia"/>
          <w:sz w:val="30"/>
          <w:szCs w:val="30"/>
        </w:rPr>
      </w:pPr>
      <w:r>
        <w:rPr>
          <w:rFonts w:hint="eastAsia"/>
          <w:sz w:val="30"/>
          <w:szCs w:val="30"/>
        </w:rPr>
        <w:t>But no one who reads such texts objectively could possibly think that these men had in mind anything other than a stupendously supernatural event with cosmic impact.</w:t>
      </w:r>
    </w:p>
    <w:p w14:paraId="240BFE26">
      <w:pPr>
        <w:pStyle w:val="9"/>
        <w:spacing w:before="11"/>
        <w:ind w:left="0"/>
        <w:jc w:val="left"/>
        <w:rPr>
          <w:rFonts w:hint="eastAsia"/>
          <w:sz w:val="30"/>
          <w:szCs w:val="30"/>
        </w:rPr>
      </w:pPr>
      <w:r>
        <w:rPr>
          <w:rFonts w:hint="eastAsia"/>
          <w:sz w:val="30"/>
          <w:szCs w:val="30"/>
        </w:rPr>
        <w:t>但任何客观地阅读这些经文的人，都不可能认为这些人心中想的是除了一个具有宇宙性影响的、极其超自然的事件之外的任何事情。</w:t>
      </w:r>
    </w:p>
    <w:p w14:paraId="4B9ED9E4">
      <w:pPr>
        <w:pStyle w:val="9"/>
        <w:spacing w:before="11"/>
        <w:ind w:left="0"/>
        <w:jc w:val="left"/>
        <w:rPr>
          <w:rFonts w:hint="eastAsia"/>
          <w:sz w:val="30"/>
          <w:szCs w:val="30"/>
        </w:rPr>
      </w:pPr>
    </w:p>
    <w:p w14:paraId="428DCCC1">
      <w:pPr>
        <w:pStyle w:val="9"/>
        <w:spacing w:before="11"/>
        <w:ind w:left="0"/>
        <w:jc w:val="left"/>
        <w:rPr>
          <w:rFonts w:hint="eastAsia"/>
          <w:sz w:val="30"/>
          <w:szCs w:val="30"/>
        </w:rPr>
      </w:pPr>
      <w:r>
        <w:rPr>
          <w:rFonts w:hint="eastAsia"/>
          <w:sz w:val="30"/>
          <w:szCs w:val="30"/>
        </w:rPr>
        <w:t>So again, we must acknowledge that the NT does indeed speak of a providential coming of Christ in 70 AD, but also of a supernatural coming—the Coming—at the end of the present evil Age.</w:t>
      </w:r>
    </w:p>
    <w:p w14:paraId="7E5DF17F">
      <w:pPr>
        <w:pStyle w:val="9"/>
        <w:spacing w:before="11"/>
        <w:ind w:left="0"/>
        <w:jc w:val="left"/>
        <w:rPr>
          <w:rFonts w:hint="eastAsia"/>
          <w:sz w:val="30"/>
          <w:szCs w:val="30"/>
        </w:rPr>
      </w:pPr>
      <w:r>
        <w:rPr>
          <w:rFonts w:hint="eastAsia"/>
          <w:sz w:val="30"/>
          <w:szCs w:val="30"/>
        </w:rPr>
        <w:t>所以再次强调，我们必须承认新约确实谈到了基督在公元70年的一次护理性降临，但也谈到了一个超自然的降临——那一次降临——在现今邪恶世代的终结。</w:t>
      </w:r>
    </w:p>
    <w:p w14:paraId="6BF6931B">
      <w:pPr>
        <w:pStyle w:val="9"/>
        <w:spacing w:before="11"/>
        <w:ind w:left="0"/>
        <w:jc w:val="left"/>
        <w:rPr>
          <w:rFonts w:hint="eastAsia"/>
          <w:sz w:val="30"/>
          <w:szCs w:val="30"/>
        </w:rPr>
      </w:pPr>
    </w:p>
    <w:p w14:paraId="005CB3FD">
      <w:pPr>
        <w:pStyle w:val="9"/>
        <w:spacing w:before="11"/>
        <w:ind w:left="0"/>
        <w:jc w:val="left"/>
        <w:rPr>
          <w:rFonts w:hint="eastAsia"/>
          <w:sz w:val="30"/>
          <w:szCs w:val="30"/>
        </w:rPr>
      </w:pPr>
      <w:r>
        <w:rPr>
          <w:rFonts w:hint="eastAsia"/>
          <w:sz w:val="30"/>
          <w:szCs w:val="30"/>
        </w:rPr>
        <w:t>For more, see Appendix 4.</w:t>
      </w:r>
    </w:p>
    <w:p w14:paraId="0071997A">
      <w:pPr>
        <w:pStyle w:val="9"/>
        <w:spacing w:before="11"/>
        <w:ind w:left="0"/>
        <w:jc w:val="left"/>
        <w:rPr>
          <w:rFonts w:hint="eastAsia"/>
          <w:sz w:val="30"/>
          <w:szCs w:val="30"/>
        </w:rPr>
      </w:pPr>
      <w:r>
        <w:rPr>
          <w:rFonts w:hint="eastAsia"/>
          <w:sz w:val="30"/>
          <w:szCs w:val="30"/>
        </w:rPr>
        <w:t>更多信息，见附录4。</w:t>
      </w:r>
    </w:p>
    <w:p w14:paraId="764D44B0">
      <w:pPr>
        <w:pStyle w:val="9"/>
        <w:spacing w:before="11"/>
        <w:ind w:left="0"/>
        <w:jc w:val="left"/>
        <w:rPr>
          <w:rFonts w:hint="eastAsia"/>
          <w:sz w:val="30"/>
          <w:szCs w:val="30"/>
        </w:rPr>
      </w:pPr>
    </w:p>
    <w:p w14:paraId="7A8C8273">
      <w:pPr>
        <w:pStyle w:val="9"/>
        <w:spacing w:before="11"/>
        <w:ind w:left="0"/>
        <w:jc w:val="left"/>
        <w:rPr>
          <w:rFonts w:hint="eastAsia"/>
          <w:sz w:val="30"/>
          <w:szCs w:val="30"/>
        </w:rPr>
      </w:pPr>
      <w:r>
        <w:rPr>
          <w:rFonts w:hint="eastAsia"/>
          <w:sz w:val="30"/>
          <w:szCs w:val="30"/>
        </w:rPr>
        <w:t>6.In Daniel 11:31, the prophet first speaks of the Abomination that Makes Desolate.</w:t>
      </w:r>
    </w:p>
    <w:p w14:paraId="6F47F98B">
      <w:pPr>
        <w:pStyle w:val="9"/>
        <w:spacing w:before="11"/>
        <w:ind w:left="0"/>
        <w:jc w:val="left"/>
        <w:rPr>
          <w:rFonts w:hint="eastAsia"/>
          <w:sz w:val="30"/>
          <w:szCs w:val="30"/>
        </w:rPr>
      </w:pPr>
      <w:r>
        <w:rPr>
          <w:rFonts w:hint="eastAsia"/>
          <w:sz w:val="30"/>
          <w:szCs w:val="30"/>
        </w:rPr>
        <w:t>6.在但以理书11:31中，先知首先谈到那行毁坏可憎的。</w:t>
      </w:r>
    </w:p>
    <w:p w14:paraId="055D642F">
      <w:pPr>
        <w:pStyle w:val="9"/>
        <w:spacing w:before="11"/>
        <w:ind w:left="0"/>
        <w:jc w:val="left"/>
        <w:rPr>
          <w:rFonts w:hint="eastAsia"/>
          <w:sz w:val="30"/>
          <w:szCs w:val="30"/>
        </w:rPr>
      </w:pPr>
    </w:p>
    <w:p w14:paraId="6F9BFA53">
      <w:pPr>
        <w:pStyle w:val="9"/>
        <w:spacing w:before="11"/>
        <w:ind w:left="0"/>
        <w:jc w:val="left"/>
        <w:rPr>
          <w:rFonts w:hint="eastAsia"/>
          <w:sz w:val="30"/>
          <w:szCs w:val="30"/>
        </w:rPr>
      </w:pPr>
      <w:r>
        <w:rPr>
          <w:rFonts w:hint="eastAsia"/>
          <w:sz w:val="30"/>
          <w:szCs w:val="30"/>
        </w:rPr>
        <w:t>Here the reference is to Antiochus IV, who desecrated the Jewish temple in 168 BC.</w:t>
      </w:r>
    </w:p>
    <w:p w14:paraId="7E353A09">
      <w:pPr>
        <w:pStyle w:val="9"/>
        <w:spacing w:before="11"/>
        <w:ind w:left="0"/>
        <w:jc w:val="left"/>
        <w:rPr>
          <w:rFonts w:hint="eastAsia"/>
          <w:sz w:val="30"/>
          <w:szCs w:val="30"/>
        </w:rPr>
      </w:pPr>
      <w:r>
        <w:rPr>
          <w:rFonts w:hint="eastAsia"/>
          <w:sz w:val="30"/>
          <w:szCs w:val="30"/>
        </w:rPr>
        <w:t>这里指的是安提阿古四世，他在公元前168年亵渎了犹太圣殿。</w:t>
      </w:r>
    </w:p>
    <w:p w14:paraId="3FD0FA80">
      <w:pPr>
        <w:pStyle w:val="9"/>
        <w:spacing w:before="11"/>
        <w:ind w:left="0"/>
        <w:jc w:val="left"/>
        <w:rPr>
          <w:rFonts w:hint="eastAsia"/>
          <w:sz w:val="30"/>
          <w:szCs w:val="30"/>
        </w:rPr>
      </w:pPr>
    </w:p>
    <w:p w14:paraId="460BD15D">
      <w:pPr>
        <w:pStyle w:val="9"/>
        <w:spacing w:before="11"/>
        <w:ind w:left="0"/>
        <w:jc w:val="left"/>
        <w:rPr>
          <w:rFonts w:hint="eastAsia"/>
          <w:sz w:val="30"/>
          <w:szCs w:val="30"/>
        </w:rPr>
      </w:pPr>
      <w:r>
        <w:rPr>
          <w:rFonts w:hint="eastAsia"/>
          <w:sz w:val="30"/>
          <w:szCs w:val="30"/>
        </w:rPr>
        <w:t>However, Antiochus was only a type and precursor of the Antichrist, the eschatological Abomination who will desolate the Church and its worship.</w:t>
      </w:r>
    </w:p>
    <w:p w14:paraId="20FD68A4">
      <w:pPr>
        <w:pStyle w:val="9"/>
        <w:spacing w:before="11"/>
        <w:ind w:left="0"/>
        <w:jc w:val="left"/>
        <w:rPr>
          <w:rFonts w:hint="eastAsia"/>
          <w:sz w:val="30"/>
          <w:szCs w:val="30"/>
        </w:rPr>
      </w:pPr>
      <w:r>
        <w:rPr>
          <w:rFonts w:hint="eastAsia"/>
          <w:sz w:val="30"/>
          <w:szCs w:val="30"/>
        </w:rPr>
        <w:t>然而，安提阿古只是敌基督的一个预表和先驱，那末世论的行毁坏者将使教会及其敬拜荒凉。</w:t>
      </w:r>
    </w:p>
    <w:p w14:paraId="51A1B023">
      <w:pPr>
        <w:pStyle w:val="9"/>
        <w:spacing w:before="11"/>
        <w:ind w:left="0"/>
        <w:jc w:val="left"/>
        <w:rPr>
          <w:rFonts w:hint="eastAsia"/>
          <w:sz w:val="30"/>
          <w:szCs w:val="30"/>
        </w:rPr>
      </w:pPr>
    </w:p>
    <w:p w14:paraId="672FB7FE">
      <w:pPr>
        <w:pStyle w:val="9"/>
        <w:spacing w:before="11"/>
        <w:ind w:left="0"/>
        <w:jc w:val="left"/>
        <w:rPr>
          <w:rFonts w:hint="eastAsia"/>
          <w:sz w:val="30"/>
          <w:szCs w:val="30"/>
        </w:rPr>
      </w:pPr>
      <w:r>
        <w:rPr>
          <w:rFonts w:hint="eastAsia"/>
          <w:sz w:val="30"/>
          <w:szCs w:val="30"/>
        </w:rPr>
        <w:t>Daniel speaks of him, as well (9:27, 12:11).</w:t>
      </w:r>
    </w:p>
    <w:p w14:paraId="741D8FD3">
      <w:pPr>
        <w:pStyle w:val="9"/>
        <w:spacing w:before="11"/>
        <w:ind w:left="0"/>
        <w:jc w:val="left"/>
        <w:rPr>
          <w:rFonts w:hint="eastAsia"/>
          <w:sz w:val="30"/>
          <w:szCs w:val="30"/>
        </w:rPr>
      </w:pPr>
      <w:r>
        <w:rPr>
          <w:rFonts w:hint="eastAsia"/>
          <w:sz w:val="30"/>
          <w:szCs w:val="30"/>
        </w:rPr>
        <w:t>但以理也谈到了祂（9:27, 12:11）。</w:t>
      </w:r>
    </w:p>
    <w:p w14:paraId="6F18BD0E">
      <w:pPr>
        <w:pStyle w:val="9"/>
        <w:spacing w:before="11"/>
        <w:ind w:left="0"/>
        <w:jc w:val="left"/>
        <w:rPr>
          <w:rFonts w:hint="eastAsia"/>
          <w:sz w:val="30"/>
          <w:szCs w:val="30"/>
        </w:rPr>
      </w:pPr>
    </w:p>
    <w:p w14:paraId="7CA27C21">
      <w:pPr>
        <w:pStyle w:val="9"/>
        <w:spacing w:before="11"/>
        <w:ind w:left="0"/>
        <w:jc w:val="left"/>
        <w:rPr>
          <w:rFonts w:hint="eastAsia"/>
          <w:sz w:val="30"/>
          <w:szCs w:val="30"/>
        </w:rPr>
      </w:pPr>
      <w:r>
        <w:rPr>
          <w:rFonts w:hint="eastAsia"/>
          <w:sz w:val="30"/>
          <w:szCs w:val="30"/>
        </w:rPr>
        <w:t>In much the same way, Jesus sees Titus as a type and precursor of the Antichrist, and Matthew very much desires that his readers understand this well (Mt. 24:15).</w:t>
      </w:r>
    </w:p>
    <w:p w14:paraId="23EAB659">
      <w:pPr>
        <w:pStyle w:val="9"/>
        <w:spacing w:before="11"/>
        <w:ind w:left="0"/>
        <w:jc w:val="left"/>
        <w:rPr>
          <w:rFonts w:hint="eastAsia"/>
          <w:sz w:val="30"/>
          <w:szCs w:val="30"/>
        </w:rPr>
      </w:pPr>
      <w:r>
        <w:rPr>
          <w:rFonts w:hint="eastAsia"/>
          <w:sz w:val="30"/>
          <w:szCs w:val="30"/>
        </w:rPr>
        <w:t>同样地，耶稣将提多视为敌基督的一个预表和先驱，马太也极其希望他的读者能很好地理解这一点（太24:15）。</w:t>
      </w:r>
    </w:p>
    <w:p w14:paraId="73FCF4C8">
      <w:pPr>
        <w:pStyle w:val="9"/>
        <w:spacing w:before="11"/>
        <w:ind w:left="0"/>
        <w:jc w:val="left"/>
        <w:rPr>
          <w:rFonts w:hint="eastAsia"/>
          <w:sz w:val="30"/>
          <w:szCs w:val="30"/>
        </w:rPr>
      </w:pPr>
    </w:p>
    <w:p w14:paraId="21A16789">
      <w:pPr>
        <w:pStyle w:val="9"/>
        <w:spacing w:before="11"/>
        <w:ind w:left="0"/>
        <w:jc w:val="left"/>
        <w:rPr>
          <w:rFonts w:hint="eastAsia"/>
          <w:sz w:val="30"/>
          <w:szCs w:val="30"/>
        </w:rPr>
      </w:pPr>
      <w:r>
        <w:rPr>
          <w:rFonts w:hint="eastAsia"/>
          <w:sz w:val="30"/>
          <w:szCs w:val="30"/>
        </w:rPr>
        <w:t>7.But see also Mt. 13:30, 41, where the order is reversed.</w:t>
      </w:r>
    </w:p>
    <w:p w14:paraId="5A73BCB1">
      <w:pPr>
        <w:pStyle w:val="9"/>
        <w:spacing w:before="11"/>
        <w:ind w:left="0"/>
        <w:jc w:val="left"/>
        <w:rPr>
          <w:rFonts w:hint="eastAsia"/>
          <w:sz w:val="30"/>
          <w:szCs w:val="30"/>
        </w:rPr>
      </w:pPr>
      <w:r>
        <w:rPr>
          <w:rFonts w:hint="eastAsia"/>
          <w:sz w:val="30"/>
          <w:szCs w:val="30"/>
        </w:rPr>
        <w:t>7.但另见太13:30, 41，那里的顺序是颠倒的。</w:t>
      </w:r>
    </w:p>
    <w:p w14:paraId="56971BC5">
      <w:pPr>
        <w:pStyle w:val="9"/>
        <w:spacing w:before="11"/>
        <w:ind w:left="0"/>
        <w:jc w:val="left"/>
        <w:rPr>
          <w:rFonts w:hint="eastAsia"/>
          <w:sz w:val="30"/>
          <w:szCs w:val="30"/>
        </w:rPr>
      </w:pPr>
    </w:p>
    <w:p w14:paraId="38E8038E">
      <w:pPr>
        <w:pStyle w:val="9"/>
        <w:spacing w:before="11"/>
        <w:ind w:left="0"/>
        <w:jc w:val="left"/>
        <w:rPr>
          <w:rFonts w:hint="eastAsia"/>
          <w:sz w:val="30"/>
          <w:szCs w:val="30"/>
        </w:rPr>
      </w:pPr>
      <w:r>
        <w:rPr>
          <w:rFonts w:hint="eastAsia"/>
          <w:sz w:val="30"/>
          <w:szCs w:val="30"/>
        </w:rPr>
        <w:t>8.Commenting on this passage, the Reformation Study Bible says: “The ‘all things’ of verse 34 refers to the ‘all these things’ of verse 33, which are distinguished from the Consummation itself.</w:t>
      </w:r>
    </w:p>
    <w:p w14:paraId="3F58CE7A">
      <w:pPr>
        <w:pStyle w:val="9"/>
        <w:spacing w:before="11"/>
        <w:ind w:left="0"/>
        <w:jc w:val="left"/>
        <w:rPr>
          <w:rFonts w:hint="eastAsia"/>
          <w:sz w:val="30"/>
          <w:szCs w:val="30"/>
        </w:rPr>
      </w:pPr>
      <w:r>
        <w:rPr>
          <w:rFonts w:hint="eastAsia"/>
          <w:sz w:val="30"/>
          <w:szCs w:val="30"/>
        </w:rPr>
        <w:t>8.评论这段经文时，《改革宗研读本圣经》说：“第34节的‘这一切的事’指的是第33节的‘这一切的事’，它们与结局本身是有区别的。</w:t>
      </w:r>
    </w:p>
    <w:p w14:paraId="60C65A3F">
      <w:pPr>
        <w:pStyle w:val="9"/>
        <w:spacing w:before="11"/>
        <w:ind w:left="0"/>
        <w:jc w:val="left"/>
        <w:rPr>
          <w:rFonts w:hint="eastAsia"/>
          <w:sz w:val="30"/>
          <w:szCs w:val="30"/>
        </w:rPr>
      </w:pPr>
    </w:p>
    <w:p w14:paraId="655681B1">
      <w:pPr>
        <w:pStyle w:val="9"/>
        <w:spacing w:before="11"/>
        <w:ind w:left="0"/>
        <w:jc w:val="left"/>
        <w:rPr>
          <w:rFonts w:hint="eastAsia"/>
          <w:sz w:val="30"/>
          <w:szCs w:val="30"/>
        </w:rPr>
      </w:pPr>
      <w:r>
        <w:rPr>
          <w:rFonts w:hint="eastAsia"/>
          <w:sz w:val="30"/>
          <w:szCs w:val="30"/>
        </w:rPr>
        <w:t>They are the ‘beginning of the birth pains’ (v.8) and signs that point to the final Coming of Christ, including the siege and fall of Jerusalem.</w:t>
      </w:r>
    </w:p>
    <w:p w14:paraId="3A9E095C">
      <w:pPr>
        <w:pStyle w:val="9"/>
        <w:spacing w:before="11"/>
        <w:ind w:left="0"/>
        <w:jc w:val="left"/>
        <w:rPr>
          <w:rFonts w:hint="eastAsia"/>
          <w:sz w:val="30"/>
          <w:szCs w:val="30"/>
        </w:rPr>
      </w:pPr>
      <w:r>
        <w:rPr>
          <w:rFonts w:hint="eastAsia"/>
          <w:sz w:val="30"/>
          <w:szCs w:val="30"/>
        </w:rPr>
        <w:t>它们是‘产难的起头’（第8节），是预示基督最终降临的预兆，包括耶路撒冷的围困和陷落。</w:t>
      </w:r>
    </w:p>
    <w:p w14:paraId="57FB2467">
      <w:pPr>
        <w:pStyle w:val="9"/>
        <w:spacing w:before="11"/>
        <w:ind w:left="0"/>
        <w:jc w:val="left"/>
        <w:rPr>
          <w:rFonts w:hint="eastAsia"/>
          <w:sz w:val="30"/>
          <w:szCs w:val="30"/>
        </w:rPr>
      </w:pPr>
    </w:p>
    <w:p w14:paraId="35B617EA">
      <w:pPr>
        <w:pStyle w:val="9"/>
        <w:spacing w:before="11"/>
        <w:ind w:left="0"/>
        <w:jc w:val="left"/>
        <w:rPr>
          <w:rFonts w:hint="eastAsia"/>
          <w:sz w:val="30"/>
          <w:szCs w:val="30"/>
        </w:rPr>
      </w:pPr>
      <w:r>
        <w:rPr>
          <w:rFonts w:hint="eastAsia"/>
          <w:sz w:val="30"/>
          <w:szCs w:val="30"/>
        </w:rPr>
        <w:t>All of the elements of this prophecy, except for the Second Coming itself, had occurred in some form before the apostles died. – p. 1402”</w:t>
      </w:r>
    </w:p>
    <w:p w14:paraId="47247EF3">
      <w:pPr>
        <w:pStyle w:val="9"/>
        <w:spacing w:before="11"/>
        <w:ind w:left="0"/>
        <w:jc w:val="left"/>
        <w:rPr>
          <w:rFonts w:hint="eastAsia"/>
          <w:sz w:val="30"/>
          <w:szCs w:val="30"/>
        </w:rPr>
      </w:pPr>
      <w:r>
        <w:rPr>
          <w:rFonts w:hint="eastAsia"/>
          <w:sz w:val="30"/>
          <w:szCs w:val="30"/>
        </w:rPr>
        <w:t>这个预言的所有要素，除了第二次降临本身，都在使徒们去世前以某种形式发生了。 – 第1402页”</w:t>
      </w:r>
    </w:p>
    <w:p w14:paraId="63BB2E64">
      <w:pPr>
        <w:pStyle w:val="9"/>
        <w:spacing w:before="11"/>
        <w:ind w:left="0"/>
        <w:jc w:val="left"/>
        <w:rPr>
          <w:rFonts w:hint="eastAsia"/>
          <w:sz w:val="30"/>
          <w:szCs w:val="30"/>
        </w:rPr>
      </w:pPr>
    </w:p>
    <w:p w14:paraId="6E4EB433">
      <w:pPr>
        <w:pStyle w:val="9"/>
        <w:spacing w:before="11"/>
        <w:ind w:left="0"/>
        <w:jc w:val="left"/>
        <w:rPr>
          <w:rFonts w:hint="eastAsia"/>
          <w:sz w:val="30"/>
          <w:szCs w:val="30"/>
        </w:rPr>
      </w:pPr>
      <w:r>
        <w:rPr>
          <w:rFonts w:hint="eastAsia"/>
          <w:sz w:val="30"/>
          <w:szCs w:val="30"/>
        </w:rPr>
        <w:t>9.Commenting on Mt. 25:31ff, NT theologian G. Ladd writes as follows: “The clue to the meaning of the parable is Jesus’ “brethren.”</w:t>
      </w:r>
    </w:p>
    <w:p w14:paraId="2CCC1AF9">
      <w:pPr>
        <w:pStyle w:val="9"/>
        <w:spacing w:before="11"/>
        <w:ind w:left="0"/>
        <w:jc w:val="left"/>
        <w:rPr>
          <w:rFonts w:hint="eastAsia"/>
          <w:sz w:val="30"/>
          <w:szCs w:val="30"/>
        </w:rPr>
      </w:pPr>
      <w:r>
        <w:rPr>
          <w:rFonts w:hint="eastAsia"/>
          <w:sz w:val="30"/>
          <w:szCs w:val="30"/>
        </w:rPr>
        <w:t>9.评论马太福音25:31及以下时，新约神学家G. 赖德写道：“这个比喻意义的关键在于耶稣的‘弟兄’。</w:t>
      </w:r>
    </w:p>
    <w:p w14:paraId="447C3784">
      <w:pPr>
        <w:pStyle w:val="9"/>
        <w:spacing w:before="11"/>
        <w:ind w:left="0"/>
        <w:jc w:val="left"/>
        <w:rPr>
          <w:rFonts w:hint="eastAsia"/>
          <w:sz w:val="30"/>
          <w:szCs w:val="30"/>
        </w:rPr>
      </w:pPr>
    </w:p>
    <w:p w14:paraId="69CD8685">
      <w:pPr>
        <w:pStyle w:val="9"/>
        <w:spacing w:before="11"/>
        <w:ind w:left="0"/>
        <w:jc w:val="left"/>
        <w:rPr>
          <w:rFonts w:hint="eastAsia"/>
          <w:sz w:val="30"/>
          <w:szCs w:val="30"/>
        </w:rPr>
      </w:pPr>
      <w:r>
        <w:rPr>
          <w:rFonts w:hint="eastAsia"/>
          <w:sz w:val="30"/>
          <w:szCs w:val="30"/>
        </w:rPr>
        <w:t>And we have clear evidence as to its meaning.</w:t>
      </w:r>
    </w:p>
    <w:p w14:paraId="2EB00C41">
      <w:pPr>
        <w:pStyle w:val="9"/>
        <w:spacing w:before="11"/>
        <w:ind w:left="0"/>
        <w:jc w:val="left"/>
        <w:rPr>
          <w:rFonts w:hint="eastAsia"/>
          <w:sz w:val="30"/>
          <w:szCs w:val="30"/>
        </w:rPr>
      </w:pPr>
      <w:r>
        <w:rPr>
          <w:rFonts w:hint="eastAsia"/>
          <w:sz w:val="30"/>
          <w:szCs w:val="30"/>
        </w:rPr>
        <w:t>我们有明确的证据表明其意义。</w:t>
      </w:r>
    </w:p>
    <w:p w14:paraId="7176CFE5">
      <w:pPr>
        <w:pStyle w:val="9"/>
        <w:spacing w:before="11"/>
        <w:ind w:left="0"/>
        <w:jc w:val="left"/>
        <w:rPr>
          <w:rFonts w:hint="eastAsia"/>
          <w:sz w:val="30"/>
          <w:szCs w:val="30"/>
        </w:rPr>
      </w:pPr>
    </w:p>
    <w:p w14:paraId="39256444">
      <w:pPr>
        <w:pStyle w:val="9"/>
        <w:spacing w:before="11"/>
        <w:ind w:left="0"/>
        <w:jc w:val="left"/>
        <w:rPr>
          <w:rFonts w:hint="eastAsia"/>
          <w:sz w:val="30"/>
          <w:szCs w:val="30"/>
        </w:rPr>
      </w:pPr>
      <w:r>
        <w:rPr>
          <w:rFonts w:hint="eastAsia"/>
          <w:sz w:val="30"/>
          <w:szCs w:val="30"/>
        </w:rPr>
        <w:t>Jesus himself said that his brothers and sisters are those who do the will of the Father—Jesus’ disciples (Mt. 12:50).</w:t>
      </w:r>
    </w:p>
    <w:p w14:paraId="1979DE68">
      <w:pPr>
        <w:pStyle w:val="9"/>
        <w:spacing w:before="11"/>
        <w:ind w:left="0"/>
        <w:jc w:val="left"/>
        <w:rPr>
          <w:rFonts w:hint="eastAsia"/>
          <w:sz w:val="30"/>
          <w:szCs w:val="30"/>
        </w:rPr>
      </w:pPr>
      <w:r>
        <w:rPr>
          <w:rFonts w:hint="eastAsia"/>
          <w:sz w:val="30"/>
          <w:szCs w:val="30"/>
        </w:rPr>
        <w:t>耶稣自己说，祂的弟兄姊妹就是那些遵行父旨意的人——耶稣的门徒（太12:50）。</w:t>
      </w:r>
    </w:p>
    <w:p w14:paraId="6EC23A84">
      <w:pPr>
        <w:pStyle w:val="9"/>
        <w:spacing w:before="11"/>
        <w:ind w:left="0"/>
        <w:jc w:val="left"/>
        <w:rPr>
          <w:rFonts w:hint="eastAsia"/>
          <w:sz w:val="30"/>
          <w:szCs w:val="30"/>
        </w:rPr>
      </w:pPr>
    </w:p>
    <w:p w14:paraId="77BB30D2">
      <w:pPr>
        <w:pStyle w:val="9"/>
        <w:spacing w:before="11"/>
        <w:ind w:left="0"/>
        <w:jc w:val="left"/>
        <w:rPr>
          <w:rFonts w:hint="eastAsia"/>
          <w:sz w:val="30"/>
          <w:szCs w:val="30"/>
        </w:rPr>
      </w:pPr>
      <w:r>
        <w:rPr>
          <w:rFonts w:hint="eastAsia"/>
          <w:sz w:val="30"/>
          <w:szCs w:val="30"/>
        </w:rPr>
        <w:t>Jesus used a parabolic incident of the nightly separation of sheep and goats to tell his disciples that they have a mission to the nations of the world.</w:t>
      </w:r>
    </w:p>
    <w:p w14:paraId="22F9A3FB">
      <w:pPr>
        <w:pStyle w:val="9"/>
        <w:spacing w:before="11"/>
        <w:ind w:left="0"/>
        <w:jc w:val="left"/>
        <w:rPr>
          <w:rFonts w:hint="eastAsia"/>
          <w:sz w:val="30"/>
          <w:szCs w:val="30"/>
        </w:rPr>
      </w:pPr>
      <w:r>
        <w:rPr>
          <w:rFonts w:hint="eastAsia"/>
          <w:sz w:val="30"/>
          <w:szCs w:val="30"/>
        </w:rPr>
        <w:t>耶稣用绵羊和山羊夜间分开的比喻事件，告诉祂的门徒他们对世界各国有使命。</w:t>
      </w:r>
    </w:p>
    <w:p w14:paraId="033655CA">
      <w:pPr>
        <w:pStyle w:val="9"/>
        <w:spacing w:before="11"/>
        <w:ind w:left="0"/>
        <w:jc w:val="left"/>
        <w:rPr>
          <w:rFonts w:hint="eastAsia"/>
          <w:sz w:val="30"/>
          <w:szCs w:val="30"/>
        </w:rPr>
      </w:pPr>
    </w:p>
    <w:p w14:paraId="22BD01B0">
      <w:pPr>
        <w:pStyle w:val="9"/>
        <w:spacing w:before="11"/>
        <w:ind w:left="0"/>
        <w:jc w:val="left"/>
        <w:rPr>
          <w:rFonts w:hint="eastAsia"/>
          <w:sz w:val="30"/>
          <w:szCs w:val="30"/>
        </w:rPr>
      </w:pPr>
      <w:r>
        <w:rPr>
          <w:rFonts w:hint="eastAsia"/>
          <w:sz w:val="30"/>
          <w:szCs w:val="30"/>
        </w:rPr>
        <w:t>The destiny of individuals will be determined by the way they respond to Jesus’ representatives.</w:t>
      </w:r>
    </w:p>
    <w:p w14:paraId="41A12005">
      <w:pPr>
        <w:pStyle w:val="9"/>
        <w:spacing w:before="11"/>
        <w:ind w:left="0"/>
        <w:jc w:val="left"/>
        <w:rPr>
          <w:rFonts w:hint="eastAsia"/>
          <w:sz w:val="30"/>
          <w:szCs w:val="30"/>
        </w:rPr>
      </w:pPr>
      <w:r>
        <w:rPr>
          <w:rFonts w:hint="eastAsia"/>
          <w:sz w:val="30"/>
          <w:szCs w:val="30"/>
        </w:rPr>
        <w:t>个人的命运将由他们如何回应耶稣的代表来决定。</w:t>
      </w:r>
    </w:p>
    <w:p w14:paraId="5DCB17A3">
      <w:pPr>
        <w:pStyle w:val="9"/>
        <w:spacing w:before="11"/>
        <w:ind w:left="0"/>
        <w:jc w:val="left"/>
        <w:rPr>
          <w:rFonts w:hint="eastAsia"/>
          <w:sz w:val="30"/>
          <w:szCs w:val="30"/>
        </w:rPr>
      </w:pPr>
    </w:p>
    <w:p w14:paraId="30DAC5F6">
      <w:pPr>
        <w:pStyle w:val="9"/>
        <w:spacing w:before="11"/>
        <w:ind w:left="0"/>
        <w:jc w:val="left"/>
        <w:rPr>
          <w:rFonts w:hint="eastAsia"/>
          <w:sz w:val="30"/>
          <w:szCs w:val="30"/>
        </w:rPr>
      </w:pPr>
      <w:r>
        <w:rPr>
          <w:rFonts w:hint="eastAsia"/>
          <w:sz w:val="30"/>
          <w:szCs w:val="30"/>
        </w:rPr>
        <w:t>They are to go as itinerant preachers, finding lodging and food from those who receive them (Mt. 10:8-11).</w:t>
      </w:r>
    </w:p>
    <w:p w14:paraId="09C4AD3A">
      <w:pPr>
        <w:pStyle w:val="9"/>
        <w:spacing w:before="11"/>
        <w:ind w:left="0"/>
        <w:jc w:val="left"/>
        <w:rPr>
          <w:rFonts w:hint="eastAsia"/>
          <w:sz w:val="30"/>
          <w:szCs w:val="30"/>
        </w:rPr>
      </w:pPr>
      <w:r>
        <w:rPr>
          <w:rFonts w:hint="eastAsia"/>
          <w:sz w:val="30"/>
          <w:szCs w:val="30"/>
        </w:rPr>
        <w:t>他们要作为巡回传道人出去，从接待他们的人那里找到住宿和食物（太10:8-11）。</w:t>
      </w:r>
    </w:p>
    <w:p w14:paraId="11AD3F7F">
      <w:pPr>
        <w:pStyle w:val="9"/>
        <w:spacing w:before="11"/>
        <w:ind w:left="0"/>
        <w:jc w:val="left"/>
        <w:rPr>
          <w:rFonts w:hint="eastAsia"/>
          <w:sz w:val="30"/>
          <w:szCs w:val="30"/>
        </w:rPr>
      </w:pPr>
    </w:p>
    <w:p w14:paraId="0125021C">
      <w:pPr>
        <w:pStyle w:val="9"/>
        <w:spacing w:before="11"/>
        <w:ind w:left="0"/>
        <w:jc w:val="left"/>
        <w:rPr>
          <w:rFonts w:hint="eastAsia"/>
          <w:sz w:val="30"/>
          <w:szCs w:val="30"/>
        </w:rPr>
      </w:pPr>
      <w:r>
        <w:rPr>
          <w:rFonts w:hint="eastAsia"/>
          <w:sz w:val="30"/>
          <w:szCs w:val="30"/>
        </w:rPr>
        <w:t>However, they will meet persecution and imprisonment (Mt. 10:17-18).</w:t>
      </w:r>
    </w:p>
    <w:p w14:paraId="0F21D20A">
      <w:pPr>
        <w:pStyle w:val="9"/>
        <w:spacing w:before="11"/>
        <w:ind w:left="0"/>
        <w:jc w:val="left"/>
        <w:rPr>
          <w:rFonts w:hint="eastAsia"/>
          <w:sz w:val="30"/>
          <w:szCs w:val="30"/>
        </w:rPr>
      </w:pPr>
      <w:r>
        <w:rPr>
          <w:rFonts w:hint="eastAsia"/>
          <w:sz w:val="30"/>
          <w:szCs w:val="30"/>
        </w:rPr>
        <w:t>然而，他们将遭遇逼迫和监禁（太10:17-18）。</w:t>
      </w:r>
    </w:p>
    <w:p w14:paraId="08822CF0">
      <w:pPr>
        <w:pStyle w:val="9"/>
        <w:spacing w:before="11"/>
        <w:ind w:left="0"/>
        <w:jc w:val="left"/>
        <w:rPr>
          <w:rFonts w:hint="eastAsia"/>
          <w:sz w:val="30"/>
          <w:szCs w:val="30"/>
        </w:rPr>
      </w:pPr>
    </w:p>
    <w:p w14:paraId="2D928125">
      <w:pPr>
        <w:pStyle w:val="9"/>
        <w:spacing w:before="11"/>
        <w:ind w:left="0"/>
        <w:jc w:val="left"/>
        <w:rPr>
          <w:rFonts w:hint="eastAsia"/>
          <w:sz w:val="30"/>
          <w:szCs w:val="30"/>
        </w:rPr>
      </w:pPr>
      <w:r>
        <w:rPr>
          <w:rFonts w:hint="eastAsia"/>
          <w:sz w:val="30"/>
          <w:szCs w:val="30"/>
        </w:rPr>
        <w:t>Those who receive these preachers and treat them well in reality receive Christ.</w:t>
      </w:r>
    </w:p>
    <w:p w14:paraId="004C914D">
      <w:pPr>
        <w:pStyle w:val="9"/>
        <w:spacing w:before="11"/>
        <w:ind w:left="0"/>
        <w:jc w:val="left"/>
        <w:rPr>
          <w:rFonts w:hint="eastAsia"/>
          <w:sz w:val="30"/>
          <w:szCs w:val="30"/>
        </w:rPr>
      </w:pPr>
      <w:r>
        <w:rPr>
          <w:rFonts w:hint="eastAsia"/>
          <w:sz w:val="30"/>
          <w:szCs w:val="30"/>
        </w:rPr>
        <w:t>那些接待这些传道人并善待他们的人，实际上就是接待了基督。</w:t>
      </w:r>
    </w:p>
    <w:p w14:paraId="0A9B1959">
      <w:pPr>
        <w:pStyle w:val="9"/>
        <w:spacing w:before="11"/>
        <w:ind w:left="0"/>
        <w:jc w:val="left"/>
        <w:rPr>
          <w:rFonts w:hint="eastAsia"/>
          <w:sz w:val="30"/>
          <w:szCs w:val="30"/>
        </w:rPr>
      </w:pPr>
    </w:p>
    <w:p w14:paraId="36722D41">
      <w:pPr>
        <w:pStyle w:val="9"/>
        <w:spacing w:before="11"/>
        <w:ind w:left="0"/>
        <w:jc w:val="left"/>
        <w:rPr>
          <w:rFonts w:hint="eastAsia"/>
          <w:sz w:val="30"/>
          <w:szCs w:val="30"/>
        </w:rPr>
      </w:pPr>
      <w:r>
        <w:rPr>
          <w:rFonts w:hint="eastAsia"/>
          <w:sz w:val="30"/>
          <w:szCs w:val="30"/>
        </w:rPr>
        <w:t>“He who receives you receives me” (Mt. 10:14-15).</w:t>
      </w:r>
    </w:p>
    <w:p w14:paraId="5CCD5DB8">
      <w:pPr>
        <w:pStyle w:val="9"/>
        <w:spacing w:before="11"/>
        <w:ind w:left="0"/>
        <w:jc w:val="left"/>
        <w:rPr>
          <w:rFonts w:hint="eastAsia"/>
          <w:sz w:val="30"/>
          <w:szCs w:val="30"/>
        </w:rPr>
      </w:pPr>
      <w:r>
        <w:rPr>
          <w:rFonts w:hint="eastAsia"/>
          <w:sz w:val="30"/>
          <w:szCs w:val="30"/>
        </w:rPr>
        <w:t>“人接待你们，就是接待我”（太10:14-15）。</w:t>
      </w:r>
    </w:p>
    <w:p w14:paraId="57CAE67F">
      <w:pPr>
        <w:pStyle w:val="9"/>
        <w:spacing w:before="11"/>
        <w:ind w:left="0"/>
        <w:jc w:val="left"/>
        <w:rPr>
          <w:rFonts w:hint="eastAsia"/>
          <w:sz w:val="30"/>
          <w:szCs w:val="30"/>
        </w:rPr>
      </w:pPr>
    </w:p>
    <w:p w14:paraId="523FA407">
      <w:pPr>
        <w:pStyle w:val="9"/>
        <w:spacing w:before="11"/>
        <w:ind w:left="0"/>
        <w:jc w:val="left"/>
        <w:rPr>
          <w:rFonts w:hint="eastAsia"/>
          <w:sz w:val="30"/>
          <w:szCs w:val="30"/>
        </w:rPr>
      </w:pPr>
      <w:r>
        <w:rPr>
          <w:rFonts w:hint="eastAsia"/>
          <w:sz w:val="30"/>
          <w:szCs w:val="30"/>
        </w:rPr>
        <w:t>The destiny of nations will be determined by the way they respond to Jesus' representatives.</w:t>
      </w:r>
    </w:p>
    <w:p w14:paraId="62C3DD8D">
      <w:pPr>
        <w:pStyle w:val="9"/>
        <w:spacing w:before="11"/>
        <w:ind w:left="0"/>
        <w:jc w:val="left"/>
        <w:rPr>
          <w:rFonts w:hint="eastAsia"/>
          <w:sz w:val="30"/>
          <w:szCs w:val="30"/>
        </w:rPr>
      </w:pPr>
      <w:r>
        <w:rPr>
          <w:rFonts w:hint="eastAsia"/>
          <w:sz w:val="30"/>
          <w:szCs w:val="30"/>
        </w:rPr>
        <w:t>列国的命运将由他们如何回应耶稣的代表来决定。</w:t>
      </w:r>
    </w:p>
    <w:p w14:paraId="4CE5DDB8">
      <w:pPr>
        <w:pStyle w:val="9"/>
        <w:spacing w:before="11"/>
        <w:ind w:left="0"/>
        <w:jc w:val="left"/>
        <w:rPr>
          <w:rFonts w:hint="eastAsia"/>
          <w:sz w:val="30"/>
          <w:szCs w:val="30"/>
        </w:rPr>
      </w:pPr>
    </w:p>
    <w:p w14:paraId="6C6D7E46">
      <w:pPr>
        <w:pStyle w:val="9"/>
        <w:spacing w:before="11"/>
        <w:ind w:left="0"/>
        <w:jc w:val="left"/>
        <w:rPr>
          <w:rFonts w:hint="eastAsia"/>
          <w:sz w:val="30"/>
          <w:szCs w:val="30"/>
        </w:rPr>
      </w:pPr>
      <w:r>
        <w:rPr>
          <w:rFonts w:hint="eastAsia"/>
          <w:sz w:val="30"/>
          <w:szCs w:val="30"/>
        </w:rPr>
        <w:t>This is not a program of eschatology (as the dispensationalists teach), but a practical parable of human destiny.” – New Testament Theology, pp. 206-207.</w:t>
      </w:r>
    </w:p>
    <w:p w14:paraId="1D44099B">
      <w:pPr>
        <w:pStyle w:val="9"/>
        <w:spacing w:before="11"/>
        <w:ind w:left="0"/>
        <w:jc w:val="left"/>
        <w:rPr>
          <w:rFonts w:hint="eastAsia"/>
          <w:sz w:val="30"/>
          <w:szCs w:val="30"/>
        </w:rPr>
      </w:pPr>
      <w:r>
        <w:rPr>
          <w:rFonts w:hint="eastAsia"/>
          <w:sz w:val="30"/>
          <w:szCs w:val="30"/>
        </w:rPr>
        <w:t>这不是一个末世论的程序（如时代论者所教导的），而是一个关于人类命运的实践性比喻。” – 《新约神学》，第206-207页。</w:t>
      </w:r>
    </w:p>
    <w:p w14:paraId="2B20C098">
      <w:pPr>
        <w:pStyle w:val="9"/>
        <w:spacing w:before="11"/>
        <w:ind w:left="0"/>
        <w:jc w:val="left"/>
        <w:rPr>
          <w:rFonts w:hint="eastAsia"/>
          <w:sz w:val="30"/>
          <w:szCs w:val="30"/>
        </w:rPr>
      </w:pPr>
    </w:p>
    <w:p w14:paraId="235628CA">
      <w:pPr>
        <w:pStyle w:val="9"/>
        <w:spacing w:before="11"/>
        <w:ind w:left="0"/>
        <w:jc w:val="left"/>
        <w:rPr>
          <w:rFonts w:hint="eastAsia"/>
          <w:sz w:val="30"/>
          <w:szCs w:val="30"/>
        </w:rPr>
      </w:pPr>
      <w:r>
        <w:rPr>
          <w:rFonts w:hint="eastAsia"/>
          <w:sz w:val="30"/>
          <w:szCs w:val="30"/>
        </w:rPr>
        <w:t>10.Dispensationalists make much of the idea of the “imminence” of the Lord’s return.</w:t>
      </w:r>
    </w:p>
    <w:p w14:paraId="70BB7D00">
      <w:pPr>
        <w:pStyle w:val="9"/>
        <w:spacing w:before="11"/>
        <w:ind w:left="0"/>
        <w:jc w:val="left"/>
        <w:rPr>
          <w:rFonts w:hint="eastAsia"/>
          <w:sz w:val="30"/>
          <w:szCs w:val="30"/>
        </w:rPr>
      </w:pPr>
      <w:r>
        <w:rPr>
          <w:rFonts w:hint="eastAsia"/>
          <w:sz w:val="30"/>
          <w:szCs w:val="30"/>
        </w:rPr>
        <w:t>10.时代论者非常强调主再来“迫在眉睫”的观念。</w:t>
      </w:r>
    </w:p>
    <w:p w14:paraId="45DE6C62">
      <w:pPr>
        <w:pStyle w:val="9"/>
        <w:spacing w:before="11"/>
        <w:ind w:left="0"/>
        <w:jc w:val="left"/>
        <w:rPr>
          <w:rFonts w:hint="eastAsia"/>
          <w:sz w:val="30"/>
          <w:szCs w:val="30"/>
        </w:rPr>
      </w:pPr>
    </w:p>
    <w:p w14:paraId="7D5265D9">
      <w:pPr>
        <w:pStyle w:val="9"/>
        <w:spacing w:before="11"/>
        <w:ind w:left="0"/>
        <w:jc w:val="left"/>
        <w:rPr>
          <w:rFonts w:hint="eastAsia"/>
          <w:sz w:val="30"/>
          <w:szCs w:val="30"/>
        </w:rPr>
      </w:pPr>
      <w:r>
        <w:rPr>
          <w:rFonts w:hint="eastAsia"/>
          <w:sz w:val="30"/>
          <w:szCs w:val="30"/>
        </w:rPr>
        <w:t>The return they have in mind, however, is not the Parousia (spoken of in Mt. 24-25), but the Rapture, supposedly set to occur seven years earlier, and allegedly discussed in 1 Thess. 4.</w:t>
      </w:r>
    </w:p>
    <w:p w14:paraId="12D546CF">
      <w:pPr>
        <w:pStyle w:val="9"/>
        <w:spacing w:before="11"/>
        <w:ind w:left="0"/>
        <w:jc w:val="left"/>
        <w:rPr>
          <w:rFonts w:hint="eastAsia"/>
          <w:sz w:val="30"/>
          <w:szCs w:val="30"/>
        </w:rPr>
      </w:pPr>
      <w:r>
        <w:rPr>
          <w:rFonts w:hint="eastAsia"/>
          <w:sz w:val="30"/>
          <w:szCs w:val="30"/>
        </w:rPr>
        <w:t>然而，他们心中所想的再来，并非主的再来（Parousia）（如马太福音24-25章所说），而是被提，据说这要早七年发生，并且据称在帖撒罗尼迦前书第4章中有所讨论。</w:t>
      </w:r>
    </w:p>
    <w:p w14:paraId="6ACE7AE4">
      <w:pPr>
        <w:pStyle w:val="9"/>
        <w:spacing w:before="11"/>
        <w:ind w:left="0"/>
        <w:jc w:val="left"/>
        <w:rPr>
          <w:rFonts w:hint="eastAsia"/>
          <w:sz w:val="30"/>
          <w:szCs w:val="30"/>
        </w:rPr>
      </w:pPr>
    </w:p>
    <w:p w14:paraId="79E0002A">
      <w:pPr>
        <w:pStyle w:val="9"/>
        <w:spacing w:before="11"/>
        <w:ind w:left="0"/>
        <w:jc w:val="left"/>
        <w:rPr>
          <w:rFonts w:hint="eastAsia"/>
          <w:sz w:val="30"/>
          <w:szCs w:val="30"/>
        </w:rPr>
      </w:pPr>
      <w:r>
        <w:rPr>
          <w:rFonts w:hint="eastAsia"/>
          <w:sz w:val="30"/>
          <w:szCs w:val="30"/>
        </w:rPr>
        <w:t>The Rapture, they insist, is altogether imminent: It could occur at any moment, since God has not given us any signs by which to know it is near.</w:t>
      </w:r>
    </w:p>
    <w:p w14:paraId="4BBA1A10">
      <w:pPr>
        <w:pStyle w:val="9"/>
        <w:spacing w:before="11"/>
        <w:ind w:left="0"/>
        <w:jc w:val="left"/>
        <w:rPr>
          <w:rFonts w:hint="eastAsia"/>
          <w:sz w:val="30"/>
          <w:szCs w:val="30"/>
        </w:rPr>
      </w:pPr>
      <w:r>
        <w:rPr>
          <w:rFonts w:hint="eastAsia"/>
          <w:sz w:val="30"/>
          <w:szCs w:val="30"/>
        </w:rPr>
        <w:t>他们坚持认为，被提是完全迫在眉睫的：它可能在任何时刻发生，因为神没有给我们任何预兆来知晓它的临近。</w:t>
      </w:r>
    </w:p>
    <w:p w14:paraId="7C45B8CC">
      <w:pPr>
        <w:pStyle w:val="9"/>
        <w:spacing w:before="11"/>
        <w:ind w:left="0"/>
        <w:jc w:val="left"/>
        <w:rPr>
          <w:rFonts w:hint="eastAsia"/>
          <w:sz w:val="30"/>
          <w:szCs w:val="30"/>
        </w:rPr>
      </w:pPr>
    </w:p>
    <w:p w14:paraId="64C11800">
      <w:pPr>
        <w:pStyle w:val="9"/>
        <w:spacing w:before="11"/>
        <w:ind w:left="0"/>
        <w:jc w:val="left"/>
        <w:rPr>
          <w:rFonts w:hint="eastAsia"/>
          <w:sz w:val="30"/>
          <w:szCs w:val="30"/>
        </w:rPr>
      </w:pPr>
      <w:r>
        <w:rPr>
          <w:rFonts w:hint="eastAsia"/>
          <w:sz w:val="30"/>
          <w:szCs w:val="30"/>
        </w:rPr>
        <w:t>In this way dispensationalists completely overthrow the Lord’s purpose in the Olivet Discourse, and Paul’s in 2 Thessalonians 2, which was to secure the Church against prophetic frenzies by supplying easily identifiable signs of the imminence of the Parousia.</w:t>
      </w:r>
    </w:p>
    <w:p w14:paraId="4FD59F96">
      <w:pPr>
        <w:pStyle w:val="9"/>
        <w:spacing w:before="11"/>
        <w:ind w:left="0"/>
        <w:jc w:val="left"/>
        <w:rPr>
          <w:rFonts w:hint="eastAsia"/>
          <w:sz w:val="30"/>
          <w:szCs w:val="30"/>
        </w:rPr>
      </w:pPr>
      <w:r>
        <w:rPr>
          <w:rFonts w:hint="eastAsia"/>
          <w:sz w:val="30"/>
          <w:szCs w:val="30"/>
        </w:rPr>
        <w:t>时代论者以这种方式，完全推翻了主在橄榄山讲论中的目的，以及保罗在帖撒罗尼迦后书第2章中的目的，即通过提供易于识别的、表明主再来迫在眉睫的预兆，来保护教会免受预言狂热的影响。</w:t>
      </w:r>
    </w:p>
    <w:p w14:paraId="702F55ED">
      <w:pPr>
        <w:pStyle w:val="9"/>
        <w:spacing w:before="11"/>
        <w:ind w:left="0"/>
        <w:jc w:val="left"/>
        <w:rPr>
          <w:rFonts w:hint="eastAsia"/>
          <w:sz w:val="30"/>
          <w:szCs w:val="30"/>
        </w:rPr>
      </w:pPr>
    </w:p>
    <w:p w14:paraId="62728B15">
      <w:pPr>
        <w:pStyle w:val="9"/>
        <w:spacing w:before="11"/>
        <w:ind w:left="0"/>
        <w:jc w:val="left"/>
        <w:rPr>
          <w:rFonts w:hint="eastAsia"/>
          <w:sz w:val="30"/>
          <w:szCs w:val="30"/>
        </w:rPr>
      </w:pPr>
      <w:r>
        <w:rPr>
          <w:rFonts w:hint="eastAsia"/>
          <w:sz w:val="30"/>
          <w:szCs w:val="30"/>
        </w:rPr>
        <w:t>As older Christians well know, far from protecting the Church from such frenzies, Dispensationalism has actually unleashed them one after another.</w:t>
      </w:r>
    </w:p>
    <w:p w14:paraId="21DFA277">
      <w:pPr>
        <w:pStyle w:val="9"/>
        <w:spacing w:before="11"/>
        <w:ind w:left="0"/>
        <w:jc w:val="left"/>
        <w:rPr>
          <w:rFonts w:hint="eastAsia"/>
          <w:sz w:val="30"/>
          <w:szCs w:val="30"/>
        </w:rPr>
      </w:pPr>
      <w:r>
        <w:rPr>
          <w:rFonts w:hint="eastAsia"/>
          <w:sz w:val="30"/>
          <w:szCs w:val="30"/>
        </w:rPr>
        <w:t>正如年长的基督徒所熟知的，时代论远非保护教会免受此类狂热的影响，实际上它接二连三地释放了这些狂热。</w:t>
      </w:r>
    </w:p>
    <w:p w14:paraId="6F42032E">
      <w:pPr>
        <w:pStyle w:val="9"/>
        <w:spacing w:before="11"/>
        <w:ind w:left="0"/>
        <w:jc w:val="left"/>
        <w:rPr>
          <w:rFonts w:hint="eastAsia"/>
          <w:sz w:val="30"/>
          <w:szCs w:val="30"/>
        </w:rPr>
      </w:pPr>
    </w:p>
    <w:p w14:paraId="0FFF8364">
      <w:pPr>
        <w:pStyle w:val="9"/>
        <w:spacing w:before="11"/>
        <w:ind w:left="0"/>
        <w:jc w:val="left"/>
        <w:rPr>
          <w:rFonts w:hint="eastAsia"/>
          <w:sz w:val="30"/>
          <w:szCs w:val="30"/>
        </w:rPr>
      </w:pPr>
      <w:r>
        <w:rPr>
          <w:rFonts w:hint="eastAsia"/>
          <w:sz w:val="30"/>
          <w:szCs w:val="30"/>
        </w:rPr>
        <w:t>11.Wm. Hendriksen, New Testament Commentary: John (Baker, 1953), Vol. II, p. 265.</w:t>
      </w:r>
    </w:p>
    <w:p w14:paraId="2B1966E9">
      <w:pPr>
        <w:pStyle w:val="9"/>
        <w:spacing w:before="11"/>
        <w:ind w:left="0"/>
        <w:jc w:val="left"/>
        <w:rPr>
          <w:rFonts w:hint="eastAsia"/>
          <w:sz w:val="30"/>
          <w:szCs w:val="30"/>
        </w:rPr>
      </w:pPr>
      <w:r>
        <w:rPr>
          <w:rFonts w:hint="eastAsia"/>
          <w:sz w:val="30"/>
          <w:szCs w:val="30"/>
        </w:rPr>
        <w:t>11.威廉·亨德里克森，《新约注释：约翰福音》（Baker, 1953），卷二，第265页。</w:t>
      </w:r>
    </w:p>
    <w:p w14:paraId="65C23B2E">
      <w:pPr>
        <w:pStyle w:val="9"/>
        <w:spacing w:before="11"/>
        <w:ind w:left="0"/>
        <w:jc w:val="left"/>
        <w:rPr>
          <w:rFonts w:hint="eastAsia"/>
          <w:sz w:val="30"/>
          <w:szCs w:val="30"/>
        </w:rPr>
      </w:pPr>
    </w:p>
    <w:p w14:paraId="69074B54">
      <w:pPr>
        <w:pStyle w:val="9"/>
        <w:spacing w:before="11"/>
        <w:ind w:left="0"/>
        <w:jc w:val="left"/>
        <w:rPr>
          <w:rFonts w:hint="eastAsia"/>
          <w:sz w:val="30"/>
          <w:szCs w:val="30"/>
        </w:rPr>
      </w:pPr>
      <w:r>
        <w:rPr>
          <w:rFonts w:hint="eastAsia"/>
          <w:sz w:val="30"/>
          <w:szCs w:val="30"/>
        </w:rPr>
        <w:t>12.MacArthur Study Bible, p. 2211.</w:t>
      </w:r>
    </w:p>
    <w:p w14:paraId="0BF2CEE4">
      <w:pPr>
        <w:pStyle w:val="9"/>
        <w:spacing w:before="11"/>
        <w:ind w:left="0"/>
        <w:jc w:val="left"/>
        <w:rPr>
          <w:rFonts w:hint="eastAsia"/>
          <w:sz w:val="30"/>
          <w:szCs w:val="30"/>
        </w:rPr>
      </w:pPr>
      <w:r>
        <w:rPr>
          <w:rFonts w:hint="eastAsia"/>
          <w:sz w:val="30"/>
          <w:szCs w:val="30"/>
        </w:rPr>
        <w:t>12.《麦克阿瑟研读本圣经》，第2211页。</w:t>
      </w:r>
    </w:p>
    <w:p w14:paraId="260C1C68">
      <w:pPr>
        <w:pStyle w:val="9"/>
        <w:spacing w:before="11"/>
        <w:ind w:left="0"/>
        <w:jc w:val="left"/>
        <w:rPr>
          <w:rFonts w:hint="eastAsia"/>
          <w:sz w:val="30"/>
          <w:szCs w:val="30"/>
        </w:rPr>
      </w:pPr>
    </w:p>
    <w:p w14:paraId="52C77CDF">
      <w:pPr>
        <w:pStyle w:val="9"/>
        <w:spacing w:before="11"/>
        <w:ind w:left="0"/>
        <w:jc w:val="left"/>
        <w:rPr>
          <w:rFonts w:hint="eastAsia"/>
          <w:sz w:val="30"/>
          <w:szCs w:val="30"/>
        </w:rPr>
      </w:pPr>
      <w:r>
        <w:rPr>
          <w:rFonts w:hint="eastAsia"/>
          <w:sz w:val="30"/>
          <w:szCs w:val="30"/>
        </w:rPr>
        <w:t>13.One of the most powerful and moving biblical affirmations of a latter- day restoration of ethnic Israel is found in the OT story of Joseph and his brethren (Genesis 37-47).</w:t>
      </w:r>
    </w:p>
    <w:p w14:paraId="32013828">
      <w:pPr>
        <w:pStyle w:val="9"/>
        <w:spacing w:before="11"/>
        <w:ind w:left="0"/>
        <w:jc w:val="left"/>
        <w:rPr>
          <w:rFonts w:hint="eastAsia"/>
          <w:sz w:val="30"/>
          <w:szCs w:val="30"/>
        </w:rPr>
      </w:pPr>
      <w:r>
        <w:rPr>
          <w:rFonts w:hint="eastAsia"/>
          <w:sz w:val="30"/>
          <w:szCs w:val="30"/>
        </w:rPr>
        <w:t>13.圣经中对末后种族以色列人复兴的最有力、最感人的肯定之一，见于旧约中约瑟和他弟兄们的故事（创世记37-47章）。</w:t>
      </w:r>
    </w:p>
    <w:p w14:paraId="22231F98">
      <w:pPr>
        <w:pStyle w:val="9"/>
        <w:spacing w:before="11"/>
        <w:ind w:left="0"/>
        <w:jc w:val="left"/>
        <w:rPr>
          <w:rFonts w:hint="eastAsia"/>
          <w:sz w:val="30"/>
          <w:szCs w:val="30"/>
        </w:rPr>
      </w:pPr>
    </w:p>
    <w:p w14:paraId="09956BDF">
      <w:pPr>
        <w:pStyle w:val="9"/>
        <w:spacing w:before="11"/>
        <w:ind w:left="0"/>
        <w:jc w:val="left"/>
        <w:rPr>
          <w:rFonts w:hint="eastAsia"/>
          <w:sz w:val="30"/>
          <w:szCs w:val="30"/>
        </w:rPr>
      </w:pPr>
      <w:r>
        <w:rPr>
          <w:rFonts w:hint="eastAsia"/>
          <w:sz w:val="30"/>
          <w:szCs w:val="30"/>
        </w:rPr>
        <w:t>Jealous of the “dreamer” in their midst who has declared that he will one day rule over them, Joseph’s brothers violently send him down to Egypt, where, after a season of profound humiliation, he is exalted to the right hand of Pharaoh and made prince over all the land.</w:t>
      </w:r>
    </w:p>
    <w:p w14:paraId="2F40A2B3">
      <w:pPr>
        <w:pStyle w:val="9"/>
        <w:spacing w:before="11"/>
        <w:ind w:left="0"/>
        <w:jc w:val="left"/>
        <w:rPr>
          <w:rFonts w:hint="eastAsia"/>
          <w:sz w:val="30"/>
          <w:szCs w:val="30"/>
        </w:rPr>
      </w:pPr>
      <w:r>
        <w:rPr>
          <w:rFonts w:hint="eastAsia"/>
          <w:sz w:val="30"/>
          <w:szCs w:val="30"/>
        </w:rPr>
        <w:t>约瑟的弟兄们嫉妒他们中间那个宣称自己有一天要管辖他们的“作梦的”，就粗暴地把他送到埃及去，在那里，经过一段深深的羞辱之后，他被高举到法老的右边，作了全地的宰相。</w:t>
      </w:r>
    </w:p>
    <w:p w14:paraId="465FFFDC">
      <w:pPr>
        <w:pStyle w:val="9"/>
        <w:spacing w:before="11"/>
        <w:ind w:left="0"/>
        <w:jc w:val="left"/>
        <w:rPr>
          <w:rFonts w:hint="eastAsia"/>
          <w:sz w:val="30"/>
          <w:szCs w:val="30"/>
        </w:rPr>
      </w:pPr>
    </w:p>
    <w:p w14:paraId="79766A16">
      <w:pPr>
        <w:pStyle w:val="9"/>
        <w:spacing w:before="11"/>
        <w:ind w:left="0"/>
        <w:jc w:val="left"/>
        <w:rPr>
          <w:rFonts w:hint="eastAsia"/>
          <w:sz w:val="30"/>
          <w:szCs w:val="30"/>
        </w:rPr>
      </w:pPr>
      <w:r>
        <w:rPr>
          <w:rFonts w:hint="eastAsia"/>
          <w:sz w:val="30"/>
          <w:szCs w:val="30"/>
        </w:rPr>
        <w:t>At just the right time, and by the good providence of God, Joseph’s chastened and guilt-ridden brothers go down to Egypt themselves, hungry and seeking food.</w:t>
      </w:r>
    </w:p>
    <w:p w14:paraId="1A34B21F">
      <w:pPr>
        <w:pStyle w:val="9"/>
        <w:spacing w:before="11"/>
        <w:ind w:left="0"/>
        <w:jc w:val="left"/>
        <w:rPr>
          <w:rFonts w:hint="eastAsia"/>
          <w:sz w:val="30"/>
          <w:szCs w:val="30"/>
        </w:rPr>
      </w:pPr>
      <w:r>
        <w:rPr>
          <w:rFonts w:hint="eastAsia"/>
          <w:sz w:val="30"/>
          <w:szCs w:val="30"/>
        </w:rPr>
        <w:t>在恰当的时候，藉着神美好的护理，约瑟那些受了管教、满怀愧疚的弟兄们，自己也下到埃及，饥饿地寻求食物。</w:t>
      </w:r>
    </w:p>
    <w:p w14:paraId="0FE3C026">
      <w:pPr>
        <w:pStyle w:val="9"/>
        <w:spacing w:before="11"/>
        <w:ind w:left="0"/>
        <w:jc w:val="left"/>
        <w:rPr>
          <w:rFonts w:hint="eastAsia"/>
          <w:sz w:val="30"/>
          <w:szCs w:val="30"/>
        </w:rPr>
      </w:pPr>
    </w:p>
    <w:p w14:paraId="4C426F97">
      <w:pPr>
        <w:pStyle w:val="9"/>
        <w:spacing w:before="11"/>
        <w:ind w:left="0"/>
        <w:jc w:val="left"/>
        <w:rPr>
          <w:rFonts w:hint="eastAsia"/>
          <w:sz w:val="30"/>
          <w:szCs w:val="30"/>
        </w:rPr>
      </w:pPr>
      <w:r>
        <w:rPr>
          <w:rFonts w:hint="eastAsia"/>
          <w:sz w:val="30"/>
          <w:szCs w:val="30"/>
        </w:rPr>
        <w:t>Concealing his true identity from them, he tests them sorely, in order to elicit an honest confession of their sin.</w:t>
      </w:r>
    </w:p>
    <w:p w14:paraId="7D8D8788">
      <w:pPr>
        <w:pStyle w:val="9"/>
        <w:spacing w:before="11"/>
        <w:ind w:left="0"/>
        <w:jc w:val="left"/>
        <w:rPr>
          <w:rFonts w:hint="eastAsia"/>
          <w:sz w:val="30"/>
          <w:szCs w:val="30"/>
        </w:rPr>
      </w:pPr>
      <w:r>
        <w:rPr>
          <w:rFonts w:hint="eastAsia"/>
          <w:sz w:val="30"/>
          <w:szCs w:val="30"/>
        </w:rPr>
        <w:t>他向他们隐藏自己的真实身份，严厉地考验他们，为要引出他们对自己罪行的诚实认罪。</w:t>
      </w:r>
    </w:p>
    <w:p w14:paraId="5BBE7B31">
      <w:pPr>
        <w:pStyle w:val="9"/>
        <w:spacing w:before="11"/>
        <w:ind w:left="0"/>
        <w:jc w:val="left"/>
        <w:rPr>
          <w:rFonts w:hint="eastAsia"/>
          <w:sz w:val="30"/>
          <w:szCs w:val="30"/>
        </w:rPr>
      </w:pPr>
    </w:p>
    <w:p w14:paraId="61D94EED">
      <w:pPr>
        <w:pStyle w:val="9"/>
        <w:spacing w:before="11"/>
        <w:ind w:left="0"/>
        <w:jc w:val="left"/>
        <w:rPr>
          <w:rFonts w:hint="eastAsia"/>
          <w:sz w:val="30"/>
          <w:szCs w:val="30"/>
        </w:rPr>
      </w:pPr>
      <w:r>
        <w:rPr>
          <w:rFonts w:hint="eastAsia"/>
          <w:sz w:val="30"/>
          <w:szCs w:val="30"/>
        </w:rPr>
        <w:t>But then, with a startling display of deep emotion, he gladly makes himself known, assuring them of his love, forgiveness, and all the good things that the sovereign God has ever had in store for them.</w:t>
      </w:r>
    </w:p>
    <w:p w14:paraId="175D2FD0">
      <w:pPr>
        <w:pStyle w:val="9"/>
        <w:spacing w:before="11"/>
        <w:ind w:left="0"/>
        <w:jc w:val="left"/>
        <w:rPr>
          <w:rFonts w:hint="eastAsia"/>
          <w:sz w:val="30"/>
          <w:szCs w:val="30"/>
        </w:rPr>
      </w:pPr>
      <w:r>
        <w:rPr>
          <w:rFonts w:hint="eastAsia"/>
          <w:sz w:val="30"/>
          <w:szCs w:val="30"/>
        </w:rPr>
        <w:t>但随后，他以令人震惊的深情流露，欣然表明自己的身份，向他们保证他的爱、饶恕以及主权的神一直为他们预备的一切美物。</w:t>
      </w:r>
    </w:p>
    <w:p w14:paraId="13760D52">
      <w:pPr>
        <w:pStyle w:val="9"/>
        <w:spacing w:before="11"/>
        <w:ind w:left="0"/>
        <w:jc w:val="left"/>
        <w:rPr>
          <w:rFonts w:hint="eastAsia"/>
          <w:sz w:val="30"/>
          <w:szCs w:val="30"/>
        </w:rPr>
      </w:pPr>
    </w:p>
    <w:p w14:paraId="79E7EB58">
      <w:pPr>
        <w:pStyle w:val="9"/>
        <w:spacing w:before="11"/>
        <w:ind w:left="0"/>
        <w:jc w:val="left"/>
        <w:rPr>
          <w:rFonts w:hint="eastAsia"/>
          <w:sz w:val="30"/>
          <w:szCs w:val="30"/>
        </w:rPr>
      </w:pPr>
      <w:r>
        <w:rPr>
          <w:rFonts w:hint="eastAsia"/>
          <w:sz w:val="30"/>
          <w:szCs w:val="30"/>
        </w:rPr>
        <w:t>Without doubt, this is one of Scripture’s most elaborate and beautiful Messianic types, picturing as it does Israel’s rejection of Jesus Christ, their subsequent dispersion and descent into spiritual poverty, his subsequent ascent to the right hand of the Father where he exercises great authority over the Gentile nation(s), and his ultimate reconciliation and reunion with the estranged sons of Israel, when, with a great show of love (at which all the Gentile world will marvel) he finally makes himself known to his brethren (Gen. 45:1ff).</w:t>
      </w:r>
    </w:p>
    <w:p w14:paraId="28552F50">
      <w:pPr>
        <w:pStyle w:val="9"/>
        <w:spacing w:before="11"/>
        <w:ind w:left="0"/>
        <w:jc w:val="left"/>
        <w:rPr>
          <w:rFonts w:hint="eastAsia"/>
          <w:sz w:val="30"/>
          <w:szCs w:val="30"/>
        </w:rPr>
      </w:pPr>
      <w:r>
        <w:rPr>
          <w:rFonts w:hint="eastAsia"/>
          <w:sz w:val="30"/>
          <w:szCs w:val="30"/>
        </w:rPr>
        <w:t>毫无疑问，这是圣经中最精致、最美丽的弥赛亚预表之一，它描绘了以色列对耶稣基督的拒绝，他们随后的分散和陷入属灵的贫困，祂随后升到父的右边，在那里祂对外邦民族行使极大的权柄，以及祂最终与疏远的以色列子孙和解并团聚，届时，祂将以极大的爱（令所有外邦世界都惊奇）最终向祂的弟兄们显明自己（创45:1及以下）。</w:t>
      </w:r>
    </w:p>
    <w:p w14:paraId="7516B388">
      <w:pPr>
        <w:pStyle w:val="9"/>
        <w:spacing w:before="11"/>
        <w:ind w:left="0"/>
        <w:jc w:val="left"/>
        <w:rPr>
          <w:rFonts w:hint="eastAsia"/>
          <w:sz w:val="30"/>
          <w:szCs w:val="30"/>
        </w:rPr>
      </w:pPr>
    </w:p>
    <w:p w14:paraId="48467FFA">
      <w:pPr>
        <w:pStyle w:val="9"/>
        <w:spacing w:before="11"/>
        <w:ind w:left="0"/>
        <w:jc w:val="left"/>
        <w:rPr>
          <w:rFonts w:hint="eastAsia"/>
          <w:sz w:val="30"/>
          <w:szCs w:val="30"/>
        </w:rPr>
      </w:pPr>
      <w:r>
        <w:rPr>
          <w:rFonts w:hint="eastAsia"/>
          <w:sz w:val="30"/>
          <w:szCs w:val="30"/>
        </w:rPr>
        <w:t>14.Astonishingly, John MacArthur declares that in 1 Cor. 15:50-58 Paul’s theme is really the secret Rapture of the Church; that “the last trumpet” does not herald the Consummation of all things, but rather “the end of the Church era” (MSB, p. 2403).</w:t>
      </w:r>
    </w:p>
    <w:p w14:paraId="43EA3B84">
      <w:pPr>
        <w:pStyle w:val="9"/>
        <w:spacing w:before="11"/>
        <w:ind w:left="0"/>
        <w:jc w:val="left"/>
        <w:rPr>
          <w:rFonts w:hint="eastAsia"/>
          <w:sz w:val="30"/>
          <w:szCs w:val="30"/>
        </w:rPr>
      </w:pPr>
      <w:r>
        <w:rPr>
          <w:rFonts w:hint="eastAsia"/>
          <w:sz w:val="30"/>
          <w:szCs w:val="30"/>
        </w:rPr>
        <w:t>14.令人惊讶的是，约翰·麦克阿瑟宣称，在哥林多前书15:50-58中，保罗的主题实际上是教会的秘密被提；“末次的号筒”预示的不是万物的结局，而是“教会时代的结束”（MSB，第2403页）。</w:t>
      </w:r>
    </w:p>
    <w:p w14:paraId="36FD478D">
      <w:pPr>
        <w:pStyle w:val="9"/>
        <w:spacing w:before="11"/>
        <w:ind w:left="0"/>
        <w:jc w:val="left"/>
        <w:rPr>
          <w:rFonts w:hint="eastAsia"/>
          <w:sz w:val="30"/>
          <w:szCs w:val="30"/>
        </w:rPr>
      </w:pPr>
    </w:p>
    <w:p w14:paraId="571C2294">
      <w:pPr>
        <w:pStyle w:val="9"/>
        <w:spacing w:before="11"/>
        <w:ind w:left="0"/>
        <w:jc w:val="left"/>
        <w:rPr>
          <w:rFonts w:hint="eastAsia"/>
          <w:sz w:val="30"/>
          <w:szCs w:val="30"/>
        </w:rPr>
      </w:pPr>
      <w:r>
        <w:rPr>
          <w:rFonts w:hint="eastAsia"/>
          <w:sz w:val="30"/>
          <w:szCs w:val="30"/>
        </w:rPr>
        <w:t>Now it is certainly true that this text runs closely parallel to 1 Thess. 4, wherein Paul does indeed discuss the catching up the Church to meet the Lord in the air.</w:t>
      </w:r>
    </w:p>
    <w:p w14:paraId="7C538B05">
      <w:pPr>
        <w:pStyle w:val="9"/>
        <w:spacing w:before="11"/>
        <w:ind w:left="0"/>
        <w:jc w:val="left"/>
        <w:rPr>
          <w:rFonts w:hint="eastAsia"/>
          <w:sz w:val="30"/>
          <w:szCs w:val="30"/>
        </w:rPr>
      </w:pPr>
      <w:r>
        <w:rPr>
          <w:rFonts w:hint="eastAsia"/>
          <w:sz w:val="30"/>
          <w:szCs w:val="30"/>
        </w:rPr>
        <w:t>现在，可以肯定的是，这段经文与帖撒罗尼迦前书第4章紧密平行，保罗在该处确实讨论了教会的被提到空中与主相遇。</w:t>
      </w:r>
    </w:p>
    <w:p w14:paraId="4CA84951">
      <w:pPr>
        <w:pStyle w:val="9"/>
        <w:spacing w:before="11"/>
        <w:ind w:left="0"/>
        <w:jc w:val="left"/>
        <w:rPr>
          <w:rFonts w:hint="eastAsia"/>
          <w:sz w:val="30"/>
          <w:szCs w:val="30"/>
        </w:rPr>
      </w:pPr>
    </w:p>
    <w:p w14:paraId="7A4A6925">
      <w:pPr>
        <w:pStyle w:val="9"/>
        <w:spacing w:before="11"/>
        <w:ind w:left="0"/>
        <w:jc w:val="left"/>
        <w:rPr>
          <w:rFonts w:hint="eastAsia"/>
          <w:sz w:val="30"/>
          <w:szCs w:val="30"/>
        </w:rPr>
      </w:pPr>
      <w:r>
        <w:rPr>
          <w:rFonts w:hint="eastAsia"/>
          <w:sz w:val="30"/>
          <w:szCs w:val="30"/>
        </w:rPr>
        <w:t>But as I have shown above (and as I will also show when we look at 1 Thess. 4) he is clearly dealing with the Consummation: with the advent of an eternal, incorruptible Kingdom (50), the last trumpet (52), and the defeat of the last enemy, which is death (26, 54-55).</w:t>
      </w:r>
    </w:p>
    <w:p w14:paraId="4A25BD44">
      <w:pPr>
        <w:pStyle w:val="9"/>
        <w:spacing w:before="11"/>
        <w:ind w:left="0"/>
        <w:jc w:val="left"/>
        <w:rPr>
          <w:rFonts w:hint="eastAsia"/>
          <w:sz w:val="30"/>
          <w:szCs w:val="30"/>
        </w:rPr>
      </w:pPr>
      <w:r>
        <w:rPr>
          <w:rFonts w:hint="eastAsia"/>
          <w:sz w:val="30"/>
          <w:szCs w:val="30"/>
        </w:rPr>
        <w:t>但正如我上面所展示的（以及当我们在看帖撒罗尼迦前书第4章时也将展示的），祂显然是在处理结局：即一个永恒、不朽坏的国度的来临（50节）、末次的号筒（52节）以及最后一个仇敌——即死亡——的失败（26, 54-55节）。</w:t>
      </w:r>
    </w:p>
    <w:p w14:paraId="257B24DE">
      <w:pPr>
        <w:pStyle w:val="9"/>
        <w:spacing w:before="11"/>
        <w:ind w:left="0"/>
        <w:jc w:val="left"/>
        <w:rPr>
          <w:rFonts w:hint="eastAsia"/>
          <w:sz w:val="30"/>
          <w:szCs w:val="30"/>
        </w:rPr>
      </w:pPr>
    </w:p>
    <w:p w14:paraId="76A1E808">
      <w:pPr>
        <w:pStyle w:val="9"/>
        <w:spacing w:before="11"/>
        <w:ind w:left="0"/>
        <w:jc w:val="left"/>
        <w:rPr>
          <w:rFonts w:hint="eastAsia"/>
          <w:sz w:val="30"/>
          <w:szCs w:val="30"/>
        </w:rPr>
      </w:pPr>
      <w:r>
        <w:rPr>
          <w:rFonts w:hint="eastAsia"/>
          <w:sz w:val="30"/>
          <w:szCs w:val="30"/>
        </w:rPr>
        <w:t>In short, he is dealing with “the end” (24).</w:t>
      </w:r>
    </w:p>
    <w:p w14:paraId="145DFBB5">
      <w:pPr>
        <w:pStyle w:val="9"/>
        <w:spacing w:before="11"/>
        <w:ind w:left="0"/>
        <w:jc w:val="left"/>
        <w:rPr>
          <w:rFonts w:hint="eastAsia"/>
          <w:sz w:val="30"/>
          <w:szCs w:val="30"/>
        </w:rPr>
      </w:pPr>
      <w:r>
        <w:rPr>
          <w:rFonts w:hint="eastAsia"/>
          <w:sz w:val="30"/>
          <w:szCs w:val="30"/>
        </w:rPr>
        <w:t>简而言之，祂是在处理“末期”（24节）。</w:t>
      </w:r>
    </w:p>
    <w:p w14:paraId="4BA27F3B">
      <w:pPr>
        <w:pStyle w:val="9"/>
        <w:spacing w:before="11"/>
        <w:ind w:left="0"/>
        <w:jc w:val="left"/>
        <w:rPr>
          <w:rFonts w:hint="eastAsia"/>
          <w:sz w:val="30"/>
          <w:szCs w:val="30"/>
        </w:rPr>
      </w:pPr>
    </w:p>
    <w:p w14:paraId="67390FA1">
      <w:pPr>
        <w:pStyle w:val="9"/>
        <w:spacing w:before="11"/>
        <w:ind w:left="0"/>
        <w:jc w:val="left"/>
        <w:rPr>
          <w:rFonts w:hint="eastAsia"/>
          <w:sz w:val="30"/>
          <w:szCs w:val="30"/>
        </w:rPr>
      </w:pPr>
      <w:r>
        <w:rPr>
          <w:rFonts w:hint="eastAsia"/>
          <w:sz w:val="30"/>
          <w:szCs w:val="30"/>
        </w:rPr>
        <w:t>Chapter 24: Crucial NT Texts Pertaining to the Consummation (2)</w:t>
      </w:r>
    </w:p>
    <w:p w14:paraId="4BC6FA47">
      <w:pPr>
        <w:pStyle w:val="9"/>
        <w:spacing w:before="11"/>
        <w:ind w:left="0"/>
        <w:jc w:val="left"/>
        <w:rPr>
          <w:rFonts w:hint="eastAsia"/>
          <w:sz w:val="30"/>
          <w:szCs w:val="30"/>
        </w:rPr>
      </w:pPr>
      <w:r>
        <w:rPr>
          <w:rFonts w:hint="eastAsia"/>
          <w:sz w:val="30"/>
          <w:szCs w:val="30"/>
        </w:rPr>
        <w:t>第24章：关乎结局的关键新约经文（2）</w:t>
      </w:r>
    </w:p>
    <w:p w14:paraId="7E6572A3">
      <w:pPr>
        <w:pStyle w:val="9"/>
        <w:spacing w:before="11"/>
        <w:ind w:left="0"/>
        <w:jc w:val="left"/>
        <w:rPr>
          <w:rFonts w:hint="eastAsia"/>
          <w:sz w:val="30"/>
          <w:szCs w:val="30"/>
        </w:rPr>
      </w:pPr>
    </w:p>
    <w:p w14:paraId="72D0A7C7">
      <w:pPr>
        <w:pStyle w:val="9"/>
        <w:spacing w:before="11"/>
        <w:ind w:left="0"/>
        <w:jc w:val="left"/>
        <w:rPr>
          <w:rFonts w:hint="eastAsia"/>
          <w:sz w:val="30"/>
          <w:szCs w:val="30"/>
        </w:rPr>
      </w:pPr>
      <w:r>
        <w:rPr>
          <w:rFonts w:hint="eastAsia"/>
          <w:sz w:val="30"/>
          <w:szCs w:val="30"/>
        </w:rPr>
        <w:t>1.See Rom. 8:18-25, 1 Cor. 15:20-28, 50-58, Phil. 3:20-21, 1 Thess. 5:1-11, 2 Thess. 1:3-12, 2 Thess. 2:1-12, cf. 2 Peter 3:1-13.</w:t>
      </w:r>
    </w:p>
    <w:p w14:paraId="22568F33">
      <w:pPr>
        <w:pStyle w:val="9"/>
        <w:spacing w:before="11"/>
        <w:ind w:left="0"/>
        <w:jc w:val="left"/>
        <w:rPr>
          <w:rFonts w:hint="eastAsia"/>
          <w:sz w:val="30"/>
          <w:szCs w:val="30"/>
        </w:rPr>
      </w:pPr>
      <w:r>
        <w:rPr>
          <w:rFonts w:hint="eastAsia"/>
          <w:sz w:val="30"/>
          <w:szCs w:val="30"/>
        </w:rPr>
        <w:t>1.见罗马书8:18-25, 哥林多前书15:20-28, 50-58, 腓立比书3:20-21, 帖撒罗尼迦前书5:1-11, 帖撒罗尼迦后书1:3-12, 帖撒罗尼迦后书2:1-12, 参看彼得后书3:1-13。</w:t>
      </w:r>
    </w:p>
    <w:p w14:paraId="67063B9E">
      <w:pPr>
        <w:pStyle w:val="9"/>
        <w:spacing w:before="11"/>
        <w:ind w:left="0"/>
        <w:jc w:val="left"/>
        <w:rPr>
          <w:rFonts w:hint="eastAsia"/>
          <w:sz w:val="30"/>
          <w:szCs w:val="30"/>
        </w:rPr>
      </w:pPr>
    </w:p>
    <w:p w14:paraId="50CE6378">
      <w:pPr>
        <w:pStyle w:val="9"/>
        <w:spacing w:before="11"/>
        <w:ind w:left="0"/>
        <w:jc w:val="left"/>
        <w:rPr>
          <w:rFonts w:hint="eastAsia"/>
          <w:sz w:val="30"/>
          <w:szCs w:val="30"/>
        </w:rPr>
      </w:pPr>
      <w:r>
        <w:rPr>
          <w:rFonts w:hint="eastAsia"/>
          <w:sz w:val="30"/>
          <w:szCs w:val="30"/>
        </w:rPr>
        <w:t>2.MSB, s.v. Rev. 20:5, p. 2740.</w:t>
      </w:r>
    </w:p>
    <w:p w14:paraId="26656EC2">
      <w:pPr>
        <w:pStyle w:val="9"/>
        <w:spacing w:before="11"/>
        <w:ind w:left="0"/>
        <w:jc w:val="left"/>
        <w:rPr>
          <w:rFonts w:hint="eastAsia"/>
          <w:sz w:val="30"/>
          <w:szCs w:val="30"/>
        </w:rPr>
      </w:pPr>
      <w:r>
        <w:rPr>
          <w:rFonts w:hint="eastAsia"/>
          <w:sz w:val="30"/>
          <w:szCs w:val="30"/>
        </w:rPr>
        <w:t>2.麦克阿瑟研读本圣经，词条：启示录20:5，第2740页。</w:t>
      </w:r>
    </w:p>
    <w:p w14:paraId="31EEBB83">
      <w:pPr>
        <w:pStyle w:val="9"/>
        <w:spacing w:before="11"/>
        <w:ind w:left="0"/>
        <w:jc w:val="left"/>
        <w:rPr>
          <w:rFonts w:hint="eastAsia"/>
          <w:sz w:val="30"/>
          <w:szCs w:val="30"/>
        </w:rPr>
      </w:pPr>
    </w:p>
    <w:p w14:paraId="6774F17E">
      <w:pPr>
        <w:pStyle w:val="9"/>
        <w:spacing w:before="11"/>
        <w:ind w:left="0"/>
        <w:jc w:val="left"/>
        <w:rPr>
          <w:rFonts w:hint="eastAsia"/>
          <w:sz w:val="30"/>
          <w:szCs w:val="30"/>
        </w:rPr>
      </w:pPr>
      <w:r>
        <w:rPr>
          <w:rFonts w:hint="eastAsia"/>
          <w:sz w:val="30"/>
          <w:szCs w:val="30"/>
        </w:rPr>
        <w:t>3.MSB, s.v. 1 Thess. 5:2, p. 2521.</w:t>
      </w:r>
    </w:p>
    <w:p w14:paraId="098765B2">
      <w:pPr>
        <w:pStyle w:val="9"/>
        <w:spacing w:before="11"/>
        <w:ind w:left="0"/>
        <w:jc w:val="left"/>
        <w:rPr>
          <w:rFonts w:hint="eastAsia"/>
          <w:sz w:val="30"/>
          <w:szCs w:val="30"/>
        </w:rPr>
      </w:pPr>
      <w:r>
        <w:rPr>
          <w:rFonts w:hint="eastAsia"/>
          <w:sz w:val="30"/>
          <w:szCs w:val="30"/>
        </w:rPr>
        <w:t>3.麦克阿瑟研读本圣经，词条：帖撒罗尼迦前书5:2，第2521页。</w:t>
      </w:r>
    </w:p>
    <w:p w14:paraId="4108F868">
      <w:pPr>
        <w:pStyle w:val="9"/>
        <w:spacing w:before="11"/>
        <w:ind w:left="0"/>
        <w:jc w:val="left"/>
        <w:rPr>
          <w:rFonts w:hint="eastAsia"/>
          <w:sz w:val="30"/>
          <w:szCs w:val="30"/>
        </w:rPr>
      </w:pPr>
    </w:p>
    <w:p w14:paraId="0F56BC5C">
      <w:pPr>
        <w:pStyle w:val="9"/>
        <w:spacing w:before="11"/>
        <w:ind w:left="0"/>
        <w:jc w:val="left"/>
        <w:rPr>
          <w:rFonts w:hint="eastAsia"/>
          <w:sz w:val="30"/>
          <w:szCs w:val="30"/>
        </w:rPr>
      </w:pPr>
      <w:r>
        <w:rPr>
          <w:rFonts w:hint="eastAsia"/>
          <w:sz w:val="30"/>
          <w:szCs w:val="30"/>
        </w:rPr>
        <w:t>4.For help in writing this section I am much indebted to Leon Morris, Tyndale NT Commentary: 1 and 2 Thessalonians (Eerdmans, 1983).</w:t>
      </w:r>
    </w:p>
    <w:p w14:paraId="3C5F61AD">
      <w:pPr>
        <w:pStyle w:val="9"/>
        <w:spacing w:before="11"/>
        <w:ind w:left="0"/>
        <w:jc w:val="left"/>
        <w:rPr>
          <w:rFonts w:hint="eastAsia"/>
          <w:sz w:val="30"/>
          <w:szCs w:val="30"/>
        </w:rPr>
      </w:pPr>
      <w:r>
        <w:rPr>
          <w:rFonts w:hint="eastAsia"/>
          <w:sz w:val="30"/>
          <w:szCs w:val="30"/>
        </w:rPr>
        <w:t>4.在撰写本部分时，我非常感谢利昂·莫里斯，《丁道尔新约注释：帖撒罗尼迦前后书》（Eerdmans, 1983）。</w:t>
      </w:r>
    </w:p>
    <w:p w14:paraId="2BCE4E41">
      <w:pPr>
        <w:pStyle w:val="9"/>
        <w:spacing w:before="11"/>
        <w:ind w:left="0"/>
        <w:jc w:val="left"/>
        <w:rPr>
          <w:rFonts w:hint="eastAsia"/>
          <w:sz w:val="30"/>
          <w:szCs w:val="30"/>
        </w:rPr>
      </w:pPr>
    </w:p>
    <w:p w14:paraId="52B687DB">
      <w:pPr>
        <w:pStyle w:val="9"/>
        <w:spacing w:before="11"/>
        <w:ind w:left="0"/>
        <w:jc w:val="left"/>
        <w:rPr>
          <w:rFonts w:hint="eastAsia"/>
          <w:sz w:val="30"/>
          <w:szCs w:val="30"/>
        </w:rPr>
      </w:pPr>
      <w:r>
        <w:rPr>
          <w:rFonts w:hint="eastAsia"/>
          <w:sz w:val="30"/>
          <w:szCs w:val="30"/>
        </w:rPr>
        <w:t>5.New Bible Commentary, s.v. 2 Thess. 1, p. 1162.</w:t>
      </w:r>
    </w:p>
    <w:p w14:paraId="44156998">
      <w:pPr>
        <w:pStyle w:val="9"/>
        <w:spacing w:before="11"/>
        <w:ind w:left="0"/>
        <w:jc w:val="left"/>
        <w:rPr>
          <w:rFonts w:hint="eastAsia"/>
          <w:sz w:val="30"/>
          <w:szCs w:val="30"/>
        </w:rPr>
      </w:pPr>
      <w:r>
        <w:rPr>
          <w:rFonts w:hint="eastAsia"/>
          <w:sz w:val="30"/>
          <w:szCs w:val="30"/>
        </w:rPr>
        <w:t>5.《新圣经注释》，词条：帖撒罗尼迦后书1，第1162页。</w:t>
      </w:r>
    </w:p>
    <w:p w14:paraId="3FF7D1A2">
      <w:pPr>
        <w:pStyle w:val="9"/>
        <w:spacing w:before="11"/>
        <w:ind w:left="0"/>
        <w:jc w:val="left"/>
        <w:rPr>
          <w:rFonts w:hint="eastAsia"/>
          <w:sz w:val="30"/>
          <w:szCs w:val="30"/>
        </w:rPr>
      </w:pPr>
    </w:p>
    <w:p w14:paraId="1B7998DE">
      <w:pPr>
        <w:pStyle w:val="9"/>
        <w:spacing w:before="11"/>
        <w:ind w:left="0"/>
        <w:jc w:val="left"/>
        <w:rPr>
          <w:rFonts w:hint="eastAsia"/>
          <w:sz w:val="30"/>
          <w:szCs w:val="30"/>
        </w:rPr>
      </w:pPr>
      <w:r>
        <w:rPr>
          <w:rFonts w:hint="eastAsia"/>
          <w:sz w:val="30"/>
          <w:szCs w:val="30"/>
        </w:rPr>
        <w:t>6.NIV Study Bible, s.v. 2 Thess. 2:2, p. 1869.</w:t>
      </w:r>
    </w:p>
    <w:p w14:paraId="369E7B7D">
      <w:pPr>
        <w:pStyle w:val="9"/>
        <w:spacing w:before="11"/>
        <w:ind w:left="0"/>
        <w:jc w:val="left"/>
        <w:rPr>
          <w:rFonts w:hint="eastAsia"/>
          <w:sz w:val="30"/>
          <w:szCs w:val="30"/>
        </w:rPr>
      </w:pPr>
      <w:r>
        <w:rPr>
          <w:rFonts w:hint="eastAsia"/>
          <w:sz w:val="30"/>
          <w:szCs w:val="30"/>
        </w:rPr>
        <w:t>6.《NIV研读本圣经》，词条：帖撒罗尼迦后书2:2，第1869页。</w:t>
      </w:r>
    </w:p>
    <w:p w14:paraId="68A777EB">
      <w:pPr>
        <w:pStyle w:val="9"/>
        <w:spacing w:before="11"/>
        <w:ind w:left="0"/>
        <w:jc w:val="left"/>
        <w:rPr>
          <w:rFonts w:hint="eastAsia"/>
          <w:sz w:val="30"/>
          <w:szCs w:val="30"/>
        </w:rPr>
      </w:pPr>
    </w:p>
    <w:p w14:paraId="5E56534D">
      <w:pPr>
        <w:pStyle w:val="9"/>
        <w:spacing w:before="11"/>
        <w:ind w:left="0"/>
        <w:jc w:val="left"/>
        <w:rPr>
          <w:rFonts w:hint="eastAsia"/>
          <w:sz w:val="30"/>
          <w:szCs w:val="30"/>
        </w:rPr>
      </w:pPr>
      <w:r>
        <w:rPr>
          <w:rFonts w:hint="eastAsia"/>
          <w:sz w:val="30"/>
          <w:szCs w:val="30"/>
        </w:rPr>
        <w:t>7. During and after the Reformation most Protestant leaders taught that 2 Thess. 2:4 was/is fulfilled in the papacy.</w:t>
      </w:r>
    </w:p>
    <w:p w14:paraId="2E80237C">
      <w:pPr>
        <w:pStyle w:val="9"/>
        <w:spacing w:before="11"/>
        <w:ind w:left="0"/>
        <w:jc w:val="left"/>
        <w:rPr>
          <w:rFonts w:hint="eastAsia"/>
          <w:sz w:val="30"/>
          <w:szCs w:val="30"/>
        </w:rPr>
      </w:pPr>
      <w:r>
        <w:rPr>
          <w:rFonts w:hint="eastAsia"/>
          <w:sz w:val="30"/>
          <w:szCs w:val="30"/>
        </w:rPr>
        <w:t>7. 在宗教改革期间及之后，大多数新教领袖都教导说，帖撒罗尼迦后书2:4节在教皇制度中已经/正在应验。</w:t>
      </w:r>
    </w:p>
    <w:p w14:paraId="6AE84D9C">
      <w:pPr>
        <w:pStyle w:val="9"/>
        <w:spacing w:before="11"/>
        <w:ind w:left="0"/>
        <w:jc w:val="left"/>
        <w:rPr>
          <w:rFonts w:hint="eastAsia"/>
          <w:sz w:val="30"/>
          <w:szCs w:val="30"/>
        </w:rPr>
      </w:pPr>
    </w:p>
    <w:p w14:paraId="56651357">
      <w:pPr>
        <w:pStyle w:val="9"/>
        <w:spacing w:before="11"/>
        <w:ind w:left="0"/>
        <w:jc w:val="left"/>
        <w:rPr>
          <w:rFonts w:hint="eastAsia"/>
          <w:sz w:val="30"/>
          <w:szCs w:val="30"/>
        </w:rPr>
      </w:pPr>
      <w:r>
        <w:rPr>
          <w:rFonts w:hint="eastAsia"/>
          <w:sz w:val="30"/>
          <w:szCs w:val="30"/>
        </w:rPr>
        <w:t>For them, the institution itself was the Antichrist, a spiritual usurper that for centuries had lawlessly seated itself in the temple of God (Christ’s Church), distorted the Gospel, and opposed and persecuted the true spiritual Church through the evil offices of compliant kings and princes.</w:t>
      </w:r>
    </w:p>
    <w:p w14:paraId="59832327">
      <w:pPr>
        <w:pStyle w:val="9"/>
        <w:spacing w:before="11"/>
        <w:ind w:left="0"/>
        <w:jc w:val="left"/>
        <w:rPr>
          <w:rFonts w:hint="eastAsia"/>
          <w:sz w:val="30"/>
          <w:szCs w:val="30"/>
        </w:rPr>
      </w:pPr>
      <w:r>
        <w:rPr>
          <w:rFonts w:hint="eastAsia"/>
          <w:sz w:val="30"/>
          <w:szCs w:val="30"/>
        </w:rPr>
        <w:t>对他们来说，这个制度本身就是敌基督，一个属灵的篡位者，几个世纪以来无法无天地坐在神的殿（基督的教会）里，歪曲福音，并通过顺从的君王和王子的邪恶职能，反对和迫害真正属灵的教会。</w:t>
      </w:r>
    </w:p>
    <w:p w14:paraId="6750A53B">
      <w:pPr>
        <w:pStyle w:val="9"/>
        <w:spacing w:before="11"/>
        <w:ind w:left="0"/>
        <w:jc w:val="left"/>
        <w:rPr>
          <w:rFonts w:hint="eastAsia"/>
          <w:sz w:val="30"/>
          <w:szCs w:val="30"/>
        </w:rPr>
      </w:pPr>
    </w:p>
    <w:p w14:paraId="0F6A3B1B">
      <w:pPr>
        <w:pStyle w:val="9"/>
        <w:spacing w:before="11"/>
        <w:ind w:left="0"/>
        <w:jc w:val="left"/>
        <w:rPr>
          <w:rFonts w:hint="eastAsia"/>
          <w:sz w:val="30"/>
          <w:szCs w:val="30"/>
        </w:rPr>
      </w:pPr>
      <w:r>
        <w:rPr>
          <w:rFonts w:hint="eastAsia"/>
          <w:sz w:val="30"/>
          <w:szCs w:val="30"/>
        </w:rPr>
        <w:t>Given the nature of their vicissitudes, it is easy to see how the Reformers arrived at this conclusion.</w:t>
      </w:r>
    </w:p>
    <w:p w14:paraId="289096B5">
      <w:pPr>
        <w:pStyle w:val="9"/>
        <w:spacing w:before="11"/>
        <w:ind w:left="0"/>
        <w:jc w:val="left"/>
        <w:rPr>
          <w:rFonts w:hint="eastAsia"/>
          <w:sz w:val="30"/>
          <w:szCs w:val="30"/>
        </w:rPr>
      </w:pPr>
      <w:r>
        <w:rPr>
          <w:rFonts w:hint="eastAsia"/>
          <w:sz w:val="30"/>
          <w:szCs w:val="30"/>
        </w:rPr>
        <w:t>鉴于他们所经历的变迁的性质，很容易理解改教家们是如何得出这个结论的。</w:t>
      </w:r>
    </w:p>
    <w:p w14:paraId="7741CDE1">
      <w:pPr>
        <w:pStyle w:val="9"/>
        <w:spacing w:before="11"/>
        <w:ind w:left="0"/>
        <w:jc w:val="left"/>
        <w:rPr>
          <w:rFonts w:hint="eastAsia"/>
          <w:sz w:val="30"/>
          <w:szCs w:val="30"/>
        </w:rPr>
      </w:pPr>
    </w:p>
    <w:p w14:paraId="346411D7">
      <w:pPr>
        <w:pStyle w:val="9"/>
        <w:spacing w:before="11"/>
        <w:ind w:left="0"/>
        <w:jc w:val="left"/>
        <w:rPr>
          <w:rFonts w:hint="eastAsia"/>
          <w:sz w:val="30"/>
          <w:szCs w:val="30"/>
        </w:rPr>
      </w:pPr>
      <w:r>
        <w:rPr>
          <w:rFonts w:hint="eastAsia"/>
          <w:sz w:val="30"/>
          <w:szCs w:val="30"/>
        </w:rPr>
        <w:t>However, the conclusion itself does not fit well with the actual data of Scripture or history.</w:t>
      </w:r>
    </w:p>
    <w:p w14:paraId="38865D78">
      <w:pPr>
        <w:pStyle w:val="9"/>
        <w:spacing w:before="11"/>
        <w:ind w:left="0"/>
        <w:jc w:val="left"/>
        <w:rPr>
          <w:rFonts w:hint="eastAsia"/>
          <w:sz w:val="30"/>
          <w:szCs w:val="30"/>
        </w:rPr>
      </w:pPr>
      <w:r>
        <w:rPr>
          <w:rFonts w:hint="eastAsia"/>
          <w:sz w:val="30"/>
          <w:szCs w:val="30"/>
        </w:rPr>
        <w:t>然而，这个结论本身与圣经或历史的实际数据并不十分吻合。</w:t>
      </w:r>
    </w:p>
    <w:p w14:paraId="7DD720C1">
      <w:pPr>
        <w:pStyle w:val="9"/>
        <w:spacing w:before="11"/>
        <w:ind w:left="0"/>
        <w:jc w:val="left"/>
        <w:rPr>
          <w:rFonts w:hint="eastAsia"/>
          <w:sz w:val="30"/>
          <w:szCs w:val="30"/>
        </w:rPr>
      </w:pPr>
    </w:p>
    <w:p w14:paraId="22CE525A">
      <w:pPr>
        <w:pStyle w:val="9"/>
        <w:spacing w:before="11"/>
        <w:ind w:left="0"/>
        <w:jc w:val="left"/>
        <w:rPr>
          <w:rFonts w:hint="eastAsia"/>
          <w:sz w:val="30"/>
          <w:szCs w:val="30"/>
        </w:rPr>
      </w:pPr>
      <w:r>
        <w:rPr>
          <w:rFonts w:hint="eastAsia"/>
          <w:sz w:val="30"/>
          <w:szCs w:val="30"/>
        </w:rPr>
        <w:t>The reasons are many.</w:t>
      </w:r>
    </w:p>
    <w:p w14:paraId="6E3582AD">
      <w:pPr>
        <w:pStyle w:val="9"/>
        <w:spacing w:before="11"/>
        <w:ind w:left="0"/>
        <w:jc w:val="left"/>
        <w:rPr>
          <w:rFonts w:hint="eastAsia"/>
          <w:sz w:val="30"/>
          <w:szCs w:val="30"/>
        </w:rPr>
      </w:pPr>
      <w:r>
        <w:rPr>
          <w:rFonts w:hint="eastAsia"/>
          <w:sz w:val="30"/>
          <w:szCs w:val="30"/>
        </w:rPr>
        <w:t>原因有很多。</w:t>
      </w:r>
    </w:p>
    <w:p w14:paraId="1D4E0C24">
      <w:pPr>
        <w:pStyle w:val="9"/>
        <w:spacing w:before="11"/>
        <w:ind w:left="0"/>
        <w:jc w:val="left"/>
        <w:rPr>
          <w:rFonts w:hint="eastAsia"/>
          <w:sz w:val="30"/>
          <w:szCs w:val="30"/>
        </w:rPr>
      </w:pPr>
    </w:p>
    <w:p w14:paraId="074CDEA8">
      <w:pPr>
        <w:pStyle w:val="9"/>
        <w:spacing w:before="11"/>
        <w:ind w:left="0"/>
        <w:jc w:val="left"/>
        <w:rPr>
          <w:rFonts w:hint="eastAsia"/>
          <w:sz w:val="30"/>
          <w:szCs w:val="30"/>
        </w:rPr>
      </w:pPr>
      <w:r>
        <w:rPr>
          <w:rFonts w:hint="eastAsia"/>
          <w:sz w:val="30"/>
          <w:szCs w:val="30"/>
        </w:rPr>
        <w:t>Paul represents the Antichrist as an individual man, not an institution.</w:t>
      </w:r>
    </w:p>
    <w:p w14:paraId="67943A8F">
      <w:pPr>
        <w:pStyle w:val="9"/>
        <w:spacing w:before="11"/>
        <w:ind w:left="0"/>
        <w:jc w:val="left"/>
        <w:rPr>
          <w:rFonts w:hint="eastAsia"/>
          <w:sz w:val="30"/>
          <w:szCs w:val="30"/>
        </w:rPr>
      </w:pPr>
      <w:r>
        <w:rPr>
          <w:rFonts w:hint="eastAsia"/>
          <w:sz w:val="30"/>
          <w:szCs w:val="30"/>
        </w:rPr>
        <w:t>保罗将敌基督描绘成一个单独的人，而不是一个机构。</w:t>
      </w:r>
    </w:p>
    <w:p w14:paraId="1880350F">
      <w:pPr>
        <w:pStyle w:val="9"/>
        <w:spacing w:before="11"/>
        <w:ind w:left="0"/>
        <w:jc w:val="left"/>
        <w:rPr>
          <w:rFonts w:hint="eastAsia"/>
          <w:sz w:val="30"/>
          <w:szCs w:val="30"/>
        </w:rPr>
      </w:pPr>
    </w:p>
    <w:p w14:paraId="073AB322">
      <w:pPr>
        <w:pStyle w:val="9"/>
        <w:spacing w:before="11"/>
        <w:ind w:left="0"/>
        <w:jc w:val="left"/>
        <w:rPr>
          <w:rFonts w:hint="eastAsia"/>
          <w:sz w:val="30"/>
          <w:szCs w:val="30"/>
        </w:rPr>
      </w:pPr>
      <w:r>
        <w:rPr>
          <w:rFonts w:hint="eastAsia"/>
          <w:sz w:val="30"/>
          <w:szCs w:val="30"/>
        </w:rPr>
        <w:t>Strictly speaking, the popes did not exalt themselves above God, but at least postured themselves as his servants.</w:t>
      </w:r>
    </w:p>
    <w:p w14:paraId="212FE656">
      <w:pPr>
        <w:pStyle w:val="9"/>
        <w:spacing w:before="11"/>
        <w:ind w:left="0"/>
        <w:jc w:val="left"/>
        <w:rPr>
          <w:rFonts w:hint="eastAsia"/>
          <w:sz w:val="30"/>
          <w:szCs w:val="30"/>
        </w:rPr>
      </w:pPr>
      <w:r>
        <w:rPr>
          <w:rFonts w:hint="eastAsia"/>
          <w:sz w:val="30"/>
          <w:szCs w:val="30"/>
        </w:rPr>
        <w:t>严格来说，教皇们并没有高举自己超过神，但至少摆出了祂仆人的姿态。</w:t>
      </w:r>
    </w:p>
    <w:p w14:paraId="05986D91">
      <w:pPr>
        <w:pStyle w:val="9"/>
        <w:spacing w:before="11"/>
        <w:ind w:left="0"/>
        <w:jc w:val="left"/>
        <w:rPr>
          <w:rFonts w:hint="eastAsia"/>
          <w:sz w:val="30"/>
          <w:szCs w:val="30"/>
        </w:rPr>
      </w:pPr>
    </w:p>
    <w:p w14:paraId="2248CE8A">
      <w:pPr>
        <w:pStyle w:val="9"/>
        <w:spacing w:before="11"/>
        <w:ind w:left="0"/>
        <w:jc w:val="left"/>
        <w:rPr>
          <w:rFonts w:hint="eastAsia"/>
          <w:sz w:val="30"/>
          <w:szCs w:val="30"/>
        </w:rPr>
      </w:pPr>
      <w:r>
        <w:rPr>
          <w:rFonts w:hint="eastAsia"/>
          <w:sz w:val="30"/>
          <w:szCs w:val="30"/>
        </w:rPr>
        <w:t>Similarly, they directed men’s worship to God and Christ, even if they also misdirected it to Mary, the saints, the angels, and themselves (Rev. 19:10, 22:10).</w:t>
      </w:r>
    </w:p>
    <w:p w14:paraId="3F358C0E">
      <w:pPr>
        <w:pStyle w:val="9"/>
        <w:spacing w:before="11"/>
        <w:ind w:left="0"/>
        <w:jc w:val="left"/>
        <w:rPr>
          <w:rFonts w:hint="eastAsia"/>
          <w:sz w:val="30"/>
          <w:szCs w:val="30"/>
        </w:rPr>
      </w:pPr>
      <w:r>
        <w:rPr>
          <w:rFonts w:hint="eastAsia"/>
          <w:sz w:val="30"/>
          <w:szCs w:val="30"/>
        </w:rPr>
        <w:t>同样，他们将人的敬拜引向神和基督，即使他们也将其错误地引向马利亚、圣徒、天使和他们自己（启19:10, 22:10）。</w:t>
      </w:r>
    </w:p>
    <w:p w14:paraId="6AB8035D">
      <w:pPr>
        <w:pStyle w:val="9"/>
        <w:spacing w:before="11"/>
        <w:ind w:left="0"/>
        <w:jc w:val="left"/>
        <w:rPr>
          <w:rFonts w:hint="eastAsia"/>
          <w:sz w:val="30"/>
          <w:szCs w:val="30"/>
        </w:rPr>
      </w:pPr>
    </w:p>
    <w:p w14:paraId="1E806C1D">
      <w:pPr>
        <w:pStyle w:val="9"/>
        <w:spacing w:before="11"/>
        <w:ind w:left="0"/>
        <w:jc w:val="left"/>
        <w:rPr>
          <w:rFonts w:hint="eastAsia"/>
          <w:sz w:val="30"/>
          <w:szCs w:val="30"/>
        </w:rPr>
      </w:pPr>
      <w:r>
        <w:rPr>
          <w:rFonts w:hint="eastAsia"/>
          <w:sz w:val="30"/>
          <w:szCs w:val="30"/>
        </w:rPr>
        <w:t>They did not claim to be God or Christ, but only to act as their vicars (i.e., representatives) on earth.</w:t>
      </w:r>
    </w:p>
    <w:p w14:paraId="7AC1B066">
      <w:pPr>
        <w:pStyle w:val="9"/>
        <w:spacing w:before="11"/>
        <w:ind w:left="0"/>
        <w:jc w:val="left"/>
        <w:rPr>
          <w:rFonts w:hint="eastAsia"/>
          <w:sz w:val="30"/>
          <w:szCs w:val="30"/>
        </w:rPr>
      </w:pPr>
      <w:r>
        <w:rPr>
          <w:rFonts w:hint="eastAsia"/>
          <w:sz w:val="30"/>
          <w:szCs w:val="30"/>
        </w:rPr>
        <w:t>他们没有声称自己是神或基督，而只是声称在地上作为祂们的代理人（即代表）。</w:t>
      </w:r>
    </w:p>
    <w:p w14:paraId="36E4D27E">
      <w:pPr>
        <w:pStyle w:val="9"/>
        <w:spacing w:before="11"/>
        <w:ind w:left="0"/>
        <w:jc w:val="left"/>
        <w:rPr>
          <w:rFonts w:hint="eastAsia"/>
          <w:sz w:val="30"/>
          <w:szCs w:val="30"/>
        </w:rPr>
      </w:pPr>
    </w:p>
    <w:p w14:paraId="3F557273">
      <w:pPr>
        <w:pStyle w:val="9"/>
        <w:spacing w:before="11"/>
        <w:ind w:left="0"/>
        <w:jc w:val="left"/>
        <w:rPr>
          <w:rFonts w:hint="eastAsia"/>
          <w:sz w:val="30"/>
          <w:szCs w:val="30"/>
        </w:rPr>
      </w:pPr>
      <w:r>
        <w:rPr>
          <w:rFonts w:hint="eastAsia"/>
          <w:sz w:val="30"/>
          <w:szCs w:val="30"/>
        </w:rPr>
        <w:t>They were not (pre-eminently) political or military leaders, as both the Old and New Testaments depict the Antichrist (Dan. 7, 11, 12, Rev. 13).</w:t>
      </w:r>
    </w:p>
    <w:p w14:paraId="4D981E01">
      <w:pPr>
        <w:pStyle w:val="9"/>
        <w:spacing w:before="11"/>
        <w:ind w:left="0"/>
        <w:jc w:val="left"/>
        <w:rPr>
          <w:rFonts w:hint="eastAsia"/>
          <w:sz w:val="30"/>
          <w:szCs w:val="30"/>
        </w:rPr>
      </w:pPr>
      <w:r>
        <w:rPr>
          <w:rFonts w:hint="eastAsia"/>
          <w:sz w:val="30"/>
          <w:szCs w:val="30"/>
        </w:rPr>
        <w:t>他们并非（卓越的）政治或军事领袖，而旧约和新约都将敌基督描绘成这样（但7, 11, 12，启13）。</w:t>
      </w:r>
    </w:p>
    <w:p w14:paraId="66601A54">
      <w:pPr>
        <w:pStyle w:val="9"/>
        <w:spacing w:before="11"/>
        <w:ind w:left="0"/>
        <w:jc w:val="left"/>
        <w:rPr>
          <w:rFonts w:hint="eastAsia"/>
          <w:sz w:val="30"/>
          <w:szCs w:val="30"/>
        </w:rPr>
      </w:pPr>
    </w:p>
    <w:p w14:paraId="0852D05C">
      <w:pPr>
        <w:pStyle w:val="9"/>
        <w:spacing w:before="11"/>
        <w:ind w:left="0"/>
        <w:jc w:val="left"/>
        <w:rPr>
          <w:rFonts w:hint="eastAsia"/>
          <w:sz w:val="30"/>
          <w:szCs w:val="30"/>
        </w:rPr>
      </w:pPr>
      <w:r>
        <w:rPr>
          <w:rFonts w:hint="eastAsia"/>
          <w:sz w:val="30"/>
          <w:szCs w:val="30"/>
        </w:rPr>
        <w:t>Finally, they did not perform amazing miracles, as Paul says the Man of Lawlessness will.</w:t>
      </w:r>
    </w:p>
    <w:p w14:paraId="6E29CF2D">
      <w:pPr>
        <w:pStyle w:val="9"/>
        <w:spacing w:before="11"/>
        <w:ind w:left="0"/>
        <w:jc w:val="left"/>
        <w:rPr>
          <w:rFonts w:hint="eastAsia"/>
          <w:sz w:val="30"/>
          <w:szCs w:val="30"/>
        </w:rPr>
      </w:pPr>
      <w:r>
        <w:rPr>
          <w:rFonts w:hint="eastAsia"/>
          <w:sz w:val="30"/>
          <w:szCs w:val="30"/>
        </w:rPr>
        <w:t>最后，他们没有行出惊人的神迹，而保罗说那不法之人会。</w:t>
      </w:r>
    </w:p>
    <w:p w14:paraId="2A0CC4ED">
      <w:pPr>
        <w:pStyle w:val="9"/>
        <w:spacing w:before="11"/>
        <w:ind w:left="0"/>
        <w:jc w:val="left"/>
        <w:rPr>
          <w:rFonts w:hint="eastAsia"/>
          <w:sz w:val="30"/>
          <w:szCs w:val="30"/>
        </w:rPr>
      </w:pPr>
    </w:p>
    <w:p w14:paraId="0B24F7D9">
      <w:pPr>
        <w:pStyle w:val="9"/>
        <w:spacing w:before="11"/>
        <w:ind w:left="0"/>
        <w:jc w:val="left"/>
        <w:rPr>
          <w:rFonts w:hint="eastAsia"/>
          <w:sz w:val="30"/>
          <w:szCs w:val="30"/>
        </w:rPr>
      </w:pPr>
      <w:r>
        <w:rPr>
          <w:rFonts w:hint="eastAsia"/>
          <w:sz w:val="30"/>
          <w:szCs w:val="30"/>
        </w:rPr>
        <w:t>It appears, then, that the papacy is not Paul’s Man of Lawlessness.</w:t>
      </w:r>
    </w:p>
    <w:p w14:paraId="3DEA90DB">
      <w:pPr>
        <w:pStyle w:val="9"/>
        <w:spacing w:before="11"/>
        <w:ind w:left="0"/>
        <w:jc w:val="left"/>
        <w:rPr>
          <w:rFonts w:hint="eastAsia"/>
          <w:sz w:val="30"/>
          <w:szCs w:val="30"/>
        </w:rPr>
      </w:pPr>
      <w:r>
        <w:rPr>
          <w:rFonts w:hint="eastAsia"/>
          <w:sz w:val="30"/>
          <w:szCs w:val="30"/>
        </w:rPr>
        <w:t>如此看来，教皇制度并非保罗所说的不法之人。</w:t>
      </w:r>
    </w:p>
    <w:p w14:paraId="4EC299A4">
      <w:pPr>
        <w:pStyle w:val="9"/>
        <w:spacing w:before="11"/>
        <w:ind w:left="0"/>
        <w:jc w:val="left"/>
        <w:rPr>
          <w:rFonts w:hint="eastAsia"/>
          <w:sz w:val="30"/>
          <w:szCs w:val="30"/>
        </w:rPr>
      </w:pPr>
    </w:p>
    <w:p w14:paraId="2B2954A1">
      <w:pPr>
        <w:pStyle w:val="9"/>
        <w:spacing w:before="11"/>
        <w:ind w:left="0"/>
        <w:jc w:val="left"/>
        <w:rPr>
          <w:rFonts w:hint="eastAsia"/>
          <w:sz w:val="30"/>
          <w:szCs w:val="30"/>
        </w:rPr>
      </w:pPr>
      <w:r>
        <w:rPr>
          <w:rFonts w:hint="eastAsia"/>
          <w:sz w:val="30"/>
          <w:szCs w:val="30"/>
        </w:rPr>
        <w:t>On the other hand, whatever Paul’s private opinion may have been, there is nothing in his inspired words to rule out the possibility that one day up ahead an individual pope, promulgating an egregiously mutant and highly politicized form of Catholicism, could become (or abet) the kind of Antichrist Paul here envisions.</w:t>
      </w:r>
    </w:p>
    <w:p w14:paraId="78210EF2">
      <w:pPr>
        <w:pStyle w:val="9"/>
        <w:spacing w:before="11"/>
        <w:ind w:left="0"/>
        <w:jc w:val="left"/>
        <w:rPr>
          <w:rFonts w:hint="eastAsia"/>
          <w:sz w:val="30"/>
          <w:szCs w:val="30"/>
        </w:rPr>
      </w:pPr>
      <w:r>
        <w:rPr>
          <w:rFonts w:hint="eastAsia"/>
          <w:sz w:val="30"/>
          <w:szCs w:val="30"/>
        </w:rPr>
        <w:t>另一方面，无论保罗个人的私下意见如何，在他受感默示的话语中，没有任何内容可以排除这样一种可能性，即在未来的某一天，一位个别的教皇，颁布一种极其变异和高度政治化的天主教形式，可能成为（或教唆）保罗在这里所设想的那种敌基督。</w:t>
      </w:r>
    </w:p>
    <w:p w14:paraId="500323CB">
      <w:pPr>
        <w:pStyle w:val="9"/>
        <w:spacing w:before="11"/>
        <w:ind w:left="0"/>
        <w:jc w:val="left"/>
        <w:rPr>
          <w:rFonts w:hint="eastAsia"/>
          <w:sz w:val="30"/>
          <w:szCs w:val="30"/>
        </w:rPr>
      </w:pPr>
    </w:p>
    <w:p w14:paraId="3D828BFB">
      <w:pPr>
        <w:pStyle w:val="9"/>
        <w:spacing w:before="11"/>
        <w:ind w:left="0"/>
        <w:jc w:val="left"/>
        <w:rPr>
          <w:rFonts w:hint="eastAsia"/>
          <w:sz w:val="30"/>
          <w:szCs w:val="30"/>
        </w:rPr>
      </w:pPr>
      <w:r>
        <w:rPr>
          <w:rFonts w:hint="eastAsia"/>
          <w:sz w:val="30"/>
          <w:szCs w:val="30"/>
        </w:rPr>
        <w:t>Unlikely as it may now seem, Christians should not rule out this possibility.</w:t>
      </w:r>
    </w:p>
    <w:p w14:paraId="46C0805E">
      <w:pPr>
        <w:pStyle w:val="9"/>
        <w:spacing w:before="11"/>
        <w:ind w:left="0"/>
        <w:jc w:val="left"/>
        <w:rPr>
          <w:rFonts w:hint="eastAsia"/>
          <w:sz w:val="30"/>
          <w:szCs w:val="30"/>
        </w:rPr>
      </w:pPr>
      <w:r>
        <w:rPr>
          <w:rFonts w:hint="eastAsia"/>
          <w:sz w:val="30"/>
          <w:szCs w:val="30"/>
        </w:rPr>
        <w:t>尽管现在看来不太可能，但基督徒不应排除这种可能性。</w:t>
      </w:r>
    </w:p>
    <w:p w14:paraId="626192A7">
      <w:pPr>
        <w:pStyle w:val="9"/>
        <w:spacing w:before="11"/>
        <w:ind w:left="0"/>
        <w:jc w:val="left"/>
        <w:rPr>
          <w:rFonts w:hint="eastAsia"/>
          <w:sz w:val="30"/>
          <w:szCs w:val="30"/>
        </w:rPr>
      </w:pPr>
    </w:p>
    <w:p w14:paraId="4872B5F3">
      <w:pPr>
        <w:pStyle w:val="9"/>
        <w:spacing w:before="11"/>
        <w:ind w:left="0"/>
        <w:jc w:val="left"/>
        <w:rPr>
          <w:rFonts w:hint="eastAsia"/>
          <w:sz w:val="30"/>
          <w:szCs w:val="30"/>
        </w:rPr>
      </w:pPr>
      <w:r>
        <w:rPr>
          <w:rFonts w:hint="eastAsia"/>
          <w:sz w:val="30"/>
          <w:szCs w:val="30"/>
        </w:rPr>
        <w:t>The Roman Catholic Church is the largest religious institution in the world; it has a long history of skillfully lending the venerable name of Christ to its unscriptural teachings; it has an ugly history of persecuting the true spiritual Church; and even today it appears to be looking hard for ways to welcome (unconverted) Jews and Muslims into its fold.</w:t>
      </w:r>
    </w:p>
    <w:p w14:paraId="08DC9B6A">
      <w:pPr>
        <w:pStyle w:val="9"/>
        <w:spacing w:before="11"/>
        <w:ind w:left="0"/>
        <w:jc w:val="left"/>
        <w:rPr>
          <w:rFonts w:hint="eastAsia"/>
          <w:sz w:val="30"/>
          <w:szCs w:val="30"/>
        </w:rPr>
      </w:pPr>
      <w:r>
        <w:rPr>
          <w:rFonts w:hint="eastAsia"/>
          <w:sz w:val="30"/>
          <w:szCs w:val="30"/>
        </w:rPr>
        <w:t>罗马天主教会是世界上最大的宗教机构；它有悠久的历史，巧妙地将基督可敬的名号借给其不合圣经的教导；它有迫害真正属灵教会的丑陋历史；甚至在今天，它似乎仍在努力寻找方法，以欢迎（未归信的）犹太人和穆斯林加入其羊圈。</w:t>
      </w:r>
    </w:p>
    <w:p w14:paraId="4AA2E80D">
      <w:pPr>
        <w:pStyle w:val="9"/>
        <w:spacing w:before="11"/>
        <w:ind w:left="0"/>
        <w:jc w:val="left"/>
        <w:rPr>
          <w:rFonts w:hint="eastAsia"/>
          <w:sz w:val="30"/>
          <w:szCs w:val="30"/>
        </w:rPr>
      </w:pPr>
    </w:p>
    <w:p w14:paraId="142C77A9">
      <w:pPr>
        <w:pStyle w:val="9"/>
        <w:spacing w:before="11"/>
        <w:ind w:left="0"/>
        <w:jc w:val="left"/>
        <w:rPr>
          <w:rFonts w:hint="eastAsia"/>
          <w:sz w:val="30"/>
          <w:szCs w:val="30"/>
        </w:rPr>
      </w:pPr>
      <w:r>
        <w:rPr>
          <w:rFonts w:hint="eastAsia"/>
          <w:sz w:val="30"/>
          <w:szCs w:val="30"/>
        </w:rPr>
        <w:t>If, at the end of the age, there is to be an anti-christian one-world religion, surely the Roman Catholic Church is one of the best candidates presently on the scene to lead it.</w:t>
      </w:r>
    </w:p>
    <w:p w14:paraId="752FBA6A">
      <w:pPr>
        <w:pStyle w:val="9"/>
        <w:spacing w:before="11"/>
        <w:ind w:left="0"/>
        <w:jc w:val="left"/>
        <w:rPr>
          <w:rFonts w:hint="eastAsia"/>
          <w:sz w:val="30"/>
          <w:szCs w:val="30"/>
        </w:rPr>
      </w:pPr>
      <w:r>
        <w:rPr>
          <w:rFonts w:hint="eastAsia"/>
          <w:sz w:val="30"/>
          <w:szCs w:val="30"/>
        </w:rPr>
        <w:t>如果在时代终结时，将会出现一个敌基督的世界性统一宗教，那么罗马天主教会无疑是目前场上领导它的最佳候选者之一。</w:t>
      </w:r>
    </w:p>
    <w:p w14:paraId="70D299C0">
      <w:pPr>
        <w:pStyle w:val="9"/>
        <w:spacing w:before="11"/>
        <w:ind w:left="0"/>
        <w:jc w:val="left"/>
        <w:rPr>
          <w:rFonts w:hint="eastAsia"/>
          <w:sz w:val="30"/>
          <w:szCs w:val="30"/>
        </w:rPr>
      </w:pPr>
    </w:p>
    <w:p w14:paraId="2037A091">
      <w:pPr>
        <w:pStyle w:val="9"/>
        <w:spacing w:before="11"/>
        <w:ind w:left="0"/>
        <w:jc w:val="left"/>
        <w:rPr>
          <w:rFonts w:hint="eastAsia"/>
          <w:sz w:val="30"/>
          <w:szCs w:val="30"/>
        </w:rPr>
      </w:pPr>
      <w:r>
        <w:rPr>
          <w:rFonts w:hint="eastAsia"/>
          <w:sz w:val="30"/>
          <w:szCs w:val="30"/>
        </w:rPr>
        <w:t>Alert Bible Christians, living in the last perilous days of deepest deception, would be wise to keep a sharp eye on what comes out of Rome.</w:t>
      </w:r>
    </w:p>
    <w:p w14:paraId="0B1712CB">
      <w:pPr>
        <w:pStyle w:val="9"/>
        <w:spacing w:before="11"/>
        <w:ind w:left="0"/>
        <w:jc w:val="left"/>
        <w:rPr>
          <w:rFonts w:hint="eastAsia"/>
          <w:sz w:val="30"/>
          <w:szCs w:val="30"/>
        </w:rPr>
      </w:pPr>
      <w:r>
        <w:rPr>
          <w:rFonts w:hint="eastAsia"/>
          <w:sz w:val="30"/>
          <w:szCs w:val="30"/>
        </w:rPr>
        <w:t>警醒的圣经基督徒，生活在最深欺骗的末后危险日子里，明智的做法是密切关注从罗马出来的东西。</w:t>
      </w:r>
    </w:p>
    <w:p w14:paraId="27E8FE09">
      <w:pPr>
        <w:pStyle w:val="9"/>
        <w:spacing w:before="11"/>
        <w:ind w:left="0"/>
        <w:jc w:val="left"/>
        <w:rPr>
          <w:rFonts w:hint="eastAsia"/>
          <w:sz w:val="30"/>
          <w:szCs w:val="30"/>
        </w:rPr>
      </w:pPr>
    </w:p>
    <w:p w14:paraId="6E407204">
      <w:pPr>
        <w:pStyle w:val="9"/>
        <w:spacing w:before="11"/>
        <w:ind w:left="0"/>
        <w:jc w:val="left"/>
        <w:rPr>
          <w:rFonts w:hint="eastAsia"/>
          <w:sz w:val="30"/>
          <w:szCs w:val="30"/>
        </w:rPr>
      </w:pPr>
      <w:r>
        <w:rPr>
          <w:rFonts w:hint="eastAsia"/>
          <w:sz w:val="30"/>
          <w:szCs w:val="30"/>
        </w:rPr>
        <w:t>For more, see Kim Riddlebarger, The Man of Sin, chapter 7.</w:t>
      </w:r>
    </w:p>
    <w:p w14:paraId="04387E1A">
      <w:pPr>
        <w:pStyle w:val="9"/>
        <w:spacing w:before="11"/>
        <w:ind w:left="0"/>
        <w:jc w:val="left"/>
        <w:rPr>
          <w:rFonts w:hint="eastAsia"/>
          <w:sz w:val="30"/>
          <w:szCs w:val="30"/>
        </w:rPr>
      </w:pPr>
      <w:r>
        <w:rPr>
          <w:rFonts w:hint="eastAsia"/>
          <w:sz w:val="30"/>
          <w:szCs w:val="30"/>
        </w:rPr>
        <w:t>更多信息，见金·里德尔巴格，《罪人》，第7章。</w:t>
      </w:r>
    </w:p>
    <w:p w14:paraId="539243A3">
      <w:pPr>
        <w:pStyle w:val="9"/>
        <w:spacing w:before="11"/>
        <w:ind w:left="0"/>
        <w:jc w:val="left"/>
        <w:rPr>
          <w:rFonts w:hint="eastAsia"/>
          <w:sz w:val="30"/>
          <w:szCs w:val="30"/>
        </w:rPr>
      </w:pPr>
    </w:p>
    <w:p w14:paraId="4712523E">
      <w:pPr>
        <w:pStyle w:val="9"/>
        <w:spacing w:before="11"/>
        <w:ind w:left="0"/>
        <w:jc w:val="left"/>
        <w:rPr>
          <w:rFonts w:hint="eastAsia"/>
          <w:sz w:val="30"/>
          <w:szCs w:val="30"/>
        </w:rPr>
      </w:pPr>
      <w:r>
        <w:rPr>
          <w:rFonts w:hint="eastAsia"/>
          <w:sz w:val="30"/>
          <w:szCs w:val="30"/>
        </w:rPr>
        <w:t>8.Michael Green, Tyndale NT Commentary: 2 Peter and Jude (Eerdmans, 1983), p. 134.</w:t>
      </w:r>
    </w:p>
    <w:p w14:paraId="78F29CDA">
      <w:pPr>
        <w:pStyle w:val="9"/>
        <w:spacing w:before="11"/>
        <w:ind w:left="0"/>
        <w:jc w:val="left"/>
        <w:rPr>
          <w:rFonts w:hint="eastAsia"/>
          <w:sz w:val="30"/>
          <w:szCs w:val="30"/>
        </w:rPr>
      </w:pPr>
      <w:r>
        <w:rPr>
          <w:rFonts w:hint="eastAsia"/>
          <w:sz w:val="30"/>
          <w:szCs w:val="30"/>
        </w:rPr>
        <w:t>8.迈克尔·格林，《丁道尔新约注释：彼得后书和犹大书》（Eerdmans, 1983），第134页。</w:t>
      </w:r>
    </w:p>
    <w:p w14:paraId="10A50D56">
      <w:pPr>
        <w:pStyle w:val="9"/>
        <w:spacing w:before="11"/>
        <w:ind w:left="0"/>
        <w:jc w:val="left"/>
        <w:rPr>
          <w:rFonts w:hint="eastAsia"/>
          <w:sz w:val="30"/>
          <w:szCs w:val="30"/>
        </w:rPr>
      </w:pPr>
    </w:p>
    <w:p w14:paraId="14677495">
      <w:pPr>
        <w:pStyle w:val="9"/>
        <w:spacing w:before="11"/>
        <w:ind w:left="0"/>
        <w:jc w:val="left"/>
        <w:rPr>
          <w:rFonts w:hint="eastAsia"/>
          <w:sz w:val="30"/>
          <w:szCs w:val="30"/>
        </w:rPr>
      </w:pPr>
      <w:r>
        <w:rPr>
          <w:rFonts w:hint="eastAsia"/>
          <w:sz w:val="30"/>
          <w:szCs w:val="30"/>
        </w:rPr>
        <w:t>Chapter 25: The Consummation: A Biblical Scenario</w:t>
      </w:r>
    </w:p>
    <w:p w14:paraId="41F35A44">
      <w:pPr>
        <w:pStyle w:val="9"/>
        <w:spacing w:before="11"/>
        <w:ind w:left="0"/>
        <w:jc w:val="left"/>
        <w:rPr>
          <w:rFonts w:hint="eastAsia"/>
          <w:sz w:val="30"/>
          <w:szCs w:val="30"/>
        </w:rPr>
      </w:pPr>
      <w:r>
        <w:rPr>
          <w:rFonts w:hint="eastAsia"/>
          <w:sz w:val="30"/>
          <w:szCs w:val="30"/>
        </w:rPr>
        <w:t>第25章：结局：一个合乎圣经的设想</w:t>
      </w:r>
    </w:p>
    <w:p w14:paraId="024133EC">
      <w:pPr>
        <w:pStyle w:val="9"/>
        <w:spacing w:before="11"/>
        <w:ind w:left="0"/>
        <w:jc w:val="left"/>
        <w:rPr>
          <w:rFonts w:hint="eastAsia"/>
          <w:sz w:val="30"/>
          <w:szCs w:val="30"/>
        </w:rPr>
      </w:pPr>
    </w:p>
    <w:p w14:paraId="74BE1F12">
      <w:pPr>
        <w:pStyle w:val="9"/>
        <w:spacing w:before="11"/>
        <w:ind w:left="0"/>
        <w:jc w:val="left"/>
        <w:rPr>
          <w:rFonts w:hint="eastAsia"/>
          <w:sz w:val="30"/>
          <w:szCs w:val="30"/>
        </w:rPr>
      </w:pPr>
      <w:r>
        <w:rPr>
          <w:rFonts w:hint="eastAsia"/>
          <w:sz w:val="30"/>
          <w:szCs w:val="30"/>
        </w:rPr>
        <w:t>1.For help in keeping tabs on the state of the global mission of the Church, you may visit the websites of Frontier Ventures (www.frontierventures.org), Operation World (www.operationworld.org), and the Joshua Project (www.joshuaproject.net).</w:t>
      </w:r>
    </w:p>
    <w:p w14:paraId="61F9361B">
      <w:pPr>
        <w:pStyle w:val="9"/>
        <w:spacing w:before="11"/>
        <w:ind w:left="0"/>
        <w:jc w:val="left"/>
        <w:rPr>
          <w:rFonts w:hint="eastAsia"/>
          <w:sz w:val="30"/>
          <w:szCs w:val="30"/>
        </w:rPr>
      </w:pPr>
      <w:r>
        <w:rPr>
          <w:rFonts w:hint="eastAsia"/>
          <w:sz w:val="30"/>
          <w:szCs w:val="30"/>
        </w:rPr>
        <w:t>1.为帮助了解全球教会宣教的状况，您可以访问“前沿拓植”（www.frontierventures.org）、“普世宣教手册”（www.operationworld.org）和“约书亚项目”（www.joshuaproject.net）的网站。</w:t>
      </w:r>
    </w:p>
    <w:p w14:paraId="31A652BB">
      <w:pPr>
        <w:pStyle w:val="9"/>
        <w:spacing w:before="11"/>
        <w:ind w:left="0"/>
        <w:jc w:val="left"/>
        <w:rPr>
          <w:rFonts w:hint="eastAsia"/>
          <w:sz w:val="30"/>
          <w:szCs w:val="30"/>
        </w:rPr>
      </w:pPr>
    </w:p>
    <w:p w14:paraId="044487AA">
      <w:pPr>
        <w:pStyle w:val="9"/>
        <w:spacing w:before="11"/>
        <w:ind w:left="0"/>
        <w:jc w:val="left"/>
        <w:rPr>
          <w:rFonts w:hint="eastAsia"/>
          <w:sz w:val="30"/>
          <w:szCs w:val="30"/>
        </w:rPr>
      </w:pPr>
      <w:r>
        <w:rPr>
          <w:rFonts w:hint="eastAsia"/>
          <w:sz w:val="30"/>
          <w:szCs w:val="30"/>
        </w:rPr>
        <w:t>2.There are a number of NT passages teaching that all humanity must stand before the throne (Mt. 25:31, Rev. 20:4) or judgment seat of Christ (Rom. 14:10, 2 Cor. 5:10).</w:t>
      </w:r>
    </w:p>
    <w:p w14:paraId="591C8E1E">
      <w:pPr>
        <w:pStyle w:val="9"/>
        <w:spacing w:before="11"/>
        <w:ind w:left="0"/>
        <w:jc w:val="left"/>
        <w:rPr>
          <w:rFonts w:hint="eastAsia"/>
          <w:sz w:val="30"/>
          <w:szCs w:val="30"/>
        </w:rPr>
      </w:pPr>
      <w:r>
        <w:rPr>
          <w:rFonts w:hint="eastAsia"/>
          <w:sz w:val="30"/>
          <w:szCs w:val="30"/>
        </w:rPr>
        <w:t>2.有一些新约经文教导说，全人类都必须站在宝座（太25:31，启20:4）或基督的审判台（罗14:10，林后5:10）前。</w:t>
      </w:r>
    </w:p>
    <w:p w14:paraId="4FEC56DB">
      <w:pPr>
        <w:pStyle w:val="9"/>
        <w:spacing w:before="11"/>
        <w:ind w:left="0"/>
        <w:jc w:val="left"/>
        <w:rPr>
          <w:rFonts w:hint="eastAsia"/>
          <w:sz w:val="30"/>
          <w:szCs w:val="30"/>
        </w:rPr>
      </w:pPr>
    </w:p>
    <w:p w14:paraId="01BA961A">
      <w:pPr>
        <w:pStyle w:val="9"/>
        <w:spacing w:before="11"/>
        <w:ind w:left="0"/>
        <w:jc w:val="left"/>
        <w:rPr>
          <w:rFonts w:hint="eastAsia"/>
          <w:sz w:val="30"/>
          <w:szCs w:val="30"/>
        </w:rPr>
      </w:pPr>
      <w:r>
        <w:rPr>
          <w:rFonts w:hint="eastAsia"/>
          <w:sz w:val="30"/>
          <w:szCs w:val="30"/>
        </w:rPr>
        <w:t>While it is not impossible that these texts speak of a physical throne, it seems more likely that the throne is visionary in nature, or that it is a symbol for the sovereignty of the High King of Heaven, especially as this will be manifested at the Judgment.</w:t>
      </w:r>
    </w:p>
    <w:p w14:paraId="69D593C0">
      <w:pPr>
        <w:pStyle w:val="9"/>
        <w:spacing w:before="11"/>
        <w:ind w:left="0"/>
        <w:jc w:val="left"/>
        <w:rPr>
          <w:rFonts w:hint="eastAsia"/>
          <w:sz w:val="30"/>
          <w:szCs w:val="30"/>
        </w:rPr>
      </w:pPr>
      <w:r>
        <w:rPr>
          <w:rFonts w:hint="eastAsia"/>
          <w:sz w:val="30"/>
          <w:szCs w:val="30"/>
        </w:rPr>
        <w:t>虽然这些经文并非不可能谈论一个物质的宝座，但似乎更有可能的是，这个宝座本质上是异象性的，或者是天上至高君王主权的一个象征，尤其是在审判时这将得以彰显。</w:t>
      </w:r>
    </w:p>
    <w:p w14:paraId="5C32E1ED">
      <w:pPr>
        <w:pStyle w:val="9"/>
        <w:spacing w:before="11"/>
        <w:ind w:left="0"/>
        <w:jc w:val="left"/>
        <w:rPr>
          <w:rFonts w:hint="eastAsia"/>
          <w:sz w:val="30"/>
          <w:szCs w:val="30"/>
        </w:rPr>
      </w:pPr>
    </w:p>
    <w:p w14:paraId="7EC6728B">
      <w:pPr>
        <w:pStyle w:val="9"/>
        <w:spacing w:before="11"/>
        <w:ind w:left="0"/>
        <w:jc w:val="left"/>
        <w:rPr>
          <w:rFonts w:hint="eastAsia"/>
          <w:sz w:val="30"/>
          <w:szCs w:val="30"/>
        </w:rPr>
      </w:pPr>
      <w:r>
        <w:rPr>
          <w:rFonts w:hint="eastAsia"/>
          <w:sz w:val="30"/>
          <w:szCs w:val="30"/>
        </w:rPr>
        <w:t>See Mt. 13:36-43, in which the mention of Christ’s throne is conspicuously absent.</w:t>
      </w:r>
    </w:p>
    <w:p w14:paraId="49F1DA47">
      <w:pPr>
        <w:pStyle w:val="9"/>
        <w:spacing w:before="11"/>
        <w:ind w:left="0"/>
        <w:jc w:val="left"/>
        <w:rPr>
          <w:rFonts w:hint="eastAsia"/>
          <w:sz w:val="30"/>
          <w:szCs w:val="30"/>
        </w:rPr>
      </w:pPr>
      <w:r>
        <w:rPr>
          <w:rFonts w:hint="eastAsia"/>
          <w:sz w:val="30"/>
          <w:szCs w:val="30"/>
        </w:rPr>
        <w:t>见马太福音13:36-43，其中显著地没有提到基督的宝座。</w:t>
      </w:r>
    </w:p>
    <w:p w14:paraId="10468AA0">
      <w:pPr>
        <w:pStyle w:val="9"/>
        <w:spacing w:before="11"/>
        <w:ind w:left="0"/>
        <w:jc w:val="left"/>
        <w:rPr>
          <w:rFonts w:hint="eastAsia"/>
          <w:sz w:val="30"/>
          <w:szCs w:val="30"/>
        </w:rPr>
      </w:pPr>
    </w:p>
    <w:p w14:paraId="5DAE8EC0">
      <w:pPr>
        <w:pStyle w:val="9"/>
        <w:spacing w:before="11"/>
        <w:ind w:left="0"/>
        <w:jc w:val="left"/>
        <w:rPr>
          <w:rFonts w:hint="eastAsia"/>
          <w:sz w:val="30"/>
          <w:szCs w:val="30"/>
        </w:rPr>
      </w:pPr>
      <w:r>
        <w:rPr>
          <w:rFonts w:hint="eastAsia"/>
          <w:sz w:val="30"/>
          <w:szCs w:val="30"/>
        </w:rPr>
        <w:t>3. At first glance, Jesus’ parable of the sheep and the goats (Mt. 25:31ff) seems to teach final salvation by good works done for his “brethren” (25:40).</w:t>
      </w:r>
    </w:p>
    <w:p w14:paraId="79BD17EE">
      <w:pPr>
        <w:pStyle w:val="9"/>
        <w:spacing w:before="11"/>
        <w:ind w:left="0"/>
        <w:jc w:val="left"/>
        <w:rPr>
          <w:rFonts w:hint="eastAsia"/>
          <w:sz w:val="30"/>
          <w:szCs w:val="30"/>
        </w:rPr>
      </w:pPr>
      <w:r>
        <w:rPr>
          <w:rFonts w:hint="eastAsia"/>
          <w:sz w:val="30"/>
          <w:szCs w:val="30"/>
        </w:rPr>
        <w:t>3. 乍一看，耶稣关于绵羊和山羊的比喻（太25:31及以下）似乎教导说，最终的得救是藉着为祂“弟兄”所行的善工（25:40）。</w:t>
      </w:r>
    </w:p>
    <w:p w14:paraId="6D15E17E">
      <w:pPr>
        <w:pStyle w:val="9"/>
        <w:spacing w:before="11"/>
        <w:ind w:left="0"/>
        <w:jc w:val="left"/>
        <w:rPr>
          <w:rFonts w:hint="eastAsia"/>
          <w:sz w:val="30"/>
          <w:szCs w:val="30"/>
        </w:rPr>
      </w:pPr>
    </w:p>
    <w:p w14:paraId="43FB88A5">
      <w:pPr>
        <w:pStyle w:val="9"/>
        <w:spacing w:before="11"/>
        <w:ind w:left="0"/>
        <w:jc w:val="left"/>
        <w:rPr>
          <w:rFonts w:hint="eastAsia"/>
          <w:sz w:val="30"/>
          <w:szCs w:val="30"/>
        </w:rPr>
      </w:pPr>
      <w:r>
        <w:rPr>
          <w:rFonts w:hint="eastAsia"/>
          <w:sz w:val="30"/>
          <w:szCs w:val="30"/>
        </w:rPr>
        <w:t>Who are Jesus’ brethren, and how can we square this parable with the abundance of other sayings—many from the lips of Jesus himself—to the effect that salvation is not by works, but by simple faith in Christ and what he has done in behalf of his people?</w:t>
      </w:r>
    </w:p>
    <w:p w14:paraId="5A3AF4B0">
      <w:pPr>
        <w:pStyle w:val="9"/>
        <w:spacing w:before="11"/>
        <w:ind w:left="0"/>
        <w:jc w:val="left"/>
        <w:rPr>
          <w:rFonts w:hint="eastAsia"/>
          <w:sz w:val="30"/>
          <w:szCs w:val="30"/>
        </w:rPr>
      </w:pPr>
      <w:r>
        <w:rPr>
          <w:rFonts w:hint="eastAsia"/>
          <w:sz w:val="30"/>
          <w:szCs w:val="30"/>
        </w:rPr>
        <w:t>谁是耶稣的弟兄，我们如何能将这个比喻与大量其他的说法——许多出自耶稣自己的口——相协调，这些说法大意是得救不是靠行为，而是单单靠着对基督和祂为祂子民所做之事的信心？</w:t>
      </w:r>
    </w:p>
    <w:p w14:paraId="5177F9CF">
      <w:pPr>
        <w:pStyle w:val="9"/>
        <w:spacing w:before="11"/>
        <w:ind w:left="0"/>
        <w:jc w:val="left"/>
        <w:rPr>
          <w:rFonts w:hint="eastAsia"/>
          <w:sz w:val="30"/>
          <w:szCs w:val="30"/>
        </w:rPr>
      </w:pPr>
    </w:p>
    <w:p w14:paraId="4A75800C">
      <w:pPr>
        <w:pStyle w:val="9"/>
        <w:spacing w:before="11"/>
        <w:ind w:left="0"/>
        <w:jc w:val="left"/>
        <w:rPr>
          <w:rFonts w:hint="eastAsia"/>
          <w:sz w:val="30"/>
          <w:szCs w:val="30"/>
        </w:rPr>
      </w:pPr>
      <w:r>
        <w:rPr>
          <w:rFonts w:hint="eastAsia"/>
          <w:sz w:val="30"/>
          <w:szCs w:val="30"/>
        </w:rPr>
        <w:t>See endnote # 9, chapter 23, for George Ladd’s wise response to this important question.</w:t>
      </w:r>
    </w:p>
    <w:p w14:paraId="6DBACB3E">
      <w:pPr>
        <w:pStyle w:val="9"/>
        <w:spacing w:before="11"/>
        <w:ind w:left="0"/>
        <w:jc w:val="left"/>
        <w:rPr>
          <w:rFonts w:hint="eastAsia"/>
          <w:sz w:val="30"/>
          <w:szCs w:val="30"/>
        </w:rPr>
      </w:pPr>
      <w:r>
        <w:rPr>
          <w:rFonts w:hint="eastAsia"/>
          <w:sz w:val="30"/>
          <w:szCs w:val="30"/>
        </w:rPr>
        <w:t>关于这个重要问题，见第23章尾注9，乔治·赖德的明智回应。</w:t>
      </w:r>
    </w:p>
    <w:p w14:paraId="6BB69BF0">
      <w:pPr>
        <w:pStyle w:val="9"/>
        <w:spacing w:before="11"/>
        <w:ind w:left="0"/>
        <w:jc w:val="left"/>
        <w:rPr>
          <w:rFonts w:hint="eastAsia"/>
          <w:sz w:val="30"/>
          <w:szCs w:val="30"/>
        </w:rPr>
      </w:pPr>
    </w:p>
    <w:p w14:paraId="68E9729B">
      <w:pPr>
        <w:pStyle w:val="9"/>
        <w:spacing w:before="11"/>
        <w:ind w:left="0"/>
        <w:jc w:val="left"/>
        <w:rPr>
          <w:rFonts w:hint="eastAsia"/>
          <w:sz w:val="30"/>
          <w:szCs w:val="30"/>
        </w:rPr>
      </w:pPr>
      <w:r>
        <w:rPr>
          <w:rFonts w:hint="eastAsia"/>
          <w:sz w:val="30"/>
          <w:szCs w:val="30"/>
        </w:rPr>
        <w:t>4.Theologians wrestle with the question of the eternal destiny of those who lived beyond the borders of Israel in OT times, and beyond the reach of the Gospel in NT times.</w:t>
      </w:r>
    </w:p>
    <w:p w14:paraId="0A13578F">
      <w:pPr>
        <w:pStyle w:val="9"/>
        <w:spacing w:before="11"/>
        <w:ind w:left="0"/>
        <w:jc w:val="left"/>
        <w:rPr>
          <w:rFonts w:hint="eastAsia"/>
          <w:sz w:val="30"/>
          <w:szCs w:val="30"/>
        </w:rPr>
      </w:pPr>
      <w:r>
        <w:rPr>
          <w:rFonts w:hint="eastAsia"/>
          <w:sz w:val="30"/>
          <w:szCs w:val="30"/>
        </w:rPr>
        <w:t>4.神学家们在那些旧约时代生活在以色列境外，以及新约时代生活在福音所及范围之外的人的永恒命运问题上，进行了艰苦的探讨。</w:t>
      </w:r>
    </w:p>
    <w:p w14:paraId="2855A7D8">
      <w:pPr>
        <w:pStyle w:val="9"/>
        <w:spacing w:before="11"/>
        <w:ind w:left="0"/>
        <w:jc w:val="left"/>
        <w:rPr>
          <w:rFonts w:hint="eastAsia"/>
          <w:sz w:val="30"/>
          <w:szCs w:val="30"/>
        </w:rPr>
      </w:pPr>
    </w:p>
    <w:p w14:paraId="28C4738E">
      <w:pPr>
        <w:pStyle w:val="9"/>
        <w:spacing w:before="11"/>
        <w:ind w:left="0"/>
        <w:jc w:val="left"/>
        <w:rPr>
          <w:rFonts w:hint="eastAsia"/>
          <w:sz w:val="30"/>
          <w:szCs w:val="30"/>
        </w:rPr>
      </w:pPr>
      <w:r>
        <w:rPr>
          <w:rFonts w:hint="eastAsia"/>
          <w:sz w:val="30"/>
          <w:szCs w:val="30"/>
        </w:rPr>
        <w:t>Elsewhere, I have defended the idea that life is a test of our love of spiritual truth, and that God therefore gives each person a bona fide opportunity to choose it, even if they have not received the Gospel at the mouth of man.</w:t>
      </w:r>
    </w:p>
    <w:p w14:paraId="5557C790">
      <w:pPr>
        <w:pStyle w:val="9"/>
        <w:spacing w:before="11"/>
        <w:ind w:left="0"/>
        <w:jc w:val="left"/>
        <w:rPr>
          <w:rFonts w:hint="eastAsia"/>
          <w:sz w:val="30"/>
          <w:szCs w:val="30"/>
        </w:rPr>
      </w:pPr>
      <w:r>
        <w:rPr>
          <w:rFonts w:hint="eastAsia"/>
          <w:sz w:val="30"/>
          <w:szCs w:val="30"/>
        </w:rPr>
        <w:t>在别处，我曾辩护过这样一种观点，即生命是对我们热爱属灵真理的考验，因此神给每个人一个真实的机会去选择它，即使他们没有从人口中听到福音。</w:t>
      </w:r>
    </w:p>
    <w:p w14:paraId="4AB81205">
      <w:pPr>
        <w:pStyle w:val="9"/>
        <w:spacing w:before="11"/>
        <w:ind w:left="0"/>
        <w:jc w:val="left"/>
        <w:rPr>
          <w:rFonts w:hint="eastAsia"/>
          <w:sz w:val="30"/>
          <w:szCs w:val="30"/>
        </w:rPr>
      </w:pPr>
    </w:p>
    <w:p w14:paraId="5510994C">
      <w:pPr>
        <w:pStyle w:val="9"/>
        <w:spacing w:before="11"/>
        <w:ind w:left="0"/>
        <w:jc w:val="left"/>
        <w:rPr>
          <w:rFonts w:hint="eastAsia"/>
          <w:sz w:val="30"/>
          <w:szCs w:val="30"/>
        </w:rPr>
      </w:pPr>
      <w:r>
        <w:rPr>
          <w:rFonts w:hint="eastAsia"/>
          <w:sz w:val="30"/>
          <w:szCs w:val="30"/>
        </w:rPr>
        <w:t>However one resolves this question, all who revere the Bible as God’s word affirm, with Christ, that no one comes to the Father except through him (John 14:6), and that “He who has the Son has life, he who does not have the Son does not have life” (1 John 5:12).</w:t>
      </w:r>
    </w:p>
    <w:p w14:paraId="1DE40034">
      <w:pPr>
        <w:pStyle w:val="9"/>
        <w:spacing w:before="11"/>
        <w:ind w:left="0"/>
        <w:jc w:val="left"/>
        <w:rPr>
          <w:rFonts w:hint="eastAsia"/>
          <w:sz w:val="30"/>
          <w:szCs w:val="30"/>
        </w:rPr>
      </w:pPr>
      <w:r>
        <w:rPr>
          <w:rFonts w:hint="eastAsia"/>
          <w:sz w:val="30"/>
          <w:szCs w:val="30"/>
        </w:rPr>
        <w:t>无论如何解决这个问题，所有敬畏圣经为神话语的人，都与基督一同肯定，若不藉着祂，没有人能到父那里去（约14:6），并且“人有了神的儿子，就有生命；没有神的儿子，就没有生命”（约一5:12）。</w:t>
      </w:r>
    </w:p>
    <w:p w14:paraId="0CEA2D20">
      <w:pPr>
        <w:pStyle w:val="9"/>
        <w:spacing w:before="11"/>
        <w:ind w:left="0"/>
        <w:jc w:val="left"/>
        <w:rPr>
          <w:rFonts w:hint="eastAsia"/>
          <w:sz w:val="30"/>
          <w:szCs w:val="30"/>
        </w:rPr>
      </w:pPr>
    </w:p>
    <w:p w14:paraId="536AD81C">
      <w:pPr>
        <w:pStyle w:val="9"/>
        <w:spacing w:before="11"/>
        <w:ind w:left="0"/>
        <w:jc w:val="left"/>
        <w:rPr>
          <w:rFonts w:hint="eastAsia"/>
          <w:sz w:val="30"/>
          <w:szCs w:val="30"/>
        </w:rPr>
      </w:pPr>
      <w:r>
        <w:rPr>
          <w:rFonts w:hint="eastAsia"/>
          <w:sz w:val="30"/>
          <w:szCs w:val="30"/>
        </w:rPr>
        <w:t>See: Dean Davis, The Test: A Seeker’s Journey to the Meaning of Life, (Pleasant Word, 2010), p. 558.</w:t>
      </w:r>
    </w:p>
    <w:p w14:paraId="1EA0B055">
      <w:pPr>
        <w:pStyle w:val="9"/>
        <w:spacing w:before="11"/>
        <w:ind w:left="0"/>
        <w:jc w:val="left"/>
        <w:rPr>
          <w:rFonts w:hint="eastAsia"/>
          <w:sz w:val="30"/>
          <w:szCs w:val="30"/>
        </w:rPr>
      </w:pPr>
      <w:r>
        <w:rPr>
          <w:rFonts w:hint="eastAsia"/>
          <w:sz w:val="30"/>
          <w:szCs w:val="30"/>
        </w:rPr>
        <w:t>见：迪恩·戴维斯，《考验：一位寻求者对生命意义的旅程》（Pleasant Word, 2010），第558页。</w:t>
      </w:r>
    </w:p>
    <w:p w14:paraId="256D448F">
      <w:pPr>
        <w:pStyle w:val="9"/>
        <w:spacing w:before="11"/>
        <w:ind w:left="0"/>
        <w:jc w:val="left"/>
        <w:rPr>
          <w:rFonts w:hint="eastAsia"/>
          <w:sz w:val="30"/>
          <w:szCs w:val="30"/>
        </w:rPr>
      </w:pPr>
    </w:p>
    <w:p w14:paraId="30C6C884">
      <w:pPr>
        <w:pStyle w:val="9"/>
        <w:spacing w:before="11"/>
        <w:ind w:left="0"/>
        <w:jc w:val="left"/>
        <w:rPr>
          <w:rFonts w:hint="eastAsia"/>
          <w:sz w:val="30"/>
          <w:szCs w:val="30"/>
        </w:rPr>
      </w:pPr>
      <w:r>
        <w:rPr>
          <w:rFonts w:hint="eastAsia"/>
          <w:sz w:val="30"/>
          <w:szCs w:val="30"/>
        </w:rPr>
        <w:t>5. Numerous biblical texts affirm that Christ will reign forever over his people (Is. 9:7, Dan. 2:44, 7:14, 27, Luke 1:13, 2 Peter 1:11, Rev. 11:15).</w:t>
      </w:r>
    </w:p>
    <w:p w14:paraId="007103AD">
      <w:pPr>
        <w:pStyle w:val="9"/>
        <w:spacing w:before="11"/>
        <w:ind w:left="0"/>
        <w:jc w:val="left"/>
        <w:rPr>
          <w:rFonts w:hint="eastAsia"/>
          <w:sz w:val="30"/>
          <w:szCs w:val="30"/>
        </w:rPr>
      </w:pPr>
      <w:r>
        <w:rPr>
          <w:rFonts w:hint="eastAsia"/>
          <w:sz w:val="30"/>
          <w:szCs w:val="30"/>
        </w:rPr>
        <w:t>5. 大量的圣经经文肯定基督将永远统治祂的子民（赛9:7，但2:44, 7:14, 27，路1:13，彼后1:11，启11:15）。</w:t>
      </w:r>
    </w:p>
    <w:p w14:paraId="473CFACA">
      <w:pPr>
        <w:pStyle w:val="9"/>
        <w:spacing w:before="11"/>
        <w:ind w:left="0"/>
        <w:jc w:val="left"/>
        <w:rPr>
          <w:rFonts w:hint="eastAsia"/>
          <w:sz w:val="30"/>
          <w:szCs w:val="30"/>
        </w:rPr>
      </w:pPr>
    </w:p>
    <w:p w14:paraId="62E05B49">
      <w:pPr>
        <w:pStyle w:val="9"/>
        <w:spacing w:before="11"/>
        <w:ind w:left="0"/>
        <w:jc w:val="left"/>
        <w:rPr>
          <w:rFonts w:hint="eastAsia"/>
          <w:sz w:val="30"/>
          <w:szCs w:val="30"/>
        </w:rPr>
      </w:pPr>
      <w:r>
        <w:rPr>
          <w:rFonts w:hint="eastAsia"/>
          <w:sz w:val="30"/>
          <w:szCs w:val="30"/>
        </w:rPr>
        <w:t>These passages make it clear that the delivering up of the Kingdom does not terminate the Son’s sovereignty, but rather—in a manner that defies complete description—transforms, subordinates, and seals it once and for all.</w:t>
      </w:r>
    </w:p>
    <w:p w14:paraId="5C86F9C0">
      <w:pPr>
        <w:pStyle w:val="9"/>
        <w:spacing w:before="11"/>
        <w:ind w:left="0"/>
        <w:jc w:val="left"/>
        <w:rPr>
          <w:rFonts w:hint="eastAsia"/>
          <w:sz w:val="30"/>
          <w:szCs w:val="30"/>
        </w:rPr>
      </w:pPr>
      <w:r>
        <w:rPr>
          <w:rFonts w:hint="eastAsia"/>
          <w:sz w:val="30"/>
          <w:szCs w:val="30"/>
        </w:rPr>
        <w:t>这些经文清楚地表明，交出國度并不会终止子的主权，而是——以一种难以完全描述的方式——转化、顺服并一劳永逸地印证了它。</w:t>
      </w:r>
    </w:p>
    <w:p w14:paraId="01136109">
      <w:pPr>
        <w:pStyle w:val="9"/>
        <w:spacing w:before="11"/>
        <w:ind w:left="0"/>
        <w:jc w:val="left"/>
        <w:rPr>
          <w:rFonts w:hint="eastAsia"/>
          <w:sz w:val="30"/>
          <w:szCs w:val="30"/>
        </w:rPr>
      </w:pPr>
    </w:p>
    <w:p w14:paraId="257F53CC">
      <w:pPr>
        <w:pStyle w:val="9"/>
        <w:spacing w:before="11"/>
        <w:ind w:left="0"/>
        <w:jc w:val="left"/>
        <w:rPr>
          <w:rFonts w:hint="eastAsia"/>
          <w:sz w:val="30"/>
          <w:szCs w:val="30"/>
        </w:rPr>
      </w:pPr>
      <w:r>
        <w:rPr>
          <w:rFonts w:hint="eastAsia"/>
          <w:sz w:val="30"/>
          <w:szCs w:val="30"/>
        </w:rPr>
        <w:t>Appendix 2: A Critique of Postmillennialism</w:t>
      </w:r>
    </w:p>
    <w:p w14:paraId="434625CF">
      <w:pPr>
        <w:pStyle w:val="9"/>
        <w:spacing w:before="11"/>
        <w:ind w:left="0"/>
        <w:jc w:val="left"/>
        <w:rPr>
          <w:rFonts w:hint="eastAsia"/>
          <w:sz w:val="30"/>
          <w:szCs w:val="30"/>
        </w:rPr>
      </w:pPr>
      <w:r>
        <w:rPr>
          <w:rFonts w:hint="eastAsia"/>
          <w:sz w:val="30"/>
          <w:szCs w:val="30"/>
        </w:rPr>
        <w:t>附录2：对后千禧年论的批判</w:t>
      </w:r>
    </w:p>
    <w:p w14:paraId="60116D50">
      <w:pPr>
        <w:pStyle w:val="9"/>
        <w:spacing w:before="11"/>
        <w:ind w:left="0"/>
        <w:jc w:val="left"/>
        <w:rPr>
          <w:rFonts w:hint="eastAsia"/>
          <w:sz w:val="30"/>
          <w:szCs w:val="30"/>
        </w:rPr>
      </w:pPr>
    </w:p>
    <w:p w14:paraId="7A20373D">
      <w:pPr>
        <w:pStyle w:val="9"/>
        <w:spacing w:before="11"/>
        <w:ind w:left="0"/>
        <w:jc w:val="left"/>
        <w:rPr>
          <w:rFonts w:hint="eastAsia"/>
          <w:sz w:val="30"/>
          <w:szCs w:val="30"/>
        </w:rPr>
      </w:pPr>
      <w:r>
        <w:rPr>
          <w:rFonts w:hint="eastAsia"/>
          <w:sz w:val="30"/>
          <w:szCs w:val="30"/>
        </w:rPr>
        <w:t>1. Cited in an article written by Lee Irons, Will There Be a Golden Age Before Christ Returns, available at www.upper-register.com.</w:t>
      </w:r>
    </w:p>
    <w:p w14:paraId="366F7530">
      <w:pPr>
        <w:pStyle w:val="9"/>
        <w:spacing w:before="11"/>
        <w:ind w:left="0"/>
        <w:jc w:val="left"/>
        <w:rPr>
          <w:rFonts w:hint="eastAsia"/>
          <w:sz w:val="30"/>
          <w:szCs w:val="30"/>
        </w:rPr>
      </w:pPr>
      <w:r>
        <w:rPr>
          <w:rFonts w:hint="eastAsia"/>
          <w:sz w:val="30"/>
          <w:szCs w:val="30"/>
        </w:rPr>
        <w:t>1. 引自李·艾朗斯所写的一篇文章《基督再来前会有黄金时代吗》，可在www.upper-register.com上找到。</w:t>
      </w:r>
    </w:p>
    <w:p w14:paraId="5CE919D7">
      <w:pPr>
        <w:pStyle w:val="9"/>
        <w:spacing w:before="11"/>
        <w:ind w:left="0"/>
        <w:jc w:val="left"/>
        <w:rPr>
          <w:rFonts w:hint="eastAsia"/>
          <w:sz w:val="30"/>
          <w:szCs w:val="30"/>
        </w:rPr>
      </w:pPr>
    </w:p>
    <w:p w14:paraId="45060C0E">
      <w:pPr>
        <w:pStyle w:val="9"/>
        <w:spacing w:before="11"/>
        <w:ind w:left="0"/>
        <w:jc w:val="left"/>
        <w:rPr>
          <w:rFonts w:hint="eastAsia"/>
          <w:sz w:val="30"/>
          <w:szCs w:val="30"/>
        </w:rPr>
      </w:pPr>
      <w:r>
        <w:rPr>
          <w:rFonts w:hint="eastAsia"/>
          <w:sz w:val="30"/>
          <w:szCs w:val="30"/>
        </w:rPr>
        <w:t>2. See in this same article Iron’s discussion of Daniel 2, wherein it is affirmed that the Kingdom of God will not triumph in the earth until after the destruction of the four-fold Image of Man; a destruction that will occur at the Parousia of Christ.</w:t>
      </w:r>
    </w:p>
    <w:p w14:paraId="2356698B">
      <w:pPr>
        <w:pStyle w:val="9"/>
        <w:spacing w:before="11"/>
        <w:ind w:left="0"/>
        <w:jc w:val="left"/>
        <w:rPr>
          <w:rFonts w:hint="eastAsia"/>
          <w:sz w:val="30"/>
          <w:szCs w:val="30"/>
        </w:rPr>
      </w:pPr>
      <w:r>
        <w:rPr>
          <w:rFonts w:hint="eastAsia"/>
          <w:sz w:val="30"/>
          <w:szCs w:val="30"/>
        </w:rPr>
        <w:t>2. 在同一篇文章中，见艾朗斯对但以理书第2章的讨论，其中肯定了神的国在地上得胜，要等到那四重人像被毁灭之后；这场毁灭将在基督再来时发生。</w:t>
      </w:r>
    </w:p>
    <w:p w14:paraId="2DDEA6CB">
      <w:pPr>
        <w:pStyle w:val="9"/>
        <w:spacing w:before="11"/>
        <w:ind w:left="0"/>
        <w:jc w:val="left"/>
        <w:rPr>
          <w:rFonts w:hint="eastAsia"/>
          <w:sz w:val="30"/>
          <w:szCs w:val="30"/>
        </w:rPr>
      </w:pPr>
    </w:p>
    <w:p w14:paraId="5EE4B86B">
      <w:pPr>
        <w:pStyle w:val="9"/>
        <w:spacing w:before="11"/>
        <w:ind w:left="0"/>
        <w:jc w:val="left"/>
        <w:rPr>
          <w:rFonts w:hint="eastAsia"/>
          <w:sz w:val="30"/>
          <w:szCs w:val="30"/>
        </w:rPr>
      </w:pPr>
      <w:r>
        <w:rPr>
          <w:rFonts w:hint="eastAsia"/>
          <w:sz w:val="30"/>
          <w:szCs w:val="30"/>
        </w:rPr>
        <w:t>Then, and only then, says Irons, will “the kingdom of this world become the Kingdom of our Lord and of his Christ” (Rev. 11:15).</w:t>
      </w:r>
    </w:p>
    <w:p w14:paraId="4E8D30F7">
      <w:pPr>
        <w:pStyle w:val="9"/>
        <w:spacing w:before="11"/>
        <w:ind w:left="0"/>
        <w:jc w:val="left"/>
        <w:rPr>
          <w:rFonts w:hint="eastAsia"/>
          <w:sz w:val="30"/>
          <w:szCs w:val="30"/>
        </w:rPr>
      </w:pPr>
      <w:r>
        <w:rPr>
          <w:rFonts w:hint="eastAsia"/>
          <w:sz w:val="30"/>
          <w:szCs w:val="30"/>
        </w:rPr>
        <w:t>那时，也只有那时，艾朗斯说，“世上的国成了我主和主基督的国”（启11:15）。</w:t>
      </w:r>
    </w:p>
    <w:p w14:paraId="067D398A">
      <w:pPr>
        <w:pStyle w:val="9"/>
        <w:spacing w:before="11"/>
        <w:ind w:left="0"/>
        <w:jc w:val="left"/>
        <w:rPr>
          <w:rFonts w:hint="eastAsia"/>
          <w:sz w:val="30"/>
          <w:szCs w:val="30"/>
        </w:rPr>
      </w:pPr>
    </w:p>
    <w:p w14:paraId="565D4DCF">
      <w:pPr>
        <w:pStyle w:val="9"/>
        <w:spacing w:before="11"/>
        <w:ind w:left="0"/>
        <w:jc w:val="left"/>
        <w:rPr>
          <w:rFonts w:hint="eastAsia"/>
          <w:sz w:val="30"/>
          <w:szCs w:val="30"/>
        </w:rPr>
      </w:pPr>
      <w:r>
        <w:rPr>
          <w:rFonts w:hint="eastAsia"/>
          <w:sz w:val="30"/>
          <w:szCs w:val="30"/>
        </w:rPr>
        <w:t>3.Cited in S. Grenz, The Millennial Maze, p. 72.</w:t>
      </w:r>
    </w:p>
    <w:p w14:paraId="3C74DFEB">
      <w:pPr>
        <w:pStyle w:val="9"/>
        <w:spacing w:before="11"/>
        <w:ind w:left="0"/>
        <w:jc w:val="left"/>
        <w:rPr>
          <w:rFonts w:hint="eastAsia"/>
          <w:sz w:val="30"/>
          <w:szCs w:val="30"/>
        </w:rPr>
      </w:pPr>
      <w:r>
        <w:rPr>
          <w:rFonts w:hint="eastAsia"/>
          <w:sz w:val="30"/>
          <w:szCs w:val="30"/>
        </w:rPr>
        <w:t>3.引自S. 格伦茨，《千禧年迷宫》，第72页。</w:t>
      </w:r>
    </w:p>
    <w:p w14:paraId="16079F10">
      <w:pPr>
        <w:pStyle w:val="9"/>
        <w:spacing w:before="11"/>
        <w:ind w:left="0"/>
        <w:jc w:val="left"/>
        <w:rPr>
          <w:rFonts w:hint="eastAsia"/>
          <w:sz w:val="30"/>
          <w:szCs w:val="30"/>
        </w:rPr>
      </w:pPr>
    </w:p>
    <w:p w14:paraId="6DE72564">
      <w:pPr>
        <w:pStyle w:val="9"/>
        <w:spacing w:before="11"/>
        <w:ind w:left="0"/>
        <w:jc w:val="left"/>
        <w:rPr>
          <w:rFonts w:hint="eastAsia"/>
          <w:sz w:val="30"/>
          <w:szCs w:val="30"/>
        </w:rPr>
      </w:pPr>
      <w:r>
        <w:rPr>
          <w:rFonts w:hint="eastAsia"/>
          <w:sz w:val="30"/>
          <w:szCs w:val="30"/>
        </w:rPr>
        <w:t>4.Ibid., p. 74.</w:t>
      </w:r>
    </w:p>
    <w:p w14:paraId="7499EA69">
      <w:pPr>
        <w:pStyle w:val="9"/>
        <w:spacing w:before="11"/>
        <w:ind w:left="0"/>
        <w:jc w:val="left"/>
        <w:rPr>
          <w:rFonts w:hint="eastAsia"/>
          <w:sz w:val="30"/>
          <w:szCs w:val="30"/>
        </w:rPr>
      </w:pPr>
      <w:r>
        <w:rPr>
          <w:rFonts w:hint="eastAsia"/>
          <w:sz w:val="30"/>
          <w:szCs w:val="30"/>
        </w:rPr>
        <w:t>4.同上，第74页。</w:t>
      </w:r>
    </w:p>
    <w:p w14:paraId="5FDD8E0D">
      <w:pPr>
        <w:pStyle w:val="9"/>
        <w:spacing w:before="11"/>
        <w:ind w:left="0"/>
        <w:jc w:val="left"/>
        <w:rPr>
          <w:rFonts w:hint="eastAsia"/>
          <w:sz w:val="30"/>
          <w:szCs w:val="30"/>
        </w:rPr>
      </w:pPr>
    </w:p>
    <w:p w14:paraId="6496FBAE">
      <w:pPr>
        <w:pStyle w:val="9"/>
        <w:spacing w:before="11"/>
        <w:ind w:left="0"/>
        <w:jc w:val="left"/>
        <w:rPr>
          <w:rFonts w:hint="eastAsia"/>
          <w:sz w:val="30"/>
          <w:szCs w:val="30"/>
        </w:rPr>
      </w:pPr>
      <w:r>
        <w:rPr>
          <w:rFonts w:hint="eastAsia"/>
          <w:sz w:val="30"/>
          <w:szCs w:val="30"/>
        </w:rPr>
        <w:t>Appendix 3: A Critique of Dispensational Premillennialism</w:t>
      </w:r>
    </w:p>
    <w:p w14:paraId="0708A064">
      <w:pPr>
        <w:pStyle w:val="9"/>
        <w:spacing w:before="11"/>
        <w:ind w:left="0"/>
        <w:jc w:val="left"/>
        <w:rPr>
          <w:rFonts w:hint="eastAsia"/>
          <w:sz w:val="30"/>
          <w:szCs w:val="30"/>
        </w:rPr>
      </w:pPr>
      <w:r>
        <w:rPr>
          <w:rFonts w:hint="eastAsia"/>
          <w:sz w:val="30"/>
          <w:szCs w:val="30"/>
        </w:rPr>
        <w:t>附录3：对时代论前千禧年论的批判</w:t>
      </w:r>
    </w:p>
    <w:p w14:paraId="0ADCD26F">
      <w:pPr>
        <w:pStyle w:val="9"/>
        <w:spacing w:before="11"/>
        <w:ind w:left="0"/>
        <w:jc w:val="left"/>
        <w:rPr>
          <w:rFonts w:hint="eastAsia"/>
          <w:sz w:val="30"/>
          <w:szCs w:val="30"/>
        </w:rPr>
      </w:pPr>
    </w:p>
    <w:p w14:paraId="3F5FF4C7">
      <w:pPr>
        <w:pStyle w:val="9"/>
        <w:spacing w:before="11"/>
        <w:ind w:left="0"/>
        <w:jc w:val="left"/>
        <w:rPr>
          <w:rFonts w:hint="eastAsia"/>
          <w:sz w:val="30"/>
          <w:szCs w:val="30"/>
        </w:rPr>
      </w:pPr>
      <w:r>
        <w:rPr>
          <w:rFonts w:hint="eastAsia"/>
          <w:sz w:val="30"/>
          <w:szCs w:val="30"/>
        </w:rPr>
        <w:t>1.SRB, p. 1353.</w:t>
      </w:r>
    </w:p>
    <w:p w14:paraId="58DF02F4">
      <w:pPr>
        <w:pStyle w:val="9"/>
        <w:spacing w:before="11"/>
        <w:ind w:left="0"/>
        <w:jc w:val="left"/>
        <w:rPr>
          <w:rFonts w:hint="eastAsia"/>
          <w:sz w:val="30"/>
          <w:szCs w:val="30"/>
        </w:rPr>
      </w:pPr>
      <w:r>
        <w:rPr>
          <w:rFonts w:hint="eastAsia"/>
          <w:sz w:val="30"/>
          <w:szCs w:val="30"/>
        </w:rPr>
        <w:t>1.司可福串珠圣经，第1353页。</w:t>
      </w:r>
    </w:p>
    <w:p w14:paraId="2C9F2C61">
      <w:pPr>
        <w:pStyle w:val="9"/>
        <w:spacing w:before="11"/>
        <w:ind w:left="0"/>
        <w:jc w:val="left"/>
        <w:rPr>
          <w:rFonts w:hint="eastAsia"/>
          <w:sz w:val="30"/>
          <w:szCs w:val="30"/>
        </w:rPr>
      </w:pPr>
    </w:p>
    <w:p w14:paraId="5A8C129A">
      <w:pPr>
        <w:pStyle w:val="9"/>
        <w:spacing w:before="11"/>
        <w:ind w:left="0"/>
        <w:jc w:val="left"/>
        <w:rPr>
          <w:rFonts w:hint="eastAsia"/>
          <w:sz w:val="30"/>
          <w:szCs w:val="30"/>
        </w:rPr>
      </w:pPr>
      <w:r>
        <w:rPr>
          <w:rFonts w:hint="eastAsia"/>
          <w:sz w:val="30"/>
          <w:szCs w:val="30"/>
        </w:rPr>
        <w:t>2.SRB, p. 1351.</w:t>
      </w:r>
    </w:p>
    <w:p w14:paraId="525ADC91">
      <w:pPr>
        <w:pStyle w:val="9"/>
        <w:spacing w:before="11"/>
        <w:ind w:left="0"/>
        <w:jc w:val="left"/>
        <w:rPr>
          <w:rFonts w:hint="eastAsia"/>
          <w:sz w:val="30"/>
          <w:szCs w:val="30"/>
        </w:rPr>
      </w:pPr>
      <w:r>
        <w:rPr>
          <w:rFonts w:hint="eastAsia"/>
          <w:sz w:val="30"/>
          <w:szCs w:val="30"/>
        </w:rPr>
        <w:t>2.司可福串珠圣经，第1351页。</w:t>
      </w:r>
    </w:p>
    <w:p w14:paraId="0E2DCE1C">
      <w:pPr>
        <w:pStyle w:val="9"/>
        <w:spacing w:before="11"/>
        <w:ind w:left="0"/>
        <w:jc w:val="left"/>
        <w:rPr>
          <w:rFonts w:hint="eastAsia"/>
          <w:sz w:val="30"/>
          <w:szCs w:val="30"/>
        </w:rPr>
      </w:pPr>
    </w:p>
    <w:p w14:paraId="23681F6F">
      <w:pPr>
        <w:pStyle w:val="9"/>
        <w:spacing w:before="11"/>
        <w:ind w:left="0"/>
        <w:jc w:val="left"/>
        <w:rPr>
          <w:rFonts w:hint="eastAsia"/>
          <w:sz w:val="30"/>
          <w:szCs w:val="30"/>
        </w:rPr>
      </w:pPr>
      <w:r>
        <w:rPr>
          <w:rFonts w:hint="eastAsia"/>
          <w:sz w:val="30"/>
          <w:szCs w:val="30"/>
        </w:rPr>
        <w:t>Appendix 4: A Critique of Preterism (Full and Partial)</w:t>
      </w:r>
    </w:p>
    <w:p w14:paraId="72B8DFB7">
      <w:pPr>
        <w:pStyle w:val="9"/>
        <w:spacing w:before="11"/>
        <w:ind w:left="0"/>
        <w:jc w:val="left"/>
        <w:rPr>
          <w:rFonts w:hint="eastAsia"/>
          <w:sz w:val="30"/>
          <w:szCs w:val="30"/>
        </w:rPr>
      </w:pPr>
      <w:r>
        <w:rPr>
          <w:rFonts w:hint="eastAsia"/>
          <w:sz w:val="30"/>
          <w:szCs w:val="30"/>
        </w:rPr>
        <w:t>附录4：对过去主义（完全和部分）的批判</w:t>
      </w:r>
    </w:p>
    <w:p w14:paraId="158FABA7">
      <w:pPr>
        <w:pStyle w:val="9"/>
        <w:spacing w:before="11"/>
        <w:ind w:left="0"/>
        <w:jc w:val="left"/>
        <w:rPr>
          <w:rFonts w:hint="eastAsia"/>
          <w:sz w:val="30"/>
          <w:szCs w:val="30"/>
        </w:rPr>
      </w:pPr>
    </w:p>
    <w:p w14:paraId="4A75653F">
      <w:pPr>
        <w:pStyle w:val="9"/>
        <w:spacing w:before="11"/>
        <w:ind w:left="0"/>
        <w:jc w:val="left"/>
        <w:rPr>
          <w:rFonts w:hint="eastAsia"/>
          <w:sz w:val="30"/>
          <w:szCs w:val="30"/>
        </w:rPr>
      </w:pPr>
      <w:r>
        <w:rPr>
          <w:rFonts w:hint="eastAsia"/>
          <w:sz w:val="30"/>
          <w:szCs w:val="30"/>
        </w:rPr>
        <w:t>1.Zaspel’s thoughtful essay is available at www.biblicalstudies.com.</w:t>
      </w:r>
    </w:p>
    <w:p w14:paraId="4D6E3F73">
      <w:pPr>
        <w:pStyle w:val="9"/>
        <w:spacing w:before="11"/>
        <w:ind w:left="0"/>
        <w:jc w:val="left"/>
        <w:rPr>
          <w:rFonts w:hint="eastAsia"/>
          <w:sz w:val="30"/>
          <w:szCs w:val="30"/>
        </w:rPr>
      </w:pPr>
      <w:r>
        <w:rPr>
          <w:rFonts w:hint="eastAsia"/>
          <w:sz w:val="30"/>
          <w:szCs w:val="30"/>
        </w:rPr>
        <w:t>1.扎斯佩尔深思熟虑的文章可在www.biblicalstudies.com上找到。</w:t>
      </w:r>
    </w:p>
    <w:p w14:paraId="42203598">
      <w:pPr>
        <w:pStyle w:val="9"/>
        <w:spacing w:before="11"/>
        <w:ind w:left="0"/>
        <w:jc w:val="left"/>
        <w:rPr>
          <w:rFonts w:hint="eastAsia"/>
          <w:sz w:val="30"/>
          <w:szCs w:val="30"/>
        </w:rPr>
      </w:pPr>
    </w:p>
    <w:p w14:paraId="7D6B5290">
      <w:pPr>
        <w:pStyle w:val="9"/>
        <w:spacing w:before="11"/>
        <w:ind w:left="0"/>
        <w:jc w:val="left"/>
        <w:rPr>
          <w:rFonts w:hint="eastAsia"/>
          <w:sz w:val="30"/>
          <w:szCs w:val="30"/>
        </w:rPr>
      </w:pPr>
      <w:r>
        <w:rPr>
          <w:rFonts w:hint="eastAsia"/>
          <w:sz w:val="30"/>
          <w:szCs w:val="30"/>
        </w:rPr>
        <w:t>2. Robert Mounce, The New International Commentary of the New Testament: The Book of Revelation (William Eerdmans Publishing Company, 1977), p. 42.</w:t>
      </w:r>
    </w:p>
    <w:p w14:paraId="2F44795B">
      <w:pPr>
        <w:pStyle w:val="9"/>
        <w:spacing w:before="11"/>
        <w:ind w:left="0"/>
        <w:jc w:val="left"/>
        <w:rPr>
          <w:rFonts w:hint="eastAsia"/>
          <w:sz w:val="30"/>
          <w:szCs w:val="30"/>
        </w:rPr>
      </w:pPr>
      <w:r>
        <w:rPr>
          <w:rFonts w:hint="eastAsia"/>
          <w:sz w:val="30"/>
          <w:szCs w:val="30"/>
        </w:rPr>
        <w:t>2. 罗伯特·芒斯，《新国际新约注释：启示录》（William Eerdmans Publishing Company, 1977），第42页。</w:t>
      </w:r>
    </w:p>
    <w:p w14:paraId="2929A64A">
      <w:pPr>
        <w:pStyle w:val="9"/>
        <w:spacing w:before="11"/>
        <w:ind w:left="0"/>
        <w:jc w:val="left"/>
        <w:rPr>
          <w:rFonts w:hint="eastAsia"/>
          <w:sz w:val="30"/>
          <w:szCs w:val="30"/>
        </w:rPr>
      </w:pPr>
    </w:p>
    <w:p w14:paraId="6839A63C">
      <w:pPr>
        <w:pStyle w:val="9"/>
        <w:spacing w:before="11"/>
        <w:ind w:left="0"/>
        <w:jc w:val="left"/>
        <w:rPr>
          <w:rFonts w:hint="eastAsia"/>
          <w:sz w:val="30"/>
          <w:szCs w:val="30"/>
        </w:rPr>
      </w:pPr>
      <w:r>
        <w:rPr>
          <w:rFonts w:hint="eastAsia"/>
          <w:sz w:val="30"/>
          <w:szCs w:val="30"/>
        </w:rPr>
        <w:t>Appendix 6: Old Testament Kingdom Prophecies Listed</w:t>
      </w:r>
    </w:p>
    <w:p w14:paraId="53713D16">
      <w:pPr>
        <w:pStyle w:val="9"/>
        <w:spacing w:before="11"/>
        <w:ind w:left="0"/>
        <w:jc w:val="left"/>
        <w:rPr>
          <w:rFonts w:hint="eastAsia"/>
          <w:sz w:val="30"/>
          <w:szCs w:val="30"/>
        </w:rPr>
      </w:pPr>
      <w:r>
        <w:rPr>
          <w:rFonts w:hint="eastAsia"/>
          <w:sz w:val="30"/>
          <w:szCs w:val="30"/>
        </w:rPr>
        <w:t>附录6：旧约国度预言列表</w:t>
      </w:r>
    </w:p>
    <w:p w14:paraId="387A520C">
      <w:pPr>
        <w:pStyle w:val="9"/>
        <w:spacing w:before="11"/>
        <w:ind w:left="0"/>
        <w:jc w:val="left"/>
        <w:rPr>
          <w:rFonts w:hint="eastAsia"/>
          <w:sz w:val="30"/>
          <w:szCs w:val="30"/>
        </w:rPr>
      </w:pPr>
    </w:p>
    <w:p w14:paraId="4E23E7E0">
      <w:pPr>
        <w:pStyle w:val="9"/>
        <w:spacing w:before="11"/>
        <w:ind w:left="0"/>
        <w:jc w:val="left"/>
        <w:rPr>
          <w:rFonts w:hint="eastAsia"/>
          <w:sz w:val="30"/>
          <w:szCs w:val="30"/>
        </w:rPr>
      </w:pPr>
      <w:r>
        <w:rPr>
          <w:rFonts w:hint="eastAsia"/>
          <w:sz w:val="30"/>
          <w:szCs w:val="30"/>
        </w:rPr>
        <w:t>1. Commentators divide on whether Daniel 11:36-45 is yet another prophecy of the eschatological Antichrist and the Last Battle.</w:t>
      </w:r>
    </w:p>
    <w:p w14:paraId="4C81A4DF">
      <w:pPr>
        <w:pStyle w:val="9"/>
        <w:spacing w:before="11"/>
        <w:ind w:left="0"/>
        <w:jc w:val="left"/>
        <w:rPr>
          <w:rFonts w:hint="eastAsia"/>
          <w:sz w:val="30"/>
          <w:szCs w:val="30"/>
        </w:rPr>
      </w:pPr>
      <w:r>
        <w:rPr>
          <w:rFonts w:hint="eastAsia"/>
          <w:sz w:val="30"/>
          <w:szCs w:val="30"/>
        </w:rPr>
        <w:t>1. 注释家们在但以理书11:36-45是否是又一个关于末世论的敌基督和最后争战的预言上存在分歧。</w:t>
      </w:r>
    </w:p>
    <w:p w14:paraId="635E5D9B">
      <w:pPr>
        <w:pStyle w:val="9"/>
        <w:spacing w:before="11"/>
        <w:ind w:left="0"/>
        <w:jc w:val="left"/>
        <w:rPr>
          <w:rFonts w:hint="eastAsia"/>
          <w:sz w:val="30"/>
          <w:szCs w:val="30"/>
        </w:rPr>
      </w:pPr>
    </w:p>
    <w:p w14:paraId="3E2B3B2D">
      <w:pPr>
        <w:pStyle w:val="9"/>
        <w:spacing w:before="11"/>
        <w:ind w:left="0"/>
        <w:jc w:val="left"/>
        <w:rPr>
          <w:rFonts w:hint="eastAsia"/>
          <w:sz w:val="30"/>
          <w:szCs w:val="30"/>
        </w:rPr>
      </w:pPr>
      <w:r>
        <w:rPr>
          <w:rFonts w:hint="eastAsia"/>
          <w:sz w:val="30"/>
          <w:szCs w:val="30"/>
        </w:rPr>
        <w:t>For a helpful defense of the view that it is, see: Leupold, H.C., Exposition of Daniel (Baker, 1949), pp. 510-549.</w:t>
      </w:r>
    </w:p>
    <w:p w14:paraId="3DC30393">
      <w:pPr>
        <w:pStyle w:val="9"/>
        <w:spacing w:before="11"/>
        <w:ind w:left="0"/>
        <w:jc w:val="left"/>
        <w:rPr>
          <w:rFonts w:hint="eastAsia"/>
          <w:sz w:val="30"/>
          <w:szCs w:val="30"/>
        </w:rPr>
      </w:pPr>
      <w:r>
        <w:rPr>
          <w:rFonts w:hint="eastAsia"/>
          <w:sz w:val="30"/>
          <w:szCs w:val="30"/>
        </w:rPr>
        <w:t>关于支持这一观点的有力辩护，见：洛伊波尔德，H.C.，《但以理书注释》（Baker, 1949），第510-549页。</w:t>
      </w:r>
    </w:p>
    <w:p w14:paraId="2C8437E5">
      <w:pPr>
        <w:pStyle w:val="9"/>
        <w:spacing w:before="11"/>
        <w:ind w:left="0"/>
        <w:jc w:val="left"/>
        <w:rPr>
          <w:rFonts w:hint="eastAsia"/>
          <w:sz w:val="30"/>
          <w:szCs w:val="30"/>
        </w:rPr>
      </w:pPr>
    </w:p>
    <w:p w14:paraId="236E28E4">
      <w:pPr>
        <w:pStyle w:val="9"/>
        <w:spacing w:before="11"/>
        <w:ind w:left="0"/>
        <w:jc w:val="left"/>
        <w:rPr>
          <w:rFonts w:hint="eastAsia"/>
          <w:sz w:val="30"/>
          <w:szCs w:val="30"/>
        </w:rPr>
      </w:pPr>
      <w:r>
        <w:rPr>
          <w:rFonts w:hint="eastAsia"/>
          <w:sz w:val="30"/>
          <w:szCs w:val="30"/>
        </w:rPr>
        <w:t>Appendix 9: Biblical Prophecies of the Last Battle</w:t>
      </w:r>
    </w:p>
    <w:p w14:paraId="708E7F6B">
      <w:pPr>
        <w:pStyle w:val="9"/>
        <w:spacing w:before="11"/>
        <w:ind w:left="0"/>
        <w:jc w:val="left"/>
        <w:rPr>
          <w:rFonts w:hint="eastAsia"/>
          <w:sz w:val="30"/>
          <w:szCs w:val="30"/>
        </w:rPr>
      </w:pPr>
      <w:r>
        <w:rPr>
          <w:rFonts w:hint="eastAsia"/>
          <w:sz w:val="30"/>
          <w:szCs w:val="30"/>
        </w:rPr>
        <w:t>附录9：圣经中关于最后争战的预言</w:t>
      </w:r>
    </w:p>
    <w:p w14:paraId="617976BF">
      <w:pPr>
        <w:pStyle w:val="9"/>
        <w:spacing w:before="11"/>
        <w:ind w:left="0"/>
        <w:jc w:val="left"/>
        <w:rPr>
          <w:rFonts w:hint="eastAsia"/>
          <w:sz w:val="30"/>
          <w:szCs w:val="30"/>
        </w:rPr>
      </w:pPr>
    </w:p>
    <w:p w14:paraId="709DAF32">
      <w:pPr>
        <w:pStyle w:val="9"/>
        <w:spacing w:before="11"/>
        <w:ind w:left="0"/>
        <w:jc w:val="left"/>
        <w:rPr>
          <w:rFonts w:hint="eastAsia"/>
          <w:sz w:val="30"/>
          <w:szCs w:val="30"/>
        </w:rPr>
      </w:pPr>
      <w:r>
        <w:rPr>
          <w:rFonts w:hint="eastAsia"/>
          <w:sz w:val="30"/>
          <w:szCs w:val="30"/>
        </w:rPr>
        <w:t>1.See end note 1 under Appendix 6.</w:t>
      </w:r>
    </w:p>
    <w:p w14:paraId="41592603">
      <w:pPr>
        <w:pStyle w:val="9"/>
        <w:spacing w:before="11"/>
        <w:ind w:left="0"/>
        <w:jc w:val="left"/>
        <w:rPr>
          <w:sz w:val="30"/>
          <w:szCs w:val="30"/>
        </w:rPr>
      </w:pPr>
      <w:r>
        <w:rPr>
          <w:rFonts w:hint="eastAsia"/>
          <w:sz w:val="30"/>
          <w:szCs w:val="30"/>
        </w:rPr>
        <w:t>1.见附录6下的尾注1。</w:t>
      </w:r>
    </w:p>
    <w:p w14:paraId="7D9E0CD2">
      <w:pPr>
        <w:pStyle w:val="15"/>
        <w:spacing w:after="0" w:line="240" w:lineRule="auto"/>
        <w:jc w:val="left"/>
        <w:rPr>
          <w:sz w:val="30"/>
        </w:rPr>
      </w:pPr>
    </w:p>
    <w:p w14:paraId="58C001FB">
      <w:pPr>
        <w:pStyle w:val="15"/>
        <w:spacing w:after="0" w:line="240" w:lineRule="auto"/>
        <w:jc w:val="left"/>
        <w:rPr>
          <w:sz w:val="30"/>
        </w:rPr>
      </w:pPr>
    </w:p>
    <w:p w14:paraId="04C31C60">
      <w:pPr>
        <w:pStyle w:val="15"/>
        <w:spacing w:after="0" w:line="240" w:lineRule="auto"/>
        <w:jc w:val="left"/>
        <w:rPr>
          <w:sz w:val="30"/>
        </w:rPr>
      </w:pPr>
    </w:p>
    <w:p w14:paraId="09C0C906">
      <w:pPr>
        <w:pStyle w:val="15"/>
        <w:spacing w:after="0" w:line="240" w:lineRule="auto"/>
        <w:jc w:val="left"/>
      </w:pPr>
      <w:r>
        <w:drawing>
          <wp:inline distT="0" distB="0" distL="114300" distR="114300">
            <wp:extent cx="5362575" cy="5905500"/>
            <wp:effectExtent l="0" t="0" r="1905" b="7620"/>
            <wp:docPr id="4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2"/>
                    <pic:cNvPicPr>
                      <a:picLocks noChangeAspect="1"/>
                    </pic:cNvPicPr>
                  </pic:nvPicPr>
                  <pic:blipFill>
                    <a:blip r:embed="rId54"/>
                    <a:stretch>
                      <a:fillRect/>
                    </a:stretch>
                  </pic:blipFill>
                  <pic:spPr>
                    <a:xfrm>
                      <a:off x="0" y="0"/>
                      <a:ext cx="5362575" cy="5905500"/>
                    </a:xfrm>
                    <a:prstGeom prst="rect">
                      <a:avLst/>
                    </a:prstGeom>
                    <a:noFill/>
                    <a:ln>
                      <a:noFill/>
                    </a:ln>
                  </pic:spPr>
                </pic:pic>
              </a:graphicData>
            </a:graphic>
          </wp:inline>
        </w:drawing>
      </w:r>
    </w:p>
    <w:p w14:paraId="4654400D">
      <w:pPr>
        <w:pStyle w:val="15"/>
        <w:spacing w:after="0" w:line="240" w:lineRule="auto"/>
        <w:jc w:val="left"/>
        <w:sectPr>
          <w:pgSz w:w="12240" w:h="15840"/>
          <w:pgMar w:top="1380" w:right="1440" w:bottom="280" w:left="1440" w:header="720" w:footer="720" w:gutter="0"/>
          <w:cols w:space="720" w:num="1"/>
        </w:sectPr>
      </w:pPr>
      <w:r>
        <w:drawing>
          <wp:inline distT="0" distB="0" distL="114300" distR="114300">
            <wp:extent cx="1581150" cy="1952625"/>
            <wp:effectExtent l="0" t="0" r="3810" b="13335"/>
            <wp:docPr id="4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0"/>
                    <pic:cNvPicPr>
                      <a:picLocks noChangeAspect="1"/>
                    </pic:cNvPicPr>
                  </pic:nvPicPr>
                  <pic:blipFill>
                    <a:blip r:embed="rId55"/>
                    <a:stretch>
                      <a:fillRect/>
                    </a:stretch>
                  </pic:blipFill>
                  <pic:spPr>
                    <a:xfrm>
                      <a:off x="0" y="0"/>
                      <a:ext cx="1581150" cy="1952625"/>
                    </a:xfrm>
                    <a:prstGeom prst="rect">
                      <a:avLst/>
                    </a:prstGeom>
                    <a:noFill/>
                    <a:ln>
                      <a:noFill/>
                    </a:ln>
                  </pic:spPr>
                </pic:pic>
              </a:graphicData>
            </a:graphic>
          </wp:inline>
        </w:drawing>
      </w:r>
    </w:p>
    <w:p w14:paraId="1D9AD377">
      <w:pPr>
        <w:pStyle w:val="3"/>
        <w:spacing w:before="216"/>
        <w:ind w:right="2"/>
      </w:pPr>
      <w:bookmarkStart w:id="81" w:name="Subject Index"/>
      <w:bookmarkEnd w:id="81"/>
      <w:bookmarkStart w:id="82" w:name="_bookmark369"/>
      <w:bookmarkEnd w:id="82"/>
      <w:r>
        <w:rPr>
          <w:color w:val="231F20"/>
        </w:rPr>
        <w:t>Subject</w:t>
      </w:r>
      <w:r>
        <w:rPr>
          <w:color w:val="231F20"/>
          <w:spacing w:val="-7"/>
        </w:rPr>
        <w:t xml:space="preserve"> </w:t>
      </w:r>
      <w:r>
        <w:rPr>
          <w:color w:val="231F20"/>
          <w:spacing w:val="-2"/>
        </w:rPr>
        <w:t>Index</w:t>
      </w:r>
    </w:p>
    <w:p w14:paraId="4F5E21A1">
      <w:pPr>
        <w:pStyle w:val="9"/>
        <w:spacing w:before="0"/>
        <w:ind w:left="0"/>
        <w:jc w:val="left"/>
        <w:rPr>
          <w:sz w:val="17"/>
        </w:rPr>
      </w:pPr>
      <w:r>
        <w:rPr>
          <w:sz w:val="17"/>
        </w:rPr>
        <w:drawing>
          <wp:anchor distT="0" distB="0" distL="0" distR="0" simplePos="0" relativeHeight="251671552" behindDoc="1" locked="0" layoutInCell="1" allowOverlap="1">
            <wp:simplePos x="0" y="0"/>
            <wp:positionH relativeFrom="page">
              <wp:posOffset>3056890</wp:posOffset>
            </wp:positionH>
            <wp:positionV relativeFrom="paragraph">
              <wp:posOffset>139700</wp:posOffset>
            </wp:positionV>
            <wp:extent cx="1675765" cy="137795"/>
            <wp:effectExtent l="0" t="0" r="0" b="0"/>
            <wp:wrapTopAndBottom/>
            <wp:docPr id="140" name="Image 140"/>
            <wp:cNvGraphicFramePr/>
            <a:graphic xmlns:a="http://schemas.openxmlformats.org/drawingml/2006/main">
              <a:graphicData uri="http://schemas.openxmlformats.org/drawingml/2006/picture">
                <pic:pic xmlns:pic="http://schemas.openxmlformats.org/drawingml/2006/picture">
                  <pic:nvPicPr>
                    <pic:cNvPr id="140" name="Image 140"/>
                    <pic:cNvPicPr/>
                  </pic:nvPicPr>
                  <pic:blipFill>
                    <a:blip r:embed="rId56" cstate="print"/>
                    <a:stretch>
                      <a:fillRect/>
                    </a:stretch>
                  </pic:blipFill>
                  <pic:spPr>
                    <a:xfrm>
                      <a:off x="0" y="0"/>
                      <a:ext cx="1675765" cy="138112"/>
                    </a:xfrm>
                    <a:prstGeom prst="rect">
                      <a:avLst/>
                    </a:prstGeom>
                  </pic:spPr>
                </pic:pic>
              </a:graphicData>
            </a:graphic>
          </wp:anchor>
        </w:drawing>
      </w:r>
    </w:p>
    <w:p w14:paraId="04FD81DA">
      <w:pPr>
        <w:pStyle w:val="9"/>
        <w:spacing w:before="0"/>
        <w:ind w:left="0"/>
        <w:jc w:val="left"/>
        <w:rPr>
          <w:sz w:val="20"/>
        </w:rPr>
      </w:pPr>
    </w:p>
    <w:p w14:paraId="69AEAE29">
      <w:pPr>
        <w:pStyle w:val="9"/>
        <w:spacing w:before="53"/>
        <w:ind w:left="0"/>
        <w:jc w:val="left"/>
        <w:rPr>
          <w:sz w:val="20"/>
        </w:rPr>
      </w:pPr>
    </w:p>
    <w:p w14:paraId="5C2F6B8A">
      <w:pPr>
        <w:pStyle w:val="9"/>
        <w:spacing w:after="0"/>
        <w:jc w:val="left"/>
        <w:rPr>
          <w:sz w:val="20"/>
        </w:rPr>
        <w:sectPr>
          <w:pgSz w:w="12240" w:h="15840"/>
          <w:pgMar w:top="1820" w:right="1440" w:bottom="280" w:left="1440" w:header="720" w:footer="720" w:gutter="0"/>
          <w:cols w:space="720" w:num="1"/>
        </w:sectPr>
      </w:pPr>
    </w:p>
    <w:p w14:paraId="5A04D429">
      <w:pPr>
        <w:pStyle w:val="9"/>
        <w:spacing w:before="0"/>
        <w:ind w:left="0"/>
        <w:jc w:val="left"/>
        <w:rPr>
          <w:sz w:val="22"/>
        </w:rPr>
      </w:pPr>
    </w:p>
    <w:p w14:paraId="473D7FD5">
      <w:pPr>
        <w:pStyle w:val="9"/>
        <w:spacing w:before="154"/>
        <w:ind w:left="0"/>
        <w:jc w:val="left"/>
        <w:rPr>
          <w:sz w:val="22"/>
        </w:rPr>
      </w:pPr>
    </w:p>
    <w:p w14:paraId="209FD660">
      <w:pPr>
        <w:spacing w:before="0" w:line="384" w:lineRule="auto"/>
        <w:ind w:left="99" w:right="344" w:firstLine="0"/>
        <w:jc w:val="left"/>
        <w:rPr>
          <w:sz w:val="22"/>
        </w:rPr>
      </w:pPr>
      <w:r>
        <w:rPr>
          <w:sz w:val="22"/>
        </w:rPr>
        <w:t>COG=Covenant of Grace COR=Covenant of Redemption COW=Covenant of Works DNT=Didactic New Testament EC=Eternal Covenant GETD=Great end time Debate NC=New Covenant</w:t>
      </w:r>
    </w:p>
    <w:p w14:paraId="77D6530A">
      <w:pPr>
        <w:spacing w:before="2" w:line="384" w:lineRule="auto"/>
        <w:ind w:left="99" w:right="95" w:firstLine="0"/>
        <w:jc w:val="left"/>
        <w:rPr>
          <w:sz w:val="22"/>
        </w:rPr>
      </w:pPr>
      <w:r>
        <w:rPr>
          <w:sz w:val="22"/>
        </w:rPr>
        <w:t>NCH=New Covenant Hermeneutic NT = New Testament</w:t>
      </w:r>
    </w:p>
    <w:p w14:paraId="79456113">
      <w:pPr>
        <w:spacing w:before="0" w:line="384" w:lineRule="auto"/>
        <w:ind w:left="99" w:right="1530" w:firstLine="0"/>
        <w:jc w:val="left"/>
        <w:rPr>
          <w:sz w:val="22"/>
        </w:rPr>
      </w:pPr>
      <w:r>
        <w:rPr>
          <w:sz w:val="22"/>
        </w:rPr>
        <w:t>OC=Old Covenant OT</w:t>
      </w:r>
      <w:r>
        <w:rPr>
          <w:spacing w:val="-4"/>
          <w:sz w:val="22"/>
        </w:rPr>
        <w:t xml:space="preserve"> </w:t>
      </w:r>
      <w:r>
        <w:rPr>
          <w:sz w:val="22"/>
        </w:rPr>
        <w:t>=</w:t>
      </w:r>
      <w:r>
        <w:rPr>
          <w:spacing w:val="-4"/>
          <w:sz w:val="22"/>
        </w:rPr>
        <w:t xml:space="preserve"> </w:t>
      </w:r>
      <w:r>
        <w:rPr>
          <w:sz w:val="22"/>
        </w:rPr>
        <w:t>Old</w:t>
      </w:r>
      <w:r>
        <w:rPr>
          <w:spacing w:val="-4"/>
          <w:sz w:val="22"/>
        </w:rPr>
        <w:t xml:space="preserve"> </w:t>
      </w:r>
      <w:r>
        <w:rPr>
          <w:sz w:val="22"/>
        </w:rPr>
        <w:t>Testament</w:t>
      </w:r>
    </w:p>
    <w:p w14:paraId="7D5EE95E">
      <w:pPr>
        <w:spacing w:before="1" w:line="384" w:lineRule="auto"/>
        <w:ind w:left="99" w:right="344" w:firstLine="0"/>
        <w:jc w:val="left"/>
        <w:rPr>
          <w:sz w:val="22"/>
        </w:rPr>
      </w:pPr>
      <w:r>
        <w:rPr>
          <w:sz w:val="22"/>
        </w:rPr>
        <w:t>OTKP=OT Kingdom Prophecy URD=Upper Room Discourse WTC=World to Come</w:t>
      </w:r>
    </w:p>
    <w:p w14:paraId="21F68948">
      <w:pPr>
        <w:pStyle w:val="9"/>
        <w:spacing w:before="0"/>
        <w:ind w:left="0"/>
        <w:jc w:val="left"/>
        <w:rPr>
          <w:sz w:val="22"/>
        </w:rPr>
      </w:pPr>
    </w:p>
    <w:p w14:paraId="20D1AAB9">
      <w:pPr>
        <w:pStyle w:val="9"/>
        <w:spacing w:before="124"/>
        <w:ind w:left="0"/>
        <w:jc w:val="left"/>
        <w:rPr>
          <w:sz w:val="22"/>
        </w:rPr>
      </w:pPr>
    </w:p>
    <w:p w14:paraId="58038C86">
      <w:pPr>
        <w:spacing w:before="1"/>
        <w:ind w:left="99" w:right="0" w:firstLine="0"/>
        <w:jc w:val="left"/>
        <w:rPr>
          <w:sz w:val="22"/>
        </w:rPr>
      </w:pPr>
      <w:r>
        <w:rPr>
          <w:sz w:val="22"/>
        </w:rPr>
        <w:t>2:</w:t>
      </w:r>
      <w:r>
        <w:rPr>
          <w:spacing w:val="5"/>
          <w:sz w:val="22"/>
        </w:rPr>
        <w:t xml:space="preserve"> </w:t>
      </w:r>
      <w:r>
        <w:rPr>
          <w:sz w:val="22"/>
        </w:rPr>
        <w:t>witnesses</w:t>
      </w:r>
      <w:r>
        <w:rPr>
          <w:spacing w:val="5"/>
          <w:sz w:val="22"/>
        </w:rPr>
        <w:t xml:space="preserve"> </w:t>
      </w:r>
      <w:r>
        <w:rPr>
          <w:sz w:val="22"/>
        </w:rPr>
        <w:t>of</w:t>
      </w:r>
      <w:r>
        <w:rPr>
          <w:spacing w:val="5"/>
          <w:sz w:val="22"/>
        </w:rPr>
        <w:t xml:space="preserve"> </w:t>
      </w:r>
      <w:r>
        <w:rPr>
          <w:sz w:val="22"/>
        </w:rPr>
        <w:t>Rev.</w:t>
      </w:r>
      <w:r>
        <w:rPr>
          <w:spacing w:val="5"/>
          <w:sz w:val="22"/>
        </w:rPr>
        <w:t xml:space="preserve"> </w:t>
      </w:r>
      <w:r>
        <w:rPr>
          <w:sz w:val="22"/>
        </w:rPr>
        <w:t>11,</w:t>
      </w:r>
      <w:r>
        <w:rPr>
          <w:spacing w:val="5"/>
          <w:sz w:val="22"/>
        </w:rPr>
        <w:t xml:space="preserve"> </w:t>
      </w:r>
      <w:r>
        <w:rPr>
          <w:sz w:val="22"/>
        </w:rPr>
        <w:t>422,</w:t>
      </w:r>
      <w:r>
        <w:rPr>
          <w:spacing w:val="5"/>
          <w:sz w:val="22"/>
        </w:rPr>
        <w:t xml:space="preserve"> </w:t>
      </w:r>
      <w:r>
        <w:rPr>
          <w:sz w:val="22"/>
        </w:rPr>
        <w:t>430,</w:t>
      </w:r>
      <w:r>
        <w:rPr>
          <w:spacing w:val="6"/>
          <w:sz w:val="22"/>
        </w:rPr>
        <w:t xml:space="preserve"> </w:t>
      </w:r>
      <w:r>
        <w:rPr>
          <w:spacing w:val="-5"/>
          <w:sz w:val="22"/>
        </w:rPr>
        <w:t>447</w:t>
      </w:r>
    </w:p>
    <w:p w14:paraId="2B5B3CC2">
      <w:pPr>
        <w:spacing w:before="152"/>
        <w:ind w:left="99" w:right="0" w:firstLine="0"/>
        <w:jc w:val="left"/>
        <w:rPr>
          <w:sz w:val="22"/>
        </w:rPr>
      </w:pPr>
      <w:r>
        <w:rPr>
          <w:sz w:val="22"/>
        </w:rPr>
        <w:t>3:</w:t>
      </w:r>
      <w:r>
        <w:rPr>
          <w:spacing w:val="7"/>
          <w:sz w:val="22"/>
        </w:rPr>
        <w:t xml:space="preserve"> </w:t>
      </w:r>
      <w:r>
        <w:rPr>
          <w:sz w:val="22"/>
        </w:rPr>
        <w:t>horns</w:t>
      </w:r>
      <w:r>
        <w:rPr>
          <w:spacing w:val="7"/>
          <w:sz w:val="22"/>
        </w:rPr>
        <w:t xml:space="preserve"> </w:t>
      </w:r>
      <w:r>
        <w:rPr>
          <w:sz w:val="22"/>
        </w:rPr>
        <w:t>of</w:t>
      </w:r>
      <w:r>
        <w:rPr>
          <w:spacing w:val="8"/>
          <w:sz w:val="22"/>
        </w:rPr>
        <w:t xml:space="preserve"> </w:t>
      </w:r>
      <w:r>
        <w:rPr>
          <w:sz w:val="22"/>
        </w:rPr>
        <w:t>Daniel</w:t>
      </w:r>
      <w:r>
        <w:rPr>
          <w:spacing w:val="7"/>
          <w:sz w:val="22"/>
        </w:rPr>
        <w:t xml:space="preserve"> </w:t>
      </w:r>
      <w:r>
        <w:rPr>
          <w:sz w:val="22"/>
        </w:rPr>
        <w:t>7,</w:t>
      </w:r>
      <w:r>
        <w:rPr>
          <w:spacing w:val="7"/>
          <w:sz w:val="22"/>
        </w:rPr>
        <w:t xml:space="preserve"> </w:t>
      </w:r>
      <w:r>
        <w:rPr>
          <w:spacing w:val="-4"/>
          <w:sz w:val="22"/>
        </w:rPr>
        <w:t>363;</w:t>
      </w:r>
    </w:p>
    <w:p w14:paraId="2CAE4141">
      <w:pPr>
        <w:spacing w:before="152"/>
        <w:ind w:left="99" w:right="0" w:firstLine="0"/>
        <w:jc w:val="left"/>
        <w:rPr>
          <w:sz w:val="22"/>
        </w:rPr>
      </w:pPr>
      <w:r>
        <w:rPr>
          <w:sz w:val="22"/>
        </w:rPr>
        <w:t>helpers</w:t>
      </w:r>
      <w:r>
        <w:rPr>
          <w:spacing w:val="9"/>
          <w:sz w:val="22"/>
        </w:rPr>
        <w:t xml:space="preserve"> </w:t>
      </w:r>
      <w:r>
        <w:rPr>
          <w:sz w:val="22"/>
        </w:rPr>
        <w:t>of</w:t>
      </w:r>
      <w:r>
        <w:rPr>
          <w:spacing w:val="10"/>
          <w:sz w:val="22"/>
        </w:rPr>
        <w:t xml:space="preserve"> </w:t>
      </w:r>
      <w:r>
        <w:rPr>
          <w:sz w:val="22"/>
        </w:rPr>
        <w:t>the</w:t>
      </w:r>
      <w:r>
        <w:rPr>
          <w:spacing w:val="10"/>
          <w:sz w:val="22"/>
        </w:rPr>
        <w:t xml:space="preserve"> </w:t>
      </w:r>
      <w:r>
        <w:rPr>
          <w:sz w:val="22"/>
        </w:rPr>
        <w:t>Dragon,</w:t>
      </w:r>
      <w:r>
        <w:rPr>
          <w:spacing w:val="10"/>
          <w:sz w:val="22"/>
        </w:rPr>
        <w:t xml:space="preserve"> </w:t>
      </w:r>
      <w:r>
        <w:rPr>
          <w:sz w:val="22"/>
        </w:rPr>
        <w:t>414,</w:t>
      </w:r>
      <w:r>
        <w:rPr>
          <w:spacing w:val="9"/>
          <w:sz w:val="22"/>
        </w:rPr>
        <w:t xml:space="preserve"> </w:t>
      </w:r>
      <w:r>
        <w:rPr>
          <w:spacing w:val="-4"/>
          <w:sz w:val="22"/>
        </w:rPr>
        <w:t>462;</w:t>
      </w:r>
    </w:p>
    <w:p w14:paraId="0F1CE3D0">
      <w:pPr>
        <w:spacing w:before="152"/>
        <w:ind w:left="99" w:right="0" w:firstLine="0"/>
        <w:jc w:val="left"/>
        <w:rPr>
          <w:sz w:val="22"/>
        </w:rPr>
      </w:pPr>
      <w:r>
        <w:rPr>
          <w:sz w:val="22"/>
        </w:rPr>
        <w:t>final</w:t>
      </w:r>
      <w:r>
        <w:rPr>
          <w:spacing w:val="10"/>
          <w:sz w:val="22"/>
        </w:rPr>
        <w:t xml:space="preserve"> </w:t>
      </w:r>
      <w:r>
        <w:rPr>
          <w:sz w:val="22"/>
        </w:rPr>
        <w:t>woes,</w:t>
      </w:r>
      <w:r>
        <w:rPr>
          <w:spacing w:val="10"/>
          <w:sz w:val="22"/>
        </w:rPr>
        <w:t xml:space="preserve"> </w:t>
      </w:r>
      <w:r>
        <w:rPr>
          <w:spacing w:val="-5"/>
          <w:sz w:val="22"/>
        </w:rPr>
        <w:t>445</w:t>
      </w:r>
    </w:p>
    <w:p w14:paraId="02AEE7DD">
      <w:pPr>
        <w:spacing w:before="152"/>
        <w:ind w:left="99" w:right="0" w:firstLine="0"/>
        <w:jc w:val="left"/>
        <w:rPr>
          <w:sz w:val="22"/>
        </w:rPr>
      </w:pPr>
      <w:r>
        <w:rPr>
          <w:sz w:val="22"/>
        </w:rPr>
        <w:t>4:</w:t>
      </w:r>
      <w:r>
        <w:rPr>
          <w:spacing w:val="7"/>
          <w:sz w:val="22"/>
        </w:rPr>
        <w:t xml:space="preserve"> </w:t>
      </w:r>
      <w:r>
        <w:rPr>
          <w:sz w:val="22"/>
        </w:rPr>
        <w:t>443,</w:t>
      </w:r>
      <w:r>
        <w:rPr>
          <w:spacing w:val="8"/>
          <w:sz w:val="22"/>
        </w:rPr>
        <w:t xml:space="preserve"> </w:t>
      </w:r>
      <w:r>
        <w:rPr>
          <w:sz w:val="22"/>
        </w:rPr>
        <w:t>451,</w:t>
      </w:r>
      <w:r>
        <w:rPr>
          <w:spacing w:val="8"/>
          <w:sz w:val="22"/>
        </w:rPr>
        <w:t xml:space="preserve"> </w:t>
      </w:r>
      <w:r>
        <w:rPr>
          <w:sz w:val="22"/>
        </w:rPr>
        <w:t>453,</w:t>
      </w:r>
      <w:r>
        <w:rPr>
          <w:spacing w:val="8"/>
          <w:sz w:val="22"/>
        </w:rPr>
        <w:t xml:space="preserve"> </w:t>
      </w:r>
      <w:r>
        <w:rPr>
          <w:sz w:val="22"/>
        </w:rPr>
        <w:t>461,</w:t>
      </w:r>
      <w:r>
        <w:rPr>
          <w:spacing w:val="8"/>
          <w:sz w:val="22"/>
        </w:rPr>
        <w:t xml:space="preserve"> </w:t>
      </w:r>
      <w:r>
        <w:rPr>
          <w:spacing w:val="-5"/>
          <w:sz w:val="22"/>
        </w:rPr>
        <w:t>487</w:t>
      </w:r>
    </w:p>
    <w:p w14:paraId="693CDB9F">
      <w:pPr>
        <w:spacing w:before="152"/>
        <w:ind w:left="99" w:right="0" w:firstLine="0"/>
        <w:jc w:val="left"/>
        <w:rPr>
          <w:sz w:val="22"/>
        </w:rPr>
      </w:pPr>
      <w:r>
        <w:rPr>
          <w:sz w:val="22"/>
        </w:rPr>
        <w:t>6:</w:t>
      </w:r>
      <w:r>
        <w:rPr>
          <w:spacing w:val="7"/>
          <w:sz w:val="22"/>
        </w:rPr>
        <w:t xml:space="preserve"> </w:t>
      </w:r>
      <w:r>
        <w:rPr>
          <w:sz w:val="22"/>
        </w:rPr>
        <w:t>seals,</w:t>
      </w:r>
      <w:r>
        <w:rPr>
          <w:spacing w:val="7"/>
          <w:sz w:val="22"/>
        </w:rPr>
        <w:t xml:space="preserve"> </w:t>
      </w:r>
      <w:r>
        <w:rPr>
          <w:sz w:val="22"/>
        </w:rPr>
        <w:t>5,</w:t>
      </w:r>
      <w:r>
        <w:rPr>
          <w:spacing w:val="7"/>
          <w:sz w:val="22"/>
        </w:rPr>
        <w:t xml:space="preserve"> </w:t>
      </w:r>
      <w:r>
        <w:rPr>
          <w:sz w:val="22"/>
        </w:rPr>
        <w:t>171,</w:t>
      </w:r>
      <w:r>
        <w:rPr>
          <w:spacing w:val="7"/>
          <w:sz w:val="22"/>
        </w:rPr>
        <w:t xml:space="preserve"> </w:t>
      </w:r>
      <w:r>
        <w:rPr>
          <w:spacing w:val="-5"/>
          <w:sz w:val="22"/>
        </w:rPr>
        <w:t>442</w:t>
      </w:r>
    </w:p>
    <w:p w14:paraId="503431BD">
      <w:pPr>
        <w:spacing w:before="152"/>
        <w:ind w:left="99" w:right="0" w:firstLine="0"/>
        <w:jc w:val="left"/>
        <w:rPr>
          <w:sz w:val="22"/>
        </w:rPr>
      </w:pPr>
      <w:r>
        <w:rPr>
          <w:sz w:val="22"/>
        </w:rPr>
        <w:t>7:</w:t>
      </w:r>
      <w:r>
        <w:rPr>
          <w:spacing w:val="9"/>
          <w:sz w:val="22"/>
        </w:rPr>
        <w:t xml:space="preserve"> </w:t>
      </w:r>
      <w:r>
        <w:rPr>
          <w:sz w:val="22"/>
        </w:rPr>
        <w:t>messages</w:t>
      </w:r>
      <w:r>
        <w:rPr>
          <w:spacing w:val="9"/>
          <w:sz w:val="22"/>
        </w:rPr>
        <w:t xml:space="preserve"> </w:t>
      </w:r>
      <w:r>
        <w:rPr>
          <w:sz w:val="22"/>
        </w:rPr>
        <w:t>to</w:t>
      </w:r>
      <w:r>
        <w:rPr>
          <w:spacing w:val="10"/>
          <w:sz w:val="22"/>
        </w:rPr>
        <w:t xml:space="preserve"> </w:t>
      </w:r>
      <w:r>
        <w:rPr>
          <w:sz w:val="22"/>
        </w:rPr>
        <w:t>the</w:t>
      </w:r>
      <w:r>
        <w:rPr>
          <w:spacing w:val="9"/>
          <w:sz w:val="22"/>
        </w:rPr>
        <w:t xml:space="preserve"> </w:t>
      </w:r>
      <w:r>
        <w:rPr>
          <w:sz w:val="22"/>
        </w:rPr>
        <w:t>Church,</w:t>
      </w:r>
      <w:r>
        <w:rPr>
          <w:spacing w:val="10"/>
          <w:sz w:val="22"/>
        </w:rPr>
        <w:t xml:space="preserve"> </w:t>
      </w:r>
      <w:r>
        <w:rPr>
          <w:sz w:val="22"/>
        </w:rPr>
        <w:t>432,</w:t>
      </w:r>
      <w:r>
        <w:rPr>
          <w:spacing w:val="9"/>
          <w:sz w:val="22"/>
        </w:rPr>
        <w:t xml:space="preserve"> </w:t>
      </w:r>
      <w:r>
        <w:rPr>
          <w:spacing w:val="-4"/>
          <w:sz w:val="22"/>
        </w:rPr>
        <w:t>439;</w:t>
      </w:r>
    </w:p>
    <w:p w14:paraId="78CD1412">
      <w:pPr>
        <w:spacing w:before="152"/>
        <w:ind w:left="99" w:right="0" w:firstLine="0"/>
        <w:jc w:val="left"/>
        <w:rPr>
          <w:sz w:val="22"/>
        </w:rPr>
      </w:pPr>
      <w:r>
        <w:rPr>
          <w:sz w:val="22"/>
        </w:rPr>
        <w:t>trumpet</w:t>
      </w:r>
      <w:r>
        <w:rPr>
          <w:spacing w:val="17"/>
          <w:sz w:val="22"/>
        </w:rPr>
        <w:t xml:space="preserve"> </w:t>
      </w:r>
      <w:r>
        <w:rPr>
          <w:sz w:val="22"/>
        </w:rPr>
        <w:t>judgments,</w:t>
      </w:r>
      <w:r>
        <w:rPr>
          <w:spacing w:val="18"/>
          <w:sz w:val="22"/>
        </w:rPr>
        <w:t xml:space="preserve"> </w:t>
      </w:r>
      <w:r>
        <w:rPr>
          <w:spacing w:val="-4"/>
          <w:sz w:val="22"/>
        </w:rPr>
        <w:t>444;</w:t>
      </w:r>
    </w:p>
    <w:p w14:paraId="03018A23">
      <w:pPr>
        <w:spacing w:before="152"/>
        <w:ind w:left="99" w:right="0" w:firstLine="0"/>
        <w:jc w:val="left"/>
        <w:rPr>
          <w:sz w:val="22"/>
        </w:rPr>
      </w:pPr>
      <w:r>
        <w:rPr>
          <w:sz w:val="22"/>
        </w:rPr>
        <w:t>bowl</w:t>
      </w:r>
      <w:r>
        <w:rPr>
          <w:spacing w:val="15"/>
          <w:sz w:val="22"/>
        </w:rPr>
        <w:t xml:space="preserve"> </w:t>
      </w:r>
      <w:r>
        <w:rPr>
          <w:sz w:val="22"/>
        </w:rPr>
        <w:t>judgments,</w:t>
      </w:r>
      <w:r>
        <w:rPr>
          <w:spacing w:val="15"/>
          <w:sz w:val="22"/>
        </w:rPr>
        <w:t xml:space="preserve"> </w:t>
      </w:r>
      <w:r>
        <w:rPr>
          <w:spacing w:val="-5"/>
          <w:sz w:val="22"/>
        </w:rPr>
        <w:t>454</w:t>
      </w:r>
    </w:p>
    <w:p w14:paraId="0D2952E3">
      <w:pPr>
        <w:spacing w:before="92"/>
        <w:ind w:left="0" w:right="3912" w:firstLine="0"/>
        <w:jc w:val="left"/>
        <w:rPr>
          <w:b/>
          <w:sz w:val="33"/>
        </w:rPr>
      </w:pPr>
      <w:r>
        <w:br w:type="column"/>
      </w:r>
      <w:r>
        <w:rPr>
          <w:b/>
          <w:color w:val="231F20"/>
          <w:spacing w:val="-5"/>
          <w:sz w:val="33"/>
        </w:rPr>
        <w:t>Key</w:t>
      </w:r>
    </w:p>
    <w:p w14:paraId="2EFF4AE1">
      <w:pPr>
        <w:pStyle w:val="9"/>
        <w:spacing w:before="0"/>
        <w:ind w:left="0"/>
        <w:jc w:val="left"/>
        <w:rPr>
          <w:b/>
          <w:sz w:val="33"/>
        </w:rPr>
      </w:pPr>
    </w:p>
    <w:p w14:paraId="71645330">
      <w:pPr>
        <w:pStyle w:val="9"/>
        <w:spacing w:before="0"/>
        <w:ind w:left="0"/>
        <w:jc w:val="left"/>
        <w:rPr>
          <w:b/>
          <w:sz w:val="33"/>
        </w:rPr>
      </w:pPr>
    </w:p>
    <w:p w14:paraId="59D4F0DB">
      <w:pPr>
        <w:pStyle w:val="9"/>
        <w:spacing w:before="0"/>
        <w:ind w:left="0"/>
        <w:jc w:val="left"/>
        <w:rPr>
          <w:b/>
          <w:sz w:val="33"/>
        </w:rPr>
      </w:pPr>
    </w:p>
    <w:p w14:paraId="09CD759C">
      <w:pPr>
        <w:pStyle w:val="9"/>
        <w:spacing w:before="0"/>
        <w:ind w:left="0"/>
        <w:jc w:val="left"/>
        <w:rPr>
          <w:b/>
          <w:sz w:val="33"/>
        </w:rPr>
      </w:pPr>
    </w:p>
    <w:p w14:paraId="02C96A9E">
      <w:pPr>
        <w:pStyle w:val="9"/>
        <w:spacing w:before="0"/>
        <w:ind w:left="0"/>
        <w:jc w:val="left"/>
        <w:rPr>
          <w:b/>
          <w:sz w:val="33"/>
        </w:rPr>
      </w:pPr>
    </w:p>
    <w:p w14:paraId="4B223216">
      <w:pPr>
        <w:pStyle w:val="9"/>
        <w:spacing w:before="0"/>
        <w:ind w:left="0"/>
        <w:jc w:val="left"/>
        <w:rPr>
          <w:b/>
          <w:sz w:val="33"/>
        </w:rPr>
      </w:pPr>
    </w:p>
    <w:p w14:paraId="22E1ECA4">
      <w:pPr>
        <w:pStyle w:val="9"/>
        <w:spacing w:before="0"/>
        <w:ind w:left="0"/>
        <w:jc w:val="left"/>
        <w:rPr>
          <w:b/>
          <w:sz w:val="33"/>
        </w:rPr>
      </w:pPr>
    </w:p>
    <w:p w14:paraId="4F8BCFE9">
      <w:pPr>
        <w:pStyle w:val="9"/>
        <w:spacing w:before="0"/>
        <w:ind w:left="0"/>
        <w:jc w:val="left"/>
        <w:rPr>
          <w:b/>
          <w:sz w:val="33"/>
        </w:rPr>
      </w:pPr>
    </w:p>
    <w:p w14:paraId="0C6E03D9">
      <w:pPr>
        <w:pStyle w:val="9"/>
        <w:spacing w:before="0"/>
        <w:ind w:left="0"/>
        <w:jc w:val="left"/>
        <w:rPr>
          <w:b/>
          <w:sz w:val="33"/>
        </w:rPr>
      </w:pPr>
    </w:p>
    <w:p w14:paraId="0770E3FB">
      <w:pPr>
        <w:pStyle w:val="9"/>
        <w:spacing w:before="0"/>
        <w:ind w:left="0"/>
        <w:jc w:val="left"/>
        <w:rPr>
          <w:b/>
          <w:sz w:val="33"/>
        </w:rPr>
      </w:pPr>
    </w:p>
    <w:p w14:paraId="429F7967">
      <w:pPr>
        <w:pStyle w:val="9"/>
        <w:spacing w:before="0"/>
        <w:ind w:left="0"/>
        <w:jc w:val="left"/>
        <w:rPr>
          <w:b/>
          <w:sz w:val="33"/>
        </w:rPr>
      </w:pPr>
    </w:p>
    <w:p w14:paraId="113F5048">
      <w:pPr>
        <w:pStyle w:val="9"/>
        <w:spacing w:before="0"/>
        <w:ind w:left="0"/>
        <w:jc w:val="left"/>
        <w:rPr>
          <w:b/>
          <w:sz w:val="33"/>
        </w:rPr>
      </w:pPr>
    </w:p>
    <w:p w14:paraId="0F942ECC">
      <w:pPr>
        <w:pStyle w:val="9"/>
        <w:spacing w:before="0"/>
        <w:ind w:left="0"/>
        <w:jc w:val="left"/>
        <w:rPr>
          <w:b/>
          <w:sz w:val="33"/>
        </w:rPr>
      </w:pPr>
    </w:p>
    <w:p w14:paraId="7260D7E3">
      <w:pPr>
        <w:pStyle w:val="9"/>
        <w:spacing w:before="0"/>
        <w:ind w:left="0"/>
        <w:jc w:val="left"/>
        <w:rPr>
          <w:b/>
          <w:sz w:val="33"/>
        </w:rPr>
      </w:pPr>
    </w:p>
    <w:p w14:paraId="5E041282">
      <w:pPr>
        <w:pStyle w:val="9"/>
        <w:spacing w:before="229"/>
        <w:ind w:left="0"/>
        <w:jc w:val="left"/>
        <w:rPr>
          <w:b/>
          <w:sz w:val="33"/>
        </w:rPr>
      </w:pPr>
    </w:p>
    <w:p w14:paraId="44E5C255">
      <w:pPr>
        <w:pStyle w:val="9"/>
        <w:spacing w:before="229"/>
        <w:ind w:left="0"/>
        <w:jc w:val="left"/>
        <w:rPr>
          <w:b/>
          <w:sz w:val="33"/>
        </w:rPr>
      </w:pPr>
    </w:p>
    <w:p w14:paraId="50DF5002">
      <w:pPr>
        <w:pStyle w:val="6"/>
        <w:ind w:left="0" w:right="3912"/>
        <w:jc w:val="left"/>
      </w:pPr>
      <w:r>
        <w:rPr>
          <w:color w:val="231F20"/>
          <w:spacing w:val="-2"/>
        </w:rPr>
        <w:t>Numbers</w:t>
      </w:r>
    </w:p>
    <w:p w14:paraId="50CAFB6E">
      <w:pPr>
        <w:pStyle w:val="6"/>
        <w:spacing w:after="0"/>
        <w:jc w:val="left"/>
        <w:sectPr>
          <w:type w:val="continuous"/>
          <w:pgSz w:w="12240" w:h="15840"/>
          <w:pgMar w:top="1820" w:right="1440" w:bottom="280" w:left="1440" w:header="720" w:footer="720" w:gutter="0"/>
          <w:cols w:equalWidth="0" w:num="2">
            <w:col w:w="3561" w:space="354"/>
            <w:col w:w="5445"/>
          </w:cols>
        </w:sectPr>
      </w:pPr>
    </w:p>
    <w:p w14:paraId="66A7F137">
      <w:pPr>
        <w:spacing w:before="69"/>
        <w:ind w:left="99" w:right="0" w:firstLine="0"/>
        <w:jc w:val="left"/>
        <w:rPr>
          <w:sz w:val="22"/>
        </w:rPr>
      </w:pPr>
      <w:r>
        <w:rPr>
          <w:sz w:val="22"/>
        </w:rPr>
        <w:t>10:</w:t>
      </w:r>
      <w:r>
        <w:rPr>
          <w:spacing w:val="6"/>
          <w:sz w:val="22"/>
        </w:rPr>
        <w:t xml:space="preserve"> </w:t>
      </w:r>
      <w:r>
        <w:rPr>
          <w:spacing w:val="-5"/>
          <w:sz w:val="22"/>
        </w:rPr>
        <w:t>473</w:t>
      </w:r>
    </w:p>
    <w:p w14:paraId="0DB3606A">
      <w:pPr>
        <w:spacing w:before="152"/>
        <w:ind w:left="99" w:right="0" w:firstLine="0"/>
        <w:jc w:val="left"/>
        <w:rPr>
          <w:sz w:val="22"/>
        </w:rPr>
      </w:pPr>
      <w:r>
        <w:rPr>
          <w:sz w:val="22"/>
        </w:rPr>
        <w:t>12:</w:t>
      </w:r>
      <w:r>
        <w:rPr>
          <w:spacing w:val="8"/>
          <w:sz w:val="22"/>
        </w:rPr>
        <w:t xml:space="preserve"> </w:t>
      </w:r>
      <w:r>
        <w:rPr>
          <w:sz w:val="22"/>
        </w:rPr>
        <w:t>313,</w:t>
      </w:r>
      <w:r>
        <w:rPr>
          <w:spacing w:val="8"/>
          <w:sz w:val="22"/>
        </w:rPr>
        <w:t xml:space="preserve"> </w:t>
      </w:r>
      <w:r>
        <w:rPr>
          <w:sz w:val="22"/>
        </w:rPr>
        <w:t>349,</w:t>
      </w:r>
      <w:r>
        <w:rPr>
          <w:spacing w:val="8"/>
          <w:sz w:val="22"/>
        </w:rPr>
        <w:t xml:space="preserve"> </w:t>
      </w:r>
      <w:r>
        <w:rPr>
          <w:sz w:val="22"/>
        </w:rPr>
        <w:t>499,</w:t>
      </w:r>
      <w:r>
        <w:rPr>
          <w:spacing w:val="9"/>
          <w:sz w:val="22"/>
        </w:rPr>
        <w:t xml:space="preserve"> </w:t>
      </w:r>
      <w:r>
        <w:rPr>
          <w:sz w:val="22"/>
        </w:rPr>
        <w:t>519,</w:t>
      </w:r>
      <w:r>
        <w:rPr>
          <w:spacing w:val="8"/>
          <w:sz w:val="22"/>
        </w:rPr>
        <w:t xml:space="preserve"> </w:t>
      </w:r>
      <w:r>
        <w:rPr>
          <w:spacing w:val="-5"/>
          <w:sz w:val="22"/>
        </w:rPr>
        <w:t>529</w:t>
      </w:r>
    </w:p>
    <w:p w14:paraId="31589D24">
      <w:pPr>
        <w:spacing w:before="152"/>
        <w:ind w:left="99" w:right="0" w:firstLine="0"/>
        <w:jc w:val="left"/>
        <w:rPr>
          <w:sz w:val="22"/>
        </w:rPr>
      </w:pPr>
      <w:r>
        <w:rPr>
          <w:sz w:val="22"/>
        </w:rPr>
        <w:t>24:</w:t>
      </w:r>
      <w:r>
        <w:rPr>
          <w:spacing w:val="9"/>
          <w:sz w:val="22"/>
        </w:rPr>
        <w:t xml:space="preserve"> </w:t>
      </w:r>
      <w:r>
        <w:rPr>
          <w:sz w:val="22"/>
        </w:rPr>
        <w:t>elders,</w:t>
      </w:r>
      <w:r>
        <w:rPr>
          <w:spacing w:val="10"/>
          <w:sz w:val="22"/>
        </w:rPr>
        <w:t xml:space="preserve"> </w:t>
      </w:r>
      <w:r>
        <w:rPr>
          <w:spacing w:val="-5"/>
          <w:sz w:val="22"/>
        </w:rPr>
        <w:t>437</w:t>
      </w:r>
    </w:p>
    <w:p w14:paraId="4A560C45">
      <w:pPr>
        <w:spacing w:before="152"/>
        <w:ind w:left="99" w:right="0" w:firstLine="0"/>
        <w:jc w:val="left"/>
        <w:rPr>
          <w:sz w:val="22"/>
        </w:rPr>
      </w:pPr>
      <w:r>
        <w:rPr>
          <w:sz w:val="22"/>
        </w:rPr>
        <w:t>42:</w:t>
      </w:r>
      <w:r>
        <w:rPr>
          <w:spacing w:val="10"/>
          <w:sz w:val="22"/>
        </w:rPr>
        <w:t xml:space="preserve"> </w:t>
      </w:r>
      <w:r>
        <w:rPr>
          <w:sz w:val="22"/>
        </w:rPr>
        <w:t>months,</w:t>
      </w:r>
      <w:r>
        <w:rPr>
          <w:spacing w:val="10"/>
          <w:sz w:val="22"/>
        </w:rPr>
        <w:t xml:space="preserve"> </w:t>
      </w:r>
      <w:r>
        <w:rPr>
          <w:sz w:val="22"/>
        </w:rPr>
        <w:t>412,</w:t>
      </w:r>
      <w:r>
        <w:rPr>
          <w:spacing w:val="10"/>
          <w:sz w:val="22"/>
        </w:rPr>
        <w:t xml:space="preserve"> </w:t>
      </w:r>
      <w:r>
        <w:rPr>
          <w:spacing w:val="-5"/>
          <w:sz w:val="22"/>
        </w:rPr>
        <w:t>451</w:t>
      </w:r>
    </w:p>
    <w:p w14:paraId="5578A159">
      <w:pPr>
        <w:spacing w:before="152"/>
        <w:ind w:left="99" w:right="0" w:firstLine="0"/>
        <w:jc w:val="left"/>
        <w:rPr>
          <w:sz w:val="22"/>
        </w:rPr>
      </w:pPr>
      <w:r>
        <w:rPr>
          <w:sz w:val="22"/>
        </w:rPr>
        <w:t>666:</w:t>
      </w:r>
      <w:r>
        <w:rPr>
          <w:spacing w:val="8"/>
          <w:sz w:val="22"/>
        </w:rPr>
        <w:t xml:space="preserve"> </w:t>
      </w:r>
      <w:r>
        <w:rPr>
          <w:spacing w:val="-5"/>
          <w:sz w:val="22"/>
        </w:rPr>
        <w:t>414</w:t>
      </w:r>
    </w:p>
    <w:p w14:paraId="0FCE58E1">
      <w:pPr>
        <w:spacing w:before="152"/>
        <w:ind w:left="99" w:right="0" w:firstLine="0"/>
        <w:jc w:val="left"/>
        <w:rPr>
          <w:sz w:val="22"/>
        </w:rPr>
      </w:pPr>
      <w:r>
        <w:rPr>
          <w:sz w:val="22"/>
        </w:rPr>
        <w:t>1000:</w:t>
      </w:r>
      <w:r>
        <w:rPr>
          <w:spacing w:val="9"/>
          <w:sz w:val="22"/>
        </w:rPr>
        <w:t xml:space="preserve"> </w:t>
      </w:r>
      <w:r>
        <w:rPr>
          <w:sz w:val="22"/>
        </w:rPr>
        <w:t>473,</w:t>
      </w:r>
      <w:r>
        <w:rPr>
          <w:spacing w:val="10"/>
          <w:sz w:val="22"/>
        </w:rPr>
        <w:t xml:space="preserve"> </w:t>
      </w:r>
      <w:r>
        <w:rPr>
          <w:spacing w:val="-5"/>
          <w:sz w:val="22"/>
        </w:rPr>
        <w:t>499</w:t>
      </w:r>
    </w:p>
    <w:p w14:paraId="49B944EA">
      <w:pPr>
        <w:spacing w:before="152"/>
        <w:ind w:left="99" w:right="0" w:firstLine="0"/>
        <w:jc w:val="left"/>
        <w:rPr>
          <w:sz w:val="22"/>
        </w:rPr>
      </w:pPr>
      <w:r>
        <w:rPr>
          <w:sz w:val="22"/>
        </w:rPr>
        <w:t>1260:</w:t>
      </w:r>
      <w:r>
        <w:rPr>
          <w:spacing w:val="9"/>
          <w:sz w:val="22"/>
        </w:rPr>
        <w:t xml:space="preserve"> </w:t>
      </w:r>
      <w:r>
        <w:rPr>
          <w:sz w:val="22"/>
        </w:rPr>
        <w:t>412,</w:t>
      </w:r>
      <w:r>
        <w:rPr>
          <w:spacing w:val="10"/>
          <w:sz w:val="22"/>
        </w:rPr>
        <w:t xml:space="preserve"> </w:t>
      </w:r>
      <w:r>
        <w:rPr>
          <w:spacing w:val="-5"/>
          <w:sz w:val="22"/>
        </w:rPr>
        <w:t>451</w:t>
      </w:r>
    </w:p>
    <w:p w14:paraId="7EE810E2">
      <w:pPr>
        <w:spacing w:before="152"/>
        <w:ind w:left="99" w:right="0" w:firstLine="0"/>
        <w:jc w:val="left"/>
        <w:rPr>
          <w:sz w:val="22"/>
        </w:rPr>
      </w:pPr>
      <w:r>
        <w:rPr>
          <w:sz w:val="22"/>
        </w:rPr>
        <w:t>1600:</w:t>
      </w:r>
      <w:r>
        <w:rPr>
          <w:spacing w:val="11"/>
          <w:sz w:val="22"/>
        </w:rPr>
        <w:t xml:space="preserve"> </w:t>
      </w:r>
      <w:r>
        <w:rPr>
          <w:spacing w:val="-5"/>
          <w:sz w:val="22"/>
        </w:rPr>
        <w:t>453</w:t>
      </w:r>
    </w:p>
    <w:p w14:paraId="2ADDFFF7">
      <w:pPr>
        <w:spacing w:before="152"/>
        <w:ind w:left="99" w:right="0" w:firstLine="0"/>
        <w:jc w:val="left"/>
        <w:rPr>
          <w:sz w:val="22"/>
        </w:rPr>
      </w:pPr>
      <w:r>
        <w:rPr>
          <w:sz w:val="22"/>
        </w:rPr>
        <w:t>144,000:</w:t>
      </w:r>
      <w:r>
        <w:rPr>
          <w:spacing w:val="12"/>
          <w:sz w:val="22"/>
        </w:rPr>
        <w:t xml:space="preserve"> </w:t>
      </w:r>
      <w:r>
        <w:rPr>
          <w:sz w:val="22"/>
        </w:rPr>
        <w:t>422,</w:t>
      </w:r>
      <w:r>
        <w:rPr>
          <w:spacing w:val="13"/>
          <w:sz w:val="22"/>
        </w:rPr>
        <w:t xml:space="preserve"> </w:t>
      </w:r>
      <w:r>
        <w:rPr>
          <w:spacing w:val="-5"/>
          <w:sz w:val="22"/>
        </w:rPr>
        <w:t>443</w:t>
      </w:r>
    </w:p>
    <w:p w14:paraId="51DA0A3C">
      <w:pPr>
        <w:pStyle w:val="9"/>
        <w:spacing w:before="0"/>
        <w:ind w:left="0"/>
        <w:jc w:val="left"/>
        <w:rPr>
          <w:sz w:val="22"/>
        </w:rPr>
      </w:pPr>
    </w:p>
    <w:p w14:paraId="7445C4DD">
      <w:pPr>
        <w:pStyle w:val="9"/>
        <w:spacing w:before="0"/>
        <w:ind w:left="0"/>
        <w:jc w:val="left"/>
        <w:rPr>
          <w:sz w:val="22"/>
        </w:rPr>
      </w:pPr>
    </w:p>
    <w:p w14:paraId="0D1CAEAD">
      <w:pPr>
        <w:bidi w:val="0"/>
      </w:pPr>
    </w:p>
    <w:p w14:paraId="72CFE700">
      <w:pPr>
        <w:pStyle w:val="9"/>
        <w:spacing w:before="0"/>
        <w:ind w:left="0"/>
        <w:jc w:val="left"/>
        <w:rPr>
          <w:sz w:val="22"/>
        </w:rPr>
      </w:pPr>
    </w:p>
    <w:p w14:paraId="5E109017">
      <w:pPr>
        <w:pStyle w:val="9"/>
        <w:spacing w:before="87"/>
        <w:ind w:left="0"/>
        <w:jc w:val="left"/>
        <w:rPr>
          <w:sz w:val="22"/>
        </w:rPr>
      </w:pPr>
    </w:p>
    <w:p w14:paraId="79ED146E">
      <w:pPr>
        <w:spacing w:before="1"/>
        <w:ind w:left="99" w:right="0" w:firstLine="0"/>
        <w:jc w:val="left"/>
        <w:rPr>
          <w:sz w:val="22"/>
        </w:rPr>
      </w:pPr>
      <w:r>
        <w:rPr>
          <w:sz w:val="22"/>
        </w:rPr>
        <w:t>Abomination</w:t>
      </w:r>
      <w:r>
        <w:rPr>
          <w:spacing w:val="14"/>
          <w:sz w:val="22"/>
        </w:rPr>
        <w:t xml:space="preserve"> </w:t>
      </w:r>
      <w:r>
        <w:rPr>
          <w:sz w:val="22"/>
        </w:rPr>
        <w:t>of</w:t>
      </w:r>
      <w:r>
        <w:rPr>
          <w:spacing w:val="15"/>
          <w:sz w:val="22"/>
        </w:rPr>
        <w:t xml:space="preserve"> </w:t>
      </w:r>
      <w:r>
        <w:rPr>
          <w:sz w:val="22"/>
        </w:rPr>
        <w:t>Desolation,</w:t>
      </w:r>
      <w:r>
        <w:rPr>
          <w:spacing w:val="15"/>
          <w:sz w:val="22"/>
        </w:rPr>
        <w:t xml:space="preserve"> </w:t>
      </w:r>
      <w:r>
        <w:rPr>
          <w:sz w:val="22"/>
        </w:rPr>
        <w:t>377,</w:t>
      </w:r>
      <w:r>
        <w:rPr>
          <w:spacing w:val="14"/>
          <w:sz w:val="22"/>
        </w:rPr>
        <w:t xml:space="preserve"> </w:t>
      </w:r>
      <w:r>
        <w:rPr>
          <w:spacing w:val="-5"/>
          <w:sz w:val="22"/>
        </w:rPr>
        <w:t>533</w:t>
      </w:r>
    </w:p>
    <w:p w14:paraId="4C72AFFF">
      <w:pPr>
        <w:spacing w:before="152"/>
        <w:ind w:left="99" w:right="0" w:firstLine="0"/>
        <w:jc w:val="left"/>
        <w:rPr>
          <w:sz w:val="22"/>
        </w:rPr>
      </w:pPr>
      <w:r>
        <w:rPr>
          <w:sz w:val="22"/>
        </w:rPr>
        <w:t>Abraham,</w:t>
      </w:r>
      <w:r>
        <w:rPr>
          <w:spacing w:val="18"/>
          <w:sz w:val="22"/>
        </w:rPr>
        <w:t xml:space="preserve"> </w:t>
      </w:r>
      <w:r>
        <w:rPr>
          <w:spacing w:val="-5"/>
          <w:sz w:val="22"/>
        </w:rPr>
        <w:t>113</w:t>
      </w:r>
    </w:p>
    <w:p w14:paraId="055471A9">
      <w:pPr>
        <w:spacing w:before="152"/>
        <w:ind w:left="99" w:right="0" w:firstLine="0"/>
        <w:jc w:val="left"/>
        <w:rPr>
          <w:sz w:val="22"/>
        </w:rPr>
      </w:pPr>
      <w:r>
        <w:rPr>
          <w:sz w:val="22"/>
        </w:rPr>
        <w:t>Abyss</w:t>
      </w:r>
      <w:r>
        <w:rPr>
          <w:spacing w:val="12"/>
          <w:sz w:val="22"/>
        </w:rPr>
        <w:t xml:space="preserve"> </w:t>
      </w:r>
      <w:r>
        <w:rPr>
          <w:sz w:val="22"/>
        </w:rPr>
        <w:t>(Bottomless</w:t>
      </w:r>
      <w:r>
        <w:rPr>
          <w:spacing w:val="13"/>
          <w:sz w:val="22"/>
        </w:rPr>
        <w:t xml:space="preserve"> </w:t>
      </w:r>
      <w:r>
        <w:rPr>
          <w:sz w:val="22"/>
        </w:rPr>
        <w:t>Pit),</w:t>
      </w:r>
      <w:r>
        <w:rPr>
          <w:spacing w:val="13"/>
          <w:sz w:val="22"/>
        </w:rPr>
        <w:t xml:space="preserve"> </w:t>
      </w:r>
      <w:r>
        <w:rPr>
          <w:sz w:val="22"/>
        </w:rPr>
        <w:t>430,</w:t>
      </w:r>
      <w:r>
        <w:rPr>
          <w:spacing w:val="13"/>
          <w:sz w:val="22"/>
        </w:rPr>
        <w:t xml:space="preserve"> </w:t>
      </w:r>
      <w:r>
        <w:rPr>
          <w:spacing w:val="-4"/>
          <w:sz w:val="22"/>
        </w:rPr>
        <w:t>466f</w:t>
      </w:r>
    </w:p>
    <w:p w14:paraId="189AAE01">
      <w:pPr>
        <w:spacing w:before="0" w:line="240" w:lineRule="auto"/>
        <w:rPr>
          <w:sz w:val="33"/>
        </w:rPr>
      </w:pPr>
      <w:r>
        <w:br w:type="column"/>
      </w:r>
    </w:p>
    <w:p w14:paraId="05F37345">
      <w:pPr>
        <w:pStyle w:val="9"/>
        <w:spacing w:before="0"/>
        <w:ind w:left="0"/>
        <w:jc w:val="left"/>
        <w:rPr>
          <w:sz w:val="33"/>
        </w:rPr>
      </w:pPr>
    </w:p>
    <w:p w14:paraId="732C01ED">
      <w:pPr>
        <w:pStyle w:val="9"/>
        <w:spacing w:before="0"/>
        <w:ind w:left="0"/>
        <w:jc w:val="left"/>
        <w:rPr>
          <w:sz w:val="33"/>
        </w:rPr>
      </w:pPr>
    </w:p>
    <w:p w14:paraId="744EFDE8">
      <w:pPr>
        <w:pStyle w:val="9"/>
        <w:spacing w:before="0"/>
        <w:ind w:left="0"/>
        <w:jc w:val="left"/>
        <w:rPr>
          <w:sz w:val="33"/>
        </w:rPr>
      </w:pPr>
    </w:p>
    <w:p w14:paraId="1399B181">
      <w:pPr>
        <w:pStyle w:val="9"/>
        <w:spacing w:before="0"/>
        <w:ind w:left="0"/>
        <w:jc w:val="left"/>
        <w:rPr>
          <w:sz w:val="33"/>
        </w:rPr>
      </w:pPr>
    </w:p>
    <w:p w14:paraId="2F598463">
      <w:pPr>
        <w:pStyle w:val="9"/>
        <w:spacing w:before="0"/>
        <w:ind w:left="0"/>
        <w:jc w:val="left"/>
        <w:rPr>
          <w:sz w:val="33"/>
        </w:rPr>
      </w:pPr>
    </w:p>
    <w:p w14:paraId="2B0F2AD6">
      <w:pPr>
        <w:pStyle w:val="9"/>
        <w:spacing w:before="0"/>
        <w:ind w:left="0"/>
        <w:jc w:val="left"/>
        <w:rPr>
          <w:sz w:val="33"/>
        </w:rPr>
      </w:pPr>
    </w:p>
    <w:p w14:paraId="38B4B3DE">
      <w:pPr>
        <w:pStyle w:val="9"/>
        <w:spacing w:before="0"/>
        <w:ind w:left="0"/>
        <w:jc w:val="left"/>
        <w:rPr>
          <w:sz w:val="33"/>
        </w:rPr>
      </w:pPr>
    </w:p>
    <w:p w14:paraId="76928084">
      <w:pPr>
        <w:pStyle w:val="9"/>
        <w:spacing w:before="361"/>
        <w:ind w:left="0"/>
        <w:jc w:val="left"/>
        <w:rPr>
          <w:sz w:val="33"/>
        </w:rPr>
      </w:pPr>
    </w:p>
    <w:p w14:paraId="7E0184DE">
      <w:pPr>
        <w:pStyle w:val="6"/>
        <w:spacing w:line="360" w:lineRule="auto"/>
        <w:ind w:left="587" w:right="4068" w:hanging="488"/>
        <w:jc w:val="left"/>
        <w:rPr>
          <w:color w:val="231F20"/>
          <w:spacing w:val="-2"/>
        </w:rPr>
      </w:pPr>
    </w:p>
    <w:p w14:paraId="173A74CB">
      <w:pPr>
        <w:pStyle w:val="6"/>
        <w:spacing w:line="360" w:lineRule="auto"/>
        <w:ind w:left="587" w:right="4068" w:hanging="488"/>
        <w:jc w:val="left"/>
      </w:pPr>
      <w:r>
        <w:rPr>
          <w:color w:val="231F20"/>
          <w:spacing w:val="-2"/>
        </w:rPr>
        <w:t xml:space="preserve">Subjects </w:t>
      </w:r>
      <w:r>
        <w:rPr>
          <w:color w:val="231F20"/>
          <w:spacing w:val="-10"/>
        </w:rPr>
        <w:t>A</w:t>
      </w:r>
    </w:p>
    <w:p w14:paraId="0209C722">
      <w:pPr>
        <w:pStyle w:val="6"/>
        <w:spacing w:after="0" w:line="360" w:lineRule="auto"/>
        <w:jc w:val="left"/>
        <w:sectPr>
          <w:pgSz w:w="12240" w:h="15840"/>
          <w:pgMar w:top="1480" w:right="1440" w:bottom="280" w:left="1440" w:header="720" w:footer="720" w:gutter="0"/>
          <w:cols w:equalWidth="0" w:num="2">
            <w:col w:w="3502" w:space="468"/>
            <w:col w:w="5390"/>
          </w:cols>
        </w:sectPr>
      </w:pPr>
    </w:p>
    <w:p w14:paraId="5147D57C">
      <w:pPr>
        <w:spacing w:before="152" w:line="384" w:lineRule="auto"/>
        <w:ind w:left="99" w:right="3179" w:firstLine="0"/>
        <w:jc w:val="left"/>
        <w:rPr>
          <w:sz w:val="22"/>
        </w:rPr>
      </w:pPr>
      <w:r>
        <w:rPr>
          <w:sz w:val="22"/>
        </w:rPr>
        <w:t>Adam, in Eden, 71; as type of Christ, 73; in COW, 74; in COG, 107 Adam’s World, 82</w:t>
      </w:r>
    </w:p>
    <w:p w14:paraId="3DB56D79">
      <w:pPr>
        <w:spacing w:before="0" w:line="384" w:lineRule="auto"/>
        <w:ind w:left="99" w:right="5417" w:firstLine="0"/>
        <w:jc w:val="left"/>
        <w:rPr>
          <w:sz w:val="22"/>
        </w:rPr>
      </w:pPr>
      <w:r>
        <w:rPr>
          <w:sz w:val="22"/>
        </w:rPr>
        <w:t>Administrations (of EC), 106-120, 167 Ages (of cosmic history), 165 Amillennialism, 23, 609</w:t>
      </w:r>
    </w:p>
    <w:p w14:paraId="213B10F3">
      <w:pPr>
        <w:spacing w:before="1"/>
        <w:ind w:left="99" w:right="0" w:firstLine="0"/>
        <w:jc w:val="left"/>
        <w:rPr>
          <w:sz w:val="22"/>
        </w:rPr>
      </w:pPr>
      <w:r>
        <w:rPr>
          <w:sz w:val="22"/>
        </w:rPr>
        <w:t>Ancient</w:t>
      </w:r>
      <w:r>
        <w:rPr>
          <w:spacing w:val="10"/>
          <w:sz w:val="22"/>
        </w:rPr>
        <w:t xml:space="preserve"> </w:t>
      </w:r>
      <w:r>
        <w:rPr>
          <w:sz w:val="22"/>
        </w:rPr>
        <w:t>of</w:t>
      </w:r>
      <w:r>
        <w:rPr>
          <w:spacing w:val="10"/>
          <w:sz w:val="22"/>
        </w:rPr>
        <w:t xml:space="preserve"> </w:t>
      </w:r>
      <w:r>
        <w:rPr>
          <w:sz w:val="22"/>
        </w:rPr>
        <w:t>Days,</w:t>
      </w:r>
      <w:r>
        <w:rPr>
          <w:spacing w:val="10"/>
          <w:sz w:val="22"/>
        </w:rPr>
        <w:t xml:space="preserve"> </w:t>
      </w:r>
      <w:r>
        <w:rPr>
          <w:spacing w:val="-5"/>
          <w:sz w:val="22"/>
        </w:rPr>
        <w:t>358</w:t>
      </w:r>
    </w:p>
    <w:p w14:paraId="4F01C7BD">
      <w:pPr>
        <w:spacing w:before="152"/>
        <w:ind w:left="99" w:right="0" w:firstLine="0"/>
        <w:jc w:val="left"/>
        <w:rPr>
          <w:sz w:val="22"/>
        </w:rPr>
      </w:pPr>
      <w:r>
        <w:rPr>
          <w:sz w:val="22"/>
        </w:rPr>
        <w:t>Antichrist,</w:t>
      </w:r>
      <w:r>
        <w:rPr>
          <w:spacing w:val="7"/>
          <w:sz w:val="22"/>
        </w:rPr>
        <w:t xml:space="preserve"> </w:t>
      </w:r>
      <w:r>
        <w:rPr>
          <w:sz w:val="22"/>
        </w:rPr>
        <w:t>319,</w:t>
      </w:r>
      <w:r>
        <w:rPr>
          <w:spacing w:val="8"/>
          <w:sz w:val="22"/>
        </w:rPr>
        <w:t xml:space="preserve"> </w:t>
      </w:r>
      <w:r>
        <w:rPr>
          <w:sz w:val="22"/>
        </w:rPr>
        <w:t>363,</w:t>
      </w:r>
      <w:r>
        <w:rPr>
          <w:spacing w:val="8"/>
          <w:sz w:val="22"/>
        </w:rPr>
        <w:t xml:space="preserve"> </w:t>
      </w:r>
      <w:r>
        <w:rPr>
          <w:sz w:val="22"/>
        </w:rPr>
        <w:t>375,</w:t>
      </w:r>
      <w:r>
        <w:rPr>
          <w:spacing w:val="8"/>
          <w:sz w:val="22"/>
        </w:rPr>
        <w:t xml:space="preserve"> </w:t>
      </w:r>
      <w:r>
        <w:rPr>
          <w:sz w:val="22"/>
        </w:rPr>
        <w:t>415,</w:t>
      </w:r>
      <w:r>
        <w:rPr>
          <w:spacing w:val="8"/>
          <w:sz w:val="22"/>
        </w:rPr>
        <w:t xml:space="preserve"> </w:t>
      </w:r>
      <w:r>
        <w:rPr>
          <w:sz w:val="22"/>
        </w:rPr>
        <w:t>428,</w:t>
      </w:r>
      <w:r>
        <w:rPr>
          <w:spacing w:val="8"/>
          <w:sz w:val="22"/>
        </w:rPr>
        <w:t xml:space="preserve"> </w:t>
      </w:r>
      <w:r>
        <w:rPr>
          <w:sz w:val="22"/>
        </w:rPr>
        <w:t>457,</w:t>
      </w:r>
      <w:r>
        <w:rPr>
          <w:spacing w:val="8"/>
          <w:sz w:val="22"/>
        </w:rPr>
        <w:t xml:space="preserve"> </w:t>
      </w:r>
      <w:r>
        <w:rPr>
          <w:sz w:val="22"/>
        </w:rPr>
        <w:t>487,</w:t>
      </w:r>
      <w:r>
        <w:rPr>
          <w:spacing w:val="8"/>
          <w:sz w:val="22"/>
        </w:rPr>
        <w:t xml:space="preserve"> </w:t>
      </w:r>
      <w:r>
        <w:rPr>
          <w:sz w:val="22"/>
        </w:rPr>
        <w:t>511,</w:t>
      </w:r>
      <w:r>
        <w:rPr>
          <w:spacing w:val="7"/>
          <w:sz w:val="22"/>
        </w:rPr>
        <w:t xml:space="preserve"> </w:t>
      </w:r>
      <w:r>
        <w:rPr>
          <w:sz w:val="22"/>
        </w:rPr>
        <w:t>597;</w:t>
      </w:r>
      <w:r>
        <w:rPr>
          <w:spacing w:val="8"/>
          <w:sz w:val="22"/>
        </w:rPr>
        <w:t xml:space="preserve"> </w:t>
      </w:r>
      <w:r>
        <w:rPr>
          <w:sz w:val="22"/>
        </w:rPr>
        <w:t>and</w:t>
      </w:r>
      <w:r>
        <w:rPr>
          <w:spacing w:val="8"/>
          <w:sz w:val="22"/>
        </w:rPr>
        <w:t xml:space="preserve"> </w:t>
      </w:r>
      <w:r>
        <w:rPr>
          <w:sz w:val="22"/>
        </w:rPr>
        <w:t>the</w:t>
      </w:r>
      <w:r>
        <w:rPr>
          <w:spacing w:val="8"/>
          <w:sz w:val="22"/>
        </w:rPr>
        <w:t xml:space="preserve"> </w:t>
      </w:r>
      <w:r>
        <w:rPr>
          <w:sz w:val="22"/>
        </w:rPr>
        <w:t>papacy,</w:t>
      </w:r>
      <w:r>
        <w:rPr>
          <w:spacing w:val="8"/>
          <w:sz w:val="22"/>
        </w:rPr>
        <w:t xml:space="preserve"> </w:t>
      </w:r>
      <w:r>
        <w:rPr>
          <w:spacing w:val="-5"/>
          <w:sz w:val="22"/>
        </w:rPr>
        <w:t>700</w:t>
      </w:r>
    </w:p>
    <w:p w14:paraId="28D3BFEA">
      <w:pPr>
        <w:spacing w:before="152"/>
        <w:ind w:left="99" w:right="0" w:firstLine="0"/>
        <w:jc w:val="left"/>
        <w:rPr>
          <w:sz w:val="22"/>
        </w:rPr>
      </w:pPr>
      <w:r>
        <w:rPr>
          <w:sz w:val="22"/>
        </w:rPr>
        <w:t>Apocalyptic,</w:t>
      </w:r>
      <w:r>
        <w:rPr>
          <w:spacing w:val="23"/>
          <w:sz w:val="22"/>
        </w:rPr>
        <w:t xml:space="preserve"> </w:t>
      </w:r>
      <w:r>
        <w:rPr>
          <w:spacing w:val="-5"/>
          <w:sz w:val="22"/>
        </w:rPr>
        <w:t>417</w:t>
      </w:r>
    </w:p>
    <w:p w14:paraId="4B21024E">
      <w:pPr>
        <w:spacing w:before="152"/>
        <w:ind w:left="99" w:right="0" w:firstLine="0"/>
        <w:jc w:val="left"/>
        <w:rPr>
          <w:sz w:val="22"/>
        </w:rPr>
      </w:pPr>
      <w:r>
        <w:rPr>
          <w:sz w:val="22"/>
        </w:rPr>
        <w:t>Apostasy,</w:t>
      </w:r>
      <w:r>
        <w:rPr>
          <w:spacing w:val="6"/>
          <w:sz w:val="22"/>
        </w:rPr>
        <w:t xml:space="preserve"> </w:t>
      </w:r>
      <w:r>
        <w:rPr>
          <w:sz w:val="22"/>
        </w:rPr>
        <w:t>488,</w:t>
      </w:r>
      <w:r>
        <w:rPr>
          <w:spacing w:val="7"/>
          <w:sz w:val="22"/>
        </w:rPr>
        <w:t xml:space="preserve"> </w:t>
      </w:r>
      <w:r>
        <w:rPr>
          <w:sz w:val="22"/>
        </w:rPr>
        <w:t>532,</w:t>
      </w:r>
      <w:r>
        <w:rPr>
          <w:spacing w:val="7"/>
          <w:sz w:val="22"/>
        </w:rPr>
        <w:t xml:space="preserve"> </w:t>
      </w:r>
      <w:r>
        <w:rPr>
          <w:spacing w:val="-5"/>
          <w:sz w:val="22"/>
        </w:rPr>
        <w:t>577</w:t>
      </w:r>
    </w:p>
    <w:p w14:paraId="6E3AD813">
      <w:pPr>
        <w:spacing w:before="152"/>
        <w:ind w:left="99" w:right="0" w:firstLine="0"/>
        <w:jc w:val="left"/>
        <w:rPr>
          <w:spacing w:val="-5"/>
          <w:sz w:val="22"/>
        </w:rPr>
      </w:pPr>
      <w:r>
        <w:rPr>
          <w:sz w:val="22"/>
        </w:rPr>
        <w:t>Armageddon,</w:t>
      </w:r>
      <w:r>
        <w:rPr>
          <w:spacing w:val="12"/>
          <w:sz w:val="22"/>
        </w:rPr>
        <w:t xml:space="preserve"> </w:t>
      </w:r>
      <w:r>
        <w:rPr>
          <w:sz w:val="22"/>
        </w:rPr>
        <w:t>30,</w:t>
      </w:r>
      <w:r>
        <w:rPr>
          <w:spacing w:val="12"/>
          <w:sz w:val="22"/>
        </w:rPr>
        <w:t xml:space="preserve"> </w:t>
      </w:r>
      <w:r>
        <w:rPr>
          <w:sz w:val="22"/>
        </w:rPr>
        <w:t>422,</w:t>
      </w:r>
      <w:r>
        <w:rPr>
          <w:spacing w:val="12"/>
          <w:sz w:val="22"/>
        </w:rPr>
        <w:t xml:space="preserve"> </w:t>
      </w:r>
      <w:r>
        <w:rPr>
          <w:sz w:val="22"/>
        </w:rPr>
        <w:t>457,</w:t>
      </w:r>
      <w:r>
        <w:rPr>
          <w:spacing w:val="12"/>
          <w:sz w:val="22"/>
        </w:rPr>
        <w:t xml:space="preserve"> </w:t>
      </w:r>
      <w:r>
        <w:rPr>
          <w:spacing w:val="-5"/>
          <w:sz w:val="22"/>
        </w:rPr>
        <w:t>487</w:t>
      </w:r>
    </w:p>
    <w:p w14:paraId="5E8BB3FE">
      <w:pPr>
        <w:spacing w:before="152"/>
        <w:ind w:left="99" w:right="0" w:firstLine="0"/>
        <w:jc w:val="left"/>
        <w:rPr>
          <w:spacing w:val="-5"/>
          <w:sz w:val="22"/>
        </w:rPr>
      </w:pPr>
      <w:r>
        <w:drawing>
          <wp:inline distT="0" distB="0" distL="114300" distR="114300">
            <wp:extent cx="4953000" cy="2752725"/>
            <wp:effectExtent l="0" t="0" r="0" b="5715"/>
            <wp:docPr id="57"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2"/>
                    <pic:cNvPicPr>
                      <a:picLocks noChangeAspect="1"/>
                    </pic:cNvPicPr>
                  </pic:nvPicPr>
                  <pic:blipFill>
                    <a:blip r:embed="rId57"/>
                    <a:stretch>
                      <a:fillRect/>
                    </a:stretch>
                  </pic:blipFill>
                  <pic:spPr>
                    <a:xfrm>
                      <a:off x="0" y="0"/>
                      <a:ext cx="4953000" cy="2752725"/>
                    </a:xfrm>
                    <a:prstGeom prst="rect">
                      <a:avLst/>
                    </a:prstGeom>
                    <a:noFill/>
                    <a:ln>
                      <a:noFill/>
                    </a:ln>
                  </pic:spPr>
                </pic:pic>
              </a:graphicData>
            </a:graphic>
          </wp:inline>
        </w:drawing>
      </w:r>
    </w:p>
    <w:p w14:paraId="261D428F">
      <w:pPr>
        <w:pStyle w:val="5"/>
      </w:pPr>
      <w:r>
        <w:rPr>
          <w:color w:val="231F20"/>
          <w:spacing w:val="-10"/>
        </w:rPr>
        <w:t>B</w:t>
      </w:r>
    </w:p>
    <w:p w14:paraId="6A11C2C5">
      <w:pPr>
        <w:spacing w:before="188"/>
        <w:ind w:left="99" w:right="0" w:firstLine="0"/>
        <w:jc w:val="left"/>
        <w:rPr>
          <w:sz w:val="22"/>
        </w:rPr>
      </w:pPr>
      <w:r>
        <w:rPr>
          <w:sz w:val="22"/>
        </w:rPr>
        <w:t>Babel,</w:t>
      </w:r>
      <w:r>
        <w:rPr>
          <w:spacing w:val="12"/>
          <w:sz w:val="22"/>
        </w:rPr>
        <w:t xml:space="preserve"> </w:t>
      </w:r>
      <w:r>
        <w:rPr>
          <w:spacing w:val="-5"/>
          <w:sz w:val="22"/>
        </w:rPr>
        <w:t>85</w:t>
      </w:r>
    </w:p>
    <w:p w14:paraId="6CF8DB02">
      <w:pPr>
        <w:spacing w:before="153"/>
        <w:ind w:left="99" w:right="0" w:firstLine="0"/>
        <w:jc w:val="left"/>
        <w:rPr>
          <w:sz w:val="22"/>
        </w:rPr>
      </w:pPr>
      <w:r>
        <w:rPr>
          <w:sz w:val="22"/>
        </w:rPr>
        <w:t>Babylon,</w:t>
      </w:r>
      <w:r>
        <w:rPr>
          <w:spacing w:val="10"/>
          <w:sz w:val="22"/>
        </w:rPr>
        <w:t xml:space="preserve"> </w:t>
      </w:r>
      <w:r>
        <w:rPr>
          <w:sz w:val="22"/>
        </w:rPr>
        <w:t>87,</w:t>
      </w:r>
      <w:r>
        <w:rPr>
          <w:spacing w:val="10"/>
          <w:sz w:val="22"/>
        </w:rPr>
        <w:t xml:space="preserve"> </w:t>
      </w:r>
      <w:r>
        <w:rPr>
          <w:sz w:val="22"/>
        </w:rPr>
        <w:t>122f;</w:t>
      </w:r>
      <w:r>
        <w:rPr>
          <w:spacing w:val="10"/>
          <w:sz w:val="22"/>
        </w:rPr>
        <w:t xml:space="preserve"> </w:t>
      </w:r>
      <w:r>
        <w:rPr>
          <w:sz w:val="22"/>
        </w:rPr>
        <w:t>the</w:t>
      </w:r>
      <w:r>
        <w:rPr>
          <w:spacing w:val="10"/>
          <w:sz w:val="22"/>
        </w:rPr>
        <w:t xml:space="preserve"> </w:t>
      </w:r>
      <w:r>
        <w:rPr>
          <w:sz w:val="22"/>
        </w:rPr>
        <w:t>Great,</w:t>
      </w:r>
      <w:r>
        <w:rPr>
          <w:spacing w:val="10"/>
          <w:sz w:val="22"/>
        </w:rPr>
        <w:t xml:space="preserve"> </w:t>
      </w:r>
      <w:r>
        <w:rPr>
          <w:sz w:val="22"/>
        </w:rPr>
        <w:t>415,</w:t>
      </w:r>
      <w:r>
        <w:rPr>
          <w:spacing w:val="10"/>
          <w:sz w:val="22"/>
        </w:rPr>
        <w:t xml:space="preserve"> </w:t>
      </w:r>
      <w:r>
        <w:rPr>
          <w:spacing w:val="-5"/>
          <w:sz w:val="22"/>
        </w:rPr>
        <w:t>457</w:t>
      </w:r>
    </w:p>
    <w:p w14:paraId="50EEDCEF">
      <w:pPr>
        <w:spacing w:before="152" w:line="384" w:lineRule="auto"/>
        <w:ind w:left="99" w:right="3179" w:firstLine="0"/>
        <w:jc w:val="left"/>
        <w:rPr>
          <w:sz w:val="22"/>
        </w:rPr>
      </w:pPr>
      <w:r>
        <w:rPr>
          <w:sz w:val="22"/>
        </w:rPr>
        <w:t>Beast(s), of Dan. 7, 357; of the Revelation, 413, 414, 451, 459 Bereans, xxiii</w:t>
      </w:r>
    </w:p>
    <w:p w14:paraId="7EFA9BDE">
      <w:pPr>
        <w:spacing w:before="0"/>
        <w:ind w:left="99" w:right="0" w:firstLine="0"/>
        <w:jc w:val="left"/>
        <w:rPr>
          <w:sz w:val="22"/>
        </w:rPr>
      </w:pPr>
      <w:r>
        <w:rPr>
          <w:sz w:val="22"/>
        </w:rPr>
        <w:t>Binding</w:t>
      </w:r>
      <w:r>
        <w:rPr>
          <w:spacing w:val="10"/>
          <w:sz w:val="22"/>
        </w:rPr>
        <w:t xml:space="preserve"> </w:t>
      </w:r>
      <w:r>
        <w:rPr>
          <w:sz w:val="22"/>
        </w:rPr>
        <w:t>of</w:t>
      </w:r>
      <w:r>
        <w:rPr>
          <w:spacing w:val="10"/>
          <w:sz w:val="22"/>
        </w:rPr>
        <w:t xml:space="preserve"> </w:t>
      </w:r>
      <w:r>
        <w:rPr>
          <w:sz w:val="22"/>
        </w:rPr>
        <w:t>Satan,</w:t>
      </w:r>
      <w:r>
        <w:rPr>
          <w:spacing w:val="10"/>
          <w:sz w:val="22"/>
        </w:rPr>
        <w:t xml:space="preserve"> </w:t>
      </w:r>
      <w:r>
        <w:rPr>
          <w:sz w:val="22"/>
        </w:rPr>
        <w:t>450,</w:t>
      </w:r>
      <w:r>
        <w:rPr>
          <w:spacing w:val="10"/>
          <w:sz w:val="22"/>
        </w:rPr>
        <w:t xml:space="preserve"> </w:t>
      </w:r>
      <w:r>
        <w:rPr>
          <w:spacing w:val="-5"/>
          <w:sz w:val="22"/>
        </w:rPr>
        <w:t>466</w:t>
      </w:r>
    </w:p>
    <w:p w14:paraId="5B9672F7">
      <w:pPr>
        <w:spacing w:after="0"/>
        <w:jc w:val="left"/>
        <w:rPr>
          <w:sz w:val="22"/>
        </w:rPr>
      </w:pPr>
    </w:p>
    <w:p w14:paraId="3EE174A0">
      <w:pPr>
        <w:bidi w:val="0"/>
        <w:rPr>
          <w:rFonts w:ascii="Times New Roman" w:hAnsi="Times New Roman" w:eastAsia="Times New Roman" w:cs="Times New Roman"/>
          <w:sz w:val="22"/>
          <w:szCs w:val="22"/>
          <w:lang w:val="en-US" w:eastAsia="en-US" w:bidi="ar-SA"/>
        </w:rPr>
      </w:pPr>
    </w:p>
    <w:p w14:paraId="083D535B">
      <w:pPr>
        <w:tabs>
          <w:tab w:val="left" w:pos="460"/>
        </w:tabs>
        <w:bidi w:val="0"/>
        <w:jc w:val="left"/>
        <w:rPr>
          <w:sz w:val="22"/>
        </w:rPr>
      </w:pPr>
      <w:r>
        <w:rPr>
          <w:sz w:val="22"/>
        </w:rPr>
        <w:t>Blessed Hope, defined, xvi; in crisis, xvii; elements of, 590f; and Amillennialism, 607f Bodily resurrection, (see, Resurrection)</w:t>
      </w:r>
    </w:p>
    <w:p w14:paraId="646D8452">
      <w:pPr>
        <w:spacing w:before="1"/>
        <w:ind w:left="99" w:right="0" w:firstLine="0"/>
        <w:jc w:val="left"/>
        <w:rPr>
          <w:sz w:val="22"/>
        </w:rPr>
      </w:pPr>
      <w:r>
        <w:rPr>
          <w:sz w:val="22"/>
        </w:rPr>
        <w:t>Bowl</w:t>
      </w:r>
      <w:r>
        <w:rPr>
          <w:spacing w:val="15"/>
          <w:sz w:val="22"/>
        </w:rPr>
        <w:t xml:space="preserve"> </w:t>
      </w:r>
      <w:r>
        <w:rPr>
          <w:sz w:val="22"/>
        </w:rPr>
        <w:t>judgments,</w:t>
      </w:r>
      <w:r>
        <w:rPr>
          <w:spacing w:val="15"/>
          <w:sz w:val="22"/>
        </w:rPr>
        <w:t xml:space="preserve"> </w:t>
      </w:r>
      <w:r>
        <w:rPr>
          <w:spacing w:val="-4"/>
          <w:sz w:val="22"/>
        </w:rPr>
        <w:t>454f</w:t>
      </w:r>
    </w:p>
    <w:p w14:paraId="40A87F4D">
      <w:pPr>
        <w:spacing w:before="152"/>
        <w:ind w:left="99" w:right="0" w:firstLine="0"/>
        <w:jc w:val="left"/>
        <w:rPr>
          <w:spacing w:val="-5"/>
          <w:sz w:val="22"/>
        </w:rPr>
      </w:pPr>
      <w:r>
        <w:rPr>
          <w:sz w:val="22"/>
        </w:rPr>
        <w:t>Bride,</w:t>
      </w:r>
      <w:r>
        <w:rPr>
          <w:spacing w:val="6"/>
          <w:sz w:val="22"/>
        </w:rPr>
        <w:t xml:space="preserve"> </w:t>
      </w:r>
      <w:r>
        <w:rPr>
          <w:sz w:val="22"/>
        </w:rPr>
        <w:t>Bridegroom,</w:t>
      </w:r>
      <w:r>
        <w:rPr>
          <w:spacing w:val="7"/>
          <w:sz w:val="22"/>
        </w:rPr>
        <w:t xml:space="preserve"> </w:t>
      </w:r>
      <w:r>
        <w:rPr>
          <w:sz w:val="22"/>
        </w:rPr>
        <w:t>xv,</w:t>
      </w:r>
      <w:r>
        <w:rPr>
          <w:spacing w:val="7"/>
          <w:sz w:val="22"/>
        </w:rPr>
        <w:t xml:space="preserve"> </w:t>
      </w:r>
      <w:r>
        <w:rPr>
          <w:sz w:val="22"/>
        </w:rPr>
        <w:t>73,</w:t>
      </w:r>
      <w:r>
        <w:rPr>
          <w:spacing w:val="6"/>
          <w:sz w:val="22"/>
        </w:rPr>
        <w:t xml:space="preserve"> </w:t>
      </w:r>
      <w:r>
        <w:rPr>
          <w:sz w:val="22"/>
        </w:rPr>
        <w:t>107,</w:t>
      </w:r>
      <w:r>
        <w:rPr>
          <w:spacing w:val="7"/>
          <w:sz w:val="22"/>
        </w:rPr>
        <w:t xml:space="preserve"> </w:t>
      </w:r>
      <w:r>
        <w:rPr>
          <w:sz w:val="22"/>
        </w:rPr>
        <w:t>211,</w:t>
      </w:r>
      <w:r>
        <w:rPr>
          <w:spacing w:val="7"/>
          <w:sz w:val="22"/>
        </w:rPr>
        <w:t xml:space="preserve"> </w:t>
      </w:r>
      <w:r>
        <w:rPr>
          <w:sz w:val="22"/>
        </w:rPr>
        <w:t>246,</w:t>
      </w:r>
      <w:r>
        <w:rPr>
          <w:spacing w:val="7"/>
          <w:sz w:val="22"/>
        </w:rPr>
        <w:t xml:space="preserve"> </w:t>
      </w:r>
      <w:r>
        <w:rPr>
          <w:sz w:val="22"/>
        </w:rPr>
        <w:t>272,</w:t>
      </w:r>
      <w:r>
        <w:rPr>
          <w:spacing w:val="6"/>
          <w:sz w:val="22"/>
        </w:rPr>
        <w:t xml:space="preserve"> </w:t>
      </w:r>
      <w:r>
        <w:rPr>
          <w:sz w:val="22"/>
        </w:rPr>
        <w:t>411,</w:t>
      </w:r>
      <w:r>
        <w:rPr>
          <w:spacing w:val="7"/>
          <w:sz w:val="22"/>
        </w:rPr>
        <w:t xml:space="preserve"> </w:t>
      </w:r>
      <w:r>
        <w:rPr>
          <w:sz w:val="22"/>
        </w:rPr>
        <w:t>449,</w:t>
      </w:r>
      <w:r>
        <w:rPr>
          <w:spacing w:val="7"/>
          <w:sz w:val="22"/>
        </w:rPr>
        <w:t xml:space="preserve"> </w:t>
      </w:r>
      <w:r>
        <w:rPr>
          <w:spacing w:val="-5"/>
          <w:sz w:val="22"/>
        </w:rPr>
        <w:t>499</w:t>
      </w:r>
    </w:p>
    <w:p w14:paraId="10488FA2">
      <w:pPr>
        <w:spacing w:before="152"/>
        <w:ind w:left="99" w:right="0" w:firstLine="0"/>
        <w:jc w:val="left"/>
      </w:pPr>
      <w:r>
        <w:drawing>
          <wp:inline distT="0" distB="0" distL="114300" distR="114300">
            <wp:extent cx="4914900" cy="2143125"/>
            <wp:effectExtent l="0" t="0" r="7620" b="5715"/>
            <wp:docPr id="58"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3"/>
                    <pic:cNvPicPr>
                      <a:picLocks noChangeAspect="1"/>
                    </pic:cNvPicPr>
                  </pic:nvPicPr>
                  <pic:blipFill>
                    <a:blip r:embed="rId58"/>
                    <a:stretch>
                      <a:fillRect/>
                    </a:stretch>
                  </pic:blipFill>
                  <pic:spPr>
                    <a:xfrm>
                      <a:off x="0" y="0"/>
                      <a:ext cx="4914900" cy="2143125"/>
                    </a:xfrm>
                    <a:prstGeom prst="rect">
                      <a:avLst/>
                    </a:prstGeom>
                    <a:noFill/>
                    <a:ln>
                      <a:noFill/>
                    </a:ln>
                  </pic:spPr>
                </pic:pic>
              </a:graphicData>
            </a:graphic>
          </wp:inline>
        </w:drawing>
      </w:r>
    </w:p>
    <w:p w14:paraId="5398AAB7">
      <w:pPr>
        <w:spacing w:before="152"/>
        <w:ind w:left="99" w:right="0" w:firstLine="0"/>
        <w:jc w:val="left"/>
      </w:pPr>
    </w:p>
    <w:p w14:paraId="41212305">
      <w:pPr>
        <w:spacing w:before="152"/>
        <w:ind w:left="99" w:right="0" w:firstLine="0"/>
        <w:jc w:val="left"/>
      </w:pPr>
    </w:p>
    <w:p w14:paraId="32C42925">
      <w:pPr>
        <w:spacing w:before="152"/>
        <w:ind w:left="99" w:right="0" w:firstLine="0"/>
        <w:jc w:val="left"/>
      </w:pPr>
    </w:p>
    <w:p w14:paraId="74900094">
      <w:pPr>
        <w:spacing w:before="152"/>
        <w:ind w:left="99" w:right="0" w:firstLine="0"/>
        <w:jc w:val="left"/>
      </w:pPr>
    </w:p>
    <w:p w14:paraId="657D6ADB">
      <w:pPr>
        <w:pStyle w:val="5"/>
      </w:pPr>
      <w:r>
        <w:rPr>
          <w:color w:val="231F20"/>
          <w:spacing w:val="-10"/>
        </w:rPr>
        <w:t>C</w:t>
      </w:r>
    </w:p>
    <w:p w14:paraId="4DB950D6">
      <w:pPr>
        <w:spacing w:before="188" w:line="384" w:lineRule="auto"/>
        <w:ind w:left="99" w:right="6263" w:firstLine="0"/>
        <w:jc w:val="left"/>
        <w:rPr>
          <w:sz w:val="22"/>
        </w:rPr>
      </w:pPr>
      <w:r>
        <w:rPr>
          <w:sz w:val="22"/>
        </w:rPr>
        <w:t>Christ (see, Jesus Christ) Christophany, 688</w:t>
      </w:r>
    </w:p>
    <w:p w14:paraId="33627D56">
      <w:pPr>
        <w:spacing w:before="1" w:line="384" w:lineRule="auto"/>
        <w:ind w:left="99" w:right="1495" w:firstLine="0"/>
        <w:jc w:val="left"/>
        <w:rPr>
          <w:sz w:val="22"/>
        </w:rPr>
      </w:pPr>
      <w:r>
        <w:rPr>
          <w:sz w:val="22"/>
        </w:rPr>
        <w:t>Church, in COR, 94; in COG 98; in OT typology, 117; OTKP fulfilled in, 68, 242f Clash (of the Kingdoms), 174f</w:t>
      </w:r>
    </w:p>
    <w:p w14:paraId="1061A863">
      <w:pPr>
        <w:spacing w:before="0" w:line="384" w:lineRule="auto"/>
        <w:ind w:left="99" w:right="6095" w:firstLine="0"/>
        <w:jc w:val="left"/>
        <w:rPr>
          <w:sz w:val="22"/>
        </w:rPr>
      </w:pPr>
      <w:r>
        <w:rPr>
          <w:sz w:val="22"/>
        </w:rPr>
        <w:t>Comfort, xix, 416, 540, 562</w:t>
      </w:r>
      <w:r>
        <w:rPr>
          <w:spacing w:val="40"/>
          <w:sz w:val="22"/>
        </w:rPr>
        <w:t xml:space="preserve"> </w:t>
      </w:r>
      <w:r>
        <w:rPr>
          <w:sz w:val="22"/>
        </w:rPr>
        <w:t>Coming of Christ, (see, Parousia) Coming of the Kingdom, 101, 174f Comparative reading, 236</w:t>
      </w:r>
    </w:p>
    <w:p w14:paraId="392BD736">
      <w:pPr>
        <w:spacing w:before="1" w:line="384" w:lineRule="auto"/>
        <w:ind w:left="264" w:right="0" w:hanging="165"/>
        <w:jc w:val="left"/>
        <w:rPr>
          <w:sz w:val="22"/>
        </w:rPr>
      </w:pPr>
      <w:r>
        <w:rPr>
          <w:sz w:val="22"/>
        </w:rPr>
        <w:t>Consummation,</w:t>
      </w:r>
      <w:r>
        <w:rPr>
          <w:spacing w:val="29"/>
          <w:sz w:val="22"/>
        </w:rPr>
        <w:t xml:space="preserve"> </w:t>
      </w:r>
      <w:r>
        <w:rPr>
          <w:sz w:val="22"/>
        </w:rPr>
        <w:t>defined,</w:t>
      </w:r>
      <w:r>
        <w:rPr>
          <w:spacing w:val="29"/>
          <w:sz w:val="22"/>
        </w:rPr>
        <w:t xml:space="preserve"> </w:t>
      </w:r>
      <w:r>
        <w:rPr>
          <w:sz w:val="22"/>
        </w:rPr>
        <w:t>17;</w:t>
      </w:r>
      <w:r>
        <w:rPr>
          <w:spacing w:val="29"/>
          <w:sz w:val="22"/>
        </w:rPr>
        <w:t xml:space="preserve"> </w:t>
      </w:r>
      <w:r>
        <w:rPr>
          <w:sz w:val="22"/>
        </w:rPr>
        <w:t>design</w:t>
      </w:r>
      <w:r>
        <w:rPr>
          <w:spacing w:val="29"/>
          <w:sz w:val="22"/>
        </w:rPr>
        <w:t xml:space="preserve"> </w:t>
      </w:r>
      <w:r>
        <w:rPr>
          <w:sz w:val="22"/>
        </w:rPr>
        <w:t>of,</w:t>
      </w:r>
      <w:r>
        <w:rPr>
          <w:spacing w:val="29"/>
          <w:sz w:val="22"/>
        </w:rPr>
        <w:t xml:space="preserve"> </w:t>
      </w:r>
      <w:r>
        <w:rPr>
          <w:sz w:val="22"/>
        </w:rPr>
        <w:t>506;</w:t>
      </w:r>
      <w:r>
        <w:rPr>
          <w:spacing w:val="29"/>
          <w:sz w:val="22"/>
        </w:rPr>
        <w:t xml:space="preserve"> </w:t>
      </w:r>
      <w:r>
        <w:rPr>
          <w:sz w:val="22"/>
        </w:rPr>
        <w:t>elements</w:t>
      </w:r>
      <w:r>
        <w:rPr>
          <w:spacing w:val="29"/>
          <w:sz w:val="22"/>
        </w:rPr>
        <w:t xml:space="preserve"> </w:t>
      </w:r>
      <w:r>
        <w:rPr>
          <w:sz w:val="22"/>
        </w:rPr>
        <w:t>of,</w:t>
      </w:r>
      <w:r>
        <w:rPr>
          <w:spacing w:val="29"/>
          <w:sz w:val="22"/>
        </w:rPr>
        <w:t xml:space="preserve"> </w:t>
      </w:r>
      <w:r>
        <w:rPr>
          <w:sz w:val="22"/>
        </w:rPr>
        <w:t>511;</w:t>
      </w:r>
      <w:r>
        <w:rPr>
          <w:spacing w:val="29"/>
          <w:sz w:val="22"/>
        </w:rPr>
        <w:t xml:space="preserve"> </w:t>
      </w:r>
      <w:r>
        <w:rPr>
          <w:sz w:val="22"/>
        </w:rPr>
        <w:t>structure</w:t>
      </w:r>
      <w:r>
        <w:rPr>
          <w:spacing w:val="29"/>
          <w:sz w:val="22"/>
        </w:rPr>
        <w:t xml:space="preserve"> </w:t>
      </w:r>
      <w:r>
        <w:rPr>
          <w:sz w:val="22"/>
        </w:rPr>
        <w:t>of,</w:t>
      </w:r>
      <w:r>
        <w:rPr>
          <w:spacing w:val="29"/>
          <w:sz w:val="22"/>
        </w:rPr>
        <w:t xml:space="preserve"> </w:t>
      </w:r>
      <w:r>
        <w:rPr>
          <w:sz w:val="22"/>
        </w:rPr>
        <w:t>513;</w:t>
      </w:r>
      <w:r>
        <w:rPr>
          <w:spacing w:val="29"/>
          <w:sz w:val="22"/>
        </w:rPr>
        <w:t xml:space="preserve"> </w:t>
      </w:r>
      <w:r>
        <w:rPr>
          <w:sz w:val="22"/>
        </w:rPr>
        <w:t>NT</w:t>
      </w:r>
      <w:r>
        <w:rPr>
          <w:spacing w:val="29"/>
          <w:sz w:val="22"/>
        </w:rPr>
        <w:t xml:space="preserve"> </w:t>
      </w:r>
      <w:r>
        <w:rPr>
          <w:sz w:val="22"/>
        </w:rPr>
        <w:t>texts</w:t>
      </w:r>
      <w:r>
        <w:rPr>
          <w:spacing w:val="29"/>
          <w:sz w:val="22"/>
        </w:rPr>
        <w:t xml:space="preserve"> </w:t>
      </w:r>
      <w:r>
        <w:rPr>
          <w:sz w:val="22"/>
        </w:rPr>
        <w:t>on,</w:t>
      </w:r>
      <w:r>
        <w:rPr>
          <w:spacing w:val="29"/>
          <w:sz w:val="22"/>
        </w:rPr>
        <w:t xml:space="preserve"> </w:t>
      </w:r>
      <w:r>
        <w:rPr>
          <w:sz w:val="22"/>
        </w:rPr>
        <w:t xml:space="preserve">527f, </w:t>
      </w:r>
      <w:r>
        <w:rPr>
          <w:spacing w:val="-4"/>
          <w:sz w:val="22"/>
        </w:rPr>
        <w:t>671</w:t>
      </w:r>
    </w:p>
    <w:p w14:paraId="7A1EB46B">
      <w:pPr>
        <w:spacing w:before="1"/>
        <w:ind w:left="99" w:right="0" w:firstLine="0"/>
        <w:jc w:val="left"/>
        <w:rPr>
          <w:sz w:val="22"/>
        </w:rPr>
      </w:pPr>
      <w:r>
        <w:rPr>
          <w:sz w:val="22"/>
        </w:rPr>
        <w:t>Contrasting</w:t>
      </w:r>
      <w:r>
        <w:rPr>
          <w:spacing w:val="18"/>
          <w:sz w:val="22"/>
        </w:rPr>
        <w:t xml:space="preserve"> </w:t>
      </w:r>
      <w:r>
        <w:rPr>
          <w:sz w:val="22"/>
        </w:rPr>
        <w:t>reading,</w:t>
      </w:r>
      <w:r>
        <w:rPr>
          <w:spacing w:val="18"/>
          <w:sz w:val="22"/>
        </w:rPr>
        <w:t xml:space="preserve"> </w:t>
      </w:r>
      <w:r>
        <w:rPr>
          <w:spacing w:val="-5"/>
          <w:sz w:val="22"/>
        </w:rPr>
        <w:t>236</w:t>
      </w:r>
    </w:p>
    <w:p w14:paraId="3A1F4FA9">
      <w:pPr>
        <w:spacing w:before="152"/>
        <w:ind w:left="99" w:right="0" w:firstLine="0"/>
        <w:jc w:val="left"/>
        <w:rPr>
          <w:sz w:val="22"/>
        </w:rPr>
      </w:pPr>
      <w:r>
        <w:rPr>
          <w:sz w:val="22"/>
        </w:rPr>
        <w:t>Cosmic</w:t>
      </w:r>
      <w:r>
        <w:rPr>
          <w:spacing w:val="16"/>
          <w:sz w:val="22"/>
        </w:rPr>
        <w:t xml:space="preserve"> </w:t>
      </w:r>
      <w:r>
        <w:rPr>
          <w:sz w:val="22"/>
        </w:rPr>
        <w:t>conflagration,</w:t>
      </w:r>
      <w:r>
        <w:rPr>
          <w:spacing w:val="16"/>
          <w:sz w:val="22"/>
        </w:rPr>
        <w:t xml:space="preserve"> </w:t>
      </w:r>
      <w:r>
        <w:rPr>
          <w:sz w:val="22"/>
        </w:rPr>
        <w:t>585,</w:t>
      </w:r>
      <w:r>
        <w:rPr>
          <w:spacing w:val="16"/>
          <w:sz w:val="22"/>
        </w:rPr>
        <w:t xml:space="preserve"> </w:t>
      </w:r>
      <w:r>
        <w:rPr>
          <w:spacing w:val="-5"/>
          <w:sz w:val="22"/>
        </w:rPr>
        <w:t>601</w:t>
      </w:r>
    </w:p>
    <w:p w14:paraId="0441C9CF">
      <w:pPr>
        <w:spacing w:before="152"/>
        <w:ind w:left="99" w:right="0" w:firstLine="0"/>
        <w:jc w:val="left"/>
        <w:rPr>
          <w:sz w:val="22"/>
        </w:rPr>
      </w:pPr>
      <w:r>
        <w:rPr>
          <w:sz w:val="22"/>
        </w:rPr>
        <w:t>Cosmic</w:t>
      </w:r>
      <w:r>
        <w:rPr>
          <w:spacing w:val="11"/>
          <w:sz w:val="22"/>
        </w:rPr>
        <w:t xml:space="preserve"> </w:t>
      </w:r>
      <w:r>
        <w:rPr>
          <w:sz w:val="22"/>
        </w:rPr>
        <w:t>transformation,</w:t>
      </w:r>
      <w:r>
        <w:rPr>
          <w:spacing w:val="11"/>
          <w:sz w:val="22"/>
        </w:rPr>
        <w:t xml:space="preserve"> </w:t>
      </w:r>
      <w:r>
        <w:rPr>
          <w:sz w:val="22"/>
        </w:rPr>
        <w:t>512,</w:t>
      </w:r>
      <w:r>
        <w:rPr>
          <w:spacing w:val="11"/>
          <w:sz w:val="22"/>
        </w:rPr>
        <w:t xml:space="preserve"> </w:t>
      </w:r>
      <w:r>
        <w:rPr>
          <w:sz w:val="22"/>
        </w:rPr>
        <w:t>529,</w:t>
      </w:r>
      <w:r>
        <w:rPr>
          <w:spacing w:val="12"/>
          <w:sz w:val="22"/>
        </w:rPr>
        <w:t xml:space="preserve"> </w:t>
      </w:r>
      <w:r>
        <w:rPr>
          <w:sz w:val="22"/>
        </w:rPr>
        <w:t>546,</w:t>
      </w:r>
      <w:r>
        <w:rPr>
          <w:spacing w:val="11"/>
          <w:sz w:val="22"/>
        </w:rPr>
        <w:t xml:space="preserve"> </w:t>
      </w:r>
      <w:r>
        <w:rPr>
          <w:sz w:val="22"/>
        </w:rPr>
        <w:t>561,</w:t>
      </w:r>
      <w:r>
        <w:rPr>
          <w:spacing w:val="11"/>
          <w:sz w:val="22"/>
        </w:rPr>
        <w:t xml:space="preserve"> </w:t>
      </w:r>
      <w:r>
        <w:rPr>
          <w:sz w:val="22"/>
        </w:rPr>
        <w:t>601;</w:t>
      </w:r>
      <w:r>
        <w:rPr>
          <w:spacing w:val="12"/>
          <w:sz w:val="22"/>
        </w:rPr>
        <w:t xml:space="preserve"> </w:t>
      </w:r>
      <w:r>
        <w:rPr>
          <w:sz w:val="22"/>
        </w:rPr>
        <w:t>(see,</w:t>
      </w:r>
      <w:r>
        <w:rPr>
          <w:spacing w:val="11"/>
          <w:sz w:val="22"/>
        </w:rPr>
        <w:t xml:space="preserve"> </w:t>
      </w:r>
      <w:r>
        <w:rPr>
          <w:sz w:val="22"/>
        </w:rPr>
        <w:t>the</w:t>
      </w:r>
      <w:r>
        <w:rPr>
          <w:spacing w:val="11"/>
          <w:sz w:val="22"/>
        </w:rPr>
        <w:t xml:space="preserve"> </w:t>
      </w:r>
      <w:r>
        <w:rPr>
          <w:spacing w:val="-2"/>
          <w:sz w:val="22"/>
        </w:rPr>
        <w:t>Regeneration)</w:t>
      </w:r>
    </w:p>
    <w:p w14:paraId="3E0723B8">
      <w:pPr>
        <w:spacing w:before="152"/>
        <w:ind w:left="99" w:right="0" w:firstLine="0"/>
        <w:jc w:val="left"/>
        <w:rPr>
          <w:sz w:val="22"/>
        </w:rPr>
      </w:pPr>
      <w:r>
        <w:rPr>
          <w:sz w:val="22"/>
        </w:rPr>
        <w:t>Covenant</w:t>
      </w:r>
      <w:r>
        <w:rPr>
          <w:spacing w:val="12"/>
          <w:sz w:val="22"/>
        </w:rPr>
        <w:t xml:space="preserve"> </w:t>
      </w:r>
      <w:r>
        <w:rPr>
          <w:sz w:val="22"/>
        </w:rPr>
        <w:t>of</w:t>
      </w:r>
      <w:r>
        <w:rPr>
          <w:spacing w:val="12"/>
          <w:sz w:val="22"/>
        </w:rPr>
        <w:t xml:space="preserve"> </w:t>
      </w:r>
      <w:r>
        <w:rPr>
          <w:sz w:val="22"/>
        </w:rPr>
        <w:t>Grace,</w:t>
      </w:r>
      <w:r>
        <w:rPr>
          <w:spacing w:val="13"/>
          <w:sz w:val="22"/>
        </w:rPr>
        <w:t xml:space="preserve"> </w:t>
      </w:r>
      <w:r>
        <w:rPr>
          <w:sz w:val="22"/>
        </w:rPr>
        <w:t>defined,</w:t>
      </w:r>
      <w:r>
        <w:rPr>
          <w:spacing w:val="12"/>
          <w:sz w:val="22"/>
        </w:rPr>
        <w:t xml:space="preserve"> </w:t>
      </w:r>
      <w:r>
        <w:rPr>
          <w:sz w:val="22"/>
        </w:rPr>
        <w:t>98;</w:t>
      </w:r>
      <w:r>
        <w:rPr>
          <w:spacing w:val="13"/>
          <w:sz w:val="22"/>
        </w:rPr>
        <w:t xml:space="preserve"> </w:t>
      </w:r>
      <w:r>
        <w:rPr>
          <w:sz w:val="22"/>
        </w:rPr>
        <w:t>administrations</w:t>
      </w:r>
      <w:r>
        <w:rPr>
          <w:spacing w:val="12"/>
          <w:sz w:val="22"/>
        </w:rPr>
        <w:t xml:space="preserve"> </w:t>
      </w:r>
      <w:r>
        <w:rPr>
          <w:sz w:val="22"/>
        </w:rPr>
        <w:t>of,</w:t>
      </w:r>
      <w:r>
        <w:rPr>
          <w:spacing w:val="13"/>
          <w:sz w:val="22"/>
        </w:rPr>
        <w:t xml:space="preserve"> </w:t>
      </w:r>
      <w:r>
        <w:rPr>
          <w:sz w:val="22"/>
        </w:rPr>
        <w:t>101,</w:t>
      </w:r>
      <w:r>
        <w:rPr>
          <w:spacing w:val="12"/>
          <w:sz w:val="22"/>
        </w:rPr>
        <w:t xml:space="preserve"> </w:t>
      </w:r>
      <w:r>
        <w:rPr>
          <w:spacing w:val="-5"/>
          <w:sz w:val="22"/>
        </w:rPr>
        <w:t>235</w:t>
      </w:r>
    </w:p>
    <w:p w14:paraId="305B3ECD">
      <w:pPr>
        <w:spacing w:before="152"/>
        <w:ind w:left="99" w:right="0" w:firstLine="0"/>
        <w:jc w:val="left"/>
        <w:rPr>
          <w:sz w:val="22"/>
        </w:rPr>
      </w:pPr>
      <w:r>
        <w:rPr>
          <w:sz w:val="22"/>
        </w:rPr>
        <w:t>Covenant</w:t>
      </w:r>
      <w:r>
        <w:rPr>
          <w:spacing w:val="10"/>
          <w:sz w:val="22"/>
        </w:rPr>
        <w:t xml:space="preserve"> </w:t>
      </w:r>
      <w:r>
        <w:rPr>
          <w:sz w:val="22"/>
        </w:rPr>
        <w:t>of</w:t>
      </w:r>
      <w:r>
        <w:rPr>
          <w:spacing w:val="10"/>
          <w:sz w:val="22"/>
        </w:rPr>
        <w:t xml:space="preserve"> </w:t>
      </w:r>
      <w:r>
        <w:rPr>
          <w:sz w:val="22"/>
        </w:rPr>
        <w:t>Redemption,</w:t>
      </w:r>
      <w:r>
        <w:rPr>
          <w:spacing w:val="10"/>
          <w:sz w:val="22"/>
        </w:rPr>
        <w:t xml:space="preserve"> </w:t>
      </w:r>
      <w:r>
        <w:rPr>
          <w:sz w:val="22"/>
        </w:rPr>
        <w:t>defined,</w:t>
      </w:r>
      <w:r>
        <w:rPr>
          <w:spacing w:val="10"/>
          <w:sz w:val="22"/>
        </w:rPr>
        <w:t xml:space="preserve"> </w:t>
      </w:r>
      <w:r>
        <w:rPr>
          <w:sz w:val="22"/>
        </w:rPr>
        <w:t>94;</w:t>
      </w:r>
      <w:r>
        <w:rPr>
          <w:spacing w:val="10"/>
          <w:sz w:val="22"/>
        </w:rPr>
        <w:t xml:space="preserve"> </w:t>
      </w:r>
      <w:r>
        <w:rPr>
          <w:sz w:val="22"/>
        </w:rPr>
        <w:t>and</w:t>
      </w:r>
      <w:r>
        <w:rPr>
          <w:spacing w:val="10"/>
          <w:sz w:val="22"/>
        </w:rPr>
        <w:t xml:space="preserve"> </w:t>
      </w:r>
      <w:r>
        <w:rPr>
          <w:sz w:val="22"/>
        </w:rPr>
        <w:t>the</w:t>
      </w:r>
      <w:r>
        <w:rPr>
          <w:spacing w:val="10"/>
          <w:sz w:val="22"/>
        </w:rPr>
        <w:t xml:space="preserve"> </w:t>
      </w:r>
      <w:r>
        <w:rPr>
          <w:sz w:val="22"/>
        </w:rPr>
        <w:t>Kingdom,</w:t>
      </w:r>
      <w:r>
        <w:rPr>
          <w:spacing w:val="10"/>
          <w:sz w:val="22"/>
        </w:rPr>
        <w:t xml:space="preserve"> </w:t>
      </w:r>
      <w:r>
        <w:rPr>
          <w:sz w:val="22"/>
        </w:rPr>
        <w:t>103;</w:t>
      </w:r>
      <w:r>
        <w:rPr>
          <w:spacing w:val="10"/>
          <w:sz w:val="22"/>
        </w:rPr>
        <w:t xml:space="preserve"> </w:t>
      </w:r>
      <w:r>
        <w:rPr>
          <w:sz w:val="22"/>
        </w:rPr>
        <w:t>111,</w:t>
      </w:r>
      <w:r>
        <w:rPr>
          <w:spacing w:val="10"/>
          <w:sz w:val="22"/>
        </w:rPr>
        <w:t xml:space="preserve"> </w:t>
      </w:r>
      <w:r>
        <w:rPr>
          <w:spacing w:val="-5"/>
          <w:sz w:val="22"/>
        </w:rPr>
        <w:t>159</w:t>
      </w:r>
    </w:p>
    <w:p w14:paraId="576849D9">
      <w:pPr>
        <w:spacing w:before="152" w:line="384" w:lineRule="auto"/>
        <w:ind w:left="99" w:right="5538" w:firstLine="0"/>
        <w:jc w:val="left"/>
        <w:rPr>
          <w:sz w:val="22"/>
        </w:rPr>
      </w:pPr>
      <w:r>
        <w:rPr>
          <w:sz w:val="22"/>
        </w:rPr>
        <w:t>Covenant of Works, 74, 96, 160, 168, 180 Creeds on the Consummation, 677</w:t>
      </w:r>
      <w:r>
        <w:rPr>
          <w:spacing w:val="80"/>
          <w:sz w:val="22"/>
        </w:rPr>
        <w:t xml:space="preserve"> </w:t>
      </w:r>
      <w:r>
        <w:rPr>
          <w:sz w:val="22"/>
        </w:rPr>
        <w:t>Cycles, in the Revelation, 426f</w:t>
      </w:r>
      <w:r>
        <w:drawing>
          <wp:inline distT="0" distB="0" distL="114300" distR="114300">
            <wp:extent cx="5000625" cy="3810000"/>
            <wp:effectExtent l="0" t="0" r="13335" b="0"/>
            <wp:docPr id="59"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44"/>
                    <pic:cNvPicPr>
                      <a:picLocks noChangeAspect="1"/>
                    </pic:cNvPicPr>
                  </pic:nvPicPr>
                  <pic:blipFill>
                    <a:blip r:embed="rId59"/>
                    <a:stretch>
                      <a:fillRect/>
                    </a:stretch>
                  </pic:blipFill>
                  <pic:spPr>
                    <a:xfrm>
                      <a:off x="0" y="0"/>
                      <a:ext cx="5000625" cy="3810000"/>
                    </a:xfrm>
                    <a:prstGeom prst="rect">
                      <a:avLst/>
                    </a:prstGeom>
                    <a:noFill/>
                    <a:ln>
                      <a:noFill/>
                    </a:ln>
                  </pic:spPr>
                </pic:pic>
              </a:graphicData>
            </a:graphic>
          </wp:inline>
        </w:drawing>
      </w:r>
    </w:p>
    <w:p w14:paraId="36CCB759">
      <w:pPr>
        <w:pStyle w:val="5"/>
        <w:spacing w:before="63"/>
      </w:pPr>
      <w:r>
        <w:rPr>
          <w:color w:val="231F20"/>
          <w:spacing w:val="-10"/>
        </w:rPr>
        <w:t>D</w:t>
      </w:r>
    </w:p>
    <w:p w14:paraId="2F368D35">
      <w:pPr>
        <w:spacing w:before="188"/>
        <w:ind w:left="99" w:right="0" w:firstLine="0"/>
        <w:jc w:val="left"/>
        <w:rPr>
          <w:sz w:val="22"/>
        </w:rPr>
      </w:pPr>
      <w:r>
        <w:rPr>
          <w:sz w:val="22"/>
        </w:rPr>
        <w:t>David,</w:t>
      </w:r>
      <w:r>
        <w:rPr>
          <w:spacing w:val="22"/>
          <w:sz w:val="22"/>
        </w:rPr>
        <w:t xml:space="preserve"> </w:t>
      </w:r>
      <w:r>
        <w:rPr>
          <w:sz w:val="22"/>
        </w:rPr>
        <w:t>covenant</w:t>
      </w:r>
      <w:r>
        <w:rPr>
          <w:spacing w:val="22"/>
          <w:sz w:val="22"/>
        </w:rPr>
        <w:t xml:space="preserve"> </w:t>
      </w:r>
      <w:r>
        <w:rPr>
          <w:sz w:val="22"/>
        </w:rPr>
        <w:t>with,</w:t>
      </w:r>
      <w:r>
        <w:rPr>
          <w:spacing w:val="22"/>
          <w:sz w:val="22"/>
        </w:rPr>
        <w:t xml:space="preserve"> </w:t>
      </w:r>
      <w:r>
        <w:rPr>
          <w:sz w:val="22"/>
        </w:rPr>
        <w:t>32;</w:t>
      </w:r>
      <w:r>
        <w:rPr>
          <w:spacing w:val="23"/>
          <w:sz w:val="22"/>
        </w:rPr>
        <w:t xml:space="preserve"> </w:t>
      </w:r>
      <w:r>
        <w:rPr>
          <w:sz w:val="22"/>
        </w:rPr>
        <w:t>as</w:t>
      </w:r>
      <w:r>
        <w:rPr>
          <w:spacing w:val="22"/>
          <w:sz w:val="22"/>
        </w:rPr>
        <w:t xml:space="preserve"> </w:t>
      </w:r>
      <w:r>
        <w:rPr>
          <w:sz w:val="22"/>
        </w:rPr>
        <w:t>type</w:t>
      </w:r>
      <w:r>
        <w:rPr>
          <w:spacing w:val="22"/>
          <w:sz w:val="22"/>
        </w:rPr>
        <w:t xml:space="preserve"> </w:t>
      </w:r>
      <w:r>
        <w:rPr>
          <w:sz w:val="22"/>
        </w:rPr>
        <w:t>of</w:t>
      </w:r>
      <w:r>
        <w:rPr>
          <w:spacing w:val="22"/>
          <w:sz w:val="22"/>
        </w:rPr>
        <w:t xml:space="preserve"> </w:t>
      </w:r>
      <w:r>
        <w:rPr>
          <w:sz w:val="22"/>
        </w:rPr>
        <w:t>Christ,</w:t>
      </w:r>
      <w:r>
        <w:rPr>
          <w:spacing w:val="23"/>
          <w:sz w:val="22"/>
        </w:rPr>
        <w:t xml:space="preserve"> </w:t>
      </w:r>
      <w:r>
        <w:rPr>
          <w:sz w:val="22"/>
        </w:rPr>
        <w:t>119;</w:t>
      </w:r>
      <w:r>
        <w:rPr>
          <w:spacing w:val="22"/>
          <w:sz w:val="22"/>
        </w:rPr>
        <w:t xml:space="preserve"> </w:t>
      </w:r>
      <w:r>
        <w:rPr>
          <w:sz w:val="22"/>
        </w:rPr>
        <w:t>in</w:t>
      </w:r>
      <w:r>
        <w:rPr>
          <w:spacing w:val="22"/>
          <w:sz w:val="22"/>
        </w:rPr>
        <w:t xml:space="preserve"> </w:t>
      </w:r>
      <w:r>
        <w:rPr>
          <w:sz w:val="22"/>
        </w:rPr>
        <w:t>OTKP,</w:t>
      </w:r>
      <w:r>
        <w:rPr>
          <w:spacing w:val="22"/>
          <w:sz w:val="22"/>
        </w:rPr>
        <w:t xml:space="preserve"> </w:t>
      </w:r>
      <w:r>
        <w:rPr>
          <w:sz w:val="22"/>
        </w:rPr>
        <w:t>190,</w:t>
      </w:r>
      <w:r>
        <w:rPr>
          <w:spacing w:val="23"/>
          <w:sz w:val="22"/>
        </w:rPr>
        <w:t xml:space="preserve"> </w:t>
      </w:r>
      <w:r>
        <w:rPr>
          <w:sz w:val="22"/>
        </w:rPr>
        <w:t>196,</w:t>
      </w:r>
      <w:r>
        <w:rPr>
          <w:spacing w:val="22"/>
          <w:sz w:val="22"/>
        </w:rPr>
        <w:t xml:space="preserve"> </w:t>
      </w:r>
      <w:r>
        <w:rPr>
          <w:sz w:val="22"/>
        </w:rPr>
        <w:t>217,</w:t>
      </w:r>
      <w:r>
        <w:rPr>
          <w:spacing w:val="22"/>
          <w:sz w:val="22"/>
        </w:rPr>
        <w:t xml:space="preserve"> </w:t>
      </w:r>
      <w:r>
        <w:rPr>
          <w:sz w:val="22"/>
        </w:rPr>
        <w:t>282,</w:t>
      </w:r>
      <w:r>
        <w:rPr>
          <w:spacing w:val="22"/>
          <w:sz w:val="22"/>
        </w:rPr>
        <w:t xml:space="preserve"> </w:t>
      </w:r>
      <w:r>
        <w:rPr>
          <w:sz w:val="22"/>
        </w:rPr>
        <w:t>284,</w:t>
      </w:r>
      <w:r>
        <w:rPr>
          <w:spacing w:val="23"/>
          <w:sz w:val="22"/>
        </w:rPr>
        <w:t xml:space="preserve"> </w:t>
      </w:r>
      <w:r>
        <w:rPr>
          <w:sz w:val="22"/>
        </w:rPr>
        <w:t>287,</w:t>
      </w:r>
      <w:r>
        <w:rPr>
          <w:spacing w:val="22"/>
          <w:sz w:val="22"/>
        </w:rPr>
        <w:t xml:space="preserve"> </w:t>
      </w:r>
      <w:r>
        <w:rPr>
          <w:sz w:val="22"/>
        </w:rPr>
        <w:t>344,</w:t>
      </w:r>
      <w:r>
        <w:rPr>
          <w:spacing w:val="22"/>
          <w:sz w:val="22"/>
        </w:rPr>
        <w:t xml:space="preserve"> </w:t>
      </w:r>
      <w:r>
        <w:rPr>
          <w:spacing w:val="-4"/>
          <w:sz w:val="22"/>
        </w:rPr>
        <w:t>388;</w:t>
      </w:r>
    </w:p>
    <w:p w14:paraId="295E1534">
      <w:pPr>
        <w:spacing w:before="152"/>
        <w:ind w:left="264" w:right="0" w:firstLine="0"/>
        <w:jc w:val="left"/>
        <w:rPr>
          <w:sz w:val="22"/>
        </w:rPr>
      </w:pPr>
      <w:r>
        <w:rPr>
          <w:sz w:val="22"/>
        </w:rPr>
        <w:t>tabernacle</w:t>
      </w:r>
      <w:r>
        <w:rPr>
          <w:spacing w:val="9"/>
          <w:sz w:val="22"/>
        </w:rPr>
        <w:t xml:space="preserve"> </w:t>
      </w:r>
      <w:r>
        <w:rPr>
          <w:sz w:val="22"/>
        </w:rPr>
        <w:t>of,</w:t>
      </w:r>
      <w:r>
        <w:rPr>
          <w:spacing w:val="10"/>
          <w:sz w:val="22"/>
        </w:rPr>
        <w:t xml:space="preserve"> </w:t>
      </w:r>
      <w:r>
        <w:rPr>
          <w:sz w:val="22"/>
        </w:rPr>
        <w:t>262;</w:t>
      </w:r>
      <w:r>
        <w:rPr>
          <w:spacing w:val="10"/>
          <w:sz w:val="22"/>
        </w:rPr>
        <w:t xml:space="preserve"> </w:t>
      </w:r>
      <w:r>
        <w:rPr>
          <w:sz w:val="22"/>
        </w:rPr>
        <w:t>Root</w:t>
      </w:r>
      <w:r>
        <w:rPr>
          <w:spacing w:val="10"/>
          <w:sz w:val="22"/>
        </w:rPr>
        <w:t xml:space="preserve"> </w:t>
      </w:r>
      <w:r>
        <w:rPr>
          <w:sz w:val="22"/>
        </w:rPr>
        <w:t>of,</w:t>
      </w:r>
      <w:r>
        <w:rPr>
          <w:spacing w:val="9"/>
          <w:sz w:val="22"/>
        </w:rPr>
        <w:t xml:space="preserve"> </w:t>
      </w:r>
      <w:r>
        <w:rPr>
          <w:spacing w:val="-5"/>
          <w:sz w:val="22"/>
        </w:rPr>
        <w:t>439</w:t>
      </w:r>
    </w:p>
    <w:p w14:paraId="633E0F62">
      <w:pPr>
        <w:spacing w:before="152"/>
        <w:ind w:left="99" w:right="0" w:firstLine="0"/>
        <w:jc w:val="left"/>
        <w:rPr>
          <w:sz w:val="22"/>
        </w:rPr>
      </w:pPr>
      <w:r>
        <w:rPr>
          <w:sz w:val="22"/>
        </w:rPr>
        <w:t>Day</w:t>
      </w:r>
      <w:r>
        <w:rPr>
          <w:spacing w:val="8"/>
          <w:sz w:val="22"/>
        </w:rPr>
        <w:t xml:space="preserve"> </w:t>
      </w:r>
      <w:r>
        <w:rPr>
          <w:sz w:val="22"/>
        </w:rPr>
        <w:t>of</w:t>
      </w:r>
      <w:r>
        <w:rPr>
          <w:spacing w:val="9"/>
          <w:sz w:val="22"/>
        </w:rPr>
        <w:t xml:space="preserve"> </w:t>
      </w:r>
      <w:r>
        <w:rPr>
          <w:sz w:val="22"/>
        </w:rPr>
        <w:t>(the</w:t>
      </w:r>
      <w:r>
        <w:rPr>
          <w:spacing w:val="9"/>
          <w:sz w:val="22"/>
        </w:rPr>
        <w:t xml:space="preserve"> </w:t>
      </w:r>
      <w:r>
        <w:rPr>
          <w:sz w:val="22"/>
        </w:rPr>
        <w:t>Lord</w:t>
      </w:r>
      <w:r>
        <w:rPr>
          <w:spacing w:val="9"/>
          <w:sz w:val="22"/>
        </w:rPr>
        <w:t xml:space="preserve"> </w:t>
      </w:r>
      <w:r>
        <w:rPr>
          <w:sz w:val="22"/>
        </w:rPr>
        <w:t>Jesus)</w:t>
      </w:r>
      <w:r>
        <w:rPr>
          <w:spacing w:val="9"/>
          <w:sz w:val="22"/>
        </w:rPr>
        <w:t xml:space="preserve"> </w:t>
      </w:r>
      <w:r>
        <w:rPr>
          <w:sz w:val="22"/>
        </w:rPr>
        <w:t>Christ,</w:t>
      </w:r>
      <w:r>
        <w:rPr>
          <w:spacing w:val="9"/>
          <w:sz w:val="22"/>
        </w:rPr>
        <w:t xml:space="preserve"> </w:t>
      </w:r>
      <w:r>
        <w:rPr>
          <w:sz w:val="22"/>
        </w:rPr>
        <w:t>136,</w:t>
      </w:r>
      <w:r>
        <w:rPr>
          <w:spacing w:val="9"/>
          <w:sz w:val="22"/>
        </w:rPr>
        <w:t xml:space="preserve"> </w:t>
      </w:r>
      <w:r>
        <w:rPr>
          <w:sz w:val="22"/>
        </w:rPr>
        <w:t>223,</w:t>
      </w:r>
      <w:r>
        <w:rPr>
          <w:spacing w:val="9"/>
          <w:sz w:val="22"/>
        </w:rPr>
        <w:t xml:space="preserve"> </w:t>
      </w:r>
      <w:r>
        <w:rPr>
          <w:sz w:val="22"/>
        </w:rPr>
        <w:t>250,</w:t>
      </w:r>
      <w:r>
        <w:rPr>
          <w:spacing w:val="9"/>
          <w:sz w:val="22"/>
        </w:rPr>
        <w:t xml:space="preserve"> </w:t>
      </w:r>
      <w:r>
        <w:rPr>
          <w:sz w:val="22"/>
        </w:rPr>
        <w:t>278,</w:t>
      </w:r>
      <w:r>
        <w:rPr>
          <w:spacing w:val="9"/>
          <w:sz w:val="22"/>
        </w:rPr>
        <w:t xml:space="preserve"> </w:t>
      </w:r>
      <w:r>
        <w:rPr>
          <w:sz w:val="22"/>
        </w:rPr>
        <w:t>397,</w:t>
      </w:r>
      <w:r>
        <w:rPr>
          <w:spacing w:val="8"/>
          <w:sz w:val="22"/>
        </w:rPr>
        <w:t xml:space="preserve"> </w:t>
      </w:r>
      <w:r>
        <w:rPr>
          <w:sz w:val="22"/>
        </w:rPr>
        <w:t>568,</w:t>
      </w:r>
      <w:r>
        <w:rPr>
          <w:spacing w:val="9"/>
          <w:sz w:val="22"/>
        </w:rPr>
        <w:t xml:space="preserve"> </w:t>
      </w:r>
      <w:r>
        <w:rPr>
          <w:sz w:val="22"/>
        </w:rPr>
        <w:t>574,</w:t>
      </w:r>
      <w:r>
        <w:rPr>
          <w:spacing w:val="9"/>
          <w:sz w:val="22"/>
        </w:rPr>
        <w:t xml:space="preserve"> </w:t>
      </w:r>
      <w:r>
        <w:rPr>
          <w:sz w:val="22"/>
        </w:rPr>
        <w:t>576,</w:t>
      </w:r>
      <w:r>
        <w:rPr>
          <w:spacing w:val="9"/>
          <w:sz w:val="22"/>
        </w:rPr>
        <w:t xml:space="preserve"> </w:t>
      </w:r>
      <w:r>
        <w:rPr>
          <w:spacing w:val="-5"/>
          <w:sz w:val="22"/>
        </w:rPr>
        <w:t>585</w:t>
      </w:r>
    </w:p>
    <w:p w14:paraId="5C48141A">
      <w:pPr>
        <w:spacing w:before="152" w:line="384" w:lineRule="auto"/>
        <w:ind w:left="99" w:right="1945" w:firstLine="0"/>
        <w:jc w:val="left"/>
        <w:rPr>
          <w:sz w:val="22"/>
        </w:rPr>
      </w:pPr>
      <w:r>
        <w:rPr>
          <w:sz w:val="22"/>
        </w:rPr>
        <w:t>Day of the LORD, in OTKP, 220f; in Dispensationalism, 569, 588; in 2 Peter, 585 Days of the Messiah, 132, 135, 147, 217, 249, 289</w:t>
      </w:r>
    </w:p>
    <w:p w14:paraId="7D95B7FB">
      <w:pPr>
        <w:spacing w:before="1"/>
        <w:ind w:left="99" w:right="0" w:firstLine="0"/>
        <w:jc w:val="left"/>
        <w:rPr>
          <w:sz w:val="22"/>
        </w:rPr>
      </w:pPr>
      <w:r>
        <w:rPr>
          <w:sz w:val="22"/>
        </w:rPr>
        <w:t>Dead</w:t>
      </w:r>
      <w:r>
        <w:rPr>
          <w:spacing w:val="6"/>
          <w:sz w:val="22"/>
        </w:rPr>
        <w:t xml:space="preserve"> </w:t>
      </w:r>
      <w:r>
        <w:rPr>
          <w:sz w:val="22"/>
        </w:rPr>
        <w:t>(the),</w:t>
      </w:r>
      <w:r>
        <w:rPr>
          <w:spacing w:val="6"/>
          <w:sz w:val="22"/>
        </w:rPr>
        <w:t xml:space="preserve"> </w:t>
      </w:r>
      <w:r>
        <w:rPr>
          <w:sz w:val="22"/>
        </w:rPr>
        <w:t>in</w:t>
      </w:r>
      <w:r>
        <w:rPr>
          <w:spacing w:val="6"/>
          <w:sz w:val="22"/>
        </w:rPr>
        <w:t xml:space="preserve"> </w:t>
      </w:r>
      <w:r>
        <w:rPr>
          <w:sz w:val="22"/>
        </w:rPr>
        <w:t>Rev.</w:t>
      </w:r>
      <w:r>
        <w:rPr>
          <w:spacing w:val="7"/>
          <w:sz w:val="22"/>
        </w:rPr>
        <w:t xml:space="preserve"> </w:t>
      </w:r>
      <w:r>
        <w:rPr>
          <w:sz w:val="22"/>
        </w:rPr>
        <w:t>20:12,</w:t>
      </w:r>
      <w:r>
        <w:rPr>
          <w:spacing w:val="6"/>
          <w:sz w:val="22"/>
        </w:rPr>
        <w:t xml:space="preserve"> </w:t>
      </w:r>
      <w:r>
        <w:rPr>
          <w:spacing w:val="-4"/>
          <w:sz w:val="22"/>
        </w:rPr>
        <w:t>494f</w:t>
      </w:r>
    </w:p>
    <w:p w14:paraId="73B62900">
      <w:pPr>
        <w:spacing w:after="0"/>
        <w:jc w:val="left"/>
        <w:rPr>
          <w:sz w:val="22"/>
        </w:rPr>
      </w:pPr>
    </w:p>
    <w:p w14:paraId="6673010B">
      <w:pPr>
        <w:bidi w:val="0"/>
        <w:rPr>
          <w:rFonts w:ascii="Times New Roman" w:hAnsi="Times New Roman" w:eastAsia="Times New Roman" w:cs="Times New Roman"/>
          <w:sz w:val="22"/>
          <w:szCs w:val="22"/>
          <w:lang w:val="en-US" w:eastAsia="en-US" w:bidi="ar-SA"/>
        </w:rPr>
      </w:pPr>
    </w:p>
    <w:p w14:paraId="495C93ED">
      <w:pPr>
        <w:tabs>
          <w:tab w:val="left" w:pos="2140"/>
        </w:tabs>
        <w:bidi w:val="0"/>
        <w:jc w:val="left"/>
        <w:rPr>
          <w:sz w:val="22"/>
        </w:rPr>
      </w:pPr>
      <w:r>
        <w:rPr>
          <w:sz w:val="22"/>
        </w:rPr>
        <w:t>Delivery of the Kingdom, 512, 603 Didactic NT, 46f; and the Revelation, 417f</w:t>
      </w:r>
    </w:p>
    <w:p w14:paraId="3E9FA926">
      <w:pPr>
        <w:spacing w:before="1" w:line="384" w:lineRule="auto"/>
        <w:ind w:left="99" w:right="0" w:firstLine="0"/>
        <w:jc w:val="left"/>
        <w:rPr>
          <w:sz w:val="22"/>
        </w:rPr>
      </w:pPr>
      <w:r>
        <w:rPr>
          <w:sz w:val="22"/>
        </w:rPr>
        <w:t>Dispensationalism, defined, 28f; Progressive,</w:t>
      </w:r>
      <w:r>
        <w:rPr>
          <w:spacing w:val="40"/>
          <w:sz w:val="22"/>
        </w:rPr>
        <w:t xml:space="preserve"> </w:t>
      </w:r>
      <w:r>
        <w:rPr>
          <w:b/>
          <w:sz w:val="22"/>
        </w:rPr>
        <w:t>31f</w:t>
      </w:r>
      <w:r>
        <w:rPr>
          <w:sz w:val="22"/>
        </w:rPr>
        <w:t>, 625, 629, 687; rock of, 370; critiqued, 623f Disruptions, in nature and society, 595</w:t>
      </w:r>
    </w:p>
    <w:p w14:paraId="4A031A7F">
      <w:pPr>
        <w:spacing w:before="0" w:line="384" w:lineRule="auto"/>
        <w:ind w:left="99" w:right="372" w:firstLine="0"/>
        <w:jc w:val="left"/>
        <w:rPr>
          <w:sz w:val="22"/>
        </w:rPr>
      </w:pPr>
      <w:r>
        <w:rPr>
          <w:sz w:val="22"/>
        </w:rPr>
        <w:t>Domain of Darkness, elements of, 78; and the Kingdom, 83; and EC, 93; (see, World System) Dragon, 413, 449</w:t>
      </w:r>
    </w:p>
    <w:p w14:paraId="362A9D00">
      <w:pPr>
        <w:spacing w:before="1"/>
        <w:ind w:left="99" w:right="0" w:firstLine="0"/>
        <w:jc w:val="left"/>
        <w:rPr>
          <w:spacing w:val="-5"/>
          <w:sz w:val="22"/>
        </w:rPr>
      </w:pPr>
      <w:r>
        <w:rPr>
          <w:sz w:val="22"/>
        </w:rPr>
        <w:t>Dynasty,</w:t>
      </w:r>
      <w:r>
        <w:rPr>
          <w:spacing w:val="7"/>
          <w:sz w:val="22"/>
        </w:rPr>
        <w:t xml:space="preserve"> </w:t>
      </w:r>
      <w:r>
        <w:rPr>
          <w:sz w:val="22"/>
        </w:rPr>
        <w:t>of</w:t>
      </w:r>
      <w:r>
        <w:rPr>
          <w:spacing w:val="7"/>
          <w:sz w:val="22"/>
        </w:rPr>
        <w:t xml:space="preserve"> </w:t>
      </w:r>
      <w:r>
        <w:rPr>
          <w:sz w:val="22"/>
        </w:rPr>
        <w:t>David,</w:t>
      </w:r>
      <w:r>
        <w:rPr>
          <w:spacing w:val="8"/>
          <w:sz w:val="22"/>
        </w:rPr>
        <w:t xml:space="preserve"> </w:t>
      </w:r>
      <w:r>
        <w:rPr>
          <w:sz w:val="22"/>
        </w:rPr>
        <w:t>68,</w:t>
      </w:r>
      <w:r>
        <w:rPr>
          <w:spacing w:val="7"/>
          <w:sz w:val="22"/>
        </w:rPr>
        <w:t xml:space="preserve"> </w:t>
      </w:r>
      <w:r>
        <w:rPr>
          <w:sz w:val="22"/>
        </w:rPr>
        <w:t>142,</w:t>
      </w:r>
      <w:r>
        <w:rPr>
          <w:spacing w:val="8"/>
          <w:sz w:val="22"/>
        </w:rPr>
        <w:t xml:space="preserve"> </w:t>
      </w:r>
      <w:r>
        <w:rPr>
          <w:sz w:val="22"/>
        </w:rPr>
        <w:t>233,</w:t>
      </w:r>
      <w:r>
        <w:rPr>
          <w:spacing w:val="7"/>
          <w:sz w:val="22"/>
        </w:rPr>
        <w:t xml:space="preserve"> </w:t>
      </w:r>
      <w:r>
        <w:rPr>
          <w:sz w:val="22"/>
        </w:rPr>
        <w:t>245,</w:t>
      </w:r>
      <w:r>
        <w:rPr>
          <w:spacing w:val="7"/>
          <w:sz w:val="22"/>
        </w:rPr>
        <w:t xml:space="preserve"> </w:t>
      </w:r>
      <w:r>
        <w:rPr>
          <w:spacing w:val="-5"/>
          <w:sz w:val="22"/>
        </w:rPr>
        <w:t>262</w:t>
      </w:r>
    </w:p>
    <w:p w14:paraId="0838F574">
      <w:pPr>
        <w:spacing w:before="1"/>
        <w:ind w:left="99" w:right="0" w:firstLine="0"/>
        <w:jc w:val="left"/>
        <w:rPr>
          <w:spacing w:val="-5"/>
          <w:sz w:val="22"/>
        </w:rPr>
      </w:pPr>
    </w:p>
    <w:p w14:paraId="41357F76">
      <w:pPr>
        <w:spacing w:before="1"/>
        <w:ind w:left="99" w:right="0" w:firstLine="0"/>
        <w:jc w:val="left"/>
        <w:rPr>
          <w:spacing w:val="-5"/>
          <w:sz w:val="22"/>
        </w:rPr>
      </w:pPr>
    </w:p>
    <w:p w14:paraId="6E90E2A2">
      <w:pPr>
        <w:spacing w:before="1"/>
        <w:ind w:left="99" w:right="0" w:firstLine="0"/>
        <w:jc w:val="left"/>
        <w:rPr>
          <w:spacing w:val="-5"/>
          <w:sz w:val="22"/>
        </w:rPr>
      </w:pPr>
      <w:r>
        <w:drawing>
          <wp:inline distT="0" distB="0" distL="114300" distR="114300">
            <wp:extent cx="4953000" cy="2762250"/>
            <wp:effectExtent l="0" t="0" r="0" b="11430"/>
            <wp:docPr id="60"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45"/>
                    <pic:cNvPicPr>
                      <a:picLocks noChangeAspect="1"/>
                    </pic:cNvPicPr>
                  </pic:nvPicPr>
                  <pic:blipFill>
                    <a:blip r:embed="rId60"/>
                    <a:stretch>
                      <a:fillRect/>
                    </a:stretch>
                  </pic:blipFill>
                  <pic:spPr>
                    <a:xfrm>
                      <a:off x="0" y="0"/>
                      <a:ext cx="4953000" cy="2762250"/>
                    </a:xfrm>
                    <a:prstGeom prst="rect">
                      <a:avLst/>
                    </a:prstGeom>
                    <a:noFill/>
                    <a:ln>
                      <a:noFill/>
                    </a:ln>
                  </pic:spPr>
                </pic:pic>
              </a:graphicData>
            </a:graphic>
          </wp:inline>
        </w:drawing>
      </w:r>
    </w:p>
    <w:p w14:paraId="1DA91ED0">
      <w:pPr>
        <w:spacing w:before="1"/>
        <w:ind w:left="99" w:right="0" w:firstLine="0"/>
        <w:jc w:val="left"/>
        <w:rPr>
          <w:spacing w:val="-5"/>
          <w:sz w:val="22"/>
        </w:rPr>
      </w:pPr>
    </w:p>
    <w:p w14:paraId="60A5A6AD">
      <w:pPr>
        <w:spacing w:before="1"/>
        <w:ind w:left="99" w:right="0" w:firstLine="0"/>
        <w:jc w:val="left"/>
        <w:rPr>
          <w:spacing w:val="-5"/>
          <w:sz w:val="22"/>
        </w:rPr>
      </w:pPr>
    </w:p>
    <w:p w14:paraId="7772A579">
      <w:pPr>
        <w:pStyle w:val="5"/>
        <w:ind w:left="0" w:leftChars="0" w:firstLine="0" w:firstLineChars="0"/>
        <w:jc w:val="both"/>
      </w:pPr>
      <w:r>
        <w:rPr>
          <w:color w:val="231F20"/>
          <w:spacing w:val="-10"/>
        </w:rPr>
        <w:t>E</w:t>
      </w:r>
    </w:p>
    <w:p w14:paraId="5BE6306C">
      <w:pPr>
        <w:spacing w:before="188"/>
        <w:ind w:left="99" w:right="0" w:firstLine="0"/>
        <w:jc w:val="both"/>
        <w:rPr>
          <w:sz w:val="22"/>
        </w:rPr>
      </w:pPr>
      <w:r>
        <w:rPr>
          <w:sz w:val="22"/>
        </w:rPr>
        <w:t>Eden,</w:t>
      </w:r>
      <w:r>
        <w:rPr>
          <w:spacing w:val="7"/>
          <w:sz w:val="22"/>
        </w:rPr>
        <w:t xml:space="preserve"> </w:t>
      </w:r>
      <w:r>
        <w:rPr>
          <w:sz w:val="22"/>
        </w:rPr>
        <w:t>71,</w:t>
      </w:r>
      <w:r>
        <w:rPr>
          <w:spacing w:val="8"/>
          <w:sz w:val="22"/>
        </w:rPr>
        <w:t xml:space="preserve"> </w:t>
      </w:r>
      <w:r>
        <w:rPr>
          <w:sz w:val="22"/>
        </w:rPr>
        <w:t>74,</w:t>
      </w:r>
      <w:r>
        <w:rPr>
          <w:spacing w:val="8"/>
          <w:sz w:val="22"/>
        </w:rPr>
        <w:t xml:space="preserve"> </w:t>
      </w:r>
      <w:r>
        <w:rPr>
          <w:sz w:val="22"/>
        </w:rPr>
        <w:t>109,</w:t>
      </w:r>
      <w:r>
        <w:rPr>
          <w:spacing w:val="8"/>
          <w:sz w:val="22"/>
        </w:rPr>
        <w:t xml:space="preserve"> </w:t>
      </w:r>
      <w:r>
        <w:rPr>
          <w:sz w:val="22"/>
        </w:rPr>
        <w:t>125,</w:t>
      </w:r>
      <w:r>
        <w:rPr>
          <w:spacing w:val="8"/>
          <w:sz w:val="22"/>
        </w:rPr>
        <w:t xml:space="preserve"> </w:t>
      </w:r>
      <w:r>
        <w:rPr>
          <w:sz w:val="22"/>
        </w:rPr>
        <w:t>168,</w:t>
      </w:r>
      <w:r>
        <w:rPr>
          <w:spacing w:val="8"/>
          <w:sz w:val="22"/>
        </w:rPr>
        <w:t xml:space="preserve"> </w:t>
      </w:r>
      <w:r>
        <w:rPr>
          <w:sz w:val="22"/>
        </w:rPr>
        <w:t>208,</w:t>
      </w:r>
      <w:r>
        <w:rPr>
          <w:spacing w:val="8"/>
          <w:sz w:val="22"/>
        </w:rPr>
        <w:t xml:space="preserve"> </w:t>
      </w:r>
      <w:r>
        <w:rPr>
          <w:sz w:val="22"/>
        </w:rPr>
        <w:t>289,</w:t>
      </w:r>
      <w:r>
        <w:rPr>
          <w:spacing w:val="8"/>
          <w:sz w:val="22"/>
        </w:rPr>
        <w:t xml:space="preserve"> </w:t>
      </w:r>
      <w:r>
        <w:rPr>
          <w:sz w:val="22"/>
        </w:rPr>
        <w:t>301,</w:t>
      </w:r>
      <w:r>
        <w:rPr>
          <w:spacing w:val="8"/>
          <w:sz w:val="22"/>
        </w:rPr>
        <w:t xml:space="preserve"> </w:t>
      </w:r>
      <w:r>
        <w:rPr>
          <w:sz w:val="22"/>
        </w:rPr>
        <w:t>311,</w:t>
      </w:r>
      <w:r>
        <w:rPr>
          <w:spacing w:val="8"/>
          <w:sz w:val="22"/>
        </w:rPr>
        <w:t xml:space="preserve"> </w:t>
      </w:r>
      <w:r>
        <w:rPr>
          <w:sz w:val="22"/>
        </w:rPr>
        <w:t>337,</w:t>
      </w:r>
      <w:r>
        <w:rPr>
          <w:spacing w:val="8"/>
          <w:sz w:val="22"/>
        </w:rPr>
        <w:t xml:space="preserve"> </w:t>
      </w:r>
      <w:r>
        <w:rPr>
          <w:sz w:val="22"/>
        </w:rPr>
        <w:t>347,</w:t>
      </w:r>
      <w:r>
        <w:rPr>
          <w:spacing w:val="8"/>
          <w:sz w:val="22"/>
        </w:rPr>
        <w:t xml:space="preserve"> </w:t>
      </w:r>
      <w:r>
        <w:rPr>
          <w:sz w:val="22"/>
        </w:rPr>
        <w:t>400,</w:t>
      </w:r>
      <w:r>
        <w:rPr>
          <w:spacing w:val="7"/>
          <w:sz w:val="22"/>
        </w:rPr>
        <w:t xml:space="preserve"> </w:t>
      </w:r>
      <w:r>
        <w:rPr>
          <w:sz w:val="22"/>
        </w:rPr>
        <w:t>497,</w:t>
      </w:r>
      <w:r>
        <w:rPr>
          <w:spacing w:val="8"/>
          <w:sz w:val="22"/>
        </w:rPr>
        <w:t xml:space="preserve"> </w:t>
      </w:r>
      <w:r>
        <w:rPr>
          <w:spacing w:val="-5"/>
          <w:sz w:val="22"/>
        </w:rPr>
        <w:t>683</w:t>
      </w:r>
    </w:p>
    <w:p w14:paraId="4640CBE7">
      <w:pPr>
        <w:spacing w:before="152"/>
        <w:ind w:left="99" w:right="0" w:firstLine="0"/>
        <w:jc w:val="both"/>
        <w:rPr>
          <w:sz w:val="22"/>
        </w:rPr>
      </w:pPr>
      <w:r>
        <w:rPr>
          <w:sz w:val="22"/>
        </w:rPr>
        <w:t>Egypt,</w:t>
      </w:r>
      <w:r>
        <w:rPr>
          <w:spacing w:val="21"/>
          <w:sz w:val="22"/>
        </w:rPr>
        <w:t xml:space="preserve"> </w:t>
      </w:r>
      <w:r>
        <w:rPr>
          <w:sz w:val="22"/>
        </w:rPr>
        <w:t>as</w:t>
      </w:r>
      <w:r>
        <w:rPr>
          <w:spacing w:val="21"/>
          <w:sz w:val="22"/>
        </w:rPr>
        <w:t xml:space="preserve"> </w:t>
      </w:r>
      <w:r>
        <w:rPr>
          <w:sz w:val="22"/>
        </w:rPr>
        <w:t>type</w:t>
      </w:r>
      <w:r>
        <w:rPr>
          <w:spacing w:val="21"/>
          <w:sz w:val="22"/>
        </w:rPr>
        <w:t xml:space="preserve"> </w:t>
      </w:r>
      <w:r>
        <w:rPr>
          <w:sz w:val="22"/>
        </w:rPr>
        <w:t>of</w:t>
      </w:r>
      <w:r>
        <w:rPr>
          <w:spacing w:val="22"/>
          <w:sz w:val="22"/>
        </w:rPr>
        <w:t xml:space="preserve"> </w:t>
      </w:r>
      <w:r>
        <w:rPr>
          <w:sz w:val="22"/>
        </w:rPr>
        <w:t>Domain</w:t>
      </w:r>
      <w:r>
        <w:rPr>
          <w:spacing w:val="21"/>
          <w:sz w:val="22"/>
        </w:rPr>
        <w:t xml:space="preserve"> </w:t>
      </w:r>
      <w:r>
        <w:rPr>
          <w:sz w:val="22"/>
        </w:rPr>
        <w:t>of</w:t>
      </w:r>
      <w:r>
        <w:rPr>
          <w:spacing w:val="21"/>
          <w:sz w:val="22"/>
        </w:rPr>
        <w:t xml:space="preserve"> </w:t>
      </w:r>
      <w:r>
        <w:rPr>
          <w:sz w:val="22"/>
        </w:rPr>
        <w:t>Darkness,</w:t>
      </w:r>
      <w:r>
        <w:rPr>
          <w:spacing w:val="22"/>
          <w:sz w:val="22"/>
        </w:rPr>
        <w:t xml:space="preserve"> </w:t>
      </w:r>
      <w:r>
        <w:rPr>
          <w:sz w:val="22"/>
        </w:rPr>
        <w:t>101,</w:t>
      </w:r>
      <w:r>
        <w:rPr>
          <w:spacing w:val="21"/>
          <w:sz w:val="22"/>
        </w:rPr>
        <w:t xml:space="preserve"> </w:t>
      </w:r>
      <w:r>
        <w:rPr>
          <w:sz w:val="22"/>
        </w:rPr>
        <w:t>121,</w:t>
      </w:r>
      <w:r>
        <w:rPr>
          <w:spacing w:val="21"/>
          <w:sz w:val="22"/>
        </w:rPr>
        <w:t xml:space="preserve"> </w:t>
      </w:r>
      <w:r>
        <w:rPr>
          <w:sz w:val="22"/>
        </w:rPr>
        <w:t>233,</w:t>
      </w:r>
      <w:r>
        <w:rPr>
          <w:spacing w:val="21"/>
          <w:sz w:val="22"/>
        </w:rPr>
        <w:t xml:space="preserve"> </w:t>
      </w:r>
      <w:r>
        <w:rPr>
          <w:sz w:val="22"/>
        </w:rPr>
        <w:t>290,</w:t>
      </w:r>
      <w:r>
        <w:rPr>
          <w:spacing w:val="22"/>
          <w:sz w:val="22"/>
        </w:rPr>
        <w:t xml:space="preserve"> </w:t>
      </w:r>
      <w:r>
        <w:rPr>
          <w:sz w:val="22"/>
        </w:rPr>
        <w:t>412,</w:t>
      </w:r>
      <w:r>
        <w:rPr>
          <w:spacing w:val="21"/>
          <w:sz w:val="22"/>
        </w:rPr>
        <w:t xml:space="preserve"> </w:t>
      </w:r>
      <w:r>
        <w:rPr>
          <w:sz w:val="22"/>
        </w:rPr>
        <w:t>447;</w:t>
      </w:r>
      <w:r>
        <w:rPr>
          <w:spacing w:val="21"/>
          <w:sz w:val="22"/>
        </w:rPr>
        <w:t xml:space="preserve"> </w:t>
      </w:r>
      <w:r>
        <w:rPr>
          <w:sz w:val="22"/>
        </w:rPr>
        <w:t>in</w:t>
      </w:r>
      <w:r>
        <w:rPr>
          <w:spacing w:val="22"/>
          <w:sz w:val="22"/>
        </w:rPr>
        <w:t xml:space="preserve"> </w:t>
      </w:r>
      <w:r>
        <w:rPr>
          <w:sz w:val="22"/>
        </w:rPr>
        <w:t>OTKP,</w:t>
      </w:r>
      <w:r>
        <w:rPr>
          <w:spacing w:val="21"/>
          <w:sz w:val="22"/>
        </w:rPr>
        <w:t xml:space="preserve"> </w:t>
      </w:r>
      <w:r>
        <w:rPr>
          <w:sz w:val="22"/>
        </w:rPr>
        <w:t>117,</w:t>
      </w:r>
      <w:r>
        <w:rPr>
          <w:spacing w:val="21"/>
          <w:sz w:val="22"/>
        </w:rPr>
        <w:t xml:space="preserve"> </w:t>
      </w:r>
      <w:r>
        <w:rPr>
          <w:sz w:val="22"/>
        </w:rPr>
        <w:t>191,</w:t>
      </w:r>
      <w:r>
        <w:rPr>
          <w:spacing w:val="21"/>
          <w:sz w:val="22"/>
        </w:rPr>
        <w:t xml:space="preserve"> </w:t>
      </w:r>
      <w:r>
        <w:rPr>
          <w:sz w:val="22"/>
        </w:rPr>
        <w:t>202,</w:t>
      </w:r>
      <w:r>
        <w:rPr>
          <w:spacing w:val="22"/>
          <w:sz w:val="22"/>
        </w:rPr>
        <w:t xml:space="preserve"> </w:t>
      </w:r>
      <w:r>
        <w:rPr>
          <w:spacing w:val="-4"/>
          <w:sz w:val="22"/>
        </w:rPr>
        <w:t>209,</w:t>
      </w:r>
    </w:p>
    <w:p w14:paraId="1A04B931">
      <w:pPr>
        <w:spacing w:before="152"/>
        <w:ind w:left="264" w:right="0" w:firstLine="0"/>
        <w:jc w:val="left"/>
        <w:rPr>
          <w:sz w:val="22"/>
        </w:rPr>
      </w:pPr>
      <w:r>
        <w:rPr>
          <w:spacing w:val="-5"/>
          <w:sz w:val="22"/>
        </w:rPr>
        <w:t>402</w:t>
      </w:r>
    </w:p>
    <w:p w14:paraId="7A997DFD">
      <w:pPr>
        <w:spacing w:before="152"/>
        <w:ind w:left="99" w:right="0" w:firstLine="0"/>
        <w:jc w:val="both"/>
        <w:rPr>
          <w:sz w:val="22"/>
        </w:rPr>
      </w:pPr>
      <w:r>
        <w:rPr>
          <w:sz w:val="22"/>
        </w:rPr>
        <w:t>Eisegesis,</w:t>
      </w:r>
      <w:r>
        <w:rPr>
          <w:spacing w:val="18"/>
          <w:sz w:val="22"/>
        </w:rPr>
        <w:t xml:space="preserve"> </w:t>
      </w:r>
      <w:r>
        <w:rPr>
          <w:spacing w:val="-5"/>
          <w:sz w:val="22"/>
        </w:rPr>
        <w:t>684</w:t>
      </w:r>
    </w:p>
    <w:p w14:paraId="24BEAC3B">
      <w:pPr>
        <w:spacing w:before="152"/>
        <w:ind w:left="99" w:right="0" w:firstLine="0"/>
        <w:jc w:val="both"/>
        <w:rPr>
          <w:sz w:val="22"/>
        </w:rPr>
      </w:pPr>
      <w:r>
        <w:rPr>
          <w:sz w:val="22"/>
        </w:rPr>
        <w:t>Elijah,</w:t>
      </w:r>
      <w:r>
        <w:rPr>
          <w:spacing w:val="4"/>
          <w:sz w:val="22"/>
        </w:rPr>
        <w:t xml:space="preserve"> </w:t>
      </w:r>
      <w:r>
        <w:rPr>
          <w:sz w:val="22"/>
        </w:rPr>
        <w:t>39,</w:t>
      </w:r>
      <w:r>
        <w:rPr>
          <w:spacing w:val="5"/>
          <w:sz w:val="22"/>
        </w:rPr>
        <w:t xml:space="preserve"> </w:t>
      </w:r>
      <w:r>
        <w:rPr>
          <w:sz w:val="22"/>
        </w:rPr>
        <w:t>42,</w:t>
      </w:r>
      <w:r>
        <w:rPr>
          <w:spacing w:val="5"/>
          <w:sz w:val="22"/>
        </w:rPr>
        <w:t xml:space="preserve"> </w:t>
      </w:r>
      <w:r>
        <w:rPr>
          <w:sz w:val="22"/>
        </w:rPr>
        <w:t>67,</w:t>
      </w:r>
      <w:r>
        <w:rPr>
          <w:spacing w:val="5"/>
          <w:sz w:val="22"/>
        </w:rPr>
        <w:t xml:space="preserve"> </w:t>
      </w:r>
      <w:r>
        <w:rPr>
          <w:sz w:val="22"/>
        </w:rPr>
        <w:t>529;</w:t>
      </w:r>
      <w:r>
        <w:rPr>
          <w:spacing w:val="5"/>
          <w:sz w:val="22"/>
        </w:rPr>
        <w:t xml:space="preserve"> </w:t>
      </w:r>
      <w:r>
        <w:rPr>
          <w:sz w:val="22"/>
        </w:rPr>
        <w:t>in</w:t>
      </w:r>
      <w:r>
        <w:rPr>
          <w:spacing w:val="5"/>
          <w:sz w:val="22"/>
        </w:rPr>
        <w:t xml:space="preserve"> </w:t>
      </w:r>
      <w:r>
        <w:rPr>
          <w:sz w:val="22"/>
        </w:rPr>
        <w:t>Rev.</w:t>
      </w:r>
      <w:r>
        <w:rPr>
          <w:spacing w:val="5"/>
          <w:sz w:val="22"/>
        </w:rPr>
        <w:t xml:space="preserve"> </w:t>
      </w:r>
      <w:r>
        <w:rPr>
          <w:sz w:val="22"/>
        </w:rPr>
        <w:t>11,</w:t>
      </w:r>
      <w:r>
        <w:rPr>
          <w:spacing w:val="5"/>
          <w:sz w:val="22"/>
        </w:rPr>
        <w:t xml:space="preserve"> </w:t>
      </w:r>
      <w:r>
        <w:rPr>
          <w:sz w:val="22"/>
        </w:rPr>
        <w:t>430,</w:t>
      </w:r>
      <w:r>
        <w:rPr>
          <w:spacing w:val="4"/>
          <w:sz w:val="22"/>
        </w:rPr>
        <w:t xml:space="preserve"> </w:t>
      </w:r>
      <w:r>
        <w:rPr>
          <w:sz w:val="22"/>
        </w:rPr>
        <w:t>447;</w:t>
      </w:r>
      <w:r>
        <w:rPr>
          <w:spacing w:val="5"/>
          <w:sz w:val="22"/>
        </w:rPr>
        <w:t xml:space="preserve"> </w:t>
      </w:r>
      <w:r>
        <w:rPr>
          <w:sz w:val="22"/>
        </w:rPr>
        <w:t>in</w:t>
      </w:r>
      <w:r>
        <w:rPr>
          <w:spacing w:val="5"/>
          <w:sz w:val="22"/>
        </w:rPr>
        <w:t xml:space="preserve"> </w:t>
      </w:r>
      <w:r>
        <w:rPr>
          <w:sz w:val="22"/>
        </w:rPr>
        <w:t>Rev.</w:t>
      </w:r>
      <w:r>
        <w:rPr>
          <w:spacing w:val="5"/>
          <w:sz w:val="22"/>
        </w:rPr>
        <w:t xml:space="preserve"> </w:t>
      </w:r>
      <w:r>
        <w:rPr>
          <w:sz w:val="22"/>
        </w:rPr>
        <w:t>12,</w:t>
      </w:r>
      <w:r>
        <w:rPr>
          <w:spacing w:val="5"/>
          <w:sz w:val="22"/>
        </w:rPr>
        <w:t xml:space="preserve"> </w:t>
      </w:r>
      <w:r>
        <w:rPr>
          <w:sz w:val="22"/>
        </w:rPr>
        <w:t>412,</w:t>
      </w:r>
      <w:r>
        <w:rPr>
          <w:spacing w:val="5"/>
          <w:sz w:val="22"/>
        </w:rPr>
        <w:t xml:space="preserve"> </w:t>
      </w:r>
      <w:r>
        <w:rPr>
          <w:spacing w:val="-4"/>
          <w:sz w:val="22"/>
        </w:rPr>
        <w:t>449f</w:t>
      </w:r>
    </w:p>
    <w:p w14:paraId="193F6092">
      <w:pPr>
        <w:spacing w:before="152"/>
        <w:ind w:left="99" w:right="0" w:firstLine="0"/>
        <w:jc w:val="both"/>
        <w:rPr>
          <w:sz w:val="22"/>
        </w:rPr>
      </w:pPr>
      <w:r>
        <w:rPr>
          <w:sz w:val="22"/>
        </w:rPr>
        <w:t>End</w:t>
      </w:r>
      <w:r>
        <w:rPr>
          <w:spacing w:val="8"/>
          <w:sz w:val="22"/>
        </w:rPr>
        <w:t xml:space="preserve"> </w:t>
      </w:r>
      <w:r>
        <w:rPr>
          <w:sz w:val="22"/>
        </w:rPr>
        <w:t>(the;</w:t>
      </w:r>
      <w:r>
        <w:rPr>
          <w:spacing w:val="8"/>
          <w:sz w:val="22"/>
        </w:rPr>
        <w:t xml:space="preserve"> </w:t>
      </w:r>
      <w:r>
        <w:rPr>
          <w:sz w:val="22"/>
        </w:rPr>
        <w:t>Greek,</w:t>
      </w:r>
      <w:r>
        <w:rPr>
          <w:spacing w:val="41"/>
          <w:sz w:val="22"/>
        </w:rPr>
        <w:t xml:space="preserve"> </w:t>
      </w:r>
      <w:r>
        <w:rPr>
          <w:b/>
          <w:i/>
          <w:sz w:val="22"/>
        </w:rPr>
        <w:t>to</w:t>
      </w:r>
      <w:r>
        <w:rPr>
          <w:b/>
          <w:i/>
          <w:spacing w:val="8"/>
          <w:sz w:val="22"/>
        </w:rPr>
        <w:t xml:space="preserve"> </w:t>
      </w:r>
      <w:r>
        <w:rPr>
          <w:b/>
          <w:i/>
          <w:sz w:val="22"/>
        </w:rPr>
        <w:t>telos</w:t>
      </w:r>
      <w:r>
        <w:rPr>
          <w:sz w:val="22"/>
        </w:rPr>
        <w:t>),</w:t>
      </w:r>
      <w:r>
        <w:rPr>
          <w:spacing w:val="8"/>
          <w:sz w:val="22"/>
        </w:rPr>
        <w:t xml:space="preserve"> </w:t>
      </w:r>
      <w:r>
        <w:rPr>
          <w:sz w:val="22"/>
        </w:rPr>
        <w:t>147,</w:t>
      </w:r>
      <w:r>
        <w:rPr>
          <w:spacing w:val="9"/>
          <w:sz w:val="22"/>
        </w:rPr>
        <w:t xml:space="preserve"> </w:t>
      </w:r>
      <w:r>
        <w:rPr>
          <w:sz w:val="22"/>
        </w:rPr>
        <w:t>532,</w:t>
      </w:r>
      <w:r>
        <w:rPr>
          <w:spacing w:val="8"/>
          <w:sz w:val="22"/>
        </w:rPr>
        <w:t xml:space="preserve"> </w:t>
      </w:r>
      <w:r>
        <w:rPr>
          <w:spacing w:val="-5"/>
          <w:sz w:val="22"/>
        </w:rPr>
        <w:t>581</w:t>
      </w:r>
    </w:p>
    <w:p w14:paraId="1C22D9B9">
      <w:pPr>
        <w:spacing w:before="152"/>
        <w:ind w:left="99" w:right="0" w:firstLine="0"/>
        <w:jc w:val="both"/>
        <w:rPr>
          <w:sz w:val="22"/>
        </w:rPr>
      </w:pPr>
      <w:r>
        <w:rPr>
          <w:sz w:val="22"/>
        </w:rPr>
        <w:t>Era</w:t>
      </w:r>
      <w:r>
        <w:rPr>
          <w:spacing w:val="11"/>
          <w:sz w:val="22"/>
        </w:rPr>
        <w:t xml:space="preserve"> </w:t>
      </w:r>
      <w:r>
        <w:rPr>
          <w:sz w:val="22"/>
        </w:rPr>
        <w:t>of</w:t>
      </w:r>
      <w:r>
        <w:rPr>
          <w:spacing w:val="11"/>
          <w:sz w:val="22"/>
        </w:rPr>
        <w:t xml:space="preserve"> </w:t>
      </w:r>
      <w:r>
        <w:rPr>
          <w:sz w:val="22"/>
        </w:rPr>
        <w:t>Fulfillment,</w:t>
      </w:r>
      <w:r>
        <w:rPr>
          <w:spacing w:val="11"/>
          <w:sz w:val="22"/>
        </w:rPr>
        <w:t xml:space="preserve"> </w:t>
      </w:r>
      <w:r>
        <w:rPr>
          <w:sz w:val="22"/>
        </w:rPr>
        <w:t>5,</w:t>
      </w:r>
      <w:r>
        <w:rPr>
          <w:spacing w:val="11"/>
          <w:sz w:val="22"/>
        </w:rPr>
        <w:t xml:space="preserve"> </w:t>
      </w:r>
      <w:r>
        <w:rPr>
          <w:sz w:val="22"/>
        </w:rPr>
        <w:t>101,</w:t>
      </w:r>
      <w:r>
        <w:rPr>
          <w:spacing w:val="11"/>
          <w:sz w:val="22"/>
        </w:rPr>
        <w:t xml:space="preserve"> </w:t>
      </w:r>
      <w:r>
        <w:rPr>
          <w:sz w:val="22"/>
        </w:rPr>
        <w:t>170;</w:t>
      </w:r>
      <w:r>
        <w:rPr>
          <w:spacing w:val="11"/>
          <w:sz w:val="22"/>
        </w:rPr>
        <w:t xml:space="preserve"> </w:t>
      </w:r>
      <w:r>
        <w:rPr>
          <w:sz w:val="22"/>
        </w:rPr>
        <w:t>diagrammed,</w:t>
      </w:r>
      <w:r>
        <w:rPr>
          <w:spacing w:val="11"/>
          <w:sz w:val="22"/>
        </w:rPr>
        <w:t xml:space="preserve"> </w:t>
      </w:r>
      <w:r>
        <w:rPr>
          <w:sz w:val="22"/>
        </w:rPr>
        <w:t>167,</w:t>
      </w:r>
      <w:r>
        <w:rPr>
          <w:spacing w:val="11"/>
          <w:sz w:val="22"/>
        </w:rPr>
        <w:t xml:space="preserve"> </w:t>
      </w:r>
      <w:r>
        <w:rPr>
          <w:spacing w:val="-5"/>
          <w:sz w:val="22"/>
        </w:rPr>
        <w:t>174</w:t>
      </w:r>
    </w:p>
    <w:p w14:paraId="1896ECD1">
      <w:pPr>
        <w:spacing w:before="152"/>
        <w:ind w:left="99" w:right="0" w:firstLine="0"/>
        <w:jc w:val="both"/>
        <w:rPr>
          <w:sz w:val="22"/>
        </w:rPr>
      </w:pPr>
      <w:r>
        <w:rPr>
          <w:sz w:val="22"/>
        </w:rPr>
        <w:t>Era</w:t>
      </w:r>
      <w:r>
        <w:rPr>
          <w:spacing w:val="11"/>
          <w:sz w:val="22"/>
        </w:rPr>
        <w:t xml:space="preserve"> </w:t>
      </w:r>
      <w:r>
        <w:rPr>
          <w:sz w:val="22"/>
        </w:rPr>
        <w:t>of</w:t>
      </w:r>
      <w:r>
        <w:rPr>
          <w:spacing w:val="11"/>
          <w:sz w:val="22"/>
        </w:rPr>
        <w:t xml:space="preserve"> </w:t>
      </w:r>
      <w:r>
        <w:rPr>
          <w:sz w:val="22"/>
        </w:rPr>
        <w:t>Promise</w:t>
      </w:r>
      <w:r>
        <w:rPr>
          <w:spacing w:val="11"/>
          <w:sz w:val="22"/>
        </w:rPr>
        <w:t xml:space="preserve"> </w:t>
      </w:r>
      <w:r>
        <w:rPr>
          <w:sz w:val="22"/>
        </w:rPr>
        <w:t>and</w:t>
      </w:r>
      <w:r>
        <w:rPr>
          <w:spacing w:val="11"/>
          <w:sz w:val="22"/>
        </w:rPr>
        <w:t xml:space="preserve"> </w:t>
      </w:r>
      <w:r>
        <w:rPr>
          <w:sz w:val="22"/>
        </w:rPr>
        <w:t>Preparation,</w:t>
      </w:r>
      <w:r>
        <w:rPr>
          <w:spacing w:val="11"/>
          <w:sz w:val="22"/>
        </w:rPr>
        <w:t xml:space="preserve"> </w:t>
      </w:r>
      <w:r>
        <w:rPr>
          <w:sz w:val="22"/>
        </w:rPr>
        <w:t>5,</w:t>
      </w:r>
      <w:r>
        <w:rPr>
          <w:spacing w:val="11"/>
          <w:sz w:val="22"/>
        </w:rPr>
        <w:t xml:space="preserve"> </w:t>
      </w:r>
      <w:r>
        <w:rPr>
          <w:sz w:val="22"/>
        </w:rPr>
        <w:t>100,</w:t>
      </w:r>
      <w:r>
        <w:rPr>
          <w:spacing w:val="12"/>
          <w:sz w:val="22"/>
        </w:rPr>
        <w:t xml:space="preserve"> </w:t>
      </w:r>
      <w:r>
        <w:rPr>
          <w:sz w:val="22"/>
        </w:rPr>
        <w:t>169;</w:t>
      </w:r>
      <w:r>
        <w:rPr>
          <w:spacing w:val="11"/>
          <w:sz w:val="22"/>
        </w:rPr>
        <w:t xml:space="preserve"> </w:t>
      </w:r>
      <w:r>
        <w:rPr>
          <w:sz w:val="22"/>
        </w:rPr>
        <w:t>diagrammed,</w:t>
      </w:r>
      <w:r>
        <w:rPr>
          <w:spacing w:val="11"/>
          <w:sz w:val="22"/>
        </w:rPr>
        <w:t xml:space="preserve"> </w:t>
      </w:r>
      <w:r>
        <w:rPr>
          <w:sz w:val="22"/>
        </w:rPr>
        <w:t>167,</w:t>
      </w:r>
      <w:r>
        <w:rPr>
          <w:spacing w:val="11"/>
          <w:sz w:val="22"/>
        </w:rPr>
        <w:t xml:space="preserve"> </w:t>
      </w:r>
      <w:r>
        <w:rPr>
          <w:spacing w:val="-5"/>
          <w:sz w:val="22"/>
        </w:rPr>
        <w:t>175</w:t>
      </w:r>
    </w:p>
    <w:p w14:paraId="528C11DC">
      <w:pPr>
        <w:spacing w:before="152"/>
        <w:ind w:left="99" w:right="0" w:firstLine="0"/>
        <w:jc w:val="both"/>
        <w:rPr>
          <w:sz w:val="22"/>
        </w:rPr>
      </w:pPr>
      <w:r>
        <w:rPr>
          <w:sz w:val="22"/>
        </w:rPr>
        <w:t>Era</w:t>
      </w:r>
      <w:r>
        <w:rPr>
          <w:spacing w:val="10"/>
          <w:sz w:val="22"/>
        </w:rPr>
        <w:t xml:space="preserve"> </w:t>
      </w:r>
      <w:r>
        <w:rPr>
          <w:sz w:val="22"/>
        </w:rPr>
        <w:t>of</w:t>
      </w:r>
      <w:r>
        <w:rPr>
          <w:spacing w:val="11"/>
          <w:sz w:val="22"/>
        </w:rPr>
        <w:t xml:space="preserve"> </w:t>
      </w:r>
      <w:r>
        <w:rPr>
          <w:sz w:val="22"/>
        </w:rPr>
        <w:t>Reward</w:t>
      </w:r>
      <w:r>
        <w:rPr>
          <w:spacing w:val="10"/>
          <w:sz w:val="22"/>
        </w:rPr>
        <w:t xml:space="preserve"> </w:t>
      </w:r>
      <w:r>
        <w:rPr>
          <w:sz w:val="22"/>
        </w:rPr>
        <w:t>and</w:t>
      </w:r>
      <w:r>
        <w:rPr>
          <w:spacing w:val="11"/>
          <w:sz w:val="22"/>
        </w:rPr>
        <w:t xml:space="preserve"> </w:t>
      </w:r>
      <w:r>
        <w:rPr>
          <w:sz w:val="22"/>
        </w:rPr>
        <w:t>Retribution,</w:t>
      </w:r>
      <w:r>
        <w:rPr>
          <w:spacing w:val="10"/>
          <w:sz w:val="22"/>
        </w:rPr>
        <w:t xml:space="preserve"> </w:t>
      </w:r>
      <w:r>
        <w:rPr>
          <w:sz w:val="22"/>
        </w:rPr>
        <w:t>102,</w:t>
      </w:r>
      <w:r>
        <w:rPr>
          <w:spacing w:val="11"/>
          <w:sz w:val="22"/>
        </w:rPr>
        <w:t xml:space="preserve"> </w:t>
      </w:r>
      <w:r>
        <w:rPr>
          <w:sz w:val="22"/>
        </w:rPr>
        <w:t>136,</w:t>
      </w:r>
      <w:r>
        <w:rPr>
          <w:spacing w:val="10"/>
          <w:sz w:val="22"/>
        </w:rPr>
        <w:t xml:space="preserve"> </w:t>
      </w:r>
      <w:r>
        <w:rPr>
          <w:sz w:val="22"/>
        </w:rPr>
        <w:t>147,</w:t>
      </w:r>
      <w:r>
        <w:rPr>
          <w:spacing w:val="11"/>
          <w:sz w:val="22"/>
        </w:rPr>
        <w:t xml:space="preserve"> </w:t>
      </w:r>
      <w:r>
        <w:rPr>
          <w:sz w:val="22"/>
        </w:rPr>
        <w:t>171,</w:t>
      </w:r>
      <w:r>
        <w:rPr>
          <w:spacing w:val="11"/>
          <w:sz w:val="22"/>
        </w:rPr>
        <w:t xml:space="preserve"> </w:t>
      </w:r>
      <w:r>
        <w:rPr>
          <w:sz w:val="22"/>
        </w:rPr>
        <w:t>308,</w:t>
      </w:r>
      <w:r>
        <w:rPr>
          <w:spacing w:val="10"/>
          <w:sz w:val="22"/>
        </w:rPr>
        <w:t xml:space="preserve"> </w:t>
      </w:r>
      <w:r>
        <w:rPr>
          <w:sz w:val="22"/>
        </w:rPr>
        <w:t>575,</w:t>
      </w:r>
      <w:r>
        <w:rPr>
          <w:spacing w:val="11"/>
          <w:sz w:val="22"/>
        </w:rPr>
        <w:t xml:space="preserve"> </w:t>
      </w:r>
      <w:r>
        <w:rPr>
          <w:sz w:val="22"/>
        </w:rPr>
        <w:t>599;</w:t>
      </w:r>
      <w:r>
        <w:rPr>
          <w:spacing w:val="10"/>
          <w:sz w:val="22"/>
        </w:rPr>
        <w:t xml:space="preserve"> </w:t>
      </w:r>
      <w:r>
        <w:rPr>
          <w:sz w:val="22"/>
        </w:rPr>
        <w:t>diagrammed,</w:t>
      </w:r>
      <w:r>
        <w:rPr>
          <w:spacing w:val="11"/>
          <w:sz w:val="22"/>
        </w:rPr>
        <w:t xml:space="preserve"> </w:t>
      </w:r>
      <w:r>
        <w:rPr>
          <w:sz w:val="22"/>
        </w:rPr>
        <w:t>167,</w:t>
      </w:r>
      <w:r>
        <w:rPr>
          <w:spacing w:val="10"/>
          <w:sz w:val="22"/>
        </w:rPr>
        <w:t xml:space="preserve"> </w:t>
      </w:r>
      <w:r>
        <w:rPr>
          <w:sz w:val="22"/>
        </w:rPr>
        <w:t>172,</w:t>
      </w:r>
      <w:r>
        <w:rPr>
          <w:spacing w:val="11"/>
          <w:sz w:val="22"/>
        </w:rPr>
        <w:t xml:space="preserve"> </w:t>
      </w:r>
      <w:r>
        <w:rPr>
          <w:spacing w:val="-5"/>
          <w:sz w:val="22"/>
        </w:rPr>
        <w:t>175</w:t>
      </w:r>
    </w:p>
    <w:p w14:paraId="12EE3B04">
      <w:pPr>
        <w:spacing w:before="152"/>
        <w:ind w:left="99" w:right="0" w:firstLine="0"/>
        <w:jc w:val="both"/>
        <w:rPr>
          <w:sz w:val="22"/>
        </w:rPr>
      </w:pPr>
      <w:r>
        <w:rPr>
          <w:sz w:val="22"/>
        </w:rPr>
        <w:t>Era</w:t>
      </w:r>
      <w:r>
        <w:rPr>
          <w:spacing w:val="29"/>
          <w:sz w:val="22"/>
        </w:rPr>
        <w:t xml:space="preserve"> </w:t>
      </w:r>
      <w:r>
        <w:rPr>
          <w:sz w:val="22"/>
        </w:rPr>
        <w:t>of</w:t>
      </w:r>
      <w:r>
        <w:rPr>
          <w:spacing w:val="29"/>
          <w:sz w:val="22"/>
        </w:rPr>
        <w:t xml:space="preserve"> </w:t>
      </w:r>
      <w:r>
        <w:rPr>
          <w:sz w:val="22"/>
        </w:rPr>
        <w:t>Proclamation</w:t>
      </w:r>
      <w:r>
        <w:rPr>
          <w:spacing w:val="29"/>
          <w:sz w:val="22"/>
        </w:rPr>
        <w:t xml:space="preserve"> </w:t>
      </w:r>
      <w:r>
        <w:rPr>
          <w:sz w:val="22"/>
        </w:rPr>
        <w:t>and</w:t>
      </w:r>
      <w:r>
        <w:rPr>
          <w:spacing w:val="29"/>
          <w:sz w:val="22"/>
        </w:rPr>
        <w:t xml:space="preserve"> </w:t>
      </w:r>
      <w:r>
        <w:rPr>
          <w:sz w:val="22"/>
        </w:rPr>
        <w:t>Probation,</w:t>
      </w:r>
      <w:r>
        <w:rPr>
          <w:spacing w:val="29"/>
          <w:sz w:val="22"/>
        </w:rPr>
        <w:t xml:space="preserve"> </w:t>
      </w:r>
      <w:r>
        <w:rPr>
          <w:sz w:val="22"/>
        </w:rPr>
        <w:t>24f,</w:t>
      </w:r>
      <w:r>
        <w:rPr>
          <w:spacing w:val="30"/>
          <w:sz w:val="22"/>
        </w:rPr>
        <w:t xml:space="preserve"> </w:t>
      </w:r>
      <w:r>
        <w:rPr>
          <w:sz w:val="22"/>
        </w:rPr>
        <w:t>102,</w:t>
      </w:r>
      <w:r>
        <w:rPr>
          <w:spacing w:val="29"/>
          <w:sz w:val="22"/>
        </w:rPr>
        <w:t xml:space="preserve"> </w:t>
      </w:r>
      <w:r>
        <w:rPr>
          <w:sz w:val="22"/>
        </w:rPr>
        <w:t>117,</w:t>
      </w:r>
      <w:r>
        <w:rPr>
          <w:spacing w:val="29"/>
          <w:sz w:val="22"/>
        </w:rPr>
        <w:t xml:space="preserve"> </w:t>
      </w:r>
      <w:r>
        <w:rPr>
          <w:sz w:val="22"/>
        </w:rPr>
        <w:t>136,</w:t>
      </w:r>
      <w:r>
        <w:rPr>
          <w:spacing w:val="29"/>
          <w:sz w:val="22"/>
        </w:rPr>
        <w:t xml:space="preserve"> </w:t>
      </w:r>
      <w:r>
        <w:rPr>
          <w:sz w:val="22"/>
        </w:rPr>
        <w:t>158,</w:t>
      </w:r>
      <w:r>
        <w:rPr>
          <w:spacing w:val="29"/>
          <w:sz w:val="22"/>
        </w:rPr>
        <w:t xml:space="preserve"> </w:t>
      </w:r>
      <w:r>
        <w:rPr>
          <w:sz w:val="22"/>
        </w:rPr>
        <w:t>179,</w:t>
      </w:r>
      <w:r>
        <w:rPr>
          <w:spacing w:val="30"/>
          <w:sz w:val="22"/>
        </w:rPr>
        <w:t xml:space="preserve"> </w:t>
      </w:r>
      <w:r>
        <w:rPr>
          <w:sz w:val="22"/>
        </w:rPr>
        <w:t>249,</w:t>
      </w:r>
      <w:r>
        <w:rPr>
          <w:spacing w:val="29"/>
          <w:sz w:val="22"/>
        </w:rPr>
        <w:t xml:space="preserve"> </w:t>
      </w:r>
      <w:r>
        <w:rPr>
          <w:sz w:val="22"/>
        </w:rPr>
        <w:t>269,</w:t>
      </w:r>
      <w:r>
        <w:rPr>
          <w:spacing w:val="29"/>
          <w:sz w:val="22"/>
        </w:rPr>
        <w:t xml:space="preserve"> </w:t>
      </w:r>
      <w:r>
        <w:rPr>
          <w:sz w:val="22"/>
        </w:rPr>
        <w:t>308f,</w:t>
      </w:r>
      <w:r>
        <w:rPr>
          <w:spacing w:val="29"/>
          <w:sz w:val="22"/>
        </w:rPr>
        <w:t xml:space="preserve"> </w:t>
      </w:r>
      <w:r>
        <w:rPr>
          <w:sz w:val="22"/>
        </w:rPr>
        <w:t>385f,</w:t>
      </w:r>
      <w:r>
        <w:rPr>
          <w:spacing w:val="29"/>
          <w:sz w:val="22"/>
        </w:rPr>
        <w:t xml:space="preserve"> </w:t>
      </w:r>
      <w:r>
        <w:rPr>
          <w:sz w:val="22"/>
        </w:rPr>
        <w:t>412;</w:t>
      </w:r>
      <w:r>
        <w:rPr>
          <w:spacing w:val="30"/>
          <w:sz w:val="22"/>
        </w:rPr>
        <w:t xml:space="preserve"> </w:t>
      </w:r>
      <w:r>
        <w:rPr>
          <w:sz w:val="22"/>
        </w:rPr>
        <w:t>in</w:t>
      </w:r>
      <w:r>
        <w:rPr>
          <w:spacing w:val="29"/>
          <w:sz w:val="22"/>
        </w:rPr>
        <w:t xml:space="preserve"> </w:t>
      </w:r>
      <w:r>
        <w:rPr>
          <w:spacing w:val="-5"/>
          <w:sz w:val="22"/>
        </w:rPr>
        <w:t>the</w:t>
      </w:r>
    </w:p>
    <w:p w14:paraId="1465F082">
      <w:pPr>
        <w:spacing w:before="152"/>
        <w:ind w:left="264" w:right="0" w:firstLine="0"/>
        <w:jc w:val="both"/>
        <w:rPr>
          <w:sz w:val="22"/>
        </w:rPr>
      </w:pPr>
      <w:r>
        <w:rPr>
          <w:sz w:val="22"/>
        </w:rPr>
        <w:t>Revelation,</w:t>
      </w:r>
      <w:r>
        <w:rPr>
          <w:spacing w:val="10"/>
          <w:sz w:val="22"/>
        </w:rPr>
        <w:t xml:space="preserve"> </w:t>
      </w:r>
      <w:r>
        <w:rPr>
          <w:sz w:val="22"/>
        </w:rPr>
        <w:t>425f;</w:t>
      </w:r>
      <w:r>
        <w:rPr>
          <w:spacing w:val="11"/>
          <w:sz w:val="22"/>
        </w:rPr>
        <w:t xml:space="preserve"> </w:t>
      </w:r>
      <w:r>
        <w:rPr>
          <w:sz w:val="22"/>
        </w:rPr>
        <w:t>diagrammed,</w:t>
      </w:r>
      <w:r>
        <w:rPr>
          <w:spacing w:val="10"/>
          <w:sz w:val="22"/>
        </w:rPr>
        <w:t xml:space="preserve"> </w:t>
      </w:r>
      <w:r>
        <w:rPr>
          <w:sz w:val="22"/>
        </w:rPr>
        <w:t>167,</w:t>
      </w:r>
      <w:r>
        <w:rPr>
          <w:spacing w:val="11"/>
          <w:sz w:val="22"/>
        </w:rPr>
        <w:t xml:space="preserve"> </w:t>
      </w:r>
      <w:r>
        <w:rPr>
          <w:sz w:val="22"/>
        </w:rPr>
        <w:t>172,</w:t>
      </w:r>
      <w:r>
        <w:rPr>
          <w:spacing w:val="10"/>
          <w:sz w:val="22"/>
        </w:rPr>
        <w:t xml:space="preserve"> </w:t>
      </w:r>
      <w:r>
        <w:rPr>
          <w:sz w:val="22"/>
        </w:rPr>
        <w:t>175;</w:t>
      </w:r>
      <w:r>
        <w:rPr>
          <w:spacing w:val="11"/>
          <w:sz w:val="22"/>
        </w:rPr>
        <w:t xml:space="preserve"> </w:t>
      </w:r>
      <w:r>
        <w:rPr>
          <w:sz w:val="22"/>
        </w:rPr>
        <w:t>(see,</w:t>
      </w:r>
      <w:r>
        <w:rPr>
          <w:spacing w:val="10"/>
          <w:sz w:val="22"/>
        </w:rPr>
        <w:t xml:space="preserve"> </w:t>
      </w:r>
      <w:r>
        <w:rPr>
          <w:sz w:val="22"/>
        </w:rPr>
        <w:t>World</w:t>
      </w:r>
      <w:r>
        <w:rPr>
          <w:spacing w:val="11"/>
          <w:sz w:val="22"/>
        </w:rPr>
        <w:t xml:space="preserve"> </w:t>
      </w:r>
      <w:r>
        <w:rPr>
          <w:spacing w:val="-2"/>
          <w:sz w:val="22"/>
        </w:rPr>
        <w:t>Evangelization)</w:t>
      </w:r>
    </w:p>
    <w:p w14:paraId="0C2E7032">
      <w:pPr>
        <w:spacing w:before="153" w:line="384" w:lineRule="auto"/>
        <w:ind w:left="264" w:right="99" w:hanging="165"/>
        <w:jc w:val="both"/>
        <w:rPr>
          <w:sz w:val="22"/>
        </w:rPr>
      </w:pPr>
      <w:r>
        <w:rPr>
          <w:sz w:val="22"/>
        </w:rPr>
        <w:t>Eschatology, defined, 1, 6; in crisis, xvii; Personal, 2; Cosmic, 4; elements of, 8; issues in, 9; options</w:t>
      </w:r>
      <w:r>
        <w:rPr>
          <w:spacing w:val="80"/>
          <w:sz w:val="22"/>
        </w:rPr>
        <w:t xml:space="preserve"> </w:t>
      </w:r>
      <w:r>
        <w:rPr>
          <w:sz w:val="22"/>
        </w:rPr>
        <w:t>in, 20f, 613f; strategies for understanding, 4, 51f; options diagrammed, 165f; of Peter 581; amillennial, timeliness of, 607; realized, 682</w:t>
      </w:r>
    </w:p>
    <w:p w14:paraId="638A1AD7">
      <w:pPr>
        <w:spacing w:before="0"/>
        <w:ind w:left="99" w:right="0" w:firstLine="0"/>
        <w:jc w:val="both"/>
        <w:rPr>
          <w:sz w:val="22"/>
        </w:rPr>
      </w:pPr>
      <w:r>
        <w:rPr>
          <w:sz w:val="22"/>
        </w:rPr>
        <w:t>Eschaton,</w:t>
      </w:r>
      <w:r>
        <w:rPr>
          <w:spacing w:val="5"/>
          <w:sz w:val="22"/>
        </w:rPr>
        <w:t xml:space="preserve"> </w:t>
      </w:r>
      <w:r>
        <w:rPr>
          <w:sz w:val="22"/>
        </w:rPr>
        <w:t>9;</w:t>
      </w:r>
      <w:r>
        <w:rPr>
          <w:spacing w:val="6"/>
          <w:sz w:val="22"/>
        </w:rPr>
        <w:t xml:space="preserve"> </w:t>
      </w:r>
      <w:r>
        <w:rPr>
          <w:sz w:val="22"/>
        </w:rPr>
        <w:t>(see,</w:t>
      </w:r>
      <w:r>
        <w:rPr>
          <w:spacing w:val="6"/>
          <w:sz w:val="22"/>
        </w:rPr>
        <w:t xml:space="preserve"> </w:t>
      </w:r>
      <w:r>
        <w:rPr>
          <w:sz w:val="22"/>
        </w:rPr>
        <w:t>World</w:t>
      </w:r>
      <w:r>
        <w:rPr>
          <w:spacing w:val="6"/>
          <w:sz w:val="22"/>
        </w:rPr>
        <w:t xml:space="preserve"> </w:t>
      </w:r>
      <w:r>
        <w:rPr>
          <w:sz w:val="22"/>
        </w:rPr>
        <w:t>to</w:t>
      </w:r>
      <w:r>
        <w:rPr>
          <w:spacing w:val="6"/>
          <w:sz w:val="22"/>
        </w:rPr>
        <w:t xml:space="preserve"> </w:t>
      </w:r>
      <w:r>
        <w:rPr>
          <w:spacing w:val="-2"/>
          <w:sz w:val="22"/>
        </w:rPr>
        <w:t>Come)</w:t>
      </w:r>
    </w:p>
    <w:p w14:paraId="3629E48B">
      <w:pPr>
        <w:spacing w:before="152"/>
        <w:ind w:left="99" w:right="0" w:firstLine="0"/>
        <w:jc w:val="both"/>
        <w:rPr>
          <w:sz w:val="22"/>
        </w:rPr>
      </w:pPr>
      <w:r>
        <w:rPr>
          <w:sz w:val="22"/>
        </w:rPr>
        <w:t>Eternal</w:t>
      </w:r>
      <w:r>
        <w:rPr>
          <w:spacing w:val="32"/>
          <w:sz w:val="22"/>
        </w:rPr>
        <w:t xml:space="preserve"> </w:t>
      </w:r>
      <w:r>
        <w:rPr>
          <w:sz w:val="22"/>
        </w:rPr>
        <w:t>Covenant,</w:t>
      </w:r>
      <w:r>
        <w:rPr>
          <w:spacing w:val="33"/>
          <w:sz w:val="22"/>
        </w:rPr>
        <w:t xml:space="preserve"> </w:t>
      </w:r>
      <w:r>
        <w:rPr>
          <w:sz w:val="22"/>
        </w:rPr>
        <w:t>as</w:t>
      </w:r>
      <w:r>
        <w:rPr>
          <w:spacing w:val="32"/>
          <w:sz w:val="22"/>
        </w:rPr>
        <w:t xml:space="preserve"> </w:t>
      </w:r>
      <w:r>
        <w:rPr>
          <w:sz w:val="22"/>
        </w:rPr>
        <w:t>mystery,</w:t>
      </w:r>
      <w:r>
        <w:rPr>
          <w:spacing w:val="33"/>
          <w:sz w:val="22"/>
        </w:rPr>
        <w:t xml:space="preserve"> </w:t>
      </w:r>
      <w:r>
        <w:rPr>
          <w:sz w:val="22"/>
        </w:rPr>
        <w:t>90;</w:t>
      </w:r>
      <w:r>
        <w:rPr>
          <w:spacing w:val="32"/>
          <w:sz w:val="22"/>
        </w:rPr>
        <w:t xml:space="preserve"> </w:t>
      </w:r>
      <w:r>
        <w:rPr>
          <w:sz w:val="22"/>
        </w:rPr>
        <w:t>defined,</w:t>
      </w:r>
      <w:r>
        <w:rPr>
          <w:spacing w:val="33"/>
          <w:sz w:val="22"/>
        </w:rPr>
        <w:t xml:space="preserve"> </w:t>
      </w:r>
      <w:r>
        <w:rPr>
          <w:sz w:val="22"/>
        </w:rPr>
        <w:t>93;</w:t>
      </w:r>
      <w:r>
        <w:rPr>
          <w:spacing w:val="32"/>
          <w:sz w:val="22"/>
        </w:rPr>
        <w:t xml:space="preserve"> </w:t>
      </w:r>
      <w:r>
        <w:rPr>
          <w:sz w:val="22"/>
        </w:rPr>
        <w:t>and</w:t>
      </w:r>
      <w:r>
        <w:rPr>
          <w:spacing w:val="33"/>
          <w:sz w:val="22"/>
        </w:rPr>
        <w:t xml:space="preserve"> </w:t>
      </w:r>
      <w:r>
        <w:rPr>
          <w:sz w:val="22"/>
        </w:rPr>
        <w:t>Salvation</w:t>
      </w:r>
      <w:r>
        <w:rPr>
          <w:spacing w:val="33"/>
          <w:sz w:val="22"/>
        </w:rPr>
        <w:t xml:space="preserve"> </w:t>
      </w:r>
      <w:r>
        <w:rPr>
          <w:sz w:val="22"/>
        </w:rPr>
        <w:t>History,</w:t>
      </w:r>
      <w:r>
        <w:rPr>
          <w:spacing w:val="32"/>
          <w:sz w:val="22"/>
        </w:rPr>
        <w:t xml:space="preserve"> </w:t>
      </w:r>
      <w:r>
        <w:rPr>
          <w:sz w:val="22"/>
        </w:rPr>
        <w:t>99,</w:t>
      </w:r>
      <w:r>
        <w:rPr>
          <w:spacing w:val="33"/>
          <w:sz w:val="22"/>
        </w:rPr>
        <w:t xml:space="preserve"> </w:t>
      </w:r>
      <w:r>
        <w:rPr>
          <w:sz w:val="22"/>
        </w:rPr>
        <w:t>168;</w:t>
      </w:r>
      <w:r>
        <w:rPr>
          <w:spacing w:val="32"/>
          <w:sz w:val="22"/>
        </w:rPr>
        <w:t xml:space="preserve"> </w:t>
      </w:r>
      <w:r>
        <w:rPr>
          <w:sz w:val="22"/>
        </w:rPr>
        <w:t>and</w:t>
      </w:r>
      <w:r>
        <w:rPr>
          <w:spacing w:val="33"/>
          <w:sz w:val="22"/>
        </w:rPr>
        <w:t xml:space="preserve"> </w:t>
      </w:r>
      <w:r>
        <w:rPr>
          <w:sz w:val="22"/>
        </w:rPr>
        <w:t>Kingdom,</w:t>
      </w:r>
      <w:r>
        <w:rPr>
          <w:spacing w:val="32"/>
          <w:sz w:val="22"/>
        </w:rPr>
        <w:t xml:space="preserve"> </w:t>
      </w:r>
      <w:r>
        <w:rPr>
          <w:spacing w:val="-4"/>
          <w:sz w:val="22"/>
        </w:rPr>
        <w:t>102;</w:t>
      </w:r>
    </w:p>
    <w:p w14:paraId="0B054FC6">
      <w:pPr>
        <w:spacing w:before="152"/>
        <w:ind w:left="264" w:right="0" w:firstLine="0"/>
        <w:jc w:val="left"/>
        <w:rPr>
          <w:sz w:val="22"/>
        </w:rPr>
      </w:pPr>
      <w:r>
        <w:rPr>
          <w:sz w:val="22"/>
        </w:rPr>
        <w:t>diagrammed,</w:t>
      </w:r>
      <w:r>
        <w:rPr>
          <w:spacing w:val="16"/>
          <w:sz w:val="22"/>
        </w:rPr>
        <w:t xml:space="preserve"> </w:t>
      </w:r>
      <w:r>
        <w:rPr>
          <w:sz w:val="22"/>
        </w:rPr>
        <w:t>167,</w:t>
      </w:r>
      <w:r>
        <w:rPr>
          <w:spacing w:val="16"/>
          <w:sz w:val="22"/>
        </w:rPr>
        <w:t xml:space="preserve"> </w:t>
      </w:r>
      <w:r>
        <w:rPr>
          <w:spacing w:val="-5"/>
          <w:sz w:val="22"/>
        </w:rPr>
        <w:t>175</w:t>
      </w:r>
    </w:p>
    <w:p w14:paraId="5C979978">
      <w:pPr>
        <w:spacing w:before="152" w:line="384" w:lineRule="auto"/>
        <w:ind w:left="99" w:right="0" w:firstLine="0"/>
        <w:jc w:val="left"/>
        <w:rPr>
          <w:sz w:val="22"/>
        </w:rPr>
      </w:pPr>
      <w:r>
        <w:rPr>
          <w:sz w:val="22"/>
        </w:rPr>
        <w:t>Eternal life, and the Kingdom, 60; offered in COW, 75; forfeited at the Fall, 78f; restored in COG 94f Evangelicals, divided, xvii; eschatologies of, 21f, 613f</w:t>
      </w:r>
    </w:p>
    <w:p w14:paraId="27802C09">
      <w:pPr>
        <w:spacing w:before="1"/>
        <w:ind w:left="99" w:right="0" w:firstLine="0"/>
        <w:jc w:val="left"/>
        <w:rPr>
          <w:sz w:val="22"/>
        </w:rPr>
      </w:pPr>
      <w:r>
        <w:rPr>
          <w:sz w:val="22"/>
        </w:rPr>
        <w:t>Exodus,</w:t>
      </w:r>
      <w:r>
        <w:rPr>
          <w:spacing w:val="8"/>
          <w:sz w:val="22"/>
        </w:rPr>
        <w:t xml:space="preserve"> </w:t>
      </w:r>
      <w:r>
        <w:rPr>
          <w:sz w:val="22"/>
        </w:rPr>
        <w:t>117f,</w:t>
      </w:r>
      <w:r>
        <w:rPr>
          <w:spacing w:val="8"/>
          <w:sz w:val="22"/>
        </w:rPr>
        <w:t xml:space="preserve"> </w:t>
      </w:r>
      <w:r>
        <w:rPr>
          <w:spacing w:val="-5"/>
          <w:sz w:val="22"/>
        </w:rPr>
        <w:t>121</w:t>
      </w:r>
    </w:p>
    <w:p w14:paraId="0BBC2850">
      <w:pPr>
        <w:spacing w:before="152"/>
        <w:ind w:left="99" w:right="0" w:firstLine="0"/>
        <w:jc w:val="left"/>
        <w:rPr>
          <w:spacing w:val="-5"/>
          <w:sz w:val="22"/>
        </w:rPr>
      </w:pPr>
      <w:r>
        <w:rPr>
          <w:sz w:val="22"/>
        </w:rPr>
        <w:t>Expulsion</w:t>
      </w:r>
      <w:r>
        <w:rPr>
          <w:spacing w:val="10"/>
          <w:sz w:val="22"/>
        </w:rPr>
        <w:t xml:space="preserve"> </w:t>
      </w:r>
      <w:r>
        <w:rPr>
          <w:sz w:val="22"/>
        </w:rPr>
        <w:t>and</w:t>
      </w:r>
      <w:r>
        <w:rPr>
          <w:spacing w:val="10"/>
          <w:sz w:val="22"/>
        </w:rPr>
        <w:t xml:space="preserve"> </w:t>
      </w:r>
      <w:r>
        <w:rPr>
          <w:sz w:val="22"/>
        </w:rPr>
        <w:t>Return,</w:t>
      </w:r>
      <w:r>
        <w:rPr>
          <w:spacing w:val="11"/>
          <w:sz w:val="22"/>
        </w:rPr>
        <w:t xml:space="preserve"> </w:t>
      </w:r>
      <w:r>
        <w:rPr>
          <w:sz w:val="22"/>
        </w:rPr>
        <w:t>10,</w:t>
      </w:r>
      <w:r>
        <w:rPr>
          <w:spacing w:val="10"/>
          <w:sz w:val="22"/>
        </w:rPr>
        <w:t xml:space="preserve"> </w:t>
      </w:r>
      <w:r>
        <w:rPr>
          <w:sz w:val="22"/>
        </w:rPr>
        <w:t>125,</w:t>
      </w:r>
      <w:r>
        <w:rPr>
          <w:spacing w:val="11"/>
          <w:sz w:val="22"/>
        </w:rPr>
        <w:t xml:space="preserve"> </w:t>
      </w:r>
      <w:r>
        <w:rPr>
          <w:sz w:val="22"/>
        </w:rPr>
        <w:t>337,</w:t>
      </w:r>
      <w:r>
        <w:rPr>
          <w:spacing w:val="10"/>
          <w:sz w:val="22"/>
        </w:rPr>
        <w:t xml:space="preserve"> </w:t>
      </w:r>
      <w:r>
        <w:rPr>
          <w:sz w:val="22"/>
        </w:rPr>
        <w:t>654,</w:t>
      </w:r>
      <w:r>
        <w:rPr>
          <w:spacing w:val="10"/>
          <w:sz w:val="22"/>
        </w:rPr>
        <w:t xml:space="preserve"> </w:t>
      </w:r>
      <w:r>
        <w:rPr>
          <w:spacing w:val="-5"/>
          <w:sz w:val="22"/>
        </w:rPr>
        <w:t>683</w:t>
      </w:r>
    </w:p>
    <w:p w14:paraId="24324264">
      <w:pPr>
        <w:spacing w:before="152"/>
        <w:ind w:left="99" w:right="0" w:firstLine="0"/>
        <w:jc w:val="left"/>
        <w:rPr>
          <w:spacing w:val="-5"/>
          <w:sz w:val="22"/>
        </w:rPr>
      </w:pPr>
      <w:r>
        <w:drawing>
          <wp:inline distT="0" distB="0" distL="114300" distR="114300">
            <wp:extent cx="4895850" cy="4476750"/>
            <wp:effectExtent l="0" t="0" r="11430" b="3810"/>
            <wp:docPr id="61"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6"/>
                    <pic:cNvPicPr>
                      <a:picLocks noChangeAspect="1"/>
                    </pic:cNvPicPr>
                  </pic:nvPicPr>
                  <pic:blipFill>
                    <a:blip r:embed="rId61"/>
                    <a:stretch>
                      <a:fillRect/>
                    </a:stretch>
                  </pic:blipFill>
                  <pic:spPr>
                    <a:xfrm>
                      <a:off x="0" y="0"/>
                      <a:ext cx="4895850" cy="4476750"/>
                    </a:xfrm>
                    <a:prstGeom prst="rect">
                      <a:avLst/>
                    </a:prstGeom>
                    <a:noFill/>
                    <a:ln>
                      <a:noFill/>
                    </a:ln>
                  </pic:spPr>
                </pic:pic>
              </a:graphicData>
            </a:graphic>
          </wp:inline>
        </w:drawing>
      </w:r>
    </w:p>
    <w:p w14:paraId="5AFDF2D7">
      <w:pPr>
        <w:pStyle w:val="5"/>
      </w:pPr>
      <w:r>
        <w:rPr>
          <w:color w:val="231F20"/>
          <w:spacing w:val="-10"/>
        </w:rPr>
        <w:t>F</w:t>
      </w:r>
    </w:p>
    <w:p w14:paraId="4DC56A95">
      <w:pPr>
        <w:bidi w:val="0"/>
      </w:pPr>
    </w:p>
    <w:p w14:paraId="31B720A9">
      <w:pPr>
        <w:tabs>
          <w:tab w:val="center" w:pos="4680"/>
        </w:tabs>
        <w:bidi w:val="0"/>
        <w:jc w:val="left"/>
        <w:rPr>
          <w:sz w:val="22"/>
        </w:rPr>
      </w:pPr>
      <w:r>
        <w:rPr>
          <w:sz w:val="22"/>
        </w:rPr>
        <w:t>Fall, consequences of, 78; and Domain of Darkness, 82; and Kingdom, 83f; of Dragon’s helpers, 458 False prophet(s), 532, 581, 593, 607; in the Revelation, 414, 451</w:t>
      </w:r>
    </w:p>
    <w:p w14:paraId="7635FBB2">
      <w:pPr>
        <w:spacing w:before="1" w:line="384" w:lineRule="auto"/>
        <w:ind w:left="99" w:right="4173" w:firstLine="0"/>
        <w:jc w:val="left"/>
        <w:rPr>
          <w:sz w:val="22"/>
        </w:rPr>
      </w:pPr>
      <w:r>
        <w:rPr>
          <w:sz w:val="22"/>
        </w:rPr>
        <w:t>Fig tree, type of Israel under the Law, 66; lesson of, 535 Figurative language, and OTKP, 14, 231, 242, 251, 255</w:t>
      </w:r>
    </w:p>
    <w:p w14:paraId="4DEEFE49">
      <w:pPr>
        <w:spacing w:before="0" w:line="384" w:lineRule="auto"/>
        <w:ind w:left="99" w:right="6263" w:firstLine="0"/>
        <w:jc w:val="left"/>
        <w:rPr>
          <w:sz w:val="22"/>
        </w:rPr>
      </w:pPr>
      <w:r>
        <w:rPr>
          <w:sz w:val="22"/>
        </w:rPr>
        <w:t>First resurrection, 476, 478f, 493 Flood, and the Kingdom, 84f Future millennialism, 37</w:t>
      </w:r>
    </w:p>
    <w:p w14:paraId="437DA272">
      <w:pPr>
        <w:spacing w:before="1"/>
        <w:ind w:left="99" w:right="0" w:firstLine="0"/>
        <w:jc w:val="left"/>
        <w:rPr>
          <w:sz w:val="22"/>
        </w:rPr>
      </w:pPr>
      <w:r>
        <w:rPr>
          <w:sz w:val="22"/>
        </w:rPr>
        <w:t>Futurism,</w:t>
      </w:r>
      <w:r>
        <w:rPr>
          <w:spacing w:val="16"/>
          <w:sz w:val="22"/>
        </w:rPr>
        <w:t xml:space="preserve"> </w:t>
      </w:r>
      <w:r>
        <w:rPr>
          <w:spacing w:val="-5"/>
          <w:sz w:val="22"/>
        </w:rPr>
        <w:t>428</w:t>
      </w:r>
    </w:p>
    <w:p w14:paraId="10DF269D">
      <w:pPr>
        <w:bidi w:val="0"/>
      </w:pPr>
      <w:r>
        <w:drawing>
          <wp:inline distT="0" distB="0" distL="114300" distR="114300">
            <wp:extent cx="4800600" cy="1905000"/>
            <wp:effectExtent l="0" t="0" r="0" b="0"/>
            <wp:docPr id="62"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47"/>
                    <pic:cNvPicPr>
                      <a:picLocks noChangeAspect="1"/>
                    </pic:cNvPicPr>
                  </pic:nvPicPr>
                  <pic:blipFill>
                    <a:blip r:embed="rId62"/>
                    <a:stretch>
                      <a:fillRect/>
                    </a:stretch>
                  </pic:blipFill>
                  <pic:spPr>
                    <a:xfrm>
                      <a:off x="0" y="0"/>
                      <a:ext cx="4800600" cy="1905000"/>
                    </a:xfrm>
                    <a:prstGeom prst="rect">
                      <a:avLst/>
                    </a:prstGeom>
                    <a:noFill/>
                    <a:ln>
                      <a:noFill/>
                    </a:ln>
                  </pic:spPr>
                </pic:pic>
              </a:graphicData>
            </a:graphic>
          </wp:inline>
        </w:drawing>
      </w:r>
    </w:p>
    <w:p w14:paraId="4A1B29FA">
      <w:pPr>
        <w:pStyle w:val="5"/>
      </w:pPr>
      <w:r>
        <w:rPr>
          <w:color w:val="231F20"/>
          <w:spacing w:val="-10"/>
        </w:rPr>
        <w:t>G</w:t>
      </w:r>
    </w:p>
    <w:p w14:paraId="0AE58579">
      <w:pPr>
        <w:spacing w:before="189"/>
        <w:ind w:left="99" w:right="0" w:firstLine="0"/>
        <w:jc w:val="left"/>
        <w:rPr>
          <w:sz w:val="22"/>
        </w:rPr>
      </w:pPr>
      <w:r>
        <w:rPr>
          <w:sz w:val="22"/>
        </w:rPr>
        <w:t>Gentiles,</w:t>
      </w:r>
      <w:r>
        <w:rPr>
          <w:spacing w:val="7"/>
          <w:sz w:val="22"/>
        </w:rPr>
        <w:t xml:space="preserve"> </w:t>
      </w:r>
      <w:r>
        <w:rPr>
          <w:sz w:val="22"/>
        </w:rPr>
        <w:t>in</w:t>
      </w:r>
      <w:r>
        <w:rPr>
          <w:spacing w:val="7"/>
          <w:sz w:val="22"/>
        </w:rPr>
        <w:t xml:space="preserve"> </w:t>
      </w:r>
      <w:r>
        <w:rPr>
          <w:sz w:val="22"/>
        </w:rPr>
        <w:t>OTKP,</w:t>
      </w:r>
      <w:r>
        <w:rPr>
          <w:spacing w:val="8"/>
          <w:sz w:val="22"/>
        </w:rPr>
        <w:t xml:space="preserve"> </w:t>
      </w:r>
      <w:r>
        <w:rPr>
          <w:sz w:val="22"/>
        </w:rPr>
        <w:t>191,</w:t>
      </w:r>
      <w:r>
        <w:rPr>
          <w:spacing w:val="7"/>
          <w:sz w:val="22"/>
        </w:rPr>
        <w:t xml:space="preserve"> </w:t>
      </w:r>
      <w:r>
        <w:rPr>
          <w:sz w:val="22"/>
        </w:rPr>
        <w:t>256,</w:t>
      </w:r>
      <w:r>
        <w:rPr>
          <w:spacing w:val="7"/>
          <w:sz w:val="22"/>
        </w:rPr>
        <w:t xml:space="preserve"> </w:t>
      </w:r>
      <w:r>
        <w:rPr>
          <w:sz w:val="22"/>
        </w:rPr>
        <w:t>261,</w:t>
      </w:r>
      <w:r>
        <w:rPr>
          <w:spacing w:val="8"/>
          <w:sz w:val="22"/>
        </w:rPr>
        <w:t xml:space="preserve"> </w:t>
      </w:r>
      <w:r>
        <w:rPr>
          <w:sz w:val="22"/>
        </w:rPr>
        <w:t>262,</w:t>
      </w:r>
      <w:r>
        <w:rPr>
          <w:spacing w:val="7"/>
          <w:sz w:val="22"/>
        </w:rPr>
        <w:t xml:space="preserve"> </w:t>
      </w:r>
      <w:r>
        <w:rPr>
          <w:sz w:val="22"/>
        </w:rPr>
        <w:t>264,</w:t>
      </w:r>
      <w:r>
        <w:rPr>
          <w:spacing w:val="7"/>
          <w:sz w:val="22"/>
        </w:rPr>
        <w:t xml:space="preserve"> </w:t>
      </w:r>
      <w:r>
        <w:rPr>
          <w:sz w:val="22"/>
        </w:rPr>
        <w:t>295;</w:t>
      </w:r>
      <w:r>
        <w:rPr>
          <w:spacing w:val="8"/>
          <w:sz w:val="22"/>
        </w:rPr>
        <w:t xml:space="preserve"> </w:t>
      </w:r>
      <w:r>
        <w:rPr>
          <w:sz w:val="22"/>
        </w:rPr>
        <w:t>to</w:t>
      </w:r>
      <w:r>
        <w:rPr>
          <w:spacing w:val="7"/>
          <w:sz w:val="22"/>
        </w:rPr>
        <w:t xml:space="preserve"> </w:t>
      </w:r>
      <w:r>
        <w:rPr>
          <w:sz w:val="22"/>
        </w:rPr>
        <w:t>be</w:t>
      </w:r>
      <w:r>
        <w:rPr>
          <w:spacing w:val="7"/>
          <w:sz w:val="22"/>
        </w:rPr>
        <w:t xml:space="preserve"> </w:t>
      </w:r>
      <w:r>
        <w:rPr>
          <w:sz w:val="22"/>
        </w:rPr>
        <w:t>broken</w:t>
      </w:r>
      <w:r>
        <w:rPr>
          <w:spacing w:val="8"/>
          <w:sz w:val="22"/>
        </w:rPr>
        <w:t xml:space="preserve"> </w:t>
      </w:r>
      <w:r>
        <w:rPr>
          <w:sz w:val="22"/>
        </w:rPr>
        <w:t>off,</w:t>
      </w:r>
      <w:r>
        <w:rPr>
          <w:spacing w:val="7"/>
          <w:sz w:val="22"/>
        </w:rPr>
        <w:t xml:space="preserve"> </w:t>
      </w:r>
      <w:r>
        <w:rPr>
          <w:sz w:val="22"/>
        </w:rPr>
        <w:t>551;</w:t>
      </w:r>
      <w:r>
        <w:rPr>
          <w:spacing w:val="8"/>
          <w:sz w:val="22"/>
        </w:rPr>
        <w:t xml:space="preserve"> </w:t>
      </w:r>
      <w:r>
        <w:rPr>
          <w:sz w:val="22"/>
        </w:rPr>
        <w:t>fullness</w:t>
      </w:r>
      <w:r>
        <w:rPr>
          <w:spacing w:val="7"/>
          <w:sz w:val="22"/>
        </w:rPr>
        <w:t xml:space="preserve"> </w:t>
      </w:r>
      <w:r>
        <w:rPr>
          <w:sz w:val="22"/>
        </w:rPr>
        <w:t>of,</w:t>
      </w:r>
      <w:r>
        <w:rPr>
          <w:spacing w:val="7"/>
          <w:sz w:val="22"/>
        </w:rPr>
        <w:t xml:space="preserve"> </w:t>
      </w:r>
      <w:r>
        <w:rPr>
          <w:sz w:val="22"/>
        </w:rPr>
        <w:t>552,</w:t>
      </w:r>
      <w:r>
        <w:rPr>
          <w:spacing w:val="8"/>
          <w:sz w:val="22"/>
        </w:rPr>
        <w:t xml:space="preserve"> </w:t>
      </w:r>
      <w:r>
        <w:rPr>
          <w:spacing w:val="-5"/>
          <w:sz w:val="22"/>
        </w:rPr>
        <w:t>594</w:t>
      </w:r>
    </w:p>
    <w:p w14:paraId="5A044EC8">
      <w:pPr>
        <w:spacing w:before="152"/>
        <w:ind w:left="99" w:right="0" w:firstLine="0"/>
        <w:jc w:val="left"/>
        <w:rPr>
          <w:sz w:val="22"/>
        </w:rPr>
      </w:pPr>
      <w:r>
        <w:rPr>
          <w:sz w:val="22"/>
        </w:rPr>
        <w:t>Geocentricity,</w:t>
      </w:r>
      <w:r>
        <w:rPr>
          <w:spacing w:val="9"/>
          <w:sz w:val="22"/>
        </w:rPr>
        <w:t xml:space="preserve"> </w:t>
      </w:r>
      <w:r>
        <w:rPr>
          <w:sz w:val="22"/>
        </w:rPr>
        <w:t>535,</w:t>
      </w:r>
      <w:r>
        <w:rPr>
          <w:spacing w:val="10"/>
          <w:sz w:val="22"/>
        </w:rPr>
        <w:t xml:space="preserve"> </w:t>
      </w:r>
      <w:r>
        <w:rPr>
          <w:spacing w:val="-5"/>
          <w:sz w:val="22"/>
        </w:rPr>
        <w:t>596</w:t>
      </w:r>
    </w:p>
    <w:p w14:paraId="74D02308">
      <w:pPr>
        <w:spacing w:before="152"/>
        <w:ind w:left="99" w:right="0" w:firstLine="0"/>
        <w:jc w:val="left"/>
        <w:rPr>
          <w:sz w:val="22"/>
        </w:rPr>
      </w:pPr>
      <w:r>
        <w:rPr>
          <w:sz w:val="22"/>
        </w:rPr>
        <w:t>Glory</w:t>
      </w:r>
      <w:r>
        <w:rPr>
          <w:spacing w:val="8"/>
          <w:sz w:val="22"/>
        </w:rPr>
        <w:t xml:space="preserve"> </w:t>
      </w:r>
      <w:r>
        <w:rPr>
          <w:sz w:val="22"/>
        </w:rPr>
        <w:t>of</w:t>
      </w:r>
      <w:r>
        <w:rPr>
          <w:spacing w:val="9"/>
          <w:sz w:val="22"/>
        </w:rPr>
        <w:t xml:space="preserve"> </w:t>
      </w:r>
      <w:r>
        <w:rPr>
          <w:sz w:val="22"/>
        </w:rPr>
        <w:t>Christ,</w:t>
      </w:r>
      <w:r>
        <w:rPr>
          <w:spacing w:val="9"/>
          <w:sz w:val="22"/>
        </w:rPr>
        <w:t xml:space="preserve"> </w:t>
      </w:r>
      <w:r>
        <w:rPr>
          <w:sz w:val="22"/>
        </w:rPr>
        <w:t>xxi,</w:t>
      </w:r>
      <w:r>
        <w:rPr>
          <w:spacing w:val="9"/>
          <w:sz w:val="22"/>
        </w:rPr>
        <w:t xml:space="preserve"> </w:t>
      </w:r>
      <w:r>
        <w:rPr>
          <w:sz w:val="22"/>
        </w:rPr>
        <w:t>291,</w:t>
      </w:r>
      <w:r>
        <w:rPr>
          <w:spacing w:val="9"/>
          <w:sz w:val="22"/>
        </w:rPr>
        <w:t xml:space="preserve"> </w:t>
      </w:r>
      <w:r>
        <w:rPr>
          <w:sz w:val="22"/>
        </w:rPr>
        <w:t>338,</w:t>
      </w:r>
      <w:r>
        <w:rPr>
          <w:spacing w:val="9"/>
          <w:sz w:val="22"/>
        </w:rPr>
        <w:t xml:space="preserve"> </w:t>
      </w:r>
      <w:r>
        <w:rPr>
          <w:sz w:val="22"/>
        </w:rPr>
        <w:t>404,</w:t>
      </w:r>
      <w:r>
        <w:rPr>
          <w:spacing w:val="9"/>
          <w:sz w:val="22"/>
        </w:rPr>
        <w:t xml:space="preserve"> </w:t>
      </w:r>
      <w:r>
        <w:rPr>
          <w:sz w:val="22"/>
        </w:rPr>
        <w:t>509,</w:t>
      </w:r>
      <w:r>
        <w:rPr>
          <w:spacing w:val="9"/>
          <w:sz w:val="22"/>
        </w:rPr>
        <w:t xml:space="preserve"> </w:t>
      </w:r>
      <w:r>
        <w:rPr>
          <w:sz w:val="22"/>
        </w:rPr>
        <w:t>610,</w:t>
      </w:r>
      <w:r>
        <w:rPr>
          <w:spacing w:val="9"/>
          <w:sz w:val="22"/>
        </w:rPr>
        <w:t xml:space="preserve"> </w:t>
      </w:r>
      <w:r>
        <w:rPr>
          <w:spacing w:val="-5"/>
          <w:sz w:val="22"/>
        </w:rPr>
        <w:t>643</w:t>
      </w:r>
    </w:p>
    <w:p w14:paraId="241A73CE">
      <w:pPr>
        <w:spacing w:before="152"/>
        <w:ind w:left="99" w:right="0" w:firstLine="0"/>
        <w:jc w:val="left"/>
        <w:rPr>
          <w:sz w:val="22"/>
        </w:rPr>
      </w:pPr>
      <w:r>
        <w:rPr>
          <w:sz w:val="22"/>
        </w:rPr>
        <w:t>Glory</w:t>
      </w:r>
      <w:r>
        <w:rPr>
          <w:spacing w:val="8"/>
          <w:sz w:val="22"/>
        </w:rPr>
        <w:t xml:space="preserve"> </w:t>
      </w:r>
      <w:r>
        <w:rPr>
          <w:sz w:val="22"/>
        </w:rPr>
        <w:t>of</w:t>
      </w:r>
      <w:r>
        <w:rPr>
          <w:spacing w:val="8"/>
          <w:sz w:val="22"/>
        </w:rPr>
        <w:t xml:space="preserve"> </w:t>
      </w:r>
      <w:r>
        <w:rPr>
          <w:sz w:val="22"/>
        </w:rPr>
        <w:t>God,</w:t>
      </w:r>
      <w:r>
        <w:rPr>
          <w:spacing w:val="9"/>
          <w:sz w:val="22"/>
        </w:rPr>
        <w:t xml:space="preserve"> </w:t>
      </w:r>
      <w:r>
        <w:rPr>
          <w:sz w:val="22"/>
        </w:rPr>
        <w:t>xxi,</w:t>
      </w:r>
      <w:r>
        <w:rPr>
          <w:spacing w:val="8"/>
          <w:sz w:val="22"/>
        </w:rPr>
        <w:t xml:space="preserve"> </w:t>
      </w:r>
      <w:r>
        <w:rPr>
          <w:sz w:val="22"/>
        </w:rPr>
        <w:t>98,</w:t>
      </w:r>
      <w:r>
        <w:rPr>
          <w:spacing w:val="9"/>
          <w:sz w:val="22"/>
        </w:rPr>
        <w:t xml:space="preserve"> </w:t>
      </w:r>
      <w:r>
        <w:rPr>
          <w:sz w:val="22"/>
        </w:rPr>
        <w:t>103,</w:t>
      </w:r>
      <w:r>
        <w:rPr>
          <w:spacing w:val="8"/>
          <w:sz w:val="22"/>
        </w:rPr>
        <w:t xml:space="preserve"> </w:t>
      </w:r>
      <w:r>
        <w:rPr>
          <w:sz w:val="22"/>
        </w:rPr>
        <w:t>131,</w:t>
      </w:r>
      <w:r>
        <w:rPr>
          <w:spacing w:val="9"/>
          <w:sz w:val="22"/>
        </w:rPr>
        <w:t xml:space="preserve"> </w:t>
      </w:r>
      <w:r>
        <w:rPr>
          <w:sz w:val="22"/>
        </w:rPr>
        <w:t>134,</w:t>
      </w:r>
      <w:r>
        <w:rPr>
          <w:spacing w:val="8"/>
          <w:sz w:val="22"/>
        </w:rPr>
        <w:t xml:space="preserve"> </w:t>
      </w:r>
      <w:r>
        <w:rPr>
          <w:sz w:val="22"/>
        </w:rPr>
        <w:t>176,</w:t>
      </w:r>
      <w:r>
        <w:rPr>
          <w:spacing w:val="9"/>
          <w:sz w:val="22"/>
        </w:rPr>
        <w:t xml:space="preserve"> </w:t>
      </w:r>
      <w:r>
        <w:rPr>
          <w:sz w:val="22"/>
        </w:rPr>
        <w:t>197,</w:t>
      </w:r>
      <w:r>
        <w:rPr>
          <w:spacing w:val="8"/>
          <w:sz w:val="22"/>
        </w:rPr>
        <w:t xml:space="preserve"> </w:t>
      </w:r>
      <w:r>
        <w:rPr>
          <w:sz w:val="22"/>
        </w:rPr>
        <w:t>296,</w:t>
      </w:r>
      <w:r>
        <w:rPr>
          <w:spacing w:val="9"/>
          <w:sz w:val="22"/>
        </w:rPr>
        <w:t xml:space="preserve"> </w:t>
      </w:r>
      <w:r>
        <w:rPr>
          <w:sz w:val="22"/>
        </w:rPr>
        <w:t>337,</w:t>
      </w:r>
      <w:r>
        <w:rPr>
          <w:spacing w:val="8"/>
          <w:sz w:val="22"/>
        </w:rPr>
        <w:t xml:space="preserve"> </w:t>
      </w:r>
      <w:r>
        <w:rPr>
          <w:sz w:val="22"/>
        </w:rPr>
        <w:t>354,</w:t>
      </w:r>
      <w:r>
        <w:rPr>
          <w:spacing w:val="9"/>
          <w:sz w:val="22"/>
        </w:rPr>
        <w:t xml:space="preserve"> </w:t>
      </w:r>
      <w:r>
        <w:rPr>
          <w:sz w:val="22"/>
        </w:rPr>
        <w:t>437,</w:t>
      </w:r>
      <w:r>
        <w:rPr>
          <w:spacing w:val="8"/>
          <w:sz w:val="22"/>
        </w:rPr>
        <w:t xml:space="preserve"> </w:t>
      </w:r>
      <w:r>
        <w:rPr>
          <w:sz w:val="22"/>
        </w:rPr>
        <w:t>498,</w:t>
      </w:r>
      <w:r>
        <w:rPr>
          <w:spacing w:val="9"/>
          <w:sz w:val="22"/>
        </w:rPr>
        <w:t xml:space="preserve"> </w:t>
      </w:r>
      <w:r>
        <w:rPr>
          <w:sz w:val="22"/>
        </w:rPr>
        <w:t>507,</w:t>
      </w:r>
      <w:r>
        <w:rPr>
          <w:spacing w:val="8"/>
          <w:sz w:val="22"/>
        </w:rPr>
        <w:t xml:space="preserve"> </w:t>
      </w:r>
      <w:r>
        <w:rPr>
          <w:sz w:val="22"/>
        </w:rPr>
        <w:t>508,</w:t>
      </w:r>
      <w:r>
        <w:rPr>
          <w:spacing w:val="9"/>
          <w:sz w:val="22"/>
        </w:rPr>
        <w:t xml:space="preserve"> </w:t>
      </w:r>
      <w:r>
        <w:rPr>
          <w:spacing w:val="-5"/>
          <w:sz w:val="22"/>
        </w:rPr>
        <w:t>610</w:t>
      </w:r>
    </w:p>
    <w:p w14:paraId="3D9F94E4">
      <w:pPr>
        <w:spacing w:before="152"/>
        <w:ind w:left="99" w:right="0" w:firstLine="0"/>
        <w:jc w:val="left"/>
        <w:rPr>
          <w:sz w:val="22"/>
        </w:rPr>
      </w:pPr>
      <w:r>
        <w:rPr>
          <w:sz w:val="22"/>
        </w:rPr>
        <w:t>Gog,</w:t>
      </w:r>
      <w:r>
        <w:rPr>
          <w:spacing w:val="9"/>
          <w:sz w:val="22"/>
        </w:rPr>
        <w:t xml:space="preserve"> </w:t>
      </w:r>
      <w:r>
        <w:rPr>
          <w:sz w:val="22"/>
        </w:rPr>
        <w:t>316,</w:t>
      </w:r>
      <w:r>
        <w:rPr>
          <w:spacing w:val="9"/>
          <w:sz w:val="22"/>
        </w:rPr>
        <w:t xml:space="preserve"> </w:t>
      </w:r>
      <w:r>
        <w:rPr>
          <w:sz w:val="22"/>
        </w:rPr>
        <w:t>486,</w:t>
      </w:r>
      <w:r>
        <w:rPr>
          <w:spacing w:val="9"/>
          <w:sz w:val="22"/>
        </w:rPr>
        <w:t xml:space="preserve"> </w:t>
      </w:r>
      <w:r>
        <w:rPr>
          <w:spacing w:val="-5"/>
          <w:sz w:val="22"/>
        </w:rPr>
        <w:t>489</w:t>
      </w:r>
    </w:p>
    <w:p w14:paraId="20496341">
      <w:pPr>
        <w:spacing w:before="152" w:line="384" w:lineRule="auto"/>
        <w:ind w:left="99" w:right="1945" w:firstLine="0"/>
        <w:jc w:val="left"/>
        <w:rPr>
          <w:sz w:val="22"/>
        </w:rPr>
      </w:pPr>
      <w:r>
        <w:rPr>
          <w:sz w:val="22"/>
        </w:rPr>
        <w:t>Gospel, and Eschatology, xxi; and COG, 99; and Era of Proclamation, 102, 170 Grand Finale of Scripture, 419, 423</w:t>
      </w:r>
    </w:p>
    <w:p w14:paraId="527560CF">
      <w:pPr>
        <w:spacing w:before="0"/>
        <w:ind w:left="99" w:right="0" w:firstLine="0"/>
        <w:jc w:val="left"/>
        <w:rPr>
          <w:sz w:val="22"/>
        </w:rPr>
      </w:pPr>
      <w:r>
        <w:rPr>
          <w:sz w:val="22"/>
        </w:rPr>
        <w:t>Great</w:t>
      </w:r>
      <w:r>
        <w:rPr>
          <w:spacing w:val="9"/>
          <w:sz w:val="22"/>
        </w:rPr>
        <w:t xml:space="preserve"> </w:t>
      </w:r>
      <w:r>
        <w:rPr>
          <w:sz w:val="22"/>
        </w:rPr>
        <w:t>City</w:t>
      </w:r>
      <w:r>
        <w:rPr>
          <w:spacing w:val="10"/>
          <w:sz w:val="22"/>
        </w:rPr>
        <w:t xml:space="preserve"> </w:t>
      </w:r>
      <w:r>
        <w:rPr>
          <w:sz w:val="22"/>
        </w:rPr>
        <w:t>(the),</w:t>
      </w:r>
      <w:r>
        <w:rPr>
          <w:spacing w:val="9"/>
          <w:sz w:val="22"/>
        </w:rPr>
        <w:t xml:space="preserve"> </w:t>
      </w:r>
      <w:r>
        <w:rPr>
          <w:sz w:val="22"/>
        </w:rPr>
        <w:t>415,</w:t>
      </w:r>
      <w:r>
        <w:rPr>
          <w:spacing w:val="10"/>
          <w:sz w:val="22"/>
        </w:rPr>
        <w:t xml:space="preserve"> </w:t>
      </w:r>
      <w:r>
        <w:rPr>
          <w:spacing w:val="-5"/>
          <w:sz w:val="22"/>
        </w:rPr>
        <w:t>457</w:t>
      </w:r>
    </w:p>
    <w:p w14:paraId="35317C1C">
      <w:pPr>
        <w:spacing w:before="152"/>
        <w:ind w:left="99" w:right="0" w:firstLine="0"/>
        <w:jc w:val="left"/>
        <w:rPr>
          <w:sz w:val="22"/>
        </w:rPr>
      </w:pPr>
      <w:r>
        <w:rPr>
          <w:sz w:val="22"/>
        </w:rPr>
        <w:t>Great</w:t>
      </w:r>
      <w:r>
        <w:rPr>
          <w:spacing w:val="10"/>
          <w:sz w:val="22"/>
        </w:rPr>
        <w:t xml:space="preserve"> </w:t>
      </w:r>
      <w:r>
        <w:rPr>
          <w:sz w:val="22"/>
        </w:rPr>
        <w:t>Commission,</w:t>
      </w:r>
      <w:r>
        <w:rPr>
          <w:spacing w:val="11"/>
          <w:sz w:val="22"/>
        </w:rPr>
        <w:t xml:space="preserve"> </w:t>
      </w:r>
      <w:r>
        <w:rPr>
          <w:sz w:val="22"/>
        </w:rPr>
        <w:t>xx,</w:t>
      </w:r>
      <w:r>
        <w:rPr>
          <w:spacing w:val="11"/>
          <w:sz w:val="22"/>
        </w:rPr>
        <w:t xml:space="preserve"> </w:t>
      </w:r>
      <w:r>
        <w:rPr>
          <w:sz w:val="22"/>
        </w:rPr>
        <w:t>319,</w:t>
      </w:r>
      <w:r>
        <w:rPr>
          <w:spacing w:val="11"/>
          <w:sz w:val="22"/>
        </w:rPr>
        <w:t xml:space="preserve"> </w:t>
      </w:r>
      <w:r>
        <w:rPr>
          <w:sz w:val="22"/>
        </w:rPr>
        <w:t>376,</w:t>
      </w:r>
      <w:r>
        <w:rPr>
          <w:spacing w:val="11"/>
          <w:sz w:val="22"/>
        </w:rPr>
        <w:t xml:space="preserve"> </w:t>
      </w:r>
      <w:r>
        <w:rPr>
          <w:sz w:val="22"/>
        </w:rPr>
        <w:t>412,</w:t>
      </w:r>
      <w:r>
        <w:rPr>
          <w:spacing w:val="11"/>
          <w:sz w:val="22"/>
        </w:rPr>
        <w:t xml:space="preserve"> </w:t>
      </w:r>
      <w:r>
        <w:rPr>
          <w:sz w:val="22"/>
        </w:rPr>
        <w:t>430,</w:t>
      </w:r>
      <w:r>
        <w:rPr>
          <w:spacing w:val="11"/>
          <w:sz w:val="22"/>
        </w:rPr>
        <w:t xml:space="preserve"> </w:t>
      </w:r>
      <w:r>
        <w:rPr>
          <w:spacing w:val="-5"/>
          <w:sz w:val="22"/>
        </w:rPr>
        <w:t>608</w:t>
      </w:r>
    </w:p>
    <w:p w14:paraId="6FE68F76">
      <w:pPr>
        <w:spacing w:before="152"/>
        <w:ind w:left="99" w:right="0" w:firstLine="0"/>
        <w:jc w:val="left"/>
        <w:rPr>
          <w:sz w:val="22"/>
        </w:rPr>
      </w:pPr>
      <w:r>
        <w:rPr>
          <w:sz w:val="22"/>
        </w:rPr>
        <w:t>Great</w:t>
      </w:r>
      <w:r>
        <w:rPr>
          <w:spacing w:val="10"/>
          <w:sz w:val="22"/>
        </w:rPr>
        <w:t xml:space="preserve"> </w:t>
      </w:r>
      <w:r>
        <w:rPr>
          <w:sz w:val="22"/>
        </w:rPr>
        <w:t>Harlot,</w:t>
      </w:r>
      <w:r>
        <w:rPr>
          <w:spacing w:val="11"/>
          <w:sz w:val="22"/>
        </w:rPr>
        <w:t xml:space="preserve"> </w:t>
      </w:r>
      <w:r>
        <w:rPr>
          <w:sz w:val="22"/>
        </w:rPr>
        <w:t>415,</w:t>
      </w:r>
      <w:r>
        <w:rPr>
          <w:spacing w:val="11"/>
          <w:sz w:val="22"/>
        </w:rPr>
        <w:t xml:space="preserve"> </w:t>
      </w:r>
      <w:r>
        <w:rPr>
          <w:spacing w:val="-5"/>
          <w:sz w:val="22"/>
        </w:rPr>
        <w:t>458</w:t>
      </w:r>
    </w:p>
    <w:p w14:paraId="2935E70F">
      <w:pPr>
        <w:spacing w:before="152" w:line="384" w:lineRule="auto"/>
        <w:ind w:left="99" w:right="5417" w:firstLine="0"/>
        <w:jc w:val="left"/>
        <w:rPr>
          <w:sz w:val="22"/>
        </w:rPr>
      </w:pPr>
      <w:r>
        <w:rPr>
          <w:sz w:val="22"/>
        </w:rPr>
        <w:t>Great Tribulation (the), (see, Tribulation) Great White Throne, (see, Throne(s))</w:t>
      </w:r>
    </w:p>
    <w:p w14:paraId="0B043AD7">
      <w:pPr>
        <w:spacing w:before="1"/>
        <w:ind w:left="99" w:right="0" w:firstLine="0"/>
        <w:jc w:val="left"/>
        <w:rPr>
          <w:sz w:val="22"/>
        </w:rPr>
      </w:pPr>
      <w:r>
        <w:rPr>
          <w:sz w:val="22"/>
        </w:rPr>
        <w:t>Greatest</w:t>
      </w:r>
      <w:r>
        <w:rPr>
          <w:spacing w:val="11"/>
          <w:sz w:val="22"/>
        </w:rPr>
        <w:t xml:space="preserve"> </w:t>
      </w:r>
      <w:r>
        <w:rPr>
          <w:sz w:val="22"/>
        </w:rPr>
        <w:t>Tribulation</w:t>
      </w:r>
      <w:r>
        <w:rPr>
          <w:spacing w:val="12"/>
          <w:sz w:val="22"/>
        </w:rPr>
        <w:t xml:space="preserve"> </w:t>
      </w:r>
      <w:r>
        <w:rPr>
          <w:sz w:val="22"/>
        </w:rPr>
        <w:t>(the),</w:t>
      </w:r>
      <w:r>
        <w:rPr>
          <w:spacing w:val="12"/>
          <w:sz w:val="22"/>
        </w:rPr>
        <w:t xml:space="preserve"> </w:t>
      </w:r>
      <w:r>
        <w:rPr>
          <w:sz w:val="22"/>
        </w:rPr>
        <w:t>(see,</w:t>
      </w:r>
      <w:r>
        <w:rPr>
          <w:spacing w:val="12"/>
          <w:sz w:val="22"/>
        </w:rPr>
        <w:t xml:space="preserve"> </w:t>
      </w:r>
      <w:r>
        <w:rPr>
          <w:sz w:val="22"/>
        </w:rPr>
        <w:t>Tribulation,</w:t>
      </w:r>
      <w:r>
        <w:rPr>
          <w:spacing w:val="11"/>
          <w:sz w:val="22"/>
        </w:rPr>
        <w:t xml:space="preserve"> </w:t>
      </w:r>
      <w:r>
        <w:rPr>
          <w:sz w:val="22"/>
        </w:rPr>
        <w:t>Last</w:t>
      </w:r>
      <w:r>
        <w:rPr>
          <w:spacing w:val="12"/>
          <w:sz w:val="22"/>
        </w:rPr>
        <w:t xml:space="preserve"> </w:t>
      </w:r>
      <w:r>
        <w:rPr>
          <w:spacing w:val="-2"/>
          <w:sz w:val="22"/>
        </w:rPr>
        <w:t>Battle)</w:t>
      </w:r>
    </w:p>
    <w:p w14:paraId="32B83716">
      <w:pPr>
        <w:bidi w:val="0"/>
      </w:pPr>
      <w:r>
        <w:drawing>
          <wp:inline distT="0" distB="0" distL="114300" distR="114300">
            <wp:extent cx="5086350" cy="2676525"/>
            <wp:effectExtent l="0" t="0" r="3810" b="5715"/>
            <wp:docPr id="63"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8"/>
                    <pic:cNvPicPr>
                      <a:picLocks noChangeAspect="1"/>
                    </pic:cNvPicPr>
                  </pic:nvPicPr>
                  <pic:blipFill>
                    <a:blip r:embed="rId63"/>
                    <a:stretch>
                      <a:fillRect/>
                    </a:stretch>
                  </pic:blipFill>
                  <pic:spPr>
                    <a:xfrm>
                      <a:off x="0" y="0"/>
                      <a:ext cx="5086350" cy="2676525"/>
                    </a:xfrm>
                    <a:prstGeom prst="rect">
                      <a:avLst/>
                    </a:prstGeom>
                    <a:noFill/>
                    <a:ln>
                      <a:noFill/>
                    </a:ln>
                  </pic:spPr>
                </pic:pic>
              </a:graphicData>
            </a:graphic>
          </wp:inline>
        </w:drawing>
      </w:r>
    </w:p>
    <w:p w14:paraId="3E8F50DC">
      <w:pPr>
        <w:bidi w:val="0"/>
      </w:pPr>
    </w:p>
    <w:p w14:paraId="326B7E61">
      <w:pPr>
        <w:pStyle w:val="5"/>
      </w:pPr>
      <w:r>
        <w:rPr>
          <w:color w:val="231F20"/>
          <w:spacing w:val="-10"/>
        </w:rPr>
        <w:t>H</w:t>
      </w:r>
    </w:p>
    <w:p w14:paraId="013A3F05">
      <w:pPr>
        <w:spacing w:before="152"/>
        <w:ind w:left="264" w:right="0" w:firstLine="0"/>
        <w:jc w:val="left"/>
        <w:rPr>
          <w:rFonts w:hint="eastAsia"/>
          <w:spacing w:val="-5"/>
          <w:sz w:val="22"/>
        </w:rPr>
      </w:pPr>
    </w:p>
    <w:p w14:paraId="0717FEA9">
      <w:pPr>
        <w:spacing w:before="152"/>
        <w:ind w:left="264" w:right="0" w:firstLine="0"/>
        <w:jc w:val="left"/>
        <w:rPr>
          <w:rFonts w:hint="eastAsia"/>
          <w:spacing w:val="-5"/>
          <w:sz w:val="22"/>
        </w:rPr>
      </w:pPr>
      <w:r>
        <w:rPr>
          <w:rFonts w:hint="eastAsia"/>
          <w:spacing w:val="-5"/>
          <w:sz w:val="22"/>
        </w:rPr>
        <w:t>Hades, 2, 77, 144, 149, 292, 432, 480, 492,</w:t>
      </w:r>
    </w:p>
    <w:p w14:paraId="7B0B26D3">
      <w:pPr>
        <w:spacing w:before="152"/>
        <w:ind w:left="264" w:right="0" w:firstLine="0"/>
        <w:jc w:val="left"/>
        <w:rPr>
          <w:rFonts w:hint="eastAsia"/>
          <w:spacing w:val="-5"/>
          <w:sz w:val="22"/>
        </w:rPr>
      </w:pPr>
      <w:r>
        <w:rPr>
          <w:rFonts w:hint="eastAsia"/>
          <w:spacing w:val="-5"/>
          <w:sz w:val="22"/>
        </w:rPr>
        <w:t>阴间，2, 77, 144, 149, 292, 432, 480, 492,</w:t>
      </w:r>
    </w:p>
    <w:p w14:paraId="097CB3DF">
      <w:pPr>
        <w:spacing w:before="152"/>
        <w:ind w:left="264" w:right="0" w:firstLine="0"/>
        <w:jc w:val="left"/>
        <w:rPr>
          <w:rFonts w:hint="eastAsia"/>
          <w:spacing w:val="-5"/>
          <w:sz w:val="22"/>
        </w:rPr>
      </w:pPr>
    </w:p>
    <w:p w14:paraId="518DEC81">
      <w:pPr>
        <w:spacing w:before="152"/>
        <w:ind w:left="264" w:right="0" w:firstLine="0"/>
        <w:jc w:val="left"/>
        <w:rPr>
          <w:rFonts w:hint="eastAsia"/>
          <w:spacing w:val="-5"/>
          <w:sz w:val="22"/>
        </w:rPr>
      </w:pPr>
      <w:r>
        <w:rPr>
          <w:rFonts w:hint="eastAsia"/>
          <w:spacing w:val="-5"/>
          <w:sz w:val="22"/>
        </w:rPr>
        <w:t>Harlot, 413, 415, 452, 456, 459, 642</w:t>
      </w:r>
    </w:p>
    <w:p w14:paraId="45286A1E">
      <w:pPr>
        <w:spacing w:before="152"/>
        <w:ind w:left="264" w:right="0" w:firstLine="0"/>
        <w:jc w:val="left"/>
        <w:rPr>
          <w:rFonts w:hint="eastAsia"/>
          <w:spacing w:val="-5"/>
          <w:sz w:val="22"/>
        </w:rPr>
      </w:pPr>
      <w:r>
        <w:rPr>
          <w:rFonts w:hint="eastAsia"/>
          <w:spacing w:val="-5"/>
          <w:sz w:val="22"/>
        </w:rPr>
        <w:t>淫妇，413, 415, 452, 456, 459, 642</w:t>
      </w:r>
    </w:p>
    <w:p w14:paraId="59C7CFCB">
      <w:pPr>
        <w:spacing w:before="152"/>
        <w:ind w:left="264" w:right="0" w:firstLine="0"/>
        <w:jc w:val="left"/>
        <w:rPr>
          <w:rFonts w:hint="eastAsia"/>
          <w:spacing w:val="-5"/>
          <w:sz w:val="22"/>
        </w:rPr>
      </w:pPr>
    </w:p>
    <w:p w14:paraId="1B1C413E">
      <w:pPr>
        <w:spacing w:before="152"/>
        <w:ind w:left="264" w:right="0" w:firstLine="0"/>
        <w:jc w:val="left"/>
        <w:rPr>
          <w:rFonts w:hint="eastAsia"/>
          <w:spacing w:val="-5"/>
          <w:sz w:val="22"/>
        </w:rPr>
      </w:pPr>
      <w:r>
        <w:rPr>
          <w:rFonts w:hint="eastAsia"/>
          <w:spacing w:val="-5"/>
          <w:sz w:val="22"/>
        </w:rPr>
        <w:t>Heaven, Christ reigns from, 97, 102, 133, 140f, 161, 171, 259, 436f; and Earth become one, 498f</w:t>
      </w:r>
    </w:p>
    <w:p w14:paraId="173C2A37">
      <w:pPr>
        <w:spacing w:before="152"/>
        <w:ind w:left="264" w:right="0" w:firstLine="0"/>
        <w:jc w:val="left"/>
        <w:rPr>
          <w:rFonts w:hint="eastAsia"/>
          <w:spacing w:val="-5"/>
          <w:sz w:val="22"/>
        </w:rPr>
      </w:pPr>
      <w:r>
        <w:rPr>
          <w:rFonts w:hint="eastAsia"/>
          <w:spacing w:val="-5"/>
          <w:sz w:val="22"/>
        </w:rPr>
        <w:t>天堂，基督从那里掌权，97, 102, 133, 140f, 161, 171, 259, 436f；与地合一，498f</w:t>
      </w:r>
    </w:p>
    <w:p w14:paraId="5434E64C">
      <w:pPr>
        <w:spacing w:before="152"/>
        <w:ind w:left="264" w:right="0" w:firstLine="0"/>
        <w:jc w:val="left"/>
        <w:rPr>
          <w:rFonts w:hint="eastAsia"/>
          <w:spacing w:val="-5"/>
          <w:sz w:val="22"/>
        </w:rPr>
      </w:pPr>
    </w:p>
    <w:p w14:paraId="4F7C4644">
      <w:pPr>
        <w:spacing w:before="152"/>
        <w:ind w:left="264" w:right="0" w:firstLine="0"/>
        <w:jc w:val="left"/>
        <w:rPr>
          <w:rFonts w:hint="eastAsia"/>
          <w:spacing w:val="-5"/>
          <w:sz w:val="22"/>
        </w:rPr>
      </w:pPr>
      <w:r>
        <w:rPr>
          <w:rFonts w:hint="eastAsia"/>
          <w:spacing w:val="-5"/>
          <w:sz w:val="22"/>
        </w:rPr>
        <w:t>Hell (Gehenna), 82, 102, 139, 600, 677f</w:t>
      </w:r>
    </w:p>
    <w:p w14:paraId="00386AB7">
      <w:pPr>
        <w:spacing w:before="152"/>
        <w:ind w:left="264" w:right="0" w:firstLine="0"/>
        <w:jc w:val="left"/>
        <w:rPr>
          <w:rFonts w:hint="eastAsia"/>
          <w:spacing w:val="-5"/>
          <w:sz w:val="22"/>
        </w:rPr>
      </w:pPr>
      <w:r>
        <w:rPr>
          <w:rFonts w:hint="eastAsia"/>
          <w:spacing w:val="-5"/>
          <w:sz w:val="22"/>
        </w:rPr>
        <w:t>地狱 (矶汉那)，82, 102, 139, 600, 677f</w:t>
      </w:r>
    </w:p>
    <w:p w14:paraId="2EC2DAC5">
      <w:pPr>
        <w:spacing w:before="152"/>
        <w:ind w:left="264" w:right="0" w:firstLine="0"/>
        <w:jc w:val="left"/>
        <w:rPr>
          <w:rFonts w:hint="eastAsia"/>
          <w:spacing w:val="-5"/>
          <w:sz w:val="22"/>
        </w:rPr>
      </w:pPr>
    </w:p>
    <w:p w14:paraId="67F9BB14">
      <w:pPr>
        <w:spacing w:before="152"/>
        <w:ind w:left="264" w:right="0" w:firstLine="0"/>
        <w:jc w:val="left"/>
        <w:rPr>
          <w:rFonts w:hint="eastAsia"/>
          <w:spacing w:val="-5"/>
          <w:sz w:val="22"/>
        </w:rPr>
      </w:pPr>
      <w:r>
        <w:rPr>
          <w:rFonts w:hint="eastAsia"/>
          <w:spacing w:val="-5"/>
          <w:sz w:val="22"/>
        </w:rPr>
        <w:t>Historic Premillennialism, defined, 21; critiqued, 613</w:t>
      </w:r>
    </w:p>
    <w:p w14:paraId="1C1926A7">
      <w:pPr>
        <w:spacing w:before="152"/>
        <w:ind w:left="264" w:right="0" w:firstLine="0"/>
        <w:jc w:val="left"/>
        <w:rPr>
          <w:rFonts w:hint="eastAsia"/>
          <w:spacing w:val="-5"/>
          <w:sz w:val="22"/>
        </w:rPr>
      </w:pPr>
      <w:r>
        <w:rPr>
          <w:rFonts w:hint="eastAsia"/>
          <w:spacing w:val="-5"/>
          <w:sz w:val="22"/>
        </w:rPr>
        <w:t>历史性前千禧年主义，定义，21；批判，613</w:t>
      </w:r>
    </w:p>
    <w:p w14:paraId="6AEA4A21">
      <w:pPr>
        <w:spacing w:before="152"/>
        <w:ind w:left="264" w:right="0" w:firstLine="0"/>
        <w:jc w:val="left"/>
        <w:rPr>
          <w:rFonts w:hint="eastAsia"/>
          <w:spacing w:val="-5"/>
          <w:sz w:val="22"/>
        </w:rPr>
      </w:pPr>
    </w:p>
    <w:p w14:paraId="326EFEED">
      <w:pPr>
        <w:spacing w:before="152"/>
        <w:ind w:left="264" w:right="0" w:firstLine="0"/>
        <w:jc w:val="left"/>
        <w:rPr>
          <w:rFonts w:hint="eastAsia"/>
          <w:spacing w:val="-5"/>
          <w:sz w:val="22"/>
        </w:rPr>
      </w:pPr>
      <w:r>
        <w:rPr>
          <w:rFonts w:hint="eastAsia"/>
          <w:spacing w:val="-5"/>
          <w:sz w:val="22"/>
        </w:rPr>
        <w:t>Holy Spirit, and Blessed Hope, xii; and the Kingdom, 63f, 178; in COR 97, 159; in COG, 98; in URD, 142; in Era of Proclamation, 161, 170, 175; in OTKP, 197, 217, 312, 338, 388</w:t>
      </w:r>
    </w:p>
    <w:p w14:paraId="07411ADE">
      <w:pPr>
        <w:spacing w:before="152"/>
        <w:ind w:left="264" w:right="0" w:firstLine="0"/>
        <w:jc w:val="left"/>
        <w:rPr>
          <w:rFonts w:hint="eastAsia"/>
          <w:spacing w:val="-5"/>
          <w:sz w:val="22"/>
        </w:rPr>
      </w:pPr>
      <w:r>
        <w:rPr>
          <w:rFonts w:hint="eastAsia"/>
          <w:spacing w:val="-5"/>
          <w:sz w:val="22"/>
        </w:rPr>
        <w:t>圣灵，与有福的盼望，xii；与国度，63f, 178；在COR中，97, 159；在COG中，98；在URD中，142；在宣讲时代，161, 170, 175；在OTKP中，197, 217, 312, 338, 388</w:t>
      </w:r>
    </w:p>
    <w:p w14:paraId="2406FA73">
      <w:pPr>
        <w:spacing w:before="152"/>
        <w:ind w:left="264" w:right="0" w:firstLine="0"/>
        <w:jc w:val="left"/>
        <w:rPr>
          <w:rFonts w:hint="eastAsia"/>
          <w:spacing w:val="-5"/>
          <w:sz w:val="22"/>
        </w:rPr>
      </w:pPr>
    </w:p>
    <w:p w14:paraId="2AD868C5">
      <w:pPr>
        <w:spacing w:before="152"/>
        <w:ind w:left="264" w:right="0" w:firstLine="0"/>
        <w:jc w:val="left"/>
        <w:rPr>
          <w:rFonts w:hint="eastAsia"/>
          <w:spacing w:val="-5"/>
          <w:sz w:val="22"/>
        </w:rPr>
      </w:pPr>
      <w:r>
        <w:rPr>
          <w:rFonts w:hint="eastAsia"/>
          <w:spacing w:val="-5"/>
          <w:sz w:val="22"/>
        </w:rPr>
        <w:t>Horns, 114; of the Lamb, 157, 422, 439; in Daniel, 219, 357, 362; of the Dragon, 449; of the Beast, 451</w:t>
      </w:r>
    </w:p>
    <w:p w14:paraId="11291B26">
      <w:pPr>
        <w:spacing w:before="152"/>
        <w:ind w:left="264" w:right="0" w:firstLine="0"/>
        <w:jc w:val="left"/>
        <w:rPr>
          <w:rFonts w:hint="eastAsia"/>
          <w:spacing w:val="-5"/>
          <w:sz w:val="22"/>
        </w:rPr>
      </w:pPr>
      <w:r>
        <w:rPr>
          <w:rFonts w:hint="eastAsia"/>
          <w:spacing w:val="-5"/>
          <w:sz w:val="22"/>
        </w:rPr>
        <w:t>角，114；羔羊的角，157, 422, 439；在但以理书中，219, 357, 362；龙的角，449；兽的角，451</w:t>
      </w:r>
    </w:p>
    <w:p w14:paraId="1C444341">
      <w:pPr>
        <w:spacing w:before="152"/>
        <w:ind w:left="264" w:right="0" w:firstLine="0"/>
        <w:jc w:val="left"/>
        <w:rPr>
          <w:rFonts w:hint="eastAsia"/>
          <w:spacing w:val="-5"/>
          <w:sz w:val="22"/>
        </w:rPr>
      </w:pPr>
    </w:p>
    <w:p w14:paraId="402516E1">
      <w:pPr>
        <w:spacing w:before="152"/>
        <w:ind w:left="264" w:right="0" w:firstLine="0"/>
        <w:jc w:val="left"/>
        <w:rPr>
          <w:rFonts w:hint="eastAsia"/>
          <w:spacing w:val="-5"/>
          <w:sz w:val="22"/>
        </w:rPr>
      </w:pPr>
    </w:p>
    <w:p w14:paraId="3B01A9D5">
      <w:pPr>
        <w:bidi w:val="0"/>
        <w:rPr>
          <w:rFonts w:hint="eastAsia"/>
        </w:rPr>
      </w:pPr>
    </w:p>
    <w:p w14:paraId="1FC8B33F">
      <w:pPr>
        <w:pStyle w:val="5"/>
        <w:spacing w:before="215"/>
        <w:rPr>
          <w:rFonts w:hint="eastAsia"/>
          <w:color w:val="231F20"/>
          <w:spacing w:val="-10"/>
        </w:rPr>
      </w:pPr>
      <w:r>
        <w:rPr>
          <w:rFonts w:hint="eastAsia"/>
          <w:color w:val="231F20"/>
          <w:spacing w:val="-10"/>
        </w:rPr>
        <w:t>I</w:t>
      </w:r>
    </w:p>
    <w:p w14:paraId="65CCE953">
      <w:pPr>
        <w:bidi w:val="0"/>
        <w:rPr>
          <w:rFonts w:hint="eastAsia"/>
        </w:rPr>
      </w:pPr>
    </w:p>
    <w:p w14:paraId="33CBB25E">
      <w:pPr>
        <w:bidi w:val="0"/>
        <w:rPr>
          <w:rFonts w:hint="eastAsia"/>
          <w:sz w:val="24"/>
          <w:szCs w:val="24"/>
        </w:rPr>
      </w:pPr>
      <w:r>
        <w:rPr>
          <w:rFonts w:hint="eastAsia"/>
          <w:sz w:val="24"/>
          <w:szCs w:val="24"/>
        </w:rPr>
        <w:t>Idealism, 429, 481</w:t>
      </w:r>
    </w:p>
    <w:p w14:paraId="41C6C70F">
      <w:pPr>
        <w:bidi w:val="0"/>
        <w:rPr>
          <w:rFonts w:hint="eastAsia"/>
          <w:sz w:val="24"/>
          <w:szCs w:val="24"/>
        </w:rPr>
      </w:pPr>
      <w:r>
        <w:rPr>
          <w:rFonts w:hint="eastAsia"/>
          <w:sz w:val="24"/>
          <w:szCs w:val="24"/>
        </w:rPr>
        <w:t>理念主义，429, 481</w:t>
      </w:r>
    </w:p>
    <w:p w14:paraId="5F77092D">
      <w:pPr>
        <w:bidi w:val="0"/>
        <w:rPr>
          <w:rFonts w:hint="eastAsia"/>
          <w:sz w:val="24"/>
          <w:szCs w:val="24"/>
        </w:rPr>
      </w:pPr>
    </w:p>
    <w:p w14:paraId="42DF5970">
      <w:pPr>
        <w:bidi w:val="0"/>
        <w:rPr>
          <w:rFonts w:hint="eastAsia"/>
          <w:sz w:val="24"/>
          <w:szCs w:val="24"/>
        </w:rPr>
      </w:pPr>
      <w:r>
        <w:rPr>
          <w:rFonts w:hint="eastAsia"/>
          <w:sz w:val="24"/>
          <w:szCs w:val="24"/>
        </w:rPr>
        <w:t>Image of the Beast, 414, 475, 480</w:t>
      </w:r>
    </w:p>
    <w:p w14:paraId="5F96A208">
      <w:pPr>
        <w:bidi w:val="0"/>
        <w:rPr>
          <w:rFonts w:hint="eastAsia"/>
          <w:sz w:val="24"/>
          <w:szCs w:val="24"/>
        </w:rPr>
      </w:pPr>
      <w:r>
        <w:rPr>
          <w:rFonts w:hint="eastAsia"/>
          <w:sz w:val="24"/>
          <w:szCs w:val="24"/>
        </w:rPr>
        <w:t>兽像，414, 475, 480</w:t>
      </w:r>
    </w:p>
    <w:p w14:paraId="10DB767E">
      <w:pPr>
        <w:bidi w:val="0"/>
        <w:rPr>
          <w:rFonts w:hint="eastAsia"/>
          <w:sz w:val="24"/>
          <w:szCs w:val="24"/>
        </w:rPr>
      </w:pPr>
    </w:p>
    <w:p w14:paraId="266E70A8">
      <w:pPr>
        <w:bidi w:val="0"/>
        <w:rPr>
          <w:rFonts w:hint="eastAsia"/>
          <w:sz w:val="24"/>
          <w:szCs w:val="24"/>
        </w:rPr>
      </w:pPr>
      <w:r>
        <w:rPr>
          <w:rFonts w:hint="eastAsia"/>
          <w:sz w:val="24"/>
          <w:szCs w:val="24"/>
        </w:rPr>
        <w:t>Imminence (of Parousia), signs of, 511, 547, 554, 580, 593, 608, 659; in Dispensationalism, 698</w:t>
      </w:r>
    </w:p>
    <w:p w14:paraId="5666A47C">
      <w:pPr>
        <w:bidi w:val="0"/>
        <w:rPr>
          <w:rFonts w:hint="eastAsia"/>
          <w:sz w:val="24"/>
          <w:szCs w:val="24"/>
        </w:rPr>
      </w:pPr>
      <w:r>
        <w:rPr>
          <w:rFonts w:hint="eastAsia"/>
          <w:sz w:val="24"/>
          <w:szCs w:val="24"/>
        </w:rPr>
        <w:t>即临性（主再来的），其征兆，511, 547, 554, 580, 593, 608, 659；在时代论中，698</w:t>
      </w:r>
    </w:p>
    <w:p w14:paraId="34ADC687">
      <w:pPr>
        <w:bidi w:val="0"/>
        <w:rPr>
          <w:rFonts w:hint="eastAsia"/>
          <w:sz w:val="24"/>
          <w:szCs w:val="24"/>
        </w:rPr>
      </w:pPr>
    </w:p>
    <w:p w14:paraId="1D89DEAF">
      <w:pPr>
        <w:bidi w:val="0"/>
        <w:rPr>
          <w:rFonts w:hint="eastAsia"/>
          <w:sz w:val="24"/>
          <w:szCs w:val="24"/>
        </w:rPr>
      </w:pPr>
      <w:r>
        <w:rPr>
          <w:rFonts w:hint="eastAsia"/>
          <w:sz w:val="24"/>
          <w:szCs w:val="24"/>
        </w:rPr>
        <w:t>Inhabitants of the Earth (in the Revelation), 416, 421, 445, 450, 460, 470</w:t>
      </w:r>
    </w:p>
    <w:p w14:paraId="6F413A86">
      <w:pPr>
        <w:bidi w:val="0"/>
        <w:rPr>
          <w:rFonts w:hint="eastAsia"/>
          <w:sz w:val="24"/>
          <w:szCs w:val="24"/>
        </w:rPr>
      </w:pPr>
      <w:r>
        <w:rPr>
          <w:rFonts w:hint="eastAsia"/>
          <w:sz w:val="24"/>
          <w:szCs w:val="24"/>
        </w:rPr>
        <w:t>地上的居民（在启示录中），416, 421, 445, 450, 460, 470</w:t>
      </w:r>
    </w:p>
    <w:p w14:paraId="16B57CFE">
      <w:pPr>
        <w:bidi w:val="0"/>
        <w:rPr>
          <w:rFonts w:hint="eastAsia"/>
          <w:sz w:val="24"/>
          <w:szCs w:val="24"/>
        </w:rPr>
      </w:pPr>
    </w:p>
    <w:p w14:paraId="54302C5D">
      <w:pPr>
        <w:bidi w:val="0"/>
        <w:rPr>
          <w:rFonts w:hint="eastAsia"/>
          <w:sz w:val="24"/>
          <w:szCs w:val="24"/>
        </w:rPr>
      </w:pPr>
      <w:r>
        <w:rPr>
          <w:rFonts w:hint="eastAsia"/>
          <w:sz w:val="24"/>
          <w:szCs w:val="24"/>
        </w:rPr>
        <w:t>Intermediate State, 453, 483, 493, 543, 557; and First Resurrection, 476, 477, 481</w:t>
      </w:r>
    </w:p>
    <w:p w14:paraId="055FC615">
      <w:pPr>
        <w:bidi w:val="0"/>
        <w:rPr>
          <w:rFonts w:hint="eastAsia"/>
          <w:sz w:val="24"/>
          <w:szCs w:val="24"/>
        </w:rPr>
      </w:pPr>
      <w:r>
        <w:rPr>
          <w:rFonts w:hint="eastAsia"/>
          <w:sz w:val="24"/>
          <w:szCs w:val="24"/>
        </w:rPr>
        <w:t>居间状态，453, 483, 493, 543, 557；与第一次复活，476, 477, 481</w:t>
      </w:r>
    </w:p>
    <w:p w14:paraId="1CBAB38C">
      <w:pPr>
        <w:bidi w:val="0"/>
        <w:rPr>
          <w:rFonts w:hint="eastAsia"/>
          <w:sz w:val="24"/>
          <w:szCs w:val="24"/>
        </w:rPr>
      </w:pPr>
    </w:p>
    <w:p w14:paraId="0AF62EBF">
      <w:pPr>
        <w:bidi w:val="0"/>
        <w:rPr>
          <w:rFonts w:hint="eastAsia"/>
          <w:sz w:val="24"/>
          <w:szCs w:val="24"/>
        </w:rPr>
      </w:pPr>
      <w:r>
        <w:rPr>
          <w:rFonts w:hint="eastAsia"/>
          <w:sz w:val="24"/>
          <w:szCs w:val="24"/>
        </w:rPr>
        <w:t>Interpretation (of OTKP), figurative, 14; literal, 15; NT principles for, 249f</w:t>
      </w:r>
    </w:p>
    <w:p w14:paraId="3CA34269">
      <w:pPr>
        <w:bidi w:val="0"/>
        <w:rPr>
          <w:rFonts w:hint="eastAsia"/>
          <w:sz w:val="24"/>
          <w:szCs w:val="24"/>
        </w:rPr>
      </w:pPr>
      <w:r>
        <w:rPr>
          <w:rFonts w:hint="eastAsia"/>
          <w:sz w:val="24"/>
          <w:szCs w:val="24"/>
        </w:rPr>
        <w:t>诠释（OTKP的），象征性的，14；字面的，15；新约的原则，249f</w:t>
      </w:r>
    </w:p>
    <w:p w14:paraId="6E02D7DC">
      <w:pPr>
        <w:bidi w:val="0"/>
        <w:rPr>
          <w:rFonts w:hint="eastAsia"/>
          <w:sz w:val="24"/>
          <w:szCs w:val="24"/>
        </w:rPr>
      </w:pPr>
    </w:p>
    <w:p w14:paraId="408A8797">
      <w:pPr>
        <w:bidi w:val="0"/>
        <w:rPr>
          <w:rFonts w:hint="eastAsia"/>
          <w:sz w:val="24"/>
          <w:szCs w:val="24"/>
        </w:rPr>
      </w:pPr>
      <w:r>
        <w:rPr>
          <w:rFonts w:hint="eastAsia"/>
          <w:sz w:val="24"/>
          <w:szCs w:val="24"/>
        </w:rPr>
        <w:t>Interpretation (of Scripture), modes of, 229f</w:t>
      </w:r>
    </w:p>
    <w:p w14:paraId="6DDCE697">
      <w:pPr>
        <w:bidi w:val="0"/>
        <w:rPr>
          <w:rFonts w:hint="eastAsia"/>
          <w:sz w:val="24"/>
          <w:szCs w:val="24"/>
        </w:rPr>
      </w:pPr>
      <w:r>
        <w:rPr>
          <w:rFonts w:hint="eastAsia"/>
          <w:sz w:val="24"/>
          <w:szCs w:val="24"/>
        </w:rPr>
        <w:t>诠释（圣经的），其模式，229f</w:t>
      </w:r>
    </w:p>
    <w:p w14:paraId="51765F08">
      <w:pPr>
        <w:bidi w:val="0"/>
        <w:rPr>
          <w:rFonts w:hint="eastAsia"/>
          <w:sz w:val="24"/>
          <w:szCs w:val="24"/>
        </w:rPr>
      </w:pPr>
    </w:p>
    <w:p w14:paraId="078E5596">
      <w:pPr>
        <w:bidi w:val="0"/>
        <w:rPr>
          <w:rFonts w:hint="eastAsia"/>
          <w:sz w:val="24"/>
          <w:szCs w:val="24"/>
        </w:rPr>
      </w:pPr>
      <w:r>
        <w:rPr>
          <w:rFonts w:hint="eastAsia"/>
          <w:sz w:val="24"/>
          <w:szCs w:val="24"/>
        </w:rPr>
        <w:t>Investiture (or Session) of Christ, 161, 249, 360, 364; in the Revelation, 426, 436f, 453, 483</w:t>
      </w:r>
    </w:p>
    <w:p w14:paraId="68663BCC">
      <w:pPr>
        <w:bidi w:val="0"/>
        <w:rPr>
          <w:rFonts w:hint="eastAsia"/>
          <w:sz w:val="24"/>
          <w:szCs w:val="24"/>
        </w:rPr>
      </w:pPr>
      <w:r>
        <w:rPr>
          <w:rFonts w:hint="eastAsia"/>
          <w:sz w:val="24"/>
          <w:szCs w:val="24"/>
        </w:rPr>
        <w:t>基督的授职（或升座），161, 249, 360, 364；在启示录中，426, 436f, 453, 483</w:t>
      </w:r>
    </w:p>
    <w:p w14:paraId="63383321">
      <w:pPr>
        <w:bidi w:val="0"/>
        <w:rPr>
          <w:rFonts w:hint="eastAsia"/>
          <w:sz w:val="24"/>
          <w:szCs w:val="24"/>
        </w:rPr>
      </w:pPr>
    </w:p>
    <w:p w14:paraId="3EDCC50A">
      <w:pPr>
        <w:bidi w:val="0"/>
        <w:rPr>
          <w:rFonts w:hint="eastAsia"/>
          <w:sz w:val="24"/>
          <w:szCs w:val="24"/>
        </w:rPr>
      </w:pPr>
      <w:r>
        <w:rPr>
          <w:rFonts w:hint="eastAsia"/>
          <w:sz w:val="24"/>
          <w:szCs w:val="24"/>
        </w:rPr>
        <w:t>Israel (eschatological), 110, 242, 246, 255; in OTKP, 281f</w:t>
      </w:r>
    </w:p>
    <w:p w14:paraId="375BA62B">
      <w:pPr>
        <w:bidi w:val="0"/>
        <w:rPr>
          <w:rFonts w:hint="eastAsia"/>
          <w:sz w:val="24"/>
          <w:szCs w:val="24"/>
        </w:rPr>
      </w:pPr>
      <w:r>
        <w:rPr>
          <w:rFonts w:hint="eastAsia"/>
          <w:sz w:val="24"/>
          <w:szCs w:val="24"/>
        </w:rPr>
        <w:t>以色列（末世论的），110, 242, 246, 255；在OTKP中，281f</w:t>
      </w:r>
    </w:p>
    <w:p w14:paraId="240F5825">
      <w:pPr>
        <w:bidi w:val="0"/>
        <w:rPr>
          <w:rFonts w:hint="eastAsia"/>
          <w:sz w:val="24"/>
          <w:szCs w:val="24"/>
        </w:rPr>
      </w:pPr>
    </w:p>
    <w:p w14:paraId="1528845D">
      <w:pPr>
        <w:bidi w:val="0"/>
        <w:rPr>
          <w:rFonts w:hint="eastAsia"/>
          <w:sz w:val="24"/>
          <w:szCs w:val="24"/>
        </w:rPr>
      </w:pPr>
      <w:r>
        <w:rPr>
          <w:rFonts w:hint="eastAsia"/>
          <w:sz w:val="24"/>
          <w:szCs w:val="24"/>
        </w:rPr>
        <w:t>Israel (ethnic), a type of the Church, 69, 114, 117; history of, 121f; latter-day conversion of, 547, 594, 608, 698; modern state of, 650</w:t>
      </w:r>
    </w:p>
    <w:p w14:paraId="0DAAEFDF">
      <w:pPr>
        <w:bidi w:val="0"/>
        <w:rPr>
          <w:rFonts w:hint="eastAsia"/>
          <w:sz w:val="24"/>
          <w:szCs w:val="24"/>
        </w:rPr>
      </w:pPr>
      <w:r>
        <w:rPr>
          <w:rFonts w:hint="eastAsia"/>
          <w:sz w:val="24"/>
          <w:szCs w:val="24"/>
        </w:rPr>
        <w:t>以色列（种族的），教会的一个预表，69, 114, 117；其历史，121f；末后的归信，547, 594, 608, 698；其现代国家，650</w:t>
      </w:r>
    </w:p>
    <w:p w14:paraId="2526060D">
      <w:pPr>
        <w:bidi w:val="0"/>
        <w:rPr>
          <w:rFonts w:hint="eastAsia"/>
        </w:rPr>
      </w:pPr>
    </w:p>
    <w:p w14:paraId="07F1DA1D">
      <w:pPr>
        <w:pStyle w:val="5"/>
        <w:spacing w:before="62"/>
      </w:pPr>
      <w:r>
        <w:rPr>
          <w:color w:val="231F20"/>
          <w:spacing w:val="-10"/>
        </w:rPr>
        <w:t>J</w:t>
      </w:r>
    </w:p>
    <w:p w14:paraId="58E0F264">
      <w:pPr>
        <w:spacing w:before="152"/>
        <w:ind w:left="99" w:right="0" w:firstLine="0"/>
        <w:jc w:val="left"/>
        <w:rPr>
          <w:rFonts w:hint="eastAsia"/>
          <w:sz w:val="22"/>
        </w:rPr>
      </w:pPr>
    </w:p>
    <w:p w14:paraId="03AAE64D">
      <w:pPr>
        <w:spacing w:before="152"/>
        <w:ind w:left="99" w:right="0" w:firstLine="0"/>
        <w:jc w:val="left"/>
        <w:rPr>
          <w:rFonts w:hint="eastAsia"/>
          <w:sz w:val="22"/>
        </w:rPr>
      </w:pPr>
      <w:r>
        <w:rPr>
          <w:rFonts w:hint="eastAsia"/>
          <w:sz w:val="22"/>
        </w:rPr>
        <w:t>Jacob, 50, 114; a type of the Church, 246, 286; in OTKP, 191, 192, 267, 295, 324, 350</w:t>
      </w:r>
    </w:p>
    <w:p w14:paraId="0C853DBC">
      <w:pPr>
        <w:spacing w:before="152"/>
        <w:ind w:left="99" w:right="0" w:firstLine="0"/>
        <w:jc w:val="left"/>
        <w:rPr>
          <w:rFonts w:hint="eastAsia"/>
          <w:sz w:val="22"/>
        </w:rPr>
      </w:pPr>
      <w:r>
        <w:rPr>
          <w:rFonts w:hint="eastAsia"/>
          <w:sz w:val="22"/>
        </w:rPr>
        <w:t>雅各，50, 114；教会的一个预表，246, 286；在OTKP中，191, 192, 267, 295, 324, 350</w:t>
      </w:r>
    </w:p>
    <w:p w14:paraId="6553010A">
      <w:pPr>
        <w:spacing w:before="152"/>
        <w:ind w:left="99" w:right="0" w:firstLine="0"/>
        <w:jc w:val="left"/>
        <w:rPr>
          <w:rFonts w:hint="eastAsia"/>
          <w:sz w:val="22"/>
        </w:rPr>
      </w:pPr>
    </w:p>
    <w:p w14:paraId="6E6130C3">
      <w:pPr>
        <w:spacing w:before="152"/>
        <w:ind w:left="99" w:right="0" w:firstLine="0"/>
        <w:jc w:val="left"/>
        <w:rPr>
          <w:rFonts w:hint="eastAsia"/>
          <w:sz w:val="22"/>
        </w:rPr>
      </w:pPr>
      <w:r>
        <w:rPr>
          <w:rFonts w:hint="eastAsia"/>
          <w:sz w:val="22"/>
        </w:rPr>
        <w:t>James (on Amos 9), 262</w:t>
      </w:r>
    </w:p>
    <w:p w14:paraId="7D11A427">
      <w:pPr>
        <w:spacing w:before="152"/>
        <w:ind w:left="99" w:right="0" w:firstLine="0"/>
        <w:jc w:val="left"/>
        <w:rPr>
          <w:rFonts w:hint="eastAsia"/>
          <w:sz w:val="22"/>
        </w:rPr>
      </w:pPr>
      <w:r>
        <w:rPr>
          <w:rFonts w:hint="eastAsia"/>
          <w:sz w:val="22"/>
        </w:rPr>
        <w:t>雅各（论阿摩司书9），262</w:t>
      </w:r>
    </w:p>
    <w:p w14:paraId="4DC04E0B">
      <w:pPr>
        <w:spacing w:before="152"/>
        <w:ind w:left="99" w:right="0" w:firstLine="0"/>
        <w:jc w:val="left"/>
        <w:rPr>
          <w:rFonts w:hint="eastAsia"/>
          <w:sz w:val="22"/>
        </w:rPr>
      </w:pPr>
    </w:p>
    <w:p w14:paraId="284E0424">
      <w:pPr>
        <w:spacing w:before="152"/>
        <w:ind w:left="99" w:right="0" w:firstLine="0"/>
        <w:jc w:val="left"/>
        <w:rPr>
          <w:rFonts w:hint="eastAsia"/>
          <w:sz w:val="22"/>
        </w:rPr>
      </w:pPr>
      <w:r>
        <w:rPr>
          <w:rFonts w:hint="eastAsia"/>
          <w:sz w:val="22"/>
        </w:rPr>
        <w:t>Jerusalem, above, 64, 193, 212, 250, 266, 272, 293; in OTKP, 286, 291, 293, 296, 303, 351, 354, 365, 381</w:t>
      </w:r>
    </w:p>
    <w:p w14:paraId="2F704478">
      <w:pPr>
        <w:spacing w:before="152"/>
        <w:ind w:left="99" w:right="0" w:firstLine="0"/>
        <w:jc w:val="left"/>
        <w:rPr>
          <w:rFonts w:hint="eastAsia"/>
          <w:sz w:val="22"/>
        </w:rPr>
      </w:pPr>
      <w:r>
        <w:rPr>
          <w:rFonts w:hint="eastAsia"/>
          <w:sz w:val="22"/>
        </w:rPr>
        <w:t>耶路撒冷，天上的，64, 193, 212, 250, 266, 272, 293；在OTKP中，286, 291, 293, 296, 303, 351, 354, 365, 381</w:t>
      </w:r>
    </w:p>
    <w:p w14:paraId="59431E2D">
      <w:pPr>
        <w:spacing w:before="152"/>
        <w:ind w:left="99" w:right="0" w:firstLine="0"/>
        <w:jc w:val="left"/>
        <w:rPr>
          <w:rFonts w:hint="eastAsia"/>
          <w:sz w:val="22"/>
        </w:rPr>
      </w:pPr>
    </w:p>
    <w:p w14:paraId="031FE293">
      <w:pPr>
        <w:spacing w:before="152"/>
        <w:ind w:left="99" w:right="0" w:firstLine="0"/>
        <w:jc w:val="left"/>
        <w:rPr>
          <w:rFonts w:hint="eastAsia"/>
          <w:sz w:val="22"/>
        </w:rPr>
      </w:pPr>
      <w:r>
        <w:rPr>
          <w:rFonts w:hint="eastAsia"/>
          <w:sz w:val="22"/>
        </w:rPr>
        <w:t>Jesus Christ, holds keys to Biblical Eschatology, 39; view of the Kingdom, 57f; in the COR, 95f; in the COG, 98f; Humiliation of, 96, 141, 158; Exaltation of, 97, 103, 141, 152, 259; on the Mysteries of the Kingdom, 128f; earthly ministry of, 158; heavenly reign of, 133, 143, 151,155, 157, 161, 282, 419, 436, 604; in OTKP, 196, 241; Agent and Center of the Consummation, 505f, 590f</w:t>
      </w:r>
    </w:p>
    <w:p w14:paraId="7A1584B6">
      <w:pPr>
        <w:spacing w:before="152"/>
        <w:ind w:left="99" w:right="0" w:firstLine="0"/>
        <w:jc w:val="left"/>
        <w:rPr>
          <w:rFonts w:hint="eastAsia"/>
          <w:sz w:val="22"/>
        </w:rPr>
      </w:pPr>
      <w:r>
        <w:rPr>
          <w:rFonts w:hint="eastAsia"/>
          <w:sz w:val="22"/>
        </w:rPr>
        <w:t>耶稣基督，持有圣经末世论的钥匙，39；对国度的观点，57f；在COR中，95f；在COG中，98f；降卑，96, 141, 158；升高，97, 103, 141, 152, 259；论国度的奥秘，128f；属地事工，158；属天掌权，133, 143, 151,155, 157, 161, 282, 419, 436, 604；在OTKP中，196, 241；最终成全的执行者与中心，505f, 590f</w:t>
      </w:r>
    </w:p>
    <w:p w14:paraId="0FE8E5EF">
      <w:pPr>
        <w:spacing w:before="152"/>
        <w:ind w:left="99" w:right="0" w:firstLine="0"/>
        <w:jc w:val="left"/>
        <w:rPr>
          <w:rFonts w:hint="eastAsia"/>
          <w:sz w:val="22"/>
        </w:rPr>
      </w:pPr>
    </w:p>
    <w:p w14:paraId="704B679E">
      <w:pPr>
        <w:spacing w:before="152"/>
        <w:ind w:left="99" w:right="0" w:firstLine="0"/>
        <w:jc w:val="left"/>
        <w:rPr>
          <w:rFonts w:hint="eastAsia"/>
          <w:sz w:val="22"/>
        </w:rPr>
      </w:pPr>
      <w:r>
        <w:rPr>
          <w:rFonts w:hint="eastAsia"/>
          <w:sz w:val="22"/>
        </w:rPr>
        <w:t>Judgment (Day of), in OTKP, 220f, 291; 486, 512, 537, 545, 573, 599</w:t>
      </w:r>
    </w:p>
    <w:p w14:paraId="7ACD1581">
      <w:pPr>
        <w:spacing w:before="152"/>
        <w:ind w:left="99" w:right="0" w:firstLine="0"/>
        <w:jc w:val="left"/>
        <w:rPr>
          <w:rFonts w:hint="eastAsia"/>
          <w:sz w:val="22"/>
        </w:rPr>
      </w:pPr>
      <w:r>
        <w:rPr>
          <w:rFonts w:hint="eastAsia"/>
          <w:sz w:val="22"/>
        </w:rPr>
        <w:t>审判（日），在OTKP中，220f, 291；486, 512, 537, 545, 573, 599</w:t>
      </w:r>
    </w:p>
    <w:p w14:paraId="7AC24E50">
      <w:pPr>
        <w:spacing w:before="152"/>
        <w:ind w:left="99" w:right="0" w:firstLine="0"/>
        <w:jc w:val="left"/>
        <w:rPr>
          <w:rFonts w:hint="eastAsia"/>
          <w:sz w:val="22"/>
        </w:rPr>
      </w:pPr>
    </w:p>
    <w:p w14:paraId="2FC56829">
      <w:pPr>
        <w:spacing w:before="152"/>
        <w:ind w:left="99" w:right="0" w:firstLine="0"/>
        <w:jc w:val="left"/>
        <w:rPr>
          <w:rFonts w:hint="eastAsia"/>
          <w:sz w:val="22"/>
        </w:rPr>
      </w:pPr>
    </w:p>
    <w:p w14:paraId="07AB3095">
      <w:pPr>
        <w:spacing w:before="152"/>
        <w:ind w:left="99" w:right="0" w:firstLine="0"/>
        <w:jc w:val="left"/>
        <w:rPr>
          <w:rFonts w:hint="eastAsia"/>
          <w:sz w:val="22"/>
        </w:rPr>
      </w:pPr>
    </w:p>
    <w:p w14:paraId="5DF21DFA">
      <w:pPr>
        <w:spacing w:before="152"/>
        <w:ind w:left="99" w:right="0" w:firstLine="0"/>
        <w:jc w:val="left"/>
        <w:rPr>
          <w:rFonts w:hint="eastAsia"/>
          <w:sz w:val="22"/>
        </w:rPr>
      </w:pPr>
    </w:p>
    <w:p w14:paraId="3E083CC7">
      <w:pPr>
        <w:pStyle w:val="5"/>
        <w:spacing w:before="215"/>
      </w:pPr>
      <w:r>
        <w:rPr>
          <w:color w:val="231F20"/>
          <w:spacing w:val="-10"/>
        </w:rPr>
        <w:t>K</w:t>
      </w:r>
    </w:p>
    <w:p w14:paraId="31564D28">
      <w:pPr>
        <w:bidi w:val="0"/>
        <w:rPr>
          <w:rFonts w:hint="eastAsia"/>
          <w:sz w:val="30"/>
          <w:szCs w:val="30"/>
        </w:rPr>
      </w:pPr>
    </w:p>
    <w:p w14:paraId="068AA63D">
      <w:pPr>
        <w:bidi w:val="0"/>
        <w:rPr>
          <w:rFonts w:hint="eastAsia"/>
          <w:sz w:val="30"/>
          <w:szCs w:val="30"/>
        </w:rPr>
      </w:pPr>
      <w:r>
        <w:rPr>
          <w:rFonts w:hint="eastAsia"/>
          <w:sz w:val="30"/>
          <w:szCs w:val="30"/>
        </w:rPr>
        <w:t>Keys, to understanding Biblical Eschatology, 177f; to interpreting OTKP, 249f</w:t>
      </w:r>
    </w:p>
    <w:p w14:paraId="55A14A2E">
      <w:pPr>
        <w:bidi w:val="0"/>
        <w:rPr>
          <w:rFonts w:hint="eastAsia"/>
          <w:sz w:val="30"/>
          <w:szCs w:val="30"/>
        </w:rPr>
      </w:pPr>
    </w:p>
    <w:p w14:paraId="6829A027">
      <w:pPr>
        <w:bidi w:val="0"/>
        <w:rPr>
          <w:rFonts w:hint="eastAsia"/>
          <w:sz w:val="30"/>
          <w:szCs w:val="30"/>
        </w:rPr>
      </w:pPr>
      <w:r>
        <w:rPr>
          <w:rFonts w:hint="eastAsia"/>
          <w:sz w:val="30"/>
          <w:szCs w:val="30"/>
        </w:rPr>
        <w:t>钥匙，理解圣经末世论的，177f；诠释OTKP的，249f</w:t>
      </w:r>
    </w:p>
    <w:p w14:paraId="6AE34645">
      <w:pPr>
        <w:bidi w:val="0"/>
        <w:rPr>
          <w:rFonts w:hint="eastAsia"/>
          <w:sz w:val="30"/>
          <w:szCs w:val="30"/>
        </w:rPr>
      </w:pPr>
    </w:p>
    <w:p w14:paraId="7C5E798F">
      <w:pPr>
        <w:bidi w:val="0"/>
        <w:rPr>
          <w:rFonts w:hint="eastAsia"/>
          <w:sz w:val="30"/>
          <w:szCs w:val="30"/>
        </w:rPr>
      </w:pPr>
      <w:r>
        <w:rPr>
          <w:rFonts w:hint="eastAsia"/>
          <w:sz w:val="30"/>
          <w:szCs w:val="30"/>
        </w:rPr>
        <w:t>Kingdom (of the Father), 25, 132, 147, 179, 239, 278, 432; diagrammed, 172</w:t>
      </w:r>
    </w:p>
    <w:p w14:paraId="422AAAA7">
      <w:pPr>
        <w:bidi w:val="0"/>
        <w:rPr>
          <w:rFonts w:hint="eastAsia"/>
          <w:sz w:val="30"/>
          <w:szCs w:val="30"/>
        </w:rPr>
      </w:pPr>
    </w:p>
    <w:p w14:paraId="0C643AB4">
      <w:pPr>
        <w:bidi w:val="0"/>
        <w:rPr>
          <w:rFonts w:hint="eastAsia"/>
          <w:sz w:val="30"/>
          <w:szCs w:val="30"/>
        </w:rPr>
      </w:pPr>
      <w:r>
        <w:rPr>
          <w:rFonts w:hint="eastAsia"/>
          <w:sz w:val="30"/>
          <w:szCs w:val="30"/>
        </w:rPr>
        <w:t>国度（父的），25, 132, 147, 179, 239, 278, 432；图解，172</w:t>
      </w:r>
    </w:p>
    <w:p w14:paraId="4351CB24">
      <w:pPr>
        <w:bidi w:val="0"/>
        <w:rPr>
          <w:rFonts w:hint="eastAsia"/>
          <w:sz w:val="30"/>
          <w:szCs w:val="30"/>
        </w:rPr>
      </w:pPr>
    </w:p>
    <w:p w14:paraId="5C17991A">
      <w:pPr>
        <w:bidi w:val="0"/>
        <w:rPr>
          <w:rFonts w:hint="eastAsia"/>
          <w:sz w:val="30"/>
          <w:szCs w:val="30"/>
        </w:rPr>
      </w:pPr>
      <w:r>
        <w:rPr>
          <w:rFonts w:hint="eastAsia"/>
          <w:sz w:val="30"/>
          <w:szCs w:val="30"/>
        </w:rPr>
        <w:t>Kingdom (of God), Jesus’ view of, 58f; essence of, 65, 178; and NC, 65, 180; and Creation, 71; and Marriage, 73; and Probation in Eden, 74; and Fall, 76f; and Flood, 84; and Dispersion at Babel, 85; and EC, 90f; and Adam, 106; and Noah, 111f, and Abraham, 113; and Moses, 117; and history of Israel, 120; and Deut. 30; coming of, 128f; mysteries of, 128-140; stages of, 158; structure of, 178; in OTKP, 9, 187f; in the Revelation, 426f; and the Consummation, 505f, 590f</w:t>
      </w:r>
    </w:p>
    <w:p w14:paraId="413483DF">
      <w:pPr>
        <w:bidi w:val="0"/>
        <w:rPr>
          <w:rFonts w:hint="eastAsia"/>
          <w:sz w:val="30"/>
          <w:szCs w:val="30"/>
        </w:rPr>
      </w:pPr>
    </w:p>
    <w:p w14:paraId="4D30B4BE">
      <w:pPr>
        <w:bidi w:val="0"/>
        <w:rPr>
          <w:rFonts w:hint="eastAsia"/>
          <w:sz w:val="30"/>
          <w:szCs w:val="30"/>
        </w:rPr>
      </w:pPr>
      <w:r>
        <w:rPr>
          <w:rFonts w:hint="eastAsia"/>
          <w:sz w:val="30"/>
          <w:szCs w:val="30"/>
        </w:rPr>
        <w:t>国度（神的），耶稣的观点，58f；其本质，65, 178；与新约，65, 180；与创造，71；与婚姻，73；与伊甸园的试炼期，74；与堕落，76f；与洪水，84；与巴别塔的分散，85；与EC，90f；与亚当，106；与挪亚，111f，与亚伯拉罕，113；与摩西，117；与以色列的历史，120；与申命记30章；其降临，128f；其奥秘，128-140；其阶段，158；其结构，178；在OTKP中，9, 187f；在启示录中，426f；与最终的成全，505f, 590f</w:t>
      </w:r>
    </w:p>
    <w:p w14:paraId="2464EB06">
      <w:pPr>
        <w:bidi w:val="0"/>
        <w:rPr>
          <w:rFonts w:hint="eastAsia"/>
          <w:sz w:val="30"/>
          <w:szCs w:val="30"/>
        </w:rPr>
      </w:pPr>
    </w:p>
    <w:p w14:paraId="62C6BE66">
      <w:pPr>
        <w:bidi w:val="0"/>
        <w:rPr>
          <w:rFonts w:hint="eastAsia"/>
          <w:sz w:val="30"/>
          <w:szCs w:val="30"/>
        </w:rPr>
      </w:pPr>
      <w:r>
        <w:rPr>
          <w:rFonts w:hint="eastAsia"/>
          <w:sz w:val="30"/>
          <w:szCs w:val="30"/>
        </w:rPr>
        <w:t>Kingdom (of the Son), 24, 132, 140, 179, 163,179, 432; diagrammed, 172</w:t>
      </w:r>
    </w:p>
    <w:p w14:paraId="26725297">
      <w:pPr>
        <w:bidi w:val="0"/>
        <w:rPr>
          <w:rFonts w:hint="eastAsia"/>
          <w:sz w:val="30"/>
          <w:szCs w:val="30"/>
        </w:rPr>
      </w:pPr>
    </w:p>
    <w:p w14:paraId="1B40931D">
      <w:pPr>
        <w:bidi w:val="0"/>
        <w:rPr>
          <w:rFonts w:hint="eastAsia"/>
          <w:sz w:val="30"/>
          <w:szCs w:val="30"/>
        </w:rPr>
      </w:pPr>
      <w:r>
        <w:rPr>
          <w:rFonts w:hint="eastAsia"/>
          <w:sz w:val="30"/>
          <w:szCs w:val="30"/>
        </w:rPr>
        <w:t>国度（子的），24, 132, 140, 179, 163,179, 432；图解，172</w:t>
      </w:r>
    </w:p>
    <w:p w14:paraId="44EBF6D3">
      <w:pPr>
        <w:bidi w:val="0"/>
        <w:rPr>
          <w:rFonts w:hint="eastAsia"/>
          <w:sz w:val="30"/>
          <w:szCs w:val="30"/>
        </w:rPr>
      </w:pPr>
    </w:p>
    <w:p w14:paraId="630066AD">
      <w:pPr>
        <w:bidi w:val="0"/>
        <w:rPr>
          <w:rFonts w:hint="eastAsia"/>
          <w:sz w:val="30"/>
          <w:szCs w:val="30"/>
        </w:rPr>
      </w:pPr>
    </w:p>
    <w:p w14:paraId="36E2928F">
      <w:pPr>
        <w:bidi w:val="0"/>
        <w:rPr>
          <w:rFonts w:hint="eastAsia"/>
          <w:sz w:val="30"/>
          <w:szCs w:val="30"/>
        </w:rPr>
      </w:pPr>
    </w:p>
    <w:p w14:paraId="13CBBD4A">
      <w:pPr>
        <w:bidi w:val="0"/>
        <w:rPr>
          <w:rFonts w:hint="eastAsia"/>
          <w:sz w:val="30"/>
          <w:szCs w:val="30"/>
        </w:rPr>
      </w:pPr>
    </w:p>
    <w:p w14:paraId="6D51D58E">
      <w:pPr>
        <w:bidi w:val="0"/>
        <w:rPr>
          <w:rFonts w:hint="eastAsia"/>
          <w:sz w:val="30"/>
          <w:szCs w:val="30"/>
        </w:rPr>
      </w:pPr>
    </w:p>
    <w:p w14:paraId="5F6E0E9D">
      <w:pPr>
        <w:bidi w:val="0"/>
        <w:rPr>
          <w:rFonts w:hint="eastAsia"/>
          <w:sz w:val="30"/>
          <w:szCs w:val="30"/>
        </w:rPr>
      </w:pPr>
    </w:p>
    <w:p w14:paraId="4502C434">
      <w:pPr>
        <w:bidi w:val="0"/>
        <w:rPr>
          <w:rFonts w:hint="eastAsia"/>
          <w:sz w:val="30"/>
          <w:szCs w:val="30"/>
        </w:rPr>
      </w:pPr>
    </w:p>
    <w:p w14:paraId="3122380B">
      <w:pPr>
        <w:bidi w:val="0"/>
        <w:rPr>
          <w:rFonts w:hint="eastAsia"/>
          <w:sz w:val="30"/>
          <w:szCs w:val="30"/>
        </w:rPr>
      </w:pPr>
    </w:p>
    <w:p w14:paraId="3E963607">
      <w:pPr>
        <w:pStyle w:val="5"/>
      </w:pPr>
      <w:r>
        <w:rPr>
          <w:color w:val="231F20"/>
          <w:spacing w:val="-10"/>
        </w:rPr>
        <w:t>L</w:t>
      </w:r>
    </w:p>
    <w:p w14:paraId="0583FE8E">
      <w:pPr>
        <w:bidi w:val="0"/>
        <w:rPr>
          <w:rFonts w:hint="eastAsia"/>
        </w:rPr>
      </w:pPr>
    </w:p>
    <w:p w14:paraId="47A92C8F">
      <w:pPr>
        <w:bidi w:val="0"/>
        <w:rPr>
          <w:rFonts w:hint="eastAsia"/>
        </w:rPr>
      </w:pPr>
      <w:r>
        <w:rPr>
          <w:rFonts w:hint="eastAsia"/>
        </w:rPr>
        <w:t>Lake of Fire, 463, 476, 480, 488, 490, 493, 498, 512, 535, 537, 597, 600, 602</w:t>
      </w:r>
    </w:p>
    <w:p w14:paraId="6E62B2AE">
      <w:pPr>
        <w:bidi w:val="0"/>
        <w:rPr>
          <w:rFonts w:hint="eastAsia"/>
        </w:rPr>
      </w:pPr>
    </w:p>
    <w:p w14:paraId="71C2CF00">
      <w:pPr>
        <w:bidi w:val="0"/>
        <w:rPr>
          <w:rFonts w:hint="eastAsia"/>
        </w:rPr>
      </w:pPr>
      <w:r>
        <w:rPr>
          <w:rFonts w:hint="eastAsia"/>
        </w:rPr>
        <w:t>火湖，463, 476, 480, 488, 490, 493, 498, 512, 535, 537, 597, 600, 602</w:t>
      </w:r>
    </w:p>
    <w:p w14:paraId="1E21B8F5">
      <w:pPr>
        <w:bidi w:val="0"/>
        <w:rPr>
          <w:rFonts w:hint="eastAsia"/>
        </w:rPr>
      </w:pPr>
    </w:p>
    <w:p w14:paraId="3A10C980">
      <w:pPr>
        <w:bidi w:val="0"/>
        <w:rPr>
          <w:rFonts w:hint="eastAsia"/>
        </w:rPr>
      </w:pPr>
      <w:r>
        <w:rPr>
          <w:rFonts w:hint="eastAsia"/>
        </w:rPr>
        <w:t>Land (the), promised to Abraham and his seed, 115, 118; the Church’s pilgrimage in, 116, 122, 412; in OTKP, 190f; as type of heavenly life in Christ, 164, 302, 308, 320, 324, 348, 388; as type of the whole Earth, 122, 320, 394; as type of the World to Come, 206f, 325f, 398, 652; and modern state of Israel, 654</w:t>
      </w:r>
    </w:p>
    <w:p w14:paraId="1B992EA2">
      <w:pPr>
        <w:bidi w:val="0"/>
        <w:rPr>
          <w:rFonts w:hint="eastAsia"/>
        </w:rPr>
      </w:pPr>
    </w:p>
    <w:p w14:paraId="02686C81">
      <w:pPr>
        <w:bidi w:val="0"/>
        <w:rPr>
          <w:rFonts w:hint="eastAsia"/>
        </w:rPr>
      </w:pPr>
      <w:r>
        <w:rPr>
          <w:rFonts w:hint="eastAsia"/>
        </w:rPr>
        <w:t>那地，应许给亚伯拉罕和他后裔的，115, 118；教会在其中的寄居，116, 122, 412；在OTKP中，190f；作为在基督里属天生命的预表，164, 302, 308, 320, 324, 348, 388；作为全地的预表，122, 320, 394；作为来世的预表，206f, 325f, 398, 652；与现代以色列国，654</w:t>
      </w:r>
    </w:p>
    <w:p w14:paraId="66084367">
      <w:pPr>
        <w:bidi w:val="0"/>
        <w:rPr>
          <w:rFonts w:hint="eastAsia"/>
        </w:rPr>
      </w:pPr>
    </w:p>
    <w:p w14:paraId="7671FB8E">
      <w:pPr>
        <w:bidi w:val="0"/>
        <w:rPr>
          <w:rFonts w:hint="eastAsia"/>
        </w:rPr>
      </w:pPr>
      <w:r>
        <w:rPr>
          <w:rFonts w:hint="eastAsia"/>
        </w:rPr>
        <w:t>Last Battle, in OTKP, 218f; in Ezekiel, 316, 352; in Daniel, 362, 377; in Zechariah, 395; in the NT, 318, 511, 594, 609; in the Revelation, 447, 453, 457, 463, 486; prophecies of, listed, 675</w:t>
      </w:r>
    </w:p>
    <w:p w14:paraId="126AB40C">
      <w:pPr>
        <w:bidi w:val="0"/>
        <w:rPr>
          <w:rFonts w:hint="eastAsia"/>
        </w:rPr>
      </w:pPr>
    </w:p>
    <w:p w14:paraId="78DD131F">
      <w:pPr>
        <w:bidi w:val="0"/>
        <w:rPr>
          <w:rFonts w:hint="eastAsia"/>
        </w:rPr>
      </w:pPr>
      <w:r>
        <w:rPr>
          <w:rFonts w:hint="eastAsia"/>
        </w:rPr>
        <w:t>最后的争战，在OTKP中，218f；在以西结书中，316, 352；在但以理书中，362, 377；在撒迦利亚书中，395；在新约中，318, 511, 594, 609；在启示录中，447, 453, 457, 463, 486；其预言，所列出的，675</w:t>
      </w:r>
    </w:p>
    <w:p w14:paraId="1B9265A3">
      <w:pPr>
        <w:bidi w:val="0"/>
        <w:rPr>
          <w:rFonts w:hint="eastAsia"/>
        </w:rPr>
      </w:pPr>
    </w:p>
    <w:p w14:paraId="54761D72">
      <w:pPr>
        <w:bidi w:val="0"/>
        <w:rPr>
          <w:rFonts w:hint="eastAsia"/>
        </w:rPr>
      </w:pPr>
      <w:r>
        <w:rPr>
          <w:rFonts w:hint="eastAsia"/>
        </w:rPr>
        <w:t>Last Days, as theme of Biblical Eschatology, 6; and the Spirit, 63; and Pentecost, 93; and NC, 263, 660, 687; and Kingdom of the Son, 172f; as theme of the Revelation, 423; final days of, 379, 428, 441, 448, 454, 533, 580, 593f, 607f</w:t>
      </w:r>
    </w:p>
    <w:p w14:paraId="1DC6CDA8">
      <w:pPr>
        <w:bidi w:val="0"/>
        <w:rPr>
          <w:rFonts w:hint="eastAsia"/>
        </w:rPr>
      </w:pPr>
    </w:p>
    <w:p w14:paraId="5E90D55C">
      <w:pPr>
        <w:bidi w:val="0"/>
        <w:rPr>
          <w:rFonts w:hint="eastAsia"/>
        </w:rPr>
      </w:pPr>
      <w:r>
        <w:rPr>
          <w:rFonts w:hint="eastAsia"/>
        </w:rPr>
        <w:t>末后的日子，作为圣经末世论的主题，6；与圣灵，63；与五旬节，93；与新约，263, 660, 687；与子的国度，172f；作为启示录的主题，423；其最后的时日，379, 428, 441, 448, 454, 533, 580, 593f, 607f</w:t>
      </w:r>
    </w:p>
    <w:p w14:paraId="70F7D20B">
      <w:pPr>
        <w:bidi w:val="0"/>
        <w:rPr>
          <w:rFonts w:hint="eastAsia"/>
        </w:rPr>
      </w:pPr>
    </w:p>
    <w:p w14:paraId="4D1E89DB">
      <w:pPr>
        <w:bidi w:val="0"/>
        <w:rPr>
          <w:rFonts w:hint="eastAsia"/>
        </w:rPr>
      </w:pPr>
      <w:r>
        <w:rPr>
          <w:rFonts w:hint="eastAsia"/>
        </w:rPr>
        <w:t>Law (Mosaic), in OTKP, 11, 188, 194, 201f; and EC, 100, 117f, 167; illuminated by NCH, 48f, 228f; temporary, fulfilled, obsolete, 44f, 65, 238f, 274</w:t>
      </w:r>
    </w:p>
    <w:p w14:paraId="5DF8C212">
      <w:pPr>
        <w:bidi w:val="0"/>
        <w:rPr>
          <w:rFonts w:hint="eastAsia"/>
        </w:rPr>
      </w:pPr>
    </w:p>
    <w:p w14:paraId="78D792E8">
      <w:pPr>
        <w:bidi w:val="0"/>
        <w:rPr>
          <w:rFonts w:hint="eastAsia"/>
        </w:rPr>
      </w:pPr>
      <w:r>
        <w:rPr>
          <w:rFonts w:hint="eastAsia"/>
        </w:rPr>
        <w:t>律法（摩西的），在OTKP中，11, 188, 194, 201f；与EC，100, 117f, 167；由NCH所阐明，48f, 228f；暂时的，已应验的，已废止的，44f, 65, 238f, 274</w:t>
      </w:r>
    </w:p>
    <w:p w14:paraId="2BFF8C0E">
      <w:pPr>
        <w:bidi w:val="0"/>
        <w:rPr>
          <w:rFonts w:hint="eastAsia"/>
        </w:rPr>
      </w:pPr>
    </w:p>
    <w:p w14:paraId="7C128578">
      <w:pPr>
        <w:bidi w:val="0"/>
        <w:rPr>
          <w:rFonts w:hint="eastAsia"/>
        </w:rPr>
      </w:pPr>
      <w:r>
        <w:rPr>
          <w:rFonts w:hint="eastAsia"/>
        </w:rPr>
        <w:t>Lawlessness, 64, 376, 457, 532, 578, 594f, 607; Man of, 364, 378, 487, 577f</w:t>
      </w:r>
    </w:p>
    <w:p w14:paraId="45D5CD57">
      <w:pPr>
        <w:bidi w:val="0"/>
        <w:rPr>
          <w:rFonts w:hint="eastAsia"/>
        </w:rPr>
      </w:pPr>
    </w:p>
    <w:p w14:paraId="5EAB8614">
      <w:pPr>
        <w:bidi w:val="0"/>
        <w:rPr>
          <w:rFonts w:hint="eastAsia"/>
        </w:rPr>
      </w:pPr>
      <w:r>
        <w:rPr>
          <w:rFonts w:hint="eastAsia"/>
        </w:rPr>
        <w:t>不法，64, 376, 457, 532, 578, 594f, 607；不法之人，364, 378, 487, 577f</w:t>
      </w:r>
    </w:p>
    <w:p w14:paraId="12E4FC19">
      <w:pPr>
        <w:bidi w:val="0"/>
        <w:rPr>
          <w:rFonts w:hint="eastAsia"/>
        </w:rPr>
      </w:pPr>
    </w:p>
    <w:p w14:paraId="398A8F41">
      <w:pPr>
        <w:bidi w:val="0"/>
        <w:rPr>
          <w:rFonts w:hint="eastAsia"/>
        </w:rPr>
      </w:pPr>
      <w:r>
        <w:rPr>
          <w:rFonts w:hint="eastAsia"/>
        </w:rPr>
        <w:t>Levi, as type of Church, 11, 195, 245, 341f, 390; in the Revelation 7, 694</w:t>
      </w:r>
    </w:p>
    <w:p w14:paraId="0C90A07C">
      <w:pPr>
        <w:bidi w:val="0"/>
        <w:rPr>
          <w:rFonts w:hint="eastAsia"/>
        </w:rPr>
      </w:pPr>
    </w:p>
    <w:p w14:paraId="781993A2">
      <w:pPr>
        <w:bidi w:val="0"/>
        <w:rPr>
          <w:rFonts w:hint="eastAsia"/>
        </w:rPr>
      </w:pPr>
      <w:r>
        <w:rPr>
          <w:rFonts w:hint="eastAsia"/>
        </w:rPr>
        <w:t>利未，作为教会的预表，11, 195, 245, 341f, 390；在启示录7章中，694</w:t>
      </w:r>
    </w:p>
    <w:p w14:paraId="73504A3D">
      <w:pPr>
        <w:bidi w:val="0"/>
        <w:rPr>
          <w:rFonts w:hint="eastAsia"/>
        </w:rPr>
      </w:pPr>
    </w:p>
    <w:p w14:paraId="465347A5">
      <w:pPr>
        <w:bidi w:val="0"/>
        <w:rPr>
          <w:rFonts w:hint="eastAsia"/>
        </w:rPr>
      </w:pPr>
      <w:r>
        <w:rPr>
          <w:rFonts w:hint="eastAsia"/>
        </w:rPr>
        <w:t>Little Book, 446</w:t>
      </w:r>
    </w:p>
    <w:p w14:paraId="551203A6">
      <w:pPr>
        <w:bidi w:val="0"/>
        <w:rPr>
          <w:rFonts w:hint="eastAsia"/>
        </w:rPr>
      </w:pPr>
    </w:p>
    <w:p w14:paraId="0604D2A9">
      <w:pPr>
        <w:bidi w:val="0"/>
        <w:rPr>
          <w:rFonts w:hint="eastAsia"/>
        </w:rPr>
      </w:pPr>
      <w:r>
        <w:rPr>
          <w:rFonts w:hint="eastAsia"/>
        </w:rPr>
        <w:t>小书卷，446</w:t>
      </w:r>
    </w:p>
    <w:p w14:paraId="1380262D">
      <w:pPr>
        <w:bidi w:val="0"/>
        <w:rPr>
          <w:rFonts w:hint="eastAsia"/>
        </w:rPr>
      </w:pPr>
    </w:p>
    <w:p w14:paraId="3B7D7D5C">
      <w:pPr>
        <w:bidi w:val="0"/>
        <w:rPr>
          <w:rFonts w:hint="eastAsia"/>
        </w:rPr>
      </w:pPr>
      <w:r>
        <w:rPr>
          <w:rFonts w:hint="eastAsia"/>
        </w:rPr>
        <w:t>Little Horn, 219, 357f</w:t>
      </w:r>
    </w:p>
    <w:p w14:paraId="23759C48">
      <w:pPr>
        <w:bidi w:val="0"/>
        <w:rPr>
          <w:rFonts w:hint="eastAsia"/>
        </w:rPr>
      </w:pPr>
    </w:p>
    <w:p w14:paraId="6DDED9C3">
      <w:pPr>
        <w:bidi w:val="0"/>
        <w:rPr>
          <w:rFonts w:hint="eastAsia"/>
        </w:rPr>
      </w:pPr>
      <w:r>
        <w:rPr>
          <w:rFonts w:hint="eastAsia"/>
        </w:rPr>
        <w:t>小角，219, 357f</w:t>
      </w:r>
    </w:p>
    <w:p w14:paraId="508453C7">
      <w:pPr>
        <w:bidi w:val="0"/>
        <w:rPr>
          <w:rFonts w:hint="eastAsia"/>
        </w:rPr>
      </w:pPr>
    </w:p>
    <w:p w14:paraId="629893E3">
      <w:pPr>
        <w:bidi w:val="0"/>
        <w:rPr>
          <w:rFonts w:hint="eastAsia"/>
        </w:rPr>
      </w:pPr>
    </w:p>
    <w:p w14:paraId="66319908">
      <w:pPr>
        <w:pStyle w:val="5"/>
        <w:spacing w:before="62"/>
        <w:rPr>
          <w:color w:val="231F20"/>
          <w:spacing w:val="-10"/>
        </w:rPr>
      </w:pPr>
      <w:r>
        <w:rPr>
          <w:color w:val="231F20"/>
          <w:spacing w:val="-10"/>
        </w:rPr>
        <w:t>M</w:t>
      </w:r>
    </w:p>
    <w:p w14:paraId="1455F9BB">
      <w:pPr>
        <w:bidi w:val="0"/>
        <w:rPr>
          <w:rFonts w:hint="eastAsia"/>
        </w:rPr>
      </w:pPr>
    </w:p>
    <w:p w14:paraId="7F607EAC">
      <w:pPr>
        <w:bidi w:val="0"/>
        <w:rPr>
          <w:rFonts w:hint="eastAsia"/>
        </w:rPr>
      </w:pPr>
      <w:r>
        <w:rPr>
          <w:rFonts w:hint="eastAsia"/>
        </w:rPr>
        <w:t>Mark of the Beast, 413, 422, 451, 475, 477</w:t>
      </w:r>
    </w:p>
    <w:p w14:paraId="776A9C6B">
      <w:pPr>
        <w:bidi w:val="0"/>
        <w:rPr>
          <w:rFonts w:hint="eastAsia"/>
        </w:rPr>
      </w:pPr>
    </w:p>
    <w:p w14:paraId="197DE211">
      <w:pPr>
        <w:bidi w:val="0"/>
        <w:rPr>
          <w:rFonts w:hint="eastAsia"/>
        </w:rPr>
      </w:pPr>
      <w:r>
        <w:rPr>
          <w:rFonts w:hint="eastAsia"/>
        </w:rPr>
        <w:t>兽的印记, 413, 422, 451, 475, 477</w:t>
      </w:r>
    </w:p>
    <w:p w14:paraId="3FB8FED9">
      <w:pPr>
        <w:bidi w:val="0"/>
        <w:rPr>
          <w:rFonts w:hint="eastAsia"/>
        </w:rPr>
      </w:pPr>
    </w:p>
    <w:p w14:paraId="2CD56414">
      <w:pPr>
        <w:bidi w:val="0"/>
        <w:rPr>
          <w:rFonts w:hint="eastAsia"/>
        </w:rPr>
      </w:pPr>
      <w:r>
        <w:rPr>
          <w:rFonts w:hint="eastAsia"/>
        </w:rPr>
        <w:t>Marriage, mystery of, 73; and Age to Come, 160; in OTKP, 207, 211, 265, 342; in John 14, xv, 541; Feast of the Lamb, 452, 462, 545</w:t>
      </w:r>
    </w:p>
    <w:p w14:paraId="7B2031F6">
      <w:pPr>
        <w:bidi w:val="0"/>
        <w:rPr>
          <w:rFonts w:hint="eastAsia"/>
        </w:rPr>
      </w:pPr>
    </w:p>
    <w:p w14:paraId="0DFED54F">
      <w:pPr>
        <w:bidi w:val="0"/>
        <w:rPr>
          <w:rFonts w:hint="eastAsia"/>
        </w:rPr>
      </w:pPr>
      <w:r>
        <w:rPr>
          <w:rFonts w:hint="eastAsia"/>
        </w:rPr>
        <w:t>婚姻，其奥秘，73；与来世，160；在OTKP中，207, 211, 265, 342；在约翰福音14章中，xv, 541；羔羊的婚筵，452, 462, 545</w:t>
      </w:r>
    </w:p>
    <w:p w14:paraId="3D34755A">
      <w:pPr>
        <w:bidi w:val="0"/>
        <w:rPr>
          <w:rFonts w:hint="eastAsia"/>
        </w:rPr>
      </w:pPr>
    </w:p>
    <w:p w14:paraId="17E6414B">
      <w:pPr>
        <w:bidi w:val="0"/>
        <w:rPr>
          <w:rFonts w:hint="eastAsia"/>
        </w:rPr>
      </w:pPr>
      <w:r>
        <w:rPr>
          <w:rFonts w:hint="eastAsia"/>
        </w:rPr>
        <w:t>Martyr(s), 376, 380, 532, 582, 608; in the Revelation, 443, 475, 477, 479, 481</w:t>
      </w:r>
    </w:p>
    <w:p w14:paraId="1B5759D4">
      <w:pPr>
        <w:bidi w:val="0"/>
        <w:rPr>
          <w:rFonts w:hint="eastAsia"/>
        </w:rPr>
      </w:pPr>
    </w:p>
    <w:p w14:paraId="71760767">
      <w:pPr>
        <w:bidi w:val="0"/>
        <w:rPr>
          <w:rFonts w:hint="eastAsia"/>
        </w:rPr>
      </w:pPr>
      <w:r>
        <w:rPr>
          <w:rFonts w:hint="eastAsia"/>
        </w:rPr>
        <w:t>殉道者, 376, 380, 532, 582, 608；在启示录中，443, 475, 477, 479, 481</w:t>
      </w:r>
    </w:p>
    <w:p w14:paraId="334C0870">
      <w:pPr>
        <w:bidi w:val="0"/>
        <w:rPr>
          <w:rFonts w:hint="eastAsia"/>
        </w:rPr>
      </w:pPr>
    </w:p>
    <w:p w14:paraId="04B1B265">
      <w:pPr>
        <w:bidi w:val="0"/>
        <w:rPr>
          <w:rFonts w:hint="eastAsia"/>
        </w:rPr>
      </w:pPr>
      <w:r>
        <w:rPr>
          <w:rFonts w:hint="eastAsia"/>
        </w:rPr>
        <w:t>Messiah, Days of, 132, 217, 249, diagrammed, 172; in OTKP, 10, 120, 196, 282, 284, 287, 310, 356, 365, 392; heavenly reign of, see, Jesus Christ; offices of, 157, 241, 283; and Millennium, 16f; and ethnic Israel, 547, 594, 650</w:t>
      </w:r>
    </w:p>
    <w:p w14:paraId="2FFEF98C">
      <w:pPr>
        <w:bidi w:val="0"/>
        <w:rPr>
          <w:rFonts w:hint="eastAsia"/>
        </w:rPr>
      </w:pPr>
    </w:p>
    <w:p w14:paraId="68ED60C9">
      <w:pPr>
        <w:bidi w:val="0"/>
        <w:rPr>
          <w:rFonts w:hint="eastAsia"/>
        </w:rPr>
      </w:pPr>
      <w:r>
        <w:rPr>
          <w:rFonts w:hint="eastAsia"/>
        </w:rPr>
        <w:t>弥赛亚，其日子，132, 217, 249，图解，172；在OTKP中，10, 120, 196, 282, 284, 287, 310, 356, 365, 392；属天的掌权，参见，耶稣基督；其职分，157, 241, 283；与千禧年，16f；与种族的以色列，547, 594, 650</w:t>
      </w:r>
    </w:p>
    <w:p w14:paraId="517E5358">
      <w:pPr>
        <w:bidi w:val="0"/>
        <w:rPr>
          <w:rFonts w:hint="eastAsia"/>
        </w:rPr>
      </w:pPr>
    </w:p>
    <w:p w14:paraId="2DA676EA">
      <w:pPr>
        <w:bidi w:val="0"/>
        <w:rPr>
          <w:rFonts w:hint="eastAsia"/>
        </w:rPr>
      </w:pPr>
      <w:r>
        <w:rPr>
          <w:rFonts w:hint="eastAsia"/>
        </w:rPr>
        <w:t>Michael (the archangel), 161, 412, 565</w:t>
      </w:r>
    </w:p>
    <w:p w14:paraId="01D43B20">
      <w:pPr>
        <w:bidi w:val="0"/>
        <w:rPr>
          <w:rFonts w:hint="eastAsia"/>
        </w:rPr>
      </w:pPr>
    </w:p>
    <w:p w14:paraId="766A9D29">
      <w:pPr>
        <w:bidi w:val="0"/>
        <w:rPr>
          <w:rFonts w:hint="eastAsia"/>
        </w:rPr>
      </w:pPr>
      <w:r>
        <w:rPr>
          <w:rFonts w:hint="eastAsia"/>
        </w:rPr>
        <w:t>米迦勒（天使长）, 161, 412, 565</w:t>
      </w:r>
    </w:p>
    <w:p w14:paraId="1777E331">
      <w:pPr>
        <w:bidi w:val="0"/>
        <w:rPr>
          <w:rFonts w:hint="eastAsia"/>
        </w:rPr>
      </w:pPr>
    </w:p>
    <w:p w14:paraId="0410EA3F">
      <w:pPr>
        <w:bidi w:val="0"/>
        <w:rPr>
          <w:rFonts w:hint="eastAsia"/>
        </w:rPr>
      </w:pPr>
      <w:r>
        <w:rPr>
          <w:rFonts w:hint="eastAsia"/>
        </w:rPr>
        <w:t>Millennium, a key issue in Biblical Eschatology, 16; Evangelical views of, 20f, 613-645; meaning of, 465f</w:t>
      </w:r>
    </w:p>
    <w:p w14:paraId="5880B793">
      <w:pPr>
        <w:bidi w:val="0"/>
        <w:rPr>
          <w:rFonts w:hint="eastAsia"/>
        </w:rPr>
      </w:pPr>
    </w:p>
    <w:p w14:paraId="2FE06734">
      <w:pPr>
        <w:bidi w:val="0"/>
        <w:rPr>
          <w:rFonts w:hint="eastAsia"/>
        </w:rPr>
      </w:pPr>
      <w:r>
        <w:rPr>
          <w:rFonts w:hint="eastAsia"/>
        </w:rPr>
        <w:t>千禧年，圣经末世论中的一个关键议题，16；福音派的观点，20f, 613-645；其含义，465f</w:t>
      </w:r>
    </w:p>
    <w:p w14:paraId="2F27F90E">
      <w:pPr>
        <w:bidi w:val="0"/>
        <w:rPr>
          <w:rFonts w:hint="eastAsia"/>
        </w:rPr>
      </w:pPr>
    </w:p>
    <w:p w14:paraId="5A69CAE3">
      <w:pPr>
        <w:bidi w:val="0"/>
        <w:rPr>
          <w:rFonts w:hint="eastAsia"/>
        </w:rPr>
      </w:pPr>
      <w:r>
        <w:rPr>
          <w:rFonts w:hint="eastAsia"/>
        </w:rPr>
        <w:t>Mountain(s), 65, 114, 192, 196, 219, 237, 317, 397, 459, 529; of God, 72, 113, 204, 214, 251, 282, 289, 331f, 354, 400, 498</w:t>
      </w:r>
    </w:p>
    <w:p w14:paraId="3D3298F4">
      <w:pPr>
        <w:bidi w:val="0"/>
        <w:rPr>
          <w:rFonts w:hint="eastAsia"/>
        </w:rPr>
      </w:pPr>
    </w:p>
    <w:p w14:paraId="42AF9874">
      <w:pPr>
        <w:bidi w:val="0"/>
        <w:rPr>
          <w:rFonts w:hint="eastAsia"/>
        </w:rPr>
      </w:pPr>
      <w:r>
        <w:rPr>
          <w:rFonts w:hint="eastAsia"/>
        </w:rPr>
        <w:t>山，65, 114, 192, 196, 219, 237, 317, 397, 459, 529；神的山，72, 113, 204, 214, 251, 282, 289, 331f, 354, 400, 498</w:t>
      </w:r>
    </w:p>
    <w:p w14:paraId="79EB387B">
      <w:pPr>
        <w:bidi w:val="0"/>
        <w:rPr>
          <w:rFonts w:hint="eastAsia"/>
        </w:rPr>
      </w:pPr>
    </w:p>
    <w:p w14:paraId="3DBD9D0B">
      <w:pPr>
        <w:bidi w:val="0"/>
        <w:rPr>
          <w:rFonts w:hint="eastAsia"/>
        </w:rPr>
      </w:pPr>
      <w:r>
        <w:rPr>
          <w:rFonts w:hint="eastAsia"/>
        </w:rPr>
        <w:t>Multitude(s), of believers, 138, 174, 298, 310; of unbelievers, 323, 486, 507, 580; Great, of Revelation 7, 443, 473, 541C</w:t>
      </w:r>
    </w:p>
    <w:p w14:paraId="33B7E5EB">
      <w:pPr>
        <w:bidi w:val="0"/>
        <w:rPr>
          <w:rFonts w:hint="eastAsia"/>
        </w:rPr>
      </w:pPr>
    </w:p>
    <w:p w14:paraId="78048CBA">
      <w:pPr>
        <w:bidi w:val="0"/>
      </w:pPr>
      <w:r>
        <w:rPr>
          <w:rFonts w:hint="eastAsia"/>
        </w:rPr>
        <w:t>众人（复数），信徒的，138, 174, 298, 310；不信者的，323, 486, 507, 580；大批的群众，启示录7章中的，443, 473, 541C</w:t>
      </w:r>
    </w:p>
    <w:p w14:paraId="1D21BCC3">
      <w:pPr>
        <w:bidi w:val="0"/>
      </w:pPr>
    </w:p>
    <w:p w14:paraId="55263B52">
      <w:pPr>
        <w:bidi w:val="0"/>
      </w:pPr>
    </w:p>
    <w:p w14:paraId="7423E3E8">
      <w:pPr>
        <w:bidi w:val="0"/>
      </w:pPr>
    </w:p>
    <w:p w14:paraId="0F57C6B8">
      <w:pPr>
        <w:bidi w:val="0"/>
      </w:pPr>
    </w:p>
    <w:p w14:paraId="2649FB0D">
      <w:pPr>
        <w:bidi w:val="0"/>
      </w:pPr>
    </w:p>
    <w:p w14:paraId="0D7A311F">
      <w:pPr>
        <w:bidi w:val="0"/>
      </w:pPr>
    </w:p>
    <w:p w14:paraId="55B61A70">
      <w:pPr>
        <w:bidi w:val="0"/>
      </w:pPr>
    </w:p>
    <w:p w14:paraId="2EF60608">
      <w:pPr>
        <w:bidi w:val="0"/>
      </w:pPr>
    </w:p>
    <w:p w14:paraId="3FB8C5B6">
      <w:pPr>
        <w:bidi w:val="0"/>
      </w:pPr>
    </w:p>
    <w:p w14:paraId="603EBD3F">
      <w:pPr>
        <w:pStyle w:val="5"/>
        <w:spacing w:before="215"/>
      </w:pPr>
      <w:r>
        <w:rPr>
          <w:color w:val="231F20"/>
          <w:spacing w:val="-10"/>
        </w:rPr>
        <w:t>N</w:t>
      </w:r>
    </w:p>
    <w:p w14:paraId="02BA9CE8">
      <w:pPr>
        <w:bidi w:val="0"/>
        <w:rPr>
          <w:rFonts w:hint="eastAsia"/>
        </w:rPr>
      </w:pPr>
      <w:r>
        <w:rPr>
          <w:rFonts w:hint="eastAsia"/>
        </w:rPr>
        <w:t>N</w:t>
      </w:r>
    </w:p>
    <w:p w14:paraId="4A59FD03">
      <w:pPr>
        <w:bidi w:val="0"/>
        <w:rPr>
          <w:rFonts w:hint="eastAsia"/>
        </w:rPr>
      </w:pPr>
    </w:p>
    <w:p w14:paraId="7A862A15">
      <w:pPr>
        <w:bidi w:val="0"/>
        <w:rPr>
          <w:rFonts w:hint="eastAsia"/>
        </w:rPr>
      </w:pPr>
    </w:p>
    <w:p w14:paraId="755FEA02">
      <w:pPr>
        <w:bidi w:val="0"/>
        <w:rPr>
          <w:rFonts w:hint="eastAsia"/>
        </w:rPr>
      </w:pPr>
      <w:r>
        <w:rPr>
          <w:rFonts w:hint="eastAsia"/>
        </w:rPr>
        <w:t>Nation, of (ethnic) Israel, 10, 57, 101, 106, 117, 121, 189, 650f; God’s eternal, 68, 87, 147, 174, 193, 200, 247, 264, 277, 313, 325f, 385f, 548; born in a day, 296f</w:t>
      </w:r>
    </w:p>
    <w:p w14:paraId="3CB6CB59">
      <w:pPr>
        <w:bidi w:val="0"/>
        <w:rPr>
          <w:rFonts w:hint="eastAsia"/>
        </w:rPr>
      </w:pPr>
    </w:p>
    <w:p w14:paraId="3C3667E4">
      <w:pPr>
        <w:bidi w:val="0"/>
        <w:rPr>
          <w:rFonts w:hint="eastAsia"/>
        </w:rPr>
      </w:pPr>
      <w:r>
        <w:rPr>
          <w:rFonts w:hint="eastAsia"/>
        </w:rPr>
        <w:t>国家，（种族的）以色列的，10, 57, 101, 106, 117, 121, 189, 650f；神永恒的，68, 87, 147, 174, 193, 200, 247, 264, 277, 313, 325f, 385f, 548；一日而生的，296f</w:t>
      </w:r>
    </w:p>
    <w:p w14:paraId="7EDA94EB">
      <w:pPr>
        <w:bidi w:val="0"/>
        <w:rPr>
          <w:rFonts w:hint="eastAsia"/>
        </w:rPr>
      </w:pPr>
    </w:p>
    <w:p w14:paraId="1D332AF8">
      <w:pPr>
        <w:bidi w:val="0"/>
        <w:rPr>
          <w:rFonts w:hint="eastAsia"/>
        </w:rPr>
      </w:pPr>
      <w:r>
        <w:rPr>
          <w:rFonts w:hint="eastAsia"/>
        </w:rPr>
        <w:t>Nero, 410, 429, 581f; in Preterism, 636f</w:t>
      </w:r>
    </w:p>
    <w:p w14:paraId="38225056">
      <w:pPr>
        <w:bidi w:val="0"/>
        <w:rPr>
          <w:rFonts w:hint="eastAsia"/>
        </w:rPr>
      </w:pPr>
    </w:p>
    <w:p w14:paraId="418AE269">
      <w:pPr>
        <w:bidi w:val="0"/>
        <w:rPr>
          <w:rFonts w:hint="eastAsia"/>
        </w:rPr>
      </w:pPr>
      <w:r>
        <w:rPr>
          <w:rFonts w:hint="eastAsia"/>
        </w:rPr>
        <w:t>尼禄，410, 429, 581f；在末世预言已应验论中，636f</w:t>
      </w:r>
    </w:p>
    <w:p w14:paraId="4C4F254F">
      <w:pPr>
        <w:bidi w:val="0"/>
        <w:rPr>
          <w:rFonts w:hint="eastAsia"/>
        </w:rPr>
      </w:pPr>
    </w:p>
    <w:p w14:paraId="2755D9D1">
      <w:pPr>
        <w:bidi w:val="0"/>
        <w:rPr>
          <w:rFonts w:hint="eastAsia"/>
        </w:rPr>
      </w:pPr>
      <w:r>
        <w:rPr>
          <w:rFonts w:hint="eastAsia"/>
        </w:rPr>
        <w:t>New Covenant, and GETD, 12f; and the Kingdom, 65f, 104; and EC, 90f, 101; and Hebrews 8, 274; renders OC obsolete, 67, 104, 328f</w:t>
      </w:r>
    </w:p>
    <w:p w14:paraId="5FF6B836">
      <w:pPr>
        <w:bidi w:val="0"/>
        <w:rPr>
          <w:rFonts w:hint="eastAsia"/>
        </w:rPr>
      </w:pPr>
    </w:p>
    <w:p w14:paraId="4CA61302">
      <w:pPr>
        <w:bidi w:val="0"/>
        <w:rPr>
          <w:rFonts w:hint="eastAsia"/>
        </w:rPr>
      </w:pPr>
      <w:r>
        <w:rPr>
          <w:rFonts w:hint="eastAsia"/>
        </w:rPr>
        <w:t>新约，与GETD，12f；与国度，65f, 104；与EC，90f, 101；与希伯来书8章，274；使旧约作废，67, 104, 328f</w:t>
      </w:r>
    </w:p>
    <w:p w14:paraId="1681B2FC">
      <w:pPr>
        <w:bidi w:val="0"/>
        <w:rPr>
          <w:rFonts w:hint="eastAsia"/>
        </w:rPr>
      </w:pPr>
    </w:p>
    <w:p w14:paraId="1AB2B10A">
      <w:pPr>
        <w:bidi w:val="0"/>
        <w:rPr>
          <w:rFonts w:hint="eastAsia"/>
        </w:rPr>
      </w:pPr>
      <w:r>
        <w:rPr>
          <w:rFonts w:hint="eastAsia"/>
        </w:rPr>
        <w:t>New Covenant Hermeneutic, and Amillennialism, 15, 23; introduced by Christ, 46; importance of, 50f; key to GETD, 182f; used by apostles, 258f, 661</w:t>
      </w:r>
    </w:p>
    <w:p w14:paraId="6B14ADFC">
      <w:pPr>
        <w:bidi w:val="0"/>
        <w:rPr>
          <w:rFonts w:hint="eastAsia"/>
        </w:rPr>
      </w:pPr>
    </w:p>
    <w:p w14:paraId="320EFB9A">
      <w:pPr>
        <w:bidi w:val="0"/>
        <w:rPr>
          <w:rFonts w:hint="eastAsia"/>
        </w:rPr>
      </w:pPr>
      <w:r>
        <w:rPr>
          <w:rFonts w:hint="eastAsia"/>
        </w:rPr>
        <w:t>新约诠释学，与无千禧年论，15, 23；由基督引介，46；其重要性，50f；GETD的关键，182f；为使徒所用，258f, 661</w:t>
      </w:r>
    </w:p>
    <w:p w14:paraId="60CB70DE">
      <w:pPr>
        <w:bidi w:val="0"/>
        <w:rPr>
          <w:rFonts w:hint="eastAsia"/>
        </w:rPr>
      </w:pPr>
    </w:p>
    <w:p w14:paraId="3530BB33">
      <w:pPr>
        <w:bidi w:val="0"/>
        <w:rPr>
          <w:rFonts w:hint="eastAsia"/>
        </w:rPr>
      </w:pPr>
      <w:r>
        <w:rPr>
          <w:rFonts w:hint="eastAsia"/>
        </w:rPr>
        <w:t>New Heavens and Earth, and Flood, 85, 113; and history of Israel, 120f; and EC, 93f; and Age to Come, 166; and Kingdom of the Father, 132, 172; in the Revelation, 497; and Cosmic Transformation, 518, 601; life in, 602; (see, WTC)</w:t>
      </w:r>
    </w:p>
    <w:p w14:paraId="71D2BC09">
      <w:pPr>
        <w:bidi w:val="0"/>
        <w:rPr>
          <w:rFonts w:hint="eastAsia"/>
        </w:rPr>
      </w:pPr>
    </w:p>
    <w:p w14:paraId="062279F3">
      <w:pPr>
        <w:bidi w:val="0"/>
        <w:rPr>
          <w:rFonts w:hint="eastAsia"/>
        </w:rPr>
      </w:pPr>
      <w:r>
        <w:rPr>
          <w:rFonts w:hint="eastAsia"/>
        </w:rPr>
        <w:t>新天新地，与洪水，85, 113；与以色列的历史，120f；与EC，93f；与来世，166；与父的国度，132, 172；在启示录中，497；与宇宙的更新，518, 601；在其中的生命，602；（参见，WTC）</w:t>
      </w:r>
    </w:p>
    <w:p w14:paraId="5F3D2E6B">
      <w:pPr>
        <w:bidi w:val="0"/>
        <w:rPr>
          <w:rFonts w:hint="eastAsia"/>
        </w:rPr>
      </w:pPr>
    </w:p>
    <w:p w14:paraId="2BC9E5C6">
      <w:pPr>
        <w:bidi w:val="0"/>
        <w:rPr>
          <w:rFonts w:hint="eastAsia"/>
        </w:rPr>
      </w:pPr>
      <w:r>
        <w:rPr>
          <w:rFonts w:hint="eastAsia"/>
        </w:rPr>
        <w:t>New Jerusalem, in the Revelation, 434, 499; and Dispensationalism, 631; (see, Jerusalem above)</w:t>
      </w:r>
    </w:p>
    <w:p w14:paraId="6A43D5A0">
      <w:pPr>
        <w:bidi w:val="0"/>
        <w:rPr>
          <w:rFonts w:hint="eastAsia"/>
        </w:rPr>
      </w:pPr>
    </w:p>
    <w:p w14:paraId="65F24186">
      <w:pPr>
        <w:bidi w:val="0"/>
        <w:rPr>
          <w:rFonts w:hint="eastAsia"/>
        </w:rPr>
      </w:pPr>
      <w:r>
        <w:rPr>
          <w:rFonts w:hint="eastAsia"/>
        </w:rPr>
        <w:t>新耶路撒冷，在启示录中，434, 499；与时代论，631；（参见，上文的耶路撒冷）</w:t>
      </w:r>
    </w:p>
    <w:p w14:paraId="035BB6CE">
      <w:pPr>
        <w:bidi w:val="0"/>
        <w:rPr>
          <w:rFonts w:hint="eastAsia"/>
        </w:rPr>
      </w:pPr>
    </w:p>
    <w:p w14:paraId="6B7FBAC1">
      <w:pPr>
        <w:pStyle w:val="5"/>
      </w:pPr>
      <w:r>
        <w:rPr>
          <w:color w:val="231F20"/>
          <w:spacing w:val="-10"/>
        </w:rPr>
        <w:t>O</w:t>
      </w:r>
    </w:p>
    <w:p w14:paraId="6C08FDD9">
      <w:pPr>
        <w:bidi w:val="0"/>
        <w:rPr>
          <w:rFonts w:hint="eastAsia"/>
        </w:rPr>
      </w:pPr>
    </w:p>
    <w:p w14:paraId="05856A83">
      <w:pPr>
        <w:bidi w:val="0"/>
        <w:rPr>
          <w:rFonts w:hint="eastAsia"/>
        </w:rPr>
      </w:pPr>
      <w:r>
        <w:rPr>
          <w:rFonts w:hint="eastAsia"/>
        </w:rPr>
        <w:t>Old Testament Kingdom Prophecy, defined, 247; approaches to, 12f; Representative Idea of the Kingdom in, 187f; marriage and children in, 211; death in, 213; stages of the Kingdom in, 215f; NT principles for interpreting, 228f; apostles’ handling of, 258; interpreted with NCH, 281-408; listed, 661f; cited in NT, 667f</w:t>
      </w:r>
    </w:p>
    <w:p w14:paraId="2B1DF2F3">
      <w:pPr>
        <w:bidi w:val="0"/>
        <w:rPr>
          <w:rFonts w:hint="eastAsia"/>
        </w:rPr>
      </w:pPr>
    </w:p>
    <w:p w14:paraId="6F4F4D1A">
      <w:pPr>
        <w:bidi w:val="0"/>
        <w:rPr>
          <w:rFonts w:hint="eastAsia"/>
        </w:rPr>
      </w:pPr>
      <w:r>
        <w:rPr>
          <w:rFonts w:hint="eastAsia"/>
        </w:rPr>
        <w:t>旧约国度预言，定义，247；对其的进路，12f；在其中的国度的代表性理念，187f；在其中的婚姻与孩童，211；在其中的死亡，213；在其中的国度的阶段，215f；诠释的新约原则，228f；使徒们的处理，258；用NCH诠释，281-408；所列出的，661f；在新约中被引用，667f</w:t>
      </w:r>
    </w:p>
    <w:p w14:paraId="128C7250">
      <w:pPr>
        <w:bidi w:val="0"/>
        <w:rPr>
          <w:rFonts w:hint="eastAsia"/>
        </w:rPr>
      </w:pPr>
    </w:p>
    <w:p w14:paraId="5C278863">
      <w:pPr>
        <w:bidi w:val="0"/>
        <w:rPr>
          <w:rFonts w:hint="eastAsia"/>
        </w:rPr>
      </w:pPr>
      <w:r>
        <w:rPr>
          <w:rFonts w:hint="eastAsia"/>
        </w:rPr>
        <w:t>Olivet Discourse, 418, 443, 515, 523, 525, 530f; and Preterism, 33f, 636f; and Dispensationalism, 370, 570</w:t>
      </w:r>
    </w:p>
    <w:p w14:paraId="0ACEEB20">
      <w:pPr>
        <w:bidi w:val="0"/>
        <w:rPr>
          <w:rFonts w:hint="eastAsia"/>
        </w:rPr>
      </w:pPr>
    </w:p>
    <w:p w14:paraId="3BAD0F84">
      <w:pPr>
        <w:bidi w:val="0"/>
        <w:rPr>
          <w:rFonts w:hint="eastAsia"/>
        </w:rPr>
      </w:pPr>
      <w:r>
        <w:rPr>
          <w:rFonts w:hint="eastAsia"/>
        </w:rPr>
        <w:t>橄榄山讲论，418, 443, 515, 523, 525, 530f；与末世预言已应验论，33f, 636f；与时代论，370, 570</w:t>
      </w:r>
    </w:p>
    <w:p w14:paraId="06D209CB">
      <w:pPr>
        <w:bidi w:val="0"/>
        <w:rPr>
          <w:rFonts w:hint="eastAsia"/>
        </w:rPr>
      </w:pPr>
    </w:p>
    <w:p w14:paraId="7B82FD9B">
      <w:pPr>
        <w:bidi w:val="0"/>
        <w:rPr>
          <w:rFonts w:hint="eastAsia"/>
        </w:rPr>
      </w:pPr>
      <w:r>
        <w:rPr>
          <w:rFonts w:hint="eastAsia"/>
        </w:rPr>
        <w:t>Obsolescence (of the Law), and progressive revelation, 41f; Jesus on, 65f; 238f</w:t>
      </w:r>
    </w:p>
    <w:p w14:paraId="5AE62254">
      <w:pPr>
        <w:bidi w:val="0"/>
        <w:rPr>
          <w:rFonts w:hint="eastAsia"/>
        </w:rPr>
      </w:pPr>
    </w:p>
    <w:p w14:paraId="3B1FCCA2">
      <w:pPr>
        <w:bidi w:val="0"/>
        <w:rPr>
          <w:rFonts w:hint="eastAsia"/>
        </w:rPr>
      </w:pPr>
      <w:r>
        <w:rPr>
          <w:rFonts w:hint="eastAsia"/>
        </w:rPr>
        <w:t>（律法的）废止，与渐进性启示，41f；耶稣论，65f；238f</w:t>
      </w:r>
    </w:p>
    <w:p w14:paraId="56791588">
      <w:pPr>
        <w:bidi w:val="0"/>
        <w:rPr>
          <w:rFonts w:hint="eastAsia"/>
        </w:rPr>
      </w:pPr>
    </w:p>
    <w:p w14:paraId="295BC71D">
      <w:pPr>
        <w:bidi w:val="0"/>
        <w:rPr>
          <w:rFonts w:hint="eastAsia"/>
        </w:rPr>
      </w:pPr>
    </w:p>
    <w:p w14:paraId="15EC98B7">
      <w:pPr>
        <w:bidi w:val="0"/>
        <w:rPr>
          <w:rFonts w:hint="eastAsia"/>
        </w:rPr>
      </w:pPr>
    </w:p>
    <w:p w14:paraId="3AD67647">
      <w:pPr>
        <w:pStyle w:val="5"/>
        <w:spacing w:before="215"/>
      </w:pPr>
      <w:r>
        <w:rPr>
          <w:color w:val="231F20"/>
          <w:spacing w:val="-10"/>
        </w:rPr>
        <w:t>P</w:t>
      </w:r>
    </w:p>
    <w:p w14:paraId="3032F7D1">
      <w:pPr>
        <w:bidi w:val="0"/>
        <w:rPr>
          <w:rFonts w:hint="eastAsia"/>
          <w:sz w:val="30"/>
          <w:szCs w:val="30"/>
        </w:rPr>
      </w:pPr>
    </w:p>
    <w:p w14:paraId="351FCDFE">
      <w:pPr>
        <w:bidi w:val="0"/>
        <w:rPr>
          <w:rFonts w:hint="eastAsia"/>
          <w:sz w:val="30"/>
          <w:szCs w:val="30"/>
        </w:rPr>
      </w:pPr>
      <w:r>
        <w:rPr>
          <w:rFonts w:hint="eastAsia"/>
          <w:sz w:val="30"/>
          <w:szCs w:val="30"/>
        </w:rPr>
        <w:t>Palestine, 649f</w:t>
      </w:r>
    </w:p>
    <w:p w14:paraId="19B25EC4">
      <w:pPr>
        <w:bidi w:val="0"/>
        <w:rPr>
          <w:rFonts w:hint="eastAsia"/>
          <w:sz w:val="30"/>
          <w:szCs w:val="30"/>
        </w:rPr>
      </w:pPr>
    </w:p>
    <w:p w14:paraId="0C579121">
      <w:pPr>
        <w:bidi w:val="0"/>
        <w:rPr>
          <w:rFonts w:hint="eastAsia"/>
          <w:sz w:val="30"/>
          <w:szCs w:val="30"/>
        </w:rPr>
      </w:pPr>
      <w:r>
        <w:rPr>
          <w:rFonts w:hint="eastAsia"/>
          <w:sz w:val="30"/>
          <w:szCs w:val="30"/>
        </w:rPr>
        <w:t>巴勒斯坦，649f</w:t>
      </w:r>
    </w:p>
    <w:p w14:paraId="46ECA8AC">
      <w:pPr>
        <w:bidi w:val="0"/>
        <w:rPr>
          <w:rFonts w:hint="eastAsia"/>
          <w:sz w:val="30"/>
          <w:szCs w:val="30"/>
        </w:rPr>
      </w:pPr>
    </w:p>
    <w:p w14:paraId="2AAE17A1">
      <w:pPr>
        <w:bidi w:val="0"/>
        <w:rPr>
          <w:rFonts w:hint="eastAsia"/>
          <w:sz w:val="30"/>
          <w:szCs w:val="30"/>
        </w:rPr>
      </w:pPr>
      <w:r>
        <w:rPr>
          <w:rFonts w:hint="eastAsia"/>
          <w:sz w:val="30"/>
          <w:szCs w:val="30"/>
        </w:rPr>
        <w:t>Papacy, 700</w:t>
      </w:r>
    </w:p>
    <w:p w14:paraId="003736CD">
      <w:pPr>
        <w:bidi w:val="0"/>
        <w:rPr>
          <w:rFonts w:hint="eastAsia"/>
          <w:sz w:val="30"/>
          <w:szCs w:val="30"/>
        </w:rPr>
      </w:pPr>
    </w:p>
    <w:p w14:paraId="1B48E3C7">
      <w:pPr>
        <w:bidi w:val="0"/>
        <w:rPr>
          <w:rFonts w:hint="eastAsia"/>
          <w:sz w:val="30"/>
          <w:szCs w:val="30"/>
        </w:rPr>
      </w:pPr>
      <w:r>
        <w:rPr>
          <w:rFonts w:hint="eastAsia"/>
          <w:sz w:val="30"/>
          <w:szCs w:val="30"/>
        </w:rPr>
        <w:t>教皇制度，700</w:t>
      </w:r>
    </w:p>
    <w:p w14:paraId="11DCFDA1">
      <w:pPr>
        <w:bidi w:val="0"/>
        <w:rPr>
          <w:rFonts w:hint="eastAsia"/>
          <w:sz w:val="30"/>
          <w:szCs w:val="30"/>
        </w:rPr>
      </w:pPr>
    </w:p>
    <w:p w14:paraId="6914CBA2">
      <w:pPr>
        <w:bidi w:val="0"/>
        <w:rPr>
          <w:rFonts w:hint="eastAsia"/>
          <w:sz w:val="30"/>
          <w:szCs w:val="30"/>
        </w:rPr>
      </w:pPr>
      <w:r>
        <w:rPr>
          <w:rFonts w:hint="eastAsia"/>
          <w:sz w:val="30"/>
          <w:szCs w:val="30"/>
        </w:rPr>
        <w:t>Parables, of the Kingdom, 129f; of the Consummation, 536f</w:t>
      </w:r>
    </w:p>
    <w:p w14:paraId="34A57A6C">
      <w:pPr>
        <w:bidi w:val="0"/>
        <w:rPr>
          <w:rFonts w:hint="eastAsia"/>
          <w:sz w:val="30"/>
          <w:szCs w:val="30"/>
        </w:rPr>
      </w:pPr>
    </w:p>
    <w:p w14:paraId="0F380D2B">
      <w:pPr>
        <w:bidi w:val="0"/>
        <w:rPr>
          <w:rFonts w:hint="eastAsia"/>
          <w:sz w:val="30"/>
          <w:szCs w:val="30"/>
        </w:rPr>
      </w:pPr>
      <w:r>
        <w:rPr>
          <w:rFonts w:hint="eastAsia"/>
          <w:sz w:val="30"/>
          <w:szCs w:val="30"/>
        </w:rPr>
        <w:t>比喻，国度的，129f；最终成全的，536f</w:t>
      </w:r>
    </w:p>
    <w:p w14:paraId="4EE5B556">
      <w:pPr>
        <w:bidi w:val="0"/>
        <w:rPr>
          <w:rFonts w:hint="eastAsia"/>
          <w:sz w:val="30"/>
          <w:szCs w:val="30"/>
        </w:rPr>
      </w:pPr>
    </w:p>
    <w:p w14:paraId="1FB84203">
      <w:pPr>
        <w:bidi w:val="0"/>
        <w:rPr>
          <w:rFonts w:hint="eastAsia"/>
          <w:sz w:val="30"/>
          <w:szCs w:val="30"/>
        </w:rPr>
      </w:pPr>
      <w:r>
        <w:rPr>
          <w:rFonts w:hint="eastAsia"/>
          <w:sz w:val="30"/>
          <w:szCs w:val="30"/>
        </w:rPr>
        <w:t>Parousia, defined, 511; views of, 20f; and the coming of the Kingdom, 136, 162; diagrammed, 165, 167, 172, 174, 175; in OTKP, 220, 292, 302, 304, 322, 337f, 346, 362, 372, 397f; in the Revelation, 443, 448, 453, 457, 462, 488; centrality of, 521, 534; comfort of, xix, 562, 596f; NT texts on, 670f</w:t>
      </w:r>
    </w:p>
    <w:p w14:paraId="0671C7EB">
      <w:pPr>
        <w:bidi w:val="0"/>
        <w:rPr>
          <w:rFonts w:hint="eastAsia"/>
          <w:sz w:val="30"/>
          <w:szCs w:val="30"/>
        </w:rPr>
      </w:pPr>
    </w:p>
    <w:p w14:paraId="5356CD7E">
      <w:pPr>
        <w:bidi w:val="0"/>
        <w:rPr>
          <w:rFonts w:hint="eastAsia"/>
          <w:sz w:val="30"/>
          <w:szCs w:val="30"/>
        </w:rPr>
      </w:pPr>
      <w:r>
        <w:rPr>
          <w:rFonts w:hint="eastAsia"/>
          <w:sz w:val="30"/>
          <w:szCs w:val="30"/>
        </w:rPr>
        <w:t>主再来，定义，511；其观点，20f；与国度的降临，136, 162；图解，165, 167, 172, 174, 175；在OTKP中，220, 292, 302, 304, 322, 337f, 346, 362, 372, 397f；在启示录中，443, 448, 453, 457, 462, 488；其中心性，521, 534；其安慰，xix, 562, 596f；其新约经文，670f</w:t>
      </w:r>
    </w:p>
    <w:p w14:paraId="7E51B30C">
      <w:pPr>
        <w:bidi w:val="0"/>
        <w:rPr>
          <w:rFonts w:hint="eastAsia"/>
          <w:sz w:val="30"/>
          <w:szCs w:val="30"/>
        </w:rPr>
      </w:pPr>
    </w:p>
    <w:p w14:paraId="4E6A439C">
      <w:pPr>
        <w:bidi w:val="0"/>
        <w:rPr>
          <w:rFonts w:hint="eastAsia"/>
          <w:sz w:val="30"/>
          <w:szCs w:val="30"/>
        </w:rPr>
      </w:pPr>
      <w:r>
        <w:rPr>
          <w:rFonts w:hint="eastAsia"/>
          <w:sz w:val="30"/>
          <w:szCs w:val="30"/>
        </w:rPr>
        <w:t>Pentecost, 45, 102, 143, 542; and coming of the Kingdom, 161, 175, 686; in OTKP, 253, 293, 312, 338, 389; in the Revelation, 442, 471</w:t>
      </w:r>
    </w:p>
    <w:p w14:paraId="14D926A3">
      <w:pPr>
        <w:bidi w:val="0"/>
        <w:rPr>
          <w:rFonts w:hint="eastAsia"/>
          <w:sz w:val="30"/>
          <w:szCs w:val="30"/>
        </w:rPr>
      </w:pPr>
    </w:p>
    <w:p w14:paraId="2F8155A4">
      <w:pPr>
        <w:bidi w:val="0"/>
        <w:rPr>
          <w:rFonts w:hint="eastAsia"/>
          <w:sz w:val="30"/>
          <w:szCs w:val="30"/>
        </w:rPr>
      </w:pPr>
      <w:r>
        <w:rPr>
          <w:rFonts w:hint="eastAsia"/>
          <w:sz w:val="30"/>
          <w:szCs w:val="30"/>
        </w:rPr>
        <w:t>五旬节，45, 102, 143, 542；与国度的降临，161, 175, 686；在OTKP中，253, 293, 312, 338, 389；在启示录中，442, 471</w:t>
      </w:r>
    </w:p>
    <w:p w14:paraId="52FA9271">
      <w:pPr>
        <w:bidi w:val="0"/>
        <w:rPr>
          <w:rFonts w:hint="eastAsia"/>
          <w:sz w:val="30"/>
          <w:szCs w:val="30"/>
        </w:rPr>
      </w:pPr>
    </w:p>
    <w:p w14:paraId="117679C3">
      <w:pPr>
        <w:bidi w:val="0"/>
        <w:rPr>
          <w:rFonts w:hint="eastAsia"/>
          <w:sz w:val="30"/>
          <w:szCs w:val="30"/>
        </w:rPr>
      </w:pPr>
      <w:r>
        <w:rPr>
          <w:rFonts w:hint="eastAsia"/>
          <w:sz w:val="30"/>
          <w:szCs w:val="30"/>
        </w:rPr>
        <w:t>Persecution, and Satan, 107, 135; saints appointed to, 135, 141, 272, 296, 386, 394, 527, 582, 593; and Last Battle, 353, 362f, 443, 533, 538, 594; in the Revelation, 414, 430, 442-445; modern, 607</w:t>
      </w:r>
    </w:p>
    <w:p w14:paraId="15EE0070">
      <w:pPr>
        <w:bidi w:val="0"/>
        <w:rPr>
          <w:rFonts w:hint="eastAsia"/>
          <w:sz w:val="30"/>
          <w:szCs w:val="30"/>
        </w:rPr>
      </w:pPr>
    </w:p>
    <w:p w14:paraId="42FFD230">
      <w:pPr>
        <w:bidi w:val="0"/>
        <w:rPr>
          <w:rFonts w:hint="eastAsia"/>
          <w:sz w:val="30"/>
          <w:szCs w:val="30"/>
        </w:rPr>
      </w:pPr>
      <w:r>
        <w:rPr>
          <w:rFonts w:hint="eastAsia"/>
          <w:sz w:val="30"/>
          <w:szCs w:val="30"/>
        </w:rPr>
        <w:t>逼迫，与撒但，107, 135；圣徒被命定要受的，135, 141, 272, 296, 386, 394, 527, 582, 593；与最后的争战，353, 362f, 443, 533, 538, 594；在启示录中，414, 430, 442-445；现代的，607</w:t>
      </w:r>
    </w:p>
    <w:p w14:paraId="04E7288B">
      <w:pPr>
        <w:bidi w:val="0"/>
        <w:rPr>
          <w:rFonts w:hint="eastAsia"/>
          <w:sz w:val="30"/>
          <w:szCs w:val="30"/>
        </w:rPr>
      </w:pPr>
    </w:p>
    <w:p w14:paraId="7E4A96AE">
      <w:pPr>
        <w:bidi w:val="0"/>
        <w:rPr>
          <w:rFonts w:hint="eastAsia"/>
          <w:sz w:val="30"/>
          <w:szCs w:val="30"/>
        </w:rPr>
      </w:pPr>
      <w:r>
        <w:rPr>
          <w:rFonts w:hint="eastAsia"/>
          <w:sz w:val="30"/>
          <w:szCs w:val="30"/>
        </w:rPr>
        <w:t>Peter, early sermons, 142; eschatology of, 581f</w:t>
      </w:r>
    </w:p>
    <w:p w14:paraId="6313C9F6">
      <w:pPr>
        <w:bidi w:val="0"/>
        <w:rPr>
          <w:rFonts w:hint="eastAsia"/>
          <w:sz w:val="30"/>
          <w:szCs w:val="30"/>
        </w:rPr>
      </w:pPr>
    </w:p>
    <w:p w14:paraId="5B4277F9">
      <w:pPr>
        <w:bidi w:val="0"/>
        <w:rPr>
          <w:rFonts w:hint="eastAsia"/>
          <w:sz w:val="30"/>
          <w:szCs w:val="30"/>
        </w:rPr>
      </w:pPr>
      <w:r>
        <w:rPr>
          <w:rFonts w:hint="eastAsia"/>
          <w:sz w:val="30"/>
          <w:szCs w:val="30"/>
        </w:rPr>
        <w:t>彼得，早期讲道，142；其末世论，581f</w:t>
      </w:r>
    </w:p>
    <w:p w14:paraId="2E497A49">
      <w:pPr>
        <w:bidi w:val="0"/>
        <w:rPr>
          <w:rFonts w:hint="eastAsia"/>
          <w:sz w:val="30"/>
          <w:szCs w:val="30"/>
        </w:rPr>
      </w:pPr>
    </w:p>
    <w:p w14:paraId="2DBE3294">
      <w:pPr>
        <w:bidi w:val="0"/>
        <w:rPr>
          <w:rFonts w:hint="eastAsia"/>
          <w:sz w:val="30"/>
          <w:szCs w:val="30"/>
        </w:rPr>
      </w:pPr>
      <w:r>
        <w:rPr>
          <w:rFonts w:hint="eastAsia"/>
          <w:sz w:val="30"/>
          <w:szCs w:val="30"/>
        </w:rPr>
        <w:t>Postmillennialism, defined, 26f; critiqued, 617f</w:t>
      </w:r>
    </w:p>
    <w:p w14:paraId="54DBCC3D">
      <w:pPr>
        <w:bidi w:val="0"/>
        <w:rPr>
          <w:rFonts w:hint="eastAsia"/>
          <w:sz w:val="30"/>
          <w:szCs w:val="30"/>
        </w:rPr>
      </w:pPr>
    </w:p>
    <w:p w14:paraId="21B5559E">
      <w:pPr>
        <w:bidi w:val="0"/>
        <w:rPr>
          <w:rFonts w:hint="eastAsia"/>
          <w:sz w:val="30"/>
          <w:szCs w:val="30"/>
        </w:rPr>
      </w:pPr>
      <w:r>
        <w:rPr>
          <w:rFonts w:hint="eastAsia"/>
          <w:sz w:val="30"/>
          <w:szCs w:val="30"/>
        </w:rPr>
        <w:t>后千禧年论，定义，26f；批判，617f</w:t>
      </w:r>
    </w:p>
    <w:p w14:paraId="436FCF33">
      <w:pPr>
        <w:bidi w:val="0"/>
        <w:rPr>
          <w:rFonts w:hint="eastAsia"/>
          <w:sz w:val="30"/>
          <w:szCs w:val="30"/>
        </w:rPr>
      </w:pPr>
    </w:p>
    <w:p w14:paraId="7B777016">
      <w:pPr>
        <w:bidi w:val="0"/>
        <w:rPr>
          <w:rFonts w:hint="eastAsia"/>
          <w:sz w:val="30"/>
          <w:szCs w:val="30"/>
        </w:rPr>
      </w:pPr>
      <w:r>
        <w:rPr>
          <w:rFonts w:hint="eastAsia"/>
          <w:sz w:val="30"/>
          <w:szCs w:val="30"/>
        </w:rPr>
        <w:t>Preaching, and Eschatology, xx, 610</w:t>
      </w:r>
    </w:p>
    <w:p w14:paraId="0DFBA5F9">
      <w:pPr>
        <w:bidi w:val="0"/>
        <w:rPr>
          <w:rFonts w:hint="eastAsia"/>
          <w:sz w:val="30"/>
          <w:szCs w:val="30"/>
        </w:rPr>
      </w:pPr>
    </w:p>
    <w:p w14:paraId="5E9287B5">
      <w:pPr>
        <w:bidi w:val="0"/>
        <w:rPr>
          <w:rFonts w:hint="eastAsia"/>
          <w:sz w:val="30"/>
          <w:szCs w:val="30"/>
        </w:rPr>
      </w:pPr>
      <w:r>
        <w:rPr>
          <w:rFonts w:hint="eastAsia"/>
          <w:sz w:val="30"/>
          <w:szCs w:val="30"/>
        </w:rPr>
        <w:t>讲道，与末世论，xx, 610</w:t>
      </w:r>
    </w:p>
    <w:p w14:paraId="20FB7B37">
      <w:pPr>
        <w:bidi w:val="0"/>
        <w:rPr>
          <w:rFonts w:hint="eastAsia"/>
          <w:sz w:val="30"/>
          <w:szCs w:val="30"/>
        </w:rPr>
      </w:pPr>
    </w:p>
    <w:p w14:paraId="043E6FDA">
      <w:pPr>
        <w:bidi w:val="0"/>
        <w:rPr>
          <w:rFonts w:hint="eastAsia"/>
          <w:sz w:val="30"/>
          <w:szCs w:val="30"/>
        </w:rPr>
      </w:pPr>
      <w:r>
        <w:rPr>
          <w:rFonts w:hint="eastAsia"/>
          <w:sz w:val="30"/>
          <w:szCs w:val="30"/>
        </w:rPr>
        <w:t>Premillennialism, defined, 17; Historic, 21; Dispensational, 28; approach to OTKP, 252f; critiques of, 202, 309, 317, 329, 370, 383, 513, 556, 613f, 624f; and the Revelation 20, 465f</w:t>
      </w:r>
    </w:p>
    <w:p w14:paraId="2F0FDE77">
      <w:pPr>
        <w:bidi w:val="0"/>
        <w:rPr>
          <w:rFonts w:hint="eastAsia"/>
          <w:sz w:val="30"/>
          <w:szCs w:val="30"/>
        </w:rPr>
      </w:pPr>
    </w:p>
    <w:p w14:paraId="0C8E8AC7">
      <w:pPr>
        <w:bidi w:val="0"/>
        <w:rPr>
          <w:rFonts w:hint="eastAsia"/>
          <w:sz w:val="30"/>
          <w:szCs w:val="30"/>
        </w:rPr>
      </w:pPr>
      <w:r>
        <w:rPr>
          <w:rFonts w:hint="eastAsia"/>
          <w:sz w:val="30"/>
          <w:szCs w:val="30"/>
        </w:rPr>
        <w:t>前千禧年论，定义，17；历史性，21；时代论的，28；对OTKP的进路，252f；对其的批判，202, 309, 317, 329, 370, 383, 513, 556, 613f, 624f；与启示录20章，465f</w:t>
      </w:r>
    </w:p>
    <w:p w14:paraId="7D94D966">
      <w:pPr>
        <w:bidi w:val="0"/>
        <w:rPr>
          <w:rFonts w:hint="eastAsia"/>
          <w:sz w:val="30"/>
          <w:szCs w:val="30"/>
        </w:rPr>
      </w:pPr>
    </w:p>
    <w:p w14:paraId="47FF395A">
      <w:pPr>
        <w:bidi w:val="0"/>
        <w:rPr>
          <w:rFonts w:hint="eastAsia"/>
          <w:sz w:val="30"/>
          <w:szCs w:val="30"/>
        </w:rPr>
      </w:pPr>
      <w:r>
        <w:rPr>
          <w:rFonts w:hint="eastAsia"/>
          <w:sz w:val="30"/>
          <w:szCs w:val="30"/>
        </w:rPr>
        <w:t>Present millennialism, 37f</w:t>
      </w:r>
    </w:p>
    <w:p w14:paraId="22682040">
      <w:pPr>
        <w:bidi w:val="0"/>
        <w:rPr>
          <w:rFonts w:hint="eastAsia"/>
          <w:sz w:val="30"/>
          <w:szCs w:val="30"/>
        </w:rPr>
      </w:pPr>
    </w:p>
    <w:p w14:paraId="736CDA9C">
      <w:pPr>
        <w:bidi w:val="0"/>
        <w:rPr>
          <w:rFonts w:hint="eastAsia"/>
          <w:sz w:val="30"/>
          <w:szCs w:val="30"/>
        </w:rPr>
      </w:pPr>
      <w:r>
        <w:rPr>
          <w:rFonts w:hint="eastAsia"/>
          <w:sz w:val="30"/>
          <w:szCs w:val="30"/>
        </w:rPr>
        <w:t>现世千禧年论，37f</w:t>
      </w:r>
    </w:p>
    <w:p w14:paraId="41EC4380">
      <w:pPr>
        <w:bidi w:val="0"/>
        <w:rPr>
          <w:rFonts w:hint="eastAsia"/>
          <w:sz w:val="30"/>
          <w:szCs w:val="30"/>
        </w:rPr>
      </w:pPr>
    </w:p>
    <w:p w14:paraId="14ADF2BF">
      <w:pPr>
        <w:bidi w:val="0"/>
        <w:rPr>
          <w:rFonts w:hint="eastAsia"/>
          <w:sz w:val="30"/>
          <w:szCs w:val="30"/>
        </w:rPr>
      </w:pPr>
      <w:r>
        <w:rPr>
          <w:rFonts w:hint="eastAsia"/>
          <w:sz w:val="30"/>
          <w:szCs w:val="30"/>
        </w:rPr>
        <w:t>Preterism, Partial, 33f; Full, 36f; and the Revelation, 428; Full, critiqued, 635f; Partial, critiqued, 643f</w:t>
      </w:r>
    </w:p>
    <w:p w14:paraId="542C08CC">
      <w:pPr>
        <w:bidi w:val="0"/>
        <w:rPr>
          <w:rFonts w:hint="eastAsia"/>
          <w:sz w:val="30"/>
          <w:szCs w:val="30"/>
        </w:rPr>
      </w:pPr>
    </w:p>
    <w:p w14:paraId="76AF6452">
      <w:pPr>
        <w:bidi w:val="0"/>
        <w:rPr>
          <w:rFonts w:hint="eastAsia"/>
          <w:sz w:val="30"/>
          <w:szCs w:val="30"/>
        </w:rPr>
      </w:pPr>
      <w:r>
        <w:rPr>
          <w:rFonts w:hint="eastAsia"/>
          <w:sz w:val="30"/>
          <w:szCs w:val="30"/>
        </w:rPr>
        <w:t>末世预言已应验论，部分的，33f；完全的，36f；与启示录，428；完全的，批判，635f；部分的，批判，643f</w:t>
      </w:r>
    </w:p>
    <w:p w14:paraId="297252AF">
      <w:pPr>
        <w:bidi w:val="0"/>
        <w:rPr>
          <w:rFonts w:hint="eastAsia"/>
          <w:sz w:val="30"/>
          <w:szCs w:val="30"/>
        </w:rPr>
      </w:pPr>
    </w:p>
    <w:p w14:paraId="26695878">
      <w:pPr>
        <w:bidi w:val="0"/>
        <w:rPr>
          <w:rFonts w:hint="eastAsia"/>
          <w:sz w:val="30"/>
          <w:szCs w:val="30"/>
        </w:rPr>
      </w:pPr>
      <w:r>
        <w:rPr>
          <w:rFonts w:hint="eastAsia"/>
          <w:sz w:val="30"/>
          <w:szCs w:val="30"/>
        </w:rPr>
        <w:t>Pre-tribulation (Secret) Rapture, defined, 30; and Daniel 9, 369f; and the Revelation, 428, 433, 476, 497, 692; and John 14, 540f; and 1 Thess. 4, 524, 563f; and 1 Cor. 15, 554, 698; critiques of, 139, 512, 578, 598, 624f</w:t>
      </w:r>
    </w:p>
    <w:p w14:paraId="2B80CE36">
      <w:pPr>
        <w:bidi w:val="0"/>
        <w:rPr>
          <w:rFonts w:hint="eastAsia"/>
          <w:sz w:val="30"/>
          <w:szCs w:val="30"/>
        </w:rPr>
      </w:pPr>
    </w:p>
    <w:p w14:paraId="6357AA99">
      <w:pPr>
        <w:bidi w:val="0"/>
        <w:rPr>
          <w:rFonts w:hint="eastAsia"/>
          <w:sz w:val="30"/>
          <w:szCs w:val="30"/>
        </w:rPr>
      </w:pPr>
      <w:r>
        <w:rPr>
          <w:rFonts w:hint="eastAsia"/>
          <w:sz w:val="30"/>
          <w:szCs w:val="30"/>
        </w:rPr>
        <w:t>灾前（秘密）被提，定义，30；与但以理书9章，369f；与启示录，428, 433, 476, 497, 692；与约翰福音14章，540f；与帖撒罗尼迦前书4章，524, 563f；与哥林多前书15章，554, 698；对其的批判，139, 512, 578, 598, 624f</w:t>
      </w:r>
    </w:p>
    <w:p w14:paraId="1671F274">
      <w:pPr>
        <w:bidi w:val="0"/>
        <w:rPr>
          <w:rFonts w:hint="eastAsia"/>
          <w:sz w:val="30"/>
          <w:szCs w:val="30"/>
        </w:rPr>
      </w:pPr>
    </w:p>
    <w:p w14:paraId="136BB610">
      <w:pPr>
        <w:bidi w:val="0"/>
        <w:rPr>
          <w:rFonts w:hint="eastAsia"/>
          <w:sz w:val="30"/>
          <w:szCs w:val="30"/>
        </w:rPr>
      </w:pPr>
      <w:r>
        <w:rPr>
          <w:rFonts w:hint="eastAsia"/>
          <w:sz w:val="30"/>
          <w:szCs w:val="30"/>
        </w:rPr>
        <w:t>Probation, of Adam, 5, 74f, 168f; of Christ, 96; of man under COG, 94, 163, 179, 599; Era of, 102, 136, 142, 147, 212, 249, 290, 298, 308f, 385f, diagrammed, 167; in the Revelation, 158, 162, 438, 473</w:t>
      </w:r>
    </w:p>
    <w:p w14:paraId="7BBD78C1">
      <w:pPr>
        <w:bidi w:val="0"/>
        <w:rPr>
          <w:rFonts w:hint="eastAsia"/>
          <w:sz w:val="30"/>
          <w:szCs w:val="30"/>
        </w:rPr>
      </w:pPr>
    </w:p>
    <w:p w14:paraId="3FE24A7C">
      <w:pPr>
        <w:bidi w:val="0"/>
        <w:rPr>
          <w:rFonts w:hint="eastAsia"/>
          <w:sz w:val="30"/>
          <w:szCs w:val="30"/>
        </w:rPr>
      </w:pPr>
      <w:r>
        <w:rPr>
          <w:rFonts w:hint="eastAsia"/>
          <w:sz w:val="30"/>
          <w:szCs w:val="30"/>
        </w:rPr>
        <w:t>试炼期，亚当的，5, 74f, 168f；基督的，96；在COG下的人，94, 163, 179, 599；其时代，102, 136, 142, 147, 212, 249, 290, 298, 308f, 385f，图解，167；在启示录中，158, 162, 438, 473</w:t>
      </w:r>
    </w:p>
    <w:p w14:paraId="2A99E8D5">
      <w:pPr>
        <w:bidi w:val="0"/>
        <w:rPr>
          <w:rFonts w:hint="eastAsia"/>
          <w:sz w:val="30"/>
          <w:szCs w:val="30"/>
        </w:rPr>
      </w:pPr>
    </w:p>
    <w:p w14:paraId="5A6DE9F9">
      <w:pPr>
        <w:bidi w:val="0"/>
        <w:rPr>
          <w:rFonts w:hint="eastAsia"/>
          <w:sz w:val="30"/>
          <w:szCs w:val="30"/>
        </w:rPr>
      </w:pPr>
      <w:r>
        <w:rPr>
          <w:rFonts w:hint="eastAsia"/>
          <w:sz w:val="30"/>
          <w:szCs w:val="30"/>
        </w:rPr>
        <w:t>Progressive Dispensationalism, 31f, 625, 629, 687</w:t>
      </w:r>
    </w:p>
    <w:p w14:paraId="1B117FB1">
      <w:pPr>
        <w:bidi w:val="0"/>
        <w:rPr>
          <w:rFonts w:hint="eastAsia"/>
          <w:sz w:val="30"/>
          <w:szCs w:val="30"/>
        </w:rPr>
      </w:pPr>
    </w:p>
    <w:p w14:paraId="6F147445">
      <w:pPr>
        <w:bidi w:val="0"/>
        <w:rPr>
          <w:rFonts w:hint="eastAsia"/>
          <w:sz w:val="30"/>
          <w:szCs w:val="30"/>
        </w:rPr>
      </w:pPr>
      <w:r>
        <w:rPr>
          <w:rFonts w:hint="eastAsia"/>
          <w:sz w:val="30"/>
          <w:szCs w:val="30"/>
        </w:rPr>
        <w:t>渐进式时代论，31f, 625, 629, 687</w:t>
      </w:r>
    </w:p>
    <w:p w14:paraId="033D637C">
      <w:pPr>
        <w:bidi w:val="0"/>
        <w:rPr>
          <w:rFonts w:hint="eastAsia"/>
          <w:sz w:val="30"/>
          <w:szCs w:val="30"/>
        </w:rPr>
      </w:pPr>
    </w:p>
    <w:p w14:paraId="39B6FC11">
      <w:pPr>
        <w:bidi w:val="0"/>
        <w:rPr>
          <w:rFonts w:hint="eastAsia"/>
          <w:sz w:val="30"/>
          <w:szCs w:val="30"/>
        </w:rPr>
      </w:pPr>
      <w:r>
        <w:rPr>
          <w:rFonts w:hint="eastAsia"/>
          <w:sz w:val="30"/>
          <w:szCs w:val="30"/>
        </w:rPr>
        <w:t>Progressive parallelism, 430f, 441, 470, 501</w:t>
      </w:r>
    </w:p>
    <w:p w14:paraId="4C4CDDEA">
      <w:pPr>
        <w:bidi w:val="0"/>
        <w:rPr>
          <w:rFonts w:hint="eastAsia"/>
          <w:sz w:val="30"/>
          <w:szCs w:val="30"/>
        </w:rPr>
      </w:pPr>
    </w:p>
    <w:p w14:paraId="0BAB9708">
      <w:pPr>
        <w:bidi w:val="0"/>
        <w:rPr>
          <w:rFonts w:hint="eastAsia"/>
          <w:sz w:val="30"/>
          <w:szCs w:val="30"/>
        </w:rPr>
      </w:pPr>
      <w:r>
        <w:rPr>
          <w:rFonts w:hint="eastAsia"/>
          <w:sz w:val="30"/>
          <w:szCs w:val="30"/>
        </w:rPr>
        <w:t>渐进平行法，430f, 441, 470, 501</w:t>
      </w:r>
    </w:p>
    <w:p w14:paraId="344CC958">
      <w:pPr>
        <w:bidi w:val="0"/>
        <w:rPr>
          <w:rFonts w:hint="eastAsia"/>
          <w:sz w:val="30"/>
          <w:szCs w:val="30"/>
        </w:rPr>
      </w:pPr>
    </w:p>
    <w:p w14:paraId="2F6C17C4">
      <w:pPr>
        <w:bidi w:val="0"/>
        <w:rPr>
          <w:rFonts w:hint="eastAsia"/>
          <w:sz w:val="30"/>
          <w:szCs w:val="30"/>
        </w:rPr>
      </w:pPr>
      <w:r>
        <w:rPr>
          <w:rFonts w:hint="eastAsia"/>
          <w:sz w:val="30"/>
          <w:szCs w:val="30"/>
        </w:rPr>
        <w:t>Progressive revelation, 41f; and NCH, 46f; in the Revelation, 430</w:t>
      </w:r>
    </w:p>
    <w:p w14:paraId="6B9E964A">
      <w:pPr>
        <w:bidi w:val="0"/>
        <w:rPr>
          <w:rFonts w:hint="eastAsia"/>
          <w:sz w:val="30"/>
          <w:szCs w:val="30"/>
        </w:rPr>
      </w:pPr>
    </w:p>
    <w:p w14:paraId="62C3B1D3">
      <w:pPr>
        <w:bidi w:val="0"/>
        <w:rPr>
          <w:rFonts w:hint="eastAsia"/>
          <w:sz w:val="30"/>
          <w:szCs w:val="30"/>
        </w:rPr>
      </w:pPr>
      <w:r>
        <w:rPr>
          <w:rFonts w:hint="eastAsia"/>
          <w:sz w:val="30"/>
          <w:szCs w:val="30"/>
        </w:rPr>
        <w:t>渐进性启示，41f；与NCH，46f；在启示录中，430</w:t>
      </w:r>
    </w:p>
    <w:p w14:paraId="5634E830">
      <w:pPr>
        <w:bidi w:val="0"/>
        <w:rPr>
          <w:rFonts w:hint="eastAsia"/>
          <w:sz w:val="30"/>
          <w:szCs w:val="30"/>
        </w:rPr>
      </w:pPr>
    </w:p>
    <w:p w14:paraId="4545D934">
      <w:pPr>
        <w:bidi w:val="0"/>
        <w:rPr>
          <w:rFonts w:hint="eastAsia"/>
          <w:sz w:val="30"/>
          <w:szCs w:val="30"/>
        </w:rPr>
      </w:pPr>
      <w:r>
        <w:rPr>
          <w:rFonts w:hint="eastAsia"/>
          <w:sz w:val="30"/>
          <w:szCs w:val="30"/>
        </w:rPr>
        <w:t>Prophecy, Simple vs. Kingdom, 252f, 656</w:t>
      </w:r>
    </w:p>
    <w:p w14:paraId="6CD533D3">
      <w:pPr>
        <w:bidi w:val="0"/>
        <w:rPr>
          <w:rFonts w:hint="eastAsia"/>
          <w:sz w:val="30"/>
          <w:szCs w:val="30"/>
        </w:rPr>
      </w:pPr>
    </w:p>
    <w:p w14:paraId="00080CA8">
      <w:pPr>
        <w:bidi w:val="0"/>
        <w:rPr>
          <w:rFonts w:hint="eastAsia"/>
          <w:sz w:val="30"/>
          <w:szCs w:val="30"/>
        </w:rPr>
      </w:pPr>
      <w:r>
        <w:rPr>
          <w:rFonts w:hint="eastAsia"/>
          <w:sz w:val="30"/>
          <w:szCs w:val="30"/>
        </w:rPr>
        <w:t>预言，简单的 vs. 国度的，252f, 656</w:t>
      </w:r>
    </w:p>
    <w:p w14:paraId="55523658">
      <w:pPr>
        <w:bidi w:val="0"/>
        <w:rPr>
          <w:rFonts w:hint="eastAsia"/>
          <w:sz w:val="30"/>
          <w:szCs w:val="30"/>
        </w:rPr>
      </w:pPr>
    </w:p>
    <w:p w14:paraId="7065B79D">
      <w:pPr>
        <w:bidi w:val="0"/>
        <w:rPr>
          <w:rFonts w:hint="eastAsia"/>
          <w:sz w:val="30"/>
          <w:szCs w:val="30"/>
        </w:rPr>
      </w:pPr>
      <w:r>
        <w:rPr>
          <w:rFonts w:hint="eastAsia"/>
          <w:sz w:val="30"/>
          <w:szCs w:val="30"/>
        </w:rPr>
        <w:t>Prophetic literalism, defined, 15f; 32, 37, 51; problems with, 187-228, 615, 629; eschewed by apostles, 258f; fails to open OTKP, 281-408; and the Revelation, 421f, 468, 474, 479</w:t>
      </w:r>
    </w:p>
    <w:p w14:paraId="49E9FAC5">
      <w:pPr>
        <w:bidi w:val="0"/>
        <w:rPr>
          <w:rFonts w:hint="eastAsia"/>
          <w:sz w:val="30"/>
          <w:szCs w:val="30"/>
        </w:rPr>
      </w:pPr>
    </w:p>
    <w:p w14:paraId="1BD5CC2E">
      <w:pPr>
        <w:bidi w:val="0"/>
        <w:rPr>
          <w:rFonts w:hint="eastAsia"/>
          <w:sz w:val="30"/>
          <w:szCs w:val="30"/>
        </w:rPr>
      </w:pPr>
      <w:r>
        <w:rPr>
          <w:rFonts w:hint="eastAsia"/>
          <w:sz w:val="30"/>
          <w:szCs w:val="30"/>
        </w:rPr>
        <w:t>预言字面主义，定义，15f；32, 37, 51；其问题，187-228, 615, 629；为使徒所回避，258f；未能开启OTKP，281-408；与启示录，421f, 468, 474, 479</w:t>
      </w:r>
    </w:p>
    <w:p w14:paraId="2C293C25">
      <w:pPr>
        <w:bidi w:val="0"/>
        <w:rPr>
          <w:rFonts w:hint="eastAsia"/>
          <w:sz w:val="30"/>
          <w:szCs w:val="30"/>
        </w:rPr>
      </w:pPr>
    </w:p>
    <w:p w14:paraId="3656D9B5">
      <w:pPr>
        <w:bidi w:val="0"/>
        <w:rPr>
          <w:rFonts w:hint="eastAsia"/>
          <w:sz w:val="30"/>
          <w:szCs w:val="30"/>
        </w:rPr>
      </w:pPr>
      <w:r>
        <w:rPr>
          <w:rFonts w:hint="eastAsia"/>
          <w:sz w:val="30"/>
          <w:szCs w:val="30"/>
        </w:rPr>
        <w:t>Protoevangelium (Genesis 3:15), 107f; 209, 229f</w:t>
      </w:r>
    </w:p>
    <w:p w14:paraId="7A2F3C92">
      <w:pPr>
        <w:bidi w:val="0"/>
        <w:rPr>
          <w:rFonts w:hint="eastAsia"/>
          <w:sz w:val="30"/>
          <w:szCs w:val="30"/>
        </w:rPr>
      </w:pPr>
    </w:p>
    <w:p w14:paraId="6984F842">
      <w:pPr>
        <w:bidi w:val="0"/>
        <w:rPr>
          <w:b/>
        </w:rPr>
      </w:pPr>
      <w:r>
        <w:rPr>
          <w:rFonts w:hint="eastAsia"/>
          <w:sz w:val="30"/>
          <w:szCs w:val="30"/>
        </w:rPr>
        <w:t>原始福音（创世记 3:15），107f；209, 229f</w:t>
      </w:r>
    </w:p>
    <w:p w14:paraId="28FB5639">
      <w:pPr>
        <w:pStyle w:val="5"/>
        <w:spacing w:before="63"/>
      </w:pPr>
      <w:r>
        <w:rPr>
          <w:color w:val="231F20"/>
          <w:spacing w:val="-10"/>
        </w:rPr>
        <w:t>R</w:t>
      </w:r>
    </w:p>
    <w:p w14:paraId="0EC9EDA1">
      <w:pPr>
        <w:bidi w:val="0"/>
        <w:rPr>
          <w:rFonts w:hint="eastAsia"/>
        </w:rPr>
      </w:pPr>
    </w:p>
    <w:p w14:paraId="50188C27">
      <w:pPr>
        <w:bidi w:val="0"/>
        <w:rPr>
          <w:rFonts w:hint="eastAsia"/>
          <w:sz w:val="30"/>
          <w:szCs w:val="30"/>
        </w:rPr>
      </w:pPr>
      <w:r>
        <w:rPr>
          <w:rFonts w:hint="eastAsia"/>
          <w:sz w:val="30"/>
          <w:szCs w:val="30"/>
        </w:rPr>
        <w:t>“Rapture” (Catching Up and Gathering Together of the glorified saints to meet the returning Lord in the air), 8, 139, 512, 563f, 576; and Dispensationalism, (see, Pre-tribulation Rapture)</w:t>
      </w:r>
    </w:p>
    <w:p w14:paraId="4252D34B">
      <w:pPr>
        <w:bidi w:val="0"/>
        <w:rPr>
          <w:rFonts w:hint="eastAsia"/>
          <w:sz w:val="30"/>
          <w:szCs w:val="30"/>
        </w:rPr>
      </w:pPr>
    </w:p>
    <w:p w14:paraId="5E7341AB">
      <w:pPr>
        <w:bidi w:val="0"/>
        <w:rPr>
          <w:rFonts w:hint="eastAsia"/>
          <w:sz w:val="30"/>
          <w:szCs w:val="30"/>
        </w:rPr>
      </w:pPr>
      <w:r>
        <w:rPr>
          <w:rFonts w:hint="eastAsia"/>
          <w:sz w:val="30"/>
          <w:szCs w:val="30"/>
        </w:rPr>
        <w:t>“被提”（得荣耀的圣徒被提、聚集，在空中与再来的主相遇），8, 139, 512, 563f, 576；与时代论，（参见，灾前被提）</w:t>
      </w:r>
    </w:p>
    <w:p w14:paraId="769DEF80">
      <w:pPr>
        <w:bidi w:val="0"/>
        <w:rPr>
          <w:rFonts w:hint="eastAsia"/>
          <w:sz w:val="30"/>
          <w:szCs w:val="30"/>
        </w:rPr>
      </w:pPr>
    </w:p>
    <w:p w14:paraId="243DD30B">
      <w:pPr>
        <w:bidi w:val="0"/>
        <w:rPr>
          <w:rFonts w:hint="eastAsia"/>
          <w:sz w:val="30"/>
          <w:szCs w:val="30"/>
        </w:rPr>
      </w:pPr>
      <w:r>
        <w:rPr>
          <w:rFonts w:hint="eastAsia"/>
          <w:sz w:val="30"/>
          <w:szCs w:val="30"/>
        </w:rPr>
        <w:t>Rebellion (Greek, apostasia), 557, 597, 609</w:t>
      </w:r>
    </w:p>
    <w:p w14:paraId="44F44871">
      <w:pPr>
        <w:bidi w:val="0"/>
        <w:rPr>
          <w:rFonts w:hint="eastAsia"/>
          <w:sz w:val="30"/>
          <w:szCs w:val="30"/>
        </w:rPr>
      </w:pPr>
    </w:p>
    <w:p w14:paraId="7791DB40">
      <w:pPr>
        <w:bidi w:val="0"/>
        <w:rPr>
          <w:rFonts w:hint="eastAsia"/>
          <w:sz w:val="30"/>
          <w:szCs w:val="30"/>
        </w:rPr>
      </w:pPr>
      <w:r>
        <w:rPr>
          <w:rFonts w:hint="eastAsia"/>
          <w:sz w:val="30"/>
          <w:szCs w:val="30"/>
        </w:rPr>
        <w:t>背道（希腊文，apostasia），557, 597, 609</w:t>
      </w:r>
    </w:p>
    <w:p w14:paraId="289D9F6D">
      <w:pPr>
        <w:bidi w:val="0"/>
        <w:rPr>
          <w:rFonts w:hint="eastAsia"/>
          <w:sz w:val="30"/>
          <w:szCs w:val="30"/>
        </w:rPr>
      </w:pPr>
    </w:p>
    <w:p w14:paraId="11A61DCE">
      <w:pPr>
        <w:bidi w:val="0"/>
        <w:rPr>
          <w:rFonts w:hint="eastAsia"/>
          <w:sz w:val="30"/>
          <w:szCs w:val="30"/>
        </w:rPr>
      </w:pPr>
      <w:r>
        <w:rPr>
          <w:rFonts w:hint="eastAsia"/>
          <w:sz w:val="30"/>
          <w:szCs w:val="30"/>
        </w:rPr>
        <w:t>Recapitulation, in COR, 95f; in the Revelation, 423f, 428, 464f, 474, 501</w:t>
      </w:r>
    </w:p>
    <w:p w14:paraId="1AAF185F">
      <w:pPr>
        <w:bidi w:val="0"/>
        <w:rPr>
          <w:rFonts w:hint="eastAsia"/>
          <w:sz w:val="30"/>
          <w:szCs w:val="30"/>
        </w:rPr>
      </w:pPr>
    </w:p>
    <w:p w14:paraId="7E70FCCE">
      <w:pPr>
        <w:bidi w:val="0"/>
        <w:rPr>
          <w:rFonts w:hint="eastAsia"/>
          <w:sz w:val="30"/>
          <w:szCs w:val="30"/>
        </w:rPr>
      </w:pPr>
      <w:r>
        <w:rPr>
          <w:rFonts w:hint="eastAsia"/>
          <w:sz w:val="30"/>
          <w:szCs w:val="30"/>
        </w:rPr>
        <w:t>总述，在COR中，95f；在启示录中，423f, 428, 464f, 474, 501</w:t>
      </w:r>
    </w:p>
    <w:p w14:paraId="31040E74">
      <w:pPr>
        <w:bidi w:val="0"/>
        <w:rPr>
          <w:rFonts w:hint="eastAsia"/>
          <w:sz w:val="30"/>
          <w:szCs w:val="30"/>
        </w:rPr>
      </w:pPr>
    </w:p>
    <w:p w14:paraId="2DEBAAC8">
      <w:pPr>
        <w:bidi w:val="0"/>
        <w:rPr>
          <w:rFonts w:hint="eastAsia"/>
          <w:sz w:val="30"/>
          <w:szCs w:val="30"/>
        </w:rPr>
      </w:pPr>
      <w:r>
        <w:rPr>
          <w:rFonts w:hint="eastAsia"/>
          <w:sz w:val="30"/>
          <w:szCs w:val="30"/>
        </w:rPr>
        <w:t>Redemption, and Biblical Eschatology, 6; and the Kingdom, 58f; stages of, 128f; accomplished, 158f; applied, 161f; consummated, 162; diagrams of progress of, 165</w:t>
      </w:r>
    </w:p>
    <w:p w14:paraId="6EAC01A6">
      <w:pPr>
        <w:bidi w:val="0"/>
        <w:rPr>
          <w:rFonts w:hint="eastAsia"/>
          <w:sz w:val="30"/>
          <w:szCs w:val="30"/>
        </w:rPr>
      </w:pPr>
    </w:p>
    <w:p w14:paraId="15C28462">
      <w:pPr>
        <w:bidi w:val="0"/>
        <w:rPr>
          <w:rFonts w:hint="eastAsia"/>
          <w:sz w:val="30"/>
          <w:szCs w:val="30"/>
        </w:rPr>
      </w:pPr>
      <w:r>
        <w:rPr>
          <w:rFonts w:hint="eastAsia"/>
          <w:sz w:val="30"/>
          <w:szCs w:val="30"/>
        </w:rPr>
        <w:t>救赎，与圣经末世论，6；与国度，58f；其阶段，128f；已成就的，158f；已施行的，161f；已成全的，162；其进程图，165</w:t>
      </w:r>
    </w:p>
    <w:p w14:paraId="1CA6C9D6">
      <w:pPr>
        <w:bidi w:val="0"/>
        <w:rPr>
          <w:rFonts w:hint="eastAsia"/>
          <w:sz w:val="30"/>
          <w:szCs w:val="30"/>
        </w:rPr>
      </w:pPr>
    </w:p>
    <w:p w14:paraId="06B51288">
      <w:pPr>
        <w:bidi w:val="0"/>
        <w:rPr>
          <w:rFonts w:hint="eastAsia"/>
          <w:sz w:val="30"/>
          <w:szCs w:val="30"/>
        </w:rPr>
      </w:pPr>
      <w:r>
        <w:rPr>
          <w:rFonts w:hint="eastAsia"/>
          <w:sz w:val="30"/>
          <w:szCs w:val="30"/>
        </w:rPr>
        <w:t>Regeneration (the), defined, 512, 601f; in Ezekiel, 346; unity of, 519; NT texts on, 529, 546; in the Revelation, 436, 487, 497f; (see, WTC)</w:t>
      </w:r>
    </w:p>
    <w:p w14:paraId="21C895D2">
      <w:pPr>
        <w:bidi w:val="0"/>
        <w:rPr>
          <w:rFonts w:hint="eastAsia"/>
          <w:sz w:val="30"/>
          <w:szCs w:val="30"/>
        </w:rPr>
      </w:pPr>
    </w:p>
    <w:p w14:paraId="6C903ED5">
      <w:pPr>
        <w:bidi w:val="0"/>
        <w:rPr>
          <w:rFonts w:hint="eastAsia"/>
          <w:sz w:val="30"/>
          <w:szCs w:val="30"/>
        </w:rPr>
      </w:pPr>
      <w:r>
        <w:rPr>
          <w:rFonts w:hint="eastAsia"/>
          <w:sz w:val="30"/>
          <w:szCs w:val="30"/>
        </w:rPr>
        <w:t>复兴，定义，512, 601f；在以西结书中，346；其合一性，519；其新约经文，529, 546；在启示录中，436, 487, 497f；（参见，WTC）</w:t>
      </w:r>
    </w:p>
    <w:p w14:paraId="5B065A0A">
      <w:pPr>
        <w:bidi w:val="0"/>
        <w:rPr>
          <w:rFonts w:hint="eastAsia"/>
          <w:sz w:val="30"/>
          <w:szCs w:val="30"/>
        </w:rPr>
      </w:pPr>
    </w:p>
    <w:p w14:paraId="4B4F1BDC">
      <w:pPr>
        <w:bidi w:val="0"/>
        <w:rPr>
          <w:rFonts w:hint="eastAsia"/>
          <w:sz w:val="30"/>
          <w:szCs w:val="30"/>
        </w:rPr>
      </w:pPr>
      <w:r>
        <w:rPr>
          <w:rFonts w:hint="eastAsia"/>
          <w:sz w:val="30"/>
          <w:szCs w:val="30"/>
        </w:rPr>
        <w:t>Release (of Satan at end of the Age), 475, 486f</w:t>
      </w:r>
    </w:p>
    <w:p w14:paraId="5BCA3D5A">
      <w:pPr>
        <w:bidi w:val="0"/>
        <w:rPr>
          <w:rFonts w:hint="eastAsia"/>
          <w:sz w:val="30"/>
          <w:szCs w:val="30"/>
        </w:rPr>
      </w:pPr>
    </w:p>
    <w:p w14:paraId="4BFAD73F">
      <w:pPr>
        <w:bidi w:val="0"/>
        <w:rPr>
          <w:rFonts w:hint="eastAsia"/>
          <w:sz w:val="30"/>
          <w:szCs w:val="30"/>
        </w:rPr>
      </w:pPr>
      <w:r>
        <w:rPr>
          <w:rFonts w:hint="eastAsia"/>
          <w:sz w:val="30"/>
          <w:szCs w:val="30"/>
        </w:rPr>
        <w:t>释放（撒但的，在世代末了），475, 486f</w:t>
      </w:r>
    </w:p>
    <w:p w14:paraId="382476CE">
      <w:pPr>
        <w:bidi w:val="0"/>
        <w:rPr>
          <w:rFonts w:hint="eastAsia"/>
          <w:sz w:val="30"/>
          <w:szCs w:val="30"/>
        </w:rPr>
      </w:pPr>
    </w:p>
    <w:p w14:paraId="28235794">
      <w:pPr>
        <w:bidi w:val="0"/>
        <w:rPr>
          <w:rFonts w:hint="eastAsia"/>
          <w:sz w:val="30"/>
          <w:szCs w:val="30"/>
        </w:rPr>
      </w:pPr>
      <w:r>
        <w:rPr>
          <w:rFonts w:hint="eastAsia"/>
          <w:sz w:val="30"/>
          <w:szCs w:val="30"/>
        </w:rPr>
        <w:t>Remnant (Jewish), foundation of NT Church, 195, 212, 256, 267, 299, 381f; type of Church in OTKP, 10, 123, 195, 248, 256, 264, 268, 285, 290, 296, 301, 310f, 314f; perennial members of Church, 265, 267, 301, 394, 314, 547</w:t>
      </w:r>
    </w:p>
    <w:p w14:paraId="2B62D9C1">
      <w:pPr>
        <w:bidi w:val="0"/>
        <w:rPr>
          <w:rFonts w:hint="eastAsia"/>
          <w:sz w:val="30"/>
          <w:szCs w:val="30"/>
        </w:rPr>
      </w:pPr>
    </w:p>
    <w:p w14:paraId="3B3CECAF">
      <w:pPr>
        <w:bidi w:val="0"/>
        <w:rPr>
          <w:rFonts w:hint="eastAsia"/>
          <w:sz w:val="30"/>
          <w:szCs w:val="30"/>
        </w:rPr>
      </w:pPr>
      <w:r>
        <w:rPr>
          <w:rFonts w:hint="eastAsia"/>
          <w:sz w:val="30"/>
          <w:szCs w:val="30"/>
        </w:rPr>
        <w:t>余民（犹太的），新约教会的根基，195, 212, 256, 267, 299, 381f；在OTKP中教会的预表，10, 123, 195, 248, 256, 264, 268, 285, 290, 296, 301, 310f, 314f；教会中历代常有的成员，265, 267, 301, 394, 314, 547</w:t>
      </w:r>
    </w:p>
    <w:p w14:paraId="0F7CFB22">
      <w:pPr>
        <w:bidi w:val="0"/>
        <w:rPr>
          <w:rFonts w:hint="eastAsia"/>
          <w:sz w:val="30"/>
          <w:szCs w:val="30"/>
        </w:rPr>
      </w:pPr>
    </w:p>
    <w:p w14:paraId="7F6B48E1">
      <w:pPr>
        <w:bidi w:val="0"/>
        <w:rPr>
          <w:rFonts w:hint="eastAsia"/>
          <w:sz w:val="30"/>
          <w:szCs w:val="30"/>
        </w:rPr>
      </w:pPr>
      <w:r>
        <w:rPr>
          <w:rFonts w:hint="eastAsia"/>
          <w:sz w:val="30"/>
          <w:szCs w:val="30"/>
        </w:rPr>
        <w:t>Replacement, of Old Covenant with New, 67f, 180f, 238f; of national Israel with Church, 68, 117, 193, 242f; of old cosmos with new, 278</w:t>
      </w:r>
    </w:p>
    <w:p w14:paraId="1881544C">
      <w:pPr>
        <w:bidi w:val="0"/>
        <w:rPr>
          <w:rFonts w:hint="eastAsia"/>
          <w:sz w:val="30"/>
          <w:szCs w:val="30"/>
        </w:rPr>
      </w:pPr>
    </w:p>
    <w:p w14:paraId="6C419D21">
      <w:pPr>
        <w:bidi w:val="0"/>
        <w:rPr>
          <w:rFonts w:hint="eastAsia"/>
          <w:sz w:val="30"/>
          <w:szCs w:val="30"/>
        </w:rPr>
      </w:pPr>
      <w:r>
        <w:rPr>
          <w:rFonts w:hint="eastAsia"/>
          <w:sz w:val="30"/>
          <w:szCs w:val="30"/>
        </w:rPr>
        <w:t>取代，以新约取代旧约，67f, 180f, 238f；以教会取代以色列民族国家，68, 117, 193, 242f；以新宇宙取代旧宇宙，278</w:t>
      </w:r>
    </w:p>
    <w:p w14:paraId="2567F32C">
      <w:pPr>
        <w:bidi w:val="0"/>
        <w:rPr>
          <w:rFonts w:hint="eastAsia"/>
          <w:sz w:val="30"/>
          <w:szCs w:val="30"/>
        </w:rPr>
      </w:pPr>
    </w:p>
    <w:p w14:paraId="78FFA4D1">
      <w:pPr>
        <w:bidi w:val="0"/>
        <w:rPr>
          <w:rFonts w:hint="eastAsia"/>
          <w:sz w:val="30"/>
          <w:szCs w:val="30"/>
        </w:rPr>
      </w:pPr>
      <w:r>
        <w:rPr>
          <w:rFonts w:hint="eastAsia"/>
          <w:sz w:val="30"/>
          <w:szCs w:val="30"/>
        </w:rPr>
        <w:t>Representative OT Idea of the Kingdom, defined, 11; 190f; difficulties in accepting, 12; and Jesus’ teaching, 65f; apostolic understanding of, 228f</w:t>
      </w:r>
    </w:p>
    <w:p w14:paraId="486C193E">
      <w:pPr>
        <w:bidi w:val="0"/>
        <w:rPr>
          <w:rFonts w:hint="eastAsia"/>
          <w:sz w:val="30"/>
          <w:szCs w:val="30"/>
        </w:rPr>
      </w:pPr>
    </w:p>
    <w:p w14:paraId="5C075824">
      <w:pPr>
        <w:bidi w:val="0"/>
        <w:rPr>
          <w:rFonts w:hint="eastAsia"/>
          <w:sz w:val="30"/>
          <w:szCs w:val="30"/>
        </w:rPr>
      </w:pPr>
      <w:r>
        <w:rPr>
          <w:rFonts w:hint="eastAsia"/>
          <w:sz w:val="30"/>
          <w:szCs w:val="30"/>
        </w:rPr>
        <w:t>国度的代表性旧约理念，定义，11；190f；接受上的困难，12；与耶稣的教导，65f；使徒的理解，228f</w:t>
      </w:r>
    </w:p>
    <w:p w14:paraId="498D5F50">
      <w:pPr>
        <w:bidi w:val="0"/>
        <w:rPr>
          <w:rFonts w:hint="eastAsia"/>
          <w:sz w:val="30"/>
          <w:szCs w:val="30"/>
        </w:rPr>
      </w:pPr>
    </w:p>
    <w:p w14:paraId="7FA2443D">
      <w:pPr>
        <w:bidi w:val="0"/>
        <w:rPr>
          <w:rFonts w:hint="eastAsia"/>
          <w:sz w:val="30"/>
          <w:szCs w:val="30"/>
        </w:rPr>
      </w:pPr>
      <w:r>
        <w:rPr>
          <w:rFonts w:hint="eastAsia"/>
          <w:sz w:val="30"/>
          <w:szCs w:val="30"/>
        </w:rPr>
        <w:t>Restoration, of eschatological “Israel”, 123f, 189, 192, 206, 216f, 220f, 290f, 298, 306f, 365f, 380f; of all things xx, 36, 146f, 179, 346, 398, 512, 546, 556 (see, Cosmic Transformation, Regeneration)</w:t>
      </w:r>
    </w:p>
    <w:p w14:paraId="6E3B3D68">
      <w:pPr>
        <w:bidi w:val="0"/>
        <w:rPr>
          <w:rFonts w:hint="eastAsia"/>
          <w:sz w:val="30"/>
          <w:szCs w:val="30"/>
        </w:rPr>
      </w:pPr>
    </w:p>
    <w:p w14:paraId="799E6A29">
      <w:pPr>
        <w:bidi w:val="0"/>
        <w:rPr>
          <w:rFonts w:hint="eastAsia"/>
          <w:sz w:val="30"/>
          <w:szCs w:val="30"/>
        </w:rPr>
      </w:pPr>
      <w:r>
        <w:rPr>
          <w:rFonts w:hint="eastAsia"/>
          <w:sz w:val="30"/>
          <w:szCs w:val="30"/>
        </w:rPr>
        <w:t>恢复，末世性“以色列”的，123f, 189, 192, 206, 216f, 220f, 290f, 298, 306f, 365f, 380f；万物的复兴 xx, 36, 146f, 179, 346, 398, 512, 546, 556（参见，宇宙的更新，复兴）</w:t>
      </w:r>
    </w:p>
    <w:p w14:paraId="002392DE">
      <w:pPr>
        <w:bidi w:val="0"/>
        <w:rPr>
          <w:rFonts w:hint="eastAsia"/>
          <w:sz w:val="30"/>
          <w:szCs w:val="30"/>
        </w:rPr>
      </w:pPr>
    </w:p>
    <w:p w14:paraId="4A50205D">
      <w:pPr>
        <w:bidi w:val="0"/>
        <w:rPr>
          <w:rFonts w:hint="eastAsia"/>
          <w:sz w:val="30"/>
          <w:szCs w:val="30"/>
        </w:rPr>
      </w:pPr>
      <w:r>
        <w:rPr>
          <w:rFonts w:hint="eastAsia"/>
          <w:sz w:val="30"/>
          <w:szCs w:val="30"/>
        </w:rPr>
        <w:t>Restrainer, 578f</w:t>
      </w:r>
    </w:p>
    <w:p w14:paraId="4AB6AC30">
      <w:pPr>
        <w:bidi w:val="0"/>
        <w:rPr>
          <w:rFonts w:hint="eastAsia"/>
          <w:sz w:val="30"/>
          <w:szCs w:val="30"/>
        </w:rPr>
      </w:pPr>
    </w:p>
    <w:p w14:paraId="00F5160F">
      <w:pPr>
        <w:bidi w:val="0"/>
        <w:rPr>
          <w:rFonts w:hint="eastAsia"/>
          <w:sz w:val="30"/>
          <w:szCs w:val="30"/>
        </w:rPr>
      </w:pPr>
      <w:r>
        <w:rPr>
          <w:rFonts w:hint="eastAsia"/>
          <w:sz w:val="30"/>
          <w:szCs w:val="30"/>
        </w:rPr>
        <w:t>那拦阻者，578f</w:t>
      </w:r>
    </w:p>
    <w:p w14:paraId="722F695A">
      <w:pPr>
        <w:bidi w:val="0"/>
        <w:rPr>
          <w:rFonts w:hint="eastAsia"/>
          <w:sz w:val="30"/>
          <w:szCs w:val="30"/>
        </w:rPr>
      </w:pPr>
    </w:p>
    <w:p w14:paraId="3AF360F2">
      <w:pPr>
        <w:bidi w:val="0"/>
        <w:rPr>
          <w:rFonts w:hint="eastAsia"/>
          <w:sz w:val="30"/>
          <w:szCs w:val="30"/>
        </w:rPr>
      </w:pPr>
      <w:r>
        <w:rPr>
          <w:rFonts w:hint="eastAsia"/>
          <w:sz w:val="30"/>
          <w:szCs w:val="30"/>
        </w:rPr>
        <w:t>Resurrection (of the body), overview of, 597; unity of, 512, 516; Christ, Agent of, 136, 516; at Parousia, 521f; and Cosmic Transformation, 518; in OT, 210, 289, 312, 338; in NT, 147, 462, 495, 540, 554, 557, 562</w:t>
      </w:r>
    </w:p>
    <w:p w14:paraId="5125EE4F">
      <w:pPr>
        <w:bidi w:val="0"/>
        <w:rPr>
          <w:rFonts w:hint="eastAsia"/>
          <w:sz w:val="30"/>
          <w:szCs w:val="30"/>
        </w:rPr>
      </w:pPr>
    </w:p>
    <w:p w14:paraId="1161A014">
      <w:pPr>
        <w:bidi w:val="0"/>
        <w:rPr>
          <w:rFonts w:hint="eastAsia"/>
          <w:sz w:val="30"/>
          <w:szCs w:val="30"/>
        </w:rPr>
      </w:pPr>
      <w:r>
        <w:rPr>
          <w:rFonts w:hint="eastAsia"/>
          <w:sz w:val="30"/>
          <w:szCs w:val="30"/>
        </w:rPr>
        <w:t>复活（身体的），概述，597；其合一性，512, 516；基督，其执行者，136, 516；在主再来时，521f；与宇宙的更新，518；在旧约中，210, 289, 312, 338；在新约中，147, 462, 495, 540, 554, 557, 562</w:t>
      </w:r>
    </w:p>
    <w:p w14:paraId="2A9841FD">
      <w:pPr>
        <w:bidi w:val="0"/>
        <w:rPr>
          <w:rFonts w:hint="eastAsia"/>
          <w:sz w:val="30"/>
          <w:szCs w:val="30"/>
        </w:rPr>
      </w:pPr>
    </w:p>
    <w:p w14:paraId="48D3A17D">
      <w:pPr>
        <w:bidi w:val="0"/>
        <w:rPr>
          <w:rFonts w:hint="eastAsia"/>
          <w:sz w:val="30"/>
          <w:szCs w:val="30"/>
        </w:rPr>
      </w:pPr>
      <w:r>
        <w:rPr>
          <w:rFonts w:hint="eastAsia"/>
          <w:sz w:val="30"/>
          <w:szCs w:val="30"/>
        </w:rPr>
        <w:t>Revelation (the), and Ezekiel, 352f; date of composition, 410; purpose and literary genre, 409f; structure and key symbols, 426; chapter 20, 465; Dispensational view of, 629</w:t>
      </w:r>
    </w:p>
    <w:p w14:paraId="7E5020E9">
      <w:pPr>
        <w:bidi w:val="0"/>
        <w:rPr>
          <w:rFonts w:hint="eastAsia"/>
          <w:sz w:val="30"/>
          <w:szCs w:val="30"/>
        </w:rPr>
      </w:pPr>
    </w:p>
    <w:p w14:paraId="0B69EF4F">
      <w:pPr>
        <w:bidi w:val="0"/>
        <w:rPr>
          <w:rFonts w:hint="eastAsia"/>
          <w:sz w:val="30"/>
          <w:szCs w:val="30"/>
        </w:rPr>
      </w:pPr>
      <w:r>
        <w:rPr>
          <w:rFonts w:hint="eastAsia"/>
          <w:sz w:val="30"/>
          <w:szCs w:val="30"/>
        </w:rPr>
        <w:t>启示录，与以西结书，352f；写作日期，410；目的与文学体裁，409f；结构与关键象征，426；第20章，465；时代论的观点，629</w:t>
      </w:r>
    </w:p>
    <w:p w14:paraId="5DB1C884">
      <w:pPr>
        <w:bidi w:val="0"/>
        <w:rPr>
          <w:rFonts w:hint="eastAsia"/>
          <w:sz w:val="30"/>
          <w:szCs w:val="30"/>
        </w:rPr>
      </w:pPr>
    </w:p>
    <w:p w14:paraId="733A8263">
      <w:pPr>
        <w:bidi w:val="0"/>
        <w:rPr>
          <w:rFonts w:hint="eastAsia"/>
          <w:sz w:val="30"/>
          <w:szCs w:val="30"/>
        </w:rPr>
      </w:pPr>
      <w:r>
        <w:rPr>
          <w:rFonts w:hint="eastAsia"/>
          <w:sz w:val="30"/>
          <w:szCs w:val="30"/>
        </w:rPr>
        <w:t>Rome, 57, 301, 357, 363, 393, 415, 459f, 642f</w:t>
      </w:r>
    </w:p>
    <w:p w14:paraId="59B7E911">
      <w:pPr>
        <w:bidi w:val="0"/>
        <w:rPr>
          <w:rFonts w:hint="eastAsia"/>
          <w:sz w:val="30"/>
          <w:szCs w:val="30"/>
        </w:rPr>
      </w:pPr>
    </w:p>
    <w:p w14:paraId="276ED0CE">
      <w:pPr>
        <w:bidi w:val="0"/>
        <w:rPr>
          <w:sz w:val="30"/>
          <w:szCs w:val="30"/>
        </w:rPr>
      </w:pPr>
      <w:r>
        <w:rPr>
          <w:rFonts w:hint="eastAsia"/>
          <w:sz w:val="30"/>
          <w:szCs w:val="30"/>
        </w:rPr>
        <w:t>罗马，57, 301, 357, 363, 393, 415, 459f, 642f</w:t>
      </w:r>
    </w:p>
    <w:p w14:paraId="3CBC9973">
      <w:pPr>
        <w:pStyle w:val="5"/>
        <w:spacing w:before="215"/>
        <w:rPr>
          <w:color w:val="231F20"/>
          <w:spacing w:val="-10"/>
        </w:rPr>
      </w:pPr>
      <w:r>
        <w:rPr>
          <w:color w:val="231F20"/>
          <w:spacing w:val="-10"/>
        </w:rPr>
        <w:t>S</w:t>
      </w:r>
    </w:p>
    <w:p w14:paraId="2144574B">
      <w:pPr>
        <w:bidi w:val="0"/>
        <w:rPr>
          <w:rFonts w:hint="eastAsia"/>
          <w:sz w:val="30"/>
          <w:szCs w:val="30"/>
        </w:rPr>
      </w:pPr>
    </w:p>
    <w:p w14:paraId="3DFC2F97">
      <w:pPr>
        <w:bidi w:val="0"/>
        <w:rPr>
          <w:rFonts w:hint="eastAsia"/>
          <w:sz w:val="30"/>
          <w:szCs w:val="30"/>
        </w:rPr>
      </w:pPr>
      <w:r>
        <w:rPr>
          <w:rFonts w:hint="eastAsia"/>
          <w:sz w:val="30"/>
          <w:szCs w:val="30"/>
        </w:rPr>
        <w:t>Sabbath, in OTKP, 12, 202, 210, 225, 327, 335, 342; as type of Christ and/or the eschaton, 68, 232, 497</w:t>
      </w:r>
    </w:p>
    <w:p w14:paraId="47AFCFAB">
      <w:pPr>
        <w:bidi w:val="0"/>
        <w:rPr>
          <w:rFonts w:hint="eastAsia"/>
          <w:sz w:val="30"/>
          <w:szCs w:val="30"/>
        </w:rPr>
      </w:pPr>
    </w:p>
    <w:p w14:paraId="2A2AD6F2">
      <w:pPr>
        <w:bidi w:val="0"/>
        <w:rPr>
          <w:rFonts w:hint="eastAsia"/>
          <w:sz w:val="30"/>
          <w:szCs w:val="30"/>
        </w:rPr>
      </w:pPr>
      <w:r>
        <w:rPr>
          <w:rFonts w:hint="eastAsia"/>
          <w:sz w:val="30"/>
          <w:szCs w:val="30"/>
        </w:rPr>
        <w:t>安息日，在OTKP中，12, 202, 210, 225, 327, 335, 342；作为基督和/或末世的预表，68, 232, 497</w:t>
      </w:r>
    </w:p>
    <w:p w14:paraId="4217E907">
      <w:pPr>
        <w:bidi w:val="0"/>
        <w:rPr>
          <w:rFonts w:hint="eastAsia"/>
          <w:sz w:val="30"/>
          <w:szCs w:val="30"/>
        </w:rPr>
      </w:pPr>
    </w:p>
    <w:p w14:paraId="010209F0">
      <w:pPr>
        <w:bidi w:val="0"/>
        <w:rPr>
          <w:rFonts w:hint="eastAsia"/>
          <w:sz w:val="30"/>
          <w:szCs w:val="30"/>
        </w:rPr>
      </w:pPr>
      <w:r>
        <w:rPr>
          <w:rFonts w:hint="eastAsia"/>
          <w:sz w:val="30"/>
          <w:szCs w:val="30"/>
        </w:rPr>
        <w:t>Salvation History, defined, 4; Beginner’s Version of, 5f; evangelical versions of, 20f; and the Fall, 83; and the EC, 99f; timelines of, 165f; and Daniel, 356f; and the language of the Revelation, 417f; and the structure of the Revelation, 426f; Consummation of, 505f</w:t>
      </w:r>
    </w:p>
    <w:p w14:paraId="3040EF0F">
      <w:pPr>
        <w:bidi w:val="0"/>
        <w:rPr>
          <w:rFonts w:hint="eastAsia"/>
          <w:sz w:val="30"/>
          <w:szCs w:val="30"/>
        </w:rPr>
      </w:pPr>
    </w:p>
    <w:p w14:paraId="654FA726">
      <w:pPr>
        <w:bidi w:val="0"/>
        <w:rPr>
          <w:rFonts w:hint="eastAsia"/>
          <w:sz w:val="30"/>
          <w:szCs w:val="30"/>
        </w:rPr>
      </w:pPr>
      <w:r>
        <w:rPr>
          <w:rFonts w:hint="eastAsia"/>
          <w:sz w:val="30"/>
          <w:szCs w:val="30"/>
        </w:rPr>
        <w:t>救赎历史，定义，4；其初学者版本，5f；其福音派版本，20f；与堕落，83；与EC，99f；其时间线，165f；与但以理书，356f；与启示录的语言，417f；与启示录的结构，426f；其最终成全，505f</w:t>
      </w:r>
    </w:p>
    <w:p w14:paraId="7504BE77">
      <w:pPr>
        <w:bidi w:val="0"/>
        <w:rPr>
          <w:rFonts w:hint="eastAsia"/>
          <w:sz w:val="30"/>
          <w:szCs w:val="30"/>
        </w:rPr>
      </w:pPr>
    </w:p>
    <w:p w14:paraId="6F985DD5">
      <w:pPr>
        <w:bidi w:val="0"/>
        <w:rPr>
          <w:rFonts w:hint="eastAsia"/>
          <w:sz w:val="30"/>
          <w:szCs w:val="30"/>
        </w:rPr>
      </w:pPr>
      <w:r>
        <w:rPr>
          <w:rFonts w:hint="eastAsia"/>
          <w:sz w:val="30"/>
          <w:szCs w:val="30"/>
        </w:rPr>
        <w:t>Satan, and eschatological confusion, xvii; fall, kingdom of, 77f; in Protoevangelium, 108f, 233; and coming of the Kingdom, 161f, 172; and clash of the Kingdoms, 174; in OTKP, 208, 259, 291; and Last Battle, 316f, 353, 396, 511, 577f, 594; in the Revelation, 430, 445f, 449f, 465f; final judgment of, 174, 602</w:t>
      </w:r>
    </w:p>
    <w:p w14:paraId="4E12F0D3">
      <w:pPr>
        <w:bidi w:val="0"/>
        <w:rPr>
          <w:rFonts w:hint="eastAsia"/>
          <w:sz w:val="30"/>
          <w:szCs w:val="30"/>
        </w:rPr>
      </w:pPr>
    </w:p>
    <w:p w14:paraId="0E0909F8">
      <w:pPr>
        <w:bidi w:val="0"/>
        <w:rPr>
          <w:rFonts w:hint="eastAsia"/>
          <w:sz w:val="30"/>
          <w:szCs w:val="30"/>
        </w:rPr>
      </w:pPr>
      <w:r>
        <w:rPr>
          <w:rFonts w:hint="eastAsia"/>
          <w:sz w:val="30"/>
          <w:szCs w:val="30"/>
        </w:rPr>
        <w:t>撒但，与末世论的混乱，xvii；其堕落，国度，77f；在原始福音中，108f, 233；与国度的降临，161f, 172；与国度的冲突，174；在OTKP中，208, 259, 291；与最后的争战，316f, 353, 396, 511, 577f, 594；在启示录中，430, 445f, 449f, 465f；其最终审判，174, 602</w:t>
      </w:r>
    </w:p>
    <w:p w14:paraId="5E04AB7D">
      <w:pPr>
        <w:bidi w:val="0"/>
        <w:rPr>
          <w:rFonts w:hint="eastAsia"/>
          <w:sz w:val="30"/>
          <w:szCs w:val="30"/>
        </w:rPr>
      </w:pPr>
    </w:p>
    <w:p w14:paraId="6EDFC58D">
      <w:pPr>
        <w:bidi w:val="0"/>
        <w:rPr>
          <w:rFonts w:hint="eastAsia"/>
          <w:sz w:val="30"/>
          <w:szCs w:val="30"/>
        </w:rPr>
      </w:pPr>
      <w:r>
        <w:rPr>
          <w:rFonts w:hint="eastAsia"/>
          <w:sz w:val="30"/>
          <w:szCs w:val="30"/>
        </w:rPr>
        <w:t>Sealing, of the saints, 112, 116, 151, 413, 470; of the Testament of God, 157, 361, 438f, 498; as fulfillment of OTKP; of man’s destiny, 599</w:t>
      </w:r>
    </w:p>
    <w:p w14:paraId="3B781055">
      <w:pPr>
        <w:bidi w:val="0"/>
        <w:rPr>
          <w:rFonts w:hint="eastAsia"/>
          <w:sz w:val="30"/>
          <w:szCs w:val="30"/>
        </w:rPr>
      </w:pPr>
    </w:p>
    <w:p w14:paraId="4F3ECA08">
      <w:pPr>
        <w:bidi w:val="0"/>
        <w:rPr>
          <w:rFonts w:hint="eastAsia"/>
          <w:sz w:val="30"/>
          <w:szCs w:val="30"/>
        </w:rPr>
      </w:pPr>
      <w:r>
        <w:rPr>
          <w:rFonts w:hint="eastAsia"/>
          <w:sz w:val="30"/>
          <w:szCs w:val="30"/>
        </w:rPr>
        <w:t>盖印，圣徒的，112, 116, 151, 413, 470；神的圣约的，157, 361, 438f, 498；作为OTKP的应验；人的定命的，599</w:t>
      </w:r>
    </w:p>
    <w:p w14:paraId="30952A03">
      <w:pPr>
        <w:bidi w:val="0"/>
        <w:rPr>
          <w:rFonts w:hint="eastAsia"/>
          <w:sz w:val="30"/>
          <w:szCs w:val="30"/>
        </w:rPr>
      </w:pPr>
    </w:p>
    <w:p w14:paraId="7701F8CE">
      <w:pPr>
        <w:bidi w:val="0"/>
        <w:rPr>
          <w:rFonts w:hint="eastAsia"/>
          <w:sz w:val="30"/>
          <w:szCs w:val="30"/>
        </w:rPr>
      </w:pPr>
      <w:r>
        <w:rPr>
          <w:rFonts w:hint="eastAsia"/>
          <w:sz w:val="30"/>
          <w:szCs w:val="30"/>
        </w:rPr>
        <w:t>Second Coming (see, Parousia)</w:t>
      </w:r>
    </w:p>
    <w:p w14:paraId="511D3555">
      <w:pPr>
        <w:bidi w:val="0"/>
        <w:rPr>
          <w:rFonts w:hint="eastAsia"/>
          <w:sz w:val="30"/>
          <w:szCs w:val="30"/>
        </w:rPr>
      </w:pPr>
    </w:p>
    <w:p w14:paraId="2D054533">
      <w:pPr>
        <w:bidi w:val="0"/>
        <w:rPr>
          <w:rFonts w:hint="eastAsia"/>
          <w:sz w:val="30"/>
          <w:szCs w:val="30"/>
        </w:rPr>
      </w:pPr>
      <w:r>
        <w:rPr>
          <w:rFonts w:hint="eastAsia"/>
          <w:sz w:val="30"/>
          <w:szCs w:val="30"/>
        </w:rPr>
        <w:t>第二次降临（参见，主再来）</w:t>
      </w:r>
    </w:p>
    <w:p w14:paraId="220571A6">
      <w:pPr>
        <w:bidi w:val="0"/>
        <w:rPr>
          <w:rFonts w:hint="eastAsia"/>
          <w:sz w:val="30"/>
          <w:szCs w:val="30"/>
        </w:rPr>
      </w:pPr>
    </w:p>
    <w:p w14:paraId="2AFBFC83">
      <w:pPr>
        <w:bidi w:val="0"/>
        <w:rPr>
          <w:rFonts w:hint="eastAsia"/>
          <w:sz w:val="30"/>
          <w:szCs w:val="30"/>
        </w:rPr>
      </w:pPr>
      <w:r>
        <w:rPr>
          <w:rFonts w:hint="eastAsia"/>
          <w:sz w:val="30"/>
          <w:szCs w:val="30"/>
        </w:rPr>
        <w:t>Second Death, 434, 476, 480, 485, 493</w:t>
      </w:r>
    </w:p>
    <w:p w14:paraId="229322CE">
      <w:pPr>
        <w:bidi w:val="0"/>
        <w:rPr>
          <w:rFonts w:hint="eastAsia"/>
          <w:sz w:val="30"/>
          <w:szCs w:val="30"/>
        </w:rPr>
      </w:pPr>
    </w:p>
    <w:p w14:paraId="724EA0E4">
      <w:pPr>
        <w:bidi w:val="0"/>
        <w:rPr>
          <w:rFonts w:hint="eastAsia"/>
          <w:sz w:val="30"/>
          <w:szCs w:val="30"/>
        </w:rPr>
      </w:pPr>
      <w:r>
        <w:rPr>
          <w:rFonts w:hint="eastAsia"/>
          <w:sz w:val="30"/>
          <w:szCs w:val="30"/>
        </w:rPr>
        <w:t>第二次的死，434, 476, 480, 485, 493</w:t>
      </w:r>
    </w:p>
    <w:p w14:paraId="74A24ED0">
      <w:pPr>
        <w:bidi w:val="0"/>
        <w:rPr>
          <w:rFonts w:hint="eastAsia"/>
          <w:sz w:val="30"/>
          <w:szCs w:val="30"/>
        </w:rPr>
      </w:pPr>
    </w:p>
    <w:p w14:paraId="13E38C45">
      <w:pPr>
        <w:bidi w:val="0"/>
        <w:rPr>
          <w:rFonts w:hint="eastAsia"/>
          <w:sz w:val="30"/>
          <w:szCs w:val="30"/>
        </w:rPr>
      </w:pPr>
      <w:r>
        <w:rPr>
          <w:rFonts w:hint="eastAsia"/>
          <w:sz w:val="30"/>
          <w:szCs w:val="30"/>
        </w:rPr>
        <w:t>Second Exodus, 192, 207, 290, 302, 380</w:t>
      </w:r>
    </w:p>
    <w:p w14:paraId="09D9012C">
      <w:pPr>
        <w:bidi w:val="0"/>
        <w:rPr>
          <w:rFonts w:hint="eastAsia"/>
          <w:sz w:val="30"/>
          <w:szCs w:val="30"/>
        </w:rPr>
      </w:pPr>
    </w:p>
    <w:p w14:paraId="7C6AF9FD">
      <w:pPr>
        <w:bidi w:val="0"/>
        <w:rPr>
          <w:rFonts w:hint="eastAsia"/>
          <w:sz w:val="30"/>
          <w:szCs w:val="30"/>
        </w:rPr>
      </w:pPr>
      <w:r>
        <w:rPr>
          <w:rFonts w:hint="eastAsia"/>
          <w:sz w:val="30"/>
          <w:szCs w:val="30"/>
        </w:rPr>
        <w:t>第二次出埃及，192, 207, 290, 302, 380</w:t>
      </w:r>
    </w:p>
    <w:p w14:paraId="34DA0983">
      <w:pPr>
        <w:bidi w:val="0"/>
        <w:rPr>
          <w:rFonts w:hint="eastAsia"/>
          <w:sz w:val="30"/>
          <w:szCs w:val="30"/>
        </w:rPr>
      </w:pPr>
    </w:p>
    <w:p w14:paraId="3EFA10C4">
      <w:pPr>
        <w:bidi w:val="0"/>
        <w:rPr>
          <w:rFonts w:hint="eastAsia"/>
          <w:sz w:val="30"/>
          <w:szCs w:val="30"/>
        </w:rPr>
      </w:pPr>
      <w:r>
        <w:rPr>
          <w:rFonts w:hint="eastAsia"/>
          <w:sz w:val="30"/>
          <w:szCs w:val="30"/>
        </w:rPr>
        <w:t>Second Resurrection, 479, 615, 622, (see, First Resurrection)</w:t>
      </w:r>
    </w:p>
    <w:p w14:paraId="64EB5D64">
      <w:pPr>
        <w:bidi w:val="0"/>
        <w:rPr>
          <w:rFonts w:hint="eastAsia"/>
          <w:sz w:val="30"/>
          <w:szCs w:val="30"/>
        </w:rPr>
      </w:pPr>
    </w:p>
    <w:p w14:paraId="44BE6E16">
      <w:pPr>
        <w:bidi w:val="0"/>
        <w:rPr>
          <w:rFonts w:hint="eastAsia"/>
          <w:sz w:val="30"/>
          <w:szCs w:val="30"/>
        </w:rPr>
      </w:pPr>
      <w:r>
        <w:rPr>
          <w:rFonts w:hint="eastAsia"/>
          <w:sz w:val="30"/>
          <w:szCs w:val="30"/>
        </w:rPr>
        <w:t>第二次复活，479, 615, 622,（参见，第一次复活）</w:t>
      </w:r>
    </w:p>
    <w:p w14:paraId="32AB31EC">
      <w:pPr>
        <w:bidi w:val="0"/>
        <w:rPr>
          <w:rFonts w:hint="eastAsia"/>
          <w:sz w:val="30"/>
          <w:szCs w:val="30"/>
        </w:rPr>
      </w:pPr>
    </w:p>
    <w:p w14:paraId="77C03F4D">
      <w:pPr>
        <w:bidi w:val="0"/>
        <w:rPr>
          <w:rFonts w:hint="eastAsia"/>
          <w:sz w:val="30"/>
          <w:szCs w:val="30"/>
        </w:rPr>
      </w:pPr>
      <w:r>
        <w:rPr>
          <w:rFonts w:hint="eastAsia"/>
          <w:sz w:val="30"/>
          <w:szCs w:val="30"/>
        </w:rPr>
        <w:t>Sermon on the Mount, 65f</w:t>
      </w:r>
    </w:p>
    <w:p w14:paraId="52401DBE">
      <w:pPr>
        <w:bidi w:val="0"/>
        <w:rPr>
          <w:rFonts w:hint="eastAsia"/>
          <w:sz w:val="30"/>
          <w:szCs w:val="30"/>
        </w:rPr>
      </w:pPr>
    </w:p>
    <w:p w14:paraId="21E9BACD">
      <w:pPr>
        <w:bidi w:val="0"/>
        <w:rPr>
          <w:rFonts w:hint="eastAsia"/>
          <w:sz w:val="30"/>
          <w:szCs w:val="30"/>
        </w:rPr>
      </w:pPr>
      <w:r>
        <w:rPr>
          <w:rFonts w:hint="eastAsia"/>
          <w:sz w:val="30"/>
          <w:szCs w:val="30"/>
        </w:rPr>
        <w:t>登山宝训，65f</w:t>
      </w:r>
    </w:p>
    <w:p w14:paraId="174E01A9">
      <w:pPr>
        <w:bidi w:val="0"/>
        <w:rPr>
          <w:rFonts w:hint="eastAsia"/>
          <w:sz w:val="30"/>
          <w:szCs w:val="30"/>
        </w:rPr>
      </w:pPr>
    </w:p>
    <w:p w14:paraId="68EC97A3">
      <w:pPr>
        <w:bidi w:val="0"/>
        <w:rPr>
          <w:rFonts w:hint="eastAsia"/>
          <w:sz w:val="30"/>
          <w:szCs w:val="30"/>
        </w:rPr>
      </w:pPr>
      <w:r>
        <w:rPr>
          <w:rFonts w:hint="eastAsia"/>
          <w:sz w:val="30"/>
          <w:szCs w:val="30"/>
        </w:rPr>
        <w:t>Seven mountains, 459</w:t>
      </w:r>
    </w:p>
    <w:p w14:paraId="465DA9D8">
      <w:pPr>
        <w:bidi w:val="0"/>
        <w:rPr>
          <w:rFonts w:hint="eastAsia"/>
          <w:sz w:val="30"/>
          <w:szCs w:val="30"/>
        </w:rPr>
      </w:pPr>
    </w:p>
    <w:p w14:paraId="6BC0EA17">
      <w:pPr>
        <w:bidi w:val="0"/>
        <w:rPr>
          <w:rFonts w:hint="eastAsia"/>
          <w:sz w:val="30"/>
          <w:szCs w:val="30"/>
        </w:rPr>
      </w:pPr>
      <w:r>
        <w:rPr>
          <w:rFonts w:hint="eastAsia"/>
          <w:sz w:val="30"/>
          <w:szCs w:val="30"/>
        </w:rPr>
        <w:t>七座山，459</w:t>
      </w:r>
    </w:p>
    <w:p w14:paraId="7700925D">
      <w:pPr>
        <w:bidi w:val="0"/>
        <w:rPr>
          <w:rFonts w:hint="eastAsia"/>
          <w:sz w:val="30"/>
          <w:szCs w:val="30"/>
        </w:rPr>
      </w:pPr>
    </w:p>
    <w:p w14:paraId="1D061F4F">
      <w:pPr>
        <w:bidi w:val="0"/>
        <w:rPr>
          <w:rFonts w:hint="eastAsia"/>
          <w:sz w:val="30"/>
          <w:szCs w:val="30"/>
        </w:rPr>
      </w:pPr>
      <w:r>
        <w:rPr>
          <w:rFonts w:hint="eastAsia"/>
          <w:sz w:val="30"/>
          <w:szCs w:val="30"/>
        </w:rPr>
        <w:t>Seventy weeks (prophecy of, Daniel 9); three views of, 366-372; exegesis of 372-378; Rock of Dispensationalism, 370; and the Revelation, 629f</w:t>
      </w:r>
    </w:p>
    <w:p w14:paraId="66C24031">
      <w:pPr>
        <w:bidi w:val="0"/>
        <w:rPr>
          <w:rFonts w:hint="eastAsia"/>
          <w:sz w:val="30"/>
          <w:szCs w:val="30"/>
        </w:rPr>
      </w:pPr>
    </w:p>
    <w:p w14:paraId="6BE4DDF8">
      <w:pPr>
        <w:bidi w:val="0"/>
        <w:rPr>
          <w:rFonts w:hint="eastAsia"/>
          <w:sz w:val="30"/>
          <w:szCs w:val="30"/>
        </w:rPr>
      </w:pPr>
      <w:r>
        <w:rPr>
          <w:rFonts w:hint="eastAsia"/>
          <w:sz w:val="30"/>
          <w:szCs w:val="30"/>
        </w:rPr>
        <w:t>七十个七（其预言，但以理书9章）；其三种观点，366-372；其解经，372-378；时代论的磐石，370；与启示录，629f</w:t>
      </w:r>
    </w:p>
    <w:p w14:paraId="654464A0">
      <w:pPr>
        <w:bidi w:val="0"/>
        <w:rPr>
          <w:rFonts w:hint="eastAsia"/>
          <w:sz w:val="30"/>
          <w:szCs w:val="30"/>
        </w:rPr>
      </w:pPr>
    </w:p>
    <w:p w14:paraId="7CFE7374">
      <w:pPr>
        <w:bidi w:val="0"/>
        <w:rPr>
          <w:rFonts w:hint="eastAsia"/>
          <w:sz w:val="30"/>
          <w:szCs w:val="30"/>
        </w:rPr>
      </w:pPr>
      <w:r>
        <w:rPr>
          <w:rFonts w:hint="eastAsia"/>
          <w:sz w:val="30"/>
          <w:szCs w:val="30"/>
        </w:rPr>
        <w:t>Sheep/Goat judgment, 139, 537f, 599, 698, 701</w:t>
      </w:r>
    </w:p>
    <w:p w14:paraId="29312900">
      <w:pPr>
        <w:bidi w:val="0"/>
        <w:rPr>
          <w:rFonts w:hint="eastAsia"/>
          <w:sz w:val="30"/>
          <w:szCs w:val="30"/>
        </w:rPr>
      </w:pPr>
    </w:p>
    <w:p w14:paraId="712D920A">
      <w:pPr>
        <w:bidi w:val="0"/>
        <w:rPr>
          <w:rFonts w:hint="eastAsia"/>
          <w:sz w:val="30"/>
          <w:szCs w:val="30"/>
        </w:rPr>
      </w:pPr>
      <w:r>
        <w:rPr>
          <w:rFonts w:hint="eastAsia"/>
          <w:sz w:val="30"/>
          <w:szCs w:val="30"/>
        </w:rPr>
        <w:t>绵羊/山羊的审判，139, 537f, 599, 698, 701</w:t>
      </w:r>
    </w:p>
    <w:p w14:paraId="5871EA1C">
      <w:pPr>
        <w:bidi w:val="0"/>
        <w:rPr>
          <w:rFonts w:hint="eastAsia"/>
          <w:sz w:val="30"/>
          <w:szCs w:val="30"/>
        </w:rPr>
      </w:pPr>
    </w:p>
    <w:p w14:paraId="4E6E9E3C">
      <w:pPr>
        <w:bidi w:val="0"/>
        <w:rPr>
          <w:rFonts w:hint="eastAsia"/>
          <w:sz w:val="30"/>
          <w:szCs w:val="30"/>
        </w:rPr>
      </w:pPr>
      <w:r>
        <w:rPr>
          <w:rFonts w:hint="eastAsia"/>
          <w:sz w:val="30"/>
          <w:szCs w:val="30"/>
        </w:rPr>
        <w:t>Signs (divine miracles), 43, 60f, 100, 143</w:t>
      </w:r>
    </w:p>
    <w:p w14:paraId="312B5791">
      <w:pPr>
        <w:bidi w:val="0"/>
        <w:rPr>
          <w:rFonts w:hint="eastAsia"/>
          <w:sz w:val="30"/>
          <w:szCs w:val="30"/>
        </w:rPr>
      </w:pPr>
    </w:p>
    <w:p w14:paraId="7A15CFB2">
      <w:pPr>
        <w:bidi w:val="0"/>
        <w:rPr>
          <w:rFonts w:hint="eastAsia"/>
          <w:sz w:val="30"/>
          <w:szCs w:val="30"/>
        </w:rPr>
      </w:pPr>
      <w:r>
        <w:rPr>
          <w:rFonts w:hint="eastAsia"/>
          <w:sz w:val="30"/>
          <w:szCs w:val="30"/>
        </w:rPr>
        <w:t>神迹（神圣的神迹），43, 60f, 100, 143</w:t>
      </w:r>
    </w:p>
    <w:p w14:paraId="7F4781D5">
      <w:pPr>
        <w:bidi w:val="0"/>
        <w:rPr>
          <w:rFonts w:hint="eastAsia"/>
          <w:sz w:val="30"/>
          <w:szCs w:val="30"/>
        </w:rPr>
      </w:pPr>
    </w:p>
    <w:p w14:paraId="6080E8E5">
      <w:pPr>
        <w:bidi w:val="0"/>
        <w:rPr>
          <w:rFonts w:hint="eastAsia"/>
          <w:sz w:val="30"/>
          <w:szCs w:val="30"/>
        </w:rPr>
      </w:pPr>
      <w:r>
        <w:rPr>
          <w:rFonts w:hint="eastAsia"/>
          <w:sz w:val="30"/>
          <w:szCs w:val="30"/>
        </w:rPr>
        <w:t>Signs, (counterfeit miracles), 378, 414, 457, 579f</w:t>
      </w:r>
    </w:p>
    <w:p w14:paraId="55BC369D">
      <w:pPr>
        <w:bidi w:val="0"/>
        <w:rPr>
          <w:rFonts w:hint="eastAsia"/>
          <w:sz w:val="30"/>
          <w:szCs w:val="30"/>
        </w:rPr>
      </w:pPr>
    </w:p>
    <w:p w14:paraId="490F23B3">
      <w:pPr>
        <w:bidi w:val="0"/>
        <w:rPr>
          <w:rFonts w:hint="eastAsia"/>
          <w:sz w:val="30"/>
          <w:szCs w:val="30"/>
        </w:rPr>
      </w:pPr>
      <w:r>
        <w:rPr>
          <w:rFonts w:hint="eastAsia"/>
          <w:sz w:val="30"/>
          <w:szCs w:val="30"/>
        </w:rPr>
        <w:t>神迹（假冒的神迹），378, 414, 457, 579f</w:t>
      </w:r>
    </w:p>
    <w:p w14:paraId="274A8CC3">
      <w:pPr>
        <w:bidi w:val="0"/>
        <w:rPr>
          <w:rFonts w:hint="eastAsia"/>
          <w:sz w:val="30"/>
          <w:szCs w:val="30"/>
        </w:rPr>
      </w:pPr>
    </w:p>
    <w:p w14:paraId="6AB9D685">
      <w:pPr>
        <w:bidi w:val="0"/>
        <w:rPr>
          <w:rFonts w:hint="eastAsia"/>
          <w:sz w:val="30"/>
          <w:szCs w:val="30"/>
        </w:rPr>
      </w:pPr>
      <w:r>
        <w:rPr>
          <w:rFonts w:hint="eastAsia"/>
          <w:sz w:val="30"/>
          <w:szCs w:val="30"/>
        </w:rPr>
        <w:t>Signs (beginning of birth pains), 447, 530f, 592f</w:t>
      </w:r>
    </w:p>
    <w:p w14:paraId="11EE9E2A">
      <w:pPr>
        <w:bidi w:val="0"/>
        <w:rPr>
          <w:rFonts w:hint="eastAsia"/>
          <w:sz w:val="30"/>
          <w:szCs w:val="30"/>
        </w:rPr>
      </w:pPr>
    </w:p>
    <w:p w14:paraId="51A253AE">
      <w:pPr>
        <w:bidi w:val="0"/>
        <w:rPr>
          <w:rFonts w:hint="eastAsia"/>
          <w:sz w:val="30"/>
          <w:szCs w:val="30"/>
        </w:rPr>
      </w:pPr>
      <w:r>
        <w:rPr>
          <w:rFonts w:hint="eastAsia"/>
          <w:sz w:val="30"/>
          <w:szCs w:val="30"/>
        </w:rPr>
        <w:t>预兆（产难的起头），447, 530f, 592f</w:t>
      </w:r>
    </w:p>
    <w:p w14:paraId="08159ECE">
      <w:pPr>
        <w:bidi w:val="0"/>
        <w:rPr>
          <w:rFonts w:hint="eastAsia"/>
          <w:sz w:val="30"/>
          <w:szCs w:val="30"/>
        </w:rPr>
      </w:pPr>
    </w:p>
    <w:p w14:paraId="1E4B5CEF">
      <w:pPr>
        <w:bidi w:val="0"/>
        <w:rPr>
          <w:rFonts w:hint="eastAsia"/>
          <w:sz w:val="30"/>
          <w:szCs w:val="30"/>
        </w:rPr>
      </w:pPr>
      <w:r>
        <w:rPr>
          <w:rFonts w:hint="eastAsia"/>
          <w:sz w:val="30"/>
          <w:szCs w:val="30"/>
        </w:rPr>
        <w:t>Signs (of imminence of Parousia), 530, 554, 563, 573, 576f, 593, 607f</w:t>
      </w:r>
    </w:p>
    <w:p w14:paraId="1B17DE0C">
      <w:pPr>
        <w:bidi w:val="0"/>
        <w:rPr>
          <w:rFonts w:hint="eastAsia"/>
          <w:sz w:val="30"/>
          <w:szCs w:val="30"/>
        </w:rPr>
      </w:pPr>
    </w:p>
    <w:p w14:paraId="086DE0AF">
      <w:pPr>
        <w:bidi w:val="0"/>
        <w:rPr>
          <w:rFonts w:hint="eastAsia"/>
          <w:sz w:val="30"/>
          <w:szCs w:val="30"/>
        </w:rPr>
      </w:pPr>
      <w:r>
        <w:rPr>
          <w:rFonts w:hint="eastAsia"/>
          <w:sz w:val="30"/>
          <w:szCs w:val="30"/>
        </w:rPr>
        <w:t>预兆（主再来即临的），530, 554, 563, 573, 576f, 593, 607f</w:t>
      </w:r>
    </w:p>
    <w:p w14:paraId="778BFAB9">
      <w:pPr>
        <w:bidi w:val="0"/>
        <w:rPr>
          <w:rFonts w:hint="eastAsia"/>
          <w:sz w:val="30"/>
          <w:szCs w:val="30"/>
        </w:rPr>
      </w:pPr>
    </w:p>
    <w:p w14:paraId="580A55C4">
      <w:pPr>
        <w:bidi w:val="0"/>
        <w:rPr>
          <w:rFonts w:hint="eastAsia"/>
          <w:sz w:val="30"/>
          <w:szCs w:val="30"/>
        </w:rPr>
      </w:pPr>
      <w:r>
        <w:rPr>
          <w:rFonts w:hint="eastAsia"/>
          <w:sz w:val="30"/>
          <w:szCs w:val="30"/>
        </w:rPr>
        <w:t>Son of Man, 133, 141, 150, 198, 223, 359f, 432, 527, 528, 534f</w:t>
      </w:r>
    </w:p>
    <w:p w14:paraId="12764C9B">
      <w:pPr>
        <w:bidi w:val="0"/>
        <w:rPr>
          <w:rFonts w:hint="eastAsia"/>
          <w:sz w:val="30"/>
          <w:szCs w:val="30"/>
        </w:rPr>
      </w:pPr>
    </w:p>
    <w:p w14:paraId="65FDD97D">
      <w:pPr>
        <w:bidi w:val="0"/>
        <w:rPr>
          <w:rFonts w:hint="eastAsia"/>
          <w:sz w:val="30"/>
          <w:szCs w:val="30"/>
        </w:rPr>
      </w:pPr>
      <w:r>
        <w:rPr>
          <w:rFonts w:hint="eastAsia"/>
          <w:sz w:val="30"/>
          <w:szCs w:val="30"/>
        </w:rPr>
        <w:t>人子，133, 141, 150, 198, 223, 359f, 432, 527, 528, 534f</w:t>
      </w:r>
    </w:p>
    <w:p w14:paraId="29B626C0">
      <w:pPr>
        <w:bidi w:val="0"/>
        <w:rPr>
          <w:rFonts w:hint="eastAsia"/>
          <w:sz w:val="30"/>
          <w:szCs w:val="30"/>
        </w:rPr>
      </w:pPr>
    </w:p>
    <w:p w14:paraId="0B441CDE">
      <w:pPr>
        <w:bidi w:val="0"/>
        <w:rPr>
          <w:rFonts w:hint="eastAsia"/>
          <w:sz w:val="30"/>
          <w:szCs w:val="30"/>
        </w:rPr>
      </w:pPr>
      <w:r>
        <w:rPr>
          <w:rFonts w:hint="eastAsia"/>
          <w:sz w:val="30"/>
          <w:szCs w:val="30"/>
        </w:rPr>
        <w:t>Song of Moses, 191, 221, 455</w:t>
      </w:r>
    </w:p>
    <w:p w14:paraId="49DA05D2">
      <w:pPr>
        <w:bidi w:val="0"/>
        <w:rPr>
          <w:rFonts w:hint="eastAsia"/>
          <w:sz w:val="30"/>
          <w:szCs w:val="30"/>
        </w:rPr>
      </w:pPr>
    </w:p>
    <w:p w14:paraId="22ADF58E">
      <w:pPr>
        <w:bidi w:val="0"/>
        <w:rPr>
          <w:rFonts w:hint="eastAsia"/>
          <w:sz w:val="30"/>
          <w:szCs w:val="30"/>
        </w:rPr>
      </w:pPr>
      <w:r>
        <w:rPr>
          <w:rFonts w:hint="eastAsia"/>
          <w:sz w:val="30"/>
          <w:szCs w:val="30"/>
        </w:rPr>
        <w:t>摩西之歌，191, 221, 455</w:t>
      </w:r>
    </w:p>
    <w:p w14:paraId="5254F381">
      <w:pPr>
        <w:bidi w:val="0"/>
        <w:rPr>
          <w:rFonts w:hint="eastAsia"/>
          <w:sz w:val="30"/>
          <w:szCs w:val="30"/>
        </w:rPr>
      </w:pPr>
    </w:p>
    <w:p w14:paraId="064E849A">
      <w:pPr>
        <w:bidi w:val="0"/>
        <w:rPr>
          <w:rFonts w:hint="eastAsia"/>
          <w:sz w:val="30"/>
          <w:szCs w:val="30"/>
        </w:rPr>
      </w:pPr>
      <w:r>
        <w:rPr>
          <w:rFonts w:hint="eastAsia"/>
          <w:sz w:val="30"/>
          <w:szCs w:val="30"/>
        </w:rPr>
        <w:t>Symbol(s), in apocalyptic, 384; in the Revelation, 417f, 426f; (see, Types)</w:t>
      </w:r>
    </w:p>
    <w:p w14:paraId="592AFEF1">
      <w:pPr>
        <w:bidi w:val="0"/>
        <w:rPr>
          <w:rFonts w:hint="eastAsia"/>
          <w:sz w:val="30"/>
          <w:szCs w:val="30"/>
        </w:rPr>
      </w:pPr>
    </w:p>
    <w:p w14:paraId="30C4BE11">
      <w:pPr>
        <w:bidi w:val="0"/>
      </w:pPr>
      <w:r>
        <w:rPr>
          <w:rFonts w:hint="eastAsia"/>
          <w:sz w:val="30"/>
          <w:szCs w:val="30"/>
        </w:rPr>
        <w:t>象征（复数），在天启文学中，384；在启示录中，417f, 426f；（参见，预表）</w:t>
      </w:r>
    </w:p>
    <w:p w14:paraId="7C16B422">
      <w:pPr>
        <w:pStyle w:val="5"/>
      </w:pPr>
      <w:r>
        <w:rPr>
          <w:color w:val="231F20"/>
          <w:spacing w:val="-10"/>
        </w:rPr>
        <w:t>T</w:t>
      </w:r>
    </w:p>
    <w:p w14:paraId="53105A7B">
      <w:pPr>
        <w:spacing w:before="152" w:line="384" w:lineRule="auto"/>
        <w:ind w:left="264" w:right="0" w:hanging="165"/>
        <w:jc w:val="left"/>
        <w:rPr>
          <w:rFonts w:hint="eastAsia"/>
          <w:sz w:val="22"/>
        </w:rPr>
      </w:pPr>
      <w:r>
        <w:rPr>
          <w:rFonts w:hint="eastAsia"/>
          <w:sz w:val="22"/>
        </w:rPr>
        <w:t>Tabernacle (of David), 262f</w:t>
      </w:r>
    </w:p>
    <w:p w14:paraId="088252BD">
      <w:pPr>
        <w:spacing w:before="152" w:line="384" w:lineRule="auto"/>
        <w:ind w:left="264" w:right="0" w:hanging="165"/>
        <w:jc w:val="left"/>
        <w:rPr>
          <w:rFonts w:hint="eastAsia"/>
          <w:sz w:val="22"/>
        </w:rPr>
      </w:pPr>
    </w:p>
    <w:p w14:paraId="613E8832">
      <w:pPr>
        <w:spacing w:before="152" w:line="384" w:lineRule="auto"/>
        <w:ind w:left="264" w:right="0" w:hanging="165"/>
        <w:jc w:val="left"/>
        <w:rPr>
          <w:rFonts w:hint="eastAsia"/>
          <w:sz w:val="22"/>
        </w:rPr>
      </w:pPr>
      <w:r>
        <w:rPr>
          <w:rFonts w:hint="eastAsia"/>
          <w:sz w:val="22"/>
        </w:rPr>
        <w:t>大卫的帐幕，262f</w:t>
      </w:r>
    </w:p>
    <w:p w14:paraId="03C78C65">
      <w:pPr>
        <w:spacing w:before="152" w:line="384" w:lineRule="auto"/>
        <w:ind w:left="264" w:right="0" w:hanging="165"/>
        <w:jc w:val="left"/>
        <w:rPr>
          <w:rFonts w:hint="eastAsia"/>
          <w:sz w:val="22"/>
        </w:rPr>
      </w:pPr>
    </w:p>
    <w:p w14:paraId="4A5C8A0F">
      <w:pPr>
        <w:spacing w:before="152" w:line="384" w:lineRule="auto"/>
        <w:ind w:left="264" w:right="0" w:hanging="165"/>
        <w:jc w:val="left"/>
        <w:rPr>
          <w:rFonts w:hint="eastAsia"/>
          <w:sz w:val="22"/>
        </w:rPr>
      </w:pPr>
      <w:r>
        <w:rPr>
          <w:rFonts w:hint="eastAsia"/>
          <w:sz w:val="22"/>
        </w:rPr>
        <w:t>Tabernacles (Feast of), 209, 345, 402f</w:t>
      </w:r>
    </w:p>
    <w:p w14:paraId="05DA2FA6">
      <w:pPr>
        <w:spacing w:before="152" w:line="384" w:lineRule="auto"/>
        <w:ind w:left="264" w:right="0" w:hanging="165"/>
        <w:jc w:val="left"/>
        <w:rPr>
          <w:rFonts w:hint="eastAsia"/>
          <w:sz w:val="22"/>
        </w:rPr>
      </w:pPr>
    </w:p>
    <w:p w14:paraId="12E6DA7C">
      <w:pPr>
        <w:spacing w:before="152" w:line="384" w:lineRule="auto"/>
        <w:ind w:left="264" w:right="0" w:hanging="165"/>
        <w:jc w:val="left"/>
        <w:rPr>
          <w:rFonts w:hint="eastAsia"/>
          <w:sz w:val="22"/>
        </w:rPr>
      </w:pPr>
      <w:r>
        <w:rPr>
          <w:rFonts w:hint="eastAsia"/>
          <w:sz w:val="22"/>
        </w:rPr>
        <w:t>住棚节（节期），209, 345, 402f</w:t>
      </w:r>
    </w:p>
    <w:p w14:paraId="46339A76">
      <w:pPr>
        <w:spacing w:before="152" w:line="384" w:lineRule="auto"/>
        <w:ind w:left="264" w:right="0" w:hanging="165"/>
        <w:jc w:val="left"/>
        <w:rPr>
          <w:rFonts w:hint="eastAsia"/>
          <w:sz w:val="22"/>
        </w:rPr>
      </w:pPr>
    </w:p>
    <w:p w14:paraId="102079F1">
      <w:pPr>
        <w:spacing w:before="152" w:line="384" w:lineRule="auto"/>
        <w:ind w:left="264" w:right="0" w:hanging="165"/>
        <w:jc w:val="left"/>
        <w:rPr>
          <w:rFonts w:hint="eastAsia"/>
          <w:sz w:val="22"/>
        </w:rPr>
      </w:pPr>
      <w:r>
        <w:rPr>
          <w:rFonts w:hint="eastAsia"/>
          <w:sz w:val="22"/>
        </w:rPr>
        <w:t>Temple, in OTKP, 11, 201f, 204, 260, 270, 332; as type of Christ, 68, 499; as type of the Church, 13, 44, 196, 234, 242, 246, 354f, 374, 435, 446, 499, 578f; Herod’s, 67, 530f; in Premillennialism, 22, 30, 328, 383</w:t>
      </w:r>
    </w:p>
    <w:p w14:paraId="57FF7995">
      <w:pPr>
        <w:spacing w:before="152" w:line="384" w:lineRule="auto"/>
        <w:ind w:left="264" w:right="0" w:hanging="165"/>
        <w:jc w:val="left"/>
        <w:rPr>
          <w:rFonts w:hint="eastAsia"/>
          <w:sz w:val="22"/>
        </w:rPr>
      </w:pPr>
    </w:p>
    <w:p w14:paraId="608D05B4">
      <w:pPr>
        <w:spacing w:before="152" w:line="384" w:lineRule="auto"/>
        <w:ind w:left="264" w:right="0" w:hanging="165"/>
        <w:jc w:val="left"/>
        <w:rPr>
          <w:rFonts w:hint="eastAsia"/>
          <w:sz w:val="22"/>
        </w:rPr>
      </w:pPr>
      <w:r>
        <w:rPr>
          <w:rFonts w:hint="eastAsia"/>
          <w:sz w:val="22"/>
        </w:rPr>
        <w:t>圣殿，在OTKP中，11, 201f, 204, 260, 270, 332；作为基督的预表，68, 499；作为教会的预表，13, 44, 196, 234, 242, 246, 354f, 374, 435, 446, 499, 578f；希律的，67, 530f；在前千禧年论中，22, 30, 328, 383</w:t>
      </w:r>
    </w:p>
    <w:p w14:paraId="3D1BC8B2">
      <w:pPr>
        <w:spacing w:before="152" w:line="384" w:lineRule="auto"/>
        <w:ind w:left="264" w:right="0" w:hanging="165"/>
        <w:jc w:val="left"/>
        <w:rPr>
          <w:rFonts w:hint="eastAsia"/>
          <w:sz w:val="22"/>
        </w:rPr>
      </w:pPr>
    </w:p>
    <w:p w14:paraId="7FAD2C05">
      <w:pPr>
        <w:spacing w:before="152" w:line="384" w:lineRule="auto"/>
        <w:ind w:left="264" w:right="0" w:hanging="165"/>
        <w:jc w:val="left"/>
        <w:rPr>
          <w:rFonts w:hint="eastAsia"/>
          <w:sz w:val="22"/>
        </w:rPr>
      </w:pPr>
      <w:r>
        <w:rPr>
          <w:rFonts w:hint="eastAsia"/>
          <w:sz w:val="22"/>
        </w:rPr>
        <w:t>Ten horns, 357, 363, 449</w:t>
      </w:r>
    </w:p>
    <w:p w14:paraId="19C85872">
      <w:pPr>
        <w:spacing w:before="152" w:line="384" w:lineRule="auto"/>
        <w:ind w:left="264" w:right="0" w:hanging="165"/>
        <w:jc w:val="left"/>
        <w:rPr>
          <w:rFonts w:hint="eastAsia"/>
          <w:sz w:val="22"/>
        </w:rPr>
      </w:pPr>
    </w:p>
    <w:p w14:paraId="3DE11FB8">
      <w:pPr>
        <w:spacing w:before="152" w:line="384" w:lineRule="auto"/>
        <w:ind w:left="264" w:right="0" w:hanging="165"/>
        <w:jc w:val="left"/>
        <w:rPr>
          <w:rFonts w:hint="eastAsia"/>
          <w:sz w:val="22"/>
        </w:rPr>
      </w:pPr>
      <w:r>
        <w:rPr>
          <w:rFonts w:hint="eastAsia"/>
          <w:sz w:val="22"/>
        </w:rPr>
        <w:t>十角，357, 363, 449</w:t>
      </w:r>
    </w:p>
    <w:p w14:paraId="00CEA3D1">
      <w:pPr>
        <w:spacing w:before="152" w:line="384" w:lineRule="auto"/>
        <w:ind w:left="264" w:right="0" w:hanging="165"/>
        <w:jc w:val="left"/>
        <w:rPr>
          <w:rFonts w:hint="eastAsia"/>
          <w:sz w:val="22"/>
        </w:rPr>
      </w:pPr>
    </w:p>
    <w:p w14:paraId="38AC37B6">
      <w:pPr>
        <w:spacing w:before="152" w:line="384" w:lineRule="auto"/>
        <w:ind w:left="264" w:right="0" w:hanging="165"/>
        <w:jc w:val="left"/>
        <w:rPr>
          <w:rFonts w:hint="eastAsia"/>
          <w:sz w:val="22"/>
        </w:rPr>
      </w:pPr>
      <w:r>
        <w:rPr>
          <w:rFonts w:hint="eastAsia"/>
          <w:sz w:val="22"/>
        </w:rPr>
        <w:t>Three horns, 357f</w:t>
      </w:r>
    </w:p>
    <w:p w14:paraId="32DC1942">
      <w:pPr>
        <w:spacing w:before="152" w:line="384" w:lineRule="auto"/>
        <w:ind w:left="264" w:right="0" w:hanging="165"/>
        <w:jc w:val="left"/>
        <w:rPr>
          <w:rFonts w:hint="eastAsia"/>
          <w:sz w:val="22"/>
        </w:rPr>
      </w:pPr>
    </w:p>
    <w:p w14:paraId="0C9883E4">
      <w:pPr>
        <w:spacing w:before="152" w:line="384" w:lineRule="auto"/>
        <w:ind w:left="264" w:right="0" w:hanging="165"/>
        <w:jc w:val="left"/>
        <w:rPr>
          <w:rFonts w:hint="eastAsia"/>
          <w:sz w:val="22"/>
        </w:rPr>
      </w:pPr>
      <w:r>
        <w:rPr>
          <w:rFonts w:hint="eastAsia"/>
          <w:sz w:val="22"/>
        </w:rPr>
        <w:t>三角，357f</w:t>
      </w:r>
    </w:p>
    <w:p w14:paraId="1D0A9F26">
      <w:pPr>
        <w:spacing w:before="152" w:line="384" w:lineRule="auto"/>
        <w:ind w:left="264" w:right="0" w:hanging="165"/>
        <w:jc w:val="left"/>
        <w:rPr>
          <w:rFonts w:hint="eastAsia"/>
          <w:sz w:val="22"/>
        </w:rPr>
      </w:pPr>
    </w:p>
    <w:p w14:paraId="329840CB">
      <w:pPr>
        <w:spacing w:before="152" w:line="384" w:lineRule="auto"/>
        <w:ind w:left="264" w:right="0" w:hanging="165"/>
        <w:jc w:val="left"/>
        <w:rPr>
          <w:rFonts w:hint="eastAsia"/>
          <w:sz w:val="22"/>
        </w:rPr>
      </w:pPr>
      <w:r>
        <w:rPr>
          <w:rFonts w:hint="eastAsia"/>
          <w:sz w:val="22"/>
        </w:rPr>
        <w:t>Throne(s), of David, 32, 144, 217; of God, 157, 161, 192, 249, 339, 355, 358, 461; of Christ, 156, 198, 383, 492, 514, 535, 597; Great White, 31, 491; of the saints, 359,437, 475f, 484f, 519; of the Beast, 456</w:t>
      </w:r>
    </w:p>
    <w:p w14:paraId="430F34F3">
      <w:pPr>
        <w:spacing w:before="152" w:line="384" w:lineRule="auto"/>
        <w:ind w:left="264" w:right="0" w:hanging="165"/>
        <w:jc w:val="left"/>
        <w:rPr>
          <w:rFonts w:hint="eastAsia"/>
          <w:sz w:val="22"/>
        </w:rPr>
      </w:pPr>
    </w:p>
    <w:p w14:paraId="65480E90">
      <w:pPr>
        <w:spacing w:before="152" w:line="384" w:lineRule="auto"/>
        <w:ind w:left="264" w:right="0" w:hanging="165"/>
        <w:jc w:val="left"/>
        <w:rPr>
          <w:rFonts w:hint="eastAsia"/>
          <w:sz w:val="22"/>
        </w:rPr>
      </w:pPr>
      <w:r>
        <w:rPr>
          <w:rFonts w:hint="eastAsia"/>
          <w:sz w:val="22"/>
        </w:rPr>
        <w:t>宝座（复数），大卫的，32, 144, 217；神的，157, 161, 192, 249, 339, 355, 358, 461；基督的，156, 198, 383, 492, 514, 535, 597；白色大宝座，31, 491；圣徒的，359,437, 475f, 484f, 519；兽的，456</w:t>
      </w:r>
    </w:p>
    <w:p w14:paraId="5EF9A408">
      <w:pPr>
        <w:spacing w:before="152" w:line="384" w:lineRule="auto"/>
        <w:ind w:left="264" w:right="0" w:hanging="165"/>
        <w:jc w:val="left"/>
        <w:rPr>
          <w:rFonts w:hint="eastAsia"/>
          <w:sz w:val="22"/>
        </w:rPr>
      </w:pPr>
    </w:p>
    <w:p w14:paraId="7528BD13">
      <w:pPr>
        <w:spacing w:before="152" w:line="384" w:lineRule="auto"/>
        <w:ind w:left="264" w:right="0" w:hanging="165"/>
        <w:jc w:val="left"/>
        <w:rPr>
          <w:rFonts w:hint="eastAsia"/>
          <w:sz w:val="22"/>
        </w:rPr>
      </w:pPr>
      <w:r>
        <w:rPr>
          <w:rFonts w:hint="eastAsia"/>
          <w:sz w:val="22"/>
        </w:rPr>
        <w:t>Time, God’s perspective on, 587f</w:t>
      </w:r>
    </w:p>
    <w:p w14:paraId="637BA6B3">
      <w:pPr>
        <w:spacing w:before="152" w:line="384" w:lineRule="auto"/>
        <w:ind w:left="264" w:right="0" w:hanging="165"/>
        <w:jc w:val="left"/>
        <w:rPr>
          <w:rFonts w:hint="eastAsia"/>
          <w:sz w:val="22"/>
        </w:rPr>
      </w:pPr>
    </w:p>
    <w:p w14:paraId="3D779CDC">
      <w:pPr>
        <w:spacing w:before="152" w:line="384" w:lineRule="auto"/>
        <w:ind w:left="264" w:right="0" w:hanging="165"/>
        <w:jc w:val="left"/>
        <w:rPr>
          <w:rFonts w:hint="eastAsia"/>
          <w:sz w:val="22"/>
        </w:rPr>
      </w:pPr>
      <w:r>
        <w:rPr>
          <w:rFonts w:hint="eastAsia"/>
          <w:sz w:val="22"/>
        </w:rPr>
        <w:t>时间，神的视角，587f</w:t>
      </w:r>
    </w:p>
    <w:p w14:paraId="04AD0FB8">
      <w:pPr>
        <w:spacing w:before="152" w:line="384" w:lineRule="auto"/>
        <w:ind w:left="264" w:right="0" w:hanging="165"/>
        <w:jc w:val="left"/>
        <w:rPr>
          <w:rFonts w:hint="eastAsia"/>
          <w:sz w:val="22"/>
        </w:rPr>
      </w:pPr>
    </w:p>
    <w:p w14:paraId="01F53271">
      <w:pPr>
        <w:spacing w:before="152" w:line="384" w:lineRule="auto"/>
        <w:ind w:left="264" w:right="0" w:hanging="165"/>
        <w:jc w:val="left"/>
        <w:rPr>
          <w:rFonts w:hint="eastAsia"/>
          <w:sz w:val="22"/>
        </w:rPr>
      </w:pPr>
      <w:r>
        <w:rPr>
          <w:rFonts w:hint="eastAsia"/>
          <w:sz w:val="22"/>
        </w:rPr>
        <w:t>Time, times, and half a time, 219, 412, 451, 474f</w:t>
      </w:r>
    </w:p>
    <w:p w14:paraId="4A44C009">
      <w:pPr>
        <w:spacing w:before="152" w:line="384" w:lineRule="auto"/>
        <w:ind w:left="264" w:right="0" w:hanging="165"/>
        <w:jc w:val="left"/>
        <w:rPr>
          <w:rFonts w:hint="eastAsia"/>
          <w:sz w:val="22"/>
        </w:rPr>
      </w:pPr>
    </w:p>
    <w:p w14:paraId="1CFB67BC">
      <w:pPr>
        <w:spacing w:before="152" w:line="384" w:lineRule="auto"/>
        <w:ind w:left="264" w:right="0" w:hanging="165"/>
        <w:jc w:val="left"/>
        <w:rPr>
          <w:rFonts w:hint="eastAsia"/>
          <w:sz w:val="22"/>
        </w:rPr>
      </w:pPr>
      <w:r>
        <w:rPr>
          <w:rFonts w:hint="eastAsia"/>
          <w:sz w:val="22"/>
        </w:rPr>
        <w:t>一载、二载、半载，219, 412, 451, 474f</w:t>
      </w:r>
    </w:p>
    <w:p w14:paraId="147E76DF">
      <w:pPr>
        <w:spacing w:before="152" w:line="384" w:lineRule="auto"/>
        <w:ind w:left="264" w:right="0" w:hanging="165"/>
        <w:jc w:val="left"/>
        <w:rPr>
          <w:rFonts w:hint="eastAsia"/>
          <w:sz w:val="22"/>
        </w:rPr>
      </w:pPr>
    </w:p>
    <w:p w14:paraId="2D34D580">
      <w:pPr>
        <w:spacing w:before="152" w:line="384" w:lineRule="auto"/>
        <w:ind w:left="264" w:right="0" w:hanging="165"/>
        <w:jc w:val="left"/>
        <w:rPr>
          <w:rFonts w:hint="eastAsia"/>
          <w:sz w:val="22"/>
        </w:rPr>
      </w:pPr>
      <w:r>
        <w:rPr>
          <w:rFonts w:hint="eastAsia"/>
          <w:sz w:val="22"/>
        </w:rPr>
        <w:t>Timelines, of Salvation History, 165f; of schools of Eschatology, 20f, 613f</w:t>
      </w:r>
    </w:p>
    <w:p w14:paraId="46FC3B98">
      <w:pPr>
        <w:spacing w:before="152" w:line="384" w:lineRule="auto"/>
        <w:ind w:left="264" w:right="0" w:hanging="165"/>
        <w:jc w:val="left"/>
        <w:rPr>
          <w:rFonts w:hint="eastAsia"/>
          <w:sz w:val="22"/>
        </w:rPr>
      </w:pPr>
    </w:p>
    <w:p w14:paraId="04E25F34">
      <w:pPr>
        <w:spacing w:before="152" w:line="384" w:lineRule="auto"/>
        <w:ind w:left="264" w:right="0" w:hanging="165"/>
        <w:jc w:val="left"/>
        <w:rPr>
          <w:rFonts w:hint="eastAsia"/>
          <w:sz w:val="22"/>
        </w:rPr>
      </w:pPr>
      <w:r>
        <w:rPr>
          <w:rFonts w:hint="eastAsia"/>
          <w:sz w:val="22"/>
        </w:rPr>
        <w:t>时间线，救赎历史的，165f；末世论各学派的，20f, 613f</w:t>
      </w:r>
    </w:p>
    <w:p w14:paraId="53AE54FD">
      <w:pPr>
        <w:spacing w:before="152" w:line="384" w:lineRule="auto"/>
        <w:ind w:left="264" w:right="0" w:hanging="165"/>
        <w:jc w:val="left"/>
        <w:rPr>
          <w:rFonts w:hint="eastAsia"/>
          <w:sz w:val="22"/>
        </w:rPr>
      </w:pPr>
    </w:p>
    <w:p w14:paraId="42E7914E">
      <w:pPr>
        <w:spacing w:before="152" w:line="384" w:lineRule="auto"/>
        <w:ind w:left="264" w:right="0" w:hanging="165"/>
        <w:jc w:val="left"/>
        <w:rPr>
          <w:rFonts w:hint="eastAsia"/>
          <w:sz w:val="22"/>
        </w:rPr>
      </w:pPr>
      <w:r>
        <w:rPr>
          <w:rFonts w:hint="eastAsia"/>
          <w:sz w:val="22"/>
        </w:rPr>
        <w:t>Titus (Roman general), 34, 366f, 410, 528, 530f, 637f, 639, 644, 654</w:t>
      </w:r>
    </w:p>
    <w:p w14:paraId="15EB0311">
      <w:pPr>
        <w:spacing w:before="152" w:line="384" w:lineRule="auto"/>
        <w:ind w:left="264" w:right="0" w:hanging="165"/>
        <w:jc w:val="left"/>
        <w:rPr>
          <w:rFonts w:hint="eastAsia"/>
          <w:sz w:val="22"/>
        </w:rPr>
      </w:pPr>
    </w:p>
    <w:p w14:paraId="085917FF">
      <w:pPr>
        <w:spacing w:before="152" w:line="384" w:lineRule="auto"/>
        <w:ind w:left="264" w:right="0" w:hanging="165"/>
        <w:jc w:val="left"/>
        <w:rPr>
          <w:rFonts w:hint="eastAsia"/>
          <w:sz w:val="22"/>
        </w:rPr>
      </w:pPr>
      <w:r>
        <w:rPr>
          <w:rFonts w:hint="eastAsia"/>
          <w:sz w:val="22"/>
        </w:rPr>
        <w:t>提多（罗马将军），34, 366f, 410, 528, 530f, 637f, 639, 644, 654</w:t>
      </w:r>
    </w:p>
    <w:p w14:paraId="22509654">
      <w:pPr>
        <w:spacing w:before="152" w:line="384" w:lineRule="auto"/>
        <w:ind w:left="264" w:right="0" w:hanging="165"/>
        <w:jc w:val="left"/>
        <w:rPr>
          <w:rFonts w:hint="eastAsia"/>
          <w:sz w:val="22"/>
        </w:rPr>
      </w:pPr>
    </w:p>
    <w:p w14:paraId="12026AE6">
      <w:pPr>
        <w:spacing w:before="152" w:line="384" w:lineRule="auto"/>
        <w:ind w:left="264" w:right="0" w:hanging="165"/>
        <w:jc w:val="left"/>
        <w:rPr>
          <w:rFonts w:hint="eastAsia"/>
          <w:sz w:val="22"/>
        </w:rPr>
      </w:pPr>
      <w:r>
        <w:rPr>
          <w:rFonts w:hint="eastAsia"/>
          <w:sz w:val="22"/>
        </w:rPr>
        <w:t>Transfiguration (of Christ), 39, 42, 528, 602</w:t>
      </w:r>
    </w:p>
    <w:p w14:paraId="772C7230">
      <w:pPr>
        <w:spacing w:before="152" w:line="384" w:lineRule="auto"/>
        <w:ind w:left="264" w:right="0" w:hanging="165"/>
        <w:jc w:val="left"/>
        <w:rPr>
          <w:rFonts w:hint="eastAsia"/>
          <w:sz w:val="22"/>
        </w:rPr>
      </w:pPr>
    </w:p>
    <w:p w14:paraId="17F7E1FA">
      <w:pPr>
        <w:spacing w:before="152" w:line="384" w:lineRule="auto"/>
        <w:ind w:left="264" w:right="0" w:hanging="165"/>
        <w:jc w:val="left"/>
        <w:rPr>
          <w:rFonts w:hint="eastAsia"/>
          <w:sz w:val="22"/>
        </w:rPr>
      </w:pPr>
      <w:r>
        <w:rPr>
          <w:rFonts w:hint="eastAsia"/>
          <w:sz w:val="22"/>
        </w:rPr>
        <w:t>变像（基督的），39, 42, 528, 602</w:t>
      </w:r>
    </w:p>
    <w:p w14:paraId="113536A6">
      <w:pPr>
        <w:spacing w:before="152" w:line="384" w:lineRule="auto"/>
        <w:ind w:left="264" w:right="0" w:hanging="165"/>
        <w:jc w:val="left"/>
        <w:rPr>
          <w:rFonts w:hint="eastAsia"/>
          <w:sz w:val="22"/>
        </w:rPr>
      </w:pPr>
    </w:p>
    <w:p w14:paraId="028F3E97">
      <w:pPr>
        <w:spacing w:before="152" w:line="384" w:lineRule="auto"/>
        <w:ind w:left="264" w:right="0" w:hanging="165"/>
        <w:jc w:val="left"/>
        <w:rPr>
          <w:rFonts w:hint="eastAsia"/>
          <w:sz w:val="22"/>
        </w:rPr>
      </w:pPr>
      <w:r>
        <w:rPr>
          <w:rFonts w:hint="eastAsia"/>
          <w:sz w:val="22"/>
        </w:rPr>
        <w:t>Transformation (of living saints), 18, 148, 179, 462, 512, 521, 555f, 569, 598f</w:t>
      </w:r>
    </w:p>
    <w:p w14:paraId="0D5DF1FD">
      <w:pPr>
        <w:spacing w:before="152" w:line="384" w:lineRule="auto"/>
        <w:ind w:left="264" w:right="0" w:hanging="165"/>
        <w:jc w:val="left"/>
        <w:rPr>
          <w:rFonts w:hint="eastAsia"/>
          <w:sz w:val="22"/>
        </w:rPr>
      </w:pPr>
    </w:p>
    <w:p w14:paraId="7E237A9B">
      <w:pPr>
        <w:spacing w:before="152" w:line="384" w:lineRule="auto"/>
        <w:ind w:left="264" w:right="0" w:hanging="165"/>
        <w:jc w:val="left"/>
        <w:rPr>
          <w:rFonts w:hint="eastAsia"/>
          <w:sz w:val="22"/>
        </w:rPr>
      </w:pPr>
      <w:r>
        <w:rPr>
          <w:rFonts w:hint="eastAsia"/>
          <w:sz w:val="22"/>
        </w:rPr>
        <w:t>改变（活着圣徒的），18, 148, 179, 462, 512, 521, 555f, 569, 598f</w:t>
      </w:r>
    </w:p>
    <w:p w14:paraId="6FC4E0D1">
      <w:pPr>
        <w:spacing w:before="152" w:line="384" w:lineRule="auto"/>
        <w:ind w:left="264" w:right="0" w:hanging="165"/>
        <w:jc w:val="left"/>
        <w:rPr>
          <w:rFonts w:hint="eastAsia"/>
          <w:sz w:val="22"/>
        </w:rPr>
      </w:pPr>
    </w:p>
    <w:p w14:paraId="3B11A64C">
      <w:pPr>
        <w:spacing w:before="152" w:line="384" w:lineRule="auto"/>
        <w:ind w:left="264" w:right="0" w:hanging="165"/>
        <w:jc w:val="left"/>
        <w:rPr>
          <w:rFonts w:hint="eastAsia"/>
          <w:sz w:val="22"/>
        </w:rPr>
      </w:pPr>
      <w:r>
        <w:rPr>
          <w:rFonts w:hint="eastAsia"/>
          <w:sz w:val="22"/>
        </w:rPr>
        <w:t>Tribe(s), of the Earth, 87, 174, 263, 294, 432, 541; of Judah, 197, 302, 337, 386, 439; of Israel, 114, 117, 354; of Levi, 202, 236, 245, 327, 389; in OTKP, 313, 344, 348, 398f, 341f; in Rev. 7, 421, 694f</w:t>
      </w:r>
    </w:p>
    <w:p w14:paraId="53C9B35B">
      <w:pPr>
        <w:spacing w:before="152" w:line="384" w:lineRule="auto"/>
        <w:ind w:left="264" w:right="0" w:hanging="165"/>
        <w:jc w:val="left"/>
        <w:rPr>
          <w:rFonts w:hint="eastAsia"/>
          <w:sz w:val="22"/>
        </w:rPr>
      </w:pPr>
    </w:p>
    <w:p w14:paraId="4C4F364F">
      <w:pPr>
        <w:spacing w:before="152" w:line="384" w:lineRule="auto"/>
        <w:ind w:left="264" w:right="0" w:hanging="165"/>
        <w:jc w:val="left"/>
        <w:rPr>
          <w:rFonts w:hint="eastAsia"/>
          <w:sz w:val="22"/>
        </w:rPr>
      </w:pPr>
      <w:r>
        <w:rPr>
          <w:rFonts w:hint="eastAsia"/>
          <w:sz w:val="22"/>
        </w:rPr>
        <w:t>支派（复数），地上的，87, 174, 263, 294, 432, 541；犹大的，197, 302, 337, 386, 439；以色列的，114, 117, 354；利未的，202, 236, 245, 327, 389；在OTKP中，313, 344, 348, 398f, 341f；在启示录7章中，421, 694f</w:t>
      </w:r>
    </w:p>
    <w:p w14:paraId="6395DA18">
      <w:pPr>
        <w:spacing w:before="152" w:line="384" w:lineRule="auto"/>
        <w:ind w:left="264" w:right="0" w:hanging="165"/>
        <w:jc w:val="left"/>
        <w:rPr>
          <w:rFonts w:hint="eastAsia"/>
          <w:sz w:val="22"/>
        </w:rPr>
      </w:pPr>
    </w:p>
    <w:p w14:paraId="775F2E26">
      <w:pPr>
        <w:spacing w:before="152" w:line="384" w:lineRule="auto"/>
        <w:ind w:left="264" w:right="0" w:hanging="165"/>
        <w:jc w:val="left"/>
        <w:rPr>
          <w:rFonts w:hint="eastAsia"/>
          <w:sz w:val="22"/>
        </w:rPr>
      </w:pPr>
      <w:r>
        <w:rPr>
          <w:rFonts w:hint="eastAsia"/>
          <w:sz w:val="22"/>
        </w:rPr>
        <w:t>Tribulation, saints appointed to, xix, 137, 357, 396, 416, 536, 582</w:t>
      </w:r>
    </w:p>
    <w:p w14:paraId="54E63419">
      <w:pPr>
        <w:spacing w:before="152" w:line="384" w:lineRule="auto"/>
        <w:ind w:left="264" w:right="0" w:hanging="165"/>
        <w:jc w:val="left"/>
        <w:rPr>
          <w:rFonts w:hint="eastAsia"/>
          <w:sz w:val="22"/>
        </w:rPr>
      </w:pPr>
    </w:p>
    <w:p w14:paraId="1DE5160F">
      <w:pPr>
        <w:spacing w:before="152" w:line="384" w:lineRule="auto"/>
        <w:ind w:left="264" w:right="0" w:hanging="165"/>
        <w:jc w:val="left"/>
        <w:rPr>
          <w:rFonts w:hint="eastAsia"/>
          <w:sz w:val="22"/>
        </w:rPr>
      </w:pPr>
      <w:r>
        <w:rPr>
          <w:rFonts w:hint="eastAsia"/>
          <w:sz w:val="22"/>
        </w:rPr>
        <w:t>患难，圣徒被命定要受的，xix, 137, 357, 396, 416, 536, 582</w:t>
      </w:r>
    </w:p>
    <w:p w14:paraId="5F63254F">
      <w:pPr>
        <w:spacing w:before="152" w:line="384" w:lineRule="auto"/>
        <w:ind w:left="264" w:right="0" w:hanging="165"/>
        <w:jc w:val="left"/>
        <w:rPr>
          <w:rFonts w:hint="eastAsia"/>
          <w:sz w:val="22"/>
        </w:rPr>
      </w:pPr>
    </w:p>
    <w:p w14:paraId="4B8751A5">
      <w:pPr>
        <w:spacing w:before="152" w:line="384" w:lineRule="auto"/>
        <w:ind w:left="264" w:right="0" w:hanging="165"/>
        <w:jc w:val="left"/>
        <w:rPr>
          <w:rFonts w:hint="eastAsia"/>
          <w:sz w:val="22"/>
        </w:rPr>
      </w:pPr>
      <w:r>
        <w:rPr>
          <w:rFonts w:hint="eastAsia"/>
          <w:sz w:val="22"/>
        </w:rPr>
        <w:t>Tribulation (the Great), Evangelical views of, 20f, 613f; defined, 173; in OTKP, 375, 386; in the Revelation, 412, 443, 451, 498; in DNT, 531, 593, 607</w:t>
      </w:r>
    </w:p>
    <w:p w14:paraId="2ACF8073">
      <w:pPr>
        <w:spacing w:before="152" w:line="384" w:lineRule="auto"/>
        <w:ind w:left="264" w:right="0" w:hanging="165"/>
        <w:jc w:val="left"/>
        <w:rPr>
          <w:rFonts w:hint="eastAsia"/>
          <w:sz w:val="22"/>
        </w:rPr>
      </w:pPr>
    </w:p>
    <w:p w14:paraId="42E492D4">
      <w:pPr>
        <w:spacing w:before="152" w:line="384" w:lineRule="auto"/>
        <w:ind w:left="264" w:right="0" w:hanging="165"/>
        <w:jc w:val="left"/>
        <w:rPr>
          <w:rFonts w:hint="eastAsia"/>
          <w:sz w:val="22"/>
        </w:rPr>
      </w:pPr>
      <w:r>
        <w:rPr>
          <w:rFonts w:hint="eastAsia"/>
          <w:sz w:val="22"/>
        </w:rPr>
        <w:t>大患难，福音派的观点，20f, 613f；定义，173；在OTKP中，375, 386；在启示录中，412, 443, 451, 498；在DNT中，531, 593, 607</w:t>
      </w:r>
    </w:p>
    <w:p w14:paraId="7A392A81">
      <w:pPr>
        <w:spacing w:before="152" w:line="384" w:lineRule="auto"/>
        <w:ind w:left="264" w:right="0" w:hanging="165"/>
        <w:jc w:val="left"/>
        <w:rPr>
          <w:rFonts w:hint="eastAsia"/>
          <w:sz w:val="22"/>
        </w:rPr>
      </w:pPr>
    </w:p>
    <w:p w14:paraId="0845DDB6">
      <w:pPr>
        <w:spacing w:before="152" w:line="384" w:lineRule="auto"/>
        <w:ind w:left="264" w:right="0" w:hanging="165"/>
        <w:jc w:val="left"/>
        <w:rPr>
          <w:rFonts w:hint="eastAsia"/>
          <w:sz w:val="22"/>
        </w:rPr>
      </w:pPr>
      <w:r>
        <w:rPr>
          <w:rFonts w:hint="eastAsia"/>
          <w:sz w:val="22"/>
        </w:rPr>
        <w:t>Tribulation (the Greatest); Christ on, 531f, 538f; in OTKP, 316, 352, 362, 377, 395, 405; in NT, 447, 582, 593f, 605</w:t>
      </w:r>
    </w:p>
    <w:p w14:paraId="29DEB454">
      <w:pPr>
        <w:spacing w:before="152" w:line="384" w:lineRule="auto"/>
        <w:ind w:left="264" w:right="0" w:hanging="165"/>
        <w:jc w:val="left"/>
        <w:rPr>
          <w:rFonts w:hint="eastAsia"/>
          <w:sz w:val="22"/>
        </w:rPr>
      </w:pPr>
    </w:p>
    <w:p w14:paraId="40A18BF5">
      <w:pPr>
        <w:spacing w:before="152" w:line="384" w:lineRule="auto"/>
        <w:ind w:left="264" w:right="0" w:hanging="165"/>
        <w:jc w:val="left"/>
        <w:rPr>
          <w:rFonts w:hint="eastAsia"/>
          <w:sz w:val="22"/>
        </w:rPr>
      </w:pPr>
      <w:r>
        <w:rPr>
          <w:rFonts w:hint="eastAsia"/>
          <w:sz w:val="22"/>
        </w:rPr>
        <w:t>最大的患难；基督论，531f, 538f；在OTKP中，316, 352, 362, 377, 395, 405；在新约中，447, 582, 593f, 605</w:t>
      </w:r>
    </w:p>
    <w:p w14:paraId="13399393">
      <w:pPr>
        <w:spacing w:before="152" w:line="384" w:lineRule="auto"/>
        <w:ind w:left="264" w:right="0" w:hanging="165"/>
        <w:jc w:val="left"/>
        <w:rPr>
          <w:rFonts w:hint="eastAsia"/>
          <w:sz w:val="22"/>
        </w:rPr>
      </w:pPr>
    </w:p>
    <w:p w14:paraId="1163BB2A">
      <w:pPr>
        <w:spacing w:before="152" w:line="384" w:lineRule="auto"/>
        <w:ind w:left="264" w:right="0" w:hanging="165"/>
        <w:jc w:val="left"/>
        <w:rPr>
          <w:rFonts w:hint="eastAsia"/>
          <w:sz w:val="22"/>
        </w:rPr>
      </w:pPr>
      <w:r>
        <w:rPr>
          <w:rFonts w:hint="eastAsia"/>
          <w:sz w:val="22"/>
        </w:rPr>
        <w:t>Tribulation (the), in Dispensationalism, 28f, 296, 309, 368f, 428, 433, 467, 489, 524, 540, 568f, 627f</w:t>
      </w:r>
    </w:p>
    <w:p w14:paraId="56453399">
      <w:pPr>
        <w:spacing w:before="152" w:line="384" w:lineRule="auto"/>
        <w:ind w:left="264" w:right="0" w:hanging="165"/>
        <w:jc w:val="left"/>
        <w:rPr>
          <w:rFonts w:hint="eastAsia"/>
          <w:sz w:val="22"/>
        </w:rPr>
      </w:pPr>
    </w:p>
    <w:p w14:paraId="1FC9BE38">
      <w:pPr>
        <w:spacing w:before="152" w:line="384" w:lineRule="auto"/>
        <w:ind w:left="264" w:right="0" w:hanging="165"/>
        <w:jc w:val="left"/>
        <w:rPr>
          <w:rFonts w:hint="eastAsia"/>
          <w:sz w:val="22"/>
        </w:rPr>
      </w:pPr>
      <w:r>
        <w:rPr>
          <w:rFonts w:hint="eastAsia"/>
          <w:sz w:val="22"/>
        </w:rPr>
        <w:t>患难，在时代论中，28f, 296, 309, 368f, 428, 433, 467, 489, 524, 540, 568f, 627f</w:t>
      </w:r>
    </w:p>
    <w:p w14:paraId="2E094D6F">
      <w:pPr>
        <w:spacing w:before="152" w:line="384" w:lineRule="auto"/>
        <w:ind w:left="264" w:right="0" w:hanging="165"/>
        <w:jc w:val="left"/>
        <w:rPr>
          <w:rFonts w:hint="eastAsia"/>
          <w:sz w:val="22"/>
        </w:rPr>
      </w:pPr>
    </w:p>
    <w:p w14:paraId="3ED6854F">
      <w:pPr>
        <w:spacing w:before="152" w:line="384" w:lineRule="auto"/>
        <w:ind w:left="264" w:right="0" w:hanging="165"/>
        <w:jc w:val="left"/>
        <w:rPr>
          <w:rFonts w:hint="eastAsia"/>
          <w:sz w:val="22"/>
        </w:rPr>
      </w:pPr>
      <w:r>
        <w:rPr>
          <w:rFonts w:hint="eastAsia"/>
          <w:sz w:val="22"/>
        </w:rPr>
        <w:t>Trumpet judgments, 429, 444f, 454</w:t>
      </w:r>
    </w:p>
    <w:p w14:paraId="20E3112F">
      <w:pPr>
        <w:spacing w:before="152" w:line="384" w:lineRule="auto"/>
        <w:ind w:left="264" w:right="0" w:hanging="165"/>
        <w:jc w:val="left"/>
        <w:rPr>
          <w:rFonts w:hint="eastAsia"/>
          <w:sz w:val="22"/>
        </w:rPr>
      </w:pPr>
    </w:p>
    <w:p w14:paraId="6CB3B173">
      <w:pPr>
        <w:spacing w:before="152" w:line="384" w:lineRule="auto"/>
        <w:ind w:left="264" w:right="0" w:hanging="165"/>
        <w:jc w:val="left"/>
        <w:rPr>
          <w:rFonts w:hint="eastAsia"/>
          <w:sz w:val="22"/>
        </w:rPr>
      </w:pPr>
      <w:r>
        <w:rPr>
          <w:rFonts w:hint="eastAsia"/>
          <w:sz w:val="22"/>
        </w:rPr>
        <w:t>号角审判，429, 444f, 454</w:t>
      </w:r>
    </w:p>
    <w:p w14:paraId="06630504">
      <w:pPr>
        <w:spacing w:before="152" w:line="384" w:lineRule="auto"/>
        <w:ind w:left="264" w:right="0" w:hanging="165"/>
        <w:jc w:val="left"/>
        <w:rPr>
          <w:rFonts w:hint="eastAsia"/>
          <w:sz w:val="22"/>
        </w:rPr>
      </w:pPr>
    </w:p>
    <w:p w14:paraId="335C17EA">
      <w:pPr>
        <w:spacing w:before="152" w:line="384" w:lineRule="auto"/>
        <w:ind w:left="264" w:right="0" w:hanging="165"/>
        <w:jc w:val="left"/>
        <w:rPr>
          <w:rFonts w:hint="eastAsia"/>
          <w:sz w:val="22"/>
        </w:rPr>
      </w:pPr>
      <w:r>
        <w:rPr>
          <w:rFonts w:hint="eastAsia"/>
          <w:sz w:val="22"/>
        </w:rPr>
        <w:t>Two witnesses (of Rev. 11), 422, 430, 446f, 470, 487</w:t>
      </w:r>
    </w:p>
    <w:p w14:paraId="247362CA">
      <w:pPr>
        <w:spacing w:before="152" w:line="384" w:lineRule="auto"/>
        <w:ind w:left="264" w:right="0" w:hanging="165"/>
        <w:jc w:val="left"/>
        <w:rPr>
          <w:rFonts w:hint="eastAsia"/>
          <w:sz w:val="22"/>
        </w:rPr>
      </w:pPr>
    </w:p>
    <w:p w14:paraId="2C681579">
      <w:pPr>
        <w:spacing w:before="152" w:line="384" w:lineRule="auto"/>
        <w:ind w:left="264" w:right="0" w:hanging="165"/>
        <w:jc w:val="left"/>
        <w:rPr>
          <w:rFonts w:hint="eastAsia"/>
          <w:sz w:val="22"/>
        </w:rPr>
      </w:pPr>
      <w:r>
        <w:rPr>
          <w:rFonts w:hint="eastAsia"/>
          <w:sz w:val="22"/>
        </w:rPr>
        <w:t>两个见证人（启示录11章的），422, 430, 446f, 470, 487</w:t>
      </w:r>
    </w:p>
    <w:p w14:paraId="2874C029">
      <w:pPr>
        <w:spacing w:before="152" w:line="384" w:lineRule="auto"/>
        <w:ind w:left="264" w:right="0" w:hanging="165"/>
        <w:jc w:val="left"/>
        <w:rPr>
          <w:rFonts w:hint="eastAsia"/>
          <w:sz w:val="22"/>
        </w:rPr>
      </w:pPr>
    </w:p>
    <w:p w14:paraId="1D00FF1C">
      <w:pPr>
        <w:spacing w:before="152" w:line="384" w:lineRule="auto"/>
        <w:ind w:left="264" w:right="0" w:hanging="165"/>
        <w:jc w:val="left"/>
        <w:rPr>
          <w:rFonts w:hint="eastAsia"/>
          <w:sz w:val="22"/>
        </w:rPr>
      </w:pPr>
      <w:r>
        <w:rPr>
          <w:rFonts w:hint="eastAsia"/>
          <w:sz w:val="22"/>
        </w:rPr>
        <w:t>Type(s), and NCH, 50, 169, 181, 231f; examples of, 232; and the Law, 65f; and the EC, 100f; and the Protoevangelium, 107f, 229f</w:t>
      </w:r>
    </w:p>
    <w:p w14:paraId="4D4C61C1">
      <w:pPr>
        <w:spacing w:before="152" w:line="384" w:lineRule="auto"/>
        <w:ind w:left="264" w:right="0" w:hanging="165"/>
        <w:jc w:val="left"/>
        <w:rPr>
          <w:rFonts w:hint="eastAsia"/>
          <w:sz w:val="22"/>
        </w:rPr>
      </w:pPr>
    </w:p>
    <w:p w14:paraId="2A8BF9DA">
      <w:pPr>
        <w:spacing w:before="152" w:line="384" w:lineRule="auto"/>
        <w:ind w:left="264" w:right="0" w:hanging="165"/>
        <w:jc w:val="left"/>
        <w:rPr>
          <w:sz w:val="22"/>
        </w:rPr>
      </w:pPr>
      <w:r>
        <w:rPr>
          <w:rFonts w:hint="eastAsia"/>
          <w:sz w:val="22"/>
        </w:rPr>
        <w:t>预表（复数），与NCH，50, 169, 181, 231f；其例子，232；与律法，65f；与EC，100f；与原始福音，107f, 229f</w:t>
      </w:r>
    </w:p>
    <w:p w14:paraId="53761090">
      <w:pPr>
        <w:pStyle w:val="5"/>
        <w:spacing w:before="63"/>
      </w:pPr>
      <w:r>
        <w:rPr>
          <w:color w:val="231F20"/>
          <w:spacing w:val="-10"/>
        </w:rPr>
        <w:t>U</w:t>
      </w:r>
    </w:p>
    <w:p w14:paraId="4AF03A50">
      <w:pPr>
        <w:spacing w:before="69"/>
        <w:ind w:left="99" w:right="0" w:firstLine="0"/>
        <w:jc w:val="left"/>
        <w:rPr>
          <w:rFonts w:hint="eastAsia"/>
          <w:b w:val="0"/>
          <w:bCs/>
          <w:sz w:val="22"/>
        </w:rPr>
      </w:pPr>
    </w:p>
    <w:p w14:paraId="13238E7D">
      <w:pPr>
        <w:spacing w:before="69"/>
        <w:ind w:left="99" w:right="0" w:firstLine="0"/>
        <w:jc w:val="left"/>
        <w:rPr>
          <w:rFonts w:hint="eastAsia"/>
          <w:b w:val="0"/>
          <w:bCs/>
          <w:sz w:val="22"/>
        </w:rPr>
      </w:pPr>
      <w:r>
        <w:rPr>
          <w:rFonts w:hint="eastAsia"/>
          <w:b w:val="0"/>
          <w:bCs/>
          <w:sz w:val="22"/>
        </w:rPr>
        <w:t>Unity, theological, xvii, 37; of mankind, 85f, 290; of OT Covenants, 117f; of eschatological “Israel”, 200, 208, 313, 350; of Scripture, 405</w:t>
      </w:r>
    </w:p>
    <w:p w14:paraId="2322A004">
      <w:pPr>
        <w:spacing w:before="69"/>
        <w:ind w:left="99" w:right="0" w:firstLine="0"/>
        <w:jc w:val="left"/>
        <w:rPr>
          <w:rFonts w:hint="eastAsia"/>
          <w:b w:val="0"/>
          <w:bCs/>
          <w:sz w:val="22"/>
        </w:rPr>
      </w:pPr>
    </w:p>
    <w:p w14:paraId="2C951D69">
      <w:pPr>
        <w:spacing w:before="69"/>
        <w:ind w:left="99" w:right="0" w:firstLine="0"/>
        <w:jc w:val="left"/>
        <w:rPr>
          <w:rFonts w:hint="eastAsia"/>
          <w:b w:val="0"/>
          <w:bCs/>
          <w:sz w:val="22"/>
        </w:rPr>
      </w:pPr>
      <w:r>
        <w:rPr>
          <w:rFonts w:hint="eastAsia"/>
          <w:b w:val="0"/>
          <w:bCs/>
          <w:sz w:val="22"/>
        </w:rPr>
        <w:t>合一，神学的，xvii, 37；人类的，85f, 290；旧约诸约的，117f；末世论“以色列”的，200, 208, 313, 350；圣经的，405</w:t>
      </w:r>
    </w:p>
    <w:p w14:paraId="57DD53A3">
      <w:pPr>
        <w:spacing w:before="69"/>
        <w:ind w:left="99" w:right="0" w:firstLine="0"/>
        <w:jc w:val="left"/>
        <w:rPr>
          <w:rFonts w:hint="eastAsia"/>
          <w:b w:val="0"/>
          <w:bCs/>
          <w:sz w:val="22"/>
        </w:rPr>
      </w:pPr>
    </w:p>
    <w:p w14:paraId="05C4719B">
      <w:pPr>
        <w:spacing w:before="69"/>
        <w:ind w:left="99" w:right="0" w:firstLine="0"/>
        <w:jc w:val="left"/>
        <w:rPr>
          <w:rFonts w:hint="eastAsia"/>
          <w:b w:val="0"/>
          <w:bCs/>
          <w:sz w:val="22"/>
        </w:rPr>
      </w:pPr>
      <w:r>
        <w:rPr>
          <w:rFonts w:hint="eastAsia"/>
          <w:b w:val="0"/>
          <w:bCs/>
          <w:sz w:val="22"/>
        </w:rPr>
        <w:t>Unity (of the Consummation), 514f, 585, 591; texts on, 521; how Premillennialism shatters, 627; how Preterism shatters, 645</w:t>
      </w:r>
    </w:p>
    <w:p w14:paraId="7761EDA6">
      <w:pPr>
        <w:spacing w:before="69"/>
        <w:ind w:left="99" w:right="0" w:firstLine="0"/>
        <w:jc w:val="left"/>
        <w:rPr>
          <w:rFonts w:hint="eastAsia"/>
          <w:b w:val="0"/>
          <w:bCs/>
          <w:sz w:val="22"/>
        </w:rPr>
      </w:pPr>
    </w:p>
    <w:p w14:paraId="18363D92">
      <w:pPr>
        <w:spacing w:before="69"/>
        <w:ind w:left="99" w:right="0" w:firstLine="0"/>
        <w:jc w:val="left"/>
        <w:rPr>
          <w:rFonts w:hint="eastAsia"/>
          <w:b w:val="0"/>
          <w:bCs/>
          <w:sz w:val="22"/>
        </w:rPr>
      </w:pPr>
      <w:r>
        <w:rPr>
          <w:rFonts w:hint="eastAsia"/>
          <w:b w:val="0"/>
          <w:bCs/>
          <w:sz w:val="22"/>
        </w:rPr>
        <w:t>合一（最终成全的），514f, 585, 591；其经文，521；前千禧年论如何粉碎，627；末世预言已应验论如何粉碎，645</w:t>
      </w:r>
    </w:p>
    <w:p w14:paraId="6BD90CCB">
      <w:pPr>
        <w:spacing w:before="69"/>
        <w:ind w:left="99" w:right="0" w:firstLine="0"/>
        <w:jc w:val="left"/>
        <w:rPr>
          <w:rFonts w:hint="eastAsia"/>
          <w:b w:val="0"/>
          <w:bCs/>
          <w:sz w:val="22"/>
        </w:rPr>
      </w:pPr>
    </w:p>
    <w:p w14:paraId="15B74B0D">
      <w:pPr>
        <w:spacing w:before="69"/>
        <w:ind w:left="99" w:right="0" w:firstLine="0"/>
        <w:jc w:val="left"/>
        <w:rPr>
          <w:rFonts w:hint="eastAsia"/>
          <w:b w:val="0"/>
          <w:bCs/>
          <w:sz w:val="22"/>
        </w:rPr>
      </w:pPr>
      <w:r>
        <w:rPr>
          <w:rFonts w:hint="eastAsia"/>
          <w:b w:val="0"/>
          <w:bCs/>
          <w:sz w:val="22"/>
        </w:rPr>
        <w:t>Universality, of the Kingdom in OTKP, 11, 191f, 399; of Messianic Reign, 133, 156, 196f, 284, 288, 360, 473; of Gospel proclamation, 100, 471, 532; of the Rebellion, 320, 322, 376, 488, 578; of the Judgment, 453, 491, 531, 537, 545</w:t>
      </w:r>
    </w:p>
    <w:p w14:paraId="30C20CFE">
      <w:pPr>
        <w:spacing w:before="69"/>
        <w:ind w:left="99" w:right="0" w:firstLine="0"/>
        <w:jc w:val="left"/>
        <w:rPr>
          <w:rFonts w:hint="eastAsia"/>
          <w:b w:val="0"/>
          <w:bCs/>
          <w:sz w:val="22"/>
        </w:rPr>
      </w:pPr>
    </w:p>
    <w:p w14:paraId="1C15D926">
      <w:pPr>
        <w:spacing w:before="69"/>
        <w:ind w:left="99" w:right="0" w:firstLine="0"/>
        <w:jc w:val="left"/>
        <w:rPr>
          <w:rFonts w:hint="eastAsia"/>
          <w:b w:val="0"/>
          <w:bCs/>
          <w:sz w:val="22"/>
        </w:rPr>
      </w:pPr>
      <w:r>
        <w:rPr>
          <w:rFonts w:hint="eastAsia"/>
          <w:b w:val="0"/>
          <w:bCs/>
          <w:sz w:val="22"/>
        </w:rPr>
        <w:t>普世性，在OTKP中国度的，11, 191f, 399；弥赛亚统治的，133, 156, 196f, 284, 288, 360, 473；福音宣讲的，100, 471, 532；背道的，320, 322, 376, 488, 578；审判的，453, 491, 531, 537, 545</w:t>
      </w:r>
    </w:p>
    <w:p w14:paraId="371BB126">
      <w:pPr>
        <w:spacing w:before="69"/>
        <w:ind w:left="99" w:right="0" w:firstLine="0"/>
        <w:jc w:val="left"/>
        <w:rPr>
          <w:rFonts w:hint="eastAsia"/>
          <w:b w:val="0"/>
          <w:bCs/>
          <w:sz w:val="22"/>
        </w:rPr>
      </w:pPr>
    </w:p>
    <w:p w14:paraId="631FBCE9">
      <w:pPr>
        <w:spacing w:before="69"/>
        <w:ind w:left="99" w:right="0" w:firstLine="0"/>
        <w:jc w:val="left"/>
        <w:rPr>
          <w:rFonts w:hint="eastAsia"/>
          <w:b w:val="0"/>
          <w:bCs/>
          <w:sz w:val="22"/>
        </w:rPr>
      </w:pPr>
      <w:r>
        <w:rPr>
          <w:rFonts w:hint="eastAsia"/>
          <w:b w:val="0"/>
          <w:bCs/>
          <w:sz w:val="22"/>
        </w:rPr>
        <w:t>Upper Room Discourse, 63, 141f, 540f</w:t>
      </w:r>
    </w:p>
    <w:p w14:paraId="2554F3EC">
      <w:pPr>
        <w:spacing w:before="69"/>
        <w:ind w:left="99" w:right="0" w:firstLine="0"/>
        <w:jc w:val="left"/>
        <w:rPr>
          <w:rFonts w:hint="eastAsia"/>
          <w:b w:val="0"/>
          <w:bCs/>
          <w:sz w:val="22"/>
        </w:rPr>
      </w:pPr>
    </w:p>
    <w:p w14:paraId="795AE357">
      <w:pPr>
        <w:spacing w:before="69"/>
        <w:ind w:left="99" w:right="0" w:firstLine="0"/>
        <w:jc w:val="left"/>
        <w:rPr>
          <w:rFonts w:hint="eastAsia"/>
          <w:b w:val="0"/>
          <w:bCs/>
          <w:sz w:val="22"/>
        </w:rPr>
      </w:pPr>
      <w:r>
        <w:rPr>
          <w:rFonts w:hint="eastAsia"/>
          <w:b w:val="0"/>
          <w:bCs/>
          <w:sz w:val="22"/>
        </w:rPr>
        <w:t>楼房上的讲论，63, 141f, 540f</w:t>
      </w:r>
    </w:p>
    <w:p w14:paraId="6B84F628">
      <w:pPr>
        <w:spacing w:before="69"/>
        <w:ind w:left="99" w:right="0" w:firstLine="0"/>
        <w:jc w:val="left"/>
        <w:rPr>
          <w:rFonts w:hint="eastAsia"/>
          <w:b w:val="0"/>
          <w:bCs/>
          <w:sz w:val="22"/>
        </w:rPr>
      </w:pPr>
    </w:p>
    <w:p w14:paraId="0C839287">
      <w:pPr>
        <w:pStyle w:val="5"/>
        <w:spacing w:before="215"/>
        <w:rPr>
          <w:color w:val="231F20"/>
          <w:spacing w:val="-10"/>
        </w:rPr>
      </w:pPr>
      <w:r>
        <w:rPr>
          <w:color w:val="231F20"/>
          <w:spacing w:val="-10"/>
        </w:rPr>
        <w:t>V</w:t>
      </w:r>
    </w:p>
    <w:p w14:paraId="684A0CED">
      <w:pPr>
        <w:bidi w:val="0"/>
        <w:rPr>
          <w:rFonts w:hint="eastAsia"/>
        </w:rPr>
      </w:pPr>
    </w:p>
    <w:p w14:paraId="12F6288E">
      <w:pPr>
        <w:bidi w:val="0"/>
        <w:rPr>
          <w:rFonts w:hint="eastAsia"/>
        </w:rPr>
      </w:pPr>
      <w:r>
        <w:rPr>
          <w:rFonts w:hint="eastAsia"/>
        </w:rPr>
        <w:t>Valley (of Dry Bones), 309f</w:t>
      </w:r>
    </w:p>
    <w:p w14:paraId="03AEC111">
      <w:pPr>
        <w:bidi w:val="0"/>
        <w:rPr>
          <w:rFonts w:hint="eastAsia"/>
        </w:rPr>
      </w:pPr>
    </w:p>
    <w:p w14:paraId="02E9C723">
      <w:pPr>
        <w:bidi w:val="0"/>
        <w:rPr>
          <w:rFonts w:hint="eastAsia"/>
        </w:rPr>
      </w:pPr>
      <w:r>
        <w:rPr>
          <w:rFonts w:hint="eastAsia"/>
        </w:rPr>
        <w:t>枯骨之谷, 309f</w:t>
      </w:r>
    </w:p>
    <w:p w14:paraId="71394845">
      <w:pPr>
        <w:bidi w:val="0"/>
        <w:rPr>
          <w:rFonts w:hint="eastAsia"/>
        </w:rPr>
      </w:pPr>
    </w:p>
    <w:p w14:paraId="575990B7">
      <w:pPr>
        <w:bidi w:val="0"/>
        <w:rPr>
          <w:rFonts w:hint="eastAsia"/>
        </w:rPr>
      </w:pPr>
      <w:r>
        <w:rPr>
          <w:rFonts w:hint="eastAsia"/>
        </w:rPr>
        <w:t>Vultures, 533</w:t>
      </w:r>
    </w:p>
    <w:p w14:paraId="0687A211">
      <w:pPr>
        <w:bidi w:val="0"/>
        <w:rPr>
          <w:rFonts w:hint="eastAsia"/>
        </w:rPr>
      </w:pPr>
    </w:p>
    <w:p w14:paraId="666358B6">
      <w:pPr>
        <w:bidi w:val="0"/>
      </w:pPr>
      <w:r>
        <w:rPr>
          <w:rFonts w:hint="eastAsia"/>
        </w:rPr>
        <w:t>秃鹰, 533</w:t>
      </w:r>
    </w:p>
    <w:p w14:paraId="55F235BF">
      <w:pPr>
        <w:pStyle w:val="5"/>
        <w:spacing w:before="63"/>
      </w:pPr>
      <w:r>
        <w:rPr>
          <w:color w:val="231F20"/>
          <w:spacing w:val="-10"/>
        </w:rPr>
        <w:t>W</w:t>
      </w:r>
    </w:p>
    <w:p w14:paraId="6C5487BE">
      <w:pPr>
        <w:spacing w:before="152"/>
        <w:ind w:left="264" w:right="0" w:firstLine="0"/>
        <w:jc w:val="left"/>
        <w:rPr>
          <w:rFonts w:hint="eastAsia"/>
          <w:sz w:val="22"/>
        </w:rPr>
      </w:pPr>
    </w:p>
    <w:p w14:paraId="590A788C">
      <w:pPr>
        <w:spacing w:before="152"/>
        <w:ind w:left="264" w:right="0" w:firstLine="0"/>
        <w:jc w:val="left"/>
        <w:rPr>
          <w:rFonts w:hint="eastAsia"/>
          <w:sz w:val="22"/>
        </w:rPr>
      </w:pPr>
      <w:r>
        <w:rPr>
          <w:rFonts w:hint="eastAsia"/>
          <w:sz w:val="22"/>
        </w:rPr>
        <w:t>War (the), 474, 486f, 675; (see, Last Battle)</w:t>
      </w:r>
    </w:p>
    <w:p w14:paraId="450CC0D0">
      <w:pPr>
        <w:spacing w:before="152"/>
        <w:ind w:left="264" w:right="0" w:firstLine="0"/>
        <w:jc w:val="left"/>
        <w:rPr>
          <w:rFonts w:hint="eastAsia"/>
          <w:sz w:val="22"/>
        </w:rPr>
      </w:pPr>
    </w:p>
    <w:p w14:paraId="17F47CCA">
      <w:pPr>
        <w:spacing w:before="152"/>
        <w:ind w:left="264" w:right="0" w:firstLine="0"/>
        <w:jc w:val="left"/>
        <w:rPr>
          <w:rFonts w:hint="eastAsia"/>
          <w:sz w:val="22"/>
        </w:rPr>
      </w:pPr>
      <w:r>
        <w:rPr>
          <w:rFonts w:hint="eastAsia"/>
          <w:sz w:val="22"/>
        </w:rPr>
        <w:t>争战, 474, 486f, 675; (参见, 最后的争战)</w:t>
      </w:r>
    </w:p>
    <w:p w14:paraId="3078A425">
      <w:pPr>
        <w:spacing w:before="152"/>
        <w:ind w:left="264" w:right="0" w:firstLine="0"/>
        <w:jc w:val="left"/>
        <w:rPr>
          <w:rFonts w:hint="eastAsia"/>
          <w:sz w:val="22"/>
        </w:rPr>
      </w:pPr>
    </w:p>
    <w:p w14:paraId="69129EC6">
      <w:pPr>
        <w:spacing w:before="152"/>
        <w:ind w:left="264" w:right="0" w:firstLine="0"/>
        <w:jc w:val="left"/>
        <w:rPr>
          <w:rFonts w:hint="eastAsia"/>
          <w:sz w:val="22"/>
        </w:rPr>
      </w:pPr>
      <w:r>
        <w:rPr>
          <w:rFonts w:hint="eastAsia"/>
          <w:sz w:val="22"/>
        </w:rPr>
        <w:t>Water(s), of Eden, 71, 347, 682; of the Flood, 112, 232; of Red Sea, 120, 505; in OTKP, 72, 203, 289, 346f, 399f; in the Revelation, 355, 456, 499; in WTC, 602</w:t>
      </w:r>
    </w:p>
    <w:p w14:paraId="00AF8A48">
      <w:pPr>
        <w:spacing w:before="152"/>
        <w:ind w:left="264" w:right="0" w:firstLine="0"/>
        <w:jc w:val="left"/>
        <w:rPr>
          <w:rFonts w:hint="eastAsia"/>
          <w:sz w:val="22"/>
        </w:rPr>
      </w:pPr>
    </w:p>
    <w:p w14:paraId="4536F82B">
      <w:pPr>
        <w:spacing w:before="152"/>
        <w:ind w:left="264" w:right="0" w:firstLine="0"/>
        <w:jc w:val="left"/>
        <w:rPr>
          <w:rFonts w:hint="eastAsia"/>
          <w:sz w:val="22"/>
        </w:rPr>
      </w:pPr>
      <w:r>
        <w:rPr>
          <w:rFonts w:hint="eastAsia"/>
          <w:sz w:val="22"/>
        </w:rPr>
        <w:t>水（复数），伊甸的，71, 347, 682；洪水的，112, 232；红海的，120, 505；在OTKP中，72, 203, 289, 346f, 399f；在启示录中，355, 456, 499；在WTC中，602</w:t>
      </w:r>
    </w:p>
    <w:p w14:paraId="6E42BC97">
      <w:pPr>
        <w:spacing w:before="152"/>
        <w:ind w:left="264" w:right="0" w:firstLine="0"/>
        <w:jc w:val="left"/>
        <w:rPr>
          <w:rFonts w:hint="eastAsia"/>
          <w:sz w:val="22"/>
        </w:rPr>
      </w:pPr>
    </w:p>
    <w:p w14:paraId="6E60FAD5">
      <w:pPr>
        <w:spacing w:before="152"/>
        <w:ind w:left="264" w:right="0" w:firstLine="0"/>
        <w:jc w:val="left"/>
        <w:rPr>
          <w:rFonts w:hint="eastAsia"/>
          <w:sz w:val="22"/>
        </w:rPr>
      </w:pPr>
      <w:r>
        <w:rPr>
          <w:rFonts w:hint="eastAsia"/>
          <w:sz w:val="22"/>
        </w:rPr>
        <w:t>Woe(s), three final, 445</w:t>
      </w:r>
    </w:p>
    <w:p w14:paraId="61F511D3">
      <w:pPr>
        <w:spacing w:before="152"/>
        <w:ind w:left="264" w:right="0" w:firstLine="0"/>
        <w:jc w:val="left"/>
        <w:rPr>
          <w:rFonts w:hint="eastAsia"/>
          <w:sz w:val="22"/>
        </w:rPr>
      </w:pPr>
    </w:p>
    <w:p w14:paraId="66E77F5E">
      <w:pPr>
        <w:spacing w:before="152"/>
        <w:ind w:left="264" w:right="0" w:firstLine="0"/>
        <w:jc w:val="left"/>
        <w:rPr>
          <w:rFonts w:hint="eastAsia"/>
          <w:sz w:val="22"/>
        </w:rPr>
      </w:pPr>
      <w:r>
        <w:rPr>
          <w:rFonts w:hint="eastAsia"/>
          <w:sz w:val="22"/>
        </w:rPr>
        <w:t>灾祸（复数），最后的三样，445</w:t>
      </w:r>
    </w:p>
    <w:p w14:paraId="5A0FEC80">
      <w:pPr>
        <w:spacing w:before="152"/>
        <w:ind w:left="264" w:right="0" w:firstLine="0"/>
        <w:jc w:val="left"/>
        <w:rPr>
          <w:rFonts w:hint="eastAsia"/>
          <w:sz w:val="22"/>
        </w:rPr>
      </w:pPr>
    </w:p>
    <w:p w14:paraId="662A58C5">
      <w:pPr>
        <w:spacing w:before="152"/>
        <w:ind w:left="264" w:right="0" w:firstLine="0"/>
        <w:jc w:val="left"/>
        <w:rPr>
          <w:rFonts w:hint="eastAsia"/>
          <w:sz w:val="22"/>
        </w:rPr>
      </w:pPr>
      <w:r>
        <w:rPr>
          <w:rFonts w:hint="eastAsia"/>
          <w:sz w:val="22"/>
        </w:rPr>
        <w:t>Woman, mystery of, 73f, 107f, 228f, 626; in the Revelation 161f, 411f, 415, 458, 449f</w:t>
      </w:r>
    </w:p>
    <w:p w14:paraId="6DEB6E01">
      <w:pPr>
        <w:spacing w:before="152"/>
        <w:ind w:left="264" w:right="0" w:firstLine="0"/>
        <w:jc w:val="left"/>
        <w:rPr>
          <w:rFonts w:hint="eastAsia"/>
          <w:sz w:val="22"/>
        </w:rPr>
      </w:pPr>
    </w:p>
    <w:p w14:paraId="2C20B3CD">
      <w:pPr>
        <w:spacing w:before="152"/>
        <w:ind w:left="264" w:right="0" w:firstLine="0"/>
        <w:jc w:val="left"/>
        <w:rPr>
          <w:rFonts w:hint="eastAsia"/>
          <w:sz w:val="22"/>
        </w:rPr>
      </w:pPr>
      <w:r>
        <w:rPr>
          <w:rFonts w:hint="eastAsia"/>
          <w:sz w:val="22"/>
        </w:rPr>
        <w:t>女人，其奥秘，73f, 107f, 228f, 626；在启示录中 161f, 411f, 415, 458, 449f</w:t>
      </w:r>
    </w:p>
    <w:p w14:paraId="790F9119">
      <w:pPr>
        <w:spacing w:before="152"/>
        <w:ind w:left="264" w:right="0" w:firstLine="0"/>
        <w:jc w:val="left"/>
        <w:rPr>
          <w:rFonts w:hint="eastAsia"/>
          <w:sz w:val="22"/>
        </w:rPr>
      </w:pPr>
    </w:p>
    <w:p w14:paraId="11FED639">
      <w:pPr>
        <w:spacing w:before="152"/>
        <w:ind w:left="264" w:right="0" w:firstLine="0"/>
        <w:jc w:val="left"/>
        <w:rPr>
          <w:rFonts w:hint="eastAsia"/>
          <w:sz w:val="22"/>
        </w:rPr>
      </w:pPr>
      <w:r>
        <w:rPr>
          <w:rFonts w:hint="eastAsia"/>
          <w:sz w:val="22"/>
        </w:rPr>
        <w:t>World evangelization, 25, 375, 593f, 637, 699; (see, Era of Proclamation)</w:t>
      </w:r>
    </w:p>
    <w:p w14:paraId="7241D34C">
      <w:pPr>
        <w:spacing w:before="152"/>
        <w:ind w:left="264" w:right="0" w:firstLine="0"/>
        <w:jc w:val="left"/>
        <w:rPr>
          <w:rFonts w:hint="eastAsia"/>
          <w:sz w:val="22"/>
        </w:rPr>
      </w:pPr>
    </w:p>
    <w:p w14:paraId="47473175">
      <w:pPr>
        <w:spacing w:before="152"/>
        <w:ind w:left="264" w:right="0" w:firstLine="0"/>
        <w:jc w:val="left"/>
        <w:rPr>
          <w:rFonts w:hint="eastAsia"/>
          <w:sz w:val="22"/>
        </w:rPr>
      </w:pPr>
      <w:r>
        <w:rPr>
          <w:rFonts w:hint="eastAsia"/>
          <w:sz w:val="22"/>
        </w:rPr>
        <w:t>世界福音化, 25, 375, 593f, 637, 699; (参见, 宣讲时代)</w:t>
      </w:r>
    </w:p>
    <w:p w14:paraId="733C6D8F">
      <w:pPr>
        <w:spacing w:before="152"/>
        <w:ind w:left="264" w:right="0" w:firstLine="0"/>
        <w:jc w:val="left"/>
        <w:rPr>
          <w:rFonts w:hint="eastAsia"/>
          <w:sz w:val="22"/>
        </w:rPr>
      </w:pPr>
    </w:p>
    <w:p w14:paraId="70BA7F21">
      <w:pPr>
        <w:spacing w:before="152"/>
        <w:ind w:left="264" w:right="0" w:firstLine="0"/>
        <w:jc w:val="left"/>
        <w:rPr>
          <w:rFonts w:hint="eastAsia"/>
          <w:sz w:val="22"/>
        </w:rPr>
      </w:pPr>
      <w:r>
        <w:rPr>
          <w:rFonts w:hint="eastAsia"/>
          <w:sz w:val="22"/>
        </w:rPr>
        <w:t>World-system, 81f, 87, 116, 121; in OTKP, 222, 290, 319, 357, 376, 396; in the Revelation, 353, 413f, 447, 449f, 458f; destruction of, 532, 565, 568; (see, Domain of Darkness, Babylon the Great)</w:t>
      </w:r>
    </w:p>
    <w:p w14:paraId="6BD134EF">
      <w:pPr>
        <w:spacing w:before="152"/>
        <w:ind w:left="264" w:right="0" w:firstLine="0"/>
        <w:jc w:val="left"/>
        <w:rPr>
          <w:rFonts w:hint="eastAsia"/>
          <w:sz w:val="22"/>
        </w:rPr>
      </w:pPr>
    </w:p>
    <w:p w14:paraId="4E74CA2F">
      <w:pPr>
        <w:spacing w:before="152"/>
        <w:ind w:left="264" w:right="0" w:firstLine="0"/>
        <w:jc w:val="left"/>
        <w:rPr>
          <w:rFonts w:hint="eastAsia"/>
          <w:sz w:val="22"/>
        </w:rPr>
      </w:pPr>
      <w:r>
        <w:rPr>
          <w:rFonts w:hint="eastAsia"/>
          <w:sz w:val="22"/>
        </w:rPr>
        <w:t>世界体系, 81f, 87, 116, 121; 在OTKP中, 222, 290, 319, 357, 376, 396; 在启示录中, 353, 413f, 447, 449f, 458f; 其毁灭, 532, 565, 568; (参见, 黑暗的权势, 大巴比伦)</w:t>
      </w:r>
    </w:p>
    <w:p w14:paraId="3ED91198">
      <w:pPr>
        <w:spacing w:before="152"/>
        <w:ind w:left="264" w:right="0" w:firstLine="0"/>
        <w:jc w:val="left"/>
        <w:rPr>
          <w:rFonts w:hint="eastAsia"/>
          <w:sz w:val="22"/>
        </w:rPr>
      </w:pPr>
    </w:p>
    <w:p w14:paraId="7341F017">
      <w:pPr>
        <w:spacing w:before="152"/>
        <w:ind w:left="264" w:right="0" w:firstLine="0"/>
        <w:jc w:val="left"/>
        <w:rPr>
          <w:rFonts w:hint="eastAsia"/>
          <w:sz w:val="22"/>
        </w:rPr>
      </w:pPr>
      <w:r>
        <w:rPr>
          <w:rFonts w:hint="eastAsia"/>
          <w:sz w:val="22"/>
        </w:rPr>
        <w:t>World to Come, defined, 9; diagrammed, 165f; in OTKP, 209f, 224f, 278, 289f, 295, 325f, 398, 687; in the Revelation, 416, 443, 497; in DNT, 133, 278, 512, 528, 543, 546, 561, 585, 601; (see also, New Heavens and Earth)</w:t>
      </w:r>
    </w:p>
    <w:p w14:paraId="07778FAE">
      <w:pPr>
        <w:spacing w:before="152"/>
        <w:ind w:left="264" w:right="0" w:firstLine="0"/>
        <w:jc w:val="left"/>
        <w:rPr>
          <w:rFonts w:hint="eastAsia"/>
          <w:sz w:val="22"/>
        </w:rPr>
      </w:pPr>
    </w:p>
    <w:p w14:paraId="001F4314">
      <w:pPr>
        <w:spacing w:before="152"/>
        <w:ind w:left="264" w:right="0" w:firstLine="0"/>
        <w:jc w:val="left"/>
        <w:rPr>
          <w:rFonts w:hint="eastAsia"/>
          <w:sz w:val="22"/>
        </w:rPr>
      </w:pPr>
      <w:r>
        <w:rPr>
          <w:rFonts w:hint="eastAsia"/>
          <w:sz w:val="22"/>
        </w:rPr>
        <w:t>来世, 定义, 9; 图解, 165f; 在OTKP中, 209f, 224f, 278, 289f, 295, 325f, 398, 687; 在启示录中, 416, 443, 497; 在DNT中, 133, 278, 512, 528, 543, 546, 561, 585, 601; (亦参见, 新天新地)</w:t>
      </w:r>
    </w:p>
    <w:p w14:paraId="7B0FAC2D">
      <w:pPr>
        <w:spacing w:before="152"/>
        <w:ind w:left="264" w:right="0" w:firstLine="0"/>
        <w:jc w:val="left"/>
        <w:rPr>
          <w:rFonts w:hint="eastAsia"/>
          <w:sz w:val="22"/>
        </w:rPr>
      </w:pPr>
    </w:p>
    <w:p w14:paraId="7E18F467">
      <w:pPr>
        <w:spacing w:before="152"/>
        <w:ind w:left="264" w:right="0" w:firstLine="0"/>
        <w:jc w:val="left"/>
        <w:rPr>
          <w:rFonts w:hint="eastAsia"/>
          <w:sz w:val="22"/>
        </w:rPr>
      </w:pPr>
      <w:r>
        <w:rPr>
          <w:rFonts w:hint="eastAsia"/>
          <w:sz w:val="22"/>
        </w:rPr>
        <w:t>Worship, in OT times, 110, 116, 155f, 232; in OTKP, 11, 87, 191, 198, 201f, 225, 260, 297, 331f, 402f; under NC, 13, 51, 68, 104, 155f, 277; temporarily usurped, 77f, 533, 578; in the Revelation, 416, 437, 443, 455; eternal theme of, 176, 508f, 605</w:t>
      </w:r>
    </w:p>
    <w:p w14:paraId="506A2DD7">
      <w:pPr>
        <w:spacing w:before="152"/>
        <w:ind w:left="264" w:right="0" w:firstLine="0"/>
        <w:jc w:val="left"/>
        <w:rPr>
          <w:rFonts w:hint="eastAsia"/>
          <w:sz w:val="22"/>
        </w:rPr>
      </w:pPr>
    </w:p>
    <w:p w14:paraId="7F450869">
      <w:pPr>
        <w:spacing w:before="152"/>
        <w:ind w:left="264" w:right="0" w:firstLine="0"/>
        <w:jc w:val="left"/>
        <w:rPr>
          <w:sz w:val="22"/>
        </w:rPr>
      </w:pPr>
      <w:r>
        <w:rPr>
          <w:rFonts w:hint="eastAsia"/>
          <w:sz w:val="22"/>
        </w:rPr>
        <w:t>敬拜，在旧约时期，110, 116, 155f, 232；在OTKP中，11, 87, 191, 198, 201f, 225, 260, 297, 331f, 402f；在新约下，13, 51, 68, 104, 155f, 277；暂时被篡夺，77f, 533, 578；在启示录中，416, 437, 443, 455；其永恒主题，176, 508f, 605</w:t>
      </w:r>
    </w:p>
    <w:p w14:paraId="668307CB">
      <w:pPr>
        <w:pStyle w:val="5"/>
        <w:spacing w:before="215"/>
        <w:rPr>
          <w:color w:val="231F20"/>
          <w:spacing w:val="-10"/>
        </w:rPr>
      </w:pPr>
      <w:r>
        <w:rPr>
          <w:color w:val="231F20"/>
          <w:spacing w:val="-10"/>
        </w:rPr>
        <w:t>Y</w:t>
      </w:r>
    </w:p>
    <w:p w14:paraId="09687910">
      <w:pPr>
        <w:bidi w:val="0"/>
        <w:rPr>
          <w:rFonts w:hint="eastAsia"/>
        </w:rPr>
      </w:pPr>
    </w:p>
    <w:p w14:paraId="150CC39A">
      <w:pPr>
        <w:bidi w:val="0"/>
        <w:rPr>
          <w:rFonts w:hint="eastAsia"/>
        </w:rPr>
      </w:pPr>
      <w:r>
        <w:rPr>
          <w:rFonts w:hint="eastAsia"/>
        </w:rPr>
        <w:t>Year(s), of the Lord’s favor, 102; of Noah’s pilgrimage, 113; of Israel’s wilderness sojourn, 121; of</w:t>
      </w:r>
    </w:p>
    <w:p w14:paraId="5F7C3C3A">
      <w:pPr>
        <w:bidi w:val="0"/>
        <w:rPr>
          <w:rFonts w:hint="eastAsia"/>
        </w:rPr>
      </w:pPr>
    </w:p>
    <w:p w14:paraId="71BBCD50">
      <w:pPr>
        <w:bidi w:val="0"/>
        <w:rPr>
          <w:rFonts w:hint="eastAsia"/>
        </w:rPr>
      </w:pPr>
      <w:r>
        <w:rPr>
          <w:rFonts w:hint="eastAsia"/>
        </w:rPr>
        <w:t>年（复数），主的恩年，102；挪亚的寄居，113；以色列旷野的寄居，121；的</w:t>
      </w:r>
    </w:p>
    <w:p w14:paraId="73EA0992">
      <w:pPr>
        <w:bidi w:val="0"/>
        <w:rPr>
          <w:rFonts w:hint="eastAsia"/>
        </w:rPr>
      </w:pPr>
    </w:p>
    <w:p w14:paraId="21E44F27">
      <w:pPr>
        <w:pStyle w:val="5"/>
        <w:spacing w:before="63"/>
      </w:pPr>
      <w:r>
        <w:rPr>
          <w:color w:val="231F20"/>
          <w:spacing w:val="-10"/>
        </w:rPr>
        <w:t>Z</w:t>
      </w:r>
    </w:p>
    <w:p w14:paraId="69835EB7">
      <w:pPr>
        <w:spacing w:after="0"/>
        <w:jc w:val="left"/>
        <w:rPr>
          <w:rFonts w:hint="eastAsia"/>
          <w:sz w:val="22"/>
        </w:rPr>
      </w:pPr>
    </w:p>
    <w:p w14:paraId="075D2286">
      <w:pPr>
        <w:spacing w:after="0"/>
        <w:jc w:val="left"/>
        <w:rPr>
          <w:rFonts w:hint="eastAsia"/>
          <w:sz w:val="22"/>
        </w:rPr>
      </w:pPr>
      <w:r>
        <w:rPr>
          <w:rFonts w:hint="eastAsia"/>
          <w:sz w:val="22"/>
        </w:rPr>
        <w:t>Zadok, 327, 341f</w:t>
      </w:r>
    </w:p>
    <w:p w14:paraId="2B694C1E">
      <w:pPr>
        <w:spacing w:after="0"/>
        <w:jc w:val="left"/>
        <w:rPr>
          <w:rFonts w:hint="eastAsia"/>
          <w:sz w:val="22"/>
        </w:rPr>
      </w:pPr>
    </w:p>
    <w:p w14:paraId="57D414E9">
      <w:pPr>
        <w:spacing w:after="0"/>
        <w:jc w:val="left"/>
        <w:rPr>
          <w:rFonts w:hint="eastAsia"/>
          <w:sz w:val="22"/>
        </w:rPr>
      </w:pPr>
      <w:r>
        <w:rPr>
          <w:rFonts w:hint="eastAsia"/>
          <w:sz w:val="22"/>
        </w:rPr>
        <w:t>撒督, 327, 341f</w:t>
      </w:r>
    </w:p>
    <w:p w14:paraId="2E0E5925">
      <w:pPr>
        <w:spacing w:after="0"/>
        <w:jc w:val="left"/>
        <w:rPr>
          <w:rFonts w:hint="eastAsia"/>
          <w:sz w:val="22"/>
        </w:rPr>
      </w:pPr>
    </w:p>
    <w:p w14:paraId="21670336">
      <w:pPr>
        <w:spacing w:after="0"/>
        <w:jc w:val="left"/>
        <w:rPr>
          <w:rFonts w:hint="eastAsia"/>
          <w:sz w:val="22"/>
        </w:rPr>
      </w:pPr>
      <w:r>
        <w:rPr>
          <w:rFonts w:hint="eastAsia"/>
          <w:sz w:val="22"/>
        </w:rPr>
        <w:t>Zion, in OTKP, 11, 191, 192, 193, 195, 201, 214, 251f, 266f, 282, 285, 287, 291, 293, 296, 313, 331f, 398f; as type of Heaven, 68, 156, 193, 237, 267, 272, 283, 313, 553; as type of WTC, 72, 214, 289, 292, 332, 398f; as type of Calvary, 121; as type of Church, 196, 246, 294, 297; in the Revelation, 434, 441, 452; language of, 231</w:t>
      </w:r>
    </w:p>
    <w:p w14:paraId="74D13086">
      <w:pPr>
        <w:spacing w:after="0"/>
        <w:jc w:val="left"/>
        <w:rPr>
          <w:rFonts w:hint="eastAsia"/>
          <w:sz w:val="22"/>
        </w:rPr>
      </w:pPr>
    </w:p>
    <w:p w14:paraId="1D81899D">
      <w:pPr>
        <w:spacing w:after="0"/>
        <w:jc w:val="left"/>
        <w:rPr>
          <w:rFonts w:hint="eastAsia"/>
          <w:sz w:val="22"/>
        </w:rPr>
      </w:pPr>
      <w:r>
        <w:rPr>
          <w:rFonts w:hint="eastAsia"/>
          <w:sz w:val="22"/>
        </w:rPr>
        <w:t>锡安, 在OTKP中, 11, 191, 192, 193, 195, 201, 214, 251f, 266f, 282, 285, 287, 291, 293, 296, 313, 331f, 398f; 作为天堂的预表, 68, 156, 193, 237, 267, 272, 283, 313, 553; 作为WTC的预表, 72, 214, 289, 292, 332, 398f; 作为加略山的预表, 121; 作为教会的预表, 196, 246, 294, 297; 在启示录中, 434, 441, 452; 其语言, 231</w:t>
      </w:r>
    </w:p>
    <w:p w14:paraId="00EFBD0F">
      <w:pPr>
        <w:spacing w:after="0"/>
        <w:jc w:val="left"/>
        <w:rPr>
          <w:rFonts w:hint="eastAsia"/>
          <w:sz w:val="22"/>
        </w:rPr>
      </w:pPr>
    </w:p>
    <w:p w14:paraId="3F550B10">
      <w:pPr>
        <w:bidi w:val="0"/>
        <w:rPr>
          <w:rFonts w:hint="eastAsia" w:ascii="Times New Roman" w:hAnsi="Times New Roman" w:eastAsia="Times New Roman" w:cs="Times New Roman"/>
          <w:sz w:val="22"/>
          <w:szCs w:val="22"/>
          <w:lang w:val="en-US" w:eastAsia="en-US" w:bidi="ar-SA"/>
        </w:rPr>
      </w:pPr>
    </w:p>
    <w:p w14:paraId="5D5DE0C1">
      <w:pPr>
        <w:bidi w:val="0"/>
        <w:rPr>
          <w:rFonts w:hint="eastAsia"/>
          <w:lang w:val="en-US" w:eastAsia="en-US"/>
        </w:rPr>
      </w:pPr>
    </w:p>
    <w:p w14:paraId="3D604BEA">
      <w:pPr>
        <w:bidi w:val="0"/>
        <w:rPr>
          <w:rFonts w:hint="eastAsia"/>
          <w:lang w:val="en-US" w:eastAsia="en-US"/>
        </w:rPr>
      </w:pPr>
    </w:p>
    <w:p w14:paraId="0BB940CA">
      <w:pPr>
        <w:bidi w:val="0"/>
        <w:rPr>
          <w:rFonts w:hint="eastAsia"/>
          <w:lang w:val="en-US" w:eastAsia="en-US"/>
        </w:rPr>
      </w:pPr>
    </w:p>
    <w:p w14:paraId="2E6B7437">
      <w:pPr>
        <w:bidi w:val="0"/>
        <w:rPr>
          <w:rFonts w:hint="eastAsia"/>
          <w:lang w:val="en-US" w:eastAsia="zh-CN"/>
        </w:rPr>
      </w:pPr>
      <w:r>
        <w:rPr>
          <w:rFonts w:hint="eastAsia"/>
          <w:lang w:val="en-US" w:eastAsia="zh-CN"/>
        </w:rPr>
        <w:tab/>
        <w:t>Scripture Index</w:t>
      </w:r>
    </w:p>
    <w:p w14:paraId="6F15C4D2">
      <w:pPr>
        <w:bidi w:val="0"/>
        <w:rPr>
          <w:rFonts w:hint="eastAsia"/>
          <w:lang w:val="en-US" w:eastAsia="zh-CN"/>
        </w:rPr>
      </w:pPr>
    </w:p>
    <w:p w14:paraId="770281C3">
      <w:pPr>
        <w:bidi w:val="0"/>
        <w:rPr>
          <w:rFonts w:hint="eastAsia"/>
          <w:lang w:val="en-US" w:eastAsia="zh-CN"/>
        </w:rPr>
      </w:pPr>
      <w:r>
        <w:rPr>
          <w:rFonts w:hint="eastAsia"/>
          <w:lang w:val="en-US" w:eastAsia="zh-CN"/>
        </w:rPr>
        <w:t>经文索引</w:t>
      </w:r>
    </w:p>
    <w:p w14:paraId="1040F39A">
      <w:pPr>
        <w:bidi w:val="0"/>
        <w:rPr>
          <w:rFonts w:hint="eastAsia"/>
          <w:lang w:val="en-US" w:eastAsia="zh-CN"/>
        </w:rPr>
      </w:pPr>
    </w:p>
    <w:p w14:paraId="20684E40">
      <w:pPr>
        <w:bidi w:val="0"/>
        <w:rPr>
          <w:rFonts w:hint="eastAsia"/>
          <w:lang w:val="en-US" w:eastAsia="zh-CN"/>
        </w:rPr>
      </w:pPr>
      <w:r>
        <w:rPr>
          <w:rFonts w:hint="eastAsia"/>
          <w:lang w:val="en-US" w:eastAsia="zh-CN"/>
        </w:rPr>
        <w:t>1:1-2:25 71-73</w:t>
      </w:r>
    </w:p>
    <w:p w14:paraId="5B0BF125">
      <w:pPr>
        <w:bidi w:val="0"/>
        <w:rPr>
          <w:rFonts w:hint="eastAsia"/>
          <w:lang w:val="en-US" w:eastAsia="zh-CN"/>
        </w:rPr>
      </w:pPr>
    </w:p>
    <w:p w14:paraId="5F20ED86">
      <w:pPr>
        <w:bidi w:val="0"/>
        <w:rPr>
          <w:rFonts w:hint="eastAsia"/>
          <w:lang w:val="en-US" w:eastAsia="zh-CN"/>
        </w:rPr>
      </w:pPr>
      <w:r>
        <w:rPr>
          <w:rFonts w:hint="eastAsia"/>
          <w:lang w:val="en-US" w:eastAsia="zh-CN"/>
        </w:rPr>
        <w:t>1:1-2:25 71-73</w:t>
      </w:r>
    </w:p>
    <w:p w14:paraId="1ABBD85D">
      <w:pPr>
        <w:bidi w:val="0"/>
        <w:rPr>
          <w:rFonts w:hint="eastAsia"/>
          <w:lang w:val="en-US" w:eastAsia="zh-CN"/>
        </w:rPr>
      </w:pPr>
    </w:p>
    <w:p w14:paraId="6D18FCD8">
      <w:pPr>
        <w:bidi w:val="0"/>
        <w:rPr>
          <w:rFonts w:hint="eastAsia"/>
          <w:lang w:val="en-US" w:eastAsia="zh-CN"/>
        </w:rPr>
      </w:pPr>
      <w:r>
        <w:rPr>
          <w:rFonts w:hint="eastAsia"/>
          <w:lang w:val="en-US" w:eastAsia="zh-CN"/>
        </w:rPr>
        <w:t>2:16-17 74-76</w:t>
      </w:r>
    </w:p>
    <w:p w14:paraId="04A9E6D2">
      <w:pPr>
        <w:bidi w:val="0"/>
        <w:rPr>
          <w:rFonts w:hint="eastAsia"/>
          <w:lang w:val="en-US" w:eastAsia="zh-CN"/>
        </w:rPr>
      </w:pPr>
    </w:p>
    <w:p w14:paraId="24581B87">
      <w:pPr>
        <w:bidi w:val="0"/>
        <w:rPr>
          <w:rFonts w:hint="eastAsia"/>
          <w:lang w:val="en-US" w:eastAsia="zh-CN"/>
        </w:rPr>
      </w:pPr>
      <w:r>
        <w:rPr>
          <w:rFonts w:hint="eastAsia"/>
          <w:lang w:val="en-US" w:eastAsia="zh-CN"/>
        </w:rPr>
        <w:t>2:16-17 74-76</w:t>
      </w:r>
    </w:p>
    <w:p w14:paraId="1D6854DA">
      <w:pPr>
        <w:bidi w:val="0"/>
        <w:rPr>
          <w:rFonts w:hint="eastAsia"/>
          <w:lang w:val="en-US" w:eastAsia="zh-CN"/>
        </w:rPr>
      </w:pPr>
    </w:p>
    <w:p w14:paraId="318DA8DB">
      <w:pPr>
        <w:bidi w:val="0"/>
        <w:rPr>
          <w:rFonts w:hint="eastAsia"/>
          <w:lang w:val="en-US" w:eastAsia="zh-CN"/>
        </w:rPr>
      </w:pPr>
      <w:r>
        <w:rPr>
          <w:rFonts w:hint="eastAsia"/>
          <w:lang w:val="en-US" w:eastAsia="zh-CN"/>
        </w:rPr>
        <w:t>2:18-24 73</w:t>
      </w:r>
    </w:p>
    <w:p w14:paraId="46FE2FAC">
      <w:pPr>
        <w:bidi w:val="0"/>
        <w:rPr>
          <w:rFonts w:hint="eastAsia"/>
          <w:lang w:val="en-US" w:eastAsia="zh-CN"/>
        </w:rPr>
      </w:pPr>
    </w:p>
    <w:p w14:paraId="67345A24">
      <w:pPr>
        <w:bidi w:val="0"/>
        <w:rPr>
          <w:rFonts w:hint="eastAsia"/>
          <w:lang w:val="en-US" w:eastAsia="zh-CN"/>
        </w:rPr>
      </w:pPr>
      <w:r>
        <w:rPr>
          <w:rFonts w:hint="eastAsia"/>
          <w:lang w:val="en-US" w:eastAsia="zh-CN"/>
        </w:rPr>
        <w:t>2:18-24 73</w:t>
      </w:r>
    </w:p>
    <w:p w14:paraId="2489EDE8">
      <w:pPr>
        <w:bidi w:val="0"/>
        <w:rPr>
          <w:rFonts w:hint="eastAsia"/>
          <w:lang w:val="en-US" w:eastAsia="zh-CN"/>
        </w:rPr>
      </w:pPr>
    </w:p>
    <w:p w14:paraId="3B894205">
      <w:pPr>
        <w:bidi w:val="0"/>
        <w:rPr>
          <w:rFonts w:hint="eastAsia"/>
          <w:lang w:val="en-US" w:eastAsia="zh-CN"/>
        </w:rPr>
      </w:pPr>
      <w:r>
        <w:rPr>
          <w:rFonts w:hint="eastAsia"/>
          <w:lang w:val="en-US" w:eastAsia="zh-CN"/>
        </w:rPr>
        <w:t>3:1-24 78-83</w:t>
      </w:r>
    </w:p>
    <w:p w14:paraId="6933A3EA">
      <w:pPr>
        <w:bidi w:val="0"/>
        <w:rPr>
          <w:rFonts w:hint="eastAsia"/>
          <w:lang w:val="en-US" w:eastAsia="zh-CN"/>
        </w:rPr>
      </w:pPr>
    </w:p>
    <w:p w14:paraId="375FE28F">
      <w:pPr>
        <w:bidi w:val="0"/>
        <w:rPr>
          <w:rFonts w:hint="eastAsia"/>
          <w:lang w:val="en-US" w:eastAsia="zh-CN"/>
        </w:rPr>
      </w:pPr>
      <w:r>
        <w:rPr>
          <w:rFonts w:hint="eastAsia"/>
          <w:lang w:val="en-US" w:eastAsia="zh-CN"/>
        </w:rPr>
        <w:t>3:1-24 78-83</w:t>
      </w:r>
    </w:p>
    <w:p w14:paraId="5F9FEE57">
      <w:pPr>
        <w:bidi w:val="0"/>
        <w:rPr>
          <w:rFonts w:hint="eastAsia"/>
          <w:lang w:val="en-US" w:eastAsia="zh-CN"/>
        </w:rPr>
      </w:pPr>
    </w:p>
    <w:p w14:paraId="4BCC0CA3">
      <w:pPr>
        <w:bidi w:val="0"/>
        <w:rPr>
          <w:rFonts w:hint="eastAsia"/>
          <w:lang w:val="en-US" w:eastAsia="zh-CN"/>
        </w:rPr>
      </w:pPr>
      <w:r>
        <w:rPr>
          <w:rFonts w:hint="eastAsia"/>
          <w:lang w:val="en-US" w:eastAsia="zh-CN"/>
        </w:rPr>
        <w:t>3:15 107-109, 229-236</w:t>
      </w:r>
    </w:p>
    <w:p w14:paraId="556622E1">
      <w:pPr>
        <w:bidi w:val="0"/>
        <w:rPr>
          <w:rFonts w:hint="eastAsia"/>
          <w:lang w:val="en-US" w:eastAsia="zh-CN"/>
        </w:rPr>
      </w:pPr>
    </w:p>
    <w:p w14:paraId="70E4F3E0">
      <w:pPr>
        <w:bidi w:val="0"/>
        <w:rPr>
          <w:rFonts w:hint="eastAsia"/>
          <w:lang w:val="en-US" w:eastAsia="zh-CN"/>
        </w:rPr>
      </w:pPr>
      <w:r>
        <w:rPr>
          <w:rFonts w:hint="eastAsia"/>
          <w:lang w:val="en-US" w:eastAsia="zh-CN"/>
        </w:rPr>
        <w:t>3:15 107-109, 229-236</w:t>
      </w:r>
    </w:p>
    <w:p w14:paraId="29DCA393">
      <w:pPr>
        <w:bidi w:val="0"/>
        <w:rPr>
          <w:rFonts w:hint="eastAsia"/>
          <w:lang w:val="en-US" w:eastAsia="zh-CN"/>
        </w:rPr>
      </w:pPr>
    </w:p>
    <w:p w14:paraId="7451E27B">
      <w:pPr>
        <w:bidi w:val="0"/>
        <w:rPr>
          <w:rFonts w:hint="eastAsia"/>
          <w:lang w:val="en-US" w:eastAsia="zh-CN"/>
        </w:rPr>
      </w:pPr>
      <w:r>
        <w:rPr>
          <w:rFonts w:hint="eastAsia"/>
          <w:lang w:val="en-US" w:eastAsia="zh-CN"/>
        </w:rPr>
        <w:t>3:21 109-110</w:t>
      </w:r>
    </w:p>
    <w:p w14:paraId="78AAA48C">
      <w:pPr>
        <w:bidi w:val="0"/>
        <w:rPr>
          <w:rFonts w:hint="eastAsia"/>
          <w:lang w:val="en-US" w:eastAsia="zh-CN"/>
        </w:rPr>
      </w:pPr>
    </w:p>
    <w:p w14:paraId="43F038A4">
      <w:pPr>
        <w:bidi w:val="0"/>
        <w:rPr>
          <w:rFonts w:hint="eastAsia"/>
          <w:lang w:val="en-US" w:eastAsia="zh-CN"/>
        </w:rPr>
      </w:pPr>
      <w:r>
        <w:rPr>
          <w:rFonts w:hint="eastAsia"/>
          <w:lang w:val="en-US" w:eastAsia="zh-CN"/>
        </w:rPr>
        <w:t>3:21 109-110</w:t>
      </w:r>
    </w:p>
    <w:p w14:paraId="066F780D">
      <w:pPr>
        <w:bidi w:val="0"/>
        <w:rPr>
          <w:rFonts w:hint="eastAsia"/>
          <w:lang w:val="en-US" w:eastAsia="zh-CN"/>
        </w:rPr>
      </w:pPr>
    </w:p>
    <w:p w14:paraId="7AC6A23B">
      <w:pPr>
        <w:bidi w:val="0"/>
        <w:rPr>
          <w:rFonts w:hint="eastAsia"/>
          <w:lang w:val="en-US" w:eastAsia="zh-CN"/>
        </w:rPr>
      </w:pPr>
      <w:r>
        <w:rPr>
          <w:rFonts w:hint="eastAsia"/>
          <w:lang w:val="en-US" w:eastAsia="zh-CN"/>
        </w:rPr>
        <w:t>4:4 110</w:t>
      </w:r>
    </w:p>
    <w:p w14:paraId="52B0D639">
      <w:pPr>
        <w:bidi w:val="0"/>
        <w:rPr>
          <w:rFonts w:hint="eastAsia"/>
          <w:lang w:val="en-US" w:eastAsia="zh-CN"/>
        </w:rPr>
      </w:pPr>
    </w:p>
    <w:p w14:paraId="7853454F">
      <w:pPr>
        <w:bidi w:val="0"/>
        <w:rPr>
          <w:rFonts w:hint="eastAsia"/>
          <w:lang w:val="en-US" w:eastAsia="zh-CN"/>
        </w:rPr>
      </w:pPr>
      <w:r>
        <w:rPr>
          <w:rFonts w:hint="eastAsia"/>
          <w:lang w:val="en-US" w:eastAsia="zh-CN"/>
        </w:rPr>
        <w:t>4:4 110</w:t>
      </w:r>
    </w:p>
    <w:p w14:paraId="2EE6763B">
      <w:pPr>
        <w:bidi w:val="0"/>
        <w:rPr>
          <w:rFonts w:hint="eastAsia"/>
          <w:lang w:val="en-US" w:eastAsia="zh-CN"/>
        </w:rPr>
      </w:pPr>
    </w:p>
    <w:p w14:paraId="57012D17">
      <w:pPr>
        <w:bidi w:val="0"/>
        <w:rPr>
          <w:rFonts w:hint="eastAsia"/>
          <w:lang w:val="en-US" w:eastAsia="zh-CN"/>
        </w:rPr>
      </w:pPr>
      <w:r>
        <w:rPr>
          <w:rFonts w:hint="eastAsia"/>
          <w:lang w:val="en-US" w:eastAsia="zh-CN"/>
        </w:rPr>
        <w:t>6:1-9:29 84-85, 111-113</w:t>
      </w:r>
    </w:p>
    <w:p w14:paraId="6BFC95F9">
      <w:pPr>
        <w:bidi w:val="0"/>
        <w:rPr>
          <w:rFonts w:hint="eastAsia"/>
          <w:lang w:val="en-US" w:eastAsia="zh-CN"/>
        </w:rPr>
      </w:pPr>
    </w:p>
    <w:p w14:paraId="75E59EF7">
      <w:pPr>
        <w:bidi w:val="0"/>
        <w:rPr>
          <w:rFonts w:hint="eastAsia"/>
          <w:lang w:val="en-US" w:eastAsia="zh-CN"/>
        </w:rPr>
      </w:pPr>
      <w:r>
        <w:rPr>
          <w:rFonts w:hint="eastAsia"/>
          <w:lang w:val="en-US" w:eastAsia="zh-CN"/>
        </w:rPr>
        <w:t>6:1-9:29 84-85, 111-113</w:t>
      </w:r>
    </w:p>
    <w:p w14:paraId="137D2E06">
      <w:pPr>
        <w:bidi w:val="0"/>
        <w:rPr>
          <w:rFonts w:hint="eastAsia"/>
          <w:lang w:val="en-US" w:eastAsia="zh-CN"/>
        </w:rPr>
      </w:pPr>
    </w:p>
    <w:p w14:paraId="2BAF7621">
      <w:pPr>
        <w:bidi w:val="0"/>
        <w:rPr>
          <w:rFonts w:hint="eastAsia"/>
          <w:lang w:val="en-US" w:eastAsia="zh-CN"/>
        </w:rPr>
      </w:pPr>
      <w:r>
        <w:rPr>
          <w:rFonts w:hint="eastAsia"/>
          <w:lang w:val="en-US" w:eastAsia="zh-CN"/>
        </w:rPr>
        <w:t>9:9-17 684</w:t>
      </w:r>
    </w:p>
    <w:p w14:paraId="2F971696">
      <w:pPr>
        <w:bidi w:val="0"/>
        <w:rPr>
          <w:rFonts w:hint="eastAsia"/>
          <w:lang w:val="en-US" w:eastAsia="zh-CN"/>
        </w:rPr>
      </w:pPr>
    </w:p>
    <w:p w14:paraId="61A487BE">
      <w:pPr>
        <w:bidi w:val="0"/>
        <w:rPr>
          <w:rFonts w:hint="eastAsia"/>
          <w:lang w:val="en-US" w:eastAsia="zh-CN"/>
        </w:rPr>
      </w:pPr>
      <w:r>
        <w:rPr>
          <w:rFonts w:hint="eastAsia"/>
          <w:lang w:val="en-US" w:eastAsia="zh-CN"/>
        </w:rPr>
        <w:t>9:9-17 684</w:t>
      </w:r>
    </w:p>
    <w:p w14:paraId="23764AD5">
      <w:pPr>
        <w:bidi w:val="0"/>
        <w:rPr>
          <w:rFonts w:hint="eastAsia"/>
          <w:lang w:val="en-US" w:eastAsia="zh-CN"/>
        </w:rPr>
      </w:pPr>
    </w:p>
    <w:p w14:paraId="5FE88275">
      <w:pPr>
        <w:bidi w:val="0"/>
        <w:rPr>
          <w:rFonts w:hint="eastAsia"/>
          <w:lang w:val="en-US" w:eastAsia="zh-CN"/>
        </w:rPr>
      </w:pPr>
      <w:r>
        <w:rPr>
          <w:rFonts w:hint="eastAsia"/>
          <w:lang w:val="en-US" w:eastAsia="zh-CN"/>
        </w:rPr>
        <w:t>11:1-9 85-88</w:t>
      </w:r>
    </w:p>
    <w:p w14:paraId="38C18944">
      <w:pPr>
        <w:bidi w:val="0"/>
        <w:rPr>
          <w:rFonts w:hint="eastAsia"/>
          <w:lang w:val="en-US" w:eastAsia="zh-CN"/>
        </w:rPr>
      </w:pPr>
    </w:p>
    <w:p w14:paraId="16093CFA">
      <w:pPr>
        <w:bidi w:val="0"/>
        <w:rPr>
          <w:rFonts w:hint="eastAsia"/>
          <w:lang w:val="en-US" w:eastAsia="zh-CN"/>
        </w:rPr>
      </w:pPr>
      <w:r>
        <w:rPr>
          <w:rFonts w:hint="eastAsia"/>
          <w:lang w:val="en-US" w:eastAsia="zh-CN"/>
        </w:rPr>
        <w:t>11:1-9 85-88</w:t>
      </w:r>
    </w:p>
    <w:p w14:paraId="27922306">
      <w:pPr>
        <w:bidi w:val="0"/>
        <w:rPr>
          <w:rFonts w:hint="eastAsia"/>
          <w:lang w:val="en-US" w:eastAsia="zh-CN"/>
        </w:rPr>
      </w:pPr>
    </w:p>
    <w:p w14:paraId="2F2C4EB6">
      <w:pPr>
        <w:bidi w:val="0"/>
        <w:rPr>
          <w:rFonts w:hint="eastAsia"/>
          <w:lang w:val="en-US" w:eastAsia="zh-CN"/>
        </w:rPr>
      </w:pPr>
      <w:r>
        <w:rPr>
          <w:rFonts w:hint="eastAsia"/>
          <w:lang w:val="en-US" w:eastAsia="zh-CN"/>
        </w:rPr>
        <w:t>12-25 113-117</w:t>
      </w:r>
    </w:p>
    <w:p w14:paraId="684E7606">
      <w:pPr>
        <w:bidi w:val="0"/>
        <w:rPr>
          <w:rFonts w:hint="eastAsia"/>
          <w:lang w:val="en-US" w:eastAsia="zh-CN"/>
        </w:rPr>
      </w:pPr>
    </w:p>
    <w:p w14:paraId="25374AD8">
      <w:pPr>
        <w:bidi w:val="0"/>
        <w:rPr>
          <w:rFonts w:hint="eastAsia"/>
          <w:lang w:val="en-US" w:eastAsia="zh-CN"/>
        </w:rPr>
      </w:pPr>
      <w:r>
        <w:rPr>
          <w:rFonts w:hint="eastAsia"/>
          <w:lang w:val="en-US" w:eastAsia="zh-CN"/>
        </w:rPr>
        <w:t>12-25 113-117</w:t>
      </w:r>
    </w:p>
    <w:p w14:paraId="54AEC2E2">
      <w:pPr>
        <w:bidi w:val="0"/>
        <w:rPr>
          <w:rFonts w:hint="eastAsia"/>
          <w:lang w:val="en-US" w:eastAsia="zh-CN"/>
        </w:rPr>
      </w:pPr>
    </w:p>
    <w:p w14:paraId="458F374A">
      <w:pPr>
        <w:bidi w:val="0"/>
        <w:rPr>
          <w:rFonts w:hint="eastAsia"/>
          <w:lang w:val="en-US" w:eastAsia="zh-CN"/>
        </w:rPr>
      </w:pPr>
      <w:r>
        <w:rPr>
          <w:rFonts w:hint="eastAsia"/>
          <w:lang w:val="en-US" w:eastAsia="zh-CN"/>
        </w:rPr>
        <w:t>17:7-8 115</w:t>
      </w:r>
    </w:p>
    <w:p w14:paraId="46105FE2">
      <w:pPr>
        <w:bidi w:val="0"/>
        <w:rPr>
          <w:rFonts w:hint="eastAsia"/>
          <w:lang w:val="en-US" w:eastAsia="zh-CN"/>
        </w:rPr>
      </w:pPr>
    </w:p>
    <w:p w14:paraId="69CB18E4">
      <w:pPr>
        <w:bidi w:val="0"/>
        <w:rPr>
          <w:rFonts w:hint="eastAsia"/>
          <w:lang w:val="en-US" w:eastAsia="zh-CN"/>
        </w:rPr>
      </w:pPr>
      <w:r>
        <w:rPr>
          <w:rFonts w:hint="eastAsia"/>
          <w:lang w:val="en-US" w:eastAsia="zh-CN"/>
        </w:rPr>
        <w:t>17:7-8 115</w:t>
      </w:r>
    </w:p>
    <w:p w14:paraId="02AE6963">
      <w:pPr>
        <w:bidi w:val="0"/>
        <w:rPr>
          <w:rFonts w:hint="eastAsia"/>
          <w:lang w:val="en-US" w:eastAsia="zh-CN"/>
        </w:rPr>
      </w:pPr>
    </w:p>
    <w:p w14:paraId="4B6A0C6C">
      <w:pPr>
        <w:bidi w:val="0"/>
        <w:rPr>
          <w:rFonts w:hint="eastAsia"/>
          <w:lang w:val="en-US" w:eastAsia="zh-CN"/>
        </w:rPr>
      </w:pPr>
      <w:r>
        <w:rPr>
          <w:rFonts w:hint="eastAsia"/>
          <w:lang w:val="en-US" w:eastAsia="zh-CN"/>
        </w:rPr>
        <w:t>24:36 684</w:t>
      </w:r>
    </w:p>
    <w:p w14:paraId="344274A6">
      <w:pPr>
        <w:bidi w:val="0"/>
        <w:rPr>
          <w:rFonts w:hint="eastAsia"/>
          <w:lang w:val="en-US" w:eastAsia="zh-CN"/>
        </w:rPr>
      </w:pPr>
    </w:p>
    <w:p w14:paraId="5AB31925">
      <w:pPr>
        <w:bidi w:val="0"/>
        <w:rPr>
          <w:rFonts w:hint="eastAsia"/>
          <w:lang w:val="en-US" w:eastAsia="zh-CN"/>
        </w:rPr>
      </w:pPr>
      <w:r>
        <w:rPr>
          <w:rFonts w:hint="eastAsia"/>
          <w:lang w:val="en-US" w:eastAsia="zh-CN"/>
        </w:rPr>
        <w:t>24:36 684</w:t>
      </w:r>
    </w:p>
    <w:p w14:paraId="41E79657">
      <w:pPr>
        <w:bidi w:val="0"/>
        <w:rPr>
          <w:rFonts w:hint="eastAsia"/>
          <w:lang w:val="en-US" w:eastAsia="zh-CN"/>
        </w:rPr>
      </w:pPr>
    </w:p>
    <w:p w14:paraId="0181BFC2">
      <w:pPr>
        <w:bidi w:val="0"/>
        <w:rPr>
          <w:rFonts w:hint="eastAsia"/>
          <w:lang w:val="en-US" w:eastAsia="zh-CN"/>
        </w:rPr>
      </w:pPr>
      <w:r>
        <w:rPr>
          <w:rFonts w:hint="eastAsia"/>
          <w:lang w:val="en-US" w:eastAsia="zh-CN"/>
        </w:rPr>
        <w:t>25:5 684</w:t>
      </w:r>
    </w:p>
    <w:p w14:paraId="3F38AC7D">
      <w:pPr>
        <w:bidi w:val="0"/>
        <w:rPr>
          <w:rFonts w:hint="eastAsia"/>
          <w:lang w:val="en-US" w:eastAsia="zh-CN"/>
        </w:rPr>
      </w:pPr>
    </w:p>
    <w:p w14:paraId="47908CD5">
      <w:pPr>
        <w:bidi w:val="0"/>
        <w:rPr>
          <w:rFonts w:hint="eastAsia"/>
          <w:lang w:val="en-US" w:eastAsia="zh-CN"/>
        </w:rPr>
      </w:pPr>
      <w:r>
        <w:rPr>
          <w:rFonts w:hint="eastAsia"/>
          <w:lang w:val="en-US" w:eastAsia="zh-CN"/>
        </w:rPr>
        <w:t>25:5 684</w:t>
      </w:r>
    </w:p>
    <w:p w14:paraId="4B722E20">
      <w:pPr>
        <w:bidi w:val="0"/>
        <w:rPr>
          <w:rFonts w:hint="eastAsia"/>
          <w:lang w:val="en-US" w:eastAsia="zh-CN"/>
        </w:rPr>
      </w:pPr>
    </w:p>
    <w:p w14:paraId="0BD76FC6">
      <w:pPr>
        <w:bidi w:val="0"/>
        <w:rPr>
          <w:rFonts w:hint="eastAsia"/>
          <w:lang w:val="en-US" w:eastAsia="zh-CN"/>
        </w:rPr>
      </w:pPr>
      <w:r>
        <w:rPr>
          <w:rFonts w:hint="eastAsia"/>
          <w:lang w:val="en-US" w:eastAsia="zh-CN"/>
        </w:rPr>
        <w:t>37-47 698</w:t>
      </w:r>
    </w:p>
    <w:p w14:paraId="61DE16A0">
      <w:pPr>
        <w:bidi w:val="0"/>
        <w:rPr>
          <w:rFonts w:hint="eastAsia"/>
          <w:lang w:val="en-US" w:eastAsia="zh-CN"/>
        </w:rPr>
      </w:pPr>
    </w:p>
    <w:p w14:paraId="5BE19666">
      <w:pPr>
        <w:bidi w:val="0"/>
        <w:rPr>
          <w:rFonts w:hint="eastAsia"/>
          <w:lang w:val="en-US" w:eastAsia="zh-CN"/>
        </w:rPr>
      </w:pPr>
      <w:r>
        <w:rPr>
          <w:rFonts w:hint="eastAsia"/>
          <w:lang w:val="en-US" w:eastAsia="zh-CN"/>
        </w:rPr>
        <w:t>37-47 698</w:t>
      </w:r>
    </w:p>
    <w:p w14:paraId="00CC055C">
      <w:pPr>
        <w:bidi w:val="0"/>
        <w:rPr>
          <w:rFonts w:hint="eastAsia"/>
          <w:lang w:val="en-US" w:eastAsia="zh-CN"/>
        </w:rPr>
      </w:pPr>
    </w:p>
    <w:p w14:paraId="0899CAF4">
      <w:pPr>
        <w:bidi w:val="0"/>
        <w:rPr>
          <w:rFonts w:hint="eastAsia"/>
          <w:lang w:val="en-US" w:eastAsia="zh-CN"/>
        </w:rPr>
      </w:pPr>
      <w:r>
        <w:rPr>
          <w:rFonts w:hint="eastAsia"/>
          <w:lang w:val="en-US" w:eastAsia="zh-CN"/>
        </w:rPr>
        <w:t>Genesis</w:t>
      </w:r>
    </w:p>
    <w:p w14:paraId="0FE150B6">
      <w:pPr>
        <w:bidi w:val="0"/>
        <w:rPr>
          <w:rFonts w:hint="eastAsia"/>
          <w:lang w:val="en-US" w:eastAsia="zh-CN"/>
        </w:rPr>
      </w:pPr>
    </w:p>
    <w:p w14:paraId="0224FEE3">
      <w:pPr>
        <w:bidi w:val="0"/>
        <w:rPr>
          <w:rFonts w:hint="eastAsia"/>
          <w:lang w:val="en-US" w:eastAsia="zh-CN"/>
        </w:rPr>
      </w:pPr>
      <w:r>
        <w:rPr>
          <w:rFonts w:hint="eastAsia"/>
          <w:lang w:val="en-US" w:eastAsia="zh-CN"/>
        </w:rPr>
        <w:t>创世记</w:t>
      </w:r>
    </w:p>
    <w:p w14:paraId="504D5E73">
      <w:pPr>
        <w:bidi w:val="0"/>
        <w:rPr>
          <w:rFonts w:hint="eastAsia"/>
          <w:lang w:val="en-US" w:eastAsia="zh-CN"/>
        </w:rPr>
      </w:pPr>
    </w:p>
    <w:p w14:paraId="12474BBD">
      <w:pPr>
        <w:bidi w:val="0"/>
        <w:rPr>
          <w:rFonts w:hint="eastAsia"/>
          <w:lang w:val="en-US" w:eastAsia="zh-CN"/>
        </w:rPr>
      </w:pPr>
      <w:r>
        <w:rPr>
          <w:rFonts w:hint="eastAsia"/>
          <w:lang w:val="en-US" w:eastAsia="zh-CN"/>
        </w:rPr>
        <w:t>3-32, 117f</w:t>
      </w:r>
    </w:p>
    <w:p w14:paraId="5E15FC34">
      <w:pPr>
        <w:bidi w:val="0"/>
        <w:rPr>
          <w:rFonts w:hint="eastAsia"/>
          <w:lang w:val="en-US" w:eastAsia="zh-CN"/>
        </w:rPr>
      </w:pPr>
    </w:p>
    <w:p w14:paraId="074E3032">
      <w:pPr>
        <w:bidi w:val="0"/>
        <w:rPr>
          <w:rFonts w:hint="eastAsia"/>
          <w:lang w:val="en-US" w:eastAsia="zh-CN"/>
        </w:rPr>
      </w:pPr>
      <w:r>
        <w:rPr>
          <w:rFonts w:hint="eastAsia"/>
          <w:lang w:val="en-US" w:eastAsia="zh-CN"/>
        </w:rPr>
        <w:t>3-32, 117f</w:t>
      </w:r>
    </w:p>
    <w:p w14:paraId="6D10840B">
      <w:pPr>
        <w:bidi w:val="0"/>
        <w:rPr>
          <w:rFonts w:hint="eastAsia"/>
          <w:lang w:val="en-US" w:eastAsia="zh-CN"/>
        </w:rPr>
      </w:pPr>
    </w:p>
    <w:p w14:paraId="6CD2D91F">
      <w:pPr>
        <w:bidi w:val="0"/>
        <w:rPr>
          <w:rFonts w:hint="eastAsia"/>
          <w:lang w:val="en-US" w:eastAsia="zh-CN"/>
        </w:rPr>
      </w:pPr>
      <w:r>
        <w:rPr>
          <w:rFonts w:hint="eastAsia"/>
          <w:lang w:val="en-US" w:eastAsia="zh-CN"/>
        </w:rPr>
        <w:t>6:7-8 118</w:t>
      </w:r>
    </w:p>
    <w:p w14:paraId="6655F667">
      <w:pPr>
        <w:bidi w:val="0"/>
        <w:rPr>
          <w:rFonts w:hint="eastAsia"/>
          <w:lang w:val="en-US" w:eastAsia="zh-CN"/>
        </w:rPr>
      </w:pPr>
    </w:p>
    <w:p w14:paraId="13EEB166">
      <w:pPr>
        <w:bidi w:val="0"/>
        <w:rPr>
          <w:rFonts w:hint="eastAsia"/>
          <w:lang w:val="en-US" w:eastAsia="zh-CN"/>
        </w:rPr>
      </w:pPr>
      <w:r>
        <w:rPr>
          <w:rFonts w:hint="eastAsia"/>
          <w:lang w:val="en-US" w:eastAsia="zh-CN"/>
        </w:rPr>
        <w:t>6:7-8 118</w:t>
      </w:r>
    </w:p>
    <w:p w14:paraId="51502F78">
      <w:pPr>
        <w:bidi w:val="0"/>
        <w:rPr>
          <w:rFonts w:hint="eastAsia"/>
          <w:lang w:val="en-US" w:eastAsia="zh-CN"/>
        </w:rPr>
      </w:pPr>
    </w:p>
    <w:p w14:paraId="2254911C">
      <w:pPr>
        <w:bidi w:val="0"/>
        <w:rPr>
          <w:rFonts w:hint="eastAsia"/>
          <w:lang w:val="en-US" w:eastAsia="zh-CN"/>
        </w:rPr>
      </w:pPr>
      <w:r>
        <w:rPr>
          <w:rFonts w:hint="eastAsia"/>
          <w:lang w:val="en-US" w:eastAsia="zh-CN"/>
        </w:rPr>
        <w:t>7-12 401</w:t>
      </w:r>
    </w:p>
    <w:p w14:paraId="7F50B2E8">
      <w:pPr>
        <w:bidi w:val="0"/>
        <w:rPr>
          <w:rFonts w:hint="eastAsia"/>
          <w:lang w:val="en-US" w:eastAsia="zh-CN"/>
        </w:rPr>
      </w:pPr>
    </w:p>
    <w:p w14:paraId="1F76281E">
      <w:pPr>
        <w:bidi w:val="0"/>
        <w:rPr>
          <w:rFonts w:hint="eastAsia"/>
          <w:lang w:val="en-US" w:eastAsia="zh-CN"/>
        </w:rPr>
      </w:pPr>
      <w:r>
        <w:rPr>
          <w:rFonts w:hint="eastAsia"/>
          <w:lang w:val="en-US" w:eastAsia="zh-CN"/>
        </w:rPr>
        <w:t>7-12 401</w:t>
      </w:r>
    </w:p>
    <w:p w14:paraId="3B3041F3">
      <w:pPr>
        <w:bidi w:val="0"/>
        <w:rPr>
          <w:rFonts w:hint="eastAsia"/>
          <w:lang w:val="en-US" w:eastAsia="zh-CN"/>
        </w:rPr>
      </w:pPr>
    </w:p>
    <w:p w14:paraId="27282FAB">
      <w:pPr>
        <w:bidi w:val="0"/>
        <w:rPr>
          <w:rFonts w:hint="eastAsia"/>
          <w:lang w:val="en-US" w:eastAsia="zh-CN"/>
        </w:rPr>
      </w:pPr>
      <w:r>
        <w:rPr>
          <w:rFonts w:hint="eastAsia"/>
          <w:lang w:val="en-US" w:eastAsia="zh-CN"/>
        </w:rPr>
        <w:t>7:8-13 414</w:t>
      </w:r>
    </w:p>
    <w:p w14:paraId="1B55CA1B">
      <w:pPr>
        <w:bidi w:val="0"/>
        <w:rPr>
          <w:rFonts w:hint="eastAsia"/>
          <w:lang w:val="en-US" w:eastAsia="zh-CN"/>
        </w:rPr>
      </w:pPr>
    </w:p>
    <w:p w14:paraId="38A88CAD">
      <w:pPr>
        <w:bidi w:val="0"/>
        <w:rPr>
          <w:rFonts w:hint="eastAsia"/>
          <w:lang w:val="en-US" w:eastAsia="zh-CN"/>
        </w:rPr>
      </w:pPr>
      <w:r>
        <w:rPr>
          <w:rFonts w:hint="eastAsia"/>
          <w:lang w:val="en-US" w:eastAsia="zh-CN"/>
        </w:rPr>
        <w:t>7:8-13 414</w:t>
      </w:r>
    </w:p>
    <w:p w14:paraId="44E15180">
      <w:pPr>
        <w:bidi w:val="0"/>
        <w:rPr>
          <w:rFonts w:hint="eastAsia"/>
          <w:lang w:val="en-US" w:eastAsia="zh-CN"/>
        </w:rPr>
      </w:pPr>
    </w:p>
    <w:p w14:paraId="19F0F19F">
      <w:pPr>
        <w:bidi w:val="0"/>
        <w:rPr>
          <w:rFonts w:hint="eastAsia"/>
          <w:lang w:val="en-US" w:eastAsia="zh-CN"/>
        </w:rPr>
      </w:pPr>
      <w:r>
        <w:rPr>
          <w:rFonts w:hint="eastAsia"/>
          <w:lang w:val="en-US" w:eastAsia="zh-CN"/>
        </w:rPr>
        <w:t>7:20 –21 447, 456</w:t>
      </w:r>
    </w:p>
    <w:p w14:paraId="001A6D95">
      <w:pPr>
        <w:bidi w:val="0"/>
        <w:rPr>
          <w:rFonts w:hint="eastAsia"/>
          <w:lang w:val="en-US" w:eastAsia="zh-CN"/>
        </w:rPr>
      </w:pPr>
    </w:p>
    <w:p w14:paraId="0C7BE63E">
      <w:pPr>
        <w:bidi w:val="0"/>
        <w:rPr>
          <w:rFonts w:hint="eastAsia"/>
          <w:lang w:val="en-US" w:eastAsia="zh-CN"/>
        </w:rPr>
      </w:pPr>
      <w:r>
        <w:rPr>
          <w:rFonts w:hint="eastAsia"/>
          <w:lang w:val="en-US" w:eastAsia="zh-CN"/>
        </w:rPr>
        <w:t>7:20 –21 447, 456</w:t>
      </w:r>
    </w:p>
    <w:p w14:paraId="133B4D8F">
      <w:pPr>
        <w:bidi w:val="0"/>
        <w:rPr>
          <w:rFonts w:hint="eastAsia"/>
          <w:lang w:val="en-US" w:eastAsia="zh-CN"/>
        </w:rPr>
      </w:pPr>
    </w:p>
    <w:p w14:paraId="5884C9F8">
      <w:pPr>
        <w:bidi w:val="0"/>
        <w:rPr>
          <w:rFonts w:hint="eastAsia"/>
          <w:lang w:val="en-US" w:eastAsia="zh-CN"/>
        </w:rPr>
      </w:pPr>
      <w:r>
        <w:rPr>
          <w:rFonts w:hint="eastAsia"/>
          <w:lang w:val="en-US" w:eastAsia="zh-CN"/>
        </w:rPr>
        <w:t>9:8-12 456</w:t>
      </w:r>
    </w:p>
    <w:p w14:paraId="633E09CD">
      <w:pPr>
        <w:bidi w:val="0"/>
        <w:rPr>
          <w:rFonts w:hint="eastAsia"/>
          <w:lang w:val="en-US" w:eastAsia="zh-CN"/>
        </w:rPr>
      </w:pPr>
    </w:p>
    <w:p w14:paraId="1FBCEE2B">
      <w:pPr>
        <w:bidi w:val="0"/>
        <w:rPr>
          <w:rFonts w:hint="eastAsia"/>
          <w:lang w:val="en-US" w:eastAsia="zh-CN"/>
        </w:rPr>
      </w:pPr>
      <w:r>
        <w:rPr>
          <w:rFonts w:hint="eastAsia"/>
          <w:lang w:val="en-US" w:eastAsia="zh-CN"/>
        </w:rPr>
        <w:t>9:8-12 456</w:t>
      </w:r>
    </w:p>
    <w:p w14:paraId="4D694775">
      <w:pPr>
        <w:bidi w:val="0"/>
        <w:rPr>
          <w:rFonts w:hint="eastAsia"/>
          <w:lang w:val="en-US" w:eastAsia="zh-CN"/>
        </w:rPr>
      </w:pPr>
    </w:p>
    <w:p w14:paraId="4729F1FA">
      <w:pPr>
        <w:bidi w:val="0"/>
        <w:rPr>
          <w:rFonts w:hint="eastAsia"/>
          <w:lang w:val="en-US" w:eastAsia="zh-CN"/>
        </w:rPr>
      </w:pPr>
      <w:r>
        <w:rPr>
          <w:rFonts w:hint="eastAsia"/>
          <w:lang w:val="en-US" w:eastAsia="zh-CN"/>
        </w:rPr>
        <w:t>9:18-15 457</w:t>
      </w:r>
    </w:p>
    <w:p w14:paraId="285EE9C5">
      <w:pPr>
        <w:bidi w:val="0"/>
        <w:rPr>
          <w:rFonts w:hint="eastAsia"/>
          <w:lang w:val="en-US" w:eastAsia="zh-CN"/>
        </w:rPr>
      </w:pPr>
    </w:p>
    <w:p w14:paraId="60AE5750">
      <w:pPr>
        <w:bidi w:val="0"/>
        <w:rPr>
          <w:rFonts w:hint="eastAsia"/>
          <w:lang w:val="en-US" w:eastAsia="zh-CN"/>
        </w:rPr>
      </w:pPr>
      <w:r>
        <w:rPr>
          <w:rFonts w:hint="eastAsia"/>
          <w:lang w:val="en-US" w:eastAsia="zh-CN"/>
        </w:rPr>
        <w:t>9:18-15 457</w:t>
      </w:r>
    </w:p>
    <w:p w14:paraId="328E36F1">
      <w:pPr>
        <w:bidi w:val="0"/>
        <w:rPr>
          <w:rFonts w:hint="eastAsia"/>
          <w:lang w:val="en-US" w:eastAsia="zh-CN"/>
        </w:rPr>
      </w:pPr>
    </w:p>
    <w:p w14:paraId="19E62FDB">
      <w:pPr>
        <w:bidi w:val="0"/>
        <w:rPr>
          <w:rFonts w:hint="eastAsia"/>
          <w:lang w:val="en-US" w:eastAsia="zh-CN"/>
        </w:rPr>
      </w:pPr>
      <w:r>
        <w:rPr>
          <w:rFonts w:hint="eastAsia"/>
          <w:lang w:val="en-US" w:eastAsia="zh-CN"/>
        </w:rPr>
        <w:t>10:21-23 456</w:t>
      </w:r>
    </w:p>
    <w:p w14:paraId="5452AF6A">
      <w:pPr>
        <w:bidi w:val="0"/>
        <w:rPr>
          <w:rFonts w:hint="eastAsia"/>
          <w:lang w:val="en-US" w:eastAsia="zh-CN"/>
        </w:rPr>
      </w:pPr>
    </w:p>
    <w:p w14:paraId="0107EF59">
      <w:pPr>
        <w:bidi w:val="0"/>
        <w:rPr>
          <w:rFonts w:hint="eastAsia"/>
          <w:lang w:val="en-US" w:eastAsia="zh-CN"/>
        </w:rPr>
      </w:pPr>
      <w:r>
        <w:rPr>
          <w:rFonts w:hint="eastAsia"/>
          <w:lang w:val="en-US" w:eastAsia="zh-CN"/>
        </w:rPr>
        <w:t>10:21-23 456</w:t>
      </w:r>
    </w:p>
    <w:p w14:paraId="5F8609C7">
      <w:pPr>
        <w:bidi w:val="0"/>
        <w:rPr>
          <w:rFonts w:hint="eastAsia"/>
          <w:lang w:val="en-US" w:eastAsia="zh-CN"/>
        </w:rPr>
      </w:pPr>
    </w:p>
    <w:p w14:paraId="76609664">
      <w:pPr>
        <w:bidi w:val="0"/>
        <w:rPr>
          <w:rFonts w:hint="eastAsia"/>
          <w:lang w:val="en-US" w:eastAsia="zh-CN"/>
        </w:rPr>
      </w:pPr>
      <w:r>
        <w:rPr>
          <w:rFonts w:hint="eastAsia"/>
          <w:lang w:val="en-US" w:eastAsia="zh-CN"/>
        </w:rPr>
        <w:t>Exodus</w:t>
      </w:r>
    </w:p>
    <w:p w14:paraId="289669D2">
      <w:pPr>
        <w:bidi w:val="0"/>
        <w:rPr>
          <w:rFonts w:hint="eastAsia"/>
          <w:lang w:val="en-US" w:eastAsia="zh-CN"/>
        </w:rPr>
      </w:pPr>
    </w:p>
    <w:p w14:paraId="0AB4F737">
      <w:pPr>
        <w:bidi w:val="0"/>
        <w:rPr>
          <w:rFonts w:hint="eastAsia"/>
          <w:lang w:val="en-US" w:eastAsia="zh-CN"/>
        </w:rPr>
      </w:pPr>
      <w:r>
        <w:rPr>
          <w:rFonts w:hint="eastAsia"/>
          <w:lang w:val="en-US" w:eastAsia="zh-CN"/>
        </w:rPr>
        <w:t>出埃及记</w:t>
      </w:r>
    </w:p>
    <w:p w14:paraId="1F673268">
      <w:pPr>
        <w:bidi w:val="0"/>
        <w:rPr>
          <w:rFonts w:hint="eastAsia"/>
          <w:lang w:val="en-US" w:eastAsia="zh-CN"/>
        </w:rPr>
      </w:pPr>
    </w:p>
    <w:p w14:paraId="75565B77">
      <w:pPr>
        <w:bidi w:val="0"/>
        <w:rPr>
          <w:rFonts w:hint="eastAsia"/>
          <w:lang w:val="en-US" w:eastAsia="zh-CN"/>
        </w:rPr>
      </w:pPr>
      <w:r>
        <w:rPr>
          <w:rFonts w:hint="eastAsia"/>
          <w:lang w:val="en-US" w:eastAsia="zh-CN"/>
        </w:rPr>
        <w:t>12:48 191</w:t>
      </w:r>
    </w:p>
    <w:p w14:paraId="10FB3328">
      <w:pPr>
        <w:bidi w:val="0"/>
        <w:rPr>
          <w:rFonts w:hint="eastAsia"/>
          <w:lang w:val="en-US" w:eastAsia="zh-CN"/>
        </w:rPr>
      </w:pPr>
    </w:p>
    <w:p w14:paraId="57DB5437">
      <w:pPr>
        <w:bidi w:val="0"/>
        <w:rPr>
          <w:rFonts w:hint="eastAsia"/>
          <w:lang w:val="en-US" w:eastAsia="zh-CN"/>
        </w:rPr>
      </w:pPr>
      <w:r>
        <w:rPr>
          <w:rFonts w:hint="eastAsia"/>
          <w:lang w:val="en-US" w:eastAsia="zh-CN"/>
        </w:rPr>
        <w:t>12:48 191</w:t>
      </w:r>
    </w:p>
    <w:p w14:paraId="540A3942">
      <w:pPr>
        <w:bidi w:val="0"/>
        <w:rPr>
          <w:rFonts w:hint="eastAsia"/>
          <w:lang w:val="en-US" w:eastAsia="zh-CN"/>
        </w:rPr>
      </w:pPr>
    </w:p>
    <w:p w14:paraId="0CF9B8D5">
      <w:pPr>
        <w:bidi w:val="0"/>
        <w:rPr>
          <w:rFonts w:hint="eastAsia"/>
          <w:lang w:val="en-US" w:eastAsia="zh-CN"/>
        </w:rPr>
      </w:pPr>
      <w:r>
        <w:rPr>
          <w:rFonts w:hint="eastAsia"/>
          <w:lang w:val="en-US" w:eastAsia="zh-CN"/>
        </w:rPr>
        <w:t>14:1-15:18 397</w:t>
      </w:r>
    </w:p>
    <w:p w14:paraId="07ABBCAB">
      <w:pPr>
        <w:bidi w:val="0"/>
        <w:rPr>
          <w:rFonts w:hint="eastAsia"/>
          <w:lang w:val="en-US" w:eastAsia="zh-CN"/>
        </w:rPr>
      </w:pPr>
    </w:p>
    <w:p w14:paraId="4CD61473">
      <w:pPr>
        <w:bidi w:val="0"/>
        <w:rPr>
          <w:rFonts w:hint="eastAsia"/>
          <w:lang w:val="en-US" w:eastAsia="zh-CN"/>
        </w:rPr>
      </w:pPr>
      <w:r>
        <w:rPr>
          <w:rFonts w:hint="eastAsia"/>
          <w:lang w:val="en-US" w:eastAsia="zh-CN"/>
        </w:rPr>
        <w:t>14:1-15:18 397</w:t>
      </w:r>
    </w:p>
    <w:p w14:paraId="319D7CE6">
      <w:pPr>
        <w:bidi w:val="0"/>
        <w:rPr>
          <w:rFonts w:hint="eastAsia"/>
          <w:lang w:val="en-US" w:eastAsia="zh-CN"/>
        </w:rPr>
      </w:pPr>
    </w:p>
    <w:p w14:paraId="04BC138A">
      <w:pPr>
        <w:bidi w:val="0"/>
        <w:rPr>
          <w:rFonts w:hint="eastAsia"/>
          <w:lang w:val="en-US" w:eastAsia="zh-CN"/>
        </w:rPr>
      </w:pPr>
      <w:r>
        <w:rPr>
          <w:rFonts w:hint="eastAsia"/>
          <w:lang w:val="en-US" w:eastAsia="zh-CN"/>
        </w:rPr>
        <w:t>14:19-20 334</w:t>
      </w:r>
    </w:p>
    <w:p w14:paraId="3455DFDD">
      <w:pPr>
        <w:bidi w:val="0"/>
        <w:rPr>
          <w:rFonts w:hint="eastAsia"/>
          <w:lang w:val="en-US" w:eastAsia="zh-CN"/>
        </w:rPr>
      </w:pPr>
    </w:p>
    <w:p w14:paraId="1C296AA6">
      <w:pPr>
        <w:bidi w:val="0"/>
        <w:rPr>
          <w:rFonts w:hint="eastAsia"/>
          <w:lang w:val="en-US" w:eastAsia="zh-CN"/>
        </w:rPr>
      </w:pPr>
      <w:r>
        <w:rPr>
          <w:rFonts w:hint="eastAsia"/>
          <w:lang w:val="en-US" w:eastAsia="zh-CN"/>
        </w:rPr>
        <w:t>14:19-20 334</w:t>
      </w:r>
    </w:p>
    <w:p w14:paraId="09DD4176">
      <w:pPr>
        <w:bidi w:val="0"/>
        <w:rPr>
          <w:rFonts w:hint="eastAsia"/>
          <w:lang w:val="en-US" w:eastAsia="zh-CN"/>
        </w:rPr>
      </w:pPr>
    </w:p>
    <w:p w14:paraId="1050CBE0">
      <w:pPr>
        <w:bidi w:val="0"/>
        <w:rPr>
          <w:rFonts w:hint="eastAsia"/>
          <w:lang w:val="en-US" w:eastAsia="zh-CN"/>
        </w:rPr>
      </w:pPr>
      <w:r>
        <w:rPr>
          <w:rFonts w:hint="eastAsia"/>
          <w:lang w:val="en-US" w:eastAsia="zh-CN"/>
        </w:rPr>
        <w:t>15:1f 455</w:t>
      </w:r>
    </w:p>
    <w:p w14:paraId="15779976">
      <w:pPr>
        <w:bidi w:val="0"/>
        <w:rPr>
          <w:rFonts w:hint="eastAsia"/>
          <w:lang w:val="en-US" w:eastAsia="zh-CN"/>
        </w:rPr>
      </w:pPr>
    </w:p>
    <w:p w14:paraId="32F80B49">
      <w:pPr>
        <w:bidi w:val="0"/>
        <w:rPr>
          <w:rFonts w:hint="eastAsia"/>
          <w:lang w:val="en-US" w:eastAsia="zh-CN"/>
        </w:rPr>
      </w:pPr>
      <w:r>
        <w:rPr>
          <w:rFonts w:hint="eastAsia"/>
          <w:lang w:val="en-US" w:eastAsia="zh-CN"/>
        </w:rPr>
        <w:t>15:1f 455</w:t>
      </w:r>
    </w:p>
    <w:p w14:paraId="5F974747">
      <w:pPr>
        <w:bidi w:val="0"/>
        <w:rPr>
          <w:rFonts w:hint="eastAsia"/>
          <w:lang w:val="en-US" w:eastAsia="zh-CN"/>
        </w:rPr>
      </w:pPr>
    </w:p>
    <w:p w14:paraId="23144577">
      <w:pPr>
        <w:bidi w:val="0"/>
        <w:rPr>
          <w:rFonts w:hint="eastAsia"/>
          <w:lang w:val="en-US" w:eastAsia="zh-CN"/>
        </w:rPr>
      </w:pPr>
      <w:r>
        <w:rPr>
          <w:rFonts w:hint="eastAsia"/>
          <w:lang w:val="en-US" w:eastAsia="zh-CN"/>
        </w:rPr>
        <w:t>16:1f 47, 451</w:t>
      </w:r>
    </w:p>
    <w:p w14:paraId="1FE23554">
      <w:pPr>
        <w:bidi w:val="0"/>
        <w:rPr>
          <w:rFonts w:hint="eastAsia"/>
          <w:lang w:val="en-US" w:eastAsia="zh-CN"/>
        </w:rPr>
      </w:pPr>
    </w:p>
    <w:p w14:paraId="1D75FA76">
      <w:pPr>
        <w:bidi w:val="0"/>
        <w:rPr>
          <w:rFonts w:hint="eastAsia"/>
          <w:lang w:val="en-US" w:eastAsia="zh-CN"/>
        </w:rPr>
      </w:pPr>
      <w:r>
        <w:rPr>
          <w:rFonts w:hint="eastAsia"/>
          <w:lang w:val="en-US" w:eastAsia="zh-CN"/>
        </w:rPr>
        <w:t>16:1f 47, 451</w:t>
      </w:r>
    </w:p>
    <w:p w14:paraId="4E1429AF">
      <w:pPr>
        <w:bidi w:val="0"/>
        <w:rPr>
          <w:rFonts w:hint="eastAsia"/>
          <w:lang w:val="en-US" w:eastAsia="zh-CN"/>
        </w:rPr>
      </w:pPr>
    </w:p>
    <w:p w14:paraId="0544D6FE">
      <w:pPr>
        <w:bidi w:val="0"/>
        <w:rPr>
          <w:rFonts w:hint="eastAsia"/>
          <w:lang w:val="en-US" w:eastAsia="zh-CN"/>
        </w:rPr>
      </w:pPr>
      <w:r>
        <w:rPr>
          <w:rFonts w:hint="eastAsia"/>
          <w:lang w:val="en-US" w:eastAsia="zh-CN"/>
        </w:rPr>
        <w:t>17:8 488</w:t>
      </w:r>
    </w:p>
    <w:p w14:paraId="021B8D09">
      <w:pPr>
        <w:bidi w:val="0"/>
        <w:rPr>
          <w:rFonts w:hint="eastAsia"/>
          <w:lang w:val="en-US" w:eastAsia="zh-CN"/>
        </w:rPr>
      </w:pPr>
    </w:p>
    <w:p w14:paraId="6EC1C772">
      <w:pPr>
        <w:bidi w:val="0"/>
        <w:rPr>
          <w:rFonts w:hint="eastAsia"/>
          <w:lang w:val="en-US" w:eastAsia="zh-CN"/>
        </w:rPr>
      </w:pPr>
      <w:r>
        <w:rPr>
          <w:rFonts w:hint="eastAsia"/>
          <w:lang w:val="en-US" w:eastAsia="zh-CN"/>
        </w:rPr>
        <w:t>17:8 488</w:t>
      </w:r>
    </w:p>
    <w:p w14:paraId="0E898704">
      <w:pPr>
        <w:bidi w:val="0"/>
        <w:rPr>
          <w:rFonts w:hint="eastAsia"/>
          <w:lang w:val="en-US" w:eastAsia="zh-CN"/>
        </w:rPr>
      </w:pPr>
    </w:p>
    <w:p w14:paraId="6C965A58">
      <w:pPr>
        <w:bidi w:val="0"/>
        <w:rPr>
          <w:rFonts w:hint="eastAsia"/>
          <w:lang w:val="en-US" w:eastAsia="zh-CN"/>
        </w:rPr>
      </w:pPr>
      <w:r>
        <w:rPr>
          <w:rFonts w:hint="eastAsia"/>
          <w:lang w:val="en-US" w:eastAsia="zh-CN"/>
        </w:rPr>
        <w:t>19:1f 565</w:t>
      </w:r>
    </w:p>
    <w:p w14:paraId="00756916">
      <w:pPr>
        <w:bidi w:val="0"/>
        <w:rPr>
          <w:rFonts w:hint="eastAsia"/>
          <w:lang w:val="en-US" w:eastAsia="zh-CN"/>
        </w:rPr>
      </w:pPr>
    </w:p>
    <w:p w14:paraId="5966F131">
      <w:pPr>
        <w:bidi w:val="0"/>
        <w:rPr>
          <w:rFonts w:hint="eastAsia"/>
          <w:lang w:val="en-US" w:eastAsia="zh-CN"/>
        </w:rPr>
      </w:pPr>
      <w:r>
        <w:rPr>
          <w:rFonts w:hint="eastAsia"/>
          <w:lang w:val="en-US" w:eastAsia="zh-CN"/>
        </w:rPr>
        <w:t>19:1f 565</w:t>
      </w:r>
    </w:p>
    <w:p w14:paraId="563A0D27">
      <w:pPr>
        <w:bidi w:val="0"/>
        <w:rPr>
          <w:rFonts w:hint="eastAsia"/>
          <w:lang w:val="en-US" w:eastAsia="zh-CN"/>
        </w:rPr>
      </w:pPr>
    </w:p>
    <w:p w14:paraId="07C40BD6">
      <w:pPr>
        <w:bidi w:val="0"/>
        <w:rPr>
          <w:rFonts w:hint="eastAsia"/>
          <w:lang w:val="en-US" w:eastAsia="zh-CN"/>
        </w:rPr>
      </w:pPr>
      <w:r>
        <w:rPr>
          <w:rFonts w:hint="eastAsia"/>
          <w:lang w:val="en-US" w:eastAsia="zh-CN"/>
        </w:rPr>
        <w:t>19:6 174, 195, 440</w:t>
      </w:r>
    </w:p>
    <w:p w14:paraId="5FE28B8A">
      <w:pPr>
        <w:bidi w:val="0"/>
        <w:rPr>
          <w:rFonts w:hint="eastAsia"/>
          <w:lang w:val="en-US" w:eastAsia="zh-CN"/>
        </w:rPr>
      </w:pPr>
    </w:p>
    <w:p w14:paraId="2F12D2BC">
      <w:pPr>
        <w:bidi w:val="0"/>
        <w:rPr>
          <w:rFonts w:hint="eastAsia"/>
          <w:lang w:val="en-US" w:eastAsia="zh-CN"/>
        </w:rPr>
      </w:pPr>
      <w:r>
        <w:rPr>
          <w:rFonts w:hint="eastAsia"/>
          <w:lang w:val="en-US" w:eastAsia="zh-CN"/>
        </w:rPr>
        <w:t>19:6 174, 195, 440</w:t>
      </w:r>
    </w:p>
    <w:p w14:paraId="3EDC0F5F">
      <w:pPr>
        <w:bidi w:val="0"/>
        <w:rPr>
          <w:rFonts w:hint="eastAsia"/>
          <w:lang w:val="en-US" w:eastAsia="zh-CN"/>
        </w:rPr>
      </w:pPr>
    </w:p>
    <w:p w14:paraId="54B533C5">
      <w:pPr>
        <w:bidi w:val="0"/>
        <w:rPr>
          <w:rFonts w:hint="eastAsia"/>
          <w:lang w:val="en-US" w:eastAsia="zh-CN"/>
        </w:rPr>
      </w:pPr>
      <w:r>
        <w:rPr>
          <w:rFonts w:hint="eastAsia"/>
          <w:lang w:val="en-US" w:eastAsia="zh-CN"/>
        </w:rPr>
        <w:t>20:12 214</w:t>
      </w:r>
    </w:p>
    <w:p w14:paraId="76F238C9">
      <w:pPr>
        <w:bidi w:val="0"/>
        <w:rPr>
          <w:rFonts w:hint="eastAsia"/>
          <w:lang w:val="en-US" w:eastAsia="zh-CN"/>
        </w:rPr>
      </w:pPr>
    </w:p>
    <w:p w14:paraId="16AE8106">
      <w:pPr>
        <w:bidi w:val="0"/>
        <w:rPr>
          <w:rFonts w:hint="eastAsia"/>
          <w:lang w:val="en-US" w:eastAsia="zh-CN"/>
        </w:rPr>
      </w:pPr>
      <w:r>
        <w:rPr>
          <w:rFonts w:hint="eastAsia"/>
          <w:lang w:val="en-US" w:eastAsia="zh-CN"/>
        </w:rPr>
        <w:t>20:12 214</w:t>
      </w:r>
    </w:p>
    <w:p w14:paraId="2B010AE8">
      <w:pPr>
        <w:bidi w:val="0"/>
        <w:rPr>
          <w:rFonts w:hint="eastAsia"/>
          <w:lang w:val="en-US" w:eastAsia="zh-CN"/>
        </w:rPr>
      </w:pPr>
    </w:p>
    <w:p w14:paraId="674D84A3">
      <w:pPr>
        <w:bidi w:val="0"/>
        <w:rPr>
          <w:rFonts w:hint="eastAsia"/>
          <w:lang w:val="en-US" w:eastAsia="zh-CN"/>
        </w:rPr>
      </w:pPr>
      <w:r>
        <w:rPr>
          <w:rFonts w:hint="eastAsia"/>
          <w:lang w:val="en-US" w:eastAsia="zh-CN"/>
        </w:rPr>
        <w:t>24:3-8 117-121</w:t>
      </w:r>
    </w:p>
    <w:p w14:paraId="396BE715">
      <w:pPr>
        <w:bidi w:val="0"/>
        <w:rPr>
          <w:rFonts w:hint="eastAsia"/>
          <w:lang w:val="en-US" w:eastAsia="zh-CN"/>
        </w:rPr>
      </w:pPr>
    </w:p>
    <w:p w14:paraId="5DA01399">
      <w:pPr>
        <w:bidi w:val="0"/>
        <w:rPr>
          <w:rFonts w:hint="eastAsia"/>
          <w:lang w:val="en-US" w:eastAsia="zh-CN"/>
        </w:rPr>
      </w:pPr>
      <w:r>
        <w:rPr>
          <w:rFonts w:hint="eastAsia"/>
          <w:lang w:val="en-US" w:eastAsia="zh-CN"/>
        </w:rPr>
        <w:t>24:3-8 117-121</w:t>
      </w:r>
    </w:p>
    <w:p w14:paraId="7CCD77D6">
      <w:pPr>
        <w:bidi w:val="0"/>
        <w:rPr>
          <w:rFonts w:hint="eastAsia"/>
          <w:lang w:val="en-US" w:eastAsia="zh-CN"/>
        </w:rPr>
      </w:pPr>
    </w:p>
    <w:p w14:paraId="3E1440CE">
      <w:pPr>
        <w:bidi w:val="0"/>
        <w:rPr>
          <w:rFonts w:hint="eastAsia"/>
          <w:lang w:val="en-US" w:eastAsia="zh-CN"/>
        </w:rPr>
      </w:pPr>
      <w:r>
        <w:rPr>
          <w:rFonts w:hint="eastAsia"/>
          <w:lang w:val="en-US" w:eastAsia="zh-CN"/>
        </w:rPr>
        <w:t>32:32-33 287</w:t>
      </w:r>
    </w:p>
    <w:p w14:paraId="3E35912C">
      <w:pPr>
        <w:bidi w:val="0"/>
        <w:rPr>
          <w:rFonts w:hint="eastAsia"/>
          <w:lang w:val="en-US" w:eastAsia="zh-CN"/>
        </w:rPr>
      </w:pPr>
    </w:p>
    <w:p w14:paraId="45C24D7B">
      <w:pPr>
        <w:bidi w:val="0"/>
        <w:rPr>
          <w:rFonts w:hint="eastAsia"/>
          <w:lang w:val="en-US" w:eastAsia="zh-CN"/>
        </w:rPr>
      </w:pPr>
      <w:r>
        <w:rPr>
          <w:rFonts w:hint="eastAsia"/>
          <w:lang w:val="en-US" w:eastAsia="zh-CN"/>
        </w:rPr>
        <w:t>32:32-33 287</w:t>
      </w:r>
    </w:p>
    <w:p w14:paraId="18AE2F20">
      <w:pPr>
        <w:bidi w:val="0"/>
        <w:rPr>
          <w:rFonts w:hint="eastAsia"/>
          <w:lang w:val="en-US" w:eastAsia="zh-CN"/>
        </w:rPr>
      </w:pPr>
    </w:p>
    <w:p w14:paraId="5D3F1D18">
      <w:pPr>
        <w:bidi w:val="0"/>
        <w:rPr>
          <w:rFonts w:hint="eastAsia"/>
          <w:lang w:val="en-US" w:eastAsia="zh-CN"/>
        </w:rPr>
      </w:pPr>
      <w:r>
        <w:rPr>
          <w:rFonts w:hint="eastAsia"/>
          <w:lang w:val="en-US" w:eastAsia="zh-CN"/>
        </w:rPr>
        <w:t>Leviticus</w:t>
      </w:r>
    </w:p>
    <w:p w14:paraId="7AF91389">
      <w:pPr>
        <w:bidi w:val="0"/>
        <w:rPr>
          <w:rFonts w:hint="eastAsia"/>
          <w:lang w:val="en-US" w:eastAsia="zh-CN"/>
        </w:rPr>
      </w:pPr>
    </w:p>
    <w:p w14:paraId="65F6B78A">
      <w:pPr>
        <w:bidi w:val="0"/>
        <w:rPr>
          <w:rFonts w:hint="eastAsia"/>
          <w:lang w:val="en-US" w:eastAsia="zh-CN"/>
        </w:rPr>
      </w:pPr>
      <w:r>
        <w:rPr>
          <w:rFonts w:hint="eastAsia"/>
          <w:lang w:val="en-US" w:eastAsia="zh-CN"/>
        </w:rPr>
        <w:t>利未记</w:t>
      </w:r>
    </w:p>
    <w:p w14:paraId="2E834835">
      <w:pPr>
        <w:bidi w:val="0"/>
        <w:rPr>
          <w:rFonts w:hint="eastAsia"/>
          <w:lang w:val="en-US" w:eastAsia="zh-CN"/>
        </w:rPr>
      </w:pPr>
    </w:p>
    <w:p w14:paraId="371311AB">
      <w:pPr>
        <w:bidi w:val="0"/>
        <w:rPr>
          <w:rFonts w:hint="eastAsia"/>
          <w:lang w:val="en-US" w:eastAsia="zh-CN"/>
        </w:rPr>
      </w:pPr>
      <w:r>
        <w:rPr>
          <w:rFonts w:hint="eastAsia"/>
          <w:lang w:val="en-US" w:eastAsia="zh-CN"/>
        </w:rPr>
        <w:t>1-9 118, 120</w:t>
      </w:r>
    </w:p>
    <w:p w14:paraId="137CEC13">
      <w:pPr>
        <w:bidi w:val="0"/>
        <w:rPr>
          <w:rFonts w:hint="eastAsia"/>
          <w:lang w:val="en-US" w:eastAsia="zh-CN"/>
        </w:rPr>
      </w:pPr>
    </w:p>
    <w:p w14:paraId="225124AE">
      <w:pPr>
        <w:bidi w:val="0"/>
        <w:rPr>
          <w:rFonts w:hint="eastAsia"/>
          <w:lang w:val="en-US" w:eastAsia="zh-CN"/>
        </w:rPr>
      </w:pPr>
      <w:r>
        <w:rPr>
          <w:rFonts w:hint="eastAsia"/>
          <w:lang w:val="en-US" w:eastAsia="zh-CN"/>
        </w:rPr>
        <w:t>1-9 118, 120</w:t>
      </w:r>
    </w:p>
    <w:p w14:paraId="6C729446">
      <w:pPr>
        <w:bidi w:val="0"/>
        <w:rPr>
          <w:rFonts w:hint="eastAsia"/>
          <w:lang w:val="en-US" w:eastAsia="zh-CN"/>
        </w:rPr>
      </w:pPr>
    </w:p>
    <w:p w14:paraId="21DF3DC0">
      <w:pPr>
        <w:bidi w:val="0"/>
        <w:rPr>
          <w:rFonts w:hint="eastAsia"/>
          <w:lang w:val="en-US" w:eastAsia="zh-CN"/>
        </w:rPr>
      </w:pPr>
      <w:r>
        <w:rPr>
          <w:rFonts w:hint="eastAsia"/>
          <w:lang w:val="en-US" w:eastAsia="zh-CN"/>
        </w:rPr>
        <w:t>19:28 392</w:t>
      </w:r>
    </w:p>
    <w:p w14:paraId="509DF5A2">
      <w:pPr>
        <w:bidi w:val="0"/>
        <w:rPr>
          <w:rFonts w:hint="eastAsia"/>
          <w:lang w:val="en-US" w:eastAsia="zh-CN"/>
        </w:rPr>
      </w:pPr>
    </w:p>
    <w:p w14:paraId="5694E4C2">
      <w:pPr>
        <w:bidi w:val="0"/>
        <w:rPr>
          <w:rFonts w:hint="eastAsia"/>
          <w:lang w:val="en-US" w:eastAsia="zh-CN"/>
        </w:rPr>
      </w:pPr>
      <w:r>
        <w:rPr>
          <w:rFonts w:hint="eastAsia"/>
          <w:lang w:val="en-US" w:eastAsia="zh-CN"/>
        </w:rPr>
        <w:t>19:28 392</w:t>
      </w:r>
    </w:p>
    <w:p w14:paraId="73776411">
      <w:pPr>
        <w:bidi w:val="0"/>
        <w:rPr>
          <w:rFonts w:hint="eastAsia"/>
          <w:lang w:val="en-US" w:eastAsia="zh-CN"/>
        </w:rPr>
      </w:pPr>
    </w:p>
    <w:p w14:paraId="37D83F8B">
      <w:pPr>
        <w:bidi w:val="0"/>
        <w:rPr>
          <w:rFonts w:hint="eastAsia"/>
          <w:lang w:val="en-US" w:eastAsia="zh-CN"/>
        </w:rPr>
      </w:pPr>
      <w:r>
        <w:rPr>
          <w:rFonts w:hint="eastAsia"/>
          <w:lang w:val="en-US" w:eastAsia="zh-CN"/>
        </w:rPr>
        <w:t>19:33-34 191</w:t>
      </w:r>
    </w:p>
    <w:p w14:paraId="289B4B0D">
      <w:pPr>
        <w:bidi w:val="0"/>
        <w:rPr>
          <w:rFonts w:hint="eastAsia"/>
          <w:lang w:val="en-US" w:eastAsia="zh-CN"/>
        </w:rPr>
      </w:pPr>
    </w:p>
    <w:p w14:paraId="73D56E2A">
      <w:pPr>
        <w:bidi w:val="0"/>
        <w:rPr>
          <w:rFonts w:hint="eastAsia"/>
          <w:lang w:val="en-US" w:eastAsia="zh-CN"/>
        </w:rPr>
      </w:pPr>
      <w:r>
        <w:rPr>
          <w:rFonts w:hint="eastAsia"/>
          <w:lang w:val="en-US" w:eastAsia="zh-CN"/>
        </w:rPr>
        <w:t>19:33-34 191</w:t>
      </w:r>
    </w:p>
    <w:p w14:paraId="6975843A">
      <w:pPr>
        <w:bidi w:val="0"/>
        <w:rPr>
          <w:rFonts w:hint="eastAsia"/>
          <w:lang w:val="en-US" w:eastAsia="zh-CN"/>
        </w:rPr>
      </w:pPr>
    </w:p>
    <w:p w14:paraId="2DBD148A">
      <w:pPr>
        <w:bidi w:val="0"/>
        <w:rPr>
          <w:rFonts w:hint="eastAsia"/>
          <w:lang w:val="en-US" w:eastAsia="zh-CN"/>
        </w:rPr>
      </w:pPr>
      <w:r>
        <w:rPr>
          <w:rFonts w:hint="eastAsia"/>
          <w:lang w:val="en-US" w:eastAsia="zh-CN"/>
        </w:rPr>
        <w:t>23:10f 148</w:t>
      </w:r>
    </w:p>
    <w:p w14:paraId="549DE4E2">
      <w:pPr>
        <w:bidi w:val="0"/>
        <w:rPr>
          <w:rFonts w:hint="eastAsia"/>
          <w:lang w:val="en-US" w:eastAsia="zh-CN"/>
        </w:rPr>
      </w:pPr>
    </w:p>
    <w:p w14:paraId="09BBD682">
      <w:pPr>
        <w:bidi w:val="0"/>
        <w:rPr>
          <w:rFonts w:hint="eastAsia"/>
          <w:lang w:val="en-US" w:eastAsia="zh-CN"/>
        </w:rPr>
      </w:pPr>
      <w:r>
        <w:rPr>
          <w:rFonts w:hint="eastAsia"/>
          <w:lang w:val="en-US" w:eastAsia="zh-CN"/>
        </w:rPr>
        <w:t>23:10f 148</w:t>
      </w:r>
    </w:p>
    <w:p w14:paraId="090541BC">
      <w:pPr>
        <w:bidi w:val="0"/>
        <w:rPr>
          <w:rFonts w:hint="eastAsia"/>
          <w:lang w:val="en-US" w:eastAsia="zh-CN"/>
        </w:rPr>
      </w:pPr>
    </w:p>
    <w:p w14:paraId="48E88A67">
      <w:pPr>
        <w:bidi w:val="0"/>
        <w:rPr>
          <w:rFonts w:hint="eastAsia"/>
          <w:lang w:val="en-US" w:eastAsia="zh-CN"/>
        </w:rPr>
      </w:pPr>
      <w:r>
        <w:rPr>
          <w:rFonts w:hint="eastAsia"/>
          <w:lang w:val="en-US" w:eastAsia="zh-CN"/>
        </w:rPr>
        <w:t>23:33-34 402</w:t>
      </w:r>
    </w:p>
    <w:p w14:paraId="0F20C38E">
      <w:pPr>
        <w:bidi w:val="0"/>
        <w:rPr>
          <w:rFonts w:hint="eastAsia"/>
          <w:lang w:val="en-US" w:eastAsia="zh-CN"/>
        </w:rPr>
      </w:pPr>
    </w:p>
    <w:p w14:paraId="2E0734E0">
      <w:pPr>
        <w:bidi w:val="0"/>
        <w:rPr>
          <w:rFonts w:hint="eastAsia"/>
          <w:lang w:val="en-US" w:eastAsia="zh-CN"/>
        </w:rPr>
      </w:pPr>
      <w:r>
        <w:rPr>
          <w:rFonts w:hint="eastAsia"/>
          <w:lang w:val="en-US" w:eastAsia="zh-CN"/>
        </w:rPr>
        <w:t>23:33-34 402</w:t>
      </w:r>
    </w:p>
    <w:p w14:paraId="31F452A3">
      <w:pPr>
        <w:bidi w:val="0"/>
        <w:rPr>
          <w:rFonts w:hint="eastAsia"/>
          <w:lang w:val="en-US" w:eastAsia="zh-CN"/>
        </w:rPr>
      </w:pPr>
    </w:p>
    <w:p w14:paraId="2B1B3E8A">
      <w:pPr>
        <w:bidi w:val="0"/>
        <w:rPr>
          <w:rFonts w:hint="eastAsia"/>
          <w:lang w:val="en-US" w:eastAsia="zh-CN"/>
        </w:rPr>
      </w:pPr>
      <w:r>
        <w:rPr>
          <w:rFonts w:hint="eastAsia"/>
          <w:lang w:val="en-US" w:eastAsia="zh-CN"/>
        </w:rPr>
        <w:t>25:1f 224</w:t>
      </w:r>
    </w:p>
    <w:p w14:paraId="56C65956">
      <w:pPr>
        <w:bidi w:val="0"/>
        <w:rPr>
          <w:rFonts w:hint="eastAsia"/>
          <w:lang w:val="en-US" w:eastAsia="zh-CN"/>
        </w:rPr>
      </w:pPr>
    </w:p>
    <w:p w14:paraId="3965EFFA">
      <w:pPr>
        <w:bidi w:val="0"/>
        <w:rPr>
          <w:rFonts w:hint="eastAsia"/>
          <w:lang w:val="en-US" w:eastAsia="zh-CN"/>
        </w:rPr>
      </w:pPr>
      <w:r>
        <w:rPr>
          <w:rFonts w:hint="eastAsia"/>
          <w:lang w:val="en-US" w:eastAsia="zh-CN"/>
        </w:rPr>
        <w:t>25:1f 224</w:t>
      </w:r>
    </w:p>
    <w:p w14:paraId="23CCD230">
      <w:pPr>
        <w:bidi w:val="0"/>
        <w:rPr>
          <w:rFonts w:hint="eastAsia"/>
          <w:lang w:val="en-US" w:eastAsia="zh-CN"/>
        </w:rPr>
      </w:pPr>
    </w:p>
    <w:p w14:paraId="0F6F46A3">
      <w:pPr>
        <w:bidi w:val="0"/>
        <w:rPr>
          <w:rFonts w:hint="eastAsia"/>
          <w:lang w:val="en-US" w:eastAsia="zh-CN"/>
        </w:rPr>
      </w:pPr>
      <w:r>
        <w:rPr>
          <w:rFonts w:hint="eastAsia"/>
          <w:lang w:val="en-US" w:eastAsia="zh-CN"/>
        </w:rPr>
        <w:t>26:1f 10, 118, 120, 189, 207, 211, 213, 216</w:t>
      </w:r>
    </w:p>
    <w:p w14:paraId="46D50A79">
      <w:pPr>
        <w:bidi w:val="0"/>
        <w:rPr>
          <w:rFonts w:hint="eastAsia"/>
          <w:lang w:val="en-US" w:eastAsia="zh-CN"/>
        </w:rPr>
      </w:pPr>
    </w:p>
    <w:p w14:paraId="6B067794">
      <w:pPr>
        <w:bidi w:val="0"/>
        <w:rPr>
          <w:rFonts w:hint="eastAsia"/>
          <w:lang w:val="en-US" w:eastAsia="zh-CN"/>
        </w:rPr>
      </w:pPr>
      <w:r>
        <w:rPr>
          <w:rFonts w:hint="eastAsia"/>
          <w:lang w:val="en-US" w:eastAsia="zh-CN"/>
        </w:rPr>
        <w:t>26:1f 10, 118, 120, 189, 207, 211, 213, 216</w:t>
      </w:r>
    </w:p>
    <w:p w14:paraId="0EDAD6C6">
      <w:pPr>
        <w:bidi w:val="0"/>
        <w:rPr>
          <w:rFonts w:hint="eastAsia"/>
          <w:lang w:val="en-US" w:eastAsia="zh-CN"/>
        </w:rPr>
      </w:pPr>
    </w:p>
    <w:p w14:paraId="50CE2C22">
      <w:pPr>
        <w:bidi w:val="0"/>
        <w:rPr>
          <w:rFonts w:hint="eastAsia"/>
          <w:lang w:val="en-US" w:eastAsia="zh-CN"/>
        </w:rPr>
      </w:pPr>
      <w:r>
        <w:rPr>
          <w:rFonts w:hint="eastAsia"/>
          <w:lang w:val="en-US" w:eastAsia="zh-CN"/>
        </w:rPr>
        <w:t>26:6 213</w:t>
      </w:r>
    </w:p>
    <w:p w14:paraId="75BDDAA9">
      <w:pPr>
        <w:bidi w:val="0"/>
        <w:rPr>
          <w:rFonts w:hint="eastAsia"/>
          <w:lang w:val="en-US" w:eastAsia="zh-CN"/>
        </w:rPr>
      </w:pPr>
    </w:p>
    <w:p w14:paraId="24CD9473">
      <w:pPr>
        <w:bidi w:val="0"/>
        <w:rPr>
          <w:rFonts w:hint="eastAsia"/>
          <w:lang w:val="en-US" w:eastAsia="zh-CN"/>
        </w:rPr>
      </w:pPr>
      <w:r>
        <w:rPr>
          <w:rFonts w:hint="eastAsia"/>
          <w:lang w:val="en-US" w:eastAsia="zh-CN"/>
        </w:rPr>
        <w:t>26:6 213</w:t>
      </w:r>
    </w:p>
    <w:p w14:paraId="532D3580">
      <w:pPr>
        <w:bidi w:val="0"/>
        <w:rPr>
          <w:rFonts w:hint="eastAsia"/>
          <w:lang w:val="en-US" w:eastAsia="zh-CN"/>
        </w:rPr>
      </w:pPr>
    </w:p>
    <w:p w14:paraId="3F0F912D">
      <w:pPr>
        <w:bidi w:val="0"/>
        <w:rPr>
          <w:rFonts w:hint="eastAsia"/>
          <w:lang w:val="en-US" w:eastAsia="zh-CN"/>
        </w:rPr>
      </w:pPr>
      <w:r>
        <w:rPr>
          <w:rFonts w:hint="eastAsia"/>
          <w:lang w:val="en-US" w:eastAsia="zh-CN"/>
        </w:rPr>
        <w:t>26:21-22 80, 289</w:t>
      </w:r>
    </w:p>
    <w:p w14:paraId="5F62E950">
      <w:pPr>
        <w:bidi w:val="0"/>
        <w:rPr>
          <w:rFonts w:hint="eastAsia"/>
          <w:lang w:val="en-US" w:eastAsia="zh-CN"/>
        </w:rPr>
      </w:pPr>
    </w:p>
    <w:p w14:paraId="04032D36">
      <w:pPr>
        <w:bidi w:val="0"/>
        <w:rPr>
          <w:rFonts w:hint="eastAsia"/>
          <w:lang w:val="en-US" w:eastAsia="zh-CN"/>
        </w:rPr>
      </w:pPr>
      <w:r>
        <w:rPr>
          <w:rFonts w:hint="eastAsia"/>
          <w:lang w:val="en-US" w:eastAsia="zh-CN"/>
        </w:rPr>
        <w:t>26:21-22 80, 289</w:t>
      </w:r>
    </w:p>
    <w:p w14:paraId="252E9B92">
      <w:pPr>
        <w:bidi w:val="0"/>
        <w:rPr>
          <w:rFonts w:hint="eastAsia"/>
          <w:lang w:val="en-US" w:eastAsia="zh-CN"/>
        </w:rPr>
      </w:pPr>
    </w:p>
    <w:p w14:paraId="0C41BCAE">
      <w:pPr>
        <w:bidi w:val="0"/>
        <w:rPr>
          <w:rFonts w:hint="eastAsia"/>
          <w:lang w:val="en-US" w:eastAsia="zh-CN"/>
        </w:rPr>
      </w:pPr>
      <w:r>
        <w:rPr>
          <w:rFonts w:hint="eastAsia"/>
          <w:lang w:val="en-US" w:eastAsia="zh-CN"/>
        </w:rPr>
        <w:t>26:29 213</w:t>
      </w:r>
    </w:p>
    <w:p w14:paraId="37766D34">
      <w:pPr>
        <w:bidi w:val="0"/>
        <w:rPr>
          <w:rFonts w:hint="eastAsia"/>
          <w:lang w:val="en-US" w:eastAsia="zh-CN"/>
        </w:rPr>
      </w:pPr>
    </w:p>
    <w:p w14:paraId="0D544091">
      <w:pPr>
        <w:bidi w:val="0"/>
        <w:rPr>
          <w:rFonts w:hint="eastAsia"/>
          <w:lang w:val="en-US" w:eastAsia="zh-CN"/>
        </w:rPr>
      </w:pPr>
      <w:r>
        <w:rPr>
          <w:rFonts w:hint="eastAsia"/>
          <w:lang w:val="en-US" w:eastAsia="zh-CN"/>
        </w:rPr>
        <w:t>26:29 213</w:t>
      </w:r>
    </w:p>
    <w:p w14:paraId="79E82E23">
      <w:pPr>
        <w:bidi w:val="0"/>
        <w:rPr>
          <w:rFonts w:hint="eastAsia"/>
          <w:lang w:val="en-US" w:eastAsia="zh-CN"/>
        </w:rPr>
      </w:pPr>
    </w:p>
    <w:p w14:paraId="7EA17D4B">
      <w:pPr>
        <w:bidi w:val="0"/>
        <w:rPr>
          <w:rFonts w:hint="eastAsia"/>
          <w:lang w:val="en-US" w:eastAsia="zh-CN"/>
        </w:rPr>
      </w:pPr>
      <w:r>
        <w:rPr>
          <w:rFonts w:hint="eastAsia"/>
          <w:lang w:val="en-US" w:eastAsia="zh-CN"/>
        </w:rPr>
        <w:t>26:40-45 225</w:t>
      </w:r>
    </w:p>
    <w:p w14:paraId="30CC1F3F">
      <w:pPr>
        <w:bidi w:val="0"/>
        <w:rPr>
          <w:rFonts w:hint="eastAsia"/>
          <w:lang w:val="en-US" w:eastAsia="zh-CN"/>
        </w:rPr>
      </w:pPr>
    </w:p>
    <w:p w14:paraId="02963AF8">
      <w:pPr>
        <w:bidi w:val="0"/>
        <w:rPr>
          <w:rFonts w:hint="eastAsia"/>
          <w:lang w:val="en-US" w:eastAsia="zh-CN"/>
        </w:rPr>
      </w:pPr>
      <w:r>
        <w:rPr>
          <w:rFonts w:hint="eastAsia"/>
          <w:lang w:val="en-US" w:eastAsia="zh-CN"/>
        </w:rPr>
        <w:t>26:40-45 225</w:t>
      </w:r>
    </w:p>
    <w:p w14:paraId="5605446E">
      <w:pPr>
        <w:bidi w:val="0"/>
        <w:rPr>
          <w:rFonts w:hint="eastAsia"/>
          <w:lang w:val="en-US" w:eastAsia="zh-CN"/>
        </w:rPr>
      </w:pPr>
    </w:p>
    <w:p w14:paraId="1FFCE510">
      <w:pPr>
        <w:bidi w:val="0"/>
        <w:rPr>
          <w:rFonts w:hint="eastAsia"/>
          <w:lang w:val="en-US" w:eastAsia="zh-CN"/>
        </w:rPr>
      </w:pPr>
      <w:r>
        <w:rPr>
          <w:rFonts w:hint="eastAsia"/>
          <w:lang w:val="en-US" w:eastAsia="zh-CN"/>
        </w:rPr>
        <w:t>Numbers</w:t>
      </w:r>
    </w:p>
    <w:p w14:paraId="71B6DCE2">
      <w:pPr>
        <w:bidi w:val="0"/>
        <w:rPr>
          <w:rFonts w:hint="eastAsia"/>
          <w:lang w:val="en-US" w:eastAsia="zh-CN"/>
        </w:rPr>
      </w:pPr>
    </w:p>
    <w:p w14:paraId="1CA074F4">
      <w:pPr>
        <w:bidi w:val="0"/>
        <w:rPr>
          <w:rFonts w:hint="eastAsia"/>
          <w:lang w:val="en-US" w:eastAsia="zh-CN"/>
        </w:rPr>
      </w:pPr>
      <w:r>
        <w:rPr>
          <w:rFonts w:hint="eastAsia"/>
          <w:lang w:val="en-US" w:eastAsia="zh-CN"/>
        </w:rPr>
        <w:t>民数记</w:t>
      </w:r>
    </w:p>
    <w:p w14:paraId="379B6405">
      <w:pPr>
        <w:bidi w:val="0"/>
        <w:rPr>
          <w:rFonts w:hint="eastAsia"/>
          <w:lang w:val="en-US" w:eastAsia="zh-CN"/>
        </w:rPr>
      </w:pPr>
    </w:p>
    <w:p w14:paraId="5EEE5259">
      <w:pPr>
        <w:bidi w:val="0"/>
        <w:rPr>
          <w:rFonts w:hint="eastAsia"/>
          <w:lang w:val="en-US" w:eastAsia="zh-CN"/>
        </w:rPr>
      </w:pPr>
      <w:r>
        <w:rPr>
          <w:rFonts w:hint="eastAsia"/>
          <w:lang w:val="en-US" w:eastAsia="zh-CN"/>
        </w:rPr>
        <w:t>9:15-23 287</w:t>
      </w:r>
    </w:p>
    <w:p w14:paraId="48AF5372">
      <w:pPr>
        <w:bidi w:val="0"/>
        <w:rPr>
          <w:rFonts w:hint="eastAsia"/>
          <w:lang w:val="en-US" w:eastAsia="zh-CN"/>
        </w:rPr>
      </w:pPr>
    </w:p>
    <w:p w14:paraId="22269FE7">
      <w:pPr>
        <w:bidi w:val="0"/>
        <w:rPr>
          <w:rFonts w:hint="eastAsia"/>
          <w:lang w:val="en-US" w:eastAsia="zh-CN"/>
        </w:rPr>
      </w:pPr>
      <w:r>
        <w:rPr>
          <w:rFonts w:hint="eastAsia"/>
          <w:lang w:val="en-US" w:eastAsia="zh-CN"/>
        </w:rPr>
        <w:t>9:15-23 287</w:t>
      </w:r>
    </w:p>
    <w:p w14:paraId="78F5C9A4">
      <w:pPr>
        <w:bidi w:val="0"/>
        <w:rPr>
          <w:rFonts w:hint="eastAsia"/>
          <w:lang w:val="en-US" w:eastAsia="zh-CN"/>
        </w:rPr>
      </w:pPr>
    </w:p>
    <w:p w14:paraId="5D9039AB">
      <w:pPr>
        <w:bidi w:val="0"/>
        <w:rPr>
          <w:rFonts w:hint="eastAsia"/>
          <w:lang w:val="en-US" w:eastAsia="zh-CN"/>
        </w:rPr>
      </w:pPr>
      <w:r>
        <w:rPr>
          <w:rFonts w:hint="eastAsia"/>
          <w:lang w:val="en-US" w:eastAsia="zh-CN"/>
        </w:rPr>
        <w:t>11:29 245</w:t>
      </w:r>
    </w:p>
    <w:p w14:paraId="2C8C8683">
      <w:pPr>
        <w:bidi w:val="0"/>
        <w:rPr>
          <w:rFonts w:hint="eastAsia"/>
          <w:lang w:val="en-US" w:eastAsia="zh-CN"/>
        </w:rPr>
      </w:pPr>
    </w:p>
    <w:p w14:paraId="79F2A9A9">
      <w:pPr>
        <w:bidi w:val="0"/>
        <w:rPr>
          <w:rFonts w:hint="eastAsia"/>
          <w:lang w:val="en-US" w:eastAsia="zh-CN"/>
        </w:rPr>
      </w:pPr>
      <w:r>
        <w:rPr>
          <w:rFonts w:hint="eastAsia"/>
          <w:lang w:val="en-US" w:eastAsia="zh-CN"/>
        </w:rPr>
        <w:t>11:29 245</w:t>
      </w:r>
    </w:p>
    <w:p w14:paraId="4601A3B1">
      <w:pPr>
        <w:bidi w:val="0"/>
        <w:rPr>
          <w:rFonts w:hint="eastAsia"/>
          <w:lang w:val="en-US" w:eastAsia="zh-CN"/>
        </w:rPr>
      </w:pPr>
    </w:p>
    <w:p w14:paraId="3DF6112E">
      <w:pPr>
        <w:bidi w:val="0"/>
        <w:rPr>
          <w:rFonts w:hint="eastAsia"/>
          <w:lang w:val="en-US" w:eastAsia="zh-CN"/>
        </w:rPr>
      </w:pPr>
      <w:r>
        <w:rPr>
          <w:rFonts w:hint="eastAsia"/>
          <w:lang w:val="en-US" w:eastAsia="zh-CN"/>
        </w:rPr>
        <w:t>12:8 257</w:t>
      </w:r>
    </w:p>
    <w:p w14:paraId="7E88BE43">
      <w:pPr>
        <w:bidi w:val="0"/>
        <w:rPr>
          <w:rFonts w:hint="eastAsia"/>
          <w:lang w:val="en-US" w:eastAsia="zh-CN"/>
        </w:rPr>
      </w:pPr>
    </w:p>
    <w:p w14:paraId="7C94380A">
      <w:pPr>
        <w:bidi w:val="0"/>
        <w:rPr>
          <w:rFonts w:hint="eastAsia"/>
          <w:lang w:val="en-US" w:eastAsia="zh-CN"/>
        </w:rPr>
      </w:pPr>
      <w:r>
        <w:rPr>
          <w:rFonts w:hint="eastAsia"/>
          <w:lang w:val="en-US" w:eastAsia="zh-CN"/>
        </w:rPr>
        <w:t>12:8 257</w:t>
      </w:r>
    </w:p>
    <w:p w14:paraId="3BDF9280">
      <w:pPr>
        <w:bidi w:val="0"/>
        <w:rPr>
          <w:rFonts w:hint="eastAsia"/>
          <w:lang w:val="en-US" w:eastAsia="zh-CN"/>
        </w:rPr>
      </w:pPr>
    </w:p>
    <w:p w14:paraId="655DD46B">
      <w:pPr>
        <w:bidi w:val="0"/>
        <w:rPr>
          <w:rFonts w:hint="eastAsia"/>
          <w:lang w:val="en-US" w:eastAsia="zh-CN"/>
        </w:rPr>
      </w:pPr>
      <w:r>
        <w:rPr>
          <w:rFonts w:hint="eastAsia"/>
          <w:lang w:val="en-US" w:eastAsia="zh-CN"/>
        </w:rPr>
        <w:t>13-14 119, 654</w:t>
      </w:r>
    </w:p>
    <w:p w14:paraId="3DF35AC4">
      <w:pPr>
        <w:bidi w:val="0"/>
        <w:rPr>
          <w:rFonts w:hint="eastAsia"/>
          <w:lang w:val="en-US" w:eastAsia="zh-CN"/>
        </w:rPr>
      </w:pPr>
    </w:p>
    <w:p w14:paraId="79747EBF">
      <w:pPr>
        <w:bidi w:val="0"/>
        <w:rPr>
          <w:rFonts w:hint="eastAsia"/>
          <w:lang w:val="en-US" w:eastAsia="zh-CN"/>
        </w:rPr>
      </w:pPr>
      <w:r>
        <w:rPr>
          <w:rFonts w:hint="eastAsia"/>
          <w:lang w:val="en-US" w:eastAsia="zh-CN"/>
        </w:rPr>
        <w:t>13-14 119, 654</w:t>
      </w:r>
    </w:p>
    <w:p w14:paraId="6F6B80A8">
      <w:pPr>
        <w:bidi w:val="0"/>
        <w:rPr>
          <w:rFonts w:hint="eastAsia"/>
          <w:lang w:val="en-US" w:eastAsia="zh-CN"/>
        </w:rPr>
      </w:pPr>
    </w:p>
    <w:p w14:paraId="348E97B9">
      <w:pPr>
        <w:bidi w:val="0"/>
        <w:rPr>
          <w:rFonts w:hint="eastAsia"/>
          <w:lang w:val="en-US" w:eastAsia="zh-CN"/>
        </w:rPr>
      </w:pPr>
      <w:r>
        <w:rPr>
          <w:rFonts w:hint="eastAsia"/>
          <w:lang w:val="en-US" w:eastAsia="zh-CN"/>
        </w:rPr>
        <w:t>15:14-16 191</w:t>
      </w:r>
    </w:p>
    <w:p w14:paraId="0B3BE407">
      <w:pPr>
        <w:bidi w:val="0"/>
        <w:rPr>
          <w:rFonts w:hint="eastAsia"/>
          <w:lang w:val="en-US" w:eastAsia="zh-CN"/>
        </w:rPr>
      </w:pPr>
    </w:p>
    <w:p w14:paraId="0AE48589">
      <w:pPr>
        <w:bidi w:val="0"/>
        <w:rPr>
          <w:rFonts w:hint="eastAsia"/>
          <w:lang w:val="en-US" w:eastAsia="zh-CN"/>
        </w:rPr>
      </w:pPr>
      <w:r>
        <w:rPr>
          <w:rFonts w:hint="eastAsia"/>
          <w:lang w:val="en-US" w:eastAsia="zh-CN"/>
        </w:rPr>
        <w:t>15:14-16 191</w:t>
      </w:r>
    </w:p>
    <w:p w14:paraId="173F1577">
      <w:pPr>
        <w:bidi w:val="0"/>
        <w:rPr>
          <w:rFonts w:hint="eastAsia"/>
          <w:lang w:val="en-US" w:eastAsia="zh-CN"/>
        </w:rPr>
      </w:pPr>
    </w:p>
    <w:p w14:paraId="1F11DE4D">
      <w:pPr>
        <w:bidi w:val="0"/>
        <w:rPr>
          <w:rFonts w:hint="eastAsia"/>
          <w:lang w:val="en-US" w:eastAsia="zh-CN"/>
        </w:rPr>
      </w:pPr>
      <w:r>
        <w:rPr>
          <w:rFonts w:hint="eastAsia"/>
          <w:lang w:val="en-US" w:eastAsia="zh-CN"/>
        </w:rPr>
        <w:t>16-17 119</w:t>
      </w:r>
    </w:p>
    <w:p w14:paraId="0720DC80">
      <w:pPr>
        <w:bidi w:val="0"/>
        <w:rPr>
          <w:rFonts w:hint="eastAsia"/>
          <w:lang w:val="en-US" w:eastAsia="zh-CN"/>
        </w:rPr>
      </w:pPr>
    </w:p>
    <w:p w14:paraId="5F8D5525">
      <w:pPr>
        <w:bidi w:val="0"/>
        <w:rPr>
          <w:rFonts w:hint="eastAsia"/>
          <w:lang w:val="en-US" w:eastAsia="zh-CN"/>
        </w:rPr>
      </w:pPr>
      <w:r>
        <w:rPr>
          <w:rFonts w:hint="eastAsia"/>
          <w:lang w:val="en-US" w:eastAsia="zh-CN"/>
        </w:rPr>
        <w:t>16-17 119</w:t>
      </w:r>
    </w:p>
    <w:p w14:paraId="72BBB9EE">
      <w:pPr>
        <w:bidi w:val="0"/>
        <w:rPr>
          <w:rFonts w:hint="eastAsia"/>
          <w:lang w:val="en-US" w:eastAsia="zh-CN"/>
        </w:rPr>
      </w:pPr>
    </w:p>
    <w:p w14:paraId="2059C68C">
      <w:pPr>
        <w:bidi w:val="0"/>
        <w:rPr>
          <w:rFonts w:hint="eastAsia"/>
          <w:lang w:val="en-US" w:eastAsia="zh-CN"/>
        </w:rPr>
      </w:pPr>
      <w:r>
        <w:rPr>
          <w:rFonts w:hint="eastAsia"/>
          <w:lang w:val="en-US" w:eastAsia="zh-CN"/>
        </w:rPr>
        <w:t>21:4-9 47</w:t>
      </w:r>
    </w:p>
    <w:p w14:paraId="47E00CBE">
      <w:pPr>
        <w:bidi w:val="0"/>
        <w:rPr>
          <w:rFonts w:hint="eastAsia"/>
          <w:lang w:val="en-US" w:eastAsia="zh-CN"/>
        </w:rPr>
      </w:pPr>
    </w:p>
    <w:p w14:paraId="05138DA9">
      <w:pPr>
        <w:bidi w:val="0"/>
        <w:rPr>
          <w:rFonts w:hint="eastAsia"/>
          <w:lang w:val="en-US" w:eastAsia="zh-CN"/>
        </w:rPr>
      </w:pPr>
      <w:r>
        <w:rPr>
          <w:rFonts w:hint="eastAsia"/>
          <w:lang w:val="en-US" w:eastAsia="zh-CN"/>
        </w:rPr>
        <w:t>21:4-9 47</w:t>
      </w:r>
    </w:p>
    <w:p w14:paraId="7F25A763">
      <w:pPr>
        <w:bidi w:val="0"/>
        <w:rPr>
          <w:rFonts w:hint="eastAsia"/>
          <w:lang w:val="en-US" w:eastAsia="zh-CN"/>
        </w:rPr>
      </w:pPr>
    </w:p>
    <w:p w14:paraId="6CD50423">
      <w:pPr>
        <w:bidi w:val="0"/>
        <w:rPr>
          <w:rFonts w:hint="eastAsia"/>
          <w:lang w:val="en-US" w:eastAsia="zh-CN"/>
        </w:rPr>
      </w:pPr>
      <w:r>
        <w:rPr>
          <w:rFonts w:hint="eastAsia"/>
          <w:lang w:val="en-US" w:eastAsia="zh-CN"/>
        </w:rPr>
        <w:t>23:21 565</w:t>
      </w:r>
    </w:p>
    <w:p w14:paraId="572C453B">
      <w:pPr>
        <w:bidi w:val="0"/>
        <w:rPr>
          <w:rFonts w:hint="eastAsia"/>
          <w:lang w:val="en-US" w:eastAsia="zh-CN"/>
        </w:rPr>
      </w:pPr>
    </w:p>
    <w:p w14:paraId="32B97B6E">
      <w:pPr>
        <w:bidi w:val="0"/>
        <w:rPr>
          <w:rFonts w:hint="eastAsia"/>
          <w:lang w:val="en-US" w:eastAsia="zh-CN"/>
        </w:rPr>
      </w:pPr>
      <w:r>
        <w:rPr>
          <w:rFonts w:hint="eastAsia"/>
          <w:lang w:val="en-US" w:eastAsia="zh-CN"/>
        </w:rPr>
        <w:t>23:21 565</w:t>
      </w:r>
    </w:p>
    <w:p w14:paraId="181D8913">
      <w:pPr>
        <w:bidi w:val="0"/>
        <w:rPr>
          <w:rFonts w:hint="eastAsia"/>
          <w:lang w:val="en-US" w:eastAsia="zh-CN"/>
        </w:rPr>
      </w:pPr>
    </w:p>
    <w:p w14:paraId="4B99134F">
      <w:pPr>
        <w:bidi w:val="0"/>
        <w:rPr>
          <w:rFonts w:hint="eastAsia"/>
          <w:lang w:val="en-US" w:eastAsia="zh-CN"/>
        </w:rPr>
      </w:pPr>
      <w:r>
        <w:rPr>
          <w:rFonts w:hint="eastAsia"/>
          <w:lang w:val="en-US" w:eastAsia="zh-CN"/>
        </w:rPr>
        <w:t>34:1-12 348</w:t>
      </w:r>
    </w:p>
    <w:p w14:paraId="2A50A5B2">
      <w:pPr>
        <w:bidi w:val="0"/>
        <w:rPr>
          <w:rFonts w:hint="eastAsia"/>
          <w:lang w:val="en-US" w:eastAsia="zh-CN"/>
        </w:rPr>
      </w:pPr>
    </w:p>
    <w:p w14:paraId="6A0EEFDA">
      <w:pPr>
        <w:bidi w:val="0"/>
        <w:rPr>
          <w:rFonts w:hint="eastAsia"/>
          <w:lang w:val="en-US" w:eastAsia="zh-CN"/>
        </w:rPr>
      </w:pPr>
      <w:r>
        <w:rPr>
          <w:rFonts w:hint="eastAsia"/>
          <w:lang w:val="en-US" w:eastAsia="zh-CN"/>
        </w:rPr>
        <w:t>34:1-12 348</w:t>
      </w:r>
    </w:p>
    <w:p w14:paraId="45CEB216">
      <w:pPr>
        <w:bidi w:val="0"/>
        <w:rPr>
          <w:rFonts w:hint="eastAsia"/>
          <w:lang w:val="en-US" w:eastAsia="zh-CN"/>
        </w:rPr>
      </w:pPr>
    </w:p>
    <w:p w14:paraId="140043FC">
      <w:pPr>
        <w:bidi w:val="0"/>
        <w:rPr>
          <w:rFonts w:hint="eastAsia"/>
          <w:lang w:val="en-US" w:eastAsia="zh-CN"/>
        </w:rPr>
      </w:pPr>
      <w:r>
        <w:rPr>
          <w:rFonts w:hint="eastAsia"/>
          <w:lang w:val="en-US" w:eastAsia="zh-CN"/>
        </w:rPr>
        <w:t>35:9f 397, 594</w:t>
      </w:r>
    </w:p>
    <w:p w14:paraId="22F93766">
      <w:pPr>
        <w:bidi w:val="0"/>
        <w:rPr>
          <w:rFonts w:hint="eastAsia"/>
          <w:lang w:val="en-US" w:eastAsia="zh-CN"/>
        </w:rPr>
      </w:pPr>
    </w:p>
    <w:p w14:paraId="701F6ADC">
      <w:pPr>
        <w:bidi w:val="0"/>
        <w:rPr>
          <w:rFonts w:hint="eastAsia"/>
          <w:lang w:val="en-US" w:eastAsia="zh-CN"/>
        </w:rPr>
      </w:pPr>
      <w:r>
        <w:rPr>
          <w:rFonts w:hint="eastAsia"/>
          <w:lang w:val="en-US" w:eastAsia="zh-CN"/>
        </w:rPr>
        <w:t>35:9f 397, 594</w:t>
      </w:r>
    </w:p>
    <w:p w14:paraId="467B0D34">
      <w:pPr>
        <w:bidi w:val="0"/>
        <w:rPr>
          <w:rFonts w:hint="eastAsia"/>
          <w:lang w:val="en-US" w:eastAsia="zh-CN"/>
        </w:rPr>
      </w:pPr>
    </w:p>
    <w:p w14:paraId="606BB164">
      <w:pPr>
        <w:bidi w:val="0"/>
        <w:rPr>
          <w:rFonts w:hint="eastAsia"/>
          <w:lang w:val="en-US" w:eastAsia="zh-CN"/>
        </w:rPr>
      </w:pPr>
      <w:r>
        <w:rPr>
          <w:rFonts w:hint="eastAsia"/>
          <w:lang w:val="en-US" w:eastAsia="zh-CN"/>
        </w:rPr>
        <w:t>Deuteronomy</w:t>
      </w:r>
    </w:p>
    <w:p w14:paraId="7D65548B">
      <w:pPr>
        <w:bidi w:val="0"/>
        <w:rPr>
          <w:rFonts w:hint="eastAsia"/>
          <w:lang w:val="en-US" w:eastAsia="zh-CN"/>
        </w:rPr>
      </w:pPr>
    </w:p>
    <w:p w14:paraId="791E5B61">
      <w:pPr>
        <w:bidi w:val="0"/>
        <w:rPr>
          <w:rFonts w:hint="eastAsia"/>
          <w:lang w:val="en-US" w:eastAsia="zh-CN"/>
        </w:rPr>
      </w:pPr>
      <w:r>
        <w:rPr>
          <w:rFonts w:hint="eastAsia"/>
          <w:lang w:val="en-US" w:eastAsia="zh-CN"/>
        </w:rPr>
        <w:t>申命记</w:t>
      </w:r>
    </w:p>
    <w:p w14:paraId="38580297">
      <w:pPr>
        <w:bidi w:val="0"/>
        <w:rPr>
          <w:rFonts w:hint="eastAsia"/>
          <w:lang w:val="en-US" w:eastAsia="zh-CN"/>
        </w:rPr>
      </w:pPr>
    </w:p>
    <w:p w14:paraId="7E28C986">
      <w:pPr>
        <w:bidi w:val="0"/>
        <w:rPr>
          <w:rFonts w:hint="eastAsia"/>
          <w:lang w:val="en-US" w:eastAsia="zh-CN"/>
        </w:rPr>
      </w:pPr>
      <w:r>
        <w:rPr>
          <w:rFonts w:hint="eastAsia"/>
          <w:lang w:val="en-US" w:eastAsia="zh-CN"/>
        </w:rPr>
        <w:t>4:5-8 11, 194</w:t>
      </w:r>
    </w:p>
    <w:p w14:paraId="3F761186">
      <w:pPr>
        <w:bidi w:val="0"/>
        <w:rPr>
          <w:rFonts w:hint="eastAsia"/>
          <w:lang w:val="en-US" w:eastAsia="zh-CN"/>
        </w:rPr>
      </w:pPr>
    </w:p>
    <w:p w14:paraId="104660B8">
      <w:pPr>
        <w:bidi w:val="0"/>
        <w:rPr>
          <w:rFonts w:hint="eastAsia"/>
          <w:lang w:val="en-US" w:eastAsia="zh-CN"/>
        </w:rPr>
      </w:pPr>
      <w:r>
        <w:rPr>
          <w:rFonts w:hint="eastAsia"/>
          <w:lang w:val="en-US" w:eastAsia="zh-CN"/>
        </w:rPr>
        <w:t>4:5-8 11, 194</w:t>
      </w:r>
    </w:p>
    <w:p w14:paraId="2F31255E">
      <w:pPr>
        <w:bidi w:val="0"/>
        <w:rPr>
          <w:rFonts w:hint="eastAsia"/>
          <w:lang w:val="en-US" w:eastAsia="zh-CN"/>
        </w:rPr>
      </w:pPr>
    </w:p>
    <w:p w14:paraId="4001E3F1">
      <w:pPr>
        <w:bidi w:val="0"/>
        <w:rPr>
          <w:rFonts w:hint="eastAsia"/>
          <w:lang w:val="en-US" w:eastAsia="zh-CN"/>
        </w:rPr>
      </w:pPr>
      <w:r>
        <w:rPr>
          <w:rFonts w:hint="eastAsia"/>
          <w:lang w:val="en-US" w:eastAsia="zh-CN"/>
        </w:rPr>
        <w:t>5:33 213, 214</w:t>
      </w:r>
    </w:p>
    <w:p w14:paraId="4C49E95F">
      <w:pPr>
        <w:bidi w:val="0"/>
        <w:rPr>
          <w:rFonts w:hint="eastAsia"/>
          <w:lang w:val="en-US" w:eastAsia="zh-CN"/>
        </w:rPr>
      </w:pPr>
    </w:p>
    <w:p w14:paraId="69967828">
      <w:pPr>
        <w:bidi w:val="0"/>
        <w:rPr>
          <w:rFonts w:hint="eastAsia"/>
          <w:lang w:val="en-US" w:eastAsia="zh-CN"/>
        </w:rPr>
      </w:pPr>
      <w:r>
        <w:rPr>
          <w:rFonts w:hint="eastAsia"/>
          <w:lang w:val="en-US" w:eastAsia="zh-CN"/>
        </w:rPr>
        <w:t>5:33 213, 214</w:t>
      </w:r>
    </w:p>
    <w:p w14:paraId="62A2DBE1">
      <w:pPr>
        <w:bidi w:val="0"/>
        <w:rPr>
          <w:rFonts w:hint="eastAsia"/>
          <w:lang w:val="en-US" w:eastAsia="zh-CN"/>
        </w:rPr>
      </w:pPr>
    </w:p>
    <w:p w14:paraId="05B9E374">
      <w:pPr>
        <w:bidi w:val="0"/>
        <w:rPr>
          <w:rFonts w:hint="eastAsia"/>
          <w:lang w:val="en-US" w:eastAsia="zh-CN"/>
        </w:rPr>
      </w:pPr>
      <w:r>
        <w:rPr>
          <w:rFonts w:hint="eastAsia"/>
          <w:lang w:val="en-US" w:eastAsia="zh-CN"/>
        </w:rPr>
        <w:t>7:6-8 118, 194, 245</w:t>
      </w:r>
    </w:p>
    <w:p w14:paraId="44698670">
      <w:pPr>
        <w:bidi w:val="0"/>
        <w:rPr>
          <w:rFonts w:hint="eastAsia"/>
          <w:lang w:val="en-US" w:eastAsia="zh-CN"/>
        </w:rPr>
      </w:pPr>
    </w:p>
    <w:p w14:paraId="23CBDCBA">
      <w:pPr>
        <w:bidi w:val="0"/>
        <w:rPr>
          <w:rFonts w:hint="eastAsia"/>
          <w:lang w:val="en-US" w:eastAsia="zh-CN"/>
        </w:rPr>
      </w:pPr>
      <w:r>
        <w:rPr>
          <w:rFonts w:hint="eastAsia"/>
          <w:lang w:val="en-US" w:eastAsia="zh-CN"/>
        </w:rPr>
        <w:t>7:6-8 118, 194, 245</w:t>
      </w:r>
    </w:p>
    <w:p w14:paraId="6AF077F6">
      <w:pPr>
        <w:bidi w:val="0"/>
        <w:rPr>
          <w:rFonts w:hint="eastAsia"/>
          <w:lang w:val="en-US" w:eastAsia="zh-CN"/>
        </w:rPr>
      </w:pPr>
    </w:p>
    <w:p w14:paraId="27E1389B">
      <w:pPr>
        <w:bidi w:val="0"/>
        <w:rPr>
          <w:rFonts w:hint="eastAsia"/>
          <w:lang w:val="en-US" w:eastAsia="zh-CN"/>
        </w:rPr>
      </w:pPr>
      <w:r>
        <w:rPr>
          <w:rFonts w:hint="eastAsia"/>
          <w:lang w:val="en-US" w:eastAsia="zh-CN"/>
        </w:rPr>
        <w:t>7:14 213</w:t>
      </w:r>
    </w:p>
    <w:p w14:paraId="3E686B69">
      <w:pPr>
        <w:bidi w:val="0"/>
        <w:rPr>
          <w:rFonts w:hint="eastAsia"/>
          <w:lang w:val="en-US" w:eastAsia="zh-CN"/>
        </w:rPr>
      </w:pPr>
    </w:p>
    <w:p w14:paraId="46B0054D">
      <w:pPr>
        <w:bidi w:val="0"/>
        <w:rPr>
          <w:rFonts w:hint="eastAsia"/>
          <w:lang w:val="en-US" w:eastAsia="zh-CN"/>
        </w:rPr>
      </w:pPr>
      <w:r>
        <w:rPr>
          <w:rFonts w:hint="eastAsia"/>
          <w:lang w:val="en-US" w:eastAsia="zh-CN"/>
        </w:rPr>
        <w:t>7:14 213</w:t>
      </w:r>
    </w:p>
    <w:p w14:paraId="2CB04D40">
      <w:pPr>
        <w:bidi w:val="0"/>
        <w:rPr>
          <w:rFonts w:hint="eastAsia"/>
          <w:lang w:val="en-US" w:eastAsia="zh-CN"/>
        </w:rPr>
      </w:pPr>
    </w:p>
    <w:p w14:paraId="6F6C6BD5">
      <w:pPr>
        <w:bidi w:val="0"/>
        <w:rPr>
          <w:rFonts w:hint="eastAsia"/>
          <w:lang w:val="en-US" w:eastAsia="zh-CN"/>
        </w:rPr>
      </w:pPr>
      <w:r>
        <w:rPr>
          <w:rFonts w:hint="eastAsia"/>
          <w:lang w:val="en-US" w:eastAsia="zh-CN"/>
        </w:rPr>
        <w:t>10:15 194</w:t>
      </w:r>
    </w:p>
    <w:p w14:paraId="738C9193">
      <w:pPr>
        <w:bidi w:val="0"/>
        <w:rPr>
          <w:rFonts w:hint="eastAsia"/>
          <w:lang w:val="en-US" w:eastAsia="zh-CN"/>
        </w:rPr>
      </w:pPr>
    </w:p>
    <w:p w14:paraId="42D743D9">
      <w:pPr>
        <w:bidi w:val="0"/>
        <w:rPr>
          <w:rFonts w:hint="eastAsia"/>
          <w:lang w:val="en-US" w:eastAsia="zh-CN"/>
        </w:rPr>
      </w:pPr>
      <w:r>
        <w:rPr>
          <w:rFonts w:hint="eastAsia"/>
          <w:lang w:val="en-US" w:eastAsia="zh-CN"/>
        </w:rPr>
        <w:t>10:15 194</w:t>
      </w:r>
    </w:p>
    <w:p w14:paraId="49E87BE6">
      <w:pPr>
        <w:bidi w:val="0"/>
        <w:rPr>
          <w:rFonts w:hint="eastAsia"/>
          <w:lang w:val="en-US" w:eastAsia="zh-CN"/>
        </w:rPr>
      </w:pPr>
    </w:p>
    <w:p w14:paraId="6D3E0D21">
      <w:pPr>
        <w:bidi w:val="0"/>
        <w:rPr>
          <w:rFonts w:hint="eastAsia"/>
          <w:lang w:val="en-US" w:eastAsia="zh-CN"/>
        </w:rPr>
      </w:pPr>
      <w:r>
        <w:rPr>
          <w:rFonts w:hint="eastAsia"/>
          <w:lang w:val="en-US" w:eastAsia="zh-CN"/>
        </w:rPr>
        <w:t>10:18-19 191</w:t>
      </w:r>
    </w:p>
    <w:p w14:paraId="37EA8A1F">
      <w:pPr>
        <w:bidi w:val="0"/>
        <w:rPr>
          <w:rFonts w:hint="eastAsia"/>
          <w:lang w:val="en-US" w:eastAsia="zh-CN"/>
        </w:rPr>
      </w:pPr>
    </w:p>
    <w:p w14:paraId="4274E645">
      <w:pPr>
        <w:bidi w:val="0"/>
        <w:rPr>
          <w:rFonts w:hint="eastAsia"/>
          <w:lang w:val="en-US" w:eastAsia="zh-CN"/>
        </w:rPr>
      </w:pPr>
      <w:r>
        <w:rPr>
          <w:rFonts w:hint="eastAsia"/>
          <w:lang w:val="en-US" w:eastAsia="zh-CN"/>
        </w:rPr>
        <w:t>10:18-19 191</w:t>
      </w:r>
    </w:p>
    <w:p w14:paraId="78536534">
      <w:pPr>
        <w:bidi w:val="0"/>
        <w:rPr>
          <w:rFonts w:hint="eastAsia"/>
          <w:lang w:val="en-US" w:eastAsia="zh-CN"/>
        </w:rPr>
      </w:pPr>
    </w:p>
    <w:p w14:paraId="01821C4D">
      <w:pPr>
        <w:bidi w:val="0"/>
        <w:rPr>
          <w:rFonts w:hint="eastAsia"/>
          <w:lang w:val="en-US" w:eastAsia="zh-CN"/>
        </w:rPr>
      </w:pPr>
      <w:r>
        <w:rPr>
          <w:rFonts w:hint="eastAsia"/>
          <w:lang w:val="en-US" w:eastAsia="zh-CN"/>
        </w:rPr>
        <w:t>11:8-9 213</w:t>
      </w:r>
    </w:p>
    <w:p w14:paraId="0ECE4056">
      <w:pPr>
        <w:bidi w:val="0"/>
        <w:rPr>
          <w:rFonts w:hint="eastAsia"/>
          <w:lang w:val="en-US" w:eastAsia="zh-CN"/>
        </w:rPr>
      </w:pPr>
    </w:p>
    <w:p w14:paraId="6FDAB3A1">
      <w:pPr>
        <w:bidi w:val="0"/>
        <w:rPr>
          <w:rFonts w:hint="eastAsia"/>
          <w:lang w:val="en-US" w:eastAsia="zh-CN"/>
        </w:rPr>
      </w:pPr>
      <w:r>
        <w:rPr>
          <w:rFonts w:hint="eastAsia"/>
          <w:lang w:val="en-US" w:eastAsia="zh-CN"/>
        </w:rPr>
        <w:t>11:8-9 213</w:t>
      </w:r>
    </w:p>
    <w:p w14:paraId="633E3586">
      <w:pPr>
        <w:bidi w:val="0"/>
        <w:rPr>
          <w:rFonts w:hint="eastAsia"/>
          <w:lang w:val="en-US" w:eastAsia="zh-CN"/>
        </w:rPr>
      </w:pPr>
    </w:p>
    <w:p w14:paraId="0E6D01E7">
      <w:pPr>
        <w:bidi w:val="0"/>
        <w:rPr>
          <w:rFonts w:hint="eastAsia"/>
          <w:lang w:val="en-US" w:eastAsia="zh-CN"/>
        </w:rPr>
      </w:pPr>
      <w:r>
        <w:rPr>
          <w:rFonts w:hint="eastAsia"/>
          <w:lang w:val="en-US" w:eastAsia="zh-CN"/>
        </w:rPr>
        <w:t>12:1-14 203</w:t>
      </w:r>
    </w:p>
    <w:p w14:paraId="1B654ADF">
      <w:pPr>
        <w:bidi w:val="0"/>
        <w:rPr>
          <w:rFonts w:hint="eastAsia"/>
          <w:lang w:val="en-US" w:eastAsia="zh-CN"/>
        </w:rPr>
      </w:pPr>
    </w:p>
    <w:p w14:paraId="6F733F56">
      <w:pPr>
        <w:bidi w:val="0"/>
        <w:rPr>
          <w:rFonts w:hint="eastAsia"/>
          <w:lang w:val="en-US" w:eastAsia="zh-CN"/>
        </w:rPr>
      </w:pPr>
      <w:r>
        <w:rPr>
          <w:rFonts w:hint="eastAsia"/>
          <w:lang w:val="en-US" w:eastAsia="zh-CN"/>
        </w:rPr>
        <w:t>12:1-14 203</w:t>
      </w:r>
    </w:p>
    <w:p w14:paraId="113E70EE">
      <w:pPr>
        <w:bidi w:val="0"/>
        <w:rPr>
          <w:rFonts w:hint="eastAsia"/>
          <w:lang w:val="en-US" w:eastAsia="zh-CN"/>
        </w:rPr>
      </w:pPr>
    </w:p>
    <w:p w14:paraId="53F43E5E">
      <w:pPr>
        <w:bidi w:val="0"/>
        <w:rPr>
          <w:rFonts w:hint="eastAsia"/>
          <w:lang w:val="en-US" w:eastAsia="zh-CN"/>
        </w:rPr>
      </w:pPr>
      <w:r>
        <w:rPr>
          <w:rFonts w:hint="eastAsia"/>
          <w:lang w:val="en-US" w:eastAsia="zh-CN"/>
        </w:rPr>
        <w:t>13:6-11 391</w:t>
      </w:r>
    </w:p>
    <w:p w14:paraId="25C44ABE">
      <w:pPr>
        <w:bidi w:val="0"/>
        <w:rPr>
          <w:rFonts w:hint="eastAsia"/>
          <w:lang w:val="en-US" w:eastAsia="zh-CN"/>
        </w:rPr>
      </w:pPr>
    </w:p>
    <w:p w14:paraId="2FCAA6F7">
      <w:pPr>
        <w:bidi w:val="0"/>
        <w:rPr>
          <w:rFonts w:hint="eastAsia"/>
          <w:lang w:val="en-US" w:eastAsia="zh-CN"/>
        </w:rPr>
      </w:pPr>
      <w:r>
        <w:rPr>
          <w:rFonts w:hint="eastAsia"/>
          <w:lang w:val="en-US" w:eastAsia="zh-CN"/>
        </w:rPr>
        <w:t>13:6-11 391</w:t>
      </w:r>
    </w:p>
    <w:p w14:paraId="5FC3AEB9">
      <w:pPr>
        <w:bidi w:val="0"/>
        <w:rPr>
          <w:rFonts w:hint="eastAsia"/>
          <w:lang w:val="en-US" w:eastAsia="zh-CN"/>
        </w:rPr>
      </w:pPr>
    </w:p>
    <w:p w14:paraId="59881A63">
      <w:pPr>
        <w:bidi w:val="0"/>
        <w:rPr>
          <w:rFonts w:hint="eastAsia"/>
          <w:lang w:val="en-US" w:eastAsia="zh-CN"/>
        </w:rPr>
      </w:pPr>
      <w:r>
        <w:rPr>
          <w:rFonts w:hint="eastAsia"/>
          <w:lang w:val="en-US" w:eastAsia="zh-CN"/>
        </w:rPr>
        <w:t>14:2 118</w:t>
      </w:r>
    </w:p>
    <w:p w14:paraId="140EB4BD">
      <w:pPr>
        <w:bidi w:val="0"/>
        <w:rPr>
          <w:rFonts w:hint="eastAsia"/>
          <w:lang w:val="en-US" w:eastAsia="zh-CN"/>
        </w:rPr>
      </w:pPr>
    </w:p>
    <w:p w14:paraId="26F667B6">
      <w:pPr>
        <w:bidi w:val="0"/>
        <w:rPr>
          <w:rFonts w:hint="eastAsia"/>
          <w:lang w:val="en-US" w:eastAsia="zh-CN"/>
        </w:rPr>
      </w:pPr>
      <w:r>
        <w:rPr>
          <w:rFonts w:hint="eastAsia"/>
          <w:lang w:val="en-US" w:eastAsia="zh-CN"/>
        </w:rPr>
        <w:t>14:2 118</w:t>
      </w:r>
    </w:p>
    <w:p w14:paraId="706A68ED">
      <w:pPr>
        <w:bidi w:val="0"/>
        <w:rPr>
          <w:rFonts w:hint="eastAsia"/>
          <w:lang w:val="en-US" w:eastAsia="zh-CN"/>
        </w:rPr>
      </w:pPr>
    </w:p>
    <w:p w14:paraId="6FD2E61B">
      <w:pPr>
        <w:bidi w:val="0"/>
        <w:rPr>
          <w:rFonts w:hint="eastAsia"/>
          <w:lang w:val="en-US" w:eastAsia="zh-CN"/>
        </w:rPr>
      </w:pPr>
      <w:r>
        <w:rPr>
          <w:rFonts w:hint="eastAsia"/>
          <w:lang w:val="en-US" w:eastAsia="zh-CN"/>
        </w:rPr>
        <w:t>18:1-2 245</w:t>
      </w:r>
    </w:p>
    <w:p w14:paraId="5A495C05">
      <w:pPr>
        <w:bidi w:val="0"/>
        <w:rPr>
          <w:rFonts w:hint="eastAsia"/>
          <w:lang w:val="en-US" w:eastAsia="zh-CN"/>
        </w:rPr>
      </w:pPr>
    </w:p>
    <w:p w14:paraId="08CCCE4B">
      <w:pPr>
        <w:bidi w:val="0"/>
        <w:rPr>
          <w:rFonts w:hint="eastAsia"/>
          <w:lang w:val="en-US" w:eastAsia="zh-CN"/>
        </w:rPr>
      </w:pPr>
      <w:r>
        <w:rPr>
          <w:rFonts w:hint="eastAsia"/>
          <w:lang w:val="en-US" w:eastAsia="zh-CN"/>
        </w:rPr>
        <w:t>18:1-2 245</w:t>
      </w:r>
    </w:p>
    <w:p w14:paraId="76C5E7B5">
      <w:pPr>
        <w:bidi w:val="0"/>
        <w:rPr>
          <w:rFonts w:hint="eastAsia"/>
          <w:lang w:val="en-US" w:eastAsia="zh-CN"/>
        </w:rPr>
      </w:pPr>
    </w:p>
    <w:p w14:paraId="5E687F18">
      <w:pPr>
        <w:bidi w:val="0"/>
        <w:rPr>
          <w:rFonts w:hint="eastAsia"/>
          <w:lang w:val="en-US" w:eastAsia="zh-CN"/>
        </w:rPr>
      </w:pPr>
      <w:r>
        <w:rPr>
          <w:rFonts w:hint="eastAsia"/>
          <w:lang w:val="en-US" w:eastAsia="zh-CN"/>
        </w:rPr>
        <w:t>18:15 43, 118, 147, 198</w:t>
      </w:r>
    </w:p>
    <w:p w14:paraId="653913E8">
      <w:pPr>
        <w:bidi w:val="0"/>
        <w:rPr>
          <w:rFonts w:hint="eastAsia"/>
          <w:lang w:val="en-US" w:eastAsia="zh-CN"/>
        </w:rPr>
      </w:pPr>
    </w:p>
    <w:p w14:paraId="5D15C01C">
      <w:pPr>
        <w:bidi w:val="0"/>
        <w:rPr>
          <w:rFonts w:hint="eastAsia"/>
          <w:lang w:val="en-US" w:eastAsia="zh-CN"/>
        </w:rPr>
      </w:pPr>
      <w:r>
        <w:rPr>
          <w:rFonts w:hint="eastAsia"/>
          <w:lang w:val="en-US" w:eastAsia="zh-CN"/>
        </w:rPr>
        <w:t>18:15 43, 118, 147, 198</w:t>
      </w:r>
    </w:p>
    <w:p w14:paraId="6AD660BA">
      <w:pPr>
        <w:bidi w:val="0"/>
        <w:rPr>
          <w:rFonts w:hint="eastAsia"/>
          <w:lang w:val="en-US" w:eastAsia="zh-CN"/>
        </w:rPr>
      </w:pPr>
    </w:p>
    <w:p w14:paraId="6DA9E7FB">
      <w:pPr>
        <w:bidi w:val="0"/>
        <w:rPr>
          <w:rFonts w:hint="eastAsia"/>
          <w:lang w:val="en-US" w:eastAsia="zh-CN"/>
        </w:rPr>
      </w:pPr>
      <w:r>
        <w:rPr>
          <w:rFonts w:hint="eastAsia"/>
          <w:lang w:val="en-US" w:eastAsia="zh-CN"/>
        </w:rPr>
        <w:t>18:20 383</w:t>
      </w:r>
    </w:p>
    <w:p w14:paraId="052C75C7">
      <w:pPr>
        <w:bidi w:val="0"/>
        <w:rPr>
          <w:rFonts w:hint="eastAsia"/>
          <w:lang w:val="en-US" w:eastAsia="zh-CN"/>
        </w:rPr>
      </w:pPr>
    </w:p>
    <w:p w14:paraId="251DA5D2">
      <w:pPr>
        <w:bidi w:val="0"/>
        <w:rPr>
          <w:rFonts w:hint="eastAsia"/>
          <w:lang w:val="en-US" w:eastAsia="zh-CN"/>
        </w:rPr>
      </w:pPr>
      <w:r>
        <w:rPr>
          <w:rFonts w:hint="eastAsia"/>
          <w:lang w:val="en-US" w:eastAsia="zh-CN"/>
        </w:rPr>
        <w:t>18:20 383</w:t>
      </w:r>
    </w:p>
    <w:p w14:paraId="0853B745">
      <w:pPr>
        <w:bidi w:val="0"/>
        <w:rPr>
          <w:rFonts w:hint="eastAsia"/>
          <w:lang w:val="en-US" w:eastAsia="zh-CN"/>
        </w:rPr>
      </w:pPr>
    </w:p>
    <w:p w14:paraId="7FED29E1">
      <w:pPr>
        <w:bidi w:val="0"/>
        <w:rPr>
          <w:rFonts w:hint="eastAsia"/>
          <w:lang w:val="en-US" w:eastAsia="zh-CN"/>
        </w:rPr>
      </w:pPr>
      <w:r>
        <w:rPr>
          <w:rFonts w:hint="eastAsia"/>
          <w:lang w:val="en-US" w:eastAsia="zh-CN"/>
        </w:rPr>
        <w:t>26:19 194</w:t>
      </w:r>
    </w:p>
    <w:p w14:paraId="333EE77D">
      <w:pPr>
        <w:bidi w:val="0"/>
        <w:rPr>
          <w:rFonts w:hint="eastAsia"/>
          <w:lang w:val="en-US" w:eastAsia="zh-CN"/>
        </w:rPr>
      </w:pPr>
    </w:p>
    <w:p w14:paraId="05FE9062">
      <w:pPr>
        <w:bidi w:val="0"/>
        <w:rPr>
          <w:rFonts w:hint="eastAsia"/>
          <w:lang w:val="en-US" w:eastAsia="zh-CN"/>
        </w:rPr>
      </w:pPr>
      <w:r>
        <w:rPr>
          <w:rFonts w:hint="eastAsia"/>
          <w:lang w:val="en-US" w:eastAsia="zh-CN"/>
        </w:rPr>
        <w:t>26:19 194</w:t>
      </w:r>
    </w:p>
    <w:p w14:paraId="42042933">
      <w:pPr>
        <w:bidi w:val="0"/>
        <w:rPr>
          <w:rFonts w:hint="eastAsia"/>
          <w:lang w:val="en-US" w:eastAsia="zh-CN"/>
        </w:rPr>
      </w:pPr>
    </w:p>
    <w:p w14:paraId="43FC4017">
      <w:pPr>
        <w:bidi w:val="0"/>
        <w:rPr>
          <w:rFonts w:hint="eastAsia"/>
          <w:lang w:val="en-US" w:eastAsia="zh-CN"/>
        </w:rPr>
      </w:pPr>
      <w:r>
        <w:rPr>
          <w:rFonts w:hint="eastAsia"/>
          <w:lang w:val="en-US" w:eastAsia="zh-CN"/>
        </w:rPr>
        <w:t>28:1f 10, 81, 118, 119, 120, 123, 211</w:t>
      </w:r>
    </w:p>
    <w:p w14:paraId="06E03CE9">
      <w:pPr>
        <w:bidi w:val="0"/>
        <w:rPr>
          <w:rFonts w:hint="eastAsia"/>
          <w:lang w:val="en-US" w:eastAsia="zh-CN"/>
        </w:rPr>
      </w:pPr>
    </w:p>
    <w:p w14:paraId="66F0A219">
      <w:pPr>
        <w:bidi w:val="0"/>
        <w:rPr>
          <w:rFonts w:hint="eastAsia"/>
          <w:lang w:val="en-US" w:eastAsia="zh-CN"/>
        </w:rPr>
      </w:pPr>
      <w:r>
        <w:rPr>
          <w:rFonts w:hint="eastAsia"/>
          <w:lang w:val="en-US" w:eastAsia="zh-CN"/>
        </w:rPr>
        <w:t>28:1f 10, 81, 118, 119, 120, 123, 211</w:t>
      </w:r>
    </w:p>
    <w:p w14:paraId="6A2FE46E">
      <w:pPr>
        <w:bidi w:val="0"/>
        <w:rPr>
          <w:rFonts w:hint="eastAsia"/>
          <w:lang w:val="en-US" w:eastAsia="zh-CN"/>
        </w:rPr>
      </w:pPr>
    </w:p>
    <w:p w14:paraId="737A2773">
      <w:pPr>
        <w:bidi w:val="0"/>
        <w:rPr>
          <w:rFonts w:hint="eastAsia"/>
          <w:lang w:val="en-US" w:eastAsia="zh-CN"/>
        </w:rPr>
      </w:pPr>
      <w:r>
        <w:rPr>
          <w:rFonts w:hint="eastAsia"/>
          <w:lang w:val="en-US" w:eastAsia="zh-CN"/>
        </w:rPr>
        <w:t>28:13 194</w:t>
      </w:r>
    </w:p>
    <w:p w14:paraId="69461F1C">
      <w:pPr>
        <w:bidi w:val="0"/>
        <w:rPr>
          <w:rFonts w:hint="eastAsia"/>
          <w:lang w:val="en-US" w:eastAsia="zh-CN"/>
        </w:rPr>
      </w:pPr>
    </w:p>
    <w:p w14:paraId="6505BD58">
      <w:pPr>
        <w:bidi w:val="0"/>
        <w:rPr>
          <w:rFonts w:hint="eastAsia"/>
          <w:lang w:val="en-US" w:eastAsia="zh-CN"/>
        </w:rPr>
      </w:pPr>
      <w:r>
        <w:rPr>
          <w:rFonts w:hint="eastAsia"/>
          <w:lang w:val="en-US" w:eastAsia="zh-CN"/>
        </w:rPr>
        <w:t>28:13 194</w:t>
      </w:r>
    </w:p>
    <w:p w14:paraId="725AE4B3">
      <w:pPr>
        <w:bidi w:val="0"/>
        <w:rPr>
          <w:rFonts w:hint="eastAsia"/>
          <w:lang w:val="en-US" w:eastAsia="zh-CN"/>
        </w:rPr>
      </w:pPr>
    </w:p>
    <w:p w14:paraId="6DF60F95">
      <w:pPr>
        <w:bidi w:val="0"/>
        <w:rPr>
          <w:rFonts w:hint="eastAsia"/>
          <w:lang w:val="en-US" w:eastAsia="zh-CN"/>
        </w:rPr>
      </w:pPr>
      <w:r>
        <w:rPr>
          <w:rFonts w:hint="eastAsia"/>
          <w:lang w:val="en-US" w:eastAsia="zh-CN"/>
        </w:rPr>
        <w:t>29:22-28 123</w:t>
      </w:r>
    </w:p>
    <w:p w14:paraId="0FC2BB9D">
      <w:pPr>
        <w:bidi w:val="0"/>
        <w:rPr>
          <w:rFonts w:hint="eastAsia"/>
          <w:lang w:val="en-US" w:eastAsia="zh-CN"/>
        </w:rPr>
      </w:pPr>
    </w:p>
    <w:p w14:paraId="7B1FB278">
      <w:pPr>
        <w:bidi w:val="0"/>
        <w:rPr>
          <w:rFonts w:hint="eastAsia"/>
          <w:lang w:val="en-US" w:eastAsia="zh-CN"/>
        </w:rPr>
      </w:pPr>
      <w:r>
        <w:rPr>
          <w:rFonts w:hint="eastAsia"/>
          <w:lang w:val="en-US" w:eastAsia="zh-CN"/>
        </w:rPr>
        <w:t>29:22-28 123</w:t>
      </w:r>
    </w:p>
    <w:p w14:paraId="443CF60B">
      <w:pPr>
        <w:bidi w:val="0"/>
        <w:rPr>
          <w:rFonts w:hint="eastAsia"/>
          <w:lang w:val="en-US" w:eastAsia="zh-CN"/>
        </w:rPr>
      </w:pPr>
    </w:p>
    <w:p w14:paraId="4E9EDC99">
      <w:pPr>
        <w:bidi w:val="0"/>
        <w:rPr>
          <w:rFonts w:hint="eastAsia"/>
          <w:lang w:val="en-US" w:eastAsia="zh-CN"/>
        </w:rPr>
      </w:pPr>
      <w:r>
        <w:rPr>
          <w:rFonts w:hint="eastAsia"/>
          <w:lang w:val="en-US" w:eastAsia="zh-CN"/>
        </w:rPr>
        <w:t>29:23 347</w:t>
      </w:r>
    </w:p>
    <w:p w14:paraId="3766FBB6">
      <w:pPr>
        <w:bidi w:val="0"/>
        <w:rPr>
          <w:rFonts w:hint="eastAsia"/>
          <w:lang w:val="en-US" w:eastAsia="zh-CN"/>
        </w:rPr>
      </w:pPr>
    </w:p>
    <w:p w14:paraId="74F4BC53">
      <w:pPr>
        <w:bidi w:val="0"/>
        <w:rPr>
          <w:rFonts w:hint="eastAsia"/>
          <w:lang w:val="en-US" w:eastAsia="zh-CN"/>
        </w:rPr>
      </w:pPr>
      <w:r>
        <w:rPr>
          <w:rFonts w:hint="eastAsia"/>
          <w:lang w:val="en-US" w:eastAsia="zh-CN"/>
        </w:rPr>
        <w:t>29:23 347</w:t>
      </w:r>
    </w:p>
    <w:p w14:paraId="3439242D">
      <w:pPr>
        <w:bidi w:val="0"/>
        <w:rPr>
          <w:rFonts w:hint="eastAsia"/>
          <w:lang w:val="en-US" w:eastAsia="zh-CN"/>
        </w:rPr>
      </w:pPr>
    </w:p>
    <w:p w14:paraId="3BE80A4C">
      <w:pPr>
        <w:bidi w:val="0"/>
        <w:rPr>
          <w:rFonts w:hint="eastAsia"/>
          <w:lang w:val="en-US" w:eastAsia="zh-CN"/>
        </w:rPr>
      </w:pPr>
      <w:r>
        <w:rPr>
          <w:rFonts w:hint="eastAsia"/>
          <w:lang w:val="en-US" w:eastAsia="zh-CN"/>
        </w:rPr>
        <w:t>30:1-10 123-125, 189, 207, 216, 347, 656</w:t>
      </w:r>
    </w:p>
    <w:p w14:paraId="4278DC6F">
      <w:pPr>
        <w:bidi w:val="0"/>
        <w:rPr>
          <w:rFonts w:hint="eastAsia"/>
          <w:lang w:val="en-US" w:eastAsia="zh-CN"/>
        </w:rPr>
      </w:pPr>
    </w:p>
    <w:p w14:paraId="66EDCB6C">
      <w:pPr>
        <w:bidi w:val="0"/>
        <w:rPr>
          <w:rFonts w:hint="eastAsia"/>
          <w:lang w:val="en-US" w:eastAsia="zh-CN"/>
        </w:rPr>
      </w:pPr>
      <w:r>
        <w:rPr>
          <w:rFonts w:hint="eastAsia"/>
          <w:lang w:val="en-US" w:eastAsia="zh-CN"/>
        </w:rPr>
        <w:t>30:1-10 123-125, 189, 207, 216, 347, 656</w:t>
      </w:r>
    </w:p>
    <w:p w14:paraId="6B35A48C">
      <w:pPr>
        <w:bidi w:val="0"/>
        <w:rPr>
          <w:rFonts w:hint="eastAsia"/>
          <w:lang w:val="en-US" w:eastAsia="zh-CN"/>
        </w:rPr>
      </w:pPr>
    </w:p>
    <w:p w14:paraId="1F8B70D5">
      <w:pPr>
        <w:bidi w:val="0"/>
        <w:rPr>
          <w:rFonts w:hint="eastAsia"/>
          <w:lang w:val="en-US" w:eastAsia="zh-CN"/>
        </w:rPr>
      </w:pPr>
      <w:r>
        <w:rPr>
          <w:rFonts w:hint="eastAsia"/>
          <w:lang w:val="en-US" w:eastAsia="zh-CN"/>
        </w:rPr>
        <w:t>30:6 390</w:t>
      </w:r>
    </w:p>
    <w:p w14:paraId="624853D5">
      <w:pPr>
        <w:bidi w:val="0"/>
        <w:rPr>
          <w:rFonts w:hint="eastAsia"/>
          <w:lang w:val="en-US" w:eastAsia="zh-CN"/>
        </w:rPr>
      </w:pPr>
    </w:p>
    <w:p w14:paraId="6FBF42D1">
      <w:pPr>
        <w:bidi w:val="0"/>
        <w:rPr>
          <w:rFonts w:hint="eastAsia"/>
          <w:lang w:val="en-US" w:eastAsia="zh-CN"/>
        </w:rPr>
      </w:pPr>
      <w:r>
        <w:rPr>
          <w:rFonts w:hint="eastAsia"/>
          <w:lang w:val="en-US" w:eastAsia="zh-CN"/>
        </w:rPr>
        <w:t>30:6 390</w:t>
      </w:r>
    </w:p>
    <w:p w14:paraId="19F4F200">
      <w:pPr>
        <w:bidi w:val="0"/>
        <w:rPr>
          <w:rFonts w:hint="eastAsia"/>
          <w:lang w:val="en-US" w:eastAsia="zh-CN"/>
        </w:rPr>
      </w:pPr>
    </w:p>
    <w:p w14:paraId="4450DF4B">
      <w:pPr>
        <w:bidi w:val="0"/>
        <w:rPr>
          <w:rFonts w:hint="eastAsia"/>
          <w:lang w:val="en-US" w:eastAsia="zh-CN"/>
        </w:rPr>
      </w:pPr>
      <w:r>
        <w:rPr>
          <w:rFonts w:hint="eastAsia"/>
          <w:lang w:val="en-US" w:eastAsia="zh-CN"/>
        </w:rPr>
        <w:t>30:7 221</w:t>
      </w:r>
    </w:p>
    <w:p w14:paraId="33B75541">
      <w:pPr>
        <w:bidi w:val="0"/>
        <w:rPr>
          <w:rFonts w:hint="eastAsia"/>
          <w:lang w:val="en-US" w:eastAsia="zh-CN"/>
        </w:rPr>
      </w:pPr>
    </w:p>
    <w:p w14:paraId="6EC6B0AB">
      <w:pPr>
        <w:bidi w:val="0"/>
        <w:rPr>
          <w:rFonts w:hint="eastAsia"/>
          <w:lang w:val="en-US" w:eastAsia="zh-CN"/>
        </w:rPr>
      </w:pPr>
      <w:r>
        <w:rPr>
          <w:rFonts w:hint="eastAsia"/>
          <w:lang w:val="en-US" w:eastAsia="zh-CN"/>
        </w:rPr>
        <w:t>30:7 221</w:t>
      </w:r>
    </w:p>
    <w:p w14:paraId="102D0699">
      <w:pPr>
        <w:bidi w:val="0"/>
        <w:rPr>
          <w:rFonts w:hint="eastAsia"/>
          <w:lang w:val="en-US" w:eastAsia="zh-CN"/>
        </w:rPr>
      </w:pPr>
    </w:p>
    <w:p w14:paraId="289ED124">
      <w:pPr>
        <w:bidi w:val="0"/>
        <w:rPr>
          <w:rFonts w:hint="eastAsia"/>
          <w:lang w:val="en-US" w:eastAsia="zh-CN"/>
        </w:rPr>
      </w:pPr>
      <w:r>
        <w:rPr>
          <w:rFonts w:hint="eastAsia"/>
          <w:lang w:val="en-US" w:eastAsia="zh-CN"/>
        </w:rPr>
        <w:t>32:1ff 10, 122, 189, 221, 216, 221</w:t>
      </w:r>
    </w:p>
    <w:p w14:paraId="64BD620D">
      <w:pPr>
        <w:bidi w:val="0"/>
        <w:rPr>
          <w:rFonts w:hint="eastAsia"/>
          <w:lang w:val="en-US" w:eastAsia="zh-CN"/>
        </w:rPr>
      </w:pPr>
    </w:p>
    <w:p w14:paraId="48E0EF69">
      <w:pPr>
        <w:bidi w:val="0"/>
        <w:rPr>
          <w:rFonts w:hint="eastAsia"/>
          <w:lang w:val="en-US" w:eastAsia="zh-CN"/>
        </w:rPr>
      </w:pPr>
      <w:r>
        <w:rPr>
          <w:rFonts w:hint="eastAsia"/>
          <w:lang w:val="en-US" w:eastAsia="zh-CN"/>
        </w:rPr>
        <w:t>32:1ff 10, 122, 189, 221, 216, 221</w:t>
      </w:r>
    </w:p>
    <w:p w14:paraId="3D634FA6">
      <w:pPr>
        <w:bidi w:val="0"/>
        <w:rPr>
          <w:rFonts w:hint="eastAsia"/>
          <w:lang w:val="en-US" w:eastAsia="zh-CN"/>
        </w:rPr>
      </w:pPr>
    </w:p>
    <w:p w14:paraId="389FB261">
      <w:pPr>
        <w:bidi w:val="0"/>
        <w:rPr>
          <w:rFonts w:hint="eastAsia"/>
          <w:lang w:val="en-US" w:eastAsia="zh-CN"/>
        </w:rPr>
      </w:pPr>
      <w:r>
        <w:rPr>
          <w:rFonts w:hint="eastAsia"/>
          <w:lang w:val="en-US" w:eastAsia="zh-CN"/>
        </w:rPr>
        <w:t>32:4-4 221</w:t>
      </w:r>
    </w:p>
    <w:p w14:paraId="3EF533BA">
      <w:pPr>
        <w:bidi w:val="0"/>
        <w:rPr>
          <w:rFonts w:hint="eastAsia"/>
          <w:lang w:val="en-US" w:eastAsia="zh-CN"/>
        </w:rPr>
      </w:pPr>
    </w:p>
    <w:p w14:paraId="5615C9F4">
      <w:pPr>
        <w:bidi w:val="0"/>
        <w:rPr>
          <w:rFonts w:hint="eastAsia"/>
          <w:lang w:val="en-US" w:eastAsia="zh-CN"/>
        </w:rPr>
      </w:pPr>
      <w:r>
        <w:rPr>
          <w:rFonts w:hint="eastAsia"/>
          <w:lang w:val="en-US" w:eastAsia="zh-CN"/>
        </w:rPr>
        <w:t>32:4-4 221</w:t>
      </w:r>
    </w:p>
    <w:p w14:paraId="359A7A06">
      <w:pPr>
        <w:bidi w:val="0"/>
        <w:rPr>
          <w:rFonts w:hint="eastAsia"/>
          <w:lang w:val="en-US" w:eastAsia="zh-CN"/>
        </w:rPr>
      </w:pPr>
    </w:p>
    <w:p w14:paraId="377446DD">
      <w:pPr>
        <w:bidi w:val="0"/>
        <w:rPr>
          <w:rFonts w:hint="eastAsia"/>
          <w:lang w:val="en-US" w:eastAsia="zh-CN"/>
        </w:rPr>
      </w:pPr>
      <w:r>
        <w:rPr>
          <w:rFonts w:hint="eastAsia"/>
          <w:lang w:val="en-US" w:eastAsia="zh-CN"/>
        </w:rPr>
        <w:t>32:22 587</w:t>
      </w:r>
    </w:p>
    <w:p w14:paraId="1BB4FBF9">
      <w:pPr>
        <w:bidi w:val="0"/>
        <w:rPr>
          <w:rFonts w:hint="eastAsia"/>
          <w:lang w:val="en-US" w:eastAsia="zh-CN"/>
        </w:rPr>
      </w:pPr>
    </w:p>
    <w:p w14:paraId="4FDA6F8A">
      <w:pPr>
        <w:bidi w:val="0"/>
        <w:rPr>
          <w:rFonts w:hint="eastAsia"/>
          <w:lang w:val="en-US" w:eastAsia="zh-CN"/>
        </w:rPr>
      </w:pPr>
      <w:r>
        <w:rPr>
          <w:rFonts w:hint="eastAsia"/>
          <w:lang w:val="en-US" w:eastAsia="zh-CN"/>
        </w:rPr>
        <w:t>32:22 587</w:t>
      </w:r>
    </w:p>
    <w:p w14:paraId="70951AC8">
      <w:pPr>
        <w:bidi w:val="0"/>
        <w:rPr>
          <w:rFonts w:hint="eastAsia"/>
          <w:lang w:val="en-US" w:eastAsia="zh-CN"/>
        </w:rPr>
      </w:pPr>
    </w:p>
    <w:p w14:paraId="53C9813D">
      <w:pPr>
        <w:bidi w:val="0"/>
        <w:rPr>
          <w:rFonts w:hint="eastAsia"/>
          <w:lang w:val="en-US" w:eastAsia="zh-CN"/>
        </w:rPr>
      </w:pPr>
      <w:r>
        <w:rPr>
          <w:rFonts w:hint="eastAsia"/>
          <w:lang w:val="en-US" w:eastAsia="zh-CN"/>
        </w:rPr>
        <w:t>32:34-43 321</w:t>
      </w:r>
    </w:p>
    <w:p w14:paraId="2BFAE13D">
      <w:pPr>
        <w:bidi w:val="0"/>
        <w:rPr>
          <w:rFonts w:hint="eastAsia"/>
          <w:lang w:val="en-US" w:eastAsia="zh-CN"/>
        </w:rPr>
      </w:pPr>
    </w:p>
    <w:p w14:paraId="276FA357">
      <w:pPr>
        <w:bidi w:val="0"/>
        <w:rPr>
          <w:rFonts w:hint="eastAsia"/>
          <w:lang w:val="en-US" w:eastAsia="zh-CN"/>
        </w:rPr>
      </w:pPr>
      <w:r>
        <w:rPr>
          <w:rFonts w:hint="eastAsia"/>
          <w:lang w:val="en-US" w:eastAsia="zh-CN"/>
        </w:rPr>
        <w:t>32:34-43 321</w:t>
      </w:r>
    </w:p>
    <w:p w14:paraId="76B7E2B8">
      <w:pPr>
        <w:bidi w:val="0"/>
        <w:rPr>
          <w:rFonts w:hint="eastAsia"/>
          <w:lang w:val="en-US" w:eastAsia="zh-CN"/>
        </w:rPr>
      </w:pPr>
    </w:p>
    <w:p w14:paraId="2779CE65">
      <w:pPr>
        <w:bidi w:val="0"/>
        <w:rPr>
          <w:rFonts w:hint="eastAsia"/>
          <w:lang w:val="en-US" w:eastAsia="zh-CN"/>
        </w:rPr>
      </w:pPr>
      <w:r>
        <w:rPr>
          <w:rFonts w:hint="eastAsia"/>
          <w:lang w:val="en-US" w:eastAsia="zh-CN"/>
        </w:rPr>
        <w:t>32:40-42 221</w:t>
      </w:r>
    </w:p>
    <w:p w14:paraId="124DB27D">
      <w:pPr>
        <w:bidi w:val="0"/>
        <w:rPr>
          <w:rFonts w:hint="eastAsia"/>
          <w:lang w:val="en-US" w:eastAsia="zh-CN"/>
        </w:rPr>
      </w:pPr>
    </w:p>
    <w:p w14:paraId="780BB722">
      <w:pPr>
        <w:bidi w:val="0"/>
        <w:rPr>
          <w:rFonts w:hint="eastAsia"/>
          <w:lang w:val="en-US" w:eastAsia="zh-CN"/>
        </w:rPr>
      </w:pPr>
      <w:r>
        <w:rPr>
          <w:rFonts w:hint="eastAsia"/>
          <w:lang w:val="en-US" w:eastAsia="zh-CN"/>
        </w:rPr>
        <w:t>32:40-42 221</w:t>
      </w:r>
    </w:p>
    <w:p w14:paraId="43BA490E">
      <w:pPr>
        <w:bidi w:val="0"/>
        <w:rPr>
          <w:rFonts w:hint="eastAsia"/>
          <w:lang w:val="en-US" w:eastAsia="zh-CN"/>
        </w:rPr>
      </w:pPr>
    </w:p>
    <w:p w14:paraId="3205A25B">
      <w:pPr>
        <w:bidi w:val="0"/>
        <w:rPr>
          <w:rFonts w:hint="eastAsia"/>
          <w:lang w:val="en-US" w:eastAsia="zh-CN"/>
        </w:rPr>
      </w:pPr>
      <w:r>
        <w:rPr>
          <w:rFonts w:hint="eastAsia"/>
          <w:lang w:val="en-US" w:eastAsia="zh-CN"/>
        </w:rPr>
        <w:t>32:48-52 332</w:t>
      </w:r>
    </w:p>
    <w:p w14:paraId="5BD1FE30">
      <w:pPr>
        <w:bidi w:val="0"/>
        <w:rPr>
          <w:rFonts w:hint="eastAsia"/>
          <w:lang w:val="en-US" w:eastAsia="zh-CN"/>
        </w:rPr>
      </w:pPr>
    </w:p>
    <w:p w14:paraId="569E2559">
      <w:pPr>
        <w:bidi w:val="0"/>
        <w:rPr>
          <w:rFonts w:hint="eastAsia"/>
          <w:lang w:val="en-US" w:eastAsia="zh-CN"/>
        </w:rPr>
      </w:pPr>
      <w:r>
        <w:rPr>
          <w:rFonts w:hint="eastAsia"/>
          <w:lang w:val="en-US" w:eastAsia="zh-CN"/>
        </w:rPr>
        <w:t>32:48-52 332</w:t>
      </w:r>
    </w:p>
    <w:p w14:paraId="62EEE8AE">
      <w:pPr>
        <w:bidi w:val="0"/>
        <w:rPr>
          <w:rFonts w:hint="eastAsia"/>
          <w:lang w:val="en-US" w:eastAsia="zh-CN"/>
        </w:rPr>
      </w:pPr>
    </w:p>
    <w:p w14:paraId="33C7F2C2">
      <w:pPr>
        <w:bidi w:val="0"/>
        <w:rPr>
          <w:rFonts w:hint="eastAsia"/>
          <w:lang w:val="en-US" w:eastAsia="zh-CN"/>
        </w:rPr>
      </w:pPr>
      <w:r>
        <w:rPr>
          <w:rFonts w:hint="eastAsia"/>
          <w:lang w:val="en-US" w:eastAsia="zh-CN"/>
        </w:rPr>
        <w:t>33:5 119</w:t>
      </w:r>
    </w:p>
    <w:p w14:paraId="34E75ECC">
      <w:pPr>
        <w:bidi w:val="0"/>
        <w:rPr>
          <w:rFonts w:hint="eastAsia"/>
          <w:lang w:val="en-US" w:eastAsia="zh-CN"/>
        </w:rPr>
      </w:pPr>
    </w:p>
    <w:p w14:paraId="5EB6CBD4">
      <w:pPr>
        <w:bidi w:val="0"/>
        <w:rPr>
          <w:rFonts w:hint="eastAsia"/>
          <w:lang w:val="en-US" w:eastAsia="zh-CN"/>
        </w:rPr>
      </w:pPr>
      <w:r>
        <w:rPr>
          <w:rFonts w:hint="eastAsia"/>
          <w:lang w:val="en-US" w:eastAsia="zh-CN"/>
        </w:rPr>
        <w:t>33:5 119</w:t>
      </w:r>
    </w:p>
    <w:p w14:paraId="15808FF4">
      <w:pPr>
        <w:bidi w:val="0"/>
        <w:rPr>
          <w:rFonts w:hint="eastAsia"/>
          <w:lang w:val="en-US" w:eastAsia="zh-CN"/>
        </w:rPr>
      </w:pPr>
    </w:p>
    <w:p w14:paraId="159309F9">
      <w:pPr>
        <w:bidi w:val="0"/>
        <w:rPr>
          <w:rFonts w:hint="eastAsia"/>
          <w:lang w:val="en-US" w:eastAsia="zh-CN"/>
        </w:rPr>
      </w:pPr>
      <w:r>
        <w:rPr>
          <w:rFonts w:hint="eastAsia"/>
          <w:lang w:val="en-US" w:eastAsia="zh-CN"/>
        </w:rPr>
        <w:t>Joshua</w:t>
      </w:r>
    </w:p>
    <w:p w14:paraId="42F7B826">
      <w:pPr>
        <w:bidi w:val="0"/>
        <w:rPr>
          <w:rFonts w:hint="eastAsia"/>
          <w:lang w:val="en-US" w:eastAsia="zh-CN"/>
        </w:rPr>
      </w:pPr>
    </w:p>
    <w:p w14:paraId="74852E78">
      <w:pPr>
        <w:bidi w:val="0"/>
        <w:rPr>
          <w:rFonts w:hint="eastAsia"/>
          <w:lang w:val="en-US" w:eastAsia="zh-CN"/>
        </w:rPr>
      </w:pPr>
      <w:r>
        <w:rPr>
          <w:rFonts w:hint="eastAsia"/>
          <w:lang w:val="en-US" w:eastAsia="zh-CN"/>
        </w:rPr>
        <w:t>约书亚记</w:t>
      </w:r>
    </w:p>
    <w:p w14:paraId="768F88B6">
      <w:pPr>
        <w:bidi w:val="0"/>
        <w:rPr>
          <w:rFonts w:hint="eastAsia"/>
          <w:lang w:val="en-US" w:eastAsia="zh-CN"/>
        </w:rPr>
      </w:pPr>
    </w:p>
    <w:p w14:paraId="28F3375E">
      <w:pPr>
        <w:bidi w:val="0"/>
        <w:rPr>
          <w:rFonts w:hint="eastAsia"/>
          <w:lang w:val="en-US" w:eastAsia="zh-CN"/>
        </w:rPr>
      </w:pPr>
      <w:r>
        <w:rPr>
          <w:rFonts w:hint="eastAsia"/>
          <w:lang w:val="en-US" w:eastAsia="zh-CN"/>
        </w:rPr>
        <w:t>6:1ff 398, 565</w:t>
      </w:r>
    </w:p>
    <w:p w14:paraId="03537979">
      <w:pPr>
        <w:bidi w:val="0"/>
        <w:rPr>
          <w:rFonts w:hint="eastAsia"/>
          <w:lang w:val="en-US" w:eastAsia="zh-CN"/>
        </w:rPr>
      </w:pPr>
    </w:p>
    <w:p w14:paraId="7A316B18">
      <w:pPr>
        <w:bidi w:val="0"/>
        <w:rPr>
          <w:rFonts w:hint="eastAsia"/>
          <w:lang w:val="en-US" w:eastAsia="zh-CN"/>
        </w:rPr>
      </w:pPr>
      <w:r>
        <w:rPr>
          <w:rFonts w:hint="eastAsia"/>
          <w:lang w:val="en-US" w:eastAsia="zh-CN"/>
        </w:rPr>
        <w:t>6:1ff 398, 565</w:t>
      </w:r>
    </w:p>
    <w:p w14:paraId="35111C19">
      <w:pPr>
        <w:bidi w:val="0"/>
        <w:rPr>
          <w:rFonts w:hint="eastAsia"/>
          <w:lang w:val="en-US" w:eastAsia="zh-CN"/>
        </w:rPr>
      </w:pPr>
    </w:p>
    <w:p w14:paraId="6856077F">
      <w:pPr>
        <w:bidi w:val="0"/>
        <w:rPr>
          <w:rFonts w:hint="eastAsia"/>
          <w:lang w:val="en-US" w:eastAsia="zh-CN"/>
        </w:rPr>
      </w:pPr>
      <w:r>
        <w:rPr>
          <w:rFonts w:hint="eastAsia"/>
          <w:lang w:val="en-US" w:eastAsia="zh-CN"/>
        </w:rPr>
        <w:t>6:4 445</w:t>
      </w:r>
    </w:p>
    <w:p w14:paraId="3C3DE41C">
      <w:pPr>
        <w:bidi w:val="0"/>
        <w:rPr>
          <w:rFonts w:hint="eastAsia"/>
          <w:lang w:val="en-US" w:eastAsia="zh-CN"/>
        </w:rPr>
      </w:pPr>
    </w:p>
    <w:p w14:paraId="7500412D">
      <w:pPr>
        <w:bidi w:val="0"/>
        <w:rPr>
          <w:rFonts w:hint="eastAsia"/>
          <w:lang w:val="en-US" w:eastAsia="zh-CN"/>
        </w:rPr>
      </w:pPr>
      <w:r>
        <w:rPr>
          <w:rFonts w:hint="eastAsia"/>
          <w:lang w:val="en-US" w:eastAsia="zh-CN"/>
        </w:rPr>
        <w:t>6:4 445</w:t>
      </w:r>
    </w:p>
    <w:p w14:paraId="4FDCA3F4">
      <w:pPr>
        <w:bidi w:val="0"/>
        <w:rPr>
          <w:rFonts w:hint="eastAsia"/>
          <w:lang w:val="en-US" w:eastAsia="zh-CN"/>
        </w:rPr>
      </w:pPr>
    </w:p>
    <w:p w14:paraId="731421E1">
      <w:pPr>
        <w:bidi w:val="0"/>
        <w:rPr>
          <w:rFonts w:hint="eastAsia"/>
          <w:lang w:val="en-US" w:eastAsia="zh-CN"/>
        </w:rPr>
      </w:pPr>
      <w:r>
        <w:rPr>
          <w:rFonts w:hint="eastAsia"/>
          <w:lang w:val="en-US" w:eastAsia="zh-CN"/>
        </w:rPr>
        <w:t>6:5 565</w:t>
      </w:r>
    </w:p>
    <w:p w14:paraId="317BFABB">
      <w:pPr>
        <w:bidi w:val="0"/>
        <w:rPr>
          <w:rFonts w:hint="eastAsia"/>
          <w:lang w:val="en-US" w:eastAsia="zh-CN"/>
        </w:rPr>
      </w:pPr>
    </w:p>
    <w:p w14:paraId="4CE82046">
      <w:pPr>
        <w:bidi w:val="0"/>
        <w:rPr>
          <w:rFonts w:hint="eastAsia"/>
          <w:lang w:val="en-US" w:eastAsia="zh-CN"/>
        </w:rPr>
      </w:pPr>
      <w:r>
        <w:rPr>
          <w:rFonts w:hint="eastAsia"/>
          <w:lang w:val="en-US" w:eastAsia="zh-CN"/>
        </w:rPr>
        <w:t>6:5 565</w:t>
      </w:r>
    </w:p>
    <w:p w14:paraId="02C93D07">
      <w:pPr>
        <w:bidi w:val="0"/>
        <w:rPr>
          <w:rFonts w:hint="eastAsia"/>
          <w:lang w:val="en-US" w:eastAsia="zh-CN"/>
        </w:rPr>
      </w:pPr>
    </w:p>
    <w:p w14:paraId="09869DAE">
      <w:pPr>
        <w:bidi w:val="0"/>
        <w:rPr>
          <w:rFonts w:hint="eastAsia"/>
          <w:lang w:val="en-US" w:eastAsia="zh-CN"/>
        </w:rPr>
      </w:pPr>
      <w:r>
        <w:rPr>
          <w:rFonts w:hint="eastAsia"/>
          <w:lang w:val="en-US" w:eastAsia="zh-CN"/>
        </w:rPr>
        <w:t>22:19 348</w:t>
      </w:r>
    </w:p>
    <w:p w14:paraId="68D8B226">
      <w:pPr>
        <w:bidi w:val="0"/>
        <w:rPr>
          <w:rFonts w:hint="eastAsia"/>
          <w:lang w:val="en-US" w:eastAsia="zh-CN"/>
        </w:rPr>
      </w:pPr>
    </w:p>
    <w:p w14:paraId="661C2417">
      <w:pPr>
        <w:bidi w:val="0"/>
        <w:rPr>
          <w:rFonts w:hint="eastAsia"/>
          <w:lang w:val="en-US" w:eastAsia="zh-CN"/>
        </w:rPr>
      </w:pPr>
      <w:r>
        <w:rPr>
          <w:rFonts w:hint="eastAsia"/>
          <w:lang w:val="en-US" w:eastAsia="zh-CN"/>
        </w:rPr>
        <w:t>22:19 348</w:t>
      </w:r>
    </w:p>
    <w:p w14:paraId="2204CBDB">
      <w:pPr>
        <w:bidi w:val="0"/>
        <w:rPr>
          <w:rFonts w:hint="eastAsia"/>
          <w:lang w:val="en-US" w:eastAsia="zh-CN"/>
        </w:rPr>
      </w:pPr>
    </w:p>
    <w:p w14:paraId="26DB9435">
      <w:pPr>
        <w:bidi w:val="0"/>
        <w:rPr>
          <w:rFonts w:hint="eastAsia"/>
          <w:lang w:val="en-US" w:eastAsia="zh-CN"/>
        </w:rPr>
      </w:pPr>
      <w:r>
        <w:rPr>
          <w:rFonts w:hint="eastAsia"/>
          <w:lang w:val="en-US" w:eastAsia="zh-CN"/>
        </w:rPr>
        <w:t>23:14 254</w:t>
      </w:r>
    </w:p>
    <w:p w14:paraId="54B26FB2">
      <w:pPr>
        <w:bidi w:val="0"/>
        <w:rPr>
          <w:rFonts w:hint="eastAsia"/>
          <w:lang w:val="en-US" w:eastAsia="zh-CN"/>
        </w:rPr>
      </w:pPr>
    </w:p>
    <w:p w14:paraId="7A9C96FE">
      <w:pPr>
        <w:bidi w:val="0"/>
        <w:rPr>
          <w:rFonts w:hint="eastAsia"/>
          <w:lang w:val="en-US" w:eastAsia="zh-CN"/>
        </w:rPr>
      </w:pPr>
      <w:r>
        <w:rPr>
          <w:rFonts w:hint="eastAsia"/>
          <w:lang w:val="en-US" w:eastAsia="zh-CN"/>
        </w:rPr>
        <w:t>23:14 254</w:t>
      </w:r>
    </w:p>
    <w:p w14:paraId="67E326DE">
      <w:pPr>
        <w:bidi w:val="0"/>
        <w:rPr>
          <w:rFonts w:hint="eastAsia"/>
          <w:lang w:val="en-US" w:eastAsia="zh-CN"/>
        </w:rPr>
      </w:pPr>
    </w:p>
    <w:p w14:paraId="77BC0369">
      <w:pPr>
        <w:bidi w:val="0"/>
        <w:rPr>
          <w:rFonts w:hint="eastAsia"/>
          <w:lang w:val="en-US" w:eastAsia="zh-CN"/>
        </w:rPr>
      </w:pPr>
      <w:r>
        <w:rPr>
          <w:rFonts w:hint="eastAsia"/>
          <w:lang w:val="en-US" w:eastAsia="zh-CN"/>
        </w:rPr>
        <w:t>Judges</w:t>
      </w:r>
    </w:p>
    <w:p w14:paraId="6FB0984E">
      <w:pPr>
        <w:bidi w:val="0"/>
        <w:rPr>
          <w:rFonts w:hint="eastAsia"/>
          <w:lang w:val="en-US" w:eastAsia="zh-CN"/>
        </w:rPr>
      </w:pPr>
    </w:p>
    <w:p w14:paraId="19B05E3E">
      <w:pPr>
        <w:bidi w:val="0"/>
        <w:rPr>
          <w:rFonts w:hint="eastAsia"/>
          <w:lang w:val="en-US" w:eastAsia="zh-CN"/>
        </w:rPr>
      </w:pPr>
      <w:r>
        <w:rPr>
          <w:rFonts w:hint="eastAsia"/>
          <w:lang w:val="en-US" w:eastAsia="zh-CN"/>
        </w:rPr>
        <w:t>士师记</w:t>
      </w:r>
    </w:p>
    <w:p w14:paraId="4363FE47">
      <w:pPr>
        <w:bidi w:val="0"/>
        <w:rPr>
          <w:rFonts w:hint="eastAsia"/>
          <w:lang w:val="en-US" w:eastAsia="zh-CN"/>
        </w:rPr>
      </w:pPr>
    </w:p>
    <w:p w14:paraId="752D894B">
      <w:pPr>
        <w:bidi w:val="0"/>
        <w:rPr>
          <w:rFonts w:hint="eastAsia"/>
          <w:lang w:val="en-US" w:eastAsia="zh-CN"/>
        </w:rPr>
      </w:pPr>
      <w:r>
        <w:rPr>
          <w:rFonts w:hint="eastAsia"/>
          <w:lang w:val="en-US" w:eastAsia="zh-CN"/>
        </w:rPr>
        <w:t>4-5 457</w:t>
      </w:r>
    </w:p>
    <w:p w14:paraId="47B4F0F8">
      <w:pPr>
        <w:bidi w:val="0"/>
        <w:rPr>
          <w:rFonts w:hint="eastAsia"/>
          <w:lang w:val="en-US" w:eastAsia="zh-CN"/>
        </w:rPr>
      </w:pPr>
    </w:p>
    <w:p w14:paraId="2C566EA6">
      <w:pPr>
        <w:bidi w:val="0"/>
        <w:rPr>
          <w:rFonts w:hint="eastAsia"/>
          <w:lang w:val="en-US" w:eastAsia="zh-CN"/>
        </w:rPr>
      </w:pPr>
      <w:r>
        <w:rPr>
          <w:rFonts w:hint="eastAsia"/>
          <w:lang w:val="en-US" w:eastAsia="zh-CN"/>
        </w:rPr>
        <w:t>4-5 457</w:t>
      </w:r>
    </w:p>
    <w:p w14:paraId="2756E85C">
      <w:pPr>
        <w:bidi w:val="0"/>
        <w:rPr>
          <w:rFonts w:hint="eastAsia"/>
          <w:lang w:val="en-US" w:eastAsia="zh-CN"/>
        </w:rPr>
      </w:pPr>
    </w:p>
    <w:p w14:paraId="3A5F65E6">
      <w:pPr>
        <w:bidi w:val="0"/>
        <w:rPr>
          <w:rFonts w:hint="eastAsia"/>
          <w:lang w:val="en-US" w:eastAsia="zh-CN"/>
        </w:rPr>
      </w:pPr>
      <w:r>
        <w:rPr>
          <w:rFonts w:hint="eastAsia"/>
          <w:lang w:val="en-US" w:eastAsia="zh-CN"/>
        </w:rPr>
        <w:t>7:22 401</w:t>
      </w:r>
    </w:p>
    <w:p w14:paraId="0B3CF73D">
      <w:pPr>
        <w:bidi w:val="0"/>
        <w:rPr>
          <w:rFonts w:hint="eastAsia"/>
          <w:lang w:val="en-US" w:eastAsia="zh-CN"/>
        </w:rPr>
      </w:pPr>
    </w:p>
    <w:p w14:paraId="7FC449A4">
      <w:pPr>
        <w:bidi w:val="0"/>
        <w:rPr>
          <w:rFonts w:hint="eastAsia"/>
          <w:lang w:val="en-US" w:eastAsia="zh-CN"/>
        </w:rPr>
      </w:pPr>
      <w:r>
        <w:rPr>
          <w:rFonts w:hint="eastAsia"/>
          <w:lang w:val="en-US" w:eastAsia="zh-CN"/>
        </w:rPr>
        <w:t>7:22 401</w:t>
      </w:r>
    </w:p>
    <w:p w14:paraId="337FC455">
      <w:pPr>
        <w:bidi w:val="0"/>
        <w:rPr>
          <w:rFonts w:hint="eastAsia"/>
          <w:lang w:val="en-US" w:eastAsia="zh-CN"/>
        </w:rPr>
      </w:pPr>
    </w:p>
    <w:p w14:paraId="4BEF4254">
      <w:pPr>
        <w:bidi w:val="0"/>
        <w:rPr>
          <w:rFonts w:hint="eastAsia"/>
          <w:lang w:val="en-US" w:eastAsia="zh-CN"/>
        </w:rPr>
      </w:pPr>
      <w:r>
        <w:rPr>
          <w:rFonts w:hint="eastAsia"/>
          <w:lang w:val="en-US" w:eastAsia="zh-CN"/>
        </w:rPr>
        <w:t>1Samuel</w:t>
      </w:r>
    </w:p>
    <w:p w14:paraId="31FF3182">
      <w:pPr>
        <w:bidi w:val="0"/>
        <w:rPr>
          <w:rFonts w:hint="eastAsia"/>
          <w:lang w:val="en-US" w:eastAsia="zh-CN"/>
        </w:rPr>
      </w:pPr>
    </w:p>
    <w:p w14:paraId="234FFC51">
      <w:pPr>
        <w:bidi w:val="0"/>
        <w:rPr>
          <w:rFonts w:hint="eastAsia"/>
          <w:lang w:val="en-US" w:eastAsia="zh-CN"/>
        </w:rPr>
      </w:pPr>
      <w:r>
        <w:rPr>
          <w:rFonts w:hint="eastAsia"/>
          <w:lang w:val="en-US" w:eastAsia="zh-CN"/>
        </w:rPr>
        <w:t>撒母耳记上</w:t>
      </w:r>
    </w:p>
    <w:p w14:paraId="5678E5E9">
      <w:pPr>
        <w:bidi w:val="0"/>
        <w:rPr>
          <w:rFonts w:hint="eastAsia"/>
          <w:lang w:val="en-US" w:eastAsia="zh-CN"/>
        </w:rPr>
      </w:pPr>
    </w:p>
    <w:p w14:paraId="620A99E6">
      <w:pPr>
        <w:bidi w:val="0"/>
        <w:rPr>
          <w:rFonts w:hint="eastAsia"/>
          <w:lang w:val="en-US" w:eastAsia="zh-CN"/>
        </w:rPr>
      </w:pPr>
      <w:r>
        <w:rPr>
          <w:rFonts w:hint="eastAsia"/>
          <w:lang w:val="en-US" w:eastAsia="zh-CN"/>
        </w:rPr>
        <w:t>2:1f 507</w:t>
      </w:r>
    </w:p>
    <w:p w14:paraId="34C194B6">
      <w:pPr>
        <w:bidi w:val="0"/>
        <w:rPr>
          <w:rFonts w:hint="eastAsia"/>
          <w:lang w:val="en-US" w:eastAsia="zh-CN"/>
        </w:rPr>
      </w:pPr>
    </w:p>
    <w:p w14:paraId="7AB5346B">
      <w:pPr>
        <w:bidi w:val="0"/>
        <w:rPr>
          <w:rFonts w:hint="eastAsia"/>
          <w:lang w:val="en-US" w:eastAsia="zh-CN"/>
        </w:rPr>
      </w:pPr>
      <w:r>
        <w:rPr>
          <w:rFonts w:hint="eastAsia"/>
          <w:lang w:val="en-US" w:eastAsia="zh-CN"/>
        </w:rPr>
        <w:t>2:1f 507</w:t>
      </w:r>
    </w:p>
    <w:p w14:paraId="768EF3CA">
      <w:pPr>
        <w:bidi w:val="0"/>
        <w:rPr>
          <w:rFonts w:hint="eastAsia"/>
          <w:lang w:val="en-US" w:eastAsia="zh-CN"/>
        </w:rPr>
      </w:pPr>
    </w:p>
    <w:p w14:paraId="4721180E">
      <w:pPr>
        <w:bidi w:val="0"/>
        <w:rPr>
          <w:rFonts w:hint="eastAsia"/>
          <w:lang w:val="en-US" w:eastAsia="zh-CN"/>
        </w:rPr>
      </w:pPr>
      <w:r>
        <w:rPr>
          <w:rFonts w:hint="eastAsia"/>
          <w:lang w:val="en-US" w:eastAsia="zh-CN"/>
        </w:rPr>
        <w:t>8:7 119, 345</w:t>
      </w:r>
    </w:p>
    <w:p w14:paraId="37E07313">
      <w:pPr>
        <w:bidi w:val="0"/>
        <w:rPr>
          <w:rFonts w:hint="eastAsia"/>
          <w:lang w:val="en-US" w:eastAsia="zh-CN"/>
        </w:rPr>
      </w:pPr>
    </w:p>
    <w:p w14:paraId="5ED9EEC9">
      <w:pPr>
        <w:bidi w:val="0"/>
        <w:rPr>
          <w:rFonts w:hint="eastAsia"/>
          <w:lang w:val="en-US" w:eastAsia="zh-CN"/>
        </w:rPr>
      </w:pPr>
      <w:r>
        <w:rPr>
          <w:rFonts w:hint="eastAsia"/>
          <w:lang w:val="en-US" w:eastAsia="zh-CN"/>
        </w:rPr>
        <w:t>8:7 119, 345</w:t>
      </w:r>
    </w:p>
    <w:p w14:paraId="6320E56A">
      <w:pPr>
        <w:bidi w:val="0"/>
        <w:rPr>
          <w:rFonts w:hint="eastAsia"/>
          <w:lang w:val="en-US" w:eastAsia="zh-CN"/>
        </w:rPr>
      </w:pPr>
    </w:p>
    <w:p w14:paraId="3C236978">
      <w:pPr>
        <w:bidi w:val="0"/>
        <w:rPr>
          <w:rFonts w:hint="eastAsia"/>
          <w:lang w:val="en-US" w:eastAsia="zh-CN"/>
        </w:rPr>
      </w:pPr>
      <w:r>
        <w:rPr>
          <w:rFonts w:hint="eastAsia"/>
          <w:lang w:val="en-US" w:eastAsia="zh-CN"/>
        </w:rPr>
        <w:t>25:29 344</w:t>
      </w:r>
    </w:p>
    <w:p w14:paraId="15567105">
      <w:pPr>
        <w:bidi w:val="0"/>
        <w:rPr>
          <w:rFonts w:hint="eastAsia"/>
          <w:lang w:val="en-US" w:eastAsia="zh-CN"/>
        </w:rPr>
      </w:pPr>
    </w:p>
    <w:p w14:paraId="6A43235B">
      <w:pPr>
        <w:bidi w:val="0"/>
        <w:rPr>
          <w:rFonts w:hint="eastAsia"/>
          <w:lang w:val="en-US" w:eastAsia="zh-CN"/>
        </w:rPr>
      </w:pPr>
      <w:r>
        <w:rPr>
          <w:rFonts w:hint="eastAsia"/>
          <w:lang w:val="en-US" w:eastAsia="zh-CN"/>
        </w:rPr>
        <w:t>25:29 344</w:t>
      </w:r>
    </w:p>
    <w:p w14:paraId="68DFE600">
      <w:pPr>
        <w:bidi w:val="0"/>
        <w:rPr>
          <w:rFonts w:hint="eastAsia"/>
          <w:lang w:val="en-US" w:eastAsia="zh-CN"/>
        </w:rPr>
      </w:pPr>
    </w:p>
    <w:p w14:paraId="58A7621A">
      <w:pPr>
        <w:bidi w:val="0"/>
        <w:rPr>
          <w:rFonts w:hint="eastAsia"/>
          <w:lang w:val="en-US" w:eastAsia="zh-CN"/>
        </w:rPr>
      </w:pPr>
      <w:r>
        <w:rPr>
          <w:rFonts w:hint="eastAsia"/>
          <w:lang w:val="en-US" w:eastAsia="zh-CN"/>
        </w:rPr>
        <w:t>30:1f 396</w:t>
      </w:r>
    </w:p>
    <w:p w14:paraId="34C356FF">
      <w:pPr>
        <w:bidi w:val="0"/>
        <w:rPr>
          <w:rFonts w:hint="eastAsia"/>
          <w:lang w:val="en-US" w:eastAsia="zh-CN"/>
        </w:rPr>
      </w:pPr>
    </w:p>
    <w:p w14:paraId="39BB37FF">
      <w:pPr>
        <w:bidi w:val="0"/>
        <w:rPr>
          <w:rFonts w:hint="eastAsia"/>
          <w:lang w:val="en-US" w:eastAsia="zh-CN"/>
        </w:rPr>
      </w:pPr>
      <w:r>
        <w:rPr>
          <w:rFonts w:hint="eastAsia"/>
          <w:lang w:val="en-US" w:eastAsia="zh-CN"/>
        </w:rPr>
        <w:t>30:1f 396</w:t>
      </w:r>
    </w:p>
    <w:p w14:paraId="3C5B0673">
      <w:pPr>
        <w:bidi w:val="0"/>
        <w:rPr>
          <w:rFonts w:hint="eastAsia"/>
          <w:lang w:val="en-US" w:eastAsia="zh-CN"/>
        </w:rPr>
      </w:pPr>
    </w:p>
    <w:p w14:paraId="54D23418">
      <w:pPr>
        <w:bidi w:val="0"/>
        <w:rPr>
          <w:rFonts w:hint="eastAsia"/>
          <w:lang w:val="en-US" w:eastAsia="zh-CN"/>
        </w:rPr>
      </w:pPr>
      <w:r>
        <w:rPr>
          <w:rFonts w:hint="eastAsia"/>
          <w:lang w:val="en-US" w:eastAsia="zh-CN"/>
        </w:rPr>
        <w:t>2Samuel</w:t>
      </w:r>
    </w:p>
    <w:p w14:paraId="5104D8A3">
      <w:pPr>
        <w:bidi w:val="0"/>
        <w:rPr>
          <w:rFonts w:hint="eastAsia"/>
          <w:lang w:val="en-US" w:eastAsia="zh-CN"/>
        </w:rPr>
      </w:pPr>
    </w:p>
    <w:p w14:paraId="555CDA83">
      <w:pPr>
        <w:bidi w:val="0"/>
        <w:rPr>
          <w:rFonts w:hint="eastAsia"/>
          <w:lang w:val="en-US" w:eastAsia="zh-CN"/>
        </w:rPr>
      </w:pPr>
      <w:r>
        <w:rPr>
          <w:rFonts w:hint="eastAsia"/>
          <w:lang w:val="en-US" w:eastAsia="zh-CN"/>
        </w:rPr>
        <w:t>撒母耳记下</w:t>
      </w:r>
    </w:p>
    <w:p w14:paraId="56C5EAE6">
      <w:pPr>
        <w:bidi w:val="0"/>
        <w:rPr>
          <w:rFonts w:hint="eastAsia"/>
          <w:lang w:val="en-US" w:eastAsia="zh-CN"/>
        </w:rPr>
      </w:pPr>
    </w:p>
    <w:p w14:paraId="7A89447B">
      <w:pPr>
        <w:bidi w:val="0"/>
        <w:rPr>
          <w:rFonts w:hint="eastAsia"/>
          <w:lang w:val="en-US" w:eastAsia="zh-CN"/>
        </w:rPr>
      </w:pPr>
      <w:r>
        <w:rPr>
          <w:rFonts w:hint="eastAsia"/>
          <w:lang w:val="en-US" w:eastAsia="zh-CN"/>
        </w:rPr>
        <w:t>2:35 342, 690</w:t>
      </w:r>
    </w:p>
    <w:p w14:paraId="5B047D7E">
      <w:pPr>
        <w:bidi w:val="0"/>
        <w:rPr>
          <w:rFonts w:hint="eastAsia"/>
          <w:lang w:val="en-US" w:eastAsia="zh-CN"/>
        </w:rPr>
      </w:pPr>
    </w:p>
    <w:p w14:paraId="6940B306">
      <w:pPr>
        <w:bidi w:val="0"/>
        <w:rPr>
          <w:rFonts w:hint="eastAsia"/>
          <w:lang w:val="en-US" w:eastAsia="zh-CN"/>
        </w:rPr>
      </w:pPr>
      <w:r>
        <w:rPr>
          <w:rFonts w:hint="eastAsia"/>
          <w:lang w:val="en-US" w:eastAsia="zh-CN"/>
        </w:rPr>
        <w:t>2:35 342, 690</w:t>
      </w:r>
    </w:p>
    <w:p w14:paraId="32C315D8">
      <w:pPr>
        <w:bidi w:val="0"/>
        <w:rPr>
          <w:rFonts w:hint="eastAsia"/>
          <w:lang w:val="en-US" w:eastAsia="zh-CN"/>
        </w:rPr>
      </w:pPr>
    </w:p>
    <w:p w14:paraId="71A2A2AA">
      <w:pPr>
        <w:bidi w:val="0"/>
        <w:rPr>
          <w:rFonts w:hint="eastAsia"/>
          <w:lang w:val="en-US" w:eastAsia="zh-CN"/>
        </w:rPr>
      </w:pPr>
      <w:r>
        <w:rPr>
          <w:rFonts w:hint="eastAsia"/>
          <w:lang w:val="en-US" w:eastAsia="zh-CN"/>
        </w:rPr>
        <w:t>7:1-17 119, 197, 204, 245, 340, 345</w:t>
      </w:r>
    </w:p>
    <w:p w14:paraId="2BE74EE7">
      <w:pPr>
        <w:bidi w:val="0"/>
        <w:rPr>
          <w:rFonts w:hint="eastAsia"/>
          <w:lang w:val="en-US" w:eastAsia="zh-CN"/>
        </w:rPr>
      </w:pPr>
    </w:p>
    <w:p w14:paraId="41EDB5D9">
      <w:pPr>
        <w:bidi w:val="0"/>
        <w:rPr>
          <w:rFonts w:hint="eastAsia"/>
          <w:lang w:val="en-US" w:eastAsia="zh-CN"/>
        </w:rPr>
      </w:pPr>
      <w:r>
        <w:rPr>
          <w:rFonts w:hint="eastAsia"/>
          <w:lang w:val="en-US" w:eastAsia="zh-CN"/>
        </w:rPr>
        <w:t>7:1-17 119, 197, 204, 245, 340, 345</w:t>
      </w:r>
    </w:p>
    <w:p w14:paraId="14535515">
      <w:pPr>
        <w:bidi w:val="0"/>
        <w:rPr>
          <w:rFonts w:hint="eastAsia"/>
          <w:lang w:val="en-US" w:eastAsia="zh-CN"/>
        </w:rPr>
      </w:pPr>
    </w:p>
    <w:p w14:paraId="28DD5B64">
      <w:pPr>
        <w:bidi w:val="0"/>
        <w:rPr>
          <w:rFonts w:hint="eastAsia"/>
          <w:lang w:val="en-US" w:eastAsia="zh-CN"/>
        </w:rPr>
      </w:pPr>
      <w:r>
        <w:rPr>
          <w:rFonts w:hint="eastAsia"/>
          <w:lang w:val="en-US" w:eastAsia="zh-CN"/>
        </w:rPr>
        <w:t>6:1f 345</w:t>
      </w:r>
    </w:p>
    <w:p w14:paraId="16EFBA95">
      <w:pPr>
        <w:bidi w:val="0"/>
        <w:rPr>
          <w:rFonts w:hint="eastAsia"/>
          <w:lang w:val="en-US" w:eastAsia="zh-CN"/>
        </w:rPr>
      </w:pPr>
    </w:p>
    <w:p w14:paraId="41D5E4CE">
      <w:pPr>
        <w:bidi w:val="0"/>
        <w:rPr>
          <w:rFonts w:hint="eastAsia"/>
          <w:lang w:val="en-US" w:eastAsia="zh-CN"/>
        </w:rPr>
      </w:pPr>
      <w:r>
        <w:rPr>
          <w:rFonts w:hint="eastAsia"/>
          <w:lang w:val="en-US" w:eastAsia="zh-CN"/>
        </w:rPr>
        <w:t>6:1f 345</w:t>
      </w:r>
    </w:p>
    <w:p w14:paraId="1C2AD318">
      <w:pPr>
        <w:bidi w:val="0"/>
        <w:rPr>
          <w:rFonts w:hint="eastAsia"/>
          <w:lang w:val="en-US" w:eastAsia="zh-CN"/>
        </w:rPr>
      </w:pPr>
    </w:p>
    <w:p w14:paraId="2E3E52C0">
      <w:pPr>
        <w:bidi w:val="0"/>
        <w:rPr>
          <w:rFonts w:hint="eastAsia"/>
          <w:lang w:val="en-US" w:eastAsia="zh-CN"/>
        </w:rPr>
      </w:pPr>
      <w:r>
        <w:rPr>
          <w:rFonts w:hint="eastAsia"/>
          <w:lang w:val="en-US" w:eastAsia="zh-CN"/>
        </w:rPr>
        <w:t>10-12 245</w:t>
      </w:r>
    </w:p>
    <w:p w14:paraId="47B099E0">
      <w:pPr>
        <w:bidi w:val="0"/>
        <w:rPr>
          <w:rFonts w:hint="eastAsia"/>
          <w:lang w:val="en-US" w:eastAsia="zh-CN"/>
        </w:rPr>
      </w:pPr>
    </w:p>
    <w:p w14:paraId="233D67B3">
      <w:pPr>
        <w:bidi w:val="0"/>
        <w:rPr>
          <w:rFonts w:hint="eastAsia"/>
          <w:lang w:val="en-US" w:eastAsia="zh-CN"/>
        </w:rPr>
      </w:pPr>
      <w:r>
        <w:rPr>
          <w:rFonts w:hint="eastAsia"/>
          <w:lang w:val="en-US" w:eastAsia="zh-CN"/>
        </w:rPr>
        <w:t>10-12 245</w:t>
      </w:r>
    </w:p>
    <w:p w14:paraId="28A51394">
      <w:pPr>
        <w:bidi w:val="0"/>
        <w:rPr>
          <w:rFonts w:hint="eastAsia"/>
          <w:lang w:val="en-US" w:eastAsia="zh-CN"/>
        </w:rPr>
      </w:pPr>
    </w:p>
    <w:p w14:paraId="6DE76526">
      <w:pPr>
        <w:bidi w:val="0"/>
        <w:rPr>
          <w:rFonts w:hint="eastAsia"/>
          <w:lang w:val="en-US" w:eastAsia="zh-CN"/>
        </w:rPr>
      </w:pPr>
      <w:r>
        <w:rPr>
          <w:rFonts w:hint="eastAsia"/>
          <w:lang w:val="en-US" w:eastAsia="zh-CN"/>
        </w:rPr>
        <w:t>1 Kings</w:t>
      </w:r>
    </w:p>
    <w:p w14:paraId="1B50F197">
      <w:pPr>
        <w:bidi w:val="0"/>
        <w:rPr>
          <w:rFonts w:hint="eastAsia"/>
          <w:lang w:val="en-US" w:eastAsia="zh-CN"/>
        </w:rPr>
      </w:pPr>
    </w:p>
    <w:p w14:paraId="65AF91DE">
      <w:pPr>
        <w:bidi w:val="0"/>
        <w:rPr>
          <w:rFonts w:hint="eastAsia"/>
          <w:lang w:val="en-US" w:eastAsia="zh-CN"/>
        </w:rPr>
      </w:pPr>
      <w:r>
        <w:rPr>
          <w:rFonts w:hint="eastAsia"/>
          <w:lang w:val="en-US" w:eastAsia="zh-CN"/>
        </w:rPr>
        <w:t>列王纪上</w:t>
      </w:r>
    </w:p>
    <w:p w14:paraId="4EC9B3EE">
      <w:pPr>
        <w:bidi w:val="0"/>
        <w:rPr>
          <w:rFonts w:hint="eastAsia"/>
          <w:lang w:val="en-US" w:eastAsia="zh-CN"/>
        </w:rPr>
      </w:pPr>
    </w:p>
    <w:p w14:paraId="2B538FE7">
      <w:pPr>
        <w:bidi w:val="0"/>
        <w:rPr>
          <w:rFonts w:hint="eastAsia"/>
          <w:lang w:val="en-US" w:eastAsia="zh-CN"/>
        </w:rPr>
      </w:pPr>
      <w:r>
        <w:rPr>
          <w:rFonts w:hint="eastAsia"/>
          <w:lang w:val="en-US" w:eastAsia="zh-CN"/>
        </w:rPr>
        <w:t>6:11-13 245</w:t>
      </w:r>
    </w:p>
    <w:p w14:paraId="2E675793">
      <w:pPr>
        <w:bidi w:val="0"/>
        <w:rPr>
          <w:rFonts w:hint="eastAsia"/>
          <w:lang w:val="en-US" w:eastAsia="zh-CN"/>
        </w:rPr>
      </w:pPr>
    </w:p>
    <w:p w14:paraId="61BF6B91">
      <w:pPr>
        <w:bidi w:val="0"/>
        <w:rPr>
          <w:rFonts w:hint="eastAsia"/>
          <w:lang w:val="en-US" w:eastAsia="zh-CN"/>
        </w:rPr>
      </w:pPr>
      <w:r>
        <w:rPr>
          <w:rFonts w:hint="eastAsia"/>
          <w:lang w:val="en-US" w:eastAsia="zh-CN"/>
        </w:rPr>
        <w:t>6:11-13 245</w:t>
      </w:r>
    </w:p>
    <w:p w14:paraId="3DE25606">
      <w:pPr>
        <w:bidi w:val="0"/>
        <w:rPr>
          <w:rFonts w:hint="eastAsia"/>
          <w:lang w:val="en-US" w:eastAsia="zh-CN"/>
        </w:rPr>
      </w:pPr>
    </w:p>
    <w:p w14:paraId="2061F4DC">
      <w:pPr>
        <w:bidi w:val="0"/>
        <w:rPr>
          <w:rFonts w:hint="eastAsia"/>
          <w:lang w:val="en-US" w:eastAsia="zh-CN"/>
        </w:rPr>
      </w:pPr>
      <w:r>
        <w:rPr>
          <w:rFonts w:hint="eastAsia"/>
          <w:lang w:val="en-US" w:eastAsia="zh-CN"/>
        </w:rPr>
        <w:t>7:23f 346</w:t>
      </w:r>
    </w:p>
    <w:p w14:paraId="1AC780A7">
      <w:pPr>
        <w:bidi w:val="0"/>
        <w:rPr>
          <w:rFonts w:hint="eastAsia"/>
          <w:lang w:val="en-US" w:eastAsia="zh-CN"/>
        </w:rPr>
      </w:pPr>
    </w:p>
    <w:p w14:paraId="3DDF1A0C">
      <w:pPr>
        <w:bidi w:val="0"/>
        <w:rPr>
          <w:rFonts w:hint="eastAsia"/>
          <w:lang w:val="en-US" w:eastAsia="zh-CN"/>
        </w:rPr>
      </w:pPr>
      <w:r>
        <w:rPr>
          <w:rFonts w:hint="eastAsia"/>
          <w:lang w:val="en-US" w:eastAsia="zh-CN"/>
        </w:rPr>
        <w:t>7:23f 346</w:t>
      </w:r>
    </w:p>
    <w:p w14:paraId="2CE2B1CD">
      <w:pPr>
        <w:bidi w:val="0"/>
        <w:rPr>
          <w:rFonts w:hint="eastAsia"/>
          <w:lang w:val="en-US" w:eastAsia="zh-CN"/>
        </w:rPr>
      </w:pPr>
    </w:p>
    <w:p w14:paraId="6758B6F1">
      <w:pPr>
        <w:bidi w:val="0"/>
        <w:rPr>
          <w:rFonts w:hint="eastAsia"/>
          <w:lang w:val="en-US" w:eastAsia="zh-CN"/>
        </w:rPr>
      </w:pPr>
      <w:r>
        <w:rPr>
          <w:rFonts w:hint="eastAsia"/>
          <w:lang w:val="en-US" w:eastAsia="zh-CN"/>
        </w:rPr>
        <w:t>8:1f 345</w:t>
      </w:r>
    </w:p>
    <w:p w14:paraId="147B75B6">
      <w:pPr>
        <w:bidi w:val="0"/>
        <w:rPr>
          <w:rFonts w:hint="eastAsia"/>
          <w:lang w:val="en-US" w:eastAsia="zh-CN"/>
        </w:rPr>
      </w:pPr>
    </w:p>
    <w:p w14:paraId="5268A1EA">
      <w:pPr>
        <w:bidi w:val="0"/>
        <w:rPr>
          <w:rFonts w:hint="eastAsia"/>
          <w:lang w:val="en-US" w:eastAsia="zh-CN"/>
        </w:rPr>
      </w:pPr>
      <w:r>
        <w:rPr>
          <w:rFonts w:hint="eastAsia"/>
          <w:lang w:val="en-US" w:eastAsia="zh-CN"/>
        </w:rPr>
        <w:t>8:1f 345</w:t>
      </w:r>
    </w:p>
    <w:p w14:paraId="73E3902A">
      <w:pPr>
        <w:bidi w:val="0"/>
        <w:rPr>
          <w:rFonts w:hint="eastAsia"/>
          <w:lang w:val="en-US" w:eastAsia="zh-CN"/>
        </w:rPr>
      </w:pPr>
    </w:p>
    <w:p w14:paraId="077EBBE1">
      <w:pPr>
        <w:bidi w:val="0"/>
        <w:rPr>
          <w:rFonts w:hint="eastAsia"/>
          <w:lang w:val="en-US" w:eastAsia="zh-CN"/>
        </w:rPr>
      </w:pPr>
      <w:r>
        <w:rPr>
          <w:rFonts w:hint="eastAsia"/>
          <w:lang w:val="en-US" w:eastAsia="zh-CN"/>
        </w:rPr>
        <w:t>8:33-35 654</w:t>
      </w:r>
    </w:p>
    <w:p w14:paraId="05026029">
      <w:pPr>
        <w:bidi w:val="0"/>
        <w:rPr>
          <w:rFonts w:hint="eastAsia"/>
          <w:lang w:val="en-US" w:eastAsia="zh-CN"/>
        </w:rPr>
      </w:pPr>
    </w:p>
    <w:p w14:paraId="2E838675">
      <w:pPr>
        <w:bidi w:val="0"/>
        <w:rPr>
          <w:rFonts w:hint="eastAsia"/>
          <w:lang w:val="en-US" w:eastAsia="zh-CN"/>
        </w:rPr>
      </w:pPr>
      <w:r>
        <w:rPr>
          <w:rFonts w:hint="eastAsia"/>
          <w:lang w:val="en-US" w:eastAsia="zh-CN"/>
        </w:rPr>
        <w:t>8:33-35 654</w:t>
      </w:r>
    </w:p>
    <w:p w14:paraId="4C0CFCF5">
      <w:pPr>
        <w:bidi w:val="0"/>
        <w:rPr>
          <w:rFonts w:hint="eastAsia"/>
          <w:lang w:val="en-US" w:eastAsia="zh-CN"/>
        </w:rPr>
      </w:pPr>
    </w:p>
    <w:p w14:paraId="63683A56">
      <w:pPr>
        <w:bidi w:val="0"/>
        <w:rPr>
          <w:rFonts w:hint="eastAsia"/>
          <w:lang w:val="en-US" w:eastAsia="zh-CN"/>
        </w:rPr>
      </w:pPr>
      <w:r>
        <w:rPr>
          <w:rFonts w:hint="eastAsia"/>
          <w:lang w:val="en-US" w:eastAsia="zh-CN"/>
        </w:rPr>
        <w:t>13:1-2 247</w:t>
      </w:r>
    </w:p>
    <w:p w14:paraId="088B250F">
      <w:pPr>
        <w:bidi w:val="0"/>
        <w:rPr>
          <w:rFonts w:hint="eastAsia"/>
          <w:lang w:val="en-US" w:eastAsia="zh-CN"/>
        </w:rPr>
      </w:pPr>
    </w:p>
    <w:p w14:paraId="58089B11">
      <w:pPr>
        <w:bidi w:val="0"/>
        <w:rPr>
          <w:rFonts w:hint="eastAsia"/>
          <w:lang w:val="en-US" w:eastAsia="zh-CN"/>
        </w:rPr>
      </w:pPr>
      <w:r>
        <w:rPr>
          <w:rFonts w:hint="eastAsia"/>
          <w:lang w:val="en-US" w:eastAsia="zh-CN"/>
        </w:rPr>
        <w:t>13:1-2 247</w:t>
      </w:r>
    </w:p>
    <w:p w14:paraId="2A767FF0">
      <w:pPr>
        <w:bidi w:val="0"/>
        <w:rPr>
          <w:rFonts w:hint="eastAsia"/>
          <w:lang w:val="en-US" w:eastAsia="zh-CN"/>
        </w:rPr>
      </w:pPr>
    </w:p>
    <w:p w14:paraId="4CB1825E">
      <w:pPr>
        <w:bidi w:val="0"/>
        <w:rPr>
          <w:rFonts w:hint="eastAsia"/>
          <w:lang w:val="en-US" w:eastAsia="zh-CN"/>
        </w:rPr>
      </w:pPr>
      <w:r>
        <w:rPr>
          <w:rFonts w:hint="eastAsia"/>
          <w:lang w:val="en-US" w:eastAsia="zh-CN"/>
        </w:rPr>
        <w:t>17:1f 412, 430, 447</w:t>
      </w:r>
    </w:p>
    <w:p w14:paraId="0FFDB277">
      <w:pPr>
        <w:bidi w:val="0"/>
        <w:rPr>
          <w:rFonts w:hint="eastAsia"/>
          <w:lang w:val="en-US" w:eastAsia="zh-CN"/>
        </w:rPr>
      </w:pPr>
    </w:p>
    <w:p w14:paraId="0A0816EA">
      <w:pPr>
        <w:bidi w:val="0"/>
        <w:rPr>
          <w:rFonts w:hint="eastAsia"/>
          <w:lang w:val="en-US" w:eastAsia="zh-CN"/>
        </w:rPr>
      </w:pPr>
      <w:r>
        <w:rPr>
          <w:rFonts w:hint="eastAsia"/>
          <w:lang w:val="en-US" w:eastAsia="zh-CN"/>
        </w:rPr>
        <w:t>17:1f 412, 430, 447</w:t>
      </w:r>
    </w:p>
    <w:p w14:paraId="73A5CE80">
      <w:pPr>
        <w:bidi w:val="0"/>
        <w:rPr>
          <w:rFonts w:hint="eastAsia"/>
          <w:lang w:val="en-US" w:eastAsia="zh-CN"/>
        </w:rPr>
      </w:pPr>
    </w:p>
    <w:p w14:paraId="2CE6EEC6">
      <w:pPr>
        <w:bidi w:val="0"/>
        <w:rPr>
          <w:rFonts w:hint="eastAsia"/>
          <w:lang w:val="en-US" w:eastAsia="zh-CN"/>
        </w:rPr>
      </w:pPr>
      <w:r>
        <w:rPr>
          <w:rFonts w:hint="eastAsia"/>
          <w:lang w:val="en-US" w:eastAsia="zh-CN"/>
        </w:rPr>
        <w:t>18:28 392</w:t>
      </w:r>
    </w:p>
    <w:p w14:paraId="29A18606">
      <w:pPr>
        <w:bidi w:val="0"/>
        <w:rPr>
          <w:rFonts w:hint="eastAsia"/>
          <w:lang w:val="en-US" w:eastAsia="zh-CN"/>
        </w:rPr>
      </w:pPr>
    </w:p>
    <w:p w14:paraId="4F0463B1">
      <w:pPr>
        <w:bidi w:val="0"/>
        <w:rPr>
          <w:rFonts w:hint="eastAsia"/>
          <w:lang w:val="en-US" w:eastAsia="zh-CN"/>
        </w:rPr>
      </w:pPr>
      <w:r>
        <w:rPr>
          <w:rFonts w:hint="eastAsia"/>
          <w:lang w:val="en-US" w:eastAsia="zh-CN"/>
        </w:rPr>
        <w:t>18:28 392</w:t>
      </w:r>
    </w:p>
    <w:p w14:paraId="2267B73A">
      <w:pPr>
        <w:bidi w:val="0"/>
        <w:rPr>
          <w:rFonts w:hint="eastAsia"/>
          <w:lang w:val="en-US" w:eastAsia="zh-CN"/>
        </w:rPr>
      </w:pPr>
    </w:p>
    <w:p w14:paraId="2EAD8B8A">
      <w:pPr>
        <w:bidi w:val="0"/>
        <w:rPr>
          <w:rFonts w:hint="eastAsia"/>
          <w:lang w:val="en-US" w:eastAsia="zh-CN"/>
        </w:rPr>
      </w:pPr>
      <w:r>
        <w:rPr>
          <w:rFonts w:hint="eastAsia"/>
          <w:lang w:val="en-US" w:eastAsia="zh-CN"/>
        </w:rPr>
        <w:t>2 Kings</w:t>
      </w:r>
    </w:p>
    <w:p w14:paraId="14A5C197">
      <w:pPr>
        <w:bidi w:val="0"/>
        <w:rPr>
          <w:rFonts w:hint="eastAsia"/>
          <w:lang w:val="en-US" w:eastAsia="zh-CN"/>
        </w:rPr>
      </w:pPr>
    </w:p>
    <w:p w14:paraId="2667F60B">
      <w:pPr>
        <w:bidi w:val="0"/>
        <w:rPr>
          <w:rFonts w:hint="eastAsia"/>
          <w:lang w:val="en-US" w:eastAsia="zh-CN"/>
        </w:rPr>
      </w:pPr>
      <w:r>
        <w:rPr>
          <w:rFonts w:hint="eastAsia"/>
          <w:lang w:val="en-US" w:eastAsia="zh-CN"/>
        </w:rPr>
        <w:t>列王纪下</w:t>
      </w:r>
    </w:p>
    <w:p w14:paraId="7FAF6273">
      <w:pPr>
        <w:bidi w:val="0"/>
        <w:rPr>
          <w:rFonts w:hint="eastAsia"/>
          <w:lang w:val="en-US" w:eastAsia="zh-CN"/>
        </w:rPr>
      </w:pPr>
    </w:p>
    <w:p w14:paraId="6304D364">
      <w:pPr>
        <w:bidi w:val="0"/>
        <w:rPr>
          <w:rFonts w:hint="eastAsia"/>
          <w:lang w:val="en-US" w:eastAsia="zh-CN"/>
        </w:rPr>
      </w:pPr>
      <w:r>
        <w:rPr>
          <w:rFonts w:hint="eastAsia"/>
          <w:lang w:val="en-US" w:eastAsia="zh-CN"/>
        </w:rPr>
        <w:t>18:4 66</w:t>
      </w:r>
    </w:p>
    <w:p w14:paraId="0C798F7B">
      <w:pPr>
        <w:bidi w:val="0"/>
        <w:rPr>
          <w:rFonts w:hint="eastAsia"/>
          <w:lang w:val="en-US" w:eastAsia="zh-CN"/>
        </w:rPr>
      </w:pPr>
    </w:p>
    <w:p w14:paraId="43A37B77">
      <w:pPr>
        <w:bidi w:val="0"/>
        <w:rPr>
          <w:rFonts w:hint="eastAsia"/>
          <w:lang w:val="en-US" w:eastAsia="zh-CN"/>
        </w:rPr>
      </w:pPr>
      <w:r>
        <w:rPr>
          <w:rFonts w:hint="eastAsia"/>
          <w:lang w:val="en-US" w:eastAsia="zh-CN"/>
        </w:rPr>
        <w:t>18:4 66</w:t>
      </w:r>
    </w:p>
    <w:p w14:paraId="379651C2">
      <w:pPr>
        <w:bidi w:val="0"/>
        <w:rPr>
          <w:rFonts w:hint="eastAsia"/>
          <w:lang w:val="en-US" w:eastAsia="zh-CN"/>
        </w:rPr>
      </w:pPr>
    </w:p>
    <w:p w14:paraId="02143784">
      <w:pPr>
        <w:bidi w:val="0"/>
        <w:rPr>
          <w:rFonts w:hint="eastAsia"/>
          <w:lang w:val="en-US" w:eastAsia="zh-CN"/>
        </w:rPr>
      </w:pPr>
      <w:r>
        <w:rPr>
          <w:rFonts w:hint="eastAsia"/>
          <w:lang w:val="en-US" w:eastAsia="zh-CN"/>
        </w:rPr>
        <w:t>23:1-14 300</w:t>
      </w:r>
    </w:p>
    <w:p w14:paraId="31AA15C8">
      <w:pPr>
        <w:bidi w:val="0"/>
        <w:rPr>
          <w:rFonts w:hint="eastAsia"/>
          <w:lang w:val="en-US" w:eastAsia="zh-CN"/>
        </w:rPr>
      </w:pPr>
    </w:p>
    <w:p w14:paraId="34574EAB">
      <w:pPr>
        <w:bidi w:val="0"/>
        <w:rPr>
          <w:rFonts w:hint="eastAsia"/>
          <w:lang w:val="en-US" w:eastAsia="zh-CN"/>
        </w:rPr>
      </w:pPr>
      <w:r>
        <w:rPr>
          <w:rFonts w:hint="eastAsia"/>
          <w:lang w:val="en-US" w:eastAsia="zh-CN"/>
        </w:rPr>
        <w:t>23:1-14 300</w:t>
      </w:r>
    </w:p>
    <w:p w14:paraId="5507A692">
      <w:pPr>
        <w:bidi w:val="0"/>
        <w:rPr>
          <w:rFonts w:hint="eastAsia"/>
          <w:lang w:val="en-US" w:eastAsia="zh-CN"/>
        </w:rPr>
      </w:pPr>
    </w:p>
    <w:p w14:paraId="5970A6F2">
      <w:pPr>
        <w:bidi w:val="0"/>
        <w:rPr>
          <w:rFonts w:hint="eastAsia"/>
          <w:lang w:val="en-US" w:eastAsia="zh-CN"/>
        </w:rPr>
      </w:pPr>
      <w:r>
        <w:rPr>
          <w:rFonts w:hint="eastAsia"/>
          <w:lang w:val="en-US" w:eastAsia="zh-CN"/>
        </w:rPr>
        <w:t>23:10 304</w:t>
      </w:r>
    </w:p>
    <w:p w14:paraId="14BA3B62">
      <w:pPr>
        <w:bidi w:val="0"/>
        <w:rPr>
          <w:rFonts w:hint="eastAsia"/>
          <w:lang w:val="en-US" w:eastAsia="zh-CN"/>
        </w:rPr>
      </w:pPr>
    </w:p>
    <w:p w14:paraId="79AD10DF">
      <w:pPr>
        <w:bidi w:val="0"/>
        <w:rPr>
          <w:rFonts w:hint="eastAsia"/>
          <w:lang w:val="en-US" w:eastAsia="zh-CN"/>
        </w:rPr>
      </w:pPr>
      <w:r>
        <w:rPr>
          <w:rFonts w:hint="eastAsia"/>
          <w:lang w:val="en-US" w:eastAsia="zh-CN"/>
        </w:rPr>
        <w:t>23:10 304</w:t>
      </w:r>
    </w:p>
    <w:p w14:paraId="57042D68">
      <w:pPr>
        <w:bidi w:val="0"/>
        <w:rPr>
          <w:rFonts w:hint="eastAsia"/>
          <w:lang w:val="en-US" w:eastAsia="zh-CN"/>
        </w:rPr>
      </w:pPr>
    </w:p>
    <w:p w14:paraId="28034CC8">
      <w:pPr>
        <w:bidi w:val="0"/>
        <w:rPr>
          <w:rFonts w:hint="eastAsia"/>
          <w:lang w:val="en-US" w:eastAsia="zh-CN"/>
        </w:rPr>
      </w:pPr>
      <w:r>
        <w:rPr>
          <w:rFonts w:hint="eastAsia"/>
          <w:lang w:val="en-US" w:eastAsia="zh-CN"/>
        </w:rPr>
        <w:t>1 Chronicles</w:t>
      </w:r>
    </w:p>
    <w:p w14:paraId="70D1ED32">
      <w:pPr>
        <w:bidi w:val="0"/>
        <w:rPr>
          <w:rFonts w:hint="eastAsia"/>
          <w:lang w:val="en-US" w:eastAsia="zh-CN"/>
        </w:rPr>
      </w:pPr>
    </w:p>
    <w:p w14:paraId="139A821B">
      <w:pPr>
        <w:bidi w:val="0"/>
        <w:rPr>
          <w:rFonts w:hint="eastAsia"/>
          <w:lang w:val="en-US" w:eastAsia="zh-CN"/>
        </w:rPr>
      </w:pPr>
      <w:r>
        <w:rPr>
          <w:rFonts w:hint="eastAsia"/>
          <w:lang w:val="en-US" w:eastAsia="zh-CN"/>
        </w:rPr>
        <w:t>历代志上</w:t>
      </w:r>
    </w:p>
    <w:p w14:paraId="2E0DBCFE">
      <w:pPr>
        <w:bidi w:val="0"/>
        <w:rPr>
          <w:rFonts w:hint="eastAsia"/>
          <w:lang w:val="en-US" w:eastAsia="zh-CN"/>
        </w:rPr>
      </w:pPr>
    </w:p>
    <w:p w14:paraId="61A20C2C">
      <w:pPr>
        <w:bidi w:val="0"/>
        <w:rPr>
          <w:rFonts w:hint="eastAsia"/>
          <w:lang w:val="en-US" w:eastAsia="zh-CN"/>
        </w:rPr>
      </w:pPr>
      <w:r>
        <w:rPr>
          <w:rFonts w:hint="eastAsia"/>
          <w:lang w:val="en-US" w:eastAsia="zh-CN"/>
        </w:rPr>
        <w:t>12:1f 245</w:t>
      </w:r>
    </w:p>
    <w:p w14:paraId="7EA7C94E">
      <w:pPr>
        <w:bidi w:val="0"/>
        <w:rPr>
          <w:rFonts w:hint="eastAsia"/>
          <w:lang w:val="en-US" w:eastAsia="zh-CN"/>
        </w:rPr>
      </w:pPr>
    </w:p>
    <w:p w14:paraId="12D6C7F9">
      <w:pPr>
        <w:bidi w:val="0"/>
        <w:rPr>
          <w:rFonts w:hint="eastAsia"/>
          <w:lang w:val="en-US" w:eastAsia="zh-CN"/>
        </w:rPr>
      </w:pPr>
      <w:r>
        <w:rPr>
          <w:rFonts w:hint="eastAsia"/>
          <w:lang w:val="en-US" w:eastAsia="zh-CN"/>
        </w:rPr>
        <w:t>12:1f 245</w:t>
      </w:r>
    </w:p>
    <w:p w14:paraId="397A23F6">
      <w:pPr>
        <w:bidi w:val="0"/>
        <w:rPr>
          <w:rFonts w:hint="eastAsia"/>
          <w:lang w:val="en-US" w:eastAsia="zh-CN"/>
        </w:rPr>
      </w:pPr>
    </w:p>
    <w:p w14:paraId="26970243">
      <w:pPr>
        <w:bidi w:val="0"/>
        <w:rPr>
          <w:rFonts w:hint="eastAsia"/>
          <w:lang w:val="en-US" w:eastAsia="zh-CN"/>
        </w:rPr>
      </w:pPr>
      <w:r>
        <w:rPr>
          <w:rFonts w:hint="eastAsia"/>
          <w:lang w:val="en-US" w:eastAsia="zh-CN"/>
        </w:rPr>
        <w:t>12:32 91</w:t>
      </w:r>
    </w:p>
    <w:p w14:paraId="44F07FDA">
      <w:pPr>
        <w:bidi w:val="0"/>
        <w:rPr>
          <w:rFonts w:hint="eastAsia"/>
          <w:lang w:val="en-US" w:eastAsia="zh-CN"/>
        </w:rPr>
      </w:pPr>
    </w:p>
    <w:p w14:paraId="1589D896">
      <w:pPr>
        <w:bidi w:val="0"/>
        <w:rPr>
          <w:rFonts w:hint="eastAsia"/>
          <w:lang w:val="en-US" w:eastAsia="zh-CN"/>
        </w:rPr>
      </w:pPr>
      <w:r>
        <w:rPr>
          <w:rFonts w:hint="eastAsia"/>
          <w:lang w:val="en-US" w:eastAsia="zh-CN"/>
        </w:rPr>
        <w:t>12:32 91</w:t>
      </w:r>
    </w:p>
    <w:p w14:paraId="21AA1AD2">
      <w:pPr>
        <w:bidi w:val="0"/>
        <w:rPr>
          <w:rFonts w:hint="eastAsia"/>
          <w:lang w:val="en-US" w:eastAsia="zh-CN"/>
        </w:rPr>
      </w:pPr>
    </w:p>
    <w:p w14:paraId="3ECF8A62">
      <w:pPr>
        <w:bidi w:val="0"/>
        <w:rPr>
          <w:rFonts w:hint="eastAsia"/>
          <w:lang w:val="en-US" w:eastAsia="zh-CN"/>
        </w:rPr>
      </w:pPr>
      <w:r>
        <w:rPr>
          <w:rFonts w:hint="eastAsia"/>
          <w:lang w:val="en-US" w:eastAsia="zh-CN"/>
        </w:rPr>
        <w:t>2 Chronicles</w:t>
      </w:r>
    </w:p>
    <w:p w14:paraId="6ACBED3D">
      <w:pPr>
        <w:bidi w:val="0"/>
        <w:rPr>
          <w:rFonts w:hint="eastAsia"/>
          <w:lang w:val="en-US" w:eastAsia="zh-CN"/>
        </w:rPr>
      </w:pPr>
    </w:p>
    <w:p w14:paraId="47CB4878">
      <w:pPr>
        <w:bidi w:val="0"/>
        <w:rPr>
          <w:rFonts w:hint="eastAsia"/>
          <w:lang w:val="en-US" w:eastAsia="zh-CN"/>
        </w:rPr>
      </w:pPr>
      <w:r>
        <w:rPr>
          <w:rFonts w:hint="eastAsia"/>
          <w:lang w:val="en-US" w:eastAsia="zh-CN"/>
        </w:rPr>
        <w:t>历代志下</w:t>
      </w:r>
    </w:p>
    <w:p w14:paraId="21B06BE0">
      <w:pPr>
        <w:bidi w:val="0"/>
        <w:rPr>
          <w:rFonts w:hint="eastAsia"/>
          <w:lang w:val="en-US" w:eastAsia="zh-CN"/>
        </w:rPr>
      </w:pPr>
    </w:p>
    <w:p w14:paraId="2D2FDC84">
      <w:pPr>
        <w:bidi w:val="0"/>
        <w:rPr>
          <w:rFonts w:hint="eastAsia"/>
          <w:lang w:val="en-US" w:eastAsia="zh-CN"/>
        </w:rPr>
      </w:pPr>
      <w:r>
        <w:rPr>
          <w:rFonts w:hint="eastAsia"/>
          <w:lang w:val="en-US" w:eastAsia="zh-CN"/>
        </w:rPr>
        <w:t>5:1ff 332</w:t>
      </w:r>
    </w:p>
    <w:p w14:paraId="3BB136FC">
      <w:pPr>
        <w:bidi w:val="0"/>
        <w:rPr>
          <w:rFonts w:hint="eastAsia"/>
          <w:lang w:val="en-US" w:eastAsia="zh-CN"/>
        </w:rPr>
      </w:pPr>
    </w:p>
    <w:p w14:paraId="44A67C54">
      <w:pPr>
        <w:bidi w:val="0"/>
        <w:rPr>
          <w:rFonts w:hint="eastAsia"/>
          <w:lang w:val="en-US" w:eastAsia="zh-CN"/>
        </w:rPr>
      </w:pPr>
      <w:r>
        <w:rPr>
          <w:rFonts w:hint="eastAsia"/>
          <w:lang w:val="en-US" w:eastAsia="zh-CN"/>
        </w:rPr>
        <w:t>5:1ff 332</w:t>
      </w:r>
    </w:p>
    <w:p w14:paraId="021AF284">
      <w:pPr>
        <w:bidi w:val="0"/>
        <w:rPr>
          <w:rFonts w:hint="eastAsia"/>
          <w:lang w:val="en-US" w:eastAsia="zh-CN"/>
        </w:rPr>
      </w:pPr>
    </w:p>
    <w:p w14:paraId="3D86E7A4">
      <w:pPr>
        <w:bidi w:val="0"/>
        <w:rPr>
          <w:rFonts w:hint="eastAsia"/>
          <w:lang w:val="en-US" w:eastAsia="zh-CN"/>
        </w:rPr>
      </w:pPr>
      <w:r>
        <w:rPr>
          <w:rFonts w:hint="eastAsia"/>
          <w:lang w:val="en-US" w:eastAsia="zh-CN"/>
        </w:rPr>
        <w:t>7:1f 245</w:t>
      </w:r>
    </w:p>
    <w:p w14:paraId="4EF14609">
      <w:pPr>
        <w:bidi w:val="0"/>
        <w:rPr>
          <w:rFonts w:hint="eastAsia"/>
          <w:lang w:val="en-US" w:eastAsia="zh-CN"/>
        </w:rPr>
      </w:pPr>
    </w:p>
    <w:p w14:paraId="014A621D">
      <w:pPr>
        <w:bidi w:val="0"/>
        <w:rPr>
          <w:rFonts w:hint="eastAsia"/>
          <w:lang w:val="en-US" w:eastAsia="zh-CN"/>
        </w:rPr>
      </w:pPr>
      <w:r>
        <w:rPr>
          <w:rFonts w:hint="eastAsia"/>
          <w:lang w:val="en-US" w:eastAsia="zh-CN"/>
        </w:rPr>
        <w:t>7:1f 245</w:t>
      </w:r>
    </w:p>
    <w:p w14:paraId="5A3AE4EC">
      <w:pPr>
        <w:bidi w:val="0"/>
        <w:rPr>
          <w:rFonts w:hint="eastAsia"/>
          <w:lang w:val="en-US" w:eastAsia="zh-CN"/>
        </w:rPr>
      </w:pPr>
    </w:p>
    <w:p w14:paraId="7E13868A">
      <w:pPr>
        <w:bidi w:val="0"/>
        <w:rPr>
          <w:rFonts w:hint="eastAsia"/>
          <w:lang w:val="en-US" w:eastAsia="zh-CN"/>
        </w:rPr>
      </w:pPr>
      <w:r>
        <w:rPr>
          <w:rFonts w:hint="eastAsia"/>
          <w:lang w:val="en-US" w:eastAsia="zh-CN"/>
        </w:rPr>
        <w:t>20:1f 345</w:t>
      </w:r>
    </w:p>
    <w:p w14:paraId="5F10F770">
      <w:pPr>
        <w:bidi w:val="0"/>
        <w:rPr>
          <w:rFonts w:hint="eastAsia"/>
          <w:lang w:val="en-US" w:eastAsia="zh-CN"/>
        </w:rPr>
      </w:pPr>
    </w:p>
    <w:p w14:paraId="4125E498">
      <w:pPr>
        <w:bidi w:val="0"/>
        <w:rPr>
          <w:rFonts w:hint="eastAsia"/>
          <w:lang w:val="en-US" w:eastAsia="zh-CN"/>
        </w:rPr>
      </w:pPr>
      <w:r>
        <w:rPr>
          <w:rFonts w:hint="eastAsia"/>
          <w:lang w:val="en-US" w:eastAsia="zh-CN"/>
        </w:rPr>
        <w:t>20:1f 345</w:t>
      </w:r>
    </w:p>
    <w:p w14:paraId="129A8603">
      <w:pPr>
        <w:bidi w:val="0"/>
        <w:rPr>
          <w:rFonts w:hint="eastAsia"/>
          <w:lang w:val="en-US" w:eastAsia="zh-CN"/>
        </w:rPr>
      </w:pPr>
    </w:p>
    <w:p w14:paraId="1D16014A">
      <w:pPr>
        <w:bidi w:val="0"/>
        <w:rPr>
          <w:rFonts w:hint="eastAsia"/>
          <w:lang w:val="en-US" w:eastAsia="zh-CN"/>
        </w:rPr>
      </w:pPr>
      <w:r>
        <w:rPr>
          <w:rFonts w:hint="eastAsia"/>
          <w:lang w:val="en-US" w:eastAsia="zh-CN"/>
        </w:rPr>
        <w:t>35:20-27 390</w:t>
      </w:r>
    </w:p>
    <w:p w14:paraId="44504DD8">
      <w:pPr>
        <w:bidi w:val="0"/>
        <w:rPr>
          <w:rFonts w:hint="eastAsia"/>
          <w:lang w:val="en-US" w:eastAsia="zh-CN"/>
        </w:rPr>
      </w:pPr>
    </w:p>
    <w:p w14:paraId="408FA521">
      <w:pPr>
        <w:bidi w:val="0"/>
        <w:rPr>
          <w:rFonts w:hint="eastAsia"/>
          <w:lang w:val="en-US" w:eastAsia="zh-CN"/>
        </w:rPr>
      </w:pPr>
      <w:r>
        <w:rPr>
          <w:rFonts w:hint="eastAsia"/>
          <w:lang w:val="en-US" w:eastAsia="zh-CN"/>
        </w:rPr>
        <w:t>35:20-27 390</w:t>
      </w:r>
    </w:p>
    <w:p w14:paraId="3D9862A7">
      <w:pPr>
        <w:bidi w:val="0"/>
        <w:rPr>
          <w:rFonts w:hint="eastAsia"/>
          <w:lang w:val="en-US" w:eastAsia="zh-CN"/>
        </w:rPr>
      </w:pPr>
    </w:p>
    <w:p w14:paraId="265828DC">
      <w:pPr>
        <w:bidi w:val="0"/>
        <w:rPr>
          <w:rFonts w:hint="eastAsia"/>
          <w:lang w:val="en-US" w:eastAsia="zh-CN"/>
        </w:rPr>
      </w:pPr>
      <w:r>
        <w:rPr>
          <w:rFonts w:hint="eastAsia"/>
          <w:lang w:val="en-US" w:eastAsia="zh-CN"/>
        </w:rPr>
        <w:t>36:22-33 123</w:t>
      </w:r>
    </w:p>
    <w:p w14:paraId="011FAA02">
      <w:pPr>
        <w:bidi w:val="0"/>
        <w:rPr>
          <w:rFonts w:hint="eastAsia"/>
          <w:lang w:val="en-US" w:eastAsia="zh-CN"/>
        </w:rPr>
      </w:pPr>
    </w:p>
    <w:p w14:paraId="76812106">
      <w:pPr>
        <w:bidi w:val="0"/>
        <w:rPr>
          <w:rFonts w:hint="eastAsia"/>
          <w:lang w:val="en-US" w:eastAsia="zh-CN"/>
        </w:rPr>
      </w:pPr>
      <w:r>
        <w:rPr>
          <w:rFonts w:hint="eastAsia"/>
          <w:lang w:val="en-US" w:eastAsia="zh-CN"/>
        </w:rPr>
        <w:t>36:22-33 123</w:t>
      </w:r>
    </w:p>
    <w:p w14:paraId="0CC7F076">
      <w:pPr>
        <w:bidi w:val="0"/>
        <w:rPr>
          <w:rFonts w:hint="eastAsia"/>
          <w:lang w:val="en-US" w:eastAsia="zh-CN"/>
        </w:rPr>
      </w:pPr>
    </w:p>
    <w:p w14:paraId="673FA11C">
      <w:pPr>
        <w:bidi w:val="0"/>
        <w:rPr>
          <w:rFonts w:hint="eastAsia"/>
          <w:lang w:val="en-US" w:eastAsia="zh-CN"/>
        </w:rPr>
      </w:pPr>
      <w:r>
        <w:rPr>
          <w:rFonts w:hint="eastAsia"/>
          <w:lang w:val="en-US" w:eastAsia="zh-CN"/>
        </w:rPr>
        <w:t>Ezra Nehemiah</w:t>
      </w:r>
    </w:p>
    <w:p w14:paraId="5118C6B7">
      <w:pPr>
        <w:bidi w:val="0"/>
        <w:rPr>
          <w:rFonts w:hint="eastAsia"/>
          <w:lang w:val="en-US" w:eastAsia="zh-CN"/>
        </w:rPr>
      </w:pPr>
    </w:p>
    <w:p w14:paraId="5869C991">
      <w:pPr>
        <w:bidi w:val="0"/>
        <w:rPr>
          <w:rFonts w:hint="eastAsia"/>
          <w:lang w:val="en-US" w:eastAsia="zh-CN"/>
        </w:rPr>
      </w:pPr>
      <w:r>
        <w:rPr>
          <w:rFonts w:hint="eastAsia"/>
          <w:lang w:val="en-US" w:eastAsia="zh-CN"/>
        </w:rPr>
        <w:t>以斯拉记 尼希米记</w:t>
      </w:r>
    </w:p>
    <w:p w14:paraId="4C4BC4FE">
      <w:pPr>
        <w:bidi w:val="0"/>
        <w:rPr>
          <w:rFonts w:hint="eastAsia"/>
          <w:lang w:val="en-US" w:eastAsia="zh-CN"/>
        </w:rPr>
      </w:pPr>
    </w:p>
    <w:p w14:paraId="14058AD2">
      <w:pPr>
        <w:bidi w:val="0"/>
        <w:rPr>
          <w:rFonts w:hint="eastAsia"/>
          <w:lang w:val="en-US" w:eastAsia="zh-CN"/>
        </w:rPr>
      </w:pPr>
      <w:r>
        <w:rPr>
          <w:rFonts w:hint="eastAsia"/>
          <w:lang w:val="en-US" w:eastAsia="zh-CN"/>
        </w:rPr>
        <w:t>1:1-4</w:t>
      </w:r>
    </w:p>
    <w:p w14:paraId="062CCEE3">
      <w:pPr>
        <w:bidi w:val="0"/>
        <w:rPr>
          <w:rFonts w:hint="eastAsia"/>
          <w:lang w:val="en-US" w:eastAsia="zh-CN"/>
        </w:rPr>
      </w:pPr>
    </w:p>
    <w:p w14:paraId="7FCFAE95">
      <w:pPr>
        <w:bidi w:val="0"/>
        <w:rPr>
          <w:rFonts w:hint="eastAsia"/>
          <w:lang w:val="en-US" w:eastAsia="zh-CN"/>
        </w:rPr>
      </w:pPr>
      <w:r>
        <w:rPr>
          <w:rFonts w:hint="eastAsia"/>
          <w:lang w:val="en-US" w:eastAsia="zh-CN"/>
        </w:rPr>
        <w:t>1:1-4</w:t>
      </w:r>
    </w:p>
    <w:p w14:paraId="3B70E997">
      <w:pPr>
        <w:bidi w:val="0"/>
        <w:rPr>
          <w:rFonts w:hint="eastAsia"/>
          <w:lang w:val="en-US" w:eastAsia="zh-CN"/>
        </w:rPr>
      </w:pPr>
    </w:p>
    <w:p w14:paraId="564C8249">
      <w:pPr>
        <w:bidi w:val="0"/>
        <w:rPr>
          <w:rFonts w:hint="eastAsia"/>
          <w:lang w:val="en-US" w:eastAsia="zh-CN"/>
        </w:rPr>
      </w:pPr>
      <w:r>
        <w:rPr>
          <w:rFonts w:hint="eastAsia"/>
          <w:lang w:val="en-US" w:eastAsia="zh-CN"/>
        </w:rPr>
        <w:t>2:1f 368</w:t>
      </w:r>
    </w:p>
    <w:p w14:paraId="50293C06">
      <w:pPr>
        <w:bidi w:val="0"/>
        <w:rPr>
          <w:rFonts w:hint="eastAsia"/>
          <w:lang w:val="en-US" w:eastAsia="zh-CN"/>
        </w:rPr>
      </w:pPr>
    </w:p>
    <w:p w14:paraId="7C8C32F7">
      <w:pPr>
        <w:bidi w:val="0"/>
        <w:rPr>
          <w:rFonts w:hint="eastAsia"/>
          <w:lang w:val="en-US" w:eastAsia="zh-CN"/>
        </w:rPr>
      </w:pPr>
      <w:r>
        <w:rPr>
          <w:rFonts w:hint="eastAsia"/>
          <w:lang w:val="en-US" w:eastAsia="zh-CN"/>
        </w:rPr>
        <w:t>2:1f 368</w:t>
      </w:r>
    </w:p>
    <w:p w14:paraId="200FC336">
      <w:pPr>
        <w:bidi w:val="0"/>
        <w:rPr>
          <w:rFonts w:hint="eastAsia"/>
          <w:lang w:val="en-US" w:eastAsia="zh-CN"/>
        </w:rPr>
      </w:pPr>
    </w:p>
    <w:p w14:paraId="6863DD08">
      <w:pPr>
        <w:bidi w:val="0"/>
        <w:rPr>
          <w:rFonts w:hint="eastAsia"/>
          <w:lang w:val="en-US" w:eastAsia="zh-CN"/>
        </w:rPr>
      </w:pPr>
      <w:r>
        <w:rPr>
          <w:rFonts w:hint="eastAsia"/>
          <w:lang w:val="en-US" w:eastAsia="zh-CN"/>
        </w:rPr>
        <w:t>3:1 303</w:t>
      </w:r>
    </w:p>
    <w:p w14:paraId="58244F8F">
      <w:pPr>
        <w:bidi w:val="0"/>
        <w:rPr>
          <w:rFonts w:hint="eastAsia"/>
          <w:lang w:val="en-US" w:eastAsia="zh-CN"/>
        </w:rPr>
      </w:pPr>
    </w:p>
    <w:p w14:paraId="2A2F0709">
      <w:pPr>
        <w:bidi w:val="0"/>
        <w:rPr>
          <w:rFonts w:hint="eastAsia"/>
          <w:lang w:val="en-US" w:eastAsia="zh-CN"/>
        </w:rPr>
      </w:pPr>
      <w:r>
        <w:rPr>
          <w:rFonts w:hint="eastAsia"/>
          <w:lang w:val="en-US" w:eastAsia="zh-CN"/>
        </w:rPr>
        <w:t>3:1 303</w:t>
      </w:r>
    </w:p>
    <w:p w14:paraId="02ECD147">
      <w:pPr>
        <w:bidi w:val="0"/>
        <w:rPr>
          <w:rFonts w:hint="eastAsia"/>
          <w:lang w:val="en-US" w:eastAsia="zh-CN"/>
        </w:rPr>
      </w:pPr>
    </w:p>
    <w:p w14:paraId="0C3B3649">
      <w:pPr>
        <w:bidi w:val="0"/>
        <w:rPr>
          <w:rFonts w:hint="eastAsia"/>
          <w:lang w:val="en-US" w:eastAsia="zh-CN"/>
        </w:rPr>
      </w:pPr>
      <w:r>
        <w:rPr>
          <w:rFonts w:hint="eastAsia"/>
          <w:lang w:val="en-US" w:eastAsia="zh-CN"/>
        </w:rPr>
        <w:t>Esther</w:t>
      </w:r>
    </w:p>
    <w:p w14:paraId="041FA55E">
      <w:pPr>
        <w:bidi w:val="0"/>
        <w:rPr>
          <w:rFonts w:hint="eastAsia"/>
          <w:lang w:val="en-US" w:eastAsia="zh-CN"/>
        </w:rPr>
      </w:pPr>
    </w:p>
    <w:p w14:paraId="0E78B29C">
      <w:pPr>
        <w:bidi w:val="0"/>
        <w:rPr>
          <w:rFonts w:hint="eastAsia"/>
          <w:lang w:val="en-US" w:eastAsia="zh-CN"/>
        </w:rPr>
      </w:pPr>
      <w:r>
        <w:rPr>
          <w:rFonts w:hint="eastAsia"/>
          <w:lang w:val="en-US" w:eastAsia="zh-CN"/>
        </w:rPr>
        <w:t>以斯帖记</w:t>
      </w:r>
    </w:p>
    <w:p w14:paraId="1233B6B7">
      <w:pPr>
        <w:bidi w:val="0"/>
        <w:rPr>
          <w:rFonts w:hint="eastAsia"/>
          <w:lang w:val="en-US" w:eastAsia="zh-CN"/>
        </w:rPr>
      </w:pPr>
    </w:p>
    <w:p w14:paraId="19D9B8A2">
      <w:pPr>
        <w:bidi w:val="0"/>
        <w:rPr>
          <w:rFonts w:hint="eastAsia"/>
          <w:lang w:val="en-US" w:eastAsia="zh-CN"/>
        </w:rPr>
      </w:pPr>
      <w:r>
        <w:rPr>
          <w:rFonts w:hint="eastAsia"/>
          <w:lang w:val="en-US" w:eastAsia="zh-CN"/>
        </w:rPr>
        <w:t>6:9, 11 526</w:t>
      </w:r>
    </w:p>
    <w:p w14:paraId="6C01AFC6">
      <w:pPr>
        <w:bidi w:val="0"/>
        <w:rPr>
          <w:rFonts w:hint="eastAsia"/>
          <w:lang w:val="en-US" w:eastAsia="zh-CN"/>
        </w:rPr>
      </w:pPr>
    </w:p>
    <w:p w14:paraId="5894F8E9">
      <w:pPr>
        <w:bidi w:val="0"/>
        <w:rPr>
          <w:rFonts w:hint="eastAsia"/>
          <w:lang w:val="en-US" w:eastAsia="zh-CN"/>
        </w:rPr>
      </w:pPr>
      <w:r>
        <w:rPr>
          <w:rFonts w:hint="eastAsia"/>
          <w:lang w:val="en-US" w:eastAsia="zh-CN"/>
        </w:rPr>
        <w:t>6:9, 11 526</w:t>
      </w:r>
    </w:p>
    <w:p w14:paraId="2DE4080C">
      <w:pPr>
        <w:bidi w:val="0"/>
        <w:rPr>
          <w:rFonts w:hint="eastAsia"/>
          <w:lang w:val="en-US" w:eastAsia="zh-CN"/>
        </w:rPr>
      </w:pPr>
    </w:p>
    <w:p w14:paraId="588A2559">
      <w:pPr>
        <w:bidi w:val="0"/>
        <w:rPr>
          <w:rFonts w:hint="eastAsia"/>
          <w:lang w:val="en-US" w:eastAsia="zh-CN"/>
        </w:rPr>
      </w:pPr>
      <w:r>
        <w:rPr>
          <w:rFonts w:hint="eastAsia"/>
          <w:lang w:val="en-US" w:eastAsia="zh-CN"/>
        </w:rPr>
        <w:t>Psalms</w:t>
      </w:r>
    </w:p>
    <w:p w14:paraId="114E6740">
      <w:pPr>
        <w:bidi w:val="0"/>
        <w:rPr>
          <w:rFonts w:hint="eastAsia"/>
          <w:lang w:val="en-US" w:eastAsia="zh-CN"/>
        </w:rPr>
      </w:pPr>
    </w:p>
    <w:p w14:paraId="5446A0E1">
      <w:pPr>
        <w:bidi w:val="0"/>
        <w:rPr>
          <w:rFonts w:hint="eastAsia"/>
          <w:lang w:val="en-US" w:eastAsia="zh-CN"/>
        </w:rPr>
      </w:pPr>
      <w:r>
        <w:rPr>
          <w:rFonts w:hint="eastAsia"/>
          <w:lang w:val="en-US" w:eastAsia="zh-CN"/>
        </w:rPr>
        <w:t>诗篇</w:t>
      </w:r>
    </w:p>
    <w:p w14:paraId="3961DCD3">
      <w:pPr>
        <w:bidi w:val="0"/>
        <w:rPr>
          <w:rFonts w:hint="eastAsia"/>
          <w:lang w:val="en-US" w:eastAsia="zh-CN"/>
        </w:rPr>
      </w:pPr>
    </w:p>
    <w:p w14:paraId="5A3CB834">
      <w:pPr>
        <w:bidi w:val="0"/>
        <w:rPr>
          <w:rFonts w:hint="eastAsia"/>
          <w:lang w:val="en-US" w:eastAsia="zh-CN"/>
        </w:rPr>
      </w:pPr>
      <w:r>
        <w:rPr>
          <w:rFonts w:hint="eastAsia"/>
          <w:lang w:val="en-US" w:eastAsia="zh-CN"/>
        </w:rPr>
        <w:t>2:1f 10, 95-98, 120, 172, 197, 253, 282, 320, 435, 462</w:t>
      </w:r>
    </w:p>
    <w:p w14:paraId="7143C81E">
      <w:pPr>
        <w:bidi w:val="0"/>
        <w:rPr>
          <w:rFonts w:hint="eastAsia"/>
          <w:lang w:val="en-US" w:eastAsia="zh-CN"/>
        </w:rPr>
      </w:pPr>
    </w:p>
    <w:p w14:paraId="673219A0">
      <w:pPr>
        <w:bidi w:val="0"/>
        <w:rPr>
          <w:rFonts w:hint="eastAsia"/>
          <w:lang w:val="en-US" w:eastAsia="zh-CN"/>
        </w:rPr>
      </w:pPr>
      <w:r>
        <w:rPr>
          <w:rFonts w:hint="eastAsia"/>
          <w:lang w:val="en-US" w:eastAsia="zh-CN"/>
        </w:rPr>
        <w:t>2:1f 10, 95-98, 120, 172, 197, 253, 282, 320, 435, 462</w:t>
      </w:r>
    </w:p>
    <w:p w14:paraId="40064ABA">
      <w:pPr>
        <w:bidi w:val="0"/>
        <w:rPr>
          <w:rFonts w:hint="eastAsia"/>
          <w:lang w:val="en-US" w:eastAsia="zh-CN"/>
        </w:rPr>
      </w:pPr>
    </w:p>
    <w:p w14:paraId="2BB2BD7A">
      <w:pPr>
        <w:bidi w:val="0"/>
        <w:rPr>
          <w:rFonts w:hint="eastAsia"/>
          <w:lang w:val="en-US" w:eastAsia="zh-CN"/>
        </w:rPr>
      </w:pPr>
      <w:r>
        <w:rPr>
          <w:rFonts w:hint="eastAsia"/>
          <w:lang w:val="en-US" w:eastAsia="zh-CN"/>
        </w:rPr>
        <w:t>8:6 149</w:t>
      </w:r>
    </w:p>
    <w:p w14:paraId="5C500656">
      <w:pPr>
        <w:bidi w:val="0"/>
        <w:rPr>
          <w:rFonts w:hint="eastAsia"/>
          <w:lang w:val="en-US" w:eastAsia="zh-CN"/>
        </w:rPr>
      </w:pPr>
    </w:p>
    <w:p w14:paraId="27212327">
      <w:pPr>
        <w:bidi w:val="0"/>
        <w:rPr>
          <w:rFonts w:hint="eastAsia"/>
          <w:lang w:val="en-US" w:eastAsia="zh-CN"/>
        </w:rPr>
      </w:pPr>
      <w:r>
        <w:rPr>
          <w:rFonts w:hint="eastAsia"/>
          <w:lang w:val="en-US" w:eastAsia="zh-CN"/>
        </w:rPr>
        <w:t>8:6 149</w:t>
      </w:r>
    </w:p>
    <w:p w14:paraId="4AF0940E">
      <w:pPr>
        <w:bidi w:val="0"/>
        <w:rPr>
          <w:rFonts w:hint="eastAsia"/>
          <w:lang w:val="en-US" w:eastAsia="zh-CN"/>
        </w:rPr>
      </w:pPr>
    </w:p>
    <w:p w14:paraId="3DD1BFCE">
      <w:pPr>
        <w:bidi w:val="0"/>
        <w:rPr>
          <w:rFonts w:hint="eastAsia"/>
          <w:lang w:val="en-US" w:eastAsia="zh-CN"/>
        </w:rPr>
      </w:pPr>
      <w:r>
        <w:rPr>
          <w:rFonts w:hint="eastAsia"/>
          <w:lang w:val="en-US" w:eastAsia="zh-CN"/>
        </w:rPr>
        <w:t>18:4 377</w:t>
      </w:r>
    </w:p>
    <w:p w14:paraId="2A1F3F59">
      <w:pPr>
        <w:bidi w:val="0"/>
        <w:rPr>
          <w:rFonts w:hint="eastAsia"/>
          <w:lang w:val="en-US" w:eastAsia="zh-CN"/>
        </w:rPr>
      </w:pPr>
    </w:p>
    <w:p w14:paraId="632382C0">
      <w:pPr>
        <w:bidi w:val="0"/>
        <w:rPr>
          <w:rFonts w:hint="eastAsia"/>
          <w:lang w:val="en-US" w:eastAsia="zh-CN"/>
        </w:rPr>
      </w:pPr>
      <w:r>
        <w:rPr>
          <w:rFonts w:hint="eastAsia"/>
          <w:lang w:val="en-US" w:eastAsia="zh-CN"/>
        </w:rPr>
        <w:t>18:4 377</w:t>
      </w:r>
    </w:p>
    <w:p w14:paraId="0745968B">
      <w:pPr>
        <w:bidi w:val="0"/>
        <w:rPr>
          <w:rFonts w:hint="eastAsia"/>
          <w:lang w:val="en-US" w:eastAsia="zh-CN"/>
        </w:rPr>
      </w:pPr>
    </w:p>
    <w:p w14:paraId="66A8BEAB">
      <w:pPr>
        <w:bidi w:val="0"/>
        <w:rPr>
          <w:rFonts w:hint="eastAsia"/>
          <w:lang w:val="en-US" w:eastAsia="zh-CN"/>
        </w:rPr>
      </w:pPr>
      <w:r>
        <w:rPr>
          <w:rFonts w:hint="eastAsia"/>
          <w:lang w:val="en-US" w:eastAsia="zh-CN"/>
        </w:rPr>
        <w:t>19:8-11 143</w:t>
      </w:r>
    </w:p>
    <w:p w14:paraId="03D42766">
      <w:pPr>
        <w:bidi w:val="0"/>
        <w:rPr>
          <w:rFonts w:hint="eastAsia"/>
          <w:lang w:val="en-US" w:eastAsia="zh-CN"/>
        </w:rPr>
      </w:pPr>
    </w:p>
    <w:p w14:paraId="7E3D6E7C">
      <w:pPr>
        <w:bidi w:val="0"/>
        <w:rPr>
          <w:rFonts w:hint="eastAsia"/>
          <w:lang w:val="en-US" w:eastAsia="zh-CN"/>
        </w:rPr>
      </w:pPr>
      <w:r>
        <w:rPr>
          <w:rFonts w:hint="eastAsia"/>
          <w:lang w:val="en-US" w:eastAsia="zh-CN"/>
        </w:rPr>
        <w:t>19:8-11 143</w:t>
      </w:r>
    </w:p>
    <w:p w14:paraId="52F29BEF">
      <w:pPr>
        <w:bidi w:val="0"/>
        <w:rPr>
          <w:rFonts w:hint="eastAsia"/>
          <w:lang w:val="en-US" w:eastAsia="zh-CN"/>
        </w:rPr>
      </w:pPr>
    </w:p>
    <w:p w14:paraId="4E714CCE">
      <w:pPr>
        <w:bidi w:val="0"/>
        <w:rPr>
          <w:rFonts w:hint="eastAsia"/>
          <w:lang w:val="en-US" w:eastAsia="zh-CN"/>
        </w:rPr>
      </w:pPr>
      <w:r>
        <w:rPr>
          <w:rFonts w:hint="eastAsia"/>
          <w:lang w:val="en-US" w:eastAsia="zh-CN"/>
        </w:rPr>
        <w:t>22:1f 87, 191, 208-9,</w:t>
      </w:r>
    </w:p>
    <w:p w14:paraId="5B6BB795">
      <w:pPr>
        <w:bidi w:val="0"/>
        <w:rPr>
          <w:rFonts w:hint="eastAsia"/>
          <w:lang w:val="en-US" w:eastAsia="zh-CN"/>
        </w:rPr>
      </w:pPr>
    </w:p>
    <w:p w14:paraId="1A2071B7">
      <w:pPr>
        <w:bidi w:val="0"/>
        <w:rPr>
          <w:rFonts w:hint="eastAsia"/>
          <w:lang w:val="en-US" w:eastAsia="zh-CN"/>
        </w:rPr>
      </w:pPr>
      <w:r>
        <w:rPr>
          <w:rFonts w:hint="eastAsia"/>
          <w:lang w:val="en-US" w:eastAsia="zh-CN"/>
        </w:rPr>
        <w:t>22:1f 87, 191, 208-9,</w:t>
      </w:r>
    </w:p>
    <w:p w14:paraId="26987CA0">
      <w:pPr>
        <w:bidi w:val="0"/>
        <w:rPr>
          <w:rFonts w:hint="eastAsia"/>
          <w:lang w:val="en-US" w:eastAsia="zh-CN"/>
        </w:rPr>
      </w:pPr>
    </w:p>
    <w:p w14:paraId="629E36D7">
      <w:pPr>
        <w:bidi w:val="0"/>
        <w:rPr>
          <w:rFonts w:hint="eastAsia"/>
          <w:lang w:val="en-US" w:eastAsia="zh-CN"/>
        </w:rPr>
      </w:pPr>
      <w:r>
        <w:rPr>
          <w:rFonts w:hint="eastAsia"/>
          <w:lang w:val="en-US" w:eastAsia="zh-CN"/>
        </w:rPr>
        <w:t>23:4 311</w:t>
      </w:r>
    </w:p>
    <w:p w14:paraId="1C2CB652">
      <w:pPr>
        <w:bidi w:val="0"/>
        <w:rPr>
          <w:rFonts w:hint="eastAsia"/>
          <w:lang w:val="en-US" w:eastAsia="zh-CN"/>
        </w:rPr>
      </w:pPr>
    </w:p>
    <w:p w14:paraId="3C3822ED">
      <w:pPr>
        <w:bidi w:val="0"/>
        <w:rPr>
          <w:rFonts w:hint="eastAsia"/>
          <w:lang w:val="en-US" w:eastAsia="zh-CN"/>
        </w:rPr>
      </w:pPr>
      <w:r>
        <w:rPr>
          <w:rFonts w:hint="eastAsia"/>
          <w:lang w:val="en-US" w:eastAsia="zh-CN"/>
        </w:rPr>
        <w:t>23:4 311</w:t>
      </w:r>
    </w:p>
    <w:p w14:paraId="3CB921F5">
      <w:pPr>
        <w:bidi w:val="0"/>
        <w:rPr>
          <w:rFonts w:hint="eastAsia"/>
          <w:lang w:val="en-US" w:eastAsia="zh-CN"/>
        </w:rPr>
      </w:pPr>
    </w:p>
    <w:p w14:paraId="57771E99">
      <w:pPr>
        <w:bidi w:val="0"/>
        <w:rPr>
          <w:rFonts w:hint="eastAsia"/>
          <w:lang w:val="en-US" w:eastAsia="zh-CN"/>
        </w:rPr>
      </w:pPr>
      <w:r>
        <w:rPr>
          <w:rFonts w:hint="eastAsia"/>
          <w:lang w:val="en-US" w:eastAsia="zh-CN"/>
        </w:rPr>
        <w:t>29:10 85, 113</w:t>
      </w:r>
    </w:p>
    <w:p w14:paraId="719FCEE5">
      <w:pPr>
        <w:bidi w:val="0"/>
        <w:rPr>
          <w:rFonts w:hint="eastAsia"/>
          <w:lang w:val="en-US" w:eastAsia="zh-CN"/>
        </w:rPr>
      </w:pPr>
    </w:p>
    <w:p w14:paraId="6FE45DAD">
      <w:pPr>
        <w:bidi w:val="0"/>
        <w:rPr>
          <w:rFonts w:hint="eastAsia"/>
          <w:lang w:val="en-US" w:eastAsia="zh-CN"/>
        </w:rPr>
      </w:pPr>
      <w:r>
        <w:rPr>
          <w:rFonts w:hint="eastAsia"/>
          <w:lang w:val="en-US" w:eastAsia="zh-CN"/>
        </w:rPr>
        <w:t>29:10 85, 113</w:t>
      </w:r>
    </w:p>
    <w:p w14:paraId="791D2081">
      <w:pPr>
        <w:bidi w:val="0"/>
        <w:rPr>
          <w:rFonts w:hint="eastAsia"/>
          <w:lang w:val="en-US" w:eastAsia="zh-CN"/>
        </w:rPr>
      </w:pPr>
    </w:p>
    <w:p w14:paraId="4E3DCF63">
      <w:pPr>
        <w:bidi w:val="0"/>
        <w:rPr>
          <w:rFonts w:hint="eastAsia"/>
          <w:lang w:val="en-US" w:eastAsia="zh-CN"/>
        </w:rPr>
      </w:pPr>
      <w:r>
        <w:rPr>
          <w:rFonts w:hint="eastAsia"/>
          <w:lang w:val="en-US" w:eastAsia="zh-CN"/>
        </w:rPr>
        <w:t>40:6 94</w:t>
      </w:r>
    </w:p>
    <w:p w14:paraId="04DF1CEE">
      <w:pPr>
        <w:bidi w:val="0"/>
        <w:rPr>
          <w:rFonts w:hint="eastAsia"/>
          <w:lang w:val="en-US" w:eastAsia="zh-CN"/>
        </w:rPr>
      </w:pPr>
    </w:p>
    <w:p w14:paraId="65100D5E">
      <w:pPr>
        <w:bidi w:val="0"/>
        <w:rPr>
          <w:rFonts w:hint="eastAsia"/>
          <w:lang w:val="en-US" w:eastAsia="zh-CN"/>
        </w:rPr>
      </w:pPr>
      <w:r>
        <w:rPr>
          <w:rFonts w:hint="eastAsia"/>
          <w:lang w:val="en-US" w:eastAsia="zh-CN"/>
        </w:rPr>
        <w:t>40:6 94</w:t>
      </w:r>
    </w:p>
    <w:p w14:paraId="381FB032">
      <w:pPr>
        <w:bidi w:val="0"/>
        <w:rPr>
          <w:rFonts w:hint="eastAsia"/>
          <w:lang w:val="en-US" w:eastAsia="zh-CN"/>
        </w:rPr>
      </w:pPr>
    </w:p>
    <w:p w14:paraId="7C69285F">
      <w:pPr>
        <w:bidi w:val="0"/>
        <w:rPr>
          <w:rFonts w:hint="eastAsia"/>
          <w:lang w:val="en-US" w:eastAsia="zh-CN"/>
        </w:rPr>
      </w:pPr>
      <w:r>
        <w:rPr>
          <w:rFonts w:hint="eastAsia"/>
          <w:lang w:val="en-US" w:eastAsia="zh-CN"/>
        </w:rPr>
        <w:t>45:1f 119, 442,</w:t>
      </w:r>
    </w:p>
    <w:p w14:paraId="3EA9A6E9">
      <w:pPr>
        <w:bidi w:val="0"/>
        <w:rPr>
          <w:rFonts w:hint="eastAsia"/>
          <w:lang w:val="en-US" w:eastAsia="zh-CN"/>
        </w:rPr>
      </w:pPr>
    </w:p>
    <w:p w14:paraId="0AF06BE1">
      <w:pPr>
        <w:bidi w:val="0"/>
        <w:rPr>
          <w:rFonts w:hint="eastAsia"/>
          <w:lang w:val="en-US" w:eastAsia="zh-CN"/>
        </w:rPr>
      </w:pPr>
      <w:r>
        <w:rPr>
          <w:rFonts w:hint="eastAsia"/>
          <w:lang w:val="en-US" w:eastAsia="zh-CN"/>
        </w:rPr>
        <w:t>45:1f 119, 442,</w:t>
      </w:r>
    </w:p>
    <w:p w14:paraId="0E41A9AB">
      <w:pPr>
        <w:bidi w:val="0"/>
        <w:rPr>
          <w:rFonts w:hint="eastAsia"/>
          <w:lang w:val="en-US" w:eastAsia="zh-CN"/>
        </w:rPr>
      </w:pPr>
    </w:p>
    <w:p w14:paraId="2D65D5B7">
      <w:pPr>
        <w:bidi w:val="0"/>
        <w:rPr>
          <w:rFonts w:hint="eastAsia"/>
          <w:lang w:val="en-US" w:eastAsia="zh-CN"/>
        </w:rPr>
      </w:pPr>
      <w:r>
        <w:rPr>
          <w:rFonts w:hint="eastAsia"/>
          <w:lang w:val="en-US" w:eastAsia="zh-CN"/>
        </w:rPr>
        <w:t>46:1f 347, 399</w:t>
      </w:r>
    </w:p>
    <w:p w14:paraId="04F21839">
      <w:pPr>
        <w:bidi w:val="0"/>
        <w:rPr>
          <w:rFonts w:hint="eastAsia"/>
          <w:lang w:val="en-US" w:eastAsia="zh-CN"/>
        </w:rPr>
      </w:pPr>
    </w:p>
    <w:p w14:paraId="698BE521">
      <w:pPr>
        <w:bidi w:val="0"/>
        <w:rPr>
          <w:rFonts w:hint="eastAsia"/>
          <w:lang w:val="en-US" w:eastAsia="zh-CN"/>
        </w:rPr>
      </w:pPr>
      <w:r>
        <w:rPr>
          <w:rFonts w:hint="eastAsia"/>
          <w:lang w:val="en-US" w:eastAsia="zh-CN"/>
        </w:rPr>
        <w:t>46:1f 347, 399</w:t>
      </w:r>
    </w:p>
    <w:p w14:paraId="2080C662">
      <w:pPr>
        <w:bidi w:val="0"/>
        <w:rPr>
          <w:rFonts w:hint="eastAsia"/>
          <w:lang w:val="en-US" w:eastAsia="zh-CN"/>
        </w:rPr>
      </w:pPr>
    </w:p>
    <w:p w14:paraId="1C19D50A">
      <w:pPr>
        <w:bidi w:val="0"/>
        <w:rPr>
          <w:rFonts w:hint="eastAsia"/>
          <w:lang w:val="en-US" w:eastAsia="zh-CN"/>
        </w:rPr>
      </w:pPr>
      <w:r>
        <w:rPr>
          <w:rFonts w:hint="eastAsia"/>
          <w:lang w:val="en-US" w:eastAsia="zh-CN"/>
        </w:rPr>
        <w:t>48:1f 88, 396</w:t>
      </w:r>
    </w:p>
    <w:p w14:paraId="4489D67F">
      <w:pPr>
        <w:bidi w:val="0"/>
        <w:rPr>
          <w:rFonts w:hint="eastAsia"/>
          <w:lang w:val="en-US" w:eastAsia="zh-CN"/>
        </w:rPr>
      </w:pPr>
    </w:p>
    <w:p w14:paraId="7AA79828">
      <w:pPr>
        <w:bidi w:val="0"/>
        <w:rPr>
          <w:rFonts w:hint="eastAsia"/>
          <w:lang w:val="en-US" w:eastAsia="zh-CN"/>
        </w:rPr>
      </w:pPr>
      <w:r>
        <w:rPr>
          <w:rFonts w:hint="eastAsia"/>
          <w:lang w:val="en-US" w:eastAsia="zh-CN"/>
        </w:rPr>
        <w:t>48:1f 88, 396</w:t>
      </w:r>
    </w:p>
    <w:p w14:paraId="34460649">
      <w:pPr>
        <w:bidi w:val="0"/>
        <w:rPr>
          <w:rFonts w:hint="eastAsia"/>
          <w:lang w:val="en-US" w:eastAsia="zh-CN"/>
        </w:rPr>
      </w:pPr>
    </w:p>
    <w:p w14:paraId="6E58DFB0">
      <w:pPr>
        <w:bidi w:val="0"/>
        <w:rPr>
          <w:rFonts w:hint="eastAsia"/>
          <w:lang w:val="en-US" w:eastAsia="zh-CN"/>
        </w:rPr>
      </w:pPr>
      <w:r>
        <w:rPr>
          <w:rFonts w:hint="eastAsia"/>
          <w:lang w:val="en-US" w:eastAsia="zh-CN"/>
        </w:rPr>
        <w:t>72:1f 87, 197, 208, 284, 348</w:t>
      </w:r>
    </w:p>
    <w:p w14:paraId="107953E1">
      <w:pPr>
        <w:bidi w:val="0"/>
        <w:rPr>
          <w:rFonts w:hint="eastAsia"/>
          <w:lang w:val="en-US" w:eastAsia="zh-CN"/>
        </w:rPr>
      </w:pPr>
    </w:p>
    <w:p w14:paraId="39780BE5">
      <w:pPr>
        <w:bidi w:val="0"/>
        <w:rPr>
          <w:rFonts w:hint="eastAsia"/>
          <w:lang w:val="en-US" w:eastAsia="zh-CN"/>
        </w:rPr>
      </w:pPr>
      <w:r>
        <w:rPr>
          <w:rFonts w:hint="eastAsia"/>
          <w:lang w:val="en-US" w:eastAsia="zh-CN"/>
        </w:rPr>
        <w:t>72:1f 87, 197, 208, 284, 348</w:t>
      </w:r>
    </w:p>
    <w:p w14:paraId="6BCAFED7">
      <w:pPr>
        <w:bidi w:val="0"/>
        <w:rPr>
          <w:rFonts w:hint="eastAsia"/>
          <w:lang w:val="en-US" w:eastAsia="zh-CN"/>
        </w:rPr>
      </w:pPr>
    </w:p>
    <w:p w14:paraId="49575733">
      <w:pPr>
        <w:bidi w:val="0"/>
        <w:rPr>
          <w:rFonts w:hint="eastAsia"/>
          <w:lang w:val="en-US" w:eastAsia="zh-CN"/>
        </w:rPr>
      </w:pPr>
      <w:r>
        <w:rPr>
          <w:rFonts w:hint="eastAsia"/>
          <w:lang w:val="en-US" w:eastAsia="zh-CN"/>
        </w:rPr>
        <w:t>73:1f 507</w:t>
      </w:r>
    </w:p>
    <w:p w14:paraId="46C6F3A2">
      <w:pPr>
        <w:bidi w:val="0"/>
        <w:rPr>
          <w:rFonts w:hint="eastAsia"/>
          <w:lang w:val="en-US" w:eastAsia="zh-CN"/>
        </w:rPr>
      </w:pPr>
    </w:p>
    <w:p w14:paraId="468C8DA2">
      <w:pPr>
        <w:bidi w:val="0"/>
        <w:rPr>
          <w:rFonts w:hint="eastAsia"/>
          <w:lang w:val="en-US" w:eastAsia="zh-CN"/>
        </w:rPr>
      </w:pPr>
      <w:r>
        <w:rPr>
          <w:rFonts w:hint="eastAsia"/>
          <w:lang w:val="en-US" w:eastAsia="zh-CN"/>
        </w:rPr>
        <w:t>73:1f 507</w:t>
      </w:r>
    </w:p>
    <w:p w14:paraId="09883F8D">
      <w:pPr>
        <w:bidi w:val="0"/>
        <w:rPr>
          <w:rFonts w:hint="eastAsia"/>
          <w:lang w:val="en-US" w:eastAsia="zh-CN"/>
        </w:rPr>
      </w:pPr>
    </w:p>
    <w:p w14:paraId="582F791B">
      <w:pPr>
        <w:bidi w:val="0"/>
        <w:rPr>
          <w:rFonts w:hint="eastAsia"/>
          <w:lang w:val="en-US" w:eastAsia="zh-CN"/>
        </w:rPr>
      </w:pPr>
      <w:r>
        <w:rPr>
          <w:rFonts w:hint="eastAsia"/>
          <w:lang w:val="en-US" w:eastAsia="zh-CN"/>
        </w:rPr>
        <w:t>78: 2, 52 231, 245</w:t>
      </w:r>
    </w:p>
    <w:p w14:paraId="2BAD43D1">
      <w:pPr>
        <w:bidi w:val="0"/>
        <w:rPr>
          <w:rFonts w:hint="eastAsia"/>
          <w:lang w:val="en-US" w:eastAsia="zh-CN"/>
        </w:rPr>
      </w:pPr>
    </w:p>
    <w:p w14:paraId="4923BC24">
      <w:pPr>
        <w:bidi w:val="0"/>
        <w:rPr>
          <w:rFonts w:hint="eastAsia"/>
          <w:lang w:val="en-US" w:eastAsia="zh-CN"/>
        </w:rPr>
      </w:pPr>
      <w:r>
        <w:rPr>
          <w:rFonts w:hint="eastAsia"/>
          <w:lang w:val="en-US" w:eastAsia="zh-CN"/>
        </w:rPr>
        <w:t>78: 2, 52 231, 245</w:t>
      </w:r>
    </w:p>
    <w:p w14:paraId="0810CF4D">
      <w:pPr>
        <w:bidi w:val="0"/>
        <w:rPr>
          <w:rFonts w:hint="eastAsia"/>
          <w:lang w:val="en-US" w:eastAsia="zh-CN"/>
        </w:rPr>
      </w:pPr>
    </w:p>
    <w:p w14:paraId="45DD66B4">
      <w:pPr>
        <w:bidi w:val="0"/>
        <w:rPr>
          <w:rFonts w:hint="eastAsia"/>
          <w:lang w:val="en-US" w:eastAsia="zh-CN"/>
        </w:rPr>
      </w:pPr>
      <w:r>
        <w:rPr>
          <w:rFonts w:hint="eastAsia"/>
          <w:lang w:val="en-US" w:eastAsia="zh-CN"/>
        </w:rPr>
        <w:t>89:1f 197, 345</w:t>
      </w:r>
    </w:p>
    <w:p w14:paraId="4D4EBC14">
      <w:pPr>
        <w:bidi w:val="0"/>
        <w:rPr>
          <w:rFonts w:hint="eastAsia"/>
          <w:lang w:val="en-US" w:eastAsia="zh-CN"/>
        </w:rPr>
      </w:pPr>
    </w:p>
    <w:p w14:paraId="2159429E">
      <w:pPr>
        <w:bidi w:val="0"/>
        <w:rPr>
          <w:rFonts w:hint="eastAsia"/>
          <w:lang w:val="en-US" w:eastAsia="zh-CN"/>
        </w:rPr>
      </w:pPr>
      <w:r>
        <w:rPr>
          <w:rFonts w:hint="eastAsia"/>
          <w:lang w:val="en-US" w:eastAsia="zh-CN"/>
        </w:rPr>
        <w:t>89:1f 197, 345</w:t>
      </w:r>
    </w:p>
    <w:p w14:paraId="39E01B4E">
      <w:pPr>
        <w:bidi w:val="0"/>
        <w:rPr>
          <w:rFonts w:hint="eastAsia"/>
          <w:lang w:val="en-US" w:eastAsia="zh-CN"/>
        </w:rPr>
      </w:pPr>
    </w:p>
    <w:p w14:paraId="124AE6C9">
      <w:pPr>
        <w:bidi w:val="0"/>
        <w:rPr>
          <w:rFonts w:hint="eastAsia"/>
          <w:lang w:val="en-US" w:eastAsia="zh-CN"/>
        </w:rPr>
      </w:pPr>
      <w:r>
        <w:rPr>
          <w:rFonts w:hint="eastAsia"/>
          <w:lang w:val="en-US" w:eastAsia="zh-CN"/>
        </w:rPr>
        <w:t>90:4 587</w:t>
      </w:r>
    </w:p>
    <w:p w14:paraId="338E3F48">
      <w:pPr>
        <w:bidi w:val="0"/>
        <w:rPr>
          <w:rFonts w:hint="eastAsia"/>
          <w:lang w:val="en-US" w:eastAsia="zh-CN"/>
        </w:rPr>
      </w:pPr>
    </w:p>
    <w:p w14:paraId="3B86A45A">
      <w:pPr>
        <w:bidi w:val="0"/>
        <w:rPr>
          <w:rFonts w:hint="eastAsia"/>
          <w:lang w:val="en-US" w:eastAsia="zh-CN"/>
        </w:rPr>
      </w:pPr>
      <w:r>
        <w:rPr>
          <w:rFonts w:hint="eastAsia"/>
          <w:lang w:val="en-US" w:eastAsia="zh-CN"/>
        </w:rPr>
        <w:t>90:4 587</w:t>
      </w:r>
    </w:p>
    <w:p w14:paraId="0CF15A64">
      <w:pPr>
        <w:bidi w:val="0"/>
        <w:rPr>
          <w:rFonts w:hint="eastAsia"/>
          <w:lang w:val="en-US" w:eastAsia="zh-CN"/>
        </w:rPr>
      </w:pPr>
    </w:p>
    <w:p w14:paraId="5A043269">
      <w:pPr>
        <w:bidi w:val="0"/>
        <w:rPr>
          <w:rFonts w:hint="eastAsia"/>
          <w:lang w:val="en-US" w:eastAsia="zh-CN"/>
        </w:rPr>
      </w:pPr>
      <w:r>
        <w:rPr>
          <w:rFonts w:hint="eastAsia"/>
          <w:lang w:val="en-US" w:eastAsia="zh-CN"/>
        </w:rPr>
        <w:t>96:4-13 222</w:t>
      </w:r>
    </w:p>
    <w:p w14:paraId="160D80E4">
      <w:pPr>
        <w:bidi w:val="0"/>
        <w:rPr>
          <w:rFonts w:hint="eastAsia"/>
          <w:lang w:val="en-US" w:eastAsia="zh-CN"/>
        </w:rPr>
      </w:pPr>
    </w:p>
    <w:p w14:paraId="36FEFA73">
      <w:pPr>
        <w:bidi w:val="0"/>
        <w:rPr>
          <w:rFonts w:hint="eastAsia"/>
          <w:lang w:val="en-US" w:eastAsia="zh-CN"/>
        </w:rPr>
      </w:pPr>
      <w:r>
        <w:rPr>
          <w:rFonts w:hint="eastAsia"/>
          <w:lang w:val="en-US" w:eastAsia="zh-CN"/>
        </w:rPr>
        <w:t>96:4-13 222</w:t>
      </w:r>
    </w:p>
    <w:p w14:paraId="0800941A">
      <w:pPr>
        <w:bidi w:val="0"/>
        <w:rPr>
          <w:rFonts w:hint="eastAsia"/>
          <w:lang w:val="en-US" w:eastAsia="zh-CN"/>
        </w:rPr>
      </w:pPr>
    </w:p>
    <w:p w14:paraId="1D1F9272">
      <w:pPr>
        <w:bidi w:val="0"/>
        <w:rPr>
          <w:rFonts w:hint="eastAsia"/>
          <w:lang w:val="en-US" w:eastAsia="zh-CN"/>
        </w:rPr>
      </w:pPr>
      <w:r>
        <w:rPr>
          <w:rFonts w:hint="eastAsia"/>
          <w:lang w:val="en-US" w:eastAsia="zh-CN"/>
        </w:rPr>
        <w:t>97:5 397</w:t>
      </w:r>
    </w:p>
    <w:p w14:paraId="63C346A8">
      <w:pPr>
        <w:bidi w:val="0"/>
        <w:rPr>
          <w:rFonts w:hint="eastAsia"/>
          <w:lang w:val="en-US" w:eastAsia="zh-CN"/>
        </w:rPr>
      </w:pPr>
    </w:p>
    <w:p w14:paraId="44979A8D">
      <w:pPr>
        <w:bidi w:val="0"/>
        <w:rPr>
          <w:rFonts w:hint="eastAsia"/>
          <w:lang w:val="en-US" w:eastAsia="zh-CN"/>
        </w:rPr>
      </w:pPr>
      <w:r>
        <w:rPr>
          <w:rFonts w:hint="eastAsia"/>
          <w:lang w:val="en-US" w:eastAsia="zh-CN"/>
        </w:rPr>
        <w:t>97:5 397</w:t>
      </w:r>
    </w:p>
    <w:p w14:paraId="381E0C77">
      <w:pPr>
        <w:bidi w:val="0"/>
        <w:rPr>
          <w:rFonts w:hint="eastAsia"/>
          <w:lang w:val="en-US" w:eastAsia="zh-CN"/>
        </w:rPr>
      </w:pPr>
    </w:p>
    <w:p w14:paraId="2786AB73">
      <w:pPr>
        <w:bidi w:val="0"/>
        <w:rPr>
          <w:rFonts w:hint="eastAsia"/>
          <w:lang w:val="en-US" w:eastAsia="zh-CN"/>
        </w:rPr>
      </w:pPr>
      <w:r>
        <w:rPr>
          <w:rFonts w:hint="eastAsia"/>
          <w:lang w:val="en-US" w:eastAsia="zh-CN"/>
        </w:rPr>
        <w:t>105:15 386</w:t>
      </w:r>
    </w:p>
    <w:p w14:paraId="72C7CB13">
      <w:pPr>
        <w:bidi w:val="0"/>
        <w:rPr>
          <w:rFonts w:hint="eastAsia"/>
          <w:lang w:val="en-US" w:eastAsia="zh-CN"/>
        </w:rPr>
      </w:pPr>
    </w:p>
    <w:p w14:paraId="7899CB62">
      <w:pPr>
        <w:bidi w:val="0"/>
        <w:rPr>
          <w:rFonts w:hint="eastAsia"/>
          <w:lang w:val="en-US" w:eastAsia="zh-CN"/>
        </w:rPr>
      </w:pPr>
      <w:r>
        <w:rPr>
          <w:rFonts w:hint="eastAsia"/>
          <w:lang w:val="en-US" w:eastAsia="zh-CN"/>
        </w:rPr>
        <w:t>105:15 386</w:t>
      </w:r>
    </w:p>
    <w:p w14:paraId="56559CEE">
      <w:pPr>
        <w:bidi w:val="0"/>
        <w:rPr>
          <w:rFonts w:hint="eastAsia"/>
          <w:lang w:val="en-US" w:eastAsia="zh-CN"/>
        </w:rPr>
      </w:pPr>
    </w:p>
    <w:p w14:paraId="055CE8FC">
      <w:pPr>
        <w:bidi w:val="0"/>
        <w:rPr>
          <w:rFonts w:hint="eastAsia"/>
          <w:lang w:val="en-US" w:eastAsia="zh-CN"/>
        </w:rPr>
      </w:pPr>
      <w:r>
        <w:rPr>
          <w:rFonts w:hint="eastAsia"/>
          <w:lang w:val="en-US" w:eastAsia="zh-CN"/>
        </w:rPr>
        <w:t>110:1f 10, 108, 149, 156, 197-198, 223, 245, 259, 274, 330</w:t>
      </w:r>
    </w:p>
    <w:p w14:paraId="14E266D4">
      <w:pPr>
        <w:bidi w:val="0"/>
        <w:rPr>
          <w:rFonts w:hint="eastAsia"/>
          <w:lang w:val="en-US" w:eastAsia="zh-CN"/>
        </w:rPr>
      </w:pPr>
    </w:p>
    <w:p w14:paraId="74F71B45">
      <w:pPr>
        <w:bidi w:val="0"/>
        <w:rPr>
          <w:rFonts w:hint="eastAsia"/>
          <w:lang w:val="en-US" w:eastAsia="zh-CN"/>
        </w:rPr>
      </w:pPr>
      <w:r>
        <w:rPr>
          <w:rFonts w:hint="eastAsia"/>
          <w:lang w:val="en-US" w:eastAsia="zh-CN"/>
        </w:rPr>
        <w:t>110:1f 10, 108, 149, 156, 197-198, 223, 245, 259, 274, 330</w:t>
      </w:r>
    </w:p>
    <w:p w14:paraId="7CDC7E6C">
      <w:pPr>
        <w:bidi w:val="0"/>
        <w:rPr>
          <w:rFonts w:hint="eastAsia"/>
          <w:lang w:val="en-US" w:eastAsia="zh-CN"/>
        </w:rPr>
      </w:pPr>
    </w:p>
    <w:p w14:paraId="033F0465">
      <w:pPr>
        <w:bidi w:val="0"/>
        <w:rPr>
          <w:rFonts w:hint="eastAsia"/>
          <w:lang w:val="en-US" w:eastAsia="zh-CN"/>
        </w:rPr>
      </w:pPr>
      <w:r>
        <w:rPr>
          <w:rFonts w:hint="eastAsia"/>
          <w:lang w:val="en-US" w:eastAsia="zh-CN"/>
        </w:rPr>
        <w:t>132:13-14 202, 289</w:t>
      </w:r>
    </w:p>
    <w:p w14:paraId="1B90DE01">
      <w:pPr>
        <w:bidi w:val="0"/>
        <w:rPr>
          <w:rFonts w:hint="eastAsia"/>
          <w:lang w:val="en-US" w:eastAsia="zh-CN"/>
        </w:rPr>
      </w:pPr>
    </w:p>
    <w:p w14:paraId="13125E5C">
      <w:pPr>
        <w:bidi w:val="0"/>
        <w:rPr>
          <w:rFonts w:hint="eastAsia"/>
          <w:lang w:val="en-US" w:eastAsia="zh-CN"/>
        </w:rPr>
      </w:pPr>
      <w:r>
        <w:rPr>
          <w:rFonts w:hint="eastAsia"/>
          <w:lang w:val="en-US" w:eastAsia="zh-CN"/>
        </w:rPr>
        <w:t>132:13-14 202, 289</w:t>
      </w:r>
    </w:p>
    <w:p w14:paraId="5366F794">
      <w:pPr>
        <w:bidi w:val="0"/>
        <w:rPr>
          <w:rFonts w:hint="eastAsia"/>
          <w:lang w:val="en-US" w:eastAsia="zh-CN"/>
        </w:rPr>
      </w:pPr>
    </w:p>
    <w:p w14:paraId="6E0C473D">
      <w:pPr>
        <w:bidi w:val="0"/>
        <w:rPr>
          <w:rFonts w:hint="eastAsia"/>
          <w:lang w:val="en-US" w:eastAsia="zh-CN"/>
        </w:rPr>
      </w:pPr>
      <w:r>
        <w:rPr>
          <w:rFonts w:hint="eastAsia"/>
          <w:lang w:val="en-US" w:eastAsia="zh-CN"/>
        </w:rPr>
        <w:t>136:15 120</w:t>
      </w:r>
    </w:p>
    <w:p w14:paraId="5CD101B7">
      <w:pPr>
        <w:bidi w:val="0"/>
        <w:rPr>
          <w:rFonts w:hint="eastAsia"/>
          <w:lang w:val="en-US" w:eastAsia="zh-CN"/>
        </w:rPr>
      </w:pPr>
    </w:p>
    <w:p w14:paraId="1937A59E">
      <w:pPr>
        <w:bidi w:val="0"/>
        <w:rPr>
          <w:rFonts w:hint="eastAsia"/>
          <w:lang w:val="en-US" w:eastAsia="zh-CN"/>
        </w:rPr>
      </w:pPr>
      <w:r>
        <w:rPr>
          <w:rFonts w:hint="eastAsia"/>
          <w:lang w:val="en-US" w:eastAsia="zh-CN"/>
        </w:rPr>
        <w:t>136:15 120</w:t>
      </w:r>
    </w:p>
    <w:p w14:paraId="301D89F3">
      <w:pPr>
        <w:bidi w:val="0"/>
        <w:rPr>
          <w:rFonts w:hint="eastAsia"/>
          <w:lang w:val="en-US" w:eastAsia="zh-CN"/>
        </w:rPr>
      </w:pPr>
    </w:p>
    <w:p w14:paraId="6A125492">
      <w:pPr>
        <w:bidi w:val="0"/>
        <w:rPr>
          <w:rFonts w:hint="eastAsia"/>
          <w:lang w:val="en-US" w:eastAsia="zh-CN"/>
        </w:rPr>
      </w:pPr>
      <w:r>
        <w:rPr>
          <w:rFonts w:hint="eastAsia"/>
          <w:lang w:val="en-US" w:eastAsia="zh-CN"/>
        </w:rPr>
        <w:t>145:9 331</w:t>
      </w:r>
    </w:p>
    <w:p w14:paraId="13786FFB">
      <w:pPr>
        <w:bidi w:val="0"/>
        <w:rPr>
          <w:rFonts w:hint="eastAsia"/>
          <w:lang w:val="en-US" w:eastAsia="zh-CN"/>
        </w:rPr>
      </w:pPr>
    </w:p>
    <w:p w14:paraId="165D4BE5">
      <w:pPr>
        <w:bidi w:val="0"/>
        <w:rPr>
          <w:rFonts w:hint="eastAsia"/>
          <w:lang w:val="en-US" w:eastAsia="zh-CN"/>
        </w:rPr>
      </w:pPr>
      <w:r>
        <w:rPr>
          <w:rFonts w:hint="eastAsia"/>
          <w:lang w:val="en-US" w:eastAsia="zh-CN"/>
        </w:rPr>
        <w:t>145:9 331</w:t>
      </w:r>
    </w:p>
    <w:p w14:paraId="4901EF7B">
      <w:pPr>
        <w:bidi w:val="0"/>
        <w:rPr>
          <w:rFonts w:hint="eastAsia"/>
          <w:lang w:val="en-US" w:eastAsia="zh-CN"/>
        </w:rPr>
      </w:pPr>
    </w:p>
    <w:p w14:paraId="7590A5E6">
      <w:pPr>
        <w:bidi w:val="0"/>
        <w:rPr>
          <w:rFonts w:hint="eastAsia"/>
          <w:lang w:val="en-US" w:eastAsia="zh-CN"/>
        </w:rPr>
      </w:pPr>
      <w:r>
        <w:rPr>
          <w:rFonts w:hint="eastAsia"/>
          <w:lang w:val="en-US" w:eastAsia="zh-CN"/>
        </w:rPr>
        <w:t>Proverbs</w:t>
      </w:r>
    </w:p>
    <w:p w14:paraId="6A7A39E7">
      <w:pPr>
        <w:bidi w:val="0"/>
        <w:rPr>
          <w:rFonts w:hint="eastAsia"/>
          <w:lang w:val="en-US" w:eastAsia="zh-CN"/>
        </w:rPr>
      </w:pPr>
    </w:p>
    <w:p w14:paraId="6ABFF1F7">
      <w:pPr>
        <w:bidi w:val="0"/>
        <w:rPr>
          <w:rFonts w:hint="eastAsia"/>
          <w:lang w:val="en-US" w:eastAsia="zh-CN"/>
        </w:rPr>
      </w:pPr>
      <w:r>
        <w:rPr>
          <w:rFonts w:hint="eastAsia"/>
          <w:lang w:val="en-US" w:eastAsia="zh-CN"/>
        </w:rPr>
        <w:t>箴言</w:t>
      </w:r>
    </w:p>
    <w:p w14:paraId="4C25B9D2">
      <w:pPr>
        <w:bidi w:val="0"/>
        <w:rPr>
          <w:rFonts w:hint="eastAsia"/>
          <w:lang w:val="en-US" w:eastAsia="zh-CN"/>
        </w:rPr>
      </w:pPr>
    </w:p>
    <w:p w14:paraId="352B86B5">
      <w:pPr>
        <w:bidi w:val="0"/>
        <w:rPr>
          <w:rFonts w:hint="eastAsia"/>
          <w:lang w:val="en-US" w:eastAsia="zh-CN"/>
        </w:rPr>
      </w:pPr>
      <w:r>
        <w:rPr>
          <w:rFonts w:hint="eastAsia"/>
          <w:lang w:val="en-US" w:eastAsia="zh-CN"/>
        </w:rPr>
        <w:t>12:10 331</w:t>
      </w:r>
    </w:p>
    <w:p w14:paraId="7D83DAAB">
      <w:pPr>
        <w:bidi w:val="0"/>
        <w:rPr>
          <w:rFonts w:hint="eastAsia"/>
          <w:lang w:val="en-US" w:eastAsia="zh-CN"/>
        </w:rPr>
      </w:pPr>
    </w:p>
    <w:p w14:paraId="2478BCA5">
      <w:pPr>
        <w:bidi w:val="0"/>
        <w:rPr>
          <w:rFonts w:hint="eastAsia"/>
          <w:lang w:val="en-US" w:eastAsia="zh-CN"/>
        </w:rPr>
      </w:pPr>
      <w:r>
        <w:rPr>
          <w:rFonts w:hint="eastAsia"/>
          <w:lang w:val="en-US" w:eastAsia="zh-CN"/>
        </w:rPr>
        <w:t>12:10 331</w:t>
      </w:r>
    </w:p>
    <w:p w14:paraId="6E9431BC">
      <w:pPr>
        <w:bidi w:val="0"/>
        <w:rPr>
          <w:rFonts w:hint="eastAsia"/>
          <w:lang w:val="en-US" w:eastAsia="zh-CN"/>
        </w:rPr>
      </w:pPr>
    </w:p>
    <w:p w14:paraId="3B2083CB">
      <w:pPr>
        <w:bidi w:val="0"/>
        <w:rPr>
          <w:rFonts w:hint="eastAsia"/>
          <w:lang w:val="en-US" w:eastAsia="zh-CN"/>
        </w:rPr>
      </w:pPr>
      <w:r>
        <w:rPr>
          <w:rFonts w:hint="eastAsia"/>
          <w:lang w:val="en-US" w:eastAsia="zh-CN"/>
        </w:rPr>
        <w:t>14:32 688</w:t>
      </w:r>
    </w:p>
    <w:p w14:paraId="32DB0076">
      <w:pPr>
        <w:bidi w:val="0"/>
        <w:rPr>
          <w:rFonts w:hint="eastAsia"/>
          <w:lang w:val="en-US" w:eastAsia="zh-CN"/>
        </w:rPr>
      </w:pPr>
    </w:p>
    <w:p w14:paraId="39524DB7">
      <w:pPr>
        <w:bidi w:val="0"/>
        <w:rPr>
          <w:rFonts w:hint="eastAsia"/>
          <w:lang w:val="en-US" w:eastAsia="zh-CN"/>
        </w:rPr>
      </w:pPr>
      <w:r>
        <w:rPr>
          <w:rFonts w:hint="eastAsia"/>
          <w:lang w:val="en-US" w:eastAsia="zh-CN"/>
        </w:rPr>
        <w:t>14:32 688</w:t>
      </w:r>
    </w:p>
    <w:p w14:paraId="237827BD">
      <w:pPr>
        <w:bidi w:val="0"/>
        <w:rPr>
          <w:rFonts w:hint="eastAsia"/>
          <w:lang w:val="en-US" w:eastAsia="zh-CN"/>
        </w:rPr>
      </w:pPr>
    </w:p>
    <w:p w14:paraId="54901394">
      <w:pPr>
        <w:bidi w:val="0"/>
        <w:rPr>
          <w:rFonts w:hint="eastAsia"/>
          <w:lang w:val="en-US" w:eastAsia="zh-CN"/>
        </w:rPr>
      </w:pPr>
      <w:r>
        <w:rPr>
          <w:rFonts w:hint="eastAsia"/>
          <w:lang w:val="en-US" w:eastAsia="zh-CN"/>
        </w:rPr>
        <w:t>15:24 688</w:t>
      </w:r>
    </w:p>
    <w:p w14:paraId="5B409452">
      <w:pPr>
        <w:bidi w:val="0"/>
        <w:rPr>
          <w:rFonts w:hint="eastAsia"/>
          <w:lang w:val="en-US" w:eastAsia="zh-CN"/>
        </w:rPr>
      </w:pPr>
    </w:p>
    <w:p w14:paraId="28200AB7">
      <w:pPr>
        <w:bidi w:val="0"/>
        <w:rPr>
          <w:rFonts w:hint="eastAsia"/>
          <w:lang w:val="en-US" w:eastAsia="zh-CN"/>
        </w:rPr>
      </w:pPr>
      <w:r>
        <w:rPr>
          <w:rFonts w:hint="eastAsia"/>
          <w:lang w:val="en-US" w:eastAsia="zh-CN"/>
        </w:rPr>
        <w:t>15:24 688</w:t>
      </w:r>
    </w:p>
    <w:p w14:paraId="0EF17A02">
      <w:pPr>
        <w:bidi w:val="0"/>
        <w:rPr>
          <w:rFonts w:hint="eastAsia"/>
          <w:lang w:val="en-US" w:eastAsia="zh-CN"/>
        </w:rPr>
      </w:pPr>
    </w:p>
    <w:p w14:paraId="0CADADEA">
      <w:pPr>
        <w:bidi w:val="0"/>
        <w:rPr>
          <w:rFonts w:hint="eastAsia"/>
          <w:lang w:val="en-US" w:eastAsia="zh-CN"/>
        </w:rPr>
      </w:pPr>
      <w:r>
        <w:rPr>
          <w:rFonts w:hint="eastAsia"/>
          <w:lang w:val="en-US" w:eastAsia="zh-CN"/>
        </w:rPr>
        <w:t>17:3 394</w:t>
      </w:r>
    </w:p>
    <w:p w14:paraId="27C6B035">
      <w:pPr>
        <w:bidi w:val="0"/>
        <w:rPr>
          <w:rFonts w:hint="eastAsia"/>
          <w:lang w:val="en-US" w:eastAsia="zh-CN"/>
        </w:rPr>
      </w:pPr>
    </w:p>
    <w:p w14:paraId="7C9315CB">
      <w:pPr>
        <w:bidi w:val="0"/>
        <w:rPr>
          <w:rFonts w:hint="eastAsia"/>
          <w:lang w:val="en-US" w:eastAsia="zh-CN"/>
        </w:rPr>
      </w:pPr>
      <w:r>
        <w:rPr>
          <w:rFonts w:hint="eastAsia"/>
          <w:lang w:val="en-US" w:eastAsia="zh-CN"/>
        </w:rPr>
        <w:t>17:3 394</w:t>
      </w:r>
    </w:p>
    <w:p w14:paraId="2DC2A519">
      <w:pPr>
        <w:bidi w:val="0"/>
        <w:rPr>
          <w:rFonts w:hint="eastAsia"/>
          <w:lang w:val="en-US" w:eastAsia="zh-CN"/>
        </w:rPr>
      </w:pPr>
    </w:p>
    <w:p w14:paraId="720CCDB1">
      <w:pPr>
        <w:bidi w:val="0"/>
        <w:rPr>
          <w:rFonts w:hint="eastAsia"/>
          <w:lang w:val="en-US" w:eastAsia="zh-CN"/>
        </w:rPr>
      </w:pPr>
      <w:r>
        <w:rPr>
          <w:rFonts w:hint="eastAsia"/>
          <w:lang w:val="en-US" w:eastAsia="zh-CN"/>
        </w:rPr>
        <w:t>19:3 80</w:t>
      </w:r>
    </w:p>
    <w:p w14:paraId="6AB19163">
      <w:pPr>
        <w:bidi w:val="0"/>
        <w:rPr>
          <w:rFonts w:hint="eastAsia"/>
          <w:lang w:val="en-US" w:eastAsia="zh-CN"/>
        </w:rPr>
      </w:pPr>
    </w:p>
    <w:p w14:paraId="14204440">
      <w:pPr>
        <w:bidi w:val="0"/>
        <w:rPr>
          <w:rFonts w:hint="eastAsia"/>
          <w:lang w:val="en-US" w:eastAsia="zh-CN"/>
        </w:rPr>
      </w:pPr>
      <w:r>
        <w:rPr>
          <w:rFonts w:hint="eastAsia"/>
          <w:lang w:val="en-US" w:eastAsia="zh-CN"/>
        </w:rPr>
        <w:t>19:3 80</w:t>
      </w:r>
    </w:p>
    <w:p w14:paraId="55396AB4">
      <w:pPr>
        <w:bidi w:val="0"/>
        <w:rPr>
          <w:rFonts w:hint="eastAsia"/>
          <w:lang w:val="en-US" w:eastAsia="zh-CN"/>
        </w:rPr>
      </w:pPr>
    </w:p>
    <w:p w14:paraId="47765F75">
      <w:pPr>
        <w:bidi w:val="0"/>
        <w:rPr>
          <w:rFonts w:hint="eastAsia"/>
          <w:lang w:val="en-US" w:eastAsia="zh-CN"/>
        </w:rPr>
      </w:pPr>
      <w:r>
        <w:rPr>
          <w:rFonts w:hint="eastAsia"/>
          <w:lang w:val="en-US" w:eastAsia="zh-CN"/>
        </w:rPr>
        <w:t>19:21 86</w:t>
      </w:r>
    </w:p>
    <w:p w14:paraId="5DFB21FD">
      <w:pPr>
        <w:bidi w:val="0"/>
        <w:rPr>
          <w:rFonts w:hint="eastAsia"/>
          <w:lang w:val="en-US" w:eastAsia="zh-CN"/>
        </w:rPr>
      </w:pPr>
    </w:p>
    <w:p w14:paraId="36279EFF">
      <w:pPr>
        <w:bidi w:val="0"/>
        <w:rPr>
          <w:rFonts w:hint="eastAsia"/>
          <w:lang w:val="en-US" w:eastAsia="zh-CN"/>
        </w:rPr>
      </w:pPr>
      <w:r>
        <w:rPr>
          <w:rFonts w:hint="eastAsia"/>
          <w:lang w:val="en-US" w:eastAsia="zh-CN"/>
        </w:rPr>
        <w:t>19:21 86</w:t>
      </w:r>
    </w:p>
    <w:p w14:paraId="15AE4770">
      <w:pPr>
        <w:bidi w:val="0"/>
        <w:rPr>
          <w:rFonts w:hint="eastAsia"/>
          <w:lang w:val="en-US" w:eastAsia="zh-CN"/>
        </w:rPr>
      </w:pPr>
    </w:p>
    <w:p w14:paraId="5C0802B0">
      <w:pPr>
        <w:bidi w:val="0"/>
        <w:rPr>
          <w:rFonts w:hint="eastAsia"/>
          <w:lang w:val="en-US" w:eastAsia="zh-CN"/>
        </w:rPr>
      </w:pPr>
      <w:r>
        <w:rPr>
          <w:rFonts w:hint="eastAsia"/>
          <w:lang w:val="en-US" w:eastAsia="zh-CN"/>
        </w:rPr>
        <w:t>24:16 549</w:t>
      </w:r>
    </w:p>
    <w:p w14:paraId="6EDC0918">
      <w:pPr>
        <w:bidi w:val="0"/>
        <w:rPr>
          <w:rFonts w:hint="eastAsia"/>
          <w:lang w:val="en-US" w:eastAsia="zh-CN"/>
        </w:rPr>
      </w:pPr>
    </w:p>
    <w:p w14:paraId="7CD11E2D">
      <w:pPr>
        <w:bidi w:val="0"/>
        <w:rPr>
          <w:rFonts w:hint="eastAsia"/>
          <w:lang w:val="en-US" w:eastAsia="zh-CN"/>
        </w:rPr>
      </w:pPr>
      <w:r>
        <w:rPr>
          <w:rFonts w:hint="eastAsia"/>
          <w:lang w:val="en-US" w:eastAsia="zh-CN"/>
        </w:rPr>
        <w:t>24:16 549</w:t>
      </w:r>
    </w:p>
    <w:p w14:paraId="21E1782F">
      <w:pPr>
        <w:bidi w:val="0"/>
        <w:rPr>
          <w:rFonts w:hint="eastAsia"/>
          <w:lang w:val="en-US" w:eastAsia="zh-CN"/>
        </w:rPr>
      </w:pPr>
    </w:p>
    <w:p w14:paraId="32523ED3">
      <w:pPr>
        <w:bidi w:val="0"/>
        <w:rPr>
          <w:rFonts w:hint="eastAsia"/>
          <w:lang w:val="en-US" w:eastAsia="zh-CN"/>
        </w:rPr>
      </w:pPr>
      <w:r>
        <w:rPr>
          <w:rFonts w:hint="eastAsia"/>
          <w:lang w:val="en-US" w:eastAsia="zh-CN"/>
        </w:rPr>
        <w:t>Song of Solomon</w:t>
      </w:r>
    </w:p>
    <w:p w14:paraId="0DA03C11">
      <w:pPr>
        <w:bidi w:val="0"/>
        <w:rPr>
          <w:rFonts w:hint="eastAsia"/>
          <w:lang w:val="en-US" w:eastAsia="zh-CN"/>
        </w:rPr>
      </w:pPr>
    </w:p>
    <w:p w14:paraId="48648A0A">
      <w:pPr>
        <w:bidi w:val="0"/>
        <w:rPr>
          <w:rFonts w:hint="eastAsia"/>
          <w:lang w:val="en-US" w:eastAsia="zh-CN"/>
        </w:rPr>
      </w:pPr>
      <w:r>
        <w:rPr>
          <w:rFonts w:hint="eastAsia"/>
          <w:lang w:val="en-US" w:eastAsia="zh-CN"/>
        </w:rPr>
        <w:t>雅歌</w:t>
      </w:r>
    </w:p>
    <w:p w14:paraId="38FAFC54">
      <w:pPr>
        <w:bidi w:val="0"/>
        <w:rPr>
          <w:rFonts w:hint="eastAsia"/>
          <w:lang w:val="en-US" w:eastAsia="zh-CN"/>
        </w:rPr>
      </w:pPr>
    </w:p>
    <w:p w14:paraId="1D715441">
      <w:pPr>
        <w:bidi w:val="0"/>
        <w:rPr>
          <w:rFonts w:hint="eastAsia"/>
          <w:lang w:val="en-US" w:eastAsia="zh-CN"/>
        </w:rPr>
      </w:pPr>
      <w:r>
        <w:rPr>
          <w:rFonts w:hint="eastAsia"/>
          <w:lang w:val="en-US" w:eastAsia="zh-CN"/>
        </w:rPr>
        <w:t>1:7 242</w:t>
      </w:r>
    </w:p>
    <w:p w14:paraId="571E8074">
      <w:pPr>
        <w:bidi w:val="0"/>
        <w:rPr>
          <w:rFonts w:hint="eastAsia"/>
          <w:lang w:val="en-US" w:eastAsia="zh-CN"/>
        </w:rPr>
      </w:pPr>
    </w:p>
    <w:p w14:paraId="3BA66D64">
      <w:pPr>
        <w:bidi w:val="0"/>
        <w:rPr>
          <w:rFonts w:hint="eastAsia"/>
          <w:lang w:val="en-US" w:eastAsia="zh-CN"/>
        </w:rPr>
      </w:pPr>
      <w:r>
        <w:rPr>
          <w:rFonts w:hint="eastAsia"/>
          <w:lang w:val="en-US" w:eastAsia="zh-CN"/>
        </w:rPr>
        <w:t>1:7 242</w:t>
      </w:r>
    </w:p>
    <w:p w14:paraId="6C91B1C0">
      <w:pPr>
        <w:bidi w:val="0"/>
        <w:rPr>
          <w:rFonts w:hint="eastAsia"/>
          <w:lang w:val="en-US" w:eastAsia="zh-CN"/>
        </w:rPr>
      </w:pPr>
    </w:p>
    <w:p w14:paraId="095870F4">
      <w:pPr>
        <w:bidi w:val="0"/>
        <w:rPr>
          <w:rFonts w:hint="eastAsia"/>
          <w:lang w:val="en-US" w:eastAsia="zh-CN"/>
        </w:rPr>
      </w:pPr>
      <w:r>
        <w:rPr>
          <w:rFonts w:hint="eastAsia"/>
          <w:lang w:val="en-US" w:eastAsia="zh-CN"/>
        </w:rPr>
        <w:t>3:1-4 242</w:t>
      </w:r>
    </w:p>
    <w:p w14:paraId="03C7BAEB">
      <w:pPr>
        <w:bidi w:val="0"/>
        <w:rPr>
          <w:rFonts w:hint="eastAsia"/>
          <w:lang w:val="en-US" w:eastAsia="zh-CN"/>
        </w:rPr>
      </w:pPr>
    </w:p>
    <w:p w14:paraId="2CFA5788">
      <w:pPr>
        <w:bidi w:val="0"/>
        <w:rPr>
          <w:rFonts w:hint="eastAsia"/>
          <w:lang w:val="en-US" w:eastAsia="zh-CN"/>
        </w:rPr>
      </w:pPr>
      <w:r>
        <w:rPr>
          <w:rFonts w:hint="eastAsia"/>
          <w:lang w:val="en-US" w:eastAsia="zh-CN"/>
        </w:rPr>
        <w:t>3:1-4 242</w:t>
      </w:r>
    </w:p>
    <w:p w14:paraId="2B14CBED">
      <w:pPr>
        <w:bidi w:val="0"/>
        <w:rPr>
          <w:rFonts w:hint="eastAsia"/>
          <w:lang w:val="en-US" w:eastAsia="zh-CN"/>
        </w:rPr>
      </w:pPr>
    </w:p>
    <w:p w14:paraId="67D5F511">
      <w:pPr>
        <w:bidi w:val="0"/>
        <w:rPr>
          <w:rFonts w:hint="eastAsia"/>
          <w:lang w:val="en-US" w:eastAsia="zh-CN"/>
        </w:rPr>
      </w:pPr>
      <w:r>
        <w:rPr>
          <w:rFonts w:hint="eastAsia"/>
          <w:lang w:val="en-US" w:eastAsia="zh-CN"/>
        </w:rPr>
        <w:t>Isaiah</w:t>
      </w:r>
    </w:p>
    <w:p w14:paraId="415DD2A3">
      <w:pPr>
        <w:bidi w:val="0"/>
        <w:rPr>
          <w:rFonts w:hint="eastAsia"/>
          <w:lang w:val="en-US" w:eastAsia="zh-CN"/>
        </w:rPr>
      </w:pPr>
    </w:p>
    <w:p w14:paraId="348D9435">
      <w:pPr>
        <w:bidi w:val="0"/>
        <w:rPr>
          <w:rFonts w:hint="eastAsia"/>
          <w:lang w:val="en-US" w:eastAsia="zh-CN"/>
        </w:rPr>
      </w:pPr>
      <w:r>
        <w:rPr>
          <w:rFonts w:hint="eastAsia"/>
          <w:lang w:val="en-US" w:eastAsia="zh-CN"/>
        </w:rPr>
        <w:t>以赛亚书</w:t>
      </w:r>
    </w:p>
    <w:p w14:paraId="08C239DE">
      <w:pPr>
        <w:bidi w:val="0"/>
        <w:rPr>
          <w:rFonts w:hint="eastAsia"/>
          <w:lang w:val="en-US" w:eastAsia="zh-CN"/>
        </w:rPr>
      </w:pPr>
    </w:p>
    <w:p w14:paraId="74FDDA12">
      <w:pPr>
        <w:bidi w:val="0"/>
        <w:rPr>
          <w:rFonts w:hint="eastAsia"/>
          <w:lang w:val="en-US" w:eastAsia="zh-CN"/>
        </w:rPr>
      </w:pPr>
      <w:r>
        <w:rPr>
          <w:rFonts w:hint="eastAsia"/>
          <w:lang w:val="en-US" w:eastAsia="zh-CN"/>
        </w:rPr>
        <w:t>4:2-6 285</w:t>
      </w:r>
    </w:p>
    <w:p w14:paraId="6772A435">
      <w:pPr>
        <w:bidi w:val="0"/>
        <w:rPr>
          <w:rFonts w:hint="eastAsia"/>
          <w:lang w:val="en-US" w:eastAsia="zh-CN"/>
        </w:rPr>
      </w:pPr>
    </w:p>
    <w:p w14:paraId="368129A5">
      <w:pPr>
        <w:bidi w:val="0"/>
        <w:rPr>
          <w:rFonts w:hint="eastAsia"/>
          <w:lang w:val="en-US" w:eastAsia="zh-CN"/>
        </w:rPr>
      </w:pPr>
      <w:r>
        <w:rPr>
          <w:rFonts w:hint="eastAsia"/>
          <w:lang w:val="en-US" w:eastAsia="zh-CN"/>
        </w:rPr>
        <w:t>4:2-6 285</w:t>
      </w:r>
    </w:p>
    <w:p w14:paraId="70651E7D">
      <w:pPr>
        <w:bidi w:val="0"/>
        <w:rPr>
          <w:rFonts w:hint="eastAsia"/>
          <w:lang w:val="en-US" w:eastAsia="zh-CN"/>
        </w:rPr>
      </w:pPr>
    </w:p>
    <w:p w14:paraId="0FA87EEB">
      <w:pPr>
        <w:bidi w:val="0"/>
        <w:rPr>
          <w:rFonts w:hint="eastAsia"/>
          <w:lang w:val="en-US" w:eastAsia="zh-CN"/>
        </w:rPr>
      </w:pPr>
      <w:r>
        <w:rPr>
          <w:rFonts w:hint="eastAsia"/>
          <w:lang w:val="en-US" w:eastAsia="zh-CN"/>
        </w:rPr>
        <w:t>11:1-16 287, 657</w:t>
      </w:r>
    </w:p>
    <w:p w14:paraId="56652DA2">
      <w:pPr>
        <w:bidi w:val="0"/>
        <w:rPr>
          <w:rFonts w:hint="eastAsia"/>
          <w:lang w:val="en-US" w:eastAsia="zh-CN"/>
        </w:rPr>
      </w:pPr>
    </w:p>
    <w:p w14:paraId="1B41A26A">
      <w:pPr>
        <w:bidi w:val="0"/>
        <w:rPr>
          <w:rFonts w:hint="eastAsia"/>
          <w:lang w:val="en-US" w:eastAsia="zh-CN"/>
        </w:rPr>
      </w:pPr>
      <w:r>
        <w:rPr>
          <w:rFonts w:hint="eastAsia"/>
          <w:lang w:val="en-US" w:eastAsia="zh-CN"/>
        </w:rPr>
        <w:t>11:1-16 287, 657</w:t>
      </w:r>
    </w:p>
    <w:p w14:paraId="3ADCDCAE">
      <w:pPr>
        <w:bidi w:val="0"/>
        <w:rPr>
          <w:rFonts w:hint="eastAsia"/>
          <w:lang w:val="en-US" w:eastAsia="zh-CN"/>
        </w:rPr>
      </w:pPr>
    </w:p>
    <w:p w14:paraId="1DB4F357">
      <w:pPr>
        <w:bidi w:val="0"/>
        <w:rPr>
          <w:rFonts w:hint="eastAsia"/>
          <w:lang w:val="en-US" w:eastAsia="zh-CN"/>
        </w:rPr>
      </w:pPr>
      <w:r>
        <w:rPr>
          <w:rFonts w:hint="eastAsia"/>
          <w:lang w:val="en-US" w:eastAsia="zh-CN"/>
        </w:rPr>
        <w:t>11:6-9 213</w:t>
      </w:r>
    </w:p>
    <w:p w14:paraId="05B6015B">
      <w:pPr>
        <w:bidi w:val="0"/>
        <w:rPr>
          <w:rFonts w:hint="eastAsia"/>
          <w:lang w:val="en-US" w:eastAsia="zh-CN"/>
        </w:rPr>
      </w:pPr>
    </w:p>
    <w:p w14:paraId="16C3FEC8">
      <w:pPr>
        <w:bidi w:val="0"/>
        <w:rPr>
          <w:rFonts w:hint="eastAsia"/>
          <w:lang w:val="en-US" w:eastAsia="zh-CN"/>
        </w:rPr>
      </w:pPr>
      <w:r>
        <w:rPr>
          <w:rFonts w:hint="eastAsia"/>
          <w:lang w:val="en-US" w:eastAsia="zh-CN"/>
        </w:rPr>
        <w:t>11:6-9 213</w:t>
      </w:r>
    </w:p>
    <w:p w14:paraId="6C7CAC92">
      <w:pPr>
        <w:bidi w:val="0"/>
        <w:rPr>
          <w:rFonts w:hint="eastAsia"/>
          <w:lang w:val="en-US" w:eastAsia="zh-CN"/>
        </w:rPr>
      </w:pPr>
    </w:p>
    <w:p w14:paraId="0FBF79CA">
      <w:pPr>
        <w:bidi w:val="0"/>
        <w:rPr>
          <w:rFonts w:hint="eastAsia"/>
          <w:lang w:val="en-US" w:eastAsia="zh-CN"/>
        </w:rPr>
      </w:pPr>
      <w:r>
        <w:rPr>
          <w:rFonts w:hint="eastAsia"/>
          <w:lang w:val="en-US" w:eastAsia="zh-CN"/>
        </w:rPr>
        <w:t>13:1f 222</w:t>
      </w:r>
    </w:p>
    <w:p w14:paraId="0F319281">
      <w:pPr>
        <w:bidi w:val="0"/>
        <w:rPr>
          <w:rFonts w:hint="eastAsia"/>
          <w:lang w:val="en-US" w:eastAsia="zh-CN"/>
        </w:rPr>
      </w:pPr>
    </w:p>
    <w:p w14:paraId="2FE31887">
      <w:pPr>
        <w:bidi w:val="0"/>
        <w:rPr>
          <w:rFonts w:hint="eastAsia"/>
          <w:lang w:val="en-US" w:eastAsia="zh-CN"/>
        </w:rPr>
      </w:pPr>
      <w:r>
        <w:rPr>
          <w:rFonts w:hint="eastAsia"/>
          <w:lang w:val="en-US" w:eastAsia="zh-CN"/>
        </w:rPr>
        <w:t>13:1f 222</w:t>
      </w:r>
    </w:p>
    <w:p w14:paraId="642C17F4">
      <w:pPr>
        <w:bidi w:val="0"/>
        <w:rPr>
          <w:rFonts w:hint="eastAsia"/>
          <w:lang w:val="en-US" w:eastAsia="zh-CN"/>
        </w:rPr>
      </w:pPr>
    </w:p>
    <w:p w14:paraId="50AA2215">
      <w:pPr>
        <w:bidi w:val="0"/>
        <w:rPr>
          <w:rFonts w:hint="eastAsia"/>
          <w:lang w:val="en-US" w:eastAsia="zh-CN"/>
        </w:rPr>
      </w:pPr>
      <w:r>
        <w:rPr>
          <w:rFonts w:hint="eastAsia"/>
          <w:lang w:val="en-US" w:eastAsia="zh-CN"/>
        </w:rPr>
        <w:t>14:1f 687</w:t>
      </w:r>
    </w:p>
    <w:p w14:paraId="235704C1">
      <w:pPr>
        <w:bidi w:val="0"/>
        <w:rPr>
          <w:rFonts w:hint="eastAsia"/>
          <w:lang w:val="en-US" w:eastAsia="zh-CN"/>
        </w:rPr>
      </w:pPr>
    </w:p>
    <w:p w14:paraId="01807E3D">
      <w:pPr>
        <w:bidi w:val="0"/>
        <w:rPr>
          <w:rFonts w:hint="eastAsia"/>
          <w:lang w:val="en-US" w:eastAsia="zh-CN"/>
        </w:rPr>
      </w:pPr>
      <w:r>
        <w:rPr>
          <w:rFonts w:hint="eastAsia"/>
          <w:lang w:val="en-US" w:eastAsia="zh-CN"/>
        </w:rPr>
        <w:t>14:1f 687</w:t>
      </w:r>
    </w:p>
    <w:p w14:paraId="51AEFFAF">
      <w:pPr>
        <w:bidi w:val="0"/>
        <w:rPr>
          <w:rFonts w:hint="eastAsia"/>
          <w:lang w:val="en-US" w:eastAsia="zh-CN"/>
        </w:rPr>
      </w:pPr>
    </w:p>
    <w:p w14:paraId="36A96D6A">
      <w:pPr>
        <w:bidi w:val="0"/>
        <w:rPr>
          <w:rFonts w:hint="eastAsia"/>
          <w:lang w:val="en-US" w:eastAsia="zh-CN"/>
        </w:rPr>
      </w:pPr>
      <w:r>
        <w:rPr>
          <w:rFonts w:hint="eastAsia"/>
          <w:lang w:val="en-US" w:eastAsia="zh-CN"/>
        </w:rPr>
        <w:t>19:19-25 203</w:t>
      </w:r>
    </w:p>
    <w:p w14:paraId="2E939D9F">
      <w:pPr>
        <w:bidi w:val="0"/>
        <w:rPr>
          <w:rFonts w:hint="eastAsia"/>
          <w:lang w:val="en-US" w:eastAsia="zh-CN"/>
        </w:rPr>
      </w:pPr>
    </w:p>
    <w:p w14:paraId="2C3A2F15">
      <w:pPr>
        <w:bidi w:val="0"/>
        <w:rPr>
          <w:rFonts w:hint="eastAsia"/>
          <w:lang w:val="en-US" w:eastAsia="zh-CN"/>
        </w:rPr>
      </w:pPr>
      <w:r>
        <w:rPr>
          <w:rFonts w:hint="eastAsia"/>
          <w:lang w:val="en-US" w:eastAsia="zh-CN"/>
        </w:rPr>
        <w:t>19:19-25 203</w:t>
      </w:r>
    </w:p>
    <w:p w14:paraId="7996CE4D">
      <w:pPr>
        <w:bidi w:val="0"/>
        <w:rPr>
          <w:rFonts w:hint="eastAsia"/>
          <w:lang w:val="en-US" w:eastAsia="zh-CN"/>
        </w:rPr>
      </w:pPr>
    </w:p>
    <w:p w14:paraId="6AC1A136">
      <w:pPr>
        <w:bidi w:val="0"/>
        <w:rPr>
          <w:rFonts w:hint="eastAsia"/>
          <w:lang w:val="en-US" w:eastAsia="zh-CN"/>
        </w:rPr>
      </w:pPr>
      <w:r>
        <w:rPr>
          <w:rFonts w:hint="eastAsia"/>
          <w:lang w:val="en-US" w:eastAsia="zh-CN"/>
        </w:rPr>
        <w:t>24-27 417</w:t>
      </w:r>
    </w:p>
    <w:p w14:paraId="0B4CBB16">
      <w:pPr>
        <w:bidi w:val="0"/>
        <w:rPr>
          <w:rFonts w:hint="eastAsia"/>
          <w:lang w:val="en-US" w:eastAsia="zh-CN"/>
        </w:rPr>
      </w:pPr>
    </w:p>
    <w:p w14:paraId="48D14565">
      <w:pPr>
        <w:bidi w:val="0"/>
        <w:rPr>
          <w:rFonts w:hint="eastAsia"/>
          <w:lang w:val="en-US" w:eastAsia="zh-CN"/>
        </w:rPr>
      </w:pPr>
      <w:r>
        <w:rPr>
          <w:rFonts w:hint="eastAsia"/>
          <w:lang w:val="en-US" w:eastAsia="zh-CN"/>
        </w:rPr>
        <w:t>24-27 417</w:t>
      </w:r>
    </w:p>
    <w:p w14:paraId="125C2F40">
      <w:pPr>
        <w:bidi w:val="0"/>
        <w:rPr>
          <w:rFonts w:hint="eastAsia"/>
          <w:lang w:val="en-US" w:eastAsia="zh-CN"/>
        </w:rPr>
      </w:pPr>
    </w:p>
    <w:p w14:paraId="5A550F11">
      <w:pPr>
        <w:bidi w:val="0"/>
        <w:rPr>
          <w:rFonts w:hint="eastAsia"/>
          <w:lang w:val="en-US" w:eastAsia="zh-CN"/>
        </w:rPr>
      </w:pPr>
      <w:r>
        <w:rPr>
          <w:rFonts w:hint="eastAsia"/>
          <w:lang w:val="en-US" w:eastAsia="zh-CN"/>
        </w:rPr>
        <w:t>24:21-23 291</w:t>
      </w:r>
    </w:p>
    <w:p w14:paraId="20754972">
      <w:pPr>
        <w:bidi w:val="0"/>
        <w:rPr>
          <w:rFonts w:hint="eastAsia"/>
          <w:lang w:val="en-US" w:eastAsia="zh-CN"/>
        </w:rPr>
      </w:pPr>
    </w:p>
    <w:p w14:paraId="61642608">
      <w:pPr>
        <w:bidi w:val="0"/>
        <w:rPr>
          <w:rFonts w:hint="eastAsia"/>
          <w:lang w:val="en-US" w:eastAsia="zh-CN"/>
        </w:rPr>
      </w:pPr>
      <w:r>
        <w:rPr>
          <w:rFonts w:hint="eastAsia"/>
          <w:lang w:val="en-US" w:eastAsia="zh-CN"/>
        </w:rPr>
        <w:t>24:21-23 291</w:t>
      </w:r>
    </w:p>
    <w:p w14:paraId="3759048C">
      <w:pPr>
        <w:bidi w:val="0"/>
        <w:rPr>
          <w:rFonts w:hint="eastAsia"/>
          <w:lang w:val="en-US" w:eastAsia="zh-CN"/>
        </w:rPr>
      </w:pPr>
    </w:p>
    <w:p w14:paraId="0758C5AD">
      <w:pPr>
        <w:bidi w:val="0"/>
        <w:rPr>
          <w:rFonts w:hint="eastAsia"/>
          <w:lang w:val="en-US" w:eastAsia="zh-CN"/>
        </w:rPr>
      </w:pPr>
      <w:r>
        <w:rPr>
          <w:rFonts w:hint="eastAsia"/>
          <w:lang w:val="en-US" w:eastAsia="zh-CN"/>
        </w:rPr>
        <w:t>25:6-9 214</w:t>
      </w:r>
    </w:p>
    <w:p w14:paraId="40F0DBE8">
      <w:pPr>
        <w:bidi w:val="0"/>
        <w:rPr>
          <w:rFonts w:hint="eastAsia"/>
          <w:lang w:val="en-US" w:eastAsia="zh-CN"/>
        </w:rPr>
      </w:pPr>
    </w:p>
    <w:p w14:paraId="76882DC5">
      <w:pPr>
        <w:bidi w:val="0"/>
        <w:rPr>
          <w:rFonts w:hint="eastAsia"/>
          <w:lang w:val="en-US" w:eastAsia="zh-CN"/>
        </w:rPr>
      </w:pPr>
      <w:r>
        <w:rPr>
          <w:rFonts w:hint="eastAsia"/>
          <w:lang w:val="en-US" w:eastAsia="zh-CN"/>
        </w:rPr>
        <w:t>25:6-9 214</w:t>
      </w:r>
    </w:p>
    <w:p w14:paraId="53A5CB30">
      <w:pPr>
        <w:bidi w:val="0"/>
        <w:rPr>
          <w:rFonts w:hint="eastAsia"/>
          <w:lang w:val="en-US" w:eastAsia="zh-CN"/>
        </w:rPr>
      </w:pPr>
    </w:p>
    <w:p w14:paraId="5377EDD0">
      <w:pPr>
        <w:bidi w:val="0"/>
        <w:rPr>
          <w:rFonts w:hint="eastAsia"/>
          <w:lang w:val="en-US" w:eastAsia="zh-CN"/>
        </w:rPr>
      </w:pPr>
      <w:r>
        <w:rPr>
          <w:rFonts w:hint="eastAsia"/>
          <w:lang w:val="en-US" w:eastAsia="zh-CN"/>
        </w:rPr>
        <w:t>43:5-7 217</w:t>
      </w:r>
    </w:p>
    <w:p w14:paraId="4C10B9ED">
      <w:pPr>
        <w:bidi w:val="0"/>
        <w:rPr>
          <w:rFonts w:hint="eastAsia"/>
          <w:lang w:val="en-US" w:eastAsia="zh-CN"/>
        </w:rPr>
      </w:pPr>
    </w:p>
    <w:p w14:paraId="3C345291">
      <w:pPr>
        <w:bidi w:val="0"/>
        <w:rPr>
          <w:rFonts w:hint="eastAsia"/>
          <w:lang w:val="en-US" w:eastAsia="zh-CN"/>
        </w:rPr>
      </w:pPr>
      <w:r>
        <w:rPr>
          <w:rFonts w:hint="eastAsia"/>
          <w:lang w:val="en-US" w:eastAsia="zh-CN"/>
        </w:rPr>
        <w:t>43:5-7 217</w:t>
      </w:r>
    </w:p>
    <w:p w14:paraId="0160B72E">
      <w:pPr>
        <w:bidi w:val="0"/>
        <w:rPr>
          <w:rFonts w:hint="eastAsia"/>
          <w:lang w:val="en-US" w:eastAsia="zh-CN"/>
        </w:rPr>
      </w:pPr>
    </w:p>
    <w:p w14:paraId="1E39A48C">
      <w:pPr>
        <w:bidi w:val="0"/>
        <w:rPr>
          <w:rFonts w:hint="eastAsia"/>
          <w:lang w:val="en-US" w:eastAsia="zh-CN"/>
        </w:rPr>
      </w:pPr>
      <w:r>
        <w:rPr>
          <w:rFonts w:hint="eastAsia"/>
          <w:lang w:val="en-US" w:eastAsia="zh-CN"/>
        </w:rPr>
        <w:t>49:5-7 261</w:t>
      </w:r>
    </w:p>
    <w:p w14:paraId="200FE03A">
      <w:pPr>
        <w:bidi w:val="0"/>
        <w:rPr>
          <w:rFonts w:hint="eastAsia"/>
          <w:lang w:val="en-US" w:eastAsia="zh-CN"/>
        </w:rPr>
      </w:pPr>
    </w:p>
    <w:p w14:paraId="7368C0E9">
      <w:pPr>
        <w:bidi w:val="0"/>
        <w:rPr>
          <w:rFonts w:hint="eastAsia"/>
          <w:lang w:val="en-US" w:eastAsia="zh-CN"/>
        </w:rPr>
      </w:pPr>
      <w:r>
        <w:rPr>
          <w:rFonts w:hint="eastAsia"/>
          <w:lang w:val="en-US" w:eastAsia="zh-CN"/>
        </w:rPr>
        <w:t>49:5-7 261</w:t>
      </w:r>
    </w:p>
    <w:p w14:paraId="6B8C3797">
      <w:pPr>
        <w:bidi w:val="0"/>
        <w:rPr>
          <w:rFonts w:hint="eastAsia"/>
          <w:lang w:val="en-US" w:eastAsia="zh-CN"/>
        </w:rPr>
      </w:pPr>
    </w:p>
    <w:p w14:paraId="6951F081">
      <w:pPr>
        <w:bidi w:val="0"/>
        <w:rPr>
          <w:rFonts w:hint="eastAsia"/>
          <w:lang w:val="en-US" w:eastAsia="zh-CN"/>
        </w:rPr>
      </w:pPr>
      <w:r>
        <w:rPr>
          <w:rFonts w:hint="eastAsia"/>
          <w:lang w:val="en-US" w:eastAsia="zh-CN"/>
        </w:rPr>
        <w:t>49:8 269</w:t>
      </w:r>
    </w:p>
    <w:p w14:paraId="0AD97492">
      <w:pPr>
        <w:bidi w:val="0"/>
        <w:rPr>
          <w:rFonts w:hint="eastAsia"/>
          <w:lang w:val="en-US" w:eastAsia="zh-CN"/>
        </w:rPr>
      </w:pPr>
    </w:p>
    <w:p w14:paraId="75B3E9BE">
      <w:pPr>
        <w:bidi w:val="0"/>
        <w:rPr>
          <w:rFonts w:hint="eastAsia"/>
          <w:lang w:val="en-US" w:eastAsia="zh-CN"/>
        </w:rPr>
      </w:pPr>
      <w:r>
        <w:rPr>
          <w:rFonts w:hint="eastAsia"/>
          <w:lang w:val="en-US" w:eastAsia="zh-CN"/>
        </w:rPr>
        <w:t>49:8 269</w:t>
      </w:r>
    </w:p>
    <w:p w14:paraId="69700B1E">
      <w:pPr>
        <w:bidi w:val="0"/>
        <w:rPr>
          <w:rFonts w:hint="eastAsia"/>
          <w:lang w:val="en-US" w:eastAsia="zh-CN"/>
        </w:rPr>
      </w:pPr>
    </w:p>
    <w:p w14:paraId="3714D8E3">
      <w:pPr>
        <w:bidi w:val="0"/>
        <w:rPr>
          <w:rFonts w:hint="eastAsia"/>
          <w:lang w:val="en-US" w:eastAsia="zh-CN"/>
        </w:rPr>
      </w:pPr>
      <w:r>
        <w:rPr>
          <w:rFonts w:hint="eastAsia"/>
          <w:lang w:val="en-US" w:eastAsia="zh-CN"/>
        </w:rPr>
        <w:t>53:4-12 198-199</w:t>
      </w:r>
    </w:p>
    <w:p w14:paraId="1131A4F8">
      <w:pPr>
        <w:bidi w:val="0"/>
        <w:rPr>
          <w:rFonts w:hint="eastAsia"/>
          <w:lang w:val="en-US" w:eastAsia="zh-CN"/>
        </w:rPr>
      </w:pPr>
    </w:p>
    <w:p w14:paraId="78C49361">
      <w:pPr>
        <w:bidi w:val="0"/>
        <w:rPr>
          <w:rFonts w:hint="eastAsia"/>
          <w:lang w:val="en-US" w:eastAsia="zh-CN"/>
        </w:rPr>
      </w:pPr>
      <w:r>
        <w:rPr>
          <w:rFonts w:hint="eastAsia"/>
          <w:lang w:val="en-US" w:eastAsia="zh-CN"/>
        </w:rPr>
        <w:t>53:4-12 198-199</w:t>
      </w:r>
    </w:p>
    <w:p w14:paraId="4BA6A117">
      <w:pPr>
        <w:bidi w:val="0"/>
        <w:rPr>
          <w:rFonts w:hint="eastAsia"/>
          <w:lang w:val="en-US" w:eastAsia="zh-CN"/>
        </w:rPr>
      </w:pPr>
    </w:p>
    <w:p w14:paraId="19E00347">
      <w:pPr>
        <w:bidi w:val="0"/>
        <w:rPr>
          <w:rFonts w:hint="eastAsia"/>
          <w:lang w:val="en-US" w:eastAsia="zh-CN"/>
        </w:rPr>
      </w:pPr>
      <w:r>
        <w:rPr>
          <w:rFonts w:hint="eastAsia"/>
          <w:lang w:val="en-US" w:eastAsia="zh-CN"/>
        </w:rPr>
        <w:t>54:1ff 272</w:t>
      </w:r>
    </w:p>
    <w:p w14:paraId="3A4BBD2F">
      <w:pPr>
        <w:bidi w:val="0"/>
        <w:rPr>
          <w:rFonts w:hint="eastAsia"/>
          <w:lang w:val="en-US" w:eastAsia="zh-CN"/>
        </w:rPr>
      </w:pPr>
    </w:p>
    <w:p w14:paraId="47B8A524">
      <w:pPr>
        <w:bidi w:val="0"/>
        <w:rPr>
          <w:rFonts w:hint="eastAsia"/>
          <w:lang w:val="en-US" w:eastAsia="zh-CN"/>
        </w:rPr>
      </w:pPr>
      <w:r>
        <w:rPr>
          <w:rFonts w:hint="eastAsia"/>
          <w:lang w:val="en-US" w:eastAsia="zh-CN"/>
        </w:rPr>
        <w:t>54:1ff 272</w:t>
      </w:r>
    </w:p>
    <w:p w14:paraId="744A550C">
      <w:pPr>
        <w:bidi w:val="0"/>
        <w:rPr>
          <w:rFonts w:hint="eastAsia"/>
          <w:lang w:val="en-US" w:eastAsia="zh-CN"/>
        </w:rPr>
      </w:pPr>
    </w:p>
    <w:p w14:paraId="27BCC030">
      <w:pPr>
        <w:bidi w:val="0"/>
        <w:rPr>
          <w:rFonts w:hint="eastAsia"/>
          <w:lang w:val="en-US" w:eastAsia="zh-CN"/>
        </w:rPr>
      </w:pPr>
      <w:r>
        <w:rPr>
          <w:rFonts w:hint="eastAsia"/>
          <w:lang w:val="en-US" w:eastAsia="zh-CN"/>
        </w:rPr>
        <w:t>59:15-21 267</w:t>
      </w:r>
    </w:p>
    <w:p w14:paraId="327EA6D9">
      <w:pPr>
        <w:bidi w:val="0"/>
        <w:rPr>
          <w:rFonts w:hint="eastAsia"/>
          <w:lang w:val="en-US" w:eastAsia="zh-CN"/>
        </w:rPr>
      </w:pPr>
    </w:p>
    <w:p w14:paraId="0ADD7665">
      <w:pPr>
        <w:bidi w:val="0"/>
        <w:rPr>
          <w:rFonts w:hint="eastAsia"/>
          <w:lang w:val="en-US" w:eastAsia="zh-CN"/>
        </w:rPr>
      </w:pPr>
      <w:r>
        <w:rPr>
          <w:rFonts w:hint="eastAsia"/>
          <w:lang w:val="en-US" w:eastAsia="zh-CN"/>
        </w:rPr>
        <w:t>59:15-21 267</w:t>
      </w:r>
    </w:p>
    <w:p w14:paraId="70E8C00C">
      <w:pPr>
        <w:bidi w:val="0"/>
        <w:rPr>
          <w:rFonts w:hint="eastAsia"/>
          <w:lang w:val="en-US" w:eastAsia="zh-CN"/>
        </w:rPr>
      </w:pPr>
    </w:p>
    <w:p w14:paraId="3B023AC1">
      <w:pPr>
        <w:bidi w:val="0"/>
        <w:rPr>
          <w:rFonts w:hint="eastAsia"/>
          <w:lang w:val="en-US" w:eastAsia="zh-CN"/>
        </w:rPr>
      </w:pPr>
      <w:r>
        <w:rPr>
          <w:rFonts w:hint="eastAsia"/>
          <w:lang w:val="en-US" w:eastAsia="zh-CN"/>
        </w:rPr>
        <w:t>60:1f 293</w:t>
      </w:r>
    </w:p>
    <w:p w14:paraId="436AA3B2">
      <w:pPr>
        <w:bidi w:val="0"/>
        <w:rPr>
          <w:rFonts w:hint="eastAsia"/>
          <w:lang w:val="en-US" w:eastAsia="zh-CN"/>
        </w:rPr>
      </w:pPr>
    </w:p>
    <w:p w14:paraId="2E5208AE">
      <w:pPr>
        <w:bidi w:val="0"/>
        <w:rPr>
          <w:rFonts w:hint="eastAsia"/>
          <w:lang w:val="en-US" w:eastAsia="zh-CN"/>
        </w:rPr>
      </w:pPr>
      <w:r>
        <w:rPr>
          <w:rFonts w:hint="eastAsia"/>
          <w:lang w:val="en-US" w:eastAsia="zh-CN"/>
        </w:rPr>
        <w:t>60:1f 293</w:t>
      </w:r>
    </w:p>
    <w:p w14:paraId="3408C50D">
      <w:pPr>
        <w:bidi w:val="0"/>
        <w:rPr>
          <w:rFonts w:hint="eastAsia"/>
          <w:lang w:val="en-US" w:eastAsia="zh-CN"/>
        </w:rPr>
      </w:pPr>
    </w:p>
    <w:p w14:paraId="2238D00E">
      <w:pPr>
        <w:bidi w:val="0"/>
        <w:rPr>
          <w:rFonts w:hint="eastAsia"/>
          <w:lang w:val="en-US" w:eastAsia="zh-CN"/>
        </w:rPr>
      </w:pPr>
      <w:r>
        <w:rPr>
          <w:rFonts w:hint="eastAsia"/>
          <w:lang w:val="en-US" w:eastAsia="zh-CN"/>
        </w:rPr>
        <w:t>63:1-6 224</w:t>
      </w:r>
    </w:p>
    <w:p w14:paraId="09F3CCF7">
      <w:pPr>
        <w:bidi w:val="0"/>
        <w:rPr>
          <w:rFonts w:hint="eastAsia"/>
          <w:lang w:val="en-US" w:eastAsia="zh-CN"/>
        </w:rPr>
      </w:pPr>
    </w:p>
    <w:p w14:paraId="7CC9885C">
      <w:pPr>
        <w:bidi w:val="0"/>
        <w:rPr>
          <w:rFonts w:hint="eastAsia"/>
          <w:lang w:val="en-US" w:eastAsia="zh-CN"/>
        </w:rPr>
      </w:pPr>
      <w:r>
        <w:rPr>
          <w:rFonts w:hint="eastAsia"/>
          <w:lang w:val="en-US" w:eastAsia="zh-CN"/>
        </w:rPr>
        <w:t>63:1-6 224</w:t>
      </w:r>
    </w:p>
    <w:p w14:paraId="5CA86505">
      <w:pPr>
        <w:bidi w:val="0"/>
        <w:rPr>
          <w:rFonts w:hint="eastAsia"/>
          <w:lang w:val="en-US" w:eastAsia="zh-CN"/>
        </w:rPr>
      </w:pPr>
    </w:p>
    <w:p w14:paraId="3C66DDA8">
      <w:pPr>
        <w:bidi w:val="0"/>
        <w:rPr>
          <w:rFonts w:hint="eastAsia"/>
          <w:lang w:val="en-US" w:eastAsia="zh-CN"/>
        </w:rPr>
      </w:pPr>
      <w:r>
        <w:rPr>
          <w:rFonts w:hint="eastAsia"/>
          <w:lang w:val="en-US" w:eastAsia="zh-CN"/>
        </w:rPr>
        <w:t>65:17-20 214, 277</w:t>
      </w:r>
    </w:p>
    <w:p w14:paraId="0C657699">
      <w:pPr>
        <w:bidi w:val="0"/>
        <w:rPr>
          <w:rFonts w:hint="eastAsia"/>
          <w:lang w:val="en-US" w:eastAsia="zh-CN"/>
        </w:rPr>
      </w:pPr>
    </w:p>
    <w:p w14:paraId="6E673463">
      <w:pPr>
        <w:bidi w:val="0"/>
        <w:rPr>
          <w:rFonts w:hint="eastAsia"/>
          <w:lang w:val="en-US" w:eastAsia="zh-CN"/>
        </w:rPr>
      </w:pPr>
      <w:r>
        <w:rPr>
          <w:rFonts w:hint="eastAsia"/>
          <w:lang w:val="en-US" w:eastAsia="zh-CN"/>
        </w:rPr>
        <w:t>65:17-20 214, 277</w:t>
      </w:r>
    </w:p>
    <w:p w14:paraId="205FAAB0">
      <w:pPr>
        <w:bidi w:val="0"/>
        <w:rPr>
          <w:rFonts w:hint="eastAsia"/>
          <w:lang w:val="en-US" w:eastAsia="zh-CN"/>
        </w:rPr>
      </w:pPr>
    </w:p>
    <w:p w14:paraId="063047D3">
      <w:pPr>
        <w:bidi w:val="0"/>
        <w:rPr>
          <w:rFonts w:hint="eastAsia"/>
          <w:lang w:val="en-US" w:eastAsia="zh-CN"/>
        </w:rPr>
      </w:pPr>
      <w:r>
        <w:rPr>
          <w:rFonts w:hint="eastAsia"/>
          <w:lang w:val="en-US" w:eastAsia="zh-CN"/>
        </w:rPr>
        <w:t>66:1-2 204, 260</w:t>
      </w:r>
    </w:p>
    <w:p w14:paraId="0DD9E6C6">
      <w:pPr>
        <w:bidi w:val="0"/>
        <w:rPr>
          <w:rFonts w:hint="eastAsia"/>
          <w:lang w:val="en-US" w:eastAsia="zh-CN"/>
        </w:rPr>
      </w:pPr>
    </w:p>
    <w:p w14:paraId="3F50721B">
      <w:pPr>
        <w:bidi w:val="0"/>
        <w:rPr>
          <w:rFonts w:hint="eastAsia"/>
          <w:lang w:val="en-US" w:eastAsia="zh-CN"/>
        </w:rPr>
      </w:pPr>
      <w:r>
        <w:rPr>
          <w:rFonts w:hint="eastAsia"/>
          <w:lang w:val="en-US" w:eastAsia="zh-CN"/>
        </w:rPr>
        <w:t>66:1-2 204, 260</w:t>
      </w:r>
    </w:p>
    <w:p w14:paraId="74267618">
      <w:pPr>
        <w:bidi w:val="0"/>
        <w:rPr>
          <w:rFonts w:hint="eastAsia"/>
          <w:lang w:val="en-US" w:eastAsia="zh-CN"/>
        </w:rPr>
      </w:pPr>
    </w:p>
    <w:p w14:paraId="788F144F">
      <w:pPr>
        <w:bidi w:val="0"/>
        <w:rPr>
          <w:rFonts w:hint="eastAsia"/>
          <w:lang w:val="en-US" w:eastAsia="zh-CN"/>
        </w:rPr>
      </w:pPr>
      <w:r>
        <w:rPr>
          <w:rFonts w:hint="eastAsia"/>
          <w:lang w:val="en-US" w:eastAsia="zh-CN"/>
        </w:rPr>
        <w:t>66:1ff 296</w:t>
      </w:r>
    </w:p>
    <w:p w14:paraId="56C3F7C9">
      <w:pPr>
        <w:bidi w:val="0"/>
        <w:rPr>
          <w:rFonts w:hint="eastAsia"/>
          <w:lang w:val="en-US" w:eastAsia="zh-CN"/>
        </w:rPr>
      </w:pPr>
    </w:p>
    <w:p w14:paraId="70C8C1DE">
      <w:pPr>
        <w:bidi w:val="0"/>
        <w:rPr>
          <w:rFonts w:hint="eastAsia"/>
          <w:lang w:val="en-US" w:eastAsia="zh-CN"/>
        </w:rPr>
      </w:pPr>
      <w:r>
        <w:rPr>
          <w:rFonts w:hint="eastAsia"/>
          <w:lang w:val="en-US" w:eastAsia="zh-CN"/>
        </w:rPr>
        <w:t>66:1ff 296</w:t>
      </w:r>
    </w:p>
    <w:p w14:paraId="565D3335">
      <w:pPr>
        <w:bidi w:val="0"/>
        <w:rPr>
          <w:rFonts w:hint="eastAsia"/>
          <w:lang w:val="en-US" w:eastAsia="zh-CN"/>
        </w:rPr>
      </w:pPr>
    </w:p>
    <w:p w14:paraId="31B62963">
      <w:pPr>
        <w:bidi w:val="0"/>
        <w:rPr>
          <w:rFonts w:hint="eastAsia"/>
          <w:lang w:val="en-US" w:eastAsia="zh-CN"/>
        </w:rPr>
      </w:pPr>
      <w:r>
        <w:rPr>
          <w:rFonts w:hint="eastAsia"/>
          <w:lang w:val="en-US" w:eastAsia="zh-CN"/>
        </w:rPr>
        <w:t>66:22 277</w:t>
      </w:r>
    </w:p>
    <w:p w14:paraId="76815165">
      <w:pPr>
        <w:bidi w:val="0"/>
        <w:rPr>
          <w:rFonts w:hint="eastAsia"/>
          <w:lang w:val="en-US" w:eastAsia="zh-CN"/>
        </w:rPr>
      </w:pPr>
    </w:p>
    <w:p w14:paraId="25CCB0B7">
      <w:pPr>
        <w:bidi w:val="0"/>
        <w:rPr>
          <w:rFonts w:hint="eastAsia"/>
          <w:lang w:val="en-US" w:eastAsia="zh-CN"/>
        </w:rPr>
      </w:pPr>
      <w:r>
        <w:rPr>
          <w:rFonts w:hint="eastAsia"/>
          <w:lang w:val="en-US" w:eastAsia="zh-CN"/>
        </w:rPr>
        <w:t>66:22 277</w:t>
      </w:r>
    </w:p>
    <w:p w14:paraId="462D3FD0">
      <w:pPr>
        <w:bidi w:val="0"/>
        <w:rPr>
          <w:rFonts w:hint="eastAsia"/>
          <w:lang w:val="en-US" w:eastAsia="zh-CN"/>
        </w:rPr>
      </w:pPr>
    </w:p>
    <w:p w14:paraId="7FE622DC">
      <w:pPr>
        <w:bidi w:val="0"/>
        <w:rPr>
          <w:rFonts w:hint="eastAsia"/>
          <w:lang w:val="en-US" w:eastAsia="zh-CN"/>
        </w:rPr>
      </w:pPr>
      <w:r>
        <w:rPr>
          <w:rFonts w:hint="eastAsia"/>
          <w:lang w:val="en-US" w:eastAsia="zh-CN"/>
        </w:rPr>
        <w:t>Jeremiah</w:t>
      </w:r>
    </w:p>
    <w:p w14:paraId="02AA8326">
      <w:pPr>
        <w:bidi w:val="0"/>
        <w:rPr>
          <w:rFonts w:hint="eastAsia"/>
          <w:lang w:val="en-US" w:eastAsia="zh-CN"/>
        </w:rPr>
      </w:pPr>
    </w:p>
    <w:p w14:paraId="10DFBAB0">
      <w:pPr>
        <w:bidi w:val="0"/>
        <w:rPr>
          <w:rFonts w:hint="eastAsia"/>
          <w:lang w:val="en-US" w:eastAsia="zh-CN"/>
        </w:rPr>
      </w:pPr>
      <w:r>
        <w:rPr>
          <w:rFonts w:hint="eastAsia"/>
          <w:lang w:val="en-US" w:eastAsia="zh-CN"/>
        </w:rPr>
        <w:t>耶利米书</w:t>
      </w:r>
    </w:p>
    <w:p w14:paraId="53E198B0">
      <w:pPr>
        <w:bidi w:val="0"/>
        <w:rPr>
          <w:rFonts w:hint="eastAsia"/>
          <w:lang w:val="en-US" w:eastAsia="zh-CN"/>
        </w:rPr>
      </w:pPr>
    </w:p>
    <w:p w14:paraId="0013C5BD">
      <w:pPr>
        <w:bidi w:val="0"/>
        <w:rPr>
          <w:rFonts w:hint="eastAsia"/>
          <w:lang w:val="en-US" w:eastAsia="zh-CN"/>
        </w:rPr>
      </w:pPr>
      <w:r>
        <w:rPr>
          <w:rFonts w:hint="eastAsia"/>
          <w:lang w:val="en-US" w:eastAsia="zh-CN"/>
        </w:rPr>
        <w:t>3:17 203</w:t>
      </w:r>
    </w:p>
    <w:p w14:paraId="7C837A44">
      <w:pPr>
        <w:bidi w:val="0"/>
        <w:rPr>
          <w:rFonts w:hint="eastAsia"/>
          <w:lang w:val="en-US" w:eastAsia="zh-CN"/>
        </w:rPr>
      </w:pPr>
    </w:p>
    <w:p w14:paraId="1FB9117A">
      <w:pPr>
        <w:bidi w:val="0"/>
        <w:rPr>
          <w:rFonts w:hint="eastAsia"/>
          <w:lang w:val="en-US" w:eastAsia="zh-CN"/>
        </w:rPr>
      </w:pPr>
      <w:r>
        <w:rPr>
          <w:rFonts w:hint="eastAsia"/>
          <w:lang w:val="en-US" w:eastAsia="zh-CN"/>
        </w:rPr>
        <w:t>3:17 203</w:t>
      </w:r>
    </w:p>
    <w:p w14:paraId="4FD619BA">
      <w:pPr>
        <w:bidi w:val="0"/>
        <w:rPr>
          <w:rFonts w:hint="eastAsia"/>
          <w:lang w:val="en-US" w:eastAsia="zh-CN"/>
        </w:rPr>
      </w:pPr>
    </w:p>
    <w:p w14:paraId="794DA71B">
      <w:pPr>
        <w:bidi w:val="0"/>
        <w:rPr>
          <w:rFonts w:hint="eastAsia"/>
          <w:lang w:val="en-US" w:eastAsia="zh-CN"/>
        </w:rPr>
      </w:pPr>
      <w:r>
        <w:rPr>
          <w:rFonts w:hint="eastAsia"/>
          <w:lang w:val="en-US" w:eastAsia="zh-CN"/>
        </w:rPr>
        <w:t>23:1-8 301</w:t>
      </w:r>
    </w:p>
    <w:p w14:paraId="130D1858">
      <w:pPr>
        <w:bidi w:val="0"/>
        <w:rPr>
          <w:rFonts w:hint="eastAsia"/>
          <w:lang w:val="en-US" w:eastAsia="zh-CN"/>
        </w:rPr>
      </w:pPr>
    </w:p>
    <w:p w14:paraId="41EB3A8B">
      <w:pPr>
        <w:bidi w:val="0"/>
        <w:rPr>
          <w:rFonts w:hint="eastAsia"/>
          <w:lang w:val="en-US" w:eastAsia="zh-CN"/>
        </w:rPr>
      </w:pPr>
      <w:r>
        <w:rPr>
          <w:rFonts w:hint="eastAsia"/>
          <w:lang w:val="en-US" w:eastAsia="zh-CN"/>
        </w:rPr>
        <w:t>23:1-8 301</w:t>
      </w:r>
    </w:p>
    <w:p w14:paraId="24573B8D">
      <w:pPr>
        <w:bidi w:val="0"/>
        <w:rPr>
          <w:rFonts w:hint="eastAsia"/>
          <w:lang w:val="en-US" w:eastAsia="zh-CN"/>
        </w:rPr>
      </w:pPr>
    </w:p>
    <w:p w14:paraId="75779430">
      <w:pPr>
        <w:bidi w:val="0"/>
        <w:rPr>
          <w:rFonts w:hint="eastAsia"/>
          <w:lang w:val="en-US" w:eastAsia="zh-CN"/>
        </w:rPr>
      </w:pPr>
      <w:r>
        <w:rPr>
          <w:rFonts w:hint="eastAsia"/>
          <w:lang w:val="en-US" w:eastAsia="zh-CN"/>
        </w:rPr>
        <w:t>29:1-14 656</w:t>
      </w:r>
    </w:p>
    <w:p w14:paraId="0DD905CC">
      <w:pPr>
        <w:bidi w:val="0"/>
        <w:rPr>
          <w:rFonts w:hint="eastAsia"/>
          <w:lang w:val="en-US" w:eastAsia="zh-CN"/>
        </w:rPr>
      </w:pPr>
    </w:p>
    <w:p w14:paraId="06F28B5B">
      <w:pPr>
        <w:bidi w:val="0"/>
        <w:rPr>
          <w:rFonts w:hint="eastAsia"/>
          <w:lang w:val="en-US" w:eastAsia="zh-CN"/>
        </w:rPr>
      </w:pPr>
      <w:r>
        <w:rPr>
          <w:rFonts w:hint="eastAsia"/>
          <w:lang w:val="en-US" w:eastAsia="zh-CN"/>
        </w:rPr>
        <w:t>29:1-14 656</w:t>
      </w:r>
    </w:p>
    <w:p w14:paraId="4BE988DF">
      <w:pPr>
        <w:bidi w:val="0"/>
        <w:rPr>
          <w:rFonts w:hint="eastAsia"/>
          <w:lang w:val="en-US" w:eastAsia="zh-CN"/>
        </w:rPr>
      </w:pPr>
    </w:p>
    <w:p w14:paraId="29D563C1">
      <w:pPr>
        <w:bidi w:val="0"/>
        <w:rPr>
          <w:rFonts w:hint="eastAsia"/>
          <w:lang w:val="en-US" w:eastAsia="zh-CN"/>
        </w:rPr>
      </w:pPr>
      <w:r>
        <w:rPr>
          <w:rFonts w:hint="eastAsia"/>
          <w:lang w:val="en-US" w:eastAsia="zh-CN"/>
        </w:rPr>
        <w:t>30-33 275, 688, 689</w:t>
      </w:r>
    </w:p>
    <w:p w14:paraId="11394CAB">
      <w:pPr>
        <w:bidi w:val="0"/>
        <w:rPr>
          <w:rFonts w:hint="eastAsia"/>
          <w:lang w:val="en-US" w:eastAsia="zh-CN"/>
        </w:rPr>
      </w:pPr>
    </w:p>
    <w:p w14:paraId="012E6310">
      <w:pPr>
        <w:bidi w:val="0"/>
        <w:rPr>
          <w:rFonts w:hint="eastAsia"/>
          <w:lang w:val="en-US" w:eastAsia="zh-CN"/>
        </w:rPr>
      </w:pPr>
      <w:r>
        <w:rPr>
          <w:rFonts w:hint="eastAsia"/>
          <w:lang w:val="en-US" w:eastAsia="zh-CN"/>
        </w:rPr>
        <w:t>30-33 275, 688, 689</w:t>
      </w:r>
    </w:p>
    <w:p w14:paraId="0BF3DDB8">
      <w:pPr>
        <w:bidi w:val="0"/>
        <w:rPr>
          <w:rFonts w:hint="eastAsia"/>
          <w:lang w:val="en-US" w:eastAsia="zh-CN"/>
        </w:rPr>
      </w:pPr>
    </w:p>
    <w:p w14:paraId="70E2B0E3">
      <w:pPr>
        <w:bidi w:val="0"/>
        <w:rPr>
          <w:rFonts w:hint="eastAsia"/>
          <w:lang w:val="en-US" w:eastAsia="zh-CN"/>
        </w:rPr>
      </w:pPr>
      <w:r>
        <w:rPr>
          <w:rFonts w:hint="eastAsia"/>
          <w:lang w:val="en-US" w:eastAsia="zh-CN"/>
        </w:rPr>
        <w:t>31:31-34 12-14, 65, 204, 274, 688</w:t>
      </w:r>
    </w:p>
    <w:p w14:paraId="5C251852">
      <w:pPr>
        <w:bidi w:val="0"/>
        <w:rPr>
          <w:rFonts w:hint="eastAsia"/>
          <w:lang w:val="en-US" w:eastAsia="zh-CN"/>
        </w:rPr>
      </w:pPr>
    </w:p>
    <w:p w14:paraId="7006A566">
      <w:pPr>
        <w:bidi w:val="0"/>
        <w:rPr>
          <w:rFonts w:hint="eastAsia"/>
          <w:lang w:val="en-US" w:eastAsia="zh-CN"/>
        </w:rPr>
      </w:pPr>
      <w:r>
        <w:rPr>
          <w:rFonts w:hint="eastAsia"/>
          <w:lang w:val="en-US" w:eastAsia="zh-CN"/>
        </w:rPr>
        <w:t>31:31-34 12-14, 65, 204, 274, 688</w:t>
      </w:r>
    </w:p>
    <w:p w14:paraId="2C351FAD">
      <w:pPr>
        <w:bidi w:val="0"/>
        <w:rPr>
          <w:rFonts w:hint="eastAsia"/>
          <w:lang w:val="en-US" w:eastAsia="zh-CN"/>
        </w:rPr>
      </w:pPr>
    </w:p>
    <w:p w14:paraId="4C00AE1C">
      <w:pPr>
        <w:bidi w:val="0"/>
        <w:rPr>
          <w:rFonts w:hint="eastAsia"/>
          <w:lang w:val="en-US" w:eastAsia="zh-CN"/>
        </w:rPr>
      </w:pPr>
      <w:r>
        <w:rPr>
          <w:rFonts w:hint="eastAsia"/>
          <w:lang w:val="en-US" w:eastAsia="zh-CN"/>
        </w:rPr>
        <w:t>33:10-11 211</w:t>
      </w:r>
    </w:p>
    <w:p w14:paraId="61827FC3">
      <w:pPr>
        <w:bidi w:val="0"/>
        <w:rPr>
          <w:rFonts w:hint="eastAsia"/>
          <w:lang w:val="en-US" w:eastAsia="zh-CN"/>
        </w:rPr>
      </w:pPr>
    </w:p>
    <w:p w14:paraId="73F9403A">
      <w:pPr>
        <w:bidi w:val="0"/>
        <w:rPr>
          <w:rFonts w:hint="eastAsia"/>
          <w:lang w:val="en-US" w:eastAsia="zh-CN"/>
        </w:rPr>
      </w:pPr>
      <w:r>
        <w:rPr>
          <w:rFonts w:hint="eastAsia"/>
          <w:lang w:val="en-US" w:eastAsia="zh-CN"/>
        </w:rPr>
        <w:t>33:10-11 211</w:t>
      </w:r>
    </w:p>
    <w:p w14:paraId="527DC9FD">
      <w:pPr>
        <w:bidi w:val="0"/>
        <w:rPr>
          <w:rFonts w:hint="eastAsia"/>
          <w:lang w:val="en-US" w:eastAsia="zh-CN"/>
        </w:rPr>
      </w:pPr>
    </w:p>
    <w:p w14:paraId="544F5849">
      <w:pPr>
        <w:bidi w:val="0"/>
        <w:rPr>
          <w:rFonts w:hint="eastAsia"/>
          <w:lang w:val="en-US" w:eastAsia="zh-CN"/>
        </w:rPr>
      </w:pPr>
      <w:r>
        <w:rPr>
          <w:rFonts w:hint="eastAsia"/>
          <w:lang w:val="en-US" w:eastAsia="zh-CN"/>
        </w:rPr>
        <w:t>33:19-22 200</w:t>
      </w:r>
    </w:p>
    <w:p w14:paraId="26568480">
      <w:pPr>
        <w:bidi w:val="0"/>
        <w:rPr>
          <w:rFonts w:hint="eastAsia"/>
          <w:lang w:val="en-US" w:eastAsia="zh-CN"/>
        </w:rPr>
      </w:pPr>
    </w:p>
    <w:p w14:paraId="60489812">
      <w:pPr>
        <w:bidi w:val="0"/>
        <w:rPr>
          <w:rFonts w:hint="eastAsia"/>
          <w:lang w:val="en-US" w:eastAsia="zh-CN"/>
        </w:rPr>
      </w:pPr>
      <w:r>
        <w:rPr>
          <w:rFonts w:hint="eastAsia"/>
          <w:lang w:val="en-US" w:eastAsia="zh-CN"/>
        </w:rPr>
        <w:t>33:19-22 200</w:t>
      </w:r>
    </w:p>
    <w:p w14:paraId="6636930B">
      <w:pPr>
        <w:bidi w:val="0"/>
        <w:rPr>
          <w:rFonts w:hint="eastAsia"/>
          <w:lang w:val="en-US" w:eastAsia="zh-CN"/>
        </w:rPr>
      </w:pPr>
    </w:p>
    <w:p w14:paraId="359E0D02">
      <w:pPr>
        <w:bidi w:val="0"/>
        <w:rPr>
          <w:rFonts w:hint="eastAsia"/>
          <w:lang w:val="en-US" w:eastAsia="zh-CN"/>
        </w:rPr>
      </w:pPr>
      <w:r>
        <w:rPr>
          <w:rFonts w:hint="eastAsia"/>
          <w:lang w:val="en-US" w:eastAsia="zh-CN"/>
        </w:rPr>
        <w:t>Ezekiel</w:t>
      </w:r>
    </w:p>
    <w:p w14:paraId="1563FAC6">
      <w:pPr>
        <w:bidi w:val="0"/>
        <w:rPr>
          <w:rFonts w:hint="eastAsia"/>
          <w:lang w:val="en-US" w:eastAsia="zh-CN"/>
        </w:rPr>
      </w:pPr>
    </w:p>
    <w:p w14:paraId="0BFB6CE7">
      <w:pPr>
        <w:bidi w:val="0"/>
        <w:rPr>
          <w:rFonts w:hint="eastAsia"/>
          <w:lang w:val="en-US" w:eastAsia="zh-CN"/>
        </w:rPr>
      </w:pPr>
      <w:r>
        <w:rPr>
          <w:rFonts w:hint="eastAsia"/>
          <w:lang w:val="en-US" w:eastAsia="zh-CN"/>
        </w:rPr>
        <w:t>以西结书</w:t>
      </w:r>
    </w:p>
    <w:p w14:paraId="4ED0E68B">
      <w:pPr>
        <w:bidi w:val="0"/>
        <w:rPr>
          <w:rFonts w:hint="eastAsia"/>
          <w:lang w:val="en-US" w:eastAsia="zh-CN"/>
        </w:rPr>
      </w:pPr>
    </w:p>
    <w:p w14:paraId="48BD48BD">
      <w:pPr>
        <w:bidi w:val="0"/>
        <w:rPr>
          <w:rFonts w:hint="eastAsia"/>
          <w:lang w:val="en-US" w:eastAsia="zh-CN"/>
        </w:rPr>
      </w:pPr>
      <w:r>
        <w:rPr>
          <w:rFonts w:hint="eastAsia"/>
          <w:lang w:val="en-US" w:eastAsia="zh-CN"/>
        </w:rPr>
        <w:t>28:1f 687</w:t>
      </w:r>
    </w:p>
    <w:p w14:paraId="05493085">
      <w:pPr>
        <w:bidi w:val="0"/>
        <w:rPr>
          <w:rFonts w:hint="eastAsia"/>
          <w:lang w:val="en-US" w:eastAsia="zh-CN"/>
        </w:rPr>
      </w:pPr>
    </w:p>
    <w:p w14:paraId="0714C12D">
      <w:pPr>
        <w:bidi w:val="0"/>
        <w:rPr>
          <w:rFonts w:hint="eastAsia"/>
          <w:lang w:val="en-US" w:eastAsia="zh-CN"/>
        </w:rPr>
      </w:pPr>
      <w:r>
        <w:rPr>
          <w:rFonts w:hint="eastAsia"/>
          <w:lang w:val="en-US" w:eastAsia="zh-CN"/>
        </w:rPr>
        <w:t>28:1f 687</w:t>
      </w:r>
    </w:p>
    <w:p w14:paraId="1A4CF953">
      <w:pPr>
        <w:bidi w:val="0"/>
        <w:rPr>
          <w:rFonts w:hint="eastAsia"/>
          <w:lang w:val="en-US" w:eastAsia="zh-CN"/>
        </w:rPr>
      </w:pPr>
    </w:p>
    <w:p w14:paraId="3C31D5B8">
      <w:pPr>
        <w:bidi w:val="0"/>
        <w:rPr>
          <w:rFonts w:hint="eastAsia"/>
          <w:lang w:val="en-US" w:eastAsia="zh-CN"/>
        </w:rPr>
      </w:pPr>
      <w:r>
        <w:rPr>
          <w:rFonts w:hint="eastAsia"/>
          <w:lang w:val="en-US" w:eastAsia="zh-CN"/>
        </w:rPr>
        <w:t>37:1-14 309, 657</w:t>
      </w:r>
    </w:p>
    <w:p w14:paraId="137FD67A">
      <w:pPr>
        <w:bidi w:val="0"/>
        <w:rPr>
          <w:rFonts w:hint="eastAsia"/>
          <w:lang w:val="en-US" w:eastAsia="zh-CN"/>
        </w:rPr>
      </w:pPr>
    </w:p>
    <w:p w14:paraId="2CEB1AF7">
      <w:pPr>
        <w:bidi w:val="0"/>
        <w:rPr>
          <w:rFonts w:hint="eastAsia"/>
          <w:lang w:val="en-US" w:eastAsia="zh-CN"/>
        </w:rPr>
      </w:pPr>
      <w:r>
        <w:rPr>
          <w:rFonts w:hint="eastAsia"/>
          <w:lang w:val="en-US" w:eastAsia="zh-CN"/>
        </w:rPr>
        <w:t>37:1-14 309, 657</w:t>
      </w:r>
    </w:p>
    <w:p w14:paraId="1CD62D9A">
      <w:pPr>
        <w:bidi w:val="0"/>
        <w:rPr>
          <w:rFonts w:hint="eastAsia"/>
          <w:lang w:val="en-US" w:eastAsia="zh-CN"/>
        </w:rPr>
      </w:pPr>
    </w:p>
    <w:p w14:paraId="39F806B6">
      <w:pPr>
        <w:bidi w:val="0"/>
        <w:rPr>
          <w:rFonts w:hint="eastAsia"/>
          <w:lang w:val="en-US" w:eastAsia="zh-CN"/>
        </w:rPr>
      </w:pPr>
      <w:r>
        <w:rPr>
          <w:rFonts w:hint="eastAsia"/>
          <w:lang w:val="en-US" w:eastAsia="zh-CN"/>
        </w:rPr>
        <w:t>37:15-28 313</w:t>
      </w:r>
    </w:p>
    <w:p w14:paraId="04D7A8EC">
      <w:pPr>
        <w:bidi w:val="0"/>
        <w:rPr>
          <w:rFonts w:hint="eastAsia"/>
          <w:lang w:val="en-US" w:eastAsia="zh-CN"/>
        </w:rPr>
      </w:pPr>
    </w:p>
    <w:p w14:paraId="03E91E44">
      <w:pPr>
        <w:bidi w:val="0"/>
        <w:rPr>
          <w:rFonts w:hint="eastAsia"/>
          <w:lang w:val="en-US" w:eastAsia="zh-CN"/>
        </w:rPr>
      </w:pPr>
      <w:r>
        <w:rPr>
          <w:rFonts w:hint="eastAsia"/>
          <w:lang w:val="en-US" w:eastAsia="zh-CN"/>
        </w:rPr>
        <w:t>37:15-28 313</w:t>
      </w:r>
    </w:p>
    <w:p w14:paraId="61ED69BC">
      <w:pPr>
        <w:bidi w:val="0"/>
        <w:rPr>
          <w:rFonts w:hint="eastAsia"/>
          <w:lang w:val="en-US" w:eastAsia="zh-CN"/>
        </w:rPr>
      </w:pPr>
    </w:p>
    <w:p w14:paraId="72D6744A">
      <w:pPr>
        <w:bidi w:val="0"/>
        <w:rPr>
          <w:rFonts w:hint="eastAsia"/>
          <w:lang w:val="en-US" w:eastAsia="zh-CN"/>
        </w:rPr>
      </w:pPr>
      <w:r>
        <w:rPr>
          <w:rFonts w:hint="eastAsia"/>
          <w:lang w:val="en-US" w:eastAsia="zh-CN"/>
        </w:rPr>
        <w:t>37:26-28 270</w:t>
      </w:r>
    </w:p>
    <w:p w14:paraId="562AB084">
      <w:pPr>
        <w:bidi w:val="0"/>
        <w:rPr>
          <w:rFonts w:hint="eastAsia"/>
          <w:lang w:val="en-US" w:eastAsia="zh-CN"/>
        </w:rPr>
      </w:pPr>
    </w:p>
    <w:p w14:paraId="121738EB">
      <w:pPr>
        <w:bidi w:val="0"/>
        <w:rPr>
          <w:rFonts w:hint="eastAsia"/>
          <w:lang w:val="en-US" w:eastAsia="zh-CN"/>
        </w:rPr>
      </w:pPr>
      <w:r>
        <w:rPr>
          <w:rFonts w:hint="eastAsia"/>
          <w:lang w:val="en-US" w:eastAsia="zh-CN"/>
        </w:rPr>
        <w:t>37:26-28 270</w:t>
      </w:r>
    </w:p>
    <w:p w14:paraId="60B8E560">
      <w:pPr>
        <w:bidi w:val="0"/>
        <w:rPr>
          <w:rFonts w:hint="eastAsia"/>
          <w:lang w:val="en-US" w:eastAsia="zh-CN"/>
        </w:rPr>
      </w:pPr>
    </w:p>
    <w:p w14:paraId="3769B0D7">
      <w:pPr>
        <w:bidi w:val="0"/>
        <w:rPr>
          <w:rFonts w:hint="eastAsia"/>
          <w:lang w:val="en-US" w:eastAsia="zh-CN"/>
        </w:rPr>
      </w:pPr>
      <w:r>
        <w:rPr>
          <w:rFonts w:hint="eastAsia"/>
          <w:lang w:val="en-US" w:eastAsia="zh-CN"/>
        </w:rPr>
        <w:t>38-39 218, 316, 417</w:t>
      </w:r>
    </w:p>
    <w:p w14:paraId="49D77F2E">
      <w:pPr>
        <w:bidi w:val="0"/>
        <w:rPr>
          <w:rFonts w:hint="eastAsia"/>
          <w:lang w:val="en-US" w:eastAsia="zh-CN"/>
        </w:rPr>
      </w:pPr>
    </w:p>
    <w:p w14:paraId="62B4246C">
      <w:pPr>
        <w:bidi w:val="0"/>
        <w:rPr>
          <w:rFonts w:hint="eastAsia"/>
          <w:lang w:val="en-US" w:eastAsia="zh-CN"/>
        </w:rPr>
      </w:pPr>
      <w:r>
        <w:rPr>
          <w:rFonts w:hint="eastAsia"/>
          <w:lang w:val="en-US" w:eastAsia="zh-CN"/>
        </w:rPr>
        <w:t>38-39 218, 316, 417</w:t>
      </w:r>
    </w:p>
    <w:p w14:paraId="72D1F433">
      <w:pPr>
        <w:bidi w:val="0"/>
        <w:rPr>
          <w:rFonts w:hint="eastAsia"/>
          <w:lang w:val="en-US" w:eastAsia="zh-CN"/>
        </w:rPr>
      </w:pPr>
    </w:p>
    <w:p w14:paraId="3657E0BF">
      <w:pPr>
        <w:bidi w:val="0"/>
        <w:rPr>
          <w:rFonts w:hint="eastAsia"/>
          <w:lang w:val="en-US" w:eastAsia="zh-CN"/>
        </w:rPr>
      </w:pPr>
      <w:r>
        <w:rPr>
          <w:rFonts w:hint="eastAsia"/>
          <w:lang w:val="en-US" w:eastAsia="zh-CN"/>
        </w:rPr>
        <w:t>40-48 325f</w:t>
      </w:r>
    </w:p>
    <w:p w14:paraId="21BA67A0">
      <w:pPr>
        <w:bidi w:val="0"/>
        <w:rPr>
          <w:rFonts w:hint="eastAsia"/>
          <w:lang w:val="en-US" w:eastAsia="zh-CN"/>
        </w:rPr>
      </w:pPr>
    </w:p>
    <w:p w14:paraId="4BBE4D59">
      <w:pPr>
        <w:bidi w:val="0"/>
        <w:rPr>
          <w:rFonts w:hint="eastAsia"/>
          <w:lang w:val="en-US" w:eastAsia="zh-CN"/>
        </w:rPr>
      </w:pPr>
      <w:r>
        <w:rPr>
          <w:rFonts w:hint="eastAsia"/>
          <w:lang w:val="en-US" w:eastAsia="zh-CN"/>
        </w:rPr>
        <w:t>40-48 325f</w:t>
      </w:r>
    </w:p>
    <w:p w14:paraId="0BE4951C">
      <w:pPr>
        <w:bidi w:val="0"/>
        <w:rPr>
          <w:rFonts w:hint="eastAsia"/>
          <w:lang w:val="en-US" w:eastAsia="zh-CN"/>
        </w:rPr>
      </w:pPr>
    </w:p>
    <w:p w14:paraId="043284B9">
      <w:pPr>
        <w:bidi w:val="0"/>
        <w:rPr>
          <w:rFonts w:hint="eastAsia"/>
          <w:lang w:val="en-US" w:eastAsia="zh-CN"/>
        </w:rPr>
      </w:pPr>
      <w:r>
        <w:rPr>
          <w:rFonts w:hint="eastAsia"/>
          <w:lang w:val="en-US" w:eastAsia="zh-CN"/>
        </w:rPr>
        <w:t>47:1-12 203</w:t>
      </w:r>
    </w:p>
    <w:p w14:paraId="04AF403F">
      <w:pPr>
        <w:bidi w:val="0"/>
        <w:rPr>
          <w:rFonts w:hint="eastAsia"/>
          <w:lang w:val="en-US" w:eastAsia="zh-CN"/>
        </w:rPr>
      </w:pPr>
    </w:p>
    <w:p w14:paraId="0B256996">
      <w:pPr>
        <w:bidi w:val="0"/>
        <w:rPr>
          <w:rFonts w:hint="eastAsia"/>
          <w:lang w:val="en-US" w:eastAsia="zh-CN"/>
        </w:rPr>
      </w:pPr>
      <w:r>
        <w:rPr>
          <w:rFonts w:hint="eastAsia"/>
          <w:lang w:val="en-US" w:eastAsia="zh-CN"/>
        </w:rPr>
        <w:t>47:1-12 203</w:t>
      </w:r>
    </w:p>
    <w:p w14:paraId="2147D261">
      <w:pPr>
        <w:bidi w:val="0"/>
        <w:rPr>
          <w:rFonts w:hint="eastAsia"/>
          <w:lang w:val="en-US" w:eastAsia="zh-CN"/>
        </w:rPr>
      </w:pPr>
    </w:p>
    <w:p w14:paraId="69A403C4">
      <w:pPr>
        <w:bidi w:val="0"/>
        <w:rPr>
          <w:rFonts w:hint="eastAsia"/>
          <w:lang w:val="en-US" w:eastAsia="zh-CN"/>
        </w:rPr>
      </w:pPr>
      <w:r>
        <w:rPr>
          <w:rFonts w:hint="eastAsia"/>
          <w:lang w:val="en-US" w:eastAsia="zh-CN"/>
        </w:rPr>
        <w:t>Daniel</w:t>
      </w:r>
    </w:p>
    <w:p w14:paraId="6DC72015">
      <w:pPr>
        <w:bidi w:val="0"/>
        <w:rPr>
          <w:rFonts w:hint="eastAsia"/>
          <w:lang w:val="en-US" w:eastAsia="zh-CN"/>
        </w:rPr>
      </w:pPr>
    </w:p>
    <w:p w14:paraId="6FA37647">
      <w:pPr>
        <w:bidi w:val="0"/>
        <w:rPr>
          <w:rFonts w:hint="eastAsia"/>
          <w:lang w:val="en-US" w:eastAsia="zh-CN"/>
        </w:rPr>
      </w:pPr>
      <w:r>
        <w:rPr>
          <w:rFonts w:hint="eastAsia"/>
          <w:lang w:val="en-US" w:eastAsia="zh-CN"/>
        </w:rPr>
        <w:t>但以理书</w:t>
      </w:r>
    </w:p>
    <w:p w14:paraId="1A7682B7">
      <w:pPr>
        <w:bidi w:val="0"/>
        <w:rPr>
          <w:rFonts w:hint="eastAsia"/>
          <w:lang w:val="en-US" w:eastAsia="zh-CN"/>
        </w:rPr>
      </w:pPr>
    </w:p>
    <w:p w14:paraId="709CCA6F">
      <w:pPr>
        <w:bidi w:val="0"/>
        <w:rPr>
          <w:rFonts w:hint="eastAsia"/>
          <w:lang w:val="en-US" w:eastAsia="zh-CN"/>
        </w:rPr>
      </w:pPr>
      <w:r>
        <w:rPr>
          <w:rFonts w:hint="eastAsia"/>
          <w:lang w:val="en-US" w:eastAsia="zh-CN"/>
        </w:rPr>
        <w:t>2:1f 701</w:t>
      </w:r>
    </w:p>
    <w:p w14:paraId="4530A1CE">
      <w:pPr>
        <w:bidi w:val="0"/>
        <w:rPr>
          <w:rFonts w:hint="eastAsia"/>
          <w:lang w:val="en-US" w:eastAsia="zh-CN"/>
        </w:rPr>
      </w:pPr>
    </w:p>
    <w:p w14:paraId="0038D3EF">
      <w:pPr>
        <w:bidi w:val="0"/>
        <w:rPr>
          <w:rFonts w:hint="eastAsia"/>
          <w:lang w:val="en-US" w:eastAsia="zh-CN"/>
        </w:rPr>
      </w:pPr>
      <w:r>
        <w:rPr>
          <w:rFonts w:hint="eastAsia"/>
          <w:lang w:val="en-US" w:eastAsia="zh-CN"/>
        </w:rPr>
        <w:t>2:1f 701</w:t>
      </w:r>
    </w:p>
    <w:p w14:paraId="10C07450">
      <w:pPr>
        <w:bidi w:val="0"/>
        <w:rPr>
          <w:rFonts w:hint="eastAsia"/>
          <w:lang w:val="en-US" w:eastAsia="zh-CN"/>
        </w:rPr>
      </w:pPr>
    </w:p>
    <w:p w14:paraId="419F3E23">
      <w:pPr>
        <w:bidi w:val="0"/>
        <w:rPr>
          <w:rFonts w:hint="eastAsia"/>
          <w:lang w:val="en-US" w:eastAsia="zh-CN"/>
        </w:rPr>
      </w:pPr>
      <w:r>
        <w:rPr>
          <w:rFonts w:hint="eastAsia"/>
          <w:lang w:val="en-US" w:eastAsia="zh-CN"/>
        </w:rPr>
        <w:t>2:44 700</w:t>
      </w:r>
    </w:p>
    <w:p w14:paraId="093CA647">
      <w:pPr>
        <w:bidi w:val="0"/>
        <w:rPr>
          <w:rFonts w:hint="eastAsia"/>
          <w:lang w:val="en-US" w:eastAsia="zh-CN"/>
        </w:rPr>
      </w:pPr>
    </w:p>
    <w:p w14:paraId="3035AF4F">
      <w:pPr>
        <w:bidi w:val="0"/>
        <w:rPr>
          <w:rFonts w:hint="eastAsia"/>
          <w:lang w:val="en-US" w:eastAsia="zh-CN"/>
        </w:rPr>
      </w:pPr>
      <w:r>
        <w:rPr>
          <w:rFonts w:hint="eastAsia"/>
          <w:lang w:val="en-US" w:eastAsia="zh-CN"/>
        </w:rPr>
        <w:t>2:44 700</w:t>
      </w:r>
    </w:p>
    <w:p w14:paraId="208F9E32">
      <w:pPr>
        <w:bidi w:val="0"/>
        <w:rPr>
          <w:rFonts w:hint="eastAsia"/>
          <w:lang w:val="en-US" w:eastAsia="zh-CN"/>
        </w:rPr>
      </w:pPr>
    </w:p>
    <w:p w14:paraId="61931A8C">
      <w:pPr>
        <w:bidi w:val="0"/>
        <w:rPr>
          <w:rFonts w:hint="eastAsia"/>
          <w:lang w:val="en-US" w:eastAsia="zh-CN"/>
        </w:rPr>
      </w:pPr>
      <w:r>
        <w:rPr>
          <w:rFonts w:hint="eastAsia"/>
          <w:lang w:val="en-US" w:eastAsia="zh-CN"/>
        </w:rPr>
        <w:t>7:1-28 218, 356, 417</w:t>
      </w:r>
    </w:p>
    <w:p w14:paraId="37A9C028">
      <w:pPr>
        <w:bidi w:val="0"/>
        <w:rPr>
          <w:rFonts w:hint="eastAsia"/>
          <w:lang w:val="en-US" w:eastAsia="zh-CN"/>
        </w:rPr>
      </w:pPr>
    </w:p>
    <w:p w14:paraId="6EB7CD51">
      <w:pPr>
        <w:bidi w:val="0"/>
        <w:rPr>
          <w:rFonts w:hint="eastAsia"/>
          <w:lang w:val="en-US" w:eastAsia="zh-CN"/>
        </w:rPr>
      </w:pPr>
      <w:r>
        <w:rPr>
          <w:rFonts w:hint="eastAsia"/>
          <w:lang w:val="en-US" w:eastAsia="zh-CN"/>
        </w:rPr>
        <w:t>7:1-28 218, 356, 417</w:t>
      </w:r>
    </w:p>
    <w:p w14:paraId="59A26944">
      <w:pPr>
        <w:bidi w:val="0"/>
        <w:rPr>
          <w:rFonts w:hint="eastAsia"/>
          <w:lang w:val="en-US" w:eastAsia="zh-CN"/>
        </w:rPr>
      </w:pPr>
    </w:p>
    <w:p w14:paraId="09497ACE">
      <w:pPr>
        <w:bidi w:val="0"/>
        <w:rPr>
          <w:rFonts w:hint="eastAsia"/>
          <w:lang w:val="en-US" w:eastAsia="zh-CN"/>
        </w:rPr>
      </w:pPr>
      <w:r>
        <w:rPr>
          <w:rFonts w:hint="eastAsia"/>
          <w:lang w:val="en-US" w:eastAsia="zh-CN"/>
        </w:rPr>
        <w:t>7:13 691</w:t>
      </w:r>
    </w:p>
    <w:p w14:paraId="175E3DAF">
      <w:pPr>
        <w:bidi w:val="0"/>
        <w:rPr>
          <w:rFonts w:hint="eastAsia"/>
          <w:lang w:val="en-US" w:eastAsia="zh-CN"/>
        </w:rPr>
      </w:pPr>
    </w:p>
    <w:p w14:paraId="7AA15FFE">
      <w:pPr>
        <w:bidi w:val="0"/>
        <w:rPr>
          <w:rFonts w:hint="eastAsia"/>
          <w:lang w:val="en-US" w:eastAsia="zh-CN"/>
        </w:rPr>
      </w:pPr>
      <w:r>
        <w:rPr>
          <w:rFonts w:hint="eastAsia"/>
          <w:lang w:val="en-US" w:eastAsia="zh-CN"/>
        </w:rPr>
        <w:t>7:13 691</w:t>
      </w:r>
    </w:p>
    <w:p w14:paraId="67DFD71A">
      <w:pPr>
        <w:bidi w:val="0"/>
        <w:rPr>
          <w:rFonts w:hint="eastAsia"/>
          <w:lang w:val="en-US" w:eastAsia="zh-CN"/>
        </w:rPr>
      </w:pPr>
    </w:p>
    <w:p w14:paraId="672B6279">
      <w:pPr>
        <w:bidi w:val="0"/>
        <w:rPr>
          <w:rFonts w:hint="eastAsia"/>
          <w:lang w:val="en-US" w:eastAsia="zh-CN"/>
        </w:rPr>
      </w:pPr>
      <w:r>
        <w:rPr>
          <w:rFonts w:hint="eastAsia"/>
          <w:lang w:val="en-US" w:eastAsia="zh-CN"/>
        </w:rPr>
        <w:t>9:24-27 218, 365, 630, 691</w:t>
      </w:r>
    </w:p>
    <w:p w14:paraId="3C439414">
      <w:pPr>
        <w:bidi w:val="0"/>
        <w:rPr>
          <w:rFonts w:hint="eastAsia"/>
          <w:lang w:val="en-US" w:eastAsia="zh-CN"/>
        </w:rPr>
      </w:pPr>
    </w:p>
    <w:p w14:paraId="03650449">
      <w:pPr>
        <w:bidi w:val="0"/>
        <w:rPr>
          <w:rFonts w:hint="eastAsia"/>
          <w:lang w:val="en-US" w:eastAsia="zh-CN"/>
        </w:rPr>
      </w:pPr>
      <w:r>
        <w:rPr>
          <w:rFonts w:hint="eastAsia"/>
          <w:lang w:val="en-US" w:eastAsia="zh-CN"/>
        </w:rPr>
        <w:t>9:24-27 218, 365, 630, 691</w:t>
      </w:r>
    </w:p>
    <w:p w14:paraId="022F98D9">
      <w:pPr>
        <w:bidi w:val="0"/>
        <w:rPr>
          <w:rFonts w:hint="eastAsia"/>
          <w:lang w:val="en-US" w:eastAsia="zh-CN"/>
        </w:rPr>
      </w:pPr>
    </w:p>
    <w:p w14:paraId="67EE76F1">
      <w:pPr>
        <w:bidi w:val="0"/>
        <w:rPr>
          <w:rFonts w:hint="eastAsia"/>
          <w:lang w:val="en-US" w:eastAsia="zh-CN"/>
        </w:rPr>
      </w:pPr>
      <w:r>
        <w:rPr>
          <w:rFonts w:hint="eastAsia"/>
          <w:lang w:val="en-US" w:eastAsia="zh-CN"/>
        </w:rPr>
        <w:t>11:31 697</w:t>
      </w:r>
    </w:p>
    <w:p w14:paraId="20CE5468">
      <w:pPr>
        <w:bidi w:val="0"/>
        <w:rPr>
          <w:rFonts w:hint="eastAsia"/>
          <w:lang w:val="en-US" w:eastAsia="zh-CN"/>
        </w:rPr>
      </w:pPr>
    </w:p>
    <w:p w14:paraId="348CE8AB">
      <w:pPr>
        <w:bidi w:val="0"/>
        <w:rPr>
          <w:rFonts w:hint="eastAsia"/>
          <w:lang w:val="en-US" w:eastAsia="zh-CN"/>
        </w:rPr>
      </w:pPr>
      <w:r>
        <w:rPr>
          <w:rFonts w:hint="eastAsia"/>
          <w:lang w:val="en-US" w:eastAsia="zh-CN"/>
        </w:rPr>
        <w:t>11:31 697</w:t>
      </w:r>
    </w:p>
    <w:p w14:paraId="28A67A67">
      <w:pPr>
        <w:bidi w:val="0"/>
        <w:rPr>
          <w:rFonts w:hint="eastAsia"/>
          <w:lang w:val="en-US" w:eastAsia="zh-CN"/>
        </w:rPr>
      </w:pPr>
    </w:p>
    <w:p w14:paraId="33FFC859">
      <w:pPr>
        <w:bidi w:val="0"/>
        <w:rPr>
          <w:rFonts w:hint="eastAsia"/>
          <w:lang w:val="en-US" w:eastAsia="zh-CN"/>
        </w:rPr>
      </w:pPr>
      <w:r>
        <w:rPr>
          <w:rFonts w:hint="eastAsia"/>
          <w:lang w:val="en-US" w:eastAsia="zh-CN"/>
        </w:rPr>
        <w:t>11:36f 218, 702</w:t>
      </w:r>
    </w:p>
    <w:p w14:paraId="5B09A293">
      <w:pPr>
        <w:bidi w:val="0"/>
        <w:rPr>
          <w:rFonts w:hint="eastAsia"/>
          <w:lang w:val="en-US" w:eastAsia="zh-CN"/>
        </w:rPr>
      </w:pPr>
    </w:p>
    <w:p w14:paraId="20A04D31">
      <w:pPr>
        <w:bidi w:val="0"/>
        <w:rPr>
          <w:rFonts w:hint="eastAsia"/>
          <w:lang w:val="en-US" w:eastAsia="zh-CN"/>
        </w:rPr>
      </w:pPr>
      <w:r>
        <w:rPr>
          <w:rFonts w:hint="eastAsia"/>
          <w:lang w:val="en-US" w:eastAsia="zh-CN"/>
        </w:rPr>
        <w:t>11:36f 218, 702</w:t>
      </w:r>
    </w:p>
    <w:p w14:paraId="7BE93385">
      <w:pPr>
        <w:bidi w:val="0"/>
        <w:rPr>
          <w:rFonts w:hint="eastAsia"/>
          <w:lang w:val="en-US" w:eastAsia="zh-CN"/>
        </w:rPr>
      </w:pPr>
    </w:p>
    <w:p w14:paraId="47691373">
      <w:pPr>
        <w:bidi w:val="0"/>
        <w:rPr>
          <w:rFonts w:hint="eastAsia"/>
          <w:lang w:val="en-US" w:eastAsia="zh-CN"/>
        </w:rPr>
      </w:pPr>
      <w:r>
        <w:rPr>
          <w:rFonts w:hint="eastAsia"/>
          <w:lang w:val="en-US" w:eastAsia="zh-CN"/>
        </w:rPr>
        <w:t>12:2 696</w:t>
      </w:r>
    </w:p>
    <w:p w14:paraId="165104F9">
      <w:pPr>
        <w:bidi w:val="0"/>
        <w:rPr>
          <w:rFonts w:hint="eastAsia"/>
          <w:lang w:val="en-US" w:eastAsia="zh-CN"/>
        </w:rPr>
      </w:pPr>
    </w:p>
    <w:p w14:paraId="2E87E099">
      <w:pPr>
        <w:bidi w:val="0"/>
        <w:rPr>
          <w:rFonts w:hint="eastAsia"/>
          <w:lang w:val="en-US" w:eastAsia="zh-CN"/>
        </w:rPr>
      </w:pPr>
      <w:r>
        <w:rPr>
          <w:rFonts w:hint="eastAsia"/>
          <w:lang w:val="en-US" w:eastAsia="zh-CN"/>
        </w:rPr>
        <w:t>12:2 696</w:t>
      </w:r>
    </w:p>
    <w:p w14:paraId="0C7FDA82">
      <w:pPr>
        <w:bidi w:val="0"/>
        <w:rPr>
          <w:rFonts w:hint="eastAsia"/>
          <w:lang w:val="en-US" w:eastAsia="zh-CN"/>
        </w:rPr>
      </w:pPr>
    </w:p>
    <w:p w14:paraId="1FB67865">
      <w:pPr>
        <w:bidi w:val="0"/>
        <w:rPr>
          <w:rFonts w:hint="eastAsia"/>
          <w:lang w:val="en-US" w:eastAsia="zh-CN"/>
        </w:rPr>
      </w:pPr>
      <w:r>
        <w:rPr>
          <w:rFonts w:hint="eastAsia"/>
          <w:lang w:val="en-US" w:eastAsia="zh-CN"/>
        </w:rPr>
        <w:t>Hosea</w:t>
      </w:r>
    </w:p>
    <w:p w14:paraId="7FDCF184">
      <w:pPr>
        <w:bidi w:val="0"/>
        <w:rPr>
          <w:rFonts w:hint="eastAsia"/>
          <w:lang w:val="en-US" w:eastAsia="zh-CN"/>
        </w:rPr>
      </w:pPr>
    </w:p>
    <w:p w14:paraId="23EDA249">
      <w:pPr>
        <w:bidi w:val="0"/>
        <w:rPr>
          <w:rFonts w:hint="eastAsia"/>
          <w:lang w:val="en-US" w:eastAsia="zh-CN"/>
        </w:rPr>
      </w:pPr>
      <w:r>
        <w:rPr>
          <w:rFonts w:hint="eastAsia"/>
          <w:lang w:val="en-US" w:eastAsia="zh-CN"/>
        </w:rPr>
        <w:t>何西阿书</w:t>
      </w:r>
    </w:p>
    <w:p w14:paraId="108DD47B">
      <w:pPr>
        <w:bidi w:val="0"/>
        <w:rPr>
          <w:rFonts w:hint="eastAsia"/>
          <w:lang w:val="en-US" w:eastAsia="zh-CN"/>
        </w:rPr>
      </w:pPr>
    </w:p>
    <w:p w14:paraId="766937EA">
      <w:pPr>
        <w:bidi w:val="0"/>
        <w:rPr>
          <w:rFonts w:hint="eastAsia"/>
          <w:lang w:val="en-US" w:eastAsia="zh-CN"/>
        </w:rPr>
      </w:pPr>
      <w:r>
        <w:rPr>
          <w:rFonts w:hint="eastAsia"/>
          <w:lang w:val="en-US" w:eastAsia="zh-CN"/>
        </w:rPr>
        <w:t>1:9-11 200, 265, 653, 686</w:t>
      </w:r>
    </w:p>
    <w:p w14:paraId="677A88CD">
      <w:pPr>
        <w:bidi w:val="0"/>
        <w:rPr>
          <w:rFonts w:hint="eastAsia"/>
          <w:lang w:val="en-US" w:eastAsia="zh-CN"/>
        </w:rPr>
      </w:pPr>
    </w:p>
    <w:p w14:paraId="2534D24C">
      <w:pPr>
        <w:bidi w:val="0"/>
        <w:rPr>
          <w:rFonts w:hint="eastAsia"/>
          <w:lang w:val="en-US" w:eastAsia="zh-CN"/>
        </w:rPr>
      </w:pPr>
      <w:r>
        <w:rPr>
          <w:rFonts w:hint="eastAsia"/>
          <w:lang w:val="en-US" w:eastAsia="zh-CN"/>
        </w:rPr>
        <w:t>1:9-11 200, 265, 653, 686</w:t>
      </w:r>
    </w:p>
    <w:p w14:paraId="71E0D9CF">
      <w:pPr>
        <w:bidi w:val="0"/>
        <w:rPr>
          <w:rFonts w:hint="eastAsia"/>
          <w:lang w:val="en-US" w:eastAsia="zh-CN"/>
        </w:rPr>
      </w:pPr>
    </w:p>
    <w:p w14:paraId="178A33FC">
      <w:pPr>
        <w:bidi w:val="0"/>
        <w:rPr>
          <w:rFonts w:hint="eastAsia"/>
          <w:lang w:val="en-US" w:eastAsia="zh-CN"/>
        </w:rPr>
      </w:pPr>
      <w:r>
        <w:rPr>
          <w:rFonts w:hint="eastAsia"/>
          <w:lang w:val="en-US" w:eastAsia="zh-CN"/>
        </w:rPr>
        <w:t>2:1 265</w:t>
      </w:r>
    </w:p>
    <w:p w14:paraId="1A599A5F">
      <w:pPr>
        <w:bidi w:val="0"/>
        <w:rPr>
          <w:rFonts w:hint="eastAsia"/>
          <w:lang w:val="en-US" w:eastAsia="zh-CN"/>
        </w:rPr>
      </w:pPr>
    </w:p>
    <w:p w14:paraId="76AC2939">
      <w:pPr>
        <w:bidi w:val="0"/>
        <w:rPr>
          <w:rFonts w:hint="eastAsia"/>
          <w:lang w:val="en-US" w:eastAsia="zh-CN"/>
        </w:rPr>
      </w:pPr>
      <w:r>
        <w:rPr>
          <w:rFonts w:hint="eastAsia"/>
          <w:lang w:val="en-US" w:eastAsia="zh-CN"/>
        </w:rPr>
        <w:t>2:1 265</w:t>
      </w:r>
    </w:p>
    <w:p w14:paraId="55CB8984">
      <w:pPr>
        <w:bidi w:val="0"/>
        <w:rPr>
          <w:rFonts w:hint="eastAsia"/>
          <w:lang w:val="en-US" w:eastAsia="zh-CN"/>
        </w:rPr>
      </w:pPr>
    </w:p>
    <w:p w14:paraId="64B35F33">
      <w:pPr>
        <w:bidi w:val="0"/>
        <w:rPr>
          <w:rFonts w:hint="eastAsia"/>
          <w:lang w:val="en-US" w:eastAsia="zh-CN"/>
        </w:rPr>
      </w:pPr>
      <w:r>
        <w:rPr>
          <w:rFonts w:hint="eastAsia"/>
          <w:lang w:val="en-US" w:eastAsia="zh-CN"/>
        </w:rPr>
        <w:t>2:14-23 206, 263, 264, 653</w:t>
      </w:r>
    </w:p>
    <w:p w14:paraId="62555BD5">
      <w:pPr>
        <w:bidi w:val="0"/>
        <w:rPr>
          <w:rFonts w:hint="eastAsia"/>
          <w:lang w:val="en-US" w:eastAsia="zh-CN"/>
        </w:rPr>
      </w:pPr>
    </w:p>
    <w:p w14:paraId="38F8ECFE">
      <w:pPr>
        <w:bidi w:val="0"/>
        <w:rPr>
          <w:rFonts w:hint="eastAsia"/>
          <w:lang w:val="en-US" w:eastAsia="zh-CN"/>
        </w:rPr>
      </w:pPr>
      <w:r>
        <w:rPr>
          <w:rFonts w:hint="eastAsia"/>
          <w:lang w:val="en-US" w:eastAsia="zh-CN"/>
        </w:rPr>
        <w:t>2:14-23 206, 263, 264, 653</w:t>
      </w:r>
    </w:p>
    <w:p w14:paraId="427D637F">
      <w:pPr>
        <w:bidi w:val="0"/>
        <w:rPr>
          <w:rFonts w:hint="eastAsia"/>
          <w:lang w:val="en-US" w:eastAsia="zh-CN"/>
        </w:rPr>
      </w:pPr>
    </w:p>
    <w:p w14:paraId="0C62C20F">
      <w:pPr>
        <w:bidi w:val="0"/>
        <w:rPr>
          <w:rFonts w:hint="eastAsia"/>
          <w:lang w:val="en-US" w:eastAsia="zh-CN"/>
        </w:rPr>
      </w:pPr>
      <w:r>
        <w:rPr>
          <w:rFonts w:hint="eastAsia"/>
          <w:lang w:val="en-US" w:eastAsia="zh-CN"/>
        </w:rPr>
        <w:t>2:19 629</w:t>
      </w:r>
    </w:p>
    <w:p w14:paraId="216A6F8B">
      <w:pPr>
        <w:bidi w:val="0"/>
        <w:rPr>
          <w:rFonts w:hint="eastAsia"/>
          <w:lang w:val="en-US" w:eastAsia="zh-CN"/>
        </w:rPr>
      </w:pPr>
    </w:p>
    <w:p w14:paraId="38FB9CD8">
      <w:pPr>
        <w:bidi w:val="0"/>
        <w:rPr>
          <w:rFonts w:hint="eastAsia"/>
          <w:lang w:val="en-US" w:eastAsia="zh-CN"/>
        </w:rPr>
      </w:pPr>
      <w:r>
        <w:rPr>
          <w:rFonts w:hint="eastAsia"/>
          <w:lang w:val="en-US" w:eastAsia="zh-CN"/>
        </w:rPr>
        <w:t>2:19 629</w:t>
      </w:r>
    </w:p>
    <w:p w14:paraId="7113F26F">
      <w:pPr>
        <w:bidi w:val="0"/>
        <w:rPr>
          <w:rFonts w:hint="eastAsia"/>
          <w:lang w:val="en-US" w:eastAsia="zh-CN"/>
        </w:rPr>
      </w:pPr>
    </w:p>
    <w:p w14:paraId="354A1817">
      <w:pPr>
        <w:bidi w:val="0"/>
        <w:rPr>
          <w:rFonts w:hint="eastAsia"/>
          <w:lang w:val="en-US" w:eastAsia="zh-CN"/>
        </w:rPr>
      </w:pPr>
      <w:r>
        <w:rPr>
          <w:rFonts w:hint="eastAsia"/>
          <w:lang w:val="en-US" w:eastAsia="zh-CN"/>
        </w:rPr>
        <w:t>3:5 6</w:t>
      </w:r>
    </w:p>
    <w:p w14:paraId="3F3EE700">
      <w:pPr>
        <w:bidi w:val="0"/>
        <w:rPr>
          <w:rFonts w:hint="eastAsia"/>
          <w:lang w:val="en-US" w:eastAsia="zh-CN"/>
        </w:rPr>
      </w:pPr>
    </w:p>
    <w:p w14:paraId="2969AE89">
      <w:pPr>
        <w:bidi w:val="0"/>
        <w:rPr>
          <w:rFonts w:hint="eastAsia"/>
          <w:lang w:val="en-US" w:eastAsia="zh-CN"/>
        </w:rPr>
      </w:pPr>
      <w:r>
        <w:rPr>
          <w:rFonts w:hint="eastAsia"/>
          <w:lang w:val="en-US" w:eastAsia="zh-CN"/>
        </w:rPr>
        <w:t>3:5 6</w:t>
      </w:r>
    </w:p>
    <w:p w14:paraId="2EBFD4A2">
      <w:pPr>
        <w:bidi w:val="0"/>
        <w:rPr>
          <w:rFonts w:hint="eastAsia"/>
          <w:lang w:val="en-US" w:eastAsia="zh-CN"/>
        </w:rPr>
      </w:pPr>
    </w:p>
    <w:p w14:paraId="08E2A524">
      <w:pPr>
        <w:bidi w:val="0"/>
        <w:rPr>
          <w:rFonts w:hint="eastAsia"/>
          <w:lang w:val="en-US" w:eastAsia="zh-CN"/>
        </w:rPr>
      </w:pPr>
      <w:r>
        <w:rPr>
          <w:rFonts w:hint="eastAsia"/>
          <w:lang w:val="en-US" w:eastAsia="zh-CN"/>
        </w:rPr>
        <w:t>6:4 241</w:t>
      </w:r>
    </w:p>
    <w:p w14:paraId="755460F7">
      <w:pPr>
        <w:bidi w:val="0"/>
        <w:rPr>
          <w:rFonts w:hint="eastAsia"/>
          <w:lang w:val="en-US" w:eastAsia="zh-CN"/>
        </w:rPr>
      </w:pPr>
    </w:p>
    <w:p w14:paraId="140A7D70">
      <w:pPr>
        <w:bidi w:val="0"/>
        <w:rPr>
          <w:rFonts w:hint="eastAsia"/>
          <w:lang w:val="en-US" w:eastAsia="zh-CN"/>
        </w:rPr>
      </w:pPr>
      <w:r>
        <w:rPr>
          <w:rFonts w:hint="eastAsia"/>
          <w:lang w:val="en-US" w:eastAsia="zh-CN"/>
        </w:rPr>
        <w:t>6:4 241</w:t>
      </w:r>
    </w:p>
    <w:p w14:paraId="7AAE16CA">
      <w:pPr>
        <w:bidi w:val="0"/>
        <w:rPr>
          <w:rFonts w:hint="eastAsia"/>
          <w:lang w:val="en-US" w:eastAsia="zh-CN"/>
        </w:rPr>
      </w:pPr>
    </w:p>
    <w:p w14:paraId="5927247D">
      <w:pPr>
        <w:bidi w:val="0"/>
        <w:rPr>
          <w:rFonts w:hint="eastAsia"/>
          <w:lang w:val="en-US" w:eastAsia="zh-CN"/>
        </w:rPr>
      </w:pPr>
      <w:r>
        <w:rPr>
          <w:rFonts w:hint="eastAsia"/>
          <w:lang w:val="en-US" w:eastAsia="zh-CN"/>
        </w:rPr>
        <w:t>13:14 208, 210, 556, 687</w:t>
      </w:r>
    </w:p>
    <w:p w14:paraId="089542D8">
      <w:pPr>
        <w:bidi w:val="0"/>
        <w:rPr>
          <w:rFonts w:hint="eastAsia"/>
          <w:lang w:val="en-US" w:eastAsia="zh-CN"/>
        </w:rPr>
      </w:pPr>
    </w:p>
    <w:p w14:paraId="0B8EC44A">
      <w:pPr>
        <w:bidi w:val="0"/>
        <w:rPr>
          <w:rFonts w:hint="eastAsia"/>
          <w:lang w:val="en-US" w:eastAsia="zh-CN"/>
        </w:rPr>
      </w:pPr>
      <w:r>
        <w:rPr>
          <w:rFonts w:hint="eastAsia"/>
          <w:lang w:val="en-US" w:eastAsia="zh-CN"/>
        </w:rPr>
        <w:t>13:14 208, 210, 556, 687</w:t>
      </w:r>
    </w:p>
    <w:p w14:paraId="1E6190E9">
      <w:pPr>
        <w:bidi w:val="0"/>
        <w:rPr>
          <w:rFonts w:hint="eastAsia"/>
          <w:lang w:val="en-US" w:eastAsia="zh-CN"/>
        </w:rPr>
      </w:pPr>
    </w:p>
    <w:p w14:paraId="44A87525">
      <w:pPr>
        <w:bidi w:val="0"/>
        <w:rPr>
          <w:rFonts w:hint="eastAsia"/>
          <w:lang w:val="en-US" w:eastAsia="zh-CN"/>
        </w:rPr>
      </w:pPr>
      <w:r>
        <w:rPr>
          <w:rFonts w:hint="eastAsia"/>
          <w:lang w:val="en-US" w:eastAsia="zh-CN"/>
        </w:rPr>
        <w:t>Joel</w:t>
      </w:r>
    </w:p>
    <w:p w14:paraId="6DC765E6">
      <w:pPr>
        <w:bidi w:val="0"/>
        <w:rPr>
          <w:rFonts w:hint="eastAsia"/>
          <w:lang w:val="en-US" w:eastAsia="zh-CN"/>
        </w:rPr>
      </w:pPr>
    </w:p>
    <w:p w14:paraId="17B74E9F">
      <w:pPr>
        <w:bidi w:val="0"/>
        <w:rPr>
          <w:rFonts w:hint="eastAsia"/>
          <w:lang w:val="en-US" w:eastAsia="zh-CN"/>
        </w:rPr>
      </w:pPr>
      <w:r>
        <w:rPr>
          <w:rFonts w:hint="eastAsia"/>
          <w:lang w:val="en-US" w:eastAsia="zh-CN"/>
        </w:rPr>
        <w:t>约珥书</w:t>
      </w:r>
    </w:p>
    <w:p w14:paraId="7C04D45D">
      <w:pPr>
        <w:bidi w:val="0"/>
        <w:rPr>
          <w:rFonts w:hint="eastAsia"/>
          <w:lang w:val="en-US" w:eastAsia="zh-CN"/>
        </w:rPr>
      </w:pPr>
    </w:p>
    <w:p w14:paraId="76C13F8B">
      <w:pPr>
        <w:bidi w:val="0"/>
        <w:rPr>
          <w:rFonts w:hint="eastAsia"/>
          <w:lang w:val="en-US" w:eastAsia="zh-CN"/>
        </w:rPr>
      </w:pPr>
      <w:r>
        <w:rPr>
          <w:rFonts w:hint="eastAsia"/>
          <w:lang w:val="en-US" w:eastAsia="zh-CN"/>
        </w:rPr>
        <w:t>1:15 222</w:t>
      </w:r>
    </w:p>
    <w:p w14:paraId="4E904179">
      <w:pPr>
        <w:bidi w:val="0"/>
        <w:rPr>
          <w:rFonts w:hint="eastAsia"/>
          <w:lang w:val="en-US" w:eastAsia="zh-CN"/>
        </w:rPr>
      </w:pPr>
    </w:p>
    <w:p w14:paraId="16D28D25">
      <w:pPr>
        <w:bidi w:val="0"/>
        <w:rPr>
          <w:rFonts w:hint="eastAsia"/>
          <w:lang w:val="en-US" w:eastAsia="zh-CN"/>
        </w:rPr>
      </w:pPr>
      <w:r>
        <w:rPr>
          <w:rFonts w:hint="eastAsia"/>
          <w:lang w:val="en-US" w:eastAsia="zh-CN"/>
        </w:rPr>
        <w:t>1:15 222</w:t>
      </w:r>
    </w:p>
    <w:p w14:paraId="04509774">
      <w:pPr>
        <w:bidi w:val="0"/>
        <w:rPr>
          <w:rFonts w:hint="eastAsia"/>
          <w:lang w:val="en-US" w:eastAsia="zh-CN"/>
        </w:rPr>
      </w:pPr>
    </w:p>
    <w:p w14:paraId="62E8EF56">
      <w:pPr>
        <w:bidi w:val="0"/>
        <w:rPr>
          <w:rFonts w:hint="eastAsia"/>
          <w:lang w:val="en-US" w:eastAsia="zh-CN"/>
        </w:rPr>
      </w:pPr>
      <w:r>
        <w:rPr>
          <w:rFonts w:hint="eastAsia"/>
          <w:lang w:val="en-US" w:eastAsia="zh-CN"/>
        </w:rPr>
        <w:t>2:18-27 190, 208, 664</w:t>
      </w:r>
    </w:p>
    <w:p w14:paraId="58FB19FC">
      <w:pPr>
        <w:bidi w:val="0"/>
        <w:rPr>
          <w:rFonts w:hint="eastAsia"/>
          <w:lang w:val="en-US" w:eastAsia="zh-CN"/>
        </w:rPr>
      </w:pPr>
    </w:p>
    <w:p w14:paraId="54F735A2">
      <w:pPr>
        <w:bidi w:val="0"/>
        <w:rPr>
          <w:rFonts w:hint="eastAsia"/>
          <w:lang w:val="en-US" w:eastAsia="zh-CN"/>
        </w:rPr>
      </w:pPr>
      <w:r>
        <w:rPr>
          <w:rFonts w:hint="eastAsia"/>
          <w:lang w:val="en-US" w:eastAsia="zh-CN"/>
        </w:rPr>
        <w:t>2:18-27 190, 208, 664</w:t>
      </w:r>
    </w:p>
    <w:p w14:paraId="5CE3A619">
      <w:pPr>
        <w:bidi w:val="0"/>
        <w:rPr>
          <w:rFonts w:hint="eastAsia"/>
          <w:lang w:val="en-US" w:eastAsia="zh-CN"/>
        </w:rPr>
      </w:pPr>
    </w:p>
    <w:p w14:paraId="6F77BCF3">
      <w:pPr>
        <w:bidi w:val="0"/>
        <w:rPr>
          <w:rFonts w:hint="eastAsia"/>
          <w:lang w:val="en-US" w:eastAsia="zh-CN"/>
        </w:rPr>
      </w:pPr>
      <w:r>
        <w:rPr>
          <w:rFonts w:hint="eastAsia"/>
          <w:lang w:val="en-US" w:eastAsia="zh-CN"/>
        </w:rPr>
        <w:t>2:28-32 143, 207, 223, 265, 489, 571</w:t>
      </w:r>
    </w:p>
    <w:p w14:paraId="0EF2C617">
      <w:pPr>
        <w:bidi w:val="0"/>
        <w:rPr>
          <w:rFonts w:hint="eastAsia"/>
          <w:lang w:val="en-US" w:eastAsia="zh-CN"/>
        </w:rPr>
      </w:pPr>
    </w:p>
    <w:p w14:paraId="45BB30D4">
      <w:pPr>
        <w:bidi w:val="0"/>
        <w:rPr>
          <w:rFonts w:hint="eastAsia"/>
          <w:lang w:val="en-US" w:eastAsia="zh-CN"/>
        </w:rPr>
      </w:pPr>
      <w:r>
        <w:rPr>
          <w:rFonts w:hint="eastAsia"/>
          <w:lang w:val="en-US" w:eastAsia="zh-CN"/>
        </w:rPr>
        <w:t>2:28-32 143, 207, 223, 265, 489, 571</w:t>
      </w:r>
    </w:p>
    <w:p w14:paraId="107DE96A">
      <w:pPr>
        <w:bidi w:val="0"/>
        <w:rPr>
          <w:rFonts w:hint="eastAsia"/>
          <w:lang w:val="en-US" w:eastAsia="zh-CN"/>
        </w:rPr>
      </w:pPr>
    </w:p>
    <w:p w14:paraId="0E761573">
      <w:pPr>
        <w:bidi w:val="0"/>
        <w:rPr>
          <w:rFonts w:hint="eastAsia"/>
          <w:lang w:val="en-US" w:eastAsia="zh-CN"/>
        </w:rPr>
      </w:pPr>
      <w:r>
        <w:rPr>
          <w:rFonts w:hint="eastAsia"/>
          <w:lang w:val="en-US" w:eastAsia="zh-CN"/>
        </w:rPr>
        <w:t>2:28 63, 175, 201</w:t>
      </w:r>
    </w:p>
    <w:p w14:paraId="7DF3E110">
      <w:pPr>
        <w:bidi w:val="0"/>
        <w:rPr>
          <w:rFonts w:hint="eastAsia"/>
          <w:lang w:val="en-US" w:eastAsia="zh-CN"/>
        </w:rPr>
      </w:pPr>
    </w:p>
    <w:p w14:paraId="34374A60">
      <w:pPr>
        <w:bidi w:val="0"/>
        <w:rPr>
          <w:rFonts w:hint="eastAsia"/>
          <w:lang w:val="en-US" w:eastAsia="zh-CN"/>
        </w:rPr>
      </w:pPr>
      <w:r>
        <w:rPr>
          <w:rFonts w:hint="eastAsia"/>
          <w:lang w:val="en-US" w:eastAsia="zh-CN"/>
        </w:rPr>
        <w:t>2:28 63, 175, 201</w:t>
      </w:r>
    </w:p>
    <w:p w14:paraId="169EFD60">
      <w:pPr>
        <w:bidi w:val="0"/>
        <w:rPr>
          <w:rFonts w:hint="eastAsia"/>
          <w:lang w:val="en-US" w:eastAsia="zh-CN"/>
        </w:rPr>
      </w:pPr>
    </w:p>
    <w:p w14:paraId="7200FA58">
      <w:pPr>
        <w:bidi w:val="0"/>
        <w:rPr>
          <w:rFonts w:hint="eastAsia"/>
          <w:lang w:val="en-US" w:eastAsia="zh-CN"/>
        </w:rPr>
      </w:pPr>
      <w:r>
        <w:rPr>
          <w:rFonts w:hint="eastAsia"/>
          <w:lang w:val="en-US" w:eastAsia="zh-CN"/>
        </w:rPr>
        <w:t>2:31 518</w:t>
      </w:r>
    </w:p>
    <w:p w14:paraId="083F02D3">
      <w:pPr>
        <w:bidi w:val="0"/>
        <w:rPr>
          <w:rFonts w:hint="eastAsia"/>
          <w:lang w:val="en-US" w:eastAsia="zh-CN"/>
        </w:rPr>
      </w:pPr>
    </w:p>
    <w:p w14:paraId="73D3E5C5">
      <w:pPr>
        <w:bidi w:val="0"/>
        <w:rPr>
          <w:rFonts w:hint="eastAsia"/>
          <w:lang w:val="en-US" w:eastAsia="zh-CN"/>
        </w:rPr>
      </w:pPr>
      <w:r>
        <w:rPr>
          <w:rFonts w:hint="eastAsia"/>
          <w:lang w:val="en-US" w:eastAsia="zh-CN"/>
        </w:rPr>
        <w:t>2:31 518</w:t>
      </w:r>
    </w:p>
    <w:p w14:paraId="51A9B7C2">
      <w:pPr>
        <w:bidi w:val="0"/>
        <w:rPr>
          <w:rFonts w:hint="eastAsia"/>
          <w:lang w:val="en-US" w:eastAsia="zh-CN"/>
        </w:rPr>
      </w:pPr>
    </w:p>
    <w:p w14:paraId="49294D87">
      <w:pPr>
        <w:bidi w:val="0"/>
        <w:rPr>
          <w:rFonts w:hint="eastAsia"/>
          <w:lang w:val="en-US" w:eastAsia="zh-CN"/>
        </w:rPr>
      </w:pPr>
      <w:r>
        <w:rPr>
          <w:rFonts w:hint="eastAsia"/>
          <w:lang w:val="en-US" w:eastAsia="zh-CN"/>
        </w:rPr>
        <w:t>3:1-17 218, 332</w:t>
      </w:r>
    </w:p>
    <w:p w14:paraId="12D506D6">
      <w:pPr>
        <w:bidi w:val="0"/>
        <w:rPr>
          <w:rFonts w:hint="eastAsia"/>
          <w:lang w:val="en-US" w:eastAsia="zh-CN"/>
        </w:rPr>
      </w:pPr>
    </w:p>
    <w:p w14:paraId="5AD349C7">
      <w:pPr>
        <w:bidi w:val="0"/>
        <w:rPr>
          <w:rFonts w:hint="eastAsia"/>
          <w:lang w:val="en-US" w:eastAsia="zh-CN"/>
        </w:rPr>
      </w:pPr>
      <w:r>
        <w:rPr>
          <w:rFonts w:hint="eastAsia"/>
          <w:lang w:val="en-US" w:eastAsia="zh-CN"/>
        </w:rPr>
        <w:t>3:1-17 218, 332</w:t>
      </w:r>
    </w:p>
    <w:p w14:paraId="456CCF85">
      <w:pPr>
        <w:bidi w:val="0"/>
        <w:rPr>
          <w:rFonts w:hint="eastAsia"/>
          <w:lang w:val="en-US" w:eastAsia="zh-CN"/>
        </w:rPr>
      </w:pPr>
    </w:p>
    <w:p w14:paraId="40820395">
      <w:pPr>
        <w:bidi w:val="0"/>
        <w:rPr>
          <w:rFonts w:hint="eastAsia"/>
          <w:lang w:val="en-US" w:eastAsia="zh-CN"/>
        </w:rPr>
      </w:pPr>
      <w:r>
        <w:rPr>
          <w:rFonts w:hint="eastAsia"/>
          <w:lang w:val="en-US" w:eastAsia="zh-CN"/>
        </w:rPr>
        <w:t>3:9-21 193, 321</w:t>
      </w:r>
    </w:p>
    <w:p w14:paraId="3D917F48">
      <w:pPr>
        <w:bidi w:val="0"/>
        <w:rPr>
          <w:rFonts w:hint="eastAsia"/>
          <w:lang w:val="en-US" w:eastAsia="zh-CN"/>
        </w:rPr>
      </w:pPr>
    </w:p>
    <w:p w14:paraId="1C610832">
      <w:pPr>
        <w:bidi w:val="0"/>
        <w:rPr>
          <w:rFonts w:hint="eastAsia"/>
          <w:lang w:val="en-US" w:eastAsia="zh-CN"/>
        </w:rPr>
      </w:pPr>
      <w:r>
        <w:rPr>
          <w:rFonts w:hint="eastAsia"/>
          <w:lang w:val="en-US" w:eastAsia="zh-CN"/>
        </w:rPr>
        <w:t>3:9-21 193, 321</w:t>
      </w:r>
    </w:p>
    <w:p w14:paraId="2F1DA5B4">
      <w:pPr>
        <w:bidi w:val="0"/>
        <w:rPr>
          <w:rFonts w:hint="eastAsia"/>
          <w:lang w:val="en-US" w:eastAsia="zh-CN"/>
        </w:rPr>
      </w:pPr>
    </w:p>
    <w:p w14:paraId="4066168D">
      <w:pPr>
        <w:bidi w:val="0"/>
        <w:rPr>
          <w:rFonts w:hint="eastAsia"/>
          <w:lang w:val="en-US" w:eastAsia="zh-CN"/>
        </w:rPr>
      </w:pPr>
      <w:r>
        <w:rPr>
          <w:rFonts w:hint="eastAsia"/>
          <w:lang w:val="en-US" w:eastAsia="zh-CN"/>
        </w:rPr>
        <w:t>3:15 219</w:t>
      </w:r>
    </w:p>
    <w:p w14:paraId="68D65437">
      <w:pPr>
        <w:bidi w:val="0"/>
        <w:rPr>
          <w:rFonts w:hint="eastAsia"/>
          <w:lang w:val="en-US" w:eastAsia="zh-CN"/>
        </w:rPr>
      </w:pPr>
    </w:p>
    <w:p w14:paraId="35CB0ED0">
      <w:pPr>
        <w:bidi w:val="0"/>
        <w:rPr>
          <w:rFonts w:hint="eastAsia"/>
          <w:lang w:val="en-US" w:eastAsia="zh-CN"/>
        </w:rPr>
      </w:pPr>
      <w:r>
        <w:rPr>
          <w:rFonts w:hint="eastAsia"/>
          <w:lang w:val="en-US" w:eastAsia="zh-CN"/>
        </w:rPr>
        <w:t>3:15 219</w:t>
      </w:r>
    </w:p>
    <w:p w14:paraId="777EC03D">
      <w:pPr>
        <w:bidi w:val="0"/>
        <w:rPr>
          <w:rFonts w:hint="eastAsia"/>
          <w:lang w:val="en-US" w:eastAsia="zh-CN"/>
        </w:rPr>
      </w:pPr>
    </w:p>
    <w:p w14:paraId="2DCC79C5">
      <w:pPr>
        <w:bidi w:val="0"/>
        <w:rPr>
          <w:rFonts w:hint="eastAsia"/>
          <w:lang w:val="en-US" w:eastAsia="zh-CN"/>
        </w:rPr>
      </w:pPr>
      <w:r>
        <w:rPr>
          <w:rFonts w:hint="eastAsia"/>
          <w:lang w:val="en-US" w:eastAsia="zh-CN"/>
        </w:rPr>
        <w:t>3:17 209, 304</w:t>
      </w:r>
    </w:p>
    <w:p w14:paraId="16D21105">
      <w:pPr>
        <w:bidi w:val="0"/>
        <w:rPr>
          <w:rFonts w:hint="eastAsia"/>
          <w:lang w:val="en-US" w:eastAsia="zh-CN"/>
        </w:rPr>
      </w:pPr>
    </w:p>
    <w:p w14:paraId="78B4256D">
      <w:pPr>
        <w:bidi w:val="0"/>
        <w:rPr>
          <w:rFonts w:hint="eastAsia"/>
          <w:lang w:val="en-US" w:eastAsia="zh-CN"/>
        </w:rPr>
      </w:pPr>
      <w:r>
        <w:rPr>
          <w:rFonts w:hint="eastAsia"/>
          <w:lang w:val="en-US" w:eastAsia="zh-CN"/>
        </w:rPr>
        <w:t>3:17 209, 304</w:t>
      </w:r>
    </w:p>
    <w:p w14:paraId="36E8C153">
      <w:pPr>
        <w:bidi w:val="0"/>
        <w:rPr>
          <w:rFonts w:hint="eastAsia"/>
          <w:lang w:val="en-US" w:eastAsia="zh-CN"/>
        </w:rPr>
      </w:pPr>
    </w:p>
    <w:p w14:paraId="34D4DB67">
      <w:pPr>
        <w:bidi w:val="0"/>
        <w:rPr>
          <w:rFonts w:hint="eastAsia"/>
          <w:lang w:val="en-US" w:eastAsia="zh-CN"/>
        </w:rPr>
      </w:pPr>
      <w:r>
        <w:rPr>
          <w:rFonts w:hint="eastAsia"/>
          <w:lang w:val="en-US" w:eastAsia="zh-CN"/>
        </w:rPr>
        <w:t>3:18-21 202, 203, 399</w:t>
      </w:r>
    </w:p>
    <w:p w14:paraId="1F55A28D">
      <w:pPr>
        <w:bidi w:val="0"/>
        <w:rPr>
          <w:rFonts w:hint="eastAsia"/>
          <w:lang w:val="en-US" w:eastAsia="zh-CN"/>
        </w:rPr>
      </w:pPr>
    </w:p>
    <w:p w14:paraId="2D1D3B09">
      <w:pPr>
        <w:bidi w:val="0"/>
        <w:rPr>
          <w:rFonts w:hint="eastAsia"/>
          <w:lang w:val="en-US" w:eastAsia="zh-CN"/>
        </w:rPr>
      </w:pPr>
      <w:r>
        <w:rPr>
          <w:rFonts w:hint="eastAsia"/>
          <w:lang w:val="en-US" w:eastAsia="zh-CN"/>
        </w:rPr>
        <w:t>3:18-21 202, 203, 399</w:t>
      </w:r>
    </w:p>
    <w:p w14:paraId="7EA63C25">
      <w:pPr>
        <w:bidi w:val="0"/>
        <w:rPr>
          <w:rFonts w:hint="eastAsia"/>
          <w:lang w:val="en-US" w:eastAsia="zh-CN"/>
        </w:rPr>
      </w:pPr>
    </w:p>
    <w:p w14:paraId="576D703D">
      <w:pPr>
        <w:bidi w:val="0"/>
        <w:rPr>
          <w:rFonts w:hint="eastAsia"/>
          <w:lang w:val="en-US" w:eastAsia="zh-CN"/>
        </w:rPr>
      </w:pPr>
      <w:r>
        <w:rPr>
          <w:rFonts w:hint="eastAsia"/>
          <w:lang w:val="en-US" w:eastAsia="zh-CN"/>
        </w:rPr>
        <w:t>3:20 190, 629</w:t>
      </w:r>
    </w:p>
    <w:p w14:paraId="4DFF5E78">
      <w:pPr>
        <w:bidi w:val="0"/>
        <w:rPr>
          <w:rFonts w:hint="eastAsia"/>
          <w:lang w:val="en-US" w:eastAsia="zh-CN"/>
        </w:rPr>
      </w:pPr>
    </w:p>
    <w:p w14:paraId="4F6AB2D8">
      <w:pPr>
        <w:bidi w:val="0"/>
        <w:rPr>
          <w:rFonts w:hint="eastAsia"/>
          <w:lang w:val="en-US" w:eastAsia="zh-CN"/>
        </w:rPr>
      </w:pPr>
      <w:r>
        <w:rPr>
          <w:rFonts w:hint="eastAsia"/>
          <w:lang w:val="en-US" w:eastAsia="zh-CN"/>
        </w:rPr>
        <w:t>3:20 190, 629</w:t>
      </w:r>
    </w:p>
    <w:p w14:paraId="72D7D813">
      <w:pPr>
        <w:bidi w:val="0"/>
        <w:rPr>
          <w:rFonts w:hint="eastAsia"/>
          <w:lang w:val="en-US" w:eastAsia="zh-CN"/>
        </w:rPr>
      </w:pPr>
    </w:p>
    <w:p w14:paraId="7BBB58E0">
      <w:pPr>
        <w:bidi w:val="0"/>
        <w:rPr>
          <w:rFonts w:hint="eastAsia"/>
          <w:lang w:val="en-US" w:eastAsia="zh-CN"/>
        </w:rPr>
      </w:pPr>
      <w:r>
        <w:rPr>
          <w:rFonts w:hint="eastAsia"/>
          <w:lang w:val="en-US" w:eastAsia="zh-CN"/>
        </w:rPr>
        <w:t>Amos</w:t>
      </w:r>
    </w:p>
    <w:p w14:paraId="10BAE3E8">
      <w:pPr>
        <w:bidi w:val="0"/>
        <w:rPr>
          <w:rFonts w:hint="eastAsia"/>
          <w:lang w:val="en-US" w:eastAsia="zh-CN"/>
        </w:rPr>
      </w:pPr>
    </w:p>
    <w:p w14:paraId="41CAE233">
      <w:pPr>
        <w:bidi w:val="0"/>
        <w:rPr>
          <w:rFonts w:hint="eastAsia"/>
          <w:lang w:val="en-US" w:eastAsia="zh-CN"/>
        </w:rPr>
      </w:pPr>
      <w:r>
        <w:rPr>
          <w:rFonts w:hint="eastAsia"/>
          <w:lang w:val="en-US" w:eastAsia="zh-CN"/>
        </w:rPr>
        <w:t>阿摩司书</w:t>
      </w:r>
    </w:p>
    <w:p w14:paraId="778CFA5D">
      <w:pPr>
        <w:bidi w:val="0"/>
        <w:rPr>
          <w:rFonts w:hint="eastAsia"/>
          <w:lang w:val="en-US" w:eastAsia="zh-CN"/>
        </w:rPr>
      </w:pPr>
    </w:p>
    <w:p w14:paraId="157B87D5">
      <w:pPr>
        <w:bidi w:val="0"/>
        <w:rPr>
          <w:rFonts w:hint="eastAsia"/>
          <w:lang w:val="en-US" w:eastAsia="zh-CN"/>
        </w:rPr>
      </w:pPr>
      <w:r>
        <w:rPr>
          <w:rFonts w:hint="eastAsia"/>
          <w:lang w:val="en-US" w:eastAsia="zh-CN"/>
        </w:rPr>
        <w:t>5:1f 567</w:t>
      </w:r>
    </w:p>
    <w:p w14:paraId="7014F083">
      <w:pPr>
        <w:bidi w:val="0"/>
        <w:rPr>
          <w:rFonts w:hint="eastAsia"/>
          <w:lang w:val="en-US" w:eastAsia="zh-CN"/>
        </w:rPr>
      </w:pPr>
    </w:p>
    <w:p w14:paraId="79715B86">
      <w:pPr>
        <w:bidi w:val="0"/>
        <w:rPr>
          <w:rFonts w:hint="eastAsia"/>
          <w:lang w:val="en-US" w:eastAsia="zh-CN"/>
        </w:rPr>
      </w:pPr>
      <w:r>
        <w:rPr>
          <w:rFonts w:hint="eastAsia"/>
          <w:lang w:val="en-US" w:eastAsia="zh-CN"/>
        </w:rPr>
        <w:t>5:1f 567</w:t>
      </w:r>
    </w:p>
    <w:p w14:paraId="6A394CA1">
      <w:pPr>
        <w:bidi w:val="0"/>
        <w:rPr>
          <w:rFonts w:hint="eastAsia"/>
          <w:lang w:val="en-US" w:eastAsia="zh-CN"/>
        </w:rPr>
      </w:pPr>
    </w:p>
    <w:p w14:paraId="73598147">
      <w:pPr>
        <w:bidi w:val="0"/>
        <w:rPr>
          <w:rFonts w:hint="eastAsia"/>
          <w:lang w:val="en-US" w:eastAsia="zh-CN"/>
        </w:rPr>
      </w:pPr>
      <w:r>
        <w:rPr>
          <w:rFonts w:hint="eastAsia"/>
          <w:lang w:val="en-US" w:eastAsia="zh-CN"/>
        </w:rPr>
        <w:t>5:18-20 222</w:t>
      </w:r>
    </w:p>
    <w:p w14:paraId="0C21C513">
      <w:pPr>
        <w:bidi w:val="0"/>
        <w:rPr>
          <w:rFonts w:hint="eastAsia"/>
          <w:lang w:val="en-US" w:eastAsia="zh-CN"/>
        </w:rPr>
      </w:pPr>
    </w:p>
    <w:p w14:paraId="7F0960F7">
      <w:pPr>
        <w:bidi w:val="0"/>
        <w:rPr>
          <w:rFonts w:hint="eastAsia"/>
          <w:lang w:val="en-US" w:eastAsia="zh-CN"/>
        </w:rPr>
      </w:pPr>
      <w:r>
        <w:rPr>
          <w:rFonts w:hint="eastAsia"/>
          <w:lang w:val="en-US" w:eastAsia="zh-CN"/>
        </w:rPr>
        <w:t>5:18-20 222</w:t>
      </w:r>
    </w:p>
    <w:p w14:paraId="50C36696">
      <w:pPr>
        <w:bidi w:val="0"/>
        <w:rPr>
          <w:rFonts w:hint="eastAsia"/>
          <w:lang w:val="en-US" w:eastAsia="zh-CN"/>
        </w:rPr>
      </w:pPr>
    </w:p>
    <w:p w14:paraId="18D4DC24">
      <w:pPr>
        <w:bidi w:val="0"/>
        <w:rPr>
          <w:rFonts w:hint="eastAsia"/>
          <w:lang w:val="en-US" w:eastAsia="zh-CN"/>
        </w:rPr>
      </w:pPr>
      <w:r>
        <w:rPr>
          <w:rFonts w:hint="eastAsia"/>
          <w:lang w:val="en-US" w:eastAsia="zh-CN"/>
        </w:rPr>
        <w:t>9:11-18 197, 208, 687</w:t>
      </w:r>
    </w:p>
    <w:p w14:paraId="21D6256C">
      <w:pPr>
        <w:bidi w:val="0"/>
        <w:rPr>
          <w:rFonts w:hint="eastAsia"/>
          <w:lang w:val="en-US" w:eastAsia="zh-CN"/>
        </w:rPr>
      </w:pPr>
    </w:p>
    <w:p w14:paraId="797B509A">
      <w:pPr>
        <w:bidi w:val="0"/>
        <w:rPr>
          <w:rFonts w:hint="eastAsia"/>
          <w:lang w:val="en-US" w:eastAsia="zh-CN"/>
        </w:rPr>
      </w:pPr>
      <w:r>
        <w:rPr>
          <w:rFonts w:hint="eastAsia"/>
          <w:lang w:val="en-US" w:eastAsia="zh-CN"/>
        </w:rPr>
        <w:t>9:11-18 197, 208, 687</w:t>
      </w:r>
    </w:p>
    <w:p w14:paraId="59DCA8A0">
      <w:pPr>
        <w:bidi w:val="0"/>
        <w:rPr>
          <w:rFonts w:hint="eastAsia"/>
          <w:lang w:val="en-US" w:eastAsia="zh-CN"/>
        </w:rPr>
      </w:pPr>
    </w:p>
    <w:p w14:paraId="554BCBC6">
      <w:pPr>
        <w:bidi w:val="0"/>
        <w:rPr>
          <w:rFonts w:hint="eastAsia"/>
          <w:lang w:val="en-US" w:eastAsia="zh-CN"/>
        </w:rPr>
      </w:pPr>
      <w:r>
        <w:rPr>
          <w:rFonts w:hint="eastAsia"/>
          <w:lang w:val="en-US" w:eastAsia="zh-CN"/>
        </w:rPr>
        <w:t>9:11-12 262, 473, 658</w:t>
      </w:r>
    </w:p>
    <w:p w14:paraId="31C5C32A">
      <w:pPr>
        <w:bidi w:val="0"/>
        <w:rPr>
          <w:rFonts w:hint="eastAsia"/>
          <w:lang w:val="en-US" w:eastAsia="zh-CN"/>
        </w:rPr>
      </w:pPr>
    </w:p>
    <w:p w14:paraId="593907AD">
      <w:pPr>
        <w:bidi w:val="0"/>
        <w:rPr>
          <w:rFonts w:hint="eastAsia"/>
          <w:lang w:val="en-US" w:eastAsia="zh-CN"/>
        </w:rPr>
      </w:pPr>
      <w:r>
        <w:rPr>
          <w:rFonts w:hint="eastAsia"/>
          <w:lang w:val="en-US" w:eastAsia="zh-CN"/>
        </w:rPr>
        <w:t>9:11-12 262, 473, 658</w:t>
      </w:r>
    </w:p>
    <w:p w14:paraId="40435423">
      <w:pPr>
        <w:bidi w:val="0"/>
        <w:rPr>
          <w:rFonts w:hint="eastAsia"/>
          <w:lang w:val="en-US" w:eastAsia="zh-CN"/>
        </w:rPr>
      </w:pPr>
    </w:p>
    <w:p w14:paraId="37118DA5">
      <w:pPr>
        <w:bidi w:val="0"/>
        <w:rPr>
          <w:rFonts w:hint="eastAsia"/>
          <w:lang w:val="en-US" w:eastAsia="zh-CN"/>
        </w:rPr>
      </w:pPr>
      <w:r>
        <w:rPr>
          <w:rFonts w:hint="eastAsia"/>
          <w:lang w:val="en-US" w:eastAsia="zh-CN"/>
        </w:rPr>
        <w:t>9:11-15 190</w:t>
      </w:r>
    </w:p>
    <w:p w14:paraId="56FADE88">
      <w:pPr>
        <w:bidi w:val="0"/>
        <w:rPr>
          <w:rFonts w:hint="eastAsia"/>
          <w:lang w:val="en-US" w:eastAsia="zh-CN"/>
        </w:rPr>
      </w:pPr>
    </w:p>
    <w:p w14:paraId="49A4FEF3">
      <w:pPr>
        <w:bidi w:val="0"/>
        <w:rPr>
          <w:rFonts w:hint="eastAsia"/>
          <w:lang w:val="en-US" w:eastAsia="zh-CN"/>
        </w:rPr>
      </w:pPr>
      <w:r>
        <w:rPr>
          <w:rFonts w:hint="eastAsia"/>
          <w:lang w:val="en-US" w:eastAsia="zh-CN"/>
        </w:rPr>
        <w:t>9:11-15 190</w:t>
      </w:r>
    </w:p>
    <w:p w14:paraId="67A59962">
      <w:pPr>
        <w:bidi w:val="0"/>
        <w:rPr>
          <w:rFonts w:hint="eastAsia"/>
          <w:lang w:val="en-US" w:eastAsia="zh-CN"/>
        </w:rPr>
      </w:pPr>
    </w:p>
    <w:p w14:paraId="34FD661A">
      <w:pPr>
        <w:bidi w:val="0"/>
        <w:rPr>
          <w:rFonts w:hint="eastAsia"/>
          <w:lang w:val="en-US" w:eastAsia="zh-CN"/>
        </w:rPr>
      </w:pPr>
      <w:r>
        <w:rPr>
          <w:rFonts w:hint="eastAsia"/>
          <w:lang w:val="en-US" w:eastAsia="zh-CN"/>
        </w:rPr>
        <w:t>9:13-14 658</w:t>
      </w:r>
    </w:p>
    <w:p w14:paraId="45FA20D6">
      <w:pPr>
        <w:bidi w:val="0"/>
        <w:rPr>
          <w:rFonts w:hint="eastAsia"/>
          <w:lang w:val="en-US" w:eastAsia="zh-CN"/>
        </w:rPr>
      </w:pPr>
    </w:p>
    <w:p w14:paraId="6167D33A">
      <w:pPr>
        <w:bidi w:val="0"/>
        <w:rPr>
          <w:rFonts w:hint="eastAsia"/>
          <w:lang w:val="en-US" w:eastAsia="zh-CN"/>
        </w:rPr>
      </w:pPr>
      <w:r>
        <w:rPr>
          <w:rFonts w:hint="eastAsia"/>
          <w:lang w:val="en-US" w:eastAsia="zh-CN"/>
        </w:rPr>
        <w:t>9:13-14 658</w:t>
      </w:r>
    </w:p>
    <w:p w14:paraId="5070132D">
      <w:pPr>
        <w:bidi w:val="0"/>
        <w:rPr>
          <w:rFonts w:hint="eastAsia"/>
          <w:lang w:val="en-US" w:eastAsia="zh-CN"/>
        </w:rPr>
      </w:pPr>
    </w:p>
    <w:p w14:paraId="5DFDD1CA">
      <w:pPr>
        <w:bidi w:val="0"/>
        <w:rPr>
          <w:rFonts w:hint="eastAsia"/>
          <w:lang w:val="en-US" w:eastAsia="zh-CN"/>
        </w:rPr>
      </w:pPr>
      <w:r>
        <w:rPr>
          <w:rFonts w:hint="eastAsia"/>
          <w:lang w:val="en-US" w:eastAsia="zh-CN"/>
        </w:rPr>
        <w:t>Obadiah</w:t>
      </w:r>
    </w:p>
    <w:p w14:paraId="4751E6E3">
      <w:pPr>
        <w:bidi w:val="0"/>
        <w:rPr>
          <w:rFonts w:hint="eastAsia"/>
          <w:lang w:val="en-US" w:eastAsia="zh-CN"/>
        </w:rPr>
      </w:pPr>
    </w:p>
    <w:p w14:paraId="59935FFF">
      <w:pPr>
        <w:bidi w:val="0"/>
        <w:rPr>
          <w:rFonts w:hint="eastAsia"/>
          <w:lang w:val="en-US" w:eastAsia="zh-CN"/>
        </w:rPr>
      </w:pPr>
      <w:r>
        <w:rPr>
          <w:rFonts w:hint="eastAsia"/>
          <w:lang w:val="en-US" w:eastAsia="zh-CN"/>
        </w:rPr>
        <w:t>俄巴底亚书</w:t>
      </w:r>
    </w:p>
    <w:p w14:paraId="67185733">
      <w:pPr>
        <w:bidi w:val="0"/>
        <w:rPr>
          <w:rFonts w:hint="eastAsia"/>
          <w:lang w:val="en-US" w:eastAsia="zh-CN"/>
        </w:rPr>
      </w:pPr>
    </w:p>
    <w:p w14:paraId="6F548FA0">
      <w:pPr>
        <w:bidi w:val="0"/>
        <w:rPr>
          <w:rFonts w:hint="eastAsia"/>
          <w:lang w:val="en-US" w:eastAsia="zh-CN"/>
        </w:rPr>
      </w:pPr>
      <w:r>
        <w:rPr>
          <w:rFonts w:hint="eastAsia"/>
          <w:lang w:val="en-US" w:eastAsia="zh-CN"/>
        </w:rPr>
        <w:t>1:15-21 663, 192, 222, 223, 571</w:t>
      </w:r>
    </w:p>
    <w:p w14:paraId="49DA2063">
      <w:pPr>
        <w:bidi w:val="0"/>
        <w:rPr>
          <w:rFonts w:hint="eastAsia"/>
          <w:lang w:val="en-US" w:eastAsia="zh-CN"/>
        </w:rPr>
      </w:pPr>
    </w:p>
    <w:p w14:paraId="45C88809">
      <w:pPr>
        <w:bidi w:val="0"/>
        <w:rPr>
          <w:rFonts w:hint="eastAsia"/>
          <w:lang w:val="en-US" w:eastAsia="zh-CN"/>
        </w:rPr>
      </w:pPr>
      <w:r>
        <w:rPr>
          <w:rFonts w:hint="eastAsia"/>
          <w:lang w:val="en-US" w:eastAsia="zh-CN"/>
        </w:rPr>
        <w:t>1:15-21 663, 192, 222, 223, 571</w:t>
      </w:r>
    </w:p>
    <w:p w14:paraId="10907C77">
      <w:pPr>
        <w:bidi w:val="0"/>
        <w:rPr>
          <w:rFonts w:hint="eastAsia"/>
          <w:lang w:val="en-US" w:eastAsia="zh-CN"/>
        </w:rPr>
      </w:pPr>
    </w:p>
    <w:p w14:paraId="3C73971C">
      <w:pPr>
        <w:bidi w:val="0"/>
        <w:rPr>
          <w:rFonts w:hint="eastAsia"/>
          <w:lang w:val="en-US" w:eastAsia="zh-CN"/>
        </w:rPr>
      </w:pPr>
      <w:r>
        <w:rPr>
          <w:rFonts w:hint="eastAsia"/>
          <w:lang w:val="en-US" w:eastAsia="zh-CN"/>
        </w:rPr>
        <w:t>1:21 190</w:t>
      </w:r>
    </w:p>
    <w:p w14:paraId="5F5F803C">
      <w:pPr>
        <w:bidi w:val="0"/>
        <w:rPr>
          <w:rFonts w:hint="eastAsia"/>
          <w:lang w:val="en-US" w:eastAsia="zh-CN"/>
        </w:rPr>
      </w:pPr>
    </w:p>
    <w:p w14:paraId="36868926">
      <w:pPr>
        <w:bidi w:val="0"/>
        <w:rPr>
          <w:rFonts w:hint="eastAsia"/>
          <w:lang w:val="en-US" w:eastAsia="zh-CN"/>
        </w:rPr>
      </w:pPr>
      <w:r>
        <w:rPr>
          <w:rFonts w:hint="eastAsia"/>
          <w:lang w:val="en-US" w:eastAsia="zh-CN"/>
        </w:rPr>
        <w:t>1:21 190</w:t>
      </w:r>
    </w:p>
    <w:p w14:paraId="0053428F">
      <w:pPr>
        <w:bidi w:val="0"/>
        <w:rPr>
          <w:rFonts w:hint="eastAsia"/>
          <w:lang w:val="en-US" w:eastAsia="zh-CN"/>
        </w:rPr>
      </w:pPr>
    </w:p>
    <w:p w14:paraId="7617C82C">
      <w:pPr>
        <w:bidi w:val="0"/>
        <w:rPr>
          <w:rFonts w:hint="eastAsia"/>
          <w:lang w:val="en-US" w:eastAsia="zh-CN"/>
        </w:rPr>
      </w:pPr>
      <w:r>
        <w:rPr>
          <w:rFonts w:hint="eastAsia"/>
          <w:lang w:val="en-US" w:eastAsia="zh-CN"/>
        </w:rPr>
        <w:t>Micah</w:t>
      </w:r>
    </w:p>
    <w:p w14:paraId="7E94D5BB">
      <w:pPr>
        <w:bidi w:val="0"/>
        <w:rPr>
          <w:rFonts w:hint="eastAsia"/>
          <w:lang w:val="en-US" w:eastAsia="zh-CN"/>
        </w:rPr>
      </w:pPr>
    </w:p>
    <w:p w14:paraId="269F1B91">
      <w:pPr>
        <w:bidi w:val="0"/>
        <w:rPr>
          <w:rFonts w:hint="eastAsia"/>
          <w:lang w:val="en-US" w:eastAsia="zh-CN"/>
        </w:rPr>
      </w:pPr>
      <w:r>
        <w:rPr>
          <w:rFonts w:hint="eastAsia"/>
          <w:lang w:val="en-US" w:eastAsia="zh-CN"/>
        </w:rPr>
        <w:t>弥迦书</w:t>
      </w:r>
    </w:p>
    <w:p w14:paraId="40139186">
      <w:pPr>
        <w:bidi w:val="0"/>
        <w:rPr>
          <w:rFonts w:hint="eastAsia"/>
          <w:lang w:val="en-US" w:eastAsia="zh-CN"/>
        </w:rPr>
      </w:pPr>
    </w:p>
    <w:p w14:paraId="176AE6FA">
      <w:pPr>
        <w:bidi w:val="0"/>
        <w:rPr>
          <w:rFonts w:hint="eastAsia"/>
          <w:lang w:val="en-US" w:eastAsia="zh-CN"/>
        </w:rPr>
      </w:pPr>
      <w:r>
        <w:rPr>
          <w:rFonts w:hint="eastAsia"/>
          <w:lang w:val="en-US" w:eastAsia="zh-CN"/>
        </w:rPr>
        <w:t>1:3-4 397</w:t>
      </w:r>
    </w:p>
    <w:p w14:paraId="2F90A193">
      <w:pPr>
        <w:bidi w:val="0"/>
        <w:rPr>
          <w:rFonts w:hint="eastAsia"/>
          <w:lang w:val="en-US" w:eastAsia="zh-CN"/>
        </w:rPr>
      </w:pPr>
    </w:p>
    <w:p w14:paraId="3B37F3EA">
      <w:pPr>
        <w:bidi w:val="0"/>
        <w:rPr>
          <w:rFonts w:hint="eastAsia"/>
          <w:lang w:val="en-US" w:eastAsia="zh-CN"/>
        </w:rPr>
      </w:pPr>
      <w:r>
        <w:rPr>
          <w:rFonts w:hint="eastAsia"/>
          <w:lang w:val="en-US" w:eastAsia="zh-CN"/>
        </w:rPr>
        <w:t>1:3-4 397</w:t>
      </w:r>
    </w:p>
    <w:p w14:paraId="3E049934">
      <w:pPr>
        <w:bidi w:val="0"/>
        <w:rPr>
          <w:rFonts w:hint="eastAsia"/>
          <w:lang w:val="en-US" w:eastAsia="zh-CN"/>
        </w:rPr>
      </w:pPr>
    </w:p>
    <w:p w14:paraId="126B9AB1">
      <w:pPr>
        <w:bidi w:val="0"/>
        <w:rPr>
          <w:rFonts w:hint="eastAsia"/>
          <w:lang w:val="en-US" w:eastAsia="zh-CN"/>
        </w:rPr>
      </w:pPr>
      <w:r>
        <w:rPr>
          <w:rFonts w:hint="eastAsia"/>
          <w:lang w:val="en-US" w:eastAsia="zh-CN"/>
        </w:rPr>
        <w:t>2:12-30 200</w:t>
      </w:r>
    </w:p>
    <w:p w14:paraId="5251979D">
      <w:pPr>
        <w:bidi w:val="0"/>
        <w:rPr>
          <w:rFonts w:hint="eastAsia"/>
          <w:lang w:val="en-US" w:eastAsia="zh-CN"/>
        </w:rPr>
      </w:pPr>
    </w:p>
    <w:p w14:paraId="02649127">
      <w:pPr>
        <w:bidi w:val="0"/>
        <w:rPr>
          <w:rFonts w:hint="eastAsia"/>
          <w:lang w:val="en-US" w:eastAsia="zh-CN"/>
        </w:rPr>
      </w:pPr>
      <w:r>
        <w:rPr>
          <w:rFonts w:hint="eastAsia"/>
          <w:lang w:val="en-US" w:eastAsia="zh-CN"/>
        </w:rPr>
        <w:t>2:12-30 200</w:t>
      </w:r>
    </w:p>
    <w:p w14:paraId="4FEA117F">
      <w:pPr>
        <w:bidi w:val="0"/>
        <w:rPr>
          <w:rFonts w:hint="eastAsia"/>
          <w:lang w:val="en-US" w:eastAsia="zh-CN"/>
        </w:rPr>
      </w:pPr>
    </w:p>
    <w:p w14:paraId="6EC3E4C1">
      <w:pPr>
        <w:bidi w:val="0"/>
        <w:rPr>
          <w:rFonts w:hint="eastAsia"/>
          <w:lang w:val="en-US" w:eastAsia="zh-CN"/>
        </w:rPr>
      </w:pPr>
      <w:r>
        <w:rPr>
          <w:rFonts w:hint="eastAsia"/>
          <w:lang w:val="en-US" w:eastAsia="zh-CN"/>
        </w:rPr>
        <w:t>2:12-13 172, 200, 216</w:t>
      </w:r>
    </w:p>
    <w:p w14:paraId="52B9B83A">
      <w:pPr>
        <w:bidi w:val="0"/>
        <w:rPr>
          <w:rFonts w:hint="eastAsia"/>
          <w:lang w:val="en-US" w:eastAsia="zh-CN"/>
        </w:rPr>
      </w:pPr>
    </w:p>
    <w:p w14:paraId="0FC41D1A">
      <w:pPr>
        <w:bidi w:val="0"/>
        <w:rPr>
          <w:rFonts w:hint="eastAsia"/>
          <w:lang w:val="en-US" w:eastAsia="zh-CN"/>
        </w:rPr>
      </w:pPr>
      <w:r>
        <w:rPr>
          <w:rFonts w:hint="eastAsia"/>
          <w:lang w:val="en-US" w:eastAsia="zh-CN"/>
        </w:rPr>
        <w:t>2:12-13 172, 200, 216</w:t>
      </w:r>
    </w:p>
    <w:p w14:paraId="454614AE">
      <w:pPr>
        <w:bidi w:val="0"/>
        <w:rPr>
          <w:rFonts w:hint="eastAsia"/>
          <w:lang w:val="en-US" w:eastAsia="zh-CN"/>
        </w:rPr>
      </w:pPr>
    </w:p>
    <w:p w14:paraId="36149979">
      <w:pPr>
        <w:bidi w:val="0"/>
        <w:rPr>
          <w:rFonts w:hint="eastAsia"/>
          <w:lang w:val="en-US" w:eastAsia="zh-CN"/>
        </w:rPr>
      </w:pPr>
      <w:r>
        <w:rPr>
          <w:rFonts w:hint="eastAsia"/>
          <w:lang w:val="en-US" w:eastAsia="zh-CN"/>
        </w:rPr>
        <w:t>4:1-5 11, 191, 251, 201, 251, 399, 473</w:t>
      </w:r>
    </w:p>
    <w:p w14:paraId="2DF6395A">
      <w:pPr>
        <w:bidi w:val="0"/>
        <w:rPr>
          <w:rFonts w:hint="eastAsia"/>
          <w:lang w:val="en-US" w:eastAsia="zh-CN"/>
        </w:rPr>
      </w:pPr>
    </w:p>
    <w:p w14:paraId="087463CB">
      <w:pPr>
        <w:bidi w:val="0"/>
        <w:rPr>
          <w:rFonts w:hint="eastAsia"/>
          <w:lang w:val="en-US" w:eastAsia="zh-CN"/>
        </w:rPr>
      </w:pPr>
      <w:r>
        <w:rPr>
          <w:rFonts w:hint="eastAsia"/>
          <w:lang w:val="en-US" w:eastAsia="zh-CN"/>
        </w:rPr>
        <w:t>4:1-5 11, 191, 251, 201, 251, 399, 473</w:t>
      </w:r>
    </w:p>
    <w:p w14:paraId="0C982150">
      <w:pPr>
        <w:bidi w:val="0"/>
        <w:rPr>
          <w:rFonts w:hint="eastAsia"/>
          <w:lang w:val="en-US" w:eastAsia="zh-CN"/>
        </w:rPr>
      </w:pPr>
    </w:p>
    <w:p w14:paraId="5E0D3FC9">
      <w:pPr>
        <w:bidi w:val="0"/>
        <w:rPr>
          <w:rFonts w:hint="eastAsia"/>
          <w:lang w:val="en-US" w:eastAsia="zh-CN"/>
        </w:rPr>
      </w:pPr>
      <w:r>
        <w:rPr>
          <w:rFonts w:hint="eastAsia"/>
          <w:lang w:val="en-US" w:eastAsia="zh-CN"/>
        </w:rPr>
        <w:t>4:11ff 218, 321</w:t>
      </w:r>
    </w:p>
    <w:p w14:paraId="297D7392">
      <w:pPr>
        <w:bidi w:val="0"/>
        <w:rPr>
          <w:rFonts w:hint="eastAsia"/>
          <w:lang w:val="en-US" w:eastAsia="zh-CN"/>
        </w:rPr>
      </w:pPr>
    </w:p>
    <w:p w14:paraId="4F10D500">
      <w:pPr>
        <w:bidi w:val="0"/>
        <w:rPr>
          <w:rFonts w:hint="eastAsia"/>
          <w:lang w:val="en-US" w:eastAsia="zh-CN"/>
        </w:rPr>
      </w:pPr>
      <w:r>
        <w:rPr>
          <w:rFonts w:hint="eastAsia"/>
          <w:lang w:val="en-US" w:eastAsia="zh-CN"/>
        </w:rPr>
        <w:t>4:11ff 218, 321</w:t>
      </w:r>
    </w:p>
    <w:p w14:paraId="517B6F9E">
      <w:pPr>
        <w:bidi w:val="0"/>
        <w:rPr>
          <w:rFonts w:hint="eastAsia"/>
          <w:lang w:val="en-US" w:eastAsia="zh-CN"/>
        </w:rPr>
      </w:pPr>
    </w:p>
    <w:p w14:paraId="7D75F7DE">
      <w:pPr>
        <w:bidi w:val="0"/>
        <w:rPr>
          <w:rFonts w:hint="eastAsia"/>
          <w:lang w:val="en-US" w:eastAsia="zh-CN"/>
        </w:rPr>
      </w:pPr>
      <w:r>
        <w:rPr>
          <w:rFonts w:hint="eastAsia"/>
          <w:lang w:val="en-US" w:eastAsia="zh-CN"/>
        </w:rPr>
        <w:t>5:1-9 197, 209, 216</w:t>
      </w:r>
    </w:p>
    <w:p w14:paraId="76FD563D">
      <w:pPr>
        <w:bidi w:val="0"/>
        <w:rPr>
          <w:rFonts w:hint="eastAsia"/>
          <w:lang w:val="en-US" w:eastAsia="zh-CN"/>
        </w:rPr>
      </w:pPr>
    </w:p>
    <w:p w14:paraId="482449DD">
      <w:pPr>
        <w:bidi w:val="0"/>
        <w:rPr>
          <w:rFonts w:hint="eastAsia"/>
          <w:lang w:val="en-US" w:eastAsia="zh-CN"/>
        </w:rPr>
      </w:pPr>
      <w:r>
        <w:rPr>
          <w:rFonts w:hint="eastAsia"/>
          <w:lang w:val="en-US" w:eastAsia="zh-CN"/>
        </w:rPr>
        <w:t>5:1-9 197, 209, 216</w:t>
      </w:r>
    </w:p>
    <w:p w14:paraId="17B859DE">
      <w:pPr>
        <w:bidi w:val="0"/>
        <w:rPr>
          <w:rFonts w:hint="eastAsia"/>
          <w:lang w:val="en-US" w:eastAsia="zh-CN"/>
        </w:rPr>
      </w:pPr>
    </w:p>
    <w:p w14:paraId="1B4A20CA">
      <w:pPr>
        <w:bidi w:val="0"/>
        <w:rPr>
          <w:rFonts w:hint="eastAsia"/>
          <w:lang w:val="en-US" w:eastAsia="zh-CN"/>
        </w:rPr>
      </w:pPr>
      <w:r>
        <w:rPr>
          <w:rFonts w:hint="eastAsia"/>
          <w:lang w:val="en-US" w:eastAsia="zh-CN"/>
        </w:rPr>
        <w:t>5:2 197, 253</w:t>
      </w:r>
    </w:p>
    <w:p w14:paraId="56594CA0">
      <w:pPr>
        <w:bidi w:val="0"/>
        <w:rPr>
          <w:rFonts w:hint="eastAsia"/>
          <w:lang w:val="en-US" w:eastAsia="zh-CN"/>
        </w:rPr>
      </w:pPr>
    </w:p>
    <w:p w14:paraId="41C2D86D">
      <w:pPr>
        <w:bidi w:val="0"/>
        <w:rPr>
          <w:rFonts w:hint="eastAsia"/>
          <w:lang w:val="en-US" w:eastAsia="zh-CN"/>
        </w:rPr>
      </w:pPr>
      <w:r>
        <w:rPr>
          <w:rFonts w:hint="eastAsia"/>
          <w:lang w:val="en-US" w:eastAsia="zh-CN"/>
        </w:rPr>
        <w:t>5:2 197, 253</w:t>
      </w:r>
    </w:p>
    <w:p w14:paraId="4D0E197D">
      <w:pPr>
        <w:bidi w:val="0"/>
        <w:rPr>
          <w:rFonts w:hint="eastAsia"/>
          <w:lang w:val="en-US" w:eastAsia="zh-CN"/>
        </w:rPr>
      </w:pPr>
    </w:p>
    <w:p w14:paraId="29AFD352">
      <w:pPr>
        <w:bidi w:val="0"/>
        <w:rPr>
          <w:rFonts w:hint="eastAsia"/>
          <w:lang w:val="en-US" w:eastAsia="zh-CN"/>
        </w:rPr>
      </w:pPr>
      <w:r>
        <w:rPr>
          <w:rFonts w:hint="eastAsia"/>
          <w:lang w:val="en-US" w:eastAsia="zh-CN"/>
        </w:rPr>
        <w:t>7:8-20 207, 208</w:t>
      </w:r>
    </w:p>
    <w:p w14:paraId="6E0B41F5">
      <w:pPr>
        <w:bidi w:val="0"/>
        <w:rPr>
          <w:rFonts w:hint="eastAsia"/>
          <w:lang w:val="en-US" w:eastAsia="zh-CN"/>
        </w:rPr>
      </w:pPr>
    </w:p>
    <w:p w14:paraId="6614E108">
      <w:pPr>
        <w:bidi w:val="0"/>
        <w:rPr>
          <w:rFonts w:hint="eastAsia"/>
          <w:lang w:val="en-US" w:eastAsia="zh-CN"/>
        </w:rPr>
      </w:pPr>
      <w:r>
        <w:rPr>
          <w:rFonts w:hint="eastAsia"/>
          <w:lang w:val="en-US" w:eastAsia="zh-CN"/>
        </w:rPr>
        <w:t>7:8-20 207, 208</w:t>
      </w:r>
    </w:p>
    <w:p w14:paraId="685301C5">
      <w:pPr>
        <w:bidi w:val="0"/>
        <w:rPr>
          <w:rFonts w:hint="eastAsia"/>
          <w:lang w:val="en-US" w:eastAsia="zh-CN"/>
        </w:rPr>
      </w:pPr>
    </w:p>
    <w:p w14:paraId="4AAB4E32">
      <w:pPr>
        <w:bidi w:val="0"/>
        <w:rPr>
          <w:rFonts w:hint="eastAsia"/>
          <w:lang w:val="en-US" w:eastAsia="zh-CN"/>
        </w:rPr>
      </w:pPr>
      <w:r>
        <w:rPr>
          <w:rFonts w:hint="eastAsia"/>
          <w:lang w:val="en-US" w:eastAsia="zh-CN"/>
        </w:rPr>
        <w:t>Nahum</w:t>
      </w:r>
    </w:p>
    <w:p w14:paraId="0B05F230">
      <w:pPr>
        <w:bidi w:val="0"/>
        <w:rPr>
          <w:rFonts w:hint="eastAsia"/>
          <w:lang w:val="en-US" w:eastAsia="zh-CN"/>
        </w:rPr>
      </w:pPr>
    </w:p>
    <w:p w14:paraId="413C3426">
      <w:pPr>
        <w:bidi w:val="0"/>
        <w:rPr>
          <w:rFonts w:hint="eastAsia"/>
          <w:lang w:val="en-US" w:eastAsia="zh-CN"/>
        </w:rPr>
      </w:pPr>
      <w:r>
        <w:rPr>
          <w:rFonts w:hint="eastAsia"/>
          <w:lang w:val="en-US" w:eastAsia="zh-CN"/>
        </w:rPr>
        <w:t>那鸿书</w:t>
      </w:r>
    </w:p>
    <w:p w14:paraId="627B02C6">
      <w:pPr>
        <w:bidi w:val="0"/>
        <w:rPr>
          <w:rFonts w:hint="eastAsia"/>
          <w:lang w:val="en-US" w:eastAsia="zh-CN"/>
        </w:rPr>
      </w:pPr>
    </w:p>
    <w:p w14:paraId="5551C23B">
      <w:pPr>
        <w:bidi w:val="0"/>
        <w:rPr>
          <w:rFonts w:hint="eastAsia"/>
          <w:lang w:val="en-US" w:eastAsia="zh-CN"/>
        </w:rPr>
      </w:pPr>
      <w:r>
        <w:rPr>
          <w:rFonts w:hint="eastAsia"/>
          <w:lang w:val="en-US" w:eastAsia="zh-CN"/>
        </w:rPr>
        <w:t>1:2-8 222</w:t>
      </w:r>
    </w:p>
    <w:p w14:paraId="75E5EFCC">
      <w:pPr>
        <w:bidi w:val="0"/>
        <w:rPr>
          <w:rFonts w:hint="eastAsia"/>
          <w:lang w:val="en-US" w:eastAsia="zh-CN"/>
        </w:rPr>
      </w:pPr>
    </w:p>
    <w:p w14:paraId="13B407FA">
      <w:pPr>
        <w:bidi w:val="0"/>
        <w:rPr>
          <w:rFonts w:hint="eastAsia"/>
          <w:lang w:val="en-US" w:eastAsia="zh-CN"/>
        </w:rPr>
      </w:pPr>
      <w:r>
        <w:rPr>
          <w:rFonts w:hint="eastAsia"/>
          <w:lang w:val="en-US" w:eastAsia="zh-CN"/>
        </w:rPr>
        <w:t>1:2-8 222</w:t>
      </w:r>
    </w:p>
    <w:p w14:paraId="7634B221">
      <w:pPr>
        <w:bidi w:val="0"/>
        <w:rPr>
          <w:rFonts w:hint="eastAsia"/>
          <w:lang w:val="en-US" w:eastAsia="zh-CN"/>
        </w:rPr>
      </w:pPr>
    </w:p>
    <w:p w14:paraId="54A6BECC">
      <w:pPr>
        <w:bidi w:val="0"/>
        <w:rPr>
          <w:rFonts w:hint="eastAsia"/>
          <w:lang w:val="en-US" w:eastAsia="zh-CN"/>
        </w:rPr>
      </w:pPr>
      <w:r>
        <w:rPr>
          <w:rFonts w:hint="eastAsia"/>
          <w:lang w:val="en-US" w:eastAsia="zh-CN"/>
        </w:rPr>
        <w:t>1:5 398</w:t>
      </w:r>
    </w:p>
    <w:p w14:paraId="29931CE1">
      <w:pPr>
        <w:bidi w:val="0"/>
        <w:rPr>
          <w:rFonts w:hint="eastAsia"/>
          <w:lang w:val="en-US" w:eastAsia="zh-CN"/>
        </w:rPr>
      </w:pPr>
    </w:p>
    <w:p w14:paraId="7FFB379E">
      <w:pPr>
        <w:bidi w:val="0"/>
        <w:rPr>
          <w:rFonts w:hint="eastAsia"/>
          <w:lang w:val="en-US" w:eastAsia="zh-CN"/>
        </w:rPr>
      </w:pPr>
      <w:r>
        <w:rPr>
          <w:rFonts w:hint="eastAsia"/>
          <w:lang w:val="en-US" w:eastAsia="zh-CN"/>
        </w:rPr>
        <w:t>1:5 398</w:t>
      </w:r>
    </w:p>
    <w:p w14:paraId="669A8F50">
      <w:pPr>
        <w:bidi w:val="0"/>
        <w:rPr>
          <w:rFonts w:hint="eastAsia"/>
          <w:lang w:val="en-US" w:eastAsia="zh-CN"/>
        </w:rPr>
      </w:pPr>
    </w:p>
    <w:p w14:paraId="41A4C711">
      <w:pPr>
        <w:bidi w:val="0"/>
        <w:rPr>
          <w:rFonts w:hint="eastAsia"/>
          <w:lang w:val="en-US" w:eastAsia="zh-CN"/>
        </w:rPr>
      </w:pPr>
      <w:r>
        <w:rPr>
          <w:rFonts w:hint="eastAsia"/>
          <w:lang w:val="en-US" w:eastAsia="zh-CN"/>
        </w:rPr>
        <w:t>1:12-15 202, 208, 223, 571, 687</w:t>
      </w:r>
    </w:p>
    <w:p w14:paraId="45280718">
      <w:pPr>
        <w:bidi w:val="0"/>
        <w:rPr>
          <w:rFonts w:hint="eastAsia"/>
          <w:lang w:val="en-US" w:eastAsia="zh-CN"/>
        </w:rPr>
      </w:pPr>
    </w:p>
    <w:p w14:paraId="1A747598">
      <w:pPr>
        <w:bidi w:val="0"/>
        <w:rPr>
          <w:rFonts w:hint="eastAsia"/>
          <w:lang w:val="en-US" w:eastAsia="zh-CN"/>
        </w:rPr>
      </w:pPr>
      <w:r>
        <w:rPr>
          <w:rFonts w:hint="eastAsia"/>
          <w:lang w:val="en-US" w:eastAsia="zh-CN"/>
        </w:rPr>
        <w:t>1:12-15 202, 208, 223, 571, 687</w:t>
      </w:r>
    </w:p>
    <w:p w14:paraId="3EA8E9E8">
      <w:pPr>
        <w:bidi w:val="0"/>
        <w:rPr>
          <w:rFonts w:hint="eastAsia"/>
          <w:lang w:val="en-US" w:eastAsia="zh-CN"/>
        </w:rPr>
      </w:pPr>
    </w:p>
    <w:p w14:paraId="5ED94C38">
      <w:pPr>
        <w:bidi w:val="0"/>
        <w:rPr>
          <w:rFonts w:hint="eastAsia"/>
          <w:lang w:val="en-US" w:eastAsia="zh-CN"/>
        </w:rPr>
      </w:pPr>
      <w:r>
        <w:rPr>
          <w:rFonts w:hint="eastAsia"/>
          <w:lang w:val="en-US" w:eastAsia="zh-CN"/>
        </w:rPr>
        <w:t>Habakkuk</w:t>
      </w:r>
    </w:p>
    <w:p w14:paraId="14AAAED1">
      <w:pPr>
        <w:bidi w:val="0"/>
        <w:rPr>
          <w:rFonts w:hint="eastAsia"/>
          <w:lang w:val="en-US" w:eastAsia="zh-CN"/>
        </w:rPr>
      </w:pPr>
    </w:p>
    <w:p w14:paraId="2DFF304D">
      <w:pPr>
        <w:bidi w:val="0"/>
        <w:rPr>
          <w:rFonts w:hint="eastAsia"/>
          <w:lang w:val="en-US" w:eastAsia="zh-CN"/>
        </w:rPr>
      </w:pPr>
      <w:r>
        <w:rPr>
          <w:rFonts w:hint="eastAsia"/>
          <w:lang w:val="en-US" w:eastAsia="zh-CN"/>
        </w:rPr>
        <w:t>哈巴谷书</w:t>
      </w:r>
    </w:p>
    <w:p w14:paraId="6035731E">
      <w:pPr>
        <w:bidi w:val="0"/>
        <w:rPr>
          <w:rFonts w:hint="eastAsia"/>
          <w:lang w:val="en-US" w:eastAsia="zh-CN"/>
        </w:rPr>
      </w:pPr>
    </w:p>
    <w:p w14:paraId="7B1A8867">
      <w:pPr>
        <w:bidi w:val="0"/>
        <w:rPr>
          <w:rFonts w:hint="eastAsia"/>
          <w:lang w:val="en-US" w:eastAsia="zh-CN"/>
        </w:rPr>
      </w:pPr>
      <w:r>
        <w:rPr>
          <w:rFonts w:hint="eastAsia"/>
          <w:lang w:val="en-US" w:eastAsia="zh-CN"/>
        </w:rPr>
        <w:t>1:5 668</w:t>
      </w:r>
    </w:p>
    <w:p w14:paraId="1690E783">
      <w:pPr>
        <w:bidi w:val="0"/>
        <w:rPr>
          <w:rFonts w:hint="eastAsia"/>
          <w:lang w:val="en-US" w:eastAsia="zh-CN"/>
        </w:rPr>
      </w:pPr>
    </w:p>
    <w:p w14:paraId="2C2B2014">
      <w:pPr>
        <w:bidi w:val="0"/>
        <w:rPr>
          <w:rFonts w:hint="eastAsia"/>
          <w:lang w:val="en-US" w:eastAsia="zh-CN"/>
        </w:rPr>
      </w:pPr>
      <w:r>
        <w:rPr>
          <w:rFonts w:hint="eastAsia"/>
          <w:lang w:val="en-US" w:eastAsia="zh-CN"/>
        </w:rPr>
        <w:t>1:5 668</w:t>
      </w:r>
    </w:p>
    <w:p w14:paraId="3DB7A3ED">
      <w:pPr>
        <w:bidi w:val="0"/>
        <w:rPr>
          <w:rFonts w:hint="eastAsia"/>
          <w:lang w:val="en-US" w:eastAsia="zh-CN"/>
        </w:rPr>
      </w:pPr>
    </w:p>
    <w:p w14:paraId="44D95CFD">
      <w:pPr>
        <w:bidi w:val="0"/>
        <w:rPr>
          <w:rFonts w:hint="eastAsia"/>
          <w:lang w:val="en-US" w:eastAsia="zh-CN"/>
        </w:rPr>
      </w:pPr>
      <w:r>
        <w:rPr>
          <w:rFonts w:hint="eastAsia"/>
          <w:lang w:val="en-US" w:eastAsia="zh-CN"/>
        </w:rPr>
        <w:t>2:4 668</w:t>
      </w:r>
    </w:p>
    <w:p w14:paraId="76B18F6A">
      <w:pPr>
        <w:bidi w:val="0"/>
        <w:rPr>
          <w:rFonts w:hint="eastAsia"/>
          <w:lang w:val="en-US" w:eastAsia="zh-CN"/>
        </w:rPr>
      </w:pPr>
    </w:p>
    <w:p w14:paraId="351783B2">
      <w:pPr>
        <w:bidi w:val="0"/>
        <w:rPr>
          <w:rFonts w:hint="eastAsia"/>
          <w:lang w:val="en-US" w:eastAsia="zh-CN"/>
        </w:rPr>
      </w:pPr>
      <w:r>
        <w:rPr>
          <w:rFonts w:hint="eastAsia"/>
          <w:lang w:val="en-US" w:eastAsia="zh-CN"/>
        </w:rPr>
        <w:t>2:4 668</w:t>
      </w:r>
    </w:p>
    <w:p w14:paraId="7CF05F2E">
      <w:pPr>
        <w:bidi w:val="0"/>
        <w:rPr>
          <w:rFonts w:hint="eastAsia"/>
          <w:lang w:val="en-US" w:eastAsia="zh-CN"/>
        </w:rPr>
      </w:pPr>
    </w:p>
    <w:p w14:paraId="25A3EB95">
      <w:pPr>
        <w:bidi w:val="0"/>
        <w:rPr>
          <w:rFonts w:hint="eastAsia"/>
          <w:lang w:val="en-US" w:eastAsia="zh-CN"/>
        </w:rPr>
      </w:pPr>
      <w:r>
        <w:rPr>
          <w:rFonts w:hint="eastAsia"/>
          <w:lang w:val="en-US" w:eastAsia="zh-CN"/>
        </w:rPr>
        <w:t>2:14 208</w:t>
      </w:r>
    </w:p>
    <w:p w14:paraId="3AA35A06">
      <w:pPr>
        <w:bidi w:val="0"/>
        <w:rPr>
          <w:rFonts w:hint="eastAsia"/>
          <w:lang w:val="en-US" w:eastAsia="zh-CN"/>
        </w:rPr>
      </w:pPr>
    </w:p>
    <w:p w14:paraId="4026D3CA">
      <w:pPr>
        <w:bidi w:val="0"/>
        <w:rPr>
          <w:rFonts w:hint="eastAsia"/>
          <w:lang w:val="en-US" w:eastAsia="zh-CN"/>
        </w:rPr>
      </w:pPr>
      <w:r>
        <w:rPr>
          <w:rFonts w:hint="eastAsia"/>
          <w:lang w:val="en-US" w:eastAsia="zh-CN"/>
        </w:rPr>
        <w:t>2:14 208</w:t>
      </w:r>
    </w:p>
    <w:p w14:paraId="65B593A7">
      <w:pPr>
        <w:bidi w:val="0"/>
        <w:rPr>
          <w:rFonts w:hint="eastAsia"/>
          <w:lang w:val="en-US" w:eastAsia="zh-CN"/>
        </w:rPr>
      </w:pPr>
    </w:p>
    <w:p w14:paraId="0AE1AF57">
      <w:pPr>
        <w:bidi w:val="0"/>
        <w:rPr>
          <w:rFonts w:hint="eastAsia"/>
          <w:lang w:val="en-US" w:eastAsia="zh-CN"/>
        </w:rPr>
      </w:pPr>
      <w:r>
        <w:rPr>
          <w:rFonts w:hint="eastAsia"/>
          <w:lang w:val="en-US" w:eastAsia="zh-CN"/>
        </w:rPr>
        <w:t>3:1-15 223, 687</w:t>
      </w:r>
    </w:p>
    <w:p w14:paraId="4B0385AC">
      <w:pPr>
        <w:bidi w:val="0"/>
        <w:rPr>
          <w:rFonts w:hint="eastAsia"/>
          <w:lang w:val="en-US" w:eastAsia="zh-CN"/>
        </w:rPr>
      </w:pPr>
    </w:p>
    <w:p w14:paraId="5B6EDE2F">
      <w:pPr>
        <w:bidi w:val="0"/>
        <w:rPr>
          <w:rFonts w:hint="eastAsia"/>
          <w:lang w:val="en-US" w:eastAsia="zh-CN"/>
        </w:rPr>
      </w:pPr>
      <w:r>
        <w:rPr>
          <w:rFonts w:hint="eastAsia"/>
          <w:lang w:val="en-US" w:eastAsia="zh-CN"/>
        </w:rPr>
        <w:t>3:1-15 223, 687</w:t>
      </w:r>
    </w:p>
    <w:p w14:paraId="4D6EAA26">
      <w:pPr>
        <w:bidi w:val="0"/>
        <w:rPr>
          <w:rFonts w:hint="eastAsia"/>
          <w:lang w:val="en-US" w:eastAsia="zh-CN"/>
        </w:rPr>
      </w:pPr>
    </w:p>
    <w:p w14:paraId="477E30C1">
      <w:pPr>
        <w:bidi w:val="0"/>
        <w:rPr>
          <w:rFonts w:hint="eastAsia"/>
          <w:lang w:val="en-US" w:eastAsia="zh-CN"/>
        </w:rPr>
      </w:pPr>
      <w:r>
        <w:rPr>
          <w:rFonts w:hint="eastAsia"/>
          <w:lang w:val="en-US" w:eastAsia="zh-CN"/>
        </w:rPr>
        <w:t>Zephaniah</w:t>
      </w:r>
    </w:p>
    <w:p w14:paraId="74B8D57C">
      <w:pPr>
        <w:bidi w:val="0"/>
        <w:rPr>
          <w:rFonts w:hint="eastAsia"/>
          <w:lang w:val="en-US" w:eastAsia="zh-CN"/>
        </w:rPr>
      </w:pPr>
    </w:p>
    <w:p w14:paraId="6FAD46B1">
      <w:pPr>
        <w:bidi w:val="0"/>
        <w:rPr>
          <w:rFonts w:hint="eastAsia"/>
          <w:lang w:val="en-US" w:eastAsia="zh-CN"/>
        </w:rPr>
      </w:pPr>
      <w:r>
        <w:rPr>
          <w:rFonts w:hint="eastAsia"/>
          <w:lang w:val="en-US" w:eastAsia="zh-CN"/>
        </w:rPr>
        <w:t>西番雅书</w:t>
      </w:r>
    </w:p>
    <w:p w14:paraId="22876412">
      <w:pPr>
        <w:bidi w:val="0"/>
        <w:rPr>
          <w:rFonts w:hint="eastAsia"/>
          <w:lang w:val="en-US" w:eastAsia="zh-CN"/>
        </w:rPr>
      </w:pPr>
    </w:p>
    <w:p w14:paraId="0D5C1878">
      <w:pPr>
        <w:bidi w:val="0"/>
        <w:rPr>
          <w:rFonts w:hint="eastAsia"/>
          <w:lang w:val="en-US" w:eastAsia="zh-CN"/>
        </w:rPr>
      </w:pPr>
      <w:r>
        <w:rPr>
          <w:rFonts w:hint="eastAsia"/>
          <w:lang w:val="en-US" w:eastAsia="zh-CN"/>
        </w:rPr>
        <w:t>1:1f 136, 531, 567, 670</w:t>
      </w:r>
    </w:p>
    <w:p w14:paraId="3592D11A">
      <w:pPr>
        <w:bidi w:val="0"/>
        <w:rPr>
          <w:rFonts w:hint="eastAsia"/>
          <w:lang w:val="en-US" w:eastAsia="zh-CN"/>
        </w:rPr>
      </w:pPr>
    </w:p>
    <w:p w14:paraId="51BD4B3F">
      <w:pPr>
        <w:bidi w:val="0"/>
        <w:rPr>
          <w:rFonts w:hint="eastAsia"/>
          <w:lang w:val="en-US" w:eastAsia="zh-CN"/>
        </w:rPr>
      </w:pPr>
      <w:r>
        <w:rPr>
          <w:rFonts w:hint="eastAsia"/>
          <w:lang w:val="en-US" w:eastAsia="zh-CN"/>
        </w:rPr>
        <w:t>1:1f 136, 531, 567, 670</w:t>
      </w:r>
    </w:p>
    <w:p w14:paraId="13EDBE65">
      <w:pPr>
        <w:bidi w:val="0"/>
        <w:rPr>
          <w:rFonts w:hint="eastAsia"/>
          <w:lang w:val="en-US" w:eastAsia="zh-CN"/>
        </w:rPr>
      </w:pPr>
    </w:p>
    <w:p w14:paraId="7FD5EC73">
      <w:pPr>
        <w:bidi w:val="0"/>
        <w:rPr>
          <w:rFonts w:hint="eastAsia"/>
          <w:lang w:val="en-US" w:eastAsia="zh-CN"/>
        </w:rPr>
      </w:pPr>
      <w:r>
        <w:rPr>
          <w:rFonts w:hint="eastAsia"/>
          <w:lang w:val="en-US" w:eastAsia="zh-CN"/>
        </w:rPr>
        <w:t>1:15 668</w:t>
      </w:r>
    </w:p>
    <w:p w14:paraId="15791075">
      <w:pPr>
        <w:bidi w:val="0"/>
        <w:rPr>
          <w:rFonts w:hint="eastAsia"/>
          <w:lang w:val="en-US" w:eastAsia="zh-CN"/>
        </w:rPr>
      </w:pPr>
    </w:p>
    <w:p w14:paraId="46174CB9">
      <w:pPr>
        <w:bidi w:val="0"/>
        <w:rPr>
          <w:rFonts w:hint="eastAsia"/>
          <w:lang w:val="en-US" w:eastAsia="zh-CN"/>
        </w:rPr>
      </w:pPr>
      <w:r>
        <w:rPr>
          <w:rFonts w:hint="eastAsia"/>
          <w:lang w:val="en-US" w:eastAsia="zh-CN"/>
        </w:rPr>
        <w:t>1:15 668</w:t>
      </w:r>
    </w:p>
    <w:p w14:paraId="4C4411F5">
      <w:pPr>
        <w:bidi w:val="0"/>
        <w:rPr>
          <w:rFonts w:hint="eastAsia"/>
          <w:lang w:val="en-US" w:eastAsia="zh-CN"/>
        </w:rPr>
      </w:pPr>
    </w:p>
    <w:p w14:paraId="39EE059E">
      <w:pPr>
        <w:bidi w:val="0"/>
        <w:rPr>
          <w:rFonts w:hint="eastAsia"/>
          <w:lang w:val="en-US" w:eastAsia="zh-CN"/>
        </w:rPr>
      </w:pPr>
      <w:r>
        <w:rPr>
          <w:rFonts w:hint="eastAsia"/>
          <w:lang w:val="en-US" w:eastAsia="zh-CN"/>
        </w:rPr>
        <w:t>2:1f 665</w:t>
      </w:r>
    </w:p>
    <w:p w14:paraId="23905812">
      <w:pPr>
        <w:bidi w:val="0"/>
        <w:rPr>
          <w:rFonts w:hint="eastAsia"/>
          <w:lang w:val="en-US" w:eastAsia="zh-CN"/>
        </w:rPr>
      </w:pPr>
    </w:p>
    <w:p w14:paraId="6AD91937">
      <w:pPr>
        <w:bidi w:val="0"/>
        <w:rPr>
          <w:rFonts w:hint="eastAsia"/>
          <w:lang w:val="en-US" w:eastAsia="zh-CN"/>
        </w:rPr>
      </w:pPr>
      <w:r>
        <w:rPr>
          <w:rFonts w:hint="eastAsia"/>
          <w:lang w:val="en-US" w:eastAsia="zh-CN"/>
        </w:rPr>
        <w:t>2:1f 665</w:t>
      </w:r>
    </w:p>
    <w:p w14:paraId="1DCAE230">
      <w:pPr>
        <w:bidi w:val="0"/>
        <w:rPr>
          <w:rFonts w:hint="eastAsia"/>
          <w:lang w:val="en-US" w:eastAsia="zh-CN"/>
        </w:rPr>
      </w:pPr>
    </w:p>
    <w:p w14:paraId="7C7EFC1A">
      <w:pPr>
        <w:bidi w:val="0"/>
        <w:rPr>
          <w:rFonts w:hint="eastAsia"/>
          <w:lang w:val="en-US" w:eastAsia="zh-CN"/>
        </w:rPr>
      </w:pPr>
      <w:r>
        <w:rPr>
          <w:rFonts w:hint="eastAsia"/>
          <w:lang w:val="en-US" w:eastAsia="zh-CN"/>
        </w:rPr>
        <w:t>2:4-11 223, 571</w:t>
      </w:r>
    </w:p>
    <w:p w14:paraId="1CFDF282">
      <w:pPr>
        <w:bidi w:val="0"/>
        <w:rPr>
          <w:rFonts w:hint="eastAsia"/>
          <w:lang w:val="en-US" w:eastAsia="zh-CN"/>
        </w:rPr>
      </w:pPr>
    </w:p>
    <w:p w14:paraId="12D55FFF">
      <w:pPr>
        <w:bidi w:val="0"/>
        <w:rPr>
          <w:rFonts w:hint="eastAsia"/>
          <w:lang w:val="en-US" w:eastAsia="zh-CN"/>
        </w:rPr>
      </w:pPr>
      <w:r>
        <w:rPr>
          <w:rFonts w:hint="eastAsia"/>
          <w:lang w:val="en-US" w:eastAsia="zh-CN"/>
        </w:rPr>
        <w:t>2:4-11 223, 571</w:t>
      </w:r>
    </w:p>
    <w:p w14:paraId="57C971EA">
      <w:pPr>
        <w:bidi w:val="0"/>
        <w:rPr>
          <w:rFonts w:hint="eastAsia"/>
          <w:lang w:val="en-US" w:eastAsia="zh-CN"/>
        </w:rPr>
      </w:pPr>
    </w:p>
    <w:p w14:paraId="21448B9A">
      <w:pPr>
        <w:bidi w:val="0"/>
        <w:rPr>
          <w:rFonts w:hint="eastAsia"/>
          <w:lang w:val="en-US" w:eastAsia="zh-CN"/>
        </w:rPr>
      </w:pPr>
      <w:r>
        <w:rPr>
          <w:rFonts w:hint="eastAsia"/>
          <w:lang w:val="en-US" w:eastAsia="zh-CN"/>
        </w:rPr>
        <w:t>2:7 209</w:t>
      </w:r>
    </w:p>
    <w:p w14:paraId="77BA3F76">
      <w:pPr>
        <w:bidi w:val="0"/>
        <w:rPr>
          <w:rFonts w:hint="eastAsia"/>
          <w:lang w:val="en-US" w:eastAsia="zh-CN"/>
        </w:rPr>
      </w:pPr>
    </w:p>
    <w:p w14:paraId="54692DB7">
      <w:pPr>
        <w:bidi w:val="0"/>
        <w:rPr>
          <w:rFonts w:hint="eastAsia"/>
          <w:lang w:val="en-US" w:eastAsia="zh-CN"/>
        </w:rPr>
      </w:pPr>
      <w:r>
        <w:rPr>
          <w:rFonts w:hint="eastAsia"/>
          <w:lang w:val="en-US" w:eastAsia="zh-CN"/>
        </w:rPr>
        <w:t>2:7 209</w:t>
      </w:r>
    </w:p>
    <w:p w14:paraId="6890D5C6">
      <w:pPr>
        <w:bidi w:val="0"/>
        <w:rPr>
          <w:rFonts w:hint="eastAsia"/>
          <w:lang w:val="en-US" w:eastAsia="zh-CN"/>
        </w:rPr>
      </w:pPr>
    </w:p>
    <w:p w14:paraId="40C20F14">
      <w:pPr>
        <w:bidi w:val="0"/>
        <w:rPr>
          <w:rFonts w:hint="eastAsia"/>
          <w:lang w:val="en-US" w:eastAsia="zh-CN"/>
        </w:rPr>
      </w:pPr>
      <w:r>
        <w:rPr>
          <w:rFonts w:hint="eastAsia"/>
          <w:lang w:val="en-US" w:eastAsia="zh-CN"/>
        </w:rPr>
        <w:t>3:9-13 87, 192, 208, 665</w:t>
      </w:r>
    </w:p>
    <w:p w14:paraId="02D31ED7">
      <w:pPr>
        <w:bidi w:val="0"/>
        <w:rPr>
          <w:rFonts w:hint="eastAsia"/>
          <w:lang w:val="en-US" w:eastAsia="zh-CN"/>
        </w:rPr>
      </w:pPr>
    </w:p>
    <w:p w14:paraId="18C94A4C">
      <w:pPr>
        <w:bidi w:val="0"/>
        <w:rPr>
          <w:rFonts w:hint="eastAsia"/>
          <w:lang w:val="en-US" w:eastAsia="zh-CN"/>
        </w:rPr>
      </w:pPr>
      <w:r>
        <w:rPr>
          <w:rFonts w:hint="eastAsia"/>
          <w:lang w:val="en-US" w:eastAsia="zh-CN"/>
        </w:rPr>
        <w:t>3:9-13 87, 192, 208, 665</w:t>
      </w:r>
    </w:p>
    <w:p w14:paraId="7CE42740">
      <w:pPr>
        <w:bidi w:val="0"/>
        <w:rPr>
          <w:rFonts w:hint="eastAsia"/>
          <w:lang w:val="en-US" w:eastAsia="zh-CN"/>
        </w:rPr>
      </w:pPr>
    </w:p>
    <w:p w14:paraId="57FCAB86">
      <w:pPr>
        <w:bidi w:val="0"/>
        <w:rPr>
          <w:rFonts w:hint="eastAsia"/>
          <w:lang w:val="en-US" w:eastAsia="zh-CN"/>
        </w:rPr>
      </w:pPr>
      <w:r>
        <w:rPr>
          <w:rFonts w:hint="eastAsia"/>
          <w:lang w:val="en-US" w:eastAsia="zh-CN"/>
        </w:rPr>
        <w:t>Haggai</w:t>
      </w:r>
    </w:p>
    <w:p w14:paraId="06A5B698">
      <w:pPr>
        <w:bidi w:val="0"/>
        <w:rPr>
          <w:rFonts w:hint="eastAsia"/>
          <w:lang w:val="en-US" w:eastAsia="zh-CN"/>
        </w:rPr>
      </w:pPr>
    </w:p>
    <w:p w14:paraId="647399D4">
      <w:pPr>
        <w:bidi w:val="0"/>
        <w:rPr>
          <w:rFonts w:hint="eastAsia"/>
          <w:lang w:val="en-US" w:eastAsia="zh-CN"/>
        </w:rPr>
      </w:pPr>
      <w:r>
        <w:rPr>
          <w:rFonts w:hint="eastAsia"/>
          <w:lang w:val="en-US" w:eastAsia="zh-CN"/>
        </w:rPr>
        <w:t>哈该书</w:t>
      </w:r>
    </w:p>
    <w:p w14:paraId="1C5C5118">
      <w:pPr>
        <w:bidi w:val="0"/>
        <w:rPr>
          <w:rFonts w:hint="eastAsia"/>
          <w:lang w:val="en-US" w:eastAsia="zh-CN"/>
        </w:rPr>
      </w:pPr>
    </w:p>
    <w:p w14:paraId="737CF7F4">
      <w:pPr>
        <w:bidi w:val="0"/>
        <w:rPr>
          <w:rFonts w:hint="eastAsia"/>
          <w:lang w:val="en-US" w:eastAsia="zh-CN"/>
        </w:rPr>
      </w:pPr>
      <w:r>
        <w:rPr>
          <w:rFonts w:hint="eastAsia"/>
          <w:lang w:val="en-US" w:eastAsia="zh-CN"/>
        </w:rPr>
        <w:t>2:6-9 12, 201, 220, 520, 665, 670, 687</w:t>
      </w:r>
    </w:p>
    <w:p w14:paraId="6483A259">
      <w:pPr>
        <w:bidi w:val="0"/>
        <w:rPr>
          <w:rFonts w:hint="eastAsia"/>
          <w:lang w:val="en-US" w:eastAsia="zh-CN"/>
        </w:rPr>
      </w:pPr>
    </w:p>
    <w:p w14:paraId="0852E334">
      <w:pPr>
        <w:bidi w:val="0"/>
        <w:rPr>
          <w:rFonts w:hint="eastAsia"/>
          <w:lang w:val="en-US" w:eastAsia="zh-CN"/>
        </w:rPr>
      </w:pPr>
      <w:r>
        <w:rPr>
          <w:rFonts w:hint="eastAsia"/>
          <w:lang w:val="en-US" w:eastAsia="zh-CN"/>
        </w:rPr>
        <w:t>2:6-9 12, 201, 220, 520, 665, 670, 687</w:t>
      </w:r>
    </w:p>
    <w:p w14:paraId="210071B9">
      <w:pPr>
        <w:bidi w:val="0"/>
        <w:rPr>
          <w:rFonts w:hint="eastAsia"/>
          <w:lang w:val="en-US" w:eastAsia="zh-CN"/>
        </w:rPr>
      </w:pPr>
    </w:p>
    <w:p w14:paraId="2915D986">
      <w:pPr>
        <w:bidi w:val="0"/>
        <w:rPr>
          <w:rFonts w:hint="eastAsia"/>
          <w:lang w:val="en-US" w:eastAsia="zh-CN"/>
        </w:rPr>
      </w:pPr>
      <w:r>
        <w:rPr>
          <w:rFonts w:hint="eastAsia"/>
          <w:lang w:val="en-US" w:eastAsia="zh-CN"/>
        </w:rPr>
        <w:t>2:3-4 670</w:t>
      </w:r>
    </w:p>
    <w:p w14:paraId="48C0204B">
      <w:pPr>
        <w:bidi w:val="0"/>
        <w:rPr>
          <w:rFonts w:hint="eastAsia"/>
          <w:lang w:val="en-US" w:eastAsia="zh-CN"/>
        </w:rPr>
      </w:pPr>
    </w:p>
    <w:p w14:paraId="5514807E">
      <w:pPr>
        <w:bidi w:val="0"/>
        <w:rPr>
          <w:rFonts w:hint="eastAsia"/>
          <w:lang w:val="en-US" w:eastAsia="zh-CN"/>
        </w:rPr>
      </w:pPr>
      <w:r>
        <w:rPr>
          <w:rFonts w:hint="eastAsia"/>
          <w:lang w:val="en-US" w:eastAsia="zh-CN"/>
        </w:rPr>
        <w:t>2:3-4 670</w:t>
      </w:r>
    </w:p>
    <w:p w14:paraId="06363083">
      <w:pPr>
        <w:bidi w:val="0"/>
        <w:rPr>
          <w:rFonts w:hint="eastAsia"/>
          <w:lang w:val="en-US" w:eastAsia="zh-CN"/>
        </w:rPr>
      </w:pPr>
    </w:p>
    <w:p w14:paraId="6798A62F">
      <w:pPr>
        <w:bidi w:val="0"/>
        <w:rPr>
          <w:rFonts w:hint="eastAsia"/>
          <w:lang w:val="en-US" w:eastAsia="zh-CN"/>
        </w:rPr>
      </w:pPr>
      <w:r>
        <w:rPr>
          <w:rFonts w:hint="eastAsia"/>
          <w:lang w:val="en-US" w:eastAsia="zh-CN"/>
        </w:rPr>
        <w:t>2:5 244</w:t>
      </w:r>
    </w:p>
    <w:p w14:paraId="726AB5DF">
      <w:pPr>
        <w:bidi w:val="0"/>
        <w:rPr>
          <w:rFonts w:hint="eastAsia"/>
          <w:lang w:val="en-US" w:eastAsia="zh-CN"/>
        </w:rPr>
      </w:pPr>
    </w:p>
    <w:p w14:paraId="4F2AD51A">
      <w:pPr>
        <w:bidi w:val="0"/>
        <w:rPr>
          <w:rFonts w:hint="eastAsia"/>
          <w:lang w:val="en-US" w:eastAsia="zh-CN"/>
        </w:rPr>
      </w:pPr>
      <w:r>
        <w:rPr>
          <w:rFonts w:hint="eastAsia"/>
          <w:lang w:val="en-US" w:eastAsia="zh-CN"/>
        </w:rPr>
        <w:t>2:5 244</w:t>
      </w:r>
    </w:p>
    <w:p w14:paraId="7A1D41DB">
      <w:pPr>
        <w:bidi w:val="0"/>
        <w:rPr>
          <w:rFonts w:hint="eastAsia"/>
          <w:lang w:val="en-US" w:eastAsia="zh-CN"/>
        </w:rPr>
      </w:pPr>
    </w:p>
    <w:p w14:paraId="7F216B12">
      <w:pPr>
        <w:bidi w:val="0"/>
        <w:rPr>
          <w:rFonts w:hint="eastAsia"/>
          <w:lang w:val="en-US" w:eastAsia="zh-CN"/>
        </w:rPr>
      </w:pPr>
      <w:r>
        <w:rPr>
          <w:rFonts w:hint="eastAsia"/>
          <w:lang w:val="en-US" w:eastAsia="zh-CN"/>
        </w:rPr>
        <w:t>2:7 192</w:t>
      </w:r>
    </w:p>
    <w:p w14:paraId="129B5C35">
      <w:pPr>
        <w:bidi w:val="0"/>
        <w:rPr>
          <w:rFonts w:hint="eastAsia"/>
          <w:lang w:val="en-US" w:eastAsia="zh-CN"/>
        </w:rPr>
      </w:pPr>
    </w:p>
    <w:p w14:paraId="1069F7BC">
      <w:pPr>
        <w:bidi w:val="0"/>
        <w:rPr>
          <w:rFonts w:hint="eastAsia"/>
          <w:lang w:val="en-US" w:eastAsia="zh-CN"/>
        </w:rPr>
      </w:pPr>
      <w:r>
        <w:rPr>
          <w:rFonts w:hint="eastAsia"/>
          <w:lang w:val="en-US" w:eastAsia="zh-CN"/>
        </w:rPr>
        <w:t>2:7 192</w:t>
      </w:r>
    </w:p>
    <w:p w14:paraId="21B45EA6">
      <w:pPr>
        <w:bidi w:val="0"/>
        <w:rPr>
          <w:rFonts w:hint="eastAsia"/>
          <w:lang w:val="en-US" w:eastAsia="zh-CN"/>
        </w:rPr>
      </w:pPr>
    </w:p>
    <w:p w14:paraId="439BCB79">
      <w:pPr>
        <w:bidi w:val="0"/>
        <w:rPr>
          <w:rFonts w:hint="eastAsia"/>
          <w:lang w:val="en-US" w:eastAsia="zh-CN"/>
        </w:rPr>
      </w:pPr>
      <w:r>
        <w:rPr>
          <w:rFonts w:hint="eastAsia"/>
          <w:lang w:val="en-US" w:eastAsia="zh-CN"/>
        </w:rPr>
        <w:t>2:20-23 222, 520, 665</w:t>
      </w:r>
    </w:p>
    <w:p w14:paraId="61A9856C">
      <w:pPr>
        <w:bidi w:val="0"/>
        <w:rPr>
          <w:rFonts w:hint="eastAsia"/>
          <w:lang w:val="en-US" w:eastAsia="zh-CN"/>
        </w:rPr>
      </w:pPr>
    </w:p>
    <w:p w14:paraId="41B6C583">
      <w:pPr>
        <w:bidi w:val="0"/>
        <w:rPr>
          <w:rFonts w:hint="eastAsia"/>
          <w:lang w:val="en-US" w:eastAsia="zh-CN"/>
        </w:rPr>
      </w:pPr>
      <w:r>
        <w:rPr>
          <w:rFonts w:hint="eastAsia"/>
          <w:lang w:val="en-US" w:eastAsia="zh-CN"/>
        </w:rPr>
        <w:t>2:20-23 222, 520, 665</w:t>
      </w:r>
    </w:p>
    <w:p w14:paraId="1C4531F7">
      <w:pPr>
        <w:bidi w:val="0"/>
        <w:rPr>
          <w:rFonts w:hint="eastAsia"/>
          <w:lang w:val="en-US" w:eastAsia="zh-CN"/>
        </w:rPr>
      </w:pPr>
    </w:p>
    <w:p w14:paraId="32A41AA9">
      <w:pPr>
        <w:bidi w:val="0"/>
        <w:rPr>
          <w:rFonts w:hint="eastAsia"/>
          <w:lang w:val="en-US" w:eastAsia="zh-CN"/>
        </w:rPr>
      </w:pPr>
      <w:r>
        <w:rPr>
          <w:rFonts w:hint="eastAsia"/>
          <w:lang w:val="en-US" w:eastAsia="zh-CN"/>
        </w:rPr>
        <w:t>Zechariah</w:t>
      </w:r>
    </w:p>
    <w:p w14:paraId="23F5A15F">
      <w:pPr>
        <w:bidi w:val="0"/>
        <w:rPr>
          <w:rFonts w:hint="eastAsia"/>
          <w:lang w:val="en-US" w:eastAsia="zh-CN"/>
        </w:rPr>
      </w:pPr>
    </w:p>
    <w:p w14:paraId="425DE456">
      <w:pPr>
        <w:bidi w:val="0"/>
        <w:rPr>
          <w:rFonts w:hint="eastAsia"/>
          <w:lang w:val="en-US" w:eastAsia="zh-CN"/>
        </w:rPr>
      </w:pPr>
      <w:r>
        <w:rPr>
          <w:rFonts w:hint="eastAsia"/>
          <w:lang w:val="en-US" w:eastAsia="zh-CN"/>
        </w:rPr>
        <w:t>撒迦利亚书</w:t>
      </w:r>
    </w:p>
    <w:p w14:paraId="4DADB5A7">
      <w:pPr>
        <w:bidi w:val="0"/>
        <w:rPr>
          <w:rFonts w:hint="eastAsia"/>
          <w:lang w:val="en-US" w:eastAsia="zh-CN"/>
        </w:rPr>
      </w:pPr>
    </w:p>
    <w:p w14:paraId="4E677C6B">
      <w:pPr>
        <w:bidi w:val="0"/>
        <w:rPr>
          <w:rFonts w:hint="eastAsia"/>
          <w:lang w:val="en-US" w:eastAsia="zh-CN"/>
        </w:rPr>
      </w:pPr>
      <w:r>
        <w:rPr>
          <w:rFonts w:hint="eastAsia"/>
          <w:lang w:val="en-US" w:eastAsia="zh-CN"/>
        </w:rPr>
        <w:t>2:1-13 192</w:t>
      </w:r>
    </w:p>
    <w:p w14:paraId="54FD179B">
      <w:pPr>
        <w:bidi w:val="0"/>
        <w:rPr>
          <w:rFonts w:hint="eastAsia"/>
          <w:lang w:val="en-US" w:eastAsia="zh-CN"/>
        </w:rPr>
      </w:pPr>
    </w:p>
    <w:p w14:paraId="5C194B39">
      <w:pPr>
        <w:bidi w:val="0"/>
        <w:rPr>
          <w:rFonts w:hint="eastAsia"/>
          <w:lang w:val="en-US" w:eastAsia="zh-CN"/>
        </w:rPr>
      </w:pPr>
      <w:r>
        <w:rPr>
          <w:rFonts w:hint="eastAsia"/>
          <w:lang w:val="en-US" w:eastAsia="zh-CN"/>
        </w:rPr>
        <w:t>2:1-13 192</w:t>
      </w:r>
    </w:p>
    <w:p w14:paraId="59640E0C">
      <w:pPr>
        <w:bidi w:val="0"/>
        <w:rPr>
          <w:rFonts w:hint="eastAsia"/>
          <w:lang w:val="en-US" w:eastAsia="zh-CN"/>
        </w:rPr>
      </w:pPr>
    </w:p>
    <w:p w14:paraId="4B06FF31">
      <w:pPr>
        <w:bidi w:val="0"/>
        <w:rPr>
          <w:rFonts w:hint="eastAsia"/>
          <w:lang w:val="en-US" w:eastAsia="zh-CN"/>
        </w:rPr>
      </w:pPr>
      <w:r>
        <w:rPr>
          <w:rFonts w:hint="eastAsia"/>
          <w:lang w:val="en-US" w:eastAsia="zh-CN"/>
        </w:rPr>
        <w:t>3:1-10 198</w:t>
      </w:r>
    </w:p>
    <w:p w14:paraId="10BF91EF">
      <w:pPr>
        <w:bidi w:val="0"/>
        <w:rPr>
          <w:rFonts w:hint="eastAsia"/>
          <w:lang w:val="en-US" w:eastAsia="zh-CN"/>
        </w:rPr>
      </w:pPr>
    </w:p>
    <w:p w14:paraId="453F4B40">
      <w:pPr>
        <w:bidi w:val="0"/>
        <w:rPr>
          <w:rFonts w:hint="eastAsia"/>
          <w:lang w:val="en-US" w:eastAsia="zh-CN"/>
        </w:rPr>
      </w:pPr>
      <w:r>
        <w:rPr>
          <w:rFonts w:hint="eastAsia"/>
          <w:lang w:val="en-US" w:eastAsia="zh-CN"/>
        </w:rPr>
        <w:t>3:1-10 198</w:t>
      </w:r>
    </w:p>
    <w:p w14:paraId="4364B070">
      <w:pPr>
        <w:bidi w:val="0"/>
        <w:rPr>
          <w:rFonts w:hint="eastAsia"/>
          <w:lang w:val="en-US" w:eastAsia="zh-CN"/>
        </w:rPr>
      </w:pPr>
    </w:p>
    <w:p w14:paraId="02E3CDAC">
      <w:pPr>
        <w:bidi w:val="0"/>
        <w:rPr>
          <w:rFonts w:hint="eastAsia"/>
          <w:lang w:val="en-US" w:eastAsia="zh-CN"/>
        </w:rPr>
      </w:pPr>
      <w:r>
        <w:rPr>
          <w:rFonts w:hint="eastAsia"/>
          <w:lang w:val="en-US" w:eastAsia="zh-CN"/>
        </w:rPr>
        <w:t>4:1f 447</w:t>
      </w:r>
    </w:p>
    <w:p w14:paraId="7141D3BA">
      <w:pPr>
        <w:bidi w:val="0"/>
        <w:rPr>
          <w:rFonts w:hint="eastAsia"/>
          <w:lang w:val="en-US" w:eastAsia="zh-CN"/>
        </w:rPr>
      </w:pPr>
    </w:p>
    <w:p w14:paraId="762C5EA9">
      <w:pPr>
        <w:bidi w:val="0"/>
        <w:rPr>
          <w:rFonts w:hint="eastAsia"/>
          <w:lang w:val="en-US" w:eastAsia="zh-CN"/>
        </w:rPr>
      </w:pPr>
      <w:r>
        <w:rPr>
          <w:rFonts w:hint="eastAsia"/>
          <w:lang w:val="en-US" w:eastAsia="zh-CN"/>
        </w:rPr>
        <w:t>4:1f 447</w:t>
      </w:r>
    </w:p>
    <w:p w14:paraId="4E8D20F8">
      <w:pPr>
        <w:bidi w:val="0"/>
        <w:rPr>
          <w:rFonts w:hint="eastAsia"/>
          <w:lang w:val="en-US" w:eastAsia="zh-CN"/>
        </w:rPr>
      </w:pPr>
    </w:p>
    <w:p w14:paraId="22D412FE">
      <w:pPr>
        <w:bidi w:val="0"/>
        <w:rPr>
          <w:rFonts w:hint="eastAsia"/>
          <w:lang w:val="en-US" w:eastAsia="zh-CN"/>
        </w:rPr>
      </w:pPr>
      <w:r>
        <w:rPr>
          <w:rFonts w:hint="eastAsia"/>
          <w:lang w:val="en-US" w:eastAsia="zh-CN"/>
        </w:rPr>
        <w:t>6:12-13 198</w:t>
      </w:r>
    </w:p>
    <w:p w14:paraId="44DF3E14">
      <w:pPr>
        <w:bidi w:val="0"/>
        <w:rPr>
          <w:rFonts w:hint="eastAsia"/>
          <w:lang w:val="en-US" w:eastAsia="zh-CN"/>
        </w:rPr>
      </w:pPr>
    </w:p>
    <w:p w14:paraId="765D5021">
      <w:pPr>
        <w:bidi w:val="0"/>
        <w:rPr>
          <w:rFonts w:hint="eastAsia"/>
          <w:lang w:val="en-US" w:eastAsia="zh-CN"/>
        </w:rPr>
      </w:pPr>
      <w:r>
        <w:rPr>
          <w:rFonts w:hint="eastAsia"/>
          <w:lang w:val="en-US" w:eastAsia="zh-CN"/>
        </w:rPr>
        <w:t>6:12-13 198</w:t>
      </w:r>
    </w:p>
    <w:p w14:paraId="63A1CE54">
      <w:pPr>
        <w:bidi w:val="0"/>
        <w:rPr>
          <w:rFonts w:hint="eastAsia"/>
          <w:lang w:val="en-US" w:eastAsia="zh-CN"/>
        </w:rPr>
      </w:pPr>
    </w:p>
    <w:p w14:paraId="7E62E3AB">
      <w:pPr>
        <w:bidi w:val="0"/>
        <w:rPr>
          <w:rFonts w:hint="eastAsia"/>
          <w:lang w:val="en-US" w:eastAsia="zh-CN"/>
        </w:rPr>
      </w:pPr>
      <w:r>
        <w:rPr>
          <w:rFonts w:hint="eastAsia"/>
          <w:lang w:val="en-US" w:eastAsia="zh-CN"/>
        </w:rPr>
        <w:t>8:1-8 658</w:t>
      </w:r>
    </w:p>
    <w:p w14:paraId="55001903">
      <w:pPr>
        <w:bidi w:val="0"/>
        <w:rPr>
          <w:rFonts w:hint="eastAsia"/>
          <w:lang w:val="en-US" w:eastAsia="zh-CN"/>
        </w:rPr>
      </w:pPr>
    </w:p>
    <w:p w14:paraId="38A102B8">
      <w:pPr>
        <w:bidi w:val="0"/>
        <w:rPr>
          <w:rFonts w:hint="eastAsia"/>
          <w:lang w:val="en-US" w:eastAsia="zh-CN"/>
        </w:rPr>
      </w:pPr>
      <w:r>
        <w:rPr>
          <w:rFonts w:hint="eastAsia"/>
          <w:lang w:val="en-US" w:eastAsia="zh-CN"/>
        </w:rPr>
        <w:t>8:1-8 658</w:t>
      </w:r>
    </w:p>
    <w:p w14:paraId="5FD7ED15">
      <w:pPr>
        <w:bidi w:val="0"/>
        <w:rPr>
          <w:rFonts w:hint="eastAsia"/>
          <w:lang w:val="en-US" w:eastAsia="zh-CN"/>
        </w:rPr>
      </w:pPr>
    </w:p>
    <w:p w14:paraId="0556702B">
      <w:pPr>
        <w:bidi w:val="0"/>
        <w:rPr>
          <w:rFonts w:hint="eastAsia"/>
          <w:lang w:val="en-US" w:eastAsia="zh-CN"/>
        </w:rPr>
      </w:pPr>
      <w:r>
        <w:rPr>
          <w:rFonts w:hint="eastAsia"/>
          <w:lang w:val="en-US" w:eastAsia="zh-CN"/>
        </w:rPr>
        <w:t>8:5 213</w:t>
      </w:r>
    </w:p>
    <w:p w14:paraId="0A51F3EA">
      <w:pPr>
        <w:bidi w:val="0"/>
        <w:rPr>
          <w:rFonts w:hint="eastAsia"/>
          <w:lang w:val="en-US" w:eastAsia="zh-CN"/>
        </w:rPr>
      </w:pPr>
    </w:p>
    <w:p w14:paraId="71AB289E">
      <w:pPr>
        <w:bidi w:val="0"/>
        <w:rPr>
          <w:rFonts w:hint="eastAsia"/>
          <w:lang w:val="en-US" w:eastAsia="zh-CN"/>
        </w:rPr>
      </w:pPr>
      <w:r>
        <w:rPr>
          <w:rFonts w:hint="eastAsia"/>
          <w:lang w:val="en-US" w:eastAsia="zh-CN"/>
        </w:rPr>
        <w:t>8:5 213</w:t>
      </w:r>
    </w:p>
    <w:p w14:paraId="4475CDBC">
      <w:pPr>
        <w:bidi w:val="0"/>
        <w:rPr>
          <w:rFonts w:hint="eastAsia"/>
          <w:lang w:val="en-US" w:eastAsia="zh-CN"/>
        </w:rPr>
      </w:pPr>
    </w:p>
    <w:p w14:paraId="73B2051D">
      <w:pPr>
        <w:bidi w:val="0"/>
        <w:rPr>
          <w:rFonts w:hint="eastAsia"/>
          <w:lang w:val="en-US" w:eastAsia="zh-CN"/>
        </w:rPr>
      </w:pPr>
      <w:r>
        <w:rPr>
          <w:rFonts w:hint="eastAsia"/>
          <w:lang w:val="en-US" w:eastAsia="zh-CN"/>
        </w:rPr>
        <w:t>8:23 192, 256</w:t>
      </w:r>
    </w:p>
    <w:p w14:paraId="60BD33FF">
      <w:pPr>
        <w:bidi w:val="0"/>
        <w:rPr>
          <w:rFonts w:hint="eastAsia"/>
          <w:lang w:val="en-US" w:eastAsia="zh-CN"/>
        </w:rPr>
      </w:pPr>
    </w:p>
    <w:p w14:paraId="139A3CB9">
      <w:pPr>
        <w:bidi w:val="0"/>
        <w:rPr>
          <w:rFonts w:hint="eastAsia"/>
          <w:lang w:val="en-US" w:eastAsia="zh-CN"/>
        </w:rPr>
      </w:pPr>
      <w:r>
        <w:rPr>
          <w:rFonts w:hint="eastAsia"/>
          <w:lang w:val="en-US" w:eastAsia="zh-CN"/>
        </w:rPr>
        <w:t>8:23 192, 256</w:t>
      </w:r>
    </w:p>
    <w:p w14:paraId="44E6D8F8">
      <w:pPr>
        <w:bidi w:val="0"/>
        <w:rPr>
          <w:rFonts w:hint="eastAsia"/>
          <w:lang w:val="en-US" w:eastAsia="zh-CN"/>
        </w:rPr>
      </w:pPr>
    </w:p>
    <w:p w14:paraId="109CEDAC">
      <w:pPr>
        <w:bidi w:val="0"/>
        <w:rPr>
          <w:rFonts w:hint="eastAsia"/>
          <w:lang w:val="en-US" w:eastAsia="zh-CN"/>
        </w:rPr>
      </w:pPr>
      <w:r>
        <w:rPr>
          <w:rFonts w:hint="eastAsia"/>
          <w:lang w:val="en-US" w:eastAsia="zh-CN"/>
        </w:rPr>
        <w:t>9:10 87</w:t>
      </w:r>
    </w:p>
    <w:p w14:paraId="0A90E8E5">
      <w:pPr>
        <w:bidi w:val="0"/>
        <w:rPr>
          <w:rFonts w:hint="eastAsia"/>
          <w:lang w:val="en-US" w:eastAsia="zh-CN"/>
        </w:rPr>
      </w:pPr>
    </w:p>
    <w:p w14:paraId="627DE732">
      <w:pPr>
        <w:bidi w:val="0"/>
        <w:rPr>
          <w:rFonts w:hint="eastAsia"/>
          <w:lang w:val="en-US" w:eastAsia="zh-CN"/>
        </w:rPr>
      </w:pPr>
      <w:r>
        <w:rPr>
          <w:rFonts w:hint="eastAsia"/>
          <w:lang w:val="en-US" w:eastAsia="zh-CN"/>
        </w:rPr>
        <w:t>9:10 87</w:t>
      </w:r>
    </w:p>
    <w:p w14:paraId="6CD30904">
      <w:pPr>
        <w:bidi w:val="0"/>
        <w:rPr>
          <w:rFonts w:hint="eastAsia"/>
          <w:lang w:val="en-US" w:eastAsia="zh-CN"/>
        </w:rPr>
      </w:pPr>
    </w:p>
    <w:p w14:paraId="795CF048">
      <w:pPr>
        <w:bidi w:val="0"/>
        <w:rPr>
          <w:rFonts w:hint="eastAsia"/>
          <w:lang w:val="en-US" w:eastAsia="zh-CN"/>
        </w:rPr>
      </w:pPr>
      <w:r>
        <w:rPr>
          <w:rFonts w:hint="eastAsia"/>
          <w:lang w:val="en-US" w:eastAsia="zh-CN"/>
        </w:rPr>
        <w:t>9-11 380f</w:t>
      </w:r>
    </w:p>
    <w:p w14:paraId="7F6CF5DD">
      <w:pPr>
        <w:bidi w:val="0"/>
        <w:rPr>
          <w:rFonts w:hint="eastAsia"/>
          <w:lang w:val="en-US" w:eastAsia="zh-CN"/>
        </w:rPr>
      </w:pPr>
    </w:p>
    <w:p w14:paraId="1ED7359A">
      <w:pPr>
        <w:bidi w:val="0"/>
        <w:rPr>
          <w:rFonts w:hint="eastAsia"/>
          <w:lang w:val="en-US" w:eastAsia="zh-CN"/>
        </w:rPr>
      </w:pPr>
      <w:r>
        <w:rPr>
          <w:rFonts w:hint="eastAsia"/>
          <w:lang w:val="en-US" w:eastAsia="zh-CN"/>
        </w:rPr>
        <w:t>9-11 380f</w:t>
      </w:r>
    </w:p>
    <w:p w14:paraId="09CA5B60">
      <w:pPr>
        <w:bidi w:val="0"/>
        <w:rPr>
          <w:rFonts w:hint="eastAsia"/>
          <w:lang w:val="en-US" w:eastAsia="zh-CN"/>
        </w:rPr>
      </w:pPr>
    </w:p>
    <w:p w14:paraId="11525E96">
      <w:pPr>
        <w:bidi w:val="0"/>
        <w:rPr>
          <w:rFonts w:hint="eastAsia"/>
          <w:lang w:val="en-US" w:eastAsia="zh-CN"/>
        </w:rPr>
      </w:pPr>
      <w:r>
        <w:rPr>
          <w:rFonts w:hint="eastAsia"/>
          <w:lang w:val="en-US" w:eastAsia="zh-CN"/>
        </w:rPr>
        <w:t>12-14 385f</w:t>
      </w:r>
    </w:p>
    <w:p w14:paraId="66C18B23">
      <w:pPr>
        <w:bidi w:val="0"/>
        <w:rPr>
          <w:rFonts w:hint="eastAsia"/>
          <w:lang w:val="en-US" w:eastAsia="zh-CN"/>
        </w:rPr>
      </w:pPr>
    </w:p>
    <w:p w14:paraId="5C6A6CB5">
      <w:pPr>
        <w:bidi w:val="0"/>
        <w:rPr>
          <w:rFonts w:hint="eastAsia"/>
          <w:lang w:val="en-US" w:eastAsia="zh-CN"/>
        </w:rPr>
      </w:pPr>
      <w:r>
        <w:rPr>
          <w:rFonts w:hint="eastAsia"/>
          <w:lang w:val="en-US" w:eastAsia="zh-CN"/>
        </w:rPr>
        <w:t>12-14 385f</w:t>
      </w:r>
    </w:p>
    <w:p w14:paraId="31672303">
      <w:pPr>
        <w:bidi w:val="0"/>
        <w:rPr>
          <w:rFonts w:hint="eastAsia"/>
          <w:lang w:val="en-US" w:eastAsia="zh-CN"/>
        </w:rPr>
      </w:pPr>
    </w:p>
    <w:p w14:paraId="31BC0E64">
      <w:pPr>
        <w:bidi w:val="0"/>
        <w:rPr>
          <w:rFonts w:hint="eastAsia"/>
          <w:lang w:val="en-US" w:eastAsia="zh-CN"/>
        </w:rPr>
      </w:pPr>
      <w:r>
        <w:rPr>
          <w:rFonts w:hint="eastAsia"/>
          <w:lang w:val="en-US" w:eastAsia="zh-CN"/>
        </w:rPr>
        <w:t>12:1-9 193, 218, 222, 571</w:t>
      </w:r>
    </w:p>
    <w:p w14:paraId="5B927D24">
      <w:pPr>
        <w:bidi w:val="0"/>
        <w:rPr>
          <w:rFonts w:hint="eastAsia"/>
          <w:lang w:val="en-US" w:eastAsia="zh-CN"/>
        </w:rPr>
      </w:pPr>
    </w:p>
    <w:p w14:paraId="7FCE37D9">
      <w:pPr>
        <w:bidi w:val="0"/>
        <w:rPr>
          <w:rFonts w:hint="eastAsia"/>
          <w:lang w:val="en-US" w:eastAsia="zh-CN"/>
        </w:rPr>
      </w:pPr>
      <w:r>
        <w:rPr>
          <w:rFonts w:hint="eastAsia"/>
          <w:lang w:val="en-US" w:eastAsia="zh-CN"/>
        </w:rPr>
        <w:t>12:1-9 193, 218, 222, 571</w:t>
      </w:r>
    </w:p>
    <w:p w14:paraId="3606FCD8">
      <w:pPr>
        <w:bidi w:val="0"/>
        <w:rPr>
          <w:rFonts w:hint="eastAsia"/>
          <w:lang w:val="en-US" w:eastAsia="zh-CN"/>
        </w:rPr>
      </w:pPr>
    </w:p>
    <w:p w14:paraId="1295AACE">
      <w:pPr>
        <w:bidi w:val="0"/>
        <w:rPr>
          <w:rFonts w:hint="eastAsia"/>
          <w:lang w:val="en-US" w:eastAsia="zh-CN"/>
        </w:rPr>
      </w:pPr>
      <w:r>
        <w:rPr>
          <w:rFonts w:hint="eastAsia"/>
          <w:lang w:val="en-US" w:eastAsia="zh-CN"/>
        </w:rPr>
        <w:t>13:7-9 199, 200</w:t>
      </w:r>
    </w:p>
    <w:p w14:paraId="7D2D9028">
      <w:pPr>
        <w:bidi w:val="0"/>
        <w:rPr>
          <w:rFonts w:hint="eastAsia"/>
          <w:lang w:val="en-US" w:eastAsia="zh-CN"/>
        </w:rPr>
      </w:pPr>
    </w:p>
    <w:p w14:paraId="228B28AF">
      <w:pPr>
        <w:bidi w:val="0"/>
        <w:rPr>
          <w:rFonts w:hint="eastAsia"/>
          <w:lang w:val="en-US" w:eastAsia="zh-CN"/>
        </w:rPr>
      </w:pPr>
      <w:r>
        <w:rPr>
          <w:rFonts w:hint="eastAsia"/>
          <w:lang w:val="en-US" w:eastAsia="zh-CN"/>
        </w:rPr>
        <w:t>13:7-9 199, 200</w:t>
      </w:r>
    </w:p>
    <w:p w14:paraId="19FE0CE1">
      <w:pPr>
        <w:bidi w:val="0"/>
        <w:rPr>
          <w:rFonts w:hint="eastAsia"/>
          <w:lang w:val="en-US" w:eastAsia="zh-CN"/>
        </w:rPr>
      </w:pPr>
    </w:p>
    <w:p w14:paraId="14A54ABC">
      <w:pPr>
        <w:bidi w:val="0"/>
        <w:rPr>
          <w:rFonts w:hint="eastAsia"/>
          <w:lang w:val="en-US" w:eastAsia="zh-CN"/>
        </w:rPr>
      </w:pPr>
      <w:r>
        <w:rPr>
          <w:rFonts w:hint="eastAsia"/>
          <w:lang w:val="en-US" w:eastAsia="zh-CN"/>
        </w:rPr>
        <w:t>14:1-3 218</w:t>
      </w:r>
    </w:p>
    <w:p w14:paraId="3685865F">
      <w:pPr>
        <w:bidi w:val="0"/>
        <w:rPr>
          <w:rFonts w:hint="eastAsia"/>
          <w:lang w:val="en-US" w:eastAsia="zh-CN"/>
        </w:rPr>
      </w:pPr>
    </w:p>
    <w:p w14:paraId="371309AA">
      <w:pPr>
        <w:bidi w:val="0"/>
        <w:rPr>
          <w:rFonts w:hint="eastAsia"/>
          <w:lang w:val="en-US" w:eastAsia="zh-CN"/>
        </w:rPr>
      </w:pPr>
      <w:r>
        <w:rPr>
          <w:rFonts w:hint="eastAsia"/>
          <w:lang w:val="en-US" w:eastAsia="zh-CN"/>
        </w:rPr>
        <w:t>14:1-3 218</w:t>
      </w:r>
    </w:p>
    <w:p w14:paraId="7CF7D661">
      <w:pPr>
        <w:bidi w:val="0"/>
        <w:rPr>
          <w:rFonts w:hint="eastAsia"/>
          <w:lang w:val="en-US" w:eastAsia="zh-CN"/>
        </w:rPr>
      </w:pPr>
    </w:p>
    <w:p w14:paraId="52950CF3">
      <w:pPr>
        <w:bidi w:val="0"/>
        <w:rPr>
          <w:rFonts w:hint="eastAsia"/>
          <w:lang w:val="en-US" w:eastAsia="zh-CN"/>
        </w:rPr>
      </w:pPr>
      <w:r>
        <w:rPr>
          <w:rFonts w:hint="eastAsia"/>
          <w:lang w:val="en-US" w:eastAsia="zh-CN"/>
        </w:rPr>
        <w:t>14:9 87</w:t>
      </w:r>
    </w:p>
    <w:p w14:paraId="2EB154C9">
      <w:pPr>
        <w:bidi w:val="0"/>
        <w:rPr>
          <w:rFonts w:hint="eastAsia"/>
          <w:lang w:val="en-US" w:eastAsia="zh-CN"/>
        </w:rPr>
      </w:pPr>
    </w:p>
    <w:p w14:paraId="6D2BB8B7">
      <w:pPr>
        <w:bidi w:val="0"/>
        <w:rPr>
          <w:rFonts w:hint="eastAsia"/>
          <w:lang w:val="en-US" w:eastAsia="zh-CN"/>
        </w:rPr>
      </w:pPr>
      <w:r>
        <w:rPr>
          <w:rFonts w:hint="eastAsia"/>
          <w:lang w:val="en-US" w:eastAsia="zh-CN"/>
        </w:rPr>
        <w:t>14:9 87</w:t>
      </w:r>
    </w:p>
    <w:p w14:paraId="20F1708E">
      <w:pPr>
        <w:bidi w:val="0"/>
        <w:rPr>
          <w:rFonts w:hint="eastAsia"/>
          <w:lang w:val="en-US" w:eastAsia="zh-CN"/>
        </w:rPr>
      </w:pPr>
    </w:p>
    <w:p w14:paraId="0E8EBD10">
      <w:pPr>
        <w:bidi w:val="0"/>
        <w:rPr>
          <w:rFonts w:hint="eastAsia"/>
          <w:lang w:val="en-US" w:eastAsia="zh-CN"/>
        </w:rPr>
      </w:pPr>
      <w:r>
        <w:rPr>
          <w:rFonts w:hint="eastAsia"/>
          <w:lang w:val="en-US" w:eastAsia="zh-CN"/>
        </w:rPr>
        <w:t>14:16-19 12, 202</w:t>
      </w:r>
    </w:p>
    <w:p w14:paraId="4C3FD5C7">
      <w:pPr>
        <w:bidi w:val="0"/>
        <w:rPr>
          <w:rFonts w:hint="eastAsia"/>
          <w:lang w:val="en-US" w:eastAsia="zh-CN"/>
        </w:rPr>
      </w:pPr>
    </w:p>
    <w:p w14:paraId="42BA0081">
      <w:pPr>
        <w:bidi w:val="0"/>
        <w:rPr>
          <w:rFonts w:hint="eastAsia"/>
          <w:lang w:val="en-US" w:eastAsia="zh-CN"/>
        </w:rPr>
      </w:pPr>
      <w:r>
        <w:rPr>
          <w:rFonts w:hint="eastAsia"/>
          <w:lang w:val="en-US" w:eastAsia="zh-CN"/>
        </w:rPr>
        <w:t>14:16-19 12, 202</w:t>
      </w:r>
    </w:p>
    <w:p w14:paraId="4F9B4B53">
      <w:pPr>
        <w:bidi w:val="0"/>
        <w:rPr>
          <w:rFonts w:hint="eastAsia"/>
          <w:lang w:val="en-US" w:eastAsia="zh-CN"/>
        </w:rPr>
      </w:pPr>
    </w:p>
    <w:p w14:paraId="3DD2F8E1">
      <w:pPr>
        <w:bidi w:val="0"/>
        <w:rPr>
          <w:rFonts w:hint="eastAsia"/>
          <w:lang w:val="en-US" w:eastAsia="zh-CN"/>
        </w:rPr>
      </w:pPr>
      <w:r>
        <w:rPr>
          <w:rFonts w:hint="eastAsia"/>
          <w:lang w:val="en-US" w:eastAsia="zh-CN"/>
        </w:rPr>
        <w:t>14:20-21 204</w:t>
      </w:r>
    </w:p>
    <w:p w14:paraId="6B9ADEBD">
      <w:pPr>
        <w:bidi w:val="0"/>
        <w:rPr>
          <w:rFonts w:hint="eastAsia"/>
          <w:lang w:val="en-US" w:eastAsia="zh-CN"/>
        </w:rPr>
      </w:pPr>
    </w:p>
    <w:p w14:paraId="5E17BAC1">
      <w:pPr>
        <w:bidi w:val="0"/>
        <w:rPr>
          <w:rFonts w:hint="eastAsia"/>
          <w:lang w:val="en-US" w:eastAsia="zh-CN"/>
        </w:rPr>
      </w:pPr>
      <w:r>
        <w:rPr>
          <w:rFonts w:hint="eastAsia"/>
          <w:lang w:val="en-US" w:eastAsia="zh-CN"/>
        </w:rPr>
        <w:t>14:20-21 204</w:t>
      </w:r>
    </w:p>
    <w:p w14:paraId="41792EA7">
      <w:pPr>
        <w:bidi w:val="0"/>
        <w:rPr>
          <w:rFonts w:hint="eastAsia"/>
          <w:lang w:val="en-US" w:eastAsia="zh-CN"/>
        </w:rPr>
      </w:pPr>
    </w:p>
    <w:p w14:paraId="7C21AD2F">
      <w:pPr>
        <w:bidi w:val="0"/>
        <w:rPr>
          <w:rFonts w:hint="eastAsia"/>
          <w:lang w:val="en-US" w:eastAsia="zh-CN"/>
        </w:rPr>
      </w:pPr>
      <w:r>
        <w:rPr>
          <w:rFonts w:hint="eastAsia"/>
          <w:lang w:val="en-US" w:eastAsia="zh-CN"/>
        </w:rPr>
        <w:t>Malachi</w:t>
      </w:r>
    </w:p>
    <w:p w14:paraId="579C224F">
      <w:pPr>
        <w:bidi w:val="0"/>
        <w:rPr>
          <w:rFonts w:hint="eastAsia"/>
          <w:lang w:val="en-US" w:eastAsia="zh-CN"/>
        </w:rPr>
      </w:pPr>
    </w:p>
    <w:p w14:paraId="77BE4898">
      <w:pPr>
        <w:bidi w:val="0"/>
        <w:rPr>
          <w:rFonts w:hint="eastAsia"/>
          <w:lang w:val="en-US" w:eastAsia="zh-CN"/>
        </w:rPr>
      </w:pPr>
      <w:r>
        <w:rPr>
          <w:rFonts w:hint="eastAsia"/>
          <w:lang w:val="en-US" w:eastAsia="zh-CN"/>
        </w:rPr>
        <w:t>玛拉基书</w:t>
      </w:r>
    </w:p>
    <w:p w14:paraId="71AD87A5">
      <w:pPr>
        <w:bidi w:val="0"/>
        <w:rPr>
          <w:rFonts w:hint="eastAsia"/>
          <w:lang w:val="en-US" w:eastAsia="zh-CN"/>
        </w:rPr>
      </w:pPr>
    </w:p>
    <w:p w14:paraId="718D92CE">
      <w:pPr>
        <w:bidi w:val="0"/>
        <w:rPr>
          <w:rFonts w:hint="eastAsia"/>
          <w:lang w:val="en-US" w:eastAsia="zh-CN"/>
        </w:rPr>
      </w:pPr>
      <w:r>
        <w:rPr>
          <w:rFonts w:hint="eastAsia"/>
          <w:lang w:val="en-US" w:eastAsia="zh-CN"/>
        </w:rPr>
        <w:t>1:11 202</w:t>
      </w:r>
    </w:p>
    <w:p w14:paraId="05F24B51">
      <w:pPr>
        <w:bidi w:val="0"/>
        <w:rPr>
          <w:rFonts w:hint="eastAsia"/>
          <w:lang w:val="en-US" w:eastAsia="zh-CN"/>
        </w:rPr>
      </w:pPr>
    </w:p>
    <w:p w14:paraId="5290B2FD">
      <w:pPr>
        <w:bidi w:val="0"/>
        <w:rPr>
          <w:rFonts w:hint="eastAsia"/>
          <w:lang w:val="en-US" w:eastAsia="zh-CN"/>
        </w:rPr>
      </w:pPr>
      <w:r>
        <w:rPr>
          <w:rFonts w:hint="eastAsia"/>
          <w:lang w:val="en-US" w:eastAsia="zh-CN"/>
        </w:rPr>
        <w:t>1:11 202</w:t>
      </w:r>
    </w:p>
    <w:p w14:paraId="4069BF6E">
      <w:pPr>
        <w:bidi w:val="0"/>
        <w:rPr>
          <w:rFonts w:hint="eastAsia"/>
          <w:lang w:val="en-US" w:eastAsia="zh-CN"/>
        </w:rPr>
      </w:pPr>
    </w:p>
    <w:p w14:paraId="21323E69">
      <w:pPr>
        <w:bidi w:val="0"/>
        <w:rPr>
          <w:rFonts w:hint="eastAsia"/>
          <w:lang w:val="en-US" w:eastAsia="zh-CN"/>
        </w:rPr>
      </w:pPr>
      <w:r>
        <w:rPr>
          <w:rFonts w:hint="eastAsia"/>
          <w:lang w:val="en-US" w:eastAsia="zh-CN"/>
        </w:rPr>
        <w:t>2:5 341</w:t>
      </w:r>
    </w:p>
    <w:p w14:paraId="1D63389F">
      <w:pPr>
        <w:bidi w:val="0"/>
        <w:rPr>
          <w:rFonts w:hint="eastAsia"/>
          <w:lang w:val="en-US" w:eastAsia="zh-CN"/>
        </w:rPr>
      </w:pPr>
    </w:p>
    <w:p w14:paraId="64B8A67A">
      <w:pPr>
        <w:bidi w:val="0"/>
        <w:rPr>
          <w:rFonts w:hint="eastAsia"/>
          <w:lang w:val="en-US" w:eastAsia="zh-CN"/>
        </w:rPr>
      </w:pPr>
      <w:r>
        <w:rPr>
          <w:rFonts w:hint="eastAsia"/>
          <w:lang w:val="en-US" w:eastAsia="zh-CN"/>
        </w:rPr>
        <w:t>2:5 341</w:t>
      </w:r>
    </w:p>
    <w:p w14:paraId="2CB34BE4">
      <w:pPr>
        <w:bidi w:val="0"/>
        <w:rPr>
          <w:rFonts w:hint="eastAsia"/>
          <w:lang w:val="en-US" w:eastAsia="zh-CN"/>
        </w:rPr>
      </w:pPr>
    </w:p>
    <w:p w14:paraId="7DE3B1D6">
      <w:pPr>
        <w:bidi w:val="0"/>
        <w:rPr>
          <w:rFonts w:hint="eastAsia"/>
          <w:lang w:val="en-US" w:eastAsia="zh-CN"/>
        </w:rPr>
      </w:pPr>
      <w:r>
        <w:rPr>
          <w:rFonts w:hint="eastAsia"/>
          <w:lang w:val="en-US" w:eastAsia="zh-CN"/>
        </w:rPr>
        <w:t>2:7 196</w:t>
      </w:r>
    </w:p>
    <w:p w14:paraId="4160F634">
      <w:pPr>
        <w:bidi w:val="0"/>
        <w:rPr>
          <w:rFonts w:hint="eastAsia"/>
          <w:lang w:val="en-US" w:eastAsia="zh-CN"/>
        </w:rPr>
      </w:pPr>
    </w:p>
    <w:p w14:paraId="07BBDF5C">
      <w:pPr>
        <w:bidi w:val="0"/>
        <w:rPr>
          <w:rFonts w:hint="eastAsia"/>
          <w:lang w:val="en-US" w:eastAsia="zh-CN"/>
        </w:rPr>
      </w:pPr>
      <w:r>
        <w:rPr>
          <w:rFonts w:hint="eastAsia"/>
          <w:lang w:val="en-US" w:eastAsia="zh-CN"/>
        </w:rPr>
        <w:t>2:7 196</w:t>
      </w:r>
    </w:p>
    <w:p w14:paraId="5266E87C">
      <w:pPr>
        <w:bidi w:val="0"/>
        <w:rPr>
          <w:rFonts w:hint="eastAsia"/>
          <w:lang w:val="en-US" w:eastAsia="zh-CN"/>
        </w:rPr>
      </w:pPr>
    </w:p>
    <w:p w14:paraId="3738E164">
      <w:pPr>
        <w:bidi w:val="0"/>
        <w:rPr>
          <w:rFonts w:hint="eastAsia"/>
          <w:lang w:val="en-US" w:eastAsia="zh-CN"/>
        </w:rPr>
      </w:pPr>
      <w:r>
        <w:rPr>
          <w:rFonts w:hint="eastAsia"/>
          <w:lang w:val="en-US" w:eastAsia="zh-CN"/>
        </w:rPr>
        <w:t>3:3 201, 202, 208</w:t>
      </w:r>
    </w:p>
    <w:p w14:paraId="0851FD50">
      <w:pPr>
        <w:bidi w:val="0"/>
        <w:rPr>
          <w:rFonts w:hint="eastAsia"/>
          <w:lang w:val="en-US" w:eastAsia="zh-CN"/>
        </w:rPr>
      </w:pPr>
    </w:p>
    <w:p w14:paraId="13662AF3">
      <w:pPr>
        <w:bidi w:val="0"/>
        <w:rPr>
          <w:rFonts w:hint="eastAsia"/>
          <w:lang w:val="en-US" w:eastAsia="zh-CN"/>
        </w:rPr>
      </w:pPr>
      <w:r>
        <w:rPr>
          <w:rFonts w:hint="eastAsia"/>
          <w:lang w:val="en-US" w:eastAsia="zh-CN"/>
        </w:rPr>
        <w:t>3:3 201, 202, 208</w:t>
      </w:r>
    </w:p>
    <w:p w14:paraId="40056E4F">
      <w:pPr>
        <w:bidi w:val="0"/>
        <w:rPr>
          <w:rFonts w:hint="eastAsia"/>
          <w:lang w:val="en-US" w:eastAsia="zh-CN"/>
        </w:rPr>
      </w:pPr>
    </w:p>
    <w:p w14:paraId="5BB8DF64">
      <w:pPr>
        <w:bidi w:val="0"/>
        <w:rPr>
          <w:rFonts w:hint="eastAsia"/>
          <w:lang w:val="en-US" w:eastAsia="zh-CN"/>
        </w:rPr>
      </w:pPr>
      <w:r>
        <w:rPr>
          <w:rFonts w:hint="eastAsia"/>
          <w:lang w:val="en-US" w:eastAsia="zh-CN"/>
        </w:rPr>
        <w:t>3:4 687</w:t>
      </w:r>
    </w:p>
    <w:p w14:paraId="552B5EA8">
      <w:pPr>
        <w:bidi w:val="0"/>
        <w:rPr>
          <w:rFonts w:hint="eastAsia"/>
          <w:lang w:val="en-US" w:eastAsia="zh-CN"/>
        </w:rPr>
      </w:pPr>
    </w:p>
    <w:p w14:paraId="44AF22F0">
      <w:pPr>
        <w:bidi w:val="0"/>
        <w:rPr>
          <w:rFonts w:hint="eastAsia"/>
          <w:lang w:val="en-US" w:eastAsia="zh-CN"/>
        </w:rPr>
      </w:pPr>
      <w:r>
        <w:rPr>
          <w:rFonts w:hint="eastAsia"/>
          <w:lang w:val="en-US" w:eastAsia="zh-CN"/>
        </w:rPr>
        <w:t>3:4 687</w:t>
      </w:r>
    </w:p>
    <w:p w14:paraId="039ED795">
      <w:pPr>
        <w:bidi w:val="0"/>
        <w:rPr>
          <w:rFonts w:hint="eastAsia"/>
          <w:lang w:val="en-US" w:eastAsia="zh-CN"/>
        </w:rPr>
      </w:pPr>
    </w:p>
    <w:p w14:paraId="31090AF4">
      <w:pPr>
        <w:bidi w:val="0"/>
        <w:rPr>
          <w:rFonts w:hint="eastAsia"/>
          <w:lang w:val="en-US" w:eastAsia="zh-CN"/>
        </w:rPr>
      </w:pPr>
      <w:r>
        <w:rPr>
          <w:rFonts w:hint="eastAsia"/>
          <w:lang w:val="en-US" w:eastAsia="zh-CN"/>
        </w:rPr>
        <w:t>3:17 245</w:t>
      </w:r>
    </w:p>
    <w:p w14:paraId="544801E6">
      <w:pPr>
        <w:bidi w:val="0"/>
        <w:rPr>
          <w:rFonts w:hint="eastAsia"/>
          <w:lang w:val="en-US" w:eastAsia="zh-CN"/>
        </w:rPr>
      </w:pPr>
    </w:p>
    <w:p w14:paraId="0019FC61">
      <w:pPr>
        <w:bidi w:val="0"/>
        <w:rPr>
          <w:rFonts w:hint="eastAsia"/>
          <w:lang w:val="en-US" w:eastAsia="zh-CN"/>
        </w:rPr>
      </w:pPr>
      <w:r>
        <w:rPr>
          <w:rFonts w:hint="eastAsia"/>
          <w:lang w:val="en-US" w:eastAsia="zh-CN"/>
        </w:rPr>
        <w:t>3:17 245</w:t>
      </w:r>
    </w:p>
    <w:p w14:paraId="661A42AC">
      <w:pPr>
        <w:bidi w:val="0"/>
        <w:rPr>
          <w:rFonts w:hint="eastAsia"/>
          <w:lang w:val="en-US" w:eastAsia="zh-CN"/>
        </w:rPr>
      </w:pPr>
    </w:p>
    <w:p w14:paraId="26ECBD94">
      <w:pPr>
        <w:bidi w:val="0"/>
        <w:rPr>
          <w:rFonts w:hint="eastAsia"/>
          <w:lang w:val="en-US" w:eastAsia="zh-CN"/>
        </w:rPr>
      </w:pPr>
      <w:r>
        <w:rPr>
          <w:rFonts w:hint="eastAsia"/>
          <w:lang w:val="en-US" w:eastAsia="zh-CN"/>
        </w:rPr>
        <w:t>4:1-3 221, 222, 587, 687</w:t>
      </w:r>
    </w:p>
    <w:p w14:paraId="3C0D1514">
      <w:pPr>
        <w:bidi w:val="0"/>
        <w:rPr>
          <w:rFonts w:hint="eastAsia"/>
          <w:lang w:val="en-US" w:eastAsia="zh-CN"/>
        </w:rPr>
      </w:pPr>
    </w:p>
    <w:p w14:paraId="3E56526B">
      <w:pPr>
        <w:bidi w:val="0"/>
        <w:rPr>
          <w:rFonts w:hint="eastAsia"/>
          <w:lang w:val="en-US" w:eastAsia="zh-CN"/>
        </w:rPr>
      </w:pPr>
      <w:r>
        <w:rPr>
          <w:rFonts w:hint="eastAsia"/>
          <w:lang w:val="en-US" w:eastAsia="zh-CN"/>
        </w:rPr>
        <w:t>4:1-3 221, 222, 587, 687</w:t>
      </w:r>
    </w:p>
    <w:p w14:paraId="724338A8">
      <w:pPr>
        <w:bidi w:val="0"/>
        <w:rPr>
          <w:rFonts w:hint="eastAsia"/>
          <w:lang w:val="en-US" w:eastAsia="zh-CN"/>
        </w:rPr>
      </w:pPr>
    </w:p>
    <w:p w14:paraId="4D082EB8">
      <w:pPr>
        <w:bidi w:val="0"/>
        <w:rPr>
          <w:rFonts w:hint="eastAsia"/>
          <w:lang w:val="en-US" w:eastAsia="zh-CN"/>
        </w:rPr>
      </w:pPr>
      <w:r>
        <w:rPr>
          <w:rFonts w:hint="eastAsia"/>
          <w:lang w:val="en-US" w:eastAsia="zh-CN"/>
        </w:rPr>
        <w:t>4:5 518</w:t>
      </w:r>
    </w:p>
    <w:p w14:paraId="26B34728">
      <w:pPr>
        <w:bidi w:val="0"/>
        <w:rPr>
          <w:rFonts w:hint="eastAsia"/>
          <w:lang w:val="en-US" w:eastAsia="zh-CN"/>
        </w:rPr>
      </w:pPr>
    </w:p>
    <w:p w14:paraId="446E85DF">
      <w:pPr>
        <w:bidi w:val="0"/>
        <w:rPr>
          <w:rFonts w:hint="eastAsia"/>
          <w:lang w:val="en-US" w:eastAsia="zh-CN"/>
        </w:rPr>
      </w:pPr>
      <w:r>
        <w:rPr>
          <w:rFonts w:hint="eastAsia"/>
          <w:lang w:val="en-US" w:eastAsia="zh-CN"/>
        </w:rPr>
        <w:t>4:5 518</w:t>
      </w:r>
    </w:p>
    <w:p w14:paraId="44FFDB8D">
      <w:pPr>
        <w:bidi w:val="0"/>
        <w:rPr>
          <w:rFonts w:hint="eastAsia"/>
          <w:lang w:val="en-US" w:eastAsia="zh-CN"/>
        </w:rPr>
      </w:pPr>
    </w:p>
    <w:p w14:paraId="278139ED">
      <w:pPr>
        <w:bidi w:val="0"/>
        <w:rPr>
          <w:rFonts w:hint="eastAsia"/>
          <w:lang w:val="en-US" w:eastAsia="zh-CN"/>
        </w:rPr>
      </w:pPr>
      <w:r>
        <w:rPr>
          <w:rFonts w:hint="eastAsia"/>
          <w:lang w:val="en-US" w:eastAsia="zh-CN"/>
        </w:rPr>
        <w:t>Matthew</w:t>
      </w:r>
    </w:p>
    <w:p w14:paraId="7EA0273C">
      <w:pPr>
        <w:bidi w:val="0"/>
        <w:rPr>
          <w:rFonts w:hint="eastAsia"/>
          <w:lang w:val="en-US" w:eastAsia="zh-CN"/>
        </w:rPr>
      </w:pPr>
    </w:p>
    <w:p w14:paraId="370347CD">
      <w:pPr>
        <w:bidi w:val="0"/>
        <w:rPr>
          <w:rFonts w:hint="eastAsia"/>
          <w:lang w:val="en-US" w:eastAsia="zh-CN"/>
        </w:rPr>
      </w:pPr>
      <w:r>
        <w:rPr>
          <w:rFonts w:hint="eastAsia"/>
          <w:lang w:val="en-US" w:eastAsia="zh-CN"/>
        </w:rPr>
        <w:t>马太福音</w:t>
      </w:r>
    </w:p>
    <w:p w14:paraId="17F39726">
      <w:pPr>
        <w:bidi w:val="0"/>
        <w:rPr>
          <w:rFonts w:hint="eastAsia"/>
          <w:lang w:val="en-US" w:eastAsia="zh-CN"/>
        </w:rPr>
      </w:pPr>
    </w:p>
    <w:p w14:paraId="14EB3666">
      <w:pPr>
        <w:bidi w:val="0"/>
        <w:rPr>
          <w:rFonts w:hint="eastAsia"/>
          <w:lang w:val="en-US" w:eastAsia="zh-CN"/>
        </w:rPr>
      </w:pPr>
      <w:r>
        <w:rPr>
          <w:rFonts w:hint="eastAsia"/>
          <w:lang w:val="en-US" w:eastAsia="zh-CN"/>
        </w:rPr>
        <w:t>5:17-18 46-47</w:t>
      </w:r>
    </w:p>
    <w:p w14:paraId="4A1ACACE">
      <w:pPr>
        <w:bidi w:val="0"/>
        <w:rPr>
          <w:rFonts w:hint="eastAsia"/>
          <w:lang w:val="en-US" w:eastAsia="zh-CN"/>
        </w:rPr>
      </w:pPr>
    </w:p>
    <w:p w14:paraId="655ADA0F">
      <w:pPr>
        <w:bidi w:val="0"/>
        <w:rPr>
          <w:rFonts w:hint="eastAsia"/>
          <w:lang w:val="en-US" w:eastAsia="zh-CN"/>
        </w:rPr>
      </w:pPr>
      <w:r>
        <w:rPr>
          <w:rFonts w:hint="eastAsia"/>
          <w:lang w:val="en-US" w:eastAsia="zh-CN"/>
        </w:rPr>
        <w:t>5:17-18 46-47</w:t>
      </w:r>
    </w:p>
    <w:p w14:paraId="0D53F729">
      <w:pPr>
        <w:bidi w:val="0"/>
        <w:rPr>
          <w:rFonts w:hint="eastAsia"/>
          <w:lang w:val="en-US" w:eastAsia="zh-CN"/>
        </w:rPr>
      </w:pPr>
    </w:p>
    <w:p w14:paraId="1A7341E8">
      <w:pPr>
        <w:bidi w:val="0"/>
        <w:rPr>
          <w:rFonts w:hint="eastAsia"/>
          <w:lang w:val="en-US" w:eastAsia="zh-CN"/>
        </w:rPr>
      </w:pPr>
      <w:r>
        <w:rPr>
          <w:rFonts w:hint="eastAsia"/>
          <w:lang w:val="en-US" w:eastAsia="zh-CN"/>
        </w:rPr>
        <w:t>6:10 58-59</w:t>
      </w:r>
    </w:p>
    <w:p w14:paraId="46B6EAA2">
      <w:pPr>
        <w:bidi w:val="0"/>
        <w:rPr>
          <w:rFonts w:hint="eastAsia"/>
          <w:lang w:val="en-US" w:eastAsia="zh-CN"/>
        </w:rPr>
      </w:pPr>
    </w:p>
    <w:p w14:paraId="4ECE5AEB">
      <w:pPr>
        <w:bidi w:val="0"/>
        <w:rPr>
          <w:rFonts w:hint="eastAsia"/>
          <w:lang w:val="en-US" w:eastAsia="zh-CN"/>
        </w:rPr>
      </w:pPr>
      <w:r>
        <w:rPr>
          <w:rFonts w:hint="eastAsia"/>
          <w:lang w:val="en-US" w:eastAsia="zh-CN"/>
        </w:rPr>
        <w:t>6:10 58-59</w:t>
      </w:r>
    </w:p>
    <w:p w14:paraId="161A45BD">
      <w:pPr>
        <w:bidi w:val="0"/>
        <w:rPr>
          <w:rFonts w:hint="eastAsia"/>
          <w:lang w:val="en-US" w:eastAsia="zh-CN"/>
        </w:rPr>
      </w:pPr>
    </w:p>
    <w:p w14:paraId="1E19838C">
      <w:pPr>
        <w:bidi w:val="0"/>
        <w:rPr>
          <w:rFonts w:hint="eastAsia"/>
          <w:lang w:val="en-US" w:eastAsia="zh-CN"/>
        </w:rPr>
      </w:pPr>
      <w:r>
        <w:rPr>
          <w:rFonts w:hint="eastAsia"/>
          <w:lang w:val="en-US" w:eastAsia="zh-CN"/>
        </w:rPr>
        <w:t>8:23-27 61</w:t>
      </w:r>
    </w:p>
    <w:p w14:paraId="5A34881A">
      <w:pPr>
        <w:bidi w:val="0"/>
        <w:rPr>
          <w:rFonts w:hint="eastAsia"/>
          <w:lang w:val="en-US" w:eastAsia="zh-CN"/>
        </w:rPr>
      </w:pPr>
    </w:p>
    <w:p w14:paraId="1EED1672">
      <w:pPr>
        <w:bidi w:val="0"/>
        <w:rPr>
          <w:rFonts w:hint="eastAsia"/>
          <w:lang w:val="en-US" w:eastAsia="zh-CN"/>
        </w:rPr>
      </w:pPr>
      <w:r>
        <w:rPr>
          <w:rFonts w:hint="eastAsia"/>
          <w:lang w:val="en-US" w:eastAsia="zh-CN"/>
        </w:rPr>
        <w:t>8:23-27 61</w:t>
      </w:r>
    </w:p>
    <w:p w14:paraId="517409EA">
      <w:pPr>
        <w:bidi w:val="0"/>
        <w:rPr>
          <w:rFonts w:hint="eastAsia"/>
          <w:lang w:val="en-US" w:eastAsia="zh-CN"/>
        </w:rPr>
      </w:pPr>
    </w:p>
    <w:p w14:paraId="2D0DCA97">
      <w:pPr>
        <w:bidi w:val="0"/>
        <w:rPr>
          <w:rFonts w:hint="eastAsia"/>
          <w:lang w:val="en-US" w:eastAsia="zh-CN"/>
        </w:rPr>
      </w:pPr>
      <w:r>
        <w:rPr>
          <w:rFonts w:hint="eastAsia"/>
          <w:lang w:val="en-US" w:eastAsia="zh-CN"/>
        </w:rPr>
        <w:t>9:16-17 66</w:t>
      </w:r>
    </w:p>
    <w:p w14:paraId="55E15B4B">
      <w:pPr>
        <w:bidi w:val="0"/>
        <w:rPr>
          <w:rFonts w:hint="eastAsia"/>
          <w:lang w:val="en-US" w:eastAsia="zh-CN"/>
        </w:rPr>
      </w:pPr>
    </w:p>
    <w:p w14:paraId="71DC7711">
      <w:pPr>
        <w:bidi w:val="0"/>
        <w:rPr>
          <w:rFonts w:hint="eastAsia"/>
          <w:lang w:val="en-US" w:eastAsia="zh-CN"/>
        </w:rPr>
      </w:pPr>
      <w:r>
        <w:rPr>
          <w:rFonts w:hint="eastAsia"/>
          <w:lang w:val="en-US" w:eastAsia="zh-CN"/>
        </w:rPr>
        <w:t>9:16-17 66</w:t>
      </w:r>
    </w:p>
    <w:p w14:paraId="013F7021">
      <w:pPr>
        <w:bidi w:val="0"/>
        <w:rPr>
          <w:rFonts w:hint="eastAsia"/>
          <w:lang w:val="en-US" w:eastAsia="zh-CN"/>
        </w:rPr>
      </w:pPr>
    </w:p>
    <w:p w14:paraId="18510C78">
      <w:pPr>
        <w:bidi w:val="0"/>
        <w:rPr>
          <w:rFonts w:hint="eastAsia"/>
          <w:lang w:val="en-US" w:eastAsia="zh-CN"/>
        </w:rPr>
      </w:pPr>
      <w:r>
        <w:rPr>
          <w:rFonts w:hint="eastAsia"/>
          <w:lang w:val="en-US" w:eastAsia="zh-CN"/>
        </w:rPr>
        <w:t>9:35 60</w:t>
      </w:r>
    </w:p>
    <w:p w14:paraId="76CB1EB5">
      <w:pPr>
        <w:bidi w:val="0"/>
        <w:rPr>
          <w:rFonts w:hint="eastAsia"/>
          <w:lang w:val="en-US" w:eastAsia="zh-CN"/>
        </w:rPr>
      </w:pPr>
    </w:p>
    <w:p w14:paraId="27600064">
      <w:pPr>
        <w:bidi w:val="0"/>
        <w:rPr>
          <w:rFonts w:hint="eastAsia"/>
          <w:lang w:val="en-US" w:eastAsia="zh-CN"/>
        </w:rPr>
      </w:pPr>
      <w:r>
        <w:rPr>
          <w:rFonts w:hint="eastAsia"/>
          <w:lang w:val="en-US" w:eastAsia="zh-CN"/>
        </w:rPr>
        <w:t>9:35 60</w:t>
      </w:r>
    </w:p>
    <w:p w14:paraId="0D3DD9F3">
      <w:pPr>
        <w:bidi w:val="0"/>
        <w:rPr>
          <w:rFonts w:hint="eastAsia"/>
          <w:lang w:val="en-US" w:eastAsia="zh-CN"/>
        </w:rPr>
      </w:pPr>
    </w:p>
    <w:p w14:paraId="0957BCA8">
      <w:pPr>
        <w:bidi w:val="0"/>
        <w:rPr>
          <w:rFonts w:hint="eastAsia"/>
          <w:lang w:val="en-US" w:eastAsia="zh-CN"/>
        </w:rPr>
      </w:pPr>
      <w:r>
        <w:rPr>
          <w:rFonts w:hint="eastAsia"/>
          <w:lang w:val="en-US" w:eastAsia="zh-CN"/>
        </w:rPr>
        <w:t>10:7-8 60</w:t>
      </w:r>
    </w:p>
    <w:p w14:paraId="2DAD0461">
      <w:pPr>
        <w:bidi w:val="0"/>
        <w:rPr>
          <w:rFonts w:hint="eastAsia"/>
          <w:lang w:val="en-US" w:eastAsia="zh-CN"/>
        </w:rPr>
      </w:pPr>
    </w:p>
    <w:p w14:paraId="3FDCC5EF">
      <w:pPr>
        <w:bidi w:val="0"/>
        <w:rPr>
          <w:rFonts w:hint="eastAsia"/>
          <w:lang w:val="en-US" w:eastAsia="zh-CN"/>
        </w:rPr>
      </w:pPr>
      <w:r>
        <w:rPr>
          <w:rFonts w:hint="eastAsia"/>
          <w:lang w:val="en-US" w:eastAsia="zh-CN"/>
        </w:rPr>
        <w:t>10:7-8 60</w:t>
      </w:r>
    </w:p>
    <w:p w14:paraId="2031C162">
      <w:pPr>
        <w:bidi w:val="0"/>
        <w:rPr>
          <w:rFonts w:hint="eastAsia"/>
          <w:lang w:val="en-US" w:eastAsia="zh-CN"/>
        </w:rPr>
      </w:pPr>
    </w:p>
    <w:p w14:paraId="781BABC6">
      <w:pPr>
        <w:bidi w:val="0"/>
        <w:rPr>
          <w:rFonts w:hint="eastAsia"/>
          <w:lang w:val="en-US" w:eastAsia="zh-CN"/>
        </w:rPr>
      </w:pPr>
      <w:r>
        <w:rPr>
          <w:rFonts w:hint="eastAsia"/>
          <w:lang w:val="en-US" w:eastAsia="zh-CN"/>
        </w:rPr>
        <w:t>10:23 527</w:t>
      </w:r>
    </w:p>
    <w:p w14:paraId="4B8303D0">
      <w:pPr>
        <w:bidi w:val="0"/>
        <w:rPr>
          <w:rFonts w:hint="eastAsia"/>
          <w:lang w:val="en-US" w:eastAsia="zh-CN"/>
        </w:rPr>
      </w:pPr>
    </w:p>
    <w:p w14:paraId="2E8FA526">
      <w:pPr>
        <w:bidi w:val="0"/>
        <w:rPr>
          <w:rFonts w:hint="eastAsia"/>
          <w:lang w:val="en-US" w:eastAsia="zh-CN"/>
        </w:rPr>
      </w:pPr>
      <w:r>
        <w:rPr>
          <w:rFonts w:hint="eastAsia"/>
          <w:lang w:val="en-US" w:eastAsia="zh-CN"/>
        </w:rPr>
        <w:t>10:23 527</w:t>
      </w:r>
    </w:p>
    <w:p w14:paraId="663CAB42">
      <w:pPr>
        <w:bidi w:val="0"/>
        <w:rPr>
          <w:rFonts w:hint="eastAsia"/>
          <w:lang w:val="en-US" w:eastAsia="zh-CN"/>
        </w:rPr>
      </w:pPr>
    </w:p>
    <w:p w14:paraId="4F844319">
      <w:pPr>
        <w:bidi w:val="0"/>
        <w:rPr>
          <w:rFonts w:hint="eastAsia"/>
          <w:lang w:val="en-US" w:eastAsia="zh-CN"/>
        </w:rPr>
      </w:pPr>
      <w:r>
        <w:rPr>
          <w:rFonts w:hint="eastAsia"/>
          <w:lang w:val="en-US" w:eastAsia="zh-CN"/>
        </w:rPr>
        <w:t>12:28 60-61, 686</w:t>
      </w:r>
    </w:p>
    <w:p w14:paraId="0DA5116C">
      <w:pPr>
        <w:bidi w:val="0"/>
        <w:rPr>
          <w:rFonts w:hint="eastAsia"/>
          <w:lang w:val="en-US" w:eastAsia="zh-CN"/>
        </w:rPr>
      </w:pPr>
    </w:p>
    <w:p w14:paraId="2EF6A60C">
      <w:pPr>
        <w:bidi w:val="0"/>
        <w:rPr>
          <w:rFonts w:hint="eastAsia"/>
          <w:lang w:val="en-US" w:eastAsia="zh-CN"/>
        </w:rPr>
      </w:pPr>
      <w:r>
        <w:rPr>
          <w:rFonts w:hint="eastAsia"/>
          <w:lang w:val="en-US" w:eastAsia="zh-CN"/>
        </w:rPr>
        <w:t>12:28 60-61, 686</w:t>
      </w:r>
    </w:p>
    <w:p w14:paraId="25595C85">
      <w:pPr>
        <w:bidi w:val="0"/>
        <w:rPr>
          <w:rFonts w:hint="eastAsia"/>
          <w:lang w:val="en-US" w:eastAsia="zh-CN"/>
        </w:rPr>
      </w:pPr>
    </w:p>
    <w:p w14:paraId="58762744">
      <w:pPr>
        <w:bidi w:val="0"/>
        <w:rPr>
          <w:rFonts w:hint="eastAsia"/>
          <w:lang w:val="en-US" w:eastAsia="zh-CN"/>
        </w:rPr>
      </w:pPr>
      <w:r>
        <w:rPr>
          <w:rFonts w:hint="eastAsia"/>
          <w:lang w:val="en-US" w:eastAsia="zh-CN"/>
        </w:rPr>
        <w:t>13:1-52 128-139</w:t>
      </w:r>
    </w:p>
    <w:p w14:paraId="61F09C75">
      <w:pPr>
        <w:bidi w:val="0"/>
        <w:rPr>
          <w:rFonts w:hint="eastAsia"/>
          <w:lang w:val="en-US" w:eastAsia="zh-CN"/>
        </w:rPr>
      </w:pPr>
    </w:p>
    <w:p w14:paraId="1BF9BEF9">
      <w:pPr>
        <w:bidi w:val="0"/>
        <w:rPr>
          <w:rFonts w:hint="eastAsia"/>
          <w:lang w:val="en-US" w:eastAsia="zh-CN"/>
        </w:rPr>
      </w:pPr>
      <w:r>
        <w:rPr>
          <w:rFonts w:hint="eastAsia"/>
          <w:lang w:val="en-US" w:eastAsia="zh-CN"/>
        </w:rPr>
        <w:t>13:1-52 128-139</w:t>
      </w:r>
    </w:p>
    <w:p w14:paraId="5650356C">
      <w:pPr>
        <w:bidi w:val="0"/>
        <w:rPr>
          <w:rFonts w:hint="eastAsia"/>
          <w:lang w:val="en-US" w:eastAsia="zh-CN"/>
        </w:rPr>
      </w:pPr>
    </w:p>
    <w:p w14:paraId="62670569">
      <w:pPr>
        <w:bidi w:val="0"/>
        <w:rPr>
          <w:rFonts w:hint="eastAsia"/>
          <w:lang w:val="en-US" w:eastAsia="zh-CN"/>
        </w:rPr>
      </w:pPr>
      <w:r>
        <w:rPr>
          <w:rFonts w:hint="eastAsia"/>
          <w:lang w:val="en-US" w:eastAsia="zh-CN"/>
        </w:rPr>
        <w:t>13:41-42 64</w:t>
      </w:r>
    </w:p>
    <w:p w14:paraId="7DCF806D">
      <w:pPr>
        <w:bidi w:val="0"/>
        <w:rPr>
          <w:rFonts w:hint="eastAsia"/>
          <w:lang w:val="en-US" w:eastAsia="zh-CN"/>
        </w:rPr>
      </w:pPr>
    </w:p>
    <w:p w14:paraId="2581B28B">
      <w:pPr>
        <w:bidi w:val="0"/>
        <w:rPr>
          <w:rFonts w:hint="eastAsia"/>
          <w:lang w:val="en-US" w:eastAsia="zh-CN"/>
        </w:rPr>
      </w:pPr>
      <w:r>
        <w:rPr>
          <w:rFonts w:hint="eastAsia"/>
          <w:lang w:val="en-US" w:eastAsia="zh-CN"/>
        </w:rPr>
        <w:t>13:41-42 64</w:t>
      </w:r>
    </w:p>
    <w:p w14:paraId="7530F886">
      <w:pPr>
        <w:bidi w:val="0"/>
        <w:rPr>
          <w:rFonts w:hint="eastAsia"/>
          <w:lang w:val="en-US" w:eastAsia="zh-CN"/>
        </w:rPr>
      </w:pPr>
    </w:p>
    <w:p w14:paraId="1BCEC876">
      <w:pPr>
        <w:bidi w:val="0"/>
        <w:rPr>
          <w:rFonts w:hint="eastAsia"/>
          <w:lang w:val="en-US" w:eastAsia="zh-CN"/>
        </w:rPr>
      </w:pPr>
      <w:r>
        <w:rPr>
          <w:rFonts w:hint="eastAsia"/>
          <w:lang w:val="en-US" w:eastAsia="zh-CN"/>
        </w:rPr>
        <w:t>16:27-17:8 528</w:t>
      </w:r>
    </w:p>
    <w:p w14:paraId="34F0678E">
      <w:pPr>
        <w:bidi w:val="0"/>
        <w:rPr>
          <w:rFonts w:hint="eastAsia"/>
          <w:lang w:val="en-US" w:eastAsia="zh-CN"/>
        </w:rPr>
      </w:pPr>
    </w:p>
    <w:p w14:paraId="114FAB25">
      <w:pPr>
        <w:bidi w:val="0"/>
        <w:rPr>
          <w:rFonts w:hint="eastAsia"/>
          <w:lang w:val="en-US" w:eastAsia="zh-CN"/>
        </w:rPr>
      </w:pPr>
      <w:r>
        <w:rPr>
          <w:rFonts w:hint="eastAsia"/>
          <w:lang w:val="en-US" w:eastAsia="zh-CN"/>
        </w:rPr>
        <w:t>16:27-17:8 528</w:t>
      </w:r>
    </w:p>
    <w:p w14:paraId="51EF26AC">
      <w:pPr>
        <w:bidi w:val="0"/>
        <w:rPr>
          <w:rFonts w:hint="eastAsia"/>
          <w:lang w:val="en-US" w:eastAsia="zh-CN"/>
        </w:rPr>
      </w:pPr>
    </w:p>
    <w:p w14:paraId="44AD1959">
      <w:pPr>
        <w:bidi w:val="0"/>
        <w:rPr>
          <w:rFonts w:hint="eastAsia"/>
          <w:lang w:val="en-US" w:eastAsia="zh-CN"/>
        </w:rPr>
      </w:pPr>
      <w:r>
        <w:rPr>
          <w:rFonts w:hint="eastAsia"/>
          <w:lang w:val="en-US" w:eastAsia="zh-CN"/>
        </w:rPr>
        <w:t>19:27-28 529</w:t>
      </w:r>
    </w:p>
    <w:p w14:paraId="06CE76FD">
      <w:pPr>
        <w:bidi w:val="0"/>
        <w:rPr>
          <w:rFonts w:hint="eastAsia"/>
          <w:lang w:val="en-US" w:eastAsia="zh-CN"/>
        </w:rPr>
      </w:pPr>
    </w:p>
    <w:p w14:paraId="771CC78E">
      <w:pPr>
        <w:bidi w:val="0"/>
        <w:rPr>
          <w:rFonts w:hint="eastAsia"/>
          <w:lang w:val="en-US" w:eastAsia="zh-CN"/>
        </w:rPr>
      </w:pPr>
      <w:r>
        <w:rPr>
          <w:rFonts w:hint="eastAsia"/>
          <w:lang w:val="en-US" w:eastAsia="zh-CN"/>
        </w:rPr>
        <w:t>19:27-28 529</w:t>
      </w:r>
    </w:p>
    <w:p w14:paraId="74C8191D">
      <w:pPr>
        <w:bidi w:val="0"/>
        <w:rPr>
          <w:rFonts w:hint="eastAsia"/>
          <w:lang w:val="en-US" w:eastAsia="zh-CN"/>
        </w:rPr>
      </w:pPr>
    </w:p>
    <w:p w14:paraId="023F6B91">
      <w:pPr>
        <w:bidi w:val="0"/>
        <w:rPr>
          <w:rFonts w:hint="eastAsia"/>
          <w:lang w:val="en-US" w:eastAsia="zh-CN"/>
        </w:rPr>
      </w:pPr>
      <w:r>
        <w:rPr>
          <w:rFonts w:hint="eastAsia"/>
          <w:lang w:val="en-US" w:eastAsia="zh-CN"/>
        </w:rPr>
        <w:t>24-25 530</w:t>
      </w:r>
    </w:p>
    <w:p w14:paraId="6BC7E12A">
      <w:pPr>
        <w:bidi w:val="0"/>
        <w:rPr>
          <w:rFonts w:hint="eastAsia"/>
          <w:lang w:val="en-US" w:eastAsia="zh-CN"/>
        </w:rPr>
      </w:pPr>
    </w:p>
    <w:p w14:paraId="2CFFFC65">
      <w:pPr>
        <w:bidi w:val="0"/>
        <w:rPr>
          <w:rFonts w:hint="eastAsia"/>
          <w:lang w:val="en-US" w:eastAsia="zh-CN"/>
        </w:rPr>
      </w:pPr>
      <w:r>
        <w:rPr>
          <w:rFonts w:hint="eastAsia"/>
          <w:lang w:val="en-US" w:eastAsia="zh-CN"/>
        </w:rPr>
        <w:t>24-25 530</w:t>
      </w:r>
    </w:p>
    <w:p w14:paraId="26998BC0">
      <w:pPr>
        <w:bidi w:val="0"/>
        <w:rPr>
          <w:rFonts w:hint="eastAsia"/>
          <w:lang w:val="en-US" w:eastAsia="zh-CN"/>
        </w:rPr>
      </w:pPr>
    </w:p>
    <w:p w14:paraId="6ADEC19A">
      <w:pPr>
        <w:bidi w:val="0"/>
        <w:rPr>
          <w:rFonts w:hint="eastAsia"/>
          <w:lang w:val="en-US" w:eastAsia="zh-CN"/>
        </w:rPr>
      </w:pPr>
      <w:r>
        <w:rPr>
          <w:rFonts w:hint="eastAsia"/>
          <w:lang w:val="en-US" w:eastAsia="zh-CN"/>
        </w:rPr>
        <w:t>24:1-3 66, 530</w:t>
      </w:r>
    </w:p>
    <w:p w14:paraId="0FFCE1AB">
      <w:pPr>
        <w:bidi w:val="0"/>
        <w:rPr>
          <w:rFonts w:hint="eastAsia"/>
          <w:lang w:val="en-US" w:eastAsia="zh-CN"/>
        </w:rPr>
      </w:pPr>
    </w:p>
    <w:p w14:paraId="7B828DE1">
      <w:pPr>
        <w:bidi w:val="0"/>
        <w:rPr>
          <w:rFonts w:hint="eastAsia"/>
          <w:lang w:val="en-US" w:eastAsia="zh-CN"/>
        </w:rPr>
      </w:pPr>
      <w:r>
        <w:rPr>
          <w:rFonts w:hint="eastAsia"/>
          <w:lang w:val="en-US" w:eastAsia="zh-CN"/>
        </w:rPr>
        <w:t>24:1-3 66, 530</w:t>
      </w:r>
    </w:p>
    <w:p w14:paraId="04836146">
      <w:pPr>
        <w:bidi w:val="0"/>
        <w:rPr>
          <w:rFonts w:hint="eastAsia"/>
          <w:lang w:val="en-US" w:eastAsia="zh-CN"/>
        </w:rPr>
      </w:pPr>
    </w:p>
    <w:p w14:paraId="7E38E877">
      <w:pPr>
        <w:bidi w:val="0"/>
        <w:rPr>
          <w:rFonts w:hint="eastAsia"/>
          <w:lang w:val="en-US" w:eastAsia="zh-CN"/>
        </w:rPr>
      </w:pPr>
      <w:r>
        <w:rPr>
          <w:rFonts w:hint="eastAsia"/>
          <w:lang w:val="en-US" w:eastAsia="zh-CN"/>
        </w:rPr>
        <w:t>24:1-28 33-34, 530</w:t>
      </w:r>
    </w:p>
    <w:p w14:paraId="1EB3CB89">
      <w:pPr>
        <w:bidi w:val="0"/>
        <w:rPr>
          <w:rFonts w:hint="eastAsia"/>
          <w:lang w:val="en-US" w:eastAsia="zh-CN"/>
        </w:rPr>
      </w:pPr>
    </w:p>
    <w:p w14:paraId="75913C7E">
      <w:pPr>
        <w:bidi w:val="0"/>
        <w:rPr>
          <w:rFonts w:hint="eastAsia"/>
          <w:lang w:val="en-US" w:eastAsia="zh-CN"/>
        </w:rPr>
      </w:pPr>
      <w:r>
        <w:rPr>
          <w:rFonts w:hint="eastAsia"/>
          <w:lang w:val="en-US" w:eastAsia="zh-CN"/>
        </w:rPr>
        <w:t>24:1-28 33-34, 530</w:t>
      </w:r>
    </w:p>
    <w:p w14:paraId="1ACE49FE">
      <w:pPr>
        <w:bidi w:val="0"/>
        <w:rPr>
          <w:rFonts w:hint="eastAsia"/>
          <w:lang w:val="en-US" w:eastAsia="zh-CN"/>
        </w:rPr>
      </w:pPr>
    </w:p>
    <w:p w14:paraId="3279B747">
      <w:pPr>
        <w:bidi w:val="0"/>
        <w:rPr>
          <w:rFonts w:hint="eastAsia"/>
          <w:lang w:val="en-US" w:eastAsia="zh-CN"/>
        </w:rPr>
      </w:pPr>
      <w:r>
        <w:rPr>
          <w:rFonts w:hint="eastAsia"/>
          <w:lang w:val="en-US" w:eastAsia="zh-CN"/>
        </w:rPr>
        <w:t>24:15 697</w:t>
      </w:r>
    </w:p>
    <w:p w14:paraId="33EA1911">
      <w:pPr>
        <w:bidi w:val="0"/>
        <w:rPr>
          <w:rFonts w:hint="eastAsia"/>
          <w:lang w:val="en-US" w:eastAsia="zh-CN"/>
        </w:rPr>
      </w:pPr>
    </w:p>
    <w:p w14:paraId="57CCF29D">
      <w:pPr>
        <w:bidi w:val="0"/>
        <w:rPr>
          <w:rFonts w:hint="eastAsia"/>
          <w:lang w:val="en-US" w:eastAsia="zh-CN"/>
        </w:rPr>
      </w:pPr>
      <w:r>
        <w:rPr>
          <w:rFonts w:hint="eastAsia"/>
          <w:lang w:val="en-US" w:eastAsia="zh-CN"/>
        </w:rPr>
        <w:t>24:15 697</w:t>
      </w:r>
    </w:p>
    <w:p w14:paraId="038D38F2">
      <w:pPr>
        <w:bidi w:val="0"/>
        <w:rPr>
          <w:rFonts w:hint="eastAsia"/>
          <w:lang w:val="en-US" w:eastAsia="zh-CN"/>
        </w:rPr>
      </w:pPr>
    </w:p>
    <w:p w14:paraId="3C1712D4">
      <w:pPr>
        <w:bidi w:val="0"/>
        <w:rPr>
          <w:rFonts w:hint="eastAsia"/>
          <w:lang w:val="en-US" w:eastAsia="zh-CN"/>
        </w:rPr>
      </w:pPr>
      <w:r>
        <w:rPr>
          <w:rFonts w:hint="eastAsia"/>
          <w:lang w:val="en-US" w:eastAsia="zh-CN"/>
        </w:rPr>
        <w:t>24:21 538, 595</w:t>
      </w:r>
    </w:p>
    <w:p w14:paraId="1DED78B7">
      <w:pPr>
        <w:bidi w:val="0"/>
        <w:rPr>
          <w:rFonts w:hint="eastAsia"/>
          <w:lang w:val="en-US" w:eastAsia="zh-CN"/>
        </w:rPr>
      </w:pPr>
    </w:p>
    <w:p w14:paraId="3F2AE356">
      <w:pPr>
        <w:bidi w:val="0"/>
        <w:rPr>
          <w:rFonts w:hint="eastAsia"/>
          <w:lang w:val="en-US" w:eastAsia="zh-CN"/>
        </w:rPr>
      </w:pPr>
      <w:r>
        <w:rPr>
          <w:rFonts w:hint="eastAsia"/>
          <w:lang w:val="en-US" w:eastAsia="zh-CN"/>
        </w:rPr>
        <w:t>24:21 538, 595</w:t>
      </w:r>
    </w:p>
    <w:p w14:paraId="26F74DB0">
      <w:pPr>
        <w:bidi w:val="0"/>
        <w:rPr>
          <w:rFonts w:hint="eastAsia"/>
          <w:lang w:val="en-US" w:eastAsia="zh-CN"/>
        </w:rPr>
      </w:pPr>
    </w:p>
    <w:p w14:paraId="34632D79">
      <w:pPr>
        <w:bidi w:val="0"/>
        <w:rPr>
          <w:rFonts w:hint="eastAsia"/>
          <w:lang w:val="en-US" w:eastAsia="zh-CN"/>
        </w:rPr>
      </w:pPr>
      <w:r>
        <w:rPr>
          <w:rFonts w:hint="eastAsia"/>
          <w:lang w:val="en-US" w:eastAsia="zh-CN"/>
        </w:rPr>
        <w:t>24:29-31 534, 596</w:t>
      </w:r>
    </w:p>
    <w:p w14:paraId="43ED1196">
      <w:pPr>
        <w:bidi w:val="0"/>
        <w:rPr>
          <w:rFonts w:hint="eastAsia"/>
          <w:lang w:val="en-US" w:eastAsia="zh-CN"/>
        </w:rPr>
      </w:pPr>
    </w:p>
    <w:p w14:paraId="704BC1EF">
      <w:pPr>
        <w:bidi w:val="0"/>
        <w:rPr>
          <w:rFonts w:hint="eastAsia"/>
          <w:lang w:val="en-US" w:eastAsia="zh-CN"/>
        </w:rPr>
      </w:pPr>
      <w:r>
        <w:rPr>
          <w:rFonts w:hint="eastAsia"/>
          <w:lang w:val="en-US" w:eastAsia="zh-CN"/>
        </w:rPr>
        <w:t>24:29-31 534, 596</w:t>
      </w:r>
    </w:p>
    <w:p w14:paraId="1D4A5195">
      <w:pPr>
        <w:bidi w:val="0"/>
        <w:rPr>
          <w:rFonts w:hint="eastAsia"/>
          <w:lang w:val="en-US" w:eastAsia="zh-CN"/>
        </w:rPr>
      </w:pPr>
    </w:p>
    <w:p w14:paraId="4E4415F3">
      <w:pPr>
        <w:bidi w:val="0"/>
        <w:rPr>
          <w:rFonts w:hint="eastAsia"/>
          <w:lang w:val="en-US" w:eastAsia="zh-CN"/>
        </w:rPr>
      </w:pPr>
      <w:r>
        <w:rPr>
          <w:rFonts w:hint="eastAsia"/>
          <w:lang w:val="en-US" w:eastAsia="zh-CN"/>
        </w:rPr>
        <w:t>24:32-35 535</w:t>
      </w:r>
    </w:p>
    <w:p w14:paraId="2B359E6A">
      <w:pPr>
        <w:bidi w:val="0"/>
        <w:rPr>
          <w:rFonts w:hint="eastAsia"/>
          <w:lang w:val="en-US" w:eastAsia="zh-CN"/>
        </w:rPr>
      </w:pPr>
    </w:p>
    <w:p w14:paraId="68F4F6A1">
      <w:pPr>
        <w:bidi w:val="0"/>
        <w:rPr>
          <w:rFonts w:hint="eastAsia"/>
          <w:lang w:val="en-US" w:eastAsia="zh-CN"/>
        </w:rPr>
      </w:pPr>
      <w:r>
        <w:rPr>
          <w:rFonts w:hint="eastAsia"/>
          <w:lang w:val="en-US" w:eastAsia="zh-CN"/>
        </w:rPr>
        <w:t>24:32-35 535</w:t>
      </w:r>
    </w:p>
    <w:p w14:paraId="2C49E096">
      <w:pPr>
        <w:bidi w:val="0"/>
        <w:rPr>
          <w:rFonts w:hint="eastAsia"/>
          <w:lang w:val="en-US" w:eastAsia="zh-CN"/>
        </w:rPr>
      </w:pPr>
    </w:p>
    <w:p w14:paraId="4A23B74A">
      <w:pPr>
        <w:bidi w:val="0"/>
        <w:rPr>
          <w:rFonts w:hint="eastAsia"/>
          <w:lang w:val="en-US" w:eastAsia="zh-CN"/>
        </w:rPr>
      </w:pPr>
      <w:r>
        <w:rPr>
          <w:rFonts w:hint="eastAsia"/>
          <w:lang w:val="en-US" w:eastAsia="zh-CN"/>
        </w:rPr>
        <w:t>24:36-44 536</w:t>
      </w:r>
    </w:p>
    <w:p w14:paraId="7498F644">
      <w:pPr>
        <w:bidi w:val="0"/>
        <w:rPr>
          <w:rFonts w:hint="eastAsia"/>
          <w:lang w:val="en-US" w:eastAsia="zh-CN"/>
        </w:rPr>
      </w:pPr>
    </w:p>
    <w:p w14:paraId="3F6AC33A">
      <w:pPr>
        <w:bidi w:val="0"/>
        <w:rPr>
          <w:rFonts w:hint="eastAsia"/>
          <w:lang w:val="en-US" w:eastAsia="zh-CN"/>
        </w:rPr>
      </w:pPr>
      <w:r>
        <w:rPr>
          <w:rFonts w:hint="eastAsia"/>
          <w:lang w:val="en-US" w:eastAsia="zh-CN"/>
        </w:rPr>
        <w:t>24:36-44 536</w:t>
      </w:r>
    </w:p>
    <w:p w14:paraId="719D3B4E">
      <w:pPr>
        <w:bidi w:val="0"/>
        <w:rPr>
          <w:rFonts w:hint="eastAsia"/>
          <w:lang w:val="en-US" w:eastAsia="zh-CN"/>
        </w:rPr>
      </w:pPr>
    </w:p>
    <w:p w14:paraId="6709E12C">
      <w:pPr>
        <w:bidi w:val="0"/>
        <w:rPr>
          <w:rFonts w:hint="eastAsia"/>
          <w:lang w:val="en-US" w:eastAsia="zh-CN"/>
        </w:rPr>
      </w:pPr>
      <w:r>
        <w:rPr>
          <w:rFonts w:hint="eastAsia"/>
          <w:lang w:val="en-US" w:eastAsia="zh-CN"/>
        </w:rPr>
        <w:t>24:45-25:30 536</w:t>
      </w:r>
    </w:p>
    <w:p w14:paraId="3D449F36">
      <w:pPr>
        <w:bidi w:val="0"/>
        <w:rPr>
          <w:rFonts w:hint="eastAsia"/>
          <w:lang w:val="en-US" w:eastAsia="zh-CN"/>
        </w:rPr>
      </w:pPr>
    </w:p>
    <w:p w14:paraId="4CAF4375">
      <w:pPr>
        <w:bidi w:val="0"/>
        <w:rPr>
          <w:rFonts w:hint="eastAsia"/>
          <w:lang w:val="en-US" w:eastAsia="zh-CN"/>
        </w:rPr>
      </w:pPr>
      <w:r>
        <w:rPr>
          <w:rFonts w:hint="eastAsia"/>
          <w:lang w:val="en-US" w:eastAsia="zh-CN"/>
        </w:rPr>
        <w:t>24:45-25:30 536</w:t>
      </w:r>
    </w:p>
    <w:p w14:paraId="47DAE5E0">
      <w:pPr>
        <w:bidi w:val="0"/>
        <w:rPr>
          <w:rFonts w:hint="eastAsia"/>
          <w:lang w:val="en-US" w:eastAsia="zh-CN"/>
        </w:rPr>
      </w:pPr>
    </w:p>
    <w:p w14:paraId="297EBD58">
      <w:pPr>
        <w:bidi w:val="0"/>
        <w:rPr>
          <w:rFonts w:hint="eastAsia"/>
          <w:lang w:val="en-US" w:eastAsia="zh-CN"/>
        </w:rPr>
      </w:pPr>
      <w:r>
        <w:rPr>
          <w:rFonts w:hint="eastAsia"/>
          <w:lang w:val="en-US" w:eastAsia="zh-CN"/>
        </w:rPr>
        <w:t>25:14-30 140-141</w:t>
      </w:r>
    </w:p>
    <w:p w14:paraId="0BFC53C1">
      <w:pPr>
        <w:bidi w:val="0"/>
        <w:rPr>
          <w:rFonts w:hint="eastAsia"/>
          <w:lang w:val="en-US" w:eastAsia="zh-CN"/>
        </w:rPr>
      </w:pPr>
    </w:p>
    <w:p w14:paraId="1B293B00">
      <w:pPr>
        <w:bidi w:val="0"/>
        <w:rPr>
          <w:rFonts w:hint="eastAsia"/>
          <w:lang w:val="en-US" w:eastAsia="zh-CN"/>
        </w:rPr>
      </w:pPr>
      <w:r>
        <w:rPr>
          <w:rFonts w:hint="eastAsia"/>
          <w:lang w:val="en-US" w:eastAsia="zh-CN"/>
        </w:rPr>
        <w:t>25:14-30 140-141</w:t>
      </w:r>
    </w:p>
    <w:p w14:paraId="6E4505EA">
      <w:pPr>
        <w:bidi w:val="0"/>
        <w:rPr>
          <w:rFonts w:hint="eastAsia"/>
          <w:lang w:val="en-US" w:eastAsia="zh-CN"/>
        </w:rPr>
      </w:pPr>
    </w:p>
    <w:p w14:paraId="2E74F4AE">
      <w:pPr>
        <w:bidi w:val="0"/>
        <w:rPr>
          <w:rFonts w:hint="eastAsia"/>
          <w:lang w:val="en-US" w:eastAsia="zh-CN"/>
        </w:rPr>
      </w:pPr>
      <w:r>
        <w:rPr>
          <w:rFonts w:hint="eastAsia"/>
          <w:lang w:val="en-US" w:eastAsia="zh-CN"/>
        </w:rPr>
        <w:t>25:31ff 537, 701</w:t>
      </w:r>
    </w:p>
    <w:p w14:paraId="33DAC993">
      <w:pPr>
        <w:bidi w:val="0"/>
        <w:rPr>
          <w:rFonts w:hint="eastAsia"/>
          <w:lang w:val="en-US" w:eastAsia="zh-CN"/>
        </w:rPr>
      </w:pPr>
    </w:p>
    <w:p w14:paraId="4CC0C754">
      <w:pPr>
        <w:bidi w:val="0"/>
        <w:rPr>
          <w:rFonts w:hint="eastAsia"/>
          <w:lang w:val="en-US" w:eastAsia="zh-CN"/>
        </w:rPr>
      </w:pPr>
      <w:r>
        <w:rPr>
          <w:rFonts w:hint="eastAsia"/>
          <w:lang w:val="en-US" w:eastAsia="zh-CN"/>
        </w:rPr>
        <w:t>25:31ff 537, 701</w:t>
      </w:r>
    </w:p>
    <w:p w14:paraId="64F1805D">
      <w:pPr>
        <w:bidi w:val="0"/>
        <w:rPr>
          <w:rFonts w:hint="eastAsia"/>
          <w:lang w:val="en-US" w:eastAsia="zh-CN"/>
        </w:rPr>
      </w:pPr>
    </w:p>
    <w:p w14:paraId="0A1984A1">
      <w:pPr>
        <w:bidi w:val="0"/>
        <w:rPr>
          <w:rFonts w:hint="eastAsia"/>
          <w:lang w:val="en-US" w:eastAsia="zh-CN"/>
        </w:rPr>
      </w:pPr>
      <w:r>
        <w:rPr>
          <w:rFonts w:hint="eastAsia"/>
          <w:lang w:val="en-US" w:eastAsia="zh-CN"/>
        </w:rPr>
        <w:t>26:64 691</w:t>
      </w:r>
    </w:p>
    <w:p w14:paraId="010BF546">
      <w:pPr>
        <w:bidi w:val="0"/>
        <w:rPr>
          <w:rFonts w:hint="eastAsia"/>
          <w:lang w:val="en-US" w:eastAsia="zh-CN"/>
        </w:rPr>
      </w:pPr>
    </w:p>
    <w:p w14:paraId="6120D348">
      <w:pPr>
        <w:bidi w:val="0"/>
        <w:rPr>
          <w:rFonts w:hint="eastAsia"/>
          <w:lang w:val="en-US" w:eastAsia="zh-CN"/>
        </w:rPr>
      </w:pPr>
      <w:r>
        <w:rPr>
          <w:rFonts w:hint="eastAsia"/>
          <w:lang w:val="en-US" w:eastAsia="zh-CN"/>
        </w:rPr>
        <w:t>26:64 691</w:t>
      </w:r>
    </w:p>
    <w:p w14:paraId="3F2922C5">
      <w:pPr>
        <w:bidi w:val="0"/>
        <w:rPr>
          <w:rFonts w:hint="eastAsia"/>
          <w:lang w:val="en-US" w:eastAsia="zh-CN"/>
        </w:rPr>
      </w:pPr>
    </w:p>
    <w:p w14:paraId="740DB6F8">
      <w:pPr>
        <w:bidi w:val="0"/>
        <w:rPr>
          <w:rFonts w:hint="eastAsia"/>
          <w:lang w:val="en-US" w:eastAsia="zh-CN"/>
        </w:rPr>
      </w:pPr>
      <w:r>
        <w:rPr>
          <w:rFonts w:hint="eastAsia"/>
          <w:lang w:val="en-US" w:eastAsia="zh-CN"/>
        </w:rPr>
        <w:t>Mark</w:t>
      </w:r>
    </w:p>
    <w:p w14:paraId="058AEAE9">
      <w:pPr>
        <w:bidi w:val="0"/>
        <w:rPr>
          <w:rFonts w:hint="eastAsia"/>
          <w:lang w:val="en-US" w:eastAsia="zh-CN"/>
        </w:rPr>
      </w:pPr>
    </w:p>
    <w:p w14:paraId="4BC0E03F">
      <w:pPr>
        <w:bidi w:val="0"/>
        <w:rPr>
          <w:rFonts w:hint="eastAsia"/>
          <w:lang w:val="en-US" w:eastAsia="zh-CN"/>
        </w:rPr>
      </w:pPr>
      <w:r>
        <w:rPr>
          <w:rFonts w:hint="eastAsia"/>
          <w:lang w:val="en-US" w:eastAsia="zh-CN"/>
        </w:rPr>
        <w:t>马可福音</w:t>
      </w:r>
    </w:p>
    <w:p w14:paraId="2021E861">
      <w:pPr>
        <w:bidi w:val="0"/>
        <w:rPr>
          <w:rFonts w:hint="eastAsia"/>
          <w:lang w:val="en-US" w:eastAsia="zh-CN"/>
        </w:rPr>
      </w:pPr>
    </w:p>
    <w:p w14:paraId="45D34520">
      <w:pPr>
        <w:bidi w:val="0"/>
        <w:rPr>
          <w:rFonts w:hint="eastAsia"/>
          <w:lang w:val="en-US" w:eastAsia="zh-CN"/>
        </w:rPr>
      </w:pPr>
      <w:r>
        <w:rPr>
          <w:rFonts w:hint="eastAsia"/>
          <w:lang w:val="en-US" w:eastAsia="zh-CN"/>
        </w:rPr>
        <w:t>1:15 57, 160</w:t>
      </w:r>
    </w:p>
    <w:p w14:paraId="5A3982B8">
      <w:pPr>
        <w:bidi w:val="0"/>
        <w:rPr>
          <w:rFonts w:hint="eastAsia"/>
          <w:lang w:val="en-US" w:eastAsia="zh-CN"/>
        </w:rPr>
      </w:pPr>
    </w:p>
    <w:p w14:paraId="6A5216F0">
      <w:pPr>
        <w:bidi w:val="0"/>
        <w:rPr>
          <w:rFonts w:hint="eastAsia"/>
          <w:lang w:val="en-US" w:eastAsia="zh-CN"/>
        </w:rPr>
      </w:pPr>
      <w:r>
        <w:rPr>
          <w:rFonts w:hint="eastAsia"/>
          <w:lang w:val="en-US" w:eastAsia="zh-CN"/>
        </w:rPr>
        <w:t>1:15 57, 160</w:t>
      </w:r>
    </w:p>
    <w:p w14:paraId="01E11814">
      <w:pPr>
        <w:bidi w:val="0"/>
        <w:rPr>
          <w:rFonts w:hint="eastAsia"/>
          <w:lang w:val="en-US" w:eastAsia="zh-CN"/>
        </w:rPr>
      </w:pPr>
    </w:p>
    <w:p w14:paraId="5D93B731">
      <w:pPr>
        <w:bidi w:val="0"/>
        <w:rPr>
          <w:rFonts w:hint="eastAsia"/>
          <w:lang w:val="en-US" w:eastAsia="zh-CN"/>
        </w:rPr>
      </w:pPr>
      <w:r>
        <w:rPr>
          <w:rFonts w:hint="eastAsia"/>
          <w:lang w:val="en-US" w:eastAsia="zh-CN"/>
        </w:rPr>
        <w:t>4:1-34 128-139</w:t>
      </w:r>
    </w:p>
    <w:p w14:paraId="4E75A959">
      <w:pPr>
        <w:bidi w:val="0"/>
        <w:rPr>
          <w:rFonts w:hint="eastAsia"/>
          <w:lang w:val="en-US" w:eastAsia="zh-CN"/>
        </w:rPr>
      </w:pPr>
    </w:p>
    <w:p w14:paraId="240D4AE7">
      <w:pPr>
        <w:bidi w:val="0"/>
        <w:rPr>
          <w:rFonts w:hint="eastAsia"/>
          <w:lang w:val="en-US" w:eastAsia="zh-CN"/>
        </w:rPr>
      </w:pPr>
      <w:r>
        <w:rPr>
          <w:rFonts w:hint="eastAsia"/>
          <w:lang w:val="en-US" w:eastAsia="zh-CN"/>
        </w:rPr>
        <w:t>4:1-34 128-139</w:t>
      </w:r>
    </w:p>
    <w:p w14:paraId="2A359AC7">
      <w:pPr>
        <w:bidi w:val="0"/>
        <w:rPr>
          <w:rFonts w:hint="eastAsia"/>
          <w:lang w:val="en-US" w:eastAsia="zh-CN"/>
        </w:rPr>
      </w:pPr>
    </w:p>
    <w:p w14:paraId="51E117D4">
      <w:pPr>
        <w:bidi w:val="0"/>
        <w:rPr>
          <w:rFonts w:hint="eastAsia"/>
          <w:lang w:val="en-US" w:eastAsia="zh-CN"/>
        </w:rPr>
      </w:pPr>
      <w:r>
        <w:rPr>
          <w:rFonts w:hint="eastAsia"/>
          <w:lang w:val="en-US" w:eastAsia="zh-CN"/>
        </w:rPr>
        <w:t>4:26-29 138</w:t>
      </w:r>
    </w:p>
    <w:p w14:paraId="21EF3AF4">
      <w:pPr>
        <w:bidi w:val="0"/>
        <w:rPr>
          <w:rFonts w:hint="eastAsia"/>
          <w:lang w:val="en-US" w:eastAsia="zh-CN"/>
        </w:rPr>
      </w:pPr>
    </w:p>
    <w:p w14:paraId="1B49C164">
      <w:pPr>
        <w:bidi w:val="0"/>
        <w:rPr>
          <w:rFonts w:hint="eastAsia"/>
          <w:lang w:val="en-US" w:eastAsia="zh-CN"/>
        </w:rPr>
      </w:pPr>
      <w:r>
        <w:rPr>
          <w:rFonts w:hint="eastAsia"/>
          <w:lang w:val="en-US" w:eastAsia="zh-CN"/>
        </w:rPr>
        <w:t>4:26-29 138</w:t>
      </w:r>
    </w:p>
    <w:p w14:paraId="7FC057A0">
      <w:pPr>
        <w:bidi w:val="0"/>
        <w:rPr>
          <w:rFonts w:hint="eastAsia"/>
          <w:lang w:val="en-US" w:eastAsia="zh-CN"/>
        </w:rPr>
      </w:pPr>
    </w:p>
    <w:p w14:paraId="42AFD43A">
      <w:pPr>
        <w:bidi w:val="0"/>
        <w:rPr>
          <w:rFonts w:hint="eastAsia"/>
          <w:lang w:val="en-US" w:eastAsia="zh-CN"/>
        </w:rPr>
      </w:pPr>
      <w:r>
        <w:rPr>
          <w:rFonts w:hint="eastAsia"/>
          <w:lang w:val="en-US" w:eastAsia="zh-CN"/>
        </w:rPr>
        <w:t>8:38 435</w:t>
      </w:r>
    </w:p>
    <w:p w14:paraId="3FC78E14">
      <w:pPr>
        <w:bidi w:val="0"/>
        <w:rPr>
          <w:rFonts w:hint="eastAsia"/>
          <w:lang w:val="en-US" w:eastAsia="zh-CN"/>
        </w:rPr>
      </w:pPr>
    </w:p>
    <w:p w14:paraId="159AC455">
      <w:pPr>
        <w:bidi w:val="0"/>
        <w:rPr>
          <w:rFonts w:hint="eastAsia"/>
          <w:lang w:val="en-US" w:eastAsia="zh-CN"/>
        </w:rPr>
      </w:pPr>
      <w:r>
        <w:rPr>
          <w:rFonts w:hint="eastAsia"/>
          <w:lang w:val="en-US" w:eastAsia="zh-CN"/>
        </w:rPr>
        <w:t>8:38 435</w:t>
      </w:r>
    </w:p>
    <w:p w14:paraId="51D90DE1">
      <w:pPr>
        <w:bidi w:val="0"/>
        <w:rPr>
          <w:rFonts w:hint="eastAsia"/>
          <w:lang w:val="en-US" w:eastAsia="zh-CN"/>
        </w:rPr>
      </w:pPr>
    </w:p>
    <w:p w14:paraId="009CA75D">
      <w:pPr>
        <w:bidi w:val="0"/>
        <w:rPr>
          <w:rFonts w:hint="eastAsia"/>
          <w:lang w:val="en-US" w:eastAsia="zh-CN"/>
        </w:rPr>
      </w:pPr>
      <w:r>
        <w:rPr>
          <w:rFonts w:hint="eastAsia"/>
          <w:lang w:val="en-US" w:eastAsia="zh-CN"/>
        </w:rPr>
        <w:t>9:1-13 528</w:t>
      </w:r>
    </w:p>
    <w:p w14:paraId="48ED3AB2">
      <w:pPr>
        <w:bidi w:val="0"/>
        <w:rPr>
          <w:rFonts w:hint="eastAsia"/>
          <w:lang w:val="en-US" w:eastAsia="zh-CN"/>
        </w:rPr>
      </w:pPr>
    </w:p>
    <w:p w14:paraId="3B6448D4">
      <w:pPr>
        <w:bidi w:val="0"/>
        <w:rPr>
          <w:rFonts w:hint="eastAsia"/>
          <w:lang w:val="en-US" w:eastAsia="zh-CN"/>
        </w:rPr>
      </w:pPr>
      <w:r>
        <w:rPr>
          <w:rFonts w:hint="eastAsia"/>
          <w:lang w:val="en-US" w:eastAsia="zh-CN"/>
        </w:rPr>
        <w:t>9:1-13 528</w:t>
      </w:r>
    </w:p>
    <w:p w14:paraId="6C02E9D9">
      <w:pPr>
        <w:bidi w:val="0"/>
        <w:rPr>
          <w:rFonts w:hint="eastAsia"/>
          <w:lang w:val="en-US" w:eastAsia="zh-CN"/>
        </w:rPr>
      </w:pPr>
    </w:p>
    <w:p w14:paraId="3C78E651">
      <w:pPr>
        <w:bidi w:val="0"/>
        <w:rPr>
          <w:rFonts w:hint="eastAsia"/>
          <w:lang w:val="en-US" w:eastAsia="zh-CN"/>
        </w:rPr>
      </w:pPr>
      <w:r>
        <w:rPr>
          <w:rFonts w:hint="eastAsia"/>
          <w:lang w:val="en-US" w:eastAsia="zh-CN"/>
        </w:rPr>
        <w:t>9:48 3</w:t>
      </w:r>
    </w:p>
    <w:p w14:paraId="78ED1D7C">
      <w:pPr>
        <w:bidi w:val="0"/>
        <w:rPr>
          <w:rFonts w:hint="eastAsia"/>
          <w:lang w:val="en-US" w:eastAsia="zh-CN"/>
        </w:rPr>
      </w:pPr>
    </w:p>
    <w:p w14:paraId="1A46894F">
      <w:pPr>
        <w:bidi w:val="0"/>
        <w:rPr>
          <w:rFonts w:hint="eastAsia"/>
          <w:lang w:val="en-US" w:eastAsia="zh-CN"/>
        </w:rPr>
      </w:pPr>
      <w:r>
        <w:rPr>
          <w:rFonts w:hint="eastAsia"/>
          <w:lang w:val="en-US" w:eastAsia="zh-CN"/>
        </w:rPr>
        <w:t>9:48 3</w:t>
      </w:r>
    </w:p>
    <w:p w14:paraId="6ED2D8EB">
      <w:pPr>
        <w:bidi w:val="0"/>
        <w:rPr>
          <w:rFonts w:hint="eastAsia"/>
          <w:lang w:val="en-US" w:eastAsia="zh-CN"/>
        </w:rPr>
      </w:pPr>
    </w:p>
    <w:p w14:paraId="32A717A8">
      <w:pPr>
        <w:bidi w:val="0"/>
        <w:rPr>
          <w:rFonts w:hint="eastAsia"/>
          <w:lang w:val="en-US" w:eastAsia="zh-CN"/>
        </w:rPr>
      </w:pPr>
      <w:r>
        <w:rPr>
          <w:rFonts w:hint="eastAsia"/>
          <w:lang w:val="en-US" w:eastAsia="zh-CN"/>
        </w:rPr>
        <w:t>10:29-31 166, 599</w:t>
      </w:r>
    </w:p>
    <w:p w14:paraId="566B9B68">
      <w:pPr>
        <w:bidi w:val="0"/>
        <w:rPr>
          <w:rFonts w:hint="eastAsia"/>
          <w:lang w:val="en-US" w:eastAsia="zh-CN"/>
        </w:rPr>
      </w:pPr>
    </w:p>
    <w:p w14:paraId="20879758">
      <w:pPr>
        <w:bidi w:val="0"/>
        <w:rPr>
          <w:rFonts w:hint="eastAsia"/>
          <w:lang w:val="en-US" w:eastAsia="zh-CN"/>
        </w:rPr>
      </w:pPr>
      <w:r>
        <w:rPr>
          <w:rFonts w:hint="eastAsia"/>
          <w:lang w:val="en-US" w:eastAsia="zh-CN"/>
        </w:rPr>
        <w:t>10:29-31 166, 599</w:t>
      </w:r>
    </w:p>
    <w:p w14:paraId="4EF865E1">
      <w:pPr>
        <w:bidi w:val="0"/>
        <w:rPr>
          <w:rFonts w:hint="eastAsia"/>
          <w:lang w:val="en-US" w:eastAsia="zh-CN"/>
        </w:rPr>
      </w:pPr>
    </w:p>
    <w:p w14:paraId="14BAC519">
      <w:pPr>
        <w:bidi w:val="0"/>
        <w:rPr>
          <w:rFonts w:hint="eastAsia"/>
          <w:lang w:val="en-US" w:eastAsia="zh-CN"/>
        </w:rPr>
      </w:pPr>
      <w:r>
        <w:rPr>
          <w:rFonts w:hint="eastAsia"/>
          <w:lang w:val="en-US" w:eastAsia="zh-CN"/>
        </w:rPr>
        <w:t>10:45 97, 253</w:t>
      </w:r>
    </w:p>
    <w:p w14:paraId="4F2AB9A4">
      <w:pPr>
        <w:bidi w:val="0"/>
        <w:rPr>
          <w:rFonts w:hint="eastAsia"/>
          <w:lang w:val="en-US" w:eastAsia="zh-CN"/>
        </w:rPr>
      </w:pPr>
    </w:p>
    <w:p w14:paraId="598BF8C6">
      <w:pPr>
        <w:bidi w:val="0"/>
        <w:rPr>
          <w:rFonts w:hint="eastAsia"/>
          <w:lang w:val="en-US" w:eastAsia="zh-CN"/>
        </w:rPr>
      </w:pPr>
      <w:r>
        <w:rPr>
          <w:rFonts w:hint="eastAsia"/>
          <w:lang w:val="en-US" w:eastAsia="zh-CN"/>
        </w:rPr>
        <w:t>10:45 97, 253</w:t>
      </w:r>
    </w:p>
    <w:p w14:paraId="2C75EA02">
      <w:pPr>
        <w:bidi w:val="0"/>
        <w:rPr>
          <w:rFonts w:hint="eastAsia"/>
          <w:lang w:val="en-US" w:eastAsia="zh-CN"/>
        </w:rPr>
      </w:pPr>
    </w:p>
    <w:p w14:paraId="7E42C5BC">
      <w:pPr>
        <w:bidi w:val="0"/>
        <w:rPr>
          <w:rFonts w:hint="eastAsia"/>
          <w:lang w:val="en-US" w:eastAsia="zh-CN"/>
        </w:rPr>
      </w:pPr>
      <w:r>
        <w:rPr>
          <w:rFonts w:hint="eastAsia"/>
          <w:lang w:val="en-US" w:eastAsia="zh-CN"/>
        </w:rPr>
        <w:t>11:12-14 66, 239, 297, 652</w:t>
      </w:r>
    </w:p>
    <w:p w14:paraId="188788A4">
      <w:pPr>
        <w:bidi w:val="0"/>
        <w:rPr>
          <w:rFonts w:hint="eastAsia"/>
          <w:lang w:val="en-US" w:eastAsia="zh-CN"/>
        </w:rPr>
      </w:pPr>
    </w:p>
    <w:p w14:paraId="4EC88346">
      <w:pPr>
        <w:bidi w:val="0"/>
        <w:rPr>
          <w:rFonts w:hint="eastAsia"/>
          <w:lang w:val="en-US" w:eastAsia="zh-CN"/>
        </w:rPr>
      </w:pPr>
      <w:r>
        <w:rPr>
          <w:rFonts w:hint="eastAsia"/>
          <w:lang w:val="en-US" w:eastAsia="zh-CN"/>
        </w:rPr>
        <w:t>11:12-14 66, 239, 297, 652</w:t>
      </w:r>
    </w:p>
    <w:p w14:paraId="2B999AB6">
      <w:pPr>
        <w:bidi w:val="0"/>
        <w:rPr>
          <w:rFonts w:hint="eastAsia"/>
          <w:lang w:val="en-US" w:eastAsia="zh-CN"/>
        </w:rPr>
      </w:pPr>
    </w:p>
    <w:p w14:paraId="62FA6717">
      <w:pPr>
        <w:bidi w:val="0"/>
        <w:rPr>
          <w:rFonts w:hint="eastAsia"/>
          <w:lang w:val="en-US" w:eastAsia="zh-CN"/>
        </w:rPr>
      </w:pPr>
      <w:r>
        <w:rPr>
          <w:rFonts w:hint="eastAsia"/>
          <w:lang w:val="en-US" w:eastAsia="zh-CN"/>
        </w:rPr>
        <w:t>12:25 210</w:t>
      </w:r>
    </w:p>
    <w:p w14:paraId="7DB03D03">
      <w:pPr>
        <w:bidi w:val="0"/>
        <w:rPr>
          <w:rFonts w:hint="eastAsia"/>
          <w:lang w:val="en-US" w:eastAsia="zh-CN"/>
        </w:rPr>
      </w:pPr>
    </w:p>
    <w:p w14:paraId="12838EC9">
      <w:pPr>
        <w:bidi w:val="0"/>
        <w:rPr>
          <w:rFonts w:hint="eastAsia"/>
          <w:lang w:val="en-US" w:eastAsia="zh-CN"/>
        </w:rPr>
      </w:pPr>
      <w:r>
        <w:rPr>
          <w:rFonts w:hint="eastAsia"/>
          <w:lang w:val="en-US" w:eastAsia="zh-CN"/>
        </w:rPr>
        <w:t>12:25 210</w:t>
      </w:r>
    </w:p>
    <w:p w14:paraId="160C28FE">
      <w:pPr>
        <w:bidi w:val="0"/>
        <w:rPr>
          <w:rFonts w:hint="eastAsia"/>
          <w:lang w:val="en-US" w:eastAsia="zh-CN"/>
        </w:rPr>
      </w:pPr>
    </w:p>
    <w:p w14:paraId="2BE41A29">
      <w:pPr>
        <w:bidi w:val="0"/>
        <w:rPr>
          <w:rFonts w:hint="eastAsia"/>
          <w:lang w:val="en-US" w:eastAsia="zh-CN"/>
        </w:rPr>
      </w:pPr>
      <w:r>
        <w:rPr>
          <w:rFonts w:hint="eastAsia"/>
          <w:lang w:val="en-US" w:eastAsia="zh-CN"/>
        </w:rPr>
        <w:t>13:1ff 530</w:t>
      </w:r>
    </w:p>
    <w:p w14:paraId="0F3D6531">
      <w:pPr>
        <w:bidi w:val="0"/>
        <w:rPr>
          <w:rFonts w:hint="eastAsia"/>
          <w:lang w:val="en-US" w:eastAsia="zh-CN"/>
        </w:rPr>
      </w:pPr>
    </w:p>
    <w:p w14:paraId="07426326">
      <w:pPr>
        <w:bidi w:val="0"/>
        <w:rPr>
          <w:rFonts w:hint="eastAsia"/>
          <w:lang w:val="en-US" w:eastAsia="zh-CN"/>
        </w:rPr>
      </w:pPr>
      <w:r>
        <w:rPr>
          <w:rFonts w:hint="eastAsia"/>
          <w:lang w:val="en-US" w:eastAsia="zh-CN"/>
        </w:rPr>
        <w:t>13:1ff 530</w:t>
      </w:r>
    </w:p>
    <w:p w14:paraId="4375F76D">
      <w:pPr>
        <w:bidi w:val="0"/>
        <w:rPr>
          <w:rFonts w:hint="eastAsia"/>
          <w:lang w:val="en-US" w:eastAsia="zh-CN"/>
        </w:rPr>
      </w:pPr>
    </w:p>
    <w:p w14:paraId="6682BBD5">
      <w:pPr>
        <w:bidi w:val="0"/>
        <w:rPr>
          <w:rFonts w:hint="eastAsia"/>
          <w:lang w:val="en-US" w:eastAsia="zh-CN"/>
        </w:rPr>
      </w:pPr>
      <w:r>
        <w:rPr>
          <w:rFonts w:hint="eastAsia"/>
          <w:lang w:val="en-US" w:eastAsia="zh-CN"/>
        </w:rPr>
        <w:t>13:27 312, 565</w:t>
      </w:r>
    </w:p>
    <w:p w14:paraId="09AD2D1A">
      <w:pPr>
        <w:bidi w:val="0"/>
        <w:rPr>
          <w:rFonts w:hint="eastAsia"/>
          <w:lang w:val="en-US" w:eastAsia="zh-CN"/>
        </w:rPr>
      </w:pPr>
    </w:p>
    <w:p w14:paraId="7019F301">
      <w:pPr>
        <w:bidi w:val="0"/>
        <w:rPr>
          <w:rFonts w:hint="eastAsia"/>
          <w:lang w:val="en-US" w:eastAsia="zh-CN"/>
        </w:rPr>
      </w:pPr>
      <w:r>
        <w:rPr>
          <w:rFonts w:hint="eastAsia"/>
          <w:lang w:val="en-US" w:eastAsia="zh-CN"/>
        </w:rPr>
        <w:t>13:27 312, 565</w:t>
      </w:r>
    </w:p>
    <w:p w14:paraId="51DF0D8A">
      <w:pPr>
        <w:bidi w:val="0"/>
        <w:rPr>
          <w:rFonts w:hint="eastAsia"/>
          <w:lang w:val="en-US" w:eastAsia="zh-CN"/>
        </w:rPr>
      </w:pPr>
    </w:p>
    <w:p w14:paraId="3715F9F6">
      <w:pPr>
        <w:bidi w:val="0"/>
        <w:rPr>
          <w:rFonts w:hint="eastAsia"/>
          <w:lang w:val="en-US" w:eastAsia="zh-CN"/>
        </w:rPr>
      </w:pPr>
      <w:r>
        <w:rPr>
          <w:rFonts w:hint="eastAsia"/>
          <w:lang w:val="en-US" w:eastAsia="zh-CN"/>
        </w:rPr>
        <w:t>14:58 13</w:t>
      </w:r>
    </w:p>
    <w:p w14:paraId="2A50BE4A">
      <w:pPr>
        <w:bidi w:val="0"/>
        <w:rPr>
          <w:rFonts w:hint="eastAsia"/>
          <w:lang w:val="en-US" w:eastAsia="zh-CN"/>
        </w:rPr>
      </w:pPr>
    </w:p>
    <w:p w14:paraId="008B4AA2">
      <w:pPr>
        <w:bidi w:val="0"/>
        <w:rPr>
          <w:rFonts w:hint="eastAsia"/>
          <w:lang w:val="en-US" w:eastAsia="zh-CN"/>
        </w:rPr>
      </w:pPr>
      <w:r>
        <w:rPr>
          <w:rFonts w:hint="eastAsia"/>
          <w:lang w:val="en-US" w:eastAsia="zh-CN"/>
        </w:rPr>
        <w:t>14:58 13</w:t>
      </w:r>
    </w:p>
    <w:p w14:paraId="50F90D8B">
      <w:pPr>
        <w:bidi w:val="0"/>
        <w:rPr>
          <w:rFonts w:hint="eastAsia"/>
          <w:lang w:val="en-US" w:eastAsia="zh-CN"/>
        </w:rPr>
      </w:pPr>
    </w:p>
    <w:p w14:paraId="1CF2730E">
      <w:pPr>
        <w:bidi w:val="0"/>
        <w:rPr>
          <w:rFonts w:hint="eastAsia"/>
          <w:lang w:val="en-US" w:eastAsia="zh-CN"/>
        </w:rPr>
      </w:pPr>
      <w:r>
        <w:rPr>
          <w:rFonts w:hint="eastAsia"/>
          <w:lang w:val="en-US" w:eastAsia="zh-CN"/>
        </w:rPr>
        <w:t>14:62 360</w:t>
      </w:r>
    </w:p>
    <w:p w14:paraId="53F5754C">
      <w:pPr>
        <w:bidi w:val="0"/>
        <w:rPr>
          <w:rFonts w:hint="eastAsia"/>
          <w:lang w:val="en-US" w:eastAsia="zh-CN"/>
        </w:rPr>
      </w:pPr>
    </w:p>
    <w:p w14:paraId="1802C738">
      <w:pPr>
        <w:bidi w:val="0"/>
        <w:rPr>
          <w:rFonts w:hint="eastAsia"/>
          <w:lang w:val="en-US" w:eastAsia="zh-CN"/>
        </w:rPr>
      </w:pPr>
      <w:r>
        <w:rPr>
          <w:rFonts w:hint="eastAsia"/>
          <w:lang w:val="en-US" w:eastAsia="zh-CN"/>
        </w:rPr>
        <w:t>14:62 360</w:t>
      </w:r>
    </w:p>
    <w:p w14:paraId="46CC87C2">
      <w:pPr>
        <w:bidi w:val="0"/>
        <w:rPr>
          <w:rFonts w:hint="eastAsia"/>
          <w:lang w:val="en-US" w:eastAsia="zh-CN"/>
        </w:rPr>
      </w:pPr>
    </w:p>
    <w:p w14:paraId="5DC5E0FD">
      <w:pPr>
        <w:bidi w:val="0"/>
        <w:rPr>
          <w:rFonts w:hint="eastAsia"/>
          <w:lang w:val="en-US" w:eastAsia="zh-CN"/>
        </w:rPr>
      </w:pPr>
      <w:r>
        <w:rPr>
          <w:rFonts w:hint="eastAsia"/>
          <w:lang w:val="en-US" w:eastAsia="zh-CN"/>
        </w:rPr>
        <w:t>Luke</w:t>
      </w:r>
    </w:p>
    <w:p w14:paraId="57DA57D9">
      <w:pPr>
        <w:bidi w:val="0"/>
        <w:rPr>
          <w:rFonts w:hint="eastAsia"/>
          <w:lang w:val="en-US" w:eastAsia="zh-CN"/>
        </w:rPr>
      </w:pPr>
    </w:p>
    <w:p w14:paraId="58C9EB3E">
      <w:pPr>
        <w:bidi w:val="0"/>
        <w:rPr>
          <w:rFonts w:hint="eastAsia"/>
          <w:lang w:val="en-US" w:eastAsia="zh-CN"/>
        </w:rPr>
      </w:pPr>
      <w:r>
        <w:rPr>
          <w:rFonts w:hint="eastAsia"/>
          <w:lang w:val="en-US" w:eastAsia="zh-CN"/>
        </w:rPr>
        <w:t>路加福音</w:t>
      </w:r>
    </w:p>
    <w:p w14:paraId="5C0B5AA5">
      <w:pPr>
        <w:bidi w:val="0"/>
        <w:rPr>
          <w:rFonts w:hint="eastAsia"/>
          <w:lang w:val="en-US" w:eastAsia="zh-CN"/>
        </w:rPr>
      </w:pPr>
    </w:p>
    <w:p w14:paraId="17E0930D">
      <w:pPr>
        <w:bidi w:val="0"/>
        <w:rPr>
          <w:rFonts w:hint="eastAsia"/>
          <w:lang w:val="en-US" w:eastAsia="zh-CN"/>
        </w:rPr>
      </w:pPr>
      <w:r>
        <w:rPr>
          <w:rFonts w:hint="eastAsia"/>
          <w:lang w:val="en-US" w:eastAsia="zh-CN"/>
        </w:rPr>
        <w:t>4:5-8 450</w:t>
      </w:r>
    </w:p>
    <w:p w14:paraId="05F8A32B">
      <w:pPr>
        <w:bidi w:val="0"/>
        <w:rPr>
          <w:rFonts w:hint="eastAsia"/>
          <w:lang w:val="en-US" w:eastAsia="zh-CN"/>
        </w:rPr>
      </w:pPr>
    </w:p>
    <w:p w14:paraId="66BB3A47">
      <w:pPr>
        <w:bidi w:val="0"/>
        <w:rPr>
          <w:rFonts w:hint="eastAsia"/>
          <w:lang w:val="en-US" w:eastAsia="zh-CN"/>
        </w:rPr>
      </w:pPr>
      <w:r>
        <w:rPr>
          <w:rFonts w:hint="eastAsia"/>
          <w:lang w:val="en-US" w:eastAsia="zh-CN"/>
        </w:rPr>
        <w:t>4:5-8 450</w:t>
      </w:r>
    </w:p>
    <w:p w14:paraId="0E10B167">
      <w:pPr>
        <w:bidi w:val="0"/>
        <w:rPr>
          <w:rFonts w:hint="eastAsia"/>
          <w:lang w:val="en-US" w:eastAsia="zh-CN"/>
        </w:rPr>
      </w:pPr>
    </w:p>
    <w:p w14:paraId="70447309">
      <w:pPr>
        <w:bidi w:val="0"/>
        <w:rPr>
          <w:rFonts w:hint="eastAsia"/>
          <w:lang w:val="en-US" w:eastAsia="zh-CN"/>
        </w:rPr>
      </w:pPr>
      <w:r>
        <w:rPr>
          <w:rFonts w:hint="eastAsia"/>
          <w:lang w:val="en-US" w:eastAsia="zh-CN"/>
        </w:rPr>
        <w:t>7:36-50 61</w:t>
      </w:r>
    </w:p>
    <w:p w14:paraId="296D20B6">
      <w:pPr>
        <w:bidi w:val="0"/>
        <w:rPr>
          <w:rFonts w:hint="eastAsia"/>
          <w:lang w:val="en-US" w:eastAsia="zh-CN"/>
        </w:rPr>
      </w:pPr>
    </w:p>
    <w:p w14:paraId="095235A8">
      <w:pPr>
        <w:bidi w:val="0"/>
        <w:rPr>
          <w:rFonts w:hint="eastAsia"/>
          <w:lang w:val="en-US" w:eastAsia="zh-CN"/>
        </w:rPr>
      </w:pPr>
      <w:r>
        <w:rPr>
          <w:rFonts w:hint="eastAsia"/>
          <w:lang w:val="en-US" w:eastAsia="zh-CN"/>
        </w:rPr>
        <w:t>7:36-50 61</w:t>
      </w:r>
    </w:p>
    <w:p w14:paraId="19EA5E0F">
      <w:pPr>
        <w:bidi w:val="0"/>
        <w:rPr>
          <w:rFonts w:hint="eastAsia"/>
          <w:lang w:val="en-US" w:eastAsia="zh-CN"/>
        </w:rPr>
      </w:pPr>
    </w:p>
    <w:p w14:paraId="1D6DED4F">
      <w:pPr>
        <w:bidi w:val="0"/>
        <w:rPr>
          <w:rFonts w:hint="eastAsia"/>
          <w:lang w:val="en-US" w:eastAsia="zh-CN"/>
        </w:rPr>
      </w:pPr>
      <w:r>
        <w:rPr>
          <w:rFonts w:hint="eastAsia"/>
          <w:lang w:val="en-US" w:eastAsia="zh-CN"/>
        </w:rPr>
        <w:t>9:28-36 528</w:t>
      </w:r>
    </w:p>
    <w:p w14:paraId="66BFE2A8">
      <w:pPr>
        <w:bidi w:val="0"/>
        <w:rPr>
          <w:rFonts w:hint="eastAsia"/>
          <w:lang w:val="en-US" w:eastAsia="zh-CN"/>
        </w:rPr>
      </w:pPr>
    </w:p>
    <w:p w14:paraId="4C265B8A">
      <w:pPr>
        <w:bidi w:val="0"/>
        <w:rPr>
          <w:rFonts w:hint="eastAsia"/>
          <w:lang w:val="en-US" w:eastAsia="zh-CN"/>
        </w:rPr>
      </w:pPr>
      <w:r>
        <w:rPr>
          <w:rFonts w:hint="eastAsia"/>
          <w:lang w:val="en-US" w:eastAsia="zh-CN"/>
        </w:rPr>
        <w:t>9:28-36 528</w:t>
      </w:r>
    </w:p>
    <w:p w14:paraId="41C6973D">
      <w:pPr>
        <w:bidi w:val="0"/>
        <w:rPr>
          <w:rFonts w:hint="eastAsia"/>
          <w:lang w:val="en-US" w:eastAsia="zh-CN"/>
        </w:rPr>
      </w:pPr>
    </w:p>
    <w:p w14:paraId="48252465">
      <w:pPr>
        <w:bidi w:val="0"/>
        <w:rPr>
          <w:rFonts w:hint="eastAsia"/>
          <w:lang w:val="en-US" w:eastAsia="zh-CN"/>
        </w:rPr>
      </w:pPr>
      <w:r>
        <w:rPr>
          <w:rFonts w:hint="eastAsia"/>
          <w:lang w:val="en-US" w:eastAsia="zh-CN"/>
        </w:rPr>
        <w:t>11:20 61</w:t>
      </w:r>
    </w:p>
    <w:p w14:paraId="6F12A687">
      <w:pPr>
        <w:bidi w:val="0"/>
        <w:rPr>
          <w:rFonts w:hint="eastAsia"/>
          <w:lang w:val="en-US" w:eastAsia="zh-CN"/>
        </w:rPr>
      </w:pPr>
    </w:p>
    <w:p w14:paraId="4984345F">
      <w:pPr>
        <w:bidi w:val="0"/>
        <w:rPr>
          <w:rFonts w:hint="eastAsia"/>
          <w:lang w:val="en-US" w:eastAsia="zh-CN"/>
        </w:rPr>
      </w:pPr>
      <w:r>
        <w:rPr>
          <w:rFonts w:hint="eastAsia"/>
          <w:lang w:val="en-US" w:eastAsia="zh-CN"/>
        </w:rPr>
        <w:t>11:20 61</w:t>
      </w:r>
    </w:p>
    <w:p w14:paraId="539E2E31">
      <w:pPr>
        <w:bidi w:val="0"/>
        <w:rPr>
          <w:rFonts w:hint="eastAsia"/>
          <w:lang w:val="en-US" w:eastAsia="zh-CN"/>
        </w:rPr>
      </w:pPr>
    </w:p>
    <w:p w14:paraId="0A4DAA54">
      <w:pPr>
        <w:bidi w:val="0"/>
        <w:rPr>
          <w:rFonts w:hint="eastAsia"/>
          <w:lang w:val="en-US" w:eastAsia="zh-CN"/>
        </w:rPr>
      </w:pPr>
      <w:r>
        <w:rPr>
          <w:rFonts w:hint="eastAsia"/>
          <w:lang w:val="en-US" w:eastAsia="zh-CN"/>
        </w:rPr>
        <w:t>16:19-31 2</w:t>
      </w:r>
    </w:p>
    <w:p w14:paraId="733BDDBD">
      <w:pPr>
        <w:bidi w:val="0"/>
        <w:rPr>
          <w:rFonts w:hint="eastAsia"/>
          <w:lang w:val="en-US" w:eastAsia="zh-CN"/>
        </w:rPr>
      </w:pPr>
    </w:p>
    <w:p w14:paraId="7A6A420E">
      <w:pPr>
        <w:bidi w:val="0"/>
        <w:rPr>
          <w:rFonts w:hint="eastAsia"/>
          <w:lang w:val="en-US" w:eastAsia="zh-CN"/>
        </w:rPr>
      </w:pPr>
      <w:r>
        <w:rPr>
          <w:rFonts w:hint="eastAsia"/>
          <w:lang w:val="en-US" w:eastAsia="zh-CN"/>
        </w:rPr>
        <w:t>16:19-31 2</w:t>
      </w:r>
    </w:p>
    <w:p w14:paraId="44B2535C">
      <w:pPr>
        <w:bidi w:val="0"/>
        <w:rPr>
          <w:rFonts w:hint="eastAsia"/>
          <w:lang w:val="en-US" w:eastAsia="zh-CN"/>
        </w:rPr>
      </w:pPr>
    </w:p>
    <w:p w14:paraId="6D02803F">
      <w:pPr>
        <w:bidi w:val="0"/>
        <w:rPr>
          <w:rFonts w:hint="eastAsia"/>
          <w:lang w:val="en-US" w:eastAsia="zh-CN"/>
        </w:rPr>
      </w:pPr>
      <w:r>
        <w:rPr>
          <w:rFonts w:hint="eastAsia"/>
          <w:lang w:val="en-US" w:eastAsia="zh-CN"/>
        </w:rPr>
        <w:t>17:21 686</w:t>
      </w:r>
    </w:p>
    <w:p w14:paraId="50ADD3C5">
      <w:pPr>
        <w:bidi w:val="0"/>
        <w:rPr>
          <w:rFonts w:hint="eastAsia"/>
          <w:lang w:val="en-US" w:eastAsia="zh-CN"/>
        </w:rPr>
      </w:pPr>
    </w:p>
    <w:p w14:paraId="7F293562">
      <w:pPr>
        <w:bidi w:val="0"/>
        <w:rPr>
          <w:rFonts w:hint="eastAsia"/>
          <w:lang w:val="en-US" w:eastAsia="zh-CN"/>
        </w:rPr>
      </w:pPr>
      <w:r>
        <w:rPr>
          <w:rFonts w:hint="eastAsia"/>
          <w:lang w:val="en-US" w:eastAsia="zh-CN"/>
        </w:rPr>
        <w:t>17:21 686</w:t>
      </w:r>
    </w:p>
    <w:p w14:paraId="7285FEED">
      <w:pPr>
        <w:bidi w:val="0"/>
        <w:rPr>
          <w:rFonts w:hint="eastAsia"/>
          <w:lang w:val="en-US" w:eastAsia="zh-CN"/>
        </w:rPr>
      </w:pPr>
    </w:p>
    <w:p w14:paraId="65C28F6F">
      <w:pPr>
        <w:bidi w:val="0"/>
        <w:rPr>
          <w:rFonts w:hint="eastAsia"/>
          <w:lang w:val="en-US" w:eastAsia="zh-CN"/>
        </w:rPr>
      </w:pPr>
      <w:r>
        <w:rPr>
          <w:rFonts w:hint="eastAsia"/>
          <w:lang w:val="en-US" w:eastAsia="zh-CN"/>
        </w:rPr>
        <w:t>17:26-27 536</w:t>
      </w:r>
    </w:p>
    <w:p w14:paraId="4ACCA722">
      <w:pPr>
        <w:bidi w:val="0"/>
        <w:rPr>
          <w:rFonts w:hint="eastAsia"/>
          <w:lang w:val="en-US" w:eastAsia="zh-CN"/>
        </w:rPr>
      </w:pPr>
    </w:p>
    <w:p w14:paraId="48D3507B">
      <w:pPr>
        <w:bidi w:val="0"/>
        <w:rPr>
          <w:rFonts w:hint="eastAsia"/>
          <w:lang w:val="en-US" w:eastAsia="zh-CN"/>
        </w:rPr>
      </w:pPr>
      <w:r>
        <w:rPr>
          <w:rFonts w:hint="eastAsia"/>
          <w:lang w:val="en-US" w:eastAsia="zh-CN"/>
        </w:rPr>
        <w:t>17:26-27 536</w:t>
      </w:r>
    </w:p>
    <w:p w14:paraId="08E3A52F">
      <w:pPr>
        <w:bidi w:val="0"/>
        <w:rPr>
          <w:rFonts w:hint="eastAsia"/>
          <w:lang w:val="en-US" w:eastAsia="zh-CN"/>
        </w:rPr>
      </w:pPr>
    </w:p>
    <w:p w14:paraId="234F52F1">
      <w:pPr>
        <w:bidi w:val="0"/>
        <w:rPr>
          <w:rFonts w:hint="eastAsia"/>
          <w:lang w:val="en-US" w:eastAsia="zh-CN"/>
        </w:rPr>
      </w:pPr>
      <w:r>
        <w:rPr>
          <w:rFonts w:hint="eastAsia"/>
          <w:lang w:val="en-US" w:eastAsia="zh-CN"/>
        </w:rPr>
        <w:t>19:11-27 140-141</w:t>
      </w:r>
    </w:p>
    <w:p w14:paraId="269550DB">
      <w:pPr>
        <w:bidi w:val="0"/>
        <w:rPr>
          <w:rFonts w:hint="eastAsia"/>
          <w:lang w:val="en-US" w:eastAsia="zh-CN"/>
        </w:rPr>
      </w:pPr>
    </w:p>
    <w:p w14:paraId="2B25140B">
      <w:pPr>
        <w:bidi w:val="0"/>
        <w:rPr>
          <w:rFonts w:hint="eastAsia"/>
          <w:lang w:val="en-US" w:eastAsia="zh-CN"/>
        </w:rPr>
      </w:pPr>
      <w:r>
        <w:rPr>
          <w:rFonts w:hint="eastAsia"/>
          <w:lang w:val="en-US" w:eastAsia="zh-CN"/>
        </w:rPr>
        <w:t>19:11-27 140-141</w:t>
      </w:r>
    </w:p>
    <w:p w14:paraId="25436021">
      <w:pPr>
        <w:bidi w:val="0"/>
        <w:rPr>
          <w:rFonts w:hint="eastAsia"/>
          <w:lang w:val="en-US" w:eastAsia="zh-CN"/>
        </w:rPr>
      </w:pPr>
    </w:p>
    <w:p w14:paraId="2BE78B22">
      <w:pPr>
        <w:bidi w:val="0"/>
        <w:rPr>
          <w:rFonts w:hint="eastAsia"/>
          <w:lang w:val="en-US" w:eastAsia="zh-CN"/>
        </w:rPr>
      </w:pPr>
      <w:r>
        <w:rPr>
          <w:rFonts w:hint="eastAsia"/>
          <w:lang w:val="en-US" w:eastAsia="zh-CN"/>
        </w:rPr>
        <w:t>19:37-40 57</w:t>
      </w:r>
    </w:p>
    <w:p w14:paraId="1E711BDA">
      <w:pPr>
        <w:bidi w:val="0"/>
        <w:rPr>
          <w:rFonts w:hint="eastAsia"/>
          <w:lang w:val="en-US" w:eastAsia="zh-CN"/>
        </w:rPr>
      </w:pPr>
    </w:p>
    <w:p w14:paraId="19AC4C58">
      <w:pPr>
        <w:bidi w:val="0"/>
        <w:rPr>
          <w:rFonts w:hint="eastAsia"/>
          <w:lang w:val="en-US" w:eastAsia="zh-CN"/>
        </w:rPr>
      </w:pPr>
      <w:r>
        <w:rPr>
          <w:rFonts w:hint="eastAsia"/>
          <w:lang w:val="en-US" w:eastAsia="zh-CN"/>
        </w:rPr>
        <w:t>19:37-40 57</w:t>
      </w:r>
    </w:p>
    <w:p w14:paraId="466AAD91">
      <w:pPr>
        <w:bidi w:val="0"/>
        <w:rPr>
          <w:rFonts w:hint="eastAsia"/>
          <w:lang w:val="en-US" w:eastAsia="zh-CN"/>
        </w:rPr>
      </w:pPr>
    </w:p>
    <w:p w14:paraId="2D9C9373">
      <w:pPr>
        <w:bidi w:val="0"/>
        <w:rPr>
          <w:rFonts w:hint="eastAsia"/>
          <w:lang w:val="en-US" w:eastAsia="zh-CN"/>
        </w:rPr>
      </w:pPr>
      <w:r>
        <w:rPr>
          <w:rFonts w:hint="eastAsia"/>
          <w:lang w:val="en-US" w:eastAsia="zh-CN"/>
        </w:rPr>
        <w:t>20:27-40 2, 166, 167, 214</w:t>
      </w:r>
    </w:p>
    <w:p w14:paraId="58F3FBBB">
      <w:pPr>
        <w:bidi w:val="0"/>
        <w:rPr>
          <w:rFonts w:hint="eastAsia"/>
          <w:lang w:val="en-US" w:eastAsia="zh-CN"/>
        </w:rPr>
      </w:pPr>
    </w:p>
    <w:p w14:paraId="5F74609E">
      <w:pPr>
        <w:bidi w:val="0"/>
        <w:rPr>
          <w:rFonts w:hint="eastAsia"/>
          <w:lang w:val="en-US" w:eastAsia="zh-CN"/>
        </w:rPr>
      </w:pPr>
      <w:r>
        <w:rPr>
          <w:rFonts w:hint="eastAsia"/>
          <w:lang w:val="en-US" w:eastAsia="zh-CN"/>
        </w:rPr>
        <w:t>20:27-40 2, 166, 167, 214</w:t>
      </w:r>
    </w:p>
    <w:p w14:paraId="13420698">
      <w:pPr>
        <w:bidi w:val="0"/>
        <w:rPr>
          <w:rFonts w:hint="eastAsia"/>
          <w:lang w:val="en-US" w:eastAsia="zh-CN"/>
        </w:rPr>
      </w:pPr>
    </w:p>
    <w:p w14:paraId="745AB080">
      <w:pPr>
        <w:bidi w:val="0"/>
        <w:rPr>
          <w:rFonts w:hint="eastAsia"/>
          <w:lang w:val="en-US" w:eastAsia="zh-CN"/>
        </w:rPr>
      </w:pPr>
      <w:r>
        <w:rPr>
          <w:rFonts w:hint="eastAsia"/>
          <w:lang w:val="en-US" w:eastAsia="zh-CN"/>
        </w:rPr>
        <w:t>21:5ff 530</w:t>
      </w:r>
    </w:p>
    <w:p w14:paraId="40CEABB3">
      <w:pPr>
        <w:bidi w:val="0"/>
        <w:rPr>
          <w:rFonts w:hint="eastAsia"/>
          <w:lang w:val="en-US" w:eastAsia="zh-CN"/>
        </w:rPr>
      </w:pPr>
    </w:p>
    <w:p w14:paraId="04E4FBE5">
      <w:pPr>
        <w:bidi w:val="0"/>
        <w:rPr>
          <w:rFonts w:hint="eastAsia"/>
          <w:lang w:val="en-US" w:eastAsia="zh-CN"/>
        </w:rPr>
      </w:pPr>
      <w:r>
        <w:rPr>
          <w:rFonts w:hint="eastAsia"/>
          <w:lang w:val="en-US" w:eastAsia="zh-CN"/>
        </w:rPr>
        <w:t>21:5ff 530</w:t>
      </w:r>
    </w:p>
    <w:p w14:paraId="62A6C2F0">
      <w:pPr>
        <w:bidi w:val="0"/>
        <w:rPr>
          <w:rFonts w:hint="eastAsia"/>
          <w:lang w:val="en-US" w:eastAsia="zh-CN"/>
        </w:rPr>
      </w:pPr>
    </w:p>
    <w:p w14:paraId="1B7AD23D">
      <w:pPr>
        <w:bidi w:val="0"/>
        <w:rPr>
          <w:rFonts w:hint="eastAsia"/>
          <w:lang w:val="en-US" w:eastAsia="zh-CN"/>
        </w:rPr>
      </w:pPr>
      <w:r>
        <w:rPr>
          <w:rFonts w:hint="eastAsia"/>
          <w:lang w:val="en-US" w:eastAsia="zh-CN"/>
        </w:rPr>
        <w:t>21:23-24 660</w:t>
      </w:r>
    </w:p>
    <w:p w14:paraId="4CE64826">
      <w:pPr>
        <w:bidi w:val="0"/>
        <w:rPr>
          <w:rFonts w:hint="eastAsia"/>
          <w:lang w:val="en-US" w:eastAsia="zh-CN"/>
        </w:rPr>
      </w:pPr>
    </w:p>
    <w:p w14:paraId="5329322F">
      <w:pPr>
        <w:bidi w:val="0"/>
        <w:rPr>
          <w:rFonts w:hint="eastAsia"/>
          <w:lang w:val="en-US" w:eastAsia="zh-CN"/>
        </w:rPr>
      </w:pPr>
      <w:r>
        <w:rPr>
          <w:rFonts w:hint="eastAsia"/>
          <w:lang w:val="en-US" w:eastAsia="zh-CN"/>
        </w:rPr>
        <w:t>21:23-24 660</w:t>
      </w:r>
    </w:p>
    <w:p w14:paraId="7C9B0B32">
      <w:pPr>
        <w:bidi w:val="0"/>
        <w:rPr>
          <w:rFonts w:hint="eastAsia"/>
          <w:lang w:val="en-US" w:eastAsia="zh-CN"/>
        </w:rPr>
      </w:pPr>
    </w:p>
    <w:p w14:paraId="4216D07E">
      <w:pPr>
        <w:bidi w:val="0"/>
        <w:rPr>
          <w:rFonts w:hint="eastAsia"/>
          <w:lang w:val="en-US" w:eastAsia="zh-CN"/>
        </w:rPr>
      </w:pPr>
      <w:r>
        <w:rPr>
          <w:rFonts w:hint="eastAsia"/>
          <w:lang w:val="en-US" w:eastAsia="zh-CN"/>
        </w:rPr>
        <w:t>21:25-26 595</w:t>
      </w:r>
    </w:p>
    <w:p w14:paraId="094BE123">
      <w:pPr>
        <w:bidi w:val="0"/>
        <w:rPr>
          <w:rFonts w:hint="eastAsia"/>
          <w:lang w:val="en-US" w:eastAsia="zh-CN"/>
        </w:rPr>
      </w:pPr>
    </w:p>
    <w:p w14:paraId="5FA4F221">
      <w:pPr>
        <w:bidi w:val="0"/>
        <w:rPr>
          <w:rFonts w:hint="eastAsia"/>
          <w:lang w:val="en-US" w:eastAsia="zh-CN"/>
        </w:rPr>
      </w:pPr>
      <w:r>
        <w:rPr>
          <w:rFonts w:hint="eastAsia"/>
          <w:lang w:val="en-US" w:eastAsia="zh-CN"/>
        </w:rPr>
        <w:t>21:25-26 595</w:t>
      </w:r>
    </w:p>
    <w:p w14:paraId="74939B1E">
      <w:pPr>
        <w:bidi w:val="0"/>
        <w:rPr>
          <w:rFonts w:hint="eastAsia"/>
          <w:lang w:val="en-US" w:eastAsia="zh-CN"/>
        </w:rPr>
      </w:pPr>
    </w:p>
    <w:p w14:paraId="3F233842">
      <w:pPr>
        <w:bidi w:val="0"/>
        <w:rPr>
          <w:rFonts w:hint="eastAsia"/>
          <w:lang w:val="en-US" w:eastAsia="zh-CN"/>
        </w:rPr>
      </w:pPr>
      <w:r>
        <w:rPr>
          <w:rFonts w:hint="eastAsia"/>
          <w:lang w:val="en-US" w:eastAsia="zh-CN"/>
        </w:rPr>
        <w:t>22:28 529</w:t>
      </w:r>
    </w:p>
    <w:p w14:paraId="30A20C1D">
      <w:pPr>
        <w:bidi w:val="0"/>
        <w:rPr>
          <w:rFonts w:hint="eastAsia"/>
          <w:lang w:val="en-US" w:eastAsia="zh-CN"/>
        </w:rPr>
      </w:pPr>
    </w:p>
    <w:p w14:paraId="1DF1B16D">
      <w:pPr>
        <w:bidi w:val="0"/>
        <w:rPr>
          <w:rFonts w:hint="eastAsia"/>
          <w:lang w:val="en-US" w:eastAsia="zh-CN"/>
        </w:rPr>
      </w:pPr>
      <w:r>
        <w:rPr>
          <w:rFonts w:hint="eastAsia"/>
          <w:lang w:val="en-US" w:eastAsia="zh-CN"/>
        </w:rPr>
        <w:t>22:28 529</w:t>
      </w:r>
    </w:p>
    <w:p w14:paraId="68A0605D">
      <w:pPr>
        <w:bidi w:val="0"/>
        <w:rPr>
          <w:rFonts w:hint="eastAsia"/>
          <w:lang w:val="en-US" w:eastAsia="zh-CN"/>
        </w:rPr>
      </w:pPr>
    </w:p>
    <w:p w14:paraId="696FC847">
      <w:pPr>
        <w:bidi w:val="0"/>
        <w:rPr>
          <w:rFonts w:hint="eastAsia"/>
          <w:lang w:val="en-US" w:eastAsia="zh-CN"/>
        </w:rPr>
      </w:pPr>
      <w:r>
        <w:rPr>
          <w:rFonts w:hint="eastAsia"/>
          <w:lang w:val="en-US" w:eastAsia="zh-CN"/>
        </w:rPr>
        <w:t>24:27-47 48-49</w:t>
      </w:r>
    </w:p>
    <w:p w14:paraId="29F2F125">
      <w:pPr>
        <w:bidi w:val="0"/>
        <w:rPr>
          <w:rFonts w:hint="eastAsia"/>
          <w:lang w:val="en-US" w:eastAsia="zh-CN"/>
        </w:rPr>
      </w:pPr>
    </w:p>
    <w:p w14:paraId="6BD318C9">
      <w:pPr>
        <w:bidi w:val="0"/>
        <w:rPr>
          <w:rFonts w:hint="eastAsia"/>
          <w:lang w:val="en-US" w:eastAsia="zh-CN"/>
        </w:rPr>
      </w:pPr>
      <w:r>
        <w:rPr>
          <w:rFonts w:hint="eastAsia"/>
          <w:lang w:val="en-US" w:eastAsia="zh-CN"/>
        </w:rPr>
        <w:t>24:27-47 48-49</w:t>
      </w:r>
    </w:p>
    <w:p w14:paraId="6CF42D30">
      <w:pPr>
        <w:bidi w:val="0"/>
        <w:rPr>
          <w:rFonts w:hint="eastAsia"/>
          <w:lang w:val="en-US" w:eastAsia="zh-CN"/>
        </w:rPr>
      </w:pPr>
    </w:p>
    <w:p w14:paraId="451871E4">
      <w:pPr>
        <w:bidi w:val="0"/>
        <w:rPr>
          <w:rFonts w:hint="eastAsia"/>
          <w:lang w:val="en-US" w:eastAsia="zh-CN"/>
        </w:rPr>
      </w:pPr>
      <w:r>
        <w:rPr>
          <w:rFonts w:hint="eastAsia"/>
          <w:lang w:val="en-US" w:eastAsia="zh-CN"/>
        </w:rPr>
        <w:t>John</w:t>
      </w:r>
    </w:p>
    <w:p w14:paraId="47550F7E">
      <w:pPr>
        <w:bidi w:val="0"/>
        <w:rPr>
          <w:rFonts w:hint="eastAsia"/>
          <w:lang w:val="en-US" w:eastAsia="zh-CN"/>
        </w:rPr>
      </w:pPr>
    </w:p>
    <w:p w14:paraId="5E98B8C4">
      <w:pPr>
        <w:bidi w:val="0"/>
        <w:rPr>
          <w:rFonts w:hint="eastAsia"/>
          <w:lang w:val="en-US" w:eastAsia="zh-CN"/>
        </w:rPr>
      </w:pPr>
      <w:r>
        <w:rPr>
          <w:rFonts w:hint="eastAsia"/>
          <w:lang w:val="en-US" w:eastAsia="zh-CN"/>
        </w:rPr>
        <w:t>约翰福音</w:t>
      </w:r>
    </w:p>
    <w:p w14:paraId="265D6A3E">
      <w:pPr>
        <w:bidi w:val="0"/>
        <w:rPr>
          <w:rFonts w:hint="eastAsia"/>
          <w:lang w:val="en-US" w:eastAsia="zh-CN"/>
        </w:rPr>
      </w:pPr>
    </w:p>
    <w:p w14:paraId="198FCD42">
      <w:pPr>
        <w:bidi w:val="0"/>
        <w:rPr>
          <w:rFonts w:hint="eastAsia"/>
          <w:lang w:val="en-US" w:eastAsia="zh-CN"/>
        </w:rPr>
      </w:pPr>
      <w:r>
        <w:rPr>
          <w:rFonts w:hint="eastAsia"/>
          <w:lang w:val="en-US" w:eastAsia="zh-CN"/>
        </w:rPr>
        <w:t>1:17 44</w:t>
      </w:r>
    </w:p>
    <w:p w14:paraId="6C1350C4">
      <w:pPr>
        <w:bidi w:val="0"/>
        <w:rPr>
          <w:rFonts w:hint="eastAsia"/>
          <w:lang w:val="en-US" w:eastAsia="zh-CN"/>
        </w:rPr>
      </w:pPr>
    </w:p>
    <w:p w14:paraId="69C8C887">
      <w:pPr>
        <w:bidi w:val="0"/>
        <w:rPr>
          <w:rFonts w:hint="eastAsia"/>
          <w:lang w:val="en-US" w:eastAsia="zh-CN"/>
        </w:rPr>
      </w:pPr>
      <w:r>
        <w:rPr>
          <w:rFonts w:hint="eastAsia"/>
          <w:lang w:val="en-US" w:eastAsia="zh-CN"/>
        </w:rPr>
        <w:t>1:17 44</w:t>
      </w:r>
    </w:p>
    <w:p w14:paraId="0039641C">
      <w:pPr>
        <w:bidi w:val="0"/>
        <w:rPr>
          <w:rFonts w:hint="eastAsia"/>
          <w:lang w:val="en-US" w:eastAsia="zh-CN"/>
        </w:rPr>
      </w:pPr>
    </w:p>
    <w:p w14:paraId="57D8EDA3">
      <w:pPr>
        <w:bidi w:val="0"/>
        <w:rPr>
          <w:rFonts w:hint="eastAsia"/>
          <w:lang w:val="en-US" w:eastAsia="zh-CN"/>
        </w:rPr>
      </w:pPr>
      <w:r>
        <w:rPr>
          <w:rFonts w:hint="eastAsia"/>
          <w:lang w:val="en-US" w:eastAsia="zh-CN"/>
        </w:rPr>
        <w:t>3:3-16 62</w:t>
      </w:r>
    </w:p>
    <w:p w14:paraId="1300CF37">
      <w:pPr>
        <w:bidi w:val="0"/>
        <w:rPr>
          <w:rFonts w:hint="eastAsia"/>
          <w:lang w:val="en-US" w:eastAsia="zh-CN"/>
        </w:rPr>
      </w:pPr>
    </w:p>
    <w:p w14:paraId="586BF257">
      <w:pPr>
        <w:bidi w:val="0"/>
        <w:rPr>
          <w:rFonts w:hint="eastAsia"/>
          <w:lang w:val="en-US" w:eastAsia="zh-CN"/>
        </w:rPr>
      </w:pPr>
      <w:r>
        <w:rPr>
          <w:rFonts w:hint="eastAsia"/>
          <w:lang w:val="en-US" w:eastAsia="zh-CN"/>
        </w:rPr>
        <w:t>3:3-16 62</w:t>
      </w:r>
    </w:p>
    <w:p w14:paraId="0C324D5D">
      <w:pPr>
        <w:bidi w:val="0"/>
        <w:rPr>
          <w:rFonts w:hint="eastAsia"/>
          <w:lang w:val="en-US" w:eastAsia="zh-CN"/>
        </w:rPr>
      </w:pPr>
    </w:p>
    <w:p w14:paraId="4D69C32A">
      <w:pPr>
        <w:bidi w:val="0"/>
        <w:rPr>
          <w:rFonts w:hint="eastAsia"/>
          <w:lang w:val="en-US" w:eastAsia="zh-CN"/>
        </w:rPr>
      </w:pPr>
      <w:r>
        <w:rPr>
          <w:rFonts w:hint="eastAsia"/>
          <w:lang w:val="en-US" w:eastAsia="zh-CN"/>
        </w:rPr>
        <w:t>5:19-30 62</w:t>
      </w:r>
    </w:p>
    <w:p w14:paraId="2E073463">
      <w:pPr>
        <w:bidi w:val="0"/>
        <w:rPr>
          <w:rFonts w:hint="eastAsia"/>
          <w:lang w:val="en-US" w:eastAsia="zh-CN"/>
        </w:rPr>
      </w:pPr>
    </w:p>
    <w:p w14:paraId="3679D8D1">
      <w:pPr>
        <w:bidi w:val="0"/>
        <w:rPr>
          <w:rFonts w:hint="eastAsia"/>
          <w:lang w:val="en-US" w:eastAsia="zh-CN"/>
        </w:rPr>
      </w:pPr>
      <w:r>
        <w:rPr>
          <w:rFonts w:hint="eastAsia"/>
          <w:lang w:val="en-US" w:eastAsia="zh-CN"/>
        </w:rPr>
        <w:t>5:19-30 62</w:t>
      </w:r>
    </w:p>
    <w:p w14:paraId="51AAF3CE">
      <w:pPr>
        <w:bidi w:val="0"/>
        <w:rPr>
          <w:rFonts w:hint="eastAsia"/>
          <w:lang w:val="en-US" w:eastAsia="zh-CN"/>
        </w:rPr>
      </w:pPr>
    </w:p>
    <w:p w14:paraId="70F60EE7">
      <w:pPr>
        <w:bidi w:val="0"/>
        <w:rPr>
          <w:rFonts w:hint="eastAsia"/>
          <w:lang w:val="en-US" w:eastAsia="zh-CN"/>
        </w:rPr>
      </w:pPr>
      <w:r>
        <w:rPr>
          <w:rFonts w:hint="eastAsia"/>
          <w:lang w:val="en-US" w:eastAsia="zh-CN"/>
        </w:rPr>
        <w:t>5:23 43, 509</w:t>
      </w:r>
    </w:p>
    <w:p w14:paraId="523D505C">
      <w:pPr>
        <w:bidi w:val="0"/>
        <w:rPr>
          <w:rFonts w:hint="eastAsia"/>
          <w:lang w:val="en-US" w:eastAsia="zh-CN"/>
        </w:rPr>
      </w:pPr>
    </w:p>
    <w:p w14:paraId="798576FF">
      <w:pPr>
        <w:bidi w:val="0"/>
        <w:rPr>
          <w:rFonts w:hint="eastAsia"/>
          <w:lang w:val="en-US" w:eastAsia="zh-CN"/>
        </w:rPr>
      </w:pPr>
      <w:r>
        <w:rPr>
          <w:rFonts w:hint="eastAsia"/>
          <w:lang w:val="en-US" w:eastAsia="zh-CN"/>
        </w:rPr>
        <w:t>5:23 43, 509</w:t>
      </w:r>
    </w:p>
    <w:p w14:paraId="2B45DA8E">
      <w:pPr>
        <w:bidi w:val="0"/>
        <w:rPr>
          <w:rFonts w:hint="eastAsia"/>
          <w:lang w:val="en-US" w:eastAsia="zh-CN"/>
        </w:rPr>
      </w:pPr>
    </w:p>
    <w:p w14:paraId="49E94A6F">
      <w:pPr>
        <w:bidi w:val="0"/>
        <w:rPr>
          <w:rFonts w:hint="eastAsia"/>
          <w:lang w:val="en-US" w:eastAsia="zh-CN"/>
        </w:rPr>
      </w:pPr>
      <w:r>
        <w:rPr>
          <w:rFonts w:hint="eastAsia"/>
          <w:lang w:val="en-US" w:eastAsia="zh-CN"/>
        </w:rPr>
        <w:t>5:26-27 599</w:t>
      </w:r>
    </w:p>
    <w:p w14:paraId="4DBD5C51">
      <w:pPr>
        <w:bidi w:val="0"/>
        <w:rPr>
          <w:rFonts w:hint="eastAsia"/>
          <w:lang w:val="en-US" w:eastAsia="zh-CN"/>
        </w:rPr>
      </w:pPr>
    </w:p>
    <w:p w14:paraId="1B55C59C">
      <w:pPr>
        <w:bidi w:val="0"/>
        <w:rPr>
          <w:rFonts w:hint="eastAsia"/>
          <w:lang w:val="en-US" w:eastAsia="zh-CN"/>
        </w:rPr>
      </w:pPr>
      <w:r>
        <w:rPr>
          <w:rFonts w:hint="eastAsia"/>
          <w:lang w:val="en-US" w:eastAsia="zh-CN"/>
        </w:rPr>
        <w:t>5:26-27 599</w:t>
      </w:r>
    </w:p>
    <w:p w14:paraId="3CE68E9C">
      <w:pPr>
        <w:bidi w:val="0"/>
        <w:rPr>
          <w:rFonts w:hint="eastAsia"/>
          <w:lang w:val="en-US" w:eastAsia="zh-CN"/>
        </w:rPr>
      </w:pPr>
    </w:p>
    <w:p w14:paraId="7CAB4EB8">
      <w:pPr>
        <w:bidi w:val="0"/>
        <w:rPr>
          <w:rFonts w:hint="eastAsia"/>
          <w:lang w:val="en-US" w:eastAsia="zh-CN"/>
        </w:rPr>
      </w:pPr>
      <w:r>
        <w:rPr>
          <w:rFonts w:hint="eastAsia"/>
          <w:lang w:val="en-US" w:eastAsia="zh-CN"/>
        </w:rPr>
        <w:t>5:28-29 517</w:t>
      </w:r>
    </w:p>
    <w:p w14:paraId="62F30065">
      <w:pPr>
        <w:bidi w:val="0"/>
        <w:rPr>
          <w:rFonts w:hint="eastAsia"/>
          <w:lang w:val="en-US" w:eastAsia="zh-CN"/>
        </w:rPr>
      </w:pPr>
    </w:p>
    <w:p w14:paraId="21C684D5">
      <w:pPr>
        <w:bidi w:val="0"/>
        <w:rPr>
          <w:rFonts w:hint="eastAsia"/>
          <w:lang w:val="en-US" w:eastAsia="zh-CN"/>
        </w:rPr>
      </w:pPr>
      <w:r>
        <w:rPr>
          <w:rFonts w:hint="eastAsia"/>
          <w:lang w:val="en-US" w:eastAsia="zh-CN"/>
        </w:rPr>
        <w:t>5:28-29 517</w:t>
      </w:r>
    </w:p>
    <w:p w14:paraId="057C24F8">
      <w:pPr>
        <w:bidi w:val="0"/>
        <w:rPr>
          <w:rFonts w:hint="eastAsia"/>
          <w:lang w:val="en-US" w:eastAsia="zh-CN"/>
        </w:rPr>
      </w:pPr>
    </w:p>
    <w:p w14:paraId="60F0869B">
      <w:pPr>
        <w:bidi w:val="0"/>
        <w:rPr>
          <w:rFonts w:hint="eastAsia"/>
          <w:lang w:val="en-US" w:eastAsia="zh-CN"/>
        </w:rPr>
      </w:pPr>
      <w:r>
        <w:rPr>
          <w:rFonts w:hint="eastAsia"/>
          <w:lang w:val="en-US" w:eastAsia="zh-CN"/>
        </w:rPr>
        <w:t>5:39 242</w:t>
      </w:r>
    </w:p>
    <w:p w14:paraId="6CD633C4">
      <w:pPr>
        <w:bidi w:val="0"/>
        <w:rPr>
          <w:rFonts w:hint="eastAsia"/>
          <w:lang w:val="en-US" w:eastAsia="zh-CN"/>
        </w:rPr>
      </w:pPr>
    </w:p>
    <w:p w14:paraId="0A7836B3">
      <w:pPr>
        <w:bidi w:val="0"/>
        <w:rPr>
          <w:rFonts w:hint="eastAsia"/>
          <w:lang w:val="en-US" w:eastAsia="zh-CN"/>
        </w:rPr>
      </w:pPr>
      <w:r>
        <w:rPr>
          <w:rFonts w:hint="eastAsia"/>
          <w:lang w:val="en-US" w:eastAsia="zh-CN"/>
        </w:rPr>
        <w:t>5:39 242</w:t>
      </w:r>
    </w:p>
    <w:p w14:paraId="3BB70DD6">
      <w:pPr>
        <w:bidi w:val="0"/>
        <w:rPr>
          <w:rFonts w:hint="eastAsia"/>
          <w:lang w:val="en-US" w:eastAsia="zh-CN"/>
        </w:rPr>
      </w:pPr>
    </w:p>
    <w:p w14:paraId="1FC99B6B">
      <w:pPr>
        <w:bidi w:val="0"/>
        <w:rPr>
          <w:rFonts w:hint="eastAsia"/>
          <w:lang w:val="en-US" w:eastAsia="zh-CN"/>
        </w:rPr>
      </w:pPr>
      <w:r>
        <w:rPr>
          <w:rFonts w:hint="eastAsia"/>
          <w:lang w:val="en-US" w:eastAsia="zh-CN"/>
        </w:rPr>
        <w:t>11:1-44 61</w:t>
      </w:r>
    </w:p>
    <w:p w14:paraId="4627C7D6">
      <w:pPr>
        <w:bidi w:val="0"/>
        <w:rPr>
          <w:rFonts w:hint="eastAsia"/>
          <w:lang w:val="en-US" w:eastAsia="zh-CN"/>
        </w:rPr>
      </w:pPr>
    </w:p>
    <w:p w14:paraId="3B7A2300">
      <w:pPr>
        <w:bidi w:val="0"/>
        <w:rPr>
          <w:rFonts w:hint="eastAsia"/>
          <w:lang w:val="en-US" w:eastAsia="zh-CN"/>
        </w:rPr>
      </w:pPr>
      <w:r>
        <w:rPr>
          <w:rFonts w:hint="eastAsia"/>
          <w:lang w:val="en-US" w:eastAsia="zh-CN"/>
        </w:rPr>
        <w:t>11:1-44 61</w:t>
      </w:r>
    </w:p>
    <w:p w14:paraId="1DBCCBD1">
      <w:pPr>
        <w:bidi w:val="0"/>
        <w:rPr>
          <w:rFonts w:hint="eastAsia"/>
          <w:lang w:val="en-US" w:eastAsia="zh-CN"/>
        </w:rPr>
      </w:pPr>
    </w:p>
    <w:p w14:paraId="7EA722EC">
      <w:pPr>
        <w:bidi w:val="0"/>
        <w:rPr>
          <w:rFonts w:hint="eastAsia"/>
          <w:lang w:val="en-US" w:eastAsia="zh-CN"/>
        </w:rPr>
      </w:pPr>
      <w:r>
        <w:rPr>
          <w:rFonts w:hint="eastAsia"/>
          <w:lang w:val="en-US" w:eastAsia="zh-CN"/>
        </w:rPr>
        <w:t>13-17 141-142</w:t>
      </w:r>
    </w:p>
    <w:p w14:paraId="6334894F">
      <w:pPr>
        <w:bidi w:val="0"/>
        <w:rPr>
          <w:rFonts w:hint="eastAsia"/>
          <w:lang w:val="en-US" w:eastAsia="zh-CN"/>
        </w:rPr>
      </w:pPr>
    </w:p>
    <w:p w14:paraId="74E51484">
      <w:pPr>
        <w:bidi w:val="0"/>
        <w:rPr>
          <w:rFonts w:hint="eastAsia"/>
          <w:lang w:val="en-US" w:eastAsia="zh-CN"/>
        </w:rPr>
      </w:pPr>
      <w:r>
        <w:rPr>
          <w:rFonts w:hint="eastAsia"/>
          <w:lang w:val="en-US" w:eastAsia="zh-CN"/>
        </w:rPr>
        <w:t>13-17 141-142</w:t>
      </w:r>
    </w:p>
    <w:p w14:paraId="0A6DECC6">
      <w:pPr>
        <w:bidi w:val="0"/>
        <w:rPr>
          <w:rFonts w:hint="eastAsia"/>
          <w:lang w:val="en-US" w:eastAsia="zh-CN"/>
        </w:rPr>
      </w:pPr>
    </w:p>
    <w:p w14:paraId="2DA3CBAE">
      <w:pPr>
        <w:bidi w:val="0"/>
        <w:rPr>
          <w:rFonts w:hint="eastAsia"/>
          <w:lang w:val="en-US" w:eastAsia="zh-CN"/>
        </w:rPr>
      </w:pPr>
      <w:r>
        <w:rPr>
          <w:rFonts w:hint="eastAsia"/>
          <w:lang w:val="en-US" w:eastAsia="zh-CN"/>
        </w:rPr>
        <w:t>14:1-3 xvii, 540</w:t>
      </w:r>
    </w:p>
    <w:p w14:paraId="2170BB63">
      <w:pPr>
        <w:bidi w:val="0"/>
        <w:rPr>
          <w:rFonts w:hint="eastAsia"/>
          <w:lang w:val="en-US" w:eastAsia="zh-CN"/>
        </w:rPr>
      </w:pPr>
    </w:p>
    <w:p w14:paraId="46EB3ECD">
      <w:pPr>
        <w:bidi w:val="0"/>
        <w:rPr>
          <w:rFonts w:hint="eastAsia"/>
          <w:lang w:val="en-US" w:eastAsia="zh-CN"/>
        </w:rPr>
      </w:pPr>
      <w:r>
        <w:rPr>
          <w:rFonts w:hint="eastAsia"/>
          <w:lang w:val="en-US" w:eastAsia="zh-CN"/>
        </w:rPr>
        <w:t>14:1-3 xvii, 540</w:t>
      </w:r>
    </w:p>
    <w:p w14:paraId="4195B8FE">
      <w:pPr>
        <w:bidi w:val="0"/>
        <w:rPr>
          <w:rFonts w:hint="eastAsia"/>
          <w:lang w:val="en-US" w:eastAsia="zh-CN"/>
        </w:rPr>
      </w:pPr>
    </w:p>
    <w:p w14:paraId="1401F6E2">
      <w:pPr>
        <w:bidi w:val="0"/>
        <w:rPr>
          <w:rFonts w:hint="eastAsia"/>
          <w:lang w:val="en-US" w:eastAsia="zh-CN"/>
        </w:rPr>
      </w:pPr>
      <w:r>
        <w:rPr>
          <w:rFonts w:hint="eastAsia"/>
          <w:lang w:val="en-US" w:eastAsia="zh-CN"/>
        </w:rPr>
        <w:t>16:12-15 45, 242</w:t>
      </w:r>
    </w:p>
    <w:p w14:paraId="1DDA4A03">
      <w:pPr>
        <w:bidi w:val="0"/>
        <w:rPr>
          <w:rFonts w:hint="eastAsia"/>
          <w:lang w:val="en-US" w:eastAsia="zh-CN"/>
        </w:rPr>
      </w:pPr>
    </w:p>
    <w:p w14:paraId="62094CA9">
      <w:pPr>
        <w:bidi w:val="0"/>
        <w:rPr>
          <w:rFonts w:hint="eastAsia"/>
          <w:lang w:val="en-US" w:eastAsia="zh-CN"/>
        </w:rPr>
      </w:pPr>
      <w:r>
        <w:rPr>
          <w:rFonts w:hint="eastAsia"/>
          <w:lang w:val="en-US" w:eastAsia="zh-CN"/>
        </w:rPr>
        <w:t>16:12-15 45, 242</w:t>
      </w:r>
    </w:p>
    <w:p w14:paraId="731CF5DC">
      <w:pPr>
        <w:bidi w:val="0"/>
        <w:rPr>
          <w:rFonts w:hint="eastAsia"/>
          <w:lang w:val="en-US" w:eastAsia="zh-CN"/>
        </w:rPr>
      </w:pPr>
    </w:p>
    <w:p w14:paraId="0DE109AE">
      <w:pPr>
        <w:bidi w:val="0"/>
        <w:rPr>
          <w:rFonts w:hint="eastAsia"/>
          <w:lang w:val="en-US" w:eastAsia="zh-CN"/>
        </w:rPr>
      </w:pPr>
      <w:r>
        <w:rPr>
          <w:rFonts w:hint="eastAsia"/>
          <w:lang w:val="en-US" w:eastAsia="zh-CN"/>
        </w:rPr>
        <w:t>Acts</w:t>
      </w:r>
    </w:p>
    <w:p w14:paraId="53BECD3B">
      <w:pPr>
        <w:bidi w:val="0"/>
        <w:rPr>
          <w:rFonts w:hint="eastAsia"/>
          <w:lang w:val="en-US" w:eastAsia="zh-CN"/>
        </w:rPr>
      </w:pPr>
    </w:p>
    <w:p w14:paraId="7911B5AE">
      <w:pPr>
        <w:bidi w:val="0"/>
        <w:rPr>
          <w:rFonts w:hint="eastAsia"/>
          <w:lang w:val="en-US" w:eastAsia="zh-CN"/>
        </w:rPr>
      </w:pPr>
      <w:r>
        <w:rPr>
          <w:rFonts w:hint="eastAsia"/>
          <w:lang w:val="en-US" w:eastAsia="zh-CN"/>
        </w:rPr>
        <w:t>使徒行传</w:t>
      </w:r>
    </w:p>
    <w:p w14:paraId="3BAA2D1F">
      <w:pPr>
        <w:bidi w:val="0"/>
        <w:rPr>
          <w:rFonts w:hint="eastAsia"/>
          <w:lang w:val="en-US" w:eastAsia="zh-CN"/>
        </w:rPr>
      </w:pPr>
    </w:p>
    <w:p w14:paraId="2F51265C">
      <w:pPr>
        <w:bidi w:val="0"/>
        <w:rPr>
          <w:rFonts w:hint="eastAsia"/>
          <w:lang w:val="en-US" w:eastAsia="zh-CN"/>
        </w:rPr>
      </w:pPr>
      <w:r>
        <w:rPr>
          <w:rFonts w:hint="eastAsia"/>
          <w:lang w:val="en-US" w:eastAsia="zh-CN"/>
        </w:rPr>
        <w:t>1:9-11 596, 601</w:t>
      </w:r>
    </w:p>
    <w:p w14:paraId="75730F80">
      <w:pPr>
        <w:bidi w:val="0"/>
        <w:rPr>
          <w:rFonts w:hint="eastAsia"/>
          <w:lang w:val="en-US" w:eastAsia="zh-CN"/>
        </w:rPr>
      </w:pPr>
    </w:p>
    <w:p w14:paraId="07469F34">
      <w:pPr>
        <w:bidi w:val="0"/>
        <w:rPr>
          <w:rFonts w:hint="eastAsia"/>
          <w:lang w:val="en-US" w:eastAsia="zh-CN"/>
        </w:rPr>
      </w:pPr>
      <w:r>
        <w:rPr>
          <w:rFonts w:hint="eastAsia"/>
          <w:lang w:val="en-US" w:eastAsia="zh-CN"/>
        </w:rPr>
        <w:t>1:9-11 596, 601</w:t>
      </w:r>
    </w:p>
    <w:p w14:paraId="08B79AFA">
      <w:pPr>
        <w:bidi w:val="0"/>
        <w:rPr>
          <w:rFonts w:hint="eastAsia"/>
          <w:lang w:val="en-US" w:eastAsia="zh-CN"/>
        </w:rPr>
      </w:pPr>
    </w:p>
    <w:p w14:paraId="2D3388F9">
      <w:pPr>
        <w:bidi w:val="0"/>
        <w:rPr>
          <w:rFonts w:hint="eastAsia"/>
          <w:lang w:val="en-US" w:eastAsia="zh-CN"/>
        </w:rPr>
      </w:pPr>
      <w:r>
        <w:rPr>
          <w:rFonts w:hint="eastAsia"/>
          <w:lang w:val="en-US" w:eastAsia="zh-CN"/>
        </w:rPr>
        <w:t>2:14-42 133, 143-144, 236, 259</w:t>
      </w:r>
    </w:p>
    <w:p w14:paraId="14B57F8C">
      <w:pPr>
        <w:bidi w:val="0"/>
        <w:rPr>
          <w:rFonts w:hint="eastAsia"/>
          <w:lang w:val="en-US" w:eastAsia="zh-CN"/>
        </w:rPr>
      </w:pPr>
    </w:p>
    <w:p w14:paraId="6DBA9FFB">
      <w:pPr>
        <w:bidi w:val="0"/>
        <w:rPr>
          <w:rFonts w:hint="eastAsia"/>
          <w:lang w:val="en-US" w:eastAsia="zh-CN"/>
        </w:rPr>
      </w:pPr>
      <w:r>
        <w:rPr>
          <w:rFonts w:hint="eastAsia"/>
          <w:lang w:val="en-US" w:eastAsia="zh-CN"/>
        </w:rPr>
        <w:t>2:14-42 133, 143-144, 236, 259</w:t>
      </w:r>
    </w:p>
    <w:p w14:paraId="0810D391">
      <w:pPr>
        <w:bidi w:val="0"/>
        <w:rPr>
          <w:rFonts w:hint="eastAsia"/>
          <w:lang w:val="en-US" w:eastAsia="zh-CN"/>
        </w:rPr>
      </w:pPr>
    </w:p>
    <w:p w14:paraId="7CD0E67F">
      <w:pPr>
        <w:bidi w:val="0"/>
        <w:rPr>
          <w:rFonts w:hint="eastAsia"/>
          <w:lang w:val="en-US" w:eastAsia="zh-CN"/>
        </w:rPr>
      </w:pPr>
      <w:r>
        <w:rPr>
          <w:rFonts w:hint="eastAsia"/>
          <w:lang w:val="en-US" w:eastAsia="zh-CN"/>
        </w:rPr>
        <w:t>2:33-35 259, 439</w:t>
      </w:r>
    </w:p>
    <w:p w14:paraId="4F6D0712">
      <w:pPr>
        <w:bidi w:val="0"/>
        <w:rPr>
          <w:rFonts w:hint="eastAsia"/>
          <w:lang w:val="en-US" w:eastAsia="zh-CN"/>
        </w:rPr>
      </w:pPr>
    </w:p>
    <w:p w14:paraId="53F8CFA8">
      <w:pPr>
        <w:bidi w:val="0"/>
        <w:rPr>
          <w:rFonts w:hint="eastAsia"/>
          <w:lang w:val="en-US" w:eastAsia="zh-CN"/>
        </w:rPr>
      </w:pPr>
      <w:r>
        <w:rPr>
          <w:rFonts w:hint="eastAsia"/>
          <w:lang w:val="en-US" w:eastAsia="zh-CN"/>
        </w:rPr>
        <w:t>2:33-35 259, 439</w:t>
      </w:r>
    </w:p>
    <w:p w14:paraId="709F9ADB">
      <w:pPr>
        <w:bidi w:val="0"/>
        <w:rPr>
          <w:rFonts w:hint="eastAsia"/>
          <w:lang w:val="en-US" w:eastAsia="zh-CN"/>
        </w:rPr>
      </w:pPr>
    </w:p>
    <w:p w14:paraId="7E0D1162">
      <w:pPr>
        <w:bidi w:val="0"/>
        <w:rPr>
          <w:rFonts w:hint="eastAsia"/>
          <w:lang w:val="en-US" w:eastAsia="zh-CN"/>
        </w:rPr>
      </w:pPr>
      <w:r>
        <w:rPr>
          <w:rFonts w:hint="eastAsia"/>
          <w:lang w:val="en-US" w:eastAsia="zh-CN"/>
        </w:rPr>
        <w:t>3:11-26 145-147</w:t>
      </w:r>
    </w:p>
    <w:p w14:paraId="064C210D">
      <w:pPr>
        <w:bidi w:val="0"/>
        <w:rPr>
          <w:rFonts w:hint="eastAsia"/>
          <w:lang w:val="en-US" w:eastAsia="zh-CN"/>
        </w:rPr>
      </w:pPr>
    </w:p>
    <w:p w14:paraId="6946F289">
      <w:pPr>
        <w:bidi w:val="0"/>
        <w:rPr>
          <w:rFonts w:hint="eastAsia"/>
          <w:lang w:val="en-US" w:eastAsia="zh-CN"/>
        </w:rPr>
      </w:pPr>
      <w:r>
        <w:rPr>
          <w:rFonts w:hint="eastAsia"/>
          <w:lang w:val="en-US" w:eastAsia="zh-CN"/>
        </w:rPr>
        <w:t>3:11-26 145-147</w:t>
      </w:r>
    </w:p>
    <w:p w14:paraId="07833480">
      <w:pPr>
        <w:bidi w:val="0"/>
        <w:rPr>
          <w:rFonts w:hint="eastAsia"/>
          <w:lang w:val="en-US" w:eastAsia="zh-CN"/>
        </w:rPr>
      </w:pPr>
    </w:p>
    <w:p w14:paraId="124F61EB">
      <w:pPr>
        <w:bidi w:val="0"/>
        <w:rPr>
          <w:rFonts w:hint="eastAsia"/>
          <w:lang w:val="en-US" w:eastAsia="zh-CN"/>
        </w:rPr>
      </w:pPr>
      <w:r>
        <w:rPr>
          <w:rFonts w:hint="eastAsia"/>
          <w:lang w:val="en-US" w:eastAsia="zh-CN"/>
        </w:rPr>
        <w:t>4:23-31 320</w:t>
      </w:r>
    </w:p>
    <w:p w14:paraId="6B26004B">
      <w:pPr>
        <w:bidi w:val="0"/>
        <w:rPr>
          <w:rFonts w:hint="eastAsia"/>
          <w:lang w:val="en-US" w:eastAsia="zh-CN"/>
        </w:rPr>
      </w:pPr>
    </w:p>
    <w:p w14:paraId="358703F4">
      <w:pPr>
        <w:bidi w:val="0"/>
        <w:rPr>
          <w:rFonts w:hint="eastAsia"/>
          <w:lang w:val="en-US" w:eastAsia="zh-CN"/>
        </w:rPr>
      </w:pPr>
      <w:r>
        <w:rPr>
          <w:rFonts w:hint="eastAsia"/>
          <w:lang w:val="en-US" w:eastAsia="zh-CN"/>
        </w:rPr>
        <w:t>4:23-31 320</w:t>
      </w:r>
    </w:p>
    <w:p w14:paraId="6D7E9CDA">
      <w:pPr>
        <w:bidi w:val="0"/>
        <w:rPr>
          <w:rFonts w:hint="eastAsia"/>
          <w:lang w:val="en-US" w:eastAsia="zh-CN"/>
        </w:rPr>
      </w:pPr>
    </w:p>
    <w:p w14:paraId="69030228">
      <w:pPr>
        <w:bidi w:val="0"/>
        <w:rPr>
          <w:rFonts w:hint="eastAsia"/>
          <w:lang w:val="en-US" w:eastAsia="zh-CN"/>
        </w:rPr>
      </w:pPr>
      <w:r>
        <w:rPr>
          <w:rFonts w:hint="eastAsia"/>
          <w:lang w:val="en-US" w:eastAsia="zh-CN"/>
        </w:rPr>
        <w:t>4:25-27 282</w:t>
      </w:r>
    </w:p>
    <w:p w14:paraId="753040F3">
      <w:pPr>
        <w:bidi w:val="0"/>
        <w:rPr>
          <w:rFonts w:hint="eastAsia"/>
          <w:lang w:val="en-US" w:eastAsia="zh-CN"/>
        </w:rPr>
      </w:pPr>
    </w:p>
    <w:p w14:paraId="33B7BE51">
      <w:pPr>
        <w:bidi w:val="0"/>
        <w:rPr>
          <w:rFonts w:hint="eastAsia"/>
          <w:lang w:val="en-US" w:eastAsia="zh-CN"/>
        </w:rPr>
      </w:pPr>
      <w:r>
        <w:rPr>
          <w:rFonts w:hint="eastAsia"/>
          <w:lang w:val="en-US" w:eastAsia="zh-CN"/>
        </w:rPr>
        <w:t>4:25-27 282</w:t>
      </w:r>
    </w:p>
    <w:p w14:paraId="3D2B7D24">
      <w:pPr>
        <w:bidi w:val="0"/>
        <w:rPr>
          <w:rFonts w:hint="eastAsia"/>
          <w:lang w:val="en-US" w:eastAsia="zh-CN"/>
        </w:rPr>
      </w:pPr>
    </w:p>
    <w:p w14:paraId="6EE74658">
      <w:pPr>
        <w:bidi w:val="0"/>
        <w:rPr>
          <w:rFonts w:hint="eastAsia"/>
          <w:lang w:val="en-US" w:eastAsia="zh-CN"/>
        </w:rPr>
      </w:pPr>
      <w:r>
        <w:rPr>
          <w:rFonts w:hint="eastAsia"/>
          <w:lang w:val="en-US" w:eastAsia="zh-CN"/>
        </w:rPr>
        <w:t>7:44-50 260</w:t>
      </w:r>
    </w:p>
    <w:p w14:paraId="03DEABD9">
      <w:pPr>
        <w:bidi w:val="0"/>
        <w:rPr>
          <w:rFonts w:hint="eastAsia"/>
          <w:lang w:val="en-US" w:eastAsia="zh-CN"/>
        </w:rPr>
      </w:pPr>
    </w:p>
    <w:p w14:paraId="5A17027B">
      <w:pPr>
        <w:bidi w:val="0"/>
        <w:rPr>
          <w:rFonts w:hint="eastAsia"/>
          <w:lang w:val="en-US" w:eastAsia="zh-CN"/>
        </w:rPr>
      </w:pPr>
      <w:r>
        <w:rPr>
          <w:rFonts w:hint="eastAsia"/>
          <w:lang w:val="en-US" w:eastAsia="zh-CN"/>
        </w:rPr>
        <w:t>7:44-50 260</w:t>
      </w:r>
    </w:p>
    <w:p w14:paraId="27140269">
      <w:pPr>
        <w:bidi w:val="0"/>
        <w:rPr>
          <w:rFonts w:hint="eastAsia"/>
          <w:lang w:val="en-US" w:eastAsia="zh-CN"/>
        </w:rPr>
      </w:pPr>
    </w:p>
    <w:p w14:paraId="4A807A0C">
      <w:pPr>
        <w:bidi w:val="0"/>
        <w:rPr>
          <w:rFonts w:hint="eastAsia"/>
          <w:lang w:val="en-US" w:eastAsia="zh-CN"/>
        </w:rPr>
      </w:pPr>
      <w:r>
        <w:rPr>
          <w:rFonts w:hint="eastAsia"/>
          <w:lang w:val="en-US" w:eastAsia="zh-CN"/>
        </w:rPr>
        <w:t>8:26f 256</w:t>
      </w:r>
    </w:p>
    <w:p w14:paraId="1B80164C">
      <w:pPr>
        <w:bidi w:val="0"/>
        <w:rPr>
          <w:rFonts w:hint="eastAsia"/>
          <w:lang w:val="en-US" w:eastAsia="zh-CN"/>
        </w:rPr>
      </w:pPr>
    </w:p>
    <w:p w14:paraId="09C91B9E">
      <w:pPr>
        <w:bidi w:val="0"/>
        <w:rPr>
          <w:rFonts w:hint="eastAsia"/>
          <w:lang w:val="en-US" w:eastAsia="zh-CN"/>
        </w:rPr>
      </w:pPr>
      <w:r>
        <w:rPr>
          <w:rFonts w:hint="eastAsia"/>
          <w:lang w:val="en-US" w:eastAsia="zh-CN"/>
        </w:rPr>
        <w:t>8:26f 256</w:t>
      </w:r>
    </w:p>
    <w:p w14:paraId="04ED03EF">
      <w:pPr>
        <w:bidi w:val="0"/>
        <w:rPr>
          <w:rFonts w:hint="eastAsia"/>
          <w:lang w:val="en-US" w:eastAsia="zh-CN"/>
        </w:rPr>
      </w:pPr>
    </w:p>
    <w:p w14:paraId="1D7FD764">
      <w:pPr>
        <w:bidi w:val="0"/>
        <w:rPr>
          <w:rFonts w:hint="eastAsia"/>
          <w:lang w:val="en-US" w:eastAsia="zh-CN"/>
        </w:rPr>
      </w:pPr>
      <w:r>
        <w:rPr>
          <w:rFonts w:hint="eastAsia"/>
          <w:lang w:val="en-US" w:eastAsia="zh-CN"/>
        </w:rPr>
        <w:t>13:46-47 261</w:t>
      </w:r>
    </w:p>
    <w:p w14:paraId="0C31587B">
      <w:pPr>
        <w:bidi w:val="0"/>
        <w:rPr>
          <w:rFonts w:hint="eastAsia"/>
          <w:lang w:val="en-US" w:eastAsia="zh-CN"/>
        </w:rPr>
      </w:pPr>
    </w:p>
    <w:p w14:paraId="12FFC6D1">
      <w:pPr>
        <w:bidi w:val="0"/>
        <w:rPr>
          <w:rFonts w:hint="eastAsia"/>
          <w:lang w:val="en-US" w:eastAsia="zh-CN"/>
        </w:rPr>
      </w:pPr>
      <w:r>
        <w:rPr>
          <w:rFonts w:hint="eastAsia"/>
          <w:lang w:val="en-US" w:eastAsia="zh-CN"/>
        </w:rPr>
        <w:t>13:46-47 261</w:t>
      </w:r>
    </w:p>
    <w:p w14:paraId="05D7956A">
      <w:pPr>
        <w:bidi w:val="0"/>
        <w:rPr>
          <w:rFonts w:hint="eastAsia"/>
          <w:lang w:val="en-US" w:eastAsia="zh-CN"/>
        </w:rPr>
      </w:pPr>
    </w:p>
    <w:p w14:paraId="76AEF13A">
      <w:pPr>
        <w:bidi w:val="0"/>
        <w:rPr>
          <w:rFonts w:hint="eastAsia"/>
          <w:lang w:val="en-US" w:eastAsia="zh-CN"/>
        </w:rPr>
      </w:pPr>
      <w:r>
        <w:rPr>
          <w:rFonts w:hint="eastAsia"/>
          <w:lang w:val="en-US" w:eastAsia="zh-CN"/>
        </w:rPr>
        <w:t>15:12-21 262</w:t>
      </w:r>
    </w:p>
    <w:p w14:paraId="5D5848C5">
      <w:pPr>
        <w:bidi w:val="0"/>
        <w:rPr>
          <w:rFonts w:hint="eastAsia"/>
          <w:lang w:val="en-US" w:eastAsia="zh-CN"/>
        </w:rPr>
      </w:pPr>
    </w:p>
    <w:p w14:paraId="7F3D29B5">
      <w:pPr>
        <w:bidi w:val="0"/>
        <w:rPr>
          <w:rFonts w:hint="eastAsia"/>
          <w:lang w:val="en-US" w:eastAsia="zh-CN"/>
        </w:rPr>
      </w:pPr>
      <w:r>
        <w:rPr>
          <w:rFonts w:hint="eastAsia"/>
          <w:lang w:val="en-US" w:eastAsia="zh-CN"/>
        </w:rPr>
        <w:t>15:12-21 262</w:t>
      </w:r>
    </w:p>
    <w:p w14:paraId="0655EF76">
      <w:pPr>
        <w:bidi w:val="0"/>
        <w:rPr>
          <w:rFonts w:hint="eastAsia"/>
          <w:lang w:val="en-US" w:eastAsia="zh-CN"/>
        </w:rPr>
      </w:pPr>
    </w:p>
    <w:p w14:paraId="67AABB51">
      <w:pPr>
        <w:bidi w:val="0"/>
        <w:rPr>
          <w:rFonts w:hint="eastAsia"/>
          <w:lang w:val="en-US" w:eastAsia="zh-CN"/>
        </w:rPr>
      </w:pPr>
      <w:r>
        <w:rPr>
          <w:rFonts w:hint="eastAsia"/>
          <w:lang w:val="en-US" w:eastAsia="zh-CN"/>
        </w:rPr>
        <w:t>17:31 518, 545</w:t>
      </w:r>
    </w:p>
    <w:p w14:paraId="0A6107F2">
      <w:pPr>
        <w:bidi w:val="0"/>
        <w:rPr>
          <w:rFonts w:hint="eastAsia"/>
          <w:lang w:val="en-US" w:eastAsia="zh-CN"/>
        </w:rPr>
      </w:pPr>
    </w:p>
    <w:p w14:paraId="10FFD8D3">
      <w:pPr>
        <w:bidi w:val="0"/>
        <w:rPr>
          <w:rFonts w:hint="eastAsia"/>
          <w:lang w:val="en-US" w:eastAsia="zh-CN"/>
        </w:rPr>
      </w:pPr>
      <w:r>
        <w:rPr>
          <w:rFonts w:hint="eastAsia"/>
          <w:lang w:val="en-US" w:eastAsia="zh-CN"/>
        </w:rPr>
        <w:t>17:31 518, 545</w:t>
      </w:r>
    </w:p>
    <w:p w14:paraId="34AAD54A">
      <w:pPr>
        <w:bidi w:val="0"/>
        <w:rPr>
          <w:rFonts w:hint="eastAsia"/>
          <w:lang w:val="en-US" w:eastAsia="zh-CN"/>
        </w:rPr>
      </w:pPr>
    </w:p>
    <w:p w14:paraId="111C0155">
      <w:pPr>
        <w:bidi w:val="0"/>
        <w:rPr>
          <w:rFonts w:hint="eastAsia"/>
          <w:lang w:val="en-US" w:eastAsia="zh-CN"/>
        </w:rPr>
      </w:pPr>
      <w:r>
        <w:rPr>
          <w:rFonts w:hint="eastAsia"/>
          <w:lang w:val="en-US" w:eastAsia="zh-CN"/>
        </w:rPr>
        <w:t>24:15 517</w:t>
      </w:r>
    </w:p>
    <w:p w14:paraId="1FAB8157">
      <w:pPr>
        <w:bidi w:val="0"/>
        <w:rPr>
          <w:rFonts w:hint="eastAsia"/>
          <w:lang w:val="en-US" w:eastAsia="zh-CN"/>
        </w:rPr>
      </w:pPr>
    </w:p>
    <w:p w14:paraId="1855C6AC">
      <w:pPr>
        <w:bidi w:val="0"/>
        <w:rPr>
          <w:rFonts w:hint="eastAsia"/>
          <w:lang w:val="en-US" w:eastAsia="zh-CN"/>
        </w:rPr>
      </w:pPr>
      <w:r>
        <w:rPr>
          <w:rFonts w:hint="eastAsia"/>
          <w:lang w:val="en-US" w:eastAsia="zh-CN"/>
        </w:rPr>
        <w:t>24:15 517</w:t>
      </w:r>
    </w:p>
    <w:p w14:paraId="08F0F7DD">
      <w:pPr>
        <w:bidi w:val="0"/>
        <w:rPr>
          <w:rFonts w:hint="eastAsia"/>
          <w:lang w:val="en-US" w:eastAsia="zh-CN"/>
        </w:rPr>
      </w:pPr>
    </w:p>
    <w:p w14:paraId="49AED29A">
      <w:pPr>
        <w:bidi w:val="0"/>
        <w:rPr>
          <w:rFonts w:hint="eastAsia"/>
          <w:lang w:val="en-US" w:eastAsia="zh-CN"/>
        </w:rPr>
      </w:pPr>
      <w:r>
        <w:rPr>
          <w:rFonts w:hint="eastAsia"/>
          <w:lang w:val="en-US" w:eastAsia="zh-CN"/>
        </w:rPr>
        <w:t>26:12-18 231, 472</w:t>
      </w:r>
    </w:p>
    <w:p w14:paraId="48C16325">
      <w:pPr>
        <w:bidi w:val="0"/>
        <w:rPr>
          <w:rFonts w:hint="eastAsia"/>
          <w:lang w:val="en-US" w:eastAsia="zh-CN"/>
        </w:rPr>
      </w:pPr>
    </w:p>
    <w:p w14:paraId="0EA2C905">
      <w:pPr>
        <w:bidi w:val="0"/>
        <w:rPr>
          <w:rFonts w:hint="eastAsia"/>
          <w:lang w:val="en-US" w:eastAsia="zh-CN"/>
        </w:rPr>
      </w:pPr>
      <w:r>
        <w:rPr>
          <w:rFonts w:hint="eastAsia"/>
          <w:lang w:val="en-US" w:eastAsia="zh-CN"/>
        </w:rPr>
        <w:t>26:12-18 231, 472</w:t>
      </w:r>
    </w:p>
    <w:p w14:paraId="1CA31800">
      <w:pPr>
        <w:bidi w:val="0"/>
        <w:rPr>
          <w:rFonts w:hint="eastAsia"/>
          <w:lang w:val="en-US" w:eastAsia="zh-CN"/>
        </w:rPr>
      </w:pPr>
    </w:p>
    <w:p w14:paraId="3DA2E2E3">
      <w:pPr>
        <w:bidi w:val="0"/>
        <w:rPr>
          <w:rFonts w:hint="eastAsia"/>
          <w:lang w:val="en-US" w:eastAsia="zh-CN"/>
        </w:rPr>
      </w:pPr>
      <w:r>
        <w:rPr>
          <w:rFonts w:hint="eastAsia"/>
          <w:lang w:val="en-US" w:eastAsia="zh-CN"/>
        </w:rPr>
        <w:t>Romans</w:t>
      </w:r>
    </w:p>
    <w:p w14:paraId="13DBC303">
      <w:pPr>
        <w:bidi w:val="0"/>
        <w:rPr>
          <w:rFonts w:hint="eastAsia"/>
          <w:lang w:val="en-US" w:eastAsia="zh-CN"/>
        </w:rPr>
      </w:pPr>
    </w:p>
    <w:p w14:paraId="0316E8BC">
      <w:pPr>
        <w:bidi w:val="0"/>
        <w:rPr>
          <w:rFonts w:hint="eastAsia"/>
          <w:lang w:val="en-US" w:eastAsia="zh-CN"/>
        </w:rPr>
      </w:pPr>
      <w:r>
        <w:rPr>
          <w:rFonts w:hint="eastAsia"/>
          <w:lang w:val="en-US" w:eastAsia="zh-CN"/>
        </w:rPr>
        <w:t>罗马书</w:t>
      </w:r>
    </w:p>
    <w:p w14:paraId="4230E5A3">
      <w:pPr>
        <w:bidi w:val="0"/>
        <w:rPr>
          <w:rFonts w:hint="eastAsia"/>
          <w:lang w:val="en-US" w:eastAsia="zh-CN"/>
        </w:rPr>
      </w:pPr>
    </w:p>
    <w:p w14:paraId="254AD0AE">
      <w:pPr>
        <w:bidi w:val="0"/>
        <w:rPr>
          <w:rFonts w:hint="eastAsia"/>
          <w:lang w:val="en-US" w:eastAsia="zh-CN"/>
        </w:rPr>
      </w:pPr>
      <w:r>
        <w:rPr>
          <w:rFonts w:hint="eastAsia"/>
          <w:lang w:val="en-US" w:eastAsia="zh-CN"/>
        </w:rPr>
        <w:t>2:1-16 545</w:t>
      </w:r>
    </w:p>
    <w:p w14:paraId="226EADC6">
      <w:pPr>
        <w:bidi w:val="0"/>
        <w:rPr>
          <w:rFonts w:hint="eastAsia"/>
          <w:lang w:val="en-US" w:eastAsia="zh-CN"/>
        </w:rPr>
      </w:pPr>
    </w:p>
    <w:p w14:paraId="5F9AE38D">
      <w:pPr>
        <w:bidi w:val="0"/>
        <w:rPr>
          <w:rFonts w:hint="eastAsia"/>
          <w:lang w:val="en-US" w:eastAsia="zh-CN"/>
        </w:rPr>
      </w:pPr>
      <w:r>
        <w:rPr>
          <w:rFonts w:hint="eastAsia"/>
          <w:lang w:val="en-US" w:eastAsia="zh-CN"/>
        </w:rPr>
        <w:t>2:1-16 545</w:t>
      </w:r>
    </w:p>
    <w:p w14:paraId="23945403">
      <w:pPr>
        <w:bidi w:val="0"/>
        <w:rPr>
          <w:rFonts w:hint="eastAsia"/>
          <w:lang w:val="en-US" w:eastAsia="zh-CN"/>
        </w:rPr>
      </w:pPr>
    </w:p>
    <w:p w14:paraId="541287AA">
      <w:pPr>
        <w:bidi w:val="0"/>
        <w:rPr>
          <w:rFonts w:hint="eastAsia"/>
          <w:lang w:val="en-US" w:eastAsia="zh-CN"/>
        </w:rPr>
      </w:pPr>
      <w:r>
        <w:rPr>
          <w:rFonts w:hint="eastAsia"/>
          <w:lang w:val="en-US" w:eastAsia="zh-CN"/>
        </w:rPr>
        <w:t>3:21 234</w:t>
      </w:r>
    </w:p>
    <w:p w14:paraId="4628A8C7">
      <w:pPr>
        <w:bidi w:val="0"/>
        <w:rPr>
          <w:rFonts w:hint="eastAsia"/>
          <w:lang w:val="en-US" w:eastAsia="zh-CN"/>
        </w:rPr>
      </w:pPr>
    </w:p>
    <w:p w14:paraId="297ED315">
      <w:pPr>
        <w:bidi w:val="0"/>
        <w:rPr>
          <w:rFonts w:hint="eastAsia"/>
          <w:lang w:val="en-US" w:eastAsia="zh-CN"/>
        </w:rPr>
      </w:pPr>
      <w:r>
        <w:rPr>
          <w:rFonts w:hint="eastAsia"/>
          <w:lang w:val="en-US" w:eastAsia="zh-CN"/>
        </w:rPr>
        <w:t>3:21 234</w:t>
      </w:r>
    </w:p>
    <w:p w14:paraId="41EE8243">
      <w:pPr>
        <w:bidi w:val="0"/>
        <w:rPr>
          <w:rFonts w:hint="eastAsia"/>
          <w:lang w:val="en-US" w:eastAsia="zh-CN"/>
        </w:rPr>
      </w:pPr>
    </w:p>
    <w:p w14:paraId="01521B1C">
      <w:pPr>
        <w:bidi w:val="0"/>
        <w:rPr>
          <w:rFonts w:hint="eastAsia"/>
          <w:lang w:val="en-US" w:eastAsia="zh-CN"/>
        </w:rPr>
      </w:pPr>
      <w:r>
        <w:rPr>
          <w:rFonts w:hint="eastAsia"/>
          <w:lang w:val="en-US" w:eastAsia="zh-CN"/>
        </w:rPr>
        <w:t>5:12ff 96-97</w:t>
      </w:r>
    </w:p>
    <w:p w14:paraId="588732B6">
      <w:pPr>
        <w:bidi w:val="0"/>
        <w:rPr>
          <w:rFonts w:hint="eastAsia"/>
          <w:lang w:val="en-US" w:eastAsia="zh-CN"/>
        </w:rPr>
      </w:pPr>
    </w:p>
    <w:p w14:paraId="5A9CEA33">
      <w:pPr>
        <w:bidi w:val="0"/>
        <w:rPr>
          <w:rFonts w:hint="eastAsia"/>
          <w:lang w:val="en-US" w:eastAsia="zh-CN"/>
        </w:rPr>
      </w:pPr>
      <w:r>
        <w:rPr>
          <w:rFonts w:hint="eastAsia"/>
          <w:lang w:val="en-US" w:eastAsia="zh-CN"/>
        </w:rPr>
        <w:t>5:12ff 96-97</w:t>
      </w:r>
    </w:p>
    <w:p w14:paraId="136767A5">
      <w:pPr>
        <w:bidi w:val="0"/>
        <w:rPr>
          <w:rFonts w:hint="eastAsia"/>
          <w:lang w:val="en-US" w:eastAsia="zh-CN"/>
        </w:rPr>
      </w:pPr>
    </w:p>
    <w:p w14:paraId="6AFB7B8E">
      <w:pPr>
        <w:bidi w:val="0"/>
        <w:rPr>
          <w:rFonts w:hint="eastAsia"/>
          <w:lang w:val="en-US" w:eastAsia="zh-CN"/>
        </w:rPr>
      </w:pPr>
      <w:r>
        <w:rPr>
          <w:rFonts w:hint="eastAsia"/>
          <w:lang w:val="en-US" w:eastAsia="zh-CN"/>
        </w:rPr>
        <w:t>5:17 483</w:t>
      </w:r>
    </w:p>
    <w:p w14:paraId="4121A4AB">
      <w:pPr>
        <w:bidi w:val="0"/>
        <w:rPr>
          <w:rFonts w:hint="eastAsia"/>
          <w:lang w:val="en-US" w:eastAsia="zh-CN"/>
        </w:rPr>
      </w:pPr>
    </w:p>
    <w:p w14:paraId="635B10A9">
      <w:pPr>
        <w:bidi w:val="0"/>
        <w:rPr>
          <w:rFonts w:hint="eastAsia"/>
          <w:lang w:val="en-US" w:eastAsia="zh-CN"/>
        </w:rPr>
      </w:pPr>
      <w:r>
        <w:rPr>
          <w:rFonts w:hint="eastAsia"/>
          <w:lang w:val="en-US" w:eastAsia="zh-CN"/>
        </w:rPr>
        <w:t>5:17 483</w:t>
      </w:r>
    </w:p>
    <w:p w14:paraId="678EE6E5">
      <w:pPr>
        <w:bidi w:val="0"/>
        <w:rPr>
          <w:rFonts w:hint="eastAsia"/>
          <w:lang w:val="en-US" w:eastAsia="zh-CN"/>
        </w:rPr>
      </w:pPr>
    </w:p>
    <w:p w14:paraId="7D446ECA">
      <w:pPr>
        <w:bidi w:val="0"/>
        <w:rPr>
          <w:rFonts w:hint="eastAsia"/>
          <w:lang w:val="en-US" w:eastAsia="zh-CN"/>
        </w:rPr>
      </w:pPr>
      <w:r>
        <w:rPr>
          <w:rFonts w:hint="eastAsia"/>
          <w:lang w:val="en-US" w:eastAsia="zh-CN"/>
        </w:rPr>
        <w:t>8:18-26 289, 507, 524, 546</w:t>
      </w:r>
    </w:p>
    <w:p w14:paraId="55586D6C">
      <w:pPr>
        <w:bidi w:val="0"/>
        <w:rPr>
          <w:rFonts w:hint="eastAsia"/>
          <w:lang w:val="en-US" w:eastAsia="zh-CN"/>
        </w:rPr>
      </w:pPr>
    </w:p>
    <w:p w14:paraId="209EFC98">
      <w:pPr>
        <w:bidi w:val="0"/>
        <w:rPr>
          <w:rFonts w:hint="eastAsia"/>
          <w:lang w:val="en-US" w:eastAsia="zh-CN"/>
        </w:rPr>
      </w:pPr>
      <w:r>
        <w:rPr>
          <w:rFonts w:hint="eastAsia"/>
          <w:lang w:val="en-US" w:eastAsia="zh-CN"/>
        </w:rPr>
        <w:t>8:18-26 289, 507, 524, 546</w:t>
      </w:r>
    </w:p>
    <w:p w14:paraId="2982F235">
      <w:pPr>
        <w:bidi w:val="0"/>
        <w:rPr>
          <w:rFonts w:hint="eastAsia"/>
          <w:lang w:val="en-US" w:eastAsia="zh-CN"/>
        </w:rPr>
      </w:pPr>
    </w:p>
    <w:p w14:paraId="5FA6302D">
      <w:pPr>
        <w:bidi w:val="0"/>
        <w:rPr>
          <w:rFonts w:hint="eastAsia"/>
          <w:lang w:val="en-US" w:eastAsia="zh-CN"/>
        </w:rPr>
      </w:pPr>
      <w:r>
        <w:rPr>
          <w:rFonts w:hint="eastAsia"/>
          <w:lang w:val="en-US" w:eastAsia="zh-CN"/>
        </w:rPr>
        <w:t>8:31-39 123</w:t>
      </w:r>
    </w:p>
    <w:p w14:paraId="7780C5A5">
      <w:pPr>
        <w:bidi w:val="0"/>
        <w:rPr>
          <w:rFonts w:hint="eastAsia"/>
          <w:lang w:val="en-US" w:eastAsia="zh-CN"/>
        </w:rPr>
      </w:pPr>
    </w:p>
    <w:p w14:paraId="753BC393">
      <w:pPr>
        <w:bidi w:val="0"/>
        <w:rPr>
          <w:rFonts w:hint="eastAsia"/>
          <w:lang w:val="en-US" w:eastAsia="zh-CN"/>
        </w:rPr>
      </w:pPr>
      <w:r>
        <w:rPr>
          <w:rFonts w:hint="eastAsia"/>
          <w:lang w:val="en-US" w:eastAsia="zh-CN"/>
        </w:rPr>
        <w:t>8:31-39 123</w:t>
      </w:r>
    </w:p>
    <w:p w14:paraId="78866A20">
      <w:pPr>
        <w:bidi w:val="0"/>
        <w:rPr>
          <w:rFonts w:hint="eastAsia"/>
          <w:lang w:val="en-US" w:eastAsia="zh-CN"/>
        </w:rPr>
      </w:pPr>
    </w:p>
    <w:p w14:paraId="75E64D73">
      <w:pPr>
        <w:bidi w:val="0"/>
        <w:rPr>
          <w:rFonts w:hint="eastAsia"/>
          <w:lang w:val="en-US" w:eastAsia="zh-CN"/>
        </w:rPr>
      </w:pPr>
      <w:r>
        <w:rPr>
          <w:rFonts w:hint="eastAsia"/>
          <w:lang w:val="en-US" w:eastAsia="zh-CN"/>
        </w:rPr>
        <w:t>9:19-26 264, 508</w:t>
      </w:r>
    </w:p>
    <w:p w14:paraId="70DB6A54">
      <w:pPr>
        <w:bidi w:val="0"/>
        <w:rPr>
          <w:rFonts w:hint="eastAsia"/>
          <w:lang w:val="en-US" w:eastAsia="zh-CN"/>
        </w:rPr>
      </w:pPr>
    </w:p>
    <w:p w14:paraId="73B6EE2F">
      <w:pPr>
        <w:bidi w:val="0"/>
        <w:rPr>
          <w:rFonts w:hint="eastAsia"/>
          <w:lang w:val="en-US" w:eastAsia="zh-CN"/>
        </w:rPr>
      </w:pPr>
      <w:r>
        <w:rPr>
          <w:rFonts w:hint="eastAsia"/>
          <w:lang w:val="en-US" w:eastAsia="zh-CN"/>
        </w:rPr>
        <w:t>9:19-26 264, 508</w:t>
      </w:r>
    </w:p>
    <w:p w14:paraId="7CB3F67E">
      <w:pPr>
        <w:bidi w:val="0"/>
        <w:rPr>
          <w:rFonts w:hint="eastAsia"/>
          <w:lang w:val="en-US" w:eastAsia="zh-CN"/>
        </w:rPr>
      </w:pPr>
    </w:p>
    <w:p w14:paraId="199DB5BA">
      <w:pPr>
        <w:bidi w:val="0"/>
        <w:rPr>
          <w:rFonts w:hint="eastAsia"/>
          <w:lang w:val="en-US" w:eastAsia="zh-CN"/>
        </w:rPr>
      </w:pPr>
      <w:r>
        <w:rPr>
          <w:rFonts w:hint="eastAsia"/>
          <w:lang w:val="en-US" w:eastAsia="zh-CN"/>
        </w:rPr>
        <w:t>9:25-26 686</w:t>
      </w:r>
    </w:p>
    <w:p w14:paraId="187831EB">
      <w:pPr>
        <w:bidi w:val="0"/>
        <w:rPr>
          <w:rFonts w:hint="eastAsia"/>
          <w:lang w:val="en-US" w:eastAsia="zh-CN"/>
        </w:rPr>
      </w:pPr>
    </w:p>
    <w:p w14:paraId="018CA358">
      <w:pPr>
        <w:bidi w:val="0"/>
        <w:rPr>
          <w:rFonts w:hint="eastAsia"/>
          <w:lang w:val="en-US" w:eastAsia="zh-CN"/>
        </w:rPr>
      </w:pPr>
      <w:r>
        <w:rPr>
          <w:rFonts w:hint="eastAsia"/>
          <w:lang w:val="en-US" w:eastAsia="zh-CN"/>
        </w:rPr>
        <w:t>9:25-26 686</w:t>
      </w:r>
    </w:p>
    <w:p w14:paraId="28C9B7BC">
      <w:pPr>
        <w:bidi w:val="0"/>
        <w:rPr>
          <w:rFonts w:hint="eastAsia"/>
          <w:lang w:val="en-US" w:eastAsia="zh-CN"/>
        </w:rPr>
      </w:pPr>
    </w:p>
    <w:p w14:paraId="72CB28DF">
      <w:pPr>
        <w:bidi w:val="0"/>
        <w:rPr>
          <w:rFonts w:hint="eastAsia"/>
          <w:lang w:val="en-US" w:eastAsia="zh-CN"/>
        </w:rPr>
      </w:pPr>
      <w:r>
        <w:rPr>
          <w:rFonts w:hint="eastAsia"/>
          <w:lang w:val="en-US" w:eastAsia="zh-CN"/>
        </w:rPr>
        <w:t>10:12-13 266</w:t>
      </w:r>
    </w:p>
    <w:p w14:paraId="268B36C1">
      <w:pPr>
        <w:bidi w:val="0"/>
        <w:rPr>
          <w:rFonts w:hint="eastAsia"/>
          <w:lang w:val="en-US" w:eastAsia="zh-CN"/>
        </w:rPr>
      </w:pPr>
    </w:p>
    <w:p w14:paraId="4A990485">
      <w:pPr>
        <w:bidi w:val="0"/>
        <w:rPr>
          <w:rFonts w:hint="eastAsia"/>
          <w:lang w:val="en-US" w:eastAsia="zh-CN"/>
        </w:rPr>
      </w:pPr>
      <w:r>
        <w:rPr>
          <w:rFonts w:hint="eastAsia"/>
          <w:lang w:val="en-US" w:eastAsia="zh-CN"/>
        </w:rPr>
        <w:t>10:12-13 266</w:t>
      </w:r>
    </w:p>
    <w:p w14:paraId="0826B308">
      <w:pPr>
        <w:bidi w:val="0"/>
        <w:rPr>
          <w:rFonts w:hint="eastAsia"/>
          <w:lang w:val="en-US" w:eastAsia="zh-CN"/>
        </w:rPr>
      </w:pPr>
    </w:p>
    <w:p w14:paraId="31CF7938">
      <w:pPr>
        <w:bidi w:val="0"/>
        <w:rPr>
          <w:rFonts w:hint="eastAsia"/>
          <w:lang w:val="en-US" w:eastAsia="zh-CN"/>
        </w:rPr>
      </w:pPr>
      <w:r>
        <w:rPr>
          <w:rFonts w:hint="eastAsia"/>
          <w:lang w:val="en-US" w:eastAsia="zh-CN"/>
        </w:rPr>
        <w:t>10:14f 389</w:t>
      </w:r>
    </w:p>
    <w:p w14:paraId="7307556E">
      <w:pPr>
        <w:bidi w:val="0"/>
        <w:rPr>
          <w:rFonts w:hint="eastAsia"/>
          <w:lang w:val="en-US" w:eastAsia="zh-CN"/>
        </w:rPr>
      </w:pPr>
    </w:p>
    <w:p w14:paraId="61BB9DA0">
      <w:pPr>
        <w:bidi w:val="0"/>
        <w:rPr>
          <w:rFonts w:hint="eastAsia"/>
          <w:lang w:val="en-US" w:eastAsia="zh-CN"/>
        </w:rPr>
      </w:pPr>
      <w:r>
        <w:rPr>
          <w:rFonts w:hint="eastAsia"/>
          <w:lang w:val="en-US" w:eastAsia="zh-CN"/>
        </w:rPr>
        <w:t>10:14f 389</w:t>
      </w:r>
    </w:p>
    <w:p w14:paraId="0319485B">
      <w:pPr>
        <w:bidi w:val="0"/>
        <w:rPr>
          <w:rFonts w:hint="eastAsia"/>
          <w:lang w:val="en-US" w:eastAsia="zh-CN"/>
        </w:rPr>
      </w:pPr>
    </w:p>
    <w:p w14:paraId="15D4F9B6">
      <w:pPr>
        <w:bidi w:val="0"/>
        <w:rPr>
          <w:rFonts w:hint="eastAsia"/>
          <w:lang w:val="en-US" w:eastAsia="zh-CN"/>
        </w:rPr>
      </w:pPr>
      <w:r>
        <w:rPr>
          <w:rFonts w:hint="eastAsia"/>
          <w:lang w:val="en-US" w:eastAsia="zh-CN"/>
        </w:rPr>
        <w:t>11:11-36 547</w:t>
      </w:r>
    </w:p>
    <w:p w14:paraId="6C863353">
      <w:pPr>
        <w:bidi w:val="0"/>
        <w:rPr>
          <w:rFonts w:hint="eastAsia"/>
          <w:lang w:val="en-US" w:eastAsia="zh-CN"/>
        </w:rPr>
      </w:pPr>
    </w:p>
    <w:p w14:paraId="70AF4BD6">
      <w:pPr>
        <w:bidi w:val="0"/>
        <w:rPr>
          <w:rFonts w:hint="eastAsia"/>
          <w:lang w:val="en-US" w:eastAsia="zh-CN"/>
        </w:rPr>
      </w:pPr>
      <w:r>
        <w:rPr>
          <w:rFonts w:hint="eastAsia"/>
          <w:lang w:val="en-US" w:eastAsia="zh-CN"/>
        </w:rPr>
        <w:t>11:11-36 547</w:t>
      </w:r>
    </w:p>
    <w:p w14:paraId="3C9ED65D">
      <w:pPr>
        <w:bidi w:val="0"/>
        <w:rPr>
          <w:rFonts w:hint="eastAsia"/>
          <w:lang w:val="en-US" w:eastAsia="zh-CN"/>
        </w:rPr>
      </w:pPr>
    </w:p>
    <w:p w14:paraId="202A78AA">
      <w:pPr>
        <w:bidi w:val="0"/>
        <w:rPr>
          <w:rFonts w:hint="eastAsia"/>
          <w:lang w:val="en-US" w:eastAsia="zh-CN"/>
        </w:rPr>
      </w:pPr>
      <w:r>
        <w:rPr>
          <w:rFonts w:hint="eastAsia"/>
          <w:lang w:val="en-US" w:eastAsia="zh-CN"/>
        </w:rPr>
        <w:t>11:25-27 265</w:t>
      </w:r>
    </w:p>
    <w:p w14:paraId="41507E95">
      <w:pPr>
        <w:bidi w:val="0"/>
        <w:rPr>
          <w:rFonts w:hint="eastAsia"/>
          <w:lang w:val="en-US" w:eastAsia="zh-CN"/>
        </w:rPr>
      </w:pPr>
    </w:p>
    <w:p w14:paraId="6A14E288">
      <w:pPr>
        <w:bidi w:val="0"/>
        <w:rPr>
          <w:rFonts w:hint="eastAsia"/>
          <w:lang w:val="en-US" w:eastAsia="zh-CN"/>
        </w:rPr>
      </w:pPr>
      <w:r>
        <w:rPr>
          <w:rFonts w:hint="eastAsia"/>
          <w:lang w:val="en-US" w:eastAsia="zh-CN"/>
        </w:rPr>
        <w:t>11:25-27 265</w:t>
      </w:r>
    </w:p>
    <w:p w14:paraId="2E64DE2D">
      <w:pPr>
        <w:bidi w:val="0"/>
        <w:rPr>
          <w:rFonts w:hint="eastAsia"/>
          <w:lang w:val="en-US" w:eastAsia="zh-CN"/>
        </w:rPr>
      </w:pPr>
    </w:p>
    <w:p w14:paraId="6B2E4380">
      <w:pPr>
        <w:bidi w:val="0"/>
        <w:rPr>
          <w:rFonts w:hint="eastAsia"/>
          <w:lang w:val="en-US" w:eastAsia="zh-CN"/>
        </w:rPr>
      </w:pPr>
      <w:r>
        <w:rPr>
          <w:rFonts w:hint="eastAsia"/>
          <w:lang w:val="en-US" w:eastAsia="zh-CN"/>
        </w:rPr>
        <w:t>16:20 491</w:t>
      </w:r>
    </w:p>
    <w:p w14:paraId="6A4A77A1">
      <w:pPr>
        <w:bidi w:val="0"/>
        <w:rPr>
          <w:rFonts w:hint="eastAsia"/>
          <w:lang w:val="en-US" w:eastAsia="zh-CN"/>
        </w:rPr>
      </w:pPr>
    </w:p>
    <w:p w14:paraId="08E79BF9">
      <w:pPr>
        <w:bidi w:val="0"/>
        <w:rPr>
          <w:rFonts w:hint="eastAsia"/>
          <w:lang w:val="en-US" w:eastAsia="zh-CN"/>
        </w:rPr>
      </w:pPr>
      <w:r>
        <w:rPr>
          <w:rFonts w:hint="eastAsia"/>
          <w:lang w:val="en-US" w:eastAsia="zh-CN"/>
        </w:rPr>
        <w:t>16:20 491</w:t>
      </w:r>
    </w:p>
    <w:p w14:paraId="21C3A66C">
      <w:pPr>
        <w:bidi w:val="0"/>
        <w:rPr>
          <w:rFonts w:hint="eastAsia"/>
          <w:lang w:val="en-US" w:eastAsia="zh-CN"/>
        </w:rPr>
      </w:pPr>
    </w:p>
    <w:p w14:paraId="35B2F74A">
      <w:pPr>
        <w:bidi w:val="0"/>
        <w:rPr>
          <w:rFonts w:hint="eastAsia"/>
          <w:lang w:val="en-US" w:eastAsia="zh-CN"/>
        </w:rPr>
      </w:pPr>
      <w:r>
        <w:rPr>
          <w:rFonts w:hint="eastAsia"/>
          <w:lang w:val="en-US" w:eastAsia="zh-CN"/>
        </w:rPr>
        <w:t>16:25-27 50, 92</w:t>
      </w:r>
    </w:p>
    <w:p w14:paraId="7201305F">
      <w:pPr>
        <w:bidi w:val="0"/>
        <w:rPr>
          <w:rFonts w:hint="eastAsia"/>
          <w:lang w:val="en-US" w:eastAsia="zh-CN"/>
        </w:rPr>
      </w:pPr>
    </w:p>
    <w:p w14:paraId="57767D2B">
      <w:pPr>
        <w:bidi w:val="0"/>
        <w:rPr>
          <w:rFonts w:hint="eastAsia"/>
          <w:lang w:val="en-US" w:eastAsia="zh-CN"/>
        </w:rPr>
      </w:pPr>
      <w:r>
        <w:rPr>
          <w:rFonts w:hint="eastAsia"/>
          <w:lang w:val="en-US" w:eastAsia="zh-CN"/>
        </w:rPr>
        <w:t>16:25-27 50, 92</w:t>
      </w:r>
    </w:p>
    <w:p w14:paraId="2B18DC0E">
      <w:pPr>
        <w:bidi w:val="0"/>
        <w:rPr>
          <w:rFonts w:hint="eastAsia"/>
          <w:lang w:val="en-US" w:eastAsia="zh-CN"/>
        </w:rPr>
      </w:pPr>
    </w:p>
    <w:p w14:paraId="425B75FF">
      <w:pPr>
        <w:bidi w:val="0"/>
        <w:rPr>
          <w:rFonts w:hint="eastAsia"/>
          <w:lang w:val="en-US" w:eastAsia="zh-CN"/>
        </w:rPr>
      </w:pPr>
      <w:r>
        <w:rPr>
          <w:rFonts w:hint="eastAsia"/>
          <w:lang w:val="en-US" w:eastAsia="zh-CN"/>
        </w:rPr>
        <w:t>1 Corinthians</w:t>
      </w:r>
    </w:p>
    <w:p w14:paraId="1FA56345">
      <w:pPr>
        <w:bidi w:val="0"/>
        <w:rPr>
          <w:rFonts w:hint="eastAsia"/>
          <w:lang w:val="en-US" w:eastAsia="zh-CN"/>
        </w:rPr>
      </w:pPr>
    </w:p>
    <w:p w14:paraId="54E1461B">
      <w:pPr>
        <w:bidi w:val="0"/>
        <w:rPr>
          <w:rFonts w:hint="eastAsia"/>
          <w:lang w:val="en-US" w:eastAsia="zh-CN"/>
        </w:rPr>
      </w:pPr>
      <w:r>
        <w:rPr>
          <w:rFonts w:hint="eastAsia"/>
          <w:lang w:val="en-US" w:eastAsia="zh-CN"/>
        </w:rPr>
        <w:t>哥林多前书</w:t>
      </w:r>
    </w:p>
    <w:p w14:paraId="3DE7D557">
      <w:pPr>
        <w:bidi w:val="0"/>
        <w:rPr>
          <w:rFonts w:hint="eastAsia"/>
          <w:lang w:val="en-US" w:eastAsia="zh-CN"/>
        </w:rPr>
      </w:pPr>
    </w:p>
    <w:p w14:paraId="6E19E24D">
      <w:pPr>
        <w:bidi w:val="0"/>
        <w:rPr>
          <w:rFonts w:hint="eastAsia"/>
          <w:lang w:val="en-US" w:eastAsia="zh-CN"/>
        </w:rPr>
      </w:pPr>
      <w:r>
        <w:rPr>
          <w:rFonts w:hint="eastAsia"/>
          <w:lang w:val="en-US" w:eastAsia="zh-CN"/>
        </w:rPr>
        <w:t>2:6-13 91, 106, 169</w:t>
      </w:r>
    </w:p>
    <w:p w14:paraId="18335CFA">
      <w:pPr>
        <w:bidi w:val="0"/>
        <w:rPr>
          <w:rFonts w:hint="eastAsia"/>
          <w:lang w:val="en-US" w:eastAsia="zh-CN"/>
        </w:rPr>
      </w:pPr>
    </w:p>
    <w:p w14:paraId="21D18163">
      <w:pPr>
        <w:bidi w:val="0"/>
        <w:rPr>
          <w:rFonts w:hint="eastAsia"/>
          <w:lang w:val="en-US" w:eastAsia="zh-CN"/>
        </w:rPr>
      </w:pPr>
      <w:r>
        <w:rPr>
          <w:rFonts w:hint="eastAsia"/>
          <w:lang w:val="en-US" w:eastAsia="zh-CN"/>
        </w:rPr>
        <w:t>2:6-13 91, 106, 169</w:t>
      </w:r>
    </w:p>
    <w:p w14:paraId="683309A2">
      <w:pPr>
        <w:bidi w:val="0"/>
        <w:rPr>
          <w:rFonts w:hint="eastAsia"/>
          <w:lang w:val="en-US" w:eastAsia="zh-CN"/>
        </w:rPr>
      </w:pPr>
    </w:p>
    <w:p w14:paraId="3ADDCB20">
      <w:pPr>
        <w:bidi w:val="0"/>
        <w:rPr>
          <w:rFonts w:hint="eastAsia"/>
          <w:lang w:val="en-US" w:eastAsia="zh-CN"/>
        </w:rPr>
      </w:pPr>
      <w:r>
        <w:rPr>
          <w:rFonts w:hint="eastAsia"/>
          <w:lang w:val="en-US" w:eastAsia="zh-CN"/>
        </w:rPr>
        <w:t>3:21-23 122</w:t>
      </w:r>
    </w:p>
    <w:p w14:paraId="0B38BA2C">
      <w:pPr>
        <w:bidi w:val="0"/>
        <w:rPr>
          <w:rFonts w:hint="eastAsia"/>
          <w:lang w:val="en-US" w:eastAsia="zh-CN"/>
        </w:rPr>
      </w:pPr>
    </w:p>
    <w:p w14:paraId="7CFA8FA2">
      <w:pPr>
        <w:bidi w:val="0"/>
        <w:rPr>
          <w:rFonts w:hint="eastAsia"/>
          <w:lang w:val="en-US" w:eastAsia="zh-CN"/>
        </w:rPr>
      </w:pPr>
      <w:r>
        <w:rPr>
          <w:rFonts w:hint="eastAsia"/>
          <w:lang w:val="en-US" w:eastAsia="zh-CN"/>
        </w:rPr>
        <w:t>3:21-23 122</w:t>
      </w:r>
    </w:p>
    <w:p w14:paraId="62364280">
      <w:pPr>
        <w:bidi w:val="0"/>
        <w:rPr>
          <w:rFonts w:hint="eastAsia"/>
          <w:lang w:val="en-US" w:eastAsia="zh-CN"/>
        </w:rPr>
      </w:pPr>
    </w:p>
    <w:p w14:paraId="0D8AF1B0">
      <w:pPr>
        <w:bidi w:val="0"/>
        <w:rPr>
          <w:rFonts w:hint="eastAsia"/>
          <w:lang w:val="en-US" w:eastAsia="zh-CN"/>
        </w:rPr>
      </w:pPr>
      <w:r>
        <w:rPr>
          <w:rFonts w:hint="eastAsia"/>
          <w:lang w:val="en-US" w:eastAsia="zh-CN"/>
        </w:rPr>
        <w:t>15:1f 523-525</w:t>
      </w:r>
    </w:p>
    <w:p w14:paraId="3563DD8D">
      <w:pPr>
        <w:bidi w:val="0"/>
        <w:rPr>
          <w:rFonts w:hint="eastAsia"/>
          <w:lang w:val="en-US" w:eastAsia="zh-CN"/>
        </w:rPr>
      </w:pPr>
    </w:p>
    <w:p w14:paraId="64965FE2">
      <w:pPr>
        <w:bidi w:val="0"/>
        <w:rPr>
          <w:rFonts w:hint="eastAsia"/>
          <w:lang w:val="en-US" w:eastAsia="zh-CN"/>
        </w:rPr>
      </w:pPr>
      <w:r>
        <w:rPr>
          <w:rFonts w:hint="eastAsia"/>
          <w:lang w:val="en-US" w:eastAsia="zh-CN"/>
        </w:rPr>
        <w:t>15:1f 523-525</w:t>
      </w:r>
    </w:p>
    <w:p w14:paraId="32A27DA2">
      <w:pPr>
        <w:bidi w:val="0"/>
        <w:rPr>
          <w:rFonts w:hint="eastAsia"/>
          <w:lang w:val="en-US" w:eastAsia="zh-CN"/>
        </w:rPr>
      </w:pPr>
    </w:p>
    <w:p w14:paraId="2D77327E">
      <w:pPr>
        <w:bidi w:val="0"/>
        <w:rPr>
          <w:rFonts w:hint="eastAsia"/>
          <w:lang w:val="en-US" w:eastAsia="zh-CN"/>
        </w:rPr>
      </w:pPr>
      <w:r>
        <w:rPr>
          <w:rFonts w:hint="eastAsia"/>
          <w:lang w:val="en-US" w:eastAsia="zh-CN"/>
        </w:rPr>
        <w:t>15:20-28 64, 147-150, 175, 361, 472, 519, 603, 690</w:t>
      </w:r>
    </w:p>
    <w:p w14:paraId="66D8D2D0">
      <w:pPr>
        <w:bidi w:val="0"/>
        <w:rPr>
          <w:rFonts w:hint="eastAsia"/>
          <w:lang w:val="en-US" w:eastAsia="zh-CN"/>
        </w:rPr>
      </w:pPr>
    </w:p>
    <w:p w14:paraId="6F35AA42">
      <w:pPr>
        <w:bidi w:val="0"/>
        <w:rPr>
          <w:rFonts w:hint="eastAsia"/>
          <w:lang w:val="en-US" w:eastAsia="zh-CN"/>
        </w:rPr>
      </w:pPr>
      <w:r>
        <w:rPr>
          <w:rFonts w:hint="eastAsia"/>
          <w:lang w:val="en-US" w:eastAsia="zh-CN"/>
        </w:rPr>
        <w:t>15:20-28 64, 147-150, 175, 361, 472, 519, 603, 690</w:t>
      </w:r>
    </w:p>
    <w:p w14:paraId="2667EBDA">
      <w:pPr>
        <w:bidi w:val="0"/>
        <w:rPr>
          <w:rFonts w:hint="eastAsia"/>
          <w:lang w:val="en-US" w:eastAsia="zh-CN"/>
        </w:rPr>
      </w:pPr>
    </w:p>
    <w:p w14:paraId="3FCE9E59">
      <w:pPr>
        <w:bidi w:val="0"/>
        <w:rPr>
          <w:rFonts w:hint="eastAsia"/>
          <w:lang w:val="en-US" w:eastAsia="zh-CN"/>
        </w:rPr>
      </w:pPr>
      <w:r>
        <w:rPr>
          <w:rFonts w:hint="eastAsia"/>
          <w:lang w:val="en-US" w:eastAsia="zh-CN"/>
        </w:rPr>
        <w:t>15:23-24 685</w:t>
      </w:r>
    </w:p>
    <w:p w14:paraId="6E019BC3">
      <w:pPr>
        <w:bidi w:val="0"/>
        <w:rPr>
          <w:rFonts w:hint="eastAsia"/>
          <w:lang w:val="en-US" w:eastAsia="zh-CN"/>
        </w:rPr>
      </w:pPr>
    </w:p>
    <w:p w14:paraId="0475662E">
      <w:pPr>
        <w:bidi w:val="0"/>
        <w:rPr>
          <w:rFonts w:hint="eastAsia"/>
          <w:lang w:val="en-US" w:eastAsia="zh-CN"/>
        </w:rPr>
      </w:pPr>
      <w:r>
        <w:rPr>
          <w:rFonts w:hint="eastAsia"/>
          <w:lang w:val="en-US" w:eastAsia="zh-CN"/>
        </w:rPr>
        <w:t>15:23-24 685</w:t>
      </w:r>
    </w:p>
    <w:p w14:paraId="6FECC571">
      <w:pPr>
        <w:bidi w:val="0"/>
        <w:rPr>
          <w:rFonts w:hint="eastAsia"/>
          <w:lang w:val="en-US" w:eastAsia="zh-CN"/>
        </w:rPr>
      </w:pPr>
    </w:p>
    <w:p w14:paraId="2D686828">
      <w:pPr>
        <w:bidi w:val="0"/>
        <w:rPr>
          <w:rFonts w:hint="eastAsia"/>
          <w:lang w:val="en-US" w:eastAsia="zh-CN"/>
        </w:rPr>
      </w:pPr>
      <w:r>
        <w:rPr>
          <w:rFonts w:hint="eastAsia"/>
          <w:lang w:val="en-US" w:eastAsia="zh-CN"/>
        </w:rPr>
        <w:t>15:45 73, 96</w:t>
      </w:r>
    </w:p>
    <w:p w14:paraId="58BDFEF9">
      <w:pPr>
        <w:bidi w:val="0"/>
        <w:rPr>
          <w:rFonts w:hint="eastAsia"/>
          <w:lang w:val="en-US" w:eastAsia="zh-CN"/>
        </w:rPr>
      </w:pPr>
    </w:p>
    <w:p w14:paraId="57816D6D">
      <w:pPr>
        <w:bidi w:val="0"/>
        <w:rPr>
          <w:rFonts w:hint="eastAsia"/>
          <w:lang w:val="en-US" w:eastAsia="zh-CN"/>
        </w:rPr>
      </w:pPr>
      <w:r>
        <w:rPr>
          <w:rFonts w:hint="eastAsia"/>
          <w:lang w:val="en-US" w:eastAsia="zh-CN"/>
        </w:rPr>
        <w:t>15:45 73, 96</w:t>
      </w:r>
    </w:p>
    <w:p w14:paraId="1AAC5270">
      <w:pPr>
        <w:bidi w:val="0"/>
        <w:rPr>
          <w:rFonts w:hint="eastAsia"/>
          <w:lang w:val="en-US" w:eastAsia="zh-CN"/>
        </w:rPr>
      </w:pPr>
    </w:p>
    <w:p w14:paraId="7831A5E2">
      <w:pPr>
        <w:bidi w:val="0"/>
        <w:rPr>
          <w:rFonts w:hint="eastAsia"/>
          <w:lang w:val="en-US" w:eastAsia="zh-CN"/>
        </w:rPr>
      </w:pPr>
      <w:r>
        <w:rPr>
          <w:rFonts w:hint="eastAsia"/>
          <w:lang w:val="en-US" w:eastAsia="zh-CN"/>
        </w:rPr>
        <w:t>15:46 232, 256</w:t>
      </w:r>
    </w:p>
    <w:p w14:paraId="264D7353">
      <w:pPr>
        <w:bidi w:val="0"/>
        <w:rPr>
          <w:rFonts w:hint="eastAsia"/>
          <w:lang w:val="en-US" w:eastAsia="zh-CN"/>
        </w:rPr>
      </w:pPr>
    </w:p>
    <w:p w14:paraId="77D538FD">
      <w:pPr>
        <w:bidi w:val="0"/>
        <w:rPr>
          <w:rFonts w:hint="eastAsia"/>
          <w:lang w:val="en-US" w:eastAsia="zh-CN"/>
        </w:rPr>
      </w:pPr>
      <w:r>
        <w:rPr>
          <w:rFonts w:hint="eastAsia"/>
          <w:lang w:val="en-US" w:eastAsia="zh-CN"/>
        </w:rPr>
        <w:t>15:46 232, 256</w:t>
      </w:r>
    </w:p>
    <w:p w14:paraId="4795106F">
      <w:pPr>
        <w:bidi w:val="0"/>
        <w:rPr>
          <w:rFonts w:hint="eastAsia"/>
          <w:lang w:val="en-US" w:eastAsia="zh-CN"/>
        </w:rPr>
      </w:pPr>
    </w:p>
    <w:p w14:paraId="27EEF0CA">
      <w:pPr>
        <w:bidi w:val="0"/>
        <w:rPr>
          <w:rFonts w:hint="eastAsia"/>
          <w:lang w:val="en-US" w:eastAsia="zh-CN"/>
        </w:rPr>
      </w:pPr>
      <w:r>
        <w:rPr>
          <w:rFonts w:hint="eastAsia"/>
          <w:lang w:val="en-US" w:eastAsia="zh-CN"/>
        </w:rPr>
        <w:t>15:50-58 70, 554, 684, 699</w:t>
      </w:r>
    </w:p>
    <w:p w14:paraId="6A8DB8B1">
      <w:pPr>
        <w:bidi w:val="0"/>
        <w:rPr>
          <w:rFonts w:hint="eastAsia"/>
          <w:lang w:val="en-US" w:eastAsia="zh-CN"/>
        </w:rPr>
      </w:pPr>
    </w:p>
    <w:p w14:paraId="15DDE726">
      <w:pPr>
        <w:bidi w:val="0"/>
        <w:rPr>
          <w:rFonts w:hint="eastAsia"/>
          <w:lang w:val="en-US" w:eastAsia="zh-CN"/>
        </w:rPr>
      </w:pPr>
      <w:r>
        <w:rPr>
          <w:rFonts w:hint="eastAsia"/>
          <w:lang w:val="en-US" w:eastAsia="zh-CN"/>
        </w:rPr>
        <w:t>15:50-58 70, 554, 684, 699</w:t>
      </w:r>
    </w:p>
    <w:p w14:paraId="42C71EA7">
      <w:pPr>
        <w:bidi w:val="0"/>
        <w:rPr>
          <w:rFonts w:hint="eastAsia"/>
          <w:lang w:val="en-US" w:eastAsia="zh-CN"/>
        </w:rPr>
      </w:pPr>
    </w:p>
    <w:p w14:paraId="1F2687E7">
      <w:pPr>
        <w:bidi w:val="0"/>
        <w:rPr>
          <w:rFonts w:hint="eastAsia"/>
          <w:lang w:val="en-US" w:eastAsia="zh-CN"/>
        </w:rPr>
      </w:pPr>
      <w:r>
        <w:rPr>
          <w:rFonts w:hint="eastAsia"/>
          <w:lang w:val="en-US" w:eastAsia="zh-CN"/>
        </w:rPr>
        <w:t>2 Corinthians</w:t>
      </w:r>
    </w:p>
    <w:p w14:paraId="0FE53B15">
      <w:pPr>
        <w:bidi w:val="0"/>
        <w:rPr>
          <w:rFonts w:hint="eastAsia"/>
          <w:lang w:val="en-US" w:eastAsia="zh-CN"/>
        </w:rPr>
      </w:pPr>
    </w:p>
    <w:p w14:paraId="156BAA4D">
      <w:pPr>
        <w:bidi w:val="0"/>
        <w:rPr>
          <w:rFonts w:hint="eastAsia"/>
          <w:lang w:val="en-US" w:eastAsia="zh-CN"/>
        </w:rPr>
      </w:pPr>
      <w:r>
        <w:rPr>
          <w:rFonts w:hint="eastAsia"/>
          <w:lang w:val="en-US" w:eastAsia="zh-CN"/>
        </w:rPr>
        <w:t>哥林多后书</w:t>
      </w:r>
    </w:p>
    <w:p w14:paraId="2D2DD0D3">
      <w:pPr>
        <w:bidi w:val="0"/>
        <w:rPr>
          <w:rFonts w:hint="eastAsia"/>
          <w:lang w:val="en-US" w:eastAsia="zh-CN"/>
        </w:rPr>
      </w:pPr>
    </w:p>
    <w:p w14:paraId="605A7E54">
      <w:pPr>
        <w:bidi w:val="0"/>
        <w:rPr>
          <w:rFonts w:hint="eastAsia"/>
          <w:lang w:val="en-US" w:eastAsia="zh-CN"/>
        </w:rPr>
      </w:pPr>
      <w:r>
        <w:rPr>
          <w:rFonts w:hint="eastAsia"/>
          <w:lang w:val="en-US" w:eastAsia="zh-CN"/>
        </w:rPr>
        <w:t>3:12-18 47-9, 101, 130, 242</w:t>
      </w:r>
    </w:p>
    <w:p w14:paraId="56D80222">
      <w:pPr>
        <w:bidi w:val="0"/>
        <w:rPr>
          <w:rFonts w:hint="eastAsia"/>
          <w:lang w:val="en-US" w:eastAsia="zh-CN"/>
        </w:rPr>
      </w:pPr>
    </w:p>
    <w:p w14:paraId="17F18EF0">
      <w:pPr>
        <w:bidi w:val="0"/>
        <w:rPr>
          <w:rFonts w:hint="eastAsia"/>
          <w:lang w:val="en-US" w:eastAsia="zh-CN"/>
        </w:rPr>
      </w:pPr>
      <w:r>
        <w:rPr>
          <w:rFonts w:hint="eastAsia"/>
          <w:lang w:val="en-US" w:eastAsia="zh-CN"/>
        </w:rPr>
        <w:t>3:12-18 47-9, 101, 130, 242</w:t>
      </w:r>
    </w:p>
    <w:p w14:paraId="4BE431BC">
      <w:pPr>
        <w:bidi w:val="0"/>
        <w:rPr>
          <w:rFonts w:hint="eastAsia"/>
          <w:lang w:val="en-US" w:eastAsia="zh-CN"/>
        </w:rPr>
      </w:pPr>
    </w:p>
    <w:p w14:paraId="0A22B038">
      <w:pPr>
        <w:bidi w:val="0"/>
        <w:rPr>
          <w:rFonts w:hint="eastAsia"/>
          <w:lang w:val="en-US" w:eastAsia="zh-CN"/>
        </w:rPr>
      </w:pPr>
      <w:r>
        <w:rPr>
          <w:rFonts w:hint="eastAsia"/>
          <w:lang w:val="en-US" w:eastAsia="zh-CN"/>
        </w:rPr>
        <w:t>4:4 165, 472</w:t>
      </w:r>
    </w:p>
    <w:p w14:paraId="456349E6">
      <w:pPr>
        <w:bidi w:val="0"/>
        <w:rPr>
          <w:rFonts w:hint="eastAsia"/>
          <w:lang w:val="en-US" w:eastAsia="zh-CN"/>
        </w:rPr>
      </w:pPr>
    </w:p>
    <w:p w14:paraId="2B0C7F3C">
      <w:pPr>
        <w:bidi w:val="0"/>
        <w:rPr>
          <w:rFonts w:hint="eastAsia"/>
          <w:lang w:val="en-US" w:eastAsia="zh-CN"/>
        </w:rPr>
      </w:pPr>
      <w:r>
        <w:rPr>
          <w:rFonts w:hint="eastAsia"/>
          <w:lang w:val="en-US" w:eastAsia="zh-CN"/>
        </w:rPr>
        <w:t>4:4 165, 472</w:t>
      </w:r>
    </w:p>
    <w:p w14:paraId="27192382">
      <w:pPr>
        <w:bidi w:val="0"/>
        <w:rPr>
          <w:rFonts w:hint="eastAsia"/>
          <w:lang w:val="en-US" w:eastAsia="zh-CN"/>
        </w:rPr>
      </w:pPr>
    </w:p>
    <w:p w14:paraId="107E69CA">
      <w:pPr>
        <w:bidi w:val="0"/>
        <w:rPr>
          <w:rFonts w:hint="eastAsia"/>
          <w:lang w:val="en-US" w:eastAsia="zh-CN"/>
        </w:rPr>
      </w:pPr>
      <w:r>
        <w:rPr>
          <w:rFonts w:hint="eastAsia"/>
          <w:lang w:val="en-US" w:eastAsia="zh-CN"/>
        </w:rPr>
        <w:t>5:1-10 557, 481, 537, 599</w:t>
      </w:r>
    </w:p>
    <w:p w14:paraId="1DE8C530">
      <w:pPr>
        <w:bidi w:val="0"/>
        <w:rPr>
          <w:rFonts w:hint="eastAsia"/>
          <w:lang w:val="en-US" w:eastAsia="zh-CN"/>
        </w:rPr>
      </w:pPr>
    </w:p>
    <w:p w14:paraId="6E3A070D">
      <w:pPr>
        <w:bidi w:val="0"/>
        <w:rPr>
          <w:rFonts w:hint="eastAsia"/>
          <w:lang w:val="en-US" w:eastAsia="zh-CN"/>
        </w:rPr>
      </w:pPr>
      <w:r>
        <w:rPr>
          <w:rFonts w:hint="eastAsia"/>
          <w:lang w:val="en-US" w:eastAsia="zh-CN"/>
        </w:rPr>
        <w:t>5:1-10 557, 481, 537, 599</w:t>
      </w:r>
    </w:p>
    <w:p w14:paraId="7130CDA4">
      <w:pPr>
        <w:bidi w:val="0"/>
        <w:rPr>
          <w:rFonts w:hint="eastAsia"/>
          <w:lang w:val="en-US" w:eastAsia="zh-CN"/>
        </w:rPr>
      </w:pPr>
    </w:p>
    <w:p w14:paraId="4579BDFB">
      <w:pPr>
        <w:bidi w:val="0"/>
        <w:rPr>
          <w:rFonts w:hint="eastAsia"/>
          <w:lang w:val="en-US" w:eastAsia="zh-CN"/>
        </w:rPr>
      </w:pPr>
      <w:r>
        <w:rPr>
          <w:rFonts w:hint="eastAsia"/>
          <w:lang w:val="en-US" w:eastAsia="zh-CN"/>
        </w:rPr>
        <w:t>5:21 97, 110, 160</w:t>
      </w:r>
    </w:p>
    <w:p w14:paraId="0DB9489A">
      <w:pPr>
        <w:bidi w:val="0"/>
        <w:rPr>
          <w:rFonts w:hint="eastAsia"/>
          <w:lang w:val="en-US" w:eastAsia="zh-CN"/>
        </w:rPr>
      </w:pPr>
    </w:p>
    <w:p w14:paraId="677AD44E">
      <w:pPr>
        <w:bidi w:val="0"/>
        <w:rPr>
          <w:rFonts w:hint="eastAsia"/>
          <w:lang w:val="en-US" w:eastAsia="zh-CN"/>
        </w:rPr>
      </w:pPr>
      <w:r>
        <w:rPr>
          <w:rFonts w:hint="eastAsia"/>
          <w:lang w:val="en-US" w:eastAsia="zh-CN"/>
        </w:rPr>
        <w:t>5:21 97, 110, 160</w:t>
      </w:r>
    </w:p>
    <w:p w14:paraId="4D19B504">
      <w:pPr>
        <w:bidi w:val="0"/>
        <w:rPr>
          <w:rFonts w:hint="eastAsia"/>
          <w:lang w:val="en-US" w:eastAsia="zh-CN"/>
        </w:rPr>
      </w:pPr>
    </w:p>
    <w:p w14:paraId="38F8FE2C">
      <w:pPr>
        <w:bidi w:val="0"/>
        <w:rPr>
          <w:rFonts w:hint="eastAsia"/>
          <w:lang w:val="en-US" w:eastAsia="zh-CN"/>
        </w:rPr>
      </w:pPr>
      <w:r>
        <w:rPr>
          <w:rFonts w:hint="eastAsia"/>
          <w:lang w:val="en-US" w:eastAsia="zh-CN"/>
        </w:rPr>
        <w:t>6:1-2 269</w:t>
      </w:r>
    </w:p>
    <w:p w14:paraId="09E18972">
      <w:pPr>
        <w:bidi w:val="0"/>
        <w:rPr>
          <w:rFonts w:hint="eastAsia"/>
          <w:lang w:val="en-US" w:eastAsia="zh-CN"/>
        </w:rPr>
      </w:pPr>
    </w:p>
    <w:p w14:paraId="6A4C2C61">
      <w:pPr>
        <w:bidi w:val="0"/>
        <w:rPr>
          <w:rFonts w:hint="eastAsia"/>
          <w:lang w:val="en-US" w:eastAsia="zh-CN"/>
        </w:rPr>
      </w:pPr>
      <w:r>
        <w:rPr>
          <w:rFonts w:hint="eastAsia"/>
          <w:lang w:val="en-US" w:eastAsia="zh-CN"/>
        </w:rPr>
        <w:t>6:1-2 269</w:t>
      </w:r>
    </w:p>
    <w:p w14:paraId="2AAC8BC1">
      <w:pPr>
        <w:bidi w:val="0"/>
        <w:rPr>
          <w:rFonts w:hint="eastAsia"/>
          <w:lang w:val="en-US" w:eastAsia="zh-CN"/>
        </w:rPr>
      </w:pPr>
    </w:p>
    <w:p w14:paraId="32F2905E">
      <w:pPr>
        <w:bidi w:val="0"/>
        <w:rPr>
          <w:rFonts w:hint="eastAsia"/>
          <w:lang w:val="en-US" w:eastAsia="zh-CN"/>
        </w:rPr>
      </w:pPr>
      <w:r>
        <w:rPr>
          <w:rFonts w:hint="eastAsia"/>
          <w:lang w:val="en-US" w:eastAsia="zh-CN"/>
        </w:rPr>
        <w:t>6:14-18 270</w:t>
      </w:r>
    </w:p>
    <w:p w14:paraId="0C846F86">
      <w:pPr>
        <w:bidi w:val="0"/>
        <w:rPr>
          <w:rFonts w:hint="eastAsia"/>
          <w:lang w:val="en-US" w:eastAsia="zh-CN"/>
        </w:rPr>
      </w:pPr>
    </w:p>
    <w:p w14:paraId="354B218E">
      <w:pPr>
        <w:bidi w:val="0"/>
        <w:rPr>
          <w:rFonts w:hint="eastAsia"/>
          <w:lang w:val="en-US" w:eastAsia="zh-CN"/>
        </w:rPr>
      </w:pPr>
      <w:r>
        <w:rPr>
          <w:rFonts w:hint="eastAsia"/>
          <w:lang w:val="en-US" w:eastAsia="zh-CN"/>
        </w:rPr>
        <w:t>6:14-18 270</w:t>
      </w:r>
    </w:p>
    <w:p w14:paraId="0679F194">
      <w:pPr>
        <w:bidi w:val="0"/>
        <w:rPr>
          <w:rFonts w:hint="eastAsia"/>
          <w:lang w:val="en-US" w:eastAsia="zh-CN"/>
        </w:rPr>
      </w:pPr>
    </w:p>
    <w:p w14:paraId="2B133367">
      <w:pPr>
        <w:bidi w:val="0"/>
        <w:rPr>
          <w:rFonts w:hint="eastAsia"/>
          <w:lang w:val="en-US" w:eastAsia="zh-CN"/>
        </w:rPr>
      </w:pPr>
      <w:r>
        <w:rPr>
          <w:rFonts w:hint="eastAsia"/>
          <w:lang w:val="en-US" w:eastAsia="zh-CN"/>
        </w:rPr>
        <w:t>7:10 460</w:t>
      </w:r>
    </w:p>
    <w:p w14:paraId="5ACB58CE">
      <w:pPr>
        <w:bidi w:val="0"/>
        <w:rPr>
          <w:rFonts w:hint="eastAsia"/>
          <w:lang w:val="en-US" w:eastAsia="zh-CN"/>
        </w:rPr>
      </w:pPr>
    </w:p>
    <w:p w14:paraId="4BD61D2D">
      <w:pPr>
        <w:bidi w:val="0"/>
        <w:rPr>
          <w:rFonts w:hint="eastAsia"/>
          <w:lang w:val="en-US" w:eastAsia="zh-CN"/>
        </w:rPr>
      </w:pPr>
      <w:r>
        <w:rPr>
          <w:rFonts w:hint="eastAsia"/>
          <w:lang w:val="en-US" w:eastAsia="zh-CN"/>
        </w:rPr>
        <w:t>7:10 460</w:t>
      </w:r>
    </w:p>
    <w:p w14:paraId="1EDD5767">
      <w:pPr>
        <w:bidi w:val="0"/>
        <w:rPr>
          <w:rFonts w:hint="eastAsia"/>
          <w:lang w:val="en-US" w:eastAsia="zh-CN"/>
        </w:rPr>
      </w:pPr>
    </w:p>
    <w:p w14:paraId="0120311F">
      <w:pPr>
        <w:bidi w:val="0"/>
        <w:rPr>
          <w:rFonts w:hint="eastAsia"/>
          <w:lang w:val="en-US" w:eastAsia="zh-CN"/>
        </w:rPr>
      </w:pPr>
      <w:r>
        <w:rPr>
          <w:rFonts w:hint="eastAsia"/>
          <w:lang w:val="en-US" w:eastAsia="zh-CN"/>
        </w:rPr>
        <w:t>10:5 472</w:t>
      </w:r>
    </w:p>
    <w:p w14:paraId="30947D8A">
      <w:pPr>
        <w:bidi w:val="0"/>
        <w:rPr>
          <w:rFonts w:hint="eastAsia"/>
          <w:lang w:val="en-US" w:eastAsia="zh-CN"/>
        </w:rPr>
      </w:pPr>
    </w:p>
    <w:p w14:paraId="55B63B2B">
      <w:pPr>
        <w:bidi w:val="0"/>
        <w:rPr>
          <w:rFonts w:hint="eastAsia"/>
          <w:lang w:val="en-US" w:eastAsia="zh-CN"/>
        </w:rPr>
      </w:pPr>
      <w:r>
        <w:rPr>
          <w:rFonts w:hint="eastAsia"/>
          <w:lang w:val="en-US" w:eastAsia="zh-CN"/>
        </w:rPr>
        <w:t>10:5 472</w:t>
      </w:r>
    </w:p>
    <w:p w14:paraId="655A7A96">
      <w:pPr>
        <w:bidi w:val="0"/>
        <w:rPr>
          <w:rFonts w:hint="eastAsia"/>
          <w:lang w:val="en-US" w:eastAsia="zh-CN"/>
        </w:rPr>
      </w:pPr>
    </w:p>
    <w:p w14:paraId="5E0554D3">
      <w:pPr>
        <w:bidi w:val="0"/>
        <w:rPr>
          <w:rFonts w:hint="eastAsia"/>
          <w:lang w:val="en-US" w:eastAsia="zh-CN"/>
        </w:rPr>
      </w:pPr>
      <w:r>
        <w:rPr>
          <w:rFonts w:hint="eastAsia"/>
          <w:lang w:val="en-US" w:eastAsia="zh-CN"/>
        </w:rPr>
        <w:t>11:3 108</w:t>
      </w:r>
    </w:p>
    <w:p w14:paraId="11753088">
      <w:pPr>
        <w:bidi w:val="0"/>
        <w:rPr>
          <w:rFonts w:hint="eastAsia"/>
          <w:lang w:val="en-US" w:eastAsia="zh-CN"/>
        </w:rPr>
      </w:pPr>
    </w:p>
    <w:p w14:paraId="0F3204AC">
      <w:pPr>
        <w:bidi w:val="0"/>
        <w:rPr>
          <w:rFonts w:hint="eastAsia"/>
          <w:lang w:val="en-US" w:eastAsia="zh-CN"/>
        </w:rPr>
      </w:pPr>
      <w:r>
        <w:rPr>
          <w:rFonts w:hint="eastAsia"/>
          <w:lang w:val="en-US" w:eastAsia="zh-CN"/>
        </w:rPr>
        <w:t>11:3 108</w:t>
      </w:r>
    </w:p>
    <w:p w14:paraId="632E6373">
      <w:pPr>
        <w:bidi w:val="0"/>
        <w:rPr>
          <w:rFonts w:hint="eastAsia"/>
          <w:lang w:val="en-US" w:eastAsia="zh-CN"/>
        </w:rPr>
      </w:pPr>
    </w:p>
    <w:p w14:paraId="5F43B65B">
      <w:pPr>
        <w:bidi w:val="0"/>
        <w:rPr>
          <w:rFonts w:hint="eastAsia"/>
          <w:lang w:val="en-US" w:eastAsia="zh-CN"/>
        </w:rPr>
      </w:pPr>
      <w:r>
        <w:rPr>
          <w:rFonts w:hint="eastAsia"/>
          <w:lang w:val="en-US" w:eastAsia="zh-CN"/>
        </w:rPr>
        <w:t>Galatians</w:t>
      </w:r>
    </w:p>
    <w:p w14:paraId="5EDC24B9">
      <w:pPr>
        <w:bidi w:val="0"/>
        <w:rPr>
          <w:rFonts w:hint="eastAsia"/>
          <w:lang w:val="en-US" w:eastAsia="zh-CN"/>
        </w:rPr>
      </w:pPr>
    </w:p>
    <w:p w14:paraId="022B17E8">
      <w:pPr>
        <w:bidi w:val="0"/>
        <w:rPr>
          <w:rFonts w:hint="eastAsia"/>
          <w:lang w:val="en-US" w:eastAsia="zh-CN"/>
        </w:rPr>
      </w:pPr>
      <w:r>
        <w:rPr>
          <w:rFonts w:hint="eastAsia"/>
          <w:lang w:val="en-US" w:eastAsia="zh-CN"/>
        </w:rPr>
        <w:t>加拉太书</w:t>
      </w:r>
    </w:p>
    <w:p w14:paraId="24AA50B8">
      <w:pPr>
        <w:bidi w:val="0"/>
        <w:rPr>
          <w:rFonts w:hint="eastAsia"/>
          <w:lang w:val="en-US" w:eastAsia="zh-CN"/>
        </w:rPr>
      </w:pPr>
    </w:p>
    <w:p w14:paraId="6A7596C0">
      <w:pPr>
        <w:bidi w:val="0"/>
        <w:rPr>
          <w:rFonts w:hint="eastAsia"/>
          <w:lang w:val="en-US" w:eastAsia="zh-CN"/>
        </w:rPr>
      </w:pPr>
      <w:r>
        <w:rPr>
          <w:rFonts w:hint="eastAsia"/>
          <w:lang w:val="en-US" w:eastAsia="zh-CN"/>
        </w:rPr>
        <w:t>1:4 166</w:t>
      </w:r>
    </w:p>
    <w:p w14:paraId="0044422A">
      <w:pPr>
        <w:bidi w:val="0"/>
        <w:rPr>
          <w:rFonts w:hint="eastAsia"/>
          <w:lang w:val="en-US" w:eastAsia="zh-CN"/>
        </w:rPr>
      </w:pPr>
    </w:p>
    <w:p w14:paraId="73C074AB">
      <w:pPr>
        <w:bidi w:val="0"/>
        <w:rPr>
          <w:rFonts w:hint="eastAsia"/>
          <w:lang w:val="en-US" w:eastAsia="zh-CN"/>
        </w:rPr>
      </w:pPr>
      <w:r>
        <w:rPr>
          <w:rFonts w:hint="eastAsia"/>
          <w:lang w:val="en-US" w:eastAsia="zh-CN"/>
        </w:rPr>
        <w:t>1:4 166</w:t>
      </w:r>
    </w:p>
    <w:p w14:paraId="13678B77">
      <w:pPr>
        <w:bidi w:val="0"/>
        <w:rPr>
          <w:rFonts w:hint="eastAsia"/>
          <w:lang w:val="en-US" w:eastAsia="zh-CN"/>
        </w:rPr>
      </w:pPr>
    </w:p>
    <w:p w14:paraId="7ADCDE8F">
      <w:pPr>
        <w:bidi w:val="0"/>
        <w:rPr>
          <w:rFonts w:hint="eastAsia"/>
          <w:lang w:val="en-US" w:eastAsia="zh-CN"/>
        </w:rPr>
      </w:pPr>
      <w:r>
        <w:rPr>
          <w:rFonts w:hint="eastAsia"/>
          <w:lang w:val="en-US" w:eastAsia="zh-CN"/>
        </w:rPr>
        <w:t>1:6-10 247</w:t>
      </w:r>
    </w:p>
    <w:p w14:paraId="50FC1323">
      <w:pPr>
        <w:bidi w:val="0"/>
        <w:rPr>
          <w:rFonts w:hint="eastAsia"/>
          <w:lang w:val="en-US" w:eastAsia="zh-CN"/>
        </w:rPr>
      </w:pPr>
    </w:p>
    <w:p w14:paraId="2487E47A">
      <w:pPr>
        <w:bidi w:val="0"/>
        <w:rPr>
          <w:rFonts w:hint="eastAsia"/>
          <w:lang w:val="en-US" w:eastAsia="zh-CN"/>
        </w:rPr>
      </w:pPr>
      <w:r>
        <w:rPr>
          <w:rFonts w:hint="eastAsia"/>
          <w:lang w:val="en-US" w:eastAsia="zh-CN"/>
        </w:rPr>
        <w:t>1:6-10 247</w:t>
      </w:r>
    </w:p>
    <w:p w14:paraId="2D7BE906">
      <w:pPr>
        <w:bidi w:val="0"/>
        <w:rPr>
          <w:rFonts w:hint="eastAsia"/>
          <w:lang w:val="en-US" w:eastAsia="zh-CN"/>
        </w:rPr>
      </w:pPr>
    </w:p>
    <w:p w14:paraId="6E506AE2">
      <w:pPr>
        <w:bidi w:val="0"/>
        <w:rPr>
          <w:rFonts w:hint="eastAsia"/>
          <w:lang w:val="en-US" w:eastAsia="zh-CN"/>
        </w:rPr>
      </w:pPr>
      <w:r>
        <w:rPr>
          <w:rFonts w:hint="eastAsia"/>
          <w:lang w:val="en-US" w:eastAsia="zh-CN"/>
        </w:rPr>
        <w:t>3:15-4:7 108, 116, 240</w:t>
      </w:r>
    </w:p>
    <w:p w14:paraId="60680C59">
      <w:pPr>
        <w:bidi w:val="0"/>
        <w:rPr>
          <w:rFonts w:hint="eastAsia"/>
          <w:lang w:val="en-US" w:eastAsia="zh-CN"/>
        </w:rPr>
      </w:pPr>
    </w:p>
    <w:p w14:paraId="48BB0A1A">
      <w:pPr>
        <w:bidi w:val="0"/>
        <w:rPr>
          <w:rFonts w:hint="eastAsia"/>
          <w:lang w:val="en-US" w:eastAsia="zh-CN"/>
        </w:rPr>
      </w:pPr>
      <w:r>
        <w:rPr>
          <w:rFonts w:hint="eastAsia"/>
          <w:lang w:val="en-US" w:eastAsia="zh-CN"/>
        </w:rPr>
        <w:t>3:15-4:7 108, 116, 240</w:t>
      </w:r>
    </w:p>
    <w:p w14:paraId="2A5D7619">
      <w:pPr>
        <w:bidi w:val="0"/>
        <w:rPr>
          <w:rFonts w:hint="eastAsia"/>
          <w:lang w:val="en-US" w:eastAsia="zh-CN"/>
        </w:rPr>
      </w:pPr>
    </w:p>
    <w:p w14:paraId="14CB4233">
      <w:pPr>
        <w:bidi w:val="0"/>
        <w:rPr>
          <w:rFonts w:hint="eastAsia"/>
          <w:lang w:val="en-US" w:eastAsia="zh-CN"/>
        </w:rPr>
      </w:pPr>
      <w:r>
        <w:rPr>
          <w:rFonts w:hint="eastAsia"/>
          <w:lang w:val="en-US" w:eastAsia="zh-CN"/>
        </w:rPr>
        <w:t>3:16 235</w:t>
      </w:r>
    </w:p>
    <w:p w14:paraId="7CC94481">
      <w:pPr>
        <w:bidi w:val="0"/>
        <w:rPr>
          <w:rFonts w:hint="eastAsia"/>
          <w:lang w:val="en-US" w:eastAsia="zh-CN"/>
        </w:rPr>
      </w:pPr>
    </w:p>
    <w:p w14:paraId="105B2954">
      <w:pPr>
        <w:bidi w:val="0"/>
        <w:rPr>
          <w:rFonts w:hint="eastAsia"/>
          <w:lang w:val="en-US" w:eastAsia="zh-CN"/>
        </w:rPr>
      </w:pPr>
      <w:r>
        <w:rPr>
          <w:rFonts w:hint="eastAsia"/>
          <w:lang w:val="en-US" w:eastAsia="zh-CN"/>
        </w:rPr>
        <w:t>3:16 235</w:t>
      </w:r>
    </w:p>
    <w:p w14:paraId="71121393">
      <w:pPr>
        <w:bidi w:val="0"/>
        <w:rPr>
          <w:rFonts w:hint="eastAsia"/>
          <w:lang w:val="en-US" w:eastAsia="zh-CN"/>
        </w:rPr>
      </w:pPr>
    </w:p>
    <w:p w14:paraId="19D444B3">
      <w:pPr>
        <w:bidi w:val="0"/>
        <w:rPr>
          <w:rFonts w:hint="eastAsia"/>
          <w:lang w:val="en-US" w:eastAsia="zh-CN"/>
        </w:rPr>
      </w:pPr>
      <w:r>
        <w:rPr>
          <w:rFonts w:hint="eastAsia"/>
          <w:lang w:val="en-US" w:eastAsia="zh-CN"/>
        </w:rPr>
        <w:t>3:19 108</w:t>
      </w:r>
    </w:p>
    <w:p w14:paraId="37A96F9C">
      <w:pPr>
        <w:bidi w:val="0"/>
        <w:rPr>
          <w:rFonts w:hint="eastAsia"/>
          <w:lang w:val="en-US" w:eastAsia="zh-CN"/>
        </w:rPr>
      </w:pPr>
    </w:p>
    <w:p w14:paraId="4F280B8E">
      <w:pPr>
        <w:bidi w:val="0"/>
        <w:rPr>
          <w:rFonts w:hint="eastAsia"/>
          <w:lang w:val="en-US" w:eastAsia="zh-CN"/>
        </w:rPr>
      </w:pPr>
      <w:r>
        <w:rPr>
          <w:rFonts w:hint="eastAsia"/>
          <w:lang w:val="en-US" w:eastAsia="zh-CN"/>
        </w:rPr>
        <w:t>3:19 108</w:t>
      </w:r>
    </w:p>
    <w:p w14:paraId="1F9B8204">
      <w:pPr>
        <w:bidi w:val="0"/>
        <w:rPr>
          <w:rFonts w:hint="eastAsia"/>
          <w:lang w:val="en-US" w:eastAsia="zh-CN"/>
        </w:rPr>
      </w:pPr>
    </w:p>
    <w:p w14:paraId="3229E286">
      <w:pPr>
        <w:bidi w:val="0"/>
        <w:rPr>
          <w:rFonts w:hint="eastAsia"/>
          <w:lang w:val="en-US" w:eastAsia="zh-CN"/>
        </w:rPr>
      </w:pPr>
      <w:r>
        <w:rPr>
          <w:rFonts w:hint="eastAsia"/>
          <w:lang w:val="en-US" w:eastAsia="zh-CN"/>
        </w:rPr>
        <w:t>3:28 87</w:t>
      </w:r>
    </w:p>
    <w:p w14:paraId="0462AAE1">
      <w:pPr>
        <w:bidi w:val="0"/>
        <w:rPr>
          <w:rFonts w:hint="eastAsia"/>
          <w:lang w:val="en-US" w:eastAsia="zh-CN"/>
        </w:rPr>
      </w:pPr>
    </w:p>
    <w:p w14:paraId="750A8E20">
      <w:pPr>
        <w:bidi w:val="0"/>
        <w:rPr>
          <w:rFonts w:hint="eastAsia"/>
          <w:lang w:val="en-US" w:eastAsia="zh-CN"/>
        </w:rPr>
      </w:pPr>
      <w:r>
        <w:rPr>
          <w:rFonts w:hint="eastAsia"/>
          <w:lang w:val="en-US" w:eastAsia="zh-CN"/>
        </w:rPr>
        <w:t>3:28 87</w:t>
      </w:r>
    </w:p>
    <w:p w14:paraId="651E3CA2">
      <w:pPr>
        <w:bidi w:val="0"/>
        <w:rPr>
          <w:rFonts w:hint="eastAsia"/>
          <w:lang w:val="en-US" w:eastAsia="zh-CN"/>
        </w:rPr>
      </w:pPr>
    </w:p>
    <w:p w14:paraId="182AD8CD">
      <w:pPr>
        <w:bidi w:val="0"/>
        <w:rPr>
          <w:rFonts w:hint="eastAsia"/>
          <w:lang w:val="en-US" w:eastAsia="zh-CN"/>
        </w:rPr>
      </w:pPr>
      <w:r>
        <w:rPr>
          <w:rFonts w:hint="eastAsia"/>
          <w:lang w:val="en-US" w:eastAsia="zh-CN"/>
        </w:rPr>
        <w:t>4:3, 9 66, 240</w:t>
      </w:r>
    </w:p>
    <w:p w14:paraId="0BE79E77">
      <w:pPr>
        <w:bidi w:val="0"/>
        <w:rPr>
          <w:rFonts w:hint="eastAsia"/>
          <w:lang w:val="en-US" w:eastAsia="zh-CN"/>
        </w:rPr>
      </w:pPr>
    </w:p>
    <w:p w14:paraId="4F886BD6">
      <w:pPr>
        <w:bidi w:val="0"/>
        <w:rPr>
          <w:rFonts w:hint="eastAsia"/>
          <w:lang w:val="en-US" w:eastAsia="zh-CN"/>
        </w:rPr>
      </w:pPr>
      <w:r>
        <w:rPr>
          <w:rFonts w:hint="eastAsia"/>
          <w:lang w:val="en-US" w:eastAsia="zh-CN"/>
        </w:rPr>
        <w:t>4:3, 9 66, 240</w:t>
      </w:r>
    </w:p>
    <w:p w14:paraId="38D9A1B8">
      <w:pPr>
        <w:bidi w:val="0"/>
        <w:rPr>
          <w:rFonts w:hint="eastAsia"/>
          <w:lang w:val="en-US" w:eastAsia="zh-CN"/>
        </w:rPr>
      </w:pPr>
    </w:p>
    <w:p w14:paraId="1F5BD45D">
      <w:pPr>
        <w:bidi w:val="0"/>
        <w:rPr>
          <w:rFonts w:hint="eastAsia"/>
          <w:lang w:val="en-US" w:eastAsia="zh-CN"/>
        </w:rPr>
      </w:pPr>
      <w:r>
        <w:rPr>
          <w:rFonts w:hint="eastAsia"/>
          <w:lang w:val="en-US" w:eastAsia="zh-CN"/>
        </w:rPr>
        <w:t>4:4f 96, 253</w:t>
      </w:r>
    </w:p>
    <w:p w14:paraId="101E30A7">
      <w:pPr>
        <w:bidi w:val="0"/>
        <w:rPr>
          <w:rFonts w:hint="eastAsia"/>
          <w:lang w:val="en-US" w:eastAsia="zh-CN"/>
        </w:rPr>
      </w:pPr>
    </w:p>
    <w:p w14:paraId="734CB2F2">
      <w:pPr>
        <w:bidi w:val="0"/>
        <w:rPr>
          <w:rFonts w:hint="eastAsia"/>
          <w:lang w:val="en-US" w:eastAsia="zh-CN"/>
        </w:rPr>
      </w:pPr>
      <w:r>
        <w:rPr>
          <w:rFonts w:hint="eastAsia"/>
          <w:lang w:val="en-US" w:eastAsia="zh-CN"/>
        </w:rPr>
        <w:t>4:4f 96, 253</w:t>
      </w:r>
    </w:p>
    <w:p w14:paraId="6EEEE3E1">
      <w:pPr>
        <w:bidi w:val="0"/>
        <w:rPr>
          <w:rFonts w:hint="eastAsia"/>
          <w:lang w:val="en-US" w:eastAsia="zh-CN"/>
        </w:rPr>
      </w:pPr>
    </w:p>
    <w:p w14:paraId="58F64B73">
      <w:pPr>
        <w:bidi w:val="0"/>
        <w:rPr>
          <w:rFonts w:hint="eastAsia"/>
          <w:lang w:val="en-US" w:eastAsia="zh-CN"/>
        </w:rPr>
      </w:pPr>
      <w:r>
        <w:rPr>
          <w:rFonts w:hint="eastAsia"/>
          <w:lang w:val="en-US" w:eastAsia="zh-CN"/>
        </w:rPr>
        <w:t>4:26-27 272, 251</w:t>
      </w:r>
    </w:p>
    <w:p w14:paraId="4FB8464B">
      <w:pPr>
        <w:bidi w:val="0"/>
        <w:rPr>
          <w:rFonts w:hint="eastAsia"/>
          <w:lang w:val="en-US" w:eastAsia="zh-CN"/>
        </w:rPr>
      </w:pPr>
    </w:p>
    <w:p w14:paraId="389C244D">
      <w:pPr>
        <w:bidi w:val="0"/>
        <w:rPr>
          <w:rFonts w:hint="eastAsia"/>
          <w:lang w:val="en-US" w:eastAsia="zh-CN"/>
        </w:rPr>
      </w:pPr>
      <w:r>
        <w:rPr>
          <w:rFonts w:hint="eastAsia"/>
          <w:lang w:val="en-US" w:eastAsia="zh-CN"/>
        </w:rPr>
        <w:t>4:26-27 272, 251</w:t>
      </w:r>
    </w:p>
    <w:p w14:paraId="7007232F">
      <w:pPr>
        <w:bidi w:val="0"/>
        <w:rPr>
          <w:rFonts w:hint="eastAsia"/>
          <w:lang w:val="en-US" w:eastAsia="zh-CN"/>
        </w:rPr>
      </w:pPr>
    </w:p>
    <w:p w14:paraId="3CD584D1">
      <w:pPr>
        <w:bidi w:val="0"/>
        <w:rPr>
          <w:rFonts w:hint="eastAsia"/>
          <w:lang w:val="en-US" w:eastAsia="zh-CN"/>
        </w:rPr>
      </w:pPr>
      <w:r>
        <w:rPr>
          <w:rFonts w:hint="eastAsia"/>
          <w:lang w:val="en-US" w:eastAsia="zh-CN"/>
        </w:rPr>
        <w:t>6:16 14, 51, 68, 118, 144, 147, 193, 246, 265, 313, 373, 385, 394, 443, 488, 548, 553, 684</w:t>
      </w:r>
    </w:p>
    <w:p w14:paraId="25A58173">
      <w:pPr>
        <w:bidi w:val="0"/>
        <w:rPr>
          <w:rFonts w:hint="eastAsia"/>
          <w:lang w:val="en-US" w:eastAsia="zh-CN"/>
        </w:rPr>
      </w:pPr>
    </w:p>
    <w:p w14:paraId="6241889A">
      <w:pPr>
        <w:bidi w:val="0"/>
        <w:rPr>
          <w:rFonts w:hint="eastAsia"/>
          <w:lang w:val="en-US" w:eastAsia="zh-CN"/>
        </w:rPr>
      </w:pPr>
      <w:r>
        <w:rPr>
          <w:rFonts w:hint="eastAsia"/>
          <w:lang w:val="en-US" w:eastAsia="zh-CN"/>
        </w:rPr>
        <w:t>6:16 14, 51, 68, 118, 144, 147, 193, 246, 265, 313, 373, 385, 394, 443, 488, 548, 553, 684</w:t>
      </w:r>
    </w:p>
    <w:p w14:paraId="7C03710C">
      <w:pPr>
        <w:bidi w:val="0"/>
        <w:rPr>
          <w:rFonts w:hint="eastAsia"/>
          <w:lang w:val="en-US" w:eastAsia="zh-CN"/>
        </w:rPr>
      </w:pPr>
    </w:p>
    <w:p w14:paraId="5375369D">
      <w:pPr>
        <w:bidi w:val="0"/>
        <w:rPr>
          <w:rFonts w:hint="eastAsia"/>
          <w:lang w:val="en-US" w:eastAsia="zh-CN"/>
        </w:rPr>
      </w:pPr>
      <w:r>
        <w:rPr>
          <w:rFonts w:hint="eastAsia"/>
          <w:lang w:val="en-US" w:eastAsia="zh-CN"/>
        </w:rPr>
        <w:t>Ephesians</w:t>
      </w:r>
    </w:p>
    <w:p w14:paraId="0F8CCCCB">
      <w:pPr>
        <w:bidi w:val="0"/>
        <w:rPr>
          <w:rFonts w:hint="eastAsia"/>
          <w:lang w:val="en-US" w:eastAsia="zh-CN"/>
        </w:rPr>
      </w:pPr>
    </w:p>
    <w:p w14:paraId="31C98D9D">
      <w:pPr>
        <w:bidi w:val="0"/>
        <w:rPr>
          <w:rFonts w:hint="eastAsia"/>
          <w:lang w:val="en-US" w:eastAsia="zh-CN"/>
        </w:rPr>
      </w:pPr>
      <w:r>
        <w:rPr>
          <w:rFonts w:hint="eastAsia"/>
          <w:lang w:val="en-US" w:eastAsia="zh-CN"/>
        </w:rPr>
        <w:t>以弗所书</w:t>
      </w:r>
    </w:p>
    <w:p w14:paraId="19CF8787">
      <w:pPr>
        <w:bidi w:val="0"/>
        <w:rPr>
          <w:rFonts w:hint="eastAsia"/>
          <w:lang w:val="en-US" w:eastAsia="zh-CN"/>
        </w:rPr>
      </w:pPr>
    </w:p>
    <w:p w14:paraId="4D8230DC">
      <w:pPr>
        <w:bidi w:val="0"/>
        <w:rPr>
          <w:rFonts w:hint="eastAsia"/>
          <w:lang w:val="en-US" w:eastAsia="zh-CN"/>
        </w:rPr>
      </w:pPr>
      <w:r>
        <w:rPr>
          <w:rFonts w:hint="eastAsia"/>
          <w:lang w:val="en-US" w:eastAsia="zh-CN"/>
        </w:rPr>
        <w:t>1-5 246</w:t>
      </w:r>
    </w:p>
    <w:p w14:paraId="6F3685D6">
      <w:pPr>
        <w:bidi w:val="0"/>
        <w:rPr>
          <w:rFonts w:hint="eastAsia"/>
          <w:lang w:val="en-US" w:eastAsia="zh-CN"/>
        </w:rPr>
      </w:pPr>
    </w:p>
    <w:p w14:paraId="07837C19">
      <w:pPr>
        <w:bidi w:val="0"/>
        <w:rPr>
          <w:rFonts w:hint="eastAsia"/>
          <w:lang w:val="en-US" w:eastAsia="zh-CN"/>
        </w:rPr>
      </w:pPr>
      <w:r>
        <w:rPr>
          <w:rFonts w:hint="eastAsia"/>
          <w:lang w:val="en-US" w:eastAsia="zh-CN"/>
        </w:rPr>
        <w:t>1-5 246</w:t>
      </w:r>
    </w:p>
    <w:p w14:paraId="52D13D30">
      <w:pPr>
        <w:bidi w:val="0"/>
        <w:rPr>
          <w:rFonts w:hint="eastAsia"/>
          <w:lang w:val="en-US" w:eastAsia="zh-CN"/>
        </w:rPr>
      </w:pPr>
    </w:p>
    <w:p w14:paraId="139A9BA1">
      <w:pPr>
        <w:bidi w:val="0"/>
        <w:rPr>
          <w:rFonts w:hint="eastAsia"/>
          <w:lang w:val="en-US" w:eastAsia="zh-CN"/>
        </w:rPr>
      </w:pPr>
      <w:r>
        <w:rPr>
          <w:rFonts w:hint="eastAsia"/>
          <w:lang w:val="en-US" w:eastAsia="zh-CN"/>
        </w:rPr>
        <w:t>1:5-6 118, 231</w:t>
      </w:r>
    </w:p>
    <w:p w14:paraId="3556945B">
      <w:pPr>
        <w:bidi w:val="0"/>
        <w:rPr>
          <w:rFonts w:hint="eastAsia"/>
          <w:lang w:val="en-US" w:eastAsia="zh-CN"/>
        </w:rPr>
      </w:pPr>
    </w:p>
    <w:p w14:paraId="7540AE27">
      <w:pPr>
        <w:bidi w:val="0"/>
        <w:rPr>
          <w:rFonts w:hint="eastAsia"/>
          <w:lang w:val="en-US" w:eastAsia="zh-CN"/>
        </w:rPr>
      </w:pPr>
      <w:r>
        <w:rPr>
          <w:rFonts w:hint="eastAsia"/>
          <w:lang w:val="en-US" w:eastAsia="zh-CN"/>
        </w:rPr>
        <w:t>1:5-6 118, 231</w:t>
      </w:r>
    </w:p>
    <w:p w14:paraId="7C5BDFEB">
      <w:pPr>
        <w:bidi w:val="0"/>
        <w:rPr>
          <w:rFonts w:hint="eastAsia"/>
          <w:lang w:val="en-US" w:eastAsia="zh-CN"/>
        </w:rPr>
      </w:pPr>
    </w:p>
    <w:p w14:paraId="48229669">
      <w:pPr>
        <w:bidi w:val="0"/>
        <w:rPr>
          <w:rFonts w:hint="eastAsia"/>
          <w:lang w:val="en-US" w:eastAsia="zh-CN"/>
        </w:rPr>
      </w:pPr>
      <w:r>
        <w:rPr>
          <w:rFonts w:hint="eastAsia"/>
          <w:lang w:val="en-US" w:eastAsia="zh-CN"/>
        </w:rPr>
        <w:t>1:9-10 75, 95-96, 474</w:t>
      </w:r>
    </w:p>
    <w:p w14:paraId="0EBB3491">
      <w:pPr>
        <w:bidi w:val="0"/>
        <w:rPr>
          <w:rFonts w:hint="eastAsia"/>
          <w:lang w:val="en-US" w:eastAsia="zh-CN"/>
        </w:rPr>
      </w:pPr>
    </w:p>
    <w:p w14:paraId="288203E2">
      <w:pPr>
        <w:bidi w:val="0"/>
        <w:rPr>
          <w:rFonts w:hint="eastAsia"/>
          <w:lang w:val="en-US" w:eastAsia="zh-CN"/>
        </w:rPr>
      </w:pPr>
      <w:r>
        <w:rPr>
          <w:rFonts w:hint="eastAsia"/>
          <w:lang w:val="en-US" w:eastAsia="zh-CN"/>
        </w:rPr>
        <w:t>1:9-10 75, 95-96, 474</w:t>
      </w:r>
    </w:p>
    <w:p w14:paraId="2C2CAD4F">
      <w:pPr>
        <w:bidi w:val="0"/>
        <w:rPr>
          <w:rFonts w:hint="eastAsia"/>
          <w:lang w:val="en-US" w:eastAsia="zh-CN"/>
        </w:rPr>
      </w:pPr>
    </w:p>
    <w:p w14:paraId="497B02D0">
      <w:pPr>
        <w:bidi w:val="0"/>
        <w:rPr>
          <w:rFonts w:hint="eastAsia"/>
          <w:lang w:val="en-US" w:eastAsia="zh-CN"/>
        </w:rPr>
      </w:pPr>
      <w:r>
        <w:rPr>
          <w:rFonts w:hint="eastAsia"/>
          <w:lang w:val="en-US" w:eastAsia="zh-CN"/>
        </w:rPr>
        <w:t>1:15-23 150-152, 180, 472, 439, 604</w:t>
      </w:r>
    </w:p>
    <w:p w14:paraId="7E1933AA">
      <w:pPr>
        <w:bidi w:val="0"/>
        <w:rPr>
          <w:rFonts w:hint="eastAsia"/>
          <w:lang w:val="en-US" w:eastAsia="zh-CN"/>
        </w:rPr>
      </w:pPr>
    </w:p>
    <w:p w14:paraId="1D47D15D">
      <w:pPr>
        <w:bidi w:val="0"/>
        <w:rPr>
          <w:rFonts w:hint="eastAsia"/>
          <w:lang w:val="en-US" w:eastAsia="zh-CN"/>
        </w:rPr>
      </w:pPr>
      <w:r>
        <w:rPr>
          <w:rFonts w:hint="eastAsia"/>
          <w:lang w:val="en-US" w:eastAsia="zh-CN"/>
        </w:rPr>
        <w:t>1:15-23 150-152, 180, 472, 439, 604</w:t>
      </w:r>
    </w:p>
    <w:p w14:paraId="3A24D25D">
      <w:pPr>
        <w:bidi w:val="0"/>
        <w:rPr>
          <w:rFonts w:hint="eastAsia"/>
          <w:lang w:val="en-US" w:eastAsia="zh-CN"/>
        </w:rPr>
      </w:pPr>
    </w:p>
    <w:p w14:paraId="750B0278">
      <w:pPr>
        <w:bidi w:val="0"/>
        <w:rPr>
          <w:rFonts w:hint="eastAsia"/>
          <w:lang w:val="en-US" w:eastAsia="zh-CN"/>
        </w:rPr>
      </w:pPr>
      <w:r>
        <w:rPr>
          <w:rFonts w:hint="eastAsia"/>
          <w:lang w:val="en-US" w:eastAsia="zh-CN"/>
        </w:rPr>
        <w:t>2:5-6 152</w:t>
      </w:r>
    </w:p>
    <w:p w14:paraId="2A717434">
      <w:pPr>
        <w:bidi w:val="0"/>
        <w:rPr>
          <w:rFonts w:hint="eastAsia"/>
          <w:lang w:val="en-US" w:eastAsia="zh-CN"/>
        </w:rPr>
      </w:pPr>
    </w:p>
    <w:p w14:paraId="1D47D490">
      <w:pPr>
        <w:bidi w:val="0"/>
        <w:rPr>
          <w:rFonts w:hint="eastAsia"/>
          <w:lang w:val="en-US" w:eastAsia="zh-CN"/>
        </w:rPr>
      </w:pPr>
      <w:r>
        <w:rPr>
          <w:rFonts w:hint="eastAsia"/>
          <w:lang w:val="en-US" w:eastAsia="zh-CN"/>
        </w:rPr>
        <w:t>2:5-6 152</w:t>
      </w:r>
    </w:p>
    <w:p w14:paraId="0161A2C8">
      <w:pPr>
        <w:bidi w:val="0"/>
        <w:rPr>
          <w:rFonts w:hint="eastAsia"/>
          <w:lang w:val="en-US" w:eastAsia="zh-CN"/>
        </w:rPr>
      </w:pPr>
    </w:p>
    <w:p w14:paraId="0948C06E">
      <w:pPr>
        <w:bidi w:val="0"/>
        <w:rPr>
          <w:rFonts w:hint="eastAsia"/>
          <w:lang w:val="en-US" w:eastAsia="zh-CN"/>
        </w:rPr>
      </w:pPr>
      <w:r>
        <w:rPr>
          <w:rFonts w:hint="eastAsia"/>
          <w:lang w:val="en-US" w:eastAsia="zh-CN"/>
        </w:rPr>
        <w:t>2:7 171</w:t>
      </w:r>
    </w:p>
    <w:p w14:paraId="19855CF9">
      <w:pPr>
        <w:bidi w:val="0"/>
        <w:rPr>
          <w:rFonts w:hint="eastAsia"/>
          <w:lang w:val="en-US" w:eastAsia="zh-CN"/>
        </w:rPr>
      </w:pPr>
    </w:p>
    <w:p w14:paraId="5F6FE732">
      <w:pPr>
        <w:bidi w:val="0"/>
        <w:rPr>
          <w:rFonts w:hint="eastAsia"/>
          <w:lang w:val="en-US" w:eastAsia="zh-CN"/>
        </w:rPr>
      </w:pPr>
      <w:r>
        <w:rPr>
          <w:rFonts w:hint="eastAsia"/>
          <w:lang w:val="en-US" w:eastAsia="zh-CN"/>
        </w:rPr>
        <w:t>2:7 171</w:t>
      </w:r>
    </w:p>
    <w:p w14:paraId="6328C709">
      <w:pPr>
        <w:bidi w:val="0"/>
        <w:rPr>
          <w:rFonts w:hint="eastAsia"/>
          <w:lang w:val="en-US" w:eastAsia="zh-CN"/>
        </w:rPr>
      </w:pPr>
    </w:p>
    <w:p w14:paraId="545C3A3D">
      <w:pPr>
        <w:bidi w:val="0"/>
        <w:rPr>
          <w:rFonts w:hint="eastAsia"/>
          <w:lang w:val="en-US" w:eastAsia="zh-CN"/>
        </w:rPr>
      </w:pPr>
      <w:r>
        <w:rPr>
          <w:rFonts w:hint="eastAsia"/>
          <w:lang w:val="en-US" w:eastAsia="zh-CN"/>
        </w:rPr>
        <w:t>2:8-9 99</w:t>
      </w:r>
    </w:p>
    <w:p w14:paraId="1ECB5A38">
      <w:pPr>
        <w:bidi w:val="0"/>
        <w:rPr>
          <w:rFonts w:hint="eastAsia"/>
          <w:lang w:val="en-US" w:eastAsia="zh-CN"/>
        </w:rPr>
      </w:pPr>
    </w:p>
    <w:p w14:paraId="233D04AC">
      <w:pPr>
        <w:bidi w:val="0"/>
        <w:rPr>
          <w:rFonts w:hint="eastAsia"/>
          <w:lang w:val="en-US" w:eastAsia="zh-CN"/>
        </w:rPr>
      </w:pPr>
      <w:r>
        <w:rPr>
          <w:rFonts w:hint="eastAsia"/>
          <w:lang w:val="en-US" w:eastAsia="zh-CN"/>
        </w:rPr>
        <w:t>2:8-9 99</w:t>
      </w:r>
    </w:p>
    <w:p w14:paraId="36BCEB1E">
      <w:pPr>
        <w:bidi w:val="0"/>
        <w:rPr>
          <w:rFonts w:hint="eastAsia"/>
          <w:lang w:val="en-US" w:eastAsia="zh-CN"/>
        </w:rPr>
      </w:pPr>
    </w:p>
    <w:p w14:paraId="408A50AE">
      <w:pPr>
        <w:bidi w:val="0"/>
        <w:rPr>
          <w:rFonts w:hint="eastAsia"/>
          <w:lang w:val="en-US" w:eastAsia="zh-CN"/>
        </w:rPr>
      </w:pPr>
      <w:r>
        <w:rPr>
          <w:rFonts w:hint="eastAsia"/>
          <w:lang w:val="en-US" w:eastAsia="zh-CN"/>
        </w:rPr>
        <w:t>2:11-22 193, 196, 240, 242, 316, 499, 551, 652</w:t>
      </w:r>
    </w:p>
    <w:p w14:paraId="272B7440">
      <w:pPr>
        <w:bidi w:val="0"/>
        <w:rPr>
          <w:rFonts w:hint="eastAsia"/>
          <w:lang w:val="en-US" w:eastAsia="zh-CN"/>
        </w:rPr>
      </w:pPr>
    </w:p>
    <w:p w14:paraId="67FC7CAE">
      <w:pPr>
        <w:bidi w:val="0"/>
        <w:rPr>
          <w:rFonts w:hint="eastAsia"/>
          <w:lang w:val="en-US" w:eastAsia="zh-CN"/>
        </w:rPr>
      </w:pPr>
      <w:r>
        <w:rPr>
          <w:rFonts w:hint="eastAsia"/>
          <w:lang w:val="en-US" w:eastAsia="zh-CN"/>
        </w:rPr>
        <w:t>2:11-22 193, 196, 240, 242, 316, 499, 551, 652</w:t>
      </w:r>
    </w:p>
    <w:p w14:paraId="6D029518">
      <w:pPr>
        <w:bidi w:val="0"/>
        <w:rPr>
          <w:rFonts w:hint="eastAsia"/>
          <w:lang w:val="en-US" w:eastAsia="zh-CN"/>
        </w:rPr>
      </w:pPr>
    </w:p>
    <w:p w14:paraId="25143A6B">
      <w:pPr>
        <w:bidi w:val="0"/>
        <w:rPr>
          <w:rFonts w:hint="eastAsia"/>
          <w:lang w:val="en-US" w:eastAsia="zh-CN"/>
        </w:rPr>
      </w:pPr>
      <w:r>
        <w:rPr>
          <w:rFonts w:hint="eastAsia"/>
          <w:lang w:val="en-US" w:eastAsia="zh-CN"/>
        </w:rPr>
        <w:t>3:8-12 91</w:t>
      </w:r>
    </w:p>
    <w:p w14:paraId="23AB7072">
      <w:pPr>
        <w:bidi w:val="0"/>
        <w:rPr>
          <w:rFonts w:hint="eastAsia"/>
          <w:lang w:val="en-US" w:eastAsia="zh-CN"/>
        </w:rPr>
      </w:pPr>
    </w:p>
    <w:p w14:paraId="27D41F76">
      <w:pPr>
        <w:bidi w:val="0"/>
        <w:rPr>
          <w:rFonts w:hint="eastAsia"/>
          <w:lang w:val="en-US" w:eastAsia="zh-CN"/>
        </w:rPr>
      </w:pPr>
      <w:r>
        <w:rPr>
          <w:rFonts w:hint="eastAsia"/>
          <w:lang w:val="en-US" w:eastAsia="zh-CN"/>
        </w:rPr>
        <w:t>3:8-12 91</w:t>
      </w:r>
    </w:p>
    <w:p w14:paraId="6583E081">
      <w:pPr>
        <w:bidi w:val="0"/>
        <w:rPr>
          <w:rFonts w:hint="eastAsia"/>
          <w:lang w:val="en-US" w:eastAsia="zh-CN"/>
        </w:rPr>
      </w:pPr>
    </w:p>
    <w:p w14:paraId="6F005CCA">
      <w:pPr>
        <w:bidi w:val="0"/>
        <w:rPr>
          <w:rFonts w:hint="eastAsia"/>
          <w:lang w:val="en-US" w:eastAsia="zh-CN"/>
        </w:rPr>
      </w:pPr>
      <w:r>
        <w:rPr>
          <w:rFonts w:hint="eastAsia"/>
          <w:lang w:val="en-US" w:eastAsia="zh-CN"/>
        </w:rPr>
        <w:t>3:20-21 509</w:t>
      </w:r>
    </w:p>
    <w:p w14:paraId="3A138685">
      <w:pPr>
        <w:bidi w:val="0"/>
        <w:rPr>
          <w:rFonts w:hint="eastAsia"/>
          <w:lang w:val="en-US" w:eastAsia="zh-CN"/>
        </w:rPr>
      </w:pPr>
    </w:p>
    <w:p w14:paraId="2679E24E">
      <w:pPr>
        <w:bidi w:val="0"/>
        <w:rPr>
          <w:rFonts w:hint="eastAsia"/>
          <w:lang w:val="en-US" w:eastAsia="zh-CN"/>
        </w:rPr>
      </w:pPr>
      <w:r>
        <w:rPr>
          <w:rFonts w:hint="eastAsia"/>
          <w:lang w:val="en-US" w:eastAsia="zh-CN"/>
        </w:rPr>
        <w:t>3:20-21 509</w:t>
      </w:r>
    </w:p>
    <w:p w14:paraId="7BA3DA29">
      <w:pPr>
        <w:bidi w:val="0"/>
        <w:rPr>
          <w:rFonts w:hint="eastAsia"/>
          <w:lang w:val="en-US" w:eastAsia="zh-CN"/>
        </w:rPr>
      </w:pPr>
    </w:p>
    <w:p w14:paraId="022C729C">
      <w:pPr>
        <w:bidi w:val="0"/>
        <w:rPr>
          <w:rFonts w:hint="eastAsia"/>
          <w:lang w:val="en-US" w:eastAsia="zh-CN"/>
        </w:rPr>
      </w:pPr>
      <w:r>
        <w:rPr>
          <w:rFonts w:hint="eastAsia"/>
          <w:lang w:val="en-US" w:eastAsia="zh-CN"/>
        </w:rPr>
        <w:t>4:1-7 87</w:t>
      </w:r>
    </w:p>
    <w:p w14:paraId="1FE1139E">
      <w:pPr>
        <w:bidi w:val="0"/>
        <w:rPr>
          <w:rFonts w:hint="eastAsia"/>
          <w:lang w:val="en-US" w:eastAsia="zh-CN"/>
        </w:rPr>
      </w:pPr>
    </w:p>
    <w:p w14:paraId="17ADA06C">
      <w:pPr>
        <w:bidi w:val="0"/>
        <w:rPr>
          <w:rFonts w:hint="eastAsia"/>
          <w:lang w:val="en-US" w:eastAsia="zh-CN"/>
        </w:rPr>
      </w:pPr>
      <w:r>
        <w:rPr>
          <w:rFonts w:hint="eastAsia"/>
          <w:lang w:val="en-US" w:eastAsia="zh-CN"/>
        </w:rPr>
        <w:t>4:1-7 87</w:t>
      </w:r>
    </w:p>
    <w:p w14:paraId="27301E53">
      <w:pPr>
        <w:bidi w:val="0"/>
        <w:rPr>
          <w:rFonts w:hint="eastAsia"/>
          <w:lang w:val="en-US" w:eastAsia="zh-CN"/>
        </w:rPr>
      </w:pPr>
    </w:p>
    <w:p w14:paraId="3F67D184">
      <w:pPr>
        <w:bidi w:val="0"/>
        <w:rPr>
          <w:rFonts w:hint="eastAsia"/>
          <w:lang w:val="en-US" w:eastAsia="zh-CN"/>
        </w:rPr>
      </w:pPr>
      <w:r>
        <w:rPr>
          <w:rFonts w:hint="eastAsia"/>
          <w:lang w:val="en-US" w:eastAsia="zh-CN"/>
        </w:rPr>
        <w:t>4:11-16 399</w:t>
      </w:r>
    </w:p>
    <w:p w14:paraId="7B4E32AC">
      <w:pPr>
        <w:bidi w:val="0"/>
        <w:rPr>
          <w:rFonts w:hint="eastAsia"/>
          <w:lang w:val="en-US" w:eastAsia="zh-CN"/>
        </w:rPr>
      </w:pPr>
    </w:p>
    <w:p w14:paraId="7090C0BD">
      <w:pPr>
        <w:bidi w:val="0"/>
        <w:rPr>
          <w:rFonts w:hint="eastAsia"/>
          <w:lang w:val="en-US" w:eastAsia="zh-CN"/>
        </w:rPr>
      </w:pPr>
      <w:r>
        <w:rPr>
          <w:rFonts w:hint="eastAsia"/>
          <w:lang w:val="en-US" w:eastAsia="zh-CN"/>
        </w:rPr>
        <w:t>4:11-16 399</w:t>
      </w:r>
    </w:p>
    <w:p w14:paraId="064588BB">
      <w:pPr>
        <w:bidi w:val="0"/>
        <w:rPr>
          <w:rFonts w:hint="eastAsia"/>
          <w:lang w:val="en-US" w:eastAsia="zh-CN"/>
        </w:rPr>
      </w:pPr>
    </w:p>
    <w:p w14:paraId="6E78C7D8">
      <w:pPr>
        <w:bidi w:val="0"/>
        <w:rPr>
          <w:rFonts w:hint="eastAsia"/>
          <w:lang w:val="en-US" w:eastAsia="zh-CN"/>
        </w:rPr>
      </w:pPr>
      <w:r>
        <w:rPr>
          <w:rFonts w:hint="eastAsia"/>
          <w:lang w:val="en-US" w:eastAsia="zh-CN"/>
        </w:rPr>
        <w:t>5:22f 73, 108, 273, 412, 499</w:t>
      </w:r>
    </w:p>
    <w:p w14:paraId="3CA43A3C">
      <w:pPr>
        <w:bidi w:val="0"/>
        <w:rPr>
          <w:rFonts w:hint="eastAsia"/>
          <w:lang w:val="en-US" w:eastAsia="zh-CN"/>
        </w:rPr>
      </w:pPr>
    </w:p>
    <w:p w14:paraId="50C8B946">
      <w:pPr>
        <w:bidi w:val="0"/>
        <w:rPr>
          <w:rFonts w:hint="eastAsia"/>
          <w:lang w:val="en-US" w:eastAsia="zh-CN"/>
        </w:rPr>
      </w:pPr>
      <w:r>
        <w:rPr>
          <w:rFonts w:hint="eastAsia"/>
          <w:lang w:val="en-US" w:eastAsia="zh-CN"/>
        </w:rPr>
        <w:t>5:22f 73, 108, 273, 412, 499</w:t>
      </w:r>
    </w:p>
    <w:p w14:paraId="6E4F44AF">
      <w:pPr>
        <w:bidi w:val="0"/>
        <w:rPr>
          <w:rFonts w:hint="eastAsia"/>
          <w:lang w:val="en-US" w:eastAsia="zh-CN"/>
        </w:rPr>
      </w:pPr>
    </w:p>
    <w:p w14:paraId="210E2B26">
      <w:pPr>
        <w:bidi w:val="0"/>
        <w:rPr>
          <w:rFonts w:hint="eastAsia"/>
          <w:lang w:val="en-US" w:eastAsia="zh-CN"/>
        </w:rPr>
      </w:pPr>
      <w:r>
        <w:rPr>
          <w:rFonts w:hint="eastAsia"/>
          <w:lang w:val="en-US" w:eastAsia="zh-CN"/>
        </w:rPr>
        <w:t>6:10f 81, 166, 173, 619</w:t>
      </w:r>
    </w:p>
    <w:p w14:paraId="14F025A6">
      <w:pPr>
        <w:bidi w:val="0"/>
        <w:rPr>
          <w:rFonts w:hint="eastAsia"/>
          <w:lang w:val="en-US" w:eastAsia="zh-CN"/>
        </w:rPr>
      </w:pPr>
    </w:p>
    <w:p w14:paraId="75DADE23">
      <w:pPr>
        <w:bidi w:val="0"/>
        <w:rPr>
          <w:rFonts w:hint="eastAsia"/>
          <w:lang w:val="en-US" w:eastAsia="zh-CN"/>
        </w:rPr>
      </w:pPr>
      <w:r>
        <w:rPr>
          <w:rFonts w:hint="eastAsia"/>
          <w:lang w:val="en-US" w:eastAsia="zh-CN"/>
        </w:rPr>
        <w:t>6:10f 81, 166, 173, 619</w:t>
      </w:r>
    </w:p>
    <w:p w14:paraId="1A5F9E64">
      <w:pPr>
        <w:bidi w:val="0"/>
        <w:rPr>
          <w:rFonts w:hint="eastAsia"/>
          <w:lang w:val="en-US" w:eastAsia="zh-CN"/>
        </w:rPr>
      </w:pPr>
    </w:p>
    <w:p w14:paraId="3C806835">
      <w:pPr>
        <w:bidi w:val="0"/>
        <w:rPr>
          <w:rFonts w:hint="eastAsia"/>
          <w:lang w:val="en-US" w:eastAsia="zh-CN"/>
        </w:rPr>
      </w:pPr>
      <w:r>
        <w:rPr>
          <w:rFonts w:hint="eastAsia"/>
          <w:lang w:val="en-US" w:eastAsia="zh-CN"/>
        </w:rPr>
        <w:t>Philippians</w:t>
      </w:r>
    </w:p>
    <w:p w14:paraId="22B50631">
      <w:pPr>
        <w:bidi w:val="0"/>
        <w:rPr>
          <w:rFonts w:hint="eastAsia"/>
          <w:lang w:val="en-US" w:eastAsia="zh-CN"/>
        </w:rPr>
      </w:pPr>
    </w:p>
    <w:p w14:paraId="07BC771D">
      <w:pPr>
        <w:bidi w:val="0"/>
        <w:rPr>
          <w:rFonts w:hint="eastAsia"/>
          <w:lang w:val="en-US" w:eastAsia="zh-CN"/>
        </w:rPr>
      </w:pPr>
      <w:r>
        <w:rPr>
          <w:rFonts w:hint="eastAsia"/>
          <w:lang w:val="en-US" w:eastAsia="zh-CN"/>
        </w:rPr>
        <w:t>腓立比书</w:t>
      </w:r>
    </w:p>
    <w:p w14:paraId="203C1218">
      <w:pPr>
        <w:bidi w:val="0"/>
        <w:rPr>
          <w:rFonts w:hint="eastAsia"/>
          <w:lang w:val="en-US" w:eastAsia="zh-CN"/>
        </w:rPr>
      </w:pPr>
    </w:p>
    <w:p w14:paraId="4AB0C786">
      <w:pPr>
        <w:bidi w:val="0"/>
        <w:rPr>
          <w:rFonts w:hint="eastAsia"/>
          <w:lang w:val="en-US" w:eastAsia="zh-CN"/>
        </w:rPr>
      </w:pPr>
      <w:r>
        <w:rPr>
          <w:rFonts w:hint="eastAsia"/>
          <w:lang w:val="en-US" w:eastAsia="zh-CN"/>
        </w:rPr>
        <w:t>1:6-11 136, 403, 672</w:t>
      </w:r>
    </w:p>
    <w:p w14:paraId="4C80AFC8">
      <w:pPr>
        <w:bidi w:val="0"/>
        <w:rPr>
          <w:rFonts w:hint="eastAsia"/>
          <w:lang w:val="en-US" w:eastAsia="zh-CN"/>
        </w:rPr>
      </w:pPr>
    </w:p>
    <w:p w14:paraId="4DCA82F8">
      <w:pPr>
        <w:bidi w:val="0"/>
        <w:rPr>
          <w:rFonts w:hint="eastAsia"/>
          <w:lang w:val="en-US" w:eastAsia="zh-CN"/>
        </w:rPr>
      </w:pPr>
      <w:r>
        <w:rPr>
          <w:rFonts w:hint="eastAsia"/>
          <w:lang w:val="en-US" w:eastAsia="zh-CN"/>
        </w:rPr>
        <w:t>1:6-11 136, 403, 672</w:t>
      </w:r>
    </w:p>
    <w:p w14:paraId="787DF1A7">
      <w:pPr>
        <w:bidi w:val="0"/>
        <w:rPr>
          <w:rFonts w:hint="eastAsia"/>
          <w:lang w:val="en-US" w:eastAsia="zh-CN"/>
        </w:rPr>
      </w:pPr>
    </w:p>
    <w:p w14:paraId="0C8AD277">
      <w:pPr>
        <w:bidi w:val="0"/>
        <w:rPr>
          <w:rFonts w:hint="eastAsia"/>
          <w:lang w:val="en-US" w:eastAsia="zh-CN"/>
        </w:rPr>
      </w:pPr>
      <w:r>
        <w:rPr>
          <w:rFonts w:hint="eastAsia"/>
          <w:lang w:val="en-US" w:eastAsia="zh-CN"/>
        </w:rPr>
        <w:t>1:16 136</w:t>
      </w:r>
    </w:p>
    <w:p w14:paraId="2FF04DC0">
      <w:pPr>
        <w:bidi w:val="0"/>
        <w:rPr>
          <w:rFonts w:hint="eastAsia"/>
          <w:lang w:val="en-US" w:eastAsia="zh-CN"/>
        </w:rPr>
      </w:pPr>
    </w:p>
    <w:p w14:paraId="64BA5E92">
      <w:pPr>
        <w:bidi w:val="0"/>
        <w:rPr>
          <w:rFonts w:hint="eastAsia"/>
          <w:lang w:val="en-US" w:eastAsia="zh-CN"/>
        </w:rPr>
      </w:pPr>
      <w:r>
        <w:rPr>
          <w:rFonts w:hint="eastAsia"/>
          <w:lang w:val="en-US" w:eastAsia="zh-CN"/>
        </w:rPr>
        <w:t>1:16 136</w:t>
      </w:r>
    </w:p>
    <w:p w14:paraId="0551923C">
      <w:pPr>
        <w:bidi w:val="0"/>
        <w:rPr>
          <w:rFonts w:hint="eastAsia"/>
          <w:lang w:val="en-US" w:eastAsia="zh-CN"/>
        </w:rPr>
      </w:pPr>
    </w:p>
    <w:p w14:paraId="370E018D">
      <w:pPr>
        <w:bidi w:val="0"/>
        <w:rPr>
          <w:rFonts w:hint="eastAsia"/>
          <w:lang w:val="en-US" w:eastAsia="zh-CN"/>
        </w:rPr>
      </w:pPr>
      <w:r>
        <w:rPr>
          <w:rFonts w:hint="eastAsia"/>
          <w:lang w:val="en-US" w:eastAsia="zh-CN"/>
        </w:rPr>
        <w:t>1:19-26 2, 477, 559</w:t>
      </w:r>
    </w:p>
    <w:p w14:paraId="3F44F72C">
      <w:pPr>
        <w:bidi w:val="0"/>
        <w:rPr>
          <w:rFonts w:hint="eastAsia"/>
          <w:lang w:val="en-US" w:eastAsia="zh-CN"/>
        </w:rPr>
      </w:pPr>
    </w:p>
    <w:p w14:paraId="484DB581">
      <w:pPr>
        <w:bidi w:val="0"/>
        <w:rPr>
          <w:rFonts w:hint="eastAsia"/>
          <w:lang w:val="en-US" w:eastAsia="zh-CN"/>
        </w:rPr>
      </w:pPr>
      <w:r>
        <w:rPr>
          <w:rFonts w:hint="eastAsia"/>
          <w:lang w:val="en-US" w:eastAsia="zh-CN"/>
        </w:rPr>
        <w:t>1:19-26 2, 477, 559</w:t>
      </w:r>
    </w:p>
    <w:p w14:paraId="3CB86DF7">
      <w:pPr>
        <w:bidi w:val="0"/>
        <w:rPr>
          <w:rFonts w:hint="eastAsia"/>
          <w:lang w:val="en-US" w:eastAsia="zh-CN"/>
        </w:rPr>
      </w:pPr>
    </w:p>
    <w:p w14:paraId="41BC1DD1">
      <w:pPr>
        <w:bidi w:val="0"/>
        <w:rPr>
          <w:rFonts w:hint="eastAsia"/>
          <w:lang w:val="en-US" w:eastAsia="zh-CN"/>
        </w:rPr>
      </w:pPr>
      <w:r>
        <w:rPr>
          <w:rFonts w:hint="eastAsia"/>
          <w:lang w:val="en-US" w:eastAsia="zh-CN"/>
        </w:rPr>
        <w:t>1:28 xxv, 574</w:t>
      </w:r>
    </w:p>
    <w:p w14:paraId="2BF5AABD">
      <w:pPr>
        <w:bidi w:val="0"/>
        <w:rPr>
          <w:rFonts w:hint="eastAsia"/>
          <w:lang w:val="en-US" w:eastAsia="zh-CN"/>
        </w:rPr>
      </w:pPr>
    </w:p>
    <w:p w14:paraId="544AE101">
      <w:pPr>
        <w:bidi w:val="0"/>
        <w:rPr>
          <w:rFonts w:hint="eastAsia"/>
          <w:lang w:val="en-US" w:eastAsia="zh-CN"/>
        </w:rPr>
      </w:pPr>
      <w:r>
        <w:rPr>
          <w:rFonts w:hint="eastAsia"/>
          <w:lang w:val="en-US" w:eastAsia="zh-CN"/>
        </w:rPr>
        <w:t>1:28 xxv, 574</w:t>
      </w:r>
    </w:p>
    <w:p w14:paraId="7DF8FE85">
      <w:pPr>
        <w:bidi w:val="0"/>
        <w:rPr>
          <w:rFonts w:hint="eastAsia"/>
          <w:lang w:val="en-US" w:eastAsia="zh-CN"/>
        </w:rPr>
      </w:pPr>
    </w:p>
    <w:p w14:paraId="4F3140BB">
      <w:pPr>
        <w:bidi w:val="0"/>
        <w:rPr>
          <w:rFonts w:hint="eastAsia"/>
          <w:lang w:val="en-US" w:eastAsia="zh-CN"/>
        </w:rPr>
      </w:pPr>
      <w:r>
        <w:rPr>
          <w:rFonts w:hint="eastAsia"/>
          <w:lang w:val="en-US" w:eastAsia="zh-CN"/>
        </w:rPr>
        <w:t>2:5-11 87, 95, 98, 103, 322, 360, 399, 420, 566, 605</w:t>
      </w:r>
    </w:p>
    <w:p w14:paraId="5ADB6889">
      <w:pPr>
        <w:bidi w:val="0"/>
        <w:rPr>
          <w:rFonts w:hint="eastAsia"/>
          <w:lang w:val="en-US" w:eastAsia="zh-CN"/>
        </w:rPr>
      </w:pPr>
    </w:p>
    <w:p w14:paraId="344794F3">
      <w:pPr>
        <w:bidi w:val="0"/>
        <w:rPr>
          <w:rFonts w:hint="eastAsia"/>
          <w:lang w:val="en-US" w:eastAsia="zh-CN"/>
        </w:rPr>
      </w:pPr>
      <w:r>
        <w:rPr>
          <w:rFonts w:hint="eastAsia"/>
          <w:lang w:val="en-US" w:eastAsia="zh-CN"/>
        </w:rPr>
        <w:t>2:5-11 87, 95, 98, 103, 322, 360, 399, 420, 566, 605</w:t>
      </w:r>
    </w:p>
    <w:p w14:paraId="261C899B">
      <w:pPr>
        <w:bidi w:val="0"/>
        <w:rPr>
          <w:rFonts w:hint="eastAsia"/>
          <w:lang w:val="en-US" w:eastAsia="zh-CN"/>
        </w:rPr>
      </w:pPr>
    </w:p>
    <w:p w14:paraId="462C64A3">
      <w:pPr>
        <w:bidi w:val="0"/>
        <w:rPr>
          <w:rFonts w:hint="eastAsia"/>
          <w:lang w:val="en-US" w:eastAsia="zh-CN"/>
        </w:rPr>
      </w:pPr>
      <w:r>
        <w:rPr>
          <w:rFonts w:hint="eastAsia"/>
          <w:lang w:val="en-US" w:eastAsia="zh-CN"/>
        </w:rPr>
        <w:t>3:8-11 166, 298, 673</w:t>
      </w:r>
    </w:p>
    <w:p w14:paraId="3FD09F61">
      <w:pPr>
        <w:bidi w:val="0"/>
        <w:rPr>
          <w:rFonts w:hint="eastAsia"/>
          <w:lang w:val="en-US" w:eastAsia="zh-CN"/>
        </w:rPr>
      </w:pPr>
    </w:p>
    <w:p w14:paraId="2E116596">
      <w:pPr>
        <w:bidi w:val="0"/>
        <w:rPr>
          <w:rFonts w:hint="eastAsia"/>
          <w:lang w:val="en-US" w:eastAsia="zh-CN"/>
        </w:rPr>
      </w:pPr>
      <w:r>
        <w:rPr>
          <w:rFonts w:hint="eastAsia"/>
          <w:lang w:val="en-US" w:eastAsia="zh-CN"/>
        </w:rPr>
        <w:t>3:8-11 166, 298, 673</w:t>
      </w:r>
    </w:p>
    <w:p w14:paraId="585622D3">
      <w:pPr>
        <w:bidi w:val="0"/>
        <w:rPr>
          <w:rFonts w:hint="eastAsia"/>
          <w:lang w:val="en-US" w:eastAsia="zh-CN"/>
        </w:rPr>
      </w:pPr>
    </w:p>
    <w:p w14:paraId="17064E95">
      <w:pPr>
        <w:bidi w:val="0"/>
        <w:rPr>
          <w:rFonts w:hint="eastAsia"/>
          <w:lang w:val="en-US" w:eastAsia="zh-CN"/>
        </w:rPr>
      </w:pPr>
      <w:r>
        <w:rPr>
          <w:rFonts w:hint="eastAsia"/>
          <w:lang w:val="en-US" w:eastAsia="zh-CN"/>
        </w:rPr>
        <w:t>3:17-21 561</w:t>
      </w:r>
    </w:p>
    <w:p w14:paraId="0BF8A07C">
      <w:pPr>
        <w:bidi w:val="0"/>
        <w:rPr>
          <w:rFonts w:hint="eastAsia"/>
          <w:lang w:val="en-US" w:eastAsia="zh-CN"/>
        </w:rPr>
      </w:pPr>
    </w:p>
    <w:p w14:paraId="38A4C104">
      <w:pPr>
        <w:bidi w:val="0"/>
        <w:rPr>
          <w:rFonts w:hint="eastAsia"/>
          <w:lang w:val="en-US" w:eastAsia="zh-CN"/>
        </w:rPr>
      </w:pPr>
      <w:r>
        <w:rPr>
          <w:rFonts w:hint="eastAsia"/>
          <w:lang w:val="en-US" w:eastAsia="zh-CN"/>
        </w:rPr>
        <w:t>3:17-21 561</w:t>
      </w:r>
    </w:p>
    <w:p w14:paraId="1163CA65">
      <w:pPr>
        <w:bidi w:val="0"/>
        <w:rPr>
          <w:rFonts w:hint="eastAsia"/>
          <w:lang w:val="en-US" w:eastAsia="zh-CN"/>
        </w:rPr>
      </w:pPr>
    </w:p>
    <w:p w14:paraId="2F3183EC">
      <w:pPr>
        <w:bidi w:val="0"/>
        <w:rPr>
          <w:rFonts w:hint="eastAsia"/>
          <w:lang w:val="en-US" w:eastAsia="zh-CN"/>
        </w:rPr>
      </w:pPr>
      <w:r>
        <w:rPr>
          <w:rFonts w:hint="eastAsia"/>
          <w:lang w:val="en-US" w:eastAsia="zh-CN"/>
        </w:rPr>
        <w:t>3:20-21 18, 64, 136, 152-153, 279, 519, 542, 597, 601</w:t>
      </w:r>
    </w:p>
    <w:p w14:paraId="2FE6FC7A">
      <w:pPr>
        <w:bidi w:val="0"/>
        <w:rPr>
          <w:rFonts w:hint="eastAsia"/>
          <w:lang w:val="en-US" w:eastAsia="zh-CN"/>
        </w:rPr>
      </w:pPr>
    </w:p>
    <w:p w14:paraId="0289E5E1">
      <w:pPr>
        <w:bidi w:val="0"/>
        <w:rPr>
          <w:rFonts w:hint="eastAsia"/>
          <w:lang w:val="en-US" w:eastAsia="zh-CN"/>
        </w:rPr>
      </w:pPr>
      <w:r>
        <w:rPr>
          <w:rFonts w:hint="eastAsia"/>
          <w:lang w:val="en-US" w:eastAsia="zh-CN"/>
        </w:rPr>
        <w:t>3:20-21 18, 64, 136, 152-153, 279, 519, 542, 597, 601</w:t>
      </w:r>
    </w:p>
    <w:p w14:paraId="7A3D735D">
      <w:pPr>
        <w:bidi w:val="0"/>
        <w:rPr>
          <w:rFonts w:hint="eastAsia"/>
          <w:lang w:val="en-US" w:eastAsia="zh-CN"/>
        </w:rPr>
      </w:pPr>
    </w:p>
    <w:p w14:paraId="0547856D">
      <w:pPr>
        <w:bidi w:val="0"/>
        <w:rPr>
          <w:rFonts w:hint="eastAsia"/>
          <w:lang w:val="en-US" w:eastAsia="zh-CN"/>
        </w:rPr>
      </w:pPr>
      <w:r>
        <w:rPr>
          <w:rFonts w:hint="eastAsia"/>
          <w:lang w:val="en-US" w:eastAsia="zh-CN"/>
        </w:rPr>
        <w:t>Colossians</w:t>
      </w:r>
    </w:p>
    <w:p w14:paraId="0601AF5D">
      <w:pPr>
        <w:bidi w:val="0"/>
        <w:rPr>
          <w:rFonts w:hint="eastAsia"/>
          <w:lang w:val="en-US" w:eastAsia="zh-CN"/>
        </w:rPr>
      </w:pPr>
    </w:p>
    <w:p w14:paraId="3CCAC805">
      <w:pPr>
        <w:bidi w:val="0"/>
        <w:rPr>
          <w:rFonts w:hint="eastAsia"/>
          <w:lang w:val="en-US" w:eastAsia="zh-CN"/>
        </w:rPr>
      </w:pPr>
      <w:r>
        <w:rPr>
          <w:rFonts w:hint="eastAsia"/>
          <w:lang w:val="en-US" w:eastAsia="zh-CN"/>
        </w:rPr>
        <w:t>歌罗西书</w:t>
      </w:r>
    </w:p>
    <w:p w14:paraId="2D703766">
      <w:pPr>
        <w:bidi w:val="0"/>
        <w:rPr>
          <w:rFonts w:hint="eastAsia"/>
          <w:lang w:val="en-US" w:eastAsia="zh-CN"/>
        </w:rPr>
      </w:pPr>
    </w:p>
    <w:p w14:paraId="7CA27672">
      <w:pPr>
        <w:bidi w:val="0"/>
        <w:rPr>
          <w:rFonts w:hint="eastAsia"/>
          <w:lang w:val="en-US" w:eastAsia="zh-CN"/>
        </w:rPr>
      </w:pPr>
      <w:r>
        <w:rPr>
          <w:rFonts w:hint="eastAsia"/>
          <w:lang w:val="en-US" w:eastAsia="zh-CN"/>
        </w:rPr>
        <w:t>1:13-14 64, 77, 81, 132, 145, 153, 174, 315, 403</w:t>
      </w:r>
    </w:p>
    <w:p w14:paraId="4EE3FF7C">
      <w:pPr>
        <w:bidi w:val="0"/>
        <w:rPr>
          <w:rFonts w:hint="eastAsia"/>
          <w:lang w:val="en-US" w:eastAsia="zh-CN"/>
        </w:rPr>
      </w:pPr>
    </w:p>
    <w:p w14:paraId="2BD07C13">
      <w:pPr>
        <w:bidi w:val="0"/>
        <w:rPr>
          <w:rFonts w:hint="eastAsia"/>
          <w:lang w:val="en-US" w:eastAsia="zh-CN"/>
        </w:rPr>
      </w:pPr>
      <w:r>
        <w:rPr>
          <w:rFonts w:hint="eastAsia"/>
          <w:lang w:val="en-US" w:eastAsia="zh-CN"/>
        </w:rPr>
        <w:t>1:13-14 64, 77, 81, 132, 145, 153, 174, 315, 403</w:t>
      </w:r>
    </w:p>
    <w:p w14:paraId="66DC4A24">
      <w:pPr>
        <w:bidi w:val="0"/>
        <w:rPr>
          <w:rFonts w:hint="eastAsia"/>
          <w:lang w:val="en-US" w:eastAsia="zh-CN"/>
        </w:rPr>
      </w:pPr>
    </w:p>
    <w:p w14:paraId="54920401">
      <w:pPr>
        <w:bidi w:val="0"/>
        <w:rPr>
          <w:rFonts w:hint="eastAsia"/>
          <w:lang w:val="en-US" w:eastAsia="zh-CN"/>
        </w:rPr>
      </w:pPr>
      <w:r>
        <w:rPr>
          <w:rFonts w:hint="eastAsia"/>
          <w:lang w:val="en-US" w:eastAsia="zh-CN"/>
        </w:rPr>
        <w:t>1:15-18 73, 76</w:t>
      </w:r>
    </w:p>
    <w:p w14:paraId="4BC0F2BA">
      <w:pPr>
        <w:bidi w:val="0"/>
        <w:rPr>
          <w:rFonts w:hint="eastAsia"/>
          <w:lang w:val="en-US" w:eastAsia="zh-CN"/>
        </w:rPr>
      </w:pPr>
    </w:p>
    <w:p w14:paraId="0D9DDD3B">
      <w:pPr>
        <w:bidi w:val="0"/>
        <w:rPr>
          <w:rFonts w:hint="eastAsia"/>
          <w:lang w:val="en-US" w:eastAsia="zh-CN"/>
        </w:rPr>
      </w:pPr>
      <w:r>
        <w:rPr>
          <w:rFonts w:hint="eastAsia"/>
          <w:lang w:val="en-US" w:eastAsia="zh-CN"/>
        </w:rPr>
        <w:t>1:15-18 73, 76</w:t>
      </w:r>
    </w:p>
    <w:p w14:paraId="3DE86C90">
      <w:pPr>
        <w:bidi w:val="0"/>
        <w:rPr>
          <w:rFonts w:hint="eastAsia"/>
          <w:lang w:val="en-US" w:eastAsia="zh-CN"/>
        </w:rPr>
      </w:pPr>
    </w:p>
    <w:p w14:paraId="4FFD9D1A">
      <w:pPr>
        <w:bidi w:val="0"/>
        <w:rPr>
          <w:rFonts w:hint="eastAsia"/>
          <w:lang w:val="en-US" w:eastAsia="zh-CN"/>
        </w:rPr>
      </w:pPr>
      <w:r>
        <w:rPr>
          <w:rFonts w:hint="eastAsia"/>
          <w:lang w:val="en-US" w:eastAsia="zh-CN"/>
        </w:rPr>
        <w:t>1:15-20 150</w:t>
      </w:r>
    </w:p>
    <w:p w14:paraId="1F595897">
      <w:pPr>
        <w:bidi w:val="0"/>
        <w:rPr>
          <w:rFonts w:hint="eastAsia"/>
          <w:lang w:val="en-US" w:eastAsia="zh-CN"/>
        </w:rPr>
      </w:pPr>
    </w:p>
    <w:p w14:paraId="27F3F081">
      <w:pPr>
        <w:bidi w:val="0"/>
        <w:rPr>
          <w:rFonts w:hint="eastAsia"/>
          <w:lang w:val="en-US" w:eastAsia="zh-CN"/>
        </w:rPr>
      </w:pPr>
      <w:r>
        <w:rPr>
          <w:rFonts w:hint="eastAsia"/>
          <w:lang w:val="en-US" w:eastAsia="zh-CN"/>
        </w:rPr>
        <w:t>1:15-20 150</w:t>
      </w:r>
    </w:p>
    <w:p w14:paraId="36CD99BB">
      <w:pPr>
        <w:bidi w:val="0"/>
        <w:rPr>
          <w:rFonts w:hint="eastAsia"/>
          <w:lang w:val="en-US" w:eastAsia="zh-CN"/>
        </w:rPr>
      </w:pPr>
    </w:p>
    <w:p w14:paraId="4DAD6AC3">
      <w:pPr>
        <w:bidi w:val="0"/>
        <w:rPr>
          <w:rFonts w:hint="eastAsia"/>
          <w:lang w:val="en-US" w:eastAsia="zh-CN"/>
        </w:rPr>
      </w:pPr>
      <w:r>
        <w:rPr>
          <w:rFonts w:hint="eastAsia"/>
          <w:lang w:val="en-US" w:eastAsia="zh-CN"/>
        </w:rPr>
        <w:t>1:17 509</w:t>
      </w:r>
    </w:p>
    <w:p w14:paraId="6274A814">
      <w:pPr>
        <w:bidi w:val="0"/>
        <w:rPr>
          <w:rFonts w:hint="eastAsia"/>
          <w:lang w:val="en-US" w:eastAsia="zh-CN"/>
        </w:rPr>
      </w:pPr>
    </w:p>
    <w:p w14:paraId="7F739558">
      <w:pPr>
        <w:bidi w:val="0"/>
        <w:rPr>
          <w:rFonts w:hint="eastAsia"/>
          <w:lang w:val="en-US" w:eastAsia="zh-CN"/>
        </w:rPr>
      </w:pPr>
      <w:r>
        <w:rPr>
          <w:rFonts w:hint="eastAsia"/>
          <w:lang w:val="en-US" w:eastAsia="zh-CN"/>
        </w:rPr>
        <w:t>1:17 509</w:t>
      </w:r>
    </w:p>
    <w:p w14:paraId="14777DCF">
      <w:pPr>
        <w:bidi w:val="0"/>
        <w:rPr>
          <w:rFonts w:hint="eastAsia"/>
          <w:lang w:val="en-US" w:eastAsia="zh-CN"/>
        </w:rPr>
      </w:pPr>
    </w:p>
    <w:p w14:paraId="1958905A">
      <w:pPr>
        <w:bidi w:val="0"/>
        <w:rPr>
          <w:rFonts w:hint="eastAsia"/>
          <w:lang w:val="en-US" w:eastAsia="zh-CN"/>
        </w:rPr>
      </w:pPr>
      <w:r>
        <w:rPr>
          <w:rFonts w:hint="eastAsia"/>
          <w:lang w:val="en-US" w:eastAsia="zh-CN"/>
        </w:rPr>
        <w:t>1:25-27 49, 92</w:t>
      </w:r>
    </w:p>
    <w:p w14:paraId="09812985">
      <w:pPr>
        <w:bidi w:val="0"/>
        <w:rPr>
          <w:rFonts w:hint="eastAsia"/>
          <w:lang w:val="en-US" w:eastAsia="zh-CN"/>
        </w:rPr>
      </w:pPr>
    </w:p>
    <w:p w14:paraId="235BC03D">
      <w:pPr>
        <w:bidi w:val="0"/>
        <w:rPr>
          <w:rFonts w:hint="eastAsia"/>
          <w:lang w:val="en-US" w:eastAsia="zh-CN"/>
        </w:rPr>
      </w:pPr>
      <w:r>
        <w:rPr>
          <w:rFonts w:hint="eastAsia"/>
          <w:lang w:val="en-US" w:eastAsia="zh-CN"/>
        </w:rPr>
        <w:t>1:25-27 49, 92</w:t>
      </w:r>
    </w:p>
    <w:p w14:paraId="66FD1FAB">
      <w:pPr>
        <w:bidi w:val="0"/>
        <w:rPr>
          <w:rFonts w:hint="eastAsia"/>
          <w:lang w:val="en-US" w:eastAsia="zh-CN"/>
        </w:rPr>
      </w:pPr>
    </w:p>
    <w:p w14:paraId="577FCA21">
      <w:pPr>
        <w:bidi w:val="0"/>
        <w:rPr>
          <w:rFonts w:hint="eastAsia"/>
          <w:lang w:val="en-US" w:eastAsia="zh-CN"/>
        </w:rPr>
      </w:pPr>
      <w:r>
        <w:rPr>
          <w:rFonts w:hint="eastAsia"/>
          <w:lang w:val="en-US" w:eastAsia="zh-CN"/>
        </w:rPr>
        <w:t>2:1-3 42, 49</w:t>
      </w:r>
    </w:p>
    <w:p w14:paraId="414D908E">
      <w:pPr>
        <w:bidi w:val="0"/>
        <w:rPr>
          <w:rFonts w:hint="eastAsia"/>
          <w:lang w:val="en-US" w:eastAsia="zh-CN"/>
        </w:rPr>
      </w:pPr>
    </w:p>
    <w:p w14:paraId="612FE49D">
      <w:pPr>
        <w:bidi w:val="0"/>
        <w:rPr>
          <w:rFonts w:hint="eastAsia"/>
          <w:lang w:val="en-US" w:eastAsia="zh-CN"/>
        </w:rPr>
      </w:pPr>
      <w:r>
        <w:rPr>
          <w:rFonts w:hint="eastAsia"/>
          <w:lang w:val="en-US" w:eastAsia="zh-CN"/>
        </w:rPr>
        <w:t>2:1-3 42, 49</w:t>
      </w:r>
    </w:p>
    <w:p w14:paraId="4A659ACF">
      <w:pPr>
        <w:bidi w:val="0"/>
        <w:rPr>
          <w:rFonts w:hint="eastAsia"/>
          <w:lang w:val="en-US" w:eastAsia="zh-CN"/>
        </w:rPr>
      </w:pPr>
    </w:p>
    <w:p w14:paraId="71DA95A1">
      <w:pPr>
        <w:bidi w:val="0"/>
        <w:rPr>
          <w:rFonts w:hint="eastAsia"/>
          <w:lang w:val="en-US" w:eastAsia="zh-CN"/>
        </w:rPr>
      </w:pPr>
      <w:r>
        <w:rPr>
          <w:rFonts w:hint="eastAsia"/>
          <w:lang w:val="en-US" w:eastAsia="zh-CN"/>
        </w:rPr>
        <w:t>2:8-15 472</w:t>
      </w:r>
    </w:p>
    <w:p w14:paraId="0D773943">
      <w:pPr>
        <w:bidi w:val="0"/>
        <w:rPr>
          <w:rFonts w:hint="eastAsia"/>
          <w:lang w:val="en-US" w:eastAsia="zh-CN"/>
        </w:rPr>
      </w:pPr>
    </w:p>
    <w:p w14:paraId="14017260">
      <w:pPr>
        <w:bidi w:val="0"/>
        <w:rPr>
          <w:rFonts w:hint="eastAsia"/>
          <w:lang w:val="en-US" w:eastAsia="zh-CN"/>
        </w:rPr>
      </w:pPr>
      <w:r>
        <w:rPr>
          <w:rFonts w:hint="eastAsia"/>
          <w:lang w:val="en-US" w:eastAsia="zh-CN"/>
        </w:rPr>
        <w:t>2:8-15 472</w:t>
      </w:r>
    </w:p>
    <w:p w14:paraId="23AD9296">
      <w:pPr>
        <w:bidi w:val="0"/>
        <w:rPr>
          <w:rFonts w:hint="eastAsia"/>
          <w:lang w:val="en-US" w:eastAsia="zh-CN"/>
        </w:rPr>
      </w:pPr>
    </w:p>
    <w:p w14:paraId="111F33FF">
      <w:pPr>
        <w:bidi w:val="0"/>
        <w:rPr>
          <w:rFonts w:hint="eastAsia"/>
          <w:lang w:val="en-US" w:eastAsia="zh-CN"/>
        </w:rPr>
      </w:pPr>
      <w:r>
        <w:rPr>
          <w:rFonts w:hint="eastAsia"/>
          <w:lang w:val="en-US" w:eastAsia="zh-CN"/>
        </w:rPr>
        <w:t>2:13 42</w:t>
      </w:r>
    </w:p>
    <w:p w14:paraId="1C280C9E">
      <w:pPr>
        <w:bidi w:val="0"/>
        <w:rPr>
          <w:rFonts w:hint="eastAsia"/>
          <w:lang w:val="en-US" w:eastAsia="zh-CN"/>
        </w:rPr>
      </w:pPr>
    </w:p>
    <w:p w14:paraId="5C840348">
      <w:pPr>
        <w:bidi w:val="0"/>
        <w:rPr>
          <w:rFonts w:hint="eastAsia"/>
          <w:lang w:val="en-US" w:eastAsia="zh-CN"/>
        </w:rPr>
      </w:pPr>
      <w:r>
        <w:rPr>
          <w:rFonts w:hint="eastAsia"/>
          <w:lang w:val="en-US" w:eastAsia="zh-CN"/>
        </w:rPr>
        <w:t>2:13 42</w:t>
      </w:r>
    </w:p>
    <w:p w14:paraId="1DB36022">
      <w:pPr>
        <w:bidi w:val="0"/>
        <w:rPr>
          <w:rFonts w:hint="eastAsia"/>
          <w:lang w:val="en-US" w:eastAsia="zh-CN"/>
        </w:rPr>
      </w:pPr>
    </w:p>
    <w:p w14:paraId="04BBF3FA">
      <w:pPr>
        <w:bidi w:val="0"/>
        <w:rPr>
          <w:rFonts w:hint="eastAsia"/>
          <w:lang w:val="en-US" w:eastAsia="zh-CN"/>
        </w:rPr>
      </w:pPr>
      <w:r>
        <w:rPr>
          <w:rFonts w:hint="eastAsia"/>
          <w:lang w:val="en-US" w:eastAsia="zh-CN"/>
        </w:rPr>
        <w:t>2:14 97</w:t>
      </w:r>
    </w:p>
    <w:p w14:paraId="6A100EFD">
      <w:pPr>
        <w:bidi w:val="0"/>
        <w:rPr>
          <w:rFonts w:hint="eastAsia"/>
          <w:lang w:val="en-US" w:eastAsia="zh-CN"/>
        </w:rPr>
      </w:pPr>
    </w:p>
    <w:p w14:paraId="2B5C9FA4">
      <w:pPr>
        <w:bidi w:val="0"/>
        <w:rPr>
          <w:rFonts w:hint="eastAsia"/>
          <w:lang w:val="en-US" w:eastAsia="zh-CN"/>
        </w:rPr>
      </w:pPr>
      <w:r>
        <w:rPr>
          <w:rFonts w:hint="eastAsia"/>
          <w:lang w:val="en-US" w:eastAsia="zh-CN"/>
        </w:rPr>
        <w:t>2:14 97</w:t>
      </w:r>
    </w:p>
    <w:p w14:paraId="119B3CAE">
      <w:pPr>
        <w:bidi w:val="0"/>
        <w:rPr>
          <w:rFonts w:hint="eastAsia"/>
          <w:lang w:val="en-US" w:eastAsia="zh-CN"/>
        </w:rPr>
      </w:pPr>
    </w:p>
    <w:p w14:paraId="189173D8">
      <w:pPr>
        <w:bidi w:val="0"/>
        <w:rPr>
          <w:rFonts w:hint="eastAsia"/>
          <w:lang w:val="en-US" w:eastAsia="zh-CN"/>
        </w:rPr>
      </w:pPr>
      <w:r>
        <w:rPr>
          <w:rFonts w:hint="eastAsia"/>
          <w:lang w:val="en-US" w:eastAsia="zh-CN"/>
        </w:rPr>
        <w:t>2:15 108</w:t>
      </w:r>
    </w:p>
    <w:p w14:paraId="4D413EB9">
      <w:pPr>
        <w:bidi w:val="0"/>
        <w:rPr>
          <w:rFonts w:hint="eastAsia"/>
          <w:lang w:val="en-US" w:eastAsia="zh-CN"/>
        </w:rPr>
      </w:pPr>
    </w:p>
    <w:p w14:paraId="5B2CCEF3">
      <w:pPr>
        <w:bidi w:val="0"/>
        <w:rPr>
          <w:rFonts w:hint="eastAsia"/>
          <w:lang w:val="en-US" w:eastAsia="zh-CN"/>
        </w:rPr>
      </w:pPr>
      <w:r>
        <w:rPr>
          <w:rFonts w:hint="eastAsia"/>
          <w:lang w:val="en-US" w:eastAsia="zh-CN"/>
        </w:rPr>
        <w:t>2:15 108</w:t>
      </w:r>
    </w:p>
    <w:p w14:paraId="4D0962DA">
      <w:pPr>
        <w:bidi w:val="0"/>
        <w:rPr>
          <w:rFonts w:hint="eastAsia"/>
          <w:lang w:val="en-US" w:eastAsia="zh-CN"/>
        </w:rPr>
      </w:pPr>
    </w:p>
    <w:p w14:paraId="596A5FBF">
      <w:pPr>
        <w:bidi w:val="0"/>
        <w:rPr>
          <w:rFonts w:hint="eastAsia"/>
          <w:lang w:val="en-US" w:eastAsia="zh-CN"/>
        </w:rPr>
      </w:pPr>
      <w:r>
        <w:rPr>
          <w:rFonts w:hint="eastAsia"/>
          <w:lang w:val="en-US" w:eastAsia="zh-CN"/>
        </w:rPr>
        <w:t>2:16-18 14, 49, 92, 161, 181, 232, 409</w:t>
      </w:r>
    </w:p>
    <w:p w14:paraId="38BDEF37">
      <w:pPr>
        <w:bidi w:val="0"/>
        <w:rPr>
          <w:rFonts w:hint="eastAsia"/>
          <w:lang w:val="en-US" w:eastAsia="zh-CN"/>
        </w:rPr>
      </w:pPr>
    </w:p>
    <w:p w14:paraId="2685476C">
      <w:pPr>
        <w:bidi w:val="0"/>
        <w:rPr>
          <w:rFonts w:hint="eastAsia"/>
          <w:lang w:val="en-US" w:eastAsia="zh-CN"/>
        </w:rPr>
      </w:pPr>
      <w:r>
        <w:rPr>
          <w:rFonts w:hint="eastAsia"/>
          <w:lang w:val="en-US" w:eastAsia="zh-CN"/>
        </w:rPr>
        <w:t>2:16-18 14, 49, 92, 161, 181, 232, 409</w:t>
      </w:r>
    </w:p>
    <w:p w14:paraId="306527B3">
      <w:pPr>
        <w:bidi w:val="0"/>
        <w:rPr>
          <w:rFonts w:hint="eastAsia"/>
          <w:lang w:val="en-US" w:eastAsia="zh-CN"/>
        </w:rPr>
      </w:pPr>
    </w:p>
    <w:p w14:paraId="4CB3A8D8">
      <w:pPr>
        <w:bidi w:val="0"/>
        <w:rPr>
          <w:rFonts w:hint="eastAsia"/>
          <w:lang w:val="en-US" w:eastAsia="zh-CN"/>
        </w:rPr>
      </w:pPr>
      <w:r>
        <w:rPr>
          <w:rFonts w:hint="eastAsia"/>
          <w:lang w:val="en-US" w:eastAsia="zh-CN"/>
        </w:rPr>
        <w:t>2:17 232</w:t>
      </w:r>
    </w:p>
    <w:p w14:paraId="5C4DB7E9">
      <w:pPr>
        <w:bidi w:val="0"/>
        <w:rPr>
          <w:rFonts w:hint="eastAsia"/>
          <w:lang w:val="en-US" w:eastAsia="zh-CN"/>
        </w:rPr>
      </w:pPr>
    </w:p>
    <w:p w14:paraId="7EC3D964">
      <w:pPr>
        <w:bidi w:val="0"/>
        <w:rPr>
          <w:rFonts w:hint="eastAsia"/>
          <w:lang w:val="en-US" w:eastAsia="zh-CN"/>
        </w:rPr>
      </w:pPr>
      <w:r>
        <w:rPr>
          <w:rFonts w:hint="eastAsia"/>
          <w:lang w:val="en-US" w:eastAsia="zh-CN"/>
        </w:rPr>
        <w:t>2:17 232</w:t>
      </w:r>
    </w:p>
    <w:p w14:paraId="49E0105D">
      <w:pPr>
        <w:bidi w:val="0"/>
        <w:rPr>
          <w:rFonts w:hint="eastAsia"/>
          <w:lang w:val="en-US" w:eastAsia="zh-CN"/>
        </w:rPr>
      </w:pPr>
    </w:p>
    <w:p w14:paraId="3603774A">
      <w:pPr>
        <w:bidi w:val="0"/>
        <w:rPr>
          <w:rFonts w:hint="eastAsia"/>
          <w:lang w:val="en-US" w:eastAsia="zh-CN"/>
        </w:rPr>
      </w:pPr>
      <w:r>
        <w:rPr>
          <w:rFonts w:hint="eastAsia"/>
          <w:lang w:val="en-US" w:eastAsia="zh-CN"/>
        </w:rPr>
        <w:t>3:1-4 153, 320, 352, 448, 546, 673</w:t>
      </w:r>
    </w:p>
    <w:p w14:paraId="49A2E5F9">
      <w:pPr>
        <w:bidi w:val="0"/>
        <w:rPr>
          <w:rFonts w:hint="eastAsia"/>
          <w:lang w:val="en-US" w:eastAsia="zh-CN"/>
        </w:rPr>
      </w:pPr>
    </w:p>
    <w:p w14:paraId="53B81123">
      <w:pPr>
        <w:bidi w:val="0"/>
        <w:rPr>
          <w:rFonts w:hint="eastAsia"/>
          <w:lang w:val="en-US" w:eastAsia="zh-CN"/>
        </w:rPr>
      </w:pPr>
      <w:r>
        <w:rPr>
          <w:rFonts w:hint="eastAsia"/>
          <w:lang w:val="en-US" w:eastAsia="zh-CN"/>
        </w:rPr>
        <w:t>3:1-4 153, 320, 352, 448, 546, 673</w:t>
      </w:r>
    </w:p>
    <w:p w14:paraId="2A415AEC">
      <w:pPr>
        <w:bidi w:val="0"/>
        <w:rPr>
          <w:rFonts w:hint="eastAsia"/>
          <w:lang w:val="en-US" w:eastAsia="zh-CN"/>
        </w:rPr>
      </w:pPr>
    </w:p>
    <w:p w14:paraId="03884BDB">
      <w:pPr>
        <w:bidi w:val="0"/>
        <w:rPr>
          <w:rFonts w:hint="eastAsia"/>
          <w:lang w:val="en-US" w:eastAsia="zh-CN"/>
        </w:rPr>
      </w:pPr>
      <w:r>
        <w:rPr>
          <w:rFonts w:hint="eastAsia"/>
          <w:lang w:val="en-US" w:eastAsia="zh-CN"/>
        </w:rPr>
        <w:t>1 Thessalonians</w:t>
      </w:r>
    </w:p>
    <w:p w14:paraId="76F341F5">
      <w:pPr>
        <w:bidi w:val="0"/>
        <w:rPr>
          <w:rFonts w:hint="eastAsia"/>
          <w:lang w:val="en-US" w:eastAsia="zh-CN"/>
        </w:rPr>
      </w:pPr>
    </w:p>
    <w:p w14:paraId="3C222CB4">
      <w:pPr>
        <w:bidi w:val="0"/>
        <w:rPr>
          <w:rFonts w:hint="eastAsia"/>
          <w:lang w:val="en-US" w:eastAsia="zh-CN"/>
        </w:rPr>
      </w:pPr>
      <w:r>
        <w:rPr>
          <w:rFonts w:hint="eastAsia"/>
          <w:lang w:val="en-US" w:eastAsia="zh-CN"/>
        </w:rPr>
        <w:t>帖撒罗尼迦前书</w:t>
      </w:r>
    </w:p>
    <w:p w14:paraId="3761A406">
      <w:pPr>
        <w:bidi w:val="0"/>
        <w:rPr>
          <w:rFonts w:hint="eastAsia"/>
          <w:lang w:val="en-US" w:eastAsia="zh-CN"/>
        </w:rPr>
      </w:pPr>
    </w:p>
    <w:p w14:paraId="20F26689">
      <w:pPr>
        <w:bidi w:val="0"/>
        <w:rPr>
          <w:rFonts w:hint="eastAsia"/>
          <w:lang w:val="en-US" w:eastAsia="zh-CN"/>
        </w:rPr>
      </w:pPr>
      <w:r>
        <w:rPr>
          <w:rFonts w:hint="eastAsia"/>
          <w:lang w:val="en-US" w:eastAsia="zh-CN"/>
        </w:rPr>
        <w:t>1:8 256</w:t>
      </w:r>
    </w:p>
    <w:p w14:paraId="0712664E">
      <w:pPr>
        <w:bidi w:val="0"/>
        <w:rPr>
          <w:rFonts w:hint="eastAsia"/>
          <w:lang w:val="en-US" w:eastAsia="zh-CN"/>
        </w:rPr>
      </w:pPr>
    </w:p>
    <w:p w14:paraId="079E34B9">
      <w:pPr>
        <w:bidi w:val="0"/>
        <w:rPr>
          <w:rFonts w:hint="eastAsia"/>
          <w:lang w:val="en-US" w:eastAsia="zh-CN"/>
        </w:rPr>
      </w:pPr>
      <w:r>
        <w:rPr>
          <w:rFonts w:hint="eastAsia"/>
          <w:lang w:val="en-US" w:eastAsia="zh-CN"/>
        </w:rPr>
        <w:t>1:8 256</w:t>
      </w:r>
    </w:p>
    <w:p w14:paraId="4963679E">
      <w:pPr>
        <w:bidi w:val="0"/>
        <w:rPr>
          <w:rFonts w:hint="eastAsia"/>
          <w:lang w:val="en-US" w:eastAsia="zh-CN"/>
        </w:rPr>
      </w:pPr>
    </w:p>
    <w:p w14:paraId="78408989">
      <w:pPr>
        <w:bidi w:val="0"/>
        <w:rPr>
          <w:rFonts w:hint="eastAsia"/>
          <w:lang w:val="en-US" w:eastAsia="zh-CN"/>
        </w:rPr>
      </w:pPr>
      <w:r>
        <w:rPr>
          <w:rFonts w:hint="eastAsia"/>
          <w:lang w:val="en-US" w:eastAsia="zh-CN"/>
        </w:rPr>
        <w:t>1:10 xx, 82, 116</w:t>
      </w:r>
    </w:p>
    <w:p w14:paraId="7C6CE8CE">
      <w:pPr>
        <w:bidi w:val="0"/>
        <w:rPr>
          <w:rFonts w:hint="eastAsia"/>
          <w:lang w:val="en-US" w:eastAsia="zh-CN"/>
        </w:rPr>
      </w:pPr>
    </w:p>
    <w:p w14:paraId="65B3BFE8">
      <w:pPr>
        <w:bidi w:val="0"/>
        <w:rPr>
          <w:rFonts w:hint="eastAsia"/>
          <w:lang w:val="en-US" w:eastAsia="zh-CN"/>
        </w:rPr>
      </w:pPr>
      <w:r>
        <w:rPr>
          <w:rFonts w:hint="eastAsia"/>
          <w:lang w:val="en-US" w:eastAsia="zh-CN"/>
        </w:rPr>
        <w:t>1:10 xx, 82, 116</w:t>
      </w:r>
    </w:p>
    <w:p w14:paraId="72B7AC43">
      <w:pPr>
        <w:bidi w:val="0"/>
        <w:rPr>
          <w:rFonts w:hint="eastAsia"/>
          <w:lang w:val="en-US" w:eastAsia="zh-CN"/>
        </w:rPr>
      </w:pPr>
    </w:p>
    <w:p w14:paraId="2BBFFB4C">
      <w:pPr>
        <w:bidi w:val="0"/>
        <w:rPr>
          <w:rFonts w:hint="eastAsia"/>
          <w:lang w:val="en-US" w:eastAsia="zh-CN"/>
        </w:rPr>
      </w:pPr>
      <w:r>
        <w:rPr>
          <w:rFonts w:hint="eastAsia"/>
          <w:lang w:val="en-US" w:eastAsia="zh-CN"/>
        </w:rPr>
        <w:t>2:1-12 298, 376</w:t>
      </w:r>
    </w:p>
    <w:p w14:paraId="002EEEDE">
      <w:pPr>
        <w:bidi w:val="0"/>
        <w:rPr>
          <w:rFonts w:hint="eastAsia"/>
          <w:lang w:val="en-US" w:eastAsia="zh-CN"/>
        </w:rPr>
      </w:pPr>
    </w:p>
    <w:p w14:paraId="289C4FA4">
      <w:pPr>
        <w:bidi w:val="0"/>
        <w:rPr>
          <w:rFonts w:hint="eastAsia"/>
          <w:lang w:val="en-US" w:eastAsia="zh-CN"/>
        </w:rPr>
      </w:pPr>
      <w:r>
        <w:rPr>
          <w:rFonts w:hint="eastAsia"/>
          <w:lang w:val="en-US" w:eastAsia="zh-CN"/>
        </w:rPr>
        <w:t>2:1-12 298, 376</w:t>
      </w:r>
    </w:p>
    <w:p w14:paraId="2E3979E2">
      <w:pPr>
        <w:bidi w:val="0"/>
        <w:rPr>
          <w:rFonts w:hint="eastAsia"/>
          <w:lang w:val="en-US" w:eastAsia="zh-CN"/>
        </w:rPr>
      </w:pPr>
    </w:p>
    <w:p w14:paraId="6D31BC61">
      <w:pPr>
        <w:bidi w:val="0"/>
        <w:rPr>
          <w:rFonts w:hint="eastAsia"/>
          <w:lang w:val="en-US" w:eastAsia="zh-CN"/>
        </w:rPr>
      </w:pPr>
      <w:r>
        <w:rPr>
          <w:rFonts w:hint="eastAsia"/>
          <w:lang w:val="en-US" w:eastAsia="zh-CN"/>
        </w:rPr>
        <w:t>3:1-5 xix</w:t>
      </w:r>
    </w:p>
    <w:p w14:paraId="344F6159">
      <w:pPr>
        <w:bidi w:val="0"/>
        <w:rPr>
          <w:rFonts w:hint="eastAsia"/>
          <w:lang w:val="en-US" w:eastAsia="zh-CN"/>
        </w:rPr>
      </w:pPr>
    </w:p>
    <w:p w14:paraId="0C4B8B5E">
      <w:pPr>
        <w:bidi w:val="0"/>
        <w:rPr>
          <w:rFonts w:hint="eastAsia"/>
          <w:lang w:val="en-US" w:eastAsia="zh-CN"/>
        </w:rPr>
      </w:pPr>
      <w:r>
        <w:rPr>
          <w:rFonts w:hint="eastAsia"/>
          <w:lang w:val="en-US" w:eastAsia="zh-CN"/>
        </w:rPr>
        <w:t>3:1-5 xix</w:t>
      </w:r>
    </w:p>
    <w:p w14:paraId="73622724">
      <w:pPr>
        <w:bidi w:val="0"/>
        <w:rPr>
          <w:rFonts w:hint="eastAsia"/>
          <w:lang w:val="en-US" w:eastAsia="zh-CN"/>
        </w:rPr>
      </w:pPr>
    </w:p>
    <w:p w14:paraId="0385394D">
      <w:pPr>
        <w:bidi w:val="0"/>
        <w:rPr>
          <w:rFonts w:hint="eastAsia"/>
          <w:lang w:val="en-US" w:eastAsia="zh-CN"/>
        </w:rPr>
      </w:pPr>
      <w:r>
        <w:rPr>
          <w:rFonts w:hint="eastAsia"/>
          <w:lang w:val="en-US" w:eastAsia="zh-CN"/>
        </w:rPr>
        <w:t>3:13 515</w:t>
      </w:r>
    </w:p>
    <w:p w14:paraId="2436E1BE">
      <w:pPr>
        <w:bidi w:val="0"/>
        <w:rPr>
          <w:rFonts w:hint="eastAsia"/>
          <w:lang w:val="en-US" w:eastAsia="zh-CN"/>
        </w:rPr>
      </w:pPr>
    </w:p>
    <w:p w14:paraId="1BECCD9A">
      <w:pPr>
        <w:bidi w:val="0"/>
        <w:rPr>
          <w:rFonts w:hint="eastAsia"/>
          <w:lang w:val="en-US" w:eastAsia="zh-CN"/>
        </w:rPr>
      </w:pPr>
      <w:r>
        <w:rPr>
          <w:rFonts w:hint="eastAsia"/>
          <w:lang w:val="en-US" w:eastAsia="zh-CN"/>
        </w:rPr>
        <w:t>3:13 515</w:t>
      </w:r>
    </w:p>
    <w:p w14:paraId="5E5E6169">
      <w:pPr>
        <w:bidi w:val="0"/>
        <w:rPr>
          <w:rFonts w:hint="eastAsia"/>
          <w:lang w:val="en-US" w:eastAsia="zh-CN"/>
        </w:rPr>
      </w:pPr>
    </w:p>
    <w:p w14:paraId="3B1B82F4">
      <w:pPr>
        <w:bidi w:val="0"/>
        <w:rPr>
          <w:rFonts w:hint="eastAsia"/>
          <w:lang w:val="en-US" w:eastAsia="zh-CN"/>
        </w:rPr>
      </w:pPr>
      <w:r>
        <w:rPr>
          <w:rFonts w:hint="eastAsia"/>
          <w:lang w:val="en-US" w:eastAsia="zh-CN"/>
        </w:rPr>
        <w:t>4:13-18 113, 289, 462, 524, 563, 575, 598, 605</w:t>
      </w:r>
    </w:p>
    <w:p w14:paraId="703932CB">
      <w:pPr>
        <w:bidi w:val="0"/>
        <w:rPr>
          <w:rFonts w:hint="eastAsia"/>
          <w:lang w:val="en-US" w:eastAsia="zh-CN"/>
        </w:rPr>
      </w:pPr>
    </w:p>
    <w:p w14:paraId="78E94999">
      <w:pPr>
        <w:bidi w:val="0"/>
        <w:rPr>
          <w:rFonts w:hint="eastAsia"/>
          <w:lang w:val="en-US" w:eastAsia="zh-CN"/>
        </w:rPr>
      </w:pPr>
      <w:r>
        <w:rPr>
          <w:rFonts w:hint="eastAsia"/>
          <w:lang w:val="en-US" w:eastAsia="zh-CN"/>
        </w:rPr>
        <w:t>4:13-18 113, 289, 462, 524, 563, 575, 598, 605</w:t>
      </w:r>
    </w:p>
    <w:p w14:paraId="66C4CEFB">
      <w:pPr>
        <w:bidi w:val="0"/>
        <w:rPr>
          <w:rFonts w:hint="eastAsia"/>
          <w:lang w:val="en-US" w:eastAsia="zh-CN"/>
        </w:rPr>
      </w:pPr>
    </w:p>
    <w:p w14:paraId="26F7F4DD">
      <w:pPr>
        <w:bidi w:val="0"/>
        <w:rPr>
          <w:rFonts w:hint="eastAsia"/>
          <w:lang w:val="en-US" w:eastAsia="zh-CN"/>
        </w:rPr>
      </w:pPr>
      <w:r>
        <w:rPr>
          <w:rFonts w:hint="eastAsia"/>
          <w:lang w:val="en-US" w:eastAsia="zh-CN"/>
        </w:rPr>
        <w:t>4:15 555</w:t>
      </w:r>
    </w:p>
    <w:p w14:paraId="23EB29CA">
      <w:pPr>
        <w:bidi w:val="0"/>
        <w:rPr>
          <w:rFonts w:hint="eastAsia"/>
          <w:lang w:val="en-US" w:eastAsia="zh-CN"/>
        </w:rPr>
      </w:pPr>
    </w:p>
    <w:p w14:paraId="735489E6">
      <w:pPr>
        <w:bidi w:val="0"/>
        <w:rPr>
          <w:rFonts w:hint="eastAsia"/>
          <w:lang w:val="en-US" w:eastAsia="zh-CN"/>
        </w:rPr>
      </w:pPr>
      <w:r>
        <w:rPr>
          <w:rFonts w:hint="eastAsia"/>
          <w:lang w:val="en-US" w:eastAsia="zh-CN"/>
        </w:rPr>
        <w:t>4:15 555</w:t>
      </w:r>
    </w:p>
    <w:p w14:paraId="190BE0A6">
      <w:pPr>
        <w:bidi w:val="0"/>
        <w:rPr>
          <w:rFonts w:hint="eastAsia"/>
          <w:lang w:val="en-US" w:eastAsia="zh-CN"/>
        </w:rPr>
      </w:pPr>
    </w:p>
    <w:p w14:paraId="61D5CC8F">
      <w:pPr>
        <w:bidi w:val="0"/>
        <w:rPr>
          <w:rFonts w:hint="eastAsia"/>
          <w:lang w:val="en-US" w:eastAsia="zh-CN"/>
        </w:rPr>
      </w:pPr>
      <w:r>
        <w:rPr>
          <w:rFonts w:hint="eastAsia"/>
          <w:lang w:val="en-US" w:eastAsia="zh-CN"/>
        </w:rPr>
        <w:t>4:16 338</w:t>
      </w:r>
    </w:p>
    <w:p w14:paraId="1708C483">
      <w:pPr>
        <w:bidi w:val="0"/>
        <w:rPr>
          <w:rFonts w:hint="eastAsia"/>
          <w:lang w:val="en-US" w:eastAsia="zh-CN"/>
        </w:rPr>
      </w:pPr>
    </w:p>
    <w:p w14:paraId="4E3EB55A">
      <w:pPr>
        <w:bidi w:val="0"/>
        <w:rPr>
          <w:rFonts w:hint="eastAsia"/>
          <w:lang w:val="en-US" w:eastAsia="zh-CN"/>
        </w:rPr>
      </w:pPr>
      <w:r>
        <w:rPr>
          <w:rFonts w:hint="eastAsia"/>
          <w:lang w:val="en-US" w:eastAsia="zh-CN"/>
        </w:rPr>
        <w:t>4:16 338</w:t>
      </w:r>
    </w:p>
    <w:p w14:paraId="25D327B8">
      <w:pPr>
        <w:bidi w:val="0"/>
        <w:rPr>
          <w:rFonts w:hint="eastAsia"/>
          <w:lang w:val="en-US" w:eastAsia="zh-CN"/>
        </w:rPr>
      </w:pPr>
    </w:p>
    <w:p w14:paraId="0FBD30AA">
      <w:pPr>
        <w:bidi w:val="0"/>
        <w:rPr>
          <w:rFonts w:hint="eastAsia"/>
          <w:lang w:val="en-US" w:eastAsia="zh-CN"/>
        </w:rPr>
      </w:pPr>
      <w:r>
        <w:rPr>
          <w:rFonts w:hint="eastAsia"/>
          <w:lang w:val="en-US" w:eastAsia="zh-CN"/>
        </w:rPr>
        <w:t>5:1-3 595</w:t>
      </w:r>
    </w:p>
    <w:p w14:paraId="0D70DB42">
      <w:pPr>
        <w:bidi w:val="0"/>
        <w:rPr>
          <w:rFonts w:hint="eastAsia"/>
          <w:lang w:val="en-US" w:eastAsia="zh-CN"/>
        </w:rPr>
      </w:pPr>
    </w:p>
    <w:p w14:paraId="5DB6D946">
      <w:pPr>
        <w:bidi w:val="0"/>
        <w:rPr>
          <w:rFonts w:hint="eastAsia"/>
          <w:lang w:val="en-US" w:eastAsia="zh-CN"/>
        </w:rPr>
      </w:pPr>
      <w:r>
        <w:rPr>
          <w:rFonts w:hint="eastAsia"/>
          <w:lang w:val="en-US" w:eastAsia="zh-CN"/>
        </w:rPr>
        <w:t>5:1-3 595</w:t>
      </w:r>
    </w:p>
    <w:p w14:paraId="7000F301">
      <w:pPr>
        <w:bidi w:val="0"/>
        <w:rPr>
          <w:rFonts w:hint="eastAsia"/>
          <w:lang w:val="en-US" w:eastAsia="zh-CN"/>
        </w:rPr>
      </w:pPr>
    </w:p>
    <w:p w14:paraId="42868F22">
      <w:pPr>
        <w:bidi w:val="0"/>
        <w:rPr>
          <w:rFonts w:hint="eastAsia"/>
          <w:lang w:val="en-US" w:eastAsia="zh-CN"/>
        </w:rPr>
      </w:pPr>
      <w:r>
        <w:rPr>
          <w:rFonts w:hint="eastAsia"/>
          <w:lang w:val="en-US" w:eastAsia="zh-CN"/>
        </w:rPr>
        <w:t>5:1-10 567</w:t>
      </w:r>
    </w:p>
    <w:p w14:paraId="65A9E483">
      <w:pPr>
        <w:bidi w:val="0"/>
        <w:rPr>
          <w:rFonts w:hint="eastAsia"/>
          <w:lang w:val="en-US" w:eastAsia="zh-CN"/>
        </w:rPr>
      </w:pPr>
    </w:p>
    <w:p w14:paraId="6D36D8EF">
      <w:pPr>
        <w:bidi w:val="0"/>
        <w:rPr>
          <w:rFonts w:hint="eastAsia"/>
          <w:lang w:val="en-US" w:eastAsia="zh-CN"/>
        </w:rPr>
      </w:pPr>
      <w:r>
        <w:rPr>
          <w:rFonts w:hint="eastAsia"/>
          <w:lang w:val="en-US" w:eastAsia="zh-CN"/>
        </w:rPr>
        <w:t>5:1-10 567</w:t>
      </w:r>
    </w:p>
    <w:p w14:paraId="50EBD2E7">
      <w:pPr>
        <w:bidi w:val="0"/>
        <w:rPr>
          <w:rFonts w:hint="eastAsia"/>
          <w:lang w:val="en-US" w:eastAsia="zh-CN"/>
        </w:rPr>
      </w:pPr>
    </w:p>
    <w:p w14:paraId="22E87900">
      <w:pPr>
        <w:bidi w:val="0"/>
        <w:rPr>
          <w:rFonts w:hint="eastAsia"/>
          <w:lang w:val="en-US" w:eastAsia="zh-CN"/>
        </w:rPr>
      </w:pPr>
      <w:r>
        <w:rPr>
          <w:rFonts w:hint="eastAsia"/>
          <w:lang w:val="en-US" w:eastAsia="zh-CN"/>
        </w:rPr>
        <w:t>5:3 322, 539, 574</w:t>
      </w:r>
    </w:p>
    <w:p w14:paraId="1C6F5DFF">
      <w:pPr>
        <w:bidi w:val="0"/>
        <w:rPr>
          <w:rFonts w:hint="eastAsia"/>
          <w:lang w:val="en-US" w:eastAsia="zh-CN"/>
        </w:rPr>
      </w:pPr>
    </w:p>
    <w:p w14:paraId="4658F22D">
      <w:pPr>
        <w:bidi w:val="0"/>
        <w:rPr>
          <w:rFonts w:hint="eastAsia"/>
          <w:lang w:val="en-US" w:eastAsia="zh-CN"/>
        </w:rPr>
      </w:pPr>
      <w:r>
        <w:rPr>
          <w:rFonts w:hint="eastAsia"/>
          <w:lang w:val="en-US" w:eastAsia="zh-CN"/>
        </w:rPr>
        <w:t>5:3 322, 539, 574</w:t>
      </w:r>
    </w:p>
    <w:p w14:paraId="6136FD72">
      <w:pPr>
        <w:bidi w:val="0"/>
        <w:rPr>
          <w:rFonts w:hint="eastAsia"/>
          <w:lang w:val="en-US" w:eastAsia="zh-CN"/>
        </w:rPr>
      </w:pPr>
    </w:p>
    <w:p w14:paraId="6D9566BE">
      <w:pPr>
        <w:bidi w:val="0"/>
        <w:rPr>
          <w:rFonts w:hint="eastAsia"/>
          <w:lang w:val="en-US" w:eastAsia="zh-CN"/>
        </w:rPr>
      </w:pPr>
      <w:r>
        <w:rPr>
          <w:rFonts w:hint="eastAsia"/>
          <w:lang w:val="en-US" w:eastAsia="zh-CN"/>
        </w:rPr>
        <w:t>2 Thessalonians</w:t>
      </w:r>
    </w:p>
    <w:p w14:paraId="676B8CD9">
      <w:pPr>
        <w:bidi w:val="0"/>
        <w:rPr>
          <w:rFonts w:hint="eastAsia"/>
          <w:lang w:val="en-US" w:eastAsia="zh-CN"/>
        </w:rPr>
      </w:pPr>
    </w:p>
    <w:p w14:paraId="63D9DAA6">
      <w:pPr>
        <w:bidi w:val="0"/>
        <w:rPr>
          <w:rFonts w:hint="eastAsia"/>
          <w:lang w:val="en-US" w:eastAsia="zh-CN"/>
        </w:rPr>
      </w:pPr>
      <w:r>
        <w:rPr>
          <w:rFonts w:hint="eastAsia"/>
          <w:lang w:val="en-US" w:eastAsia="zh-CN"/>
        </w:rPr>
        <w:t>帖撒罗尼迦后书</w:t>
      </w:r>
    </w:p>
    <w:p w14:paraId="7539DAE4">
      <w:pPr>
        <w:bidi w:val="0"/>
        <w:rPr>
          <w:rFonts w:hint="eastAsia"/>
          <w:lang w:val="en-US" w:eastAsia="zh-CN"/>
        </w:rPr>
      </w:pPr>
    </w:p>
    <w:p w14:paraId="74FD2A02">
      <w:pPr>
        <w:bidi w:val="0"/>
        <w:rPr>
          <w:rFonts w:hint="eastAsia"/>
          <w:lang w:val="en-US" w:eastAsia="zh-CN"/>
        </w:rPr>
      </w:pPr>
      <w:r>
        <w:rPr>
          <w:rFonts w:hint="eastAsia"/>
          <w:lang w:val="en-US" w:eastAsia="zh-CN"/>
        </w:rPr>
        <w:t>1:3-10 287, 462, 518, 571, 573, 595, 645</w:t>
      </w:r>
    </w:p>
    <w:p w14:paraId="556C96EA">
      <w:pPr>
        <w:bidi w:val="0"/>
        <w:rPr>
          <w:rFonts w:hint="eastAsia"/>
          <w:lang w:val="en-US" w:eastAsia="zh-CN"/>
        </w:rPr>
      </w:pPr>
    </w:p>
    <w:p w14:paraId="318D1ECE">
      <w:pPr>
        <w:bidi w:val="0"/>
        <w:rPr>
          <w:rFonts w:hint="eastAsia"/>
          <w:lang w:val="en-US" w:eastAsia="zh-CN"/>
        </w:rPr>
      </w:pPr>
      <w:r>
        <w:rPr>
          <w:rFonts w:hint="eastAsia"/>
          <w:lang w:val="en-US" w:eastAsia="zh-CN"/>
        </w:rPr>
        <w:t>1:3-10 287, 462, 518, 571, 573, 595, 645</w:t>
      </w:r>
    </w:p>
    <w:p w14:paraId="13EE3260">
      <w:pPr>
        <w:bidi w:val="0"/>
        <w:rPr>
          <w:rFonts w:hint="eastAsia"/>
          <w:lang w:val="en-US" w:eastAsia="zh-CN"/>
        </w:rPr>
      </w:pPr>
    </w:p>
    <w:p w14:paraId="770425FB">
      <w:pPr>
        <w:bidi w:val="0"/>
        <w:rPr>
          <w:rFonts w:hint="eastAsia"/>
          <w:lang w:val="en-US" w:eastAsia="zh-CN"/>
        </w:rPr>
      </w:pPr>
      <w:r>
        <w:rPr>
          <w:rFonts w:hint="eastAsia"/>
          <w:lang w:val="en-US" w:eastAsia="zh-CN"/>
        </w:rPr>
        <w:t>1:7 515</w:t>
      </w:r>
    </w:p>
    <w:p w14:paraId="68F8499E">
      <w:pPr>
        <w:bidi w:val="0"/>
        <w:rPr>
          <w:rFonts w:hint="eastAsia"/>
          <w:lang w:val="en-US" w:eastAsia="zh-CN"/>
        </w:rPr>
      </w:pPr>
    </w:p>
    <w:p w14:paraId="2E4B2FDD">
      <w:pPr>
        <w:bidi w:val="0"/>
        <w:rPr>
          <w:rFonts w:hint="eastAsia"/>
          <w:lang w:val="en-US" w:eastAsia="zh-CN"/>
        </w:rPr>
      </w:pPr>
      <w:r>
        <w:rPr>
          <w:rFonts w:hint="eastAsia"/>
          <w:lang w:val="en-US" w:eastAsia="zh-CN"/>
        </w:rPr>
        <w:t>1:7 515</w:t>
      </w:r>
    </w:p>
    <w:p w14:paraId="0926976C">
      <w:pPr>
        <w:bidi w:val="0"/>
        <w:rPr>
          <w:rFonts w:hint="eastAsia"/>
          <w:lang w:val="en-US" w:eastAsia="zh-CN"/>
        </w:rPr>
      </w:pPr>
    </w:p>
    <w:p w14:paraId="4A7034C0">
      <w:pPr>
        <w:bidi w:val="0"/>
        <w:rPr>
          <w:rFonts w:hint="eastAsia"/>
          <w:lang w:val="en-US" w:eastAsia="zh-CN"/>
        </w:rPr>
      </w:pPr>
      <w:r>
        <w:rPr>
          <w:rFonts w:hint="eastAsia"/>
          <w:lang w:val="en-US" w:eastAsia="zh-CN"/>
        </w:rPr>
        <w:t>1:8-9 584, 600</w:t>
      </w:r>
    </w:p>
    <w:p w14:paraId="04B0438A">
      <w:pPr>
        <w:bidi w:val="0"/>
        <w:rPr>
          <w:rFonts w:hint="eastAsia"/>
          <w:lang w:val="en-US" w:eastAsia="zh-CN"/>
        </w:rPr>
      </w:pPr>
    </w:p>
    <w:p w14:paraId="4EC9958A">
      <w:pPr>
        <w:bidi w:val="0"/>
        <w:rPr>
          <w:rFonts w:hint="eastAsia"/>
          <w:lang w:val="en-US" w:eastAsia="zh-CN"/>
        </w:rPr>
      </w:pPr>
      <w:r>
        <w:rPr>
          <w:rFonts w:hint="eastAsia"/>
          <w:lang w:val="en-US" w:eastAsia="zh-CN"/>
        </w:rPr>
        <w:t>1:8-9 584, 600</w:t>
      </w:r>
    </w:p>
    <w:p w14:paraId="787138FE">
      <w:pPr>
        <w:bidi w:val="0"/>
        <w:rPr>
          <w:rFonts w:hint="eastAsia"/>
          <w:lang w:val="en-US" w:eastAsia="zh-CN"/>
        </w:rPr>
      </w:pPr>
    </w:p>
    <w:p w14:paraId="4478F178">
      <w:pPr>
        <w:bidi w:val="0"/>
        <w:rPr>
          <w:rFonts w:hint="eastAsia"/>
          <w:lang w:val="en-US" w:eastAsia="zh-CN"/>
        </w:rPr>
      </w:pPr>
      <w:r>
        <w:rPr>
          <w:rFonts w:hint="eastAsia"/>
          <w:lang w:val="en-US" w:eastAsia="zh-CN"/>
        </w:rPr>
        <w:t>2:1-2 xxv, 539</w:t>
      </w:r>
    </w:p>
    <w:p w14:paraId="6451663E">
      <w:pPr>
        <w:bidi w:val="0"/>
        <w:rPr>
          <w:rFonts w:hint="eastAsia"/>
          <w:lang w:val="en-US" w:eastAsia="zh-CN"/>
        </w:rPr>
      </w:pPr>
    </w:p>
    <w:p w14:paraId="79C87AE1">
      <w:pPr>
        <w:bidi w:val="0"/>
        <w:rPr>
          <w:rFonts w:hint="eastAsia"/>
          <w:lang w:val="en-US" w:eastAsia="zh-CN"/>
        </w:rPr>
      </w:pPr>
      <w:r>
        <w:rPr>
          <w:rFonts w:hint="eastAsia"/>
          <w:lang w:val="en-US" w:eastAsia="zh-CN"/>
        </w:rPr>
        <w:t>2:1-2 xxv, 539</w:t>
      </w:r>
    </w:p>
    <w:p w14:paraId="474B5799">
      <w:pPr>
        <w:bidi w:val="0"/>
        <w:rPr>
          <w:rFonts w:hint="eastAsia"/>
          <w:lang w:val="en-US" w:eastAsia="zh-CN"/>
        </w:rPr>
      </w:pPr>
    </w:p>
    <w:p w14:paraId="47411BF7">
      <w:pPr>
        <w:bidi w:val="0"/>
        <w:rPr>
          <w:rFonts w:hint="eastAsia"/>
          <w:lang w:val="en-US" w:eastAsia="zh-CN"/>
        </w:rPr>
      </w:pPr>
      <w:r>
        <w:rPr>
          <w:rFonts w:hint="eastAsia"/>
          <w:lang w:val="en-US" w:eastAsia="zh-CN"/>
        </w:rPr>
        <w:t>2:1-12 357, 377, 396, 413, 487, 576, 698</w:t>
      </w:r>
    </w:p>
    <w:p w14:paraId="75DB4EEB">
      <w:pPr>
        <w:bidi w:val="0"/>
        <w:rPr>
          <w:rFonts w:hint="eastAsia"/>
          <w:lang w:val="en-US" w:eastAsia="zh-CN"/>
        </w:rPr>
      </w:pPr>
    </w:p>
    <w:p w14:paraId="6282F2A0">
      <w:pPr>
        <w:bidi w:val="0"/>
        <w:rPr>
          <w:rFonts w:hint="eastAsia"/>
          <w:lang w:val="en-US" w:eastAsia="zh-CN"/>
        </w:rPr>
      </w:pPr>
      <w:r>
        <w:rPr>
          <w:rFonts w:hint="eastAsia"/>
          <w:lang w:val="en-US" w:eastAsia="zh-CN"/>
        </w:rPr>
        <w:t>2:1-12 357, 377, 396, 413, 487, 576, 698</w:t>
      </w:r>
    </w:p>
    <w:p w14:paraId="095A1D6F">
      <w:pPr>
        <w:bidi w:val="0"/>
        <w:rPr>
          <w:rFonts w:hint="eastAsia"/>
          <w:lang w:val="en-US" w:eastAsia="zh-CN"/>
        </w:rPr>
      </w:pPr>
    </w:p>
    <w:p w14:paraId="72CA17A8">
      <w:pPr>
        <w:bidi w:val="0"/>
        <w:rPr>
          <w:rFonts w:hint="eastAsia"/>
          <w:lang w:val="en-US" w:eastAsia="zh-CN"/>
        </w:rPr>
      </w:pPr>
      <w:r>
        <w:rPr>
          <w:rFonts w:hint="eastAsia"/>
          <w:lang w:val="en-US" w:eastAsia="zh-CN"/>
        </w:rPr>
        <w:t>2:3-4 376, 594, 609, 699</w:t>
      </w:r>
    </w:p>
    <w:p w14:paraId="7E523378">
      <w:pPr>
        <w:bidi w:val="0"/>
        <w:rPr>
          <w:rFonts w:hint="eastAsia"/>
          <w:lang w:val="en-US" w:eastAsia="zh-CN"/>
        </w:rPr>
      </w:pPr>
    </w:p>
    <w:p w14:paraId="0E698001">
      <w:pPr>
        <w:bidi w:val="0"/>
        <w:rPr>
          <w:rFonts w:hint="eastAsia"/>
          <w:lang w:val="en-US" w:eastAsia="zh-CN"/>
        </w:rPr>
      </w:pPr>
      <w:r>
        <w:rPr>
          <w:rFonts w:hint="eastAsia"/>
          <w:lang w:val="en-US" w:eastAsia="zh-CN"/>
        </w:rPr>
        <w:t>2:3-4 376, 594, 609, 699</w:t>
      </w:r>
    </w:p>
    <w:p w14:paraId="14DCBA2C">
      <w:pPr>
        <w:bidi w:val="0"/>
        <w:rPr>
          <w:rFonts w:hint="eastAsia"/>
          <w:lang w:val="en-US" w:eastAsia="zh-CN"/>
        </w:rPr>
      </w:pPr>
    </w:p>
    <w:p w14:paraId="7DCD80D9">
      <w:pPr>
        <w:bidi w:val="0"/>
        <w:rPr>
          <w:rFonts w:hint="eastAsia"/>
          <w:lang w:val="en-US" w:eastAsia="zh-CN"/>
        </w:rPr>
      </w:pPr>
      <w:r>
        <w:rPr>
          <w:rFonts w:hint="eastAsia"/>
          <w:lang w:val="en-US" w:eastAsia="zh-CN"/>
        </w:rPr>
        <w:t>2:8 223, 377, 515</w:t>
      </w:r>
    </w:p>
    <w:p w14:paraId="3536E2F2">
      <w:pPr>
        <w:bidi w:val="0"/>
        <w:rPr>
          <w:rFonts w:hint="eastAsia"/>
          <w:lang w:val="en-US" w:eastAsia="zh-CN"/>
        </w:rPr>
      </w:pPr>
    </w:p>
    <w:p w14:paraId="1AE6656C">
      <w:pPr>
        <w:bidi w:val="0"/>
        <w:rPr>
          <w:rFonts w:hint="eastAsia"/>
          <w:lang w:val="en-US" w:eastAsia="zh-CN"/>
        </w:rPr>
      </w:pPr>
      <w:r>
        <w:rPr>
          <w:rFonts w:hint="eastAsia"/>
          <w:lang w:val="en-US" w:eastAsia="zh-CN"/>
        </w:rPr>
        <w:t>2:8 223, 377, 515</w:t>
      </w:r>
    </w:p>
    <w:p w14:paraId="3A87D73D">
      <w:pPr>
        <w:bidi w:val="0"/>
        <w:rPr>
          <w:rFonts w:hint="eastAsia"/>
          <w:lang w:val="en-US" w:eastAsia="zh-CN"/>
        </w:rPr>
      </w:pPr>
    </w:p>
    <w:p w14:paraId="5043BD23">
      <w:pPr>
        <w:bidi w:val="0"/>
        <w:rPr>
          <w:rFonts w:hint="eastAsia"/>
          <w:lang w:val="en-US" w:eastAsia="zh-CN"/>
        </w:rPr>
      </w:pPr>
      <w:r>
        <w:rPr>
          <w:rFonts w:hint="eastAsia"/>
          <w:lang w:val="en-US" w:eastAsia="zh-CN"/>
        </w:rPr>
        <w:t>2:8-12 378</w:t>
      </w:r>
    </w:p>
    <w:p w14:paraId="3E46B558">
      <w:pPr>
        <w:bidi w:val="0"/>
        <w:rPr>
          <w:rFonts w:hint="eastAsia"/>
          <w:lang w:val="en-US" w:eastAsia="zh-CN"/>
        </w:rPr>
      </w:pPr>
    </w:p>
    <w:p w14:paraId="44264D93">
      <w:pPr>
        <w:bidi w:val="0"/>
        <w:rPr>
          <w:rFonts w:hint="eastAsia"/>
          <w:lang w:val="en-US" w:eastAsia="zh-CN"/>
        </w:rPr>
      </w:pPr>
      <w:r>
        <w:rPr>
          <w:rFonts w:hint="eastAsia"/>
          <w:lang w:val="en-US" w:eastAsia="zh-CN"/>
        </w:rPr>
        <w:t>2:8-12 378</w:t>
      </w:r>
    </w:p>
    <w:p w14:paraId="3E46F027">
      <w:pPr>
        <w:bidi w:val="0"/>
        <w:rPr>
          <w:rFonts w:hint="eastAsia"/>
          <w:lang w:val="en-US" w:eastAsia="zh-CN"/>
        </w:rPr>
      </w:pPr>
    </w:p>
    <w:p w14:paraId="20E39831">
      <w:pPr>
        <w:bidi w:val="0"/>
        <w:rPr>
          <w:rFonts w:hint="eastAsia"/>
          <w:lang w:val="en-US" w:eastAsia="zh-CN"/>
        </w:rPr>
      </w:pPr>
      <w:r>
        <w:rPr>
          <w:rFonts w:hint="eastAsia"/>
          <w:lang w:val="en-US" w:eastAsia="zh-CN"/>
        </w:rPr>
        <w:t>2:16 605</w:t>
      </w:r>
    </w:p>
    <w:p w14:paraId="69B2F293">
      <w:pPr>
        <w:bidi w:val="0"/>
        <w:rPr>
          <w:rFonts w:hint="eastAsia"/>
          <w:lang w:val="en-US" w:eastAsia="zh-CN"/>
        </w:rPr>
      </w:pPr>
    </w:p>
    <w:p w14:paraId="47BBD24F">
      <w:pPr>
        <w:bidi w:val="0"/>
        <w:rPr>
          <w:rFonts w:hint="eastAsia"/>
          <w:lang w:val="en-US" w:eastAsia="zh-CN"/>
        </w:rPr>
      </w:pPr>
      <w:r>
        <w:rPr>
          <w:rFonts w:hint="eastAsia"/>
          <w:lang w:val="en-US" w:eastAsia="zh-CN"/>
        </w:rPr>
        <w:t>2:16 605</w:t>
      </w:r>
    </w:p>
    <w:p w14:paraId="786C8069">
      <w:pPr>
        <w:bidi w:val="0"/>
        <w:rPr>
          <w:rFonts w:hint="eastAsia"/>
          <w:lang w:val="en-US" w:eastAsia="zh-CN"/>
        </w:rPr>
      </w:pPr>
    </w:p>
    <w:p w14:paraId="2AEB4C0A">
      <w:pPr>
        <w:bidi w:val="0"/>
        <w:rPr>
          <w:rFonts w:hint="eastAsia"/>
          <w:lang w:val="en-US" w:eastAsia="zh-CN"/>
        </w:rPr>
      </w:pPr>
      <w:r>
        <w:rPr>
          <w:rFonts w:hint="eastAsia"/>
          <w:lang w:val="en-US" w:eastAsia="zh-CN"/>
        </w:rPr>
        <w:t>1 Timothy</w:t>
      </w:r>
    </w:p>
    <w:p w14:paraId="2AF08467">
      <w:pPr>
        <w:bidi w:val="0"/>
        <w:rPr>
          <w:rFonts w:hint="eastAsia"/>
          <w:lang w:val="en-US" w:eastAsia="zh-CN"/>
        </w:rPr>
      </w:pPr>
    </w:p>
    <w:p w14:paraId="51E89C6B">
      <w:pPr>
        <w:bidi w:val="0"/>
        <w:rPr>
          <w:rFonts w:hint="eastAsia"/>
          <w:lang w:val="en-US" w:eastAsia="zh-CN"/>
        </w:rPr>
      </w:pPr>
      <w:r>
        <w:rPr>
          <w:rFonts w:hint="eastAsia"/>
          <w:lang w:val="en-US" w:eastAsia="zh-CN"/>
        </w:rPr>
        <w:t>提摩太前书</w:t>
      </w:r>
    </w:p>
    <w:p w14:paraId="4363B202">
      <w:pPr>
        <w:bidi w:val="0"/>
        <w:rPr>
          <w:rFonts w:hint="eastAsia"/>
          <w:lang w:val="en-US" w:eastAsia="zh-CN"/>
        </w:rPr>
      </w:pPr>
    </w:p>
    <w:p w14:paraId="598F9C07">
      <w:pPr>
        <w:bidi w:val="0"/>
        <w:rPr>
          <w:rFonts w:hint="eastAsia"/>
          <w:lang w:val="en-US" w:eastAsia="zh-CN"/>
        </w:rPr>
      </w:pPr>
      <w:r>
        <w:rPr>
          <w:rFonts w:hint="eastAsia"/>
          <w:lang w:val="en-US" w:eastAsia="zh-CN"/>
        </w:rPr>
        <w:t>2:5 343</w:t>
      </w:r>
    </w:p>
    <w:p w14:paraId="2F077010">
      <w:pPr>
        <w:bidi w:val="0"/>
        <w:rPr>
          <w:rFonts w:hint="eastAsia"/>
          <w:lang w:val="en-US" w:eastAsia="zh-CN"/>
        </w:rPr>
      </w:pPr>
    </w:p>
    <w:p w14:paraId="1DC61C4E">
      <w:pPr>
        <w:bidi w:val="0"/>
        <w:rPr>
          <w:rFonts w:hint="eastAsia"/>
          <w:lang w:val="en-US" w:eastAsia="zh-CN"/>
        </w:rPr>
      </w:pPr>
      <w:r>
        <w:rPr>
          <w:rFonts w:hint="eastAsia"/>
          <w:lang w:val="en-US" w:eastAsia="zh-CN"/>
        </w:rPr>
        <w:t>2:5 343</w:t>
      </w:r>
    </w:p>
    <w:p w14:paraId="1D05476C">
      <w:pPr>
        <w:bidi w:val="0"/>
        <w:rPr>
          <w:rFonts w:hint="eastAsia"/>
          <w:lang w:val="en-US" w:eastAsia="zh-CN"/>
        </w:rPr>
      </w:pPr>
    </w:p>
    <w:p w14:paraId="26DC2449">
      <w:pPr>
        <w:bidi w:val="0"/>
        <w:rPr>
          <w:rFonts w:hint="eastAsia"/>
          <w:lang w:val="en-US" w:eastAsia="zh-CN"/>
        </w:rPr>
      </w:pPr>
      <w:r>
        <w:rPr>
          <w:rFonts w:hint="eastAsia"/>
          <w:lang w:val="en-US" w:eastAsia="zh-CN"/>
        </w:rPr>
        <w:t>2:15 574</w:t>
      </w:r>
    </w:p>
    <w:p w14:paraId="464F3D04">
      <w:pPr>
        <w:bidi w:val="0"/>
        <w:rPr>
          <w:rFonts w:hint="eastAsia"/>
          <w:lang w:val="en-US" w:eastAsia="zh-CN"/>
        </w:rPr>
      </w:pPr>
    </w:p>
    <w:p w14:paraId="05C1928A">
      <w:pPr>
        <w:bidi w:val="0"/>
        <w:rPr>
          <w:rFonts w:hint="eastAsia"/>
          <w:lang w:val="en-US" w:eastAsia="zh-CN"/>
        </w:rPr>
      </w:pPr>
      <w:r>
        <w:rPr>
          <w:rFonts w:hint="eastAsia"/>
          <w:lang w:val="en-US" w:eastAsia="zh-CN"/>
        </w:rPr>
        <w:t>2:15 574</w:t>
      </w:r>
    </w:p>
    <w:p w14:paraId="3A63CB6F">
      <w:pPr>
        <w:bidi w:val="0"/>
        <w:rPr>
          <w:rFonts w:hint="eastAsia"/>
          <w:lang w:val="en-US" w:eastAsia="zh-CN"/>
        </w:rPr>
      </w:pPr>
    </w:p>
    <w:p w14:paraId="33E7C204">
      <w:pPr>
        <w:bidi w:val="0"/>
        <w:rPr>
          <w:rFonts w:hint="eastAsia"/>
          <w:lang w:val="en-US" w:eastAsia="zh-CN"/>
        </w:rPr>
      </w:pPr>
      <w:r>
        <w:rPr>
          <w:rFonts w:hint="eastAsia"/>
          <w:lang w:val="en-US" w:eastAsia="zh-CN"/>
        </w:rPr>
        <w:t>3:15 44, 386</w:t>
      </w:r>
    </w:p>
    <w:p w14:paraId="110D82D7">
      <w:pPr>
        <w:bidi w:val="0"/>
        <w:rPr>
          <w:rFonts w:hint="eastAsia"/>
          <w:lang w:val="en-US" w:eastAsia="zh-CN"/>
        </w:rPr>
      </w:pPr>
    </w:p>
    <w:p w14:paraId="20F0E6A6">
      <w:pPr>
        <w:bidi w:val="0"/>
        <w:rPr>
          <w:rFonts w:hint="eastAsia"/>
          <w:lang w:val="en-US" w:eastAsia="zh-CN"/>
        </w:rPr>
      </w:pPr>
      <w:r>
        <w:rPr>
          <w:rFonts w:hint="eastAsia"/>
          <w:lang w:val="en-US" w:eastAsia="zh-CN"/>
        </w:rPr>
        <w:t>3:15 44, 386</w:t>
      </w:r>
    </w:p>
    <w:p w14:paraId="6CBA03AC">
      <w:pPr>
        <w:bidi w:val="0"/>
        <w:rPr>
          <w:rFonts w:hint="eastAsia"/>
          <w:lang w:val="en-US" w:eastAsia="zh-CN"/>
        </w:rPr>
      </w:pPr>
    </w:p>
    <w:p w14:paraId="2D1C5146">
      <w:pPr>
        <w:bidi w:val="0"/>
        <w:rPr>
          <w:rFonts w:hint="eastAsia"/>
          <w:lang w:val="en-US" w:eastAsia="zh-CN"/>
        </w:rPr>
      </w:pPr>
      <w:r>
        <w:rPr>
          <w:rFonts w:hint="eastAsia"/>
          <w:lang w:val="en-US" w:eastAsia="zh-CN"/>
        </w:rPr>
        <w:t>4:1-3 391, 577, 640</w:t>
      </w:r>
    </w:p>
    <w:p w14:paraId="0ED5BA73">
      <w:pPr>
        <w:bidi w:val="0"/>
        <w:rPr>
          <w:rFonts w:hint="eastAsia"/>
          <w:lang w:val="en-US" w:eastAsia="zh-CN"/>
        </w:rPr>
      </w:pPr>
    </w:p>
    <w:p w14:paraId="69D28F45">
      <w:pPr>
        <w:bidi w:val="0"/>
        <w:rPr>
          <w:rFonts w:hint="eastAsia"/>
          <w:lang w:val="en-US" w:eastAsia="zh-CN"/>
        </w:rPr>
      </w:pPr>
      <w:r>
        <w:rPr>
          <w:rFonts w:hint="eastAsia"/>
          <w:lang w:val="en-US" w:eastAsia="zh-CN"/>
        </w:rPr>
        <w:t>4:1-3 391, 577, 640</w:t>
      </w:r>
    </w:p>
    <w:p w14:paraId="1136D37B">
      <w:pPr>
        <w:bidi w:val="0"/>
        <w:rPr>
          <w:rFonts w:hint="eastAsia"/>
          <w:lang w:val="en-US" w:eastAsia="zh-CN"/>
        </w:rPr>
      </w:pPr>
    </w:p>
    <w:p w14:paraId="05685B14">
      <w:pPr>
        <w:bidi w:val="0"/>
        <w:rPr>
          <w:rFonts w:hint="eastAsia"/>
          <w:lang w:val="en-US" w:eastAsia="zh-CN"/>
        </w:rPr>
      </w:pPr>
      <w:r>
        <w:rPr>
          <w:rFonts w:hint="eastAsia"/>
          <w:lang w:val="en-US" w:eastAsia="zh-CN"/>
        </w:rPr>
        <w:t>6:13-16 510, 511, 674</w:t>
      </w:r>
    </w:p>
    <w:p w14:paraId="45F7C9ED">
      <w:pPr>
        <w:bidi w:val="0"/>
        <w:rPr>
          <w:rFonts w:hint="eastAsia"/>
          <w:lang w:val="en-US" w:eastAsia="zh-CN"/>
        </w:rPr>
      </w:pPr>
    </w:p>
    <w:p w14:paraId="6BB375D2">
      <w:pPr>
        <w:bidi w:val="0"/>
        <w:rPr>
          <w:rFonts w:hint="eastAsia"/>
          <w:lang w:val="en-US" w:eastAsia="zh-CN"/>
        </w:rPr>
      </w:pPr>
      <w:r>
        <w:rPr>
          <w:rFonts w:hint="eastAsia"/>
          <w:lang w:val="en-US" w:eastAsia="zh-CN"/>
        </w:rPr>
        <w:t>6:13-16 510, 511, 674</w:t>
      </w:r>
    </w:p>
    <w:p w14:paraId="11FE85AC">
      <w:pPr>
        <w:bidi w:val="0"/>
        <w:rPr>
          <w:rFonts w:hint="eastAsia"/>
          <w:lang w:val="en-US" w:eastAsia="zh-CN"/>
        </w:rPr>
      </w:pPr>
    </w:p>
    <w:p w14:paraId="4FED66A5">
      <w:pPr>
        <w:bidi w:val="0"/>
        <w:rPr>
          <w:rFonts w:hint="eastAsia"/>
          <w:lang w:val="en-US" w:eastAsia="zh-CN"/>
        </w:rPr>
      </w:pPr>
      <w:r>
        <w:rPr>
          <w:rFonts w:hint="eastAsia"/>
          <w:lang w:val="en-US" w:eastAsia="zh-CN"/>
        </w:rPr>
        <w:t>2 Timothy</w:t>
      </w:r>
    </w:p>
    <w:p w14:paraId="21F137AB">
      <w:pPr>
        <w:bidi w:val="0"/>
        <w:rPr>
          <w:rFonts w:hint="eastAsia"/>
          <w:lang w:val="en-US" w:eastAsia="zh-CN"/>
        </w:rPr>
      </w:pPr>
    </w:p>
    <w:p w14:paraId="1F08B0FD">
      <w:pPr>
        <w:bidi w:val="0"/>
        <w:rPr>
          <w:rFonts w:hint="eastAsia"/>
          <w:lang w:val="en-US" w:eastAsia="zh-CN"/>
        </w:rPr>
      </w:pPr>
      <w:r>
        <w:rPr>
          <w:rFonts w:hint="eastAsia"/>
          <w:lang w:val="en-US" w:eastAsia="zh-CN"/>
        </w:rPr>
        <w:t>提摩太后书</w:t>
      </w:r>
    </w:p>
    <w:p w14:paraId="61FED228">
      <w:pPr>
        <w:bidi w:val="0"/>
        <w:rPr>
          <w:rFonts w:hint="eastAsia"/>
          <w:lang w:val="en-US" w:eastAsia="zh-CN"/>
        </w:rPr>
      </w:pPr>
    </w:p>
    <w:p w14:paraId="769524FE">
      <w:pPr>
        <w:bidi w:val="0"/>
        <w:rPr>
          <w:rFonts w:hint="eastAsia"/>
          <w:lang w:val="en-US" w:eastAsia="zh-CN"/>
        </w:rPr>
      </w:pPr>
      <w:r>
        <w:rPr>
          <w:rFonts w:hint="eastAsia"/>
          <w:lang w:val="en-US" w:eastAsia="zh-CN"/>
        </w:rPr>
        <w:t>1:9 92</w:t>
      </w:r>
    </w:p>
    <w:p w14:paraId="332A899D">
      <w:pPr>
        <w:bidi w:val="0"/>
        <w:rPr>
          <w:rFonts w:hint="eastAsia"/>
          <w:lang w:val="en-US" w:eastAsia="zh-CN"/>
        </w:rPr>
      </w:pPr>
    </w:p>
    <w:p w14:paraId="5E6D79B6">
      <w:pPr>
        <w:bidi w:val="0"/>
        <w:rPr>
          <w:rFonts w:hint="eastAsia"/>
          <w:lang w:val="en-US" w:eastAsia="zh-CN"/>
        </w:rPr>
      </w:pPr>
      <w:r>
        <w:rPr>
          <w:rFonts w:hint="eastAsia"/>
          <w:lang w:val="en-US" w:eastAsia="zh-CN"/>
        </w:rPr>
        <w:t>1:9 92</w:t>
      </w:r>
    </w:p>
    <w:p w14:paraId="2653C963">
      <w:pPr>
        <w:bidi w:val="0"/>
        <w:rPr>
          <w:rFonts w:hint="eastAsia"/>
          <w:lang w:val="en-US" w:eastAsia="zh-CN"/>
        </w:rPr>
      </w:pPr>
    </w:p>
    <w:p w14:paraId="2C0DA38E">
      <w:pPr>
        <w:bidi w:val="0"/>
        <w:rPr>
          <w:rFonts w:hint="eastAsia"/>
          <w:lang w:val="en-US" w:eastAsia="zh-CN"/>
        </w:rPr>
      </w:pPr>
      <w:r>
        <w:rPr>
          <w:rFonts w:hint="eastAsia"/>
          <w:lang w:val="en-US" w:eastAsia="zh-CN"/>
        </w:rPr>
        <w:t>1:10 511, 516</w:t>
      </w:r>
    </w:p>
    <w:p w14:paraId="0A24C13D">
      <w:pPr>
        <w:bidi w:val="0"/>
        <w:rPr>
          <w:rFonts w:hint="eastAsia"/>
          <w:lang w:val="en-US" w:eastAsia="zh-CN"/>
        </w:rPr>
      </w:pPr>
    </w:p>
    <w:p w14:paraId="02E8AB1E">
      <w:pPr>
        <w:bidi w:val="0"/>
        <w:rPr>
          <w:rFonts w:hint="eastAsia"/>
          <w:lang w:val="en-US" w:eastAsia="zh-CN"/>
        </w:rPr>
      </w:pPr>
      <w:r>
        <w:rPr>
          <w:rFonts w:hint="eastAsia"/>
          <w:lang w:val="en-US" w:eastAsia="zh-CN"/>
        </w:rPr>
        <w:t>1:10 511, 516</w:t>
      </w:r>
    </w:p>
    <w:p w14:paraId="14B044A3">
      <w:pPr>
        <w:bidi w:val="0"/>
        <w:rPr>
          <w:rFonts w:hint="eastAsia"/>
          <w:lang w:val="en-US" w:eastAsia="zh-CN"/>
        </w:rPr>
      </w:pPr>
    </w:p>
    <w:p w14:paraId="57B5FFCF">
      <w:pPr>
        <w:bidi w:val="0"/>
        <w:rPr>
          <w:rFonts w:hint="eastAsia"/>
          <w:lang w:val="en-US" w:eastAsia="zh-CN"/>
        </w:rPr>
      </w:pPr>
      <w:r>
        <w:rPr>
          <w:rFonts w:hint="eastAsia"/>
          <w:lang w:val="en-US" w:eastAsia="zh-CN"/>
        </w:rPr>
        <w:t>1:12 674</w:t>
      </w:r>
    </w:p>
    <w:p w14:paraId="0B5E1A0E">
      <w:pPr>
        <w:bidi w:val="0"/>
        <w:rPr>
          <w:rFonts w:hint="eastAsia"/>
          <w:lang w:val="en-US" w:eastAsia="zh-CN"/>
        </w:rPr>
      </w:pPr>
    </w:p>
    <w:p w14:paraId="3A5DB1DC">
      <w:pPr>
        <w:bidi w:val="0"/>
        <w:rPr>
          <w:rFonts w:hint="eastAsia"/>
          <w:lang w:val="en-US" w:eastAsia="zh-CN"/>
        </w:rPr>
      </w:pPr>
      <w:r>
        <w:rPr>
          <w:rFonts w:hint="eastAsia"/>
          <w:lang w:val="en-US" w:eastAsia="zh-CN"/>
        </w:rPr>
        <w:t>1:12 674</w:t>
      </w:r>
    </w:p>
    <w:p w14:paraId="04B4B555">
      <w:pPr>
        <w:bidi w:val="0"/>
        <w:rPr>
          <w:rFonts w:hint="eastAsia"/>
          <w:lang w:val="en-US" w:eastAsia="zh-CN"/>
        </w:rPr>
      </w:pPr>
    </w:p>
    <w:p w14:paraId="127A2EC7">
      <w:pPr>
        <w:bidi w:val="0"/>
        <w:rPr>
          <w:rFonts w:hint="eastAsia"/>
          <w:lang w:val="en-US" w:eastAsia="zh-CN"/>
        </w:rPr>
      </w:pPr>
      <w:r>
        <w:rPr>
          <w:rFonts w:hint="eastAsia"/>
          <w:lang w:val="en-US" w:eastAsia="zh-CN"/>
        </w:rPr>
        <w:t>1:18 674</w:t>
      </w:r>
    </w:p>
    <w:p w14:paraId="6AC5461C">
      <w:pPr>
        <w:bidi w:val="0"/>
        <w:rPr>
          <w:rFonts w:hint="eastAsia"/>
          <w:lang w:val="en-US" w:eastAsia="zh-CN"/>
        </w:rPr>
      </w:pPr>
    </w:p>
    <w:p w14:paraId="6F2496A9">
      <w:pPr>
        <w:bidi w:val="0"/>
        <w:rPr>
          <w:rFonts w:hint="eastAsia"/>
          <w:lang w:val="en-US" w:eastAsia="zh-CN"/>
        </w:rPr>
      </w:pPr>
      <w:r>
        <w:rPr>
          <w:rFonts w:hint="eastAsia"/>
          <w:lang w:val="en-US" w:eastAsia="zh-CN"/>
        </w:rPr>
        <w:t>1:18 674</w:t>
      </w:r>
    </w:p>
    <w:p w14:paraId="2CB4A8EF">
      <w:pPr>
        <w:bidi w:val="0"/>
        <w:rPr>
          <w:rFonts w:hint="eastAsia"/>
          <w:lang w:val="en-US" w:eastAsia="zh-CN"/>
        </w:rPr>
      </w:pPr>
    </w:p>
    <w:p w14:paraId="71664BC9">
      <w:pPr>
        <w:bidi w:val="0"/>
        <w:rPr>
          <w:rFonts w:hint="eastAsia"/>
          <w:lang w:val="en-US" w:eastAsia="zh-CN"/>
        </w:rPr>
      </w:pPr>
      <w:r>
        <w:rPr>
          <w:rFonts w:hint="eastAsia"/>
          <w:lang w:val="en-US" w:eastAsia="zh-CN"/>
        </w:rPr>
        <w:t>2:3 627</w:t>
      </w:r>
    </w:p>
    <w:p w14:paraId="1AD33704">
      <w:pPr>
        <w:bidi w:val="0"/>
        <w:rPr>
          <w:rFonts w:hint="eastAsia"/>
          <w:lang w:val="en-US" w:eastAsia="zh-CN"/>
        </w:rPr>
      </w:pPr>
    </w:p>
    <w:p w14:paraId="71F8DD2D">
      <w:pPr>
        <w:bidi w:val="0"/>
        <w:rPr>
          <w:rFonts w:hint="eastAsia"/>
          <w:lang w:val="en-US" w:eastAsia="zh-CN"/>
        </w:rPr>
      </w:pPr>
      <w:r>
        <w:rPr>
          <w:rFonts w:hint="eastAsia"/>
          <w:lang w:val="en-US" w:eastAsia="zh-CN"/>
        </w:rPr>
        <w:t>2:3 627</w:t>
      </w:r>
    </w:p>
    <w:p w14:paraId="2DF503D5">
      <w:pPr>
        <w:bidi w:val="0"/>
        <w:rPr>
          <w:rFonts w:hint="eastAsia"/>
          <w:lang w:val="en-US" w:eastAsia="zh-CN"/>
        </w:rPr>
      </w:pPr>
    </w:p>
    <w:p w14:paraId="4E8D2D7F">
      <w:pPr>
        <w:bidi w:val="0"/>
        <w:rPr>
          <w:rFonts w:hint="eastAsia"/>
          <w:lang w:val="en-US" w:eastAsia="zh-CN"/>
        </w:rPr>
      </w:pPr>
      <w:r>
        <w:rPr>
          <w:rFonts w:hint="eastAsia"/>
          <w:lang w:val="en-US" w:eastAsia="zh-CN"/>
        </w:rPr>
        <w:t>2:12 481</w:t>
      </w:r>
    </w:p>
    <w:p w14:paraId="512DCF17">
      <w:pPr>
        <w:bidi w:val="0"/>
        <w:rPr>
          <w:rFonts w:hint="eastAsia"/>
          <w:lang w:val="en-US" w:eastAsia="zh-CN"/>
        </w:rPr>
      </w:pPr>
    </w:p>
    <w:p w14:paraId="0A4E0B90">
      <w:pPr>
        <w:bidi w:val="0"/>
        <w:rPr>
          <w:rFonts w:hint="eastAsia"/>
          <w:lang w:val="en-US" w:eastAsia="zh-CN"/>
        </w:rPr>
      </w:pPr>
      <w:r>
        <w:rPr>
          <w:rFonts w:hint="eastAsia"/>
          <w:lang w:val="en-US" w:eastAsia="zh-CN"/>
        </w:rPr>
        <w:t>2:12 481</w:t>
      </w:r>
    </w:p>
    <w:p w14:paraId="13B10B87">
      <w:pPr>
        <w:bidi w:val="0"/>
        <w:rPr>
          <w:rFonts w:hint="eastAsia"/>
          <w:lang w:val="en-US" w:eastAsia="zh-CN"/>
        </w:rPr>
      </w:pPr>
    </w:p>
    <w:p w14:paraId="765E8975">
      <w:pPr>
        <w:bidi w:val="0"/>
        <w:rPr>
          <w:rFonts w:hint="eastAsia"/>
          <w:lang w:val="en-US" w:eastAsia="zh-CN"/>
        </w:rPr>
      </w:pPr>
      <w:r>
        <w:rPr>
          <w:rFonts w:hint="eastAsia"/>
          <w:lang w:val="en-US" w:eastAsia="zh-CN"/>
        </w:rPr>
        <w:t>2:24-26 81</w:t>
      </w:r>
    </w:p>
    <w:p w14:paraId="53049486">
      <w:pPr>
        <w:bidi w:val="0"/>
        <w:rPr>
          <w:rFonts w:hint="eastAsia"/>
          <w:lang w:val="en-US" w:eastAsia="zh-CN"/>
        </w:rPr>
      </w:pPr>
    </w:p>
    <w:p w14:paraId="3E09731B">
      <w:pPr>
        <w:bidi w:val="0"/>
        <w:rPr>
          <w:rFonts w:hint="eastAsia"/>
          <w:lang w:val="en-US" w:eastAsia="zh-CN"/>
        </w:rPr>
      </w:pPr>
      <w:r>
        <w:rPr>
          <w:rFonts w:hint="eastAsia"/>
          <w:lang w:val="en-US" w:eastAsia="zh-CN"/>
        </w:rPr>
        <w:t>2:24-26 81</w:t>
      </w:r>
    </w:p>
    <w:p w14:paraId="6B923B1C">
      <w:pPr>
        <w:bidi w:val="0"/>
        <w:rPr>
          <w:rFonts w:hint="eastAsia"/>
          <w:lang w:val="en-US" w:eastAsia="zh-CN"/>
        </w:rPr>
      </w:pPr>
    </w:p>
    <w:p w14:paraId="7A9B0E97">
      <w:pPr>
        <w:bidi w:val="0"/>
        <w:rPr>
          <w:rFonts w:hint="eastAsia"/>
          <w:lang w:val="en-US" w:eastAsia="zh-CN"/>
        </w:rPr>
      </w:pPr>
      <w:r>
        <w:rPr>
          <w:rFonts w:hint="eastAsia"/>
          <w:lang w:val="en-US" w:eastAsia="zh-CN"/>
        </w:rPr>
        <w:t>3:1f 173, 321</w:t>
      </w:r>
    </w:p>
    <w:p w14:paraId="303F9993">
      <w:pPr>
        <w:bidi w:val="0"/>
        <w:rPr>
          <w:rFonts w:hint="eastAsia"/>
          <w:lang w:val="en-US" w:eastAsia="zh-CN"/>
        </w:rPr>
      </w:pPr>
    </w:p>
    <w:p w14:paraId="00547A4F">
      <w:pPr>
        <w:bidi w:val="0"/>
        <w:rPr>
          <w:rFonts w:hint="eastAsia"/>
          <w:lang w:val="en-US" w:eastAsia="zh-CN"/>
        </w:rPr>
      </w:pPr>
      <w:r>
        <w:rPr>
          <w:rFonts w:hint="eastAsia"/>
          <w:lang w:val="en-US" w:eastAsia="zh-CN"/>
        </w:rPr>
        <w:t>3:1f 173, 321</w:t>
      </w:r>
    </w:p>
    <w:p w14:paraId="0FEA01AE">
      <w:pPr>
        <w:bidi w:val="0"/>
        <w:rPr>
          <w:rFonts w:hint="eastAsia"/>
          <w:lang w:val="en-US" w:eastAsia="zh-CN"/>
        </w:rPr>
      </w:pPr>
    </w:p>
    <w:p w14:paraId="040071AF">
      <w:pPr>
        <w:bidi w:val="0"/>
        <w:rPr>
          <w:rFonts w:hint="eastAsia"/>
          <w:lang w:val="en-US" w:eastAsia="zh-CN"/>
        </w:rPr>
      </w:pPr>
      <w:r>
        <w:rPr>
          <w:rFonts w:hint="eastAsia"/>
          <w:lang w:val="en-US" w:eastAsia="zh-CN"/>
        </w:rPr>
        <w:t>3:12 442</w:t>
      </w:r>
    </w:p>
    <w:p w14:paraId="011132A0">
      <w:pPr>
        <w:bidi w:val="0"/>
        <w:rPr>
          <w:rFonts w:hint="eastAsia"/>
          <w:lang w:val="en-US" w:eastAsia="zh-CN"/>
        </w:rPr>
      </w:pPr>
    </w:p>
    <w:p w14:paraId="2FD7F46C">
      <w:pPr>
        <w:bidi w:val="0"/>
        <w:rPr>
          <w:rFonts w:hint="eastAsia"/>
          <w:lang w:val="en-US" w:eastAsia="zh-CN"/>
        </w:rPr>
      </w:pPr>
      <w:r>
        <w:rPr>
          <w:rFonts w:hint="eastAsia"/>
          <w:lang w:val="en-US" w:eastAsia="zh-CN"/>
        </w:rPr>
        <w:t>3:12 442</w:t>
      </w:r>
    </w:p>
    <w:p w14:paraId="0ED09D62">
      <w:pPr>
        <w:bidi w:val="0"/>
        <w:rPr>
          <w:rFonts w:hint="eastAsia"/>
          <w:lang w:val="en-US" w:eastAsia="zh-CN"/>
        </w:rPr>
      </w:pPr>
    </w:p>
    <w:p w14:paraId="385B7A69">
      <w:pPr>
        <w:bidi w:val="0"/>
        <w:rPr>
          <w:rFonts w:hint="eastAsia"/>
          <w:lang w:val="en-US" w:eastAsia="zh-CN"/>
        </w:rPr>
      </w:pPr>
      <w:r>
        <w:rPr>
          <w:rFonts w:hint="eastAsia"/>
          <w:lang w:val="en-US" w:eastAsia="zh-CN"/>
        </w:rPr>
        <w:t>4:1 674</w:t>
      </w:r>
    </w:p>
    <w:p w14:paraId="0DE210D7">
      <w:pPr>
        <w:bidi w:val="0"/>
        <w:rPr>
          <w:rFonts w:hint="eastAsia"/>
          <w:lang w:val="en-US" w:eastAsia="zh-CN"/>
        </w:rPr>
      </w:pPr>
    </w:p>
    <w:p w14:paraId="2ADD8FE5">
      <w:pPr>
        <w:bidi w:val="0"/>
        <w:rPr>
          <w:rFonts w:hint="eastAsia"/>
          <w:lang w:val="en-US" w:eastAsia="zh-CN"/>
        </w:rPr>
      </w:pPr>
      <w:r>
        <w:rPr>
          <w:rFonts w:hint="eastAsia"/>
          <w:lang w:val="en-US" w:eastAsia="zh-CN"/>
        </w:rPr>
        <w:t>4:1 674</w:t>
      </w:r>
    </w:p>
    <w:p w14:paraId="614EF709">
      <w:pPr>
        <w:bidi w:val="0"/>
        <w:rPr>
          <w:rFonts w:hint="eastAsia"/>
          <w:lang w:val="en-US" w:eastAsia="zh-CN"/>
        </w:rPr>
      </w:pPr>
    </w:p>
    <w:p w14:paraId="258EDEA7">
      <w:pPr>
        <w:bidi w:val="0"/>
        <w:rPr>
          <w:rFonts w:hint="eastAsia"/>
          <w:lang w:val="en-US" w:eastAsia="zh-CN"/>
        </w:rPr>
      </w:pPr>
      <w:r>
        <w:rPr>
          <w:rFonts w:hint="eastAsia"/>
          <w:lang w:val="en-US" w:eastAsia="zh-CN"/>
        </w:rPr>
        <w:t>4:1-8 510</w:t>
      </w:r>
    </w:p>
    <w:p w14:paraId="46C4C031">
      <w:pPr>
        <w:bidi w:val="0"/>
        <w:rPr>
          <w:rFonts w:hint="eastAsia"/>
          <w:lang w:val="en-US" w:eastAsia="zh-CN"/>
        </w:rPr>
      </w:pPr>
    </w:p>
    <w:p w14:paraId="68AAE716">
      <w:pPr>
        <w:bidi w:val="0"/>
        <w:rPr>
          <w:rFonts w:hint="eastAsia"/>
          <w:lang w:val="en-US" w:eastAsia="zh-CN"/>
        </w:rPr>
      </w:pPr>
      <w:r>
        <w:rPr>
          <w:rFonts w:hint="eastAsia"/>
          <w:lang w:val="en-US" w:eastAsia="zh-CN"/>
        </w:rPr>
        <w:t>4:1-8 510</w:t>
      </w:r>
    </w:p>
    <w:p w14:paraId="2D1BBC9F">
      <w:pPr>
        <w:bidi w:val="0"/>
        <w:rPr>
          <w:rFonts w:hint="eastAsia"/>
          <w:lang w:val="en-US" w:eastAsia="zh-CN"/>
        </w:rPr>
      </w:pPr>
    </w:p>
    <w:p w14:paraId="2A3AF82C">
      <w:pPr>
        <w:bidi w:val="0"/>
        <w:rPr>
          <w:rFonts w:hint="eastAsia"/>
          <w:lang w:val="en-US" w:eastAsia="zh-CN"/>
        </w:rPr>
      </w:pPr>
      <w:r>
        <w:rPr>
          <w:rFonts w:hint="eastAsia"/>
          <w:lang w:val="en-US" w:eastAsia="zh-CN"/>
        </w:rPr>
        <w:t>Titus</w:t>
      </w:r>
    </w:p>
    <w:p w14:paraId="7C5E646B">
      <w:pPr>
        <w:bidi w:val="0"/>
        <w:rPr>
          <w:rFonts w:hint="eastAsia"/>
          <w:lang w:val="en-US" w:eastAsia="zh-CN"/>
        </w:rPr>
      </w:pPr>
    </w:p>
    <w:p w14:paraId="6E2ACB89">
      <w:pPr>
        <w:bidi w:val="0"/>
        <w:rPr>
          <w:rFonts w:hint="eastAsia"/>
          <w:lang w:val="en-US" w:eastAsia="zh-CN"/>
        </w:rPr>
      </w:pPr>
      <w:r>
        <w:rPr>
          <w:rFonts w:hint="eastAsia"/>
          <w:lang w:val="en-US" w:eastAsia="zh-CN"/>
        </w:rPr>
        <w:t>提多书</w:t>
      </w:r>
    </w:p>
    <w:p w14:paraId="7F752EC4">
      <w:pPr>
        <w:bidi w:val="0"/>
        <w:rPr>
          <w:rFonts w:hint="eastAsia"/>
          <w:lang w:val="en-US" w:eastAsia="zh-CN"/>
        </w:rPr>
      </w:pPr>
    </w:p>
    <w:p w14:paraId="015F8486">
      <w:pPr>
        <w:bidi w:val="0"/>
        <w:rPr>
          <w:rFonts w:hint="eastAsia"/>
          <w:lang w:val="en-US" w:eastAsia="zh-CN"/>
        </w:rPr>
      </w:pPr>
      <w:r>
        <w:rPr>
          <w:rFonts w:hint="eastAsia"/>
          <w:lang w:val="en-US" w:eastAsia="zh-CN"/>
        </w:rPr>
        <w:t>1:2 90, 92</w:t>
      </w:r>
    </w:p>
    <w:p w14:paraId="7CC895FF">
      <w:pPr>
        <w:bidi w:val="0"/>
        <w:rPr>
          <w:rFonts w:hint="eastAsia"/>
          <w:lang w:val="en-US" w:eastAsia="zh-CN"/>
        </w:rPr>
      </w:pPr>
    </w:p>
    <w:p w14:paraId="77589975">
      <w:pPr>
        <w:bidi w:val="0"/>
        <w:rPr>
          <w:rFonts w:hint="eastAsia"/>
          <w:lang w:val="en-US" w:eastAsia="zh-CN"/>
        </w:rPr>
      </w:pPr>
      <w:r>
        <w:rPr>
          <w:rFonts w:hint="eastAsia"/>
          <w:lang w:val="en-US" w:eastAsia="zh-CN"/>
        </w:rPr>
        <w:t>1:2 90, 92</w:t>
      </w:r>
    </w:p>
    <w:p w14:paraId="16A983B2">
      <w:pPr>
        <w:bidi w:val="0"/>
        <w:rPr>
          <w:rFonts w:hint="eastAsia"/>
          <w:lang w:val="en-US" w:eastAsia="zh-CN"/>
        </w:rPr>
      </w:pPr>
    </w:p>
    <w:p w14:paraId="770F522A">
      <w:pPr>
        <w:bidi w:val="0"/>
        <w:rPr>
          <w:rFonts w:hint="eastAsia"/>
          <w:lang w:val="en-US" w:eastAsia="zh-CN"/>
        </w:rPr>
      </w:pPr>
      <w:r>
        <w:rPr>
          <w:rFonts w:hint="eastAsia"/>
          <w:lang w:val="en-US" w:eastAsia="zh-CN"/>
        </w:rPr>
        <w:t>2:11-14 xviii, 391, 591, 604</w:t>
      </w:r>
    </w:p>
    <w:p w14:paraId="2020B041">
      <w:pPr>
        <w:bidi w:val="0"/>
        <w:rPr>
          <w:rFonts w:hint="eastAsia"/>
          <w:lang w:val="en-US" w:eastAsia="zh-CN"/>
        </w:rPr>
      </w:pPr>
    </w:p>
    <w:p w14:paraId="3FD9E197">
      <w:pPr>
        <w:bidi w:val="0"/>
        <w:rPr>
          <w:rFonts w:hint="eastAsia"/>
          <w:lang w:val="en-US" w:eastAsia="zh-CN"/>
        </w:rPr>
      </w:pPr>
      <w:r>
        <w:rPr>
          <w:rFonts w:hint="eastAsia"/>
          <w:lang w:val="en-US" w:eastAsia="zh-CN"/>
        </w:rPr>
        <w:t>2:11-14 xviii, 391, 591, 604</w:t>
      </w:r>
    </w:p>
    <w:p w14:paraId="2A929301">
      <w:pPr>
        <w:bidi w:val="0"/>
        <w:rPr>
          <w:rFonts w:hint="eastAsia"/>
          <w:lang w:val="en-US" w:eastAsia="zh-CN"/>
        </w:rPr>
      </w:pPr>
    </w:p>
    <w:p w14:paraId="622A632A">
      <w:pPr>
        <w:bidi w:val="0"/>
        <w:rPr>
          <w:rFonts w:hint="eastAsia"/>
          <w:lang w:val="en-US" w:eastAsia="zh-CN"/>
        </w:rPr>
      </w:pPr>
      <w:r>
        <w:rPr>
          <w:rFonts w:hint="eastAsia"/>
          <w:lang w:val="en-US" w:eastAsia="zh-CN"/>
        </w:rPr>
        <w:t>3:4-5 347, 599</w:t>
      </w:r>
    </w:p>
    <w:p w14:paraId="3838333E">
      <w:pPr>
        <w:bidi w:val="0"/>
        <w:rPr>
          <w:rFonts w:hint="eastAsia"/>
          <w:lang w:val="en-US" w:eastAsia="zh-CN"/>
        </w:rPr>
      </w:pPr>
    </w:p>
    <w:p w14:paraId="7987578D">
      <w:pPr>
        <w:bidi w:val="0"/>
        <w:rPr>
          <w:rFonts w:hint="eastAsia"/>
          <w:lang w:val="en-US" w:eastAsia="zh-CN"/>
        </w:rPr>
      </w:pPr>
      <w:r>
        <w:rPr>
          <w:rFonts w:hint="eastAsia"/>
          <w:lang w:val="en-US" w:eastAsia="zh-CN"/>
        </w:rPr>
        <w:t>3:4-5 347, 599</w:t>
      </w:r>
    </w:p>
    <w:p w14:paraId="0EB82AE6">
      <w:pPr>
        <w:bidi w:val="0"/>
        <w:rPr>
          <w:rFonts w:hint="eastAsia"/>
          <w:lang w:val="en-US" w:eastAsia="zh-CN"/>
        </w:rPr>
      </w:pPr>
    </w:p>
    <w:p w14:paraId="7906A4EA">
      <w:pPr>
        <w:bidi w:val="0"/>
        <w:rPr>
          <w:rFonts w:hint="eastAsia"/>
          <w:lang w:val="en-US" w:eastAsia="zh-CN"/>
        </w:rPr>
      </w:pPr>
      <w:r>
        <w:rPr>
          <w:rFonts w:hint="eastAsia"/>
          <w:lang w:val="en-US" w:eastAsia="zh-CN"/>
        </w:rPr>
        <w:t>Hebrews</w:t>
      </w:r>
    </w:p>
    <w:p w14:paraId="05F42CA6">
      <w:pPr>
        <w:bidi w:val="0"/>
        <w:rPr>
          <w:rFonts w:hint="eastAsia"/>
          <w:lang w:val="en-US" w:eastAsia="zh-CN"/>
        </w:rPr>
      </w:pPr>
    </w:p>
    <w:p w14:paraId="58E7175D">
      <w:pPr>
        <w:bidi w:val="0"/>
        <w:rPr>
          <w:rFonts w:hint="eastAsia"/>
          <w:lang w:val="en-US" w:eastAsia="zh-CN"/>
        </w:rPr>
      </w:pPr>
      <w:r>
        <w:rPr>
          <w:rFonts w:hint="eastAsia"/>
          <w:lang w:val="en-US" w:eastAsia="zh-CN"/>
        </w:rPr>
        <w:t>希伯来书</w:t>
      </w:r>
    </w:p>
    <w:p w14:paraId="3E48FA2A">
      <w:pPr>
        <w:bidi w:val="0"/>
        <w:rPr>
          <w:rFonts w:hint="eastAsia"/>
          <w:lang w:val="en-US" w:eastAsia="zh-CN"/>
        </w:rPr>
      </w:pPr>
    </w:p>
    <w:p w14:paraId="3F71D7B7">
      <w:pPr>
        <w:bidi w:val="0"/>
        <w:rPr>
          <w:rFonts w:hint="eastAsia"/>
          <w:lang w:val="en-US" w:eastAsia="zh-CN"/>
        </w:rPr>
      </w:pPr>
      <w:r>
        <w:rPr>
          <w:rFonts w:hint="eastAsia"/>
          <w:lang w:val="en-US" w:eastAsia="zh-CN"/>
        </w:rPr>
        <w:t>1:1-2 6, 42, 173</w:t>
      </w:r>
    </w:p>
    <w:p w14:paraId="2D48A455">
      <w:pPr>
        <w:bidi w:val="0"/>
        <w:rPr>
          <w:rFonts w:hint="eastAsia"/>
          <w:lang w:val="en-US" w:eastAsia="zh-CN"/>
        </w:rPr>
      </w:pPr>
    </w:p>
    <w:p w14:paraId="07FB5E58">
      <w:pPr>
        <w:bidi w:val="0"/>
        <w:rPr>
          <w:rFonts w:hint="eastAsia"/>
          <w:lang w:val="en-US" w:eastAsia="zh-CN"/>
        </w:rPr>
      </w:pPr>
      <w:r>
        <w:rPr>
          <w:rFonts w:hint="eastAsia"/>
          <w:lang w:val="en-US" w:eastAsia="zh-CN"/>
        </w:rPr>
        <w:t>1:1-2 6, 42, 173</w:t>
      </w:r>
    </w:p>
    <w:p w14:paraId="7356F25C">
      <w:pPr>
        <w:bidi w:val="0"/>
        <w:rPr>
          <w:rFonts w:hint="eastAsia"/>
          <w:lang w:val="en-US" w:eastAsia="zh-CN"/>
        </w:rPr>
      </w:pPr>
    </w:p>
    <w:p w14:paraId="3B7AF4BD">
      <w:pPr>
        <w:bidi w:val="0"/>
        <w:rPr>
          <w:rFonts w:hint="eastAsia"/>
          <w:lang w:val="en-US" w:eastAsia="zh-CN"/>
        </w:rPr>
      </w:pPr>
      <w:r>
        <w:rPr>
          <w:rFonts w:hint="eastAsia"/>
          <w:lang w:val="en-US" w:eastAsia="zh-CN"/>
        </w:rPr>
        <w:t>1:1-5 155</w:t>
      </w:r>
    </w:p>
    <w:p w14:paraId="517B82C3">
      <w:pPr>
        <w:bidi w:val="0"/>
        <w:rPr>
          <w:rFonts w:hint="eastAsia"/>
          <w:lang w:val="en-US" w:eastAsia="zh-CN"/>
        </w:rPr>
      </w:pPr>
    </w:p>
    <w:p w14:paraId="150F903F">
      <w:pPr>
        <w:bidi w:val="0"/>
        <w:rPr>
          <w:rFonts w:hint="eastAsia"/>
          <w:lang w:val="en-US" w:eastAsia="zh-CN"/>
        </w:rPr>
      </w:pPr>
      <w:r>
        <w:rPr>
          <w:rFonts w:hint="eastAsia"/>
          <w:lang w:val="en-US" w:eastAsia="zh-CN"/>
        </w:rPr>
        <w:t>1:1-5 155</w:t>
      </w:r>
    </w:p>
    <w:p w14:paraId="312B35D4">
      <w:pPr>
        <w:bidi w:val="0"/>
        <w:rPr>
          <w:rFonts w:hint="eastAsia"/>
          <w:lang w:val="en-US" w:eastAsia="zh-CN"/>
        </w:rPr>
      </w:pPr>
    </w:p>
    <w:p w14:paraId="0A57F113">
      <w:pPr>
        <w:bidi w:val="0"/>
        <w:rPr>
          <w:rFonts w:hint="eastAsia"/>
          <w:lang w:val="en-US" w:eastAsia="zh-CN"/>
        </w:rPr>
      </w:pPr>
      <w:r>
        <w:rPr>
          <w:rFonts w:hint="eastAsia"/>
          <w:lang w:val="en-US" w:eastAsia="zh-CN"/>
        </w:rPr>
        <w:t>2:14-15 337</w:t>
      </w:r>
    </w:p>
    <w:p w14:paraId="0FB05710">
      <w:pPr>
        <w:bidi w:val="0"/>
        <w:rPr>
          <w:rFonts w:hint="eastAsia"/>
          <w:lang w:val="en-US" w:eastAsia="zh-CN"/>
        </w:rPr>
      </w:pPr>
    </w:p>
    <w:p w14:paraId="44A3966E">
      <w:pPr>
        <w:bidi w:val="0"/>
        <w:rPr>
          <w:rFonts w:hint="eastAsia"/>
          <w:lang w:val="en-US" w:eastAsia="zh-CN"/>
        </w:rPr>
      </w:pPr>
      <w:r>
        <w:rPr>
          <w:rFonts w:hint="eastAsia"/>
          <w:lang w:val="en-US" w:eastAsia="zh-CN"/>
        </w:rPr>
        <w:t>2:14-15 337</w:t>
      </w:r>
    </w:p>
    <w:p w14:paraId="7F28D300">
      <w:pPr>
        <w:bidi w:val="0"/>
        <w:rPr>
          <w:rFonts w:hint="eastAsia"/>
          <w:lang w:val="en-US" w:eastAsia="zh-CN"/>
        </w:rPr>
      </w:pPr>
    </w:p>
    <w:p w14:paraId="663D6DB2">
      <w:pPr>
        <w:bidi w:val="0"/>
        <w:rPr>
          <w:rFonts w:hint="eastAsia"/>
          <w:lang w:val="en-US" w:eastAsia="zh-CN"/>
        </w:rPr>
      </w:pPr>
      <w:r>
        <w:rPr>
          <w:rFonts w:hint="eastAsia"/>
          <w:lang w:val="en-US" w:eastAsia="zh-CN"/>
        </w:rPr>
        <w:t>3:1-6 236</w:t>
      </w:r>
    </w:p>
    <w:p w14:paraId="5570648A">
      <w:pPr>
        <w:bidi w:val="0"/>
        <w:rPr>
          <w:rFonts w:hint="eastAsia"/>
          <w:lang w:val="en-US" w:eastAsia="zh-CN"/>
        </w:rPr>
      </w:pPr>
    </w:p>
    <w:p w14:paraId="200E44AD">
      <w:pPr>
        <w:bidi w:val="0"/>
        <w:rPr>
          <w:rFonts w:hint="eastAsia"/>
          <w:lang w:val="en-US" w:eastAsia="zh-CN"/>
        </w:rPr>
      </w:pPr>
      <w:r>
        <w:rPr>
          <w:rFonts w:hint="eastAsia"/>
          <w:lang w:val="en-US" w:eastAsia="zh-CN"/>
        </w:rPr>
        <w:t>3:1-6 236</w:t>
      </w:r>
    </w:p>
    <w:p w14:paraId="30D893C8">
      <w:pPr>
        <w:bidi w:val="0"/>
        <w:rPr>
          <w:rFonts w:hint="eastAsia"/>
          <w:lang w:val="en-US" w:eastAsia="zh-CN"/>
        </w:rPr>
      </w:pPr>
    </w:p>
    <w:p w14:paraId="550FA984">
      <w:pPr>
        <w:bidi w:val="0"/>
        <w:rPr>
          <w:rFonts w:hint="eastAsia"/>
          <w:lang w:val="en-US" w:eastAsia="zh-CN"/>
        </w:rPr>
      </w:pPr>
      <w:r>
        <w:rPr>
          <w:rFonts w:hint="eastAsia"/>
          <w:lang w:val="en-US" w:eastAsia="zh-CN"/>
        </w:rPr>
        <w:t>4:1-13 468</w:t>
      </w:r>
    </w:p>
    <w:p w14:paraId="236D5925">
      <w:pPr>
        <w:bidi w:val="0"/>
        <w:rPr>
          <w:rFonts w:hint="eastAsia"/>
          <w:lang w:val="en-US" w:eastAsia="zh-CN"/>
        </w:rPr>
      </w:pPr>
    </w:p>
    <w:p w14:paraId="4C9F1E24">
      <w:pPr>
        <w:bidi w:val="0"/>
        <w:rPr>
          <w:rFonts w:hint="eastAsia"/>
          <w:lang w:val="en-US" w:eastAsia="zh-CN"/>
        </w:rPr>
      </w:pPr>
      <w:r>
        <w:rPr>
          <w:rFonts w:hint="eastAsia"/>
          <w:lang w:val="en-US" w:eastAsia="zh-CN"/>
        </w:rPr>
        <w:t>4:1-13 468</w:t>
      </w:r>
    </w:p>
    <w:p w14:paraId="4FBBE9A4">
      <w:pPr>
        <w:bidi w:val="0"/>
        <w:rPr>
          <w:rFonts w:hint="eastAsia"/>
          <w:lang w:val="en-US" w:eastAsia="zh-CN"/>
        </w:rPr>
      </w:pPr>
    </w:p>
    <w:p w14:paraId="3946B1C0">
      <w:pPr>
        <w:bidi w:val="0"/>
        <w:rPr>
          <w:rFonts w:hint="eastAsia"/>
          <w:lang w:val="en-US" w:eastAsia="zh-CN"/>
        </w:rPr>
      </w:pPr>
      <w:r>
        <w:rPr>
          <w:rFonts w:hint="eastAsia"/>
          <w:lang w:val="en-US" w:eastAsia="zh-CN"/>
        </w:rPr>
        <w:t>4:14-15 337</w:t>
      </w:r>
    </w:p>
    <w:p w14:paraId="61D76626">
      <w:pPr>
        <w:bidi w:val="0"/>
        <w:rPr>
          <w:rFonts w:hint="eastAsia"/>
          <w:lang w:val="en-US" w:eastAsia="zh-CN"/>
        </w:rPr>
      </w:pPr>
    </w:p>
    <w:p w14:paraId="4D944A55">
      <w:pPr>
        <w:bidi w:val="0"/>
        <w:rPr>
          <w:rFonts w:hint="eastAsia"/>
          <w:lang w:val="en-US" w:eastAsia="zh-CN"/>
        </w:rPr>
      </w:pPr>
      <w:r>
        <w:rPr>
          <w:rFonts w:hint="eastAsia"/>
          <w:lang w:val="en-US" w:eastAsia="zh-CN"/>
        </w:rPr>
        <w:t>4:14-15 337</w:t>
      </w:r>
    </w:p>
    <w:p w14:paraId="64B82EF0">
      <w:pPr>
        <w:bidi w:val="0"/>
        <w:rPr>
          <w:rFonts w:hint="eastAsia"/>
          <w:lang w:val="en-US" w:eastAsia="zh-CN"/>
        </w:rPr>
      </w:pPr>
    </w:p>
    <w:p w14:paraId="4E96AB81">
      <w:pPr>
        <w:bidi w:val="0"/>
        <w:rPr>
          <w:rFonts w:hint="eastAsia"/>
          <w:lang w:val="en-US" w:eastAsia="zh-CN"/>
        </w:rPr>
      </w:pPr>
      <w:r>
        <w:rPr>
          <w:rFonts w:hint="eastAsia"/>
          <w:lang w:val="en-US" w:eastAsia="zh-CN"/>
        </w:rPr>
        <w:t>5:8-10 231</w:t>
      </w:r>
    </w:p>
    <w:p w14:paraId="3AF76EB1">
      <w:pPr>
        <w:bidi w:val="0"/>
        <w:rPr>
          <w:rFonts w:hint="eastAsia"/>
          <w:lang w:val="en-US" w:eastAsia="zh-CN"/>
        </w:rPr>
      </w:pPr>
    </w:p>
    <w:p w14:paraId="22B54196">
      <w:pPr>
        <w:bidi w:val="0"/>
        <w:rPr>
          <w:rFonts w:hint="eastAsia"/>
          <w:lang w:val="en-US" w:eastAsia="zh-CN"/>
        </w:rPr>
      </w:pPr>
      <w:r>
        <w:rPr>
          <w:rFonts w:hint="eastAsia"/>
          <w:lang w:val="en-US" w:eastAsia="zh-CN"/>
        </w:rPr>
        <w:t>5:8-10 231</w:t>
      </w:r>
    </w:p>
    <w:p w14:paraId="62F29705">
      <w:pPr>
        <w:bidi w:val="0"/>
        <w:rPr>
          <w:rFonts w:hint="eastAsia"/>
          <w:lang w:val="en-US" w:eastAsia="zh-CN"/>
        </w:rPr>
      </w:pPr>
    </w:p>
    <w:p w14:paraId="1686D537">
      <w:pPr>
        <w:bidi w:val="0"/>
        <w:rPr>
          <w:rFonts w:hint="eastAsia"/>
          <w:lang w:val="en-US" w:eastAsia="zh-CN"/>
        </w:rPr>
      </w:pPr>
      <w:r>
        <w:rPr>
          <w:rFonts w:hint="eastAsia"/>
          <w:lang w:val="en-US" w:eastAsia="zh-CN"/>
        </w:rPr>
        <w:t>6:6 173</w:t>
      </w:r>
    </w:p>
    <w:p w14:paraId="0D13F1DC">
      <w:pPr>
        <w:bidi w:val="0"/>
        <w:rPr>
          <w:rFonts w:hint="eastAsia"/>
          <w:lang w:val="en-US" w:eastAsia="zh-CN"/>
        </w:rPr>
      </w:pPr>
    </w:p>
    <w:p w14:paraId="3C8879A3">
      <w:pPr>
        <w:bidi w:val="0"/>
        <w:rPr>
          <w:rFonts w:hint="eastAsia"/>
          <w:lang w:val="en-US" w:eastAsia="zh-CN"/>
        </w:rPr>
      </w:pPr>
      <w:r>
        <w:rPr>
          <w:rFonts w:hint="eastAsia"/>
          <w:lang w:val="en-US" w:eastAsia="zh-CN"/>
        </w:rPr>
        <w:t>6:6 173</w:t>
      </w:r>
    </w:p>
    <w:p w14:paraId="16DD7AED">
      <w:pPr>
        <w:bidi w:val="0"/>
        <w:rPr>
          <w:rFonts w:hint="eastAsia"/>
          <w:lang w:val="en-US" w:eastAsia="zh-CN"/>
        </w:rPr>
      </w:pPr>
    </w:p>
    <w:p w14:paraId="4CB7513B">
      <w:pPr>
        <w:bidi w:val="0"/>
        <w:rPr>
          <w:rFonts w:hint="eastAsia"/>
          <w:lang w:val="en-US" w:eastAsia="zh-CN"/>
        </w:rPr>
      </w:pPr>
      <w:r>
        <w:rPr>
          <w:rFonts w:hint="eastAsia"/>
          <w:lang w:val="en-US" w:eastAsia="zh-CN"/>
        </w:rPr>
        <w:t>7:1-10 237</w:t>
      </w:r>
    </w:p>
    <w:p w14:paraId="00B939F3">
      <w:pPr>
        <w:bidi w:val="0"/>
        <w:rPr>
          <w:rFonts w:hint="eastAsia"/>
          <w:lang w:val="en-US" w:eastAsia="zh-CN"/>
        </w:rPr>
      </w:pPr>
    </w:p>
    <w:p w14:paraId="6274A85A">
      <w:pPr>
        <w:bidi w:val="0"/>
        <w:rPr>
          <w:rFonts w:hint="eastAsia"/>
          <w:lang w:val="en-US" w:eastAsia="zh-CN"/>
        </w:rPr>
      </w:pPr>
      <w:r>
        <w:rPr>
          <w:rFonts w:hint="eastAsia"/>
          <w:lang w:val="en-US" w:eastAsia="zh-CN"/>
        </w:rPr>
        <w:t>7:1-10 237</w:t>
      </w:r>
    </w:p>
    <w:p w14:paraId="588B41ED">
      <w:pPr>
        <w:bidi w:val="0"/>
        <w:rPr>
          <w:rFonts w:hint="eastAsia"/>
          <w:lang w:val="en-US" w:eastAsia="zh-CN"/>
        </w:rPr>
      </w:pPr>
    </w:p>
    <w:p w14:paraId="574CFEFF">
      <w:pPr>
        <w:bidi w:val="0"/>
        <w:rPr>
          <w:rFonts w:hint="eastAsia"/>
          <w:lang w:val="en-US" w:eastAsia="zh-CN"/>
        </w:rPr>
      </w:pPr>
      <w:r>
        <w:rPr>
          <w:rFonts w:hint="eastAsia"/>
          <w:lang w:val="en-US" w:eastAsia="zh-CN"/>
        </w:rPr>
        <w:t>7:11-28 330</w:t>
      </w:r>
    </w:p>
    <w:p w14:paraId="2CFF8C54">
      <w:pPr>
        <w:bidi w:val="0"/>
        <w:rPr>
          <w:rFonts w:hint="eastAsia"/>
          <w:lang w:val="en-US" w:eastAsia="zh-CN"/>
        </w:rPr>
      </w:pPr>
    </w:p>
    <w:p w14:paraId="18C4B883">
      <w:pPr>
        <w:bidi w:val="0"/>
        <w:rPr>
          <w:rFonts w:hint="eastAsia"/>
          <w:lang w:val="en-US" w:eastAsia="zh-CN"/>
        </w:rPr>
      </w:pPr>
      <w:r>
        <w:rPr>
          <w:rFonts w:hint="eastAsia"/>
          <w:lang w:val="en-US" w:eastAsia="zh-CN"/>
        </w:rPr>
        <w:t>7:11-28 330</w:t>
      </w:r>
    </w:p>
    <w:p w14:paraId="0272531D">
      <w:pPr>
        <w:bidi w:val="0"/>
        <w:rPr>
          <w:rFonts w:hint="eastAsia"/>
          <w:lang w:val="en-US" w:eastAsia="zh-CN"/>
        </w:rPr>
      </w:pPr>
    </w:p>
    <w:p w14:paraId="3BCCE0D5">
      <w:pPr>
        <w:bidi w:val="0"/>
        <w:rPr>
          <w:rFonts w:hint="eastAsia"/>
          <w:lang w:val="en-US" w:eastAsia="zh-CN"/>
        </w:rPr>
      </w:pPr>
      <w:r>
        <w:rPr>
          <w:rFonts w:hint="eastAsia"/>
          <w:lang w:val="en-US" w:eastAsia="zh-CN"/>
        </w:rPr>
        <w:t>7:18-19 203, 237</w:t>
      </w:r>
    </w:p>
    <w:p w14:paraId="7DFE6D0C">
      <w:pPr>
        <w:bidi w:val="0"/>
        <w:rPr>
          <w:rFonts w:hint="eastAsia"/>
          <w:lang w:val="en-US" w:eastAsia="zh-CN"/>
        </w:rPr>
      </w:pPr>
    </w:p>
    <w:p w14:paraId="4461F990">
      <w:pPr>
        <w:bidi w:val="0"/>
        <w:rPr>
          <w:rFonts w:hint="eastAsia"/>
          <w:lang w:val="en-US" w:eastAsia="zh-CN"/>
        </w:rPr>
      </w:pPr>
      <w:r>
        <w:rPr>
          <w:rFonts w:hint="eastAsia"/>
          <w:lang w:val="en-US" w:eastAsia="zh-CN"/>
        </w:rPr>
        <w:t>7:18-19 203, 237</w:t>
      </w:r>
    </w:p>
    <w:p w14:paraId="4FB56137">
      <w:pPr>
        <w:bidi w:val="0"/>
        <w:rPr>
          <w:rFonts w:hint="eastAsia"/>
          <w:lang w:val="en-US" w:eastAsia="zh-CN"/>
        </w:rPr>
      </w:pPr>
    </w:p>
    <w:p w14:paraId="45529210">
      <w:pPr>
        <w:bidi w:val="0"/>
        <w:rPr>
          <w:rFonts w:hint="eastAsia"/>
          <w:lang w:val="en-US" w:eastAsia="zh-CN"/>
        </w:rPr>
      </w:pPr>
      <w:r>
        <w:rPr>
          <w:rFonts w:hint="eastAsia"/>
          <w:lang w:val="en-US" w:eastAsia="zh-CN"/>
        </w:rPr>
        <w:t>7:20-28 239, 330, 340</w:t>
      </w:r>
    </w:p>
    <w:p w14:paraId="6E26F271">
      <w:pPr>
        <w:bidi w:val="0"/>
        <w:rPr>
          <w:rFonts w:hint="eastAsia"/>
          <w:lang w:val="en-US" w:eastAsia="zh-CN"/>
        </w:rPr>
      </w:pPr>
    </w:p>
    <w:p w14:paraId="32E027BA">
      <w:pPr>
        <w:bidi w:val="0"/>
        <w:rPr>
          <w:rFonts w:hint="eastAsia"/>
          <w:lang w:val="en-US" w:eastAsia="zh-CN"/>
        </w:rPr>
      </w:pPr>
      <w:r>
        <w:rPr>
          <w:rFonts w:hint="eastAsia"/>
          <w:lang w:val="en-US" w:eastAsia="zh-CN"/>
        </w:rPr>
        <w:t>7:20-28 239, 330, 340</w:t>
      </w:r>
    </w:p>
    <w:p w14:paraId="489C7EEF">
      <w:pPr>
        <w:bidi w:val="0"/>
        <w:rPr>
          <w:rFonts w:hint="eastAsia"/>
          <w:lang w:val="en-US" w:eastAsia="zh-CN"/>
        </w:rPr>
      </w:pPr>
    </w:p>
    <w:p w14:paraId="24226440">
      <w:pPr>
        <w:bidi w:val="0"/>
        <w:rPr>
          <w:rFonts w:hint="eastAsia"/>
          <w:lang w:val="en-US" w:eastAsia="zh-CN"/>
        </w:rPr>
      </w:pPr>
      <w:r>
        <w:rPr>
          <w:rFonts w:hint="eastAsia"/>
          <w:lang w:val="en-US" w:eastAsia="zh-CN"/>
        </w:rPr>
        <w:t>8:1-13 204, 274</w:t>
      </w:r>
    </w:p>
    <w:p w14:paraId="2385E8C1">
      <w:pPr>
        <w:bidi w:val="0"/>
        <w:rPr>
          <w:rFonts w:hint="eastAsia"/>
          <w:lang w:val="en-US" w:eastAsia="zh-CN"/>
        </w:rPr>
      </w:pPr>
    </w:p>
    <w:p w14:paraId="32E2A926">
      <w:pPr>
        <w:bidi w:val="0"/>
        <w:rPr>
          <w:rFonts w:hint="eastAsia"/>
          <w:lang w:val="en-US" w:eastAsia="zh-CN"/>
        </w:rPr>
      </w:pPr>
      <w:r>
        <w:rPr>
          <w:rFonts w:hint="eastAsia"/>
          <w:lang w:val="en-US" w:eastAsia="zh-CN"/>
        </w:rPr>
        <w:t>8:1-13 204, 274</w:t>
      </w:r>
    </w:p>
    <w:p w14:paraId="3975363F">
      <w:pPr>
        <w:bidi w:val="0"/>
        <w:rPr>
          <w:rFonts w:hint="eastAsia"/>
          <w:lang w:val="en-US" w:eastAsia="zh-CN"/>
        </w:rPr>
      </w:pPr>
    </w:p>
    <w:p w14:paraId="7479C336">
      <w:pPr>
        <w:bidi w:val="0"/>
        <w:rPr>
          <w:rFonts w:hint="eastAsia"/>
          <w:lang w:val="en-US" w:eastAsia="zh-CN"/>
        </w:rPr>
      </w:pPr>
      <w:r>
        <w:rPr>
          <w:rFonts w:hint="eastAsia"/>
          <w:lang w:val="en-US" w:eastAsia="zh-CN"/>
        </w:rPr>
        <w:t>8:4-5 232</w:t>
      </w:r>
    </w:p>
    <w:p w14:paraId="2AF7FDF1">
      <w:pPr>
        <w:bidi w:val="0"/>
        <w:rPr>
          <w:rFonts w:hint="eastAsia"/>
          <w:lang w:val="en-US" w:eastAsia="zh-CN"/>
        </w:rPr>
      </w:pPr>
    </w:p>
    <w:p w14:paraId="5FD65F53">
      <w:pPr>
        <w:bidi w:val="0"/>
        <w:rPr>
          <w:rFonts w:hint="eastAsia"/>
          <w:lang w:val="en-US" w:eastAsia="zh-CN"/>
        </w:rPr>
      </w:pPr>
      <w:r>
        <w:rPr>
          <w:rFonts w:hint="eastAsia"/>
          <w:lang w:val="en-US" w:eastAsia="zh-CN"/>
        </w:rPr>
        <w:t>8:4-5 232</w:t>
      </w:r>
    </w:p>
    <w:p w14:paraId="5DF3E509">
      <w:pPr>
        <w:bidi w:val="0"/>
        <w:rPr>
          <w:rFonts w:hint="eastAsia"/>
          <w:lang w:val="en-US" w:eastAsia="zh-CN"/>
        </w:rPr>
      </w:pPr>
    </w:p>
    <w:p w14:paraId="5F500F4E">
      <w:pPr>
        <w:bidi w:val="0"/>
        <w:rPr>
          <w:rFonts w:hint="eastAsia"/>
          <w:lang w:val="en-US" w:eastAsia="zh-CN"/>
        </w:rPr>
      </w:pPr>
      <w:r>
        <w:rPr>
          <w:rFonts w:hint="eastAsia"/>
          <w:lang w:val="en-US" w:eastAsia="zh-CN"/>
        </w:rPr>
        <w:t>8:13 14, 100, 205, 241, 330</w:t>
      </w:r>
    </w:p>
    <w:p w14:paraId="6212E7A2">
      <w:pPr>
        <w:bidi w:val="0"/>
        <w:rPr>
          <w:rFonts w:hint="eastAsia"/>
          <w:lang w:val="en-US" w:eastAsia="zh-CN"/>
        </w:rPr>
      </w:pPr>
    </w:p>
    <w:p w14:paraId="2FFC59B9">
      <w:pPr>
        <w:bidi w:val="0"/>
        <w:rPr>
          <w:rFonts w:hint="eastAsia"/>
          <w:lang w:val="en-US" w:eastAsia="zh-CN"/>
        </w:rPr>
      </w:pPr>
      <w:r>
        <w:rPr>
          <w:rFonts w:hint="eastAsia"/>
          <w:lang w:val="en-US" w:eastAsia="zh-CN"/>
        </w:rPr>
        <w:t>8:13 14, 100, 205, 241, 330</w:t>
      </w:r>
    </w:p>
    <w:p w14:paraId="12ABA5D6">
      <w:pPr>
        <w:bidi w:val="0"/>
        <w:rPr>
          <w:rFonts w:hint="eastAsia"/>
          <w:lang w:val="en-US" w:eastAsia="zh-CN"/>
        </w:rPr>
      </w:pPr>
    </w:p>
    <w:p w14:paraId="128DF47F">
      <w:pPr>
        <w:bidi w:val="0"/>
        <w:rPr>
          <w:rFonts w:hint="eastAsia"/>
          <w:lang w:val="en-US" w:eastAsia="zh-CN"/>
        </w:rPr>
      </w:pPr>
      <w:r>
        <w:rPr>
          <w:rFonts w:hint="eastAsia"/>
          <w:lang w:val="en-US" w:eastAsia="zh-CN"/>
        </w:rPr>
        <w:t>9:1-28 203, 237</w:t>
      </w:r>
    </w:p>
    <w:p w14:paraId="6817AE11">
      <w:pPr>
        <w:bidi w:val="0"/>
        <w:rPr>
          <w:rFonts w:hint="eastAsia"/>
          <w:lang w:val="en-US" w:eastAsia="zh-CN"/>
        </w:rPr>
      </w:pPr>
    </w:p>
    <w:p w14:paraId="75EF1F9C">
      <w:pPr>
        <w:bidi w:val="0"/>
        <w:rPr>
          <w:rFonts w:hint="eastAsia"/>
          <w:lang w:val="en-US" w:eastAsia="zh-CN"/>
        </w:rPr>
      </w:pPr>
      <w:r>
        <w:rPr>
          <w:rFonts w:hint="eastAsia"/>
          <w:lang w:val="en-US" w:eastAsia="zh-CN"/>
        </w:rPr>
        <w:t>9:1-28 203, 237</w:t>
      </w:r>
    </w:p>
    <w:p w14:paraId="1A596172">
      <w:pPr>
        <w:bidi w:val="0"/>
        <w:rPr>
          <w:rFonts w:hint="eastAsia"/>
          <w:lang w:val="en-US" w:eastAsia="zh-CN"/>
        </w:rPr>
      </w:pPr>
    </w:p>
    <w:p w14:paraId="7D179714">
      <w:pPr>
        <w:bidi w:val="0"/>
        <w:rPr>
          <w:rFonts w:hint="eastAsia"/>
          <w:lang w:val="en-US" w:eastAsia="zh-CN"/>
        </w:rPr>
      </w:pPr>
      <w:r>
        <w:rPr>
          <w:rFonts w:hint="eastAsia"/>
          <w:lang w:val="en-US" w:eastAsia="zh-CN"/>
        </w:rPr>
        <w:t>9:11-12 232, 330</w:t>
      </w:r>
    </w:p>
    <w:p w14:paraId="56EFA3FD">
      <w:pPr>
        <w:bidi w:val="0"/>
        <w:rPr>
          <w:rFonts w:hint="eastAsia"/>
          <w:lang w:val="en-US" w:eastAsia="zh-CN"/>
        </w:rPr>
      </w:pPr>
    </w:p>
    <w:p w14:paraId="04E9F2DF">
      <w:pPr>
        <w:bidi w:val="0"/>
        <w:rPr>
          <w:rFonts w:hint="eastAsia"/>
          <w:lang w:val="en-US" w:eastAsia="zh-CN"/>
        </w:rPr>
      </w:pPr>
      <w:r>
        <w:rPr>
          <w:rFonts w:hint="eastAsia"/>
          <w:lang w:val="en-US" w:eastAsia="zh-CN"/>
        </w:rPr>
        <w:t>9:11-12 232, 330</w:t>
      </w:r>
    </w:p>
    <w:p w14:paraId="5E3CE27C">
      <w:pPr>
        <w:bidi w:val="0"/>
        <w:rPr>
          <w:rFonts w:hint="eastAsia"/>
          <w:lang w:val="en-US" w:eastAsia="zh-CN"/>
        </w:rPr>
      </w:pPr>
    </w:p>
    <w:p w14:paraId="2EC24F6D">
      <w:pPr>
        <w:bidi w:val="0"/>
        <w:rPr>
          <w:rFonts w:hint="eastAsia"/>
          <w:lang w:val="en-US" w:eastAsia="zh-CN"/>
        </w:rPr>
      </w:pPr>
      <w:r>
        <w:rPr>
          <w:rFonts w:hint="eastAsia"/>
          <w:lang w:val="en-US" w:eastAsia="zh-CN"/>
        </w:rPr>
        <w:t>9:26 330</w:t>
      </w:r>
    </w:p>
    <w:p w14:paraId="3CEA2C1C">
      <w:pPr>
        <w:bidi w:val="0"/>
        <w:rPr>
          <w:rFonts w:hint="eastAsia"/>
          <w:lang w:val="en-US" w:eastAsia="zh-CN"/>
        </w:rPr>
      </w:pPr>
    </w:p>
    <w:p w14:paraId="55FC04CA">
      <w:pPr>
        <w:bidi w:val="0"/>
        <w:rPr>
          <w:rFonts w:hint="eastAsia"/>
          <w:lang w:val="en-US" w:eastAsia="zh-CN"/>
        </w:rPr>
      </w:pPr>
      <w:r>
        <w:rPr>
          <w:rFonts w:hint="eastAsia"/>
          <w:lang w:val="en-US" w:eastAsia="zh-CN"/>
        </w:rPr>
        <w:t>9:26 330</w:t>
      </w:r>
    </w:p>
    <w:p w14:paraId="753031B5">
      <w:pPr>
        <w:bidi w:val="0"/>
        <w:rPr>
          <w:rFonts w:hint="eastAsia"/>
          <w:lang w:val="en-US" w:eastAsia="zh-CN"/>
        </w:rPr>
      </w:pPr>
    </w:p>
    <w:p w14:paraId="564884B8">
      <w:pPr>
        <w:bidi w:val="0"/>
        <w:rPr>
          <w:rFonts w:hint="eastAsia"/>
          <w:lang w:val="en-US" w:eastAsia="zh-CN"/>
        </w:rPr>
      </w:pPr>
      <w:r>
        <w:rPr>
          <w:rFonts w:hint="eastAsia"/>
          <w:lang w:val="en-US" w:eastAsia="zh-CN"/>
        </w:rPr>
        <w:t>9:27-28 516</w:t>
      </w:r>
    </w:p>
    <w:p w14:paraId="2D74C426">
      <w:pPr>
        <w:bidi w:val="0"/>
        <w:rPr>
          <w:rFonts w:hint="eastAsia"/>
          <w:lang w:val="en-US" w:eastAsia="zh-CN"/>
        </w:rPr>
      </w:pPr>
    </w:p>
    <w:p w14:paraId="25B91631">
      <w:pPr>
        <w:bidi w:val="0"/>
        <w:rPr>
          <w:rFonts w:hint="eastAsia"/>
          <w:lang w:val="en-US" w:eastAsia="zh-CN"/>
        </w:rPr>
      </w:pPr>
      <w:r>
        <w:rPr>
          <w:rFonts w:hint="eastAsia"/>
          <w:lang w:val="en-US" w:eastAsia="zh-CN"/>
        </w:rPr>
        <w:t>9:27-28 516</w:t>
      </w:r>
    </w:p>
    <w:p w14:paraId="3527B4FB">
      <w:pPr>
        <w:bidi w:val="0"/>
        <w:rPr>
          <w:rFonts w:hint="eastAsia"/>
          <w:lang w:val="en-US" w:eastAsia="zh-CN"/>
        </w:rPr>
      </w:pPr>
    </w:p>
    <w:p w14:paraId="274B4106">
      <w:pPr>
        <w:bidi w:val="0"/>
        <w:rPr>
          <w:rFonts w:hint="eastAsia"/>
          <w:lang w:val="en-US" w:eastAsia="zh-CN"/>
        </w:rPr>
      </w:pPr>
      <w:r>
        <w:rPr>
          <w:rFonts w:hint="eastAsia"/>
          <w:lang w:val="en-US" w:eastAsia="zh-CN"/>
        </w:rPr>
        <w:t>10:1 232, 240</w:t>
      </w:r>
    </w:p>
    <w:p w14:paraId="2CF18AF7">
      <w:pPr>
        <w:bidi w:val="0"/>
        <w:rPr>
          <w:rFonts w:hint="eastAsia"/>
          <w:lang w:val="en-US" w:eastAsia="zh-CN"/>
        </w:rPr>
      </w:pPr>
    </w:p>
    <w:p w14:paraId="6325CBE8">
      <w:pPr>
        <w:bidi w:val="0"/>
        <w:rPr>
          <w:rFonts w:hint="eastAsia"/>
          <w:lang w:val="en-US" w:eastAsia="zh-CN"/>
        </w:rPr>
      </w:pPr>
      <w:r>
        <w:rPr>
          <w:rFonts w:hint="eastAsia"/>
          <w:lang w:val="en-US" w:eastAsia="zh-CN"/>
        </w:rPr>
        <w:t>10:1 232, 240</w:t>
      </w:r>
    </w:p>
    <w:p w14:paraId="74AB2D53">
      <w:pPr>
        <w:bidi w:val="0"/>
        <w:rPr>
          <w:rFonts w:hint="eastAsia"/>
          <w:lang w:val="en-US" w:eastAsia="zh-CN"/>
        </w:rPr>
      </w:pPr>
    </w:p>
    <w:p w14:paraId="30422539">
      <w:pPr>
        <w:bidi w:val="0"/>
        <w:rPr>
          <w:rFonts w:hint="eastAsia"/>
          <w:lang w:val="en-US" w:eastAsia="zh-CN"/>
        </w:rPr>
      </w:pPr>
      <w:r>
        <w:rPr>
          <w:rFonts w:hint="eastAsia"/>
          <w:lang w:val="en-US" w:eastAsia="zh-CN"/>
        </w:rPr>
        <w:t>10:1-19 237</w:t>
      </w:r>
    </w:p>
    <w:p w14:paraId="24956445">
      <w:pPr>
        <w:bidi w:val="0"/>
        <w:rPr>
          <w:rFonts w:hint="eastAsia"/>
          <w:lang w:val="en-US" w:eastAsia="zh-CN"/>
        </w:rPr>
      </w:pPr>
    </w:p>
    <w:p w14:paraId="52C9C325">
      <w:pPr>
        <w:bidi w:val="0"/>
        <w:rPr>
          <w:rFonts w:hint="eastAsia"/>
          <w:lang w:val="en-US" w:eastAsia="zh-CN"/>
        </w:rPr>
      </w:pPr>
      <w:r>
        <w:rPr>
          <w:rFonts w:hint="eastAsia"/>
          <w:lang w:val="en-US" w:eastAsia="zh-CN"/>
        </w:rPr>
        <w:t>10:1-19 237</w:t>
      </w:r>
    </w:p>
    <w:p w14:paraId="1B1D14CA">
      <w:pPr>
        <w:bidi w:val="0"/>
        <w:rPr>
          <w:rFonts w:hint="eastAsia"/>
          <w:lang w:val="en-US" w:eastAsia="zh-CN"/>
        </w:rPr>
      </w:pPr>
    </w:p>
    <w:p w14:paraId="125F37EB">
      <w:pPr>
        <w:bidi w:val="0"/>
        <w:rPr>
          <w:rFonts w:hint="eastAsia"/>
          <w:lang w:val="en-US" w:eastAsia="zh-CN"/>
        </w:rPr>
      </w:pPr>
      <w:r>
        <w:rPr>
          <w:rFonts w:hint="eastAsia"/>
          <w:lang w:val="en-US" w:eastAsia="zh-CN"/>
        </w:rPr>
        <w:t>10:5-10 94</w:t>
      </w:r>
    </w:p>
    <w:p w14:paraId="5633CFAE">
      <w:pPr>
        <w:bidi w:val="0"/>
        <w:rPr>
          <w:rFonts w:hint="eastAsia"/>
          <w:lang w:val="en-US" w:eastAsia="zh-CN"/>
        </w:rPr>
      </w:pPr>
    </w:p>
    <w:p w14:paraId="4E1AC03F">
      <w:pPr>
        <w:bidi w:val="0"/>
        <w:rPr>
          <w:rFonts w:hint="eastAsia"/>
          <w:lang w:val="en-US" w:eastAsia="zh-CN"/>
        </w:rPr>
      </w:pPr>
      <w:r>
        <w:rPr>
          <w:rFonts w:hint="eastAsia"/>
          <w:lang w:val="en-US" w:eastAsia="zh-CN"/>
        </w:rPr>
        <w:t>10:5-10 94</w:t>
      </w:r>
    </w:p>
    <w:p w14:paraId="79C4288E">
      <w:pPr>
        <w:bidi w:val="0"/>
        <w:rPr>
          <w:rFonts w:hint="eastAsia"/>
          <w:lang w:val="en-US" w:eastAsia="zh-CN"/>
        </w:rPr>
      </w:pPr>
    </w:p>
    <w:p w14:paraId="6EBCAE01">
      <w:pPr>
        <w:bidi w:val="0"/>
        <w:rPr>
          <w:rFonts w:hint="eastAsia"/>
          <w:lang w:val="en-US" w:eastAsia="zh-CN"/>
        </w:rPr>
      </w:pPr>
      <w:r>
        <w:rPr>
          <w:rFonts w:hint="eastAsia"/>
          <w:lang w:val="en-US" w:eastAsia="zh-CN"/>
        </w:rPr>
        <w:t>10:12 330</w:t>
      </w:r>
    </w:p>
    <w:p w14:paraId="4C8F56B5">
      <w:pPr>
        <w:bidi w:val="0"/>
        <w:rPr>
          <w:rFonts w:hint="eastAsia"/>
          <w:lang w:val="en-US" w:eastAsia="zh-CN"/>
        </w:rPr>
      </w:pPr>
    </w:p>
    <w:p w14:paraId="061F1EF2">
      <w:pPr>
        <w:bidi w:val="0"/>
        <w:rPr>
          <w:rFonts w:hint="eastAsia"/>
          <w:lang w:val="en-US" w:eastAsia="zh-CN"/>
        </w:rPr>
      </w:pPr>
      <w:r>
        <w:rPr>
          <w:rFonts w:hint="eastAsia"/>
          <w:lang w:val="en-US" w:eastAsia="zh-CN"/>
        </w:rPr>
        <w:t>10:12 330</w:t>
      </w:r>
    </w:p>
    <w:p w14:paraId="1959094F">
      <w:pPr>
        <w:bidi w:val="0"/>
        <w:rPr>
          <w:rFonts w:hint="eastAsia"/>
          <w:lang w:val="en-US" w:eastAsia="zh-CN"/>
        </w:rPr>
      </w:pPr>
    </w:p>
    <w:p w14:paraId="08C4EBC5">
      <w:pPr>
        <w:bidi w:val="0"/>
        <w:rPr>
          <w:rFonts w:hint="eastAsia"/>
          <w:lang w:val="en-US" w:eastAsia="zh-CN"/>
        </w:rPr>
      </w:pPr>
      <w:r>
        <w:rPr>
          <w:rFonts w:hint="eastAsia"/>
          <w:lang w:val="en-US" w:eastAsia="zh-CN"/>
        </w:rPr>
        <w:t>10:19-22 237</w:t>
      </w:r>
    </w:p>
    <w:p w14:paraId="40A0FB0B">
      <w:pPr>
        <w:bidi w:val="0"/>
        <w:rPr>
          <w:rFonts w:hint="eastAsia"/>
          <w:lang w:val="en-US" w:eastAsia="zh-CN"/>
        </w:rPr>
      </w:pPr>
    </w:p>
    <w:p w14:paraId="5C7EC860">
      <w:pPr>
        <w:bidi w:val="0"/>
        <w:rPr>
          <w:rFonts w:hint="eastAsia"/>
          <w:lang w:val="en-US" w:eastAsia="zh-CN"/>
        </w:rPr>
      </w:pPr>
      <w:r>
        <w:rPr>
          <w:rFonts w:hint="eastAsia"/>
          <w:lang w:val="en-US" w:eastAsia="zh-CN"/>
        </w:rPr>
        <w:t>10:19-22 237</w:t>
      </w:r>
    </w:p>
    <w:p w14:paraId="5B7126D1">
      <w:pPr>
        <w:bidi w:val="0"/>
        <w:rPr>
          <w:rFonts w:hint="eastAsia"/>
          <w:lang w:val="en-US" w:eastAsia="zh-CN"/>
        </w:rPr>
      </w:pPr>
    </w:p>
    <w:p w14:paraId="526D8404">
      <w:pPr>
        <w:bidi w:val="0"/>
        <w:rPr>
          <w:rFonts w:hint="eastAsia"/>
          <w:lang w:val="en-US" w:eastAsia="zh-CN"/>
        </w:rPr>
      </w:pPr>
      <w:r>
        <w:rPr>
          <w:rFonts w:hint="eastAsia"/>
          <w:lang w:val="en-US" w:eastAsia="zh-CN"/>
        </w:rPr>
        <w:t>10:22-24 237</w:t>
      </w:r>
    </w:p>
    <w:p w14:paraId="31A50BDC">
      <w:pPr>
        <w:bidi w:val="0"/>
        <w:rPr>
          <w:rFonts w:hint="eastAsia"/>
          <w:lang w:val="en-US" w:eastAsia="zh-CN"/>
        </w:rPr>
      </w:pPr>
    </w:p>
    <w:p w14:paraId="161AEDDA">
      <w:pPr>
        <w:bidi w:val="0"/>
        <w:rPr>
          <w:rFonts w:hint="eastAsia"/>
          <w:lang w:val="en-US" w:eastAsia="zh-CN"/>
        </w:rPr>
      </w:pPr>
      <w:r>
        <w:rPr>
          <w:rFonts w:hint="eastAsia"/>
          <w:lang w:val="en-US" w:eastAsia="zh-CN"/>
        </w:rPr>
        <w:t>10:22-24 237</w:t>
      </w:r>
    </w:p>
    <w:p w14:paraId="6AF041C2">
      <w:pPr>
        <w:bidi w:val="0"/>
        <w:rPr>
          <w:rFonts w:hint="eastAsia"/>
          <w:lang w:val="en-US" w:eastAsia="zh-CN"/>
        </w:rPr>
      </w:pPr>
    </w:p>
    <w:p w14:paraId="7EA74FB1">
      <w:pPr>
        <w:bidi w:val="0"/>
        <w:rPr>
          <w:rFonts w:hint="eastAsia"/>
          <w:lang w:val="en-US" w:eastAsia="zh-CN"/>
        </w:rPr>
      </w:pPr>
      <w:r>
        <w:rPr>
          <w:rFonts w:hint="eastAsia"/>
          <w:lang w:val="en-US" w:eastAsia="zh-CN"/>
        </w:rPr>
        <w:t>11:1ff 114f, 243</w:t>
      </w:r>
    </w:p>
    <w:p w14:paraId="07E5BF1F">
      <w:pPr>
        <w:bidi w:val="0"/>
        <w:rPr>
          <w:rFonts w:hint="eastAsia"/>
          <w:lang w:val="en-US" w:eastAsia="zh-CN"/>
        </w:rPr>
      </w:pPr>
    </w:p>
    <w:p w14:paraId="5C50404B">
      <w:pPr>
        <w:bidi w:val="0"/>
        <w:rPr>
          <w:rFonts w:hint="eastAsia"/>
          <w:lang w:val="en-US" w:eastAsia="zh-CN"/>
        </w:rPr>
      </w:pPr>
      <w:r>
        <w:rPr>
          <w:rFonts w:hint="eastAsia"/>
          <w:lang w:val="en-US" w:eastAsia="zh-CN"/>
        </w:rPr>
        <w:t>11:1ff 114f, 243</w:t>
      </w:r>
    </w:p>
    <w:p w14:paraId="516E3216">
      <w:pPr>
        <w:bidi w:val="0"/>
        <w:rPr>
          <w:rFonts w:hint="eastAsia"/>
          <w:lang w:val="en-US" w:eastAsia="zh-CN"/>
        </w:rPr>
      </w:pPr>
    </w:p>
    <w:p w14:paraId="591A971B">
      <w:pPr>
        <w:bidi w:val="0"/>
        <w:rPr>
          <w:rFonts w:hint="eastAsia"/>
          <w:lang w:val="en-US" w:eastAsia="zh-CN"/>
        </w:rPr>
      </w:pPr>
      <w:r>
        <w:rPr>
          <w:rFonts w:hint="eastAsia"/>
          <w:lang w:val="en-US" w:eastAsia="zh-CN"/>
        </w:rPr>
        <w:t>11:7 111, 112</w:t>
      </w:r>
    </w:p>
    <w:p w14:paraId="1DE9B2F1">
      <w:pPr>
        <w:bidi w:val="0"/>
        <w:rPr>
          <w:rFonts w:hint="eastAsia"/>
          <w:lang w:val="en-US" w:eastAsia="zh-CN"/>
        </w:rPr>
      </w:pPr>
    </w:p>
    <w:p w14:paraId="64F81712">
      <w:pPr>
        <w:bidi w:val="0"/>
        <w:rPr>
          <w:rFonts w:hint="eastAsia"/>
          <w:lang w:val="en-US" w:eastAsia="zh-CN"/>
        </w:rPr>
      </w:pPr>
      <w:r>
        <w:rPr>
          <w:rFonts w:hint="eastAsia"/>
          <w:lang w:val="en-US" w:eastAsia="zh-CN"/>
        </w:rPr>
        <w:t>11:7 111, 112</w:t>
      </w:r>
    </w:p>
    <w:p w14:paraId="455EBE45">
      <w:pPr>
        <w:bidi w:val="0"/>
        <w:rPr>
          <w:rFonts w:hint="eastAsia"/>
          <w:lang w:val="en-US" w:eastAsia="zh-CN"/>
        </w:rPr>
      </w:pPr>
    </w:p>
    <w:p w14:paraId="10C9F9DD">
      <w:pPr>
        <w:bidi w:val="0"/>
        <w:rPr>
          <w:rFonts w:hint="eastAsia"/>
          <w:lang w:val="en-US" w:eastAsia="zh-CN"/>
        </w:rPr>
      </w:pPr>
      <w:r>
        <w:rPr>
          <w:rFonts w:hint="eastAsia"/>
          <w:lang w:val="en-US" w:eastAsia="zh-CN"/>
        </w:rPr>
        <w:t>11:8-16 116, 654</w:t>
      </w:r>
    </w:p>
    <w:p w14:paraId="6EC027C3">
      <w:pPr>
        <w:bidi w:val="0"/>
        <w:rPr>
          <w:rFonts w:hint="eastAsia"/>
          <w:lang w:val="en-US" w:eastAsia="zh-CN"/>
        </w:rPr>
      </w:pPr>
    </w:p>
    <w:p w14:paraId="3A239128">
      <w:pPr>
        <w:bidi w:val="0"/>
        <w:rPr>
          <w:rFonts w:hint="eastAsia"/>
          <w:lang w:val="en-US" w:eastAsia="zh-CN"/>
        </w:rPr>
      </w:pPr>
      <w:r>
        <w:rPr>
          <w:rFonts w:hint="eastAsia"/>
          <w:lang w:val="en-US" w:eastAsia="zh-CN"/>
        </w:rPr>
        <w:t>11:8-16 116, 654</w:t>
      </w:r>
    </w:p>
    <w:p w14:paraId="5919FB7C">
      <w:pPr>
        <w:bidi w:val="0"/>
        <w:rPr>
          <w:rFonts w:hint="eastAsia"/>
          <w:lang w:val="en-US" w:eastAsia="zh-CN"/>
        </w:rPr>
      </w:pPr>
    </w:p>
    <w:p w14:paraId="78238200">
      <w:pPr>
        <w:bidi w:val="0"/>
        <w:rPr>
          <w:rFonts w:hint="eastAsia"/>
          <w:lang w:val="en-US" w:eastAsia="zh-CN"/>
        </w:rPr>
      </w:pPr>
      <w:r>
        <w:rPr>
          <w:rFonts w:hint="eastAsia"/>
          <w:lang w:val="en-US" w:eastAsia="zh-CN"/>
        </w:rPr>
        <w:t>11:39-40 170, 243, 354</w:t>
      </w:r>
    </w:p>
    <w:p w14:paraId="57864666">
      <w:pPr>
        <w:bidi w:val="0"/>
        <w:rPr>
          <w:rFonts w:hint="eastAsia"/>
          <w:lang w:val="en-US" w:eastAsia="zh-CN"/>
        </w:rPr>
      </w:pPr>
    </w:p>
    <w:p w14:paraId="0A82E6C7">
      <w:pPr>
        <w:bidi w:val="0"/>
        <w:rPr>
          <w:rFonts w:hint="eastAsia"/>
          <w:lang w:val="en-US" w:eastAsia="zh-CN"/>
        </w:rPr>
      </w:pPr>
      <w:r>
        <w:rPr>
          <w:rFonts w:hint="eastAsia"/>
          <w:lang w:val="en-US" w:eastAsia="zh-CN"/>
        </w:rPr>
        <w:t>11:39-40 170, 243, 354</w:t>
      </w:r>
    </w:p>
    <w:p w14:paraId="0D2EE31F">
      <w:pPr>
        <w:bidi w:val="0"/>
        <w:rPr>
          <w:rFonts w:hint="eastAsia"/>
          <w:lang w:val="en-US" w:eastAsia="zh-CN"/>
        </w:rPr>
      </w:pPr>
    </w:p>
    <w:p w14:paraId="4EBC9ABA">
      <w:pPr>
        <w:bidi w:val="0"/>
        <w:rPr>
          <w:rFonts w:hint="eastAsia"/>
          <w:lang w:val="en-US" w:eastAsia="zh-CN"/>
        </w:rPr>
      </w:pPr>
      <w:r>
        <w:rPr>
          <w:rFonts w:hint="eastAsia"/>
          <w:lang w:val="en-US" w:eastAsia="zh-CN"/>
        </w:rPr>
        <w:t>12:22 204, 251, 272, 654</w:t>
      </w:r>
    </w:p>
    <w:p w14:paraId="654FC7AB">
      <w:pPr>
        <w:bidi w:val="0"/>
        <w:rPr>
          <w:rFonts w:hint="eastAsia"/>
          <w:lang w:val="en-US" w:eastAsia="zh-CN"/>
        </w:rPr>
      </w:pPr>
    </w:p>
    <w:p w14:paraId="16A9563B">
      <w:pPr>
        <w:bidi w:val="0"/>
        <w:rPr>
          <w:rFonts w:hint="eastAsia"/>
          <w:lang w:val="en-US" w:eastAsia="zh-CN"/>
        </w:rPr>
      </w:pPr>
      <w:r>
        <w:rPr>
          <w:rFonts w:hint="eastAsia"/>
          <w:lang w:val="en-US" w:eastAsia="zh-CN"/>
        </w:rPr>
        <w:t>12:22 204, 251, 272, 654</w:t>
      </w:r>
    </w:p>
    <w:p w14:paraId="24C25F49">
      <w:pPr>
        <w:bidi w:val="0"/>
        <w:rPr>
          <w:rFonts w:hint="eastAsia"/>
          <w:lang w:val="en-US" w:eastAsia="zh-CN"/>
        </w:rPr>
      </w:pPr>
    </w:p>
    <w:p w14:paraId="0CD4B304">
      <w:pPr>
        <w:bidi w:val="0"/>
        <w:rPr>
          <w:rFonts w:hint="eastAsia"/>
          <w:lang w:val="en-US" w:eastAsia="zh-CN"/>
        </w:rPr>
      </w:pPr>
      <w:r>
        <w:rPr>
          <w:rFonts w:hint="eastAsia"/>
          <w:lang w:val="en-US" w:eastAsia="zh-CN"/>
        </w:rPr>
        <w:t>12:25-29 520</w:t>
      </w:r>
    </w:p>
    <w:p w14:paraId="03B65C5F">
      <w:pPr>
        <w:bidi w:val="0"/>
        <w:rPr>
          <w:rFonts w:hint="eastAsia"/>
          <w:lang w:val="en-US" w:eastAsia="zh-CN"/>
        </w:rPr>
      </w:pPr>
    </w:p>
    <w:p w14:paraId="27AF437A">
      <w:pPr>
        <w:bidi w:val="0"/>
        <w:rPr>
          <w:rFonts w:hint="eastAsia"/>
          <w:lang w:val="en-US" w:eastAsia="zh-CN"/>
        </w:rPr>
      </w:pPr>
      <w:r>
        <w:rPr>
          <w:rFonts w:hint="eastAsia"/>
          <w:lang w:val="en-US" w:eastAsia="zh-CN"/>
        </w:rPr>
        <w:t>12:25-29 520</w:t>
      </w:r>
    </w:p>
    <w:p w14:paraId="7B8FA9C0">
      <w:pPr>
        <w:bidi w:val="0"/>
        <w:rPr>
          <w:rFonts w:hint="eastAsia"/>
          <w:lang w:val="en-US" w:eastAsia="zh-CN"/>
        </w:rPr>
      </w:pPr>
    </w:p>
    <w:p w14:paraId="216EC409">
      <w:pPr>
        <w:bidi w:val="0"/>
        <w:rPr>
          <w:rFonts w:hint="eastAsia"/>
          <w:lang w:val="en-US" w:eastAsia="zh-CN"/>
        </w:rPr>
      </w:pPr>
      <w:r>
        <w:rPr>
          <w:rFonts w:hint="eastAsia"/>
          <w:lang w:val="en-US" w:eastAsia="zh-CN"/>
        </w:rPr>
        <w:t>13:20 93</w:t>
      </w:r>
    </w:p>
    <w:p w14:paraId="1531E4CA">
      <w:pPr>
        <w:bidi w:val="0"/>
        <w:rPr>
          <w:rFonts w:hint="eastAsia"/>
          <w:lang w:val="en-US" w:eastAsia="zh-CN"/>
        </w:rPr>
      </w:pPr>
    </w:p>
    <w:p w14:paraId="1698C60B">
      <w:pPr>
        <w:bidi w:val="0"/>
        <w:rPr>
          <w:rFonts w:hint="eastAsia"/>
          <w:lang w:val="en-US" w:eastAsia="zh-CN"/>
        </w:rPr>
      </w:pPr>
      <w:r>
        <w:rPr>
          <w:rFonts w:hint="eastAsia"/>
          <w:lang w:val="en-US" w:eastAsia="zh-CN"/>
        </w:rPr>
        <w:t>13:20 93</w:t>
      </w:r>
    </w:p>
    <w:p w14:paraId="68A7A1D7">
      <w:pPr>
        <w:bidi w:val="0"/>
        <w:rPr>
          <w:rFonts w:hint="eastAsia"/>
          <w:lang w:val="en-US" w:eastAsia="zh-CN"/>
        </w:rPr>
      </w:pPr>
    </w:p>
    <w:p w14:paraId="412E9CE9">
      <w:pPr>
        <w:bidi w:val="0"/>
        <w:rPr>
          <w:rFonts w:hint="eastAsia"/>
          <w:lang w:val="en-US" w:eastAsia="zh-CN"/>
        </w:rPr>
      </w:pPr>
      <w:r>
        <w:rPr>
          <w:rFonts w:hint="eastAsia"/>
          <w:lang w:val="en-US" w:eastAsia="zh-CN"/>
        </w:rPr>
        <w:t>James</w:t>
      </w:r>
    </w:p>
    <w:p w14:paraId="339626EC">
      <w:pPr>
        <w:bidi w:val="0"/>
        <w:rPr>
          <w:rFonts w:hint="eastAsia"/>
          <w:lang w:val="en-US" w:eastAsia="zh-CN"/>
        </w:rPr>
      </w:pPr>
    </w:p>
    <w:p w14:paraId="6A8383EA">
      <w:pPr>
        <w:bidi w:val="0"/>
        <w:rPr>
          <w:rFonts w:hint="eastAsia"/>
          <w:lang w:val="en-US" w:eastAsia="zh-CN"/>
        </w:rPr>
      </w:pPr>
      <w:r>
        <w:rPr>
          <w:rFonts w:hint="eastAsia"/>
          <w:lang w:val="en-US" w:eastAsia="zh-CN"/>
        </w:rPr>
        <w:t>雅各书</w:t>
      </w:r>
    </w:p>
    <w:p w14:paraId="4512A207">
      <w:pPr>
        <w:bidi w:val="0"/>
        <w:rPr>
          <w:rFonts w:hint="eastAsia"/>
          <w:lang w:val="en-US" w:eastAsia="zh-CN"/>
        </w:rPr>
      </w:pPr>
    </w:p>
    <w:p w14:paraId="153D8057">
      <w:pPr>
        <w:bidi w:val="0"/>
        <w:rPr>
          <w:rFonts w:hint="eastAsia"/>
          <w:lang w:val="en-US" w:eastAsia="zh-CN"/>
        </w:rPr>
      </w:pPr>
      <w:r>
        <w:rPr>
          <w:rFonts w:hint="eastAsia"/>
          <w:lang w:val="en-US" w:eastAsia="zh-CN"/>
        </w:rPr>
        <w:t>1:1 246</w:t>
      </w:r>
    </w:p>
    <w:p w14:paraId="69C75C8C">
      <w:pPr>
        <w:bidi w:val="0"/>
        <w:rPr>
          <w:rFonts w:hint="eastAsia"/>
          <w:lang w:val="en-US" w:eastAsia="zh-CN"/>
        </w:rPr>
      </w:pPr>
    </w:p>
    <w:p w14:paraId="574045BC">
      <w:pPr>
        <w:bidi w:val="0"/>
        <w:rPr>
          <w:rFonts w:hint="eastAsia"/>
          <w:lang w:val="en-US" w:eastAsia="zh-CN"/>
        </w:rPr>
      </w:pPr>
      <w:r>
        <w:rPr>
          <w:rFonts w:hint="eastAsia"/>
          <w:lang w:val="en-US" w:eastAsia="zh-CN"/>
        </w:rPr>
        <w:t>1:1 246</w:t>
      </w:r>
    </w:p>
    <w:p w14:paraId="3D803EFA">
      <w:pPr>
        <w:bidi w:val="0"/>
        <w:rPr>
          <w:rFonts w:hint="eastAsia"/>
          <w:lang w:val="en-US" w:eastAsia="zh-CN"/>
        </w:rPr>
      </w:pPr>
    </w:p>
    <w:p w14:paraId="05A19961">
      <w:pPr>
        <w:bidi w:val="0"/>
        <w:rPr>
          <w:rFonts w:hint="eastAsia"/>
          <w:lang w:val="en-US" w:eastAsia="zh-CN"/>
        </w:rPr>
      </w:pPr>
      <w:r>
        <w:rPr>
          <w:rFonts w:hint="eastAsia"/>
          <w:lang w:val="en-US" w:eastAsia="zh-CN"/>
        </w:rPr>
        <w:t>1:18 620</w:t>
      </w:r>
    </w:p>
    <w:p w14:paraId="7209CAD3">
      <w:pPr>
        <w:bidi w:val="0"/>
        <w:rPr>
          <w:rFonts w:hint="eastAsia"/>
          <w:lang w:val="en-US" w:eastAsia="zh-CN"/>
        </w:rPr>
      </w:pPr>
    </w:p>
    <w:p w14:paraId="5A961720">
      <w:pPr>
        <w:bidi w:val="0"/>
        <w:rPr>
          <w:rFonts w:hint="eastAsia"/>
          <w:lang w:val="en-US" w:eastAsia="zh-CN"/>
        </w:rPr>
      </w:pPr>
      <w:r>
        <w:rPr>
          <w:rFonts w:hint="eastAsia"/>
          <w:lang w:val="en-US" w:eastAsia="zh-CN"/>
        </w:rPr>
        <w:t>1:18 620</w:t>
      </w:r>
    </w:p>
    <w:p w14:paraId="1BFCAF6F">
      <w:pPr>
        <w:bidi w:val="0"/>
        <w:rPr>
          <w:rFonts w:hint="eastAsia"/>
          <w:lang w:val="en-US" w:eastAsia="zh-CN"/>
        </w:rPr>
      </w:pPr>
    </w:p>
    <w:p w14:paraId="5B28CAA2">
      <w:pPr>
        <w:bidi w:val="0"/>
        <w:rPr>
          <w:rFonts w:hint="eastAsia"/>
          <w:lang w:val="en-US" w:eastAsia="zh-CN"/>
        </w:rPr>
      </w:pPr>
      <w:r>
        <w:rPr>
          <w:rFonts w:hint="eastAsia"/>
          <w:lang w:val="en-US" w:eastAsia="zh-CN"/>
        </w:rPr>
        <w:t>2:20-23 115</w:t>
      </w:r>
    </w:p>
    <w:p w14:paraId="0550CFA2">
      <w:pPr>
        <w:bidi w:val="0"/>
        <w:rPr>
          <w:rFonts w:hint="eastAsia"/>
          <w:lang w:val="en-US" w:eastAsia="zh-CN"/>
        </w:rPr>
      </w:pPr>
    </w:p>
    <w:p w14:paraId="1B39DD0B">
      <w:pPr>
        <w:bidi w:val="0"/>
        <w:rPr>
          <w:rFonts w:hint="eastAsia"/>
          <w:lang w:val="en-US" w:eastAsia="zh-CN"/>
        </w:rPr>
      </w:pPr>
      <w:r>
        <w:rPr>
          <w:rFonts w:hint="eastAsia"/>
          <w:lang w:val="en-US" w:eastAsia="zh-CN"/>
        </w:rPr>
        <w:t>2:20-23 115</w:t>
      </w:r>
    </w:p>
    <w:p w14:paraId="3C5832F4">
      <w:pPr>
        <w:bidi w:val="0"/>
        <w:rPr>
          <w:rFonts w:hint="eastAsia"/>
          <w:lang w:val="en-US" w:eastAsia="zh-CN"/>
        </w:rPr>
      </w:pPr>
    </w:p>
    <w:p w14:paraId="3CB43CB3">
      <w:pPr>
        <w:bidi w:val="0"/>
        <w:rPr>
          <w:rFonts w:hint="eastAsia"/>
          <w:lang w:val="en-US" w:eastAsia="zh-CN"/>
        </w:rPr>
      </w:pPr>
      <w:r>
        <w:rPr>
          <w:rFonts w:hint="eastAsia"/>
          <w:lang w:val="en-US" w:eastAsia="zh-CN"/>
        </w:rPr>
        <w:t>4:4 458</w:t>
      </w:r>
    </w:p>
    <w:p w14:paraId="2DB6202C">
      <w:pPr>
        <w:bidi w:val="0"/>
        <w:rPr>
          <w:rFonts w:hint="eastAsia"/>
          <w:lang w:val="en-US" w:eastAsia="zh-CN"/>
        </w:rPr>
      </w:pPr>
    </w:p>
    <w:p w14:paraId="13541421">
      <w:pPr>
        <w:bidi w:val="0"/>
        <w:rPr>
          <w:rFonts w:hint="eastAsia"/>
          <w:lang w:val="en-US" w:eastAsia="zh-CN"/>
        </w:rPr>
      </w:pPr>
      <w:r>
        <w:rPr>
          <w:rFonts w:hint="eastAsia"/>
          <w:lang w:val="en-US" w:eastAsia="zh-CN"/>
        </w:rPr>
        <w:t>4:4 458</w:t>
      </w:r>
    </w:p>
    <w:p w14:paraId="73D7BB6E">
      <w:pPr>
        <w:bidi w:val="0"/>
        <w:rPr>
          <w:rFonts w:hint="eastAsia"/>
          <w:lang w:val="en-US" w:eastAsia="zh-CN"/>
        </w:rPr>
      </w:pPr>
    </w:p>
    <w:p w14:paraId="787D3B17">
      <w:pPr>
        <w:bidi w:val="0"/>
        <w:rPr>
          <w:rFonts w:hint="eastAsia"/>
          <w:lang w:val="en-US" w:eastAsia="zh-CN"/>
        </w:rPr>
      </w:pPr>
      <w:r>
        <w:rPr>
          <w:rFonts w:hint="eastAsia"/>
          <w:lang w:val="en-US" w:eastAsia="zh-CN"/>
        </w:rPr>
        <w:t>5:7-9 515, 584, 674</w:t>
      </w:r>
    </w:p>
    <w:p w14:paraId="3EC41E83">
      <w:pPr>
        <w:bidi w:val="0"/>
        <w:rPr>
          <w:rFonts w:hint="eastAsia"/>
          <w:lang w:val="en-US" w:eastAsia="zh-CN"/>
        </w:rPr>
      </w:pPr>
    </w:p>
    <w:p w14:paraId="227DC467">
      <w:pPr>
        <w:bidi w:val="0"/>
        <w:rPr>
          <w:rFonts w:hint="eastAsia"/>
          <w:lang w:val="en-US" w:eastAsia="zh-CN"/>
        </w:rPr>
      </w:pPr>
      <w:r>
        <w:rPr>
          <w:rFonts w:hint="eastAsia"/>
          <w:lang w:val="en-US" w:eastAsia="zh-CN"/>
        </w:rPr>
        <w:t>5:7-9 515, 584, 674</w:t>
      </w:r>
    </w:p>
    <w:p w14:paraId="11C0DD21">
      <w:pPr>
        <w:bidi w:val="0"/>
        <w:rPr>
          <w:rFonts w:hint="eastAsia"/>
          <w:lang w:val="en-US" w:eastAsia="zh-CN"/>
        </w:rPr>
      </w:pPr>
    </w:p>
    <w:p w14:paraId="7A0DE41F">
      <w:pPr>
        <w:bidi w:val="0"/>
        <w:rPr>
          <w:rFonts w:hint="eastAsia"/>
          <w:lang w:val="en-US" w:eastAsia="zh-CN"/>
        </w:rPr>
      </w:pPr>
      <w:r>
        <w:rPr>
          <w:rFonts w:hint="eastAsia"/>
          <w:lang w:val="en-US" w:eastAsia="zh-CN"/>
        </w:rPr>
        <w:t>1 Peter</w:t>
      </w:r>
    </w:p>
    <w:p w14:paraId="5717AA93">
      <w:pPr>
        <w:bidi w:val="0"/>
        <w:rPr>
          <w:rFonts w:hint="eastAsia"/>
          <w:lang w:val="en-US" w:eastAsia="zh-CN"/>
        </w:rPr>
      </w:pPr>
    </w:p>
    <w:p w14:paraId="5AFB870E">
      <w:pPr>
        <w:bidi w:val="0"/>
        <w:rPr>
          <w:rFonts w:hint="eastAsia"/>
          <w:lang w:val="en-US" w:eastAsia="zh-CN"/>
        </w:rPr>
      </w:pPr>
      <w:r>
        <w:rPr>
          <w:rFonts w:hint="eastAsia"/>
          <w:lang w:val="en-US" w:eastAsia="zh-CN"/>
        </w:rPr>
        <w:t>彼得前书</w:t>
      </w:r>
    </w:p>
    <w:p w14:paraId="5E005CA3">
      <w:pPr>
        <w:bidi w:val="0"/>
        <w:rPr>
          <w:rFonts w:hint="eastAsia"/>
          <w:lang w:val="en-US" w:eastAsia="zh-CN"/>
        </w:rPr>
      </w:pPr>
    </w:p>
    <w:p w14:paraId="795DE97E">
      <w:pPr>
        <w:bidi w:val="0"/>
        <w:rPr>
          <w:rFonts w:hint="eastAsia"/>
          <w:lang w:val="en-US" w:eastAsia="zh-CN"/>
        </w:rPr>
      </w:pPr>
      <w:r>
        <w:rPr>
          <w:rFonts w:hint="eastAsia"/>
          <w:lang w:val="en-US" w:eastAsia="zh-CN"/>
        </w:rPr>
        <w:t>1:3-9 147, 394</w:t>
      </w:r>
    </w:p>
    <w:p w14:paraId="167C62CB">
      <w:pPr>
        <w:bidi w:val="0"/>
        <w:rPr>
          <w:rFonts w:hint="eastAsia"/>
          <w:lang w:val="en-US" w:eastAsia="zh-CN"/>
        </w:rPr>
      </w:pPr>
    </w:p>
    <w:p w14:paraId="296AED85">
      <w:pPr>
        <w:bidi w:val="0"/>
        <w:rPr>
          <w:rFonts w:hint="eastAsia"/>
          <w:lang w:val="en-US" w:eastAsia="zh-CN"/>
        </w:rPr>
      </w:pPr>
      <w:r>
        <w:rPr>
          <w:rFonts w:hint="eastAsia"/>
          <w:lang w:val="en-US" w:eastAsia="zh-CN"/>
        </w:rPr>
        <w:t>1:3-9 147, 394</w:t>
      </w:r>
    </w:p>
    <w:p w14:paraId="5DEABF95">
      <w:pPr>
        <w:bidi w:val="0"/>
        <w:rPr>
          <w:rFonts w:hint="eastAsia"/>
          <w:lang w:val="en-US" w:eastAsia="zh-CN"/>
        </w:rPr>
      </w:pPr>
    </w:p>
    <w:p w14:paraId="266E0286">
      <w:pPr>
        <w:bidi w:val="0"/>
        <w:rPr>
          <w:rFonts w:hint="eastAsia"/>
          <w:lang w:val="en-US" w:eastAsia="zh-CN"/>
        </w:rPr>
      </w:pPr>
      <w:r>
        <w:rPr>
          <w:rFonts w:hint="eastAsia"/>
          <w:lang w:val="en-US" w:eastAsia="zh-CN"/>
        </w:rPr>
        <w:t>1:7 510, 511, 515</w:t>
      </w:r>
    </w:p>
    <w:p w14:paraId="71874FA6">
      <w:pPr>
        <w:bidi w:val="0"/>
        <w:rPr>
          <w:rFonts w:hint="eastAsia"/>
          <w:lang w:val="en-US" w:eastAsia="zh-CN"/>
        </w:rPr>
      </w:pPr>
    </w:p>
    <w:p w14:paraId="1A0E1CDC">
      <w:pPr>
        <w:bidi w:val="0"/>
        <w:rPr>
          <w:rFonts w:hint="eastAsia"/>
          <w:lang w:val="en-US" w:eastAsia="zh-CN"/>
        </w:rPr>
      </w:pPr>
      <w:r>
        <w:rPr>
          <w:rFonts w:hint="eastAsia"/>
          <w:lang w:val="en-US" w:eastAsia="zh-CN"/>
        </w:rPr>
        <w:t>1:7 510, 511, 515</w:t>
      </w:r>
    </w:p>
    <w:p w14:paraId="12596946">
      <w:pPr>
        <w:bidi w:val="0"/>
        <w:rPr>
          <w:rFonts w:hint="eastAsia"/>
          <w:lang w:val="en-US" w:eastAsia="zh-CN"/>
        </w:rPr>
      </w:pPr>
    </w:p>
    <w:p w14:paraId="72F37F7B">
      <w:pPr>
        <w:bidi w:val="0"/>
        <w:rPr>
          <w:rFonts w:hint="eastAsia"/>
          <w:lang w:val="en-US" w:eastAsia="zh-CN"/>
        </w:rPr>
      </w:pPr>
      <w:r>
        <w:rPr>
          <w:rFonts w:hint="eastAsia"/>
          <w:lang w:val="en-US" w:eastAsia="zh-CN"/>
        </w:rPr>
        <w:t>1:10-12 40</w:t>
      </w:r>
    </w:p>
    <w:p w14:paraId="4C4B7E75">
      <w:pPr>
        <w:bidi w:val="0"/>
        <w:rPr>
          <w:rFonts w:hint="eastAsia"/>
          <w:lang w:val="en-US" w:eastAsia="zh-CN"/>
        </w:rPr>
      </w:pPr>
    </w:p>
    <w:p w14:paraId="1B3D0DB1">
      <w:pPr>
        <w:bidi w:val="0"/>
        <w:rPr>
          <w:rFonts w:hint="eastAsia"/>
          <w:lang w:val="en-US" w:eastAsia="zh-CN"/>
        </w:rPr>
      </w:pPr>
      <w:r>
        <w:rPr>
          <w:rFonts w:hint="eastAsia"/>
          <w:lang w:val="en-US" w:eastAsia="zh-CN"/>
        </w:rPr>
        <w:t>1:10-12 40</w:t>
      </w:r>
    </w:p>
    <w:p w14:paraId="3E8DF13A">
      <w:pPr>
        <w:bidi w:val="0"/>
        <w:rPr>
          <w:rFonts w:hint="eastAsia"/>
          <w:lang w:val="en-US" w:eastAsia="zh-CN"/>
        </w:rPr>
      </w:pPr>
    </w:p>
    <w:p w14:paraId="29ED07BB">
      <w:pPr>
        <w:bidi w:val="0"/>
        <w:rPr>
          <w:rFonts w:hint="eastAsia"/>
          <w:lang w:val="en-US" w:eastAsia="zh-CN"/>
        </w:rPr>
      </w:pPr>
      <w:r>
        <w:rPr>
          <w:rFonts w:hint="eastAsia"/>
          <w:lang w:val="en-US" w:eastAsia="zh-CN"/>
        </w:rPr>
        <w:t>1:13 400</w:t>
      </w:r>
    </w:p>
    <w:p w14:paraId="037D8814">
      <w:pPr>
        <w:bidi w:val="0"/>
        <w:rPr>
          <w:rFonts w:hint="eastAsia"/>
          <w:lang w:val="en-US" w:eastAsia="zh-CN"/>
        </w:rPr>
      </w:pPr>
    </w:p>
    <w:p w14:paraId="1D229071">
      <w:pPr>
        <w:bidi w:val="0"/>
        <w:rPr>
          <w:rFonts w:hint="eastAsia"/>
          <w:lang w:val="en-US" w:eastAsia="zh-CN"/>
        </w:rPr>
      </w:pPr>
      <w:r>
        <w:rPr>
          <w:rFonts w:hint="eastAsia"/>
          <w:lang w:val="en-US" w:eastAsia="zh-CN"/>
        </w:rPr>
        <w:t>1:13 400</w:t>
      </w:r>
    </w:p>
    <w:p w14:paraId="63AE6C02">
      <w:pPr>
        <w:bidi w:val="0"/>
        <w:rPr>
          <w:rFonts w:hint="eastAsia"/>
          <w:lang w:val="en-US" w:eastAsia="zh-CN"/>
        </w:rPr>
      </w:pPr>
    </w:p>
    <w:p w14:paraId="777CC0AA">
      <w:pPr>
        <w:bidi w:val="0"/>
        <w:rPr>
          <w:rFonts w:hint="eastAsia"/>
          <w:lang w:val="en-US" w:eastAsia="zh-CN"/>
        </w:rPr>
      </w:pPr>
      <w:r>
        <w:rPr>
          <w:rFonts w:hint="eastAsia"/>
          <w:lang w:val="en-US" w:eastAsia="zh-CN"/>
        </w:rPr>
        <w:t>1:14-16 404</w:t>
      </w:r>
    </w:p>
    <w:p w14:paraId="2067B97F">
      <w:pPr>
        <w:bidi w:val="0"/>
        <w:rPr>
          <w:rFonts w:hint="eastAsia"/>
          <w:lang w:val="en-US" w:eastAsia="zh-CN"/>
        </w:rPr>
      </w:pPr>
    </w:p>
    <w:p w14:paraId="0CFB004A">
      <w:pPr>
        <w:bidi w:val="0"/>
        <w:rPr>
          <w:rFonts w:hint="eastAsia"/>
          <w:lang w:val="en-US" w:eastAsia="zh-CN"/>
        </w:rPr>
      </w:pPr>
      <w:r>
        <w:rPr>
          <w:rFonts w:hint="eastAsia"/>
          <w:lang w:val="en-US" w:eastAsia="zh-CN"/>
        </w:rPr>
        <w:t>1:14-16 404</w:t>
      </w:r>
    </w:p>
    <w:p w14:paraId="397355DA">
      <w:pPr>
        <w:bidi w:val="0"/>
        <w:rPr>
          <w:rFonts w:hint="eastAsia"/>
          <w:lang w:val="en-US" w:eastAsia="zh-CN"/>
        </w:rPr>
      </w:pPr>
    </w:p>
    <w:p w14:paraId="48852AFC">
      <w:pPr>
        <w:bidi w:val="0"/>
        <w:rPr>
          <w:rFonts w:hint="eastAsia"/>
          <w:lang w:val="en-US" w:eastAsia="zh-CN"/>
        </w:rPr>
      </w:pPr>
      <w:r>
        <w:rPr>
          <w:rFonts w:hint="eastAsia"/>
          <w:lang w:val="en-US" w:eastAsia="zh-CN"/>
        </w:rPr>
        <w:t>2:4-10 242, 245, 286, 386</w:t>
      </w:r>
    </w:p>
    <w:p w14:paraId="125D0ECD">
      <w:pPr>
        <w:bidi w:val="0"/>
        <w:rPr>
          <w:rFonts w:hint="eastAsia"/>
          <w:lang w:val="en-US" w:eastAsia="zh-CN"/>
        </w:rPr>
      </w:pPr>
    </w:p>
    <w:p w14:paraId="56ACDD5C">
      <w:pPr>
        <w:bidi w:val="0"/>
        <w:rPr>
          <w:rFonts w:hint="eastAsia"/>
          <w:lang w:val="en-US" w:eastAsia="zh-CN"/>
        </w:rPr>
      </w:pPr>
      <w:r>
        <w:rPr>
          <w:rFonts w:hint="eastAsia"/>
          <w:lang w:val="en-US" w:eastAsia="zh-CN"/>
        </w:rPr>
        <w:t>2:4-10 242, 245, 286, 386</w:t>
      </w:r>
    </w:p>
    <w:p w14:paraId="7E18F16A">
      <w:pPr>
        <w:bidi w:val="0"/>
        <w:rPr>
          <w:rFonts w:hint="eastAsia"/>
          <w:lang w:val="en-US" w:eastAsia="zh-CN"/>
        </w:rPr>
      </w:pPr>
    </w:p>
    <w:p w14:paraId="0A098F3B">
      <w:pPr>
        <w:bidi w:val="0"/>
        <w:rPr>
          <w:rFonts w:hint="eastAsia"/>
          <w:lang w:val="en-US" w:eastAsia="zh-CN"/>
        </w:rPr>
      </w:pPr>
      <w:r>
        <w:rPr>
          <w:rFonts w:hint="eastAsia"/>
          <w:lang w:val="en-US" w:eastAsia="zh-CN"/>
        </w:rPr>
        <w:t>2:9-10 193, 298, 301, 336</w:t>
      </w:r>
    </w:p>
    <w:p w14:paraId="634FA727">
      <w:pPr>
        <w:bidi w:val="0"/>
        <w:rPr>
          <w:rFonts w:hint="eastAsia"/>
          <w:lang w:val="en-US" w:eastAsia="zh-CN"/>
        </w:rPr>
      </w:pPr>
    </w:p>
    <w:p w14:paraId="0B30727D">
      <w:pPr>
        <w:bidi w:val="0"/>
        <w:rPr>
          <w:rFonts w:hint="eastAsia"/>
          <w:lang w:val="en-US" w:eastAsia="zh-CN"/>
        </w:rPr>
      </w:pPr>
      <w:r>
        <w:rPr>
          <w:rFonts w:hint="eastAsia"/>
          <w:lang w:val="en-US" w:eastAsia="zh-CN"/>
        </w:rPr>
        <w:t>2:9-10 193, 298, 301, 336</w:t>
      </w:r>
    </w:p>
    <w:p w14:paraId="66882A8C">
      <w:pPr>
        <w:bidi w:val="0"/>
        <w:rPr>
          <w:rFonts w:hint="eastAsia"/>
          <w:lang w:val="en-US" w:eastAsia="zh-CN"/>
        </w:rPr>
      </w:pPr>
    </w:p>
    <w:p w14:paraId="7FADC156">
      <w:pPr>
        <w:bidi w:val="0"/>
        <w:rPr>
          <w:rFonts w:hint="eastAsia"/>
          <w:lang w:val="en-US" w:eastAsia="zh-CN"/>
        </w:rPr>
      </w:pPr>
      <w:r>
        <w:rPr>
          <w:rFonts w:hint="eastAsia"/>
          <w:lang w:val="en-US" w:eastAsia="zh-CN"/>
        </w:rPr>
        <w:t>3:18-22 232</w:t>
      </w:r>
    </w:p>
    <w:p w14:paraId="3D0522CA">
      <w:pPr>
        <w:bidi w:val="0"/>
        <w:rPr>
          <w:rFonts w:hint="eastAsia"/>
          <w:lang w:val="en-US" w:eastAsia="zh-CN"/>
        </w:rPr>
      </w:pPr>
    </w:p>
    <w:p w14:paraId="7FF747CA">
      <w:pPr>
        <w:bidi w:val="0"/>
        <w:rPr>
          <w:rFonts w:hint="eastAsia"/>
          <w:lang w:val="en-US" w:eastAsia="zh-CN"/>
        </w:rPr>
      </w:pPr>
      <w:r>
        <w:rPr>
          <w:rFonts w:hint="eastAsia"/>
          <w:lang w:val="en-US" w:eastAsia="zh-CN"/>
        </w:rPr>
        <w:t>3:18-22 232</w:t>
      </w:r>
    </w:p>
    <w:p w14:paraId="111653C2">
      <w:pPr>
        <w:bidi w:val="0"/>
        <w:rPr>
          <w:rFonts w:hint="eastAsia"/>
          <w:lang w:val="en-US" w:eastAsia="zh-CN"/>
        </w:rPr>
      </w:pPr>
    </w:p>
    <w:p w14:paraId="593E7965">
      <w:pPr>
        <w:bidi w:val="0"/>
        <w:rPr>
          <w:rFonts w:hint="eastAsia"/>
          <w:lang w:val="en-US" w:eastAsia="zh-CN"/>
        </w:rPr>
      </w:pPr>
      <w:r>
        <w:rPr>
          <w:rFonts w:hint="eastAsia"/>
          <w:lang w:val="en-US" w:eastAsia="zh-CN"/>
        </w:rPr>
        <w:t>4:7 435, 511, 585</w:t>
      </w:r>
    </w:p>
    <w:p w14:paraId="1633A665">
      <w:pPr>
        <w:bidi w:val="0"/>
        <w:rPr>
          <w:rFonts w:hint="eastAsia"/>
          <w:lang w:val="en-US" w:eastAsia="zh-CN"/>
        </w:rPr>
      </w:pPr>
    </w:p>
    <w:p w14:paraId="74DC9B50">
      <w:pPr>
        <w:bidi w:val="0"/>
        <w:rPr>
          <w:rFonts w:hint="eastAsia"/>
          <w:lang w:val="en-US" w:eastAsia="zh-CN"/>
        </w:rPr>
      </w:pPr>
      <w:r>
        <w:rPr>
          <w:rFonts w:hint="eastAsia"/>
          <w:lang w:val="en-US" w:eastAsia="zh-CN"/>
        </w:rPr>
        <w:t>4:7 435, 511, 585</w:t>
      </w:r>
    </w:p>
    <w:p w14:paraId="1BBB0629">
      <w:pPr>
        <w:bidi w:val="0"/>
        <w:rPr>
          <w:rFonts w:hint="eastAsia"/>
          <w:lang w:val="en-US" w:eastAsia="zh-CN"/>
        </w:rPr>
      </w:pPr>
    </w:p>
    <w:p w14:paraId="68778B31">
      <w:pPr>
        <w:bidi w:val="0"/>
        <w:rPr>
          <w:rFonts w:hint="eastAsia"/>
          <w:lang w:val="en-US" w:eastAsia="zh-CN"/>
        </w:rPr>
      </w:pPr>
      <w:r>
        <w:rPr>
          <w:rFonts w:hint="eastAsia"/>
          <w:lang w:val="en-US" w:eastAsia="zh-CN"/>
        </w:rPr>
        <w:t>4:7-19 116, 581</w:t>
      </w:r>
    </w:p>
    <w:p w14:paraId="607C1C83">
      <w:pPr>
        <w:bidi w:val="0"/>
        <w:rPr>
          <w:rFonts w:hint="eastAsia"/>
          <w:lang w:val="en-US" w:eastAsia="zh-CN"/>
        </w:rPr>
      </w:pPr>
    </w:p>
    <w:p w14:paraId="5C579320">
      <w:pPr>
        <w:bidi w:val="0"/>
        <w:rPr>
          <w:rFonts w:hint="eastAsia"/>
          <w:lang w:val="en-US" w:eastAsia="zh-CN"/>
        </w:rPr>
      </w:pPr>
      <w:r>
        <w:rPr>
          <w:rFonts w:hint="eastAsia"/>
          <w:lang w:val="en-US" w:eastAsia="zh-CN"/>
        </w:rPr>
        <w:t>4:7-19 116, 581</w:t>
      </w:r>
    </w:p>
    <w:p w14:paraId="38F5241D">
      <w:pPr>
        <w:bidi w:val="0"/>
        <w:rPr>
          <w:rFonts w:hint="eastAsia"/>
          <w:lang w:val="en-US" w:eastAsia="zh-CN"/>
        </w:rPr>
      </w:pPr>
    </w:p>
    <w:p w14:paraId="20DCCB2B">
      <w:pPr>
        <w:bidi w:val="0"/>
        <w:rPr>
          <w:rFonts w:hint="eastAsia"/>
          <w:lang w:val="en-US" w:eastAsia="zh-CN"/>
        </w:rPr>
      </w:pPr>
      <w:r>
        <w:rPr>
          <w:rFonts w:hint="eastAsia"/>
          <w:lang w:val="en-US" w:eastAsia="zh-CN"/>
        </w:rPr>
        <w:t>5:4 515</w:t>
      </w:r>
    </w:p>
    <w:p w14:paraId="0DD5FD5B">
      <w:pPr>
        <w:bidi w:val="0"/>
        <w:rPr>
          <w:rFonts w:hint="eastAsia"/>
          <w:lang w:val="en-US" w:eastAsia="zh-CN"/>
        </w:rPr>
      </w:pPr>
    </w:p>
    <w:p w14:paraId="48253223">
      <w:pPr>
        <w:bidi w:val="0"/>
        <w:rPr>
          <w:rFonts w:hint="eastAsia"/>
          <w:lang w:val="en-US" w:eastAsia="zh-CN"/>
        </w:rPr>
      </w:pPr>
      <w:r>
        <w:rPr>
          <w:rFonts w:hint="eastAsia"/>
          <w:lang w:val="en-US" w:eastAsia="zh-CN"/>
        </w:rPr>
        <w:t>5:4 515</w:t>
      </w:r>
    </w:p>
    <w:p w14:paraId="41033400">
      <w:pPr>
        <w:bidi w:val="0"/>
        <w:rPr>
          <w:rFonts w:hint="eastAsia"/>
          <w:lang w:val="en-US" w:eastAsia="zh-CN"/>
        </w:rPr>
      </w:pPr>
    </w:p>
    <w:p w14:paraId="42EB7FC2">
      <w:pPr>
        <w:bidi w:val="0"/>
        <w:rPr>
          <w:rFonts w:hint="eastAsia"/>
          <w:lang w:val="en-US" w:eastAsia="zh-CN"/>
        </w:rPr>
      </w:pPr>
      <w:r>
        <w:rPr>
          <w:rFonts w:hint="eastAsia"/>
          <w:lang w:val="en-US" w:eastAsia="zh-CN"/>
        </w:rPr>
        <w:t>5:8 413, 469</w:t>
      </w:r>
    </w:p>
    <w:p w14:paraId="2E50EFBD">
      <w:pPr>
        <w:bidi w:val="0"/>
        <w:rPr>
          <w:rFonts w:hint="eastAsia"/>
          <w:lang w:val="en-US" w:eastAsia="zh-CN"/>
        </w:rPr>
      </w:pPr>
    </w:p>
    <w:p w14:paraId="122B5209">
      <w:pPr>
        <w:bidi w:val="0"/>
        <w:rPr>
          <w:rFonts w:hint="eastAsia"/>
          <w:lang w:val="en-US" w:eastAsia="zh-CN"/>
        </w:rPr>
      </w:pPr>
      <w:r>
        <w:rPr>
          <w:rFonts w:hint="eastAsia"/>
          <w:lang w:val="en-US" w:eastAsia="zh-CN"/>
        </w:rPr>
        <w:t>5:8 413, 469</w:t>
      </w:r>
    </w:p>
    <w:p w14:paraId="3EBA4882">
      <w:pPr>
        <w:bidi w:val="0"/>
        <w:rPr>
          <w:rFonts w:hint="eastAsia"/>
          <w:lang w:val="en-US" w:eastAsia="zh-CN"/>
        </w:rPr>
      </w:pPr>
    </w:p>
    <w:p w14:paraId="16B7EE63">
      <w:pPr>
        <w:bidi w:val="0"/>
        <w:rPr>
          <w:rFonts w:hint="eastAsia"/>
          <w:lang w:val="en-US" w:eastAsia="zh-CN"/>
        </w:rPr>
      </w:pPr>
      <w:r>
        <w:rPr>
          <w:rFonts w:hint="eastAsia"/>
          <w:lang w:val="en-US" w:eastAsia="zh-CN"/>
        </w:rPr>
        <w:t>2 Peter</w:t>
      </w:r>
    </w:p>
    <w:p w14:paraId="66ACB161">
      <w:pPr>
        <w:bidi w:val="0"/>
        <w:rPr>
          <w:rFonts w:hint="eastAsia"/>
          <w:lang w:val="en-US" w:eastAsia="zh-CN"/>
        </w:rPr>
      </w:pPr>
    </w:p>
    <w:p w14:paraId="470DDF24">
      <w:pPr>
        <w:bidi w:val="0"/>
        <w:rPr>
          <w:rFonts w:hint="eastAsia"/>
          <w:lang w:val="en-US" w:eastAsia="zh-CN"/>
        </w:rPr>
      </w:pPr>
      <w:r>
        <w:rPr>
          <w:rFonts w:hint="eastAsia"/>
          <w:lang w:val="en-US" w:eastAsia="zh-CN"/>
        </w:rPr>
        <w:t>彼得后书</w:t>
      </w:r>
    </w:p>
    <w:p w14:paraId="0D1937C4">
      <w:pPr>
        <w:bidi w:val="0"/>
        <w:rPr>
          <w:rFonts w:hint="eastAsia"/>
          <w:lang w:val="en-US" w:eastAsia="zh-CN"/>
        </w:rPr>
      </w:pPr>
    </w:p>
    <w:p w14:paraId="582A72F7">
      <w:pPr>
        <w:bidi w:val="0"/>
        <w:rPr>
          <w:rFonts w:hint="eastAsia"/>
          <w:lang w:val="en-US" w:eastAsia="zh-CN"/>
        </w:rPr>
      </w:pPr>
      <w:r>
        <w:rPr>
          <w:rFonts w:hint="eastAsia"/>
          <w:lang w:val="en-US" w:eastAsia="zh-CN"/>
        </w:rPr>
        <w:t>1:12-14 582</w:t>
      </w:r>
    </w:p>
    <w:p w14:paraId="27557602">
      <w:pPr>
        <w:bidi w:val="0"/>
        <w:rPr>
          <w:rFonts w:hint="eastAsia"/>
          <w:lang w:val="en-US" w:eastAsia="zh-CN"/>
        </w:rPr>
      </w:pPr>
    </w:p>
    <w:p w14:paraId="5442FAFF">
      <w:pPr>
        <w:bidi w:val="0"/>
        <w:rPr>
          <w:rFonts w:hint="eastAsia"/>
          <w:lang w:val="en-US" w:eastAsia="zh-CN"/>
        </w:rPr>
      </w:pPr>
      <w:r>
        <w:rPr>
          <w:rFonts w:hint="eastAsia"/>
          <w:lang w:val="en-US" w:eastAsia="zh-CN"/>
        </w:rPr>
        <w:t>1:12-14 582</w:t>
      </w:r>
    </w:p>
    <w:p w14:paraId="2862F605">
      <w:pPr>
        <w:bidi w:val="0"/>
        <w:rPr>
          <w:rFonts w:hint="eastAsia"/>
          <w:lang w:val="en-US" w:eastAsia="zh-CN"/>
        </w:rPr>
      </w:pPr>
    </w:p>
    <w:p w14:paraId="63EFB135">
      <w:pPr>
        <w:bidi w:val="0"/>
        <w:rPr>
          <w:rFonts w:hint="eastAsia"/>
          <w:lang w:val="en-US" w:eastAsia="zh-CN"/>
        </w:rPr>
      </w:pPr>
      <w:r>
        <w:rPr>
          <w:rFonts w:hint="eastAsia"/>
          <w:lang w:val="en-US" w:eastAsia="zh-CN"/>
        </w:rPr>
        <w:t>1:19 435</w:t>
      </w:r>
    </w:p>
    <w:p w14:paraId="34ABB984">
      <w:pPr>
        <w:bidi w:val="0"/>
        <w:rPr>
          <w:rFonts w:hint="eastAsia"/>
          <w:lang w:val="en-US" w:eastAsia="zh-CN"/>
        </w:rPr>
      </w:pPr>
    </w:p>
    <w:p w14:paraId="66830FE6">
      <w:pPr>
        <w:bidi w:val="0"/>
        <w:rPr>
          <w:rFonts w:hint="eastAsia"/>
          <w:lang w:val="en-US" w:eastAsia="zh-CN"/>
        </w:rPr>
      </w:pPr>
      <w:r>
        <w:rPr>
          <w:rFonts w:hint="eastAsia"/>
          <w:lang w:val="en-US" w:eastAsia="zh-CN"/>
        </w:rPr>
        <w:t>1:19 435</w:t>
      </w:r>
    </w:p>
    <w:p w14:paraId="1CE7F13C">
      <w:pPr>
        <w:bidi w:val="0"/>
        <w:rPr>
          <w:rFonts w:hint="eastAsia"/>
          <w:lang w:val="en-US" w:eastAsia="zh-CN"/>
        </w:rPr>
      </w:pPr>
    </w:p>
    <w:p w14:paraId="026033E8">
      <w:pPr>
        <w:bidi w:val="0"/>
        <w:rPr>
          <w:rFonts w:hint="eastAsia"/>
          <w:lang w:val="en-US" w:eastAsia="zh-CN"/>
        </w:rPr>
      </w:pPr>
      <w:r>
        <w:rPr>
          <w:rFonts w:hint="eastAsia"/>
          <w:lang w:val="en-US" w:eastAsia="zh-CN"/>
        </w:rPr>
        <w:t>3:1-13 585, 601</w:t>
      </w:r>
    </w:p>
    <w:p w14:paraId="3F8577C6">
      <w:pPr>
        <w:bidi w:val="0"/>
        <w:rPr>
          <w:rFonts w:hint="eastAsia"/>
          <w:lang w:val="en-US" w:eastAsia="zh-CN"/>
        </w:rPr>
      </w:pPr>
    </w:p>
    <w:p w14:paraId="1C47F2D1">
      <w:pPr>
        <w:bidi w:val="0"/>
        <w:rPr>
          <w:rFonts w:hint="eastAsia"/>
          <w:lang w:val="en-US" w:eastAsia="zh-CN"/>
        </w:rPr>
      </w:pPr>
      <w:r>
        <w:rPr>
          <w:rFonts w:hint="eastAsia"/>
          <w:lang w:val="en-US" w:eastAsia="zh-CN"/>
        </w:rPr>
        <w:t>3:1-13 585, 601</w:t>
      </w:r>
    </w:p>
    <w:p w14:paraId="7C5E7732">
      <w:pPr>
        <w:bidi w:val="0"/>
        <w:rPr>
          <w:rFonts w:hint="eastAsia"/>
          <w:lang w:val="en-US" w:eastAsia="zh-CN"/>
        </w:rPr>
      </w:pPr>
    </w:p>
    <w:p w14:paraId="0E4B01CF">
      <w:pPr>
        <w:bidi w:val="0"/>
        <w:rPr>
          <w:rFonts w:hint="eastAsia"/>
          <w:lang w:val="en-US" w:eastAsia="zh-CN"/>
        </w:rPr>
      </w:pPr>
      <w:r>
        <w:rPr>
          <w:rFonts w:hint="eastAsia"/>
          <w:lang w:val="en-US" w:eastAsia="zh-CN"/>
        </w:rPr>
        <w:t>3:5-7 85, 112</w:t>
      </w:r>
    </w:p>
    <w:p w14:paraId="3CA9EA15">
      <w:pPr>
        <w:bidi w:val="0"/>
        <w:rPr>
          <w:rFonts w:hint="eastAsia"/>
          <w:lang w:val="en-US" w:eastAsia="zh-CN"/>
        </w:rPr>
      </w:pPr>
    </w:p>
    <w:p w14:paraId="3F5DFD99">
      <w:pPr>
        <w:bidi w:val="0"/>
        <w:rPr>
          <w:rFonts w:hint="eastAsia"/>
          <w:lang w:val="en-US" w:eastAsia="zh-CN"/>
        </w:rPr>
      </w:pPr>
      <w:r>
        <w:rPr>
          <w:rFonts w:hint="eastAsia"/>
          <w:lang w:val="en-US" w:eastAsia="zh-CN"/>
        </w:rPr>
        <w:t>3:5-7 85, 112</w:t>
      </w:r>
    </w:p>
    <w:p w14:paraId="7F7E2A38">
      <w:pPr>
        <w:bidi w:val="0"/>
        <w:rPr>
          <w:rFonts w:hint="eastAsia"/>
          <w:lang w:val="en-US" w:eastAsia="zh-CN"/>
        </w:rPr>
      </w:pPr>
    </w:p>
    <w:p w14:paraId="2D49B00C">
      <w:pPr>
        <w:bidi w:val="0"/>
        <w:rPr>
          <w:rFonts w:hint="eastAsia"/>
          <w:lang w:val="en-US" w:eastAsia="zh-CN"/>
        </w:rPr>
      </w:pPr>
      <w:r>
        <w:rPr>
          <w:rFonts w:hint="eastAsia"/>
          <w:lang w:val="en-US" w:eastAsia="zh-CN"/>
        </w:rPr>
        <w:t>3:10 597</w:t>
      </w:r>
    </w:p>
    <w:p w14:paraId="7AB751DC">
      <w:pPr>
        <w:bidi w:val="0"/>
        <w:rPr>
          <w:rFonts w:hint="eastAsia"/>
          <w:lang w:val="en-US" w:eastAsia="zh-CN"/>
        </w:rPr>
      </w:pPr>
    </w:p>
    <w:p w14:paraId="62235B0C">
      <w:pPr>
        <w:bidi w:val="0"/>
        <w:rPr>
          <w:rFonts w:hint="eastAsia"/>
          <w:lang w:val="en-US" w:eastAsia="zh-CN"/>
        </w:rPr>
      </w:pPr>
      <w:r>
        <w:rPr>
          <w:rFonts w:hint="eastAsia"/>
          <w:lang w:val="en-US" w:eastAsia="zh-CN"/>
        </w:rPr>
        <w:t>3:10 597</w:t>
      </w:r>
    </w:p>
    <w:p w14:paraId="42A69592">
      <w:pPr>
        <w:bidi w:val="0"/>
        <w:rPr>
          <w:rFonts w:hint="eastAsia"/>
          <w:lang w:val="en-US" w:eastAsia="zh-CN"/>
        </w:rPr>
      </w:pPr>
    </w:p>
    <w:p w14:paraId="3A43A56F">
      <w:pPr>
        <w:bidi w:val="0"/>
        <w:rPr>
          <w:rFonts w:hint="eastAsia"/>
          <w:lang w:val="en-US" w:eastAsia="zh-CN"/>
        </w:rPr>
      </w:pPr>
      <w:r>
        <w:rPr>
          <w:rFonts w:hint="eastAsia"/>
          <w:lang w:val="en-US" w:eastAsia="zh-CN"/>
        </w:rPr>
        <w:t>3:11-14 230</w:t>
      </w:r>
    </w:p>
    <w:p w14:paraId="1F883D68">
      <w:pPr>
        <w:bidi w:val="0"/>
        <w:rPr>
          <w:rFonts w:hint="eastAsia"/>
          <w:lang w:val="en-US" w:eastAsia="zh-CN"/>
        </w:rPr>
      </w:pPr>
    </w:p>
    <w:p w14:paraId="1A11309C">
      <w:pPr>
        <w:bidi w:val="0"/>
        <w:rPr>
          <w:rFonts w:hint="eastAsia"/>
          <w:lang w:val="en-US" w:eastAsia="zh-CN"/>
        </w:rPr>
      </w:pPr>
      <w:r>
        <w:rPr>
          <w:rFonts w:hint="eastAsia"/>
          <w:lang w:val="en-US" w:eastAsia="zh-CN"/>
        </w:rPr>
        <w:t>3:11-14 230</w:t>
      </w:r>
    </w:p>
    <w:p w14:paraId="1006000E">
      <w:pPr>
        <w:bidi w:val="0"/>
        <w:rPr>
          <w:rFonts w:hint="eastAsia"/>
          <w:lang w:val="en-US" w:eastAsia="zh-CN"/>
        </w:rPr>
      </w:pPr>
    </w:p>
    <w:p w14:paraId="0DED562D">
      <w:pPr>
        <w:bidi w:val="0"/>
        <w:rPr>
          <w:rFonts w:hint="eastAsia"/>
          <w:lang w:val="en-US" w:eastAsia="zh-CN"/>
        </w:rPr>
      </w:pPr>
      <w:r>
        <w:rPr>
          <w:rFonts w:hint="eastAsia"/>
          <w:lang w:val="en-US" w:eastAsia="zh-CN"/>
        </w:rPr>
        <w:t>3:13 112, 278, 326, 374</w:t>
      </w:r>
    </w:p>
    <w:p w14:paraId="7FD63230">
      <w:pPr>
        <w:bidi w:val="0"/>
        <w:rPr>
          <w:rFonts w:hint="eastAsia"/>
          <w:lang w:val="en-US" w:eastAsia="zh-CN"/>
        </w:rPr>
      </w:pPr>
    </w:p>
    <w:p w14:paraId="462AD71B">
      <w:pPr>
        <w:bidi w:val="0"/>
        <w:rPr>
          <w:rFonts w:hint="eastAsia"/>
          <w:lang w:val="en-US" w:eastAsia="zh-CN"/>
        </w:rPr>
      </w:pPr>
      <w:r>
        <w:rPr>
          <w:rFonts w:hint="eastAsia"/>
          <w:lang w:val="en-US" w:eastAsia="zh-CN"/>
        </w:rPr>
        <w:t>3:13 112, 278, 326, 374</w:t>
      </w:r>
    </w:p>
    <w:p w14:paraId="7CEFEED1">
      <w:pPr>
        <w:bidi w:val="0"/>
        <w:rPr>
          <w:rFonts w:hint="eastAsia"/>
          <w:lang w:val="en-US" w:eastAsia="zh-CN"/>
        </w:rPr>
      </w:pPr>
    </w:p>
    <w:p w14:paraId="58455D12">
      <w:pPr>
        <w:bidi w:val="0"/>
        <w:rPr>
          <w:rFonts w:hint="eastAsia"/>
          <w:lang w:val="en-US" w:eastAsia="zh-CN"/>
        </w:rPr>
      </w:pPr>
      <w:r>
        <w:rPr>
          <w:rFonts w:hint="eastAsia"/>
          <w:lang w:val="en-US" w:eastAsia="zh-CN"/>
        </w:rPr>
        <w:t>1 John</w:t>
      </w:r>
    </w:p>
    <w:p w14:paraId="1614B9FB">
      <w:pPr>
        <w:bidi w:val="0"/>
        <w:rPr>
          <w:rFonts w:hint="eastAsia"/>
          <w:lang w:val="en-US" w:eastAsia="zh-CN"/>
        </w:rPr>
      </w:pPr>
    </w:p>
    <w:p w14:paraId="48F726E0">
      <w:pPr>
        <w:bidi w:val="0"/>
        <w:rPr>
          <w:rFonts w:hint="eastAsia"/>
          <w:lang w:val="en-US" w:eastAsia="zh-CN"/>
        </w:rPr>
      </w:pPr>
      <w:r>
        <w:rPr>
          <w:rFonts w:hint="eastAsia"/>
          <w:lang w:val="en-US" w:eastAsia="zh-CN"/>
        </w:rPr>
        <w:t>约翰一书</w:t>
      </w:r>
    </w:p>
    <w:p w14:paraId="7FA4CD65">
      <w:pPr>
        <w:bidi w:val="0"/>
        <w:rPr>
          <w:rFonts w:hint="eastAsia"/>
          <w:lang w:val="en-US" w:eastAsia="zh-CN"/>
        </w:rPr>
      </w:pPr>
    </w:p>
    <w:p w14:paraId="57D417F8">
      <w:pPr>
        <w:bidi w:val="0"/>
        <w:rPr>
          <w:rFonts w:hint="eastAsia"/>
          <w:lang w:val="en-US" w:eastAsia="zh-CN"/>
        </w:rPr>
      </w:pPr>
      <w:r>
        <w:rPr>
          <w:rFonts w:hint="eastAsia"/>
          <w:lang w:val="en-US" w:eastAsia="zh-CN"/>
        </w:rPr>
        <w:t>2:18, 22 577, 584-5, 594</w:t>
      </w:r>
    </w:p>
    <w:p w14:paraId="19E5765A">
      <w:pPr>
        <w:bidi w:val="0"/>
        <w:rPr>
          <w:rFonts w:hint="eastAsia"/>
          <w:lang w:val="en-US" w:eastAsia="zh-CN"/>
        </w:rPr>
      </w:pPr>
    </w:p>
    <w:p w14:paraId="7D471F70">
      <w:pPr>
        <w:bidi w:val="0"/>
        <w:rPr>
          <w:rFonts w:hint="eastAsia"/>
          <w:lang w:val="en-US" w:eastAsia="zh-CN"/>
        </w:rPr>
      </w:pPr>
      <w:r>
        <w:rPr>
          <w:rFonts w:hint="eastAsia"/>
          <w:lang w:val="en-US" w:eastAsia="zh-CN"/>
        </w:rPr>
        <w:t>2:18, 22 577, 584-5, 594</w:t>
      </w:r>
    </w:p>
    <w:p w14:paraId="0466B016">
      <w:pPr>
        <w:bidi w:val="0"/>
        <w:rPr>
          <w:rFonts w:hint="eastAsia"/>
          <w:lang w:val="en-US" w:eastAsia="zh-CN"/>
        </w:rPr>
      </w:pPr>
    </w:p>
    <w:p w14:paraId="7931AA31">
      <w:pPr>
        <w:bidi w:val="0"/>
        <w:rPr>
          <w:rFonts w:hint="eastAsia"/>
          <w:lang w:val="en-US" w:eastAsia="zh-CN"/>
        </w:rPr>
      </w:pPr>
      <w:r>
        <w:rPr>
          <w:rFonts w:hint="eastAsia"/>
          <w:lang w:val="en-US" w:eastAsia="zh-CN"/>
        </w:rPr>
        <w:t>2:28 515, 585</w:t>
      </w:r>
    </w:p>
    <w:p w14:paraId="19899576">
      <w:pPr>
        <w:bidi w:val="0"/>
        <w:rPr>
          <w:rFonts w:hint="eastAsia"/>
          <w:lang w:val="en-US" w:eastAsia="zh-CN"/>
        </w:rPr>
      </w:pPr>
    </w:p>
    <w:p w14:paraId="68D3A585">
      <w:pPr>
        <w:bidi w:val="0"/>
        <w:rPr>
          <w:rFonts w:hint="eastAsia"/>
          <w:lang w:val="en-US" w:eastAsia="zh-CN"/>
        </w:rPr>
      </w:pPr>
      <w:r>
        <w:rPr>
          <w:rFonts w:hint="eastAsia"/>
          <w:lang w:val="en-US" w:eastAsia="zh-CN"/>
        </w:rPr>
        <w:t>2:28 515, 585</w:t>
      </w:r>
    </w:p>
    <w:p w14:paraId="16156551">
      <w:pPr>
        <w:bidi w:val="0"/>
        <w:rPr>
          <w:rFonts w:hint="eastAsia"/>
          <w:lang w:val="en-US" w:eastAsia="zh-CN"/>
        </w:rPr>
      </w:pPr>
    </w:p>
    <w:p w14:paraId="6A3A1CE6">
      <w:pPr>
        <w:bidi w:val="0"/>
        <w:rPr>
          <w:rFonts w:hint="eastAsia"/>
          <w:lang w:val="en-US" w:eastAsia="zh-CN"/>
        </w:rPr>
      </w:pPr>
      <w:r>
        <w:rPr>
          <w:rFonts w:hint="eastAsia"/>
          <w:lang w:val="en-US" w:eastAsia="zh-CN"/>
        </w:rPr>
        <w:t>3:1-2 246, 510, 512, 543, 598</w:t>
      </w:r>
    </w:p>
    <w:p w14:paraId="556BC171">
      <w:pPr>
        <w:bidi w:val="0"/>
        <w:rPr>
          <w:rFonts w:hint="eastAsia"/>
          <w:lang w:val="en-US" w:eastAsia="zh-CN"/>
        </w:rPr>
      </w:pPr>
    </w:p>
    <w:p w14:paraId="397278D5">
      <w:pPr>
        <w:bidi w:val="0"/>
        <w:rPr>
          <w:rFonts w:hint="eastAsia"/>
          <w:lang w:val="en-US" w:eastAsia="zh-CN"/>
        </w:rPr>
      </w:pPr>
      <w:r>
        <w:rPr>
          <w:rFonts w:hint="eastAsia"/>
          <w:lang w:val="en-US" w:eastAsia="zh-CN"/>
        </w:rPr>
        <w:t>3:1-2 246, 510, 512, 543, 598</w:t>
      </w:r>
    </w:p>
    <w:p w14:paraId="210B960A">
      <w:pPr>
        <w:bidi w:val="0"/>
        <w:rPr>
          <w:rFonts w:hint="eastAsia"/>
          <w:lang w:val="en-US" w:eastAsia="zh-CN"/>
        </w:rPr>
      </w:pPr>
    </w:p>
    <w:p w14:paraId="6DB7C4F5">
      <w:pPr>
        <w:bidi w:val="0"/>
        <w:rPr>
          <w:rFonts w:hint="eastAsia"/>
          <w:lang w:val="en-US" w:eastAsia="zh-CN"/>
        </w:rPr>
      </w:pPr>
      <w:r>
        <w:rPr>
          <w:rFonts w:hint="eastAsia"/>
          <w:lang w:val="en-US" w:eastAsia="zh-CN"/>
        </w:rPr>
        <w:t>3:9-13 110, 230, 246</w:t>
      </w:r>
    </w:p>
    <w:p w14:paraId="675184A7">
      <w:pPr>
        <w:bidi w:val="0"/>
        <w:rPr>
          <w:rFonts w:hint="eastAsia"/>
          <w:lang w:val="en-US" w:eastAsia="zh-CN"/>
        </w:rPr>
      </w:pPr>
    </w:p>
    <w:p w14:paraId="53B5241A">
      <w:pPr>
        <w:bidi w:val="0"/>
        <w:rPr>
          <w:rFonts w:hint="eastAsia"/>
          <w:lang w:val="en-US" w:eastAsia="zh-CN"/>
        </w:rPr>
      </w:pPr>
      <w:r>
        <w:rPr>
          <w:rFonts w:hint="eastAsia"/>
          <w:lang w:val="en-US" w:eastAsia="zh-CN"/>
        </w:rPr>
        <w:t>3:9-13 110, 230, 246</w:t>
      </w:r>
    </w:p>
    <w:p w14:paraId="2690D731">
      <w:pPr>
        <w:bidi w:val="0"/>
        <w:rPr>
          <w:rFonts w:hint="eastAsia"/>
          <w:lang w:val="en-US" w:eastAsia="zh-CN"/>
        </w:rPr>
      </w:pPr>
    </w:p>
    <w:p w14:paraId="7A8AB613">
      <w:pPr>
        <w:bidi w:val="0"/>
        <w:rPr>
          <w:rFonts w:hint="eastAsia"/>
          <w:lang w:val="en-US" w:eastAsia="zh-CN"/>
        </w:rPr>
      </w:pPr>
      <w:r>
        <w:rPr>
          <w:rFonts w:hint="eastAsia"/>
          <w:lang w:val="en-US" w:eastAsia="zh-CN"/>
        </w:rPr>
        <w:t>4:1-6 391</w:t>
      </w:r>
    </w:p>
    <w:p w14:paraId="6DA96271">
      <w:pPr>
        <w:bidi w:val="0"/>
        <w:rPr>
          <w:rFonts w:hint="eastAsia"/>
          <w:lang w:val="en-US" w:eastAsia="zh-CN"/>
        </w:rPr>
      </w:pPr>
    </w:p>
    <w:p w14:paraId="6CB13544">
      <w:pPr>
        <w:bidi w:val="0"/>
        <w:rPr>
          <w:rFonts w:hint="eastAsia"/>
          <w:lang w:val="en-US" w:eastAsia="zh-CN"/>
        </w:rPr>
      </w:pPr>
      <w:r>
        <w:rPr>
          <w:rFonts w:hint="eastAsia"/>
          <w:lang w:val="en-US" w:eastAsia="zh-CN"/>
        </w:rPr>
        <w:t>4:1-6 391</w:t>
      </w:r>
    </w:p>
    <w:p w14:paraId="7B839A28">
      <w:pPr>
        <w:bidi w:val="0"/>
        <w:rPr>
          <w:rFonts w:hint="eastAsia"/>
          <w:lang w:val="en-US" w:eastAsia="zh-CN"/>
        </w:rPr>
      </w:pPr>
    </w:p>
    <w:p w14:paraId="61DACE28">
      <w:pPr>
        <w:bidi w:val="0"/>
        <w:rPr>
          <w:rFonts w:hint="eastAsia"/>
          <w:lang w:val="en-US" w:eastAsia="zh-CN"/>
        </w:rPr>
      </w:pPr>
      <w:r>
        <w:rPr>
          <w:rFonts w:hint="eastAsia"/>
          <w:lang w:val="en-US" w:eastAsia="zh-CN"/>
        </w:rPr>
        <w:t>4:3 577</w:t>
      </w:r>
    </w:p>
    <w:p w14:paraId="44206BE8">
      <w:pPr>
        <w:bidi w:val="0"/>
        <w:rPr>
          <w:rFonts w:hint="eastAsia"/>
          <w:lang w:val="en-US" w:eastAsia="zh-CN"/>
        </w:rPr>
      </w:pPr>
    </w:p>
    <w:p w14:paraId="1818C24F">
      <w:pPr>
        <w:bidi w:val="0"/>
        <w:rPr>
          <w:rFonts w:hint="eastAsia"/>
          <w:lang w:val="en-US" w:eastAsia="zh-CN"/>
        </w:rPr>
      </w:pPr>
      <w:r>
        <w:rPr>
          <w:rFonts w:hint="eastAsia"/>
          <w:lang w:val="en-US" w:eastAsia="zh-CN"/>
        </w:rPr>
        <w:t>4:3 577</w:t>
      </w:r>
    </w:p>
    <w:p w14:paraId="57A14C07">
      <w:pPr>
        <w:bidi w:val="0"/>
        <w:rPr>
          <w:rFonts w:hint="eastAsia"/>
          <w:lang w:val="en-US" w:eastAsia="zh-CN"/>
        </w:rPr>
      </w:pPr>
    </w:p>
    <w:p w14:paraId="08898A40">
      <w:pPr>
        <w:bidi w:val="0"/>
        <w:rPr>
          <w:rFonts w:hint="eastAsia"/>
          <w:lang w:val="en-US" w:eastAsia="zh-CN"/>
        </w:rPr>
      </w:pPr>
      <w:r>
        <w:rPr>
          <w:rFonts w:hint="eastAsia"/>
          <w:lang w:val="en-US" w:eastAsia="zh-CN"/>
        </w:rPr>
        <w:t>5:12 701</w:t>
      </w:r>
    </w:p>
    <w:p w14:paraId="3566B9D8">
      <w:pPr>
        <w:bidi w:val="0"/>
        <w:rPr>
          <w:rFonts w:hint="eastAsia"/>
          <w:lang w:val="en-US" w:eastAsia="zh-CN"/>
        </w:rPr>
      </w:pPr>
    </w:p>
    <w:p w14:paraId="0DCCE64B">
      <w:pPr>
        <w:bidi w:val="0"/>
        <w:rPr>
          <w:rFonts w:hint="eastAsia"/>
          <w:lang w:val="en-US" w:eastAsia="zh-CN"/>
        </w:rPr>
      </w:pPr>
      <w:r>
        <w:rPr>
          <w:rFonts w:hint="eastAsia"/>
          <w:lang w:val="en-US" w:eastAsia="zh-CN"/>
        </w:rPr>
        <w:t>5:12 701</w:t>
      </w:r>
    </w:p>
    <w:p w14:paraId="43A6DC92">
      <w:pPr>
        <w:bidi w:val="0"/>
        <w:rPr>
          <w:rFonts w:hint="eastAsia"/>
          <w:lang w:val="en-US" w:eastAsia="zh-CN"/>
        </w:rPr>
      </w:pPr>
    </w:p>
    <w:p w14:paraId="188A2C61">
      <w:pPr>
        <w:bidi w:val="0"/>
        <w:rPr>
          <w:rFonts w:hint="eastAsia"/>
          <w:lang w:val="en-US" w:eastAsia="zh-CN"/>
        </w:rPr>
      </w:pPr>
      <w:r>
        <w:rPr>
          <w:rFonts w:hint="eastAsia"/>
          <w:lang w:val="en-US" w:eastAsia="zh-CN"/>
        </w:rPr>
        <w:t>5:19 81, 356, 486</w:t>
      </w:r>
    </w:p>
    <w:p w14:paraId="4DE5FD07">
      <w:pPr>
        <w:bidi w:val="0"/>
        <w:rPr>
          <w:rFonts w:hint="eastAsia"/>
          <w:lang w:val="en-US" w:eastAsia="zh-CN"/>
        </w:rPr>
      </w:pPr>
    </w:p>
    <w:p w14:paraId="55634C90">
      <w:pPr>
        <w:bidi w:val="0"/>
        <w:rPr>
          <w:rFonts w:hint="eastAsia"/>
          <w:lang w:val="en-US" w:eastAsia="zh-CN"/>
        </w:rPr>
      </w:pPr>
      <w:r>
        <w:rPr>
          <w:rFonts w:hint="eastAsia"/>
          <w:lang w:val="en-US" w:eastAsia="zh-CN"/>
        </w:rPr>
        <w:t>5:19 81, 356, 486</w:t>
      </w:r>
    </w:p>
    <w:p w14:paraId="61C7C8F1">
      <w:pPr>
        <w:bidi w:val="0"/>
        <w:rPr>
          <w:rFonts w:hint="eastAsia"/>
          <w:lang w:val="en-US" w:eastAsia="zh-CN"/>
        </w:rPr>
      </w:pPr>
    </w:p>
    <w:p w14:paraId="494AA365">
      <w:pPr>
        <w:bidi w:val="0"/>
        <w:rPr>
          <w:rFonts w:hint="eastAsia"/>
          <w:lang w:val="en-US" w:eastAsia="zh-CN"/>
        </w:rPr>
      </w:pPr>
      <w:r>
        <w:rPr>
          <w:rFonts w:hint="eastAsia"/>
          <w:lang w:val="en-US" w:eastAsia="zh-CN"/>
        </w:rPr>
        <w:t>Jude</w:t>
      </w:r>
    </w:p>
    <w:p w14:paraId="03054F1A">
      <w:pPr>
        <w:bidi w:val="0"/>
        <w:rPr>
          <w:rFonts w:hint="eastAsia"/>
          <w:lang w:val="en-US" w:eastAsia="zh-CN"/>
        </w:rPr>
      </w:pPr>
    </w:p>
    <w:p w14:paraId="6F7005E7">
      <w:pPr>
        <w:bidi w:val="0"/>
        <w:rPr>
          <w:rFonts w:hint="eastAsia"/>
          <w:lang w:val="en-US" w:eastAsia="zh-CN"/>
        </w:rPr>
      </w:pPr>
      <w:r>
        <w:rPr>
          <w:rFonts w:hint="eastAsia"/>
          <w:lang w:val="en-US" w:eastAsia="zh-CN"/>
        </w:rPr>
        <w:t>犹大书</w:t>
      </w:r>
    </w:p>
    <w:p w14:paraId="60BB36D1">
      <w:pPr>
        <w:bidi w:val="0"/>
        <w:rPr>
          <w:rFonts w:hint="eastAsia"/>
          <w:lang w:val="en-US" w:eastAsia="zh-CN"/>
        </w:rPr>
      </w:pPr>
    </w:p>
    <w:p w14:paraId="6B500DAC">
      <w:pPr>
        <w:bidi w:val="0"/>
        <w:rPr>
          <w:rFonts w:hint="eastAsia"/>
          <w:lang w:val="en-US" w:eastAsia="zh-CN"/>
        </w:rPr>
      </w:pPr>
      <w:r>
        <w:rPr>
          <w:rFonts w:hint="eastAsia"/>
          <w:lang w:val="en-US" w:eastAsia="zh-CN"/>
        </w:rPr>
        <w:t>1:23 231, 566</w:t>
      </w:r>
    </w:p>
    <w:p w14:paraId="792BD4D6">
      <w:pPr>
        <w:bidi w:val="0"/>
        <w:rPr>
          <w:rFonts w:hint="eastAsia"/>
          <w:lang w:val="en-US" w:eastAsia="zh-CN"/>
        </w:rPr>
      </w:pPr>
    </w:p>
    <w:p w14:paraId="63CF2431">
      <w:pPr>
        <w:bidi w:val="0"/>
        <w:rPr>
          <w:rFonts w:hint="eastAsia"/>
          <w:lang w:val="en-US" w:eastAsia="zh-CN"/>
        </w:rPr>
      </w:pPr>
      <w:r>
        <w:rPr>
          <w:rFonts w:hint="eastAsia"/>
          <w:lang w:val="en-US" w:eastAsia="zh-CN"/>
        </w:rPr>
        <w:t>1:23 231, 566</w:t>
      </w:r>
    </w:p>
    <w:p w14:paraId="35378398">
      <w:pPr>
        <w:bidi w:val="0"/>
        <w:rPr>
          <w:rFonts w:hint="eastAsia"/>
          <w:lang w:val="en-US" w:eastAsia="zh-CN"/>
        </w:rPr>
      </w:pPr>
    </w:p>
    <w:p w14:paraId="7171C8B6">
      <w:pPr>
        <w:bidi w:val="0"/>
        <w:rPr>
          <w:rFonts w:hint="eastAsia"/>
          <w:lang w:val="en-US" w:eastAsia="zh-CN"/>
        </w:rPr>
      </w:pPr>
      <w:r>
        <w:rPr>
          <w:rFonts w:hint="eastAsia"/>
          <w:lang w:val="en-US" w:eastAsia="zh-CN"/>
        </w:rPr>
        <w:t>1:24-25 343, 600</w:t>
      </w:r>
    </w:p>
    <w:p w14:paraId="62895D34">
      <w:pPr>
        <w:bidi w:val="0"/>
        <w:rPr>
          <w:rFonts w:hint="eastAsia"/>
          <w:lang w:val="en-US" w:eastAsia="zh-CN"/>
        </w:rPr>
      </w:pPr>
    </w:p>
    <w:p w14:paraId="16A7317E">
      <w:pPr>
        <w:bidi w:val="0"/>
        <w:rPr>
          <w:rFonts w:hint="eastAsia"/>
          <w:lang w:val="en-US" w:eastAsia="zh-CN"/>
        </w:rPr>
      </w:pPr>
      <w:r>
        <w:rPr>
          <w:rFonts w:hint="eastAsia"/>
          <w:lang w:val="en-US" w:eastAsia="zh-CN"/>
        </w:rPr>
        <w:t>1:24-25 343, 600</w:t>
      </w:r>
    </w:p>
    <w:p w14:paraId="70FB045A">
      <w:pPr>
        <w:bidi w:val="0"/>
        <w:rPr>
          <w:rFonts w:hint="eastAsia"/>
          <w:lang w:val="en-US" w:eastAsia="zh-CN"/>
        </w:rPr>
      </w:pPr>
    </w:p>
    <w:p w14:paraId="21DD87C2">
      <w:pPr>
        <w:bidi w:val="0"/>
        <w:rPr>
          <w:rFonts w:hint="eastAsia"/>
          <w:lang w:val="en-US" w:eastAsia="zh-CN"/>
        </w:rPr>
      </w:pPr>
      <w:r>
        <w:rPr>
          <w:rFonts w:hint="eastAsia"/>
          <w:lang w:val="en-US" w:eastAsia="zh-CN"/>
        </w:rPr>
        <w:t>Revelation</w:t>
      </w:r>
    </w:p>
    <w:p w14:paraId="1ED9F843">
      <w:pPr>
        <w:bidi w:val="0"/>
        <w:rPr>
          <w:rFonts w:hint="eastAsia"/>
          <w:lang w:val="en-US" w:eastAsia="zh-CN"/>
        </w:rPr>
      </w:pPr>
    </w:p>
    <w:p w14:paraId="41DD56F6">
      <w:pPr>
        <w:bidi w:val="0"/>
        <w:rPr>
          <w:rFonts w:hint="eastAsia"/>
          <w:lang w:val="en-US" w:eastAsia="zh-CN"/>
        </w:rPr>
      </w:pPr>
      <w:r>
        <w:rPr>
          <w:rFonts w:hint="eastAsia"/>
          <w:lang w:val="en-US" w:eastAsia="zh-CN"/>
        </w:rPr>
        <w:t>启示录</w:t>
      </w:r>
    </w:p>
    <w:p w14:paraId="74669E2A">
      <w:pPr>
        <w:bidi w:val="0"/>
        <w:rPr>
          <w:rFonts w:hint="eastAsia"/>
          <w:lang w:val="en-US" w:eastAsia="zh-CN"/>
        </w:rPr>
      </w:pPr>
    </w:p>
    <w:p w14:paraId="2F933FD3">
      <w:pPr>
        <w:bidi w:val="0"/>
        <w:rPr>
          <w:rFonts w:hint="eastAsia"/>
          <w:lang w:val="en-US" w:eastAsia="zh-CN"/>
        </w:rPr>
      </w:pPr>
      <w:r>
        <w:rPr>
          <w:rFonts w:hint="eastAsia"/>
          <w:lang w:val="en-US" w:eastAsia="zh-CN"/>
        </w:rPr>
        <w:t>1:1 421</w:t>
      </w:r>
    </w:p>
    <w:p w14:paraId="1A1E5708">
      <w:pPr>
        <w:bidi w:val="0"/>
        <w:rPr>
          <w:rFonts w:hint="eastAsia"/>
          <w:lang w:val="en-US" w:eastAsia="zh-CN"/>
        </w:rPr>
      </w:pPr>
    </w:p>
    <w:p w14:paraId="2FADECE4">
      <w:pPr>
        <w:bidi w:val="0"/>
        <w:rPr>
          <w:rFonts w:hint="eastAsia"/>
          <w:lang w:val="en-US" w:eastAsia="zh-CN"/>
        </w:rPr>
      </w:pPr>
      <w:r>
        <w:rPr>
          <w:rFonts w:hint="eastAsia"/>
          <w:lang w:val="en-US" w:eastAsia="zh-CN"/>
        </w:rPr>
        <w:t>1:1 421</w:t>
      </w:r>
    </w:p>
    <w:p w14:paraId="0253AE2C">
      <w:pPr>
        <w:bidi w:val="0"/>
        <w:rPr>
          <w:rFonts w:hint="eastAsia"/>
          <w:lang w:val="en-US" w:eastAsia="zh-CN"/>
        </w:rPr>
      </w:pPr>
    </w:p>
    <w:p w14:paraId="751E2F07">
      <w:pPr>
        <w:bidi w:val="0"/>
        <w:rPr>
          <w:rFonts w:hint="eastAsia"/>
          <w:lang w:val="en-US" w:eastAsia="zh-CN"/>
        </w:rPr>
      </w:pPr>
      <w:r>
        <w:rPr>
          <w:rFonts w:hint="eastAsia"/>
          <w:lang w:val="en-US" w:eastAsia="zh-CN"/>
        </w:rPr>
        <w:t>1:1-20 431</w:t>
      </w:r>
    </w:p>
    <w:p w14:paraId="69516388">
      <w:pPr>
        <w:bidi w:val="0"/>
        <w:rPr>
          <w:rFonts w:hint="eastAsia"/>
          <w:lang w:val="en-US" w:eastAsia="zh-CN"/>
        </w:rPr>
      </w:pPr>
    </w:p>
    <w:p w14:paraId="60F23B36">
      <w:pPr>
        <w:bidi w:val="0"/>
        <w:rPr>
          <w:rFonts w:hint="eastAsia"/>
          <w:lang w:val="en-US" w:eastAsia="zh-CN"/>
        </w:rPr>
      </w:pPr>
      <w:r>
        <w:rPr>
          <w:rFonts w:hint="eastAsia"/>
          <w:lang w:val="en-US" w:eastAsia="zh-CN"/>
        </w:rPr>
        <w:t>1:1-20 431</w:t>
      </w:r>
    </w:p>
    <w:p w14:paraId="7698042E">
      <w:pPr>
        <w:bidi w:val="0"/>
        <w:rPr>
          <w:rFonts w:hint="eastAsia"/>
          <w:lang w:val="en-US" w:eastAsia="zh-CN"/>
        </w:rPr>
      </w:pPr>
    </w:p>
    <w:p w14:paraId="01D97375">
      <w:pPr>
        <w:bidi w:val="0"/>
        <w:rPr>
          <w:rFonts w:hint="eastAsia"/>
          <w:lang w:val="en-US" w:eastAsia="zh-CN"/>
        </w:rPr>
      </w:pPr>
      <w:r>
        <w:rPr>
          <w:rFonts w:hint="eastAsia"/>
          <w:lang w:val="en-US" w:eastAsia="zh-CN"/>
        </w:rPr>
        <w:t>1:19 693</w:t>
      </w:r>
    </w:p>
    <w:p w14:paraId="136153BB">
      <w:pPr>
        <w:bidi w:val="0"/>
        <w:rPr>
          <w:rFonts w:hint="eastAsia"/>
          <w:lang w:val="en-US" w:eastAsia="zh-CN"/>
        </w:rPr>
      </w:pPr>
    </w:p>
    <w:p w14:paraId="50ABA08D">
      <w:pPr>
        <w:bidi w:val="0"/>
        <w:rPr>
          <w:rFonts w:hint="eastAsia"/>
          <w:lang w:val="en-US" w:eastAsia="zh-CN"/>
        </w:rPr>
      </w:pPr>
      <w:r>
        <w:rPr>
          <w:rFonts w:hint="eastAsia"/>
          <w:lang w:val="en-US" w:eastAsia="zh-CN"/>
        </w:rPr>
        <w:t>1:19 693</w:t>
      </w:r>
    </w:p>
    <w:p w14:paraId="490B0FB0">
      <w:pPr>
        <w:bidi w:val="0"/>
        <w:rPr>
          <w:rFonts w:hint="eastAsia"/>
          <w:lang w:val="en-US" w:eastAsia="zh-CN"/>
        </w:rPr>
      </w:pPr>
    </w:p>
    <w:p w14:paraId="6BD6DE1F">
      <w:pPr>
        <w:bidi w:val="0"/>
        <w:rPr>
          <w:rFonts w:hint="eastAsia"/>
          <w:lang w:val="en-US" w:eastAsia="zh-CN"/>
        </w:rPr>
      </w:pPr>
      <w:r>
        <w:rPr>
          <w:rFonts w:hint="eastAsia"/>
          <w:lang w:val="en-US" w:eastAsia="zh-CN"/>
        </w:rPr>
        <w:t>2:1-3:22 432</w:t>
      </w:r>
    </w:p>
    <w:p w14:paraId="5D28B397">
      <w:pPr>
        <w:bidi w:val="0"/>
        <w:rPr>
          <w:rFonts w:hint="eastAsia"/>
          <w:lang w:val="en-US" w:eastAsia="zh-CN"/>
        </w:rPr>
      </w:pPr>
    </w:p>
    <w:p w14:paraId="06BF9A38">
      <w:pPr>
        <w:bidi w:val="0"/>
        <w:rPr>
          <w:rFonts w:hint="eastAsia"/>
          <w:lang w:val="en-US" w:eastAsia="zh-CN"/>
        </w:rPr>
      </w:pPr>
      <w:r>
        <w:rPr>
          <w:rFonts w:hint="eastAsia"/>
          <w:lang w:val="en-US" w:eastAsia="zh-CN"/>
        </w:rPr>
        <w:t>2:1-3:22 432</w:t>
      </w:r>
    </w:p>
    <w:p w14:paraId="285E5EE4">
      <w:pPr>
        <w:bidi w:val="0"/>
        <w:rPr>
          <w:rFonts w:hint="eastAsia"/>
          <w:lang w:val="en-US" w:eastAsia="zh-CN"/>
        </w:rPr>
      </w:pPr>
    </w:p>
    <w:p w14:paraId="1A98B722">
      <w:pPr>
        <w:bidi w:val="0"/>
        <w:rPr>
          <w:rFonts w:hint="eastAsia"/>
          <w:lang w:val="en-US" w:eastAsia="zh-CN"/>
        </w:rPr>
      </w:pPr>
      <w:r>
        <w:rPr>
          <w:rFonts w:hint="eastAsia"/>
          <w:lang w:val="en-US" w:eastAsia="zh-CN"/>
        </w:rPr>
        <w:t>3:10 693</w:t>
      </w:r>
    </w:p>
    <w:p w14:paraId="4BFFA19D">
      <w:pPr>
        <w:bidi w:val="0"/>
        <w:rPr>
          <w:rFonts w:hint="eastAsia"/>
          <w:lang w:val="en-US" w:eastAsia="zh-CN"/>
        </w:rPr>
      </w:pPr>
    </w:p>
    <w:p w14:paraId="405F77D5">
      <w:pPr>
        <w:bidi w:val="0"/>
        <w:rPr>
          <w:rFonts w:hint="eastAsia"/>
          <w:lang w:val="en-US" w:eastAsia="zh-CN"/>
        </w:rPr>
      </w:pPr>
      <w:r>
        <w:rPr>
          <w:rFonts w:hint="eastAsia"/>
          <w:lang w:val="en-US" w:eastAsia="zh-CN"/>
        </w:rPr>
        <w:t>3:10 693</w:t>
      </w:r>
    </w:p>
    <w:p w14:paraId="3A8A131B">
      <w:pPr>
        <w:bidi w:val="0"/>
        <w:rPr>
          <w:rFonts w:hint="eastAsia"/>
          <w:lang w:val="en-US" w:eastAsia="zh-CN"/>
        </w:rPr>
      </w:pPr>
    </w:p>
    <w:p w14:paraId="0B33584F">
      <w:pPr>
        <w:bidi w:val="0"/>
        <w:rPr>
          <w:rFonts w:hint="eastAsia"/>
          <w:lang w:val="en-US" w:eastAsia="zh-CN"/>
        </w:rPr>
      </w:pPr>
      <w:r>
        <w:rPr>
          <w:rFonts w:hint="eastAsia"/>
          <w:lang w:val="en-US" w:eastAsia="zh-CN"/>
        </w:rPr>
        <w:t>4-5 437</w:t>
      </w:r>
    </w:p>
    <w:p w14:paraId="25A189BE">
      <w:pPr>
        <w:bidi w:val="0"/>
        <w:rPr>
          <w:rFonts w:hint="eastAsia"/>
          <w:lang w:val="en-US" w:eastAsia="zh-CN"/>
        </w:rPr>
      </w:pPr>
    </w:p>
    <w:p w14:paraId="5C77FDAA">
      <w:pPr>
        <w:bidi w:val="0"/>
        <w:rPr>
          <w:rFonts w:hint="eastAsia"/>
          <w:lang w:val="en-US" w:eastAsia="zh-CN"/>
        </w:rPr>
      </w:pPr>
      <w:r>
        <w:rPr>
          <w:rFonts w:hint="eastAsia"/>
          <w:lang w:val="en-US" w:eastAsia="zh-CN"/>
        </w:rPr>
        <w:t>4-5 437</w:t>
      </w:r>
    </w:p>
    <w:p w14:paraId="53FF9979">
      <w:pPr>
        <w:bidi w:val="0"/>
        <w:rPr>
          <w:rFonts w:hint="eastAsia"/>
          <w:lang w:val="en-US" w:eastAsia="zh-CN"/>
        </w:rPr>
      </w:pPr>
    </w:p>
    <w:p w14:paraId="2A314D51">
      <w:pPr>
        <w:bidi w:val="0"/>
        <w:rPr>
          <w:rFonts w:hint="eastAsia"/>
          <w:lang w:val="en-US" w:eastAsia="zh-CN"/>
        </w:rPr>
      </w:pPr>
      <w:r>
        <w:rPr>
          <w:rFonts w:hint="eastAsia"/>
          <w:lang w:val="en-US" w:eastAsia="zh-CN"/>
        </w:rPr>
        <w:t>5:1f 157-158</w:t>
      </w:r>
    </w:p>
    <w:p w14:paraId="389C6FD0">
      <w:pPr>
        <w:bidi w:val="0"/>
        <w:rPr>
          <w:rFonts w:hint="eastAsia"/>
          <w:lang w:val="en-US" w:eastAsia="zh-CN"/>
        </w:rPr>
      </w:pPr>
    </w:p>
    <w:p w14:paraId="0FABD36A">
      <w:pPr>
        <w:bidi w:val="0"/>
        <w:rPr>
          <w:rFonts w:hint="eastAsia"/>
          <w:lang w:val="en-US" w:eastAsia="zh-CN"/>
        </w:rPr>
      </w:pPr>
      <w:r>
        <w:rPr>
          <w:rFonts w:hint="eastAsia"/>
          <w:lang w:val="en-US" w:eastAsia="zh-CN"/>
        </w:rPr>
        <w:t>5:1f 157-158</w:t>
      </w:r>
    </w:p>
    <w:p w14:paraId="7B1C2A99">
      <w:pPr>
        <w:bidi w:val="0"/>
        <w:rPr>
          <w:rFonts w:hint="eastAsia"/>
          <w:lang w:val="en-US" w:eastAsia="zh-CN"/>
        </w:rPr>
      </w:pPr>
    </w:p>
    <w:p w14:paraId="381705AA">
      <w:pPr>
        <w:bidi w:val="0"/>
        <w:rPr>
          <w:rFonts w:hint="eastAsia"/>
          <w:lang w:val="en-US" w:eastAsia="zh-CN"/>
        </w:rPr>
      </w:pPr>
      <w:r>
        <w:rPr>
          <w:rFonts w:hint="eastAsia"/>
          <w:lang w:val="en-US" w:eastAsia="zh-CN"/>
        </w:rPr>
        <w:t>6:1f 442</w:t>
      </w:r>
    </w:p>
    <w:p w14:paraId="149FF1D1">
      <w:pPr>
        <w:bidi w:val="0"/>
        <w:rPr>
          <w:rFonts w:hint="eastAsia"/>
          <w:lang w:val="en-US" w:eastAsia="zh-CN"/>
        </w:rPr>
      </w:pPr>
    </w:p>
    <w:p w14:paraId="41BB6AA3">
      <w:pPr>
        <w:bidi w:val="0"/>
        <w:rPr>
          <w:rFonts w:hint="eastAsia"/>
          <w:lang w:val="en-US" w:eastAsia="zh-CN"/>
        </w:rPr>
      </w:pPr>
      <w:r>
        <w:rPr>
          <w:rFonts w:hint="eastAsia"/>
          <w:lang w:val="en-US" w:eastAsia="zh-CN"/>
        </w:rPr>
        <w:t>6:1f 442</w:t>
      </w:r>
    </w:p>
    <w:p w14:paraId="2FDAE572">
      <w:pPr>
        <w:bidi w:val="0"/>
        <w:rPr>
          <w:rFonts w:hint="eastAsia"/>
          <w:lang w:val="en-US" w:eastAsia="zh-CN"/>
        </w:rPr>
      </w:pPr>
    </w:p>
    <w:p w14:paraId="31E59D19">
      <w:pPr>
        <w:bidi w:val="0"/>
        <w:rPr>
          <w:rFonts w:hint="eastAsia"/>
          <w:lang w:val="en-US" w:eastAsia="zh-CN"/>
        </w:rPr>
      </w:pPr>
      <w:r>
        <w:rPr>
          <w:rFonts w:hint="eastAsia"/>
          <w:lang w:val="en-US" w:eastAsia="zh-CN"/>
        </w:rPr>
        <w:t>7:1f 443</w:t>
      </w:r>
    </w:p>
    <w:p w14:paraId="034F65CD">
      <w:pPr>
        <w:bidi w:val="0"/>
        <w:rPr>
          <w:rFonts w:hint="eastAsia"/>
          <w:lang w:val="en-US" w:eastAsia="zh-CN"/>
        </w:rPr>
      </w:pPr>
    </w:p>
    <w:p w14:paraId="1AF2AC4D">
      <w:pPr>
        <w:bidi w:val="0"/>
        <w:rPr>
          <w:rFonts w:hint="eastAsia"/>
          <w:lang w:val="en-US" w:eastAsia="zh-CN"/>
        </w:rPr>
      </w:pPr>
      <w:r>
        <w:rPr>
          <w:rFonts w:hint="eastAsia"/>
          <w:lang w:val="en-US" w:eastAsia="zh-CN"/>
        </w:rPr>
        <w:t>7:1f 443</w:t>
      </w:r>
    </w:p>
    <w:p w14:paraId="514375F7">
      <w:pPr>
        <w:bidi w:val="0"/>
        <w:rPr>
          <w:rFonts w:hint="eastAsia"/>
          <w:lang w:val="en-US" w:eastAsia="zh-CN"/>
        </w:rPr>
      </w:pPr>
    </w:p>
    <w:p w14:paraId="12883187">
      <w:pPr>
        <w:bidi w:val="0"/>
        <w:rPr>
          <w:rFonts w:hint="eastAsia"/>
          <w:lang w:val="en-US" w:eastAsia="zh-CN"/>
        </w:rPr>
      </w:pPr>
      <w:r>
        <w:rPr>
          <w:rFonts w:hint="eastAsia"/>
          <w:lang w:val="en-US" w:eastAsia="zh-CN"/>
        </w:rPr>
        <w:t>7:4-8 694</w:t>
      </w:r>
    </w:p>
    <w:p w14:paraId="0DB7B384">
      <w:pPr>
        <w:bidi w:val="0"/>
        <w:rPr>
          <w:rFonts w:hint="eastAsia"/>
          <w:lang w:val="en-US" w:eastAsia="zh-CN"/>
        </w:rPr>
      </w:pPr>
    </w:p>
    <w:p w14:paraId="62FE9A70">
      <w:pPr>
        <w:bidi w:val="0"/>
        <w:rPr>
          <w:rFonts w:hint="eastAsia"/>
          <w:lang w:val="en-US" w:eastAsia="zh-CN"/>
        </w:rPr>
      </w:pPr>
      <w:r>
        <w:rPr>
          <w:rFonts w:hint="eastAsia"/>
          <w:lang w:val="en-US" w:eastAsia="zh-CN"/>
        </w:rPr>
        <w:t>7:4-8 694</w:t>
      </w:r>
    </w:p>
    <w:p w14:paraId="251A2C80">
      <w:pPr>
        <w:bidi w:val="0"/>
        <w:rPr>
          <w:rFonts w:hint="eastAsia"/>
          <w:lang w:val="en-US" w:eastAsia="zh-CN"/>
        </w:rPr>
      </w:pPr>
    </w:p>
    <w:p w14:paraId="16F0E84D">
      <w:pPr>
        <w:bidi w:val="0"/>
        <w:rPr>
          <w:rFonts w:hint="eastAsia"/>
          <w:lang w:val="en-US" w:eastAsia="zh-CN"/>
        </w:rPr>
      </w:pPr>
      <w:r>
        <w:rPr>
          <w:rFonts w:hint="eastAsia"/>
          <w:lang w:val="en-US" w:eastAsia="zh-CN"/>
        </w:rPr>
        <w:t>8-11 444</w:t>
      </w:r>
    </w:p>
    <w:p w14:paraId="2CAA4A59">
      <w:pPr>
        <w:bidi w:val="0"/>
        <w:rPr>
          <w:rFonts w:hint="eastAsia"/>
          <w:lang w:val="en-US" w:eastAsia="zh-CN"/>
        </w:rPr>
      </w:pPr>
    </w:p>
    <w:p w14:paraId="7F55D7ED">
      <w:pPr>
        <w:bidi w:val="0"/>
        <w:rPr>
          <w:rFonts w:hint="eastAsia"/>
          <w:lang w:val="en-US" w:eastAsia="zh-CN"/>
        </w:rPr>
      </w:pPr>
      <w:r>
        <w:rPr>
          <w:rFonts w:hint="eastAsia"/>
          <w:lang w:val="en-US" w:eastAsia="zh-CN"/>
        </w:rPr>
        <w:t>8-11 444</w:t>
      </w:r>
    </w:p>
    <w:p w14:paraId="09C010F0">
      <w:pPr>
        <w:bidi w:val="0"/>
        <w:rPr>
          <w:rFonts w:hint="eastAsia"/>
          <w:lang w:val="en-US" w:eastAsia="zh-CN"/>
        </w:rPr>
      </w:pPr>
    </w:p>
    <w:p w14:paraId="5CB56902">
      <w:pPr>
        <w:bidi w:val="0"/>
        <w:rPr>
          <w:rFonts w:hint="eastAsia"/>
          <w:lang w:val="en-US" w:eastAsia="zh-CN"/>
        </w:rPr>
      </w:pPr>
      <w:r>
        <w:rPr>
          <w:rFonts w:hint="eastAsia"/>
          <w:lang w:val="en-US" w:eastAsia="zh-CN"/>
        </w:rPr>
        <w:t>9:1-2 xx</w:t>
      </w:r>
    </w:p>
    <w:p w14:paraId="168667A3">
      <w:pPr>
        <w:bidi w:val="0"/>
        <w:rPr>
          <w:rFonts w:hint="eastAsia"/>
          <w:lang w:val="en-US" w:eastAsia="zh-CN"/>
        </w:rPr>
      </w:pPr>
    </w:p>
    <w:p w14:paraId="24E091D5">
      <w:pPr>
        <w:bidi w:val="0"/>
        <w:rPr>
          <w:rFonts w:hint="eastAsia"/>
          <w:lang w:val="en-US" w:eastAsia="zh-CN"/>
        </w:rPr>
      </w:pPr>
      <w:r>
        <w:rPr>
          <w:rFonts w:hint="eastAsia"/>
          <w:lang w:val="en-US" w:eastAsia="zh-CN"/>
        </w:rPr>
        <w:t>9:1-2 xx</w:t>
      </w:r>
    </w:p>
    <w:p w14:paraId="72EAAF25">
      <w:pPr>
        <w:bidi w:val="0"/>
        <w:rPr>
          <w:rFonts w:hint="eastAsia"/>
          <w:lang w:val="en-US" w:eastAsia="zh-CN"/>
        </w:rPr>
      </w:pPr>
    </w:p>
    <w:p w14:paraId="768CD8CC">
      <w:pPr>
        <w:bidi w:val="0"/>
        <w:rPr>
          <w:rFonts w:hint="eastAsia"/>
          <w:lang w:val="en-US" w:eastAsia="zh-CN"/>
        </w:rPr>
      </w:pPr>
      <w:r>
        <w:rPr>
          <w:rFonts w:hint="eastAsia"/>
          <w:lang w:val="en-US" w:eastAsia="zh-CN"/>
        </w:rPr>
        <w:t>11:3-6 429</w:t>
      </w:r>
    </w:p>
    <w:p w14:paraId="53976B76">
      <w:pPr>
        <w:bidi w:val="0"/>
        <w:rPr>
          <w:rFonts w:hint="eastAsia"/>
          <w:lang w:val="en-US" w:eastAsia="zh-CN"/>
        </w:rPr>
      </w:pPr>
    </w:p>
    <w:p w14:paraId="3226197D">
      <w:pPr>
        <w:bidi w:val="0"/>
        <w:rPr>
          <w:rFonts w:hint="eastAsia"/>
          <w:lang w:val="en-US" w:eastAsia="zh-CN"/>
        </w:rPr>
      </w:pPr>
      <w:r>
        <w:rPr>
          <w:rFonts w:hint="eastAsia"/>
          <w:lang w:val="en-US" w:eastAsia="zh-CN"/>
        </w:rPr>
        <w:t>11:3-6 429</w:t>
      </w:r>
    </w:p>
    <w:p w14:paraId="0B453568">
      <w:pPr>
        <w:bidi w:val="0"/>
        <w:rPr>
          <w:rFonts w:hint="eastAsia"/>
          <w:lang w:val="en-US" w:eastAsia="zh-CN"/>
        </w:rPr>
      </w:pPr>
    </w:p>
    <w:p w14:paraId="6F04D3EB">
      <w:pPr>
        <w:bidi w:val="0"/>
        <w:rPr>
          <w:rFonts w:hint="eastAsia"/>
          <w:lang w:val="en-US" w:eastAsia="zh-CN"/>
        </w:rPr>
      </w:pPr>
      <w:r>
        <w:rPr>
          <w:rFonts w:hint="eastAsia"/>
          <w:lang w:val="en-US" w:eastAsia="zh-CN"/>
        </w:rPr>
        <w:t>11:7-13 430</w:t>
      </w:r>
    </w:p>
    <w:p w14:paraId="6CEE8721">
      <w:pPr>
        <w:bidi w:val="0"/>
        <w:rPr>
          <w:rFonts w:hint="eastAsia"/>
          <w:lang w:val="en-US" w:eastAsia="zh-CN"/>
        </w:rPr>
      </w:pPr>
    </w:p>
    <w:p w14:paraId="7548E336">
      <w:pPr>
        <w:bidi w:val="0"/>
        <w:rPr>
          <w:rFonts w:hint="eastAsia"/>
          <w:lang w:val="en-US" w:eastAsia="zh-CN"/>
        </w:rPr>
      </w:pPr>
      <w:r>
        <w:rPr>
          <w:rFonts w:hint="eastAsia"/>
          <w:lang w:val="en-US" w:eastAsia="zh-CN"/>
        </w:rPr>
        <w:t>11:7-13 430</w:t>
      </w:r>
    </w:p>
    <w:p w14:paraId="50071FF5">
      <w:pPr>
        <w:bidi w:val="0"/>
        <w:rPr>
          <w:rFonts w:hint="eastAsia"/>
          <w:lang w:val="en-US" w:eastAsia="zh-CN"/>
        </w:rPr>
      </w:pPr>
    </w:p>
    <w:p w14:paraId="19C1D4BF">
      <w:pPr>
        <w:bidi w:val="0"/>
        <w:rPr>
          <w:rFonts w:hint="eastAsia"/>
          <w:lang w:val="en-US" w:eastAsia="zh-CN"/>
        </w:rPr>
      </w:pPr>
      <w:r>
        <w:rPr>
          <w:rFonts w:hint="eastAsia"/>
          <w:lang w:val="en-US" w:eastAsia="zh-CN"/>
        </w:rPr>
        <w:t>12-14 449</w:t>
      </w:r>
    </w:p>
    <w:p w14:paraId="32AC211B">
      <w:pPr>
        <w:bidi w:val="0"/>
        <w:rPr>
          <w:rFonts w:hint="eastAsia"/>
          <w:lang w:val="en-US" w:eastAsia="zh-CN"/>
        </w:rPr>
      </w:pPr>
    </w:p>
    <w:p w14:paraId="3BD605FE">
      <w:pPr>
        <w:bidi w:val="0"/>
        <w:rPr>
          <w:rFonts w:hint="eastAsia"/>
          <w:lang w:val="en-US" w:eastAsia="zh-CN"/>
        </w:rPr>
      </w:pPr>
      <w:r>
        <w:rPr>
          <w:rFonts w:hint="eastAsia"/>
          <w:lang w:val="en-US" w:eastAsia="zh-CN"/>
        </w:rPr>
        <w:t>12-14 449</w:t>
      </w:r>
    </w:p>
    <w:p w14:paraId="7F6ACBCA">
      <w:pPr>
        <w:bidi w:val="0"/>
        <w:rPr>
          <w:rFonts w:hint="eastAsia"/>
          <w:lang w:val="en-US" w:eastAsia="zh-CN"/>
        </w:rPr>
      </w:pPr>
    </w:p>
    <w:p w14:paraId="5802F89F">
      <w:pPr>
        <w:bidi w:val="0"/>
        <w:rPr>
          <w:rFonts w:hint="eastAsia"/>
          <w:lang w:val="en-US" w:eastAsia="zh-CN"/>
        </w:rPr>
      </w:pPr>
      <w:r>
        <w:rPr>
          <w:rFonts w:hint="eastAsia"/>
          <w:lang w:val="en-US" w:eastAsia="zh-CN"/>
        </w:rPr>
        <w:t>12:1f 161-2, 411</w:t>
      </w:r>
    </w:p>
    <w:p w14:paraId="35099C77">
      <w:pPr>
        <w:bidi w:val="0"/>
        <w:rPr>
          <w:rFonts w:hint="eastAsia"/>
          <w:lang w:val="en-US" w:eastAsia="zh-CN"/>
        </w:rPr>
      </w:pPr>
    </w:p>
    <w:p w14:paraId="6C5D00A0">
      <w:pPr>
        <w:bidi w:val="0"/>
        <w:rPr>
          <w:rFonts w:hint="eastAsia"/>
          <w:lang w:val="en-US" w:eastAsia="zh-CN"/>
        </w:rPr>
      </w:pPr>
      <w:r>
        <w:rPr>
          <w:rFonts w:hint="eastAsia"/>
          <w:lang w:val="en-US" w:eastAsia="zh-CN"/>
        </w:rPr>
        <w:t>12:1f 161-2, 411</w:t>
      </w:r>
    </w:p>
    <w:p w14:paraId="5656A3F7">
      <w:pPr>
        <w:bidi w:val="0"/>
        <w:rPr>
          <w:rFonts w:hint="eastAsia"/>
          <w:lang w:val="en-US" w:eastAsia="zh-CN"/>
        </w:rPr>
      </w:pPr>
    </w:p>
    <w:p w14:paraId="1229F62D">
      <w:pPr>
        <w:bidi w:val="0"/>
        <w:rPr>
          <w:rFonts w:hint="eastAsia"/>
          <w:lang w:val="en-US" w:eastAsia="zh-CN"/>
        </w:rPr>
      </w:pPr>
      <w:r>
        <w:rPr>
          <w:rFonts w:hint="eastAsia"/>
          <w:lang w:val="en-US" w:eastAsia="zh-CN"/>
        </w:rPr>
        <w:t>12:9 413</w:t>
      </w:r>
    </w:p>
    <w:p w14:paraId="26D24D53">
      <w:pPr>
        <w:bidi w:val="0"/>
        <w:rPr>
          <w:rFonts w:hint="eastAsia"/>
          <w:lang w:val="en-US" w:eastAsia="zh-CN"/>
        </w:rPr>
      </w:pPr>
    </w:p>
    <w:p w14:paraId="77A03466">
      <w:pPr>
        <w:bidi w:val="0"/>
        <w:rPr>
          <w:rFonts w:hint="eastAsia"/>
          <w:lang w:val="en-US" w:eastAsia="zh-CN"/>
        </w:rPr>
      </w:pPr>
      <w:r>
        <w:rPr>
          <w:rFonts w:hint="eastAsia"/>
          <w:lang w:val="en-US" w:eastAsia="zh-CN"/>
        </w:rPr>
        <w:t>12:9 413</w:t>
      </w:r>
    </w:p>
    <w:p w14:paraId="042695F1">
      <w:pPr>
        <w:bidi w:val="0"/>
        <w:rPr>
          <w:rFonts w:hint="eastAsia"/>
          <w:lang w:val="en-US" w:eastAsia="zh-CN"/>
        </w:rPr>
      </w:pPr>
    </w:p>
    <w:p w14:paraId="053F4891">
      <w:pPr>
        <w:bidi w:val="0"/>
        <w:rPr>
          <w:rFonts w:hint="eastAsia"/>
          <w:lang w:val="en-US" w:eastAsia="zh-CN"/>
        </w:rPr>
      </w:pPr>
      <w:r>
        <w:rPr>
          <w:rFonts w:hint="eastAsia"/>
          <w:lang w:val="en-US" w:eastAsia="zh-CN"/>
        </w:rPr>
        <w:t>13:1f 429</w:t>
      </w:r>
    </w:p>
    <w:p w14:paraId="3EA9FF98">
      <w:pPr>
        <w:bidi w:val="0"/>
        <w:rPr>
          <w:rFonts w:hint="eastAsia"/>
          <w:lang w:val="en-US" w:eastAsia="zh-CN"/>
        </w:rPr>
      </w:pPr>
    </w:p>
    <w:p w14:paraId="195ED6C6">
      <w:pPr>
        <w:bidi w:val="0"/>
        <w:rPr>
          <w:rFonts w:hint="eastAsia"/>
          <w:lang w:val="en-US" w:eastAsia="zh-CN"/>
        </w:rPr>
      </w:pPr>
      <w:r>
        <w:rPr>
          <w:rFonts w:hint="eastAsia"/>
          <w:lang w:val="en-US" w:eastAsia="zh-CN"/>
        </w:rPr>
        <w:t>13:1f 429</w:t>
      </w:r>
    </w:p>
    <w:p w14:paraId="201EBEDA">
      <w:pPr>
        <w:bidi w:val="0"/>
        <w:rPr>
          <w:rFonts w:hint="eastAsia"/>
          <w:lang w:val="en-US" w:eastAsia="zh-CN"/>
        </w:rPr>
      </w:pPr>
    </w:p>
    <w:p w14:paraId="1BEE1C1A">
      <w:pPr>
        <w:bidi w:val="0"/>
        <w:rPr>
          <w:rFonts w:hint="eastAsia"/>
          <w:lang w:val="en-US" w:eastAsia="zh-CN"/>
        </w:rPr>
      </w:pPr>
      <w:r>
        <w:rPr>
          <w:rFonts w:hint="eastAsia"/>
          <w:lang w:val="en-US" w:eastAsia="zh-CN"/>
        </w:rPr>
        <w:t>13:1-4 413</w:t>
      </w:r>
    </w:p>
    <w:p w14:paraId="76C6A8D9">
      <w:pPr>
        <w:bidi w:val="0"/>
        <w:rPr>
          <w:rFonts w:hint="eastAsia"/>
          <w:lang w:val="en-US" w:eastAsia="zh-CN"/>
        </w:rPr>
      </w:pPr>
    </w:p>
    <w:p w14:paraId="46B97C7D">
      <w:pPr>
        <w:bidi w:val="0"/>
        <w:rPr>
          <w:rFonts w:hint="eastAsia"/>
          <w:lang w:val="en-US" w:eastAsia="zh-CN"/>
        </w:rPr>
      </w:pPr>
      <w:r>
        <w:rPr>
          <w:rFonts w:hint="eastAsia"/>
          <w:lang w:val="en-US" w:eastAsia="zh-CN"/>
        </w:rPr>
        <w:t>13:1-4 413</w:t>
      </w:r>
    </w:p>
    <w:p w14:paraId="3572464B">
      <w:pPr>
        <w:bidi w:val="0"/>
        <w:rPr>
          <w:rFonts w:hint="eastAsia"/>
          <w:lang w:val="en-US" w:eastAsia="zh-CN"/>
        </w:rPr>
      </w:pPr>
    </w:p>
    <w:p w14:paraId="6699B19A">
      <w:pPr>
        <w:bidi w:val="0"/>
        <w:rPr>
          <w:rFonts w:hint="eastAsia"/>
          <w:lang w:val="en-US" w:eastAsia="zh-CN"/>
        </w:rPr>
      </w:pPr>
      <w:r>
        <w:rPr>
          <w:rFonts w:hint="eastAsia"/>
          <w:lang w:val="en-US" w:eastAsia="zh-CN"/>
        </w:rPr>
        <w:t>13:11-18 414</w:t>
      </w:r>
    </w:p>
    <w:p w14:paraId="646530C2">
      <w:pPr>
        <w:bidi w:val="0"/>
        <w:rPr>
          <w:rFonts w:hint="eastAsia"/>
          <w:lang w:val="en-US" w:eastAsia="zh-CN"/>
        </w:rPr>
      </w:pPr>
    </w:p>
    <w:p w14:paraId="5C60E4D9">
      <w:pPr>
        <w:bidi w:val="0"/>
        <w:rPr>
          <w:rFonts w:hint="eastAsia"/>
          <w:lang w:val="en-US" w:eastAsia="zh-CN"/>
        </w:rPr>
      </w:pPr>
      <w:r>
        <w:rPr>
          <w:rFonts w:hint="eastAsia"/>
          <w:lang w:val="en-US" w:eastAsia="zh-CN"/>
        </w:rPr>
        <w:t>13:11-18 414</w:t>
      </w:r>
    </w:p>
    <w:p w14:paraId="6D98C7CA">
      <w:pPr>
        <w:bidi w:val="0"/>
        <w:rPr>
          <w:rFonts w:hint="eastAsia"/>
          <w:lang w:val="en-US" w:eastAsia="zh-CN"/>
        </w:rPr>
      </w:pPr>
    </w:p>
    <w:p w14:paraId="30B80CCB">
      <w:pPr>
        <w:bidi w:val="0"/>
        <w:rPr>
          <w:rFonts w:hint="eastAsia"/>
          <w:lang w:val="en-US" w:eastAsia="zh-CN"/>
        </w:rPr>
      </w:pPr>
      <w:r>
        <w:rPr>
          <w:rFonts w:hint="eastAsia"/>
          <w:lang w:val="en-US" w:eastAsia="zh-CN"/>
        </w:rPr>
        <w:t>15-16 454</w:t>
      </w:r>
    </w:p>
    <w:p w14:paraId="08599CC2">
      <w:pPr>
        <w:bidi w:val="0"/>
        <w:rPr>
          <w:rFonts w:hint="eastAsia"/>
          <w:lang w:val="en-US" w:eastAsia="zh-CN"/>
        </w:rPr>
      </w:pPr>
    </w:p>
    <w:p w14:paraId="4DF5A4A5">
      <w:pPr>
        <w:bidi w:val="0"/>
        <w:rPr>
          <w:rFonts w:hint="eastAsia"/>
          <w:lang w:val="en-US" w:eastAsia="zh-CN"/>
        </w:rPr>
      </w:pPr>
      <w:r>
        <w:rPr>
          <w:rFonts w:hint="eastAsia"/>
          <w:lang w:val="en-US" w:eastAsia="zh-CN"/>
        </w:rPr>
        <w:t>15-16 454</w:t>
      </w:r>
    </w:p>
    <w:p w14:paraId="1AA94CD4">
      <w:pPr>
        <w:bidi w:val="0"/>
        <w:rPr>
          <w:rFonts w:hint="eastAsia"/>
          <w:lang w:val="en-US" w:eastAsia="zh-CN"/>
        </w:rPr>
      </w:pPr>
    </w:p>
    <w:p w14:paraId="251BE681">
      <w:pPr>
        <w:bidi w:val="0"/>
        <w:rPr>
          <w:rFonts w:hint="eastAsia"/>
          <w:lang w:val="en-US" w:eastAsia="zh-CN"/>
        </w:rPr>
      </w:pPr>
      <w:r>
        <w:rPr>
          <w:rFonts w:hint="eastAsia"/>
          <w:lang w:val="en-US" w:eastAsia="zh-CN"/>
        </w:rPr>
        <w:t>17-19 458</w:t>
      </w:r>
    </w:p>
    <w:p w14:paraId="7E1EC9BF">
      <w:pPr>
        <w:bidi w:val="0"/>
        <w:rPr>
          <w:rFonts w:hint="eastAsia"/>
          <w:lang w:val="en-US" w:eastAsia="zh-CN"/>
        </w:rPr>
      </w:pPr>
    </w:p>
    <w:p w14:paraId="5C102CC1">
      <w:pPr>
        <w:bidi w:val="0"/>
        <w:rPr>
          <w:rFonts w:hint="eastAsia"/>
          <w:lang w:val="en-US" w:eastAsia="zh-CN"/>
        </w:rPr>
      </w:pPr>
      <w:r>
        <w:rPr>
          <w:rFonts w:hint="eastAsia"/>
          <w:lang w:val="en-US" w:eastAsia="zh-CN"/>
        </w:rPr>
        <w:t>17-19 458</w:t>
      </w:r>
    </w:p>
    <w:p w14:paraId="3977B565">
      <w:pPr>
        <w:bidi w:val="0"/>
        <w:rPr>
          <w:rFonts w:hint="eastAsia"/>
          <w:lang w:val="en-US" w:eastAsia="zh-CN"/>
        </w:rPr>
      </w:pPr>
    </w:p>
    <w:p w14:paraId="577EEB62">
      <w:pPr>
        <w:bidi w:val="0"/>
        <w:rPr>
          <w:rFonts w:hint="eastAsia"/>
          <w:lang w:val="en-US" w:eastAsia="zh-CN"/>
        </w:rPr>
      </w:pPr>
      <w:r>
        <w:rPr>
          <w:rFonts w:hint="eastAsia"/>
          <w:lang w:val="en-US" w:eastAsia="zh-CN"/>
        </w:rPr>
        <w:t>17:1f 415</w:t>
      </w:r>
    </w:p>
    <w:p w14:paraId="3975C1C1">
      <w:pPr>
        <w:bidi w:val="0"/>
        <w:rPr>
          <w:rFonts w:hint="eastAsia"/>
          <w:lang w:val="en-US" w:eastAsia="zh-CN"/>
        </w:rPr>
      </w:pPr>
    </w:p>
    <w:p w14:paraId="0EF6FAA7">
      <w:pPr>
        <w:bidi w:val="0"/>
        <w:rPr>
          <w:rFonts w:hint="eastAsia"/>
          <w:lang w:val="en-US" w:eastAsia="zh-CN"/>
        </w:rPr>
      </w:pPr>
      <w:r>
        <w:rPr>
          <w:rFonts w:hint="eastAsia"/>
          <w:lang w:val="en-US" w:eastAsia="zh-CN"/>
        </w:rPr>
        <w:t>17:1f 415</w:t>
      </w:r>
    </w:p>
    <w:p w14:paraId="741EF90E">
      <w:pPr>
        <w:bidi w:val="0"/>
        <w:rPr>
          <w:rFonts w:hint="eastAsia"/>
          <w:lang w:val="en-US" w:eastAsia="zh-CN"/>
        </w:rPr>
      </w:pPr>
    </w:p>
    <w:p w14:paraId="4C798E13">
      <w:pPr>
        <w:bidi w:val="0"/>
        <w:rPr>
          <w:rFonts w:hint="eastAsia"/>
          <w:lang w:val="en-US" w:eastAsia="zh-CN"/>
        </w:rPr>
      </w:pPr>
      <w:r>
        <w:rPr>
          <w:rFonts w:hint="eastAsia"/>
          <w:lang w:val="en-US" w:eastAsia="zh-CN"/>
        </w:rPr>
        <w:t>19:11-21 596</w:t>
      </w:r>
    </w:p>
    <w:p w14:paraId="0A5D887C">
      <w:pPr>
        <w:bidi w:val="0"/>
        <w:rPr>
          <w:rFonts w:hint="eastAsia"/>
          <w:lang w:val="en-US" w:eastAsia="zh-CN"/>
        </w:rPr>
      </w:pPr>
    </w:p>
    <w:p w14:paraId="133A1D62">
      <w:pPr>
        <w:bidi w:val="0"/>
        <w:rPr>
          <w:rFonts w:hint="eastAsia"/>
          <w:lang w:val="en-US" w:eastAsia="zh-CN"/>
        </w:rPr>
      </w:pPr>
      <w:r>
        <w:rPr>
          <w:rFonts w:hint="eastAsia"/>
          <w:lang w:val="en-US" w:eastAsia="zh-CN"/>
        </w:rPr>
        <w:t>19:11-21 596</w:t>
      </w:r>
    </w:p>
    <w:p w14:paraId="6810F7CA">
      <w:pPr>
        <w:bidi w:val="0"/>
        <w:rPr>
          <w:rFonts w:hint="eastAsia"/>
          <w:lang w:val="en-US" w:eastAsia="zh-CN"/>
        </w:rPr>
      </w:pPr>
    </w:p>
    <w:p w14:paraId="447F3F8F">
      <w:pPr>
        <w:bidi w:val="0"/>
        <w:rPr>
          <w:rFonts w:hint="eastAsia"/>
          <w:lang w:val="en-US" w:eastAsia="zh-CN"/>
        </w:rPr>
      </w:pPr>
      <w:r>
        <w:rPr>
          <w:rFonts w:hint="eastAsia"/>
          <w:lang w:val="en-US" w:eastAsia="zh-CN"/>
        </w:rPr>
        <w:t>20:1-3 16, 466, 686</w:t>
      </w:r>
    </w:p>
    <w:p w14:paraId="27006D9E">
      <w:pPr>
        <w:bidi w:val="0"/>
        <w:rPr>
          <w:rFonts w:hint="eastAsia"/>
          <w:lang w:val="en-US" w:eastAsia="zh-CN"/>
        </w:rPr>
      </w:pPr>
    </w:p>
    <w:p w14:paraId="088D2561">
      <w:pPr>
        <w:bidi w:val="0"/>
        <w:rPr>
          <w:rFonts w:hint="eastAsia"/>
          <w:lang w:val="en-US" w:eastAsia="zh-CN"/>
        </w:rPr>
      </w:pPr>
      <w:r>
        <w:rPr>
          <w:rFonts w:hint="eastAsia"/>
          <w:lang w:val="en-US" w:eastAsia="zh-CN"/>
        </w:rPr>
        <w:t>20:1-3 16, 466, 686</w:t>
      </w:r>
    </w:p>
    <w:p w14:paraId="4BE2025D">
      <w:pPr>
        <w:bidi w:val="0"/>
        <w:rPr>
          <w:rFonts w:hint="eastAsia"/>
          <w:lang w:val="en-US" w:eastAsia="zh-CN"/>
        </w:rPr>
      </w:pPr>
    </w:p>
    <w:p w14:paraId="1E328D17">
      <w:pPr>
        <w:bidi w:val="0"/>
        <w:rPr>
          <w:rFonts w:hint="eastAsia"/>
          <w:lang w:val="en-US" w:eastAsia="zh-CN"/>
        </w:rPr>
      </w:pPr>
      <w:r>
        <w:rPr>
          <w:rFonts w:hint="eastAsia"/>
          <w:lang w:val="en-US" w:eastAsia="zh-CN"/>
        </w:rPr>
        <w:t>20:4-6 16, 353, 475, 686</w:t>
      </w:r>
    </w:p>
    <w:p w14:paraId="391FD0C1">
      <w:pPr>
        <w:bidi w:val="0"/>
        <w:rPr>
          <w:rFonts w:hint="eastAsia"/>
          <w:lang w:val="en-US" w:eastAsia="zh-CN"/>
        </w:rPr>
      </w:pPr>
    </w:p>
    <w:p w14:paraId="6614664C">
      <w:pPr>
        <w:bidi w:val="0"/>
        <w:rPr>
          <w:rFonts w:hint="eastAsia"/>
          <w:lang w:val="en-US" w:eastAsia="zh-CN"/>
        </w:rPr>
      </w:pPr>
      <w:r>
        <w:rPr>
          <w:rFonts w:hint="eastAsia"/>
          <w:lang w:val="en-US" w:eastAsia="zh-CN"/>
        </w:rPr>
        <w:t>20:4-6 16, 353, 475, 686</w:t>
      </w:r>
    </w:p>
    <w:p w14:paraId="03EEB336">
      <w:pPr>
        <w:bidi w:val="0"/>
        <w:rPr>
          <w:rFonts w:hint="eastAsia"/>
          <w:lang w:val="en-US" w:eastAsia="zh-CN"/>
        </w:rPr>
      </w:pPr>
    </w:p>
    <w:p w14:paraId="7A897DCD">
      <w:pPr>
        <w:bidi w:val="0"/>
        <w:rPr>
          <w:rFonts w:hint="eastAsia"/>
          <w:lang w:val="en-US" w:eastAsia="zh-CN"/>
        </w:rPr>
      </w:pPr>
      <w:r>
        <w:rPr>
          <w:rFonts w:hint="eastAsia"/>
          <w:lang w:val="en-US" w:eastAsia="zh-CN"/>
        </w:rPr>
        <w:t>20:7-10 485, 686</w:t>
      </w:r>
    </w:p>
    <w:p w14:paraId="3673AA3E">
      <w:pPr>
        <w:bidi w:val="0"/>
        <w:rPr>
          <w:rFonts w:hint="eastAsia"/>
          <w:lang w:val="en-US" w:eastAsia="zh-CN"/>
        </w:rPr>
      </w:pPr>
    </w:p>
    <w:p w14:paraId="77519711">
      <w:pPr>
        <w:bidi w:val="0"/>
        <w:rPr>
          <w:rFonts w:hint="eastAsia"/>
          <w:lang w:val="en-US" w:eastAsia="zh-CN"/>
        </w:rPr>
      </w:pPr>
      <w:r>
        <w:rPr>
          <w:rFonts w:hint="eastAsia"/>
          <w:lang w:val="en-US" w:eastAsia="zh-CN"/>
        </w:rPr>
        <w:t>20:7-10 485, 686</w:t>
      </w:r>
    </w:p>
    <w:p w14:paraId="1E677994">
      <w:pPr>
        <w:bidi w:val="0"/>
        <w:rPr>
          <w:rFonts w:hint="eastAsia"/>
          <w:lang w:val="en-US" w:eastAsia="zh-CN"/>
        </w:rPr>
      </w:pPr>
    </w:p>
    <w:p w14:paraId="5B40C760">
      <w:pPr>
        <w:bidi w:val="0"/>
        <w:rPr>
          <w:rFonts w:hint="eastAsia"/>
          <w:lang w:val="en-US" w:eastAsia="zh-CN"/>
        </w:rPr>
      </w:pPr>
      <w:r>
        <w:rPr>
          <w:rFonts w:hint="eastAsia"/>
          <w:lang w:val="en-US" w:eastAsia="zh-CN"/>
        </w:rPr>
        <w:t>20:11-14 491</w:t>
      </w:r>
    </w:p>
    <w:p w14:paraId="30A82165">
      <w:pPr>
        <w:bidi w:val="0"/>
        <w:rPr>
          <w:rFonts w:hint="eastAsia"/>
          <w:lang w:val="en-US" w:eastAsia="zh-CN"/>
        </w:rPr>
      </w:pPr>
    </w:p>
    <w:p w14:paraId="4913FB0A">
      <w:pPr>
        <w:bidi w:val="0"/>
        <w:rPr>
          <w:rFonts w:hint="eastAsia"/>
          <w:lang w:val="en-US" w:eastAsia="zh-CN"/>
        </w:rPr>
      </w:pPr>
      <w:r>
        <w:rPr>
          <w:rFonts w:hint="eastAsia"/>
          <w:lang w:val="en-US" w:eastAsia="zh-CN"/>
        </w:rPr>
        <w:t>20:11-14 491</w:t>
      </w:r>
    </w:p>
    <w:p w14:paraId="6C6782BF">
      <w:pPr>
        <w:bidi w:val="0"/>
        <w:rPr>
          <w:rFonts w:hint="eastAsia"/>
          <w:lang w:val="en-US" w:eastAsia="zh-CN"/>
        </w:rPr>
      </w:pPr>
    </w:p>
    <w:p w14:paraId="13DC462F">
      <w:pPr>
        <w:bidi w:val="0"/>
        <w:rPr>
          <w:rFonts w:hint="eastAsia"/>
          <w:lang w:val="en-US" w:eastAsia="zh-CN"/>
        </w:rPr>
      </w:pPr>
      <w:r>
        <w:rPr>
          <w:rFonts w:hint="eastAsia"/>
          <w:lang w:val="en-US" w:eastAsia="zh-CN"/>
        </w:rPr>
        <w:t>21-22 353</w:t>
      </w:r>
    </w:p>
    <w:p w14:paraId="6A58562C">
      <w:pPr>
        <w:bidi w:val="0"/>
        <w:rPr>
          <w:rFonts w:hint="eastAsia"/>
          <w:lang w:val="en-US" w:eastAsia="zh-CN"/>
        </w:rPr>
      </w:pPr>
    </w:p>
    <w:p w14:paraId="6AD476BC">
      <w:pPr>
        <w:bidi w:val="0"/>
        <w:rPr>
          <w:rFonts w:hint="eastAsia"/>
          <w:lang w:val="en-US" w:eastAsia="zh-CN"/>
        </w:rPr>
      </w:pPr>
      <w:r>
        <w:rPr>
          <w:rFonts w:hint="eastAsia"/>
          <w:lang w:val="en-US" w:eastAsia="zh-CN"/>
        </w:rPr>
        <w:t>21-22 353</w:t>
      </w:r>
    </w:p>
    <w:p w14:paraId="5ED3D072">
      <w:pPr>
        <w:bidi w:val="0"/>
        <w:rPr>
          <w:rFonts w:hint="eastAsia"/>
          <w:lang w:val="en-US" w:eastAsia="zh-CN"/>
        </w:rPr>
      </w:pPr>
    </w:p>
    <w:p w14:paraId="0DFCF666">
      <w:pPr>
        <w:bidi w:val="0"/>
        <w:rPr>
          <w:rFonts w:hint="eastAsia"/>
          <w:lang w:val="en-US" w:eastAsia="zh-CN"/>
        </w:rPr>
      </w:pPr>
      <w:r>
        <w:rPr>
          <w:rFonts w:hint="eastAsia"/>
          <w:lang w:val="en-US" w:eastAsia="zh-CN"/>
        </w:rPr>
        <w:t>21:1-8 498</w:t>
      </w:r>
    </w:p>
    <w:p w14:paraId="23B36966">
      <w:pPr>
        <w:bidi w:val="0"/>
        <w:rPr>
          <w:rFonts w:hint="eastAsia"/>
          <w:lang w:val="en-US" w:eastAsia="zh-CN"/>
        </w:rPr>
      </w:pPr>
    </w:p>
    <w:p w14:paraId="0849DB91">
      <w:pPr>
        <w:bidi w:val="0"/>
        <w:rPr>
          <w:rFonts w:hint="eastAsia"/>
          <w:lang w:val="en-US" w:eastAsia="zh-CN"/>
        </w:rPr>
      </w:pPr>
      <w:r>
        <w:rPr>
          <w:rFonts w:hint="eastAsia"/>
          <w:lang w:val="en-US" w:eastAsia="zh-CN"/>
        </w:rPr>
        <w:t>21:1-8 498</w:t>
      </w:r>
    </w:p>
    <w:p w14:paraId="09DA5032">
      <w:pPr>
        <w:bidi w:val="0"/>
        <w:rPr>
          <w:rFonts w:hint="eastAsia"/>
          <w:lang w:val="en-US" w:eastAsia="zh-CN"/>
        </w:rPr>
      </w:pPr>
    </w:p>
    <w:p w14:paraId="3601E6B0">
      <w:pPr>
        <w:bidi w:val="0"/>
        <w:rPr>
          <w:rFonts w:hint="eastAsia"/>
          <w:lang w:val="en-US" w:eastAsia="zh-CN"/>
        </w:rPr>
      </w:pPr>
      <w:r>
        <w:rPr>
          <w:rFonts w:hint="eastAsia"/>
          <w:lang w:val="en-US" w:eastAsia="zh-CN"/>
        </w:rPr>
        <w:t>21:9-22:5 499</w:t>
      </w:r>
    </w:p>
    <w:p w14:paraId="20E5DEED">
      <w:pPr>
        <w:bidi w:val="0"/>
        <w:rPr>
          <w:rFonts w:hint="eastAsia"/>
          <w:lang w:val="en-US" w:eastAsia="zh-CN"/>
        </w:rPr>
      </w:pPr>
    </w:p>
    <w:p w14:paraId="70D52236">
      <w:pPr>
        <w:bidi w:val="0"/>
        <w:rPr>
          <w:rFonts w:hint="eastAsia"/>
          <w:lang w:val="en-US" w:eastAsia="zh-CN"/>
        </w:rPr>
      </w:pPr>
      <w:r>
        <w:rPr>
          <w:rFonts w:hint="eastAsia"/>
          <w:lang w:val="en-US" w:eastAsia="zh-CN"/>
        </w:rPr>
        <w:t>21:9-22:5 499</w:t>
      </w:r>
    </w:p>
    <w:p w14:paraId="2D5C0FFF">
      <w:pPr>
        <w:bidi w:val="0"/>
        <w:rPr>
          <w:rFonts w:hint="eastAsia"/>
          <w:lang w:val="en-US" w:eastAsia="zh-CN"/>
        </w:rPr>
      </w:pPr>
    </w:p>
    <w:p w14:paraId="0B349F2A">
      <w:pPr>
        <w:bidi w:val="0"/>
        <w:rPr>
          <w:rFonts w:hint="eastAsia"/>
          <w:lang w:val="en-US" w:eastAsia="zh-CN"/>
        </w:rPr>
      </w:pPr>
      <w:r>
        <w:rPr>
          <w:rFonts w:hint="eastAsia"/>
          <w:lang w:val="en-US" w:eastAsia="zh-CN"/>
        </w:rPr>
        <w:t>22:6-21 500</w:t>
      </w:r>
    </w:p>
    <w:p w14:paraId="72AED18B">
      <w:pPr>
        <w:bidi w:val="0"/>
        <w:rPr>
          <w:rFonts w:hint="eastAsia"/>
          <w:lang w:val="en-US" w:eastAsia="zh-CN"/>
        </w:rPr>
      </w:pPr>
    </w:p>
    <w:p w14:paraId="2706FCF2">
      <w:pPr>
        <w:bidi w:val="0"/>
        <w:rPr>
          <w:rFonts w:hint="eastAsia"/>
          <w:lang w:val="en-US" w:eastAsia="zh-CN"/>
        </w:rPr>
        <w:sectPr>
          <w:pgSz w:w="12240" w:h="15840"/>
          <w:pgMar w:top="1480" w:right="1440" w:bottom="280" w:left="1440" w:header="720" w:footer="720" w:gutter="0"/>
          <w:cols w:space="720" w:num="1"/>
        </w:sectPr>
      </w:pPr>
      <w:r>
        <w:rPr>
          <w:rFonts w:hint="eastAsia"/>
          <w:lang w:val="en-US" w:eastAsia="zh-CN"/>
        </w:rPr>
        <w:t>22:6-21 500</w:t>
      </w:r>
    </w:p>
    <w:p w14:paraId="5EA94B61">
      <w:pPr>
        <w:pStyle w:val="9"/>
        <w:spacing w:before="0"/>
        <w:ind w:left="0"/>
        <w:jc w:val="left"/>
        <w:rPr>
          <w:sz w:val="17"/>
        </w:rPr>
      </w:pPr>
      <w:bookmarkStart w:id="83" w:name="_bookmark370"/>
      <w:bookmarkEnd w:id="83"/>
      <w:bookmarkStart w:id="84" w:name="Scripture Index"/>
      <w:bookmarkEnd w:id="84"/>
      <w:bookmarkStart w:id="85" w:name="Select Bibliography"/>
      <w:bookmarkEnd w:id="85"/>
      <w:bookmarkStart w:id="86" w:name="_bookmark371"/>
      <w:bookmarkEnd w:id="86"/>
    </w:p>
    <w:p w14:paraId="5690818B">
      <w:pPr>
        <w:pStyle w:val="2"/>
        <w:bidi w:val="0"/>
        <w:rPr>
          <w:rFonts w:hint="default"/>
          <w:lang w:val="en-US" w:eastAsia="en-US"/>
        </w:rPr>
      </w:pPr>
      <w:r>
        <w:rPr>
          <w:rFonts w:hint="default"/>
          <w:lang w:val="en-US" w:eastAsia="en-US"/>
        </w:rPr>
        <w:t>Select Bibliography</w:t>
      </w:r>
    </w:p>
    <w:p w14:paraId="3DCFCAF4">
      <w:pPr>
        <w:pStyle w:val="2"/>
        <w:bidi w:val="0"/>
        <w:rPr>
          <w:rFonts w:hint="default"/>
          <w:lang w:val="en-US" w:eastAsia="en-US"/>
        </w:rPr>
      </w:pPr>
      <w:r>
        <w:rPr>
          <w:rFonts w:hint="default"/>
          <w:lang w:val="en-US" w:eastAsia="en-US"/>
        </w:rPr>
        <w:t>精选书目</w:t>
      </w:r>
    </w:p>
    <w:p w14:paraId="3FEB9946">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56D31C2">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w:t>
      </w:r>
      <w:r>
        <w:rPr>
          <w:rFonts w:hint="default" w:ascii="Times New Roman" w:hAnsi="Times New Roman" w:eastAsia="Times New Roman" w:cs="Times New Roman"/>
          <w:b w:val="0"/>
          <w:bCs w:val="0"/>
          <w:i w:val="0"/>
          <w:iCs w:val="0"/>
          <w:color w:val="231F20"/>
          <w:spacing w:val="0"/>
          <w:w w:val="100"/>
          <w:sz w:val="30"/>
          <w:szCs w:val="30"/>
          <w:lang w:val="en-US" w:eastAsia="en-US" w:bidi="ar-SA"/>
        </w:rPr>
        <w:tab/>
      </w:r>
      <w:r>
        <w:rPr>
          <w:rFonts w:hint="default" w:ascii="Times New Roman" w:hAnsi="Times New Roman" w:eastAsia="Times New Roman" w:cs="Times New Roman"/>
          <w:b w:val="0"/>
          <w:bCs w:val="0"/>
          <w:i w:val="0"/>
          <w:iCs w:val="0"/>
          <w:color w:val="231F20"/>
          <w:spacing w:val="0"/>
          <w:w w:val="100"/>
          <w:sz w:val="30"/>
          <w:szCs w:val="30"/>
          <w:lang w:val="en-US" w:eastAsia="en-US" w:bidi="ar-SA"/>
        </w:rPr>
        <w:t>Allis, O. T., Prophecy and the Church (Presbyterian and Reformed, 1977)</w:t>
      </w:r>
    </w:p>
    <w:p w14:paraId="25E47C69">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CD70851">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w:t>
      </w:r>
      <w:r>
        <w:rPr>
          <w:rFonts w:hint="default" w:ascii="Times New Roman" w:hAnsi="Times New Roman" w:eastAsia="Times New Roman" w:cs="Times New Roman"/>
          <w:b w:val="0"/>
          <w:bCs w:val="0"/>
          <w:i w:val="0"/>
          <w:iCs w:val="0"/>
          <w:color w:val="231F20"/>
          <w:spacing w:val="0"/>
          <w:w w:val="100"/>
          <w:sz w:val="30"/>
          <w:szCs w:val="30"/>
          <w:lang w:val="en-US" w:eastAsia="en-US" w:bidi="ar-SA"/>
        </w:rPr>
        <w:tab/>
      </w:r>
      <w:r>
        <w:rPr>
          <w:rFonts w:hint="default" w:ascii="Times New Roman" w:hAnsi="Times New Roman" w:eastAsia="Times New Roman" w:cs="Times New Roman"/>
          <w:b w:val="0"/>
          <w:bCs w:val="0"/>
          <w:i w:val="0"/>
          <w:iCs w:val="0"/>
          <w:color w:val="231F20"/>
          <w:spacing w:val="0"/>
          <w:w w:val="100"/>
          <w:sz w:val="30"/>
          <w:szCs w:val="30"/>
          <w:lang w:val="en-US" w:eastAsia="en-US" w:bidi="ar-SA"/>
        </w:rPr>
        <w:t>Allis, O. T., 《预言与教会》（Presbyterian and Reformed出版社，1977年）</w:t>
      </w:r>
    </w:p>
    <w:p w14:paraId="2CD63D48">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F9D4D2F">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2.Bavinck, H., The Last Things (Baker, 1996)</w:t>
      </w:r>
    </w:p>
    <w:p w14:paraId="38EB02FA">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CB13BB6">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2.Bavinck, H., 《末后之事》（Baker出版社，1996年）</w:t>
      </w:r>
    </w:p>
    <w:p w14:paraId="52594D19">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A5B6764">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3.Biederwolf, W., The Millennium Bible * (Glad Tidings, 1924)</w:t>
      </w:r>
    </w:p>
    <w:p w14:paraId="4F644764">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A610F7C">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3.Biederwolf, W., 《千禧年圣经》*（Glad Tidings出版社，1924年）</w:t>
      </w:r>
    </w:p>
    <w:p w14:paraId="19EA1915">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8D59811">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4.Duguid, I., NIV Application Commentary: Ezekiel * (Zondervan, 1999)</w:t>
      </w:r>
    </w:p>
    <w:p w14:paraId="1ABD859E">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77ABEE8">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4.Duguid, I., 《NIV应用注释：以西结书》*（Zondervan出版社，1999年）</w:t>
      </w:r>
    </w:p>
    <w:p w14:paraId="6D68C78F">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8EFB237">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w:t>
      </w:r>
      <w:r>
        <w:rPr>
          <w:rFonts w:hint="default" w:ascii="Times New Roman" w:hAnsi="Times New Roman" w:eastAsia="Times New Roman" w:cs="Times New Roman"/>
          <w:b w:val="0"/>
          <w:bCs w:val="0"/>
          <w:i w:val="0"/>
          <w:iCs w:val="0"/>
          <w:color w:val="231F20"/>
          <w:spacing w:val="0"/>
          <w:w w:val="100"/>
          <w:sz w:val="30"/>
          <w:szCs w:val="30"/>
          <w:lang w:val="en-US" w:eastAsia="en-US" w:bidi="ar-SA"/>
        </w:rPr>
        <w:tab/>
      </w:r>
      <w:r>
        <w:rPr>
          <w:rFonts w:hint="default" w:ascii="Times New Roman" w:hAnsi="Times New Roman" w:eastAsia="Times New Roman" w:cs="Times New Roman"/>
          <w:b w:val="0"/>
          <w:bCs w:val="0"/>
          <w:i w:val="0"/>
          <w:iCs w:val="0"/>
          <w:color w:val="231F20"/>
          <w:spacing w:val="0"/>
          <w:w w:val="100"/>
          <w:sz w:val="30"/>
          <w:szCs w:val="30"/>
          <w:lang w:val="en-US" w:eastAsia="en-US" w:bidi="ar-SA"/>
        </w:rPr>
        <w:t>———, Reformed Expository Commentary: Daniel (Presbyterian and Reformed, 2008)</w:t>
      </w:r>
    </w:p>
    <w:p w14:paraId="6F4342DD">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BEE0A57">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5.</w:t>
      </w:r>
      <w:r>
        <w:rPr>
          <w:rFonts w:hint="default" w:ascii="Times New Roman" w:hAnsi="Times New Roman" w:eastAsia="Times New Roman" w:cs="Times New Roman"/>
          <w:b w:val="0"/>
          <w:bCs w:val="0"/>
          <w:i w:val="0"/>
          <w:iCs w:val="0"/>
          <w:color w:val="231F20"/>
          <w:spacing w:val="0"/>
          <w:w w:val="100"/>
          <w:sz w:val="30"/>
          <w:szCs w:val="30"/>
          <w:lang w:val="en-US" w:eastAsia="en-US" w:bidi="ar-SA"/>
        </w:rPr>
        <w:tab/>
      </w:r>
      <w:r>
        <w:rPr>
          <w:rFonts w:hint="default" w:ascii="Times New Roman" w:hAnsi="Times New Roman" w:eastAsia="Times New Roman" w:cs="Times New Roman"/>
          <w:b w:val="0"/>
          <w:bCs w:val="0"/>
          <w:i w:val="0"/>
          <w:iCs w:val="0"/>
          <w:color w:val="231F20"/>
          <w:spacing w:val="0"/>
          <w:w w:val="100"/>
          <w:sz w:val="30"/>
          <w:szCs w:val="30"/>
          <w:lang w:val="en-US" w:eastAsia="en-US" w:bidi="ar-SA"/>
        </w:rPr>
        <w:t>———, 《改革宗教会解经注释：但以理书》（Presbyterian and Reformed出版社，2008年）</w:t>
      </w:r>
    </w:p>
    <w:p w14:paraId="46681373">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08EB633">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6.Grenz, S., The Millennial Maze * (IVP, 1992)</w:t>
      </w:r>
    </w:p>
    <w:p w14:paraId="47E43C9C">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27A4EDB">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6.Grenz, S., 《千禧年迷宫》*（IVP出版社，1992年）</w:t>
      </w:r>
    </w:p>
    <w:p w14:paraId="6428383D">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6A91D34">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7.Grudem, W., Systematic Theology (Zondervan, 1994)</w:t>
      </w:r>
    </w:p>
    <w:p w14:paraId="3A02BA1C">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966CDA4">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7.Grudem, W., 《系统神学》（Zondervan出版社，1994年）</w:t>
      </w:r>
    </w:p>
    <w:p w14:paraId="6D8CFECB">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A3F9F33">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8.Hendriksen, Wm., More Than Conquerors * (Baker, 1940)</w:t>
      </w:r>
    </w:p>
    <w:p w14:paraId="1A1F111A">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35B124C">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8.Hendriksen, Wm., 《得胜有余》*（Baker出版社，1940年）</w:t>
      </w:r>
    </w:p>
    <w:p w14:paraId="5F78FABB">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8A105AF">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9.Hoekema, A., The Bible and the Future * (Eerdmans, 1979)</w:t>
      </w:r>
    </w:p>
    <w:p w14:paraId="3341C672">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5A1713E">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9.Hoekema, A., 《圣经与未来》*（Eerdmans出版社，1979年）</w:t>
      </w:r>
    </w:p>
    <w:p w14:paraId="6DD1722A">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27FD5E7">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10.Ice, T. and Denny, T., The Return (Kregel, 1999)</w:t>
      </w:r>
    </w:p>
    <w:p w14:paraId="089E7B94">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46F963F">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10.Ice, T. and Denny, T., 《回归》（Kregel出版社，1999年）</w:t>
      </w:r>
    </w:p>
    <w:p w14:paraId="1A0F228E">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ACBAECA">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11.Johnson, D., The Triumph of the Lamb * (Presbyterian and Reformed, 2001)</w:t>
      </w:r>
    </w:p>
    <w:p w14:paraId="6D31D9C2">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BC984E8">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11.Johnson, D., 《羔羊的得胜》*（Presbyterian and Reformed出版社，2001年）</w:t>
      </w:r>
    </w:p>
    <w:p w14:paraId="5B7DA687">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926FA08">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12.La Haye, T., and Ice, T., The End Times Controversy (Harvest House, 2003)</w:t>
      </w:r>
    </w:p>
    <w:p w14:paraId="0D15B66E">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37E4708">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12.La Haye, T., and Ice, T., 《末世争议》（Harvest House出版社，2003年）</w:t>
      </w:r>
    </w:p>
    <w:p w14:paraId="2656C2F5">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3B6FC9E">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13.La Rondelle, H. K., The Israel of God in Prophecy * (Andrews University Press, 1983)</w:t>
      </w:r>
    </w:p>
    <w:p w14:paraId="3D0FFC5C">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F295BBD">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13.La Rondelle, H. K., 《预言中神的以色列》*（Andrews University Press出版社，1983年）</w:t>
      </w:r>
    </w:p>
    <w:p w14:paraId="2A06CB87">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F1B729E">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14.Ladd, G., A Commentary on the Revelation (Eerdmans, 1972)</w:t>
      </w:r>
    </w:p>
    <w:p w14:paraId="29F6FFEB">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8975FA0">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14.Ladd, G., 《启示录注释》（Eerdmans出版社，1972年）</w:t>
      </w:r>
    </w:p>
    <w:p w14:paraId="4F5C61FA">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BD7B91B">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15.———, A Theology of the New Testament* (Eerdmans, 1993)</w:t>
      </w:r>
    </w:p>
    <w:p w14:paraId="724F0A6F">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F1F0452">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15.———, 《新约神学》*（Eerdmans出版社，1993年）</w:t>
      </w:r>
    </w:p>
    <w:p w14:paraId="75B860BF">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04EE895">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16.Ladd, G., The Blessed Hope* (Eerdmans, 1956)</w:t>
      </w:r>
    </w:p>
    <w:p w14:paraId="4BC92A89">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77F99EE">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16.Ladd, G., 《有福的盼望》*（Eerdmans出版社，1956年）</w:t>
      </w:r>
    </w:p>
    <w:p w14:paraId="427A1523">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92F20EC">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17.Leith, J., Creeds of the Churches (John Knox, 1973)</w:t>
      </w:r>
    </w:p>
    <w:p w14:paraId="60C16E86">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75A4C39">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17.Leith, J., 《众教会信经》（John Knox出版社，1973年）</w:t>
      </w:r>
    </w:p>
    <w:p w14:paraId="301435D0">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CDBFD3F">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18.Pentecost, J. D., Things to Come (Dunham, 1958)</w:t>
      </w:r>
    </w:p>
    <w:p w14:paraId="3C75DAC0">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6D2B66C">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18.Pentecost, J. D., 《将来必成的事》（Dunham出版社，1958年）</w:t>
      </w:r>
    </w:p>
    <w:p w14:paraId="54DC6F4C">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468D970">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19.Phillips,</w:t>
      </w:r>
      <w:r>
        <w:rPr>
          <w:rFonts w:hint="default" w:ascii="Times New Roman" w:hAnsi="Times New Roman" w:eastAsia="Times New Roman" w:cs="Times New Roman"/>
          <w:b w:val="0"/>
          <w:bCs w:val="0"/>
          <w:i w:val="0"/>
          <w:iCs w:val="0"/>
          <w:color w:val="231F20"/>
          <w:spacing w:val="0"/>
          <w:w w:val="100"/>
          <w:sz w:val="30"/>
          <w:szCs w:val="30"/>
          <w:lang w:val="en-US" w:eastAsia="en-US" w:bidi="ar-SA"/>
        </w:rPr>
        <w:tab/>
      </w:r>
      <w:r>
        <w:rPr>
          <w:rFonts w:hint="default" w:ascii="Times New Roman" w:hAnsi="Times New Roman" w:eastAsia="Times New Roman" w:cs="Times New Roman"/>
          <w:b w:val="0"/>
          <w:bCs w:val="0"/>
          <w:i w:val="0"/>
          <w:iCs w:val="0"/>
          <w:color w:val="231F20"/>
          <w:spacing w:val="0"/>
          <w:w w:val="100"/>
          <w:sz w:val="30"/>
          <w:szCs w:val="30"/>
          <w:lang w:val="en-US" w:eastAsia="en-US" w:bidi="ar-SA"/>
        </w:rPr>
        <w:t>R.,</w:t>
      </w:r>
      <w:r>
        <w:rPr>
          <w:rFonts w:hint="default" w:ascii="Times New Roman" w:hAnsi="Times New Roman" w:eastAsia="Times New Roman" w:cs="Times New Roman"/>
          <w:b w:val="0"/>
          <w:bCs w:val="0"/>
          <w:i w:val="0"/>
          <w:iCs w:val="0"/>
          <w:color w:val="231F20"/>
          <w:spacing w:val="0"/>
          <w:w w:val="100"/>
          <w:sz w:val="30"/>
          <w:szCs w:val="30"/>
          <w:lang w:val="en-US" w:eastAsia="en-US" w:bidi="ar-SA"/>
        </w:rPr>
        <w:tab/>
      </w:r>
      <w:r>
        <w:rPr>
          <w:rFonts w:hint="default" w:ascii="Times New Roman" w:hAnsi="Times New Roman" w:eastAsia="Times New Roman" w:cs="Times New Roman"/>
          <w:b w:val="0"/>
          <w:bCs w:val="0"/>
          <w:i w:val="0"/>
          <w:iCs w:val="0"/>
          <w:color w:val="231F20"/>
          <w:spacing w:val="0"/>
          <w:w w:val="100"/>
          <w:sz w:val="30"/>
          <w:szCs w:val="30"/>
          <w:lang w:val="en-US" w:eastAsia="en-US" w:bidi="ar-SA"/>
        </w:rPr>
        <w:t>Reformed</w:t>
      </w:r>
      <w:r>
        <w:rPr>
          <w:rFonts w:hint="default" w:ascii="Times New Roman" w:hAnsi="Times New Roman" w:eastAsia="Times New Roman" w:cs="Times New Roman"/>
          <w:b w:val="0"/>
          <w:bCs w:val="0"/>
          <w:i w:val="0"/>
          <w:iCs w:val="0"/>
          <w:color w:val="231F20"/>
          <w:spacing w:val="0"/>
          <w:w w:val="100"/>
          <w:sz w:val="30"/>
          <w:szCs w:val="30"/>
          <w:lang w:val="en-US" w:eastAsia="en-US" w:bidi="ar-SA"/>
        </w:rPr>
        <w:tab/>
      </w:r>
      <w:r>
        <w:rPr>
          <w:rFonts w:hint="default" w:ascii="Times New Roman" w:hAnsi="Times New Roman" w:eastAsia="Times New Roman" w:cs="Times New Roman"/>
          <w:b w:val="0"/>
          <w:bCs w:val="0"/>
          <w:i w:val="0"/>
          <w:iCs w:val="0"/>
          <w:color w:val="231F20"/>
          <w:spacing w:val="0"/>
          <w:w w:val="100"/>
          <w:sz w:val="30"/>
          <w:szCs w:val="30"/>
          <w:lang w:val="en-US" w:eastAsia="en-US" w:bidi="ar-SA"/>
        </w:rPr>
        <w:t>Expository</w:t>
      </w:r>
      <w:r>
        <w:rPr>
          <w:rFonts w:hint="default" w:ascii="Times New Roman" w:hAnsi="Times New Roman" w:eastAsia="Times New Roman" w:cs="Times New Roman"/>
          <w:b w:val="0"/>
          <w:bCs w:val="0"/>
          <w:i w:val="0"/>
          <w:iCs w:val="0"/>
          <w:color w:val="231F20"/>
          <w:spacing w:val="0"/>
          <w:w w:val="100"/>
          <w:sz w:val="30"/>
          <w:szCs w:val="30"/>
          <w:lang w:val="en-US" w:eastAsia="en-US" w:bidi="ar-SA"/>
        </w:rPr>
        <w:tab/>
      </w:r>
      <w:r>
        <w:rPr>
          <w:rFonts w:hint="default" w:ascii="Times New Roman" w:hAnsi="Times New Roman" w:eastAsia="Times New Roman" w:cs="Times New Roman"/>
          <w:b w:val="0"/>
          <w:bCs w:val="0"/>
          <w:i w:val="0"/>
          <w:iCs w:val="0"/>
          <w:color w:val="231F20"/>
          <w:spacing w:val="0"/>
          <w:w w:val="100"/>
          <w:sz w:val="30"/>
          <w:szCs w:val="30"/>
          <w:lang w:val="en-US" w:eastAsia="en-US" w:bidi="ar-SA"/>
        </w:rPr>
        <w:t>Commentary:</w:t>
      </w:r>
      <w:r>
        <w:rPr>
          <w:rFonts w:hint="default" w:ascii="Times New Roman" w:hAnsi="Times New Roman" w:eastAsia="Times New Roman" w:cs="Times New Roman"/>
          <w:b w:val="0"/>
          <w:bCs w:val="0"/>
          <w:i w:val="0"/>
          <w:iCs w:val="0"/>
          <w:color w:val="231F20"/>
          <w:spacing w:val="0"/>
          <w:w w:val="100"/>
          <w:sz w:val="30"/>
          <w:szCs w:val="30"/>
          <w:lang w:val="en-US" w:eastAsia="en-US" w:bidi="ar-SA"/>
        </w:rPr>
        <w:tab/>
      </w:r>
      <w:r>
        <w:rPr>
          <w:rFonts w:hint="default" w:ascii="Times New Roman" w:hAnsi="Times New Roman" w:eastAsia="Times New Roman" w:cs="Times New Roman"/>
          <w:b w:val="0"/>
          <w:bCs w:val="0"/>
          <w:i w:val="0"/>
          <w:iCs w:val="0"/>
          <w:color w:val="231F20"/>
          <w:spacing w:val="0"/>
          <w:w w:val="100"/>
          <w:sz w:val="30"/>
          <w:szCs w:val="30"/>
          <w:lang w:val="en-US" w:eastAsia="en-US" w:bidi="ar-SA"/>
        </w:rPr>
        <w:t>Zechariah* (Presbyterian and Reformed, 2007)</w:t>
      </w:r>
    </w:p>
    <w:p w14:paraId="43E2C6A3">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F0CFF9B">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19.Phillips,</w:t>
      </w:r>
      <w:r>
        <w:rPr>
          <w:rFonts w:hint="default" w:ascii="Times New Roman" w:hAnsi="Times New Roman" w:eastAsia="Times New Roman" w:cs="Times New Roman"/>
          <w:b w:val="0"/>
          <w:bCs w:val="0"/>
          <w:i w:val="0"/>
          <w:iCs w:val="0"/>
          <w:color w:val="231F20"/>
          <w:spacing w:val="0"/>
          <w:w w:val="100"/>
          <w:sz w:val="30"/>
          <w:szCs w:val="30"/>
          <w:lang w:val="en-US" w:eastAsia="en-US" w:bidi="ar-SA"/>
        </w:rPr>
        <w:tab/>
      </w:r>
      <w:r>
        <w:rPr>
          <w:rFonts w:hint="default" w:ascii="Times New Roman" w:hAnsi="Times New Roman" w:eastAsia="Times New Roman" w:cs="Times New Roman"/>
          <w:b w:val="0"/>
          <w:bCs w:val="0"/>
          <w:i w:val="0"/>
          <w:iCs w:val="0"/>
          <w:color w:val="231F20"/>
          <w:spacing w:val="0"/>
          <w:w w:val="100"/>
          <w:sz w:val="30"/>
          <w:szCs w:val="30"/>
          <w:lang w:val="en-US" w:eastAsia="en-US" w:bidi="ar-SA"/>
        </w:rPr>
        <w:t>R.,</w:t>
      </w:r>
      <w:r>
        <w:rPr>
          <w:rFonts w:hint="default" w:ascii="Times New Roman" w:hAnsi="Times New Roman" w:eastAsia="Times New Roman" w:cs="Times New Roman"/>
          <w:b w:val="0"/>
          <w:bCs w:val="0"/>
          <w:i w:val="0"/>
          <w:iCs w:val="0"/>
          <w:color w:val="231F20"/>
          <w:spacing w:val="0"/>
          <w:w w:val="100"/>
          <w:sz w:val="30"/>
          <w:szCs w:val="30"/>
          <w:lang w:val="en-US" w:eastAsia="en-US" w:bidi="ar-SA"/>
        </w:rPr>
        <w:tab/>
      </w:r>
      <w:r>
        <w:rPr>
          <w:rFonts w:hint="default" w:ascii="Times New Roman" w:hAnsi="Times New Roman" w:eastAsia="Times New Roman" w:cs="Times New Roman"/>
          <w:b w:val="0"/>
          <w:bCs w:val="0"/>
          <w:i w:val="0"/>
          <w:iCs w:val="0"/>
          <w:color w:val="231F20"/>
          <w:spacing w:val="0"/>
          <w:w w:val="100"/>
          <w:sz w:val="30"/>
          <w:szCs w:val="30"/>
          <w:lang w:val="en-US" w:eastAsia="en-US" w:bidi="ar-SA"/>
        </w:rPr>
        <w:t>《改革宗教会解经注释：撒迦利亚书》*（Presbyterian and Reformed出版社，2007年）</w:t>
      </w:r>
    </w:p>
    <w:p w14:paraId="3326D65B">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9D1A5C7">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20.Ridderbos, H., Paul: An Outline of His Theology* (Eerdmans, 1975)</w:t>
      </w:r>
    </w:p>
    <w:p w14:paraId="7588E2C9">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62EF02B">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20.Ridderbos, H., 《保罗：其神学纲要》*（Eerdmans出版社，1975年）</w:t>
      </w:r>
    </w:p>
    <w:p w14:paraId="2E5EB46D">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BDE2FEC">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21.———, The Coming of the Kingdom (Presbyterian and Reformed, 1962)</w:t>
      </w:r>
    </w:p>
    <w:p w14:paraId="25262585">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83090C3">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21.———, 《国度的降临》（Presbyterian and Reformed出版社，1962年）</w:t>
      </w:r>
    </w:p>
    <w:p w14:paraId="5C07FFF2">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321BEF6">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22.Riddlebarger, K., A Case for Amillennialism* (Baker, 2003)</w:t>
      </w:r>
    </w:p>
    <w:p w14:paraId="222146F9">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86F9F07">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22.Riddlebarger, K., 《为无千禧年论辩护》*（Baker出版社，2003年）</w:t>
      </w:r>
    </w:p>
    <w:p w14:paraId="22F55B94">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D72E46D">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23.———, The Man of Sin (Baker, 2006).</w:t>
      </w:r>
    </w:p>
    <w:p w14:paraId="6F7435C4">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6D97270">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23.———, 《大罪人》（Baker出版社，2006年）。</w:t>
      </w:r>
    </w:p>
    <w:p w14:paraId="374397B3">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0F2C229">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24.Robertson, O. P., The Israel of God (Presbyterian and Reformed, 2000)</w:t>
      </w:r>
    </w:p>
    <w:p w14:paraId="7CA6DC97">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B31F8FB">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24.Robertson, O. P., 《神的以色列》（Presbyterian and Reformed出版社，2000年）</w:t>
      </w:r>
    </w:p>
    <w:p w14:paraId="00F115D0">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A1119C3">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25.Storms, Sam, Kingdom Come: The Amillennial Alternative (Christian Focus, 2013)</w:t>
      </w:r>
    </w:p>
    <w:p w14:paraId="6655195F">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704D4FF">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25.Storms, Sam, 《国度降临：无千禧年论的选择》（Christian Focus出版社，2013年）</w:t>
      </w:r>
    </w:p>
    <w:p w14:paraId="15067B95">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10C6C14">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26.The MacArthur Study Bible, NASB Large Print (Thomas Nelson, 1997)</w:t>
      </w:r>
    </w:p>
    <w:p w14:paraId="70A391D3">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2DD355B">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26.《麦克阿瑟研读本圣经》，新美国标准译本大字版（Thomas Nelson出版社，1997年）</w:t>
      </w:r>
    </w:p>
    <w:p w14:paraId="329EB3A4">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5D6697B">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27.The Reformation Study Bible, ESV (Ligonier Ministries, 2005)</w:t>
      </w:r>
    </w:p>
    <w:p w14:paraId="74EF9460">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2220909F">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27.《宗教改革研读本圣经》，英文标准译本（Ligonier Ministries出版社，2005年）</w:t>
      </w:r>
    </w:p>
    <w:p w14:paraId="45D639D1">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9C62047">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28.The Scofield Reference Bible (Oxford University Press, 1967)</w:t>
      </w:r>
    </w:p>
    <w:p w14:paraId="1FC1C08D">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3CD1A2B">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28.《司可福串注圣经》（Oxford University Press出版社，1967年）</w:t>
      </w:r>
    </w:p>
    <w:p w14:paraId="3070FED2">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D247A5E">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29.The New Bible Commentary, Revised (Wm. B. Eerdmans, 1970)</w:t>
      </w:r>
    </w:p>
    <w:p w14:paraId="74FD8042">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30DBA991">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29.《新圣经注释》，修订版（Wm. B. Eerdmans出版社，1970年）</w:t>
      </w:r>
    </w:p>
    <w:p w14:paraId="68B587A5">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FDDC33B">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30.Walvoord, J., The Millennial Kingdom (Dunham, 1959)</w:t>
      </w:r>
    </w:p>
    <w:p w14:paraId="1F08BBE3">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1B73AEC">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30.Walvoord, J., 《千禧年国度》（Dunham出版社，1959年）</w:t>
      </w:r>
    </w:p>
    <w:p w14:paraId="65681ACD">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CA0A559">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31.Wilmot, J., Inspired Principles of Prophetic Interpretation (Reiner, 1965)</w:t>
      </w:r>
    </w:p>
    <w:p w14:paraId="31A818CC">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B3FEFA3">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31.Wilmot, J., 《预言诠释的默示原则》（Reiner出版社，1965年）</w:t>
      </w:r>
    </w:p>
    <w:p w14:paraId="0EAC8AB5">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56D9DA16">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32.Wyngaarden, M., The Future of the Kingdom in Prophecy and Fulfillment (Baker, 1955)</w:t>
      </w:r>
    </w:p>
    <w:p w14:paraId="4FEB16EA">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7B57CAE9">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32.Wyngaarden, M., 《预言与应验中国度的未来》（Baker出版社，1955年）</w:t>
      </w:r>
    </w:p>
    <w:p w14:paraId="47E45279">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1915B8D1">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Note: I have placed an asterisk (*) beside the books that I found especially helpful.</w:t>
      </w:r>
    </w:p>
    <w:p w14:paraId="42D46D0E">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0331A1E3">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注：我在那些我发现特别有帮助的书籍旁加了星号（*）。</w:t>
      </w:r>
    </w:p>
    <w:p w14:paraId="3DE37085">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49655DBD">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To order additional copies of this book, please visit www.redemption-press.com or call toll free (844) 273-3336</w:t>
      </w:r>
    </w:p>
    <w:p w14:paraId="668CFDD2">
      <w:pPr>
        <w:spacing w:before="2"/>
        <w:ind w:left="2" w:right="2" w:firstLine="0"/>
        <w:jc w:val="center"/>
        <w:rPr>
          <w:rFonts w:hint="default" w:ascii="Times New Roman" w:hAnsi="Times New Roman" w:eastAsia="Times New Roman" w:cs="Times New Roman"/>
          <w:b w:val="0"/>
          <w:bCs w:val="0"/>
          <w:i w:val="0"/>
          <w:iCs w:val="0"/>
          <w:color w:val="231F20"/>
          <w:spacing w:val="0"/>
          <w:w w:val="100"/>
          <w:sz w:val="30"/>
          <w:szCs w:val="30"/>
          <w:lang w:val="en-US" w:eastAsia="en-US" w:bidi="ar-SA"/>
        </w:rPr>
      </w:pPr>
    </w:p>
    <w:p w14:paraId="6BEA2BD6">
      <w:pPr>
        <w:spacing w:before="2"/>
        <w:ind w:left="2" w:right="2" w:firstLine="0"/>
        <w:jc w:val="center"/>
        <w:rPr>
          <w:sz w:val="33"/>
        </w:rPr>
      </w:pPr>
      <w:r>
        <w:rPr>
          <w:rFonts w:hint="default" w:ascii="Times New Roman" w:hAnsi="Times New Roman" w:eastAsia="Times New Roman" w:cs="Times New Roman"/>
          <w:b w:val="0"/>
          <w:bCs w:val="0"/>
          <w:i w:val="0"/>
          <w:iCs w:val="0"/>
          <w:color w:val="231F20"/>
          <w:spacing w:val="0"/>
          <w:w w:val="100"/>
          <w:sz w:val="30"/>
          <w:szCs w:val="30"/>
          <w:lang w:val="en-US" w:eastAsia="en-US" w:bidi="ar-SA"/>
        </w:rPr>
        <w:t>如需订购更多本书，请访问 www.redemption-press.com 或拨打免费电话 (844) 273-3336</w:t>
      </w:r>
    </w:p>
    <w:p w14:paraId="26EB0CE8">
      <w:pPr>
        <w:pStyle w:val="9"/>
        <w:spacing w:before="3"/>
        <w:ind w:left="0"/>
        <w:jc w:val="left"/>
        <w:rPr>
          <w:sz w:val="11"/>
        </w:rPr>
      </w:pPr>
      <w:r>
        <w:rPr>
          <w:sz w:val="11"/>
        </w:rPr>
        <w:drawing>
          <wp:anchor distT="0" distB="0" distL="0" distR="0" simplePos="0" relativeHeight="251672576" behindDoc="1" locked="0" layoutInCell="1" allowOverlap="1">
            <wp:simplePos x="0" y="0"/>
            <wp:positionH relativeFrom="page">
              <wp:posOffset>2933065</wp:posOffset>
            </wp:positionH>
            <wp:positionV relativeFrom="paragraph">
              <wp:posOffset>97155</wp:posOffset>
            </wp:positionV>
            <wp:extent cx="1899920" cy="839470"/>
            <wp:effectExtent l="0" t="0" r="0" b="0"/>
            <wp:wrapTopAndBottom/>
            <wp:docPr id="143" name="Image 143"/>
            <wp:cNvGraphicFramePr/>
            <a:graphic xmlns:a="http://schemas.openxmlformats.org/drawingml/2006/main">
              <a:graphicData uri="http://schemas.openxmlformats.org/drawingml/2006/picture">
                <pic:pic xmlns:pic="http://schemas.openxmlformats.org/drawingml/2006/picture">
                  <pic:nvPicPr>
                    <pic:cNvPr id="143" name="Image 143"/>
                    <pic:cNvPicPr/>
                  </pic:nvPicPr>
                  <pic:blipFill>
                    <a:blip r:embed="rId64" cstate="print"/>
                    <a:stretch>
                      <a:fillRect/>
                    </a:stretch>
                  </pic:blipFill>
                  <pic:spPr>
                    <a:xfrm>
                      <a:off x="0" y="0"/>
                      <a:ext cx="1900237" cy="839724"/>
                    </a:xfrm>
                    <a:prstGeom prst="rect">
                      <a:avLst/>
                    </a:prstGeom>
                  </pic:spPr>
                </pic:pic>
              </a:graphicData>
            </a:graphic>
          </wp:anchor>
        </w:drawing>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AEB125"/>
    <w:multiLevelType w:val="multilevel"/>
    <w:tmpl w:val="8CAEB125"/>
    <w:lvl w:ilvl="0" w:tentative="0">
      <w:start w:val="8"/>
      <w:numFmt w:val="decimal"/>
      <w:lvlText w:val="%1."/>
      <w:lvlJc w:val="left"/>
      <w:pPr>
        <w:ind w:left="564" w:hanging="450"/>
        <w:jc w:val="left"/>
      </w:pPr>
      <w:rPr>
        <w:rFonts w:hint="default"/>
        <w:spacing w:val="0"/>
        <w:w w:val="100"/>
        <w:lang w:val="en-US" w:eastAsia="en-US" w:bidi="ar-SA"/>
      </w:rPr>
    </w:lvl>
    <w:lvl w:ilvl="1" w:tentative="0">
      <w:start w:val="0"/>
      <w:numFmt w:val="bullet"/>
      <w:lvlText w:val="•"/>
      <w:lvlJc w:val="left"/>
      <w:pPr>
        <w:ind w:left="1440" w:hanging="450"/>
      </w:pPr>
      <w:rPr>
        <w:rFonts w:hint="default"/>
        <w:lang w:val="en-US" w:eastAsia="en-US" w:bidi="ar-SA"/>
      </w:rPr>
    </w:lvl>
    <w:lvl w:ilvl="2" w:tentative="0">
      <w:start w:val="0"/>
      <w:numFmt w:val="bullet"/>
      <w:lvlText w:val="•"/>
      <w:lvlJc w:val="left"/>
      <w:pPr>
        <w:ind w:left="2320" w:hanging="450"/>
      </w:pPr>
      <w:rPr>
        <w:rFonts w:hint="default"/>
        <w:lang w:val="en-US" w:eastAsia="en-US" w:bidi="ar-SA"/>
      </w:rPr>
    </w:lvl>
    <w:lvl w:ilvl="3" w:tentative="0">
      <w:start w:val="0"/>
      <w:numFmt w:val="bullet"/>
      <w:lvlText w:val="•"/>
      <w:lvlJc w:val="left"/>
      <w:pPr>
        <w:ind w:left="3200" w:hanging="450"/>
      </w:pPr>
      <w:rPr>
        <w:rFonts w:hint="default"/>
        <w:lang w:val="en-US" w:eastAsia="en-US" w:bidi="ar-SA"/>
      </w:rPr>
    </w:lvl>
    <w:lvl w:ilvl="4" w:tentative="0">
      <w:start w:val="0"/>
      <w:numFmt w:val="bullet"/>
      <w:lvlText w:val="•"/>
      <w:lvlJc w:val="left"/>
      <w:pPr>
        <w:ind w:left="4080" w:hanging="450"/>
      </w:pPr>
      <w:rPr>
        <w:rFonts w:hint="default"/>
        <w:lang w:val="en-US" w:eastAsia="en-US" w:bidi="ar-SA"/>
      </w:rPr>
    </w:lvl>
    <w:lvl w:ilvl="5" w:tentative="0">
      <w:start w:val="0"/>
      <w:numFmt w:val="bullet"/>
      <w:lvlText w:val="•"/>
      <w:lvlJc w:val="left"/>
      <w:pPr>
        <w:ind w:left="4960" w:hanging="450"/>
      </w:pPr>
      <w:rPr>
        <w:rFonts w:hint="default"/>
        <w:lang w:val="en-US" w:eastAsia="en-US" w:bidi="ar-SA"/>
      </w:rPr>
    </w:lvl>
    <w:lvl w:ilvl="6" w:tentative="0">
      <w:start w:val="0"/>
      <w:numFmt w:val="bullet"/>
      <w:lvlText w:val="•"/>
      <w:lvlJc w:val="left"/>
      <w:pPr>
        <w:ind w:left="5840" w:hanging="450"/>
      </w:pPr>
      <w:rPr>
        <w:rFonts w:hint="default"/>
        <w:lang w:val="en-US" w:eastAsia="en-US" w:bidi="ar-SA"/>
      </w:rPr>
    </w:lvl>
    <w:lvl w:ilvl="7" w:tentative="0">
      <w:start w:val="0"/>
      <w:numFmt w:val="bullet"/>
      <w:lvlText w:val="•"/>
      <w:lvlJc w:val="left"/>
      <w:pPr>
        <w:ind w:left="6720" w:hanging="450"/>
      </w:pPr>
      <w:rPr>
        <w:rFonts w:hint="default"/>
        <w:lang w:val="en-US" w:eastAsia="en-US" w:bidi="ar-SA"/>
      </w:rPr>
    </w:lvl>
    <w:lvl w:ilvl="8" w:tentative="0">
      <w:start w:val="0"/>
      <w:numFmt w:val="bullet"/>
      <w:lvlText w:val="•"/>
      <w:lvlJc w:val="left"/>
      <w:pPr>
        <w:ind w:left="7600" w:hanging="450"/>
      </w:pPr>
      <w:rPr>
        <w:rFonts w:hint="default"/>
        <w:lang w:val="en-US" w:eastAsia="en-US" w:bidi="ar-SA"/>
      </w:rPr>
    </w:lvl>
  </w:abstractNum>
  <w:abstractNum w:abstractNumId="1">
    <w:nsid w:val="A0F05207"/>
    <w:multiLevelType w:val="multilevel"/>
    <w:tmpl w:val="A0F05207"/>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2">
    <w:nsid w:val="B23A94A9"/>
    <w:multiLevelType w:val="multilevel"/>
    <w:tmpl w:val="B23A94A9"/>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3">
    <w:nsid w:val="B53F3350"/>
    <w:multiLevelType w:val="multilevel"/>
    <w:tmpl w:val="B53F3350"/>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4">
    <w:nsid w:val="C0915F4F"/>
    <w:multiLevelType w:val="multilevel"/>
    <w:tmpl w:val="C0915F4F"/>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5">
    <w:nsid w:val="D7D140E4"/>
    <w:multiLevelType w:val="multilevel"/>
    <w:tmpl w:val="D7D140E4"/>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6">
    <w:nsid w:val="F0E89278"/>
    <w:multiLevelType w:val="multilevel"/>
    <w:tmpl w:val="F0E89278"/>
    <w:lvl w:ilvl="0" w:tentative="0">
      <w:start w:val="1"/>
      <w:numFmt w:val="decimal"/>
      <w:lvlText w:val="%1."/>
      <w:lvlJc w:val="left"/>
      <w:pPr>
        <w:ind w:left="519" w:hanging="405"/>
        <w:jc w:val="left"/>
      </w:pPr>
      <w:rPr>
        <w:rFonts w:hint="default"/>
        <w:spacing w:val="0"/>
        <w:w w:val="10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7">
    <w:nsid w:val="F689643B"/>
    <w:multiLevelType w:val="multilevel"/>
    <w:tmpl w:val="F689643B"/>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8">
    <w:nsid w:val="FEC2EA36"/>
    <w:multiLevelType w:val="multilevel"/>
    <w:tmpl w:val="FEC2EA36"/>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9">
    <w:nsid w:val="03A63A41"/>
    <w:multiLevelType w:val="multilevel"/>
    <w:tmpl w:val="03A63A41"/>
    <w:lvl w:ilvl="0" w:tentative="0">
      <w:start w:val="1"/>
      <w:numFmt w:val="decimal"/>
      <w:lvlText w:val="%1"/>
      <w:lvlJc w:val="left"/>
      <w:pPr>
        <w:ind w:left="339" w:hanging="225"/>
        <w:jc w:val="left"/>
      </w:pPr>
      <w:rPr>
        <w:rFonts w:hint="default" w:ascii="Times New Roman" w:hAnsi="Times New Roman" w:eastAsia="Times New Roman" w:cs="Times New Roman"/>
        <w:b/>
        <w:bCs/>
        <w:i/>
        <w:iCs/>
        <w:color w:val="231F20"/>
        <w:spacing w:val="0"/>
        <w:w w:val="100"/>
        <w:sz w:val="30"/>
        <w:szCs w:val="30"/>
        <w:lang w:val="en-US" w:eastAsia="en-US" w:bidi="ar-SA"/>
      </w:rPr>
    </w:lvl>
    <w:lvl w:ilvl="1" w:tentative="0">
      <w:start w:val="0"/>
      <w:numFmt w:val="bullet"/>
      <w:lvlText w:val="•"/>
      <w:lvlJc w:val="left"/>
      <w:pPr>
        <w:ind w:left="1242" w:hanging="225"/>
      </w:pPr>
      <w:rPr>
        <w:rFonts w:hint="default"/>
        <w:lang w:val="en-US" w:eastAsia="en-US" w:bidi="ar-SA"/>
      </w:rPr>
    </w:lvl>
    <w:lvl w:ilvl="2" w:tentative="0">
      <w:start w:val="0"/>
      <w:numFmt w:val="bullet"/>
      <w:lvlText w:val="•"/>
      <w:lvlJc w:val="left"/>
      <w:pPr>
        <w:ind w:left="2144" w:hanging="225"/>
      </w:pPr>
      <w:rPr>
        <w:rFonts w:hint="default"/>
        <w:lang w:val="en-US" w:eastAsia="en-US" w:bidi="ar-SA"/>
      </w:rPr>
    </w:lvl>
    <w:lvl w:ilvl="3" w:tentative="0">
      <w:start w:val="0"/>
      <w:numFmt w:val="bullet"/>
      <w:lvlText w:val="•"/>
      <w:lvlJc w:val="left"/>
      <w:pPr>
        <w:ind w:left="3046" w:hanging="225"/>
      </w:pPr>
      <w:rPr>
        <w:rFonts w:hint="default"/>
        <w:lang w:val="en-US" w:eastAsia="en-US" w:bidi="ar-SA"/>
      </w:rPr>
    </w:lvl>
    <w:lvl w:ilvl="4" w:tentative="0">
      <w:start w:val="0"/>
      <w:numFmt w:val="bullet"/>
      <w:lvlText w:val="•"/>
      <w:lvlJc w:val="left"/>
      <w:pPr>
        <w:ind w:left="3948" w:hanging="225"/>
      </w:pPr>
      <w:rPr>
        <w:rFonts w:hint="default"/>
        <w:lang w:val="en-US" w:eastAsia="en-US" w:bidi="ar-SA"/>
      </w:rPr>
    </w:lvl>
    <w:lvl w:ilvl="5" w:tentative="0">
      <w:start w:val="0"/>
      <w:numFmt w:val="bullet"/>
      <w:lvlText w:val="•"/>
      <w:lvlJc w:val="left"/>
      <w:pPr>
        <w:ind w:left="4850" w:hanging="225"/>
      </w:pPr>
      <w:rPr>
        <w:rFonts w:hint="default"/>
        <w:lang w:val="en-US" w:eastAsia="en-US" w:bidi="ar-SA"/>
      </w:rPr>
    </w:lvl>
    <w:lvl w:ilvl="6" w:tentative="0">
      <w:start w:val="0"/>
      <w:numFmt w:val="bullet"/>
      <w:lvlText w:val="•"/>
      <w:lvlJc w:val="left"/>
      <w:pPr>
        <w:ind w:left="5752" w:hanging="225"/>
      </w:pPr>
      <w:rPr>
        <w:rFonts w:hint="default"/>
        <w:lang w:val="en-US" w:eastAsia="en-US" w:bidi="ar-SA"/>
      </w:rPr>
    </w:lvl>
    <w:lvl w:ilvl="7" w:tentative="0">
      <w:start w:val="0"/>
      <w:numFmt w:val="bullet"/>
      <w:lvlText w:val="•"/>
      <w:lvlJc w:val="left"/>
      <w:pPr>
        <w:ind w:left="6654" w:hanging="225"/>
      </w:pPr>
      <w:rPr>
        <w:rFonts w:hint="default"/>
        <w:lang w:val="en-US" w:eastAsia="en-US" w:bidi="ar-SA"/>
      </w:rPr>
    </w:lvl>
    <w:lvl w:ilvl="8" w:tentative="0">
      <w:start w:val="0"/>
      <w:numFmt w:val="bullet"/>
      <w:lvlText w:val="•"/>
      <w:lvlJc w:val="left"/>
      <w:pPr>
        <w:ind w:left="7556" w:hanging="225"/>
      </w:pPr>
      <w:rPr>
        <w:rFonts w:hint="default"/>
        <w:lang w:val="en-US" w:eastAsia="en-US" w:bidi="ar-SA"/>
      </w:rPr>
    </w:lvl>
  </w:abstractNum>
  <w:abstractNum w:abstractNumId="10">
    <w:nsid w:val="0709FD3E"/>
    <w:multiLevelType w:val="multilevel"/>
    <w:tmpl w:val="0709FD3E"/>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11">
    <w:nsid w:val="0CEF100B"/>
    <w:multiLevelType w:val="multilevel"/>
    <w:tmpl w:val="0CEF100B"/>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12">
    <w:nsid w:val="0F9F9CCA"/>
    <w:multiLevelType w:val="multilevel"/>
    <w:tmpl w:val="0F9F9CCA"/>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13">
    <w:nsid w:val="12EADF99"/>
    <w:multiLevelType w:val="multilevel"/>
    <w:tmpl w:val="12EADF99"/>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14">
    <w:nsid w:val="18F74015"/>
    <w:multiLevelType w:val="multilevel"/>
    <w:tmpl w:val="18F74015"/>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15">
    <w:nsid w:val="1C257C7B"/>
    <w:multiLevelType w:val="multilevel"/>
    <w:tmpl w:val="1C257C7B"/>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16">
    <w:nsid w:val="23E97754"/>
    <w:multiLevelType w:val="multilevel"/>
    <w:tmpl w:val="23E97754"/>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17">
    <w:nsid w:val="30A0AC00"/>
    <w:multiLevelType w:val="multilevel"/>
    <w:tmpl w:val="30A0AC00"/>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18">
    <w:nsid w:val="32A7AF2D"/>
    <w:multiLevelType w:val="multilevel"/>
    <w:tmpl w:val="32A7AF2D"/>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19">
    <w:nsid w:val="35E83B33"/>
    <w:multiLevelType w:val="multilevel"/>
    <w:tmpl w:val="35E83B33"/>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20">
    <w:nsid w:val="3B8127DF"/>
    <w:multiLevelType w:val="multilevel"/>
    <w:tmpl w:val="3B8127DF"/>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21">
    <w:nsid w:val="3E9703CD"/>
    <w:multiLevelType w:val="singleLevel"/>
    <w:tmpl w:val="3E9703CD"/>
    <w:lvl w:ilvl="0" w:tentative="0">
      <w:start w:val="14"/>
      <w:numFmt w:val="decimal"/>
      <w:suff w:val="space"/>
      <w:lvlText w:val="%1."/>
      <w:lvlJc w:val="left"/>
    </w:lvl>
  </w:abstractNum>
  <w:abstractNum w:abstractNumId="22">
    <w:nsid w:val="40B249F9"/>
    <w:multiLevelType w:val="multilevel"/>
    <w:tmpl w:val="40B249F9"/>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23">
    <w:nsid w:val="5FFFB1A7"/>
    <w:multiLevelType w:val="multilevel"/>
    <w:tmpl w:val="5FFFB1A7"/>
    <w:lvl w:ilvl="0" w:tentative="0">
      <w:start w:val="11"/>
      <w:numFmt w:val="decimal"/>
      <w:lvlText w:val="%1."/>
      <w:lvlJc w:val="left"/>
      <w:pPr>
        <w:ind w:left="500" w:hanging="450"/>
        <w:jc w:val="left"/>
      </w:pPr>
      <w:rPr>
        <w:rFonts w:hint="default" w:ascii="Times New Roman" w:hAnsi="Times New Roman" w:eastAsia="Times New Roman" w:cs="Times New Roman"/>
        <w:b w:val="0"/>
        <w:bCs w:val="0"/>
        <w:i w:val="0"/>
        <w:iCs w:val="0"/>
        <w:color w:val="231F20"/>
        <w:spacing w:val="-12"/>
        <w:w w:val="100"/>
        <w:sz w:val="30"/>
        <w:szCs w:val="30"/>
        <w:lang w:val="en-US" w:eastAsia="en-US" w:bidi="ar-SA"/>
      </w:rPr>
    </w:lvl>
    <w:lvl w:ilvl="1" w:tentative="0">
      <w:start w:val="0"/>
      <w:numFmt w:val="bullet"/>
      <w:lvlText w:val="•"/>
      <w:lvlJc w:val="left"/>
      <w:pPr>
        <w:ind w:left="684" w:hanging="450"/>
      </w:pPr>
      <w:rPr>
        <w:rFonts w:hint="default"/>
        <w:lang w:val="en-US" w:eastAsia="en-US" w:bidi="ar-SA"/>
      </w:rPr>
    </w:lvl>
    <w:lvl w:ilvl="2" w:tentative="0">
      <w:start w:val="0"/>
      <w:numFmt w:val="bullet"/>
      <w:lvlText w:val="•"/>
      <w:lvlJc w:val="left"/>
      <w:pPr>
        <w:ind w:left="868" w:hanging="450"/>
      </w:pPr>
      <w:rPr>
        <w:rFonts w:hint="default"/>
        <w:lang w:val="en-US" w:eastAsia="en-US" w:bidi="ar-SA"/>
      </w:rPr>
    </w:lvl>
    <w:lvl w:ilvl="3" w:tentative="0">
      <w:start w:val="0"/>
      <w:numFmt w:val="bullet"/>
      <w:lvlText w:val="•"/>
      <w:lvlJc w:val="left"/>
      <w:pPr>
        <w:ind w:left="1053" w:hanging="450"/>
      </w:pPr>
      <w:rPr>
        <w:rFonts w:hint="default"/>
        <w:lang w:val="en-US" w:eastAsia="en-US" w:bidi="ar-SA"/>
      </w:rPr>
    </w:lvl>
    <w:lvl w:ilvl="4" w:tentative="0">
      <w:start w:val="0"/>
      <w:numFmt w:val="bullet"/>
      <w:lvlText w:val="•"/>
      <w:lvlJc w:val="left"/>
      <w:pPr>
        <w:ind w:left="1237" w:hanging="450"/>
      </w:pPr>
      <w:rPr>
        <w:rFonts w:hint="default"/>
        <w:lang w:val="en-US" w:eastAsia="en-US" w:bidi="ar-SA"/>
      </w:rPr>
    </w:lvl>
    <w:lvl w:ilvl="5" w:tentative="0">
      <w:start w:val="0"/>
      <w:numFmt w:val="bullet"/>
      <w:lvlText w:val="•"/>
      <w:lvlJc w:val="left"/>
      <w:pPr>
        <w:ind w:left="1422" w:hanging="450"/>
      </w:pPr>
      <w:rPr>
        <w:rFonts w:hint="default"/>
        <w:lang w:val="en-US" w:eastAsia="en-US" w:bidi="ar-SA"/>
      </w:rPr>
    </w:lvl>
    <w:lvl w:ilvl="6" w:tentative="0">
      <w:start w:val="0"/>
      <w:numFmt w:val="bullet"/>
      <w:lvlText w:val="•"/>
      <w:lvlJc w:val="left"/>
      <w:pPr>
        <w:ind w:left="1606" w:hanging="450"/>
      </w:pPr>
      <w:rPr>
        <w:rFonts w:hint="default"/>
        <w:lang w:val="en-US" w:eastAsia="en-US" w:bidi="ar-SA"/>
      </w:rPr>
    </w:lvl>
    <w:lvl w:ilvl="7" w:tentative="0">
      <w:start w:val="0"/>
      <w:numFmt w:val="bullet"/>
      <w:lvlText w:val="•"/>
      <w:lvlJc w:val="left"/>
      <w:pPr>
        <w:ind w:left="1790" w:hanging="450"/>
      </w:pPr>
      <w:rPr>
        <w:rFonts w:hint="default"/>
        <w:lang w:val="en-US" w:eastAsia="en-US" w:bidi="ar-SA"/>
      </w:rPr>
    </w:lvl>
    <w:lvl w:ilvl="8" w:tentative="0">
      <w:start w:val="0"/>
      <w:numFmt w:val="bullet"/>
      <w:lvlText w:val="•"/>
      <w:lvlJc w:val="left"/>
      <w:pPr>
        <w:ind w:left="1975" w:hanging="450"/>
      </w:pPr>
      <w:rPr>
        <w:rFonts w:hint="default"/>
        <w:lang w:val="en-US" w:eastAsia="en-US" w:bidi="ar-SA"/>
      </w:rPr>
    </w:lvl>
  </w:abstractNum>
  <w:abstractNum w:abstractNumId="24">
    <w:nsid w:val="65CD0074"/>
    <w:multiLevelType w:val="multilevel"/>
    <w:tmpl w:val="65CD0074"/>
    <w:lvl w:ilvl="0" w:tentative="0">
      <w:start w:val="1"/>
      <w:numFmt w:val="decimal"/>
      <w:lvlText w:val="%1."/>
      <w:lvlJc w:val="left"/>
      <w:pPr>
        <w:ind w:left="519" w:hanging="405"/>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25">
    <w:nsid w:val="700FDCEF"/>
    <w:multiLevelType w:val="multilevel"/>
    <w:tmpl w:val="700FDCEF"/>
    <w:lvl w:ilvl="0" w:tentative="0">
      <w:start w:val="11"/>
      <w:numFmt w:val="decimal"/>
      <w:lvlText w:val="%1."/>
      <w:lvlJc w:val="left"/>
      <w:pPr>
        <w:ind w:left="519" w:hanging="405"/>
        <w:jc w:val="left"/>
      </w:pPr>
      <w:rPr>
        <w:rFonts w:hint="default"/>
        <w:spacing w:val="-12"/>
        <w:w w:val="100"/>
        <w:lang w:val="en-US" w:eastAsia="en-US" w:bidi="ar-SA"/>
      </w:rPr>
    </w:lvl>
    <w:lvl w:ilvl="1" w:tentative="0">
      <w:start w:val="0"/>
      <w:numFmt w:val="bullet"/>
      <w:lvlText w:val="•"/>
      <w:lvlJc w:val="left"/>
      <w:pPr>
        <w:ind w:left="1404" w:hanging="405"/>
      </w:pPr>
      <w:rPr>
        <w:rFonts w:hint="default"/>
        <w:lang w:val="en-US" w:eastAsia="en-US" w:bidi="ar-SA"/>
      </w:rPr>
    </w:lvl>
    <w:lvl w:ilvl="2" w:tentative="0">
      <w:start w:val="0"/>
      <w:numFmt w:val="bullet"/>
      <w:lvlText w:val="•"/>
      <w:lvlJc w:val="left"/>
      <w:pPr>
        <w:ind w:left="2288" w:hanging="405"/>
      </w:pPr>
      <w:rPr>
        <w:rFonts w:hint="default"/>
        <w:lang w:val="en-US" w:eastAsia="en-US" w:bidi="ar-SA"/>
      </w:rPr>
    </w:lvl>
    <w:lvl w:ilvl="3" w:tentative="0">
      <w:start w:val="0"/>
      <w:numFmt w:val="bullet"/>
      <w:lvlText w:val="•"/>
      <w:lvlJc w:val="left"/>
      <w:pPr>
        <w:ind w:left="3172" w:hanging="405"/>
      </w:pPr>
      <w:rPr>
        <w:rFonts w:hint="default"/>
        <w:lang w:val="en-US" w:eastAsia="en-US" w:bidi="ar-SA"/>
      </w:rPr>
    </w:lvl>
    <w:lvl w:ilvl="4" w:tentative="0">
      <w:start w:val="0"/>
      <w:numFmt w:val="bullet"/>
      <w:lvlText w:val="•"/>
      <w:lvlJc w:val="left"/>
      <w:pPr>
        <w:ind w:left="4056" w:hanging="405"/>
      </w:pPr>
      <w:rPr>
        <w:rFonts w:hint="default"/>
        <w:lang w:val="en-US" w:eastAsia="en-US" w:bidi="ar-SA"/>
      </w:rPr>
    </w:lvl>
    <w:lvl w:ilvl="5" w:tentative="0">
      <w:start w:val="0"/>
      <w:numFmt w:val="bullet"/>
      <w:lvlText w:val="•"/>
      <w:lvlJc w:val="left"/>
      <w:pPr>
        <w:ind w:left="4940" w:hanging="405"/>
      </w:pPr>
      <w:rPr>
        <w:rFonts w:hint="default"/>
        <w:lang w:val="en-US" w:eastAsia="en-US" w:bidi="ar-SA"/>
      </w:rPr>
    </w:lvl>
    <w:lvl w:ilvl="6" w:tentative="0">
      <w:start w:val="0"/>
      <w:numFmt w:val="bullet"/>
      <w:lvlText w:val="•"/>
      <w:lvlJc w:val="left"/>
      <w:pPr>
        <w:ind w:left="5824" w:hanging="405"/>
      </w:pPr>
      <w:rPr>
        <w:rFonts w:hint="default"/>
        <w:lang w:val="en-US" w:eastAsia="en-US" w:bidi="ar-SA"/>
      </w:rPr>
    </w:lvl>
    <w:lvl w:ilvl="7" w:tentative="0">
      <w:start w:val="0"/>
      <w:numFmt w:val="bullet"/>
      <w:lvlText w:val="•"/>
      <w:lvlJc w:val="left"/>
      <w:pPr>
        <w:ind w:left="6708" w:hanging="405"/>
      </w:pPr>
      <w:rPr>
        <w:rFonts w:hint="default"/>
        <w:lang w:val="en-US" w:eastAsia="en-US" w:bidi="ar-SA"/>
      </w:rPr>
    </w:lvl>
    <w:lvl w:ilvl="8" w:tentative="0">
      <w:start w:val="0"/>
      <w:numFmt w:val="bullet"/>
      <w:lvlText w:val="•"/>
      <w:lvlJc w:val="left"/>
      <w:pPr>
        <w:ind w:left="7592" w:hanging="405"/>
      </w:pPr>
      <w:rPr>
        <w:rFonts w:hint="default"/>
        <w:lang w:val="en-US" w:eastAsia="en-US" w:bidi="ar-SA"/>
      </w:rPr>
    </w:lvl>
  </w:abstractNum>
  <w:abstractNum w:abstractNumId="26">
    <w:nsid w:val="74C28B35"/>
    <w:multiLevelType w:val="multilevel"/>
    <w:tmpl w:val="74C28B35"/>
    <w:lvl w:ilvl="0" w:tentative="0">
      <w:start w:val="21"/>
      <w:numFmt w:val="decimal"/>
      <w:lvlText w:val="%1."/>
      <w:lvlJc w:val="left"/>
      <w:pPr>
        <w:ind w:left="500" w:hanging="450"/>
        <w:jc w:val="left"/>
      </w:pPr>
      <w:rPr>
        <w:rFonts w:hint="default" w:ascii="Times New Roman" w:hAnsi="Times New Roman" w:eastAsia="Times New Roman" w:cs="Times New Roman"/>
        <w:b w:val="0"/>
        <w:bCs w:val="0"/>
        <w:i w:val="0"/>
        <w:iCs w:val="0"/>
        <w:color w:val="231F20"/>
        <w:spacing w:val="0"/>
        <w:w w:val="100"/>
        <w:sz w:val="30"/>
        <w:szCs w:val="30"/>
        <w:lang w:val="en-US" w:eastAsia="en-US" w:bidi="ar-SA"/>
      </w:rPr>
    </w:lvl>
    <w:lvl w:ilvl="1" w:tentative="0">
      <w:start w:val="0"/>
      <w:numFmt w:val="bullet"/>
      <w:lvlText w:val="•"/>
      <w:lvlJc w:val="left"/>
      <w:pPr>
        <w:ind w:left="684" w:hanging="450"/>
      </w:pPr>
      <w:rPr>
        <w:rFonts w:hint="default"/>
        <w:lang w:val="en-US" w:eastAsia="en-US" w:bidi="ar-SA"/>
      </w:rPr>
    </w:lvl>
    <w:lvl w:ilvl="2" w:tentative="0">
      <w:start w:val="0"/>
      <w:numFmt w:val="bullet"/>
      <w:lvlText w:val="•"/>
      <w:lvlJc w:val="left"/>
      <w:pPr>
        <w:ind w:left="868" w:hanging="450"/>
      </w:pPr>
      <w:rPr>
        <w:rFonts w:hint="default"/>
        <w:lang w:val="en-US" w:eastAsia="en-US" w:bidi="ar-SA"/>
      </w:rPr>
    </w:lvl>
    <w:lvl w:ilvl="3" w:tentative="0">
      <w:start w:val="0"/>
      <w:numFmt w:val="bullet"/>
      <w:lvlText w:val="•"/>
      <w:lvlJc w:val="left"/>
      <w:pPr>
        <w:ind w:left="1053" w:hanging="450"/>
      </w:pPr>
      <w:rPr>
        <w:rFonts w:hint="default"/>
        <w:lang w:val="en-US" w:eastAsia="en-US" w:bidi="ar-SA"/>
      </w:rPr>
    </w:lvl>
    <w:lvl w:ilvl="4" w:tentative="0">
      <w:start w:val="0"/>
      <w:numFmt w:val="bullet"/>
      <w:lvlText w:val="•"/>
      <w:lvlJc w:val="left"/>
      <w:pPr>
        <w:ind w:left="1237" w:hanging="450"/>
      </w:pPr>
      <w:rPr>
        <w:rFonts w:hint="default"/>
        <w:lang w:val="en-US" w:eastAsia="en-US" w:bidi="ar-SA"/>
      </w:rPr>
    </w:lvl>
    <w:lvl w:ilvl="5" w:tentative="0">
      <w:start w:val="0"/>
      <w:numFmt w:val="bullet"/>
      <w:lvlText w:val="•"/>
      <w:lvlJc w:val="left"/>
      <w:pPr>
        <w:ind w:left="1422" w:hanging="450"/>
      </w:pPr>
      <w:rPr>
        <w:rFonts w:hint="default"/>
        <w:lang w:val="en-US" w:eastAsia="en-US" w:bidi="ar-SA"/>
      </w:rPr>
    </w:lvl>
    <w:lvl w:ilvl="6" w:tentative="0">
      <w:start w:val="0"/>
      <w:numFmt w:val="bullet"/>
      <w:lvlText w:val="•"/>
      <w:lvlJc w:val="left"/>
      <w:pPr>
        <w:ind w:left="1606" w:hanging="450"/>
      </w:pPr>
      <w:rPr>
        <w:rFonts w:hint="default"/>
        <w:lang w:val="en-US" w:eastAsia="en-US" w:bidi="ar-SA"/>
      </w:rPr>
    </w:lvl>
    <w:lvl w:ilvl="7" w:tentative="0">
      <w:start w:val="0"/>
      <w:numFmt w:val="bullet"/>
      <w:lvlText w:val="•"/>
      <w:lvlJc w:val="left"/>
      <w:pPr>
        <w:ind w:left="1790" w:hanging="450"/>
      </w:pPr>
      <w:rPr>
        <w:rFonts w:hint="default"/>
        <w:lang w:val="en-US" w:eastAsia="en-US" w:bidi="ar-SA"/>
      </w:rPr>
    </w:lvl>
    <w:lvl w:ilvl="8" w:tentative="0">
      <w:start w:val="0"/>
      <w:numFmt w:val="bullet"/>
      <w:lvlText w:val="•"/>
      <w:lvlJc w:val="left"/>
      <w:pPr>
        <w:ind w:left="1975" w:hanging="450"/>
      </w:pPr>
      <w:rPr>
        <w:rFonts w:hint="default"/>
        <w:lang w:val="en-US" w:eastAsia="en-US" w:bidi="ar-SA"/>
      </w:rPr>
    </w:lvl>
  </w:abstractNum>
  <w:num w:numId="1">
    <w:abstractNumId w:val="21"/>
  </w:num>
  <w:num w:numId="2">
    <w:abstractNumId w:val="0"/>
  </w:num>
  <w:num w:numId="3">
    <w:abstractNumId w:val="23"/>
  </w:num>
  <w:num w:numId="4">
    <w:abstractNumId w:val="26"/>
  </w:num>
  <w:num w:numId="5">
    <w:abstractNumId w:val="24"/>
  </w:num>
  <w:num w:numId="6">
    <w:abstractNumId w:val="10"/>
  </w:num>
  <w:num w:numId="7">
    <w:abstractNumId w:val="11"/>
  </w:num>
  <w:num w:numId="8">
    <w:abstractNumId w:val="5"/>
  </w:num>
  <w:num w:numId="9">
    <w:abstractNumId w:val="18"/>
  </w:num>
  <w:num w:numId="10">
    <w:abstractNumId w:val="15"/>
  </w:num>
  <w:num w:numId="11">
    <w:abstractNumId w:val="6"/>
  </w:num>
  <w:num w:numId="12">
    <w:abstractNumId w:val="16"/>
  </w:num>
  <w:num w:numId="13">
    <w:abstractNumId w:val="3"/>
  </w:num>
  <w:num w:numId="14">
    <w:abstractNumId w:val="22"/>
  </w:num>
  <w:num w:numId="15">
    <w:abstractNumId w:val="12"/>
  </w:num>
  <w:num w:numId="16">
    <w:abstractNumId w:val="19"/>
  </w:num>
  <w:num w:numId="17">
    <w:abstractNumId w:val="9"/>
  </w:num>
  <w:num w:numId="18">
    <w:abstractNumId w:val="4"/>
  </w:num>
  <w:num w:numId="19">
    <w:abstractNumId w:val="13"/>
  </w:num>
  <w:num w:numId="20">
    <w:abstractNumId w:val="2"/>
  </w:num>
  <w:num w:numId="21">
    <w:abstractNumId w:val="20"/>
  </w:num>
  <w:num w:numId="22">
    <w:abstractNumId w:val="1"/>
  </w:num>
  <w:num w:numId="23">
    <w:abstractNumId w:val="7"/>
  </w:num>
  <w:num w:numId="24">
    <w:abstractNumId w:val="17"/>
  </w:num>
  <w:num w:numId="25">
    <w:abstractNumId w:val="8"/>
  </w:num>
  <w:num w:numId="26">
    <w:abstractNumId w:val="14"/>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1E21088"/>
    <w:rsid w:val="04497378"/>
    <w:rsid w:val="07342E26"/>
    <w:rsid w:val="09367BAA"/>
    <w:rsid w:val="0C795453"/>
    <w:rsid w:val="112B5820"/>
    <w:rsid w:val="166D4013"/>
    <w:rsid w:val="22DA460B"/>
    <w:rsid w:val="276F296B"/>
    <w:rsid w:val="2F6173BC"/>
    <w:rsid w:val="30FD5613"/>
    <w:rsid w:val="39AE5FE8"/>
    <w:rsid w:val="4B023E54"/>
    <w:rsid w:val="4C5D32D8"/>
    <w:rsid w:val="4F155163"/>
    <w:rsid w:val="4F1819B1"/>
    <w:rsid w:val="51CC1D48"/>
    <w:rsid w:val="529671F9"/>
    <w:rsid w:val="56CA1873"/>
    <w:rsid w:val="5E5C7455"/>
    <w:rsid w:val="67904471"/>
    <w:rsid w:val="69CE7057"/>
    <w:rsid w:val="6A3550F2"/>
    <w:rsid w:val="6D735C24"/>
    <w:rsid w:val="6EA8077C"/>
    <w:rsid w:val="741264A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nhideWhenUsed="0" w:uiPriority="1"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112"/>
      <w:ind w:left="2" w:right="2"/>
      <w:jc w:val="center"/>
      <w:outlineLvl w:val="1"/>
    </w:pPr>
    <w:rPr>
      <w:rFonts w:ascii="Times New Roman" w:hAnsi="Times New Roman" w:eastAsia="Times New Roman" w:cs="Times New Roman"/>
      <w:sz w:val="60"/>
      <w:szCs w:val="60"/>
      <w:lang w:val="en-US" w:eastAsia="en-US" w:bidi="ar-SA"/>
    </w:rPr>
  </w:style>
  <w:style w:type="paragraph" w:styleId="3">
    <w:name w:val="heading 2"/>
    <w:basedOn w:val="1"/>
    <w:qFormat/>
    <w:uiPriority w:val="1"/>
    <w:pPr>
      <w:ind w:left="2"/>
      <w:jc w:val="center"/>
      <w:outlineLvl w:val="2"/>
    </w:pPr>
    <w:rPr>
      <w:rFonts w:ascii="Times New Roman" w:hAnsi="Times New Roman" w:eastAsia="Times New Roman" w:cs="Times New Roman"/>
      <w:sz w:val="55"/>
      <w:szCs w:val="55"/>
      <w:lang w:val="en-US" w:eastAsia="en-US" w:bidi="ar-SA"/>
    </w:rPr>
  </w:style>
  <w:style w:type="paragraph" w:styleId="4">
    <w:name w:val="heading 3"/>
    <w:basedOn w:val="1"/>
    <w:qFormat/>
    <w:uiPriority w:val="1"/>
    <w:pPr>
      <w:spacing w:before="119"/>
      <w:ind w:left="2" w:right="2"/>
      <w:jc w:val="center"/>
      <w:outlineLvl w:val="3"/>
    </w:pPr>
    <w:rPr>
      <w:rFonts w:ascii="Times New Roman" w:hAnsi="Times New Roman" w:eastAsia="Times New Roman" w:cs="Times New Roman"/>
      <w:sz w:val="42"/>
      <w:szCs w:val="42"/>
      <w:lang w:val="en-US" w:eastAsia="en-US" w:bidi="ar-SA"/>
    </w:rPr>
  </w:style>
  <w:style w:type="paragraph" w:styleId="5">
    <w:name w:val="heading 4"/>
    <w:basedOn w:val="1"/>
    <w:qFormat/>
    <w:uiPriority w:val="1"/>
    <w:pPr>
      <w:spacing w:before="214"/>
      <w:ind w:left="2" w:right="2"/>
      <w:jc w:val="center"/>
      <w:outlineLvl w:val="4"/>
    </w:pPr>
    <w:rPr>
      <w:rFonts w:ascii="Times New Roman" w:hAnsi="Times New Roman" w:eastAsia="Times New Roman" w:cs="Times New Roman"/>
      <w:b/>
      <w:bCs/>
      <w:sz w:val="33"/>
      <w:szCs w:val="33"/>
      <w:lang w:val="en-US" w:eastAsia="en-US" w:bidi="ar-SA"/>
    </w:rPr>
  </w:style>
  <w:style w:type="paragraph" w:styleId="6">
    <w:name w:val="heading 5"/>
    <w:basedOn w:val="1"/>
    <w:qFormat/>
    <w:uiPriority w:val="1"/>
    <w:pPr>
      <w:ind w:left="2"/>
      <w:jc w:val="center"/>
      <w:outlineLvl w:val="5"/>
    </w:pPr>
    <w:rPr>
      <w:rFonts w:ascii="Times New Roman" w:hAnsi="Times New Roman" w:eastAsia="Times New Roman" w:cs="Times New Roman"/>
      <w:b/>
      <w:bCs/>
      <w:sz w:val="33"/>
      <w:szCs w:val="33"/>
      <w:lang w:val="en-US" w:eastAsia="en-US" w:bidi="ar-SA"/>
    </w:rPr>
  </w:style>
  <w:style w:type="paragraph" w:styleId="7">
    <w:name w:val="heading 6"/>
    <w:basedOn w:val="1"/>
    <w:qFormat/>
    <w:uiPriority w:val="1"/>
    <w:pPr>
      <w:spacing w:before="225"/>
      <w:ind w:left="99"/>
      <w:jc w:val="both"/>
      <w:outlineLvl w:val="6"/>
    </w:pPr>
    <w:rPr>
      <w:rFonts w:ascii="Times New Roman" w:hAnsi="Times New Roman" w:eastAsia="Times New Roman" w:cs="Times New Roman"/>
      <w:b/>
      <w:bCs/>
      <w:sz w:val="30"/>
      <w:szCs w:val="30"/>
      <w:lang w:val="en-US" w:eastAsia="en-US" w:bidi="ar-SA"/>
    </w:rPr>
  </w:style>
  <w:style w:type="paragraph" w:styleId="8">
    <w:name w:val="heading 7"/>
    <w:basedOn w:val="1"/>
    <w:qFormat/>
    <w:uiPriority w:val="1"/>
    <w:pPr>
      <w:ind w:left="99"/>
      <w:jc w:val="both"/>
      <w:outlineLvl w:val="7"/>
    </w:pPr>
    <w:rPr>
      <w:rFonts w:ascii="Times New Roman" w:hAnsi="Times New Roman" w:eastAsia="Times New Roman" w:cs="Times New Roman"/>
      <w:b/>
      <w:bCs/>
      <w:i/>
      <w:iCs/>
      <w:sz w:val="30"/>
      <w:szCs w:val="30"/>
      <w:lang w:val="en-US" w:eastAsia="en-US" w:bidi="ar-SA"/>
    </w:rPr>
  </w:style>
  <w:style w:type="character" w:default="1" w:styleId="13">
    <w:name w:val="Default Paragraph Font"/>
    <w:semiHidden/>
    <w:unhideWhenUsed/>
    <w:qFormat/>
    <w:uiPriority w:val="1"/>
  </w:style>
  <w:style w:type="table" w:default="1" w:styleId="12">
    <w:name w:val="Normal Table"/>
    <w:semiHidden/>
    <w:qFormat/>
    <w:uiPriority w:val="0"/>
    <w:tblPr>
      <w:tblCellMar>
        <w:top w:w="0" w:type="dxa"/>
        <w:left w:w="108" w:type="dxa"/>
        <w:bottom w:w="0" w:type="dxa"/>
        <w:right w:w="108" w:type="dxa"/>
      </w:tblCellMar>
    </w:tblPr>
  </w:style>
  <w:style w:type="paragraph" w:styleId="9">
    <w:name w:val="Body Text"/>
    <w:basedOn w:val="1"/>
    <w:qFormat/>
    <w:uiPriority w:val="1"/>
    <w:pPr>
      <w:spacing w:before="65"/>
      <w:ind w:left="99"/>
      <w:jc w:val="both"/>
    </w:pPr>
    <w:rPr>
      <w:rFonts w:ascii="Times New Roman" w:hAnsi="Times New Roman" w:eastAsia="Times New Roman" w:cs="Times New Roman"/>
      <w:sz w:val="30"/>
      <w:szCs w:val="30"/>
      <w:lang w:val="en-US" w:eastAsia="en-US" w:bidi="ar-SA"/>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1"/>
    <w:pPr>
      <w:spacing w:before="15"/>
      <w:ind w:left="399" w:hanging="300"/>
    </w:pPr>
    <w:rPr>
      <w:rFonts w:ascii="Times New Roman" w:hAnsi="Times New Roman" w:eastAsia="Times New Roman" w:cs="Times New Roman"/>
      <w:lang w:val="en-US" w:eastAsia="en-US" w:bidi="ar-SA"/>
    </w:rPr>
  </w:style>
  <w:style w:type="paragraph" w:customStyle="1" w:styleId="16">
    <w:name w:val="Table Paragraph"/>
    <w:basedOn w:val="1"/>
    <w:qFormat/>
    <w:uiPriority w:val="1"/>
    <w:pPr>
      <w:spacing w:before="61"/>
      <w:ind w:left="50"/>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7" Type="http://schemas.openxmlformats.org/officeDocument/2006/relationships/fontTable" Target="fontTable.xml"/><Relationship Id="rId66" Type="http://schemas.openxmlformats.org/officeDocument/2006/relationships/numbering" Target="numbering.xml"/><Relationship Id="rId65" Type="http://schemas.openxmlformats.org/officeDocument/2006/relationships/customXml" Target="../customXml/item1.xml"/><Relationship Id="rId64" Type="http://schemas.openxmlformats.org/officeDocument/2006/relationships/image" Target="media/image59.jpeg"/><Relationship Id="rId63" Type="http://schemas.openxmlformats.org/officeDocument/2006/relationships/image" Target="media/image58.png"/><Relationship Id="rId62" Type="http://schemas.openxmlformats.org/officeDocument/2006/relationships/image" Target="media/image57.png"/><Relationship Id="rId61" Type="http://schemas.openxmlformats.org/officeDocument/2006/relationships/image" Target="media/image56.png"/><Relationship Id="rId60" Type="http://schemas.openxmlformats.org/officeDocument/2006/relationships/image" Target="media/image55.png"/><Relationship Id="rId6" Type="http://schemas.openxmlformats.org/officeDocument/2006/relationships/image" Target="media/image1.jpeg"/><Relationship Id="rId59" Type="http://schemas.openxmlformats.org/officeDocument/2006/relationships/image" Target="media/image54.png"/><Relationship Id="rId58" Type="http://schemas.openxmlformats.org/officeDocument/2006/relationships/image" Target="media/image53.png"/><Relationship Id="rId57" Type="http://schemas.openxmlformats.org/officeDocument/2006/relationships/image" Target="media/image52.png"/><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jpeg"/><Relationship Id="rId40" Type="http://schemas.openxmlformats.org/officeDocument/2006/relationships/image" Target="media/image35.png"/><Relationship Id="rId4" Type="http://schemas.openxmlformats.org/officeDocument/2006/relationships/endnotes" Target="endnotes.xml"/><Relationship Id="rId39" Type="http://schemas.openxmlformats.org/officeDocument/2006/relationships/image" Target="media/image34.png"/><Relationship Id="rId38" Type="http://schemas.openxmlformats.org/officeDocument/2006/relationships/image" Target="media/image33.jpeg"/><Relationship Id="rId37" Type="http://schemas.openxmlformats.org/officeDocument/2006/relationships/image" Target="media/image32.png"/><Relationship Id="rId36" Type="http://schemas.openxmlformats.org/officeDocument/2006/relationships/image" Target="media/image31.jpe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jpeg"/><Relationship Id="rId32" Type="http://schemas.openxmlformats.org/officeDocument/2006/relationships/image" Target="media/image27.png"/><Relationship Id="rId31" Type="http://schemas.openxmlformats.org/officeDocument/2006/relationships/image" Target="media/image26.jpeg"/><Relationship Id="rId30" Type="http://schemas.openxmlformats.org/officeDocument/2006/relationships/image" Target="media/image25.jpeg"/><Relationship Id="rId3" Type="http://schemas.openxmlformats.org/officeDocument/2006/relationships/footnotes" Target="footnotes.xml"/><Relationship Id="rId29" Type="http://schemas.openxmlformats.org/officeDocument/2006/relationships/image" Target="media/image24.jpeg"/><Relationship Id="rId28" Type="http://schemas.openxmlformats.org/officeDocument/2006/relationships/image" Target="media/image23.jpeg"/><Relationship Id="rId27" Type="http://schemas.openxmlformats.org/officeDocument/2006/relationships/image" Target="media/image22.jpeg"/><Relationship Id="rId26" Type="http://schemas.openxmlformats.org/officeDocument/2006/relationships/image" Target="media/image21.jpeg"/><Relationship Id="rId25" Type="http://schemas.openxmlformats.org/officeDocument/2006/relationships/image" Target="media/image20.jpeg"/><Relationship Id="rId24" Type="http://schemas.openxmlformats.org/officeDocument/2006/relationships/image" Target="media/image19.jpeg"/><Relationship Id="rId23" Type="http://schemas.openxmlformats.org/officeDocument/2006/relationships/image" Target="media/image18.jpe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1948</Pages>
  <Words>4166</Words>
  <Characters>10549</Characters>
  <TotalTime>102</TotalTime>
  <ScaleCrop>false</ScaleCrop>
  <LinksUpToDate>false</LinksUpToDate>
  <CharactersWithSpaces>11944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2025-08-04T03:39:00Z</dcterms:created>
  <dc:creator>86137</dc:creator>
  <cp:lastModifiedBy>密</cp:lastModifiedBy>
  <dcterms:modified xsi:type="dcterms:W3CDTF">2025-08-07T09:29:37Z</dcterms:modified>
  <dc:title>The High King of Heaven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2025-08-04T00:00:00Z</vt:filetime>
  </property>
  <property fmtid="{D5CDD505-2E9C-101B-9397-08002B2CF9AE}" pid="3" name="LastSaved">
    <vt:filetime>2025-08-04T00:00:00Z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2052-12.1.0.21915</vt:lpwstr>
  </property>
  <property fmtid="{D5CDD505-2E9C-101B-9397-08002B2CF9AE}" pid="6" name="ICV">
    <vt:lpwstr>7CE1ECA621D3448D893057F75DDBEAE3_12</vt:lpwstr>
  </property>
</Properties>
</file>